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4AF6D" w14:textId="77777777" w:rsidR="00A114EA" w:rsidRDefault="003C7AB3">
      <w:pPr>
        <w:jc w:val="center"/>
      </w:pPr>
      <w:r>
        <w:rPr>
          <w:noProof/>
        </w:rPr>
        <w:drawing>
          <wp:inline distT="0" distB="0" distL="0" distR="0" wp14:anchorId="141216A0" wp14:editId="14FABD23">
            <wp:extent cx="4503420" cy="3147060"/>
            <wp:effectExtent l="19050" t="0" r="0" b="0"/>
            <wp:docPr id="1" name="图片 1" descr="E:\石家庄学院校名标准写法\附件4：校名和校徽的基本组合\1.横排带英文组合\横排带英文全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E:\石家庄学院校名标准写法\附件4：校名和校徽的基本组合\1.横排带英文组合\横排带英文全红.jpg"/>
                    <pic:cNvPicPr>
                      <a:picLocks noChangeAspect="1" noChangeArrowheads="1"/>
                    </pic:cNvPicPr>
                  </pic:nvPicPr>
                  <pic:blipFill>
                    <a:blip r:embed="rId8" cstate="print"/>
                    <a:srcRect/>
                    <a:stretch>
                      <a:fillRect/>
                    </a:stretch>
                  </pic:blipFill>
                  <pic:spPr>
                    <a:xfrm>
                      <a:off x="0" y="0"/>
                      <a:ext cx="4503363" cy="3147121"/>
                    </a:xfrm>
                    <a:prstGeom prst="rect">
                      <a:avLst/>
                    </a:prstGeom>
                    <a:noFill/>
                    <a:ln w="9525">
                      <a:noFill/>
                      <a:miter lim="800000"/>
                      <a:headEnd/>
                      <a:tailEnd/>
                    </a:ln>
                  </pic:spPr>
                </pic:pic>
              </a:graphicData>
            </a:graphic>
          </wp:inline>
        </w:drawing>
      </w:r>
    </w:p>
    <w:p w14:paraId="41DAE222" w14:textId="77777777" w:rsidR="00A114EA" w:rsidRDefault="009A3EDB">
      <w:pPr>
        <w:jc w:val="center"/>
        <w:rPr>
          <w:rFonts w:ascii="方正小标宋简体" w:eastAsia="方正小标宋简体" w:hAnsi="黑体" w:cs="黑体"/>
          <w:b/>
          <w:bCs/>
          <w:sz w:val="44"/>
          <w:szCs w:val="44"/>
        </w:rPr>
      </w:pPr>
      <w:r>
        <w:rPr>
          <w:rFonts w:ascii="方正小标宋简体" w:eastAsia="方正小标宋简体" w:hAnsi="黑体" w:cs="黑体" w:hint="eastAsia"/>
          <w:b/>
          <w:bCs/>
          <w:sz w:val="44"/>
          <w:szCs w:val="44"/>
        </w:rPr>
        <w:t>药物分析</w:t>
      </w:r>
      <w:r w:rsidR="003C7AB3">
        <w:rPr>
          <w:rFonts w:ascii="方正小标宋简体" w:eastAsia="方正小标宋简体" w:hAnsi="黑体" w:cs="黑体" w:hint="eastAsia"/>
          <w:b/>
          <w:bCs/>
          <w:sz w:val="44"/>
          <w:szCs w:val="44"/>
        </w:rPr>
        <w:t>专业</w:t>
      </w:r>
    </w:p>
    <w:p w14:paraId="0521FDCF" w14:textId="77777777" w:rsidR="00A114EA" w:rsidRDefault="003C7AB3">
      <w:pPr>
        <w:spacing w:beforeLines="50" w:before="156" w:afterLines="50" w:after="156" w:line="480" w:lineRule="auto"/>
        <w:jc w:val="center"/>
        <w:rPr>
          <w:rFonts w:ascii="黑体" w:eastAsia="黑体" w:hAnsi="黑体"/>
          <w:sz w:val="44"/>
          <w:szCs w:val="44"/>
        </w:rPr>
      </w:pPr>
      <w:r>
        <w:rPr>
          <w:rFonts w:ascii="方正小标宋简体" w:eastAsia="方正小标宋简体" w:hAnsi="黑体" w:cs="黑体" w:hint="eastAsia"/>
          <w:b/>
          <w:bCs/>
          <w:sz w:val="64"/>
          <w:szCs w:val="64"/>
        </w:rPr>
        <w:t xml:space="preserve">课  程 </w:t>
      </w:r>
      <w:r>
        <w:rPr>
          <w:rFonts w:ascii="方正小标宋简体" w:eastAsia="方正小标宋简体" w:hAnsi="黑体" w:cs="黑体"/>
          <w:b/>
          <w:bCs/>
          <w:sz w:val="64"/>
          <w:szCs w:val="64"/>
        </w:rPr>
        <w:t xml:space="preserve"> </w:t>
      </w:r>
      <w:r>
        <w:rPr>
          <w:rFonts w:ascii="方正小标宋简体" w:eastAsia="方正小标宋简体" w:hAnsi="黑体" w:cs="黑体" w:hint="eastAsia"/>
          <w:b/>
          <w:bCs/>
          <w:sz w:val="64"/>
          <w:szCs w:val="64"/>
        </w:rPr>
        <w:t xml:space="preserve">大 </w:t>
      </w:r>
      <w:r>
        <w:rPr>
          <w:rFonts w:ascii="方正小标宋简体" w:eastAsia="方正小标宋简体" w:hAnsi="黑体" w:cs="黑体"/>
          <w:b/>
          <w:bCs/>
          <w:sz w:val="64"/>
          <w:szCs w:val="64"/>
        </w:rPr>
        <w:t xml:space="preserve"> </w:t>
      </w:r>
      <w:proofErr w:type="gramStart"/>
      <w:r>
        <w:rPr>
          <w:rFonts w:ascii="方正小标宋简体" w:eastAsia="方正小标宋简体" w:hAnsi="黑体" w:cs="黑体" w:hint="eastAsia"/>
          <w:b/>
          <w:bCs/>
          <w:sz w:val="64"/>
          <w:szCs w:val="64"/>
        </w:rPr>
        <w:t>纲</w:t>
      </w:r>
      <w:proofErr w:type="gramEnd"/>
    </w:p>
    <w:p w14:paraId="04129E4F" w14:textId="77777777" w:rsidR="00A114EA" w:rsidRDefault="00A114EA">
      <w:pPr>
        <w:jc w:val="center"/>
      </w:pPr>
    </w:p>
    <w:p w14:paraId="594FE157" w14:textId="77777777" w:rsidR="00A114EA" w:rsidRDefault="00A114EA">
      <w:pPr>
        <w:jc w:val="center"/>
      </w:pPr>
    </w:p>
    <w:p w14:paraId="688499A0" w14:textId="77777777" w:rsidR="00A114EA" w:rsidRDefault="00A114EA">
      <w:pPr>
        <w:jc w:val="center"/>
      </w:pPr>
    </w:p>
    <w:p w14:paraId="420672DB" w14:textId="77777777" w:rsidR="00A114EA" w:rsidRDefault="00A114EA">
      <w:pPr>
        <w:jc w:val="center"/>
      </w:pPr>
    </w:p>
    <w:p w14:paraId="0C710C56" w14:textId="77777777" w:rsidR="00A114EA" w:rsidRDefault="00A114EA">
      <w:pPr>
        <w:jc w:val="center"/>
      </w:pPr>
    </w:p>
    <w:p w14:paraId="67F2EB5F" w14:textId="77777777" w:rsidR="00A114EA" w:rsidRDefault="00A114EA">
      <w:pPr>
        <w:jc w:val="center"/>
      </w:pPr>
    </w:p>
    <w:p w14:paraId="6D3C9B30" w14:textId="77777777" w:rsidR="00A114EA" w:rsidRDefault="00A114EA">
      <w:pPr>
        <w:jc w:val="center"/>
      </w:pPr>
    </w:p>
    <w:p w14:paraId="491A6E0F" w14:textId="77777777" w:rsidR="00A114EA" w:rsidRDefault="00A114EA">
      <w:pPr>
        <w:jc w:val="center"/>
      </w:pPr>
    </w:p>
    <w:p w14:paraId="15FD0567" w14:textId="77777777" w:rsidR="00A114EA" w:rsidRDefault="00A114EA">
      <w:pPr>
        <w:jc w:val="center"/>
      </w:pPr>
    </w:p>
    <w:p w14:paraId="26C4ECA1" w14:textId="77777777" w:rsidR="00A114EA" w:rsidRDefault="00A114EA">
      <w:pPr>
        <w:jc w:val="center"/>
      </w:pPr>
    </w:p>
    <w:p w14:paraId="6BB69668" w14:textId="77777777" w:rsidR="00A114EA" w:rsidRDefault="00A114EA">
      <w:pPr>
        <w:jc w:val="center"/>
      </w:pPr>
    </w:p>
    <w:p w14:paraId="56B4FD47" w14:textId="77777777" w:rsidR="00A114EA" w:rsidRDefault="00A114EA">
      <w:pPr>
        <w:jc w:val="center"/>
      </w:pPr>
    </w:p>
    <w:p w14:paraId="78658367" w14:textId="77777777" w:rsidR="00A114EA" w:rsidRDefault="003C7AB3">
      <w:pPr>
        <w:jc w:val="center"/>
        <w:rPr>
          <w:rFonts w:ascii="方正小标宋简体" w:eastAsia="方正小标宋简体" w:hAnsi="黑体" w:cs="黑体"/>
          <w:sz w:val="36"/>
          <w:szCs w:val="36"/>
        </w:rPr>
      </w:pPr>
      <w:r>
        <w:rPr>
          <w:rFonts w:ascii="方正小标宋简体" w:eastAsia="方正小标宋简体" w:hAnsi="黑体" w:cs="黑体" w:hint="eastAsia"/>
          <w:sz w:val="36"/>
          <w:szCs w:val="36"/>
        </w:rPr>
        <w:t>石家庄学院</w:t>
      </w:r>
      <w:r w:rsidR="009A3EDB">
        <w:rPr>
          <w:rFonts w:ascii="方正小标宋简体" w:eastAsia="方正小标宋简体" w:hAnsi="黑体" w:cs="黑体" w:hint="eastAsia"/>
          <w:sz w:val="36"/>
          <w:szCs w:val="36"/>
        </w:rPr>
        <w:t>化工</w:t>
      </w:r>
      <w:r>
        <w:rPr>
          <w:rFonts w:ascii="方正小标宋简体" w:eastAsia="方正小标宋简体" w:hAnsi="黑体" w:cs="黑体" w:hint="eastAsia"/>
          <w:sz w:val="36"/>
          <w:szCs w:val="36"/>
        </w:rPr>
        <w:t>学院</w:t>
      </w:r>
    </w:p>
    <w:p w14:paraId="696EF4DC" w14:textId="77777777" w:rsidR="00A114EA" w:rsidRDefault="00A114EA">
      <w:pPr>
        <w:jc w:val="center"/>
        <w:rPr>
          <w:sz w:val="36"/>
          <w:szCs w:val="36"/>
        </w:rPr>
      </w:pPr>
    </w:p>
    <w:p w14:paraId="60B4923B" w14:textId="77777777" w:rsidR="00A114EA" w:rsidRDefault="003C7AB3">
      <w:pPr>
        <w:jc w:val="center"/>
        <w:rPr>
          <w:sz w:val="36"/>
          <w:szCs w:val="36"/>
        </w:rPr>
      </w:pPr>
      <w:r>
        <w:rPr>
          <w:rFonts w:hint="eastAsia"/>
          <w:sz w:val="36"/>
          <w:szCs w:val="36"/>
        </w:rPr>
        <w:t>2</w:t>
      </w:r>
      <w:r>
        <w:rPr>
          <w:sz w:val="36"/>
          <w:szCs w:val="36"/>
        </w:rPr>
        <w:t>02</w:t>
      </w:r>
      <w:r>
        <w:rPr>
          <w:rFonts w:hint="eastAsia"/>
          <w:sz w:val="36"/>
          <w:szCs w:val="36"/>
        </w:rPr>
        <w:t>3年</w:t>
      </w:r>
      <w:r w:rsidR="009A3EDB">
        <w:rPr>
          <w:rFonts w:hint="eastAsia"/>
          <w:sz w:val="36"/>
          <w:szCs w:val="36"/>
        </w:rPr>
        <w:t>10</w:t>
      </w:r>
      <w:r>
        <w:rPr>
          <w:rFonts w:hint="eastAsia"/>
          <w:sz w:val="36"/>
          <w:szCs w:val="36"/>
        </w:rPr>
        <w:t>月</w:t>
      </w:r>
    </w:p>
    <w:p w14:paraId="0A5ADA5F" w14:textId="77777777" w:rsidR="00A114EA" w:rsidRDefault="003C7AB3">
      <w:pPr>
        <w:widowControl/>
        <w:jc w:val="left"/>
        <w:rPr>
          <w:sz w:val="36"/>
          <w:szCs w:val="36"/>
        </w:rPr>
      </w:pPr>
      <w:r>
        <w:rPr>
          <w:sz w:val="36"/>
          <w:szCs w:val="36"/>
        </w:rPr>
        <w:br w:type="page"/>
      </w:r>
    </w:p>
    <w:p w14:paraId="5A78286E" w14:textId="77777777" w:rsidR="006C1E68" w:rsidRPr="00BB0688" w:rsidRDefault="003C7AB3" w:rsidP="00BB0688">
      <w:pPr>
        <w:spacing w:beforeLines="50" w:before="156" w:afterLines="50" w:after="156"/>
        <w:jc w:val="center"/>
        <w:rPr>
          <w:rFonts w:ascii="黑体" w:eastAsia="黑体" w:hAnsi="黑体"/>
          <w:sz w:val="36"/>
          <w:szCs w:val="36"/>
        </w:rPr>
      </w:pPr>
      <w:r>
        <w:rPr>
          <w:rFonts w:ascii="黑体" w:eastAsia="黑体" w:hAnsi="黑体" w:hint="eastAsia"/>
          <w:sz w:val="36"/>
          <w:szCs w:val="36"/>
        </w:rPr>
        <w:lastRenderedPageBreak/>
        <w:t>目 录</w:t>
      </w:r>
    </w:p>
    <w:p w14:paraId="171C867A" w14:textId="65CE20F0" w:rsidR="00AA5D90" w:rsidRPr="00AA5D90" w:rsidRDefault="00E33C2D">
      <w:pPr>
        <w:pStyle w:val="TOC1"/>
        <w:tabs>
          <w:tab w:val="right" w:leader="dot" w:pos="8777"/>
        </w:tabs>
        <w:rPr>
          <w:rFonts w:ascii="仿宋" w:eastAsia="仿宋" w:hAnsi="仿宋"/>
          <w:noProof/>
          <w:sz w:val="28"/>
          <w:szCs w:val="28"/>
        </w:rPr>
      </w:pPr>
      <w:r w:rsidRPr="00BB0688">
        <w:rPr>
          <w:rFonts w:ascii="宋体" w:eastAsia="宋体" w:hAnsi="宋体"/>
          <w:sz w:val="28"/>
          <w:szCs w:val="28"/>
        </w:rPr>
        <w:fldChar w:fldCharType="begin"/>
      </w:r>
      <w:r w:rsidRPr="00BB0688">
        <w:rPr>
          <w:rFonts w:ascii="宋体" w:eastAsia="宋体" w:hAnsi="宋体"/>
          <w:sz w:val="28"/>
          <w:szCs w:val="28"/>
        </w:rPr>
        <w:instrText xml:space="preserve"> TOC \o "1-1" \h \z \u </w:instrText>
      </w:r>
      <w:r w:rsidRPr="00BB0688">
        <w:rPr>
          <w:rFonts w:ascii="宋体" w:eastAsia="宋体" w:hAnsi="宋体"/>
          <w:sz w:val="28"/>
          <w:szCs w:val="28"/>
        </w:rPr>
        <w:fldChar w:fldCharType="separate"/>
      </w:r>
      <w:hyperlink w:anchor="_Toc149662336" w:history="1">
        <w:r w:rsidR="00AA5D90" w:rsidRPr="00AA5D90">
          <w:rPr>
            <w:rFonts w:ascii="仿宋" w:eastAsia="仿宋" w:hAnsi="仿宋"/>
            <w:noProof/>
            <w:sz w:val="28"/>
            <w:szCs w:val="28"/>
          </w:rPr>
          <w:t>《思想道德与法治》课程大纲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_Toc149662336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1</w:t>
        </w:r>
        <w:r w:rsidR="00AA5D90" w:rsidRPr="00AA5D90">
          <w:rPr>
            <w:rFonts w:ascii="仿宋" w:eastAsia="仿宋" w:hAnsi="仿宋"/>
            <w:noProof/>
            <w:webHidden/>
            <w:sz w:val="28"/>
            <w:szCs w:val="28"/>
          </w:rPr>
          <w:fldChar w:fldCharType="end"/>
        </w:r>
      </w:hyperlink>
    </w:p>
    <w:p w14:paraId="3C5FA719" w14:textId="3BADB885" w:rsidR="00AA5D90" w:rsidRPr="00AA5D90" w:rsidRDefault="00000000">
      <w:pPr>
        <w:pStyle w:val="TOC1"/>
        <w:tabs>
          <w:tab w:val="right" w:leader="dot" w:pos="8777"/>
        </w:tabs>
        <w:rPr>
          <w:rFonts w:ascii="仿宋" w:eastAsia="仿宋" w:hAnsi="仿宋"/>
          <w:noProof/>
          <w:sz w:val="28"/>
          <w:szCs w:val="28"/>
        </w:rPr>
      </w:pPr>
      <w:hyperlink w:anchor="_Toc149662337" w:history="1">
        <w:r w:rsidR="00AA5D90" w:rsidRPr="00AA5D90">
          <w:rPr>
            <w:rFonts w:ascii="仿宋" w:eastAsia="仿宋" w:hAnsi="仿宋"/>
            <w:noProof/>
            <w:sz w:val="28"/>
            <w:szCs w:val="28"/>
          </w:rPr>
          <w:t>《中国近现代史纲要》课程大纲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_Toc149662337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18</w:t>
        </w:r>
        <w:r w:rsidR="00AA5D90" w:rsidRPr="00AA5D90">
          <w:rPr>
            <w:rFonts w:ascii="仿宋" w:eastAsia="仿宋" w:hAnsi="仿宋"/>
            <w:noProof/>
            <w:webHidden/>
            <w:sz w:val="28"/>
            <w:szCs w:val="28"/>
          </w:rPr>
          <w:fldChar w:fldCharType="end"/>
        </w:r>
      </w:hyperlink>
    </w:p>
    <w:p w14:paraId="3C9A4D70" w14:textId="3736B839" w:rsidR="00AA5D90" w:rsidRPr="00AA5D90" w:rsidRDefault="00000000">
      <w:pPr>
        <w:pStyle w:val="TOC1"/>
        <w:tabs>
          <w:tab w:val="right" w:leader="dot" w:pos="8777"/>
        </w:tabs>
        <w:rPr>
          <w:rFonts w:ascii="仿宋" w:eastAsia="仿宋" w:hAnsi="仿宋"/>
          <w:noProof/>
          <w:sz w:val="28"/>
          <w:szCs w:val="28"/>
        </w:rPr>
      </w:pPr>
      <w:hyperlink w:anchor="_Toc149662338" w:history="1">
        <w:r w:rsidR="00AA5D90" w:rsidRPr="00AA5D90">
          <w:rPr>
            <w:rFonts w:ascii="仿宋" w:eastAsia="仿宋" w:hAnsi="仿宋"/>
            <w:noProof/>
            <w:sz w:val="28"/>
            <w:szCs w:val="28"/>
          </w:rPr>
          <w:t>《马克思主义基本原理》课程大纲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_Toc149662338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38</w:t>
        </w:r>
        <w:r w:rsidR="00AA5D90" w:rsidRPr="00AA5D90">
          <w:rPr>
            <w:rFonts w:ascii="仿宋" w:eastAsia="仿宋" w:hAnsi="仿宋"/>
            <w:noProof/>
            <w:webHidden/>
            <w:sz w:val="28"/>
            <w:szCs w:val="28"/>
          </w:rPr>
          <w:fldChar w:fldCharType="end"/>
        </w:r>
      </w:hyperlink>
    </w:p>
    <w:p w14:paraId="069995FC" w14:textId="24882FD0" w:rsidR="00AA5D90" w:rsidRPr="00AA5D90" w:rsidRDefault="00000000">
      <w:pPr>
        <w:pStyle w:val="TOC1"/>
        <w:tabs>
          <w:tab w:val="right" w:leader="dot" w:pos="8777"/>
        </w:tabs>
        <w:rPr>
          <w:rFonts w:ascii="仿宋" w:eastAsia="仿宋" w:hAnsi="仿宋"/>
          <w:noProof/>
          <w:sz w:val="28"/>
          <w:szCs w:val="28"/>
        </w:rPr>
      </w:pPr>
      <w:hyperlink w:anchor="_Toc149662339" w:history="1">
        <w:r w:rsidR="00AA5D90" w:rsidRPr="00AA5D90">
          <w:rPr>
            <w:rFonts w:ascii="仿宋" w:eastAsia="仿宋" w:hAnsi="仿宋"/>
            <w:noProof/>
            <w:sz w:val="28"/>
            <w:szCs w:val="28"/>
          </w:rPr>
          <w:t>《毛泽东思想和中国特色社会主义理论体系概论》课程大纲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_Toc149662339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61</w:t>
        </w:r>
        <w:r w:rsidR="00AA5D90" w:rsidRPr="00AA5D90">
          <w:rPr>
            <w:rFonts w:ascii="仿宋" w:eastAsia="仿宋" w:hAnsi="仿宋"/>
            <w:noProof/>
            <w:webHidden/>
            <w:sz w:val="28"/>
            <w:szCs w:val="28"/>
          </w:rPr>
          <w:fldChar w:fldCharType="end"/>
        </w:r>
      </w:hyperlink>
    </w:p>
    <w:p w14:paraId="4D1BA549" w14:textId="499565D6" w:rsidR="00AA5D90" w:rsidRPr="00AA5D90" w:rsidRDefault="00000000">
      <w:pPr>
        <w:pStyle w:val="TOC1"/>
        <w:tabs>
          <w:tab w:val="right" w:leader="dot" w:pos="8777"/>
        </w:tabs>
        <w:rPr>
          <w:rFonts w:ascii="仿宋" w:eastAsia="仿宋" w:hAnsi="仿宋"/>
          <w:noProof/>
          <w:sz w:val="28"/>
          <w:szCs w:val="28"/>
        </w:rPr>
      </w:pPr>
      <w:hyperlink w:anchor="_Toc149662340" w:history="1">
        <w:r w:rsidR="00AA5D90" w:rsidRPr="00AA5D90">
          <w:rPr>
            <w:rFonts w:ascii="仿宋" w:eastAsia="仿宋" w:hAnsi="仿宋"/>
            <w:noProof/>
            <w:sz w:val="28"/>
            <w:szCs w:val="28"/>
          </w:rPr>
          <w:t>《习近平新时代中国特色社会主义思想概论》课程大纲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_Toc149662340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76</w:t>
        </w:r>
        <w:r w:rsidR="00AA5D90" w:rsidRPr="00AA5D90">
          <w:rPr>
            <w:rFonts w:ascii="仿宋" w:eastAsia="仿宋" w:hAnsi="仿宋"/>
            <w:noProof/>
            <w:webHidden/>
            <w:sz w:val="28"/>
            <w:szCs w:val="28"/>
          </w:rPr>
          <w:fldChar w:fldCharType="end"/>
        </w:r>
      </w:hyperlink>
    </w:p>
    <w:p w14:paraId="38A0B8F6" w14:textId="1319C775" w:rsidR="00AA5D90" w:rsidRPr="00AA5D90" w:rsidRDefault="00000000">
      <w:pPr>
        <w:pStyle w:val="TOC1"/>
        <w:tabs>
          <w:tab w:val="right" w:leader="dot" w:pos="8777"/>
        </w:tabs>
        <w:rPr>
          <w:rFonts w:ascii="仿宋" w:eastAsia="仿宋" w:hAnsi="仿宋"/>
          <w:noProof/>
          <w:sz w:val="28"/>
          <w:szCs w:val="28"/>
        </w:rPr>
      </w:pPr>
      <w:hyperlink w:anchor="_Toc149662341" w:history="1">
        <w:r w:rsidR="00AA5D90" w:rsidRPr="00AA5D90">
          <w:rPr>
            <w:rFonts w:ascii="仿宋" w:eastAsia="仿宋" w:hAnsi="仿宋"/>
            <w:noProof/>
            <w:sz w:val="28"/>
            <w:szCs w:val="28"/>
          </w:rPr>
          <w:t>《形势与政策》课程大纲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_Toc149662341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103</w:t>
        </w:r>
        <w:r w:rsidR="00AA5D90" w:rsidRPr="00AA5D90">
          <w:rPr>
            <w:rFonts w:ascii="仿宋" w:eastAsia="仿宋" w:hAnsi="仿宋"/>
            <w:noProof/>
            <w:webHidden/>
            <w:sz w:val="28"/>
            <w:szCs w:val="28"/>
          </w:rPr>
          <w:fldChar w:fldCharType="end"/>
        </w:r>
      </w:hyperlink>
    </w:p>
    <w:p w14:paraId="08E48E3C" w14:textId="745CC2BB" w:rsidR="00AA5D90" w:rsidRPr="00AA5D90" w:rsidRDefault="00000000">
      <w:pPr>
        <w:pStyle w:val="TOC1"/>
        <w:tabs>
          <w:tab w:val="right" w:leader="dot" w:pos="8777"/>
        </w:tabs>
        <w:rPr>
          <w:rFonts w:ascii="仿宋" w:eastAsia="仿宋" w:hAnsi="仿宋"/>
          <w:noProof/>
          <w:sz w:val="28"/>
          <w:szCs w:val="28"/>
        </w:rPr>
      </w:pPr>
      <w:hyperlink w:anchor="_Toc149662342" w:history="1">
        <w:r w:rsidR="00AA5D90" w:rsidRPr="00AA5D90">
          <w:rPr>
            <w:rFonts w:ascii="仿宋" w:eastAsia="仿宋" w:hAnsi="仿宋"/>
            <w:noProof/>
            <w:sz w:val="28"/>
            <w:szCs w:val="28"/>
          </w:rPr>
          <w:t>《劳动教育》课程大纲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_Toc149662342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113</w:t>
        </w:r>
        <w:r w:rsidR="00AA5D90" w:rsidRPr="00AA5D90">
          <w:rPr>
            <w:rFonts w:ascii="仿宋" w:eastAsia="仿宋" w:hAnsi="仿宋"/>
            <w:noProof/>
            <w:webHidden/>
            <w:sz w:val="28"/>
            <w:szCs w:val="28"/>
          </w:rPr>
          <w:fldChar w:fldCharType="end"/>
        </w:r>
      </w:hyperlink>
    </w:p>
    <w:p w14:paraId="4331579B" w14:textId="21D53F8A" w:rsidR="00AA5D90" w:rsidRPr="00AA5D90" w:rsidRDefault="00000000">
      <w:pPr>
        <w:pStyle w:val="TOC1"/>
        <w:tabs>
          <w:tab w:val="right" w:leader="dot" w:pos="8777"/>
        </w:tabs>
        <w:rPr>
          <w:rFonts w:ascii="仿宋" w:eastAsia="仿宋" w:hAnsi="仿宋"/>
          <w:noProof/>
          <w:sz w:val="28"/>
          <w:szCs w:val="28"/>
        </w:rPr>
      </w:pPr>
      <w:hyperlink w:anchor="_Toc149662343" w:history="1">
        <w:r w:rsidR="00AA5D90" w:rsidRPr="00AA5D90">
          <w:rPr>
            <w:rFonts w:ascii="仿宋" w:eastAsia="仿宋" w:hAnsi="仿宋"/>
            <w:noProof/>
            <w:sz w:val="28"/>
            <w:szCs w:val="28"/>
          </w:rPr>
          <w:t>《大学英语1》课程大纲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_Toc149662343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131</w:t>
        </w:r>
        <w:r w:rsidR="00AA5D90" w:rsidRPr="00AA5D90">
          <w:rPr>
            <w:rFonts w:ascii="仿宋" w:eastAsia="仿宋" w:hAnsi="仿宋"/>
            <w:noProof/>
            <w:webHidden/>
            <w:sz w:val="28"/>
            <w:szCs w:val="28"/>
          </w:rPr>
          <w:fldChar w:fldCharType="end"/>
        </w:r>
      </w:hyperlink>
    </w:p>
    <w:p w14:paraId="56FABDE8" w14:textId="6D2B745D" w:rsidR="00AA5D90" w:rsidRPr="00AA5D90" w:rsidRDefault="00000000">
      <w:pPr>
        <w:pStyle w:val="TOC1"/>
        <w:tabs>
          <w:tab w:val="right" w:leader="dot" w:pos="8777"/>
        </w:tabs>
        <w:rPr>
          <w:rFonts w:ascii="仿宋" w:eastAsia="仿宋" w:hAnsi="仿宋"/>
          <w:noProof/>
          <w:sz w:val="28"/>
          <w:szCs w:val="28"/>
        </w:rPr>
      </w:pPr>
      <w:hyperlink w:anchor="_Toc149662344" w:history="1">
        <w:r w:rsidR="00AA5D90" w:rsidRPr="00AA5D90">
          <w:rPr>
            <w:rFonts w:ascii="仿宋" w:eastAsia="仿宋" w:hAnsi="仿宋"/>
            <w:noProof/>
            <w:sz w:val="28"/>
            <w:szCs w:val="28"/>
          </w:rPr>
          <w:t>《大学英语2》课程大纲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_Toc149662344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143</w:t>
        </w:r>
        <w:r w:rsidR="00AA5D90" w:rsidRPr="00AA5D90">
          <w:rPr>
            <w:rFonts w:ascii="仿宋" w:eastAsia="仿宋" w:hAnsi="仿宋"/>
            <w:noProof/>
            <w:webHidden/>
            <w:sz w:val="28"/>
            <w:szCs w:val="28"/>
          </w:rPr>
          <w:fldChar w:fldCharType="end"/>
        </w:r>
      </w:hyperlink>
    </w:p>
    <w:p w14:paraId="6C545CFF" w14:textId="4B8AFED5" w:rsidR="00AA5D90" w:rsidRPr="00AA5D90" w:rsidRDefault="00000000">
      <w:pPr>
        <w:pStyle w:val="TOC1"/>
        <w:tabs>
          <w:tab w:val="right" w:leader="dot" w:pos="8777"/>
        </w:tabs>
        <w:rPr>
          <w:rFonts w:ascii="仿宋" w:eastAsia="仿宋" w:hAnsi="仿宋"/>
          <w:noProof/>
          <w:sz w:val="28"/>
          <w:szCs w:val="28"/>
        </w:rPr>
      </w:pPr>
      <w:hyperlink w:anchor="_Toc149662345" w:history="1">
        <w:r w:rsidR="00AA5D90" w:rsidRPr="00AA5D90">
          <w:rPr>
            <w:rFonts w:ascii="仿宋" w:eastAsia="仿宋" w:hAnsi="仿宋"/>
            <w:noProof/>
            <w:sz w:val="28"/>
            <w:szCs w:val="28"/>
          </w:rPr>
          <w:t>《大学英语3》课程大纲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_Toc149662345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156</w:t>
        </w:r>
        <w:r w:rsidR="00AA5D90" w:rsidRPr="00AA5D90">
          <w:rPr>
            <w:rFonts w:ascii="仿宋" w:eastAsia="仿宋" w:hAnsi="仿宋"/>
            <w:noProof/>
            <w:webHidden/>
            <w:sz w:val="28"/>
            <w:szCs w:val="28"/>
          </w:rPr>
          <w:fldChar w:fldCharType="end"/>
        </w:r>
      </w:hyperlink>
    </w:p>
    <w:p w14:paraId="7B809C2B" w14:textId="0E835D6D" w:rsidR="00AA5D90" w:rsidRPr="00AA5D90" w:rsidRDefault="00000000">
      <w:pPr>
        <w:pStyle w:val="TOC1"/>
        <w:tabs>
          <w:tab w:val="right" w:leader="dot" w:pos="8777"/>
        </w:tabs>
        <w:rPr>
          <w:rFonts w:ascii="仿宋" w:eastAsia="仿宋" w:hAnsi="仿宋"/>
          <w:noProof/>
          <w:sz w:val="28"/>
          <w:szCs w:val="28"/>
        </w:rPr>
      </w:pPr>
      <w:hyperlink w:anchor="_Toc149662346" w:history="1">
        <w:r w:rsidR="00AA5D90" w:rsidRPr="00AA5D90">
          <w:rPr>
            <w:rFonts w:ascii="仿宋" w:eastAsia="仿宋" w:hAnsi="仿宋"/>
            <w:noProof/>
            <w:sz w:val="28"/>
            <w:szCs w:val="28"/>
          </w:rPr>
          <w:t>《大学英语4》课程大纲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_Toc149662346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169</w:t>
        </w:r>
        <w:r w:rsidR="00AA5D90" w:rsidRPr="00AA5D90">
          <w:rPr>
            <w:rFonts w:ascii="仿宋" w:eastAsia="仿宋" w:hAnsi="仿宋"/>
            <w:noProof/>
            <w:webHidden/>
            <w:sz w:val="28"/>
            <w:szCs w:val="28"/>
          </w:rPr>
          <w:fldChar w:fldCharType="end"/>
        </w:r>
      </w:hyperlink>
    </w:p>
    <w:p w14:paraId="0FF40F71" w14:textId="0793D685" w:rsidR="00AA5D90" w:rsidRPr="00AA5D90" w:rsidRDefault="00000000">
      <w:pPr>
        <w:pStyle w:val="TOC1"/>
        <w:tabs>
          <w:tab w:val="right" w:leader="dot" w:pos="8777"/>
        </w:tabs>
        <w:rPr>
          <w:rFonts w:ascii="仿宋" w:eastAsia="仿宋" w:hAnsi="仿宋"/>
          <w:noProof/>
          <w:sz w:val="28"/>
          <w:szCs w:val="28"/>
        </w:rPr>
      </w:pPr>
      <w:hyperlink w:anchor="_Toc149662347" w:history="1">
        <w:r w:rsidR="00AA5D90" w:rsidRPr="00AA5D90">
          <w:rPr>
            <w:rFonts w:ascii="仿宋" w:eastAsia="仿宋" w:hAnsi="仿宋"/>
            <w:noProof/>
            <w:sz w:val="28"/>
            <w:szCs w:val="28"/>
          </w:rPr>
          <w:t>《大学体育》课程大纲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_Toc149662347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182</w:t>
        </w:r>
        <w:r w:rsidR="00AA5D90" w:rsidRPr="00AA5D90">
          <w:rPr>
            <w:rFonts w:ascii="仿宋" w:eastAsia="仿宋" w:hAnsi="仿宋"/>
            <w:noProof/>
            <w:webHidden/>
            <w:sz w:val="28"/>
            <w:szCs w:val="28"/>
          </w:rPr>
          <w:fldChar w:fldCharType="end"/>
        </w:r>
      </w:hyperlink>
    </w:p>
    <w:p w14:paraId="2101123B" w14:textId="0DAF7AEF" w:rsidR="00AA5D90" w:rsidRPr="00AA5D90" w:rsidRDefault="00000000">
      <w:pPr>
        <w:pStyle w:val="TOC1"/>
        <w:tabs>
          <w:tab w:val="right" w:leader="dot" w:pos="8777"/>
        </w:tabs>
        <w:rPr>
          <w:rFonts w:ascii="仿宋" w:eastAsia="仿宋" w:hAnsi="仿宋"/>
          <w:noProof/>
          <w:sz w:val="28"/>
          <w:szCs w:val="28"/>
        </w:rPr>
      </w:pPr>
      <w:hyperlink w:anchor="_Toc149662348" w:history="1">
        <w:r w:rsidR="00AA5D90" w:rsidRPr="00AA5D90">
          <w:rPr>
            <w:rFonts w:ascii="仿宋" w:eastAsia="仿宋" w:hAnsi="仿宋"/>
            <w:noProof/>
            <w:sz w:val="28"/>
            <w:szCs w:val="28"/>
          </w:rPr>
          <w:t>《大学生体质健康标准》说明</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_Toc149662348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555</w:t>
        </w:r>
        <w:r w:rsidR="00AA5D90" w:rsidRPr="00AA5D90">
          <w:rPr>
            <w:rFonts w:ascii="仿宋" w:eastAsia="仿宋" w:hAnsi="仿宋"/>
            <w:noProof/>
            <w:webHidden/>
            <w:sz w:val="28"/>
            <w:szCs w:val="28"/>
          </w:rPr>
          <w:fldChar w:fldCharType="end"/>
        </w:r>
      </w:hyperlink>
    </w:p>
    <w:p w14:paraId="41253368" w14:textId="01377901" w:rsidR="00AA5D90" w:rsidRPr="00AA5D90" w:rsidRDefault="00000000">
      <w:pPr>
        <w:pStyle w:val="TOC1"/>
        <w:tabs>
          <w:tab w:val="right" w:leader="dot" w:pos="8777"/>
        </w:tabs>
        <w:rPr>
          <w:rFonts w:ascii="仿宋" w:eastAsia="仿宋" w:hAnsi="仿宋"/>
          <w:noProof/>
          <w:sz w:val="28"/>
          <w:szCs w:val="28"/>
        </w:rPr>
      </w:pPr>
      <w:hyperlink w:anchor="_Toc149662349" w:history="1">
        <w:r w:rsidR="00AA5D90" w:rsidRPr="00AA5D90">
          <w:rPr>
            <w:rFonts w:ascii="仿宋" w:eastAsia="仿宋" w:hAnsi="仿宋"/>
            <w:noProof/>
            <w:sz w:val="28"/>
            <w:szCs w:val="28"/>
          </w:rPr>
          <w:t>《计算思维与信息技术》课程大纲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_Toc149662349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567</w:t>
        </w:r>
        <w:r w:rsidR="00AA5D90" w:rsidRPr="00AA5D90">
          <w:rPr>
            <w:rFonts w:ascii="仿宋" w:eastAsia="仿宋" w:hAnsi="仿宋"/>
            <w:noProof/>
            <w:webHidden/>
            <w:sz w:val="28"/>
            <w:szCs w:val="28"/>
          </w:rPr>
          <w:fldChar w:fldCharType="end"/>
        </w:r>
      </w:hyperlink>
    </w:p>
    <w:p w14:paraId="4B31EBAE" w14:textId="03C9241F" w:rsidR="00AA5D90" w:rsidRPr="00AA5D90" w:rsidRDefault="00000000">
      <w:pPr>
        <w:pStyle w:val="TOC1"/>
        <w:tabs>
          <w:tab w:val="right" w:leader="dot" w:pos="8777"/>
        </w:tabs>
        <w:rPr>
          <w:rFonts w:ascii="仿宋" w:eastAsia="仿宋" w:hAnsi="仿宋"/>
          <w:noProof/>
          <w:sz w:val="28"/>
          <w:szCs w:val="28"/>
        </w:rPr>
      </w:pPr>
      <w:hyperlink w:anchor="_Toc149662350" w:history="1">
        <w:r w:rsidR="00AA5D90" w:rsidRPr="00AA5D90">
          <w:rPr>
            <w:rFonts w:ascii="仿宋" w:eastAsia="仿宋" w:hAnsi="仿宋"/>
            <w:noProof/>
            <w:sz w:val="28"/>
            <w:szCs w:val="28"/>
          </w:rPr>
          <w:t>《大学生职业指导与创新创业教育》课程大纲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_Toc149662350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581</w:t>
        </w:r>
        <w:r w:rsidR="00AA5D90" w:rsidRPr="00AA5D90">
          <w:rPr>
            <w:rFonts w:ascii="仿宋" w:eastAsia="仿宋" w:hAnsi="仿宋"/>
            <w:noProof/>
            <w:webHidden/>
            <w:sz w:val="28"/>
            <w:szCs w:val="28"/>
          </w:rPr>
          <w:fldChar w:fldCharType="end"/>
        </w:r>
      </w:hyperlink>
    </w:p>
    <w:p w14:paraId="552B5650" w14:textId="5ABF0109" w:rsidR="00AA5D90" w:rsidRPr="00AA5D90" w:rsidRDefault="00000000">
      <w:pPr>
        <w:pStyle w:val="TOC1"/>
        <w:tabs>
          <w:tab w:val="right" w:leader="dot" w:pos="8777"/>
        </w:tabs>
        <w:rPr>
          <w:rFonts w:ascii="仿宋" w:eastAsia="仿宋" w:hAnsi="仿宋"/>
          <w:noProof/>
          <w:sz w:val="28"/>
          <w:szCs w:val="28"/>
        </w:rPr>
      </w:pPr>
      <w:hyperlink w:anchor="_Toc149662351" w:history="1">
        <w:r w:rsidR="00AA5D90" w:rsidRPr="00AA5D90">
          <w:rPr>
            <w:rFonts w:ascii="仿宋" w:eastAsia="仿宋" w:hAnsi="仿宋"/>
            <w:noProof/>
            <w:sz w:val="28"/>
            <w:szCs w:val="28"/>
          </w:rPr>
          <w:t>《大学生心理健康教育》课程大纲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_Toc149662351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601</w:t>
        </w:r>
        <w:r w:rsidR="00AA5D90" w:rsidRPr="00AA5D90">
          <w:rPr>
            <w:rFonts w:ascii="仿宋" w:eastAsia="仿宋" w:hAnsi="仿宋"/>
            <w:noProof/>
            <w:webHidden/>
            <w:sz w:val="28"/>
            <w:szCs w:val="28"/>
          </w:rPr>
          <w:fldChar w:fldCharType="end"/>
        </w:r>
      </w:hyperlink>
    </w:p>
    <w:p w14:paraId="7A9B2EAC" w14:textId="0D74D45D" w:rsidR="00AA5D90" w:rsidRPr="00AA5D90" w:rsidRDefault="00000000">
      <w:pPr>
        <w:pStyle w:val="TOC1"/>
        <w:tabs>
          <w:tab w:val="right" w:leader="dot" w:pos="8777"/>
        </w:tabs>
        <w:rPr>
          <w:rFonts w:ascii="仿宋" w:eastAsia="仿宋" w:hAnsi="仿宋"/>
          <w:noProof/>
          <w:sz w:val="28"/>
          <w:szCs w:val="28"/>
        </w:rPr>
      </w:pPr>
      <w:hyperlink w:anchor="_Toc149662352" w:history="1">
        <w:r w:rsidR="00AA5D90" w:rsidRPr="00AA5D90">
          <w:rPr>
            <w:rFonts w:ascii="仿宋" w:eastAsia="仿宋" w:hAnsi="仿宋"/>
            <w:noProof/>
            <w:sz w:val="28"/>
            <w:szCs w:val="28"/>
          </w:rPr>
          <w:t>《军事理论》（其他类）课程教学大纲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_Toc149662352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615</w:t>
        </w:r>
        <w:r w:rsidR="00AA5D90" w:rsidRPr="00AA5D90">
          <w:rPr>
            <w:rFonts w:ascii="仿宋" w:eastAsia="仿宋" w:hAnsi="仿宋"/>
            <w:noProof/>
            <w:webHidden/>
            <w:sz w:val="28"/>
            <w:szCs w:val="28"/>
          </w:rPr>
          <w:fldChar w:fldCharType="end"/>
        </w:r>
      </w:hyperlink>
    </w:p>
    <w:p w14:paraId="2E5A871A" w14:textId="67A16B13" w:rsidR="00AA5D90" w:rsidRPr="00AA5D90" w:rsidRDefault="00000000">
      <w:pPr>
        <w:pStyle w:val="TOC1"/>
        <w:tabs>
          <w:tab w:val="right" w:leader="dot" w:pos="8777"/>
        </w:tabs>
        <w:rPr>
          <w:rFonts w:ascii="仿宋" w:eastAsia="仿宋" w:hAnsi="仿宋"/>
          <w:noProof/>
          <w:sz w:val="28"/>
          <w:szCs w:val="28"/>
        </w:rPr>
      </w:pPr>
      <w:hyperlink w:anchor="_Toc149662353" w:history="1">
        <w:r w:rsidR="00AA5D90" w:rsidRPr="00AA5D90">
          <w:rPr>
            <w:rFonts w:ascii="仿宋" w:eastAsia="仿宋" w:hAnsi="仿宋"/>
            <w:noProof/>
            <w:sz w:val="28"/>
            <w:szCs w:val="28"/>
          </w:rPr>
          <w:t>《高等数学D1》课程大纲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_Toc149662353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623</w:t>
        </w:r>
        <w:r w:rsidR="00AA5D90" w:rsidRPr="00AA5D90">
          <w:rPr>
            <w:rFonts w:ascii="仿宋" w:eastAsia="仿宋" w:hAnsi="仿宋"/>
            <w:noProof/>
            <w:webHidden/>
            <w:sz w:val="28"/>
            <w:szCs w:val="28"/>
          </w:rPr>
          <w:fldChar w:fldCharType="end"/>
        </w:r>
      </w:hyperlink>
    </w:p>
    <w:p w14:paraId="61FDCBC8" w14:textId="278883B5" w:rsidR="00AA5D90" w:rsidRPr="00AA5D90" w:rsidRDefault="00000000">
      <w:pPr>
        <w:pStyle w:val="TOC1"/>
        <w:tabs>
          <w:tab w:val="right" w:leader="dot" w:pos="8777"/>
        </w:tabs>
        <w:rPr>
          <w:rFonts w:ascii="仿宋" w:eastAsia="仿宋" w:hAnsi="仿宋"/>
          <w:noProof/>
          <w:sz w:val="28"/>
          <w:szCs w:val="28"/>
        </w:rPr>
      </w:pPr>
      <w:hyperlink w:anchor="_Toc149662354" w:history="1">
        <w:r w:rsidR="00AA5D90" w:rsidRPr="00AA5D90">
          <w:rPr>
            <w:rFonts w:ascii="仿宋" w:eastAsia="仿宋" w:hAnsi="仿宋"/>
            <w:noProof/>
            <w:sz w:val="28"/>
            <w:szCs w:val="28"/>
          </w:rPr>
          <w:t>《无机化学》课程大纲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_Toc149662354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632</w:t>
        </w:r>
        <w:r w:rsidR="00AA5D90" w:rsidRPr="00AA5D90">
          <w:rPr>
            <w:rFonts w:ascii="仿宋" w:eastAsia="仿宋" w:hAnsi="仿宋"/>
            <w:noProof/>
            <w:webHidden/>
            <w:sz w:val="28"/>
            <w:szCs w:val="28"/>
          </w:rPr>
          <w:fldChar w:fldCharType="end"/>
        </w:r>
      </w:hyperlink>
    </w:p>
    <w:p w14:paraId="607FA19A" w14:textId="766575D2" w:rsidR="00AA5D90" w:rsidRPr="00AA5D90" w:rsidRDefault="00000000">
      <w:pPr>
        <w:pStyle w:val="TOC1"/>
        <w:tabs>
          <w:tab w:val="right" w:leader="dot" w:pos="8777"/>
        </w:tabs>
        <w:rPr>
          <w:rFonts w:ascii="仿宋" w:eastAsia="仿宋" w:hAnsi="仿宋"/>
          <w:noProof/>
          <w:sz w:val="28"/>
          <w:szCs w:val="28"/>
        </w:rPr>
      </w:pPr>
      <w:hyperlink w:anchor="_Toc149662355" w:history="1">
        <w:r w:rsidR="00AA5D90" w:rsidRPr="00AA5D90">
          <w:rPr>
            <w:rFonts w:ascii="仿宋" w:eastAsia="仿宋" w:hAnsi="仿宋"/>
            <w:noProof/>
            <w:sz w:val="28"/>
            <w:szCs w:val="28"/>
          </w:rPr>
          <w:t>《高等数学D2》课程大纲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_Toc149662355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645</w:t>
        </w:r>
        <w:r w:rsidR="00AA5D90" w:rsidRPr="00AA5D90">
          <w:rPr>
            <w:rFonts w:ascii="仿宋" w:eastAsia="仿宋" w:hAnsi="仿宋"/>
            <w:noProof/>
            <w:webHidden/>
            <w:sz w:val="28"/>
            <w:szCs w:val="28"/>
          </w:rPr>
          <w:fldChar w:fldCharType="end"/>
        </w:r>
      </w:hyperlink>
    </w:p>
    <w:p w14:paraId="1B678B02" w14:textId="3A947A5E" w:rsidR="00AA5D90" w:rsidRPr="00AA5D90" w:rsidRDefault="00000000">
      <w:pPr>
        <w:pStyle w:val="TOC1"/>
        <w:tabs>
          <w:tab w:val="right" w:leader="dot" w:pos="8777"/>
        </w:tabs>
        <w:rPr>
          <w:rFonts w:ascii="仿宋" w:eastAsia="仿宋" w:hAnsi="仿宋"/>
          <w:noProof/>
          <w:sz w:val="28"/>
          <w:szCs w:val="28"/>
        </w:rPr>
      </w:pPr>
      <w:hyperlink w:anchor="_Toc149662356" w:history="1">
        <w:r w:rsidR="00AA5D90" w:rsidRPr="00AA5D90">
          <w:rPr>
            <w:rFonts w:ascii="仿宋" w:eastAsia="仿宋" w:hAnsi="仿宋"/>
            <w:noProof/>
            <w:sz w:val="28"/>
            <w:szCs w:val="28"/>
          </w:rPr>
          <w:t>《大学物理B》课程大纲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_Toc149662356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654</w:t>
        </w:r>
        <w:r w:rsidR="00AA5D90" w:rsidRPr="00AA5D90">
          <w:rPr>
            <w:rFonts w:ascii="仿宋" w:eastAsia="仿宋" w:hAnsi="仿宋"/>
            <w:noProof/>
            <w:webHidden/>
            <w:sz w:val="28"/>
            <w:szCs w:val="28"/>
          </w:rPr>
          <w:fldChar w:fldCharType="end"/>
        </w:r>
      </w:hyperlink>
    </w:p>
    <w:p w14:paraId="6E4C7B14" w14:textId="1612B8F9" w:rsidR="00AA5D90" w:rsidRPr="00AA5D90" w:rsidRDefault="00000000">
      <w:pPr>
        <w:pStyle w:val="TOC1"/>
        <w:tabs>
          <w:tab w:val="right" w:leader="dot" w:pos="8777"/>
        </w:tabs>
        <w:rPr>
          <w:rFonts w:ascii="仿宋" w:eastAsia="仿宋" w:hAnsi="仿宋"/>
          <w:noProof/>
          <w:sz w:val="28"/>
          <w:szCs w:val="28"/>
        </w:rPr>
      </w:pPr>
      <w:hyperlink w:anchor="_Toc149662357" w:history="1">
        <w:r w:rsidR="00AA5D90" w:rsidRPr="00AA5D90">
          <w:rPr>
            <w:rFonts w:ascii="仿宋" w:eastAsia="仿宋" w:hAnsi="仿宋"/>
            <w:noProof/>
            <w:sz w:val="28"/>
            <w:szCs w:val="28"/>
          </w:rPr>
          <w:t>《分析化学》课程大纲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_Toc149662357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664</w:t>
        </w:r>
        <w:r w:rsidR="00AA5D90" w:rsidRPr="00AA5D90">
          <w:rPr>
            <w:rFonts w:ascii="仿宋" w:eastAsia="仿宋" w:hAnsi="仿宋"/>
            <w:noProof/>
            <w:webHidden/>
            <w:sz w:val="28"/>
            <w:szCs w:val="28"/>
          </w:rPr>
          <w:fldChar w:fldCharType="end"/>
        </w:r>
      </w:hyperlink>
    </w:p>
    <w:p w14:paraId="071AA6AE" w14:textId="59241CCD" w:rsidR="00AA5D90" w:rsidRPr="00AA5D90" w:rsidRDefault="00000000">
      <w:pPr>
        <w:pStyle w:val="TOC1"/>
        <w:tabs>
          <w:tab w:val="right" w:leader="dot" w:pos="8777"/>
        </w:tabs>
        <w:rPr>
          <w:rFonts w:ascii="仿宋" w:eastAsia="仿宋" w:hAnsi="仿宋"/>
          <w:noProof/>
          <w:sz w:val="28"/>
          <w:szCs w:val="28"/>
        </w:rPr>
      </w:pPr>
      <w:hyperlink w:anchor="_Toc149662358" w:history="1">
        <w:r w:rsidR="00AA5D90" w:rsidRPr="00AA5D90">
          <w:rPr>
            <w:rFonts w:ascii="仿宋" w:eastAsia="仿宋" w:hAnsi="仿宋"/>
            <w:noProof/>
            <w:sz w:val="28"/>
            <w:szCs w:val="28"/>
          </w:rPr>
          <w:t>《概率论与数理统计C》课程大纲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_Toc149662358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681</w:t>
        </w:r>
        <w:r w:rsidR="00AA5D90" w:rsidRPr="00AA5D90">
          <w:rPr>
            <w:rFonts w:ascii="仿宋" w:eastAsia="仿宋" w:hAnsi="仿宋"/>
            <w:noProof/>
            <w:webHidden/>
            <w:sz w:val="28"/>
            <w:szCs w:val="28"/>
          </w:rPr>
          <w:fldChar w:fldCharType="end"/>
        </w:r>
      </w:hyperlink>
    </w:p>
    <w:p w14:paraId="247910CB" w14:textId="00395FB7" w:rsidR="00AA5D90" w:rsidRPr="00AA5D90" w:rsidRDefault="00000000">
      <w:pPr>
        <w:pStyle w:val="TOC1"/>
        <w:tabs>
          <w:tab w:val="right" w:leader="dot" w:pos="8777"/>
        </w:tabs>
        <w:rPr>
          <w:rFonts w:ascii="仿宋" w:eastAsia="仿宋" w:hAnsi="仿宋"/>
          <w:noProof/>
          <w:sz w:val="28"/>
          <w:szCs w:val="28"/>
        </w:rPr>
      </w:pPr>
      <w:hyperlink w:anchor="_Toc149662359" w:history="1">
        <w:r w:rsidR="00AA5D90" w:rsidRPr="00AA5D90">
          <w:rPr>
            <w:rFonts w:ascii="仿宋" w:eastAsia="仿宋" w:hAnsi="仿宋"/>
            <w:noProof/>
            <w:sz w:val="28"/>
            <w:szCs w:val="28"/>
          </w:rPr>
          <w:t>《有机化学》课程大纲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_Toc149662359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693</w:t>
        </w:r>
        <w:r w:rsidR="00AA5D90" w:rsidRPr="00AA5D90">
          <w:rPr>
            <w:rFonts w:ascii="仿宋" w:eastAsia="仿宋" w:hAnsi="仿宋"/>
            <w:noProof/>
            <w:webHidden/>
            <w:sz w:val="28"/>
            <w:szCs w:val="28"/>
          </w:rPr>
          <w:fldChar w:fldCharType="end"/>
        </w:r>
      </w:hyperlink>
    </w:p>
    <w:p w14:paraId="5385FC55" w14:textId="563CE64C" w:rsidR="00AA5D90" w:rsidRPr="00AA5D90" w:rsidRDefault="00000000">
      <w:pPr>
        <w:pStyle w:val="TOC1"/>
        <w:tabs>
          <w:tab w:val="right" w:leader="dot" w:pos="8777"/>
        </w:tabs>
        <w:rPr>
          <w:rFonts w:ascii="仿宋" w:eastAsia="仿宋" w:hAnsi="仿宋"/>
          <w:noProof/>
          <w:sz w:val="28"/>
          <w:szCs w:val="28"/>
        </w:rPr>
      </w:pPr>
      <w:hyperlink w:anchor="_Toc149662360" w:history="1">
        <w:r w:rsidR="00AA5D90" w:rsidRPr="00AA5D90">
          <w:rPr>
            <w:rFonts w:ascii="仿宋" w:eastAsia="仿宋" w:hAnsi="仿宋"/>
            <w:noProof/>
            <w:sz w:val="28"/>
            <w:szCs w:val="28"/>
          </w:rPr>
          <w:t>《物理化学》课程大纲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_Toc149662360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709</w:t>
        </w:r>
        <w:r w:rsidR="00AA5D90" w:rsidRPr="00AA5D90">
          <w:rPr>
            <w:rFonts w:ascii="仿宋" w:eastAsia="仿宋" w:hAnsi="仿宋"/>
            <w:noProof/>
            <w:webHidden/>
            <w:sz w:val="28"/>
            <w:szCs w:val="28"/>
          </w:rPr>
          <w:fldChar w:fldCharType="end"/>
        </w:r>
      </w:hyperlink>
    </w:p>
    <w:p w14:paraId="562E38BF" w14:textId="53BAF3E0" w:rsidR="00AA5D90" w:rsidRPr="00AA5D90" w:rsidRDefault="00000000">
      <w:pPr>
        <w:pStyle w:val="TOC1"/>
        <w:tabs>
          <w:tab w:val="right" w:leader="dot" w:pos="8777"/>
        </w:tabs>
        <w:rPr>
          <w:rFonts w:ascii="仿宋" w:eastAsia="仿宋" w:hAnsi="仿宋"/>
          <w:noProof/>
          <w:sz w:val="28"/>
          <w:szCs w:val="28"/>
        </w:rPr>
      </w:pPr>
      <w:hyperlink w:anchor="_Toc149662361" w:history="1">
        <w:r w:rsidR="00AA5D90" w:rsidRPr="00AA5D90">
          <w:rPr>
            <w:rFonts w:ascii="仿宋" w:eastAsia="仿宋" w:hAnsi="仿宋"/>
            <w:noProof/>
            <w:sz w:val="28"/>
            <w:szCs w:val="28"/>
          </w:rPr>
          <w:t>《生物化学与分子生物学》课程大纲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_Toc149662361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727</w:t>
        </w:r>
        <w:r w:rsidR="00AA5D90" w:rsidRPr="00AA5D90">
          <w:rPr>
            <w:rFonts w:ascii="仿宋" w:eastAsia="仿宋" w:hAnsi="仿宋"/>
            <w:noProof/>
            <w:webHidden/>
            <w:sz w:val="28"/>
            <w:szCs w:val="28"/>
          </w:rPr>
          <w:fldChar w:fldCharType="end"/>
        </w:r>
      </w:hyperlink>
    </w:p>
    <w:p w14:paraId="4643D87E" w14:textId="7256935E" w:rsidR="00AA5D90" w:rsidRPr="00AA5D90" w:rsidRDefault="00000000">
      <w:pPr>
        <w:pStyle w:val="TOC1"/>
        <w:tabs>
          <w:tab w:val="right" w:leader="dot" w:pos="8777"/>
        </w:tabs>
        <w:rPr>
          <w:rFonts w:ascii="仿宋" w:eastAsia="仿宋" w:hAnsi="仿宋"/>
          <w:noProof/>
          <w:sz w:val="28"/>
          <w:szCs w:val="28"/>
        </w:rPr>
      </w:pPr>
      <w:hyperlink w:anchor="_Toc149662362" w:history="1">
        <w:r w:rsidR="00AA5D90" w:rsidRPr="00AA5D90">
          <w:rPr>
            <w:rFonts w:ascii="仿宋" w:eastAsia="仿宋" w:hAnsi="仿宋"/>
            <w:noProof/>
            <w:sz w:val="28"/>
            <w:szCs w:val="28"/>
          </w:rPr>
          <w:t>《微生物与免疫学》课程大纲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_Toc149662362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745</w:t>
        </w:r>
        <w:r w:rsidR="00AA5D90" w:rsidRPr="00AA5D90">
          <w:rPr>
            <w:rFonts w:ascii="仿宋" w:eastAsia="仿宋" w:hAnsi="仿宋"/>
            <w:noProof/>
            <w:webHidden/>
            <w:sz w:val="28"/>
            <w:szCs w:val="28"/>
          </w:rPr>
          <w:fldChar w:fldCharType="end"/>
        </w:r>
      </w:hyperlink>
    </w:p>
    <w:p w14:paraId="33D54333" w14:textId="57CF6AC4" w:rsidR="00AA5D90" w:rsidRPr="00AA5D90" w:rsidRDefault="00000000">
      <w:pPr>
        <w:pStyle w:val="TOC1"/>
        <w:tabs>
          <w:tab w:val="right" w:leader="dot" w:pos="8777"/>
        </w:tabs>
        <w:rPr>
          <w:rFonts w:ascii="仿宋" w:eastAsia="仿宋" w:hAnsi="仿宋"/>
          <w:noProof/>
          <w:sz w:val="28"/>
          <w:szCs w:val="28"/>
        </w:rPr>
      </w:pPr>
      <w:hyperlink w:anchor="_Toc149662363" w:history="1">
        <w:r w:rsidR="00AA5D90" w:rsidRPr="00AA5D90">
          <w:rPr>
            <w:rFonts w:ascii="仿宋" w:eastAsia="仿宋" w:hAnsi="仿宋"/>
            <w:noProof/>
            <w:sz w:val="28"/>
            <w:szCs w:val="28"/>
          </w:rPr>
          <w:t>《人体解剖生理学》课程大纲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_Toc149662363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757</w:t>
        </w:r>
        <w:r w:rsidR="00AA5D90" w:rsidRPr="00AA5D90">
          <w:rPr>
            <w:rFonts w:ascii="仿宋" w:eastAsia="仿宋" w:hAnsi="仿宋"/>
            <w:noProof/>
            <w:webHidden/>
            <w:sz w:val="28"/>
            <w:szCs w:val="28"/>
          </w:rPr>
          <w:fldChar w:fldCharType="end"/>
        </w:r>
      </w:hyperlink>
    </w:p>
    <w:p w14:paraId="177FC4CF" w14:textId="6AABFBFD" w:rsidR="00AA5D90" w:rsidRPr="00AA5D90" w:rsidRDefault="00000000">
      <w:pPr>
        <w:pStyle w:val="TOC1"/>
        <w:tabs>
          <w:tab w:val="right" w:leader="dot" w:pos="8777"/>
        </w:tabs>
        <w:rPr>
          <w:rFonts w:ascii="仿宋" w:eastAsia="仿宋" w:hAnsi="仿宋"/>
          <w:noProof/>
          <w:sz w:val="28"/>
          <w:szCs w:val="28"/>
        </w:rPr>
      </w:pPr>
      <w:hyperlink w:anchor="_Toc149662364" w:history="1">
        <w:r w:rsidR="00AA5D90" w:rsidRPr="00AA5D90">
          <w:rPr>
            <w:rFonts w:ascii="仿宋" w:eastAsia="仿宋" w:hAnsi="仿宋"/>
            <w:noProof/>
            <w:sz w:val="28"/>
            <w:szCs w:val="28"/>
          </w:rPr>
          <w:t>《药物化学》课程大纲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_Toc149662364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774</w:t>
        </w:r>
        <w:r w:rsidR="00AA5D90" w:rsidRPr="00AA5D90">
          <w:rPr>
            <w:rFonts w:ascii="仿宋" w:eastAsia="仿宋" w:hAnsi="仿宋"/>
            <w:noProof/>
            <w:webHidden/>
            <w:sz w:val="28"/>
            <w:szCs w:val="28"/>
          </w:rPr>
          <w:fldChar w:fldCharType="end"/>
        </w:r>
      </w:hyperlink>
    </w:p>
    <w:p w14:paraId="1BAE0567" w14:textId="06FCDDBB" w:rsidR="00AA5D90" w:rsidRPr="00AA5D90" w:rsidRDefault="00000000">
      <w:pPr>
        <w:pStyle w:val="TOC1"/>
        <w:tabs>
          <w:tab w:val="right" w:leader="dot" w:pos="8777"/>
        </w:tabs>
        <w:rPr>
          <w:rFonts w:ascii="仿宋" w:eastAsia="仿宋" w:hAnsi="仿宋"/>
          <w:noProof/>
          <w:sz w:val="28"/>
          <w:szCs w:val="28"/>
        </w:rPr>
      </w:pPr>
      <w:hyperlink w:anchor="_Toc149662365" w:history="1">
        <w:r w:rsidR="00AA5D90" w:rsidRPr="00AA5D90">
          <w:rPr>
            <w:rFonts w:ascii="仿宋" w:eastAsia="仿宋" w:hAnsi="仿宋"/>
            <w:noProof/>
            <w:sz w:val="28"/>
            <w:szCs w:val="28"/>
          </w:rPr>
          <w:t>《药理学》课程大纲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_Toc149662365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797</w:t>
        </w:r>
        <w:r w:rsidR="00AA5D90" w:rsidRPr="00AA5D90">
          <w:rPr>
            <w:rFonts w:ascii="仿宋" w:eastAsia="仿宋" w:hAnsi="仿宋"/>
            <w:noProof/>
            <w:webHidden/>
            <w:sz w:val="28"/>
            <w:szCs w:val="28"/>
          </w:rPr>
          <w:fldChar w:fldCharType="end"/>
        </w:r>
      </w:hyperlink>
    </w:p>
    <w:p w14:paraId="7E120FD7" w14:textId="15047151" w:rsidR="00AA5D90" w:rsidRPr="00AA5D90" w:rsidRDefault="00000000">
      <w:pPr>
        <w:pStyle w:val="TOC1"/>
        <w:tabs>
          <w:tab w:val="right" w:leader="dot" w:pos="8777"/>
        </w:tabs>
        <w:rPr>
          <w:rFonts w:ascii="仿宋" w:eastAsia="仿宋" w:hAnsi="仿宋"/>
          <w:noProof/>
          <w:sz w:val="28"/>
          <w:szCs w:val="28"/>
        </w:rPr>
      </w:pPr>
      <w:hyperlink w:anchor="_Toc149662366" w:history="1">
        <w:r w:rsidR="00AA5D90" w:rsidRPr="00AA5D90">
          <w:rPr>
            <w:rFonts w:ascii="仿宋" w:eastAsia="仿宋" w:hAnsi="仿宋"/>
            <w:noProof/>
            <w:sz w:val="28"/>
            <w:szCs w:val="28"/>
          </w:rPr>
          <w:t>《药剂学》课程大纲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_Toc149662366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818</w:t>
        </w:r>
        <w:r w:rsidR="00AA5D90" w:rsidRPr="00AA5D90">
          <w:rPr>
            <w:rFonts w:ascii="仿宋" w:eastAsia="仿宋" w:hAnsi="仿宋"/>
            <w:noProof/>
            <w:webHidden/>
            <w:sz w:val="28"/>
            <w:szCs w:val="28"/>
          </w:rPr>
          <w:fldChar w:fldCharType="end"/>
        </w:r>
      </w:hyperlink>
    </w:p>
    <w:p w14:paraId="15F699A1" w14:textId="3B97D2EF" w:rsidR="00AA5D90" w:rsidRPr="00AA5D90" w:rsidRDefault="00000000">
      <w:pPr>
        <w:pStyle w:val="TOC1"/>
        <w:tabs>
          <w:tab w:val="right" w:leader="dot" w:pos="8777"/>
        </w:tabs>
        <w:rPr>
          <w:rFonts w:ascii="仿宋" w:eastAsia="仿宋" w:hAnsi="仿宋"/>
          <w:noProof/>
          <w:sz w:val="28"/>
          <w:szCs w:val="28"/>
        </w:rPr>
      </w:pPr>
      <w:hyperlink w:anchor="_Toc149662367" w:history="1">
        <w:r w:rsidR="00AA5D90" w:rsidRPr="00AA5D90">
          <w:rPr>
            <w:rFonts w:ascii="仿宋" w:eastAsia="仿宋" w:hAnsi="仿宋"/>
            <w:noProof/>
            <w:sz w:val="28"/>
            <w:szCs w:val="28"/>
          </w:rPr>
          <w:t>《体内药物分析》课程教学大纲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_Toc149662367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832</w:t>
        </w:r>
        <w:r w:rsidR="00AA5D90" w:rsidRPr="00AA5D90">
          <w:rPr>
            <w:rFonts w:ascii="仿宋" w:eastAsia="仿宋" w:hAnsi="仿宋"/>
            <w:noProof/>
            <w:webHidden/>
            <w:sz w:val="28"/>
            <w:szCs w:val="28"/>
          </w:rPr>
          <w:fldChar w:fldCharType="end"/>
        </w:r>
      </w:hyperlink>
    </w:p>
    <w:p w14:paraId="307065F8" w14:textId="4159C5EF" w:rsidR="00AA5D90" w:rsidRPr="00AA5D90" w:rsidRDefault="00000000">
      <w:pPr>
        <w:pStyle w:val="TOC1"/>
        <w:tabs>
          <w:tab w:val="right" w:leader="dot" w:pos="8777"/>
        </w:tabs>
        <w:rPr>
          <w:rFonts w:ascii="仿宋" w:eastAsia="仿宋" w:hAnsi="仿宋"/>
          <w:noProof/>
          <w:sz w:val="28"/>
          <w:szCs w:val="28"/>
        </w:rPr>
      </w:pPr>
      <w:hyperlink w:anchor="_Toc149662368" w:history="1">
        <w:r w:rsidR="00AA5D90" w:rsidRPr="00AA5D90">
          <w:rPr>
            <w:rFonts w:ascii="仿宋" w:eastAsia="仿宋" w:hAnsi="仿宋"/>
            <w:noProof/>
            <w:sz w:val="28"/>
            <w:szCs w:val="28"/>
          </w:rPr>
          <w:t>《药物色谱分析》课程大纲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_Toc149662368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843</w:t>
        </w:r>
        <w:r w:rsidR="00AA5D90" w:rsidRPr="00AA5D90">
          <w:rPr>
            <w:rFonts w:ascii="仿宋" w:eastAsia="仿宋" w:hAnsi="仿宋"/>
            <w:noProof/>
            <w:webHidden/>
            <w:sz w:val="28"/>
            <w:szCs w:val="28"/>
          </w:rPr>
          <w:fldChar w:fldCharType="end"/>
        </w:r>
      </w:hyperlink>
    </w:p>
    <w:p w14:paraId="6304A293" w14:textId="44254FA4" w:rsidR="00AA5D90" w:rsidRPr="00AA5D90" w:rsidRDefault="00000000">
      <w:pPr>
        <w:pStyle w:val="TOC1"/>
        <w:tabs>
          <w:tab w:val="right" w:leader="dot" w:pos="8777"/>
        </w:tabs>
        <w:rPr>
          <w:rFonts w:ascii="仿宋" w:eastAsia="仿宋" w:hAnsi="仿宋"/>
          <w:noProof/>
          <w:sz w:val="28"/>
          <w:szCs w:val="28"/>
        </w:rPr>
      </w:pPr>
      <w:hyperlink w:anchor="_Toc149662369" w:history="1">
        <w:r w:rsidR="00AA5D90" w:rsidRPr="00AA5D90">
          <w:rPr>
            <w:rFonts w:ascii="仿宋" w:eastAsia="仿宋" w:hAnsi="仿宋"/>
            <w:noProof/>
            <w:sz w:val="28"/>
            <w:szCs w:val="28"/>
          </w:rPr>
          <w:t>《药物光谱分</w:t>
        </w:r>
        <w:r w:rsidR="00AA5D90" w:rsidRPr="00AA5D90">
          <w:rPr>
            <w:rFonts w:ascii="仿宋" w:eastAsia="仿宋" w:hAnsi="仿宋"/>
            <w:noProof/>
            <w:sz w:val="28"/>
            <w:szCs w:val="28"/>
          </w:rPr>
          <w:t>析</w:t>
        </w:r>
        <w:r w:rsidR="00AA5D90" w:rsidRPr="00AA5D90">
          <w:rPr>
            <w:rFonts w:ascii="仿宋" w:eastAsia="仿宋" w:hAnsi="仿宋"/>
            <w:noProof/>
            <w:sz w:val="28"/>
            <w:szCs w:val="28"/>
          </w:rPr>
          <w:t>》课程大纲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_Toc149662369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850</w:t>
        </w:r>
        <w:r w:rsidR="00AA5D90" w:rsidRPr="00AA5D90">
          <w:rPr>
            <w:rFonts w:ascii="仿宋" w:eastAsia="仿宋" w:hAnsi="仿宋"/>
            <w:noProof/>
            <w:webHidden/>
            <w:sz w:val="28"/>
            <w:szCs w:val="28"/>
          </w:rPr>
          <w:fldChar w:fldCharType="end"/>
        </w:r>
      </w:hyperlink>
    </w:p>
    <w:p w14:paraId="43DDC62E" w14:textId="013CD4AC" w:rsidR="00AA5D90" w:rsidRPr="00AA5D90" w:rsidRDefault="00000000">
      <w:pPr>
        <w:pStyle w:val="TOC1"/>
        <w:tabs>
          <w:tab w:val="right" w:leader="dot" w:pos="8777"/>
        </w:tabs>
        <w:rPr>
          <w:rFonts w:ascii="仿宋" w:eastAsia="仿宋" w:hAnsi="仿宋"/>
          <w:noProof/>
          <w:sz w:val="28"/>
          <w:szCs w:val="28"/>
        </w:rPr>
      </w:pPr>
      <w:hyperlink w:anchor="_Toc149662370" w:history="1">
        <w:r w:rsidR="00AA5D90" w:rsidRPr="00AA5D90">
          <w:rPr>
            <w:rFonts w:ascii="仿宋" w:eastAsia="仿宋" w:hAnsi="仿宋"/>
            <w:noProof/>
            <w:sz w:val="28"/>
            <w:szCs w:val="28"/>
          </w:rPr>
          <w:t>《药品开发指导原则》课程大纲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_Toc149662370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850</w:t>
        </w:r>
        <w:r w:rsidR="00AA5D90" w:rsidRPr="00AA5D90">
          <w:rPr>
            <w:rFonts w:ascii="仿宋" w:eastAsia="仿宋" w:hAnsi="仿宋"/>
            <w:noProof/>
            <w:webHidden/>
            <w:sz w:val="28"/>
            <w:szCs w:val="28"/>
          </w:rPr>
          <w:fldChar w:fldCharType="end"/>
        </w:r>
      </w:hyperlink>
    </w:p>
    <w:p w14:paraId="2E08B851" w14:textId="399C2CBC" w:rsidR="00AA5D90" w:rsidRPr="00AA5D90" w:rsidRDefault="00000000">
      <w:pPr>
        <w:pStyle w:val="TOC1"/>
        <w:tabs>
          <w:tab w:val="right" w:leader="dot" w:pos="8777"/>
        </w:tabs>
        <w:rPr>
          <w:rFonts w:ascii="仿宋" w:eastAsia="仿宋" w:hAnsi="仿宋"/>
          <w:noProof/>
          <w:sz w:val="28"/>
          <w:szCs w:val="28"/>
        </w:rPr>
      </w:pPr>
      <w:hyperlink w:anchor="_Toc149662371" w:history="1">
        <w:r w:rsidR="00AA5D90" w:rsidRPr="00AA5D90">
          <w:rPr>
            <w:rFonts w:ascii="仿宋" w:eastAsia="仿宋" w:hAnsi="仿宋"/>
            <w:noProof/>
            <w:sz w:val="28"/>
            <w:szCs w:val="28"/>
          </w:rPr>
          <w:t>《生物药物分析》课程教</w:t>
        </w:r>
        <w:r w:rsidR="00AA5D90" w:rsidRPr="00AA5D90">
          <w:rPr>
            <w:rFonts w:ascii="仿宋" w:eastAsia="仿宋" w:hAnsi="仿宋"/>
            <w:noProof/>
            <w:sz w:val="28"/>
            <w:szCs w:val="28"/>
          </w:rPr>
          <w:t>学</w:t>
        </w:r>
        <w:r w:rsidR="00AA5D90" w:rsidRPr="00AA5D90">
          <w:rPr>
            <w:rFonts w:ascii="仿宋" w:eastAsia="仿宋" w:hAnsi="仿宋"/>
            <w:noProof/>
            <w:sz w:val="28"/>
            <w:szCs w:val="28"/>
          </w:rPr>
          <w:t>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_Toc149662371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866</w:t>
        </w:r>
        <w:r w:rsidR="00AA5D90" w:rsidRPr="00AA5D90">
          <w:rPr>
            <w:rFonts w:ascii="仿宋" w:eastAsia="仿宋" w:hAnsi="仿宋"/>
            <w:noProof/>
            <w:webHidden/>
            <w:sz w:val="28"/>
            <w:szCs w:val="28"/>
          </w:rPr>
          <w:fldChar w:fldCharType="end"/>
        </w:r>
      </w:hyperlink>
    </w:p>
    <w:p w14:paraId="1F93BA98" w14:textId="68F3FD25" w:rsidR="00AA5D90" w:rsidRPr="00AA5D90" w:rsidRDefault="00000000">
      <w:pPr>
        <w:pStyle w:val="TOC1"/>
        <w:tabs>
          <w:tab w:val="right" w:leader="dot" w:pos="8777"/>
        </w:tabs>
        <w:rPr>
          <w:rFonts w:ascii="仿宋" w:eastAsia="仿宋" w:hAnsi="仿宋"/>
          <w:noProof/>
          <w:sz w:val="28"/>
          <w:szCs w:val="28"/>
        </w:rPr>
      </w:pPr>
      <w:hyperlink w:anchor="_Toc149662372" w:history="1">
        <w:r w:rsidR="00AA5D90" w:rsidRPr="00AA5D90">
          <w:rPr>
            <w:rFonts w:ascii="仿宋" w:eastAsia="仿宋" w:hAnsi="仿宋"/>
            <w:noProof/>
            <w:sz w:val="28"/>
            <w:szCs w:val="28"/>
          </w:rPr>
          <w:t>《中药分</w:t>
        </w:r>
        <w:r w:rsidR="00AA5D90" w:rsidRPr="00AA5D90">
          <w:rPr>
            <w:rFonts w:ascii="仿宋" w:eastAsia="仿宋" w:hAnsi="仿宋"/>
            <w:noProof/>
            <w:sz w:val="28"/>
            <w:szCs w:val="28"/>
          </w:rPr>
          <w:t>析</w:t>
        </w:r>
        <w:r w:rsidR="00AA5D90" w:rsidRPr="00AA5D90">
          <w:rPr>
            <w:rFonts w:ascii="仿宋" w:eastAsia="仿宋" w:hAnsi="仿宋"/>
            <w:noProof/>
            <w:sz w:val="28"/>
            <w:szCs w:val="28"/>
          </w:rPr>
          <w:t>》课程大纲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_Toc149662372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866</w:t>
        </w:r>
        <w:r w:rsidR="00AA5D90" w:rsidRPr="00AA5D90">
          <w:rPr>
            <w:rFonts w:ascii="仿宋" w:eastAsia="仿宋" w:hAnsi="仿宋"/>
            <w:noProof/>
            <w:webHidden/>
            <w:sz w:val="28"/>
            <w:szCs w:val="28"/>
          </w:rPr>
          <w:fldChar w:fldCharType="end"/>
        </w:r>
      </w:hyperlink>
    </w:p>
    <w:p w14:paraId="016A116B" w14:textId="7D6BB4C8" w:rsidR="00AA5D90" w:rsidRPr="00AA5D90" w:rsidRDefault="00000000">
      <w:pPr>
        <w:pStyle w:val="TOC1"/>
        <w:tabs>
          <w:tab w:val="right" w:leader="dot" w:pos="8777"/>
        </w:tabs>
        <w:rPr>
          <w:rFonts w:ascii="仿宋" w:eastAsia="仿宋" w:hAnsi="仿宋"/>
          <w:noProof/>
          <w:sz w:val="28"/>
          <w:szCs w:val="28"/>
        </w:rPr>
      </w:pPr>
      <w:hyperlink w:anchor="_Toc149662373" w:history="1">
        <w:r w:rsidR="00AA5D90" w:rsidRPr="00AA5D90">
          <w:rPr>
            <w:rFonts w:ascii="仿宋" w:eastAsia="仿宋" w:hAnsi="仿宋"/>
            <w:noProof/>
            <w:sz w:val="28"/>
            <w:szCs w:val="28"/>
          </w:rPr>
          <w:t>《生物药剂学与药代动力学》课程大纲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_Toc149662373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876</w:t>
        </w:r>
        <w:r w:rsidR="00AA5D90" w:rsidRPr="00AA5D90">
          <w:rPr>
            <w:rFonts w:ascii="仿宋" w:eastAsia="仿宋" w:hAnsi="仿宋"/>
            <w:noProof/>
            <w:webHidden/>
            <w:sz w:val="28"/>
            <w:szCs w:val="28"/>
          </w:rPr>
          <w:fldChar w:fldCharType="end"/>
        </w:r>
      </w:hyperlink>
    </w:p>
    <w:p w14:paraId="5D2AF230" w14:textId="25B7A288" w:rsidR="00AA5D90" w:rsidRPr="00AA5D90" w:rsidRDefault="00000000">
      <w:pPr>
        <w:pStyle w:val="TOC1"/>
        <w:tabs>
          <w:tab w:val="right" w:leader="dot" w:pos="8777"/>
        </w:tabs>
        <w:rPr>
          <w:rFonts w:ascii="仿宋" w:eastAsia="仿宋" w:hAnsi="仿宋"/>
          <w:noProof/>
          <w:sz w:val="28"/>
          <w:szCs w:val="28"/>
        </w:rPr>
      </w:pPr>
      <w:hyperlink w:anchor="_Toc149662374" w:history="1">
        <w:r w:rsidR="00AA5D90" w:rsidRPr="00AA5D90">
          <w:rPr>
            <w:rFonts w:ascii="仿宋" w:eastAsia="仿宋" w:hAnsi="仿宋"/>
            <w:noProof/>
            <w:sz w:val="28"/>
            <w:szCs w:val="28"/>
          </w:rPr>
          <w:t>《药学统计学》课程大纲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_Toc149662374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903</w:t>
        </w:r>
        <w:r w:rsidR="00AA5D90" w:rsidRPr="00AA5D90">
          <w:rPr>
            <w:rFonts w:ascii="仿宋" w:eastAsia="仿宋" w:hAnsi="仿宋"/>
            <w:noProof/>
            <w:webHidden/>
            <w:sz w:val="28"/>
            <w:szCs w:val="28"/>
          </w:rPr>
          <w:fldChar w:fldCharType="end"/>
        </w:r>
      </w:hyperlink>
    </w:p>
    <w:p w14:paraId="5399FDBE" w14:textId="6E82B3CB" w:rsidR="00AA5D90" w:rsidRPr="00AA5D90" w:rsidRDefault="00000000">
      <w:pPr>
        <w:pStyle w:val="TOC1"/>
        <w:tabs>
          <w:tab w:val="right" w:leader="dot" w:pos="8777"/>
        </w:tabs>
        <w:rPr>
          <w:rFonts w:ascii="仿宋" w:eastAsia="仿宋" w:hAnsi="仿宋"/>
          <w:noProof/>
          <w:sz w:val="28"/>
          <w:szCs w:val="28"/>
        </w:rPr>
      </w:pPr>
      <w:hyperlink w:anchor="_Toc149662375" w:history="1">
        <w:r w:rsidR="00AA5D90" w:rsidRPr="00AA5D90">
          <w:rPr>
            <w:rFonts w:ascii="仿宋" w:eastAsia="仿宋" w:hAnsi="仿宋"/>
            <w:noProof/>
            <w:sz w:val="28"/>
            <w:szCs w:val="28"/>
          </w:rPr>
          <w:t>《药事管理学》课程大纲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_Toc149662375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919</w:t>
        </w:r>
        <w:r w:rsidR="00AA5D90" w:rsidRPr="00AA5D90">
          <w:rPr>
            <w:rFonts w:ascii="仿宋" w:eastAsia="仿宋" w:hAnsi="仿宋"/>
            <w:noProof/>
            <w:webHidden/>
            <w:sz w:val="28"/>
            <w:szCs w:val="28"/>
          </w:rPr>
          <w:fldChar w:fldCharType="end"/>
        </w:r>
      </w:hyperlink>
    </w:p>
    <w:p w14:paraId="55A85350" w14:textId="3BF20233" w:rsidR="00AA5D90" w:rsidRPr="00AA5D90" w:rsidRDefault="00000000">
      <w:pPr>
        <w:pStyle w:val="TOC1"/>
        <w:tabs>
          <w:tab w:val="right" w:leader="dot" w:pos="8777"/>
        </w:tabs>
        <w:rPr>
          <w:rFonts w:ascii="仿宋" w:eastAsia="仿宋" w:hAnsi="仿宋"/>
          <w:noProof/>
          <w:sz w:val="28"/>
          <w:szCs w:val="28"/>
        </w:rPr>
      </w:pPr>
      <w:hyperlink w:anchor="_Toc149662376" w:history="1">
        <w:r w:rsidR="00AA5D90" w:rsidRPr="00AA5D90">
          <w:rPr>
            <w:rFonts w:ascii="仿宋" w:eastAsia="仿宋" w:hAnsi="仿宋"/>
            <w:noProof/>
            <w:sz w:val="28"/>
            <w:szCs w:val="28"/>
          </w:rPr>
          <w:t>《药学专业英语》课程大纲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_Toc149662376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932</w:t>
        </w:r>
        <w:r w:rsidR="00AA5D90" w:rsidRPr="00AA5D90">
          <w:rPr>
            <w:rFonts w:ascii="仿宋" w:eastAsia="仿宋" w:hAnsi="仿宋"/>
            <w:noProof/>
            <w:webHidden/>
            <w:sz w:val="28"/>
            <w:szCs w:val="28"/>
          </w:rPr>
          <w:fldChar w:fldCharType="end"/>
        </w:r>
      </w:hyperlink>
    </w:p>
    <w:p w14:paraId="3591167B" w14:textId="3603683A" w:rsidR="00AA5D90" w:rsidRPr="00AA5D90" w:rsidRDefault="00000000">
      <w:pPr>
        <w:pStyle w:val="TOC1"/>
        <w:tabs>
          <w:tab w:val="right" w:leader="dot" w:pos="8777"/>
        </w:tabs>
        <w:rPr>
          <w:rFonts w:ascii="仿宋" w:eastAsia="仿宋" w:hAnsi="仿宋"/>
          <w:noProof/>
          <w:sz w:val="28"/>
          <w:szCs w:val="28"/>
        </w:rPr>
      </w:pPr>
      <w:hyperlink w:anchor="_Toc149662377" w:history="1">
        <w:r w:rsidR="00AA5D90" w:rsidRPr="00AA5D90">
          <w:rPr>
            <w:rFonts w:ascii="仿宋" w:eastAsia="仿宋" w:hAnsi="仿宋"/>
            <w:noProof/>
            <w:sz w:val="28"/>
            <w:szCs w:val="28"/>
          </w:rPr>
          <w:t>《药用高分子材料》课程大纲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_Toc149662377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939</w:t>
        </w:r>
        <w:r w:rsidR="00AA5D90" w:rsidRPr="00AA5D90">
          <w:rPr>
            <w:rFonts w:ascii="仿宋" w:eastAsia="仿宋" w:hAnsi="仿宋"/>
            <w:noProof/>
            <w:webHidden/>
            <w:sz w:val="28"/>
            <w:szCs w:val="28"/>
          </w:rPr>
          <w:fldChar w:fldCharType="end"/>
        </w:r>
      </w:hyperlink>
    </w:p>
    <w:p w14:paraId="1A182E2C" w14:textId="28C86842" w:rsidR="00AA5D90" w:rsidRPr="00AA5D90" w:rsidRDefault="00000000">
      <w:pPr>
        <w:pStyle w:val="TOC1"/>
        <w:tabs>
          <w:tab w:val="right" w:leader="dot" w:pos="8777"/>
        </w:tabs>
        <w:rPr>
          <w:rFonts w:ascii="仿宋" w:eastAsia="仿宋" w:hAnsi="仿宋"/>
          <w:noProof/>
          <w:sz w:val="28"/>
          <w:szCs w:val="28"/>
        </w:rPr>
      </w:pPr>
      <w:hyperlink w:anchor="_Toc149662378" w:history="1">
        <w:r w:rsidR="00AA5D90" w:rsidRPr="00AA5D90">
          <w:rPr>
            <w:rFonts w:ascii="仿宋" w:eastAsia="仿宋" w:hAnsi="仿宋"/>
            <w:noProof/>
            <w:sz w:val="28"/>
            <w:szCs w:val="28"/>
          </w:rPr>
          <w:t>《医药知识产权》课程教学大纲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_Toc149662378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950</w:t>
        </w:r>
        <w:r w:rsidR="00AA5D90" w:rsidRPr="00AA5D90">
          <w:rPr>
            <w:rFonts w:ascii="仿宋" w:eastAsia="仿宋" w:hAnsi="仿宋"/>
            <w:noProof/>
            <w:webHidden/>
            <w:sz w:val="28"/>
            <w:szCs w:val="28"/>
          </w:rPr>
          <w:fldChar w:fldCharType="end"/>
        </w:r>
      </w:hyperlink>
    </w:p>
    <w:p w14:paraId="2CB01E62" w14:textId="62512F1C" w:rsidR="00AA5D90" w:rsidRPr="00AA5D90" w:rsidRDefault="00000000">
      <w:pPr>
        <w:pStyle w:val="TOC1"/>
        <w:tabs>
          <w:tab w:val="right" w:leader="dot" w:pos="8777"/>
        </w:tabs>
        <w:rPr>
          <w:rFonts w:ascii="仿宋" w:eastAsia="仿宋" w:hAnsi="仿宋"/>
          <w:noProof/>
          <w:sz w:val="28"/>
          <w:szCs w:val="28"/>
        </w:rPr>
      </w:pPr>
      <w:hyperlink w:anchor="_Toc149662379" w:history="1">
        <w:r w:rsidR="00AA5D90" w:rsidRPr="00AA5D90">
          <w:rPr>
            <w:rFonts w:ascii="仿宋" w:eastAsia="仿宋" w:hAnsi="仿宋"/>
            <w:noProof/>
            <w:sz w:val="28"/>
            <w:szCs w:val="28"/>
          </w:rPr>
          <w:t>《生物制药技术》课程大纲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_Toc149662379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960</w:t>
        </w:r>
        <w:r w:rsidR="00AA5D90" w:rsidRPr="00AA5D90">
          <w:rPr>
            <w:rFonts w:ascii="仿宋" w:eastAsia="仿宋" w:hAnsi="仿宋"/>
            <w:noProof/>
            <w:webHidden/>
            <w:sz w:val="28"/>
            <w:szCs w:val="28"/>
          </w:rPr>
          <w:fldChar w:fldCharType="end"/>
        </w:r>
      </w:hyperlink>
    </w:p>
    <w:p w14:paraId="7B8A6B9E" w14:textId="2A85E71E" w:rsidR="00AA5D90" w:rsidRPr="00AA5D90" w:rsidRDefault="00000000">
      <w:pPr>
        <w:pStyle w:val="TOC1"/>
        <w:tabs>
          <w:tab w:val="right" w:leader="dot" w:pos="8777"/>
        </w:tabs>
        <w:rPr>
          <w:rFonts w:ascii="仿宋" w:eastAsia="仿宋" w:hAnsi="仿宋"/>
          <w:noProof/>
          <w:sz w:val="28"/>
          <w:szCs w:val="28"/>
        </w:rPr>
      </w:pPr>
      <w:hyperlink w:anchor="_Toc149662380" w:history="1">
        <w:r w:rsidR="00AA5D90" w:rsidRPr="00AA5D90">
          <w:rPr>
            <w:rFonts w:ascii="仿宋" w:eastAsia="仿宋" w:hAnsi="仿宋"/>
            <w:noProof/>
            <w:sz w:val="28"/>
            <w:szCs w:val="28"/>
          </w:rPr>
          <w:t>《中药学》课程大纲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_Toc149662380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971</w:t>
        </w:r>
        <w:r w:rsidR="00AA5D90" w:rsidRPr="00AA5D90">
          <w:rPr>
            <w:rFonts w:ascii="仿宋" w:eastAsia="仿宋" w:hAnsi="仿宋"/>
            <w:noProof/>
            <w:webHidden/>
            <w:sz w:val="28"/>
            <w:szCs w:val="28"/>
          </w:rPr>
          <w:fldChar w:fldCharType="end"/>
        </w:r>
      </w:hyperlink>
    </w:p>
    <w:p w14:paraId="084F7A52" w14:textId="180BBFAD" w:rsidR="00AA5D90" w:rsidRPr="00AA5D90" w:rsidRDefault="00000000">
      <w:pPr>
        <w:pStyle w:val="TOC1"/>
        <w:tabs>
          <w:tab w:val="right" w:leader="dot" w:pos="8777"/>
        </w:tabs>
        <w:rPr>
          <w:rFonts w:ascii="仿宋" w:eastAsia="仿宋" w:hAnsi="仿宋"/>
          <w:noProof/>
          <w:sz w:val="28"/>
          <w:szCs w:val="28"/>
        </w:rPr>
      </w:pPr>
      <w:hyperlink w:anchor="_Toc149662381" w:history="1">
        <w:r w:rsidR="00AA5D90" w:rsidRPr="00AA5D90">
          <w:rPr>
            <w:rFonts w:ascii="仿宋" w:eastAsia="仿宋" w:hAnsi="仿宋"/>
            <w:noProof/>
            <w:sz w:val="28"/>
            <w:szCs w:val="28"/>
          </w:rPr>
          <w:t>《科技文献检索》课程大纲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_Toc149662381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985</w:t>
        </w:r>
        <w:r w:rsidR="00AA5D90" w:rsidRPr="00AA5D90">
          <w:rPr>
            <w:rFonts w:ascii="仿宋" w:eastAsia="仿宋" w:hAnsi="仿宋"/>
            <w:noProof/>
            <w:webHidden/>
            <w:sz w:val="28"/>
            <w:szCs w:val="28"/>
          </w:rPr>
          <w:fldChar w:fldCharType="end"/>
        </w:r>
      </w:hyperlink>
    </w:p>
    <w:p w14:paraId="6C14613F" w14:textId="43200D2F" w:rsidR="00AA5D90" w:rsidRDefault="00000000">
      <w:pPr>
        <w:pStyle w:val="TOC1"/>
        <w:tabs>
          <w:tab w:val="right" w:leader="dot" w:pos="8777"/>
        </w:tabs>
        <w:rPr>
          <w:noProof/>
          <w14:ligatures w14:val="standardContextual"/>
        </w:rPr>
      </w:pPr>
      <w:hyperlink w:anchor="_Toc149662382" w:history="1">
        <w:r w:rsidR="00AA5D90" w:rsidRPr="00AA5D90">
          <w:rPr>
            <w:rFonts w:ascii="仿宋" w:eastAsia="仿宋" w:hAnsi="仿宋"/>
            <w:noProof/>
            <w:sz w:val="28"/>
            <w:szCs w:val="28"/>
          </w:rPr>
          <w:t>《天然药物化学》课程大纲</w:t>
        </w:r>
        <w:r w:rsidR="00AA5D90" w:rsidRPr="00AA5D90">
          <w:rPr>
            <w:rFonts w:ascii="仿宋" w:eastAsia="仿宋" w:hAnsi="仿宋"/>
            <w:noProof/>
            <w:webHidden/>
            <w:sz w:val="28"/>
            <w:szCs w:val="28"/>
          </w:rPr>
          <w:tab/>
        </w:r>
        <w:r w:rsidR="00AA5D90" w:rsidRPr="00AA5D90">
          <w:rPr>
            <w:rFonts w:ascii="仿宋" w:eastAsia="仿宋" w:hAnsi="仿宋"/>
            <w:noProof/>
            <w:webHidden/>
            <w:sz w:val="28"/>
            <w:szCs w:val="28"/>
          </w:rPr>
          <w:fldChar w:fldCharType="begin"/>
        </w:r>
        <w:r w:rsidR="00AA5D90" w:rsidRPr="00AA5D90">
          <w:rPr>
            <w:rFonts w:ascii="仿宋" w:eastAsia="仿宋" w:hAnsi="仿宋"/>
            <w:noProof/>
            <w:webHidden/>
            <w:sz w:val="28"/>
            <w:szCs w:val="28"/>
          </w:rPr>
          <w:instrText xml:space="preserve"> PAGEREF _Toc149662382 \h </w:instrText>
        </w:r>
        <w:r w:rsidR="00AA5D90" w:rsidRPr="00AA5D90">
          <w:rPr>
            <w:rFonts w:ascii="仿宋" w:eastAsia="仿宋" w:hAnsi="仿宋"/>
            <w:noProof/>
            <w:webHidden/>
            <w:sz w:val="28"/>
            <w:szCs w:val="28"/>
          </w:rPr>
        </w:r>
        <w:r w:rsidR="00AA5D90" w:rsidRPr="00AA5D90">
          <w:rPr>
            <w:rFonts w:ascii="仿宋" w:eastAsia="仿宋" w:hAnsi="仿宋"/>
            <w:noProof/>
            <w:webHidden/>
            <w:sz w:val="28"/>
            <w:szCs w:val="28"/>
          </w:rPr>
          <w:fldChar w:fldCharType="separate"/>
        </w:r>
        <w:r w:rsidR="00C537CC">
          <w:rPr>
            <w:rFonts w:ascii="仿宋" w:eastAsia="仿宋" w:hAnsi="仿宋"/>
            <w:noProof/>
            <w:webHidden/>
            <w:sz w:val="28"/>
            <w:szCs w:val="28"/>
          </w:rPr>
          <w:t>993</w:t>
        </w:r>
        <w:r w:rsidR="00AA5D90" w:rsidRPr="00AA5D90">
          <w:rPr>
            <w:rFonts w:ascii="仿宋" w:eastAsia="仿宋" w:hAnsi="仿宋"/>
            <w:noProof/>
            <w:webHidden/>
            <w:sz w:val="28"/>
            <w:szCs w:val="28"/>
          </w:rPr>
          <w:fldChar w:fldCharType="end"/>
        </w:r>
      </w:hyperlink>
    </w:p>
    <w:p w14:paraId="39AD9510" w14:textId="64E39656" w:rsidR="006C1E68" w:rsidRPr="00BB0688" w:rsidRDefault="00E33C2D" w:rsidP="006C1E68">
      <w:pPr>
        <w:tabs>
          <w:tab w:val="right" w:leader="dot" w:pos="8787"/>
        </w:tabs>
        <w:rPr>
          <w:rFonts w:ascii="宋体" w:eastAsia="宋体" w:hAnsi="宋体" w:cs="仿宋"/>
          <w:sz w:val="28"/>
          <w:szCs w:val="28"/>
        </w:rPr>
      </w:pPr>
      <w:r w:rsidRPr="00BB0688">
        <w:rPr>
          <w:rFonts w:ascii="宋体" w:eastAsia="宋体" w:hAnsi="宋体"/>
          <w:sz w:val="28"/>
          <w:szCs w:val="28"/>
        </w:rPr>
        <w:fldChar w:fldCharType="end"/>
      </w:r>
      <w:hyperlink w:anchor="_Toc21807" w:history="1"/>
    </w:p>
    <w:p w14:paraId="533C54F6" w14:textId="77777777" w:rsidR="006C1E68" w:rsidRPr="00BB0688" w:rsidRDefault="006C1E68" w:rsidP="006C1E68">
      <w:pPr>
        <w:tabs>
          <w:tab w:val="right" w:leader="dot" w:pos="8787"/>
        </w:tabs>
        <w:rPr>
          <w:rFonts w:ascii="宋体" w:eastAsia="宋体" w:hAnsi="宋体" w:cs="仿宋"/>
          <w:sz w:val="28"/>
          <w:szCs w:val="28"/>
        </w:rPr>
      </w:pPr>
    </w:p>
    <w:p w14:paraId="4C944C84" w14:textId="77777777" w:rsidR="00A114EA" w:rsidRPr="00BB0688" w:rsidRDefault="00A114EA">
      <w:pPr>
        <w:rPr>
          <w:rFonts w:ascii="宋体" w:eastAsia="宋体" w:hAnsi="宋体"/>
          <w:sz w:val="28"/>
          <w:szCs w:val="28"/>
        </w:rPr>
      </w:pPr>
    </w:p>
    <w:p w14:paraId="7048340D" w14:textId="77777777" w:rsidR="00CB1E6B" w:rsidRDefault="00CB1E6B">
      <w:pPr>
        <w:rPr>
          <w:rFonts w:ascii="仿宋" w:eastAsia="仿宋" w:hAnsi="仿宋"/>
          <w:sz w:val="28"/>
          <w:szCs w:val="28"/>
        </w:rPr>
      </w:pPr>
    </w:p>
    <w:p w14:paraId="1D01B73C" w14:textId="77777777" w:rsidR="00CB1E6B" w:rsidRDefault="00CB1E6B">
      <w:pPr>
        <w:rPr>
          <w:rFonts w:ascii="仿宋" w:eastAsia="仿宋" w:hAnsi="仿宋"/>
          <w:sz w:val="28"/>
          <w:szCs w:val="28"/>
        </w:rPr>
      </w:pPr>
    </w:p>
    <w:p w14:paraId="65DF2A79" w14:textId="77777777" w:rsidR="00CB1E6B" w:rsidRDefault="00CB1E6B">
      <w:pPr>
        <w:rPr>
          <w:rFonts w:ascii="仿宋" w:eastAsia="仿宋" w:hAnsi="仿宋"/>
          <w:sz w:val="28"/>
          <w:szCs w:val="28"/>
        </w:rPr>
      </w:pPr>
    </w:p>
    <w:p w14:paraId="3D6D4E35" w14:textId="77777777" w:rsidR="00CB1E6B" w:rsidRDefault="00CB1E6B">
      <w:pPr>
        <w:rPr>
          <w:rFonts w:ascii="仿宋" w:eastAsia="仿宋" w:hAnsi="仿宋"/>
          <w:sz w:val="28"/>
          <w:szCs w:val="28"/>
        </w:rPr>
      </w:pPr>
    </w:p>
    <w:p w14:paraId="255E1076" w14:textId="77777777" w:rsidR="00CB1E6B" w:rsidRDefault="00CB1E6B">
      <w:pPr>
        <w:rPr>
          <w:rFonts w:ascii="仿宋" w:eastAsia="仿宋" w:hAnsi="仿宋"/>
          <w:sz w:val="28"/>
          <w:szCs w:val="28"/>
        </w:rPr>
      </w:pPr>
    </w:p>
    <w:p w14:paraId="24AA441A" w14:textId="77777777" w:rsidR="00CB1E6B" w:rsidRDefault="00CB1E6B">
      <w:pPr>
        <w:rPr>
          <w:rFonts w:ascii="仿宋" w:eastAsia="仿宋" w:hAnsi="仿宋"/>
          <w:sz w:val="28"/>
          <w:szCs w:val="28"/>
        </w:rPr>
      </w:pPr>
    </w:p>
    <w:p w14:paraId="33036CFE" w14:textId="77777777" w:rsidR="00CB1E6B" w:rsidRDefault="00CB1E6B">
      <w:pPr>
        <w:rPr>
          <w:rFonts w:ascii="仿宋" w:eastAsia="仿宋" w:hAnsi="仿宋"/>
          <w:sz w:val="28"/>
          <w:szCs w:val="28"/>
        </w:rPr>
      </w:pPr>
    </w:p>
    <w:p w14:paraId="2579140F" w14:textId="77777777" w:rsidR="00CB1E6B" w:rsidRDefault="00CB1E6B">
      <w:pPr>
        <w:rPr>
          <w:rFonts w:ascii="仿宋" w:eastAsia="仿宋" w:hAnsi="仿宋"/>
          <w:sz w:val="28"/>
          <w:szCs w:val="28"/>
        </w:rPr>
      </w:pPr>
    </w:p>
    <w:p w14:paraId="31033760" w14:textId="77777777" w:rsidR="00CB1E6B" w:rsidRDefault="00CB1E6B">
      <w:pPr>
        <w:rPr>
          <w:rFonts w:ascii="仿宋" w:eastAsia="仿宋" w:hAnsi="仿宋"/>
          <w:sz w:val="28"/>
          <w:szCs w:val="28"/>
        </w:rPr>
      </w:pPr>
    </w:p>
    <w:p w14:paraId="637032FE" w14:textId="77777777" w:rsidR="00CB1E6B" w:rsidRDefault="00CB1E6B">
      <w:pPr>
        <w:rPr>
          <w:rFonts w:ascii="仿宋" w:eastAsia="仿宋" w:hAnsi="仿宋"/>
          <w:sz w:val="28"/>
          <w:szCs w:val="28"/>
        </w:rPr>
      </w:pPr>
    </w:p>
    <w:p w14:paraId="6261214C" w14:textId="77777777" w:rsidR="004505A2" w:rsidRDefault="004505A2" w:rsidP="003C7AB3">
      <w:pPr>
        <w:snapToGrid w:val="0"/>
        <w:spacing w:before="374" w:after="374" w:line="440" w:lineRule="exact"/>
        <w:ind w:firstLineChars="500" w:firstLine="1800"/>
        <w:rPr>
          <w:rFonts w:ascii="黑体" w:eastAsia="黑体" w:hAnsi="黑体"/>
          <w:sz w:val="36"/>
          <w:szCs w:val="36"/>
        </w:rPr>
        <w:sectPr w:rsidR="004505A2" w:rsidSect="00BB0688">
          <w:footerReference w:type="default" r:id="rId9"/>
          <w:pgSz w:w="11907" w:h="16840"/>
          <w:pgMar w:top="1418" w:right="1418" w:bottom="1418" w:left="1418" w:header="851" w:footer="992" w:gutter="284"/>
          <w:pgNumType w:fmt="upperRoman" w:start="1"/>
          <w:cols w:space="720"/>
          <w:docGrid w:type="lines" w:linePitch="312"/>
        </w:sectPr>
      </w:pPr>
    </w:p>
    <w:p w14:paraId="43475772" w14:textId="77777777" w:rsidR="003C7AB3" w:rsidRDefault="003C7AB3" w:rsidP="00884540">
      <w:pPr>
        <w:pStyle w:val="1"/>
      </w:pPr>
      <w:bookmarkStart w:id="0" w:name="_Toc149662336"/>
      <w:bookmarkStart w:id="1" w:name="OLE_LINK396"/>
      <w:bookmarkStart w:id="2" w:name="思想道德与法制"/>
      <w:r>
        <w:lastRenderedPageBreak/>
        <w:t>《思想道德与</w:t>
      </w:r>
      <w:r>
        <w:rPr>
          <w:rFonts w:hint="eastAsia"/>
        </w:rPr>
        <w:t>法治</w:t>
      </w:r>
      <w:r>
        <w:t>》课程大纲</w:t>
      </w:r>
      <w:bookmarkEnd w:id="0"/>
    </w:p>
    <w:bookmarkEnd w:id="1"/>
    <w:bookmarkEnd w:id="2"/>
    <w:p w14:paraId="22F28D67" w14:textId="77777777" w:rsidR="003C7AB3" w:rsidRDefault="003C7AB3" w:rsidP="003C7AB3">
      <w:pPr>
        <w:snapToGrid w:val="0"/>
        <w:spacing w:before="134" w:after="134" w:line="440" w:lineRule="exact"/>
        <w:ind w:firstLineChars="100" w:firstLine="280"/>
        <w:rPr>
          <w:rFonts w:ascii="黑体" w:eastAsia="黑体" w:hAnsi="黑体" w:cs="Times New Roman"/>
          <w:sz w:val="28"/>
          <w:szCs w:val="28"/>
        </w:rPr>
      </w:pPr>
      <w:r>
        <w:rPr>
          <w:rFonts w:ascii="黑体" w:eastAsia="黑体" w:hAnsi="黑体" w:cs="Times New Roman" w:hint="eastAsia"/>
          <w:sz w:val="28"/>
          <w:szCs w:val="28"/>
        </w:rPr>
        <w:t>一、课程基本信息</w:t>
      </w:r>
    </w:p>
    <w:tbl>
      <w:tblPr>
        <w:tblStyle w:val="a9"/>
        <w:tblW w:w="8384" w:type="dxa"/>
        <w:tblLayout w:type="fixed"/>
        <w:tblCellMar>
          <w:top w:w="120" w:type="dxa"/>
          <w:left w:w="60" w:type="dxa"/>
          <w:bottom w:w="120" w:type="dxa"/>
          <w:right w:w="60" w:type="dxa"/>
        </w:tblCellMar>
        <w:tblLook w:val="04A0" w:firstRow="1" w:lastRow="0" w:firstColumn="1" w:lastColumn="0" w:noHBand="0" w:noVBand="1"/>
      </w:tblPr>
      <w:tblGrid>
        <w:gridCol w:w="1553"/>
        <w:gridCol w:w="2690"/>
        <w:gridCol w:w="1396"/>
        <w:gridCol w:w="2745"/>
      </w:tblGrid>
      <w:tr w:rsidR="003C7AB3" w14:paraId="2F62A941" w14:textId="77777777" w:rsidTr="003C7AB3">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4E276BDA"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课程名称</w:t>
            </w:r>
          </w:p>
        </w:tc>
        <w:tc>
          <w:tcPr>
            <w:tcW w:w="2690" w:type="dxa"/>
            <w:tcBorders>
              <w:top w:val="single" w:sz="8" w:space="0" w:color="000000"/>
              <w:left w:val="single" w:sz="8" w:space="0" w:color="000000"/>
              <w:bottom w:val="single" w:sz="8" w:space="0" w:color="000000"/>
              <w:right w:val="single" w:sz="8" w:space="0" w:color="000000"/>
            </w:tcBorders>
            <w:vAlign w:val="center"/>
          </w:tcPr>
          <w:p w14:paraId="59617651"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思想道德与法治</w:t>
            </w:r>
          </w:p>
        </w:tc>
        <w:tc>
          <w:tcPr>
            <w:tcW w:w="1396" w:type="dxa"/>
            <w:tcBorders>
              <w:top w:val="single" w:sz="8" w:space="0" w:color="000000"/>
              <w:left w:val="single" w:sz="8" w:space="0" w:color="000000"/>
              <w:bottom w:val="single" w:sz="8" w:space="0" w:color="000000"/>
              <w:right w:val="single" w:sz="8" w:space="0" w:color="000000"/>
            </w:tcBorders>
            <w:vAlign w:val="center"/>
          </w:tcPr>
          <w:p w14:paraId="0B04DF64"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课程代码</w:t>
            </w:r>
          </w:p>
        </w:tc>
        <w:tc>
          <w:tcPr>
            <w:tcW w:w="2745" w:type="dxa"/>
            <w:tcBorders>
              <w:top w:val="single" w:sz="8" w:space="0" w:color="000000"/>
              <w:left w:val="single" w:sz="8" w:space="0" w:color="000000"/>
              <w:bottom w:val="single" w:sz="8" w:space="0" w:color="000000"/>
              <w:right w:val="single" w:sz="8" w:space="0" w:color="000000"/>
            </w:tcBorders>
            <w:vAlign w:val="center"/>
          </w:tcPr>
          <w:p w14:paraId="54FAAA43"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1610507</w:t>
            </w:r>
          </w:p>
        </w:tc>
      </w:tr>
      <w:tr w:rsidR="003C7AB3" w14:paraId="43EB20B0" w14:textId="77777777" w:rsidTr="003C7AB3">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7703DF14"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课程类别</w:t>
            </w:r>
          </w:p>
        </w:tc>
        <w:tc>
          <w:tcPr>
            <w:tcW w:w="2690" w:type="dxa"/>
            <w:tcBorders>
              <w:top w:val="single" w:sz="8" w:space="0" w:color="000000"/>
              <w:left w:val="single" w:sz="8" w:space="0" w:color="000000"/>
              <w:bottom w:val="single" w:sz="8" w:space="0" w:color="000000"/>
              <w:right w:val="single" w:sz="8" w:space="0" w:color="000000"/>
            </w:tcBorders>
            <w:vAlign w:val="center"/>
          </w:tcPr>
          <w:p w14:paraId="6A91F282"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通识教育必修课程</w:t>
            </w:r>
          </w:p>
        </w:tc>
        <w:tc>
          <w:tcPr>
            <w:tcW w:w="1396" w:type="dxa"/>
            <w:tcBorders>
              <w:top w:val="single" w:sz="8" w:space="0" w:color="000000"/>
              <w:left w:val="single" w:sz="8" w:space="0" w:color="000000"/>
              <w:bottom w:val="single" w:sz="8" w:space="0" w:color="000000"/>
              <w:right w:val="single" w:sz="8" w:space="0" w:color="000000"/>
            </w:tcBorders>
            <w:vAlign w:val="center"/>
          </w:tcPr>
          <w:p w14:paraId="7C1142F5"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学时/学分</w:t>
            </w:r>
          </w:p>
        </w:tc>
        <w:tc>
          <w:tcPr>
            <w:tcW w:w="2745" w:type="dxa"/>
            <w:tcBorders>
              <w:top w:val="single" w:sz="8" w:space="0" w:color="000000"/>
              <w:left w:val="single" w:sz="8" w:space="0" w:color="000000"/>
              <w:bottom w:val="single" w:sz="8" w:space="0" w:color="000000"/>
              <w:right w:val="single" w:sz="8" w:space="0" w:color="000000"/>
            </w:tcBorders>
            <w:vAlign w:val="center"/>
          </w:tcPr>
          <w:p w14:paraId="3D42BA20"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40学时/2.5学分</w:t>
            </w:r>
          </w:p>
        </w:tc>
      </w:tr>
      <w:tr w:rsidR="003C7AB3" w14:paraId="6B4C3E9D" w14:textId="77777777" w:rsidTr="003C7AB3">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2E51C938"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开课单位</w:t>
            </w:r>
          </w:p>
        </w:tc>
        <w:tc>
          <w:tcPr>
            <w:tcW w:w="2690" w:type="dxa"/>
            <w:tcBorders>
              <w:top w:val="single" w:sz="8" w:space="0" w:color="000000"/>
              <w:left w:val="single" w:sz="8" w:space="0" w:color="000000"/>
              <w:bottom w:val="single" w:sz="8" w:space="0" w:color="000000"/>
              <w:right w:val="single" w:sz="8" w:space="0" w:color="000000"/>
            </w:tcBorders>
            <w:vAlign w:val="center"/>
          </w:tcPr>
          <w:p w14:paraId="12A1358D"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马克思主义学院</w:t>
            </w:r>
          </w:p>
        </w:tc>
        <w:tc>
          <w:tcPr>
            <w:tcW w:w="1396" w:type="dxa"/>
            <w:tcBorders>
              <w:top w:val="single" w:sz="8" w:space="0" w:color="000000"/>
              <w:left w:val="single" w:sz="8" w:space="0" w:color="000000"/>
              <w:bottom w:val="single" w:sz="8" w:space="0" w:color="000000"/>
              <w:right w:val="single" w:sz="8" w:space="0" w:color="000000"/>
            </w:tcBorders>
            <w:vAlign w:val="center"/>
          </w:tcPr>
          <w:p w14:paraId="4D900B48"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适用专业</w:t>
            </w:r>
          </w:p>
        </w:tc>
        <w:tc>
          <w:tcPr>
            <w:tcW w:w="2745" w:type="dxa"/>
            <w:tcBorders>
              <w:top w:val="single" w:sz="8" w:space="0" w:color="000000"/>
              <w:left w:val="single" w:sz="8" w:space="0" w:color="000000"/>
              <w:bottom w:val="single" w:sz="8" w:space="0" w:color="000000"/>
              <w:right w:val="single" w:sz="8" w:space="0" w:color="000000"/>
            </w:tcBorders>
            <w:vAlign w:val="center"/>
          </w:tcPr>
          <w:p w14:paraId="2A0DB7AD"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全校各专业</w:t>
            </w:r>
          </w:p>
        </w:tc>
      </w:tr>
      <w:tr w:rsidR="003C7AB3" w14:paraId="5ED60B98" w14:textId="77777777" w:rsidTr="003C7AB3">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670AF3E9"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课程负责人</w:t>
            </w:r>
          </w:p>
        </w:tc>
        <w:tc>
          <w:tcPr>
            <w:tcW w:w="6831" w:type="dxa"/>
            <w:gridSpan w:val="3"/>
            <w:tcBorders>
              <w:top w:val="single" w:sz="8" w:space="0" w:color="000000"/>
              <w:left w:val="single" w:sz="8" w:space="0" w:color="000000"/>
              <w:bottom w:val="single" w:sz="8" w:space="0" w:color="000000"/>
              <w:right w:val="single" w:sz="8" w:space="0" w:color="000000"/>
            </w:tcBorders>
            <w:vAlign w:val="center"/>
          </w:tcPr>
          <w:p w14:paraId="2A3C1A9F" w14:textId="77777777" w:rsidR="003C7AB3" w:rsidRDefault="003C7AB3" w:rsidP="003C7AB3">
            <w:pPr>
              <w:spacing w:line="440" w:lineRule="exact"/>
              <w:jc w:val="center"/>
              <w:rPr>
                <w:rFonts w:ascii="宋体" w:eastAsia="宋体" w:hAnsi="宋体" w:cs="Times New Roman"/>
                <w:sz w:val="24"/>
                <w:szCs w:val="24"/>
              </w:rPr>
            </w:pPr>
            <w:proofErr w:type="gramStart"/>
            <w:r>
              <w:rPr>
                <w:rFonts w:ascii="宋体" w:eastAsia="宋体" w:hAnsi="宋体" w:cs="Times New Roman" w:hint="eastAsia"/>
                <w:sz w:val="24"/>
                <w:szCs w:val="24"/>
              </w:rPr>
              <w:t>许慧英</w:t>
            </w:r>
            <w:proofErr w:type="gramEnd"/>
          </w:p>
        </w:tc>
      </w:tr>
      <w:tr w:rsidR="003C7AB3" w14:paraId="7AD3666C" w14:textId="77777777" w:rsidTr="003C7AB3">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5487AB25"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大纲撰写人</w:t>
            </w:r>
          </w:p>
        </w:tc>
        <w:tc>
          <w:tcPr>
            <w:tcW w:w="2690" w:type="dxa"/>
            <w:tcBorders>
              <w:top w:val="single" w:sz="8" w:space="0" w:color="000000"/>
              <w:left w:val="single" w:sz="8" w:space="0" w:color="000000"/>
              <w:bottom w:val="single" w:sz="8" w:space="0" w:color="000000"/>
              <w:right w:val="single" w:sz="8" w:space="0" w:color="000000"/>
            </w:tcBorders>
            <w:vAlign w:val="center"/>
          </w:tcPr>
          <w:p w14:paraId="73BD9DFA" w14:textId="77777777" w:rsidR="003C7AB3" w:rsidRDefault="003C7AB3" w:rsidP="003C7AB3">
            <w:pPr>
              <w:spacing w:line="440" w:lineRule="exact"/>
              <w:jc w:val="center"/>
              <w:rPr>
                <w:rFonts w:ascii="宋体" w:eastAsia="宋体" w:hAnsi="宋体" w:cs="Times New Roman"/>
                <w:sz w:val="24"/>
                <w:szCs w:val="24"/>
              </w:rPr>
            </w:pPr>
            <w:proofErr w:type="gramStart"/>
            <w:r>
              <w:rPr>
                <w:rFonts w:ascii="宋体" w:eastAsia="宋体" w:hAnsi="宋体" w:cs="Times New Roman" w:hint="eastAsia"/>
                <w:sz w:val="24"/>
                <w:szCs w:val="24"/>
              </w:rPr>
              <w:t>许慧英</w:t>
            </w:r>
            <w:proofErr w:type="gramEnd"/>
          </w:p>
        </w:tc>
        <w:tc>
          <w:tcPr>
            <w:tcW w:w="1396" w:type="dxa"/>
            <w:tcBorders>
              <w:top w:val="single" w:sz="8" w:space="0" w:color="000000"/>
              <w:left w:val="single" w:sz="8" w:space="0" w:color="000000"/>
              <w:bottom w:val="single" w:sz="8" w:space="0" w:color="000000"/>
              <w:right w:val="single" w:sz="8" w:space="0" w:color="000000"/>
            </w:tcBorders>
            <w:vAlign w:val="center"/>
          </w:tcPr>
          <w:p w14:paraId="4C628378"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大纲审核人</w:t>
            </w:r>
          </w:p>
        </w:tc>
        <w:tc>
          <w:tcPr>
            <w:tcW w:w="2745" w:type="dxa"/>
            <w:tcBorders>
              <w:top w:val="single" w:sz="8" w:space="0" w:color="000000"/>
              <w:left w:val="single" w:sz="8" w:space="0" w:color="000000"/>
              <w:bottom w:val="single" w:sz="8" w:space="0" w:color="000000"/>
              <w:right w:val="single" w:sz="8" w:space="0" w:color="000000"/>
            </w:tcBorders>
            <w:vAlign w:val="center"/>
          </w:tcPr>
          <w:p w14:paraId="7A5A71F9"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张子麟</w:t>
            </w:r>
          </w:p>
        </w:tc>
      </w:tr>
      <w:tr w:rsidR="003C7AB3" w14:paraId="7DA89F7E" w14:textId="77777777" w:rsidTr="003C7AB3">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1B0D3EF0"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先修课程</w:t>
            </w:r>
          </w:p>
        </w:tc>
        <w:tc>
          <w:tcPr>
            <w:tcW w:w="6831" w:type="dxa"/>
            <w:gridSpan w:val="3"/>
            <w:tcBorders>
              <w:top w:val="single" w:sz="8" w:space="0" w:color="000000"/>
              <w:left w:val="single" w:sz="8" w:space="0" w:color="000000"/>
              <w:bottom w:val="single" w:sz="8" w:space="0" w:color="000000"/>
              <w:right w:val="single" w:sz="8" w:space="0" w:color="000000"/>
            </w:tcBorders>
            <w:vAlign w:val="center"/>
          </w:tcPr>
          <w:p w14:paraId="663440D9"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无</w:t>
            </w:r>
          </w:p>
        </w:tc>
      </w:tr>
      <w:tr w:rsidR="003C7AB3" w14:paraId="027D0711" w14:textId="77777777" w:rsidTr="003C7AB3">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48FB9CBC"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课程网址</w:t>
            </w:r>
          </w:p>
        </w:tc>
        <w:tc>
          <w:tcPr>
            <w:tcW w:w="6831" w:type="dxa"/>
            <w:gridSpan w:val="3"/>
            <w:tcBorders>
              <w:top w:val="single" w:sz="8" w:space="0" w:color="000000"/>
              <w:left w:val="single" w:sz="8" w:space="0" w:color="000000"/>
              <w:bottom w:val="single" w:sz="8" w:space="0" w:color="000000"/>
              <w:right w:val="single" w:sz="8" w:space="0" w:color="000000"/>
            </w:tcBorders>
            <w:vAlign w:val="center"/>
          </w:tcPr>
          <w:p w14:paraId="77B8AACA" w14:textId="77777777" w:rsidR="003C7AB3" w:rsidRDefault="003C7AB3" w:rsidP="003C7AB3">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无</w:t>
            </w:r>
          </w:p>
        </w:tc>
      </w:tr>
    </w:tbl>
    <w:p w14:paraId="1184B813" w14:textId="77777777" w:rsidR="003C7AB3" w:rsidRDefault="003C7AB3" w:rsidP="003C7AB3">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二、课程学习目标及与毕业要求的对应关系</w:t>
      </w:r>
    </w:p>
    <w:p w14:paraId="2B965A6B" w14:textId="77777777" w:rsidR="003C7AB3" w:rsidRDefault="003C7AB3" w:rsidP="003C7AB3">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（一）课程学习目标</w:t>
      </w:r>
    </w:p>
    <w:p w14:paraId="4217771D" w14:textId="77777777" w:rsidR="003C7AB3" w:rsidRDefault="003C7AB3" w:rsidP="003C7AB3">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本课程针对大学生成长过程中面临的思想道德和法治问题，开展马克思主义的人生观、价值观和道德观、法治观教育，帮助大学生具备优秀的思想道德品质和法治素养，成长为自觉担当民族复兴大任的时代新人。</w:t>
      </w:r>
    </w:p>
    <w:p w14:paraId="19416EE0" w14:textId="77777777" w:rsidR="003C7AB3" w:rsidRDefault="003C7AB3" w:rsidP="003C7AB3">
      <w:pPr>
        <w:spacing w:line="440" w:lineRule="exact"/>
        <w:ind w:firstLineChars="200" w:firstLine="480"/>
        <w:rPr>
          <w:rFonts w:ascii="宋体" w:eastAsia="宋体" w:hAnsi="宋体" w:cs="宋体"/>
          <w:sz w:val="24"/>
          <w:szCs w:val="24"/>
        </w:rPr>
      </w:pPr>
      <w:r>
        <w:rPr>
          <w:rFonts w:ascii="宋体" w:eastAsia="宋体" w:hAnsi="宋体" w:cs="宋体" w:hint="eastAsia"/>
          <w:sz w:val="24"/>
        </w:rPr>
        <w:t>通过本课程</w:t>
      </w:r>
      <w:r>
        <w:rPr>
          <w:rFonts w:ascii="宋体" w:eastAsia="宋体" w:hAnsi="宋体" w:cs="宋体" w:hint="eastAsia"/>
          <w:sz w:val="24"/>
          <w:szCs w:val="24"/>
        </w:rPr>
        <w:t>的学习，学生应达到以下目标：</w:t>
      </w:r>
    </w:p>
    <w:p w14:paraId="7E474AF5"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1.能够理解和掌握马克思主义人生观、价值观、道德观和法治观等基本理论和观点。</w:t>
      </w:r>
    </w:p>
    <w:p w14:paraId="10139311"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积极思考，主动发言，参与课堂活动，参与理论学习小组的研讨活动，在各项参与中学会处理个人和团队的关系，锻炼沟通合作能力；形成以马克思主义人生观、价值观、道德观和法治观为指导的行动自觉，领悟人生真谛、把握人生方向，追求远大理想、坚定崇高信念，继承优良传统、弘扬中国精神，培育和</w:t>
      </w:r>
      <w:proofErr w:type="gramStart"/>
      <w:r>
        <w:rPr>
          <w:rFonts w:ascii="宋体" w:eastAsia="宋体" w:hAnsi="宋体" w:cs="Times New Roman" w:hint="eastAsia"/>
          <w:sz w:val="24"/>
          <w:szCs w:val="24"/>
        </w:rPr>
        <w:t>践行</w:t>
      </w:r>
      <w:proofErr w:type="gramEnd"/>
      <w:r>
        <w:rPr>
          <w:rFonts w:ascii="宋体" w:eastAsia="宋体" w:hAnsi="宋体" w:cs="Times New Roman" w:hint="eastAsia"/>
          <w:sz w:val="24"/>
          <w:szCs w:val="24"/>
        </w:rPr>
        <w:t>社会主义核心价</w:t>
      </w:r>
      <w:r>
        <w:rPr>
          <w:rFonts w:ascii="宋体" w:eastAsia="宋体" w:hAnsi="宋体" w:cs="Times New Roman" w:hint="eastAsia"/>
          <w:sz w:val="24"/>
          <w:szCs w:val="24"/>
        </w:rPr>
        <w:lastRenderedPageBreak/>
        <w:t>值观，遵守道德规范、锤炼道德品格，养成法治思维，自觉</w:t>
      </w:r>
      <w:proofErr w:type="gramStart"/>
      <w:r>
        <w:rPr>
          <w:rFonts w:ascii="宋体" w:eastAsia="宋体" w:hAnsi="宋体" w:cs="Times New Roman" w:hint="eastAsia"/>
          <w:sz w:val="24"/>
          <w:szCs w:val="24"/>
        </w:rPr>
        <w:t>学法尊法守法</w:t>
      </w:r>
      <w:proofErr w:type="gramEnd"/>
      <w:r>
        <w:rPr>
          <w:rFonts w:ascii="宋体" w:eastAsia="宋体" w:hAnsi="宋体" w:cs="Times New Roman" w:hint="eastAsia"/>
          <w:sz w:val="24"/>
          <w:szCs w:val="24"/>
        </w:rPr>
        <w:t>用法。</w:t>
      </w:r>
    </w:p>
    <w:p w14:paraId="59FDA29B"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3.形成以马克思主义人生观、价值观、道德观和法治观为指导的优秀的思想道德素质和法治素养，形成稳定正向的人格素养，夯实综合素质基础，成为堪当民族复兴大任的时代新人。</w:t>
      </w:r>
    </w:p>
    <w:p w14:paraId="7253ED52" w14:textId="77777777" w:rsidR="003C7AB3" w:rsidRDefault="003C7AB3" w:rsidP="003C7AB3">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（二）课程学习目标与毕业要求的对应关系</w:t>
      </w:r>
    </w:p>
    <w:tbl>
      <w:tblPr>
        <w:tblW w:w="8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638"/>
        <w:gridCol w:w="1480"/>
        <w:gridCol w:w="4890"/>
      </w:tblGrid>
      <w:tr w:rsidR="003C7AB3" w14:paraId="48C82E8E" w14:textId="77777777" w:rsidTr="003C7AB3">
        <w:trPr>
          <w:trHeight w:val="454"/>
          <w:jc w:val="center"/>
        </w:trPr>
        <w:tc>
          <w:tcPr>
            <w:tcW w:w="163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8C45AE7" w14:textId="77777777" w:rsidR="003C7AB3" w:rsidRDefault="003C7AB3" w:rsidP="003C7AB3">
            <w:pPr>
              <w:adjustRightInd w:val="0"/>
              <w:snapToGrid w:val="0"/>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FE009FD" w14:textId="77777777" w:rsidR="003C7AB3" w:rsidRDefault="003C7AB3" w:rsidP="003C7AB3">
            <w:pPr>
              <w:adjustRightInd w:val="0"/>
              <w:snapToGrid w:val="0"/>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支撑的毕业要求</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0EBFFFC" w14:textId="77777777" w:rsidR="003C7AB3" w:rsidRDefault="003C7AB3" w:rsidP="003C7AB3">
            <w:pPr>
              <w:adjustRightInd w:val="0"/>
              <w:snapToGrid w:val="0"/>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毕业要求内涵</w:t>
            </w:r>
          </w:p>
        </w:tc>
      </w:tr>
      <w:tr w:rsidR="003C7AB3" w14:paraId="7A107AB3" w14:textId="77777777" w:rsidTr="003C7AB3">
        <w:trPr>
          <w:trHeight w:val="454"/>
          <w:jc w:val="center"/>
        </w:trPr>
        <w:tc>
          <w:tcPr>
            <w:tcW w:w="163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2AEC66B" w14:textId="77777777" w:rsidR="003C7AB3" w:rsidRDefault="003C7AB3" w:rsidP="003C7AB3">
            <w:pPr>
              <w:adjustRightInd w:val="0"/>
              <w:snapToGrid w:val="0"/>
              <w:spacing w:line="440" w:lineRule="exact"/>
              <w:jc w:val="center"/>
              <w:rPr>
                <w:rFonts w:ascii="Times New Roman" w:eastAsia="宋体" w:hAnsi="Times New Roman" w:cs="Times New Roman"/>
                <w:color w:val="000000" w:themeColor="text1"/>
                <w:sz w:val="24"/>
                <w:szCs w:val="24"/>
              </w:rPr>
            </w:pPr>
            <w:r>
              <w:rPr>
                <w:rFonts w:ascii="Times New Roman" w:eastAsia="宋体" w:hAnsi="Times New Roman" w:cs="Times New Roman" w:hint="eastAsia"/>
                <w:color w:val="000000" w:themeColor="text1"/>
                <w:sz w:val="24"/>
                <w:szCs w:val="24"/>
              </w:rPr>
              <w:t>课程目标</w:t>
            </w:r>
            <w:r>
              <w:rPr>
                <w:rFonts w:ascii="Times New Roman" w:eastAsia="宋体" w:hAnsi="Times New Roman" w:cs="Times New Roman" w:hint="eastAsia"/>
                <w:color w:val="000000" w:themeColor="text1"/>
                <w:sz w:val="24"/>
                <w:szCs w:val="24"/>
              </w:rPr>
              <w:t>1</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5FEBFA0" w14:textId="77777777" w:rsidR="003C7AB3" w:rsidRDefault="003C7AB3" w:rsidP="003C7AB3">
            <w:pPr>
              <w:adjustRightInd w:val="0"/>
              <w:snapToGrid w:val="0"/>
              <w:spacing w:line="440" w:lineRule="exact"/>
              <w:jc w:val="center"/>
              <w:rPr>
                <w:rFonts w:ascii="Times New Roman" w:eastAsia="宋体" w:hAnsi="Times New Roman" w:cs="Times New Roman"/>
                <w:color w:val="000000" w:themeColor="text1"/>
                <w:sz w:val="24"/>
                <w:szCs w:val="24"/>
              </w:rPr>
            </w:pPr>
            <w:r>
              <w:rPr>
                <w:rFonts w:ascii="宋体" w:eastAsia="宋体" w:hAnsi="宋体" w:cs="宋体" w:hint="eastAsia"/>
                <w:color w:val="000000" w:themeColor="text1"/>
                <w:sz w:val="24"/>
                <w:szCs w:val="24"/>
              </w:rPr>
              <w:t>2.教育情怀（M）</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90A4546" w14:textId="77777777" w:rsidR="003C7AB3" w:rsidRDefault="003C7AB3" w:rsidP="003C7AB3">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Pr>
                <w:rFonts w:ascii="Times New Roman" w:eastAsia="宋体" w:hAnsi="Times New Roman" w:cs="Times New Roman" w:hint="eastAsia"/>
                <w:color w:val="000000" w:themeColor="text1"/>
                <w:sz w:val="24"/>
                <w:szCs w:val="24"/>
              </w:rPr>
              <w:t>具有从教意愿，认同教师工作的意义和专业性，具有积极的情感、端正的态度、正确的价值观。具有人文底蕴和科学精神，尊重学生人格，富有爱心、责任心，工作细心、耐心，做学生锤炼品格、学习知识、创新思维、奉献祖国的引路人。</w:t>
            </w:r>
          </w:p>
        </w:tc>
      </w:tr>
      <w:tr w:rsidR="003C7AB3" w14:paraId="635C26CD" w14:textId="77777777" w:rsidTr="003C7AB3">
        <w:trPr>
          <w:trHeight w:val="454"/>
          <w:jc w:val="center"/>
        </w:trPr>
        <w:tc>
          <w:tcPr>
            <w:tcW w:w="163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54010EC" w14:textId="77777777" w:rsidR="003C7AB3" w:rsidRDefault="003C7AB3" w:rsidP="003C7AB3">
            <w:pPr>
              <w:adjustRightInd w:val="0"/>
              <w:snapToGrid w:val="0"/>
              <w:spacing w:line="440" w:lineRule="exact"/>
              <w:jc w:val="center"/>
              <w:rPr>
                <w:rFonts w:ascii="Times New Roman" w:eastAsia="宋体" w:hAnsi="Times New Roman" w:cs="Times New Roman"/>
                <w:color w:val="000000" w:themeColor="text1"/>
                <w:sz w:val="24"/>
                <w:szCs w:val="24"/>
              </w:rPr>
            </w:pPr>
            <w:r>
              <w:rPr>
                <w:rFonts w:ascii="Times New Roman" w:eastAsia="宋体" w:hAnsi="Times New Roman" w:cs="Times New Roman" w:hint="eastAsia"/>
                <w:color w:val="000000" w:themeColor="text1"/>
                <w:sz w:val="24"/>
                <w:szCs w:val="24"/>
              </w:rPr>
              <w:t>课程目标</w:t>
            </w:r>
            <w:r>
              <w:rPr>
                <w:rFonts w:ascii="Times New Roman" w:eastAsia="宋体" w:hAnsi="Times New Roman" w:cs="Times New Roman" w:hint="eastAsia"/>
                <w:color w:val="000000" w:themeColor="text1"/>
                <w:sz w:val="24"/>
                <w:szCs w:val="24"/>
              </w:rPr>
              <w:t>2</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5D61D27" w14:textId="77777777" w:rsidR="003C7AB3" w:rsidRDefault="003C7AB3" w:rsidP="003C7AB3">
            <w:pPr>
              <w:adjustRightInd w:val="0"/>
              <w:snapToGrid w:val="0"/>
              <w:spacing w:line="440" w:lineRule="exact"/>
              <w:jc w:val="center"/>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8.沟通合作（L）</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2293ED4" w14:textId="77777777" w:rsidR="003C7AB3" w:rsidRDefault="003C7AB3" w:rsidP="003C7AB3">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Pr>
                <w:rFonts w:ascii="Times New Roman" w:eastAsia="宋体" w:hAnsi="Times New Roman" w:cs="Times New Roman" w:hint="eastAsia"/>
                <w:color w:val="000000" w:themeColor="text1"/>
                <w:sz w:val="24"/>
                <w:szCs w:val="24"/>
              </w:rPr>
              <w:t>理解学习共同体的作用，具有团队协作精神，掌握沟通合作技能，具有小组互助和合作学习体验。</w:t>
            </w:r>
          </w:p>
        </w:tc>
      </w:tr>
      <w:tr w:rsidR="003C7AB3" w14:paraId="0E986217" w14:textId="77777777" w:rsidTr="003C7AB3">
        <w:trPr>
          <w:trHeight w:val="454"/>
          <w:jc w:val="center"/>
        </w:trPr>
        <w:tc>
          <w:tcPr>
            <w:tcW w:w="163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14973DE" w14:textId="77777777" w:rsidR="003C7AB3" w:rsidRDefault="003C7AB3" w:rsidP="003C7AB3">
            <w:pPr>
              <w:adjustRightInd w:val="0"/>
              <w:snapToGrid w:val="0"/>
              <w:spacing w:line="440" w:lineRule="exact"/>
              <w:jc w:val="center"/>
              <w:rPr>
                <w:rFonts w:ascii="Times New Roman" w:eastAsia="宋体" w:hAnsi="Times New Roman" w:cs="Times New Roman"/>
                <w:color w:val="000000" w:themeColor="text1"/>
                <w:sz w:val="24"/>
                <w:szCs w:val="24"/>
              </w:rPr>
            </w:pPr>
            <w:r>
              <w:rPr>
                <w:rFonts w:ascii="Times New Roman" w:eastAsia="宋体" w:hAnsi="Times New Roman" w:cs="Times New Roman" w:hint="eastAsia"/>
                <w:color w:val="000000" w:themeColor="text1"/>
                <w:sz w:val="24"/>
                <w:szCs w:val="24"/>
              </w:rPr>
              <w:t>课程目标</w:t>
            </w:r>
            <w:r>
              <w:rPr>
                <w:rFonts w:ascii="Times New Roman" w:eastAsia="宋体" w:hAnsi="Times New Roman" w:cs="Times New Roman" w:hint="eastAsia"/>
                <w:color w:val="000000" w:themeColor="text1"/>
                <w:sz w:val="24"/>
                <w:szCs w:val="24"/>
              </w:rPr>
              <w:t>3</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9EEECFB" w14:textId="77777777" w:rsidR="003C7AB3" w:rsidRDefault="003C7AB3" w:rsidP="003C7AB3">
            <w:pPr>
              <w:adjustRightInd w:val="0"/>
              <w:snapToGrid w:val="0"/>
              <w:spacing w:line="440" w:lineRule="exact"/>
              <w:jc w:val="center"/>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1.师德规范（H）</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063126" w14:textId="77777777" w:rsidR="003C7AB3" w:rsidRDefault="003C7AB3" w:rsidP="003C7AB3">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proofErr w:type="gramStart"/>
            <w:r>
              <w:rPr>
                <w:rFonts w:ascii="Times New Roman" w:eastAsia="宋体" w:hAnsi="Times New Roman" w:cs="Times New Roman" w:hint="eastAsia"/>
                <w:color w:val="000000" w:themeColor="text1"/>
                <w:sz w:val="24"/>
                <w:szCs w:val="24"/>
              </w:rPr>
              <w:t>践行</w:t>
            </w:r>
            <w:proofErr w:type="gramEnd"/>
            <w:r>
              <w:rPr>
                <w:rFonts w:ascii="Times New Roman" w:eastAsia="宋体" w:hAnsi="Times New Roman" w:cs="Times New Roman" w:hint="eastAsia"/>
                <w:color w:val="000000" w:themeColor="text1"/>
                <w:sz w:val="24"/>
                <w:szCs w:val="24"/>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06F7B352" w14:textId="77777777" w:rsidR="003C7AB3" w:rsidRDefault="003C7AB3" w:rsidP="003C7AB3">
      <w:pPr>
        <w:snapToGrid w:val="0"/>
        <w:spacing w:before="187" w:after="187" w:line="440" w:lineRule="exact"/>
        <w:ind w:firstLineChars="100" w:firstLine="280"/>
        <w:rPr>
          <w:rFonts w:ascii="黑体" w:eastAsia="黑体" w:hAnsi="黑体"/>
          <w:sz w:val="28"/>
          <w:szCs w:val="28"/>
        </w:rPr>
      </w:pPr>
      <w:r>
        <w:rPr>
          <w:rFonts w:ascii="黑体" w:eastAsia="黑体" w:hAnsi="黑体"/>
          <w:sz w:val="28"/>
          <w:szCs w:val="28"/>
        </w:rPr>
        <w:t>（</w:t>
      </w:r>
      <w:r>
        <w:rPr>
          <w:rFonts w:ascii="黑体" w:eastAsia="黑体" w:hAnsi="黑体" w:hint="eastAsia"/>
          <w:sz w:val="28"/>
          <w:szCs w:val="28"/>
        </w:rPr>
        <w:t>三</w:t>
      </w:r>
      <w:r>
        <w:rPr>
          <w:rFonts w:ascii="黑体" w:eastAsia="黑体" w:hAnsi="黑体"/>
          <w:sz w:val="28"/>
          <w:szCs w:val="28"/>
        </w:rPr>
        <w:t>）课程学习目标与毕业要求的对应关系</w:t>
      </w:r>
    </w:p>
    <w:tbl>
      <w:tblPr>
        <w:tblW w:w="80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623"/>
        <w:gridCol w:w="1594"/>
        <w:gridCol w:w="4867"/>
      </w:tblGrid>
      <w:tr w:rsidR="003C7AB3" w14:paraId="7EA953D1" w14:textId="77777777" w:rsidTr="003C7AB3">
        <w:trPr>
          <w:trHeight w:val="454"/>
          <w:jc w:val="center"/>
        </w:trPr>
        <w:tc>
          <w:tcPr>
            <w:tcW w:w="162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7A715A5" w14:textId="77777777" w:rsidR="003C7AB3" w:rsidRDefault="003C7AB3" w:rsidP="003C7AB3">
            <w:pPr>
              <w:adjustRightInd w:val="0"/>
              <w:snapToGrid w:val="0"/>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c>
          <w:tcPr>
            <w:tcW w:w="15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FF65860" w14:textId="77777777" w:rsidR="003C7AB3" w:rsidRDefault="003C7AB3" w:rsidP="003C7AB3">
            <w:pPr>
              <w:adjustRightInd w:val="0"/>
              <w:snapToGrid w:val="0"/>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支撑的</w:t>
            </w:r>
          </w:p>
          <w:p w14:paraId="78A910E5" w14:textId="77777777" w:rsidR="003C7AB3" w:rsidRDefault="003C7AB3" w:rsidP="003C7AB3">
            <w:pPr>
              <w:adjustRightInd w:val="0"/>
              <w:snapToGrid w:val="0"/>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w:t>
            </w:r>
          </w:p>
        </w:tc>
        <w:tc>
          <w:tcPr>
            <w:tcW w:w="486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8FA1FF9" w14:textId="77777777" w:rsidR="003C7AB3" w:rsidRDefault="003C7AB3" w:rsidP="003C7AB3">
            <w:pPr>
              <w:adjustRightInd w:val="0"/>
              <w:snapToGrid w:val="0"/>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毕业要求内涵</w:t>
            </w:r>
          </w:p>
        </w:tc>
      </w:tr>
      <w:tr w:rsidR="003C7AB3" w14:paraId="320EE838" w14:textId="77777777" w:rsidTr="003C7AB3">
        <w:trPr>
          <w:trHeight w:val="454"/>
          <w:jc w:val="center"/>
        </w:trPr>
        <w:tc>
          <w:tcPr>
            <w:tcW w:w="162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017A41" w14:textId="77777777" w:rsidR="003C7AB3" w:rsidRDefault="003C7AB3" w:rsidP="003C7AB3">
            <w:pPr>
              <w:adjustRightInd w:val="0"/>
              <w:snapToGrid w:val="0"/>
              <w:spacing w:line="440" w:lineRule="exact"/>
              <w:jc w:val="center"/>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lastRenderedPageBreak/>
              <w:t>课程目标1</w:t>
            </w:r>
          </w:p>
        </w:tc>
        <w:tc>
          <w:tcPr>
            <w:tcW w:w="15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0BBD6DE" w14:textId="77777777" w:rsidR="003C7AB3" w:rsidRDefault="003C7AB3" w:rsidP="003C7AB3">
            <w:pPr>
              <w:adjustRightInd w:val="0"/>
              <w:snapToGrid w:val="0"/>
              <w:spacing w:line="440" w:lineRule="exact"/>
              <w:ind w:left="480" w:hangingChars="200" w:hanging="480"/>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8.职业规范（H）</w:t>
            </w:r>
          </w:p>
        </w:tc>
        <w:tc>
          <w:tcPr>
            <w:tcW w:w="486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12EF8E2" w14:textId="77777777" w:rsidR="003C7AB3" w:rsidRDefault="003C7AB3" w:rsidP="003C7AB3">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Pr>
                <w:rFonts w:ascii="Times New Roman" w:eastAsia="宋体" w:hAnsi="Times New Roman" w:cs="Times New Roman" w:hint="eastAsia"/>
                <w:color w:val="000000" w:themeColor="text1"/>
                <w:sz w:val="24"/>
                <w:szCs w:val="24"/>
              </w:rPr>
              <w:t>具有人文社会科学素养、社会责任感，能够在工程实践中理解并遵守工程职业道德和规范，履行责任。</w:t>
            </w:r>
          </w:p>
        </w:tc>
      </w:tr>
      <w:tr w:rsidR="003C7AB3" w14:paraId="6992F8D2" w14:textId="77777777" w:rsidTr="003C7AB3">
        <w:trPr>
          <w:trHeight w:val="454"/>
          <w:jc w:val="center"/>
        </w:trPr>
        <w:tc>
          <w:tcPr>
            <w:tcW w:w="162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0EF7866" w14:textId="77777777" w:rsidR="003C7AB3" w:rsidRDefault="003C7AB3" w:rsidP="003C7AB3">
            <w:pPr>
              <w:adjustRightInd w:val="0"/>
              <w:snapToGrid w:val="0"/>
              <w:spacing w:line="440" w:lineRule="exact"/>
              <w:jc w:val="center"/>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课程目标2</w:t>
            </w:r>
          </w:p>
        </w:tc>
        <w:tc>
          <w:tcPr>
            <w:tcW w:w="15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DEAA28A" w14:textId="77777777" w:rsidR="003C7AB3" w:rsidRDefault="003C7AB3" w:rsidP="003C7AB3">
            <w:pPr>
              <w:adjustRightInd w:val="0"/>
              <w:snapToGrid w:val="0"/>
              <w:spacing w:line="440" w:lineRule="exact"/>
              <w:jc w:val="center"/>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9.个人和团队（L）</w:t>
            </w:r>
          </w:p>
        </w:tc>
        <w:tc>
          <w:tcPr>
            <w:tcW w:w="486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6A7EE6" w14:textId="77777777" w:rsidR="003C7AB3" w:rsidRDefault="003C7AB3" w:rsidP="003C7AB3">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Pr>
                <w:rFonts w:ascii="Times New Roman" w:eastAsia="宋体" w:hAnsi="Times New Roman" w:cs="Times New Roman" w:hint="eastAsia"/>
                <w:color w:val="000000" w:themeColor="text1"/>
                <w:sz w:val="24"/>
                <w:szCs w:val="24"/>
              </w:rPr>
              <w:t>能够在多学科背景下的团队中承担个体、团队成员以及负责人的角色。</w:t>
            </w:r>
          </w:p>
        </w:tc>
      </w:tr>
      <w:tr w:rsidR="003C7AB3" w14:paraId="069CCC9C" w14:textId="77777777" w:rsidTr="003C7AB3">
        <w:trPr>
          <w:trHeight w:val="454"/>
          <w:jc w:val="center"/>
        </w:trPr>
        <w:tc>
          <w:tcPr>
            <w:tcW w:w="162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6608421" w14:textId="77777777" w:rsidR="003C7AB3" w:rsidRDefault="003C7AB3" w:rsidP="003C7AB3">
            <w:pPr>
              <w:adjustRightInd w:val="0"/>
              <w:snapToGrid w:val="0"/>
              <w:spacing w:line="440" w:lineRule="exact"/>
              <w:jc w:val="center"/>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课程目标3</w:t>
            </w:r>
          </w:p>
        </w:tc>
        <w:tc>
          <w:tcPr>
            <w:tcW w:w="15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FB9B8C8" w14:textId="77777777" w:rsidR="003C7AB3" w:rsidRDefault="003C7AB3" w:rsidP="003C7AB3">
            <w:pPr>
              <w:adjustRightInd w:val="0"/>
              <w:snapToGrid w:val="0"/>
              <w:spacing w:line="440" w:lineRule="exact"/>
              <w:jc w:val="center"/>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6.工程与社会（M）</w:t>
            </w:r>
          </w:p>
        </w:tc>
        <w:tc>
          <w:tcPr>
            <w:tcW w:w="486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2F2C5D9" w14:textId="77777777" w:rsidR="003C7AB3" w:rsidRDefault="003C7AB3" w:rsidP="003C7AB3">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Pr>
                <w:rFonts w:ascii="Times New Roman" w:eastAsia="宋体" w:hAnsi="Times New Roman" w:cs="Times New Roman" w:hint="eastAsia"/>
                <w:color w:val="000000" w:themeColor="text1"/>
                <w:sz w:val="24"/>
                <w:szCs w:val="24"/>
              </w:rPr>
              <w:t>能够基于工程相关背景知识进行合理分析，评价专业工程实践和复杂工程问题解决方案对社会、健康、安全、法律以及文化的影响，并理解应承担的责任。</w:t>
            </w:r>
          </w:p>
        </w:tc>
      </w:tr>
    </w:tbl>
    <w:p w14:paraId="486227AE" w14:textId="77777777" w:rsidR="003C7AB3" w:rsidRDefault="003C7AB3" w:rsidP="003C7AB3">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三、课程学习内容及与课程学习目标的对应关系</w:t>
      </w:r>
    </w:p>
    <w:p w14:paraId="78992216" w14:textId="77777777" w:rsidR="003C7AB3" w:rsidRDefault="003C7AB3" w:rsidP="003C7AB3">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（一）课程学习内容</w:t>
      </w:r>
    </w:p>
    <w:p w14:paraId="25BDAB11" w14:textId="77777777" w:rsidR="003C7AB3" w:rsidRDefault="003C7AB3" w:rsidP="003C7AB3">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绪论  担当复兴大任 成就</w:t>
      </w:r>
      <w:r>
        <w:rPr>
          <w:rFonts w:ascii="黑体" w:eastAsia="黑体" w:hAnsi="黑体"/>
          <w:sz w:val="28"/>
          <w:szCs w:val="28"/>
        </w:rPr>
        <w:t>时代新人</w:t>
      </w:r>
    </w:p>
    <w:p w14:paraId="7858756D" w14:textId="77777777" w:rsidR="003C7AB3" w:rsidRDefault="003C7AB3" w:rsidP="003C7AB3">
      <w:pPr>
        <w:snapToGrid w:val="0"/>
        <w:spacing w:line="440" w:lineRule="exact"/>
        <w:ind w:firstLineChars="200" w:firstLine="482"/>
        <w:rPr>
          <w:rFonts w:ascii="宋体" w:eastAsia="宋体" w:hAnsi="宋体"/>
          <w:b/>
          <w:bCs/>
          <w:sz w:val="24"/>
          <w:szCs w:val="24"/>
        </w:rPr>
      </w:pPr>
      <w:r>
        <w:rPr>
          <w:rFonts w:ascii="宋体" w:eastAsia="宋体" w:hAnsi="宋体"/>
          <w:b/>
          <w:bCs/>
          <w:sz w:val="24"/>
          <w:szCs w:val="24"/>
        </w:rPr>
        <w:t>【学习目标】</w:t>
      </w:r>
    </w:p>
    <w:p w14:paraId="749DD706" w14:textId="77777777" w:rsidR="003C7AB3" w:rsidRDefault="003C7AB3" w:rsidP="003C7AB3">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认知类目标：理解中国特色社会主义进入新时代的历史方位，明确党和国家对时代新人的期待和要求，理解道德与法律、思想道德素质和法治素养的含义和培育的重要意义，知道本课程的性质、特点和学习方法。</w:t>
      </w:r>
    </w:p>
    <w:p w14:paraId="664EE7E8" w14:textId="77777777" w:rsidR="003C7AB3" w:rsidRDefault="003C7AB3" w:rsidP="003C7AB3">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行为能力类目标：积极思考，主动发言，参与课堂活动，参与理论学习小组的研讨活动，在各项参与中学会处理个人和团队的关系，锻炼沟通合作能力；联系大学生和社会实际分析探讨认识新时代和如何成就时代新人。</w:t>
      </w:r>
    </w:p>
    <w:p w14:paraId="7C238A51" w14:textId="77777777" w:rsidR="003C7AB3" w:rsidRDefault="003C7AB3" w:rsidP="003C7AB3">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3.人格、素质、价值观类目标：志愿成为堪当民族复兴大任的时代新人，在为祖国、为民族、为人民、为人类不懈奋斗中绽放青春之花。</w:t>
      </w:r>
    </w:p>
    <w:p w14:paraId="7A7E39DC" w14:textId="77777777" w:rsidR="003C7AB3" w:rsidRDefault="003C7AB3" w:rsidP="003C7AB3">
      <w:pPr>
        <w:snapToGrid w:val="0"/>
        <w:spacing w:line="440" w:lineRule="exact"/>
        <w:ind w:firstLineChars="200" w:firstLine="482"/>
        <w:rPr>
          <w:rFonts w:ascii="宋体" w:eastAsia="宋体" w:hAnsi="宋体"/>
          <w:b/>
          <w:bCs/>
          <w:sz w:val="24"/>
          <w:szCs w:val="24"/>
        </w:rPr>
      </w:pPr>
      <w:r>
        <w:rPr>
          <w:rFonts w:ascii="宋体" w:eastAsia="宋体" w:hAnsi="宋体"/>
          <w:b/>
          <w:bCs/>
          <w:sz w:val="24"/>
          <w:szCs w:val="24"/>
        </w:rPr>
        <w:t>【学习内容】</w:t>
      </w:r>
    </w:p>
    <w:p w14:paraId="577EB79D"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1.我们处在中国特色社会主义新时代；</w:t>
      </w:r>
    </w:p>
    <w:p w14:paraId="3356E444"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2.新时代呼呼担当民族复兴大任的时代新人；</w:t>
      </w:r>
    </w:p>
    <w:p w14:paraId="277FE390" w14:textId="77777777" w:rsidR="003C7AB3" w:rsidRDefault="003C7AB3" w:rsidP="003C7AB3">
      <w:pPr>
        <w:spacing w:line="440" w:lineRule="exact"/>
        <w:ind w:firstLineChars="200" w:firstLine="480"/>
        <w:rPr>
          <w:rFonts w:ascii="宋体" w:eastAsia="宋体" w:hAnsi="宋体"/>
          <w:sz w:val="24"/>
          <w:szCs w:val="24"/>
        </w:rPr>
      </w:pPr>
      <w:r>
        <w:rPr>
          <w:rFonts w:ascii="宋体" w:eastAsia="宋体" w:hAnsi="宋体" w:cs="Times New Roman" w:hint="eastAsia"/>
          <w:sz w:val="24"/>
          <w:szCs w:val="24"/>
        </w:rPr>
        <w:t>3.不断提升思想道德素质和法治素养。</w:t>
      </w:r>
    </w:p>
    <w:p w14:paraId="7049E380"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【重点】</w:t>
      </w:r>
    </w:p>
    <w:p w14:paraId="5DA99DAF"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1.新时代和时代新人的特点。</w:t>
      </w:r>
    </w:p>
    <w:p w14:paraId="4F1329E6"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lastRenderedPageBreak/>
        <w:t>【难点】</w:t>
      </w:r>
    </w:p>
    <w:p w14:paraId="2D3B48E7"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1.新时代青年在实现第二个百年奋斗目标中面对的</w:t>
      </w:r>
      <w:proofErr w:type="gramStart"/>
      <w:r>
        <w:rPr>
          <w:rFonts w:ascii="宋体" w:eastAsia="宋体" w:hAnsi="宋体" w:cs="Times New Roman" w:hint="eastAsia"/>
          <w:sz w:val="24"/>
          <w:szCs w:val="24"/>
        </w:rPr>
        <w:t>人生机遇</w:t>
      </w:r>
      <w:proofErr w:type="gramEnd"/>
      <w:r>
        <w:rPr>
          <w:rFonts w:ascii="宋体" w:eastAsia="宋体" w:hAnsi="宋体" w:cs="Times New Roman" w:hint="eastAsia"/>
          <w:sz w:val="24"/>
          <w:szCs w:val="24"/>
        </w:rPr>
        <w:t>和担负的历史使命；</w:t>
      </w:r>
    </w:p>
    <w:p w14:paraId="5668926B"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2.新时代大学生如何才能成为担当民族复兴大任的时代新人。</w:t>
      </w:r>
    </w:p>
    <w:p w14:paraId="04C5FE2C"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【教学方法】</w:t>
      </w:r>
    </w:p>
    <w:p w14:paraId="3AB495A8"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1.启发式和注入式结合，通过讲授法、问答法，引导学生读懂新时代，认清时代新人，提升理论素养，自觉做担当民族复兴大任的时代新人；</w:t>
      </w:r>
    </w:p>
    <w:p w14:paraId="3CDE264C"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2.通过图片和视频呈现的方式，通过案例分析引导学生理解道德和法律的关系，锻炼理论联系实际能力，不断提升道德素质和法治素养；</w:t>
      </w:r>
    </w:p>
    <w:p w14:paraId="31700A67"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引导学生学习处理个人和团队关系，锻炼沟通合作能力，认识新时代、时代新人以及与我的关系。</w:t>
      </w:r>
    </w:p>
    <w:p w14:paraId="324BCE43"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【复习思考】</w:t>
      </w:r>
    </w:p>
    <w:p w14:paraId="2134A6B3"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1.结合自身实际思考新时代青年在实现第二个百年奋斗目标中面对的</w:t>
      </w:r>
      <w:proofErr w:type="gramStart"/>
      <w:r>
        <w:rPr>
          <w:rFonts w:ascii="宋体" w:eastAsia="宋体" w:hAnsi="宋体" w:cs="Times New Roman" w:hint="eastAsia"/>
          <w:sz w:val="24"/>
          <w:szCs w:val="24"/>
        </w:rPr>
        <w:t>人生机遇</w:t>
      </w:r>
      <w:proofErr w:type="gramEnd"/>
      <w:r>
        <w:rPr>
          <w:rFonts w:ascii="宋体" w:eastAsia="宋体" w:hAnsi="宋体" w:cs="Times New Roman" w:hint="eastAsia"/>
          <w:sz w:val="24"/>
          <w:szCs w:val="24"/>
        </w:rPr>
        <w:t>和担负的历史使命。</w:t>
      </w:r>
    </w:p>
    <w:p w14:paraId="7BEBEA01"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2.新时代大学生如何才能成为担当民族复兴大任的时代新人？</w:t>
      </w:r>
    </w:p>
    <w:p w14:paraId="247D256C"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3.结合自身实际，谈谈新时代大学生如何提升思想道德素质和法治素养。</w:t>
      </w:r>
    </w:p>
    <w:p w14:paraId="701159DA" w14:textId="77777777" w:rsidR="003C7AB3" w:rsidRDefault="003C7AB3" w:rsidP="003C7AB3">
      <w:pPr>
        <w:snapToGrid w:val="0"/>
        <w:spacing w:before="187" w:after="187" w:line="440" w:lineRule="exact"/>
        <w:ind w:firstLineChars="200" w:firstLine="560"/>
        <w:jc w:val="center"/>
        <w:rPr>
          <w:rFonts w:ascii="黑体" w:eastAsia="黑体" w:hAnsi="黑体"/>
          <w:sz w:val="28"/>
          <w:szCs w:val="28"/>
        </w:rPr>
      </w:pPr>
      <w:r>
        <w:rPr>
          <w:rFonts w:ascii="黑体" w:eastAsia="黑体" w:hAnsi="黑体" w:hint="eastAsia"/>
          <w:sz w:val="28"/>
          <w:szCs w:val="28"/>
        </w:rPr>
        <w:t>第一章</w:t>
      </w:r>
      <w:r>
        <w:rPr>
          <w:rFonts w:ascii="黑体" w:eastAsia="黑体" w:hAnsi="黑体"/>
          <w:sz w:val="28"/>
          <w:szCs w:val="28"/>
        </w:rPr>
        <w:t xml:space="preserve">　</w:t>
      </w:r>
      <w:r>
        <w:rPr>
          <w:rFonts w:ascii="黑体" w:eastAsia="黑体" w:hAnsi="黑体" w:hint="eastAsia"/>
          <w:sz w:val="28"/>
          <w:szCs w:val="28"/>
        </w:rPr>
        <w:t>领悟</w:t>
      </w:r>
      <w:r>
        <w:rPr>
          <w:rFonts w:ascii="黑体" w:eastAsia="黑体" w:hAnsi="黑体"/>
          <w:sz w:val="28"/>
          <w:szCs w:val="28"/>
        </w:rPr>
        <w:t>人生</w:t>
      </w:r>
      <w:r>
        <w:rPr>
          <w:rFonts w:ascii="黑体" w:eastAsia="黑体" w:hAnsi="黑体" w:hint="eastAsia"/>
          <w:sz w:val="28"/>
          <w:szCs w:val="28"/>
        </w:rPr>
        <w:t>真谛 把握人生方向</w:t>
      </w:r>
    </w:p>
    <w:p w14:paraId="64B0F42F"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【学习目标】</w:t>
      </w:r>
    </w:p>
    <w:p w14:paraId="73948FCE"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1.认知类目标：领会马克思主义关于人生问题的基本理论，正确认识人生观、什么是正确的人生观。</w:t>
      </w:r>
    </w:p>
    <w:p w14:paraId="255DBEC9"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行为能力类目标：积极思考，主动发言，参与课堂活动，参与理论学习小组的研讨活动，在各项参与中学会处理个人和团队的关系，锻炼沟通合作能力；能分析和评价个人与社会的辩证关系，学会辩证对待人生矛盾，辨析和反对错误人生观，在科学理论指导</w:t>
      </w:r>
      <w:proofErr w:type="gramStart"/>
      <w:r>
        <w:rPr>
          <w:rFonts w:ascii="宋体" w:eastAsia="宋体" w:hAnsi="宋体" w:cs="Times New Roman" w:hint="eastAsia"/>
          <w:sz w:val="24"/>
          <w:szCs w:val="24"/>
        </w:rPr>
        <w:t>下规划</w:t>
      </w:r>
      <w:proofErr w:type="gramEnd"/>
      <w:r>
        <w:rPr>
          <w:rFonts w:ascii="宋体" w:eastAsia="宋体" w:hAnsi="宋体" w:cs="Times New Roman" w:hint="eastAsia"/>
          <w:sz w:val="24"/>
          <w:szCs w:val="24"/>
        </w:rPr>
        <w:t>自己的人生之路；</w:t>
      </w:r>
    </w:p>
    <w:p w14:paraId="186CDCB2"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3.人格、素质、价值观类目标：面对世界的深刻复杂变化，面对纷繁多样的社会现象，面对各种思潮的互相激荡，面对学业、情感、职业选择等多方面的</w:t>
      </w:r>
      <w:proofErr w:type="gramStart"/>
      <w:r>
        <w:rPr>
          <w:rFonts w:ascii="宋体" w:eastAsia="宋体" w:hAnsi="宋体" w:cs="Times New Roman" w:hint="eastAsia"/>
          <w:sz w:val="24"/>
          <w:szCs w:val="24"/>
        </w:rPr>
        <w:t>考量</w:t>
      </w:r>
      <w:proofErr w:type="gramEnd"/>
      <w:r>
        <w:rPr>
          <w:rFonts w:ascii="宋体" w:eastAsia="宋体" w:hAnsi="宋体" w:cs="Times New Roman" w:hint="eastAsia"/>
          <w:sz w:val="24"/>
          <w:szCs w:val="24"/>
        </w:rPr>
        <w:t>，树立正确的人生观，把自己的人生追求同国家发展进步、人民伟大实践紧密结合起来，通过不懈努力实现人生价值。</w:t>
      </w:r>
    </w:p>
    <w:p w14:paraId="235B4A92"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【学习内容】</w:t>
      </w:r>
    </w:p>
    <w:p w14:paraId="00487578"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1.人生观是对人生的总看法；</w:t>
      </w:r>
    </w:p>
    <w:p w14:paraId="76CF396F"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2.正确的人生观；</w:t>
      </w:r>
    </w:p>
    <w:p w14:paraId="06DB440D"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3.创造有意义的人生。</w:t>
      </w:r>
    </w:p>
    <w:p w14:paraId="24CE57CD"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【重点】</w:t>
      </w:r>
    </w:p>
    <w:p w14:paraId="1B0B2C57"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1.正确的人生价值观；</w:t>
      </w:r>
    </w:p>
    <w:p w14:paraId="16B0C96B"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2.积极进取的人生态度。</w:t>
      </w:r>
    </w:p>
    <w:p w14:paraId="172BD01C"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【难点】</w:t>
      </w:r>
    </w:p>
    <w:p w14:paraId="06DB8B88"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1.个人与社会的辩证关系；</w:t>
      </w:r>
    </w:p>
    <w:p w14:paraId="2F848D37"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2.如何辩证对待人生矛盾。</w:t>
      </w:r>
    </w:p>
    <w:p w14:paraId="0B2A4249"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【教学方法】</w:t>
      </w:r>
    </w:p>
    <w:p w14:paraId="6F3DB30C"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1.启发式和注入式结合，通过讲授法、问答法，阐述人的本质，引入马克思关于人的本质的论述，运用历史唯物主义的观点阐释人的社会性本质。</w:t>
      </w:r>
    </w:p>
    <w:p w14:paraId="2D0ACCF8"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2.通过图片和视频呈现的方式，通过案例分析，使学生接受正确的人生观，自觉抵制错误的人生观。</w:t>
      </w:r>
    </w:p>
    <w:p w14:paraId="12661871"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引导学生学习处理个人和团队关系，锻炼沟通合作能力，澄清对人生观的错误认识，深化对正确人生观的认同。</w:t>
      </w:r>
    </w:p>
    <w:p w14:paraId="71C4726D"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【复习思考】</w:t>
      </w:r>
    </w:p>
    <w:p w14:paraId="1866B576"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1.马克思主义认为，个人与社会是辩证统一的，据此谈谈人生的自我价值和社会价值的关系。</w:t>
      </w:r>
    </w:p>
    <w:p w14:paraId="374C3F11"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2.青年处于人生道路的起步阶段，在学习、工作、生活方面往往会遇到不少困难和挫折。结合自身实际思考如何正确认识和处理人生矛盾？</w:t>
      </w:r>
    </w:p>
    <w:p w14:paraId="031C48CB"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3.新时代是奋斗者的时代，只有奋斗的人生才称得上幸福的人生。新时代大学生怎样成就出彩人生？</w:t>
      </w:r>
    </w:p>
    <w:p w14:paraId="6F215083" w14:textId="77777777" w:rsidR="003C7AB3" w:rsidRDefault="003C7AB3" w:rsidP="003C7AB3">
      <w:pPr>
        <w:snapToGrid w:val="0"/>
        <w:spacing w:before="187" w:after="187" w:line="440" w:lineRule="exact"/>
        <w:ind w:firstLineChars="200" w:firstLine="560"/>
        <w:jc w:val="center"/>
        <w:rPr>
          <w:rFonts w:ascii="黑体" w:eastAsia="黑体" w:hAnsi="黑体"/>
          <w:sz w:val="28"/>
          <w:szCs w:val="28"/>
        </w:rPr>
      </w:pPr>
      <w:r>
        <w:rPr>
          <w:rFonts w:ascii="黑体" w:eastAsia="黑体" w:hAnsi="黑体" w:hint="eastAsia"/>
          <w:sz w:val="28"/>
          <w:szCs w:val="28"/>
        </w:rPr>
        <w:t>第二章  追求远大</w:t>
      </w:r>
      <w:r>
        <w:rPr>
          <w:rFonts w:ascii="黑体" w:eastAsia="黑体" w:hAnsi="黑体"/>
          <w:sz w:val="28"/>
          <w:szCs w:val="28"/>
        </w:rPr>
        <w:t>理想</w:t>
      </w:r>
      <w:r>
        <w:rPr>
          <w:rFonts w:ascii="黑体" w:eastAsia="黑体" w:hAnsi="黑体" w:hint="eastAsia"/>
          <w:sz w:val="28"/>
          <w:szCs w:val="28"/>
        </w:rPr>
        <w:t xml:space="preserve"> </w:t>
      </w:r>
      <w:r>
        <w:rPr>
          <w:rFonts w:ascii="黑体" w:eastAsia="黑体" w:hAnsi="黑体"/>
          <w:sz w:val="28"/>
          <w:szCs w:val="28"/>
        </w:rPr>
        <w:t>坚定</w:t>
      </w:r>
      <w:r>
        <w:rPr>
          <w:rFonts w:ascii="黑体" w:eastAsia="黑体" w:hAnsi="黑体" w:hint="eastAsia"/>
          <w:sz w:val="28"/>
          <w:szCs w:val="28"/>
        </w:rPr>
        <w:t>崇高</w:t>
      </w:r>
      <w:r>
        <w:rPr>
          <w:rFonts w:ascii="黑体" w:eastAsia="黑体" w:hAnsi="黑体"/>
          <w:sz w:val="28"/>
          <w:szCs w:val="28"/>
        </w:rPr>
        <w:t>信念</w:t>
      </w:r>
    </w:p>
    <w:p w14:paraId="6C1A9758"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【学习目标】</w:t>
      </w:r>
    </w:p>
    <w:p w14:paraId="532CEF26"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1.认知类目标：掌握理想信念的内涵和重要性，个人理想与社会理想相统一的关系；</w:t>
      </w:r>
    </w:p>
    <w:p w14:paraId="7DDF5918"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2.行为能力类目标：积极思考，主动发言，参与课堂活动，参与理论学习小组的研讨活动，在各项参与中学会处理个人和团队的关系，锻炼沟通合作能力；科学把握</w:t>
      </w:r>
      <w:r>
        <w:rPr>
          <w:rFonts w:ascii="宋体" w:eastAsia="宋体" w:hAnsi="宋体" w:cs="Times New Roman" w:hint="eastAsia"/>
          <w:sz w:val="24"/>
          <w:szCs w:val="24"/>
        </w:rPr>
        <w:lastRenderedPageBreak/>
        <w:t>理想和现实的关系，坚持个人理想与社会理想的有机结合，为实现中国梦注入青春能量；</w:t>
      </w:r>
    </w:p>
    <w:p w14:paraId="7C69FB2E"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人格、素质、价值观类目标：增强对马克思主义、共产主义的信仰，增强对中国特色社会主义的信念，增强对实现中华民族伟大复兴的信心，把个人理想追求融入党和国家事业之中，成为有远大理想、崇高信念的人。</w:t>
      </w:r>
    </w:p>
    <w:p w14:paraId="08D61185"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【学习内容】</w:t>
      </w:r>
    </w:p>
    <w:p w14:paraId="176ACDE5"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1.理想信念的内涵和重要性；</w:t>
      </w:r>
    </w:p>
    <w:p w14:paraId="776994F7"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2.坚定信仰信念信心；</w:t>
      </w:r>
    </w:p>
    <w:p w14:paraId="2884D293" w14:textId="77777777" w:rsidR="003C7AB3" w:rsidRDefault="003C7AB3" w:rsidP="003C7AB3">
      <w:pPr>
        <w:spacing w:line="440" w:lineRule="exact"/>
        <w:ind w:firstLineChars="200" w:firstLine="480"/>
        <w:rPr>
          <w:rFonts w:asciiTheme="minorEastAsia" w:hAnsiTheme="minorEastAsia"/>
          <w:sz w:val="24"/>
          <w:szCs w:val="24"/>
        </w:rPr>
      </w:pPr>
      <w:r>
        <w:rPr>
          <w:rFonts w:ascii="宋体" w:eastAsia="宋体" w:hAnsi="宋体" w:cs="Times New Roman" w:hint="eastAsia"/>
          <w:sz w:val="24"/>
          <w:szCs w:val="24"/>
        </w:rPr>
        <w:t>3.在实现中国梦的实践中放飞青春梦想。</w:t>
      </w:r>
    </w:p>
    <w:p w14:paraId="0A8F1B36"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【重点】</w:t>
      </w:r>
    </w:p>
    <w:p w14:paraId="2F1396DF"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1.理想信念是精神之“钙”；</w:t>
      </w:r>
    </w:p>
    <w:p w14:paraId="1D8FC1F4"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2.理解并树立中国特色社会主义的共同理想；</w:t>
      </w:r>
    </w:p>
    <w:p w14:paraId="2F10786C"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3.在实现中国梦的实践中放飞青春梦想。</w:t>
      </w:r>
    </w:p>
    <w:p w14:paraId="25E8855A"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【难点】</w:t>
      </w:r>
    </w:p>
    <w:p w14:paraId="6450976C"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1.信仰马克思主义与胸怀共产主义远大理想。</w:t>
      </w:r>
    </w:p>
    <w:p w14:paraId="02CE0040"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【教学方法】</w:t>
      </w:r>
    </w:p>
    <w:p w14:paraId="33EC4DF3"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1.启发式和注入式结合，通过讲授法、问答法，阐明理想信念、应该坚定怎样的信仰信念信心等基本知识和理论。</w:t>
      </w:r>
    </w:p>
    <w:p w14:paraId="0B772DB0"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2.通过图片和视频呈现的方式，通过案例分析，促进学生更好地理解理想信念及重要意义，坚定信仰信念信心，激发学生为实现中国梦注入自己的青春能量。</w:t>
      </w:r>
    </w:p>
    <w:p w14:paraId="76206B36"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引导学生学习处理个人和团队关系，锻炼沟通合作能力，认识理想信念的重要意义，学会处理理想与现实、个人理想与社会理想关系，立志高远、躬行实践。</w:t>
      </w:r>
    </w:p>
    <w:p w14:paraId="54BDF23F"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【复习思考】</w:t>
      </w:r>
    </w:p>
    <w:p w14:paraId="16035001"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1.理想信念对大学生成长成才有什么重要意义？</w:t>
      </w:r>
    </w:p>
    <w:p w14:paraId="1820E62C"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2.结合自身实际，谈谈为什么要坚定信仰信念信心？</w:t>
      </w:r>
    </w:p>
    <w:p w14:paraId="412AD51D" w14:textId="77777777" w:rsidR="003C7AB3" w:rsidRDefault="003C7AB3" w:rsidP="003C7AB3">
      <w:pPr>
        <w:spacing w:line="440" w:lineRule="exact"/>
        <w:ind w:firstLineChars="200" w:firstLine="480"/>
        <w:rPr>
          <w:rFonts w:asciiTheme="minorEastAsia" w:hAnsiTheme="minorEastAsia"/>
          <w:sz w:val="24"/>
          <w:szCs w:val="24"/>
        </w:rPr>
      </w:pPr>
      <w:r>
        <w:rPr>
          <w:rFonts w:ascii="宋体" w:eastAsia="宋体" w:hAnsi="宋体" w:cs="Times New Roman" w:hint="eastAsia"/>
          <w:sz w:val="24"/>
          <w:szCs w:val="24"/>
        </w:rPr>
        <w:t>3.从个人理想和社会理想辩证关系的角度，谈谈实现中华民族伟大复兴应肩负的责任。</w:t>
      </w:r>
    </w:p>
    <w:p w14:paraId="233E9D0B" w14:textId="77777777" w:rsidR="003C7AB3" w:rsidRDefault="003C7AB3" w:rsidP="003C7AB3">
      <w:pPr>
        <w:snapToGrid w:val="0"/>
        <w:spacing w:before="187" w:after="187" w:line="440" w:lineRule="exact"/>
        <w:ind w:firstLineChars="200" w:firstLine="560"/>
        <w:jc w:val="center"/>
        <w:rPr>
          <w:rFonts w:ascii="黑体" w:eastAsia="黑体" w:hAnsi="黑体"/>
          <w:sz w:val="28"/>
          <w:szCs w:val="28"/>
        </w:rPr>
      </w:pPr>
      <w:r>
        <w:rPr>
          <w:rFonts w:ascii="黑体" w:eastAsia="黑体" w:hAnsi="黑体" w:hint="eastAsia"/>
          <w:sz w:val="28"/>
          <w:szCs w:val="28"/>
        </w:rPr>
        <w:t>第三章</w:t>
      </w:r>
      <w:r>
        <w:rPr>
          <w:rFonts w:ascii="黑体" w:eastAsia="黑体" w:hAnsi="黑体"/>
          <w:sz w:val="28"/>
          <w:szCs w:val="28"/>
        </w:rPr>
        <w:t xml:space="preserve">　</w:t>
      </w:r>
      <w:r>
        <w:rPr>
          <w:rFonts w:ascii="黑体" w:eastAsia="黑体" w:hAnsi="黑体" w:hint="eastAsia"/>
          <w:sz w:val="28"/>
          <w:szCs w:val="28"/>
        </w:rPr>
        <w:t xml:space="preserve">继承优良传统 </w:t>
      </w:r>
      <w:r>
        <w:rPr>
          <w:rFonts w:ascii="黑体" w:eastAsia="黑体" w:hAnsi="黑体"/>
          <w:sz w:val="28"/>
          <w:szCs w:val="28"/>
        </w:rPr>
        <w:t>弘扬中国精神</w:t>
      </w:r>
    </w:p>
    <w:p w14:paraId="341B6ADD"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lastRenderedPageBreak/>
        <w:t>【学习目标】</w:t>
      </w:r>
    </w:p>
    <w:p w14:paraId="1ADF7F26"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1.认知类目标：理解中国精神是兴国强国之魂，明确弘扬新时代爱国主义的基本要求，认识到改革开放是当代中国的显著特征，改革创新是新时代的迫切需要。</w:t>
      </w:r>
    </w:p>
    <w:p w14:paraId="0B1D86A3"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行为能力类目标：积极思考，主动发言，参与课堂活动，参与理论学习小组的研讨活动，在各项参与中学会处理个人和团队的关系，锻炼沟通合作能力；学会透过现象看清反党反社会主义、分裂祖国的各种“独”、历史虚无主义等的险恶用心和反对本质，掌握正确处理立足中国又面向世界的辩证关系的理论和方法。树立理论联系实际的观念，增强创新创造的能力和本领，将弘扬改革创新精神贯穿于实践中、体现在行动上。</w:t>
      </w:r>
    </w:p>
    <w:p w14:paraId="06C2C6AD"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人格、素质、价值观类目标：努力做忠诚的爱国者和时代的奋进者。深刻理解爱国爱党爱社会主义的高度统一，感悟两岸关系和平发展的潮流，自觉做民族团结进步事业的建设者、维护者和促进者，尊重和传承中华民族历史文化，增强做中国人的志气骨气和底气，正确处理立足中国又面向世界的辩证关系。在改革创新的实践中奉献祖国、服务人民、实现价值，让改革创新成为青春远航的强大动力。用实际行动展现出中国精神的青春风采。</w:t>
      </w:r>
    </w:p>
    <w:p w14:paraId="794C9BCF"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【学习内容】</w:t>
      </w:r>
    </w:p>
    <w:p w14:paraId="0B02408D"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1.中国精神是兴国强国之魂；</w:t>
      </w:r>
    </w:p>
    <w:p w14:paraId="70730782"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2.做新时代的忠诚爱国者；</w:t>
      </w:r>
    </w:p>
    <w:p w14:paraId="07F3FF77"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3.让改革创新成为青春远航的动力。</w:t>
      </w:r>
    </w:p>
    <w:p w14:paraId="369C27D0"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【重点】</w:t>
      </w:r>
    </w:p>
    <w:p w14:paraId="1FB01727"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1.中国精神是兴国强国之魂；</w:t>
      </w:r>
    </w:p>
    <w:p w14:paraId="4174FCAC"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2.中国共产党是中国精神的忠实继承者和坚定弘扬者；</w:t>
      </w:r>
    </w:p>
    <w:p w14:paraId="400E3397"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3.新时代爱国主义的基本要求。</w:t>
      </w:r>
    </w:p>
    <w:p w14:paraId="7BDE1147"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【难点】</w:t>
      </w:r>
    </w:p>
    <w:p w14:paraId="1149C070"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1.爱国主义是民族精神的核心；</w:t>
      </w:r>
    </w:p>
    <w:p w14:paraId="5568550A"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2.弘扬以改革创新为核心的时代精神。</w:t>
      </w:r>
    </w:p>
    <w:p w14:paraId="1E933DFF"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【教学方法】</w:t>
      </w:r>
    </w:p>
    <w:p w14:paraId="11BE1F8E"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1.启发式和注入式结合，通过讲授法、问答法，阐明中国精神是兴国强国之魂、新时代的爱国主义、改革创新等基本知识和观点；</w:t>
      </w:r>
    </w:p>
    <w:p w14:paraId="45CD3BBD"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2.通过图片和视频呈现的方式，通过案例分析，深化学生对中国精神、新时期爱国主义、改革创新重要观念的理解和认同；</w:t>
      </w:r>
    </w:p>
    <w:p w14:paraId="6D79A17E"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3.根据授课专业班级具体特点，组织选用讨论发言、演讲、辩论、PPT或音视频展示与汇报、情景小品演示或其他各种创新的课堂参与形式，发挥学生主体性作用，引导学生学习处理个人和团队关系，锻炼沟通合作能力；</w:t>
      </w:r>
    </w:p>
    <w:p w14:paraId="6E3544D3"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4.通过问题教学法、启发式教学的方法，引导学生课堂参与分享，唤起学生爱党爱社会主义的情怀和改革创新的激情。</w:t>
      </w:r>
    </w:p>
    <w:p w14:paraId="0C9E3BC8"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【复习思考】</w:t>
      </w:r>
    </w:p>
    <w:p w14:paraId="2D681524"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1.结合实际，谈谈为什么中国精神是兴国强国之魂？</w:t>
      </w:r>
    </w:p>
    <w:p w14:paraId="0CFFC35F"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2.结合实际，谈谈你对伟大建党精神的理解，新时代青年如何从中国共产党人精神谱系中汲取奋斗力量？</w:t>
      </w:r>
    </w:p>
    <w:p w14:paraId="4AF6DD51"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3.结合实际，谈谈如何做新时代的忠诚爱国者？</w:t>
      </w:r>
    </w:p>
    <w:p w14:paraId="7B95430A"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4.结合自身实际，谈谈如何走在改革创新的时代前列？</w:t>
      </w:r>
    </w:p>
    <w:p w14:paraId="2839D5F0" w14:textId="77777777" w:rsidR="003C7AB3" w:rsidRDefault="003C7AB3" w:rsidP="003C7AB3">
      <w:pPr>
        <w:snapToGrid w:val="0"/>
        <w:spacing w:before="187" w:after="187" w:line="440" w:lineRule="exact"/>
        <w:ind w:firstLineChars="200" w:firstLine="560"/>
        <w:jc w:val="center"/>
        <w:rPr>
          <w:rFonts w:ascii="黑体" w:eastAsia="黑体" w:hAnsi="黑体"/>
          <w:sz w:val="28"/>
          <w:szCs w:val="28"/>
        </w:rPr>
      </w:pPr>
      <w:r>
        <w:rPr>
          <w:rFonts w:ascii="黑体" w:eastAsia="黑体" w:hAnsi="黑体" w:hint="eastAsia"/>
          <w:sz w:val="28"/>
          <w:szCs w:val="28"/>
        </w:rPr>
        <w:t>第四章</w:t>
      </w:r>
      <w:r>
        <w:rPr>
          <w:rFonts w:ascii="黑体" w:eastAsia="黑体" w:hAnsi="黑体"/>
          <w:sz w:val="28"/>
          <w:szCs w:val="28"/>
        </w:rPr>
        <w:t xml:space="preserve">　</w:t>
      </w:r>
      <w:r>
        <w:rPr>
          <w:rFonts w:ascii="黑体" w:eastAsia="黑体" w:hAnsi="黑体" w:hint="eastAsia"/>
          <w:sz w:val="28"/>
          <w:szCs w:val="28"/>
        </w:rPr>
        <w:t xml:space="preserve">明确价值要求 </w:t>
      </w:r>
      <w:proofErr w:type="gramStart"/>
      <w:r>
        <w:rPr>
          <w:rFonts w:ascii="黑体" w:eastAsia="黑体" w:hAnsi="黑体"/>
          <w:sz w:val="28"/>
          <w:szCs w:val="28"/>
        </w:rPr>
        <w:t>践行</w:t>
      </w:r>
      <w:proofErr w:type="gramEnd"/>
      <w:r>
        <w:rPr>
          <w:rFonts w:ascii="黑体" w:eastAsia="黑体" w:hAnsi="黑体"/>
          <w:sz w:val="28"/>
          <w:szCs w:val="28"/>
        </w:rPr>
        <w:t>核心</w:t>
      </w:r>
      <w:r>
        <w:rPr>
          <w:rFonts w:ascii="黑体" w:eastAsia="黑体" w:hAnsi="黑体" w:hint="eastAsia"/>
          <w:sz w:val="28"/>
          <w:szCs w:val="28"/>
        </w:rPr>
        <w:t>准则</w:t>
      </w:r>
    </w:p>
    <w:p w14:paraId="4DD1230A"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【学习目标】</w:t>
      </w:r>
    </w:p>
    <w:p w14:paraId="6B3A2214"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1.认知类目标：领会社会主义核心价值观的重大意义、科学内涵、显著特征；</w:t>
      </w:r>
    </w:p>
    <w:p w14:paraId="303A453D"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行为能力类目标：积极思考，主动发言，参与课堂活动，参与理论学习小组的研讨活动，在各项参与中学会处理个人和团队的关系，锻炼沟通合作能力；掌握社会主义核心价值观养成的基本方法，从日常点滴做起，从细微之处做起，勤学、修德、明辨、笃实，使社会主义核心价值观成为一言一行的基本遵循；</w:t>
      </w:r>
    </w:p>
    <w:p w14:paraId="467F0542"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3.人格、素质、价值观类目标：扣好人生的扣子，成为社会主义核心价值观的坚定信仰者、积极传播者、模范</w:t>
      </w:r>
      <w:proofErr w:type="gramStart"/>
      <w:r>
        <w:rPr>
          <w:rFonts w:ascii="宋体" w:eastAsia="宋体" w:hAnsi="宋体" w:cs="Times New Roman" w:hint="eastAsia"/>
          <w:sz w:val="24"/>
          <w:szCs w:val="24"/>
        </w:rPr>
        <w:t>践行</w:t>
      </w:r>
      <w:proofErr w:type="gramEnd"/>
      <w:r>
        <w:rPr>
          <w:rFonts w:ascii="宋体" w:eastAsia="宋体" w:hAnsi="宋体" w:cs="Times New Roman" w:hint="eastAsia"/>
          <w:sz w:val="24"/>
          <w:szCs w:val="24"/>
        </w:rPr>
        <w:t>者。</w:t>
      </w:r>
    </w:p>
    <w:p w14:paraId="11F9957D"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【学习内容】</w:t>
      </w:r>
    </w:p>
    <w:p w14:paraId="2EE88E17"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1.全体人民共同的价值追求；</w:t>
      </w:r>
    </w:p>
    <w:p w14:paraId="2A9FCC3E"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2.社会主义核心价值观的显著特征；</w:t>
      </w:r>
    </w:p>
    <w:p w14:paraId="4F6B2FBA"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3.积极</w:t>
      </w:r>
      <w:proofErr w:type="gramStart"/>
      <w:r>
        <w:rPr>
          <w:rFonts w:ascii="宋体" w:eastAsia="宋体" w:hAnsi="宋体" w:cs="Times New Roman" w:hint="eastAsia"/>
          <w:sz w:val="24"/>
          <w:szCs w:val="24"/>
        </w:rPr>
        <w:t>践行</w:t>
      </w:r>
      <w:proofErr w:type="gramEnd"/>
      <w:r>
        <w:rPr>
          <w:rFonts w:ascii="宋体" w:eastAsia="宋体" w:hAnsi="宋体" w:cs="Times New Roman" w:hint="eastAsia"/>
          <w:sz w:val="24"/>
          <w:szCs w:val="24"/>
        </w:rPr>
        <w:t>社会主义核心价值观。</w:t>
      </w:r>
    </w:p>
    <w:p w14:paraId="5E12DE2A"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【重点】</w:t>
      </w:r>
    </w:p>
    <w:p w14:paraId="14E1EB2B"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1.社会主义核心价值观的重大意义和科学内涵；</w:t>
      </w:r>
    </w:p>
    <w:p w14:paraId="3A079867"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2.社会主义核心价值观的显著特征。</w:t>
      </w:r>
    </w:p>
    <w:p w14:paraId="506E81B5"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【难点】</w:t>
      </w:r>
    </w:p>
    <w:p w14:paraId="3A72D1E0"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1.培育和</w:t>
      </w:r>
      <w:proofErr w:type="gramStart"/>
      <w:r>
        <w:rPr>
          <w:rFonts w:ascii="宋体" w:eastAsia="宋体" w:hAnsi="宋体" w:cs="Times New Roman" w:hint="eastAsia"/>
          <w:sz w:val="24"/>
          <w:szCs w:val="24"/>
        </w:rPr>
        <w:t>践行</w:t>
      </w:r>
      <w:proofErr w:type="gramEnd"/>
      <w:r>
        <w:rPr>
          <w:rFonts w:ascii="宋体" w:eastAsia="宋体" w:hAnsi="宋体" w:cs="Times New Roman" w:hint="eastAsia"/>
          <w:sz w:val="24"/>
          <w:szCs w:val="24"/>
        </w:rPr>
        <w:t>社会主义核心价值观。</w:t>
      </w:r>
    </w:p>
    <w:p w14:paraId="61EA3F09"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【教学方法】</w:t>
      </w:r>
    </w:p>
    <w:p w14:paraId="7281331A"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1.通过教师系统讲授和学生自主探究相结合，阐明社会主义核心价值观的重要意义、科学内涵、显著特征等基本知识和观点。</w:t>
      </w:r>
    </w:p>
    <w:p w14:paraId="61926FCB"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2.采用视频和图片结合方式，通过案例分析和对比分析，促进学生更好地理解坚定社会主义核心价值观的重要意义、科学内涵、显著特征。</w:t>
      </w:r>
    </w:p>
    <w:p w14:paraId="49D7A89F"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发挥学生主体性作用，引导学生学习处理个人和团队关系，锻炼沟通合作能力，通过对比分析研讨，深化理解社会主义核心价值观的重要意义、科学内涵、显著特征。</w:t>
      </w:r>
    </w:p>
    <w:p w14:paraId="716CA87C"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【复习思考】</w:t>
      </w:r>
    </w:p>
    <w:p w14:paraId="70889D3F"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1.怎样理解社会主义核心价值观？</w:t>
      </w:r>
    </w:p>
    <w:p w14:paraId="440571FF"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2.习总书记指出：“我们生而为中国人，最根本的是我们有中国人的独特精神世界，有百姓日用而不觉的价值观。”你怎样理解这句话？</w:t>
      </w:r>
    </w:p>
    <w:p w14:paraId="1FF32412"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3.结合实际，思考大学生在新时代如何培育和</w:t>
      </w:r>
      <w:proofErr w:type="gramStart"/>
      <w:r>
        <w:rPr>
          <w:rFonts w:ascii="宋体" w:eastAsia="宋体" w:hAnsi="宋体" w:cs="Times New Roman" w:hint="eastAsia"/>
          <w:sz w:val="24"/>
          <w:szCs w:val="24"/>
        </w:rPr>
        <w:t>践行</w:t>
      </w:r>
      <w:proofErr w:type="gramEnd"/>
      <w:r>
        <w:rPr>
          <w:rFonts w:ascii="宋体" w:eastAsia="宋体" w:hAnsi="宋体" w:cs="Times New Roman" w:hint="eastAsia"/>
          <w:sz w:val="24"/>
          <w:szCs w:val="24"/>
        </w:rPr>
        <w:t>社会主义核心价值观。</w:t>
      </w:r>
    </w:p>
    <w:p w14:paraId="4DBB979C" w14:textId="77777777" w:rsidR="003C7AB3" w:rsidRDefault="003C7AB3" w:rsidP="003C7AB3">
      <w:pPr>
        <w:snapToGrid w:val="0"/>
        <w:spacing w:before="187" w:after="187" w:line="440" w:lineRule="exact"/>
        <w:ind w:firstLineChars="200" w:firstLine="560"/>
        <w:jc w:val="center"/>
        <w:rPr>
          <w:rFonts w:ascii="黑体" w:eastAsia="黑体" w:hAnsi="黑体"/>
          <w:sz w:val="28"/>
          <w:szCs w:val="28"/>
        </w:rPr>
      </w:pPr>
      <w:r>
        <w:rPr>
          <w:rFonts w:ascii="黑体" w:eastAsia="黑体" w:hAnsi="黑体" w:hint="eastAsia"/>
          <w:sz w:val="28"/>
          <w:szCs w:val="28"/>
        </w:rPr>
        <w:t>第五章 遵守道德规范 锤炼道德品格</w:t>
      </w:r>
    </w:p>
    <w:p w14:paraId="30B42A0B"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【学习目标】</w:t>
      </w:r>
    </w:p>
    <w:p w14:paraId="0ABDB0D4"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1.认知类目标：掌握马克思主义道德观；理解社会主义道德的核心和原则，熟悉公民道德准则的基本要求。</w:t>
      </w:r>
    </w:p>
    <w:p w14:paraId="2A357DC6"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行为能力类目标：积极思考，主动发言，参与课堂活动，参与理论学习小组的研讨活动，在各项参与中学会处理个人和团队的关系，锻炼沟通合作能力；能够认真听讲，积极参与课堂互动环节，掌握借鉴和吸收人类文明各种优秀道德成果必须坚持的正确态度和科学方法；掌握道德修养的正确方法。</w:t>
      </w:r>
    </w:p>
    <w:p w14:paraId="6126D6B7"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人格、素质、价值观类目标：树立马克思主义道德观，弘扬社会主义道德，自觉传承中华传统美德和中国革命道德，吸收借鉴人类优秀道德成果，在崇德向善的实践中不断锤炼道德品格、提升道德境界，自觉讲道德、尊道德、守道德，做社会主义道德的</w:t>
      </w:r>
      <w:proofErr w:type="gramStart"/>
      <w:r>
        <w:rPr>
          <w:rFonts w:ascii="宋体" w:eastAsia="宋体" w:hAnsi="宋体" w:cs="Times New Roman" w:hint="eastAsia"/>
          <w:sz w:val="24"/>
          <w:szCs w:val="24"/>
        </w:rPr>
        <w:t>践行</w:t>
      </w:r>
      <w:proofErr w:type="gramEnd"/>
      <w:r>
        <w:rPr>
          <w:rFonts w:ascii="宋体" w:eastAsia="宋体" w:hAnsi="宋体" w:cs="Times New Roman" w:hint="eastAsia"/>
          <w:sz w:val="24"/>
          <w:szCs w:val="24"/>
        </w:rPr>
        <w:t>者、示范者和引领者。</w:t>
      </w:r>
    </w:p>
    <w:p w14:paraId="2A0816C1"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【学习内容】</w:t>
      </w:r>
    </w:p>
    <w:p w14:paraId="135DAFA6"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1.社会主义道德的核心和原则；</w:t>
      </w:r>
    </w:p>
    <w:p w14:paraId="0C283C5D"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2.吸收借鉴优秀道德成果；</w:t>
      </w:r>
    </w:p>
    <w:p w14:paraId="7EA07314" w14:textId="77777777" w:rsidR="003C7AB3" w:rsidRDefault="003C7AB3" w:rsidP="003C7AB3">
      <w:pPr>
        <w:spacing w:line="440" w:lineRule="exact"/>
        <w:ind w:firstLineChars="200" w:firstLine="480"/>
        <w:rPr>
          <w:rFonts w:asciiTheme="minorEastAsia" w:hAnsiTheme="minorEastAsia"/>
          <w:sz w:val="24"/>
          <w:szCs w:val="24"/>
        </w:rPr>
      </w:pPr>
      <w:r>
        <w:rPr>
          <w:rFonts w:ascii="宋体" w:eastAsia="宋体" w:hAnsi="宋体" w:cs="Times New Roman" w:hint="eastAsia"/>
          <w:sz w:val="24"/>
          <w:szCs w:val="24"/>
        </w:rPr>
        <w:t>3.投身崇德向善的道德实践。</w:t>
      </w:r>
    </w:p>
    <w:p w14:paraId="6C6BC86A"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【重点】</w:t>
      </w:r>
    </w:p>
    <w:p w14:paraId="7DF477F9"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1.坚持马克思主义道德观；</w:t>
      </w:r>
    </w:p>
    <w:p w14:paraId="26AB9A33"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2.社会主义道德的核心和原则</w:t>
      </w:r>
    </w:p>
    <w:p w14:paraId="20474B0E"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3.中华传统美德、中国革命道德；</w:t>
      </w:r>
    </w:p>
    <w:p w14:paraId="6A171839"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4.遵守公民道德准则。</w:t>
      </w:r>
    </w:p>
    <w:p w14:paraId="13092F22"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【难点】</w:t>
      </w:r>
    </w:p>
    <w:p w14:paraId="6261D875"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1.社会主义道德的核心和原则；</w:t>
      </w:r>
    </w:p>
    <w:p w14:paraId="5EB9E7AE"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2.中华传统美德的创造性转化和创新性发展；</w:t>
      </w:r>
    </w:p>
    <w:p w14:paraId="1CF9DCA0"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3.投身崇德向善的道德实践。</w:t>
      </w:r>
    </w:p>
    <w:p w14:paraId="38919482"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【教学方法】</w:t>
      </w:r>
    </w:p>
    <w:p w14:paraId="43FB0369"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1.主要运用讲授法，阐明马克思主义道德观、社会主义道德的核心和原则、中华传统美德、中国革命道德、公民道德准则等基本知识和观点；</w:t>
      </w:r>
    </w:p>
    <w:p w14:paraId="0FBEB83A"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2.配合运用多媒体展示，使学生对专题逻辑结构和主要内容一目了然；</w:t>
      </w:r>
    </w:p>
    <w:p w14:paraId="22AE3DD2"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3.采用视频和图片结合方式，适度穿插运用案例分析，使教学更形象，加深学生对马克思主义道德观、中华传统美德、中国革命道德等重难点内容的理解；</w:t>
      </w:r>
    </w:p>
    <w:p w14:paraId="11867656"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根据授课专业班级具体特点，组织选用讨论发言、演讲、辩论、PPT或音视频展示与汇报、情景小品演示或其他创新形式，引导学生学习处理个人和团队关系，锻炼沟通合作能力，激发学生自觉讲道德、尊道德、守道德，实现知行合一。</w:t>
      </w:r>
    </w:p>
    <w:p w14:paraId="6E767AEF"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【复习思考】</w:t>
      </w:r>
    </w:p>
    <w:p w14:paraId="52571DC8"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1.人无德不立，国无德不兴。结合实际，谈谈道德的作用。</w:t>
      </w:r>
    </w:p>
    <w:p w14:paraId="731E5E57"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2.社会主义道德为什么要以为人民服务为核心、以集体主义为原则？</w:t>
      </w:r>
    </w:p>
    <w:p w14:paraId="6F1623E4"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3.结合实际，谈谈新时代大学生如何传承中华传统美德和中国革命道德？</w:t>
      </w:r>
    </w:p>
    <w:p w14:paraId="3F6BDE6F"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3.结合自身实际，谈谈如何理解社会公德、职业道德、家庭美德和个人品德的基本要求。</w:t>
      </w:r>
    </w:p>
    <w:p w14:paraId="284124DD" w14:textId="77777777" w:rsidR="003C7AB3" w:rsidRDefault="003C7AB3" w:rsidP="003C7AB3">
      <w:pPr>
        <w:snapToGrid w:val="0"/>
        <w:spacing w:line="440" w:lineRule="exact"/>
        <w:ind w:firstLineChars="600" w:firstLine="1680"/>
        <w:rPr>
          <w:rFonts w:ascii="黑体" w:eastAsia="黑体" w:hAnsi="黑体"/>
          <w:sz w:val="28"/>
          <w:szCs w:val="28"/>
        </w:rPr>
      </w:pPr>
      <w:r>
        <w:rPr>
          <w:rFonts w:ascii="黑体" w:eastAsia="黑体" w:hAnsi="黑体" w:hint="eastAsia"/>
          <w:sz w:val="28"/>
          <w:szCs w:val="28"/>
        </w:rPr>
        <w:t>第六章</w:t>
      </w:r>
      <w:r>
        <w:rPr>
          <w:rFonts w:ascii="黑体" w:eastAsia="黑体" w:hAnsi="黑体"/>
          <w:sz w:val="28"/>
          <w:szCs w:val="28"/>
        </w:rPr>
        <w:t xml:space="preserve">　</w:t>
      </w:r>
      <w:r>
        <w:rPr>
          <w:rFonts w:ascii="黑体" w:eastAsia="黑体" w:hAnsi="黑体" w:hint="eastAsia"/>
          <w:sz w:val="28"/>
          <w:szCs w:val="28"/>
        </w:rPr>
        <w:t>学习法治思想 提升法治素养</w:t>
      </w:r>
    </w:p>
    <w:p w14:paraId="662FF246"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【学习目标】</w:t>
      </w:r>
    </w:p>
    <w:p w14:paraId="586E45EA"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认知类目标：了解马克思主义法治理论，特别是习近平法治思想；把握社会主义法律的本质特征和运行机制，认识中国特色社会主义法律的时代价值；了解我国宪法的形成和发展，理解宪法的地位和基本原则，认识加强宪法实施与监督的重大意义；整体把握中国特色社会主义法治体系和法治道路的精髓；理解依法行使权利和履行义务；把握法治思维的基本含义和内容。</w:t>
      </w:r>
    </w:p>
    <w:p w14:paraId="197CFDB9"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2.行为能力类目标：积极思考，主动发言，参与课堂活动，参与理论学习小组的</w:t>
      </w:r>
      <w:r>
        <w:rPr>
          <w:rFonts w:ascii="宋体" w:eastAsia="宋体" w:hAnsi="宋体" w:cs="Times New Roman" w:hint="eastAsia"/>
          <w:sz w:val="24"/>
          <w:szCs w:val="24"/>
        </w:rPr>
        <w:lastRenderedPageBreak/>
        <w:t>研讨活动，在各项参与中学会处理个人和团队的关系，锻炼沟通合作能力；通过教师讲授和学生参与相结合，通过教师系统讲授和学生自主探究相结合，运用案例教学等方法培育学生，把宪法作为判断大是大非的准绳，同一切破坏宪法权威、践踏宪法尊严的行为作斗争；依法行使权利和履行义务；提高运用法治思维分析、解决问题的能力；养成守法习惯、提升用法能力，妥善处理学习、生活中遇到的法律问题和各种矛盾。</w:t>
      </w:r>
    </w:p>
    <w:p w14:paraId="6B1E6245"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人格、素质、价值观类目标：不断增强建设社会主义法治国家的责任感和使命感；不断增强宪法意识，忠诚履行维护宪法尊严、保证宪法实施的职责；尊重和维护法律权威，提升法治素养，自觉尊法学法守法用法，成为社会主义法治的忠实崇尚者、自觉遵守者、坚定捍卫者。</w:t>
      </w:r>
    </w:p>
    <w:p w14:paraId="07ACD686"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【学习内容】</w:t>
      </w:r>
    </w:p>
    <w:p w14:paraId="0CAE8410"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1.社会主义法律的特征和运行；</w:t>
      </w:r>
    </w:p>
    <w:p w14:paraId="1E0D01D4"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2.坚持全面依法治国；</w:t>
      </w:r>
    </w:p>
    <w:p w14:paraId="740BD557"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3.维护宪法权威；</w:t>
      </w:r>
    </w:p>
    <w:p w14:paraId="050454B5"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4.自觉尊法学法守法用法。</w:t>
      </w:r>
    </w:p>
    <w:p w14:paraId="12325F06"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【重点】</w:t>
      </w:r>
    </w:p>
    <w:p w14:paraId="317436A8"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1.社会主义法律的本质特征、运行；</w:t>
      </w:r>
    </w:p>
    <w:p w14:paraId="52619DD4"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2.建设法治中国；</w:t>
      </w:r>
    </w:p>
    <w:p w14:paraId="05F09CD8"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3.维护宪法权威；</w:t>
      </w:r>
    </w:p>
    <w:p w14:paraId="7ABDC13D"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4.培育社会主义法治思维；</w:t>
      </w:r>
    </w:p>
    <w:p w14:paraId="5CAB38E5"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5.我国宪法法律规定的权利。</w:t>
      </w:r>
    </w:p>
    <w:p w14:paraId="2FB28D39"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【难点】</w:t>
      </w:r>
    </w:p>
    <w:p w14:paraId="6FE089FD"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1.坚持走中国特色社会主义法治道路；</w:t>
      </w:r>
    </w:p>
    <w:p w14:paraId="141A974A"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2.为什么说“党大还是法大”是个伪命题；</w:t>
      </w:r>
    </w:p>
    <w:p w14:paraId="5B2AA668"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3.建设法治中国；</w:t>
      </w:r>
    </w:p>
    <w:p w14:paraId="0E3ECA49"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4.维护宪法权威；</w:t>
      </w:r>
    </w:p>
    <w:p w14:paraId="19E31895" w14:textId="77777777" w:rsidR="003C7AB3" w:rsidRDefault="003C7AB3" w:rsidP="003C7AB3">
      <w:pPr>
        <w:spacing w:line="440" w:lineRule="exact"/>
        <w:ind w:firstLineChars="200" w:firstLine="480"/>
        <w:rPr>
          <w:rFonts w:asciiTheme="minorEastAsia" w:hAnsiTheme="minorEastAsia"/>
          <w:sz w:val="24"/>
          <w:szCs w:val="24"/>
        </w:rPr>
      </w:pPr>
      <w:r>
        <w:rPr>
          <w:rFonts w:ascii="宋体" w:eastAsia="宋体" w:hAnsi="宋体" w:cs="Times New Roman" w:hint="eastAsia"/>
          <w:sz w:val="24"/>
          <w:szCs w:val="24"/>
        </w:rPr>
        <w:t>5.培育社会主义法治思维。</w:t>
      </w:r>
    </w:p>
    <w:p w14:paraId="3832B93D"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【教学方法】</w:t>
      </w:r>
    </w:p>
    <w:p w14:paraId="0CF919FA"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1.采用讲授法授课，通过多媒体课件和启发式、问题式等教学方式，阐明法律的一般知识、中国特色社会主义法律体系、中国特色社会主义法治体系、中国特色社会主义法治道路、法治思维、权利义务等基本知识和理论；</w:t>
      </w:r>
    </w:p>
    <w:p w14:paraId="4B6643DE"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lastRenderedPageBreak/>
        <w:t>2.通过案例分析，促进学生更好地认识我国社会主义法律的本质特征与运行、中国特色社会主义法律体系、中国特色社会主义法治体系、中国特色社会主义法治道路、法治思维、权利义务等基本知识和理论，认同法律和法治发展的中国特色；</w:t>
      </w:r>
    </w:p>
    <w:p w14:paraId="2D467065"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发挥学生主体性作用，引导学生学习处理个人和团队关系，锻炼沟通合作能力，养成法治思维，提升法治素养，自觉做到尊法学法守法用法。</w:t>
      </w:r>
    </w:p>
    <w:p w14:paraId="025296E1" w14:textId="77777777" w:rsidR="003C7AB3" w:rsidRDefault="003C7AB3" w:rsidP="003C7AB3">
      <w:pPr>
        <w:snapToGrid w:val="0"/>
        <w:spacing w:line="440" w:lineRule="exact"/>
        <w:ind w:firstLineChars="200" w:firstLine="480"/>
        <w:rPr>
          <w:rFonts w:asciiTheme="minorEastAsia" w:hAnsiTheme="minorEastAsia"/>
          <w:b/>
          <w:bCs/>
          <w:sz w:val="24"/>
          <w:szCs w:val="24"/>
        </w:rPr>
      </w:pPr>
      <w:r>
        <w:rPr>
          <w:rFonts w:asciiTheme="minorEastAsia" w:hAnsiTheme="minorEastAsia"/>
          <w:b/>
          <w:bCs/>
          <w:sz w:val="24"/>
          <w:szCs w:val="24"/>
        </w:rPr>
        <w:t>【复习思考】</w:t>
      </w:r>
    </w:p>
    <w:p w14:paraId="3572F474"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1.联系实际思考为什么说我国社会主义法律是党的主张和人民意志的共同体现。</w:t>
      </w:r>
    </w:p>
    <w:p w14:paraId="1618E142"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2.怎样理解习近平法治思想的核心要义?</w:t>
      </w:r>
    </w:p>
    <w:p w14:paraId="538666A9"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3.有人说宪法是闲法，谈谈你的理解。</w:t>
      </w:r>
    </w:p>
    <w:p w14:paraId="661D3862" w14:textId="77777777" w:rsidR="003C7AB3" w:rsidRDefault="003C7AB3" w:rsidP="003C7AB3">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4.结合实际，思考大学生如何培养法治思维。</w:t>
      </w:r>
    </w:p>
    <w:p w14:paraId="0A090363" w14:textId="77777777" w:rsidR="003C7AB3" w:rsidRDefault="003C7AB3" w:rsidP="003C7AB3">
      <w:pPr>
        <w:snapToGrid w:val="0"/>
        <w:spacing w:before="187" w:after="187" w:line="440" w:lineRule="exact"/>
        <w:ind w:left="561"/>
        <w:rPr>
          <w:rFonts w:ascii="黑体" w:eastAsia="黑体" w:hAnsi="黑体"/>
          <w:sz w:val="28"/>
          <w:szCs w:val="28"/>
        </w:rPr>
      </w:pPr>
      <w:r>
        <w:rPr>
          <w:rFonts w:ascii="黑体" w:eastAsia="黑体" w:hAnsi="黑体"/>
          <w:sz w:val="28"/>
          <w:szCs w:val="28"/>
        </w:rPr>
        <w:t>（二）课程学习内容与课程学习目标的对应关系</w:t>
      </w:r>
    </w:p>
    <w:tbl>
      <w:tblPr>
        <w:tblStyle w:val="a9"/>
        <w:tblW w:w="8323" w:type="dxa"/>
        <w:tblLayout w:type="fixed"/>
        <w:tblCellMar>
          <w:top w:w="120" w:type="dxa"/>
          <w:left w:w="60" w:type="dxa"/>
          <w:bottom w:w="120" w:type="dxa"/>
          <w:right w:w="60" w:type="dxa"/>
        </w:tblCellMar>
        <w:tblLook w:val="04A0" w:firstRow="1" w:lastRow="0" w:firstColumn="1" w:lastColumn="0" w:noHBand="0" w:noVBand="1"/>
      </w:tblPr>
      <w:tblGrid>
        <w:gridCol w:w="2739"/>
        <w:gridCol w:w="3109"/>
        <w:gridCol w:w="1340"/>
        <w:gridCol w:w="1135"/>
      </w:tblGrid>
      <w:tr w:rsidR="003C7AB3" w14:paraId="35E60B3D" w14:textId="77777777" w:rsidTr="003C7AB3">
        <w:trPr>
          <w:trHeight w:val="667"/>
        </w:trPr>
        <w:tc>
          <w:tcPr>
            <w:tcW w:w="2739" w:type="dxa"/>
            <w:tcBorders>
              <w:top w:val="single" w:sz="8" w:space="0" w:color="000000"/>
              <w:left w:val="single" w:sz="8" w:space="0" w:color="000000"/>
              <w:bottom w:val="single" w:sz="8" w:space="0" w:color="000000"/>
              <w:right w:val="single" w:sz="8" w:space="0" w:color="000000"/>
            </w:tcBorders>
            <w:vAlign w:val="center"/>
          </w:tcPr>
          <w:p w14:paraId="16D3A324" w14:textId="77777777" w:rsidR="003C7AB3" w:rsidRDefault="003C7AB3" w:rsidP="003C7AB3">
            <w:pPr>
              <w:snapToGrid w:val="0"/>
              <w:jc w:val="center"/>
              <w:rPr>
                <w:rFonts w:ascii="宋体" w:eastAsia="宋体" w:hAnsi="宋体"/>
                <w:b/>
                <w:bCs/>
                <w:sz w:val="24"/>
                <w:szCs w:val="24"/>
              </w:rPr>
            </w:pPr>
            <w:r>
              <w:rPr>
                <w:rFonts w:ascii="宋体" w:eastAsia="宋体" w:hAnsi="宋体"/>
                <w:b/>
                <w:bCs/>
                <w:sz w:val="24"/>
                <w:szCs w:val="24"/>
              </w:rPr>
              <w:t>课程学习内容</w:t>
            </w:r>
          </w:p>
        </w:tc>
        <w:tc>
          <w:tcPr>
            <w:tcW w:w="3109" w:type="dxa"/>
            <w:tcBorders>
              <w:top w:val="single" w:sz="8" w:space="0" w:color="000000"/>
              <w:left w:val="single" w:sz="8" w:space="0" w:color="000000"/>
              <w:bottom w:val="single" w:sz="8" w:space="0" w:color="000000"/>
              <w:right w:val="single" w:sz="8" w:space="0" w:color="000000"/>
            </w:tcBorders>
            <w:vAlign w:val="center"/>
          </w:tcPr>
          <w:p w14:paraId="50265C11" w14:textId="77777777" w:rsidR="003C7AB3" w:rsidRDefault="003C7AB3" w:rsidP="003C7AB3">
            <w:pPr>
              <w:snapToGrid w:val="0"/>
              <w:jc w:val="center"/>
              <w:rPr>
                <w:rFonts w:ascii="宋体" w:eastAsia="宋体" w:hAnsi="宋体"/>
                <w:b/>
                <w:bCs/>
                <w:sz w:val="24"/>
                <w:szCs w:val="24"/>
              </w:rPr>
            </w:pPr>
            <w:r>
              <w:rPr>
                <w:rFonts w:ascii="宋体" w:eastAsia="宋体" w:hAnsi="宋体"/>
                <w:b/>
                <w:bCs/>
                <w:sz w:val="24"/>
                <w:szCs w:val="24"/>
              </w:rPr>
              <w:t>教学方法</w:t>
            </w:r>
          </w:p>
        </w:tc>
        <w:tc>
          <w:tcPr>
            <w:tcW w:w="1340" w:type="dxa"/>
            <w:tcBorders>
              <w:top w:val="single" w:sz="8" w:space="0" w:color="000000"/>
              <w:left w:val="single" w:sz="8" w:space="0" w:color="000000"/>
              <w:bottom w:val="single" w:sz="8" w:space="0" w:color="000000"/>
              <w:right w:val="single" w:sz="8" w:space="0" w:color="000000"/>
            </w:tcBorders>
            <w:vAlign w:val="center"/>
          </w:tcPr>
          <w:p w14:paraId="6AA6D6A8" w14:textId="77777777" w:rsidR="003C7AB3" w:rsidRDefault="003C7AB3" w:rsidP="003C7AB3">
            <w:pPr>
              <w:snapToGrid w:val="0"/>
              <w:jc w:val="center"/>
              <w:rPr>
                <w:rFonts w:ascii="宋体" w:eastAsia="宋体" w:hAnsi="宋体"/>
                <w:b/>
                <w:bCs/>
                <w:sz w:val="24"/>
                <w:szCs w:val="24"/>
              </w:rPr>
            </w:pPr>
            <w:r>
              <w:rPr>
                <w:rFonts w:ascii="宋体" w:eastAsia="宋体" w:hAnsi="宋体"/>
                <w:b/>
                <w:bCs/>
                <w:sz w:val="24"/>
                <w:szCs w:val="24"/>
              </w:rPr>
              <w:t>支撑的课程目标</w:t>
            </w:r>
          </w:p>
        </w:tc>
        <w:tc>
          <w:tcPr>
            <w:tcW w:w="1135" w:type="dxa"/>
            <w:tcBorders>
              <w:top w:val="single" w:sz="8" w:space="0" w:color="000000"/>
              <w:left w:val="single" w:sz="8" w:space="0" w:color="000000"/>
              <w:bottom w:val="single" w:sz="8" w:space="0" w:color="000000"/>
              <w:right w:val="single" w:sz="8" w:space="0" w:color="000000"/>
            </w:tcBorders>
            <w:vAlign w:val="center"/>
          </w:tcPr>
          <w:p w14:paraId="1D85ED1C" w14:textId="77777777" w:rsidR="003C7AB3" w:rsidRDefault="003C7AB3" w:rsidP="003C7AB3">
            <w:pPr>
              <w:snapToGrid w:val="0"/>
              <w:jc w:val="center"/>
              <w:rPr>
                <w:rFonts w:ascii="宋体" w:eastAsia="宋体" w:hAnsi="宋体"/>
                <w:b/>
                <w:bCs/>
                <w:sz w:val="24"/>
                <w:szCs w:val="24"/>
              </w:rPr>
            </w:pPr>
            <w:r>
              <w:rPr>
                <w:rFonts w:ascii="宋体" w:eastAsia="宋体" w:hAnsi="宋体"/>
                <w:b/>
                <w:bCs/>
                <w:sz w:val="24"/>
                <w:szCs w:val="24"/>
              </w:rPr>
              <w:t>学时安排</w:t>
            </w:r>
          </w:p>
        </w:tc>
      </w:tr>
      <w:tr w:rsidR="003C7AB3" w14:paraId="683A84F7" w14:textId="77777777" w:rsidTr="003C7AB3">
        <w:trPr>
          <w:trHeight w:val="1266"/>
        </w:trPr>
        <w:tc>
          <w:tcPr>
            <w:tcW w:w="2739" w:type="dxa"/>
            <w:tcBorders>
              <w:top w:val="single" w:sz="8" w:space="0" w:color="000000"/>
              <w:left w:val="single" w:sz="8" w:space="0" w:color="000000"/>
              <w:bottom w:val="single" w:sz="8" w:space="0" w:color="000000"/>
              <w:right w:val="single" w:sz="8" w:space="0" w:color="000000"/>
            </w:tcBorders>
            <w:vAlign w:val="center"/>
          </w:tcPr>
          <w:p w14:paraId="5549E240" w14:textId="77777777" w:rsidR="003C7AB3" w:rsidRDefault="003C7AB3" w:rsidP="003C7AB3">
            <w:pPr>
              <w:adjustRightInd w:val="0"/>
              <w:spacing w:line="440" w:lineRule="exact"/>
              <w:jc w:val="left"/>
              <w:rPr>
                <w:rFonts w:ascii="宋体" w:eastAsia="宋体" w:hAnsi="宋体"/>
                <w:sz w:val="24"/>
                <w:szCs w:val="24"/>
              </w:rPr>
            </w:pPr>
            <w:r>
              <w:rPr>
                <w:rFonts w:ascii="宋体" w:eastAsia="宋体" w:hAnsi="宋体" w:cs="Times New Roman" w:hint="eastAsia"/>
                <w:sz w:val="24"/>
                <w:szCs w:val="24"/>
              </w:rPr>
              <w:t xml:space="preserve"> 绪论  担当复兴大任 成就时代新人</w:t>
            </w:r>
          </w:p>
        </w:tc>
        <w:tc>
          <w:tcPr>
            <w:tcW w:w="3109" w:type="dxa"/>
            <w:tcBorders>
              <w:top w:val="single" w:sz="8" w:space="0" w:color="000000"/>
              <w:left w:val="single" w:sz="8" w:space="0" w:color="000000"/>
              <w:bottom w:val="single" w:sz="8" w:space="0" w:color="000000"/>
              <w:right w:val="single" w:sz="8" w:space="0" w:color="000000"/>
            </w:tcBorders>
            <w:vAlign w:val="center"/>
          </w:tcPr>
          <w:p w14:paraId="0E7988D8" w14:textId="77777777" w:rsidR="003C7AB3" w:rsidRDefault="003C7AB3" w:rsidP="003C7AB3">
            <w:pPr>
              <w:adjustRightInd w:val="0"/>
              <w:spacing w:line="440" w:lineRule="exact"/>
              <w:jc w:val="left"/>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678386E8" w14:textId="77777777" w:rsidR="003C7AB3" w:rsidRDefault="003C7AB3" w:rsidP="003C7AB3">
            <w:pPr>
              <w:spacing w:line="440" w:lineRule="exact"/>
              <w:jc w:val="center"/>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3BDB5437" w14:textId="77777777" w:rsidR="003C7AB3" w:rsidRDefault="003C7AB3" w:rsidP="003C7AB3">
            <w:pPr>
              <w:snapToGrid w:val="0"/>
              <w:jc w:val="center"/>
              <w:rPr>
                <w:rFonts w:ascii="宋体" w:eastAsia="宋体" w:hAnsi="宋体"/>
                <w:sz w:val="24"/>
                <w:szCs w:val="24"/>
              </w:rPr>
            </w:pPr>
            <w:r>
              <w:rPr>
                <w:rFonts w:ascii="宋体" w:eastAsia="宋体" w:hAnsi="宋体" w:hint="eastAsia"/>
                <w:sz w:val="24"/>
                <w:szCs w:val="24"/>
              </w:rPr>
              <w:t>3</w:t>
            </w:r>
            <w:r>
              <w:rPr>
                <w:rFonts w:ascii="宋体" w:eastAsia="宋体" w:hAnsi="宋体"/>
                <w:sz w:val="24"/>
                <w:szCs w:val="24"/>
              </w:rPr>
              <w:t>学时</w:t>
            </w:r>
          </w:p>
        </w:tc>
      </w:tr>
      <w:tr w:rsidR="003C7AB3" w14:paraId="5EF2B7F4" w14:textId="77777777" w:rsidTr="003C7AB3">
        <w:trPr>
          <w:trHeight w:val="91"/>
        </w:trPr>
        <w:tc>
          <w:tcPr>
            <w:tcW w:w="2739" w:type="dxa"/>
            <w:tcBorders>
              <w:top w:val="single" w:sz="8" w:space="0" w:color="000000"/>
              <w:left w:val="single" w:sz="8" w:space="0" w:color="000000"/>
              <w:bottom w:val="single" w:sz="8" w:space="0" w:color="000000"/>
              <w:right w:val="single" w:sz="8" w:space="0" w:color="000000"/>
            </w:tcBorders>
            <w:vAlign w:val="center"/>
          </w:tcPr>
          <w:p w14:paraId="280BE068" w14:textId="77777777" w:rsidR="003C7AB3" w:rsidRDefault="003C7AB3" w:rsidP="003C7AB3">
            <w:pPr>
              <w:adjustRightInd w:val="0"/>
              <w:spacing w:line="440" w:lineRule="exact"/>
              <w:jc w:val="left"/>
              <w:rPr>
                <w:rFonts w:ascii="宋体" w:eastAsia="宋体" w:hAnsi="宋体"/>
                <w:sz w:val="24"/>
                <w:szCs w:val="24"/>
              </w:rPr>
            </w:pPr>
            <w:r>
              <w:rPr>
                <w:rFonts w:ascii="宋体" w:eastAsia="宋体" w:hAnsi="宋体" w:hint="eastAsia"/>
                <w:sz w:val="24"/>
                <w:szCs w:val="24"/>
              </w:rPr>
              <w:t>第一章　领悟人生真谛 把握人生方向</w:t>
            </w:r>
          </w:p>
        </w:tc>
        <w:tc>
          <w:tcPr>
            <w:tcW w:w="3109" w:type="dxa"/>
            <w:tcBorders>
              <w:top w:val="single" w:sz="8" w:space="0" w:color="000000"/>
              <w:left w:val="single" w:sz="8" w:space="0" w:color="000000"/>
              <w:bottom w:val="single" w:sz="8" w:space="0" w:color="000000"/>
              <w:right w:val="single" w:sz="8" w:space="0" w:color="000000"/>
            </w:tcBorders>
            <w:vAlign w:val="center"/>
          </w:tcPr>
          <w:p w14:paraId="6AACC61A" w14:textId="77777777" w:rsidR="003C7AB3" w:rsidRDefault="003C7AB3" w:rsidP="003C7AB3">
            <w:pPr>
              <w:adjustRightInd w:val="0"/>
              <w:spacing w:line="440" w:lineRule="exact"/>
              <w:jc w:val="left"/>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0138C8DD" w14:textId="77777777" w:rsidR="003C7AB3" w:rsidRDefault="003C7AB3" w:rsidP="003C7AB3">
            <w:pPr>
              <w:spacing w:line="440" w:lineRule="exact"/>
              <w:jc w:val="center"/>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7A7E6B99" w14:textId="77777777" w:rsidR="003C7AB3" w:rsidRDefault="003C7AB3" w:rsidP="003C7AB3">
            <w:pPr>
              <w:snapToGrid w:val="0"/>
              <w:jc w:val="center"/>
              <w:rPr>
                <w:rFonts w:ascii="宋体" w:eastAsia="宋体" w:hAnsi="宋体"/>
                <w:sz w:val="24"/>
                <w:szCs w:val="24"/>
              </w:rPr>
            </w:pPr>
            <w:r>
              <w:rPr>
                <w:rFonts w:ascii="宋体" w:eastAsia="宋体" w:hAnsi="宋体" w:hint="eastAsia"/>
                <w:sz w:val="24"/>
                <w:szCs w:val="24"/>
              </w:rPr>
              <w:t>6</w:t>
            </w:r>
            <w:r>
              <w:rPr>
                <w:rFonts w:ascii="宋体" w:eastAsia="宋体" w:hAnsi="宋体"/>
                <w:sz w:val="24"/>
                <w:szCs w:val="24"/>
              </w:rPr>
              <w:t>学时</w:t>
            </w:r>
          </w:p>
        </w:tc>
      </w:tr>
      <w:tr w:rsidR="003C7AB3" w14:paraId="307AE54B" w14:textId="77777777" w:rsidTr="003C7AB3">
        <w:trPr>
          <w:trHeight w:val="485"/>
        </w:trPr>
        <w:tc>
          <w:tcPr>
            <w:tcW w:w="2739" w:type="dxa"/>
            <w:tcBorders>
              <w:top w:val="single" w:sz="8" w:space="0" w:color="000000"/>
              <w:left w:val="single" w:sz="8" w:space="0" w:color="000000"/>
              <w:bottom w:val="single" w:sz="8" w:space="0" w:color="000000"/>
              <w:right w:val="single" w:sz="8" w:space="0" w:color="000000"/>
            </w:tcBorders>
            <w:vAlign w:val="center"/>
          </w:tcPr>
          <w:p w14:paraId="2087FC43" w14:textId="77777777" w:rsidR="003C7AB3" w:rsidRDefault="003C7AB3" w:rsidP="003C7AB3">
            <w:pPr>
              <w:adjustRightInd w:val="0"/>
              <w:spacing w:line="440" w:lineRule="exact"/>
              <w:jc w:val="left"/>
              <w:rPr>
                <w:rFonts w:ascii="宋体" w:eastAsia="宋体" w:hAnsi="宋体"/>
                <w:sz w:val="24"/>
                <w:szCs w:val="24"/>
              </w:rPr>
            </w:pPr>
            <w:r>
              <w:rPr>
                <w:rFonts w:ascii="宋体" w:eastAsia="宋体" w:hAnsi="宋体" w:hint="eastAsia"/>
                <w:sz w:val="24"/>
                <w:szCs w:val="24"/>
              </w:rPr>
              <w:t>第二章  追求远大理想 坚定崇高信念</w:t>
            </w:r>
          </w:p>
        </w:tc>
        <w:tc>
          <w:tcPr>
            <w:tcW w:w="3109" w:type="dxa"/>
            <w:tcBorders>
              <w:top w:val="single" w:sz="8" w:space="0" w:color="000000"/>
              <w:left w:val="single" w:sz="8" w:space="0" w:color="000000"/>
              <w:bottom w:val="single" w:sz="8" w:space="0" w:color="000000"/>
              <w:right w:val="single" w:sz="8" w:space="0" w:color="000000"/>
            </w:tcBorders>
            <w:vAlign w:val="center"/>
          </w:tcPr>
          <w:p w14:paraId="1BE54A0B" w14:textId="77777777" w:rsidR="003C7AB3" w:rsidRDefault="003C7AB3" w:rsidP="003C7AB3">
            <w:pPr>
              <w:adjustRightInd w:val="0"/>
              <w:spacing w:line="440" w:lineRule="exact"/>
              <w:jc w:val="left"/>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46564836" w14:textId="77777777" w:rsidR="003C7AB3" w:rsidRDefault="003C7AB3" w:rsidP="003C7AB3">
            <w:pPr>
              <w:spacing w:line="440" w:lineRule="exact"/>
              <w:jc w:val="center"/>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771D0CA4" w14:textId="77777777" w:rsidR="003C7AB3" w:rsidRDefault="003C7AB3" w:rsidP="003C7AB3">
            <w:pPr>
              <w:snapToGrid w:val="0"/>
              <w:jc w:val="center"/>
              <w:rPr>
                <w:rFonts w:ascii="宋体" w:eastAsia="宋体" w:hAnsi="宋体"/>
                <w:sz w:val="24"/>
                <w:szCs w:val="24"/>
              </w:rPr>
            </w:pPr>
            <w:r>
              <w:rPr>
                <w:rFonts w:ascii="宋体" w:eastAsia="宋体" w:hAnsi="宋体" w:hint="eastAsia"/>
                <w:sz w:val="24"/>
                <w:szCs w:val="24"/>
              </w:rPr>
              <w:t>6</w:t>
            </w:r>
            <w:r>
              <w:rPr>
                <w:rFonts w:ascii="宋体" w:eastAsia="宋体" w:hAnsi="宋体"/>
                <w:sz w:val="24"/>
                <w:szCs w:val="24"/>
              </w:rPr>
              <w:t>学时</w:t>
            </w:r>
          </w:p>
        </w:tc>
      </w:tr>
      <w:tr w:rsidR="003C7AB3" w14:paraId="1473E590" w14:textId="77777777" w:rsidTr="003C7AB3">
        <w:trPr>
          <w:trHeight w:val="485"/>
        </w:trPr>
        <w:tc>
          <w:tcPr>
            <w:tcW w:w="2739" w:type="dxa"/>
            <w:tcBorders>
              <w:top w:val="single" w:sz="8" w:space="0" w:color="000000"/>
              <w:left w:val="single" w:sz="8" w:space="0" w:color="000000"/>
              <w:bottom w:val="single" w:sz="8" w:space="0" w:color="000000"/>
              <w:right w:val="single" w:sz="8" w:space="0" w:color="000000"/>
            </w:tcBorders>
            <w:vAlign w:val="center"/>
          </w:tcPr>
          <w:p w14:paraId="75BB2F81" w14:textId="77777777" w:rsidR="003C7AB3" w:rsidRDefault="003C7AB3" w:rsidP="003C7AB3">
            <w:pPr>
              <w:adjustRightInd w:val="0"/>
              <w:spacing w:line="440" w:lineRule="exact"/>
              <w:jc w:val="left"/>
              <w:rPr>
                <w:rFonts w:ascii="宋体" w:eastAsia="宋体" w:hAnsi="宋体"/>
                <w:sz w:val="24"/>
                <w:szCs w:val="24"/>
              </w:rPr>
            </w:pPr>
            <w:r>
              <w:rPr>
                <w:rFonts w:ascii="宋体" w:eastAsia="宋体" w:hAnsi="宋体" w:hint="eastAsia"/>
                <w:sz w:val="24"/>
                <w:szCs w:val="24"/>
              </w:rPr>
              <w:lastRenderedPageBreak/>
              <w:t>第三章　继承优良传统 弘扬中国精神</w:t>
            </w:r>
          </w:p>
        </w:tc>
        <w:tc>
          <w:tcPr>
            <w:tcW w:w="3109" w:type="dxa"/>
            <w:tcBorders>
              <w:top w:val="single" w:sz="8" w:space="0" w:color="000000"/>
              <w:left w:val="single" w:sz="8" w:space="0" w:color="000000"/>
              <w:bottom w:val="single" w:sz="8" w:space="0" w:color="000000"/>
              <w:right w:val="single" w:sz="8" w:space="0" w:color="000000"/>
            </w:tcBorders>
            <w:vAlign w:val="center"/>
          </w:tcPr>
          <w:p w14:paraId="291A7016" w14:textId="77777777" w:rsidR="003C7AB3" w:rsidRDefault="003C7AB3" w:rsidP="003C7AB3">
            <w:pPr>
              <w:adjustRightInd w:val="0"/>
              <w:spacing w:line="440" w:lineRule="exact"/>
              <w:jc w:val="left"/>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764AB828" w14:textId="77777777" w:rsidR="003C7AB3" w:rsidRDefault="003C7AB3" w:rsidP="003C7AB3">
            <w:pPr>
              <w:spacing w:line="440" w:lineRule="exact"/>
              <w:jc w:val="center"/>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2B87D144" w14:textId="77777777" w:rsidR="003C7AB3" w:rsidRDefault="003C7AB3" w:rsidP="003C7AB3">
            <w:pPr>
              <w:snapToGrid w:val="0"/>
              <w:jc w:val="center"/>
              <w:rPr>
                <w:rFonts w:ascii="宋体" w:eastAsia="宋体" w:hAnsi="宋体"/>
                <w:sz w:val="24"/>
                <w:szCs w:val="24"/>
              </w:rPr>
            </w:pPr>
            <w:r>
              <w:rPr>
                <w:rFonts w:ascii="宋体" w:eastAsia="宋体" w:hAnsi="宋体" w:hint="eastAsia"/>
                <w:sz w:val="24"/>
                <w:szCs w:val="24"/>
              </w:rPr>
              <w:t>6</w:t>
            </w:r>
            <w:r>
              <w:rPr>
                <w:rFonts w:ascii="宋体" w:eastAsia="宋体" w:hAnsi="宋体"/>
                <w:sz w:val="24"/>
                <w:szCs w:val="24"/>
              </w:rPr>
              <w:t>学时</w:t>
            </w:r>
          </w:p>
        </w:tc>
      </w:tr>
      <w:tr w:rsidR="003C7AB3" w14:paraId="221D7B25" w14:textId="77777777" w:rsidTr="003C7AB3">
        <w:trPr>
          <w:trHeight w:val="1351"/>
        </w:trPr>
        <w:tc>
          <w:tcPr>
            <w:tcW w:w="2739" w:type="dxa"/>
            <w:tcBorders>
              <w:top w:val="single" w:sz="8" w:space="0" w:color="000000"/>
              <w:left w:val="single" w:sz="8" w:space="0" w:color="000000"/>
              <w:bottom w:val="single" w:sz="8" w:space="0" w:color="000000"/>
              <w:right w:val="single" w:sz="8" w:space="0" w:color="000000"/>
            </w:tcBorders>
            <w:vAlign w:val="center"/>
          </w:tcPr>
          <w:p w14:paraId="3D3A8035" w14:textId="77777777" w:rsidR="003C7AB3" w:rsidRDefault="003C7AB3" w:rsidP="003C7AB3">
            <w:pPr>
              <w:adjustRightInd w:val="0"/>
              <w:spacing w:line="440" w:lineRule="exact"/>
              <w:jc w:val="left"/>
              <w:rPr>
                <w:rFonts w:ascii="宋体" w:eastAsia="宋体" w:hAnsi="宋体"/>
                <w:sz w:val="24"/>
                <w:szCs w:val="24"/>
              </w:rPr>
            </w:pPr>
            <w:r>
              <w:rPr>
                <w:rFonts w:ascii="宋体" w:eastAsia="宋体" w:hAnsi="宋体" w:hint="eastAsia"/>
                <w:sz w:val="24"/>
                <w:szCs w:val="24"/>
              </w:rPr>
              <w:t xml:space="preserve">第四章　明确价值要求 </w:t>
            </w:r>
            <w:proofErr w:type="gramStart"/>
            <w:r>
              <w:rPr>
                <w:rFonts w:ascii="宋体" w:eastAsia="宋体" w:hAnsi="宋体" w:hint="eastAsia"/>
                <w:sz w:val="24"/>
                <w:szCs w:val="24"/>
              </w:rPr>
              <w:t>践行</w:t>
            </w:r>
            <w:proofErr w:type="gramEnd"/>
            <w:r>
              <w:rPr>
                <w:rFonts w:ascii="宋体" w:eastAsia="宋体" w:hAnsi="宋体" w:hint="eastAsia"/>
                <w:sz w:val="24"/>
                <w:szCs w:val="24"/>
              </w:rPr>
              <w:t>核心准则</w:t>
            </w:r>
          </w:p>
        </w:tc>
        <w:tc>
          <w:tcPr>
            <w:tcW w:w="3109" w:type="dxa"/>
            <w:tcBorders>
              <w:top w:val="single" w:sz="8" w:space="0" w:color="000000"/>
              <w:left w:val="single" w:sz="8" w:space="0" w:color="000000"/>
              <w:bottom w:val="single" w:sz="8" w:space="0" w:color="000000"/>
              <w:right w:val="single" w:sz="8" w:space="0" w:color="000000"/>
            </w:tcBorders>
            <w:vAlign w:val="center"/>
          </w:tcPr>
          <w:p w14:paraId="08554241" w14:textId="77777777" w:rsidR="003C7AB3" w:rsidRDefault="003C7AB3" w:rsidP="003C7AB3">
            <w:pPr>
              <w:adjustRightInd w:val="0"/>
              <w:spacing w:line="440" w:lineRule="exact"/>
              <w:jc w:val="left"/>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49DB78A7" w14:textId="77777777" w:rsidR="003C7AB3" w:rsidRDefault="003C7AB3" w:rsidP="003C7AB3">
            <w:pPr>
              <w:spacing w:line="440" w:lineRule="exact"/>
              <w:jc w:val="center"/>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03B06BA0" w14:textId="77777777" w:rsidR="003C7AB3" w:rsidRDefault="003C7AB3" w:rsidP="003C7AB3">
            <w:pPr>
              <w:snapToGrid w:val="0"/>
              <w:jc w:val="center"/>
              <w:rPr>
                <w:rFonts w:ascii="宋体" w:eastAsia="宋体" w:hAnsi="宋体"/>
                <w:sz w:val="24"/>
                <w:szCs w:val="24"/>
              </w:rPr>
            </w:pPr>
            <w:r>
              <w:rPr>
                <w:rFonts w:ascii="宋体" w:eastAsia="宋体" w:hAnsi="宋体" w:hint="eastAsia"/>
                <w:sz w:val="24"/>
                <w:szCs w:val="24"/>
              </w:rPr>
              <w:t>6</w:t>
            </w:r>
            <w:r>
              <w:rPr>
                <w:rFonts w:ascii="宋体" w:eastAsia="宋体" w:hAnsi="宋体"/>
                <w:sz w:val="24"/>
                <w:szCs w:val="24"/>
              </w:rPr>
              <w:t>学时</w:t>
            </w:r>
          </w:p>
        </w:tc>
      </w:tr>
      <w:tr w:rsidR="003C7AB3" w14:paraId="6B94323E" w14:textId="77777777" w:rsidTr="003C7AB3">
        <w:trPr>
          <w:trHeight w:val="1390"/>
        </w:trPr>
        <w:tc>
          <w:tcPr>
            <w:tcW w:w="2739" w:type="dxa"/>
            <w:tcBorders>
              <w:top w:val="single" w:sz="8" w:space="0" w:color="000000"/>
              <w:left w:val="single" w:sz="8" w:space="0" w:color="000000"/>
              <w:bottom w:val="single" w:sz="8" w:space="0" w:color="000000"/>
              <w:right w:val="single" w:sz="8" w:space="0" w:color="000000"/>
            </w:tcBorders>
            <w:vAlign w:val="center"/>
          </w:tcPr>
          <w:p w14:paraId="6009FFC0" w14:textId="77777777" w:rsidR="003C7AB3" w:rsidRDefault="003C7AB3" w:rsidP="003C7AB3">
            <w:pPr>
              <w:adjustRightInd w:val="0"/>
              <w:spacing w:line="440" w:lineRule="exact"/>
              <w:jc w:val="left"/>
              <w:rPr>
                <w:rFonts w:ascii="宋体" w:eastAsia="宋体" w:hAnsi="宋体"/>
                <w:sz w:val="24"/>
                <w:szCs w:val="24"/>
              </w:rPr>
            </w:pPr>
            <w:r>
              <w:rPr>
                <w:rFonts w:ascii="宋体" w:eastAsia="宋体" w:hAnsi="宋体" w:hint="eastAsia"/>
                <w:sz w:val="24"/>
                <w:szCs w:val="24"/>
              </w:rPr>
              <w:t>第五章 遵守道德规范 锤炼道德品格</w:t>
            </w:r>
          </w:p>
        </w:tc>
        <w:tc>
          <w:tcPr>
            <w:tcW w:w="3109" w:type="dxa"/>
            <w:tcBorders>
              <w:top w:val="single" w:sz="8" w:space="0" w:color="000000"/>
              <w:left w:val="single" w:sz="8" w:space="0" w:color="000000"/>
              <w:bottom w:val="single" w:sz="8" w:space="0" w:color="000000"/>
              <w:right w:val="single" w:sz="8" w:space="0" w:color="000000"/>
            </w:tcBorders>
            <w:vAlign w:val="center"/>
          </w:tcPr>
          <w:p w14:paraId="7AA54343" w14:textId="77777777" w:rsidR="003C7AB3" w:rsidRDefault="003C7AB3" w:rsidP="003C7AB3">
            <w:pPr>
              <w:adjustRightInd w:val="0"/>
              <w:spacing w:line="440" w:lineRule="exact"/>
              <w:jc w:val="left"/>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31124B5D" w14:textId="77777777" w:rsidR="003C7AB3" w:rsidRDefault="003C7AB3" w:rsidP="003C7AB3">
            <w:pPr>
              <w:spacing w:line="440" w:lineRule="exact"/>
              <w:jc w:val="center"/>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25E20986" w14:textId="77777777" w:rsidR="003C7AB3" w:rsidRDefault="003C7AB3" w:rsidP="003C7AB3">
            <w:pPr>
              <w:snapToGrid w:val="0"/>
              <w:jc w:val="center"/>
              <w:rPr>
                <w:rFonts w:ascii="宋体" w:eastAsia="宋体" w:hAnsi="宋体"/>
                <w:sz w:val="24"/>
                <w:szCs w:val="24"/>
              </w:rPr>
            </w:pPr>
            <w:r>
              <w:rPr>
                <w:rFonts w:ascii="宋体" w:eastAsia="宋体" w:hAnsi="宋体" w:hint="eastAsia"/>
                <w:sz w:val="24"/>
                <w:szCs w:val="24"/>
              </w:rPr>
              <w:t>6</w:t>
            </w:r>
            <w:r>
              <w:rPr>
                <w:rFonts w:ascii="宋体" w:eastAsia="宋体" w:hAnsi="宋体"/>
                <w:sz w:val="24"/>
                <w:szCs w:val="24"/>
              </w:rPr>
              <w:t>学时</w:t>
            </w:r>
          </w:p>
        </w:tc>
      </w:tr>
      <w:tr w:rsidR="003C7AB3" w14:paraId="494D31ED" w14:textId="77777777" w:rsidTr="003C7AB3">
        <w:trPr>
          <w:trHeight w:val="1378"/>
        </w:trPr>
        <w:tc>
          <w:tcPr>
            <w:tcW w:w="2739" w:type="dxa"/>
            <w:tcBorders>
              <w:top w:val="single" w:sz="8" w:space="0" w:color="000000"/>
              <w:left w:val="single" w:sz="8" w:space="0" w:color="000000"/>
              <w:bottom w:val="single" w:sz="8" w:space="0" w:color="000000"/>
              <w:right w:val="single" w:sz="8" w:space="0" w:color="000000"/>
            </w:tcBorders>
            <w:vAlign w:val="center"/>
          </w:tcPr>
          <w:p w14:paraId="2F586930" w14:textId="77777777" w:rsidR="003C7AB3" w:rsidRDefault="003C7AB3" w:rsidP="003C7AB3">
            <w:pPr>
              <w:adjustRightInd w:val="0"/>
              <w:spacing w:line="440" w:lineRule="exact"/>
              <w:jc w:val="left"/>
              <w:rPr>
                <w:rFonts w:ascii="宋体" w:eastAsia="宋体" w:hAnsi="宋体"/>
                <w:sz w:val="24"/>
                <w:szCs w:val="24"/>
              </w:rPr>
            </w:pPr>
            <w:r>
              <w:rPr>
                <w:rFonts w:ascii="宋体" w:eastAsia="宋体" w:hAnsi="宋体" w:hint="eastAsia"/>
                <w:sz w:val="24"/>
                <w:szCs w:val="24"/>
              </w:rPr>
              <w:t>第六章　学习法治思想 提升法治素养</w:t>
            </w:r>
          </w:p>
        </w:tc>
        <w:tc>
          <w:tcPr>
            <w:tcW w:w="3109" w:type="dxa"/>
            <w:tcBorders>
              <w:top w:val="single" w:sz="8" w:space="0" w:color="000000"/>
              <w:left w:val="single" w:sz="8" w:space="0" w:color="000000"/>
              <w:bottom w:val="single" w:sz="8" w:space="0" w:color="000000"/>
              <w:right w:val="single" w:sz="8" w:space="0" w:color="000000"/>
            </w:tcBorders>
            <w:vAlign w:val="center"/>
          </w:tcPr>
          <w:p w14:paraId="6DC8293B" w14:textId="77777777" w:rsidR="003C7AB3" w:rsidRDefault="003C7AB3" w:rsidP="003C7AB3">
            <w:pPr>
              <w:adjustRightInd w:val="0"/>
              <w:spacing w:line="440" w:lineRule="exact"/>
              <w:jc w:val="left"/>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32E2B19F" w14:textId="77777777" w:rsidR="003C7AB3" w:rsidRDefault="003C7AB3" w:rsidP="003C7AB3">
            <w:pPr>
              <w:spacing w:line="440" w:lineRule="exact"/>
              <w:jc w:val="center"/>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3DC4FDE6" w14:textId="77777777" w:rsidR="003C7AB3" w:rsidRDefault="003C7AB3" w:rsidP="003C7AB3">
            <w:pPr>
              <w:snapToGrid w:val="0"/>
              <w:jc w:val="center"/>
              <w:rPr>
                <w:rFonts w:ascii="宋体" w:eastAsia="宋体" w:hAnsi="宋体"/>
                <w:sz w:val="24"/>
                <w:szCs w:val="24"/>
              </w:rPr>
            </w:pPr>
            <w:r>
              <w:rPr>
                <w:rFonts w:ascii="宋体" w:eastAsia="宋体" w:hAnsi="宋体" w:hint="eastAsia"/>
                <w:sz w:val="24"/>
                <w:szCs w:val="24"/>
              </w:rPr>
              <w:t>6</w:t>
            </w:r>
            <w:r>
              <w:rPr>
                <w:rFonts w:ascii="宋体" w:eastAsia="宋体" w:hAnsi="宋体"/>
                <w:sz w:val="24"/>
                <w:szCs w:val="24"/>
              </w:rPr>
              <w:t>学时</w:t>
            </w:r>
          </w:p>
        </w:tc>
      </w:tr>
      <w:tr w:rsidR="003C7AB3" w14:paraId="513FA815" w14:textId="77777777" w:rsidTr="003C7AB3">
        <w:trPr>
          <w:trHeight w:val="485"/>
        </w:trPr>
        <w:tc>
          <w:tcPr>
            <w:tcW w:w="2739" w:type="dxa"/>
            <w:tcBorders>
              <w:top w:val="single" w:sz="8" w:space="0" w:color="000000"/>
              <w:left w:val="single" w:sz="8" w:space="0" w:color="000000"/>
              <w:bottom w:val="single" w:sz="8" w:space="0" w:color="000000"/>
              <w:right w:val="single" w:sz="8" w:space="0" w:color="000000"/>
            </w:tcBorders>
            <w:vAlign w:val="center"/>
          </w:tcPr>
          <w:p w14:paraId="318134FA" w14:textId="77777777" w:rsidR="003C7AB3" w:rsidRDefault="003C7AB3" w:rsidP="003C7AB3">
            <w:pPr>
              <w:adjustRightInd w:val="0"/>
              <w:spacing w:line="440" w:lineRule="exact"/>
              <w:jc w:val="left"/>
              <w:rPr>
                <w:rFonts w:ascii="宋体" w:eastAsia="宋体" w:hAnsi="宋体"/>
                <w:sz w:val="24"/>
                <w:szCs w:val="24"/>
              </w:rPr>
            </w:pPr>
            <w:r>
              <w:rPr>
                <w:rFonts w:ascii="宋体" w:eastAsia="宋体" w:hAnsi="宋体" w:hint="eastAsia"/>
                <w:sz w:val="24"/>
                <w:szCs w:val="24"/>
              </w:rPr>
              <w:t>考核</w:t>
            </w:r>
          </w:p>
        </w:tc>
        <w:tc>
          <w:tcPr>
            <w:tcW w:w="3109" w:type="dxa"/>
            <w:tcBorders>
              <w:top w:val="single" w:sz="8" w:space="0" w:color="000000"/>
              <w:left w:val="single" w:sz="8" w:space="0" w:color="000000"/>
              <w:bottom w:val="single" w:sz="8" w:space="0" w:color="000000"/>
              <w:right w:val="single" w:sz="8" w:space="0" w:color="000000"/>
            </w:tcBorders>
            <w:vAlign w:val="center"/>
          </w:tcPr>
          <w:p w14:paraId="44DA3988" w14:textId="77777777" w:rsidR="003C7AB3" w:rsidRDefault="003C7AB3" w:rsidP="003C7AB3">
            <w:pPr>
              <w:adjustRightInd w:val="0"/>
              <w:spacing w:line="440" w:lineRule="exact"/>
              <w:jc w:val="left"/>
              <w:rPr>
                <w:rFonts w:ascii="宋体" w:eastAsia="宋体" w:hAnsi="宋体"/>
                <w:sz w:val="24"/>
                <w:szCs w:val="24"/>
              </w:rPr>
            </w:pPr>
            <w:r>
              <w:rPr>
                <w:rFonts w:ascii="宋体" w:eastAsia="宋体" w:hAnsi="宋体" w:hint="eastAsia"/>
                <w:sz w:val="24"/>
                <w:szCs w:val="24"/>
              </w:rPr>
              <w:t>随</w:t>
            </w:r>
            <w:proofErr w:type="gramStart"/>
            <w:r>
              <w:rPr>
                <w:rFonts w:ascii="宋体" w:eastAsia="宋体" w:hAnsi="宋体" w:hint="eastAsia"/>
                <w:sz w:val="24"/>
                <w:szCs w:val="24"/>
              </w:rPr>
              <w:t>堂考核</w:t>
            </w:r>
            <w:proofErr w:type="gramEnd"/>
          </w:p>
        </w:tc>
        <w:tc>
          <w:tcPr>
            <w:tcW w:w="1340" w:type="dxa"/>
            <w:tcBorders>
              <w:top w:val="single" w:sz="8" w:space="0" w:color="000000"/>
              <w:left w:val="single" w:sz="8" w:space="0" w:color="000000"/>
              <w:bottom w:val="single" w:sz="8" w:space="0" w:color="000000"/>
              <w:right w:val="single" w:sz="8" w:space="0" w:color="000000"/>
            </w:tcBorders>
            <w:vAlign w:val="center"/>
          </w:tcPr>
          <w:p w14:paraId="02DDE0AA" w14:textId="77777777" w:rsidR="003C7AB3" w:rsidRDefault="003C7AB3" w:rsidP="003C7AB3">
            <w:pPr>
              <w:snapToGrid w:val="0"/>
              <w:jc w:val="center"/>
              <w:rPr>
                <w:rFonts w:ascii="宋体" w:eastAsia="宋体" w:hAnsi="宋体"/>
                <w:sz w:val="24"/>
                <w:szCs w:val="24"/>
              </w:rPr>
            </w:pPr>
          </w:p>
        </w:tc>
        <w:tc>
          <w:tcPr>
            <w:tcW w:w="1135" w:type="dxa"/>
            <w:tcBorders>
              <w:top w:val="single" w:sz="8" w:space="0" w:color="000000"/>
              <w:left w:val="single" w:sz="8" w:space="0" w:color="000000"/>
              <w:bottom w:val="single" w:sz="8" w:space="0" w:color="000000"/>
              <w:right w:val="single" w:sz="8" w:space="0" w:color="000000"/>
            </w:tcBorders>
            <w:vAlign w:val="center"/>
          </w:tcPr>
          <w:p w14:paraId="15008D76" w14:textId="77777777" w:rsidR="003C7AB3" w:rsidRDefault="003C7AB3" w:rsidP="003C7AB3">
            <w:pPr>
              <w:snapToGrid w:val="0"/>
              <w:jc w:val="center"/>
              <w:rPr>
                <w:rFonts w:ascii="宋体" w:eastAsia="宋体" w:hAnsi="宋体"/>
                <w:sz w:val="24"/>
                <w:szCs w:val="24"/>
              </w:rPr>
            </w:pPr>
            <w:r>
              <w:rPr>
                <w:rFonts w:ascii="宋体" w:eastAsia="宋体" w:hAnsi="宋体" w:hint="eastAsia"/>
                <w:sz w:val="24"/>
                <w:szCs w:val="24"/>
              </w:rPr>
              <w:t>1学时</w:t>
            </w:r>
          </w:p>
        </w:tc>
      </w:tr>
      <w:tr w:rsidR="003C7AB3" w14:paraId="366E4339" w14:textId="77777777" w:rsidTr="003C7AB3">
        <w:trPr>
          <w:trHeight w:val="485"/>
        </w:trPr>
        <w:tc>
          <w:tcPr>
            <w:tcW w:w="7188" w:type="dxa"/>
            <w:gridSpan w:val="3"/>
            <w:tcBorders>
              <w:top w:val="single" w:sz="8" w:space="0" w:color="000000"/>
              <w:left w:val="single" w:sz="8" w:space="0" w:color="000000"/>
              <w:bottom w:val="single" w:sz="8" w:space="0" w:color="000000"/>
              <w:right w:val="single" w:sz="8" w:space="0" w:color="000000"/>
            </w:tcBorders>
            <w:vAlign w:val="center"/>
          </w:tcPr>
          <w:p w14:paraId="122011A9" w14:textId="77777777" w:rsidR="003C7AB3" w:rsidRDefault="003C7AB3" w:rsidP="003C7AB3">
            <w:pPr>
              <w:snapToGrid w:val="0"/>
              <w:jc w:val="center"/>
              <w:rPr>
                <w:rFonts w:ascii="宋体" w:eastAsia="宋体" w:hAnsi="宋体"/>
                <w:b/>
                <w:bCs/>
                <w:sz w:val="24"/>
                <w:szCs w:val="24"/>
              </w:rPr>
            </w:pPr>
            <w:r>
              <w:rPr>
                <w:rFonts w:ascii="宋体" w:eastAsia="宋体" w:hAnsi="宋体"/>
                <w:b/>
                <w:bCs/>
                <w:sz w:val="24"/>
                <w:szCs w:val="24"/>
              </w:rPr>
              <w:t>合计</w:t>
            </w:r>
          </w:p>
        </w:tc>
        <w:tc>
          <w:tcPr>
            <w:tcW w:w="1135" w:type="dxa"/>
            <w:tcBorders>
              <w:top w:val="single" w:sz="8" w:space="0" w:color="000000"/>
              <w:left w:val="single" w:sz="8" w:space="0" w:color="000000"/>
              <w:bottom w:val="single" w:sz="8" w:space="0" w:color="000000"/>
              <w:right w:val="single" w:sz="8" w:space="0" w:color="000000"/>
            </w:tcBorders>
            <w:vAlign w:val="center"/>
          </w:tcPr>
          <w:p w14:paraId="735246AD" w14:textId="77777777" w:rsidR="003C7AB3" w:rsidRDefault="003C7AB3" w:rsidP="003C7AB3">
            <w:pPr>
              <w:snapToGrid w:val="0"/>
              <w:jc w:val="center"/>
              <w:rPr>
                <w:rFonts w:ascii="宋体" w:eastAsia="宋体" w:hAnsi="宋体"/>
                <w:sz w:val="24"/>
                <w:szCs w:val="24"/>
              </w:rPr>
            </w:pPr>
            <w:r>
              <w:rPr>
                <w:rFonts w:ascii="宋体" w:eastAsia="宋体" w:hAnsi="宋体" w:hint="eastAsia"/>
                <w:sz w:val="24"/>
                <w:szCs w:val="24"/>
              </w:rPr>
              <w:t>40</w:t>
            </w:r>
            <w:r>
              <w:rPr>
                <w:rFonts w:ascii="宋体" w:eastAsia="宋体" w:hAnsi="宋体"/>
                <w:sz w:val="24"/>
                <w:szCs w:val="24"/>
              </w:rPr>
              <w:t>学时</w:t>
            </w:r>
          </w:p>
        </w:tc>
      </w:tr>
    </w:tbl>
    <w:p w14:paraId="3F15BC98" w14:textId="77777777" w:rsidR="003C7AB3" w:rsidRDefault="003C7AB3" w:rsidP="003C7AB3">
      <w:pPr>
        <w:snapToGrid w:val="0"/>
        <w:spacing w:before="156" w:after="156" w:line="440" w:lineRule="exact"/>
        <w:ind w:firstLineChars="200" w:firstLine="560"/>
        <w:rPr>
          <w:rFonts w:ascii="黑体" w:eastAsia="黑体" w:hAnsi="黑体"/>
          <w:sz w:val="28"/>
          <w:szCs w:val="28"/>
        </w:rPr>
      </w:pPr>
      <w:r>
        <w:rPr>
          <w:rFonts w:ascii="黑体" w:eastAsia="黑体" w:hAnsi="黑体"/>
          <w:sz w:val="28"/>
          <w:szCs w:val="28"/>
        </w:rPr>
        <w:t>四、课程考核及与课程学习目标的对应关系</w:t>
      </w:r>
    </w:p>
    <w:p w14:paraId="3FF0F9B9" w14:textId="77777777" w:rsidR="003C7AB3" w:rsidRDefault="003C7AB3" w:rsidP="003C7AB3">
      <w:pPr>
        <w:snapToGrid w:val="0"/>
        <w:spacing w:before="187" w:after="187" w:line="440" w:lineRule="exact"/>
        <w:ind w:left="561"/>
        <w:rPr>
          <w:rFonts w:ascii="黑体" w:eastAsia="黑体" w:hAnsi="黑体"/>
          <w:sz w:val="28"/>
          <w:szCs w:val="28"/>
        </w:rPr>
      </w:pPr>
      <w:r>
        <w:rPr>
          <w:rFonts w:ascii="黑体" w:eastAsia="黑体" w:hAnsi="黑体"/>
          <w:sz w:val="28"/>
          <w:szCs w:val="28"/>
        </w:rPr>
        <w:t>（一）课程考核内容与课程学习目标的对应关系</w:t>
      </w:r>
    </w:p>
    <w:tbl>
      <w:tblPr>
        <w:tblStyle w:val="a9"/>
        <w:tblW w:w="8265" w:type="dxa"/>
        <w:tblLayout w:type="fixed"/>
        <w:tblCellMar>
          <w:top w:w="120" w:type="dxa"/>
          <w:left w:w="60" w:type="dxa"/>
          <w:bottom w:w="120" w:type="dxa"/>
          <w:right w:w="60" w:type="dxa"/>
        </w:tblCellMar>
        <w:tblLook w:val="04A0" w:firstRow="1" w:lastRow="0" w:firstColumn="1" w:lastColumn="0" w:noHBand="0" w:noVBand="1"/>
      </w:tblPr>
      <w:tblGrid>
        <w:gridCol w:w="1251"/>
        <w:gridCol w:w="7014"/>
      </w:tblGrid>
      <w:tr w:rsidR="003C7AB3" w14:paraId="13D3872A" w14:textId="77777777" w:rsidTr="003C7AB3">
        <w:trPr>
          <w:trHeight w:val="522"/>
        </w:trPr>
        <w:tc>
          <w:tcPr>
            <w:tcW w:w="1251" w:type="dxa"/>
            <w:tcBorders>
              <w:top w:val="single" w:sz="8" w:space="0" w:color="000000"/>
              <w:left w:val="single" w:sz="8" w:space="0" w:color="000000"/>
              <w:bottom w:val="single" w:sz="8" w:space="0" w:color="000000"/>
              <w:right w:val="single" w:sz="8" w:space="0" w:color="000000"/>
            </w:tcBorders>
          </w:tcPr>
          <w:p w14:paraId="1AA8F445" w14:textId="77777777" w:rsidR="003C7AB3" w:rsidRDefault="003C7AB3" w:rsidP="003C7AB3">
            <w:pPr>
              <w:adjustRightInd w:val="0"/>
              <w:snapToGrid w:val="0"/>
              <w:spacing w:line="440" w:lineRule="exact"/>
              <w:jc w:val="center"/>
              <w:rPr>
                <w:rFonts w:ascii="宋体" w:eastAsia="宋体" w:hAnsi="宋体"/>
                <w:b/>
                <w:bCs/>
                <w:sz w:val="24"/>
                <w:szCs w:val="24"/>
              </w:rPr>
            </w:pPr>
            <w:r>
              <w:rPr>
                <w:rFonts w:ascii="宋体" w:eastAsia="宋体" w:hAnsi="宋体"/>
                <w:b/>
                <w:bCs/>
                <w:sz w:val="24"/>
                <w:szCs w:val="24"/>
              </w:rPr>
              <w:t>课程目标</w:t>
            </w:r>
          </w:p>
        </w:tc>
        <w:tc>
          <w:tcPr>
            <w:tcW w:w="7014" w:type="dxa"/>
            <w:tcBorders>
              <w:top w:val="single" w:sz="8" w:space="0" w:color="000000"/>
              <w:left w:val="single" w:sz="8" w:space="0" w:color="000000"/>
              <w:bottom w:val="single" w:sz="8" w:space="0" w:color="000000"/>
              <w:right w:val="single" w:sz="8" w:space="0" w:color="000000"/>
            </w:tcBorders>
            <w:vAlign w:val="center"/>
          </w:tcPr>
          <w:p w14:paraId="5EAFA82C" w14:textId="77777777" w:rsidR="003C7AB3" w:rsidRDefault="003C7AB3" w:rsidP="003C7AB3">
            <w:pPr>
              <w:adjustRightInd w:val="0"/>
              <w:snapToGrid w:val="0"/>
              <w:spacing w:line="440" w:lineRule="exact"/>
              <w:jc w:val="center"/>
              <w:rPr>
                <w:rFonts w:ascii="宋体" w:eastAsia="宋体" w:hAnsi="宋体"/>
                <w:b/>
                <w:bCs/>
                <w:sz w:val="24"/>
                <w:szCs w:val="24"/>
              </w:rPr>
            </w:pPr>
            <w:r>
              <w:rPr>
                <w:rFonts w:ascii="宋体" w:eastAsia="宋体" w:hAnsi="宋体"/>
                <w:b/>
                <w:bCs/>
                <w:sz w:val="24"/>
                <w:szCs w:val="24"/>
              </w:rPr>
              <w:t>考核内容</w:t>
            </w:r>
          </w:p>
        </w:tc>
      </w:tr>
      <w:tr w:rsidR="003C7AB3" w14:paraId="3D1F36B1" w14:textId="77777777" w:rsidTr="003C7AB3">
        <w:trPr>
          <w:trHeight w:val="491"/>
        </w:trPr>
        <w:tc>
          <w:tcPr>
            <w:tcW w:w="1251" w:type="dxa"/>
            <w:tcBorders>
              <w:top w:val="single" w:sz="8" w:space="0" w:color="000000"/>
              <w:left w:val="single" w:sz="8" w:space="0" w:color="000000"/>
              <w:bottom w:val="single" w:sz="8" w:space="0" w:color="000000"/>
              <w:right w:val="single" w:sz="8" w:space="0" w:color="000000"/>
            </w:tcBorders>
            <w:vAlign w:val="center"/>
          </w:tcPr>
          <w:p w14:paraId="34F50E4E" w14:textId="77777777" w:rsidR="003C7AB3" w:rsidRDefault="003C7AB3" w:rsidP="003C7AB3">
            <w:pPr>
              <w:adjustRightInd w:val="0"/>
              <w:snapToGrid w:val="0"/>
              <w:spacing w:line="440" w:lineRule="exact"/>
              <w:jc w:val="center"/>
              <w:rPr>
                <w:rFonts w:ascii="宋体" w:eastAsia="宋体" w:hAnsi="宋体"/>
                <w:sz w:val="24"/>
                <w:szCs w:val="24"/>
              </w:rPr>
            </w:pPr>
            <w:r>
              <w:rPr>
                <w:rFonts w:ascii="宋体" w:eastAsia="宋体" w:hAnsi="宋体"/>
                <w:sz w:val="24"/>
                <w:szCs w:val="24"/>
              </w:rPr>
              <w:t>课程目标1</w:t>
            </w:r>
          </w:p>
        </w:tc>
        <w:tc>
          <w:tcPr>
            <w:tcW w:w="7014" w:type="dxa"/>
            <w:tcBorders>
              <w:top w:val="single" w:sz="8" w:space="0" w:color="000000"/>
              <w:left w:val="single" w:sz="8" w:space="0" w:color="000000"/>
              <w:bottom w:val="single" w:sz="8" w:space="0" w:color="000000"/>
              <w:right w:val="single" w:sz="8" w:space="0" w:color="000000"/>
            </w:tcBorders>
            <w:vAlign w:val="center"/>
          </w:tcPr>
          <w:p w14:paraId="38329B15" w14:textId="77777777" w:rsidR="003C7AB3" w:rsidRDefault="003C7AB3" w:rsidP="003C7AB3">
            <w:pPr>
              <w:adjustRightInd w:val="0"/>
              <w:snapToGrid w:val="0"/>
              <w:spacing w:line="440" w:lineRule="exact"/>
              <w:rPr>
                <w:rFonts w:ascii="宋体" w:eastAsia="宋体" w:hAnsi="宋体"/>
                <w:sz w:val="24"/>
                <w:szCs w:val="24"/>
              </w:rPr>
            </w:pPr>
            <w:r>
              <w:rPr>
                <w:rFonts w:ascii="宋体" w:eastAsia="宋体" w:hAnsi="宋体"/>
                <w:sz w:val="24"/>
                <w:szCs w:val="24"/>
              </w:rPr>
              <w:t>1.1马克思主义人生观、科学的理想信念、中国精神、社会主义核心价值观等基本理论和观点</w:t>
            </w:r>
            <w:r>
              <w:rPr>
                <w:rFonts w:ascii="宋体" w:eastAsia="宋体" w:hAnsi="宋体" w:hint="eastAsia"/>
                <w:sz w:val="24"/>
                <w:szCs w:val="24"/>
              </w:rPr>
              <w:t>；</w:t>
            </w:r>
          </w:p>
          <w:p w14:paraId="087438D1" w14:textId="77777777" w:rsidR="003C7AB3" w:rsidRDefault="003C7AB3" w:rsidP="003C7AB3">
            <w:pPr>
              <w:adjustRightInd w:val="0"/>
              <w:snapToGrid w:val="0"/>
              <w:spacing w:line="440" w:lineRule="exact"/>
              <w:rPr>
                <w:rFonts w:ascii="宋体" w:eastAsia="宋体" w:hAnsi="宋体"/>
                <w:sz w:val="24"/>
                <w:szCs w:val="24"/>
              </w:rPr>
            </w:pPr>
            <w:r>
              <w:rPr>
                <w:rFonts w:ascii="宋体" w:eastAsia="宋体" w:hAnsi="宋体"/>
                <w:sz w:val="24"/>
                <w:szCs w:val="24"/>
              </w:rPr>
              <w:t>1.2马克思主义道德观的基本理论和观点</w:t>
            </w:r>
            <w:r>
              <w:rPr>
                <w:rFonts w:ascii="宋体" w:eastAsia="宋体" w:hAnsi="宋体" w:hint="eastAsia"/>
                <w:sz w:val="24"/>
                <w:szCs w:val="24"/>
              </w:rPr>
              <w:t>；</w:t>
            </w:r>
          </w:p>
          <w:p w14:paraId="6DB468A3" w14:textId="77777777" w:rsidR="003C7AB3" w:rsidRDefault="003C7AB3" w:rsidP="003C7AB3">
            <w:pPr>
              <w:adjustRightInd w:val="0"/>
              <w:snapToGrid w:val="0"/>
              <w:spacing w:line="440" w:lineRule="exact"/>
              <w:rPr>
                <w:rFonts w:ascii="宋体" w:eastAsia="宋体" w:hAnsi="宋体"/>
                <w:sz w:val="24"/>
                <w:szCs w:val="24"/>
              </w:rPr>
            </w:pPr>
            <w:r>
              <w:rPr>
                <w:rFonts w:ascii="宋体" w:eastAsia="宋体" w:hAnsi="宋体"/>
                <w:sz w:val="24"/>
                <w:szCs w:val="24"/>
              </w:rPr>
              <w:lastRenderedPageBreak/>
              <w:t>1.3中国特色社会主义法治观的基本理论和观点</w:t>
            </w:r>
            <w:r>
              <w:rPr>
                <w:rFonts w:ascii="宋体" w:eastAsia="宋体" w:hAnsi="宋体" w:hint="eastAsia"/>
                <w:sz w:val="24"/>
                <w:szCs w:val="24"/>
              </w:rPr>
              <w:t>。</w:t>
            </w:r>
          </w:p>
        </w:tc>
      </w:tr>
      <w:tr w:rsidR="003C7AB3" w14:paraId="038C4242" w14:textId="77777777" w:rsidTr="003C7AB3">
        <w:trPr>
          <w:trHeight w:val="491"/>
        </w:trPr>
        <w:tc>
          <w:tcPr>
            <w:tcW w:w="1251" w:type="dxa"/>
            <w:tcBorders>
              <w:top w:val="single" w:sz="8" w:space="0" w:color="000000"/>
              <w:left w:val="single" w:sz="8" w:space="0" w:color="000000"/>
              <w:bottom w:val="single" w:sz="8" w:space="0" w:color="000000"/>
              <w:right w:val="single" w:sz="8" w:space="0" w:color="000000"/>
            </w:tcBorders>
            <w:vAlign w:val="center"/>
          </w:tcPr>
          <w:p w14:paraId="7181F957" w14:textId="77777777" w:rsidR="003C7AB3" w:rsidRDefault="003C7AB3" w:rsidP="003C7AB3">
            <w:pPr>
              <w:adjustRightInd w:val="0"/>
              <w:snapToGrid w:val="0"/>
              <w:spacing w:line="440" w:lineRule="exact"/>
              <w:jc w:val="center"/>
              <w:rPr>
                <w:rFonts w:ascii="宋体" w:eastAsia="宋体" w:hAnsi="宋体"/>
                <w:sz w:val="24"/>
                <w:szCs w:val="24"/>
              </w:rPr>
            </w:pPr>
            <w:r>
              <w:rPr>
                <w:rFonts w:ascii="宋体" w:eastAsia="宋体" w:hAnsi="宋体"/>
                <w:sz w:val="24"/>
                <w:szCs w:val="24"/>
              </w:rPr>
              <w:lastRenderedPageBreak/>
              <w:t>课程目标2</w:t>
            </w:r>
          </w:p>
        </w:tc>
        <w:tc>
          <w:tcPr>
            <w:tcW w:w="7014" w:type="dxa"/>
            <w:tcBorders>
              <w:top w:val="single" w:sz="8" w:space="0" w:color="000000"/>
              <w:left w:val="single" w:sz="8" w:space="0" w:color="000000"/>
              <w:bottom w:val="single" w:sz="8" w:space="0" w:color="000000"/>
              <w:right w:val="single" w:sz="8" w:space="0" w:color="000000"/>
            </w:tcBorders>
            <w:vAlign w:val="center"/>
          </w:tcPr>
          <w:p w14:paraId="22478507" w14:textId="77777777" w:rsidR="003C7AB3" w:rsidRDefault="003C7AB3" w:rsidP="003C7AB3">
            <w:pPr>
              <w:adjustRightInd w:val="0"/>
              <w:snapToGrid w:val="0"/>
              <w:spacing w:line="440" w:lineRule="exact"/>
              <w:rPr>
                <w:rFonts w:ascii="宋体" w:eastAsia="宋体" w:hAnsi="宋体"/>
                <w:sz w:val="24"/>
                <w:szCs w:val="24"/>
              </w:rPr>
            </w:pPr>
            <w:r>
              <w:rPr>
                <w:rFonts w:ascii="宋体" w:eastAsia="宋体" w:hAnsi="宋体"/>
                <w:sz w:val="24"/>
                <w:szCs w:val="24"/>
              </w:rPr>
              <w:t>2.1应用马克思主义人生观、价值观、道德观和法治观分析社会现象、解决社会问题的能力</w:t>
            </w:r>
            <w:r>
              <w:rPr>
                <w:rFonts w:ascii="宋体" w:eastAsia="宋体" w:hAnsi="宋体" w:hint="eastAsia"/>
                <w:sz w:val="24"/>
                <w:szCs w:val="24"/>
              </w:rPr>
              <w:t>；</w:t>
            </w:r>
          </w:p>
          <w:p w14:paraId="2CC7324A" w14:textId="77777777" w:rsidR="003C7AB3" w:rsidRDefault="003C7AB3" w:rsidP="003C7AB3">
            <w:pPr>
              <w:adjustRightInd w:val="0"/>
              <w:snapToGrid w:val="0"/>
              <w:spacing w:line="440" w:lineRule="exact"/>
              <w:rPr>
                <w:rFonts w:ascii="宋体" w:eastAsia="宋体" w:hAnsi="宋体"/>
                <w:sz w:val="24"/>
                <w:szCs w:val="24"/>
              </w:rPr>
            </w:pPr>
            <w:r>
              <w:rPr>
                <w:rFonts w:ascii="宋体" w:eastAsia="宋体" w:hAnsi="宋体"/>
                <w:sz w:val="24"/>
                <w:szCs w:val="24"/>
              </w:rPr>
              <w:t>2.2应用马克思主义人生观、价值观、道德观和法治观指导自身成长成才的能力</w:t>
            </w:r>
            <w:r>
              <w:rPr>
                <w:rFonts w:ascii="宋体" w:eastAsia="宋体" w:hAnsi="宋体" w:hint="eastAsia"/>
                <w:sz w:val="24"/>
                <w:szCs w:val="24"/>
              </w:rPr>
              <w:t>；</w:t>
            </w:r>
          </w:p>
          <w:p w14:paraId="70E10511" w14:textId="77777777" w:rsidR="003C7AB3" w:rsidRDefault="003C7AB3" w:rsidP="003C7AB3">
            <w:pPr>
              <w:adjustRightInd w:val="0"/>
              <w:snapToGrid w:val="0"/>
              <w:spacing w:line="440" w:lineRule="exact"/>
              <w:rPr>
                <w:rFonts w:ascii="宋体" w:eastAsia="宋体" w:hAnsi="宋体"/>
                <w:sz w:val="24"/>
                <w:szCs w:val="24"/>
              </w:rPr>
            </w:pPr>
            <w:r>
              <w:rPr>
                <w:rFonts w:ascii="宋体" w:eastAsia="宋体" w:hAnsi="宋体"/>
                <w:sz w:val="24"/>
                <w:szCs w:val="24"/>
              </w:rPr>
              <w:t>2.3整个学期中课</w:t>
            </w:r>
            <w:r>
              <w:rPr>
                <w:rFonts w:ascii="宋体" w:eastAsia="宋体" w:hAnsi="宋体" w:hint="eastAsia"/>
                <w:sz w:val="24"/>
                <w:szCs w:val="24"/>
              </w:rPr>
              <w:t>程</w:t>
            </w:r>
            <w:r>
              <w:rPr>
                <w:rFonts w:ascii="宋体" w:eastAsia="宋体" w:hAnsi="宋体"/>
                <w:sz w:val="24"/>
                <w:szCs w:val="24"/>
              </w:rPr>
              <w:t>参与等环节中</w:t>
            </w:r>
            <w:r>
              <w:rPr>
                <w:rFonts w:ascii="宋体" w:eastAsia="宋体" w:hAnsi="宋体" w:hint="eastAsia"/>
                <w:sz w:val="24"/>
                <w:szCs w:val="24"/>
              </w:rPr>
              <w:t>的</w:t>
            </w:r>
            <w:r>
              <w:rPr>
                <w:rFonts w:ascii="宋体" w:eastAsia="宋体" w:hAnsi="宋体"/>
                <w:sz w:val="24"/>
                <w:szCs w:val="24"/>
              </w:rPr>
              <w:t>表现</w:t>
            </w:r>
            <w:r>
              <w:rPr>
                <w:rFonts w:ascii="宋体" w:eastAsia="宋体" w:hAnsi="宋体" w:hint="eastAsia"/>
                <w:sz w:val="24"/>
                <w:szCs w:val="24"/>
              </w:rPr>
              <w:t>。</w:t>
            </w:r>
          </w:p>
        </w:tc>
      </w:tr>
      <w:tr w:rsidR="003C7AB3" w14:paraId="79D5DF0A" w14:textId="77777777" w:rsidTr="003C7AB3">
        <w:trPr>
          <w:trHeight w:val="491"/>
        </w:trPr>
        <w:tc>
          <w:tcPr>
            <w:tcW w:w="1251" w:type="dxa"/>
            <w:tcBorders>
              <w:top w:val="single" w:sz="8" w:space="0" w:color="000000"/>
              <w:left w:val="single" w:sz="8" w:space="0" w:color="000000"/>
              <w:bottom w:val="single" w:sz="8" w:space="0" w:color="000000"/>
              <w:right w:val="single" w:sz="8" w:space="0" w:color="000000"/>
            </w:tcBorders>
            <w:vAlign w:val="center"/>
          </w:tcPr>
          <w:p w14:paraId="36D692CD" w14:textId="77777777" w:rsidR="003C7AB3" w:rsidRDefault="003C7AB3" w:rsidP="003C7AB3">
            <w:pPr>
              <w:adjustRightInd w:val="0"/>
              <w:snapToGrid w:val="0"/>
              <w:spacing w:line="440" w:lineRule="exact"/>
              <w:jc w:val="center"/>
              <w:rPr>
                <w:rFonts w:ascii="宋体" w:eastAsia="宋体" w:hAnsi="宋体"/>
                <w:sz w:val="24"/>
                <w:szCs w:val="24"/>
              </w:rPr>
            </w:pPr>
            <w:r>
              <w:rPr>
                <w:rFonts w:ascii="宋体" w:eastAsia="宋体" w:hAnsi="宋体"/>
                <w:sz w:val="24"/>
                <w:szCs w:val="24"/>
              </w:rPr>
              <w:t>课程目标3</w:t>
            </w:r>
          </w:p>
        </w:tc>
        <w:tc>
          <w:tcPr>
            <w:tcW w:w="7014" w:type="dxa"/>
            <w:tcBorders>
              <w:top w:val="single" w:sz="8" w:space="0" w:color="000000"/>
              <w:left w:val="single" w:sz="8" w:space="0" w:color="000000"/>
              <w:bottom w:val="single" w:sz="8" w:space="0" w:color="000000"/>
              <w:right w:val="single" w:sz="8" w:space="0" w:color="000000"/>
            </w:tcBorders>
            <w:vAlign w:val="center"/>
          </w:tcPr>
          <w:p w14:paraId="60CA9E7C" w14:textId="77777777" w:rsidR="003C7AB3" w:rsidRDefault="003C7AB3" w:rsidP="003C7AB3">
            <w:pPr>
              <w:adjustRightInd w:val="0"/>
              <w:snapToGrid w:val="0"/>
              <w:spacing w:line="440" w:lineRule="exact"/>
              <w:rPr>
                <w:rFonts w:ascii="宋体" w:eastAsia="宋体" w:hAnsi="宋体"/>
                <w:sz w:val="24"/>
                <w:szCs w:val="24"/>
              </w:rPr>
            </w:pPr>
            <w:r>
              <w:rPr>
                <w:rFonts w:ascii="宋体" w:eastAsia="宋体" w:hAnsi="宋体"/>
                <w:sz w:val="24"/>
                <w:szCs w:val="24"/>
              </w:rPr>
              <w:t>3.1在学习和应用马克思主义人生观、科学的理想信念、中国精神、社会主义核心价值观</w:t>
            </w:r>
            <w:r>
              <w:rPr>
                <w:rFonts w:ascii="宋体" w:eastAsia="宋体" w:hAnsi="宋体" w:hint="eastAsia"/>
                <w:sz w:val="24"/>
                <w:szCs w:val="24"/>
              </w:rPr>
              <w:t>理论</w:t>
            </w:r>
            <w:r>
              <w:rPr>
                <w:rFonts w:ascii="宋体" w:eastAsia="宋体" w:hAnsi="宋体"/>
                <w:sz w:val="24"/>
                <w:szCs w:val="24"/>
              </w:rPr>
              <w:t>中体现出的思想政治素质</w:t>
            </w:r>
            <w:r>
              <w:rPr>
                <w:rFonts w:ascii="宋体" w:eastAsia="宋体" w:hAnsi="宋体" w:hint="eastAsia"/>
                <w:sz w:val="24"/>
                <w:szCs w:val="24"/>
              </w:rPr>
              <w:t>；</w:t>
            </w:r>
          </w:p>
          <w:p w14:paraId="582ED6FC" w14:textId="77777777" w:rsidR="003C7AB3" w:rsidRDefault="003C7AB3" w:rsidP="003C7AB3">
            <w:pPr>
              <w:adjustRightInd w:val="0"/>
              <w:snapToGrid w:val="0"/>
              <w:spacing w:line="440" w:lineRule="exact"/>
              <w:rPr>
                <w:rFonts w:ascii="宋体" w:eastAsia="宋体" w:hAnsi="宋体"/>
                <w:sz w:val="24"/>
                <w:szCs w:val="24"/>
              </w:rPr>
            </w:pPr>
            <w:r>
              <w:rPr>
                <w:rFonts w:ascii="宋体" w:eastAsia="宋体" w:hAnsi="宋体"/>
                <w:sz w:val="24"/>
                <w:szCs w:val="24"/>
              </w:rPr>
              <w:t>3.2在学习和应用马克思主义道德观</w:t>
            </w:r>
            <w:r>
              <w:rPr>
                <w:rFonts w:ascii="宋体" w:eastAsia="宋体" w:hAnsi="宋体" w:hint="eastAsia"/>
                <w:sz w:val="24"/>
                <w:szCs w:val="24"/>
              </w:rPr>
              <w:t>理论</w:t>
            </w:r>
            <w:r>
              <w:rPr>
                <w:rFonts w:ascii="宋体" w:eastAsia="宋体" w:hAnsi="宋体"/>
                <w:sz w:val="24"/>
                <w:szCs w:val="24"/>
              </w:rPr>
              <w:t>中体现出的道德素质</w:t>
            </w:r>
            <w:r>
              <w:rPr>
                <w:rFonts w:ascii="宋体" w:eastAsia="宋体" w:hAnsi="宋体" w:hint="eastAsia"/>
                <w:sz w:val="24"/>
                <w:szCs w:val="24"/>
              </w:rPr>
              <w:t>；</w:t>
            </w:r>
          </w:p>
          <w:p w14:paraId="17FA5685" w14:textId="77777777" w:rsidR="003C7AB3" w:rsidRDefault="003C7AB3" w:rsidP="003C7AB3">
            <w:pPr>
              <w:adjustRightInd w:val="0"/>
              <w:snapToGrid w:val="0"/>
              <w:spacing w:line="440" w:lineRule="exact"/>
              <w:rPr>
                <w:rFonts w:ascii="宋体" w:eastAsia="宋体" w:hAnsi="宋体"/>
                <w:sz w:val="24"/>
                <w:szCs w:val="24"/>
              </w:rPr>
            </w:pPr>
            <w:r>
              <w:rPr>
                <w:rFonts w:ascii="宋体" w:eastAsia="宋体" w:hAnsi="宋体"/>
                <w:sz w:val="24"/>
                <w:szCs w:val="24"/>
              </w:rPr>
              <w:t>3.3在学习和应用马克思主义法治</w:t>
            </w:r>
            <w:proofErr w:type="gramStart"/>
            <w:r>
              <w:rPr>
                <w:rFonts w:ascii="宋体" w:eastAsia="宋体" w:hAnsi="宋体"/>
                <w:sz w:val="24"/>
                <w:szCs w:val="24"/>
              </w:rPr>
              <w:t>观</w:t>
            </w:r>
            <w:r>
              <w:rPr>
                <w:rFonts w:ascii="宋体" w:eastAsia="宋体" w:hAnsi="宋体" w:hint="eastAsia"/>
                <w:sz w:val="24"/>
                <w:szCs w:val="24"/>
              </w:rPr>
              <w:t>理论</w:t>
            </w:r>
            <w:proofErr w:type="gramEnd"/>
            <w:r>
              <w:rPr>
                <w:rFonts w:ascii="宋体" w:eastAsia="宋体" w:hAnsi="宋体"/>
                <w:sz w:val="24"/>
                <w:szCs w:val="24"/>
              </w:rPr>
              <w:t>中体现出的法治素养</w:t>
            </w:r>
            <w:r>
              <w:rPr>
                <w:rFonts w:ascii="宋体" w:eastAsia="宋体" w:hAnsi="宋体" w:hint="eastAsia"/>
                <w:sz w:val="24"/>
                <w:szCs w:val="24"/>
              </w:rPr>
              <w:t>。</w:t>
            </w:r>
          </w:p>
        </w:tc>
      </w:tr>
    </w:tbl>
    <w:p w14:paraId="1CDA81B7" w14:textId="77777777" w:rsidR="003C7AB3" w:rsidRDefault="003C7AB3" w:rsidP="003C7AB3">
      <w:pPr>
        <w:snapToGrid w:val="0"/>
        <w:spacing w:before="156" w:after="156" w:line="440" w:lineRule="exact"/>
        <w:ind w:firstLineChars="200" w:firstLine="560"/>
        <w:rPr>
          <w:rFonts w:ascii="黑体" w:eastAsia="黑体" w:hAnsi="黑体"/>
          <w:sz w:val="28"/>
          <w:szCs w:val="28"/>
        </w:rPr>
      </w:pPr>
      <w:r>
        <w:rPr>
          <w:rFonts w:ascii="黑体" w:eastAsia="黑体" w:hAnsi="黑体"/>
          <w:sz w:val="28"/>
          <w:szCs w:val="28"/>
        </w:rPr>
        <w:t>（二）课程考核方式</w:t>
      </w:r>
    </w:p>
    <w:p w14:paraId="05AEFF5C" w14:textId="77777777" w:rsidR="003C7AB3" w:rsidRDefault="003C7AB3" w:rsidP="003C7AB3">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课程考核方式分为平时考核和期末考核。</w:t>
      </w:r>
    </w:p>
    <w:p w14:paraId="2587108A" w14:textId="77777777" w:rsidR="003C7AB3" w:rsidRDefault="003C7AB3" w:rsidP="003C7AB3">
      <w:pPr>
        <w:spacing w:beforeLines="50" w:before="156" w:afterLines="50" w:after="156" w:line="360" w:lineRule="auto"/>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平时考核内容包括自主学习、课程参与两部分，自主学习考核通过在线平台（学习通）软件计分，课程参与考核由教师根据平时教学中课程参与情况计分。</w:t>
      </w:r>
    </w:p>
    <w:p w14:paraId="499246BD" w14:textId="77777777" w:rsidR="003C7AB3" w:rsidRDefault="003C7AB3" w:rsidP="003C7AB3">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期末考核为开卷考查，采用课程论文形式。</w:t>
      </w:r>
    </w:p>
    <w:p w14:paraId="0BB09AE1" w14:textId="77777777" w:rsidR="003C7AB3" w:rsidRDefault="003C7AB3" w:rsidP="003C7AB3">
      <w:pPr>
        <w:snapToGrid w:val="0"/>
        <w:spacing w:before="156" w:after="156" w:line="440" w:lineRule="exact"/>
        <w:ind w:firstLineChars="200" w:firstLine="560"/>
        <w:rPr>
          <w:rFonts w:ascii="黑体" w:eastAsia="黑体" w:hAnsi="黑体"/>
          <w:sz w:val="28"/>
          <w:szCs w:val="28"/>
        </w:rPr>
      </w:pPr>
      <w:r>
        <w:rPr>
          <w:rFonts w:ascii="黑体" w:eastAsia="黑体" w:hAnsi="黑体"/>
          <w:sz w:val="28"/>
          <w:szCs w:val="28"/>
        </w:rPr>
        <w:t>（三）课程目标达成评价方式及考核比例</w:t>
      </w:r>
    </w:p>
    <w:p w14:paraId="11325187" w14:textId="77777777" w:rsidR="003C7AB3" w:rsidRDefault="003C7AB3" w:rsidP="003C7AB3">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考核方式及成绩比例为：自主学习10%＋课程参与40%＋期末论文50%；本课程共有三个课程目标，考核方式及成绩比例大体如下：</w:t>
      </w:r>
    </w:p>
    <w:p w14:paraId="526E6CD4" w14:textId="77777777" w:rsidR="003C7AB3" w:rsidRDefault="003C7AB3" w:rsidP="003C7AB3">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课程目标1：期末论文40%</w:t>
      </w:r>
    </w:p>
    <w:p w14:paraId="7151D11C" w14:textId="77777777" w:rsidR="003C7AB3" w:rsidRDefault="003C7AB3" w:rsidP="003C7AB3">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课程目标2：课程参与25%</w:t>
      </w:r>
    </w:p>
    <w:p w14:paraId="6AD0260A" w14:textId="77777777" w:rsidR="003C7AB3" w:rsidRDefault="003C7AB3" w:rsidP="003C7AB3">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课程目标3：自主学习10%＋课程参与15%+期末论文10%</w:t>
      </w:r>
    </w:p>
    <w:p w14:paraId="4E504C09" w14:textId="77777777" w:rsidR="003C7AB3" w:rsidRDefault="003C7AB3" w:rsidP="003C7AB3">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如下图：</w:t>
      </w:r>
    </w:p>
    <w:tbl>
      <w:tblPr>
        <w:tblStyle w:val="a9"/>
        <w:tblW w:w="8354" w:type="dxa"/>
        <w:tblLayout w:type="fixed"/>
        <w:tblCellMar>
          <w:top w:w="120" w:type="dxa"/>
          <w:left w:w="60" w:type="dxa"/>
          <w:bottom w:w="120" w:type="dxa"/>
          <w:right w:w="60" w:type="dxa"/>
        </w:tblCellMar>
        <w:tblLook w:val="04A0" w:firstRow="1" w:lastRow="0" w:firstColumn="1" w:lastColumn="0" w:noHBand="0" w:noVBand="1"/>
      </w:tblPr>
      <w:tblGrid>
        <w:gridCol w:w="1283"/>
        <w:gridCol w:w="1831"/>
        <w:gridCol w:w="1995"/>
        <w:gridCol w:w="1839"/>
        <w:gridCol w:w="1406"/>
      </w:tblGrid>
      <w:tr w:rsidR="003C7AB3" w14:paraId="7932D37E" w14:textId="77777777" w:rsidTr="003C7AB3">
        <w:trPr>
          <w:trHeight w:val="454"/>
        </w:trPr>
        <w:tc>
          <w:tcPr>
            <w:tcW w:w="1283" w:type="dxa"/>
            <w:vMerge w:val="restart"/>
            <w:tcBorders>
              <w:top w:val="single" w:sz="8" w:space="0" w:color="000000"/>
              <w:left w:val="single" w:sz="8" w:space="0" w:color="000000"/>
              <w:bottom w:val="single" w:sz="8" w:space="0" w:color="000000"/>
              <w:right w:val="single" w:sz="8" w:space="0" w:color="000000"/>
            </w:tcBorders>
            <w:vAlign w:val="center"/>
          </w:tcPr>
          <w:p w14:paraId="7981DF97" w14:textId="77777777" w:rsidR="003C7AB3" w:rsidRDefault="003C7AB3" w:rsidP="003C7AB3">
            <w:pPr>
              <w:adjustRightInd w:val="0"/>
              <w:snapToGrid w:val="0"/>
              <w:spacing w:line="440" w:lineRule="exact"/>
              <w:jc w:val="center"/>
              <w:rPr>
                <w:rFonts w:ascii="宋体" w:eastAsia="宋体" w:hAnsi="宋体"/>
                <w:b/>
                <w:bCs/>
                <w:sz w:val="24"/>
                <w:szCs w:val="24"/>
              </w:rPr>
            </w:pPr>
            <w:r>
              <w:rPr>
                <w:rFonts w:ascii="宋体" w:eastAsia="宋体" w:hAnsi="宋体"/>
                <w:b/>
                <w:bCs/>
                <w:sz w:val="24"/>
                <w:szCs w:val="24"/>
              </w:rPr>
              <w:t>课程目标</w:t>
            </w:r>
          </w:p>
        </w:tc>
        <w:tc>
          <w:tcPr>
            <w:tcW w:w="5665" w:type="dxa"/>
            <w:gridSpan w:val="3"/>
            <w:tcBorders>
              <w:top w:val="single" w:sz="8" w:space="0" w:color="000000"/>
              <w:left w:val="single" w:sz="8" w:space="0" w:color="000000"/>
              <w:bottom w:val="single" w:sz="8" w:space="0" w:color="000000"/>
              <w:right w:val="single" w:sz="8" w:space="0" w:color="000000"/>
            </w:tcBorders>
            <w:vAlign w:val="center"/>
          </w:tcPr>
          <w:p w14:paraId="066B9A65" w14:textId="77777777" w:rsidR="003C7AB3" w:rsidRDefault="003C7AB3" w:rsidP="003C7AB3">
            <w:pPr>
              <w:adjustRightInd w:val="0"/>
              <w:snapToGrid w:val="0"/>
              <w:spacing w:line="440" w:lineRule="exact"/>
              <w:jc w:val="center"/>
              <w:rPr>
                <w:rFonts w:ascii="宋体" w:eastAsia="宋体" w:hAnsi="宋体"/>
                <w:b/>
                <w:bCs/>
                <w:sz w:val="24"/>
                <w:szCs w:val="24"/>
              </w:rPr>
            </w:pPr>
            <w:r>
              <w:rPr>
                <w:rFonts w:ascii="宋体" w:eastAsia="宋体" w:hAnsi="宋体"/>
                <w:b/>
                <w:bCs/>
                <w:sz w:val="24"/>
                <w:szCs w:val="24"/>
              </w:rPr>
              <w:t>考核方式及成绩比例（%）</w:t>
            </w:r>
          </w:p>
        </w:tc>
        <w:tc>
          <w:tcPr>
            <w:tcW w:w="1406" w:type="dxa"/>
            <w:vMerge w:val="restart"/>
            <w:tcBorders>
              <w:top w:val="single" w:sz="8" w:space="0" w:color="000000"/>
              <w:left w:val="single" w:sz="8" w:space="0" w:color="000000"/>
              <w:right w:val="single" w:sz="8" w:space="0" w:color="000000"/>
            </w:tcBorders>
            <w:vAlign w:val="center"/>
          </w:tcPr>
          <w:p w14:paraId="690ED5F4" w14:textId="77777777" w:rsidR="003C7AB3" w:rsidRDefault="003C7AB3" w:rsidP="003C7AB3">
            <w:pPr>
              <w:adjustRightInd w:val="0"/>
              <w:snapToGrid w:val="0"/>
              <w:spacing w:line="440" w:lineRule="exact"/>
              <w:jc w:val="center"/>
              <w:rPr>
                <w:rFonts w:ascii="宋体" w:eastAsia="宋体" w:hAnsi="宋体"/>
                <w:b/>
                <w:bCs/>
                <w:sz w:val="24"/>
                <w:szCs w:val="24"/>
              </w:rPr>
            </w:pPr>
            <w:r>
              <w:rPr>
                <w:rFonts w:ascii="宋体" w:eastAsia="宋体" w:hAnsi="宋体"/>
                <w:b/>
                <w:bCs/>
                <w:sz w:val="24"/>
                <w:szCs w:val="24"/>
              </w:rPr>
              <w:t>合计</w:t>
            </w:r>
          </w:p>
        </w:tc>
      </w:tr>
      <w:tr w:rsidR="003C7AB3" w14:paraId="7A50FF4D" w14:textId="77777777" w:rsidTr="003C7AB3">
        <w:trPr>
          <w:trHeight w:val="454"/>
        </w:trPr>
        <w:tc>
          <w:tcPr>
            <w:tcW w:w="1283" w:type="dxa"/>
            <w:vMerge/>
            <w:tcBorders>
              <w:top w:val="single" w:sz="8" w:space="0" w:color="000000"/>
              <w:left w:val="single" w:sz="8" w:space="0" w:color="000000"/>
              <w:bottom w:val="single" w:sz="8" w:space="0" w:color="000000"/>
              <w:right w:val="single" w:sz="8" w:space="0" w:color="000000"/>
            </w:tcBorders>
            <w:vAlign w:val="center"/>
          </w:tcPr>
          <w:p w14:paraId="2DE89185" w14:textId="77777777" w:rsidR="003C7AB3" w:rsidRDefault="003C7AB3" w:rsidP="003C7AB3">
            <w:pPr>
              <w:adjustRightInd w:val="0"/>
              <w:snapToGrid w:val="0"/>
              <w:spacing w:line="440" w:lineRule="exact"/>
              <w:jc w:val="center"/>
              <w:rPr>
                <w:rFonts w:ascii="宋体" w:eastAsia="宋体" w:hAnsi="宋体"/>
                <w:sz w:val="24"/>
                <w:szCs w:val="24"/>
              </w:rPr>
            </w:pPr>
          </w:p>
        </w:tc>
        <w:tc>
          <w:tcPr>
            <w:tcW w:w="1831" w:type="dxa"/>
            <w:tcBorders>
              <w:top w:val="single" w:sz="8" w:space="0" w:color="000000"/>
              <w:left w:val="single" w:sz="8" w:space="0" w:color="000000"/>
              <w:bottom w:val="single" w:sz="8" w:space="0" w:color="000000"/>
              <w:right w:val="single" w:sz="8" w:space="0" w:color="000000"/>
            </w:tcBorders>
            <w:vAlign w:val="center"/>
          </w:tcPr>
          <w:p w14:paraId="4E2361D3" w14:textId="77777777" w:rsidR="003C7AB3" w:rsidRDefault="003C7AB3" w:rsidP="003C7AB3">
            <w:pPr>
              <w:adjustRightInd w:val="0"/>
              <w:snapToGrid w:val="0"/>
              <w:spacing w:line="440" w:lineRule="exact"/>
              <w:jc w:val="center"/>
              <w:rPr>
                <w:rFonts w:ascii="宋体" w:eastAsia="宋体" w:hAnsi="宋体"/>
                <w:b/>
                <w:bCs/>
                <w:sz w:val="24"/>
                <w:szCs w:val="24"/>
              </w:rPr>
            </w:pPr>
            <w:r>
              <w:rPr>
                <w:rFonts w:ascii="宋体" w:eastAsia="宋体" w:hAnsi="宋体"/>
                <w:b/>
                <w:bCs/>
                <w:sz w:val="24"/>
                <w:szCs w:val="24"/>
              </w:rPr>
              <w:t>自主学习</w:t>
            </w:r>
          </w:p>
        </w:tc>
        <w:tc>
          <w:tcPr>
            <w:tcW w:w="1995" w:type="dxa"/>
            <w:tcBorders>
              <w:top w:val="single" w:sz="8" w:space="0" w:color="000000"/>
              <w:left w:val="single" w:sz="8" w:space="0" w:color="000000"/>
              <w:bottom w:val="single" w:sz="8" w:space="0" w:color="000000"/>
              <w:right w:val="single" w:sz="8" w:space="0" w:color="000000"/>
            </w:tcBorders>
            <w:vAlign w:val="center"/>
          </w:tcPr>
          <w:p w14:paraId="3E6CB292" w14:textId="77777777" w:rsidR="003C7AB3" w:rsidRDefault="003C7AB3" w:rsidP="003C7AB3">
            <w:pPr>
              <w:adjustRightInd w:val="0"/>
              <w:snapToGrid w:val="0"/>
              <w:spacing w:line="440" w:lineRule="exact"/>
              <w:jc w:val="center"/>
              <w:rPr>
                <w:rFonts w:ascii="宋体" w:eastAsia="宋体" w:hAnsi="宋体"/>
                <w:b/>
                <w:bCs/>
                <w:sz w:val="24"/>
                <w:szCs w:val="24"/>
              </w:rPr>
            </w:pPr>
            <w:r>
              <w:rPr>
                <w:rFonts w:ascii="宋体" w:eastAsia="宋体" w:hAnsi="宋体"/>
                <w:b/>
                <w:bCs/>
                <w:sz w:val="24"/>
                <w:szCs w:val="24"/>
              </w:rPr>
              <w:t>课程参与</w:t>
            </w:r>
          </w:p>
        </w:tc>
        <w:tc>
          <w:tcPr>
            <w:tcW w:w="1839" w:type="dxa"/>
            <w:tcBorders>
              <w:top w:val="single" w:sz="8" w:space="0" w:color="000000"/>
              <w:left w:val="single" w:sz="8" w:space="0" w:color="000000"/>
              <w:bottom w:val="single" w:sz="8" w:space="0" w:color="000000"/>
              <w:right w:val="single" w:sz="8" w:space="0" w:color="000000"/>
            </w:tcBorders>
            <w:vAlign w:val="center"/>
          </w:tcPr>
          <w:p w14:paraId="6B0B597D" w14:textId="77777777" w:rsidR="003C7AB3" w:rsidRDefault="003C7AB3" w:rsidP="003C7AB3">
            <w:pPr>
              <w:adjustRightInd w:val="0"/>
              <w:snapToGrid w:val="0"/>
              <w:spacing w:line="440" w:lineRule="exact"/>
              <w:jc w:val="center"/>
              <w:rPr>
                <w:rFonts w:ascii="宋体" w:eastAsia="宋体" w:hAnsi="宋体"/>
                <w:b/>
                <w:bCs/>
                <w:sz w:val="24"/>
                <w:szCs w:val="24"/>
              </w:rPr>
            </w:pPr>
            <w:r>
              <w:rPr>
                <w:rFonts w:ascii="宋体" w:eastAsia="宋体" w:hAnsi="宋体"/>
                <w:b/>
                <w:bCs/>
                <w:sz w:val="24"/>
                <w:szCs w:val="24"/>
              </w:rPr>
              <w:t>期末</w:t>
            </w:r>
            <w:r>
              <w:rPr>
                <w:rFonts w:ascii="宋体" w:eastAsia="宋体" w:hAnsi="宋体" w:hint="eastAsia"/>
                <w:b/>
                <w:bCs/>
                <w:sz w:val="24"/>
                <w:szCs w:val="24"/>
              </w:rPr>
              <w:t>论文</w:t>
            </w:r>
          </w:p>
        </w:tc>
        <w:tc>
          <w:tcPr>
            <w:tcW w:w="1406" w:type="dxa"/>
            <w:vMerge/>
            <w:tcBorders>
              <w:left w:val="single" w:sz="8" w:space="0" w:color="000000"/>
              <w:bottom w:val="single" w:sz="8" w:space="0" w:color="000000"/>
              <w:right w:val="single" w:sz="8" w:space="0" w:color="000000"/>
            </w:tcBorders>
          </w:tcPr>
          <w:p w14:paraId="2D74F112" w14:textId="77777777" w:rsidR="003C7AB3" w:rsidRDefault="003C7AB3" w:rsidP="003C7AB3">
            <w:pPr>
              <w:adjustRightInd w:val="0"/>
              <w:snapToGrid w:val="0"/>
              <w:spacing w:line="440" w:lineRule="exact"/>
              <w:jc w:val="center"/>
              <w:rPr>
                <w:rFonts w:ascii="宋体" w:eastAsia="宋体" w:hAnsi="宋体"/>
                <w:sz w:val="24"/>
                <w:szCs w:val="24"/>
              </w:rPr>
            </w:pPr>
          </w:p>
        </w:tc>
      </w:tr>
      <w:tr w:rsidR="003C7AB3" w14:paraId="3ACECBB5" w14:textId="77777777" w:rsidTr="003C7AB3">
        <w:trPr>
          <w:trHeight w:val="454"/>
        </w:trPr>
        <w:tc>
          <w:tcPr>
            <w:tcW w:w="1283" w:type="dxa"/>
            <w:tcBorders>
              <w:top w:val="single" w:sz="8" w:space="0" w:color="000000"/>
              <w:left w:val="single" w:sz="8" w:space="0" w:color="000000"/>
              <w:bottom w:val="single" w:sz="8" w:space="0" w:color="000000"/>
              <w:right w:val="single" w:sz="8" w:space="0" w:color="000000"/>
            </w:tcBorders>
            <w:vAlign w:val="center"/>
          </w:tcPr>
          <w:p w14:paraId="105F1CEB" w14:textId="77777777" w:rsidR="003C7AB3" w:rsidRDefault="003C7AB3" w:rsidP="003C7AB3">
            <w:pPr>
              <w:adjustRightInd w:val="0"/>
              <w:snapToGrid w:val="0"/>
              <w:spacing w:line="440" w:lineRule="exact"/>
              <w:jc w:val="center"/>
              <w:rPr>
                <w:rFonts w:ascii="宋体" w:eastAsia="宋体" w:hAnsi="宋体"/>
                <w:sz w:val="24"/>
                <w:szCs w:val="24"/>
              </w:rPr>
            </w:pPr>
            <w:r>
              <w:rPr>
                <w:rFonts w:ascii="宋体" w:eastAsia="宋体" w:hAnsi="宋体"/>
                <w:sz w:val="24"/>
                <w:szCs w:val="24"/>
              </w:rPr>
              <w:t>课程目标1</w:t>
            </w:r>
          </w:p>
        </w:tc>
        <w:tc>
          <w:tcPr>
            <w:tcW w:w="1831" w:type="dxa"/>
            <w:tcBorders>
              <w:top w:val="single" w:sz="8" w:space="0" w:color="000000"/>
              <w:left w:val="single" w:sz="8" w:space="0" w:color="000000"/>
              <w:bottom w:val="single" w:sz="8" w:space="0" w:color="000000"/>
              <w:right w:val="single" w:sz="8" w:space="0" w:color="000000"/>
            </w:tcBorders>
            <w:vAlign w:val="center"/>
          </w:tcPr>
          <w:p w14:paraId="2BE5253C" w14:textId="77777777" w:rsidR="003C7AB3" w:rsidRDefault="003C7AB3" w:rsidP="003C7AB3">
            <w:pPr>
              <w:adjustRightInd w:val="0"/>
              <w:snapToGrid w:val="0"/>
              <w:spacing w:line="440" w:lineRule="exact"/>
              <w:jc w:val="center"/>
              <w:rPr>
                <w:rFonts w:ascii="宋体" w:eastAsia="宋体" w:hAnsi="宋体" w:cs="Times New Roman"/>
                <w:bCs/>
                <w:color w:val="000000" w:themeColor="text1"/>
                <w:sz w:val="24"/>
                <w:szCs w:val="24"/>
              </w:rPr>
            </w:pPr>
          </w:p>
        </w:tc>
        <w:tc>
          <w:tcPr>
            <w:tcW w:w="1995" w:type="dxa"/>
            <w:tcBorders>
              <w:top w:val="single" w:sz="8" w:space="0" w:color="000000"/>
              <w:left w:val="single" w:sz="8" w:space="0" w:color="000000"/>
              <w:bottom w:val="single" w:sz="8" w:space="0" w:color="000000"/>
              <w:right w:val="single" w:sz="8" w:space="0" w:color="000000"/>
            </w:tcBorders>
            <w:vAlign w:val="center"/>
          </w:tcPr>
          <w:p w14:paraId="10D23BAD" w14:textId="77777777" w:rsidR="003C7AB3" w:rsidRDefault="003C7AB3" w:rsidP="003C7AB3">
            <w:pPr>
              <w:adjustRightInd w:val="0"/>
              <w:snapToGrid w:val="0"/>
              <w:spacing w:line="440" w:lineRule="exact"/>
              <w:jc w:val="center"/>
              <w:rPr>
                <w:rFonts w:ascii="宋体" w:eastAsia="宋体" w:hAnsi="宋体" w:cs="Times New Roman"/>
                <w:bCs/>
                <w:color w:val="000000" w:themeColor="text1"/>
                <w:sz w:val="24"/>
                <w:szCs w:val="24"/>
              </w:rPr>
            </w:pPr>
          </w:p>
        </w:tc>
        <w:tc>
          <w:tcPr>
            <w:tcW w:w="1839" w:type="dxa"/>
            <w:tcBorders>
              <w:top w:val="single" w:sz="8" w:space="0" w:color="000000"/>
              <w:left w:val="single" w:sz="8" w:space="0" w:color="000000"/>
              <w:bottom w:val="single" w:sz="8" w:space="0" w:color="000000"/>
              <w:right w:val="single" w:sz="8" w:space="0" w:color="000000"/>
            </w:tcBorders>
            <w:vAlign w:val="center"/>
          </w:tcPr>
          <w:p w14:paraId="6C481D42" w14:textId="77777777" w:rsidR="003C7AB3" w:rsidRDefault="003C7AB3" w:rsidP="003C7AB3">
            <w:pPr>
              <w:adjustRightInd w:val="0"/>
              <w:snapToGrid w:val="0"/>
              <w:spacing w:line="440" w:lineRule="exact"/>
              <w:jc w:val="center"/>
              <w:rPr>
                <w:rFonts w:ascii="宋体" w:eastAsia="宋体" w:hAnsi="宋体" w:cs="Times New Roman"/>
                <w:bCs/>
                <w:color w:val="000000" w:themeColor="text1"/>
                <w:sz w:val="24"/>
                <w:szCs w:val="24"/>
              </w:rPr>
            </w:pPr>
            <w:r>
              <w:rPr>
                <w:rFonts w:ascii="宋体" w:eastAsia="宋体" w:hAnsi="宋体" w:cs="Times New Roman" w:hint="eastAsia"/>
                <w:bCs/>
                <w:color w:val="000000" w:themeColor="text1"/>
                <w:sz w:val="24"/>
                <w:szCs w:val="24"/>
              </w:rPr>
              <w:t>40</w:t>
            </w:r>
          </w:p>
        </w:tc>
        <w:tc>
          <w:tcPr>
            <w:tcW w:w="1406" w:type="dxa"/>
            <w:tcBorders>
              <w:top w:val="single" w:sz="8" w:space="0" w:color="000000"/>
              <w:left w:val="single" w:sz="8" w:space="0" w:color="000000"/>
              <w:bottom w:val="single" w:sz="8" w:space="0" w:color="000000"/>
              <w:right w:val="single" w:sz="8" w:space="0" w:color="000000"/>
            </w:tcBorders>
          </w:tcPr>
          <w:p w14:paraId="25975CC6" w14:textId="77777777" w:rsidR="003C7AB3" w:rsidRDefault="003C7AB3" w:rsidP="003C7AB3">
            <w:pPr>
              <w:adjustRightInd w:val="0"/>
              <w:snapToGrid w:val="0"/>
              <w:spacing w:line="440" w:lineRule="exact"/>
              <w:jc w:val="center"/>
              <w:rPr>
                <w:rFonts w:ascii="宋体" w:eastAsia="宋体" w:hAnsi="宋体" w:cs="Times New Roman"/>
                <w:bCs/>
                <w:color w:val="000000" w:themeColor="text1"/>
                <w:sz w:val="24"/>
                <w:szCs w:val="24"/>
              </w:rPr>
            </w:pPr>
            <w:r>
              <w:rPr>
                <w:rFonts w:ascii="宋体" w:eastAsia="宋体" w:hAnsi="宋体" w:cs="Times New Roman" w:hint="eastAsia"/>
                <w:bCs/>
                <w:color w:val="000000" w:themeColor="text1"/>
                <w:sz w:val="24"/>
                <w:szCs w:val="24"/>
              </w:rPr>
              <w:t>40</w:t>
            </w:r>
          </w:p>
        </w:tc>
      </w:tr>
      <w:tr w:rsidR="003C7AB3" w14:paraId="68A46604" w14:textId="77777777" w:rsidTr="003C7AB3">
        <w:trPr>
          <w:trHeight w:val="454"/>
        </w:trPr>
        <w:tc>
          <w:tcPr>
            <w:tcW w:w="1283" w:type="dxa"/>
            <w:tcBorders>
              <w:top w:val="single" w:sz="8" w:space="0" w:color="000000"/>
              <w:left w:val="single" w:sz="8" w:space="0" w:color="000000"/>
              <w:bottom w:val="single" w:sz="8" w:space="0" w:color="000000"/>
              <w:right w:val="single" w:sz="8" w:space="0" w:color="000000"/>
            </w:tcBorders>
            <w:vAlign w:val="center"/>
          </w:tcPr>
          <w:p w14:paraId="2A69A5F0" w14:textId="77777777" w:rsidR="003C7AB3" w:rsidRDefault="003C7AB3" w:rsidP="003C7AB3">
            <w:pPr>
              <w:adjustRightInd w:val="0"/>
              <w:snapToGrid w:val="0"/>
              <w:spacing w:line="440" w:lineRule="exact"/>
              <w:jc w:val="center"/>
              <w:rPr>
                <w:rFonts w:ascii="宋体" w:eastAsia="宋体" w:hAnsi="宋体"/>
                <w:sz w:val="24"/>
                <w:szCs w:val="24"/>
              </w:rPr>
            </w:pPr>
            <w:r>
              <w:rPr>
                <w:rFonts w:ascii="宋体" w:eastAsia="宋体" w:hAnsi="宋体"/>
                <w:sz w:val="24"/>
                <w:szCs w:val="24"/>
              </w:rPr>
              <w:t>课程目标2</w:t>
            </w:r>
          </w:p>
        </w:tc>
        <w:tc>
          <w:tcPr>
            <w:tcW w:w="1831" w:type="dxa"/>
            <w:tcBorders>
              <w:top w:val="single" w:sz="8" w:space="0" w:color="000000"/>
              <w:left w:val="single" w:sz="8" w:space="0" w:color="000000"/>
              <w:bottom w:val="single" w:sz="8" w:space="0" w:color="000000"/>
              <w:right w:val="single" w:sz="8" w:space="0" w:color="000000"/>
            </w:tcBorders>
            <w:vAlign w:val="center"/>
          </w:tcPr>
          <w:p w14:paraId="320FB118" w14:textId="77777777" w:rsidR="003C7AB3" w:rsidRDefault="003C7AB3" w:rsidP="003C7AB3">
            <w:pPr>
              <w:adjustRightInd w:val="0"/>
              <w:snapToGrid w:val="0"/>
              <w:spacing w:line="440" w:lineRule="exact"/>
              <w:jc w:val="center"/>
              <w:rPr>
                <w:rFonts w:ascii="宋体" w:eastAsia="宋体" w:hAnsi="宋体" w:cs="Times New Roman"/>
                <w:bCs/>
                <w:color w:val="000000" w:themeColor="text1"/>
                <w:sz w:val="24"/>
                <w:szCs w:val="24"/>
              </w:rPr>
            </w:pPr>
          </w:p>
        </w:tc>
        <w:tc>
          <w:tcPr>
            <w:tcW w:w="1995" w:type="dxa"/>
            <w:tcBorders>
              <w:top w:val="single" w:sz="8" w:space="0" w:color="000000"/>
              <w:left w:val="single" w:sz="8" w:space="0" w:color="000000"/>
              <w:bottom w:val="single" w:sz="8" w:space="0" w:color="000000"/>
              <w:right w:val="single" w:sz="8" w:space="0" w:color="000000"/>
            </w:tcBorders>
            <w:vAlign w:val="center"/>
          </w:tcPr>
          <w:p w14:paraId="1F09B572" w14:textId="77777777" w:rsidR="003C7AB3" w:rsidRDefault="003C7AB3" w:rsidP="003C7AB3">
            <w:pPr>
              <w:adjustRightInd w:val="0"/>
              <w:snapToGrid w:val="0"/>
              <w:spacing w:line="440" w:lineRule="exact"/>
              <w:jc w:val="center"/>
              <w:rPr>
                <w:rFonts w:ascii="宋体" w:eastAsia="宋体" w:hAnsi="宋体" w:cs="Times New Roman"/>
                <w:bCs/>
                <w:color w:val="000000" w:themeColor="text1"/>
                <w:sz w:val="24"/>
                <w:szCs w:val="24"/>
              </w:rPr>
            </w:pPr>
            <w:r>
              <w:rPr>
                <w:rFonts w:ascii="宋体" w:eastAsia="宋体" w:hAnsi="宋体" w:cs="Times New Roman" w:hint="eastAsia"/>
                <w:bCs/>
                <w:color w:val="000000" w:themeColor="text1"/>
                <w:sz w:val="24"/>
                <w:szCs w:val="24"/>
              </w:rPr>
              <w:t>25</w:t>
            </w:r>
          </w:p>
        </w:tc>
        <w:tc>
          <w:tcPr>
            <w:tcW w:w="1839" w:type="dxa"/>
            <w:tcBorders>
              <w:top w:val="single" w:sz="8" w:space="0" w:color="000000"/>
              <w:left w:val="single" w:sz="8" w:space="0" w:color="000000"/>
              <w:bottom w:val="single" w:sz="8" w:space="0" w:color="000000"/>
              <w:right w:val="single" w:sz="8" w:space="0" w:color="000000"/>
            </w:tcBorders>
            <w:vAlign w:val="center"/>
          </w:tcPr>
          <w:p w14:paraId="52829414" w14:textId="77777777" w:rsidR="003C7AB3" w:rsidRDefault="003C7AB3" w:rsidP="003C7AB3">
            <w:pPr>
              <w:adjustRightInd w:val="0"/>
              <w:snapToGrid w:val="0"/>
              <w:spacing w:line="440" w:lineRule="exact"/>
              <w:jc w:val="center"/>
              <w:rPr>
                <w:rFonts w:ascii="宋体" w:eastAsia="宋体" w:hAnsi="宋体" w:cs="Times New Roman"/>
                <w:bCs/>
                <w:color w:val="000000" w:themeColor="text1"/>
                <w:sz w:val="24"/>
                <w:szCs w:val="24"/>
              </w:rPr>
            </w:pPr>
          </w:p>
        </w:tc>
        <w:tc>
          <w:tcPr>
            <w:tcW w:w="1406" w:type="dxa"/>
            <w:tcBorders>
              <w:top w:val="single" w:sz="8" w:space="0" w:color="000000"/>
              <w:left w:val="single" w:sz="8" w:space="0" w:color="000000"/>
              <w:bottom w:val="single" w:sz="8" w:space="0" w:color="000000"/>
              <w:right w:val="single" w:sz="8" w:space="0" w:color="000000"/>
            </w:tcBorders>
          </w:tcPr>
          <w:p w14:paraId="7677AFE9" w14:textId="77777777" w:rsidR="003C7AB3" w:rsidRDefault="003C7AB3" w:rsidP="003C7AB3">
            <w:pPr>
              <w:adjustRightInd w:val="0"/>
              <w:snapToGrid w:val="0"/>
              <w:spacing w:line="440" w:lineRule="exact"/>
              <w:jc w:val="center"/>
              <w:rPr>
                <w:rFonts w:ascii="宋体" w:eastAsia="宋体" w:hAnsi="宋体" w:cs="Times New Roman"/>
                <w:bCs/>
                <w:color w:val="000000" w:themeColor="text1"/>
                <w:sz w:val="24"/>
                <w:szCs w:val="24"/>
              </w:rPr>
            </w:pPr>
            <w:r>
              <w:rPr>
                <w:rFonts w:ascii="宋体" w:eastAsia="宋体" w:hAnsi="宋体" w:cs="Times New Roman" w:hint="eastAsia"/>
                <w:bCs/>
                <w:color w:val="000000" w:themeColor="text1"/>
                <w:sz w:val="24"/>
                <w:szCs w:val="24"/>
              </w:rPr>
              <w:t>25</w:t>
            </w:r>
          </w:p>
        </w:tc>
      </w:tr>
      <w:tr w:rsidR="003C7AB3" w14:paraId="3C80343A" w14:textId="77777777" w:rsidTr="003C7AB3">
        <w:trPr>
          <w:trHeight w:val="454"/>
        </w:trPr>
        <w:tc>
          <w:tcPr>
            <w:tcW w:w="1283" w:type="dxa"/>
            <w:tcBorders>
              <w:top w:val="single" w:sz="8" w:space="0" w:color="000000"/>
              <w:left w:val="single" w:sz="8" w:space="0" w:color="000000"/>
              <w:bottom w:val="single" w:sz="8" w:space="0" w:color="000000"/>
              <w:right w:val="single" w:sz="8" w:space="0" w:color="000000"/>
            </w:tcBorders>
            <w:vAlign w:val="center"/>
          </w:tcPr>
          <w:p w14:paraId="05EAA8B5" w14:textId="77777777" w:rsidR="003C7AB3" w:rsidRDefault="003C7AB3" w:rsidP="003C7AB3">
            <w:pPr>
              <w:adjustRightInd w:val="0"/>
              <w:snapToGrid w:val="0"/>
              <w:spacing w:line="440" w:lineRule="exact"/>
              <w:jc w:val="center"/>
              <w:rPr>
                <w:rFonts w:ascii="宋体" w:eastAsia="宋体" w:hAnsi="宋体"/>
                <w:sz w:val="24"/>
                <w:szCs w:val="24"/>
              </w:rPr>
            </w:pPr>
            <w:r>
              <w:rPr>
                <w:rFonts w:ascii="宋体" w:eastAsia="宋体" w:hAnsi="宋体"/>
                <w:sz w:val="24"/>
                <w:szCs w:val="24"/>
              </w:rPr>
              <w:t>课程目标3</w:t>
            </w:r>
          </w:p>
        </w:tc>
        <w:tc>
          <w:tcPr>
            <w:tcW w:w="1831" w:type="dxa"/>
            <w:tcBorders>
              <w:top w:val="single" w:sz="8" w:space="0" w:color="000000"/>
              <w:left w:val="single" w:sz="8" w:space="0" w:color="000000"/>
              <w:bottom w:val="single" w:sz="8" w:space="0" w:color="000000"/>
              <w:right w:val="single" w:sz="8" w:space="0" w:color="000000"/>
            </w:tcBorders>
            <w:vAlign w:val="center"/>
          </w:tcPr>
          <w:p w14:paraId="1656E7E5" w14:textId="77777777" w:rsidR="003C7AB3" w:rsidRDefault="003C7AB3" w:rsidP="003C7AB3">
            <w:pPr>
              <w:adjustRightInd w:val="0"/>
              <w:snapToGrid w:val="0"/>
              <w:spacing w:line="440" w:lineRule="exact"/>
              <w:jc w:val="center"/>
              <w:rPr>
                <w:rFonts w:ascii="宋体" w:eastAsia="宋体" w:hAnsi="宋体" w:cs="Times New Roman"/>
                <w:bCs/>
                <w:color w:val="000000" w:themeColor="text1"/>
                <w:sz w:val="24"/>
                <w:szCs w:val="24"/>
              </w:rPr>
            </w:pPr>
            <w:r>
              <w:rPr>
                <w:rFonts w:ascii="宋体" w:eastAsia="宋体" w:hAnsi="宋体" w:cs="Times New Roman" w:hint="eastAsia"/>
                <w:bCs/>
                <w:color w:val="000000" w:themeColor="text1"/>
                <w:sz w:val="24"/>
                <w:szCs w:val="24"/>
              </w:rPr>
              <w:t>10</w:t>
            </w:r>
          </w:p>
        </w:tc>
        <w:tc>
          <w:tcPr>
            <w:tcW w:w="1995" w:type="dxa"/>
            <w:tcBorders>
              <w:top w:val="single" w:sz="8" w:space="0" w:color="000000"/>
              <w:left w:val="single" w:sz="8" w:space="0" w:color="000000"/>
              <w:bottom w:val="single" w:sz="8" w:space="0" w:color="000000"/>
              <w:right w:val="single" w:sz="8" w:space="0" w:color="000000"/>
            </w:tcBorders>
            <w:vAlign w:val="center"/>
          </w:tcPr>
          <w:p w14:paraId="1F0B0240" w14:textId="77777777" w:rsidR="003C7AB3" w:rsidRDefault="003C7AB3" w:rsidP="003C7AB3">
            <w:pPr>
              <w:adjustRightInd w:val="0"/>
              <w:snapToGrid w:val="0"/>
              <w:spacing w:line="440" w:lineRule="exact"/>
              <w:jc w:val="center"/>
              <w:rPr>
                <w:rFonts w:ascii="宋体" w:eastAsia="宋体" w:hAnsi="宋体" w:cs="Times New Roman"/>
                <w:bCs/>
                <w:color w:val="000000" w:themeColor="text1"/>
                <w:sz w:val="24"/>
                <w:szCs w:val="24"/>
              </w:rPr>
            </w:pPr>
            <w:r>
              <w:rPr>
                <w:rFonts w:ascii="宋体" w:eastAsia="宋体" w:hAnsi="宋体" w:cs="Times New Roman" w:hint="eastAsia"/>
                <w:bCs/>
                <w:color w:val="000000" w:themeColor="text1"/>
                <w:sz w:val="24"/>
                <w:szCs w:val="24"/>
              </w:rPr>
              <w:t>15</w:t>
            </w:r>
          </w:p>
        </w:tc>
        <w:tc>
          <w:tcPr>
            <w:tcW w:w="1839" w:type="dxa"/>
            <w:tcBorders>
              <w:top w:val="single" w:sz="8" w:space="0" w:color="000000"/>
              <w:left w:val="single" w:sz="8" w:space="0" w:color="000000"/>
              <w:bottom w:val="single" w:sz="8" w:space="0" w:color="000000"/>
              <w:right w:val="single" w:sz="8" w:space="0" w:color="000000"/>
            </w:tcBorders>
            <w:vAlign w:val="center"/>
          </w:tcPr>
          <w:p w14:paraId="046224B9" w14:textId="77777777" w:rsidR="003C7AB3" w:rsidRDefault="003C7AB3" w:rsidP="003C7AB3">
            <w:pPr>
              <w:adjustRightInd w:val="0"/>
              <w:snapToGrid w:val="0"/>
              <w:spacing w:line="440" w:lineRule="exact"/>
              <w:jc w:val="center"/>
              <w:rPr>
                <w:rFonts w:ascii="宋体" w:eastAsia="宋体" w:hAnsi="宋体" w:cs="Times New Roman"/>
                <w:bCs/>
                <w:color w:val="000000" w:themeColor="text1"/>
                <w:sz w:val="24"/>
                <w:szCs w:val="24"/>
              </w:rPr>
            </w:pPr>
            <w:r>
              <w:rPr>
                <w:rFonts w:ascii="宋体" w:eastAsia="宋体" w:hAnsi="宋体" w:cs="Times New Roman" w:hint="eastAsia"/>
                <w:bCs/>
                <w:color w:val="000000" w:themeColor="text1"/>
                <w:sz w:val="24"/>
                <w:szCs w:val="24"/>
              </w:rPr>
              <w:t>10</w:t>
            </w:r>
          </w:p>
        </w:tc>
        <w:tc>
          <w:tcPr>
            <w:tcW w:w="1406" w:type="dxa"/>
            <w:tcBorders>
              <w:top w:val="single" w:sz="8" w:space="0" w:color="000000"/>
              <w:left w:val="single" w:sz="8" w:space="0" w:color="000000"/>
              <w:bottom w:val="single" w:sz="8" w:space="0" w:color="000000"/>
              <w:right w:val="single" w:sz="8" w:space="0" w:color="000000"/>
            </w:tcBorders>
          </w:tcPr>
          <w:p w14:paraId="44278E05" w14:textId="77777777" w:rsidR="003C7AB3" w:rsidRDefault="003C7AB3" w:rsidP="003C7AB3">
            <w:pPr>
              <w:adjustRightInd w:val="0"/>
              <w:snapToGrid w:val="0"/>
              <w:spacing w:line="440" w:lineRule="exact"/>
              <w:jc w:val="center"/>
              <w:rPr>
                <w:rFonts w:ascii="宋体" w:eastAsia="宋体" w:hAnsi="宋体" w:cs="Times New Roman"/>
                <w:bCs/>
                <w:color w:val="000000" w:themeColor="text1"/>
                <w:sz w:val="24"/>
                <w:szCs w:val="24"/>
              </w:rPr>
            </w:pPr>
            <w:r>
              <w:rPr>
                <w:rFonts w:ascii="宋体" w:eastAsia="宋体" w:hAnsi="宋体" w:cs="Times New Roman" w:hint="eastAsia"/>
                <w:bCs/>
                <w:color w:val="000000" w:themeColor="text1"/>
                <w:sz w:val="24"/>
                <w:szCs w:val="24"/>
              </w:rPr>
              <w:t>35</w:t>
            </w:r>
          </w:p>
        </w:tc>
      </w:tr>
      <w:tr w:rsidR="003C7AB3" w14:paraId="3149F913" w14:textId="77777777" w:rsidTr="003C7AB3">
        <w:trPr>
          <w:trHeight w:val="454"/>
        </w:trPr>
        <w:tc>
          <w:tcPr>
            <w:tcW w:w="1283" w:type="dxa"/>
            <w:tcBorders>
              <w:top w:val="single" w:sz="8" w:space="0" w:color="000000"/>
              <w:left w:val="single" w:sz="8" w:space="0" w:color="000000"/>
              <w:bottom w:val="single" w:sz="8" w:space="0" w:color="000000"/>
              <w:right w:val="single" w:sz="8" w:space="0" w:color="000000"/>
            </w:tcBorders>
            <w:vAlign w:val="center"/>
          </w:tcPr>
          <w:p w14:paraId="1D6069D1" w14:textId="77777777" w:rsidR="003C7AB3" w:rsidRDefault="003C7AB3" w:rsidP="003C7AB3">
            <w:pPr>
              <w:adjustRightInd w:val="0"/>
              <w:snapToGrid w:val="0"/>
              <w:spacing w:line="440" w:lineRule="exact"/>
              <w:jc w:val="center"/>
              <w:rPr>
                <w:rFonts w:ascii="宋体" w:eastAsia="宋体" w:hAnsi="宋体"/>
                <w:sz w:val="24"/>
                <w:szCs w:val="24"/>
              </w:rPr>
            </w:pPr>
            <w:r>
              <w:rPr>
                <w:rFonts w:ascii="宋体" w:eastAsia="宋体" w:hAnsi="宋体"/>
                <w:sz w:val="24"/>
                <w:szCs w:val="24"/>
              </w:rPr>
              <w:t>合计</w:t>
            </w:r>
          </w:p>
        </w:tc>
        <w:tc>
          <w:tcPr>
            <w:tcW w:w="1831" w:type="dxa"/>
            <w:tcBorders>
              <w:top w:val="single" w:sz="8" w:space="0" w:color="000000"/>
              <w:left w:val="single" w:sz="8" w:space="0" w:color="000000"/>
              <w:bottom w:val="single" w:sz="8" w:space="0" w:color="000000"/>
              <w:right w:val="single" w:sz="8" w:space="0" w:color="000000"/>
            </w:tcBorders>
            <w:vAlign w:val="center"/>
          </w:tcPr>
          <w:p w14:paraId="16C83B1D" w14:textId="77777777" w:rsidR="003C7AB3" w:rsidRDefault="003C7AB3" w:rsidP="003C7AB3">
            <w:pPr>
              <w:adjustRightInd w:val="0"/>
              <w:snapToGrid w:val="0"/>
              <w:spacing w:line="440" w:lineRule="exact"/>
              <w:jc w:val="center"/>
              <w:rPr>
                <w:rFonts w:ascii="宋体" w:eastAsia="宋体" w:hAnsi="宋体" w:cs="Times New Roman"/>
                <w:bCs/>
                <w:color w:val="000000" w:themeColor="text1"/>
                <w:sz w:val="24"/>
                <w:szCs w:val="24"/>
              </w:rPr>
            </w:pPr>
            <w:r>
              <w:rPr>
                <w:rFonts w:ascii="宋体" w:eastAsia="宋体" w:hAnsi="宋体" w:cs="Times New Roman" w:hint="eastAsia"/>
                <w:bCs/>
                <w:color w:val="000000" w:themeColor="text1"/>
                <w:sz w:val="24"/>
                <w:szCs w:val="24"/>
              </w:rPr>
              <w:t>10</w:t>
            </w:r>
          </w:p>
        </w:tc>
        <w:tc>
          <w:tcPr>
            <w:tcW w:w="1995" w:type="dxa"/>
            <w:tcBorders>
              <w:top w:val="single" w:sz="8" w:space="0" w:color="000000"/>
              <w:left w:val="single" w:sz="8" w:space="0" w:color="000000"/>
              <w:bottom w:val="single" w:sz="8" w:space="0" w:color="000000"/>
              <w:right w:val="single" w:sz="8" w:space="0" w:color="000000"/>
            </w:tcBorders>
            <w:vAlign w:val="center"/>
          </w:tcPr>
          <w:p w14:paraId="1A908641" w14:textId="77777777" w:rsidR="003C7AB3" w:rsidRDefault="003C7AB3" w:rsidP="003C7AB3">
            <w:pPr>
              <w:adjustRightInd w:val="0"/>
              <w:snapToGrid w:val="0"/>
              <w:spacing w:line="440" w:lineRule="exact"/>
              <w:jc w:val="center"/>
              <w:rPr>
                <w:rFonts w:ascii="宋体" w:eastAsia="宋体" w:hAnsi="宋体" w:cs="Times New Roman"/>
                <w:bCs/>
                <w:color w:val="000000" w:themeColor="text1"/>
                <w:sz w:val="24"/>
                <w:szCs w:val="24"/>
              </w:rPr>
            </w:pPr>
            <w:r>
              <w:rPr>
                <w:rFonts w:ascii="宋体" w:eastAsia="宋体" w:hAnsi="宋体" w:cs="Times New Roman" w:hint="eastAsia"/>
                <w:bCs/>
                <w:color w:val="000000" w:themeColor="text1"/>
                <w:sz w:val="24"/>
                <w:szCs w:val="24"/>
              </w:rPr>
              <w:t>40</w:t>
            </w:r>
          </w:p>
        </w:tc>
        <w:tc>
          <w:tcPr>
            <w:tcW w:w="1839" w:type="dxa"/>
            <w:tcBorders>
              <w:top w:val="single" w:sz="8" w:space="0" w:color="000000"/>
              <w:left w:val="single" w:sz="8" w:space="0" w:color="000000"/>
              <w:bottom w:val="single" w:sz="8" w:space="0" w:color="000000"/>
              <w:right w:val="single" w:sz="8" w:space="0" w:color="000000"/>
            </w:tcBorders>
            <w:vAlign w:val="center"/>
          </w:tcPr>
          <w:p w14:paraId="357B205D" w14:textId="77777777" w:rsidR="003C7AB3" w:rsidRDefault="003C7AB3" w:rsidP="003C7AB3">
            <w:pPr>
              <w:adjustRightInd w:val="0"/>
              <w:snapToGrid w:val="0"/>
              <w:spacing w:line="440" w:lineRule="exact"/>
              <w:jc w:val="center"/>
              <w:rPr>
                <w:rFonts w:ascii="宋体" w:eastAsia="宋体" w:hAnsi="宋体" w:cs="Times New Roman"/>
                <w:bCs/>
                <w:color w:val="000000" w:themeColor="text1"/>
                <w:sz w:val="24"/>
                <w:szCs w:val="24"/>
              </w:rPr>
            </w:pPr>
            <w:r>
              <w:rPr>
                <w:rFonts w:ascii="宋体" w:eastAsia="宋体" w:hAnsi="宋体" w:cs="Times New Roman" w:hint="eastAsia"/>
                <w:bCs/>
                <w:color w:val="000000" w:themeColor="text1"/>
                <w:sz w:val="24"/>
                <w:szCs w:val="24"/>
              </w:rPr>
              <w:t>50</w:t>
            </w:r>
          </w:p>
        </w:tc>
        <w:tc>
          <w:tcPr>
            <w:tcW w:w="1406" w:type="dxa"/>
            <w:tcBorders>
              <w:top w:val="single" w:sz="8" w:space="0" w:color="000000"/>
              <w:left w:val="single" w:sz="8" w:space="0" w:color="000000"/>
              <w:bottom w:val="single" w:sz="8" w:space="0" w:color="000000"/>
              <w:right w:val="single" w:sz="8" w:space="0" w:color="000000"/>
            </w:tcBorders>
          </w:tcPr>
          <w:p w14:paraId="4F9564D4" w14:textId="77777777" w:rsidR="003C7AB3" w:rsidRDefault="003C7AB3" w:rsidP="003C7AB3">
            <w:pPr>
              <w:adjustRightInd w:val="0"/>
              <w:snapToGrid w:val="0"/>
              <w:spacing w:line="440" w:lineRule="exact"/>
              <w:jc w:val="center"/>
              <w:rPr>
                <w:rFonts w:ascii="宋体" w:eastAsia="宋体" w:hAnsi="宋体" w:cs="Times New Roman"/>
                <w:bCs/>
                <w:color w:val="000000" w:themeColor="text1"/>
                <w:sz w:val="24"/>
                <w:szCs w:val="24"/>
              </w:rPr>
            </w:pPr>
            <w:r>
              <w:rPr>
                <w:rFonts w:ascii="宋体" w:eastAsia="宋体" w:hAnsi="宋体" w:cs="Times New Roman" w:hint="eastAsia"/>
                <w:bCs/>
                <w:color w:val="000000" w:themeColor="text1"/>
                <w:sz w:val="24"/>
                <w:szCs w:val="24"/>
              </w:rPr>
              <w:t>100</w:t>
            </w:r>
          </w:p>
        </w:tc>
      </w:tr>
    </w:tbl>
    <w:p w14:paraId="7DE5227E" w14:textId="77777777" w:rsidR="003C7AB3" w:rsidRDefault="003C7AB3" w:rsidP="003C7AB3">
      <w:pPr>
        <w:snapToGrid w:val="0"/>
        <w:spacing w:before="276" w:after="276" w:line="440" w:lineRule="exact"/>
        <w:ind w:firstLineChars="200" w:firstLine="560"/>
        <w:rPr>
          <w:rFonts w:ascii="黑体" w:eastAsia="黑体" w:hAnsi="黑体"/>
          <w:sz w:val="28"/>
          <w:szCs w:val="28"/>
        </w:rPr>
      </w:pPr>
      <w:r>
        <w:rPr>
          <w:rFonts w:ascii="黑体" w:eastAsia="黑体" w:hAnsi="黑体"/>
          <w:sz w:val="28"/>
          <w:szCs w:val="28"/>
        </w:rPr>
        <w:t>五、成绩评定</w:t>
      </w:r>
    </w:p>
    <w:p w14:paraId="5A693EBF" w14:textId="77777777" w:rsidR="003C7AB3" w:rsidRDefault="003C7AB3" w:rsidP="003C7AB3">
      <w:pPr>
        <w:snapToGrid w:val="0"/>
        <w:spacing w:before="156" w:after="156" w:line="440" w:lineRule="exact"/>
        <w:ind w:firstLineChars="200" w:firstLine="560"/>
        <w:rPr>
          <w:rFonts w:ascii="黑体" w:eastAsia="黑体" w:hAnsi="黑体"/>
          <w:sz w:val="28"/>
          <w:szCs w:val="28"/>
        </w:rPr>
      </w:pPr>
      <w:r>
        <w:rPr>
          <w:rFonts w:ascii="黑体" w:eastAsia="黑体" w:hAnsi="黑体"/>
          <w:sz w:val="28"/>
          <w:szCs w:val="28"/>
        </w:rPr>
        <w:t>（一）总成绩评定</w:t>
      </w:r>
    </w:p>
    <w:p w14:paraId="129912B6"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总成绩（100%）=平时成绩×50%＋期末论文×50%。</w:t>
      </w:r>
    </w:p>
    <w:p w14:paraId="156F841F" w14:textId="77777777" w:rsidR="003C7AB3" w:rsidRDefault="003C7AB3" w:rsidP="003C7AB3">
      <w:pPr>
        <w:snapToGrid w:val="0"/>
        <w:spacing w:before="156" w:after="156" w:line="440" w:lineRule="exact"/>
        <w:ind w:firstLineChars="200" w:firstLine="560"/>
        <w:rPr>
          <w:rFonts w:ascii="黑体" w:eastAsia="黑体" w:hAnsi="黑体"/>
          <w:sz w:val="28"/>
          <w:szCs w:val="28"/>
        </w:rPr>
      </w:pPr>
      <w:r>
        <w:rPr>
          <w:rFonts w:ascii="黑体" w:eastAsia="黑体" w:hAnsi="黑体"/>
          <w:sz w:val="28"/>
          <w:szCs w:val="28"/>
        </w:rPr>
        <w:t>（二）平时成绩评定</w:t>
      </w:r>
    </w:p>
    <w:p w14:paraId="722C4EFC" w14:textId="77777777" w:rsidR="003C7AB3" w:rsidRDefault="003C7AB3" w:rsidP="003C7AB3">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平时成绩（100%）=自主学习（20%）＋课程参与（80%）</w:t>
      </w:r>
    </w:p>
    <w:p w14:paraId="28DEFC74" w14:textId="77777777" w:rsidR="003C7AB3" w:rsidRDefault="003C7AB3" w:rsidP="003C7AB3">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自主学习成绩评定：通过学生在规定时间内完成教师在学习通上布置的学习内容情况自动</w:t>
      </w:r>
      <w:proofErr w:type="gramStart"/>
      <w:r>
        <w:rPr>
          <w:rFonts w:ascii="宋体" w:eastAsia="宋体" w:hAnsi="宋体" w:cs="Times New Roman" w:hint="eastAsia"/>
          <w:color w:val="000000" w:themeColor="text1"/>
          <w:sz w:val="24"/>
          <w:szCs w:val="24"/>
        </w:rPr>
        <w:t>生成本项</w:t>
      </w:r>
      <w:proofErr w:type="gramEnd"/>
      <w:r>
        <w:rPr>
          <w:rFonts w:ascii="宋体" w:eastAsia="宋体" w:hAnsi="宋体" w:cs="Times New Roman" w:hint="eastAsia"/>
          <w:color w:val="000000" w:themeColor="text1"/>
          <w:sz w:val="24"/>
          <w:szCs w:val="24"/>
        </w:rPr>
        <w:t>成绩。</w:t>
      </w:r>
    </w:p>
    <w:p w14:paraId="0D87BEFE" w14:textId="77777777" w:rsidR="003C7AB3" w:rsidRDefault="003C7AB3" w:rsidP="003C7AB3">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课程参与成绩评定：充分体现以学生为中心的教育理念，由任课</w:t>
      </w:r>
      <w:proofErr w:type="gramStart"/>
      <w:r>
        <w:rPr>
          <w:rFonts w:ascii="宋体" w:eastAsia="宋体" w:hAnsi="宋体" w:cs="Times New Roman" w:hint="eastAsia"/>
          <w:color w:val="000000" w:themeColor="text1"/>
          <w:sz w:val="24"/>
          <w:szCs w:val="24"/>
        </w:rPr>
        <w:t>教师教师</w:t>
      </w:r>
      <w:proofErr w:type="gramEnd"/>
      <w:r>
        <w:rPr>
          <w:rFonts w:ascii="宋体" w:eastAsia="宋体" w:hAnsi="宋体" w:cs="Times New Roman" w:hint="eastAsia"/>
          <w:color w:val="000000" w:themeColor="text1"/>
          <w:sz w:val="24"/>
          <w:szCs w:val="24"/>
        </w:rPr>
        <w:t>在调动学生参与教学的具体活动中做好记录，根据不同专业不同班级上课情况进行统计评定。课程参与组织形式不拘一格，成绩评定根据具体情况，可通过学习小组主题活动参与情况、学生的上课状态、讨论发言、随堂练习、演讲辩论、PPT或音视频展示与汇报、情景小品演示、平时作业、基础知识测验或其他创新方式等具体情况评定。</w:t>
      </w:r>
    </w:p>
    <w:p w14:paraId="2BB6C960" w14:textId="77777777" w:rsidR="003C7AB3" w:rsidRDefault="003C7AB3" w:rsidP="003C7AB3">
      <w:pPr>
        <w:snapToGrid w:val="0"/>
        <w:spacing w:before="156" w:after="156" w:line="440" w:lineRule="exact"/>
        <w:ind w:firstLineChars="200" w:firstLine="560"/>
        <w:rPr>
          <w:rFonts w:ascii="黑体" w:eastAsia="黑体" w:hAnsi="黑体"/>
          <w:sz w:val="28"/>
          <w:szCs w:val="28"/>
        </w:rPr>
      </w:pPr>
      <w:r>
        <w:rPr>
          <w:rFonts w:ascii="黑体" w:eastAsia="黑体" w:hAnsi="黑体"/>
          <w:sz w:val="28"/>
          <w:szCs w:val="28"/>
        </w:rPr>
        <w:t>（三）期末成绩评定</w:t>
      </w:r>
    </w:p>
    <w:p w14:paraId="1E583D12" w14:textId="77777777" w:rsidR="003C7AB3" w:rsidRDefault="003C7AB3" w:rsidP="003C7AB3">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期末成绩评定全面考核学生综合运用课程中所学的马克思主义在人生观、价值观、道德观、法治观等方面的立场、观点和方法，分析和解决大学生成长成才实际问题和社会发展实际问题中体现出的知情意信行等思想道德素质和法治素养。参照评分标准，通过学生论文酌情判定。</w:t>
      </w:r>
    </w:p>
    <w:p w14:paraId="3A2BA32C" w14:textId="77777777" w:rsidR="003C7AB3" w:rsidRDefault="003C7AB3" w:rsidP="003C7AB3">
      <w:pPr>
        <w:snapToGrid w:val="0"/>
        <w:spacing w:before="156" w:after="156" w:line="440" w:lineRule="exact"/>
        <w:ind w:firstLineChars="200" w:firstLine="560"/>
        <w:rPr>
          <w:rFonts w:ascii="黑体" w:eastAsia="黑体" w:hAnsi="黑体"/>
          <w:sz w:val="28"/>
          <w:szCs w:val="28"/>
        </w:rPr>
      </w:pPr>
      <w:r>
        <w:rPr>
          <w:rFonts w:ascii="黑体" w:eastAsia="黑体" w:hAnsi="黑体"/>
          <w:sz w:val="28"/>
          <w:szCs w:val="28"/>
        </w:rPr>
        <w:t>六、使用教材、相关推荐书目及课程资源</w:t>
      </w:r>
    </w:p>
    <w:p w14:paraId="371F9B56" w14:textId="77777777" w:rsidR="003C7AB3" w:rsidRDefault="003C7AB3" w:rsidP="003C7AB3">
      <w:pPr>
        <w:snapToGrid w:val="0"/>
        <w:spacing w:line="440" w:lineRule="exact"/>
        <w:ind w:firstLineChars="200" w:firstLine="560"/>
        <w:rPr>
          <w:rFonts w:ascii="黑体" w:eastAsia="黑体" w:hAnsi="黑体"/>
          <w:sz w:val="28"/>
          <w:szCs w:val="28"/>
        </w:rPr>
      </w:pPr>
      <w:r>
        <w:rPr>
          <w:rFonts w:ascii="黑体" w:eastAsia="黑体" w:hAnsi="黑体"/>
          <w:sz w:val="28"/>
          <w:szCs w:val="28"/>
        </w:rPr>
        <w:lastRenderedPageBreak/>
        <w:t>（一）使用教材</w:t>
      </w:r>
    </w:p>
    <w:p w14:paraId="52970F9A" w14:textId="77777777" w:rsidR="003C7AB3" w:rsidRDefault="003C7AB3" w:rsidP="003C7AB3">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马克思主义理论研究和建设工程重点教材：《思想道德与法治》，高等教育出版社，2023年版。</w:t>
      </w:r>
    </w:p>
    <w:p w14:paraId="083E6D3A" w14:textId="77777777" w:rsidR="003C7AB3" w:rsidRDefault="003C7AB3" w:rsidP="003C7AB3">
      <w:pPr>
        <w:snapToGrid w:val="0"/>
        <w:spacing w:line="440" w:lineRule="exact"/>
        <w:ind w:firstLineChars="200" w:firstLine="560"/>
        <w:rPr>
          <w:rFonts w:ascii="黑体" w:eastAsia="黑体" w:hAnsi="黑体"/>
          <w:sz w:val="28"/>
          <w:szCs w:val="28"/>
        </w:rPr>
      </w:pPr>
      <w:r>
        <w:rPr>
          <w:rFonts w:ascii="黑体" w:eastAsia="黑体" w:hAnsi="黑体"/>
          <w:sz w:val="28"/>
          <w:szCs w:val="28"/>
        </w:rPr>
        <w:t>（二）相关推荐书目</w:t>
      </w:r>
    </w:p>
    <w:p w14:paraId="5DF0FB39"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1.习近平：《高举中国特色社会主义伟大旗帜 为全面建设社会主义现代化国家而团结奋斗——在中国共产党第二十次全国代表大会上的报告》，人民出版社2022年版。</w:t>
      </w:r>
    </w:p>
    <w:p w14:paraId="00E2998B"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2.习近平：《论党的青年工作》，中央文献出版社2022年版。</w:t>
      </w:r>
    </w:p>
    <w:p w14:paraId="10292930"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3.毛泽东：《为人民服务》，《毛泽东选集》第三卷，人民出版社1991年版。</w:t>
      </w:r>
    </w:p>
    <w:p w14:paraId="161DD90E"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4.中央党校采访实录编辑室著：《习近平的七年知青岁月》，中共中央党校出版社2017版。</w:t>
      </w:r>
    </w:p>
    <w:p w14:paraId="121C990F"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5.本书编写组：《习近平与大学生朋友们》，中国青年出版社2020年版。</w:t>
      </w:r>
    </w:p>
    <w:p w14:paraId="6E28A1A9"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6.中华人民共和国国务院新闻办公室：《新时代的中国青年》，人民出版社2022年版。</w:t>
      </w:r>
    </w:p>
    <w:p w14:paraId="27CEC459"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7.中共中央文献研究室：《习近平关于实现中华民族伟大复兴的中国论述摘编》，中央文献出版社2013年版。</w:t>
      </w:r>
    </w:p>
    <w:p w14:paraId="424F5470"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8.习近平：《在纪念马克思诞辰200周年大会上的讲话》，人民出版社2018年版。</w:t>
      </w:r>
    </w:p>
    <w:p w14:paraId="786718D0"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9.习近平：《在庆祝中国共产主义青年团成立100周年大会上的讲话》，人民出版社2022年版。</w:t>
      </w:r>
    </w:p>
    <w:p w14:paraId="262FD262"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10.《新时代爱国主义教育实施纲要》，人民出版社2019年版。</w:t>
      </w:r>
    </w:p>
    <w:p w14:paraId="13A6C5F5"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11.《中共中央关于党的百年奋斗重大成就和历史经验的决议》，人民出版社2021年版。</w:t>
      </w:r>
    </w:p>
    <w:p w14:paraId="0004FF01"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12.习近平：《在庆祝改革开放40周年大会上的讲话》,人民出版社2018年版。</w:t>
      </w:r>
    </w:p>
    <w:p w14:paraId="5AB78947"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13.习近平：《培育和弘扬社会主义核心价值观》,《习近平谈治国理政》第1卷,外文出版社2018年版。</w:t>
      </w:r>
    </w:p>
    <w:p w14:paraId="4E1A404F"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14.中共中央办公厅、国务院办公厅：《关于进一步把社会主义核心价值观融入法治建设的指导意见》，2016年12月25日。</w:t>
      </w:r>
    </w:p>
    <w:p w14:paraId="60220465"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15.中华人民共和国国务院新闻办公室：《中国的民主》，人民出版社2021年版。</w:t>
      </w:r>
    </w:p>
    <w:p w14:paraId="140F6D89"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16.中共中央党史和文献研究院：《习近平关于社会主义精神文明建设论述摘编》，中央文献出版社2022年版。</w:t>
      </w:r>
    </w:p>
    <w:p w14:paraId="2EE9E841"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lastRenderedPageBreak/>
        <w:t>17.《新时代公民道德建设实施纲要》，人民出版社2019年版。</w:t>
      </w:r>
    </w:p>
    <w:p w14:paraId="5E7FC407"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18.习近平：《论坚持全面依法治国》，中央文献出版社2020年版。</w:t>
      </w:r>
    </w:p>
    <w:p w14:paraId="66902625"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19.中共中央宣传部、中央全面依法治国委员会办公室：《习近平法治思想学习纲要》，学习出版社、人民出版社2021年版。</w:t>
      </w:r>
    </w:p>
    <w:p w14:paraId="43143EF8" w14:textId="77777777" w:rsidR="003C7AB3" w:rsidRDefault="003C7AB3" w:rsidP="003C7AB3">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（三）课程资源</w:t>
      </w:r>
    </w:p>
    <w:p w14:paraId="7AC08EA6" w14:textId="77777777" w:rsidR="003C7AB3" w:rsidRDefault="003C7AB3" w:rsidP="003C7AB3">
      <w:pPr>
        <w:snapToGrid w:val="0"/>
        <w:spacing w:before="156"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无</w:t>
      </w:r>
    </w:p>
    <w:p w14:paraId="482D7F59" w14:textId="77777777" w:rsidR="003C7AB3" w:rsidRDefault="003C7AB3" w:rsidP="003C7AB3">
      <w:pPr>
        <w:snapToGrid w:val="0"/>
        <w:spacing w:before="156" w:after="156" w:line="440" w:lineRule="exact"/>
        <w:ind w:firstLineChars="200" w:firstLine="560"/>
        <w:rPr>
          <w:rFonts w:ascii="黑体" w:eastAsia="黑体" w:hAnsi="黑体"/>
          <w:sz w:val="28"/>
          <w:szCs w:val="28"/>
        </w:rPr>
      </w:pPr>
      <w:r>
        <w:rPr>
          <w:rFonts w:ascii="黑体" w:eastAsia="黑体" w:hAnsi="黑体"/>
          <w:sz w:val="28"/>
          <w:szCs w:val="28"/>
        </w:rPr>
        <w:t>七、课程大纲制定依据</w:t>
      </w:r>
    </w:p>
    <w:p w14:paraId="147B5BB7" w14:textId="77777777" w:rsidR="003C7AB3" w:rsidRDefault="003C7AB3" w:rsidP="003C7AB3">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5B7A41E9"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p>
    <w:p w14:paraId="7C3F7DF4" w14:textId="77777777" w:rsidR="003C7AB3" w:rsidRDefault="003C7AB3" w:rsidP="003C7AB3">
      <w:pPr>
        <w:spacing w:line="440" w:lineRule="exact"/>
        <w:ind w:firstLineChars="200" w:firstLine="480"/>
        <w:rPr>
          <w:rFonts w:ascii="宋体" w:eastAsia="宋体" w:hAnsi="宋体" w:cs="Times New Roman"/>
          <w:color w:val="000000" w:themeColor="text1"/>
          <w:sz w:val="24"/>
          <w:szCs w:val="24"/>
        </w:rPr>
      </w:pPr>
    </w:p>
    <w:p w14:paraId="2ACFF294" w14:textId="77777777" w:rsidR="003C7AB3" w:rsidRDefault="003C7AB3" w:rsidP="003C7AB3">
      <w:pPr>
        <w:snapToGrid w:val="0"/>
        <w:spacing w:line="440" w:lineRule="exact"/>
        <w:ind w:firstLineChars="200" w:firstLine="480"/>
        <w:rPr>
          <w:rFonts w:asciiTheme="minorEastAsia" w:hAnsiTheme="minorEastAsia"/>
          <w:sz w:val="24"/>
          <w:szCs w:val="24"/>
        </w:rPr>
      </w:pPr>
    </w:p>
    <w:p w14:paraId="0699D1D7" w14:textId="77777777" w:rsidR="003C7AB3" w:rsidRDefault="003C7AB3" w:rsidP="003C7AB3">
      <w:pPr>
        <w:snapToGrid w:val="0"/>
        <w:spacing w:line="440" w:lineRule="exact"/>
        <w:ind w:firstLineChars="200" w:firstLine="480"/>
        <w:rPr>
          <w:rFonts w:asciiTheme="minorEastAsia" w:hAnsiTheme="minorEastAsia"/>
          <w:sz w:val="24"/>
          <w:szCs w:val="24"/>
        </w:rPr>
      </w:pPr>
    </w:p>
    <w:p w14:paraId="5613CFD0" w14:textId="77777777" w:rsidR="003C7AB3" w:rsidRDefault="003C7AB3" w:rsidP="003C7AB3">
      <w:pPr>
        <w:spacing w:line="440" w:lineRule="exact"/>
        <w:ind w:firstLineChars="200" w:firstLine="480"/>
        <w:rPr>
          <w:rFonts w:asciiTheme="minorEastAsia" w:hAnsiTheme="minorEastAsia"/>
          <w:sz w:val="24"/>
          <w:szCs w:val="24"/>
        </w:rPr>
      </w:pPr>
    </w:p>
    <w:p w14:paraId="51184CEE" w14:textId="77777777" w:rsidR="003C7AB3" w:rsidRDefault="003C7AB3" w:rsidP="003C7AB3">
      <w:pPr>
        <w:snapToGrid w:val="0"/>
        <w:spacing w:line="440" w:lineRule="exact"/>
        <w:ind w:firstLineChars="200" w:firstLine="480"/>
        <w:rPr>
          <w:rFonts w:asciiTheme="minorEastAsia" w:hAnsiTheme="minorEastAsia"/>
          <w:sz w:val="24"/>
          <w:szCs w:val="24"/>
        </w:rPr>
      </w:pPr>
    </w:p>
    <w:p w14:paraId="2C4C35A8" w14:textId="77777777" w:rsidR="003C7AB3" w:rsidRDefault="003C7AB3" w:rsidP="003C7AB3">
      <w:pPr>
        <w:snapToGrid w:val="0"/>
        <w:spacing w:line="440" w:lineRule="exact"/>
        <w:ind w:firstLineChars="200" w:firstLine="480"/>
        <w:rPr>
          <w:rFonts w:asciiTheme="minorEastAsia" w:hAnsiTheme="minorEastAsia"/>
          <w:sz w:val="24"/>
          <w:szCs w:val="24"/>
        </w:rPr>
      </w:pPr>
    </w:p>
    <w:p w14:paraId="02B336CA" w14:textId="77777777" w:rsidR="003C7AB3" w:rsidRDefault="003C7AB3" w:rsidP="003C7AB3">
      <w:pPr>
        <w:snapToGrid w:val="0"/>
        <w:spacing w:line="440" w:lineRule="exact"/>
        <w:ind w:firstLineChars="200" w:firstLine="480"/>
        <w:rPr>
          <w:rFonts w:asciiTheme="minorEastAsia" w:hAnsiTheme="minorEastAsia"/>
          <w:sz w:val="24"/>
          <w:szCs w:val="24"/>
        </w:rPr>
      </w:pPr>
    </w:p>
    <w:p w14:paraId="3049A52C" w14:textId="77777777" w:rsidR="003C7AB3" w:rsidRDefault="003C7AB3" w:rsidP="003C7AB3">
      <w:pPr>
        <w:snapToGrid w:val="0"/>
        <w:spacing w:before="374" w:after="374" w:line="440" w:lineRule="exact"/>
        <w:ind w:firstLineChars="400" w:firstLine="1440"/>
        <w:rPr>
          <w:rFonts w:ascii="黑体" w:eastAsia="黑体" w:hAnsi="黑体"/>
          <w:sz w:val="36"/>
          <w:szCs w:val="36"/>
        </w:rPr>
      </w:pPr>
    </w:p>
    <w:p w14:paraId="14524EE6" w14:textId="77777777" w:rsidR="0071365E" w:rsidRDefault="0071365E" w:rsidP="003C7AB3">
      <w:pPr>
        <w:snapToGrid w:val="0"/>
        <w:spacing w:before="374" w:after="374" w:line="440" w:lineRule="exact"/>
        <w:ind w:firstLineChars="400" w:firstLine="1440"/>
        <w:rPr>
          <w:rFonts w:ascii="黑体" w:eastAsia="黑体" w:hAnsi="黑体"/>
          <w:sz w:val="36"/>
          <w:szCs w:val="36"/>
        </w:rPr>
      </w:pPr>
    </w:p>
    <w:p w14:paraId="34A983BB" w14:textId="77777777" w:rsidR="0071365E" w:rsidRDefault="0071365E" w:rsidP="003C7AB3">
      <w:pPr>
        <w:snapToGrid w:val="0"/>
        <w:spacing w:before="374" w:after="374" w:line="440" w:lineRule="exact"/>
        <w:ind w:firstLineChars="400" w:firstLine="1440"/>
        <w:rPr>
          <w:rFonts w:ascii="黑体" w:eastAsia="黑体" w:hAnsi="黑体"/>
          <w:sz w:val="36"/>
          <w:szCs w:val="36"/>
        </w:rPr>
      </w:pPr>
    </w:p>
    <w:p w14:paraId="662F5CEC" w14:textId="77777777" w:rsidR="003C7AB3" w:rsidRDefault="003C7AB3" w:rsidP="003C7AB3">
      <w:pPr>
        <w:snapToGrid w:val="0"/>
        <w:spacing w:before="374" w:after="374" w:line="440" w:lineRule="exact"/>
        <w:ind w:firstLineChars="400" w:firstLine="1440"/>
        <w:rPr>
          <w:rFonts w:ascii="黑体" w:eastAsia="黑体" w:hAnsi="黑体"/>
          <w:sz w:val="36"/>
          <w:szCs w:val="36"/>
        </w:rPr>
      </w:pPr>
    </w:p>
    <w:p w14:paraId="420CA838" w14:textId="77777777" w:rsidR="00D71975" w:rsidRDefault="00D71975" w:rsidP="006B3A10">
      <w:pPr>
        <w:pStyle w:val="1"/>
      </w:pPr>
      <w:bookmarkStart w:id="3" w:name="_Toc149662337"/>
      <w:r>
        <w:lastRenderedPageBreak/>
        <w:t>《中国近现代史纲要》课程大纲</w:t>
      </w:r>
      <w:bookmarkEnd w:id="3"/>
    </w:p>
    <w:p w14:paraId="7A9E480D" w14:textId="77777777" w:rsidR="00D71975" w:rsidRDefault="00D71975" w:rsidP="00D71975">
      <w:pPr>
        <w:snapToGrid w:val="0"/>
        <w:spacing w:before="187" w:after="187" w:line="440" w:lineRule="exact"/>
        <w:ind w:firstLineChars="200" w:firstLine="560"/>
        <w:rPr>
          <w:rFonts w:ascii="黑体" w:eastAsia="黑体" w:hAnsi="黑体"/>
          <w:sz w:val="28"/>
          <w:szCs w:val="28"/>
        </w:rPr>
      </w:pPr>
      <w:r>
        <w:rPr>
          <w:rFonts w:ascii="黑体" w:eastAsia="黑体" w:hAnsi="黑体" w:cs="Times New Roman" w:hint="eastAsia"/>
          <w:sz w:val="28"/>
          <w:szCs w:val="28"/>
        </w:rPr>
        <w:t>一、课程基本信息</w:t>
      </w:r>
    </w:p>
    <w:tbl>
      <w:tblPr>
        <w:tblStyle w:val="a9"/>
        <w:tblW w:w="8384" w:type="dxa"/>
        <w:tblLayout w:type="fixed"/>
        <w:tblCellMar>
          <w:top w:w="120" w:type="dxa"/>
          <w:left w:w="60" w:type="dxa"/>
          <w:bottom w:w="120" w:type="dxa"/>
          <w:right w:w="60" w:type="dxa"/>
        </w:tblCellMar>
        <w:tblLook w:val="04A0" w:firstRow="1" w:lastRow="0" w:firstColumn="1" w:lastColumn="0" w:noHBand="0" w:noVBand="1"/>
      </w:tblPr>
      <w:tblGrid>
        <w:gridCol w:w="1552"/>
        <w:gridCol w:w="2617"/>
        <w:gridCol w:w="1449"/>
        <w:gridCol w:w="2766"/>
      </w:tblGrid>
      <w:tr w:rsidR="00D71975" w14:paraId="55A86262" w14:textId="77777777" w:rsidTr="0078124E">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253F2784"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课程名称</w:t>
            </w:r>
          </w:p>
        </w:tc>
        <w:tc>
          <w:tcPr>
            <w:tcW w:w="2617" w:type="dxa"/>
            <w:tcBorders>
              <w:top w:val="single" w:sz="8" w:space="0" w:color="000000"/>
              <w:left w:val="single" w:sz="8" w:space="0" w:color="000000"/>
              <w:bottom w:val="single" w:sz="8" w:space="0" w:color="000000"/>
              <w:right w:val="single" w:sz="8" w:space="0" w:color="000000"/>
            </w:tcBorders>
            <w:vAlign w:val="center"/>
          </w:tcPr>
          <w:p w14:paraId="02DBB21F"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中国近现代史纲要</w:t>
            </w:r>
          </w:p>
        </w:tc>
        <w:tc>
          <w:tcPr>
            <w:tcW w:w="1449" w:type="dxa"/>
            <w:tcBorders>
              <w:top w:val="single" w:sz="8" w:space="0" w:color="000000"/>
              <w:left w:val="single" w:sz="8" w:space="0" w:color="000000"/>
              <w:bottom w:val="single" w:sz="8" w:space="0" w:color="000000"/>
              <w:right w:val="single" w:sz="8" w:space="0" w:color="000000"/>
            </w:tcBorders>
            <w:vAlign w:val="center"/>
          </w:tcPr>
          <w:p w14:paraId="414D0775"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课程代码</w:t>
            </w:r>
          </w:p>
        </w:tc>
        <w:tc>
          <w:tcPr>
            <w:tcW w:w="2766" w:type="dxa"/>
            <w:tcBorders>
              <w:top w:val="single" w:sz="8" w:space="0" w:color="000000"/>
              <w:left w:val="single" w:sz="8" w:space="0" w:color="000000"/>
              <w:bottom w:val="single" w:sz="8" w:space="0" w:color="000000"/>
              <w:right w:val="single" w:sz="8" w:space="0" w:color="000000"/>
            </w:tcBorders>
            <w:vAlign w:val="center"/>
          </w:tcPr>
          <w:p w14:paraId="4323F630"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1610503</w:t>
            </w:r>
          </w:p>
        </w:tc>
      </w:tr>
      <w:tr w:rsidR="00D71975" w14:paraId="693FD1D6" w14:textId="77777777" w:rsidTr="0078124E">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37D3265D"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课程类别</w:t>
            </w:r>
          </w:p>
        </w:tc>
        <w:tc>
          <w:tcPr>
            <w:tcW w:w="2617" w:type="dxa"/>
            <w:tcBorders>
              <w:top w:val="single" w:sz="8" w:space="0" w:color="000000"/>
              <w:left w:val="single" w:sz="8" w:space="0" w:color="000000"/>
              <w:bottom w:val="single" w:sz="8" w:space="0" w:color="000000"/>
              <w:right w:val="single" w:sz="8" w:space="0" w:color="000000"/>
            </w:tcBorders>
            <w:vAlign w:val="center"/>
          </w:tcPr>
          <w:p w14:paraId="3A7392AE" w14:textId="77777777" w:rsidR="00D71975" w:rsidRDefault="00D71975" w:rsidP="0078124E">
            <w:pPr>
              <w:snapToGrid w:val="0"/>
              <w:jc w:val="center"/>
              <w:rPr>
                <w:rFonts w:ascii="宋体" w:eastAsia="宋体" w:hAnsi="宋体"/>
                <w:kern w:val="0"/>
                <w:sz w:val="24"/>
                <w:szCs w:val="24"/>
              </w:rPr>
            </w:pPr>
            <w:r>
              <w:rPr>
                <w:rFonts w:ascii="宋体" w:eastAsia="宋体" w:hAnsi="宋体" w:hint="eastAsia"/>
                <w:kern w:val="0"/>
                <w:sz w:val="24"/>
                <w:szCs w:val="24"/>
              </w:rPr>
              <w:t>通识教育必修课程</w:t>
            </w:r>
          </w:p>
        </w:tc>
        <w:tc>
          <w:tcPr>
            <w:tcW w:w="1449" w:type="dxa"/>
            <w:tcBorders>
              <w:top w:val="single" w:sz="8" w:space="0" w:color="000000"/>
              <w:left w:val="single" w:sz="8" w:space="0" w:color="000000"/>
              <w:bottom w:val="single" w:sz="8" w:space="0" w:color="000000"/>
              <w:right w:val="single" w:sz="8" w:space="0" w:color="000000"/>
            </w:tcBorders>
            <w:vAlign w:val="center"/>
          </w:tcPr>
          <w:p w14:paraId="7ECEEF54"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学时</w:t>
            </w:r>
          </w:p>
          <w:p w14:paraId="63C06CB7"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/学分</w:t>
            </w:r>
          </w:p>
        </w:tc>
        <w:tc>
          <w:tcPr>
            <w:tcW w:w="2766" w:type="dxa"/>
            <w:tcBorders>
              <w:top w:val="single" w:sz="8" w:space="0" w:color="000000"/>
              <w:left w:val="single" w:sz="8" w:space="0" w:color="000000"/>
              <w:bottom w:val="single" w:sz="8" w:space="0" w:color="000000"/>
              <w:right w:val="single" w:sz="8" w:space="0" w:color="000000"/>
            </w:tcBorders>
            <w:vAlign w:val="center"/>
          </w:tcPr>
          <w:p w14:paraId="6817846A" w14:textId="77777777" w:rsidR="00D71975" w:rsidRDefault="00D71975" w:rsidP="0078124E">
            <w:pPr>
              <w:snapToGrid w:val="0"/>
              <w:jc w:val="center"/>
              <w:rPr>
                <w:rFonts w:ascii="宋体" w:eastAsia="宋体" w:hAnsi="宋体"/>
                <w:kern w:val="0"/>
                <w:sz w:val="24"/>
                <w:szCs w:val="24"/>
              </w:rPr>
            </w:pPr>
            <w:r>
              <w:rPr>
                <w:rFonts w:ascii="宋体" w:eastAsia="宋体" w:hAnsi="宋体" w:hint="eastAsia"/>
                <w:kern w:val="0"/>
                <w:sz w:val="24"/>
                <w:szCs w:val="24"/>
              </w:rPr>
              <w:t>40</w:t>
            </w:r>
            <w:r>
              <w:rPr>
                <w:rFonts w:ascii="宋体" w:eastAsia="宋体" w:hAnsi="宋体"/>
                <w:kern w:val="0"/>
                <w:sz w:val="24"/>
                <w:szCs w:val="24"/>
              </w:rPr>
              <w:t>学时/2</w:t>
            </w:r>
            <w:r>
              <w:rPr>
                <w:rFonts w:ascii="宋体" w:eastAsia="宋体" w:hAnsi="宋体" w:hint="eastAsia"/>
                <w:kern w:val="0"/>
                <w:sz w:val="24"/>
                <w:szCs w:val="24"/>
              </w:rPr>
              <w:t>.5</w:t>
            </w:r>
            <w:r>
              <w:rPr>
                <w:rFonts w:ascii="宋体" w:eastAsia="宋体" w:hAnsi="宋体"/>
                <w:kern w:val="0"/>
                <w:sz w:val="24"/>
                <w:szCs w:val="24"/>
              </w:rPr>
              <w:t>学分</w:t>
            </w:r>
          </w:p>
        </w:tc>
      </w:tr>
      <w:tr w:rsidR="00D71975" w14:paraId="72E066BA" w14:textId="77777777" w:rsidTr="0078124E">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5061FE32"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开课单位</w:t>
            </w:r>
          </w:p>
        </w:tc>
        <w:tc>
          <w:tcPr>
            <w:tcW w:w="2617" w:type="dxa"/>
            <w:tcBorders>
              <w:top w:val="single" w:sz="8" w:space="0" w:color="000000"/>
              <w:left w:val="single" w:sz="8" w:space="0" w:color="000000"/>
              <w:bottom w:val="single" w:sz="8" w:space="0" w:color="000000"/>
              <w:right w:val="single" w:sz="8" w:space="0" w:color="000000"/>
            </w:tcBorders>
            <w:vAlign w:val="center"/>
          </w:tcPr>
          <w:p w14:paraId="5A619CE1"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马克思主义学院</w:t>
            </w:r>
          </w:p>
        </w:tc>
        <w:tc>
          <w:tcPr>
            <w:tcW w:w="1449" w:type="dxa"/>
            <w:tcBorders>
              <w:top w:val="single" w:sz="8" w:space="0" w:color="000000"/>
              <w:left w:val="single" w:sz="8" w:space="0" w:color="000000"/>
              <w:bottom w:val="single" w:sz="8" w:space="0" w:color="000000"/>
              <w:right w:val="single" w:sz="8" w:space="0" w:color="000000"/>
            </w:tcBorders>
            <w:vAlign w:val="center"/>
          </w:tcPr>
          <w:p w14:paraId="6DCC3FF9"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适用专业</w:t>
            </w:r>
          </w:p>
        </w:tc>
        <w:tc>
          <w:tcPr>
            <w:tcW w:w="2766" w:type="dxa"/>
            <w:tcBorders>
              <w:top w:val="single" w:sz="8" w:space="0" w:color="000000"/>
              <w:left w:val="single" w:sz="8" w:space="0" w:color="000000"/>
              <w:bottom w:val="single" w:sz="8" w:space="0" w:color="000000"/>
              <w:right w:val="single" w:sz="8" w:space="0" w:color="000000"/>
            </w:tcBorders>
            <w:vAlign w:val="center"/>
          </w:tcPr>
          <w:p w14:paraId="4FBF244C"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全校各专业</w:t>
            </w:r>
          </w:p>
        </w:tc>
      </w:tr>
      <w:tr w:rsidR="00D71975" w14:paraId="02A8642D" w14:textId="77777777" w:rsidTr="0078124E">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25D1D5B9"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课程负责人</w:t>
            </w:r>
          </w:p>
        </w:tc>
        <w:tc>
          <w:tcPr>
            <w:tcW w:w="6832" w:type="dxa"/>
            <w:gridSpan w:val="3"/>
            <w:tcBorders>
              <w:top w:val="single" w:sz="8" w:space="0" w:color="000000"/>
              <w:left w:val="single" w:sz="8" w:space="0" w:color="000000"/>
              <w:bottom w:val="single" w:sz="8" w:space="0" w:color="000000"/>
              <w:right w:val="single" w:sz="8" w:space="0" w:color="000000"/>
            </w:tcBorders>
            <w:vAlign w:val="center"/>
          </w:tcPr>
          <w:p w14:paraId="7E00E043"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巩志娟</w:t>
            </w:r>
          </w:p>
        </w:tc>
      </w:tr>
      <w:tr w:rsidR="00D71975" w14:paraId="78BD1FCF" w14:textId="77777777" w:rsidTr="0078124E">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1117D350"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大纲撰写人</w:t>
            </w:r>
          </w:p>
        </w:tc>
        <w:tc>
          <w:tcPr>
            <w:tcW w:w="2617" w:type="dxa"/>
            <w:tcBorders>
              <w:top w:val="single" w:sz="8" w:space="0" w:color="000000"/>
              <w:left w:val="single" w:sz="8" w:space="0" w:color="000000"/>
              <w:bottom w:val="single" w:sz="8" w:space="0" w:color="000000"/>
              <w:right w:val="single" w:sz="8" w:space="0" w:color="000000"/>
            </w:tcBorders>
            <w:vAlign w:val="center"/>
          </w:tcPr>
          <w:p w14:paraId="5A126A0C"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巩志娟</w:t>
            </w:r>
          </w:p>
        </w:tc>
        <w:tc>
          <w:tcPr>
            <w:tcW w:w="1449" w:type="dxa"/>
            <w:tcBorders>
              <w:top w:val="single" w:sz="8" w:space="0" w:color="000000"/>
              <w:left w:val="single" w:sz="8" w:space="0" w:color="000000"/>
              <w:bottom w:val="single" w:sz="8" w:space="0" w:color="000000"/>
              <w:right w:val="single" w:sz="8" w:space="0" w:color="000000"/>
            </w:tcBorders>
            <w:vAlign w:val="center"/>
          </w:tcPr>
          <w:p w14:paraId="0F7B31DE"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大纲审核人</w:t>
            </w:r>
          </w:p>
        </w:tc>
        <w:tc>
          <w:tcPr>
            <w:tcW w:w="2766" w:type="dxa"/>
            <w:tcBorders>
              <w:top w:val="single" w:sz="8" w:space="0" w:color="000000"/>
              <w:left w:val="single" w:sz="8" w:space="0" w:color="000000"/>
              <w:bottom w:val="single" w:sz="8" w:space="0" w:color="000000"/>
              <w:right w:val="single" w:sz="8" w:space="0" w:color="000000"/>
            </w:tcBorders>
            <w:vAlign w:val="center"/>
          </w:tcPr>
          <w:p w14:paraId="0434CD85" w14:textId="77777777" w:rsidR="00D71975" w:rsidRDefault="00D71975" w:rsidP="0078124E">
            <w:pPr>
              <w:snapToGrid w:val="0"/>
              <w:jc w:val="center"/>
              <w:rPr>
                <w:rFonts w:ascii="宋体" w:eastAsia="宋体" w:hAnsi="宋体"/>
                <w:kern w:val="0"/>
                <w:sz w:val="24"/>
                <w:szCs w:val="24"/>
              </w:rPr>
            </w:pPr>
            <w:r>
              <w:rPr>
                <w:rFonts w:ascii="宋体" w:eastAsia="宋体" w:hAnsi="宋体" w:hint="eastAsia"/>
                <w:kern w:val="0"/>
                <w:sz w:val="24"/>
                <w:szCs w:val="24"/>
              </w:rPr>
              <w:t>张子麟</w:t>
            </w:r>
          </w:p>
        </w:tc>
      </w:tr>
      <w:tr w:rsidR="00D71975" w14:paraId="651A3705" w14:textId="77777777" w:rsidTr="0078124E">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0A7A46C2"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先修课程</w:t>
            </w:r>
          </w:p>
        </w:tc>
        <w:tc>
          <w:tcPr>
            <w:tcW w:w="6832" w:type="dxa"/>
            <w:gridSpan w:val="3"/>
            <w:tcBorders>
              <w:top w:val="single" w:sz="8" w:space="0" w:color="000000"/>
              <w:left w:val="single" w:sz="8" w:space="0" w:color="000000"/>
              <w:bottom w:val="single" w:sz="8" w:space="0" w:color="000000"/>
              <w:right w:val="single" w:sz="8" w:space="0" w:color="000000"/>
            </w:tcBorders>
            <w:vAlign w:val="center"/>
          </w:tcPr>
          <w:p w14:paraId="0FF92C03" w14:textId="77777777" w:rsidR="00D71975" w:rsidRDefault="00D71975" w:rsidP="0078124E">
            <w:pPr>
              <w:snapToGrid w:val="0"/>
              <w:jc w:val="center"/>
              <w:rPr>
                <w:rFonts w:ascii="宋体" w:eastAsia="宋体" w:hAnsi="宋体"/>
                <w:spacing w:val="1"/>
                <w:kern w:val="0"/>
                <w:sz w:val="24"/>
                <w:szCs w:val="24"/>
              </w:rPr>
            </w:pPr>
            <w:r>
              <w:rPr>
                <w:rFonts w:ascii="宋体" w:eastAsia="宋体" w:hAnsi="宋体"/>
                <w:spacing w:val="1"/>
                <w:kern w:val="0"/>
                <w:sz w:val="24"/>
                <w:szCs w:val="24"/>
              </w:rPr>
              <w:t>《</w:t>
            </w:r>
            <w:r>
              <w:rPr>
                <w:rFonts w:ascii="宋体" w:eastAsia="宋体" w:hAnsi="宋体" w:hint="eastAsia"/>
                <w:spacing w:val="1"/>
                <w:kern w:val="0"/>
                <w:sz w:val="24"/>
                <w:szCs w:val="24"/>
              </w:rPr>
              <w:t>思想道德与法治</w:t>
            </w:r>
            <w:r>
              <w:rPr>
                <w:rFonts w:ascii="宋体" w:eastAsia="宋体" w:hAnsi="宋体"/>
                <w:spacing w:val="1"/>
                <w:kern w:val="0"/>
                <w:sz w:val="24"/>
                <w:szCs w:val="24"/>
              </w:rPr>
              <w:t>》</w:t>
            </w:r>
          </w:p>
        </w:tc>
      </w:tr>
      <w:tr w:rsidR="00D71975" w14:paraId="0895B7CB" w14:textId="77777777" w:rsidTr="0078124E">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39BDA30B" w14:textId="77777777" w:rsidR="00D71975" w:rsidRDefault="00D71975" w:rsidP="0078124E">
            <w:pPr>
              <w:snapToGrid w:val="0"/>
              <w:jc w:val="center"/>
              <w:rPr>
                <w:rFonts w:ascii="宋体" w:eastAsia="宋体" w:hAnsi="宋体"/>
                <w:kern w:val="0"/>
                <w:sz w:val="24"/>
                <w:szCs w:val="24"/>
              </w:rPr>
            </w:pPr>
            <w:r>
              <w:rPr>
                <w:rFonts w:ascii="宋体" w:eastAsia="宋体" w:hAnsi="宋体"/>
                <w:kern w:val="0"/>
                <w:sz w:val="24"/>
                <w:szCs w:val="24"/>
              </w:rPr>
              <w:t>课程网址</w:t>
            </w:r>
          </w:p>
        </w:tc>
        <w:tc>
          <w:tcPr>
            <w:tcW w:w="6832" w:type="dxa"/>
            <w:gridSpan w:val="3"/>
            <w:tcBorders>
              <w:top w:val="single" w:sz="8" w:space="0" w:color="000000"/>
              <w:left w:val="single" w:sz="8" w:space="0" w:color="000000"/>
              <w:bottom w:val="single" w:sz="8" w:space="0" w:color="000000"/>
              <w:right w:val="single" w:sz="8" w:space="0" w:color="000000"/>
            </w:tcBorders>
            <w:vAlign w:val="center"/>
          </w:tcPr>
          <w:p w14:paraId="3B24A9E0" w14:textId="77777777" w:rsidR="00D71975" w:rsidRDefault="00D71975" w:rsidP="0078124E">
            <w:pPr>
              <w:snapToGrid w:val="0"/>
              <w:jc w:val="center"/>
              <w:rPr>
                <w:rFonts w:ascii="宋体" w:eastAsia="宋体" w:hAnsi="宋体"/>
                <w:kern w:val="0"/>
                <w:sz w:val="24"/>
                <w:szCs w:val="24"/>
              </w:rPr>
            </w:pPr>
            <w:r>
              <w:rPr>
                <w:rFonts w:ascii="宋体" w:eastAsia="宋体" w:hAnsi="宋体" w:hint="eastAsia"/>
                <w:kern w:val="0"/>
                <w:sz w:val="24"/>
                <w:szCs w:val="24"/>
              </w:rPr>
              <w:t>无</w:t>
            </w:r>
          </w:p>
        </w:tc>
      </w:tr>
    </w:tbl>
    <w:p w14:paraId="72B889CF" w14:textId="77777777" w:rsidR="00D71975" w:rsidRDefault="00D71975" w:rsidP="00D71975">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二、课程学习目标</w:t>
      </w:r>
    </w:p>
    <w:p w14:paraId="2C8BCAB4" w14:textId="77777777" w:rsidR="00D71975" w:rsidRDefault="00D71975" w:rsidP="00D71975">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通过教学学生应全面了解中国近现代史基本知识，了解帝国主义入侵给中华民族和中国人民带来的深重苦难，了解近代以来中国所面临的争取人民解放和实现国家富强这两项历史任务；了解近代以来中国的先进分子和人民群众为救亡图存而进行的艰苦探索、顽强奋斗的历程及其经验教训；了解中国走上社会主义道路的历史必然性；深刻领会历史和人民怎样选择了马克思主义，怎样选择了中国共产党，怎样选择了社会主义道路，怎样选择了改革开放；了解改革开放对于中国现代化建设的重要意义；了解中国特色社会主义进入新时代，取得的历史性成就及发生的历史性变革，明确“两个确立”及其决定性意义。</w:t>
      </w:r>
    </w:p>
    <w:p w14:paraId="09EC22A7" w14:textId="77777777" w:rsidR="00D71975" w:rsidRDefault="00D71975" w:rsidP="00D71975">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在全面学习掌握基本史实的基础上，培养学生的历史分析能力，引导学生在学习中透过历史分析总结近代以来中国革命和建设的成功经验及重要启示，深刻懂得中国选择马克思主义、选择中国共产党、选择社会主义、选择改革开放的正确性，掌握中国近代社会发展的规律，坚定历史自信；在师生互动与讨论中激励学生主动参与、</w:t>
      </w:r>
      <w:r>
        <w:rPr>
          <w:rFonts w:ascii="宋体" w:eastAsia="宋体" w:hAnsi="宋体" w:cs="Times New Roman" w:hint="eastAsia"/>
          <w:sz w:val="24"/>
          <w:szCs w:val="24"/>
        </w:rPr>
        <w:lastRenderedPageBreak/>
        <w:t>自我反思和团队合作学习，进一步提高发现问题、分析问题、解决问题的意识和能力。</w:t>
      </w:r>
    </w:p>
    <w:p w14:paraId="42FA0A2E" w14:textId="77777777" w:rsidR="00D71975" w:rsidRDefault="00D71975" w:rsidP="00D71975">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通过中国革命、建设、改革历史及发展规律的学习把握，进一步增强学生中国特色社会主义道路自信、理论自信、制度自信、文化自信，厚植爱国主义情怀，增强建设中国特色社会主义、为实现中华民族伟大复兴而奋斗的历史使命感和社会责任，把爱国情、强国志、报国行自觉融入坚持和发展中国特色社会主义、建设社会主义现代化强国、实现中华民族伟大复兴的奋斗之中，做社会主义合格建设者和接班人。</w:t>
      </w:r>
    </w:p>
    <w:p w14:paraId="0D655251" w14:textId="77777777" w:rsidR="00D71975" w:rsidRDefault="00D71975" w:rsidP="00D71975">
      <w:pPr>
        <w:spacing w:beforeLines="50" w:before="156" w:afterLines="50" w:after="156" w:line="440" w:lineRule="exact"/>
        <w:rPr>
          <w:rFonts w:ascii="黑体" w:eastAsia="黑体" w:hAnsi="黑体" w:cs="Times New Roman"/>
          <w:sz w:val="28"/>
          <w:szCs w:val="28"/>
        </w:rPr>
      </w:pPr>
      <w:r>
        <w:rPr>
          <w:rFonts w:ascii="黑体" w:eastAsia="黑体" w:hAnsi="黑体" w:cs="Times New Roman" w:hint="eastAsia"/>
          <w:sz w:val="28"/>
          <w:szCs w:val="28"/>
        </w:rPr>
        <w:t>（二）课程学习目标与毕业要求的对应关系</w:t>
      </w:r>
    </w:p>
    <w:tbl>
      <w:tblPr>
        <w:tblW w:w="8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694"/>
        <w:gridCol w:w="2209"/>
        <w:gridCol w:w="4507"/>
      </w:tblGrid>
      <w:tr w:rsidR="00D71975" w14:paraId="7EB11BB4" w14:textId="77777777" w:rsidTr="0078124E">
        <w:trPr>
          <w:trHeight w:val="454"/>
          <w:jc w:val="center"/>
        </w:trPr>
        <w:tc>
          <w:tcPr>
            <w:tcW w:w="16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313AB78" w14:textId="77777777" w:rsidR="00D71975" w:rsidRDefault="00D71975"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220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4A5DD5B" w14:textId="77777777" w:rsidR="00D71975" w:rsidRDefault="00D71975" w:rsidP="0078124E">
            <w:pPr>
              <w:adjustRightInd w:val="0"/>
              <w:snapToGrid w:val="0"/>
              <w:spacing w:line="440" w:lineRule="exact"/>
              <w:jc w:val="center"/>
              <w:rPr>
                <w:rFonts w:ascii="宋体" w:hAnsi="宋体"/>
                <w:b/>
                <w:bCs/>
                <w:color w:val="000000" w:themeColor="text1"/>
                <w:kern w:val="0"/>
                <w:sz w:val="24"/>
                <w:szCs w:val="24"/>
              </w:rPr>
            </w:pPr>
            <w:r>
              <w:rPr>
                <w:rFonts w:ascii="宋体" w:eastAsia="宋体" w:hAnsi="宋体" w:cs="宋体" w:hint="eastAsia"/>
                <w:b/>
                <w:bCs/>
                <w:color w:val="000000" w:themeColor="text1"/>
                <w:kern w:val="0"/>
                <w:sz w:val="24"/>
                <w:szCs w:val="24"/>
              </w:rPr>
              <w:t>支撑的毕业要求</w:t>
            </w:r>
          </w:p>
        </w:tc>
        <w:tc>
          <w:tcPr>
            <w:tcW w:w="45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A29BFD6" w14:textId="77777777" w:rsidR="00D71975" w:rsidRDefault="00D71975" w:rsidP="0078124E">
            <w:pPr>
              <w:adjustRightInd w:val="0"/>
              <w:snapToGrid w:val="0"/>
              <w:spacing w:line="440" w:lineRule="exact"/>
              <w:jc w:val="center"/>
              <w:rPr>
                <w:rFonts w:ascii="宋体" w:eastAsia="宋体" w:hAnsi="宋体"/>
                <w:b/>
                <w:bCs/>
                <w:color w:val="000000" w:themeColor="text1"/>
                <w:kern w:val="0"/>
                <w:sz w:val="24"/>
                <w:szCs w:val="24"/>
              </w:rPr>
            </w:pPr>
            <w:r>
              <w:rPr>
                <w:rFonts w:ascii="宋体" w:eastAsia="宋体" w:hAnsi="宋体" w:cs="宋体" w:hint="eastAsia"/>
                <w:b/>
                <w:bCs/>
                <w:color w:val="000000" w:themeColor="text1"/>
                <w:kern w:val="0"/>
                <w:sz w:val="24"/>
                <w:szCs w:val="24"/>
              </w:rPr>
              <w:t>毕业要求内涵</w:t>
            </w:r>
          </w:p>
        </w:tc>
      </w:tr>
      <w:tr w:rsidR="00D71975" w14:paraId="5481778E" w14:textId="77777777" w:rsidTr="0078124E">
        <w:trPr>
          <w:trHeight w:val="454"/>
          <w:jc w:val="center"/>
        </w:trPr>
        <w:tc>
          <w:tcPr>
            <w:tcW w:w="16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B80B39C" w14:textId="77777777" w:rsidR="00D71975" w:rsidRDefault="00D71975" w:rsidP="0078124E">
            <w:pPr>
              <w:adjustRightInd w:val="0"/>
              <w:snapToGrid w:val="0"/>
              <w:spacing w:line="440" w:lineRule="exact"/>
              <w:jc w:val="center"/>
              <w:rPr>
                <w:rFonts w:ascii="宋体" w:eastAsia="宋体" w:hAnsi="宋体" w:cs="宋体"/>
                <w:color w:val="000000" w:themeColor="text1"/>
                <w:kern w:val="0"/>
                <w:sz w:val="24"/>
                <w:szCs w:val="24"/>
              </w:rPr>
            </w:pPr>
            <w:r>
              <w:rPr>
                <w:rFonts w:ascii="宋体" w:eastAsia="宋体" w:hAnsi="宋体" w:cs="宋体" w:hint="eastAsia"/>
                <w:color w:val="000000" w:themeColor="text1"/>
                <w:sz w:val="24"/>
                <w:szCs w:val="24"/>
              </w:rPr>
              <w:t>课程目标1</w:t>
            </w:r>
          </w:p>
        </w:tc>
        <w:tc>
          <w:tcPr>
            <w:tcW w:w="220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377652D" w14:textId="77777777" w:rsidR="00D71975" w:rsidRDefault="00D71975" w:rsidP="0078124E">
            <w:pPr>
              <w:adjustRightInd w:val="0"/>
              <w:snapToGrid w:val="0"/>
              <w:spacing w:line="440" w:lineRule="exact"/>
              <w:jc w:val="center"/>
              <w:rPr>
                <w:rFonts w:ascii="宋体" w:eastAsia="宋体" w:hAnsi="宋体" w:cs="宋体"/>
                <w:color w:val="000000" w:themeColor="text1"/>
                <w:kern w:val="0"/>
                <w:sz w:val="24"/>
                <w:szCs w:val="24"/>
              </w:rPr>
            </w:pPr>
            <w:r>
              <w:rPr>
                <w:rFonts w:ascii="宋体" w:eastAsia="宋体" w:hAnsi="宋体" w:cs="宋体" w:hint="eastAsia"/>
                <w:color w:val="000000" w:themeColor="text1"/>
                <w:kern w:val="0"/>
                <w:sz w:val="24"/>
                <w:szCs w:val="24"/>
              </w:rPr>
              <w:t>2.教育情怀（H）</w:t>
            </w:r>
          </w:p>
        </w:tc>
        <w:tc>
          <w:tcPr>
            <w:tcW w:w="45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67152C7" w14:textId="77777777" w:rsidR="00D71975" w:rsidRDefault="00D71975" w:rsidP="0078124E">
            <w:pPr>
              <w:adjustRightInd w:val="0"/>
              <w:snapToGrid w:val="0"/>
              <w:spacing w:line="440" w:lineRule="exact"/>
              <w:ind w:firstLineChars="200" w:firstLine="480"/>
              <w:jc w:val="left"/>
              <w:rPr>
                <w:rFonts w:ascii="宋体" w:eastAsia="宋体" w:hAnsi="宋体" w:cs="宋体"/>
                <w:color w:val="000000" w:themeColor="text1"/>
                <w:kern w:val="0"/>
                <w:sz w:val="24"/>
                <w:szCs w:val="24"/>
              </w:rPr>
            </w:pPr>
            <w:r>
              <w:rPr>
                <w:rFonts w:ascii="宋体" w:eastAsia="宋体" w:hAnsi="宋体" w:cs="Times New Roman" w:hint="eastAsia"/>
                <w:sz w:val="24"/>
                <w:szCs w:val="24"/>
              </w:rPr>
              <w:t>具有从教意愿，认同教师工作的意义和专业性，具有积极的情感、端正的态度、正确的价值观。具有人文底蕴和科学精神，尊重学生人格，富有爱心、责任心，工作细心、耐心，做学生锤炼品格、学习知识、创新思维、奉献祖国的引路人。</w:t>
            </w:r>
          </w:p>
        </w:tc>
      </w:tr>
      <w:tr w:rsidR="00D71975" w14:paraId="37BD6A78" w14:textId="77777777" w:rsidTr="0078124E">
        <w:trPr>
          <w:trHeight w:val="454"/>
          <w:jc w:val="center"/>
        </w:trPr>
        <w:tc>
          <w:tcPr>
            <w:tcW w:w="16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D46592" w14:textId="77777777" w:rsidR="00D71975" w:rsidRDefault="00D71975" w:rsidP="0078124E">
            <w:pPr>
              <w:adjustRightInd w:val="0"/>
              <w:snapToGrid w:val="0"/>
              <w:spacing w:line="440" w:lineRule="exact"/>
              <w:jc w:val="center"/>
              <w:rPr>
                <w:rFonts w:ascii="宋体" w:eastAsia="宋体" w:hAnsi="宋体" w:cs="宋体"/>
                <w:color w:val="000000" w:themeColor="text1"/>
                <w:kern w:val="0"/>
                <w:sz w:val="24"/>
                <w:szCs w:val="24"/>
              </w:rPr>
            </w:pPr>
            <w:r>
              <w:rPr>
                <w:rFonts w:ascii="宋体" w:eastAsia="宋体" w:hAnsi="宋体" w:cs="宋体" w:hint="eastAsia"/>
                <w:color w:val="000000" w:themeColor="text1"/>
                <w:sz w:val="24"/>
                <w:szCs w:val="24"/>
              </w:rPr>
              <w:t>课程目标2</w:t>
            </w:r>
          </w:p>
        </w:tc>
        <w:tc>
          <w:tcPr>
            <w:tcW w:w="220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049437E" w14:textId="77777777" w:rsidR="00D71975" w:rsidRDefault="00D71975" w:rsidP="0078124E">
            <w:pPr>
              <w:adjustRightInd w:val="0"/>
              <w:snapToGrid w:val="0"/>
              <w:spacing w:line="440" w:lineRule="exact"/>
              <w:jc w:val="center"/>
              <w:rPr>
                <w:rFonts w:ascii="宋体" w:eastAsia="宋体" w:hAnsi="宋体" w:cs="宋体"/>
                <w:color w:val="000000" w:themeColor="text1"/>
                <w:kern w:val="0"/>
                <w:sz w:val="24"/>
                <w:szCs w:val="24"/>
              </w:rPr>
            </w:pPr>
            <w:r>
              <w:rPr>
                <w:rFonts w:ascii="宋体" w:eastAsia="宋体" w:hAnsi="宋体" w:cs="宋体" w:hint="eastAsia"/>
                <w:color w:val="000000" w:themeColor="text1"/>
                <w:kern w:val="0"/>
                <w:sz w:val="24"/>
                <w:szCs w:val="24"/>
              </w:rPr>
              <w:t>7.学会反思（M）</w:t>
            </w:r>
          </w:p>
        </w:tc>
        <w:tc>
          <w:tcPr>
            <w:tcW w:w="45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5AF0E1E" w14:textId="77777777" w:rsidR="00D71975" w:rsidRDefault="00D71975" w:rsidP="0078124E">
            <w:pPr>
              <w:adjustRightInd w:val="0"/>
              <w:snapToGrid w:val="0"/>
              <w:spacing w:line="440" w:lineRule="exact"/>
              <w:ind w:firstLineChars="200" w:firstLine="480"/>
              <w:jc w:val="left"/>
              <w:rPr>
                <w:rFonts w:ascii="宋体" w:eastAsia="宋体" w:hAnsi="宋体" w:cs="宋体"/>
                <w:color w:val="000000" w:themeColor="text1"/>
                <w:kern w:val="0"/>
                <w:sz w:val="24"/>
                <w:szCs w:val="24"/>
              </w:rPr>
            </w:pPr>
            <w:r>
              <w:rPr>
                <w:rFonts w:ascii="宋体" w:eastAsia="宋体" w:hAnsi="宋体" w:cs="宋体" w:hint="eastAsia"/>
                <w:color w:val="000000" w:themeColor="text1"/>
                <w:kern w:val="0"/>
                <w:sz w:val="24"/>
                <w:szCs w:val="24"/>
              </w:rPr>
              <w:t>具有终身学习与专业发展意识。了解国内外基础教育改革发展动态，能够适应时代和教育发展需求，进行学习和职业生涯规划。初步掌握反思方法和技能，具有一定创新意识，运用批判性思维方法，学会分析和解决教育教学问题。</w:t>
            </w:r>
          </w:p>
        </w:tc>
      </w:tr>
      <w:tr w:rsidR="00D71975" w14:paraId="4DD9CDF7" w14:textId="77777777" w:rsidTr="0078124E">
        <w:trPr>
          <w:trHeight w:val="454"/>
          <w:jc w:val="center"/>
        </w:trPr>
        <w:tc>
          <w:tcPr>
            <w:tcW w:w="16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8AA41B3" w14:textId="77777777" w:rsidR="00D71975" w:rsidRDefault="00D71975" w:rsidP="0078124E">
            <w:pPr>
              <w:adjustRightInd w:val="0"/>
              <w:snapToGrid w:val="0"/>
              <w:spacing w:line="440" w:lineRule="exact"/>
              <w:jc w:val="center"/>
              <w:rPr>
                <w:rFonts w:ascii="宋体" w:eastAsia="宋体" w:hAnsi="宋体" w:cs="宋体"/>
                <w:color w:val="000000" w:themeColor="text1"/>
                <w:kern w:val="0"/>
                <w:sz w:val="24"/>
                <w:szCs w:val="24"/>
              </w:rPr>
            </w:pPr>
            <w:r>
              <w:rPr>
                <w:rFonts w:ascii="宋体" w:eastAsia="宋体" w:hAnsi="宋体" w:cs="宋体" w:hint="eastAsia"/>
                <w:color w:val="000000" w:themeColor="text1"/>
                <w:sz w:val="24"/>
                <w:szCs w:val="24"/>
              </w:rPr>
              <w:t>课程目标3</w:t>
            </w:r>
          </w:p>
        </w:tc>
        <w:tc>
          <w:tcPr>
            <w:tcW w:w="220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6A77480" w14:textId="77777777" w:rsidR="00D71975" w:rsidRDefault="00D71975" w:rsidP="0078124E">
            <w:pPr>
              <w:adjustRightInd w:val="0"/>
              <w:snapToGrid w:val="0"/>
              <w:spacing w:line="440" w:lineRule="exact"/>
              <w:jc w:val="center"/>
              <w:rPr>
                <w:rFonts w:ascii="宋体" w:eastAsia="宋体" w:hAnsi="宋体" w:cs="宋体"/>
                <w:color w:val="000000" w:themeColor="text1"/>
                <w:kern w:val="0"/>
                <w:sz w:val="24"/>
                <w:szCs w:val="24"/>
              </w:rPr>
            </w:pPr>
            <w:r>
              <w:rPr>
                <w:rFonts w:ascii="宋体" w:eastAsia="宋体" w:hAnsi="宋体" w:cs="宋体" w:hint="eastAsia"/>
                <w:color w:val="000000" w:themeColor="text1"/>
                <w:kern w:val="0"/>
                <w:sz w:val="24"/>
                <w:szCs w:val="24"/>
              </w:rPr>
              <w:t>1.师德规范（H）</w:t>
            </w:r>
          </w:p>
        </w:tc>
        <w:tc>
          <w:tcPr>
            <w:tcW w:w="45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12D31BC" w14:textId="77777777" w:rsidR="00D71975" w:rsidRDefault="00D71975" w:rsidP="0078124E">
            <w:pPr>
              <w:adjustRightInd w:val="0"/>
              <w:snapToGrid w:val="0"/>
              <w:spacing w:line="440" w:lineRule="exact"/>
              <w:ind w:firstLineChars="200" w:firstLine="480"/>
              <w:jc w:val="left"/>
              <w:rPr>
                <w:rFonts w:ascii="宋体" w:eastAsia="宋体" w:hAnsi="宋体" w:cs="宋体"/>
                <w:color w:val="000000" w:themeColor="text1"/>
                <w:kern w:val="0"/>
                <w:sz w:val="24"/>
                <w:szCs w:val="24"/>
              </w:rPr>
            </w:pPr>
            <w:proofErr w:type="gramStart"/>
            <w:r>
              <w:rPr>
                <w:rFonts w:ascii="宋体" w:eastAsia="宋体" w:hAnsi="宋体" w:cs="宋体" w:hint="eastAsia"/>
                <w:color w:val="000000" w:themeColor="text1"/>
                <w:kern w:val="0"/>
                <w:sz w:val="24"/>
                <w:szCs w:val="24"/>
              </w:rPr>
              <w:t>践行</w:t>
            </w:r>
            <w:proofErr w:type="gramEnd"/>
            <w:r>
              <w:rPr>
                <w:rFonts w:ascii="宋体" w:eastAsia="宋体" w:hAnsi="宋体" w:cs="宋体" w:hint="eastAsia"/>
                <w:color w:val="000000" w:themeColor="text1"/>
                <w:kern w:val="0"/>
                <w:sz w:val="24"/>
                <w:szCs w:val="24"/>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w:t>
            </w:r>
            <w:r>
              <w:rPr>
                <w:rFonts w:ascii="宋体" w:eastAsia="宋体" w:hAnsi="宋体" w:cs="宋体" w:hint="eastAsia"/>
                <w:color w:val="000000" w:themeColor="text1"/>
                <w:kern w:val="0"/>
                <w:sz w:val="24"/>
                <w:szCs w:val="24"/>
              </w:rPr>
              <w:lastRenderedPageBreak/>
              <w:t>识、有仁爱之心的好老师。</w:t>
            </w:r>
          </w:p>
        </w:tc>
      </w:tr>
    </w:tbl>
    <w:p w14:paraId="37BF6050" w14:textId="77777777" w:rsidR="00D71975" w:rsidRDefault="00D71975" w:rsidP="00D71975">
      <w:pPr>
        <w:snapToGrid w:val="0"/>
        <w:spacing w:before="187" w:after="187" w:line="440" w:lineRule="exact"/>
        <w:rPr>
          <w:rFonts w:ascii="黑体" w:eastAsia="黑体" w:hAnsi="黑体" w:cs="Times New Roman"/>
          <w:sz w:val="28"/>
          <w:szCs w:val="28"/>
        </w:rPr>
      </w:pPr>
      <w:r>
        <w:rPr>
          <w:rFonts w:ascii="黑体" w:eastAsia="黑体" w:hAnsi="黑体" w:cs="Times New Roman" w:hint="eastAsia"/>
          <w:sz w:val="28"/>
          <w:szCs w:val="28"/>
        </w:rPr>
        <w:lastRenderedPageBreak/>
        <w:t>（三）课程学习目标与毕业要求的对应关系</w:t>
      </w:r>
    </w:p>
    <w:tbl>
      <w:tblPr>
        <w:tblW w:w="8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2102"/>
        <w:gridCol w:w="1637"/>
        <w:gridCol w:w="4430"/>
      </w:tblGrid>
      <w:tr w:rsidR="00D71975" w14:paraId="484C17DD" w14:textId="77777777" w:rsidTr="0078124E">
        <w:trPr>
          <w:trHeight w:val="896"/>
          <w:jc w:val="center"/>
        </w:trPr>
        <w:tc>
          <w:tcPr>
            <w:tcW w:w="21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3DE9FE6" w14:textId="77777777" w:rsidR="00D71975" w:rsidRDefault="00D71975"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163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EA9154B" w14:textId="77777777" w:rsidR="00D71975" w:rsidRDefault="00D71975"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支撑的毕业要求</w:t>
            </w:r>
          </w:p>
        </w:tc>
        <w:tc>
          <w:tcPr>
            <w:tcW w:w="443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7A2B6D0" w14:textId="77777777" w:rsidR="00D71975" w:rsidRDefault="00D71975"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毕业要求内涵</w:t>
            </w:r>
          </w:p>
        </w:tc>
      </w:tr>
      <w:tr w:rsidR="00D71975" w14:paraId="145A17F7" w14:textId="77777777" w:rsidTr="0078124E">
        <w:trPr>
          <w:trHeight w:val="1290"/>
          <w:jc w:val="center"/>
        </w:trPr>
        <w:tc>
          <w:tcPr>
            <w:tcW w:w="21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3C4C02" w14:textId="77777777" w:rsidR="00D71975" w:rsidRDefault="00D71975" w:rsidP="0078124E">
            <w:pPr>
              <w:adjustRightInd w:val="0"/>
              <w:snapToGrid w:val="0"/>
              <w:spacing w:line="440" w:lineRule="exact"/>
              <w:jc w:val="center"/>
              <w:rPr>
                <w:rFonts w:ascii="宋体" w:eastAsia="宋体" w:hAnsi="宋体" w:cs="宋体"/>
                <w:color w:val="000000" w:themeColor="text1"/>
                <w:kern w:val="0"/>
                <w:sz w:val="24"/>
                <w:szCs w:val="24"/>
              </w:rPr>
            </w:pPr>
            <w:r>
              <w:rPr>
                <w:rFonts w:ascii="宋体" w:eastAsia="宋体" w:hAnsi="宋体" w:cs="宋体" w:hint="eastAsia"/>
                <w:color w:val="000000" w:themeColor="text1"/>
                <w:sz w:val="24"/>
                <w:szCs w:val="24"/>
              </w:rPr>
              <w:t>课程目标1</w:t>
            </w:r>
          </w:p>
        </w:tc>
        <w:tc>
          <w:tcPr>
            <w:tcW w:w="163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63CB095" w14:textId="77777777" w:rsidR="00D71975" w:rsidRDefault="00D71975" w:rsidP="0078124E">
            <w:pPr>
              <w:adjustRightInd w:val="0"/>
              <w:snapToGrid w:val="0"/>
              <w:spacing w:line="440" w:lineRule="exact"/>
              <w:jc w:val="center"/>
              <w:rPr>
                <w:rFonts w:ascii="宋体" w:eastAsia="宋体" w:hAnsi="宋体" w:cs="宋体"/>
                <w:color w:val="000000" w:themeColor="text1"/>
                <w:kern w:val="0"/>
                <w:sz w:val="24"/>
                <w:szCs w:val="24"/>
              </w:rPr>
            </w:pPr>
            <w:r>
              <w:rPr>
                <w:rFonts w:ascii="宋体" w:eastAsia="宋体" w:hAnsi="宋体" w:cs="宋体" w:hint="eastAsia"/>
                <w:color w:val="000000" w:themeColor="text1"/>
                <w:kern w:val="0"/>
                <w:sz w:val="24"/>
                <w:szCs w:val="24"/>
              </w:rPr>
              <w:t>8.职业规范（H）</w:t>
            </w:r>
          </w:p>
        </w:tc>
        <w:tc>
          <w:tcPr>
            <w:tcW w:w="443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4F2563" w14:textId="77777777" w:rsidR="00D71975" w:rsidRDefault="00D71975" w:rsidP="0078124E">
            <w:pPr>
              <w:adjustRightInd w:val="0"/>
              <w:snapToGrid w:val="0"/>
              <w:spacing w:line="440" w:lineRule="exact"/>
              <w:ind w:firstLineChars="200" w:firstLine="480"/>
              <w:jc w:val="left"/>
              <w:rPr>
                <w:rFonts w:ascii="宋体" w:eastAsia="宋体" w:hAnsi="宋体" w:cs="宋体"/>
                <w:color w:val="000000" w:themeColor="text1"/>
                <w:kern w:val="0"/>
                <w:sz w:val="24"/>
                <w:szCs w:val="24"/>
              </w:rPr>
            </w:pPr>
            <w:r>
              <w:rPr>
                <w:rFonts w:ascii="宋体" w:eastAsia="宋体" w:hAnsi="宋体" w:cs="宋体" w:hint="eastAsia"/>
                <w:color w:val="000000" w:themeColor="text1"/>
                <w:kern w:val="0"/>
                <w:sz w:val="24"/>
                <w:szCs w:val="24"/>
              </w:rPr>
              <w:t>具有人文社会科学素养、社会责任感，能够在工程实践中理解并遵守工程职业道德和规范，履行责任。</w:t>
            </w:r>
          </w:p>
        </w:tc>
      </w:tr>
      <w:tr w:rsidR="00D71975" w14:paraId="43B8B356" w14:textId="77777777" w:rsidTr="0078124E">
        <w:trPr>
          <w:trHeight w:val="1290"/>
          <w:jc w:val="center"/>
        </w:trPr>
        <w:tc>
          <w:tcPr>
            <w:tcW w:w="21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F561FC4" w14:textId="77777777" w:rsidR="00D71975" w:rsidRDefault="00D71975" w:rsidP="0078124E">
            <w:pPr>
              <w:adjustRightInd w:val="0"/>
              <w:snapToGrid w:val="0"/>
              <w:spacing w:line="440" w:lineRule="exact"/>
              <w:jc w:val="center"/>
              <w:rPr>
                <w:rFonts w:ascii="宋体" w:eastAsia="宋体" w:hAnsi="宋体" w:cs="宋体"/>
                <w:color w:val="000000" w:themeColor="text1"/>
                <w:kern w:val="0"/>
                <w:sz w:val="24"/>
                <w:szCs w:val="24"/>
              </w:rPr>
            </w:pPr>
            <w:r>
              <w:rPr>
                <w:rFonts w:ascii="宋体" w:eastAsia="宋体" w:hAnsi="宋体" w:cs="宋体" w:hint="eastAsia"/>
                <w:color w:val="000000" w:themeColor="text1"/>
                <w:sz w:val="24"/>
                <w:szCs w:val="24"/>
              </w:rPr>
              <w:t>课程目标2</w:t>
            </w:r>
          </w:p>
        </w:tc>
        <w:tc>
          <w:tcPr>
            <w:tcW w:w="163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60D9586" w14:textId="77777777" w:rsidR="00D71975" w:rsidRDefault="00D71975" w:rsidP="0078124E">
            <w:pPr>
              <w:adjustRightInd w:val="0"/>
              <w:snapToGrid w:val="0"/>
              <w:spacing w:line="440" w:lineRule="exact"/>
              <w:jc w:val="center"/>
              <w:rPr>
                <w:rFonts w:ascii="宋体" w:eastAsia="宋体" w:hAnsi="宋体" w:cs="宋体"/>
                <w:color w:val="000000" w:themeColor="text1"/>
                <w:kern w:val="0"/>
                <w:sz w:val="24"/>
                <w:szCs w:val="24"/>
              </w:rPr>
            </w:pPr>
            <w:r>
              <w:rPr>
                <w:rFonts w:ascii="宋体" w:eastAsia="宋体" w:hAnsi="宋体" w:cs="宋体" w:hint="eastAsia"/>
                <w:color w:val="000000" w:themeColor="text1"/>
                <w:kern w:val="0"/>
                <w:sz w:val="24"/>
                <w:szCs w:val="24"/>
              </w:rPr>
              <w:t>9.个人和团队（M）</w:t>
            </w:r>
          </w:p>
        </w:tc>
        <w:tc>
          <w:tcPr>
            <w:tcW w:w="443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22DD7B2" w14:textId="77777777" w:rsidR="00D71975" w:rsidRDefault="00D71975" w:rsidP="0078124E">
            <w:pPr>
              <w:adjustRightInd w:val="0"/>
              <w:snapToGrid w:val="0"/>
              <w:spacing w:line="440" w:lineRule="exact"/>
              <w:ind w:firstLineChars="200" w:firstLine="480"/>
              <w:jc w:val="left"/>
              <w:rPr>
                <w:rFonts w:ascii="宋体" w:eastAsia="宋体" w:hAnsi="宋体" w:cs="宋体"/>
                <w:color w:val="000000" w:themeColor="text1"/>
                <w:kern w:val="0"/>
                <w:sz w:val="24"/>
                <w:szCs w:val="24"/>
              </w:rPr>
            </w:pPr>
            <w:r>
              <w:rPr>
                <w:rFonts w:ascii="宋体" w:eastAsia="宋体" w:hAnsi="宋体" w:cs="宋体" w:hint="eastAsia"/>
                <w:color w:val="000000" w:themeColor="text1"/>
                <w:kern w:val="0"/>
                <w:sz w:val="24"/>
                <w:szCs w:val="24"/>
              </w:rPr>
              <w:t>能够在多学科背景下的团队中承担个体、团队成员以及负责人的角色。</w:t>
            </w:r>
          </w:p>
        </w:tc>
      </w:tr>
      <w:tr w:rsidR="00D71975" w14:paraId="653349D5" w14:textId="77777777" w:rsidTr="0078124E">
        <w:trPr>
          <w:trHeight w:val="1328"/>
          <w:jc w:val="center"/>
        </w:trPr>
        <w:tc>
          <w:tcPr>
            <w:tcW w:w="21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FC4C4C2" w14:textId="77777777" w:rsidR="00D71975" w:rsidRDefault="00D71975" w:rsidP="0078124E">
            <w:pPr>
              <w:adjustRightInd w:val="0"/>
              <w:snapToGrid w:val="0"/>
              <w:spacing w:line="440" w:lineRule="exact"/>
              <w:jc w:val="center"/>
              <w:rPr>
                <w:rFonts w:ascii="宋体" w:eastAsia="宋体" w:hAnsi="宋体" w:cs="宋体"/>
                <w:color w:val="000000" w:themeColor="text1"/>
                <w:kern w:val="0"/>
                <w:sz w:val="24"/>
                <w:szCs w:val="24"/>
              </w:rPr>
            </w:pPr>
            <w:r>
              <w:rPr>
                <w:rFonts w:ascii="宋体" w:eastAsia="宋体" w:hAnsi="宋体" w:cs="宋体" w:hint="eastAsia"/>
                <w:color w:val="000000" w:themeColor="text1"/>
                <w:sz w:val="24"/>
                <w:szCs w:val="24"/>
              </w:rPr>
              <w:t>课程目标3</w:t>
            </w:r>
          </w:p>
        </w:tc>
        <w:tc>
          <w:tcPr>
            <w:tcW w:w="163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ABD0A23" w14:textId="77777777" w:rsidR="00D71975" w:rsidRDefault="00D71975" w:rsidP="0078124E">
            <w:pPr>
              <w:adjustRightInd w:val="0"/>
              <w:snapToGrid w:val="0"/>
              <w:spacing w:line="440" w:lineRule="exact"/>
              <w:jc w:val="center"/>
              <w:rPr>
                <w:rFonts w:ascii="宋体" w:eastAsia="宋体" w:hAnsi="宋体" w:cs="宋体"/>
                <w:color w:val="000000" w:themeColor="text1"/>
                <w:kern w:val="0"/>
                <w:sz w:val="24"/>
                <w:szCs w:val="24"/>
              </w:rPr>
            </w:pPr>
            <w:r>
              <w:rPr>
                <w:rFonts w:ascii="宋体" w:eastAsia="宋体" w:hAnsi="宋体" w:cs="宋体" w:hint="eastAsia"/>
                <w:color w:val="000000" w:themeColor="text1"/>
                <w:kern w:val="0"/>
                <w:sz w:val="24"/>
                <w:szCs w:val="24"/>
              </w:rPr>
              <w:t>8.职业规范（H）</w:t>
            </w:r>
          </w:p>
        </w:tc>
        <w:tc>
          <w:tcPr>
            <w:tcW w:w="443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13ABB61" w14:textId="77777777" w:rsidR="00D71975" w:rsidRDefault="00D71975" w:rsidP="0078124E">
            <w:pPr>
              <w:adjustRightInd w:val="0"/>
              <w:snapToGrid w:val="0"/>
              <w:spacing w:line="440" w:lineRule="exact"/>
              <w:ind w:firstLineChars="200" w:firstLine="480"/>
              <w:jc w:val="left"/>
              <w:rPr>
                <w:rFonts w:ascii="宋体" w:eastAsia="宋体" w:hAnsi="宋体" w:cs="宋体"/>
                <w:color w:val="000000" w:themeColor="text1"/>
                <w:kern w:val="0"/>
                <w:sz w:val="24"/>
                <w:szCs w:val="24"/>
              </w:rPr>
            </w:pPr>
            <w:r>
              <w:rPr>
                <w:rFonts w:ascii="宋体" w:eastAsia="宋体" w:hAnsi="宋体" w:cs="宋体" w:hint="eastAsia"/>
                <w:color w:val="000000" w:themeColor="text1"/>
                <w:kern w:val="0"/>
                <w:sz w:val="24"/>
                <w:szCs w:val="24"/>
              </w:rPr>
              <w:t>具有人文社会科学素养、社会责任感，能够在工程实践中理解并遵守工程职业道德和规范，履行责任。</w:t>
            </w:r>
          </w:p>
        </w:tc>
      </w:tr>
    </w:tbl>
    <w:p w14:paraId="7BA46929" w14:textId="77777777" w:rsidR="00D71975" w:rsidRDefault="00D71975" w:rsidP="00D71975">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三、课程学习内容及与课程学习目标的对应关系</w:t>
      </w:r>
    </w:p>
    <w:p w14:paraId="6D63429A" w14:textId="77777777" w:rsidR="00D71975" w:rsidRDefault="00D71975" w:rsidP="00D71975">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（一）课程学习内容</w:t>
      </w:r>
    </w:p>
    <w:p w14:paraId="13FEFFC4" w14:textId="77777777" w:rsidR="00D71975" w:rsidRDefault="00D71975" w:rsidP="00D71975">
      <w:pPr>
        <w:snapToGrid w:val="0"/>
        <w:spacing w:before="187" w:after="187" w:line="440" w:lineRule="exact"/>
        <w:ind w:firstLineChars="200" w:firstLine="560"/>
        <w:jc w:val="center"/>
        <w:rPr>
          <w:rFonts w:ascii="黑体" w:eastAsia="黑体" w:hAnsi="黑体" w:cs="Times New Roman"/>
          <w:sz w:val="28"/>
          <w:szCs w:val="28"/>
        </w:rPr>
      </w:pPr>
      <w:r>
        <w:rPr>
          <w:rFonts w:ascii="黑体" w:eastAsia="黑体" w:hAnsi="黑体" w:cs="Times New Roman"/>
          <w:sz w:val="28"/>
          <w:szCs w:val="28"/>
        </w:rPr>
        <w:t>第一章</w:t>
      </w:r>
      <w:r>
        <w:rPr>
          <w:rFonts w:ascii="黑体" w:eastAsia="黑体" w:hAnsi="黑体" w:cs="Times New Roman" w:hint="eastAsia"/>
          <w:sz w:val="28"/>
          <w:szCs w:val="28"/>
        </w:rPr>
        <w:t xml:space="preserve"> 进入近代后中华民族的磨难和抗争</w:t>
      </w:r>
    </w:p>
    <w:p w14:paraId="38A6B262"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【学习目标】</w:t>
      </w:r>
    </w:p>
    <w:p w14:paraId="6E162B92" w14:textId="77777777" w:rsidR="00D71975" w:rsidRDefault="00D71975" w:rsidP="00D71975">
      <w:pPr>
        <w:spacing w:line="440" w:lineRule="exact"/>
        <w:ind w:firstLineChars="200" w:firstLine="480"/>
        <w:rPr>
          <w:rFonts w:ascii="宋体" w:eastAsia="宋体" w:hAnsi="宋体" w:cs="Times New Roman"/>
          <w:sz w:val="24"/>
          <w:szCs w:val="24"/>
        </w:rPr>
      </w:pPr>
      <w:r>
        <w:rPr>
          <w:rFonts w:ascii="宋体" w:eastAsia="宋体" w:hAnsi="宋体" w:cs="Times New Roman"/>
          <w:kern w:val="0"/>
          <w:sz w:val="24"/>
          <w:szCs w:val="24"/>
        </w:rPr>
        <w:t>1</w:t>
      </w:r>
      <w:r>
        <w:rPr>
          <w:rFonts w:ascii="宋体" w:eastAsia="宋体" w:hAnsi="宋体" w:cs="Times New Roman" w:hint="eastAsia"/>
          <w:sz w:val="24"/>
          <w:szCs w:val="24"/>
        </w:rPr>
        <w:t>.认知类目标：了解鸦片战争前的世界与中国；了解鸦片战争后外国对中国的军事侵略、经济掠夺、政治控制和文化渗透；了解中国人民争取民族独立的斗争；了解近代中国社会的性质以及社会基本矛盾和面临的主要任务。</w:t>
      </w:r>
    </w:p>
    <w:p w14:paraId="6392754D" w14:textId="77777777" w:rsidR="00D71975" w:rsidRDefault="00D71975" w:rsidP="00D71975">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2.过程与方法类目标：在中外近代事件的分析中，学习历史分析和思考认识近代中国早期反侵略斗争失败的原因和启示；懂得发展是硬道理。</w:t>
      </w:r>
    </w:p>
    <w:p w14:paraId="04AAEF28" w14:textId="77777777" w:rsidR="00D71975" w:rsidRDefault="00D71975" w:rsidP="00D71975">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情感、态度、价值观类目标：正确认识近代中国的历史任务，明确实现中华民族伟大复兴的艰巨性和长期性；感悟中华民族为救国救民英勇反抗外敌侵略的斗争精神，认识到当代青年应承担的历史使命和社会责任，坚定为中国特色社会主义事业而</w:t>
      </w:r>
      <w:r>
        <w:rPr>
          <w:rFonts w:ascii="宋体" w:eastAsia="宋体" w:hAnsi="宋体" w:cs="Times New Roman" w:hint="eastAsia"/>
          <w:sz w:val="24"/>
          <w:szCs w:val="24"/>
        </w:rPr>
        <w:lastRenderedPageBreak/>
        <w:t>奋斗的信心和决心。</w:t>
      </w:r>
    </w:p>
    <w:p w14:paraId="2CA57F64" w14:textId="77777777" w:rsidR="00D71975" w:rsidRDefault="00D71975" w:rsidP="00D71975">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【学习内容】</w:t>
      </w:r>
    </w:p>
    <w:p w14:paraId="6414D919"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1.鸦片战争前的世界与中国；</w:t>
      </w:r>
    </w:p>
    <w:p w14:paraId="0ED96FA6"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2.</w:t>
      </w:r>
      <w:r>
        <w:rPr>
          <w:rFonts w:ascii="宋体" w:eastAsia="宋体" w:hAnsi="宋体" w:cs="Times New Roman" w:hint="eastAsia"/>
          <w:kern w:val="0"/>
          <w:sz w:val="24"/>
          <w:szCs w:val="24"/>
        </w:rPr>
        <w:t>西方</w:t>
      </w:r>
      <w:r>
        <w:rPr>
          <w:rFonts w:ascii="宋体" w:eastAsia="宋体" w:hAnsi="宋体" w:cs="Times New Roman"/>
          <w:kern w:val="0"/>
          <w:sz w:val="24"/>
          <w:szCs w:val="24"/>
        </w:rPr>
        <w:t>列强对中国的侵略；</w:t>
      </w:r>
    </w:p>
    <w:p w14:paraId="469CE56F"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hint="eastAsia"/>
          <w:kern w:val="0"/>
          <w:sz w:val="24"/>
          <w:szCs w:val="24"/>
        </w:rPr>
        <w:t>3</w:t>
      </w:r>
      <w:r>
        <w:rPr>
          <w:rFonts w:ascii="宋体" w:eastAsia="宋体" w:hAnsi="宋体" w:cs="Times New Roman"/>
          <w:kern w:val="0"/>
          <w:sz w:val="24"/>
          <w:szCs w:val="24"/>
        </w:rPr>
        <w:t>.反抗外国武装侵略的斗争；</w:t>
      </w:r>
    </w:p>
    <w:p w14:paraId="0C1A9AA9"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hint="eastAsia"/>
          <w:kern w:val="0"/>
          <w:sz w:val="24"/>
          <w:szCs w:val="24"/>
        </w:rPr>
        <w:t>4</w:t>
      </w:r>
      <w:r>
        <w:rPr>
          <w:rFonts w:ascii="宋体" w:eastAsia="宋体" w:hAnsi="宋体" w:cs="Times New Roman"/>
          <w:kern w:val="0"/>
          <w:sz w:val="24"/>
          <w:szCs w:val="24"/>
        </w:rPr>
        <w:t>.反侵略战争的失败与民族意识的觉醒。</w:t>
      </w:r>
    </w:p>
    <w:p w14:paraId="73ABF5DF"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【重点】</w:t>
      </w:r>
    </w:p>
    <w:p w14:paraId="270459DC"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hint="eastAsia"/>
          <w:kern w:val="0"/>
          <w:sz w:val="24"/>
          <w:szCs w:val="24"/>
        </w:rPr>
        <w:t>1.</w:t>
      </w:r>
      <w:r>
        <w:rPr>
          <w:rFonts w:ascii="宋体" w:eastAsia="宋体" w:hAnsi="宋体" w:cs="Times New Roman"/>
          <w:kern w:val="0"/>
          <w:sz w:val="24"/>
          <w:szCs w:val="24"/>
        </w:rPr>
        <w:t>中国社会如何演变为半殖民地半封建社会、近代中国两大历史任务（革命与现代化）之间的关系。</w:t>
      </w:r>
    </w:p>
    <w:p w14:paraId="6CF80B7C"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hint="eastAsia"/>
          <w:kern w:val="0"/>
          <w:sz w:val="24"/>
          <w:szCs w:val="24"/>
        </w:rPr>
        <w:t>2.</w:t>
      </w:r>
      <w:r>
        <w:rPr>
          <w:rFonts w:ascii="宋体" w:eastAsia="宋体" w:hAnsi="宋体" w:cs="Times New Roman"/>
          <w:kern w:val="0"/>
          <w:sz w:val="24"/>
          <w:szCs w:val="24"/>
        </w:rPr>
        <w:t>了解从鸦片战争到《辛丑条约》签订的基本历史过程，认识清朝廷的丧权辱国，使中国的领土与主权不断受到破坏和丧失；了解中国人民的反抗与斗争精神及其失败的原因。</w:t>
      </w:r>
    </w:p>
    <w:p w14:paraId="02DD8797"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【难点】</w:t>
      </w:r>
    </w:p>
    <w:p w14:paraId="07A762EE"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hint="eastAsia"/>
          <w:kern w:val="0"/>
          <w:sz w:val="24"/>
          <w:szCs w:val="24"/>
        </w:rPr>
        <w:t>1.</w:t>
      </w:r>
      <w:r>
        <w:rPr>
          <w:rFonts w:ascii="宋体" w:eastAsia="宋体" w:hAnsi="宋体" w:cs="Times New Roman"/>
          <w:kern w:val="0"/>
          <w:sz w:val="24"/>
          <w:szCs w:val="24"/>
        </w:rPr>
        <w:t>如何认识近代中国社会阶级关系（工人阶级和资产阶级的形成）的变动。</w:t>
      </w:r>
    </w:p>
    <w:p w14:paraId="3B8B0B59"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hint="eastAsia"/>
          <w:kern w:val="0"/>
          <w:sz w:val="24"/>
          <w:szCs w:val="24"/>
        </w:rPr>
        <w:t>2.</w:t>
      </w:r>
      <w:r>
        <w:rPr>
          <w:rFonts w:ascii="宋体" w:eastAsia="宋体" w:hAnsi="宋体" w:cs="Times New Roman"/>
          <w:kern w:val="0"/>
          <w:sz w:val="24"/>
          <w:szCs w:val="24"/>
        </w:rPr>
        <w:t>中国人民反侵略斗争失败的原因。</w:t>
      </w:r>
    </w:p>
    <w:p w14:paraId="603F195B"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6FBCA647"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1.通过教师系统讲授和学生自主探究相结合，扩展学生知识视野，深化内容理解；</w:t>
      </w:r>
    </w:p>
    <w:p w14:paraId="3343D30D"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2.采用古今中外事例对比分析，在国际大视野中分析中国近代的衰落及革命任务，提升学生历史分析能力和素养；</w:t>
      </w:r>
    </w:p>
    <w:p w14:paraId="4C046ADF"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3.采用图片和视频呈现的方式，形象地展示帝国主义侵略带给中国人民的伤害和灾难，了解中国人民进行的反侵略斗争；</w:t>
      </w:r>
    </w:p>
    <w:p w14:paraId="6084BBFC"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w:t>
      </w:r>
      <w:r>
        <w:rPr>
          <w:rFonts w:ascii="宋体" w:eastAsia="宋体" w:hAnsi="宋体" w:cs="Times New Roman"/>
          <w:sz w:val="24"/>
          <w:szCs w:val="24"/>
        </w:rPr>
        <w:t>通过小组合作探讨和课堂研讨，引导深化认识，理解“落后就要挨打”的道理，感受中华民族不屈的救国斗志和伟大民族精神，明确认识到自身的当代责任和使命。</w:t>
      </w:r>
    </w:p>
    <w:p w14:paraId="5F2C9D9E"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【复习思考】</w:t>
      </w:r>
    </w:p>
    <w:p w14:paraId="4DA7A5E4"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1.为什么说鸦片战争是中国近代史的起点？</w:t>
      </w:r>
    </w:p>
    <w:p w14:paraId="33940075"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2.怎样认识近代中国的主要矛盾、社会性质和基本特征？</w:t>
      </w:r>
    </w:p>
    <w:p w14:paraId="4FE2602B"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3.如何理解近代中国的两大历史任务</w:t>
      </w:r>
      <w:proofErr w:type="gramStart"/>
      <w:r>
        <w:rPr>
          <w:rFonts w:ascii="宋体" w:eastAsia="宋体" w:hAnsi="宋体" w:cs="Times New Roman"/>
          <w:sz w:val="24"/>
          <w:szCs w:val="24"/>
        </w:rPr>
        <w:t>极其</w:t>
      </w:r>
      <w:proofErr w:type="gramEnd"/>
      <w:r>
        <w:rPr>
          <w:rFonts w:ascii="宋体" w:eastAsia="宋体" w:hAnsi="宋体" w:cs="Times New Roman"/>
          <w:sz w:val="24"/>
          <w:szCs w:val="24"/>
        </w:rPr>
        <w:t>相互关系？</w:t>
      </w:r>
    </w:p>
    <w:p w14:paraId="3A903F64"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w:t>
      </w:r>
      <w:r>
        <w:rPr>
          <w:rFonts w:ascii="宋体" w:eastAsia="宋体" w:hAnsi="宋体" w:cs="Times New Roman"/>
          <w:sz w:val="24"/>
          <w:szCs w:val="24"/>
        </w:rPr>
        <w:t>.资本—帝国主义的入侵给中国带来了什么？</w:t>
      </w:r>
    </w:p>
    <w:p w14:paraId="4ADCBD23"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5</w:t>
      </w:r>
      <w:r>
        <w:rPr>
          <w:rFonts w:ascii="宋体" w:eastAsia="宋体" w:hAnsi="宋体" w:cs="Times New Roman"/>
          <w:sz w:val="24"/>
          <w:szCs w:val="24"/>
        </w:rPr>
        <w:t>.反对外国侵略的斗争具有什么意义？</w:t>
      </w:r>
    </w:p>
    <w:p w14:paraId="1150D171"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6</w:t>
      </w:r>
      <w:r>
        <w:rPr>
          <w:rFonts w:ascii="宋体" w:eastAsia="宋体" w:hAnsi="宋体" w:cs="Times New Roman"/>
          <w:sz w:val="24"/>
          <w:szCs w:val="24"/>
        </w:rPr>
        <w:t>.反侵略战争失败的根本原因和教训是什么？</w:t>
      </w:r>
    </w:p>
    <w:p w14:paraId="647F9AD7" w14:textId="77777777" w:rsidR="00D71975" w:rsidRDefault="00D71975" w:rsidP="00D71975">
      <w:pPr>
        <w:snapToGrid w:val="0"/>
        <w:spacing w:before="187" w:after="187" w:line="440" w:lineRule="exact"/>
        <w:ind w:firstLineChars="200" w:firstLine="560"/>
        <w:jc w:val="center"/>
        <w:rPr>
          <w:rFonts w:ascii="黑体" w:eastAsia="黑体" w:hAnsi="黑体" w:cs="Times New Roman"/>
          <w:sz w:val="28"/>
          <w:szCs w:val="28"/>
        </w:rPr>
      </w:pPr>
      <w:r>
        <w:rPr>
          <w:rFonts w:ascii="黑体" w:eastAsia="黑体" w:hAnsi="黑体" w:cs="Times New Roman"/>
          <w:sz w:val="28"/>
          <w:szCs w:val="28"/>
        </w:rPr>
        <w:lastRenderedPageBreak/>
        <w:t xml:space="preserve">第二章　</w:t>
      </w:r>
      <w:r>
        <w:rPr>
          <w:rFonts w:ascii="黑体" w:eastAsia="黑体" w:hAnsi="黑体" w:cs="Times New Roman" w:hint="eastAsia"/>
          <w:sz w:val="28"/>
          <w:szCs w:val="28"/>
        </w:rPr>
        <w:t>不同</w:t>
      </w:r>
      <w:r>
        <w:rPr>
          <w:rFonts w:ascii="黑体" w:eastAsia="黑体" w:hAnsi="黑体" w:cs="Times New Roman"/>
          <w:sz w:val="28"/>
          <w:szCs w:val="28"/>
        </w:rPr>
        <w:t>社会力量对国家出路的早期探索</w:t>
      </w:r>
    </w:p>
    <w:p w14:paraId="0E640C31"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【学习目标】</w:t>
      </w:r>
    </w:p>
    <w:p w14:paraId="2F345E5D"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hint="eastAsia"/>
          <w:kern w:val="0"/>
          <w:sz w:val="24"/>
          <w:szCs w:val="24"/>
        </w:rPr>
        <w:t>1</w:t>
      </w:r>
      <w:r>
        <w:rPr>
          <w:rFonts w:ascii="宋体" w:eastAsia="宋体" w:hAnsi="宋体" w:cs="Times New Roman"/>
          <w:kern w:val="0"/>
          <w:sz w:val="24"/>
          <w:szCs w:val="24"/>
        </w:rPr>
        <w:t>.认知类目标：了解太平天国农民起义、洋务运动和维新运动的过程和基本史实，认识近代中国不同阶级对国家前途的探索。</w:t>
      </w:r>
    </w:p>
    <w:p w14:paraId="0714CFDC"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hint="eastAsia"/>
          <w:kern w:val="0"/>
          <w:sz w:val="24"/>
          <w:szCs w:val="24"/>
        </w:rPr>
        <w:t>2</w:t>
      </w:r>
      <w:r>
        <w:rPr>
          <w:rFonts w:ascii="宋体" w:eastAsia="宋体" w:hAnsi="宋体" w:cs="Times New Roman"/>
          <w:kern w:val="0"/>
          <w:sz w:val="24"/>
          <w:szCs w:val="24"/>
        </w:rPr>
        <w:t>.过程与方法类目标：培养学生评价重大历史事件的能力，认识洋务运动不能为中国找寻出路的深层原因，认识农民阶级以及资产阶级的阶级局限性。</w:t>
      </w:r>
    </w:p>
    <w:p w14:paraId="4476D5A2"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3.情感、态度、价值观类目标：在学习中感悟近代以来中国的仁人志士怀着强烈的危机感和民族意识，历尽千辛万苦，不懈探索挽救中华危亡的努力和斗争，感受近代中国社会的艰难转变与发展，进一步传承民族精神，坚定革命理想和信念。</w:t>
      </w:r>
    </w:p>
    <w:p w14:paraId="1DEE6FDC"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5F4613C0"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1.</w:t>
      </w:r>
      <w:r>
        <w:rPr>
          <w:rFonts w:ascii="宋体" w:eastAsia="宋体" w:hAnsi="宋体" w:cs="Times New Roman" w:hint="eastAsia"/>
          <w:kern w:val="0"/>
          <w:sz w:val="24"/>
          <w:szCs w:val="24"/>
        </w:rPr>
        <w:t>太平</w:t>
      </w:r>
      <w:r>
        <w:rPr>
          <w:rFonts w:ascii="宋体" w:eastAsia="宋体" w:hAnsi="宋体" w:cs="Times New Roman"/>
          <w:kern w:val="0"/>
          <w:sz w:val="24"/>
          <w:szCs w:val="24"/>
        </w:rPr>
        <w:t>天国运动的起落；</w:t>
      </w:r>
    </w:p>
    <w:p w14:paraId="1E709BDF"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2.洋务运动的兴衰；</w:t>
      </w:r>
    </w:p>
    <w:p w14:paraId="61187BCC"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3.维新运动的兴起和夭折。</w:t>
      </w:r>
    </w:p>
    <w:p w14:paraId="03522D63"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【重点】</w:t>
      </w:r>
    </w:p>
    <w:p w14:paraId="02A3CE24"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分析总结太平天国农民战争失败原因和经验教训；了解洋务运动的起因、洋务派的思想、洋务运动的影响；了解维新变法的主张及其失败原因、经验教训。</w:t>
      </w:r>
    </w:p>
    <w:p w14:paraId="6127DDC5" w14:textId="77777777" w:rsidR="00D71975" w:rsidRDefault="00D71975" w:rsidP="00D71975">
      <w:pPr>
        <w:snapToGrid w:val="0"/>
        <w:spacing w:line="440" w:lineRule="exact"/>
        <w:ind w:firstLineChars="200" w:firstLine="482"/>
        <w:rPr>
          <w:rFonts w:ascii="宋体" w:eastAsia="宋体" w:hAnsi="宋体" w:cs="Times New Roman"/>
          <w:b/>
          <w:bCs/>
          <w:kern w:val="0"/>
          <w:sz w:val="24"/>
          <w:szCs w:val="24"/>
        </w:rPr>
      </w:pPr>
      <w:r>
        <w:rPr>
          <w:rFonts w:ascii="宋体" w:eastAsia="宋体" w:hAnsi="宋体" w:cs="Times New Roman"/>
          <w:b/>
          <w:bCs/>
          <w:kern w:val="0"/>
          <w:sz w:val="24"/>
          <w:szCs w:val="24"/>
        </w:rPr>
        <w:t>【难点】</w:t>
      </w:r>
    </w:p>
    <w:p w14:paraId="5173C339"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理解中国社会各派势力对于改变中国命运的认识与行动，认识洋务派、维新派、顽固派和革命派的思想主张与政治行动的意义，了解中国社会是如何艰难地转变与进步的。</w:t>
      </w:r>
    </w:p>
    <w:p w14:paraId="61155326"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0A23B2CC"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1.通过教师系统讲授和学生自主探究相结合，讲授教学内容的同时，扩展学生知识视野，深化内容理解；</w:t>
      </w:r>
    </w:p>
    <w:p w14:paraId="168EF55C"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2.采用微视频和历史图片结合方式，呈现早期各阶级救亡图存的历史面貌；</w:t>
      </w:r>
    </w:p>
    <w:p w14:paraId="05677536"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3.通过课堂研讨，引导深化理解</w:t>
      </w:r>
      <w:r>
        <w:rPr>
          <w:rFonts w:ascii="宋体" w:eastAsia="宋体" w:hAnsi="宋体" w:cs="Times New Roman"/>
          <w:kern w:val="0"/>
          <w:sz w:val="24"/>
          <w:szCs w:val="24"/>
        </w:rPr>
        <w:t>中国社会各派势力对于改变中国命运的认识与行动</w:t>
      </w:r>
      <w:r>
        <w:rPr>
          <w:rFonts w:ascii="宋体" w:eastAsia="宋体" w:hAnsi="宋体" w:cs="Times New Roman"/>
          <w:sz w:val="24"/>
          <w:szCs w:val="24"/>
        </w:rPr>
        <w:t>。</w:t>
      </w:r>
    </w:p>
    <w:p w14:paraId="6D08413A"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【复习思考】</w:t>
      </w:r>
    </w:p>
    <w:p w14:paraId="70BB3924"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1.如何认识太平天国农民战争的意义和失败的原因、教训？</w:t>
      </w:r>
    </w:p>
    <w:p w14:paraId="598C09A5"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2.如何认识洋务运动的性质和失败的原因、教训？</w:t>
      </w:r>
    </w:p>
    <w:p w14:paraId="6C5AEA9C" w14:textId="77777777" w:rsidR="00D71975" w:rsidRDefault="00D71975" w:rsidP="00D71975">
      <w:pPr>
        <w:snapToGrid w:val="0"/>
        <w:spacing w:line="440" w:lineRule="exact"/>
        <w:ind w:firstLineChars="200" w:firstLine="480"/>
        <w:rPr>
          <w:rFonts w:ascii="黑体" w:eastAsia="黑体" w:hAnsi="黑体" w:cs="Times New Roman"/>
          <w:sz w:val="28"/>
          <w:szCs w:val="28"/>
        </w:rPr>
      </w:pPr>
      <w:r>
        <w:rPr>
          <w:rFonts w:ascii="宋体" w:eastAsia="宋体" w:hAnsi="宋体" w:cs="Times New Roman"/>
          <w:sz w:val="24"/>
          <w:szCs w:val="24"/>
        </w:rPr>
        <w:t>3.思考明治维新和戊戌变法的成败，对中国近代有什么启示？</w:t>
      </w:r>
    </w:p>
    <w:p w14:paraId="76E7638C" w14:textId="77777777" w:rsidR="00D71975" w:rsidRDefault="00D71975" w:rsidP="00D71975">
      <w:pPr>
        <w:snapToGrid w:val="0"/>
        <w:spacing w:before="187" w:after="187" w:line="440" w:lineRule="exact"/>
        <w:ind w:firstLineChars="200" w:firstLine="560"/>
        <w:jc w:val="center"/>
        <w:rPr>
          <w:rFonts w:ascii="黑体" w:eastAsia="黑体" w:hAnsi="黑体" w:cs="Times New Roman"/>
          <w:sz w:val="28"/>
          <w:szCs w:val="28"/>
        </w:rPr>
      </w:pPr>
      <w:r>
        <w:rPr>
          <w:rFonts w:ascii="黑体" w:eastAsia="黑体" w:hAnsi="黑体" w:cs="Times New Roman"/>
          <w:sz w:val="28"/>
          <w:szCs w:val="28"/>
        </w:rPr>
        <w:lastRenderedPageBreak/>
        <w:t>第三章</w:t>
      </w:r>
      <w:bookmarkStart w:id="4" w:name="_Hlk50139963"/>
      <w:r>
        <w:rPr>
          <w:rFonts w:ascii="黑体" w:eastAsia="黑体" w:hAnsi="黑体" w:cs="Times New Roman"/>
          <w:sz w:val="28"/>
          <w:szCs w:val="28"/>
        </w:rPr>
        <w:t xml:space="preserve">　</w:t>
      </w:r>
      <w:bookmarkEnd w:id="4"/>
      <w:r>
        <w:rPr>
          <w:rFonts w:ascii="黑体" w:eastAsia="黑体" w:hAnsi="黑体" w:cs="Times New Roman"/>
          <w:sz w:val="28"/>
          <w:szCs w:val="28"/>
        </w:rPr>
        <w:t>辛亥革命与君主专制制度的终结</w:t>
      </w:r>
    </w:p>
    <w:p w14:paraId="25E2DBE3"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【学习目标】</w:t>
      </w:r>
    </w:p>
    <w:p w14:paraId="0B1A47D8"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kern w:val="0"/>
          <w:sz w:val="24"/>
          <w:szCs w:val="24"/>
        </w:rPr>
        <w:t>1.认知类目标：了解辛亥革命爆发的历史条件和辛亥革命兴起、发展的过程。掌握辛亥革命失败</w:t>
      </w:r>
      <w:r>
        <w:rPr>
          <w:rFonts w:ascii="宋体" w:eastAsia="宋体" w:hAnsi="宋体" w:cs="Times New Roman"/>
          <w:sz w:val="24"/>
          <w:szCs w:val="24"/>
        </w:rPr>
        <w:t>的原因及启示。</w:t>
      </w:r>
    </w:p>
    <w:p w14:paraId="0A42DBAD"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sz w:val="24"/>
          <w:szCs w:val="24"/>
        </w:rPr>
        <w:t>2.</w:t>
      </w:r>
      <w:r>
        <w:rPr>
          <w:rFonts w:ascii="宋体" w:eastAsia="宋体" w:hAnsi="宋体" w:cs="Times New Roman"/>
          <w:kern w:val="0"/>
          <w:sz w:val="24"/>
          <w:szCs w:val="24"/>
        </w:rPr>
        <w:t>过程与方法类目标：在历史分析和个人思考中，认识中国资产阶级不能领导中国人民完成反帝反封建任务的深层原因。</w:t>
      </w:r>
    </w:p>
    <w:p w14:paraId="41F223C9"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3.情感、态度、价值观类目标：在历史学习中，深刻认识资本主义道路在中国行不通的道理，深刻懂得中国选择马克思主义、选择中国共产党、选择社会主义道路的历史必然性，从而坚定中国特色社会主义理想信念。</w:t>
      </w:r>
    </w:p>
    <w:p w14:paraId="0153A8BF"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017D48E2"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1.举起近代民族民主革命的旗帜；</w:t>
      </w:r>
    </w:p>
    <w:p w14:paraId="3E61C0FF"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2.辛亥革命与</w:t>
      </w:r>
      <w:r>
        <w:rPr>
          <w:rFonts w:ascii="宋体" w:eastAsia="宋体" w:hAnsi="宋体" w:cs="Times New Roman" w:hint="eastAsia"/>
          <w:kern w:val="0"/>
          <w:sz w:val="24"/>
          <w:szCs w:val="24"/>
        </w:rPr>
        <w:t>中华</w:t>
      </w:r>
      <w:r>
        <w:rPr>
          <w:rFonts w:ascii="宋体" w:eastAsia="宋体" w:hAnsi="宋体" w:cs="Times New Roman"/>
          <w:kern w:val="0"/>
          <w:sz w:val="24"/>
          <w:szCs w:val="24"/>
        </w:rPr>
        <w:t>民国</w:t>
      </w:r>
      <w:r>
        <w:rPr>
          <w:rFonts w:ascii="宋体" w:eastAsia="宋体" w:hAnsi="宋体" w:cs="Times New Roman" w:hint="eastAsia"/>
          <w:kern w:val="0"/>
          <w:sz w:val="24"/>
          <w:szCs w:val="24"/>
        </w:rPr>
        <w:t>的建立</w:t>
      </w:r>
      <w:r>
        <w:rPr>
          <w:rFonts w:ascii="宋体" w:eastAsia="宋体" w:hAnsi="宋体" w:cs="Times New Roman"/>
          <w:kern w:val="0"/>
          <w:sz w:val="24"/>
          <w:szCs w:val="24"/>
        </w:rPr>
        <w:t>；</w:t>
      </w:r>
    </w:p>
    <w:p w14:paraId="4735D322"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3.</w:t>
      </w:r>
      <w:r>
        <w:rPr>
          <w:rFonts w:ascii="宋体" w:eastAsia="宋体" w:hAnsi="宋体" w:cs="Times New Roman" w:hint="eastAsia"/>
          <w:kern w:val="0"/>
          <w:sz w:val="24"/>
          <w:szCs w:val="24"/>
        </w:rPr>
        <w:t>北洋</w:t>
      </w:r>
      <w:r>
        <w:rPr>
          <w:rFonts w:ascii="宋体" w:eastAsia="宋体" w:hAnsi="宋体" w:cs="Times New Roman"/>
          <w:kern w:val="0"/>
          <w:sz w:val="24"/>
          <w:szCs w:val="24"/>
        </w:rPr>
        <w:t>军阀统治与旧民主主义革命的失败。</w:t>
      </w:r>
    </w:p>
    <w:p w14:paraId="76F19E6F"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【重点】</w:t>
      </w:r>
    </w:p>
    <w:p w14:paraId="2E57F56C"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辛亥革命的意义与失败原因；袁世凯及北洋军阀专制统治的反动统治。</w:t>
      </w:r>
    </w:p>
    <w:p w14:paraId="7F6EF5B0" w14:textId="77777777" w:rsidR="00D71975" w:rsidRDefault="00D71975" w:rsidP="00D71975">
      <w:pPr>
        <w:snapToGrid w:val="0"/>
        <w:spacing w:line="440" w:lineRule="exact"/>
        <w:ind w:firstLineChars="200" w:firstLine="482"/>
        <w:rPr>
          <w:rFonts w:ascii="宋体" w:eastAsia="宋体" w:hAnsi="宋体" w:cs="Times New Roman"/>
          <w:b/>
          <w:bCs/>
          <w:kern w:val="0"/>
          <w:sz w:val="24"/>
          <w:szCs w:val="24"/>
        </w:rPr>
      </w:pPr>
      <w:r>
        <w:rPr>
          <w:rFonts w:ascii="宋体" w:eastAsia="宋体" w:hAnsi="宋体" w:cs="Times New Roman"/>
          <w:b/>
          <w:bCs/>
          <w:kern w:val="0"/>
          <w:sz w:val="24"/>
          <w:szCs w:val="24"/>
        </w:rPr>
        <w:t>【难点】</w:t>
      </w:r>
    </w:p>
    <w:p w14:paraId="5ED46FC0"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对辛亥革命的评价；民主共和制</w:t>
      </w:r>
      <w:proofErr w:type="gramStart"/>
      <w:r>
        <w:rPr>
          <w:rFonts w:ascii="宋体" w:eastAsia="宋体" w:hAnsi="宋体" w:cs="Times New Roman"/>
          <w:kern w:val="0"/>
          <w:sz w:val="24"/>
          <w:szCs w:val="24"/>
        </w:rPr>
        <w:t>度难以</w:t>
      </w:r>
      <w:proofErr w:type="gramEnd"/>
      <w:r>
        <w:rPr>
          <w:rFonts w:ascii="宋体" w:eastAsia="宋体" w:hAnsi="宋体" w:cs="Times New Roman"/>
          <w:kern w:val="0"/>
          <w:sz w:val="24"/>
          <w:szCs w:val="24"/>
        </w:rPr>
        <w:t>落籍的原因。</w:t>
      </w:r>
    </w:p>
    <w:p w14:paraId="16CFFAAF"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43D0CE8F"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1.通过教师系统讲授和学生自主探究相结合，讲授教学内容，深化辛亥革命历史影响的内容理解；</w:t>
      </w:r>
    </w:p>
    <w:p w14:paraId="3C912CA0"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2.采用视频和历史图片结合方式，呈现辛亥革命的历史进程；</w:t>
      </w:r>
    </w:p>
    <w:p w14:paraId="2869C673"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3.通过课堂小组研讨，引导深化理解</w:t>
      </w:r>
      <w:r>
        <w:rPr>
          <w:rFonts w:ascii="宋体" w:eastAsia="宋体" w:hAnsi="宋体" w:cs="Times New Roman"/>
          <w:kern w:val="0"/>
          <w:sz w:val="24"/>
          <w:szCs w:val="24"/>
        </w:rPr>
        <w:t>资本主义道路在中国行不通的深层次原因</w:t>
      </w:r>
      <w:r>
        <w:rPr>
          <w:rFonts w:ascii="宋体" w:eastAsia="宋体" w:hAnsi="宋体" w:cs="Times New Roman"/>
          <w:sz w:val="24"/>
          <w:szCs w:val="24"/>
        </w:rPr>
        <w:t>。</w:t>
      </w:r>
    </w:p>
    <w:p w14:paraId="7CEEF8D3"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【复习思考】</w:t>
      </w:r>
    </w:p>
    <w:p w14:paraId="76CCA8B1"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1.革命派在与改良派论战中是如何论述革命的必要性、正义性、进步性的?</w:t>
      </w:r>
    </w:p>
    <w:p w14:paraId="247079D3"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2.为什么说孙中山领导的辛亥革命引起了近代中国的历史性巨大变化？</w:t>
      </w:r>
    </w:p>
    <w:p w14:paraId="09FE604F"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3.辛亥革命为什么会失败?它的失败说明了什么?</w:t>
      </w:r>
    </w:p>
    <w:p w14:paraId="7EC16334" w14:textId="77777777" w:rsidR="00D71975" w:rsidRDefault="00D71975" w:rsidP="00D71975">
      <w:pPr>
        <w:snapToGrid w:val="0"/>
        <w:spacing w:before="187" w:after="187" w:line="440" w:lineRule="exact"/>
        <w:ind w:firstLineChars="200" w:firstLine="560"/>
        <w:jc w:val="center"/>
        <w:rPr>
          <w:rFonts w:ascii="黑体" w:eastAsia="黑体" w:hAnsi="黑体" w:cs="Times New Roman"/>
          <w:sz w:val="28"/>
          <w:szCs w:val="28"/>
        </w:rPr>
      </w:pPr>
      <w:r>
        <w:rPr>
          <w:rFonts w:ascii="黑体" w:eastAsia="黑体" w:hAnsi="黑体" w:cs="Times New Roman"/>
          <w:sz w:val="28"/>
          <w:szCs w:val="28"/>
        </w:rPr>
        <w:t xml:space="preserve">第四章　</w:t>
      </w:r>
      <w:r>
        <w:rPr>
          <w:rFonts w:ascii="黑体" w:eastAsia="黑体" w:hAnsi="黑体" w:cs="Times New Roman" w:hint="eastAsia"/>
          <w:sz w:val="28"/>
          <w:szCs w:val="28"/>
        </w:rPr>
        <w:t>中国</w:t>
      </w:r>
      <w:r>
        <w:rPr>
          <w:rFonts w:ascii="黑体" w:eastAsia="黑体" w:hAnsi="黑体" w:cs="Times New Roman"/>
          <w:sz w:val="28"/>
          <w:szCs w:val="28"/>
        </w:rPr>
        <w:t>共产党的成立和中国革命新局面</w:t>
      </w:r>
    </w:p>
    <w:p w14:paraId="5C07BE0C"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【学习目标】</w:t>
      </w:r>
    </w:p>
    <w:p w14:paraId="3012AB73"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1.认知类目标：了解新文化运动和五四运动、中国共产党成立以及第一次国共合</w:t>
      </w:r>
      <w:r>
        <w:rPr>
          <w:rFonts w:ascii="宋体" w:eastAsia="宋体" w:hAnsi="宋体" w:cs="Times New Roman"/>
          <w:kern w:val="0"/>
          <w:sz w:val="24"/>
          <w:szCs w:val="24"/>
        </w:rPr>
        <w:lastRenderedPageBreak/>
        <w:t>作的基本史实，认识五四运动在中国近代史上的历史作用与意义，认识五四运动与中国共产党及中国革命运动的深刻关系。</w:t>
      </w:r>
    </w:p>
    <w:p w14:paraId="5748337E"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2.过程与方法类目标：研讨分析中，认识中国共产党成立的历史必然性及其重要意义，理解第一次国共合作的历史经验和失误教训。</w:t>
      </w:r>
    </w:p>
    <w:p w14:paraId="07EC4504"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3.情感、态度、价值观类目标：引导学生深刻懂得中国人民选择马克思主义和中国共产党是历史的必然，从而坚定马克思主义的理想信念，忠诚拥护共产党的领导，进一步坚定四个自信，勇于承担新时代青年的责任和使命。</w:t>
      </w:r>
    </w:p>
    <w:p w14:paraId="0E204E92"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0872FFA6"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1.新文化运动和五四运动；</w:t>
      </w:r>
    </w:p>
    <w:p w14:paraId="3EC63728"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2.马克思主义</w:t>
      </w:r>
      <w:r>
        <w:rPr>
          <w:rFonts w:ascii="宋体" w:eastAsia="宋体" w:hAnsi="宋体" w:cs="Times New Roman" w:hint="eastAsia"/>
          <w:kern w:val="0"/>
          <w:sz w:val="24"/>
          <w:szCs w:val="24"/>
        </w:rPr>
        <w:t>广泛</w:t>
      </w:r>
      <w:r>
        <w:rPr>
          <w:rFonts w:ascii="宋体" w:eastAsia="宋体" w:hAnsi="宋体" w:cs="Times New Roman"/>
          <w:kern w:val="0"/>
          <w:sz w:val="24"/>
          <w:szCs w:val="24"/>
        </w:rPr>
        <w:t>传播与中国共产党诞生；</w:t>
      </w:r>
    </w:p>
    <w:p w14:paraId="553EC7AE"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3.中国革命的新局面。</w:t>
      </w:r>
    </w:p>
    <w:p w14:paraId="647F495B"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【重点】</w:t>
      </w:r>
    </w:p>
    <w:p w14:paraId="022E1E86"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五四运动的历史意义与五四运动时期的各种社会思潮与三次思想论争，马克思主义传播对中国革命的影响；中国共产党成立的历史必然性及其重要意义；第一次国共合作与国民革命的兴起及其失败的原因。</w:t>
      </w:r>
    </w:p>
    <w:p w14:paraId="3E55B4D3" w14:textId="77777777" w:rsidR="00D71975" w:rsidRDefault="00D71975" w:rsidP="00D71975">
      <w:pPr>
        <w:snapToGrid w:val="0"/>
        <w:spacing w:line="440" w:lineRule="exact"/>
        <w:ind w:firstLineChars="200" w:firstLine="482"/>
        <w:rPr>
          <w:rFonts w:ascii="宋体" w:eastAsia="宋体" w:hAnsi="宋体" w:cs="Times New Roman"/>
          <w:b/>
          <w:bCs/>
          <w:kern w:val="0"/>
          <w:sz w:val="24"/>
          <w:szCs w:val="24"/>
        </w:rPr>
      </w:pPr>
      <w:r>
        <w:rPr>
          <w:rFonts w:ascii="宋体" w:eastAsia="宋体" w:hAnsi="宋体" w:cs="Times New Roman"/>
          <w:b/>
          <w:bCs/>
          <w:kern w:val="0"/>
          <w:sz w:val="24"/>
          <w:szCs w:val="24"/>
        </w:rPr>
        <w:t>【难点】</w:t>
      </w:r>
    </w:p>
    <w:p w14:paraId="7906DAB1"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五四运动的必然性及其在中国近代史上的历史作用与意义；认识五四运动与中国共产党及中国革命运动的深刻关系。</w:t>
      </w:r>
    </w:p>
    <w:p w14:paraId="1700B98E"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11DB3CCD"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1.通过教师系统讲授和学生自主探究相结合，讲授教学内容，深化对五四运动历史影响、人民选择马克思主义、成立中国共产党的内容理解；</w:t>
      </w:r>
    </w:p>
    <w:p w14:paraId="22B85180"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2.采用视频和历史图片结合方式，呈现历史选择中国共产党的过程；</w:t>
      </w:r>
    </w:p>
    <w:p w14:paraId="141B6ADA"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3.通过课堂小组研讨，引导深化理解</w:t>
      </w:r>
      <w:r>
        <w:rPr>
          <w:rFonts w:ascii="宋体" w:eastAsia="宋体" w:hAnsi="宋体" w:cs="Times New Roman"/>
          <w:kern w:val="0"/>
          <w:sz w:val="24"/>
          <w:szCs w:val="24"/>
        </w:rPr>
        <w:t>中国共产党成立与中国革命焕然一新的历史必然性</w:t>
      </w:r>
      <w:r>
        <w:rPr>
          <w:rFonts w:ascii="宋体" w:eastAsia="宋体" w:hAnsi="宋体" w:cs="Times New Roman"/>
          <w:sz w:val="24"/>
          <w:szCs w:val="24"/>
        </w:rPr>
        <w:t>。</w:t>
      </w:r>
    </w:p>
    <w:p w14:paraId="7ADEEE61"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【复习思考】</w:t>
      </w:r>
    </w:p>
    <w:p w14:paraId="556C007D"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1.中国的先进分子为什么和怎样选择了马克思主义？</w:t>
      </w:r>
    </w:p>
    <w:p w14:paraId="2B5BA1FD"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Times New Roman" w:hint="eastAsia"/>
          <w:sz w:val="24"/>
          <w:szCs w:val="24"/>
        </w:rPr>
        <w:t>.</w:t>
      </w:r>
      <w:r>
        <w:rPr>
          <w:rFonts w:ascii="宋体" w:eastAsia="宋体" w:hAnsi="宋体" w:cs="Times New Roman"/>
          <w:sz w:val="24"/>
          <w:szCs w:val="24"/>
        </w:rPr>
        <w:t>为什么说中国共产党的成立是“开天辟地的大事变”？</w:t>
      </w:r>
    </w:p>
    <w:p w14:paraId="756233EF"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hint="eastAsia"/>
          <w:sz w:val="24"/>
          <w:szCs w:val="24"/>
        </w:rPr>
        <w:t>什么是中国共产党人的初心使命？为什么必须“不忘初心、牢记使命”？</w:t>
      </w:r>
    </w:p>
    <w:p w14:paraId="536F4D89"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w:t>
      </w:r>
      <w:r>
        <w:rPr>
          <w:rFonts w:ascii="宋体" w:eastAsia="宋体" w:hAnsi="宋体" w:cs="Times New Roman"/>
          <w:sz w:val="24"/>
          <w:szCs w:val="24"/>
        </w:rPr>
        <w:t>中国共产党成立后，中国革命出现了哪些新面貌？</w:t>
      </w:r>
    </w:p>
    <w:p w14:paraId="6FFE6865" w14:textId="77777777" w:rsidR="00D71975" w:rsidRDefault="00D71975" w:rsidP="00D71975">
      <w:pPr>
        <w:snapToGrid w:val="0"/>
        <w:spacing w:before="187" w:after="187" w:line="440" w:lineRule="exact"/>
        <w:ind w:firstLineChars="200" w:firstLine="560"/>
        <w:jc w:val="center"/>
        <w:rPr>
          <w:rFonts w:ascii="黑体" w:eastAsia="黑体" w:hAnsi="黑体" w:cs="Times New Roman"/>
          <w:sz w:val="28"/>
          <w:szCs w:val="28"/>
        </w:rPr>
      </w:pPr>
      <w:r>
        <w:rPr>
          <w:rFonts w:ascii="黑体" w:eastAsia="黑体" w:hAnsi="黑体" w:cs="Times New Roman"/>
          <w:sz w:val="28"/>
          <w:szCs w:val="28"/>
        </w:rPr>
        <w:t>第五章　中国革命的新道路</w:t>
      </w:r>
    </w:p>
    <w:p w14:paraId="0DF7CC8D"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lastRenderedPageBreak/>
        <w:t>【学习目标】</w:t>
      </w:r>
    </w:p>
    <w:p w14:paraId="766EF963"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1.认知类目标：了解中国共产党对中国革命新道路的探索历程，认识中国革命的长期性、曲折性和不平衡性，认识遵义会议和红军长征在中国革命中的地位和作用。</w:t>
      </w:r>
    </w:p>
    <w:p w14:paraId="1A6245B3"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2.过程与方法类目标：在正反分析中，了解这一时期错误路线给中国革命造成的严重危害，懂得中国革命新道路的开辟是以毛泽东为代表的中国共产党人坚持把马克思列宁主义理论同中国革命实践相结合的一次伟大的创造，提高运用马克思主义科学分析问题的能力。</w:t>
      </w:r>
    </w:p>
    <w:p w14:paraId="4718ABE2"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3.情感、态度、价值观类目标：通过学习，深刻认识端正思想路线、坚持把马克思列宁主义理论同中国具体实际相结合的极端重要性，深刻认识农村、农民对于中国革命胜利的重要意义，增强对农村、农民的深厚情感，进一步坚定为全面建设小康社会、为实现中华民族伟大复兴而不懈奋斗的决心和信心。</w:t>
      </w:r>
    </w:p>
    <w:p w14:paraId="1886DE5C"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090D406C"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1.</w:t>
      </w:r>
      <w:r>
        <w:rPr>
          <w:rFonts w:ascii="宋体" w:eastAsia="宋体" w:hAnsi="宋体" w:cs="Times New Roman" w:hint="eastAsia"/>
          <w:kern w:val="0"/>
          <w:sz w:val="24"/>
          <w:szCs w:val="24"/>
        </w:rPr>
        <w:t>中国共产党</w:t>
      </w:r>
      <w:r>
        <w:rPr>
          <w:rFonts w:ascii="宋体" w:eastAsia="宋体" w:hAnsi="宋体" w:cs="Times New Roman"/>
          <w:kern w:val="0"/>
          <w:sz w:val="24"/>
          <w:szCs w:val="24"/>
        </w:rPr>
        <w:t>对革命新道路的探索；</w:t>
      </w:r>
    </w:p>
    <w:p w14:paraId="5C6D3045"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2.中国革命在曲折</w:t>
      </w:r>
      <w:r>
        <w:rPr>
          <w:rFonts w:ascii="宋体" w:eastAsia="宋体" w:hAnsi="宋体" w:cs="Times New Roman" w:hint="eastAsia"/>
          <w:kern w:val="0"/>
          <w:sz w:val="24"/>
          <w:szCs w:val="24"/>
        </w:rPr>
        <w:t>中</w:t>
      </w:r>
      <w:r>
        <w:rPr>
          <w:rFonts w:ascii="宋体" w:eastAsia="宋体" w:hAnsi="宋体" w:cs="Times New Roman"/>
          <w:kern w:val="0"/>
          <w:sz w:val="24"/>
          <w:szCs w:val="24"/>
        </w:rPr>
        <w:t>前进。</w:t>
      </w:r>
    </w:p>
    <w:p w14:paraId="63E1BA61"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【重点】</w:t>
      </w:r>
    </w:p>
    <w:p w14:paraId="65B809FB"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中国共产党的武装革命、土地革命、反“围剿”斗争和长征；新民主主义革命理论的形成。</w:t>
      </w:r>
    </w:p>
    <w:p w14:paraId="6063CDDB"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【难点】</w:t>
      </w:r>
    </w:p>
    <w:p w14:paraId="6FDD2512"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宁汉合流后国民党政权及其性质；20世纪30年代前、中期，中国共产党内屡次出现严重“左”倾错误的原因；长征精神及历史意义。</w:t>
      </w:r>
    </w:p>
    <w:p w14:paraId="11E40D91"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74E9280C"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1.通过教师系统讲授和学生自主探究相结合，讲授教学内容，深化</w:t>
      </w:r>
      <w:r>
        <w:rPr>
          <w:rFonts w:ascii="宋体" w:eastAsia="宋体" w:hAnsi="宋体" w:cs="Times New Roman"/>
          <w:kern w:val="0"/>
          <w:sz w:val="24"/>
          <w:szCs w:val="24"/>
        </w:rPr>
        <w:t>中国革命在探索中曲折前进的</w:t>
      </w:r>
      <w:r>
        <w:rPr>
          <w:rFonts w:ascii="宋体" w:eastAsia="宋体" w:hAnsi="宋体" w:cs="Times New Roman"/>
          <w:sz w:val="24"/>
          <w:szCs w:val="24"/>
        </w:rPr>
        <w:t>理解；</w:t>
      </w:r>
    </w:p>
    <w:p w14:paraId="2FB2534A"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2.采用视频和历史图片结合方式，呈现</w:t>
      </w:r>
      <w:r>
        <w:rPr>
          <w:rFonts w:ascii="宋体" w:eastAsia="宋体" w:hAnsi="宋体" w:cs="Times New Roman"/>
          <w:kern w:val="0"/>
          <w:sz w:val="24"/>
          <w:szCs w:val="24"/>
        </w:rPr>
        <w:t>对革命新道路艰苦探索</w:t>
      </w:r>
      <w:r>
        <w:rPr>
          <w:rFonts w:ascii="宋体" w:eastAsia="宋体" w:hAnsi="宋体" w:cs="Times New Roman"/>
          <w:sz w:val="24"/>
          <w:szCs w:val="24"/>
        </w:rPr>
        <w:t>的历史进程；</w:t>
      </w:r>
    </w:p>
    <w:p w14:paraId="67320C55"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3.通过课堂小组研讨，引导深化理解</w:t>
      </w:r>
      <w:r>
        <w:rPr>
          <w:rFonts w:ascii="宋体" w:eastAsia="宋体" w:hAnsi="宋体" w:cs="Times New Roman"/>
          <w:kern w:val="0"/>
          <w:sz w:val="24"/>
          <w:szCs w:val="24"/>
        </w:rPr>
        <w:t>坚持把马克思列宁主义理论同中国具体实际相结合的重要性</w:t>
      </w:r>
      <w:r>
        <w:rPr>
          <w:rFonts w:ascii="宋体" w:eastAsia="宋体" w:hAnsi="宋体" w:cs="Times New Roman"/>
          <w:sz w:val="24"/>
          <w:szCs w:val="24"/>
        </w:rPr>
        <w:t>。</w:t>
      </w:r>
    </w:p>
    <w:p w14:paraId="060FF98A"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【复习思考】</w:t>
      </w:r>
    </w:p>
    <w:p w14:paraId="2DE4E2C0"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1.以毛泽东为主要代表的中国共产党认识如何探索和开辟中国革命新道路的?</w:t>
      </w:r>
    </w:p>
    <w:p w14:paraId="40DB9B65"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Times New Roman" w:hint="eastAsia"/>
          <w:sz w:val="24"/>
          <w:szCs w:val="24"/>
        </w:rPr>
        <w:t>中国革命新道路“新”在哪里？</w:t>
      </w:r>
    </w:p>
    <w:p w14:paraId="43E53BA5"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3.怎样认识长征的意义？为什么要继承和发扬长征精神？</w:t>
      </w:r>
    </w:p>
    <w:p w14:paraId="4C2E0D7F"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4.土地革命战争时期</w:t>
      </w:r>
      <w:r>
        <w:rPr>
          <w:rFonts w:ascii="宋体" w:eastAsia="宋体" w:hAnsi="宋体" w:cs="Times New Roman"/>
          <w:sz w:val="24"/>
          <w:szCs w:val="24"/>
        </w:rPr>
        <w:t>，中国共产党</w:t>
      </w:r>
      <w:r>
        <w:rPr>
          <w:rFonts w:ascii="宋体" w:eastAsia="宋体" w:hAnsi="宋体" w:cs="Times New Roman" w:hint="eastAsia"/>
          <w:sz w:val="24"/>
          <w:szCs w:val="24"/>
        </w:rPr>
        <w:t>是如何总结历史经验、加强党的思想理论建设</w:t>
      </w:r>
      <w:r>
        <w:rPr>
          <w:rFonts w:ascii="宋体" w:eastAsia="宋体" w:hAnsi="宋体" w:cs="Times New Roman" w:hint="eastAsia"/>
          <w:sz w:val="24"/>
          <w:szCs w:val="24"/>
        </w:rPr>
        <w:lastRenderedPageBreak/>
        <w:t>的</w:t>
      </w:r>
      <w:r>
        <w:rPr>
          <w:rFonts w:ascii="宋体" w:eastAsia="宋体" w:hAnsi="宋体" w:cs="Times New Roman"/>
          <w:sz w:val="24"/>
          <w:szCs w:val="24"/>
        </w:rPr>
        <w:t>？</w:t>
      </w:r>
    </w:p>
    <w:p w14:paraId="1DC891D6" w14:textId="77777777" w:rsidR="00D71975" w:rsidRDefault="00D71975" w:rsidP="00D71975">
      <w:pPr>
        <w:widowControl/>
        <w:jc w:val="center"/>
        <w:rPr>
          <w:rFonts w:ascii="黑体" w:eastAsia="黑体" w:hAnsi="黑体" w:cs="Times New Roman"/>
          <w:sz w:val="28"/>
          <w:szCs w:val="28"/>
        </w:rPr>
      </w:pPr>
      <w:r>
        <w:rPr>
          <w:rFonts w:ascii="黑体" w:eastAsia="黑体" w:hAnsi="黑体" w:cs="Times New Roman"/>
          <w:sz w:val="28"/>
          <w:szCs w:val="28"/>
        </w:rPr>
        <w:t>第六章　中华民族的抗日战争</w:t>
      </w:r>
    </w:p>
    <w:p w14:paraId="328F8A45"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【学习目标】</w:t>
      </w:r>
    </w:p>
    <w:p w14:paraId="47B85680"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1.认知类目标：了解抗日战争的全过程及相关重大历史事件，了解日军惨无人道的野蛮罪行给中华民族造成的深重灾难，了解中国人民在抗日战争期间做出的巨大牺牲与奋斗。</w:t>
      </w:r>
    </w:p>
    <w:p w14:paraId="05DB59C0"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2.过程与方法类目标：对比分析国共两党在抗日战争中的表现与作用，深刻认识国民党片面抗战路线和共产党全面抗战路线的不同，总结掌握抗日战争胜利的原因与深远历史意义，深化学生认识问题、分析问题、解决问题的能力。</w:t>
      </w:r>
    </w:p>
    <w:p w14:paraId="4B0EC7C8"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3.情感、态度、价值观类目标：透过历史事件，感悟中国共产党人英勇的抗战事迹和伟大的抗战精神；深刻理解中国共产党的中流砥柱作用是中国人民抗日战争胜利的关键，以爱国主义为核心的伟大民族精神是中国人民抗日战争胜利的决定因素；进一步增强学生</w:t>
      </w:r>
      <w:proofErr w:type="gramStart"/>
      <w:r>
        <w:rPr>
          <w:rFonts w:ascii="宋体" w:eastAsia="宋体" w:hAnsi="宋体" w:cs="Times New Roman"/>
          <w:kern w:val="0"/>
          <w:sz w:val="24"/>
          <w:szCs w:val="24"/>
        </w:rPr>
        <w:t>坚定跟</w:t>
      </w:r>
      <w:proofErr w:type="gramEnd"/>
      <w:r>
        <w:rPr>
          <w:rFonts w:ascii="宋体" w:eastAsia="宋体" w:hAnsi="宋体" w:cs="Times New Roman"/>
          <w:kern w:val="0"/>
          <w:sz w:val="24"/>
          <w:szCs w:val="24"/>
        </w:rPr>
        <w:t>党走，勇于承担当代青年的社会责任和历史使命，努力做新时代有为青年。</w:t>
      </w:r>
    </w:p>
    <w:p w14:paraId="111323DE"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2653B7D1"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1.日本发动企图灭亡中国的侵略战争；</w:t>
      </w:r>
    </w:p>
    <w:p w14:paraId="74BFA14B"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2.中国人民奋起抗击日本侵略者；</w:t>
      </w:r>
    </w:p>
    <w:p w14:paraId="769BA850"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3.</w:t>
      </w:r>
      <w:r>
        <w:rPr>
          <w:rFonts w:ascii="宋体" w:eastAsia="宋体" w:hAnsi="宋体" w:cs="Times New Roman" w:hint="eastAsia"/>
          <w:kern w:val="0"/>
          <w:sz w:val="24"/>
          <w:szCs w:val="24"/>
        </w:rPr>
        <w:t>抗日战争</w:t>
      </w:r>
      <w:r>
        <w:rPr>
          <w:rFonts w:ascii="宋体" w:eastAsia="宋体" w:hAnsi="宋体" w:cs="Times New Roman"/>
          <w:kern w:val="0"/>
          <w:sz w:val="24"/>
          <w:szCs w:val="24"/>
        </w:rPr>
        <w:t>的正面战场；</w:t>
      </w:r>
    </w:p>
    <w:p w14:paraId="4C94FED2"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4.抗日战争的中流砥柱；</w:t>
      </w:r>
    </w:p>
    <w:p w14:paraId="0B009E93"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5.抗日战争的胜利及其意义。</w:t>
      </w:r>
    </w:p>
    <w:p w14:paraId="31D0308A"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【重点】</w:t>
      </w:r>
    </w:p>
    <w:p w14:paraId="1AE2EE62"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中国共产党是中国人民抗日战争的中流砥柱；中国人民抗日战争在世界反法西斯战争中的地位。</w:t>
      </w:r>
    </w:p>
    <w:p w14:paraId="0EDFEDB0"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【难点】</w:t>
      </w:r>
    </w:p>
    <w:p w14:paraId="3FAE2260"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国民党在抗战中的评价。</w:t>
      </w:r>
    </w:p>
    <w:p w14:paraId="16698183"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689A40C0"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1.通过教师系统讲授和学生自主探究相结合，讲授教学内容，深化对中国的抗日战争是神圣的民族解放战争</w:t>
      </w:r>
      <w:r>
        <w:rPr>
          <w:rFonts w:ascii="宋体" w:eastAsia="宋体" w:hAnsi="宋体" w:cs="Times New Roman"/>
          <w:kern w:val="0"/>
          <w:sz w:val="24"/>
          <w:szCs w:val="24"/>
        </w:rPr>
        <w:t>的</w:t>
      </w:r>
      <w:r>
        <w:rPr>
          <w:rFonts w:ascii="宋体" w:eastAsia="宋体" w:hAnsi="宋体" w:cs="Times New Roman"/>
          <w:sz w:val="24"/>
          <w:szCs w:val="24"/>
        </w:rPr>
        <w:t>理解；</w:t>
      </w:r>
    </w:p>
    <w:p w14:paraId="00B2EE81"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2.采用视频和历史图片结合方式，呈现中华民族英勇抗日历史；</w:t>
      </w:r>
    </w:p>
    <w:p w14:paraId="6B747BCA"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3.通过课堂研讨，引导深化理解</w:t>
      </w:r>
      <w:r>
        <w:rPr>
          <w:rFonts w:ascii="宋体" w:eastAsia="宋体" w:hAnsi="宋体" w:cs="Times New Roman"/>
          <w:kern w:val="0"/>
          <w:sz w:val="24"/>
          <w:szCs w:val="24"/>
        </w:rPr>
        <w:t>中国共产党是中国人民抗日战争的中流砥柱以及</w:t>
      </w:r>
      <w:r>
        <w:rPr>
          <w:rFonts w:ascii="宋体" w:eastAsia="宋体" w:hAnsi="宋体" w:cs="Times New Roman"/>
          <w:kern w:val="0"/>
          <w:sz w:val="24"/>
          <w:szCs w:val="24"/>
        </w:rPr>
        <w:lastRenderedPageBreak/>
        <w:t>中国人民抗日战争在世界反法西斯战争中的重要历史地位</w:t>
      </w:r>
      <w:r>
        <w:rPr>
          <w:rFonts w:ascii="宋体" w:eastAsia="宋体" w:hAnsi="宋体" w:cs="Times New Roman"/>
          <w:sz w:val="24"/>
          <w:szCs w:val="24"/>
        </w:rPr>
        <w:t>。</w:t>
      </w:r>
    </w:p>
    <w:p w14:paraId="6EBDE5AC"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【复习思考】</w:t>
      </w:r>
    </w:p>
    <w:p w14:paraId="0620F571"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1.为什么说中国的抗日战争是神圣的民族解放战争？</w:t>
      </w:r>
    </w:p>
    <w:p w14:paraId="3974B091"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2.为什么说中国共产党是中国人民抗日战争的中流砥柱？</w:t>
      </w:r>
    </w:p>
    <w:p w14:paraId="4CA66D36"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3.怎样评价国民党政府在抗日战争中执行的路线和正面战场的地位与作用？</w:t>
      </w:r>
    </w:p>
    <w:p w14:paraId="27B895D9"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w:t>
      </w:r>
      <w:r>
        <w:rPr>
          <w:rFonts w:ascii="宋体" w:eastAsia="宋体" w:hAnsi="宋体" w:cs="Times New Roman"/>
          <w:sz w:val="24"/>
          <w:szCs w:val="24"/>
        </w:rPr>
        <w:t>.</w:t>
      </w:r>
      <w:r>
        <w:rPr>
          <w:rFonts w:ascii="宋体" w:eastAsia="宋体" w:hAnsi="宋体" w:cs="Times New Roman" w:hint="eastAsia"/>
          <w:sz w:val="24"/>
          <w:szCs w:val="24"/>
        </w:rPr>
        <w:t>如何理解中国人民抗日战争胜利对实现中华民族伟大复兴的意义</w:t>
      </w:r>
      <w:r>
        <w:rPr>
          <w:rFonts w:ascii="宋体" w:eastAsia="宋体" w:hAnsi="宋体" w:cs="Times New Roman"/>
          <w:sz w:val="24"/>
          <w:szCs w:val="24"/>
        </w:rPr>
        <w:t>？</w:t>
      </w:r>
    </w:p>
    <w:p w14:paraId="6F596884" w14:textId="77777777" w:rsidR="00D71975" w:rsidRDefault="00D71975" w:rsidP="00D71975">
      <w:pPr>
        <w:snapToGrid w:val="0"/>
        <w:spacing w:before="187" w:after="187" w:line="440" w:lineRule="exact"/>
        <w:ind w:firstLineChars="200" w:firstLine="560"/>
        <w:jc w:val="center"/>
        <w:rPr>
          <w:rFonts w:ascii="黑体" w:eastAsia="黑体" w:hAnsi="黑体" w:cs="Times New Roman"/>
          <w:sz w:val="28"/>
          <w:szCs w:val="28"/>
        </w:rPr>
      </w:pPr>
      <w:r>
        <w:rPr>
          <w:rFonts w:ascii="黑体" w:eastAsia="黑体" w:hAnsi="黑体" w:cs="Times New Roman"/>
          <w:sz w:val="28"/>
          <w:szCs w:val="28"/>
        </w:rPr>
        <w:t>第七章　为建立新中国而奋斗</w:t>
      </w:r>
    </w:p>
    <w:p w14:paraId="540B831E"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【学习目标】</w:t>
      </w:r>
    </w:p>
    <w:p w14:paraId="58B1F6C8"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1.认知类目标：了解抗日战争胜利后国际、国内形势的基本特点和中国共产党争取和平民主、准备自卫战争的基本史实。</w:t>
      </w:r>
    </w:p>
    <w:p w14:paraId="3E552B2D"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2.过程与方法类目标：引导学生在讨论分析二战胜利后国际力量的对比变化与国共两党代表不同阶级利益，深入理解中国共产党为建立新中国而制定的纲领和各项基本政策的实质，培养学生理解历史事件发生、发展之必然性的能力。</w:t>
      </w:r>
    </w:p>
    <w:p w14:paraId="646632FD"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3.情感、态度、价值观类目标：通过这段历史的学习分析，使学生深刻认识到中华人民共和国的创建和共产党执政地位的确立是历史和人民的选择，认识到“没有共产党就没有新中国”的真理；进一步坚定四个自信，激发学生爱党、爱国热情，牢固树立社会主义理想信念，勇于承担青年人的使命和担当，为中国特色社会主义事业培养优秀的建设者和接班人！</w:t>
      </w:r>
    </w:p>
    <w:p w14:paraId="3FBF055A"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1E3D27B0"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1.从争取和平民主到击退国民党的军事进攻；</w:t>
      </w:r>
    </w:p>
    <w:p w14:paraId="2B28442F"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2.全国解放战争的发展和第二条战线的形成；</w:t>
      </w:r>
    </w:p>
    <w:p w14:paraId="42CC9039"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3.中国共产党与民主党派的团结合作；</w:t>
      </w:r>
    </w:p>
    <w:p w14:paraId="3CC5A9AF"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4.</w:t>
      </w:r>
      <w:r>
        <w:rPr>
          <w:rFonts w:ascii="宋体" w:eastAsia="宋体" w:hAnsi="宋体" w:cs="Times New Roman" w:hint="eastAsia"/>
          <w:kern w:val="0"/>
          <w:sz w:val="24"/>
          <w:szCs w:val="24"/>
        </w:rPr>
        <w:t>建立</w:t>
      </w:r>
      <w:r>
        <w:rPr>
          <w:rFonts w:ascii="宋体" w:eastAsia="宋体" w:hAnsi="宋体" w:cs="Times New Roman"/>
          <w:kern w:val="0"/>
          <w:sz w:val="24"/>
          <w:szCs w:val="24"/>
        </w:rPr>
        <w:t>人民民主专政的新中国。</w:t>
      </w:r>
    </w:p>
    <w:p w14:paraId="060B634A"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【重点】</w:t>
      </w:r>
    </w:p>
    <w:p w14:paraId="7DECB0A5"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中国共产党为争取国内和平所做的努力；国民党反动派在军事上、政治上、经济上走向失败的原因；中华人民共和国成立的伟大历史意义。</w:t>
      </w:r>
    </w:p>
    <w:p w14:paraId="7C41B4EE"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【难点】</w:t>
      </w:r>
    </w:p>
    <w:p w14:paraId="7FC70C90"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重庆谈判和1946年政协会议的重要意义；国民党反动统治的崩溃及其原因。</w:t>
      </w:r>
    </w:p>
    <w:p w14:paraId="1239E521"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5217DD5B"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1.通过教师系统讲授和学生自主探究相结合，讲授教学内容，深化对</w:t>
      </w:r>
      <w:r>
        <w:rPr>
          <w:rFonts w:ascii="宋体" w:eastAsia="宋体" w:hAnsi="宋体" w:cs="Times New Roman"/>
          <w:kern w:val="0"/>
          <w:sz w:val="24"/>
          <w:szCs w:val="24"/>
        </w:rPr>
        <w:t>中华人民共</w:t>
      </w:r>
      <w:r>
        <w:rPr>
          <w:rFonts w:ascii="宋体" w:eastAsia="宋体" w:hAnsi="宋体" w:cs="Times New Roman"/>
          <w:kern w:val="0"/>
          <w:sz w:val="24"/>
          <w:szCs w:val="24"/>
        </w:rPr>
        <w:lastRenderedPageBreak/>
        <w:t>和国成立的伟大历史意义的</w:t>
      </w:r>
      <w:r>
        <w:rPr>
          <w:rFonts w:ascii="宋体" w:eastAsia="宋体" w:hAnsi="宋体" w:cs="Times New Roman"/>
          <w:sz w:val="24"/>
          <w:szCs w:val="24"/>
        </w:rPr>
        <w:t>理解；</w:t>
      </w:r>
    </w:p>
    <w:p w14:paraId="7893D900"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2.采用视频和历史图片结合方式，呈现</w:t>
      </w:r>
      <w:r>
        <w:rPr>
          <w:rFonts w:ascii="宋体" w:eastAsia="宋体" w:hAnsi="宋体" w:cs="Times New Roman"/>
          <w:kern w:val="0"/>
          <w:sz w:val="24"/>
          <w:szCs w:val="24"/>
        </w:rPr>
        <w:t>人民民主专政的新中国创建过程</w:t>
      </w:r>
      <w:r>
        <w:rPr>
          <w:rFonts w:ascii="宋体" w:eastAsia="宋体" w:hAnsi="宋体" w:cs="Times New Roman"/>
          <w:sz w:val="24"/>
          <w:szCs w:val="24"/>
        </w:rPr>
        <w:t>；</w:t>
      </w:r>
    </w:p>
    <w:p w14:paraId="5AF8D93F"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3.通过课堂研讨，引导深化理解没有共产党就没有新中国。</w:t>
      </w:r>
    </w:p>
    <w:p w14:paraId="17B336A8"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【复习思考】</w:t>
      </w:r>
    </w:p>
    <w:p w14:paraId="51448CAB"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1.抗日战争胜利后，国民党政府为什么会陷入全民的包围中并迅速走向崩溃？</w:t>
      </w:r>
    </w:p>
    <w:p w14:paraId="4DD55A75"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2.如何认识民主党派的历史作用？中国共产党领导的多党合作</w:t>
      </w:r>
      <w:r>
        <w:rPr>
          <w:rFonts w:ascii="宋体" w:eastAsia="宋体" w:hAnsi="宋体" w:cs="Times New Roman" w:hint="eastAsia"/>
          <w:sz w:val="24"/>
          <w:szCs w:val="24"/>
        </w:rPr>
        <w:t>和</w:t>
      </w:r>
      <w:r>
        <w:rPr>
          <w:rFonts w:ascii="宋体" w:eastAsia="宋体" w:hAnsi="宋体" w:cs="Times New Roman"/>
          <w:sz w:val="24"/>
          <w:szCs w:val="24"/>
        </w:rPr>
        <w:t>政治协商格局是怎样形成的？</w:t>
      </w:r>
    </w:p>
    <w:p w14:paraId="0CFC0848" w14:textId="77777777" w:rsidR="00D71975" w:rsidRDefault="00D71975" w:rsidP="00D71975">
      <w:pPr>
        <w:snapToGrid w:val="0"/>
        <w:spacing w:line="440" w:lineRule="exact"/>
        <w:ind w:firstLineChars="200" w:firstLine="480"/>
        <w:rPr>
          <w:rFonts w:ascii="黑体" w:eastAsia="黑体" w:hAnsi="黑体" w:cs="Times New Roman"/>
          <w:sz w:val="28"/>
          <w:szCs w:val="28"/>
        </w:rPr>
      </w:pPr>
      <w:r>
        <w:rPr>
          <w:rFonts w:ascii="宋体" w:eastAsia="宋体" w:hAnsi="宋体" w:cs="Times New Roman"/>
          <w:sz w:val="24"/>
          <w:szCs w:val="24"/>
        </w:rPr>
        <w:t>3.为什么说“没有共产党就没有新中国”？中国革命取得胜利的基本经验是什么？</w:t>
      </w:r>
    </w:p>
    <w:p w14:paraId="3BD67A76" w14:textId="77777777" w:rsidR="00D71975" w:rsidRDefault="00D71975" w:rsidP="00D71975">
      <w:pPr>
        <w:snapToGrid w:val="0"/>
        <w:spacing w:before="187" w:after="187" w:line="440" w:lineRule="exact"/>
        <w:ind w:firstLineChars="100" w:firstLine="280"/>
        <w:jc w:val="center"/>
        <w:rPr>
          <w:rFonts w:ascii="黑体" w:eastAsia="黑体" w:hAnsi="黑体" w:cs="Times New Roman"/>
          <w:sz w:val="28"/>
          <w:szCs w:val="28"/>
        </w:rPr>
      </w:pPr>
      <w:r>
        <w:rPr>
          <w:rFonts w:ascii="黑体" w:eastAsia="黑体" w:hAnsi="黑体" w:cs="Times New Roman"/>
          <w:sz w:val="28"/>
          <w:szCs w:val="28"/>
        </w:rPr>
        <w:t>第八章　中华人民共和国的成立与中国社会主义</w:t>
      </w:r>
      <w:r>
        <w:rPr>
          <w:rFonts w:ascii="黑体" w:eastAsia="黑体" w:hAnsi="黑体" w:cs="Times New Roman" w:hint="eastAsia"/>
          <w:sz w:val="28"/>
          <w:szCs w:val="28"/>
        </w:rPr>
        <w:t>建设</w:t>
      </w:r>
      <w:r>
        <w:rPr>
          <w:rFonts w:ascii="黑体" w:eastAsia="黑体" w:hAnsi="黑体" w:cs="Times New Roman"/>
          <w:sz w:val="28"/>
          <w:szCs w:val="28"/>
        </w:rPr>
        <w:t>道路的探索</w:t>
      </w:r>
    </w:p>
    <w:p w14:paraId="2E24E592"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【学习目标】</w:t>
      </w:r>
    </w:p>
    <w:p w14:paraId="5887F0AC"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1.认知类目标：了解民主革命的完成和国民经济的恢复，认识建国初期的中国社会性质，了解中国建立社会主义制度的历程和相关措施，认识中国特色社会主义改造道路的内容和特点</w:t>
      </w:r>
      <w:r>
        <w:rPr>
          <w:rFonts w:ascii="宋体" w:eastAsia="宋体" w:hAnsi="宋体" w:cs="Times New Roman" w:hint="eastAsia"/>
          <w:kern w:val="0"/>
          <w:sz w:val="24"/>
          <w:szCs w:val="24"/>
        </w:rPr>
        <w:t>；</w:t>
      </w:r>
      <w:r>
        <w:rPr>
          <w:rFonts w:ascii="宋体" w:eastAsia="宋体" w:hAnsi="宋体" w:cs="Times New Roman"/>
          <w:kern w:val="0"/>
          <w:sz w:val="24"/>
          <w:szCs w:val="24"/>
        </w:rPr>
        <w:t>了解</w:t>
      </w:r>
      <w:r>
        <w:rPr>
          <w:rFonts w:ascii="宋体" w:eastAsia="宋体" w:hAnsi="宋体" w:cs="Times New Roman" w:hint="eastAsia"/>
          <w:kern w:val="0"/>
          <w:sz w:val="24"/>
          <w:szCs w:val="24"/>
        </w:rPr>
        <w:t>社会主义</w:t>
      </w:r>
      <w:r>
        <w:rPr>
          <w:rFonts w:ascii="宋体" w:eastAsia="宋体" w:hAnsi="宋体" w:cs="Times New Roman"/>
          <w:kern w:val="0"/>
          <w:sz w:val="24"/>
          <w:szCs w:val="24"/>
        </w:rPr>
        <w:t>建设良好开端中取得的主要成就，正确认识社会主义发展中出现的曲折。</w:t>
      </w:r>
    </w:p>
    <w:p w14:paraId="7228E021"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2.过程与方法类目标：结合建国</w:t>
      </w:r>
      <w:proofErr w:type="gramStart"/>
      <w:r>
        <w:rPr>
          <w:rFonts w:ascii="宋体" w:eastAsia="宋体" w:hAnsi="宋体" w:cs="Times New Roman"/>
          <w:kern w:val="0"/>
          <w:sz w:val="24"/>
          <w:szCs w:val="24"/>
        </w:rPr>
        <w:t>初国际</w:t>
      </w:r>
      <w:proofErr w:type="gramEnd"/>
      <w:r>
        <w:rPr>
          <w:rFonts w:ascii="宋体" w:eastAsia="宋体" w:hAnsi="宋体" w:cs="Times New Roman"/>
          <w:kern w:val="0"/>
          <w:sz w:val="24"/>
          <w:szCs w:val="24"/>
        </w:rPr>
        <w:t>国内形势，分析领会中国走社会主义道路，建立社会主义制度建立的必然性</w:t>
      </w:r>
      <w:r>
        <w:rPr>
          <w:rFonts w:ascii="宋体" w:eastAsia="宋体" w:hAnsi="宋体" w:cs="Times New Roman" w:hint="eastAsia"/>
          <w:kern w:val="0"/>
          <w:sz w:val="24"/>
          <w:szCs w:val="24"/>
        </w:rPr>
        <w:t>；</w:t>
      </w:r>
      <w:r>
        <w:rPr>
          <w:rFonts w:ascii="宋体" w:eastAsia="宋体" w:hAnsi="宋体" w:cs="Times New Roman"/>
          <w:kern w:val="0"/>
          <w:sz w:val="24"/>
          <w:szCs w:val="24"/>
        </w:rPr>
        <w:t>结合20世纪50、60年代世界社会主义发展的背景，引导学生深刻认识中国社会主义发展出现曲折的深层原因，理解我国独立自主探索社会主义建设道路的必然和重要性，培养学生对重要历史人物和事件进行客观评价的能力。</w:t>
      </w:r>
    </w:p>
    <w:p w14:paraId="252B568A"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kern w:val="0"/>
          <w:sz w:val="24"/>
          <w:szCs w:val="24"/>
        </w:rPr>
        <w:t>3.情感、态度、价值观类目标：</w:t>
      </w:r>
      <w:r>
        <w:rPr>
          <w:rFonts w:ascii="宋体" w:eastAsia="宋体" w:hAnsi="宋体" w:cs="Times New Roman"/>
          <w:sz w:val="24"/>
          <w:szCs w:val="24"/>
        </w:rPr>
        <w:t>通过学习讨论，进一步坚定学生中国必然坚持走社会主义道路的信心和决心，增强坚持中国特色社会主义道路的自信，承担起属于青年人的责任和使命，自觉投身中国特色社会主义建设事业，成为优秀的建设者和接班人。</w:t>
      </w:r>
    </w:p>
    <w:p w14:paraId="0AA3AC0D"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440C1FE0"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1.</w:t>
      </w:r>
      <w:r>
        <w:rPr>
          <w:rFonts w:ascii="宋体" w:eastAsia="宋体" w:hAnsi="宋体" w:cs="Times New Roman" w:hint="eastAsia"/>
          <w:kern w:val="0"/>
          <w:sz w:val="24"/>
          <w:szCs w:val="24"/>
        </w:rPr>
        <w:t>中华</w:t>
      </w:r>
      <w:r>
        <w:rPr>
          <w:rFonts w:ascii="宋体" w:eastAsia="宋体" w:hAnsi="宋体" w:cs="Times New Roman"/>
          <w:kern w:val="0"/>
          <w:sz w:val="24"/>
          <w:szCs w:val="24"/>
        </w:rPr>
        <w:t>人民共和国的成立</w:t>
      </w:r>
      <w:r>
        <w:rPr>
          <w:rFonts w:ascii="宋体" w:eastAsia="宋体" w:hAnsi="宋体" w:cs="Times New Roman" w:hint="eastAsia"/>
          <w:kern w:val="0"/>
          <w:sz w:val="24"/>
          <w:szCs w:val="24"/>
        </w:rPr>
        <w:t>和</w:t>
      </w:r>
      <w:r>
        <w:rPr>
          <w:rFonts w:ascii="宋体" w:eastAsia="宋体" w:hAnsi="宋体" w:cs="Times New Roman"/>
          <w:kern w:val="0"/>
          <w:sz w:val="24"/>
          <w:szCs w:val="24"/>
        </w:rPr>
        <w:t>新生人民政权的巩固；</w:t>
      </w:r>
    </w:p>
    <w:p w14:paraId="202FB436"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2.党在过渡时期的总路线及其实施；</w:t>
      </w:r>
    </w:p>
    <w:p w14:paraId="61213B4E"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3.</w:t>
      </w:r>
      <w:r>
        <w:rPr>
          <w:rFonts w:ascii="宋体" w:eastAsia="宋体" w:hAnsi="宋体" w:cs="Times New Roman" w:hint="eastAsia"/>
          <w:kern w:val="0"/>
          <w:sz w:val="24"/>
          <w:szCs w:val="24"/>
        </w:rPr>
        <w:t>初步</w:t>
      </w:r>
      <w:r>
        <w:rPr>
          <w:rFonts w:ascii="宋体" w:eastAsia="宋体" w:hAnsi="宋体" w:cs="Times New Roman"/>
          <w:kern w:val="0"/>
          <w:sz w:val="24"/>
          <w:szCs w:val="24"/>
        </w:rPr>
        <w:t>确立</w:t>
      </w:r>
      <w:r>
        <w:rPr>
          <w:rFonts w:ascii="宋体" w:eastAsia="宋体" w:hAnsi="宋体" w:cs="Times New Roman" w:hint="eastAsia"/>
          <w:kern w:val="0"/>
          <w:sz w:val="24"/>
          <w:szCs w:val="24"/>
        </w:rPr>
        <w:t>社会主义</w:t>
      </w:r>
      <w:r>
        <w:rPr>
          <w:rFonts w:ascii="宋体" w:eastAsia="宋体" w:hAnsi="宋体" w:cs="Times New Roman"/>
          <w:kern w:val="0"/>
          <w:sz w:val="24"/>
          <w:szCs w:val="24"/>
        </w:rPr>
        <w:t>基本制度</w:t>
      </w:r>
      <w:r>
        <w:rPr>
          <w:rFonts w:ascii="宋体" w:eastAsia="宋体" w:hAnsi="宋体" w:cs="Times New Roman" w:hint="eastAsia"/>
          <w:kern w:val="0"/>
          <w:sz w:val="24"/>
          <w:szCs w:val="24"/>
        </w:rPr>
        <w:t>；</w:t>
      </w:r>
    </w:p>
    <w:p w14:paraId="52ED084F"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hint="eastAsia"/>
          <w:kern w:val="0"/>
          <w:sz w:val="24"/>
          <w:szCs w:val="24"/>
        </w:rPr>
        <w:t>4.全面建设社会主义的良好开端；</w:t>
      </w:r>
    </w:p>
    <w:p w14:paraId="6A64AAE5"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hint="eastAsia"/>
          <w:kern w:val="0"/>
          <w:sz w:val="24"/>
          <w:szCs w:val="24"/>
        </w:rPr>
        <w:t>5.社会主义道路的艰辛探索和曲折发展</w:t>
      </w:r>
      <w:r>
        <w:rPr>
          <w:rFonts w:ascii="宋体" w:eastAsia="宋体" w:hAnsi="宋体" w:cs="Times New Roman"/>
          <w:kern w:val="0"/>
          <w:sz w:val="24"/>
          <w:szCs w:val="24"/>
        </w:rPr>
        <w:t>。</w:t>
      </w:r>
    </w:p>
    <w:p w14:paraId="32FCF81F"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lastRenderedPageBreak/>
        <w:t>【重点】</w:t>
      </w:r>
    </w:p>
    <w:p w14:paraId="2DC78A70"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新中国建国初期的社会性质，社会主义工业化和社会主义改造同时并举的必要性</w:t>
      </w:r>
      <w:r>
        <w:rPr>
          <w:rFonts w:ascii="宋体" w:eastAsia="宋体" w:hAnsi="宋体" w:cs="Times New Roman" w:hint="eastAsia"/>
          <w:kern w:val="0"/>
          <w:sz w:val="24"/>
          <w:szCs w:val="24"/>
        </w:rPr>
        <w:t>；全面认识</w:t>
      </w:r>
      <w:r>
        <w:rPr>
          <w:rFonts w:ascii="宋体" w:eastAsia="宋体" w:hAnsi="宋体" w:cs="Times New Roman"/>
          <w:kern w:val="0"/>
          <w:sz w:val="24"/>
          <w:szCs w:val="24"/>
        </w:rPr>
        <w:t>中国共产党探索中国社会主义建设道路的努力及其成就；正确认识探索社会主义建设的严重曲折。</w:t>
      </w:r>
    </w:p>
    <w:p w14:paraId="5B16C7F9"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kern w:val="0"/>
          <w:sz w:val="24"/>
          <w:szCs w:val="24"/>
        </w:rPr>
        <w:t>【</w:t>
      </w:r>
      <w:r>
        <w:rPr>
          <w:rFonts w:ascii="宋体" w:eastAsia="宋体" w:hAnsi="宋体" w:cs="Times New Roman"/>
          <w:b/>
          <w:bCs/>
          <w:sz w:val="24"/>
          <w:szCs w:val="24"/>
        </w:rPr>
        <w:t>难点】</w:t>
      </w:r>
    </w:p>
    <w:p w14:paraId="14027AC5"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巩固新生政权与恢复国民经济之间的关系；探讨经济不发达国家首先进入社会主义社会是否违背了“生产力决定生产关系”的客观规律</w:t>
      </w:r>
      <w:r>
        <w:rPr>
          <w:rFonts w:ascii="宋体" w:eastAsia="宋体" w:hAnsi="宋体" w:cs="Times New Roman" w:hint="eastAsia"/>
          <w:kern w:val="0"/>
          <w:sz w:val="24"/>
          <w:szCs w:val="24"/>
        </w:rPr>
        <w:t>；</w:t>
      </w:r>
      <w:r>
        <w:rPr>
          <w:rFonts w:ascii="宋体" w:eastAsia="宋体" w:hAnsi="宋体" w:cs="Times New Roman"/>
          <w:kern w:val="0"/>
          <w:sz w:val="24"/>
          <w:szCs w:val="24"/>
        </w:rPr>
        <w:t>如何正确看待在社会主义经济建设中出现的失误；“文化大革命”发生的历史原因和教训。</w:t>
      </w:r>
    </w:p>
    <w:p w14:paraId="3E2C8CD7"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4E23F390"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1.通过教师系统讲授和学生自主探究相结合，讲授教学内容，深化对</w:t>
      </w:r>
      <w:r>
        <w:rPr>
          <w:rFonts w:ascii="宋体" w:eastAsia="宋体" w:hAnsi="宋体" w:cs="Times New Roman"/>
          <w:kern w:val="0"/>
          <w:sz w:val="24"/>
          <w:szCs w:val="24"/>
        </w:rPr>
        <w:t>历史和人民选择社会主义道路的</w:t>
      </w:r>
      <w:r>
        <w:rPr>
          <w:rFonts w:ascii="宋体" w:eastAsia="宋体" w:hAnsi="宋体" w:cs="Times New Roman"/>
          <w:sz w:val="24"/>
          <w:szCs w:val="24"/>
        </w:rPr>
        <w:t>理解</w:t>
      </w:r>
      <w:r>
        <w:rPr>
          <w:rFonts w:ascii="宋体" w:eastAsia="宋体" w:hAnsi="宋体" w:cs="Times New Roman" w:hint="eastAsia"/>
          <w:sz w:val="24"/>
          <w:szCs w:val="24"/>
        </w:rPr>
        <w:t>；</w:t>
      </w:r>
      <w:r>
        <w:rPr>
          <w:rFonts w:ascii="宋体" w:eastAsia="宋体" w:hAnsi="宋体" w:cs="Times New Roman"/>
          <w:sz w:val="24"/>
          <w:szCs w:val="24"/>
        </w:rPr>
        <w:t>正确认识社会主义建设在探索中的曲折发展</w:t>
      </w:r>
      <w:r>
        <w:rPr>
          <w:rFonts w:ascii="宋体" w:eastAsia="宋体" w:hAnsi="宋体" w:cs="Times New Roman" w:hint="eastAsia"/>
          <w:sz w:val="24"/>
          <w:szCs w:val="24"/>
        </w:rPr>
        <w:t>和历史成就</w:t>
      </w:r>
      <w:r>
        <w:rPr>
          <w:rFonts w:ascii="宋体" w:eastAsia="宋体" w:hAnsi="宋体" w:cs="Times New Roman"/>
          <w:sz w:val="24"/>
          <w:szCs w:val="24"/>
        </w:rPr>
        <w:t>；</w:t>
      </w:r>
    </w:p>
    <w:p w14:paraId="5443C4E3"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2.采用视频和图片结合方式，呈现</w:t>
      </w:r>
      <w:r>
        <w:rPr>
          <w:rFonts w:ascii="宋体" w:eastAsia="宋体" w:hAnsi="宋体" w:cs="Times New Roman"/>
          <w:kern w:val="0"/>
          <w:sz w:val="24"/>
          <w:szCs w:val="24"/>
        </w:rPr>
        <w:t>过渡时期</w:t>
      </w:r>
      <w:r>
        <w:rPr>
          <w:rFonts w:ascii="宋体" w:eastAsia="宋体" w:hAnsi="宋体" w:cs="Times New Roman" w:hint="eastAsia"/>
          <w:kern w:val="0"/>
          <w:sz w:val="24"/>
          <w:szCs w:val="24"/>
        </w:rPr>
        <w:t>、</w:t>
      </w:r>
      <w:r>
        <w:rPr>
          <w:rFonts w:ascii="宋体" w:eastAsia="宋体" w:hAnsi="宋体" w:cs="Times New Roman"/>
          <w:kern w:val="0"/>
          <w:sz w:val="24"/>
          <w:szCs w:val="24"/>
        </w:rPr>
        <w:t>初期建设探索的历史</w:t>
      </w:r>
      <w:r>
        <w:rPr>
          <w:rFonts w:ascii="宋体" w:eastAsia="宋体" w:hAnsi="宋体" w:cs="Times New Roman"/>
          <w:sz w:val="24"/>
          <w:szCs w:val="24"/>
        </w:rPr>
        <w:t>；</w:t>
      </w:r>
    </w:p>
    <w:p w14:paraId="46E50FAE"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3.通过课堂研讨，引导深化理解</w:t>
      </w:r>
      <w:r>
        <w:rPr>
          <w:rFonts w:ascii="宋体" w:eastAsia="宋体" w:hAnsi="宋体" w:cs="Times New Roman"/>
          <w:kern w:val="0"/>
          <w:sz w:val="24"/>
          <w:szCs w:val="24"/>
        </w:rPr>
        <w:t>完成社会主义改造是中国历史上最伟大最深刻的社会变革</w:t>
      </w:r>
      <w:r>
        <w:rPr>
          <w:rFonts w:ascii="宋体" w:eastAsia="宋体" w:hAnsi="宋体" w:cs="Times New Roman" w:hint="eastAsia"/>
          <w:sz w:val="24"/>
          <w:szCs w:val="24"/>
        </w:rPr>
        <w:t>；</w:t>
      </w:r>
      <w:r>
        <w:rPr>
          <w:rFonts w:ascii="宋体" w:eastAsia="宋体" w:hAnsi="宋体" w:cs="Times New Roman"/>
          <w:sz w:val="24"/>
          <w:szCs w:val="24"/>
        </w:rPr>
        <w:t>引导客观</w:t>
      </w:r>
      <w:r>
        <w:rPr>
          <w:rFonts w:ascii="宋体" w:eastAsia="宋体" w:hAnsi="宋体" w:cs="Times New Roman"/>
          <w:kern w:val="0"/>
          <w:sz w:val="24"/>
          <w:szCs w:val="24"/>
        </w:rPr>
        <w:t>辩证认知探索社会主义建设所取得的成就和曲折，坚定社会主义必胜的信心。</w:t>
      </w:r>
    </w:p>
    <w:p w14:paraId="5C977088"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【复习思考】</w:t>
      </w:r>
    </w:p>
    <w:p w14:paraId="38C507F2"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1.为什么说新民主主义社会是一个过渡型的社会？</w:t>
      </w:r>
    </w:p>
    <w:p w14:paraId="79CE9006"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2.怎样理解社会主义制度在中国的确立是历史和人民的选择?</w:t>
      </w:r>
    </w:p>
    <w:p w14:paraId="04783077"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sz w:val="24"/>
          <w:szCs w:val="24"/>
        </w:rPr>
        <w:t>3.</w:t>
      </w:r>
      <w:r>
        <w:rPr>
          <w:rFonts w:ascii="宋体" w:eastAsia="宋体" w:hAnsi="宋体" w:cs="Times New Roman" w:hint="eastAsia"/>
          <w:kern w:val="0"/>
          <w:sz w:val="24"/>
          <w:szCs w:val="24"/>
        </w:rPr>
        <w:t>如何理解过渡时期总路线的历史必然性?</w:t>
      </w:r>
    </w:p>
    <w:p w14:paraId="11E8097E"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hint="eastAsia"/>
          <w:kern w:val="0"/>
          <w:sz w:val="24"/>
          <w:szCs w:val="24"/>
        </w:rPr>
        <w:t>4.请结合当代中国发展进步的事实，谈谈你是如何认识建立社会</w:t>
      </w:r>
      <w:proofErr w:type="gramStart"/>
      <w:r>
        <w:rPr>
          <w:rFonts w:ascii="宋体" w:eastAsia="宋体" w:hAnsi="宋体" w:cs="Times New Roman" w:hint="eastAsia"/>
          <w:kern w:val="0"/>
          <w:sz w:val="24"/>
          <w:szCs w:val="24"/>
        </w:rPr>
        <w:t>主制度</w:t>
      </w:r>
      <w:proofErr w:type="gramEnd"/>
      <w:r>
        <w:rPr>
          <w:rFonts w:ascii="宋体" w:eastAsia="宋体" w:hAnsi="宋体" w:cs="Times New Roman" w:hint="eastAsia"/>
          <w:kern w:val="0"/>
          <w:sz w:val="24"/>
          <w:szCs w:val="24"/>
        </w:rPr>
        <w:t>的重大意义的。</w:t>
      </w:r>
    </w:p>
    <w:p w14:paraId="0DC0EC76"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hint="eastAsia"/>
          <w:kern w:val="0"/>
          <w:sz w:val="24"/>
          <w:szCs w:val="24"/>
        </w:rPr>
        <w:t>5.中国社会主义建设道路经历了怎样的艰辛探索?你是如何认识其中的经验教训的?</w:t>
      </w:r>
    </w:p>
    <w:p w14:paraId="3D3C1B7F"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hint="eastAsia"/>
          <w:kern w:val="0"/>
          <w:sz w:val="24"/>
          <w:szCs w:val="24"/>
        </w:rPr>
        <w:t>6.请结合当前中国面临的国际局势，谈谈我国建立独立的、比较完整的工业体系和国民经济体系的重大意义</w:t>
      </w:r>
    </w:p>
    <w:p w14:paraId="45F7AC8E"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kern w:val="0"/>
          <w:sz w:val="24"/>
          <w:szCs w:val="24"/>
        </w:rPr>
        <w:t>7.作为新时代的青年，我们应当如何弘扬社会主义革命和建设时期形成的历久弥新的时代精神?</w:t>
      </w:r>
    </w:p>
    <w:p w14:paraId="49A3A01F" w14:textId="77777777" w:rsidR="00D71975" w:rsidRDefault="00D71975" w:rsidP="00D71975">
      <w:pPr>
        <w:snapToGrid w:val="0"/>
        <w:spacing w:before="187" w:after="187" w:line="440" w:lineRule="exact"/>
        <w:ind w:firstLineChars="200" w:firstLine="560"/>
        <w:jc w:val="center"/>
        <w:rPr>
          <w:rFonts w:ascii="黑体" w:eastAsia="黑体" w:hAnsi="黑体" w:cs="Times New Roman"/>
          <w:sz w:val="28"/>
          <w:szCs w:val="28"/>
        </w:rPr>
      </w:pPr>
      <w:r>
        <w:rPr>
          <w:rFonts w:ascii="黑体" w:eastAsia="黑体" w:hAnsi="黑体" w:cs="Times New Roman"/>
          <w:sz w:val="28"/>
          <w:szCs w:val="28"/>
        </w:rPr>
        <w:t>第</w:t>
      </w:r>
      <w:r>
        <w:rPr>
          <w:rFonts w:ascii="黑体" w:eastAsia="黑体" w:hAnsi="黑体" w:cs="Times New Roman" w:hint="eastAsia"/>
          <w:sz w:val="28"/>
          <w:szCs w:val="28"/>
        </w:rPr>
        <w:t>九</w:t>
      </w:r>
      <w:r>
        <w:rPr>
          <w:rFonts w:ascii="黑体" w:eastAsia="黑体" w:hAnsi="黑体" w:cs="Times New Roman"/>
          <w:sz w:val="28"/>
          <w:szCs w:val="28"/>
        </w:rPr>
        <w:t>章　改革开放</w:t>
      </w:r>
      <w:r>
        <w:rPr>
          <w:rFonts w:ascii="黑体" w:eastAsia="黑体" w:hAnsi="黑体" w:cs="Times New Roman" w:hint="eastAsia"/>
          <w:sz w:val="28"/>
          <w:szCs w:val="28"/>
        </w:rPr>
        <w:t>与</w:t>
      </w:r>
      <w:r>
        <w:rPr>
          <w:rFonts w:ascii="黑体" w:eastAsia="黑体" w:hAnsi="黑体" w:cs="Times New Roman"/>
          <w:sz w:val="28"/>
          <w:szCs w:val="28"/>
        </w:rPr>
        <w:t>中国特色社会主义的开创</w:t>
      </w:r>
      <w:r>
        <w:rPr>
          <w:rFonts w:ascii="黑体" w:eastAsia="黑体" w:hAnsi="黑体" w:cs="Times New Roman" w:hint="eastAsia"/>
          <w:sz w:val="28"/>
          <w:szCs w:val="28"/>
        </w:rPr>
        <w:t>和</w:t>
      </w:r>
      <w:r>
        <w:rPr>
          <w:rFonts w:ascii="黑体" w:eastAsia="黑体" w:hAnsi="黑体" w:cs="Times New Roman"/>
          <w:sz w:val="28"/>
          <w:szCs w:val="28"/>
        </w:rPr>
        <w:t>发展</w:t>
      </w:r>
    </w:p>
    <w:p w14:paraId="2542AB9E"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【学习目标】</w:t>
      </w:r>
    </w:p>
    <w:p w14:paraId="09BE8486"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kern w:val="0"/>
          <w:sz w:val="24"/>
          <w:szCs w:val="24"/>
        </w:rPr>
        <w:t>1.认知类目标：</w:t>
      </w:r>
      <w:r>
        <w:rPr>
          <w:rFonts w:ascii="宋体" w:eastAsia="宋体" w:hAnsi="宋体" w:cs="Times New Roman"/>
          <w:sz w:val="24"/>
          <w:szCs w:val="24"/>
        </w:rPr>
        <w:t>了解中共十一届三中全会的历史功绩和伟大转折，了解</w:t>
      </w:r>
      <w:r>
        <w:rPr>
          <w:rFonts w:ascii="宋体" w:eastAsia="宋体" w:hAnsi="宋体" w:cs="Times New Roman"/>
          <w:kern w:val="0"/>
          <w:sz w:val="24"/>
          <w:szCs w:val="24"/>
        </w:rPr>
        <w:t>改革开放</w:t>
      </w:r>
      <w:r>
        <w:rPr>
          <w:rFonts w:ascii="宋体" w:eastAsia="宋体" w:hAnsi="宋体" w:cs="Times New Roman"/>
          <w:kern w:val="0"/>
          <w:sz w:val="24"/>
          <w:szCs w:val="24"/>
        </w:rPr>
        <w:lastRenderedPageBreak/>
        <w:t>的历史进程及取得的巨大成就，认识改革开放的</w:t>
      </w:r>
      <w:r>
        <w:rPr>
          <w:rFonts w:ascii="宋体" w:eastAsia="宋体" w:hAnsi="宋体" w:cs="Times New Roman"/>
          <w:sz w:val="24"/>
          <w:szCs w:val="24"/>
        </w:rPr>
        <w:t>必要性和重大意义。</w:t>
      </w:r>
    </w:p>
    <w:p w14:paraId="6CEEBE07"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2.过程与方法类目标：结合改革开放前后的国际国内历史背景，引导学生展开深入讨论，深刻认识中国为什么和怎样选择了</w:t>
      </w:r>
      <w:r>
        <w:rPr>
          <w:rFonts w:ascii="宋体" w:eastAsia="宋体" w:hAnsi="宋体" w:cs="Times New Roman"/>
          <w:sz w:val="24"/>
          <w:szCs w:val="24"/>
        </w:rPr>
        <w:t>改革开放，</w:t>
      </w:r>
      <w:r>
        <w:rPr>
          <w:rFonts w:ascii="宋体" w:eastAsia="宋体" w:hAnsi="宋体" w:cs="Times New Roman"/>
          <w:kern w:val="0"/>
          <w:sz w:val="24"/>
          <w:szCs w:val="24"/>
        </w:rPr>
        <w:t>培养学生分析总结取得重大成就的根本原因和经验启示的能力。</w:t>
      </w:r>
    </w:p>
    <w:p w14:paraId="1DFCF8F9"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kern w:val="0"/>
          <w:sz w:val="24"/>
          <w:szCs w:val="24"/>
        </w:rPr>
        <w:t>3.情感、态度、价值观类目标：通过学习，引导学生</w:t>
      </w:r>
      <w:r>
        <w:rPr>
          <w:rFonts w:ascii="宋体" w:eastAsia="宋体" w:hAnsi="宋体" w:cs="Times New Roman"/>
          <w:sz w:val="24"/>
          <w:szCs w:val="24"/>
        </w:rPr>
        <w:t>深刻认知改革开放作为中国的第二次革命，深刻改变了中国，极大解放和发展了中国社会生产力，充分显示了中国力量，改革是中国发展的必由之路。新时代青年要勇立时代潮头，勇于创新，成为中国全面深化改革的坚定支持者和优秀建设者。</w:t>
      </w:r>
    </w:p>
    <w:p w14:paraId="0CE827A0"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4144DD52"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1.历史性的伟大转折和改革开放的起步；</w:t>
      </w:r>
    </w:p>
    <w:p w14:paraId="09EB7579"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2.改革开放和社会主义现代化建设新局面；</w:t>
      </w:r>
    </w:p>
    <w:p w14:paraId="29065EE7"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3.把中国特色社会主义</w:t>
      </w:r>
      <w:r>
        <w:rPr>
          <w:rFonts w:ascii="宋体" w:eastAsia="宋体" w:hAnsi="宋体" w:cs="Times New Roman" w:hint="eastAsia"/>
          <w:sz w:val="24"/>
          <w:szCs w:val="24"/>
        </w:rPr>
        <w:t>全面</w:t>
      </w:r>
      <w:r>
        <w:rPr>
          <w:rFonts w:ascii="宋体" w:eastAsia="宋体" w:hAnsi="宋体" w:cs="Times New Roman"/>
          <w:sz w:val="24"/>
          <w:szCs w:val="24"/>
        </w:rPr>
        <w:t>推向</w:t>
      </w:r>
      <w:r>
        <w:rPr>
          <w:rFonts w:ascii="宋体" w:eastAsia="宋体" w:hAnsi="宋体" w:cs="Times New Roman" w:hint="eastAsia"/>
          <w:sz w:val="24"/>
          <w:szCs w:val="24"/>
        </w:rPr>
        <w:t>21世纪</w:t>
      </w:r>
      <w:r>
        <w:rPr>
          <w:rFonts w:ascii="宋体" w:eastAsia="宋体" w:hAnsi="宋体" w:cs="Times New Roman"/>
          <w:sz w:val="24"/>
          <w:szCs w:val="24"/>
        </w:rPr>
        <w:t>；</w:t>
      </w:r>
    </w:p>
    <w:p w14:paraId="74738361"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4.在新的</w:t>
      </w:r>
      <w:r>
        <w:rPr>
          <w:rFonts w:ascii="宋体" w:eastAsia="宋体" w:hAnsi="宋体" w:cs="Times New Roman" w:hint="eastAsia"/>
          <w:sz w:val="24"/>
          <w:szCs w:val="24"/>
        </w:rPr>
        <w:t>形势下坚持和发展</w:t>
      </w:r>
      <w:r>
        <w:rPr>
          <w:rFonts w:ascii="宋体" w:eastAsia="宋体" w:hAnsi="宋体" w:cs="Times New Roman"/>
          <w:sz w:val="24"/>
          <w:szCs w:val="24"/>
        </w:rPr>
        <w:t>中国特色社会主义。</w:t>
      </w:r>
    </w:p>
    <w:p w14:paraId="0E841AAD"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【重点】</w:t>
      </w:r>
    </w:p>
    <w:p w14:paraId="7D000AD4"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十一届三中全会的历史功绩；改革开放的历史进程及取得的成就。</w:t>
      </w:r>
    </w:p>
    <w:p w14:paraId="05AC58C3" w14:textId="77777777" w:rsidR="00D71975" w:rsidRDefault="00D71975" w:rsidP="00D71975">
      <w:pPr>
        <w:snapToGrid w:val="0"/>
        <w:spacing w:line="440" w:lineRule="exact"/>
        <w:ind w:firstLineChars="200" w:firstLine="482"/>
        <w:rPr>
          <w:rFonts w:ascii="宋体" w:eastAsia="宋体" w:hAnsi="宋体" w:cs="Times New Roman"/>
          <w:b/>
          <w:bCs/>
          <w:kern w:val="0"/>
          <w:sz w:val="24"/>
          <w:szCs w:val="24"/>
        </w:rPr>
      </w:pPr>
      <w:r>
        <w:rPr>
          <w:rFonts w:ascii="宋体" w:eastAsia="宋体" w:hAnsi="宋体" w:cs="Times New Roman"/>
          <w:b/>
          <w:bCs/>
          <w:kern w:val="0"/>
          <w:sz w:val="24"/>
          <w:szCs w:val="24"/>
        </w:rPr>
        <w:t>【难点】</w:t>
      </w:r>
    </w:p>
    <w:p w14:paraId="3FD5DA20"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取得重大成就的根本原因和主要经验总结。</w:t>
      </w:r>
    </w:p>
    <w:p w14:paraId="0A1DDAB1"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365B5C58"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1.通过教师系统讲授和学生自主探究相结合，讲授教学内容，深化对改革开放历史进程影响的深刻理解；</w:t>
      </w:r>
    </w:p>
    <w:p w14:paraId="69F25D9B"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2.采用视频和图片结合方式，呈现中国特色社会主义的开创与接续发展历史过程；</w:t>
      </w:r>
    </w:p>
    <w:p w14:paraId="11FDE1A5"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sz w:val="24"/>
          <w:szCs w:val="24"/>
        </w:rPr>
        <w:t>3.通过课堂研讨，引导认知中国共产党领导中国特色社会主义事业在新世纪取得的重大历史成就的深刻历史原因</w:t>
      </w:r>
      <w:r>
        <w:rPr>
          <w:rFonts w:ascii="宋体" w:eastAsia="宋体" w:hAnsi="宋体" w:cs="Times New Roman"/>
          <w:kern w:val="0"/>
          <w:sz w:val="24"/>
          <w:szCs w:val="24"/>
        </w:rPr>
        <w:t>。</w:t>
      </w:r>
    </w:p>
    <w:p w14:paraId="53C644B7"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【复习思考】</w:t>
      </w:r>
    </w:p>
    <w:p w14:paraId="78470F25"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1.为什么说十一届三中全会是新中国成立以后的伟大历史性转折？</w:t>
      </w:r>
    </w:p>
    <w:p w14:paraId="591D0982"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Times New Roman" w:hint="eastAsia"/>
          <w:sz w:val="24"/>
          <w:szCs w:val="24"/>
        </w:rPr>
        <w:t>中国特色社会主义是怎样开创的</w:t>
      </w:r>
      <w:r>
        <w:rPr>
          <w:rFonts w:ascii="宋体" w:eastAsia="宋体" w:hAnsi="宋体" w:cs="Times New Roman"/>
          <w:sz w:val="24"/>
          <w:szCs w:val="24"/>
        </w:rPr>
        <w:t>？</w:t>
      </w:r>
    </w:p>
    <w:p w14:paraId="4A029EDC"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hint="eastAsia"/>
          <w:sz w:val="24"/>
          <w:szCs w:val="24"/>
        </w:rPr>
        <w:t>中国特色社会主义是怎样接续发展的？</w:t>
      </w:r>
    </w:p>
    <w:p w14:paraId="61954792"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w:t>
      </w:r>
      <w:r>
        <w:rPr>
          <w:rFonts w:ascii="宋体" w:eastAsia="宋体" w:hAnsi="宋体" w:cs="Times New Roman"/>
          <w:sz w:val="24"/>
          <w:szCs w:val="24"/>
        </w:rPr>
        <w:t>在不断推进改革开放和现代化建设的历史进程中，实践创新和理论创新的关系是怎样的？试举例说明。</w:t>
      </w:r>
    </w:p>
    <w:p w14:paraId="36E78A3A" w14:textId="77777777" w:rsidR="00D71975" w:rsidRDefault="00D71975" w:rsidP="00D71975">
      <w:pPr>
        <w:snapToGrid w:val="0"/>
        <w:spacing w:before="187" w:after="187" w:line="440" w:lineRule="exact"/>
        <w:ind w:firstLineChars="200" w:firstLine="560"/>
        <w:jc w:val="center"/>
        <w:rPr>
          <w:rFonts w:ascii="黑体" w:eastAsia="黑体" w:hAnsi="黑体" w:cs="Times New Roman"/>
          <w:sz w:val="28"/>
          <w:szCs w:val="28"/>
        </w:rPr>
      </w:pPr>
      <w:r>
        <w:rPr>
          <w:rFonts w:ascii="黑体" w:eastAsia="黑体" w:hAnsi="黑体" w:cs="Times New Roman"/>
          <w:sz w:val="28"/>
          <w:szCs w:val="28"/>
        </w:rPr>
        <w:t>第十章</w:t>
      </w:r>
      <w:bookmarkStart w:id="5" w:name="_Hlk50140939"/>
      <w:r>
        <w:rPr>
          <w:rFonts w:ascii="黑体" w:eastAsia="黑体" w:hAnsi="黑体" w:cs="Times New Roman"/>
          <w:sz w:val="28"/>
          <w:szCs w:val="28"/>
        </w:rPr>
        <w:t xml:space="preserve">　</w:t>
      </w:r>
      <w:bookmarkEnd w:id="5"/>
      <w:r>
        <w:rPr>
          <w:rFonts w:ascii="黑体" w:eastAsia="黑体" w:hAnsi="黑体" w:cs="Times New Roman"/>
          <w:sz w:val="28"/>
          <w:szCs w:val="28"/>
        </w:rPr>
        <w:t>中国特色社会主义进入新时代</w:t>
      </w:r>
    </w:p>
    <w:p w14:paraId="6BAE92E8"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lastRenderedPageBreak/>
        <w:t>【学习目标】</w:t>
      </w:r>
    </w:p>
    <w:p w14:paraId="2346C532"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1.认知类目标：了解党和国家事业的历史性成就和历史性变革，认识中国特色社会主义进入新时代重大意义，了解中华民族在新时代面临新的发展机遇和挑战。</w:t>
      </w:r>
    </w:p>
    <w:p w14:paraId="6D07CCD4"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2.过程与方法类目标：结合新中国发展成就，引导学生在研讨分析中，理解中国特色社会主义进入了新时代对中国的意义，明确自身的责任和使命。</w:t>
      </w:r>
    </w:p>
    <w:p w14:paraId="5F49CDA9"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3.情感、态度、价值观类目标：通过学习，</w:t>
      </w:r>
      <w:r>
        <w:rPr>
          <w:rFonts w:ascii="宋体" w:eastAsia="宋体" w:hAnsi="宋体" w:cs="Times New Roman"/>
          <w:sz w:val="24"/>
          <w:szCs w:val="24"/>
        </w:rPr>
        <w:t>进一步</w:t>
      </w:r>
      <w:r>
        <w:rPr>
          <w:rFonts w:ascii="宋体" w:eastAsia="宋体" w:hAnsi="宋体" w:cs="Times New Roman"/>
          <w:kern w:val="0"/>
          <w:sz w:val="24"/>
          <w:szCs w:val="24"/>
        </w:rPr>
        <w:t>增进学生对中国特色社会主义的思想认同、政治认同和情感认同，坚定道路自信、理论自信、制度自信和文化自信，增强承担起属于青年人的责任和使命，自觉投身中国特色社会主义建设事业，成为优秀的建设者和接班人，推进社会主义事业走向光明未来。</w:t>
      </w:r>
    </w:p>
    <w:p w14:paraId="2D63B4EC"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6520841E"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sz w:val="24"/>
          <w:szCs w:val="24"/>
        </w:rPr>
        <w:t>1</w:t>
      </w:r>
      <w:r>
        <w:rPr>
          <w:rFonts w:ascii="宋体" w:eastAsia="宋体" w:hAnsi="宋体" w:cs="Times New Roman"/>
          <w:kern w:val="0"/>
          <w:sz w:val="24"/>
          <w:szCs w:val="24"/>
        </w:rPr>
        <w:t>.开拓中国特色社会主义更为广阔的发展前景；</w:t>
      </w:r>
    </w:p>
    <w:p w14:paraId="2B79708E"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2.</w:t>
      </w:r>
      <w:r>
        <w:rPr>
          <w:rFonts w:ascii="宋体" w:eastAsia="宋体" w:hAnsi="宋体" w:cs="Times New Roman" w:hint="eastAsia"/>
          <w:kern w:val="0"/>
          <w:sz w:val="24"/>
          <w:szCs w:val="24"/>
        </w:rPr>
        <w:t>把中国特色社会主义不断推向前进</w:t>
      </w:r>
      <w:r>
        <w:rPr>
          <w:rFonts w:ascii="宋体" w:eastAsia="宋体" w:hAnsi="宋体" w:cs="Times New Roman"/>
          <w:kern w:val="0"/>
          <w:sz w:val="24"/>
          <w:szCs w:val="24"/>
        </w:rPr>
        <w:t>；</w:t>
      </w:r>
    </w:p>
    <w:p w14:paraId="6CDFC283"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3.开启全面建设社会主义现代化国家的新征程。</w:t>
      </w:r>
    </w:p>
    <w:p w14:paraId="5F360E01"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【重点】</w:t>
      </w:r>
    </w:p>
    <w:p w14:paraId="37C4244A"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理解中国特色社会主义进入了新时代是我国发展新的历史方位</w:t>
      </w:r>
      <w:r>
        <w:rPr>
          <w:rFonts w:ascii="宋体" w:eastAsia="宋体" w:hAnsi="宋体" w:cs="Times New Roman" w:hint="eastAsia"/>
          <w:kern w:val="0"/>
          <w:sz w:val="24"/>
          <w:szCs w:val="24"/>
        </w:rPr>
        <w:t>；</w:t>
      </w:r>
      <w:r>
        <w:rPr>
          <w:rFonts w:ascii="宋体" w:eastAsia="宋体" w:hAnsi="宋体" w:cs="Times New Roman"/>
          <w:kern w:val="0"/>
          <w:sz w:val="24"/>
          <w:szCs w:val="24"/>
        </w:rPr>
        <w:t>理解全面建成小康社会和开启全面建设社会主义现代化国家的新征程的重要历史意义</w:t>
      </w:r>
      <w:r>
        <w:rPr>
          <w:rFonts w:ascii="宋体" w:eastAsia="宋体" w:hAnsi="宋体" w:cs="Times New Roman" w:hint="eastAsia"/>
          <w:kern w:val="0"/>
          <w:sz w:val="24"/>
          <w:szCs w:val="24"/>
        </w:rPr>
        <w:t>；理解新时代十年历史性成就的重大意义。</w:t>
      </w:r>
    </w:p>
    <w:p w14:paraId="7AB1023F"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【难点】</w:t>
      </w:r>
    </w:p>
    <w:p w14:paraId="73B02325"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kern w:val="0"/>
          <w:sz w:val="24"/>
          <w:szCs w:val="24"/>
        </w:rPr>
        <w:t>如何理解中国特色社会主义进入了新时代</w:t>
      </w:r>
      <w:r>
        <w:rPr>
          <w:rFonts w:ascii="宋体" w:eastAsia="宋体" w:hAnsi="宋体" w:cs="Times New Roman" w:hint="eastAsia"/>
          <w:kern w:val="0"/>
          <w:sz w:val="24"/>
          <w:szCs w:val="24"/>
        </w:rPr>
        <w:t>；</w:t>
      </w:r>
      <w:r>
        <w:rPr>
          <w:rFonts w:ascii="宋体" w:eastAsia="宋体" w:hAnsi="宋体" w:cs="Times New Roman"/>
          <w:kern w:val="0"/>
          <w:sz w:val="24"/>
          <w:szCs w:val="24"/>
        </w:rPr>
        <w:t>正确认识我国社会主要矛盾的变化及其意义</w:t>
      </w:r>
      <w:r>
        <w:rPr>
          <w:rFonts w:ascii="宋体" w:eastAsia="宋体" w:hAnsi="宋体" w:cs="Times New Roman" w:hint="eastAsia"/>
          <w:kern w:val="0"/>
          <w:sz w:val="24"/>
          <w:szCs w:val="24"/>
        </w:rPr>
        <w:t>。</w:t>
      </w:r>
    </w:p>
    <w:p w14:paraId="474130D0"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2AFA6478"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1.通过教师系统讲授和学生自主探究相结合，讲授教学内容，深化对中国特色社会主义进入新时代的理解；了解我国当前面临的挑战和机遇</w:t>
      </w:r>
      <w:r>
        <w:rPr>
          <w:rFonts w:ascii="宋体" w:eastAsia="宋体" w:hAnsi="宋体" w:cs="Times New Roman" w:hint="eastAsia"/>
          <w:sz w:val="24"/>
          <w:szCs w:val="24"/>
        </w:rPr>
        <w:t>；</w:t>
      </w:r>
    </w:p>
    <w:p w14:paraId="62ED1F51"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2.采用视频和图片结合方式，呈现十八大以来，党和国家事业发生的历史性变革，引导学生</w:t>
      </w:r>
      <w:r>
        <w:rPr>
          <w:rFonts w:ascii="宋体" w:eastAsia="宋体" w:hAnsi="宋体" w:cs="Times New Roman"/>
          <w:kern w:val="0"/>
          <w:sz w:val="24"/>
          <w:szCs w:val="24"/>
        </w:rPr>
        <w:t>坚定道路自信、理论自信、制度自信和文化自信</w:t>
      </w:r>
      <w:r>
        <w:rPr>
          <w:rFonts w:ascii="宋体" w:eastAsia="宋体" w:hAnsi="宋体" w:cs="Times New Roman"/>
          <w:sz w:val="24"/>
          <w:szCs w:val="24"/>
        </w:rPr>
        <w:t>；</w:t>
      </w:r>
    </w:p>
    <w:p w14:paraId="3DD74A75" w14:textId="77777777" w:rsidR="00D71975" w:rsidRDefault="00D71975" w:rsidP="00D71975">
      <w:pPr>
        <w:snapToGrid w:val="0"/>
        <w:spacing w:line="440" w:lineRule="exact"/>
        <w:ind w:firstLineChars="200" w:firstLine="480"/>
        <w:rPr>
          <w:rFonts w:ascii="宋体" w:eastAsia="宋体" w:hAnsi="宋体" w:cs="Times New Roman"/>
          <w:kern w:val="0"/>
          <w:sz w:val="24"/>
          <w:szCs w:val="24"/>
        </w:rPr>
      </w:pPr>
      <w:r>
        <w:rPr>
          <w:rFonts w:ascii="宋体" w:eastAsia="宋体" w:hAnsi="宋体" w:cs="Times New Roman"/>
          <w:sz w:val="24"/>
          <w:szCs w:val="24"/>
        </w:rPr>
        <w:t>3.通过课堂研讨，引导认知中国特色社会主义进入新时代与社会主要矛盾的新变化，深刻理解习近平新时代中国特色社会主义思想的历史地位</w:t>
      </w:r>
      <w:r>
        <w:rPr>
          <w:rFonts w:ascii="宋体" w:eastAsia="宋体" w:hAnsi="宋体" w:cs="Times New Roman" w:hint="eastAsia"/>
          <w:kern w:val="0"/>
          <w:sz w:val="24"/>
          <w:szCs w:val="24"/>
        </w:rPr>
        <w:t>；</w:t>
      </w:r>
      <w:r>
        <w:rPr>
          <w:rFonts w:ascii="宋体" w:eastAsia="宋体" w:hAnsi="宋体" w:cs="Times New Roman"/>
          <w:kern w:val="0"/>
          <w:sz w:val="24"/>
          <w:szCs w:val="24"/>
        </w:rPr>
        <w:t>了解全面建成小康社会对中华民族伟大复兴的重要意义</w:t>
      </w:r>
      <w:r>
        <w:rPr>
          <w:rFonts w:ascii="宋体" w:eastAsia="宋体" w:hAnsi="宋体" w:cs="Times New Roman" w:hint="eastAsia"/>
          <w:kern w:val="0"/>
          <w:sz w:val="24"/>
          <w:szCs w:val="24"/>
        </w:rPr>
        <w:t>。</w:t>
      </w:r>
    </w:p>
    <w:p w14:paraId="075030CA" w14:textId="77777777" w:rsidR="00D71975" w:rsidRDefault="00D71975" w:rsidP="00D71975">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【复习思考】</w:t>
      </w:r>
    </w:p>
    <w:p w14:paraId="2A6C7765"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hint="eastAsia"/>
          <w:sz w:val="24"/>
          <w:szCs w:val="24"/>
        </w:rPr>
        <w:t>联系我国社会主要矛盾的新变化，如何正确理解</w:t>
      </w:r>
      <w:r>
        <w:rPr>
          <w:rFonts w:ascii="宋体" w:eastAsia="宋体" w:hAnsi="宋体" w:cs="Times New Roman"/>
          <w:sz w:val="24"/>
          <w:szCs w:val="24"/>
        </w:rPr>
        <w:t>中国特色社会主义进入新时代</w:t>
      </w:r>
      <w:r>
        <w:rPr>
          <w:rFonts w:ascii="宋体" w:eastAsia="宋体" w:hAnsi="宋体" w:cs="Times New Roman" w:hint="eastAsia"/>
          <w:sz w:val="24"/>
          <w:szCs w:val="24"/>
        </w:rPr>
        <w:t>的内涵和意义</w:t>
      </w:r>
      <w:r>
        <w:rPr>
          <w:rFonts w:ascii="宋体" w:eastAsia="宋体" w:hAnsi="宋体" w:cs="Times New Roman"/>
          <w:sz w:val="24"/>
          <w:szCs w:val="24"/>
        </w:rPr>
        <w:t>？</w:t>
      </w:r>
    </w:p>
    <w:p w14:paraId="1E2D3882"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lastRenderedPageBreak/>
        <w:t>2.</w:t>
      </w:r>
      <w:r>
        <w:rPr>
          <w:rFonts w:ascii="宋体" w:eastAsia="宋体" w:hAnsi="宋体" w:cs="Times New Roman" w:hint="eastAsia"/>
          <w:sz w:val="24"/>
          <w:szCs w:val="24"/>
        </w:rPr>
        <w:t>联系实际，谈谈党的</w:t>
      </w:r>
      <w:r>
        <w:rPr>
          <w:rFonts w:ascii="宋体" w:eastAsia="宋体" w:hAnsi="宋体" w:cs="Times New Roman"/>
          <w:sz w:val="24"/>
          <w:szCs w:val="24"/>
        </w:rPr>
        <w:t>十八大以来，党和国家事业发生怎样的历史性变革</w:t>
      </w:r>
      <w:r>
        <w:rPr>
          <w:rFonts w:ascii="宋体" w:eastAsia="宋体" w:hAnsi="宋体" w:cs="Times New Roman" w:hint="eastAsia"/>
          <w:sz w:val="24"/>
          <w:szCs w:val="24"/>
        </w:rPr>
        <w:t>，</w:t>
      </w:r>
      <w:r>
        <w:rPr>
          <w:rFonts w:ascii="宋体" w:eastAsia="宋体" w:hAnsi="宋体" w:cs="Times New Roman"/>
          <w:sz w:val="24"/>
          <w:szCs w:val="24"/>
        </w:rPr>
        <w:t>其意义是什么？</w:t>
      </w:r>
    </w:p>
    <w:p w14:paraId="47DD8C66" w14:textId="77777777" w:rsidR="00D71975" w:rsidRDefault="00D71975" w:rsidP="00D71975">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hint="eastAsia"/>
          <w:sz w:val="24"/>
          <w:szCs w:val="24"/>
        </w:rPr>
        <w:t>习近平在庆祝中国共产党成立100周年大会的讲话中指出，在中国大地上全面建成了小康社会是中华民族的伟大荣光、中国人民的伟大荣光、中国共产党的伟大荣光。联系历史和现实，谈谈全面建成小康社会的历史意义。</w:t>
      </w:r>
    </w:p>
    <w:p w14:paraId="195FEF3D" w14:textId="77777777" w:rsidR="00D71975" w:rsidRDefault="00D71975" w:rsidP="00D71975">
      <w:pPr>
        <w:snapToGrid w:val="0"/>
        <w:spacing w:line="440" w:lineRule="exact"/>
        <w:ind w:firstLineChars="200" w:firstLine="480"/>
        <w:rPr>
          <w:rFonts w:ascii="黑体" w:eastAsia="黑体" w:hAnsi="黑体" w:cs="Times New Roman"/>
          <w:sz w:val="28"/>
          <w:szCs w:val="28"/>
        </w:rPr>
      </w:pPr>
      <w:r>
        <w:rPr>
          <w:rFonts w:ascii="宋体" w:eastAsia="宋体" w:hAnsi="宋体" w:cs="Times New Roman" w:hint="eastAsia"/>
          <w:sz w:val="24"/>
          <w:szCs w:val="24"/>
        </w:rPr>
        <w:t>4.党的二十大强调，“两个确立”对新时代党和国家事业发展，、对推进中华民族伟大复兴历史进程具有决定性意义。联系历史和现实，谈谈如何理解“两个确立”的决定性意义。</w:t>
      </w:r>
    </w:p>
    <w:p w14:paraId="1069A3E5" w14:textId="77777777" w:rsidR="00D71975" w:rsidRDefault="00D71975" w:rsidP="00D71975">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（三）课程学习内容与课程学习目标的对应关系</w:t>
      </w:r>
    </w:p>
    <w:tbl>
      <w:tblPr>
        <w:tblStyle w:val="a9"/>
        <w:tblW w:w="8279" w:type="dxa"/>
        <w:tblLayout w:type="fixed"/>
        <w:tblCellMar>
          <w:top w:w="120" w:type="dxa"/>
          <w:left w:w="60" w:type="dxa"/>
          <w:bottom w:w="120" w:type="dxa"/>
          <w:right w:w="60" w:type="dxa"/>
        </w:tblCellMar>
        <w:tblLook w:val="04A0" w:firstRow="1" w:lastRow="0" w:firstColumn="1" w:lastColumn="0" w:noHBand="0" w:noVBand="1"/>
      </w:tblPr>
      <w:tblGrid>
        <w:gridCol w:w="3497"/>
        <w:gridCol w:w="1769"/>
        <w:gridCol w:w="1942"/>
        <w:gridCol w:w="1071"/>
      </w:tblGrid>
      <w:tr w:rsidR="00D71975" w14:paraId="125ADC12" w14:textId="77777777" w:rsidTr="0078124E">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3FC14C87" w14:textId="77777777" w:rsidR="00D71975" w:rsidRDefault="00D71975" w:rsidP="0078124E">
            <w:pPr>
              <w:adjustRightInd w:val="0"/>
              <w:snapToGrid w:val="0"/>
              <w:spacing w:line="440" w:lineRule="exact"/>
              <w:jc w:val="center"/>
              <w:rPr>
                <w:rFonts w:ascii="宋体" w:eastAsia="宋体" w:hAnsi="宋体" w:cs="宋体"/>
                <w:b/>
                <w:bCs/>
                <w:kern w:val="0"/>
                <w:sz w:val="24"/>
                <w:szCs w:val="24"/>
              </w:rPr>
            </w:pPr>
            <w:r>
              <w:rPr>
                <w:rFonts w:ascii="宋体" w:eastAsia="宋体" w:hAnsi="宋体" w:cs="宋体" w:hint="eastAsia"/>
                <w:b/>
                <w:bCs/>
                <w:color w:val="000000" w:themeColor="text1"/>
                <w:kern w:val="0"/>
                <w:sz w:val="24"/>
                <w:szCs w:val="24"/>
              </w:rPr>
              <w:t>课程学习内容</w:t>
            </w:r>
          </w:p>
        </w:tc>
        <w:tc>
          <w:tcPr>
            <w:tcW w:w="1769" w:type="dxa"/>
            <w:tcBorders>
              <w:top w:val="single" w:sz="8" w:space="0" w:color="000000"/>
              <w:left w:val="single" w:sz="8" w:space="0" w:color="000000"/>
              <w:bottom w:val="single" w:sz="8" w:space="0" w:color="000000"/>
              <w:right w:val="single" w:sz="8" w:space="0" w:color="000000"/>
            </w:tcBorders>
            <w:vAlign w:val="center"/>
          </w:tcPr>
          <w:p w14:paraId="75A1A3B1" w14:textId="77777777" w:rsidR="00D71975" w:rsidRDefault="00D71975" w:rsidP="0078124E">
            <w:pPr>
              <w:adjustRightInd w:val="0"/>
              <w:snapToGrid w:val="0"/>
              <w:spacing w:line="440" w:lineRule="exact"/>
              <w:jc w:val="center"/>
              <w:rPr>
                <w:rFonts w:ascii="宋体" w:eastAsia="宋体" w:hAnsi="宋体" w:cs="宋体"/>
                <w:b/>
                <w:bCs/>
                <w:kern w:val="0"/>
                <w:sz w:val="24"/>
                <w:szCs w:val="24"/>
              </w:rPr>
            </w:pPr>
            <w:r>
              <w:rPr>
                <w:rFonts w:ascii="宋体" w:eastAsia="宋体" w:hAnsi="宋体" w:cs="宋体" w:hint="eastAsia"/>
                <w:b/>
                <w:bCs/>
                <w:kern w:val="0"/>
                <w:sz w:val="24"/>
                <w:szCs w:val="24"/>
              </w:rPr>
              <w:t>教学方法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5511B689" w14:textId="77777777" w:rsidR="00D71975" w:rsidRDefault="00D71975" w:rsidP="0078124E">
            <w:pPr>
              <w:adjustRightInd w:val="0"/>
              <w:snapToGrid w:val="0"/>
              <w:spacing w:line="440" w:lineRule="exact"/>
              <w:jc w:val="center"/>
              <w:rPr>
                <w:rFonts w:ascii="宋体" w:eastAsia="宋体" w:hAnsi="宋体" w:cs="宋体"/>
                <w:b/>
                <w:bCs/>
                <w:kern w:val="0"/>
                <w:sz w:val="24"/>
                <w:szCs w:val="24"/>
              </w:rPr>
            </w:pPr>
            <w:r>
              <w:rPr>
                <w:rFonts w:ascii="宋体" w:eastAsia="宋体" w:hAnsi="宋体" w:cs="宋体" w:hint="eastAsia"/>
                <w:b/>
                <w:bCs/>
                <w:kern w:val="0"/>
                <w:sz w:val="24"/>
                <w:szCs w:val="24"/>
              </w:rPr>
              <w:t>支撑的课程目标</w:t>
            </w:r>
          </w:p>
        </w:tc>
        <w:tc>
          <w:tcPr>
            <w:tcW w:w="1071" w:type="dxa"/>
            <w:tcBorders>
              <w:top w:val="single" w:sz="8" w:space="0" w:color="000000"/>
              <w:left w:val="single" w:sz="8" w:space="0" w:color="000000"/>
              <w:bottom w:val="single" w:sz="8" w:space="0" w:color="000000"/>
              <w:right w:val="single" w:sz="8" w:space="0" w:color="000000"/>
            </w:tcBorders>
            <w:vAlign w:val="center"/>
          </w:tcPr>
          <w:p w14:paraId="23947BB7" w14:textId="77777777" w:rsidR="00D71975" w:rsidRDefault="00D71975" w:rsidP="0078124E">
            <w:pPr>
              <w:adjustRightInd w:val="0"/>
              <w:snapToGrid w:val="0"/>
              <w:spacing w:line="440" w:lineRule="exact"/>
              <w:jc w:val="center"/>
              <w:rPr>
                <w:rFonts w:ascii="宋体" w:eastAsia="宋体" w:hAnsi="宋体" w:cs="宋体"/>
                <w:b/>
                <w:bCs/>
                <w:kern w:val="0"/>
                <w:sz w:val="24"/>
                <w:szCs w:val="24"/>
              </w:rPr>
            </w:pPr>
            <w:r>
              <w:rPr>
                <w:rFonts w:ascii="宋体" w:eastAsia="宋体" w:hAnsi="宋体" w:cs="宋体" w:hint="eastAsia"/>
                <w:b/>
                <w:bCs/>
                <w:kern w:val="0"/>
                <w:sz w:val="24"/>
                <w:szCs w:val="24"/>
              </w:rPr>
              <w:t>学时安排</w:t>
            </w:r>
          </w:p>
        </w:tc>
      </w:tr>
      <w:tr w:rsidR="00D71975" w14:paraId="68D73699" w14:textId="77777777" w:rsidTr="0078124E">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42B9680B"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第一</w:t>
            </w:r>
            <w:proofErr w:type="gramStart"/>
            <w:r>
              <w:rPr>
                <w:rFonts w:ascii="宋体" w:eastAsia="宋体" w:hAnsi="宋体" w:cs="宋体" w:hint="eastAsia"/>
                <w:kern w:val="0"/>
                <w:sz w:val="24"/>
                <w:szCs w:val="24"/>
              </w:rPr>
              <w:t>章进入</w:t>
            </w:r>
            <w:proofErr w:type="gramEnd"/>
            <w:r>
              <w:rPr>
                <w:rFonts w:ascii="宋体" w:eastAsia="宋体" w:hAnsi="宋体" w:cs="宋体" w:hint="eastAsia"/>
                <w:kern w:val="0"/>
                <w:sz w:val="24"/>
                <w:szCs w:val="24"/>
              </w:rPr>
              <w:t>近代后中华民族的磨难和抗争</w:t>
            </w:r>
          </w:p>
        </w:tc>
        <w:tc>
          <w:tcPr>
            <w:tcW w:w="1769" w:type="dxa"/>
            <w:tcBorders>
              <w:top w:val="single" w:sz="8" w:space="0" w:color="000000"/>
              <w:left w:val="single" w:sz="8" w:space="0" w:color="000000"/>
              <w:bottom w:val="single" w:sz="8" w:space="0" w:color="000000"/>
              <w:right w:val="single" w:sz="8" w:space="0" w:color="000000"/>
            </w:tcBorders>
            <w:vAlign w:val="center"/>
          </w:tcPr>
          <w:p w14:paraId="5DD94F1A"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74BC81DE"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课程目标1、2、3</w:t>
            </w:r>
          </w:p>
        </w:tc>
        <w:tc>
          <w:tcPr>
            <w:tcW w:w="1071" w:type="dxa"/>
            <w:tcBorders>
              <w:top w:val="single" w:sz="8" w:space="0" w:color="000000"/>
              <w:left w:val="single" w:sz="8" w:space="0" w:color="000000"/>
              <w:bottom w:val="single" w:sz="8" w:space="0" w:color="000000"/>
              <w:right w:val="single" w:sz="8" w:space="0" w:color="000000"/>
            </w:tcBorders>
            <w:vAlign w:val="center"/>
          </w:tcPr>
          <w:p w14:paraId="7ECF114A" w14:textId="77777777" w:rsidR="00D71975" w:rsidRDefault="00D71975" w:rsidP="0078124E">
            <w:pPr>
              <w:adjustRightInd w:val="0"/>
              <w:snapToGrid w:val="0"/>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3学时</w:t>
            </w:r>
          </w:p>
        </w:tc>
      </w:tr>
      <w:tr w:rsidR="00D71975" w14:paraId="7E53F194" w14:textId="77777777" w:rsidTr="0078124E">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23566905"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第二章不同社会力量对国家出路的早期探索</w:t>
            </w:r>
          </w:p>
        </w:tc>
        <w:tc>
          <w:tcPr>
            <w:tcW w:w="1769" w:type="dxa"/>
            <w:tcBorders>
              <w:top w:val="single" w:sz="8" w:space="0" w:color="000000"/>
              <w:left w:val="single" w:sz="8" w:space="0" w:color="000000"/>
              <w:bottom w:val="single" w:sz="8" w:space="0" w:color="000000"/>
              <w:right w:val="single" w:sz="8" w:space="0" w:color="000000"/>
            </w:tcBorders>
            <w:vAlign w:val="center"/>
          </w:tcPr>
          <w:p w14:paraId="4507ABB3"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5252C56C"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课程目标1、2、3</w:t>
            </w:r>
          </w:p>
        </w:tc>
        <w:tc>
          <w:tcPr>
            <w:tcW w:w="1071" w:type="dxa"/>
            <w:tcBorders>
              <w:top w:val="single" w:sz="8" w:space="0" w:color="000000"/>
              <w:left w:val="single" w:sz="8" w:space="0" w:color="000000"/>
              <w:bottom w:val="single" w:sz="8" w:space="0" w:color="000000"/>
              <w:right w:val="single" w:sz="8" w:space="0" w:color="000000"/>
            </w:tcBorders>
            <w:vAlign w:val="center"/>
          </w:tcPr>
          <w:p w14:paraId="4C6CA071" w14:textId="77777777" w:rsidR="00D71975" w:rsidRDefault="00D71975" w:rsidP="0078124E">
            <w:pPr>
              <w:adjustRightInd w:val="0"/>
              <w:snapToGrid w:val="0"/>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6学时</w:t>
            </w:r>
          </w:p>
        </w:tc>
      </w:tr>
      <w:tr w:rsidR="00D71975" w14:paraId="623F5BAD" w14:textId="77777777" w:rsidTr="0078124E">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7567B57F"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第三章辛亥革命与君主专制制度的终结</w:t>
            </w:r>
          </w:p>
        </w:tc>
        <w:tc>
          <w:tcPr>
            <w:tcW w:w="1769" w:type="dxa"/>
            <w:tcBorders>
              <w:top w:val="single" w:sz="8" w:space="0" w:color="000000"/>
              <w:left w:val="single" w:sz="8" w:space="0" w:color="000000"/>
              <w:bottom w:val="single" w:sz="8" w:space="0" w:color="000000"/>
              <w:right w:val="single" w:sz="8" w:space="0" w:color="000000"/>
            </w:tcBorders>
            <w:vAlign w:val="center"/>
          </w:tcPr>
          <w:p w14:paraId="26AAB75C"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7E48FF63"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课程目标1、2</w:t>
            </w:r>
          </w:p>
        </w:tc>
        <w:tc>
          <w:tcPr>
            <w:tcW w:w="1071" w:type="dxa"/>
            <w:tcBorders>
              <w:top w:val="single" w:sz="8" w:space="0" w:color="000000"/>
              <w:left w:val="single" w:sz="8" w:space="0" w:color="000000"/>
              <w:bottom w:val="single" w:sz="8" w:space="0" w:color="000000"/>
              <w:right w:val="single" w:sz="8" w:space="0" w:color="000000"/>
            </w:tcBorders>
            <w:vAlign w:val="center"/>
          </w:tcPr>
          <w:p w14:paraId="517A774B" w14:textId="77777777" w:rsidR="00D71975" w:rsidRDefault="00D71975" w:rsidP="0078124E">
            <w:pPr>
              <w:adjustRightInd w:val="0"/>
              <w:snapToGrid w:val="0"/>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3学时</w:t>
            </w:r>
          </w:p>
        </w:tc>
      </w:tr>
      <w:tr w:rsidR="00D71975" w14:paraId="66588F65" w14:textId="77777777" w:rsidTr="0078124E">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33ACD71D"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第四章中国共产党的成立和中国革命新局面</w:t>
            </w:r>
          </w:p>
        </w:tc>
        <w:tc>
          <w:tcPr>
            <w:tcW w:w="1769" w:type="dxa"/>
            <w:tcBorders>
              <w:top w:val="single" w:sz="8" w:space="0" w:color="000000"/>
              <w:left w:val="single" w:sz="8" w:space="0" w:color="000000"/>
              <w:bottom w:val="single" w:sz="8" w:space="0" w:color="000000"/>
              <w:right w:val="single" w:sz="8" w:space="0" w:color="000000"/>
            </w:tcBorders>
            <w:vAlign w:val="center"/>
          </w:tcPr>
          <w:p w14:paraId="08C53028"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0FD51FFD"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课程目标1、3</w:t>
            </w:r>
          </w:p>
        </w:tc>
        <w:tc>
          <w:tcPr>
            <w:tcW w:w="1071" w:type="dxa"/>
            <w:tcBorders>
              <w:top w:val="single" w:sz="8" w:space="0" w:color="000000"/>
              <w:left w:val="single" w:sz="8" w:space="0" w:color="000000"/>
              <w:bottom w:val="single" w:sz="8" w:space="0" w:color="000000"/>
              <w:right w:val="single" w:sz="8" w:space="0" w:color="000000"/>
            </w:tcBorders>
            <w:vAlign w:val="center"/>
          </w:tcPr>
          <w:p w14:paraId="7E38DBE3" w14:textId="77777777" w:rsidR="00D71975" w:rsidRDefault="00D71975" w:rsidP="0078124E">
            <w:pPr>
              <w:adjustRightInd w:val="0"/>
              <w:snapToGrid w:val="0"/>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3学时</w:t>
            </w:r>
          </w:p>
        </w:tc>
      </w:tr>
      <w:tr w:rsidR="00D71975" w14:paraId="3E11DB2A" w14:textId="77777777" w:rsidTr="0078124E">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6E820050"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第五章中国革命的新道路</w:t>
            </w:r>
          </w:p>
        </w:tc>
        <w:tc>
          <w:tcPr>
            <w:tcW w:w="1769" w:type="dxa"/>
            <w:tcBorders>
              <w:top w:val="single" w:sz="8" w:space="0" w:color="000000"/>
              <w:left w:val="single" w:sz="8" w:space="0" w:color="000000"/>
              <w:bottom w:val="single" w:sz="8" w:space="0" w:color="000000"/>
              <w:right w:val="single" w:sz="8" w:space="0" w:color="000000"/>
            </w:tcBorders>
            <w:vAlign w:val="center"/>
          </w:tcPr>
          <w:p w14:paraId="0C52E91D"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63C5AE50"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课程目标1、2</w:t>
            </w:r>
          </w:p>
        </w:tc>
        <w:tc>
          <w:tcPr>
            <w:tcW w:w="1071" w:type="dxa"/>
            <w:tcBorders>
              <w:top w:val="single" w:sz="8" w:space="0" w:color="000000"/>
              <w:left w:val="single" w:sz="8" w:space="0" w:color="000000"/>
              <w:bottom w:val="single" w:sz="8" w:space="0" w:color="000000"/>
              <w:right w:val="single" w:sz="8" w:space="0" w:color="000000"/>
            </w:tcBorders>
            <w:vAlign w:val="center"/>
          </w:tcPr>
          <w:p w14:paraId="31BD166B" w14:textId="77777777" w:rsidR="00D71975" w:rsidRDefault="00D71975" w:rsidP="0078124E">
            <w:pPr>
              <w:adjustRightInd w:val="0"/>
              <w:snapToGrid w:val="0"/>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3学时</w:t>
            </w:r>
          </w:p>
        </w:tc>
      </w:tr>
      <w:tr w:rsidR="00D71975" w14:paraId="79134E6B" w14:textId="77777777" w:rsidTr="0078124E">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4E11C15C"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第六章中华民族的抗日战争</w:t>
            </w:r>
          </w:p>
        </w:tc>
        <w:tc>
          <w:tcPr>
            <w:tcW w:w="1769" w:type="dxa"/>
            <w:tcBorders>
              <w:top w:val="single" w:sz="8" w:space="0" w:color="000000"/>
              <w:left w:val="single" w:sz="8" w:space="0" w:color="000000"/>
              <w:bottom w:val="single" w:sz="8" w:space="0" w:color="000000"/>
              <w:right w:val="single" w:sz="8" w:space="0" w:color="000000"/>
            </w:tcBorders>
            <w:vAlign w:val="center"/>
          </w:tcPr>
          <w:p w14:paraId="1A33BDDE"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4E07A026"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课程目标1、3</w:t>
            </w:r>
          </w:p>
        </w:tc>
        <w:tc>
          <w:tcPr>
            <w:tcW w:w="1071" w:type="dxa"/>
            <w:tcBorders>
              <w:top w:val="single" w:sz="8" w:space="0" w:color="000000"/>
              <w:left w:val="single" w:sz="8" w:space="0" w:color="000000"/>
              <w:bottom w:val="single" w:sz="8" w:space="0" w:color="000000"/>
              <w:right w:val="single" w:sz="8" w:space="0" w:color="000000"/>
            </w:tcBorders>
            <w:vAlign w:val="center"/>
          </w:tcPr>
          <w:p w14:paraId="1597BBFB" w14:textId="77777777" w:rsidR="00D71975" w:rsidRDefault="00D71975" w:rsidP="0078124E">
            <w:pPr>
              <w:adjustRightInd w:val="0"/>
              <w:snapToGrid w:val="0"/>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6学时</w:t>
            </w:r>
          </w:p>
        </w:tc>
      </w:tr>
      <w:tr w:rsidR="00D71975" w14:paraId="6D10371F" w14:textId="77777777" w:rsidTr="0078124E">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74B44E96"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第七章为建立新中国而奋斗</w:t>
            </w:r>
          </w:p>
        </w:tc>
        <w:tc>
          <w:tcPr>
            <w:tcW w:w="1769" w:type="dxa"/>
            <w:tcBorders>
              <w:top w:val="single" w:sz="8" w:space="0" w:color="000000"/>
              <w:left w:val="single" w:sz="8" w:space="0" w:color="000000"/>
              <w:bottom w:val="single" w:sz="8" w:space="0" w:color="000000"/>
              <w:right w:val="single" w:sz="8" w:space="0" w:color="000000"/>
            </w:tcBorders>
            <w:vAlign w:val="center"/>
          </w:tcPr>
          <w:p w14:paraId="4437CA1A"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2B5119CB"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课程目标1、2、3</w:t>
            </w:r>
          </w:p>
        </w:tc>
        <w:tc>
          <w:tcPr>
            <w:tcW w:w="1071" w:type="dxa"/>
            <w:tcBorders>
              <w:top w:val="single" w:sz="8" w:space="0" w:color="000000"/>
              <w:left w:val="single" w:sz="8" w:space="0" w:color="000000"/>
              <w:bottom w:val="single" w:sz="8" w:space="0" w:color="000000"/>
              <w:right w:val="single" w:sz="8" w:space="0" w:color="000000"/>
            </w:tcBorders>
            <w:vAlign w:val="center"/>
          </w:tcPr>
          <w:p w14:paraId="61574C1F" w14:textId="77777777" w:rsidR="00D71975" w:rsidRDefault="00D71975" w:rsidP="0078124E">
            <w:pPr>
              <w:adjustRightInd w:val="0"/>
              <w:snapToGrid w:val="0"/>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3学时</w:t>
            </w:r>
          </w:p>
        </w:tc>
      </w:tr>
      <w:tr w:rsidR="00D71975" w14:paraId="743DE328" w14:textId="77777777" w:rsidTr="0078124E">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221F95C0"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lastRenderedPageBreak/>
              <w:t>第八章中华人民共和国的成立与中国社会主义建设道路的探索</w:t>
            </w:r>
          </w:p>
        </w:tc>
        <w:tc>
          <w:tcPr>
            <w:tcW w:w="1769" w:type="dxa"/>
            <w:tcBorders>
              <w:top w:val="single" w:sz="8" w:space="0" w:color="000000"/>
              <w:left w:val="single" w:sz="8" w:space="0" w:color="000000"/>
              <w:bottom w:val="single" w:sz="8" w:space="0" w:color="000000"/>
              <w:right w:val="single" w:sz="8" w:space="0" w:color="000000"/>
            </w:tcBorders>
            <w:vAlign w:val="center"/>
          </w:tcPr>
          <w:p w14:paraId="30C0B966"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6C953EF1"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课程目标1、2、3</w:t>
            </w:r>
          </w:p>
        </w:tc>
        <w:tc>
          <w:tcPr>
            <w:tcW w:w="1071" w:type="dxa"/>
            <w:tcBorders>
              <w:top w:val="single" w:sz="8" w:space="0" w:color="000000"/>
              <w:left w:val="single" w:sz="8" w:space="0" w:color="000000"/>
              <w:bottom w:val="single" w:sz="8" w:space="0" w:color="000000"/>
              <w:right w:val="single" w:sz="8" w:space="0" w:color="000000"/>
            </w:tcBorders>
            <w:vAlign w:val="center"/>
          </w:tcPr>
          <w:p w14:paraId="349C88EE" w14:textId="77777777" w:rsidR="00D71975" w:rsidRDefault="00D71975" w:rsidP="0078124E">
            <w:pPr>
              <w:adjustRightInd w:val="0"/>
              <w:snapToGrid w:val="0"/>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6学时</w:t>
            </w:r>
          </w:p>
        </w:tc>
      </w:tr>
      <w:tr w:rsidR="00D71975" w14:paraId="1CD261B5" w14:textId="77777777" w:rsidTr="0078124E">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0540676D"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第九章改革开放与中国特色社会主义的开创和发展</w:t>
            </w:r>
          </w:p>
        </w:tc>
        <w:tc>
          <w:tcPr>
            <w:tcW w:w="1769" w:type="dxa"/>
            <w:tcBorders>
              <w:top w:val="single" w:sz="8" w:space="0" w:color="000000"/>
              <w:left w:val="single" w:sz="8" w:space="0" w:color="000000"/>
              <w:bottom w:val="single" w:sz="8" w:space="0" w:color="000000"/>
              <w:right w:val="single" w:sz="8" w:space="0" w:color="000000"/>
            </w:tcBorders>
            <w:vAlign w:val="center"/>
          </w:tcPr>
          <w:p w14:paraId="12CC77AC"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4917C85E"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课程目标1、3</w:t>
            </w:r>
          </w:p>
        </w:tc>
        <w:tc>
          <w:tcPr>
            <w:tcW w:w="1071" w:type="dxa"/>
            <w:tcBorders>
              <w:top w:val="single" w:sz="8" w:space="0" w:color="000000"/>
              <w:left w:val="single" w:sz="8" w:space="0" w:color="000000"/>
              <w:bottom w:val="single" w:sz="8" w:space="0" w:color="000000"/>
              <w:right w:val="single" w:sz="8" w:space="0" w:color="000000"/>
            </w:tcBorders>
            <w:vAlign w:val="center"/>
          </w:tcPr>
          <w:p w14:paraId="306E918B" w14:textId="77777777" w:rsidR="00D71975" w:rsidRDefault="00D71975" w:rsidP="0078124E">
            <w:pPr>
              <w:adjustRightInd w:val="0"/>
              <w:snapToGrid w:val="0"/>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3学时</w:t>
            </w:r>
          </w:p>
        </w:tc>
      </w:tr>
      <w:tr w:rsidR="00D71975" w14:paraId="7B95E2AA" w14:textId="77777777" w:rsidTr="0078124E">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4DFB18EC"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第十章中国特色社会主义进入新时代</w:t>
            </w:r>
          </w:p>
        </w:tc>
        <w:tc>
          <w:tcPr>
            <w:tcW w:w="1769" w:type="dxa"/>
            <w:tcBorders>
              <w:top w:val="single" w:sz="8" w:space="0" w:color="000000"/>
              <w:left w:val="single" w:sz="8" w:space="0" w:color="000000"/>
              <w:bottom w:val="single" w:sz="8" w:space="0" w:color="000000"/>
              <w:right w:val="single" w:sz="8" w:space="0" w:color="000000"/>
            </w:tcBorders>
            <w:vAlign w:val="center"/>
          </w:tcPr>
          <w:p w14:paraId="34F7EA1B"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讲授法、讨论法、历史分析法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25DCD584" w14:textId="77777777" w:rsidR="00D71975" w:rsidRDefault="00D71975" w:rsidP="0078124E">
            <w:pPr>
              <w:adjustRightInd w:val="0"/>
              <w:snapToGrid w:val="0"/>
              <w:spacing w:line="440" w:lineRule="exact"/>
              <w:jc w:val="left"/>
              <w:rPr>
                <w:rFonts w:ascii="宋体" w:eastAsia="宋体" w:hAnsi="宋体" w:cs="宋体"/>
                <w:kern w:val="0"/>
                <w:sz w:val="24"/>
                <w:szCs w:val="24"/>
              </w:rPr>
            </w:pPr>
            <w:r>
              <w:rPr>
                <w:rFonts w:ascii="宋体" w:eastAsia="宋体" w:hAnsi="宋体" w:cs="宋体" w:hint="eastAsia"/>
                <w:kern w:val="0"/>
                <w:sz w:val="24"/>
                <w:szCs w:val="24"/>
              </w:rPr>
              <w:t>课程目标1、2、3</w:t>
            </w:r>
          </w:p>
        </w:tc>
        <w:tc>
          <w:tcPr>
            <w:tcW w:w="1071" w:type="dxa"/>
            <w:tcBorders>
              <w:top w:val="single" w:sz="8" w:space="0" w:color="000000"/>
              <w:left w:val="single" w:sz="8" w:space="0" w:color="000000"/>
              <w:bottom w:val="single" w:sz="8" w:space="0" w:color="000000"/>
              <w:right w:val="single" w:sz="8" w:space="0" w:color="000000"/>
            </w:tcBorders>
            <w:vAlign w:val="center"/>
          </w:tcPr>
          <w:p w14:paraId="23F7FC47" w14:textId="77777777" w:rsidR="00D71975" w:rsidRDefault="00D71975" w:rsidP="0078124E">
            <w:pPr>
              <w:adjustRightInd w:val="0"/>
              <w:snapToGrid w:val="0"/>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4学时</w:t>
            </w:r>
          </w:p>
        </w:tc>
      </w:tr>
      <w:tr w:rsidR="00D71975" w14:paraId="4D2AD211" w14:textId="77777777" w:rsidTr="0078124E">
        <w:trPr>
          <w:trHeight w:val="454"/>
        </w:trPr>
        <w:tc>
          <w:tcPr>
            <w:tcW w:w="7208" w:type="dxa"/>
            <w:gridSpan w:val="3"/>
            <w:tcBorders>
              <w:top w:val="single" w:sz="8" w:space="0" w:color="000000"/>
              <w:left w:val="single" w:sz="8" w:space="0" w:color="000000"/>
              <w:bottom w:val="single" w:sz="8" w:space="0" w:color="000000"/>
              <w:right w:val="single" w:sz="8" w:space="0" w:color="000000"/>
            </w:tcBorders>
            <w:vAlign w:val="center"/>
          </w:tcPr>
          <w:p w14:paraId="4025A0C6" w14:textId="77777777" w:rsidR="00D71975" w:rsidRDefault="00D71975" w:rsidP="0078124E">
            <w:pPr>
              <w:adjustRightInd w:val="0"/>
              <w:snapToGrid w:val="0"/>
              <w:spacing w:line="440" w:lineRule="exact"/>
              <w:jc w:val="center"/>
              <w:rPr>
                <w:rFonts w:ascii="宋体" w:eastAsia="宋体" w:hAnsi="宋体" w:cs="宋体"/>
                <w:b/>
                <w:bCs/>
                <w:kern w:val="0"/>
                <w:sz w:val="24"/>
                <w:szCs w:val="24"/>
              </w:rPr>
            </w:pPr>
            <w:r>
              <w:rPr>
                <w:rFonts w:ascii="宋体" w:eastAsia="宋体" w:hAnsi="宋体" w:cs="宋体" w:hint="eastAsia"/>
                <w:b/>
                <w:bCs/>
                <w:kern w:val="0"/>
                <w:sz w:val="24"/>
                <w:szCs w:val="24"/>
              </w:rPr>
              <w:t>合计</w:t>
            </w:r>
          </w:p>
        </w:tc>
        <w:tc>
          <w:tcPr>
            <w:tcW w:w="1071" w:type="dxa"/>
            <w:tcBorders>
              <w:top w:val="single" w:sz="8" w:space="0" w:color="000000"/>
              <w:left w:val="single" w:sz="8" w:space="0" w:color="000000"/>
              <w:bottom w:val="single" w:sz="8" w:space="0" w:color="000000"/>
              <w:right w:val="single" w:sz="8" w:space="0" w:color="000000"/>
            </w:tcBorders>
            <w:vAlign w:val="center"/>
          </w:tcPr>
          <w:p w14:paraId="7E95A012" w14:textId="77777777" w:rsidR="00D71975" w:rsidRDefault="00D71975" w:rsidP="0078124E">
            <w:pPr>
              <w:adjustRightInd w:val="0"/>
              <w:snapToGrid w:val="0"/>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40学时</w:t>
            </w:r>
          </w:p>
        </w:tc>
      </w:tr>
    </w:tbl>
    <w:p w14:paraId="7EC9B601" w14:textId="77777777" w:rsidR="00D71975" w:rsidRDefault="00D71975" w:rsidP="00D71975">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四、课程考核内容及与课程学习目标的对应关系</w:t>
      </w:r>
    </w:p>
    <w:p w14:paraId="1B5850C8" w14:textId="77777777" w:rsidR="00D71975" w:rsidRDefault="00D71975" w:rsidP="00D71975">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（一）课程考核内容与课程学习目标的对应关系</w:t>
      </w:r>
    </w:p>
    <w:tbl>
      <w:tblPr>
        <w:tblW w:w="8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4"/>
        <w:gridCol w:w="6559"/>
      </w:tblGrid>
      <w:tr w:rsidR="00D71975" w14:paraId="1A1EBF44" w14:textId="77777777" w:rsidTr="0078124E">
        <w:trPr>
          <w:cantSplit/>
          <w:trHeight w:val="524"/>
          <w:jc w:val="center"/>
        </w:trPr>
        <w:tc>
          <w:tcPr>
            <w:tcW w:w="2074" w:type="dxa"/>
          </w:tcPr>
          <w:p w14:paraId="261FCB6B" w14:textId="77777777" w:rsidR="00D71975" w:rsidRDefault="00D71975" w:rsidP="0078124E">
            <w:pPr>
              <w:adjustRightInd w:val="0"/>
              <w:snapToGrid w:val="0"/>
              <w:spacing w:line="440" w:lineRule="exact"/>
              <w:jc w:val="center"/>
              <w:rPr>
                <w:rFonts w:ascii="宋体" w:eastAsia="宋体" w:hAnsi="宋体" w:cs="宋体"/>
                <w:b/>
                <w:sz w:val="24"/>
              </w:rPr>
            </w:pPr>
            <w:r>
              <w:rPr>
                <w:rFonts w:ascii="宋体" w:eastAsia="宋体" w:hAnsi="宋体" w:cs="宋体" w:hint="eastAsia"/>
                <w:b/>
                <w:bCs/>
                <w:color w:val="000000" w:themeColor="text1"/>
                <w:kern w:val="0"/>
                <w:sz w:val="24"/>
                <w:szCs w:val="24"/>
              </w:rPr>
              <w:t>课程目标</w:t>
            </w:r>
          </w:p>
        </w:tc>
        <w:tc>
          <w:tcPr>
            <w:tcW w:w="6559" w:type="dxa"/>
            <w:vAlign w:val="center"/>
          </w:tcPr>
          <w:p w14:paraId="2CCB9BA4" w14:textId="77777777" w:rsidR="00D71975" w:rsidRDefault="00D71975" w:rsidP="0078124E">
            <w:pPr>
              <w:adjustRightInd w:val="0"/>
              <w:snapToGrid w:val="0"/>
              <w:spacing w:line="440" w:lineRule="exact"/>
              <w:jc w:val="center"/>
              <w:rPr>
                <w:rFonts w:ascii="宋体" w:eastAsia="宋体" w:hAnsi="宋体" w:cs="宋体"/>
                <w:b/>
                <w:sz w:val="24"/>
              </w:rPr>
            </w:pPr>
            <w:r>
              <w:rPr>
                <w:rFonts w:ascii="宋体" w:eastAsia="宋体" w:hAnsi="宋体" w:cs="宋体" w:hint="eastAsia"/>
                <w:b/>
                <w:bCs/>
                <w:color w:val="000000" w:themeColor="text1"/>
                <w:kern w:val="0"/>
                <w:sz w:val="24"/>
                <w:szCs w:val="24"/>
              </w:rPr>
              <w:t>考核内容</w:t>
            </w:r>
          </w:p>
        </w:tc>
      </w:tr>
      <w:tr w:rsidR="00D71975" w14:paraId="1916E683" w14:textId="77777777" w:rsidTr="0078124E">
        <w:trPr>
          <w:cantSplit/>
          <w:trHeight w:val="2285"/>
          <w:jc w:val="center"/>
        </w:trPr>
        <w:tc>
          <w:tcPr>
            <w:tcW w:w="2074" w:type="dxa"/>
            <w:vAlign w:val="center"/>
          </w:tcPr>
          <w:p w14:paraId="289C61A1" w14:textId="77777777" w:rsidR="00D71975" w:rsidRDefault="00D71975" w:rsidP="0078124E">
            <w:pPr>
              <w:adjustRightInd w:val="0"/>
              <w:snapToGrid w:val="0"/>
              <w:spacing w:line="440" w:lineRule="exact"/>
              <w:jc w:val="center"/>
              <w:rPr>
                <w:rFonts w:ascii="宋体" w:eastAsia="宋体" w:hAnsi="宋体" w:cs="宋体"/>
                <w:bCs/>
                <w:sz w:val="24"/>
              </w:rPr>
            </w:pPr>
            <w:r>
              <w:rPr>
                <w:rFonts w:ascii="宋体" w:eastAsia="宋体" w:hAnsi="宋体" w:cs="宋体" w:hint="eastAsia"/>
                <w:bCs/>
                <w:sz w:val="24"/>
              </w:rPr>
              <w:t>课程目标1</w:t>
            </w:r>
          </w:p>
        </w:tc>
        <w:tc>
          <w:tcPr>
            <w:tcW w:w="6559" w:type="dxa"/>
            <w:vAlign w:val="center"/>
          </w:tcPr>
          <w:p w14:paraId="125A33BC" w14:textId="77777777" w:rsidR="00D71975" w:rsidRDefault="00D71975" w:rsidP="0078124E">
            <w:pPr>
              <w:adjustRightInd w:val="0"/>
              <w:snapToGrid w:val="0"/>
              <w:spacing w:line="440" w:lineRule="exact"/>
              <w:jc w:val="left"/>
              <w:rPr>
                <w:rFonts w:ascii="宋体" w:eastAsia="宋体" w:hAnsi="宋体" w:cs="宋体"/>
                <w:bCs/>
                <w:sz w:val="24"/>
              </w:rPr>
            </w:pPr>
            <w:r>
              <w:rPr>
                <w:rFonts w:ascii="宋体" w:eastAsia="宋体" w:hAnsi="宋体" w:cs="宋体" w:hint="eastAsia"/>
                <w:bCs/>
                <w:sz w:val="24"/>
              </w:rPr>
              <w:t>1.1了解和把握中国近现代史的整体脉络，掌握基本史实。</w:t>
            </w:r>
          </w:p>
          <w:p w14:paraId="297F6966" w14:textId="77777777" w:rsidR="00D71975" w:rsidRDefault="00D71975" w:rsidP="0078124E">
            <w:pPr>
              <w:adjustRightInd w:val="0"/>
              <w:snapToGrid w:val="0"/>
              <w:spacing w:line="440" w:lineRule="exact"/>
              <w:jc w:val="left"/>
              <w:rPr>
                <w:rFonts w:ascii="宋体" w:eastAsia="宋体" w:hAnsi="宋体" w:cs="宋体"/>
                <w:bCs/>
                <w:sz w:val="24"/>
              </w:rPr>
            </w:pPr>
            <w:r>
              <w:rPr>
                <w:rFonts w:ascii="宋体" w:eastAsia="宋体" w:hAnsi="宋体" w:cs="宋体" w:hint="eastAsia"/>
                <w:bCs/>
                <w:sz w:val="24"/>
              </w:rPr>
              <w:t>1.2清晰认识和把握中国如何选择马克思主义、如何选择中国共产党、如何选择社会主义、如何选择改革开放的历史和重大意义。</w:t>
            </w:r>
          </w:p>
          <w:p w14:paraId="17FB2714" w14:textId="77777777" w:rsidR="00D71975" w:rsidRDefault="00D71975" w:rsidP="0078124E">
            <w:pPr>
              <w:adjustRightInd w:val="0"/>
              <w:snapToGrid w:val="0"/>
              <w:spacing w:line="440" w:lineRule="exact"/>
              <w:jc w:val="left"/>
              <w:rPr>
                <w:rFonts w:ascii="宋体" w:eastAsia="宋体" w:hAnsi="宋体" w:cs="宋体"/>
                <w:bCs/>
                <w:sz w:val="24"/>
              </w:rPr>
            </w:pPr>
            <w:r>
              <w:rPr>
                <w:rFonts w:ascii="宋体" w:eastAsia="宋体" w:hAnsi="宋体" w:cs="宋体" w:hint="eastAsia"/>
                <w:bCs/>
                <w:sz w:val="24"/>
              </w:rPr>
              <w:t>1.3全面客观地认识和把握重大历史事件和历史人物的影响和意义。</w:t>
            </w:r>
          </w:p>
        </w:tc>
      </w:tr>
      <w:tr w:rsidR="00D71975" w14:paraId="6E4239D3" w14:textId="77777777" w:rsidTr="0078124E">
        <w:trPr>
          <w:cantSplit/>
          <w:trHeight w:val="2575"/>
          <w:jc w:val="center"/>
        </w:trPr>
        <w:tc>
          <w:tcPr>
            <w:tcW w:w="2074" w:type="dxa"/>
            <w:vAlign w:val="center"/>
          </w:tcPr>
          <w:p w14:paraId="1E95E491" w14:textId="77777777" w:rsidR="00D71975" w:rsidRDefault="00D71975" w:rsidP="0078124E">
            <w:pPr>
              <w:adjustRightInd w:val="0"/>
              <w:snapToGrid w:val="0"/>
              <w:spacing w:line="440" w:lineRule="exact"/>
              <w:jc w:val="center"/>
              <w:rPr>
                <w:rFonts w:ascii="宋体" w:eastAsia="宋体" w:hAnsi="宋体" w:cs="宋体"/>
                <w:bCs/>
                <w:sz w:val="24"/>
              </w:rPr>
            </w:pPr>
            <w:r>
              <w:rPr>
                <w:rFonts w:ascii="宋体" w:eastAsia="宋体" w:hAnsi="宋体" w:cs="宋体" w:hint="eastAsia"/>
                <w:bCs/>
                <w:sz w:val="24"/>
              </w:rPr>
              <w:t>课程目标2</w:t>
            </w:r>
          </w:p>
        </w:tc>
        <w:tc>
          <w:tcPr>
            <w:tcW w:w="6559" w:type="dxa"/>
            <w:vAlign w:val="center"/>
          </w:tcPr>
          <w:p w14:paraId="776E5242" w14:textId="77777777" w:rsidR="00D71975" w:rsidRDefault="00D71975" w:rsidP="0078124E">
            <w:pPr>
              <w:adjustRightInd w:val="0"/>
              <w:snapToGrid w:val="0"/>
              <w:spacing w:line="440" w:lineRule="exact"/>
              <w:jc w:val="left"/>
              <w:rPr>
                <w:rFonts w:ascii="宋体" w:eastAsia="宋体" w:hAnsi="宋体" w:cs="宋体"/>
                <w:bCs/>
                <w:sz w:val="24"/>
              </w:rPr>
            </w:pPr>
            <w:r>
              <w:rPr>
                <w:rFonts w:ascii="宋体" w:eastAsia="宋体" w:hAnsi="宋体" w:cs="宋体" w:hint="eastAsia"/>
                <w:bCs/>
                <w:sz w:val="24"/>
              </w:rPr>
              <w:t>2.1在历史分析中，能够认识和把握</w:t>
            </w:r>
            <w:r>
              <w:rPr>
                <w:rFonts w:ascii="宋体" w:eastAsia="宋体" w:hAnsi="宋体" w:cs="Times New Roman" w:hint="eastAsia"/>
                <w:sz w:val="24"/>
                <w:szCs w:val="24"/>
              </w:rPr>
              <w:t>中国选择马克思主义、选择中国共产党、选择社会主义、选择改革开放的必然性和正确性，掌握中国近代社会发展的规律。</w:t>
            </w:r>
          </w:p>
          <w:p w14:paraId="5E56A809" w14:textId="77777777" w:rsidR="00D71975" w:rsidRDefault="00D71975" w:rsidP="0078124E">
            <w:pPr>
              <w:adjustRightInd w:val="0"/>
              <w:snapToGrid w:val="0"/>
              <w:spacing w:line="440" w:lineRule="exact"/>
              <w:jc w:val="left"/>
              <w:rPr>
                <w:rFonts w:ascii="宋体" w:eastAsia="宋体" w:hAnsi="宋体" w:cs="宋体"/>
                <w:bCs/>
                <w:sz w:val="24"/>
              </w:rPr>
            </w:pPr>
            <w:r>
              <w:rPr>
                <w:rFonts w:ascii="宋体" w:eastAsia="宋体" w:hAnsi="宋体" w:cs="宋体" w:hint="eastAsia"/>
                <w:bCs/>
                <w:sz w:val="24"/>
              </w:rPr>
              <w:t>2.2初步形成运用马克思主义唯物史观从历史视野和发展规律中思考分析问题、把握前进方向、指导现实的历史思维。</w:t>
            </w:r>
          </w:p>
          <w:p w14:paraId="3D793710" w14:textId="77777777" w:rsidR="00D71975" w:rsidRDefault="00D71975" w:rsidP="0078124E">
            <w:pPr>
              <w:adjustRightInd w:val="0"/>
              <w:snapToGrid w:val="0"/>
              <w:spacing w:line="440" w:lineRule="exact"/>
              <w:jc w:val="left"/>
              <w:rPr>
                <w:rFonts w:ascii="宋体" w:eastAsia="宋体" w:hAnsi="宋体" w:cs="宋体"/>
                <w:bCs/>
                <w:sz w:val="24"/>
              </w:rPr>
            </w:pPr>
            <w:r>
              <w:rPr>
                <w:rFonts w:ascii="宋体" w:eastAsia="宋体" w:hAnsi="宋体" w:cs="宋体" w:hint="eastAsia"/>
                <w:bCs/>
                <w:sz w:val="24"/>
              </w:rPr>
              <w:t>2.3能够运用科学的历史观和方法论分析评价历史问题、辨别历史是非和社会发展方向，能够对历史虚无主义进行批判和抵制。</w:t>
            </w:r>
          </w:p>
        </w:tc>
      </w:tr>
      <w:tr w:rsidR="00D71975" w14:paraId="3FBF6ABE" w14:textId="77777777" w:rsidTr="0078124E">
        <w:trPr>
          <w:cantSplit/>
          <w:trHeight w:val="2697"/>
          <w:jc w:val="center"/>
        </w:trPr>
        <w:tc>
          <w:tcPr>
            <w:tcW w:w="2074" w:type="dxa"/>
            <w:vAlign w:val="center"/>
          </w:tcPr>
          <w:p w14:paraId="7DB14BC2" w14:textId="77777777" w:rsidR="00D71975" w:rsidRDefault="00D71975" w:rsidP="0078124E">
            <w:pPr>
              <w:adjustRightInd w:val="0"/>
              <w:snapToGrid w:val="0"/>
              <w:spacing w:line="440" w:lineRule="exact"/>
              <w:jc w:val="center"/>
              <w:rPr>
                <w:rFonts w:ascii="宋体" w:eastAsia="宋体" w:hAnsi="宋体" w:cs="宋体"/>
                <w:bCs/>
                <w:sz w:val="24"/>
              </w:rPr>
            </w:pPr>
            <w:r>
              <w:rPr>
                <w:rFonts w:ascii="宋体" w:eastAsia="宋体" w:hAnsi="宋体" w:cs="宋体" w:hint="eastAsia"/>
                <w:bCs/>
                <w:sz w:val="24"/>
              </w:rPr>
              <w:lastRenderedPageBreak/>
              <w:t>课程目标3</w:t>
            </w:r>
          </w:p>
        </w:tc>
        <w:tc>
          <w:tcPr>
            <w:tcW w:w="6559" w:type="dxa"/>
            <w:vAlign w:val="center"/>
          </w:tcPr>
          <w:p w14:paraId="15B45847" w14:textId="77777777" w:rsidR="00D71975" w:rsidRDefault="00D71975" w:rsidP="0078124E">
            <w:pPr>
              <w:adjustRightInd w:val="0"/>
              <w:snapToGrid w:val="0"/>
              <w:spacing w:line="440" w:lineRule="exact"/>
              <w:jc w:val="left"/>
              <w:rPr>
                <w:rFonts w:ascii="宋体" w:eastAsia="宋体" w:hAnsi="宋体" w:cs="宋体"/>
                <w:bCs/>
                <w:sz w:val="24"/>
              </w:rPr>
            </w:pPr>
            <w:r>
              <w:rPr>
                <w:rFonts w:ascii="宋体" w:eastAsia="宋体" w:hAnsi="宋体" w:cs="宋体" w:hint="eastAsia"/>
                <w:bCs/>
                <w:sz w:val="24"/>
              </w:rPr>
              <w:t>3.1树立“只有社会主义才能救中国，只有中国特色社会主义才能发展中国”的信念，坚定不移跟党走，具有坚定的理论自信、道路自信、制度自信、文化自信。</w:t>
            </w:r>
          </w:p>
          <w:p w14:paraId="42AB4694" w14:textId="77777777" w:rsidR="00D71975" w:rsidRDefault="00D71975" w:rsidP="0078124E">
            <w:pPr>
              <w:adjustRightInd w:val="0"/>
              <w:snapToGrid w:val="0"/>
              <w:spacing w:line="440" w:lineRule="exact"/>
              <w:jc w:val="left"/>
              <w:rPr>
                <w:rFonts w:ascii="宋体" w:eastAsia="宋体" w:hAnsi="宋体" w:cs="宋体"/>
                <w:bCs/>
                <w:sz w:val="24"/>
              </w:rPr>
            </w:pPr>
            <w:r>
              <w:rPr>
                <w:rFonts w:ascii="宋体" w:eastAsia="宋体" w:hAnsi="宋体" w:cs="宋体" w:hint="eastAsia"/>
                <w:bCs/>
                <w:sz w:val="24"/>
              </w:rPr>
              <w:t>3.2能够自觉把</w:t>
            </w:r>
            <w:r>
              <w:rPr>
                <w:rFonts w:ascii="宋体" w:eastAsia="宋体" w:hAnsi="宋体" w:cs="Times New Roman" w:hint="eastAsia"/>
                <w:sz w:val="24"/>
                <w:szCs w:val="24"/>
              </w:rPr>
              <w:t>爱国情、强国志和报国行紧密结合起来，</w:t>
            </w:r>
            <w:r>
              <w:rPr>
                <w:rFonts w:ascii="宋体" w:eastAsia="宋体" w:hAnsi="宋体" w:cs="宋体" w:hint="eastAsia"/>
                <w:bCs/>
                <w:sz w:val="24"/>
              </w:rPr>
              <w:t>深刻认识并勇于承担当代青年的社会责任和历史使命，自觉贯彻习近平新时代中国特色社会主义思想，</w:t>
            </w:r>
            <w:proofErr w:type="gramStart"/>
            <w:r>
              <w:rPr>
                <w:rFonts w:ascii="宋体" w:eastAsia="宋体" w:hAnsi="宋体" w:cs="Times New Roman" w:hint="eastAsia"/>
                <w:sz w:val="24"/>
                <w:szCs w:val="24"/>
              </w:rPr>
              <w:t>践行</w:t>
            </w:r>
            <w:proofErr w:type="gramEnd"/>
            <w:r>
              <w:rPr>
                <w:rFonts w:ascii="宋体" w:eastAsia="宋体" w:hAnsi="宋体" w:cs="Times New Roman" w:hint="eastAsia"/>
                <w:sz w:val="24"/>
                <w:szCs w:val="24"/>
              </w:rPr>
              <w:t>社会主义核心价值观，</w:t>
            </w:r>
            <w:r>
              <w:rPr>
                <w:rFonts w:ascii="宋体" w:eastAsia="宋体" w:hAnsi="宋体" w:cs="宋体" w:hint="eastAsia"/>
                <w:bCs/>
                <w:sz w:val="24"/>
              </w:rPr>
              <w:t>以青春奋斗贡献</w:t>
            </w:r>
            <w:r>
              <w:rPr>
                <w:rFonts w:ascii="宋体" w:eastAsia="宋体" w:hAnsi="宋体" w:cs="Times New Roman" w:hint="eastAsia"/>
                <w:sz w:val="24"/>
                <w:szCs w:val="24"/>
              </w:rPr>
              <w:t>中国特色社会主义和中华民族伟大复兴的宏伟事业。</w:t>
            </w:r>
          </w:p>
        </w:tc>
      </w:tr>
    </w:tbl>
    <w:p w14:paraId="2D6EBFBC" w14:textId="77777777" w:rsidR="00D71975" w:rsidRDefault="00D71975" w:rsidP="00D71975">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（二）课程考核方式</w:t>
      </w:r>
    </w:p>
    <w:p w14:paraId="0CBE586E" w14:textId="77777777" w:rsidR="00D71975" w:rsidRDefault="00D71975" w:rsidP="00D71975">
      <w:pPr>
        <w:widowControl/>
        <w:adjustRightInd w:val="0"/>
        <w:snapToGrid w:val="0"/>
        <w:spacing w:line="440" w:lineRule="exact"/>
        <w:ind w:firstLine="420"/>
        <w:rPr>
          <w:rFonts w:ascii="Calibri" w:eastAsia="宋体" w:hAnsi="Calibri" w:cs="Times New Roman"/>
          <w:sz w:val="24"/>
        </w:rPr>
      </w:pPr>
      <w:r>
        <w:rPr>
          <w:rFonts w:ascii="Calibri" w:eastAsia="宋体" w:hAnsi="Calibri" w:cs="宋体" w:hint="eastAsia"/>
          <w:sz w:val="24"/>
          <w:szCs w:val="24"/>
        </w:rPr>
        <w:t>本课程考核形式采用综合考核方式，分为平时考核和期末考核。平时考核包括课堂表现、线上自主学习、阶段性测试等；期末考核采用撰写课程论文的方式</w:t>
      </w:r>
      <w:r>
        <w:rPr>
          <w:rFonts w:ascii="宋体" w:eastAsia="宋体" w:hAnsi="宋体" w:cs="宋体" w:hint="eastAsia"/>
          <w:sz w:val="24"/>
          <w:szCs w:val="24"/>
        </w:rPr>
        <w:t>。</w:t>
      </w:r>
    </w:p>
    <w:p w14:paraId="7D533239" w14:textId="77777777" w:rsidR="00D71975" w:rsidRDefault="00D71975" w:rsidP="00D71975">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（三）课程目标达成评价方式及考核比例</w:t>
      </w:r>
    </w:p>
    <w:p w14:paraId="7BBAB2BC" w14:textId="77777777" w:rsidR="00D71975" w:rsidRDefault="00D71975" w:rsidP="00D71975">
      <w:pPr>
        <w:widowControl/>
        <w:adjustRightInd w:val="0"/>
        <w:snapToGrid w:val="0"/>
        <w:spacing w:line="440" w:lineRule="atLeast"/>
        <w:ind w:firstLineChars="200" w:firstLine="480"/>
        <w:rPr>
          <w:rFonts w:ascii="Calibri" w:eastAsia="宋体" w:hAnsi="Calibri" w:cs="宋体"/>
          <w:sz w:val="24"/>
          <w:szCs w:val="24"/>
        </w:rPr>
      </w:pPr>
      <w:r>
        <w:rPr>
          <w:rFonts w:ascii="Calibri" w:eastAsia="宋体" w:hAnsi="Calibri" w:cs="宋体" w:hint="eastAsia"/>
          <w:sz w:val="24"/>
          <w:szCs w:val="24"/>
        </w:rPr>
        <w:t>各评价方式的</w:t>
      </w:r>
      <w:r>
        <w:rPr>
          <w:rFonts w:ascii="宋体" w:eastAsia="宋体" w:hAnsi="宋体" w:cs="宋体" w:hint="eastAsia"/>
          <w:sz w:val="24"/>
          <w:szCs w:val="24"/>
        </w:rPr>
        <w:t>考核比例为：课堂表现15%＋线上自主学习15%＋阶段性测试20%＋期末考试50%</w:t>
      </w:r>
      <w:r>
        <w:rPr>
          <w:rFonts w:ascii="Calibri" w:eastAsia="宋体" w:hAnsi="Calibri" w:cs="宋体" w:hint="eastAsia"/>
          <w:sz w:val="24"/>
          <w:szCs w:val="24"/>
        </w:rPr>
        <w:t>。</w:t>
      </w:r>
    </w:p>
    <w:p w14:paraId="4467C437" w14:textId="77777777" w:rsidR="00D71975" w:rsidRDefault="00D71975" w:rsidP="00D71975">
      <w:pPr>
        <w:widowControl/>
        <w:adjustRightInd w:val="0"/>
        <w:snapToGrid w:val="0"/>
        <w:spacing w:line="440" w:lineRule="atLeast"/>
        <w:ind w:firstLineChars="200" w:firstLine="480"/>
        <w:rPr>
          <w:rFonts w:ascii="Calibri" w:eastAsia="宋体" w:hAnsi="Calibri" w:cs="Times New Roman"/>
          <w:sz w:val="24"/>
        </w:rPr>
      </w:pPr>
      <w:r>
        <w:rPr>
          <w:rFonts w:ascii="宋体" w:eastAsia="宋体" w:hAnsi="宋体" w:cs="宋体" w:hint="eastAsia"/>
          <w:sz w:val="24"/>
          <w:szCs w:val="24"/>
        </w:rPr>
        <w:t>本课程共有</w:t>
      </w:r>
      <w:r>
        <w:rPr>
          <w:rFonts w:ascii="Calibri" w:eastAsia="宋体" w:hAnsi="Calibri" w:cs="宋体" w:hint="eastAsia"/>
          <w:sz w:val="24"/>
          <w:szCs w:val="24"/>
        </w:rPr>
        <w:t>三</w:t>
      </w:r>
      <w:r>
        <w:rPr>
          <w:rFonts w:ascii="宋体" w:eastAsia="宋体" w:hAnsi="宋体" w:cs="宋体" w:hint="eastAsia"/>
          <w:sz w:val="24"/>
          <w:szCs w:val="24"/>
        </w:rPr>
        <w:t>个课程目标，考核方式及成绩比例分别为：</w:t>
      </w:r>
    </w:p>
    <w:p w14:paraId="5BDF5DCD" w14:textId="77777777" w:rsidR="00D71975" w:rsidRDefault="00D71975" w:rsidP="00D71975">
      <w:pPr>
        <w:widowControl/>
        <w:adjustRightInd w:val="0"/>
        <w:snapToGrid w:val="0"/>
        <w:spacing w:line="440" w:lineRule="atLeast"/>
        <w:ind w:firstLineChars="200" w:firstLine="480"/>
        <w:rPr>
          <w:rFonts w:ascii="宋体" w:eastAsia="宋体" w:hAnsi="宋体" w:cs="Times New Roman"/>
          <w:sz w:val="24"/>
        </w:rPr>
      </w:pPr>
      <w:r>
        <w:rPr>
          <w:rFonts w:ascii="宋体" w:eastAsia="宋体" w:hAnsi="宋体" w:cs="宋体" w:hint="eastAsia"/>
          <w:sz w:val="24"/>
          <w:szCs w:val="24"/>
        </w:rPr>
        <w:t>课程目标1：线上学习15%＋阶段性测试20%%</w:t>
      </w:r>
    </w:p>
    <w:p w14:paraId="231E69ED" w14:textId="77777777" w:rsidR="00D71975" w:rsidRDefault="00D71975" w:rsidP="00D71975">
      <w:pPr>
        <w:widowControl/>
        <w:adjustRightInd w:val="0"/>
        <w:snapToGrid w:val="0"/>
        <w:spacing w:line="440" w:lineRule="atLeast"/>
        <w:ind w:firstLineChars="200" w:firstLine="480"/>
        <w:rPr>
          <w:rFonts w:ascii="宋体" w:eastAsia="宋体" w:hAnsi="宋体" w:cs="宋体"/>
          <w:sz w:val="24"/>
          <w:szCs w:val="24"/>
        </w:rPr>
      </w:pPr>
      <w:r>
        <w:rPr>
          <w:rFonts w:ascii="宋体" w:eastAsia="宋体" w:hAnsi="宋体" w:cs="宋体" w:hint="eastAsia"/>
          <w:sz w:val="24"/>
          <w:szCs w:val="24"/>
        </w:rPr>
        <w:t>课程目标2：课堂表现15%</w:t>
      </w:r>
    </w:p>
    <w:p w14:paraId="60D26484" w14:textId="77777777" w:rsidR="00D71975" w:rsidRDefault="00D71975" w:rsidP="00D71975">
      <w:pPr>
        <w:widowControl/>
        <w:adjustRightInd w:val="0"/>
        <w:snapToGrid w:val="0"/>
        <w:spacing w:line="440" w:lineRule="atLeast"/>
        <w:ind w:firstLineChars="200" w:firstLine="480"/>
        <w:rPr>
          <w:rFonts w:ascii="宋体" w:eastAsia="宋体" w:hAnsi="宋体" w:cs="Times New Roman"/>
          <w:sz w:val="24"/>
        </w:rPr>
      </w:pPr>
      <w:r>
        <w:rPr>
          <w:rFonts w:ascii="宋体" w:eastAsia="宋体" w:hAnsi="宋体" w:cs="宋体" w:hint="eastAsia"/>
          <w:sz w:val="24"/>
          <w:szCs w:val="24"/>
        </w:rPr>
        <w:t>课程目标3：期末考试50%</w:t>
      </w:r>
    </w:p>
    <w:p w14:paraId="0266F75F" w14:textId="77777777" w:rsidR="00D71975" w:rsidRDefault="00D71975" w:rsidP="00D71975">
      <w:pPr>
        <w:widowControl/>
        <w:adjustRightInd w:val="0"/>
        <w:snapToGrid w:val="0"/>
        <w:spacing w:line="440" w:lineRule="atLeast"/>
        <w:ind w:firstLineChars="200" w:firstLine="480"/>
        <w:rPr>
          <w:rFonts w:ascii="宋体" w:eastAsia="宋体" w:hAnsi="宋体" w:cs="宋体"/>
          <w:sz w:val="24"/>
          <w:szCs w:val="24"/>
        </w:rPr>
      </w:pPr>
      <w:r>
        <w:rPr>
          <w:rFonts w:ascii="宋体" w:eastAsia="宋体" w:hAnsi="宋体" w:cs="宋体" w:hint="eastAsia"/>
          <w:sz w:val="24"/>
          <w:szCs w:val="24"/>
        </w:rPr>
        <w:t>如下图：</w:t>
      </w:r>
    </w:p>
    <w:p w14:paraId="432C9BB4" w14:textId="77777777" w:rsidR="00D71975" w:rsidRDefault="00D71975" w:rsidP="00D71975">
      <w:pPr>
        <w:widowControl/>
        <w:spacing w:line="440" w:lineRule="atLeast"/>
        <w:ind w:firstLine="420"/>
        <w:rPr>
          <w:rFonts w:ascii="宋体" w:eastAsia="宋体" w:hAnsi="宋体" w:cs="宋体"/>
          <w:sz w:val="24"/>
          <w:szCs w:val="24"/>
        </w:rPr>
      </w:pPr>
    </w:p>
    <w:tbl>
      <w:tblPr>
        <w:tblW w:w="7461" w:type="dxa"/>
        <w:tblLayout w:type="fixed"/>
        <w:tblCellMar>
          <w:top w:w="15" w:type="dxa"/>
          <w:left w:w="15" w:type="dxa"/>
          <w:bottom w:w="15" w:type="dxa"/>
          <w:right w:w="15" w:type="dxa"/>
        </w:tblCellMar>
        <w:tblLook w:val="04A0" w:firstRow="1" w:lastRow="0" w:firstColumn="1" w:lastColumn="0" w:noHBand="0" w:noVBand="1"/>
      </w:tblPr>
      <w:tblGrid>
        <w:gridCol w:w="1496"/>
        <w:gridCol w:w="1264"/>
        <w:gridCol w:w="1398"/>
        <w:gridCol w:w="1495"/>
        <w:gridCol w:w="771"/>
        <w:gridCol w:w="1037"/>
      </w:tblGrid>
      <w:tr w:rsidR="00D71975" w14:paraId="7CFD0F67" w14:textId="77777777" w:rsidTr="0078124E">
        <w:trPr>
          <w:trHeight w:val="588"/>
        </w:trPr>
        <w:tc>
          <w:tcPr>
            <w:tcW w:w="1496" w:type="dxa"/>
            <w:vMerge w:val="restar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215E17F8" w14:textId="77777777" w:rsidR="00D71975" w:rsidRDefault="00D71975" w:rsidP="0078124E">
            <w:pPr>
              <w:widowControl/>
              <w:spacing w:line="440" w:lineRule="atLeast"/>
              <w:jc w:val="center"/>
              <w:rPr>
                <w:rFonts w:ascii="Calibri" w:eastAsia="宋体" w:hAnsi="Calibri" w:cs="Times New Roman"/>
                <w:sz w:val="24"/>
              </w:rPr>
            </w:pPr>
            <w:r>
              <w:rPr>
                <w:rFonts w:ascii="宋体" w:eastAsia="宋体" w:hAnsi="宋体" w:cs="宋体" w:hint="eastAsia"/>
                <w:b/>
                <w:bCs/>
                <w:color w:val="000000" w:themeColor="text1"/>
                <w:kern w:val="0"/>
                <w:sz w:val="24"/>
                <w:szCs w:val="24"/>
              </w:rPr>
              <w:t>课程目标</w:t>
            </w:r>
          </w:p>
        </w:tc>
        <w:tc>
          <w:tcPr>
            <w:tcW w:w="4928" w:type="dxa"/>
            <w:gridSpan w:val="4"/>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31CA4BD4" w14:textId="77777777" w:rsidR="00D71975" w:rsidRDefault="00D71975" w:rsidP="0078124E">
            <w:pPr>
              <w:jc w:val="center"/>
              <w:rPr>
                <w:rFonts w:ascii="宋体" w:eastAsia="宋体" w:hAnsi="Calibri" w:cs="Times New Roman"/>
                <w:sz w:val="24"/>
                <w:szCs w:val="24"/>
              </w:rPr>
            </w:pPr>
            <w:r>
              <w:rPr>
                <w:rFonts w:ascii="宋体" w:eastAsia="宋体" w:hAnsi="宋体" w:cs="宋体" w:hint="eastAsia"/>
                <w:b/>
                <w:bCs/>
                <w:color w:val="000000" w:themeColor="text1"/>
                <w:kern w:val="0"/>
                <w:sz w:val="24"/>
                <w:szCs w:val="24"/>
              </w:rPr>
              <w:t>考核方式及成绩比例（%）</w:t>
            </w:r>
          </w:p>
        </w:tc>
        <w:tc>
          <w:tcPr>
            <w:tcW w:w="1037" w:type="dxa"/>
            <w:tcBorders>
              <w:top w:val="single" w:sz="6" w:space="0" w:color="000000"/>
              <w:left w:val="single" w:sz="6" w:space="0" w:color="000000"/>
              <w:right w:val="single" w:sz="6" w:space="0" w:color="000000"/>
            </w:tcBorders>
            <w:shd w:val="clear" w:color="auto" w:fill="auto"/>
            <w:tcMar>
              <w:top w:w="60" w:type="dxa"/>
              <w:left w:w="60" w:type="dxa"/>
              <w:bottom w:w="45" w:type="dxa"/>
              <w:right w:w="60" w:type="dxa"/>
            </w:tcMar>
            <w:vAlign w:val="center"/>
          </w:tcPr>
          <w:p w14:paraId="38CBC97A" w14:textId="77777777" w:rsidR="00D71975" w:rsidRDefault="00D71975"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合计</w:t>
            </w:r>
          </w:p>
        </w:tc>
      </w:tr>
      <w:tr w:rsidR="00D71975" w14:paraId="35472D0E" w14:textId="77777777" w:rsidTr="0078124E">
        <w:trPr>
          <w:trHeight w:val="635"/>
        </w:trPr>
        <w:tc>
          <w:tcPr>
            <w:tcW w:w="1496" w:type="dxa"/>
            <w:vMerge/>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1344EA91" w14:textId="77777777" w:rsidR="00D71975" w:rsidRDefault="00D71975" w:rsidP="0078124E">
            <w:pPr>
              <w:jc w:val="center"/>
              <w:rPr>
                <w:rFonts w:ascii="宋体" w:eastAsia="宋体" w:hAnsi="Calibri" w:cs="Times New Roman"/>
                <w:sz w:val="24"/>
                <w:szCs w:val="24"/>
              </w:rPr>
            </w:pP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5E771CD" w14:textId="77777777" w:rsidR="00D71975" w:rsidRDefault="00D71975"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课堂表现</w:t>
            </w: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2B0596FF" w14:textId="77777777" w:rsidR="00D71975" w:rsidRDefault="00D71975"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线上学习</w:t>
            </w: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107E8018" w14:textId="77777777" w:rsidR="00D71975" w:rsidRDefault="00D71975"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阶段性测试</w:t>
            </w: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6004C8D2" w14:textId="77777777" w:rsidR="00D71975" w:rsidRDefault="00D71975"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期末考试</w:t>
            </w:r>
          </w:p>
        </w:tc>
        <w:tc>
          <w:tcPr>
            <w:tcW w:w="1037" w:type="dxa"/>
            <w:tcBorders>
              <w:left w:val="single" w:sz="6" w:space="0" w:color="000000"/>
              <w:right w:val="single" w:sz="6" w:space="0" w:color="000000"/>
            </w:tcBorders>
            <w:shd w:val="clear" w:color="auto" w:fill="auto"/>
            <w:tcMar>
              <w:top w:w="60" w:type="dxa"/>
              <w:left w:w="60" w:type="dxa"/>
              <w:bottom w:w="45" w:type="dxa"/>
              <w:right w:w="60" w:type="dxa"/>
            </w:tcMar>
          </w:tcPr>
          <w:p w14:paraId="329911A8" w14:textId="77777777" w:rsidR="00D71975" w:rsidRDefault="00D71975" w:rsidP="0078124E">
            <w:pPr>
              <w:jc w:val="center"/>
              <w:rPr>
                <w:rFonts w:ascii="宋体" w:eastAsia="宋体" w:hAnsi="Calibri" w:cs="Times New Roman"/>
                <w:sz w:val="24"/>
                <w:szCs w:val="24"/>
              </w:rPr>
            </w:pPr>
          </w:p>
        </w:tc>
      </w:tr>
      <w:tr w:rsidR="00D71975" w14:paraId="29B6C7B3" w14:textId="77777777" w:rsidTr="0078124E">
        <w:trPr>
          <w:trHeight w:val="476"/>
        </w:trPr>
        <w:tc>
          <w:tcPr>
            <w:tcW w:w="149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06982F75" w14:textId="77777777" w:rsidR="00D71975" w:rsidRDefault="00D71975" w:rsidP="0078124E">
            <w:pPr>
              <w:widowControl/>
              <w:spacing w:line="440" w:lineRule="atLeast"/>
              <w:jc w:val="center"/>
              <w:rPr>
                <w:rFonts w:ascii="Calibri" w:eastAsia="宋体" w:hAnsi="Calibri" w:cs="Times New Roman"/>
                <w:sz w:val="24"/>
              </w:rPr>
            </w:pPr>
            <w:r>
              <w:rPr>
                <w:rFonts w:ascii="宋体" w:eastAsia="宋体" w:hAnsi="宋体" w:cs="宋体" w:hint="eastAsia"/>
                <w:sz w:val="24"/>
                <w:szCs w:val="24"/>
              </w:rPr>
              <w:t>课程目标1</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176145EB" w14:textId="77777777" w:rsidR="00D71975" w:rsidRDefault="00D71975" w:rsidP="0078124E">
            <w:pPr>
              <w:widowControl/>
              <w:spacing w:line="440" w:lineRule="atLeast"/>
              <w:jc w:val="center"/>
              <w:rPr>
                <w:rFonts w:ascii="Calibri" w:eastAsia="宋体" w:hAnsi="Calibri" w:cs="Times New Roman"/>
                <w:sz w:val="24"/>
              </w:rPr>
            </w:pP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09C3F482" w14:textId="77777777" w:rsidR="00D71975" w:rsidRDefault="00D71975" w:rsidP="0078124E">
            <w:pPr>
              <w:widowControl/>
              <w:spacing w:line="440" w:lineRule="atLeast"/>
              <w:jc w:val="center"/>
              <w:rPr>
                <w:rFonts w:ascii="宋体" w:eastAsia="宋体" w:hAnsi="宋体" w:cs="宋体"/>
                <w:sz w:val="24"/>
                <w:szCs w:val="24"/>
              </w:rPr>
            </w:pPr>
            <w:r>
              <w:rPr>
                <w:rFonts w:ascii="宋体" w:eastAsia="宋体" w:hAnsi="宋体" w:cs="宋体" w:hint="eastAsia"/>
                <w:sz w:val="24"/>
                <w:szCs w:val="24"/>
              </w:rPr>
              <w:t>15%</w:t>
            </w: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3D87D22E" w14:textId="77777777" w:rsidR="00D71975" w:rsidRDefault="00D71975" w:rsidP="0078124E">
            <w:pPr>
              <w:widowControl/>
              <w:spacing w:line="440" w:lineRule="atLeast"/>
              <w:jc w:val="center"/>
              <w:rPr>
                <w:rFonts w:ascii="宋体" w:eastAsia="宋体" w:hAnsi="宋体" w:cs="宋体"/>
                <w:sz w:val="24"/>
                <w:szCs w:val="24"/>
              </w:rPr>
            </w:pPr>
            <w:r>
              <w:rPr>
                <w:rFonts w:ascii="宋体" w:eastAsia="宋体" w:hAnsi="宋体" w:cs="宋体" w:hint="eastAsia"/>
                <w:sz w:val="24"/>
                <w:szCs w:val="24"/>
              </w:rPr>
              <w:t>20</w:t>
            </w: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1E96F5F8" w14:textId="77777777" w:rsidR="00D71975" w:rsidRDefault="00D71975" w:rsidP="0078124E">
            <w:pPr>
              <w:widowControl/>
              <w:spacing w:line="440" w:lineRule="atLeast"/>
              <w:jc w:val="center"/>
              <w:rPr>
                <w:rFonts w:ascii="宋体" w:eastAsia="宋体" w:hAnsi="宋体" w:cs="宋体"/>
                <w:sz w:val="24"/>
                <w:szCs w:val="24"/>
              </w:rPr>
            </w:pPr>
          </w:p>
        </w:tc>
        <w:tc>
          <w:tcPr>
            <w:tcW w:w="1037"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tcPr>
          <w:p w14:paraId="2066FAF8" w14:textId="77777777" w:rsidR="00D71975" w:rsidRDefault="00D71975" w:rsidP="0078124E">
            <w:pPr>
              <w:widowControl/>
              <w:spacing w:line="440" w:lineRule="atLeast"/>
              <w:jc w:val="center"/>
              <w:rPr>
                <w:rFonts w:ascii="宋体" w:eastAsia="宋体" w:hAnsi="宋体" w:cs="宋体"/>
                <w:sz w:val="24"/>
                <w:szCs w:val="24"/>
              </w:rPr>
            </w:pPr>
            <w:r>
              <w:rPr>
                <w:rFonts w:ascii="宋体" w:eastAsia="宋体" w:hAnsi="宋体" w:cs="宋体" w:hint="eastAsia"/>
                <w:sz w:val="24"/>
                <w:szCs w:val="24"/>
              </w:rPr>
              <w:t>35</w:t>
            </w:r>
          </w:p>
        </w:tc>
      </w:tr>
      <w:tr w:rsidR="00D71975" w14:paraId="7945FFEC" w14:textId="77777777" w:rsidTr="0078124E">
        <w:trPr>
          <w:trHeight w:val="476"/>
        </w:trPr>
        <w:tc>
          <w:tcPr>
            <w:tcW w:w="149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6417DC11" w14:textId="77777777" w:rsidR="00D71975" w:rsidRDefault="00D71975" w:rsidP="0078124E">
            <w:pPr>
              <w:widowControl/>
              <w:spacing w:line="440" w:lineRule="atLeast"/>
              <w:jc w:val="center"/>
              <w:rPr>
                <w:rFonts w:ascii="Calibri" w:eastAsia="宋体" w:hAnsi="Calibri" w:cs="Times New Roman"/>
                <w:sz w:val="24"/>
              </w:rPr>
            </w:pPr>
            <w:r>
              <w:rPr>
                <w:rFonts w:ascii="宋体" w:eastAsia="宋体" w:hAnsi="宋体" w:cs="宋体" w:hint="eastAsia"/>
                <w:sz w:val="24"/>
                <w:szCs w:val="24"/>
              </w:rPr>
              <w:t>课程目标2</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0262614E" w14:textId="77777777" w:rsidR="00D71975" w:rsidRDefault="00D71975" w:rsidP="0078124E">
            <w:pPr>
              <w:widowControl/>
              <w:spacing w:line="440" w:lineRule="atLeast"/>
              <w:jc w:val="center"/>
              <w:rPr>
                <w:rFonts w:ascii="宋体" w:eastAsia="宋体" w:hAnsi="宋体" w:cs="宋体"/>
                <w:sz w:val="24"/>
                <w:szCs w:val="24"/>
              </w:rPr>
            </w:pPr>
            <w:r>
              <w:rPr>
                <w:rFonts w:ascii="宋体" w:eastAsia="宋体" w:hAnsi="宋体" w:cs="宋体" w:hint="eastAsia"/>
                <w:sz w:val="24"/>
                <w:szCs w:val="24"/>
              </w:rPr>
              <w:t>15%</w:t>
            </w: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133B9ABF" w14:textId="77777777" w:rsidR="00D71975" w:rsidRDefault="00D71975" w:rsidP="0078124E">
            <w:pPr>
              <w:widowControl/>
              <w:spacing w:line="440" w:lineRule="atLeast"/>
              <w:jc w:val="center"/>
              <w:rPr>
                <w:rFonts w:ascii="宋体" w:eastAsia="宋体" w:hAnsi="宋体" w:cs="宋体"/>
                <w:sz w:val="24"/>
                <w:szCs w:val="24"/>
              </w:rPr>
            </w:pP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70AC47B6" w14:textId="77777777" w:rsidR="00D71975" w:rsidRDefault="00D71975" w:rsidP="0078124E">
            <w:pPr>
              <w:widowControl/>
              <w:spacing w:line="440" w:lineRule="atLeast"/>
              <w:jc w:val="center"/>
              <w:rPr>
                <w:rFonts w:ascii="宋体" w:eastAsia="宋体" w:hAnsi="宋体" w:cs="宋体"/>
                <w:sz w:val="24"/>
                <w:szCs w:val="24"/>
              </w:rPr>
            </w:pP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1C47F60C" w14:textId="77777777" w:rsidR="00D71975" w:rsidRDefault="00D71975" w:rsidP="0078124E">
            <w:pPr>
              <w:widowControl/>
              <w:spacing w:line="440" w:lineRule="atLeast"/>
              <w:jc w:val="center"/>
              <w:rPr>
                <w:rFonts w:ascii="宋体" w:eastAsia="宋体" w:hAnsi="宋体" w:cs="宋体"/>
                <w:sz w:val="24"/>
                <w:szCs w:val="24"/>
              </w:rPr>
            </w:pPr>
          </w:p>
        </w:tc>
        <w:tc>
          <w:tcPr>
            <w:tcW w:w="1037"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tcPr>
          <w:p w14:paraId="0FB6F79D" w14:textId="77777777" w:rsidR="00D71975" w:rsidRDefault="00D71975" w:rsidP="0078124E">
            <w:pPr>
              <w:widowControl/>
              <w:spacing w:line="440" w:lineRule="atLeast"/>
              <w:jc w:val="center"/>
              <w:rPr>
                <w:rFonts w:ascii="宋体" w:eastAsia="宋体" w:hAnsi="宋体" w:cs="宋体"/>
                <w:sz w:val="24"/>
                <w:szCs w:val="24"/>
              </w:rPr>
            </w:pPr>
            <w:r>
              <w:rPr>
                <w:rFonts w:ascii="宋体" w:eastAsia="宋体" w:hAnsi="宋体" w:cs="宋体" w:hint="eastAsia"/>
                <w:sz w:val="24"/>
                <w:szCs w:val="24"/>
              </w:rPr>
              <w:t>15</w:t>
            </w:r>
          </w:p>
        </w:tc>
      </w:tr>
      <w:tr w:rsidR="00D71975" w14:paraId="29D9E572" w14:textId="77777777" w:rsidTr="0078124E">
        <w:trPr>
          <w:trHeight w:val="476"/>
        </w:trPr>
        <w:tc>
          <w:tcPr>
            <w:tcW w:w="149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0D78024A" w14:textId="77777777" w:rsidR="00D71975" w:rsidRDefault="00D71975" w:rsidP="0078124E">
            <w:pPr>
              <w:widowControl/>
              <w:spacing w:line="440" w:lineRule="atLeast"/>
              <w:jc w:val="center"/>
              <w:rPr>
                <w:rFonts w:ascii="Calibri" w:eastAsia="宋体" w:hAnsi="Calibri" w:cs="Times New Roman"/>
                <w:sz w:val="24"/>
              </w:rPr>
            </w:pPr>
            <w:r>
              <w:rPr>
                <w:rFonts w:ascii="宋体" w:eastAsia="宋体" w:hAnsi="宋体" w:cs="宋体" w:hint="eastAsia"/>
                <w:sz w:val="24"/>
                <w:szCs w:val="24"/>
              </w:rPr>
              <w:t>课程目标3</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FFC869B" w14:textId="77777777" w:rsidR="00D71975" w:rsidRDefault="00D71975" w:rsidP="0078124E">
            <w:pPr>
              <w:widowControl/>
              <w:spacing w:line="440" w:lineRule="atLeast"/>
              <w:jc w:val="center"/>
              <w:rPr>
                <w:rFonts w:ascii="宋体" w:eastAsia="宋体" w:hAnsi="宋体" w:cs="宋体"/>
                <w:sz w:val="24"/>
                <w:szCs w:val="24"/>
              </w:rPr>
            </w:pP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25C4CB37" w14:textId="77777777" w:rsidR="00D71975" w:rsidRDefault="00D71975" w:rsidP="0078124E">
            <w:pPr>
              <w:widowControl/>
              <w:spacing w:line="440" w:lineRule="atLeast"/>
              <w:jc w:val="center"/>
              <w:rPr>
                <w:rFonts w:ascii="宋体" w:eastAsia="宋体" w:hAnsi="宋体" w:cs="宋体"/>
                <w:sz w:val="24"/>
                <w:szCs w:val="24"/>
              </w:rPr>
            </w:pP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09B4CDD5" w14:textId="77777777" w:rsidR="00D71975" w:rsidRDefault="00D71975" w:rsidP="0078124E">
            <w:pPr>
              <w:widowControl/>
              <w:spacing w:line="440" w:lineRule="atLeast"/>
              <w:jc w:val="center"/>
              <w:rPr>
                <w:rFonts w:ascii="宋体" w:eastAsia="宋体" w:hAnsi="宋体" w:cs="宋体"/>
                <w:sz w:val="24"/>
                <w:szCs w:val="24"/>
              </w:rPr>
            </w:pP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7849177A" w14:textId="77777777" w:rsidR="00D71975" w:rsidRDefault="00D71975" w:rsidP="0078124E">
            <w:pPr>
              <w:widowControl/>
              <w:spacing w:line="440" w:lineRule="atLeast"/>
              <w:jc w:val="center"/>
              <w:rPr>
                <w:rFonts w:ascii="宋体" w:eastAsia="宋体" w:hAnsi="宋体" w:cs="宋体"/>
                <w:sz w:val="24"/>
                <w:szCs w:val="24"/>
              </w:rPr>
            </w:pPr>
            <w:r>
              <w:rPr>
                <w:rFonts w:ascii="宋体" w:eastAsia="宋体" w:hAnsi="宋体" w:cs="宋体" w:hint="eastAsia"/>
                <w:sz w:val="24"/>
                <w:szCs w:val="24"/>
              </w:rPr>
              <w:t>50%</w:t>
            </w:r>
          </w:p>
        </w:tc>
        <w:tc>
          <w:tcPr>
            <w:tcW w:w="1037"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tcPr>
          <w:p w14:paraId="27169EE1" w14:textId="77777777" w:rsidR="00D71975" w:rsidRDefault="00D71975" w:rsidP="0078124E">
            <w:pPr>
              <w:widowControl/>
              <w:spacing w:line="440" w:lineRule="atLeast"/>
              <w:jc w:val="center"/>
              <w:rPr>
                <w:rFonts w:ascii="宋体" w:eastAsia="宋体" w:hAnsi="宋体" w:cs="宋体"/>
                <w:sz w:val="24"/>
                <w:szCs w:val="24"/>
              </w:rPr>
            </w:pPr>
            <w:r>
              <w:rPr>
                <w:rFonts w:ascii="宋体" w:eastAsia="宋体" w:hAnsi="宋体" w:cs="宋体" w:hint="eastAsia"/>
                <w:sz w:val="24"/>
                <w:szCs w:val="24"/>
              </w:rPr>
              <w:t>50</w:t>
            </w:r>
          </w:p>
        </w:tc>
      </w:tr>
      <w:tr w:rsidR="00D71975" w14:paraId="1BFF5190" w14:textId="77777777" w:rsidTr="0078124E">
        <w:trPr>
          <w:trHeight w:val="476"/>
        </w:trPr>
        <w:tc>
          <w:tcPr>
            <w:tcW w:w="149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274419BC" w14:textId="77777777" w:rsidR="00D71975" w:rsidRDefault="00D71975" w:rsidP="0078124E">
            <w:pPr>
              <w:widowControl/>
              <w:spacing w:line="440" w:lineRule="atLeast"/>
              <w:jc w:val="center"/>
              <w:rPr>
                <w:rFonts w:ascii="Calibri" w:eastAsia="宋体" w:hAnsi="Calibri" w:cs="Times New Roman"/>
                <w:sz w:val="24"/>
              </w:rPr>
            </w:pPr>
            <w:r>
              <w:rPr>
                <w:rFonts w:ascii="宋体" w:eastAsia="宋体" w:hAnsi="宋体" w:cs="宋体" w:hint="eastAsia"/>
                <w:sz w:val="24"/>
                <w:szCs w:val="24"/>
              </w:rPr>
              <w:t>合计</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7A9C1A89" w14:textId="77777777" w:rsidR="00D71975" w:rsidRDefault="00D71975" w:rsidP="0078124E">
            <w:pPr>
              <w:widowControl/>
              <w:spacing w:line="440" w:lineRule="atLeast"/>
              <w:jc w:val="center"/>
              <w:rPr>
                <w:rFonts w:ascii="Calibri" w:eastAsia="宋体" w:hAnsi="Calibri" w:cs="Times New Roman"/>
                <w:sz w:val="24"/>
              </w:rPr>
            </w:pPr>
            <w:r>
              <w:rPr>
                <w:rFonts w:ascii="宋体" w:eastAsia="宋体" w:hAnsi="宋体" w:cs="宋体" w:hint="eastAsia"/>
                <w:sz w:val="24"/>
                <w:szCs w:val="24"/>
              </w:rPr>
              <w:t>15%</w:t>
            </w: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1B2E06C" w14:textId="77777777" w:rsidR="00D71975" w:rsidRDefault="00D71975" w:rsidP="0078124E">
            <w:pPr>
              <w:widowControl/>
              <w:spacing w:line="440" w:lineRule="atLeast"/>
              <w:jc w:val="center"/>
              <w:rPr>
                <w:rFonts w:ascii="宋体" w:eastAsia="宋体" w:hAnsi="宋体" w:cs="宋体"/>
                <w:sz w:val="24"/>
                <w:szCs w:val="24"/>
              </w:rPr>
            </w:pPr>
            <w:r>
              <w:rPr>
                <w:rFonts w:ascii="宋体" w:eastAsia="宋体" w:hAnsi="宋体" w:cs="宋体" w:hint="eastAsia"/>
                <w:sz w:val="24"/>
                <w:szCs w:val="24"/>
              </w:rPr>
              <w:t>15%</w:t>
            </w: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6586361" w14:textId="77777777" w:rsidR="00D71975" w:rsidRDefault="00D71975" w:rsidP="0078124E">
            <w:pPr>
              <w:widowControl/>
              <w:spacing w:line="440" w:lineRule="atLeast"/>
              <w:jc w:val="center"/>
              <w:rPr>
                <w:rFonts w:ascii="宋体" w:eastAsia="宋体" w:hAnsi="宋体" w:cs="宋体"/>
                <w:sz w:val="24"/>
                <w:szCs w:val="24"/>
              </w:rPr>
            </w:pPr>
            <w:r>
              <w:rPr>
                <w:rFonts w:ascii="宋体" w:eastAsia="宋体" w:hAnsi="宋体" w:cs="宋体" w:hint="eastAsia"/>
                <w:sz w:val="24"/>
                <w:szCs w:val="24"/>
              </w:rPr>
              <w:t>20%</w:t>
            </w: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17E95968" w14:textId="77777777" w:rsidR="00D71975" w:rsidRDefault="00D71975" w:rsidP="0078124E">
            <w:pPr>
              <w:widowControl/>
              <w:spacing w:line="440" w:lineRule="atLeast"/>
              <w:jc w:val="center"/>
              <w:rPr>
                <w:rFonts w:ascii="宋体" w:eastAsia="宋体" w:hAnsi="宋体" w:cs="宋体"/>
                <w:sz w:val="24"/>
                <w:szCs w:val="24"/>
              </w:rPr>
            </w:pPr>
            <w:r>
              <w:rPr>
                <w:rFonts w:ascii="宋体" w:eastAsia="宋体" w:hAnsi="宋体" w:cs="宋体" w:hint="eastAsia"/>
                <w:sz w:val="24"/>
                <w:szCs w:val="24"/>
              </w:rPr>
              <w:t>50%</w:t>
            </w:r>
          </w:p>
        </w:tc>
        <w:tc>
          <w:tcPr>
            <w:tcW w:w="1037"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tcPr>
          <w:p w14:paraId="6E17A419" w14:textId="77777777" w:rsidR="00D71975" w:rsidRDefault="00D71975" w:rsidP="0078124E">
            <w:pPr>
              <w:widowControl/>
              <w:spacing w:line="440" w:lineRule="atLeast"/>
              <w:jc w:val="center"/>
              <w:rPr>
                <w:rFonts w:ascii="宋体" w:eastAsia="宋体" w:hAnsi="宋体" w:cs="宋体"/>
                <w:sz w:val="24"/>
                <w:szCs w:val="24"/>
              </w:rPr>
            </w:pPr>
            <w:r>
              <w:rPr>
                <w:rFonts w:ascii="宋体" w:eastAsia="宋体" w:hAnsi="宋体" w:cs="宋体" w:hint="eastAsia"/>
                <w:sz w:val="24"/>
                <w:szCs w:val="24"/>
              </w:rPr>
              <w:t>100</w:t>
            </w:r>
          </w:p>
        </w:tc>
      </w:tr>
    </w:tbl>
    <w:p w14:paraId="2CE8CC2B" w14:textId="77777777" w:rsidR="00D71975" w:rsidRDefault="00D71975" w:rsidP="00D71975">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lastRenderedPageBreak/>
        <w:t>五、成绩评定</w:t>
      </w:r>
    </w:p>
    <w:p w14:paraId="79ED52B4" w14:textId="77777777" w:rsidR="00D71975" w:rsidRDefault="00D71975" w:rsidP="00D71975">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（一）总成绩评定</w:t>
      </w:r>
    </w:p>
    <w:p w14:paraId="208AAF5D" w14:textId="77777777" w:rsidR="00D71975" w:rsidRDefault="00D71975" w:rsidP="00D71975">
      <w:pPr>
        <w:widowControl/>
        <w:adjustRightInd w:val="0"/>
        <w:snapToGrid w:val="0"/>
        <w:spacing w:line="440" w:lineRule="atLeast"/>
        <w:ind w:firstLine="420"/>
        <w:rPr>
          <w:rFonts w:ascii="Calibri" w:eastAsia="宋体" w:hAnsi="Calibri" w:cs="Times New Roman"/>
          <w:sz w:val="24"/>
        </w:rPr>
      </w:pPr>
      <w:r>
        <w:rPr>
          <w:rFonts w:ascii="宋体" w:eastAsia="宋体" w:hAnsi="宋体" w:cs="宋体" w:hint="eastAsia"/>
          <w:sz w:val="24"/>
          <w:szCs w:val="24"/>
        </w:rPr>
        <w:t>总成绩=平时成绩×50%＋期末成绩×50%。</w:t>
      </w:r>
    </w:p>
    <w:p w14:paraId="037652E3" w14:textId="77777777" w:rsidR="00D71975" w:rsidRDefault="00D71975" w:rsidP="00D71975">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（二）平时成绩评定</w:t>
      </w:r>
    </w:p>
    <w:p w14:paraId="6D56889B" w14:textId="77777777" w:rsidR="00D71975" w:rsidRDefault="00D71975" w:rsidP="00D71975">
      <w:pPr>
        <w:widowControl/>
        <w:spacing w:beforeLines="50" w:before="156" w:afterLines="50" w:after="156" w:line="440" w:lineRule="atLeast"/>
        <w:ind w:firstLine="420"/>
        <w:rPr>
          <w:rFonts w:ascii="宋体" w:eastAsia="宋体" w:hAnsi="宋体" w:cs="宋体"/>
          <w:sz w:val="24"/>
          <w:szCs w:val="24"/>
        </w:rPr>
      </w:pPr>
      <w:r>
        <w:rPr>
          <w:rFonts w:ascii="宋体" w:eastAsia="宋体" w:hAnsi="宋体" w:cs="宋体" w:hint="eastAsia"/>
          <w:sz w:val="24"/>
          <w:szCs w:val="24"/>
        </w:rPr>
        <w:t>平时成绩（100%）=课堂表现（30%）＋线上自主学习（30%）＋阶段性测试（40%）</w:t>
      </w:r>
    </w:p>
    <w:p w14:paraId="2BC3A0B7" w14:textId="77777777" w:rsidR="00D71975" w:rsidRDefault="00D71975" w:rsidP="00D71975">
      <w:pPr>
        <w:widowControl/>
        <w:spacing w:line="360" w:lineRule="auto"/>
        <w:ind w:firstLineChars="200" w:firstLine="480"/>
        <w:rPr>
          <w:rFonts w:ascii="宋体" w:eastAsia="宋体" w:hAnsi="宋体" w:cs="宋体"/>
          <w:sz w:val="24"/>
          <w:szCs w:val="24"/>
        </w:rPr>
      </w:pPr>
      <w:r>
        <w:rPr>
          <w:rFonts w:ascii="宋体" w:eastAsia="宋体" w:hAnsi="宋体" w:cs="宋体" w:hint="eastAsia"/>
          <w:sz w:val="24"/>
          <w:szCs w:val="24"/>
        </w:rPr>
        <w:t>（1）课堂表现：包含课堂纪律、课堂发言与提问、课堂讨论表现积极性与质量、学习小组成果展示、课堂作业等情况。</w:t>
      </w:r>
    </w:p>
    <w:p w14:paraId="0AF95072" w14:textId="77777777" w:rsidR="00D71975" w:rsidRDefault="00D71975" w:rsidP="00D71975">
      <w:pPr>
        <w:widowControl/>
        <w:spacing w:line="360" w:lineRule="auto"/>
        <w:ind w:firstLineChars="200" w:firstLine="480"/>
        <w:rPr>
          <w:rFonts w:ascii="宋体" w:eastAsia="宋体" w:hAnsi="宋体" w:cs="宋体"/>
          <w:sz w:val="24"/>
          <w:szCs w:val="24"/>
        </w:rPr>
      </w:pPr>
      <w:r>
        <w:rPr>
          <w:rFonts w:ascii="宋体" w:eastAsia="宋体" w:hAnsi="宋体" w:cs="宋体" w:hint="eastAsia"/>
          <w:sz w:val="24"/>
          <w:szCs w:val="24"/>
        </w:rPr>
        <w:t>（2）在线学习情况：本课程采用课堂教学与线上自主学习相结合方式，学生</w:t>
      </w:r>
      <w:proofErr w:type="gramStart"/>
      <w:r>
        <w:rPr>
          <w:rFonts w:ascii="宋体" w:eastAsia="宋体" w:hAnsi="宋体" w:cs="宋体" w:hint="eastAsia"/>
          <w:sz w:val="24"/>
          <w:szCs w:val="24"/>
        </w:rPr>
        <w:t>通过超星尔雅</w:t>
      </w:r>
      <w:proofErr w:type="gramEnd"/>
      <w:r>
        <w:rPr>
          <w:rFonts w:ascii="宋体" w:eastAsia="宋体" w:hAnsi="宋体" w:cs="宋体" w:hint="eastAsia"/>
          <w:sz w:val="24"/>
          <w:szCs w:val="24"/>
        </w:rPr>
        <w:t>学习通网络教学平台，按照规定时间和要求完成在线学习教学内容，包括观看相关视频、学习辅导和拓展资料，并完成测试题目等。</w:t>
      </w:r>
    </w:p>
    <w:p w14:paraId="198FCF3A" w14:textId="77777777" w:rsidR="00D71975" w:rsidRDefault="00D71975" w:rsidP="00D71975">
      <w:pPr>
        <w:widowControl/>
        <w:spacing w:beforeLines="50" w:before="156" w:afterLines="50" w:after="156" w:line="360" w:lineRule="auto"/>
        <w:ind w:firstLine="420"/>
        <w:rPr>
          <w:rFonts w:ascii="Calibri" w:eastAsia="宋体" w:hAnsi="Calibri" w:cs="Times New Roman"/>
          <w:sz w:val="24"/>
        </w:rPr>
      </w:pPr>
      <w:r>
        <w:rPr>
          <w:rFonts w:ascii="宋体" w:eastAsia="宋体" w:hAnsi="宋体" w:cs="宋体" w:hint="eastAsia"/>
          <w:sz w:val="24"/>
          <w:szCs w:val="24"/>
        </w:rPr>
        <w:t>（3）阶段性测试：依据学生随堂测试、期中测试、专题测试等评定；</w:t>
      </w:r>
    </w:p>
    <w:p w14:paraId="3D0DA52F" w14:textId="77777777" w:rsidR="00D71975" w:rsidRDefault="00D71975" w:rsidP="00D71975">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（三）期末成绩评定</w:t>
      </w:r>
    </w:p>
    <w:p w14:paraId="4F86CFFE" w14:textId="77777777" w:rsidR="00D71975" w:rsidRDefault="00D71975" w:rsidP="00D71975">
      <w:pPr>
        <w:adjustRightInd w:val="0"/>
        <w:snapToGrid w:val="0"/>
        <w:spacing w:line="440" w:lineRule="exact"/>
        <w:ind w:firstLineChars="200" w:firstLine="480"/>
        <w:rPr>
          <w:rFonts w:ascii="宋体" w:eastAsia="宋体" w:hAnsi="宋体" w:cs="宋体"/>
          <w:sz w:val="24"/>
        </w:rPr>
      </w:pPr>
      <w:r>
        <w:rPr>
          <w:rFonts w:ascii="宋体" w:eastAsia="宋体" w:hAnsi="宋体" w:cs="宋体" w:hint="eastAsia"/>
          <w:sz w:val="24"/>
        </w:rPr>
        <w:t>期末考试采取撰写课程论文的方式进行，论文选题主要结合中国近现代史发展历程中重大历史事件的理解，分析中国革命、建设和改革中策略、路线选择的历史必然性、正确性和重要意义，通过历史分析坚定学生对中国特色社会主义道路、理论、制度、文化自信，认识当代青年的社会责任和历史使命，以青春奋斗贡献中国特色社会主义建设伟大事业。</w:t>
      </w:r>
    </w:p>
    <w:p w14:paraId="01E62DE7" w14:textId="77777777" w:rsidR="00D71975" w:rsidRDefault="00D71975" w:rsidP="00D71975">
      <w:pPr>
        <w:adjustRightInd w:val="0"/>
        <w:snapToGrid w:val="0"/>
        <w:spacing w:line="440" w:lineRule="exact"/>
        <w:ind w:firstLineChars="200" w:firstLine="480"/>
        <w:rPr>
          <w:rFonts w:ascii="宋体" w:eastAsia="宋体" w:hAnsi="宋体" w:cs="宋体"/>
          <w:sz w:val="24"/>
        </w:rPr>
      </w:pPr>
      <w:r>
        <w:rPr>
          <w:rFonts w:ascii="宋体" w:eastAsia="宋体" w:hAnsi="宋体" w:cs="宋体" w:hint="eastAsia"/>
          <w:sz w:val="24"/>
        </w:rPr>
        <w:t>课程论文评定标准：要求主题鲜明、突出，论述内容详细、全面，逻辑层次严谨、清晰，紧密结合历史及实际进行深入分析，且有一定独立分析及思考。</w:t>
      </w:r>
    </w:p>
    <w:p w14:paraId="767B963C" w14:textId="77777777" w:rsidR="00D71975" w:rsidRDefault="00D71975" w:rsidP="00D71975">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六、使用教材、相关推荐书目及课程资源</w:t>
      </w:r>
    </w:p>
    <w:p w14:paraId="7E3F7927" w14:textId="77777777" w:rsidR="00D71975" w:rsidRDefault="00D71975" w:rsidP="00D71975">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（一）使用教材</w:t>
      </w:r>
    </w:p>
    <w:p w14:paraId="6417B996" w14:textId="77777777" w:rsidR="00D71975" w:rsidRDefault="00D71975" w:rsidP="00D71975">
      <w:pPr>
        <w:snapToGrid w:val="0"/>
        <w:spacing w:line="440" w:lineRule="exact"/>
        <w:ind w:firstLineChars="200" w:firstLine="480"/>
        <w:rPr>
          <w:rFonts w:ascii="宋体" w:eastAsia="宋体" w:hAnsi="宋体"/>
          <w:sz w:val="24"/>
          <w:szCs w:val="24"/>
        </w:rPr>
      </w:pPr>
      <w:r>
        <w:rPr>
          <w:rFonts w:ascii="宋体" w:eastAsia="宋体" w:hAnsi="宋体"/>
          <w:sz w:val="24"/>
          <w:szCs w:val="24"/>
        </w:rPr>
        <w:t>马克思主义理论研究和建设工程重点教材：《中国近现代史纲要》，高等教育出版社，</w:t>
      </w:r>
      <w:r>
        <w:rPr>
          <w:rFonts w:ascii="宋体" w:eastAsia="宋体" w:hAnsi="宋体" w:hint="eastAsia"/>
          <w:sz w:val="24"/>
          <w:szCs w:val="24"/>
        </w:rPr>
        <w:t>2023</w:t>
      </w:r>
      <w:r>
        <w:rPr>
          <w:rFonts w:ascii="宋体" w:eastAsia="宋体" w:hAnsi="宋体"/>
          <w:sz w:val="24"/>
          <w:szCs w:val="24"/>
        </w:rPr>
        <w:t>年版；</w:t>
      </w:r>
    </w:p>
    <w:p w14:paraId="7D37A966" w14:textId="77777777" w:rsidR="00D71975" w:rsidRDefault="00D71975" w:rsidP="00D71975">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sz w:val="28"/>
          <w:szCs w:val="28"/>
        </w:rPr>
        <w:t>（</w:t>
      </w:r>
      <w:r>
        <w:rPr>
          <w:rFonts w:ascii="黑体" w:eastAsia="黑体" w:hAnsi="黑体" w:cs="Times New Roman" w:hint="eastAsia"/>
          <w:sz w:val="28"/>
          <w:szCs w:val="28"/>
        </w:rPr>
        <w:t>二）相关推荐书目</w:t>
      </w:r>
    </w:p>
    <w:p w14:paraId="5B6A9C33"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1.《毛泽东选集》（1—4卷），人民</w:t>
      </w:r>
      <w:r>
        <w:rPr>
          <w:rFonts w:ascii="宋体" w:eastAsia="宋体" w:hAnsi="宋体"/>
          <w:sz w:val="24"/>
          <w:szCs w:val="24"/>
        </w:rPr>
        <w:t>出版社，1991年；</w:t>
      </w:r>
    </w:p>
    <w:p w14:paraId="23F72AF8"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sz w:val="24"/>
          <w:szCs w:val="24"/>
        </w:rPr>
        <w:t>2.《邓小平文选》（1—3卷），人民出版社，1994年；</w:t>
      </w:r>
    </w:p>
    <w:p w14:paraId="5C3828C9"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sz w:val="24"/>
          <w:szCs w:val="24"/>
        </w:rPr>
        <w:lastRenderedPageBreak/>
        <w:t>3.《江泽民文选》（1—3卷），人民出版社，2006年；</w:t>
      </w:r>
    </w:p>
    <w:p w14:paraId="718185CD"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sz w:val="24"/>
          <w:szCs w:val="24"/>
        </w:rPr>
        <w:t>4.《胡锦涛文选》（1—3卷），人民出版社，2016年；</w:t>
      </w:r>
    </w:p>
    <w:p w14:paraId="10F70110"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sz w:val="24"/>
          <w:szCs w:val="24"/>
        </w:rPr>
        <w:t>5.习近平：《习近平谈治国理政》（第一卷），外文出版社，2018年；</w:t>
      </w:r>
    </w:p>
    <w:p w14:paraId="6EF07264"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sz w:val="24"/>
          <w:szCs w:val="24"/>
        </w:rPr>
        <w:t>6.习近平：《习近平谈治国理政》（第二卷），外文出版社，2017年；</w:t>
      </w:r>
    </w:p>
    <w:p w14:paraId="19614D48"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sz w:val="24"/>
          <w:szCs w:val="24"/>
        </w:rPr>
        <w:t>7.习近平：《习近平谈治国理政》（第</w:t>
      </w:r>
      <w:r>
        <w:rPr>
          <w:rFonts w:ascii="宋体" w:eastAsia="宋体" w:hAnsi="宋体" w:hint="eastAsia"/>
          <w:sz w:val="24"/>
          <w:szCs w:val="24"/>
        </w:rPr>
        <w:t>三</w:t>
      </w:r>
      <w:r>
        <w:rPr>
          <w:rFonts w:ascii="宋体" w:eastAsia="宋体" w:hAnsi="宋体"/>
          <w:sz w:val="24"/>
          <w:szCs w:val="24"/>
        </w:rPr>
        <w:t>卷），外文出版社，</w:t>
      </w:r>
      <w:r>
        <w:rPr>
          <w:rFonts w:ascii="宋体" w:eastAsia="宋体" w:hAnsi="宋体" w:hint="eastAsia"/>
          <w:sz w:val="24"/>
          <w:szCs w:val="24"/>
        </w:rPr>
        <w:t>2020</w:t>
      </w:r>
      <w:r>
        <w:rPr>
          <w:rFonts w:ascii="宋体" w:eastAsia="宋体" w:hAnsi="宋体"/>
          <w:sz w:val="24"/>
          <w:szCs w:val="24"/>
        </w:rPr>
        <w:t>年；</w:t>
      </w:r>
    </w:p>
    <w:p w14:paraId="44DE8CD0"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sz w:val="24"/>
          <w:szCs w:val="24"/>
        </w:rPr>
        <w:t>8.习近平：《习近平谈治国理政》（第</w:t>
      </w:r>
      <w:r>
        <w:rPr>
          <w:rFonts w:ascii="宋体" w:eastAsia="宋体" w:hAnsi="宋体" w:hint="eastAsia"/>
          <w:sz w:val="24"/>
          <w:szCs w:val="24"/>
        </w:rPr>
        <w:t>四</w:t>
      </w:r>
      <w:r>
        <w:rPr>
          <w:rFonts w:ascii="宋体" w:eastAsia="宋体" w:hAnsi="宋体"/>
          <w:sz w:val="24"/>
          <w:szCs w:val="24"/>
        </w:rPr>
        <w:t>卷），外文出版社，</w:t>
      </w:r>
      <w:r>
        <w:rPr>
          <w:rFonts w:ascii="宋体" w:eastAsia="宋体" w:hAnsi="宋体" w:hint="eastAsia"/>
          <w:sz w:val="24"/>
          <w:szCs w:val="24"/>
        </w:rPr>
        <w:t>2022</w:t>
      </w:r>
      <w:r>
        <w:rPr>
          <w:rFonts w:ascii="宋体" w:eastAsia="宋体" w:hAnsi="宋体"/>
          <w:sz w:val="24"/>
          <w:szCs w:val="24"/>
        </w:rPr>
        <w:t>年；</w:t>
      </w:r>
    </w:p>
    <w:p w14:paraId="28CCD03F"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sz w:val="24"/>
          <w:szCs w:val="24"/>
        </w:rPr>
        <w:t>9.中央文献研究室：《建国以来重要文献选编》，中央文献出版社，1988年--1995年；</w:t>
      </w:r>
    </w:p>
    <w:p w14:paraId="545DBBB4" w14:textId="77777777" w:rsidR="00D71975" w:rsidRDefault="00D71975" w:rsidP="00D71975">
      <w:pPr>
        <w:adjustRightInd w:val="0"/>
        <w:snapToGrid w:val="0"/>
        <w:spacing w:line="440" w:lineRule="exact"/>
        <w:ind w:firstLineChars="200" w:firstLine="480"/>
        <w:rPr>
          <w:rFonts w:ascii="宋体" w:eastAsia="宋体" w:hAnsi="宋体" w:cs="Times New Roman"/>
          <w:kern w:val="0"/>
          <w:sz w:val="24"/>
          <w:szCs w:val="24"/>
        </w:rPr>
      </w:pPr>
      <w:r>
        <w:rPr>
          <w:rFonts w:ascii="宋体" w:eastAsia="宋体" w:hAnsi="宋体"/>
          <w:sz w:val="24"/>
          <w:szCs w:val="24"/>
        </w:rPr>
        <w:t>10.</w:t>
      </w:r>
      <w:r>
        <w:rPr>
          <w:rFonts w:ascii="宋体" w:eastAsia="宋体" w:hAnsi="宋体" w:cs="Times New Roman" w:hint="eastAsia"/>
          <w:kern w:val="0"/>
          <w:sz w:val="24"/>
          <w:szCs w:val="24"/>
        </w:rPr>
        <w:t>中共中央党史研究室：《中国共产党历史》第一卷、第二卷，中央党史出版社，2011年；</w:t>
      </w:r>
    </w:p>
    <w:p w14:paraId="2AF6D8C9"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sz w:val="24"/>
          <w:szCs w:val="24"/>
        </w:rPr>
        <w:t>11.《</w:t>
      </w:r>
      <w:r>
        <w:rPr>
          <w:rFonts w:ascii="宋体" w:eastAsia="宋体" w:hAnsi="宋体" w:hint="eastAsia"/>
          <w:sz w:val="24"/>
          <w:szCs w:val="24"/>
        </w:rPr>
        <w:t>中国共产党一百年大事记（1921年7月—2021年6月）</w:t>
      </w:r>
      <w:r>
        <w:rPr>
          <w:rFonts w:ascii="宋体" w:eastAsia="宋体" w:hAnsi="宋体"/>
          <w:sz w:val="24"/>
          <w:szCs w:val="24"/>
        </w:rPr>
        <w:t>》，</w:t>
      </w:r>
      <w:r>
        <w:rPr>
          <w:rFonts w:ascii="宋体" w:eastAsia="宋体" w:hAnsi="宋体" w:hint="eastAsia"/>
          <w:sz w:val="24"/>
          <w:szCs w:val="24"/>
        </w:rPr>
        <w:t>人民出版社</w:t>
      </w:r>
      <w:r>
        <w:rPr>
          <w:rFonts w:ascii="宋体" w:eastAsia="宋体" w:hAnsi="宋体"/>
          <w:sz w:val="24"/>
          <w:szCs w:val="24"/>
        </w:rPr>
        <w:t>，</w:t>
      </w:r>
      <w:r>
        <w:rPr>
          <w:rFonts w:ascii="宋体" w:eastAsia="宋体" w:hAnsi="宋体" w:hint="eastAsia"/>
          <w:sz w:val="24"/>
          <w:szCs w:val="24"/>
        </w:rPr>
        <w:t>2021</w:t>
      </w:r>
      <w:r>
        <w:rPr>
          <w:rFonts w:ascii="宋体" w:eastAsia="宋体" w:hAnsi="宋体"/>
          <w:sz w:val="24"/>
          <w:szCs w:val="24"/>
        </w:rPr>
        <w:t>年；</w:t>
      </w:r>
    </w:p>
    <w:p w14:paraId="5AE75C2D"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sz w:val="24"/>
          <w:szCs w:val="24"/>
        </w:rPr>
        <w:t>12.李侃、李时岳、李德征、杨策、龚书铎著：《中国近代史1840—1919》（第四版），中华书局，1994年；</w:t>
      </w:r>
    </w:p>
    <w:p w14:paraId="78C81D49"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sz w:val="24"/>
          <w:szCs w:val="24"/>
        </w:rPr>
        <w:t>13.</w:t>
      </w:r>
      <w:r>
        <w:rPr>
          <w:rFonts w:ascii="宋体" w:eastAsia="宋体" w:hAnsi="宋体" w:hint="eastAsia"/>
          <w:sz w:val="24"/>
          <w:szCs w:val="24"/>
        </w:rPr>
        <w:t>《中国共产党简史》，人民出版社，2021年</w:t>
      </w:r>
      <w:r>
        <w:rPr>
          <w:rFonts w:ascii="宋体" w:eastAsia="宋体" w:hAnsi="宋体"/>
          <w:sz w:val="24"/>
          <w:szCs w:val="24"/>
        </w:rPr>
        <w:t>；</w:t>
      </w:r>
    </w:p>
    <w:p w14:paraId="30186BC9"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sz w:val="24"/>
          <w:szCs w:val="24"/>
        </w:rPr>
        <w:t>14.</w:t>
      </w:r>
      <w:r>
        <w:rPr>
          <w:rFonts w:ascii="宋体" w:eastAsia="宋体" w:hAnsi="宋体" w:hint="eastAsia"/>
          <w:sz w:val="24"/>
          <w:szCs w:val="24"/>
        </w:rPr>
        <w:t>《中华人民共和国简史》，人民出版社，2021年</w:t>
      </w:r>
      <w:r>
        <w:rPr>
          <w:rFonts w:ascii="宋体" w:eastAsia="宋体" w:hAnsi="宋体"/>
          <w:sz w:val="24"/>
          <w:szCs w:val="24"/>
        </w:rPr>
        <w:t>；</w:t>
      </w:r>
    </w:p>
    <w:p w14:paraId="33EBD802"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sz w:val="24"/>
          <w:szCs w:val="24"/>
        </w:rPr>
        <w:t>15.</w:t>
      </w:r>
      <w:r>
        <w:rPr>
          <w:rFonts w:ascii="宋体" w:eastAsia="宋体" w:hAnsi="宋体" w:hint="eastAsia"/>
          <w:sz w:val="24"/>
          <w:szCs w:val="24"/>
        </w:rPr>
        <w:t>《改革开放简史》，人民出版社，2021年</w:t>
      </w:r>
      <w:r>
        <w:rPr>
          <w:rFonts w:ascii="宋体" w:eastAsia="宋体" w:hAnsi="宋体"/>
          <w:sz w:val="24"/>
          <w:szCs w:val="24"/>
        </w:rPr>
        <w:t>；</w:t>
      </w:r>
    </w:p>
    <w:p w14:paraId="79CAA455"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sz w:val="24"/>
          <w:szCs w:val="24"/>
        </w:rPr>
        <w:t>16.</w:t>
      </w:r>
      <w:r>
        <w:rPr>
          <w:rFonts w:ascii="宋体" w:eastAsia="宋体" w:hAnsi="宋体" w:hint="eastAsia"/>
          <w:sz w:val="24"/>
          <w:szCs w:val="24"/>
        </w:rPr>
        <w:t>《社会主义发展简史》，学习出版社，2021年；</w:t>
      </w:r>
    </w:p>
    <w:p w14:paraId="6E0F4863"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17.胡绳主编：《中国共产党的七十年》，中共党史出版社，1991年；</w:t>
      </w:r>
    </w:p>
    <w:p w14:paraId="5B58F360"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18.中共中央党史研究室编：《历史是最好的教科书：学习习近平关于党的历史的重要论述》，中共党史出版社，2014年；</w:t>
      </w:r>
    </w:p>
    <w:p w14:paraId="7E7D9BFD"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19.《习近平关于实现中华民族伟大复兴的中国梦论述摘编》，中央文献出版社，2013年；</w:t>
      </w:r>
    </w:p>
    <w:p w14:paraId="33D62B40"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20.习近平：《在庆祝中国共产党成立95周年大会上的讲话》（2016年7月1日）；</w:t>
      </w:r>
    </w:p>
    <w:p w14:paraId="3A461748"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21.习近平：《在纪念中国人民抗日战争暨世界反法西斯战争胜利70周年大会上的讲话》（2016年9月3日）；</w:t>
      </w:r>
    </w:p>
    <w:p w14:paraId="2DF8079D"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22.习近平：《在纪念红军长征胜利80周年大会上发表重要讲话》（2016年10月21日）；</w:t>
      </w:r>
    </w:p>
    <w:p w14:paraId="1F48DF70"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23.习近平：《在纪念孙中山先生诞辰150周年大会上的讲话》（2016年11月11日）；</w:t>
      </w:r>
    </w:p>
    <w:p w14:paraId="49B09784"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24.习近平：《在庆祝改革开放40周年大会上的讲话》（2018年12月18日）；</w:t>
      </w:r>
    </w:p>
    <w:p w14:paraId="16B175E7"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lastRenderedPageBreak/>
        <w:t>25.习近平：《在庆祝中华人民共和国成立70周年大会上的讲话》（2019年10月1日）；</w:t>
      </w:r>
    </w:p>
    <w:p w14:paraId="3104D551"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26. 习近平：《在深圳经济特区建立40周年庆祝大会上的讲话》（2020年10月14日）；</w:t>
      </w:r>
    </w:p>
    <w:p w14:paraId="21785952"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27.习近平：《在庆祝中国共产党成立100周年大会上的讲话》（2021年7月1日）；</w:t>
      </w:r>
    </w:p>
    <w:p w14:paraId="210770EA"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28.《中共中央关于党的百年奋斗重大成就和历史经验的决议》，人民出版社，2021年；</w:t>
      </w:r>
    </w:p>
    <w:p w14:paraId="3583777B"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29.《党的二十大报告辅导读本》，人民出版社，2022年；</w:t>
      </w:r>
    </w:p>
    <w:p w14:paraId="0F8B858D"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30.《党的二十大报告学习辅导百问》，党建读物出版社、学习出版社，2022年；</w:t>
      </w:r>
    </w:p>
    <w:p w14:paraId="768F19DB"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31.</w:t>
      </w:r>
      <w:r>
        <w:rPr>
          <w:rFonts w:ascii="宋体" w:eastAsia="宋体" w:hAnsi="宋体"/>
          <w:sz w:val="24"/>
          <w:szCs w:val="24"/>
        </w:rPr>
        <w:t>《中华人民共和国大事记（1949年10月—2019年9月）》，人民出版社</w:t>
      </w:r>
      <w:r>
        <w:rPr>
          <w:rFonts w:ascii="宋体" w:eastAsia="宋体" w:hAnsi="宋体" w:hint="eastAsia"/>
          <w:sz w:val="24"/>
          <w:szCs w:val="24"/>
        </w:rPr>
        <w:t>，</w:t>
      </w:r>
      <w:r>
        <w:rPr>
          <w:rFonts w:ascii="宋体" w:eastAsia="宋体" w:hAnsi="宋体"/>
          <w:sz w:val="24"/>
          <w:szCs w:val="24"/>
        </w:rPr>
        <w:t>2019年出版；</w:t>
      </w:r>
    </w:p>
    <w:p w14:paraId="6ADFEA21"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32.</w:t>
      </w:r>
      <w:r>
        <w:rPr>
          <w:rFonts w:ascii="宋体" w:eastAsia="宋体" w:hAnsi="宋体"/>
          <w:sz w:val="24"/>
          <w:szCs w:val="24"/>
        </w:rPr>
        <w:t>《党的十九大以来大事记》（2017年10月18日—2022年9月30日），人民出版社</w:t>
      </w:r>
      <w:r>
        <w:rPr>
          <w:rFonts w:ascii="宋体" w:eastAsia="宋体" w:hAnsi="宋体" w:hint="eastAsia"/>
          <w:sz w:val="24"/>
          <w:szCs w:val="24"/>
        </w:rPr>
        <w:t>，</w:t>
      </w:r>
      <w:r>
        <w:rPr>
          <w:rFonts w:ascii="宋体" w:eastAsia="宋体" w:hAnsi="宋体"/>
          <w:sz w:val="24"/>
          <w:szCs w:val="24"/>
        </w:rPr>
        <w:t>2022年）；</w:t>
      </w:r>
    </w:p>
    <w:p w14:paraId="2B25F2B2" w14:textId="77777777" w:rsidR="00D71975" w:rsidRDefault="00D71975" w:rsidP="00D71975">
      <w:pPr>
        <w:adjustRightInd w:val="0"/>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33.</w:t>
      </w:r>
      <w:r>
        <w:rPr>
          <w:rFonts w:ascii="宋体" w:eastAsia="宋体" w:hAnsi="宋体"/>
          <w:sz w:val="24"/>
          <w:szCs w:val="24"/>
        </w:rPr>
        <w:t>《马克思主义中国化一百年大事记（1921—2021年）》，中央文献出版社</w:t>
      </w:r>
      <w:r>
        <w:rPr>
          <w:rFonts w:ascii="宋体" w:eastAsia="宋体" w:hAnsi="宋体" w:hint="eastAsia"/>
          <w:sz w:val="24"/>
          <w:szCs w:val="24"/>
        </w:rPr>
        <w:t>，</w:t>
      </w:r>
      <w:r>
        <w:rPr>
          <w:rFonts w:ascii="宋体" w:eastAsia="宋体" w:hAnsi="宋体"/>
          <w:sz w:val="24"/>
          <w:szCs w:val="24"/>
        </w:rPr>
        <w:t>2022年；</w:t>
      </w:r>
    </w:p>
    <w:p w14:paraId="69DC5022" w14:textId="77777777" w:rsidR="00D71975" w:rsidRDefault="00D71975" w:rsidP="00D71975">
      <w:pPr>
        <w:adjustRightInd w:val="0"/>
        <w:snapToGrid w:val="0"/>
        <w:spacing w:line="440" w:lineRule="exact"/>
        <w:ind w:firstLineChars="200" w:firstLine="480"/>
        <w:rPr>
          <w:rFonts w:ascii="黑体" w:eastAsia="黑体" w:hAnsi="黑体"/>
          <w:sz w:val="28"/>
          <w:szCs w:val="28"/>
        </w:rPr>
      </w:pPr>
      <w:r>
        <w:rPr>
          <w:rFonts w:ascii="宋体" w:eastAsia="宋体" w:hAnsi="宋体" w:hint="eastAsia"/>
          <w:sz w:val="24"/>
          <w:szCs w:val="24"/>
        </w:rPr>
        <w:t>34.</w:t>
      </w:r>
      <w:r>
        <w:rPr>
          <w:rFonts w:ascii="宋体" w:eastAsia="宋体" w:hAnsi="宋体"/>
          <w:sz w:val="24"/>
          <w:szCs w:val="24"/>
        </w:rPr>
        <w:t>《全面建成小康社会大事记（1978年12月—2021年7月）》，人民出版社</w:t>
      </w:r>
      <w:r>
        <w:rPr>
          <w:rFonts w:ascii="宋体" w:eastAsia="宋体" w:hAnsi="宋体" w:hint="eastAsia"/>
          <w:sz w:val="24"/>
          <w:szCs w:val="24"/>
        </w:rPr>
        <w:t>，</w:t>
      </w:r>
      <w:r>
        <w:rPr>
          <w:rFonts w:ascii="宋体" w:eastAsia="宋体" w:hAnsi="宋体"/>
          <w:sz w:val="24"/>
          <w:szCs w:val="24"/>
        </w:rPr>
        <w:t>2021年。</w:t>
      </w:r>
    </w:p>
    <w:p w14:paraId="43FB0E67" w14:textId="77777777" w:rsidR="00D71975" w:rsidRDefault="00D71975" w:rsidP="00D71975">
      <w:pPr>
        <w:snapToGrid w:val="0"/>
        <w:spacing w:before="187" w:after="67"/>
        <w:ind w:left="561"/>
        <w:rPr>
          <w:rFonts w:ascii="黑体" w:eastAsia="黑体" w:hAnsi="黑体"/>
          <w:sz w:val="28"/>
          <w:szCs w:val="28"/>
        </w:rPr>
      </w:pPr>
      <w:r>
        <w:rPr>
          <w:rFonts w:ascii="黑体" w:eastAsia="黑体" w:hAnsi="黑体"/>
          <w:sz w:val="28"/>
          <w:szCs w:val="28"/>
        </w:rPr>
        <w:t>七、课程大纲制定依据</w:t>
      </w:r>
    </w:p>
    <w:p w14:paraId="11646E65" w14:textId="77777777" w:rsidR="00D71975" w:rsidRDefault="00D71975" w:rsidP="00D71975">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54EBDE86" w14:textId="77777777" w:rsidR="00D71975" w:rsidRDefault="00D71975" w:rsidP="00D71975">
      <w:pPr>
        <w:snapToGrid w:val="0"/>
        <w:spacing w:line="440" w:lineRule="exact"/>
        <w:ind w:firstLineChars="200" w:firstLine="480"/>
        <w:rPr>
          <w:rFonts w:asciiTheme="minorEastAsia" w:hAnsiTheme="minorEastAsia"/>
          <w:sz w:val="24"/>
          <w:szCs w:val="24"/>
        </w:rPr>
      </w:pPr>
    </w:p>
    <w:p w14:paraId="77C49F9B" w14:textId="77777777" w:rsidR="00D71975" w:rsidRDefault="00D71975" w:rsidP="003C7AB3">
      <w:pPr>
        <w:snapToGrid w:val="0"/>
        <w:spacing w:before="374" w:after="374" w:line="440" w:lineRule="exact"/>
        <w:ind w:firstLineChars="400" w:firstLine="1440"/>
        <w:rPr>
          <w:rFonts w:ascii="黑体" w:eastAsia="黑体" w:hAnsi="黑体"/>
          <w:sz w:val="36"/>
          <w:szCs w:val="36"/>
        </w:rPr>
      </w:pPr>
    </w:p>
    <w:p w14:paraId="4D2BF0D9" w14:textId="77777777" w:rsidR="00D71975" w:rsidRDefault="00D71975" w:rsidP="003C7AB3">
      <w:pPr>
        <w:snapToGrid w:val="0"/>
        <w:spacing w:before="374" w:after="374" w:line="440" w:lineRule="exact"/>
        <w:ind w:firstLineChars="400" w:firstLine="1440"/>
        <w:rPr>
          <w:rFonts w:ascii="黑体" w:eastAsia="黑体" w:hAnsi="黑体"/>
          <w:sz w:val="36"/>
          <w:szCs w:val="36"/>
        </w:rPr>
      </w:pPr>
    </w:p>
    <w:p w14:paraId="29C39245" w14:textId="77777777" w:rsidR="00D71975" w:rsidRDefault="00D71975" w:rsidP="009C3DF7">
      <w:pPr>
        <w:pStyle w:val="1"/>
      </w:pPr>
      <w:bookmarkStart w:id="6" w:name="_Toc149662338"/>
      <w:r>
        <w:rPr>
          <w:rFonts w:hint="eastAsia"/>
        </w:rPr>
        <w:lastRenderedPageBreak/>
        <w:t>《马克思主义基本原理》课程大纲</w:t>
      </w:r>
      <w:bookmarkEnd w:id="6"/>
    </w:p>
    <w:p w14:paraId="4ECF27F3"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5"/>
        <w:gridCol w:w="2659"/>
        <w:gridCol w:w="1484"/>
        <w:gridCol w:w="2814"/>
      </w:tblGrid>
      <w:tr w:rsidR="00D71975" w14:paraId="6717BE9B" w14:textId="77777777" w:rsidTr="0078124E">
        <w:trPr>
          <w:trHeight w:val="886"/>
          <w:jc w:val="center"/>
        </w:trPr>
        <w:tc>
          <w:tcPr>
            <w:tcW w:w="1565" w:type="dxa"/>
            <w:shd w:val="clear" w:color="auto" w:fill="auto"/>
            <w:vAlign w:val="center"/>
          </w:tcPr>
          <w:p w14:paraId="7C3C68AB"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sz w:val="24"/>
              </w:rPr>
              <w:t>课程名称</w:t>
            </w:r>
          </w:p>
        </w:tc>
        <w:tc>
          <w:tcPr>
            <w:tcW w:w="2659" w:type="dxa"/>
            <w:shd w:val="clear" w:color="auto" w:fill="auto"/>
            <w:vAlign w:val="center"/>
          </w:tcPr>
          <w:p w14:paraId="34886EB1"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kern w:val="0"/>
                <w:sz w:val="24"/>
                <w:szCs w:val="24"/>
              </w:rPr>
              <w:t>马克思主义基本原理</w:t>
            </w:r>
          </w:p>
        </w:tc>
        <w:tc>
          <w:tcPr>
            <w:tcW w:w="1484" w:type="dxa"/>
            <w:shd w:val="clear" w:color="auto" w:fill="auto"/>
            <w:vAlign w:val="center"/>
          </w:tcPr>
          <w:p w14:paraId="710B5ED4"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sz w:val="24"/>
              </w:rPr>
              <w:t>课程代码</w:t>
            </w:r>
          </w:p>
        </w:tc>
        <w:tc>
          <w:tcPr>
            <w:tcW w:w="2814" w:type="dxa"/>
            <w:shd w:val="clear" w:color="auto" w:fill="auto"/>
            <w:vAlign w:val="center"/>
          </w:tcPr>
          <w:p w14:paraId="5C41E5BF"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1610502</w:t>
            </w:r>
          </w:p>
        </w:tc>
      </w:tr>
      <w:tr w:rsidR="00D71975" w14:paraId="659FF1EC" w14:textId="77777777" w:rsidTr="0078124E">
        <w:trPr>
          <w:trHeight w:val="829"/>
          <w:jc w:val="center"/>
        </w:trPr>
        <w:tc>
          <w:tcPr>
            <w:tcW w:w="1565" w:type="dxa"/>
            <w:shd w:val="clear" w:color="auto" w:fill="auto"/>
            <w:vAlign w:val="center"/>
          </w:tcPr>
          <w:p w14:paraId="14F82192"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sz w:val="24"/>
              </w:rPr>
              <w:t>课程类别</w:t>
            </w:r>
          </w:p>
        </w:tc>
        <w:tc>
          <w:tcPr>
            <w:tcW w:w="2659" w:type="dxa"/>
            <w:shd w:val="clear" w:color="auto" w:fill="auto"/>
            <w:vAlign w:val="center"/>
          </w:tcPr>
          <w:p w14:paraId="0E2C88AD"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通识教育必修课程</w:t>
            </w:r>
          </w:p>
        </w:tc>
        <w:tc>
          <w:tcPr>
            <w:tcW w:w="1484" w:type="dxa"/>
            <w:shd w:val="clear" w:color="auto" w:fill="auto"/>
            <w:vAlign w:val="center"/>
          </w:tcPr>
          <w:p w14:paraId="5D8415E2"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sz w:val="24"/>
              </w:rPr>
              <w:t>学时</w:t>
            </w:r>
          </w:p>
          <w:p w14:paraId="2F48726B"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sz w:val="24"/>
              </w:rPr>
              <w:t>/学分</w:t>
            </w:r>
          </w:p>
        </w:tc>
        <w:tc>
          <w:tcPr>
            <w:tcW w:w="2814" w:type="dxa"/>
            <w:shd w:val="clear" w:color="auto" w:fill="auto"/>
            <w:vAlign w:val="center"/>
          </w:tcPr>
          <w:p w14:paraId="095A3B41"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sz w:val="24"/>
              </w:rPr>
              <w:t>40学时/2.5学分</w:t>
            </w:r>
          </w:p>
        </w:tc>
      </w:tr>
      <w:tr w:rsidR="00D71975" w14:paraId="50A38208" w14:textId="77777777" w:rsidTr="0078124E">
        <w:trPr>
          <w:trHeight w:val="811"/>
          <w:jc w:val="center"/>
        </w:trPr>
        <w:tc>
          <w:tcPr>
            <w:tcW w:w="1565" w:type="dxa"/>
            <w:shd w:val="clear" w:color="auto" w:fill="auto"/>
            <w:vAlign w:val="center"/>
          </w:tcPr>
          <w:p w14:paraId="4410C53F"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sz w:val="24"/>
              </w:rPr>
              <w:t>开课单位</w:t>
            </w:r>
          </w:p>
        </w:tc>
        <w:tc>
          <w:tcPr>
            <w:tcW w:w="2659" w:type="dxa"/>
            <w:shd w:val="clear" w:color="auto" w:fill="auto"/>
            <w:vAlign w:val="center"/>
          </w:tcPr>
          <w:p w14:paraId="526BEBE9"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马克思主义学院</w:t>
            </w:r>
          </w:p>
        </w:tc>
        <w:tc>
          <w:tcPr>
            <w:tcW w:w="1484" w:type="dxa"/>
            <w:shd w:val="clear" w:color="auto" w:fill="auto"/>
            <w:vAlign w:val="center"/>
          </w:tcPr>
          <w:p w14:paraId="11462450"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sz w:val="24"/>
              </w:rPr>
              <w:t>适用专业</w:t>
            </w:r>
          </w:p>
        </w:tc>
        <w:tc>
          <w:tcPr>
            <w:tcW w:w="2814" w:type="dxa"/>
            <w:shd w:val="clear" w:color="auto" w:fill="auto"/>
            <w:vAlign w:val="center"/>
          </w:tcPr>
          <w:p w14:paraId="4AEBBC4C"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全校本科专业</w:t>
            </w:r>
          </w:p>
        </w:tc>
      </w:tr>
      <w:tr w:rsidR="00D71975" w14:paraId="1406BEC6" w14:textId="77777777" w:rsidTr="0078124E">
        <w:trPr>
          <w:trHeight w:val="811"/>
          <w:jc w:val="center"/>
        </w:trPr>
        <w:tc>
          <w:tcPr>
            <w:tcW w:w="1565" w:type="dxa"/>
            <w:shd w:val="clear" w:color="auto" w:fill="auto"/>
            <w:vAlign w:val="center"/>
          </w:tcPr>
          <w:p w14:paraId="2BC03F41"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sz w:val="24"/>
              </w:rPr>
              <w:t>课程负责人</w:t>
            </w:r>
          </w:p>
        </w:tc>
        <w:tc>
          <w:tcPr>
            <w:tcW w:w="6957" w:type="dxa"/>
            <w:gridSpan w:val="3"/>
            <w:shd w:val="clear" w:color="auto" w:fill="auto"/>
            <w:vAlign w:val="center"/>
          </w:tcPr>
          <w:p w14:paraId="09476BFF" w14:textId="77777777" w:rsidR="00D71975" w:rsidRDefault="00D71975" w:rsidP="0078124E">
            <w:pPr>
              <w:spacing w:line="440" w:lineRule="exact"/>
              <w:jc w:val="center"/>
              <w:rPr>
                <w:rFonts w:ascii="宋体" w:eastAsia="宋体" w:hAnsi="宋体" w:cs="宋体"/>
                <w:sz w:val="24"/>
              </w:rPr>
            </w:pPr>
            <w:proofErr w:type="gramStart"/>
            <w:r>
              <w:rPr>
                <w:rFonts w:ascii="宋体" w:eastAsia="宋体" w:hAnsi="宋体" w:cs="宋体" w:hint="eastAsia"/>
                <w:color w:val="000000"/>
                <w:kern w:val="0"/>
                <w:sz w:val="24"/>
                <w:szCs w:val="24"/>
              </w:rPr>
              <w:t>周秀菊</w:t>
            </w:r>
            <w:proofErr w:type="gramEnd"/>
          </w:p>
        </w:tc>
      </w:tr>
      <w:tr w:rsidR="00D71975" w14:paraId="6AEB5FC3" w14:textId="77777777" w:rsidTr="0078124E">
        <w:trPr>
          <w:trHeight w:val="836"/>
          <w:jc w:val="center"/>
        </w:trPr>
        <w:tc>
          <w:tcPr>
            <w:tcW w:w="1565" w:type="dxa"/>
            <w:shd w:val="clear" w:color="auto" w:fill="auto"/>
            <w:vAlign w:val="center"/>
          </w:tcPr>
          <w:p w14:paraId="61D1810D"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sz w:val="24"/>
              </w:rPr>
              <w:t>大纲撰写人</w:t>
            </w:r>
          </w:p>
        </w:tc>
        <w:tc>
          <w:tcPr>
            <w:tcW w:w="2659" w:type="dxa"/>
            <w:shd w:val="clear" w:color="auto" w:fill="auto"/>
            <w:vAlign w:val="center"/>
          </w:tcPr>
          <w:p w14:paraId="3D50C8BB" w14:textId="77777777" w:rsidR="00D71975" w:rsidRDefault="00D71975" w:rsidP="0078124E">
            <w:pPr>
              <w:spacing w:line="440" w:lineRule="exact"/>
              <w:jc w:val="center"/>
              <w:rPr>
                <w:rFonts w:ascii="宋体" w:eastAsia="宋体" w:hAnsi="宋体" w:cs="宋体"/>
                <w:sz w:val="24"/>
              </w:rPr>
            </w:pPr>
            <w:proofErr w:type="gramStart"/>
            <w:r>
              <w:rPr>
                <w:rFonts w:ascii="宋体" w:eastAsia="宋体" w:hAnsi="宋体" w:cs="宋体" w:hint="eastAsia"/>
                <w:color w:val="000000"/>
                <w:kern w:val="0"/>
                <w:sz w:val="24"/>
                <w:szCs w:val="24"/>
              </w:rPr>
              <w:t>周秀菊</w:t>
            </w:r>
            <w:proofErr w:type="gramEnd"/>
          </w:p>
        </w:tc>
        <w:tc>
          <w:tcPr>
            <w:tcW w:w="1484" w:type="dxa"/>
            <w:shd w:val="clear" w:color="auto" w:fill="auto"/>
            <w:vAlign w:val="center"/>
          </w:tcPr>
          <w:p w14:paraId="5F31952F"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sz w:val="24"/>
              </w:rPr>
              <w:t>大纲审核人</w:t>
            </w:r>
          </w:p>
        </w:tc>
        <w:tc>
          <w:tcPr>
            <w:tcW w:w="2814" w:type="dxa"/>
            <w:shd w:val="clear" w:color="auto" w:fill="auto"/>
            <w:vAlign w:val="center"/>
          </w:tcPr>
          <w:p w14:paraId="0C351175"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sz w:val="24"/>
              </w:rPr>
              <w:t>张子麟</w:t>
            </w:r>
          </w:p>
        </w:tc>
      </w:tr>
      <w:tr w:rsidR="00D71975" w14:paraId="0C03B770" w14:textId="77777777" w:rsidTr="0078124E">
        <w:trPr>
          <w:trHeight w:val="848"/>
          <w:jc w:val="center"/>
        </w:trPr>
        <w:tc>
          <w:tcPr>
            <w:tcW w:w="1565" w:type="dxa"/>
            <w:shd w:val="clear" w:color="auto" w:fill="auto"/>
            <w:vAlign w:val="center"/>
          </w:tcPr>
          <w:p w14:paraId="62C5A6C3"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sz w:val="24"/>
              </w:rPr>
              <w:t>先修课程</w:t>
            </w:r>
          </w:p>
        </w:tc>
        <w:tc>
          <w:tcPr>
            <w:tcW w:w="6957" w:type="dxa"/>
            <w:gridSpan w:val="3"/>
            <w:shd w:val="clear" w:color="auto" w:fill="auto"/>
            <w:vAlign w:val="center"/>
          </w:tcPr>
          <w:p w14:paraId="539B6878"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《思想道德与法治》《中国近现代史纲要》</w:t>
            </w:r>
          </w:p>
        </w:tc>
      </w:tr>
      <w:tr w:rsidR="00D71975" w14:paraId="542BBD21" w14:textId="77777777" w:rsidTr="0078124E">
        <w:trPr>
          <w:trHeight w:val="848"/>
          <w:jc w:val="center"/>
        </w:trPr>
        <w:tc>
          <w:tcPr>
            <w:tcW w:w="1565" w:type="dxa"/>
            <w:shd w:val="clear" w:color="auto" w:fill="auto"/>
            <w:vAlign w:val="center"/>
          </w:tcPr>
          <w:p w14:paraId="05A0F020" w14:textId="77777777" w:rsidR="00D71975" w:rsidRDefault="00D71975" w:rsidP="0078124E">
            <w:pPr>
              <w:spacing w:line="440" w:lineRule="exact"/>
              <w:jc w:val="center"/>
              <w:rPr>
                <w:rFonts w:ascii="宋体" w:eastAsia="宋体" w:hAnsi="宋体" w:cs="宋体"/>
                <w:sz w:val="24"/>
              </w:rPr>
            </w:pPr>
            <w:r>
              <w:rPr>
                <w:rFonts w:ascii="宋体" w:eastAsia="宋体" w:hAnsi="宋体" w:cs="宋体" w:hint="eastAsia"/>
                <w:sz w:val="24"/>
              </w:rPr>
              <w:t>课程网址</w:t>
            </w:r>
          </w:p>
        </w:tc>
        <w:tc>
          <w:tcPr>
            <w:tcW w:w="6957" w:type="dxa"/>
            <w:gridSpan w:val="3"/>
            <w:shd w:val="clear" w:color="auto" w:fill="auto"/>
            <w:vAlign w:val="center"/>
          </w:tcPr>
          <w:p w14:paraId="0A28A417" w14:textId="77777777" w:rsidR="00D71975" w:rsidRDefault="00D71975" w:rsidP="0078124E">
            <w:pPr>
              <w:spacing w:line="440" w:lineRule="exact"/>
              <w:jc w:val="center"/>
              <w:rPr>
                <w:rFonts w:ascii="宋体" w:eastAsia="宋体" w:hAnsi="宋体" w:cs="宋体"/>
                <w:color w:val="FF0000"/>
                <w:sz w:val="24"/>
              </w:rPr>
            </w:pPr>
            <w:r>
              <w:rPr>
                <w:rFonts w:ascii="宋体" w:eastAsia="宋体" w:hAnsi="宋体" w:cs="宋体" w:hint="eastAsia"/>
                <w:sz w:val="24"/>
              </w:rPr>
              <w:t>无</w:t>
            </w:r>
          </w:p>
        </w:tc>
      </w:tr>
    </w:tbl>
    <w:p w14:paraId="2D036C5D"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二、课程学习目标及与毕业要求的对应关系</w:t>
      </w:r>
    </w:p>
    <w:p w14:paraId="7760E94C"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w:t>
      </w:r>
      <w:r>
        <w:rPr>
          <w:rFonts w:ascii="黑体" w:eastAsia="黑体" w:hAnsi="黑体" w:cs="Times New Roman" w:hint="eastAsia"/>
          <w:color w:val="000000"/>
          <w:sz w:val="28"/>
          <w:szCs w:val="28"/>
        </w:rPr>
        <w:t>一）</w:t>
      </w:r>
      <w:r>
        <w:rPr>
          <w:rFonts w:ascii="黑体" w:eastAsia="黑体" w:hAnsi="黑体" w:hint="eastAsia"/>
          <w:sz w:val="28"/>
          <w:szCs w:val="28"/>
        </w:rPr>
        <w:t>课程</w:t>
      </w:r>
      <w:r>
        <w:rPr>
          <w:rFonts w:ascii="黑体" w:eastAsia="黑体" w:hAnsi="黑体" w:cs="Times New Roman" w:hint="eastAsia"/>
          <w:color w:val="000000"/>
          <w:sz w:val="28"/>
          <w:szCs w:val="28"/>
        </w:rPr>
        <w:t>学习目标</w:t>
      </w:r>
    </w:p>
    <w:p w14:paraId="5BE30DAE"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《马克思主义基本原理》是思想政治理论课程之一，为通识教育必修课程。通过本课程学习，学生应达到以下目标：</w:t>
      </w:r>
    </w:p>
    <w:p w14:paraId="3090BCD4" w14:textId="77777777" w:rsidR="00D71975" w:rsidRDefault="00D71975" w:rsidP="00D71975">
      <w:pPr>
        <w:snapToGrid w:val="0"/>
        <w:spacing w:line="440" w:lineRule="exact"/>
        <w:ind w:firstLineChars="200" w:firstLine="488"/>
        <w:rPr>
          <w:rFonts w:ascii="宋体" w:eastAsia="宋体" w:hAnsi="宋体" w:cs="宋体"/>
          <w:color w:val="000000"/>
          <w:spacing w:val="2"/>
          <w:kern w:val="0"/>
          <w:sz w:val="24"/>
          <w:szCs w:val="24"/>
        </w:rPr>
      </w:pPr>
      <w:r>
        <w:rPr>
          <w:rFonts w:ascii="宋体" w:eastAsia="宋体" w:hAnsi="宋体" w:cs="宋体" w:hint="eastAsia"/>
          <w:color w:val="000000"/>
          <w:spacing w:val="2"/>
          <w:kern w:val="0"/>
          <w:sz w:val="24"/>
          <w:szCs w:val="24"/>
        </w:rPr>
        <w:t>1.系统学习和理解马克思主义基本原理，掌握马克思主义基本立场、基本观点和基本方法，正确认识和把握自然、社会和人类思维发展普遍规律，特别是人类社会发展基本规律、资本主义发展规律以及社会主义发展规律。</w:t>
      </w:r>
    </w:p>
    <w:p w14:paraId="3BA8EB14" w14:textId="77777777" w:rsidR="00D71975" w:rsidRDefault="00D71975" w:rsidP="00D71975">
      <w:pPr>
        <w:spacing w:line="440" w:lineRule="exact"/>
        <w:ind w:firstLineChars="200" w:firstLine="488"/>
        <w:rPr>
          <w:rFonts w:ascii="宋体" w:eastAsia="宋体" w:hAnsi="宋体" w:cs="宋体"/>
          <w:sz w:val="24"/>
        </w:rPr>
      </w:pPr>
      <w:r>
        <w:rPr>
          <w:rFonts w:ascii="宋体" w:eastAsia="宋体" w:hAnsi="宋体" w:cs="宋体" w:hint="eastAsia"/>
          <w:color w:val="000000"/>
          <w:spacing w:val="2"/>
          <w:kern w:val="0"/>
          <w:sz w:val="24"/>
          <w:szCs w:val="24"/>
        </w:rPr>
        <w:t>2.掌握辩证唯物主义和历史唯物主义科学世界观和方法论，提高理论思维、辩证思维和科学思维能力，形成反思与批判意识，坚持理论联系实际，正确认识自我、社会、世界和时代发展现实问题，提升学生观察、分析和解决实际问题的能力。</w:t>
      </w:r>
    </w:p>
    <w:p w14:paraId="5A4F44D7" w14:textId="77777777" w:rsidR="00D71975" w:rsidRDefault="00D71975" w:rsidP="00D71975">
      <w:pPr>
        <w:snapToGrid w:val="0"/>
        <w:spacing w:line="440" w:lineRule="exact"/>
        <w:ind w:firstLineChars="200" w:firstLine="488"/>
        <w:rPr>
          <w:rFonts w:ascii="宋体" w:eastAsia="宋体" w:hAnsi="宋体" w:cs="宋体"/>
          <w:color w:val="000000"/>
          <w:spacing w:val="2"/>
          <w:kern w:val="0"/>
          <w:sz w:val="24"/>
          <w:szCs w:val="24"/>
        </w:rPr>
      </w:pPr>
      <w:r>
        <w:rPr>
          <w:rFonts w:ascii="宋体" w:eastAsia="宋体" w:hAnsi="宋体" w:cs="宋体" w:hint="eastAsia"/>
          <w:color w:val="000000"/>
          <w:spacing w:val="2"/>
          <w:kern w:val="0"/>
          <w:sz w:val="24"/>
          <w:szCs w:val="24"/>
        </w:rPr>
        <w:t>3.坚定马克思主义理想信仰，树立共产主义崇高理想，坚定中国特色社会主义共同理想，理解和把握中国化时代化马克思主义思想要义和精髓，深入学习和贯彻</w:t>
      </w:r>
      <w:r>
        <w:rPr>
          <w:rFonts w:ascii="宋体" w:eastAsia="宋体" w:hAnsi="宋体" w:cs="宋体" w:hint="eastAsia"/>
          <w:color w:val="000000"/>
          <w:spacing w:val="2"/>
          <w:kern w:val="0"/>
          <w:sz w:val="24"/>
          <w:szCs w:val="24"/>
        </w:rPr>
        <w:lastRenderedPageBreak/>
        <w:t>习近平新时代中国特色社会主义思想，坚定中国特色社会主义道路自信、理论自信、制度自信和文化自信，增进对中国特色社会主义思想认同、政治认同、理论认同和情感认同，自觉投身新时代中国特色社会主义建设事业，成为</w:t>
      </w:r>
      <w:r>
        <w:rPr>
          <w:rFonts w:ascii="宋体" w:eastAsia="宋体" w:hAnsi="宋体" w:cs="宋体" w:hint="eastAsia"/>
          <w:color w:val="000000"/>
          <w:spacing w:val="5"/>
          <w:kern w:val="0"/>
          <w:sz w:val="24"/>
          <w:szCs w:val="24"/>
        </w:rPr>
        <w:t>中国特色社会主义事业合格建设者和可靠接班人</w:t>
      </w:r>
      <w:r>
        <w:rPr>
          <w:rFonts w:ascii="宋体" w:eastAsia="宋体" w:hAnsi="宋体" w:cs="宋体" w:hint="eastAsia"/>
          <w:color w:val="000000"/>
          <w:sz w:val="24"/>
          <w:szCs w:val="24"/>
        </w:rPr>
        <w:t>。</w:t>
      </w:r>
    </w:p>
    <w:p w14:paraId="2E10DF7F"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sz w:val="28"/>
          <w:szCs w:val="28"/>
        </w:rPr>
        <w:t>（二）课程学习目标与毕业要求的对应关系</w:t>
      </w:r>
    </w:p>
    <w:tbl>
      <w:tblPr>
        <w:tblStyle w:val="a9"/>
        <w:tblpPr w:leftFromText="180" w:rightFromText="180" w:vertAnchor="text" w:horzAnchor="page" w:tblpX="2172" w:tblpY="184"/>
        <w:tblOverlap w:val="never"/>
        <w:tblW w:w="7860" w:type="dxa"/>
        <w:tblLayout w:type="fixed"/>
        <w:tblLook w:val="04A0" w:firstRow="1" w:lastRow="0" w:firstColumn="1" w:lastColumn="0" w:noHBand="0" w:noVBand="1"/>
      </w:tblPr>
      <w:tblGrid>
        <w:gridCol w:w="2038"/>
        <w:gridCol w:w="1577"/>
        <w:gridCol w:w="4245"/>
      </w:tblGrid>
      <w:tr w:rsidR="00D71975" w14:paraId="37292819" w14:textId="77777777" w:rsidTr="0078124E">
        <w:trPr>
          <w:trHeight w:val="454"/>
        </w:trPr>
        <w:tc>
          <w:tcPr>
            <w:tcW w:w="2038"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85ADA7C" w14:textId="77777777" w:rsidR="00D71975" w:rsidRDefault="00D71975" w:rsidP="0078124E">
            <w:pPr>
              <w:spacing w:line="440" w:lineRule="exact"/>
              <w:jc w:val="center"/>
              <w:rPr>
                <w:rFonts w:eastAsia="宋体"/>
                <w:color w:val="000000"/>
              </w:rPr>
            </w:pPr>
            <w:r>
              <w:rPr>
                <w:rFonts w:ascii="宋体" w:eastAsia="宋体" w:hAnsi="宋体" w:cs="宋体" w:hint="eastAsia"/>
                <w:b/>
                <w:bCs/>
                <w:color w:val="000000" w:themeColor="text1"/>
                <w:kern w:val="0"/>
                <w:sz w:val="24"/>
                <w:szCs w:val="24"/>
              </w:rPr>
              <w:t>课程目标</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307CAE99" w14:textId="77777777" w:rsidR="00D71975" w:rsidRDefault="00D71975"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支撑的毕业要求</w:t>
            </w:r>
          </w:p>
        </w:tc>
        <w:tc>
          <w:tcPr>
            <w:tcW w:w="4245"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3A42FE79" w14:textId="77777777" w:rsidR="00D71975" w:rsidRDefault="00D71975"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毕业要求内涵</w:t>
            </w:r>
          </w:p>
        </w:tc>
      </w:tr>
      <w:tr w:rsidR="00D71975" w14:paraId="207B8AC2" w14:textId="77777777" w:rsidTr="0078124E">
        <w:trPr>
          <w:trHeight w:val="454"/>
        </w:trPr>
        <w:tc>
          <w:tcPr>
            <w:tcW w:w="2038"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0F40D24" w14:textId="77777777" w:rsidR="00D71975" w:rsidRDefault="00D71975" w:rsidP="0078124E">
            <w:pPr>
              <w:rPr>
                <w:color w:val="000000"/>
              </w:rPr>
            </w:pPr>
            <w:r>
              <w:rPr>
                <w:rFonts w:ascii="宋体" w:eastAsia="宋体" w:hAnsi="宋体" w:cs="宋体"/>
              </w:rPr>
              <w:t xml:space="preserve"> </w:t>
            </w:r>
            <w:r>
              <w:rPr>
                <w:rFonts w:ascii="宋体" w:eastAsia="宋体" w:hAnsi="宋体" w:cs="宋体" w:hint="eastAsia"/>
              </w:rPr>
              <w:t xml:space="preserve">  </w:t>
            </w:r>
            <w:r>
              <w:rPr>
                <w:rFonts w:ascii="宋体" w:eastAsia="宋体" w:hAnsi="宋体" w:cs="宋体"/>
                <w:color w:val="000000"/>
                <w:sz w:val="24"/>
              </w:rPr>
              <w:t>课程目标1</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DA8F18C" w14:textId="77777777" w:rsidR="00D71975" w:rsidRDefault="00D71975" w:rsidP="0078124E">
            <w:pPr>
              <w:spacing w:line="440" w:lineRule="exact"/>
              <w:jc w:val="center"/>
              <w:rPr>
                <w:rFonts w:ascii="宋体" w:eastAsia="宋体" w:hAnsi="宋体" w:cs="宋体"/>
                <w:color w:val="000000"/>
                <w:sz w:val="24"/>
                <w:szCs w:val="24"/>
              </w:rPr>
            </w:pPr>
            <w:r>
              <w:rPr>
                <w:rFonts w:ascii="宋体" w:eastAsia="宋体" w:hAnsi="宋体" w:cs="宋体" w:hint="eastAsia"/>
                <w:color w:val="000000"/>
                <w:sz w:val="24"/>
                <w:szCs w:val="24"/>
              </w:rPr>
              <w:t>6.综合育人（M）</w:t>
            </w:r>
          </w:p>
        </w:tc>
        <w:tc>
          <w:tcPr>
            <w:tcW w:w="4245"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5476F0A" w14:textId="77777777" w:rsidR="00D71975" w:rsidRDefault="00D71975" w:rsidP="0078124E">
            <w:pPr>
              <w:spacing w:line="440" w:lineRule="exact"/>
              <w:jc w:val="left"/>
              <w:rPr>
                <w:rFonts w:ascii="宋体" w:eastAsia="宋体" w:hAnsi="宋体" w:cs="宋体"/>
                <w:color w:val="000000"/>
                <w:sz w:val="24"/>
              </w:rPr>
            </w:pPr>
            <w:r>
              <w:rPr>
                <w:rFonts w:ascii="宋体" w:hAnsi="宋体" w:cs="宋体" w:hint="eastAsia"/>
                <w:color w:val="000000"/>
              </w:rPr>
              <w:t xml:space="preserve">    </w:t>
            </w:r>
            <w:r>
              <w:rPr>
                <w:rFonts w:ascii="宋体" w:eastAsia="宋体" w:hAnsi="宋体" w:cs="宋体"/>
                <w:color w:val="000000"/>
                <w:sz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rsidR="00D71975" w14:paraId="6496386F" w14:textId="77777777" w:rsidTr="0078124E">
        <w:trPr>
          <w:trHeight w:val="454"/>
        </w:trPr>
        <w:tc>
          <w:tcPr>
            <w:tcW w:w="2038"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3E86E9D3" w14:textId="77777777" w:rsidR="00D71975" w:rsidRDefault="00D71975" w:rsidP="0078124E">
            <w:pPr>
              <w:ind w:firstLineChars="100" w:firstLine="240"/>
              <w:rPr>
                <w:color w:val="000000"/>
              </w:rPr>
            </w:pPr>
            <w:r>
              <w:rPr>
                <w:rFonts w:ascii="宋体" w:eastAsia="宋体" w:hAnsi="宋体" w:cs="宋体"/>
                <w:color w:val="000000"/>
                <w:sz w:val="24"/>
              </w:rPr>
              <w:t>课程目标2</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8C52A14" w14:textId="77777777" w:rsidR="00D71975" w:rsidRDefault="00D71975" w:rsidP="0078124E">
            <w:pPr>
              <w:spacing w:line="440" w:lineRule="exact"/>
              <w:jc w:val="center"/>
              <w:rPr>
                <w:rFonts w:ascii="宋体" w:eastAsia="宋体" w:hAnsi="宋体" w:cs="宋体"/>
                <w:color w:val="000000"/>
                <w:sz w:val="24"/>
                <w:szCs w:val="24"/>
              </w:rPr>
            </w:pPr>
            <w:r>
              <w:rPr>
                <w:rFonts w:ascii="宋体" w:eastAsia="宋体" w:hAnsi="宋体" w:cs="宋体" w:hint="eastAsia"/>
                <w:color w:val="000000"/>
                <w:sz w:val="24"/>
                <w:szCs w:val="24"/>
              </w:rPr>
              <w:t>7.学会反思（M）</w:t>
            </w:r>
          </w:p>
        </w:tc>
        <w:tc>
          <w:tcPr>
            <w:tcW w:w="4245"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EEC26B9" w14:textId="77777777" w:rsidR="00D71975" w:rsidRDefault="00D71975" w:rsidP="0078124E">
            <w:pPr>
              <w:spacing w:line="360" w:lineRule="auto"/>
              <w:ind w:firstLineChars="200" w:firstLine="480"/>
              <w:rPr>
                <w:rFonts w:ascii="宋体" w:eastAsia="宋体" w:hAnsi="宋体" w:cs="宋体"/>
                <w:color w:val="000000"/>
                <w:sz w:val="24"/>
              </w:rPr>
            </w:pPr>
            <w:r>
              <w:rPr>
                <w:rFonts w:ascii="宋体" w:eastAsia="宋体" w:hAnsi="宋体" w:cs="宋体"/>
                <w:color w:val="000000"/>
                <w:sz w:val="24"/>
              </w:rPr>
              <w:t>具有终身学习与专业发展意识。了解国内外基础教育改革发展动态，能够适应时代和教育发展需求，进行学习和职业生涯规划。初步掌握反思方法和技能，具有一定创新意识，运用批判性思维方法，学会分析和解决教育教学问题。</w:t>
            </w:r>
          </w:p>
        </w:tc>
      </w:tr>
      <w:tr w:rsidR="00D71975" w14:paraId="7F20435E" w14:textId="77777777" w:rsidTr="0078124E">
        <w:trPr>
          <w:trHeight w:val="454"/>
        </w:trPr>
        <w:tc>
          <w:tcPr>
            <w:tcW w:w="2038"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71FFE120" w14:textId="77777777" w:rsidR="00D71975" w:rsidRDefault="00D71975" w:rsidP="0078124E">
            <w:pPr>
              <w:snapToGrid w:val="0"/>
              <w:jc w:val="left"/>
              <w:rPr>
                <w:color w:val="000000"/>
              </w:rPr>
            </w:pPr>
            <w:r>
              <w:rPr>
                <w:rFonts w:ascii="宋体" w:eastAsia="宋体" w:hAnsi="宋体" w:cs="宋体"/>
                <w:color w:val="000000"/>
              </w:rPr>
              <w:t xml:space="preserve">  </w:t>
            </w:r>
            <w:r>
              <w:rPr>
                <w:rFonts w:ascii="宋体" w:eastAsia="宋体" w:hAnsi="宋体" w:cs="宋体"/>
                <w:color w:val="000000"/>
                <w:sz w:val="24"/>
              </w:rPr>
              <w:t>课程目标3</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06C6A8F" w14:textId="77777777" w:rsidR="00D71975" w:rsidRDefault="00D71975" w:rsidP="0078124E">
            <w:pPr>
              <w:spacing w:line="440" w:lineRule="exact"/>
              <w:jc w:val="center"/>
              <w:rPr>
                <w:rFonts w:ascii="宋体" w:eastAsia="宋体" w:hAnsi="宋体" w:cs="宋体"/>
                <w:color w:val="000000"/>
                <w:sz w:val="24"/>
                <w:szCs w:val="24"/>
              </w:rPr>
            </w:pPr>
            <w:r>
              <w:rPr>
                <w:rFonts w:ascii="宋体" w:eastAsia="宋体" w:hAnsi="宋体" w:cs="宋体" w:hint="eastAsia"/>
                <w:color w:val="000000"/>
                <w:sz w:val="24"/>
                <w:szCs w:val="24"/>
              </w:rPr>
              <w:t>1.师德规范（H）</w:t>
            </w:r>
          </w:p>
        </w:tc>
        <w:tc>
          <w:tcPr>
            <w:tcW w:w="4245"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A40B302" w14:textId="77777777" w:rsidR="00D71975" w:rsidRDefault="00D71975" w:rsidP="0078124E">
            <w:pPr>
              <w:spacing w:line="440" w:lineRule="exact"/>
              <w:ind w:firstLineChars="200" w:firstLine="480"/>
              <w:jc w:val="left"/>
              <w:rPr>
                <w:rFonts w:ascii="宋体" w:eastAsia="宋体" w:hAnsi="宋体" w:cs="宋体"/>
                <w:color w:val="000000"/>
                <w:sz w:val="24"/>
              </w:rPr>
            </w:pPr>
            <w:proofErr w:type="gramStart"/>
            <w:r>
              <w:rPr>
                <w:rFonts w:ascii="宋体" w:eastAsia="宋体" w:hAnsi="宋体" w:cs="宋体"/>
                <w:color w:val="000000"/>
                <w:sz w:val="24"/>
              </w:rPr>
              <w:t>践行</w:t>
            </w:r>
            <w:proofErr w:type="gramEnd"/>
            <w:r>
              <w:rPr>
                <w:rFonts w:ascii="宋体" w:eastAsia="宋体" w:hAnsi="宋体" w:cs="宋体"/>
                <w:color w:val="000000"/>
                <w:sz w:val="24"/>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13C56B2E" w14:textId="77777777" w:rsidR="00D71975" w:rsidRDefault="00D71975" w:rsidP="00D71975">
      <w:pPr>
        <w:snapToGrid w:val="0"/>
        <w:spacing w:before="307" w:after="187" w:line="440" w:lineRule="exact"/>
        <w:ind w:firstLineChars="200" w:firstLine="560"/>
        <w:rPr>
          <w:rFonts w:ascii="黑体" w:eastAsia="黑体" w:hAnsi="黑体"/>
          <w:sz w:val="28"/>
          <w:szCs w:val="28"/>
        </w:rPr>
      </w:pPr>
    </w:p>
    <w:p w14:paraId="17AD8B45" w14:textId="77777777" w:rsidR="00D71975" w:rsidRDefault="00D71975" w:rsidP="00D71975">
      <w:pPr>
        <w:snapToGrid w:val="0"/>
        <w:spacing w:before="307" w:after="187" w:line="440" w:lineRule="exact"/>
        <w:ind w:firstLineChars="200" w:firstLine="560"/>
        <w:rPr>
          <w:rFonts w:ascii="黑体" w:eastAsia="黑体" w:hAnsi="黑体"/>
          <w:sz w:val="28"/>
          <w:szCs w:val="28"/>
        </w:rPr>
      </w:pPr>
      <w:r>
        <w:rPr>
          <w:rFonts w:ascii="黑体" w:eastAsia="黑体" w:hAnsi="黑体"/>
          <w:sz w:val="28"/>
          <w:szCs w:val="28"/>
        </w:rPr>
        <w:t>（三）课程学习目标与毕业要求的对应关系</w:t>
      </w:r>
    </w:p>
    <w:tbl>
      <w:tblPr>
        <w:tblStyle w:val="a9"/>
        <w:tblW w:w="7860" w:type="dxa"/>
        <w:jc w:val="center"/>
        <w:tblLayout w:type="fixed"/>
        <w:tblLook w:val="04A0" w:firstRow="1" w:lastRow="0" w:firstColumn="1" w:lastColumn="0" w:noHBand="0" w:noVBand="1"/>
      </w:tblPr>
      <w:tblGrid>
        <w:gridCol w:w="2013"/>
        <w:gridCol w:w="1577"/>
        <w:gridCol w:w="4270"/>
      </w:tblGrid>
      <w:tr w:rsidR="00D71975" w14:paraId="2E4B43A6" w14:textId="77777777" w:rsidTr="0078124E">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77C49B72" w14:textId="77777777" w:rsidR="00D71975" w:rsidRDefault="00D71975"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C8C6C42" w14:textId="77777777" w:rsidR="00D71975" w:rsidRDefault="00D71975"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支撑的毕业要求</w:t>
            </w:r>
          </w:p>
        </w:tc>
        <w:tc>
          <w:tcPr>
            <w:tcW w:w="4270"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22205F4" w14:textId="77777777" w:rsidR="00D71975" w:rsidRDefault="00D71975"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毕业要求内涵</w:t>
            </w:r>
          </w:p>
        </w:tc>
      </w:tr>
      <w:tr w:rsidR="00D71975" w14:paraId="380A0E69" w14:textId="77777777" w:rsidTr="0078124E">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86F0143" w14:textId="77777777" w:rsidR="00D71975" w:rsidRDefault="00D71975" w:rsidP="0078124E">
            <w:pPr>
              <w:rPr>
                <w:color w:val="000000"/>
                <w:sz w:val="24"/>
                <w:szCs w:val="24"/>
              </w:rPr>
            </w:pPr>
            <w:r>
              <w:rPr>
                <w:rFonts w:ascii="宋体" w:eastAsia="宋体" w:hAnsi="宋体" w:cs="宋体"/>
                <w:sz w:val="24"/>
                <w:szCs w:val="24"/>
              </w:rPr>
              <w:t xml:space="preserve"> </w:t>
            </w:r>
            <w:r>
              <w:rPr>
                <w:rFonts w:ascii="宋体" w:eastAsia="宋体" w:hAnsi="宋体" w:cs="宋体" w:hint="eastAsia"/>
                <w:sz w:val="24"/>
                <w:szCs w:val="24"/>
              </w:rPr>
              <w:t xml:space="preserve">   </w:t>
            </w:r>
            <w:r>
              <w:rPr>
                <w:rFonts w:ascii="宋体" w:eastAsia="宋体" w:hAnsi="宋体" w:cs="宋体"/>
                <w:color w:val="000000"/>
                <w:sz w:val="24"/>
                <w:szCs w:val="24"/>
              </w:rPr>
              <w:t>课程目标1</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75902587" w14:textId="77777777" w:rsidR="00D71975" w:rsidRDefault="00D71975" w:rsidP="0078124E">
            <w:pPr>
              <w:spacing w:line="440" w:lineRule="exact"/>
              <w:jc w:val="center"/>
              <w:rPr>
                <w:color w:val="000000"/>
                <w:sz w:val="24"/>
                <w:szCs w:val="24"/>
              </w:rPr>
            </w:pPr>
            <w:r>
              <w:rPr>
                <w:rFonts w:ascii="宋体" w:eastAsia="宋体" w:hAnsi="宋体" w:cs="宋体"/>
                <w:color w:val="000000"/>
                <w:sz w:val="24"/>
                <w:szCs w:val="24"/>
              </w:rPr>
              <w:t>12.终身学习（M）</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35FCA31B" w14:textId="77777777" w:rsidR="00D71975" w:rsidRDefault="00D71975" w:rsidP="0078124E">
            <w:pPr>
              <w:spacing w:line="440" w:lineRule="exact"/>
              <w:rPr>
                <w:rFonts w:ascii="宋体" w:eastAsia="宋体" w:hAnsi="宋体" w:cs="宋体"/>
                <w:color w:val="000000"/>
                <w:sz w:val="24"/>
                <w:szCs w:val="24"/>
              </w:rPr>
            </w:pPr>
            <w:r>
              <w:rPr>
                <w:rFonts w:ascii="宋体" w:eastAsia="宋体" w:hAnsi="宋体" w:cs="宋体"/>
                <w:sz w:val="24"/>
                <w:szCs w:val="24"/>
              </w:rPr>
              <w:t xml:space="preserve"> </w:t>
            </w:r>
            <w:r>
              <w:rPr>
                <w:rFonts w:ascii="宋体" w:hAnsi="宋体" w:cs="宋体" w:hint="eastAsia"/>
                <w:sz w:val="24"/>
                <w:szCs w:val="24"/>
              </w:rPr>
              <w:t xml:space="preserve">   </w:t>
            </w:r>
            <w:r>
              <w:rPr>
                <w:rFonts w:ascii="宋体" w:eastAsia="宋体" w:hAnsi="宋体" w:cs="宋体"/>
                <w:sz w:val="24"/>
                <w:szCs w:val="24"/>
              </w:rPr>
              <w:t>具有自主学习和终身学习的意识，有不断学习和适应发展的能力。</w:t>
            </w:r>
          </w:p>
        </w:tc>
      </w:tr>
      <w:tr w:rsidR="00D71975" w14:paraId="303A6763" w14:textId="77777777" w:rsidTr="0078124E">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74D7B68C" w14:textId="77777777" w:rsidR="00D71975" w:rsidRDefault="00D71975" w:rsidP="0078124E">
            <w:pPr>
              <w:ind w:firstLineChars="200" w:firstLine="480"/>
              <w:rPr>
                <w:color w:val="000000"/>
                <w:sz w:val="24"/>
                <w:szCs w:val="24"/>
              </w:rPr>
            </w:pPr>
            <w:r>
              <w:rPr>
                <w:rFonts w:ascii="宋体" w:eastAsia="宋体" w:hAnsi="宋体" w:cs="宋体"/>
                <w:color w:val="000000"/>
                <w:sz w:val="24"/>
                <w:szCs w:val="24"/>
              </w:rPr>
              <w:t>课程目标2</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28301FD" w14:textId="77777777" w:rsidR="00D71975" w:rsidRDefault="00D71975" w:rsidP="0078124E">
            <w:pPr>
              <w:ind w:left="480" w:hangingChars="200" w:hanging="480"/>
              <w:rPr>
                <w:rFonts w:ascii="宋体" w:eastAsia="宋体" w:hAnsi="宋体" w:cs="宋体"/>
                <w:color w:val="000000"/>
                <w:sz w:val="24"/>
                <w:szCs w:val="24"/>
              </w:rPr>
            </w:pPr>
          </w:p>
          <w:p w14:paraId="46EFF464" w14:textId="77777777" w:rsidR="00D71975" w:rsidRDefault="00D71975" w:rsidP="0078124E">
            <w:pPr>
              <w:ind w:left="480" w:hangingChars="200" w:hanging="480"/>
              <w:rPr>
                <w:sz w:val="24"/>
                <w:szCs w:val="24"/>
              </w:rPr>
            </w:pPr>
            <w:r>
              <w:rPr>
                <w:rFonts w:ascii="宋体" w:eastAsia="宋体" w:hAnsi="宋体" w:cs="宋体"/>
                <w:color w:val="000000"/>
                <w:sz w:val="24"/>
                <w:szCs w:val="24"/>
              </w:rPr>
              <w:t>2.</w:t>
            </w:r>
            <w:r>
              <w:rPr>
                <w:rFonts w:ascii="宋体" w:eastAsia="宋体" w:hAnsi="宋体" w:cs="宋体"/>
                <w:sz w:val="24"/>
                <w:szCs w:val="24"/>
              </w:rPr>
              <w:t>问题分析</w:t>
            </w:r>
            <w:r>
              <w:rPr>
                <w:rFonts w:ascii="宋体" w:eastAsia="宋体" w:hAnsi="宋体" w:cs="宋体"/>
                <w:color w:val="000000"/>
                <w:sz w:val="24"/>
                <w:szCs w:val="24"/>
              </w:rPr>
              <w:t>（M）</w:t>
            </w:r>
          </w:p>
          <w:p w14:paraId="7E7F83FB" w14:textId="77777777" w:rsidR="00D71975" w:rsidRDefault="00D71975" w:rsidP="0078124E">
            <w:pPr>
              <w:spacing w:line="440" w:lineRule="exact"/>
              <w:jc w:val="center"/>
              <w:rPr>
                <w:color w:val="000000"/>
                <w:sz w:val="24"/>
                <w:szCs w:val="24"/>
              </w:rPr>
            </w:pP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7CF72459" w14:textId="77777777" w:rsidR="00D71975" w:rsidRDefault="00D71975" w:rsidP="0078124E">
            <w:pPr>
              <w:spacing w:line="440" w:lineRule="exact"/>
              <w:jc w:val="left"/>
              <w:rPr>
                <w:rFonts w:ascii="宋体" w:eastAsia="宋体" w:hAnsi="宋体" w:cs="宋体"/>
                <w:color w:val="000000"/>
                <w:sz w:val="24"/>
                <w:szCs w:val="24"/>
              </w:rPr>
            </w:pPr>
            <w:r>
              <w:rPr>
                <w:rFonts w:ascii="宋体" w:eastAsia="宋体" w:hAnsi="宋体" w:cs="宋体"/>
                <w:color w:val="000000"/>
                <w:sz w:val="24"/>
                <w:szCs w:val="24"/>
              </w:rPr>
              <w:t xml:space="preserve"> </w:t>
            </w:r>
            <w:r>
              <w:rPr>
                <w:rFonts w:ascii="宋体" w:hAnsi="宋体" w:cs="宋体" w:hint="eastAsia"/>
                <w:color w:val="000000"/>
                <w:sz w:val="24"/>
                <w:szCs w:val="24"/>
              </w:rPr>
              <w:t xml:space="preserve">   </w:t>
            </w:r>
            <w:r>
              <w:rPr>
                <w:rFonts w:ascii="宋体" w:eastAsia="宋体" w:hAnsi="宋体" w:cs="宋体"/>
                <w:color w:val="000000"/>
                <w:sz w:val="24"/>
                <w:szCs w:val="24"/>
              </w:rPr>
              <w:t>能够应用数学、自然科学和工程科学的基本原理，识别、表达并通过文献研究分析复杂工程问题，以获得有效结论。</w:t>
            </w:r>
          </w:p>
        </w:tc>
      </w:tr>
      <w:tr w:rsidR="00D71975" w14:paraId="41A50F23" w14:textId="77777777" w:rsidTr="0078124E">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B9D20F3" w14:textId="77777777" w:rsidR="00D71975" w:rsidRDefault="00D71975" w:rsidP="0078124E">
            <w:pPr>
              <w:snapToGrid w:val="0"/>
              <w:jc w:val="left"/>
              <w:rPr>
                <w:color w:val="000000"/>
                <w:sz w:val="24"/>
                <w:szCs w:val="24"/>
              </w:rPr>
            </w:pPr>
            <w:r>
              <w:rPr>
                <w:rFonts w:ascii="宋体" w:eastAsia="宋体" w:hAnsi="宋体" w:cs="宋体"/>
                <w:color w:val="000000"/>
                <w:sz w:val="24"/>
                <w:szCs w:val="24"/>
              </w:rPr>
              <w:t xml:space="preserve"> </w:t>
            </w:r>
            <w:r>
              <w:rPr>
                <w:rFonts w:ascii="宋体" w:eastAsia="宋体" w:hAnsi="宋体" w:cs="宋体" w:hint="eastAsia"/>
                <w:color w:val="000000"/>
                <w:sz w:val="24"/>
                <w:szCs w:val="24"/>
              </w:rPr>
              <w:t xml:space="preserve">  </w:t>
            </w:r>
            <w:r>
              <w:rPr>
                <w:rFonts w:ascii="宋体" w:eastAsia="宋体" w:hAnsi="宋体" w:cs="宋体"/>
                <w:color w:val="000000"/>
                <w:sz w:val="24"/>
                <w:szCs w:val="24"/>
              </w:rPr>
              <w:t xml:space="preserve"> 课程目标3</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605D7E7" w14:textId="77777777" w:rsidR="00D71975" w:rsidRDefault="00D71975" w:rsidP="0078124E">
            <w:pPr>
              <w:rPr>
                <w:rFonts w:ascii="宋体" w:eastAsia="宋体" w:hAnsi="宋体" w:cs="宋体"/>
                <w:color w:val="000000"/>
                <w:sz w:val="24"/>
                <w:szCs w:val="24"/>
              </w:rPr>
            </w:pPr>
            <w:r>
              <w:rPr>
                <w:rFonts w:ascii="宋体" w:eastAsia="宋体" w:hAnsi="宋体" w:cs="宋体"/>
                <w:color w:val="000000"/>
                <w:sz w:val="24"/>
                <w:szCs w:val="24"/>
              </w:rPr>
              <w:t>8.职业规范</w:t>
            </w:r>
          </w:p>
          <w:p w14:paraId="093899A7" w14:textId="77777777" w:rsidR="00D71975" w:rsidRDefault="00D71975" w:rsidP="0078124E">
            <w:pPr>
              <w:spacing w:line="440" w:lineRule="exact"/>
              <w:jc w:val="center"/>
              <w:rPr>
                <w:color w:val="000000"/>
                <w:sz w:val="24"/>
                <w:szCs w:val="24"/>
              </w:rPr>
            </w:pPr>
            <w:r>
              <w:rPr>
                <w:rFonts w:ascii="宋体" w:eastAsia="宋体" w:hAnsi="宋体" w:cs="宋体"/>
                <w:color w:val="000000"/>
                <w:sz w:val="24"/>
                <w:szCs w:val="24"/>
              </w:rPr>
              <w:t>（H）</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B6B6240" w14:textId="77777777" w:rsidR="00D71975" w:rsidRDefault="00D71975" w:rsidP="0078124E">
            <w:pPr>
              <w:spacing w:line="440" w:lineRule="exact"/>
              <w:ind w:firstLineChars="200" w:firstLine="480"/>
              <w:jc w:val="left"/>
              <w:rPr>
                <w:rFonts w:ascii="宋体" w:eastAsia="宋体" w:hAnsi="宋体" w:cs="宋体"/>
                <w:color w:val="000000"/>
                <w:sz w:val="24"/>
                <w:szCs w:val="24"/>
              </w:rPr>
            </w:pPr>
            <w:r>
              <w:rPr>
                <w:rFonts w:ascii="宋体" w:eastAsia="宋体" w:hAnsi="宋体" w:cs="宋体"/>
                <w:color w:val="000000"/>
                <w:sz w:val="24"/>
                <w:szCs w:val="24"/>
              </w:rPr>
              <w:t>具有人文社会科学素养、社会责任感，能够在工程实践中理解并遵守工程职业道德和规范，履行责任。</w:t>
            </w:r>
          </w:p>
        </w:tc>
      </w:tr>
    </w:tbl>
    <w:p w14:paraId="74427C0A"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三、课程学习内容及与课程学习目标的对应关系</w:t>
      </w:r>
    </w:p>
    <w:p w14:paraId="359D9307"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（一）课程学习内容</w:t>
      </w:r>
    </w:p>
    <w:p w14:paraId="791E5612" w14:textId="77777777" w:rsidR="00D71975" w:rsidRDefault="00D71975" w:rsidP="00D71975">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 xml:space="preserve">导  论  </w:t>
      </w:r>
    </w:p>
    <w:p w14:paraId="1BD8EB46" w14:textId="77777777" w:rsidR="00D71975" w:rsidRDefault="00D71975" w:rsidP="00D71975">
      <w:pPr>
        <w:spacing w:line="440" w:lineRule="exact"/>
        <w:ind w:firstLineChars="200" w:firstLine="480"/>
        <w:rPr>
          <w:rFonts w:ascii="宋体" w:hAnsi="宋体"/>
          <w:b/>
          <w:sz w:val="24"/>
        </w:rPr>
      </w:pPr>
      <w:r>
        <w:rPr>
          <w:rFonts w:ascii="宋体" w:hAnsi="宋体" w:hint="eastAsia"/>
          <w:b/>
          <w:sz w:val="24"/>
        </w:rPr>
        <w:t>【学习目标】</w:t>
      </w:r>
    </w:p>
    <w:p w14:paraId="6BC6A449"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1.认知类目标：从整体上理解和把握马克思主义内涵和基本组成部分，了解马克思主义产生的历史条件和发展阶段，掌握马克思主义的基本特征，深刻认识马克思主义的当代价值，树立科学的马克思主义观；</w:t>
      </w:r>
    </w:p>
    <w:p w14:paraId="3E9965C7"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过程与方法类目标：通过案例分析和文献资料自学，体会马克思主义不会“过时”的深刻意义，比较和分析歪曲、篡改和错解马克思主义的代表性错误理论和观点，探究马克思主义“过时论”的错误，探讨马克思主义的当代价值，掌握学习和运用马克思主义的正确方法；</w:t>
      </w:r>
    </w:p>
    <w:p w14:paraId="1DE25471" w14:textId="77777777" w:rsidR="00D71975" w:rsidRDefault="00D71975" w:rsidP="00D71975">
      <w:pPr>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3.情感、态度、价值观类目标：走近马克思主义，了解马克思恩格斯伟大思想家的历史地位，理解马克思主义真理性、科学性和当代价值，树立正确学习马克思主义</w:t>
      </w:r>
      <w:r>
        <w:rPr>
          <w:rFonts w:ascii="宋体" w:eastAsia="宋体" w:hAnsi="宋体" w:cs="宋体" w:hint="eastAsia"/>
          <w:color w:val="000000"/>
          <w:sz w:val="24"/>
          <w:szCs w:val="24"/>
        </w:rPr>
        <w:lastRenderedPageBreak/>
        <w:t>的态度与学风，坚定马克思主义理想信仰，增强学习和运用马克思主义的自觉性，提高学习贯彻习近平新时代中国特色社会主义思想的自觉性，</w:t>
      </w:r>
      <w:r>
        <w:rPr>
          <w:rFonts w:ascii="宋体" w:eastAsia="宋体" w:hAnsi="宋体" w:cs="宋体" w:hint="eastAsia"/>
          <w:color w:val="000000"/>
          <w:spacing w:val="2"/>
          <w:kern w:val="0"/>
          <w:sz w:val="24"/>
          <w:szCs w:val="24"/>
        </w:rPr>
        <w:t>增进学生对马克思主义和中国特色社会主义的思想认同、政治认同、理论认同和情感认同</w:t>
      </w:r>
      <w:r>
        <w:rPr>
          <w:rFonts w:ascii="宋体" w:eastAsia="宋体" w:hAnsi="宋体" w:cs="宋体" w:hint="eastAsia"/>
          <w:color w:val="000000"/>
          <w:sz w:val="24"/>
          <w:szCs w:val="24"/>
        </w:rPr>
        <w:t>。</w:t>
      </w:r>
    </w:p>
    <w:p w14:paraId="0ECE4207" w14:textId="77777777" w:rsidR="00D71975" w:rsidRDefault="00D71975" w:rsidP="00D71975">
      <w:pPr>
        <w:spacing w:line="440" w:lineRule="exact"/>
        <w:ind w:firstLineChars="200" w:firstLine="480"/>
        <w:rPr>
          <w:rFonts w:ascii="宋体" w:hAnsi="宋体"/>
          <w:b/>
          <w:sz w:val="24"/>
        </w:rPr>
      </w:pPr>
      <w:r>
        <w:rPr>
          <w:rFonts w:ascii="宋体" w:hAnsi="宋体" w:hint="eastAsia"/>
          <w:b/>
          <w:sz w:val="24"/>
        </w:rPr>
        <w:t>【学习内容】</w:t>
      </w:r>
    </w:p>
    <w:p w14:paraId="19C7CB41"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1.马克思主义的内涵和基本组成部分；</w:t>
      </w:r>
    </w:p>
    <w:p w14:paraId="20CD45BF"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2.马克思主义的创立和发展；</w:t>
      </w:r>
    </w:p>
    <w:p w14:paraId="7DF96EA6"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3.马克思主义的基本特征；</w:t>
      </w:r>
    </w:p>
    <w:p w14:paraId="6516D455"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4.马克思主义的当代价值；</w:t>
      </w:r>
    </w:p>
    <w:p w14:paraId="37DCAECD" w14:textId="77777777" w:rsidR="00D71975" w:rsidRDefault="00D71975" w:rsidP="00D71975">
      <w:pPr>
        <w:snapToGrid w:val="0"/>
        <w:spacing w:line="440" w:lineRule="exact"/>
        <w:ind w:firstLineChars="200" w:firstLine="480"/>
        <w:rPr>
          <w:rFonts w:ascii="宋体" w:eastAsia="宋体" w:hAnsi="宋体" w:cs="宋体"/>
          <w:b/>
          <w:sz w:val="24"/>
        </w:rPr>
      </w:pPr>
      <w:r>
        <w:rPr>
          <w:rFonts w:ascii="宋体" w:eastAsia="宋体" w:hAnsi="宋体" w:cs="宋体" w:hint="eastAsia"/>
          <w:color w:val="000000"/>
          <w:sz w:val="24"/>
          <w:szCs w:val="24"/>
        </w:rPr>
        <w:t>5.自觉学习和运用马克思主义。</w:t>
      </w:r>
    </w:p>
    <w:p w14:paraId="282AB3DC" w14:textId="77777777" w:rsidR="00D71975" w:rsidRDefault="00D71975" w:rsidP="00D71975">
      <w:pPr>
        <w:spacing w:line="440" w:lineRule="exact"/>
        <w:ind w:firstLineChars="200" w:firstLine="480"/>
        <w:rPr>
          <w:rFonts w:ascii="宋体" w:hAnsi="宋体"/>
          <w:b/>
          <w:sz w:val="24"/>
        </w:rPr>
      </w:pPr>
      <w:r>
        <w:rPr>
          <w:rFonts w:ascii="宋体" w:hAnsi="宋体" w:hint="eastAsia"/>
          <w:b/>
          <w:sz w:val="24"/>
        </w:rPr>
        <w:t>【重点】</w:t>
      </w:r>
    </w:p>
    <w:p w14:paraId="0942BA0B"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1.马克思主义的含义和基本组成部分；</w:t>
      </w:r>
    </w:p>
    <w:p w14:paraId="5FE7F789"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2.马克思主义的基本特征；</w:t>
      </w:r>
    </w:p>
    <w:p w14:paraId="61101DCE"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3.马克思主义的当代价值。</w:t>
      </w:r>
    </w:p>
    <w:p w14:paraId="42545C46" w14:textId="77777777" w:rsidR="00D71975" w:rsidRDefault="00D71975" w:rsidP="00D71975">
      <w:pPr>
        <w:spacing w:line="440" w:lineRule="exact"/>
        <w:ind w:firstLineChars="200" w:firstLine="480"/>
        <w:rPr>
          <w:rFonts w:ascii="宋体" w:hAnsi="宋体"/>
          <w:b/>
          <w:sz w:val="24"/>
        </w:rPr>
      </w:pPr>
      <w:r>
        <w:rPr>
          <w:rFonts w:ascii="宋体" w:hAnsi="宋体" w:hint="eastAsia"/>
          <w:b/>
          <w:sz w:val="24"/>
        </w:rPr>
        <w:t>【难点】</w:t>
      </w:r>
    </w:p>
    <w:p w14:paraId="3964CD9C"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1.马克思主义产生的思想理论来源；</w:t>
      </w:r>
    </w:p>
    <w:p w14:paraId="6B30ADE4"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2.马克思主义的当代价值；</w:t>
      </w:r>
    </w:p>
    <w:p w14:paraId="458BE3F6"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3.自觉学习和运用马克思主义。</w:t>
      </w:r>
    </w:p>
    <w:p w14:paraId="22B53002" w14:textId="77777777" w:rsidR="00D71975" w:rsidRDefault="00D71975" w:rsidP="00D71975">
      <w:pPr>
        <w:spacing w:line="440" w:lineRule="exact"/>
        <w:ind w:firstLineChars="200" w:firstLine="480"/>
        <w:rPr>
          <w:rFonts w:ascii="宋体" w:hAnsi="宋体"/>
          <w:color w:val="FF0000"/>
          <w:sz w:val="24"/>
        </w:rPr>
      </w:pPr>
      <w:r>
        <w:rPr>
          <w:rFonts w:ascii="宋体" w:hAnsi="宋体" w:hint="eastAsia"/>
          <w:b/>
          <w:bCs/>
          <w:sz w:val="24"/>
        </w:rPr>
        <w:t>【教学方法】</w:t>
      </w:r>
    </w:p>
    <w:p w14:paraId="1BFF75D3"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1.通过多媒体课件和传统教学相结合，阐明科学的马克思主义观，培养学生理论思维能力；</w:t>
      </w:r>
    </w:p>
    <w:p w14:paraId="3257E2DD"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2.通过案例分析和文献自学，培养学生反思与批判性思维，促进学生深化和整合所学知识，反对</w:t>
      </w:r>
      <w:proofErr w:type="gramStart"/>
      <w:r>
        <w:rPr>
          <w:rFonts w:ascii="宋体" w:eastAsia="宋体" w:hAnsi="宋体" w:cs="宋体" w:hint="eastAsia"/>
          <w:color w:val="000000"/>
          <w:sz w:val="24"/>
          <w:szCs w:val="24"/>
        </w:rPr>
        <w:t>对</w:t>
      </w:r>
      <w:proofErr w:type="gramEnd"/>
      <w:r>
        <w:rPr>
          <w:rFonts w:ascii="宋体" w:eastAsia="宋体" w:hAnsi="宋体" w:cs="宋体" w:hint="eastAsia"/>
          <w:color w:val="000000"/>
          <w:sz w:val="24"/>
          <w:szCs w:val="24"/>
        </w:rPr>
        <w:t>马克思主义的种种歪曲和篡改，深化对马克思主义的理解；</w:t>
      </w:r>
    </w:p>
    <w:p w14:paraId="70A70F80"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3.通过探究性和小组研讨学习，培养学生问题意识，发展自主学习和探究能力，反对马克思主义“过时论”，深刻认识马克思主义的当代价值，掌握马克思主义理论联系实际的学风和方法。</w:t>
      </w:r>
    </w:p>
    <w:p w14:paraId="540A8BD3" w14:textId="77777777" w:rsidR="00D71975" w:rsidRDefault="00D71975" w:rsidP="00D71975">
      <w:pPr>
        <w:spacing w:line="440" w:lineRule="exact"/>
        <w:ind w:firstLineChars="200" w:firstLine="480"/>
        <w:rPr>
          <w:rFonts w:ascii="宋体" w:hAnsi="宋体"/>
          <w:bCs/>
          <w:color w:val="FF0000"/>
          <w:sz w:val="24"/>
        </w:rPr>
      </w:pPr>
      <w:r>
        <w:rPr>
          <w:rFonts w:ascii="宋体" w:hAnsi="宋体" w:hint="eastAsia"/>
          <w:b/>
          <w:sz w:val="24"/>
        </w:rPr>
        <w:t>【复习思考】</w:t>
      </w:r>
    </w:p>
    <w:p w14:paraId="33A2EDE7"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1.什么是马克思主义？马克思主义具有哪些基本特征？</w:t>
      </w:r>
    </w:p>
    <w:p w14:paraId="0C8D7F01"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2.怎样看待马克思主义“过时”论？</w:t>
      </w:r>
    </w:p>
    <w:p w14:paraId="2B4DF2CD" w14:textId="77777777" w:rsidR="00D71975" w:rsidRDefault="00D71975" w:rsidP="00D71975">
      <w:pPr>
        <w:spacing w:line="40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3.结合当代青年人所肩负的使命，谈谈马克思主义对青年人成长成才的指导意义。</w:t>
      </w:r>
    </w:p>
    <w:p w14:paraId="6868671B"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宋体" w:hint="eastAsia"/>
          <w:color w:val="000000"/>
          <w:sz w:val="24"/>
          <w:szCs w:val="24"/>
        </w:rPr>
        <w:t>4.恩格斯指出：“马克思的整个世界观不是教义，而是方法。它提供的不是现成的教条，而是进一步研究的出发点和供这种研究使用的方法。”恩格斯还指出，我们</w:t>
      </w:r>
      <w:r>
        <w:rPr>
          <w:rFonts w:ascii="宋体" w:eastAsia="宋体" w:hAnsi="宋体" w:cs="宋体" w:hint="eastAsia"/>
          <w:color w:val="000000"/>
          <w:sz w:val="24"/>
          <w:szCs w:val="24"/>
        </w:rPr>
        <w:lastRenderedPageBreak/>
        <w:t>的理论“是一种历史的产物，它在不同的时代具有完全不同的形式，同</w:t>
      </w:r>
      <w:r>
        <w:rPr>
          <w:rFonts w:ascii="宋体" w:eastAsia="宋体" w:hAnsi="宋体" w:cs="Times New Roman" w:hint="eastAsia"/>
          <w:color w:val="000000"/>
          <w:sz w:val="24"/>
          <w:szCs w:val="24"/>
        </w:rPr>
        <w:t>时具有完全不同的内容”。请结合这一论断，谈谈坚持和发展马克思主义应该秉持什么样的态度。</w:t>
      </w:r>
    </w:p>
    <w:p w14:paraId="08485F56"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5.阅读一篇马克思主义经典名著，并谈谈阅读感受和收获。</w:t>
      </w:r>
    </w:p>
    <w:p w14:paraId="5B7E28A1" w14:textId="77777777" w:rsidR="00D71975" w:rsidRDefault="00D71975" w:rsidP="00D71975">
      <w:pPr>
        <w:snapToGrid w:val="0"/>
        <w:spacing w:before="187" w:after="187" w:line="440" w:lineRule="exact"/>
        <w:ind w:firstLineChars="200" w:firstLine="560"/>
        <w:jc w:val="center"/>
        <w:rPr>
          <w:rFonts w:ascii="黑体" w:eastAsia="黑体" w:hAnsi="黑体" w:cs="Times New Roman"/>
          <w:color w:val="000000"/>
          <w:sz w:val="28"/>
          <w:szCs w:val="28"/>
        </w:rPr>
      </w:pPr>
      <w:r>
        <w:rPr>
          <w:rFonts w:ascii="黑体" w:eastAsia="黑体" w:hAnsi="黑体" w:cs="Times New Roman"/>
          <w:color w:val="000000"/>
          <w:sz w:val="28"/>
          <w:szCs w:val="28"/>
        </w:rPr>
        <w:t>第一章　世界的物质性及发展规律</w:t>
      </w:r>
    </w:p>
    <w:p w14:paraId="11E97FC8"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【学习目标】</w:t>
      </w:r>
    </w:p>
    <w:p w14:paraId="45D7E696"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知类目标：学习和掌握辩证唯物主义基本原理，着重把握马克思主义物质观，理解物质与意识的辩证关系，世界的二重分化，主观能动性与客观规律性辩证关系，世界的物质统一性原理，事物联系和发展的基本规律、基本环节；</w:t>
      </w:r>
    </w:p>
    <w:p w14:paraId="06B5D48C"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过程与方法类目标：体会唯物主义和唯心主义世界观的区别，比较唯物辩证法和形而上学的对立，并结合生活实际体验认识唯心主义、形而上学方法论的实践危害性，掌握一切从实际出发、整体性开放性观念、发展眼光、矛盾分析法、“重点论”与“两点论”相结合、矛盾普遍性与特殊性辩证统一、辩证的否定观等唯物辩证法方法论，培养辩证思维、历史思维、系统思维、战略思维、底线思维和创新思维等思维方式；</w:t>
      </w:r>
    </w:p>
    <w:p w14:paraId="08A7C05A"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宋体" w:hint="eastAsia"/>
          <w:color w:val="000000"/>
          <w:sz w:val="24"/>
          <w:szCs w:val="24"/>
        </w:rPr>
        <w:t>3.情感、态度、价值观类目标：树立辩证唯物主义科学世界观和方法论，坚持彻底的唯物主义立场，反对唯心主义、有神论，遵循一切从实际出发、实事求是原则；掌握辩证思维方法和现代科学思维方法，培养反思和批判性思维，不断增强思维能力，提高运用辩证唯物主义立场观察、分析和处理问题的能力。</w:t>
      </w:r>
    </w:p>
    <w:p w14:paraId="268AE6BB"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【学习内容】</w:t>
      </w:r>
    </w:p>
    <w:p w14:paraId="39C269F4"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1.哲学基本问题及其内容；</w:t>
      </w:r>
    </w:p>
    <w:p w14:paraId="72677D32"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2.物质及其存在方式；</w:t>
      </w:r>
    </w:p>
    <w:p w14:paraId="073AD2EA"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3.意识的起源、本质和能动作用；</w:t>
      </w:r>
    </w:p>
    <w:p w14:paraId="76BA1646"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4.物质和意识的辩证关系；</w:t>
      </w:r>
    </w:p>
    <w:p w14:paraId="5BF56F44"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5.主观能动性和客观规律性的统一；</w:t>
      </w:r>
    </w:p>
    <w:p w14:paraId="71BA7D02"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6.世界的物质统一性；</w:t>
      </w:r>
    </w:p>
    <w:p w14:paraId="1A5AB8DB"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7.联系和发展的观点；</w:t>
      </w:r>
    </w:p>
    <w:p w14:paraId="2572583E"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8.对立统一规律是事物发展的根本规律；</w:t>
      </w:r>
    </w:p>
    <w:p w14:paraId="2EAFFC38"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9.质变量变规律；</w:t>
      </w:r>
    </w:p>
    <w:p w14:paraId="306BC4F0"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10.否定之否定规律；</w:t>
      </w:r>
    </w:p>
    <w:p w14:paraId="316F07CD"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11.联系和发展的基本环节；</w:t>
      </w:r>
    </w:p>
    <w:p w14:paraId="0B8B0A6F"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12.唯物辩证法是认识世界和改造世界的根本方法。</w:t>
      </w:r>
    </w:p>
    <w:p w14:paraId="701BF852"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【重点】</w:t>
      </w:r>
    </w:p>
    <w:p w14:paraId="7C12643C"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1.哲学基本问题及其内容；</w:t>
      </w:r>
    </w:p>
    <w:p w14:paraId="689C5B23" w14:textId="77777777" w:rsidR="00D71975" w:rsidRDefault="00D71975" w:rsidP="00D71975">
      <w:pPr>
        <w:snapToGrid w:val="0"/>
        <w:spacing w:line="440" w:lineRule="exact"/>
        <w:rPr>
          <w:rFonts w:ascii="宋体" w:eastAsia="宋体" w:hAnsi="宋体" w:cs="宋体"/>
          <w:color w:val="000000"/>
          <w:sz w:val="24"/>
          <w:szCs w:val="24"/>
        </w:rPr>
      </w:pPr>
      <w:r>
        <w:rPr>
          <w:rFonts w:ascii="宋体" w:eastAsia="宋体" w:hAnsi="宋体" w:cs="宋体" w:hint="eastAsia"/>
          <w:color w:val="000000"/>
          <w:sz w:val="24"/>
          <w:szCs w:val="24"/>
        </w:rPr>
        <w:t xml:space="preserve">    2.物质范畴的涵义及其重要意义；</w:t>
      </w:r>
    </w:p>
    <w:p w14:paraId="51614BF8" w14:textId="77777777" w:rsidR="00D71975" w:rsidRDefault="00D71975" w:rsidP="00D71975">
      <w:pPr>
        <w:snapToGrid w:val="0"/>
        <w:spacing w:line="440" w:lineRule="exact"/>
        <w:rPr>
          <w:rFonts w:ascii="宋体" w:eastAsia="宋体" w:hAnsi="宋体" w:cs="宋体"/>
          <w:color w:val="000000"/>
          <w:sz w:val="24"/>
          <w:szCs w:val="24"/>
        </w:rPr>
      </w:pPr>
      <w:r>
        <w:rPr>
          <w:rFonts w:ascii="宋体" w:eastAsia="宋体" w:hAnsi="宋体" w:cs="宋体" w:hint="eastAsia"/>
          <w:color w:val="000000"/>
          <w:sz w:val="24"/>
          <w:szCs w:val="24"/>
        </w:rPr>
        <w:t xml:space="preserve">    3.物质和意识的辩证关系；</w:t>
      </w:r>
    </w:p>
    <w:p w14:paraId="1CAC4568"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4.世界的物质统一性；</w:t>
      </w:r>
    </w:p>
    <w:p w14:paraId="17EF783B"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5.联系和发展的观点；</w:t>
      </w:r>
    </w:p>
    <w:p w14:paraId="58E433EB"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6.对立统一规律；</w:t>
      </w:r>
    </w:p>
    <w:p w14:paraId="45A898F6"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7.质量互变规律；</w:t>
      </w:r>
    </w:p>
    <w:p w14:paraId="7000DFFE"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8.否定之否定规律；</w:t>
      </w:r>
    </w:p>
    <w:p w14:paraId="6C9E102D"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9.增强唯物辩证法思维能力。</w:t>
      </w:r>
    </w:p>
    <w:p w14:paraId="06DF86C3"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【难点】</w:t>
      </w:r>
    </w:p>
    <w:p w14:paraId="4841966B"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1.马克思主义物质范畴的涵义及其重要意义；</w:t>
      </w:r>
    </w:p>
    <w:p w14:paraId="17346DD3" w14:textId="77777777" w:rsidR="00D71975" w:rsidRDefault="00D71975" w:rsidP="00D71975">
      <w:pPr>
        <w:snapToGrid w:val="0"/>
        <w:spacing w:line="440" w:lineRule="exact"/>
        <w:rPr>
          <w:rFonts w:ascii="宋体" w:eastAsia="宋体" w:hAnsi="宋体" w:cs="宋体"/>
          <w:color w:val="000000"/>
          <w:sz w:val="24"/>
          <w:szCs w:val="24"/>
        </w:rPr>
      </w:pPr>
      <w:r>
        <w:rPr>
          <w:rFonts w:ascii="宋体" w:eastAsia="宋体" w:hAnsi="宋体" w:cs="宋体" w:hint="eastAsia"/>
          <w:color w:val="000000"/>
          <w:sz w:val="24"/>
          <w:szCs w:val="24"/>
        </w:rPr>
        <w:t xml:space="preserve">    2.物质世界的二重化；</w:t>
      </w:r>
    </w:p>
    <w:p w14:paraId="51660128" w14:textId="77777777" w:rsidR="00D71975" w:rsidRDefault="00D71975" w:rsidP="00D71975">
      <w:pPr>
        <w:snapToGrid w:val="0"/>
        <w:spacing w:line="440" w:lineRule="exact"/>
        <w:rPr>
          <w:rFonts w:ascii="宋体" w:eastAsia="宋体" w:hAnsi="宋体" w:cs="宋体"/>
          <w:color w:val="000000"/>
          <w:sz w:val="24"/>
          <w:szCs w:val="24"/>
        </w:rPr>
      </w:pPr>
      <w:r>
        <w:rPr>
          <w:rFonts w:ascii="宋体" w:eastAsia="宋体" w:hAnsi="宋体" w:cs="宋体" w:hint="eastAsia"/>
          <w:color w:val="000000"/>
          <w:sz w:val="24"/>
          <w:szCs w:val="24"/>
        </w:rPr>
        <w:t xml:space="preserve">    3.意识的本质和能动作用；</w:t>
      </w:r>
    </w:p>
    <w:p w14:paraId="51473CA3"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4.意识与人工智能；</w:t>
      </w:r>
    </w:p>
    <w:p w14:paraId="34EE22A4"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5.同一性和斗争性的辩证关系；</w:t>
      </w:r>
    </w:p>
    <w:p w14:paraId="2EB3B6DC"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6.辩证否定观及其方法论意义；</w:t>
      </w:r>
    </w:p>
    <w:p w14:paraId="3F7AE220"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宋体" w:hint="eastAsia"/>
          <w:color w:val="000000"/>
          <w:sz w:val="24"/>
          <w:szCs w:val="24"/>
        </w:rPr>
        <w:t>7.在实践中不断增强辩证思维能力。</w:t>
      </w:r>
    </w:p>
    <w:p w14:paraId="6841B50C"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【教学方法】</w:t>
      </w:r>
    </w:p>
    <w:p w14:paraId="3BCB7BE1"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1.通过多媒体课件和传统教学相结合，系统讲授辩证唯物主义基本理论，扩展学生知识视野，深化对理论内容理解；</w:t>
      </w:r>
    </w:p>
    <w:p w14:paraId="085C3D82"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2.采用案例分析，强调理论与实际相结合，培养学生反思和批判意识，提升学生思维能力；</w:t>
      </w:r>
    </w:p>
    <w:p w14:paraId="55B064BD"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3.通过小组合作学习、课堂研讨和自主学习，强化学生问题意识，发展学生合作能力和理论联系实际能力，提高学生运用辩证唯物主义立场和方法观察、分析和处理实际问题的能力。</w:t>
      </w:r>
    </w:p>
    <w:p w14:paraId="6B158F8F"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【复习思考】</w:t>
      </w:r>
    </w:p>
    <w:p w14:paraId="3531462E"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1.</w:t>
      </w:r>
      <w:r>
        <w:rPr>
          <w:rFonts w:ascii="宋体" w:eastAsia="宋体" w:hAnsi="宋体" w:cs="Times New Roman" w:hint="eastAsia"/>
          <w:color w:val="000000"/>
          <w:sz w:val="24"/>
          <w:szCs w:val="24"/>
        </w:rPr>
        <w:t>近年来，随着科学技术的飞速发展，人们对物质微观结构层次的认识不断取得新的突破，微观粒子的客观实在性一再获得新的证实。量子叠加、量子纠缠等现象的实验证实，颠覆了许多传统哲学观念，但并没有否定物质的客观实在性。请结合这些</w:t>
      </w:r>
      <w:r>
        <w:rPr>
          <w:rFonts w:ascii="宋体" w:eastAsia="宋体" w:hAnsi="宋体" w:cs="Times New Roman" w:hint="eastAsia"/>
          <w:color w:val="000000"/>
          <w:sz w:val="24"/>
          <w:szCs w:val="24"/>
        </w:rPr>
        <w:lastRenderedPageBreak/>
        <w:t>新现象，谈谈如何理解马克思主义物质观及其现代意义。</w:t>
      </w:r>
    </w:p>
    <w:p w14:paraId="3E5E1579"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2.2017</w:t>
      </w:r>
      <w:r>
        <w:rPr>
          <w:rFonts w:ascii="宋体" w:eastAsia="宋体" w:hAnsi="宋体" w:cs="Times New Roman" w:hint="eastAsia"/>
          <w:color w:val="000000"/>
          <w:sz w:val="24"/>
          <w:szCs w:val="24"/>
        </w:rPr>
        <w:t>年</w:t>
      </w:r>
      <w:r>
        <w:rPr>
          <w:rFonts w:ascii="宋体" w:eastAsia="宋体" w:hAnsi="宋体" w:cs="Times New Roman"/>
          <w:color w:val="000000"/>
          <w:sz w:val="24"/>
          <w:szCs w:val="24"/>
        </w:rPr>
        <w:t>4</w:t>
      </w:r>
      <w:r>
        <w:rPr>
          <w:rFonts w:ascii="宋体" w:eastAsia="宋体" w:hAnsi="宋体" w:cs="Times New Roman" w:hint="eastAsia"/>
          <w:color w:val="000000"/>
          <w:sz w:val="24"/>
          <w:szCs w:val="24"/>
        </w:rPr>
        <w:t>月</w:t>
      </w:r>
      <w:r>
        <w:rPr>
          <w:rFonts w:ascii="宋体" w:eastAsia="宋体" w:hAnsi="宋体" w:cs="Times New Roman"/>
          <w:color w:val="000000"/>
          <w:sz w:val="24"/>
          <w:szCs w:val="24"/>
        </w:rPr>
        <w:t>27</w:t>
      </w:r>
      <w:r>
        <w:rPr>
          <w:rFonts w:ascii="宋体" w:eastAsia="宋体" w:hAnsi="宋体" w:cs="Times New Roman" w:hint="eastAsia"/>
          <w:color w:val="000000"/>
          <w:sz w:val="24"/>
          <w:szCs w:val="24"/>
        </w:rPr>
        <w:t>日，英国著名物理学家斯蒂芬-霍金在北京全球移动互联网大会上重申了他的“人工智能威胁论”，提出人类需警惕人工智能发展的威胁。“文明所产生的一切都是人类智能的产物，我相信生物大脑可以达到的和计算机可以达到的没有本质区别。因此，它遵循了在理论上‘计算机可以模仿人类智能，然后超越’这一原则。但我们并不确定, 所以我们无法知道，我们是否会无限地得到人工智能的帮助，还是被它藐视，并边缘化，或者很可能被它毁灭。……人工智能一旦脱离束缚，以不断加速的状态重新设计自身，人类由于受到漫长的生物进化的限制，无法与之竞争，将被取代。”请思考这段话，谈谈在人工智能飞速发展的条件下，如何认识物质与意识的关系。</w:t>
      </w:r>
    </w:p>
    <w:p w14:paraId="3A6A96BA"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3.</w:t>
      </w:r>
      <w:r>
        <w:rPr>
          <w:rFonts w:ascii="宋体" w:eastAsia="宋体" w:hAnsi="宋体" w:cs="Times New Roman" w:hint="eastAsia"/>
          <w:color w:val="000000"/>
          <w:sz w:val="24"/>
          <w:szCs w:val="24"/>
        </w:rPr>
        <w:t xml:space="preserve">运用矛盾的普遍性和特殊性辩证关系原理，说明中国式现代化的内涵和意义。 </w:t>
      </w:r>
    </w:p>
    <w:p w14:paraId="26253A42"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4.</w:t>
      </w:r>
      <w:r>
        <w:rPr>
          <w:rFonts w:ascii="宋体" w:eastAsia="宋体" w:hAnsi="宋体" w:cs="Times New Roman" w:hint="eastAsia"/>
          <w:color w:val="000000"/>
          <w:sz w:val="24"/>
          <w:szCs w:val="24"/>
        </w:rPr>
        <w:t>结合党的二十大报告关于系统观念的论述，深入思考系统观念的丰富内涵和现实意义。</w:t>
      </w:r>
    </w:p>
    <w:p w14:paraId="7D38C3E6"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 xml:space="preserve">5.请谈谈培养和提高创新思维能力的重要性以及如何提高自己的创新思维能力。 </w:t>
      </w:r>
    </w:p>
    <w:p w14:paraId="05C04B2A" w14:textId="77777777" w:rsidR="00D71975" w:rsidRDefault="00D71975" w:rsidP="00D71975">
      <w:pPr>
        <w:snapToGrid w:val="0"/>
        <w:spacing w:before="187" w:after="187" w:line="440" w:lineRule="exact"/>
        <w:ind w:firstLineChars="700" w:firstLine="1960"/>
        <w:rPr>
          <w:rFonts w:ascii="黑体" w:eastAsia="黑体" w:hAnsi="黑体" w:cs="Times New Roman"/>
          <w:color w:val="000000"/>
          <w:sz w:val="28"/>
          <w:szCs w:val="28"/>
        </w:rPr>
      </w:pPr>
      <w:r>
        <w:rPr>
          <w:rFonts w:ascii="黑体" w:eastAsia="黑体" w:hAnsi="黑体" w:cs="Times New Roman"/>
          <w:color w:val="000000"/>
          <w:sz w:val="28"/>
          <w:szCs w:val="28"/>
        </w:rPr>
        <w:t>第二章　实践与认识及其发展规律</w:t>
      </w:r>
    </w:p>
    <w:p w14:paraId="3D10406E" w14:textId="77777777" w:rsidR="00D71975" w:rsidRDefault="00D71975" w:rsidP="00D71975">
      <w:pPr>
        <w:snapToGrid w:val="0"/>
        <w:spacing w:line="440" w:lineRule="exact"/>
        <w:ind w:firstLineChars="200" w:firstLine="482"/>
        <w:rPr>
          <w:rFonts w:ascii="宋体" w:eastAsia="宋体" w:hAnsi="宋体" w:cs="Times New Roman"/>
          <w:color w:val="000000"/>
          <w:sz w:val="24"/>
          <w:szCs w:val="24"/>
        </w:rPr>
      </w:pPr>
      <w:r>
        <w:rPr>
          <w:rFonts w:ascii="宋体" w:eastAsia="宋体" w:hAnsi="宋体" w:cs="Times New Roman"/>
          <w:b/>
          <w:bCs/>
          <w:color w:val="000000"/>
          <w:sz w:val="24"/>
          <w:szCs w:val="24"/>
        </w:rPr>
        <w:t>【学习目标】</w:t>
      </w:r>
    </w:p>
    <w:p w14:paraId="3384A250"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知类目标：理解和掌握马克思主义实践观、认识论和价值论基本观点，掌握实践、认识、真理、价值的本质及其相互关系，了解认识辩证运动及其规律，把握实践标准和真理绝对性和相对性的辩证关系，认识世界和改造世界的统一；</w:t>
      </w:r>
    </w:p>
    <w:p w14:paraId="0253B58D"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过程与方法类目标：领会实践在认识活动中的决定作用，比较唯物主义和唯心主义两条根本对立的认识路线，坚持能动的反映论，体验教条主义和经验主义的错误，探究真理的客观性及绝对性和相对性，探讨树立正确价值观与</w:t>
      </w:r>
      <w:proofErr w:type="gramStart"/>
      <w:r>
        <w:rPr>
          <w:rFonts w:ascii="宋体" w:eastAsia="宋体" w:hAnsi="宋体" w:cs="宋体" w:hint="eastAsia"/>
          <w:color w:val="000000"/>
          <w:sz w:val="24"/>
          <w:szCs w:val="24"/>
        </w:rPr>
        <w:t>践行</w:t>
      </w:r>
      <w:proofErr w:type="gramEnd"/>
      <w:r>
        <w:rPr>
          <w:rFonts w:ascii="宋体" w:eastAsia="宋体" w:hAnsi="宋体" w:cs="宋体" w:hint="eastAsia"/>
          <w:color w:val="000000"/>
          <w:sz w:val="24"/>
          <w:szCs w:val="24"/>
        </w:rPr>
        <w:t>社会主义核心价值观的重要意义；</w:t>
      </w:r>
    </w:p>
    <w:p w14:paraId="60689792" w14:textId="77777777" w:rsidR="00D71975" w:rsidRDefault="00D71975" w:rsidP="00D71975">
      <w:pPr>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3.情感、态度、价值观类目标：树立实践第一的观点，确立坚持真理和捍卫真理的立场，培育正确的价值观，自觉</w:t>
      </w:r>
      <w:proofErr w:type="gramStart"/>
      <w:r>
        <w:rPr>
          <w:rFonts w:ascii="宋体" w:eastAsia="宋体" w:hAnsi="宋体" w:cs="宋体" w:hint="eastAsia"/>
          <w:color w:val="000000"/>
          <w:sz w:val="24"/>
          <w:szCs w:val="24"/>
        </w:rPr>
        <w:t>践行</w:t>
      </w:r>
      <w:proofErr w:type="gramEnd"/>
      <w:r>
        <w:rPr>
          <w:rFonts w:ascii="宋体" w:eastAsia="宋体" w:hAnsi="宋体" w:cs="宋体" w:hint="eastAsia"/>
          <w:color w:val="000000"/>
          <w:sz w:val="24"/>
          <w:szCs w:val="24"/>
        </w:rPr>
        <w:t>社会主义核心价值观，在改造客观世界的同时改造主观世界，自觉追求真理与价值的统一，努力实现真善美的统一。</w:t>
      </w:r>
    </w:p>
    <w:p w14:paraId="278BA278"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【学习内容】</w:t>
      </w:r>
    </w:p>
    <w:p w14:paraId="32E4ABB0"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1.科学实践观及其意义；</w:t>
      </w:r>
    </w:p>
    <w:p w14:paraId="099B4D77"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2.实践的涵义、本质与基本结构；</w:t>
      </w:r>
    </w:p>
    <w:p w14:paraId="25F78F7F"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3.实践在认识活动中的决定作用；</w:t>
      </w:r>
    </w:p>
    <w:p w14:paraId="2548B6A2"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4.两条对立的认识路线与认识的本质；</w:t>
      </w:r>
    </w:p>
    <w:p w14:paraId="719320DE"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5.实践与认识的辩证运动及其规律；</w:t>
      </w:r>
    </w:p>
    <w:p w14:paraId="3460D172"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6.真理的客观性、绝对性和相对性；</w:t>
      </w:r>
    </w:p>
    <w:p w14:paraId="014FD25E"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7.真理的检验标准；</w:t>
      </w:r>
    </w:p>
    <w:p w14:paraId="6E460C5B"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8.价值和价值评价；</w:t>
      </w:r>
    </w:p>
    <w:p w14:paraId="1054DF59"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9.真理和价值在实践中的辩证统一；</w:t>
      </w:r>
    </w:p>
    <w:p w14:paraId="230901B8"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10.认识世界和改造世界及其辩证关系；</w:t>
      </w:r>
    </w:p>
    <w:p w14:paraId="2B93C603"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11.认识论与党的思想路线；</w:t>
      </w:r>
    </w:p>
    <w:p w14:paraId="5F203695"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宋体" w:hint="eastAsia"/>
          <w:color w:val="000000"/>
          <w:sz w:val="24"/>
          <w:szCs w:val="24"/>
        </w:rPr>
        <w:t>12.实现理论创新和实践创新的良性互动。</w:t>
      </w:r>
    </w:p>
    <w:p w14:paraId="71DAD5A2"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【重点】</w:t>
      </w:r>
    </w:p>
    <w:p w14:paraId="73428A14" w14:textId="77777777" w:rsidR="00D71975" w:rsidRDefault="00D71975" w:rsidP="00D71975">
      <w:pPr>
        <w:snapToGrid w:val="0"/>
        <w:spacing w:line="440" w:lineRule="exact"/>
        <w:rPr>
          <w:rFonts w:ascii="宋体" w:eastAsia="宋体" w:hAnsi="宋体" w:cs="宋体"/>
          <w:color w:val="000000"/>
          <w:sz w:val="24"/>
          <w:szCs w:val="24"/>
        </w:rPr>
      </w:pPr>
      <w:r>
        <w:rPr>
          <w:rFonts w:ascii="宋体" w:eastAsia="宋体" w:hAnsi="宋体" w:cs="Times New Roman"/>
          <w:color w:val="000000"/>
          <w:sz w:val="24"/>
          <w:szCs w:val="24"/>
        </w:rPr>
        <w:t xml:space="preserve">  </w:t>
      </w:r>
      <w:r>
        <w:rPr>
          <w:rFonts w:ascii="宋体" w:eastAsia="宋体" w:hAnsi="宋体" w:cs="宋体" w:hint="eastAsia"/>
          <w:color w:val="000000"/>
          <w:sz w:val="24"/>
          <w:szCs w:val="24"/>
        </w:rPr>
        <w:t xml:space="preserve">  1.实践的本质与基本结构；</w:t>
      </w:r>
    </w:p>
    <w:p w14:paraId="5AB82690" w14:textId="77777777" w:rsidR="00D71975" w:rsidRDefault="00D71975" w:rsidP="00D71975">
      <w:pPr>
        <w:snapToGrid w:val="0"/>
        <w:spacing w:line="440" w:lineRule="exact"/>
        <w:rPr>
          <w:rFonts w:ascii="宋体" w:eastAsia="宋体" w:hAnsi="宋体" w:cs="宋体"/>
          <w:color w:val="000000"/>
          <w:sz w:val="24"/>
          <w:szCs w:val="24"/>
        </w:rPr>
      </w:pPr>
      <w:r>
        <w:rPr>
          <w:rFonts w:ascii="宋体" w:eastAsia="宋体" w:hAnsi="宋体" w:cs="宋体" w:hint="eastAsia"/>
          <w:color w:val="000000"/>
          <w:sz w:val="24"/>
          <w:szCs w:val="24"/>
        </w:rPr>
        <w:t xml:space="preserve">    2.实践对认识的决定作用；</w:t>
      </w:r>
    </w:p>
    <w:p w14:paraId="65AC418B"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3.两条对立的认识路线与认识的本质；</w:t>
      </w:r>
    </w:p>
    <w:p w14:paraId="1C5B6C88"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4.认识与实践的辩证运动及其规律；</w:t>
      </w:r>
    </w:p>
    <w:p w14:paraId="7A5F5A9F"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5.真理的绝对性和相对性及其辩证关系；</w:t>
      </w:r>
    </w:p>
    <w:p w14:paraId="37246EF6" w14:textId="77777777" w:rsidR="00D71975" w:rsidRDefault="00D71975" w:rsidP="00D71975">
      <w:pPr>
        <w:snapToGrid w:val="0"/>
        <w:spacing w:line="440" w:lineRule="exact"/>
        <w:rPr>
          <w:rFonts w:ascii="宋体" w:eastAsia="宋体" w:hAnsi="宋体" w:cs="宋体"/>
          <w:color w:val="000000"/>
          <w:sz w:val="24"/>
          <w:szCs w:val="24"/>
        </w:rPr>
      </w:pPr>
      <w:r>
        <w:rPr>
          <w:rFonts w:ascii="宋体" w:eastAsia="宋体" w:hAnsi="宋体" w:cs="宋体" w:hint="eastAsia"/>
          <w:color w:val="000000"/>
          <w:sz w:val="24"/>
          <w:szCs w:val="24"/>
        </w:rPr>
        <w:t xml:space="preserve">    6.价值评价和马克思主义价值观；</w:t>
      </w:r>
    </w:p>
    <w:p w14:paraId="0BC1AE1C" w14:textId="77777777" w:rsidR="00D71975" w:rsidRDefault="00D71975" w:rsidP="00D71975">
      <w:pPr>
        <w:snapToGrid w:val="0"/>
        <w:spacing w:line="440" w:lineRule="exact"/>
        <w:rPr>
          <w:rFonts w:ascii="宋体" w:eastAsia="宋体" w:hAnsi="宋体" w:cs="宋体"/>
          <w:color w:val="000000"/>
          <w:sz w:val="24"/>
          <w:szCs w:val="24"/>
        </w:rPr>
      </w:pPr>
      <w:r>
        <w:rPr>
          <w:rFonts w:ascii="宋体" w:eastAsia="宋体" w:hAnsi="宋体" w:cs="宋体" w:hint="eastAsia"/>
          <w:color w:val="000000"/>
          <w:sz w:val="24"/>
          <w:szCs w:val="24"/>
        </w:rPr>
        <w:t xml:space="preserve">    7.一切从实际出发，实事求是。</w:t>
      </w:r>
    </w:p>
    <w:p w14:paraId="20411A60"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【难点】</w:t>
      </w:r>
    </w:p>
    <w:p w14:paraId="7C9DA32C"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1.科学实践观的意义；</w:t>
      </w:r>
    </w:p>
    <w:p w14:paraId="4689C812"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2.真理绝对性和相对性及其辩证关系；</w:t>
      </w:r>
    </w:p>
    <w:p w14:paraId="2ECD2266"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3.培育和</w:t>
      </w:r>
      <w:proofErr w:type="gramStart"/>
      <w:r>
        <w:rPr>
          <w:rFonts w:ascii="宋体" w:eastAsia="宋体" w:hAnsi="宋体" w:cs="宋体" w:hint="eastAsia"/>
          <w:color w:val="000000"/>
          <w:sz w:val="24"/>
          <w:szCs w:val="24"/>
        </w:rPr>
        <w:t>践行</w:t>
      </w:r>
      <w:proofErr w:type="gramEnd"/>
      <w:r>
        <w:rPr>
          <w:rFonts w:ascii="宋体" w:eastAsia="宋体" w:hAnsi="宋体" w:cs="宋体" w:hint="eastAsia"/>
          <w:color w:val="000000"/>
          <w:sz w:val="24"/>
          <w:szCs w:val="24"/>
        </w:rPr>
        <w:t>社会主义核心价值观；</w:t>
      </w:r>
    </w:p>
    <w:p w14:paraId="0EAD5DF4"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4.实现理论创新和实践创新的良性互动。</w:t>
      </w:r>
    </w:p>
    <w:p w14:paraId="2BFA0447"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【教学方法】</w:t>
      </w:r>
    </w:p>
    <w:p w14:paraId="3182D8D5"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1.通过多媒体课件和传统教学相结合，系统讲授马克思主义认识论，促进学生全面理解认识、实践、真理、价值的辩证关系，掌握马克思主义实践观、认识论和价值论基本理论；</w:t>
      </w:r>
    </w:p>
    <w:p w14:paraId="03C53056"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2.通过案例分析，培养学生理论联系实际能力，认识唯心主义和旧唯物主义认识论、绝对主义和相对主义真理观的错误，坚持马克思主义认识论；</w:t>
      </w:r>
    </w:p>
    <w:p w14:paraId="3EDBF543"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3.通过学生研讨和进行探究性自主学习，培养学生的问题意识，坚持一切从实际出发，实事求是，提升学生观察、分析解决实际问题的能力。</w:t>
      </w:r>
    </w:p>
    <w:p w14:paraId="175CD0A7"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【复习思考】</w:t>
      </w:r>
    </w:p>
    <w:p w14:paraId="5EBD4AD1"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lastRenderedPageBreak/>
        <w:t>1.结合毛泽东的《实践论》，谈谈如何理解实践与认识的辩证关系。</w:t>
      </w:r>
    </w:p>
    <w:p w14:paraId="1EEC1DF4"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2.为什么说真理既是绝对的又是相对的？把握这一观点对于</w:t>
      </w:r>
      <w:proofErr w:type="gramStart"/>
      <w:r>
        <w:rPr>
          <w:rFonts w:ascii="宋体" w:eastAsia="宋体" w:hAnsi="宋体" w:cs="Times New Roman"/>
          <w:color w:val="000000"/>
          <w:sz w:val="24"/>
          <w:szCs w:val="24"/>
        </w:rPr>
        <w:t>坚</w:t>
      </w:r>
      <w:proofErr w:type="gramEnd"/>
      <w:r>
        <w:rPr>
          <w:rFonts w:ascii="宋体" w:eastAsia="宋体" w:hAnsi="宋体" w:cs="Times New Roman"/>
          <w:color w:val="000000"/>
          <w:sz w:val="24"/>
          <w:szCs w:val="24"/>
        </w:rPr>
        <w:t>待和发展马克思主义有什么重要意义？</w:t>
      </w:r>
    </w:p>
    <w:p w14:paraId="6345CDF0"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3.习近平指出：“世界上没有纯而又纯的哲学社会科学。世界上伟大的哲学社会科学成果都是在回答和解决人与社会面临的重大问题中创造出来的。研究者生活在现实社会中，研究什么，主张什么，都会打下社会烙印。</w:t>
      </w:r>
      <w:r>
        <w:rPr>
          <w:rFonts w:ascii="宋体" w:eastAsia="宋体" w:hAnsi="宋体" w:cs="Times New Roman" w:hint="eastAsia"/>
          <w:color w:val="000000"/>
          <w:sz w:val="24"/>
          <w:szCs w:val="24"/>
        </w:rPr>
        <w:t>”</w:t>
      </w:r>
      <w:r>
        <w:rPr>
          <w:rFonts w:ascii="宋体" w:eastAsia="宋体" w:hAnsi="宋体" w:cs="Times New Roman"/>
          <w:color w:val="000000"/>
          <w:sz w:val="24"/>
          <w:szCs w:val="24"/>
        </w:rPr>
        <w:t>请谈谈这段论述对于理解真理与价值的辩证统一关系有什么帮助和启示。</w:t>
      </w:r>
    </w:p>
    <w:p w14:paraId="07FA6827"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4.</w:t>
      </w:r>
      <w:r>
        <w:rPr>
          <w:rFonts w:ascii="宋体" w:eastAsia="宋体" w:hAnsi="宋体" w:cs="Times New Roman" w:hint="eastAsia"/>
          <w:color w:val="000000"/>
          <w:sz w:val="24"/>
          <w:szCs w:val="24"/>
        </w:rPr>
        <w:t>对于同一事物，不同的人会有不同的价值判断。那么，面对纷繁的社会现象，面对复杂的价值世界，有没有统一的价值评价标准？如果有，这一评价标准是什么？</w:t>
      </w:r>
    </w:p>
    <w:p w14:paraId="2C7A4C3A" w14:textId="77777777" w:rsidR="00D71975" w:rsidRDefault="00D71975" w:rsidP="00D71975">
      <w:pPr>
        <w:snapToGrid w:val="0"/>
        <w:spacing w:before="187" w:after="187" w:line="440" w:lineRule="exact"/>
        <w:ind w:firstLineChars="200" w:firstLine="560"/>
        <w:jc w:val="center"/>
        <w:rPr>
          <w:rFonts w:ascii="黑体" w:eastAsia="黑体" w:hAnsi="黑体" w:cs="Times New Roman"/>
          <w:color w:val="000000"/>
          <w:sz w:val="28"/>
          <w:szCs w:val="28"/>
        </w:rPr>
      </w:pPr>
      <w:r>
        <w:rPr>
          <w:rFonts w:ascii="黑体" w:eastAsia="黑体" w:hAnsi="黑体" w:cs="Times New Roman"/>
          <w:color w:val="000000"/>
          <w:sz w:val="28"/>
          <w:szCs w:val="28"/>
        </w:rPr>
        <w:t>第三章　人类社会及其发展规律</w:t>
      </w:r>
    </w:p>
    <w:p w14:paraId="6ACB1F6A"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【学习目标】</w:t>
      </w:r>
    </w:p>
    <w:p w14:paraId="0D811741"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1.认知类目标：学习和把握历史唯物主义基本原理，着重了解和掌握社会存在和社会意识的辩证关系、社会基本矛盾运动及其规律、社会发展的动力及人民群众和个人在社会历史中的作用等唯物史观基本观点；</w:t>
      </w:r>
    </w:p>
    <w:p w14:paraId="2C65C1E6"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2.过程与方法类目标：比较唯物史观与唯心史观两种根本对立的历史观，体会社会存在与社会意识辩证关系，生产力与生产关系、经济基础与上层建筑辩证关系及其运动规律、社会发展动力等唯物史观观点，探究人民群众和英雄人物在历史发展中的地位和作用；</w:t>
      </w:r>
    </w:p>
    <w:p w14:paraId="56CC719D" w14:textId="77777777" w:rsidR="00D71975" w:rsidRDefault="00D71975" w:rsidP="00D71975">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3.情感、态度、价值观类目标：树立唯物史观，反对唯心史观和历史虚无主义，自觉运用唯物史观正确认识历史和现实问题。</w:t>
      </w:r>
    </w:p>
    <w:p w14:paraId="7C2F84CD"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【学习内容】</w:t>
      </w:r>
    </w:p>
    <w:p w14:paraId="46069479"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1.两种根本对立的历史观；</w:t>
      </w:r>
    </w:p>
    <w:p w14:paraId="057AC44C"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2.社会存在与社会意识及其辩证关系；</w:t>
      </w:r>
    </w:p>
    <w:p w14:paraId="51C93F05"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3.社会基本矛盾运动及其规律；</w:t>
      </w:r>
    </w:p>
    <w:p w14:paraId="3083917D"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4.世界历史的形成发展；</w:t>
      </w:r>
    </w:p>
    <w:p w14:paraId="427126C0"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5.社会进步与社会形态更替；</w:t>
      </w:r>
    </w:p>
    <w:p w14:paraId="09E87263"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6.文明及其多样性；</w:t>
      </w:r>
    </w:p>
    <w:p w14:paraId="35790340"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7.社会历史发展的动力；</w:t>
      </w:r>
    </w:p>
    <w:p w14:paraId="7E7E8C6E"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8.人民群众和个人在社会历史发展中的作用；</w:t>
      </w:r>
    </w:p>
    <w:p w14:paraId="57DE6486"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9.群众、阶级、政党、领袖的关系。</w:t>
      </w:r>
    </w:p>
    <w:p w14:paraId="09C35F98"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lastRenderedPageBreak/>
        <w:t>【重点】</w:t>
      </w:r>
    </w:p>
    <w:p w14:paraId="273707D0"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1.社会存在与社会意识的辩证关系；</w:t>
      </w:r>
    </w:p>
    <w:p w14:paraId="053375E1"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2.物质资料生产方式是社会发展的决定力量；</w:t>
      </w:r>
    </w:p>
    <w:p w14:paraId="223DFEE0"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3.社会基本矛盾及其运动规律；</w:t>
      </w:r>
    </w:p>
    <w:p w14:paraId="3F678B73"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4.社会基本矛盾是历史发展的根本动力；</w:t>
      </w:r>
    </w:p>
    <w:p w14:paraId="025D9DD6"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5.人民群众是历史的创造者。</w:t>
      </w:r>
    </w:p>
    <w:p w14:paraId="5C7CD329"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【难点】</w:t>
      </w:r>
    </w:p>
    <w:p w14:paraId="3BBDC37C"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1.社会意识的相对独立性；</w:t>
      </w:r>
    </w:p>
    <w:p w14:paraId="7A0132A0"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2.社会历史发展客观规律和主体历史选择性之间关系；</w:t>
      </w:r>
    </w:p>
    <w:p w14:paraId="1B002860"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3.文明及其多样性；</w:t>
      </w:r>
    </w:p>
    <w:p w14:paraId="7019B547"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4.辩证理解和评价个人的历史作用；</w:t>
      </w:r>
    </w:p>
    <w:p w14:paraId="254C4CCC"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5.群众、阶级、政党、领袖的关系。</w:t>
      </w:r>
    </w:p>
    <w:p w14:paraId="7B2AE614"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【教学方法】</w:t>
      </w:r>
    </w:p>
    <w:p w14:paraId="37C98168"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1.通过多媒体课件和传统教学相结合，系统讲授唯物史观基本理论，培养学生自觉树立唯物史观立场；</w:t>
      </w:r>
    </w:p>
    <w:p w14:paraId="48763B3D"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2.通过案例分析，培养学生反思和批判意识，识别和批判唯心史观各种错误观点；</w:t>
      </w:r>
    </w:p>
    <w:p w14:paraId="7ACB5F6F"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3.通过学生合作学习、探究性学习和自主学习，培养学生问题意识，回击对唯物史观的歪曲和错误认识，反对历史虚无主义，提高学生运用唯物史观分析历史和现实问题的自觉性。</w:t>
      </w:r>
    </w:p>
    <w:p w14:paraId="67192214"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【复习思考】</w:t>
      </w:r>
    </w:p>
    <w:p w14:paraId="4A3D43BD" w14:textId="77777777" w:rsidR="00D71975" w:rsidRDefault="00D71975" w:rsidP="00D71975">
      <w:pPr>
        <w:snapToGrid w:val="0"/>
        <w:spacing w:line="440" w:lineRule="exact"/>
        <w:ind w:left="480"/>
        <w:rPr>
          <w:rFonts w:ascii="宋体" w:eastAsia="宋体" w:hAnsi="宋体" w:cs="Times New Roman"/>
          <w:color w:val="000000"/>
          <w:sz w:val="24"/>
          <w:szCs w:val="24"/>
        </w:rPr>
      </w:pPr>
      <w:r>
        <w:rPr>
          <w:rFonts w:ascii="宋体" w:eastAsia="宋体" w:hAnsi="宋体" w:cs="Times New Roman"/>
          <w:color w:val="000000"/>
          <w:sz w:val="24"/>
          <w:szCs w:val="24"/>
        </w:rPr>
        <w:t>1.为什么说物质资料生产方式是社会发展的决定力量？</w:t>
      </w:r>
    </w:p>
    <w:p w14:paraId="2B5C87C6"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2.</w:t>
      </w:r>
      <w:r>
        <w:rPr>
          <w:rFonts w:ascii="宋体" w:eastAsia="宋体" w:hAnsi="宋体" w:cs="Times New Roman" w:hint="eastAsia"/>
          <w:color w:val="000000"/>
          <w:sz w:val="24"/>
          <w:szCs w:val="24"/>
        </w:rPr>
        <w:t>在迎来中国共产党成立100周年的重要时刻，我国脱贫攻坚战取得了全面胜利，现行标准下9899万农村贫困人口全部脱贫，832个贫困县全部摘帽，12.8万个贫困村全部出列，区域性整体贫困得到解决，完成了消除绝对贫困的艰巨任务，孕育形成了“上下同心、尽锐出战、精准务实、开拓创新、攻坚克难、不负人民”的脱贫攻坚精神。请运用社会意识对社会存在的反作用原理，谈谈精神力量在我国社会发展中的作用。</w:t>
      </w:r>
    </w:p>
    <w:p w14:paraId="17D16FCE"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3.</w:t>
      </w:r>
      <w:r>
        <w:rPr>
          <w:rFonts w:ascii="宋体" w:eastAsia="宋体" w:hAnsi="宋体" w:cs="Times New Roman" w:hint="eastAsia"/>
          <w:color w:val="000000"/>
          <w:sz w:val="24"/>
          <w:szCs w:val="24"/>
        </w:rPr>
        <w:t>请结合我国科学技术的重大成就，如高铁、大飞机以及“天宫”“蛟龙”“天眼”“悟空”“墨子”等，谈谈对科学技术在社会发展中的作用的认识。</w:t>
      </w:r>
    </w:p>
    <w:p w14:paraId="58BAE024"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4.</w:t>
      </w:r>
      <w:r>
        <w:rPr>
          <w:rFonts w:ascii="宋体" w:eastAsia="宋体" w:hAnsi="宋体" w:cs="Times New Roman" w:hint="eastAsia"/>
          <w:color w:val="000000"/>
          <w:sz w:val="24"/>
          <w:szCs w:val="24"/>
        </w:rPr>
        <w:t>请结合人民群众是历史创造者的原理，谈谈对“江山就是人民， 人民就是江山”的理解。</w:t>
      </w:r>
    </w:p>
    <w:p w14:paraId="1435A8A9"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hAnsi="宋体" w:cs="Times New Roman" w:hint="eastAsia"/>
          <w:color w:val="000000"/>
          <w:sz w:val="24"/>
          <w:szCs w:val="24"/>
        </w:rPr>
        <w:lastRenderedPageBreak/>
        <w:t>5.</w:t>
      </w:r>
      <w:r>
        <w:rPr>
          <w:rFonts w:ascii="宋体" w:eastAsia="宋体" w:hAnsi="宋体" w:cs="Times New Roman" w:hint="eastAsia"/>
          <w:color w:val="000000"/>
          <w:sz w:val="24"/>
          <w:szCs w:val="24"/>
        </w:rPr>
        <w:t>习近平指出：“我们既要绿水青山，也要金山银山。宁要绿水青山，不要金山银山，而且绿水青山就是金山银山。”请结合自然地理环境在社会生存和发展中的作用，谈谈应怎样认识和处理经济发展与环境保护的关系。</w:t>
      </w:r>
    </w:p>
    <w:p w14:paraId="69941E3A" w14:textId="77777777" w:rsidR="00D71975" w:rsidRDefault="00D71975" w:rsidP="00D71975">
      <w:pPr>
        <w:snapToGrid w:val="0"/>
        <w:spacing w:before="187" w:after="187" w:line="440" w:lineRule="exact"/>
        <w:ind w:firstLineChars="200" w:firstLine="560"/>
        <w:jc w:val="center"/>
        <w:rPr>
          <w:rFonts w:ascii="黑体" w:eastAsia="黑体" w:hAnsi="黑体" w:cs="Times New Roman"/>
          <w:color w:val="000000"/>
          <w:sz w:val="28"/>
          <w:szCs w:val="28"/>
        </w:rPr>
      </w:pPr>
      <w:r>
        <w:rPr>
          <w:rFonts w:ascii="黑体" w:eastAsia="黑体" w:hAnsi="黑体" w:cs="Times New Roman"/>
          <w:color w:val="000000"/>
          <w:sz w:val="28"/>
          <w:szCs w:val="28"/>
        </w:rPr>
        <w:t>第四章　资本主义的本质及规律</w:t>
      </w:r>
    </w:p>
    <w:p w14:paraId="7258982B"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【学习目标】</w:t>
      </w:r>
    </w:p>
    <w:p w14:paraId="4BD2A88D"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知类目标：了解和掌握马克思主义劳动价值理论，把握商品经济运动一般规律；理解马克思主义剩余价值理论，正确认识资本主义经济制度的本质和内在矛盾，深刻理解资本主义生产方式基本矛盾和历史发展必然性，正确认识和把握资本主义上层建筑的本质。</w:t>
      </w:r>
    </w:p>
    <w:p w14:paraId="6B98F7AC"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过程与方法类目标：体会商品经济的形成、发展及其基本规律，不变资本和可变资本的区别，资本主义工资和资本主义生产关系的实质，比较剩余价值生产的两种基本方法，剩余价值和利润的区别，探究资本主义生产方式与劳动力商品的特点之间关系，剩余价值的实质，资本积累及其后果，资本主义基本矛盾与经济危机的内在联系，认识资本主义上层建筑的本质。</w:t>
      </w:r>
    </w:p>
    <w:p w14:paraId="66626224"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态度、价值观类目标：深刻理解资本主义经济制度的实质，正确看待资本主义上层建筑的本质，科学认识资本主义生产方式的内在矛盾及其历史必然性，运用马克思主义立场、观点和方法正确看待和分析资本主义发展问题。</w:t>
      </w:r>
    </w:p>
    <w:p w14:paraId="675BE534"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【学习内容】</w:t>
      </w:r>
    </w:p>
    <w:p w14:paraId="4B74EBD5"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1.商品经济和价值规律；</w:t>
      </w:r>
    </w:p>
    <w:p w14:paraId="5F883274"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2.以私有制为基础的商品经济的基本矛盾；</w:t>
      </w:r>
    </w:p>
    <w:p w14:paraId="07047173"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3.马克思主义劳动价值论及其意义；</w:t>
      </w:r>
    </w:p>
    <w:p w14:paraId="5080EC11"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4.资本主义经济制度的本质；</w:t>
      </w:r>
    </w:p>
    <w:p w14:paraId="7CED3737"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5.剩余价值论及其意义；</w:t>
      </w:r>
    </w:p>
    <w:p w14:paraId="336C4087"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6.资本主义基本矛盾与经济危机；</w:t>
      </w:r>
    </w:p>
    <w:p w14:paraId="5AF44525"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7.资本主义上层建筑及其本质。</w:t>
      </w:r>
    </w:p>
    <w:p w14:paraId="680D8EEE"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【重点】</w:t>
      </w:r>
    </w:p>
    <w:p w14:paraId="6B312F47"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1.商品</w:t>
      </w:r>
      <w:proofErr w:type="gramStart"/>
      <w:r>
        <w:rPr>
          <w:rFonts w:ascii="宋体" w:eastAsia="宋体" w:hAnsi="宋体" w:cs="宋体" w:hint="eastAsia"/>
          <w:color w:val="000000"/>
          <w:sz w:val="24"/>
          <w:szCs w:val="24"/>
        </w:rPr>
        <w:t>二因素</w:t>
      </w:r>
      <w:proofErr w:type="gramEnd"/>
      <w:r>
        <w:rPr>
          <w:rFonts w:ascii="宋体" w:eastAsia="宋体" w:hAnsi="宋体" w:cs="宋体" w:hint="eastAsia"/>
          <w:color w:val="000000"/>
          <w:sz w:val="24"/>
          <w:szCs w:val="24"/>
        </w:rPr>
        <w:t>与生产商品劳动的二重性；</w:t>
      </w:r>
    </w:p>
    <w:p w14:paraId="58EFA96F"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2.价值规律及其作用和表现形式；</w:t>
      </w:r>
    </w:p>
    <w:p w14:paraId="7D43DDDD"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3.剩余价值生产是资本主义生产方式的绝对规律；</w:t>
      </w:r>
    </w:p>
    <w:p w14:paraId="2FA35F9F"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4.资本积累及其后果；</w:t>
      </w:r>
    </w:p>
    <w:p w14:paraId="299825D0"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5.资本的循环与再生产；</w:t>
      </w:r>
    </w:p>
    <w:p w14:paraId="4CEF683D"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6.资本主义基本矛盾与资本主义经济危机；</w:t>
      </w:r>
    </w:p>
    <w:p w14:paraId="177ED789"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7.资本主义工资的实质；</w:t>
      </w:r>
    </w:p>
    <w:p w14:paraId="781F6168"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宋体" w:hint="eastAsia"/>
          <w:color w:val="000000"/>
          <w:sz w:val="24"/>
          <w:szCs w:val="24"/>
        </w:rPr>
        <w:t>8.资本主义上层建筑的本质</w:t>
      </w:r>
      <w:r>
        <w:rPr>
          <w:rFonts w:ascii="宋体" w:eastAsia="宋体" w:hAnsi="宋体" w:cs="Times New Roman"/>
          <w:color w:val="000000"/>
          <w:sz w:val="24"/>
          <w:szCs w:val="24"/>
        </w:rPr>
        <w:t>。</w:t>
      </w:r>
    </w:p>
    <w:p w14:paraId="66E8CD49"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【难点】</w:t>
      </w:r>
    </w:p>
    <w:p w14:paraId="0C186920"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1.生产商品劳动的二重性；</w:t>
      </w:r>
    </w:p>
    <w:p w14:paraId="1F85B0EA"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2.以私有制为基础的商品经济的基本矛盾；</w:t>
      </w:r>
    </w:p>
    <w:p w14:paraId="66E0D500"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3.劳动力成为商品与货币转化为资本；</w:t>
      </w:r>
    </w:p>
    <w:p w14:paraId="5A585297"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4.不变资本和可变资本及其划分意义；</w:t>
      </w:r>
    </w:p>
    <w:p w14:paraId="096552C9"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5.社会总产品实现与社会再生产；</w:t>
      </w:r>
    </w:p>
    <w:p w14:paraId="0F259A07"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6.资本主义工资的实质；</w:t>
      </w:r>
    </w:p>
    <w:p w14:paraId="3092AA14" w14:textId="77777777" w:rsidR="00D71975" w:rsidRDefault="00D71975" w:rsidP="00D71975">
      <w:pPr>
        <w:snapToGrid w:val="0"/>
        <w:spacing w:line="440" w:lineRule="exact"/>
        <w:ind w:firstLineChars="200" w:firstLine="480"/>
        <w:rPr>
          <w:rFonts w:ascii="宋体" w:hAnsi="宋体" w:cs="Times New Roman"/>
          <w:color w:val="000000"/>
          <w:sz w:val="24"/>
          <w:szCs w:val="24"/>
        </w:rPr>
      </w:pPr>
      <w:r>
        <w:rPr>
          <w:rFonts w:ascii="宋体" w:eastAsia="宋体" w:hAnsi="宋体" w:cs="宋体" w:hint="eastAsia"/>
          <w:color w:val="000000"/>
          <w:sz w:val="24"/>
          <w:szCs w:val="24"/>
        </w:rPr>
        <w:t>7.资本主义上层建筑的</w:t>
      </w:r>
      <w:proofErr w:type="gramStart"/>
      <w:r>
        <w:rPr>
          <w:rFonts w:ascii="宋体" w:eastAsia="宋体" w:hAnsi="宋体" w:cs="宋体" w:hint="eastAsia"/>
          <w:color w:val="000000"/>
          <w:sz w:val="24"/>
          <w:szCs w:val="24"/>
        </w:rPr>
        <w:t>的</w:t>
      </w:r>
      <w:proofErr w:type="gramEnd"/>
      <w:r>
        <w:rPr>
          <w:rFonts w:ascii="宋体" w:eastAsia="宋体" w:hAnsi="宋体" w:cs="宋体" w:hint="eastAsia"/>
          <w:color w:val="000000"/>
          <w:sz w:val="24"/>
          <w:szCs w:val="24"/>
        </w:rPr>
        <w:t>历史进步性与局限性。</w:t>
      </w:r>
    </w:p>
    <w:p w14:paraId="05938933"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【教学方法】</w:t>
      </w:r>
    </w:p>
    <w:p w14:paraId="08032B65"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1.通过多媒体课件和传统教学相结合，使学生了解商品经济及其基本规律，剩余价值的生产与资本主义经济制度的本质，资本积累及其后果，资本主义基本矛盾和经济危机，资本主义政治制度和意识形态的本质；</w:t>
      </w:r>
    </w:p>
    <w:p w14:paraId="7CA46834"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2.通过案例分析，培养学生批判性思维和反思能力，引导学生正确认识资本主义经济制度、上层建筑的本质；</w:t>
      </w:r>
    </w:p>
    <w:p w14:paraId="4A3E7AAB"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3.通过组织学生合作学习、探究性学习和自主学习，培养学生的问题意识，深入剖析资本主义本质、内在矛盾及其历史必然性。</w:t>
      </w:r>
    </w:p>
    <w:p w14:paraId="59F4BBA0" w14:textId="77777777" w:rsidR="00D71975" w:rsidRDefault="00D71975" w:rsidP="00D71975">
      <w:pPr>
        <w:snapToGrid w:val="0"/>
        <w:spacing w:line="440" w:lineRule="exact"/>
        <w:ind w:leftChars="200" w:left="420"/>
        <w:rPr>
          <w:rFonts w:ascii="宋体" w:eastAsia="宋体" w:hAnsi="宋体" w:cs="Times New Roman"/>
          <w:b/>
          <w:bCs/>
          <w:color w:val="000000"/>
          <w:sz w:val="24"/>
          <w:szCs w:val="24"/>
        </w:rPr>
      </w:pPr>
      <w:r>
        <w:rPr>
          <w:rFonts w:ascii="宋体" w:eastAsia="宋体" w:hAnsi="宋体" w:cs="Times New Roman"/>
          <w:b/>
          <w:bCs/>
          <w:color w:val="000000"/>
          <w:sz w:val="24"/>
          <w:szCs w:val="24"/>
        </w:rPr>
        <w:t>【复习思考】</w:t>
      </w:r>
    </w:p>
    <w:p w14:paraId="1CCECA3C"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1.为什么说“资本来到世间，从头到脚，每个毛孔都滴着血和肮脏的东西”</w:t>
      </w:r>
      <w:r>
        <w:rPr>
          <w:rFonts w:ascii="宋体" w:eastAsia="宋体" w:hAnsi="宋体" w:cs="Times New Roman" w:hint="eastAsia"/>
          <w:color w:val="000000"/>
          <w:sz w:val="24"/>
          <w:szCs w:val="24"/>
        </w:rPr>
        <w:t>？</w:t>
      </w:r>
    </w:p>
    <w:p w14:paraId="443122DC"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2.马克思说：“最初一看，商品好像是一种简单而平凡的东西。对商品的分析表明，它却是一种很古怪的东西，充满形而上学的微妙和神学的怪诞。”如何理解这一论述？如何把握商品背后隐藏的人与人之间的经济关系？</w:t>
      </w:r>
    </w:p>
    <w:p w14:paraId="2C131B34" w14:textId="77777777" w:rsidR="00D71975" w:rsidRDefault="00D71975" w:rsidP="00D71975">
      <w:pPr>
        <w:snapToGrid w:val="0"/>
        <w:spacing w:line="440" w:lineRule="exact"/>
        <w:ind w:left="480"/>
        <w:rPr>
          <w:rFonts w:ascii="宋体" w:eastAsia="宋体" w:hAnsi="宋体" w:cs="Times New Roman"/>
          <w:color w:val="000000"/>
          <w:sz w:val="24"/>
          <w:szCs w:val="24"/>
        </w:rPr>
      </w:pPr>
      <w:r>
        <w:rPr>
          <w:rFonts w:ascii="宋体" w:eastAsia="宋体" w:hAnsi="宋体" w:cs="Times New Roman"/>
          <w:color w:val="000000"/>
          <w:sz w:val="24"/>
          <w:szCs w:val="24"/>
        </w:rPr>
        <w:t>3.</w:t>
      </w:r>
      <w:r>
        <w:rPr>
          <w:rFonts w:ascii="宋体" w:eastAsia="宋体" w:hAnsi="宋体" w:cs="Times New Roman" w:hint="eastAsia"/>
          <w:color w:val="000000"/>
          <w:sz w:val="24"/>
          <w:szCs w:val="24"/>
        </w:rPr>
        <w:t>如何理解“资本是带来剩余价值的价值”？</w:t>
      </w:r>
    </w:p>
    <w:p w14:paraId="74076617" w14:textId="77777777" w:rsidR="00D71975" w:rsidRDefault="00D71975" w:rsidP="00D71975">
      <w:pPr>
        <w:snapToGrid w:val="0"/>
        <w:spacing w:line="440" w:lineRule="exact"/>
        <w:ind w:left="480"/>
        <w:rPr>
          <w:rFonts w:ascii="宋体" w:eastAsia="宋体" w:hAnsi="宋体" w:cs="Times New Roman"/>
          <w:color w:val="000000"/>
          <w:sz w:val="24"/>
          <w:szCs w:val="24"/>
        </w:rPr>
      </w:pPr>
      <w:r>
        <w:rPr>
          <w:rFonts w:ascii="宋体" w:eastAsia="宋体" w:hAnsi="宋体" w:cs="Times New Roman"/>
          <w:color w:val="000000"/>
          <w:sz w:val="24"/>
          <w:szCs w:val="24"/>
        </w:rPr>
        <w:t>4.</w:t>
      </w:r>
      <w:r>
        <w:rPr>
          <w:rFonts w:ascii="宋体" w:eastAsia="宋体" w:hAnsi="宋体" w:cs="Times New Roman" w:hint="eastAsia"/>
          <w:color w:val="000000"/>
          <w:sz w:val="24"/>
          <w:szCs w:val="24"/>
        </w:rPr>
        <w:t>运用历史和现实的事实说明经济危机是资本主义基本矛盾的集中体现。</w:t>
      </w:r>
    </w:p>
    <w:p w14:paraId="5AE47624"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5.有人认为，资本主义民主是囿于“钱主”的民主，迷于“游戏”的民主，止于“选举”的民主。如何看待这种说法，为什么？</w:t>
      </w:r>
    </w:p>
    <w:p w14:paraId="0995319A" w14:textId="77777777" w:rsidR="00D71975" w:rsidRDefault="00D71975" w:rsidP="00D71975">
      <w:pPr>
        <w:snapToGrid w:val="0"/>
        <w:spacing w:before="187" w:after="187" w:line="440" w:lineRule="exact"/>
        <w:ind w:firstLineChars="200" w:firstLine="560"/>
        <w:jc w:val="center"/>
        <w:rPr>
          <w:rFonts w:ascii="黑体" w:eastAsia="黑体" w:hAnsi="黑体" w:cs="Times New Roman"/>
          <w:color w:val="000000"/>
          <w:sz w:val="28"/>
          <w:szCs w:val="28"/>
        </w:rPr>
      </w:pPr>
    </w:p>
    <w:p w14:paraId="3B9C9159" w14:textId="77777777" w:rsidR="00D71975" w:rsidRDefault="00D71975" w:rsidP="00D71975">
      <w:pPr>
        <w:snapToGrid w:val="0"/>
        <w:spacing w:before="187" w:after="187" w:line="440" w:lineRule="exact"/>
        <w:ind w:firstLineChars="200" w:firstLine="560"/>
        <w:jc w:val="center"/>
        <w:rPr>
          <w:rFonts w:ascii="黑体" w:eastAsia="黑体" w:hAnsi="黑体" w:cs="Times New Roman"/>
          <w:color w:val="000000"/>
          <w:sz w:val="28"/>
          <w:szCs w:val="28"/>
        </w:rPr>
      </w:pPr>
      <w:r>
        <w:rPr>
          <w:rFonts w:ascii="黑体" w:eastAsia="黑体" w:hAnsi="黑体" w:cs="Times New Roman"/>
          <w:color w:val="000000"/>
          <w:sz w:val="28"/>
          <w:szCs w:val="28"/>
        </w:rPr>
        <w:lastRenderedPageBreak/>
        <w:t>第五章　资本主义的发展及其趋势</w:t>
      </w:r>
    </w:p>
    <w:p w14:paraId="0080EA36"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【学习目标】</w:t>
      </w:r>
    </w:p>
    <w:p w14:paraId="6CA5DC27"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知类目标：了解资本主义历史发展过程，科学认识垄断资本主义和经济全球化，正确看待当代资本主义新变化原因、特点及其实质，深刻把握世界大变局下资本主义的矛盾和冲突，深刻认识资本主义的历史发展趋势及其必然性；</w:t>
      </w:r>
    </w:p>
    <w:p w14:paraId="31FBA966"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过程与方法类目标：体会资本主义历史发展，比较自由资本主义和垄断资本主义不同特点，当代资本主义新变化新特点，探究经济全球化实质及发展趋势，世界大变局下资本主义矛盾和冲突进一步加剧及资本主义历史发展趋势；</w:t>
      </w:r>
    </w:p>
    <w:p w14:paraId="1E9E7C5B"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宋体" w:hint="eastAsia"/>
          <w:color w:val="000000"/>
          <w:sz w:val="24"/>
          <w:szCs w:val="24"/>
        </w:rPr>
        <w:t>3.情感、态度、价值观类目标：科学认识和把握垄断资本主义和经济全球化发展的本质，正确认识国家垄断资本主义实质、当代资本主义发展新变化、经济全球化发展趋势及世界大变局下资本主义的矛盾和冲突，深刻理解资本主义的历史地位及其历史必然性，坚定资本主义必然灭亡、社会主义必然胜利的信念。</w:t>
      </w:r>
    </w:p>
    <w:p w14:paraId="411581C8"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【学习内容】</w:t>
      </w:r>
    </w:p>
    <w:p w14:paraId="71209D83"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1.资本主义从自由竞争到垄断；</w:t>
      </w:r>
    </w:p>
    <w:p w14:paraId="0B478BDA"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2.国家垄断资本主义的特点和实质；</w:t>
      </w:r>
    </w:p>
    <w:p w14:paraId="52CCD4FB"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3.经济全球化的原因、表现、影响和发展趋势；</w:t>
      </w:r>
    </w:p>
    <w:p w14:paraId="17137029"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4.二战后当代资本主义的新变化及实质；</w:t>
      </w:r>
    </w:p>
    <w:p w14:paraId="5FC2999A"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5.当代资本主义变化的新特征；</w:t>
      </w:r>
    </w:p>
    <w:p w14:paraId="478B9870"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6.世界大变局下资本主义的矛盾与冲突；</w:t>
      </w:r>
    </w:p>
    <w:p w14:paraId="5163E551"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7.资本主义的历史地位及其为社会主义所取代的历史必然性。</w:t>
      </w:r>
    </w:p>
    <w:p w14:paraId="00612C19"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【重点】</w:t>
      </w:r>
    </w:p>
    <w:p w14:paraId="2AE55C21"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1.资本主义历史发展的两个阶段；</w:t>
      </w:r>
    </w:p>
    <w:p w14:paraId="3C0C1570"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2.金融资本和金融寡头的形成；</w:t>
      </w:r>
    </w:p>
    <w:p w14:paraId="369F3B6F"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3.国家垄断资本主义的特点及其实质；</w:t>
      </w:r>
    </w:p>
    <w:p w14:paraId="15B7F1AF"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4.经济全球化及其影响；</w:t>
      </w:r>
    </w:p>
    <w:p w14:paraId="4CBF90AE"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5.当代资本主义的新变化及其实质；</w:t>
      </w:r>
    </w:p>
    <w:p w14:paraId="6C1E2F56"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6.世界大变局下资本主义的矛盾与冲突；</w:t>
      </w:r>
    </w:p>
    <w:p w14:paraId="5D0AE50F"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7.资本主义的历史地位和历史发展必然性。</w:t>
      </w:r>
    </w:p>
    <w:p w14:paraId="0602632B"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【难点】</w:t>
      </w:r>
    </w:p>
    <w:p w14:paraId="24A31F9F"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1.国家垄断资本主义形成的原因和实质；</w:t>
      </w:r>
    </w:p>
    <w:p w14:paraId="2100D6AE"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2.二战后当代资本主义的新变化及实质；</w:t>
      </w:r>
    </w:p>
    <w:p w14:paraId="3838825D"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3.经济全球化与逆经济全球化；</w:t>
      </w:r>
    </w:p>
    <w:p w14:paraId="6AEE099E"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4.世界大变局下资本主义的矛盾与冲突；</w:t>
      </w:r>
    </w:p>
    <w:p w14:paraId="48F3D873"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5.资本主义的历史地位和历史发展趋势。</w:t>
      </w:r>
    </w:p>
    <w:p w14:paraId="4DC39CE7"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【教学方法】</w:t>
      </w:r>
    </w:p>
    <w:p w14:paraId="64671DB0"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1.通过多媒体课件和传统教学相结合，引导学生正确认识资本主义历史发展过程、历史地位及其发展趋势；</w:t>
      </w:r>
    </w:p>
    <w:p w14:paraId="62EAC59F"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2.通过案例分析，深化对资本主义发展变化及其实质的理解；</w:t>
      </w:r>
    </w:p>
    <w:p w14:paraId="63AC590C"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3.通过探究性学习研讨和自主学习，正确认识经济全球化发展及其趋势，把握世界大变局下资本主义的矛盾与冲突，辩证认识资本主义历史发展及其必然趋势。</w:t>
      </w:r>
    </w:p>
    <w:p w14:paraId="65E11DF7"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【复习思考】</w:t>
      </w:r>
    </w:p>
    <w:p w14:paraId="08476932" w14:textId="77777777" w:rsidR="00D71975" w:rsidRDefault="00D71975" w:rsidP="00D71975">
      <w:pPr>
        <w:snapToGrid w:val="0"/>
        <w:spacing w:line="440" w:lineRule="exact"/>
        <w:ind w:left="480"/>
        <w:rPr>
          <w:rFonts w:ascii="宋体" w:eastAsia="宋体" w:hAnsi="宋体" w:cs="Times New Roman"/>
          <w:color w:val="000000"/>
          <w:sz w:val="24"/>
          <w:szCs w:val="24"/>
        </w:rPr>
      </w:pPr>
      <w:r>
        <w:rPr>
          <w:rFonts w:ascii="宋体" w:eastAsia="宋体" w:hAnsi="宋体" w:cs="Times New Roman"/>
          <w:color w:val="000000"/>
          <w:sz w:val="24"/>
          <w:szCs w:val="24"/>
        </w:rPr>
        <w:t>1.</w:t>
      </w:r>
      <w:r>
        <w:rPr>
          <w:rFonts w:ascii="宋体" w:eastAsia="宋体" w:hAnsi="宋体" w:cs="Times New Roman" w:hint="eastAsia"/>
          <w:color w:val="000000"/>
          <w:sz w:val="24"/>
          <w:szCs w:val="24"/>
        </w:rPr>
        <w:t>资本主义发展经历了哪两个阶段？</w:t>
      </w:r>
    </w:p>
    <w:p w14:paraId="369B5C2F" w14:textId="77777777" w:rsidR="00D71975" w:rsidRDefault="00D71975" w:rsidP="00D71975">
      <w:pPr>
        <w:snapToGrid w:val="0"/>
        <w:spacing w:line="440" w:lineRule="exact"/>
        <w:ind w:left="480"/>
        <w:rPr>
          <w:rFonts w:ascii="宋体" w:eastAsia="宋体" w:hAnsi="宋体" w:cs="Times New Roman"/>
          <w:color w:val="000000"/>
          <w:sz w:val="24"/>
          <w:szCs w:val="24"/>
        </w:rPr>
      </w:pPr>
      <w:r>
        <w:rPr>
          <w:rFonts w:ascii="宋体" w:eastAsia="宋体" w:hAnsi="宋体" w:cs="Times New Roman"/>
          <w:color w:val="000000"/>
          <w:sz w:val="24"/>
          <w:szCs w:val="24"/>
        </w:rPr>
        <w:t>2.</w:t>
      </w:r>
      <w:r>
        <w:rPr>
          <w:rFonts w:ascii="宋体" w:eastAsia="宋体" w:hAnsi="宋体" w:cs="Times New Roman" w:hint="eastAsia"/>
          <w:color w:val="000000"/>
          <w:sz w:val="24"/>
          <w:szCs w:val="24"/>
        </w:rPr>
        <w:t>怎样看待国家垄断资本主义的实质？</w:t>
      </w:r>
    </w:p>
    <w:p w14:paraId="012C59AF" w14:textId="77777777" w:rsidR="00D71975" w:rsidRDefault="00D71975" w:rsidP="00D71975">
      <w:pPr>
        <w:snapToGrid w:val="0"/>
        <w:spacing w:line="440" w:lineRule="exact"/>
        <w:ind w:left="480"/>
        <w:rPr>
          <w:rFonts w:ascii="宋体" w:eastAsia="宋体" w:hAnsi="宋体" w:cs="Times New Roman"/>
          <w:color w:val="000000"/>
          <w:sz w:val="24"/>
          <w:szCs w:val="24"/>
        </w:rPr>
      </w:pPr>
      <w:r>
        <w:rPr>
          <w:rFonts w:ascii="宋体" w:eastAsia="宋体" w:hAnsi="宋体" w:cs="Times New Roman"/>
          <w:color w:val="000000"/>
          <w:sz w:val="24"/>
          <w:szCs w:val="24"/>
        </w:rPr>
        <w:t>3.</w:t>
      </w:r>
      <w:r>
        <w:rPr>
          <w:rFonts w:ascii="宋体" w:eastAsia="宋体" w:hAnsi="宋体" w:cs="Times New Roman" w:hint="eastAsia"/>
          <w:color w:val="000000"/>
          <w:sz w:val="24"/>
          <w:szCs w:val="24"/>
        </w:rPr>
        <w:t>如何认识经济全球化及其影响以及逆全球化现象？</w:t>
      </w:r>
    </w:p>
    <w:p w14:paraId="1D79438D" w14:textId="77777777" w:rsidR="00D71975" w:rsidRDefault="00D71975" w:rsidP="00D71975">
      <w:pPr>
        <w:snapToGrid w:val="0"/>
        <w:spacing w:line="440" w:lineRule="exact"/>
        <w:ind w:left="480"/>
        <w:rPr>
          <w:rFonts w:ascii="宋体" w:eastAsia="宋体" w:hAnsi="宋体" w:cs="Times New Roman"/>
          <w:color w:val="000000"/>
          <w:sz w:val="24"/>
          <w:szCs w:val="24"/>
        </w:rPr>
      </w:pPr>
      <w:r>
        <w:rPr>
          <w:rFonts w:ascii="宋体" w:eastAsia="宋体" w:hAnsi="宋体" w:cs="Times New Roman"/>
          <w:color w:val="000000"/>
          <w:sz w:val="24"/>
          <w:szCs w:val="24"/>
        </w:rPr>
        <w:t>4.</w:t>
      </w:r>
      <w:r>
        <w:rPr>
          <w:rFonts w:ascii="宋体" w:eastAsia="宋体" w:hAnsi="宋体" w:cs="Times New Roman" w:hint="eastAsia"/>
          <w:color w:val="000000"/>
          <w:sz w:val="24"/>
          <w:szCs w:val="24"/>
        </w:rPr>
        <w:t>怎样看待二战后当代资本主义的变化及实质？</w:t>
      </w:r>
    </w:p>
    <w:p w14:paraId="50213BCF" w14:textId="77777777" w:rsidR="00D71975" w:rsidRDefault="00D71975" w:rsidP="00D71975">
      <w:pPr>
        <w:snapToGrid w:val="0"/>
        <w:spacing w:line="440" w:lineRule="exact"/>
        <w:ind w:left="480"/>
        <w:rPr>
          <w:rFonts w:ascii="宋体" w:eastAsia="宋体" w:hAnsi="宋体" w:cs="Times New Roman"/>
          <w:color w:val="000000"/>
          <w:sz w:val="24"/>
          <w:szCs w:val="24"/>
        </w:rPr>
      </w:pPr>
      <w:r>
        <w:rPr>
          <w:rFonts w:ascii="宋体" w:eastAsia="宋体" w:hAnsi="宋体" w:cs="Times New Roman" w:hint="eastAsia"/>
          <w:color w:val="000000"/>
          <w:sz w:val="24"/>
          <w:szCs w:val="24"/>
        </w:rPr>
        <w:t>5.如何理解资本主义的历史地位及其为社会主义所取代的历史必然性？</w:t>
      </w:r>
    </w:p>
    <w:p w14:paraId="26005366" w14:textId="77777777" w:rsidR="00D71975" w:rsidRDefault="00D71975" w:rsidP="00D71975">
      <w:pPr>
        <w:snapToGrid w:val="0"/>
        <w:spacing w:before="187" w:after="187" w:line="440" w:lineRule="exact"/>
        <w:ind w:firstLineChars="200" w:firstLine="560"/>
        <w:jc w:val="center"/>
        <w:rPr>
          <w:rFonts w:ascii="黑体" w:eastAsia="黑体" w:hAnsi="黑体" w:cs="Times New Roman"/>
          <w:color w:val="000000"/>
          <w:sz w:val="28"/>
          <w:szCs w:val="28"/>
        </w:rPr>
      </w:pPr>
      <w:r>
        <w:rPr>
          <w:rFonts w:ascii="黑体" w:eastAsia="黑体" w:hAnsi="黑体" w:cs="Times New Roman"/>
          <w:color w:val="000000"/>
          <w:sz w:val="28"/>
          <w:szCs w:val="28"/>
        </w:rPr>
        <w:t>第六章　社会主义的发展及其规律</w:t>
      </w:r>
    </w:p>
    <w:p w14:paraId="758C2E18"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【学习目标】</w:t>
      </w:r>
    </w:p>
    <w:p w14:paraId="1DD137D8"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知类目标：学习和了解科学社会主义基本原理，把握社会主义从空想到科学、从理想到现实、从一国到多国五百年历史发展过程，了解科学社会主义基本原则，认识社会主义建设过程的长期性，明确社会主义道路发展的多样性，把握新时代中国特色社会主义在社会主义发展史上的里程碑意义；</w:t>
      </w:r>
    </w:p>
    <w:p w14:paraId="7E582D4F"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过程与方法类目标：体会社会主义五百年历史进程，比较空想社会主义和科学社会主义学说的区别，把握科学社会主义基本原则，社会主义从理想到现实、从一国到多国的历史进程，探究社会主义建设过程的长期性，认识社会主义在中国焕发蓬勃生机的重要意义；</w:t>
      </w:r>
    </w:p>
    <w:p w14:paraId="17CF39B8"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态度、价值观类目标：认识五百年社会主义历史进程，理解社会主义在中国焕发蓬勃生机的重要意义，坚定社会主义和中国特色社会主义信念，坚定“四个自信”，增进学生对中国特色社会主义的思想认同、政治认同、理论认同和情感认同，推进新时代中国特色社会主义事业走向光明未来。</w:t>
      </w:r>
    </w:p>
    <w:p w14:paraId="03E611CD"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lastRenderedPageBreak/>
        <w:t>【学习内容】</w:t>
      </w:r>
    </w:p>
    <w:p w14:paraId="2C45A3AA"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1.社会主义五百年历史进程；</w:t>
      </w:r>
    </w:p>
    <w:p w14:paraId="06A48176"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2.科学社会主义基本原则；</w:t>
      </w:r>
    </w:p>
    <w:p w14:paraId="70073107"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3.社会主义建设过程的长期性；</w:t>
      </w:r>
    </w:p>
    <w:p w14:paraId="5EF0DD57"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4.社会主义发展道路的多样性；</w:t>
      </w:r>
    </w:p>
    <w:p w14:paraId="59683FED"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5.社会主义在中国焕发出蓬勃生机；</w:t>
      </w:r>
    </w:p>
    <w:p w14:paraId="0F694177"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6.在实践中探索社会主义的发展规律。</w:t>
      </w:r>
    </w:p>
    <w:p w14:paraId="540127F4"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【重点】</w:t>
      </w:r>
    </w:p>
    <w:p w14:paraId="4B669E8C"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1.社会主义五百年历史进程；</w:t>
      </w:r>
    </w:p>
    <w:p w14:paraId="3ADD31B5"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2.科学社会主义基本原则；</w:t>
      </w:r>
    </w:p>
    <w:p w14:paraId="52C8C638"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3.社会主义建设过程的长期性；</w:t>
      </w:r>
    </w:p>
    <w:p w14:paraId="7B692789"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宋体" w:hint="eastAsia"/>
          <w:color w:val="000000"/>
          <w:sz w:val="24"/>
          <w:szCs w:val="24"/>
        </w:rPr>
        <w:t>4.中国特色社会主义成功实践的世界意义。</w:t>
      </w:r>
    </w:p>
    <w:p w14:paraId="0C1EA0C5"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【难点】</w:t>
      </w:r>
    </w:p>
    <w:p w14:paraId="0E0A4B8F"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1.科学社会主义基本原则与中国特色社会主义；</w:t>
      </w:r>
    </w:p>
    <w:p w14:paraId="3C0163F2"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2.社会主义建设过程的长期性；</w:t>
      </w:r>
    </w:p>
    <w:p w14:paraId="1C642132"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3.在实践中探索社会主义的发展规律。</w:t>
      </w:r>
    </w:p>
    <w:p w14:paraId="485A2C51"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【教学方法】</w:t>
      </w:r>
    </w:p>
    <w:p w14:paraId="4662FF42"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1.通过多媒体课件和传统教学相结合，引导学生正确看待社会主义五百年历史进程，深刻理解科学社会主义基本原则和社会主义现实实践的必然性和长期性；</w:t>
      </w:r>
    </w:p>
    <w:p w14:paraId="5EE76D07"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2.通过案例分析，促进学生深刻把握社会主义从理想到现实、从一国到多国的历史进程，正确认识社会主义实践的历史经验教训，深化对中国特色社会主义“四个自信”认识；</w:t>
      </w:r>
    </w:p>
    <w:p w14:paraId="6F4E8E84"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3.通过学生研讨、探究性学习和自主学习，深刻认识社会主义历史发展的必然性和长期性。</w:t>
      </w:r>
    </w:p>
    <w:p w14:paraId="33BE4A27"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【复习思考】</w:t>
      </w:r>
    </w:p>
    <w:p w14:paraId="262F78BC"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1.</w:t>
      </w:r>
      <w:r>
        <w:rPr>
          <w:rFonts w:ascii="宋体" w:eastAsia="宋体" w:hAnsi="宋体" w:cs="Times New Roman" w:hint="eastAsia"/>
          <w:color w:val="000000"/>
          <w:sz w:val="24"/>
          <w:szCs w:val="24"/>
        </w:rPr>
        <w:t>世界社会主义五百年，是风雨苍黄、沧海桑田的五百年，是栉风沐雨、探索前行的五百年。社会主义思想传承与演变是一个不断本土化、时代化的过程，请谈谈世界社会主义五百年历史发展演变的启示。</w:t>
      </w:r>
    </w:p>
    <w:p w14:paraId="0637917A"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2.</w:t>
      </w:r>
      <w:r>
        <w:rPr>
          <w:rFonts w:ascii="宋体" w:eastAsia="宋体" w:hAnsi="宋体" w:cs="Times New Roman" w:hint="eastAsia"/>
          <w:color w:val="000000"/>
          <w:sz w:val="24"/>
          <w:szCs w:val="24"/>
        </w:rPr>
        <w:t>联系实际，谈谈对科学社会主义基本原则是符合人类社会发展规律的正确理论原则的理解？</w:t>
      </w:r>
    </w:p>
    <w:p w14:paraId="1CD4AC3F"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3.</w:t>
      </w:r>
      <w:r>
        <w:rPr>
          <w:rFonts w:ascii="宋体" w:eastAsia="宋体" w:hAnsi="宋体" w:cs="Times New Roman" w:hint="eastAsia"/>
          <w:color w:val="000000"/>
          <w:sz w:val="24"/>
          <w:szCs w:val="24"/>
        </w:rPr>
        <w:t>习近平指出：“当代中国的伟大社会变革，不是简单延续我国历史文化的母版，</w:t>
      </w:r>
      <w:r>
        <w:rPr>
          <w:rFonts w:ascii="宋体" w:eastAsia="宋体" w:hAnsi="宋体" w:cs="Times New Roman" w:hint="eastAsia"/>
          <w:color w:val="000000"/>
          <w:sz w:val="24"/>
          <w:szCs w:val="24"/>
        </w:rPr>
        <w:lastRenderedPageBreak/>
        <w:t>不是简单套用马克思主义经典作家设想的模板，不是其他国家社会主义实践的再版，也不是国外现代化发展的翻版。”请结合这一重要论述谈谈中国特色社会主义对科学社会主义基本原则的发展。</w:t>
      </w:r>
    </w:p>
    <w:p w14:paraId="25E0A5D6"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4.</w:t>
      </w:r>
      <w:r>
        <w:rPr>
          <w:rFonts w:ascii="宋体" w:eastAsia="宋体" w:hAnsi="宋体" w:cs="Times New Roman" w:hint="eastAsia"/>
          <w:color w:val="000000"/>
          <w:sz w:val="24"/>
          <w:szCs w:val="24"/>
        </w:rPr>
        <w:t>科学社会主义在</w:t>
      </w:r>
      <w:r>
        <w:rPr>
          <w:rFonts w:ascii="宋体" w:eastAsia="宋体" w:hAnsi="宋体" w:cs="Times New Roman"/>
          <w:color w:val="000000"/>
          <w:sz w:val="24"/>
          <w:szCs w:val="24"/>
        </w:rPr>
        <w:t>21</w:t>
      </w:r>
      <w:r>
        <w:rPr>
          <w:rFonts w:ascii="宋体" w:eastAsia="宋体" w:hAnsi="宋体" w:cs="Times New Roman" w:hint="eastAsia"/>
          <w:color w:val="000000"/>
          <w:sz w:val="24"/>
          <w:szCs w:val="24"/>
        </w:rPr>
        <w:t>世纪的中国焕发出新的蓬勃生机，如何认识新时代十年的伟大变革在社会主义发展史上的里程碑意义？</w:t>
      </w:r>
    </w:p>
    <w:p w14:paraId="3646B804"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5.经过不懈努力，中国共产党找到了自我革命这一跳出治乱兴衰历史周期率的第二个答案。请结合共产党的执政规律，谈谈对执政党自我革命的理解。</w:t>
      </w:r>
    </w:p>
    <w:p w14:paraId="520E50E9" w14:textId="77777777" w:rsidR="00D71975" w:rsidRDefault="00D71975" w:rsidP="00D71975">
      <w:pPr>
        <w:snapToGrid w:val="0"/>
        <w:spacing w:line="440" w:lineRule="exact"/>
        <w:ind w:firstLineChars="200" w:firstLine="480"/>
        <w:rPr>
          <w:rFonts w:ascii="黑体" w:eastAsia="黑体" w:hAnsi="黑体" w:cs="Times New Roman"/>
          <w:color w:val="000000"/>
          <w:sz w:val="28"/>
          <w:szCs w:val="28"/>
        </w:rPr>
      </w:pPr>
      <w:r>
        <w:rPr>
          <w:rFonts w:ascii="宋体" w:eastAsia="宋体" w:hAnsi="宋体" w:cs="Times New Roman" w:hint="eastAsia"/>
          <w:color w:val="000000"/>
          <w:sz w:val="24"/>
          <w:szCs w:val="24"/>
        </w:rPr>
        <w:t>6.中国特色社会主义的成功实践有</w:t>
      </w:r>
      <w:proofErr w:type="gramStart"/>
      <w:r>
        <w:rPr>
          <w:rFonts w:ascii="宋体" w:eastAsia="宋体" w:hAnsi="宋体" w:cs="Times New Roman" w:hint="eastAsia"/>
          <w:color w:val="000000"/>
          <w:sz w:val="24"/>
          <w:szCs w:val="24"/>
        </w:rPr>
        <w:t>哪些世界</w:t>
      </w:r>
      <w:proofErr w:type="gramEnd"/>
      <w:r>
        <w:rPr>
          <w:rFonts w:ascii="宋体" w:eastAsia="宋体" w:hAnsi="宋体" w:cs="Times New Roman" w:hint="eastAsia"/>
          <w:color w:val="000000"/>
          <w:sz w:val="24"/>
          <w:szCs w:val="24"/>
        </w:rPr>
        <w:t>意义？</w:t>
      </w:r>
    </w:p>
    <w:p w14:paraId="0A42E439" w14:textId="77777777" w:rsidR="00D71975" w:rsidRDefault="00D71975" w:rsidP="00D71975">
      <w:pPr>
        <w:snapToGrid w:val="0"/>
        <w:spacing w:before="187" w:after="187" w:line="440" w:lineRule="exact"/>
        <w:ind w:firstLineChars="200" w:firstLine="560"/>
        <w:jc w:val="center"/>
        <w:rPr>
          <w:rFonts w:ascii="黑体" w:eastAsia="黑体" w:hAnsi="黑体" w:cs="Times New Roman"/>
          <w:color w:val="000000"/>
          <w:sz w:val="28"/>
          <w:szCs w:val="28"/>
        </w:rPr>
      </w:pPr>
      <w:r>
        <w:rPr>
          <w:rFonts w:ascii="黑体" w:eastAsia="黑体" w:hAnsi="黑体" w:cs="Times New Roman"/>
          <w:color w:val="000000"/>
          <w:sz w:val="28"/>
          <w:szCs w:val="28"/>
        </w:rPr>
        <w:t>第七章　共产主义崇高理想及其最终实现</w:t>
      </w:r>
    </w:p>
    <w:p w14:paraId="433A0F8F"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【学习目标】</w:t>
      </w:r>
    </w:p>
    <w:p w14:paraId="2573CB46"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1.认知类目标：学习和掌握马克思主义经典作家关于共产主义社会基本特征的科学预见，深刻认识共产主义实现的历史必然性和长期性，把握共产主义远大理想与中国特色社会主义共同理想的辩证关系；</w:t>
      </w:r>
    </w:p>
    <w:p w14:paraId="664A0C9A"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过程与方法类目标：学习和体会马克思主义经典作家预见未来社会的科学方法论原则，通过社会发展各形态比较，把握共产主义社会的基本特征和崇高社会理想，探究实现共产主义历史必然性及共产主义远大理想与中国特色社会主义共同理想的辩证关系；</w:t>
      </w:r>
    </w:p>
    <w:p w14:paraId="41D2576C" w14:textId="77777777" w:rsidR="00D71975" w:rsidRDefault="00D71975" w:rsidP="00D71975">
      <w:pPr>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3.情感、态度、价值观类目标：树立共产主义崇高理想，坚定共产主义和社会主义必胜信念，坚定中国特色社会主义共同理想，积极投身新时代中国特色社会主义建设事业。</w:t>
      </w:r>
    </w:p>
    <w:p w14:paraId="3D709E28"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【学习内容】</w:t>
      </w:r>
    </w:p>
    <w:p w14:paraId="247028CB"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1.预见未来社会的科学方法论原则；</w:t>
      </w:r>
    </w:p>
    <w:p w14:paraId="7DD9B96D"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2.共产主义社会的基本特征；</w:t>
      </w:r>
    </w:p>
    <w:p w14:paraId="24AB87F4"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3.实现共产主义是历史发展的必然；</w:t>
      </w:r>
    </w:p>
    <w:p w14:paraId="638B7122"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4.实现共产主义是长期的历史过程；</w:t>
      </w:r>
    </w:p>
    <w:p w14:paraId="778008DA"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5.坚持共产主义远大理想与中国特色社会主义共同理想的辩证统一；</w:t>
      </w:r>
    </w:p>
    <w:p w14:paraId="05E09BCB" w14:textId="77777777" w:rsidR="00D71975" w:rsidRDefault="00D71975" w:rsidP="00D71975">
      <w:pPr>
        <w:snapToGrid w:val="0"/>
        <w:spacing w:line="440" w:lineRule="exact"/>
        <w:ind w:left="480"/>
        <w:rPr>
          <w:rFonts w:ascii="宋体" w:eastAsia="宋体" w:hAnsi="宋体" w:cs="宋体"/>
          <w:color w:val="000000"/>
          <w:sz w:val="24"/>
          <w:szCs w:val="24"/>
        </w:rPr>
      </w:pPr>
      <w:r>
        <w:rPr>
          <w:rFonts w:ascii="宋体" w:eastAsia="宋体" w:hAnsi="宋体" w:cs="宋体" w:hint="eastAsia"/>
          <w:color w:val="000000"/>
          <w:sz w:val="24"/>
          <w:szCs w:val="24"/>
        </w:rPr>
        <w:t>6.坚定理想信念，积极投身新时代中国特色社会主义伟大事业。</w:t>
      </w:r>
    </w:p>
    <w:p w14:paraId="14C57352"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【重点】</w:t>
      </w:r>
    </w:p>
    <w:p w14:paraId="75E5C995"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1.共产主义社会的基本特征；</w:t>
      </w:r>
    </w:p>
    <w:p w14:paraId="0B734D32"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2.实现共产主义是历史发展的必然；</w:t>
      </w:r>
    </w:p>
    <w:p w14:paraId="61653893" w14:textId="77777777" w:rsidR="00D71975" w:rsidRDefault="00D71975" w:rsidP="00D71975">
      <w:pPr>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lastRenderedPageBreak/>
        <w:t>3.共产主义远大理想与中国特色社会主义共同理想的关系。</w:t>
      </w:r>
    </w:p>
    <w:p w14:paraId="03384F33"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【难点】</w:t>
      </w:r>
    </w:p>
    <w:p w14:paraId="22430B4E"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1.预见未来社会的科学方法论原则；</w:t>
      </w:r>
    </w:p>
    <w:p w14:paraId="01157686"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2.共产主义理想实现的必然性与长期性；</w:t>
      </w:r>
    </w:p>
    <w:p w14:paraId="2F70AC3A"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3.共产主义远大理想与中国特色社会主义共同理想的关系。</w:t>
      </w:r>
    </w:p>
    <w:p w14:paraId="108BF3BB"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【教学方法】</w:t>
      </w:r>
    </w:p>
    <w:p w14:paraId="641216EC"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1.通过多媒体课件和传统教学相结合，引导学生全面正确理解共产主义崇高理想；</w:t>
      </w:r>
    </w:p>
    <w:p w14:paraId="250656F5"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2.通过案例分析，提升学生理论思维能力，深化对共产主义基本特征、历史必然性与长期性的理解；</w:t>
      </w:r>
    </w:p>
    <w:p w14:paraId="7F42B07E"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3.通过学生自主探究性学习，使学生深刻认识远大理想与中国特色社会主义共同理想的辩证统一，引导学生坚定理想信念，积极投身新时代中国特色社会主义建设伟大事业。</w:t>
      </w:r>
    </w:p>
    <w:p w14:paraId="3C79DA85" w14:textId="77777777" w:rsidR="00D71975" w:rsidRDefault="00D71975" w:rsidP="00D71975">
      <w:pPr>
        <w:snapToGrid w:val="0"/>
        <w:spacing w:line="440" w:lineRule="exact"/>
        <w:ind w:firstLineChars="200" w:firstLine="482"/>
        <w:rPr>
          <w:rFonts w:ascii="宋体" w:eastAsia="宋体" w:hAnsi="宋体" w:cs="Times New Roman"/>
          <w:b/>
          <w:bCs/>
          <w:color w:val="000000"/>
          <w:sz w:val="24"/>
          <w:szCs w:val="24"/>
        </w:rPr>
      </w:pPr>
      <w:r>
        <w:rPr>
          <w:rFonts w:ascii="宋体" w:eastAsia="宋体" w:hAnsi="宋体" w:cs="Times New Roman"/>
          <w:b/>
          <w:bCs/>
          <w:color w:val="000000"/>
          <w:sz w:val="24"/>
          <w:szCs w:val="24"/>
        </w:rPr>
        <w:t>【复习思考】</w:t>
      </w:r>
    </w:p>
    <w:p w14:paraId="29C0E6D3" w14:textId="77777777" w:rsidR="00D71975" w:rsidRDefault="00D71975" w:rsidP="00D71975">
      <w:pPr>
        <w:widowControl/>
        <w:spacing w:line="400" w:lineRule="exact"/>
        <w:ind w:firstLineChars="200" w:firstLine="480"/>
        <w:jc w:val="left"/>
        <w:rPr>
          <w:rFonts w:ascii="宋体" w:eastAsia="宋体" w:hAnsi="宋体" w:cs="宋体"/>
          <w:sz w:val="24"/>
          <w:szCs w:val="24"/>
        </w:rPr>
      </w:pPr>
      <w:r>
        <w:rPr>
          <w:rFonts w:ascii="宋体" w:eastAsia="宋体" w:hAnsi="宋体" w:cs="宋体" w:hint="eastAsia"/>
          <w:color w:val="000000"/>
          <w:sz w:val="24"/>
          <w:szCs w:val="24"/>
        </w:rPr>
        <w:t>1.请谈谈在未来理想社会的认识上，马克思主义经典作家与空想社会主义者有何本质区别。</w:t>
      </w:r>
    </w:p>
    <w:p w14:paraId="68640391"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2.共产主义社会基本特征有哪些？</w:t>
      </w:r>
    </w:p>
    <w:p w14:paraId="5FE9C67D"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3.既然共产主义理想的实现是历史的必然，为什么又要人们去努力追求？既然共产主义的最终实现是一个漫长的过程，为什么又说“共产主义渺茫论”是错误的？请用马克思主义的辩证观点予以解答。</w:t>
      </w:r>
    </w:p>
    <w:p w14:paraId="26708A12"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 xml:space="preserve">4.有人说：“在社会主义初级阶段只能讲树立中国特色社会主义共同理想，而不应提树立共产主义远大理想，否则就是脱离实际。”请用共同理想和远大理想的关系来评析这一观点。 </w:t>
      </w:r>
    </w:p>
    <w:p w14:paraId="466D9427"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5.结合实际谈谈当代大学生怎样担当起新时代中国特色社会主义建设事业历史使命。</w:t>
      </w:r>
    </w:p>
    <w:p w14:paraId="74D97E2C" w14:textId="77777777" w:rsidR="00D71975" w:rsidRDefault="00D71975" w:rsidP="00D71975">
      <w:pPr>
        <w:snapToGrid w:val="0"/>
        <w:spacing w:beforeLines="50" w:before="156" w:afterLines="50" w:after="156" w:line="440" w:lineRule="exact"/>
        <w:ind w:firstLineChars="200" w:firstLine="560"/>
        <w:rPr>
          <w:rFonts w:ascii="仿宋" w:eastAsia="仿宋" w:hAnsi="仿宋"/>
          <w:sz w:val="24"/>
        </w:rPr>
      </w:pPr>
      <w:r>
        <w:rPr>
          <w:rFonts w:ascii="黑体" w:eastAsia="黑体" w:hAnsi="黑体" w:hint="eastAsia"/>
          <w:sz w:val="28"/>
          <w:szCs w:val="28"/>
        </w:rPr>
        <w:t>（二）课程学习内容与课程学习目标的对应关系</w:t>
      </w:r>
      <w:r>
        <w:rPr>
          <w:rFonts w:ascii="仿宋" w:eastAsia="仿宋" w:hAnsi="仿宋" w:hint="eastAsia"/>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D71975" w14:paraId="4B8A79DC" w14:textId="77777777" w:rsidTr="0078124E">
        <w:trPr>
          <w:trHeight w:val="660"/>
          <w:jc w:val="center"/>
        </w:trPr>
        <w:tc>
          <w:tcPr>
            <w:tcW w:w="3403" w:type="dxa"/>
            <w:vAlign w:val="center"/>
          </w:tcPr>
          <w:p w14:paraId="56CA4E4D" w14:textId="77777777" w:rsidR="00D71975" w:rsidRDefault="00D71975"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课程学习内容</w:t>
            </w:r>
          </w:p>
        </w:tc>
        <w:tc>
          <w:tcPr>
            <w:tcW w:w="2693" w:type="dxa"/>
            <w:vAlign w:val="center"/>
          </w:tcPr>
          <w:p w14:paraId="2A2AC49A" w14:textId="77777777" w:rsidR="00D71975" w:rsidRDefault="00D71975"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教学方法</w:t>
            </w:r>
          </w:p>
        </w:tc>
        <w:tc>
          <w:tcPr>
            <w:tcW w:w="1985" w:type="dxa"/>
            <w:vAlign w:val="center"/>
          </w:tcPr>
          <w:p w14:paraId="45C51F9D" w14:textId="77777777" w:rsidR="00D71975" w:rsidRDefault="00D71975"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支撑的课程目标</w:t>
            </w:r>
          </w:p>
        </w:tc>
        <w:tc>
          <w:tcPr>
            <w:tcW w:w="1276" w:type="dxa"/>
            <w:vAlign w:val="center"/>
          </w:tcPr>
          <w:p w14:paraId="365A9171" w14:textId="77777777" w:rsidR="00D71975" w:rsidRDefault="00D71975"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学时安排</w:t>
            </w:r>
          </w:p>
        </w:tc>
      </w:tr>
      <w:tr w:rsidR="00D71975" w14:paraId="7D42631F" w14:textId="77777777" w:rsidTr="0078124E">
        <w:trPr>
          <w:trHeight w:val="514"/>
          <w:jc w:val="center"/>
        </w:trPr>
        <w:tc>
          <w:tcPr>
            <w:tcW w:w="3403" w:type="dxa"/>
            <w:vAlign w:val="center"/>
          </w:tcPr>
          <w:p w14:paraId="1A71D6A6" w14:textId="77777777" w:rsidR="00D71975" w:rsidRDefault="00D71975"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sz w:val="24"/>
                <w:szCs w:val="24"/>
              </w:rPr>
              <w:t>导论</w:t>
            </w:r>
          </w:p>
        </w:tc>
        <w:tc>
          <w:tcPr>
            <w:tcW w:w="2693" w:type="dxa"/>
            <w:vAlign w:val="center"/>
          </w:tcPr>
          <w:p w14:paraId="1C445D19" w14:textId="77777777" w:rsidR="00D71975" w:rsidRDefault="00D71975" w:rsidP="0078124E">
            <w:pPr>
              <w:adjustRightInd w:val="0"/>
              <w:snapToGrid w:val="0"/>
              <w:spacing w:line="440" w:lineRule="exact"/>
              <w:jc w:val="left"/>
              <w:rPr>
                <w:rFonts w:ascii="宋体" w:eastAsia="宋体" w:hAnsi="宋体" w:cs="宋体"/>
                <w:color w:val="FF0000"/>
                <w:sz w:val="24"/>
                <w:szCs w:val="24"/>
              </w:rPr>
            </w:pPr>
            <w:r>
              <w:rPr>
                <w:rFonts w:ascii="宋体" w:eastAsia="宋体" w:hAnsi="宋体" w:cs="宋体" w:hint="eastAsia"/>
                <w:color w:val="000000"/>
                <w:kern w:val="0"/>
                <w:sz w:val="24"/>
                <w:szCs w:val="24"/>
              </w:rPr>
              <w:t>讲授法、案例教学、课堂研讨</w:t>
            </w:r>
          </w:p>
        </w:tc>
        <w:tc>
          <w:tcPr>
            <w:tcW w:w="1985" w:type="dxa"/>
            <w:vAlign w:val="center"/>
          </w:tcPr>
          <w:p w14:paraId="05B443CE" w14:textId="77777777" w:rsidR="00D71975" w:rsidRDefault="00D71975" w:rsidP="0078124E">
            <w:pPr>
              <w:adjustRightInd w:val="0"/>
              <w:snapToGrid w:val="0"/>
              <w:spacing w:line="440" w:lineRule="exact"/>
              <w:jc w:val="center"/>
              <w:rPr>
                <w:rFonts w:ascii="宋体" w:eastAsia="宋体" w:hAnsi="宋体" w:cs="宋体"/>
                <w:color w:val="FF0000"/>
                <w:sz w:val="24"/>
                <w:szCs w:val="24"/>
              </w:rPr>
            </w:pPr>
            <w:r>
              <w:rPr>
                <w:rFonts w:ascii="宋体" w:eastAsia="宋体" w:hAnsi="宋体" w:cs="宋体" w:hint="eastAsia"/>
                <w:color w:val="000000"/>
                <w:kern w:val="0"/>
                <w:sz w:val="24"/>
                <w:szCs w:val="24"/>
              </w:rPr>
              <w:t>课程目标1、2、3</w:t>
            </w:r>
          </w:p>
        </w:tc>
        <w:tc>
          <w:tcPr>
            <w:tcW w:w="1276" w:type="dxa"/>
            <w:vAlign w:val="center"/>
          </w:tcPr>
          <w:p w14:paraId="6F99E065" w14:textId="77777777" w:rsidR="00D71975" w:rsidRDefault="00D71975"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r>
              <w:rPr>
                <w:rFonts w:ascii="宋体" w:eastAsia="宋体" w:hAnsi="宋体" w:cs="宋体" w:hint="eastAsia"/>
                <w:color w:val="000000"/>
                <w:kern w:val="0"/>
                <w:sz w:val="24"/>
                <w:szCs w:val="24"/>
              </w:rPr>
              <w:t>学时</w:t>
            </w:r>
          </w:p>
        </w:tc>
      </w:tr>
      <w:tr w:rsidR="00D71975" w14:paraId="578A1024" w14:textId="77777777" w:rsidTr="0078124E">
        <w:trPr>
          <w:trHeight w:val="90"/>
          <w:jc w:val="center"/>
        </w:trPr>
        <w:tc>
          <w:tcPr>
            <w:tcW w:w="3403" w:type="dxa"/>
            <w:vAlign w:val="center"/>
          </w:tcPr>
          <w:p w14:paraId="76E193C5" w14:textId="77777777" w:rsidR="00D71975" w:rsidRDefault="00D71975"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sz w:val="24"/>
                <w:szCs w:val="24"/>
              </w:rPr>
              <w:t xml:space="preserve">第一章 </w:t>
            </w:r>
            <w:r>
              <w:rPr>
                <w:rFonts w:ascii="宋体" w:eastAsia="宋体" w:hAnsi="宋体" w:cs="宋体" w:hint="eastAsia"/>
                <w:color w:val="000000"/>
                <w:kern w:val="0"/>
                <w:sz w:val="24"/>
                <w:szCs w:val="24"/>
              </w:rPr>
              <w:t>世界的物质性及发展规律</w:t>
            </w:r>
          </w:p>
        </w:tc>
        <w:tc>
          <w:tcPr>
            <w:tcW w:w="2693" w:type="dxa"/>
            <w:vAlign w:val="center"/>
          </w:tcPr>
          <w:p w14:paraId="46EEE1FB" w14:textId="77777777" w:rsidR="00D71975" w:rsidRDefault="00D71975" w:rsidP="0078124E">
            <w:pPr>
              <w:adjustRightInd w:val="0"/>
              <w:snapToGrid w:val="0"/>
              <w:spacing w:line="440" w:lineRule="exact"/>
              <w:jc w:val="left"/>
              <w:rPr>
                <w:rFonts w:ascii="宋体" w:eastAsia="宋体" w:hAnsi="宋体" w:cs="宋体"/>
                <w:color w:val="FF0000"/>
                <w:sz w:val="24"/>
                <w:szCs w:val="24"/>
              </w:rPr>
            </w:pPr>
            <w:r>
              <w:rPr>
                <w:rFonts w:ascii="宋体" w:eastAsia="宋体" w:hAnsi="宋体" w:cs="宋体" w:hint="eastAsia"/>
                <w:color w:val="000000"/>
                <w:kern w:val="0"/>
                <w:sz w:val="24"/>
                <w:szCs w:val="24"/>
              </w:rPr>
              <w:t>讲授法、案例教学、探究性学习、课堂研讨、</w:t>
            </w:r>
            <w:r>
              <w:rPr>
                <w:rFonts w:ascii="宋体" w:eastAsia="宋体" w:hAnsi="宋体" w:cs="宋体" w:hint="eastAsia"/>
                <w:color w:val="000000"/>
                <w:kern w:val="0"/>
                <w:sz w:val="24"/>
                <w:szCs w:val="24"/>
              </w:rPr>
              <w:lastRenderedPageBreak/>
              <w:t>网络自学</w:t>
            </w:r>
          </w:p>
        </w:tc>
        <w:tc>
          <w:tcPr>
            <w:tcW w:w="1985" w:type="dxa"/>
            <w:vAlign w:val="center"/>
          </w:tcPr>
          <w:p w14:paraId="556025EF" w14:textId="77777777" w:rsidR="00D71975" w:rsidRDefault="00D71975" w:rsidP="0078124E">
            <w:pPr>
              <w:adjustRightInd w:val="0"/>
              <w:snapToGrid w:val="0"/>
              <w:spacing w:line="440" w:lineRule="exact"/>
              <w:jc w:val="center"/>
              <w:rPr>
                <w:rFonts w:ascii="宋体" w:eastAsia="宋体" w:hAnsi="宋体" w:cs="宋体"/>
                <w:color w:val="FF0000"/>
                <w:sz w:val="24"/>
                <w:szCs w:val="24"/>
              </w:rPr>
            </w:pPr>
            <w:r>
              <w:rPr>
                <w:rFonts w:ascii="宋体" w:eastAsia="宋体" w:hAnsi="宋体" w:cs="宋体" w:hint="eastAsia"/>
                <w:color w:val="000000"/>
                <w:kern w:val="0"/>
                <w:sz w:val="24"/>
                <w:szCs w:val="24"/>
              </w:rPr>
              <w:lastRenderedPageBreak/>
              <w:t>课程目标1、2、3</w:t>
            </w:r>
          </w:p>
        </w:tc>
        <w:tc>
          <w:tcPr>
            <w:tcW w:w="1276" w:type="dxa"/>
            <w:vAlign w:val="center"/>
          </w:tcPr>
          <w:p w14:paraId="649C342A" w14:textId="77777777" w:rsidR="00D71975" w:rsidRDefault="00D71975"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color w:val="000000"/>
                <w:kern w:val="0"/>
                <w:sz w:val="24"/>
                <w:szCs w:val="24"/>
              </w:rPr>
              <w:t>6学时</w:t>
            </w:r>
          </w:p>
        </w:tc>
      </w:tr>
      <w:tr w:rsidR="00D71975" w14:paraId="645F4E5A" w14:textId="77777777" w:rsidTr="0078124E">
        <w:trPr>
          <w:jc w:val="center"/>
        </w:trPr>
        <w:tc>
          <w:tcPr>
            <w:tcW w:w="3403" w:type="dxa"/>
            <w:vAlign w:val="center"/>
          </w:tcPr>
          <w:p w14:paraId="669A0998" w14:textId="77777777" w:rsidR="00D71975" w:rsidRDefault="00D71975"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sz w:val="24"/>
                <w:szCs w:val="24"/>
              </w:rPr>
              <w:t xml:space="preserve">第二章 </w:t>
            </w:r>
            <w:r>
              <w:rPr>
                <w:rFonts w:ascii="宋体" w:eastAsia="宋体" w:hAnsi="宋体" w:cs="宋体" w:hint="eastAsia"/>
                <w:color w:val="000000"/>
                <w:kern w:val="0"/>
                <w:sz w:val="24"/>
                <w:szCs w:val="24"/>
              </w:rPr>
              <w:t>实践与认识及其发展规律</w:t>
            </w:r>
          </w:p>
        </w:tc>
        <w:tc>
          <w:tcPr>
            <w:tcW w:w="2693" w:type="dxa"/>
            <w:vAlign w:val="center"/>
          </w:tcPr>
          <w:p w14:paraId="3E6F083A" w14:textId="77777777" w:rsidR="00D71975" w:rsidRDefault="00D71975" w:rsidP="0078124E">
            <w:pPr>
              <w:adjustRightInd w:val="0"/>
              <w:snapToGrid w:val="0"/>
              <w:spacing w:line="440" w:lineRule="exact"/>
              <w:jc w:val="left"/>
              <w:rPr>
                <w:rFonts w:ascii="宋体" w:eastAsia="宋体" w:hAnsi="宋体" w:cs="宋体"/>
                <w:color w:val="FF0000"/>
                <w:sz w:val="24"/>
                <w:szCs w:val="24"/>
              </w:rPr>
            </w:pPr>
            <w:r>
              <w:rPr>
                <w:rFonts w:ascii="宋体" w:eastAsia="宋体" w:hAnsi="宋体" w:cs="宋体" w:hint="eastAsia"/>
                <w:color w:val="000000"/>
                <w:kern w:val="0"/>
                <w:sz w:val="24"/>
                <w:szCs w:val="24"/>
              </w:rPr>
              <w:t>讲授法、案例教学、探究性学习、课堂研讨、网络自学</w:t>
            </w:r>
          </w:p>
        </w:tc>
        <w:tc>
          <w:tcPr>
            <w:tcW w:w="1985" w:type="dxa"/>
            <w:vAlign w:val="center"/>
          </w:tcPr>
          <w:p w14:paraId="449B6426" w14:textId="77777777" w:rsidR="00D71975" w:rsidRDefault="00D71975" w:rsidP="0078124E">
            <w:pPr>
              <w:adjustRightInd w:val="0"/>
              <w:snapToGrid w:val="0"/>
              <w:spacing w:line="440" w:lineRule="exact"/>
              <w:jc w:val="center"/>
              <w:rPr>
                <w:rFonts w:ascii="宋体" w:eastAsia="宋体" w:hAnsi="宋体" w:cs="宋体"/>
                <w:color w:val="FF0000"/>
                <w:sz w:val="24"/>
                <w:szCs w:val="24"/>
              </w:rPr>
            </w:pPr>
            <w:r>
              <w:rPr>
                <w:rFonts w:ascii="宋体" w:eastAsia="宋体" w:hAnsi="宋体" w:cs="宋体" w:hint="eastAsia"/>
                <w:color w:val="000000"/>
                <w:kern w:val="0"/>
                <w:sz w:val="24"/>
                <w:szCs w:val="24"/>
              </w:rPr>
              <w:t>课程目标1、2、3</w:t>
            </w:r>
          </w:p>
        </w:tc>
        <w:tc>
          <w:tcPr>
            <w:tcW w:w="1276" w:type="dxa"/>
            <w:vAlign w:val="center"/>
          </w:tcPr>
          <w:p w14:paraId="185DDFCC" w14:textId="77777777" w:rsidR="00D71975" w:rsidRDefault="00D71975"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5学时</w:t>
            </w:r>
          </w:p>
        </w:tc>
      </w:tr>
      <w:tr w:rsidR="00D71975" w14:paraId="75966FAA" w14:textId="77777777" w:rsidTr="0078124E">
        <w:trPr>
          <w:jc w:val="center"/>
        </w:trPr>
        <w:tc>
          <w:tcPr>
            <w:tcW w:w="3403" w:type="dxa"/>
            <w:vAlign w:val="center"/>
          </w:tcPr>
          <w:p w14:paraId="374DCA35" w14:textId="77777777" w:rsidR="00D71975" w:rsidRDefault="00D71975"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sz w:val="24"/>
                <w:szCs w:val="24"/>
              </w:rPr>
              <w:t xml:space="preserve">第三章 </w:t>
            </w:r>
            <w:r>
              <w:rPr>
                <w:rFonts w:ascii="宋体" w:eastAsia="宋体" w:hAnsi="宋体" w:cs="宋体" w:hint="eastAsia"/>
                <w:color w:val="000000"/>
                <w:kern w:val="0"/>
                <w:sz w:val="24"/>
                <w:szCs w:val="24"/>
              </w:rPr>
              <w:t>人类社会及其发展规律</w:t>
            </w:r>
          </w:p>
        </w:tc>
        <w:tc>
          <w:tcPr>
            <w:tcW w:w="2693" w:type="dxa"/>
            <w:vAlign w:val="center"/>
          </w:tcPr>
          <w:p w14:paraId="3E53223B" w14:textId="77777777" w:rsidR="00D71975" w:rsidRDefault="00D71975" w:rsidP="0078124E">
            <w:pPr>
              <w:adjustRightInd w:val="0"/>
              <w:snapToGrid w:val="0"/>
              <w:spacing w:line="440" w:lineRule="exact"/>
              <w:jc w:val="left"/>
              <w:rPr>
                <w:rFonts w:ascii="宋体" w:eastAsia="宋体" w:hAnsi="宋体" w:cs="宋体"/>
                <w:color w:val="FF0000"/>
                <w:sz w:val="24"/>
                <w:szCs w:val="24"/>
              </w:rPr>
            </w:pPr>
            <w:r>
              <w:rPr>
                <w:rFonts w:ascii="宋体" w:eastAsia="宋体" w:hAnsi="宋体" w:cs="宋体" w:hint="eastAsia"/>
                <w:color w:val="000000"/>
                <w:kern w:val="0"/>
                <w:sz w:val="24"/>
                <w:szCs w:val="24"/>
              </w:rPr>
              <w:t>讲授法、案例教学、课堂研讨、探究性学习、网络自学</w:t>
            </w:r>
          </w:p>
        </w:tc>
        <w:tc>
          <w:tcPr>
            <w:tcW w:w="1985" w:type="dxa"/>
            <w:vAlign w:val="center"/>
          </w:tcPr>
          <w:p w14:paraId="1654F625" w14:textId="77777777" w:rsidR="00D71975" w:rsidRDefault="00D71975" w:rsidP="0078124E">
            <w:pPr>
              <w:adjustRightInd w:val="0"/>
              <w:snapToGrid w:val="0"/>
              <w:spacing w:line="440" w:lineRule="exact"/>
              <w:jc w:val="center"/>
              <w:rPr>
                <w:rFonts w:ascii="宋体" w:eastAsia="宋体" w:hAnsi="宋体" w:cs="宋体"/>
                <w:color w:val="FF0000"/>
                <w:sz w:val="24"/>
                <w:szCs w:val="24"/>
              </w:rPr>
            </w:pPr>
            <w:r>
              <w:rPr>
                <w:rFonts w:ascii="宋体" w:eastAsia="宋体" w:hAnsi="宋体" w:cs="宋体" w:hint="eastAsia"/>
                <w:color w:val="000000"/>
                <w:kern w:val="0"/>
                <w:sz w:val="24"/>
                <w:szCs w:val="24"/>
              </w:rPr>
              <w:t>课程目标1、2、3</w:t>
            </w:r>
          </w:p>
        </w:tc>
        <w:tc>
          <w:tcPr>
            <w:tcW w:w="1276" w:type="dxa"/>
            <w:vAlign w:val="center"/>
          </w:tcPr>
          <w:p w14:paraId="5473B292" w14:textId="77777777" w:rsidR="00D71975" w:rsidRDefault="00D71975"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6学时</w:t>
            </w:r>
          </w:p>
        </w:tc>
      </w:tr>
      <w:tr w:rsidR="00D71975" w14:paraId="1DB8D83E" w14:textId="77777777" w:rsidTr="0078124E">
        <w:trPr>
          <w:jc w:val="center"/>
        </w:trPr>
        <w:tc>
          <w:tcPr>
            <w:tcW w:w="3403" w:type="dxa"/>
            <w:vAlign w:val="center"/>
          </w:tcPr>
          <w:p w14:paraId="2746CACA" w14:textId="77777777" w:rsidR="00D71975" w:rsidRDefault="00D71975"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color w:val="000000"/>
                <w:kern w:val="0"/>
                <w:sz w:val="24"/>
                <w:szCs w:val="24"/>
              </w:rPr>
              <w:t>第四章 资本主义的本质及规律</w:t>
            </w:r>
          </w:p>
        </w:tc>
        <w:tc>
          <w:tcPr>
            <w:tcW w:w="2693" w:type="dxa"/>
            <w:vAlign w:val="center"/>
          </w:tcPr>
          <w:p w14:paraId="61DE6EF0" w14:textId="77777777" w:rsidR="00D71975" w:rsidRDefault="00D71975"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color w:val="000000"/>
                <w:kern w:val="0"/>
                <w:sz w:val="24"/>
                <w:szCs w:val="24"/>
              </w:rPr>
              <w:t>讲授法、案例教学、课堂研讨、探究性学习、网络自学</w:t>
            </w:r>
          </w:p>
        </w:tc>
        <w:tc>
          <w:tcPr>
            <w:tcW w:w="1985" w:type="dxa"/>
            <w:vAlign w:val="center"/>
          </w:tcPr>
          <w:p w14:paraId="2D52D8F0" w14:textId="77777777" w:rsidR="00D71975" w:rsidRDefault="00D71975"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color w:val="000000"/>
                <w:kern w:val="0"/>
                <w:sz w:val="24"/>
                <w:szCs w:val="24"/>
              </w:rPr>
              <w:t>课程目标1、2、3</w:t>
            </w:r>
          </w:p>
        </w:tc>
        <w:tc>
          <w:tcPr>
            <w:tcW w:w="1276" w:type="dxa"/>
            <w:vAlign w:val="center"/>
          </w:tcPr>
          <w:p w14:paraId="5E592A4E" w14:textId="77777777" w:rsidR="00D71975" w:rsidRDefault="00D71975"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7学时</w:t>
            </w:r>
          </w:p>
        </w:tc>
      </w:tr>
      <w:tr w:rsidR="00D71975" w14:paraId="53481A9A" w14:textId="77777777" w:rsidTr="0078124E">
        <w:trPr>
          <w:jc w:val="center"/>
        </w:trPr>
        <w:tc>
          <w:tcPr>
            <w:tcW w:w="3403" w:type="dxa"/>
            <w:vAlign w:val="center"/>
          </w:tcPr>
          <w:p w14:paraId="574C7732" w14:textId="77777777" w:rsidR="00D71975" w:rsidRDefault="00D71975"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sz w:val="24"/>
                <w:szCs w:val="24"/>
              </w:rPr>
              <w:t xml:space="preserve">第五章 </w:t>
            </w:r>
            <w:r>
              <w:rPr>
                <w:rFonts w:ascii="宋体" w:eastAsia="宋体" w:hAnsi="宋体" w:cs="宋体" w:hint="eastAsia"/>
                <w:color w:val="000000"/>
                <w:kern w:val="0"/>
                <w:sz w:val="24"/>
                <w:szCs w:val="24"/>
              </w:rPr>
              <w:t>资本主义的发展及其趋势</w:t>
            </w:r>
          </w:p>
        </w:tc>
        <w:tc>
          <w:tcPr>
            <w:tcW w:w="2693" w:type="dxa"/>
            <w:vAlign w:val="center"/>
          </w:tcPr>
          <w:p w14:paraId="2B85AD9B" w14:textId="77777777" w:rsidR="00D71975" w:rsidRDefault="00D71975"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讲授法、案例教学、课堂研讨、探究性学习、网络自学</w:t>
            </w:r>
          </w:p>
        </w:tc>
        <w:tc>
          <w:tcPr>
            <w:tcW w:w="1985" w:type="dxa"/>
            <w:vAlign w:val="center"/>
          </w:tcPr>
          <w:p w14:paraId="4261D120" w14:textId="77777777" w:rsidR="00D71975" w:rsidRDefault="00D71975" w:rsidP="0078124E">
            <w:pPr>
              <w:adjustRightInd w:val="0"/>
              <w:snapToGrid w:val="0"/>
              <w:spacing w:line="440" w:lineRule="exact"/>
              <w:jc w:val="center"/>
              <w:rPr>
                <w:rFonts w:ascii="宋体" w:eastAsia="宋体" w:hAnsi="宋体" w:cs="宋体"/>
                <w:color w:val="FF0000"/>
                <w:sz w:val="24"/>
                <w:szCs w:val="24"/>
              </w:rPr>
            </w:pPr>
            <w:r>
              <w:rPr>
                <w:rFonts w:ascii="宋体" w:eastAsia="宋体" w:hAnsi="宋体" w:cs="宋体" w:hint="eastAsia"/>
                <w:color w:val="000000"/>
                <w:kern w:val="0"/>
                <w:sz w:val="24"/>
                <w:szCs w:val="24"/>
              </w:rPr>
              <w:t>课程目标1、2、3</w:t>
            </w:r>
          </w:p>
        </w:tc>
        <w:tc>
          <w:tcPr>
            <w:tcW w:w="1276" w:type="dxa"/>
            <w:vAlign w:val="center"/>
          </w:tcPr>
          <w:p w14:paraId="3DA08CD8" w14:textId="77777777" w:rsidR="00D71975" w:rsidRDefault="00D71975"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6学时</w:t>
            </w:r>
          </w:p>
        </w:tc>
      </w:tr>
      <w:tr w:rsidR="00D71975" w14:paraId="0440BA49" w14:textId="77777777" w:rsidTr="0078124E">
        <w:trPr>
          <w:jc w:val="center"/>
        </w:trPr>
        <w:tc>
          <w:tcPr>
            <w:tcW w:w="3403" w:type="dxa"/>
            <w:vAlign w:val="center"/>
          </w:tcPr>
          <w:p w14:paraId="10316183" w14:textId="77777777" w:rsidR="00D71975" w:rsidRDefault="00D71975"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sz w:val="24"/>
                <w:szCs w:val="24"/>
              </w:rPr>
              <w:t xml:space="preserve">第六章 </w:t>
            </w:r>
            <w:r>
              <w:rPr>
                <w:rFonts w:ascii="宋体" w:eastAsia="宋体" w:hAnsi="宋体" w:cs="宋体" w:hint="eastAsia"/>
                <w:color w:val="000000"/>
                <w:kern w:val="0"/>
                <w:sz w:val="24"/>
                <w:szCs w:val="24"/>
              </w:rPr>
              <w:t>社会主义的发展及其规律</w:t>
            </w:r>
          </w:p>
        </w:tc>
        <w:tc>
          <w:tcPr>
            <w:tcW w:w="2693" w:type="dxa"/>
            <w:vAlign w:val="center"/>
          </w:tcPr>
          <w:p w14:paraId="517690B7" w14:textId="77777777" w:rsidR="00D71975" w:rsidRDefault="00D71975" w:rsidP="0078124E">
            <w:pPr>
              <w:adjustRightInd w:val="0"/>
              <w:snapToGrid w:val="0"/>
              <w:spacing w:line="440" w:lineRule="exact"/>
              <w:jc w:val="left"/>
              <w:rPr>
                <w:rFonts w:ascii="宋体" w:eastAsia="宋体" w:hAnsi="宋体" w:cs="宋体"/>
                <w:color w:val="FF0000"/>
                <w:sz w:val="24"/>
                <w:szCs w:val="24"/>
              </w:rPr>
            </w:pPr>
            <w:r>
              <w:rPr>
                <w:rFonts w:ascii="宋体" w:eastAsia="宋体" w:hAnsi="宋体" w:cs="宋体" w:hint="eastAsia"/>
                <w:color w:val="000000"/>
                <w:kern w:val="0"/>
                <w:sz w:val="24"/>
                <w:szCs w:val="24"/>
              </w:rPr>
              <w:t>讲授法、案例教学、课堂研讨、探究性学习、网络自学</w:t>
            </w:r>
          </w:p>
        </w:tc>
        <w:tc>
          <w:tcPr>
            <w:tcW w:w="1985" w:type="dxa"/>
            <w:vAlign w:val="center"/>
          </w:tcPr>
          <w:p w14:paraId="4C9AAA2D" w14:textId="77777777" w:rsidR="00D71975" w:rsidRDefault="00D71975" w:rsidP="0078124E">
            <w:pPr>
              <w:adjustRightInd w:val="0"/>
              <w:snapToGrid w:val="0"/>
              <w:spacing w:line="440" w:lineRule="exact"/>
              <w:jc w:val="left"/>
              <w:rPr>
                <w:rFonts w:ascii="宋体" w:eastAsia="宋体" w:hAnsi="宋体" w:cs="宋体"/>
                <w:color w:val="FF0000"/>
                <w:sz w:val="24"/>
                <w:szCs w:val="24"/>
              </w:rPr>
            </w:pPr>
            <w:r>
              <w:rPr>
                <w:rFonts w:ascii="宋体" w:eastAsia="宋体" w:hAnsi="宋体" w:cs="宋体" w:hint="eastAsia"/>
                <w:color w:val="000000"/>
                <w:kern w:val="0"/>
                <w:sz w:val="24"/>
                <w:szCs w:val="24"/>
              </w:rPr>
              <w:t>课程目标1、2、3</w:t>
            </w:r>
          </w:p>
        </w:tc>
        <w:tc>
          <w:tcPr>
            <w:tcW w:w="1276" w:type="dxa"/>
            <w:vAlign w:val="center"/>
          </w:tcPr>
          <w:p w14:paraId="647F5730" w14:textId="77777777" w:rsidR="00D71975" w:rsidRDefault="00D71975"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4学时</w:t>
            </w:r>
          </w:p>
        </w:tc>
      </w:tr>
      <w:tr w:rsidR="00D71975" w14:paraId="553BD0C1" w14:textId="77777777" w:rsidTr="0078124E">
        <w:trPr>
          <w:jc w:val="center"/>
        </w:trPr>
        <w:tc>
          <w:tcPr>
            <w:tcW w:w="3403" w:type="dxa"/>
            <w:vAlign w:val="center"/>
          </w:tcPr>
          <w:p w14:paraId="423740EF" w14:textId="77777777" w:rsidR="00D71975" w:rsidRDefault="00D71975"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sz w:val="24"/>
                <w:szCs w:val="24"/>
              </w:rPr>
              <w:t xml:space="preserve">第七章 </w:t>
            </w:r>
            <w:r>
              <w:rPr>
                <w:rFonts w:ascii="宋体" w:eastAsia="宋体" w:hAnsi="宋体" w:cs="宋体" w:hint="eastAsia"/>
                <w:color w:val="000000"/>
                <w:kern w:val="0"/>
                <w:sz w:val="24"/>
                <w:szCs w:val="24"/>
              </w:rPr>
              <w:t>共产主义崇高理想及其最终实现</w:t>
            </w:r>
          </w:p>
        </w:tc>
        <w:tc>
          <w:tcPr>
            <w:tcW w:w="2693" w:type="dxa"/>
            <w:vAlign w:val="center"/>
          </w:tcPr>
          <w:p w14:paraId="5CC2F66D" w14:textId="77777777" w:rsidR="00D71975" w:rsidRDefault="00D71975"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color w:val="000000"/>
                <w:kern w:val="0"/>
                <w:sz w:val="24"/>
                <w:szCs w:val="24"/>
              </w:rPr>
              <w:t>讲授法、案例教学、课堂研讨、探究性学习、网络自学</w:t>
            </w:r>
          </w:p>
        </w:tc>
        <w:tc>
          <w:tcPr>
            <w:tcW w:w="1985" w:type="dxa"/>
            <w:vAlign w:val="center"/>
          </w:tcPr>
          <w:p w14:paraId="3E749920" w14:textId="77777777" w:rsidR="00D71975" w:rsidRDefault="00D71975"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color w:val="000000"/>
                <w:kern w:val="0"/>
                <w:sz w:val="24"/>
                <w:szCs w:val="24"/>
              </w:rPr>
              <w:t>课程目标1、2、3</w:t>
            </w:r>
          </w:p>
        </w:tc>
        <w:tc>
          <w:tcPr>
            <w:tcW w:w="1276" w:type="dxa"/>
            <w:vAlign w:val="center"/>
          </w:tcPr>
          <w:p w14:paraId="1A233F30" w14:textId="77777777" w:rsidR="00D71975" w:rsidRDefault="00D71975"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2学时</w:t>
            </w:r>
          </w:p>
        </w:tc>
      </w:tr>
      <w:tr w:rsidR="00D71975" w14:paraId="44FC016F" w14:textId="77777777" w:rsidTr="0078124E">
        <w:trPr>
          <w:jc w:val="center"/>
        </w:trPr>
        <w:tc>
          <w:tcPr>
            <w:tcW w:w="3403" w:type="dxa"/>
            <w:vAlign w:val="center"/>
          </w:tcPr>
          <w:p w14:paraId="72C45E6B" w14:textId="77777777" w:rsidR="00D71975" w:rsidRDefault="00D71975" w:rsidP="0078124E">
            <w:pPr>
              <w:adjustRightInd w:val="0"/>
              <w:snapToGrid w:val="0"/>
              <w:spacing w:line="440" w:lineRule="exact"/>
              <w:rPr>
                <w:rFonts w:ascii="宋体" w:eastAsia="宋体" w:hAnsi="宋体" w:cs="宋体"/>
                <w:sz w:val="24"/>
                <w:szCs w:val="24"/>
              </w:rPr>
            </w:pPr>
            <w:r>
              <w:rPr>
                <w:rFonts w:ascii="宋体" w:eastAsia="宋体" w:hAnsi="宋体" w:cs="宋体" w:hint="eastAsia"/>
                <w:color w:val="000000"/>
                <w:sz w:val="24"/>
                <w:szCs w:val="24"/>
              </w:rPr>
              <w:t>总复习</w:t>
            </w:r>
          </w:p>
        </w:tc>
        <w:tc>
          <w:tcPr>
            <w:tcW w:w="2693" w:type="dxa"/>
            <w:vAlign w:val="center"/>
          </w:tcPr>
          <w:p w14:paraId="726714B2" w14:textId="77777777" w:rsidR="00D71975" w:rsidRDefault="00D71975" w:rsidP="0078124E">
            <w:pPr>
              <w:adjustRightInd w:val="0"/>
              <w:snapToGrid w:val="0"/>
              <w:spacing w:line="440" w:lineRule="exact"/>
              <w:jc w:val="left"/>
              <w:rPr>
                <w:rFonts w:ascii="宋体" w:eastAsia="宋体" w:hAnsi="宋体" w:cs="宋体"/>
                <w:sz w:val="24"/>
                <w:szCs w:val="24"/>
              </w:rPr>
            </w:pPr>
          </w:p>
        </w:tc>
        <w:tc>
          <w:tcPr>
            <w:tcW w:w="1985" w:type="dxa"/>
            <w:vAlign w:val="center"/>
          </w:tcPr>
          <w:p w14:paraId="7791EB2B" w14:textId="77777777" w:rsidR="00D71975" w:rsidRDefault="00D71975" w:rsidP="0078124E">
            <w:pPr>
              <w:adjustRightInd w:val="0"/>
              <w:snapToGrid w:val="0"/>
              <w:spacing w:line="440" w:lineRule="exact"/>
              <w:jc w:val="left"/>
              <w:rPr>
                <w:rFonts w:ascii="宋体" w:eastAsia="宋体" w:hAnsi="宋体" w:cs="宋体"/>
                <w:sz w:val="24"/>
                <w:szCs w:val="24"/>
              </w:rPr>
            </w:pPr>
          </w:p>
        </w:tc>
        <w:tc>
          <w:tcPr>
            <w:tcW w:w="1276" w:type="dxa"/>
            <w:vAlign w:val="center"/>
          </w:tcPr>
          <w:p w14:paraId="33F7D03A" w14:textId="77777777" w:rsidR="00D71975" w:rsidRDefault="00D71975"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1学时</w:t>
            </w:r>
          </w:p>
        </w:tc>
      </w:tr>
      <w:tr w:rsidR="00D71975" w14:paraId="5CD04535" w14:textId="77777777" w:rsidTr="0078124E">
        <w:trPr>
          <w:jc w:val="center"/>
        </w:trPr>
        <w:tc>
          <w:tcPr>
            <w:tcW w:w="8081" w:type="dxa"/>
            <w:gridSpan w:val="3"/>
            <w:vAlign w:val="center"/>
          </w:tcPr>
          <w:p w14:paraId="12CFDA4A" w14:textId="77777777" w:rsidR="00D71975" w:rsidRDefault="00D71975" w:rsidP="0078124E">
            <w:pPr>
              <w:adjustRightInd w:val="0"/>
              <w:snapToGrid w:val="0"/>
              <w:spacing w:line="440" w:lineRule="exact"/>
              <w:jc w:val="center"/>
              <w:rPr>
                <w:rFonts w:ascii="宋体" w:eastAsia="宋体" w:hAnsi="宋体" w:cs="宋体"/>
                <w:b/>
                <w:sz w:val="24"/>
                <w:szCs w:val="24"/>
              </w:rPr>
            </w:pPr>
            <w:r>
              <w:rPr>
                <w:rFonts w:ascii="宋体" w:eastAsia="宋体" w:hAnsi="宋体" w:cs="宋体" w:hint="eastAsia"/>
                <w:b/>
                <w:sz w:val="24"/>
                <w:szCs w:val="24"/>
              </w:rPr>
              <w:t>合计</w:t>
            </w:r>
          </w:p>
        </w:tc>
        <w:tc>
          <w:tcPr>
            <w:tcW w:w="1276" w:type="dxa"/>
            <w:vAlign w:val="center"/>
          </w:tcPr>
          <w:p w14:paraId="4AF60FFD" w14:textId="77777777" w:rsidR="00D71975" w:rsidRDefault="00D71975"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40学时</w:t>
            </w:r>
          </w:p>
        </w:tc>
      </w:tr>
    </w:tbl>
    <w:p w14:paraId="3CFBFC76"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四、课程考核及与课程学习目标的对应关系</w:t>
      </w:r>
    </w:p>
    <w:p w14:paraId="2A111E86"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D71975" w14:paraId="3DEC15B3" w14:textId="77777777" w:rsidTr="0078124E">
        <w:trPr>
          <w:trHeight w:val="515"/>
          <w:jc w:val="center"/>
        </w:trPr>
        <w:tc>
          <w:tcPr>
            <w:tcW w:w="1422" w:type="dxa"/>
          </w:tcPr>
          <w:p w14:paraId="6DCCC47B" w14:textId="77777777" w:rsidR="00D71975" w:rsidRDefault="00D71975"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7918" w:type="dxa"/>
          </w:tcPr>
          <w:p w14:paraId="639A9FAA" w14:textId="77777777" w:rsidR="00D71975" w:rsidRDefault="00D71975"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考核内容</w:t>
            </w:r>
          </w:p>
        </w:tc>
      </w:tr>
      <w:tr w:rsidR="00D71975" w14:paraId="5340382E" w14:textId="77777777" w:rsidTr="0078124E">
        <w:trPr>
          <w:jc w:val="center"/>
        </w:trPr>
        <w:tc>
          <w:tcPr>
            <w:tcW w:w="1422" w:type="dxa"/>
            <w:vAlign w:val="center"/>
          </w:tcPr>
          <w:p w14:paraId="25093ECF" w14:textId="77777777" w:rsidR="00D71975" w:rsidRDefault="00D71975" w:rsidP="0078124E">
            <w:pPr>
              <w:spacing w:line="440" w:lineRule="exact"/>
              <w:jc w:val="center"/>
              <w:rPr>
                <w:rFonts w:ascii="宋体" w:eastAsia="宋体" w:hAnsi="宋体" w:cs="宋体"/>
                <w:bCs/>
                <w:sz w:val="24"/>
              </w:rPr>
            </w:pPr>
            <w:r>
              <w:rPr>
                <w:rFonts w:ascii="宋体" w:eastAsia="宋体" w:hAnsi="宋体" w:cs="宋体" w:hint="eastAsia"/>
                <w:bCs/>
                <w:sz w:val="24"/>
              </w:rPr>
              <w:t>课程目标1</w:t>
            </w:r>
          </w:p>
        </w:tc>
        <w:tc>
          <w:tcPr>
            <w:tcW w:w="7918" w:type="dxa"/>
            <w:vAlign w:val="center"/>
          </w:tcPr>
          <w:p w14:paraId="6EBB4950" w14:textId="77777777" w:rsidR="00D71975" w:rsidRDefault="00D71975" w:rsidP="0078124E">
            <w:pPr>
              <w:snapToGrid w:val="0"/>
              <w:rPr>
                <w:rFonts w:ascii="宋体" w:eastAsia="宋体" w:hAnsi="宋体" w:cs="宋体"/>
                <w:color w:val="000000"/>
                <w:kern w:val="0"/>
                <w:sz w:val="24"/>
                <w:szCs w:val="24"/>
              </w:rPr>
            </w:pPr>
            <w:r>
              <w:rPr>
                <w:rFonts w:ascii="宋体" w:eastAsia="宋体" w:hAnsi="宋体" w:cs="宋体" w:hint="eastAsia"/>
                <w:bCs/>
                <w:sz w:val="24"/>
              </w:rPr>
              <w:t>1.1</w:t>
            </w:r>
            <w:r>
              <w:rPr>
                <w:rFonts w:ascii="宋体" w:eastAsia="宋体" w:hAnsi="宋体" w:cs="宋体" w:hint="eastAsia"/>
                <w:color w:val="000000"/>
                <w:kern w:val="0"/>
                <w:sz w:val="24"/>
                <w:szCs w:val="24"/>
              </w:rPr>
              <w:t>识记和掌握马克思主义基本原理、观点、立场和方法；</w:t>
            </w:r>
          </w:p>
          <w:p w14:paraId="21F87228" w14:textId="77777777" w:rsidR="00D71975" w:rsidRDefault="00D71975" w:rsidP="0078124E">
            <w:pPr>
              <w:spacing w:line="440" w:lineRule="exact"/>
              <w:rPr>
                <w:rFonts w:ascii="宋体" w:eastAsia="宋体" w:hAnsi="宋体" w:cs="宋体"/>
                <w:color w:val="000000"/>
                <w:kern w:val="0"/>
                <w:sz w:val="24"/>
                <w:szCs w:val="24"/>
              </w:rPr>
            </w:pPr>
            <w:r>
              <w:rPr>
                <w:rFonts w:ascii="宋体" w:eastAsia="宋体" w:hAnsi="宋体" w:cs="宋体" w:hint="eastAsia"/>
                <w:color w:val="000000"/>
                <w:kern w:val="0"/>
                <w:sz w:val="24"/>
                <w:szCs w:val="24"/>
              </w:rPr>
              <w:t>1.2理解和把握人类社会发展规律、资本主义发展规律、社会主义发展规律。</w:t>
            </w:r>
          </w:p>
        </w:tc>
      </w:tr>
      <w:tr w:rsidR="00D71975" w14:paraId="65D59FAD" w14:textId="77777777" w:rsidTr="0078124E">
        <w:trPr>
          <w:jc w:val="center"/>
        </w:trPr>
        <w:tc>
          <w:tcPr>
            <w:tcW w:w="1422" w:type="dxa"/>
            <w:vAlign w:val="center"/>
          </w:tcPr>
          <w:p w14:paraId="61B819C5" w14:textId="77777777" w:rsidR="00D71975" w:rsidRDefault="00D71975" w:rsidP="0078124E">
            <w:pPr>
              <w:spacing w:line="440" w:lineRule="exact"/>
              <w:jc w:val="center"/>
              <w:rPr>
                <w:rFonts w:ascii="宋体" w:eastAsia="宋体" w:hAnsi="宋体" w:cs="宋体"/>
                <w:bCs/>
                <w:sz w:val="24"/>
              </w:rPr>
            </w:pPr>
            <w:r>
              <w:rPr>
                <w:rFonts w:ascii="宋体" w:eastAsia="宋体" w:hAnsi="宋体" w:cs="宋体" w:hint="eastAsia"/>
                <w:bCs/>
                <w:sz w:val="24"/>
              </w:rPr>
              <w:t>课程目标2</w:t>
            </w:r>
          </w:p>
        </w:tc>
        <w:tc>
          <w:tcPr>
            <w:tcW w:w="7918" w:type="dxa"/>
            <w:vAlign w:val="center"/>
          </w:tcPr>
          <w:p w14:paraId="6EC18B55" w14:textId="77777777" w:rsidR="00D71975" w:rsidRDefault="00D71975" w:rsidP="0078124E">
            <w:pPr>
              <w:spacing w:line="440" w:lineRule="exact"/>
              <w:rPr>
                <w:rFonts w:ascii="宋体" w:eastAsia="宋体" w:hAnsi="宋体" w:cs="宋体"/>
                <w:bCs/>
                <w:sz w:val="24"/>
              </w:rPr>
            </w:pPr>
            <w:r>
              <w:rPr>
                <w:rFonts w:ascii="宋体" w:eastAsia="宋体" w:hAnsi="宋体" w:cs="宋体" w:hint="eastAsia"/>
                <w:bCs/>
                <w:sz w:val="24"/>
              </w:rPr>
              <w:t>2.1理解和掌握辩证唯物主义和历史唯物主义世界观和方法论，具有马克思主义世界观、人生观和价值观；</w:t>
            </w:r>
          </w:p>
          <w:p w14:paraId="120B23E2" w14:textId="77777777" w:rsidR="00D71975" w:rsidRDefault="00D71975" w:rsidP="0078124E">
            <w:pPr>
              <w:spacing w:line="440" w:lineRule="exact"/>
              <w:rPr>
                <w:rFonts w:ascii="宋体" w:eastAsia="宋体" w:hAnsi="宋体" w:cs="宋体"/>
                <w:bCs/>
                <w:sz w:val="24"/>
              </w:rPr>
            </w:pPr>
            <w:r>
              <w:rPr>
                <w:rFonts w:ascii="宋体" w:eastAsia="宋体" w:hAnsi="宋体" w:cs="宋体" w:hint="eastAsia"/>
                <w:bCs/>
                <w:sz w:val="24"/>
              </w:rPr>
              <w:lastRenderedPageBreak/>
              <w:t>2.2</w:t>
            </w:r>
            <w:r>
              <w:rPr>
                <w:rFonts w:ascii="宋体" w:eastAsia="宋体" w:hAnsi="宋体" w:cs="宋体" w:hint="eastAsia"/>
                <w:color w:val="000000"/>
                <w:kern w:val="0"/>
                <w:sz w:val="24"/>
                <w:szCs w:val="24"/>
              </w:rPr>
              <w:t>形成反思和批判思维，具有问题意识，具备独立思考能力，具有一定理论思维能力；</w:t>
            </w:r>
          </w:p>
          <w:p w14:paraId="506C4D13" w14:textId="77777777" w:rsidR="00D71975" w:rsidRDefault="00D71975" w:rsidP="0078124E">
            <w:pPr>
              <w:spacing w:line="440" w:lineRule="exact"/>
              <w:rPr>
                <w:rFonts w:ascii="宋体" w:eastAsia="宋体" w:hAnsi="宋体" w:cs="宋体"/>
                <w:bCs/>
                <w:sz w:val="24"/>
              </w:rPr>
            </w:pPr>
            <w:r>
              <w:rPr>
                <w:rFonts w:ascii="宋体" w:eastAsia="宋体" w:hAnsi="宋体" w:cs="宋体" w:hint="eastAsia"/>
                <w:bCs/>
                <w:sz w:val="24"/>
              </w:rPr>
              <w:t>2.3能理论联系实际，内化于心、外化于行，自觉运用马克思主义立场、观点和方法观察、分析实际问题。在案例分析、探究性学习、课堂研讨和课堂展示等教学活动及实际分析、解决问题过程中，体现出正确的世界观、人生观、价值观和科学的方法论。</w:t>
            </w:r>
          </w:p>
        </w:tc>
      </w:tr>
      <w:tr w:rsidR="00D71975" w14:paraId="37778468" w14:textId="77777777" w:rsidTr="0078124E">
        <w:trPr>
          <w:jc w:val="center"/>
        </w:trPr>
        <w:tc>
          <w:tcPr>
            <w:tcW w:w="1422" w:type="dxa"/>
            <w:vAlign w:val="center"/>
          </w:tcPr>
          <w:p w14:paraId="4F5B9E84" w14:textId="77777777" w:rsidR="00D71975" w:rsidRDefault="00D71975" w:rsidP="0078124E">
            <w:pPr>
              <w:spacing w:line="440" w:lineRule="exact"/>
              <w:jc w:val="center"/>
              <w:rPr>
                <w:rFonts w:ascii="宋体" w:eastAsia="宋体" w:hAnsi="宋体" w:cs="宋体"/>
                <w:bCs/>
                <w:sz w:val="24"/>
              </w:rPr>
            </w:pPr>
            <w:r>
              <w:rPr>
                <w:rFonts w:ascii="宋体" w:eastAsia="宋体" w:hAnsi="宋体" w:cs="宋体" w:hint="eastAsia"/>
                <w:bCs/>
                <w:sz w:val="24"/>
              </w:rPr>
              <w:lastRenderedPageBreak/>
              <w:t>课程目标3</w:t>
            </w:r>
          </w:p>
        </w:tc>
        <w:tc>
          <w:tcPr>
            <w:tcW w:w="7918" w:type="dxa"/>
            <w:vAlign w:val="center"/>
          </w:tcPr>
          <w:p w14:paraId="08DD12A9" w14:textId="77777777" w:rsidR="00D71975" w:rsidRDefault="00D71975" w:rsidP="0078124E">
            <w:pPr>
              <w:spacing w:line="440" w:lineRule="exact"/>
              <w:rPr>
                <w:rFonts w:ascii="宋体" w:eastAsia="宋体" w:hAnsi="宋体" w:cs="宋体"/>
                <w:bCs/>
                <w:sz w:val="24"/>
              </w:rPr>
            </w:pPr>
            <w:r>
              <w:rPr>
                <w:rFonts w:ascii="宋体" w:eastAsia="宋体" w:hAnsi="宋体" w:cs="宋体" w:hint="eastAsia"/>
                <w:bCs/>
                <w:sz w:val="24"/>
              </w:rPr>
              <w:t>3.1</w:t>
            </w:r>
            <w:r>
              <w:rPr>
                <w:rFonts w:ascii="宋体" w:eastAsia="宋体" w:hAnsi="宋体" w:cs="宋体" w:hint="eastAsia"/>
                <w:color w:val="000000"/>
                <w:kern w:val="0"/>
                <w:sz w:val="24"/>
                <w:szCs w:val="24"/>
              </w:rPr>
              <w:t>具有马克思主义理想信仰，</w:t>
            </w:r>
            <w:r>
              <w:rPr>
                <w:rFonts w:ascii="宋体" w:eastAsia="宋体" w:hAnsi="宋体" w:cs="宋体" w:hint="eastAsia"/>
                <w:bCs/>
                <w:sz w:val="24"/>
              </w:rPr>
              <w:t>具有共产主义崇高理想和中国特色社会主义共同理想；</w:t>
            </w:r>
          </w:p>
          <w:p w14:paraId="242195AB" w14:textId="77777777" w:rsidR="00D71975" w:rsidRDefault="00D71975" w:rsidP="0078124E">
            <w:pPr>
              <w:spacing w:line="440" w:lineRule="exact"/>
              <w:rPr>
                <w:rFonts w:ascii="宋体" w:eastAsia="宋体" w:hAnsi="宋体" w:cs="宋体"/>
                <w:bCs/>
                <w:sz w:val="24"/>
              </w:rPr>
            </w:pPr>
            <w:r>
              <w:rPr>
                <w:rFonts w:ascii="宋体" w:eastAsia="宋体" w:hAnsi="宋体" w:cs="宋体" w:hint="eastAsia"/>
                <w:bCs/>
                <w:sz w:val="24"/>
              </w:rPr>
              <w:t>3.2能深刻理解和自觉贯彻新时代中国特色社会主义思想，对中国特色社会主义具有思想认同、政治认同、理论认同和情感认同，坚定中国特色社会主义道路自信、理论自信、制度自信和文化自信，积极投身新时代中国特色社会主义建设和中国</w:t>
            </w:r>
            <w:proofErr w:type="gramStart"/>
            <w:r>
              <w:rPr>
                <w:rFonts w:ascii="宋体" w:eastAsia="宋体" w:hAnsi="宋体" w:cs="宋体" w:hint="eastAsia"/>
                <w:bCs/>
                <w:sz w:val="24"/>
              </w:rPr>
              <w:t>梦伟大</w:t>
            </w:r>
            <w:proofErr w:type="gramEnd"/>
            <w:r>
              <w:rPr>
                <w:rFonts w:ascii="宋体" w:eastAsia="宋体" w:hAnsi="宋体" w:cs="宋体" w:hint="eastAsia"/>
                <w:bCs/>
                <w:sz w:val="24"/>
              </w:rPr>
              <w:t>事业。</w:t>
            </w:r>
          </w:p>
        </w:tc>
      </w:tr>
    </w:tbl>
    <w:p w14:paraId="7F1F67F6"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（二）课程考核方式</w:t>
      </w:r>
    </w:p>
    <w:p w14:paraId="72E454EE" w14:textId="77777777" w:rsidR="00D71975" w:rsidRDefault="00D71975" w:rsidP="00D71975">
      <w:pPr>
        <w:snapToGrid w:val="0"/>
        <w:spacing w:beforeLines="50" w:before="156" w:afterLines="50" w:after="156"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本课程采用过程性考核与结果性考核相结合，考核形式分为平时考核、期中考核和期末考核。平时考核包括课堂表现（包括考勤、课堂学习表现）、线上自主学习等；期中考核为阶段性测试，采用线上考试形式，期末考核为结课考核，采用闭卷考试形式。</w:t>
      </w:r>
    </w:p>
    <w:p w14:paraId="3C9B255F"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（三）课程目标达成评价方式及考核比例</w:t>
      </w:r>
    </w:p>
    <w:p w14:paraId="26F5918B" w14:textId="77777777" w:rsidR="00D71975" w:rsidRDefault="00D71975" w:rsidP="00D71975">
      <w:pPr>
        <w:snapToGrid w:val="0"/>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本课程考核方式及成绩比例为：课堂表现20%＋线上自主学习10%+期中考核20%＋期末考核50%；本课程有三个课程目标，考核方式及成绩比例分别为：</w:t>
      </w:r>
    </w:p>
    <w:p w14:paraId="35DD47C8" w14:textId="77777777" w:rsidR="00D71975" w:rsidRDefault="00D71975" w:rsidP="00D71975">
      <w:pPr>
        <w:spacing w:line="360" w:lineRule="auto"/>
        <w:rPr>
          <w:rFonts w:ascii="宋体" w:eastAsia="宋体" w:hAnsi="宋体" w:cs="宋体"/>
          <w:color w:val="000000"/>
          <w:sz w:val="24"/>
          <w:szCs w:val="24"/>
        </w:rPr>
      </w:pPr>
      <w:r>
        <w:rPr>
          <w:rFonts w:ascii="宋体" w:eastAsia="宋体" w:hAnsi="宋体" w:cs="宋体" w:hint="eastAsia"/>
          <w:color w:val="000000"/>
          <w:sz w:val="24"/>
          <w:szCs w:val="24"/>
        </w:rPr>
        <w:t xml:space="preserve">    课程目标1：线上自主学习10%＋期中考核10%＋期末考试（客观性题目&lt;单选题&gt;&lt;简答题&gt;）20%</w:t>
      </w:r>
    </w:p>
    <w:p w14:paraId="051785AC" w14:textId="77777777" w:rsidR="00D71975" w:rsidRDefault="00D71975" w:rsidP="00D71975">
      <w:pPr>
        <w:snapToGrid w:val="0"/>
        <w:spacing w:beforeLines="50" w:before="156" w:afterLines="50" w:after="156"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课程目标2：期中考核10%＋期末考试（客观性题目&lt;判断题&gt;&lt;多选题&gt;；主观性题目&lt;材料分析题&gt;）20%</w:t>
      </w:r>
    </w:p>
    <w:p w14:paraId="726FCBEE" w14:textId="77777777" w:rsidR="00D71975" w:rsidRDefault="00D71975" w:rsidP="00D71975">
      <w:pPr>
        <w:snapToGrid w:val="0"/>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课程目标3：课堂表现20%＋期末考试（主观性题目&lt;论述题&gt;）10%</w:t>
      </w:r>
    </w:p>
    <w:p w14:paraId="45EF6F5C"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如下图：</w:t>
      </w:r>
    </w:p>
    <w:p w14:paraId="0D8FE6AE" w14:textId="77777777" w:rsidR="00D71975" w:rsidRDefault="00D71975" w:rsidP="00D71975">
      <w:pPr>
        <w:rPr>
          <w:rFonts w:ascii="宋体" w:eastAsia="宋体" w:hAnsi="宋体" w:cs="宋体"/>
          <w:color w:val="000000"/>
          <w:sz w:val="24"/>
          <w:szCs w:val="24"/>
        </w:rPr>
      </w:pPr>
      <w:r>
        <w:rPr>
          <w:rFonts w:ascii="宋体" w:eastAsia="宋体" w:hAnsi="宋体" w:cs="宋体" w:hint="eastAsia"/>
          <w:color w:val="000000"/>
          <w:sz w:val="24"/>
          <w:szCs w:val="24"/>
        </w:rPr>
        <w:br w:type="page"/>
      </w:r>
    </w:p>
    <w:tbl>
      <w:tblPr>
        <w:tblStyle w:val="a9"/>
        <w:tblpPr w:leftFromText="180" w:rightFromText="180" w:vertAnchor="text" w:horzAnchor="page" w:tblpX="1795" w:tblpY="424"/>
        <w:tblOverlap w:val="never"/>
        <w:tblW w:w="0" w:type="auto"/>
        <w:tblLayout w:type="fixed"/>
        <w:tblCellMar>
          <w:top w:w="120" w:type="dxa"/>
          <w:left w:w="60" w:type="dxa"/>
          <w:bottom w:w="120" w:type="dxa"/>
          <w:right w:w="60" w:type="dxa"/>
        </w:tblCellMar>
        <w:tblLook w:val="04A0" w:firstRow="1" w:lastRow="0" w:firstColumn="1" w:lastColumn="0" w:noHBand="0" w:noVBand="1"/>
      </w:tblPr>
      <w:tblGrid>
        <w:gridCol w:w="1416"/>
        <w:gridCol w:w="1452"/>
        <w:gridCol w:w="1520"/>
        <w:gridCol w:w="1540"/>
        <w:gridCol w:w="1295"/>
        <w:gridCol w:w="995"/>
      </w:tblGrid>
      <w:tr w:rsidR="00D71975" w14:paraId="6E2253A5" w14:textId="77777777" w:rsidTr="0078124E">
        <w:trPr>
          <w:trHeight w:val="563"/>
        </w:trPr>
        <w:tc>
          <w:tcPr>
            <w:tcW w:w="1416" w:type="dxa"/>
            <w:vMerge w:val="restart"/>
            <w:tcBorders>
              <w:top w:val="single" w:sz="8" w:space="0" w:color="000000"/>
              <w:left w:val="single" w:sz="8" w:space="0" w:color="000000"/>
              <w:bottom w:val="single" w:sz="8" w:space="0" w:color="000000"/>
              <w:right w:val="single" w:sz="8" w:space="0" w:color="000000"/>
            </w:tcBorders>
            <w:vAlign w:val="center"/>
          </w:tcPr>
          <w:p w14:paraId="649154E9" w14:textId="77777777" w:rsidR="00D71975" w:rsidRDefault="00D71975" w:rsidP="0078124E">
            <w:pPr>
              <w:adjustRightInd w:val="0"/>
              <w:snapToGrid w:val="0"/>
              <w:spacing w:line="440" w:lineRule="exact"/>
              <w:jc w:val="center"/>
              <w:rPr>
                <w:rFonts w:ascii="宋体" w:eastAsia="宋体" w:hAnsi="宋体" w:cs="宋体"/>
                <w:b/>
                <w:bCs/>
                <w:color w:val="000000"/>
                <w:kern w:val="0"/>
                <w:sz w:val="24"/>
                <w:szCs w:val="24"/>
              </w:rPr>
            </w:pPr>
            <w:r>
              <w:rPr>
                <w:rFonts w:ascii="宋体" w:eastAsia="宋体" w:hAnsi="宋体" w:cs="宋体" w:hint="eastAsia"/>
                <w:b/>
                <w:bCs/>
                <w:color w:val="000000" w:themeColor="text1"/>
                <w:kern w:val="0"/>
                <w:sz w:val="24"/>
                <w:szCs w:val="24"/>
              </w:rPr>
              <w:lastRenderedPageBreak/>
              <w:t>课程目标</w:t>
            </w:r>
          </w:p>
        </w:tc>
        <w:tc>
          <w:tcPr>
            <w:tcW w:w="5807" w:type="dxa"/>
            <w:gridSpan w:val="4"/>
            <w:tcBorders>
              <w:top w:val="single" w:sz="8" w:space="0" w:color="000000"/>
              <w:left w:val="single" w:sz="8" w:space="0" w:color="000000"/>
              <w:bottom w:val="single" w:sz="8" w:space="0" w:color="000000"/>
              <w:right w:val="single" w:sz="8" w:space="0" w:color="000000"/>
            </w:tcBorders>
            <w:vAlign w:val="center"/>
          </w:tcPr>
          <w:p w14:paraId="36735539" w14:textId="77777777" w:rsidR="00D71975" w:rsidRDefault="00D71975"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考核方式及成绩比例（%）</w:t>
            </w:r>
          </w:p>
        </w:tc>
        <w:tc>
          <w:tcPr>
            <w:tcW w:w="995" w:type="dxa"/>
            <w:vMerge w:val="restart"/>
            <w:tcBorders>
              <w:top w:val="single" w:sz="8" w:space="0" w:color="000000"/>
              <w:left w:val="single" w:sz="8" w:space="0" w:color="000000"/>
              <w:right w:val="single" w:sz="8" w:space="0" w:color="000000"/>
            </w:tcBorders>
            <w:vAlign w:val="center"/>
          </w:tcPr>
          <w:p w14:paraId="019938BD" w14:textId="77777777" w:rsidR="00D71975" w:rsidRDefault="00D71975"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合计</w:t>
            </w:r>
          </w:p>
        </w:tc>
      </w:tr>
      <w:tr w:rsidR="00D71975" w14:paraId="5FEE6C86" w14:textId="77777777" w:rsidTr="0078124E">
        <w:trPr>
          <w:trHeight w:val="1498"/>
        </w:trPr>
        <w:tc>
          <w:tcPr>
            <w:tcW w:w="1416" w:type="dxa"/>
            <w:vMerge/>
            <w:tcBorders>
              <w:top w:val="single" w:sz="8" w:space="0" w:color="000000"/>
              <w:left w:val="single" w:sz="8" w:space="0" w:color="000000"/>
              <w:bottom w:val="single" w:sz="8" w:space="0" w:color="000000"/>
              <w:right w:val="single" w:sz="8" w:space="0" w:color="000000"/>
            </w:tcBorders>
            <w:vAlign w:val="center"/>
          </w:tcPr>
          <w:p w14:paraId="35EFC87F" w14:textId="77777777" w:rsidR="00D71975" w:rsidRDefault="00D71975" w:rsidP="0078124E">
            <w:pPr>
              <w:adjustRightInd w:val="0"/>
              <w:snapToGrid w:val="0"/>
              <w:spacing w:line="440" w:lineRule="exact"/>
              <w:jc w:val="center"/>
              <w:rPr>
                <w:rFonts w:ascii="宋体" w:eastAsia="宋体" w:hAnsi="宋体" w:cs="宋体"/>
                <w:color w:val="000000"/>
                <w:kern w:val="0"/>
                <w:sz w:val="24"/>
                <w:szCs w:val="24"/>
              </w:rPr>
            </w:pPr>
          </w:p>
        </w:tc>
        <w:tc>
          <w:tcPr>
            <w:tcW w:w="1452" w:type="dxa"/>
            <w:tcBorders>
              <w:top w:val="single" w:sz="8" w:space="0" w:color="000000"/>
              <w:left w:val="single" w:sz="8" w:space="0" w:color="000000"/>
              <w:bottom w:val="single" w:sz="8" w:space="0" w:color="000000"/>
              <w:right w:val="single" w:sz="8" w:space="0" w:color="000000"/>
            </w:tcBorders>
            <w:vAlign w:val="center"/>
          </w:tcPr>
          <w:p w14:paraId="4AEB7033" w14:textId="77777777" w:rsidR="00D71975" w:rsidRDefault="00D71975"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课堂表现</w:t>
            </w:r>
          </w:p>
          <w:p w14:paraId="453C39FB" w14:textId="77777777" w:rsidR="00D71975" w:rsidRDefault="00D71975"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（考勤、课堂学习表现）</w:t>
            </w:r>
          </w:p>
        </w:tc>
        <w:tc>
          <w:tcPr>
            <w:tcW w:w="1520" w:type="dxa"/>
            <w:tcBorders>
              <w:top w:val="single" w:sz="8" w:space="0" w:color="000000"/>
              <w:left w:val="single" w:sz="8" w:space="0" w:color="000000"/>
              <w:bottom w:val="single" w:sz="8" w:space="0" w:color="000000"/>
              <w:right w:val="single" w:sz="8" w:space="0" w:color="000000"/>
            </w:tcBorders>
            <w:vAlign w:val="center"/>
          </w:tcPr>
          <w:p w14:paraId="328929C7" w14:textId="77777777" w:rsidR="00D71975" w:rsidRDefault="00D71975"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线上自主学习</w:t>
            </w:r>
          </w:p>
        </w:tc>
        <w:tc>
          <w:tcPr>
            <w:tcW w:w="1540" w:type="dxa"/>
            <w:tcBorders>
              <w:top w:val="single" w:sz="8" w:space="0" w:color="000000"/>
              <w:left w:val="single" w:sz="8" w:space="0" w:color="000000"/>
              <w:bottom w:val="single" w:sz="8" w:space="0" w:color="000000"/>
              <w:right w:val="single" w:sz="8" w:space="0" w:color="000000"/>
            </w:tcBorders>
            <w:vAlign w:val="center"/>
          </w:tcPr>
          <w:p w14:paraId="531477BB" w14:textId="77777777" w:rsidR="00D71975" w:rsidRDefault="00D71975"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期中考核</w:t>
            </w:r>
          </w:p>
        </w:tc>
        <w:tc>
          <w:tcPr>
            <w:tcW w:w="1295" w:type="dxa"/>
            <w:tcBorders>
              <w:top w:val="single" w:sz="8" w:space="0" w:color="000000"/>
              <w:left w:val="single" w:sz="8" w:space="0" w:color="000000"/>
              <w:bottom w:val="single" w:sz="8" w:space="0" w:color="000000"/>
              <w:right w:val="single" w:sz="8" w:space="0" w:color="000000"/>
            </w:tcBorders>
            <w:vAlign w:val="center"/>
          </w:tcPr>
          <w:p w14:paraId="534222DD" w14:textId="77777777" w:rsidR="00D71975" w:rsidRDefault="00D71975"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期末考核</w:t>
            </w:r>
          </w:p>
        </w:tc>
        <w:tc>
          <w:tcPr>
            <w:tcW w:w="995" w:type="dxa"/>
            <w:vMerge/>
            <w:tcBorders>
              <w:left w:val="single" w:sz="8" w:space="0" w:color="000000"/>
              <w:bottom w:val="single" w:sz="8" w:space="0" w:color="000000"/>
              <w:right w:val="single" w:sz="8" w:space="0" w:color="000000"/>
            </w:tcBorders>
          </w:tcPr>
          <w:p w14:paraId="2B4061A3" w14:textId="77777777" w:rsidR="00D71975" w:rsidRDefault="00D71975" w:rsidP="0078124E">
            <w:pPr>
              <w:adjustRightInd w:val="0"/>
              <w:snapToGrid w:val="0"/>
              <w:spacing w:line="440" w:lineRule="exact"/>
              <w:jc w:val="center"/>
              <w:rPr>
                <w:rFonts w:ascii="宋体" w:eastAsia="宋体" w:hAnsi="宋体" w:cs="宋体"/>
                <w:color w:val="000000"/>
                <w:kern w:val="0"/>
                <w:sz w:val="24"/>
                <w:szCs w:val="24"/>
              </w:rPr>
            </w:pPr>
          </w:p>
        </w:tc>
      </w:tr>
      <w:tr w:rsidR="00D71975" w14:paraId="08C076E4" w14:textId="77777777" w:rsidTr="0078124E">
        <w:trPr>
          <w:trHeight w:val="565"/>
        </w:trPr>
        <w:tc>
          <w:tcPr>
            <w:tcW w:w="1416" w:type="dxa"/>
            <w:tcBorders>
              <w:top w:val="single" w:sz="8" w:space="0" w:color="000000"/>
              <w:left w:val="single" w:sz="8" w:space="0" w:color="000000"/>
              <w:bottom w:val="single" w:sz="8" w:space="0" w:color="000000"/>
              <w:right w:val="single" w:sz="8" w:space="0" w:color="000000"/>
            </w:tcBorders>
            <w:vAlign w:val="center"/>
          </w:tcPr>
          <w:p w14:paraId="58C6475D"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eastAsia="宋体" w:hAnsi="宋体" w:cs="Times New Roman"/>
                <w:color w:val="000000"/>
                <w:kern w:val="0"/>
                <w:sz w:val="24"/>
                <w:szCs w:val="24"/>
              </w:rPr>
              <w:t>课程目标1</w:t>
            </w:r>
          </w:p>
        </w:tc>
        <w:tc>
          <w:tcPr>
            <w:tcW w:w="1452" w:type="dxa"/>
            <w:tcBorders>
              <w:top w:val="single" w:sz="8" w:space="0" w:color="000000"/>
              <w:left w:val="single" w:sz="8" w:space="0" w:color="000000"/>
              <w:bottom w:val="single" w:sz="8" w:space="0" w:color="000000"/>
              <w:right w:val="single" w:sz="8" w:space="0" w:color="000000"/>
            </w:tcBorders>
            <w:vAlign w:val="center"/>
          </w:tcPr>
          <w:p w14:paraId="49ACB033"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p>
        </w:tc>
        <w:tc>
          <w:tcPr>
            <w:tcW w:w="1520" w:type="dxa"/>
            <w:tcBorders>
              <w:top w:val="single" w:sz="8" w:space="0" w:color="000000"/>
              <w:left w:val="single" w:sz="8" w:space="0" w:color="000000"/>
              <w:bottom w:val="single" w:sz="8" w:space="0" w:color="000000"/>
              <w:right w:val="single" w:sz="8" w:space="0" w:color="000000"/>
            </w:tcBorders>
            <w:vAlign w:val="center"/>
          </w:tcPr>
          <w:p w14:paraId="00F06036"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eastAsia="宋体" w:hAnsi="宋体" w:cs="Times New Roman"/>
                <w:color w:val="000000"/>
                <w:kern w:val="0"/>
                <w:sz w:val="24"/>
                <w:szCs w:val="24"/>
              </w:rPr>
              <w:t>10</w:t>
            </w:r>
          </w:p>
        </w:tc>
        <w:tc>
          <w:tcPr>
            <w:tcW w:w="1540" w:type="dxa"/>
            <w:tcBorders>
              <w:top w:val="single" w:sz="8" w:space="0" w:color="000000"/>
              <w:left w:val="single" w:sz="8" w:space="0" w:color="000000"/>
              <w:bottom w:val="single" w:sz="8" w:space="0" w:color="000000"/>
              <w:right w:val="single" w:sz="8" w:space="0" w:color="000000"/>
            </w:tcBorders>
            <w:vAlign w:val="center"/>
          </w:tcPr>
          <w:p w14:paraId="20A79644"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hAnsi="宋体" w:cs="Times New Roman" w:hint="eastAsia"/>
                <w:color w:val="000000"/>
                <w:kern w:val="0"/>
                <w:sz w:val="24"/>
                <w:szCs w:val="24"/>
              </w:rPr>
              <w:t>10</w:t>
            </w:r>
          </w:p>
        </w:tc>
        <w:tc>
          <w:tcPr>
            <w:tcW w:w="1295" w:type="dxa"/>
            <w:tcBorders>
              <w:top w:val="single" w:sz="8" w:space="0" w:color="000000"/>
              <w:left w:val="single" w:sz="8" w:space="0" w:color="000000"/>
              <w:bottom w:val="single" w:sz="8" w:space="0" w:color="000000"/>
              <w:right w:val="single" w:sz="8" w:space="0" w:color="000000"/>
            </w:tcBorders>
            <w:vAlign w:val="center"/>
          </w:tcPr>
          <w:p w14:paraId="583C6D58"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hAnsi="宋体" w:cs="Times New Roman" w:hint="eastAsia"/>
                <w:color w:val="000000"/>
                <w:kern w:val="0"/>
                <w:sz w:val="24"/>
                <w:szCs w:val="24"/>
              </w:rPr>
              <w:t>20</w:t>
            </w:r>
          </w:p>
        </w:tc>
        <w:tc>
          <w:tcPr>
            <w:tcW w:w="995" w:type="dxa"/>
            <w:tcBorders>
              <w:top w:val="single" w:sz="8" w:space="0" w:color="000000"/>
              <w:left w:val="single" w:sz="8" w:space="0" w:color="000000"/>
              <w:bottom w:val="single" w:sz="8" w:space="0" w:color="000000"/>
              <w:right w:val="single" w:sz="8" w:space="0" w:color="000000"/>
            </w:tcBorders>
          </w:tcPr>
          <w:p w14:paraId="213BA89E"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hAnsi="宋体" w:cs="Times New Roman" w:hint="eastAsia"/>
                <w:color w:val="000000"/>
                <w:kern w:val="0"/>
                <w:sz w:val="24"/>
                <w:szCs w:val="24"/>
              </w:rPr>
              <w:t>40</w:t>
            </w:r>
          </w:p>
        </w:tc>
      </w:tr>
      <w:tr w:rsidR="00D71975" w14:paraId="19D5889B" w14:textId="77777777" w:rsidTr="0078124E">
        <w:trPr>
          <w:trHeight w:val="565"/>
        </w:trPr>
        <w:tc>
          <w:tcPr>
            <w:tcW w:w="1416" w:type="dxa"/>
            <w:tcBorders>
              <w:top w:val="single" w:sz="8" w:space="0" w:color="000000"/>
              <w:left w:val="single" w:sz="8" w:space="0" w:color="000000"/>
              <w:bottom w:val="single" w:sz="8" w:space="0" w:color="000000"/>
              <w:right w:val="single" w:sz="8" w:space="0" w:color="000000"/>
            </w:tcBorders>
            <w:vAlign w:val="center"/>
          </w:tcPr>
          <w:p w14:paraId="5A9DB2DD"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eastAsia="宋体" w:hAnsi="宋体" w:cs="Times New Roman"/>
                <w:color w:val="000000"/>
                <w:kern w:val="0"/>
                <w:sz w:val="24"/>
                <w:szCs w:val="24"/>
              </w:rPr>
              <w:t>课程目标2</w:t>
            </w:r>
          </w:p>
        </w:tc>
        <w:tc>
          <w:tcPr>
            <w:tcW w:w="1452" w:type="dxa"/>
            <w:tcBorders>
              <w:top w:val="single" w:sz="8" w:space="0" w:color="000000"/>
              <w:left w:val="single" w:sz="8" w:space="0" w:color="000000"/>
              <w:bottom w:val="single" w:sz="8" w:space="0" w:color="000000"/>
              <w:right w:val="single" w:sz="8" w:space="0" w:color="000000"/>
            </w:tcBorders>
            <w:vAlign w:val="center"/>
          </w:tcPr>
          <w:p w14:paraId="6EE39E4D"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p>
        </w:tc>
        <w:tc>
          <w:tcPr>
            <w:tcW w:w="1520" w:type="dxa"/>
            <w:tcBorders>
              <w:top w:val="single" w:sz="8" w:space="0" w:color="000000"/>
              <w:left w:val="single" w:sz="8" w:space="0" w:color="000000"/>
              <w:bottom w:val="single" w:sz="8" w:space="0" w:color="000000"/>
              <w:right w:val="single" w:sz="8" w:space="0" w:color="000000"/>
            </w:tcBorders>
            <w:vAlign w:val="center"/>
          </w:tcPr>
          <w:p w14:paraId="2D3CDDE5"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p>
        </w:tc>
        <w:tc>
          <w:tcPr>
            <w:tcW w:w="1540" w:type="dxa"/>
            <w:tcBorders>
              <w:top w:val="single" w:sz="8" w:space="0" w:color="000000"/>
              <w:left w:val="single" w:sz="8" w:space="0" w:color="000000"/>
              <w:bottom w:val="single" w:sz="8" w:space="0" w:color="000000"/>
              <w:right w:val="single" w:sz="8" w:space="0" w:color="000000"/>
            </w:tcBorders>
            <w:vAlign w:val="center"/>
          </w:tcPr>
          <w:p w14:paraId="13195FA7"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eastAsia="宋体" w:hAnsi="宋体" w:cs="Times New Roman" w:hint="eastAsia"/>
                <w:color w:val="000000"/>
                <w:kern w:val="0"/>
                <w:sz w:val="24"/>
                <w:szCs w:val="24"/>
              </w:rPr>
              <w:t>10</w:t>
            </w:r>
          </w:p>
        </w:tc>
        <w:tc>
          <w:tcPr>
            <w:tcW w:w="1295" w:type="dxa"/>
            <w:tcBorders>
              <w:top w:val="single" w:sz="8" w:space="0" w:color="000000"/>
              <w:left w:val="single" w:sz="8" w:space="0" w:color="000000"/>
              <w:bottom w:val="single" w:sz="8" w:space="0" w:color="000000"/>
              <w:right w:val="single" w:sz="8" w:space="0" w:color="000000"/>
            </w:tcBorders>
            <w:vAlign w:val="center"/>
          </w:tcPr>
          <w:p w14:paraId="4F774BC1"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hAnsi="宋体" w:cs="Times New Roman" w:hint="eastAsia"/>
                <w:color w:val="000000"/>
                <w:kern w:val="0"/>
                <w:sz w:val="24"/>
                <w:szCs w:val="24"/>
              </w:rPr>
              <w:t>20</w:t>
            </w:r>
          </w:p>
        </w:tc>
        <w:tc>
          <w:tcPr>
            <w:tcW w:w="995" w:type="dxa"/>
            <w:tcBorders>
              <w:top w:val="single" w:sz="8" w:space="0" w:color="000000"/>
              <w:left w:val="single" w:sz="8" w:space="0" w:color="000000"/>
              <w:bottom w:val="single" w:sz="8" w:space="0" w:color="000000"/>
              <w:right w:val="single" w:sz="8" w:space="0" w:color="000000"/>
            </w:tcBorders>
          </w:tcPr>
          <w:p w14:paraId="2EA20CE5"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hAnsi="宋体" w:cs="Times New Roman" w:hint="eastAsia"/>
                <w:color w:val="000000"/>
                <w:kern w:val="0"/>
                <w:sz w:val="24"/>
                <w:szCs w:val="24"/>
              </w:rPr>
              <w:t>30</w:t>
            </w:r>
          </w:p>
        </w:tc>
      </w:tr>
      <w:tr w:rsidR="00D71975" w14:paraId="5168E872" w14:textId="77777777" w:rsidTr="0078124E">
        <w:trPr>
          <w:trHeight w:val="565"/>
        </w:trPr>
        <w:tc>
          <w:tcPr>
            <w:tcW w:w="1416" w:type="dxa"/>
            <w:tcBorders>
              <w:top w:val="single" w:sz="8" w:space="0" w:color="000000"/>
              <w:left w:val="single" w:sz="8" w:space="0" w:color="000000"/>
              <w:bottom w:val="single" w:sz="8" w:space="0" w:color="000000"/>
              <w:right w:val="single" w:sz="8" w:space="0" w:color="000000"/>
            </w:tcBorders>
            <w:vAlign w:val="center"/>
          </w:tcPr>
          <w:p w14:paraId="2FE66CDD"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eastAsia="宋体" w:hAnsi="宋体" w:cs="Times New Roman"/>
                <w:color w:val="000000"/>
                <w:kern w:val="0"/>
                <w:sz w:val="24"/>
                <w:szCs w:val="24"/>
              </w:rPr>
              <w:t>课程目标3</w:t>
            </w:r>
          </w:p>
        </w:tc>
        <w:tc>
          <w:tcPr>
            <w:tcW w:w="1452" w:type="dxa"/>
            <w:tcBorders>
              <w:top w:val="single" w:sz="8" w:space="0" w:color="000000"/>
              <w:left w:val="single" w:sz="8" w:space="0" w:color="000000"/>
              <w:bottom w:val="single" w:sz="8" w:space="0" w:color="000000"/>
              <w:right w:val="single" w:sz="8" w:space="0" w:color="000000"/>
            </w:tcBorders>
            <w:vAlign w:val="center"/>
          </w:tcPr>
          <w:p w14:paraId="35EB29DC"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eastAsia="宋体" w:hAnsi="宋体" w:cs="Times New Roman"/>
                <w:color w:val="000000"/>
                <w:kern w:val="0"/>
                <w:sz w:val="24"/>
                <w:szCs w:val="24"/>
              </w:rPr>
              <w:t>20</w:t>
            </w:r>
          </w:p>
        </w:tc>
        <w:tc>
          <w:tcPr>
            <w:tcW w:w="1520" w:type="dxa"/>
            <w:tcBorders>
              <w:top w:val="single" w:sz="8" w:space="0" w:color="000000"/>
              <w:left w:val="single" w:sz="8" w:space="0" w:color="000000"/>
              <w:bottom w:val="single" w:sz="8" w:space="0" w:color="000000"/>
              <w:right w:val="single" w:sz="8" w:space="0" w:color="000000"/>
            </w:tcBorders>
            <w:vAlign w:val="center"/>
          </w:tcPr>
          <w:p w14:paraId="19B1B304"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p>
        </w:tc>
        <w:tc>
          <w:tcPr>
            <w:tcW w:w="1540" w:type="dxa"/>
            <w:tcBorders>
              <w:top w:val="single" w:sz="8" w:space="0" w:color="000000"/>
              <w:left w:val="single" w:sz="8" w:space="0" w:color="000000"/>
              <w:bottom w:val="single" w:sz="8" w:space="0" w:color="000000"/>
              <w:right w:val="single" w:sz="8" w:space="0" w:color="000000"/>
            </w:tcBorders>
            <w:vAlign w:val="center"/>
          </w:tcPr>
          <w:p w14:paraId="512D6EFA"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p>
        </w:tc>
        <w:tc>
          <w:tcPr>
            <w:tcW w:w="1295" w:type="dxa"/>
            <w:tcBorders>
              <w:top w:val="single" w:sz="8" w:space="0" w:color="000000"/>
              <w:left w:val="single" w:sz="8" w:space="0" w:color="000000"/>
              <w:bottom w:val="single" w:sz="8" w:space="0" w:color="000000"/>
              <w:right w:val="single" w:sz="8" w:space="0" w:color="000000"/>
            </w:tcBorders>
            <w:vAlign w:val="center"/>
          </w:tcPr>
          <w:p w14:paraId="57075472"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eastAsia="宋体" w:hAnsi="宋体" w:cs="Times New Roman"/>
                <w:color w:val="000000"/>
                <w:kern w:val="0"/>
                <w:sz w:val="24"/>
                <w:szCs w:val="24"/>
              </w:rPr>
              <w:t>1</w:t>
            </w:r>
            <w:r>
              <w:rPr>
                <w:rFonts w:ascii="宋体" w:hAnsi="宋体" w:cs="Times New Roman" w:hint="eastAsia"/>
                <w:color w:val="000000"/>
                <w:kern w:val="0"/>
                <w:sz w:val="24"/>
                <w:szCs w:val="24"/>
              </w:rPr>
              <w:t>0</w:t>
            </w:r>
          </w:p>
        </w:tc>
        <w:tc>
          <w:tcPr>
            <w:tcW w:w="995" w:type="dxa"/>
            <w:tcBorders>
              <w:top w:val="single" w:sz="8" w:space="0" w:color="000000"/>
              <w:left w:val="single" w:sz="8" w:space="0" w:color="000000"/>
              <w:bottom w:val="single" w:sz="8" w:space="0" w:color="000000"/>
              <w:right w:val="single" w:sz="8" w:space="0" w:color="000000"/>
            </w:tcBorders>
          </w:tcPr>
          <w:p w14:paraId="4F3F7B45"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eastAsia="宋体" w:hAnsi="宋体" w:cs="Times New Roman"/>
                <w:color w:val="000000"/>
                <w:kern w:val="0"/>
                <w:sz w:val="24"/>
                <w:szCs w:val="24"/>
              </w:rPr>
              <w:t>30</w:t>
            </w:r>
          </w:p>
        </w:tc>
      </w:tr>
      <w:tr w:rsidR="00D71975" w14:paraId="6D9E24AB" w14:textId="77777777" w:rsidTr="0078124E">
        <w:trPr>
          <w:trHeight w:val="565"/>
        </w:trPr>
        <w:tc>
          <w:tcPr>
            <w:tcW w:w="1416" w:type="dxa"/>
            <w:tcBorders>
              <w:top w:val="single" w:sz="8" w:space="0" w:color="000000"/>
              <w:left w:val="single" w:sz="8" w:space="0" w:color="000000"/>
              <w:bottom w:val="single" w:sz="8" w:space="0" w:color="000000"/>
              <w:right w:val="single" w:sz="8" w:space="0" w:color="000000"/>
            </w:tcBorders>
            <w:vAlign w:val="center"/>
          </w:tcPr>
          <w:p w14:paraId="40AA4A36"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eastAsia="宋体" w:hAnsi="宋体" w:cs="Times New Roman"/>
                <w:color w:val="000000"/>
                <w:kern w:val="0"/>
                <w:sz w:val="24"/>
                <w:szCs w:val="24"/>
              </w:rPr>
              <w:t>合计</w:t>
            </w:r>
          </w:p>
        </w:tc>
        <w:tc>
          <w:tcPr>
            <w:tcW w:w="1452" w:type="dxa"/>
            <w:tcBorders>
              <w:top w:val="single" w:sz="8" w:space="0" w:color="000000"/>
              <w:left w:val="single" w:sz="8" w:space="0" w:color="000000"/>
              <w:bottom w:val="single" w:sz="8" w:space="0" w:color="000000"/>
              <w:right w:val="single" w:sz="8" w:space="0" w:color="000000"/>
            </w:tcBorders>
            <w:vAlign w:val="center"/>
          </w:tcPr>
          <w:p w14:paraId="5FEDC990"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eastAsia="宋体" w:hAnsi="宋体" w:cs="Times New Roman" w:hint="eastAsia"/>
                <w:color w:val="000000"/>
                <w:kern w:val="0"/>
                <w:sz w:val="24"/>
                <w:szCs w:val="24"/>
              </w:rPr>
              <w:t>20</w:t>
            </w:r>
          </w:p>
        </w:tc>
        <w:tc>
          <w:tcPr>
            <w:tcW w:w="1520" w:type="dxa"/>
            <w:tcBorders>
              <w:top w:val="single" w:sz="8" w:space="0" w:color="000000"/>
              <w:left w:val="single" w:sz="8" w:space="0" w:color="000000"/>
              <w:bottom w:val="single" w:sz="8" w:space="0" w:color="000000"/>
              <w:right w:val="single" w:sz="8" w:space="0" w:color="000000"/>
            </w:tcBorders>
            <w:vAlign w:val="center"/>
          </w:tcPr>
          <w:p w14:paraId="405A923F"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eastAsia="宋体" w:hAnsi="宋体" w:cs="Times New Roman" w:hint="eastAsia"/>
                <w:color w:val="000000"/>
                <w:kern w:val="0"/>
                <w:sz w:val="24"/>
                <w:szCs w:val="24"/>
              </w:rPr>
              <w:t>10</w:t>
            </w:r>
          </w:p>
        </w:tc>
        <w:tc>
          <w:tcPr>
            <w:tcW w:w="1540" w:type="dxa"/>
            <w:tcBorders>
              <w:top w:val="single" w:sz="8" w:space="0" w:color="000000"/>
              <w:left w:val="single" w:sz="8" w:space="0" w:color="000000"/>
              <w:bottom w:val="single" w:sz="8" w:space="0" w:color="000000"/>
              <w:right w:val="single" w:sz="8" w:space="0" w:color="000000"/>
            </w:tcBorders>
            <w:vAlign w:val="center"/>
          </w:tcPr>
          <w:p w14:paraId="6DA95B2B"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eastAsia="宋体" w:hAnsi="宋体" w:cs="Times New Roman"/>
                <w:color w:val="000000"/>
                <w:kern w:val="0"/>
                <w:sz w:val="24"/>
                <w:szCs w:val="24"/>
              </w:rPr>
              <w:t>20</w:t>
            </w:r>
          </w:p>
        </w:tc>
        <w:tc>
          <w:tcPr>
            <w:tcW w:w="1295" w:type="dxa"/>
            <w:tcBorders>
              <w:top w:val="single" w:sz="8" w:space="0" w:color="000000"/>
              <w:left w:val="single" w:sz="8" w:space="0" w:color="000000"/>
              <w:bottom w:val="single" w:sz="8" w:space="0" w:color="000000"/>
              <w:right w:val="single" w:sz="8" w:space="0" w:color="000000"/>
            </w:tcBorders>
            <w:vAlign w:val="center"/>
          </w:tcPr>
          <w:p w14:paraId="151B6A20"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eastAsia="宋体" w:hAnsi="宋体" w:cs="Times New Roman"/>
                <w:color w:val="000000"/>
                <w:kern w:val="0"/>
                <w:sz w:val="24"/>
                <w:szCs w:val="24"/>
              </w:rPr>
              <w:t>50</w:t>
            </w:r>
          </w:p>
        </w:tc>
        <w:tc>
          <w:tcPr>
            <w:tcW w:w="995" w:type="dxa"/>
            <w:tcBorders>
              <w:top w:val="single" w:sz="8" w:space="0" w:color="000000"/>
              <w:left w:val="single" w:sz="8" w:space="0" w:color="000000"/>
              <w:bottom w:val="single" w:sz="8" w:space="0" w:color="000000"/>
              <w:right w:val="single" w:sz="8" w:space="0" w:color="000000"/>
            </w:tcBorders>
          </w:tcPr>
          <w:p w14:paraId="57C2F782" w14:textId="77777777" w:rsidR="00D71975" w:rsidRDefault="00D71975" w:rsidP="0078124E">
            <w:pPr>
              <w:adjustRightInd w:val="0"/>
              <w:snapToGrid w:val="0"/>
              <w:spacing w:line="440" w:lineRule="exact"/>
              <w:jc w:val="center"/>
              <w:rPr>
                <w:rFonts w:ascii="宋体" w:eastAsia="宋体" w:hAnsi="宋体" w:cs="Times New Roman"/>
                <w:color w:val="000000"/>
                <w:kern w:val="0"/>
                <w:sz w:val="24"/>
                <w:szCs w:val="24"/>
              </w:rPr>
            </w:pPr>
            <w:r>
              <w:rPr>
                <w:rFonts w:ascii="宋体" w:eastAsia="宋体" w:hAnsi="宋体" w:cs="Times New Roman"/>
                <w:color w:val="000000"/>
                <w:kern w:val="0"/>
                <w:sz w:val="24"/>
                <w:szCs w:val="24"/>
              </w:rPr>
              <w:t>100</w:t>
            </w:r>
          </w:p>
        </w:tc>
      </w:tr>
    </w:tbl>
    <w:p w14:paraId="66F1AA48"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p>
    <w:p w14:paraId="601E773A" w14:textId="77777777" w:rsidR="00D71975" w:rsidRDefault="00D71975" w:rsidP="00D71975">
      <w:pPr>
        <w:snapToGrid w:val="0"/>
        <w:spacing w:before="187" w:after="187" w:line="440" w:lineRule="exact"/>
        <w:ind w:firstLineChars="200" w:firstLine="560"/>
        <w:rPr>
          <w:rFonts w:ascii="黑体" w:eastAsia="黑体" w:hAnsi="黑体"/>
          <w:sz w:val="28"/>
          <w:szCs w:val="28"/>
        </w:rPr>
      </w:pPr>
      <w:r>
        <w:rPr>
          <w:rFonts w:ascii="黑体" w:eastAsia="黑体" w:hAnsi="黑体" w:hint="eastAsia"/>
          <w:sz w:val="28"/>
          <w:szCs w:val="28"/>
        </w:rPr>
        <w:t>五、成绩评定</w:t>
      </w:r>
    </w:p>
    <w:p w14:paraId="0BD0DB91"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（一）总成绩评定</w:t>
      </w:r>
    </w:p>
    <w:p w14:paraId="668407F0"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总成绩=平时考核成绩×30%＋期中考核成绩20%＋期末考核成绩×50%。</w:t>
      </w:r>
    </w:p>
    <w:p w14:paraId="72318037" w14:textId="77777777" w:rsidR="00D71975" w:rsidRDefault="00D71975" w:rsidP="00D71975">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color w:val="000000"/>
          <w:sz w:val="24"/>
          <w:szCs w:val="24"/>
        </w:rPr>
        <w:t>备注：各部分考核成绩比例任课教师如有变化，须经教研室研究批准。</w:t>
      </w:r>
    </w:p>
    <w:p w14:paraId="7010ABBF"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（二）平时考核成绩评定</w:t>
      </w:r>
    </w:p>
    <w:p w14:paraId="4A99C2A3"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平时成绩（100%）=课堂表现（50%）＋线上自主学习（50%），其中，课堂表现=考勤（20%）＋课堂学习表现（30%）。</w:t>
      </w:r>
    </w:p>
    <w:p w14:paraId="07CCB19F"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（1）考勤情况：包括迟到、早退、请病假事假、旷课等课堂到课情况。无故超过三分之一学时未到课，则不能参加期末考试，需重修本课程；</w:t>
      </w:r>
    </w:p>
    <w:p w14:paraId="52C6E266"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（2）课堂学习表现：通过课堂纪律、课堂发言与提问、课堂讨论、学习小组研讨、</w:t>
      </w:r>
      <w:r>
        <w:rPr>
          <w:rFonts w:ascii="宋体" w:eastAsia="宋体" w:hAnsi="宋体" w:cs="宋体" w:hint="eastAsia"/>
          <w:color w:val="000000"/>
          <w:sz w:val="24"/>
        </w:rPr>
        <w:t>课堂作业、课后作业</w:t>
      </w:r>
      <w:r>
        <w:rPr>
          <w:rFonts w:ascii="宋体" w:eastAsia="宋体" w:hAnsi="宋体" w:cs="宋体" w:hint="eastAsia"/>
          <w:color w:val="000000"/>
          <w:sz w:val="24"/>
          <w:szCs w:val="24"/>
        </w:rPr>
        <w:t>等情况，来评价学生相关表现和能力；</w:t>
      </w:r>
    </w:p>
    <w:p w14:paraId="32E84164"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（3）线上自主学习情况：本课程采用课堂教学与线上自主学习相结合方式，学生</w:t>
      </w:r>
      <w:proofErr w:type="gramStart"/>
      <w:r>
        <w:rPr>
          <w:rFonts w:ascii="宋体" w:eastAsia="宋体" w:hAnsi="宋体" w:cs="宋体" w:hint="eastAsia"/>
          <w:color w:val="000000"/>
          <w:sz w:val="24"/>
          <w:szCs w:val="24"/>
        </w:rPr>
        <w:t>通过超星尔雅</w:t>
      </w:r>
      <w:proofErr w:type="gramEnd"/>
      <w:r>
        <w:rPr>
          <w:rFonts w:ascii="宋体" w:eastAsia="宋体" w:hAnsi="宋体" w:cs="宋体" w:hint="eastAsia"/>
          <w:color w:val="000000"/>
          <w:sz w:val="24"/>
          <w:szCs w:val="24"/>
        </w:rPr>
        <w:t>学习通网络教学平台，在规定时间内，按照要求完成在线学习教学内</w:t>
      </w:r>
      <w:r>
        <w:rPr>
          <w:rFonts w:ascii="宋体" w:eastAsia="宋体" w:hAnsi="宋体" w:cs="宋体" w:hint="eastAsia"/>
          <w:color w:val="000000"/>
          <w:sz w:val="24"/>
          <w:szCs w:val="24"/>
        </w:rPr>
        <w:lastRenderedPageBreak/>
        <w:t>容，包括观看相关视频，学习辅导和拓展资料等。学生在线学习考核由网络教学平台根据学生学习时间、表现和效果等情况综合评定；</w:t>
      </w:r>
    </w:p>
    <w:p w14:paraId="1321671B"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（三）期中考核成绩评定</w:t>
      </w:r>
    </w:p>
    <w:p w14:paraId="037D3F1E" w14:textId="77777777" w:rsidR="00D71975" w:rsidRDefault="00D71975" w:rsidP="00D71975">
      <w:pPr>
        <w:snapToGrid w:val="0"/>
        <w:spacing w:beforeLines="50" w:before="156" w:afterLines="50" w:after="156"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根据课程教学情况进行期中阶段性考核，</w:t>
      </w:r>
      <w:proofErr w:type="gramStart"/>
      <w:r>
        <w:rPr>
          <w:rFonts w:ascii="宋体" w:eastAsia="宋体" w:hAnsi="宋体" w:cs="宋体" w:hint="eastAsia"/>
          <w:color w:val="000000"/>
          <w:sz w:val="24"/>
        </w:rPr>
        <w:t>通过超星尔雅</w:t>
      </w:r>
      <w:proofErr w:type="gramEnd"/>
      <w:r>
        <w:rPr>
          <w:rFonts w:ascii="宋体" w:eastAsia="宋体" w:hAnsi="宋体" w:cs="宋体" w:hint="eastAsia"/>
          <w:color w:val="000000"/>
          <w:sz w:val="24"/>
        </w:rPr>
        <w:t>学习通网络教学平台进行，要求学生在规定时间内完成考试，考核学生</w:t>
      </w:r>
      <w:proofErr w:type="gramStart"/>
      <w:r>
        <w:rPr>
          <w:rFonts w:ascii="宋体" w:eastAsia="宋体" w:hAnsi="宋体" w:cs="宋体" w:hint="eastAsia"/>
          <w:color w:val="000000"/>
          <w:sz w:val="24"/>
        </w:rPr>
        <w:t>在阶段</w:t>
      </w:r>
      <w:proofErr w:type="gramEnd"/>
      <w:r>
        <w:rPr>
          <w:rFonts w:ascii="宋体" w:eastAsia="宋体" w:hAnsi="宋体" w:cs="宋体" w:hint="eastAsia"/>
          <w:color w:val="000000"/>
          <w:sz w:val="24"/>
        </w:rPr>
        <w:t>内学习掌握课程情况。满分100分。</w:t>
      </w:r>
    </w:p>
    <w:p w14:paraId="76EB203C"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（四）期末考核成绩评定</w:t>
      </w:r>
    </w:p>
    <w:p w14:paraId="3540A2CC" w14:textId="77777777" w:rsidR="00D71975" w:rsidRDefault="00D71975" w:rsidP="00D71975">
      <w:pPr>
        <w:snapToGrid w:val="0"/>
        <w:spacing w:beforeLines="50" w:before="156" w:afterLines="50" w:after="156"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期末考核为闭卷考试，试题命题按照学校要求，依据教学大纲制定，并根据实际教学情况有所侧重，命题范围涵盖全部教材，坚持知识与能力并重原则，</w:t>
      </w:r>
      <w:proofErr w:type="gramStart"/>
      <w:r>
        <w:rPr>
          <w:rFonts w:ascii="宋体" w:eastAsia="宋体" w:hAnsi="宋体" w:cs="宋体" w:hint="eastAsia"/>
          <w:color w:val="000000"/>
          <w:sz w:val="24"/>
        </w:rPr>
        <w:t>既考察</w:t>
      </w:r>
      <w:proofErr w:type="gramEnd"/>
      <w:r>
        <w:rPr>
          <w:rFonts w:ascii="宋体" w:eastAsia="宋体" w:hAnsi="宋体" w:cs="宋体" w:hint="eastAsia"/>
          <w:color w:val="000000"/>
          <w:sz w:val="24"/>
        </w:rPr>
        <w:t>学生对马克思主义基本概念和原理识记性、理解性客观性知识，也注重培养学生运用马克思主义基本原理分析、解决实际问题的能力。满分100分。</w:t>
      </w:r>
    </w:p>
    <w:p w14:paraId="0BB22F79"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六、使用教材、相关推荐书目及课程资源</w:t>
      </w:r>
    </w:p>
    <w:p w14:paraId="4DD3F3BF"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（一）使用教材</w:t>
      </w:r>
    </w:p>
    <w:p w14:paraId="573AC877" w14:textId="77777777" w:rsidR="00D71975" w:rsidRDefault="00D71975" w:rsidP="00D71975">
      <w:pPr>
        <w:snapToGrid w:val="0"/>
        <w:spacing w:before="187" w:after="187" w:line="440" w:lineRule="exact"/>
        <w:ind w:firstLineChars="200" w:firstLine="480"/>
        <w:rPr>
          <w:rFonts w:ascii="黑体" w:eastAsia="黑体" w:hAnsi="黑体"/>
          <w:sz w:val="28"/>
          <w:szCs w:val="28"/>
        </w:rPr>
      </w:pPr>
      <w:r>
        <w:rPr>
          <w:rFonts w:ascii="宋体" w:eastAsia="宋体" w:hAnsi="宋体" w:cs="宋体" w:hint="eastAsia"/>
          <w:color w:val="000000"/>
          <w:sz w:val="24"/>
        </w:rPr>
        <w:t>马克思主义理论研究和建设工程重点教材：《马克思主义基本原理》，高等教育出版社，2023年版。</w:t>
      </w:r>
    </w:p>
    <w:p w14:paraId="05297485"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（二）相关推荐书目</w:t>
      </w:r>
    </w:p>
    <w:p w14:paraId="2267CC63"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1.《马克思恩格斯选集》（第1—4卷），人民出版社，2012年版；</w:t>
      </w:r>
    </w:p>
    <w:p w14:paraId="0318C30B"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2.《马克思恩格斯全集》（第1,2,3,4，25,44,45,46卷），人民出版社，2001—2003年版；</w:t>
      </w:r>
    </w:p>
    <w:p w14:paraId="67FF1EA3"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 xml:space="preserve">3.《列宁选集》（第1—3卷），人民出版社，1995年版； </w:t>
      </w:r>
    </w:p>
    <w:p w14:paraId="41474269"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4.《毛泽东选集》（第1—4卷），人民出版社，1991年版；</w:t>
      </w:r>
    </w:p>
    <w:p w14:paraId="65CB95E7"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5.《邓小平文选》（第1—3卷），人民出版社，1993—1994年版；</w:t>
      </w:r>
    </w:p>
    <w:p w14:paraId="4E429E00"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6.《江泽民文选》（第1—3卷），人民出版社，2006年版；</w:t>
      </w:r>
    </w:p>
    <w:p w14:paraId="6CB45318"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7.《胡锦涛文选》（第1—3卷），人民出版社，2016年版；</w:t>
      </w:r>
    </w:p>
    <w:p w14:paraId="5CE4AB8A"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8.习近平：《高举中国特色社会主义伟大旗帜，为全面建设社会主义现代化国家而团结奋斗——在中国共产党第二十次全国代表大会上的报告》[M].人民出版社， 2022年10月；</w:t>
      </w:r>
    </w:p>
    <w:p w14:paraId="4B95B5A8"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9.习近平：《在庆祝中国共产党成立100周年大会上的讲话》[M]，人民出版社，</w:t>
      </w:r>
      <w:r>
        <w:rPr>
          <w:rFonts w:ascii="宋体" w:eastAsia="宋体" w:hAnsi="宋体" w:cs="宋体" w:hint="eastAsia"/>
          <w:color w:val="000000"/>
          <w:sz w:val="24"/>
        </w:rPr>
        <w:lastRenderedPageBreak/>
        <w:t>2021年7月；</w:t>
      </w:r>
    </w:p>
    <w:p w14:paraId="4966D6C8"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10.中宣部主编：《习近平新时代中国特色社会主义思想学习纲要》，学习出版社、人民出版社，2023年版；</w:t>
      </w:r>
    </w:p>
    <w:p w14:paraId="094A8DF4"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11.《习近平谈治国理政》（第1—4卷）,中国外文出版社，2018—2022年版；</w:t>
      </w:r>
    </w:p>
    <w:p w14:paraId="0C346E36"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12.《习近平著作选读》，（第1、2卷），人民出版社，2023年4月；</w:t>
      </w:r>
    </w:p>
    <w:p w14:paraId="5274B34E"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13.习近平：《在学习贯彻习近平新时代中国特色社会主义思想主题教育工作会议上的讲话》，《求是》，2023年5期；</w:t>
      </w:r>
    </w:p>
    <w:p w14:paraId="620F9F2F"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14.习近平：《坚持历史唯物主义，不断开辟当代中国马克思主义发展新境界》，《求是》，2020年2期；</w:t>
      </w:r>
    </w:p>
    <w:p w14:paraId="0C5AC4D7"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15.习近平：《和北大师生座谈会的讲话》《在纪念马克思200周年大会的讲话》，2018年；</w:t>
      </w:r>
    </w:p>
    <w:p w14:paraId="113E1BC3"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16.习近平：《在学校思想政治理论课教师座谈会上的讲话》，2019年；</w:t>
      </w:r>
    </w:p>
    <w:p w14:paraId="16BBCF66"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17.习近平：《在党史学习教育动员大会上的讲话》，2021年；</w:t>
      </w:r>
    </w:p>
    <w:p w14:paraId="3E104170"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18.中宣部主编：《习近平新时代中国特色社会主义思想三十讲》学习出版社，2018年版；</w:t>
      </w:r>
    </w:p>
    <w:p w14:paraId="10AB472C"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19.（英）戴维·麦克莱伦：《马克思传》（第4版），中国人民大学出版社，2011年版；</w:t>
      </w:r>
    </w:p>
    <w:p w14:paraId="15D62287"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20.（英）特里·伊格尔顿：《马克思为什么是对的？》，新星出版社，2011年；</w:t>
      </w:r>
    </w:p>
    <w:p w14:paraId="52F749B7"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21.（法）托马斯·皮凯蒂：《21世纪资本论》，中信出版社，2014年版；</w:t>
      </w:r>
    </w:p>
    <w:p w14:paraId="73D3E5EB" w14:textId="77777777" w:rsidR="00D71975" w:rsidRDefault="00D71975" w:rsidP="00D71975">
      <w:pPr>
        <w:adjustRightInd w:val="0"/>
        <w:snapToGrid w:val="0"/>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rPr>
        <w:t>22.韩毓海编：《一篇读罢头飞雪：重读马克思》，中信出版社，2014年版。</w:t>
      </w:r>
    </w:p>
    <w:p w14:paraId="23284C8D" w14:textId="77777777" w:rsidR="00D71975" w:rsidRDefault="00D71975" w:rsidP="00D71975">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（三）课程资源</w:t>
      </w:r>
    </w:p>
    <w:p w14:paraId="5C0D9184" w14:textId="77777777" w:rsidR="00D71975" w:rsidRDefault="00D71975" w:rsidP="00D71975">
      <w:pPr>
        <w:snapToGrid w:val="0"/>
        <w:spacing w:line="440" w:lineRule="exact"/>
        <w:ind w:firstLineChars="200" w:firstLine="480"/>
        <w:rPr>
          <w:rFonts w:ascii="宋体" w:eastAsia="宋体" w:hAnsi="宋体" w:cs="宋体"/>
          <w:color w:val="000000"/>
          <w:sz w:val="24"/>
          <w:szCs w:val="24"/>
        </w:rPr>
      </w:pPr>
      <w:proofErr w:type="gramStart"/>
      <w:r>
        <w:rPr>
          <w:rFonts w:ascii="宋体" w:eastAsia="宋体" w:hAnsi="宋体" w:cs="宋体" w:hint="eastAsia"/>
          <w:color w:val="000000"/>
          <w:sz w:val="24"/>
          <w:szCs w:val="24"/>
        </w:rPr>
        <w:t>超星尔雅</w:t>
      </w:r>
      <w:proofErr w:type="gramEnd"/>
      <w:r>
        <w:rPr>
          <w:rFonts w:ascii="宋体" w:eastAsia="宋体" w:hAnsi="宋体" w:cs="宋体" w:hint="eastAsia"/>
          <w:color w:val="000000"/>
          <w:sz w:val="24"/>
          <w:szCs w:val="24"/>
        </w:rPr>
        <w:t>学习通，北京师范大学熊晓琳等主讲《马克思主义基本原理》在线课程，网址</w:t>
      </w:r>
      <w:hyperlink r:id="rId10">
        <w:r>
          <w:rPr>
            <w:rFonts w:ascii="宋体" w:eastAsia="宋体" w:hAnsi="宋体" w:cs="宋体" w:hint="eastAsia"/>
            <w:sz w:val="24"/>
            <w:szCs w:val="24"/>
          </w:rPr>
          <w:t>http：//erya.mooc.chaoxing.com/</w:t>
        </w:r>
      </w:hyperlink>
      <w:r>
        <w:rPr>
          <w:rFonts w:ascii="宋体" w:eastAsia="宋体" w:hAnsi="宋体" w:cs="宋体" w:hint="eastAsia"/>
          <w:color w:val="000000"/>
          <w:sz w:val="24"/>
          <w:szCs w:val="24"/>
        </w:rPr>
        <w:t>。</w:t>
      </w:r>
    </w:p>
    <w:p w14:paraId="0F945C0F" w14:textId="77777777" w:rsidR="00D71975" w:rsidRDefault="00D71975" w:rsidP="00D71975">
      <w:pPr>
        <w:snapToGrid w:val="0"/>
        <w:spacing w:beforeLines="50" w:before="156" w:afterLines="50" w:after="156"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我校已购买该网教学资源，学生注册并</w:t>
      </w:r>
      <w:proofErr w:type="gramStart"/>
      <w:r>
        <w:rPr>
          <w:rFonts w:ascii="宋体" w:eastAsia="宋体" w:hAnsi="宋体" w:cs="宋体" w:hint="eastAsia"/>
          <w:color w:val="000000"/>
          <w:sz w:val="24"/>
          <w:szCs w:val="24"/>
        </w:rPr>
        <w:t>登陆超星尔雅</w:t>
      </w:r>
      <w:proofErr w:type="gramEnd"/>
      <w:r>
        <w:rPr>
          <w:rFonts w:ascii="宋体" w:eastAsia="宋体" w:hAnsi="宋体" w:cs="宋体" w:hint="eastAsia"/>
          <w:color w:val="000000"/>
          <w:sz w:val="24"/>
          <w:szCs w:val="24"/>
        </w:rPr>
        <w:t>学习通，按照任课教师要求学生自主学习该课程开放内容。</w:t>
      </w:r>
    </w:p>
    <w:p w14:paraId="499C5C87" w14:textId="77777777" w:rsidR="00D71975" w:rsidRDefault="00D71975" w:rsidP="00D71975">
      <w:pPr>
        <w:numPr>
          <w:ilvl w:val="0"/>
          <w:numId w:val="1"/>
        </w:num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课程大纲制定依据</w:t>
      </w:r>
    </w:p>
    <w:p w14:paraId="0E967FE9" w14:textId="77777777" w:rsidR="00D71975" w:rsidRDefault="00D71975" w:rsidP="00D71975">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w:t>
      </w:r>
      <w:r>
        <w:rPr>
          <w:rFonts w:ascii="宋体" w:eastAsia="宋体" w:hAnsi="宋体" w:cs="Times New Roman" w:hint="eastAsia"/>
          <w:color w:val="000000" w:themeColor="text1"/>
          <w:sz w:val="24"/>
          <w:szCs w:val="24"/>
        </w:rPr>
        <w:lastRenderedPageBreak/>
        <w:t>论课建设标准（2021 年本）》（教社科[2021]2号），《新时代高校思想政治理论课教学工作基本要求》（教社科[2018]2号）以及《石家庄学院关于修订本科专业人才培养方案的指导意见（2023年）》等制定。</w:t>
      </w:r>
    </w:p>
    <w:p w14:paraId="3EB5D174" w14:textId="77777777" w:rsidR="00D71975" w:rsidRDefault="00D71975" w:rsidP="00D71975">
      <w:pPr>
        <w:snapToGrid w:val="0"/>
        <w:spacing w:before="374" w:after="374" w:line="440" w:lineRule="exact"/>
        <w:ind w:firstLineChars="400" w:firstLine="1440"/>
        <w:rPr>
          <w:rFonts w:ascii="黑体" w:eastAsia="黑体" w:hAnsi="黑体"/>
          <w:sz w:val="36"/>
          <w:szCs w:val="36"/>
        </w:rPr>
      </w:pPr>
    </w:p>
    <w:p w14:paraId="603137BD" w14:textId="77777777" w:rsidR="00D71975" w:rsidRDefault="00D71975" w:rsidP="00D71975">
      <w:pPr>
        <w:snapToGrid w:val="0"/>
        <w:spacing w:before="374" w:after="374" w:line="440" w:lineRule="exact"/>
        <w:ind w:firstLineChars="400" w:firstLine="1440"/>
        <w:rPr>
          <w:rFonts w:ascii="黑体" w:eastAsia="黑体" w:hAnsi="黑体"/>
          <w:sz w:val="36"/>
          <w:szCs w:val="36"/>
        </w:rPr>
      </w:pPr>
    </w:p>
    <w:p w14:paraId="5B343D60" w14:textId="77777777" w:rsidR="00D71975" w:rsidRDefault="00D71975" w:rsidP="00D71975">
      <w:pPr>
        <w:snapToGrid w:val="0"/>
        <w:spacing w:before="374" w:after="374" w:line="440" w:lineRule="exact"/>
        <w:ind w:firstLineChars="400" w:firstLine="1440"/>
        <w:rPr>
          <w:rFonts w:ascii="黑体" w:eastAsia="黑体" w:hAnsi="黑体"/>
          <w:sz w:val="36"/>
          <w:szCs w:val="36"/>
        </w:rPr>
      </w:pPr>
    </w:p>
    <w:p w14:paraId="7E238568" w14:textId="77777777" w:rsidR="00D71975" w:rsidRDefault="00D71975" w:rsidP="00D71975">
      <w:pPr>
        <w:snapToGrid w:val="0"/>
        <w:spacing w:before="374" w:after="374" w:line="440" w:lineRule="exact"/>
        <w:ind w:firstLineChars="400" w:firstLine="1440"/>
        <w:rPr>
          <w:rFonts w:ascii="黑体" w:eastAsia="黑体" w:hAnsi="黑体"/>
          <w:sz w:val="36"/>
          <w:szCs w:val="36"/>
        </w:rPr>
      </w:pPr>
    </w:p>
    <w:p w14:paraId="33C1D873" w14:textId="77777777" w:rsidR="00D71975" w:rsidRDefault="00D71975" w:rsidP="003C7AB3">
      <w:pPr>
        <w:snapToGrid w:val="0"/>
        <w:spacing w:before="374" w:after="374" w:line="440" w:lineRule="exact"/>
        <w:ind w:firstLineChars="400" w:firstLine="1440"/>
        <w:rPr>
          <w:rFonts w:ascii="黑体" w:eastAsia="黑体" w:hAnsi="黑体"/>
          <w:sz w:val="36"/>
          <w:szCs w:val="36"/>
        </w:rPr>
      </w:pPr>
    </w:p>
    <w:p w14:paraId="2E997C62" w14:textId="77777777" w:rsidR="00D71975" w:rsidRDefault="00D71975" w:rsidP="003C7AB3">
      <w:pPr>
        <w:snapToGrid w:val="0"/>
        <w:spacing w:before="374" w:after="374" w:line="440" w:lineRule="exact"/>
        <w:ind w:firstLineChars="400" w:firstLine="1440"/>
        <w:rPr>
          <w:rFonts w:ascii="黑体" w:eastAsia="黑体" w:hAnsi="黑体"/>
          <w:sz w:val="36"/>
          <w:szCs w:val="36"/>
        </w:rPr>
      </w:pPr>
    </w:p>
    <w:p w14:paraId="514595D1" w14:textId="77777777" w:rsidR="00D71975" w:rsidRDefault="00D71975" w:rsidP="003C7AB3">
      <w:pPr>
        <w:snapToGrid w:val="0"/>
        <w:spacing w:before="374" w:after="374" w:line="440" w:lineRule="exact"/>
        <w:ind w:firstLineChars="400" w:firstLine="1440"/>
        <w:rPr>
          <w:rFonts w:ascii="黑体" w:eastAsia="黑体" w:hAnsi="黑体"/>
          <w:sz w:val="36"/>
          <w:szCs w:val="36"/>
        </w:rPr>
      </w:pPr>
    </w:p>
    <w:p w14:paraId="75914113" w14:textId="77777777" w:rsidR="00D71975" w:rsidRDefault="00D71975" w:rsidP="003C7AB3">
      <w:pPr>
        <w:snapToGrid w:val="0"/>
        <w:spacing w:before="374" w:after="374" w:line="440" w:lineRule="exact"/>
        <w:ind w:firstLineChars="400" w:firstLine="1440"/>
        <w:rPr>
          <w:rFonts w:ascii="黑体" w:eastAsia="黑体" w:hAnsi="黑体"/>
          <w:sz w:val="36"/>
          <w:szCs w:val="36"/>
        </w:rPr>
      </w:pPr>
    </w:p>
    <w:p w14:paraId="607A610C" w14:textId="77777777" w:rsidR="00D71975" w:rsidRDefault="00D71975" w:rsidP="003C7AB3">
      <w:pPr>
        <w:snapToGrid w:val="0"/>
        <w:spacing w:before="374" w:after="374" w:line="440" w:lineRule="exact"/>
        <w:ind w:firstLineChars="400" w:firstLine="1440"/>
        <w:rPr>
          <w:rFonts w:ascii="黑体" w:eastAsia="黑体" w:hAnsi="黑体"/>
          <w:sz w:val="36"/>
          <w:szCs w:val="36"/>
        </w:rPr>
      </w:pPr>
    </w:p>
    <w:p w14:paraId="51E9FFF8" w14:textId="77777777" w:rsidR="00D71975" w:rsidRDefault="00D71975" w:rsidP="003C7AB3">
      <w:pPr>
        <w:snapToGrid w:val="0"/>
        <w:spacing w:before="374" w:after="374" w:line="440" w:lineRule="exact"/>
        <w:ind w:firstLineChars="400" w:firstLine="1440"/>
        <w:rPr>
          <w:rFonts w:ascii="黑体" w:eastAsia="黑体" w:hAnsi="黑体"/>
          <w:sz w:val="36"/>
          <w:szCs w:val="36"/>
        </w:rPr>
      </w:pPr>
    </w:p>
    <w:p w14:paraId="23DBB03C" w14:textId="77777777" w:rsidR="006E7B59" w:rsidRDefault="006E7B59">
      <w:pPr>
        <w:widowControl/>
        <w:jc w:val="left"/>
        <w:rPr>
          <w:rFonts w:eastAsia="宋体"/>
          <w:b/>
          <w:kern w:val="44"/>
          <w:sz w:val="36"/>
        </w:rPr>
      </w:pPr>
      <w:bookmarkStart w:id="7" w:name="_Toc149662339"/>
      <w:r>
        <w:br w:type="page"/>
      </w:r>
    </w:p>
    <w:p w14:paraId="00E2E38B" w14:textId="1CE1F75F" w:rsidR="0078124E" w:rsidRDefault="0078124E" w:rsidP="009C3DF7">
      <w:pPr>
        <w:pStyle w:val="1"/>
      </w:pPr>
      <w:r>
        <w:lastRenderedPageBreak/>
        <w:t>《</w:t>
      </w:r>
      <w:bookmarkStart w:id="8" w:name="_Hlk147906011"/>
      <w:r>
        <w:t>毛泽东思想和中国特色社会主义理论体系概论</w:t>
      </w:r>
      <w:bookmarkEnd w:id="8"/>
      <w:r>
        <w:t>》课程大纲</w:t>
      </w:r>
      <w:bookmarkEnd w:id="7"/>
    </w:p>
    <w:p w14:paraId="1B3FF023" w14:textId="77777777" w:rsidR="0078124E" w:rsidRDefault="0078124E" w:rsidP="0078124E">
      <w:pPr>
        <w:snapToGrid w:val="0"/>
        <w:spacing w:before="187" w:after="187" w:line="440" w:lineRule="exact"/>
        <w:ind w:firstLineChars="200" w:firstLine="560"/>
        <w:rPr>
          <w:rFonts w:ascii="黑体" w:eastAsia="黑体" w:hAnsi="黑体"/>
          <w:color w:val="000000"/>
          <w:sz w:val="28"/>
          <w:szCs w:val="28"/>
        </w:rPr>
      </w:pPr>
      <w:r>
        <w:rPr>
          <w:rFonts w:ascii="黑体" w:eastAsia="黑体" w:hAnsi="黑体" w:hint="eastAsia"/>
          <w:sz w:val="28"/>
          <w:szCs w:val="28"/>
        </w:rPr>
        <w:t>一、课程基本信息</w:t>
      </w:r>
    </w:p>
    <w:tbl>
      <w:tblPr>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575"/>
        <w:gridCol w:w="2655"/>
        <w:gridCol w:w="1470"/>
        <w:gridCol w:w="2805"/>
      </w:tblGrid>
      <w:tr w:rsidR="0078124E" w14:paraId="7DABD402" w14:textId="77777777" w:rsidTr="0078124E">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EEC41BC"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课程名称</w:t>
            </w:r>
          </w:p>
        </w:tc>
        <w:tc>
          <w:tcPr>
            <w:tcW w:w="265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8A2B887"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毛泽东思想和中国特色社会主义理论体系概论</w:t>
            </w:r>
          </w:p>
        </w:tc>
        <w:tc>
          <w:tcPr>
            <w:tcW w:w="147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58DF294"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课程代码</w:t>
            </w:r>
          </w:p>
        </w:tc>
        <w:tc>
          <w:tcPr>
            <w:tcW w:w="280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19FE1F2"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1610506</w:t>
            </w:r>
          </w:p>
        </w:tc>
      </w:tr>
      <w:tr w:rsidR="0078124E" w14:paraId="4051A731" w14:textId="77777777" w:rsidTr="0078124E">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3F13B6D"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课程类别</w:t>
            </w:r>
          </w:p>
        </w:tc>
        <w:tc>
          <w:tcPr>
            <w:tcW w:w="265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8819141"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通识教育必修课程</w:t>
            </w:r>
          </w:p>
        </w:tc>
        <w:tc>
          <w:tcPr>
            <w:tcW w:w="147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DAE171F"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学时</w:t>
            </w:r>
          </w:p>
          <w:p w14:paraId="5AB9D60E"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/学分</w:t>
            </w:r>
          </w:p>
        </w:tc>
        <w:tc>
          <w:tcPr>
            <w:tcW w:w="280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655B01A"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40学时/2.5学分</w:t>
            </w:r>
          </w:p>
        </w:tc>
      </w:tr>
      <w:tr w:rsidR="0078124E" w14:paraId="072E9DB2" w14:textId="77777777" w:rsidTr="0078124E">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787E329"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开课单位</w:t>
            </w:r>
          </w:p>
        </w:tc>
        <w:tc>
          <w:tcPr>
            <w:tcW w:w="265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32265FF"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马克思主义学院</w:t>
            </w:r>
          </w:p>
        </w:tc>
        <w:tc>
          <w:tcPr>
            <w:tcW w:w="147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9AFDA20"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适用专业</w:t>
            </w:r>
          </w:p>
        </w:tc>
        <w:tc>
          <w:tcPr>
            <w:tcW w:w="280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A4FEC72"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全校各专业</w:t>
            </w:r>
          </w:p>
        </w:tc>
      </w:tr>
      <w:tr w:rsidR="0078124E" w14:paraId="4D7FA72B" w14:textId="77777777" w:rsidTr="0078124E">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26465B2"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课程负责人</w:t>
            </w:r>
          </w:p>
        </w:tc>
        <w:tc>
          <w:tcPr>
            <w:tcW w:w="6930"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009E21B4"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赵志强、田燕佳</w:t>
            </w:r>
          </w:p>
        </w:tc>
      </w:tr>
      <w:tr w:rsidR="0078124E" w14:paraId="7A69D44B" w14:textId="77777777" w:rsidTr="0078124E">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53CFFFA"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大纲撰写人</w:t>
            </w:r>
          </w:p>
        </w:tc>
        <w:tc>
          <w:tcPr>
            <w:tcW w:w="265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034F995"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赵志强、田燕佳</w:t>
            </w:r>
          </w:p>
        </w:tc>
        <w:tc>
          <w:tcPr>
            <w:tcW w:w="147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B5781DA"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大纲审核人</w:t>
            </w:r>
          </w:p>
        </w:tc>
        <w:tc>
          <w:tcPr>
            <w:tcW w:w="280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71D4EEE"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张子麟</w:t>
            </w:r>
          </w:p>
        </w:tc>
      </w:tr>
      <w:tr w:rsidR="0078124E" w14:paraId="74AA64E3" w14:textId="77777777" w:rsidTr="0078124E">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9023BFA"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先修课程</w:t>
            </w:r>
          </w:p>
        </w:tc>
        <w:tc>
          <w:tcPr>
            <w:tcW w:w="6930"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75C3D409"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《中国近现代史纲要》《马克思主义基本原理》</w:t>
            </w:r>
          </w:p>
        </w:tc>
      </w:tr>
      <w:tr w:rsidR="0078124E" w14:paraId="10554EB1" w14:textId="77777777" w:rsidTr="0078124E">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7ED4FFA"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课程网址</w:t>
            </w:r>
          </w:p>
        </w:tc>
        <w:tc>
          <w:tcPr>
            <w:tcW w:w="6930"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7621F8DE"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无</w:t>
            </w:r>
          </w:p>
        </w:tc>
      </w:tr>
    </w:tbl>
    <w:p w14:paraId="33B8A176" w14:textId="77777777" w:rsidR="0078124E" w:rsidRDefault="0078124E" w:rsidP="0078124E">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二、课程学习目标及与毕业要求的对应关系</w:t>
      </w:r>
    </w:p>
    <w:p w14:paraId="4D16F872" w14:textId="77777777" w:rsidR="0078124E" w:rsidRDefault="0078124E" w:rsidP="0078124E">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（一）课程学习目标</w:t>
      </w:r>
    </w:p>
    <w:p w14:paraId="0545F952"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通过本课程的学习，学生应达到以下目标：</w:t>
      </w:r>
    </w:p>
    <w:p w14:paraId="687A7256"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bookmarkStart w:id="9" w:name="_Hlk147906285"/>
      <w:r>
        <w:rPr>
          <w:rFonts w:ascii="宋体" w:eastAsia="宋体" w:hAnsi="宋体" w:cs="宋体" w:hint="eastAsia"/>
          <w:sz w:val="24"/>
          <w:szCs w:val="24"/>
        </w:rPr>
        <w:t>1.全面了解中国共产党领导人民进行革命、建设、改革的历史进程、历史变革、历史成就；理解中国共产党坚持把马克思主义基本原理同中国具体实际相结合、同中华优秀传统文化相结合，不断推进马克思主义中国化时代化；准确把握毛泽东思想、邓小平理论、“三个代表”重要思想、科学发展观等理论成果；</w:t>
      </w:r>
    </w:p>
    <w:p w14:paraId="3C814C3F"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2.学习把握理论背后的思想，思想之中的战略，以及战略之中蕴含的智慧，从而得到思想的启迪、战略的启蒙和智慧的启示；提升运用马克思主义立场、观点和方法认识问题、分析问题和解决问题的能力；</w:t>
      </w:r>
    </w:p>
    <w:p w14:paraId="4756E228" w14:textId="77777777" w:rsidR="0078124E" w:rsidRDefault="0078124E" w:rsidP="0078124E">
      <w:pPr>
        <w:adjustRightInd w:val="0"/>
        <w:snapToGrid w:val="0"/>
        <w:spacing w:line="440" w:lineRule="exact"/>
        <w:ind w:firstLineChars="200" w:firstLine="480"/>
        <w:rPr>
          <w:rFonts w:ascii="宋体" w:eastAsia="宋体" w:hAnsi="宋体" w:cs="宋体"/>
          <w:b/>
          <w:sz w:val="24"/>
        </w:rPr>
      </w:pPr>
      <w:r>
        <w:rPr>
          <w:rFonts w:ascii="宋体" w:eastAsia="宋体" w:hAnsi="宋体" w:cs="宋体" w:hint="eastAsia"/>
          <w:sz w:val="24"/>
          <w:szCs w:val="24"/>
        </w:rPr>
        <w:lastRenderedPageBreak/>
        <w:t>3.深刻认识马克思主义中国化时代化理论成果的时代意义、理论意义、世界意义，坚定中国特色社会主义道路自信、理论自信、制度自信、文化自信，增进政治认同、思想认同、理论认同、情感认同。</w:t>
      </w:r>
    </w:p>
    <w:bookmarkEnd w:id="9"/>
    <w:p w14:paraId="6B2EE721" w14:textId="77777777" w:rsidR="0078124E" w:rsidRDefault="0078124E" w:rsidP="0078124E">
      <w:pPr>
        <w:snapToGrid w:val="0"/>
        <w:spacing w:before="187" w:after="187" w:line="440" w:lineRule="exact"/>
        <w:rPr>
          <w:rFonts w:ascii="黑体" w:eastAsia="黑体" w:hAnsi="黑体"/>
          <w:sz w:val="28"/>
          <w:szCs w:val="28"/>
        </w:rPr>
      </w:pPr>
      <w:r>
        <w:rPr>
          <w:rFonts w:ascii="黑体" w:eastAsia="黑体" w:hAnsi="黑体"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9"/>
        <w:gridCol w:w="1570"/>
        <w:gridCol w:w="5640"/>
      </w:tblGrid>
      <w:tr w:rsidR="0078124E" w14:paraId="064E4160" w14:textId="77777777" w:rsidTr="0078124E">
        <w:trPr>
          <w:trHeight w:val="815"/>
          <w:jc w:val="center"/>
        </w:trPr>
        <w:tc>
          <w:tcPr>
            <w:tcW w:w="1959" w:type="dxa"/>
            <w:vAlign w:val="center"/>
          </w:tcPr>
          <w:p w14:paraId="0165CB96" w14:textId="77777777" w:rsidR="0078124E" w:rsidRDefault="0078124E"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1570" w:type="dxa"/>
            <w:vAlign w:val="center"/>
          </w:tcPr>
          <w:p w14:paraId="393FF0DD" w14:textId="77777777" w:rsidR="0078124E" w:rsidRDefault="0078124E"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支撑的毕业要求</w:t>
            </w:r>
          </w:p>
        </w:tc>
        <w:tc>
          <w:tcPr>
            <w:tcW w:w="5640" w:type="dxa"/>
            <w:vAlign w:val="center"/>
          </w:tcPr>
          <w:p w14:paraId="6508310A" w14:textId="77777777" w:rsidR="0078124E" w:rsidRDefault="0078124E"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毕业要求内涵</w:t>
            </w:r>
          </w:p>
        </w:tc>
      </w:tr>
      <w:tr w:rsidR="0078124E" w14:paraId="66CA82F4" w14:textId="77777777" w:rsidTr="0078124E">
        <w:trPr>
          <w:trHeight w:val="815"/>
          <w:jc w:val="center"/>
        </w:trPr>
        <w:tc>
          <w:tcPr>
            <w:tcW w:w="1959" w:type="dxa"/>
            <w:tcBorders>
              <w:top w:val="single" w:sz="4" w:space="0" w:color="auto"/>
              <w:left w:val="single" w:sz="4" w:space="0" w:color="auto"/>
              <w:bottom w:val="single" w:sz="4" w:space="0" w:color="auto"/>
              <w:right w:val="single" w:sz="4" w:space="0" w:color="auto"/>
            </w:tcBorders>
            <w:vAlign w:val="center"/>
          </w:tcPr>
          <w:p w14:paraId="032EB334" w14:textId="77777777" w:rsidR="0078124E" w:rsidRDefault="0078124E" w:rsidP="0078124E">
            <w:pPr>
              <w:spacing w:line="440" w:lineRule="exact"/>
              <w:jc w:val="center"/>
              <w:rPr>
                <w:rFonts w:ascii="宋体" w:eastAsia="宋体" w:hAnsi="宋体" w:cs="宋体"/>
                <w:bCs/>
                <w:sz w:val="24"/>
              </w:rPr>
            </w:pPr>
            <w:r>
              <w:rPr>
                <w:rFonts w:ascii="宋体" w:eastAsia="宋体" w:hAnsi="宋体" w:cs="宋体" w:hint="eastAsia"/>
                <w:color w:val="000000"/>
                <w:sz w:val="24"/>
              </w:rPr>
              <w:t>课程目标1</w:t>
            </w:r>
          </w:p>
        </w:tc>
        <w:tc>
          <w:tcPr>
            <w:tcW w:w="1570" w:type="dxa"/>
            <w:tcBorders>
              <w:top w:val="single" w:sz="4" w:space="0" w:color="auto"/>
              <w:left w:val="single" w:sz="4" w:space="0" w:color="auto"/>
              <w:bottom w:val="single" w:sz="4" w:space="0" w:color="auto"/>
              <w:right w:val="single" w:sz="4" w:space="0" w:color="auto"/>
            </w:tcBorders>
            <w:vAlign w:val="center"/>
          </w:tcPr>
          <w:p w14:paraId="319D95A1" w14:textId="77777777" w:rsidR="0078124E" w:rsidRDefault="0078124E" w:rsidP="0078124E">
            <w:pPr>
              <w:spacing w:line="440" w:lineRule="exact"/>
              <w:jc w:val="center"/>
              <w:rPr>
                <w:rFonts w:ascii="宋体" w:eastAsia="宋体" w:hAnsi="宋体" w:cs="宋体"/>
                <w:bCs/>
                <w:sz w:val="24"/>
              </w:rPr>
            </w:pPr>
            <w:r>
              <w:rPr>
                <w:rFonts w:ascii="宋体" w:eastAsia="宋体" w:hAnsi="宋体" w:cs="宋体" w:hint="eastAsia"/>
                <w:sz w:val="24"/>
              </w:rPr>
              <w:t>6.综合育人</w:t>
            </w:r>
            <w:r>
              <w:rPr>
                <w:rFonts w:ascii="宋体" w:eastAsia="宋体" w:hAnsi="宋体" w:cs="宋体" w:hint="eastAsia"/>
                <w:sz w:val="24"/>
                <w:szCs w:val="24"/>
              </w:rPr>
              <w:t>(M)</w:t>
            </w:r>
          </w:p>
        </w:tc>
        <w:tc>
          <w:tcPr>
            <w:tcW w:w="5640" w:type="dxa"/>
            <w:tcBorders>
              <w:top w:val="single" w:sz="4" w:space="0" w:color="auto"/>
              <w:left w:val="single" w:sz="4" w:space="0" w:color="auto"/>
              <w:bottom w:val="single" w:sz="4" w:space="0" w:color="auto"/>
              <w:right w:val="single" w:sz="4" w:space="0" w:color="auto"/>
            </w:tcBorders>
            <w:vAlign w:val="center"/>
          </w:tcPr>
          <w:p w14:paraId="0581FCC3" w14:textId="77777777" w:rsidR="0078124E" w:rsidRDefault="0078124E" w:rsidP="0078124E">
            <w:pPr>
              <w:spacing w:line="440" w:lineRule="exact"/>
              <w:ind w:firstLineChars="200" w:firstLine="480"/>
              <w:rPr>
                <w:rFonts w:ascii="宋体" w:eastAsia="宋体" w:hAnsi="宋体" w:cs="宋体"/>
                <w:bCs/>
                <w:sz w:val="24"/>
                <w:szCs w:val="24"/>
              </w:rPr>
            </w:pPr>
            <w:r>
              <w:rPr>
                <w:rFonts w:ascii="宋体" w:eastAsia="宋体" w:hAnsi="宋体" w:cs="宋体" w:hint="eastAsia"/>
                <w:kern w:val="0"/>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rsidR="0078124E" w14:paraId="79E0AD37" w14:textId="77777777" w:rsidTr="0078124E">
        <w:trPr>
          <w:trHeight w:val="815"/>
          <w:jc w:val="center"/>
        </w:trPr>
        <w:tc>
          <w:tcPr>
            <w:tcW w:w="1959" w:type="dxa"/>
            <w:tcBorders>
              <w:top w:val="single" w:sz="4" w:space="0" w:color="auto"/>
              <w:left w:val="single" w:sz="4" w:space="0" w:color="auto"/>
              <w:bottom w:val="single" w:sz="4" w:space="0" w:color="auto"/>
              <w:right w:val="single" w:sz="4" w:space="0" w:color="auto"/>
            </w:tcBorders>
            <w:vAlign w:val="center"/>
          </w:tcPr>
          <w:p w14:paraId="020EBABD" w14:textId="77777777" w:rsidR="0078124E" w:rsidRDefault="0078124E" w:rsidP="0078124E">
            <w:pPr>
              <w:spacing w:line="440" w:lineRule="exact"/>
              <w:jc w:val="center"/>
              <w:rPr>
                <w:rFonts w:ascii="宋体" w:eastAsia="宋体" w:hAnsi="宋体" w:cs="宋体"/>
                <w:bCs/>
                <w:sz w:val="24"/>
              </w:rPr>
            </w:pPr>
            <w:r>
              <w:rPr>
                <w:rFonts w:ascii="宋体" w:eastAsia="宋体" w:hAnsi="宋体" w:cs="宋体" w:hint="eastAsia"/>
                <w:color w:val="000000"/>
                <w:sz w:val="24"/>
              </w:rPr>
              <w:t>课程目标2</w:t>
            </w:r>
          </w:p>
        </w:tc>
        <w:tc>
          <w:tcPr>
            <w:tcW w:w="1570" w:type="dxa"/>
            <w:tcBorders>
              <w:top w:val="single" w:sz="4" w:space="0" w:color="auto"/>
              <w:left w:val="single" w:sz="4" w:space="0" w:color="auto"/>
              <w:bottom w:val="single" w:sz="4" w:space="0" w:color="auto"/>
              <w:right w:val="single" w:sz="4" w:space="0" w:color="auto"/>
            </w:tcBorders>
            <w:vAlign w:val="center"/>
          </w:tcPr>
          <w:p w14:paraId="0A1E8DF3" w14:textId="77777777" w:rsidR="0078124E" w:rsidRDefault="0078124E" w:rsidP="0078124E">
            <w:pPr>
              <w:spacing w:line="440" w:lineRule="exact"/>
              <w:jc w:val="center"/>
              <w:rPr>
                <w:rFonts w:ascii="宋体" w:eastAsia="宋体" w:hAnsi="宋体" w:cs="宋体"/>
                <w:bCs/>
                <w:sz w:val="24"/>
              </w:rPr>
            </w:pPr>
            <w:r>
              <w:rPr>
                <w:rFonts w:ascii="宋体" w:eastAsia="宋体" w:hAnsi="宋体" w:cs="宋体" w:hint="eastAsia"/>
                <w:sz w:val="24"/>
              </w:rPr>
              <w:t>8.沟通合作</w:t>
            </w:r>
            <w:r>
              <w:rPr>
                <w:rFonts w:ascii="宋体" w:eastAsia="宋体" w:hAnsi="宋体" w:cs="宋体" w:hint="eastAsia"/>
                <w:sz w:val="24"/>
                <w:szCs w:val="24"/>
              </w:rPr>
              <w:t>(M)</w:t>
            </w:r>
          </w:p>
        </w:tc>
        <w:tc>
          <w:tcPr>
            <w:tcW w:w="5640" w:type="dxa"/>
            <w:tcBorders>
              <w:top w:val="single" w:sz="4" w:space="0" w:color="auto"/>
              <w:left w:val="single" w:sz="4" w:space="0" w:color="auto"/>
              <w:bottom w:val="single" w:sz="4" w:space="0" w:color="auto"/>
              <w:right w:val="single" w:sz="4" w:space="0" w:color="auto"/>
            </w:tcBorders>
            <w:vAlign w:val="center"/>
          </w:tcPr>
          <w:p w14:paraId="513859FA" w14:textId="77777777" w:rsidR="0078124E" w:rsidRDefault="0078124E" w:rsidP="0078124E">
            <w:pPr>
              <w:spacing w:line="440" w:lineRule="exact"/>
              <w:ind w:firstLineChars="200" w:firstLine="480"/>
              <w:rPr>
                <w:rFonts w:ascii="宋体" w:eastAsia="宋体" w:hAnsi="宋体" w:cs="宋体"/>
                <w:bCs/>
                <w:sz w:val="24"/>
                <w:szCs w:val="24"/>
              </w:rPr>
            </w:pPr>
            <w:r>
              <w:rPr>
                <w:rFonts w:ascii="宋体" w:eastAsia="宋体" w:hAnsi="宋体" w:cs="宋体" w:hint="eastAsia"/>
                <w:kern w:val="0"/>
                <w:sz w:val="24"/>
                <w:szCs w:val="24"/>
              </w:rPr>
              <w:t>理解学习共同体的作用，具有团队协作精神，掌握沟通合作技能，具有小组互助和合作学习体验。</w:t>
            </w:r>
          </w:p>
        </w:tc>
      </w:tr>
      <w:tr w:rsidR="0078124E" w14:paraId="1EAD35D6" w14:textId="77777777" w:rsidTr="0078124E">
        <w:trPr>
          <w:trHeight w:val="815"/>
          <w:jc w:val="center"/>
        </w:trPr>
        <w:tc>
          <w:tcPr>
            <w:tcW w:w="1959" w:type="dxa"/>
            <w:tcBorders>
              <w:top w:val="single" w:sz="4" w:space="0" w:color="auto"/>
              <w:left w:val="single" w:sz="4" w:space="0" w:color="auto"/>
              <w:bottom w:val="single" w:sz="4" w:space="0" w:color="auto"/>
              <w:right w:val="single" w:sz="4" w:space="0" w:color="auto"/>
            </w:tcBorders>
            <w:vAlign w:val="center"/>
          </w:tcPr>
          <w:p w14:paraId="3B620CFE" w14:textId="77777777" w:rsidR="0078124E" w:rsidRDefault="0078124E" w:rsidP="0078124E">
            <w:pPr>
              <w:spacing w:line="440" w:lineRule="exact"/>
              <w:jc w:val="center"/>
              <w:rPr>
                <w:rFonts w:ascii="宋体" w:eastAsia="宋体" w:hAnsi="宋体" w:cs="宋体"/>
                <w:color w:val="000000"/>
                <w:sz w:val="24"/>
              </w:rPr>
            </w:pPr>
            <w:r>
              <w:rPr>
                <w:rFonts w:ascii="宋体" w:eastAsia="宋体" w:hAnsi="宋体" w:cs="宋体" w:hint="eastAsia"/>
                <w:bCs/>
                <w:sz w:val="24"/>
              </w:rPr>
              <w:t>课程目标3</w:t>
            </w:r>
          </w:p>
        </w:tc>
        <w:tc>
          <w:tcPr>
            <w:tcW w:w="1570" w:type="dxa"/>
            <w:tcBorders>
              <w:top w:val="single" w:sz="4" w:space="0" w:color="auto"/>
              <w:left w:val="single" w:sz="4" w:space="0" w:color="auto"/>
              <w:bottom w:val="single" w:sz="4" w:space="0" w:color="auto"/>
              <w:right w:val="single" w:sz="4" w:space="0" w:color="auto"/>
            </w:tcBorders>
            <w:vAlign w:val="center"/>
          </w:tcPr>
          <w:p w14:paraId="3B994969" w14:textId="77777777" w:rsidR="0078124E" w:rsidRDefault="0078124E" w:rsidP="0078124E">
            <w:pPr>
              <w:spacing w:line="440" w:lineRule="exact"/>
              <w:jc w:val="center"/>
              <w:rPr>
                <w:rFonts w:ascii="宋体" w:eastAsia="宋体" w:hAnsi="宋体" w:cs="宋体"/>
                <w:sz w:val="24"/>
              </w:rPr>
            </w:pPr>
            <w:r>
              <w:rPr>
                <w:rFonts w:ascii="宋体" w:eastAsia="宋体" w:hAnsi="宋体" w:cs="宋体" w:hint="eastAsia"/>
                <w:bCs/>
                <w:sz w:val="24"/>
              </w:rPr>
              <w:t>1.师德规范</w:t>
            </w:r>
            <w:r>
              <w:rPr>
                <w:rFonts w:ascii="宋体" w:eastAsia="宋体" w:hAnsi="宋体" w:cs="宋体" w:hint="eastAsia"/>
                <w:sz w:val="24"/>
                <w:szCs w:val="24"/>
              </w:rPr>
              <w:t>(H)</w:t>
            </w:r>
          </w:p>
        </w:tc>
        <w:tc>
          <w:tcPr>
            <w:tcW w:w="5640" w:type="dxa"/>
            <w:tcBorders>
              <w:top w:val="single" w:sz="4" w:space="0" w:color="auto"/>
              <w:left w:val="single" w:sz="4" w:space="0" w:color="auto"/>
              <w:bottom w:val="single" w:sz="4" w:space="0" w:color="auto"/>
              <w:right w:val="single" w:sz="4" w:space="0" w:color="auto"/>
            </w:tcBorders>
            <w:vAlign w:val="center"/>
          </w:tcPr>
          <w:p w14:paraId="02A21285" w14:textId="77777777" w:rsidR="0078124E" w:rsidRDefault="0078124E" w:rsidP="0078124E">
            <w:pPr>
              <w:spacing w:line="440" w:lineRule="exact"/>
              <w:ind w:firstLineChars="200" w:firstLine="480"/>
              <w:rPr>
                <w:rFonts w:ascii="宋体" w:eastAsia="宋体" w:hAnsi="宋体" w:cs="宋体"/>
                <w:kern w:val="0"/>
                <w:sz w:val="24"/>
                <w:szCs w:val="24"/>
              </w:rPr>
            </w:pPr>
            <w:proofErr w:type="gramStart"/>
            <w:r>
              <w:rPr>
                <w:rFonts w:ascii="宋体" w:eastAsia="宋体" w:hAnsi="宋体" w:cs="宋体" w:hint="eastAsia"/>
                <w:bCs/>
                <w:sz w:val="24"/>
                <w:szCs w:val="24"/>
              </w:rPr>
              <w:t>践行</w:t>
            </w:r>
            <w:proofErr w:type="gramEnd"/>
            <w:r>
              <w:rPr>
                <w:rFonts w:ascii="宋体" w:eastAsia="宋体" w:hAnsi="宋体" w:cs="宋体" w:hint="eastAsia"/>
                <w:bCs/>
                <w:sz w:val="24"/>
                <w:szCs w:val="24"/>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75F70B16" w14:textId="77777777" w:rsidR="0078124E" w:rsidRDefault="0078124E" w:rsidP="0078124E">
      <w:pPr>
        <w:snapToGrid w:val="0"/>
        <w:spacing w:before="187" w:after="187" w:line="440" w:lineRule="exact"/>
        <w:rPr>
          <w:rFonts w:ascii="黑体" w:eastAsia="黑体" w:hAnsi="黑体"/>
          <w:sz w:val="28"/>
          <w:szCs w:val="28"/>
        </w:rPr>
      </w:pPr>
      <w:r>
        <w:rPr>
          <w:rFonts w:ascii="黑体" w:eastAsia="黑体" w:hAnsi="黑体" w:hint="eastAsia"/>
          <w:sz w:val="28"/>
          <w:szCs w:val="28"/>
        </w:rPr>
        <w:t>（三）课程学习目标与毕业要求指标点的对应关系</w:t>
      </w:r>
    </w:p>
    <w:tbl>
      <w:tblPr>
        <w:tblW w:w="88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1529"/>
        <w:gridCol w:w="5681"/>
      </w:tblGrid>
      <w:tr w:rsidR="0078124E" w14:paraId="75689B6E" w14:textId="77777777" w:rsidTr="0078124E">
        <w:trPr>
          <w:trHeight w:val="815"/>
          <w:jc w:val="center"/>
        </w:trPr>
        <w:tc>
          <w:tcPr>
            <w:tcW w:w="1668" w:type="dxa"/>
            <w:vAlign w:val="center"/>
          </w:tcPr>
          <w:p w14:paraId="2171529D" w14:textId="77777777" w:rsidR="0078124E" w:rsidRDefault="0078124E"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1529" w:type="dxa"/>
            <w:vAlign w:val="center"/>
          </w:tcPr>
          <w:p w14:paraId="137B222F" w14:textId="77777777" w:rsidR="0078124E" w:rsidRDefault="0078124E"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支撑的毕业要求</w:t>
            </w:r>
          </w:p>
        </w:tc>
        <w:tc>
          <w:tcPr>
            <w:tcW w:w="5681" w:type="dxa"/>
            <w:vAlign w:val="center"/>
          </w:tcPr>
          <w:p w14:paraId="75DB340C" w14:textId="77777777" w:rsidR="0078124E" w:rsidRDefault="0078124E"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毕业要求内涵</w:t>
            </w:r>
          </w:p>
        </w:tc>
      </w:tr>
      <w:tr w:rsidR="0078124E" w14:paraId="183BE04D" w14:textId="77777777" w:rsidTr="0078124E">
        <w:trPr>
          <w:trHeight w:val="815"/>
          <w:jc w:val="center"/>
        </w:trPr>
        <w:tc>
          <w:tcPr>
            <w:tcW w:w="1668" w:type="dxa"/>
            <w:tcBorders>
              <w:top w:val="single" w:sz="4" w:space="0" w:color="auto"/>
              <w:left w:val="single" w:sz="4" w:space="0" w:color="auto"/>
              <w:bottom w:val="single" w:sz="4" w:space="0" w:color="auto"/>
              <w:right w:val="single" w:sz="4" w:space="0" w:color="auto"/>
            </w:tcBorders>
            <w:vAlign w:val="center"/>
          </w:tcPr>
          <w:p w14:paraId="491FBA87" w14:textId="77777777" w:rsidR="0078124E" w:rsidRDefault="0078124E" w:rsidP="0078124E">
            <w:pPr>
              <w:spacing w:line="440" w:lineRule="exact"/>
              <w:jc w:val="center"/>
              <w:rPr>
                <w:rFonts w:ascii="宋体" w:eastAsia="宋体" w:hAnsi="宋体" w:cs="宋体"/>
                <w:bCs/>
                <w:sz w:val="24"/>
              </w:rPr>
            </w:pPr>
            <w:r>
              <w:rPr>
                <w:rFonts w:ascii="宋体" w:eastAsia="宋体" w:hAnsi="宋体" w:cs="宋体" w:hint="eastAsia"/>
                <w:color w:val="000000"/>
                <w:sz w:val="24"/>
              </w:rPr>
              <w:t>课程目标1</w:t>
            </w:r>
          </w:p>
        </w:tc>
        <w:tc>
          <w:tcPr>
            <w:tcW w:w="1529" w:type="dxa"/>
            <w:tcBorders>
              <w:top w:val="single" w:sz="4" w:space="0" w:color="auto"/>
              <w:left w:val="single" w:sz="4" w:space="0" w:color="auto"/>
              <w:bottom w:val="single" w:sz="4" w:space="0" w:color="auto"/>
              <w:right w:val="single" w:sz="4" w:space="0" w:color="auto"/>
            </w:tcBorders>
            <w:vAlign w:val="center"/>
          </w:tcPr>
          <w:p w14:paraId="6143B8B7" w14:textId="77777777" w:rsidR="0078124E" w:rsidRDefault="0078124E" w:rsidP="0078124E">
            <w:pPr>
              <w:spacing w:line="440" w:lineRule="exact"/>
              <w:jc w:val="center"/>
              <w:rPr>
                <w:rFonts w:ascii="宋体" w:eastAsia="宋体" w:hAnsi="宋体" w:cs="宋体"/>
                <w:bCs/>
                <w:sz w:val="24"/>
              </w:rPr>
            </w:pPr>
            <w:r>
              <w:rPr>
                <w:rFonts w:ascii="宋体" w:eastAsia="宋体" w:hAnsi="宋体" w:cs="宋体" w:hint="eastAsia"/>
                <w:sz w:val="24"/>
              </w:rPr>
              <w:t>7.环境和可持续发展</w:t>
            </w:r>
            <w:r>
              <w:rPr>
                <w:rFonts w:ascii="宋体" w:eastAsia="宋体" w:hAnsi="宋体" w:cs="宋体" w:hint="eastAsia"/>
                <w:sz w:val="24"/>
                <w:szCs w:val="24"/>
              </w:rPr>
              <w:t>(M)</w:t>
            </w:r>
          </w:p>
        </w:tc>
        <w:tc>
          <w:tcPr>
            <w:tcW w:w="5681" w:type="dxa"/>
            <w:tcBorders>
              <w:top w:val="single" w:sz="4" w:space="0" w:color="auto"/>
              <w:left w:val="single" w:sz="4" w:space="0" w:color="auto"/>
              <w:bottom w:val="single" w:sz="4" w:space="0" w:color="auto"/>
              <w:right w:val="single" w:sz="4" w:space="0" w:color="auto"/>
            </w:tcBorders>
            <w:vAlign w:val="center"/>
          </w:tcPr>
          <w:p w14:paraId="7E121EFE"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kern w:val="0"/>
                <w:sz w:val="24"/>
                <w:szCs w:val="24"/>
              </w:rPr>
              <w:t>能够理解和评价针对复杂工程问题的工程实践对环境、社会可持续发展的影响；</w:t>
            </w:r>
          </w:p>
        </w:tc>
      </w:tr>
      <w:tr w:rsidR="0078124E" w14:paraId="5F06E947" w14:textId="77777777" w:rsidTr="0078124E">
        <w:trPr>
          <w:trHeight w:val="815"/>
          <w:jc w:val="center"/>
        </w:trPr>
        <w:tc>
          <w:tcPr>
            <w:tcW w:w="1668" w:type="dxa"/>
            <w:tcBorders>
              <w:top w:val="single" w:sz="4" w:space="0" w:color="auto"/>
              <w:left w:val="single" w:sz="4" w:space="0" w:color="auto"/>
              <w:bottom w:val="single" w:sz="4" w:space="0" w:color="auto"/>
              <w:right w:val="single" w:sz="4" w:space="0" w:color="auto"/>
            </w:tcBorders>
            <w:vAlign w:val="center"/>
          </w:tcPr>
          <w:p w14:paraId="4C189E59" w14:textId="77777777" w:rsidR="0078124E" w:rsidRDefault="0078124E" w:rsidP="0078124E">
            <w:pPr>
              <w:spacing w:line="440" w:lineRule="exact"/>
              <w:jc w:val="center"/>
              <w:rPr>
                <w:rFonts w:ascii="宋体" w:eastAsia="宋体" w:hAnsi="宋体" w:cs="宋体"/>
                <w:color w:val="000000"/>
                <w:sz w:val="24"/>
              </w:rPr>
            </w:pPr>
            <w:r>
              <w:rPr>
                <w:rFonts w:ascii="宋体" w:eastAsia="宋体" w:hAnsi="宋体" w:cs="宋体" w:hint="eastAsia"/>
                <w:bCs/>
                <w:sz w:val="24"/>
              </w:rPr>
              <w:t>课程目标2</w:t>
            </w:r>
          </w:p>
        </w:tc>
        <w:tc>
          <w:tcPr>
            <w:tcW w:w="1529" w:type="dxa"/>
            <w:tcBorders>
              <w:top w:val="single" w:sz="4" w:space="0" w:color="auto"/>
              <w:left w:val="single" w:sz="4" w:space="0" w:color="auto"/>
              <w:bottom w:val="single" w:sz="4" w:space="0" w:color="auto"/>
              <w:right w:val="single" w:sz="4" w:space="0" w:color="auto"/>
            </w:tcBorders>
            <w:vAlign w:val="center"/>
          </w:tcPr>
          <w:p w14:paraId="677F94E5" w14:textId="77777777" w:rsidR="0078124E" w:rsidRDefault="0078124E" w:rsidP="0078124E">
            <w:pPr>
              <w:spacing w:line="440" w:lineRule="exact"/>
              <w:jc w:val="center"/>
              <w:rPr>
                <w:rFonts w:ascii="宋体" w:eastAsia="宋体" w:hAnsi="宋体" w:cs="宋体"/>
                <w:sz w:val="24"/>
              </w:rPr>
            </w:pPr>
            <w:r>
              <w:rPr>
                <w:rFonts w:ascii="宋体" w:eastAsia="宋体" w:hAnsi="宋体" w:cs="宋体" w:hint="eastAsia"/>
                <w:bCs/>
                <w:sz w:val="24"/>
              </w:rPr>
              <w:t>3.设计/开发解决方案</w:t>
            </w:r>
            <w:r>
              <w:rPr>
                <w:rFonts w:ascii="宋体" w:eastAsia="宋体" w:hAnsi="宋体" w:cs="宋体" w:hint="eastAsia"/>
                <w:sz w:val="24"/>
                <w:szCs w:val="24"/>
              </w:rPr>
              <w:t>（L）</w:t>
            </w:r>
          </w:p>
        </w:tc>
        <w:tc>
          <w:tcPr>
            <w:tcW w:w="5681" w:type="dxa"/>
            <w:tcBorders>
              <w:top w:val="single" w:sz="4" w:space="0" w:color="auto"/>
              <w:left w:val="single" w:sz="4" w:space="0" w:color="auto"/>
              <w:bottom w:val="single" w:sz="4" w:space="0" w:color="auto"/>
              <w:right w:val="single" w:sz="4" w:space="0" w:color="auto"/>
            </w:tcBorders>
            <w:vAlign w:val="center"/>
          </w:tcPr>
          <w:p w14:paraId="248009DB" w14:textId="77777777" w:rsidR="0078124E" w:rsidRDefault="0078124E" w:rsidP="0078124E">
            <w:pPr>
              <w:adjustRightInd w:val="0"/>
              <w:snapToGrid w:val="0"/>
              <w:spacing w:line="440" w:lineRule="exact"/>
              <w:ind w:firstLineChars="200" w:firstLine="480"/>
              <w:rPr>
                <w:rFonts w:ascii="宋体" w:eastAsia="宋体" w:hAnsi="宋体" w:cs="宋体"/>
                <w:kern w:val="0"/>
                <w:sz w:val="24"/>
                <w:szCs w:val="24"/>
              </w:rPr>
            </w:pPr>
            <w:r>
              <w:rPr>
                <w:rFonts w:ascii="宋体" w:eastAsia="宋体" w:hAnsi="宋体" w:cs="宋体" w:hint="eastAsia"/>
                <w:color w:val="000000"/>
                <w:kern w:val="0"/>
                <w:sz w:val="24"/>
                <w:szCs w:val="24"/>
              </w:rPr>
              <w:t>能够设计针对复杂工程问题的解决方案，设计满足特定需求的系统、单元（部件）或工艺流程，并能够在设计环节中体现创新意识，考虑社会、健康、安全、法律、文化以及环境等因素。</w:t>
            </w:r>
          </w:p>
        </w:tc>
      </w:tr>
      <w:tr w:rsidR="0078124E" w14:paraId="05647D6D" w14:textId="77777777" w:rsidTr="0078124E">
        <w:trPr>
          <w:trHeight w:val="815"/>
          <w:jc w:val="center"/>
        </w:trPr>
        <w:tc>
          <w:tcPr>
            <w:tcW w:w="1668" w:type="dxa"/>
            <w:tcBorders>
              <w:top w:val="single" w:sz="4" w:space="0" w:color="auto"/>
              <w:left w:val="single" w:sz="4" w:space="0" w:color="auto"/>
              <w:bottom w:val="single" w:sz="4" w:space="0" w:color="auto"/>
              <w:right w:val="single" w:sz="4" w:space="0" w:color="auto"/>
            </w:tcBorders>
            <w:vAlign w:val="center"/>
          </w:tcPr>
          <w:p w14:paraId="27303704" w14:textId="77777777" w:rsidR="0078124E" w:rsidRDefault="0078124E" w:rsidP="0078124E">
            <w:pPr>
              <w:spacing w:line="440" w:lineRule="exact"/>
              <w:jc w:val="center"/>
              <w:rPr>
                <w:rFonts w:ascii="宋体" w:eastAsia="宋体" w:hAnsi="宋体" w:cs="宋体"/>
                <w:bCs/>
                <w:sz w:val="24"/>
              </w:rPr>
            </w:pPr>
            <w:r>
              <w:rPr>
                <w:rFonts w:ascii="宋体" w:eastAsia="宋体" w:hAnsi="宋体" w:cs="宋体" w:hint="eastAsia"/>
                <w:color w:val="000000"/>
                <w:sz w:val="24"/>
              </w:rPr>
              <w:lastRenderedPageBreak/>
              <w:t>课程目标3</w:t>
            </w:r>
          </w:p>
        </w:tc>
        <w:tc>
          <w:tcPr>
            <w:tcW w:w="1529" w:type="dxa"/>
            <w:tcBorders>
              <w:top w:val="single" w:sz="4" w:space="0" w:color="auto"/>
              <w:left w:val="single" w:sz="4" w:space="0" w:color="auto"/>
              <w:bottom w:val="single" w:sz="4" w:space="0" w:color="auto"/>
              <w:right w:val="single" w:sz="4" w:space="0" w:color="auto"/>
            </w:tcBorders>
            <w:vAlign w:val="center"/>
          </w:tcPr>
          <w:p w14:paraId="7FBB4F58" w14:textId="77777777" w:rsidR="0078124E" w:rsidRDefault="0078124E" w:rsidP="0078124E">
            <w:pPr>
              <w:spacing w:line="440" w:lineRule="exact"/>
              <w:ind w:left="960" w:hangingChars="400" w:hanging="960"/>
              <w:jc w:val="center"/>
              <w:rPr>
                <w:rFonts w:ascii="宋体" w:eastAsia="宋体" w:hAnsi="宋体" w:cs="宋体"/>
                <w:sz w:val="24"/>
              </w:rPr>
            </w:pPr>
            <w:r>
              <w:rPr>
                <w:rFonts w:ascii="宋体" w:eastAsia="宋体" w:hAnsi="宋体" w:cs="宋体" w:hint="eastAsia"/>
                <w:sz w:val="24"/>
              </w:rPr>
              <w:t>8.职业规范</w:t>
            </w:r>
          </w:p>
          <w:p w14:paraId="4FDFDA54" w14:textId="77777777" w:rsidR="0078124E" w:rsidRDefault="0078124E" w:rsidP="0078124E">
            <w:pPr>
              <w:spacing w:line="440" w:lineRule="exact"/>
              <w:ind w:left="960" w:hangingChars="400" w:hanging="960"/>
              <w:rPr>
                <w:rFonts w:ascii="宋体" w:eastAsia="宋体" w:hAnsi="宋体" w:cs="宋体"/>
                <w:sz w:val="24"/>
              </w:rPr>
            </w:pPr>
            <w:r>
              <w:rPr>
                <w:rFonts w:ascii="宋体" w:eastAsia="宋体" w:hAnsi="宋体" w:cs="宋体" w:hint="eastAsia"/>
                <w:sz w:val="24"/>
              </w:rPr>
              <w:t xml:space="preserve">   </w:t>
            </w:r>
            <w:r>
              <w:rPr>
                <w:rFonts w:ascii="宋体" w:eastAsia="宋体" w:hAnsi="宋体" w:cs="宋体" w:hint="eastAsia"/>
                <w:sz w:val="24"/>
                <w:szCs w:val="24"/>
              </w:rPr>
              <w:t>（H）</w:t>
            </w:r>
          </w:p>
          <w:p w14:paraId="59C7AFFE" w14:textId="77777777" w:rsidR="0078124E" w:rsidRDefault="0078124E" w:rsidP="0078124E">
            <w:pPr>
              <w:spacing w:line="440" w:lineRule="exact"/>
              <w:jc w:val="center"/>
              <w:rPr>
                <w:rFonts w:ascii="宋体" w:eastAsia="宋体" w:hAnsi="宋体" w:cs="宋体"/>
                <w:bCs/>
                <w:sz w:val="24"/>
              </w:rPr>
            </w:pPr>
          </w:p>
        </w:tc>
        <w:tc>
          <w:tcPr>
            <w:tcW w:w="5681" w:type="dxa"/>
            <w:tcBorders>
              <w:top w:val="single" w:sz="4" w:space="0" w:color="auto"/>
              <w:left w:val="single" w:sz="4" w:space="0" w:color="auto"/>
              <w:bottom w:val="single" w:sz="4" w:space="0" w:color="auto"/>
              <w:right w:val="single" w:sz="4" w:space="0" w:color="auto"/>
            </w:tcBorders>
            <w:vAlign w:val="center"/>
          </w:tcPr>
          <w:p w14:paraId="5CB77731" w14:textId="77777777" w:rsidR="0078124E" w:rsidRDefault="0078124E" w:rsidP="0078124E">
            <w:pPr>
              <w:adjustRightInd w:val="0"/>
              <w:snapToGrid w:val="0"/>
              <w:spacing w:line="440" w:lineRule="exact"/>
              <w:ind w:firstLineChars="200" w:firstLine="480"/>
              <w:rPr>
                <w:rFonts w:ascii="宋体" w:eastAsia="宋体" w:hAnsi="宋体" w:cs="宋体"/>
                <w:bCs/>
                <w:sz w:val="24"/>
                <w:szCs w:val="24"/>
              </w:rPr>
            </w:pPr>
            <w:r>
              <w:rPr>
                <w:rFonts w:ascii="宋体" w:eastAsia="宋体" w:hAnsi="宋体" w:cs="宋体" w:hint="eastAsia"/>
                <w:kern w:val="0"/>
                <w:sz w:val="24"/>
                <w:szCs w:val="24"/>
              </w:rPr>
              <w:t>具有人文社会科学素养、社会责任感，能够在工程实践中理解并遵守工程职业道德和规范，履行责任；</w:t>
            </w:r>
          </w:p>
        </w:tc>
      </w:tr>
    </w:tbl>
    <w:p w14:paraId="7B2C8447" w14:textId="77777777" w:rsidR="0078124E" w:rsidRDefault="0078124E" w:rsidP="0078124E">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三、课程学习内容及与课程学习目标的对应关系</w:t>
      </w:r>
    </w:p>
    <w:p w14:paraId="75DB9525" w14:textId="77777777" w:rsidR="0078124E" w:rsidRDefault="0078124E" w:rsidP="0078124E">
      <w:pPr>
        <w:spacing w:beforeLines="50" w:before="156" w:afterLines="50" w:after="156" w:line="440" w:lineRule="exact"/>
        <w:ind w:firstLineChars="200" w:firstLine="560"/>
        <w:rPr>
          <w:rFonts w:ascii="黑体" w:eastAsia="黑体" w:hAnsi="黑体" w:cs="Times New Roman"/>
          <w:bCs/>
          <w:sz w:val="28"/>
          <w:szCs w:val="28"/>
        </w:rPr>
      </w:pPr>
      <w:r>
        <w:rPr>
          <w:rFonts w:ascii="黑体" w:eastAsia="黑体" w:hAnsi="黑体" w:cs="Times New Roman" w:hint="eastAsia"/>
          <w:bCs/>
          <w:sz w:val="28"/>
          <w:szCs w:val="28"/>
        </w:rPr>
        <w:t>（一）课程学习内容</w:t>
      </w:r>
    </w:p>
    <w:p w14:paraId="03F5A84D"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导论：马克思主义中国化时代化的历史进程与理论成果</w:t>
      </w:r>
    </w:p>
    <w:p w14:paraId="02464F31" w14:textId="77777777" w:rsidR="0078124E" w:rsidRDefault="0078124E" w:rsidP="0078124E">
      <w:pPr>
        <w:snapToGrid w:val="0"/>
        <w:spacing w:beforeLines="50" w:before="156" w:afterLines="50" w:after="156"/>
        <w:ind w:firstLineChars="200" w:firstLine="482"/>
        <w:rPr>
          <w:rFonts w:ascii="宋体" w:eastAsia="宋体" w:hAnsi="宋体" w:cs="宋体"/>
          <w:color w:val="000000"/>
          <w:sz w:val="24"/>
          <w:szCs w:val="24"/>
        </w:rPr>
      </w:pPr>
      <w:r>
        <w:rPr>
          <w:rFonts w:ascii="宋体" w:eastAsia="宋体" w:hAnsi="宋体" w:cs="宋体" w:hint="eastAsia"/>
          <w:b/>
          <w:bCs/>
          <w:color w:val="000000"/>
          <w:sz w:val="24"/>
          <w:szCs w:val="24"/>
        </w:rPr>
        <w:t>【学习目标】</w:t>
      </w:r>
    </w:p>
    <w:p w14:paraId="5E58CDA3" w14:textId="77777777" w:rsidR="0078124E" w:rsidRDefault="0078124E" w:rsidP="0078124E">
      <w:pPr>
        <w:snapToGrid w:val="0"/>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w:t>
      </w:r>
      <w:r>
        <w:rPr>
          <w:rFonts w:ascii="宋体" w:eastAsia="宋体" w:hAnsi="宋体" w:cs="宋体" w:hint="eastAsia"/>
          <w:sz w:val="24"/>
        </w:rPr>
        <w:t>认知类目标：</w:t>
      </w:r>
      <w:r>
        <w:rPr>
          <w:rFonts w:ascii="宋体" w:eastAsia="宋体" w:hAnsi="宋体" w:cs="宋体" w:hint="eastAsia"/>
          <w:color w:val="000000"/>
          <w:sz w:val="24"/>
          <w:szCs w:val="24"/>
        </w:rPr>
        <w:t>了解马克思主义传入中国、中国最终选择马克思主义的历史过程，理解中国共产党人提出“马克思主义中国化”命题的时代背景和重要意义，掌握马克思主义中国化的科学内涵。</w:t>
      </w:r>
    </w:p>
    <w:p w14:paraId="0FD5C0F5" w14:textId="77777777" w:rsidR="0078124E" w:rsidRDefault="0078124E" w:rsidP="0078124E">
      <w:pPr>
        <w:snapToGrid w:val="0"/>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w:t>
      </w:r>
      <w:r>
        <w:rPr>
          <w:rFonts w:ascii="宋体" w:eastAsia="宋体" w:hAnsi="宋体" w:cs="宋体" w:hint="eastAsia"/>
          <w:sz w:val="24"/>
        </w:rPr>
        <w:t>过程与方法类目标：</w:t>
      </w:r>
      <w:bookmarkStart w:id="10" w:name="_Hlk147995036"/>
      <w:r>
        <w:rPr>
          <w:rFonts w:ascii="宋体" w:eastAsia="宋体" w:hAnsi="宋体" w:cs="宋体" w:hint="eastAsia"/>
          <w:color w:val="000000"/>
          <w:sz w:val="24"/>
          <w:szCs w:val="24"/>
        </w:rPr>
        <w:t>掌握马克思主义中国化时代化过程中遵循的实事求是、与时俱进、开拓创新等方法论。</w:t>
      </w:r>
    </w:p>
    <w:bookmarkEnd w:id="10"/>
    <w:p w14:paraId="16584036" w14:textId="77777777" w:rsidR="0078124E" w:rsidRDefault="0078124E" w:rsidP="0078124E">
      <w:pPr>
        <w:snapToGrid w:val="0"/>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w:t>
      </w:r>
      <w:r>
        <w:rPr>
          <w:rFonts w:ascii="宋体" w:eastAsia="宋体" w:hAnsi="宋体" w:cs="宋体" w:hint="eastAsia"/>
          <w:sz w:val="24"/>
        </w:rPr>
        <w:t>情感、态度、价值观类目标：</w:t>
      </w:r>
      <w:bookmarkStart w:id="11" w:name="_Hlk147995051"/>
      <w:r>
        <w:rPr>
          <w:rFonts w:ascii="宋体" w:eastAsia="宋体" w:hAnsi="宋体" w:cs="宋体" w:hint="eastAsia"/>
          <w:color w:val="000000"/>
          <w:sz w:val="24"/>
          <w:szCs w:val="24"/>
        </w:rPr>
        <w:t>认识到学习马克思主义中国化时代化与中国化马克思主义的意义和价值，自觉提升运用马克思主义立场、观点和方法认识、分析与解决问题的能力。</w:t>
      </w:r>
    </w:p>
    <w:bookmarkEnd w:id="11"/>
    <w:p w14:paraId="52A41CDA" w14:textId="77777777" w:rsidR="0078124E" w:rsidRDefault="0078124E" w:rsidP="0078124E">
      <w:pPr>
        <w:snapToGrid w:val="0"/>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7CF3AABD"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w:t>
      </w:r>
      <w:bookmarkStart w:id="12" w:name="_Hlk147995082"/>
      <w:r>
        <w:rPr>
          <w:rFonts w:ascii="宋体" w:eastAsia="宋体" w:hAnsi="宋体" w:cs="宋体" w:hint="eastAsia"/>
          <w:color w:val="000000"/>
          <w:sz w:val="24"/>
          <w:szCs w:val="24"/>
        </w:rPr>
        <w:t>马克思主义中国化时代化的提出</w:t>
      </w:r>
    </w:p>
    <w:bookmarkEnd w:id="12"/>
    <w:p w14:paraId="2AEA02CE"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w:t>
      </w:r>
      <w:bookmarkStart w:id="13" w:name="_Hlk147995095"/>
      <w:r>
        <w:rPr>
          <w:rFonts w:ascii="宋体" w:eastAsia="宋体" w:hAnsi="宋体" w:cs="宋体" w:hint="eastAsia"/>
          <w:color w:val="000000"/>
          <w:sz w:val="24"/>
          <w:szCs w:val="24"/>
        </w:rPr>
        <w:t>马克思主义中国化时代化的内涵</w:t>
      </w:r>
      <w:bookmarkEnd w:id="13"/>
    </w:p>
    <w:p w14:paraId="6E7A7346"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w:t>
      </w:r>
      <w:bookmarkStart w:id="14" w:name="_Hlk147995106"/>
      <w:r>
        <w:rPr>
          <w:rFonts w:ascii="宋体" w:eastAsia="宋体" w:hAnsi="宋体" w:cs="宋体" w:hint="eastAsia"/>
          <w:color w:val="000000"/>
          <w:sz w:val="24"/>
          <w:szCs w:val="24"/>
        </w:rPr>
        <w:t>马克思主义中国化时代化的历史进程</w:t>
      </w:r>
      <w:bookmarkEnd w:id="14"/>
    </w:p>
    <w:p w14:paraId="6AA5277C"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w:t>
      </w:r>
      <w:bookmarkStart w:id="15" w:name="_Hlk147995116"/>
      <w:r>
        <w:rPr>
          <w:rFonts w:ascii="宋体" w:eastAsia="宋体" w:hAnsi="宋体" w:cs="宋体" w:hint="eastAsia"/>
          <w:color w:val="000000"/>
          <w:sz w:val="24"/>
          <w:szCs w:val="24"/>
        </w:rPr>
        <w:t>马克思主义中国化时代化理论成果及其关系</w:t>
      </w:r>
    </w:p>
    <w:bookmarkEnd w:id="15"/>
    <w:p w14:paraId="5CE89EFB"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【重点】</w:t>
      </w:r>
    </w:p>
    <w:p w14:paraId="6327E257"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bookmarkStart w:id="16" w:name="_Hlk147995134"/>
      <w:r>
        <w:rPr>
          <w:rFonts w:ascii="宋体" w:eastAsia="宋体" w:hAnsi="宋体" w:cs="宋体" w:hint="eastAsia"/>
          <w:color w:val="000000"/>
          <w:sz w:val="24"/>
          <w:szCs w:val="24"/>
        </w:rPr>
        <w:t>1.马克思主义中国化时代化的内涵</w:t>
      </w:r>
    </w:p>
    <w:bookmarkEnd w:id="16"/>
    <w:p w14:paraId="0C2317AC"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394FE2D3"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bookmarkStart w:id="17" w:name="_Hlk147995151"/>
      <w:r>
        <w:rPr>
          <w:rFonts w:ascii="宋体" w:eastAsia="宋体" w:hAnsi="宋体" w:cs="宋体" w:hint="eastAsia"/>
          <w:color w:val="000000"/>
          <w:sz w:val="24"/>
          <w:szCs w:val="24"/>
        </w:rPr>
        <w:t>2.马克思主义中国化时代化理论成果及其关系</w:t>
      </w:r>
    </w:p>
    <w:bookmarkEnd w:id="17"/>
    <w:p w14:paraId="48BD7B1D"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【教学方法】</w:t>
      </w:r>
    </w:p>
    <w:p w14:paraId="2828E5CC"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bookmarkStart w:id="18" w:name="_Hlk147995191"/>
      <w:r>
        <w:rPr>
          <w:rFonts w:ascii="宋体" w:eastAsia="宋体" w:hAnsi="宋体" w:cs="宋体" w:hint="eastAsia"/>
          <w:color w:val="000000"/>
          <w:sz w:val="24"/>
          <w:szCs w:val="24"/>
        </w:rPr>
        <w:t>1.通过教师互动教学法，培养学生理论逻辑思辨能力，引导学生准确理解马克思主义中国化时代化的内涵和历程；</w:t>
      </w:r>
    </w:p>
    <w:p w14:paraId="440489EB"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2.运用案例分析法，强调理论与实践相结合，促进学生深化和整合所学知识，培养学生的反思能力与批判性思维；</w:t>
      </w:r>
    </w:p>
    <w:p w14:paraId="7D2BC8CB"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3.通过组织学生探讨和小组合作学习，培养问题意识，发展自主探究能力，树立育人意识，发展学生的合作能力；</w:t>
      </w:r>
    </w:p>
    <w:bookmarkEnd w:id="18"/>
    <w:p w14:paraId="13C31E71"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【复习思考】</w:t>
      </w:r>
    </w:p>
    <w:p w14:paraId="3F7390EB" w14:textId="77777777" w:rsidR="0078124E" w:rsidRDefault="0078124E" w:rsidP="0078124E">
      <w:pPr>
        <w:snapToGrid w:val="0"/>
        <w:spacing w:line="440" w:lineRule="exact"/>
        <w:ind w:left="480"/>
        <w:rPr>
          <w:rFonts w:ascii="宋体" w:eastAsia="宋体" w:hAnsi="宋体" w:cs="宋体"/>
          <w:color w:val="000000"/>
          <w:sz w:val="24"/>
          <w:szCs w:val="24"/>
        </w:rPr>
      </w:pPr>
      <w:bookmarkStart w:id="19" w:name="_Hlk147995212"/>
      <w:r>
        <w:rPr>
          <w:rFonts w:ascii="宋体" w:eastAsia="宋体" w:hAnsi="宋体" w:cs="宋体" w:hint="eastAsia"/>
          <w:color w:val="000000"/>
          <w:sz w:val="24"/>
          <w:szCs w:val="24"/>
        </w:rPr>
        <w:t>1.马克思主义中国化时代化理论成果及其关系</w:t>
      </w:r>
      <w:bookmarkEnd w:id="19"/>
    </w:p>
    <w:p w14:paraId="4F8B663B"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第一章　毛泽东思想及其历史地位</w:t>
      </w:r>
    </w:p>
    <w:p w14:paraId="31DDBDA0"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【学习目标】</w:t>
      </w:r>
    </w:p>
    <w:p w14:paraId="22C074F3"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1.认知类目标：了解毛泽东思想形成的历史条件和发展过程，掌握毛泽东思想的主要内容及其活的灵魂；了解毛泽东思想的历史地位。</w:t>
      </w:r>
    </w:p>
    <w:p w14:paraId="4C534F3D"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2.过程与方法类目标：理解和领会毛泽东思想形成的历程和实事求是、具体问题具体分析方法论；</w:t>
      </w:r>
    </w:p>
    <w:p w14:paraId="3313C382"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态度、价值观类目标：走近毛泽东思想，了解毛泽东思想家的历史地位，理解毛泽东思想的真理性和当代价值，树立正确学习毛泽东思想的态度与学风，坚定马克思主义信仰，增强学习和运用辩证唯物主义和历史唯物主义的自觉性，提高学习贯彻习近平新时代中国特色社会主义思想的自觉性。</w:t>
      </w:r>
    </w:p>
    <w:p w14:paraId="18401EBB"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6EE7B0DD"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1.毛泽东思想的形成和发展；</w:t>
      </w:r>
    </w:p>
    <w:p w14:paraId="497912AF"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2.毛泽东思想的主要内容和活的灵魂；</w:t>
      </w:r>
    </w:p>
    <w:p w14:paraId="44CE9BEA"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3.毛泽东思想的历史地位。</w:t>
      </w:r>
    </w:p>
    <w:p w14:paraId="45403FC4"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【重点】</w:t>
      </w:r>
    </w:p>
    <w:p w14:paraId="4CDB2149"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1.学习毛泽东思想的主要内容和历史地位。</w:t>
      </w:r>
    </w:p>
    <w:p w14:paraId="0D98DA9E"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3C07A4DC"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2.全面、准确地理解毛泽东思想，把握毛泽东思想活的灵魂。</w:t>
      </w:r>
    </w:p>
    <w:p w14:paraId="0C4C4E03"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【教学方法】</w:t>
      </w:r>
    </w:p>
    <w:p w14:paraId="66598482"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1.通过教师系统讲授和学生自主探究相结合，培养学生理论思维能力，引导学生准确理解马克思主义，掌握马克思主义理论联系实际的学风和方法；</w:t>
      </w:r>
    </w:p>
    <w:p w14:paraId="133D4AA4"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2.通过案例分析，强调理论与实践相结合，促进学生知识整合，培养学生的反思能力；</w:t>
      </w:r>
    </w:p>
    <w:p w14:paraId="31654022"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3.通过小组合作学习，树立育人意识，发展学生的合作能力；</w:t>
      </w:r>
    </w:p>
    <w:p w14:paraId="145A27EE"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4.通过课堂汇报和课堂辩论，强化知识应用意识，发展学生的教学能力和反思能力；</w:t>
      </w:r>
    </w:p>
    <w:p w14:paraId="61BA8530"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lastRenderedPageBreak/>
        <w:t>【复习思考】</w:t>
      </w:r>
    </w:p>
    <w:p w14:paraId="4B947753"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1.毛泽东思想形成和发展的社会历史条件是什么？</w:t>
      </w:r>
    </w:p>
    <w:p w14:paraId="19B292C8"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2.如何把握毛泽东思想的主要内容和活的灵魂？</w:t>
      </w:r>
    </w:p>
    <w:p w14:paraId="72B5BE26"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3.如何科学认识毛泽东思想的历史地位？</w:t>
      </w:r>
    </w:p>
    <w:p w14:paraId="414C9A30"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第二章　新民主主义革命理论</w:t>
      </w:r>
    </w:p>
    <w:p w14:paraId="32C3E9F2"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【学习目标】</w:t>
      </w:r>
    </w:p>
    <w:p w14:paraId="20F2BFD5"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1.认知类目标：理解近代中国的基本国情；熟悉新民主主义革命理论形成和发展的过程；掌握新民主主义革命的总路线和基本纲领；掌握新民主主义革命的基本经验。</w:t>
      </w:r>
    </w:p>
    <w:p w14:paraId="1BB61CD5"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2.过程与方法类目标：理解和领会中国共产党探索中国新民主主义革命的道路和方法；</w:t>
      </w:r>
    </w:p>
    <w:p w14:paraId="347CD1AD"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3.情感、态度、价值观类目标：</w:t>
      </w:r>
      <w:proofErr w:type="gramStart"/>
      <w:r>
        <w:rPr>
          <w:rFonts w:ascii="宋体" w:eastAsia="宋体" w:hAnsi="宋体" w:cs="宋体" w:hint="eastAsia"/>
          <w:color w:val="000000"/>
          <w:sz w:val="24"/>
          <w:szCs w:val="24"/>
        </w:rPr>
        <w:t>增强听</w:t>
      </w:r>
      <w:proofErr w:type="gramEnd"/>
      <w:r>
        <w:rPr>
          <w:rFonts w:ascii="宋体" w:eastAsia="宋体" w:hAnsi="宋体" w:cs="宋体" w:hint="eastAsia"/>
          <w:color w:val="000000"/>
          <w:sz w:val="24"/>
          <w:szCs w:val="24"/>
        </w:rPr>
        <w:t>党话、跟党走的自觉，努力成为拥护中国共产党领导和我国社会主义制度，立志为中国特色社会主义奋斗终身的有用之才。</w:t>
      </w:r>
    </w:p>
    <w:p w14:paraId="33849976"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010025E1"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1.新民主主义革命理论形成的依据；</w:t>
      </w:r>
    </w:p>
    <w:p w14:paraId="7DB9CC53"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2.新民主主义革命的总路线和基本纲领；</w:t>
      </w:r>
    </w:p>
    <w:p w14:paraId="5BE09712"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3.新民主主义革命的道路和基本经验。</w:t>
      </w:r>
    </w:p>
    <w:p w14:paraId="521069C6"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【重点】</w:t>
      </w:r>
    </w:p>
    <w:p w14:paraId="5AB6C1C5"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1.近代中国的基本国情；</w:t>
      </w:r>
    </w:p>
    <w:p w14:paraId="30349189"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2.新民主主义革命的总路线和基本纲领；</w:t>
      </w:r>
    </w:p>
    <w:p w14:paraId="6BC00EFB"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3.新民主主义革命道路的形成及其重大意义</w:t>
      </w:r>
    </w:p>
    <w:p w14:paraId="420BA7B3"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542D42E3"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1.如何理解新民主主义革命的性质？</w:t>
      </w:r>
    </w:p>
    <w:p w14:paraId="676BD588"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2.如何理解新民主主义革命理论是对马克思主义理论的丰富和发展？</w:t>
      </w:r>
    </w:p>
    <w:p w14:paraId="2EEB9ECB"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【教学方法】</w:t>
      </w:r>
    </w:p>
    <w:p w14:paraId="2037AA2A"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1.通过教师系统讲授和学生自主探究相结合，阐明新民主主义革命理论是对马克思主义理论的丰富和发展；</w:t>
      </w:r>
    </w:p>
    <w:p w14:paraId="1287CDA0"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2.通过案例分析，培养学生反思与批判性思维，促进学生深化和整合所学知识，反对</w:t>
      </w:r>
      <w:proofErr w:type="gramStart"/>
      <w:r>
        <w:rPr>
          <w:rFonts w:ascii="宋体" w:eastAsia="宋体" w:hAnsi="宋体" w:cs="宋体" w:hint="eastAsia"/>
          <w:color w:val="000000"/>
          <w:sz w:val="24"/>
          <w:szCs w:val="24"/>
        </w:rPr>
        <w:t>对</w:t>
      </w:r>
      <w:proofErr w:type="gramEnd"/>
      <w:r>
        <w:rPr>
          <w:rFonts w:ascii="宋体" w:eastAsia="宋体" w:hAnsi="宋体" w:cs="宋体" w:hint="eastAsia"/>
          <w:color w:val="000000"/>
          <w:sz w:val="24"/>
          <w:szCs w:val="24"/>
        </w:rPr>
        <w:t>毛泽东思想的种种歪曲和篡改，深化对毛泽东思想的理解；</w:t>
      </w:r>
    </w:p>
    <w:p w14:paraId="7EE827B9"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3.通过组织学生探讨和合作学习，强化学生问题意识，提高学生运用辩证唯物主义思维方法观察、分析和处理问题的能力。</w:t>
      </w:r>
    </w:p>
    <w:p w14:paraId="2B48D1AE"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lastRenderedPageBreak/>
        <w:t>【复习思考】</w:t>
      </w:r>
    </w:p>
    <w:p w14:paraId="23A0C23A"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1.什么是新民主主义革命的总路线？如何理解新民主主义革命的领导权问题？</w:t>
      </w:r>
    </w:p>
    <w:p w14:paraId="6947DF85"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2.新民主主义基本纲领的主要内容是什么？</w:t>
      </w:r>
    </w:p>
    <w:p w14:paraId="0556D0DB"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3.如何认识中国革命走农村包围城市、武装夺取政权道路的必要性及重大意义？</w:t>
      </w:r>
    </w:p>
    <w:p w14:paraId="6E97055F"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4.如何理解新民主主义革命的三大法宝及其相互关系？</w:t>
      </w:r>
    </w:p>
    <w:p w14:paraId="32B606F9"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第三章　社会主义改造理论</w:t>
      </w:r>
    </w:p>
    <w:p w14:paraId="0C3642DF"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【学习目标】</w:t>
      </w:r>
    </w:p>
    <w:p w14:paraId="18B01245"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知类目标：理解新民主主义社会的过渡性质；理解社会主义社会是新民主主义社会的必然前途；掌握过渡时期总路线的基本内涵、理论依据；熟悉我国社会主义改造的基本经验；掌握社会主义制度确立的理论根据。</w:t>
      </w:r>
    </w:p>
    <w:p w14:paraId="35B9AFD1"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2.过程与方法类目标：理解和领会中国共产党探索社会主义改造的道路和方法；</w:t>
      </w:r>
    </w:p>
    <w:p w14:paraId="2F9ABB18"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3.情感、态度、价值观类目标：培养反思和批判性思维，不断增强思维能力，深化对学科思想和方法的理解，提升学科素养，提高运用辩证唯物主义立场观察、分析和处理问题的能力。</w:t>
      </w:r>
    </w:p>
    <w:p w14:paraId="5E085D36"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01ECC420"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1.从新民主主义到社会主义的转变；</w:t>
      </w:r>
    </w:p>
    <w:p w14:paraId="732CBB7D"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2.社会主义改造道路和历史经验；</w:t>
      </w:r>
    </w:p>
    <w:p w14:paraId="1621AFA3"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3.社会主义基本制度在中国的确立。</w:t>
      </w:r>
    </w:p>
    <w:p w14:paraId="255BC91F"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【重点】</w:t>
      </w:r>
    </w:p>
    <w:p w14:paraId="4D3F79FC"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1.把握过渡时期的总路线及理论依据；我国社会主义改造的基本经验；我国确立制度的重大意义及理论根据。</w:t>
      </w:r>
    </w:p>
    <w:p w14:paraId="17379C94"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4B7EA00C"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1.理解为什么说社会主义是近代中国的历史的、必然的选择？</w:t>
      </w:r>
    </w:p>
    <w:p w14:paraId="53CED4BC"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2.确立社会主义基本制度的重大意义。</w:t>
      </w:r>
    </w:p>
    <w:p w14:paraId="40C40B1C"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【教学方法】</w:t>
      </w:r>
    </w:p>
    <w:p w14:paraId="3BEB10B5"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1.通过教师系统讲授和学生自主探究相结合，阐明社会主义社会是新民主主义社会的必然前途；</w:t>
      </w:r>
    </w:p>
    <w:p w14:paraId="43ECB9EF"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2.采用案例分析，强调理论与实际相结合，培养学生反思和批判意识，提升学生理论思维能力；</w:t>
      </w:r>
    </w:p>
    <w:p w14:paraId="6BA5D8EB"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3.通过小组合作学习和课堂研讨，强化学生问题意识，发展学生合作能力和理论</w:t>
      </w:r>
      <w:r>
        <w:rPr>
          <w:rFonts w:ascii="宋体" w:eastAsia="宋体" w:hAnsi="宋体" w:cs="宋体" w:hint="eastAsia"/>
          <w:color w:val="000000"/>
          <w:sz w:val="24"/>
          <w:szCs w:val="24"/>
        </w:rPr>
        <w:lastRenderedPageBreak/>
        <w:t>联系实际能力，提高学生运用辩证唯物主义思维方法观察、分析和处理问题的能力。</w:t>
      </w:r>
    </w:p>
    <w:p w14:paraId="547F9A11"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【复习思考】</w:t>
      </w:r>
    </w:p>
    <w:p w14:paraId="3E467131"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1.为什么说新民主主义社会是一个过渡性社会？</w:t>
      </w:r>
    </w:p>
    <w:p w14:paraId="2F7137AC"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2.怎样理解党在过渡时期的总路线？</w:t>
      </w:r>
    </w:p>
    <w:p w14:paraId="25719747"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3.如何认识我国社会主义改造的基本经验？</w:t>
      </w:r>
    </w:p>
    <w:p w14:paraId="11C557D0"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4.如何理解中国确立社会主义基本制度的重大意义？</w:t>
      </w:r>
    </w:p>
    <w:p w14:paraId="5AC671F2"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第四章　社会主义建设道路初步探索的理论成果</w:t>
      </w:r>
    </w:p>
    <w:p w14:paraId="0A0E3147"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【学习目标】</w:t>
      </w:r>
    </w:p>
    <w:p w14:paraId="5D851488"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1.认知类目标：掌握党在中国社会主义建设道路的初步探索中取得的重要理论成果；理解党对社会主义建设道路初步探索的意义；熟悉党对社会主义建设道路的初步探索的经验教训。</w:t>
      </w:r>
    </w:p>
    <w:p w14:paraId="557197E5"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2.过程与方法类目标：理解和领会社会主义建设道路初步探索的道路和方法；</w:t>
      </w:r>
    </w:p>
    <w:p w14:paraId="01DD1B04"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3.情感、态度、价值观类目标：科学认识和把握社会主义的本质，深刻理解社会主义初步探索的历史地位及其历史必然性，坚定社会主义必然胜利的信念。</w:t>
      </w:r>
    </w:p>
    <w:p w14:paraId="1A620E5F"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3ECE028B"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1.社会主义建设道路初步探索的重要思想成果；</w:t>
      </w:r>
    </w:p>
    <w:p w14:paraId="0044698A"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2.社会主义建设道路初步探索的意义和经验教训。</w:t>
      </w:r>
    </w:p>
    <w:p w14:paraId="5B917AD8"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【重点】</w:t>
      </w:r>
    </w:p>
    <w:p w14:paraId="772294A5"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1.把握党对社会主义建设道路初步探索的意义；</w:t>
      </w:r>
    </w:p>
    <w:p w14:paraId="04AD86EA"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2.掌握党对社会主义建设道路的初步探索的经验教训。</w:t>
      </w:r>
    </w:p>
    <w:p w14:paraId="101D73FC"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54F74E22"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1.掌握党对社会主义建设道路的初步探索的经验教训；</w:t>
      </w:r>
    </w:p>
    <w:p w14:paraId="2E7D420C"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 xml:space="preserve">2.正确认识和处理社会主义社会矛盾的思想。　</w:t>
      </w:r>
    </w:p>
    <w:p w14:paraId="165B9C15"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【教学方法】</w:t>
      </w:r>
    </w:p>
    <w:p w14:paraId="537F7D50"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1.通过教师系统讲授和学生自主探究相结合，阐明社会主义建设道路初步探索的意义和经验教训；</w:t>
      </w:r>
    </w:p>
    <w:p w14:paraId="5CF73BEE"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2.通过案例分析，强调理论与实践相结合，促进学生知识整合，培养学生的反思能力；</w:t>
      </w:r>
    </w:p>
    <w:p w14:paraId="13C2F972"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3.通过探究性学习研讨，培育学生问题意识，辩证认识社会主义初步探索历史发展及其必然趋势。</w:t>
      </w:r>
    </w:p>
    <w:p w14:paraId="39E8580A"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lastRenderedPageBreak/>
        <w:t>【复习思考】</w:t>
      </w:r>
    </w:p>
    <w:p w14:paraId="2186585E"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1.党在中国社会主义建设道路的初步探索中取得了哪些重要的理论成果？</w:t>
      </w:r>
    </w:p>
    <w:p w14:paraId="39F8D4BB"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2.如何认识党对社会主义建设道路初步探索的重大意义？</w:t>
      </w:r>
    </w:p>
    <w:p w14:paraId="1A05E7D2"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3.党对社会主义建设道路的初步探索有哪些经验教训？</w:t>
      </w:r>
    </w:p>
    <w:p w14:paraId="6F9B2D9E"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第五章中国特色社会主义理论体系的形成发展</w:t>
      </w:r>
    </w:p>
    <w:p w14:paraId="2F31E76F"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【学习目标】</w:t>
      </w:r>
    </w:p>
    <w:p w14:paraId="2888497E"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1.认知类目标：了解中国特色社会主义形成的历史条件；掌握中国特色社会主义体系的形成过程。</w:t>
      </w:r>
    </w:p>
    <w:p w14:paraId="0F783B25"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2.过程与方法类目标：理解和领会探索中国特色社会主义的道路和方法；</w:t>
      </w:r>
    </w:p>
    <w:p w14:paraId="1281C227"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态度、价值观类目标：认识中国特色社会主义的历史进程，理解中国特色社会主义焕发社会主义强大生机活力的重要意义，坚定社会主义和中国特色社会主义信念，坚定“四个”自信，坚定历史自信，增进学生对中国特色社会主义的思想认同、政治认同和情感认同。</w:t>
      </w:r>
    </w:p>
    <w:p w14:paraId="1701FF21"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42A547DD"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1.中国特色社会主义理论体系形成发展的社会历史条件</w:t>
      </w:r>
    </w:p>
    <w:p w14:paraId="59C2CFF0"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2.中国特色社会主义理论体系形成发展过程</w:t>
      </w:r>
    </w:p>
    <w:p w14:paraId="21AFFE2F"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【重点】</w:t>
      </w:r>
    </w:p>
    <w:p w14:paraId="77B71C4D" w14:textId="77777777" w:rsidR="0078124E" w:rsidRDefault="0078124E" w:rsidP="0078124E">
      <w:pPr>
        <w:snapToGrid w:val="0"/>
        <w:spacing w:line="440" w:lineRule="exact"/>
        <w:ind w:firstLineChars="200" w:firstLine="480"/>
        <w:rPr>
          <w:rFonts w:ascii="宋体" w:eastAsia="宋体" w:hAnsi="宋体" w:cs="宋体"/>
          <w:b/>
          <w:bCs/>
          <w:color w:val="000000"/>
          <w:sz w:val="24"/>
          <w:szCs w:val="24"/>
        </w:rPr>
      </w:pPr>
      <w:r>
        <w:rPr>
          <w:rFonts w:ascii="宋体" w:eastAsia="宋体" w:hAnsi="宋体" w:cs="宋体" w:hint="eastAsia"/>
          <w:color w:val="000000"/>
          <w:sz w:val="24"/>
          <w:szCs w:val="24"/>
        </w:rPr>
        <w:t>1.中国特色社会主义理论体系形成发展过程</w:t>
      </w:r>
    </w:p>
    <w:p w14:paraId="46C59DE6"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264757FF"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2.中国特色社会主义理论体系形成发展的社会历史条件</w:t>
      </w:r>
    </w:p>
    <w:p w14:paraId="1A07AA81"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【教学方法】</w:t>
      </w:r>
    </w:p>
    <w:p w14:paraId="3324DAAD"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1.通过教师系统讲授和学生自主探究相结合，阐明中国特色社会主义理论体系形成发展的社会历史条件。</w:t>
      </w:r>
    </w:p>
    <w:p w14:paraId="27E5E116"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2.通过案例分析，提升学生反思和批判意识，正确认识中国特色社会主义理论体系形成发展过程，深化对中国特色社会主义“四个自信”认识；</w:t>
      </w:r>
    </w:p>
    <w:p w14:paraId="38F8D259"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3.通过组织学生探讨，培养学生问题意识，深刻认识中国特色社会主义理论体系形成发展的历史发展必然性和时代性。</w:t>
      </w:r>
    </w:p>
    <w:p w14:paraId="3CAA7381"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【复习思考】</w:t>
      </w:r>
    </w:p>
    <w:p w14:paraId="721DE72A"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1.如何认识中国特色社会主义理论体系的社会历史条件？</w:t>
      </w:r>
    </w:p>
    <w:p w14:paraId="003A2528"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2.如何把握中国特色社会主义理论体系的历史进程？</w:t>
      </w:r>
    </w:p>
    <w:p w14:paraId="51B01C6A"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lastRenderedPageBreak/>
        <w:t>第六章　邓小平理论</w:t>
      </w:r>
    </w:p>
    <w:p w14:paraId="6C3EE0C7"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【学习目标】</w:t>
      </w:r>
    </w:p>
    <w:p w14:paraId="43422B74"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1.认知类目标：了解邓小平理论形成的历史条件；掌握邓小平理论的主要内容；了解邓小平理论的历史地位。</w:t>
      </w:r>
    </w:p>
    <w:p w14:paraId="5C89D00A"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2.过程与方法类目标：理解和领会邓小平时期探索中国特色社会主义的道路和方法；</w:t>
      </w:r>
    </w:p>
    <w:p w14:paraId="2DFEF3BD"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态度、价值观类目标：认识社会主义改革的历史进程，理解中国特色社会主义焕发社会主义强大生机活力的重要意义，坚定社会主义和中国特色社会主义信念，坚定“四个”自信，增进学生对中国特色社会主义的思想认同、政治认同和情感认同。</w:t>
      </w:r>
    </w:p>
    <w:p w14:paraId="28D966EA"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374DDCE6"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1.邓小平理论的形成；</w:t>
      </w:r>
    </w:p>
    <w:p w14:paraId="41203EBE"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2.邓小平理论的基本问题和主要内容；</w:t>
      </w:r>
    </w:p>
    <w:p w14:paraId="0D13DB0A"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3.邓小平理论的历史地位。</w:t>
      </w:r>
    </w:p>
    <w:p w14:paraId="4DC6C435"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【重点】</w:t>
      </w:r>
    </w:p>
    <w:p w14:paraId="5D61FA39"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1.邓小平理论的重要内容，特别是关于社会主义初级阶段理论、改革开放理论以及一国两制等。</w:t>
      </w:r>
    </w:p>
    <w:p w14:paraId="12C935CD"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4C21ABD3"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2.理解邓小平理论形成的背景，认识把握邓小平理论的基本问题，全面理解掌握社会主义本质理论。</w:t>
      </w:r>
    </w:p>
    <w:p w14:paraId="42C999E4"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【教学方法】</w:t>
      </w:r>
    </w:p>
    <w:p w14:paraId="4B218A4E"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1.通过教师系统讲授和学生自主探究相结合，阐明邓小平理论的基本问题，全面理解掌握社会主义本质理论。</w:t>
      </w:r>
    </w:p>
    <w:p w14:paraId="60C3C14E"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2.通过案例分析，提升学生反思和批判意识，促进学生深刻把握社会主义从理想到现实、从一国到多国的历史进程，正确认识社会主义实践的历史经验教训，深化对中国特色社会主义“四个自信”认识；</w:t>
      </w:r>
    </w:p>
    <w:p w14:paraId="50DBA78D"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3.通过组织学生探讨，培养学生问题意识，深刻认识社会主义改革的历史发展必然性和长期性。</w:t>
      </w:r>
    </w:p>
    <w:p w14:paraId="15B79A60"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【复习思考】</w:t>
      </w:r>
    </w:p>
    <w:p w14:paraId="3FAA19A9"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1.如何认识邓小平理论形成的社会历史条件？</w:t>
      </w:r>
    </w:p>
    <w:p w14:paraId="7BA7387D"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2.如何把握邓小平理论的主要内容？</w:t>
      </w:r>
    </w:p>
    <w:p w14:paraId="592F1A48"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3.如何认识邓小平理论的历史地位？</w:t>
      </w:r>
    </w:p>
    <w:p w14:paraId="7F101432"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第七章　“三个代表”重要思想</w:t>
      </w:r>
    </w:p>
    <w:p w14:paraId="26E3AC6A"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【学习目标】</w:t>
      </w:r>
    </w:p>
    <w:p w14:paraId="075A27DE"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知类目标：深入了解和掌握“三个代表”重要思想的形成、基本内容及其历史地位；认识在世界社会主义陷入低谷时，以江泽民为主要代表的中国共产党人，坚决捍卫了中国特色社会主义，并成功推向21世纪。</w:t>
      </w:r>
    </w:p>
    <w:p w14:paraId="28B81C75"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2.过程与方法类目标：理解和领会以江泽民为核心的党中央探索新时期党的建设的道路和方法；</w:t>
      </w:r>
    </w:p>
    <w:p w14:paraId="3A287FCF"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3.情感、态度、价值观类目标：确定先锋队思想，坚定共产主义和社会主义必胜信念，教育教学实践中为中国特色社会主义事业培养合格建设者和可靠接班人。</w:t>
      </w:r>
    </w:p>
    <w:p w14:paraId="3EBBF0BB"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4B0F092E"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1.“三个代表”重要思想的形成；</w:t>
      </w:r>
    </w:p>
    <w:p w14:paraId="1ADFFBFC"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2.“三个代表”重要思想的核心观点和主要内容；</w:t>
      </w:r>
    </w:p>
    <w:p w14:paraId="1DD2B6F5"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3.“三个代表”重要思想的历史地位。</w:t>
      </w:r>
    </w:p>
    <w:p w14:paraId="37C1A8A0"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【重点】</w:t>
      </w:r>
    </w:p>
    <w:p w14:paraId="1B6ED0E1"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1.认清“三个代表”重要思想形成时期的世情、国情、党情；</w:t>
      </w:r>
    </w:p>
    <w:p w14:paraId="054FF78C"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2.掌握“三个代表”重要思想的核心观点和主要内容；</w:t>
      </w:r>
    </w:p>
    <w:p w14:paraId="67D864FD"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3.全面理解“三个代表”重要思想的历史地位。</w:t>
      </w:r>
    </w:p>
    <w:p w14:paraId="73A72169"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6DB9C1BD"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1.准确把握“三个代表”重要思想的核心观点；</w:t>
      </w:r>
    </w:p>
    <w:p w14:paraId="0A4A4E99"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2.认识建立社会主义市场经济体制、推进党的建设新的伟大工程的重要性。</w:t>
      </w:r>
    </w:p>
    <w:p w14:paraId="5FB5FC73"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【教学方法】</w:t>
      </w:r>
    </w:p>
    <w:p w14:paraId="63A2C2CF"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1.通过教师系统讲授和学生自主探究相结合，阐明“三个代表”重要思想；</w:t>
      </w:r>
    </w:p>
    <w:p w14:paraId="761862C7"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2.通过案例分析，强调理论与实践相结合，促进学生知识整合，培养学生的反思能力；</w:t>
      </w:r>
    </w:p>
    <w:p w14:paraId="2092557F"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3.通过组织学生探讨，使学生深刻认识“三个代表”重要思想与中国共产党建设的关系，引导学生坚定理想信念，积极投身新时代中国特色社会主义建设伟大事业。</w:t>
      </w:r>
    </w:p>
    <w:p w14:paraId="28E69D83"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【复习思考】</w:t>
      </w:r>
    </w:p>
    <w:p w14:paraId="32358328"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1.如何把握“三个代表”重要思想形成的社会历史条件？</w:t>
      </w:r>
    </w:p>
    <w:p w14:paraId="49F563D5"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2.怎样准确把握“三个代表”重要思想的集中概括？</w:t>
      </w:r>
    </w:p>
    <w:p w14:paraId="6603B519"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3.如何认识建立社会主义市场经济体制的重要性和主要内容？</w:t>
      </w:r>
    </w:p>
    <w:p w14:paraId="37476E4D"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4.如何理解“三个代表”重要思想的历史地位？</w:t>
      </w:r>
    </w:p>
    <w:p w14:paraId="4A5F613B"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第八章　科学发展观</w:t>
      </w:r>
    </w:p>
    <w:p w14:paraId="4821E56E"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【学习目标】</w:t>
      </w:r>
    </w:p>
    <w:p w14:paraId="576B945C"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1.认知类目标：了解科学发展观的形成的时代背景、实践基础，准确掌握科学发展观的科学内涵、精神实质和历史地位；深刻理解科学发展观是我们党的指导思想的又一次与时俱进。</w:t>
      </w:r>
    </w:p>
    <w:p w14:paraId="552780BC"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2.过程与方法类目标：理解和领会以胡锦涛为核心的党中央探索新时期科学发展观。</w:t>
      </w:r>
    </w:p>
    <w:p w14:paraId="67829B0A"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3.情感、态度、价值观类目标：认识中国特色社会主义改革的历史进程，理解中国特色社会主义焕发社会主义强大生机活力的重要意义，坚定社会主义和中国特色社会主义信念。</w:t>
      </w:r>
    </w:p>
    <w:p w14:paraId="1882BA4F"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6A321CD9"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1.科学发展观的形成；</w:t>
      </w:r>
    </w:p>
    <w:p w14:paraId="1F899ADC"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2.科学发展观的科学内涵和主要内容；</w:t>
      </w:r>
    </w:p>
    <w:p w14:paraId="7D069E38"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3.科学发展观的历史地位。</w:t>
      </w:r>
    </w:p>
    <w:p w14:paraId="01F0C24F"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【重点】</w:t>
      </w:r>
    </w:p>
    <w:p w14:paraId="0C5AFCD6"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1.把握科学发展观形成的社会历史条件，明确世界发展趋势及我国发展阶段性特征对发展的新要求；</w:t>
      </w:r>
    </w:p>
    <w:p w14:paraId="19A250B3"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2.掌握科学发展观的科学内涵和主要内容。</w:t>
      </w:r>
    </w:p>
    <w:p w14:paraId="02FE9AEB"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7C89E0ED"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全面准确的理解把握科学发展观的科学内涵的四个方面和精神实质。</w:t>
      </w:r>
    </w:p>
    <w:p w14:paraId="5086EB75"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【教学方法】</w:t>
      </w:r>
    </w:p>
    <w:p w14:paraId="6303CA55"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1.通过教师系统讲授和学生自主探究相结合，阐明科学发展观；</w:t>
      </w:r>
    </w:p>
    <w:p w14:paraId="23760F20"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2.通过案例分析，强调理论与实践相结合，促进学生知识整合，培养学生的反思能力；</w:t>
      </w:r>
    </w:p>
    <w:p w14:paraId="032EF5DA"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3.通过探究性学习研讨，培育学生问题意识，辩证认识中国特色社会主义的历史发展及其必然趋势。</w:t>
      </w:r>
    </w:p>
    <w:p w14:paraId="3B9A5AA7" w14:textId="77777777" w:rsidR="0078124E" w:rsidRDefault="0078124E" w:rsidP="0078124E">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【复习思考】</w:t>
      </w:r>
    </w:p>
    <w:p w14:paraId="2B9483D3"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1.如何理解科学发展观形成发展的社会历史条件？</w:t>
      </w:r>
    </w:p>
    <w:p w14:paraId="7B92073F"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2.如何把握科学发展观的科学内涵和精神实质？</w:t>
      </w:r>
    </w:p>
    <w:p w14:paraId="2C2CF4AC"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3.如何理解科学发展观的历史地位和指导意义？</w:t>
      </w:r>
    </w:p>
    <w:p w14:paraId="53B33CD4" w14:textId="77777777" w:rsidR="0078124E" w:rsidRDefault="0078124E" w:rsidP="0078124E">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（二）课程学习内容与课程学习目标的对应关系</w:t>
      </w:r>
    </w:p>
    <w:tbl>
      <w:tblPr>
        <w:tblW w:w="850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9"/>
        <w:gridCol w:w="2126"/>
        <w:gridCol w:w="1985"/>
        <w:gridCol w:w="1276"/>
      </w:tblGrid>
      <w:tr w:rsidR="0078124E" w14:paraId="3BF70747" w14:textId="77777777" w:rsidTr="0078124E">
        <w:trPr>
          <w:trHeight w:val="365"/>
        </w:trPr>
        <w:tc>
          <w:tcPr>
            <w:tcW w:w="3119" w:type="dxa"/>
            <w:shd w:val="clear" w:color="auto" w:fill="auto"/>
            <w:vAlign w:val="center"/>
          </w:tcPr>
          <w:p w14:paraId="1E3182C2"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bookmarkStart w:id="20" w:name="_Hlk148012024"/>
            <w:r>
              <w:rPr>
                <w:rFonts w:ascii="宋体" w:eastAsia="宋体" w:hAnsi="宋体" w:cs="宋体" w:hint="eastAsia"/>
                <w:b/>
                <w:bCs/>
                <w:color w:val="000000" w:themeColor="text1"/>
                <w:kern w:val="0"/>
                <w:sz w:val="24"/>
                <w:szCs w:val="24"/>
              </w:rPr>
              <w:t>课程学习内容</w:t>
            </w:r>
          </w:p>
        </w:tc>
        <w:tc>
          <w:tcPr>
            <w:tcW w:w="2126" w:type="dxa"/>
            <w:shd w:val="clear" w:color="auto" w:fill="auto"/>
            <w:vAlign w:val="center"/>
          </w:tcPr>
          <w:p w14:paraId="6C721BF9"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教学方法</w:t>
            </w:r>
          </w:p>
        </w:tc>
        <w:tc>
          <w:tcPr>
            <w:tcW w:w="1985" w:type="dxa"/>
            <w:shd w:val="clear" w:color="auto" w:fill="auto"/>
            <w:vAlign w:val="center"/>
          </w:tcPr>
          <w:p w14:paraId="70A814F1"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支撑的课程目标</w:t>
            </w:r>
          </w:p>
        </w:tc>
        <w:tc>
          <w:tcPr>
            <w:tcW w:w="1276" w:type="dxa"/>
            <w:shd w:val="clear" w:color="auto" w:fill="auto"/>
            <w:vAlign w:val="center"/>
          </w:tcPr>
          <w:p w14:paraId="7B385A8F"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学时安排</w:t>
            </w:r>
          </w:p>
        </w:tc>
      </w:tr>
      <w:tr w:rsidR="0078124E" w14:paraId="40456F8B" w14:textId="77777777" w:rsidTr="0078124E">
        <w:trPr>
          <w:trHeight w:val="723"/>
        </w:trPr>
        <w:tc>
          <w:tcPr>
            <w:tcW w:w="3119" w:type="dxa"/>
            <w:shd w:val="clear" w:color="auto" w:fill="auto"/>
          </w:tcPr>
          <w:p w14:paraId="0EDEF4DB" w14:textId="77777777" w:rsidR="0078124E" w:rsidRDefault="0078124E" w:rsidP="0078124E">
            <w:pPr>
              <w:adjustRightInd w:val="0"/>
              <w:snapToGrid w:val="0"/>
              <w:spacing w:line="440" w:lineRule="exact"/>
              <w:rPr>
                <w:rFonts w:ascii="宋体" w:eastAsia="宋体" w:hAnsi="宋体" w:cs="宋体"/>
                <w:b/>
                <w:bCs/>
                <w:color w:val="000000"/>
                <w:kern w:val="0"/>
                <w:sz w:val="24"/>
                <w:szCs w:val="24"/>
              </w:rPr>
            </w:pPr>
            <w:r>
              <w:rPr>
                <w:rFonts w:ascii="宋体" w:eastAsia="宋体" w:hAnsi="宋体" w:cs="宋体" w:hint="eastAsia"/>
                <w:color w:val="000000"/>
                <w:kern w:val="0"/>
                <w:sz w:val="24"/>
                <w:szCs w:val="24"/>
              </w:rPr>
              <w:t>导论 马克思主义中国化的历史进程与理论成果</w:t>
            </w:r>
          </w:p>
        </w:tc>
        <w:tc>
          <w:tcPr>
            <w:tcW w:w="2126" w:type="dxa"/>
            <w:shd w:val="clear" w:color="auto" w:fill="auto"/>
            <w:vAlign w:val="center"/>
          </w:tcPr>
          <w:p w14:paraId="1A6422AB"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讲授法、专题研讨</w:t>
            </w:r>
          </w:p>
        </w:tc>
        <w:tc>
          <w:tcPr>
            <w:tcW w:w="1985" w:type="dxa"/>
            <w:shd w:val="clear" w:color="auto" w:fill="auto"/>
            <w:vAlign w:val="center"/>
          </w:tcPr>
          <w:p w14:paraId="0E92BAF0"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课程目标1、3</w:t>
            </w:r>
          </w:p>
        </w:tc>
        <w:tc>
          <w:tcPr>
            <w:tcW w:w="1276" w:type="dxa"/>
            <w:shd w:val="clear" w:color="auto" w:fill="auto"/>
            <w:vAlign w:val="center"/>
          </w:tcPr>
          <w:p w14:paraId="2E1A413C"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3学时</w:t>
            </w:r>
          </w:p>
        </w:tc>
      </w:tr>
      <w:tr w:rsidR="0078124E" w14:paraId="4DF0DE45" w14:textId="77777777" w:rsidTr="0078124E">
        <w:trPr>
          <w:trHeight w:val="618"/>
        </w:trPr>
        <w:tc>
          <w:tcPr>
            <w:tcW w:w="3119" w:type="dxa"/>
            <w:shd w:val="clear" w:color="auto" w:fill="auto"/>
          </w:tcPr>
          <w:p w14:paraId="42D4EBAE"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第一章 毛泽东思想及其历史地位</w:t>
            </w:r>
          </w:p>
        </w:tc>
        <w:tc>
          <w:tcPr>
            <w:tcW w:w="2126" w:type="dxa"/>
            <w:shd w:val="clear" w:color="auto" w:fill="auto"/>
            <w:vAlign w:val="center"/>
          </w:tcPr>
          <w:p w14:paraId="7D625749"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讲授法、专题研讨</w:t>
            </w:r>
          </w:p>
        </w:tc>
        <w:tc>
          <w:tcPr>
            <w:tcW w:w="1985" w:type="dxa"/>
            <w:shd w:val="clear" w:color="auto" w:fill="auto"/>
            <w:vAlign w:val="center"/>
          </w:tcPr>
          <w:p w14:paraId="40BB8CFF"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课程目标1、2、3</w:t>
            </w:r>
          </w:p>
        </w:tc>
        <w:tc>
          <w:tcPr>
            <w:tcW w:w="1276" w:type="dxa"/>
            <w:shd w:val="clear" w:color="auto" w:fill="auto"/>
            <w:vAlign w:val="center"/>
          </w:tcPr>
          <w:p w14:paraId="761CE7AD"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6学时</w:t>
            </w:r>
          </w:p>
        </w:tc>
      </w:tr>
      <w:tr w:rsidR="0078124E" w14:paraId="103CE504" w14:textId="77777777" w:rsidTr="0078124E">
        <w:trPr>
          <w:trHeight w:val="340"/>
        </w:trPr>
        <w:tc>
          <w:tcPr>
            <w:tcW w:w="3119" w:type="dxa"/>
            <w:shd w:val="clear" w:color="auto" w:fill="auto"/>
            <w:vAlign w:val="center"/>
          </w:tcPr>
          <w:p w14:paraId="2C8BD1D0"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第二章 新民主主义革命理论</w:t>
            </w:r>
          </w:p>
        </w:tc>
        <w:tc>
          <w:tcPr>
            <w:tcW w:w="2126" w:type="dxa"/>
            <w:shd w:val="clear" w:color="auto" w:fill="auto"/>
            <w:vAlign w:val="center"/>
          </w:tcPr>
          <w:p w14:paraId="0AFCDCC0"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讲授法、专题研讨</w:t>
            </w:r>
          </w:p>
        </w:tc>
        <w:tc>
          <w:tcPr>
            <w:tcW w:w="1985" w:type="dxa"/>
            <w:shd w:val="clear" w:color="auto" w:fill="auto"/>
            <w:vAlign w:val="center"/>
          </w:tcPr>
          <w:p w14:paraId="21AD7078"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课程目标1、2</w:t>
            </w:r>
          </w:p>
        </w:tc>
        <w:tc>
          <w:tcPr>
            <w:tcW w:w="1276" w:type="dxa"/>
            <w:shd w:val="clear" w:color="auto" w:fill="auto"/>
            <w:vAlign w:val="center"/>
          </w:tcPr>
          <w:p w14:paraId="15C06059"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6学时</w:t>
            </w:r>
          </w:p>
        </w:tc>
      </w:tr>
      <w:tr w:rsidR="0078124E" w14:paraId="0195B3A2" w14:textId="77777777" w:rsidTr="0078124E">
        <w:trPr>
          <w:trHeight w:val="411"/>
        </w:trPr>
        <w:tc>
          <w:tcPr>
            <w:tcW w:w="3119" w:type="dxa"/>
            <w:shd w:val="clear" w:color="auto" w:fill="auto"/>
            <w:vAlign w:val="center"/>
          </w:tcPr>
          <w:p w14:paraId="0B2A8427"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第三章 社会主义改造理论</w:t>
            </w:r>
          </w:p>
        </w:tc>
        <w:tc>
          <w:tcPr>
            <w:tcW w:w="2126" w:type="dxa"/>
            <w:shd w:val="clear" w:color="auto" w:fill="auto"/>
            <w:vAlign w:val="center"/>
          </w:tcPr>
          <w:p w14:paraId="791C7A65"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讲授法、案例教学</w:t>
            </w:r>
          </w:p>
        </w:tc>
        <w:tc>
          <w:tcPr>
            <w:tcW w:w="1985" w:type="dxa"/>
            <w:shd w:val="clear" w:color="auto" w:fill="auto"/>
            <w:vAlign w:val="center"/>
          </w:tcPr>
          <w:p w14:paraId="549077AA"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课程目标1、3</w:t>
            </w:r>
          </w:p>
        </w:tc>
        <w:tc>
          <w:tcPr>
            <w:tcW w:w="1276" w:type="dxa"/>
            <w:shd w:val="clear" w:color="auto" w:fill="auto"/>
            <w:vAlign w:val="center"/>
          </w:tcPr>
          <w:p w14:paraId="454BA214"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6学时</w:t>
            </w:r>
          </w:p>
        </w:tc>
      </w:tr>
      <w:tr w:rsidR="0078124E" w14:paraId="3EB5B69E" w14:textId="77777777" w:rsidTr="0078124E">
        <w:trPr>
          <w:trHeight w:val="340"/>
        </w:trPr>
        <w:tc>
          <w:tcPr>
            <w:tcW w:w="3119" w:type="dxa"/>
            <w:shd w:val="clear" w:color="auto" w:fill="auto"/>
            <w:vAlign w:val="center"/>
          </w:tcPr>
          <w:p w14:paraId="67190393"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第四章 社会主义建设道路初步探索的理论成果</w:t>
            </w:r>
          </w:p>
        </w:tc>
        <w:tc>
          <w:tcPr>
            <w:tcW w:w="2126" w:type="dxa"/>
            <w:shd w:val="clear" w:color="auto" w:fill="auto"/>
            <w:vAlign w:val="center"/>
          </w:tcPr>
          <w:p w14:paraId="45AB014F"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讲授法、专题研讨、小组讨论</w:t>
            </w:r>
          </w:p>
        </w:tc>
        <w:tc>
          <w:tcPr>
            <w:tcW w:w="1985" w:type="dxa"/>
            <w:shd w:val="clear" w:color="auto" w:fill="auto"/>
            <w:vAlign w:val="center"/>
          </w:tcPr>
          <w:p w14:paraId="4C5E1003"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课程目标1、2</w:t>
            </w:r>
          </w:p>
        </w:tc>
        <w:tc>
          <w:tcPr>
            <w:tcW w:w="1276" w:type="dxa"/>
            <w:shd w:val="clear" w:color="auto" w:fill="auto"/>
            <w:vAlign w:val="center"/>
          </w:tcPr>
          <w:p w14:paraId="4F991489"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6学时</w:t>
            </w:r>
          </w:p>
        </w:tc>
      </w:tr>
      <w:tr w:rsidR="0078124E" w14:paraId="2FDA2A31" w14:textId="77777777" w:rsidTr="0078124E">
        <w:trPr>
          <w:trHeight w:val="340"/>
        </w:trPr>
        <w:tc>
          <w:tcPr>
            <w:tcW w:w="3119" w:type="dxa"/>
            <w:shd w:val="clear" w:color="auto" w:fill="auto"/>
            <w:vAlign w:val="center"/>
          </w:tcPr>
          <w:p w14:paraId="5C2BA5FC"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第五章 中国特色社会主义理论体系的形成发展</w:t>
            </w:r>
          </w:p>
        </w:tc>
        <w:tc>
          <w:tcPr>
            <w:tcW w:w="2126" w:type="dxa"/>
            <w:shd w:val="clear" w:color="auto" w:fill="auto"/>
            <w:vAlign w:val="center"/>
          </w:tcPr>
          <w:p w14:paraId="118BA58B"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讲授法、专题研讨、小组讨论</w:t>
            </w:r>
          </w:p>
        </w:tc>
        <w:tc>
          <w:tcPr>
            <w:tcW w:w="1985" w:type="dxa"/>
            <w:shd w:val="clear" w:color="auto" w:fill="auto"/>
            <w:vAlign w:val="center"/>
          </w:tcPr>
          <w:p w14:paraId="355A75AD"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课程目标1、3</w:t>
            </w:r>
          </w:p>
        </w:tc>
        <w:tc>
          <w:tcPr>
            <w:tcW w:w="1276" w:type="dxa"/>
            <w:shd w:val="clear" w:color="auto" w:fill="auto"/>
            <w:vAlign w:val="center"/>
          </w:tcPr>
          <w:p w14:paraId="6A613FD1"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3学时</w:t>
            </w:r>
          </w:p>
        </w:tc>
      </w:tr>
      <w:tr w:rsidR="0078124E" w14:paraId="1C7F3838" w14:textId="77777777" w:rsidTr="0078124E">
        <w:trPr>
          <w:trHeight w:val="340"/>
        </w:trPr>
        <w:tc>
          <w:tcPr>
            <w:tcW w:w="3119" w:type="dxa"/>
            <w:shd w:val="clear" w:color="auto" w:fill="auto"/>
            <w:vAlign w:val="center"/>
          </w:tcPr>
          <w:p w14:paraId="5F91578A"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第六章 邓小平理论</w:t>
            </w:r>
          </w:p>
        </w:tc>
        <w:tc>
          <w:tcPr>
            <w:tcW w:w="2126" w:type="dxa"/>
            <w:shd w:val="clear" w:color="auto" w:fill="auto"/>
            <w:vAlign w:val="center"/>
          </w:tcPr>
          <w:p w14:paraId="65D83CBF"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讲授法、专题研讨</w:t>
            </w:r>
          </w:p>
        </w:tc>
        <w:tc>
          <w:tcPr>
            <w:tcW w:w="1985" w:type="dxa"/>
            <w:shd w:val="clear" w:color="auto" w:fill="auto"/>
            <w:vAlign w:val="center"/>
          </w:tcPr>
          <w:p w14:paraId="339F4FA4"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课程目标1、2、3</w:t>
            </w:r>
          </w:p>
        </w:tc>
        <w:tc>
          <w:tcPr>
            <w:tcW w:w="1276" w:type="dxa"/>
            <w:shd w:val="clear" w:color="auto" w:fill="auto"/>
            <w:vAlign w:val="center"/>
          </w:tcPr>
          <w:p w14:paraId="01BF21C5"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3学时</w:t>
            </w:r>
          </w:p>
        </w:tc>
      </w:tr>
      <w:tr w:rsidR="0078124E" w14:paraId="5964D3B9" w14:textId="77777777" w:rsidTr="0078124E">
        <w:trPr>
          <w:trHeight w:val="340"/>
        </w:trPr>
        <w:tc>
          <w:tcPr>
            <w:tcW w:w="3119" w:type="dxa"/>
            <w:shd w:val="clear" w:color="auto" w:fill="auto"/>
            <w:vAlign w:val="center"/>
          </w:tcPr>
          <w:p w14:paraId="579C71EB"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第七章 “三个代表”重要思想</w:t>
            </w:r>
          </w:p>
        </w:tc>
        <w:tc>
          <w:tcPr>
            <w:tcW w:w="2126" w:type="dxa"/>
            <w:shd w:val="clear" w:color="auto" w:fill="auto"/>
            <w:vAlign w:val="center"/>
          </w:tcPr>
          <w:p w14:paraId="27CB3058"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讲授法、专题研讨、小组讨论</w:t>
            </w:r>
          </w:p>
        </w:tc>
        <w:tc>
          <w:tcPr>
            <w:tcW w:w="1985" w:type="dxa"/>
            <w:shd w:val="clear" w:color="auto" w:fill="auto"/>
            <w:vAlign w:val="center"/>
          </w:tcPr>
          <w:p w14:paraId="390A6FFE"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课程目标1、2、3</w:t>
            </w:r>
          </w:p>
        </w:tc>
        <w:tc>
          <w:tcPr>
            <w:tcW w:w="1276" w:type="dxa"/>
            <w:shd w:val="clear" w:color="auto" w:fill="auto"/>
            <w:vAlign w:val="center"/>
          </w:tcPr>
          <w:p w14:paraId="60773CD0"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3学时</w:t>
            </w:r>
          </w:p>
        </w:tc>
      </w:tr>
      <w:tr w:rsidR="0078124E" w14:paraId="68DD8F75" w14:textId="77777777" w:rsidTr="0078124E">
        <w:trPr>
          <w:trHeight w:val="340"/>
        </w:trPr>
        <w:tc>
          <w:tcPr>
            <w:tcW w:w="3119" w:type="dxa"/>
            <w:shd w:val="clear" w:color="auto" w:fill="auto"/>
          </w:tcPr>
          <w:p w14:paraId="0C1B4A16"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第八章 科学发展观</w:t>
            </w:r>
          </w:p>
        </w:tc>
        <w:tc>
          <w:tcPr>
            <w:tcW w:w="2126" w:type="dxa"/>
            <w:shd w:val="clear" w:color="auto" w:fill="auto"/>
            <w:vAlign w:val="center"/>
          </w:tcPr>
          <w:p w14:paraId="0DF5D45C"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讲授法、专题研讨、小组讨论</w:t>
            </w:r>
          </w:p>
        </w:tc>
        <w:tc>
          <w:tcPr>
            <w:tcW w:w="1985" w:type="dxa"/>
            <w:shd w:val="clear" w:color="auto" w:fill="auto"/>
            <w:vAlign w:val="center"/>
          </w:tcPr>
          <w:p w14:paraId="2AE080E6"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课程目标1、2、3</w:t>
            </w:r>
          </w:p>
        </w:tc>
        <w:tc>
          <w:tcPr>
            <w:tcW w:w="1276" w:type="dxa"/>
            <w:shd w:val="clear" w:color="auto" w:fill="auto"/>
            <w:vAlign w:val="center"/>
          </w:tcPr>
          <w:p w14:paraId="01BDC93B"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3学时</w:t>
            </w:r>
          </w:p>
        </w:tc>
      </w:tr>
      <w:tr w:rsidR="0078124E" w14:paraId="63A5E885" w14:textId="77777777" w:rsidTr="0078124E">
        <w:trPr>
          <w:trHeight w:val="340"/>
        </w:trPr>
        <w:tc>
          <w:tcPr>
            <w:tcW w:w="3119" w:type="dxa"/>
            <w:shd w:val="clear" w:color="auto" w:fill="auto"/>
          </w:tcPr>
          <w:p w14:paraId="16D57019" w14:textId="77777777" w:rsidR="0078124E" w:rsidRDefault="0078124E" w:rsidP="0078124E">
            <w:pPr>
              <w:adjustRightInd w:val="0"/>
              <w:snapToGrid w:val="0"/>
              <w:spacing w:line="440" w:lineRule="exact"/>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总复习</w:t>
            </w:r>
          </w:p>
        </w:tc>
        <w:tc>
          <w:tcPr>
            <w:tcW w:w="2126" w:type="dxa"/>
            <w:shd w:val="clear" w:color="auto" w:fill="auto"/>
          </w:tcPr>
          <w:p w14:paraId="153A2B7A"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p>
        </w:tc>
        <w:tc>
          <w:tcPr>
            <w:tcW w:w="1985" w:type="dxa"/>
            <w:shd w:val="clear" w:color="auto" w:fill="auto"/>
          </w:tcPr>
          <w:p w14:paraId="73A2AA3A"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p>
        </w:tc>
        <w:tc>
          <w:tcPr>
            <w:tcW w:w="1276" w:type="dxa"/>
            <w:shd w:val="clear" w:color="auto" w:fill="auto"/>
          </w:tcPr>
          <w:p w14:paraId="42697B24"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1学时</w:t>
            </w:r>
          </w:p>
        </w:tc>
      </w:tr>
    </w:tbl>
    <w:bookmarkEnd w:id="20"/>
    <w:p w14:paraId="6ED62B5A" w14:textId="77777777" w:rsidR="0078124E" w:rsidRDefault="0078124E" w:rsidP="0078124E">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四、课程考核及与课程学习目标的对应关系</w:t>
      </w:r>
    </w:p>
    <w:p w14:paraId="294A1142" w14:textId="77777777" w:rsidR="0078124E" w:rsidRDefault="0078124E" w:rsidP="0078124E">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（一）课程考核内容与课程学习目标的对应关系</w:t>
      </w:r>
    </w:p>
    <w:tbl>
      <w:tblPr>
        <w:tblW w:w="8424"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6"/>
        <w:gridCol w:w="7088"/>
      </w:tblGrid>
      <w:tr w:rsidR="0078124E" w14:paraId="6AEF6430" w14:textId="77777777" w:rsidTr="0078124E">
        <w:trPr>
          <w:trHeight w:val="514"/>
        </w:trPr>
        <w:tc>
          <w:tcPr>
            <w:tcW w:w="1336" w:type="dxa"/>
            <w:shd w:val="clear" w:color="auto" w:fill="auto"/>
          </w:tcPr>
          <w:p w14:paraId="1984EAAB" w14:textId="77777777" w:rsidR="0078124E" w:rsidRDefault="0078124E"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7088" w:type="dxa"/>
            <w:shd w:val="clear" w:color="auto" w:fill="auto"/>
          </w:tcPr>
          <w:p w14:paraId="1B2B65DC" w14:textId="77777777" w:rsidR="0078124E" w:rsidRDefault="0078124E" w:rsidP="0078124E">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考核内容</w:t>
            </w:r>
          </w:p>
        </w:tc>
      </w:tr>
      <w:tr w:rsidR="0078124E" w14:paraId="1992FA00" w14:textId="77777777" w:rsidTr="0078124E">
        <w:trPr>
          <w:trHeight w:val="484"/>
        </w:trPr>
        <w:tc>
          <w:tcPr>
            <w:tcW w:w="1336" w:type="dxa"/>
            <w:shd w:val="clear" w:color="auto" w:fill="auto"/>
            <w:vAlign w:val="center"/>
          </w:tcPr>
          <w:p w14:paraId="7CE37946"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课程目标1</w:t>
            </w:r>
          </w:p>
        </w:tc>
        <w:tc>
          <w:tcPr>
            <w:tcW w:w="7088" w:type="dxa"/>
            <w:shd w:val="clear" w:color="auto" w:fill="auto"/>
          </w:tcPr>
          <w:p w14:paraId="3DB06BBD" w14:textId="77777777" w:rsidR="0078124E" w:rsidRDefault="0078124E" w:rsidP="0078124E">
            <w:pPr>
              <w:spacing w:line="440" w:lineRule="exact"/>
              <w:rPr>
                <w:rFonts w:ascii="宋体" w:eastAsia="宋体" w:hAnsi="宋体" w:cs="宋体"/>
                <w:color w:val="000000"/>
                <w:kern w:val="0"/>
                <w:sz w:val="24"/>
                <w:szCs w:val="24"/>
              </w:rPr>
            </w:pPr>
            <w:r>
              <w:rPr>
                <w:rFonts w:ascii="宋体" w:eastAsia="宋体" w:hAnsi="宋体" w:cs="宋体" w:hint="eastAsia"/>
                <w:color w:val="000000"/>
                <w:kern w:val="0"/>
                <w:sz w:val="24"/>
                <w:szCs w:val="24"/>
              </w:rPr>
              <w:t>1.1毛泽东思想形成的历史条件和发展过程，毛泽东思想的主要内</w:t>
            </w:r>
            <w:r>
              <w:rPr>
                <w:rFonts w:ascii="宋体" w:eastAsia="宋体" w:hAnsi="宋体" w:cs="宋体" w:hint="eastAsia"/>
                <w:color w:val="000000"/>
                <w:kern w:val="0"/>
                <w:sz w:val="24"/>
                <w:szCs w:val="24"/>
              </w:rPr>
              <w:lastRenderedPageBreak/>
              <w:t>容及其活的灵魂，毛泽东思想的历史地位；新民主主义革命理论形成和发展的过程；新民主主义革命的总路线和基本纲领；新民主主义革命的基本经验；社会主义改造道路和历史经验；社会主义建设道路初步探索的重要思想成果。</w:t>
            </w:r>
          </w:p>
          <w:p w14:paraId="34220E7F" w14:textId="77777777" w:rsidR="0078124E" w:rsidRDefault="0078124E" w:rsidP="0078124E">
            <w:pPr>
              <w:spacing w:line="440" w:lineRule="exact"/>
              <w:rPr>
                <w:rFonts w:ascii="宋体" w:eastAsia="宋体" w:hAnsi="宋体" w:cs="宋体"/>
                <w:color w:val="000000"/>
                <w:kern w:val="0"/>
                <w:sz w:val="24"/>
                <w:szCs w:val="24"/>
              </w:rPr>
            </w:pPr>
            <w:r>
              <w:rPr>
                <w:rFonts w:ascii="宋体" w:eastAsia="宋体" w:hAnsi="宋体" w:cs="宋体" w:hint="eastAsia"/>
                <w:color w:val="000000"/>
                <w:kern w:val="0"/>
                <w:sz w:val="24"/>
                <w:szCs w:val="24"/>
              </w:rPr>
              <w:t>1.2邓小平理论、三个代表重要思想、科学发展观</w:t>
            </w:r>
          </w:p>
        </w:tc>
      </w:tr>
      <w:tr w:rsidR="0078124E" w14:paraId="213F0DCC" w14:textId="77777777" w:rsidTr="0078124E">
        <w:trPr>
          <w:trHeight w:val="484"/>
        </w:trPr>
        <w:tc>
          <w:tcPr>
            <w:tcW w:w="1336" w:type="dxa"/>
            <w:shd w:val="clear" w:color="auto" w:fill="auto"/>
            <w:vAlign w:val="center"/>
          </w:tcPr>
          <w:p w14:paraId="368DA000"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lastRenderedPageBreak/>
              <w:t>课程目标2</w:t>
            </w:r>
          </w:p>
        </w:tc>
        <w:tc>
          <w:tcPr>
            <w:tcW w:w="7088" w:type="dxa"/>
            <w:shd w:val="clear" w:color="auto" w:fill="auto"/>
          </w:tcPr>
          <w:p w14:paraId="723FFD35" w14:textId="77777777" w:rsidR="0078124E" w:rsidRDefault="0078124E" w:rsidP="0078124E">
            <w:pPr>
              <w:spacing w:line="440" w:lineRule="exact"/>
              <w:rPr>
                <w:rFonts w:ascii="宋体" w:eastAsia="宋体" w:hAnsi="宋体" w:cs="宋体"/>
                <w:color w:val="000000"/>
                <w:kern w:val="0"/>
                <w:sz w:val="24"/>
                <w:szCs w:val="24"/>
              </w:rPr>
            </w:pPr>
            <w:r>
              <w:rPr>
                <w:rFonts w:ascii="宋体" w:eastAsia="宋体" w:hAnsi="宋体" w:cs="宋体" w:hint="eastAsia"/>
                <w:color w:val="000000"/>
                <w:kern w:val="0"/>
                <w:sz w:val="24"/>
                <w:szCs w:val="24"/>
              </w:rPr>
              <w:t>2.1邓小平理论形成的历史条件，邓小平理论的主要内容，邓小平理论的历史地位；</w:t>
            </w:r>
          </w:p>
          <w:p w14:paraId="1BE1D8F6" w14:textId="77777777" w:rsidR="0078124E" w:rsidRDefault="0078124E" w:rsidP="0078124E">
            <w:pPr>
              <w:spacing w:line="440" w:lineRule="exact"/>
              <w:rPr>
                <w:rFonts w:ascii="宋体" w:eastAsia="宋体" w:hAnsi="宋体" w:cs="宋体"/>
                <w:color w:val="000000"/>
                <w:kern w:val="0"/>
                <w:sz w:val="24"/>
                <w:szCs w:val="24"/>
              </w:rPr>
            </w:pPr>
            <w:r>
              <w:rPr>
                <w:rFonts w:ascii="宋体" w:eastAsia="宋体" w:hAnsi="宋体" w:cs="宋体" w:hint="eastAsia"/>
                <w:color w:val="000000"/>
                <w:kern w:val="0"/>
                <w:sz w:val="24"/>
                <w:szCs w:val="24"/>
              </w:rPr>
              <w:t>2.2“三个代表”重要思想的核心观点和主要内容；</w:t>
            </w:r>
          </w:p>
          <w:p w14:paraId="424D0ED6" w14:textId="77777777" w:rsidR="0078124E" w:rsidRDefault="0078124E" w:rsidP="0078124E">
            <w:pPr>
              <w:spacing w:line="440" w:lineRule="exact"/>
              <w:rPr>
                <w:rFonts w:ascii="宋体" w:eastAsia="宋体" w:hAnsi="宋体" w:cs="宋体"/>
                <w:color w:val="000000"/>
                <w:kern w:val="0"/>
                <w:sz w:val="24"/>
                <w:szCs w:val="24"/>
              </w:rPr>
            </w:pPr>
            <w:r>
              <w:rPr>
                <w:rFonts w:ascii="宋体" w:eastAsia="宋体" w:hAnsi="宋体" w:cs="宋体" w:hint="eastAsia"/>
                <w:color w:val="000000"/>
                <w:kern w:val="0"/>
                <w:sz w:val="24"/>
                <w:szCs w:val="24"/>
              </w:rPr>
              <w:t>2.3科学发展观的科学内涵和主要内容。</w:t>
            </w:r>
          </w:p>
        </w:tc>
      </w:tr>
      <w:tr w:rsidR="0078124E" w14:paraId="4BF0AD7D" w14:textId="77777777" w:rsidTr="0078124E">
        <w:trPr>
          <w:trHeight w:val="484"/>
        </w:trPr>
        <w:tc>
          <w:tcPr>
            <w:tcW w:w="1336" w:type="dxa"/>
            <w:shd w:val="clear" w:color="auto" w:fill="auto"/>
            <w:vAlign w:val="center"/>
          </w:tcPr>
          <w:p w14:paraId="0B010DB9" w14:textId="77777777" w:rsidR="0078124E" w:rsidRDefault="0078124E" w:rsidP="0078124E">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课程目标3</w:t>
            </w:r>
          </w:p>
        </w:tc>
        <w:tc>
          <w:tcPr>
            <w:tcW w:w="7088" w:type="dxa"/>
            <w:shd w:val="clear" w:color="auto" w:fill="auto"/>
          </w:tcPr>
          <w:p w14:paraId="4278380A" w14:textId="77777777" w:rsidR="0078124E" w:rsidRDefault="0078124E" w:rsidP="0078124E">
            <w:pPr>
              <w:spacing w:line="440" w:lineRule="exact"/>
              <w:rPr>
                <w:rFonts w:ascii="宋体" w:eastAsia="宋体" w:hAnsi="宋体" w:cs="宋体"/>
                <w:color w:val="000000"/>
                <w:kern w:val="0"/>
                <w:sz w:val="24"/>
                <w:szCs w:val="24"/>
              </w:rPr>
            </w:pPr>
            <w:r>
              <w:rPr>
                <w:rFonts w:ascii="宋体" w:eastAsia="宋体" w:hAnsi="宋体" w:cs="宋体" w:hint="eastAsia"/>
                <w:color w:val="000000"/>
                <w:kern w:val="0"/>
                <w:sz w:val="24"/>
                <w:szCs w:val="24"/>
              </w:rPr>
              <w:t>3.1中国特色社会主义理论体系及其历史地位；</w:t>
            </w:r>
          </w:p>
          <w:p w14:paraId="190ABC90" w14:textId="77777777" w:rsidR="0078124E" w:rsidRDefault="0078124E" w:rsidP="0078124E">
            <w:pPr>
              <w:spacing w:line="440" w:lineRule="exact"/>
              <w:rPr>
                <w:rFonts w:ascii="宋体" w:eastAsia="宋体" w:hAnsi="宋体" w:cs="宋体"/>
                <w:color w:val="000000"/>
                <w:kern w:val="0"/>
                <w:sz w:val="24"/>
                <w:szCs w:val="24"/>
              </w:rPr>
            </w:pPr>
            <w:r>
              <w:rPr>
                <w:rFonts w:ascii="宋体" w:eastAsia="宋体" w:hAnsi="宋体" w:cs="宋体" w:hint="eastAsia"/>
                <w:color w:val="000000"/>
                <w:kern w:val="0"/>
                <w:sz w:val="24"/>
                <w:szCs w:val="24"/>
              </w:rPr>
              <w:t>3.2毛泽东思想形成的历史条件和发展过程，毛泽东思想的主要内容及其活的灵魂，毛泽东思想的历史地位</w:t>
            </w:r>
          </w:p>
        </w:tc>
      </w:tr>
    </w:tbl>
    <w:p w14:paraId="6B3C71B2" w14:textId="77777777" w:rsidR="0078124E" w:rsidRDefault="0078124E" w:rsidP="0078124E">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（二）课程考核方式</w:t>
      </w:r>
    </w:p>
    <w:p w14:paraId="08E298FA" w14:textId="77777777" w:rsidR="0078124E" w:rsidRDefault="0078124E" w:rsidP="0078124E">
      <w:pPr>
        <w:snapToGrid w:val="0"/>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课程考核方式分为平时考核和期末考核。平时考核方式包括课堂表现、平时作业、阶段测试、课程作业等；期末考核采用闭卷考试。</w:t>
      </w:r>
    </w:p>
    <w:p w14:paraId="78136417" w14:textId="77777777" w:rsidR="0078124E" w:rsidRDefault="0078124E" w:rsidP="0078124E">
      <w:pPr>
        <w:snapToGrid w:val="0"/>
        <w:spacing w:before="67" w:after="67" w:line="360" w:lineRule="auto"/>
        <w:ind w:left="561"/>
        <w:rPr>
          <w:rFonts w:ascii="黑体" w:eastAsia="黑体" w:hAnsi="黑体"/>
          <w:sz w:val="28"/>
          <w:szCs w:val="28"/>
        </w:rPr>
      </w:pPr>
      <w:r>
        <w:rPr>
          <w:rFonts w:ascii="黑体" w:eastAsia="黑体" w:hAnsi="黑体" w:hint="eastAsia"/>
          <w:sz w:val="28"/>
          <w:szCs w:val="28"/>
        </w:rPr>
        <w:t>（三）课程目标达成评价方式及考核比例</w:t>
      </w:r>
    </w:p>
    <w:p w14:paraId="1AF3CC2E" w14:textId="77777777" w:rsidR="0078124E" w:rsidRDefault="0078124E" w:rsidP="0078124E">
      <w:pPr>
        <w:snapToGrid w:val="0"/>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考核方式及成绩比例为：课堂表现（30%）＋阶段测试（20%）＋期末考试（50%）；本课程3个课程目标，考核方式及成绩比例分别为：</w:t>
      </w:r>
    </w:p>
    <w:p w14:paraId="15ECC413" w14:textId="77777777" w:rsidR="0078124E" w:rsidRDefault="0078124E" w:rsidP="0078124E">
      <w:pPr>
        <w:snapToGrid w:val="0"/>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课程目标1：阶段测试（20%）＋期末考试（客观题&lt;单选部分&gt;20%）</w:t>
      </w:r>
    </w:p>
    <w:p w14:paraId="372ACBB1" w14:textId="77777777" w:rsidR="0078124E" w:rsidRDefault="0078124E" w:rsidP="0078124E">
      <w:pPr>
        <w:snapToGrid w:val="0"/>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课程目标2：期末考试（客观题&lt;多选部分&gt;10%）+期末考试（主观题部分12.5%）</w:t>
      </w:r>
    </w:p>
    <w:p w14:paraId="7FD52761" w14:textId="77777777" w:rsidR="0078124E" w:rsidRDefault="0078124E" w:rsidP="0078124E">
      <w:pPr>
        <w:snapToGrid w:val="0"/>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课程目标3：课堂表现（30%）＋期末考试（主观题部分7.5%）</w:t>
      </w:r>
    </w:p>
    <w:p w14:paraId="2F54AB87" w14:textId="77777777" w:rsidR="0078124E" w:rsidRDefault="0078124E" w:rsidP="0078124E">
      <w:pPr>
        <w:snapToGrid w:val="0"/>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如下图：</w:t>
      </w:r>
    </w:p>
    <w:tbl>
      <w:tblPr>
        <w:tblW w:w="86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6"/>
        <w:gridCol w:w="1677"/>
        <w:gridCol w:w="1839"/>
        <w:gridCol w:w="1679"/>
        <w:gridCol w:w="1678"/>
      </w:tblGrid>
      <w:tr w:rsidR="0078124E" w14:paraId="6C76C1AD" w14:textId="77777777" w:rsidTr="0078124E">
        <w:trPr>
          <w:trHeight w:val="850"/>
          <w:jc w:val="center"/>
        </w:trPr>
        <w:tc>
          <w:tcPr>
            <w:tcW w:w="1736" w:type="dxa"/>
            <w:vMerge w:val="restart"/>
            <w:shd w:val="clear" w:color="auto" w:fill="auto"/>
            <w:vAlign w:val="center"/>
          </w:tcPr>
          <w:p w14:paraId="5E45141C"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6873" w:type="dxa"/>
            <w:gridSpan w:val="4"/>
            <w:shd w:val="clear" w:color="auto" w:fill="auto"/>
            <w:vAlign w:val="center"/>
          </w:tcPr>
          <w:p w14:paraId="1B216D9C"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考核方式（%）</w:t>
            </w:r>
          </w:p>
        </w:tc>
      </w:tr>
      <w:tr w:rsidR="0078124E" w14:paraId="290C7B48" w14:textId="77777777" w:rsidTr="0078124E">
        <w:trPr>
          <w:trHeight w:val="850"/>
          <w:jc w:val="center"/>
        </w:trPr>
        <w:tc>
          <w:tcPr>
            <w:tcW w:w="1736" w:type="dxa"/>
            <w:vMerge/>
            <w:shd w:val="clear" w:color="auto" w:fill="auto"/>
            <w:vAlign w:val="center"/>
          </w:tcPr>
          <w:p w14:paraId="22F0F90B"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p>
        </w:tc>
        <w:tc>
          <w:tcPr>
            <w:tcW w:w="1677" w:type="dxa"/>
            <w:shd w:val="clear" w:color="auto" w:fill="auto"/>
            <w:vAlign w:val="center"/>
          </w:tcPr>
          <w:p w14:paraId="118EE3C1"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课堂表现</w:t>
            </w:r>
          </w:p>
        </w:tc>
        <w:tc>
          <w:tcPr>
            <w:tcW w:w="1839" w:type="dxa"/>
            <w:shd w:val="clear" w:color="auto" w:fill="auto"/>
            <w:vAlign w:val="center"/>
          </w:tcPr>
          <w:p w14:paraId="31C424E7"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阶段测试</w:t>
            </w:r>
          </w:p>
        </w:tc>
        <w:tc>
          <w:tcPr>
            <w:tcW w:w="1679" w:type="dxa"/>
            <w:shd w:val="clear" w:color="auto" w:fill="auto"/>
            <w:vAlign w:val="center"/>
          </w:tcPr>
          <w:p w14:paraId="4CC877D3"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期末考试</w:t>
            </w:r>
          </w:p>
        </w:tc>
        <w:tc>
          <w:tcPr>
            <w:tcW w:w="1678" w:type="dxa"/>
            <w:shd w:val="clear" w:color="auto" w:fill="auto"/>
            <w:vAlign w:val="center"/>
          </w:tcPr>
          <w:p w14:paraId="41A9C58D"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小计</w:t>
            </w:r>
          </w:p>
        </w:tc>
      </w:tr>
      <w:tr w:rsidR="0078124E" w14:paraId="3201935C" w14:textId="77777777" w:rsidTr="0078124E">
        <w:trPr>
          <w:trHeight w:val="850"/>
          <w:jc w:val="center"/>
        </w:trPr>
        <w:tc>
          <w:tcPr>
            <w:tcW w:w="1736" w:type="dxa"/>
            <w:shd w:val="clear" w:color="auto" w:fill="auto"/>
            <w:vAlign w:val="center"/>
          </w:tcPr>
          <w:p w14:paraId="5EE23074"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课程目标1</w:t>
            </w:r>
          </w:p>
        </w:tc>
        <w:tc>
          <w:tcPr>
            <w:tcW w:w="1677" w:type="dxa"/>
            <w:shd w:val="clear" w:color="auto" w:fill="auto"/>
            <w:vAlign w:val="center"/>
          </w:tcPr>
          <w:p w14:paraId="2669ADEE"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p>
        </w:tc>
        <w:tc>
          <w:tcPr>
            <w:tcW w:w="1839" w:type="dxa"/>
            <w:shd w:val="clear" w:color="auto" w:fill="auto"/>
            <w:vAlign w:val="center"/>
          </w:tcPr>
          <w:p w14:paraId="3F424A7E"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20</w:t>
            </w:r>
          </w:p>
        </w:tc>
        <w:tc>
          <w:tcPr>
            <w:tcW w:w="1679" w:type="dxa"/>
            <w:shd w:val="clear" w:color="auto" w:fill="auto"/>
            <w:vAlign w:val="center"/>
          </w:tcPr>
          <w:p w14:paraId="6D30A51A"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20</w:t>
            </w:r>
          </w:p>
        </w:tc>
        <w:tc>
          <w:tcPr>
            <w:tcW w:w="1678" w:type="dxa"/>
            <w:shd w:val="clear" w:color="auto" w:fill="auto"/>
            <w:vAlign w:val="center"/>
          </w:tcPr>
          <w:p w14:paraId="7E3AD4C5"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40</w:t>
            </w:r>
          </w:p>
        </w:tc>
      </w:tr>
      <w:tr w:rsidR="0078124E" w14:paraId="4BD05904" w14:textId="77777777" w:rsidTr="0078124E">
        <w:trPr>
          <w:trHeight w:val="850"/>
          <w:jc w:val="center"/>
        </w:trPr>
        <w:tc>
          <w:tcPr>
            <w:tcW w:w="1736" w:type="dxa"/>
            <w:shd w:val="clear" w:color="auto" w:fill="auto"/>
            <w:vAlign w:val="center"/>
          </w:tcPr>
          <w:p w14:paraId="017F0BC3"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lastRenderedPageBreak/>
              <w:t>课程目标2</w:t>
            </w:r>
          </w:p>
        </w:tc>
        <w:tc>
          <w:tcPr>
            <w:tcW w:w="1677" w:type="dxa"/>
            <w:shd w:val="clear" w:color="auto" w:fill="auto"/>
            <w:vAlign w:val="center"/>
          </w:tcPr>
          <w:p w14:paraId="01F2FB6E"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p>
        </w:tc>
        <w:tc>
          <w:tcPr>
            <w:tcW w:w="1839" w:type="dxa"/>
            <w:shd w:val="clear" w:color="auto" w:fill="auto"/>
            <w:vAlign w:val="center"/>
          </w:tcPr>
          <w:p w14:paraId="61A4584B"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p>
        </w:tc>
        <w:tc>
          <w:tcPr>
            <w:tcW w:w="1679" w:type="dxa"/>
            <w:shd w:val="clear" w:color="auto" w:fill="auto"/>
            <w:vAlign w:val="center"/>
          </w:tcPr>
          <w:p w14:paraId="78DC1676"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22.5</w:t>
            </w:r>
          </w:p>
        </w:tc>
        <w:tc>
          <w:tcPr>
            <w:tcW w:w="1678" w:type="dxa"/>
            <w:shd w:val="clear" w:color="auto" w:fill="auto"/>
            <w:vAlign w:val="center"/>
          </w:tcPr>
          <w:p w14:paraId="2E569CF6"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22.5</w:t>
            </w:r>
          </w:p>
        </w:tc>
      </w:tr>
      <w:tr w:rsidR="0078124E" w14:paraId="474AB36A" w14:textId="77777777" w:rsidTr="0078124E">
        <w:trPr>
          <w:trHeight w:val="850"/>
          <w:jc w:val="center"/>
        </w:trPr>
        <w:tc>
          <w:tcPr>
            <w:tcW w:w="1736" w:type="dxa"/>
            <w:shd w:val="clear" w:color="auto" w:fill="auto"/>
            <w:vAlign w:val="center"/>
          </w:tcPr>
          <w:p w14:paraId="12F3CB84"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课程目标3</w:t>
            </w:r>
          </w:p>
        </w:tc>
        <w:tc>
          <w:tcPr>
            <w:tcW w:w="1677" w:type="dxa"/>
            <w:shd w:val="clear" w:color="auto" w:fill="auto"/>
            <w:vAlign w:val="center"/>
          </w:tcPr>
          <w:p w14:paraId="2DD3515C"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30</w:t>
            </w:r>
          </w:p>
        </w:tc>
        <w:tc>
          <w:tcPr>
            <w:tcW w:w="1839" w:type="dxa"/>
            <w:shd w:val="clear" w:color="auto" w:fill="auto"/>
            <w:vAlign w:val="center"/>
          </w:tcPr>
          <w:p w14:paraId="1EE4F810"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p>
        </w:tc>
        <w:tc>
          <w:tcPr>
            <w:tcW w:w="1679" w:type="dxa"/>
            <w:shd w:val="clear" w:color="auto" w:fill="auto"/>
            <w:vAlign w:val="center"/>
          </w:tcPr>
          <w:p w14:paraId="510D35C9"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7.5</w:t>
            </w:r>
          </w:p>
        </w:tc>
        <w:tc>
          <w:tcPr>
            <w:tcW w:w="1678" w:type="dxa"/>
            <w:shd w:val="clear" w:color="auto" w:fill="auto"/>
            <w:vAlign w:val="center"/>
          </w:tcPr>
          <w:p w14:paraId="02D52DCD"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37.5</w:t>
            </w:r>
          </w:p>
        </w:tc>
      </w:tr>
      <w:tr w:rsidR="0078124E" w14:paraId="4A4F5630" w14:textId="77777777" w:rsidTr="0078124E">
        <w:trPr>
          <w:trHeight w:val="850"/>
          <w:jc w:val="center"/>
        </w:trPr>
        <w:tc>
          <w:tcPr>
            <w:tcW w:w="1736" w:type="dxa"/>
            <w:shd w:val="clear" w:color="auto" w:fill="auto"/>
            <w:vAlign w:val="center"/>
          </w:tcPr>
          <w:p w14:paraId="17D1CE37"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合计</w:t>
            </w:r>
          </w:p>
        </w:tc>
        <w:tc>
          <w:tcPr>
            <w:tcW w:w="1677" w:type="dxa"/>
            <w:shd w:val="clear" w:color="auto" w:fill="auto"/>
            <w:vAlign w:val="center"/>
          </w:tcPr>
          <w:p w14:paraId="66E0E341"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30</w:t>
            </w:r>
          </w:p>
        </w:tc>
        <w:tc>
          <w:tcPr>
            <w:tcW w:w="1839" w:type="dxa"/>
            <w:shd w:val="clear" w:color="auto" w:fill="auto"/>
            <w:vAlign w:val="center"/>
          </w:tcPr>
          <w:p w14:paraId="5C7B1532"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20</w:t>
            </w:r>
          </w:p>
        </w:tc>
        <w:tc>
          <w:tcPr>
            <w:tcW w:w="1679" w:type="dxa"/>
            <w:shd w:val="clear" w:color="auto" w:fill="auto"/>
            <w:vAlign w:val="center"/>
          </w:tcPr>
          <w:p w14:paraId="78E8FE2C"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50</w:t>
            </w:r>
          </w:p>
        </w:tc>
        <w:tc>
          <w:tcPr>
            <w:tcW w:w="1678" w:type="dxa"/>
            <w:shd w:val="clear" w:color="auto" w:fill="auto"/>
            <w:vAlign w:val="center"/>
          </w:tcPr>
          <w:p w14:paraId="1D6BC41D" w14:textId="77777777" w:rsidR="0078124E" w:rsidRDefault="0078124E" w:rsidP="0078124E">
            <w:pPr>
              <w:adjustRightInd w:val="0"/>
              <w:snapToGrid w:val="0"/>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100</w:t>
            </w:r>
          </w:p>
        </w:tc>
      </w:tr>
    </w:tbl>
    <w:p w14:paraId="60AA5E7B" w14:textId="77777777" w:rsidR="0078124E" w:rsidRDefault="0078124E" w:rsidP="0078124E">
      <w:pPr>
        <w:snapToGrid w:val="0"/>
        <w:spacing w:before="187" w:after="187" w:line="440" w:lineRule="exact"/>
        <w:ind w:firstLineChars="200" w:firstLine="560"/>
        <w:rPr>
          <w:rFonts w:ascii="黑体" w:eastAsia="黑体" w:hAnsi="黑体"/>
          <w:color w:val="000000"/>
          <w:sz w:val="28"/>
          <w:szCs w:val="28"/>
        </w:rPr>
      </w:pPr>
    </w:p>
    <w:p w14:paraId="02F775DF" w14:textId="77777777" w:rsidR="0078124E" w:rsidRDefault="0078124E" w:rsidP="0078124E">
      <w:pPr>
        <w:snapToGrid w:val="0"/>
        <w:spacing w:before="187" w:after="187" w:line="440" w:lineRule="exact"/>
        <w:ind w:firstLineChars="200" w:firstLine="560"/>
        <w:rPr>
          <w:rFonts w:ascii="黑体" w:eastAsia="黑体" w:hAnsi="黑体"/>
          <w:color w:val="000000"/>
          <w:sz w:val="28"/>
          <w:szCs w:val="28"/>
        </w:rPr>
      </w:pPr>
      <w:r>
        <w:rPr>
          <w:rFonts w:ascii="黑体" w:eastAsia="黑体" w:hAnsi="黑体"/>
          <w:color w:val="000000"/>
          <w:sz w:val="28"/>
          <w:szCs w:val="28"/>
        </w:rPr>
        <w:t>五、成绩评定</w:t>
      </w:r>
    </w:p>
    <w:p w14:paraId="6A718FAD" w14:textId="77777777" w:rsidR="0078124E" w:rsidRDefault="0078124E" w:rsidP="0078124E">
      <w:pPr>
        <w:snapToGrid w:val="0"/>
        <w:spacing w:before="187" w:after="187" w:line="440" w:lineRule="exact"/>
        <w:ind w:firstLineChars="200" w:firstLine="560"/>
        <w:rPr>
          <w:rFonts w:ascii="黑体" w:eastAsia="黑体" w:hAnsi="黑体"/>
          <w:color w:val="000000"/>
          <w:sz w:val="28"/>
          <w:szCs w:val="28"/>
        </w:rPr>
      </w:pPr>
      <w:r>
        <w:rPr>
          <w:rFonts w:ascii="黑体" w:eastAsia="黑体" w:hAnsi="黑体"/>
          <w:color w:val="000000"/>
          <w:sz w:val="28"/>
          <w:szCs w:val="28"/>
        </w:rPr>
        <w:t>（一）总成绩评定</w:t>
      </w:r>
    </w:p>
    <w:p w14:paraId="21A1CB60" w14:textId="77777777" w:rsidR="0078124E" w:rsidRDefault="0078124E" w:rsidP="0078124E">
      <w:pPr>
        <w:snapToGrid w:val="0"/>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总成绩=平时成绩×50%＋期末成绩×50%</w:t>
      </w:r>
    </w:p>
    <w:p w14:paraId="5703DF17" w14:textId="77777777" w:rsidR="0078124E" w:rsidRDefault="0078124E" w:rsidP="0078124E">
      <w:pPr>
        <w:snapToGrid w:val="0"/>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备注：</w:t>
      </w:r>
      <w:bookmarkStart w:id="21" w:name="_Hlk148001878"/>
      <w:r>
        <w:rPr>
          <w:rFonts w:ascii="宋体" w:eastAsia="宋体" w:hAnsi="宋体" w:cs="宋体" w:hint="eastAsia"/>
          <w:color w:val="000000"/>
          <w:sz w:val="24"/>
          <w:szCs w:val="24"/>
        </w:rPr>
        <w:t>各部分考核成绩比例任课教师如有变化，须经教研室研究批准。</w:t>
      </w:r>
      <w:bookmarkEnd w:id="21"/>
    </w:p>
    <w:p w14:paraId="4A925E8E" w14:textId="77777777" w:rsidR="0078124E" w:rsidRDefault="0078124E" w:rsidP="0078124E">
      <w:pPr>
        <w:snapToGrid w:val="0"/>
        <w:spacing w:before="67" w:after="67" w:line="440" w:lineRule="exact"/>
        <w:ind w:firstLineChars="200" w:firstLine="560"/>
        <w:rPr>
          <w:rFonts w:ascii="黑体" w:eastAsia="黑体" w:hAnsi="黑体"/>
          <w:color w:val="000000"/>
          <w:sz w:val="28"/>
          <w:szCs w:val="28"/>
        </w:rPr>
      </w:pPr>
      <w:r>
        <w:rPr>
          <w:rFonts w:ascii="黑体" w:eastAsia="黑体" w:hAnsi="黑体"/>
          <w:color w:val="000000"/>
          <w:sz w:val="28"/>
          <w:szCs w:val="28"/>
        </w:rPr>
        <w:t>（二）平时成绩评定</w:t>
      </w:r>
    </w:p>
    <w:p w14:paraId="6C424852"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平时成绩（100%）=课堂表现×60%＋阶段测试×40%</w:t>
      </w:r>
    </w:p>
    <w:p w14:paraId="45DD70B8"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建议考核方式：</w:t>
      </w:r>
    </w:p>
    <w:p w14:paraId="5B3A114B"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（1）课堂表现：依据学生课堂表现评定，如课堂纪律、小组成果分享、发言与提问、课堂参与程度等来评价学生相关表现和能力。</w:t>
      </w:r>
    </w:p>
    <w:p w14:paraId="5DB64AE7"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（2）阶段测验：依据学生随堂测试、期中测试、专题测试等评定；</w:t>
      </w:r>
    </w:p>
    <w:p w14:paraId="356465E5" w14:textId="77777777" w:rsidR="0078124E" w:rsidRDefault="0078124E" w:rsidP="0078124E">
      <w:pPr>
        <w:snapToGrid w:val="0"/>
        <w:spacing w:before="67" w:after="67" w:line="440" w:lineRule="exact"/>
        <w:ind w:firstLineChars="200" w:firstLine="560"/>
        <w:rPr>
          <w:rFonts w:ascii="黑体" w:eastAsia="黑体" w:hAnsi="黑体"/>
          <w:color w:val="000000"/>
          <w:sz w:val="28"/>
          <w:szCs w:val="28"/>
        </w:rPr>
      </w:pPr>
      <w:r>
        <w:rPr>
          <w:rFonts w:ascii="黑体" w:eastAsia="黑体" w:hAnsi="黑体"/>
          <w:color w:val="000000"/>
          <w:sz w:val="28"/>
          <w:szCs w:val="28"/>
        </w:rPr>
        <w:t>（三）期末成绩评定</w:t>
      </w:r>
    </w:p>
    <w:p w14:paraId="67A5E432"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bookmarkStart w:id="22" w:name="_Hlk148002034"/>
      <w:r>
        <w:rPr>
          <w:rFonts w:ascii="宋体" w:eastAsia="宋体" w:hAnsi="宋体" w:cs="宋体" w:hint="eastAsia"/>
          <w:color w:val="000000"/>
          <w:sz w:val="24"/>
          <w:szCs w:val="24"/>
        </w:rPr>
        <w:t>期末考核主要考察学生对毛泽东思想和中国特色社会主义理论体系的基本概念、基本理论和具体实践的理解与运用等，依据实际教学情况有所侧重，试卷命题范围涵盖全部教材。方式为闭卷考试。要求学生掌握毛泽东思想和中国特色社会主义理论体系的基本概念、基本理论和实践方法，掌握和运用所学的理论和方法分析和解决相关问题。</w:t>
      </w:r>
    </w:p>
    <w:bookmarkEnd w:id="22"/>
    <w:p w14:paraId="6230427B" w14:textId="77777777" w:rsidR="0078124E" w:rsidRDefault="0078124E" w:rsidP="0078124E">
      <w:pPr>
        <w:snapToGrid w:val="0"/>
        <w:spacing w:before="187" w:after="187" w:line="440" w:lineRule="exact"/>
        <w:ind w:firstLineChars="200" w:firstLine="560"/>
        <w:rPr>
          <w:rFonts w:ascii="黑体" w:eastAsia="黑体" w:hAnsi="黑体"/>
          <w:color w:val="000000"/>
          <w:sz w:val="28"/>
          <w:szCs w:val="28"/>
        </w:rPr>
      </w:pPr>
      <w:r>
        <w:rPr>
          <w:rFonts w:ascii="黑体" w:eastAsia="黑体" w:hAnsi="黑体"/>
          <w:color w:val="000000"/>
          <w:sz w:val="28"/>
          <w:szCs w:val="28"/>
        </w:rPr>
        <w:t>六、使用教材、相关推荐书目及课程资源</w:t>
      </w:r>
    </w:p>
    <w:p w14:paraId="70734D3C" w14:textId="77777777" w:rsidR="0078124E" w:rsidRDefault="0078124E" w:rsidP="0078124E">
      <w:pPr>
        <w:snapToGrid w:val="0"/>
        <w:spacing w:line="440" w:lineRule="exact"/>
        <w:ind w:firstLineChars="200" w:firstLine="560"/>
        <w:rPr>
          <w:rFonts w:ascii="黑体" w:eastAsia="黑体" w:hAnsi="黑体"/>
          <w:color w:val="000000"/>
          <w:sz w:val="28"/>
          <w:szCs w:val="28"/>
        </w:rPr>
      </w:pPr>
      <w:r>
        <w:rPr>
          <w:rFonts w:ascii="黑体" w:eastAsia="黑体" w:hAnsi="黑体"/>
          <w:color w:val="000000"/>
          <w:sz w:val="28"/>
          <w:szCs w:val="28"/>
        </w:rPr>
        <w:t>（一）使用教材</w:t>
      </w:r>
    </w:p>
    <w:p w14:paraId="1266EDDC"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马克思主义理论研究和建设工程重点教材：《毛泽东思想和中国特色社会主义理论体系概论》，高等教育出版社，2023年版。</w:t>
      </w:r>
    </w:p>
    <w:p w14:paraId="11BFDC87" w14:textId="77777777" w:rsidR="0078124E" w:rsidRDefault="0078124E" w:rsidP="0078124E">
      <w:pPr>
        <w:snapToGrid w:val="0"/>
        <w:spacing w:line="440" w:lineRule="exact"/>
        <w:ind w:firstLineChars="200" w:firstLine="560"/>
        <w:rPr>
          <w:rFonts w:ascii="黑体" w:eastAsia="黑体" w:hAnsi="黑体"/>
          <w:color w:val="000000"/>
          <w:sz w:val="28"/>
          <w:szCs w:val="28"/>
        </w:rPr>
      </w:pPr>
      <w:r>
        <w:rPr>
          <w:rFonts w:ascii="黑体" w:eastAsia="黑体" w:hAnsi="黑体"/>
          <w:color w:val="000000"/>
          <w:sz w:val="28"/>
          <w:szCs w:val="28"/>
        </w:rPr>
        <w:lastRenderedPageBreak/>
        <w:t>（二）相关推荐书目</w:t>
      </w:r>
    </w:p>
    <w:p w14:paraId="087BE516"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1.《中国共产党历史（第一卷）（第二卷）》，中共中央党史研究室编，中共党史出版社，2011</w:t>
      </w:r>
    </w:p>
    <w:p w14:paraId="14103FC2"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2.《中国共产党的九十年》，中共中央党史研究室编，中共党史出版社、党建读物出版社，2016</w:t>
      </w:r>
    </w:p>
    <w:p w14:paraId="4E6AA2E2"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3.《毛泽东选集》第1—4卷，人民出版社1991年版。</w:t>
      </w:r>
    </w:p>
    <w:p w14:paraId="6BF794C9"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4.《邓小平文选》第1—3卷，人民出版社1993年版。</w:t>
      </w:r>
    </w:p>
    <w:p w14:paraId="1413D750"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5.《江泽民文选》第1—3卷，人民出版社2006年版。</w:t>
      </w:r>
    </w:p>
    <w:p w14:paraId="5837C7F1" w14:textId="77777777" w:rsidR="0078124E" w:rsidRDefault="0078124E" w:rsidP="0078124E">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6.《胡锦涛文选》第1—3卷，人民出版社2016年版。</w:t>
      </w:r>
    </w:p>
    <w:p w14:paraId="6EFE4502" w14:textId="77777777" w:rsidR="0078124E" w:rsidRDefault="0078124E" w:rsidP="0078124E">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（三）课程资源</w:t>
      </w:r>
    </w:p>
    <w:p w14:paraId="2BAA637A" w14:textId="77777777" w:rsidR="0078124E" w:rsidRDefault="0078124E" w:rsidP="0078124E">
      <w:pPr>
        <w:snapToGrid w:val="0"/>
        <w:spacing w:before="187" w:after="187"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无</w:t>
      </w:r>
    </w:p>
    <w:p w14:paraId="42B6FBA3" w14:textId="77777777" w:rsidR="0078124E" w:rsidRDefault="0078124E" w:rsidP="0078124E">
      <w:pPr>
        <w:snapToGrid w:val="0"/>
        <w:spacing w:before="187" w:after="187" w:line="440" w:lineRule="exact"/>
        <w:ind w:firstLineChars="200" w:firstLine="560"/>
        <w:rPr>
          <w:rFonts w:ascii="黑体" w:eastAsia="黑体" w:hAnsi="黑体"/>
          <w:sz w:val="28"/>
          <w:szCs w:val="28"/>
        </w:rPr>
      </w:pPr>
      <w:r>
        <w:rPr>
          <w:rFonts w:ascii="黑体" w:eastAsia="黑体" w:hAnsi="黑体" w:hint="eastAsia"/>
          <w:sz w:val="28"/>
          <w:szCs w:val="28"/>
        </w:rPr>
        <w:t>七、课程大纲制定依据</w:t>
      </w:r>
    </w:p>
    <w:p w14:paraId="00E07E86" w14:textId="77777777" w:rsidR="0078124E" w:rsidRDefault="0078124E" w:rsidP="0078124E">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3F629A25" w14:textId="77777777" w:rsidR="0078124E" w:rsidRDefault="0078124E" w:rsidP="0078124E">
      <w:pPr>
        <w:snapToGrid w:val="0"/>
        <w:spacing w:before="374" w:after="374" w:line="440" w:lineRule="exact"/>
        <w:ind w:firstLineChars="400" w:firstLine="1440"/>
        <w:rPr>
          <w:rFonts w:ascii="黑体" w:eastAsia="黑体" w:hAnsi="黑体"/>
          <w:sz w:val="36"/>
          <w:szCs w:val="36"/>
        </w:rPr>
      </w:pPr>
    </w:p>
    <w:p w14:paraId="44C05183" w14:textId="77777777" w:rsidR="0078124E" w:rsidRDefault="0078124E" w:rsidP="0078124E">
      <w:pPr>
        <w:snapToGrid w:val="0"/>
        <w:spacing w:before="374" w:after="374" w:line="440" w:lineRule="exact"/>
        <w:ind w:firstLineChars="400" w:firstLine="1440"/>
        <w:rPr>
          <w:rFonts w:ascii="黑体" w:eastAsia="黑体" w:hAnsi="黑体"/>
          <w:sz w:val="36"/>
          <w:szCs w:val="36"/>
        </w:rPr>
      </w:pPr>
    </w:p>
    <w:p w14:paraId="2103EC41" w14:textId="77777777" w:rsidR="0078124E" w:rsidRDefault="0078124E" w:rsidP="0078124E">
      <w:pPr>
        <w:snapToGrid w:val="0"/>
        <w:spacing w:before="374" w:after="374" w:line="440" w:lineRule="exact"/>
        <w:ind w:firstLineChars="400" w:firstLine="1440"/>
        <w:rPr>
          <w:rFonts w:ascii="黑体" w:eastAsia="黑体" w:hAnsi="黑体"/>
          <w:sz w:val="36"/>
          <w:szCs w:val="36"/>
        </w:rPr>
      </w:pPr>
    </w:p>
    <w:p w14:paraId="2E8B2F0A" w14:textId="77777777" w:rsidR="0078124E" w:rsidRDefault="0078124E" w:rsidP="0078124E">
      <w:pPr>
        <w:snapToGrid w:val="0"/>
        <w:spacing w:before="374" w:after="374" w:line="440" w:lineRule="exact"/>
        <w:ind w:firstLineChars="400" w:firstLine="1440"/>
        <w:rPr>
          <w:rFonts w:ascii="黑体" w:eastAsia="黑体" w:hAnsi="黑体"/>
          <w:sz w:val="36"/>
          <w:szCs w:val="36"/>
        </w:rPr>
      </w:pPr>
    </w:p>
    <w:p w14:paraId="2C9859AB" w14:textId="77777777" w:rsidR="0078124E" w:rsidRDefault="0078124E" w:rsidP="0078124E">
      <w:pPr>
        <w:snapToGrid w:val="0"/>
        <w:spacing w:before="374" w:after="374" w:line="440" w:lineRule="exact"/>
        <w:ind w:firstLineChars="400" w:firstLine="1440"/>
        <w:rPr>
          <w:rFonts w:ascii="黑体" w:eastAsia="黑体" w:hAnsi="黑体"/>
          <w:sz w:val="36"/>
          <w:szCs w:val="36"/>
        </w:rPr>
      </w:pPr>
    </w:p>
    <w:p w14:paraId="6BB4B016" w14:textId="77777777" w:rsidR="0078124E" w:rsidRDefault="0078124E" w:rsidP="0078124E">
      <w:pPr>
        <w:snapToGrid w:val="0"/>
        <w:spacing w:before="374" w:after="374" w:line="440" w:lineRule="exact"/>
        <w:ind w:firstLineChars="400" w:firstLine="1440"/>
        <w:rPr>
          <w:rFonts w:ascii="黑体" w:eastAsia="黑体" w:hAnsi="黑体"/>
          <w:sz w:val="36"/>
          <w:szCs w:val="36"/>
        </w:rPr>
      </w:pPr>
    </w:p>
    <w:p w14:paraId="0DD43A53" w14:textId="77777777" w:rsidR="0078124E" w:rsidRPr="00AD0ECF" w:rsidRDefault="0078124E" w:rsidP="00AD0ECF">
      <w:pPr>
        <w:pStyle w:val="1"/>
      </w:pPr>
      <w:bookmarkStart w:id="23" w:name="_Toc149662340"/>
      <w:r w:rsidRPr="00AD0ECF">
        <w:lastRenderedPageBreak/>
        <w:t>《</w:t>
      </w:r>
      <w:r w:rsidRPr="00AD0ECF">
        <w:rPr>
          <w:rFonts w:hint="eastAsia"/>
        </w:rPr>
        <w:t>习近平新时代中国特色社会主义思想</w:t>
      </w:r>
      <w:r w:rsidRPr="00AD0ECF">
        <w:t>概论》课程大纲</w:t>
      </w:r>
      <w:bookmarkEnd w:id="23"/>
    </w:p>
    <w:p w14:paraId="21CE3F39" w14:textId="77777777" w:rsidR="0078124E" w:rsidRDefault="0078124E" w:rsidP="0078124E">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一、课程基本信息</w:t>
      </w:r>
    </w:p>
    <w:tbl>
      <w:tblPr>
        <w:tblStyle w:val="31"/>
        <w:tblW w:w="8505" w:type="dxa"/>
        <w:tblLayout w:type="fixed"/>
        <w:tblCellMar>
          <w:top w:w="120" w:type="dxa"/>
          <w:left w:w="60" w:type="dxa"/>
          <w:bottom w:w="120" w:type="dxa"/>
          <w:right w:w="60" w:type="dxa"/>
        </w:tblCellMar>
        <w:tblLook w:val="04A0" w:firstRow="1" w:lastRow="0" w:firstColumn="1" w:lastColumn="0" w:noHBand="0" w:noVBand="1"/>
      </w:tblPr>
      <w:tblGrid>
        <w:gridCol w:w="1575"/>
        <w:gridCol w:w="2655"/>
        <w:gridCol w:w="1470"/>
        <w:gridCol w:w="2805"/>
      </w:tblGrid>
      <w:tr w:rsidR="0078124E" w14:paraId="225D3254" w14:textId="77777777" w:rsidTr="0078124E">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005C229C"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课程名称</w:t>
            </w:r>
          </w:p>
        </w:tc>
        <w:tc>
          <w:tcPr>
            <w:tcW w:w="2655" w:type="dxa"/>
            <w:tcBorders>
              <w:top w:val="single" w:sz="8" w:space="0" w:color="000000"/>
              <w:left w:val="single" w:sz="8" w:space="0" w:color="000000"/>
              <w:bottom w:val="single" w:sz="8" w:space="0" w:color="000000"/>
              <w:right w:val="single" w:sz="8" w:space="0" w:color="000000"/>
            </w:tcBorders>
            <w:vAlign w:val="center"/>
          </w:tcPr>
          <w:p w14:paraId="69A87749" w14:textId="77777777" w:rsidR="0078124E" w:rsidRDefault="0078124E" w:rsidP="0078124E">
            <w:pPr>
              <w:jc w:val="center"/>
              <w:rPr>
                <w:rFonts w:ascii="宋体" w:hAnsi="宋体"/>
                <w:color w:val="000000"/>
                <w:kern w:val="0"/>
                <w:sz w:val="24"/>
                <w:szCs w:val="24"/>
              </w:rPr>
            </w:pPr>
            <w:r>
              <w:rPr>
                <w:rFonts w:ascii="宋体" w:hAnsi="宋体" w:hint="eastAsia"/>
                <w:color w:val="000000"/>
                <w:kern w:val="0"/>
                <w:sz w:val="24"/>
                <w:szCs w:val="24"/>
              </w:rPr>
              <w:t>习近平新时代中国特色社会主义思想概论</w:t>
            </w:r>
          </w:p>
        </w:tc>
        <w:tc>
          <w:tcPr>
            <w:tcW w:w="1470" w:type="dxa"/>
            <w:tcBorders>
              <w:top w:val="single" w:sz="8" w:space="0" w:color="000000"/>
              <w:left w:val="single" w:sz="8" w:space="0" w:color="000000"/>
              <w:bottom w:val="single" w:sz="8" w:space="0" w:color="000000"/>
              <w:right w:val="single" w:sz="8" w:space="0" w:color="000000"/>
            </w:tcBorders>
            <w:vAlign w:val="center"/>
          </w:tcPr>
          <w:p w14:paraId="7EF529B2"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课程代码</w:t>
            </w:r>
          </w:p>
        </w:tc>
        <w:tc>
          <w:tcPr>
            <w:tcW w:w="2805" w:type="dxa"/>
            <w:tcBorders>
              <w:top w:val="single" w:sz="8" w:space="0" w:color="000000"/>
              <w:left w:val="single" w:sz="8" w:space="0" w:color="000000"/>
              <w:bottom w:val="single" w:sz="8" w:space="0" w:color="000000"/>
              <w:right w:val="single" w:sz="8" w:space="0" w:color="000000"/>
            </w:tcBorders>
            <w:vAlign w:val="center"/>
          </w:tcPr>
          <w:p w14:paraId="1E4D9BC2" w14:textId="77777777" w:rsidR="0078124E" w:rsidRDefault="0078124E" w:rsidP="0078124E">
            <w:pPr>
              <w:jc w:val="center"/>
              <w:rPr>
                <w:rFonts w:ascii="宋体" w:hAnsi="宋体"/>
                <w:color w:val="000000"/>
                <w:kern w:val="0"/>
                <w:sz w:val="24"/>
                <w:szCs w:val="24"/>
              </w:rPr>
            </w:pPr>
            <w:r>
              <w:rPr>
                <w:rFonts w:ascii="宋体" w:hAnsi="宋体" w:hint="eastAsia"/>
                <w:color w:val="000000"/>
                <w:kern w:val="0"/>
                <w:sz w:val="24"/>
                <w:szCs w:val="24"/>
              </w:rPr>
              <w:t>1610531</w:t>
            </w:r>
          </w:p>
        </w:tc>
      </w:tr>
      <w:tr w:rsidR="0078124E" w14:paraId="75C6E0D2" w14:textId="77777777" w:rsidTr="0078124E">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6C60739D"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课程类别</w:t>
            </w:r>
          </w:p>
        </w:tc>
        <w:tc>
          <w:tcPr>
            <w:tcW w:w="2655" w:type="dxa"/>
            <w:tcBorders>
              <w:top w:val="single" w:sz="8" w:space="0" w:color="000000"/>
              <w:left w:val="single" w:sz="8" w:space="0" w:color="000000"/>
              <w:bottom w:val="single" w:sz="8" w:space="0" w:color="000000"/>
              <w:right w:val="single" w:sz="8" w:space="0" w:color="000000"/>
            </w:tcBorders>
            <w:vAlign w:val="center"/>
          </w:tcPr>
          <w:p w14:paraId="4B404997"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通识</w:t>
            </w:r>
            <w:r>
              <w:rPr>
                <w:rFonts w:ascii="宋体" w:hAnsi="宋体" w:hint="eastAsia"/>
                <w:color w:val="000000"/>
                <w:kern w:val="0"/>
                <w:sz w:val="24"/>
                <w:szCs w:val="24"/>
              </w:rPr>
              <w:t>教育</w:t>
            </w:r>
            <w:r>
              <w:rPr>
                <w:rFonts w:ascii="宋体" w:hAnsi="宋体"/>
                <w:color w:val="000000"/>
                <w:kern w:val="0"/>
                <w:sz w:val="24"/>
                <w:szCs w:val="24"/>
              </w:rPr>
              <w:t>必修课程</w:t>
            </w:r>
          </w:p>
        </w:tc>
        <w:tc>
          <w:tcPr>
            <w:tcW w:w="1470" w:type="dxa"/>
            <w:tcBorders>
              <w:top w:val="single" w:sz="8" w:space="0" w:color="000000"/>
              <w:left w:val="single" w:sz="8" w:space="0" w:color="000000"/>
              <w:bottom w:val="single" w:sz="8" w:space="0" w:color="000000"/>
              <w:right w:val="single" w:sz="8" w:space="0" w:color="000000"/>
            </w:tcBorders>
            <w:vAlign w:val="center"/>
          </w:tcPr>
          <w:p w14:paraId="7C5413EC"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学时</w:t>
            </w:r>
          </w:p>
          <w:p w14:paraId="408D3E6B"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/学分</w:t>
            </w:r>
          </w:p>
        </w:tc>
        <w:tc>
          <w:tcPr>
            <w:tcW w:w="2805" w:type="dxa"/>
            <w:tcBorders>
              <w:top w:val="single" w:sz="8" w:space="0" w:color="000000"/>
              <w:left w:val="single" w:sz="8" w:space="0" w:color="000000"/>
              <w:bottom w:val="single" w:sz="8" w:space="0" w:color="000000"/>
              <w:right w:val="single" w:sz="8" w:space="0" w:color="000000"/>
            </w:tcBorders>
            <w:vAlign w:val="center"/>
          </w:tcPr>
          <w:p w14:paraId="05A0681D" w14:textId="77777777" w:rsidR="0078124E" w:rsidRDefault="0078124E" w:rsidP="0078124E">
            <w:pPr>
              <w:jc w:val="center"/>
              <w:rPr>
                <w:rFonts w:ascii="宋体" w:hAnsi="宋体"/>
                <w:color w:val="000000"/>
                <w:kern w:val="0"/>
                <w:sz w:val="24"/>
                <w:szCs w:val="24"/>
              </w:rPr>
            </w:pPr>
            <w:r>
              <w:rPr>
                <w:rFonts w:ascii="宋体" w:hAnsi="宋体" w:hint="eastAsia"/>
                <w:color w:val="000000"/>
                <w:kern w:val="0"/>
                <w:sz w:val="24"/>
                <w:szCs w:val="24"/>
              </w:rPr>
              <w:t>48</w:t>
            </w:r>
            <w:r>
              <w:rPr>
                <w:rFonts w:ascii="宋体" w:hAnsi="宋体"/>
                <w:color w:val="000000"/>
                <w:kern w:val="0"/>
                <w:sz w:val="24"/>
                <w:szCs w:val="24"/>
              </w:rPr>
              <w:t>学时/</w:t>
            </w:r>
            <w:r>
              <w:rPr>
                <w:rFonts w:ascii="宋体" w:hAnsi="宋体" w:hint="eastAsia"/>
                <w:color w:val="000000"/>
                <w:kern w:val="0"/>
                <w:sz w:val="24"/>
                <w:szCs w:val="24"/>
              </w:rPr>
              <w:t>3</w:t>
            </w:r>
            <w:r>
              <w:rPr>
                <w:rFonts w:ascii="宋体" w:hAnsi="宋体"/>
                <w:color w:val="000000"/>
                <w:kern w:val="0"/>
                <w:sz w:val="24"/>
                <w:szCs w:val="24"/>
              </w:rPr>
              <w:t>学分</w:t>
            </w:r>
          </w:p>
        </w:tc>
      </w:tr>
      <w:tr w:rsidR="0078124E" w14:paraId="26C570FD" w14:textId="77777777" w:rsidTr="0078124E">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69ABD2A5"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开课单位</w:t>
            </w:r>
          </w:p>
        </w:tc>
        <w:tc>
          <w:tcPr>
            <w:tcW w:w="2655" w:type="dxa"/>
            <w:tcBorders>
              <w:top w:val="single" w:sz="8" w:space="0" w:color="000000"/>
              <w:left w:val="single" w:sz="8" w:space="0" w:color="000000"/>
              <w:bottom w:val="single" w:sz="8" w:space="0" w:color="000000"/>
              <w:right w:val="single" w:sz="8" w:space="0" w:color="000000"/>
            </w:tcBorders>
            <w:vAlign w:val="center"/>
          </w:tcPr>
          <w:p w14:paraId="7FBCF59B"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马克思主义学院</w:t>
            </w:r>
          </w:p>
        </w:tc>
        <w:tc>
          <w:tcPr>
            <w:tcW w:w="1470" w:type="dxa"/>
            <w:tcBorders>
              <w:top w:val="single" w:sz="8" w:space="0" w:color="000000"/>
              <w:left w:val="single" w:sz="8" w:space="0" w:color="000000"/>
              <w:bottom w:val="single" w:sz="8" w:space="0" w:color="000000"/>
              <w:right w:val="single" w:sz="8" w:space="0" w:color="000000"/>
            </w:tcBorders>
            <w:vAlign w:val="center"/>
          </w:tcPr>
          <w:p w14:paraId="0F272A35"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适用专业</w:t>
            </w:r>
          </w:p>
        </w:tc>
        <w:tc>
          <w:tcPr>
            <w:tcW w:w="2805" w:type="dxa"/>
            <w:tcBorders>
              <w:top w:val="single" w:sz="8" w:space="0" w:color="000000"/>
              <w:left w:val="single" w:sz="8" w:space="0" w:color="000000"/>
              <w:bottom w:val="single" w:sz="8" w:space="0" w:color="000000"/>
              <w:right w:val="single" w:sz="8" w:space="0" w:color="000000"/>
            </w:tcBorders>
            <w:vAlign w:val="center"/>
          </w:tcPr>
          <w:p w14:paraId="6C8AE022"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全校各专业</w:t>
            </w:r>
          </w:p>
        </w:tc>
      </w:tr>
      <w:tr w:rsidR="0078124E" w14:paraId="72B2B5D3" w14:textId="77777777" w:rsidTr="0078124E">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7F8C5E77"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课程负责人</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47110326"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赵志强</w:t>
            </w:r>
          </w:p>
        </w:tc>
      </w:tr>
      <w:tr w:rsidR="0078124E" w14:paraId="1A2F3C37" w14:textId="77777777" w:rsidTr="0078124E">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4CF64481"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大纲撰写人</w:t>
            </w:r>
          </w:p>
        </w:tc>
        <w:tc>
          <w:tcPr>
            <w:tcW w:w="2655" w:type="dxa"/>
            <w:tcBorders>
              <w:top w:val="single" w:sz="8" w:space="0" w:color="000000"/>
              <w:left w:val="single" w:sz="8" w:space="0" w:color="000000"/>
              <w:bottom w:val="single" w:sz="8" w:space="0" w:color="000000"/>
              <w:right w:val="single" w:sz="8" w:space="0" w:color="000000"/>
            </w:tcBorders>
            <w:vAlign w:val="center"/>
          </w:tcPr>
          <w:p w14:paraId="1EAEF596"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赵志强</w:t>
            </w:r>
          </w:p>
        </w:tc>
        <w:tc>
          <w:tcPr>
            <w:tcW w:w="1470" w:type="dxa"/>
            <w:tcBorders>
              <w:top w:val="single" w:sz="8" w:space="0" w:color="000000"/>
              <w:left w:val="single" w:sz="8" w:space="0" w:color="000000"/>
              <w:bottom w:val="single" w:sz="8" w:space="0" w:color="000000"/>
              <w:right w:val="single" w:sz="8" w:space="0" w:color="000000"/>
            </w:tcBorders>
            <w:vAlign w:val="center"/>
          </w:tcPr>
          <w:p w14:paraId="39104479"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大纲审核人</w:t>
            </w:r>
          </w:p>
        </w:tc>
        <w:tc>
          <w:tcPr>
            <w:tcW w:w="2805" w:type="dxa"/>
            <w:tcBorders>
              <w:top w:val="single" w:sz="8" w:space="0" w:color="000000"/>
              <w:left w:val="single" w:sz="8" w:space="0" w:color="000000"/>
              <w:bottom w:val="single" w:sz="8" w:space="0" w:color="000000"/>
              <w:right w:val="single" w:sz="8" w:space="0" w:color="000000"/>
            </w:tcBorders>
            <w:vAlign w:val="center"/>
          </w:tcPr>
          <w:p w14:paraId="401FACA6" w14:textId="77777777" w:rsidR="0078124E" w:rsidRDefault="0078124E" w:rsidP="0078124E">
            <w:pPr>
              <w:jc w:val="center"/>
              <w:rPr>
                <w:rFonts w:ascii="宋体" w:hAnsi="宋体"/>
                <w:color w:val="000000"/>
                <w:kern w:val="0"/>
                <w:sz w:val="24"/>
                <w:szCs w:val="24"/>
              </w:rPr>
            </w:pPr>
            <w:r>
              <w:rPr>
                <w:rFonts w:ascii="宋体" w:hAnsi="宋体" w:hint="eastAsia"/>
                <w:color w:val="000000"/>
                <w:kern w:val="0"/>
                <w:sz w:val="24"/>
                <w:szCs w:val="24"/>
              </w:rPr>
              <w:t>张子麟</w:t>
            </w:r>
          </w:p>
        </w:tc>
      </w:tr>
      <w:tr w:rsidR="0078124E" w14:paraId="230A92C0" w14:textId="77777777" w:rsidTr="0078124E">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2125D0A4"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先修课程</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42C1E212" w14:textId="77777777" w:rsidR="0078124E" w:rsidRDefault="0078124E" w:rsidP="0078124E">
            <w:pPr>
              <w:jc w:val="center"/>
              <w:rPr>
                <w:rFonts w:ascii="宋体" w:hAnsi="宋体"/>
                <w:color w:val="000000"/>
                <w:kern w:val="0"/>
                <w:sz w:val="24"/>
                <w:szCs w:val="24"/>
              </w:rPr>
            </w:pPr>
            <w:r>
              <w:rPr>
                <w:rFonts w:ascii="宋体" w:hAnsi="宋体" w:hint="eastAsia"/>
                <w:color w:val="000000"/>
                <w:kern w:val="0"/>
                <w:sz w:val="24"/>
                <w:szCs w:val="24"/>
              </w:rPr>
              <w:t>《思想道德与法治》《中国近现代史纲要》《马克思主义基本原理》《毛泽东思想和中国特色社会主义概论》</w:t>
            </w:r>
          </w:p>
        </w:tc>
      </w:tr>
      <w:tr w:rsidR="0078124E" w14:paraId="25372E5F" w14:textId="77777777" w:rsidTr="0078124E">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67AC8ACB" w14:textId="77777777" w:rsidR="0078124E" w:rsidRDefault="0078124E" w:rsidP="0078124E">
            <w:pPr>
              <w:jc w:val="center"/>
              <w:rPr>
                <w:rFonts w:ascii="宋体" w:hAnsi="宋体"/>
                <w:color w:val="000000"/>
                <w:kern w:val="0"/>
                <w:sz w:val="24"/>
                <w:szCs w:val="24"/>
              </w:rPr>
            </w:pPr>
            <w:r>
              <w:rPr>
                <w:rFonts w:ascii="宋体" w:hAnsi="宋体"/>
                <w:color w:val="000000"/>
                <w:kern w:val="0"/>
                <w:sz w:val="24"/>
                <w:szCs w:val="24"/>
              </w:rPr>
              <w:t>课程网址</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61556CAE" w14:textId="77777777" w:rsidR="0078124E" w:rsidRDefault="0078124E" w:rsidP="0078124E">
            <w:pPr>
              <w:jc w:val="center"/>
              <w:rPr>
                <w:rFonts w:ascii="宋体" w:hAnsi="宋体"/>
                <w:color w:val="000000"/>
                <w:kern w:val="0"/>
                <w:sz w:val="24"/>
                <w:szCs w:val="24"/>
              </w:rPr>
            </w:pPr>
            <w:r>
              <w:rPr>
                <w:rFonts w:ascii="宋体" w:hAnsi="宋体" w:hint="eastAsia"/>
                <w:color w:val="000000"/>
                <w:kern w:val="0"/>
                <w:sz w:val="24"/>
                <w:szCs w:val="24"/>
              </w:rPr>
              <w:t>无</w:t>
            </w:r>
          </w:p>
        </w:tc>
      </w:tr>
    </w:tbl>
    <w:p w14:paraId="50FAC036" w14:textId="77777777" w:rsidR="0078124E" w:rsidRDefault="0078124E" w:rsidP="0078124E">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二、课程学习目标及与毕业要求的对应关系</w:t>
      </w:r>
    </w:p>
    <w:p w14:paraId="3EACBF51" w14:textId="77777777" w:rsidR="0078124E" w:rsidRDefault="0078124E" w:rsidP="0078124E">
      <w:pPr>
        <w:adjustRightInd w:val="0"/>
        <w:snapToGrid w:val="0"/>
        <w:spacing w:line="440" w:lineRule="exact"/>
        <w:rPr>
          <w:rFonts w:ascii="黑体" w:eastAsia="黑体" w:hAnsi="黑体"/>
          <w:sz w:val="28"/>
          <w:szCs w:val="28"/>
        </w:rPr>
      </w:pPr>
      <w:r>
        <w:rPr>
          <w:rFonts w:ascii="黑体" w:eastAsia="黑体" w:hAnsi="黑体" w:hint="eastAsia"/>
          <w:sz w:val="28"/>
          <w:szCs w:val="28"/>
        </w:rPr>
        <w:t>（一）课程学习目标</w:t>
      </w:r>
    </w:p>
    <w:p w14:paraId="04346F41"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该课程基本内容是系统论述习近平新时代中国特色社会主义思想的科学理论体系，通过马克思主义中国化时代化新的飞跃、坚持和发展中国特色社会主义的总任务、坚持党的全面领导、坚持以人民为中心、以新发展理念引领高质量发展、全面深化改革、发展全过程人民民主、全面依法治国、建设社会主义文化强国、加强以民生为重点的社会建设、建设社会主义生态文明、把人民军队全面建设成为世界一流军队、全面贯彻落实总体国家安全观、坚持“一国两制”和推进祖国统一、推动构建人类命运共同体、全面从严治党、在新征程中勇当开路先锋、争当事业闯将等专题内容的讲授，使大学生通过系统学习、全面掌握和有效运用这一马克思主义中国化时代</w:t>
      </w:r>
      <w:proofErr w:type="gramStart"/>
      <w:r>
        <w:rPr>
          <w:rFonts w:ascii="宋体" w:eastAsia="宋体" w:hAnsi="宋体" w:cs="宋体" w:hint="eastAsia"/>
          <w:color w:val="000000"/>
          <w:sz w:val="24"/>
          <w:szCs w:val="24"/>
        </w:rPr>
        <w:t>化最新</w:t>
      </w:r>
      <w:proofErr w:type="gramEnd"/>
      <w:r>
        <w:rPr>
          <w:rFonts w:ascii="宋体" w:eastAsia="宋体" w:hAnsi="宋体" w:cs="宋体" w:hint="eastAsia"/>
          <w:color w:val="000000"/>
          <w:sz w:val="24"/>
          <w:szCs w:val="24"/>
        </w:rPr>
        <w:t>理论成果，树立正确的世界观、人生观和价值观；使大学生能自觉运用马克思主义的立场、观点和方法，提高分析解决新时代中国特色社会主义建设过程中出现的现实问题的能力；使大学生确立新时代中国特色社会主义的共同理想和信念。具体目标可分为三类：</w:t>
      </w:r>
      <w:r>
        <w:rPr>
          <w:rFonts w:ascii="宋体" w:eastAsia="宋体" w:hAnsi="宋体" w:cs="宋体" w:hint="eastAsia"/>
          <w:color w:val="000000"/>
          <w:sz w:val="24"/>
          <w:szCs w:val="24"/>
        </w:rPr>
        <w:lastRenderedPageBreak/>
        <w:t>知识目标、能力目标、情感和价值观目标。</w:t>
      </w:r>
    </w:p>
    <w:p w14:paraId="6A9CC882" w14:textId="77777777" w:rsidR="0078124E" w:rsidRDefault="0078124E" w:rsidP="0078124E">
      <w:pPr>
        <w:adjustRightInd w:val="0"/>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 知识目标</w:t>
      </w:r>
    </w:p>
    <w:p w14:paraId="1BC5106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中国共产党第十九次全国代表大会，把习近平新时代中国特色社会主义思想确立为党必须长期坚持的指导思想并庄严地写入党章，实现了党的指导思想与时俱进。这一历史性决策和历史性贡献，体现了党在政治上理论上的高度成熟、高度自信。第十三届全国人民代表大会第一次会议通过的宪法修正案，郑重地把习近平新时代中国特色社会主义思想载入宪法，实现了国家指导思想的与时俱进，反映了全国各族人民共同意志和全社会共同意愿。本课程知识目标所要达到的重点，就是引导学生系统学</w:t>
      </w:r>
      <w:proofErr w:type="gramStart"/>
      <w:r>
        <w:rPr>
          <w:rFonts w:ascii="宋体" w:eastAsia="宋体" w:hAnsi="宋体" w:cs="宋体" w:hint="eastAsia"/>
          <w:color w:val="000000"/>
          <w:sz w:val="24"/>
          <w:szCs w:val="24"/>
        </w:rPr>
        <w:t>习习近</w:t>
      </w:r>
      <w:proofErr w:type="gramEnd"/>
      <w:r>
        <w:rPr>
          <w:rFonts w:ascii="宋体" w:eastAsia="宋体" w:hAnsi="宋体" w:cs="宋体" w:hint="eastAsia"/>
          <w:color w:val="000000"/>
          <w:sz w:val="24"/>
          <w:szCs w:val="24"/>
        </w:rPr>
        <w:t>平新时代中国特色社会主义思想概论，全面领会马克思主义中国化新飞跃的科学涵义、形成发展过程、科学体系、历史地位、指导意义、基本观点及新时代中国特色社会主义现代化建设的路线、方针、政策，使大学生在学习过程中能够准确把握马克思主义中国化时代化的最新理论成果，对新时代中国特色社会主要建设过程中党的重大理论创新有更加准确的认识，对习近平新时代中国特色社会主义思想这一新时代中国共产党的思想旗帜、国家政治生活和社会生活的根本指针和当代中国马克思主义、二十一世纪马克思主义有着更加透彻的理解和更加科学的运用。</w:t>
      </w:r>
    </w:p>
    <w:p w14:paraId="7212E57B" w14:textId="77777777" w:rsidR="0078124E" w:rsidRDefault="0078124E" w:rsidP="0078124E">
      <w:pPr>
        <w:adjustRightInd w:val="0"/>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 能力目标</w:t>
      </w:r>
    </w:p>
    <w:p w14:paraId="59FA8403" w14:textId="77777777" w:rsidR="0078124E" w:rsidRDefault="0078124E" w:rsidP="0078124E">
      <w:pPr>
        <w:adjustRightInd w:val="0"/>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学</w:t>
      </w:r>
      <w:proofErr w:type="gramStart"/>
      <w:r>
        <w:rPr>
          <w:rFonts w:ascii="宋体" w:eastAsia="宋体" w:hAnsi="宋体" w:cs="Times New Roman" w:hint="eastAsia"/>
          <w:color w:val="000000"/>
          <w:sz w:val="24"/>
          <w:szCs w:val="24"/>
        </w:rPr>
        <w:t>习习近</w:t>
      </w:r>
      <w:proofErr w:type="gramEnd"/>
      <w:r>
        <w:rPr>
          <w:rFonts w:ascii="宋体" w:eastAsia="宋体" w:hAnsi="宋体" w:cs="Times New Roman" w:hint="eastAsia"/>
          <w:color w:val="000000"/>
          <w:sz w:val="24"/>
          <w:szCs w:val="24"/>
        </w:rPr>
        <w:t>平新时代中国特色社会主义思想概论的能力目标，是通过学习提高当代大学生贯彻落实和领会运用习近平新时代中国特色社会主义思想的科学性、准确性和系统性，提高学生运用辩证唯物主义和历史唯物主义的观点和方法认识问题、分析问题、解决问题的能力，培养学生的战略思维、创新思维、辩证思维、法治思维、底线思维、历史思维等能力，以更好地把握新时代中国特色社会主义建设所面临的世情、国情、党情的新形势，更加全面的认识新时代中国特色社会主义建设所面临的中国社会状况和自己所肩负的历史重任。</w:t>
      </w:r>
    </w:p>
    <w:p w14:paraId="7AA74951" w14:textId="77777777" w:rsidR="0078124E" w:rsidRDefault="0078124E" w:rsidP="0078124E">
      <w:pPr>
        <w:adjustRightInd w:val="0"/>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 价值目标</w:t>
      </w:r>
    </w:p>
    <w:p w14:paraId="7EB4ADA5" w14:textId="77777777" w:rsidR="0078124E" w:rsidRDefault="0078124E" w:rsidP="0078124E">
      <w:pPr>
        <w:adjustRightInd w:val="0"/>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通过习近平新时代中国特色社会主义思想概论的学习，在价值目标上是要帮助学生树立正确的世界观、人生观和价值观，不断蓄积当代大学生的人文底蕴、科学精神、职业素养、社会责任感和积极的人生态度，引导当代大学生积极</w:t>
      </w:r>
      <w:proofErr w:type="gramStart"/>
      <w:r>
        <w:rPr>
          <w:rFonts w:ascii="宋体" w:eastAsia="宋体" w:hAnsi="宋体" w:cs="Times New Roman" w:hint="eastAsia"/>
          <w:color w:val="000000"/>
          <w:sz w:val="24"/>
          <w:szCs w:val="24"/>
        </w:rPr>
        <w:t>践行</w:t>
      </w:r>
      <w:proofErr w:type="gramEnd"/>
      <w:r>
        <w:rPr>
          <w:rFonts w:ascii="宋体" w:eastAsia="宋体" w:hAnsi="宋体" w:cs="Times New Roman" w:hint="eastAsia"/>
          <w:color w:val="000000"/>
          <w:sz w:val="24"/>
          <w:szCs w:val="24"/>
        </w:rPr>
        <w:t>社会主义核心价值观，把当代大学生培育</w:t>
      </w:r>
      <w:proofErr w:type="gramStart"/>
      <w:r>
        <w:rPr>
          <w:rFonts w:ascii="宋体" w:eastAsia="宋体" w:hAnsi="宋体" w:cs="Times New Roman" w:hint="eastAsia"/>
          <w:color w:val="000000"/>
          <w:sz w:val="24"/>
          <w:szCs w:val="24"/>
        </w:rPr>
        <w:t>成实现</w:t>
      </w:r>
      <w:proofErr w:type="gramEnd"/>
      <w:r>
        <w:rPr>
          <w:rFonts w:ascii="宋体" w:eastAsia="宋体" w:hAnsi="宋体" w:cs="Times New Roman" w:hint="eastAsia"/>
          <w:color w:val="000000"/>
          <w:sz w:val="24"/>
          <w:szCs w:val="24"/>
        </w:rPr>
        <w:t>中华民族伟大复兴的合格建设者和新时代中国特色社会主义伟大事业合格的接班人。</w:t>
      </w:r>
    </w:p>
    <w:p w14:paraId="747691A4" w14:textId="77777777" w:rsidR="0078124E" w:rsidRDefault="0078124E" w:rsidP="0078124E">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（二）课程学习目标与毕业要求的对应关系</w:t>
      </w:r>
    </w:p>
    <w:tbl>
      <w:tblPr>
        <w:tblStyle w:val="31"/>
        <w:tblW w:w="7978" w:type="dxa"/>
        <w:jc w:val="center"/>
        <w:tblLayout w:type="fixed"/>
        <w:tblCellMar>
          <w:top w:w="120" w:type="dxa"/>
          <w:left w:w="60" w:type="dxa"/>
          <w:bottom w:w="120" w:type="dxa"/>
          <w:right w:w="60" w:type="dxa"/>
        </w:tblCellMar>
        <w:tblLook w:val="04A0" w:firstRow="1" w:lastRow="0" w:firstColumn="1" w:lastColumn="0" w:noHBand="0" w:noVBand="1"/>
      </w:tblPr>
      <w:tblGrid>
        <w:gridCol w:w="1600"/>
        <w:gridCol w:w="1357"/>
        <w:gridCol w:w="5021"/>
      </w:tblGrid>
      <w:tr w:rsidR="0078124E" w14:paraId="4678399E" w14:textId="77777777" w:rsidTr="0078124E">
        <w:trPr>
          <w:trHeight w:val="940"/>
          <w:jc w:val="center"/>
        </w:trPr>
        <w:tc>
          <w:tcPr>
            <w:tcW w:w="1600" w:type="dxa"/>
            <w:tcBorders>
              <w:top w:val="single" w:sz="8" w:space="0" w:color="000000"/>
              <w:left w:val="single" w:sz="8" w:space="0" w:color="000000"/>
              <w:bottom w:val="single" w:sz="8" w:space="0" w:color="000000"/>
              <w:right w:val="single" w:sz="8" w:space="0" w:color="000000"/>
            </w:tcBorders>
            <w:vAlign w:val="center"/>
          </w:tcPr>
          <w:p w14:paraId="03BE46C7" w14:textId="77777777" w:rsidR="0078124E" w:rsidRDefault="0078124E" w:rsidP="0078124E">
            <w:pPr>
              <w:adjustRightInd w:val="0"/>
              <w:snapToGrid w:val="0"/>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lastRenderedPageBreak/>
              <w:t>课程目标</w:t>
            </w:r>
          </w:p>
        </w:tc>
        <w:tc>
          <w:tcPr>
            <w:tcW w:w="1357" w:type="dxa"/>
            <w:tcBorders>
              <w:top w:val="single" w:sz="8" w:space="0" w:color="000000"/>
              <w:left w:val="single" w:sz="8" w:space="0" w:color="000000"/>
              <w:bottom w:val="single" w:sz="8" w:space="0" w:color="000000"/>
              <w:right w:val="single" w:sz="8" w:space="0" w:color="000000"/>
            </w:tcBorders>
            <w:vAlign w:val="center"/>
          </w:tcPr>
          <w:p w14:paraId="35AE000F" w14:textId="77777777" w:rsidR="0078124E" w:rsidRDefault="0078124E" w:rsidP="0078124E">
            <w:pPr>
              <w:adjustRightInd w:val="0"/>
              <w:snapToGrid w:val="0"/>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支撑的毕业要求</w:t>
            </w:r>
          </w:p>
        </w:tc>
        <w:tc>
          <w:tcPr>
            <w:tcW w:w="5021" w:type="dxa"/>
            <w:tcBorders>
              <w:top w:val="single" w:sz="8" w:space="0" w:color="000000"/>
              <w:left w:val="single" w:sz="8" w:space="0" w:color="000000"/>
              <w:bottom w:val="single" w:sz="8" w:space="0" w:color="000000"/>
              <w:right w:val="single" w:sz="8" w:space="0" w:color="000000"/>
            </w:tcBorders>
            <w:vAlign w:val="center"/>
          </w:tcPr>
          <w:p w14:paraId="6F450907" w14:textId="77777777" w:rsidR="0078124E" w:rsidRDefault="0078124E" w:rsidP="0078124E">
            <w:pPr>
              <w:adjustRightInd w:val="0"/>
              <w:snapToGrid w:val="0"/>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毕业要求内涵</w:t>
            </w:r>
          </w:p>
        </w:tc>
      </w:tr>
      <w:tr w:rsidR="0078124E" w14:paraId="3DD05005" w14:textId="77777777" w:rsidTr="0078124E">
        <w:trPr>
          <w:trHeight w:val="1552"/>
          <w:jc w:val="center"/>
        </w:trPr>
        <w:tc>
          <w:tcPr>
            <w:tcW w:w="1600" w:type="dxa"/>
            <w:tcBorders>
              <w:top w:val="single" w:sz="8" w:space="0" w:color="000000"/>
              <w:left w:val="single" w:sz="8" w:space="0" w:color="000000"/>
              <w:bottom w:val="single" w:sz="8" w:space="0" w:color="000000"/>
              <w:right w:val="single" w:sz="8" w:space="0" w:color="000000"/>
            </w:tcBorders>
            <w:vAlign w:val="center"/>
          </w:tcPr>
          <w:p w14:paraId="0D4747C8"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sz w:val="24"/>
              </w:rPr>
              <w:t>课程目标1</w:t>
            </w:r>
          </w:p>
        </w:tc>
        <w:tc>
          <w:tcPr>
            <w:tcW w:w="1357" w:type="dxa"/>
            <w:tcBorders>
              <w:top w:val="single" w:sz="8" w:space="0" w:color="000000"/>
              <w:left w:val="single" w:sz="8" w:space="0" w:color="000000"/>
              <w:bottom w:val="single" w:sz="8" w:space="0" w:color="000000"/>
              <w:right w:val="single" w:sz="8" w:space="0" w:color="000000"/>
            </w:tcBorders>
            <w:vAlign w:val="center"/>
          </w:tcPr>
          <w:p w14:paraId="02996DEB"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6.综合育人（M）</w:t>
            </w:r>
          </w:p>
        </w:tc>
        <w:tc>
          <w:tcPr>
            <w:tcW w:w="5021" w:type="dxa"/>
            <w:tcBorders>
              <w:top w:val="single" w:sz="8" w:space="0" w:color="000000"/>
              <w:left w:val="single" w:sz="8" w:space="0" w:color="000000"/>
              <w:bottom w:val="single" w:sz="8" w:space="0" w:color="000000"/>
              <w:right w:val="single" w:sz="8" w:space="0" w:color="000000"/>
            </w:tcBorders>
            <w:vAlign w:val="center"/>
          </w:tcPr>
          <w:p w14:paraId="531A94EE" w14:textId="77777777" w:rsidR="0078124E" w:rsidRDefault="0078124E" w:rsidP="0078124E">
            <w:pPr>
              <w:adjustRightInd w:val="0"/>
              <w:snapToGrid w:val="0"/>
              <w:spacing w:line="440" w:lineRule="exact"/>
              <w:ind w:firstLineChars="200" w:firstLine="480"/>
              <w:jc w:val="left"/>
              <w:rPr>
                <w:rFonts w:ascii="宋体" w:hAnsi="宋体"/>
                <w:color w:val="000000"/>
                <w:kern w:val="0"/>
                <w:szCs w:val="21"/>
              </w:rPr>
            </w:pPr>
            <w:r>
              <w:rPr>
                <w:rFonts w:ascii="宋体" w:hAnsi="宋体" w:hint="eastAsia"/>
                <w:color w:val="000000"/>
                <w:kern w:val="0"/>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rsidR="0078124E" w14:paraId="6BD405C3" w14:textId="77777777" w:rsidTr="0078124E">
        <w:trPr>
          <w:trHeight w:val="1350"/>
          <w:jc w:val="center"/>
        </w:trPr>
        <w:tc>
          <w:tcPr>
            <w:tcW w:w="1600" w:type="dxa"/>
            <w:tcBorders>
              <w:top w:val="single" w:sz="8" w:space="0" w:color="000000"/>
              <w:left w:val="single" w:sz="8" w:space="0" w:color="000000"/>
              <w:bottom w:val="single" w:sz="8" w:space="0" w:color="000000"/>
              <w:right w:val="single" w:sz="8" w:space="0" w:color="000000"/>
            </w:tcBorders>
            <w:vAlign w:val="center"/>
          </w:tcPr>
          <w:p w14:paraId="7B9AAD53"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sz w:val="24"/>
              </w:rPr>
              <w:t>课程目标2</w:t>
            </w:r>
          </w:p>
        </w:tc>
        <w:tc>
          <w:tcPr>
            <w:tcW w:w="1357" w:type="dxa"/>
            <w:tcBorders>
              <w:top w:val="single" w:sz="8" w:space="0" w:color="000000"/>
              <w:left w:val="single" w:sz="8" w:space="0" w:color="000000"/>
              <w:bottom w:val="single" w:sz="8" w:space="0" w:color="000000"/>
              <w:right w:val="single" w:sz="8" w:space="0" w:color="000000"/>
            </w:tcBorders>
            <w:vAlign w:val="center"/>
          </w:tcPr>
          <w:p w14:paraId="77F83D5D"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8</w:t>
            </w:r>
            <w:r>
              <w:rPr>
                <w:rFonts w:ascii="宋体" w:hAnsi="宋体"/>
                <w:color w:val="000000"/>
                <w:kern w:val="0"/>
                <w:sz w:val="24"/>
                <w:szCs w:val="24"/>
              </w:rPr>
              <w:t>.</w:t>
            </w:r>
            <w:r>
              <w:rPr>
                <w:rFonts w:ascii="宋体" w:hAnsi="宋体" w:hint="eastAsia"/>
                <w:color w:val="000000"/>
                <w:kern w:val="0"/>
                <w:sz w:val="24"/>
                <w:szCs w:val="24"/>
              </w:rPr>
              <w:t>沟通合作（</w:t>
            </w:r>
            <w:r>
              <w:rPr>
                <w:rFonts w:ascii="宋体" w:hAnsi="宋体"/>
                <w:color w:val="000000"/>
                <w:kern w:val="0"/>
                <w:sz w:val="24"/>
                <w:szCs w:val="24"/>
              </w:rPr>
              <w:t>M</w:t>
            </w:r>
            <w:r>
              <w:rPr>
                <w:rFonts w:ascii="宋体" w:hAnsi="宋体" w:hint="eastAsia"/>
                <w:color w:val="000000"/>
                <w:kern w:val="0"/>
                <w:sz w:val="24"/>
                <w:szCs w:val="24"/>
              </w:rPr>
              <w:t>）</w:t>
            </w:r>
          </w:p>
        </w:tc>
        <w:tc>
          <w:tcPr>
            <w:tcW w:w="5021" w:type="dxa"/>
            <w:tcBorders>
              <w:top w:val="single" w:sz="8" w:space="0" w:color="000000"/>
              <w:left w:val="single" w:sz="8" w:space="0" w:color="000000"/>
              <w:bottom w:val="single" w:sz="8" w:space="0" w:color="000000"/>
              <w:right w:val="single" w:sz="8" w:space="0" w:color="000000"/>
            </w:tcBorders>
            <w:vAlign w:val="center"/>
          </w:tcPr>
          <w:p w14:paraId="09570E80" w14:textId="77777777" w:rsidR="0078124E" w:rsidRDefault="0078124E" w:rsidP="0078124E">
            <w:pPr>
              <w:adjustRightInd w:val="0"/>
              <w:snapToGrid w:val="0"/>
              <w:spacing w:line="440" w:lineRule="exact"/>
              <w:ind w:firstLineChars="200" w:firstLine="480"/>
              <w:jc w:val="left"/>
              <w:rPr>
                <w:rFonts w:ascii="宋体" w:hAnsi="宋体"/>
                <w:color w:val="000000"/>
                <w:kern w:val="0"/>
                <w:szCs w:val="21"/>
              </w:rPr>
            </w:pPr>
            <w:r>
              <w:rPr>
                <w:rFonts w:ascii="宋体" w:hAnsi="宋体" w:hint="eastAsia"/>
                <w:color w:val="000000"/>
                <w:kern w:val="0"/>
                <w:sz w:val="24"/>
                <w:szCs w:val="24"/>
              </w:rPr>
              <w:t>理解学习共同体的作用，具有团队协作精神，掌握沟通合作技能，具有小组互助和合作学习体验。</w:t>
            </w:r>
          </w:p>
        </w:tc>
      </w:tr>
      <w:tr w:rsidR="0078124E" w14:paraId="7D8EF779" w14:textId="77777777" w:rsidTr="0078124E">
        <w:trPr>
          <w:trHeight w:val="2115"/>
          <w:jc w:val="center"/>
        </w:trPr>
        <w:tc>
          <w:tcPr>
            <w:tcW w:w="1600" w:type="dxa"/>
            <w:tcBorders>
              <w:top w:val="single" w:sz="8" w:space="0" w:color="000000"/>
              <w:left w:val="single" w:sz="8" w:space="0" w:color="000000"/>
              <w:bottom w:val="single" w:sz="8" w:space="0" w:color="000000"/>
              <w:right w:val="single" w:sz="8" w:space="0" w:color="000000"/>
            </w:tcBorders>
            <w:vAlign w:val="center"/>
          </w:tcPr>
          <w:p w14:paraId="3FEDEBB2"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sz w:val="24"/>
              </w:rPr>
              <w:t>课程目标3</w:t>
            </w:r>
          </w:p>
        </w:tc>
        <w:tc>
          <w:tcPr>
            <w:tcW w:w="1357" w:type="dxa"/>
            <w:tcBorders>
              <w:top w:val="single" w:sz="8" w:space="0" w:color="000000"/>
              <w:left w:val="single" w:sz="8" w:space="0" w:color="000000"/>
              <w:bottom w:val="single" w:sz="8" w:space="0" w:color="000000"/>
              <w:right w:val="single" w:sz="8" w:space="0" w:color="000000"/>
            </w:tcBorders>
            <w:vAlign w:val="center"/>
          </w:tcPr>
          <w:p w14:paraId="2577EE32"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1.师德规范（H）</w:t>
            </w:r>
          </w:p>
        </w:tc>
        <w:tc>
          <w:tcPr>
            <w:tcW w:w="5021" w:type="dxa"/>
            <w:tcBorders>
              <w:top w:val="single" w:sz="8" w:space="0" w:color="000000"/>
              <w:left w:val="single" w:sz="8" w:space="0" w:color="000000"/>
              <w:bottom w:val="single" w:sz="8" w:space="0" w:color="000000"/>
              <w:right w:val="single" w:sz="8" w:space="0" w:color="000000"/>
            </w:tcBorders>
            <w:vAlign w:val="center"/>
          </w:tcPr>
          <w:p w14:paraId="04F9C88A" w14:textId="77777777" w:rsidR="0078124E" w:rsidRDefault="0078124E" w:rsidP="0078124E">
            <w:pPr>
              <w:adjustRightInd w:val="0"/>
              <w:snapToGrid w:val="0"/>
              <w:spacing w:line="440" w:lineRule="exact"/>
              <w:ind w:firstLineChars="200" w:firstLine="480"/>
              <w:jc w:val="left"/>
              <w:rPr>
                <w:rFonts w:ascii="宋体" w:hAnsi="宋体"/>
                <w:color w:val="000000"/>
                <w:kern w:val="0"/>
                <w:szCs w:val="21"/>
              </w:rPr>
            </w:pPr>
            <w:proofErr w:type="gramStart"/>
            <w:r>
              <w:rPr>
                <w:rFonts w:ascii="宋体" w:hAnsi="宋体" w:hint="eastAsia"/>
                <w:color w:val="000000"/>
                <w:kern w:val="0"/>
                <w:sz w:val="24"/>
                <w:szCs w:val="24"/>
              </w:rPr>
              <w:t>践行</w:t>
            </w:r>
            <w:proofErr w:type="gramEnd"/>
            <w:r>
              <w:rPr>
                <w:rFonts w:ascii="宋体" w:hAnsi="宋体" w:hint="eastAsia"/>
                <w:color w:val="000000"/>
                <w:kern w:val="0"/>
                <w:sz w:val="24"/>
                <w:szCs w:val="24"/>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70B8D6A3" w14:textId="77777777" w:rsidR="0078124E" w:rsidRDefault="0078124E" w:rsidP="0078124E">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（三）课程学习目标与毕业要求的对应关系</w:t>
      </w:r>
    </w:p>
    <w:tbl>
      <w:tblPr>
        <w:tblStyle w:val="31"/>
        <w:tblW w:w="8136" w:type="dxa"/>
        <w:jc w:val="center"/>
        <w:tblLayout w:type="fixed"/>
        <w:tblCellMar>
          <w:top w:w="120" w:type="dxa"/>
          <w:left w:w="60" w:type="dxa"/>
          <w:bottom w:w="120" w:type="dxa"/>
          <w:right w:w="60" w:type="dxa"/>
        </w:tblCellMar>
        <w:tblLook w:val="04A0" w:firstRow="1" w:lastRow="0" w:firstColumn="1" w:lastColumn="0" w:noHBand="0" w:noVBand="1"/>
      </w:tblPr>
      <w:tblGrid>
        <w:gridCol w:w="1817"/>
        <w:gridCol w:w="1615"/>
        <w:gridCol w:w="4704"/>
      </w:tblGrid>
      <w:tr w:rsidR="0078124E" w14:paraId="477C74D4" w14:textId="77777777" w:rsidTr="0078124E">
        <w:trPr>
          <w:trHeight w:val="454"/>
          <w:jc w:val="center"/>
        </w:trPr>
        <w:tc>
          <w:tcPr>
            <w:tcW w:w="1817" w:type="dxa"/>
            <w:tcBorders>
              <w:top w:val="single" w:sz="8" w:space="0" w:color="000000"/>
              <w:left w:val="single" w:sz="8" w:space="0" w:color="000000"/>
              <w:bottom w:val="single" w:sz="8" w:space="0" w:color="000000"/>
              <w:right w:val="single" w:sz="8" w:space="0" w:color="000000"/>
            </w:tcBorders>
            <w:vAlign w:val="center"/>
          </w:tcPr>
          <w:p w14:paraId="7E0F2AD0" w14:textId="77777777" w:rsidR="0078124E" w:rsidRDefault="0078124E" w:rsidP="0078124E">
            <w:pPr>
              <w:adjustRightInd w:val="0"/>
              <w:snapToGrid w:val="0"/>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课程目标</w:t>
            </w:r>
          </w:p>
        </w:tc>
        <w:tc>
          <w:tcPr>
            <w:tcW w:w="1615" w:type="dxa"/>
            <w:tcBorders>
              <w:top w:val="single" w:sz="8" w:space="0" w:color="000000"/>
              <w:left w:val="single" w:sz="8" w:space="0" w:color="000000"/>
              <w:bottom w:val="single" w:sz="8" w:space="0" w:color="000000"/>
              <w:right w:val="single" w:sz="8" w:space="0" w:color="000000"/>
            </w:tcBorders>
            <w:vAlign w:val="center"/>
          </w:tcPr>
          <w:p w14:paraId="26EA7AA8" w14:textId="77777777" w:rsidR="0078124E" w:rsidRDefault="0078124E" w:rsidP="0078124E">
            <w:pPr>
              <w:adjustRightInd w:val="0"/>
              <w:snapToGrid w:val="0"/>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支撑的毕业要求</w:t>
            </w:r>
          </w:p>
        </w:tc>
        <w:tc>
          <w:tcPr>
            <w:tcW w:w="4704" w:type="dxa"/>
            <w:tcBorders>
              <w:top w:val="single" w:sz="8" w:space="0" w:color="000000"/>
              <w:left w:val="single" w:sz="8" w:space="0" w:color="000000"/>
              <w:bottom w:val="single" w:sz="8" w:space="0" w:color="000000"/>
              <w:right w:val="single" w:sz="8" w:space="0" w:color="000000"/>
            </w:tcBorders>
            <w:vAlign w:val="center"/>
          </w:tcPr>
          <w:p w14:paraId="0C7033B6" w14:textId="77777777" w:rsidR="0078124E" w:rsidRDefault="0078124E" w:rsidP="0078124E">
            <w:pPr>
              <w:adjustRightInd w:val="0"/>
              <w:snapToGrid w:val="0"/>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毕业要求内涵</w:t>
            </w:r>
          </w:p>
        </w:tc>
      </w:tr>
      <w:tr w:rsidR="0078124E" w14:paraId="23125DDD" w14:textId="77777777" w:rsidTr="0078124E">
        <w:trPr>
          <w:trHeight w:val="454"/>
          <w:jc w:val="center"/>
        </w:trPr>
        <w:tc>
          <w:tcPr>
            <w:tcW w:w="1817" w:type="dxa"/>
            <w:tcBorders>
              <w:top w:val="single" w:sz="8" w:space="0" w:color="000000"/>
              <w:left w:val="single" w:sz="8" w:space="0" w:color="000000"/>
              <w:bottom w:val="single" w:sz="8" w:space="0" w:color="000000"/>
              <w:right w:val="single" w:sz="8" w:space="0" w:color="000000"/>
            </w:tcBorders>
            <w:vAlign w:val="center"/>
          </w:tcPr>
          <w:p w14:paraId="0C9ACD33"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sz w:val="24"/>
              </w:rPr>
              <w:t>课程目标1</w:t>
            </w:r>
          </w:p>
        </w:tc>
        <w:tc>
          <w:tcPr>
            <w:tcW w:w="1615" w:type="dxa"/>
            <w:tcBorders>
              <w:top w:val="single" w:sz="8" w:space="0" w:color="000000"/>
              <w:left w:val="single" w:sz="8" w:space="0" w:color="000000"/>
              <w:bottom w:val="single" w:sz="8" w:space="0" w:color="000000"/>
              <w:right w:val="single" w:sz="8" w:space="0" w:color="000000"/>
            </w:tcBorders>
            <w:vAlign w:val="center"/>
          </w:tcPr>
          <w:p w14:paraId="29BECB63"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7.环境和可持续发展（M）</w:t>
            </w:r>
          </w:p>
        </w:tc>
        <w:tc>
          <w:tcPr>
            <w:tcW w:w="4704" w:type="dxa"/>
            <w:tcBorders>
              <w:top w:val="single" w:sz="8" w:space="0" w:color="000000"/>
              <w:left w:val="single" w:sz="8" w:space="0" w:color="000000"/>
              <w:bottom w:val="single" w:sz="8" w:space="0" w:color="000000"/>
              <w:right w:val="single" w:sz="8" w:space="0" w:color="000000"/>
            </w:tcBorders>
            <w:vAlign w:val="center"/>
          </w:tcPr>
          <w:p w14:paraId="178D4EBD" w14:textId="77777777" w:rsidR="0078124E" w:rsidRDefault="0078124E" w:rsidP="0078124E">
            <w:pPr>
              <w:adjustRightInd w:val="0"/>
              <w:snapToGrid w:val="0"/>
              <w:spacing w:line="440" w:lineRule="exact"/>
              <w:ind w:firstLineChars="200" w:firstLine="480"/>
              <w:jc w:val="left"/>
              <w:rPr>
                <w:rFonts w:ascii="宋体" w:hAnsi="宋体"/>
                <w:color w:val="000000"/>
                <w:sz w:val="24"/>
              </w:rPr>
            </w:pPr>
            <w:r>
              <w:rPr>
                <w:rFonts w:ascii="宋体" w:hAnsi="宋体" w:hint="eastAsia"/>
                <w:color w:val="000000"/>
                <w:kern w:val="0"/>
                <w:sz w:val="24"/>
                <w:szCs w:val="24"/>
              </w:rPr>
              <w:t>能够理解和评价针对复杂工程问题的工程实践对环境、社会可持续发展的影响。</w:t>
            </w:r>
          </w:p>
        </w:tc>
      </w:tr>
      <w:tr w:rsidR="0078124E" w14:paraId="1BB6F5C3" w14:textId="77777777" w:rsidTr="0078124E">
        <w:trPr>
          <w:trHeight w:val="454"/>
          <w:jc w:val="center"/>
        </w:trPr>
        <w:tc>
          <w:tcPr>
            <w:tcW w:w="1817" w:type="dxa"/>
            <w:tcBorders>
              <w:top w:val="single" w:sz="8" w:space="0" w:color="000000"/>
              <w:left w:val="single" w:sz="8" w:space="0" w:color="000000"/>
              <w:bottom w:val="single" w:sz="8" w:space="0" w:color="000000"/>
              <w:right w:val="single" w:sz="8" w:space="0" w:color="000000"/>
            </w:tcBorders>
            <w:vAlign w:val="center"/>
          </w:tcPr>
          <w:p w14:paraId="12A7996A"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sz w:val="24"/>
              </w:rPr>
              <w:t>课程目标2</w:t>
            </w:r>
          </w:p>
        </w:tc>
        <w:tc>
          <w:tcPr>
            <w:tcW w:w="1615" w:type="dxa"/>
            <w:tcBorders>
              <w:top w:val="single" w:sz="8" w:space="0" w:color="000000"/>
              <w:left w:val="single" w:sz="8" w:space="0" w:color="000000"/>
              <w:bottom w:val="single" w:sz="8" w:space="0" w:color="000000"/>
              <w:right w:val="single" w:sz="8" w:space="0" w:color="000000"/>
            </w:tcBorders>
            <w:vAlign w:val="center"/>
          </w:tcPr>
          <w:p w14:paraId="42B53ED7"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3.设计 / 开发解决方案（L）</w:t>
            </w:r>
          </w:p>
        </w:tc>
        <w:tc>
          <w:tcPr>
            <w:tcW w:w="4704" w:type="dxa"/>
            <w:tcBorders>
              <w:top w:val="single" w:sz="8" w:space="0" w:color="000000"/>
              <w:left w:val="single" w:sz="8" w:space="0" w:color="000000"/>
              <w:bottom w:val="single" w:sz="8" w:space="0" w:color="000000"/>
              <w:right w:val="single" w:sz="8" w:space="0" w:color="000000"/>
            </w:tcBorders>
            <w:vAlign w:val="center"/>
          </w:tcPr>
          <w:p w14:paraId="3E3894F3" w14:textId="77777777" w:rsidR="0078124E" w:rsidRDefault="0078124E" w:rsidP="0078124E">
            <w:pPr>
              <w:adjustRightInd w:val="0"/>
              <w:snapToGrid w:val="0"/>
              <w:spacing w:line="440" w:lineRule="exact"/>
              <w:ind w:firstLineChars="200" w:firstLine="480"/>
              <w:jc w:val="left"/>
              <w:rPr>
                <w:rFonts w:ascii="宋体" w:hAnsi="宋体"/>
                <w:color w:val="000000"/>
                <w:kern w:val="0"/>
                <w:sz w:val="24"/>
                <w:szCs w:val="24"/>
              </w:rPr>
            </w:pPr>
            <w:r>
              <w:rPr>
                <w:rFonts w:ascii="宋体" w:hAnsi="宋体" w:hint="eastAsia"/>
                <w:color w:val="000000"/>
                <w:kern w:val="0"/>
                <w:sz w:val="24"/>
                <w:szCs w:val="24"/>
              </w:rPr>
              <w:t>能够设计针对复杂工程问题的解决方案，设计满足特定需求的系统、单元（部件）或工艺流程，并能够在设计环节中体现创新意识，考虑社会、健康、安全、法律、</w:t>
            </w:r>
            <w:r>
              <w:rPr>
                <w:rFonts w:ascii="宋体" w:hAnsi="宋体" w:hint="eastAsia"/>
                <w:color w:val="000000"/>
                <w:kern w:val="0"/>
                <w:sz w:val="24"/>
                <w:szCs w:val="24"/>
              </w:rPr>
              <w:lastRenderedPageBreak/>
              <w:t>文化以及环境等因素。</w:t>
            </w:r>
          </w:p>
        </w:tc>
      </w:tr>
      <w:tr w:rsidR="0078124E" w14:paraId="6FD7E3C9" w14:textId="77777777" w:rsidTr="0078124E">
        <w:trPr>
          <w:trHeight w:val="454"/>
          <w:jc w:val="center"/>
        </w:trPr>
        <w:tc>
          <w:tcPr>
            <w:tcW w:w="1817" w:type="dxa"/>
            <w:tcBorders>
              <w:top w:val="single" w:sz="8" w:space="0" w:color="000000"/>
              <w:left w:val="single" w:sz="8" w:space="0" w:color="000000"/>
              <w:bottom w:val="single" w:sz="8" w:space="0" w:color="000000"/>
              <w:right w:val="single" w:sz="8" w:space="0" w:color="000000"/>
            </w:tcBorders>
            <w:vAlign w:val="center"/>
          </w:tcPr>
          <w:p w14:paraId="54FEF841"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sz w:val="24"/>
              </w:rPr>
              <w:lastRenderedPageBreak/>
              <w:t>课程目标3</w:t>
            </w:r>
          </w:p>
        </w:tc>
        <w:tc>
          <w:tcPr>
            <w:tcW w:w="1615" w:type="dxa"/>
            <w:tcBorders>
              <w:top w:val="single" w:sz="8" w:space="0" w:color="000000"/>
              <w:left w:val="single" w:sz="8" w:space="0" w:color="000000"/>
              <w:bottom w:val="single" w:sz="8" w:space="0" w:color="000000"/>
              <w:right w:val="single" w:sz="8" w:space="0" w:color="000000"/>
            </w:tcBorders>
            <w:vAlign w:val="center"/>
          </w:tcPr>
          <w:p w14:paraId="5486BB37"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8</w:t>
            </w:r>
            <w:r>
              <w:rPr>
                <w:rFonts w:ascii="宋体" w:hAnsi="宋体"/>
                <w:color w:val="000000"/>
                <w:kern w:val="0"/>
                <w:sz w:val="24"/>
                <w:szCs w:val="24"/>
              </w:rPr>
              <w:t>.</w:t>
            </w:r>
            <w:r>
              <w:rPr>
                <w:rFonts w:ascii="宋体" w:hAnsi="宋体" w:hint="eastAsia"/>
                <w:color w:val="000000"/>
                <w:kern w:val="0"/>
                <w:sz w:val="24"/>
                <w:szCs w:val="24"/>
              </w:rPr>
              <w:t>职业规范（H)</w:t>
            </w:r>
          </w:p>
        </w:tc>
        <w:tc>
          <w:tcPr>
            <w:tcW w:w="4704" w:type="dxa"/>
            <w:tcBorders>
              <w:top w:val="single" w:sz="8" w:space="0" w:color="000000"/>
              <w:left w:val="single" w:sz="8" w:space="0" w:color="000000"/>
              <w:bottom w:val="single" w:sz="8" w:space="0" w:color="000000"/>
              <w:right w:val="single" w:sz="8" w:space="0" w:color="000000"/>
            </w:tcBorders>
            <w:vAlign w:val="center"/>
          </w:tcPr>
          <w:p w14:paraId="4FC91282" w14:textId="77777777" w:rsidR="0078124E" w:rsidRDefault="0078124E" w:rsidP="0078124E">
            <w:pPr>
              <w:adjustRightInd w:val="0"/>
              <w:snapToGrid w:val="0"/>
              <w:spacing w:line="440" w:lineRule="exact"/>
              <w:ind w:firstLineChars="200" w:firstLine="480"/>
              <w:jc w:val="left"/>
              <w:rPr>
                <w:rFonts w:ascii="宋体" w:hAnsi="宋体"/>
                <w:color w:val="000000"/>
                <w:kern w:val="0"/>
                <w:sz w:val="24"/>
                <w:szCs w:val="24"/>
              </w:rPr>
            </w:pPr>
            <w:r>
              <w:rPr>
                <w:rFonts w:ascii="宋体" w:hAnsi="宋体" w:hint="eastAsia"/>
                <w:color w:val="000000"/>
                <w:kern w:val="0"/>
                <w:sz w:val="24"/>
                <w:szCs w:val="24"/>
              </w:rPr>
              <w:t>具有人文社会科学素养、社会 责任感，能够在工程实践中理解并遵守工程职业道德和规范，履行责任。</w:t>
            </w:r>
          </w:p>
        </w:tc>
      </w:tr>
    </w:tbl>
    <w:p w14:paraId="484A78B3" w14:textId="77777777" w:rsidR="0078124E" w:rsidRDefault="0078124E" w:rsidP="0078124E">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三、课程学习内容及与课程学习目标的对应关系</w:t>
      </w:r>
    </w:p>
    <w:p w14:paraId="6C054D68" w14:textId="77777777" w:rsidR="0078124E" w:rsidRDefault="0078124E" w:rsidP="0078124E">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（一）课程学习内容</w:t>
      </w:r>
    </w:p>
    <w:p w14:paraId="22777B94"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导 论</w:t>
      </w:r>
    </w:p>
    <w:p w14:paraId="5CCCACB6" w14:textId="77777777" w:rsidR="0078124E" w:rsidRDefault="0078124E" w:rsidP="0078124E">
      <w:pPr>
        <w:adjustRightInd w:val="0"/>
        <w:snapToGrid w:val="0"/>
        <w:spacing w:line="440" w:lineRule="exact"/>
        <w:ind w:firstLineChars="200" w:firstLine="482"/>
        <w:rPr>
          <w:rFonts w:ascii="宋体" w:eastAsia="宋体" w:hAnsi="宋体" w:cs="Times New Roman"/>
          <w:sz w:val="24"/>
          <w:szCs w:val="24"/>
        </w:rPr>
      </w:pPr>
      <w:r>
        <w:rPr>
          <w:rFonts w:ascii="宋体" w:eastAsia="宋体" w:hAnsi="宋体" w:cs="Times New Roman"/>
          <w:b/>
          <w:bCs/>
          <w:sz w:val="24"/>
          <w:szCs w:val="24"/>
        </w:rPr>
        <w:t>【学习目标】</w:t>
      </w:r>
    </w:p>
    <w:p w14:paraId="330ABB0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w:t>
      </w:r>
    </w:p>
    <w:p w14:paraId="3DB6C202"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了解习近平新时代中国特色社会主义思想的形成发展的社会历史条件及过程，掌握习近平新时代中国特色社会主义思想的核心要义和主要内容，认识习近平新时代中国特色社会主义思想的历史地位和指导意义。</w:t>
      </w:r>
    </w:p>
    <w:p w14:paraId="273D89D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w:t>
      </w:r>
    </w:p>
    <w:p w14:paraId="7EDEB388"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正确科学地认识习近平新时代中国特色社会主义思想的历史地位。</w:t>
      </w:r>
    </w:p>
    <w:p w14:paraId="409A56D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3.素质/价值/</w:t>
      </w:r>
      <w:proofErr w:type="gramStart"/>
      <w:r>
        <w:rPr>
          <w:rFonts w:ascii="宋体" w:eastAsia="宋体" w:hAnsi="宋体" w:cs="宋体" w:hint="eastAsia"/>
          <w:color w:val="000000"/>
          <w:sz w:val="24"/>
          <w:szCs w:val="24"/>
        </w:rPr>
        <w:t>思政育人</w:t>
      </w:r>
      <w:proofErr w:type="gramEnd"/>
      <w:r>
        <w:rPr>
          <w:rFonts w:ascii="宋体" w:eastAsia="宋体" w:hAnsi="宋体" w:cs="宋体" w:hint="eastAsia"/>
          <w:color w:val="000000"/>
          <w:sz w:val="24"/>
          <w:szCs w:val="24"/>
        </w:rPr>
        <w:t>目标</w:t>
      </w:r>
    </w:p>
    <w:p w14:paraId="7C02B924"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掌握习近平新时代中国特色社会主义思想是新时代中国共产党的思想旗帜，是国家政治生活和社会生活的根本指针，是当代中国马克思主义、二十一世纪马克思主义的原则方法，树立正确的历史观。</w:t>
      </w:r>
    </w:p>
    <w:p w14:paraId="0F859304"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1265BA8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1.习近平新时代中国特色社会主义思想创立的时代背景</w:t>
      </w:r>
    </w:p>
    <w:p w14:paraId="63B177C0"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2.习近平新时代中国特色社会主义思想是“两个结合”的重大成果</w:t>
      </w:r>
    </w:p>
    <w:p w14:paraId="2A4BEF1F"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3.习近平新时代中国特色社会主义思想是完整的科学体系</w:t>
      </w:r>
    </w:p>
    <w:p w14:paraId="3E214118"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 xml:space="preserve">4.习近平新时代中国特色社会主义思想的历史地位 </w:t>
      </w:r>
    </w:p>
    <w:p w14:paraId="1CCAFE7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 xml:space="preserve">5.深刻领悟“两个确立”的决定性意义 </w:t>
      </w:r>
    </w:p>
    <w:p w14:paraId="3291501C"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6.学好用好习近平新时代中国特色社会主义思想</w:t>
      </w:r>
    </w:p>
    <w:p w14:paraId="0BBB081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hAnsi="宋体" w:cs="宋体" w:hint="eastAsia"/>
          <w:color w:val="000000"/>
          <w:sz w:val="24"/>
          <w:szCs w:val="24"/>
        </w:rPr>
        <w:t>【</w:t>
      </w:r>
      <w:r>
        <w:rPr>
          <w:rFonts w:ascii="宋体" w:eastAsia="宋体" w:hAnsi="宋体" w:cs="宋体" w:hint="eastAsia"/>
          <w:b/>
          <w:bCs/>
          <w:color w:val="000000"/>
          <w:sz w:val="24"/>
          <w:szCs w:val="24"/>
        </w:rPr>
        <w:t>教学重点</w:t>
      </w:r>
      <w:r>
        <w:rPr>
          <w:rFonts w:ascii="宋体" w:hAnsi="宋体" w:cs="宋体" w:hint="eastAsia"/>
          <w:color w:val="000000"/>
          <w:sz w:val="24"/>
          <w:szCs w:val="24"/>
        </w:rPr>
        <w:t>】</w:t>
      </w:r>
    </w:p>
    <w:p w14:paraId="2131D32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1.习近平新时代中国特色社会主义思想回答了什么重大时代课题</w:t>
      </w:r>
    </w:p>
    <w:p w14:paraId="0F7EBB51"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2.如何理解习近平新时代中国特色社会主义思想的历史地位</w:t>
      </w:r>
    </w:p>
    <w:p w14:paraId="0BE4C9BA"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hAnsi="宋体" w:cs="宋体" w:hint="eastAsia"/>
          <w:b/>
          <w:bCs/>
          <w:color w:val="000000"/>
          <w:sz w:val="24"/>
          <w:szCs w:val="24"/>
        </w:rPr>
        <w:lastRenderedPageBreak/>
        <w:t>【</w:t>
      </w:r>
      <w:r>
        <w:rPr>
          <w:rFonts w:ascii="宋体" w:eastAsia="宋体" w:hAnsi="宋体" w:cs="宋体" w:hint="eastAsia"/>
          <w:b/>
          <w:bCs/>
          <w:color w:val="000000"/>
          <w:sz w:val="24"/>
          <w:szCs w:val="24"/>
        </w:rPr>
        <w:t>教学难点</w:t>
      </w:r>
      <w:r>
        <w:rPr>
          <w:rFonts w:ascii="宋体" w:hAnsi="宋体" w:cs="宋体" w:hint="eastAsia"/>
          <w:b/>
          <w:bCs/>
          <w:color w:val="000000"/>
          <w:sz w:val="24"/>
          <w:szCs w:val="24"/>
        </w:rPr>
        <w:t>】</w:t>
      </w:r>
    </w:p>
    <w:p w14:paraId="631B99F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1.如何学好用好习近平新时代中国特色社会主义思想</w:t>
      </w:r>
    </w:p>
    <w:p w14:paraId="34EF92AB"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【教学方法】</w:t>
      </w:r>
    </w:p>
    <w:p w14:paraId="65DA8B7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1.通过教师互动教学法，培养学生理论逻辑思辨能力，引导学生准确理解马克思主义中国化时代化的内涵和历程；</w:t>
      </w:r>
    </w:p>
    <w:p w14:paraId="0C24B91C"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2.运用案例分析法，强调理论与实践相结合，培养学生的反思能力；</w:t>
      </w:r>
    </w:p>
    <w:p w14:paraId="77DE241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3.通过小组合作学习，发展学生的合作能力；</w:t>
      </w:r>
    </w:p>
    <w:p w14:paraId="201B53AF"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【复习思考】</w:t>
      </w:r>
    </w:p>
    <w:p w14:paraId="5366256F"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eastAsia="宋体" w:hAnsi="宋体" w:cs="宋体" w:hint="eastAsia"/>
          <w:color w:val="000000"/>
          <w:sz w:val="24"/>
          <w:szCs w:val="24"/>
        </w:rPr>
        <w:t>1.马克思主义中国化时代化理论成果及其关系</w:t>
      </w:r>
    </w:p>
    <w:p w14:paraId="10B6EA65"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第一章 新时代坚持和发展中国特色社会主义</w:t>
      </w:r>
    </w:p>
    <w:p w14:paraId="544ADAB7"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hint="eastAsia"/>
          <w:b/>
          <w:bCs/>
          <w:sz w:val="24"/>
          <w:szCs w:val="24"/>
        </w:rPr>
        <w:t>【教学目标】</w:t>
      </w:r>
    </w:p>
    <w:p w14:paraId="56B576E5"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1.知识目标</w:t>
      </w:r>
    </w:p>
    <w:p w14:paraId="0A9F15EC"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了解“中国梦”的相关范畴，理解“全面建成小康社会”与“全面建成社会主义现代化强国”之间的关系。理解中国特色进入新时代，新时代我国社会主要矛盾，</w:t>
      </w:r>
      <w:proofErr w:type="gramStart"/>
      <w:r>
        <w:rPr>
          <w:rFonts w:ascii="宋体" w:eastAsia="宋体" w:hAnsi="宋体" w:cs="宋体" w:hint="eastAsia"/>
          <w:sz w:val="24"/>
          <w:szCs w:val="24"/>
        </w:rPr>
        <w:t>一</w:t>
      </w:r>
      <w:proofErr w:type="gramEnd"/>
      <w:r>
        <w:rPr>
          <w:rFonts w:ascii="宋体" w:eastAsia="宋体" w:hAnsi="宋体" w:cs="宋体" w:hint="eastAsia"/>
          <w:sz w:val="24"/>
          <w:szCs w:val="24"/>
        </w:rPr>
        <w:t>以贯之地推进中国特色社会主义事业，“五位一体”总体布局和“四个全面”战略布局。</w:t>
      </w:r>
    </w:p>
    <w:p w14:paraId="1418B356"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2.能力目标</w:t>
      </w:r>
    </w:p>
    <w:p w14:paraId="12A4B15A"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厘清“中国梦”的相关范畴，立足建设“富强、民主、文明、和谐、美丽”的社会主义现代化强国要求，提高大学生运用马克思主义立场、观点、方法分析、探讨中国式现代化问题，坚定走社会主义道路的信念。</w:t>
      </w:r>
    </w:p>
    <w:p w14:paraId="53348BA2"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3.素质/价值/</w:t>
      </w:r>
      <w:proofErr w:type="gramStart"/>
      <w:r>
        <w:rPr>
          <w:rFonts w:ascii="宋体" w:eastAsia="宋体" w:hAnsi="宋体" w:cs="宋体" w:hint="eastAsia"/>
          <w:sz w:val="24"/>
          <w:szCs w:val="24"/>
        </w:rPr>
        <w:t>思政育人</w:t>
      </w:r>
      <w:proofErr w:type="gramEnd"/>
      <w:r>
        <w:rPr>
          <w:rFonts w:ascii="宋体" w:eastAsia="宋体" w:hAnsi="宋体" w:cs="宋体" w:hint="eastAsia"/>
          <w:sz w:val="24"/>
          <w:szCs w:val="24"/>
        </w:rPr>
        <w:t>目标</w:t>
      </w:r>
    </w:p>
    <w:p w14:paraId="21DD99B3" w14:textId="77777777" w:rsidR="0078124E" w:rsidRDefault="0078124E" w:rsidP="0078124E">
      <w:pPr>
        <w:adjustRightInd w:val="0"/>
        <w:snapToGrid w:val="0"/>
        <w:spacing w:line="440" w:lineRule="exact"/>
        <w:ind w:firstLineChars="200" w:firstLine="480"/>
        <w:rPr>
          <w:rFonts w:ascii="宋体" w:eastAsia="宋体" w:hAnsi="宋体" w:cs="宋体"/>
          <w:b/>
          <w:bCs/>
          <w:sz w:val="24"/>
          <w:szCs w:val="24"/>
        </w:rPr>
      </w:pPr>
      <w:r>
        <w:rPr>
          <w:rFonts w:ascii="宋体" w:eastAsia="宋体" w:hAnsi="宋体" w:cs="宋体" w:hint="eastAsia"/>
          <w:sz w:val="24"/>
          <w:szCs w:val="24"/>
        </w:rPr>
        <w:t>全面、客观地分析和认识全面建设社会主义现代化国家的内涵、目标，建设全面建设社会主义现代化国家的历史必然性，进一步树立中国特色社会主义理论自信、道路自信、制度自信、文化自信。</w:t>
      </w:r>
    </w:p>
    <w:p w14:paraId="4D5E2551"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2FCA8498"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1.方向决定道路，道路决定命运</w:t>
      </w:r>
    </w:p>
    <w:p w14:paraId="074D91D7"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2.中国特色社会主义进入新时代</w:t>
      </w:r>
    </w:p>
    <w:p w14:paraId="45E097AF"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3.新时代坚持和发展中国特色社会主义要</w:t>
      </w:r>
      <w:proofErr w:type="gramStart"/>
      <w:r>
        <w:rPr>
          <w:rFonts w:ascii="宋体" w:eastAsia="宋体" w:hAnsi="宋体" w:cs="宋体" w:hint="eastAsia"/>
          <w:sz w:val="24"/>
          <w:szCs w:val="24"/>
        </w:rPr>
        <w:t>一</w:t>
      </w:r>
      <w:proofErr w:type="gramEnd"/>
      <w:r>
        <w:rPr>
          <w:rFonts w:ascii="宋体" w:eastAsia="宋体" w:hAnsi="宋体" w:cs="宋体" w:hint="eastAsia"/>
          <w:sz w:val="24"/>
          <w:szCs w:val="24"/>
        </w:rPr>
        <w:t>以贯之</w:t>
      </w:r>
    </w:p>
    <w:p w14:paraId="5427DF5A" w14:textId="77777777" w:rsidR="0078124E" w:rsidRDefault="0078124E" w:rsidP="0078124E">
      <w:pPr>
        <w:adjustRightInd w:val="0"/>
        <w:snapToGrid w:val="0"/>
        <w:spacing w:line="440" w:lineRule="exact"/>
        <w:ind w:firstLineChars="200" w:firstLine="482"/>
        <w:rPr>
          <w:rFonts w:ascii="宋体" w:eastAsia="宋体" w:hAnsi="宋体" w:cs="宋体"/>
          <w:b/>
          <w:bCs/>
          <w:color w:val="000000" w:themeColor="text1"/>
          <w:sz w:val="24"/>
          <w:szCs w:val="24"/>
        </w:rPr>
      </w:pPr>
      <w:r>
        <w:rPr>
          <w:rFonts w:ascii="宋体" w:eastAsia="宋体" w:hAnsi="宋体" w:cs="宋体" w:hint="eastAsia"/>
          <w:b/>
          <w:bCs/>
          <w:color w:val="000000" w:themeColor="text1"/>
          <w:sz w:val="24"/>
          <w:szCs w:val="24"/>
        </w:rPr>
        <w:t>【教学重点】</w:t>
      </w:r>
    </w:p>
    <w:p w14:paraId="18B0642D" w14:textId="77777777" w:rsidR="0078124E" w:rsidRDefault="0078124E" w:rsidP="0078124E">
      <w:pPr>
        <w:adjustRightInd w:val="0"/>
        <w:snapToGrid w:val="0"/>
        <w:spacing w:line="440" w:lineRule="exact"/>
        <w:ind w:firstLineChars="200" w:firstLine="480"/>
        <w:rPr>
          <w:rFonts w:ascii="宋体" w:eastAsia="宋体" w:hAnsi="宋体" w:cs="Times New Roman"/>
          <w:color w:val="000000" w:themeColor="text1"/>
          <w:sz w:val="24"/>
          <w:szCs w:val="24"/>
        </w:rPr>
      </w:pPr>
      <w:r>
        <w:rPr>
          <w:rFonts w:ascii="宋体" w:eastAsia="宋体" w:hAnsi="宋体" w:cs="宋体" w:hint="eastAsia"/>
          <w:color w:val="000000" w:themeColor="text1"/>
          <w:sz w:val="24"/>
          <w:szCs w:val="24"/>
        </w:rPr>
        <w:t>1.</w:t>
      </w:r>
      <w:r>
        <w:rPr>
          <w:rFonts w:ascii="宋体" w:eastAsia="宋体" w:hAnsi="宋体" w:cs="Times New Roman" w:hint="eastAsia"/>
          <w:color w:val="000000" w:themeColor="text1"/>
          <w:sz w:val="24"/>
          <w:szCs w:val="24"/>
        </w:rPr>
        <w:t>中国特色社会主义进入新时代</w:t>
      </w:r>
    </w:p>
    <w:p w14:paraId="41FFDC14" w14:textId="77777777" w:rsidR="0078124E" w:rsidRDefault="0078124E" w:rsidP="0078124E">
      <w:pPr>
        <w:adjustRightInd w:val="0"/>
        <w:snapToGrid w:val="0"/>
        <w:spacing w:line="440" w:lineRule="exact"/>
        <w:ind w:firstLineChars="200" w:firstLine="480"/>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lastRenderedPageBreak/>
        <w:t>2.</w:t>
      </w:r>
      <w:r>
        <w:rPr>
          <w:rFonts w:ascii="宋体" w:eastAsia="宋体" w:hAnsi="宋体" w:cs="Times New Roman" w:hint="eastAsia"/>
          <w:color w:val="000000" w:themeColor="text1"/>
          <w:sz w:val="24"/>
          <w:szCs w:val="24"/>
        </w:rPr>
        <w:t>新时代坚持和发展中国特色社会主义要</w:t>
      </w:r>
      <w:proofErr w:type="gramStart"/>
      <w:r>
        <w:rPr>
          <w:rFonts w:ascii="宋体" w:eastAsia="宋体" w:hAnsi="宋体" w:cs="Times New Roman" w:hint="eastAsia"/>
          <w:color w:val="000000" w:themeColor="text1"/>
          <w:sz w:val="24"/>
          <w:szCs w:val="24"/>
        </w:rPr>
        <w:t>一</w:t>
      </w:r>
      <w:proofErr w:type="gramEnd"/>
      <w:r>
        <w:rPr>
          <w:rFonts w:ascii="宋体" w:eastAsia="宋体" w:hAnsi="宋体" w:cs="Times New Roman" w:hint="eastAsia"/>
          <w:color w:val="000000" w:themeColor="text1"/>
          <w:sz w:val="24"/>
          <w:szCs w:val="24"/>
        </w:rPr>
        <w:t>以贯之</w:t>
      </w:r>
    </w:p>
    <w:p w14:paraId="0FAABAEB" w14:textId="77777777" w:rsidR="0078124E" w:rsidRDefault="0078124E" w:rsidP="0078124E">
      <w:pPr>
        <w:adjustRightInd w:val="0"/>
        <w:snapToGrid w:val="0"/>
        <w:spacing w:line="440" w:lineRule="exact"/>
        <w:ind w:firstLineChars="200" w:firstLine="480"/>
        <w:rPr>
          <w:rFonts w:ascii="宋体" w:eastAsia="宋体" w:hAnsi="宋体" w:cs="宋体"/>
          <w:color w:val="000000" w:themeColor="text1"/>
          <w:sz w:val="24"/>
          <w:szCs w:val="24"/>
        </w:rPr>
      </w:pPr>
      <w:r>
        <w:rPr>
          <w:rFonts w:ascii="宋体" w:hAnsi="宋体" w:cs="宋体" w:hint="eastAsia"/>
          <w:b/>
          <w:bCs/>
          <w:color w:val="000000" w:themeColor="text1"/>
          <w:sz w:val="24"/>
          <w:szCs w:val="24"/>
        </w:rPr>
        <w:t>【</w:t>
      </w:r>
      <w:r>
        <w:rPr>
          <w:rFonts w:ascii="宋体" w:eastAsia="宋体" w:hAnsi="宋体" w:cs="宋体" w:hint="eastAsia"/>
          <w:b/>
          <w:bCs/>
          <w:color w:val="000000" w:themeColor="text1"/>
          <w:sz w:val="24"/>
          <w:szCs w:val="24"/>
        </w:rPr>
        <w:t>教学难点</w:t>
      </w:r>
      <w:r>
        <w:rPr>
          <w:rFonts w:ascii="宋体" w:hAnsi="宋体" w:cs="宋体" w:hint="eastAsia"/>
          <w:b/>
          <w:bCs/>
          <w:color w:val="000000" w:themeColor="text1"/>
          <w:sz w:val="24"/>
          <w:szCs w:val="24"/>
        </w:rPr>
        <w:t>】</w:t>
      </w:r>
    </w:p>
    <w:p w14:paraId="23D18012" w14:textId="77777777" w:rsidR="0078124E" w:rsidRDefault="0078124E" w:rsidP="0078124E">
      <w:pPr>
        <w:adjustRightInd w:val="0"/>
        <w:snapToGrid w:val="0"/>
        <w:spacing w:line="440" w:lineRule="exact"/>
        <w:ind w:firstLineChars="200" w:firstLine="480"/>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1.</w:t>
      </w:r>
      <w:r>
        <w:rPr>
          <w:rFonts w:ascii="宋体" w:eastAsia="宋体" w:hAnsi="宋体" w:cs="Times New Roman" w:hint="eastAsia"/>
          <w:color w:val="000000" w:themeColor="text1"/>
          <w:sz w:val="24"/>
          <w:szCs w:val="24"/>
        </w:rPr>
        <w:t>方向决定道路，道路决定命运</w:t>
      </w:r>
    </w:p>
    <w:p w14:paraId="372AFCF2"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0736918E"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1.通过教师系统讲授和学生自主探究相结合，培养学生理论思维能力，引导学生准确理解马克思主义，掌握马克思主义理论联系实际的学风和方法；</w:t>
      </w:r>
    </w:p>
    <w:p w14:paraId="537AAC8E"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2.通过案例分析，强调理论与实践相结合，促进学生知识整合，培养学生的反思能力；</w:t>
      </w:r>
    </w:p>
    <w:p w14:paraId="243AB7BA"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3.通过小组合作学习，发展学生的合作能力；</w:t>
      </w:r>
    </w:p>
    <w:p w14:paraId="7BA722DF"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4.通过课堂汇报和课堂辩论，强化知识应用意识，发展学生的教学能力和反思能力；</w:t>
      </w:r>
    </w:p>
    <w:p w14:paraId="55F1D014"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【复习思考】</w:t>
      </w:r>
    </w:p>
    <w:p w14:paraId="38C86DE7" w14:textId="77777777" w:rsidR="0078124E" w:rsidRDefault="0078124E" w:rsidP="0078124E">
      <w:pPr>
        <w:adjustRightInd w:val="0"/>
        <w:snapToGrid w:val="0"/>
        <w:spacing w:line="440" w:lineRule="exact"/>
        <w:ind w:firstLineChars="200" w:firstLine="480"/>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1.如何理解中国特色社会主义是党和人民取得的根本成就?</w:t>
      </w:r>
    </w:p>
    <w:p w14:paraId="7C2CFA33" w14:textId="77777777" w:rsidR="0078124E" w:rsidRDefault="0078124E" w:rsidP="0078124E">
      <w:pPr>
        <w:adjustRightInd w:val="0"/>
        <w:snapToGrid w:val="0"/>
        <w:spacing w:line="440" w:lineRule="exact"/>
        <w:ind w:firstLineChars="200" w:firstLine="480"/>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2.怎样认识我国发展新的历史方位?</w:t>
      </w:r>
    </w:p>
    <w:p w14:paraId="64877B13" w14:textId="77777777" w:rsidR="0078124E" w:rsidRDefault="0078124E" w:rsidP="0078124E">
      <w:pPr>
        <w:adjustRightInd w:val="0"/>
        <w:snapToGrid w:val="0"/>
        <w:spacing w:line="440" w:lineRule="exact"/>
        <w:ind w:firstLineChars="200" w:firstLine="480"/>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3.为什么要坚定中国特色社会主义道路自信、理论自信、制度自信文化自信?</w:t>
      </w:r>
    </w:p>
    <w:p w14:paraId="3C896E2E"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第二章 以中国式现代化全面推进中华民族伟大复兴</w:t>
      </w:r>
    </w:p>
    <w:p w14:paraId="7F54B239"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hint="eastAsia"/>
          <w:b/>
          <w:bCs/>
          <w:sz w:val="24"/>
          <w:szCs w:val="24"/>
        </w:rPr>
        <w:t>【教学目标】</w:t>
      </w:r>
    </w:p>
    <w:p w14:paraId="6F463AE7"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1.知识目标</w:t>
      </w:r>
    </w:p>
    <w:p w14:paraId="744E960B"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了解“中国式现代化”的相关范畴，理解“中国式现代化”与“全面推进中华民族伟大复兴”之间的关系，理解中国式现代化的实质，把握全面建成社会主义现代化强国内涵目标，掌握全面建成社会主义现代化强国的战略安排，了解全面建设社会主义现代化国家的意义，把握以中国式现代化推进中华民族伟大复兴的内涵。</w:t>
      </w:r>
    </w:p>
    <w:p w14:paraId="05DF1405"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2.能力目标</w:t>
      </w:r>
    </w:p>
    <w:p w14:paraId="5A0FA635"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理解中国式现代化的实质，把握全面建成社会主义现代化强国内涵目标，掌握全面建成社会主义现代化强国的战略安排，了解全面建设社会主义现代化国家的意义，把握以中国式现代化推进中华民族伟大复兴的内涵。</w:t>
      </w:r>
    </w:p>
    <w:p w14:paraId="25682768"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3.素质/价值/</w:t>
      </w:r>
      <w:proofErr w:type="gramStart"/>
      <w:r>
        <w:rPr>
          <w:rFonts w:ascii="宋体" w:eastAsia="宋体" w:hAnsi="宋体" w:cs="宋体" w:hint="eastAsia"/>
          <w:sz w:val="24"/>
          <w:szCs w:val="24"/>
        </w:rPr>
        <w:t>思政育人</w:t>
      </w:r>
      <w:proofErr w:type="gramEnd"/>
      <w:r>
        <w:rPr>
          <w:rFonts w:ascii="宋体" w:eastAsia="宋体" w:hAnsi="宋体" w:cs="宋体" w:hint="eastAsia"/>
          <w:sz w:val="24"/>
          <w:szCs w:val="24"/>
        </w:rPr>
        <w:t>目标</w:t>
      </w:r>
    </w:p>
    <w:p w14:paraId="27BC86B1"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全面、客观地分析和认识理解中国式现代化与全面建设社会主义现代化强国的内涵、目标，建设全面建设社会主义现代化强国的历史必然性，进一步树立中国特色社会主义理论自信、道路自信、制度自信、文化自信。</w:t>
      </w:r>
    </w:p>
    <w:p w14:paraId="0687F9D7" w14:textId="77777777" w:rsidR="0078124E" w:rsidRDefault="0078124E" w:rsidP="0078124E">
      <w:pPr>
        <w:adjustRightInd w:val="0"/>
        <w:snapToGrid w:val="0"/>
        <w:spacing w:line="440" w:lineRule="exact"/>
        <w:ind w:firstLineChars="200" w:firstLine="482"/>
        <w:rPr>
          <w:rFonts w:ascii="宋体" w:eastAsia="宋体" w:hAnsi="宋体" w:cs="宋体"/>
          <w:color w:val="000000"/>
          <w:sz w:val="24"/>
          <w:szCs w:val="24"/>
        </w:rPr>
      </w:pPr>
      <w:r>
        <w:rPr>
          <w:rFonts w:ascii="宋体" w:eastAsia="宋体" w:hAnsi="宋体" w:cs="宋体" w:hint="eastAsia"/>
          <w:b/>
          <w:bCs/>
          <w:sz w:val="24"/>
          <w:szCs w:val="24"/>
        </w:rPr>
        <w:lastRenderedPageBreak/>
        <w:t>【学习内容】</w:t>
      </w:r>
    </w:p>
    <w:p w14:paraId="29884FC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1.中华民族近代以来最伟大的梦想</w:t>
      </w:r>
    </w:p>
    <w:p w14:paraId="6D6A22C4"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2.中国式现代化是强国建设、民族复兴的唯一正确道路</w:t>
      </w:r>
    </w:p>
    <w:p w14:paraId="1BC4BB5B"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3.推进中国式现代化行稳致远</w:t>
      </w:r>
    </w:p>
    <w:p w14:paraId="6554592A" w14:textId="77777777" w:rsidR="0078124E" w:rsidRDefault="0078124E" w:rsidP="0078124E">
      <w:pPr>
        <w:adjustRightInd w:val="0"/>
        <w:snapToGrid w:val="0"/>
        <w:spacing w:line="440" w:lineRule="exact"/>
        <w:ind w:firstLineChars="200" w:firstLine="482"/>
        <w:rPr>
          <w:rFonts w:ascii="宋体" w:eastAsia="宋体" w:hAnsi="宋体" w:cs="宋体"/>
          <w:b/>
          <w:bCs/>
          <w:color w:val="000000" w:themeColor="text1"/>
          <w:sz w:val="24"/>
          <w:szCs w:val="24"/>
        </w:rPr>
      </w:pPr>
      <w:r>
        <w:rPr>
          <w:rFonts w:ascii="宋体" w:eastAsia="宋体" w:hAnsi="宋体" w:cs="宋体" w:hint="eastAsia"/>
          <w:b/>
          <w:bCs/>
          <w:color w:val="000000" w:themeColor="text1"/>
          <w:sz w:val="24"/>
          <w:szCs w:val="24"/>
        </w:rPr>
        <w:t>【教学重点】</w:t>
      </w:r>
    </w:p>
    <w:p w14:paraId="6FED888E" w14:textId="77777777" w:rsidR="0078124E" w:rsidRDefault="0078124E" w:rsidP="0078124E">
      <w:pPr>
        <w:adjustRightInd w:val="0"/>
        <w:snapToGrid w:val="0"/>
        <w:spacing w:line="440" w:lineRule="exact"/>
        <w:ind w:firstLineChars="200" w:firstLine="480"/>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1.中华民族近代以来最伟大的梦想</w:t>
      </w:r>
    </w:p>
    <w:p w14:paraId="069CA9CC" w14:textId="77777777" w:rsidR="0078124E" w:rsidRDefault="0078124E" w:rsidP="0078124E">
      <w:pPr>
        <w:adjustRightInd w:val="0"/>
        <w:snapToGrid w:val="0"/>
        <w:spacing w:line="440" w:lineRule="exact"/>
        <w:ind w:firstLineChars="200" w:firstLine="480"/>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2.推进中国式现代化行稳致远</w:t>
      </w:r>
    </w:p>
    <w:p w14:paraId="432AB47A" w14:textId="77777777" w:rsidR="0078124E" w:rsidRDefault="0078124E" w:rsidP="0078124E">
      <w:pPr>
        <w:adjustRightInd w:val="0"/>
        <w:snapToGrid w:val="0"/>
        <w:spacing w:line="440" w:lineRule="exact"/>
        <w:ind w:firstLineChars="200" w:firstLine="482"/>
        <w:rPr>
          <w:rFonts w:ascii="宋体" w:eastAsia="宋体" w:hAnsi="宋体" w:cs="宋体"/>
          <w:b/>
          <w:bCs/>
          <w:color w:val="000000" w:themeColor="text1"/>
          <w:sz w:val="24"/>
          <w:szCs w:val="24"/>
        </w:rPr>
      </w:pPr>
      <w:r>
        <w:rPr>
          <w:rFonts w:ascii="宋体" w:eastAsia="宋体" w:hAnsi="宋体" w:cs="宋体" w:hint="eastAsia"/>
          <w:b/>
          <w:bCs/>
          <w:color w:val="000000" w:themeColor="text1"/>
          <w:sz w:val="24"/>
          <w:szCs w:val="24"/>
        </w:rPr>
        <w:t>【教学难点】</w:t>
      </w:r>
    </w:p>
    <w:p w14:paraId="585A7D18" w14:textId="77777777" w:rsidR="0078124E" w:rsidRDefault="0078124E" w:rsidP="0078124E">
      <w:pPr>
        <w:adjustRightInd w:val="0"/>
        <w:snapToGrid w:val="0"/>
        <w:spacing w:line="440" w:lineRule="exact"/>
        <w:ind w:firstLineChars="200" w:firstLine="480"/>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1.中国式现代化是强国建设、民族复兴的唯一正确道路</w:t>
      </w:r>
    </w:p>
    <w:p w14:paraId="227DD438"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50431B4B"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1.通过教师系统讲授和学生自主探究相结合，培养学生理论思维能力，引导学生准确理解马克思主义，掌握马克思主义理论联系实际的学风和方法；</w:t>
      </w:r>
    </w:p>
    <w:p w14:paraId="397AF9DE"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2.通过案例分析，强调理论与实践相结合，促进学生知识整合，培养学生的反思能力；</w:t>
      </w:r>
    </w:p>
    <w:p w14:paraId="3DD08986"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3.通过小组合作学习，发展学生的合作能力；</w:t>
      </w:r>
    </w:p>
    <w:p w14:paraId="0438A549" w14:textId="77777777" w:rsidR="0078124E" w:rsidRDefault="0078124E" w:rsidP="0078124E">
      <w:pPr>
        <w:adjustRightInd w:val="0"/>
        <w:snapToGrid w:val="0"/>
        <w:spacing w:line="440" w:lineRule="exact"/>
        <w:ind w:firstLineChars="200" w:firstLine="480"/>
        <w:rPr>
          <w:rFonts w:ascii="宋体" w:eastAsia="宋体" w:hAnsi="宋体" w:cs="Times New Roman"/>
          <w:b/>
          <w:bCs/>
          <w:sz w:val="24"/>
          <w:szCs w:val="24"/>
        </w:rPr>
      </w:pPr>
      <w:r>
        <w:rPr>
          <w:rFonts w:ascii="宋体" w:eastAsia="宋体" w:hAnsi="宋体" w:cs="Times New Roman"/>
          <w:sz w:val="24"/>
          <w:szCs w:val="24"/>
        </w:rPr>
        <w:t>4.通过课堂汇报和课堂辩论，强化知识应用意识，发展学生的教学能力和反思能力</w:t>
      </w:r>
      <w:r>
        <w:rPr>
          <w:rFonts w:ascii="宋体" w:eastAsia="宋体" w:hAnsi="宋体" w:cs="Times New Roman" w:hint="eastAsia"/>
          <w:sz w:val="24"/>
          <w:szCs w:val="24"/>
        </w:rPr>
        <w:t>。</w:t>
      </w:r>
    </w:p>
    <w:p w14:paraId="0C299F90" w14:textId="77777777" w:rsidR="0078124E" w:rsidRDefault="0078124E" w:rsidP="0078124E">
      <w:pPr>
        <w:adjustRightInd w:val="0"/>
        <w:snapToGrid w:val="0"/>
        <w:spacing w:line="440" w:lineRule="exact"/>
        <w:ind w:firstLineChars="200" w:firstLine="482"/>
        <w:rPr>
          <w:rFonts w:ascii="宋体" w:eastAsia="宋体" w:hAnsi="宋体" w:cs="Times New Roman"/>
          <w:b/>
          <w:bCs/>
          <w:color w:val="000000" w:themeColor="text1"/>
          <w:sz w:val="24"/>
          <w:szCs w:val="24"/>
        </w:rPr>
      </w:pPr>
      <w:r>
        <w:rPr>
          <w:rFonts w:ascii="宋体" w:eastAsia="宋体" w:hAnsi="宋体" w:cs="Times New Roman"/>
          <w:b/>
          <w:bCs/>
          <w:color w:val="000000" w:themeColor="text1"/>
          <w:sz w:val="24"/>
          <w:szCs w:val="24"/>
        </w:rPr>
        <w:t>【复习思考】</w:t>
      </w:r>
    </w:p>
    <w:p w14:paraId="33DB1A13" w14:textId="77777777" w:rsidR="0078124E" w:rsidRDefault="0078124E" w:rsidP="0078124E">
      <w:pPr>
        <w:adjustRightInd w:val="0"/>
        <w:snapToGrid w:val="0"/>
        <w:spacing w:line="440" w:lineRule="exact"/>
        <w:ind w:firstLineChars="200" w:firstLine="480"/>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1.如何理解中国梦与</w:t>
      </w:r>
      <w:proofErr w:type="gramStart"/>
      <w:r>
        <w:rPr>
          <w:rFonts w:ascii="宋体" w:eastAsia="宋体" w:hAnsi="宋体" w:cs="宋体" w:hint="eastAsia"/>
          <w:color w:val="000000" w:themeColor="text1"/>
          <w:sz w:val="24"/>
          <w:szCs w:val="24"/>
        </w:rPr>
        <w:t>个人梦</w:t>
      </w:r>
      <w:proofErr w:type="gramEnd"/>
      <w:r>
        <w:rPr>
          <w:rFonts w:ascii="宋体" w:eastAsia="宋体" w:hAnsi="宋体" w:cs="宋体" w:hint="eastAsia"/>
          <w:color w:val="000000" w:themeColor="text1"/>
          <w:sz w:val="24"/>
          <w:szCs w:val="24"/>
        </w:rPr>
        <w:t>的关系？</w:t>
      </w:r>
    </w:p>
    <w:p w14:paraId="77841EAB" w14:textId="77777777" w:rsidR="0078124E" w:rsidRDefault="0078124E" w:rsidP="0078124E">
      <w:pPr>
        <w:adjustRightInd w:val="0"/>
        <w:snapToGrid w:val="0"/>
        <w:spacing w:line="440" w:lineRule="exact"/>
        <w:ind w:firstLineChars="200" w:firstLine="480"/>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2.如何认识全面建成小康社会在我国社会主义现代化进程中的重大意义？</w:t>
      </w:r>
    </w:p>
    <w:p w14:paraId="2299892C" w14:textId="77777777" w:rsidR="0078124E" w:rsidRDefault="0078124E" w:rsidP="0078124E">
      <w:pPr>
        <w:adjustRightInd w:val="0"/>
        <w:snapToGrid w:val="0"/>
        <w:spacing w:line="440" w:lineRule="exact"/>
        <w:ind w:firstLineChars="200" w:firstLine="480"/>
        <w:rPr>
          <w:rFonts w:ascii="宋体" w:eastAsia="宋体" w:hAnsi="宋体" w:cs="宋体"/>
          <w:color w:val="000000" w:themeColor="text1"/>
          <w:sz w:val="24"/>
          <w:szCs w:val="24"/>
        </w:rPr>
      </w:pPr>
      <w:r>
        <w:rPr>
          <w:rFonts w:ascii="宋体" w:eastAsia="宋体" w:hAnsi="宋体" w:cs="宋体" w:hint="eastAsia"/>
          <w:color w:val="000000" w:themeColor="text1"/>
          <w:sz w:val="24"/>
          <w:szCs w:val="24"/>
        </w:rPr>
        <w:t>3.怎样理解中国式现代化的中国特色和本质要求?</w:t>
      </w:r>
    </w:p>
    <w:p w14:paraId="77302AFB" w14:textId="77777777" w:rsidR="0078124E" w:rsidRDefault="0078124E" w:rsidP="0078124E">
      <w:pPr>
        <w:adjustRightInd w:val="0"/>
        <w:snapToGrid w:val="0"/>
        <w:spacing w:line="440" w:lineRule="exact"/>
        <w:ind w:firstLineChars="200" w:firstLine="480"/>
        <w:rPr>
          <w:rFonts w:ascii="宋体" w:eastAsia="宋体" w:hAnsi="宋体" w:cs="宋体"/>
          <w:b/>
          <w:bCs/>
          <w:color w:val="000000" w:themeColor="text1"/>
          <w:sz w:val="24"/>
          <w:szCs w:val="24"/>
        </w:rPr>
      </w:pPr>
      <w:r>
        <w:rPr>
          <w:rFonts w:ascii="宋体" w:eastAsia="宋体" w:hAnsi="宋体" w:cs="宋体" w:hint="eastAsia"/>
          <w:color w:val="000000" w:themeColor="text1"/>
          <w:sz w:val="24"/>
          <w:szCs w:val="24"/>
        </w:rPr>
        <w:t>4.为什么说中国式现代化创造了人类文明新形态?</w:t>
      </w:r>
    </w:p>
    <w:p w14:paraId="0DEDE2C3"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第三章 坚持党的全面领导</w:t>
      </w:r>
    </w:p>
    <w:p w14:paraId="7A2104D0"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hint="eastAsia"/>
          <w:b/>
          <w:bCs/>
          <w:sz w:val="24"/>
          <w:szCs w:val="24"/>
        </w:rPr>
        <w:t>【教学目标】</w:t>
      </w:r>
    </w:p>
    <w:p w14:paraId="5FC2A5AF"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1.知识目标</w:t>
      </w:r>
    </w:p>
    <w:p w14:paraId="495B09CF"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了解中国特色社会主义</w:t>
      </w:r>
      <w:proofErr w:type="gramStart"/>
      <w:r>
        <w:rPr>
          <w:rFonts w:ascii="宋体" w:eastAsia="宋体" w:hAnsi="宋体" w:cs="Times New Roman" w:hint="eastAsia"/>
          <w:sz w:val="24"/>
          <w:szCs w:val="24"/>
        </w:rPr>
        <w:t>最</w:t>
      </w:r>
      <w:proofErr w:type="gramEnd"/>
      <w:r>
        <w:rPr>
          <w:rFonts w:ascii="宋体" w:eastAsia="宋体" w:hAnsi="宋体" w:cs="Times New Roman" w:hint="eastAsia"/>
          <w:sz w:val="24"/>
          <w:szCs w:val="24"/>
        </w:rPr>
        <w:t>本质的特征是中国共产党领导，中国特色社会主义制度的最大优势是中国共产党领导，中国共产党是最高政治领导力量，是中国特色社会主义事业的领导核心；准确把握坚持和加强党的全面领导的科学内涵；了解和把握党的十八大以来坚持党的全面领导的做法和成就；完善坚持党的领导的体制机制。把握全面从严治党的内涵，了解新时代党的建设面临的新形势，掌握新时代党的建设总要求；</w:t>
      </w:r>
      <w:r>
        <w:rPr>
          <w:rFonts w:ascii="宋体" w:eastAsia="宋体" w:hAnsi="宋体" w:cs="Times New Roman" w:hint="eastAsia"/>
          <w:sz w:val="24"/>
          <w:szCs w:val="24"/>
        </w:rPr>
        <w:lastRenderedPageBreak/>
        <w:t>理解推动全面从严治党向纵深发展的要求。</w:t>
      </w:r>
    </w:p>
    <w:p w14:paraId="44941EDE"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2.能力目标</w:t>
      </w:r>
    </w:p>
    <w:p w14:paraId="01710E3B"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提高对坚持党的全面领导的科学认识，进而明白中国共产党的领导是中国特色社会主义</w:t>
      </w:r>
      <w:proofErr w:type="gramStart"/>
      <w:r>
        <w:rPr>
          <w:rFonts w:ascii="宋体" w:eastAsia="宋体" w:hAnsi="宋体" w:cs="Times New Roman" w:hint="eastAsia"/>
          <w:sz w:val="24"/>
          <w:szCs w:val="24"/>
        </w:rPr>
        <w:t>最</w:t>
      </w:r>
      <w:proofErr w:type="gramEnd"/>
      <w:r>
        <w:rPr>
          <w:rFonts w:ascii="宋体" w:eastAsia="宋体" w:hAnsi="宋体" w:cs="Times New Roman" w:hint="eastAsia"/>
          <w:sz w:val="24"/>
          <w:szCs w:val="24"/>
        </w:rPr>
        <w:t>本质的特征。</w:t>
      </w:r>
    </w:p>
    <w:p w14:paraId="693BB044"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3.素质/价值/</w:t>
      </w:r>
      <w:proofErr w:type="gramStart"/>
      <w:r>
        <w:rPr>
          <w:rFonts w:ascii="宋体" w:eastAsia="宋体" w:hAnsi="宋体" w:cs="Times New Roman" w:hint="eastAsia"/>
          <w:sz w:val="24"/>
          <w:szCs w:val="24"/>
        </w:rPr>
        <w:t>思政育人</w:t>
      </w:r>
      <w:proofErr w:type="gramEnd"/>
      <w:r>
        <w:rPr>
          <w:rFonts w:ascii="宋体" w:eastAsia="宋体" w:hAnsi="宋体" w:cs="Times New Roman" w:hint="eastAsia"/>
          <w:sz w:val="24"/>
          <w:szCs w:val="24"/>
        </w:rPr>
        <w:t>目标</w:t>
      </w:r>
    </w:p>
    <w:p w14:paraId="31E621CF"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掌握党政军民学，东西南北中，党是领导一切的内涵，明白只有在党的领导下下，中国才能实现国家富强、民族振兴，人民幸福。提升大学生科学认识和准确把握的党的全面领导和全面从严治党的信念，不忘初心，自觉承担起实现中华民族伟大复兴“中国梦”的历史任务。</w:t>
      </w:r>
    </w:p>
    <w:p w14:paraId="64ABBFDD" w14:textId="77777777" w:rsidR="0078124E" w:rsidRDefault="0078124E" w:rsidP="0078124E">
      <w:pPr>
        <w:adjustRightInd w:val="0"/>
        <w:snapToGrid w:val="0"/>
        <w:spacing w:line="440" w:lineRule="exact"/>
        <w:ind w:firstLineChars="200" w:firstLine="482"/>
        <w:rPr>
          <w:rFonts w:ascii="宋体" w:hAnsi="宋体" w:cs="宋体"/>
          <w:color w:val="000000"/>
          <w:sz w:val="24"/>
          <w:szCs w:val="24"/>
        </w:rPr>
      </w:pPr>
      <w:r>
        <w:rPr>
          <w:rFonts w:ascii="宋体" w:eastAsia="宋体" w:hAnsi="宋体" w:cs="Times New Roman"/>
          <w:b/>
          <w:bCs/>
          <w:sz w:val="24"/>
          <w:szCs w:val="24"/>
        </w:rPr>
        <w:t>【学习内容】</w:t>
      </w:r>
    </w:p>
    <w:p w14:paraId="2BEC6DEF"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1.中国共产党领导是中国特色社会主义</w:t>
      </w:r>
      <w:proofErr w:type="gramStart"/>
      <w:r>
        <w:rPr>
          <w:rFonts w:ascii="宋体" w:eastAsia="宋体" w:hAnsi="宋体" w:cs="宋体" w:hint="eastAsia"/>
          <w:color w:val="000000"/>
          <w:sz w:val="24"/>
          <w:szCs w:val="24"/>
        </w:rPr>
        <w:t>最</w:t>
      </w:r>
      <w:proofErr w:type="gramEnd"/>
      <w:r>
        <w:rPr>
          <w:rFonts w:ascii="宋体" w:eastAsia="宋体" w:hAnsi="宋体" w:cs="宋体" w:hint="eastAsia"/>
          <w:color w:val="000000"/>
          <w:sz w:val="24"/>
          <w:szCs w:val="24"/>
        </w:rPr>
        <w:t>本质的特征</w:t>
      </w:r>
    </w:p>
    <w:p w14:paraId="28422BD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2.坚持党对一切工作的领导</w:t>
      </w:r>
    </w:p>
    <w:p w14:paraId="0D988B8F"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3.健全和完善党的领导制度体系</w:t>
      </w:r>
    </w:p>
    <w:p w14:paraId="302EA61F"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w:t>
      </w:r>
      <w:r>
        <w:rPr>
          <w:rFonts w:ascii="宋体" w:eastAsia="宋体" w:hAnsi="宋体" w:cs="宋体" w:hint="eastAsia"/>
          <w:b/>
          <w:bCs/>
          <w:color w:val="000000"/>
          <w:sz w:val="24"/>
          <w:szCs w:val="24"/>
        </w:rPr>
        <w:t>教学</w:t>
      </w:r>
      <w:r>
        <w:rPr>
          <w:rFonts w:ascii="宋体" w:eastAsia="宋体" w:hAnsi="宋体" w:cs="Times New Roman"/>
          <w:b/>
          <w:bCs/>
          <w:sz w:val="24"/>
          <w:szCs w:val="24"/>
        </w:rPr>
        <w:t>重点】</w:t>
      </w:r>
    </w:p>
    <w:p w14:paraId="08A7BD72"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1.坚持党对一切工作的领导</w:t>
      </w:r>
    </w:p>
    <w:p w14:paraId="261B6B26"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w:t>
      </w:r>
      <w:r>
        <w:rPr>
          <w:rFonts w:ascii="宋体" w:eastAsia="宋体" w:hAnsi="宋体" w:cs="宋体" w:hint="eastAsia"/>
          <w:b/>
          <w:bCs/>
          <w:color w:val="000000"/>
          <w:sz w:val="24"/>
          <w:szCs w:val="24"/>
        </w:rPr>
        <w:t>教学</w:t>
      </w:r>
      <w:r>
        <w:rPr>
          <w:rFonts w:ascii="宋体" w:eastAsia="宋体" w:hAnsi="宋体" w:cs="Times New Roman"/>
          <w:b/>
          <w:bCs/>
          <w:sz w:val="24"/>
          <w:szCs w:val="24"/>
        </w:rPr>
        <w:t>难点】</w:t>
      </w:r>
    </w:p>
    <w:p w14:paraId="04EA552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1.中国共产党领导是中国特色社会主义</w:t>
      </w:r>
      <w:proofErr w:type="gramStart"/>
      <w:r>
        <w:rPr>
          <w:rFonts w:ascii="宋体" w:eastAsia="宋体" w:hAnsi="宋体" w:cs="宋体" w:hint="eastAsia"/>
          <w:color w:val="000000"/>
          <w:sz w:val="24"/>
          <w:szCs w:val="24"/>
        </w:rPr>
        <w:t>最</w:t>
      </w:r>
      <w:proofErr w:type="gramEnd"/>
      <w:r>
        <w:rPr>
          <w:rFonts w:ascii="宋体" w:eastAsia="宋体" w:hAnsi="宋体" w:cs="宋体" w:hint="eastAsia"/>
          <w:color w:val="000000"/>
          <w:sz w:val="24"/>
          <w:szCs w:val="24"/>
        </w:rPr>
        <w:t>本质的特征</w:t>
      </w:r>
    </w:p>
    <w:p w14:paraId="2CD112BB"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6BC862CD"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1.通过教师系统讲授和学生自主探究相结合，阐明</w:t>
      </w:r>
      <w:r>
        <w:rPr>
          <w:rFonts w:ascii="宋体" w:eastAsia="宋体" w:hAnsi="宋体" w:cs="宋体" w:hint="eastAsia"/>
          <w:color w:val="000000"/>
          <w:sz w:val="24"/>
          <w:szCs w:val="24"/>
        </w:rPr>
        <w:t>中国共产党领导是中国特色社会主义</w:t>
      </w:r>
      <w:proofErr w:type="gramStart"/>
      <w:r>
        <w:rPr>
          <w:rFonts w:ascii="宋体" w:eastAsia="宋体" w:hAnsi="宋体" w:cs="宋体" w:hint="eastAsia"/>
          <w:color w:val="000000"/>
          <w:sz w:val="24"/>
          <w:szCs w:val="24"/>
        </w:rPr>
        <w:t>最</w:t>
      </w:r>
      <w:proofErr w:type="gramEnd"/>
      <w:r>
        <w:rPr>
          <w:rFonts w:ascii="宋体" w:eastAsia="宋体" w:hAnsi="宋体" w:cs="宋体" w:hint="eastAsia"/>
          <w:color w:val="000000"/>
          <w:sz w:val="24"/>
          <w:szCs w:val="24"/>
        </w:rPr>
        <w:t>本质的特征</w:t>
      </w:r>
      <w:r>
        <w:rPr>
          <w:rFonts w:ascii="宋体" w:eastAsia="宋体" w:hAnsi="宋体" w:cs="Times New Roman" w:hint="eastAsia"/>
          <w:sz w:val="24"/>
          <w:szCs w:val="24"/>
        </w:rPr>
        <w:t>；</w:t>
      </w:r>
    </w:p>
    <w:p w14:paraId="01834EA2"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2.采用案例分析，强调理论与实际相结合，培养学生反思和批判意识，提升学生理论思维能力；</w:t>
      </w:r>
    </w:p>
    <w:p w14:paraId="256C4F94"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3.通过小组合作学习和课堂研讨，强化学生问题意识，发展学生合作能力和理论联系实际能力，提高学生运用辩证唯物主义思维方法观察、分析和处理问题的能力。</w:t>
      </w:r>
    </w:p>
    <w:p w14:paraId="4735B97B"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Times New Roman"/>
          <w:b/>
          <w:bCs/>
          <w:sz w:val="24"/>
          <w:szCs w:val="24"/>
        </w:rPr>
        <w:t>【复习思考】</w:t>
      </w:r>
    </w:p>
    <w:p w14:paraId="73198B6B"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1.如何认识中国最大的国情就是中国共产党的领导？</w:t>
      </w:r>
    </w:p>
    <w:p w14:paraId="36068766"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2.坚持党对一切工作的领导主要体现在哪些方面？</w:t>
      </w:r>
    </w:p>
    <w:p w14:paraId="338533E4"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第四章 坚持以人民为中心</w:t>
      </w:r>
    </w:p>
    <w:p w14:paraId="18247185"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hint="eastAsia"/>
          <w:b/>
          <w:bCs/>
          <w:sz w:val="24"/>
          <w:szCs w:val="24"/>
        </w:rPr>
        <w:t>【教学目标】</w:t>
      </w:r>
    </w:p>
    <w:p w14:paraId="4923BDE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w:t>
      </w:r>
    </w:p>
    <w:p w14:paraId="7B3A194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了解坚持以人民为中心是新时代坚持和发展中国特色社会主义的基本方略，</w:t>
      </w:r>
      <w:proofErr w:type="gramStart"/>
      <w:r>
        <w:rPr>
          <w:rFonts w:ascii="宋体" w:eastAsia="宋体" w:hAnsi="宋体" w:cs="宋体" w:hint="eastAsia"/>
          <w:color w:val="000000"/>
          <w:sz w:val="24"/>
          <w:szCs w:val="24"/>
        </w:rPr>
        <w:t>是习近</w:t>
      </w:r>
      <w:proofErr w:type="gramEnd"/>
      <w:r>
        <w:rPr>
          <w:rFonts w:ascii="宋体" w:eastAsia="宋体" w:hAnsi="宋体" w:cs="宋体" w:hint="eastAsia"/>
          <w:color w:val="000000"/>
          <w:sz w:val="24"/>
          <w:szCs w:val="24"/>
        </w:rPr>
        <w:t>平新时代中国特色社会主义思想的鲜明品格；了解人民立场是中国共产党的根本政治立场，掌握</w:t>
      </w:r>
      <w:proofErr w:type="gramStart"/>
      <w:r>
        <w:rPr>
          <w:rFonts w:ascii="宋体" w:eastAsia="宋体" w:hAnsi="宋体" w:cs="宋体" w:hint="eastAsia"/>
          <w:color w:val="000000"/>
          <w:sz w:val="24"/>
          <w:szCs w:val="24"/>
        </w:rPr>
        <w:t>践行</w:t>
      </w:r>
      <w:proofErr w:type="gramEnd"/>
      <w:r>
        <w:rPr>
          <w:rFonts w:ascii="宋体" w:eastAsia="宋体" w:hAnsi="宋体" w:cs="宋体" w:hint="eastAsia"/>
          <w:color w:val="000000"/>
          <w:sz w:val="24"/>
          <w:szCs w:val="24"/>
        </w:rPr>
        <w:t>以人民为中心的发展思想的实质性行动；了解推动共同富裕总的思路和</w:t>
      </w:r>
      <w:proofErr w:type="gramStart"/>
      <w:r>
        <w:rPr>
          <w:rFonts w:ascii="宋体" w:eastAsia="宋体" w:hAnsi="宋体" w:cs="宋体" w:hint="eastAsia"/>
          <w:color w:val="000000"/>
          <w:sz w:val="24"/>
          <w:szCs w:val="24"/>
        </w:rPr>
        <w:t>要</w:t>
      </w:r>
      <w:proofErr w:type="gramEnd"/>
      <w:r>
        <w:rPr>
          <w:rFonts w:ascii="宋体" w:eastAsia="宋体" w:hAnsi="宋体" w:cs="宋体" w:hint="eastAsia"/>
          <w:color w:val="000000"/>
          <w:sz w:val="24"/>
          <w:szCs w:val="24"/>
        </w:rPr>
        <w:t>着力解决的问题，掌握紧紧依靠人民创造历史伟业推动国家发展的伟大意义和根本工作方法。</w:t>
      </w:r>
    </w:p>
    <w:p w14:paraId="7EE9372C"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w:t>
      </w:r>
    </w:p>
    <w:p w14:paraId="53F68699"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认识到坚持以人民为中心是我们党全部奋斗、全部实践的根本底色，是宝贵历史经验，紧紧依靠人民创造历史伟业推动国家发展，改变了中国历史发展的方向，为我们党团结带领全国各族人民不断为美好生活开辟了一条的光明大道。</w:t>
      </w:r>
    </w:p>
    <w:p w14:paraId="33967FE9"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3.素质/价值/</w:t>
      </w:r>
      <w:proofErr w:type="gramStart"/>
      <w:r>
        <w:rPr>
          <w:rFonts w:ascii="宋体" w:eastAsia="宋体" w:hAnsi="宋体" w:cs="宋体" w:hint="eastAsia"/>
          <w:color w:val="000000"/>
          <w:sz w:val="24"/>
          <w:szCs w:val="24"/>
        </w:rPr>
        <w:t>思政育人</w:t>
      </w:r>
      <w:proofErr w:type="gramEnd"/>
      <w:r>
        <w:rPr>
          <w:rFonts w:ascii="宋体" w:eastAsia="宋体" w:hAnsi="宋体" w:cs="宋体" w:hint="eastAsia"/>
          <w:color w:val="000000"/>
          <w:sz w:val="24"/>
          <w:szCs w:val="24"/>
        </w:rPr>
        <w:t>目标</w:t>
      </w:r>
    </w:p>
    <w:p w14:paraId="2FB5EFC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懂得坚持人民主体地位，尊重人民首创精神，</w:t>
      </w:r>
      <w:proofErr w:type="gramStart"/>
      <w:r>
        <w:rPr>
          <w:rFonts w:ascii="宋体" w:eastAsia="宋体" w:hAnsi="宋体" w:cs="宋体" w:hint="eastAsia"/>
          <w:color w:val="000000"/>
          <w:sz w:val="24"/>
          <w:szCs w:val="24"/>
        </w:rPr>
        <w:t>践行</w:t>
      </w:r>
      <w:proofErr w:type="gramEnd"/>
      <w:r>
        <w:rPr>
          <w:rFonts w:ascii="宋体" w:eastAsia="宋体" w:hAnsi="宋体" w:cs="宋体" w:hint="eastAsia"/>
          <w:color w:val="000000"/>
          <w:sz w:val="24"/>
          <w:szCs w:val="24"/>
        </w:rPr>
        <w:t>以人民为中心的发展思想，维护社会公平正义，为着力解决发展不平衡不充分问题和人民群众</w:t>
      </w:r>
      <w:proofErr w:type="gramStart"/>
      <w:r>
        <w:rPr>
          <w:rFonts w:ascii="宋体" w:eastAsia="宋体" w:hAnsi="宋体" w:cs="宋体" w:hint="eastAsia"/>
          <w:color w:val="000000"/>
          <w:sz w:val="24"/>
          <w:szCs w:val="24"/>
        </w:rPr>
        <w:t>急难愁盼问题</w:t>
      </w:r>
      <w:proofErr w:type="gramEnd"/>
      <w:r>
        <w:rPr>
          <w:rFonts w:ascii="宋体" w:eastAsia="宋体" w:hAnsi="宋体" w:cs="宋体" w:hint="eastAsia"/>
          <w:color w:val="000000"/>
          <w:sz w:val="24"/>
          <w:szCs w:val="24"/>
        </w:rPr>
        <w:t>，不断实现好、维护好、发展好最广大人民根本利益而奋斗，坚持以人民为中心是我们党全部奋斗、全部实践的根本底色，是宝贵历史经验。</w:t>
      </w:r>
    </w:p>
    <w:p w14:paraId="71BD635C" w14:textId="77777777" w:rsidR="0078124E" w:rsidRDefault="0078124E" w:rsidP="0078124E">
      <w:pPr>
        <w:adjustRightInd w:val="0"/>
        <w:snapToGrid w:val="0"/>
        <w:spacing w:line="440" w:lineRule="exact"/>
        <w:ind w:firstLineChars="200" w:firstLine="482"/>
        <w:rPr>
          <w:rFonts w:ascii="宋体" w:eastAsia="宋体" w:hAnsi="宋体" w:cs="宋体"/>
          <w:color w:val="000000"/>
          <w:sz w:val="24"/>
          <w:szCs w:val="24"/>
        </w:rPr>
      </w:pPr>
      <w:r>
        <w:rPr>
          <w:rFonts w:ascii="宋体" w:eastAsia="宋体" w:hAnsi="宋体" w:cs="Times New Roman"/>
          <w:b/>
          <w:bCs/>
          <w:sz w:val="24"/>
          <w:szCs w:val="24"/>
        </w:rPr>
        <w:t>【学习内容】</w:t>
      </w:r>
    </w:p>
    <w:p w14:paraId="0999C31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1.江山就是人民，人民就是江山</w:t>
      </w:r>
    </w:p>
    <w:p w14:paraId="6ADE678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2.坚持人民至上</w:t>
      </w:r>
    </w:p>
    <w:p w14:paraId="713690E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3.全面落实以人民为中心的发展思想</w:t>
      </w:r>
    </w:p>
    <w:p w14:paraId="55615591"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hint="eastAsia"/>
          <w:b/>
          <w:bCs/>
          <w:sz w:val="24"/>
          <w:szCs w:val="24"/>
        </w:rPr>
        <w:t>【教学重点】</w:t>
      </w:r>
    </w:p>
    <w:p w14:paraId="121C7452"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1.以人民为中心是新时代坚持和发展中国特色社会主义的基本方略</w:t>
      </w:r>
    </w:p>
    <w:p w14:paraId="68A71CB1"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2.坚持以人民为中心的具体内容、特点以及原则</w:t>
      </w:r>
    </w:p>
    <w:p w14:paraId="6E04A74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3.坚持人民主体地位的民主实践和根本工作方法</w:t>
      </w:r>
    </w:p>
    <w:p w14:paraId="4391A3EF" w14:textId="77777777" w:rsidR="0078124E" w:rsidRDefault="0078124E" w:rsidP="0078124E">
      <w:pPr>
        <w:adjustRightInd w:val="0"/>
        <w:snapToGrid w:val="0"/>
        <w:spacing w:line="440" w:lineRule="exact"/>
        <w:ind w:firstLineChars="200" w:firstLine="480"/>
        <w:rPr>
          <w:rFonts w:ascii="宋体" w:eastAsia="宋体" w:hAnsi="宋体" w:cs="Times New Roman"/>
          <w:b/>
          <w:bCs/>
          <w:sz w:val="24"/>
          <w:szCs w:val="24"/>
        </w:rPr>
      </w:pPr>
      <w:r>
        <w:rPr>
          <w:rFonts w:ascii="宋体" w:hAnsi="宋体" w:cs="宋体" w:hint="eastAsia"/>
          <w:color w:val="000000"/>
          <w:sz w:val="24"/>
          <w:szCs w:val="24"/>
        </w:rPr>
        <w:t>【</w:t>
      </w:r>
      <w:r>
        <w:rPr>
          <w:rFonts w:ascii="宋体" w:eastAsia="宋体" w:hAnsi="宋体" w:cs="Times New Roman" w:hint="eastAsia"/>
          <w:b/>
          <w:bCs/>
          <w:sz w:val="24"/>
          <w:szCs w:val="24"/>
        </w:rPr>
        <w:t>教学难点】</w:t>
      </w:r>
    </w:p>
    <w:p w14:paraId="454AE58F"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1.推动共同富裕实质性进展的内涵与原则</w:t>
      </w:r>
    </w:p>
    <w:p w14:paraId="655581B4"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2.如何把以人民为中心的发展思想转化为科学有效的制度安排和具体现实的民主实践</w:t>
      </w:r>
    </w:p>
    <w:p w14:paraId="1C5DBFAB"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538EBE77"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1.通过教师系统讲授和学生自主探究相结合，阐明以人民为中心是新时代坚持和发展中国特色社会主义的基本方略；</w:t>
      </w:r>
    </w:p>
    <w:p w14:paraId="262DAFAD"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2.通过案例分析，强调理论与实践相结合，促进学生知识整合，培养学生的反思能力；</w:t>
      </w:r>
    </w:p>
    <w:p w14:paraId="41B94E86"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3.通过探究性学习研讨，培育学生问题意识，辩证认识推动共同富裕实质性进展的内涵与原则。</w:t>
      </w:r>
    </w:p>
    <w:p w14:paraId="7D0639E0"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hint="eastAsia"/>
          <w:b/>
          <w:bCs/>
          <w:sz w:val="24"/>
          <w:szCs w:val="24"/>
        </w:rPr>
        <w:t>【复习思考】</w:t>
      </w:r>
    </w:p>
    <w:p w14:paraId="72E7465A"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1.为什么说“党的根基在人民、血脉在人民、力量在人民”？</w:t>
      </w:r>
    </w:p>
    <w:p w14:paraId="2D82CDD4"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2.如何理解人民对美好生活的向往是党的奋斗目标？</w:t>
      </w:r>
    </w:p>
    <w:p w14:paraId="0E1EFD7C"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3.如何理解“时代是出卷人，我们是答卷人，人民是阅卷人” ？</w:t>
      </w:r>
    </w:p>
    <w:p w14:paraId="55EF2BC1"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4.为什么要推动全体人民共同富裕取得更为明显的实质性进展？</w:t>
      </w:r>
    </w:p>
    <w:p w14:paraId="536E5D4F"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第五章 全面深化改革开放</w:t>
      </w:r>
    </w:p>
    <w:p w14:paraId="4BFE8381"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hint="eastAsia"/>
          <w:b/>
          <w:bCs/>
          <w:sz w:val="24"/>
          <w:szCs w:val="24"/>
        </w:rPr>
        <w:t>【教学目标】</w:t>
      </w:r>
    </w:p>
    <w:p w14:paraId="7E07C39A"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1.知识目标</w:t>
      </w:r>
    </w:p>
    <w:p w14:paraId="0AE7DFB0"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了解改革开放是一场新的伟大革命；掌握全面深化改革总目标、具体目标和任务；了解全面深化改革的方向、立场、原则和方法。</w:t>
      </w:r>
    </w:p>
    <w:p w14:paraId="7C7D1669"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2.能力目标</w:t>
      </w:r>
    </w:p>
    <w:p w14:paraId="65D1B22D"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学会运用唯物辩证方法，正确认识改革开放实践中的相关问题，正确</w:t>
      </w:r>
      <w:proofErr w:type="gramStart"/>
      <w:r>
        <w:rPr>
          <w:rFonts w:ascii="宋体" w:eastAsia="宋体" w:hAnsi="宋体" w:cs="Times New Roman" w:hint="eastAsia"/>
          <w:sz w:val="24"/>
          <w:szCs w:val="24"/>
        </w:rPr>
        <w:t>研判全面</w:t>
      </w:r>
      <w:proofErr w:type="gramEnd"/>
      <w:r>
        <w:rPr>
          <w:rFonts w:ascii="宋体" w:eastAsia="宋体" w:hAnsi="宋体" w:cs="Times New Roman" w:hint="eastAsia"/>
          <w:sz w:val="24"/>
          <w:szCs w:val="24"/>
        </w:rPr>
        <w:t>深化改革中的复杂矛盾和现象。</w:t>
      </w:r>
    </w:p>
    <w:p w14:paraId="38AD6840"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3.素质/价值/</w:t>
      </w:r>
      <w:proofErr w:type="gramStart"/>
      <w:r>
        <w:rPr>
          <w:rFonts w:ascii="宋体" w:eastAsia="宋体" w:hAnsi="宋体" w:cs="Times New Roman" w:hint="eastAsia"/>
          <w:sz w:val="24"/>
          <w:szCs w:val="24"/>
        </w:rPr>
        <w:t>思政育人</w:t>
      </w:r>
      <w:proofErr w:type="gramEnd"/>
      <w:r>
        <w:rPr>
          <w:rFonts w:ascii="宋体" w:eastAsia="宋体" w:hAnsi="宋体" w:cs="Times New Roman" w:hint="eastAsia"/>
          <w:sz w:val="24"/>
          <w:szCs w:val="24"/>
        </w:rPr>
        <w:t>目标</w:t>
      </w:r>
    </w:p>
    <w:p w14:paraId="6F853B69"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通过学习能够明确改革开放是一场新的伟大革命，改革开放是决定当代中国命运的关键一招，也是决定实现“两个一百年”奋斗目标、实现中华民族伟大复兴的关键一招。改革开放只有进行时、没有完成时，以更大的政治勇气和智慧推进全面深化改革</w:t>
      </w:r>
    </w:p>
    <w:p w14:paraId="65451504" w14:textId="77777777" w:rsidR="0078124E" w:rsidRDefault="0078124E" w:rsidP="0078124E">
      <w:pPr>
        <w:adjustRightInd w:val="0"/>
        <w:snapToGrid w:val="0"/>
        <w:spacing w:line="440" w:lineRule="exact"/>
        <w:ind w:firstLineChars="200" w:firstLine="482"/>
        <w:rPr>
          <w:rFonts w:ascii="宋体" w:eastAsia="宋体" w:hAnsi="宋体" w:cs="宋体"/>
          <w:color w:val="000000"/>
          <w:sz w:val="24"/>
          <w:szCs w:val="24"/>
        </w:rPr>
      </w:pPr>
      <w:r>
        <w:rPr>
          <w:rFonts w:ascii="宋体" w:eastAsia="宋体" w:hAnsi="宋体" w:cs="Times New Roman"/>
          <w:b/>
          <w:bCs/>
          <w:sz w:val="24"/>
          <w:szCs w:val="24"/>
        </w:rPr>
        <w:t>【学习内容】</w:t>
      </w:r>
    </w:p>
    <w:p w14:paraId="26442D9F"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1.改革开放是决定当代中国命运的关键一招</w:t>
      </w:r>
    </w:p>
    <w:p w14:paraId="2096E73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2.统筹推进各领域各方面改革开放</w:t>
      </w:r>
    </w:p>
    <w:p w14:paraId="5830A9C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3.将改革开放进行到底</w:t>
      </w:r>
    </w:p>
    <w:p w14:paraId="5DEF1D99" w14:textId="77777777" w:rsidR="0078124E" w:rsidRDefault="0078124E" w:rsidP="0078124E">
      <w:pPr>
        <w:adjustRightInd w:val="0"/>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【教学重点】</w:t>
      </w:r>
    </w:p>
    <w:p w14:paraId="394F67A6"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1.改革开放是一场新的伟大革命</w:t>
      </w:r>
    </w:p>
    <w:p w14:paraId="364828D1"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2.全面深化改革的总目标</w:t>
      </w:r>
    </w:p>
    <w:p w14:paraId="0952A7C8" w14:textId="77777777" w:rsidR="0078124E" w:rsidRDefault="0078124E" w:rsidP="0078124E">
      <w:pPr>
        <w:adjustRightInd w:val="0"/>
        <w:snapToGrid w:val="0"/>
        <w:spacing w:line="440" w:lineRule="exact"/>
        <w:ind w:firstLineChars="200" w:firstLine="480"/>
        <w:rPr>
          <w:rFonts w:ascii="宋体" w:eastAsia="宋体" w:hAnsi="宋体" w:cs="宋体"/>
          <w:b/>
          <w:bCs/>
          <w:sz w:val="24"/>
          <w:szCs w:val="24"/>
        </w:rPr>
      </w:pPr>
      <w:r>
        <w:rPr>
          <w:rFonts w:ascii="宋体" w:eastAsia="宋体" w:hAnsi="宋体" w:cs="宋体" w:hint="eastAsia"/>
          <w:sz w:val="24"/>
          <w:szCs w:val="24"/>
        </w:rPr>
        <w:t>3.全面深化改革的方向、立场、原则和方法</w:t>
      </w:r>
    </w:p>
    <w:p w14:paraId="42FB4C91" w14:textId="77777777" w:rsidR="0078124E" w:rsidRDefault="0078124E" w:rsidP="0078124E">
      <w:pPr>
        <w:adjustRightInd w:val="0"/>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【教学难点】</w:t>
      </w:r>
    </w:p>
    <w:p w14:paraId="3DB53742"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1.改革开放是一场新的伟大革命</w:t>
      </w:r>
    </w:p>
    <w:p w14:paraId="6C15BDFC"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lastRenderedPageBreak/>
        <w:t>2.坚定改革的正确方向、立场、原则和方法</w:t>
      </w:r>
    </w:p>
    <w:p w14:paraId="192652AD" w14:textId="77777777" w:rsidR="0078124E" w:rsidRDefault="0078124E" w:rsidP="0078124E">
      <w:pPr>
        <w:adjustRightInd w:val="0"/>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color w:val="000000"/>
          <w:sz w:val="24"/>
          <w:szCs w:val="24"/>
        </w:rPr>
        <w:t xml:space="preserve"> </w:t>
      </w:r>
      <w:r>
        <w:rPr>
          <w:rFonts w:ascii="宋体" w:eastAsia="宋体" w:hAnsi="宋体" w:cs="宋体" w:hint="eastAsia"/>
          <w:b/>
          <w:bCs/>
          <w:sz w:val="24"/>
          <w:szCs w:val="24"/>
        </w:rPr>
        <w:t>【教学方法】</w:t>
      </w:r>
    </w:p>
    <w:p w14:paraId="6E3E8080"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1.通过教师系统讲授和学生自主探究相结合，阐明以改革开放是一场新的伟大革命；</w:t>
      </w:r>
    </w:p>
    <w:p w14:paraId="6ED49D8B"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2.通过案例分析，强调理论与实践相结合，促进学生知识整合，培养学生的反思能力；</w:t>
      </w:r>
    </w:p>
    <w:p w14:paraId="6DACBED3"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3.通过探究性学习研讨，培育学生问题意识，辩证认识改革的正确方向、立场、原则和方法。</w:t>
      </w:r>
    </w:p>
    <w:p w14:paraId="1721A30F"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hint="eastAsia"/>
          <w:b/>
          <w:bCs/>
          <w:sz w:val="24"/>
          <w:szCs w:val="24"/>
        </w:rPr>
        <w:t>【复习思考】</w:t>
      </w:r>
    </w:p>
    <w:p w14:paraId="00793A6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1.为什么说新时代全面深化改革开放是一场深刻革命？</w:t>
      </w:r>
    </w:p>
    <w:p w14:paraId="45C29E51"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2.如何理解全面深化改革总目标？</w:t>
      </w:r>
    </w:p>
    <w:p w14:paraId="564070E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3.如何理解中国特色社会主义制度和国家治理体系的显著优势?</w:t>
      </w:r>
    </w:p>
    <w:p w14:paraId="01382D4E"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eastAsia="宋体" w:hAnsi="宋体" w:cs="宋体" w:hint="eastAsia"/>
          <w:color w:val="000000"/>
          <w:sz w:val="24"/>
          <w:szCs w:val="24"/>
        </w:rPr>
        <w:t>4.如何理解"中国开放的大门只会越开越大" ？</w:t>
      </w:r>
    </w:p>
    <w:p w14:paraId="632EC594"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第六章 推动高质量发展</w:t>
      </w:r>
    </w:p>
    <w:p w14:paraId="145E9A1B"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【教学目标】</w:t>
      </w:r>
    </w:p>
    <w:p w14:paraId="0C4ACCD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w:t>
      </w:r>
    </w:p>
    <w:p w14:paraId="2CA1DF9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把握习近平经济思想的主要内容，深刻理解高质量发展的核心观点和主要内容，理解供给侧结构性改革的内涵，理解构建以国内大循环为主体、国内国际双循环相互促进的新发展格局。贯彻新发展理念的重大举措。</w:t>
      </w:r>
    </w:p>
    <w:p w14:paraId="590BDBF4"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w:t>
      </w:r>
    </w:p>
    <w:p w14:paraId="370204A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领会习近平经济思想提出的一系列关于中国特色社会主义经济的发展道路、发展战略、目的、任务等重要思想，提高辩证思维的能力。</w:t>
      </w:r>
    </w:p>
    <w:p w14:paraId="6379021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3.素质/价值/</w:t>
      </w:r>
      <w:proofErr w:type="gramStart"/>
      <w:r>
        <w:rPr>
          <w:rFonts w:ascii="宋体" w:eastAsia="宋体" w:hAnsi="宋体" w:cs="宋体" w:hint="eastAsia"/>
          <w:color w:val="000000"/>
          <w:sz w:val="24"/>
          <w:szCs w:val="24"/>
        </w:rPr>
        <w:t>思政育人</w:t>
      </w:r>
      <w:proofErr w:type="gramEnd"/>
      <w:r>
        <w:rPr>
          <w:rFonts w:ascii="宋体" w:eastAsia="宋体" w:hAnsi="宋体" w:cs="宋体" w:hint="eastAsia"/>
          <w:color w:val="000000"/>
          <w:sz w:val="24"/>
          <w:szCs w:val="24"/>
        </w:rPr>
        <w:t>目标</w:t>
      </w:r>
    </w:p>
    <w:p w14:paraId="3451DF28"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引导大学生正确认识中国的基本国情和习近平经济思想，坚定在党的领导下实现高质量发展。</w:t>
      </w:r>
    </w:p>
    <w:p w14:paraId="43EAE13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hAnsi="宋体" w:cs="宋体" w:hint="eastAsia"/>
          <w:color w:val="000000"/>
          <w:sz w:val="24"/>
          <w:szCs w:val="24"/>
        </w:rPr>
        <w:t>【</w:t>
      </w:r>
      <w:r>
        <w:rPr>
          <w:rFonts w:ascii="宋体" w:hAnsi="宋体" w:cs="宋体" w:hint="eastAsia"/>
          <w:b/>
          <w:bCs/>
          <w:color w:val="000000"/>
          <w:sz w:val="24"/>
          <w:szCs w:val="24"/>
        </w:rPr>
        <w:t>学习内容</w:t>
      </w:r>
      <w:r>
        <w:rPr>
          <w:rFonts w:ascii="宋体" w:hAnsi="宋体" w:cs="宋体" w:hint="eastAsia"/>
          <w:color w:val="000000"/>
          <w:sz w:val="24"/>
          <w:szCs w:val="24"/>
        </w:rPr>
        <w:t>】</w:t>
      </w:r>
    </w:p>
    <w:p w14:paraId="24CED319"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1.完整、准确、全面贯彻新发展理念</w:t>
      </w:r>
    </w:p>
    <w:p w14:paraId="2D8530F0"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2.坚持和完善社会主义基本经济制度</w:t>
      </w:r>
    </w:p>
    <w:p w14:paraId="69B32C4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3.加快构建新发展格局</w:t>
      </w:r>
    </w:p>
    <w:p w14:paraId="19B63F0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4.建设现代化经济体系</w:t>
      </w:r>
    </w:p>
    <w:p w14:paraId="7F9D32A7" w14:textId="77777777" w:rsidR="0078124E" w:rsidRDefault="0078124E" w:rsidP="0078124E">
      <w:pPr>
        <w:adjustRightInd w:val="0"/>
        <w:snapToGrid w:val="0"/>
        <w:spacing w:line="440" w:lineRule="exact"/>
        <w:ind w:firstLineChars="200" w:firstLine="480"/>
        <w:rPr>
          <w:rFonts w:ascii="宋体" w:hAnsi="宋体" w:cs="宋体"/>
          <w:b/>
          <w:bCs/>
          <w:color w:val="000000"/>
          <w:sz w:val="24"/>
          <w:szCs w:val="24"/>
        </w:rPr>
      </w:pPr>
      <w:r>
        <w:rPr>
          <w:rFonts w:ascii="宋体" w:hAnsi="宋体" w:cs="宋体" w:hint="eastAsia"/>
          <w:color w:val="000000"/>
          <w:sz w:val="24"/>
          <w:szCs w:val="24"/>
        </w:rPr>
        <w:lastRenderedPageBreak/>
        <w:t>【</w:t>
      </w:r>
      <w:r>
        <w:rPr>
          <w:rFonts w:ascii="宋体" w:hAnsi="宋体" w:cs="宋体" w:hint="eastAsia"/>
          <w:b/>
          <w:bCs/>
          <w:color w:val="000000"/>
          <w:sz w:val="24"/>
          <w:szCs w:val="24"/>
        </w:rPr>
        <w:t>教学重点】</w:t>
      </w:r>
    </w:p>
    <w:p w14:paraId="4CAD3092"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1.完整、准确、全面贯彻新发展理念</w:t>
      </w:r>
    </w:p>
    <w:p w14:paraId="2B2D2D4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2.加快构建新发展格局</w:t>
      </w:r>
    </w:p>
    <w:p w14:paraId="7F2EC74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hAnsi="宋体" w:cs="宋体" w:hint="eastAsia"/>
          <w:b/>
          <w:bCs/>
          <w:color w:val="000000"/>
          <w:sz w:val="24"/>
          <w:szCs w:val="24"/>
        </w:rPr>
        <w:t>【</w:t>
      </w:r>
      <w:r>
        <w:rPr>
          <w:rFonts w:ascii="宋体" w:eastAsia="宋体" w:hAnsi="宋体" w:cs="宋体" w:hint="eastAsia"/>
          <w:b/>
          <w:bCs/>
          <w:color w:val="000000"/>
          <w:sz w:val="24"/>
          <w:szCs w:val="24"/>
        </w:rPr>
        <w:t>教学难点</w:t>
      </w:r>
      <w:r>
        <w:rPr>
          <w:rFonts w:ascii="宋体" w:hAnsi="宋体" w:cs="宋体" w:hint="eastAsia"/>
          <w:color w:val="000000"/>
          <w:sz w:val="24"/>
          <w:szCs w:val="24"/>
        </w:rPr>
        <w:t>】</w:t>
      </w:r>
    </w:p>
    <w:p w14:paraId="409F9109"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1.坚持和</w:t>
      </w:r>
      <w:r>
        <w:rPr>
          <w:rFonts w:ascii="宋体" w:hAnsi="宋体" w:cs="宋体" w:hint="eastAsia"/>
          <w:color w:val="000000"/>
          <w:sz w:val="24"/>
          <w:szCs w:val="24"/>
        </w:rPr>
        <w:t>完善</w:t>
      </w:r>
      <w:r>
        <w:rPr>
          <w:rFonts w:ascii="宋体" w:eastAsia="宋体" w:hAnsi="宋体" w:cs="宋体" w:hint="eastAsia"/>
          <w:color w:val="000000"/>
          <w:sz w:val="24"/>
          <w:szCs w:val="24"/>
        </w:rPr>
        <w:t>社会主义基本经济制度</w:t>
      </w:r>
    </w:p>
    <w:p w14:paraId="448BE08F"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2.建设现代化经济体系</w:t>
      </w:r>
    </w:p>
    <w:p w14:paraId="4532A311"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42A6AA34"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1.通过教师系统讲授和学生自主探究相结合，阐明</w:t>
      </w:r>
      <w:r>
        <w:rPr>
          <w:rFonts w:ascii="宋体" w:eastAsia="宋体" w:hAnsi="宋体" w:cs="宋体" w:hint="eastAsia"/>
          <w:color w:val="000000"/>
          <w:sz w:val="24"/>
          <w:szCs w:val="24"/>
        </w:rPr>
        <w:t>坚持和完善社会主义基本经济制度</w:t>
      </w:r>
      <w:r>
        <w:rPr>
          <w:rFonts w:ascii="宋体" w:eastAsia="宋体" w:hAnsi="宋体" w:cs="宋体" w:hint="eastAsia"/>
          <w:sz w:val="24"/>
          <w:szCs w:val="24"/>
        </w:rPr>
        <w:t>的基本问题，全面理解掌握</w:t>
      </w:r>
      <w:r>
        <w:rPr>
          <w:rFonts w:ascii="宋体" w:eastAsia="宋体" w:hAnsi="宋体" w:cs="宋体" w:hint="eastAsia"/>
          <w:color w:val="000000"/>
          <w:sz w:val="24"/>
          <w:szCs w:val="24"/>
        </w:rPr>
        <w:t>新发展理念</w:t>
      </w:r>
      <w:r>
        <w:rPr>
          <w:rFonts w:ascii="宋体" w:eastAsia="宋体" w:hAnsi="宋体" w:cs="宋体" w:hint="eastAsia"/>
          <w:sz w:val="24"/>
          <w:szCs w:val="24"/>
        </w:rPr>
        <w:t>。</w:t>
      </w:r>
    </w:p>
    <w:p w14:paraId="0EDC5D5E"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2.通过案例分析，提升学生反思和批判意识，促进学生深刻把握</w:t>
      </w:r>
      <w:r>
        <w:rPr>
          <w:rFonts w:ascii="宋体" w:eastAsia="宋体" w:hAnsi="宋体" w:cs="宋体" w:hint="eastAsia"/>
          <w:color w:val="000000"/>
          <w:sz w:val="24"/>
          <w:szCs w:val="24"/>
        </w:rPr>
        <w:t>加快构建新发展格局</w:t>
      </w:r>
      <w:r>
        <w:rPr>
          <w:rFonts w:ascii="宋体" w:eastAsia="宋体" w:hAnsi="宋体" w:cs="Times New Roman"/>
          <w:sz w:val="24"/>
          <w:szCs w:val="24"/>
        </w:rPr>
        <w:t>；</w:t>
      </w:r>
    </w:p>
    <w:p w14:paraId="36F695C6"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3.通过组织学生探讨，培养学生问题意识，深刻认识</w:t>
      </w:r>
      <w:r>
        <w:rPr>
          <w:rFonts w:ascii="宋体" w:eastAsia="宋体" w:hAnsi="宋体" w:cs="宋体" w:hint="eastAsia"/>
          <w:color w:val="000000"/>
          <w:sz w:val="24"/>
          <w:szCs w:val="24"/>
        </w:rPr>
        <w:t>建设现代化经济体系</w:t>
      </w:r>
      <w:r>
        <w:rPr>
          <w:rFonts w:ascii="宋体" w:eastAsia="宋体" w:hAnsi="宋体" w:cs="Times New Roman"/>
          <w:sz w:val="24"/>
          <w:szCs w:val="24"/>
        </w:rPr>
        <w:t>。</w:t>
      </w:r>
    </w:p>
    <w:p w14:paraId="2CDC905E"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【复习思考】</w:t>
      </w:r>
    </w:p>
    <w:p w14:paraId="249B2BE9"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1.如何理解以新发展理念引领高质量发展?</w:t>
      </w:r>
    </w:p>
    <w:p w14:paraId="6FF0413D"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2.如何理解我国社会主义基本经济制度的新概括及其重大意义?</w:t>
      </w:r>
    </w:p>
    <w:p w14:paraId="6F03B8D1"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3.如何理解加快构建新发展格局的必然性?</w:t>
      </w:r>
    </w:p>
    <w:p w14:paraId="7CD62D46"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4.如何认识建设现代化产业体系、全面推进乡村振兴、促进区域协调发展?</w:t>
      </w:r>
    </w:p>
    <w:p w14:paraId="3F93C04E"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第七章 社会主义现代化建设的教育、科技、人才战略</w:t>
      </w:r>
    </w:p>
    <w:p w14:paraId="22453D24"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【教学目标】</w:t>
      </w:r>
    </w:p>
    <w:p w14:paraId="5547488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w:t>
      </w:r>
    </w:p>
    <w:p w14:paraId="2AB60A3B"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把握全面建设社会主义现代化国家的基础性、战略性支撑的主要内容，深刻理解教育是民族振兴、社会进步的基石的核心观点和主要内容，理解科技强国的内涵，理解加快建设入才强国的重大举措。</w:t>
      </w:r>
    </w:p>
    <w:p w14:paraId="24B3533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w:t>
      </w:r>
    </w:p>
    <w:p w14:paraId="0E8B963C"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领会全面建设社会主义现代化国家的基础性、战略性支撑等重要思想，提高辩证思维的能力。</w:t>
      </w:r>
    </w:p>
    <w:p w14:paraId="1C0F32F2"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3.素质/价值/</w:t>
      </w:r>
      <w:proofErr w:type="gramStart"/>
      <w:r>
        <w:rPr>
          <w:rFonts w:ascii="宋体" w:eastAsia="宋体" w:hAnsi="宋体" w:cs="宋体" w:hint="eastAsia"/>
          <w:color w:val="000000"/>
          <w:sz w:val="24"/>
          <w:szCs w:val="24"/>
        </w:rPr>
        <w:t>思政育人</w:t>
      </w:r>
      <w:proofErr w:type="gramEnd"/>
      <w:r>
        <w:rPr>
          <w:rFonts w:ascii="宋体" w:eastAsia="宋体" w:hAnsi="宋体" w:cs="宋体" w:hint="eastAsia"/>
          <w:color w:val="000000"/>
          <w:sz w:val="24"/>
          <w:szCs w:val="24"/>
        </w:rPr>
        <w:t>目标</w:t>
      </w:r>
    </w:p>
    <w:p w14:paraId="0E223BC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引导大学生正确认识中国的基本国情和建设科技强国、加快建设入才强国的战略意义</w:t>
      </w:r>
    </w:p>
    <w:p w14:paraId="525B9D7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hAnsi="宋体" w:cs="宋体" w:hint="eastAsia"/>
          <w:color w:val="000000"/>
          <w:sz w:val="24"/>
          <w:szCs w:val="24"/>
        </w:rPr>
        <w:t>【</w:t>
      </w:r>
      <w:r>
        <w:rPr>
          <w:rFonts w:ascii="宋体" w:hAnsi="宋体" w:cs="宋体" w:hint="eastAsia"/>
          <w:b/>
          <w:bCs/>
          <w:color w:val="000000"/>
          <w:sz w:val="24"/>
          <w:szCs w:val="24"/>
        </w:rPr>
        <w:t>学习内容</w:t>
      </w:r>
      <w:r>
        <w:rPr>
          <w:rFonts w:ascii="宋体" w:hAnsi="宋体" w:cs="宋体" w:hint="eastAsia"/>
          <w:color w:val="000000"/>
          <w:sz w:val="24"/>
          <w:szCs w:val="24"/>
        </w:rPr>
        <w:t>】</w:t>
      </w:r>
    </w:p>
    <w:p w14:paraId="1FB531E8"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1.全面建设社会主义现代化国家的基础性、战略性支撑</w:t>
      </w:r>
    </w:p>
    <w:p w14:paraId="054849E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2.教育是民族振兴、社会进步的基石</w:t>
      </w:r>
    </w:p>
    <w:p w14:paraId="4148EF3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3.加快建设科技强国</w:t>
      </w:r>
    </w:p>
    <w:p w14:paraId="260E4DA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4.加快建设人才强国</w:t>
      </w:r>
    </w:p>
    <w:p w14:paraId="0DC5C162" w14:textId="77777777" w:rsidR="0078124E" w:rsidRDefault="0078124E" w:rsidP="0078124E">
      <w:pPr>
        <w:adjustRightInd w:val="0"/>
        <w:snapToGrid w:val="0"/>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w:t>
      </w:r>
      <w:r>
        <w:rPr>
          <w:rFonts w:ascii="宋体" w:hAnsi="宋体" w:cs="宋体" w:hint="eastAsia"/>
          <w:b/>
          <w:bCs/>
          <w:color w:val="000000"/>
          <w:sz w:val="24"/>
          <w:szCs w:val="24"/>
        </w:rPr>
        <w:t>教学重点】</w:t>
      </w:r>
    </w:p>
    <w:p w14:paraId="76988B8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1.全面建设社会主义现代化国家的基础性、战略性支撑</w:t>
      </w:r>
    </w:p>
    <w:p w14:paraId="552E1D2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2.加快建设科技强国</w:t>
      </w:r>
    </w:p>
    <w:p w14:paraId="652129EC"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hAnsi="宋体" w:cs="宋体" w:hint="eastAsia"/>
          <w:b/>
          <w:bCs/>
          <w:color w:val="000000"/>
          <w:sz w:val="24"/>
          <w:szCs w:val="24"/>
        </w:rPr>
        <w:t>【</w:t>
      </w:r>
      <w:r>
        <w:rPr>
          <w:rFonts w:ascii="宋体" w:eastAsia="宋体" w:hAnsi="宋体" w:cs="宋体" w:hint="eastAsia"/>
          <w:b/>
          <w:bCs/>
          <w:color w:val="000000"/>
          <w:sz w:val="24"/>
          <w:szCs w:val="24"/>
        </w:rPr>
        <w:t>教学难点</w:t>
      </w:r>
      <w:r>
        <w:rPr>
          <w:rFonts w:ascii="宋体" w:hAnsi="宋体" w:cs="宋体" w:hint="eastAsia"/>
          <w:color w:val="000000"/>
          <w:sz w:val="24"/>
          <w:szCs w:val="24"/>
        </w:rPr>
        <w:t>】</w:t>
      </w:r>
    </w:p>
    <w:p w14:paraId="44522AE2"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1.加快建设</w:t>
      </w:r>
      <w:r>
        <w:rPr>
          <w:rFonts w:ascii="宋体" w:hAnsi="宋体" w:cs="宋体" w:hint="eastAsia"/>
          <w:color w:val="000000"/>
          <w:sz w:val="24"/>
          <w:szCs w:val="24"/>
        </w:rPr>
        <w:t>人</w:t>
      </w:r>
      <w:r>
        <w:rPr>
          <w:rFonts w:ascii="宋体" w:eastAsia="宋体" w:hAnsi="宋体" w:cs="宋体" w:hint="eastAsia"/>
          <w:color w:val="000000"/>
          <w:sz w:val="24"/>
          <w:szCs w:val="24"/>
        </w:rPr>
        <w:t>才强国</w:t>
      </w:r>
    </w:p>
    <w:p w14:paraId="1F440C60"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109B8469"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1.通过教师系统讲授和学生自主探究相结合，阐明</w:t>
      </w:r>
      <w:r>
        <w:rPr>
          <w:rFonts w:ascii="宋体" w:eastAsia="宋体" w:hAnsi="宋体" w:cs="宋体" w:hint="eastAsia"/>
          <w:color w:val="000000"/>
          <w:sz w:val="24"/>
          <w:szCs w:val="24"/>
        </w:rPr>
        <w:t>全面建设社会主义现代化国家的基础性、战略性支撑</w:t>
      </w:r>
      <w:r>
        <w:rPr>
          <w:rFonts w:ascii="宋体" w:eastAsia="宋体" w:hAnsi="宋体" w:cs="宋体" w:hint="eastAsia"/>
          <w:sz w:val="24"/>
          <w:szCs w:val="24"/>
        </w:rPr>
        <w:t>的基本问题，全面理解</w:t>
      </w:r>
      <w:r>
        <w:rPr>
          <w:rFonts w:ascii="宋体" w:eastAsia="宋体" w:hAnsi="宋体" w:cs="宋体" w:hint="eastAsia"/>
          <w:color w:val="000000"/>
          <w:sz w:val="24"/>
          <w:szCs w:val="24"/>
        </w:rPr>
        <w:t>人才强国战略</w:t>
      </w:r>
      <w:r>
        <w:rPr>
          <w:rFonts w:ascii="宋体" w:eastAsia="宋体" w:hAnsi="宋体" w:cs="宋体" w:hint="eastAsia"/>
          <w:sz w:val="24"/>
          <w:szCs w:val="24"/>
        </w:rPr>
        <w:t>。</w:t>
      </w:r>
    </w:p>
    <w:p w14:paraId="39337933"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2.通过案例分析，提升学生归纳意识，促进学生深刻把握</w:t>
      </w:r>
      <w:r>
        <w:rPr>
          <w:rFonts w:ascii="宋体" w:eastAsia="宋体" w:hAnsi="宋体" w:cs="宋体" w:hint="eastAsia"/>
          <w:color w:val="000000"/>
          <w:sz w:val="24"/>
          <w:szCs w:val="24"/>
        </w:rPr>
        <w:t>人才强国战略</w:t>
      </w:r>
      <w:r>
        <w:rPr>
          <w:rFonts w:ascii="宋体" w:eastAsia="宋体" w:hAnsi="宋体" w:cs="宋体" w:hint="eastAsia"/>
          <w:sz w:val="24"/>
          <w:szCs w:val="24"/>
        </w:rPr>
        <w:t>；</w:t>
      </w:r>
    </w:p>
    <w:p w14:paraId="06BD7731"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3.通过组织学生探讨，培养学生问题意识，深刻认识</w:t>
      </w:r>
      <w:r>
        <w:rPr>
          <w:rFonts w:ascii="宋体" w:eastAsia="宋体" w:hAnsi="宋体" w:cs="宋体" w:hint="eastAsia"/>
          <w:color w:val="000000"/>
          <w:sz w:val="24"/>
          <w:szCs w:val="24"/>
        </w:rPr>
        <w:t>加快建设科技强国</w:t>
      </w:r>
      <w:r>
        <w:rPr>
          <w:rFonts w:ascii="宋体" w:eastAsia="宋体" w:hAnsi="宋体" w:cs="宋体" w:hint="eastAsia"/>
          <w:sz w:val="24"/>
          <w:szCs w:val="24"/>
        </w:rPr>
        <w:t>。</w:t>
      </w:r>
    </w:p>
    <w:p w14:paraId="2D92483A"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【复习思考】</w:t>
      </w:r>
    </w:p>
    <w:p w14:paraId="5FE9A01A" w14:textId="77777777" w:rsidR="0078124E" w:rsidRDefault="0078124E"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sz w:val="24"/>
          <w:szCs w:val="24"/>
        </w:rPr>
        <w:t xml:space="preserve">    1.如何理解建设教育强国、科技强国、人才强国的内在一致性和相互支撑性?</w:t>
      </w:r>
    </w:p>
    <w:p w14:paraId="20AFE6C8"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2.如何理解教育在国家发展中的基础性先导性全局性地位?</w:t>
      </w:r>
    </w:p>
    <w:p w14:paraId="17353843"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3.如何理解实现高水平科技自立自强的重大意义?</w:t>
      </w:r>
    </w:p>
    <w:p w14:paraId="6FBC1F41"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4.怎样建设人才强国?</w:t>
      </w:r>
    </w:p>
    <w:p w14:paraId="1F07F44E"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第八章 发展全过程人民民主</w:t>
      </w:r>
    </w:p>
    <w:p w14:paraId="0F341933"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【教学目标】</w:t>
      </w:r>
    </w:p>
    <w:p w14:paraId="5CB76A3B"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w:t>
      </w:r>
    </w:p>
    <w:p w14:paraId="037335D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了解中国特色社会主义政治发展道路，理解和掌握新时代中国特色社会主义政治思想的主要内容，把握“人民民主是一种全过程的民主”的创新性判断和实质，明确依照中国特色社会主义制度推进国家治理体系和治理能力现代化，巩固和发展最广泛的爱国统一战线。</w:t>
      </w:r>
    </w:p>
    <w:p w14:paraId="75E491B4"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w:t>
      </w:r>
    </w:p>
    <w:p w14:paraId="5CB68D1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正确认识新时代中国特色社会主义政治思想对推进中国特色社会主义伟大事业的指导意义。</w:t>
      </w:r>
    </w:p>
    <w:p w14:paraId="625092EF"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3.素质/价值/</w:t>
      </w:r>
      <w:proofErr w:type="gramStart"/>
      <w:r>
        <w:rPr>
          <w:rFonts w:ascii="宋体" w:eastAsia="宋体" w:hAnsi="宋体" w:cs="宋体" w:hint="eastAsia"/>
          <w:color w:val="000000"/>
          <w:sz w:val="24"/>
          <w:szCs w:val="24"/>
        </w:rPr>
        <w:t>思政育人</w:t>
      </w:r>
      <w:proofErr w:type="gramEnd"/>
      <w:r>
        <w:rPr>
          <w:rFonts w:ascii="宋体" w:eastAsia="宋体" w:hAnsi="宋体" w:cs="宋体" w:hint="eastAsia"/>
          <w:color w:val="000000"/>
          <w:sz w:val="24"/>
          <w:szCs w:val="24"/>
        </w:rPr>
        <w:t>目标</w:t>
      </w:r>
    </w:p>
    <w:p w14:paraId="4821CF4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通过学习使学生真正把握新时代中国特色社会主义政治思想之于新时期建构中国特色社会主义伟大工程所内蕴之理论价值、现实意义。</w:t>
      </w:r>
    </w:p>
    <w:p w14:paraId="5419218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hAnsi="宋体" w:cs="宋体" w:hint="eastAsia"/>
          <w:color w:val="000000"/>
          <w:sz w:val="24"/>
          <w:szCs w:val="24"/>
        </w:rPr>
        <w:t>【</w:t>
      </w:r>
      <w:r>
        <w:rPr>
          <w:rFonts w:ascii="宋体" w:hAnsi="宋体" w:cs="宋体" w:hint="eastAsia"/>
          <w:b/>
          <w:bCs/>
          <w:color w:val="000000"/>
          <w:sz w:val="24"/>
          <w:szCs w:val="24"/>
        </w:rPr>
        <w:t>学习内容</w:t>
      </w:r>
      <w:r>
        <w:rPr>
          <w:rFonts w:ascii="宋体" w:hAnsi="宋体" w:cs="宋体" w:hint="eastAsia"/>
          <w:color w:val="000000"/>
          <w:sz w:val="24"/>
          <w:szCs w:val="24"/>
        </w:rPr>
        <w:t>】</w:t>
      </w:r>
    </w:p>
    <w:p w14:paraId="6327BF89"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1.坚定中国特色社会主义政治制度自信</w:t>
      </w:r>
    </w:p>
    <w:p w14:paraId="06EBCAE8"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2.全过程人民民主是社会主义民主政治的本质属性</w:t>
      </w:r>
    </w:p>
    <w:p w14:paraId="1ED3DB7C"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3.健全人民当家作主的制度体系</w:t>
      </w:r>
    </w:p>
    <w:p w14:paraId="4097D62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4.巩固和发展新时代爱国统一战线</w:t>
      </w:r>
    </w:p>
    <w:p w14:paraId="1C0043AF"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【教学重点】</w:t>
      </w:r>
    </w:p>
    <w:p w14:paraId="5131410D" w14:textId="77777777" w:rsidR="0078124E" w:rsidRDefault="0078124E" w:rsidP="0078124E">
      <w:pPr>
        <w:adjustRightInd w:val="0"/>
        <w:snapToGrid w:val="0"/>
        <w:spacing w:line="440" w:lineRule="exact"/>
        <w:ind w:leftChars="200" w:left="420"/>
        <w:rPr>
          <w:rFonts w:ascii="宋体" w:eastAsia="宋体" w:hAnsi="宋体" w:cs="宋体"/>
          <w:color w:val="000000"/>
          <w:sz w:val="24"/>
          <w:szCs w:val="24"/>
        </w:rPr>
      </w:pPr>
      <w:r>
        <w:rPr>
          <w:rFonts w:ascii="宋体" w:eastAsia="宋体" w:hAnsi="宋体" w:cs="宋体" w:hint="eastAsia"/>
          <w:color w:val="000000"/>
          <w:sz w:val="24"/>
          <w:szCs w:val="24"/>
        </w:rPr>
        <w:t>1.全过程人民民主是社会主义民主政治的本质属性</w:t>
      </w:r>
    </w:p>
    <w:p w14:paraId="69997D91" w14:textId="77777777" w:rsidR="0078124E" w:rsidRDefault="0078124E" w:rsidP="0078124E">
      <w:pPr>
        <w:adjustRightInd w:val="0"/>
        <w:snapToGrid w:val="0"/>
        <w:spacing w:line="440" w:lineRule="exact"/>
        <w:ind w:leftChars="200" w:left="420"/>
        <w:rPr>
          <w:rFonts w:ascii="宋体" w:eastAsia="宋体" w:hAnsi="宋体" w:cs="宋体"/>
          <w:color w:val="000000"/>
          <w:sz w:val="24"/>
          <w:szCs w:val="24"/>
        </w:rPr>
      </w:pPr>
      <w:r>
        <w:rPr>
          <w:rFonts w:ascii="宋体" w:eastAsia="宋体" w:hAnsi="宋体" w:cs="宋体" w:hint="eastAsia"/>
          <w:color w:val="000000"/>
          <w:sz w:val="24"/>
          <w:szCs w:val="24"/>
        </w:rPr>
        <w:t>2.全过程人民民主的鲜明特征</w:t>
      </w:r>
    </w:p>
    <w:p w14:paraId="40730874" w14:textId="77777777" w:rsidR="0078124E" w:rsidRDefault="0078124E" w:rsidP="0078124E">
      <w:pPr>
        <w:adjustRightInd w:val="0"/>
        <w:snapToGrid w:val="0"/>
        <w:spacing w:line="440" w:lineRule="exact"/>
        <w:ind w:leftChars="200" w:left="420"/>
        <w:rPr>
          <w:rFonts w:ascii="宋体" w:eastAsia="宋体" w:hAnsi="宋体" w:cs="宋体"/>
          <w:color w:val="000000"/>
          <w:sz w:val="24"/>
          <w:szCs w:val="24"/>
        </w:rPr>
      </w:pPr>
      <w:r>
        <w:rPr>
          <w:rFonts w:ascii="宋体" w:eastAsia="宋体" w:hAnsi="宋体" w:cs="宋体" w:hint="eastAsia"/>
          <w:color w:val="000000"/>
          <w:sz w:val="24"/>
          <w:szCs w:val="24"/>
        </w:rPr>
        <w:t>3.新时代巩固和发展最广泛的爱国统一战线的重要性和必要性</w:t>
      </w:r>
    </w:p>
    <w:p w14:paraId="18182FBF"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hAnsi="宋体" w:cs="宋体" w:hint="eastAsia"/>
          <w:b/>
          <w:bCs/>
          <w:color w:val="000000"/>
          <w:sz w:val="24"/>
          <w:szCs w:val="24"/>
        </w:rPr>
        <w:t>【</w:t>
      </w:r>
      <w:r>
        <w:rPr>
          <w:rFonts w:ascii="宋体" w:eastAsia="宋体" w:hAnsi="宋体" w:cs="宋体" w:hint="eastAsia"/>
          <w:b/>
          <w:bCs/>
          <w:color w:val="000000"/>
          <w:sz w:val="24"/>
          <w:szCs w:val="24"/>
        </w:rPr>
        <w:t>教学难点</w:t>
      </w:r>
      <w:r>
        <w:rPr>
          <w:rFonts w:ascii="宋体" w:hAnsi="宋体" w:cs="宋体" w:hint="eastAsia"/>
          <w:b/>
          <w:bCs/>
          <w:color w:val="000000"/>
          <w:sz w:val="24"/>
          <w:szCs w:val="24"/>
        </w:rPr>
        <w:t>】</w:t>
      </w:r>
    </w:p>
    <w:p w14:paraId="72EC718C"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1.全过程人民民主的鲜明特征</w:t>
      </w:r>
    </w:p>
    <w:p w14:paraId="73CD0CC8"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【教学方法】</w:t>
      </w:r>
    </w:p>
    <w:p w14:paraId="1C70377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1.通过教师系统讲授和学生自主探究相结合，</w:t>
      </w:r>
      <w:proofErr w:type="gramStart"/>
      <w:r>
        <w:rPr>
          <w:rFonts w:ascii="宋体" w:eastAsia="宋体" w:hAnsi="宋体" w:cs="宋体" w:hint="eastAsia"/>
          <w:color w:val="000000"/>
          <w:sz w:val="24"/>
          <w:szCs w:val="24"/>
        </w:rPr>
        <w:t>阐明全</w:t>
      </w:r>
      <w:proofErr w:type="gramEnd"/>
      <w:r>
        <w:rPr>
          <w:rFonts w:ascii="宋体" w:eastAsia="宋体" w:hAnsi="宋体" w:cs="宋体" w:hint="eastAsia"/>
          <w:color w:val="000000"/>
          <w:sz w:val="24"/>
          <w:szCs w:val="24"/>
        </w:rPr>
        <w:t>过程人民民主的鲜明特征；</w:t>
      </w:r>
    </w:p>
    <w:p w14:paraId="180D805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2.通过案例分析，强调理论与实践相结合，促进学生知识整合，培养学生的反思能力；</w:t>
      </w:r>
    </w:p>
    <w:p w14:paraId="5902545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3.通过探究性学习研讨，培育学生问题意识，辩证</w:t>
      </w:r>
      <w:proofErr w:type="gramStart"/>
      <w:r>
        <w:rPr>
          <w:rFonts w:ascii="宋体" w:eastAsia="宋体" w:hAnsi="宋体" w:cs="宋体" w:hint="eastAsia"/>
          <w:color w:val="000000"/>
          <w:sz w:val="24"/>
          <w:szCs w:val="24"/>
        </w:rPr>
        <w:t>认识全</w:t>
      </w:r>
      <w:proofErr w:type="gramEnd"/>
      <w:r>
        <w:rPr>
          <w:rFonts w:ascii="宋体" w:eastAsia="宋体" w:hAnsi="宋体" w:cs="宋体" w:hint="eastAsia"/>
          <w:color w:val="000000"/>
          <w:sz w:val="24"/>
          <w:szCs w:val="24"/>
        </w:rPr>
        <w:t>过程人民民主。</w:t>
      </w:r>
    </w:p>
    <w:p w14:paraId="496A5E4E"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【复习思考】</w:t>
      </w:r>
    </w:p>
    <w:p w14:paraId="10B0A1D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1.为什么我国不能搬来一座政治制度上的“飞来峰” ？</w:t>
      </w:r>
    </w:p>
    <w:p w14:paraId="633E78B8"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2.怎样理解全过程人民民主是最广泛、最真实、最管用的民主？</w:t>
      </w:r>
    </w:p>
    <w:p w14:paraId="6EAA181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3.如何健全人民当家作主的制度体系？</w:t>
      </w:r>
    </w:p>
    <w:p w14:paraId="0E6AFDC1"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eastAsia="宋体" w:hAnsi="宋体" w:cs="宋体" w:hint="eastAsia"/>
          <w:color w:val="000000"/>
          <w:sz w:val="24"/>
          <w:szCs w:val="24"/>
        </w:rPr>
        <w:t>4.如何理解统一战线是凝聚人心、汇聚力量的强大法宝？</w:t>
      </w:r>
    </w:p>
    <w:p w14:paraId="39958F09"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第九章 全面依法治国</w:t>
      </w:r>
    </w:p>
    <w:p w14:paraId="399D0F68"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【教学目标】</w:t>
      </w:r>
    </w:p>
    <w:p w14:paraId="5964D90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w:t>
      </w:r>
    </w:p>
    <w:p w14:paraId="0CE6CFF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准确地理解习近平法治思想的形成过程、核心要义；掌握习近平法治思想的理论体系，包括其根本立场、根本保证、正确方向和重要环节；认识习近平法治思想的历史地位和重大意义。</w:t>
      </w:r>
    </w:p>
    <w:p w14:paraId="0DC5ECB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w:t>
      </w:r>
    </w:p>
    <w:p w14:paraId="7D16C6C0"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切实领会习近平法治思想的主要开创性内容及其当代意义，坚持党的领导、坚持中国特色社会主义制度、贯彻中国特色社会主义法治理论，坚持</w:t>
      </w:r>
      <w:proofErr w:type="gramStart"/>
      <w:r>
        <w:rPr>
          <w:rFonts w:ascii="宋体" w:eastAsia="宋体" w:hAnsi="宋体" w:cs="宋体" w:hint="eastAsia"/>
          <w:color w:val="000000"/>
          <w:sz w:val="24"/>
          <w:szCs w:val="24"/>
        </w:rPr>
        <w:t>法治法治</w:t>
      </w:r>
      <w:proofErr w:type="gramEnd"/>
      <w:r>
        <w:rPr>
          <w:rFonts w:ascii="宋体" w:eastAsia="宋体" w:hAnsi="宋体" w:cs="宋体" w:hint="eastAsia"/>
          <w:color w:val="000000"/>
          <w:sz w:val="24"/>
          <w:szCs w:val="24"/>
        </w:rPr>
        <w:t>十六字方针。</w:t>
      </w:r>
    </w:p>
    <w:p w14:paraId="6DD39C4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3.素质/价值/</w:t>
      </w:r>
      <w:proofErr w:type="gramStart"/>
      <w:r>
        <w:rPr>
          <w:rFonts w:ascii="宋体" w:eastAsia="宋体" w:hAnsi="宋体" w:cs="宋体" w:hint="eastAsia"/>
          <w:color w:val="000000"/>
          <w:sz w:val="24"/>
          <w:szCs w:val="24"/>
        </w:rPr>
        <w:t>思政育人</w:t>
      </w:r>
      <w:proofErr w:type="gramEnd"/>
      <w:r>
        <w:rPr>
          <w:rFonts w:ascii="宋体" w:eastAsia="宋体" w:hAnsi="宋体" w:cs="宋体" w:hint="eastAsia"/>
          <w:color w:val="000000"/>
          <w:sz w:val="24"/>
          <w:szCs w:val="24"/>
        </w:rPr>
        <w:t>目标</w:t>
      </w:r>
    </w:p>
    <w:p w14:paraId="6A1F1241"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增强学生对习近平法治思想的认同，提升法治思维，坚定走中国特色社会主义法治道路的决心和信心。</w:t>
      </w:r>
    </w:p>
    <w:p w14:paraId="450C25F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hAnsi="宋体" w:cs="宋体" w:hint="eastAsia"/>
          <w:color w:val="000000"/>
          <w:sz w:val="24"/>
          <w:szCs w:val="24"/>
        </w:rPr>
        <w:t>【</w:t>
      </w:r>
      <w:r>
        <w:rPr>
          <w:rFonts w:ascii="宋体" w:hAnsi="宋体" w:cs="宋体" w:hint="eastAsia"/>
          <w:b/>
          <w:bCs/>
          <w:color w:val="000000"/>
          <w:sz w:val="24"/>
          <w:szCs w:val="24"/>
        </w:rPr>
        <w:t>学习内容</w:t>
      </w:r>
      <w:r>
        <w:rPr>
          <w:rFonts w:ascii="宋体" w:hAnsi="宋体" w:cs="宋体" w:hint="eastAsia"/>
          <w:color w:val="000000"/>
          <w:sz w:val="24"/>
          <w:szCs w:val="24"/>
        </w:rPr>
        <w:t>】</w:t>
      </w:r>
    </w:p>
    <w:p w14:paraId="7E18A90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1.坚持中国特色社会主义法治道路</w:t>
      </w:r>
    </w:p>
    <w:p w14:paraId="131A466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2.建设中国特色社会主义法治体系</w:t>
      </w:r>
    </w:p>
    <w:p w14:paraId="720B4F1B"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3.加快建设法治中国</w:t>
      </w:r>
    </w:p>
    <w:p w14:paraId="36E6A46A"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【教学重点】</w:t>
      </w:r>
    </w:p>
    <w:p w14:paraId="493E35AC"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1.坚持中国特色社会主义法治道路</w:t>
      </w:r>
    </w:p>
    <w:p w14:paraId="729DE60B"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2.建设中国特色社会主义法治体系</w:t>
      </w:r>
    </w:p>
    <w:p w14:paraId="2E8F16AE"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eastAsia="宋体" w:hAnsi="宋体" w:cs="宋体" w:hint="eastAsia"/>
          <w:color w:val="000000"/>
          <w:sz w:val="24"/>
          <w:szCs w:val="24"/>
        </w:rPr>
        <w:t>3.加快建设法治中国</w:t>
      </w:r>
    </w:p>
    <w:p w14:paraId="4265CD3B"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hAnsi="宋体" w:cs="宋体" w:hint="eastAsia"/>
          <w:b/>
          <w:bCs/>
          <w:color w:val="000000"/>
          <w:sz w:val="24"/>
          <w:szCs w:val="24"/>
        </w:rPr>
        <w:t>【</w:t>
      </w:r>
      <w:r>
        <w:rPr>
          <w:rFonts w:ascii="宋体" w:eastAsia="宋体" w:hAnsi="宋体" w:cs="宋体" w:hint="eastAsia"/>
          <w:b/>
          <w:bCs/>
          <w:color w:val="000000"/>
          <w:sz w:val="24"/>
          <w:szCs w:val="24"/>
        </w:rPr>
        <w:t>教学难点</w:t>
      </w:r>
      <w:r>
        <w:rPr>
          <w:rFonts w:ascii="宋体" w:hAnsi="宋体" w:cs="宋体" w:hint="eastAsia"/>
          <w:b/>
          <w:bCs/>
          <w:color w:val="000000"/>
          <w:sz w:val="24"/>
          <w:szCs w:val="24"/>
        </w:rPr>
        <w:t>】</w:t>
      </w:r>
    </w:p>
    <w:p w14:paraId="567F16DD" w14:textId="77777777" w:rsidR="0078124E" w:rsidRDefault="0078124E" w:rsidP="0078124E">
      <w:pPr>
        <w:numPr>
          <w:ilvl w:val="0"/>
          <w:numId w:val="2"/>
        </w:num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坚持中国特色社会主义法治道路</w:t>
      </w:r>
    </w:p>
    <w:p w14:paraId="649D1298"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【教学方法】</w:t>
      </w:r>
    </w:p>
    <w:p w14:paraId="78DF4A2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1.通过教师系统讲授和学生自主探究相结合，阐明中国特色社会主义法治道路的鲜明特征；</w:t>
      </w:r>
    </w:p>
    <w:p w14:paraId="292C9A74"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2.通过案例分析，强调理论与实践相结合，促进学生知识整合，培养学生的反思能力；</w:t>
      </w:r>
    </w:p>
    <w:p w14:paraId="2F2E175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3.通过探究性学习研讨，培育学生问题意识，辩证认识中国特色社会主义法治与西方法治的本质区别。</w:t>
      </w:r>
    </w:p>
    <w:p w14:paraId="1642AEEA"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【复习思考】</w:t>
      </w:r>
    </w:p>
    <w:p w14:paraId="173D0AF8" w14:textId="77777777" w:rsidR="0078124E" w:rsidRDefault="0078124E" w:rsidP="0078124E">
      <w:pPr>
        <w:adjustRightInd w:val="0"/>
        <w:snapToGrid w:val="0"/>
        <w:spacing w:line="440" w:lineRule="exact"/>
        <w:ind w:leftChars="200" w:left="420"/>
        <w:rPr>
          <w:rFonts w:ascii="宋体" w:eastAsia="宋体" w:hAnsi="宋体" w:cs="宋体"/>
          <w:color w:val="000000"/>
          <w:sz w:val="24"/>
          <w:szCs w:val="24"/>
        </w:rPr>
      </w:pPr>
      <w:r>
        <w:rPr>
          <w:rFonts w:ascii="宋体" w:eastAsia="宋体" w:hAnsi="宋体" w:cs="宋体" w:hint="eastAsia"/>
          <w:color w:val="000000"/>
          <w:sz w:val="24"/>
          <w:szCs w:val="24"/>
        </w:rPr>
        <w:t>1.为什么说全面依法治国是国家治理的一场深刻革命？</w:t>
      </w:r>
    </w:p>
    <w:p w14:paraId="1BDA9C45" w14:textId="77777777" w:rsidR="0078124E" w:rsidRDefault="0078124E" w:rsidP="0078124E">
      <w:pPr>
        <w:adjustRightInd w:val="0"/>
        <w:snapToGrid w:val="0"/>
        <w:spacing w:line="440" w:lineRule="exact"/>
        <w:ind w:leftChars="200" w:left="420"/>
        <w:rPr>
          <w:rFonts w:ascii="宋体" w:eastAsia="宋体" w:hAnsi="宋体" w:cs="宋体"/>
          <w:color w:val="000000"/>
          <w:sz w:val="24"/>
          <w:szCs w:val="24"/>
        </w:rPr>
      </w:pPr>
      <w:r>
        <w:rPr>
          <w:rFonts w:ascii="宋体" w:eastAsia="宋体" w:hAnsi="宋体" w:cs="宋体" w:hint="eastAsia"/>
          <w:color w:val="000000"/>
          <w:sz w:val="24"/>
          <w:szCs w:val="24"/>
        </w:rPr>
        <w:t>2.如何理解中国特色社会主义法治道路是全面依法治国的唯一正确道路?</w:t>
      </w:r>
    </w:p>
    <w:p w14:paraId="2CA9C42E" w14:textId="77777777" w:rsidR="0078124E" w:rsidRDefault="0078124E" w:rsidP="0078124E">
      <w:pPr>
        <w:adjustRightInd w:val="0"/>
        <w:snapToGrid w:val="0"/>
        <w:spacing w:line="440" w:lineRule="exact"/>
        <w:ind w:leftChars="200" w:left="420"/>
        <w:rPr>
          <w:rFonts w:ascii="宋体" w:eastAsia="宋体" w:hAnsi="宋体" w:cs="宋体"/>
          <w:color w:val="000000"/>
          <w:sz w:val="24"/>
          <w:szCs w:val="24"/>
        </w:rPr>
      </w:pPr>
      <w:r>
        <w:rPr>
          <w:rFonts w:ascii="宋体" w:eastAsia="宋体" w:hAnsi="宋体" w:cs="宋体" w:hint="eastAsia"/>
          <w:color w:val="000000"/>
          <w:sz w:val="24"/>
          <w:szCs w:val="24"/>
        </w:rPr>
        <w:t>3.如何建设和完善中国特色社会主义法治体系?</w:t>
      </w:r>
    </w:p>
    <w:p w14:paraId="07D7ECA2" w14:textId="77777777" w:rsidR="0078124E" w:rsidRDefault="0078124E" w:rsidP="0078124E">
      <w:pPr>
        <w:adjustRightInd w:val="0"/>
        <w:snapToGrid w:val="0"/>
        <w:spacing w:line="440" w:lineRule="exact"/>
        <w:ind w:leftChars="200" w:left="420"/>
        <w:rPr>
          <w:rFonts w:ascii="宋体" w:eastAsia="宋体" w:hAnsi="宋体" w:cs="宋体"/>
          <w:color w:val="000000"/>
          <w:sz w:val="24"/>
          <w:szCs w:val="24"/>
        </w:rPr>
      </w:pPr>
      <w:r>
        <w:rPr>
          <w:rFonts w:ascii="宋体" w:eastAsia="宋体" w:hAnsi="宋体" w:cs="宋体" w:hint="eastAsia"/>
          <w:color w:val="000000"/>
          <w:sz w:val="24"/>
          <w:szCs w:val="24"/>
        </w:rPr>
        <w:t>4.怎样建设更高水平的法治中国?</w:t>
      </w:r>
    </w:p>
    <w:p w14:paraId="019DC71E"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第十章  建设社会主义文化强国</w:t>
      </w:r>
    </w:p>
    <w:p w14:paraId="1CEC6939"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【教学目标】</w:t>
      </w:r>
    </w:p>
    <w:p w14:paraId="348D605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w:t>
      </w:r>
    </w:p>
    <w:p w14:paraId="2EB5A42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了解新时代中国特色社会主义文化思想的主要内容，把握新时代中国特色社会主义文化理论；掌握中国特色的文化制度，理解建设具有强大凝聚力和</w:t>
      </w:r>
      <w:proofErr w:type="gramStart"/>
      <w:r>
        <w:rPr>
          <w:rFonts w:ascii="宋体" w:eastAsia="宋体" w:hAnsi="宋体" w:cs="宋体" w:hint="eastAsia"/>
          <w:color w:val="000000"/>
          <w:sz w:val="24"/>
          <w:szCs w:val="24"/>
        </w:rPr>
        <w:t>引领力</w:t>
      </w:r>
      <w:proofErr w:type="gramEnd"/>
      <w:r>
        <w:rPr>
          <w:rFonts w:ascii="宋体" w:eastAsia="宋体" w:hAnsi="宋体" w:cs="宋体" w:hint="eastAsia"/>
          <w:color w:val="000000"/>
          <w:sz w:val="24"/>
          <w:szCs w:val="24"/>
        </w:rPr>
        <w:t>的社会主义意识形态的目标要求；掌握建设社会主义文化强国的要求。</w:t>
      </w:r>
    </w:p>
    <w:p w14:paraId="0967A41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w:t>
      </w:r>
    </w:p>
    <w:p w14:paraId="680E7A0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全面、客观地认识新时代中国特色社会主义文化思想的主要内容，正确认识文化制度、意识形态、社会主义核心价值观、中华优秀传统文化和社会主义文化强国建设的关系，进一步培养学生独立思考和科学认识、分析文化现象的能力。</w:t>
      </w:r>
    </w:p>
    <w:p w14:paraId="0E6C502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3.素质/价值/</w:t>
      </w:r>
      <w:proofErr w:type="gramStart"/>
      <w:r>
        <w:rPr>
          <w:rFonts w:ascii="宋体" w:eastAsia="宋体" w:hAnsi="宋体" w:cs="宋体" w:hint="eastAsia"/>
          <w:color w:val="000000"/>
          <w:sz w:val="24"/>
          <w:szCs w:val="24"/>
        </w:rPr>
        <w:t>思政育人</w:t>
      </w:r>
      <w:proofErr w:type="gramEnd"/>
      <w:r>
        <w:rPr>
          <w:rFonts w:ascii="宋体" w:eastAsia="宋体" w:hAnsi="宋体" w:cs="宋体" w:hint="eastAsia"/>
          <w:color w:val="000000"/>
          <w:sz w:val="24"/>
          <w:szCs w:val="24"/>
        </w:rPr>
        <w:t>目标</w:t>
      </w:r>
    </w:p>
    <w:p w14:paraId="6C4C803F"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树立中国特色社会主义文化自信，确立科学的世界观、人生观和价值观，自觉承担起建设社会主义文化强国的历史任务。</w:t>
      </w:r>
    </w:p>
    <w:p w14:paraId="4DE0F00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hAnsi="宋体" w:cs="宋体" w:hint="eastAsia"/>
          <w:color w:val="000000"/>
          <w:sz w:val="24"/>
          <w:szCs w:val="24"/>
        </w:rPr>
        <w:t>【</w:t>
      </w:r>
      <w:r>
        <w:rPr>
          <w:rFonts w:ascii="宋体" w:hAnsi="宋体" w:cs="宋体" w:hint="eastAsia"/>
          <w:b/>
          <w:bCs/>
          <w:color w:val="000000"/>
          <w:sz w:val="24"/>
          <w:szCs w:val="24"/>
        </w:rPr>
        <w:t>学习内容</w:t>
      </w:r>
      <w:r>
        <w:rPr>
          <w:rFonts w:ascii="宋体" w:hAnsi="宋体" w:cs="宋体" w:hint="eastAsia"/>
          <w:color w:val="000000"/>
          <w:sz w:val="24"/>
          <w:szCs w:val="24"/>
        </w:rPr>
        <w:t>】</w:t>
      </w:r>
    </w:p>
    <w:p w14:paraId="496592E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1.文化是民族生存和发展的重要力量</w:t>
      </w:r>
    </w:p>
    <w:p w14:paraId="58C1E85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2.建设具有强大凝聚力和</w:t>
      </w:r>
      <w:proofErr w:type="gramStart"/>
      <w:r>
        <w:rPr>
          <w:rFonts w:ascii="宋体" w:eastAsia="宋体" w:hAnsi="宋体" w:cs="宋体" w:hint="eastAsia"/>
          <w:color w:val="000000"/>
          <w:sz w:val="24"/>
          <w:szCs w:val="24"/>
        </w:rPr>
        <w:t>引领力</w:t>
      </w:r>
      <w:proofErr w:type="gramEnd"/>
      <w:r>
        <w:rPr>
          <w:rFonts w:ascii="宋体" w:eastAsia="宋体" w:hAnsi="宋体" w:cs="宋体" w:hint="eastAsia"/>
          <w:color w:val="000000"/>
          <w:sz w:val="24"/>
          <w:szCs w:val="24"/>
        </w:rPr>
        <w:t>的社会主义意识形态</w:t>
      </w:r>
    </w:p>
    <w:p w14:paraId="21FAF01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3.以社会主义核心价值观引领文化建设</w:t>
      </w:r>
    </w:p>
    <w:p w14:paraId="32D9EC83"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eastAsia="宋体" w:hAnsi="宋体" w:cs="宋体" w:hint="eastAsia"/>
          <w:color w:val="000000"/>
          <w:sz w:val="24"/>
          <w:szCs w:val="24"/>
        </w:rPr>
        <w:t>4.铸就社会主义文化新辉煌</w:t>
      </w:r>
    </w:p>
    <w:p w14:paraId="6D5339F9"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【教学重点】</w:t>
      </w:r>
    </w:p>
    <w:p w14:paraId="2CE4043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1.建设具有强大凝聚力和</w:t>
      </w:r>
      <w:proofErr w:type="gramStart"/>
      <w:r>
        <w:rPr>
          <w:rFonts w:ascii="宋体" w:eastAsia="宋体" w:hAnsi="宋体" w:cs="宋体" w:hint="eastAsia"/>
          <w:color w:val="000000"/>
          <w:sz w:val="24"/>
          <w:szCs w:val="24"/>
        </w:rPr>
        <w:t>引领力</w:t>
      </w:r>
      <w:proofErr w:type="gramEnd"/>
      <w:r>
        <w:rPr>
          <w:rFonts w:ascii="宋体" w:eastAsia="宋体" w:hAnsi="宋体" w:cs="宋体" w:hint="eastAsia"/>
          <w:color w:val="000000"/>
          <w:sz w:val="24"/>
          <w:szCs w:val="24"/>
        </w:rPr>
        <w:t>的社会主义意识形态</w:t>
      </w:r>
    </w:p>
    <w:p w14:paraId="4283588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2.培育和</w:t>
      </w:r>
      <w:proofErr w:type="gramStart"/>
      <w:r>
        <w:rPr>
          <w:rFonts w:ascii="宋体" w:eastAsia="宋体" w:hAnsi="宋体" w:cs="宋体" w:hint="eastAsia"/>
          <w:color w:val="000000"/>
          <w:sz w:val="24"/>
          <w:szCs w:val="24"/>
        </w:rPr>
        <w:t>践行</w:t>
      </w:r>
      <w:proofErr w:type="gramEnd"/>
      <w:r>
        <w:rPr>
          <w:rFonts w:ascii="宋体" w:eastAsia="宋体" w:hAnsi="宋体" w:cs="宋体" w:hint="eastAsia"/>
          <w:color w:val="000000"/>
          <w:sz w:val="24"/>
          <w:szCs w:val="24"/>
        </w:rPr>
        <w:t>社会主义核心价值观</w:t>
      </w:r>
    </w:p>
    <w:p w14:paraId="43E7E7A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3.推动中华优秀传统文化创造性转化、创新性发展</w:t>
      </w:r>
    </w:p>
    <w:p w14:paraId="32AE6C0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4.坚持中国特色社会主义文化发展道路，建设社会主义文化强国</w:t>
      </w:r>
    </w:p>
    <w:p w14:paraId="6873F0A8"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hAnsi="宋体" w:cs="宋体" w:hint="eastAsia"/>
          <w:b/>
          <w:bCs/>
          <w:color w:val="000000"/>
          <w:sz w:val="24"/>
          <w:szCs w:val="24"/>
        </w:rPr>
        <w:t>【</w:t>
      </w:r>
      <w:r>
        <w:rPr>
          <w:rFonts w:ascii="宋体" w:eastAsia="宋体" w:hAnsi="宋体" w:cs="宋体" w:hint="eastAsia"/>
          <w:b/>
          <w:bCs/>
          <w:color w:val="000000"/>
          <w:sz w:val="24"/>
          <w:szCs w:val="24"/>
        </w:rPr>
        <w:t>教学难点</w:t>
      </w:r>
      <w:r>
        <w:rPr>
          <w:rFonts w:ascii="宋体" w:hAnsi="宋体" w:cs="宋体" w:hint="eastAsia"/>
          <w:b/>
          <w:bCs/>
          <w:color w:val="000000"/>
          <w:sz w:val="24"/>
          <w:szCs w:val="24"/>
        </w:rPr>
        <w:t>】</w:t>
      </w:r>
    </w:p>
    <w:p w14:paraId="42E4573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1.坚定文化自信，推动中华优秀传统文化创造性转化、创新性发展</w:t>
      </w:r>
    </w:p>
    <w:p w14:paraId="4CF3A2D0"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2.建设具有强大凝聚力和</w:t>
      </w:r>
      <w:proofErr w:type="gramStart"/>
      <w:r>
        <w:rPr>
          <w:rFonts w:ascii="宋体" w:eastAsia="宋体" w:hAnsi="宋体" w:cs="宋体" w:hint="eastAsia"/>
          <w:color w:val="000000"/>
          <w:sz w:val="24"/>
          <w:szCs w:val="24"/>
        </w:rPr>
        <w:t>引领力</w:t>
      </w:r>
      <w:proofErr w:type="gramEnd"/>
      <w:r>
        <w:rPr>
          <w:rFonts w:ascii="宋体" w:eastAsia="宋体" w:hAnsi="宋体" w:cs="宋体" w:hint="eastAsia"/>
          <w:color w:val="000000"/>
          <w:sz w:val="24"/>
          <w:szCs w:val="24"/>
        </w:rPr>
        <w:t>的社会主义意识形态</w:t>
      </w:r>
    </w:p>
    <w:p w14:paraId="39B9F5BB"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【教学方法】</w:t>
      </w:r>
    </w:p>
    <w:p w14:paraId="2E14DD8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1.通过教师系统讲授和学生自主探究相结合，培养学生理论思维能力，引导学生准确理解社会主义意识形态；</w:t>
      </w:r>
    </w:p>
    <w:p w14:paraId="71844329"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2.通过案例分析，强调理论与实践相结合，促进学生知识整合，培养学生的反思能力；</w:t>
      </w:r>
    </w:p>
    <w:p w14:paraId="7A116D08"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3.通过小组合作学习，发展学生的合作能力；</w:t>
      </w:r>
    </w:p>
    <w:p w14:paraId="0990D6E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4.通过课堂汇报和课堂辩论，强化知识应用意识，发展学生的教学能力和反思能力；</w:t>
      </w:r>
    </w:p>
    <w:p w14:paraId="14910D4C"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lastRenderedPageBreak/>
        <w:t>【复习思考】</w:t>
      </w:r>
    </w:p>
    <w:p w14:paraId="1BB7EAF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1.为什么说文化自信是一个国家、一个民族发展中最基本、最深沉、最持久的力量?</w:t>
      </w:r>
    </w:p>
    <w:p w14:paraId="79BE9F3C"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2.如何理解意识形态工作是为国家立心、为</w:t>
      </w:r>
      <w:proofErr w:type="gramStart"/>
      <w:r>
        <w:rPr>
          <w:rFonts w:ascii="宋体" w:eastAsia="宋体" w:hAnsi="宋体" w:cs="宋体" w:hint="eastAsia"/>
          <w:color w:val="000000"/>
          <w:sz w:val="24"/>
          <w:szCs w:val="24"/>
        </w:rPr>
        <w:t>民族立魂的</w:t>
      </w:r>
      <w:proofErr w:type="gramEnd"/>
      <w:r>
        <w:rPr>
          <w:rFonts w:ascii="宋体" w:eastAsia="宋体" w:hAnsi="宋体" w:cs="宋体" w:hint="eastAsia"/>
          <w:color w:val="000000"/>
          <w:sz w:val="24"/>
          <w:szCs w:val="24"/>
        </w:rPr>
        <w:t>工作?</w:t>
      </w:r>
    </w:p>
    <w:p w14:paraId="20EFAAE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3.如何理解以伟大建党精神为源头的中国共产党人精神谱系是中华民族的宝贵精神财富?</w:t>
      </w:r>
    </w:p>
    <w:p w14:paraId="257BF4D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4.如何推动中华优秀传统文化创造性转化、创新性发展?</w:t>
      </w:r>
    </w:p>
    <w:p w14:paraId="1F6C1021"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eastAsia="宋体" w:hAnsi="宋体" w:cs="宋体" w:hint="eastAsia"/>
          <w:color w:val="000000"/>
          <w:sz w:val="24"/>
          <w:szCs w:val="24"/>
        </w:rPr>
        <w:t>5.为什么要像爱惜自己的生命一样保护好文化遗产?</w:t>
      </w:r>
    </w:p>
    <w:p w14:paraId="0FB394CA"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第十一章 以保障和改善民生为重点加强社会建设</w:t>
      </w:r>
    </w:p>
    <w:p w14:paraId="775FB1D7"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【教学目标】</w:t>
      </w:r>
    </w:p>
    <w:p w14:paraId="2D36889B"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w:t>
      </w:r>
    </w:p>
    <w:p w14:paraId="202373C2"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了解理解新时代中国特色社会主义社会建设思想的主要内容和核心要义；掌握高质量推进以民生为重点的社会建设的内涵和重大举措；掌握推进中国特色社会主义社会治理格局的目标及要求。</w:t>
      </w:r>
    </w:p>
    <w:p w14:paraId="0B1C9DF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w:t>
      </w:r>
    </w:p>
    <w:p w14:paraId="63E4C0F4"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学会运用唯物辩证方法，正确认识新时代中国特色社会主义建设实践中的相关问题，正确</w:t>
      </w:r>
      <w:proofErr w:type="gramStart"/>
      <w:r>
        <w:rPr>
          <w:rFonts w:ascii="宋体" w:eastAsia="宋体" w:hAnsi="宋体" w:cs="宋体" w:hint="eastAsia"/>
          <w:color w:val="000000"/>
          <w:sz w:val="24"/>
          <w:szCs w:val="24"/>
        </w:rPr>
        <w:t>研</w:t>
      </w:r>
      <w:proofErr w:type="gramEnd"/>
      <w:r>
        <w:rPr>
          <w:rFonts w:ascii="宋体" w:eastAsia="宋体" w:hAnsi="宋体" w:cs="宋体" w:hint="eastAsia"/>
          <w:color w:val="000000"/>
          <w:sz w:val="24"/>
          <w:szCs w:val="24"/>
        </w:rPr>
        <w:t>判中国特色社会主义治理格局中的各种矛盾和现象，加强和创新社会治理。</w:t>
      </w:r>
    </w:p>
    <w:p w14:paraId="59CB41A2"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3.素质/价值/</w:t>
      </w:r>
      <w:proofErr w:type="gramStart"/>
      <w:r>
        <w:rPr>
          <w:rFonts w:ascii="宋体" w:eastAsia="宋体" w:hAnsi="宋体" w:cs="宋体" w:hint="eastAsia"/>
          <w:color w:val="000000"/>
          <w:sz w:val="24"/>
          <w:szCs w:val="24"/>
        </w:rPr>
        <w:t>思政育人</w:t>
      </w:r>
      <w:proofErr w:type="gramEnd"/>
      <w:r>
        <w:rPr>
          <w:rFonts w:ascii="宋体" w:eastAsia="宋体" w:hAnsi="宋体" w:cs="宋体" w:hint="eastAsia"/>
          <w:color w:val="000000"/>
          <w:sz w:val="24"/>
          <w:szCs w:val="24"/>
        </w:rPr>
        <w:t>目标</w:t>
      </w:r>
    </w:p>
    <w:p w14:paraId="65A1BA64"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把握新时代中国特色社会主义社会建设各方面相互联系、有机统一，致力推进社会治理现代化、打造共建共治共享的社会治理格局。</w:t>
      </w:r>
    </w:p>
    <w:p w14:paraId="087886AB" w14:textId="77777777" w:rsidR="0078124E" w:rsidRDefault="0078124E" w:rsidP="0078124E">
      <w:pPr>
        <w:adjustRightInd w:val="0"/>
        <w:snapToGrid w:val="0"/>
        <w:spacing w:line="440" w:lineRule="exact"/>
        <w:ind w:firstLineChars="200" w:firstLine="480"/>
        <w:rPr>
          <w:rFonts w:ascii="宋体" w:hAnsi="宋体" w:cs="宋体"/>
          <w:b/>
          <w:bCs/>
          <w:color w:val="000000"/>
          <w:sz w:val="24"/>
          <w:szCs w:val="24"/>
        </w:rPr>
      </w:pPr>
      <w:r>
        <w:rPr>
          <w:rFonts w:ascii="宋体" w:hAnsi="宋体" w:cs="宋体" w:hint="eastAsia"/>
          <w:b/>
          <w:bCs/>
          <w:color w:val="000000"/>
          <w:sz w:val="24"/>
          <w:szCs w:val="24"/>
        </w:rPr>
        <w:t>【学习内容】</w:t>
      </w:r>
    </w:p>
    <w:p w14:paraId="12D2F6A9"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1.让人民生活幸福是“国之大者”</w:t>
      </w:r>
    </w:p>
    <w:p w14:paraId="424D6F2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2.不断提高人民生活品质</w:t>
      </w:r>
    </w:p>
    <w:p w14:paraId="2FAD5EF8"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3.在共建共治共享中推进社会治理现代化</w:t>
      </w:r>
    </w:p>
    <w:p w14:paraId="29210DFC" w14:textId="77777777" w:rsidR="0078124E" w:rsidRDefault="0078124E" w:rsidP="0078124E">
      <w:pPr>
        <w:adjustRightInd w:val="0"/>
        <w:snapToGrid w:val="0"/>
        <w:spacing w:line="440" w:lineRule="exact"/>
        <w:ind w:firstLineChars="200" w:firstLine="482"/>
        <w:rPr>
          <w:rFonts w:ascii="宋体" w:eastAsia="宋体" w:hAnsi="宋体" w:cs="宋体"/>
          <w:color w:val="000000"/>
          <w:sz w:val="24"/>
          <w:szCs w:val="24"/>
        </w:rPr>
      </w:pPr>
      <w:r>
        <w:rPr>
          <w:rFonts w:ascii="宋体" w:eastAsia="宋体" w:hAnsi="宋体" w:cs="宋体" w:hint="eastAsia"/>
          <w:b/>
          <w:bCs/>
          <w:color w:val="000000"/>
          <w:sz w:val="24"/>
          <w:szCs w:val="24"/>
        </w:rPr>
        <w:t>【教学重点】</w:t>
      </w:r>
    </w:p>
    <w:p w14:paraId="742257BB"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1.新时代让人民生活幸福是“国之大者”</w:t>
      </w:r>
    </w:p>
    <w:p w14:paraId="648CA34F"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2.高质量推进以民生为重点的社会建设</w:t>
      </w:r>
    </w:p>
    <w:p w14:paraId="0261E9A4"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3.在共建共治共享中推进社会治理现代化</w:t>
      </w:r>
    </w:p>
    <w:p w14:paraId="014CE730"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hAnsi="宋体" w:cs="宋体" w:hint="eastAsia"/>
          <w:b/>
          <w:bCs/>
          <w:color w:val="000000"/>
          <w:sz w:val="24"/>
          <w:szCs w:val="24"/>
        </w:rPr>
        <w:t>【</w:t>
      </w:r>
      <w:r>
        <w:rPr>
          <w:rFonts w:ascii="宋体" w:eastAsia="宋体" w:hAnsi="宋体" w:cs="宋体" w:hint="eastAsia"/>
          <w:b/>
          <w:bCs/>
          <w:color w:val="000000"/>
          <w:sz w:val="24"/>
          <w:szCs w:val="24"/>
        </w:rPr>
        <w:t>教学难点</w:t>
      </w:r>
      <w:r>
        <w:rPr>
          <w:rFonts w:ascii="宋体" w:hAnsi="宋体" w:cs="宋体" w:hint="eastAsia"/>
          <w:b/>
          <w:bCs/>
          <w:color w:val="000000"/>
          <w:sz w:val="24"/>
          <w:szCs w:val="24"/>
        </w:rPr>
        <w:t>】</w:t>
      </w:r>
    </w:p>
    <w:p w14:paraId="7E4DCF2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1.在共建共治共享中推进社会治理现代化</w:t>
      </w:r>
    </w:p>
    <w:p w14:paraId="0A116DF9"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lastRenderedPageBreak/>
        <w:t>【教学方法】</w:t>
      </w:r>
    </w:p>
    <w:p w14:paraId="59B4A98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1.通过教师系统讲授和学生自主探究相结合，培养学生理论思维能力，引导学生准确</w:t>
      </w:r>
      <w:proofErr w:type="gramStart"/>
      <w:r>
        <w:rPr>
          <w:rFonts w:ascii="宋体" w:eastAsia="宋体" w:hAnsi="宋体" w:cs="宋体" w:hint="eastAsia"/>
          <w:color w:val="000000"/>
          <w:sz w:val="24"/>
          <w:szCs w:val="24"/>
        </w:rPr>
        <w:t>理解让</w:t>
      </w:r>
      <w:proofErr w:type="gramEnd"/>
      <w:r>
        <w:rPr>
          <w:rFonts w:ascii="宋体" w:eastAsia="宋体" w:hAnsi="宋体" w:cs="宋体" w:hint="eastAsia"/>
          <w:color w:val="000000"/>
          <w:sz w:val="24"/>
          <w:szCs w:val="24"/>
        </w:rPr>
        <w:t>人民生活幸福是“国之大者”；</w:t>
      </w:r>
    </w:p>
    <w:p w14:paraId="02D838C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2.通过案例分析，强调理论与实践相结合，促进学生知识整合，培养学生的反思能力；</w:t>
      </w:r>
    </w:p>
    <w:p w14:paraId="3C06B528"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3.通过课堂汇报和课堂辩论，强化知识应用意识，发展学生的教学能力和反思能力；</w:t>
      </w:r>
    </w:p>
    <w:p w14:paraId="6860A655"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【复习思考】</w:t>
      </w:r>
    </w:p>
    <w:p w14:paraId="5EDA03D0"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1.如何</w:t>
      </w:r>
      <w:proofErr w:type="gramStart"/>
      <w:r>
        <w:rPr>
          <w:rFonts w:ascii="宋体" w:eastAsia="宋体" w:hAnsi="宋体" w:cs="宋体" w:hint="eastAsia"/>
          <w:color w:val="000000"/>
          <w:sz w:val="24"/>
          <w:szCs w:val="24"/>
        </w:rPr>
        <w:t>理解让</w:t>
      </w:r>
      <w:proofErr w:type="gramEnd"/>
      <w:r>
        <w:rPr>
          <w:rFonts w:ascii="宋体" w:eastAsia="宋体" w:hAnsi="宋体" w:cs="宋体" w:hint="eastAsia"/>
          <w:color w:val="000000"/>
          <w:sz w:val="24"/>
          <w:szCs w:val="24"/>
        </w:rPr>
        <w:t>人民生活幸福是"国之大者" ？</w:t>
      </w:r>
    </w:p>
    <w:p w14:paraId="6CD122D8"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2.保障和改善民生应重点从哪些方面着手？</w:t>
      </w:r>
    </w:p>
    <w:p w14:paraId="2E32A1F8"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eastAsia="宋体" w:hAnsi="宋体" w:cs="宋体" w:hint="eastAsia"/>
          <w:color w:val="000000"/>
          <w:sz w:val="24"/>
          <w:szCs w:val="24"/>
        </w:rPr>
        <w:t>3.为什么在推进社会治理现代化过程中要坚持共建共治共享?</w:t>
      </w:r>
    </w:p>
    <w:p w14:paraId="677C7757"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第十二章 建设社会主义生态文明</w:t>
      </w:r>
    </w:p>
    <w:p w14:paraId="2CFB330D"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【教学目标】</w:t>
      </w:r>
    </w:p>
    <w:p w14:paraId="3BE2498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w:t>
      </w:r>
    </w:p>
    <w:p w14:paraId="732B5E50"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了解生态文明建设的重要地位；理解习近平生态文明思想的主要内涵；了解党的十八大以来生态文明建设的巨大成就；掌握新发展阶段生态文明建设的战略安排。</w:t>
      </w:r>
    </w:p>
    <w:p w14:paraId="61CE0B9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w:t>
      </w:r>
    </w:p>
    <w:p w14:paraId="389F6251"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正确把握在新形势下加快构建生态文明体系，推动我国生态文明建设迈入新境界。</w:t>
      </w:r>
    </w:p>
    <w:p w14:paraId="558B9BAF"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3.素质/价值/</w:t>
      </w:r>
      <w:proofErr w:type="gramStart"/>
      <w:r>
        <w:rPr>
          <w:rFonts w:ascii="宋体" w:eastAsia="宋体" w:hAnsi="宋体" w:cs="宋体" w:hint="eastAsia"/>
          <w:color w:val="000000"/>
          <w:sz w:val="24"/>
          <w:szCs w:val="24"/>
        </w:rPr>
        <w:t>思政育人</w:t>
      </w:r>
      <w:proofErr w:type="gramEnd"/>
      <w:r>
        <w:rPr>
          <w:rFonts w:ascii="宋体" w:eastAsia="宋体" w:hAnsi="宋体" w:cs="宋体" w:hint="eastAsia"/>
          <w:color w:val="000000"/>
          <w:sz w:val="24"/>
          <w:szCs w:val="24"/>
        </w:rPr>
        <w:t>目标</w:t>
      </w:r>
    </w:p>
    <w:p w14:paraId="67E075B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全面掌握习近平生态文明思想的基本内涵，坚定不移地推进生态文明建设。</w:t>
      </w:r>
    </w:p>
    <w:p w14:paraId="2911ECD1"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2FB6CBE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1.坚持人与自然和谐共生</w:t>
      </w:r>
    </w:p>
    <w:p w14:paraId="12B8CBF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2.建设美丽中国</w:t>
      </w:r>
    </w:p>
    <w:p w14:paraId="56765A70"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3.共谋全球生态文明建设之路</w:t>
      </w:r>
    </w:p>
    <w:p w14:paraId="15785701" w14:textId="77777777" w:rsidR="0078124E" w:rsidRDefault="0078124E" w:rsidP="0078124E">
      <w:pPr>
        <w:adjustRightInd w:val="0"/>
        <w:snapToGrid w:val="0"/>
        <w:spacing w:line="440" w:lineRule="exact"/>
        <w:ind w:firstLineChars="200" w:firstLine="482"/>
        <w:rPr>
          <w:rFonts w:ascii="宋体" w:eastAsia="宋体" w:hAnsi="宋体" w:cs="宋体"/>
          <w:color w:val="000000"/>
          <w:sz w:val="24"/>
          <w:szCs w:val="24"/>
        </w:rPr>
      </w:pPr>
      <w:r>
        <w:rPr>
          <w:rFonts w:ascii="宋体" w:eastAsia="宋体" w:hAnsi="宋体" w:cs="宋体" w:hint="eastAsia"/>
          <w:b/>
          <w:bCs/>
          <w:color w:val="000000"/>
          <w:sz w:val="24"/>
          <w:szCs w:val="24"/>
        </w:rPr>
        <w:t>【教学重点】</w:t>
      </w:r>
    </w:p>
    <w:p w14:paraId="44AE6C72"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1.习近平生态文明思想的主要内涵</w:t>
      </w:r>
    </w:p>
    <w:p w14:paraId="72833C42"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2.党的十八大以来生态文明建设的巨大成就</w:t>
      </w:r>
    </w:p>
    <w:p w14:paraId="2FABB0E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3.新发展阶段生态文明建设的战略安排</w:t>
      </w:r>
    </w:p>
    <w:p w14:paraId="68AF652A"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hAnsi="宋体" w:cs="宋体" w:hint="eastAsia"/>
          <w:b/>
          <w:bCs/>
          <w:color w:val="000000"/>
          <w:sz w:val="24"/>
          <w:szCs w:val="24"/>
        </w:rPr>
        <w:t>【</w:t>
      </w:r>
      <w:r>
        <w:rPr>
          <w:rFonts w:ascii="宋体" w:eastAsia="宋体" w:hAnsi="宋体" w:cs="宋体" w:hint="eastAsia"/>
          <w:b/>
          <w:bCs/>
          <w:color w:val="000000"/>
          <w:sz w:val="24"/>
          <w:szCs w:val="24"/>
        </w:rPr>
        <w:t>教学难点</w:t>
      </w:r>
      <w:r>
        <w:rPr>
          <w:rFonts w:ascii="宋体" w:hAnsi="宋体" w:cs="宋体" w:hint="eastAsia"/>
          <w:b/>
          <w:bCs/>
          <w:color w:val="000000"/>
          <w:sz w:val="24"/>
          <w:szCs w:val="24"/>
        </w:rPr>
        <w:t>】</w:t>
      </w:r>
    </w:p>
    <w:p w14:paraId="2BC8D9C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1.如何推进生态文明建设</w:t>
      </w:r>
    </w:p>
    <w:p w14:paraId="5357286B"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lastRenderedPageBreak/>
        <w:t>【教学方法】</w:t>
      </w:r>
    </w:p>
    <w:p w14:paraId="51B66025"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1.通过教师系统讲授和学生自主探究相结合，阐明</w:t>
      </w:r>
      <w:r>
        <w:rPr>
          <w:rFonts w:ascii="宋体" w:eastAsia="宋体" w:hAnsi="宋体" w:cs="宋体" w:hint="eastAsia"/>
          <w:color w:val="000000"/>
          <w:sz w:val="24"/>
          <w:szCs w:val="24"/>
        </w:rPr>
        <w:t>生态文明建设</w:t>
      </w:r>
      <w:r>
        <w:rPr>
          <w:rFonts w:ascii="宋体" w:eastAsia="宋体" w:hAnsi="宋体" w:cs="Times New Roman"/>
          <w:sz w:val="24"/>
          <w:szCs w:val="24"/>
        </w:rPr>
        <w:t>；</w:t>
      </w:r>
    </w:p>
    <w:p w14:paraId="5C934C06"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2.通过案例分析，强调理论与实践相结合，促进学生知识整合，培养学生的反思能力；</w:t>
      </w:r>
    </w:p>
    <w:p w14:paraId="19D86131"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3.通过探究性学习研讨，培育学生问题意识，辩证认</w:t>
      </w:r>
      <w:r>
        <w:rPr>
          <w:rFonts w:ascii="宋体" w:eastAsia="宋体" w:hAnsi="宋体" w:cs="宋体" w:hint="eastAsia"/>
          <w:color w:val="000000"/>
          <w:sz w:val="24"/>
          <w:szCs w:val="24"/>
        </w:rPr>
        <w:t>生</w:t>
      </w:r>
      <w:proofErr w:type="gramStart"/>
      <w:r>
        <w:rPr>
          <w:rFonts w:ascii="宋体" w:eastAsia="宋体" w:hAnsi="宋体" w:cs="宋体" w:hint="eastAsia"/>
          <w:color w:val="000000"/>
          <w:sz w:val="24"/>
          <w:szCs w:val="24"/>
        </w:rPr>
        <w:t>态文明</w:t>
      </w:r>
      <w:proofErr w:type="gramEnd"/>
      <w:r>
        <w:rPr>
          <w:rFonts w:ascii="宋体" w:eastAsia="宋体" w:hAnsi="宋体" w:cs="宋体" w:hint="eastAsia"/>
          <w:color w:val="000000"/>
          <w:sz w:val="24"/>
          <w:szCs w:val="24"/>
        </w:rPr>
        <w:t>建设</w:t>
      </w:r>
      <w:r>
        <w:rPr>
          <w:rFonts w:ascii="宋体" w:eastAsia="宋体" w:hAnsi="宋体" w:cs="Times New Roman"/>
          <w:sz w:val="24"/>
          <w:szCs w:val="24"/>
        </w:rPr>
        <w:t>发展及其必然趋势。</w:t>
      </w:r>
    </w:p>
    <w:p w14:paraId="1D155491"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【复习思考】</w:t>
      </w:r>
    </w:p>
    <w:p w14:paraId="565A0841"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1.如何理解“生态兴则文明兴”?</w:t>
      </w:r>
    </w:p>
    <w:p w14:paraId="56FB8DB0"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2.怎样加快发展方式绿色转型?</w:t>
      </w:r>
    </w:p>
    <w:p w14:paraId="0B777E3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3.中国为全球环境治理</w:t>
      </w:r>
      <w:proofErr w:type="gramStart"/>
      <w:r>
        <w:rPr>
          <w:rFonts w:ascii="宋体" w:eastAsia="宋体" w:hAnsi="宋体" w:cs="宋体" w:hint="eastAsia"/>
          <w:color w:val="000000"/>
          <w:sz w:val="24"/>
          <w:szCs w:val="24"/>
        </w:rPr>
        <w:t>作出</w:t>
      </w:r>
      <w:proofErr w:type="gramEnd"/>
      <w:r>
        <w:rPr>
          <w:rFonts w:ascii="宋体" w:eastAsia="宋体" w:hAnsi="宋体" w:cs="宋体" w:hint="eastAsia"/>
          <w:color w:val="000000"/>
          <w:sz w:val="24"/>
          <w:szCs w:val="24"/>
        </w:rPr>
        <w:t>了哪些重要贡献?</w:t>
      </w:r>
    </w:p>
    <w:p w14:paraId="0232DA2F"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第十三章 维护和塑造国家安全</w:t>
      </w:r>
    </w:p>
    <w:p w14:paraId="73E8DF63" w14:textId="77777777" w:rsidR="0078124E" w:rsidRDefault="0078124E" w:rsidP="0078124E">
      <w:pPr>
        <w:adjustRightInd w:val="0"/>
        <w:snapToGrid w:val="0"/>
        <w:spacing w:line="440" w:lineRule="exact"/>
        <w:ind w:firstLineChars="200" w:firstLine="482"/>
        <w:rPr>
          <w:rFonts w:ascii="宋体" w:eastAsia="宋体" w:hAnsi="宋体" w:cs="宋体"/>
          <w:color w:val="000000"/>
          <w:sz w:val="24"/>
          <w:szCs w:val="24"/>
        </w:rPr>
      </w:pPr>
      <w:r>
        <w:rPr>
          <w:rFonts w:ascii="宋体" w:eastAsia="宋体" w:hAnsi="宋体" w:cs="宋体" w:hint="eastAsia"/>
          <w:b/>
          <w:bCs/>
          <w:color w:val="000000"/>
          <w:sz w:val="24"/>
          <w:szCs w:val="24"/>
        </w:rPr>
        <w:t>【教学目标】</w:t>
      </w:r>
    </w:p>
    <w:p w14:paraId="47CEE08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w:t>
      </w:r>
    </w:p>
    <w:p w14:paraId="6687E29F"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理解总体国家安全观的内涵和意义，掌握如何坚持走中国特色国家安全道路，以及如何着力防范化解重大风险；深刻理解坚持总体国家安全观是统筹发展和安全的根本要求。</w:t>
      </w:r>
    </w:p>
    <w:p w14:paraId="060DD039"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w:t>
      </w:r>
    </w:p>
    <w:p w14:paraId="5AF9C1B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正确认识中华民族伟大复兴进程中的各种重大挑战、重大风险、重大阻力、重大矛盾，提升学生独立思考和科学认识、分析复杂社会现象的能力。</w:t>
      </w:r>
    </w:p>
    <w:p w14:paraId="3A8A883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3.素质/价值/</w:t>
      </w:r>
      <w:proofErr w:type="gramStart"/>
      <w:r>
        <w:rPr>
          <w:rFonts w:ascii="宋体" w:eastAsia="宋体" w:hAnsi="宋体" w:cs="宋体" w:hint="eastAsia"/>
          <w:color w:val="000000"/>
          <w:sz w:val="24"/>
          <w:szCs w:val="24"/>
        </w:rPr>
        <w:t>思政育人</w:t>
      </w:r>
      <w:proofErr w:type="gramEnd"/>
      <w:r>
        <w:rPr>
          <w:rFonts w:ascii="宋体" w:eastAsia="宋体" w:hAnsi="宋体" w:cs="宋体" w:hint="eastAsia"/>
          <w:color w:val="000000"/>
          <w:sz w:val="24"/>
          <w:szCs w:val="24"/>
        </w:rPr>
        <w:t>目标</w:t>
      </w:r>
    </w:p>
    <w:p w14:paraId="6F9878EC"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在我国由大向强发展进程中必然会面对各种挑战，引导大学生做国家安全的维护者，推动祖国完全统一的生力军。</w:t>
      </w:r>
    </w:p>
    <w:p w14:paraId="4763F8DC"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hAnsi="宋体" w:cs="宋体" w:hint="eastAsia"/>
          <w:b/>
          <w:bCs/>
          <w:color w:val="000000"/>
          <w:sz w:val="24"/>
          <w:szCs w:val="24"/>
        </w:rPr>
        <w:t>【学习内容】</w:t>
      </w:r>
    </w:p>
    <w:p w14:paraId="614EE4F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1.坚持总体国家安全观</w:t>
      </w:r>
    </w:p>
    <w:p w14:paraId="2AB2B7C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2.构建统筹各领域安全的新安全格局</w:t>
      </w:r>
    </w:p>
    <w:p w14:paraId="254194FB"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eastAsia="宋体" w:hAnsi="宋体" w:cs="宋体" w:hint="eastAsia"/>
          <w:color w:val="000000"/>
          <w:sz w:val="24"/>
          <w:szCs w:val="24"/>
        </w:rPr>
        <w:t>3.开创新时代国家安全工作新局面</w:t>
      </w:r>
    </w:p>
    <w:p w14:paraId="5FFD176E" w14:textId="77777777" w:rsidR="0078124E" w:rsidRDefault="0078124E" w:rsidP="0078124E">
      <w:pPr>
        <w:adjustRightInd w:val="0"/>
        <w:snapToGrid w:val="0"/>
        <w:spacing w:line="440" w:lineRule="exact"/>
        <w:ind w:firstLineChars="200" w:firstLine="482"/>
        <w:rPr>
          <w:rFonts w:ascii="宋体" w:eastAsia="宋体" w:hAnsi="宋体" w:cs="宋体"/>
          <w:color w:val="000000"/>
          <w:sz w:val="24"/>
          <w:szCs w:val="24"/>
        </w:rPr>
      </w:pPr>
      <w:r>
        <w:rPr>
          <w:rFonts w:ascii="宋体" w:eastAsia="宋体" w:hAnsi="宋体" w:cs="宋体" w:hint="eastAsia"/>
          <w:b/>
          <w:bCs/>
          <w:color w:val="000000"/>
          <w:sz w:val="24"/>
          <w:szCs w:val="24"/>
        </w:rPr>
        <w:t>【教学重点】</w:t>
      </w:r>
    </w:p>
    <w:p w14:paraId="0B78C449" w14:textId="77777777" w:rsidR="0078124E" w:rsidRDefault="0078124E" w:rsidP="0078124E">
      <w:pPr>
        <w:adjustRightInd w:val="0"/>
        <w:snapToGrid w:val="0"/>
        <w:spacing w:line="440" w:lineRule="exact"/>
        <w:ind w:leftChars="200" w:left="420"/>
        <w:rPr>
          <w:rFonts w:ascii="宋体" w:eastAsia="宋体" w:hAnsi="宋体" w:cs="宋体"/>
          <w:color w:val="000000"/>
          <w:sz w:val="24"/>
          <w:szCs w:val="24"/>
        </w:rPr>
      </w:pPr>
      <w:r>
        <w:rPr>
          <w:rFonts w:ascii="宋体" w:eastAsia="宋体" w:hAnsi="宋体" w:cs="宋体" w:hint="eastAsia"/>
          <w:color w:val="000000"/>
          <w:sz w:val="24"/>
          <w:szCs w:val="24"/>
        </w:rPr>
        <w:t>1.坚持总体国家安全观</w:t>
      </w:r>
    </w:p>
    <w:p w14:paraId="330ED885" w14:textId="77777777" w:rsidR="0078124E" w:rsidRDefault="0078124E" w:rsidP="0078124E">
      <w:pPr>
        <w:adjustRightInd w:val="0"/>
        <w:snapToGrid w:val="0"/>
        <w:spacing w:line="440" w:lineRule="exact"/>
        <w:ind w:leftChars="200" w:left="420"/>
        <w:rPr>
          <w:rFonts w:ascii="宋体" w:eastAsia="宋体" w:hAnsi="宋体" w:cs="宋体"/>
          <w:color w:val="000000"/>
          <w:sz w:val="24"/>
          <w:szCs w:val="24"/>
        </w:rPr>
      </w:pPr>
      <w:r>
        <w:rPr>
          <w:rFonts w:ascii="宋体" w:eastAsia="宋体" w:hAnsi="宋体" w:cs="宋体" w:hint="eastAsia"/>
          <w:color w:val="000000"/>
          <w:sz w:val="24"/>
          <w:szCs w:val="24"/>
        </w:rPr>
        <w:t>2.构建统筹各领域安全的新安全格局</w:t>
      </w:r>
    </w:p>
    <w:p w14:paraId="5B954267"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【教学难点】</w:t>
      </w:r>
    </w:p>
    <w:p w14:paraId="08214C54"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1.构建统筹各领域安全的新安全格局</w:t>
      </w:r>
    </w:p>
    <w:p w14:paraId="0079DD01"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5E202276" w14:textId="77777777" w:rsidR="0078124E" w:rsidRDefault="0078124E" w:rsidP="0078124E">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1.通过教师系统讲授和学生自主探究相结合，阐明</w:t>
      </w:r>
      <w:r>
        <w:rPr>
          <w:rFonts w:ascii="宋体" w:eastAsia="宋体" w:hAnsi="宋体" w:cs="宋体" w:hint="eastAsia"/>
          <w:color w:val="000000"/>
          <w:sz w:val="24"/>
          <w:szCs w:val="24"/>
        </w:rPr>
        <w:t>总体国家安全观</w:t>
      </w:r>
      <w:r>
        <w:rPr>
          <w:rFonts w:ascii="宋体" w:eastAsia="宋体" w:hAnsi="宋体" w:cs="Times New Roman"/>
          <w:sz w:val="24"/>
          <w:szCs w:val="24"/>
        </w:rPr>
        <w:t>。</w:t>
      </w:r>
    </w:p>
    <w:p w14:paraId="11D7046E"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Times New Roman"/>
          <w:sz w:val="24"/>
          <w:szCs w:val="24"/>
        </w:rPr>
        <w:t>2.通过案例分析，提升学生反思和批判意识，正确认识</w:t>
      </w:r>
      <w:r>
        <w:rPr>
          <w:rFonts w:ascii="宋体" w:eastAsia="宋体" w:hAnsi="宋体" w:cs="宋体" w:hint="eastAsia"/>
          <w:color w:val="000000"/>
          <w:sz w:val="24"/>
          <w:szCs w:val="24"/>
        </w:rPr>
        <w:t>构建统筹各领域安全的新安全格局</w:t>
      </w:r>
      <w:r>
        <w:rPr>
          <w:rFonts w:ascii="宋体" w:eastAsia="宋体" w:hAnsi="宋体" w:cs="宋体" w:hint="eastAsia"/>
          <w:sz w:val="24"/>
          <w:szCs w:val="24"/>
        </w:rPr>
        <w:t>；</w:t>
      </w:r>
    </w:p>
    <w:p w14:paraId="00D19CB3"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3.通过组织学生探讨，培养学生问题意识，深刻认识如何</w:t>
      </w:r>
      <w:r>
        <w:rPr>
          <w:rFonts w:ascii="宋体" w:eastAsia="宋体" w:hAnsi="宋体" w:cs="宋体" w:hint="eastAsia"/>
          <w:color w:val="000000"/>
          <w:sz w:val="24"/>
          <w:szCs w:val="24"/>
        </w:rPr>
        <w:t>开创新时代国家安全工作新局面</w:t>
      </w:r>
      <w:r>
        <w:rPr>
          <w:rFonts w:ascii="宋体" w:eastAsia="宋体" w:hAnsi="宋体" w:cs="宋体" w:hint="eastAsia"/>
          <w:sz w:val="24"/>
          <w:szCs w:val="24"/>
        </w:rPr>
        <w:t>。</w:t>
      </w:r>
    </w:p>
    <w:p w14:paraId="04751D01"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【复习思考】</w:t>
      </w:r>
    </w:p>
    <w:p w14:paraId="1BE655A8"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1.如何认识新时代我国国家安全形势的新变化？</w:t>
      </w:r>
    </w:p>
    <w:p w14:paraId="6E70C608"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2.如何理解总体国家安全观的丰富内涵？</w:t>
      </w:r>
    </w:p>
    <w:p w14:paraId="776A2411"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3.为什么说统筹发展和安全是我们党治国理政的一个重大原则？</w:t>
      </w:r>
    </w:p>
    <w:p w14:paraId="3DF68BD9"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4.为什么要把维护政治安全放在维护国家安全的首要位置？</w:t>
      </w:r>
    </w:p>
    <w:p w14:paraId="365FDE6C"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第十四章 建设巩固国防和强大人民军队</w:t>
      </w:r>
    </w:p>
    <w:p w14:paraId="16E49FD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w:t>
      </w:r>
      <w:r>
        <w:rPr>
          <w:rFonts w:ascii="宋体" w:eastAsia="宋体" w:hAnsi="宋体" w:cs="宋体" w:hint="eastAsia"/>
          <w:b/>
          <w:bCs/>
          <w:color w:val="000000"/>
          <w:sz w:val="24"/>
          <w:szCs w:val="24"/>
        </w:rPr>
        <w:t>教学目标】</w:t>
      </w:r>
    </w:p>
    <w:p w14:paraId="5BD5B7D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w:t>
      </w:r>
    </w:p>
    <w:p w14:paraId="30FA11F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深刻理解习近平强军思想的主要内容，认识党在新时代的强军目标，了解如何构建一体化的国家战略体系和能力。</w:t>
      </w:r>
    </w:p>
    <w:p w14:paraId="0490E5D0"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w:t>
      </w:r>
    </w:p>
    <w:p w14:paraId="45CD1A4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正确认识新时代强军的一系列重大判断、新的理论概括、新的战略安排，提升学生独立思考和科学认识“新时代建设一支什么样的强大人民军队、怎样建设强大人民军队”时代课题的能力。</w:t>
      </w:r>
    </w:p>
    <w:p w14:paraId="6876EF9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3.素质/价值/</w:t>
      </w:r>
      <w:proofErr w:type="gramStart"/>
      <w:r>
        <w:rPr>
          <w:rFonts w:ascii="宋体" w:eastAsia="宋体" w:hAnsi="宋体" w:cs="宋体" w:hint="eastAsia"/>
          <w:color w:val="000000"/>
          <w:sz w:val="24"/>
          <w:szCs w:val="24"/>
        </w:rPr>
        <w:t>思政育人</w:t>
      </w:r>
      <w:proofErr w:type="gramEnd"/>
      <w:r>
        <w:rPr>
          <w:rFonts w:ascii="宋体" w:eastAsia="宋体" w:hAnsi="宋体" w:cs="宋体" w:hint="eastAsia"/>
          <w:color w:val="000000"/>
          <w:sz w:val="24"/>
          <w:szCs w:val="24"/>
        </w:rPr>
        <w:t>目标</w:t>
      </w:r>
    </w:p>
    <w:p w14:paraId="35D231BF"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立足新时代强军目标和一体化国家战略体系构建，引导学生增强使命感，增强全民国防观念，形成关心国防、热爱国防、建设国防、保卫国防的思想共识和自觉行动。</w:t>
      </w:r>
    </w:p>
    <w:p w14:paraId="5BCB4793"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2085AE6B"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1.强国必须强军，军强才能国安</w:t>
      </w:r>
    </w:p>
    <w:p w14:paraId="4380F472"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2.实现党在新时代的强军目标</w:t>
      </w:r>
    </w:p>
    <w:p w14:paraId="452E8E62"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eastAsia="宋体" w:hAnsi="宋体" w:cs="宋体" w:hint="eastAsia"/>
          <w:color w:val="000000"/>
          <w:sz w:val="24"/>
          <w:szCs w:val="24"/>
        </w:rPr>
        <w:t>3.加快推进国防和军队现代化</w:t>
      </w:r>
    </w:p>
    <w:p w14:paraId="26191EB1"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【教学重点】</w:t>
      </w:r>
    </w:p>
    <w:p w14:paraId="2CBB4504"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1.坚持习近平强军思想</w:t>
      </w:r>
    </w:p>
    <w:p w14:paraId="275386B1"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2.推进国防和军队现代化作出了新的战略安排</w:t>
      </w:r>
    </w:p>
    <w:p w14:paraId="4A62FEC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3.构建一体化的国家战略体系和能力</w:t>
      </w:r>
    </w:p>
    <w:p w14:paraId="52D50743"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【教学难点】</w:t>
      </w:r>
    </w:p>
    <w:p w14:paraId="51846F8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1.实现党在新时代的强军目标</w:t>
      </w:r>
    </w:p>
    <w:p w14:paraId="60B868BC"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2.构建一体化的国家战略体系和能力</w:t>
      </w:r>
    </w:p>
    <w:p w14:paraId="1D96DF72" w14:textId="77777777" w:rsidR="0078124E" w:rsidRDefault="0078124E" w:rsidP="0078124E">
      <w:pPr>
        <w:adjustRightInd w:val="0"/>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【教学方法】</w:t>
      </w:r>
    </w:p>
    <w:p w14:paraId="4006E883"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1.通过教师系统讲授和学生自主探究相结合，阐明</w:t>
      </w:r>
      <w:r>
        <w:rPr>
          <w:rFonts w:ascii="宋体" w:eastAsia="宋体" w:hAnsi="宋体" w:cs="宋体" w:hint="eastAsia"/>
          <w:color w:val="000000"/>
          <w:sz w:val="24"/>
          <w:szCs w:val="24"/>
        </w:rPr>
        <w:t>习近平强军思想</w:t>
      </w:r>
      <w:r>
        <w:rPr>
          <w:rFonts w:ascii="宋体" w:eastAsia="宋体" w:hAnsi="宋体" w:cs="宋体" w:hint="eastAsia"/>
          <w:sz w:val="24"/>
          <w:szCs w:val="24"/>
        </w:rPr>
        <w:t>的基本问题。</w:t>
      </w:r>
    </w:p>
    <w:p w14:paraId="6412CA18"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2.通过案例分析，提升学生反思和批判意识，促进学生深刻理解把握</w:t>
      </w:r>
      <w:r>
        <w:rPr>
          <w:rFonts w:ascii="宋体" w:eastAsia="宋体" w:hAnsi="宋体" w:cs="宋体" w:hint="eastAsia"/>
          <w:color w:val="000000"/>
          <w:sz w:val="24"/>
          <w:szCs w:val="24"/>
        </w:rPr>
        <w:t>构建一体化的国家战略体系和能力</w:t>
      </w:r>
      <w:r>
        <w:rPr>
          <w:rFonts w:ascii="宋体" w:eastAsia="宋体" w:hAnsi="宋体" w:cs="宋体" w:hint="eastAsia"/>
          <w:sz w:val="24"/>
          <w:szCs w:val="24"/>
        </w:rPr>
        <w:t>；</w:t>
      </w:r>
    </w:p>
    <w:p w14:paraId="3FDFF920"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3.通过组织学生探讨，培养学生问题意识，深刻理解</w:t>
      </w:r>
      <w:r>
        <w:rPr>
          <w:rFonts w:ascii="宋体" w:eastAsia="宋体" w:hAnsi="宋体" w:cs="宋体" w:hint="eastAsia"/>
          <w:color w:val="000000"/>
          <w:sz w:val="24"/>
          <w:szCs w:val="24"/>
        </w:rPr>
        <w:t>加快推进国防和军队现代化</w:t>
      </w:r>
      <w:r>
        <w:rPr>
          <w:rFonts w:ascii="宋体" w:eastAsia="宋体" w:hAnsi="宋体" w:cs="宋体" w:hint="eastAsia"/>
          <w:sz w:val="24"/>
          <w:szCs w:val="24"/>
        </w:rPr>
        <w:t>。</w:t>
      </w:r>
    </w:p>
    <w:p w14:paraId="0E650483" w14:textId="77777777" w:rsidR="0078124E" w:rsidRDefault="0078124E" w:rsidP="0078124E">
      <w:pPr>
        <w:adjustRightInd w:val="0"/>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【复习思考】</w:t>
      </w:r>
    </w:p>
    <w:p w14:paraId="546ADECB"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1.为什么说 "强国必须强军，军强才能国安"？</w:t>
      </w:r>
    </w:p>
    <w:p w14:paraId="22F1FD58"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2.如何理解党在新时代的强军目标？</w:t>
      </w:r>
    </w:p>
    <w:p w14:paraId="3890EC84"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3.为什么必须坚持党对人民军队的绝对领导？</w:t>
      </w:r>
    </w:p>
    <w:p w14:paraId="2ACE4BBC"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eastAsia="宋体" w:hAnsi="宋体" w:cs="宋体" w:hint="eastAsia"/>
          <w:color w:val="000000"/>
          <w:sz w:val="24"/>
          <w:szCs w:val="24"/>
        </w:rPr>
        <w:t>4.怎样坚持政治建军、改革强军、科技强军、人才强军、依法治军?</w:t>
      </w:r>
    </w:p>
    <w:p w14:paraId="473C4596"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第十五章 坚持“一国两制”和推进祖国完全统一</w:t>
      </w:r>
    </w:p>
    <w:p w14:paraId="6E46609C" w14:textId="77777777" w:rsidR="0078124E" w:rsidRDefault="0078124E" w:rsidP="0078124E">
      <w:pPr>
        <w:adjustRightInd w:val="0"/>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【教学目标】</w:t>
      </w:r>
    </w:p>
    <w:p w14:paraId="1CF527B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w:t>
      </w:r>
    </w:p>
    <w:p w14:paraId="0400CE94" w14:textId="77777777" w:rsidR="0078124E" w:rsidRDefault="0078124E" w:rsidP="0078124E">
      <w:pPr>
        <w:adjustRightInd w:val="0"/>
        <w:snapToGrid w:val="0"/>
        <w:spacing w:line="440" w:lineRule="exact"/>
        <w:ind w:firstLineChars="200" w:firstLine="480"/>
        <w:rPr>
          <w:rFonts w:ascii="宋体" w:hAnsi="宋体" w:cs="宋体"/>
          <w:color w:val="000000"/>
          <w:sz w:val="24"/>
          <w:szCs w:val="24"/>
        </w:rPr>
      </w:pPr>
      <w:r>
        <w:rPr>
          <w:rFonts w:ascii="宋体" w:eastAsia="宋体" w:hAnsi="宋体" w:cs="宋体" w:hint="eastAsia"/>
          <w:color w:val="000000"/>
          <w:sz w:val="24"/>
          <w:szCs w:val="24"/>
        </w:rPr>
        <w:t>掌握如何全面准确贯彻“一国两制”方针，了解“一国两制”行稳致远的制度体系及具体实践，认识实现祖国完全统一的重要性、必要性、原则和方式。</w:t>
      </w:r>
    </w:p>
    <w:p w14:paraId="2E01C15C"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w:t>
      </w:r>
    </w:p>
    <w:p w14:paraId="1463A5B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正确认识“一国两制”在中华民族伟大复兴进程中的重要意义和实践，提升学生独立思考和科学认识、分析复杂国际形势、国家政策方针的能力。</w:t>
      </w:r>
    </w:p>
    <w:p w14:paraId="4DDA09CB"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3.素质/价值/</w:t>
      </w:r>
      <w:proofErr w:type="gramStart"/>
      <w:r>
        <w:rPr>
          <w:rFonts w:ascii="宋体" w:eastAsia="宋体" w:hAnsi="宋体" w:cs="宋体" w:hint="eastAsia"/>
          <w:color w:val="000000"/>
          <w:sz w:val="24"/>
          <w:szCs w:val="24"/>
        </w:rPr>
        <w:t>思政育人</w:t>
      </w:r>
      <w:proofErr w:type="gramEnd"/>
      <w:r>
        <w:rPr>
          <w:rFonts w:ascii="宋体" w:eastAsia="宋体" w:hAnsi="宋体" w:cs="宋体" w:hint="eastAsia"/>
          <w:color w:val="000000"/>
          <w:sz w:val="24"/>
          <w:szCs w:val="24"/>
        </w:rPr>
        <w:t>目标</w:t>
      </w:r>
    </w:p>
    <w:p w14:paraId="40B68B2F"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引导学生以实现中华民族伟大复兴为己任，自觉坚持“一国两制”，厚植爱国情怀、加强品德修养、增长知识见识、</w:t>
      </w:r>
      <w:proofErr w:type="gramStart"/>
      <w:r>
        <w:rPr>
          <w:rFonts w:ascii="宋体" w:eastAsia="宋体" w:hAnsi="宋体" w:cs="宋体" w:hint="eastAsia"/>
          <w:color w:val="000000"/>
          <w:sz w:val="24"/>
          <w:szCs w:val="24"/>
        </w:rPr>
        <w:t>培养奋斗</w:t>
      </w:r>
      <w:proofErr w:type="gramEnd"/>
      <w:r>
        <w:rPr>
          <w:rFonts w:ascii="宋体" w:eastAsia="宋体" w:hAnsi="宋体" w:cs="宋体" w:hint="eastAsia"/>
          <w:color w:val="000000"/>
          <w:sz w:val="24"/>
          <w:szCs w:val="24"/>
        </w:rPr>
        <w:t>精神、增强综合素质，自觉承担</w:t>
      </w:r>
      <w:proofErr w:type="gramStart"/>
      <w:r>
        <w:rPr>
          <w:rFonts w:ascii="宋体" w:eastAsia="宋体" w:hAnsi="宋体" w:cs="宋体" w:hint="eastAsia"/>
          <w:color w:val="000000"/>
          <w:sz w:val="24"/>
          <w:szCs w:val="24"/>
        </w:rPr>
        <w:t>起推进</w:t>
      </w:r>
      <w:proofErr w:type="gramEnd"/>
      <w:r>
        <w:rPr>
          <w:rFonts w:ascii="宋体" w:eastAsia="宋体" w:hAnsi="宋体" w:cs="宋体" w:hint="eastAsia"/>
          <w:color w:val="000000"/>
          <w:sz w:val="24"/>
          <w:szCs w:val="24"/>
        </w:rPr>
        <w:t>祖国统一的历史使命。</w:t>
      </w:r>
    </w:p>
    <w:p w14:paraId="36066D21" w14:textId="77777777" w:rsidR="0078124E" w:rsidRDefault="0078124E" w:rsidP="0078124E">
      <w:pPr>
        <w:adjustRightInd w:val="0"/>
        <w:snapToGrid w:val="0"/>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2F9569C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1.全面准确理解和贯彻“一国两制”方针</w:t>
      </w:r>
    </w:p>
    <w:p w14:paraId="1207A228"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2.保持香港、澳门长期</w:t>
      </w:r>
      <w:proofErr w:type="gramStart"/>
      <w:r>
        <w:rPr>
          <w:rFonts w:ascii="宋体" w:eastAsia="宋体" w:hAnsi="宋体" w:cs="宋体" w:hint="eastAsia"/>
          <w:color w:val="000000"/>
          <w:sz w:val="24"/>
          <w:szCs w:val="24"/>
        </w:rPr>
        <w:t>繁荣稳</w:t>
      </w:r>
      <w:proofErr w:type="gramEnd"/>
      <w:r>
        <w:rPr>
          <w:rFonts w:ascii="宋体" w:eastAsia="宋体" w:hAnsi="宋体" w:cs="宋体" w:hint="eastAsia"/>
          <w:color w:val="000000"/>
          <w:sz w:val="24"/>
          <w:szCs w:val="24"/>
        </w:rPr>
        <w:t>足</w:t>
      </w:r>
    </w:p>
    <w:p w14:paraId="49E4881C"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3.推进祖国完全统一</w:t>
      </w:r>
    </w:p>
    <w:p w14:paraId="5F46811F" w14:textId="77777777" w:rsidR="0078124E" w:rsidRDefault="0078124E" w:rsidP="0078124E">
      <w:pPr>
        <w:adjustRightInd w:val="0"/>
        <w:snapToGrid w:val="0"/>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【教学重点】</w:t>
      </w:r>
    </w:p>
    <w:p w14:paraId="2ED47222"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1.“一国两制”的内涵</w:t>
      </w:r>
    </w:p>
    <w:p w14:paraId="272B3D19"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2.“一国两制”实践行稳致远的重大举措</w:t>
      </w:r>
    </w:p>
    <w:p w14:paraId="40D3AB25"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eastAsia="宋体" w:hAnsi="宋体" w:cs="宋体" w:hint="eastAsia"/>
          <w:color w:val="000000"/>
          <w:sz w:val="24"/>
          <w:szCs w:val="24"/>
        </w:rPr>
        <w:t>3.实现祖国完全统一</w:t>
      </w:r>
    </w:p>
    <w:p w14:paraId="135973B9" w14:textId="77777777" w:rsidR="0078124E" w:rsidRDefault="0078124E" w:rsidP="0078124E">
      <w:pPr>
        <w:adjustRightInd w:val="0"/>
        <w:snapToGrid w:val="0"/>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【教学难点】</w:t>
      </w:r>
    </w:p>
    <w:p w14:paraId="69B94C68"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1.确保“一国两制”行稳致远</w:t>
      </w:r>
    </w:p>
    <w:p w14:paraId="04B5279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2.实现祖国完全统一</w:t>
      </w:r>
    </w:p>
    <w:p w14:paraId="34BBD432" w14:textId="77777777" w:rsidR="0078124E" w:rsidRDefault="0078124E" w:rsidP="0078124E">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【教学方法】</w:t>
      </w:r>
    </w:p>
    <w:p w14:paraId="24C858EF"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1.通过教师系统讲授和学生自主探究相结合，阐明“一国两制”的内涵；</w:t>
      </w:r>
    </w:p>
    <w:p w14:paraId="3508895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2.通过案例分析，强调理论与实践相结合，促进学生知识整合，培养学生的反思能力；</w:t>
      </w:r>
    </w:p>
    <w:p w14:paraId="2389912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3.通过组织学生探讨，使学生深刻认识实现祖国完全统一的伟大意义。</w:t>
      </w:r>
    </w:p>
    <w:p w14:paraId="6F91F74E" w14:textId="77777777" w:rsidR="0078124E" w:rsidRDefault="0078124E" w:rsidP="0078124E">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【复习思考】</w:t>
      </w:r>
    </w:p>
    <w:p w14:paraId="4DC9546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1.如何准确把握“一国”和“两制”的关系 ？</w:t>
      </w:r>
    </w:p>
    <w:p w14:paraId="3FB726EB"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2.如何理解香港、澳门与祖国内地同发展、共繁荣的道路必将越走越宽广？</w:t>
      </w:r>
    </w:p>
    <w:p w14:paraId="705CCDC0"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3.为什么说祖国完全统一一定要实现，也一定能够实现？</w:t>
      </w:r>
    </w:p>
    <w:p w14:paraId="334E2A6C"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第十六章 中国特色大国外交和推动构建人类命运共同体</w:t>
      </w:r>
    </w:p>
    <w:p w14:paraId="58BE4BD2" w14:textId="77777777" w:rsidR="0078124E" w:rsidRDefault="0078124E" w:rsidP="0078124E">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【教学目标】</w:t>
      </w:r>
    </w:p>
    <w:p w14:paraId="176FA849"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w:t>
      </w:r>
    </w:p>
    <w:p w14:paraId="3197A8B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了解人类命运共同体理念提出的社会历史背景，掌握构建人类命运共同体理念的丰富内涵，理解中国走和平发展道路，推动构建人类命运共同体的重大意义。</w:t>
      </w:r>
    </w:p>
    <w:p w14:paraId="222FAD00"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w:t>
      </w:r>
    </w:p>
    <w:p w14:paraId="1A0CA7E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正确认识当今世界正处于中华民族伟大复兴战略全局，世界百年未有之大变局的时代潮流，提高大学生运用理论分析中国承担大国责任，秉持和遵循共商共建共享原则，推动建设持久和平、普遍安全、共同繁荣、开放包容、清洁美丽的世界的思辨的能力。</w:t>
      </w:r>
    </w:p>
    <w:p w14:paraId="729206A8"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3.素质/价值/</w:t>
      </w:r>
      <w:proofErr w:type="gramStart"/>
      <w:r>
        <w:rPr>
          <w:rFonts w:ascii="宋体" w:eastAsia="宋体" w:hAnsi="宋体" w:cs="宋体" w:hint="eastAsia"/>
          <w:color w:val="000000"/>
          <w:sz w:val="24"/>
          <w:szCs w:val="24"/>
        </w:rPr>
        <w:t>思政育人</w:t>
      </w:r>
      <w:proofErr w:type="gramEnd"/>
      <w:r>
        <w:rPr>
          <w:rFonts w:ascii="宋体" w:eastAsia="宋体" w:hAnsi="宋体" w:cs="宋体" w:hint="eastAsia"/>
          <w:color w:val="000000"/>
          <w:sz w:val="24"/>
          <w:szCs w:val="24"/>
        </w:rPr>
        <w:t>目标</w:t>
      </w:r>
    </w:p>
    <w:p w14:paraId="67164EA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以</w:t>
      </w:r>
      <w:proofErr w:type="gramStart"/>
      <w:r>
        <w:rPr>
          <w:rFonts w:ascii="宋体" w:eastAsia="宋体" w:hAnsi="宋体" w:cs="宋体" w:hint="eastAsia"/>
          <w:color w:val="000000"/>
          <w:sz w:val="24"/>
          <w:szCs w:val="24"/>
        </w:rPr>
        <w:t>践行</w:t>
      </w:r>
      <w:proofErr w:type="gramEnd"/>
      <w:r>
        <w:rPr>
          <w:rFonts w:ascii="宋体" w:eastAsia="宋体" w:hAnsi="宋体" w:cs="宋体" w:hint="eastAsia"/>
          <w:color w:val="000000"/>
          <w:sz w:val="24"/>
          <w:szCs w:val="24"/>
        </w:rPr>
        <w:t>和实现人类共同价值追求为旨归，推进新时代中国特色大国外交，推动构建一种以合作共赢为核心的新型国际关系，共同努力建设一个美丽世界。</w:t>
      </w:r>
    </w:p>
    <w:p w14:paraId="5DD3F445" w14:textId="77777777" w:rsidR="0078124E" w:rsidRDefault="0078124E" w:rsidP="0078124E">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lastRenderedPageBreak/>
        <w:t>【学习内容】</w:t>
      </w:r>
    </w:p>
    <w:p w14:paraId="274EDD39"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1.新时代中国外交在大变局中开创新局</w:t>
      </w:r>
    </w:p>
    <w:p w14:paraId="1789AB9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2.全面推进中国特色大国外交</w:t>
      </w:r>
    </w:p>
    <w:p w14:paraId="1788E8E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3.推动构建人类命运共同体</w:t>
      </w:r>
    </w:p>
    <w:p w14:paraId="7A5B6AA3" w14:textId="77777777" w:rsidR="0078124E" w:rsidRDefault="0078124E" w:rsidP="0078124E">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【教学重点】</w:t>
      </w:r>
    </w:p>
    <w:p w14:paraId="2016DA11"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1.构建人类命运共同体理念提出的社会历史背景</w:t>
      </w:r>
    </w:p>
    <w:p w14:paraId="27B8728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2.构建人类命运共同体思想的科学内涵</w:t>
      </w:r>
    </w:p>
    <w:p w14:paraId="6A0F63C9"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3.构建人类命运共同体理念的重要意义</w:t>
      </w:r>
    </w:p>
    <w:p w14:paraId="6B740AAE" w14:textId="77777777" w:rsidR="0078124E" w:rsidRDefault="0078124E" w:rsidP="0078124E">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【教学难点】</w:t>
      </w:r>
    </w:p>
    <w:p w14:paraId="5DCAAE4B"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1.构建人类命运共同体理念形成发展的历史脉络</w:t>
      </w:r>
    </w:p>
    <w:p w14:paraId="438D617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2.构建人类命运共同体理念的丰富内涵</w:t>
      </w:r>
    </w:p>
    <w:p w14:paraId="21E0F37D" w14:textId="77777777" w:rsidR="0078124E" w:rsidRDefault="0078124E" w:rsidP="0078124E">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【教学方法】</w:t>
      </w:r>
    </w:p>
    <w:p w14:paraId="4DE9D368"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1.通过教师系统讲授和学生自主探究相结合，阐明</w:t>
      </w:r>
      <w:r>
        <w:rPr>
          <w:rFonts w:ascii="宋体" w:eastAsia="宋体" w:hAnsi="宋体" w:cs="宋体" w:hint="eastAsia"/>
          <w:color w:val="000000"/>
          <w:sz w:val="24"/>
          <w:szCs w:val="24"/>
        </w:rPr>
        <w:t>人类命运共同体思想</w:t>
      </w:r>
      <w:r>
        <w:rPr>
          <w:rFonts w:ascii="宋体" w:eastAsia="宋体" w:hAnsi="宋体" w:cs="宋体" w:hint="eastAsia"/>
          <w:sz w:val="24"/>
          <w:szCs w:val="24"/>
        </w:rPr>
        <w:t>；</w:t>
      </w:r>
    </w:p>
    <w:p w14:paraId="1E60242F"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2.通过案例分析，强调理论与实践相结合，促进学生知识整合，培养学生的反思能力；</w:t>
      </w:r>
    </w:p>
    <w:p w14:paraId="6958EC06" w14:textId="77777777" w:rsidR="0078124E" w:rsidRDefault="0078124E" w:rsidP="0078124E">
      <w:pPr>
        <w:spacing w:line="440" w:lineRule="exact"/>
        <w:ind w:firstLineChars="200" w:firstLine="480"/>
        <w:rPr>
          <w:rFonts w:ascii="宋体" w:eastAsia="宋体" w:hAnsi="宋体" w:cs="Times New Roman"/>
          <w:b/>
          <w:sz w:val="24"/>
          <w:szCs w:val="24"/>
        </w:rPr>
      </w:pPr>
      <w:r>
        <w:rPr>
          <w:rFonts w:ascii="宋体" w:eastAsia="宋体" w:hAnsi="宋体" w:cs="宋体" w:hint="eastAsia"/>
          <w:sz w:val="24"/>
          <w:szCs w:val="24"/>
        </w:rPr>
        <w:t>3.通过探究性学习研讨，培育学生问题意识，辩证认识</w:t>
      </w:r>
      <w:r>
        <w:rPr>
          <w:rFonts w:ascii="宋体" w:eastAsia="宋体" w:hAnsi="宋体" w:cs="宋体" w:hint="eastAsia"/>
          <w:color w:val="000000"/>
          <w:sz w:val="24"/>
          <w:szCs w:val="24"/>
        </w:rPr>
        <w:t>人类命运共同体</w:t>
      </w:r>
      <w:r>
        <w:rPr>
          <w:rFonts w:ascii="宋体" w:eastAsia="宋体" w:hAnsi="宋体" w:cs="宋体" w:hint="eastAsia"/>
          <w:sz w:val="24"/>
          <w:szCs w:val="24"/>
        </w:rPr>
        <w:t>的发展及其必然趋势。</w:t>
      </w:r>
    </w:p>
    <w:p w14:paraId="136390ED" w14:textId="77777777" w:rsidR="0078124E" w:rsidRDefault="0078124E" w:rsidP="0078124E">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【复习思考】</w:t>
      </w:r>
    </w:p>
    <w:p w14:paraId="6DBB996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1.为什么说当今世界百年未有之大变局加速演进？</w:t>
      </w:r>
    </w:p>
    <w:p w14:paraId="50F9054B"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2.为什么我国要坚定奉行独立自主的和平外交政策？</w:t>
      </w:r>
    </w:p>
    <w:p w14:paraId="7C4CF844" w14:textId="77777777" w:rsidR="0078124E" w:rsidRDefault="0078124E" w:rsidP="0078124E">
      <w:pPr>
        <w:adjustRightInd w:val="0"/>
        <w:snapToGrid w:val="0"/>
        <w:spacing w:line="440" w:lineRule="exact"/>
        <w:ind w:firstLineChars="200" w:firstLine="480"/>
        <w:rPr>
          <w:rFonts w:ascii="宋体" w:eastAsia="宋体" w:hAnsi="宋体" w:cs="宋体"/>
          <w:b/>
          <w:bCs/>
          <w:color w:val="000000"/>
          <w:sz w:val="24"/>
          <w:szCs w:val="24"/>
        </w:rPr>
      </w:pPr>
      <w:r>
        <w:rPr>
          <w:rFonts w:ascii="宋体" w:eastAsia="宋体" w:hAnsi="宋体" w:cs="宋体" w:hint="eastAsia"/>
          <w:color w:val="000000"/>
          <w:sz w:val="24"/>
          <w:szCs w:val="24"/>
        </w:rPr>
        <w:t>3.如何理解构建人类命运共同体理念的重要意义？</w:t>
      </w:r>
    </w:p>
    <w:p w14:paraId="2FDD49BB" w14:textId="77777777" w:rsidR="0078124E" w:rsidRDefault="0078124E" w:rsidP="0078124E">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第十七章 全面从严治党</w:t>
      </w:r>
    </w:p>
    <w:p w14:paraId="57625CAE" w14:textId="77777777" w:rsidR="0078124E" w:rsidRDefault="0078124E" w:rsidP="0078124E">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【学习目标】</w:t>
      </w:r>
    </w:p>
    <w:p w14:paraId="738A5F91"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w:t>
      </w:r>
    </w:p>
    <w:p w14:paraId="1E812E2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把握全面从严治党的内涵，了解新时代党的建设面临的新形势，掌握新时代党的建设总要求；理解推动全面从严治党向纵深发展的要求。</w:t>
      </w:r>
    </w:p>
    <w:p w14:paraId="5CD40DA4"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w:t>
      </w:r>
    </w:p>
    <w:p w14:paraId="4E1C425D"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让大学生以所见所闻、所体所</w:t>
      </w:r>
      <w:proofErr w:type="gramStart"/>
      <w:r>
        <w:rPr>
          <w:rFonts w:ascii="宋体" w:eastAsia="宋体" w:hAnsi="宋体" w:cs="宋体" w:hint="eastAsia"/>
          <w:color w:val="000000"/>
          <w:sz w:val="24"/>
          <w:szCs w:val="24"/>
        </w:rPr>
        <w:t>察深化</w:t>
      </w:r>
      <w:proofErr w:type="gramEnd"/>
      <w:r>
        <w:rPr>
          <w:rFonts w:ascii="宋体" w:eastAsia="宋体" w:hAnsi="宋体" w:cs="宋体" w:hint="eastAsia"/>
          <w:color w:val="000000"/>
          <w:sz w:val="24"/>
          <w:szCs w:val="24"/>
        </w:rPr>
        <w:t>他们对全面从严治党相关问题的认识，锻炼学生的洞察能力、研究能力。</w:t>
      </w:r>
    </w:p>
    <w:p w14:paraId="2D2AD84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3.素质/价值/</w:t>
      </w:r>
      <w:proofErr w:type="gramStart"/>
      <w:r>
        <w:rPr>
          <w:rFonts w:ascii="宋体" w:eastAsia="宋体" w:hAnsi="宋体" w:cs="宋体" w:hint="eastAsia"/>
          <w:color w:val="000000"/>
          <w:sz w:val="24"/>
          <w:szCs w:val="24"/>
        </w:rPr>
        <w:t>思政育人</w:t>
      </w:r>
      <w:proofErr w:type="gramEnd"/>
      <w:r>
        <w:rPr>
          <w:rFonts w:ascii="宋体" w:eastAsia="宋体" w:hAnsi="宋体" w:cs="宋体" w:hint="eastAsia"/>
          <w:color w:val="000000"/>
          <w:sz w:val="24"/>
          <w:szCs w:val="24"/>
        </w:rPr>
        <w:t>目标</w:t>
      </w:r>
    </w:p>
    <w:p w14:paraId="5FB8FF1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提升大学生科学认识和准确把握全面从严治党的信念，不忘初心，自觉承担起实现中华民族伟大复兴“中国梦”的历史任务。</w:t>
      </w:r>
    </w:p>
    <w:p w14:paraId="571F6F52" w14:textId="77777777" w:rsidR="0078124E" w:rsidRDefault="0078124E" w:rsidP="0078124E">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6BFE85B0"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1.全面从严治党是新时代党的建设的鲜明主题</w:t>
      </w:r>
    </w:p>
    <w:p w14:paraId="1E5B962B"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2.以政治建设为统领深入推进党的建设</w:t>
      </w:r>
    </w:p>
    <w:p w14:paraId="3A9CB262"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3.坚定不移推进反腐败斗争</w:t>
      </w:r>
    </w:p>
    <w:p w14:paraId="28742D60"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4.建设长期执政的马克思主义政党</w:t>
      </w:r>
    </w:p>
    <w:p w14:paraId="0BFD7234" w14:textId="77777777" w:rsidR="0078124E" w:rsidRDefault="0078124E" w:rsidP="0078124E">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【教学重点】</w:t>
      </w:r>
    </w:p>
    <w:p w14:paraId="1512DC75"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1.全面从严治党是新时代党的建设的鲜明主题</w:t>
      </w:r>
    </w:p>
    <w:p w14:paraId="0FA0246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2.以政治建设为统领深入推进党的建设</w:t>
      </w:r>
    </w:p>
    <w:p w14:paraId="0DA0A011" w14:textId="77777777" w:rsidR="0078124E" w:rsidRDefault="0078124E" w:rsidP="0078124E">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【教学难点】</w:t>
      </w:r>
    </w:p>
    <w:p w14:paraId="66296532" w14:textId="77777777" w:rsidR="0078124E" w:rsidRDefault="0078124E" w:rsidP="0078124E">
      <w:pPr>
        <w:adjustRightInd w:val="0"/>
        <w:snapToGrid w:val="0"/>
        <w:spacing w:line="440" w:lineRule="exact"/>
        <w:ind w:leftChars="200" w:left="420"/>
        <w:rPr>
          <w:rFonts w:ascii="宋体" w:eastAsia="宋体" w:hAnsi="宋体" w:cs="宋体"/>
          <w:color w:val="000000"/>
          <w:sz w:val="24"/>
          <w:szCs w:val="24"/>
        </w:rPr>
      </w:pPr>
      <w:r>
        <w:rPr>
          <w:rFonts w:ascii="宋体" w:eastAsia="宋体" w:hAnsi="宋体" w:cs="宋体" w:hint="eastAsia"/>
          <w:color w:val="000000"/>
          <w:sz w:val="24"/>
          <w:szCs w:val="24"/>
        </w:rPr>
        <w:t>1.以政治建设为统领深入推进党的建设</w:t>
      </w:r>
    </w:p>
    <w:p w14:paraId="5D1C11C5" w14:textId="77777777" w:rsidR="0078124E" w:rsidRDefault="0078124E" w:rsidP="0078124E">
      <w:pPr>
        <w:adjustRightInd w:val="0"/>
        <w:snapToGrid w:val="0"/>
        <w:spacing w:line="440" w:lineRule="exact"/>
        <w:ind w:leftChars="200" w:left="420"/>
        <w:rPr>
          <w:rFonts w:ascii="宋体" w:eastAsia="宋体" w:hAnsi="宋体" w:cs="宋体"/>
          <w:color w:val="000000"/>
          <w:sz w:val="24"/>
          <w:szCs w:val="24"/>
        </w:rPr>
      </w:pPr>
      <w:r>
        <w:rPr>
          <w:rFonts w:ascii="宋体" w:eastAsia="宋体" w:hAnsi="宋体" w:cs="宋体" w:hint="eastAsia"/>
          <w:color w:val="000000"/>
          <w:sz w:val="24"/>
          <w:szCs w:val="24"/>
        </w:rPr>
        <w:t>2.建设长期执政的马克思主义政党</w:t>
      </w:r>
    </w:p>
    <w:p w14:paraId="18E28DE8" w14:textId="77777777" w:rsidR="0078124E" w:rsidRDefault="0078124E" w:rsidP="0078124E">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【教学方法】</w:t>
      </w:r>
    </w:p>
    <w:p w14:paraId="466AC0DE"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1.通过教师互动教学法，培养学生理论逻辑思辨能力，引导学生准确理解</w:t>
      </w:r>
      <w:r>
        <w:rPr>
          <w:rFonts w:ascii="宋体" w:eastAsia="宋体" w:hAnsi="宋体" w:cs="宋体" w:hint="eastAsia"/>
          <w:color w:val="000000"/>
          <w:sz w:val="24"/>
          <w:szCs w:val="24"/>
        </w:rPr>
        <w:t>全面从严治党是新时代党的建设的鲜明主题</w:t>
      </w:r>
      <w:r>
        <w:rPr>
          <w:rFonts w:ascii="宋体" w:eastAsia="宋体" w:hAnsi="宋体" w:cs="宋体" w:hint="eastAsia"/>
          <w:sz w:val="24"/>
          <w:szCs w:val="24"/>
        </w:rPr>
        <w:t>；</w:t>
      </w:r>
    </w:p>
    <w:p w14:paraId="0875D859"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2.运用案例分析法，强调理论与实践相结合，培养学生的反思能力；</w:t>
      </w:r>
    </w:p>
    <w:p w14:paraId="2BF97DB0" w14:textId="77777777" w:rsidR="0078124E" w:rsidRDefault="0078124E" w:rsidP="0078124E">
      <w:pPr>
        <w:adjustRightInd w:val="0"/>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3.通过小组合作学习，发展学生的合作能力；</w:t>
      </w:r>
    </w:p>
    <w:p w14:paraId="1D579AFD" w14:textId="77777777" w:rsidR="0078124E" w:rsidRDefault="0078124E" w:rsidP="0078124E">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【复习思考】</w:t>
      </w:r>
    </w:p>
    <w:p w14:paraId="44E18B6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1.如何认识全面从严治党的重大意义？</w:t>
      </w:r>
    </w:p>
    <w:p w14:paraId="1BAE417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2.为什么要把党的政治建设摆在首位？</w:t>
      </w:r>
    </w:p>
    <w:p w14:paraId="07134C67"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3.如何理解一体推进不敢腐、不能腐、不想腐？</w:t>
      </w:r>
    </w:p>
    <w:p w14:paraId="0A66C5C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4.如何理解以伟大自我革命引领伟大社会革命?</w:t>
      </w:r>
    </w:p>
    <w:p w14:paraId="23BE9CF8" w14:textId="77777777" w:rsidR="0078124E" w:rsidRDefault="0078124E" w:rsidP="0078124E">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四、教学内容、学时分配及主要教学方法</w:t>
      </w:r>
    </w:p>
    <w:tbl>
      <w:tblPr>
        <w:tblW w:w="4939"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3660"/>
        <w:gridCol w:w="1085"/>
        <w:gridCol w:w="812"/>
        <w:gridCol w:w="812"/>
        <w:gridCol w:w="815"/>
        <w:gridCol w:w="1490"/>
      </w:tblGrid>
      <w:tr w:rsidR="0078124E" w14:paraId="5C10E666" w14:textId="77777777" w:rsidTr="0078124E">
        <w:trPr>
          <w:trHeight w:val="183"/>
          <w:jc w:val="center"/>
        </w:trPr>
        <w:tc>
          <w:tcPr>
            <w:tcW w:w="2109" w:type="pct"/>
            <w:vMerge w:val="restart"/>
            <w:vAlign w:val="center"/>
          </w:tcPr>
          <w:p w14:paraId="62988D9D"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教学内容</w:t>
            </w:r>
          </w:p>
        </w:tc>
        <w:tc>
          <w:tcPr>
            <w:tcW w:w="2031" w:type="pct"/>
            <w:gridSpan w:val="4"/>
            <w:tcBorders>
              <w:bottom w:val="single" w:sz="4" w:space="0" w:color="auto"/>
            </w:tcBorders>
          </w:tcPr>
          <w:p w14:paraId="117DB0BB"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教学形式及学时分配</w:t>
            </w:r>
          </w:p>
        </w:tc>
        <w:tc>
          <w:tcPr>
            <w:tcW w:w="859" w:type="pct"/>
            <w:vMerge w:val="restart"/>
            <w:vAlign w:val="center"/>
          </w:tcPr>
          <w:p w14:paraId="1DF1B09B"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主要教学方法</w:t>
            </w:r>
          </w:p>
        </w:tc>
      </w:tr>
      <w:tr w:rsidR="0078124E" w14:paraId="19F65A43" w14:textId="77777777" w:rsidTr="0078124E">
        <w:trPr>
          <w:trHeight w:val="212"/>
          <w:jc w:val="center"/>
        </w:trPr>
        <w:tc>
          <w:tcPr>
            <w:tcW w:w="2109" w:type="pct"/>
            <w:vMerge/>
          </w:tcPr>
          <w:p w14:paraId="0F63CAD2" w14:textId="77777777" w:rsidR="0078124E" w:rsidRDefault="0078124E" w:rsidP="0078124E">
            <w:pPr>
              <w:adjustRightInd w:val="0"/>
              <w:snapToGrid w:val="0"/>
              <w:spacing w:line="440" w:lineRule="exact"/>
              <w:ind w:firstLineChars="200" w:firstLine="480"/>
              <w:jc w:val="center"/>
              <w:rPr>
                <w:rFonts w:ascii="宋体" w:eastAsia="宋体" w:hAnsi="宋体" w:cs="宋体"/>
                <w:sz w:val="24"/>
                <w:szCs w:val="24"/>
              </w:rPr>
            </w:pPr>
          </w:p>
        </w:tc>
        <w:tc>
          <w:tcPr>
            <w:tcW w:w="625" w:type="pct"/>
            <w:tcBorders>
              <w:top w:val="single" w:sz="4" w:space="0" w:color="auto"/>
            </w:tcBorders>
          </w:tcPr>
          <w:p w14:paraId="0268A61F"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理论授课</w:t>
            </w:r>
          </w:p>
        </w:tc>
        <w:tc>
          <w:tcPr>
            <w:tcW w:w="468" w:type="pct"/>
            <w:tcBorders>
              <w:top w:val="single" w:sz="4" w:space="0" w:color="auto"/>
              <w:right w:val="single" w:sz="4" w:space="0" w:color="auto"/>
            </w:tcBorders>
          </w:tcPr>
          <w:p w14:paraId="03B99FD9"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实验</w:t>
            </w:r>
          </w:p>
        </w:tc>
        <w:tc>
          <w:tcPr>
            <w:tcW w:w="468" w:type="pct"/>
            <w:tcBorders>
              <w:top w:val="single" w:sz="4" w:space="0" w:color="auto"/>
              <w:left w:val="single" w:sz="4" w:space="0" w:color="auto"/>
            </w:tcBorders>
          </w:tcPr>
          <w:p w14:paraId="0335FE3D"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上机</w:t>
            </w:r>
          </w:p>
        </w:tc>
        <w:tc>
          <w:tcPr>
            <w:tcW w:w="468" w:type="pct"/>
            <w:tcBorders>
              <w:top w:val="single" w:sz="4" w:space="0" w:color="auto"/>
            </w:tcBorders>
          </w:tcPr>
          <w:p w14:paraId="49670952" w14:textId="77777777" w:rsidR="0078124E" w:rsidRDefault="0078124E" w:rsidP="0078124E">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合计</w:t>
            </w:r>
          </w:p>
        </w:tc>
        <w:tc>
          <w:tcPr>
            <w:tcW w:w="859" w:type="pct"/>
            <w:vMerge/>
          </w:tcPr>
          <w:p w14:paraId="10DD6EF5" w14:textId="77777777" w:rsidR="0078124E" w:rsidRDefault="0078124E" w:rsidP="0078124E">
            <w:pPr>
              <w:adjustRightInd w:val="0"/>
              <w:snapToGrid w:val="0"/>
              <w:spacing w:line="440" w:lineRule="exact"/>
              <w:jc w:val="center"/>
              <w:rPr>
                <w:rFonts w:ascii="宋体" w:eastAsia="宋体" w:hAnsi="宋体" w:cs="宋体"/>
                <w:sz w:val="24"/>
                <w:szCs w:val="24"/>
              </w:rPr>
            </w:pPr>
          </w:p>
        </w:tc>
      </w:tr>
      <w:tr w:rsidR="0078124E" w14:paraId="1D56FBE1" w14:textId="77777777" w:rsidTr="0078124E">
        <w:trPr>
          <w:trHeight w:val="473"/>
          <w:jc w:val="center"/>
        </w:trPr>
        <w:tc>
          <w:tcPr>
            <w:tcW w:w="2109" w:type="pct"/>
            <w:vAlign w:val="center"/>
          </w:tcPr>
          <w:p w14:paraId="1AF18B18" w14:textId="77777777" w:rsidR="0078124E" w:rsidRDefault="0078124E"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bCs/>
                <w:color w:val="000000"/>
                <w:sz w:val="24"/>
                <w:szCs w:val="24"/>
              </w:rPr>
              <w:t>导论</w:t>
            </w:r>
          </w:p>
        </w:tc>
        <w:tc>
          <w:tcPr>
            <w:tcW w:w="625" w:type="pct"/>
            <w:vAlign w:val="center"/>
          </w:tcPr>
          <w:p w14:paraId="3F71C786"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468" w:type="pct"/>
            <w:tcBorders>
              <w:right w:val="single" w:sz="4" w:space="0" w:color="auto"/>
            </w:tcBorders>
            <w:vAlign w:val="center"/>
          </w:tcPr>
          <w:p w14:paraId="0B00352D"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2204BC7E"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2ABFE9A5"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859" w:type="pct"/>
            <w:vAlign w:val="center"/>
          </w:tcPr>
          <w:p w14:paraId="1F731771"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color w:val="000000"/>
                <w:sz w:val="24"/>
                <w:szCs w:val="24"/>
              </w:rPr>
              <w:t>专题讲授</w:t>
            </w:r>
          </w:p>
        </w:tc>
      </w:tr>
      <w:tr w:rsidR="0078124E" w14:paraId="0976C62D" w14:textId="77777777" w:rsidTr="0078124E">
        <w:trPr>
          <w:jc w:val="center"/>
        </w:trPr>
        <w:tc>
          <w:tcPr>
            <w:tcW w:w="2109" w:type="pct"/>
          </w:tcPr>
          <w:p w14:paraId="2D09B890" w14:textId="77777777" w:rsidR="0078124E" w:rsidRDefault="0078124E"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bCs/>
                <w:color w:val="000000"/>
                <w:sz w:val="24"/>
                <w:szCs w:val="24"/>
              </w:rPr>
              <w:t>第一章 新时代坚持和发展中国特色社会主义</w:t>
            </w:r>
          </w:p>
        </w:tc>
        <w:tc>
          <w:tcPr>
            <w:tcW w:w="625" w:type="pct"/>
            <w:vAlign w:val="center"/>
          </w:tcPr>
          <w:p w14:paraId="68FA2D46"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468" w:type="pct"/>
            <w:tcBorders>
              <w:right w:val="single" w:sz="4" w:space="0" w:color="auto"/>
            </w:tcBorders>
            <w:vAlign w:val="center"/>
          </w:tcPr>
          <w:p w14:paraId="60A7C2C6"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1EE818CC"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490C0F0B"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859" w:type="pct"/>
            <w:vAlign w:val="center"/>
          </w:tcPr>
          <w:p w14:paraId="6EA9F707"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color w:val="000000"/>
                <w:sz w:val="24"/>
                <w:szCs w:val="24"/>
              </w:rPr>
              <w:t>专题讲授</w:t>
            </w:r>
          </w:p>
        </w:tc>
      </w:tr>
      <w:tr w:rsidR="0078124E" w14:paraId="0CB2D200" w14:textId="77777777" w:rsidTr="0078124E">
        <w:trPr>
          <w:jc w:val="center"/>
        </w:trPr>
        <w:tc>
          <w:tcPr>
            <w:tcW w:w="2109" w:type="pct"/>
          </w:tcPr>
          <w:p w14:paraId="2C9D5EED" w14:textId="77777777" w:rsidR="0078124E" w:rsidRDefault="0078124E" w:rsidP="0078124E">
            <w:pPr>
              <w:adjustRightInd w:val="0"/>
              <w:snapToGrid w:val="0"/>
              <w:spacing w:line="440" w:lineRule="exact"/>
              <w:jc w:val="left"/>
              <w:rPr>
                <w:rFonts w:ascii="宋体" w:eastAsia="宋体" w:hAnsi="宋体" w:cs="宋体"/>
                <w:bCs/>
                <w:color w:val="000000"/>
                <w:sz w:val="24"/>
                <w:szCs w:val="24"/>
              </w:rPr>
            </w:pPr>
            <w:r>
              <w:rPr>
                <w:rFonts w:ascii="宋体" w:eastAsia="宋体" w:hAnsi="宋体" w:cs="宋体" w:hint="eastAsia"/>
                <w:bCs/>
                <w:color w:val="000000"/>
                <w:sz w:val="24"/>
                <w:szCs w:val="24"/>
              </w:rPr>
              <w:lastRenderedPageBreak/>
              <w:t>第二章 以中国式现代化全面推进中华民族伟大复兴</w:t>
            </w:r>
          </w:p>
        </w:tc>
        <w:tc>
          <w:tcPr>
            <w:tcW w:w="625" w:type="pct"/>
            <w:vAlign w:val="center"/>
          </w:tcPr>
          <w:p w14:paraId="2C4F74E1"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468" w:type="pct"/>
            <w:tcBorders>
              <w:right w:val="single" w:sz="4" w:space="0" w:color="auto"/>
            </w:tcBorders>
            <w:vAlign w:val="center"/>
          </w:tcPr>
          <w:p w14:paraId="7F4399DA"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5F723049"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3AB35688"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859" w:type="pct"/>
            <w:vAlign w:val="center"/>
          </w:tcPr>
          <w:p w14:paraId="0D0B7C78"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color w:val="000000"/>
                <w:sz w:val="24"/>
                <w:szCs w:val="24"/>
              </w:rPr>
              <w:t>专题讲授</w:t>
            </w:r>
          </w:p>
        </w:tc>
      </w:tr>
      <w:tr w:rsidR="0078124E" w14:paraId="36AF2680" w14:textId="77777777" w:rsidTr="0078124E">
        <w:trPr>
          <w:jc w:val="center"/>
        </w:trPr>
        <w:tc>
          <w:tcPr>
            <w:tcW w:w="2109" w:type="pct"/>
            <w:vAlign w:val="center"/>
          </w:tcPr>
          <w:p w14:paraId="432F0BA3" w14:textId="77777777" w:rsidR="0078124E" w:rsidRDefault="0078124E"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bCs/>
                <w:color w:val="000000"/>
                <w:sz w:val="24"/>
                <w:szCs w:val="24"/>
              </w:rPr>
              <w:t>第三章 坚持党的全面领导</w:t>
            </w:r>
          </w:p>
        </w:tc>
        <w:tc>
          <w:tcPr>
            <w:tcW w:w="625" w:type="pct"/>
            <w:vAlign w:val="center"/>
          </w:tcPr>
          <w:p w14:paraId="7EDE4A8C"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468" w:type="pct"/>
            <w:tcBorders>
              <w:right w:val="single" w:sz="4" w:space="0" w:color="auto"/>
            </w:tcBorders>
            <w:vAlign w:val="center"/>
          </w:tcPr>
          <w:p w14:paraId="30DED100"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6F04B574"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22B215C8"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859" w:type="pct"/>
            <w:vAlign w:val="center"/>
          </w:tcPr>
          <w:p w14:paraId="24FA7033"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color w:val="000000"/>
                <w:sz w:val="24"/>
                <w:szCs w:val="24"/>
              </w:rPr>
              <w:t>专题讲授</w:t>
            </w:r>
          </w:p>
        </w:tc>
      </w:tr>
      <w:tr w:rsidR="0078124E" w14:paraId="59301031" w14:textId="77777777" w:rsidTr="0078124E">
        <w:trPr>
          <w:jc w:val="center"/>
        </w:trPr>
        <w:tc>
          <w:tcPr>
            <w:tcW w:w="2109" w:type="pct"/>
            <w:vAlign w:val="center"/>
          </w:tcPr>
          <w:p w14:paraId="7864CB65" w14:textId="77777777" w:rsidR="0078124E" w:rsidRDefault="0078124E"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bCs/>
                <w:color w:val="000000"/>
                <w:sz w:val="24"/>
                <w:szCs w:val="24"/>
              </w:rPr>
              <w:t>第四章 坚持以人民为中心</w:t>
            </w:r>
          </w:p>
        </w:tc>
        <w:tc>
          <w:tcPr>
            <w:tcW w:w="625" w:type="pct"/>
            <w:vAlign w:val="center"/>
          </w:tcPr>
          <w:p w14:paraId="4DDBEC29"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468" w:type="pct"/>
            <w:tcBorders>
              <w:right w:val="single" w:sz="4" w:space="0" w:color="auto"/>
            </w:tcBorders>
            <w:vAlign w:val="center"/>
          </w:tcPr>
          <w:p w14:paraId="08FFAE26"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53C8A5B2"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538978DA"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859" w:type="pct"/>
            <w:vAlign w:val="center"/>
          </w:tcPr>
          <w:p w14:paraId="5BEE1F35"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color w:val="000000"/>
                <w:sz w:val="24"/>
                <w:szCs w:val="24"/>
              </w:rPr>
              <w:t>专题讲授</w:t>
            </w:r>
          </w:p>
        </w:tc>
      </w:tr>
      <w:tr w:rsidR="0078124E" w14:paraId="18F1A739" w14:textId="77777777" w:rsidTr="0078124E">
        <w:trPr>
          <w:jc w:val="center"/>
        </w:trPr>
        <w:tc>
          <w:tcPr>
            <w:tcW w:w="2109" w:type="pct"/>
            <w:vAlign w:val="center"/>
          </w:tcPr>
          <w:p w14:paraId="23E9FCC6" w14:textId="77777777" w:rsidR="0078124E" w:rsidRDefault="0078124E"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bCs/>
                <w:color w:val="000000"/>
                <w:sz w:val="24"/>
                <w:szCs w:val="24"/>
              </w:rPr>
              <w:t>第五章 全面深化改革开放</w:t>
            </w:r>
          </w:p>
        </w:tc>
        <w:tc>
          <w:tcPr>
            <w:tcW w:w="625" w:type="pct"/>
            <w:vAlign w:val="center"/>
          </w:tcPr>
          <w:p w14:paraId="6292EAA8"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468" w:type="pct"/>
            <w:tcBorders>
              <w:right w:val="single" w:sz="4" w:space="0" w:color="auto"/>
            </w:tcBorders>
            <w:vAlign w:val="center"/>
          </w:tcPr>
          <w:p w14:paraId="394107BF"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0ED306A0"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50B1F29A"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859" w:type="pct"/>
            <w:vAlign w:val="center"/>
          </w:tcPr>
          <w:p w14:paraId="55B4ECEA"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color w:val="000000"/>
                <w:sz w:val="24"/>
                <w:szCs w:val="24"/>
              </w:rPr>
              <w:t>专题讲授</w:t>
            </w:r>
          </w:p>
        </w:tc>
      </w:tr>
      <w:tr w:rsidR="0078124E" w14:paraId="1D1114B2" w14:textId="77777777" w:rsidTr="0078124E">
        <w:trPr>
          <w:jc w:val="center"/>
        </w:trPr>
        <w:tc>
          <w:tcPr>
            <w:tcW w:w="2109" w:type="pct"/>
            <w:vAlign w:val="center"/>
          </w:tcPr>
          <w:p w14:paraId="09A903DC" w14:textId="77777777" w:rsidR="0078124E" w:rsidRDefault="0078124E"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bCs/>
                <w:color w:val="000000"/>
                <w:sz w:val="24"/>
                <w:szCs w:val="24"/>
              </w:rPr>
              <w:t>第六章 推动高质量发展</w:t>
            </w:r>
          </w:p>
        </w:tc>
        <w:tc>
          <w:tcPr>
            <w:tcW w:w="625" w:type="pct"/>
            <w:vAlign w:val="center"/>
          </w:tcPr>
          <w:p w14:paraId="3405D3B5"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468" w:type="pct"/>
            <w:tcBorders>
              <w:right w:val="single" w:sz="4" w:space="0" w:color="auto"/>
            </w:tcBorders>
            <w:vAlign w:val="center"/>
          </w:tcPr>
          <w:p w14:paraId="5E9796DA"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788309B3"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5618166E"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859" w:type="pct"/>
            <w:vAlign w:val="center"/>
          </w:tcPr>
          <w:p w14:paraId="75216448"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color w:val="000000"/>
                <w:sz w:val="24"/>
                <w:szCs w:val="24"/>
              </w:rPr>
              <w:t>专题讲授</w:t>
            </w:r>
          </w:p>
        </w:tc>
      </w:tr>
      <w:tr w:rsidR="0078124E" w14:paraId="11F96C2F" w14:textId="77777777" w:rsidTr="0078124E">
        <w:trPr>
          <w:jc w:val="center"/>
        </w:trPr>
        <w:tc>
          <w:tcPr>
            <w:tcW w:w="2109" w:type="pct"/>
            <w:vAlign w:val="center"/>
          </w:tcPr>
          <w:p w14:paraId="3353B1ED" w14:textId="77777777" w:rsidR="0078124E" w:rsidRDefault="0078124E" w:rsidP="0078124E">
            <w:pPr>
              <w:adjustRightInd w:val="0"/>
              <w:snapToGrid w:val="0"/>
              <w:spacing w:line="440" w:lineRule="exact"/>
              <w:jc w:val="left"/>
              <w:rPr>
                <w:rFonts w:ascii="宋体" w:eastAsia="宋体" w:hAnsi="宋体" w:cs="宋体"/>
                <w:sz w:val="24"/>
                <w:szCs w:val="24"/>
              </w:rPr>
            </w:pPr>
            <w:r>
              <w:rPr>
                <w:rFonts w:ascii="宋体" w:eastAsia="宋体" w:hAnsi="宋体" w:cs="宋体" w:hint="eastAsia"/>
                <w:bCs/>
                <w:color w:val="000000"/>
                <w:sz w:val="24"/>
                <w:szCs w:val="24"/>
              </w:rPr>
              <w:t>第七章 社会主义现代化建设的教育、科技、人才战略</w:t>
            </w:r>
          </w:p>
        </w:tc>
        <w:tc>
          <w:tcPr>
            <w:tcW w:w="625" w:type="pct"/>
            <w:vAlign w:val="center"/>
          </w:tcPr>
          <w:p w14:paraId="2CDDB2F5"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468" w:type="pct"/>
            <w:tcBorders>
              <w:right w:val="single" w:sz="4" w:space="0" w:color="auto"/>
            </w:tcBorders>
            <w:vAlign w:val="center"/>
          </w:tcPr>
          <w:p w14:paraId="50271D05"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0791359E"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68C297FB"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859" w:type="pct"/>
            <w:vAlign w:val="center"/>
          </w:tcPr>
          <w:p w14:paraId="0C4D711F"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color w:val="000000"/>
                <w:sz w:val="24"/>
                <w:szCs w:val="24"/>
              </w:rPr>
              <w:t>专题讲授</w:t>
            </w:r>
          </w:p>
        </w:tc>
      </w:tr>
      <w:tr w:rsidR="0078124E" w14:paraId="248EF04C" w14:textId="77777777" w:rsidTr="0078124E">
        <w:trPr>
          <w:jc w:val="center"/>
        </w:trPr>
        <w:tc>
          <w:tcPr>
            <w:tcW w:w="2109" w:type="pct"/>
            <w:vAlign w:val="center"/>
          </w:tcPr>
          <w:p w14:paraId="28B80A36" w14:textId="77777777" w:rsidR="0078124E" w:rsidRDefault="0078124E" w:rsidP="0078124E">
            <w:pPr>
              <w:adjustRightInd w:val="0"/>
              <w:snapToGrid w:val="0"/>
              <w:spacing w:line="440" w:lineRule="exact"/>
              <w:jc w:val="left"/>
              <w:rPr>
                <w:rFonts w:ascii="宋体" w:eastAsia="宋体" w:hAnsi="宋体" w:cs="宋体"/>
                <w:color w:val="000000"/>
                <w:sz w:val="24"/>
                <w:szCs w:val="24"/>
              </w:rPr>
            </w:pPr>
            <w:r>
              <w:rPr>
                <w:rFonts w:ascii="宋体" w:eastAsia="宋体" w:hAnsi="宋体" w:cs="宋体" w:hint="eastAsia"/>
                <w:bCs/>
                <w:color w:val="000000"/>
                <w:sz w:val="24"/>
                <w:szCs w:val="24"/>
              </w:rPr>
              <w:t>第八章 发展全过程人民 民主</w:t>
            </w:r>
          </w:p>
        </w:tc>
        <w:tc>
          <w:tcPr>
            <w:tcW w:w="625" w:type="pct"/>
            <w:vAlign w:val="center"/>
          </w:tcPr>
          <w:p w14:paraId="376C89DE"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468" w:type="pct"/>
            <w:tcBorders>
              <w:right w:val="single" w:sz="4" w:space="0" w:color="auto"/>
            </w:tcBorders>
            <w:vAlign w:val="center"/>
          </w:tcPr>
          <w:p w14:paraId="59F1D1BA"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2D07C2BC"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1DC66AEF"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859" w:type="pct"/>
            <w:vAlign w:val="center"/>
          </w:tcPr>
          <w:p w14:paraId="600114FC" w14:textId="77777777" w:rsidR="0078124E" w:rsidRDefault="0078124E" w:rsidP="0078124E">
            <w:pPr>
              <w:adjustRightInd w:val="0"/>
              <w:snapToGrid w:val="0"/>
              <w:spacing w:line="440" w:lineRule="exact"/>
              <w:jc w:val="center"/>
              <w:rPr>
                <w:rFonts w:ascii="宋体" w:eastAsia="宋体" w:hAnsi="宋体" w:cs="宋体"/>
                <w:color w:val="000000"/>
                <w:sz w:val="24"/>
                <w:szCs w:val="24"/>
              </w:rPr>
            </w:pPr>
            <w:r>
              <w:rPr>
                <w:rFonts w:ascii="宋体" w:eastAsia="宋体" w:hAnsi="宋体" w:cs="宋体" w:hint="eastAsia"/>
                <w:color w:val="000000"/>
                <w:sz w:val="24"/>
                <w:szCs w:val="24"/>
              </w:rPr>
              <w:t>专题讲授</w:t>
            </w:r>
          </w:p>
        </w:tc>
      </w:tr>
      <w:tr w:rsidR="0078124E" w14:paraId="56E5A339" w14:textId="77777777" w:rsidTr="0078124E">
        <w:trPr>
          <w:jc w:val="center"/>
        </w:trPr>
        <w:tc>
          <w:tcPr>
            <w:tcW w:w="2109" w:type="pct"/>
            <w:vAlign w:val="center"/>
          </w:tcPr>
          <w:p w14:paraId="1AA56AE7" w14:textId="77777777" w:rsidR="0078124E" w:rsidRDefault="0078124E" w:rsidP="0078124E">
            <w:pPr>
              <w:adjustRightInd w:val="0"/>
              <w:snapToGrid w:val="0"/>
              <w:spacing w:line="440" w:lineRule="exact"/>
              <w:jc w:val="left"/>
              <w:rPr>
                <w:rFonts w:ascii="宋体" w:eastAsia="宋体" w:hAnsi="宋体" w:cs="宋体"/>
                <w:bCs/>
                <w:color w:val="000000"/>
                <w:sz w:val="24"/>
                <w:szCs w:val="24"/>
              </w:rPr>
            </w:pPr>
            <w:r>
              <w:rPr>
                <w:rFonts w:ascii="宋体" w:eastAsia="宋体" w:hAnsi="宋体" w:cs="宋体" w:hint="eastAsia"/>
                <w:bCs/>
                <w:color w:val="000000"/>
                <w:sz w:val="24"/>
                <w:szCs w:val="24"/>
              </w:rPr>
              <w:t>第九章 全面依法治国</w:t>
            </w:r>
          </w:p>
        </w:tc>
        <w:tc>
          <w:tcPr>
            <w:tcW w:w="625" w:type="pct"/>
            <w:vAlign w:val="center"/>
          </w:tcPr>
          <w:p w14:paraId="5702EAD8"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468" w:type="pct"/>
            <w:tcBorders>
              <w:right w:val="single" w:sz="4" w:space="0" w:color="auto"/>
            </w:tcBorders>
            <w:vAlign w:val="center"/>
          </w:tcPr>
          <w:p w14:paraId="25F852E3"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42908FF4"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3EEF540A"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859" w:type="pct"/>
            <w:vAlign w:val="center"/>
          </w:tcPr>
          <w:p w14:paraId="7E77D9A6" w14:textId="77777777" w:rsidR="0078124E" w:rsidRDefault="0078124E" w:rsidP="0078124E">
            <w:pPr>
              <w:adjustRightInd w:val="0"/>
              <w:snapToGrid w:val="0"/>
              <w:spacing w:line="440" w:lineRule="exact"/>
              <w:jc w:val="center"/>
              <w:rPr>
                <w:rFonts w:ascii="宋体" w:eastAsia="宋体" w:hAnsi="宋体" w:cs="宋体"/>
                <w:color w:val="000000"/>
                <w:sz w:val="24"/>
                <w:szCs w:val="24"/>
              </w:rPr>
            </w:pPr>
            <w:r>
              <w:rPr>
                <w:rFonts w:ascii="宋体" w:eastAsia="宋体" w:hAnsi="宋体" w:cs="宋体" w:hint="eastAsia"/>
                <w:color w:val="000000"/>
                <w:sz w:val="24"/>
                <w:szCs w:val="24"/>
              </w:rPr>
              <w:t>专题讲授</w:t>
            </w:r>
          </w:p>
        </w:tc>
      </w:tr>
      <w:tr w:rsidR="0078124E" w14:paraId="0DA68451" w14:textId="77777777" w:rsidTr="0078124E">
        <w:trPr>
          <w:jc w:val="center"/>
        </w:trPr>
        <w:tc>
          <w:tcPr>
            <w:tcW w:w="2109" w:type="pct"/>
            <w:vAlign w:val="center"/>
          </w:tcPr>
          <w:p w14:paraId="42B3AD87" w14:textId="77777777" w:rsidR="0078124E" w:rsidRDefault="0078124E" w:rsidP="0078124E">
            <w:pPr>
              <w:adjustRightInd w:val="0"/>
              <w:snapToGrid w:val="0"/>
              <w:spacing w:line="440" w:lineRule="exact"/>
              <w:jc w:val="left"/>
              <w:rPr>
                <w:rFonts w:ascii="宋体" w:eastAsia="宋体" w:hAnsi="宋体" w:cs="宋体"/>
                <w:color w:val="000000"/>
                <w:sz w:val="24"/>
                <w:szCs w:val="24"/>
              </w:rPr>
            </w:pPr>
            <w:r>
              <w:rPr>
                <w:rFonts w:ascii="宋体" w:eastAsia="宋体" w:hAnsi="宋体" w:cs="宋体" w:hint="eastAsia"/>
                <w:bCs/>
                <w:color w:val="000000"/>
                <w:sz w:val="24"/>
                <w:szCs w:val="24"/>
              </w:rPr>
              <w:t>第十章 建设社会主义文化强国</w:t>
            </w:r>
          </w:p>
        </w:tc>
        <w:tc>
          <w:tcPr>
            <w:tcW w:w="625" w:type="pct"/>
            <w:vAlign w:val="center"/>
          </w:tcPr>
          <w:p w14:paraId="0214FC7F"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468" w:type="pct"/>
            <w:tcBorders>
              <w:right w:val="single" w:sz="4" w:space="0" w:color="auto"/>
            </w:tcBorders>
            <w:vAlign w:val="center"/>
          </w:tcPr>
          <w:p w14:paraId="7A274F8D"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5123D600"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66D59FA1"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859" w:type="pct"/>
            <w:vAlign w:val="center"/>
          </w:tcPr>
          <w:p w14:paraId="2C59D754" w14:textId="77777777" w:rsidR="0078124E" w:rsidRDefault="0078124E" w:rsidP="0078124E">
            <w:pPr>
              <w:adjustRightInd w:val="0"/>
              <w:snapToGrid w:val="0"/>
              <w:spacing w:line="440" w:lineRule="exact"/>
              <w:jc w:val="center"/>
              <w:rPr>
                <w:rFonts w:ascii="宋体" w:eastAsia="宋体" w:hAnsi="宋体" w:cs="宋体"/>
                <w:color w:val="000000"/>
                <w:sz w:val="24"/>
                <w:szCs w:val="24"/>
              </w:rPr>
            </w:pPr>
            <w:r>
              <w:rPr>
                <w:rFonts w:ascii="宋体" w:eastAsia="宋体" w:hAnsi="宋体" w:cs="宋体" w:hint="eastAsia"/>
                <w:color w:val="000000"/>
                <w:sz w:val="24"/>
                <w:szCs w:val="24"/>
              </w:rPr>
              <w:t>专题讲授</w:t>
            </w:r>
          </w:p>
        </w:tc>
      </w:tr>
      <w:tr w:rsidR="0078124E" w14:paraId="0E59321A" w14:textId="77777777" w:rsidTr="0078124E">
        <w:trPr>
          <w:jc w:val="center"/>
        </w:trPr>
        <w:tc>
          <w:tcPr>
            <w:tcW w:w="2109" w:type="pct"/>
            <w:vAlign w:val="center"/>
          </w:tcPr>
          <w:p w14:paraId="482EBFE3" w14:textId="77777777" w:rsidR="0078124E" w:rsidRDefault="0078124E" w:rsidP="0078124E">
            <w:pPr>
              <w:adjustRightInd w:val="0"/>
              <w:snapToGrid w:val="0"/>
              <w:spacing w:line="440" w:lineRule="exact"/>
              <w:jc w:val="left"/>
              <w:rPr>
                <w:rFonts w:ascii="宋体" w:eastAsia="宋体" w:hAnsi="宋体" w:cs="宋体"/>
                <w:color w:val="000000"/>
                <w:sz w:val="24"/>
                <w:szCs w:val="24"/>
              </w:rPr>
            </w:pPr>
            <w:r>
              <w:rPr>
                <w:rFonts w:ascii="宋体" w:eastAsia="宋体" w:hAnsi="宋体" w:cs="宋体" w:hint="eastAsia"/>
                <w:bCs/>
                <w:color w:val="000000"/>
                <w:sz w:val="24"/>
                <w:szCs w:val="24"/>
              </w:rPr>
              <w:t>第十一章 以保障和改善民生为重点加强社会建设</w:t>
            </w:r>
          </w:p>
        </w:tc>
        <w:tc>
          <w:tcPr>
            <w:tcW w:w="625" w:type="pct"/>
            <w:vAlign w:val="center"/>
          </w:tcPr>
          <w:p w14:paraId="4484449A"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468" w:type="pct"/>
            <w:tcBorders>
              <w:right w:val="single" w:sz="4" w:space="0" w:color="auto"/>
            </w:tcBorders>
            <w:vAlign w:val="center"/>
          </w:tcPr>
          <w:p w14:paraId="21489952"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792E9C4D"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0C2F3B0C"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859" w:type="pct"/>
            <w:vAlign w:val="center"/>
          </w:tcPr>
          <w:p w14:paraId="0AF9059E" w14:textId="77777777" w:rsidR="0078124E" w:rsidRDefault="0078124E" w:rsidP="0078124E">
            <w:pPr>
              <w:adjustRightInd w:val="0"/>
              <w:snapToGrid w:val="0"/>
              <w:spacing w:line="440" w:lineRule="exact"/>
              <w:jc w:val="center"/>
              <w:rPr>
                <w:rFonts w:ascii="宋体" w:eastAsia="宋体" w:hAnsi="宋体" w:cs="宋体"/>
                <w:color w:val="000000"/>
                <w:sz w:val="24"/>
                <w:szCs w:val="24"/>
              </w:rPr>
            </w:pPr>
            <w:r>
              <w:rPr>
                <w:rFonts w:ascii="宋体" w:eastAsia="宋体" w:hAnsi="宋体" w:cs="宋体" w:hint="eastAsia"/>
                <w:color w:val="000000"/>
                <w:sz w:val="24"/>
                <w:szCs w:val="24"/>
              </w:rPr>
              <w:t>专题讲授</w:t>
            </w:r>
          </w:p>
        </w:tc>
      </w:tr>
      <w:tr w:rsidR="0078124E" w14:paraId="1B641F34" w14:textId="77777777" w:rsidTr="0078124E">
        <w:trPr>
          <w:jc w:val="center"/>
        </w:trPr>
        <w:tc>
          <w:tcPr>
            <w:tcW w:w="2109" w:type="pct"/>
            <w:vAlign w:val="center"/>
          </w:tcPr>
          <w:p w14:paraId="0EE3CFAA" w14:textId="77777777" w:rsidR="0078124E" w:rsidRDefault="0078124E" w:rsidP="0078124E">
            <w:pPr>
              <w:adjustRightInd w:val="0"/>
              <w:snapToGrid w:val="0"/>
              <w:spacing w:line="440" w:lineRule="exact"/>
              <w:jc w:val="left"/>
              <w:rPr>
                <w:rFonts w:ascii="宋体" w:eastAsia="宋体" w:hAnsi="宋体" w:cs="宋体"/>
                <w:color w:val="000000"/>
                <w:sz w:val="24"/>
                <w:szCs w:val="24"/>
              </w:rPr>
            </w:pPr>
            <w:r>
              <w:rPr>
                <w:rFonts w:ascii="宋体" w:eastAsia="宋体" w:hAnsi="宋体" w:cs="宋体" w:hint="eastAsia"/>
                <w:bCs/>
                <w:color w:val="000000"/>
                <w:sz w:val="24"/>
                <w:szCs w:val="24"/>
              </w:rPr>
              <w:t>第十二章 建设社会主义生态文明</w:t>
            </w:r>
          </w:p>
        </w:tc>
        <w:tc>
          <w:tcPr>
            <w:tcW w:w="625" w:type="pct"/>
            <w:vAlign w:val="center"/>
          </w:tcPr>
          <w:p w14:paraId="54A2536B"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468" w:type="pct"/>
            <w:tcBorders>
              <w:right w:val="single" w:sz="4" w:space="0" w:color="auto"/>
            </w:tcBorders>
            <w:vAlign w:val="center"/>
          </w:tcPr>
          <w:p w14:paraId="72672595"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7A19ACAD"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46026A40"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859" w:type="pct"/>
            <w:vAlign w:val="center"/>
          </w:tcPr>
          <w:p w14:paraId="65B2E766" w14:textId="77777777" w:rsidR="0078124E" w:rsidRDefault="0078124E" w:rsidP="0078124E">
            <w:pPr>
              <w:adjustRightInd w:val="0"/>
              <w:snapToGrid w:val="0"/>
              <w:spacing w:line="440" w:lineRule="exact"/>
              <w:jc w:val="center"/>
              <w:rPr>
                <w:rFonts w:ascii="宋体" w:eastAsia="宋体" w:hAnsi="宋体" w:cs="宋体"/>
                <w:color w:val="000000"/>
                <w:sz w:val="24"/>
                <w:szCs w:val="24"/>
              </w:rPr>
            </w:pPr>
            <w:r>
              <w:rPr>
                <w:rFonts w:ascii="宋体" w:eastAsia="宋体" w:hAnsi="宋体" w:cs="宋体" w:hint="eastAsia"/>
                <w:color w:val="000000"/>
                <w:sz w:val="24"/>
                <w:szCs w:val="24"/>
              </w:rPr>
              <w:t>专题讲授</w:t>
            </w:r>
          </w:p>
        </w:tc>
      </w:tr>
      <w:tr w:rsidR="0078124E" w14:paraId="5414056D" w14:textId="77777777" w:rsidTr="0078124E">
        <w:trPr>
          <w:jc w:val="center"/>
        </w:trPr>
        <w:tc>
          <w:tcPr>
            <w:tcW w:w="2109" w:type="pct"/>
            <w:vAlign w:val="center"/>
          </w:tcPr>
          <w:p w14:paraId="6B0DDDFD" w14:textId="77777777" w:rsidR="0078124E" w:rsidRDefault="0078124E" w:rsidP="0078124E">
            <w:pPr>
              <w:adjustRightInd w:val="0"/>
              <w:snapToGrid w:val="0"/>
              <w:spacing w:line="440" w:lineRule="exact"/>
              <w:jc w:val="left"/>
              <w:rPr>
                <w:rFonts w:ascii="宋体" w:eastAsia="宋体" w:hAnsi="宋体" w:cs="宋体"/>
                <w:color w:val="000000"/>
                <w:sz w:val="24"/>
                <w:szCs w:val="24"/>
              </w:rPr>
            </w:pPr>
            <w:r>
              <w:rPr>
                <w:rFonts w:ascii="宋体" w:eastAsia="宋体" w:hAnsi="宋体" w:cs="宋体" w:hint="eastAsia"/>
                <w:bCs/>
                <w:color w:val="000000"/>
                <w:sz w:val="24"/>
                <w:szCs w:val="24"/>
              </w:rPr>
              <w:t>第十三章 维护和塑造国家安全</w:t>
            </w:r>
          </w:p>
        </w:tc>
        <w:tc>
          <w:tcPr>
            <w:tcW w:w="625" w:type="pct"/>
            <w:vAlign w:val="center"/>
          </w:tcPr>
          <w:p w14:paraId="0E0A136C"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1</w:t>
            </w:r>
          </w:p>
        </w:tc>
        <w:tc>
          <w:tcPr>
            <w:tcW w:w="468" w:type="pct"/>
            <w:tcBorders>
              <w:right w:val="single" w:sz="4" w:space="0" w:color="auto"/>
            </w:tcBorders>
            <w:vAlign w:val="center"/>
          </w:tcPr>
          <w:p w14:paraId="3397C7EA"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60DD1FE4"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1E1D5D66"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1</w:t>
            </w:r>
          </w:p>
        </w:tc>
        <w:tc>
          <w:tcPr>
            <w:tcW w:w="859" w:type="pct"/>
            <w:vAlign w:val="center"/>
          </w:tcPr>
          <w:p w14:paraId="6794D749" w14:textId="77777777" w:rsidR="0078124E" w:rsidRDefault="0078124E" w:rsidP="0078124E">
            <w:pPr>
              <w:adjustRightInd w:val="0"/>
              <w:snapToGrid w:val="0"/>
              <w:spacing w:line="440" w:lineRule="exact"/>
              <w:jc w:val="center"/>
              <w:rPr>
                <w:rFonts w:ascii="宋体" w:eastAsia="宋体" w:hAnsi="宋体" w:cs="宋体"/>
                <w:color w:val="000000"/>
                <w:sz w:val="24"/>
                <w:szCs w:val="24"/>
              </w:rPr>
            </w:pPr>
            <w:r>
              <w:rPr>
                <w:rFonts w:ascii="宋体" w:eastAsia="宋体" w:hAnsi="宋体" w:cs="宋体" w:hint="eastAsia"/>
                <w:color w:val="000000"/>
                <w:sz w:val="24"/>
                <w:szCs w:val="24"/>
              </w:rPr>
              <w:t>专题讲授</w:t>
            </w:r>
          </w:p>
        </w:tc>
      </w:tr>
      <w:tr w:rsidR="0078124E" w14:paraId="4B8E7D0A" w14:textId="77777777" w:rsidTr="0078124E">
        <w:trPr>
          <w:jc w:val="center"/>
        </w:trPr>
        <w:tc>
          <w:tcPr>
            <w:tcW w:w="2109" w:type="pct"/>
            <w:vAlign w:val="center"/>
          </w:tcPr>
          <w:p w14:paraId="1F2114BF" w14:textId="77777777" w:rsidR="0078124E" w:rsidRDefault="0078124E" w:rsidP="0078124E">
            <w:pPr>
              <w:adjustRightInd w:val="0"/>
              <w:snapToGrid w:val="0"/>
              <w:spacing w:line="440" w:lineRule="exact"/>
              <w:jc w:val="left"/>
              <w:rPr>
                <w:rFonts w:ascii="宋体" w:eastAsia="宋体" w:hAnsi="宋体" w:cs="宋体"/>
                <w:color w:val="000000"/>
                <w:sz w:val="24"/>
                <w:szCs w:val="24"/>
              </w:rPr>
            </w:pPr>
            <w:r>
              <w:rPr>
                <w:rFonts w:ascii="宋体" w:eastAsia="宋体" w:hAnsi="宋体" w:cs="宋体" w:hint="eastAsia"/>
                <w:sz w:val="24"/>
                <w:szCs w:val="24"/>
              </w:rPr>
              <w:t>第十四章 建设巩固国防和强大人民军队</w:t>
            </w:r>
          </w:p>
        </w:tc>
        <w:tc>
          <w:tcPr>
            <w:tcW w:w="625" w:type="pct"/>
            <w:vAlign w:val="center"/>
          </w:tcPr>
          <w:p w14:paraId="53259750"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2</w:t>
            </w:r>
          </w:p>
        </w:tc>
        <w:tc>
          <w:tcPr>
            <w:tcW w:w="468" w:type="pct"/>
            <w:tcBorders>
              <w:right w:val="single" w:sz="4" w:space="0" w:color="auto"/>
            </w:tcBorders>
            <w:vAlign w:val="center"/>
          </w:tcPr>
          <w:p w14:paraId="642AAD2E"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5442A4BD"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1BB6B723"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2</w:t>
            </w:r>
          </w:p>
        </w:tc>
        <w:tc>
          <w:tcPr>
            <w:tcW w:w="859" w:type="pct"/>
            <w:vAlign w:val="center"/>
          </w:tcPr>
          <w:p w14:paraId="4B9C7056" w14:textId="77777777" w:rsidR="0078124E" w:rsidRDefault="0078124E" w:rsidP="0078124E">
            <w:pPr>
              <w:adjustRightInd w:val="0"/>
              <w:snapToGrid w:val="0"/>
              <w:spacing w:line="440" w:lineRule="exact"/>
              <w:jc w:val="center"/>
              <w:rPr>
                <w:rFonts w:ascii="宋体" w:eastAsia="宋体" w:hAnsi="宋体" w:cs="宋体"/>
                <w:color w:val="000000"/>
                <w:sz w:val="24"/>
                <w:szCs w:val="24"/>
              </w:rPr>
            </w:pPr>
            <w:r>
              <w:rPr>
                <w:rFonts w:ascii="宋体" w:eastAsia="宋体" w:hAnsi="宋体" w:cs="宋体" w:hint="eastAsia"/>
                <w:color w:val="000000"/>
                <w:sz w:val="24"/>
                <w:szCs w:val="24"/>
              </w:rPr>
              <w:t>专题讲授</w:t>
            </w:r>
          </w:p>
        </w:tc>
      </w:tr>
      <w:tr w:rsidR="0078124E" w14:paraId="5BD37BC0" w14:textId="77777777" w:rsidTr="0078124E">
        <w:trPr>
          <w:jc w:val="center"/>
        </w:trPr>
        <w:tc>
          <w:tcPr>
            <w:tcW w:w="2109" w:type="pct"/>
            <w:vAlign w:val="center"/>
          </w:tcPr>
          <w:p w14:paraId="345FD4C1" w14:textId="77777777" w:rsidR="0078124E" w:rsidRDefault="0078124E" w:rsidP="0078124E">
            <w:pPr>
              <w:adjustRightInd w:val="0"/>
              <w:snapToGrid w:val="0"/>
              <w:spacing w:line="440" w:lineRule="exact"/>
              <w:jc w:val="left"/>
              <w:rPr>
                <w:rFonts w:ascii="宋体" w:eastAsia="宋体" w:hAnsi="宋体" w:cs="宋体"/>
                <w:color w:val="000000"/>
                <w:sz w:val="24"/>
                <w:szCs w:val="24"/>
              </w:rPr>
            </w:pPr>
            <w:r>
              <w:rPr>
                <w:rFonts w:ascii="宋体" w:eastAsia="宋体" w:hAnsi="宋体" w:cs="宋体" w:hint="eastAsia"/>
                <w:bCs/>
                <w:color w:val="000000"/>
                <w:sz w:val="24"/>
                <w:szCs w:val="24"/>
              </w:rPr>
              <w:t>第十五章 坚持"一国两制"和推进祖国完全统一</w:t>
            </w:r>
          </w:p>
        </w:tc>
        <w:tc>
          <w:tcPr>
            <w:tcW w:w="625" w:type="pct"/>
            <w:vAlign w:val="center"/>
          </w:tcPr>
          <w:p w14:paraId="5B71CE12"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1</w:t>
            </w:r>
          </w:p>
        </w:tc>
        <w:tc>
          <w:tcPr>
            <w:tcW w:w="468" w:type="pct"/>
            <w:tcBorders>
              <w:right w:val="single" w:sz="4" w:space="0" w:color="auto"/>
            </w:tcBorders>
            <w:vAlign w:val="center"/>
          </w:tcPr>
          <w:p w14:paraId="37FB8033"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46720170"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1EAE0885"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1</w:t>
            </w:r>
          </w:p>
        </w:tc>
        <w:tc>
          <w:tcPr>
            <w:tcW w:w="859" w:type="pct"/>
            <w:vAlign w:val="center"/>
          </w:tcPr>
          <w:p w14:paraId="1589A033" w14:textId="77777777" w:rsidR="0078124E" w:rsidRDefault="0078124E" w:rsidP="0078124E">
            <w:pPr>
              <w:adjustRightInd w:val="0"/>
              <w:snapToGrid w:val="0"/>
              <w:spacing w:line="440" w:lineRule="exact"/>
              <w:jc w:val="center"/>
              <w:rPr>
                <w:rFonts w:ascii="宋体" w:eastAsia="宋体" w:hAnsi="宋体" w:cs="宋体"/>
                <w:color w:val="000000"/>
                <w:sz w:val="24"/>
                <w:szCs w:val="24"/>
              </w:rPr>
            </w:pPr>
            <w:r>
              <w:rPr>
                <w:rFonts w:ascii="宋体" w:eastAsia="宋体" w:hAnsi="宋体" w:cs="宋体" w:hint="eastAsia"/>
                <w:color w:val="000000"/>
                <w:sz w:val="24"/>
                <w:szCs w:val="24"/>
              </w:rPr>
              <w:t>专题讲授</w:t>
            </w:r>
          </w:p>
        </w:tc>
      </w:tr>
      <w:tr w:rsidR="0078124E" w14:paraId="38144726" w14:textId="77777777" w:rsidTr="0078124E">
        <w:trPr>
          <w:jc w:val="center"/>
        </w:trPr>
        <w:tc>
          <w:tcPr>
            <w:tcW w:w="2109" w:type="pct"/>
            <w:vAlign w:val="center"/>
          </w:tcPr>
          <w:p w14:paraId="5B3F4991" w14:textId="77777777" w:rsidR="0078124E" w:rsidRDefault="0078124E" w:rsidP="0078124E">
            <w:pPr>
              <w:numPr>
                <w:ilvl w:val="0"/>
                <w:numId w:val="3"/>
              </w:numPr>
              <w:adjustRightInd w:val="0"/>
              <w:snapToGrid w:val="0"/>
              <w:spacing w:line="440" w:lineRule="exact"/>
              <w:jc w:val="left"/>
              <w:rPr>
                <w:rFonts w:ascii="宋体" w:eastAsia="宋体" w:hAnsi="宋体" w:cs="宋体"/>
                <w:color w:val="000000"/>
                <w:sz w:val="24"/>
                <w:szCs w:val="24"/>
              </w:rPr>
            </w:pPr>
            <w:r>
              <w:rPr>
                <w:rFonts w:ascii="宋体" w:eastAsia="宋体" w:hAnsi="宋体" w:cs="宋体" w:hint="eastAsia"/>
                <w:bCs/>
                <w:color w:val="000000"/>
                <w:sz w:val="24"/>
                <w:szCs w:val="24"/>
              </w:rPr>
              <w:t>中国特色大国外交和推动构建人类命运共同体</w:t>
            </w:r>
          </w:p>
          <w:p w14:paraId="25F63132" w14:textId="77777777" w:rsidR="0078124E" w:rsidRDefault="0078124E" w:rsidP="0078124E">
            <w:pPr>
              <w:adjustRightInd w:val="0"/>
              <w:snapToGrid w:val="0"/>
              <w:spacing w:line="440" w:lineRule="exact"/>
              <w:jc w:val="left"/>
              <w:rPr>
                <w:rFonts w:ascii="宋体" w:eastAsia="宋体" w:hAnsi="宋体" w:cs="宋体"/>
                <w:color w:val="000000"/>
                <w:sz w:val="24"/>
                <w:szCs w:val="24"/>
              </w:rPr>
            </w:pPr>
          </w:p>
        </w:tc>
        <w:tc>
          <w:tcPr>
            <w:tcW w:w="625" w:type="pct"/>
            <w:vAlign w:val="center"/>
          </w:tcPr>
          <w:p w14:paraId="70CA05C1"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2</w:t>
            </w:r>
          </w:p>
        </w:tc>
        <w:tc>
          <w:tcPr>
            <w:tcW w:w="468" w:type="pct"/>
            <w:tcBorders>
              <w:right w:val="single" w:sz="4" w:space="0" w:color="auto"/>
            </w:tcBorders>
            <w:vAlign w:val="center"/>
          </w:tcPr>
          <w:p w14:paraId="114BBEF8"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21E9DB54"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238FF7F0"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2</w:t>
            </w:r>
          </w:p>
        </w:tc>
        <w:tc>
          <w:tcPr>
            <w:tcW w:w="859" w:type="pct"/>
            <w:vAlign w:val="center"/>
          </w:tcPr>
          <w:p w14:paraId="65278488" w14:textId="77777777" w:rsidR="0078124E" w:rsidRDefault="0078124E" w:rsidP="0078124E">
            <w:pPr>
              <w:adjustRightInd w:val="0"/>
              <w:snapToGrid w:val="0"/>
              <w:spacing w:line="440" w:lineRule="exact"/>
              <w:jc w:val="center"/>
              <w:rPr>
                <w:rFonts w:ascii="宋体" w:eastAsia="宋体" w:hAnsi="宋体" w:cs="宋体"/>
                <w:color w:val="000000"/>
                <w:sz w:val="24"/>
                <w:szCs w:val="24"/>
              </w:rPr>
            </w:pPr>
            <w:r>
              <w:rPr>
                <w:rFonts w:ascii="宋体" w:eastAsia="宋体" w:hAnsi="宋体" w:cs="宋体" w:hint="eastAsia"/>
                <w:color w:val="000000"/>
                <w:sz w:val="24"/>
                <w:szCs w:val="24"/>
              </w:rPr>
              <w:t>专题讲授</w:t>
            </w:r>
          </w:p>
        </w:tc>
      </w:tr>
      <w:tr w:rsidR="0078124E" w14:paraId="6D34F90B" w14:textId="77777777" w:rsidTr="0078124E">
        <w:trPr>
          <w:jc w:val="center"/>
        </w:trPr>
        <w:tc>
          <w:tcPr>
            <w:tcW w:w="2109" w:type="pct"/>
            <w:vAlign w:val="center"/>
          </w:tcPr>
          <w:p w14:paraId="7CFA4C4D" w14:textId="77777777" w:rsidR="0078124E" w:rsidRDefault="0078124E" w:rsidP="0078124E">
            <w:pPr>
              <w:adjustRightInd w:val="0"/>
              <w:snapToGrid w:val="0"/>
              <w:spacing w:line="440" w:lineRule="exact"/>
              <w:jc w:val="left"/>
              <w:rPr>
                <w:rFonts w:ascii="宋体" w:eastAsia="宋体" w:hAnsi="宋体" w:cs="宋体"/>
                <w:color w:val="000000"/>
                <w:sz w:val="24"/>
                <w:szCs w:val="24"/>
              </w:rPr>
            </w:pPr>
            <w:r>
              <w:rPr>
                <w:rFonts w:ascii="宋体" w:eastAsia="宋体" w:hAnsi="宋体" w:cs="宋体" w:hint="eastAsia"/>
                <w:color w:val="000000"/>
                <w:sz w:val="24"/>
                <w:szCs w:val="24"/>
              </w:rPr>
              <w:t>第十七章全面从严治党</w:t>
            </w:r>
          </w:p>
        </w:tc>
        <w:tc>
          <w:tcPr>
            <w:tcW w:w="625" w:type="pct"/>
            <w:vAlign w:val="center"/>
          </w:tcPr>
          <w:p w14:paraId="294E1B76"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468" w:type="pct"/>
            <w:tcBorders>
              <w:right w:val="single" w:sz="4" w:space="0" w:color="auto"/>
            </w:tcBorders>
            <w:vAlign w:val="center"/>
          </w:tcPr>
          <w:p w14:paraId="34805084"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399D98D7"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6DFD557B"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3</w:t>
            </w:r>
          </w:p>
        </w:tc>
        <w:tc>
          <w:tcPr>
            <w:tcW w:w="859" w:type="pct"/>
            <w:vAlign w:val="center"/>
          </w:tcPr>
          <w:p w14:paraId="2AC546AC" w14:textId="77777777" w:rsidR="0078124E" w:rsidRDefault="0078124E" w:rsidP="0078124E">
            <w:pPr>
              <w:adjustRightInd w:val="0"/>
              <w:snapToGrid w:val="0"/>
              <w:spacing w:line="440" w:lineRule="exact"/>
              <w:jc w:val="center"/>
              <w:rPr>
                <w:rFonts w:ascii="宋体" w:eastAsia="宋体" w:hAnsi="宋体" w:cs="宋体"/>
                <w:color w:val="000000"/>
                <w:sz w:val="24"/>
                <w:szCs w:val="24"/>
              </w:rPr>
            </w:pPr>
            <w:r>
              <w:rPr>
                <w:rFonts w:ascii="宋体" w:eastAsia="宋体" w:hAnsi="宋体" w:cs="宋体" w:hint="eastAsia"/>
                <w:color w:val="000000"/>
                <w:sz w:val="24"/>
                <w:szCs w:val="24"/>
              </w:rPr>
              <w:t>专题讲授</w:t>
            </w:r>
          </w:p>
        </w:tc>
      </w:tr>
      <w:tr w:rsidR="0078124E" w14:paraId="5CE510C1" w14:textId="77777777" w:rsidTr="0078124E">
        <w:trPr>
          <w:jc w:val="center"/>
        </w:trPr>
        <w:tc>
          <w:tcPr>
            <w:tcW w:w="2109" w:type="pct"/>
            <w:vAlign w:val="center"/>
          </w:tcPr>
          <w:p w14:paraId="2442FC8E" w14:textId="77777777" w:rsidR="0078124E" w:rsidRDefault="0078124E" w:rsidP="0078124E">
            <w:pPr>
              <w:adjustRightInd w:val="0"/>
              <w:snapToGrid w:val="0"/>
              <w:spacing w:line="440" w:lineRule="exact"/>
              <w:jc w:val="center"/>
              <w:rPr>
                <w:rFonts w:ascii="宋体" w:eastAsia="宋体" w:hAnsi="宋体" w:cs="宋体"/>
                <w:color w:val="000000"/>
                <w:sz w:val="24"/>
                <w:szCs w:val="24"/>
              </w:rPr>
            </w:pPr>
            <w:r>
              <w:rPr>
                <w:rFonts w:ascii="宋体" w:eastAsia="宋体" w:hAnsi="宋体" w:cs="宋体" w:hint="eastAsia"/>
                <w:color w:val="000000"/>
                <w:sz w:val="24"/>
                <w:szCs w:val="24"/>
              </w:rPr>
              <w:t>合计</w:t>
            </w:r>
          </w:p>
        </w:tc>
        <w:tc>
          <w:tcPr>
            <w:tcW w:w="625" w:type="pct"/>
            <w:vAlign w:val="center"/>
          </w:tcPr>
          <w:p w14:paraId="38DF9A3E"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48</w:t>
            </w:r>
          </w:p>
        </w:tc>
        <w:tc>
          <w:tcPr>
            <w:tcW w:w="468" w:type="pct"/>
            <w:tcBorders>
              <w:right w:val="single" w:sz="4" w:space="0" w:color="auto"/>
            </w:tcBorders>
            <w:vAlign w:val="center"/>
          </w:tcPr>
          <w:p w14:paraId="752D2160"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5F664C72" w14:textId="77777777" w:rsidR="0078124E" w:rsidRDefault="0078124E" w:rsidP="0078124E">
            <w:pPr>
              <w:adjustRightInd w:val="0"/>
              <w:snapToGrid w:val="0"/>
              <w:spacing w:line="440" w:lineRule="exact"/>
              <w:jc w:val="center"/>
              <w:rPr>
                <w:rFonts w:ascii="宋体" w:eastAsia="宋体" w:hAnsi="宋体" w:cs="宋体"/>
                <w:sz w:val="24"/>
                <w:szCs w:val="24"/>
              </w:rPr>
            </w:pPr>
          </w:p>
        </w:tc>
        <w:tc>
          <w:tcPr>
            <w:tcW w:w="468" w:type="pct"/>
            <w:vAlign w:val="center"/>
          </w:tcPr>
          <w:p w14:paraId="728F92E5" w14:textId="77777777" w:rsidR="0078124E" w:rsidRDefault="0078124E" w:rsidP="0078124E">
            <w:pPr>
              <w:adjustRightInd w:val="0"/>
              <w:snapToGrid w:val="0"/>
              <w:spacing w:line="440" w:lineRule="exact"/>
              <w:jc w:val="center"/>
              <w:rPr>
                <w:rFonts w:ascii="宋体" w:eastAsia="宋体" w:hAnsi="宋体" w:cs="宋体"/>
                <w:sz w:val="24"/>
                <w:szCs w:val="24"/>
              </w:rPr>
            </w:pPr>
            <w:r>
              <w:rPr>
                <w:rFonts w:ascii="宋体" w:eastAsia="宋体" w:hAnsi="宋体" w:cs="宋体" w:hint="eastAsia"/>
                <w:sz w:val="24"/>
                <w:szCs w:val="24"/>
              </w:rPr>
              <w:t>48</w:t>
            </w:r>
          </w:p>
        </w:tc>
        <w:tc>
          <w:tcPr>
            <w:tcW w:w="859" w:type="pct"/>
            <w:vAlign w:val="center"/>
          </w:tcPr>
          <w:p w14:paraId="09034119" w14:textId="77777777" w:rsidR="0078124E" w:rsidRDefault="0078124E" w:rsidP="0078124E">
            <w:pPr>
              <w:adjustRightInd w:val="0"/>
              <w:snapToGrid w:val="0"/>
              <w:spacing w:line="440" w:lineRule="exact"/>
              <w:jc w:val="center"/>
              <w:rPr>
                <w:rFonts w:ascii="宋体" w:eastAsia="宋体" w:hAnsi="宋体" w:cs="宋体"/>
                <w:sz w:val="24"/>
                <w:szCs w:val="24"/>
              </w:rPr>
            </w:pPr>
          </w:p>
        </w:tc>
      </w:tr>
    </w:tbl>
    <w:p w14:paraId="5AC0B08D" w14:textId="77777777" w:rsidR="0078124E" w:rsidRDefault="0078124E" w:rsidP="0078124E">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（二）课程考核方式</w:t>
      </w:r>
    </w:p>
    <w:p w14:paraId="2D41F567" w14:textId="77777777" w:rsidR="0078124E" w:rsidRDefault="0078124E" w:rsidP="0078124E">
      <w:pPr>
        <w:adjustRightInd w:val="0"/>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课程考核方式分为平时考核和期末考核。平时考核方式包括课堂表现、平时作业、阶段测试</w:t>
      </w:r>
      <w:r>
        <w:rPr>
          <w:rFonts w:ascii="宋体" w:eastAsia="宋体" w:hAnsi="宋体" w:cs="Times New Roman" w:hint="eastAsia"/>
          <w:color w:val="000000"/>
          <w:sz w:val="24"/>
          <w:szCs w:val="24"/>
        </w:rPr>
        <w:t>、课程作业</w:t>
      </w:r>
      <w:r>
        <w:rPr>
          <w:rFonts w:ascii="宋体" w:eastAsia="宋体" w:hAnsi="宋体" w:cs="Times New Roman"/>
          <w:color w:val="000000"/>
          <w:sz w:val="24"/>
          <w:szCs w:val="24"/>
        </w:rPr>
        <w:t>等；期末考核采用闭卷考试。</w:t>
      </w:r>
    </w:p>
    <w:p w14:paraId="567044A3" w14:textId="77777777" w:rsidR="0078124E" w:rsidRDefault="0078124E" w:rsidP="0078124E">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（三）课程目标达成评价方式及考核比例</w:t>
      </w:r>
    </w:p>
    <w:p w14:paraId="2C060159"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考核方式及成绩比例为：课堂表现（30%）＋阶段测试（20%）＋期末考试（50%）；本课程3个课程目标，考核方式及成绩比例分别为：</w:t>
      </w:r>
    </w:p>
    <w:p w14:paraId="7D6E8EE4"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课程目标1：阶段测试（20%）＋期末考试（客观题&lt;单选部分&gt;，20%）</w:t>
      </w:r>
    </w:p>
    <w:p w14:paraId="156CBFAF"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课程目标2：期末考试（客观题&lt;多选部分&gt;，10%）+期末考试（主观题部分，12.5%）</w:t>
      </w:r>
    </w:p>
    <w:p w14:paraId="080263FC"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课程目标3：课堂表现（30%）＋期末考试（主观题部分，7.5%）</w:t>
      </w:r>
    </w:p>
    <w:p w14:paraId="5EC271FE"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如下图：</w:t>
      </w:r>
    </w:p>
    <w:tbl>
      <w:tblPr>
        <w:tblStyle w:val="31"/>
        <w:tblW w:w="6982" w:type="dxa"/>
        <w:jc w:val="center"/>
        <w:tblLayout w:type="fixed"/>
        <w:tblCellMar>
          <w:top w:w="120" w:type="dxa"/>
          <w:left w:w="60" w:type="dxa"/>
          <w:bottom w:w="120" w:type="dxa"/>
          <w:right w:w="60" w:type="dxa"/>
        </w:tblCellMar>
        <w:tblLook w:val="04A0" w:firstRow="1" w:lastRow="0" w:firstColumn="1" w:lastColumn="0" w:noHBand="0" w:noVBand="1"/>
      </w:tblPr>
      <w:tblGrid>
        <w:gridCol w:w="1408"/>
        <w:gridCol w:w="1360"/>
        <w:gridCol w:w="1492"/>
        <w:gridCol w:w="1362"/>
        <w:gridCol w:w="1360"/>
      </w:tblGrid>
      <w:tr w:rsidR="0078124E" w14:paraId="3BACAC77" w14:textId="77777777" w:rsidTr="0078124E">
        <w:trPr>
          <w:trHeight w:val="454"/>
          <w:jc w:val="center"/>
        </w:trPr>
        <w:tc>
          <w:tcPr>
            <w:tcW w:w="1408" w:type="dxa"/>
            <w:vMerge w:val="restart"/>
            <w:tcBorders>
              <w:top w:val="single" w:sz="8" w:space="0" w:color="000000"/>
              <w:left w:val="single" w:sz="8" w:space="0" w:color="000000"/>
              <w:right w:val="single" w:sz="8" w:space="0" w:color="000000"/>
            </w:tcBorders>
            <w:vAlign w:val="center"/>
          </w:tcPr>
          <w:p w14:paraId="649C06FF" w14:textId="77777777" w:rsidR="0078124E" w:rsidRDefault="0078124E" w:rsidP="0078124E">
            <w:pPr>
              <w:adjustRightInd w:val="0"/>
              <w:snapToGrid w:val="0"/>
              <w:spacing w:line="440" w:lineRule="exact"/>
              <w:jc w:val="center"/>
              <w:rPr>
                <w:rFonts w:ascii="宋体" w:hAnsi="宋体" w:cs="宋体"/>
                <w:b/>
                <w:bCs/>
                <w:color w:val="000000" w:themeColor="text1"/>
                <w:kern w:val="0"/>
                <w:sz w:val="24"/>
                <w:szCs w:val="24"/>
              </w:rPr>
            </w:pPr>
            <w:r>
              <w:rPr>
                <w:rFonts w:ascii="宋体" w:hAnsi="宋体" w:cs="宋体" w:hint="eastAsia"/>
                <w:color w:val="000000"/>
                <w:sz w:val="24"/>
                <w:szCs w:val="24"/>
              </w:rPr>
              <w:br w:type="page"/>
            </w:r>
            <w:r>
              <w:rPr>
                <w:rFonts w:ascii="宋体" w:hAnsi="宋体" w:cs="宋体" w:hint="eastAsia"/>
                <w:b/>
                <w:bCs/>
                <w:color w:val="000000" w:themeColor="text1"/>
                <w:kern w:val="0"/>
                <w:sz w:val="24"/>
                <w:szCs w:val="24"/>
              </w:rPr>
              <w:t>课程目标</w:t>
            </w:r>
          </w:p>
        </w:tc>
        <w:tc>
          <w:tcPr>
            <w:tcW w:w="5574" w:type="dxa"/>
            <w:gridSpan w:val="4"/>
            <w:tcBorders>
              <w:top w:val="single" w:sz="8" w:space="0" w:color="000000"/>
              <w:left w:val="single" w:sz="8" w:space="0" w:color="000000"/>
              <w:bottom w:val="single" w:sz="8" w:space="0" w:color="000000"/>
              <w:right w:val="single" w:sz="8" w:space="0" w:color="000000"/>
            </w:tcBorders>
            <w:vAlign w:val="center"/>
          </w:tcPr>
          <w:p w14:paraId="50C549CA" w14:textId="77777777" w:rsidR="0078124E" w:rsidRDefault="0078124E" w:rsidP="0078124E">
            <w:pPr>
              <w:adjustRightInd w:val="0"/>
              <w:snapToGrid w:val="0"/>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考核方式（%）</w:t>
            </w:r>
          </w:p>
        </w:tc>
      </w:tr>
      <w:tr w:rsidR="0078124E" w14:paraId="65A4F2CD" w14:textId="77777777" w:rsidTr="0078124E">
        <w:trPr>
          <w:trHeight w:val="454"/>
          <w:jc w:val="center"/>
        </w:trPr>
        <w:tc>
          <w:tcPr>
            <w:tcW w:w="1408" w:type="dxa"/>
            <w:vMerge/>
            <w:tcBorders>
              <w:left w:val="single" w:sz="8" w:space="0" w:color="000000"/>
              <w:bottom w:val="single" w:sz="8" w:space="0" w:color="000000"/>
              <w:right w:val="single" w:sz="8" w:space="0" w:color="000000"/>
            </w:tcBorders>
            <w:vAlign w:val="center"/>
          </w:tcPr>
          <w:p w14:paraId="6A612227" w14:textId="77777777" w:rsidR="0078124E" w:rsidRDefault="0078124E" w:rsidP="0078124E">
            <w:pPr>
              <w:adjustRightInd w:val="0"/>
              <w:snapToGrid w:val="0"/>
              <w:spacing w:line="440" w:lineRule="exact"/>
              <w:jc w:val="center"/>
              <w:rPr>
                <w:rFonts w:ascii="宋体" w:hAnsi="宋体" w:cs="宋体"/>
                <w:b/>
                <w:bCs/>
                <w:color w:val="000000" w:themeColor="text1"/>
                <w:kern w:val="0"/>
                <w:sz w:val="24"/>
                <w:szCs w:val="24"/>
              </w:rPr>
            </w:pPr>
          </w:p>
        </w:tc>
        <w:tc>
          <w:tcPr>
            <w:tcW w:w="1360" w:type="dxa"/>
            <w:tcBorders>
              <w:top w:val="single" w:sz="8" w:space="0" w:color="000000"/>
              <w:left w:val="single" w:sz="8" w:space="0" w:color="000000"/>
              <w:bottom w:val="single" w:sz="8" w:space="0" w:color="000000"/>
              <w:right w:val="single" w:sz="8" w:space="0" w:color="000000"/>
            </w:tcBorders>
            <w:vAlign w:val="center"/>
          </w:tcPr>
          <w:p w14:paraId="2B68129A" w14:textId="77777777" w:rsidR="0078124E" w:rsidRDefault="0078124E" w:rsidP="0078124E">
            <w:pPr>
              <w:adjustRightInd w:val="0"/>
              <w:snapToGrid w:val="0"/>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课堂表现</w:t>
            </w:r>
          </w:p>
        </w:tc>
        <w:tc>
          <w:tcPr>
            <w:tcW w:w="1492" w:type="dxa"/>
            <w:tcBorders>
              <w:top w:val="single" w:sz="8" w:space="0" w:color="000000"/>
              <w:left w:val="single" w:sz="8" w:space="0" w:color="000000"/>
              <w:bottom w:val="single" w:sz="8" w:space="0" w:color="000000"/>
              <w:right w:val="single" w:sz="8" w:space="0" w:color="000000"/>
            </w:tcBorders>
            <w:vAlign w:val="center"/>
          </w:tcPr>
          <w:p w14:paraId="529E6F04" w14:textId="77777777" w:rsidR="0078124E" w:rsidRDefault="0078124E" w:rsidP="0078124E">
            <w:pPr>
              <w:adjustRightInd w:val="0"/>
              <w:snapToGrid w:val="0"/>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阶段测试</w:t>
            </w:r>
          </w:p>
        </w:tc>
        <w:tc>
          <w:tcPr>
            <w:tcW w:w="1362" w:type="dxa"/>
            <w:tcBorders>
              <w:top w:val="single" w:sz="8" w:space="0" w:color="000000"/>
              <w:left w:val="single" w:sz="8" w:space="0" w:color="000000"/>
              <w:bottom w:val="single" w:sz="8" w:space="0" w:color="000000"/>
              <w:right w:val="single" w:sz="8" w:space="0" w:color="000000"/>
            </w:tcBorders>
            <w:vAlign w:val="center"/>
          </w:tcPr>
          <w:p w14:paraId="2315DAD3" w14:textId="77777777" w:rsidR="0078124E" w:rsidRDefault="0078124E" w:rsidP="0078124E">
            <w:pPr>
              <w:adjustRightInd w:val="0"/>
              <w:snapToGrid w:val="0"/>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期末考试</w:t>
            </w:r>
          </w:p>
        </w:tc>
        <w:tc>
          <w:tcPr>
            <w:tcW w:w="1360" w:type="dxa"/>
            <w:tcBorders>
              <w:top w:val="single" w:sz="8" w:space="0" w:color="000000"/>
              <w:left w:val="single" w:sz="8" w:space="0" w:color="000000"/>
              <w:bottom w:val="single" w:sz="8" w:space="0" w:color="000000"/>
              <w:right w:val="single" w:sz="8" w:space="0" w:color="000000"/>
            </w:tcBorders>
          </w:tcPr>
          <w:p w14:paraId="1878997C" w14:textId="77777777" w:rsidR="0078124E" w:rsidRDefault="0078124E" w:rsidP="0078124E">
            <w:pPr>
              <w:adjustRightInd w:val="0"/>
              <w:snapToGrid w:val="0"/>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小计</w:t>
            </w:r>
          </w:p>
        </w:tc>
      </w:tr>
      <w:tr w:rsidR="0078124E" w14:paraId="768CB632" w14:textId="77777777" w:rsidTr="0078124E">
        <w:trPr>
          <w:trHeight w:val="454"/>
          <w:jc w:val="center"/>
        </w:trPr>
        <w:tc>
          <w:tcPr>
            <w:tcW w:w="1408" w:type="dxa"/>
            <w:tcBorders>
              <w:top w:val="single" w:sz="8" w:space="0" w:color="000000"/>
              <w:left w:val="single" w:sz="8" w:space="0" w:color="000000"/>
              <w:bottom w:val="single" w:sz="8" w:space="0" w:color="000000"/>
              <w:right w:val="single" w:sz="8" w:space="0" w:color="000000"/>
            </w:tcBorders>
            <w:vAlign w:val="center"/>
          </w:tcPr>
          <w:p w14:paraId="04038AA1"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color w:val="000000"/>
                <w:kern w:val="0"/>
                <w:sz w:val="24"/>
                <w:szCs w:val="24"/>
              </w:rPr>
              <w:t>课程目标1</w:t>
            </w:r>
          </w:p>
        </w:tc>
        <w:tc>
          <w:tcPr>
            <w:tcW w:w="1360" w:type="dxa"/>
            <w:tcBorders>
              <w:top w:val="single" w:sz="8" w:space="0" w:color="000000"/>
              <w:left w:val="single" w:sz="8" w:space="0" w:color="000000"/>
              <w:bottom w:val="single" w:sz="8" w:space="0" w:color="000000"/>
              <w:right w:val="single" w:sz="8" w:space="0" w:color="000000"/>
            </w:tcBorders>
            <w:vAlign w:val="center"/>
          </w:tcPr>
          <w:p w14:paraId="16E9E209" w14:textId="77777777" w:rsidR="0078124E" w:rsidRDefault="0078124E" w:rsidP="0078124E">
            <w:pPr>
              <w:adjustRightInd w:val="0"/>
              <w:snapToGrid w:val="0"/>
              <w:spacing w:line="440" w:lineRule="exact"/>
              <w:jc w:val="center"/>
              <w:rPr>
                <w:rFonts w:ascii="宋体" w:hAnsi="宋体"/>
                <w:color w:val="000000"/>
                <w:kern w:val="0"/>
                <w:sz w:val="24"/>
                <w:szCs w:val="24"/>
              </w:rPr>
            </w:pPr>
          </w:p>
        </w:tc>
        <w:tc>
          <w:tcPr>
            <w:tcW w:w="1492" w:type="dxa"/>
            <w:tcBorders>
              <w:top w:val="single" w:sz="8" w:space="0" w:color="000000"/>
              <w:left w:val="single" w:sz="8" w:space="0" w:color="000000"/>
              <w:bottom w:val="single" w:sz="8" w:space="0" w:color="000000"/>
              <w:right w:val="single" w:sz="8" w:space="0" w:color="000000"/>
            </w:tcBorders>
            <w:vAlign w:val="center"/>
          </w:tcPr>
          <w:p w14:paraId="259138CE"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20</w:t>
            </w:r>
          </w:p>
        </w:tc>
        <w:tc>
          <w:tcPr>
            <w:tcW w:w="1362" w:type="dxa"/>
            <w:tcBorders>
              <w:top w:val="single" w:sz="8" w:space="0" w:color="000000"/>
              <w:left w:val="single" w:sz="8" w:space="0" w:color="000000"/>
              <w:bottom w:val="single" w:sz="8" w:space="0" w:color="000000"/>
              <w:right w:val="single" w:sz="8" w:space="0" w:color="000000"/>
            </w:tcBorders>
            <w:vAlign w:val="center"/>
          </w:tcPr>
          <w:p w14:paraId="4F3CFFE4"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20</w:t>
            </w:r>
          </w:p>
        </w:tc>
        <w:tc>
          <w:tcPr>
            <w:tcW w:w="1360" w:type="dxa"/>
            <w:tcBorders>
              <w:top w:val="single" w:sz="8" w:space="0" w:color="000000"/>
              <w:left w:val="single" w:sz="8" w:space="0" w:color="000000"/>
              <w:bottom w:val="single" w:sz="8" w:space="0" w:color="000000"/>
              <w:right w:val="single" w:sz="8" w:space="0" w:color="000000"/>
            </w:tcBorders>
          </w:tcPr>
          <w:p w14:paraId="7231AB7C"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4</w:t>
            </w:r>
            <w:r>
              <w:rPr>
                <w:rFonts w:ascii="宋体" w:hAnsi="宋体"/>
                <w:color w:val="000000"/>
                <w:kern w:val="0"/>
                <w:sz w:val="24"/>
                <w:szCs w:val="24"/>
              </w:rPr>
              <w:t>0</w:t>
            </w:r>
          </w:p>
        </w:tc>
      </w:tr>
      <w:tr w:rsidR="0078124E" w14:paraId="066740CA" w14:textId="77777777" w:rsidTr="0078124E">
        <w:trPr>
          <w:trHeight w:val="454"/>
          <w:jc w:val="center"/>
        </w:trPr>
        <w:tc>
          <w:tcPr>
            <w:tcW w:w="1408" w:type="dxa"/>
            <w:tcBorders>
              <w:top w:val="single" w:sz="8" w:space="0" w:color="000000"/>
              <w:left w:val="single" w:sz="8" w:space="0" w:color="000000"/>
              <w:bottom w:val="single" w:sz="8" w:space="0" w:color="000000"/>
              <w:right w:val="single" w:sz="8" w:space="0" w:color="000000"/>
            </w:tcBorders>
            <w:vAlign w:val="center"/>
          </w:tcPr>
          <w:p w14:paraId="0F3689A3"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color w:val="000000"/>
                <w:kern w:val="0"/>
                <w:sz w:val="24"/>
                <w:szCs w:val="24"/>
              </w:rPr>
              <w:t>课程目标2</w:t>
            </w:r>
          </w:p>
        </w:tc>
        <w:tc>
          <w:tcPr>
            <w:tcW w:w="1360" w:type="dxa"/>
            <w:tcBorders>
              <w:top w:val="single" w:sz="8" w:space="0" w:color="000000"/>
              <w:left w:val="single" w:sz="8" w:space="0" w:color="000000"/>
              <w:bottom w:val="single" w:sz="8" w:space="0" w:color="000000"/>
              <w:right w:val="single" w:sz="8" w:space="0" w:color="000000"/>
            </w:tcBorders>
            <w:vAlign w:val="center"/>
          </w:tcPr>
          <w:p w14:paraId="3A4AF43A" w14:textId="77777777" w:rsidR="0078124E" w:rsidRDefault="0078124E" w:rsidP="0078124E">
            <w:pPr>
              <w:adjustRightInd w:val="0"/>
              <w:snapToGrid w:val="0"/>
              <w:spacing w:line="440" w:lineRule="exact"/>
              <w:jc w:val="center"/>
              <w:rPr>
                <w:rFonts w:ascii="宋体" w:hAnsi="宋体"/>
                <w:color w:val="000000"/>
                <w:kern w:val="0"/>
                <w:sz w:val="24"/>
                <w:szCs w:val="24"/>
              </w:rPr>
            </w:pPr>
          </w:p>
        </w:tc>
        <w:tc>
          <w:tcPr>
            <w:tcW w:w="1492" w:type="dxa"/>
            <w:tcBorders>
              <w:top w:val="single" w:sz="8" w:space="0" w:color="000000"/>
              <w:left w:val="single" w:sz="8" w:space="0" w:color="000000"/>
              <w:bottom w:val="single" w:sz="8" w:space="0" w:color="000000"/>
              <w:right w:val="single" w:sz="8" w:space="0" w:color="000000"/>
            </w:tcBorders>
            <w:vAlign w:val="center"/>
          </w:tcPr>
          <w:p w14:paraId="68882FE2" w14:textId="77777777" w:rsidR="0078124E" w:rsidRDefault="0078124E" w:rsidP="0078124E">
            <w:pPr>
              <w:adjustRightInd w:val="0"/>
              <w:snapToGrid w:val="0"/>
              <w:spacing w:line="440" w:lineRule="exact"/>
              <w:jc w:val="center"/>
              <w:rPr>
                <w:rFonts w:ascii="宋体" w:hAnsi="宋体"/>
                <w:color w:val="000000"/>
                <w:kern w:val="0"/>
                <w:sz w:val="24"/>
                <w:szCs w:val="24"/>
              </w:rPr>
            </w:pPr>
          </w:p>
        </w:tc>
        <w:tc>
          <w:tcPr>
            <w:tcW w:w="1362" w:type="dxa"/>
            <w:tcBorders>
              <w:top w:val="single" w:sz="8" w:space="0" w:color="000000"/>
              <w:left w:val="single" w:sz="8" w:space="0" w:color="000000"/>
              <w:bottom w:val="single" w:sz="8" w:space="0" w:color="000000"/>
              <w:right w:val="single" w:sz="8" w:space="0" w:color="000000"/>
            </w:tcBorders>
            <w:vAlign w:val="center"/>
          </w:tcPr>
          <w:p w14:paraId="4BA1D0A2"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22.5</w:t>
            </w:r>
          </w:p>
        </w:tc>
        <w:tc>
          <w:tcPr>
            <w:tcW w:w="1360" w:type="dxa"/>
            <w:tcBorders>
              <w:top w:val="single" w:sz="8" w:space="0" w:color="000000"/>
              <w:left w:val="single" w:sz="8" w:space="0" w:color="000000"/>
              <w:bottom w:val="single" w:sz="8" w:space="0" w:color="000000"/>
              <w:right w:val="single" w:sz="8" w:space="0" w:color="000000"/>
            </w:tcBorders>
          </w:tcPr>
          <w:p w14:paraId="19CDC766"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22.5</w:t>
            </w:r>
          </w:p>
        </w:tc>
      </w:tr>
      <w:tr w:rsidR="0078124E" w14:paraId="7A63F69F" w14:textId="77777777" w:rsidTr="0078124E">
        <w:trPr>
          <w:trHeight w:val="454"/>
          <w:jc w:val="center"/>
        </w:trPr>
        <w:tc>
          <w:tcPr>
            <w:tcW w:w="1408" w:type="dxa"/>
            <w:tcBorders>
              <w:top w:val="single" w:sz="8" w:space="0" w:color="000000"/>
              <w:left w:val="single" w:sz="8" w:space="0" w:color="000000"/>
              <w:bottom w:val="single" w:sz="8" w:space="0" w:color="000000"/>
              <w:right w:val="single" w:sz="8" w:space="0" w:color="000000"/>
            </w:tcBorders>
            <w:vAlign w:val="center"/>
          </w:tcPr>
          <w:p w14:paraId="422D49B8"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color w:val="000000"/>
                <w:kern w:val="0"/>
                <w:sz w:val="24"/>
                <w:szCs w:val="24"/>
              </w:rPr>
              <w:t>课程目标3</w:t>
            </w:r>
          </w:p>
        </w:tc>
        <w:tc>
          <w:tcPr>
            <w:tcW w:w="1360" w:type="dxa"/>
            <w:tcBorders>
              <w:top w:val="single" w:sz="8" w:space="0" w:color="000000"/>
              <w:left w:val="single" w:sz="8" w:space="0" w:color="000000"/>
              <w:bottom w:val="single" w:sz="8" w:space="0" w:color="000000"/>
              <w:right w:val="single" w:sz="8" w:space="0" w:color="000000"/>
            </w:tcBorders>
            <w:vAlign w:val="center"/>
          </w:tcPr>
          <w:p w14:paraId="5E71E47E"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30</w:t>
            </w:r>
          </w:p>
        </w:tc>
        <w:tc>
          <w:tcPr>
            <w:tcW w:w="1492" w:type="dxa"/>
            <w:tcBorders>
              <w:top w:val="single" w:sz="8" w:space="0" w:color="000000"/>
              <w:left w:val="single" w:sz="8" w:space="0" w:color="000000"/>
              <w:bottom w:val="single" w:sz="8" w:space="0" w:color="000000"/>
              <w:right w:val="single" w:sz="8" w:space="0" w:color="000000"/>
            </w:tcBorders>
            <w:vAlign w:val="center"/>
          </w:tcPr>
          <w:p w14:paraId="5257AF02" w14:textId="77777777" w:rsidR="0078124E" w:rsidRDefault="0078124E" w:rsidP="0078124E">
            <w:pPr>
              <w:adjustRightInd w:val="0"/>
              <w:snapToGrid w:val="0"/>
              <w:spacing w:line="440" w:lineRule="exact"/>
              <w:jc w:val="center"/>
              <w:rPr>
                <w:rFonts w:ascii="宋体" w:hAnsi="宋体"/>
                <w:color w:val="000000"/>
                <w:kern w:val="0"/>
                <w:sz w:val="24"/>
                <w:szCs w:val="24"/>
              </w:rPr>
            </w:pPr>
          </w:p>
        </w:tc>
        <w:tc>
          <w:tcPr>
            <w:tcW w:w="1362" w:type="dxa"/>
            <w:tcBorders>
              <w:top w:val="single" w:sz="8" w:space="0" w:color="000000"/>
              <w:left w:val="single" w:sz="8" w:space="0" w:color="000000"/>
              <w:bottom w:val="single" w:sz="8" w:space="0" w:color="000000"/>
              <w:right w:val="single" w:sz="8" w:space="0" w:color="000000"/>
            </w:tcBorders>
            <w:vAlign w:val="center"/>
          </w:tcPr>
          <w:p w14:paraId="08E1B586"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7.5</w:t>
            </w:r>
          </w:p>
        </w:tc>
        <w:tc>
          <w:tcPr>
            <w:tcW w:w="1360" w:type="dxa"/>
            <w:tcBorders>
              <w:top w:val="single" w:sz="8" w:space="0" w:color="000000"/>
              <w:left w:val="single" w:sz="8" w:space="0" w:color="000000"/>
              <w:bottom w:val="single" w:sz="8" w:space="0" w:color="000000"/>
              <w:right w:val="single" w:sz="8" w:space="0" w:color="000000"/>
            </w:tcBorders>
          </w:tcPr>
          <w:p w14:paraId="55FD8855"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37.5</w:t>
            </w:r>
          </w:p>
        </w:tc>
      </w:tr>
      <w:tr w:rsidR="0078124E" w14:paraId="74A50645" w14:textId="77777777" w:rsidTr="0078124E">
        <w:trPr>
          <w:trHeight w:val="454"/>
          <w:jc w:val="center"/>
        </w:trPr>
        <w:tc>
          <w:tcPr>
            <w:tcW w:w="1408" w:type="dxa"/>
            <w:tcBorders>
              <w:top w:val="single" w:sz="8" w:space="0" w:color="000000"/>
              <w:left w:val="single" w:sz="8" w:space="0" w:color="000000"/>
              <w:bottom w:val="single" w:sz="8" w:space="0" w:color="000000"/>
              <w:right w:val="single" w:sz="8" w:space="0" w:color="000000"/>
            </w:tcBorders>
            <w:vAlign w:val="center"/>
          </w:tcPr>
          <w:p w14:paraId="67F9387B"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color w:val="000000"/>
                <w:kern w:val="0"/>
                <w:sz w:val="24"/>
                <w:szCs w:val="24"/>
              </w:rPr>
              <w:t>合计</w:t>
            </w:r>
          </w:p>
        </w:tc>
        <w:tc>
          <w:tcPr>
            <w:tcW w:w="1360" w:type="dxa"/>
            <w:tcBorders>
              <w:top w:val="single" w:sz="8" w:space="0" w:color="000000"/>
              <w:left w:val="single" w:sz="8" w:space="0" w:color="000000"/>
              <w:bottom w:val="single" w:sz="8" w:space="0" w:color="000000"/>
              <w:right w:val="single" w:sz="8" w:space="0" w:color="000000"/>
            </w:tcBorders>
            <w:vAlign w:val="center"/>
          </w:tcPr>
          <w:p w14:paraId="5EF8B74D"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30</w:t>
            </w:r>
          </w:p>
        </w:tc>
        <w:tc>
          <w:tcPr>
            <w:tcW w:w="1492" w:type="dxa"/>
            <w:tcBorders>
              <w:top w:val="single" w:sz="8" w:space="0" w:color="000000"/>
              <w:left w:val="single" w:sz="8" w:space="0" w:color="000000"/>
              <w:bottom w:val="single" w:sz="8" w:space="0" w:color="000000"/>
              <w:right w:val="single" w:sz="8" w:space="0" w:color="000000"/>
            </w:tcBorders>
            <w:vAlign w:val="center"/>
          </w:tcPr>
          <w:p w14:paraId="069CDF0A"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20</w:t>
            </w:r>
          </w:p>
        </w:tc>
        <w:tc>
          <w:tcPr>
            <w:tcW w:w="1362" w:type="dxa"/>
            <w:tcBorders>
              <w:top w:val="single" w:sz="8" w:space="0" w:color="000000"/>
              <w:left w:val="single" w:sz="8" w:space="0" w:color="000000"/>
              <w:bottom w:val="single" w:sz="8" w:space="0" w:color="000000"/>
              <w:right w:val="single" w:sz="8" w:space="0" w:color="000000"/>
            </w:tcBorders>
            <w:vAlign w:val="center"/>
          </w:tcPr>
          <w:p w14:paraId="4B2542D9"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hint="eastAsia"/>
                <w:color w:val="000000"/>
                <w:kern w:val="0"/>
                <w:sz w:val="24"/>
                <w:szCs w:val="24"/>
              </w:rPr>
              <w:t>50</w:t>
            </w:r>
          </w:p>
        </w:tc>
        <w:tc>
          <w:tcPr>
            <w:tcW w:w="1360" w:type="dxa"/>
            <w:tcBorders>
              <w:top w:val="single" w:sz="8" w:space="0" w:color="000000"/>
              <w:left w:val="single" w:sz="8" w:space="0" w:color="000000"/>
              <w:bottom w:val="single" w:sz="8" w:space="0" w:color="000000"/>
              <w:right w:val="single" w:sz="8" w:space="0" w:color="000000"/>
            </w:tcBorders>
          </w:tcPr>
          <w:p w14:paraId="6F824BDB" w14:textId="77777777" w:rsidR="0078124E" w:rsidRDefault="0078124E" w:rsidP="0078124E">
            <w:pPr>
              <w:adjustRightInd w:val="0"/>
              <w:snapToGrid w:val="0"/>
              <w:spacing w:line="440" w:lineRule="exact"/>
              <w:jc w:val="center"/>
              <w:rPr>
                <w:rFonts w:ascii="宋体" w:hAnsi="宋体"/>
                <w:color w:val="000000"/>
                <w:kern w:val="0"/>
                <w:sz w:val="24"/>
                <w:szCs w:val="24"/>
              </w:rPr>
            </w:pPr>
            <w:r>
              <w:rPr>
                <w:rFonts w:ascii="宋体" w:hAnsi="宋体"/>
                <w:color w:val="000000"/>
                <w:kern w:val="0"/>
                <w:sz w:val="24"/>
                <w:szCs w:val="24"/>
              </w:rPr>
              <w:t>100</w:t>
            </w:r>
          </w:p>
        </w:tc>
      </w:tr>
    </w:tbl>
    <w:p w14:paraId="79EE6CB0" w14:textId="77777777" w:rsidR="0078124E" w:rsidRDefault="0078124E" w:rsidP="0078124E">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五、成绩评定</w:t>
      </w:r>
    </w:p>
    <w:p w14:paraId="4ACCA43B" w14:textId="77777777" w:rsidR="0078124E" w:rsidRDefault="0078124E" w:rsidP="0078124E">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（一）总成绩评定</w:t>
      </w:r>
    </w:p>
    <w:p w14:paraId="27C554DC" w14:textId="77777777" w:rsidR="0078124E" w:rsidRDefault="0078124E" w:rsidP="0078124E">
      <w:pPr>
        <w:adjustRightInd w:val="0"/>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总成绩=平时成绩×</w:t>
      </w:r>
      <w:r>
        <w:rPr>
          <w:rFonts w:ascii="宋体" w:eastAsia="宋体" w:hAnsi="宋体" w:cs="Times New Roman" w:hint="eastAsia"/>
          <w:color w:val="000000"/>
          <w:sz w:val="24"/>
          <w:szCs w:val="24"/>
        </w:rPr>
        <w:t>5</w:t>
      </w:r>
      <w:r>
        <w:rPr>
          <w:rFonts w:ascii="宋体" w:eastAsia="宋体" w:hAnsi="宋体" w:cs="Times New Roman"/>
          <w:color w:val="000000"/>
          <w:sz w:val="24"/>
          <w:szCs w:val="24"/>
        </w:rPr>
        <w:t>0%＋期末成绩×</w:t>
      </w:r>
      <w:r>
        <w:rPr>
          <w:rFonts w:ascii="宋体" w:eastAsia="宋体" w:hAnsi="宋体" w:cs="Times New Roman" w:hint="eastAsia"/>
          <w:color w:val="000000"/>
          <w:sz w:val="24"/>
          <w:szCs w:val="24"/>
        </w:rPr>
        <w:t>5</w:t>
      </w:r>
      <w:r>
        <w:rPr>
          <w:rFonts w:ascii="宋体" w:eastAsia="宋体" w:hAnsi="宋体" w:cs="Times New Roman"/>
          <w:color w:val="000000"/>
          <w:sz w:val="24"/>
          <w:szCs w:val="24"/>
        </w:rPr>
        <w:t>0%</w:t>
      </w:r>
    </w:p>
    <w:p w14:paraId="58554533" w14:textId="77777777" w:rsidR="0078124E" w:rsidRDefault="0078124E" w:rsidP="0078124E">
      <w:pPr>
        <w:adjustRightInd w:val="0"/>
        <w:snapToGrid w:val="0"/>
        <w:spacing w:line="440" w:lineRule="exact"/>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备注：各部分考核成绩比例由教研室研究决定。</w:t>
      </w:r>
    </w:p>
    <w:p w14:paraId="5A4CA817" w14:textId="77777777" w:rsidR="0078124E" w:rsidRDefault="0078124E" w:rsidP="0078124E">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（二）平时成绩评定</w:t>
      </w:r>
    </w:p>
    <w:p w14:paraId="49D97024"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平时成绩=课堂表现×60%＋阶段测试×40%</w:t>
      </w:r>
    </w:p>
    <w:p w14:paraId="35B00399"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建议考核方式：</w:t>
      </w:r>
    </w:p>
    <w:p w14:paraId="3C86DB59"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（1）课堂表现：依据学生课堂表现评定，</w:t>
      </w:r>
      <w:proofErr w:type="gramStart"/>
      <w:r>
        <w:rPr>
          <w:rFonts w:ascii="宋体" w:eastAsia="宋体" w:hAnsi="宋体" w:cs="宋体" w:hint="eastAsia"/>
          <w:color w:val="000000"/>
          <w:sz w:val="24"/>
          <w:szCs w:val="24"/>
        </w:rPr>
        <w:t>如小组</w:t>
      </w:r>
      <w:proofErr w:type="gramEnd"/>
      <w:r>
        <w:rPr>
          <w:rFonts w:ascii="宋体" w:eastAsia="宋体" w:hAnsi="宋体" w:cs="宋体" w:hint="eastAsia"/>
          <w:color w:val="000000"/>
          <w:sz w:val="24"/>
          <w:szCs w:val="24"/>
        </w:rPr>
        <w:t>成果分享、发言与提问、课堂参与程度等。</w:t>
      </w:r>
    </w:p>
    <w:p w14:paraId="1C99CC3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（2）阶段测验：依据学生随堂测试、期中测试、专题测试等评定；</w:t>
      </w:r>
    </w:p>
    <w:p w14:paraId="533BF627" w14:textId="77777777" w:rsidR="0078124E" w:rsidRDefault="0078124E" w:rsidP="0078124E">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（三）期末成绩评定</w:t>
      </w:r>
    </w:p>
    <w:p w14:paraId="3E5F1B6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期末考核主要考察学生对习近平新时代中国特色社会主义思想的基本概念、基本</w:t>
      </w:r>
      <w:r>
        <w:rPr>
          <w:rFonts w:ascii="宋体" w:eastAsia="宋体" w:hAnsi="宋体" w:cs="宋体" w:hint="eastAsia"/>
          <w:color w:val="000000"/>
          <w:sz w:val="24"/>
          <w:szCs w:val="24"/>
        </w:rPr>
        <w:lastRenderedPageBreak/>
        <w:t>理论和具体实践的理解与运用等。方式为闭卷考试。要求学生掌握基本概念、基本理论和具体实践，运用具体方法解决相关问题。</w:t>
      </w:r>
    </w:p>
    <w:p w14:paraId="61AADABD" w14:textId="77777777" w:rsidR="0078124E" w:rsidRDefault="0078124E" w:rsidP="0078124E">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六、使用教材、相关推荐书目及课程资源</w:t>
      </w:r>
    </w:p>
    <w:p w14:paraId="729677D2"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马克思主义理论研究和建设工程重点教材：《习近平新时代中国特色社会主义思想概论》，高等教育出版社、人民出版社，2023年版。</w:t>
      </w:r>
    </w:p>
    <w:p w14:paraId="117FBA76"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推荐书目：</w:t>
      </w:r>
    </w:p>
    <w:p w14:paraId="6C210E6A"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1.习近平谈治国理政(第4卷)[M].北京：外文出版社，2022.</w:t>
      </w:r>
    </w:p>
    <w:p w14:paraId="4B32F8A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2.习近平谈治国理政（第3卷）[M].北京：外文出版社，2020.</w:t>
      </w:r>
    </w:p>
    <w:p w14:paraId="7D795011"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3.习近平谈治国理政（第2卷）[M].北京：外文出版社，2017.</w:t>
      </w:r>
    </w:p>
    <w:p w14:paraId="320187A0"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4.习近平谈治国理政（第1卷再版）[M].北京：外文出版社，2018.</w:t>
      </w:r>
    </w:p>
    <w:p w14:paraId="7FBCCAE1"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5.习近平著作选读（第一卷、第二卷） [M].北京：人民出版社，2023.</w:t>
      </w:r>
    </w:p>
    <w:p w14:paraId="08C01E11"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6.习近平新时代中国特色社会主义思想学习纲要[M].北京：学习出版社、人民出版社，2023.</w:t>
      </w:r>
    </w:p>
    <w:p w14:paraId="4D4E1D42"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7.习近平新时代中国特色社会主义思想学习问答[M].北京：学习出版社，2021.</w:t>
      </w:r>
    </w:p>
    <w:p w14:paraId="48C557D3" w14:textId="77777777" w:rsidR="0078124E" w:rsidRDefault="0078124E" w:rsidP="0078124E">
      <w:pPr>
        <w:adjustRightInd w:val="0"/>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8.习近平新时代中国特色社会主义思想专题摘编[M].北京：中央文献出版社、党建读物出版社2023.</w:t>
      </w:r>
    </w:p>
    <w:p w14:paraId="55C7143D" w14:textId="77777777" w:rsidR="0078124E" w:rsidRDefault="0078124E" w:rsidP="0078124E">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七、课程大纲制定依据</w:t>
      </w:r>
    </w:p>
    <w:p w14:paraId="51605927" w14:textId="77777777" w:rsidR="0078124E" w:rsidRDefault="0078124E" w:rsidP="0078124E">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784903B5" w14:textId="77777777" w:rsidR="0078124E" w:rsidRDefault="0078124E" w:rsidP="0078124E">
      <w:pPr>
        <w:snapToGrid w:val="0"/>
        <w:spacing w:before="374" w:after="374" w:line="440" w:lineRule="exact"/>
        <w:ind w:firstLineChars="700" w:firstLine="2520"/>
        <w:rPr>
          <w:rFonts w:ascii="黑体" w:eastAsia="黑体" w:hAnsi="黑体"/>
          <w:sz w:val="36"/>
          <w:szCs w:val="36"/>
        </w:rPr>
      </w:pPr>
      <w:r>
        <w:rPr>
          <w:rFonts w:ascii="黑体" w:eastAsia="黑体" w:hAnsi="黑体" w:hint="eastAsia"/>
          <w:sz w:val="36"/>
          <w:szCs w:val="36"/>
        </w:rPr>
        <w:t xml:space="preserve"> </w:t>
      </w:r>
    </w:p>
    <w:p w14:paraId="24202F17" w14:textId="77777777" w:rsidR="0078124E" w:rsidRDefault="0078124E" w:rsidP="0078124E">
      <w:pPr>
        <w:rPr>
          <w:rFonts w:ascii="黑体" w:eastAsia="黑体" w:hAnsi="黑体"/>
          <w:sz w:val="36"/>
          <w:szCs w:val="36"/>
        </w:rPr>
      </w:pPr>
      <w:r>
        <w:rPr>
          <w:rFonts w:ascii="黑体" w:eastAsia="黑体" w:hAnsi="黑体"/>
          <w:sz w:val="36"/>
          <w:szCs w:val="36"/>
        </w:rPr>
        <w:br w:type="page"/>
      </w:r>
    </w:p>
    <w:p w14:paraId="01BB5469" w14:textId="77777777" w:rsidR="00C70F74" w:rsidRDefault="00C70F74" w:rsidP="00884E21">
      <w:pPr>
        <w:pStyle w:val="1"/>
      </w:pPr>
      <w:bookmarkStart w:id="24" w:name="_Toc149662341"/>
      <w:r>
        <w:lastRenderedPageBreak/>
        <w:t>《形势与政策》课程大纲</w:t>
      </w:r>
      <w:bookmarkEnd w:id="24"/>
    </w:p>
    <w:p w14:paraId="0AA1E576"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一、课程基本信息</w:t>
      </w:r>
    </w:p>
    <w:tbl>
      <w:tblPr>
        <w:tblStyle w:val="a9"/>
        <w:tblW w:w="8490" w:type="dxa"/>
        <w:tblLayout w:type="fixed"/>
        <w:tblCellMar>
          <w:top w:w="120" w:type="dxa"/>
          <w:left w:w="60" w:type="dxa"/>
          <w:bottom w:w="120" w:type="dxa"/>
          <w:right w:w="60" w:type="dxa"/>
        </w:tblCellMar>
        <w:tblLook w:val="04A0" w:firstRow="1" w:lastRow="0" w:firstColumn="1" w:lastColumn="0" w:noHBand="0" w:noVBand="1"/>
      </w:tblPr>
      <w:tblGrid>
        <w:gridCol w:w="1575"/>
        <w:gridCol w:w="2655"/>
        <w:gridCol w:w="1470"/>
        <w:gridCol w:w="2790"/>
      </w:tblGrid>
      <w:tr w:rsidR="00C70F74" w14:paraId="56FC0324" w14:textId="77777777" w:rsidTr="00BA2CFD">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7FECA4E0"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课程名称</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47E215F"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形势与政策</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65D31BBE"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课程代码</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6EDC26E1"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1610523——1610530</w:t>
            </w:r>
          </w:p>
          <w:p w14:paraId="0ECC844C"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（2022级及之后）</w:t>
            </w:r>
          </w:p>
        </w:tc>
      </w:tr>
      <w:tr w:rsidR="00C70F74" w14:paraId="47486D05" w14:textId="77777777" w:rsidTr="00BA2CFD">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D116A60"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课程类别</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02AA6BD"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通识教育必修课程</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F4B6D89"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学时</w:t>
            </w:r>
          </w:p>
          <w:p w14:paraId="4BB6088B"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/学分</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2172AC4B"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64学时/2学分</w:t>
            </w:r>
          </w:p>
        </w:tc>
      </w:tr>
      <w:tr w:rsidR="00C70F74" w14:paraId="0B9783E7" w14:textId="77777777" w:rsidTr="00BA2CFD">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08B465D"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开课单位</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A1726B1"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马克思主义学院</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25342407"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适用专业</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5C56DE35"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全校所有专业</w:t>
            </w:r>
          </w:p>
        </w:tc>
      </w:tr>
      <w:tr w:rsidR="00C70F74" w14:paraId="7317D3F6" w14:textId="77777777" w:rsidTr="00BA2CFD">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EABF6EE"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课程负责人</w:t>
            </w:r>
          </w:p>
        </w:tc>
        <w:tc>
          <w:tcPr>
            <w:tcW w:w="6915" w:type="dxa"/>
            <w:gridSpan w:val="3"/>
            <w:tcBorders>
              <w:top w:val="single" w:sz="8" w:space="0" w:color="000000"/>
              <w:left w:val="single" w:sz="8" w:space="0" w:color="000000"/>
              <w:bottom w:val="single" w:sz="8" w:space="0" w:color="000000"/>
              <w:right w:val="single" w:sz="8" w:space="0" w:color="000000"/>
            </w:tcBorders>
            <w:shd w:val="clear" w:color="auto" w:fill="FFFFFF"/>
            <w:vAlign w:val="center"/>
          </w:tcPr>
          <w:p w14:paraId="362CE346"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刘刚</w:t>
            </w:r>
          </w:p>
        </w:tc>
      </w:tr>
      <w:tr w:rsidR="00C70F74" w14:paraId="11017E13" w14:textId="77777777" w:rsidTr="00BA2CFD">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742B74E8"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大纲撰写人</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230E1E4"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刘刚</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6856BA2C"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大纲审核人</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62311BB9"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张子麟</w:t>
            </w:r>
          </w:p>
        </w:tc>
      </w:tr>
      <w:tr w:rsidR="00C70F74" w14:paraId="712EB1AB" w14:textId="77777777" w:rsidTr="00BA2CFD">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014E47AB"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先修课程</w:t>
            </w:r>
          </w:p>
        </w:tc>
        <w:tc>
          <w:tcPr>
            <w:tcW w:w="6915" w:type="dxa"/>
            <w:gridSpan w:val="3"/>
            <w:tcBorders>
              <w:top w:val="single" w:sz="8" w:space="0" w:color="000000"/>
              <w:left w:val="single" w:sz="8" w:space="0" w:color="000000"/>
              <w:bottom w:val="single" w:sz="8" w:space="0" w:color="000000"/>
              <w:right w:val="single" w:sz="8" w:space="0" w:color="000000"/>
            </w:tcBorders>
            <w:shd w:val="clear" w:color="auto" w:fill="FFFFFF"/>
            <w:vAlign w:val="center"/>
          </w:tcPr>
          <w:p w14:paraId="33201768"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无</w:t>
            </w:r>
          </w:p>
        </w:tc>
      </w:tr>
      <w:tr w:rsidR="00C70F74" w14:paraId="6468E335" w14:textId="77777777" w:rsidTr="00BA2CFD">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2762DE01"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课程网址</w:t>
            </w:r>
          </w:p>
        </w:tc>
        <w:tc>
          <w:tcPr>
            <w:tcW w:w="6915" w:type="dxa"/>
            <w:gridSpan w:val="3"/>
            <w:tcBorders>
              <w:top w:val="single" w:sz="8" w:space="0" w:color="000000"/>
              <w:left w:val="single" w:sz="8" w:space="0" w:color="000000"/>
              <w:bottom w:val="single" w:sz="8" w:space="0" w:color="000000"/>
              <w:right w:val="single" w:sz="8" w:space="0" w:color="000000"/>
            </w:tcBorders>
            <w:shd w:val="clear" w:color="auto" w:fill="FFFFFF"/>
            <w:vAlign w:val="center"/>
          </w:tcPr>
          <w:p w14:paraId="16EB8563"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无</w:t>
            </w:r>
          </w:p>
        </w:tc>
      </w:tr>
    </w:tbl>
    <w:p w14:paraId="26E14398"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二、课程学习目标及与毕业要求的对应关系</w:t>
      </w:r>
    </w:p>
    <w:p w14:paraId="2AEAE1CE"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（一）课程学习目标</w:t>
      </w:r>
    </w:p>
    <w:p w14:paraId="0FE56F89"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通过本课程的学习，学生应达到以下目标：</w:t>
      </w:r>
    </w:p>
    <w:p w14:paraId="6FF48A1F"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1.正确认识新时代国内外形势，包括正确认识世界和中国发展大势，正确认识中国特色和国际比较，正确认识时代责任和历史使命，正确认识远大抱负和脚踏实地。</w:t>
      </w:r>
    </w:p>
    <w:p w14:paraId="1363BFAD"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深刻领会党的十八以来党和国家事业取得的历史性成就、发生的历史性变革、面临的历史性机遇和挑战，牢固树立马克思主义的形势观与政策观，准确理解党的最新理论成果；培养积极的情感、端正的态度和正确的价值观。</w:t>
      </w:r>
    </w:p>
    <w:p w14:paraId="74BCFF6D"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3.认真学习贯彻习近平新时代中国特色社会主义思想，深刻领悟“两个确立”的决定性意义，进一步增强“四个意识”、坚定“四个自信”、做到“两个维护”，努力成为担当民族复兴大任的时代新人。</w:t>
      </w:r>
    </w:p>
    <w:p w14:paraId="119FDF8D"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（二）课程学习目标与毕业要求的对应关系</w:t>
      </w:r>
    </w:p>
    <w:tbl>
      <w:tblPr>
        <w:tblW w:w="82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565"/>
        <w:gridCol w:w="1488"/>
        <w:gridCol w:w="5188"/>
      </w:tblGrid>
      <w:tr w:rsidR="00C70F74" w14:paraId="6606061D" w14:textId="77777777" w:rsidTr="00BA2CFD">
        <w:trPr>
          <w:trHeight w:val="454"/>
          <w:jc w:val="center"/>
        </w:trPr>
        <w:tc>
          <w:tcPr>
            <w:tcW w:w="1565" w:type="dxa"/>
            <w:tcBorders>
              <w:top w:val="single" w:sz="8" w:space="0" w:color="000000"/>
              <w:left w:val="single" w:sz="8" w:space="0" w:color="000000"/>
              <w:bottom w:val="single" w:sz="8" w:space="0" w:color="000000"/>
              <w:right w:val="single" w:sz="8" w:space="0" w:color="000000"/>
            </w:tcBorders>
            <w:vAlign w:val="center"/>
          </w:tcPr>
          <w:p w14:paraId="3D4FEDE1" w14:textId="77777777" w:rsidR="00C70F74" w:rsidRDefault="00C70F74"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lastRenderedPageBreak/>
              <w:t>课程目标</w:t>
            </w:r>
          </w:p>
        </w:tc>
        <w:tc>
          <w:tcPr>
            <w:tcW w:w="1488" w:type="dxa"/>
            <w:tcBorders>
              <w:top w:val="single" w:sz="8" w:space="0" w:color="000000"/>
              <w:left w:val="single" w:sz="8" w:space="0" w:color="000000"/>
              <w:bottom w:val="single" w:sz="8" w:space="0" w:color="000000"/>
              <w:right w:val="single" w:sz="8" w:space="0" w:color="000000"/>
            </w:tcBorders>
            <w:vAlign w:val="center"/>
          </w:tcPr>
          <w:p w14:paraId="3E65996B" w14:textId="77777777" w:rsidR="00C70F74" w:rsidRDefault="00C70F74"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支撑的毕业要求</w:t>
            </w:r>
          </w:p>
        </w:tc>
        <w:tc>
          <w:tcPr>
            <w:tcW w:w="5188" w:type="dxa"/>
            <w:tcBorders>
              <w:top w:val="single" w:sz="8" w:space="0" w:color="000000"/>
              <w:left w:val="single" w:sz="8" w:space="0" w:color="000000"/>
              <w:bottom w:val="single" w:sz="8" w:space="0" w:color="000000"/>
              <w:right w:val="single" w:sz="8" w:space="0" w:color="000000"/>
            </w:tcBorders>
            <w:vAlign w:val="center"/>
          </w:tcPr>
          <w:p w14:paraId="5ABB7F0D" w14:textId="77777777" w:rsidR="00C70F74" w:rsidRDefault="00C70F74"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毕业要求内涵</w:t>
            </w:r>
          </w:p>
        </w:tc>
      </w:tr>
      <w:tr w:rsidR="00C70F74" w14:paraId="30E52828" w14:textId="77777777" w:rsidTr="00BA2CFD">
        <w:trPr>
          <w:trHeight w:val="454"/>
          <w:jc w:val="center"/>
        </w:trPr>
        <w:tc>
          <w:tcPr>
            <w:tcW w:w="1565" w:type="dxa"/>
            <w:tcBorders>
              <w:top w:val="single" w:sz="8" w:space="0" w:color="000000"/>
              <w:left w:val="single" w:sz="8" w:space="0" w:color="000000"/>
              <w:bottom w:val="single" w:sz="8" w:space="0" w:color="000000"/>
              <w:right w:val="single" w:sz="8" w:space="0" w:color="000000"/>
            </w:tcBorders>
            <w:vAlign w:val="center"/>
          </w:tcPr>
          <w:p w14:paraId="1025720F" w14:textId="77777777" w:rsidR="00C70F74" w:rsidRDefault="00C70F74" w:rsidP="00BA2CFD">
            <w:pPr>
              <w:spacing w:line="440" w:lineRule="exact"/>
              <w:jc w:val="center"/>
              <w:rPr>
                <w:rFonts w:ascii="宋体" w:eastAsia="宋体" w:hAnsi="宋体" w:cs="宋体"/>
                <w:sz w:val="24"/>
              </w:rPr>
            </w:pPr>
            <w:r>
              <w:rPr>
                <w:rFonts w:ascii="宋体" w:eastAsia="宋体" w:hAnsi="宋体" w:cs="宋体" w:hint="eastAsia"/>
                <w:sz w:val="24"/>
                <w:szCs w:val="24"/>
              </w:rPr>
              <w:t>课程目标1</w:t>
            </w:r>
          </w:p>
          <w:p w14:paraId="07957608" w14:textId="77777777" w:rsidR="00C70F74" w:rsidRDefault="00C70F74" w:rsidP="00BA2CFD">
            <w:pPr>
              <w:spacing w:line="440" w:lineRule="exact"/>
              <w:jc w:val="center"/>
              <w:rPr>
                <w:rFonts w:ascii="宋体" w:eastAsia="宋体" w:hAnsi="宋体" w:cs="宋体"/>
                <w:kern w:val="0"/>
                <w:sz w:val="24"/>
                <w:szCs w:val="24"/>
              </w:rPr>
            </w:pPr>
          </w:p>
        </w:tc>
        <w:tc>
          <w:tcPr>
            <w:tcW w:w="1488" w:type="dxa"/>
            <w:tcBorders>
              <w:top w:val="single" w:sz="8" w:space="0" w:color="000000"/>
              <w:left w:val="single" w:sz="8" w:space="0" w:color="000000"/>
              <w:bottom w:val="single" w:sz="8" w:space="0" w:color="000000"/>
              <w:right w:val="single" w:sz="8" w:space="0" w:color="000000"/>
            </w:tcBorders>
            <w:vAlign w:val="center"/>
          </w:tcPr>
          <w:p w14:paraId="0BDDB673" w14:textId="77777777" w:rsidR="00C70F74" w:rsidRDefault="00C70F74" w:rsidP="00BA2CFD">
            <w:pPr>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7.学会反思（M）</w:t>
            </w:r>
          </w:p>
        </w:tc>
        <w:tc>
          <w:tcPr>
            <w:tcW w:w="5188" w:type="dxa"/>
            <w:tcBorders>
              <w:top w:val="single" w:sz="8" w:space="0" w:color="000000"/>
              <w:left w:val="single" w:sz="8" w:space="0" w:color="000000"/>
              <w:bottom w:val="single" w:sz="8" w:space="0" w:color="000000"/>
              <w:right w:val="single" w:sz="8" w:space="0" w:color="000000"/>
            </w:tcBorders>
            <w:vAlign w:val="center"/>
          </w:tcPr>
          <w:p w14:paraId="53AD0D54" w14:textId="77777777" w:rsidR="00C70F74" w:rsidRDefault="00C70F74" w:rsidP="00BA2CFD">
            <w:pPr>
              <w:spacing w:line="440" w:lineRule="exact"/>
              <w:ind w:firstLineChars="200" w:firstLine="480"/>
              <w:jc w:val="left"/>
              <w:rPr>
                <w:rFonts w:ascii="宋体" w:eastAsia="宋体" w:hAnsi="宋体" w:cs="宋体"/>
                <w:sz w:val="24"/>
                <w:szCs w:val="24"/>
              </w:rPr>
            </w:pPr>
            <w:r>
              <w:rPr>
                <w:rFonts w:ascii="宋体" w:eastAsia="宋体" w:hAnsi="宋体" w:cs="宋体" w:hint="eastAsia"/>
                <w:sz w:val="24"/>
                <w:szCs w:val="24"/>
              </w:rPr>
              <w:t>具有终身学习与专业发展意识，养成自主学习能力，了解国内外中学教育改革发展动态，能够根据新时代中学教育发展需求，制定专业学习和职业生涯规划。善于反思，初步掌握反思方法和技能，具有一定的教育教学创新意识和创新能力，能够运用批判性思维分析和解决教育教学问题，养成教育反思能力。</w:t>
            </w:r>
          </w:p>
        </w:tc>
      </w:tr>
      <w:tr w:rsidR="00C70F74" w14:paraId="1C57E3D3" w14:textId="77777777" w:rsidTr="00BA2CFD">
        <w:trPr>
          <w:trHeight w:val="454"/>
          <w:jc w:val="center"/>
        </w:trPr>
        <w:tc>
          <w:tcPr>
            <w:tcW w:w="1565" w:type="dxa"/>
            <w:tcBorders>
              <w:top w:val="single" w:sz="8" w:space="0" w:color="000000"/>
              <w:left w:val="single" w:sz="8" w:space="0" w:color="000000"/>
              <w:bottom w:val="single" w:sz="8" w:space="0" w:color="000000"/>
              <w:right w:val="single" w:sz="8" w:space="0" w:color="000000"/>
            </w:tcBorders>
            <w:vAlign w:val="center"/>
          </w:tcPr>
          <w:p w14:paraId="62425BCC" w14:textId="77777777" w:rsidR="00C70F74" w:rsidRDefault="00C70F74" w:rsidP="00BA2CFD">
            <w:pPr>
              <w:spacing w:line="440" w:lineRule="exact"/>
              <w:jc w:val="center"/>
              <w:rPr>
                <w:rFonts w:ascii="宋体" w:eastAsia="宋体" w:hAnsi="宋体" w:cs="宋体"/>
                <w:sz w:val="24"/>
              </w:rPr>
            </w:pPr>
            <w:r>
              <w:rPr>
                <w:rFonts w:ascii="宋体" w:eastAsia="宋体" w:hAnsi="宋体" w:cs="宋体" w:hint="eastAsia"/>
                <w:sz w:val="24"/>
              </w:rPr>
              <w:t>课程目标2</w:t>
            </w:r>
          </w:p>
          <w:p w14:paraId="26C89613" w14:textId="77777777" w:rsidR="00C70F74" w:rsidRDefault="00C70F74" w:rsidP="00BA2CFD">
            <w:pPr>
              <w:spacing w:line="440" w:lineRule="exact"/>
              <w:jc w:val="center"/>
              <w:rPr>
                <w:rFonts w:ascii="宋体" w:eastAsia="宋体" w:hAnsi="宋体" w:cs="宋体"/>
                <w:kern w:val="0"/>
                <w:sz w:val="24"/>
                <w:szCs w:val="24"/>
              </w:rPr>
            </w:pPr>
            <w:r>
              <w:rPr>
                <w:rFonts w:ascii="宋体" w:eastAsia="宋体" w:hAnsi="宋体" w:cs="宋体" w:hint="eastAsia"/>
                <w:sz w:val="24"/>
              </w:rPr>
              <w:t>课程目标3</w:t>
            </w:r>
          </w:p>
        </w:tc>
        <w:tc>
          <w:tcPr>
            <w:tcW w:w="1488" w:type="dxa"/>
            <w:tcBorders>
              <w:top w:val="single" w:sz="8" w:space="0" w:color="000000"/>
              <w:left w:val="single" w:sz="8" w:space="0" w:color="000000"/>
              <w:bottom w:val="single" w:sz="8" w:space="0" w:color="000000"/>
              <w:right w:val="single" w:sz="8" w:space="0" w:color="000000"/>
            </w:tcBorders>
            <w:vAlign w:val="center"/>
          </w:tcPr>
          <w:p w14:paraId="78321F21" w14:textId="77777777" w:rsidR="00C70F74" w:rsidRDefault="00C70F74" w:rsidP="00BA2CFD">
            <w:pPr>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1.师德规范（H）</w:t>
            </w:r>
          </w:p>
        </w:tc>
        <w:tc>
          <w:tcPr>
            <w:tcW w:w="5188" w:type="dxa"/>
            <w:tcBorders>
              <w:top w:val="single" w:sz="8" w:space="0" w:color="000000"/>
              <w:left w:val="single" w:sz="8" w:space="0" w:color="000000"/>
              <w:bottom w:val="single" w:sz="8" w:space="0" w:color="000000"/>
              <w:right w:val="single" w:sz="8" w:space="0" w:color="000000"/>
            </w:tcBorders>
            <w:vAlign w:val="center"/>
          </w:tcPr>
          <w:p w14:paraId="35E13916" w14:textId="77777777" w:rsidR="00C70F74" w:rsidRDefault="00C70F74" w:rsidP="00BA2CFD">
            <w:pPr>
              <w:spacing w:line="440" w:lineRule="exact"/>
              <w:ind w:firstLineChars="200" w:firstLine="480"/>
              <w:jc w:val="left"/>
              <w:rPr>
                <w:rFonts w:ascii="宋体" w:eastAsia="宋体" w:hAnsi="宋体" w:cs="宋体"/>
                <w:sz w:val="24"/>
                <w:szCs w:val="24"/>
              </w:rPr>
            </w:pPr>
            <w:proofErr w:type="gramStart"/>
            <w:r>
              <w:rPr>
                <w:rFonts w:ascii="宋体" w:eastAsia="宋体" w:hAnsi="宋体" w:cs="宋体" w:hint="eastAsia"/>
                <w:sz w:val="24"/>
                <w:szCs w:val="24"/>
              </w:rPr>
              <w:t>践行</w:t>
            </w:r>
            <w:proofErr w:type="gramEnd"/>
            <w:r>
              <w:rPr>
                <w:rFonts w:ascii="宋体" w:eastAsia="宋体" w:hAnsi="宋体" w:cs="宋体" w:hint="eastAsia"/>
                <w:sz w:val="24"/>
                <w:szCs w:val="24"/>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72CBDF87" w14:textId="77777777" w:rsidR="00C70F74" w:rsidRDefault="00C70F74" w:rsidP="00C70F74">
      <w:pPr>
        <w:snapToGrid w:val="0"/>
        <w:spacing w:before="187" w:after="187" w:line="440" w:lineRule="exact"/>
        <w:ind w:firstLineChars="200" w:firstLine="560"/>
        <w:rPr>
          <w:rFonts w:ascii="黑体" w:eastAsia="黑体" w:hAnsi="黑体"/>
          <w:sz w:val="28"/>
          <w:szCs w:val="28"/>
        </w:rPr>
      </w:pPr>
      <w:r>
        <w:rPr>
          <w:rFonts w:ascii="黑体" w:eastAsia="黑体" w:hAnsi="黑体" w:hint="eastAsia"/>
          <w:sz w:val="28"/>
          <w:szCs w:val="28"/>
        </w:rPr>
        <w:t>（三）课程学习目标与毕业要求的对应关系</w:t>
      </w:r>
    </w:p>
    <w:tbl>
      <w:tblPr>
        <w:tblW w:w="8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311"/>
        <w:gridCol w:w="1615"/>
        <w:gridCol w:w="5286"/>
      </w:tblGrid>
      <w:tr w:rsidR="00C70F74" w14:paraId="73E3D9DB" w14:textId="77777777" w:rsidTr="00BA2CFD">
        <w:trPr>
          <w:trHeight w:val="454"/>
          <w:jc w:val="center"/>
        </w:trPr>
        <w:tc>
          <w:tcPr>
            <w:tcW w:w="1311" w:type="dxa"/>
            <w:tcBorders>
              <w:top w:val="single" w:sz="8" w:space="0" w:color="000000"/>
              <w:left w:val="single" w:sz="8" w:space="0" w:color="000000"/>
              <w:bottom w:val="single" w:sz="8" w:space="0" w:color="000000"/>
              <w:right w:val="single" w:sz="8" w:space="0" w:color="000000"/>
            </w:tcBorders>
            <w:vAlign w:val="center"/>
          </w:tcPr>
          <w:p w14:paraId="124B41FF" w14:textId="77777777" w:rsidR="00C70F74" w:rsidRDefault="00C70F74"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1615" w:type="dxa"/>
            <w:tcBorders>
              <w:top w:val="single" w:sz="8" w:space="0" w:color="000000"/>
              <w:left w:val="single" w:sz="8" w:space="0" w:color="000000"/>
              <w:bottom w:val="single" w:sz="8" w:space="0" w:color="000000"/>
              <w:right w:val="single" w:sz="8" w:space="0" w:color="000000"/>
            </w:tcBorders>
            <w:vAlign w:val="center"/>
          </w:tcPr>
          <w:p w14:paraId="6C2F822A" w14:textId="77777777" w:rsidR="00C70F74" w:rsidRDefault="00C70F74"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w:t>
            </w:r>
          </w:p>
          <w:p w14:paraId="75A17DBD" w14:textId="77777777" w:rsidR="00C70F74" w:rsidRDefault="00C70F74"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w:t>
            </w:r>
          </w:p>
        </w:tc>
        <w:tc>
          <w:tcPr>
            <w:tcW w:w="5286" w:type="dxa"/>
            <w:tcBorders>
              <w:top w:val="single" w:sz="8" w:space="0" w:color="000000"/>
              <w:left w:val="single" w:sz="8" w:space="0" w:color="000000"/>
              <w:bottom w:val="single" w:sz="8" w:space="0" w:color="000000"/>
              <w:right w:val="single" w:sz="8" w:space="0" w:color="000000"/>
            </w:tcBorders>
            <w:vAlign w:val="center"/>
          </w:tcPr>
          <w:p w14:paraId="4F61BEDC" w14:textId="77777777" w:rsidR="00C70F74" w:rsidRDefault="00C70F74"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毕业要求内涵</w:t>
            </w:r>
          </w:p>
        </w:tc>
      </w:tr>
      <w:tr w:rsidR="00C70F74" w14:paraId="212B4C03" w14:textId="77777777" w:rsidTr="00BA2CFD">
        <w:trPr>
          <w:trHeight w:val="454"/>
          <w:jc w:val="center"/>
        </w:trPr>
        <w:tc>
          <w:tcPr>
            <w:tcW w:w="1311" w:type="dxa"/>
            <w:tcBorders>
              <w:top w:val="single" w:sz="8" w:space="0" w:color="000000"/>
              <w:left w:val="single" w:sz="8" w:space="0" w:color="000000"/>
              <w:bottom w:val="single" w:sz="8" w:space="0" w:color="000000"/>
              <w:right w:val="single" w:sz="8" w:space="0" w:color="000000"/>
            </w:tcBorders>
            <w:vAlign w:val="center"/>
          </w:tcPr>
          <w:p w14:paraId="0729A1E5" w14:textId="77777777" w:rsidR="00C70F74" w:rsidRDefault="00C70F74" w:rsidP="00BA2CFD">
            <w:pPr>
              <w:spacing w:line="440" w:lineRule="exact"/>
              <w:jc w:val="center"/>
              <w:rPr>
                <w:rFonts w:ascii="宋体" w:eastAsia="宋体" w:hAnsi="宋体"/>
                <w:kern w:val="0"/>
                <w:sz w:val="24"/>
                <w:szCs w:val="24"/>
              </w:rPr>
            </w:pPr>
            <w:r>
              <w:rPr>
                <w:rFonts w:ascii="宋体" w:eastAsia="宋体" w:hAnsi="宋体" w:hint="eastAsia"/>
                <w:sz w:val="24"/>
              </w:rPr>
              <w:t>课程目标1</w:t>
            </w:r>
          </w:p>
        </w:tc>
        <w:tc>
          <w:tcPr>
            <w:tcW w:w="1615" w:type="dxa"/>
            <w:tcBorders>
              <w:top w:val="single" w:sz="8" w:space="0" w:color="000000"/>
              <w:left w:val="single" w:sz="8" w:space="0" w:color="000000"/>
              <w:bottom w:val="single" w:sz="8" w:space="0" w:color="000000"/>
              <w:right w:val="single" w:sz="8" w:space="0" w:color="000000"/>
            </w:tcBorders>
            <w:vAlign w:val="center"/>
          </w:tcPr>
          <w:p w14:paraId="63348111" w14:textId="77777777" w:rsidR="00C70F74" w:rsidRDefault="00C70F74" w:rsidP="00BA2CFD">
            <w:pPr>
              <w:spacing w:line="440" w:lineRule="exact"/>
              <w:jc w:val="center"/>
              <w:rPr>
                <w:rFonts w:ascii="宋体" w:eastAsia="宋体" w:hAnsi="宋体"/>
                <w:kern w:val="0"/>
                <w:sz w:val="24"/>
                <w:szCs w:val="24"/>
              </w:rPr>
            </w:pPr>
            <w:r>
              <w:rPr>
                <w:rFonts w:ascii="宋体" w:eastAsia="宋体" w:hAnsi="宋体" w:hint="eastAsia"/>
                <w:kern w:val="0"/>
                <w:sz w:val="24"/>
                <w:szCs w:val="24"/>
              </w:rPr>
              <w:t>3.设计 / 开发解决方案（M）</w:t>
            </w:r>
          </w:p>
        </w:tc>
        <w:tc>
          <w:tcPr>
            <w:tcW w:w="5286" w:type="dxa"/>
            <w:tcBorders>
              <w:top w:val="single" w:sz="8" w:space="0" w:color="000000"/>
              <w:left w:val="single" w:sz="8" w:space="0" w:color="000000"/>
              <w:bottom w:val="single" w:sz="8" w:space="0" w:color="000000"/>
              <w:right w:val="single" w:sz="8" w:space="0" w:color="000000"/>
            </w:tcBorders>
            <w:vAlign w:val="center"/>
          </w:tcPr>
          <w:p w14:paraId="70484FD3" w14:textId="77777777" w:rsidR="00C70F74" w:rsidRDefault="00C70F74" w:rsidP="00BA2CFD">
            <w:pPr>
              <w:spacing w:line="440" w:lineRule="exact"/>
              <w:ind w:firstLineChars="200" w:firstLine="480"/>
              <w:jc w:val="left"/>
              <w:rPr>
                <w:rFonts w:ascii="宋体" w:eastAsia="宋体" w:hAnsi="宋体"/>
                <w:kern w:val="0"/>
                <w:sz w:val="24"/>
                <w:szCs w:val="24"/>
              </w:rPr>
            </w:pPr>
            <w:r>
              <w:rPr>
                <w:rFonts w:ascii="宋体" w:eastAsia="宋体" w:hAnsi="宋体" w:hint="eastAsia"/>
                <w:kern w:val="0"/>
                <w:sz w:val="24"/>
                <w:szCs w:val="24"/>
              </w:rPr>
              <w:t>能够设计针对复杂工程问题的解决方案，设计满足特定需求的系统、单元（部件）或工艺流程，并能够在设计环节中体现创新意识，考虑社会、健康、安全、法律、文化以及环境等因素。</w:t>
            </w:r>
          </w:p>
        </w:tc>
      </w:tr>
      <w:tr w:rsidR="00C70F74" w14:paraId="51CBF0E9" w14:textId="77777777" w:rsidTr="00BA2CFD">
        <w:trPr>
          <w:trHeight w:val="454"/>
          <w:jc w:val="center"/>
        </w:trPr>
        <w:tc>
          <w:tcPr>
            <w:tcW w:w="1311" w:type="dxa"/>
            <w:tcBorders>
              <w:top w:val="single" w:sz="8" w:space="0" w:color="000000"/>
              <w:left w:val="single" w:sz="8" w:space="0" w:color="000000"/>
              <w:bottom w:val="single" w:sz="8" w:space="0" w:color="000000"/>
              <w:right w:val="single" w:sz="8" w:space="0" w:color="000000"/>
            </w:tcBorders>
            <w:vAlign w:val="center"/>
          </w:tcPr>
          <w:p w14:paraId="150FDA65" w14:textId="77777777" w:rsidR="00C70F74" w:rsidRDefault="00C70F74" w:rsidP="00BA2CFD">
            <w:pPr>
              <w:spacing w:line="440" w:lineRule="exact"/>
              <w:jc w:val="center"/>
              <w:rPr>
                <w:rFonts w:ascii="宋体" w:eastAsia="宋体" w:hAnsi="宋体"/>
                <w:kern w:val="0"/>
                <w:sz w:val="24"/>
                <w:szCs w:val="24"/>
              </w:rPr>
            </w:pPr>
            <w:r>
              <w:rPr>
                <w:rFonts w:ascii="宋体" w:eastAsia="宋体" w:hAnsi="宋体" w:hint="eastAsia"/>
                <w:sz w:val="24"/>
              </w:rPr>
              <w:t>课程目标2课程目标3</w:t>
            </w:r>
          </w:p>
        </w:tc>
        <w:tc>
          <w:tcPr>
            <w:tcW w:w="1615" w:type="dxa"/>
            <w:tcBorders>
              <w:top w:val="single" w:sz="8" w:space="0" w:color="000000"/>
              <w:left w:val="single" w:sz="8" w:space="0" w:color="000000"/>
              <w:bottom w:val="single" w:sz="8" w:space="0" w:color="000000"/>
              <w:right w:val="single" w:sz="8" w:space="0" w:color="000000"/>
            </w:tcBorders>
            <w:vAlign w:val="center"/>
          </w:tcPr>
          <w:p w14:paraId="1C3A1D39" w14:textId="77777777" w:rsidR="00C70F74" w:rsidRDefault="00C70F74" w:rsidP="00BA2CFD">
            <w:pPr>
              <w:spacing w:line="440" w:lineRule="exact"/>
              <w:jc w:val="center"/>
              <w:rPr>
                <w:rFonts w:ascii="宋体" w:eastAsia="宋体" w:hAnsi="宋体"/>
                <w:kern w:val="0"/>
                <w:sz w:val="24"/>
                <w:szCs w:val="24"/>
              </w:rPr>
            </w:pPr>
            <w:r>
              <w:rPr>
                <w:rFonts w:ascii="宋体" w:eastAsia="宋体" w:hAnsi="宋体" w:hint="eastAsia"/>
                <w:kern w:val="0"/>
                <w:sz w:val="24"/>
                <w:szCs w:val="24"/>
              </w:rPr>
              <w:t>8</w:t>
            </w:r>
            <w:r>
              <w:rPr>
                <w:rFonts w:ascii="宋体" w:eastAsia="宋体" w:hAnsi="宋体"/>
                <w:kern w:val="0"/>
                <w:sz w:val="24"/>
                <w:szCs w:val="24"/>
              </w:rPr>
              <w:t>.</w:t>
            </w:r>
            <w:r>
              <w:rPr>
                <w:rFonts w:ascii="宋体" w:eastAsia="宋体" w:hAnsi="宋体" w:hint="eastAsia"/>
                <w:kern w:val="0"/>
                <w:sz w:val="24"/>
                <w:szCs w:val="24"/>
              </w:rPr>
              <w:t>职业规范（H）</w:t>
            </w:r>
          </w:p>
        </w:tc>
        <w:tc>
          <w:tcPr>
            <w:tcW w:w="5286" w:type="dxa"/>
            <w:tcBorders>
              <w:top w:val="single" w:sz="8" w:space="0" w:color="000000"/>
              <w:left w:val="single" w:sz="8" w:space="0" w:color="000000"/>
              <w:bottom w:val="single" w:sz="8" w:space="0" w:color="000000"/>
              <w:right w:val="single" w:sz="8" w:space="0" w:color="000000"/>
            </w:tcBorders>
            <w:vAlign w:val="center"/>
          </w:tcPr>
          <w:p w14:paraId="7C7FE6F3" w14:textId="77777777" w:rsidR="00C70F74" w:rsidRDefault="00C70F74" w:rsidP="00BA2CFD">
            <w:pPr>
              <w:spacing w:line="440" w:lineRule="exact"/>
              <w:ind w:firstLineChars="200" w:firstLine="480"/>
              <w:jc w:val="left"/>
              <w:rPr>
                <w:rFonts w:ascii="宋体" w:eastAsia="宋体" w:hAnsi="宋体"/>
                <w:kern w:val="0"/>
                <w:sz w:val="24"/>
                <w:szCs w:val="24"/>
              </w:rPr>
            </w:pPr>
            <w:r>
              <w:rPr>
                <w:rFonts w:ascii="宋体" w:eastAsia="宋体" w:hAnsi="宋体" w:hint="eastAsia"/>
                <w:kern w:val="0"/>
                <w:sz w:val="24"/>
                <w:szCs w:val="24"/>
              </w:rPr>
              <w:t>具有人文社会科学素养、社会 责任感，能够在工程实践中理解并遵守工程职业道德和规范，履行责任。</w:t>
            </w:r>
          </w:p>
        </w:tc>
      </w:tr>
    </w:tbl>
    <w:p w14:paraId="17E60592"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三、课程学习内容及与课程学习目标的对应关系</w:t>
      </w:r>
    </w:p>
    <w:p w14:paraId="6E706D3B"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lastRenderedPageBreak/>
        <w:t>（一）课程学习内容</w:t>
      </w:r>
    </w:p>
    <w:p w14:paraId="6A1B5D4D" w14:textId="77777777" w:rsidR="00C70F74" w:rsidRDefault="00C70F74" w:rsidP="00C70F74">
      <w:pPr>
        <w:snapToGrid w:val="0"/>
        <w:spacing w:before="187" w:after="187" w:line="440" w:lineRule="exact"/>
        <w:ind w:firstLineChars="200" w:firstLine="560"/>
        <w:jc w:val="center"/>
        <w:rPr>
          <w:rFonts w:ascii="黑体" w:eastAsia="黑体" w:hAnsi="黑体"/>
          <w:sz w:val="28"/>
          <w:szCs w:val="28"/>
        </w:rPr>
      </w:pPr>
      <w:r>
        <w:rPr>
          <w:rFonts w:ascii="黑体" w:eastAsia="黑体" w:hAnsi="黑体"/>
          <w:sz w:val="28"/>
          <w:szCs w:val="28"/>
        </w:rPr>
        <w:t>专题</w:t>
      </w:r>
      <w:proofErr w:type="gramStart"/>
      <w:r>
        <w:rPr>
          <w:rFonts w:ascii="黑体" w:eastAsia="黑体" w:hAnsi="黑体"/>
          <w:sz w:val="28"/>
          <w:szCs w:val="28"/>
        </w:rPr>
        <w:t>一</w:t>
      </w:r>
      <w:proofErr w:type="gramEnd"/>
      <w:r>
        <w:rPr>
          <w:rFonts w:ascii="黑体" w:eastAsia="黑体" w:hAnsi="黑体"/>
          <w:sz w:val="28"/>
          <w:szCs w:val="28"/>
        </w:rPr>
        <w:t xml:space="preserve">　加强党的建设和</w:t>
      </w:r>
      <w:r>
        <w:rPr>
          <w:rFonts w:ascii="黑体" w:eastAsia="黑体" w:hAnsi="黑体" w:hint="eastAsia"/>
          <w:sz w:val="28"/>
          <w:szCs w:val="28"/>
        </w:rPr>
        <w:t>新时代新征程</w:t>
      </w:r>
      <w:r>
        <w:rPr>
          <w:rFonts w:ascii="黑体" w:eastAsia="黑体" w:hAnsi="黑体"/>
          <w:sz w:val="28"/>
          <w:szCs w:val="28"/>
        </w:rPr>
        <w:t>专题</w:t>
      </w:r>
    </w:p>
    <w:p w14:paraId="36D75054"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【学习目标】</w:t>
      </w:r>
    </w:p>
    <w:p w14:paraId="7D317BEE"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1.认知类目标：正确认识党的十八大以来，我们党以自我革命精神推进全面从严治党的显著成效；全面认识新时代的历史性成就和历史性变革，党的二十大擘画的全面建设社会主义现代化国家的新目标和新蓝图。</w:t>
      </w:r>
    </w:p>
    <w:p w14:paraId="6E6C5C5C"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2.过程与方法类目标：感悟习近平新时代中国特色社会主义思想的实践伟力深刻领会党的二十大主题的深刻内涵，以中国式现代化全面推进中华民族伟大复兴。</w:t>
      </w:r>
    </w:p>
    <w:p w14:paraId="4E201BD9"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情感、态度、价值观类目标：坚信中华民族伟大复兴已经进入不可逆转的历史进程，深刻领悟“两个确立”的决定性意义，进一步增强“四个意识”、坚定“四个自信”、做到“两个维护”，在思想上政治上行动上同以习近平同志为核心的党中央保持高度一致。</w:t>
      </w:r>
    </w:p>
    <w:p w14:paraId="40D9395C"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【学习内容】</w:t>
      </w:r>
    </w:p>
    <w:p w14:paraId="687A5CFB"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1.贯彻落实新时代党的组织路线，努力把党建设得更加坚强有力；</w:t>
      </w:r>
    </w:p>
    <w:p w14:paraId="394DEBDD"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2.新时代10年的伟大变革及其里程碑意义；</w:t>
      </w:r>
    </w:p>
    <w:p w14:paraId="7D5E5F96"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3.党和国家事业所处的新方位、谋划的新目标、制定的新部署；</w:t>
      </w:r>
    </w:p>
    <w:p w14:paraId="288609AF"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4.中国式现代化的探索历程、基本特征和本质要求；</w:t>
      </w:r>
    </w:p>
    <w:p w14:paraId="392E52B8"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5.前进道路上保持应对风险挑战的战略定力；</w:t>
      </w:r>
    </w:p>
    <w:p w14:paraId="41283602"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【重点】</w:t>
      </w:r>
    </w:p>
    <w:p w14:paraId="3EACCA69"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1.党的政治建设、思想建设、组织建设、作风建设、纪律建设以及贯穿其中的制度建设的新举措新成效；</w:t>
      </w:r>
    </w:p>
    <w:p w14:paraId="05DDF644"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2.在历史对照中全面阐述新时代10年伟大变革的里程碑意义。</w:t>
      </w:r>
    </w:p>
    <w:p w14:paraId="2F3D3332"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【难点】</w:t>
      </w:r>
    </w:p>
    <w:p w14:paraId="59E1CA3F"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1.党的二十大的基本精神、主要内容以及召开的重大历史意义和政治意义；</w:t>
      </w:r>
    </w:p>
    <w:p w14:paraId="4618BEDC"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2.“两个确立”对新时代党和国家事业发展、对推进中华民族伟大复兴历史进程所具有的决定性意义。</w:t>
      </w:r>
    </w:p>
    <w:p w14:paraId="3E5ECDF2"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【教学方法】</w:t>
      </w:r>
    </w:p>
    <w:p w14:paraId="560F9674"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1.通过教师系统讲授和学生自主探究相结合，阐明中国共产党领导是中国特色社会主义</w:t>
      </w:r>
      <w:proofErr w:type="gramStart"/>
      <w:r>
        <w:rPr>
          <w:rFonts w:ascii="宋体" w:eastAsia="宋体" w:hAnsi="宋体" w:cs="宋体" w:hint="eastAsia"/>
          <w:sz w:val="24"/>
          <w:szCs w:val="24"/>
        </w:rPr>
        <w:t>最</w:t>
      </w:r>
      <w:proofErr w:type="gramEnd"/>
      <w:r>
        <w:rPr>
          <w:rFonts w:ascii="宋体" w:eastAsia="宋体" w:hAnsi="宋体" w:cs="宋体" w:hint="eastAsia"/>
          <w:sz w:val="24"/>
          <w:szCs w:val="24"/>
        </w:rPr>
        <w:t>本质的特征，新时代十年伟大变革的里程碑意义，中国式现代化的基本特征和本质要求等；</w:t>
      </w:r>
    </w:p>
    <w:p w14:paraId="2F0BBC4E"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lastRenderedPageBreak/>
        <w:t>2.通过案例分析，结合党的二十大的基本精神、主要内容和召开意义，深刻理解“两个确立”对新时代党和国家事业发展、对推进中华民族伟大复兴历史进程所具有的决定性意义等。</w:t>
      </w:r>
    </w:p>
    <w:p w14:paraId="7043BFD8"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【复习思考】</w:t>
      </w:r>
    </w:p>
    <w:p w14:paraId="7223B48E"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1.新时代10年我国取得了历史性成就和历史性变革，其根本原因是什么？</w:t>
      </w:r>
    </w:p>
    <w:p w14:paraId="5ED2ABC9"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2.中国的现代化建设为什么不能走西方国家现代化的老路？</w:t>
      </w:r>
    </w:p>
    <w:p w14:paraId="53153621"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3.在新征程上面对风高浪</w:t>
      </w:r>
      <w:proofErr w:type="gramStart"/>
      <w:r>
        <w:rPr>
          <w:rFonts w:ascii="宋体" w:eastAsia="宋体" w:hAnsi="宋体" w:cs="宋体" w:hint="eastAsia"/>
          <w:sz w:val="24"/>
          <w:szCs w:val="24"/>
        </w:rPr>
        <w:t>急甚至</w:t>
      </w:r>
      <w:proofErr w:type="gramEnd"/>
      <w:r>
        <w:rPr>
          <w:rFonts w:ascii="宋体" w:eastAsia="宋体" w:hAnsi="宋体" w:cs="宋体" w:hint="eastAsia"/>
          <w:sz w:val="24"/>
          <w:szCs w:val="24"/>
        </w:rPr>
        <w:t>惊涛骇浪的重大考验，我们应保持怎样的战略定力？</w:t>
      </w:r>
    </w:p>
    <w:p w14:paraId="6FCA7058" w14:textId="77777777" w:rsidR="00C70F74" w:rsidRDefault="00C70F74" w:rsidP="00C70F74">
      <w:pPr>
        <w:snapToGrid w:val="0"/>
        <w:spacing w:before="187" w:after="187" w:line="440" w:lineRule="exact"/>
        <w:ind w:firstLineChars="200" w:firstLine="560"/>
        <w:jc w:val="center"/>
        <w:rPr>
          <w:rFonts w:ascii="黑体" w:eastAsia="黑体" w:hAnsi="黑体"/>
          <w:sz w:val="28"/>
          <w:szCs w:val="28"/>
        </w:rPr>
      </w:pPr>
      <w:r>
        <w:rPr>
          <w:rFonts w:ascii="黑体" w:eastAsia="黑体" w:hAnsi="黑体"/>
          <w:sz w:val="28"/>
          <w:szCs w:val="28"/>
        </w:rPr>
        <w:t>专题二　我国经济社会发展专题</w:t>
      </w:r>
    </w:p>
    <w:p w14:paraId="4444D070"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【学习目标】</w:t>
      </w:r>
    </w:p>
    <w:p w14:paraId="1EFD24E4"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1.认知类目标：正确认识建设全国统一大市场是实现高质量发展的制度基础，澄清关于全国统一大市场建设过程中的认识误区；充分认识在新时代新征程上，人才是实现民族振兴、赢得国际竞争主动的战略资源；</w:t>
      </w:r>
    </w:p>
    <w:p w14:paraId="707D0E40"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2.过程与方法类目标：深刻领会</w:t>
      </w:r>
      <w:proofErr w:type="gramStart"/>
      <w:r>
        <w:rPr>
          <w:rFonts w:ascii="宋体" w:eastAsia="宋体" w:hAnsi="宋体" w:cs="宋体" w:hint="eastAsia"/>
          <w:sz w:val="24"/>
          <w:szCs w:val="24"/>
        </w:rPr>
        <w:t>建设建设</w:t>
      </w:r>
      <w:proofErr w:type="gramEnd"/>
      <w:r>
        <w:rPr>
          <w:rFonts w:ascii="宋体" w:eastAsia="宋体" w:hAnsi="宋体" w:cs="宋体" w:hint="eastAsia"/>
          <w:sz w:val="24"/>
          <w:szCs w:val="24"/>
        </w:rPr>
        <w:t>统一大市场，畅通全国大循环能够为我国经济社会发展蓄积更为强劲的动能；深刻领会教育、科技、人才是全面建设社会主义现代化国家的基础性和战略性支撑；</w:t>
      </w:r>
    </w:p>
    <w:p w14:paraId="08989BC6"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3.情感、态度、价值观类目标：引导学生进一步坚定对中国经济光明前景的信心；同时，引导学生深怀爱国之心、砥砺报国之志，成为为国所需的栋梁之材，肩负起时代赋予的使命责任。</w:t>
      </w:r>
    </w:p>
    <w:p w14:paraId="619CAB68"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【学习内容】</w:t>
      </w:r>
    </w:p>
    <w:p w14:paraId="5268A2A0"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1.建设全国统一大市场取得的成效和重要意义；</w:t>
      </w:r>
    </w:p>
    <w:p w14:paraId="1333B8E8"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2.建设全国统一大市场需要破除的认识误区；</w:t>
      </w:r>
    </w:p>
    <w:p w14:paraId="42495B85"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3.建设全国统一大市场的路径举措；</w:t>
      </w:r>
    </w:p>
    <w:p w14:paraId="1348E2D9"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4.我国实施人才强国战略的现实</w:t>
      </w:r>
      <w:proofErr w:type="gramStart"/>
      <w:r>
        <w:rPr>
          <w:rFonts w:ascii="宋体" w:eastAsia="宋体" w:hAnsi="宋体" w:cs="宋体" w:hint="eastAsia"/>
          <w:sz w:val="24"/>
          <w:szCs w:val="24"/>
        </w:rPr>
        <w:t>考量</w:t>
      </w:r>
      <w:proofErr w:type="gramEnd"/>
      <w:r>
        <w:rPr>
          <w:rFonts w:ascii="宋体" w:eastAsia="宋体" w:hAnsi="宋体" w:cs="宋体" w:hint="eastAsia"/>
          <w:sz w:val="24"/>
          <w:szCs w:val="24"/>
        </w:rPr>
        <w:t>；</w:t>
      </w:r>
    </w:p>
    <w:p w14:paraId="6E335707"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5.新时代我国人才发展面临的问题及对策措施。</w:t>
      </w:r>
    </w:p>
    <w:p w14:paraId="429E8A39"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【重点】</w:t>
      </w:r>
    </w:p>
    <w:p w14:paraId="57298F16"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1.建设全国统一大市场取得的成效和重要意义；</w:t>
      </w:r>
    </w:p>
    <w:p w14:paraId="70632BC9"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2.建设全国统一大市场的路径举措；</w:t>
      </w:r>
    </w:p>
    <w:p w14:paraId="2793B455"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3.新时代我国人才发展面临的问题及对策措施。</w:t>
      </w:r>
    </w:p>
    <w:p w14:paraId="6879F386"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【难点】</w:t>
      </w:r>
    </w:p>
    <w:p w14:paraId="298042EF"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lastRenderedPageBreak/>
        <w:t>1.建设全国统一大市场需要破除的认识误区；</w:t>
      </w:r>
    </w:p>
    <w:p w14:paraId="389489D7"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2.深刻阐释人才作为第一资源对我国经济社会发展的重要意义。</w:t>
      </w:r>
    </w:p>
    <w:p w14:paraId="3578CDBB"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【教学方法】</w:t>
      </w:r>
    </w:p>
    <w:p w14:paraId="7679437D"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1.通过教师系统讲授和学生自主探究相结合，引导学生了解当前我国经济形势总体是好的，但经济发展面临的国际环境和国内条件都在发生深刻而复杂的变化；</w:t>
      </w:r>
    </w:p>
    <w:p w14:paraId="251F1A55"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2.通过案例分析，结合中华人民共和国国史，特别是改革开放史，强调新时代以来党中央关于经济建设、政治建设、文化建设、社会建设、生态文明建设的新决策新部署。</w:t>
      </w:r>
    </w:p>
    <w:p w14:paraId="3541F58A"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【复习思考】</w:t>
      </w:r>
    </w:p>
    <w:p w14:paraId="3E756DA0"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1.为什么说建设全国统一大市场关系党和国家事业发展全局？</w:t>
      </w:r>
    </w:p>
    <w:p w14:paraId="39FB5955"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2.我国市场有哪些特点及优势？</w:t>
      </w:r>
    </w:p>
    <w:p w14:paraId="7A9EF348"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3.在新时代，我们该如何深入实施人才强国战略？</w:t>
      </w:r>
    </w:p>
    <w:p w14:paraId="3EE81674" w14:textId="77777777" w:rsidR="00C70F74" w:rsidRDefault="00C70F74" w:rsidP="00C70F74">
      <w:pPr>
        <w:snapToGrid w:val="0"/>
        <w:spacing w:before="187" w:after="187" w:line="440" w:lineRule="exact"/>
        <w:ind w:firstLineChars="200" w:firstLine="560"/>
        <w:jc w:val="center"/>
        <w:rPr>
          <w:rFonts w:ascii="黑体" w:eastAsia="黑体" w:hAnsi="黑体"/>
          <w:sz w:val="28"/>
          <w:szCs w:val="28"/>
        </w:rPr>
      </w:pPr>
      <w:r>
        <w:rPr>
          <w:rFonts w:ascii="黑体" w:eastAsia="黑体" w:hAnsi="黑体"/>
          <w:sz w:val="28"/>
          <w:szCs w:val="28"/>
        </w:rPr>
        <w:t>专题三　港澳台形势与政策专题</w:t>
      </w:r>
    </w:p>
    <w:p w14:paraId="68B23F5F"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【学习目标】</w:t>
      </w:r>
    </w:p>
    <w:p w14:paraId="19361A8C"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1.认知类目标：全面准确把握“一国两制”的深刻内涵，全面认识香港回归25年以来与祖国同发展、共进步的道路越走越宽，充分体现了“一国两制”的实践规律和光明前景。</w:t>
      </w:r>
    </w:p>
    <w:p w14:paraId="4BA52A13"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2.过程与方法类目标：从港澳台发展的对比中，深刻领会“一国两制”这一中国特色社会主义的伟大创举是香港、澳门回归后保持长期繁荣稳定的</w:t>
      </w:r>
      <w:proofErr w:type="gramStart"/>
      <w:r>
        <w:rPr>
          <w:rFonts w:ascii="宋体" w:eastAsia="宋体" w:hAnsi="宋体" w:cs="宋体" w:hint="eastAsia"/>
          <w:sz w:val="24"/>
          <w:szCs w:val="24"/>
        </w:rPr>
        <w:t>最佳制度</w:t>
      </w:r>
      <w:proofErr w:type="gramEnd"/>
      <w:r>
        <w:rPr>
          <w:rFonts w:ascii="宋体" w:eastAsia="宋体" w:hAnsi="宋体" w:cs="宋体" w:hint="eastAsia"/>
          <w:sz w:val="24"/>
          <w:szCs w:val="24"/>
        </w:rPr>
        <w:t>安排，必须长期坚持；</w:t>
      </w:r>
    </w:p>
    <w:p w14:paraId="1A4C041B"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3.情感、态度、价值观类目标：准确理解新时代“一国两制”的最新实践，牢固树立“祖国完全统一进程不可阻挡”的坚定信念，深刻领会中国特色社会主义制度的显著优势，从而进一步坚定制度自信。</w:t>
      </w:r>
    </w:p>
    <w:p w14:paraId="7146342E"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【学习内容】</w:t>
      </w:r>
    </w:p>
    <w:p w14:paraId="2D4CC7A4"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1.“一国两制”实践在香港取得举世公认的成功；</w:t>
      </w:r>
    </w:p>
    <w:p w14:paraId="7593AD06"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2.香港回归以来推进“一国两制”实践的经验启示；</w:t>
      </w:r>
    </w:p>
    <w:p w14:paraId="3D61C633"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3.在新的历史起点上，续写“一国两制”实践新篇章；</w:t>
      </w:r>
    </w:p>
    <w:p w14:paraId="6AFD78A7"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4.在新时代新征程上推进祖国完全统一。</w:t>
      </w:r>
    </w:p>
    <w:p w14:paraId="190A8E9D" w14:textId="77777777" w:rsidR="00C70F74" w:rsidRDefault="00C70F74" w:rsidP="00C70F74">
      <w:pPr>
        <w:snapToGrid w:val="0"/>
        <w:spacing w:line="440" w:lineRule="exact"/>
        <w:ind w:firstLineChars="200" w:firstLine="482"/>
        <w:rPr>
          <w:rFonts w:ascii="宋体" w:eastAsia="宋体" w:hAnsi="宋体"/>
          <w:b/>
          <w:bCs/>
          <w:sz w:val="24"/>
          <w:szCs w:val="24"/>
        </w:rPr>
      </w:pPr>
      <w:r>
        <w:rPr>
          <w:rFonts w:ascii="宋体" w:eastAsia="宋体" w:hAnsi="宋体"/>
          <w:b/>
          <w:bCs/>
          <w:sz w:val="24"/>
          <w:szCs w:val="24"/>
        </w:rPr>
        <w:t>【重点】</w:t>
      </w:r>
    </w:p>
    <w:p w14:paraId="450DDEE6"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1.“一国两制”事业进入新时代的新进展新局面；</w:t>
      </w:r>
    </w:p>
    <w:p w14:paraId="402CEA6E"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lastRenderedPageBreak/>
        <w:t>2.推动两岸关系和平发展、推进祖国和平统一进程的新进展新局面。</w:t>
      </w:r>
    </w:p>
    <w:p w14:paraId="162A65BD"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【难点】</w:t>
      </w:r>
    </w:p>
    <w:p w14:paraId="738DCD16"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1.辨析“‘一国两制’实践失败论”等错误观点。</w:t>
      </w:r>
    </w:p>
    <w:p w14:paraId="2201C57F"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【教学方法】</w:t>
      </w:r>
    </w:p>
    <w:p w14:paraId="39026065"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1.通过教师系统讲授和学生自主探究相结合，</w:t>
      </w:r>
      <w:proofErr w:type="gramStart"/>
      <w:r>
        <w:rPr>
          <w:rFonts w:ascii="宋体" w:eastAsia="宋体" w:hAnsi="宋体" w:cs="宋体" w:hint="eastAsia"/>
          <w:sz w:val="24"/>
          <w:szCs w:val="24"/>
        </w:rPr>
        <w:t>阐明两岸</w:t>
      </w:r>
      <w:proofErr w:type="gramEnd"/>
      <w:r>
        <w:rPr>
          <w:rFonts w:ascii="宋体" w:eastAsia="宋体" w:hAnsi="宋体" w:cs="宋体" w:hint="eastAsia"/>
          <w:sz w:val="24"/>
          <w:szCs w:val="24"/>
        </w:rPr>
        <w:t>关系发展的主流和大势，坚定学生对中央政府维护国家主权领土和发展利益的决心和信心；</w:t>
      </w:r>
    </w:p>
    <w:p w14:paraId="2B38D291"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2.通过案例分析，结合改革开放史，讲清楚“一国两制”的科学内涵及其在新时代条件下的新进展和新经验，坚定学生对中国特色社会主义的制度自信。</w:t>
      </w:r>
    </w:p>
    <w:p w14:paraId="3DF2D047"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【复习思考】</w:t>
      </w:r>
    </w:p>
    <w:p w14:paraId="272D1833"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1.“一国两制”在香港的实践形成了哪些宝贵经验？</w:t>
      </w:r>
    </w:p>
    <w:p w14:paraId="08061F4B"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2.为什么说祖国完全统一进程不可阻挡？</w:t>
      </w:r>
    </w:p>
    <w:p w14:paraId="6DEB2DA6" w14:textId="77777777" w:rsidR="00C70F74" w:rsidRDefault="00C70F74" w:rsidP="00C70F74">
      <w:pPr>
        <w:snapToGrid w:val="0"/>
        <w:spacing w:before="187" w:after="187" w:line="440" w:lineRule="exact"/>
        <w:ind w:firstLineChars="200" w:firstLine="560"/>
        <w:jc w:val="center"/>
        <w:rPr>
          <w:rFonts w:ascii="黑体" w:eastAsia="黑体" w:hAnsi="黑体"/>
          <w:sz w:val="28"/>
          <w:szCs w:val="28"/>
        </w:rPr>
      </w:pPr>
      <w:r>
        <w:rPr>
          <w:rFonts w:ascii="黑体" w:eastAsia="黑体" w:hAnsi="黑体"/>
          <w:sz w:val="28"/>
          <w:szCs w:val="28"/>
        </w:rPr>
        <w:t>专题四　国际形势与政策专题</w:t>
      </w:r>
    </w:p>
    <w:p w14:paraId="72433C5A"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【学习目标】</w:t>
      </w:r>
    </w:p>
    <w:p w14:paraId="186F3D10"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1.认知类目标：了解世纪疫情阴霾未散，局部冲突硝烟又起，冷战思维和集团政治回潮等风险相互交织，共同加剧了世界经济复苏进程中的不确定性；全面了解乌克兰问题，认清乌克兰危机由何而来、向何处去。</w:t>
      </w:r>
    </w:p>
    <w:p w14:paraId="7E8645BB"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过程与方法类目标：深刻把握世界经济运行中交织叠加的各种深层次矛盾和结构性问题，理解中国作为世界经济复苏“稳定器”和增长“发动机”的作用；理解和把握中国在乌克兰问题上的立场及其劝和促谈的建设性作用。</w:t>
      </w:r>
    </w:p>
    <w:p w14:paraId="002E1C9C"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3.情感、态度、价值观类目标：讲好中国与世界各国同舟共济、开放合作、互利共赢的故事，冷静分析各种国际现象，把握历史前进大势，把握本质和全局，树立正确的历史观、大局观、角色观。</w:t>
      </w:r>
    </w:p>
    <w:p w14:paraId="040C41F3"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【学习内容】</w:t>
      </w:r>
    </w:p>
    <w:p w14:paraId="654AC05F"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1.乌克兰危机发生的历史经纬和多维较量；</w:t>
      </w:r>
    </w:p>
    <w:p w14:paraId="7FC2F474"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2.乌克兰危机的广泛影响和中国的坚定立场；</w:t>
      </w:r>
    </w:p>
    <w:p w14:paraId="75290E6F"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3.当前世界经济运行的特点与变化；</w:t>
      </w:r>
    </w:p>
    <w:p w14:paraId="431BA1C0"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4.当前世界经济面临的风险与挑战；</w:t>
      </w:r>
    </w:p>
    <w:p w14:paraId="16190C1C"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5.中国对世界经济复苏发展</w:t>
      </w:r>
      <w:proofErr w:type="gramStart"/>
      <w:r>
        <w:rPr>
          <w:rFonts w:ascii="宋体" w:eastAsia="宋体" w:hAnsi="宋体" w:cs="宋体" w:hint="eastAsia"/>
          <w:sz w:val="24"/>
          <w:szCs w:val="24"/>
        </w:rPr>
        <w:t>作出</w:t>
      </w:r>
      <w:proofErr w:type="gramEnd"/>
      <w:r>
        <w:rPr>
          <w:rFonts w:ascii="宋体" w:eastAsia="宋体" w:hAnsi="宋体" w:cs="宋体" w:hint="eastAsia"/>
          <w:sz w:val="24"/>
          <w:szCs w:val="24"/>
        </w:rPr>
        <w:t>的突出贡献。</w:t>
      </w:r>
    </w:p>
    <w:p w14:paraId="59F23AFA"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【重点】</w:t>
      </w:r>
    </w:p>
    <w:p w14:paraId="3CCD7A7D"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1.乌克兰危机发生的历史经纬和多维较量；</w:t>
      </w:r>
    </w:p>
    <w:p w14:paraId="31E0D5F1"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lastRenderedPageBreak/>
        <w:t>2.中国对世界经济复苏发展</w:t>
      </w:r>
      <w:proofErr w:type="gramStart"/>
      <w:r>
        <w:rPr>
          <w:rFonts w:ascii="宋体" w:eastAsia="宋体" w:hAnsi="宋体" w:cs="宋体" w:hint="eastAsia"/>
          <w:sz w:val="24"/>
          <w:szCs w:val="24"/>
        </w:rPr>
        <w:t>作出</w:t>
      </w:r>
      <w:proofErr w:type="gramEnd"/>
      <w:r>
        <w:rPr>
          <w:rFonts w:ascii="宋体" w:eastAsia="宋体" w:hAnsi="宋体" w:cs="宋体" w:hint="eastAsia"/>
          <w:sz w:val="24"/>
          <w:szCs w:val="24"/>
        </w:rPr>
        <w:t>的突出贡献。</w:t>
      </w:r>
    </w:p>
    <w:p w14:paraId="197C51CC"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【难点】</w:t>
      </w:r>
    </w:p>
    <w:p w14:paraId="515AD161"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1.乌克兰危机的广泛影响和中国的坚定立场；</w:t>
      </w:r>
    </w:p>
    <w:p w14:paraId="241F6103"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2.当前世界经济面临的风险与挑战。</w:t>
      </w:r>
    </w:p>
    <w:p w14:paraId="62D983B5"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【教学方法】</w:t>
      </w:r>
    </w:p>
    <w:p w14:paraId="4D9EABDE"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通过教师系统讲授和学生自主探究相结合，阐明乌克兰危机发生的历史经纬以及造成的广泛影响，搞清楚当前世界经济脆弱复苏的表现及原因，为学生认识乌克兰危机和当前的世界经济发展形势提供理论视野，培养学生在分析国际形势时把握正确的历史观、大局观、角色观。</w:t>
      </w:r>
    </w:p>
    <w:p w14:paraId="5B3439D1"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通过案例分析，结合北约东扩、美西方拱火浇油造成乌克兰危机爆发，世界经济面临着滞胀风险、国际制裁、能源短缺、世纪疫情、产业链受阻等突出风险，中国坚定立场，提供中国智慧，展现出大国责任和担当，进而增强学生坚定中国特色社会主义的战略自信。</w:t>
      </w:r>
    </w:p>
    <w:p w14:paraId="7D9ADC6A" w14:textId="77777777" w:rsidR="00C70F74" w:rsidRDefault="00C70F74" w:rsidP="00C70F74">
      <w:pPr>
        <w:snapToGrid w:val="0"/>
        <w:spacing w:line="440" w:lineRule="exact"/>
        <w:ind w:firstLineChars="200" w:firstLine="482"/>
        <w:rPr>
          <w:rFonts w:ascii="宋体" w:eastAsia="宋体" w:hAnsi="宋体" w:cs="宋体"/>
          <w:b/>
          <w:bCs/>
          <w:sz w:val="24"/>
          <w:szCs w:val="24"/>
        </w:rPr>
      </w:pPr>
      <w:r>
        <w:rPr>
          <w:rFonts w:ascii="宋体" w:eastAsia="宋体" w:hAnsi="宋体" w:cs="宋体" w:hint="eastAsia"/>
          <w:b/>
          <w:bCs/>
          <w:sz w:val="24"/>
          <w:szCs w:val="24"/>
        </w:rPr>
        <w:t>【复习思考】</w:t>
      </w:r>
    </w:p>
    <w:p w14:paraId="3906D860"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1.当今世界经济面临哪些困境？</w:t>
      </w:r>
    </w:p>
    <w:p w14:paraId="56A7BD1B"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2.中国为世界经济复苏做出了哪些努力？</w:t>
      </w:r>
    </w:p>
    <w:p w14:paraId="7C0E93AA"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3.解决乌克兰危机，出路在哪里？</w:t>
      </w:r>
    </w:p>
    <w:p w14:paraId="5643DF50"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（二）课程学习内容与课程学习目标的对应关系</w:t>
      </w:r>
    </w:p>
    <w:tbl>
      <w:tblPr>
        <w:tblStyle w:val="a9"/>
        <w:tblW w:w="8204" w:type="dxa"/>
        <w:tblLayout w:type="fixed"/>
        <w:tblCellMar>
          <w:top w:w="120" w:type="dxa"/>
          <w:left w:w="60" w:type="dxa"/>
          <w:bottom w:w="120" w:type="dxa"/>
          <w:right w:w="60" w:type="dxa"/>
        </w:tblCellMar>
        <w:tblLook w:val="04A0" w:firstRow="1" w:lastRow="0" w:firstColumn="1" w:lastColumn="0" w:noHBand="0" w:noVBand="1"/>
      </w:tblPr>
      <w:tblGrid>
        <w:gridCol w:w="2484"/>
        <w:gridCol w:w="2119"/>
        <w:gridCol w:w="1746"/>
        <w:gridCol w:w="1855"/>
      </w:tblGrid>
      <w:tr w:rsidR="00C70F74" w14:paraId="3E72F82D" w14:textId="77777777" w:rsidTr="00BA2CFD">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04DAD1F7" w14:textId="77777777" w:rsidR="00C70F74" w:rsidRDefault="00C70F74"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课程学习内容</w:t>
            </w:r>
          </w:p>
        </w:tc>
        <w:tc>
          <w:tcPr>
            <w:tcW w:w="2119" w:type="dxa"/>
            <w:tcBorders>
              <w:top w:val="single" w:sz="8" w:space="0" w:color="000000"/>
              <w:left w:val="single" w:sz="8" w:space="0" w:color="000000"/>
              <w:bottom w:val="single" w:sz="8" w:space="0" w:color="000000"/>
              <w:right w:val="single" w:sz="8" w:space="0" w:color="000000"/>
            </w:tcBorders>
            <w:vAlign w:val="center"/>
          </w:tcPr>
          <w:p w14:paraId="59B5924C" w14:textId="77777777" w:rsidR="00C70F74" w:rsidRDefault="00C70F74"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教学方法</w:t>
            </w:r>
          </w:p>
        </w:tc>
        <w:tc>
          <w:tcPr>
            <w:tcW w:w="1746" w:type="dxa"/>
            <w:tcBorders>
              <w:top w:val="single" w:sz="8" w:space="0" w:color="000000"/>
              <w:left w:val="single" w:sz="8" w:space="0" w:color="000000"/>
              <w:bottom w:val="single" w:sz="8" w:space="0" w:color="000000"/>
              <w:right w:val="single" w:sz="8" w:space="0" w:color="000000"/>
            </w:tcBorders>
            <w:vAlign w:val="center"/>
          </w:tcPr>
          <w:p w14:paraId="25BA55D6" w14:textId="77777777" w:rsidR="00C70F74" w:rsidRDefault="00C70F74"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支撑的课程目标</w:t>
            </w:r>
          </w:p>
        </w:tc>
        <w:tc>
          <w:tcPr>
            <w:tcW w:w="1855" w:type="dxa"/>
            <w:tcBorders>
              <w:top w:val="single" w:sz="8" w:space="0" w:color="000000"/>
              <w:left w:val="single" w:sz="8" w:space="0" w:color="000000"/>
              <w:bottom w:val="single" w:sz="8" w:space="0" w:color="000000"/>
              <w:right w:val="single" w:sz="8" w:space="0" w:color="000000"/>
            </w:tcBorders>
            <w:vAlign w:val="center"/>
          </w:tcPr>
          <w:p w14:paraId="787BBF9E" w14:textId="77777777" w:rsidR="00C70F74" w:rsidRDefault="00C70F74"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学时安排</w:t>
            </w:r>
          </w:p>
        </w:tc>
      </w:tr>
      <w:tr w:rsidR="00C70F74" w14:paraId="65270F71" w14:textId="77777777" w:rsidTr="00BA2CFD">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5BA79FDA" w14:textId="77777777" w:rsidR="00C70F74" w:rsidRDefault="00C70F74" w:rsidP="00BA2CFD">
            <w:pPr>
              <w:snapToGrid w:val="0"/>
              <w:jc w:val="left"/>
              <w:rPr>
                <w:rFonts w:ascii="宋体" w:eastAsia="宋体" w:hAnsi="宋体" w:cs="宋体"/>
                <w:sz w:val="24"/>
                <w:szCs w:val="24"/>
              </w:rPr>
            </w:pPr>
            <w:r>
              <w:rPr>
                <w:rFonts w:ascii="宋体" w:eastAsia="宋体" w:hAnsi="宋体" w:cs="宋体" w:hint="eastAsia"/>
                <w:sz w:val="24"/>
                <w:szCs w:val="24"/>
              </w:rPr>
              <w:t>专题</w:t>
            </w:r>
            <w:proofErr w:type="gramStart"/>
            <w:r>
              <w:rPr>
                <w:rFonts w:ascii="宋体" w:eastAsia="宋体" w:hAnsi="宋体" w:cs="宋体" w:hint="eastAsia"/>
                <w:sz w:val="24"/>
                <w:szCs w:val="24"/>
              </w:rPr>
              <w:t>一</w:t>
            </w:r>
            <w:proofErr w:type="gramEnd"/>
            <w:r>
              <w:rPr>
                <w:rFonts w:ascii="宋体" w:eastAsia="宋体" w:hAnsi="宋体" w:cs="宋体" w:hint="eastAsia"/>
                <w:sz w:val="24"/>
                <w:szCs w:val="24"/>
              </w:rPr>
              <w:t>加强党的建设和新时代新征程专题</w:t>
            </w:r>
          </w:p>
        </w:tc>
        <w:tc>
          <w:tcPr>
            <w:tcW w:w="2119" w:type="dxa"/>
            <w:tcBorders>
              <w:top w:val="single" w:sz="8" w:space="0" w:color="000000"/>
              <w:left w:val="single" w:sz="8" w:space="0" w:color="000000"/>
              <w:bottom w:val="single" w:sz="8" w:space="0" w:color="000000"/>
              <w:right w:val="single" w:sz="8" w:space="0" w:color="000000"/>
            </w:tcBorders>
            <w:vAlign w:val="center"/>
          </w:tcPr>
          <w:p w14:paraId="48AC4F4D"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讲授法、自主探究、案例教学</w:t>
            </w:r>
          </w:p>
        </w:tc>
        <w:tc>
          <w:tcPr>
            <w:tcW w:w="1746" w:type="dxa"/>
            <w:tcBorders>
              <w:top w:val="single" w:sz="8" w:space="0" w:color="000000"/>
              <w:left w:val="single" w:sz="8" w:space="0" w:color="000000"/>
              <w:bottom w:val="single" w:sz="8" w:space="0" w:color="000000"/>
              <w:right w:val="single" w:sz="8" w:space="0" w:color="000000"/>
            </w:tcBorders>
            <w:vAlign w:val="center"/>
          </w:tcPr>
          <w:p w14:paraId="156B2666"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课程目标2</w:t>
            </w:r>
          </w:p>
        </w:tc>
        <w:tc>
          <w:tcPr>
            <w:tcW w:w="1855" w:type="dxa"/>
            <w:tcBorders>
              <w:top w:val="single" w:sz="8" w:space="0" w:color="000000"/>
              <w:left w:val="single" w:sz="8" w:space="0" w:color="000000"/>
              <w:bottom w:val="single" w:sz="8" w:space="0" w:color="000000"/>
              <w:right w:val="single" w:sz="8" w:space="0" w:color="000000"/>
            </w:tcBorders>
            <w:vAlign w:val="center"/>
          </w:tcPr>
          <w:p w14:paraId="4AACE056"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16学时</w:t>
            </w:r>
          </w:p>
        </w:tc>
      </w:tr>
      <w:tr w:rsidR="00C70F74" w14:paraId="5C7FBC8C" w14:textId="77777777" w:rsidTr="00BA2CFD">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268857D7" w14:textId="77777777" w:rsidR="00C70F74" w:rsidRDefault="00C70F74" w:rsidP="00BA2CFD">
            <w:pPr>
              <w:snapToGrid w:val="0"/>
              <w:jc w:val="left"/>
              <w:rPr>
                <w:rFonts w:ascii="宋体" w:eastAsia="宋体" w:hAnsi="宋体" w:cs="宋体"/>
                <w:sz w:val="24"/>
                <w:szCs w:val="24"/>
              </w:rPr>
            </w:pPr>
            <w:r>
              <w:rPr>
                <w:rFonts w:ascii="宋体" w:eastAsia="宋体" w:hAnsi="宋体" w:cs="宋体" w:hint="eastAsia"/>
                <w:sz w:val="24"/>
                <w:szCs w:val="24"/>
              </w:rPr>
              <w:t>专题二我国经济社会发展专题</w:t>
            </w:r>
          </w:p>
        </w:tc>
        <w:tc>
          <w:tcPr>
            <w:tcW w:w="2119" w:type="dxa"/>
            <w:tcBorders>
              <w:top w:val="single" w:sz="8" w:space="0" w:color="000000"/>
              <w:left w:val="single" w:sz="8" w:space="0" w:color="000000"/>
              <w:bottom w:val="single" w:sz="8" w:space="0" w:color="000000"/>
              <w:right w:val="single" w:sz="8" w:space="0" w:color="000000"/>
            </w:tcBorders>
          </w:tcPr>
          <w:p w14:paraId="579E9B43"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讲授法、自主探究、案例教学</w:t>
            </w:r>
          </w:p>
        </w:tc>
        <w:tc>
          <w:tcPr>
            <w:tcW w:w="1746" w:type="dxa"/>
            <w:tcBorders>
              <w:top w:val="single" w:sz="8" w:space="0" w:color="000000"/>
              <w:left w:val="single" w:sz="8" w:space="0" w:color="000000"/>
              <w:bottom w:val="single" w:sz="8" w:space="0" w:color="000000"/>
              <w:right w:val="single" w:sz="8" w:space="0" w:color="000000"/>
            </w:tcBorders>
            <w:vAlign w:val="center"/>
          </w:tcPr>
          <w:p w14:paraId="7AB7301B"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课程目标1、3</w:t>
            </w:r>
          </w:p>
        </w:tc>
        <w:tc>
          <w:tcPr>
            <w:tcW w:w="1855" w:type="dxa"/>
            <w:tcBorders>
              <w:top w:val="single" w:sz="8" w:space="0" w:color="000000"/>
              <w:left w:val="single" w:sz="8" w:space="0" w:color="000000"/>
              <w:bottom w:val="single" w:sz="8" w:space="0" w:color="000000"/>
              <w:right w:val="single" w:sz="8" w:space="0" w:color="000000"/>
            </w:tcBorders>
            <w:vAlign w:val="center"/>
          </w:tcPr>
          <w:p w14:paraId="60BD62AF"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16学时</w:t>
            </w:r>
          </w:p>
        </w:tc>
      </w:tr>
      <w:tr w:rsidR="00C70F74" w14:paraId="2BA6233D" w14:textId="77777777" w:rsidTr="00BA2CFD">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2B71330F" w14:textId="77777777" w:rsidR="00C70F74" w:rsidRDefault="00C70F74" w:rsidP="00BA2CFD">
            <w:pPr>
              <w:snapToGrid w:val="0"/>
              <w:jc w:val="left"/>
              <w:rPr>
                <w:rFonts w:ascii="宋体" w:eastAsia="宋体" w:hAnsi="宋体" w:cs="宋体"/>
                <w:sz w:val="24"/>
                <w:szCs w:val="24"/>
              </w:rPr>
            </w:pPr>
            <w:r>
              <w:rPr>
                <w:rFonts w:ascii="宋体" w:eastAsia="宋体" w:hAnsi="宋体" w:cs="宋体" w:hint="eastAsia"/>
                <w:sz w:val="24"/>
                <w:szCs w:val="24"/>
              </w:rPr>
              <w:t>专题三港澳台形势与政策专题</w:t>
            </w:r>
          </w:p>
        </w:tc>
        <w:tc>
          <w:tcPr>
            <w:tcW w:w="2119" w:type="dxa"/>
            <w:tcBorders>
              <w:top w:val="single" w:sz="8" w:space="0" w:color="000000"/>
              <w:left w:val="single" w:sz="8" w:space="0" w:color="000000"/>
              <w:bottom w:val="single" w:sz="8" w:space="0" w:color="000000"/>
              <w:right w:val="single" w:sz="8" w:space="0" w:color="000000"/>
            </w:tcBorders>
          </w:tcPr>
          <w:p w14:paraId="30C08504"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讲授法、自主探究、案例教学</w:t>
            </w:r>
          </w:p>
        </w:tc>
        <w:tc>
          <w:tcPr>
            <w:tcW w:w="1746" w:type="dxa"/>
            <w:tcBorders>
              <w:top w:val="single" w:sz="8" w:space="0" w:color="000000"/>
              <w:left w:val="single" w:sz="8" w:space="0" w:color="000000"/>
              <w:bottom w:val="single" w:sz="8" w:space="0" w:color="000000"/>
              <w:right w:val="single" w:sz="8" w:space="0" w:color="000000"/>
            </w:tcBorders>
            <w:vAlign w:val="center"/>
          </w:tcPr>
          <w:p w14:paraId="64BBB7A1"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课程目标1、3</w:t>
            </w:r>
          </w:p>
        </w:tc>
        <w:tc>
          <w:tcPr>
            <w:tcW w:w="1855" w:type="dxa"/>
            <w:tcBorders>
              <w:top w:val="single" w:sz="8" w:space="0" w:color="000000"/>
              <w:left w:val="single" w:sz="8" w:space="0" w:color="000000"/>
              <w:bottom w:val="single" w:sz="8" w:space="0" w:color="000000"/>
              <w:right w:val="single" w:sz="8" w:space="0" w:color="000000"/>
            </w:tcBorders>
            <w:vAlign w:val="center"/>
          </w:tcPr>
          <w:p w14:paraId="108078C7"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16学时</w:t>
            </w:r>
          </w:p>
        </w:tc>
      </w:tr>
      <w:tr w:rsidR="00C70F74" w14:paraId="2A11448E" w14:textId="77777777" w:rsidTr="00BA2CFD">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1FA2B6CD" w14:textId="77777777" w:rsidR="00C70F74" w:rsidRDefault="00C70F74" w:rsidP="00BA2CFD">
            <w:pPr>
              <w:snapToGrid w:val="0"/>
              <w:jc w:val="left"/>
              <w:rPr>
                <w:rFonts w:ascii="宋体" w:eastAsia="宋体" w:hAnsi="宋体" w:cs="宋体"/>
                <w:sz w:val="24"/>
                <w:szCs w:val="24"/>
              </w:rPr>
            </w:pPr>
            <w:r>
              <w:rPr>
                <w:rFonts w:ascii="宋体" w:eastAsia="宋体" w:hAnsi="宋体" w:cs="宋体" w:hint="eastAsia"/>
                <w:sz w:val="24"/>
                <w:szCs w:val="24"/>
              </w:rPr>
              <w:t>专题</w:t>
            </w:r>
            <w:proofErr w:type="gramStart"/>
            <w:r>
              <w:rPr>
                <w:rFonts w:ascii="宋体" w:eastAsia="宋体" w:hAnsi="宋体" w:cs="宋体" w:hint="eastAsia"/>
                <w:sz w:val="24"/>
                <w:szCs w:val="24"/>
              </w:rPr>
              <w:t>四国际</w:t>
            </w:r>
            <w:proofErr w:type="gramEnd"/>
            <w:r>
              <w:rPr>
                <w:rFonts w:ascii="宋体" w:eastAsia="宋体" w:hAnsi="宋体" w:cs="宋体" w:hint="eastAsia"/>
                <w:sz w:val="24"/>
                <w:szCs w:val="24"/>
              </w:rPr>
              <w:t>形势与政策专题</w:t>
            </w:r>
          </w:p>
        </w:tc>
        <w:tc>
          <w:tcPr>
            <w:tcW w:w="2119" w:type="dxa"/>
            <w:tcBorders>
              <w:top w:val="single" w:sz="8" w:space="0" w:color="000000"/>
              <w:left w:val="single" w:sz="8" w:space="0" w:color="000000"/>
              <w:bottom w:val="single" w:sz="8" w:space="0" w:color="000000"/>
              <w:right w:val="single" w:sz="8" w:space="0" w:color="000000"/>
            </w:tcBorders>
          </w:tcPr>
          <w:p w14:paraId="404B8F91"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讲授法、自主探究、案例教学</w:t>
            </w:r>
          </w:p>
        </w:tc>
        <w:tc>
          <w:tcPr>
            <w:tcW w:w="1746" w:type="dxa"/>
            <w:tcBorders>
              <w:top w:val="single" w:sz="8" w:space="0" w:color="000000"/>
              <w:left w:val="single" w:sz="8" w:space="0" w:color="000000"/>
              <w:bottom w:val="single" w:sz="8" w:space="0" w:color="000000"/>
              <w:right w:val="single" w:sz="8" w:space="0" w:color="000000"/>
            </w:tcBorders>
            <w:vAlign w:val="center"/>
          </w:tcPr>
          <w:p w14:paraId="2DCF9740"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课程目标1、2</w:t>
            </w:r>
          </w:p>
        </w:tc>
        <w:tc>
          <w:tcPr>
            <w:tcW w:w="1855" w:type="dxa"/>
            <w:tcBorders>
              <w:top w:val="single" w:sz="8" w:space="0" w:color="000000"/>
              <w:left w:val="single" w:sz="8" w:space="0" w:color="000000"/>
              <w:bottom w:val="single" w:sz="8" w:space="0" w:color="000000"/>
              <w:right w:val="single" w:sz="8" w:space="0" w:color="000000"/>
            </w:tcBorders>
            <w:vAlign w:val="center"/>
          </w:tcPr>
          <w:p w14:paraId="0FEA4978"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16学时</w:t>
            </w:r>
          </w:p>
        </w:tc>
      </w:tr>
      <w:tr w:rsidR="00C70F74" w14:paraId="319C3CA3" w14:textId="77777777" w:rsidTr="00BA2CFD">
        <w:trPr>
          <w:cantSplit/>
          <w:trHeight w:val="454"/>
        </w:trPr>
        <w:tc>
          <w:tcPr>
            <w:tcW w:w="6349" w:type="dxa"/>
            <w:gridSpan w:val="3"/>
            <w:tcBorders>
              <w:top w:val="single" w:sz="8" w:space="0" w:color="000000"/>
              <w:left w:val="single" w:sz="8" w:space="0" w:color="000000"/>
              <w:bottom w:val="single" w:sz="8" w:space="0" w:color="000000"/>
              <w:right w:val="single" w:sz="8" w:space="0" w:color="000000"/>
            </w:tcBorders>
            <w:vAlign w:val="center"/>
          </w:tcPr>
          <w:p w14:paraId="737FCBC2" w14:textId="77777777" w:rsidR="00C70F74" w:rsidRDefault="00C70F74" w:rsidP="00BA2CFD">
            <w:pPr>
              <w:snapToGrid w:val="0"/>
              <w:jc w:val="center"/>
              <w:rPr>
                <w:rFonts w:ascii="宋体" w:eastAsia="宋体" w:hAnsi="宋体" w:cs="宋体"/>
                <w:b/>
                <w:bCs/>
                <w:sz w:val="24"/>
                <w:szCs w:val="24"/>
              </w:rPr>
            </w:pPr>
            <w:r>
              <w:rPr>
                <w:rFonts w:ascii="宋体" w:eastAsia="宋体" w:hAnsi="宋体" w:cs="宋体" w:hint="eastAsia"/>
                <w:b/>
                <w:bCs/>
                <w:sz w:val="24"/>
                <w:szCs w:val="24"/>
              </w:rPr>
              <w:t>合计</w:t>
            </w:r>
          </w:p>
        </w:tc>
        <w:tc>
          <w:tcPr>
            <w:tcW w:w="1855" w:type="dxa"/>
            <w:tcBorders>
              <w:top w:val="single" w:sz="8" w:space="0" w:color="000000"/>
              <w:left w:val="single" w:sz="8" w:space="0" w:color="000000"/>
              <w:bottom w:val="single" w:sz="8" w:space="0" w:color="000000"/>
              <w:right w:val="single" w:sz="8" w:space="0" w:color="000000"/>
            </w:tcBorders>
            <w:vAlign w:val="center"/>
          </w:tcPr>
          <w:p w14:paraId="08B8B8F5" w14:textId="77777777" w:rsidR="00C70F74" w:rsidRDefault="00C70F74" w:rsidP="00BA2CFD">
            <w:pPr>
              <w:snapToGrid w:val="0"/>
              <w:jc w:val="center"/>
              <w:rPr>
                <w:rFonts w:ascii="宋体" w:eastAsia="宋体" w:hAnsi="宋体" w:cs="宋体"/>
                <w:sz w:val="24"/>
                <w:szCs w:val="24"/>
              </w:rPr>
            </w:pPr>
            <w:r>
              <w:rPr>
                <w:rFonts w:ascii="宋体" w:eastAsia="宋体" w:hAnsi="宋体" w:cs="宋体" w:hint="eastAsia"/>
                <w:sz w:val="24"/>
                <w:szCs w:val="24"/>
              </w:rPr>
              <w:t>64学时</w:t>
            </w:r>
          </w:p>
        </w:tc>
      </w:tr>
    </w:tbl>
    <w:p w14:paraId="51CF0471"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lastRenderedPageBreak/>
        <w:t>四、课程考核及与课程学习目标的对应关系</w:t>
      </w:r>
    </w:p>
    <w:p w14:paraId="0DEA4AFB"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（一）课程考核内容与课程学习目标的对应关系</w:t>
      </w:r>
    </w:p>
    <w:tbl>
      <w:tblPr>
        <w:tblStyle w:val="a9"/>
        <w:tblW w:w="8444" w:type="dxa"/>
        <w:tblLayout w:type="fixed"/>
        <w:tblCellMar>
          <w:top w:w="120" w:type="dxa"/>
          <w:left w:w="60" w:type="dxa"/>
          <w:bottom w:w="120" w:type="dxa"/>
          <w:right w:w="60" w:type="dxa"/>
        </w:tblCellMar>
        <w:tblLook w:val="04A0" w:firstRow="1" w:lastRow="0" w:firstColumn="1" w:lastColumn="0" w:noHBand="0" w:noVBand="1"/>
      </w:tblPr>
      <w:tblGrid>
        <w:gridCol w:w="1278"/>
        <w:gridCol w:w="7166"/>
      </w:tblGrid>
      <w:tr w:rsidR="00C70F74" w14:paraId="6749723F" w14:textId="77777777" w:rsidTr="00BA2CFD">
        <w:trPr>
          <w:trHeight w:val="454"/>
        </w:trPr>
        <w:tc>
          <w:tcPr>
            <w:tcW w:w="1278" w:type="dxa"/>
            <w:tcBorders>
              <w:top w:val="single" w:sz="8" w:space="0" w:color="000000"/>
              <w:left w:val="single" w:sz="8" w:space="0" w:color="000000"/>
              <w:bottom w:val="single" w:sz="8" w:space="0" w:color="000000"/>
              <w:right w:val="single" w:sz="8" w:space="0" w:color="000000"/>
            </w:tcBorders>
            <w:vAlign w:val="center"/>
          </w:tcPr>
          <w:p w14:paraId="704B302F" w14:textId="77777777" w:rsidR="00C70F74" w:rsidRDefault="00C70F74"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7166" w:type="dxa"/>
            <w:tcBorders>
              <w:top w:val="single" w:sz="8" w:space="0" w:color="000000"/>
              <w:left w:val="single" w:sz="8" w:space="0" w:color="000000"/>
              <w:bottom w:val="single" w:sz="8" w:space="0" w:color="000000"/>
              <w:right w:val="single" w:sz="8" w:space="0" w:color="000000"/>
            </w:tcBorders>
            <w:vAlign w:val="center"/>
          </w:tcPr>
          <w:p w14:paraId="0F847356" w14:textId="77777777" w:rsidR="00C70F74" w:rsidRDefault="00C70F74"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考核内容</w:t>
            </w:r>
          </w:p>
        </w:tc>
      </w:tr>
      <w:tr w:rsidR="00C70F74" w14:paraId="1229A7C1" w14:textId="77777777" w:rsidTr="00BA2CFD">
        <w:trPr>
          <w:trHeight w:val="454"/>
        </w:trPr>
        <w:tc>
          <w:tcPr>
            <w:tcW w:w="1278" w:type="dxa"/>
            <w:tcBorders>
              <w:top w:val="single" w:sz="8" w:space="0" w:color="000000"/>
              <w:left w:val="single" w:sz="8" w:space="0" w:color="000000"/>
              <w:bottom w:val="single" w:sz="8" w:space="0" w:color="000000"/>
              <w:right w:val="single" w:sz="8" w:space="0" w:color="000000"/>
            </w:tcBorders>
            <w:vAlign w:val="center"/>
          </w:tcPr>
          <w:p w14:paraId="07B0CA16" w14:textId="77777777" w:rsidR="00C70F74" w:rsidRDefault="00C70F74" w:rsidP="00BA2CFD">
            <w:pPr>
              <w:snapToGrid w:val="0"/>
              <w:jc w:val="center"/>
              <w:rPr>
                <w:rFonts w:ascii="宋体" w:eastAsia="宋体" w:hAnsi="宋体"/>
                <w:sz w:val="24"/>
                <w:szCs w:val="24"/>
              </w:rPr>
            </w:pPr>
            <w:r>
              <w:rPr>
                <w:rFonts w:ascii="宋体" w:eastAsia="宋体" w:hAnsi="宋体"/>
                <w:sz w:val="24"/>
                <w:szCs w:val="24"/>
              </w:rPr>
              <w:t>课程目标1</w:t>
            </w:r>
          </w:p>
        </w:tc>
        <w:tc>
          <w:tcPr>
            <w:tcW w:w="7166" w:type="dxa"/>
            <w:tcBorders>
              <w:top w:val="single" w:sz="8" w:space="0" w:color="000000"/>
              <w:left w:val="single" w:sz="8" w:space="0" w:color="000000"/>
              <w:bottom w:val="single" w:sz="8" w:space="0" w:color="000000"/>
              <w:right w:val="single" w:sz="8" w:space="0" w:color="000000"/>
            </w:tcBorders>
            <w:vAlign w:val="center"/>
          </w:tcPr>
          <w:p w14:paraId="24455063" w14:textId="77777777" w:rsidR="00C70F74" w:rsidRDefault="00C70F74" w:rsidP="00BA2CFD">
            <w:pPr>
              <w:snapToGrid w:val="0"/>
              <w:rPr>
                <w:rFonts w:ascii="宋体" w:eastAsia="宋体" w:hAnsi="宋体"/>
                <w:sz w:val="24"/>
                <w:szCs w:val="24"/>
              </w:rPr>
            </w:pPr>
            <w:r>
              <w:rPr>
                <w:rFonts w:ascii="宋体" w:eastAsia="宋体" w:hAnsi="宋体"/>
                <w:sz w:val="24"/>
                <w:szCs w:val="24"/>
              </w:rPr>
              <w:t>1.1学生对马克思主义中国化最新成果的掌握水平</w:t>
            </w:r>
            <w:r>
              <w:rPr>
                <w:rFonts w:ascii="宋体" w:eastAsia="宋体" w:hAnsi="宋体" w:hint="eastAsia"/>
                <w:sz w:val="24"/>
                <w:szCs w:val="24"/>
              </w:rPr>
              <w:t>；</w:t>
            </w:r>
          </w:p>
        </w:tc>
      </w:tr>
      <w:tr w:rsidR="00C70F74" w14:paraId="21A7BA6F" w14:textId="77777777" w:rsidTr="00BA2CFD">
        <w:trPr>
          <w:trHeight w:val="454"/>
        </w:trPr>
        <w:tc>
          <w:tcPr>
            <w:tcW w:w="1278" w:type="dxa"/>
            <w:tcBorders>
              <w:top w:val="single" w:sz="8" w:space="0" w:color="000000"/>
              <w:left w:val="single" w:sz="8" w:space="0" w:color="000000"/>
              <w:bottom w:val="single" w:sz="8" w:space="0" w:color="000000"/>
              <w:right w:val="single" w:sz="8" w:space="0" w:color="000000"/>
            </w:tcBorders>
            <w:vAlign w:val="center"/>
          </w:tcPr>
          <w:p w14:paraId="63155D05" w14:textId="77777777" w:rsidR="00C70F74" w:rsidRDefault="00C70F74" w:rsidP="00BA2CFD">
            <w:pPr>
              <w:snapToGrid w:val="0"/>
              <w:jc w:val="center"/>
              <w:rPr>
                <w:rFonts w:ascii="宋体" w:eastAsia="宋体" w:hAnsi="宋体"/>
                <w:sz w:val="24"/>
                <w:szCs w:val="24"/>
              </w:rPr>
            </w:pPr>
            <w:r>
              <w:rPr>
                <w:rFonts w:ascii="宋体" w:eastAsia="宋体" w:hAnsi="宋体"/>
                <w:sz w:val="24"/>
                <w:szCs w:val="24"/>
              </w:rPr>
              <w:t>课程目标2</w:t>
            </w:r>
          </w:p>
        </w:tc>
        <w:tc>
          <w:tcPr>
            <w:tcW w:w="7166" w:type="dxa"/>
            <w:tcBorders>
              <w:top w:val="single" w:sz="8" w:space="0" w:color="000000"/>
              <w:left w:val="single" w:sz="8" w:space="0" w:color="000000"/>
              <w:bottom w:val="single" w:sz="8" w:space="0" w:color="000000"/>
              <w:right w:val="single" w:sz="8" w:space="0" w:color="000000"/>
            </w:tcBorders>
            <w:vAlign w:val="center"/>
          </w:tcPr>
          <w:p w14:paraId="459E74B7" w14:textId="77777777" w:rsidR="00C70F74" w:rsidRDefault="00C70F74" w:rsidP="00BA2CFD">
            <w:pPr>
              <w:snapToGrid w:val="0"/>
              <w:rPr>
                <w:rFonts w:ascii="宋体" w:eastAsia="宋体" w:hAnsi="宋体"/>
                <w:sz w:val="24"/>
                <w:szCs w:val="24"/>
              </w:rPr>
            </w:pPr>
            <w:r>
              <w:rPr>
                <w:rFonts w:ascii="宋体" w:eastAsia="宋体" w:hAnsi="宋体"/>
                <w:sz w:val="24"/>
                <w:szCs w:val="24"/>
              </w:rPr>
              <w:t>2.1学生对马克思主义中国化最新成果的掌握水平</w:t>
            </w:r>
            <w:r>
              <w:rPr>
                <w:rFonts w:ascii="宋体" w:eastAsia="宋体" w:hAnsi="宋体" w:hint="eastAsia"/>
                <w:sz w:val="24"/>
                <w:szCs w:val="24"/>
              </w:rPr>
              <w:t>；</w:t>
            </w:r>
          </w:p>
          <w:p w14:paraId="6AF05989" w14:textId="77777777" w:rsidR="00C70F74" w:rsidRDefault="00C70F74" w:rsidP="00BA2CFD">
            <w:pPr>
              <w:snapToGrid w:val="0"/>
              <w:rPr>
                <w:rFonts w:ascii="宋体" w:eastAsia="宋体" w:hAnsi="宋体"/>
                <w:sz w:val="24"/>
                <w:szCs w:val="24"/>
              </w:rPr>
            </w:pPr>
            <w:r>
              <w:rPr>
                <w:rFonts w:ascii="宋体" w:eastAsia="宋体" w:hAnsi="宋体"/>
                <w:sz w:val="24"/>
                <w:szCs w:val="24"/>
              </w:rPr>
              <w:t>2.2学生对新时代中国特色社会主义实践的了解情况</w:t>
            </w:r>
            <w:r>
              <w:rPr>
                <w:rFonts w:ascii="宋体" w:eastAsia="宋体" w:hAnsi="宋体" w:hint="eastAsia"/>
                <w:sz w:val="24"/>
                <w:szCs w:val="24"/>
              </w:rPr>
              <w:t>；</w:t>
            </w:r>
          </w:p>
        </w:tc>
      </w:tr>
      <w:tr w:rsidR="00C70F74" w14:paraId="5C727AC5" w14:textId="77777777" w:rsidTr="00BA2CFD">
        <w:trPr>
          <w:trHeight w:val="454"/>
        </w:trPr>
        <w:tc>
          <w:tcPr>
            <w:tcW w:w="1278" w:type="dxa"/>
            <w:tcBorders>
              <w:top w:val="single" w:sz="8" w:space="0" w:color="000000"/>
              <w:left w:val="single" w:sz="8" w:space="0" w:color="000000"/>
              <w:bottom w:val="single" w:sz="8" w:space="0" w:color="000000"/>
              <w:right w:val="single" w:sz="8" w:space="0" w:color="000000"/>
            </w:tcBorders>
            <w:vAlign w:val="center"/>
          </w:tcPr>
          <w:p w14:paraId="3AA7E9E6" w14:textId="77777777" w:rsidR="00C70F74" w:rsidRDefault="00C70F74" w:rsidP="00BA2CFD">
            <w:pPr>
              <w:snapToGrid w:val="0"/>
              <w:jc w:val="center"/>
              <w:rPr>
                <w:rFonts w:ascii="宋体" w:eastAsia="宋体" w:hAnsi="宋体"/>
                <w:sz w:val="24"/>
                <w:szCs w:val="24"/>
              </w:rPr>
            </w:pPr>
            <w:r>
              <w:rPr>
                <w:rFonts w:ascii="宋体" w:eastAsia="宋体" w:hAnsi="宋体"/>
                <w:sz w:val="24"/>
                <w:szCs w:val="24"/>
              </w:rPr>
              <w:t>课程目标3</w:t>
            </w:r>
          </w:p>
        </w:tc>
        <w:tc>
          <w:tcPr>
            <w:tcW w:w="7166" w:type="dxa"/>
            <w:tcBorders>
              <w:top w:val="single" w:sz="8" w:space="0" w:color="000000"/>
              <w:left w:val="single" w:sz="8" w:space="0" w:color="000000"/>
              <w:bottom w:val="single" w:sz="8" w:space="0" w:color="000000"/>
              <w:right w:val="single" w:sz="8" w:space="0" w:color="000000"/>
            </w:tcBorders>
            <w:vAlign w:val="center"/>
          </w:tcPr>
          <w:p w14:paraId="56C4F186" w14:textId="77777777" w:rsidR="00C70F74" w:rsidRDefault="00C70F74" w:rsidP="00BA2CFD">
            <w:pPr>
              <w:snapToGrid w:val="0"/>
              <w:rPr>
                <w:rFonts w:ascii="宋体" w:eastAsia="宋体" w:hAnsi="宋体"/>
                <w:sz w:val="24"/>
                <w:szCs w:val="24"/>
              </w:rPr>
            </w:pPr>
            <w:r>
              <w:rPr>
                <w:rFonts w:ascii="宋体" w:eastAsia="宋体" w:hAnsi="宋体"/>
                <w:sz w:val="24"/>
                <w:szCs w:val="24"/>
              </w:rPr>
              <w:t>3.1学生对新时代中国特色社会主义实践的了解情况</w:t>
            </w:r>
            <w:r>
              <w:rPr>
                <w:rFonts w:ascii="宋体" w:eastAsia="宋体" w:hAnsi="宋体" w:hint="eastAsia"/>
                <w:sz w:val="24"/>
                <w:szCs w:val="24"/>
              </w:rPr>
              <w:t>；</w:t>
            </w:r>
          </w:p>
        </w:tc>
      </w:tr>
    </w:tbl>
    <w:p w14:paraId="2EDCB048"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（二）课程考核方式</w:t>
      </w:r>
    </w:p>
    <w:p w14:paraId="63639664"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线下教学（具体在1、2、3、5、7学期）的考核方式为期末考试；期末考试采用开卷形式，要求学生提交一篇课程论文。</w:t>
      </w:r>
    </w:p>
    <w:p w14:paraId="7E8D6B2B"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线上教学（具体在4、6、8学期）的考核方式为期末考试；期末考试采用开卷形式，要求学生提交一篇课程论文。</w:t>
      </w:r>
    </w:p>
    <w:p w14:paraId="12553F98" w14:textId="77777777" w:rsidR="00C70F74" w:rsidRDefault="00C70F74" w:rsidP="00C70F74">
      <w:pPr>
        <w:snapToGrid w:val="0"/>
        <w:spacing w:before="187" w:after="187" w:line="440" w:lineRule="exact"/>
        <w:ind w:firstLineChars="200" w:firstLine="560"/>
        <w:rPr>
          <w:rFonts w:ascii="黑体" w:eastAsia="黑体" w:hAnsi="黑体"/>
          <w:sz w:val="28"/>
          <w:szCs w:val="28"/>
        </w:rPr>
      </w:pPr>
      <w:r>
        <w:rPr>
          <w:rFonts w:ascii="黑体" w:eastAsia="黑体" w:hAnsi="黑体" w:hint="eastAsia"/>
          <w:sz w:val="28"/>
          <w:szCs w:val="28"/>
        </w:rPr>
        <w:t>（三）课程目标达成评价方式及考核比例</w:t>
      </w:r>
    </w:p>
    <w:p w14:paraId="6B755E24" w14:textId="77777777" w:rsidR="00C70F74" w:rsidRDefault="00C70F74" w:rsidP="00C70F74">
      <w:pPr>
        <w:snapToGrid w:val="0"/>
        <w:spacing w:line="440" w:lineRule="exact"/>
        <w:ind w:firstLineChars="200" w:firstLine="480"/>
        <w:rPr>
          <w:rFonts w:ascii="宋体" w:eastAsia="宋体" w:hAnsi="宋体"/>
          <w:sz w:val="24"/>
          <w:szCs w:val="24"/>
        </w:rPr>
      </w:pPr>
      <w:r>
        <w:rPr>
          <w:rFonts w:ascii="宋体" w:eastAsia="宋体" w:hAnsi="宋体"/>
          <w:sz w:val="24"/>
          <w:szCs w:val="24"/>
        </w:rPr>
        <w:t>本课程性质属于思想政治理论课，其课程目标达成评价方式及考核比例难以做到精确量化，在实际操作中，课程目标与考核方式大致遵循以下对应关系：</w:t>
      </w:r>
    </w:p>
    <w:tbl>
      <w:tblPr>
        <w:tblStyle w:val="a9"/>
        <w:tblW w:w="8278" w:type="dxa"/>
        <w:tblLayout w:type="fixed"/>
        <w:tblCellMar>
          <w:top w:w="120" w:type="dxa"/>
          <w:left w:w="60" w:type="dxa"/>
          <w:bottom w:w="120" w:type="dxa"/>
          <w:right w:w="60" w:type="dxa"/>
        </w:tblCellMar>
        <w:tblLook w:val="04A0" w:firstRow="1" w:lastRow="0" w:firstColumn="1" w:lastColumn="0" w:noHBand="0" w:noVBand="1"/>
      </w:tblPr>
      <w:tblGrid>
        <w:gridCol w:w="1265"/>
        <w:gridCol w:w="5627"/>
        <w:gridCol w:w="1386"/>
      </w:tblGrid>
      <w:tr w:rsidR="00C70F74" w14:paraId="7ADD773B" w14:textId="77777777" w:rsidTr="00BA2CFD">
        <w:trPr>
          <w:trHeight w:hRule="exact" w:val="454"/>
        </w:trPr>
        <w:tc>
          <w:tcPr>
            <w:tcW w:w="1265" w:type="dxa"/>
            <w:vMerge w:val="restart"/>
            <w:tcBorders>
              <w:top w:val="single" w:sz="8" w:space="0" w:color="000000"/>
              <w:left w:val="single" w:sz="8" w:space="0" w:color="000000"/>
              <w:bottom w:val="single" w:sz="8" w:space="0" w:color="000000"/>
              <w:right w:val="single" w:sz="8" w:space="0" w:color="000000"/>
            </w:tcBorders>
            <w:vAlign w:val="center"/>
          </w:tcPr>
          <w:p w14:paraId="10A98690" w14:textId="77777777" w:rsidR="00C70F74" w:rsidRDefault="00C70F74"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5627" w:type="dxa"/>
            <w:tcBorders>
              <w:top w:val="single" w:sz="8" w:space="0" w:color="000000"/>
              <w:left w:val="single" w:sz="8" w:space="0" w:color="000000"/>
              <w:bottom w:val="single" w:sz="8" w:space="0" w:color="000000"/>
              <w:right w:val="single" w:sz="8" w:space="0" w:color="000000"/>
            </w:tcBorders>
            <w:vAlign w:val="center"/>
          </w:tcPr>
          <w:p w14:paraId="529C02FA" w14:textId="77777777" w:rsidR="00C70F74" w:rsidRDefault="00C70F74"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线上、线下教学考核方式及成绩比例</w:t>
            </w:r>
          </w:p>
        </w:tc>
        <w:tc>
          <w:tcPr>
            <w:tcW w:w="1386" w:type="dxa"/>
            <w:vMerge w:val="restart"/>
            <w:tcBorders>
              <w:top w:val="single" w:sz="8" w:space="0" w:color="000000"/>
              <w:left w:val="single" w:sz="8" w:space="0" w:color="000000"/>
              <w:bottom w:val="single" w:sz="8" w:space="0" w:color="000000"/>
              <w:right w:val="single" w:sz="8" w:space="0" w:color="000000"/>
            </w:tcBorders>
            <w:vAlign w:val="center"/>
          </w:tcPr>
          <w:p w14:paraId="462B014B" w14:textId="77777777" w:rsidR="00C70F74" w:rsidRDefault="00C70F74" w:rsidP="00BA2CFD">
            <w:pPr>
              <w:snapToGrid w:val="0"/>
              <w:jc w:val="center"/>
              <w:rPr>
                <w:rFonts w:ascii="宋体" w:eastAsia="宋体" w:hAnsi="宋体"/>
                <w:b/>
                <w:bCs/>
                <w:sz w:val="24"/>
                <w:szCs w:val="24"/>
              </w:rPr>
            </w:pPr>
            <w:r>
              <w:rPr>
                <w:rFonts w:ascii="宋体" w:eastAsia="宋体" w:hAnsi="宋体" w:cs="宋体" w:hint="eastAsia"/>
                <w:b/>
                <w:bCs/>
                <w:color w:val="000000" w:themeColor="text1"/>
                <w:kern w:val="0"/>
                <w:sz w:val="24"/>
                <w:szCs w:val="24"/>
              </w:rPr>
              <w:t>合计</w:t>
            </w:r>
          </w:p>
        </w:tc>
      </w:tr>
      <w:tr w:rsidR="00C70F74" w14:paraId="3CF8444F" w14:textId="77777777" w:rsidTr="00BA2CFD">
        <w:trPr>
          <w:trHeight w:hRule="exact" w:val="454"/>
        </w:trPr>
        <w:tc>
          <w:tcPr>
            <w:tcW w:w="1265" w:type="dxa"/>
            <w:vMerge/>
            <w:tcBorders>
              <w:top w:val="single" w:sz="8" w:space="0" w:color="000000"/>
              <w:left w:val="single" w:sz="8" w:space="0" w:color="000000"/>
              <w:bottom w:val="single" w:sz="8" w:space="0" w:color="000000"/>
              <w:right w:val="single" w:sz="8" w:space="0" w:color="000000"/>
            </w:tcBorders>
            <w:vAlign w:val="center"/>
          </w:tcPr>
          <w:p w14:paraId="1D33FC3C" w14:textId="77777777" w:rsidR="00C70F74" w:rsidRDefault="00C70F74" w:rsidP="00BA2CFD">
            <w:pPr>
              <w:snapToGrid w:val="0"/>
              <w:jc w:val="center"/>
              <w:rPr>
                <w:rFonts w:ascii="宋体" w:eastAsia="宋体" w:hAnsi="宋体"/>
                <w:sz w:val="24"/>
                <w:szCs w:val="24"/>
              </w:rPr>
            </w:pPr>
          </w:p>
        </w:tc>
        <w:tc>
          <w:tcPr>
            <w:tcW w:w="5627" w:type="dxa"/>
            <w:tcBorders>
              <w:top w:val="single" w:sz="8" w:space="0" w:color="000000"/>
              <w:left w:val="single" w:sz="8" w:space="0" w:color="000000"/>
              <w:bottom w:val="single" w:sz="8" w:space="0" w:color="000000"/>
              <w:right w:val="single" w:sz="8" w:space="0" w:color="000000"/>
            </w:tcBorders>
            <w:vAlign w:val="center"/>
          </w:tcPr>
          <w:p w14:paraId="6E604F8D" w14:textId="77777777" w:rsidR="00C70F74" w:rsidRDefault="00C70F74" w:rsidP="00BA2CFD">
            <w:pPr>
              <w:snapToGrid w:val="0"/>
              <w:jc w:val="center"/>
              <w:rPr>
                <w:rFonts w:ascii="宋体" w:eastAsia="宋体" w:hAnsi="宋体"/>
                <w:b/>
                <w:bCs/>
                <w:sz w:val="24"/>
                <w:szCs w:val="24"/>
              </w:rPr>
            </w:pPr>
            <w:r>
              <w:rPr>
                <w:rFonts w:ascii="宋体" w:eastAsia="宋体" w:hAnsi="宋体" w:cs="宋体" w:hint="eastAsia"/>
                <w:b/>
                <w:bCs/>
                <w:color w:val="000000" w:themeColor="text1"/>
                <w:kern w:val="0"/>
                <w:sz w:val="24"/>
                <w:szCs w:val="24"/>
              </w:rPr>
              <w:t>课程论文</w:t>
            </w:r>
          </w:p>
        </w:tc>
        <w:tc>
          <w:tcPr>
            <w:tcW w:w="1386" w:type="dxa"/>
            <w:vMerge/>
            <w:tcBorders>
              <w:top w:val="single" w:sz="8" w:space="0" w:color="000000"/>
              <w:left w:val="single" w:sz="8" w:space="0" w:color="000000"/>
              <w:bottom w:val="single" w:sz="8" w:space="0" w:color="000000"/>
              <w:right w:val="single" w:sz="8" w:space="0" w:color="000000"/>
            </w:tcBorders>
          </w:tcPr>
          <w:p w14:paraId="7FD8D88B" w14:textId="77777777" w:rsidR="00C70F74" w:rsidRDefault="00C70F74" w:rsidP="00BA2CFD">
            <w:pPr>
              <w:snapToGrid w:val="0"/>
              <w:jc w:val="center"/>
              <w:rPr>
                <w:rFonts w:ascii="宋体" w:eastAsia="宋体" w:hAnsi="宋体"/>
                <w:sz w:val="24"/>
                <w:szCs w:val="24"/>
              </w:rPr>
            </w:pPr>
          </w:p>
        </w:tc>
      </w:tr>
      <w:tr w:rsidR="00C70F74" w14:paraId="22B508C9" w14:textId="77777777" w:rsidTr="00BA2CFD">
        <w:trPr>
          <w:trHeight w:hRule="exact" w:val="454"/>
        </w:trPr>
        <w:tc>
          <w:tcPr>
            <w:tcW w:w="1265" w:type="dxa"/>
            <w:tcBorders>
              <w:top w:val="single" w:sz="8" w:space="0" w:color="000000"/>
              <w:left w:val="single" w:sz="8" w:space="0" w:color="000000"/>
              <w:bottom w:val="single" w:sz="8" w:space="0" w:color="000000"/>
              <w:right w:val="single" w:sz="8" w:space="0" w:color="000000"/>
            </w:tcBorders>
            <w:vAlign w:val="center"/>
          </w:tcPr>
          <w:p w14:paraId="1B614F43" w14:textId="77777777" w:rsidR="00C70F74" w:rsidRDefault="00C70F74" w:rsidP="00BA2CFD">
            <w:pPr>
              <w:snapToGrid w:val="0"/>
              <w:jc w:val="center"/>
              <w:rPr>
                <w:rFonts w:ascii="宋体" w:eastAsia="宋体" w:hAnsi="宋体"/>
                <w:sz w:val="24"/>
                <w:szCs w:val="24"/>
              </w:rPr>
            </w:pPr>
            <w:r>
              <w:rPr>
                <w:rFonts w:ascii="宋体" w:eastAsia="宋体" w:hAnsi="宋体"/>
                <w:sz w:val="24"/>
                <w:szCs w:val="24"/>
              </w:rPr>
              <w:t>课程目标1</w:t>
            </w:r>
          </w:p>
        </w:tc>
        <w:tc>
          <w:tcPr>
            <w:tcW w:w="5627" w:type="dxa"/>
            <w:tcBorders>
              <w:top w:val="single" w:sz="8" w:space="0" w:color="000000"/>
              <w:left w:val="single" w:sz="8" w:space="0" w:color="000000"/>
              <w:bottom w:val="single" w:sz="8" w:space="0" w:color="000000"/>
              <w:right w:val="single" w:sz="8" w:space="0" w:color="000000"/>
            </w:tcBorders>
            <w:vAlign w:val="center"/>
          </w:tcPr>
          <w:p w14:paraId="7F2A7888" w14:textId="77777777" w:rsidR="00C70F74" w:rsidRDefault="00C70F74" w:rsidP="00BA2CFD">
            <w:pPr>
              <w:snapToGrid w:val="0"/>
              <w:jc w:val="center"/>
              <w:rPr>
                <w:rFonts w:ascii="宋体" w:eastAsia="宋体" w:hAnsi="宋体"/>
                <w:sz w:val="24"/>
                <w:szCs w:val="24"/>
              </w:rPr>
            </w:pPr>
            <w:r>
              <w:rPr>
                <w:rFonts w:ascii="宋体" w:hAnsi="宋体" w:hint="eastAsia"/>
                <w:sz w:val="24"/>
                <w:szCs w:val="24"/>
              </w:rPr>
              <w:t>25</w:t>
            </w:r>
            <w:r>
              <w:rPr>
                <w:rFonts w:ascii="宋体" w:eastAsia="宋体" w:hAnsi="宋体"/>
                <w:sz w:val="24"/>
                <w:szCs w:val="24"/>
              </w:rPr>
              <w:t>%</w:t>
            </w:r>
          </w:p>
        </w:tc>
        <w:tc>
          <w:tcPr>
            <w:tcW w:w="1386" w:type="dxa"/>
            <w:tcBorders>
              <w:top w:val="single" w:sz="8" w:space="0" w:color="000000"/>
              <w:left w:val="single" w:sz="8" w:space="0" w:color="000000"/>
              <w:bottom w:val="single" w:sz="8" w:space="0" w:color="000000"/>
              <w:right w:val="single" w:sz="8" w:space="0" w:color="000000"/>
            </w:tcBorders>
          </w:tcPr>
          <w:p w14:paraId="1B5EE648" w14:textId="77777777" w:rsidR="00C70F74" w:rsidRDefault="00C70F74" w:rsidP="00BA2CFD">
            <w:pPr>
              <w:snapToGrid w:val="0"/>
              <w:jc w:val="center"/>
              <w:rPr>
                <w:rFonts w:ascii="宋体" w:eastAsia="宋体" w:hAnsi="宋体"/>
                <w:sz w:val="24"/>
                <w:szCs w:val="24"/>
              </w:rPr>
            </w:pPr>
            <w:r>
              <w:rPr>
                <w:rFonts w:ascii="宋体" w:hAnsi="宋体" w:hint="eastAsia"/>
                <w:sz w:val="24"/>
                <w:szCs w:val="24"/>
              </w:rPr>
              <w:t>25</w:t>
            </w:r>
          </w:p>
        </w:tc>
      </w:tr>
      <w:tr w:rsidR="00C70F74" w14:paraId="473103EF" w14:textId="77777777" w:rsidTr="00BA2CFD">
        <w:trPr>
          <w:trHeight w:hRule="exact" w:val="454"/>
        </w:trPr>
        <w:tc>
          <w:tcPr>
            <w:tcW w:w="1265" w:type="dxa"/>
            <w:tcBorders>
              <w:top w:val="single" w:sz="8" w:space="0" w:color="000000"/>
              <w:left w:val="single" w:sz="8" w:space="0" w:color="000000"/>
              <w:bottom w:val="single" w:sz="8" w:space="0" w:color="000000"/>
              <w:right w:val="single" w:sz="8" w:space="0" w:color="000000"/>
            </w:tcBorders>
            <w:vAlign w:val="center"/>
          </w:tcPr>
          <w:p w14:paraId="161EDC71" w14:textId="77777777" w:rsidR="00C70F74" w:rsidRDefault="00C70F74" w:rsidP="00BA2CFD">
            <w:pPr>
              <w:snapToGrid w:val="0"/>
              <w:jc w:val="center"/>
              <w:rPr>
                <w:rFonts w:ascii="宋体" w:eastAsia="宋体" w:hAnsi="宋体"/>
                <w:sz w:val="24"/>
                <w:szCs w:val="24"/>
              </w:rPr>
            </w:pPr>
            <w:r>
              <w:rPr>
                <w:rFonts w:ascii="宋体" w:eastAsia="宋体" w:hAnsi="宋体"/>
                <w:sz w:val="24"/>
                <w:szCs w:val="24"/>
              </w:rPr>
              <w:t>课程目标2</w:t>
            </w:r>
          </w:p>
        </w:tc>
        <w:tc>
          <w:tcPr>
            <w:tcW w:w="5627" w:type="dxa"/>
            <w:tcBorders>
              <w:top w:val="single" w:sz="8" w:space="0" w:color="000000"/>
              <w:left w:val="single" w:sz="8" w:space="0" w:color="000000"/>
              <w:bottom w:val="single" w:sz="8" w:space="0" w:color="000000"/>
              <w:right w:val="single" w:sz="8" w:space="0" w:color="000000"/>
            </w:tcBorders>
            <w:vAlign w:val="center"/>
          </w:tcPr>
          <w:p w14:paraId="38FB913A" w14:textId="77777777" w:rsidR="00C70F74" w:rsidRDefault="00C70F74" w:rsidP="00BA2CFD">
            <w:pPr>
              <w:snapToGrid w:val="0"/>
              <w:jc w:val="center"/>
              <w:rPr>
                <w:rFonts w:ascii="宋体" w:eastAsia="宋体" w:hAnsi="宋体"/>
                <w:sz w:val="24"/>
                <w:szCs w:val="24"/>
              </w:rPr>
            </w:pPr>
            <w:r>
              <w:rPr>
                <w:rFonts w:ascii="宋体" w:hAnsi="宋体" w:hint="eastAsia"/>
                <w:sz w:val="24"/>
                <w:szCs w:val="24"/>
              </w:rPr>
              <w:t>25</w:t>
            </w:r>
            <w:r>
              <w:rPr>
                <w:rFonts w:ascii="宋体" w:eastAsia="宋体" w:hAnsi="宋体"/>
                <w:sz w:val="24"/>
                <w:szCs w:val="24"/>
              </w:rPr>
              <w:t>%</w:t>
            </w:r>
          </w:p>
        </w:tc>
        <w:tc>
          <w:tcPr>
            <w:tcW w:w="1386" w:type="dxa"/>
            <w:tcBorders>
              <w:top w:val="single" w:sz="8" w:space="0" w:color="000000"/>
              <w:left w:val="single" w:sz="8" w:space="0" w:color="000000"/>
              <w:bottom w:val="single" w:sz="8" w:space="0" w:color="000000"/>
              <w:right w:val="single" w:sz="8" w:space="0" w:color="000000"/>
            </w:tcBorders>
          </w:tcPr>
          <w:p w14:paraId="25FF1E10" w14:textId="77777777" w:rsidR="00C70F74" w:rsidRDefault="00C70F74" w:rsidP="00BA2CFD">
            <w:pPr>
              <w:snapToGrid w:val="0"/>
              <w:jc w:val="center"/>
              <w:rPr>
                <w:rFonts w:ascii="宋体" w:eastAsia="宋体" w:hAnsi="宋体"/>
                <w:sz w:val="24"/>
                <w:szCs w:val="24"/>
              </w:rPr>
            </w:pPr>
            <w:r>
              <w:rPr>
                <w:rFonts w:ascii="宋体" w:hAnsi="宋体" w:hint="eastAsia"/>
                <w:sz w:val="24"/>
                <w:szCs w:val="24"/>
              </w:rPr>
              <w:t>25</w:t>
            </w:r>
          </w:p>
        </w:tc>
      </w:tr>
      <w:tr w:rsidR="00C70F74" w14:paraId="0F3FA8FE" w14:textId="77777777" w:rsidTr="00BA2CFD">
        <w:trPr>
          <w:trHeight w:hRule="exact" w:val="454"/>
        </w:trPr>
        <w:tc>
          <w:tcPr>
            <w:tcW w:w="1265" w:type="dxa"/>
            <w:tcBorders>
              <w:top w:val="single" w:sz="8" w:space="0" w:color="000000"/>
              <w:left w:val="single" w:sz="8" w:space="0" w:color="000000"/>
              <w:bottom w:val="single" w:sz="8" w:space="0" w:color="000000"/>
              <w:right w:val="single" w:sz="8" w:space="0" w:color="000000"/>
            </w:tcBorders>
            <w:vAlign w:val="center"/>
          </w:tcPr>
          <w:p w14:paraId="3E70C389" w14:textId="77777777" w:rsidR="00C70F74" w:rsidRDefault="00C70F74" w:rsidP="00BA2CFD">
            <w:pPr>
              <w:snapToGrid w:val="0"/>
              <w:jc w:val="center"/>
              <w:rPr>
                <w:rFonts w:ascii="宋体" w:eastAsia="宋体" w:hAnsi="宋体"/>
                <w:sz w:val="24"/>
                <w:szCs w:val="24"/>
              </w:rPr>
            </w:pPr>
            <w:r>
              <w:rPr>
                <w:rFonts w:ascii="宋体" w:eastAsia="宋体" w:hAnsi="宋体"/>
                <w:sz w:val="24"/>
                <w:szCs w:val="24"/>
              </w:rPr>
              <w:t>课程目标3</w:t>
            </w:r>
          </w:p>
        </w:tc>
        <w:tc>
          <w:tcPr>
            <w:tcW w:w="5627" w:type="dxa"/>
            <w:tcBorders>
              <w:top w:val="single" w:sz="8" w:space="0" w:color="000000"/>
              <w:left w:val="single" w:sz="8" w:space="0" w:color="000000"/>
              <w:bottom w:val="single" w:sz="8" w:space="0" w:color="000000"/>
              <w:right w:val="single" w:sz="8" w:space="0" w:color="000000"/>
            </w:tcBorders>
            <w:vAlign w:val="center"/>
          </w:tcPr>
          <w:p w14:paraId="070A4533" w14:textId="77777777" w:rsidR="00C70F74" w:rsidRDefault="00C70F74" w:rsidP="00BA2CFD">
            <w:pPr>
              <w:snapToGrid w:val="0"/>
              <w:jc w:val="center"/>
              <w:rPr>
                <w:rFonts w:ascii="宋体" w:eastAsia="宋体" w:hAnsi="宋体"/>
                <w:sz w:val="24"/>
                <w:szCs w:val="24"/>
              </w:rPr>
            </w:pPr>
            <w:r>
              <w:rPr>
                <w:rFonts w:ascii="宋体" w:hAnsi="宋体" w:hint="eastAsia"/>
                <w:sz w:val="24"/>
                <w:szCs w:val="24"/>
              </w:rPr>
              <w:t>50</w:t>
            </w:r>
            <w:r>
              <w:rPr>
                <w:rFonts w:ascii="宋体" w:eastAsia="宋体" w:hAnsi="宋体"/>
                <w:sz w:val="24"/>
                <w:szCs w:val="24"/>
              </w:rPr>
              <w:t>%</w:t>
            </w:r>
          </w:p>
        </w:tc>
        <w:tc>
          <w:tcPr>
            <w:tcW w:w="1386" w:type="dxa"/>
            <w:tcBorders>
              <w:top w:val="single" w:sz="8" w:space="0" w:color="000000"/>
              <w:left w:val="single" w:sz="8" w:space="0" w:color="000000"/>
              <w:bottom w:val="single" w:sz="8" w:space="0" w:color="000000"/>
              <w:right w:val="single" w:sz="8" w:space="0" w:color="000000"/>
            </w:tcBorders>
          </w:tcPr>
          <w:p w14:paraId="300D749E" w14:textId="77777777" w:rsidR="00C70F74" w:rsidRDefault="00C70F74" w:rsidP="00BA2CFD">
            <w:pPr>
              <w:snapToGrid w:val="0"/>
              <w:jc w:val="center"/>
              <w:rPr>
                <w:rFonts w:ascii="宋体" w:eastAsia="宋体" w:hAnsi="宋体"/>
                <w:sz w:val="24"/>
                <w:szCs w:val="24"/>
              </w:rPr>
            </w:pPr>
            <w:r>
              <w:rPr>
                <w:rFonts w:ascii="宋体" w:hAnsi="宋体" w:hint="eastAsia"/>
                <w:sz w:val="24"/>
                <w:szCs w:val="24"/>
              </w:rPr>
              <w:t>50</w:t>
            </w:r>
          </w:p>
        </w:tc>
      </w:tr>
      <w:tr w:rsidR="00C70F74" w14:paraId="287B696E" w14:textId="77777777" w:rsidTr="00BA2CFD">
        <w:trPr>
          <w:trHeight w:hRule="exact" w:val="454"/>
        </w:trPr>
        <w:tc>
          <w:tcPr>
            <w:tcW w:w="1265" w:type="dxa"/>
            <w:tcBorders>
              <w:top w:val="single" w:sz="8" w:space="0" w:color="000000"/>
              <w:left w:val="single" w:sz="8" w:space="0" w:color="000000"/>
              <w:bottom w:val="single" w:sz="8" w:space="0" w:color="000000"/>
              <w:right w:val="single" w:sz="8" w:space="0" w:color="000000"/>
            </w:tcBorders>
            <w:vAlign w:val="center"/>
          </w:tcPr>
          <w:p w14:paraId="1842D8B7" w14:textId="77777777" w:rsidR="00C70F74" w:rsidRDefault="00C70F74" w:rsidP="00BA2CFD">
            <w:pPr>
              <w:snapToGrid w:val="0"/>
              <w:jc w:val="center"/>
              <w:rPr>
                <w:rFonts w:ascii="宋体" w:eastAsia="宋体" w:hAnsi="宋体"/>
                <w:sz w:val="24"/>
                <w:szCs w:val="24"/>
              </w:rPr>
            </w:pPr>
            <w:r>
              <w:rPr>
                <w:rFonts w:ascii="宋体" w:eastAsia="宋体" w:hAnsi="宋体"/>
                <w:sz w:val="24"/>
                <w:szCs w:val="24"/>
              </w:rPr>
              <w:t>合计</w:t>
            </w:r>
          </w:p>
        </w:tc>
        <w:tc>
          <w:tcPr>
            <w:tcW w:w="5627" w:type="dxa"/>
            <w:tcBorders>
              <w:top w:val="single" w:sz="8" w:space="0" w:color="000000"/>
              <w:left w:val="single" w:sz="8" w:space="0" w:color="000000"/>
              <w:bottom w:val="single" w:sz="8" w:space="0" w:color="000000"/>
              <w:right w:val="single" w:sz="8" w:space="0" w:color="000000"/>
            </w:tcBorders>
            <w:vAlign w:val="center"/>
          </w:tcPr>
          <w:p w14:paraId="5780A00C" w14:textId="77777777" w:rsidR="00C70F74" w:rsidRDefault="00C70F74" w:rsidP="00BA2CFD">
            <w:pPr>
              <w:snapToGrid w:val="0"/>
              <w:jc w:val="center"/>
              <w:rPr>
                <w:rFonts w:ascii="宋体" w:eastAsia="宋体" w:hAnsi="宋体"/>
                <w:sz w:val="24"/>
                <w:szCs w:val="24"/>
              </w:rPr>
            </w:pPr>
            <w:r>
              <w:rPr>
                <w:rFonts w:ascii="宋体" w:eastAsia="宋体" w:hAnsi="宋体"/>
                <w:sz w:val="24"/>
                <w:szCs w:val="24"/>
              </w:rPr>
              <w:t>100%</w:t>
            </w:r>
          </w:p>
        </w:tc>
        <w:tc>
          <w:tcPr>
            <w:tcW w:w="1386" w:type="dxa"/>
            <w:tcBorders>
              <w:top w:val="single" w:sz="8" w:space="0" w:color="000000"/>
              <w:left w:val="single" w:sz="8" w:space="0" w:color="000000"/>
              <w:bottom w:val="single" w:sz="8" w:space="0" w:color="000000"/>
              <w:right w:val="single" w:sz="8" w:space="0" w:color="000000"/>
            </w:tcBorders>
          </w:tcPr>
          <w:p w14:paraId="7C88D5B5" w14:textId="77777777" w:rsidR="00C70F74" w:rsidRDefault="00C70F74" w:rsidP="00BA2CFD">
            <w:pPr>
              <w:snapToGrid w:val="0"/>
              <w:jc w:val="center"/>
              <w:rPr>
                <w:rFonts w:ascii="宋体" w:eastAsia="宋体" w:hAnsi="宋体"/>
                <w:sz w:val="24"/>
                <w:szCs w:val="24"/>
              </w:rPr>
            </w:pPr>
            <w:r>
              <w:rPr>
                <w:rFonts w:ascii="宋体" w:eastAsia="宋体" w:hAnsi="宋体"/>
                <w:sz w:val="24"/>
                <w:szCs w:val="24"/>
              </w:rPr>
              <w:t>100</w:t>
            </w:r>
          </w:p>
        </w:tc>
      </w:tr>
    </w:tbl>
    <w:p w14:paraId="2188715C"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五、成绩评定</w:t>
      </w:r>
    </w:p>
    <w:p w14:paraId="0A71AC71"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（一）总成绩评定</w:t>
      </w:r>
    </w:p>
    <w:p w14:paraId="45F1329B" w14:textId="77777777" w:rsidR="00C70F74" w:rsidRDefault="00C70F74" w:rsidP="00C70F74">
      <w:pPr>
        <w:snapToGrid w:val="0"/>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lastRenderedPageBreak/>
        <w:t>线上、线下教学总成绩=期末成绩</w:t>
      </w:r>
      <w:bookmarkStart w:id="25" w:name="_Hlk50410179"/>
      <w:r>
        <w:rPr>
          <w:rFonts w:ascii="宋体" w:eastAsia="宋体" w:hAnsi="宋体" w:cs="宋体" w:hint="eastAsia"/>
          <w:sz w:val="24"/>
          <w:szCs w:val="24"/>
        </w:rPr>
        <w:t>×</w:t>
      </w:r>
      <w:bookmarkEnd w:id="25"/>
      <w:r>
        <w:rPr>
          <w:rFonts w:ascii="宋体" w:eastAsia="宋体" w:hAnsi="宋体" w:cs="宋体" w:hint="eastAsia"/>
          <w:sz w:val="24"/>
          <w:szCs w:val="24"/>
        </w:rPr>
        <w:t>100%</w:t>
      </w:r>
    </w:p>
    <w:p w14:paraId="512F500E"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（二）期末成绩评定</w:t>
      </w:r>
    </w:p>
    <w:p w14:paraId="1F1F0A92" w14:textId="77777777" w:rsidR="00C70F74" w:rsidRDefault="00C70F74" w:rsidP="00C70F74">
      <w:pPr>
        <w:snapToGrid w:val="0"/>
        <w:spacing w:line="440" w:lineRule="exact"/>
        <w:ind w:firstLineChars="200" w:firstLine="480"/>
        <w:rPr>
          <w:rFonts w:ascii="宋体" w:eastAsia="宋体" w:hAnsi="宋体"/>
          <w:sz w:val="24"/>
          <w:szCs w:val="24"/>
        </w:rPr>
      </w:pPr>
      <w:r>
        <w:rPr>
          <w:rFonts w:ascii="宋体" w:eastAsia="宋体" w:hAnsi="宋体"/>
          <w:sz w:val="24"/>
          <w:szCs w:val="24"/>
        </w:rPr>
        <w:t>期末考试重点考核学生对马克思主义中国化最新成果的掌握水平，考核学生对新时代中国特色社会主义实践的了解情况。期末考试要求学生结合</w:t>
      </w:r>
      <w:r>
        <w:rPr>
          <w:rFonts w:ascii="宋体" w:eastAsia="宋体" w:hAnsi="宋体" w:hint="eastAsia"/>
          <w:sz w:val="24"/>
          <w:szCs w:val="24"/>
        </w:rPr>
        <w:t>该</w:t>
      </w:r>
      <w:r>
        <w:rPr>
          <w:rFonts w:ascii="宋体" w:eastAsia="宋体" w:hAnsi="宋体"/>
          <w:sz w:val="24"/>
          <w:szCs w:val="24"/>
        </w:rPr>
        <w:t>学期</w:t>
      </w:r>
      <w:r>
        <w:rPr>
          <w:rFonts w:ascii="宋体" w:eastAsia="宋体" w:hAnsi="宋体" w:hint="eastAsia"/>
          <w:sz w:val="24"/>
          <w:szCs w:val="24"/>
        </w:rPr>
        <w:t>某一专题</w:t>
      </w:r>
      <w:r>
        <w:rPr>
          <w:rFonts w:ascii="宋体" w:eastAsia="宋体" w:hAnsi="宋体"/>
          <w:sz w:val="24"/>
          <w:szCs w:val="24"/>
        </w:rPr>
        <w:t>的学习提交一篇课程论文</w:t>
      </w:r>
      <w:r>
        <w:rPr>
          <w:rFonts w:ascii="宋体" w:eastAsia="宋体" w:hAnsi="宋体" w:hint="eastAsia"/>
          <w:sz w:val="24"/>
          <w:szCs w:val="24"/>
        </w:rPr>
        <w:t>。根据</w:t>
      </w:r>
      <w:r>
        <w:rPr>
          <w:rFonts w:ascii="宋体" w:eastAsia="宋体" w:hAnsi="宋体"/>
          <w:sz w:val="24"/>
          <w:szCs w:val="24"/>
        </w:rPr>
        <w:t>学生掌握世界和中国发展大势</w:t>
      </w:r>
      <w:r>
        <w:rPr>
          <w:rFonts w:ascii="宋体" w:eastAsia="宋体" w:hAnsi="宋体" w:hint="eastAsia"/>
          <w:sz w:val="24"/>
          <w:szCs w:val="24"/>
        </w:rPr>
        <w:t>情况及</w:t>
      </w:r>
      <w:r>
        <w:rPr>
          <w:rFonts w:ascii="宋体" w:eastAsia="宋体" w:hAnsi="宋体"/>
          <w:sz w:val="24"/>
          <w:szCs w:val="24"/>
        </w:rPr>
        <w:t>运用马克思主义中国化的最新成果解决相关问题</w:t>
      </w:r>
      <w:r>
        <w:rPr>
          <w:rFonts w:ascii="宋体" w:eastAsia="宋体" w:hAnsi="宋体" w:hint="eastAsia"/>
          <w:sz w:val="24"/>
          <w:szCs w:val="24"/>
        </w:rPr>
        <w:t>的水平，以百分制综合评定成绩</w:t>
      </w:r>
      <w:r>
        <w:rPr>
          <w:rFonts w:ascii="宋体" w:eastAsia="宋体" w:hAnsi="宋体"/>
          <w:sz w:val="24"/>
          <w:szCs w:val="24"/>
        </w:rPr>
        <w:t>。</w:t>
      </w:r>
    </w:p>
    <w:p w14:paraId="04E54295"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六、使用教材、相关推荐书目及课程资源</w:t>
      </w:r>
    </w:p>
    <w:p w14:paraId="6A3802CD"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（一）使用教材</w:t>
      </w:r>
    </w:p>
    <w:p w14:paraId="01D066EA" w14:textId="77777777" w:rsidR="00C70F74" w:rsidRDefault="00C70F74" w:rsidP="00C70F74">
      <w:pPr>
        <w:snapToGrid w:val="0"/>
        <w:spacing w:line="440" w:lineRule="exact"/>
        <w:ind w:firstLineChars="200" w:firstLine="480"/>
        <w:rPr>
          <w:rFonts w:ascii="宋体" w:eastAsia="宋体" w:hAnsi="宋体"/>
          <w:sz w:val="24"/>
          <w:szCs w:val="24"/>
        </w:rPr>
      </w:pPr>
      <w:r>
        <w:rPr>
          <w:rFonts w:ascii="宋体" w:eastAsia="宋体" w:hAnsi="宋体" w:hint="eastAsia"/>
          <w:sz w:val="24"/>
          <w:szCs w:val="24"/>
        </w:rPr>
        <w:t>中宣部、教育部指定教材：</w:t>
      </w:r>
      <w:r>
        <w:rPr>
          <w:rFonts w:ascii="宋体" w:eastAsia="宋体" w:hAnsi="宋体"/>
          <w:sz w:val="24"/>
          <w:szCs w:val="24"/>
        </w:rPr>
        <w:t>《时事报告（大学生版）》，北京：《时事报告》杂志社，每年两期。</w:t>
      </w:r>
    </w:p>
    <w:p w14:paraId="3308DCD3"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（二）相关推荐书目</w:t>
      </w:r>
    </w:p>
    <w:p w14:paraId="760C5EDF" w14:textId="77777777" w:rsidR="00C70F74" w:rsidRDefault="00C70F74" w:rsidP="00C70F74">
      <w:pPr>
        <w:snapToGrid w:val="0"/>
        <w:spacing w:line="440" w:lineRule="exact"/>
        <w:ind w:firstLineChars="200" w:firstLine="480"/>
        <w:rPr>
          <w:rFonts w:ascii="宋体" w:eastAsia="宋体" w:hAnsi="宋体"/>
          <w:sz w:val="24"/>
          <w:szCs w:val="24"/>
        </w:rPr>
      </w:pPr>
      <w:r>
        <w:rPr>
          <w:rFonts w:ascii="宋体" w:eastAsia="宋体" w:hAnsi="宋体"/>
          <w:sz w:val="24"/>
          <w:szCs w:val="24"/>
        </w:rPr>
        <w:t>1.</w:t>
      </w:r>
      <w:r>
        <w:rPr>
          <w:rFonts w:ascii="宋体" w:eastAsia="宋体" w:hAnsi="宋体" w:hint="eastAsia"/>
          <w:sz w:val="24"/>
          <w:szCs w:val="24"/>
        </w:rPr>
        <w:t>中共中央宣传部主管：</w:t>
      </w:r>
      <w:r>
        <w:rPr>
          <w:rFonts w:ascii="宋体" w:eastAsia="宋体" w:hAnsi="宋体"/>
          <w:sz w:val="24"/>
          <w:szCs w:val="24"/>
        </w:rPr>
        <w:t>《时事报告》，北京：《时事报告》杂志社，月刊；</w:t>
      </w:r>
    </w:p>
    <w:p w14:paraId="53A08826" w14:textId="77777777" w:rsidR="00C70F74" w:rsidRDefault="00C70F74" w:rsidP="00C70F74">
      <w:pPr>
        <w:snapToGrid w:val="0"/>
        <w:spacing w:line="440" w:lineRule="exact"/>
        <w:ind w:firstLineChars="200" w:firstLine="480"/>
        <w:rPr>
          <w:rFonts w:ascii="宋体" w:eastAsia="宋体" w:hAnsi="宋体"/>
          <w:sz w:val="24"/>
          <w:szCs w:val="24"/>
        </w:rPr>
      </w:pPr>
      <w:r>
        <w:rPr>
          <w:rFonts w:ascii="宋体" w:eastAsia="宋体" w:hAnsi="宋体"/>
          <w:sz w:val="24"/>
          <w:szCs w:val="24"/>
        </w:rPr>
        <w:t>2.新华通讯社主办：《半月谈》，北京：《半月谈》杂志社，半月刊；</w:t>
      </w:r>
    </w:p>
    <w:p w14:paraId="5093EC73" w14:textId="77777777" w:rsidR="00C70F74" w:rsidRDefault="00C70F74" w:rsidP="00C70F74">
      <w:pPr>
        <w:snapToGrid w:val="0"/>
        <w:spacing w:line="440" w:lineRule="exact"/>
        <w:ind w:firstLineChars="200" w:firstLine="480"/>
        <w:rPr>
          <w:rFonts w:ascii="宋体" w:eastAsia="宋体" w:hAnsi="宋体"/>
          <w:sz w:val="24"/>
          <w:szCs w:val="24"/>
        </w:rPr>
      </w:pPr>
      <w:r>
        <w:rPr>
          <w:rFonts w:ascii="宋体" w:eastAsia="宋体" w:hAnsi="宋体"/>
          <w:sz w:val="24"/>
          <w:szCs w:val="24"/>
        </w:rPr>
        <w:t>3.共青团中央主办：《中国青年》，北京：中国青年出版总社，月刊。</w:t>
      </w:r>
    </w:p>
    <w:p w14:paraId="55E2DF07"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（三）课程资源</w:t>
      </w:r>
    </w:p>
    <w:p w14:paraId="7B92F4EB" w14:textId="77777777" w:rsidR="00C70F74" w:rsidRDefault="00C70F74" w:rsidP="00C70F74">
      <w:pPr>
        <w:snapToGrid w:val="0"/>
        <w:spacing w:line="440" w:lineRule="exact"/>
        <w:ind w:firstLineChars="200" w:firstLine="480"/>
        <w:rPr>
          <w:rFonts w:ascii="宋体" w:eastAsia="宋体" w:hAnsi="宋体"/>
          <w:sz w:val="24"/>
          <w:szCs w:val="24"/>
        </w:rPr>
      </w:pPr>
      <w:r>
        <w:rPr>
          <w:rFonts w:ascii="宋体" w:eastAsia="宋体" w:hAnsi="宋体"/>
          <w:sz w:val="24"/>
          <w:szCs w:val="24"/>
        </w:rPr>
        <w:t>1.形势</w:t>
      </w:r>
      <w:proofErr w:type="gramStart"/>
      <w:r>
        <w:rPr>
          <w:rFonts w:ascii="宋体" w:eastAsia="宋体" w:hAnsi="宋体"/>
          <w:sz w:val="24"/>
          <w:szCs w:val="24"/>
        </w:rPr>
        <w:t>政策网</w:t>
      </w:r>
      <w:proofErr w:type="gramEnd"/>
      <w:r>
        <w:rPr>
          <w:rFonts w:ascii="宋体" w:eastAsia="宋体" w:hAnsi="宋体"/>
          <w:sz w:val="24"/>
          <w:szCs w:val="24"/>
        </w:rPr>
        <w:t>http：//www.xingshizhengce.com/</w:t>
      </w:r>
    </w:p>
    <w:p w14:paraId="4FCAD25B" w14:textId="77777777" w:rsidR="00C70F74" w:rsidRDefault="00C70F74" w:rsidP="00C70F74">
      <w:pPr>
        <w:snapToGrid w:val="0"/>
        <w:spacing w:line="440" w:lineRule="exact"/>
        <w:ind w:firstLineChars="200" w:firstLine="480"/>
        <w:rPr>
          <w:rFonts w:ascii="宋体" w:eastAsia="宋体" w:hAnsi="宋体"/>
          <w:sz w:val="24"/>
          <w:szCs w:val="24"/>
        </w:rPr>
      </w:pPr>
      <w:r>
        <w:rPr>
          <w:rFonts w:ascii="宋体" w:eastAsia="宋体" w:hAnsi="宋体"/>
          <w:sz w:val="24"/>
          <w:szCs w:val="24"/>
        </w:rPr>
        <w:t>该网站由中共中央宣传部主管、《时事报告》杂志社主办，推荐学生在学习过程中参阅相关政策信息和理论文章。</w:t>
      </w:r>
    </w:p>
    <w:p w14:paraId="32F4D7FB" w14:textId="77777777" w:rsidR="00C70F74" w:rsidRDefault="00C70F74" w:rsidP="00C70F74">
      <w:pPr>
        <w:snapToGrid w:val="0"/>
        <w:spacing w:line="440" w:lineRule="exact"/>
        <w:ind w:firstLineChars="200" w:firstLine="480"/>
        <w:rPr>
          <w:rFonts w:ascii="宋体" w:eastAsia="宋体" w:hAnsi="宋体"/>
          <w:sz w:val="24"/>
          <w:szCs w:val="24"/>
        </w:rPr>
      </w:pPr>
      <w:r>
        <w:rPr>
          <w:rFonts w:ascii="宋体" w:eastAsia="宋体" w:hAnsi="宋体"/>
          <w:sz w:val="24"/>
          <w:szCs w:val="24"/>
        </w:rPr>
        <w:t>2.新华网http：//www.xinhuanet.com/</w:t>
      </w:r>
    </w:p>
    <w:p w14:paraId="760E99BD" w14:textId="77777777" w:rsidR="00C70F74" w:rsidRDefault="00C70F74" w:rsidP="00C70F74">
      <w:pPr>
        <w:snapToGrid w:val="0"/>
        <w:spacing w:line="440" w:lineRule="exact"/>
        <w:ind w:firstLineChars="200" w:firstLine="480"/>
        <w:rPr>
          <w:rFonts w:ascii="宋体" w:eastAsia="宋体" w:hAnsi="宋体"/>
          <w:sz w:val="24"/>
          <w:szCs w:val="24"/>
        </w:rPr>
      </w:pPr>
      <w:r>
        <w:rPr>
          <w:rFonts w:ascii="宋体" w:eastAsia="宋体" w:hAnsi="宋体"/>
          <w:sz w:val="24"/>
          <w:szCs w:val="24"/>
        </w:rPr>
        <w:t>该网站是国家通讯社新华社主办的综合新闻信息服务门户网站，是中国最具影响力的网络媒体和具有全球影响力的中文网站。方便学生了解最新的时事动态。</w:t>
      </w:r>
    </w:p>
    <w:p w14:paraId="292CD488" w14:textId="77777777" w:rsidR="00C70F74" w:rsidRDefault="00C70F74" w:rsidP="00C70F74">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七、课程大纲制定依据</w:t>
      </w:r>
    </w:p>
    <w:p w14:paraId="37E23C66" w14:textId="77777777" w:rsidR="00C70F74" w:rsidRDefault="00C70F74" w:rsidP="00C70F74">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w:t>
      </w:r>
      <w:r>
        <w:rPr>
          <w:rFonts w:ascii="宋体" w:eastAsia="宋体" w:hAnsi="宋体" w:cs="Times New Roman" w:hint="eastAsia"/>
          <w:color w:val="000000" w:themeColor="text1"/>
          <w:sz w:val="24"/>
          <w:szCs w:val="24"/>
        </w:rPr>
        <w:lastRenderedPageBreak/>
        <w:t>学工作基本要求》（教社科[2018]2号）以及《石家庄学院关于修订本科专业人才培养方案的指导意见（2023年）》等制定。</w:t>
      </w:r>
    </w:p>
    <w:p w14:paraId="7D33EA78" w14:textId="77777777" w:rsidR="00C70F74" w:rsidRDefault="00C70F74" w:rsidP="0078124E">
      <w:pPr>
        <w:rPr>
          <w:rFonts w:ascii="黑体" w:eastAsia="黑体" w:hAnsi="黑体" w:cs="Times New Roman"/>
          <w:color w:val="000000"/>
          <w:sz w:val="36"/>
          <w:szCs w:val="36"/>
        </w:rPr>
      </w:pPr>
    </w:p>
    <w:p w14:paraId="4BB7007E" w14:textId="77777777" w:rsidR="00C70F74" w:rsidRDefault="00C70F74" w:rsidP="0078124E">
      <w:pPr>
        <w:rPr>
          <w:rFonts w:ascii="黑体" w:eastAsia="黑体" w:hAnsi="黑体" w:cs="Times New Roman"/>
          <w:color w:val="000000"/>
          <w:sz w:val="36"/>
          <w:szCs w:val="36"/>
        </w:rPr>
      </w:pPr>
    </w:p>
    <w:p w14:paraId="469AC833" w14:textId="77777777" w:rsidR="00C70F74" w:rsidRDefault="00C70F74" w:rsidP="0078124E">
      <w:pPr>
        <w:rPr>
          <w:rFonts w:ascii="黑体" w:eastAsia="黑体" w:hAnsi="黑体" w:cs="Times New Roman"/>
          <w:color w:val="000000"/>
          <w:sz w:val="36"/>
          <w:szCs w:val="36"/>
        </w:rPr>
      </w:pPr>
    </w:p>
    <w:p w14:paraId="10C58FA3" w14:textId="77777777" w:rsidR="00646ED3" w:rsidRDefault="00646ED3">
      <w:pPr>
        <w:widowControl/>
        <w:jc w:val="left"/>
        <w:rPr>
          <w:rFonts w:ascii="黑体" w:eastAsia="黑体" w:hAnsi="黑体" w:cs="Times New Roman"/>
          <w:color w:val="000000"/>
          <w:sz w:val="36"/>
          <w:szCs w:val="36"/>
        </w:rPr>
      </w:pPr>
      <w:bookmarkStart w:id="26" w:name="_Toc149662342"/>
      <w:r>
        <w:rPr>
          <w:rFonts w:ascii="黑体" w:eastAsia="黑体" w:hAnsi="黑体" w:cs="Times New Roman"/>
          <w:b/>
          <w:color w:val="000000"/>
          <w:szCs w:val="36"/>
        </w:rPr>
        <w:br w:type="page"/>
      </w:r>
    </w:p>
    <w:p w14:paraId="2E586DB4" w14:textId="5F9FCE98" w:rsidR="00BC4EF1" w:rsidRDefault="00BC4EF1" w:rsidP="00884E21">
      <w:pPr>
        <w:pStyle w:val="1"/>
      </w:pPr>
      <w:r>
        <w:rPr>
          <w:rFonts w:hint="eastAsia"/>
        </w:rPr>
        <w:lastRenderedPageBreak/>
        <w:t>《劳动教育》课程大纲</w:t>
      </w:r>
      <w:bookmarkEnd w:id="26"/>
    </w:p>
    <w:p w14:paraId="11756B43"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一、课程基本信息</w:t>
      </w:r>
    </w:p>
    <w:tbl>
      <w:tblPr>
        <w:tblW w:w="83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9"/>
        <w:gridCol w:w="2580"/>
        <w:gridCol w:w="1443"/>
        <w:gridCol w:w="2740"/>
      </w:tblGrid>
      <w:tr w:rsidR="00BC4EF1" w14:paraId="13575C34" w14:textId="77777777" w:rsidTr="00BA2CFD">
        <w:trPr>
          <w:trHeight w:val="886"/>
          <w:jc w:val="center"/>
        </w:trPr>
        <w:tc>
          <w:tcPr>
            <w:tcW w:w="1539" w:type="dxa"/>
            <w:vAlign w:val="center"/>
          </w:tcPr>
          <w:p w14:paraId="60A09DCA"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课程名称</w:t>
            </w:r>
          </w:p>
        </w:tc>
        <w:tc>
          <w:tcPr>
            <w:tcW w:w="2580" w:type="dxa"/>
            <w:vAlign w:val="center"/>
          </w:tcPr>
          <w:p w14:paraId="0CD22DEB"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劳动教育</w:t>
            </w:r>
          </w:p>
        </w:tc>
        <w:tc>
          <w:tcPr>
            <w:tcW w:w="1443" w:type="dxa"/>
            <w:vAlign w:val="center"/>
          </w:tcPr>
          <w:p w14:paraId="76385A8C"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课程代码</w:t>
            </w:r>
          </w:p>
        </w:tc>
        <w:tc>
          <w:tcPr>
            <w:tcW w:w="2740" w:type="dxa"/>
            <w:vAlign w:val="center"/>
          </w:tcPr>
          <w:p w14:paraId="6AF6A651"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1610519</w:t>
            </w:r>
          </w:p>
        </w:tc>
      </w:tr>
      <w:tr w:rsidR="00BC4EF1" w14:paraId="37924771" w14:textId="77777777" w:rsidTr="00BA2CFD">
        <w:trPr>
          <w:trHeight w:val="829"/>
          <w:jc w:val="center"/>
        </w:trPr>
        <w:tc>
          <w:tcPr>
            <w:tcW w:w="1539" w:type="dxa"/>
            <w:vAlign w:val="center"/>
          </w:tcPr>
          <w:p w14:paraId="1978E43A"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课程类别</w:t>
            </w:r>
          </w:p>
        </w:tc>
        <w:tc>
          <w:tcPr>
            <w:tcW w:w="2580" w:type="dxa"/>
            <w:vAlign w:val="center"/>
          </w:tcPr>
          <w:p w14:paraId="4DD8346D"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通识教育必修课程</w:t>
            </w:r>
          </w:p>
        </w:tc>
        <w:tc>
          <w:tcPr>
            <w:tcW w:w="1443" w:type="dxa"/>
            <w:vAlign w:val="center"/>
          </w:tcPr>
          <w:p w14:paraId="7A600BA4"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学时</w:t>
            </w:r>
          </w:p>
          <w:p w14:paraId="51AB8ECF"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/学分</w:t>
            </w:r>
          </w:p>
        </w:tc>
        <w:tc>
          <w:tcPr>
            <w:tcW w:w="2740" w:type="dxa"/>
            <w:vAlign w:val="center"/>
          </w:tcPr>
          <w:p w14:paraId="3D927B55"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32学时/1.5学分</w:t>
            </w:r>
          </w:p>
        </w:tc>
      </w:tr>
      <w:tr w:rsidR="00BC4EF1" w14:paraId="5AAC1B7E" w14:textId="77777777" w:rsidTr="00BA2CFD">
        <w:trPr>
          <w:trHeight w:val="811"/>
          <w:jc w:val="center"/>
        </w:trPr>
        <w:tc>
          <w:tcPr>
            <w:tcW w:w="1539" w:type="dxa"/>
            <w:vAlign w:val="center"/>
          </w:tcPr>
          <w:p w14:paraId="01CB928C"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开课单位</w:t>
            </w:r>
          </w:p>
        </w:tc>
        <w:tc>
          <w:tcPr>
            <w:tcW w:w="2580" w:type="dxa"/>
            <w:vAlign w:val="center"/>
          </w:tcPr>
          <w:p w14:paraId="79C1A5D3"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马克思主义学院</w:t>
            </w:r>
          </w:p>
        </w:tc>
        <w:tc>
          <w:tcPr>
            <w:tcW w:w="1443" w:type="dxa"/>
            <w:vAlign w:val="center"/>
          </w:tcPr>
          <w:p w14:paraId="15038CDD"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适用专业</w:t>
            </w:r>
          </w:p>
        </w:tc>
        <w:tc>
          <w:tcPr>
            <w:tcW w:w="2740" w:type="dxa"/>
            <w:vAlign w:val="center"/>
          </w:tcPr>
          <w:p w14:paraId="443FB268"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全校各专业</w:t>
            </w:r>
          </w:p>
        </w:tc>
      </w:tr>
      <w:tr w:rsidR="00BC4EF1" w14:paraId="740EC8C6" w14:textId="77777777" w:rsidTr="00BA2CFD">
        <w:trPr>
          <w:trHeight w:val="811"/>
          <w:jc w:val="center"/>
        </w:trPr>
        <w:tc>
          <w:tcPr>
            <w:tcW w:w="1539" w:type="dxa"/>
            <w:vAlign w:val="center"/>
          </w:tcPr>
          <w:p w14:paraId="17A79734"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课程负责人</w:t>
            </w:r>
          </w:p>
        </w:tc>
        <w:tc>
          <w:tcPr>
            <w:tcW w:w="6763" w:type="dxa"/>
            <w:gridSpan w:val="3"/>
            <w:vAlign w:val="center"/>
          </w:tcPr>
          <w:p w14:paraId="136064FC"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张国飞</w:t>
            </w:r>
          </w:p>
        </w:tc>
      </w:tr>
      <w:tr w:rsidR="00BC4EF1" w14:paraId="2284E442" w14:textId="77777777" w:rsidTr="00BA2CFD">
        <w:trPr>
          <w:trHeight w:val="836"/>
          <w:jc w:val="center"/>
        </w:trPr>
        <w:tc>
          <w:tcPr>
            <w:tcW w:w="1539" w:type="dxa"/>
            <w:vAlign w:val="center"/>
          </w:tcPr>
          <w:p w14:paraId="76393ABA"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大纲撰写人</w:t>
            </w:r>
          </w:p>
        </w:tc>
        <w:tc>
          <w:tcPr>
            <w:tcW w:w="2580" w:type="dxa"/>
            <w:vAlign w:val="center"/>
          </w:tcPr>
          <w:p w14:paraId="0C8EF9DE"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张国飞</w:t>
            </w:r>
          </w:p>
        </w:tc>
        <w:tc>
          <w:tcPr>
            <w:tcW w:w="1443" w:type="dxa"/>
            <w:vAlign w:val="center"/>
          </w:tcPr>
          <w:p w14:paraId="64147CB5"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大纲审核人</w:t>
            </w:r>
          </w:p>
        </w:tc>
        <w:tc>
          <w:tcPr>
            <w:tcW w:w="2740" w:type="dxa"/>
            <w:vAlign w:val="center"/>
          </w:tcPr>
          <w:p w14:paraId="01011B67"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张子麟</w:t>
            </w:r>
          </w:p>
        </w:tc>
      </w:tr>
      <w:tr w:rsidR="00BC4EF1" w14:paraId="24F8145B" w14:textId="77777777" w:rsidTr="00BA2CFD">
        <w:trPr>
          <w:trHeight w:val="848"/>
          <w:jc w:val="center"/>
        </w:trPr>
        <w:tc>
          <w:tcPr>
            <w:tcW w:w="1539" w:type="dxa"/>
            <w:vAlign w:val="center"/>
          </w:tcPr>
          <w:p w14:paraId="5F358766"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先修课程</w:t>
            </w:r>
          </w:p>
        </w:tc>
        <w:tc>
          <w:tcPr>
            <w:tcW w:w="6763" w:type="dxa"/>
            <w:gridSpan w:val="3"/>
            <w:vAlign w:val="center"/>
          </w:tcPr>
          <w:p w14:paraId="23984E14"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无</w:t>
            </w:r>
          </w:p>
        </w:tc>
      </w:tr>
      <w:tr w:rsidR="00BC4EF1" w14:paraId="71A866BD" w14:textId="77777777" w:rsidTr="00BA2CFD">
        <w:trPr>
          <w:trHeight w:val="848"/>
          <w:jc w:val="center"/>
        </w:trPr>
        <w:tc>
          <w:tcPr>
            <w:tcW w:w="1539" w:type="dxa"/>
            <w:vAlign w:val="center"/>
          </w:tcPr>
          <w:p w14:paraId="5C31BEA6"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课程网址</w:t>
            </w:r>
          </w:p>
        </w:tc>
        <w:tc>
          <w:tcPr>
            <w:tcW w:w="6763" w:type="dxa"/>
            <w:gridSpan w:val="3"/>
            <w:vAlign w:val="center"/>
          </w:tcPr>
          <w:p w14:paraId="7B6BCD1A"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无</w:t>
            </w:r>
          </w:p>
        </w:tc>
      </w:tr>
    </w:tbl>
    <w:p w14:paraId="647A4A15"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二、课程学习目标及与毕业要求的对应关系</w:t>
      </w:r>
    </w:p>
    <w:p w14:paraId="4278F759"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（一）课程学习目标</w:t>
      </w:r>
    </w:p>
    <w:p w14:paraId="35B5E481"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通过本课程的学习，能够准确把握社会主义建设者和接班人的劳动精神面貌、劳动价值取向和劳动技能水平的培养要求，全面提高学生劳动素养，学生应达到以下目标：</w:t>
      </w:r>
    </w:p>
    <w:p w14:paraId="1E0BF42B"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w:t>
      </w:r>
      <w:r>
        <w:rPr>
          <w:rFonts w:ascii="宋体" w:eastAsia="宋体" w:hAnsi="宋体" w:cs="宋体"/>
          <w:sz w:val="24"/>
        </w:rPr>
        <w:t>.</w:t>
      </w:r>
      <w:r>
        <w:rPr>
          <w:rFonts w:ascii="宋体" w:eastAsia="宋体" w:hAnsi="宋体" w:cs="宋体" w:hint="eastAsia"/>
          <w:sz w:val="24"/>
        </w:rPr>
        <w:t>掌握通用劳动科学知识和劳动技能，具有必备的劳动能力。深刻理解马克思主义劳动观和社会主义劳动关系，通过对大学生生活劳动教育、生产劳动教育、服务性劳动教育等内容的学习，明晰劳动与人生、劳动与伦理、劳动与文化、劳动与经济、劳动与法律、劳动与社会、劳动与心理、劳动与劳动关系、劳动与管理、劳动与社会保障、劳动与未来学生发展乃至社会国家发展的关键作用；能够在具体劳动实践过程中，强化对马克思主义劳动观的培养，积累职业经验，培育创造性劳动能力和诚实守信的合法劳动意识，能够正确使用常见劳动工具等方法；</w:t>
      </w:r>
    </w:p>
    <w:p w14:paraId="4BA2DE27" w14:textId="77777777" w:rsidR="00BC4EF1" w:rsidRDefault="00BC4EF1" w:rsidP="00BC4EF1">
      <w:pPr>
        <w:spacing w:line="440" w:lineRule="exact"/>
        <w:rPr>
          <w:rFonts w:ascii="宋体" w:eastAsia="宋体" w:hAnsi="宋体" w:cs="宋体"/>
          <w:sz w:val="24"/>
          <w:szCs w:val="24"/>
        </w:rPr>
      </w:pPr>
      <w:r>
        <w:rPr>
          <w:rFonts w:ascii="宋体" w:eastAsia="宋体" w:hAnsi="宋体" w:cs="宋体" w:hint="eastAsia"/>
          <w:sz w:val="24"/>
        </w:rPr>
        <w:lastRenderedPageBreak/>
        <w:t>不断增强体力、智力和创造力，增强劳动育人能力，强化劳动理论思维、辩证思</w:t>
      </w:r>
      <w:r>
        <w:rPr>
          <w:rFonts w:ascii="宋体" w:eastAsia="宋体" w:hAnsi="宋体" w:cs="宋体" w:hint="eastAsia"/>
          <w:sz w:val="24"/>
          <w:szCs w:val="24"/>
        </w:rPr>
        <w:t>维和科学思维能力，初步掌握劳动育人反思方法和技能，学会分析和解决教育教学实际问题，促进职业长期发展。</w:t>
      </w:r>
    </w:p>
    <w:p w14:paraId="4231516A" w14:textId="77777777" w:rsidR="00BC4EF1" w:rsidRDefault="00BC4EF1" w:rsidP="00BC4EF1">
      <w:pPr>
        <w:tabs>
          <w:tab w:val="left" w:pos="312"/>
        </w:tabs>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w:t>
      </w:r>
      <w:r>
        <w:rPr>
          <w:rFonts w:ascii="宋体" w:eastAsia="宋体" w:hAnsi="宋体" w:cs="宋体"/>
          <w:sz w:val="24"/>
          <w:szCs w:val="24"/>
        </w:rPr>
        <w:t>.</w:t>
      </w:r>
      <w:r>
        <w:rPr>
          <w:rFonts w:ascii="宋体" w:eastAsia="宋体" w:hAnsi="宋体" w:cs="宋体" w:hint="eastAsia"/>
          <w:sz w:val="24"/>
          <w:szCs w:val="24"/>
        </w:rPr>
        <w:t>具备完成一定劳动任务所需要的设计、操作能力及团队沟通合作能力。掌握良好的日常生活劳动知识与技能，自觉做好宿舍卫生保洁，团结同学共同做好生活事务，积极参加勤工助学活动，提高劳动自立自强能力；强化服务性劳动，自觉在参与团体劳动的过程中，提升劳动公共服务水平，参与教室、食堂、校园场所的卫生保洁、绿化美化和管理服务等，结合</w:t>
      </w:r>
      <w:r>
        <w:rPr>
          <w:rFonts w:ascii="宋体" w:eastAsia="宋体" w:hAnsi="宋体" w:cs="宋体" w:hint="eastAsia"/>
          <w:sz w:val="24"/>
          <w:szCs w:val="24"/>
          <w:lang w:val="zh-CN"/>
        </w:rPr>
        <w:t>“三</w:t>
      </w:r>
      <w:r>
        <w:rPr>
          <w:rFonts w:ascii="宋体" w:eastAsia="宋体" w:hAnsi="宋体" w:cs="宋体" w:hint="eastAsia"/>
          <w:sz w:val="24"/>
          <w:szCs w:val="24"/>
        </w:rPr>
        <w:t>支一扶”、大学生志愿服务西部计划、</w:t>
      </w:r>
      <w:r>
        <w:rPr>
          <w:rFonts w:ascii="宋体" w:eastAsia="宋体" w:hAnsi="宋体" w:cs="宋体" w:hint="eastAsia"/>
          <w:sz w:val="24"/>
          <w:szCs w:val="24"/>
          <w:lang w:val="zh-CN"/>
        </w:rPr>
        <w:t>“青年</w:t>
      </w:r>
      <w:r>
        <w:rPr>
          <w:rFonts w:ascii="宋体" w:eastAsia="宋体" w:hAnsi="宋体" w:cs="宋体" w:hint="eastAsia"/>
          <w:sz w:val="24"/>
          <w:szCs w:val="24"/>
        </w:rPr>
        <w:t>红色筑梦之旅”、</w:t>
      </w:r>
      <w:r>
        <w:rPr>
          <w:rFonts w:ascii="宋体" w:eastAsia="宋体" w:hAnsi="宋体" w:cs="宋体" w:hint="eastAsia"/>
          <w:sz w:val="24"/>
          <w:szCs w:val="24"/>
          <w:lang w:val="zh-CN"/>
        </w:rPr>
        <w:t>“三</w:t>
      </w:r>
      <w:r>
        <w:rPr>
          <w:rFonts w:ascii="宋体" w:eastAsia="宋体" w:hAnsi="宋体" w:cs="宋体" w:hint="eastAsia"/>
          <w:sz w:val="24"/>
          <w:szCs w:val="24"/>
        </w:rPr>
        <w:t>下乡”等社会实践活动开展服务性劳动，从而进一步强化公共服务意识和团队劳动合作精神。</w:t>
      </w:r>
    </w:p>
    <w:p w14:paraId="790D21C7" w14:textId="77777777" w:rsidR="00BC4EF1" w:rsidRDefault="00BC4EF1" w:rsidP="00BC4EF1">
      <w:pPr>
        <w:spacing w:line="440" w:lineRule="exact"/>
        <w:ind w:firstLineChars="200" w:firstLine="480"/>
        <w:rPr>
          <w:rFonts w:ascii="黑体" w:eastAsia="黑体" w:hAnsi="黑体" w:cs="Times New Roman"/>
          <w:sz w:val="24"/>
          <w:szCs w:val="24"/>
        </w:rPr>
      </w:pPr>
      <w:r>
        <w:rPr>
          <w:rFonts w:ascii="宋体" w:eastAsia="宋体" w:hAnsi="宋体" w:cs="宋体"/>
          <w:sz w:val="24"/>
          <w:szCs w:val="24"/>
        </w:rPr>
        <w:t>3.</w:t>
      </w:r>
      <w:r>
        <w:rPr>
          <w:rFonts w:ascii="宋体" w:eastAsia="宋体" w:hAnsi="宋体" w:cs="宋体" w:hint="eastAsia"/>
          <w:sz w:val="24"/>
          <w:szCs w:val="24"/>
        </w:rPr>
        <w:t>树立正确的劳动观念。正确理解劳动是人类发展和社会进步的根本力量，认识劳动创造人、劳动创造价值、创造财富、创造美好生活的道理，尊重劳动，尊重普通劳动者，牢固树立劳动最光荣、劳动最崇高、劳动最伟大、劳动最美丽的思想观念；培育积极的劳动精神。领会“幸福是奋斗出来的”内涵与意义，继承中华民族勤俭节约、敬业奉献的优良传统，从而树立正确的择业就业创业观，培养学生到教师岗位进行长期劳动奉献的吃苦耐劳精神，弘扬开拓创新、砥砺奋进的时代精神；养成良好的劳动习惯和品质。能够自觉自愿、认真负责、安全规范、坚持不懈地参与劳动，形成诚实守信、吃苦耐劳的品质。珍惜劳动成果，养成良好的消费习惯，杜绝浪费等。</w:t>
      </w:r>
    </w:p>
    <w:p w14:paraId="07D5BA12"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（二）课程学习目标与毕业要求的对应关系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4"/>
        <w:gridCol w:w="1687"/>
        <w:gridCol w:w="5738"/>
      </w:tblGrid>
      <w:tr w:rsidR="00BC4EF1" w14:paraId="3F5A8320" w14:textId="77777777" w:rsidTr="00BA2CFD">
        <w:trPr>
          <w:trHeight w:val="815"/>
          <w:jc w:val="center"/>
        </w:trPr>
        <w:tc>
          <w:tcPr>
            <w:tcW w:w="1744" w:type="dxa"/>
            <w:vAlign w:val="center"/>
          </w:tcPr>
          <w:p w14:paraId="2D4FF1DF" w14:textId="77777777" w:rsidR="00BC4EF1" w:rsidRDefault="00BC4EF1" w:rsidP="00BA2CFD">
            <w:pPr>
              <w:spacing w:line="440" w:lineRule="exact"/>
              <w:jc w:val="center"/>
              <w:rPr>
                <w:rFonts w:ascii="宋体" w:hAnsi="宋体"/>
                <w:b/>
                <w:sz w:val="24"/>
              </w:rPr>
            </w:pPr>
            <w:r>
              <w:rPr>
                <w:rFonts w:ascii="宋体" w:eastAsia="宋体" w:hAnsi="宋体" w:cs="宋体" w:hint="eastAsia"/>
                <w:b/>
                <w:bCs/>
                <w:color w:val="000000" w:themeColor="text1"/>
                <w:kern w:val="0"/>
                <w:sz w:val="24"/>
                <w:szCs w:val="24"/>
              </w:rPr>
              <w:t>课程目标</w:t>
            </w:r>
          </w:p>
        </w:tc>
        <w:tc>
          <w:tcPr>
            <w:tcW w:w="1687" w:type="dxa"/>
            <w:vAlign w:val="center"/>
          </w:tcPr>
          <w:p w14:paraId="6EFECDBA" w14:textId="77777777" w:rsidR="00BC4EF1" w:rsidRDefault="00BC4EF1"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支撑的毕业要求</w:t>
            </w:r>
          </w:p>
        </w:tc>
        <w:tc>
          <w:tcPr>
            <w:tcW w:w="5738" w:type="dxa"/>
            <w:vAlign w:val="center"/>
          </w:tcPr>
          <w:p w14:paraId="402750FB" w14:textId="77777777" w:rsidR="00BC4EF1" w:rsidRDefault="00BC4EF1"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毕业要求内涵</w:t>
            </w:r>
          </w:p>
        </w:tc>
      </w:tr>
      <w:tr w:rsidR="00BC4EF1" w14:paraId="16A1C66D" w14:textId="77777777" w:rsidTr="00BA2CFD">
        <w:trPr>
          <w:jc w:val="center"/>
        </w:trPr>
        <w:tc>
          <w:tcPr>
            <w:tcW w:w="1744" w:type="dxa"/>
            <w:vAlign w:val="center"/>
          </w:tcPr>
          <w:p w14:paraId="0E654994" w14:textId="77777777" w:rsidR="00BC4EF1" w:rsidRDefault="00BC4EF1" w:rsidP="00BA2CFD">
            <w:pPr>
              <w:spacing w:line="440" w:lineRule="exact"/>
              <w:ind w:firstLineChars="100" w:firstLine="240"/>
              <w:rPr>
                <w:rFonts w:ascii="宋体" w:eastAsia="宋体" w:hAnsi="宋体" w:cs="宋体"/>
                <w:sz w:val="24"/>
                <w:szCs w:val="24"/>
              </w:rPr>
            </w:pPr>
            <w:r>
              <w:rPr>
                <w:rFonts w:ascii="宋体" w:eastAsia="宋体" w:hAnsi="宋体" w:cs="宋体" w:hint="eastAsia"/>
                <w:sz w:val="24"/>
                <w:szCs w:val="24"/>
              </w:rPr>
              <w:t>课程目标1</w:t>
            </w:r>
          </w:p>
          <w:p w14:paraId="5EC47C45" w14:textId="77777777" w:rsidR="00BC4EF1" w:rsidRDefault="00BC4EF1" w:rsidP="00BA2CFD">
            <w:pPr>
              <w:spacing w:line="440" w:lineRule="exact"/>
              <w:ind w:firstLineChars="100" w:firstLine="240"/>
              <w:rPr>
                <w:rFonts w:ascii="宋体" w:eastAsia="宋体" w:hAnsi="宋体" w:cs="宋体"/>
                <w:sz w:val="24"/>
                <w:szCs w:val="24"/>
              </w:rPr>
            </w:pPr>
            <w:r>
              <w:rPr>
                <w:rFonts w:ascii="宋体" w:eastAsia="宋体" w:hAnsi="宋体" w:cs="宋体" w:hint="eastAsia"/>
                <w:sz w:val="24"/>
                <w:szCs w:val="24"/>
              </w:rPr>
              <w:t>课程目标3</w:t>
            </w:r>
          </w:p>
        </w:tc>
        <w:tc>
          <w:tcPr>
            <w:tcW w:w="1687" w:type="dxa"/>
            <w:vAlign w:val="center"/>
          </w:tcPr>
          <w:p w14:paraId="32E0442D" w14:textId="77777777" w:rsidR="00BC4EF1" w:rsidRDefault="00BC4EF1" w:rsidP="00BA2CFD">
            <w:pPr>
              <w:spacing w:line="440" w:lineRule="exact"/>
              <w:ind w:left="480" w:hangingChars="200" w:hanging="480"/>
              <w:rPr>
                <w:rFonts w:ascii="宋体" w:eastAsia="宋体" w:hAnsi="宋体" w:cs="宋体"/>
                <w:sz w:val="24"/>
                <w:szCs w:val="24"/>
              </w:rPr>
            </w:pPr>
            <w:r>
              <w:rPr>
                <w:rFonts w:ascii="宋体" w:eastAsia="宋体" w:hAnsi="宋体" w:cs="宋体" w:hint="eastAsia"/>
                <w:sz w:val="24"/>
                <w:szCs w:val="24"/>
              </w:rPr>
              <w:t>6.综合育人（H）</w:t>
            </w:r>
          </w:p>
        </w:tc>
        <w:tc>
          <w:tcPr>
            <w:tcW w:w="5738" w:type="dxa"/>
            <w:vAlign w:val="center"/>
          </w:tcPr>
          <w:p w14:paraId="60A43568" w14:textId="77777777" w:rsidR="00BC4EF1" w:rsidRDefault="00BC4EF1" w:rsidP="00BA2CFD">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rsidR="00BC4EF1" w14:paraId="7C9A49E1" w14:textId="77777777" w:rsidTr="00BA2CFD">
        <w:trPr>
          <w:trHeight w:val="856"/>
          <w:jc w:val="center"/>
        </w:trPr>
        <w:tc>
          <w:tcPr>
            <w:tcW w:w="1744" w:type="dxa"/>
            <w:vAlign w:val="center"/>
          </w:tcPr>
          <w:p w14:paraId="57460FCC" w14:textId="77777777" w:rsidR="00BC4EF1" w:rsidRDefault="00BC4EF1" w:rsidP="00BA2CFD">
            <w:pPr>
              <w:spacing w:line="440" w:lineRule="exact"/>
              <w:ind w:firstLineChars="100" w:firstLine="240"/>
              <w:rPr>
                <w:rFonts w:ascii="宋体" w:eastAsia="宋体" w:hAnsi="宋体" w:cs="宋体"/>
                <w:sz w:val="24"/>
                <w:szCs w:val="24"/>
              </w:rPr>
            </w:pPr>
            <w:r>
              <w:rPr>
                <w:rFonts w:ascii="宋体" w:eastAsia="宋体" w:hAnsi="宋体" w:cs="宋体" w:hint="eastAsia"/>
                <w:sz w:val="24"/>
                <w:szCs w:val="24"/>
              </w:rPr>
              <w:t>课程目标2</w:t>
            </w:r>
          </w:p>
        </w:tc>
        <w:tc>
          <w:tcPr>
            <w:tcW w:w="1687" w:type="dxa"/>
            <w:vAlign w:val="center"/>
          </w:tcPr>
          <w:p w14:paraId="35D8FAE6" w14:textId="77777777" w:rsidR="00BC4EF1" w:rsidRDefault="00BC4EF1" w:rsidP="00BA2CFD">
            <w:pPr>
              <w:spacing w:line="440" w:lineRule="exact"/>
              <w:ind w:left="480" w:hangingChars="200" w:hanging="480"/>
              <w:rPr>
                <w:rFonts w:ascii="宋体" w:eastAsia="宋体" w:hAnsi="宋体" w:cs="宋体"/>
                <w:sz w:val="24"/>
                <w:szCs w:val="24"/>
              </w:rPr>
            </w:pPr>
            <w:r>
              <w:rPr>
                <w:rFonts w:ascii="宋体" w:eastAsia="宋体" w:hAnsi="宋体" w:cs="宋体" w:hint="eastAsia"/>
                <w:sz w:val="24"/>
                <w:szCs w:val="24"/>
              </w:rPr>
              <w:t>8.沟通合作（M）</w:t>
            </w:r>
          </w:p>
        </w:tc>
        <w:tc>
          <w:tcPr>
            <w:tcW w:w="5738" w:type="dxa"/>
            <w:vAlign w:val="center"/>
          </w:tcPr>
          <w:p w14:paraId="601E11B6" w14:textId="77777777" w:rsidR="00BC4EF1" w:rsidRDefault="00BC4EF1" w:rsidP="00BA2CFD">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理解学习共同体的作用，具有团队协作精神，掌握沟通合作技能，具有小组互助和合作学习体验。</w:t>
            </w:r>
          </w:p>
        </w:tc>
      </w:tr>
    </w:tbl>
    <w:p w14:paraId="461149FA"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（三）课程学习目标与毕业要求的对应关系</w:t>
      </w:r>
    </w:p>
    <w:tbl>
      <w:tblPr>
        <w:tblW w:w="90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8"/>
        <w:gridCol w:w="1641"/>
        <w:gridCol w:w="5640"/>
      </w:tblGrid>
      <w:tr w:rsidR="00BC4EF1" w14:paraId="772AB8DB" w14:textId="77777777" w:rsidTr="00BA2CFD">
        <w:trPr>
          <w:trHeight w:val="815"/>
          <w:jc w:val="center"/>
        </w:trPr>
        <w:tc>
          <w:tcPr>
            <w:tcW w:w="1748" w:type="dxa"/>
            <w:vAlign w:val="center"/>
          </w:tcPr>
          <w:p w14:paraId="204FE4CC" w14:textId="77777777" w:rsidR="00BC4EF1" w:rsidRDefault="00BC4EF1"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lastRenderedPageBreak/>
              <w:t>课程目标</w:t>
            </w:r>
          </w:p>
        </w:tc>
        <w:tc>
          <w:tcPr>
            <w:tcW w:w="1641" w:type="dxa"/>
            <w:vAlign w:val="center"/>
          </w:tcPr>
          <w:p w14:paraId="34092BF2" w14:textId="77777777" w:rsidR="00BC4EF1" w:rsidRDefault="00BC4EF1"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支撑的毕业要求</w:t>
            </w:r>
          </w:p>
        </w:tc>
        <w:tc>
          <w:tcPr>
            <w:tcW w:w="5640" w:type="dxa"/>
            <w:vAlign w:val="center"/>
          </w:tcPr>
          <w:p w14:paraId="5EE7A17A" w14:textId="77777777" w:rsidR="00BC4EF1" w:rsidRDefault="00BC4EF1"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毕业要求内涵</w:t>
            </w:r>
          </w:p>
        </w:tc>
      </w:tr>
      <w:tr w:rsidR="00BC4EF1" w14:paraId="3190B7A1" w14:textId="77777777" w:rsidTr="00BA2CFD">
        <w:trPr>
          <w:jc w:val="center"/>
        </w:trPr>
        <w:tc>
          <w:tcPr>
            <w:tcW w:w="1748" w:type="dxa"/>
            <w:vAlign w:val="center"/>
          </w:tcPr>
          <w:p w14:paraId="3D02AD35" w14:textId="77777777" w:rsidR="00BC4EF1" w:rsidRDefault="00BC4EF1" w:rsidP="00BA2CFD">
            <w:pPr>
              <w:spacing w:line="440" w:lineRule="exact"/>
              <w:jc w:val="center"/>
              <w:rPr>
                <w:rFonts w:ascii="宋体" w:eastAsia="宋体" w:hAnsi="宋体" w:cs="宋体"/>
                <w:color w:val="FF0000"/>
                <w:sz w:val="24"/>
              </w:rPr>
            </w:pPr>
            <w:r>
              <w:rPr>
                <w:rFonts w:ascii="宋体" w:eastAsia="宋体" w:hAnsi="宋体" w:cs="宋体" w:hint="eastAsia"/>
                <w:sz w:val="24"/>
              </w:rPr>
              <w:t>课程目标1</w:t>
            </w:r>
          </w:p>
        </w:tc>
        <w:tc>
          <w:tcPr>
            <w:tcW w:w="1641" w:type="dxa"/>
            <w:vAlign w:val="center"/>
          </w:tcPr>
          <w:p w14:paraId="2ABBA9A4" w14:textId="77777777" w:rsidR="00BC4EF1" w:rsidRDefault="00BC4EF1" w:rsidP="00BA2CFD">
            <w:pPr>
              <w:spacing w:line="440" w:lineRule="exact"/>
              <w:jc w:val="center"/>
              <w:rPr>
                <w:rFonts w:ascii="宋体" w:eastAsia="宋体" w:hAnsi="宋体" w:cs="宋体"/>
                <w:color w:val="FF0000"/>
                <w:sz w:val="24"/>
              </w:rPr>
            </w:pPr>
            <w:r>
              <w:rPr>
                <w:rFonts w:ascii="宋体" w:eastAsia="宋体" w:hAnsi="宋体" w:cs="宋体" w:hint="eastAsia"/>
                <w:sz w:val="24"/>
              </w:rPr>
              <w:t>5.使用现代工具</w:t>
            </w:r>
            <w:r>
              <w:rPr>
                <w:rFonts w:ascii="宋体" w:eastAsia="宋体" w:hAnsi="宋体" w:cs="宋体" w:hint="eastAsia"/>
                <w:kern w:val="0"/>
                <w:sz w:val="24"/>
                <w:szCs w:val="24"/>
              </w:rPr>
              <w:t>（M）</w:t>
            </w:r>
          </w:p>
        </w:tc>
        <w:tc>
          <w:tcPr>
            <w:tcW w:w="5640" w:type="dxa"/>
            <w:vAlign w:val="center"/>
          </w:tcPr>
          <w:p w14:paraId="7C67B4D1" w14:textId="77777777" w:rsidR="00BC4EF1" w:rsidRDefault="00BC4EF1" w:rsidP="00BA2CFD">
            <w:pPr>
              <w:adjustRightInd w:val="0"/>
              <w:snapToGrid w:val="0"/>
              <w:ind w:firstLineChars="200" w:firstLine="480"/>
              <w:jc w:val="left"/>
              <w:rPr>
                <w:rFonts w:ascii="宋体" w:eastAsia="宋体" w:hAnsi="宋体" w:cs="宋体"/>
                <w:kern w:val="0"/>
                <w:sz w:val="24"/>
                <w:szCs w:val="24"/>
              </w:rPr>
            </w:pPr>
            <w:r>
              <w:rPr>
                <w:rFonts w:ascii="宋体" w:eastAsia="宋体" w:hAnsi="宋体" w:cs="宋体" w:hint="eastAsia"/>
                <w:kern w:val="0"/>
                <w:sz w:val="24"/>
                <w:szCs w:val="24"/>
              </w:rPr>
              <w:t>使用现代工具：能够针对复杂工程问题，开发、选择与使用恰当的技术、资源、现代工程工具和信息技术工具，包括对复杂工程问题的预测与模拟，并能够理解其局限性。</w:t>
            </w:r>
          </w:p>
        </w:tc>
      </w:tr>
      <w:tr w:rsidR="00BC4EF1" w14:paraId="453D6A39" w14:textId="77777777" w:rsidTr="00BA2CFD">
        <w:trPr>
          <w:trHeight w:val="856"/>
          <w:jc w:val="center"/>
        </w:trPr>
        <w:tc>
          <w:tcPr>
            <w:tcW w:w="1748" w:type="dxa"/>
            <w:vAlign w:val="center"/>
          </w:tcPr>
          <w:p w14:paraId="17E15F27" w14:textId="77777777" w:rsidR="00BC4EF1" w:rsidRDefault="00BC4EF1" w:rsidP="00BA2CFD">
            <w:pPr>
              <w:spacing w:line="440" w:lineRule="exact"/>
              <w:jc w:val="center"/>
              <w:rPr>
                <w:rFonts w:ascii="宋体" w:eastAsia="宋体" w:hAnsi="宋体" w:cs="宋体"/>
                <w:color w:val="FF0000"/>
                <w:sz w:val="24"/>
              </w:rPr>
            </w:pPr>
            <w:r>
              <w:rPr>
                <w:rFonts w:ascii="宋体" w:eastAsia="宋体" w:hAnsi="宋体" w:cs="宋体" w:hint="eastAsia"/>
                <w:sz w:val="24"/>
              </w:rPr>
              <w:t>课程目标2</w:t>
            </w:r>
          </w:p>
        </w:tc>
        <w:tc>
          <w:tcPr>
            <w:tcW w:w="1641" w:type="dxa"/>
            <w:vAlign w:val="center"/>
          </w:tcPr>
          <w:p w14:paraId="3C0C0F78" w14:textId="77777777" w:rsidR="00BC4EF1" w:rsidRDefault="00BC4EF1" w:rsidP="00BA2CFD">
            <w:pPr>
              <w:spacing w:line="440" w:lineRule="exact"/>
              <w:jc w:val="center"/>
              <w:rPr>
                <w:rFonts w:ascii="宋体" w:eastAsia="宋体" w:hAnsi="宋体" w:cs="宋体"/>
                <w:color w:val="FF0000"/>
                <w:sz w:val="24"/>
              </w:rPr>
            </w:pPr>
            <w:r>
              <w:rPr>
                <w:rFonts w:ascii="宋体" w:eastAsia="宋体" w:hAnsi="宋体" w:cs="宋体" w:hint="eastAsia"/>
                <w:sz w:val="24"/>
              </w:rPr>
              <w:t>9.个人和团队</w:t>
            </w:r>
            <w:r>
              <w:rPr>
                <w:rFonts w:ascii="宋体" w:eastAsia="宋体" w:hAnsi="宋体" w:cs="宋体" w:hint="eastAsia"/>
                <w:kern w:val="0"/>
                <w:sz w:val="24"/>
                <w:szCs w:val="24"/>
              </w:rPr>
              <w:t>（M）</w:t>
            </w:r>
          </w:p>
        </w:tc>
        <w:tc>
          <w:tcPr>
            <w:tcW w:w="5640" w:type="dxa"/>
            <w:vAlign w:val="center"/>
          </w:tcPr>
          <w:p w14:paraId="35BA4031" w14:textId="77777777" w:rsidR="00BC4EF1" w:rsidRDefault="00BC4EF1" w:rsidP="00BA2CFD">
            <w:pPr>
              <w:adjustRightInd w:val="0"/>
              <w:snapToGrid w:val="0"/>
              <w:ind w:firstLineChars="200" w:firstLine="480"/>
              <w:jc w:val="left"/>
              <w:rPr>
                <w:rFonts w:ascii="宋体" w:eastAsia="宋体" w:hAnsi="宋体" w:cs="宋体"/>
                <w:kern w:val="0"/>
                <w:sz w:val="24"/>
                <w:szCs w:val="24"/>
              </w:rPr>
            </w:pPr>
            <w:r>
              <w:rPr>
                <w:rFonts w:ascii="宋体" w:eastAsia="宋体" w:hAnsi="宋体" w:cs="宋体" w:hint="eastAsia"/>
                <w:kern w:val="0"/>
                <w:sz w:val="24"/>
                <w:szCs w:val="24"/>
              </w:rPr>
              <w:t>能够在多学科背景下的团队中承担个体、团队成员以及负责人的角色。</w:t>
            </w:r>
          </w:p>
        </w:tc>
      </w:tr>
      <w:tr w:rsidR="00BC4EF1" w14:paraId="3683C80F" w14:textId="77777777" w:rsidTr="00BA2CFD">
        <w:trPr>
          <w:trHeight w:val="856"/>
          <w:jc w:val="center"/>
        </w:trPr>
        <w:tc>
          <w:tcPr>
            <w:tcW w:w="1748" w:type="dxa"/>
            <w:vAlign w:val="center"/>
          </w:tcPr>
          <w:p w14:paraId="6020DF0D" w14:textId="77777777" w:rsidR="00BC4EF1" w:rsidRDefault="00BC4EF1" w:rsidP="00BA2CFD">
            <w:pPr>
              <w:spacing w:line="440" w:lineRule="exact"/>
              <w:jc w:val="center"/>
              <w:rPr>
                <w:rFonts w:ascii="宋体" w:eastAsia="宋体" w:hAnsi="宋体" w:cs="宋体"/>
                <w:sz w:val="24"/>
              </w:rPr>
            </w:pPr>
            <w:r>
              <w:rPr>
                <w:rFonts w:ascii="宋体" w:eastAsia="宋体" w:hAnsi="宋体" w:cs="宋体" w:hint="eastAsia"/>
                <w:sz w:val="24"/>
              </w:rPr>
              <w:t>课程目标3</w:t>
            </w:r>
          </w:p>
        </w:tc>
        <w:tc>
          <w:tcPr>
            <w:tcW w:w="1641" w:type="dxa"/>
            <w:vAlign w:val="center"/>
          </w:tcPr>
          <w:p w14:paraId="6819E776" w14:textId="77777777" w:rsidR="00BC4EF1" w:rsidRDefault="00BC4EF1" w:rsidP="00BA2CFD">
            <w:pPr>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8.职业规范（H）</w:t>
            </w:r>
          </w:p>
        </w:tc>
        <w:tc>
          <w:tcPr>
            <w:tcW w:w="5640" w:type="dxa"/>
            <w:vAlign w:val="center"/>
          </w:tcPr>
          <w:p w14:paraId="44D18FBB" w14:textId="77777777" w:rsidR="00BC4EF1" w:rsidRDefault="00BC4EF1" w:rsidP="00BA2CFD">
            <w:pPr>
              <w:adjustRightInd w:val="0"/>
              <w:snapToGrid w:val="0"/>
              <w:ind w:firstLineChars="200" w:firstLine="480"/>
              <w:jc w:val="left"/>
              <w:rPr>
                <w:rFonts w:ascii="宋体" w:eastAsia="宋体" w:hAnsi="宋体" w:cs="宋体"/>
                <w:kern w:val="0"/>
                <w:sz w:val="24"/>
                <w:szCs w:val="24"/>
              </w:rPr>
            </w:pPr>
            <w:r>
              <w:rPr>
                <w:rFonts w:ascii="宋体" w:eastAsia="宋体" w:hAnsi="宋体" w:cs="宋体" w:hint="eastAsia"/>
                <w:kern w:val="0"/>
                <w:sz w:val="24"/>
                <w:szCs w:val="24"/>
              </w:rPr>
              <w:t>具有人文社会科学素养、社会 责任感，能够在工程实践中理解并遵守工程职业道德和规范，履行责任。</w:t>
            </w:r>
          </w:p>
        </w:tc>
      </w:tr>
    </w:tbl>
    <w:p w14:paraId="789EBA18"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三、课程学习内容及与课程学习目标的对应关系</w:t>
      </w:r>
    </w:p>
    <w:p w14:paraId="7C5611F7"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（一）课程学习内容</w:t>
      </w:r>
    </w:p>
    <w:p w14:paraId="0CFC3CA0" w14:textId="77777777" w:rsidR="00BC4EF1" w:rsidRDefault="00BC4EF1" w:rsidP="00BC4EF1">
      <w:pPr>
        <w:spacing w:beforeLines="50" w:before="156" w:afterLines="50" w:after="156" w:line="440" w:lineRule="exact"/>
        <w:jc w:val="center"/>
        <w:rPr>
          <w:rFonts w:ascii="黑体" w:eastAsia="黑体" w:hAnsi="黑体" w:cs="Times New Roman"/>
          <w:sz w:val="28"/>
          <w:szCs w:val="28"/>
        </w:rPr>
      </w:pPr>
      <w:r>
        <w:rPr>
          <w:rFonts w:ascii="黑体" w:eastAsia="黑体" w:hAnsi="黑体" w:cs="Times New Roman" w:hint="eastAsia"/>
          <w:sz w:val="28"/>
          <w:szCs w:val="28"/>
        </w:rPr>
        <w:t>绪论　劳动创造美好生活</w:t>
      </w:r>
    </w:p>
    <w:p w14:paraId="43AE7E65" w14:textId="77777777" w:rsidR="00BC4EF1" w:rsidRDefault="00BC4EF1" w:rsidP="00BC4EF1">
      <w:pPr>
        <w:spacing w:line="440" w:lineRule="exact"/>
        <w:ind w:firstLineChars="200" w:firstLine="482"/>
        <w:rPr>
          <w:rFonts w:ascii="宋体" w:eastAsia="宋体" w:hAnsi="宋体" w:cs="宋体"/>
          <w:b/>
          <w:sz w:val="24"/>
          <w:szCs w:val="24"/>
        </w:rPr>
      </w:pPr>
      <w:r>
        <w:rPr>
          <w:rFonts w:ascii="宋体" w:eastAsia="宋体" w:hAnsi="宋体" w:cs="宋体" w:hint="eastAsia"/>
          <w:b/>
          <w:sz w:val="24"/>
          <w:szCs w:val="24"/>
        </w:rPr>
        <w:t>【学习目标】</w:t>
      </w:r>
    </w:p>
    <w:p w14:paraId="1833D258" w14:textId="77777777" w:rsidR="00BC4EF1" w:rsidRDefault="00BC4EF1" w:rsidP="00BC4EF1">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1.认知类目标：理解劳动创造美好生活，体悟幸福都是奋斗出来的，知晓劳动不分贵贱；</w:t>
      </w:r>
    </w:p>
    <w:p w14:paraId="171931CB" w14:textId="77777777" w:rsidR="00BC4EF1" w:rsidRDefault="00BC4EF1" w:rsidP="00BC4EF1">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2.过程与方法类目标：能够在对绪论的学习中，探寻劳动创造美好生活的过程，能够主动搜集和学习劳动相关的榜样事例，将劳动知识转化为劳动技能；</w:t>
      </w:r>
    </w:p>
    <w:p w14:paraId="3C97F896" w14:textId="77777777" w:rsidR="00BC4EF1" w:rsidRDefault="00BC4EF1" w:rsidP="00BC4EF1">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3.情感、态度、价值观类目标：引导学生正确认识劳动的价值，把“热爱劳动”从口号转化为内心情感的认同，尊重劳动者，树立正确的劳动观念。</w:t>
      </w:r>
    </w:p>
    <w:p w14:paraId="2D28630B" w14:textId="77777777" w:rsidR="00BC4EF1" w:rsidRDefault="00BC4EF1" w:rsidP="00BC4EF1">
      <w:pPr>
        <w:spacing w:line="440" w:lineRule="exact"/>
        <w:ind w:firstLineChars="200" w:firstLine="482"/>
        <w:rPr>
          <w:rFonts w:ascii="宋体" w:eastAsia="宋体" w:hAnsi="宋体" w:cs="宋体"/>
          <w:b/>
          <w:sz w:val="24"/>
          <w:szCs w:val="24"/>
        </w:rPr>
      </w:pPr>
      <w:r>
        <w:rPr>
          <w:rFonts w:ascii="宋体" w:eastAsia="宋体" w:hAnsi="宋体" w:cs="宋体" w:hint="eastAsia"/>
          <w:b/>
          <w:sz w:val="24"/>
          <w:szCs w:val="24"/>
        </w:rPr>
        <w:t>【学习内容】</w:t>
      </w:r>
    </w:p>
    <w:p w14:paraId="016C5A97" w14:textId="77777777" w:rsidR="00BC4EF1" w:rsidRDefault="00BC4EF1" w:rsidP="00BC4EF1">
      <w:pPr>
        <w:tabs>
          <w:tab w:val="left" w:pos="312"/>
        </w:tabs>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w:t>
      </w:r>
      <w:r>
        <w:rPr>
          <w:rFonts w:ascii="宋体" w:eastAsia="宋体" w:hAnsi="宋体" w:cs="宋体"/>
          <w:sz w:val="24"/>
          <w:szCs w:val="24"/>
        </w:rPr>
        <w:t>.</w:t>
      </w:r>
      <w:r>
        <w:rPr>
          <w:rFonts w:ascii="宋体" w:eastAsia="宋体" w:hAnsi="宋体" w:cs="宋体" w:hint="eastAsia"/>
          <w:sz w:val="24"/>
          <w:szCs w:val="24"/>
        </w:rPr>
        <w:t>劳动创造了人本身；</w:t>
      </w:r>
    </w:p>
    <w:p w14:paraId="34DC122C" w14:textId="77777777" w:rsidR="00BC4EF1" w:rsidRDefault="00BC4EF1" w:rsidP="00BC4EF1">
      <w:pPr>
        <w:tabs>
          <w:tab w:val="left" w:pos="312"/>
        </w:tabs>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w:t>
      </w:r>
      <w:r>
        <w:rPr>
          <w:rFonts w:ascii="宋体" w:eastAsia="宋体" w:hAnsi="宋体" w:cs="宋体"/>
          <w:sz w:val="24"/>
          <w:szCs w:val="24"/>
        </w:rPr>
        <w:t>.</w:t>
      </w:r>
      <w:r>
        <w:rPr>
          <w:rFonts w:ascii="宋体" w:eastAsia="宋体" w:hAnsi="宋体" w:cs="宋体" w:hint="eastAsia"/>
          <w:sz w:val="24"/>
          <w:szCs w:val="24"/>
        </w:rPr>
        <w:t>劳动让生活更美好。</w:t>
      </w:r>
    </w:p>
    <w:p w14:paraId="79B1E81D" w14:textId="77777777" w:rsidR="00BC4EF1" w:rsidRDefault="00BC4EF1" w:rsidP="00BC4EF1">
      <w:pPr>
        <w:spacing w:line="440" w:lineRule="exact"/>
        <w:ind w:firstLineChars="200" w:firstLine="482"/>
        <w:rPr>
          <w:rFonts w:ascii="宋体" w:eastAsia="宋体" w:hAnsi="宋体" w:cs="宋体"/>
          <w:b/>
          <w:sz w:val="24"/>
          <w:szCs w:val="24"/>
        </w:rPr>
      </w:pPr>
      <w:r>
        <w:rPr>
          <w:rFonts w:ascii="宋体" w:eastAsia="宋体" w:hAnsi="宋体" w:cs="宋体" w:hint="eastAsia"/>
          <w:b/>
          <w:sz w:val="24"/>
          <w:szCs w:val="24"/>
        </w:rPr>
        <w:t>【重点】</w:t>
      </w:r>
    </w:p>
    <w:p w14:paraId="3922ACD7" w14:textId="77777777" w:rsidR="00BC4EF1" w:rsidRDefault="00BC4EF1" w:rsidP="00BC4EF1">
      <w:pPr>
        <w:tabs>
          <w:tab w:val="left" w:pos="312"/>
        </w:tabs>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w:t>
      </w:r>
      <w:r>
        <w:rPr>
          <w:rFonts w:ascii="宋体" w:eastAsia="宋体" w:hAnsi="宋体" w:cs="宋体"/>
          <w:sz w:val="24"/>
          <w:szCs w:val="24"/>
        </w:rPr>
        <w:t>.</w:t>
      </w:r>
      <w:r>
        <w:rPr>
          <w:rFonts w:ascii="宋体" w:eastAsia="宋体" w:hAnsi="宋体" w:cs="宋体" w:hint="eastAsia"/>
          <w:sz w:val="24"/>
          <w:szCs w:val="24"/>
        </w:rPr>
        <w:t>劳动创造了人本身；</w:t>
      </w:r>
    </w:p>
    <w:p w14:paraId="024D7F90" w14:textId="77777777" w:rsidR="00BC4EF1" w:rsidRDefault="00BC4EF1" w:rsidP="00BC4EF1">
      <w:pPr>
        <w:tabs>
          <w:tab w:val="left" w:pos="312"/>
        </w:tabs>
        <w:spacing w:line="440" w:lineRule="exact"/>
        <w:ind w:left="480"/>
        <w:rPr>
          <w:rFonts w:ascii="宋体" w:eastAsia="宋体" w:hAnsi="宋体" w:cs="宋体"/>
          <w:sz w:val="24"/>
          <w:szCs w:val="24"/>
        </w:rPr>
      </w:pPr>
      <w:r>
        <w:rPr>
          <w:rFonts w:ascii="宋体" w:eastAsia="宋体" w:hAnsi="宋体" w:cs="宋体" w:hint="eastAsia"/>
          <w:sz w:val="24"/>
          <w:szCs w:val="24"/>
        </w:rPr>
        <w:t>2</w:t>
      </w:r>
      <w:r>
        <w:rPr>
          <w:rFonts w:ascii="宋体" w:eastAsia="宋体" w:hAnsi="宋体" w:cs="宋体"/>
          <w:sz w:val="24"/>
          <w:szCs w:val="24"/>
        </w:rPr>
        <w:t>.</w:t>
      </w:r>
      <w:r>
        <w:rPr>
          <w:rFonts w:ascii="宋体" w:eastAsia="宋体" w:hAnsi="宋体" w:cs="宋体" w:hint="eastAsia"/>
          <w:sz w:val="24"/>
          <w:szCs w:val="24"/>
        </w:rPr>
        <w:t>劳动让生活更美好。</w:t>
      </w:r>
    </w:p>
    <w:p w14:paraId="7223676A" w14:textId="77777777" w:rsidR="00BC4EF1" w:rsidRDefault="00BC4EF1" w:rsidP="00BC4EF1">
      <w:pPr>
        <w:spacing w:line="440" w:lineRule="exact"/>
        <w:ind w:firstLineChars="200" w:firstLine="482"/>
        <w:rPr>
          <w:rFonts w:ascii="宋体" w:eastAsia="宋体" w:hAnsi="宋体" w:cs="宋体"/>
          <w:b/>
          <w:sz w:val="24"/>
          <w:szCs w:val="24"/>
        </w:rPr>
      </w:pPr>
      <w:r>
        <w:rPr>
          <w:rFonts w:ascii="宋体" w:eastAsia="宋体" w:hAnsi="宋体" w:cs="宋体" w:hint="eastAsia"/>
          <w:b/>
          <w:sz w:val="24"/>
          <w:szCs w:val="24"/>
        </w:rPr>
        <w:t>【难点】</w:t>
      </w:r>
    </w:p>
    <w:p w14:paraId="53433EE0" w14:textId="77777777" w:rsidR="00BC4EF1" w:rsidRDefault="00BC4EF1" w:rsidP="00BC4EF1">
      <w:pPr>
        <w:tabs>
          <w:tab w:val="left" w:pos="312"/>
        </w:tabs>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w:t>
      </w:r>
      <w:r>
        <w:rPr>
          <w:rFonts w:ascii="宋体" w:eastAsia="宋体" w:hAnsi="宋体" w:cs="宋体"/>
          <w:sz w:val="24"/>
          <w:szCs w:val="24"/>
        </w:rPr>
        <w:t>.</w:t>
      </w:r>
      <w:r>
        <w:rPr>
          <w:rFonts w:ascii="宋体" w:eastAsia="宋体" w:hAnsi="宋体" w:cs="宋体" w:hint="eastAsia"/>
          <w:sz w:val="24"/>
          <w:szCs w:val="24"/>
        </w:rPr>
        <w:t>劳动创造了人本身。</w:t>
      </w:r>
    </w:p>
    <w:p w14:paraId="55D00166" w14:textId="77777777" w:rsidR="00BC4EF1" w:rsidRDefault="00BC4EF1" w:rsidP="00BC4EF1">
      <w:pPr>
        <w:spacing w:line="440" w:lineRule="exact"/>
        <w:ind w:firstLineChars="200" w:firstLine="482"/>
        <w:rPr>
          <w:rFonts w:ascii="宋体" w:eastAsia="宋体" w:hAnsi="宋体" w:cs="宋体"/>
          <w:b/>
          <w:sz w:val="24"/>
          <w:szCs w:val="24"/>
        </w:rPr>
      </w:pPr>
      <w:r>
        <w:rPr>
          <w:rFonts w:ascii="宋体" w:eastAsia="宋体" w:hAnsi="宋体" w:cs="宋体" w:hint="eastAsia"/>
          <w:b/>
          <w:sz w:val="24"/>
          <w:szCs w:val="24"/>
        </w:rPr>
        <w:t>【教学方法】</w:t>
      </w:r>
    </w:p>
    <w:p w14:paraId="27D280B8" w14:textId="77777777" w:rsidR="00BC4EF1" w:rsidRDefault="00BC4EF1" w:rsidP="00BC4EF1">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1.通过教师对我国劳动教育历史的沿革介绍，引导学生了解劳动让人们的生活出</w:t>
      </w:r>
      <w:r>
        <w:rPr>
          <w:rFonts w:ascii="宋体" w:eastAsia="宋体" w:hAnsi="宋体" w:cs="宋体" w:hint="eastAsia"/>
          <w:sz w:val="24"/>
          <w:szCs w:val="24"/>
        </w:rPr>
        <w:lastRenderedPageBreak/>
        <w:t>现了翻天覆地的改变，树立起劳动创造生活、劳动改变命运、劳动让国家更加富强的马克思主义劳动观，深刻领会劳动教育开展的必要性；</w:t>
      </w:r>
    </w:p>
    <w:p w14:paraId="51A0E471" w14:textId="77777777" w:rsidR="00BC4EF1" w:rsidRDefault="00BC4EF1" w:rsidP="00BC4EF1">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2.通过对习近平总书记关于劳动相关表述的案例分析，让学生亲身体悟“幸福都是奋斗出来”、“幸福不驰于空想、不</w:t>
      </w:r>
      <w:proofErr w:type="gramStart"/>
      <w:r>
        <w:rPr>
          <w:rFonts w:ascii="宋体" w:eastAsia="宋体" w:hAnsi="宋体" w:cs="宋体" w:hint="eastAsia"/>
          <w:sz w:val="24"/>
          <w:szCs w:val="24"/>
        </w:rPr>
        <w:t>骛</w:t>
      </w:r>
      <w:proofErr w:type="gramEnd"/>
      <w:r>
        <w:rPr>
          <w:rFonts w:ascii="宋体" w:eastAsia="宋体" w:hAnsi="宋体" w:cs="宋体" w:hint="eastAsia"/>
          <w:sz w:val="24"/>
          <w:szCs w:val="24"/>
        </w:rPr>
        <w:t>于虚生”，让学生懂得幸福生活需要脚踏实地的一步一个脚印的具体劳动。</w:t>
      </w:r>
    </w:p>
    <w:p w14:paraId="24689579" w14:textId="77777777" w:rsidR="00BC4EF1" w:rsidRDefault="00BC4EF1" w:rsidP="00BC4EF1">
      <w:pPr>
        <w:spacing w:line="440" w:lineRule="exact"/>
        <w:ind w:firstLineChars="200" w:firstLine="482"/>
        <w:rPr>
          <w:rFonts w:ascii="宋体" w:eastAsia="宋体" w:hAnsi="宋体" w:cs="宋体"/>
          <w:b/>
          <w:sz w:val="24"/>
          <w:szCs w:val="24"/>
        </w:rPr>
      </w:pPr>
      <w:r>
        <w:rPr>
          <w:rFonts w:ascii="宋体" w:eastAsia="宋体" w:hAnsi="宋体" w:cs="宋体" w:hint="eastAsia"/>
          <w:b/>
          <w:sz w:val="24"/>
          <w:szCs w:val="24"/>
        </w:rPr>
        <w:t>【复习思考】</w:t>
      </w:r>
    </w:p>
    <w:p w14:paraId="5B3B154D" w14:textId="77777777" w:rsidR="00BC4EF1" w:rsidRDefault="00BC4EF1" w:rsidP="00BC4EF1">
      <w:pPr>
        <w:spacing w:line="440" w:lineRule="exact"/>
        <w:ind w:firstLineChars="200" w:firstLine="480"/>
        <w:rPr>
          <w:rFonts w:ascii="宋体" w:eastAsia="宋体" w:hAnsi="宋体" w:cs="Times New Roman"/>
          <w:sz w:val="24"/>
          <w:szCs w:val="24"/>
        </w:rPr>
      </w:pPr>
      <w:r>
        <w:rPr>
          <w:rFonts w:ascii="宋体" w:eastAsia="等线" w:hAnsi="宋体" w:cs="Times New Roman" w:hint="eastAsia"/>
          <w:sz w:val="24"/>
          <w:szCs w:val="24"/>
        </w:rPr>
        <w:t>1</w:t>
      </w:r>
      <w:r>
        <w:rPr>
          <w:rFonts w:ascii="宋体" w:eastAsia="等线" w:hAnsi="宋体" w:cs="Times New Roman"/>
          <w:sz w:val="24"/>
          <w:szCs w:val="24"/>
        </w:rPr>
        <w:t>.</w:t>
      </w:r>
      <w:r>
        <w:rPr>
          <w:rFonts w:ascii="宋体" w:eastAsia="宋体" w:hAnsi="宋体" w:cs="Times New Roman" w:hint="eastAsia"/>
          <w:sz w:val="24"/>
          <w:szCs w:val="24"/>
        </w:rPr>
        <w:t>怎么体会劳动创造美好生活？</w:t>
      </w:r>
    </w:p>
    <w:p w14:paraId="04AD1CB8" w14:textId="77777777" w:rsidR="00BC4EF1" w:rsidRDefault="00BC4EF1" w:rsidP="00BC4EF1">
      <w:pPr>
        <w:spacing w:line="440" w:lineRule="exact"/>
        <w:ind w:firstLineChars="200" w:firstLine="480"/>
        <w:rPr>
          <w:rFonts w:ascii="黑体" w:eastAsia="黑体" w:hAnsi="黑体" w:cs="Times New Roman"/>
          <w:sz w:val="24"/>
          <w:szCs w:val="24"/>
        </w:rPr>
      </w:pPr>
      <w:r>
        <w:rPr>
          <w:rFonts w:ascii="宋体" w:eastAsia="宋体" w:hAnsi="宋体" w:cs="Times New Roman" w:hint="eastAsia"/>
          <w:sz w:val="24"/>
          <w:szCs w:val="24"/>
        </w:rPr>
        <w:t>2.谈一谈劳动带来的诸多变化对我们的启示。</w:t>
      </w:r>
    </w:p>
    <w:p w14:paraId="003367FC" w14:textId="77777777" w:rsidR="00BC4EF1" w:rsidRDefault="00BC4EF1" w:rsidP="00BC4EF1">
      <w:pPr>
        <w:spacing w:beforeLines="50" w:before="156" w:afterLines="50" w:after="156" w:line="440" w:lineRule="exact"/>
        <w:jc w:val="center"/>
        <w:rPr>
          <w:rFonts w:ascii="黑体" w:eastAsia="黑体" w:hAnsi="黑体" w:cs="Times New Roman"/>
          <w:sz w:val="28"/>
          <w:szCs w:val="28"/>
        </w:rPr>
      </w:pPr>
      <w:r>
        <w:rPr>
          <w:rFonts w:ascii="黑体" w:eastAsia="黑体" w:hAnsi="黑体" w:cs="Times New Roman" w:hint="eastAsia"/>
          <w:sz w:val="28"/>
          <w:szCs w:val="28"/>
        </w:rPr>
        <w:t>专题</w:t>
      </w:r>
      <w:proofErr w:type="gramStart"/>
      <w:r>
        <w:rPr>
          <w:rFonts w:ascii="黑体" w:eastAsia="黑体" w:hAnsi="黑体" w:cs="Times New Roman" w:hint="eastAsia"/>
          <w:sz w:val="28"/>
          <w:szCs w:val="28"/>
        </w:rPr>
        <w:t>一</w:t>
      </w:r>
      <w:proofErr w:type="gramEnd"/>
      <w:r>
        <w:rPr>
          <w:rFonts w:ascii="黑体" w:eastAsia="黑体" w:hAnsi="黑体" w:cs="Times New Roman" w:hint="eastAsia"/>
          <w:sz w:val="28"/>
          <w:szCs w:val="28"/>
        </w:rPr>
        <w:t xml:space="preserve">　揭开劳动面纱 感悟劳动真谛</w:t>
      </w:r>
    </w:p>
    <w:p w14:paraId="4F28D74F"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【学习目标】</w:t>
      </w:r>
    </w:p>
    <w:p w14:paraId="6CD8C458"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1.认知类目标：理解劳动和劳动教育的内涵，掌握马克思主义劳动观，学习并理解习近平新时代中国特色社会主义劳动价值观。能够掌握劳动的特点、属性、价值以及开展劳动教育课程的意义；</w:t>
      </w:r>
    </w:p>
    <w:p w14:paraId="52F1599B"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过程与方法类目标：能够在对劳动和劳动教育的理解中，体会马克思主义劳动观的形成，并逐步运用马克思主义劳动观认识世界与改造世界，深化对劳动的技能提升，能够在参与服务社会活动中，清晰劳动对人的发展的决定性作用，明晰劳动创造了人本身的科学论断；</w:t>
      </w:r>
    </w:p>
    <w:p w14:paraId="1007700B"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3.情感、态度、价值观类目标：引导学生树立“劳动最光荣、劳动最崇高、劳动最伟大、劳动最美丽”的观念，增强学生对劳动的情感认同与实践自觉，进一步引导学生形成正确的世界观、人生观、价值观，明晰劳动对人生职业的重要意义，提升职业道德，做到诚实劳动、踏实劳动、实现劳动和谐。</w:t>
      </w:r>
    </w:p>
    <w:p w14:paraId="08621C95"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【学习内容】</w:t>
      </w:r>
    </w:p>
    <w:p w14:paraId="36EF37A7"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1</w:t>
      </w:r>
      <w:r>
        <w:rPr>
          <w:rFonts w:ascii="宋体" w:eastAsia="宋体" w:hAnsi="宋体" w:cs="宋体"/>
          <w:sz w:val="24"/>
        </w:rPr>
        <w:t>.</w:t>
      </w:r>
      <w:r>
        <w:rPr>
          <w:rFonts w:ascii="宋体" w:eastAsia="宋体" w:hAnsi="宋体" w:cs="宋体" w:hint="eastAsia"/>
          <w:sz w:val="24"/>
        </w:rPr>
        <w:t>劳动的内涵、特征、分类；</w:t>
      </w:r>
    </w:p>
    <w:p w14:paraId="1236CC00"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2</w:t>
      </w:r>
      <w:r>
        <w:rPr>
          <w:rFonts w:ascii="宋体" w:eastAsia="宋体" w:hAnsi="宋体" w:cs="宋体"/>
          <w:sz w:val="24"/>
        </w:rPr>
        <w:t>.</w:t>
      </w:r>
      <w:r>
        <w:rPr>
          <w:rFonts w:ascii="宋体" w:eastAsia="宋体" w:hAnsi="宋体" w:cs="宋体" w:hint="eastAsia"/>
          <w:sz w:val="24"/>
        </w:rPr>
        <w:t>劳动教育的研究对象及劳动教育的内涵、本质、特征、内容；</w:t>
      </w:r>
    </w:p>
    <w:p w14:paraId="5B3CD6AB"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sz w:val="24"/>
        </w:rPr>
        <w:t>3.</w:t>
      </w:r>
      <w:r>
        <w:rPr>
          <w:rFonts w:ascii="宋体" w:eastAsia="宋体" w:hAnsi="宋体" w:cs="宋体" w:hint="eastAsia"/>
          <w:sz w:val="24"/>
        </w:rPr>
        <w:t>马克思主义劳动观；</w:t>
      </w:r>
    </w:p>
    <w:p w14:paraId="48044094"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sz w:val="24"/>
        </w:rPr>
        <w:t>4.</w:t>
      </w:r>
      <w:r>
        <w:rPr>
          <w:rFonts w:ascii="宋体" w:eastAsia="宋体" w:hAnsi="宋体" w:cs="宋体" w:hint="eastAsia"/>
          <w:sz w:val="24"/>
        </w:rPr>
        <w:t>习近平新时代中国特色社会主义劳动观；</w:t>
      </w:r>
    </w:p>
    <w:p w14:paraId="662E3B2A"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5.大学生树立正确劳动观的意义。</w:t>
      </w:r>
    </w:p>
    <w:p w14:paraId="16A0AC74"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【重点】</w:t>
      </w:r>
    </w:p>
    <w:p w14:paraId="2D048AB9"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1</w:t>
      </w:r>
      <w:r>
        <w:rPr>
          <w:rFonts w:ascii="宋体" w:eastAsia="宋体" w:hAnsi="宋体" w:cs="宋体"/>
          <w:sz w:val="24"/>
        </w:rPr>
        <w:t>.</w:t>
      </w:r>
      <w:r>
        <w:rPr>
          <w:rFonts w:ascii="宋体" w:eastAsia="宋体" w:hAnsi="宋体" w:cs="宋体" w:hint="eastAsia"/>
          <w:sz w:val="24"/>
        </w:rPr>
        <w:t>马克思、恩格斯、列宁关于劳动教育的释义；</w:t>
      </w:r>
    </w:p>
    <w:p w14:paraId="224AB7F8"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2</w:t>
      </w:r>
      <w:r>
        <w:rPr>
          <w:rFonts w:ascii="宋体" w:eastAsia="宋体" w:hAnsi="宋体" w:cs="宋体"/>
          <w:sz w:val="24"/>
        </w:rPr>
        <w:t>.</w:t>
      </w:r>
      <w:r>
        <w:rPr>
          <w:rFonts w:ascii="宋体" w:eastAsia="宋体" w:hAnsi="宋体" w:cs="宋体" w:hint="eastAsia"/>
          <w:sz w:val="24"/>
        </w:rPr>
        <w:t>劳动本质论与劳动解放论；</w:t>
      </w:r>
    </w:p>
    <w:p w14:paraId="278079FD"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lastRenderedPageBreak/>
        <w:t>3</w:t>
      </w:r>
      <w:r>
        <w:rPr>
          <w:rFonts w:ascii="宋体" w:eastAsia="宋体" w:hAnsi="宋体" w:cs="宋体"/>
          <w:sz w:val="24"/>
        </w:rPr>
        <w:t>.</w:t>
      </w:r>
      <w:r>
        <w:rPr>
          <w:rFonts w:ascii="宋体" w:eastAsia="宋体" w:hAnsi="宋体" w:cs="宋体" w:hint="eastAsia"/>
          <w:sz w:val="24"/>
        </w:rPr>
        <w:t>劳动实践观与劳动价值观及劳动发展观。</w:t>
      </w:r>
    </w:p>
    <w:p w14:paraId="06D4B109"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【难点】</w:t>
      </w:r>
    </w:p>
    <w:p w14:paraId="28985CBF" w14:textId="77777777" w:rsidR="00BC4EF1" w:rsidRDefault="00BC4EF1" w:rsidP="00BC4EF1">
      <w:pPr>
        <w:spacing w:line="440" w:lineRule="exact"/>
        <w:ind w:firstLineChars="200" w:firstLine="480"/>
        <w:rPr>
          <w:rFonts w:ascii="宋体" w:eastAsia="宋体" w:hAnsi="宋体" w:cs="宋体"/>
          <w:b/>
          <w:sz w:val="24"/>
        </w:rPr>
      </w:pPr>
      <w:r>
        <w:rPr>
          <w:rFonts w:ascii="宋体" w:eastAsia="宋体" w:hAnsi="宋体" w:cs="宋体" w:hint="eastAsia"/>
          <w:sz w:val="24"/>
        </w:rPr>
        <w:t>1.劳动实践观的理解；</w:t>
      </w:r>
    </w:p>
    <w:p w14:paraId="782AC0E2"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2</w:t>
      </w:r>
      <w:r>
        <w:rPr>
          <w:rFonts w:ascii="宋体" w:eastAsia="宋体" w:hAnsi="宋体" w:cs="宋体"/>
          <w:sz w:val="24"/>
        </w:rPr>
        <w:t>.</w:t>
      </w:r>
      <w:r>
        <w:rPr>
          <w:rFonts w:ascii="宋体" w:eastAsia="宋体" w:hAnsi="宋体" w:cs="宋体" w:hint="eastAsia"/>
          <w:sz w:val="24"/>
        </w:rPr>
        <w:t>劳动及其劳动教育的内涵与外延界定。</w:t>
      </w:r>
    </w:p>
    <w:p w14:paraId="1B369278"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【教学方法】</w:t>
      </w:r>
    </w:p>
    <w:p w14:paraId="179DBC85"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1.通过教师系统讲授与学生自主探究相结合，引导学生了解劳动的相关概念，深刻领会劳动教育开展的必要性；</w:t>
      </w:r>
    </w:p>
    <w:p w14:paraId="1955F344"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2.通过“秦世俊、刘俊”等案例分析，结合当前大学生对劳动的初步认知，进一步引导学生探索劳动的价值与意义，明晰劳动对个人与社会的重要影响作用，逐步树立起新时代劳动观。</w:t>
      </w:r>
    </w:p>
    <w:p w14:paraId="11622CFB"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【复习思考】</w:t>
      </w:r>
    </w:p>
    <w:p w14:paraId="7E645247" w14:textId="77777777" w:rsidR="00BC4EF1" w:rsidRDefault="00BC4EF1" w:rsidP="00BC4EF1">
      <w:pPr>
        <w:spacing w:line="440" w:lineRule="exact"/>
        <w:ind w:firstLineChars="200" w:firstLine="480"/>
        <w:rPr>
          <w:rFonts w:ascii="宋体" w:eastAsia="宋体" w:hAnsi="宋体" w:cs="Times New Roman"/>
          <w:sz w:val="24"/>
          <w:szCs w:val="24"/>
        </w:rPr>
      </w:pPr>
      <w:r>
        <w:rPr>
          <w:rFonts w:ascii="宋体" w:eastAsia="等线" w:hAnsi="宋体" w:cs="Times New Roman" w:hint="eastAsia"/>
          <w:sz w:val="24"/>
        </w:rPr>
        <w:t>1</w:t>
      </w:r>
      <w:r>
        <w:rPr>
          <w:rFonts w:ascii="宋体" w:eastAsia="等线" w:hAnsi="宋体" w:cs="Times New Roman"/>
          <w:sz w:val="24"/>
        </w:rPr>
        <w:t>.</w:t>
      </w:r>
      <w:r>
        <w:rPr>
          <w:rFonts w:ascii="宋体" w:eastAsia="宋体" w:hAnsi="宋体" w:cs="Times New Roman" w:hint="eastAsia"/>
          <w:sz w:val="24"/>
        </w:rPr>
        <w:t>通</w:t>
      </w:r>
      <w:r>
        <w:rPr>
          <w:rFonts w:ascii="宋体" w:eastAsia="宋体" w:hAnsi="宋体" w:cs="Times New Roman" w:hint="eastAsia"/>
          <w:sz w:val="24"/>
          <w:szCs w:val="24"/>
        </w:rPr>
        <w:t>过学习，谈谈什么是劳动，什么是劳动教育？</w:t>
      </w:r>
    </w:p>
    <w:p w14:paraId="69B5575D" w14:textId="77777777" w:rsidR="00BC4EF1" w:rsidRDefault="00BC4EF1" w:rsidP="00BC4EF1">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2.结合马克思主义劳动观的核心内容，谈谈你的认识？</w:t>
      </w:r>
    </w:p>
    <w:p w14:paraId="6CE58870" w14:textId="77777777" w:rsidR="00BC4EF1" w:rsidRDefault="00BC4EF1" w:rsidP="00BC4EF1">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3.查阅相关资料，学习平凡的工作岗位上一位劳动模范的事迹，交流学习感受。</w:t>
      </w:r>
    </w:p>
    <w:p w14:paraId="3CB021FB" w14:textId="77777777" w:rsidR="00BC4EF1" w:rsidRDefault="00BC4EF1" w:rsidP="00BC4EF1">
      <w:pPr>
        <w:spacing w:line="440" w:lineRule="exact"/>
        <w:ind w:firstLineChars="200" w:firstLine="480"/>
        <w:rPr>
          <w:rFonts w:ascii="黑体" w:eastAsia="宋体" w:hAnsi="黑体" w:cs="Times New Roman"/>
          <w:sz w:val="24"/>
          <w:szCs w:val="24"/>
        </w:rPr>
      </w:pPr>
      <w:r>
        <w:rPr>
          <w:rFonts w:ascii="宋体" w:eastAsia="宋体" w:hAnsi="宋体" w:cs="Times New Roman" w:hint="eastAsia"/>
          <w:sz w:val="24"/>
          <w:szCs w:val="24"/>
        </w:rPr>
        <w:t>4.</w:t>
      </w:r>
      <w:proofErr w:type="gramStart"/>
      <w:r>
        <w:rPr>
          <w:rFonts w:ascii="宋体" w:eastAsia="宋体" w:hAnsi="宋体" w:cs="Times New Roman" w:hint="eastAsia"/>
          <w:sz w:val="24"/>
          <w:szCs w:val="24"/>
        </w:rPr>
        <w:t>卢</w:t>
      </w:r>
      <w:proofErr w:type="gramEnd"/>
      <w:r>
        <w:rPr>
          <w:rFonts w:ascii="宋体" w:eastAsia="宋体" w:hAnsi="宋体" w:cs="Times New Roman" w:hint="eastAsia"/>
          <w:sz w:val="24"/>
          <w:szCs w:val="24"/>
        </w:rPr>
        <w:t>梭曾说：“劳动是社会中每个人不可避免的义务。”结合你的学习，谈谈你对这句话的理解。</w:t>
      </w:r>
    </w:p>
    <w:p w14:paraId="4C14663C" w14:textId="77777777" w:rsidR="00BC4EF1" w:rsidRDefault="00BC4EF1" w:rsidP="00BC4EF1">
      <w:pPr>
        <w:spacing w:beforeLines="50" w:before="156" w:afterLines="50" w:after="156" w:line="440" w:lineRule="exact"/>
        <w:jc w:val="center"/>
        <w:rPr>
          <w:rFonts w:ascii="黑体" w:eastAsia="黑体" w:hAnsi="黑体" w:cs="Times New Roman"/>
          <w:sz w:val="28"/>
          <w:szCs w:val="28"/>
        </w:rPr>
      </w:pPr>
      <w:r>
        <w:rPr>
          <w:rFonts w:ascii="黑体" w:eastAsia="黑体" w:hAnsi="黑体" w:cs="Times New Roman" w:hint="eastAsia"/>
          <w:sz w:val="28"/>
          <w:szCs w:val="28"/>
        </w:rPr>
        <w:t>专题二　培育劳动精神 创造美好生活</w:t>
      </w:r>
    </w:p>
    <w:p w14:paraId="45A2F3A6"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【学习目标】</w:t>
      </w:r>
    </w:p>
    <w:p w14:paraId="1769F7B5"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1.认知类目标：理解劳动精神的基本内涵，了解劳动精神的核心内容，学习弘扬和培育劳动精神的途径；</w:t>
      </w:r>
    </w:p>
    <w:p w14:paraId="57508A68"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2.过程与方法类目标：能够在对劳动精神内涵和内容的理解中，体会弘扬和培育劳动精神的重要性，并逐步在实践中用劳动精神指引创造美好生活；</w:t>
      </w:r>
    </w:p>
    <w:p w14:paraId="47DAA5B3"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3.情感、态度、价值观类目标：引导学生树立“勤俭、奋斗、创新、奉献”的劳动精神，增强学生弘扬劳动精神的情感认同与实践自觉，进一步引导学生形成正确的世界观、人生观、价值观。</w:t>
      </w:r>
    </w:p>
    <w:p w14:paraId="2A13AFC7"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【学习内容】</w:t>
      </w:r>
    </w:p>
    <w:p w14:paraId="504B2069"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1</w:t>
      </w:r>
      <w:r>
        <w:rPr>
          <w:rFonts w:ascii="宋体" w:eastAsia="宋体" w:hAnsi="宋体" w:cs="宋体"/>
          <w:sz w:val="24"/>
        </w:rPr>
        <w:t>.</w:t>
      </w:r>
      <w:r>
        <w:rPr>
          <w:rFonts w:ascii="宋体" w:eastAsia="宋体" w:hAnsi="宋体" w:cs="宋体" w:hint="eastAsia"/>
          <w:sz w:val="24"/>
        </w:rPr>
        <w:t>劳动精神的基本内涵；</w:t>
      </w:r>
    </w:p>
    <w:p w14:paraId="6D27420B"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2.劳动精神的核心内容；</w:t>
      </w:r>
    </w:p>
    <w:p w14:paraId="161DA166" w14:textId="77777777" w:rsidR="00BC4EF1" w:rsidRDefault="00BC4EF1" w:rsidP="00BC4EF1">
      <w:pPr>
        <w:tabs>
          <w:tab w:val="left" w:pos="312"/>
        </w:tabs>
        <w:spacing w:line="440" w:lineRule="exact"/>
        <w:ind w:firstLineChars="200" w:firstLine="480"/>
        <w:rPr>
          <w:rFonts w:ascii="宋体" w:eastAsia="宋体" w:hAnsi="宋体" w:cs="宋体"/>
          <w:b/>
          <w:sz w:val="24"/>
        </w:rPr>
      </w:pPr>
      <w:r>
        <w:rPr>
          <w:rFonts w:ascii="宋体" w:eastAsia="宋体" w:hAnsi="宋体" w:cs="宋体" w:hint="eastAsia"/>
          <w:sz w:val="24"/>
        </w:rPr>
        <w:t>3.弘扬和培育劳动精神的途径。</w:t>
      </w:r>
    </w:p>
    <w:p w14:paraId="09C59435"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【重点】</w:t>
      </w:r>
    </w:p>
    <w:p w14:paraId="7BD37A09" w14:textId="77777777" w:rsidR="00BC4EF1" w:rsidRDefault="00BC4EF1" w:rsidP="00BC4EF1">
      <w:pPr>
        <w:tabs>
          <w:tab w:val="left" w:pos="312"/>
        </w:tabs>
        <w:spacing w:line="440" w:lineRule="exact"/>
        <w:ind w:left="480"/>
        <w:rPr>
          <w:rFonts w:ascii="宋体" w:eastAsia="宋体" w:hAnsi="宋体" w:cs="宋体"/>
          <w:sz w:val="24"/>
        </w:rPr>
      </w:pPr>
      <w:r>
        <w:rPr>
          <w:rFonts w:ascii="宋体" w:eastAsia="宋体" w:hAnsi="宋体" w:cs="宋体" w:hint="eastAsia"/>
          <w:sz w:val="24"/>
        </w:rPr>
        <w:lastRenderedPageBreak/>
        <w:t>1.正确把握劳动人格、劳动权利、劳动使命和劳动实践的内容；</w:t>
      </w:r>
    </w:p>
    <w:p w14:paraId="7AFDA1BA" w14:textId="77777777" w:rsidR="00BC4EF1" w:rsidRDefault="00BC4EF1" w:rsidP="00BC4EF1">
      <w:pPr>
        <w:tabs>
          <w:tab w:val="left" w:pos="312"/>
        </w:tabs>
        <w:spacing w:line="440" w:lineRule="exact"/>
        <w:ind w:left="480"/>
        <w:rPr>
          <w:rFonts w:ascii="宋体" w:eastAsia="宋体" w:hAnsi="宋体" w:cs="宋体"/>
          <w:sz w:val="24"/>
        </w:rPr>
      </w:pPr>
      <w:r>
        <w:rPr>
          <w:rFonts w:ascii="宋体" w:eastAsia="宋体" w:hAnsi="宋体" w:cs="宋体" w:hint="eastAsia"/>
          <w:sz w:val="24"/>
        </w:rPr>
        <w:t>3.理解弘扬和培育劳动精神的途径。</w:t>
      </w:r>
    </w:p>
    <w:p w14:paraId="6F326383"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【难点】</w:t>
      </w:r>
    </w:p>
    <w:p w14:paraId="7B209E09"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1.正确理解勤俭、奋斗、创新、奉献劳动精神的关系；</w:t>
      </w:r>
    </w:p>
    <w:p w14:paraId="2D5BAC71"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2.准确把劳动精神的核心内容。</w:t>
      </w:r>
    </w:p>
    <w:p w14:paraId="30F3378E"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【教学方法】</w:t>
      </w:r>
    </w:p>
    <w:p w14:paraId="7DA70784"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1.通过教师系统讲授与学生自主探究相结合，引导学生增强对劳动精神学习的主体自觉意识，深刻领会劳动精神的核心内容；</w:t>
      </w:r>
    </w:p>
    <w:p w14:paraId="0BD8575B"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2.通过“钢铁院士</w:t>
      </w:r>
      <w:proofErr w:type="gramStart"/>
      <w:r>
        <w:rPr>
          <w:rFonts w:ascii="宋体" w:eastAsia="宋体" w:hAnsi="宋体" w:cs="宋体" w:hint="eastAsia"/>
          <w:sz w:val="24"/>
        </w:rPr>
        <w:t>崔</w:t>
      </w:r>
      <w:proofErr w:type="gramEnd"/>
      <w:r>
        <w:rPr>
          <w:rFonts w:ascii="宋体" w:eastAsia="宋体" w:hAnsi="宋体" w:cs="宋体" w:hint="eastAsia"/>
          <w:sz w:val="24"/>
        </w:rPr>
        <w:t>崑”“梁智滨”“郁涛”等案例分析，结合劳动精神的基本内涵，进一步引导学生用马克思主义劳动观来武装自己的头脑，学习劳动模范、弘扬劳动精神，不断</w:t>
      </w:r>
      <w:proofErr w:type="gramStart"/>
      <w:r>
        <w:rPr>
          <w:rFonts w:ascii="宋体" w:eastAsia="宋体" w:hAnsi="宋体" w:cs="宋体" w:hint="eastAsia"/>
          <w:sz w:val="24"/>
        </w:rPr>
        <w:t>践行</w:t>
      </w:r>
      <w:proofErr w:type="gramEnd"/>
      <w:r>
        <w:rPr>
          <w:rFonts w:ascii="宋体" w:eastAsia="宋体" w:hAnsi="宋体" w:cs="宋体" w:hint="eastAsia"/>
          <w:sz w:val="24"/>
        </w:rPr>
        <w:t>正确的社会主义劳动观。</w:t>
      </w:r>
    </w:p>
    <w:p w14:paraId="059BF00A" w14:textId="77777777" w:rsidR="00BC4EF1" w:rsidRDefault="00BC4EF1" w:rsidP="00BC4EF1">
      <w:pPr>
        <w:spacing w:line="440" w:lineRule="exact"/>
        <w:ind w:firstLineChars="200" w:firstLine="482"/>
        <w:rPr>
          <w:rFonts w:ascii="宋体" w:eastAsia="宋体" w:hAnsi="宋体" w:cs="Times New Roman"/>
          <w:sz w:val="24"/>
        </w:rPr>
      </w:pPr>
      <w:r>
        <w:rPr>
          <w:rFonts w:ascii="宋体" w:eastAsia="宋体" w:hAnsi="宋体" w:cs="宋体" w:hint="eastAsia"/>
          <w:b/>
          <w:sz w:val="24"/>
        </w:rPr>
        <w:t>【复习思考】</w:t>
      </w:r>
    </w:p>
    <w:p w14:paraId="4A546907"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1.通过学习，谈谈什么是劳动精神？</w:t>
      </w:r>
    </w:p>
    <w:p w14:paraId="234E10A1"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2.结合劳动精神的核心内容，谈谈你的认识？</w:t>
      </w:r>
    </w:p>
    <w:p w14:paraId="04E0B739"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3.结合自身成长，谈谈如何弘扬和培育劳动精神？</w:t>
      </w:r>
    </w:p>
    <w:p w14:paraId="3BE1CB2B"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4.查阅相关资料，学习平凡工作岗位上一位劳动模范的事迹，交流学习感受。</w:t>
      </w:r>
    </w:p>
    <w:p w14:paraId="603BF2B5"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5.苏霍姆林斯基曾说：“人在自己的劳动中创造自己并理解劳动的美。”结合你的学习，谈谈你对这句话的理解。</w:t>
      </w:r>
    </w:p>
    <w:p w14:paraId="76DAEB88"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6.本学期请选择为他人、集体、学校或所在社区至少做一件为人民服务的事，并做好服务记录定期在班级内做交流分享。</w:t>
      </w:r>
    </w:p>
    <w:p w14:paraId="478AC22F" w14:textId="77777777" w:rsidR="00BC4EF1" w:rsidRDefault="00BC4EF1" w:rsidP="00BC4EF1">
      <w:pPr>
        <w:spacing w:beforeLines="50" w:before="156" w:afterLines="50" w:after="156" w:line="440" w:lineRule="exact"/>
        <w:jc w:val="center"/>
        <w:rPr>
          <w:rFonts w:ascii="黑体" w:eastAsia="黑体" w:hAnsi="黑体" w:cs="Times New Roman"/>
          <w:sz w:val="28"/>
          <w:szCs w:val="28"/>
        </w:rPr>
      </w:pPr>
      <w:r>
        <w:rPr>
          <w:rFonts w:ascii="黑体" w:eastAsia="黑体" w:hAnsi="黑体" w:cs="Times New Roman" w:hint="eastAsia"/>
          <w:sz w:val="28"/>
          <w:szCs w:val="28"/>
        </w:rPr>
        <w:t>专题三　弘扬劳模精神 争当时代楷模</w:t>
      </w:r>
    </w:p>
    <w:p w14:paraId="31484FA1"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【学习目标】</w:t>
      </w:r>
    </w:p>
    <w:p w14:paraId="3E23A310"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w:t>
      </w:r>
      <w:r>
        <w:rPr>
          <w:rFonts w:ascii="宋体" w:eastAsia="宋体" w:hAnsi="宋体" w:cs="宋体"/>
          <w:sz w:val="24"/>
        </w:rPr>
        <w:t>.</w:t>
      </w:r>
      <w:r>
        <w:rPr>
          <w:rFonts w:ascii="宋体" w:eastAsia="宋体" w:hAnsi="宋体" w:cs="宋体" w:hint="eastAsia"/>
          <w:sz w:val="24"/>
        </w:rPr>
        <w:t>认知类目标：理解劳模精神和新时代劳模精神的新内涵，了解劳模精神的意义所在，领会劳模精神的核心内容，学习如何弘扬和</w:t>
      </w:r>
      <w:proofErr w:type="gramStart"/>
      <w:r>
        <w:rPr>
          <w:rFonts w:ascii="宋体" w:eastAsia="宋体" w:hAnsi="宋体" w:cs="宋体" w:hint="eastAsia"/>
          <w:sz w:val="24"/>
        </w:rPr>
        <w:t>践行</w:t>
      </w:r>
      <w:proofErr w:type="gramEnd"/>
      <w:r>
        <w:rPr>
          <w:rFonts w:ascii="宋体" w:eastAsia="宋体" w:hAnsi="宋体" w:cs="宋体" w:hint="eastAsia"/>
          <w:sz w:val="24"/>
        </w:rPr>
        <w:t>劳模精神；</w:t>
      </w:r>
    </w:p>
    <w:p w14:paraId="783372E7"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w:t>
      </w:r>
      <w:r>
        <w:rPr>
          <w:rFonts w:ascii="宋体" w:eastAsia="宋体" w:hAnsi="宋体" w:cs="宋体"/>
          <w:sz w:val="24"/>
        </w:rPr>
        <w:t>.</w:t>
      </w:r>
      <w:r>
        <w:rPr>
          <w:rFonts w:ascii="宋体" w:eastAsia="宋体" w:hAnsi="宋体" w:cs="宋体" w:hint="eastAsia"/>
          <w:sz w:val="24"/>
        </w:rPr>
        <w:t>过程与方法类目标：能够在对劳模精神核心内容的理解中，体会劳模精神的深刻价值意蕴，并逐步学会在实践中弘扬和</w:t>
      </w:r>
      <w:proofErr w:type="gramStart"/>
      <w:r>
        <w:rPr>
          <w:rFonts w:ascii="宋体" w:eastAsia="宋体" w:hAnsi="宋体" w:cs="宋体" w:hint="eastAsia"/>
          <w:sz w:val="24"/>
        </w:rPr>
        <w:t>践行</w:t>
      </w:r>
      <w:proofErr w:type="gramEnd"/>
      <w:r>
        <w:rPr>
          <w:rFonts w:ascii="宋体" w:eastAsia="宋体" w:hAnsi="宋体" w:cs="宋体" w:hint="eastAsia"/>
          <w:sz w:val="24"/>
        </w:rPr>
        <w:t>劳模精神；</w:t>
      </w:r>
    </w:p>
    <w:p w14:paraId="68CBFCCE"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3</w:t>
      </w:r>
      <w:r>
        <w:rPr>
          <w:rFonts w:ascii="宋体" w:eastAsia="宋体" w:hAnsi="宋体" w:cs="宋体"/>
          <w:sz w:val="24"/>
        </w:rPr>
        <w:t>.</w:t>
      </w:r>
      <w:r>
        <w:rPr>
          <w:rFonts w:ascii="宋体" w:eastAsia="宋体" w:hAnsi="宋体" w:cs="宋体" w:hint="eastAsia"/>
          <w:sz w:val="24"/>
        </w:rPr>
        <w:t>情感、态度、价值观类目标：通过劳动模范典型事迹介绍和劳模精神内涵的探讨，使学生认识到“劳动模范是民族的精英、人民的楷模”，进一步引导学生积极实践劳模精神，弘扬劳动最光荣、劳动最崇高、劳动最伟大、劳动最美丽的社会风尚。</w:t>
      </w:r>
    </w:p>
    <w:p w14:paraId="74AE5275"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【学习内容】</w:t>
      </w:r>
    </w:p>
    <w:p w14:paraId="5E9E5AB9" w14:textId="77777777" w:rsidR="00BC4EF1" w:rsidRDefault="00BC4EF1" w:rsidP="00BC4EF1">
      <w:pPr>
        <w:tabs>
          <w:tab w:val="left" w:pos="312"/>
        </w:tabs>
        <w:spacing w:line="440" w:lineRule="exact"/>
        <w:ind w:firstLineChars="200" w:firstLine="480"/>
        <w:rPr>
          <w:rFonts w:ascii="宋体" w:eastAsia="宋体" w:hAnsi="宋体" w:cs="Times New Roman"/>
          <w:sz w:val="24"/>
        </w:rPr>
      </w:pPr>
      <w:r>
        <w:rPr>
          <w:rFonts w:ascii="宋体" w:eastAsia="宋体" w:hAnsi="宋体" w:cs="Times New Roman" w:hint="eastAsia"/>
          <w:sz w:val="24"/>
        </w:rPr>
        <w:lastRenderedPageBreak/>
        <w:t>1</w:t>
      </w:r>
      <w:r>
        <w:rPr>
          <w:rFonts w:ascii="宋体" w:eastAsia="宋体" w:hAnsi="宋体" w:cs="Times New Roman"/>
          <w:sz w:val="24"/>
        </w:rPr>
        <w:t>.</w:t>
      </w:r>
      <w:r>
        <w:rPr>
          <w:rFonts w:ascii="宋体" w:eastAsia="宋体" w:hAnsi="宋体" w:cs="Times New Roman" w:hint="eastAsia"/>
          <w:sz w:val="24"/>
        </w:rPr>
        <w:t>了解新时代劳模精神；</w:t>
      </w:r>
    </w:p>
    <w:p w14:paraId="7C0B4DBC" w14:textId="77777777" w:rsidR="00BC4EF1" w:rsidRDefault="00BC4EF1" w:rsidP="00BC4EF1">
      <w:pPr>
        <w:tabs>
          <w:tab w:val="left" w:pos="312"/>
        </w:tabs>
        <w:spacing w:line="440" w:lineRule="exact"/>
        <w:ind w:firstLineChars="200" w:firstLine="480"/>
        <w:rPr>
          <w:rFonts w:ascii="宋体" w:eastAsia="宋体" w:hAnsi="宋体" w:cs="Times New Roman"/>
          <w:sz w:val="24"/>
        </w:rPr>
      </w:pPr>
      <w:r>
        <w:rPr>
          <w:rFonts w:ascii="宋体" w:eastAsia="宋体" w:hAnsi="宋体" w:cs="Times New Roman"/>
          <w:sz w:val="24"/>
        </w:rPr>
        <w:t>2.</w:t>
      </w:r>
      <w:r>
        <w:rPr>
          <w:rFonts w:ascii="宋体" w:eastAsia="宋体" w:hAnsi="宋体" w:cs="Times New Roman" w:hint="eastAsia"/>
          <w:sz w:val="24"/>
        </w:rPr>
        <w:t>明晰劳模精神的深刻价值；</w:t>
      </w:r>
    </w:p>
    <w:p w14:paraId="58B22007"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Times New Roman" w:hint="eastAsia"/>
          <w:sz w:val="24"/>
        </w:rPr>
        <w:t>3</w:t>
      </w:r>
      <w:r>
        <w:rPr>
          <w:rFonts w:ascii="宋体" w:eastAsia="宋体" w:hAnsi="宋体" w:cs="Times New Roman"/>
          <w:sz w:val="24"/>
        </w:rPr>
        <w:t>.</w:t>
      </w:r>
      <w:r>
        <w:rPr>
          <w:rFonts w:ascii="宋体" w:eastAsia="宋体" w:hAnsi="宋体" w:cs="宋体" w:hint="eastAsia"/>
          <w:sz w:val="24"/>
        </w:rPr>
        <w:t>形成对劳模精神学习的价值认同。</w:t>
      </w:r>
    </w:p>
    <w:p w14:paraId="44839AC3"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【重点】</w:t>
      </w:r>
    </w:p>
    <w:p w14:paraId="07D50C1A" w14:textId="77777777" w:rsidR="00BC4EF1" w:rsidRDefault="00BC4EF1" w:rsidP="00BC4EF1">
      <w:pPr>
        <w:tabs>
          <w:tab w:val="left" w:pos="312"/>
        </w:tabs>
        <w:spacing w:line="440" w:lineRule="exact"/>
        <w:ind w:firstLineChars="200" w:firstLine="480"/>
        <w:rPr>
          <w:rFonts w:ascii="宋体" w:eastAsia="宋体" w:hAnsi="宋体" w:cs="Times New Roman"/>
          <w:sz w:val="24"/>
        </w:rPr>
      </w:pPr>
      <w:r>
        <w:rPr>
          <w:rFonts w:ascii="宋体" w:eastAsia="宋体" w:hAnsi="宋体" w:cs="Times New Roman" w:hint="eastAsia"/>
          <w:sz w:val="24"/>
        </w:rPr>
        <w:t>1</w:t>
      </w:r>
      <w:r>
        <w:rPr>
          <w:rFonts w:ascii="宋体" w:eastAsia="宋体" w:hAnsi="宋体" w:cs="Times New Roman"/>
          <w:sz w:val="24"/>
        </w:rPr>
        <w:t>.</w:t>
      </w:r>
      <w:r>
        <w:rPr>
          <w:rFonts w:ascii="宋体" w:eastAsia="宋体" w:hAnsi="宋体" w:cs="Times New Roman" w:hint="eastAsia"/>
          <w:sz w:val="24"/>
        </w:rPr>
        <w:t>劳动模范的内涵和历史发展；</w:t>
      </w:r>
    </w:p>
    <w:p w14:paraId="133DEC15" w14:textId="77777777" w:rsidR="00BC4EF1" w:rsidRDefault="00BC4EF1" w:rsidP="00BC4EF1">
      <w:pPr>
        <w:tabs>
          <w:tab w:val="left" w:pos="312"/>
        </w:tabs>
        <w:spacing w:line="440" w:lineRule="exact"/>
        <w:ind w:firstLineChars="200" w:firstLine="480"/>
        <w:rPr>
          <w:rFonts w:ascii="宋体" w:eastAsia="宋体" w:hAnsi="宋体" w:cs="Times New Roman"/>
          <w:sz w:val="24"/>
        </w:rPr>
      </w:pPr>
      <w:r>
        <w:rPr>
          <w:rFonts w:ascii="宋体" w:eastAsia="宋体" w:hAnsi="宋体" w:cs="Times New Roman" w:hint="eastAsia"/>
          <w:sz w:val="24"/>
        </w:rPr>
        <w:t>2.新时代劳模精神的内涵；</w:t>
      </w:r>
    </w:p>
    <w:p w14:paraId="4996A2AB" w14:textId="77777777" w:rsidR="00BC4EF1" w:rsidRDefault="00BC4EF1" w:rsidP="00BC4EF1">
      <w:pPr>
        <w:tabs>
          <w:tab w:val="left" w:pos="312"/>
        </w:tabs>
        <w:spacing w:line="440" w:lineRule="exact"/>
        <w:ind w:firstLineChars="200" w:firstLine="480"/>
        <w:rPr>
          <w:rFonts w:ascii="宋体" w:eastAsia="宋体" w:hAnsi="宋体" w:cs="Times New Roman"/>
          <w:sz w:val="24"/>
        </w:rPr>
      </w:pPr>
      <w:r>
        <w:rPr>
          <w:rFonts w:ascii="宋体" w:eastAsia="宋体" w:hAnsi="宋体" w:cs="Times New Roman" w:hint="eastAsia"/>
          <w:sz w:val="24"/>
        </w:rPr>
        <w:t>3.劳模精神的意义；</w:t>
      </w:r>
    </w:p>
    <w:p w14:paraId="32EB4713" w14:textId="77777777" w:rsidR="00BC4EF1" w:rsidRDefault="00BC4EF1" w:rsidP="00BC4EF1">
      <w:pPr>
        <w:tabs>
          <w:tab w:val="left" w:pos="312"/>
        </w:tabs>
        <w:spacing w:line="440" w:lineRule="exact"/>
        <w:ind w:firstLineChars="200" w:firstLine="480"/>
        <w:rPr>
          <w:rFonts w:ascii="宋体" w:eastAsia="宋体" w:hAnsi="宋体" w:cs="Times New Roman"/>
          <w:sz w:val="24"/>
        </w:rPr>
      </w:pPr>
      <w:r>
        <w:rPr>
          <w:rFonts w:ascii="宋体" w:eastAsia="宋体" w:hAnsi="宋体" w:cs="Times New Roman" w:hint="eastAsia"/>
          <w:sz w:val="24"/>
        </w:rPr>
        <w:t>4.劳模精神的核心内容；</w:t>
      </w:r>
    </w:p>
    <w:p w14:paraId="07126C49" w14:textId="77777777" w:rsidR="00BC4EF1" w:rsidRDefault="00BC4EF1" w:rsidP="00BC4EF1">
      <w:pPr>
        <w:tabs>
          <w:tab w:val="left" w:pos="312"/>
        </w:tabs>
        <w:spacing w:line="440" w:lineRule="exact"/>
        <w:ind w:firstLineChars="200" w:firstLine="480"/>
        <w:rPr>
          <w:rFonts w:ascii="宋体" w:eastAsia="宋体" w:hAnsi="宋体" w:cs="Times New Roman"/>
          <w:sz w:val="24"/>
        </w:rPr>
      </w:pPr>
      <w:r>
        <w:rPr>
          <w:rFonts w:ascii="宋体" w:eastAsia="宋体" w:hAnsi="宋体" w:cs="Times New Roman" w:hint="eastAsia"/>
          <w:sz w:val="24"/>
        </w:rPr>
        <w:t>5.如何弘扬和</w:t>
      </w:r>
      <w:proofErr w:type="gramStart"/>
      <w:r>
        <w:rPr>
          <w:rFonts w:ascii="宋体" w:eastAsia="宋体" w:hAnsi="宋体" w:cs="Times New Roman" w:hint="eastAsia"/>
          <w:sz w:val="24"/>
        </w:rPr>
        <w:t>践行</w:t>
      </w:r>
      <w:proofErr w:type="gramEnd"/>
      <w:r>
        <w:rPr>
          <w:rFonts w:ascii="宋体" w:eastAsia="宋体" w:hAnsi="宋体" w:cs="Times New Roman" w:hint="eastAsia"/>
          <w:sz w:val="24"/>
        </w:rPr>
        <w:t>劳模精神。</w:t>
      </w:r>
    </w:p>
    <w:p w14:paraId="68D0F1D3"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【难点】</w:t>
      </w:r>
    </w:p>
    <w:p w14:paraId="32DA2C88" w14:textId="77777777" w:rsidR="00BC4EF1" w:rsidRDefault="00BC4EF1" w:rsidP="00BC4EF1">
      <w:pPr>
        <w:spacing w:line="440" w:lineRule="exact"/>
        <w:ind w:firstLineChars="200" w:firstLine="480"/>
        <w:rPr>
          <w:rFonts w:ascii="宋体" w:eastAsia="宋体" w:hAnsi="宋体" w:cs="宋体"/>
          <w:b/>
          <w:sz w:val="24"/>
        </w:rPr>
      </w:pPr>
      <w:r>
        <w:rPr>
          <w:rFonts w:ascii="宋体" w:eastAsia="宋体" w:hAnsi="宋体" w:cs="宋体" w:hint="eastAsia"/>
          <w:sz w:val="24"/>
        </w:rPr>
        <w:t>1.深刻理解新时代劳模精神与社会主义核心价值观的关系；</w:t>
      </w:r>
    </w:p>
    <w:p w14:paraId="76EB2110"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2.正确认识劳模精神与中国梦的关系；</w:t>
      </w:r>
    </w:p>
    <w:p w14:paraId="356063D7"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3.准确把握爱岗敬业、争创一流、艰苦奋斗、勇于创新之间的关系。</w:t>
      </w:r>
    </w:p>
    <w:p w14:paraId="4DE300DA"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【教学方法】</w:t>
      </w:r>
    </w:p>
    <w:p w14:paraId="18A48B8E"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1.通过教师系统讲授与学生自主探究相结合，引导学生了解劳模精神的内涵与核心内容的相关知识，深刻领会劳模精神的精粹；</w:t>
      </w:r>
    </w:p>
    <w:p w14:paraId="7B8A90B0"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2.通过王进喜、时传祥、袁隆平、申纪兰等案例分析，结合当前大学生劳动现状，引导大学生学习劳动模范、学习劳模精神、充分发挥劳模精神的引领、品牌、创新作用，带动大学生从自身做起、热爱劳动、</w:t>
      </w:r>
      <w:proofErr w:type="gramStart"/>
      <w:r>
        <w:rPr>
          <w:rFonts w:ascii="宋体" w:eastAsia="宋体" w:hAnsi="宋体" w:cs="宋体" w:hint="eastAsia"/>
          <w:sz w:val="24"/>
        </w:rPr>
        <w:t>践行</w:t>
      </w:r>
      <w:proofErr w:type="gramEnd"/>
      <w:r>
        <w:rPr>
          <w:rFonts w:ascii="宋体" w:eastAsia="宋体" w:hAnsi="宋体" w:cs="宋体" w:hint="eastAsia"/>
          <w:sz w:val="24"/>
        </w:rPr>
        <w:t>劳动，让学生进一步强化对劳模精神和工匠精神的学习，营造劳动光荣的社会风尚和精益求精的敬业风气。</w:t>
      </w:r>
    </w:p>
    <w:p w14:paraId="0DDDA26E"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【复习思考】</w:t>
      </w:r>
    </w:p>
    <w:p w14:paraId="0AAD1E6C" w14:textId="77777777" w:rsidR="00BC4EF1" w:rsidRDefault="00BC4EF1" w:rsidP="00BC4EF1">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1.通过学习，谈谈何为劳动模范和劳模精神？</w:t>
      </w:r>
    </w:p>
    <w:p w14:paraId="2E74BB26" w14:textId="77777777" w:rsidR="00BC4EF1" w:rsidRDefault="00BC4EF1" w:rsidP="00BC4EF1">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2.阐述新时代劳模精神的内涵。</w:t>
      </w:r>
    </w:p>
    <w:p w14:paraId="4F3C7732" w14:textId="77777777" w:rsidR="00BC4EF1" w:rsidRDefault="00BC4EF1" w:rsidP="00BC4EF1">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3.劳模精神的时代价值体现在哪些方面？</w:t>
      </w:r>
    </w:p>
    <w:p w14:paraId="5DB5A390" w14:textId="77777777" w:rsidR="00BC4EF1" w:rsidRDefault="00BC4EF1" w:rsidP="00BC4EF1">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4.结合劳动模范的先进事迹，谈谈你对劳模精神核心内容的理解。</w:t>
      </w:r>
    </w:p>
    <w:p w14:paraId="1C50A275" w14:textId="77777777" w:rsidR="00BC4EF1" w:rsidRDefault="00BC4EF1" w:rsidP="00BC4EF1">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5.以小组为单位，结合大学生自身实际，探讨如何</w:t>
      </w:r>
      <w:proofErr w:type="gramStart"/>
      <w:r>
        <w:rPr>
          <w:rFonts w:ascii="宋体" w:eastAsia="宋体" w:hAnsi="宋体" w:cs="宋体" w:hint="eastAsia"/>
          <w:sz w:val="24"/>
          <w:szCs w:val="24"/>
        </w:rPr>
        <w:t>践行</w:t>
      </w:r>
      <w:proofErr w:type="gramEnd"/>
      <w:r>
        <w:rPr>
          <w:rFonts w:ascii="宋体" w:eastAsia="宋体" w:hAnsi="宋体" w:cs="宋体" w:hint="eastAsia"/>
          <w:sz w:val="24"/>
          <w:szCs w:val="24"/>
        </w:rPr>
        <w:t>劳模精神并进行交流汇报。</w:t>
      </w:r>
    </w:p>
    <w:p w14:paraId="5C751F7E" w14:textId="77777777" w:rsidR="00BC4EF1" w:rsidRDefault="00BC4EF1" w:rsidP="00BC4EF1">
      <w:pPr>
        <w:spacing w:beforeLines="50" w:before="156" w:afterLines="50" w:after="156" w:line="440" w:lineRule="exact"/>
        <w:jc w:val="center"/>
        <w:rPr>
          <w:rFonts w:ascii="黑体" w:eastAsia="黑体" w:hAnsi="黑体" w:cs="Times New Roman"/>
          <w:sz w:val="28"/>
          <w:szCs w:val="28"/>
        </w:rPr>
      </w:pPr>
      <w:r>
        <w:rPr>
          <w:rFonts w:ascii="黑体" w:eastAsia="黑体" w:hAnsi="黑体" w:cs="Times New Roman" w:hint="eastAsia"/>
          <w:sz w:val="28"/>
          <w:szCs w:val="28"/>
        </w:rPr>
        <w:t>专题四　传承工匠精神 坚守工匠初心</w:t>
      </w:r>
    </w:p>
    <w:p w14:paraId="14461F6F"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【学习目标】</w:t>
      </w:r>
    </w:p>
    <w:p w14:paraId="6130A610"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1.认知类目标：掌握新时代工匠精神的内涵，理解工匠精神的核心内容。了解传承和培养工匠精神的关键、目的、举措等；</w:t>
      </w:r>
    </w:p>
    <w:p w14:paraId="225F8B42"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lastRenderedPageBreak/>
        <w:t>2.过程与方法类目标：通过对工匠精神相关基础理论知识的学习和对大国工匠先进事迹的了解，体会、感悟工匠精神的深刻内涵，逐步内化为动力和目标，沉下心专注专业、潜心研究，养成认真、负责、严谨的学习工作态度；</w:t>
      </w:r>
    </w:p>
    <w:p w14:paraId="466E157A"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3.情感、态度、价值观类目标：领会爱岗敬业、精益求精、执着专注、团结协作的新时代工匠精神，除去浮躁与急功近利，提升职业信心和职业素养，形成一丝不苟的做事态度、追求卓越的创新思维，树立正确的世界观、价值观。</w:t>
      </w:r>
    </w:p>
    <w:p w14:paraId="083AD37F"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【学习内容】</w:t>
      </w:r>
    </w:p>
    <w:p w14:paraId="53D0715F" w14:textId="77777777" w:rsidR="00BC4EF1" w:rsidRDefault="00BC4EF1" w:rsidP="00BC4EF1">
      <w:pPr>
        <w:tabs>
          <w:tab w:val="left" w:pos="312"/>
        </w:tabs>
        <w:spacing w:line="440" w:lineRule="exact"/>
        <w:ind w:firstLineChars="200" w:firstLine="480"/>
        <w:rPr>
          <w:rFonts w:ascii="宋体" w:eastAsia="宋体" w:hAnsi="宋体" w:cs="Times New Roman"/>
          <w:sz w:val="24"/>
        </w:rPr>
      </w:pPr>
      <w:r>
        <w:rPr>
          <w:rFonts w:ascii="宋体" w:eastAsia="宋体" w:hAnsi="宋体" w:cs="Times New Roman" w:hint="eastAsia"/>
          <w:sz w:val="24"/>
        </w:rPr>
        <w:t>1</w:t>
      </w:r>
      <w:r>
        <w:rPr>
          <w:rFonts w:ascii="宋体" w:eastAsia="宋体" w:hAnsi="宋体" w:cs="Times New Roman"/>
          <w:sz w:val="24"/>
        </w:rPr>
        <w:t>.</w:t>
      </w:r>
      <w:r>
        <w:rPr>
          <w:rFonts w:ascii="宋体" w:eastAsia="宋体" w:hAnsi="宋体" w:cs="Times New Roman" w:hint="eastAsia"/>
          <w:sz w:val="24"/>
        </w:rPr>
        <w:t>工匠精神的历史发展；</w:t>
      </w:r>
    </w:p>
    <w:p w14:paraId="7E9A393A" w14:textId="77777777" w:rsidR="00BC4EF1" w:rsidRDefault="00BC4EF1" w:rsidP="00BC4EF1">
      <w:pPr>
        <w:tabs>
          <w:tab w:val="left" w:pos="312"/>
        </w:tabs>
        <w:spacing w:line="440" w:lineRule="exact"/>
        <w:ind w:firstLineChars="200" w:firstLine="480"/>
        <w:rPr>
          <w:rFonts w:ascii="宋体" w:eastAsia="宋体" w:hAnsi="宋体" w:cs="Times New Roman"/>
          <w:sz w:val="24"/>
        </w:rPr>
      </w:pPr>
      <w:r>
        <w:rPr>
          <w:rFonts w:ascii="宋体" w:eastAsia="宋体" w:hAnsi="宋体" w:cs="Times New Roman" w:hint="eastAsia"/>
          <w:sz w:val="24"/>
        </w:rPr>
        <w:t>2.新时代工匠精神的内涵；</w:t>
      </w:r>
    </w:p>
    <w:p w14:paraId="7D925F9A" w14:textId="77777777" w:rsidR="00BC4EF1" w:rsidRDefault="00BC4EF1" w:rsidP="00BC4EF1">
      <w:pPr>
        <w:tabs>
          <w:tab w:val="left" w:pos="312"/>
        </w:tabs>
        <w:spacing w:line="440" w:lineRule="exact"/>
        <w:ind w:firstLineChars="200" w:firstLine="480"/>
        <w:rPr>
          <w:rFonts w:ascii="宋体" w:eastAsia="宋体" w:hAnsi="宋体" w:cs="Times New Roman"/>
          <w:sz w:val="24"/>
        </w:rPr>
      </w:pPr>
      <w:r>
        <w:rPr>
          <w:rFonts w:ascii="宋体" w:eastAsia="宋体" w:hAnsi="宋体" w:cs="Times New Roman" w:hint="eastAsia"/>
          <w:sz w:val="24"/>
        </w:rPr>
        <w:t>3.工匠精神的核心内容；</w:t>
      </w:r>
    </w:p>
    <w:p w14:paraId="736A88C2" w14:textId="77777777" w:rsidR="00BC4EF1" w:rsidRDefault="00BC4EF1" w:rsidP="00BC4EF1">
      <w:pPr>
        <w:tabs>
          <w:tab w:val="left" w:pos="312"/>
        </w:tabs>
        <w:spacing w:line="440" w:lineRule="exact"/>
        <w:ind w:firstLineChars="200" w:firstLine="480"/>
        <w:rPr>
          <w:rFonts w:ascii="宋体" w:eastAsia="宋体" w:hAnsi="宋体" w:cs="Times New Roman"/>
          <w:sz w:val="24"/>
        </w:rPr>
      </w:pPr>
      <w:r>
        <w:rPr>
          <w:rFonts w:ascii="宋体" w:eastAsia="宋体" w:hAnsi="宋体" w:cs="Times New Roman" w:hint="eastAsia"/>
          <w:sz w:val="24"/>
        </w:rPr>
        <w:t>4.传承和培育工匠精神。</w:t>
      </w:r>
    </w:p>
    <w:p w14:paraId="590D7761"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【重点】</w:t>
      </w:r>
    </w:p>
    <w:p w14:paraId="74A9BCA5" w14:textId="77777777" w:rsidR="00BC4EF1" w:rsidRDefault="00BC4EF1" w:rsidP="00BC4EF1">
      <w:pPr>
        <w:tabs>
          <w:tab w:val="left" w:pos="312"/>
        </w:tabs>
        <w:spacing w:line="440" w:lineRule="exact"/>
        <w:ind w:firstLineChars="200" w:firstLine="480"/>
        <w:rPr>
          <w:rFonts w:ascii="宋体" w:eastAsia="宋体" w:hAnsi="宋体" w:cs="Times New Roman"/>
          <w:sz w:val="24"/>
        </w:rPr>
      </w:pPr>
      <w:r>
        <w:rPr>
          <w:rFonts w:ascii="宋体" w:eastAsia="宋体" w:hAnsi="宋体" w:cs="Times New Roman" w:hint="eastAsia"/>
          <w:sz w:val="24"/>
        </w:rPr>
        <w:t>1</w:t>
      </w:r>
      <w:r>
        <w:rPr>
          <w:rFonts w:ascii="宋体" w:eastAsia="宋体" w:hAnsi="宋体" w:cs="Times New Roman"/>
          <w:sz w:val="24"/>
        </w:rPr>
        <w:t>.</w:t>
      </w:r>
      <w:r>
        <w:rPr>
          <w:rFonts w:ascii="宋体" w:eastAsia="宋体" w:hAnsi="宋体" w:cs="Times New Roman" w:hint="eastAsia"/>
          <w:sz w:val="24"/>
        </w:rPr>
        <w:t>新时代工匠精神的本质与特征；</w:t>
      </w:r>
    </w:p>
    <w:p w14:paraId="2EB7022D" w14:textId="77777777" w:rsidR="00BC4EF1" w:rsidRDefault="00BC4EF1" w:rsidP="00BC4EF1">
      <w:pPr>
        <w:tabs>
          <w:tab w:val="left" w:pos="312"/>
        </w:tabs>
        <w:spacing w:line="440" w:lineRule="exact"/>
        <w:ind w:firstLineChars="200" w:firstLine="480"/>
        <w:rPr>
          <w:rFonts w:ascii="宋体" w:eastAsia="宋体" w:hAnsi="宋体" w:cs="Times New Roman"/>
          <w:sz w:val="24"/>
        </w:rPr>
      </w:pPr>
      <w:r>
        <w:rPr>
          <w:rFonts w:ascii="宋体" w:eastAsia="宋体" w:hAnsi="宋体" w:cs="Times New Roman" w:hint="eastAsia"/>
          <w:sz w:val="24"/>
        </w:rPr>
        <w:t>2</w:t>
      </w:r>
      <w:r>
        <w:rPr>
          <w:rFonts w:ascii="宋体" w:eastAsia="宋体" w:hAnsi="宋体" w:cs="Times New Roman"/>
          <w:sz w:val="24"/>
        </w:rPr>
        <w:t>.</w:t>
      </w:r>
      <w:r>
        <w:rPr>
          <w:rFonts w:ascii="宋体" w:eastAsia="宋体" w:hAnsi="宋体" w:cs="Times New Roman" w:hint="eastAsia"/>
          <w:sz w:val="24"/>
        </w:rPr>
        <w:t>工匠精神核心内容的当代价值。</w:t>
      </w:r>
    </w:p>
    <w:p w14:paraId="3DDB321E"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【难点】</w:t>
      </w:r>
    </w:p>
    <w:p w14:paraId="1D1E8477" w14:textId="77777777" w:rsidR="00BC4EF1" w:rsidRDefault="00BC4EF1" w:rsidP="00BC4EF1">
      <w:pPr>
        <w:spacing w:line="440" w:lineRule="exact"/>
        <w:ind w:firstLineChars="200" w:firstLine="480"/>
        <w:rPr>
          <w:rFonts w:ascii="宋体" w:eastAsia="等线" w:hAnsi="宋体" w:cs="Times New Roman"/>
          <w:b/>
          <w:sz w:val="24"/>
        </w:rPr>
      </w:pPr>
      <w:r>
        <w:rPr>
          <w:rFonts w:ascii="宋体" w:eastAsia="等线" w:hAnsi="宋体" w:cs="Times New Roman" w:hint="eastAsia"/>
          <w:sz w:val="24"/>
        </w:rPr>
        <w:t>1</w:t>
      </w:r>
      <w:r>
        <w:rPr>
          <w:rFonts w:ascii="宋体" w:eastAsia="等线" w:hAnsi="宋体" w:cs="Times New Roman"/>
          <w:sz w:val="24"/>
        </w:rPr>
        <w:t>.</w:t>
      </w:r>
      <w:r>
        <w:rPr>
          <w:rFonts w:ascii="宋体" w:eastAsia="宋体" w:hAnsi="宋体" w:cs="Times New Roman" w:hint="eastAsia"/>
          <w:sz w:val="24"/>
        </w:rPr>
        <w:t>工匠精神与劳模精神、劳动精神的关系；</w:t>
      </w:r>
    </w:p>
    <w:p w14:paraId="36CC7B5C"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等线" w:hAnsi="宋体" w:cs="Times New Roman" w:hint="eastAsia"/>
          <w:sz w:val="24"/>
        </w:rPr>
        <w:t>2</w:t>
      </w:r>
      <w:r>
        <w:rPr>
          <w:rFonts w:ascii="宋体" w:eastAsia="等线" w:hAnsi="宋体" w:cs="Times New Roman"/>
          <w:sz w:val="24"/>
        </w:rPr>
        <w:t>.</w:t>
      </w:r>
      <w:r>
        <w:rPr>
          <w:rFonts w:ascii="宋体" w:eastAsia="宋体" w:hAnsi="宋体" w:cs="Times New Roman" w:hint="eastAsia"/>
          <w:sz w:val="24"/>
        </w:rPr>
        <w:t>传承工匠精神的措施。</w:t>
      </w:r>
    </w:p>
    <w:p w14:paraId="5DA53FC1"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【教学方法】</w:t>
      </w:r>
    </w:p>
    <w:p w14:paraId="278BA5F5"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1.通过教师系统讲授和学生自主探究相结合，引导学生了解和学习工匠精神，深刻领会工匠精神在当代社会主义现代化建设中的</w:t>
      </w:r>
      <w:proofErr w:type="gramStart"/>
      <w:r>
        <w:rPr>
          <w:rFonts w:ascii="宋体" w:eastAsia="宋体" w:hAnsi="宋体" w:cs="宋体" w:hint="eastAsia"/>
          <w:sz w:val="24"/>
        </w:rPr>
        <w:t>的</w:t>
      </w:r>
      <w:proofErr w:type="gramEnd"/>
      <w:r>
        <w:rPr>
          <w:rFonts w:ascii="宋体" w:eastAsia="宋体" w:hAnsi="宋体" w:cs="宋体" w:hint="eastAsia"/>
          <w:sz w:val="24"/>
        </w:rPr>
        <w:t>必要性；</w:t>
      </w:r>
    </w:p>
    <w:p w14:paraId="336A6F7D"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通过“高凤林”“胡双钱”“工艺美术师孟剑锋”“高铁技能大师罗绍强”等案例分析，引导当代大学生认同工匠精神、实践工匠精神，用匠心、匠人、精品作为自己的努力方向，进一步树立正确的工匠价值观。</w:t>
      </w:r>
    </w:p>
    <w:p w14:paraId="1543CCD4"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【复习思考】</w:t>
      </w:r>
    </w:p>
    <w:p w14:paraId="6515A041" w14:textId="77777777" w:rsidR="00BC4EF1" w:rsidRDefault="00BC4EF1" w:rsidP="00BC4EF1">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1.通过学习，谈谈什么是新时代工匠精神？</w:t>
      </w:r>
    </w:p>
    <w:p w14:paraId="09B1C325" w14:textId="77777777" w:rsidR="00BC4EF1" w:rsidRDefault="00BC4EF1" w:rsidP="00BC4EF1">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2.思考工匠精神核心内容对自己的启迪？</w:t>
      </w:r>
    </w:p>
    <w:p w14:paraId="03981AA4" w14:textId="77777777" w:rsidR="00BC4EF1" w:rsidRDefault="00BC4EF1" w:rsidP="00BC4EF1">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3.查阅相关资料，学习一位大国工匠的事迹，交流学习感受。</w:t>
      </w:r>
    </w:p>
    <w:p w14:paraId="7D42C1E4" w14:textId="77777777" w:rsidR="00BC4EF1" w:rsidRDefault="00BC4EF1" w:rsidP="00BC4EF1">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4.大国工匠高铁首席研磨师宁允展说：“我不是完人，但我的产品一定是完美的，做到这一点，需要一辈子踏踏实实做手艺。” 结合你的学习，谈谈你对这句话的理解。</w:t>
      </w:r>
    </w:p>
    <w:p w14:paraId="05155080" w14:textId="77777777" w:rsidR="00BC4EF1" w:rsidRDefault="00BC4EF1" w:rsidP="00BC4EF1">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5.在教师指导下分组设计访谈提纲，访谈老师、同学、社会人士等对工匠精神的理解和</w:t>
      </w:r>
      <w:proofErr w:type="gramStart"/>
      <w:r>
        <w:rPr>
          <w:rFonts w:ascii="宋体" w:eastAsia="宋体" w:hAnsi="宋体" w:cs="宋体" w:hint="eastAsia"/>
          <w:sz w:val="24"/>
          <w:szCs w:val="24"/>
        </w:rPr>
        <w:t>践行</w:t>
      </w:r>
      <w:proofErr w:type="gramEnd"/>
      <w:r>
        <w:rPr>
          <w:rFonts w:ascii="宋体" w:eastAsia="宋体" w:hAnsi="宋体" w:cs="宋体" w:hint="eastAsia"/>
          <w:sz w:val="24"/>
          <w:szCs w:val="24"/>
        </w:rPr>
        <w:t>，并完成调查分析。</w:t>
      </w:r>
    </w:p>
    <w:p w14:paraId="1DBDFDF7" w14:textId="77777777" w:rsidR="00BC4EF1" w:rsidRDefault="00BC4EF1" w:rsidP="00BC4EF1">
      <w:pPr>
        <w:spacing w:beforeLines="50" w:before="156" w:afterLines="50" w:after="156" w:line="440" w:lineRule="exact"/>
        <w:jc w:val="center"/>
        <w:rPr>
          <w:rFonts w:ascii="黑体" w:eastAsia="黑体" w:hAnsi="黑体" w:cs="Times New Roman"/>
          <w:sz w:val="28"/>
          <w:szCs w:val="28"/>
        </w:rPr>
      </w:pPr>
      <w:r>
        <w:rPr>
          <w:rFonts w:ascii="黑体" w:eastAsia="黑体" w:hAnsi="黑体" w:cs="Times New Roman" w:hint="eastAsia"/>
          <w:sz w:val="28"/>
          <w:szCs w:val="28"/>
        </w:rPr>
        <w:lastRenderedPageBreak/>
        <w:t>专题五　大学生劳动教育的品德锻造与情怀培育</w:t>
      </w:r>
    </w:p>
    <w:p w14:paraId="1CC4C0CD"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【学习目标】</w:t>
      </w:r>
    </w:p>
    <w:p w14:paraId="43254AAB"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1.认知类目标：理解劳动品德内涵，了解大学生群体出现的常见问题，理解情感教育的内涵，了解大学生劳动情怀的范畴；</w:t>
      </w:r>
    </w:p>
    <w:p w14:paraId="08AE65EE"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过程与方法类目标：能够在对劳动品德的理解中，实现大学生对劳动品德的锻造；能够在理解劳动情怀的过程中，主动将劳动情怀融入到个人职业生涯规划及人生价值追求中，将爱劳动与爱自己、爱社会、爱祖国融为一体；</w:t>
      </w:r>
    </w:p>
    <w:p w14:paraId="25890CD7"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3.情感、态度、价值观类目标：引导学生锻造形成良好的劳动品德，增强学生对劳动的情感认同与实践自觉，进一步引导学生形成正确的世界观、人生观、价值观；引导学生端正劳动态度，培育学生爱岗敬业的劳动精神和精益求精的劳动品质，养成良好的劳动习惯，做合格社会主义建设者和接班人。</w:t>
      </w:r>
    </w:p>
    <w:p w14:paraId="15BE627C"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【学习内容】</w:t>
      </w:r>
    </w:p>
    <w:p w14:paraId="43D4E25F"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1</w:t>
      </w:r>
      <w:r>
        <w:rPr>
          <w:rFonts w:ascii="宋体" w:eastAsia="宋体" w:hAnsi="宋体" w:cs="宋体"/>
          <w:sz w:val="24"/>
        </w:rPr>
        <w:t>.</w:t>
      </w:r>
      <w:r>
        <w:rPr>
          <w:rFonts w:ascii="宋体" w:eastAsia="宋体" w:hAnsi="宋体" w:cs="宋体" w:hint="eastAsia"/>
          <w:sz w:val="24"/>
        </w:rPr>
        <w:t>新时代大学生劳动品德的现状及成因；</w:t>
      </w:r>
    </w:p>
    <w:p w14:paraId="58FD409C"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2</w:t>
      </w:r>
      <w:r>
        <w:rPr>
          <w:rFonts w:ascii="宋体" w:eastAsia="宋体" w:hAnsi="宋体" w:cs="宋体"/>
          <w:sz w:val="24"/>
        </w:rPr>
        <w:t>.</w:t>
      </w:r>
      <w:r>
        <w:rPr>
          <w:rFonts w:ascii="宋体" w:eastAsia="宋体" w:hAnsi="宋体" w:cs="宋体" w:hint="eastAsia"/>
          <w:sz w:val="24"/>
        </w:rPr>
        <w:t>新时代大学生劳动情怀培育。</w:t>
      </w:r>
    </w:p>
    <w:p w14:paraId="06A4824F"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【重点】</w:t>
      </w:r>
    </w:p>
    <w:p w14:paraId="7027B7CF"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1</w:t>
      </w:r>
      <w:r>
        <w:rPr>
          <w:rFonts w:ascii="宋体" w:eastAsia="宋体" w:hAnsi="宋体" w:cs="宋体"/>
          <w:sz w:val="24"/>
        </w:rPr>
        <w:t>.</w:t>
      </w:r>
      <w:r>
        <w:rPr>
          <w:rFonts w:ascii="宋体" w:eastAsia="宋体" w:hAnsi="宋体" w:cs="宋体" w:hint="eastAsia"/>
          <w:sz w:val="24"/>
        </w:rPr>
        <w:t>劳动品德的内涵、表现；</w:t>
      </w:r>
    </w:p>
    <w:p w14:paraId="3EC3795C"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2.辛勤劳动特征；</w:t>
      </w:r>
    </w:p>
    <w:p w14:paraId="6C138D52"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3.诚实劳动特征；</w:t>
      </w:r>
    </w:p>
    <w:p w14:paraId="452166E5"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4.珍惜劳动成果意义；</w:t>
      </w:r>
    </w:p>
    <w:p w14:paraId="2D752C72"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5.劳动情怀的内涵；</w:t>
      </w:r>
    </w:p>
    <w:p w14:paraId="0336CF4F"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6.大学生劳动情怀的培育。</w:t>
      </w:r>
    </w:p>
    <w:p w14:paraId="68BBBE86"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【难点】</w:t>
      </w:r>
    </w:p>
    <w:p w14:paraId="0588F6B3" w14:textId="77777777" w:rsidR="00BC4EF1" w:rsidRDefault="00BC4EF1" w:rsidP="00BC4EF1">
      <w:pPr>
        <w:spacing w:line="440" w:lineRule="exact"/>
        <w:ind w:firstLineChars="200" w:firstLine="480"/>
        <w:rPr>
          <w:rFonts w:ascii="宋体" w:eastAsia="宋体" w:hAnsi="宋体" w:cs="宋体"/>
          <w:b/>
          <w:sz w:val="24"/>
        </w:rPr>
      </w:pPr>
      <w:r>
        <w:rPr>
          <w:rFonts w:ascii="宋体" w:eastAsia="宋体" w:hAnsi="宋体" w:cs="宋体" w:hint="eastAsia"/>
          <w:sz w:val="24"/>
        </w:rPr>
        <w:t>1.深刻理解大学生品德涵养的具体措施；</w:t>
      </w:r>
    </w:p>
    <w:p w14:paraId="726CD73D"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2.准确对大学生劳动情怀合理范畴进行解读。</w:t>
      </w:r>
    </w:p>
    <w:p w14:paraId="548A316D"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【教学方法】</w:t>
      </w:r>
    </w:p>
    <w:p w14:paraId="5496FC96"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1.通过教师系统讲授和学生自主探究相结合，引导学生了解劳动品德涵养的方法以及劳动情怀培育的途径；</w:t>
      </w:r>
    </w:p>
    <w:p w14:paraId="3F64E61A"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2.通过“朱镕基：不做假账！”“逆境中的华为勇夺纳税之冠”“毛泽东的劳动情怀”等案例分析，结合当前大学生群体中的常见问题，进一步强化对学生劳动品德的锻造与劳动情怀培养。</w:t>
      </w:r>
    </w:p>
    <w:p w14:paraId="1CDC4498" w14:textId="77777777" w:rsidR="00BC4EF1" w:rsidRDefault="00BC4EF1" w:rsidP="00BC4EF1">
      <w:pPr>
        <w:spacing w:line="440" w:lineRule="exact"/>
        <w:ind w:firstLineChars="200" w:firstLine="482"/>
        <w:rPr>
          <w:rFonts w:ascii="宋体" w:eastAsia="宋体" w:hAnsi="宋体" w:cs="Times New Roman"/>
          <w:sz w:val="24"/>
        </w:rPr>
      </w:pPr>
      <w:r>
        <w:rPr>
          <w:rFonts w:ascii="宋体" w:eastAsia="宋体" w:hAnsi="宋体" w:cs="宋体" w:hint="eastAsia"/>
          <w:b/>
          <w:sz w:val="24"/>
        </w:rPr>
        <w:lastRenderedPageBreak/>
        <w:t>【复习思考】</w:t>
      </w:r>
    </w:p>
    <w:p w14:paraId="49404A31"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1.请谈一谈让你印象深刻的身边普通劳动者的故事。你如何看待这些故事所体现出来的劳动价值？</w:t>
      </w:r>
    </w:p>
    <w:p w14:paraId="426B24E0"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2.你从事过哪些体力劳动？请举例说明至少一项，试着描述当时劳动的过程以及自己的所感所想。</w:t>
      </w:r>
    </w:p>
    <w:p w14:paraId="23726E82"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3.你如何看待马克思的劳动价值观？可以先试着阐述，再结合自己在现实中的观察和体会加以解释。</w:t>
      </w:r>
    </w:p>
    <w:p w14:paraId="78062F7D"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4.通过学习，谈谈什么是情怀，什么是劳动情怀？</w:t>
      </w:r>
    </w:p>
    <w:p w14:paraId="2058CC71"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5.结合劳动情怀的内涵，谈谈你及朋友“尊重劳动者”的具体的体现和行为。</w:t>
      </w:r>
    </w:p>
    <w:p w14:paraId="09A7D29C"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6.查阅相关资料，学习当代青年平凡的工作岗位上一位劳动模范的事迹，交流学习感受。</w:t>
      </w:r>
    </w:p>
    <w:p w14:paraId="0647700F"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7.李大钊曾说：“我觉得人生求乐的方法，最好莫过于尊重劳动。一切乐境，都可由劳动得来，一切苦境，都可由劳动解脱。”结合学习，谈谈你对这句话的理解。</w:t>
      </w:r>
    </w:p>
    <w:p w14:paraId="7DA2AA90"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8.在教师指导下分组设计调查问卷，调查了解大学生对劳动情怀的认知及</w:t>
      </w:r>
      <w:proofErr w:type="gramStart"/>
      <w:r>
        <w:rPr>
          <w:rFonts w:ascii="宋体" w:eastAsia="宋体" w:hAnsi="宋体" w:cs="Times New Roman" w:hint="eastAsia"/>
          <w:sz w:val="24"/>
        </w:rPr>
        <w:t>践行</w:t>
      </w:r>
      <w:proofErr w:type="gramEnd"/>
      <w:r>
        <w:rPr>
          <w:rFonts w:ascii="宋体" w:eastAsia="宋体" w:hAnsi="宋体" w:cs="Times New Roman" w:hint="eastAsia"/>
          <w:sz w:val="24"/>
        </w:rPr>
        <w:t>劳动情怀的举措，并完成调查分析。</w:t>
      </w:r>
    </w:p>
    <w:p w14:paraId="64766294" w14:textId="77777777" w:rsidR="00BC4EF1" w:rsidRDefault="00BC4EF1" w:rsidP="00BC4EF1">
      <w:pPr>
        <w:spacing w:beforeLines="50" w:before="156" w:afterLines="50" w:after="156" w:line="440" w:lineRule="exact"/>
        <w:jc w:val="center"/>
        <w:rPr>
          <w:rFonts w:ascii="黑体" w:eastAsia="黑体" w:hAnsi="黑体" w:cs="Times New Roman"/>
          <w:sz w:val="28"/>
          <w:szCs w:val="28"/>
        </w:rPr>
      </w:pPr>
      <w:r>
        <w:rPr>
          <w:rFonts w:ascii="黑体" w:eastAsia="黑体" w:hAnsi="黑体" w:cs="Times New Roman" w:hint="eastAsia"/>
          <w:sz w:val="28"/>
          <w:szCs w:val="28"/>
        </w:rPr>
        <w:t>专题六　新时代大学生日常生活劳动教育</w:t>
      </w:r>
    </w:p>
    <w:p w14:paraId="2CB0A2CE"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【学习目标】</w:t>
      </w:r>
    </w:p>
    <w:p w14:paraId="0F6286EA"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1.认知类目标：理解日常生活劳动教育的内涵，了解马克思主义劳动观，学</w:t>
      </w:r>
      <w:proofErr w:type="gramStart"/>
      <w:r>
        <w:rPr>
          <w:rFonts w:ascii="宋体" w:eastAsia="宋体" w:hAnsi="宋体" w:cs="宋体" w:hint="eastAsia"/>
          <w:sz w:val="24"/>
        </w:rPr>
        <w:t>习习近</w:t>
      </w:r>
      <w:proofErr w:type="gramEnd"/>
      <w:r>
        <w:rPr>
          <w:rFonts w:ascii="宋体" w:eastAsia="宋体" w:hAnsi="宋体" w:cs="宋体" w:hint="eastAsia"/>
          <w:sz w:val="24"/>
        </w:rPr>
        <w:t>平新时代中国特色社会主义劳动价值观；</w:t>
      </w:r>
    </w:p>
    <w:p w14:paraId="51DE7CD3"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2.过程与方法类目标：在参加日常生活劳动的过程中，提升自己最基本的生活能力、增强个人独立性和责任感；</w:t>
      </w:r>
    </w:p>
    <w:p w14:paraId="5F677EDF"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3.情感、态度、价值观类目标：引导学生树立尊重劳动、热爱劳动、积极参与劳动的良好观念。通过切身实践，提高彼此分工、共同努力，共创幸福的归属感，塑造正确的人生观、价值观和世界观。</w:t>
      </w:r>
    </w:p>
    <w:p w14:paraId="207B1126"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【学习内容】</w:t>
      </w:r>
    </w:p>
    <w:p w14:paraId="2C4D9401"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1.了解日常生活劳动；</w:t>
      </w:r>
    </w:p>
    <w:p w14:paraId="3733C2DB"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2</w:t>
      </w:r>
      <w:r>
        <w:rPr>
          <w:rFonts w:ascii="宋体" w:eastAsia="宋体" w:hAnsi="宋体" w:cs="宋体"/>
          <w:sz w:val="24"/>
        </w:rPr>
        <w:t>.</w:t>
      </w:r>
      <w:r>
        <w:rPr>
          <w:rFonts w:ascii="宋体" w:eastAsia="宋体" w:hAnsi="宋体" w:cs="宋体" w:hint="eastAsia"/>
          <w:sz w:val="24"/>
        </w:rPr>
        <w:t>明晰日常生活劳动的社会与个人价值；</w:t>
      </w:r>
    </w:p>
    <w:p w14:paraId="57C712E4"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3</w:t>
      </w:r>
      <w:r>
        <w:rPr>
          <w:rFonts w:ascii="宋体" w:eastAsia="宋体" w:hAnsi="宋体" w:cs="宋体"/>
          <w:sz w:val="24"/>
        </w:rPr>
        <w:t>.</w:t>
      </w:r>
      <w:r>
        <w:rPr>
          <w:rFonts w:ascii="宋体" w:eastAsia="宋体" w:hAnsi="宋体" w:cs="宋体" w:hint="eastAsia"/>
          <w:sz w:val="24"/>
        </w:rPr>
        <w:t>学会常见的劳动技能。</w:t>
      </w:r>
    </w:p>
    <w:p w14:paraId="0B2C8BAC"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【重点】</w:t>
      </w:r>
    </w:p>
    <w:p w14:paraId="46F70CF7"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1.懂得日常营养膳食与调配；</w:t>
      </w:r>
    </w:p>
    <w:p w14:paraId="0EB94483"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lastRenderedPageBreak/>
        <w:t>2</w:t>
      </w:r>
      <w:r>
        <w:rPr>
          <w:rFonts w:ascii="宋体" w:eastAsia="宋体" w:hAnsi="宋体" w:cs="宋体"/>
          <w:sz w:val="24"/>
        </w:rPr>
        <w:t>.</w:t>
      </w:r>
      <w:r>
        <w:rPr>
          <w:rFonts w:ascii="宋体" w:eastAsia="宋体" w:hAnsi="宋体" w:cs="宋体" w:hint="eastAsia"/>
          <w:sz w:val="24"/>
        </w:rPr>
        <w:t>懂得日常卫生清洁与整理；</w:t>
      </w:r>
    </w:p>
    <w:p w14:paraId="748614D4"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3</w:t>
      </w:r>
      <w:r>
        <w:rPr>
          <w:rFonts w:ascii="宋体" w:eastAsia="宋体" w:hAnsi="宋体" w:cs="宋体"/>
          <w:sz w:val="24"/>
        </w:rPr>
        <w:t>.</w:t>
      </w:r>
      <w:r>
        <w:rPr>
          <w:rFonts w:ascii="宋体" w:eastAsia="宋体" w:hAnsi="宋体" w:cs="宋体" w:hint="eastAsia"/>
          <w:sz w:val="24"/>
        </w:rPr>
        <w:t>能够进行</w:t>
      </w:r>
      <w:proofErr w:type="gramStart"/>
      <w:r>
        <w:rPr>
          <w:rFonts w:ascii="宋体" w:eastAsia="宋体" w:hAnsi="宋体" w:cs="宋体" w:hint="eastAsia"/>
          <w:sz w:val="24"/>
        </w:rPr>
        <w:t>日常绿植栽培</w:t>
      </w:r>
      <w:proofErr w:type="gramEnd"/>
      <w:r>
        <w:rPr>
          <w:rFonts w:ascii="宋体" w:eastAsia="宋体" w:hAnsi="宋体" w:cs="宋体" w:hint="eastAsia"/>
          <w:sz w:val="24"/>
        </w:rPr>
        <w:t>与管理。</w:t>
      </w:r>
    </w:p>
    <w:p w14:paraId="56D9EE8B"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【难点】</w:t>
      </w:r>
    </w:p>
    <w:p w14:paraId="01A12922" w14:textId="77777777" w:rsidR="00BC4EF1" w:rsidRDefault="00BC4EF1" w:rsidP="00BC4EF1">
      <w:pPr>
        <w:spacing w:line="440" w:lineRule="exact"/>
        <w:ind w:firstLineChars="200" w:firstLine="480"/>
        <w:rPr>
          <w:rFonts w:ascii="宋体" w:eastAsia="宋体" w:hAnsi="宋体" w:cs="宋体"/>
          <w:b/>
          <w:sz w:val="24"/>
        </w:rPr>
      </w:pPr>
      <w:r>
        <w:rPr>
          <w:rFonts w:ascii="宋体" w:eastAsia="宋体" w:hAnsi="宋体" w:cs="宋体" w:hint="eastAsia"/>
          <w:sz w:val="24"/>
        </w:rPr>
        <w:t>1.日常紧急救护与家庭护理的实际操作；</w:t>
      </w:r>
    </w:p>
    <w:p w14:paraId="1EB3C0A4"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2.正确理解日常生活劳动的实际价值。</w:t>
      </w:r>
    </w:p>
    <w:p w14:paraId="70F20B66"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【教学方法】</w:t>
      </w:r>
    </w:p>
    <w:p w14:paraId="10AC39C3"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w:t>
      </w:r>
      <w:r>
        <w:rPr>
          <w:rFonts w:ascii="宋体" w:eastAsia="宋体" w:hAnsi="宋体" w:cs="宋体"/>
          <w:sz w:val="24"/>
        </w:rPr>
        <w:t>.</w:t>
      </w:r>
      <w:r>
        <w:rPr>
          <w:rFonts w:ascii="宋体" w:eastAsia="宋体" w:hAnsi="宋体" w:cs="宋体" w:hint="eastAsia"/>
          <w:sz w:val="24"/>
        </w:rPr>
        <w:t>通过教师系统讲授与学生自主探究相结合，引导学生亲自动手、亲身体悟，学会基本的生活技能。</w:t>
      </w:r>
    </w:p>
    <w:p w14:paraId="3A30A6B6"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w:t>
      </w:r>
      <w:r>
        <w:rPr>
          <w:rFonts w:ascii="宋体" w:eastAsia="宋体" w:hAnsi="宋体" w:cs="宋体"/>
          <w:sz w:val="24"/>
        </w:rPr>
        <w:t>.</w:t>
      </w:r>
      <w:r>
        <w:rPr>
          <w:rFonts w:ascii="宋体" w:eastAsia="宋体" w:hAnsi="宋体" w:cs="宋体" w:hint="eastAsia"/>
          <w:sz w:val="24"/>
        </w:rPr>
        <w:t>通过“退学大学生”“清理鞋子上的污渍”“合理膳食”等案例分析，结合当前大学生不愿劳动、不想劳动的现状，进一步引导学生爱上劳动、能够通过劳动增强社会人际交往，增强自身的生活生存能力。</w:t>
      </w:r>
    </w:p>
    <w:p w14:paraId="777868C8"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【复习思考】</w:t>
      </w:r>
    </w:p>
    <w:p w14:paraId="6158CA99"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1.什么是日常生活劳动？</w:t>
      </w:r>
    </w:p>
    <w:p w14:paraId="266138DC"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2.结合实际，谈谈如何提升日常生活劳动能力？</w:t>
      </w:r>
    </w:p>
    <w:p w14:paraId="7ACF0B43"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3.简述营养膳食的原则，为父母做一道可口的饭菜？</w:t>
      </w:r>
    </w:p>
    <w:p w14:paraId="73F00425"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4.参与日常生活劳动对大学生健康成长有哪些影响？</w:t>
      </w:r>
    </w:p>
    <w:p w14:paraId="59DBF48E" w14:textId="77777777" w:rsidR="00BC4EF1" w:rsidRDefault="00BC4EF1" w:rsidP="00BC4EF1">
      <w:pPr>
        <w:spacing w:beforeLines="50" w:before="156" w:afterLines="50" w:after="156" w:line="440" w:lineRule="exact"/>
        <w:jc w:val="center"/>
        <w:rPr>
          <w:rFonts w:ascii="黑体" w:eastAsia="黑体" w:hAnsi="黑体" w:cs="Times New Roman"/>
          <w:sz w:val="28"/>
          <w:szCs w:val="28"/>
        </w:rPr>
      </w:pPr>
      <w:proofErr w:type="gramStart"/>
      <w:r>
        <w:rPr>
          <w:rFonts w:ascii="黑体" w:eastAsia="黑体" w:hAnsi="黑体" w:cs="Times New Roman" w:hint="eastAsia"/>
          <w:sz w:val="28"/>
          <w:szCs w:val="28"/>
        </w:rPr>
        <w:t>专题七</w:t>
      </w:r>
      <w:proofErr w:type="gramEnd"/>
      <w:r>
        <w:rPr>
          <w:rFonts w:ascii="黑体" w:eastAsia="黑体" w:hAnsi="黑体" w:cs="Times New Roman" w:hint="eastAsia"/>
          <w:sz w:val="28"/>
          <w:szCs w:val="28"/>
        </w:rPr>
        <w:t xml:space="preserve">　新时代大学生生产劳动教育</w:t>
      </w:r>
    </w:p>
    <w:p w14:paraId="6641C1D4"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【学习目标】</w:t>
      </w:r>
    </w:p>
    <w:p w14:paraId="03B5BE7B"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1.认知类目标：理解生产劳动的内涵与特点，了解大学生的职业角色转化过程和意义，认识到专业知识在生产劳动中的作用，学习生产劳动涉及到的农业、工业和商业领域相关知识；</w:t>
      </w:r>
    </w:p>
    <w:p w14:paraId="6E592DB4"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过程与方法类目标：能够在对生产劳动的理解中，体会马克思主义劳动价值论的内涵，并逐步在学习与实践中增强专业知识的实用能力，运用马克思主义劳动观将创新创业理念投入到未来的职业性劳动中，从而更好地认知世界和改造世界；</w:t>
      </w:r>
    </w:p>
    <w:p w14:paraId="6E3B34FE"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3.情感、态度、价值观类目标：引导学生树立“着眼未来、立足当下、争做最强”的生产劳动观念，增强学生对专业知识创新性应用的情感投入与质量提升，引导学生正确认知劳动价值论，进一步形成正确的世界观、人生观、价值观。</w:t>
      </w:r>
    </w:p>
    <w:p w14:paraId="706CF5F9"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【学习内容】</w:t>
      </w:r>
    </w:p>
    <w:p w14:paraId="1F253B7C"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1.了解生产生活劳动；</w:t>
      </w:r>
    </w:p>
    <w:p w14:paraId="7267B86B"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2</w:t>
      </w:r>
      <w:r>
        <w:rPr>
          <w:rFonts w:ascii="宋体" w:eastAsia="宋体" w:hAnsi="宋体" w:cs="宋体"/>
          <w:sz w:val="24"/>
        </w:rPr>
        <w:t>.</w:t>
      </w:r>
      <w:r>
        <w:rPr>
          <w:rFonts w:ascii="宋体" w:eastAsia="宋体" w:hAnsi="宋体" w:cs="宋体" w:hint="eastAsia"/>
          <w:sz w:val="24"/>
        </w:rPr>
        <w:t>了解大学生职业角色转化过程；</w:t>
      </w:r>
    </w:p>
    <w:p w14:paraId="101ADFCE"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lastRenderedPageBreak/>
        <w:t>3</w:t>
      </w:r>
      <w:r>
        <w:rPr>
          <w:rFonts w:ascii="宋体" w:eastAsia="宋体" w:hAnsi="宋体" w:cs="宋体"/>
          <w:sz w:val="24"/>
        </w:rPr>
        <w:t>.</w:t>
      </w:r>
      <w:r>
        <w:rPr>
          <w:rFonts w:ascii="宋体" w:eastAsia="宋体" w:hAnsi="宋体" w:cs="宋体" w:hint="eastAsia"/>
          <w:sz w:val="24"/>
        </w:rPr>
        <w:t>明晰生产性劳动的分类。</w:t>
      </w:r>
    </w:p>
    <w:p w14:paraId="720889EB"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【重点】</w:t>
      </w:r>
    </w:p>
    <w:p w14:paraId="4CA00364"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1.生产劳动的含义、内容、特点；</w:t>
      </w:r>
    </w:p>
    <w:p w14:paraId="31AEF975"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2.生产劳动的职业角色转化意义、规律、准备；</w:t>
      </w:r>
    </w:p>
    <w:p w14:paraId="20A4C716"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3.生产劳动的实践内容、意义；</w:t>
      </w:r>
    </w:p>
    <w:p w14:paraId="6C7658B4"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4.农业生产、工业生产和服务商业的相关知识。</w:t>
      </w:r>
    </w:p>
    <w:p w14:paraId="1335D6B2"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【难点】</w:t>
      </w:r>
    </w:p>
    <w:p w14:paraId="137A3452" w14:textId="77777777" w:rsidR="00BC4EF1" w:rsidRDefault="00BC4EF1" w:rsidP="00BC4EF1">
      <w:pPr>
        <w:spacing w:line="440" w:lineRule="exact"/>
        <w:ind w:firstLineChars="200" w:firstLine="480"/>
        <w:rPr>
          <w:rFonts w:ascii="宋体" w:eastAsia="宋体" w:hAnsi="宋体" w:cs="宋体"/>
          <w:b/>
          <w:sz w:val="24"/>
        </w:rPr>
      </w:pPr>
      <w:r>
        <w:rPr>
          <w:rFonts w:ascii="宋体" w:eastAsia="宋体" w:hAnsi="宋体" w:cs="宋体" w:hint="eastAsia"/>
          <w:sz w:val="24"/>
        </w:rPr>
        <w:t>1.理解大学生就业中自我认知与用人单位评价之间的矛盾；</w:t>
      </w:r>
    </w:p>
    <w:p w14:paraId="5235F678"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2.正确把握生产劳动的实践内容。</w:t>
      </w:r>
    </w:p>
    <w:p w14:paraId="7B3D3AC6"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【教学方法】</w:t>
      </w:r>
    </w:p>
    <w:p w14:paraId="7704AE52"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w:t>
      </w:r>
      <w:r>
        <w:rPr>
          <w:rFonts w:ascii="宋体" w:eastAsia="宋体" w:hAnsi="宋体" w:cs="宋体"/>
          <w:sz w:val="24"/>
        </w:rPr>
        <w:t>.</w:t>
      </w:r>
      <w:r>
        <w:rPr>
          <w:rFonts w:ascii="宋体" w:eastAsia="宋体" w:hAnsi="宋体" w:cs="宋体" w:hint="eastAsia"/>
          <w:sz w:val="24"/>
        </w:rPr>
        <w:t>通过教师系统讲授与学生自主探究相结合，引导学生了解和熟悉生产劳动。</w:t>
      </w:r>
    </w:p>
    <w:p w14:paraId="09A06B51"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w:t>
      </w:r>
      <w:r>
        <w:rPr>
          <w:rFonts w:ascii="宋体" w:eastAsia="宋体" w:hAnsi="宋体" w:cs="宋体"/>
          <w:sz w:val="24"/>
        </w:rPr>
        <w:t>.</w:t>
      </w:r>
      <w:r>
        <w:rPr>
          <w:rFonts w:ascii="宋体" w:eastAsia="宋体" w:hAnsi="宋体" w:cs="宋体" w:hint="eastAsia"/>
          <w:sz w:val="24"/>
        </w:rPr>
        <w:t>通过“战略与战术——送给大学生朋友们的一封信”、“这些证书有什么用？”等案例分析，结合当前大学生毕业就业中遇到的问题，强化劳动生产安全与劳动生产技能的形成。</w:t>
      </w:r>
    </w:p>
    <w:p w14:paraId="6A41A8B6" w14:textId="77777777" w:rsidR="00BC4EF1" w:rsidRDefault="00BC4EF1" w:rsidP="00BC4EF1">
      <w:pPr>
        <w:spacing w:line="440" w:lineRule="exact"/>
        <w:ind w:firstLineChars="200" w:firstLine="482"/>
        <w:rPr>
          <w:rFonts w:ascii="宋体" w:eastAsia="宋体" w:hAnsi="宋体" w:cs="Times New Roman"/>
          <w:sz w:val="24"/>
        </w:rPr>
      </w:pPr>
      <w:r>
        <w:rPr>
          <w:rFonts w:ascii="宋体" w:eastAsia="宋体" w:hAnsi="宋体" w:cs="宋体" w:hint="eastAsia"/>
          <w:b/>
          <w:sz w:val="24"/>
        </w:rPr>
        <w:t>【复习思考】</w:t>
      </w:r>
    </w:p>
    <w:p w14:paraId="73F24759"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1.简述新时代大学生生产劳动的特点？</w:t>
      </w:r>
    </w:p>
    <w:p w14:paraId="30A81D7D"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2.学生角色与职业角色的区别是什么？</w:t>
      </w:r>
    </w:p>
    <w:p w14:paraId="3C801D80"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3.简述创新思维的方法包括哪些？</w:t>
      </w:r>
    </w:p>
    <w:p w14:paraId="19F89038"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4.服务商业的主要从业精神是什么？</w:t>
      </w:r>
    </w:p>
    <w:p w14:paraId="6FC16A37"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5.查阅资料，了解所学专业领域行业企业对从业者的要求，结合自己的相关经历，谈一下如何提前进行准备状况。</w:t>
      </w:r>
    </w:p>
    <w:p w14:paraId="6A14B0D2"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6.你参加过哪些创新创业活动？把你参加的大学生创新创业训练项目或者有关创新创业竞赛项目梳理、总结，看看你在这个项目中获得了哪些成长？</w:t>
      </w:r>
    </w:p>
    <w:p w14:paraId="36D05769" w14:textId="77777777" w:rsidR="00BC4EF1" w:rsidRDefault="00BC4EF1" w:rsidP="00BC4EF1">
      <w:pPr>
        <w:spacing w:beforeLines="50" w:before="156" w:afterLines="50" w:after="156" w:line="440" w:lineRule="exact"/>
        <w:jc w:val="center"/>
        <w:rPr>
          <w:rFonts w:ascii="黑体" w:eastAsia="黑体" w:hAnsi="黑体" w:cs="Times New Roman"/>
          <w:sz w:val="28"/>
          <w:szCs w:val="28"/>
        </w:rPr>
      </w:pPr>
      <w:proofErr w:type="gramStart"/>
      <w:r>
        <w:rPr>
          <w:rFonts w:ascii="黑体" w:eastAsia="黑体" w:hAnsi="黑体" w:cs="Times New Roman" w:hint="eastAsia"/>
          <w:sz w:val="28"/>
          <w:szCs w:val="28"/>
        </w:rPr>
        <w:t>专题八</w:t>
      </w:r>
      <w:proofErr w:type="gramEnd"/>
      <w:r>
        <w:rPr>
          <w:rFonts w:ascii="黑体" w:eastAsia="黑体" w:hAnsi="黑体" w:cs="Times New Roman" w:hint="eastAsia"/>
          <w:sz w:val="28"/>
          <w:szCs w:val="28"/>
        </w:rPr>
        <w:t xml:space="preserve">　新时代大学生服务性劳动教育</w:t>
      </w:r>
    </w:p>
    <w:p w14:paraId="71B618EE"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【学习目标】</w:t>
      </w:r>
    </w:p>
    <w:p w14:paraId="71E74EBB"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1.认知类目标：理解服务性劳动的内涵，了解大学生服务性劳动的主要内容；</w:t>
      </w:r>
    </w:p>
    <w:p w14:paraId="51C447E8"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2.过程与方法类目标：能够在对服务性劳动的理解中，体会无私奉献、团结友爱、互助进步的志愿服务精神，并逐步树立服务意识，利用知识、技能等为他人和社会提供服务，实践服务技能；</w:t>
      </w:r>
    </w:p>
    <w:p w14:paraId="72075F60"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3.情感、态度、价值观类目标：引导学生自觉弘扬奉献、友爱、互助、进步精神，</w:t>
      </w:r>
      <w:r>
        <w:rPr>
          <w:rFonts w:ascii="宋体" w:eastAsia="宋体" w:hAnsi="宋体" w:cs="宋体" w:hint="eastAsia"/>
          <w:sz w:val="24"/>
        </w:rPr>
        <w:lastRenderedPageBreak/>
        <w:t>增强对服务性劳动的情感认同与实践自觉，在公益劳动、志愿服务中强化社会责任感，进一步形成服务社会、贡献国家的价值追求。</w:t>
      </w:r>
    </w:p>
    <w:p w14:paraId="1FE2ECC0"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【学习内容】</w:t>
      </w:r>
    </w:p>
    <w:p w14:paraId="5FA1336D"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1.了解服务性志愿劳动；</w:t>
      </w:r>
    </w:p>
    <w:p w14:paraId="463EC6D9"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2</w:t>
      </w:r>
      <w:r>
        <w:rPr>
          <w:rFonts w:ascii="宋体" w:eastAsia="宋体" w:hAnsi="宋体" w:cs="宋体"/>
          <w:sz w:val="24"/>
        </w:rPr>
        <w:t>.</w:t>
      </w:r>
      <w:r>
        <w:rPr>
          <w:rFonts w:ascii="宋体" w:eastAsia="宋体" w:hAnsi="宋体" w:cs="宋体" w:hint="eastAsia"/>
          <w:sz w:val="24"/>
        </w:rPr>
        <w:t>大学生服务性劳动的评价与保障机制。</w:t>
      </w:r>
    </w:p>
    <w:p w14:paraId="715F3C09"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【重点】</w:t>
      </w:r>
    </w:p>
    <w:p w14:paraId="6D8F10DD"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1.服务性劳动的内涵、种类、意义；</w:t>
      </w:r>
    </w:p>
    <w:p w14:paraId="2486E832"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2.大学生服务性劳动的主要内容；</w:t>
      </w:r>
    </w:p>
    <w:p w14:paraId="66868E05"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3.大学生服务性劳动的评价与保障机制。</w:t>
      </w:r>
    </w:p>
    <w:p w14:paraId="53033713"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【难点】</w:t>
      </w:r>
    </w:p>
    <w:p w14:paraId="3D64A4E6" w14:textId="77777777" w:rsidR="00BC4EF1" w:rsidRDefault="00BC4EF1" w:rsidP="00BC4EF1">
      <w:pPr>
        <w:spacing w:line="440" w:lineRule="exact"/>
        <w:ind w:firstLineChars="200" w:firstLine="480"/>
        <w:rPr>
          <w:rFonts w:ascii="宋体" w:eastAsia="宋体" w:hAnsi="宋体" w:cs="宋体"/>
          <w:b/>
          <w:sz w:val="24"/>
        </w:rPr>
      </w:pPr>
      <w:r>
        <w:rPr>
          <w:rFonts w:ascii="宋体" w:eastAsia="宋体" w:hAnsi="宋体" w:cs="宋体" w:hint="eastAsia"/>
          <w:sz w:val="24"/>
        </w:rPr>
        <w:t>1.理解公益性劳动服务、志愿服务、新型服务性劳动的异同；</w:t>
      </w:r>
    </w:p>
    <w:p w14:paraId="5916F2F4"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2.理解大学生服务性劳动的评价机制与评价标准。</w:t>
      </w:r>
    </w:p>
    <w:p w14:paraId="60736DF4"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【教学方法】</w:t>
      </w:r>
    </w:p>
    <w:p w14:paraId="474E1862"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w:t>
      </w:r>
      <w:r>
        <w:rPr>
          <w:rFonts w:ascii="宋体" w:eastAsia="宋体" w:hAnsi="宋体" w:cs="宋体"/>
          <w:sz w:val="24"/>
        </w:rPr>
        <w:t>.</w:t>
      </w:r>
      <w:r>
        <w:rPr>
          <w:rFonts w:ascii="宋体" w:eastAsia="宋体" w:hAnsi="宋体" w:cs="宋体" w:hint="eastAsia"/>
          <w:sz w:val="24"/>
        </w:rPr>
        <w:t>通过教师系统讲授与学生自主探究相结合，引导学生</w:t>
      </w:r>
      <w:proofErr w:type="gramStart"/>
      <w:r>
        <w:rPr>
          <w:rFonts w:ascii="宋体" w:eastAsia="宋体" w:hAnsi="宋体" w:cs="宋体" w:hint="eastAsia"/>
          <w:sz w:val="24"/>
        </w:rPr>
        <w:t>践行</w:t>
      </w:r>
      <w:proofErr w:type="gramEnd"/>
      <w:r>
        <w:rPr>
          <w:rFonts w:ascii="宋体" w:eastAsia="宋体" w:hAnsi="宋体" w:cs="宋体" w:hint="eastAsia"/>
          <w:sz w:val="24"/>
        </w:rPr>
        <w:t>志愿服务。</w:t>
      </w:r>
    </w:p>
    <w:p w14:paraId="1A0A5347"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w:t>
      </w:r>
      <w:r>
        <w:rPr>
          <w:rFonts w:ascii="宋体" w:eastAsia="宋体" w:hAnsi="宋体" w:cs="宋体"/>
          <w:sz w:val="24"/>
        </w:rPr>
        <w:t>.</w:t>
      </w:r>
      <w:r>
        <w:rPr>
          <w:rFonts w:ascii="宋体" w:eastAsia="宋体" w:hAnsi="宋体" w:cs="宋体" w:hint="eastAsia"/>
          <w:sz w:val="24"/>
        </w:rPr>
        <w:t>通过对“最美快递员汪勇”“人民英雄张定宇”“太行新愚公李保国”等案例分析，让大学生以实际行动</w:t>
      </w:r>
      <w:proofErr w:type="gramStart"/>
      <w:r>
        <w:rPr>
          <w:rFonts w:ascii="宋体" w:eastAsia="宋体" w:hAnsi="宋体" w:cs="宋体" w:hint="eastAsia"/>
          <w:sz w:val="24"/>
        </w:rPr>
        <w:t>践行</w:t>
      </w:r>
      <w:proofErr w:type="gramEnd"/>
      <w:r>
        <w:rPr>
          <w:rFonts w:ascii="宋体" w:eastAsia="宋体" w:hAnsi="宋体" w:cs="宋体" w:hint="eastAsia"/>
          <w:sz w:val="24"/>
        </w:rPr>
        <w:t>志愿服务，不断</w:t>
      </w:r>
      <w:proofErr w:type="gramStart"/>
      <w:r>
        <w:rPr>
          <w:rFonts w:ascii="宋体" w:eastAsia="宋体" w:hAnsi="宋体" w:cs="宋体" w:hint="eastAsia"/>
          <w:sz w:val="24"/>
        </w:rPr>
        <w:t>弘扬家</w:t>
      </w:r>
      <w:proofErr w:type="gramEnd"/>
      <w:r>
        <w:rPr>
          <w:rFonts w:ascii="宋体" w:eastAsia="宋体" w:hAnsi="宋体" w:cs="宋体" w:hint="eastAsia"/>
          <w:sz w:val="24"/>
        </w:rPr>
        <w:t>国情怀、敢于担当奉献。</w:t>
      </w:r>
    </w:p>
    <w:p w14:paraId="19297EF2" w14:textId="77777777" w:rsidR="00BC4EF1" w:rsidRDefault="00BC4EF1" w:rsidP="00BC4EF1">
      <w:pPr>
        <w:spacing w:line="440" w:lineRule="exact"/>
        <w:ind w:firstLineChars="200" w:firstLine="482"/>
        <w:rPr>
          <w:rFonts w:ascii="宋体" w:eastAsia="宋体" w:hAnsi="宋体" w:cs="Times New Roman"/>
          <w:sz w:val="24"/>
        </w:rPr>
      </w:pPr>
      <w:r>
        <w:rPr>
          <w:rFonts w:ascii="宋体" w:eastAsia="宋体" w:hAnsi="宋体" w:cs="宋体" w:hint="eastAsia"/>
          <w:b/>
          <w:sz w:val="24"/>
        </w:rPr>
        <w:t>【复习思考】</w:t>
      </w:r>
    </w:p>
    <w:p w14:paraId="67F7CD92"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1.简述服务性劳动的概念及大学生参加服务性劳动的意义？</w:t>
      </w:r>
    </w:p>
    <w:p w14:paraId="28965B11"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2.结合你的学习，谈谈你对服务性劳动基本内涵“奉献、关爱、互助、进步”这句话的理解。</w:t>
      </w:r>
    </w:p>
    <w:p w14:paraId="2B306CC6"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3.查阅相关资料，通过访谈其他志愿者，你认为当前大学生参加服务性劳动存在哪些问题？</w:t>
      </w:r>
    </w:p>
    <w:p w14:paraId="7BC9BA59"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4.要提升服务性劳动的参与效果和服务水平，你认为大学生应该做好哪些工作？</w:t>
      </w:r>
    </w:p>
    <w:p w14:paraId="04FEE10C"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宋体" w:hAnsi="宋体" w:cs="Times New Roman" w:hint="eastAsia"/>
          <w:sz w:val="24"/>
        </w:rPr>
        <w:t>5.你愿意在业务时间参加服务性劳动吗？你想通过参加劳动实现怎样的锻炼目标？</w:t>
      </w:r>
    </w:p>
    <w:p w14:paraId="410C2E73" w14:textId="77777777" w:rsidR="00BC4EF1" w:rsidRDefault="00BC4EF1" w:rsidP="00BC4EF1">
      <w:pPr>
        <w:spacing w:beforeLines="50" w:before="156" w:afterLines="50" w:after="156" w:line="440" w:lineRule="exact"/>
        <w:jc w:val="center"/>
        <w:rPr>
          <w:rFonts w:ascii="黑体" w:eastAsia="黑体" w:hAnsi="黑体" w:cs="Times New Roman"/>
          <w:sz w:val="28"/>
          <w:szCs w:val="28"/>
        </w:rPr>
      </w:pPr>
      <w:r>
        <w:rPr>
          <w:rFonts w:ascii="黑体" w:eastAsia="黑体" w:hAnsi="黑体" w:cs="Times New Roman" w:hint="eastAsia"/>
          <w:sz w:val="28"/>
          <w:szCs w:val="28"/>
        </w:rPr>
        <w:t>专题九　学习劳动法律，维护劳动权益</w:t>
      </w:r>
    </w:p>
    <w:p w14:paraId="0B5EC840"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【学习目标】</w:t>
      </w:r>
    </w:p>
    <w:p w14:paraId="4E34E3E4"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1.认知类目标：了解劳动法律相关的内容，诸如：就业促进法律制度、劳动合同法律制度、集体合同法律制度等；知道社会保障、</w:t>
      </w:r>
      <w:proofErr w:type="gramStart"/>
      <w:r>
        <w:rPr>
          <w:rFonts w:ascii="宋体" w:eastAsia="宋体" w:hAnsi="宋体" w:cs="宋体" w:hint="eastAsia"/>
          <w:sz w:val="24"/>
        </w:rPr>
        <w:t>五险一</w:t>
      </w:r>
      <w:proofErr w:type="gramEnd"/>
      <w:r>
        <w:rPr>
          <w:rFonts w:ascii="宋体" w:eastAsia="宋体" w:hAnsi="宋体" w:cs="宋体" w:hint="eastAsia"/>
          <w:sz w:val="24"/>
        </w:rPr>
        <w:t>金等具体涉及自身利益的规章制度；</w:t>
      </w:r>
    </w:p>
    <w:p w14:paraId="5E1774D9"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lastRenderedPageBreak/>
        <w:t>2.过程与方法类目标：能够在劳动纠纷模拟案例中，学会用法律武器保护自身的合法权益，熟悉常见社会保障制度的求助流程；</w:t>
      </w:r>
    </w:p>
    <w:p w14:paraId="44EA8C90"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3.情感、态度、价值观类目标：引导学生树立正确的劳动法制观，用法律武器维护自身合法劳动权。</w:t>
      </w:r>
    </w:p>
    <w:p w14:paraId="751F4115"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【学习内容】</w:t>
      </w:r>
    </w:p>
    <w:p w14:paraId="4B10BB7D"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1</w:t>
      </w:r>
      <w:r>
        <w:rPr>
          <w:rFonts w:ascii="宋体" w:eastAsia="宋体" w:hAnsi="宋体" w:cs="宋体"/>
          <w:sz w:val="24"/>
        </w:rPr>
        <w:t>.</w:t>
      </w:r>
      <w:r>
        <w:rPr>
          <w:rFonts w:ascii="宋体" w:eastAsia="宋体" w:hAnsi="宋体" w:cs="宋体" w:hint="eastAsia"/>
          <w:sz w:val="24"/>
        </w:rPr>
        <w:t>劳动法律法规等规章制度；</w:t>
      </w:r>
    </w:p>
    <w:p w14:paraId="5BF583CC"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2</w:t>
      </w:r>
      <w:r>
        <w:rPr>
          <w:rFonts w:ascii="宋体" w:eastAsia="宋体" w:hAnsi="宋体" w:cs="宋体"/>
          <w:sz w:val="24"/>
        </w:rPr>
        <w:t>.</w:t>
      </w:r>
      <w:r>
        <w:rPr>
          <w:rFonts w:ascii="宋体" w:eastAsia="宋体" w:hAnsi="宋体" w:cs="宋体" w:hint="eastAsia"/>
          <w:sz w:val="24"/>
        </w:rPr>
        <w:t>社会保障体系的构建以及发展。</w:t>
      </w:r>
    </w:p>
    <w:p w14:paraId="74CE1DB2"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【重点】</w:t>
      </w:r>
    </w:p>
    <w:p w14:paraId="225627C8"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1</w:t>
      </w:r>
      <w:r>
        <w:rPr>
          <w:rFonts w:ascii="宋体" w:eastAsia="宋体" w:hAnsi="宋体" w:cs="宋体"/>
          <w:sz w:val="24"/>
        </w:rPr>
        <w:t>.</w:t>
      </w:r>
      <w:r>
        <w:rPr>
          <w:rFonts w:ascii="宋体" w:eastAsia="宋体" w:hAnsi="宋体" w:cs="宋体" w:hint="eastAsia"/>
          <w:sz w:val="24"/>
        </w:rPr>
        <w:t>劳动权、劳动法、劳动合同以及劳动争议；</w:t>
      </w:r>
    </w:p>
    <w:p w14:paraId="5E40EFB5"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2</w:t>
      </w:r>
      <w:r>
        <w:rPr>
          <w:rFonts w:ascii="宋体" w:eastAsia="宋体" w:hAnsi="宋体" w:cs="宋体"/>
          <w:sz w:val="24"/>
        </w:rPr>
        <w:t>.</w:t>
      </w:r>
      <w:r>
        <w:rPr>
          <w:rFonts w:ascii="宋体" w:eastAsia="宋体" w:hAnsi="宋体" w:cs="宋体" w:hint="eastAsia"/>
          <w:sz w:val="24"/>
        </w:rPr>
        <w:t>劳动基准法律：工作时间、休息休假、工资等；</w:t>
      </w:r>
    </w:p>
    <w:p w14:paraId="7C38DA9A" w14:textId="77777777" w:rsidR="00BC4EF1" w:rsidRDefault="00BC4EF1" w:rsidP="00BC4EF1">
      <w:pPr>
        <w:tabs>
          <w:tab w:val="left" w:pos="312"/>
        </w:tabs>
        <w:spacing w:line="440" w:lineRule="exact"/>
        <w:ind w:firstLineChars="200" w:firstLine="480"/>
        <w:rPr>
          <w:rFonts w:ascii="宋体" w:eastAsia="宋体" w:hAnsi="宋体" w:cs="宋体"/>
          <w:sz w:val="24"/>
        </w:rPr>
      </w:pPr>
      <w:r>
        <w:rPr>
          <w:rFonts w:ascii="宋体" w:eastAsia="宋体" w:hAnsi="宋体" w:cs="宋体" w:hint="eastAsia"/>
          <w:sz w:val="24"/>
        </w:rPr>
        <w:t>3</w:t>
      </w:r>
      <w:r>
        <w:rPr>
          <w:rFonts w:ascii="宋体" w:eastAsia="宋体" w:hAnsi="宋体" w:cs="宋体"/>
          <w:sz w:val="24"/>
        </w:rPr>
        <w:t>.</w:t>
      </w:r>
      <w:r>
        <w:rPr>
          <w:rFonts w:ascii="宋体" w:eastAsia="宋体" w:hAnsi="宋体" w:cs="宋体" w:hint="eastAsia"/>
          <w:sz w:val="24"/>
        </w:rPr>
        <w:t>“五险</w:t>
      </w:r>
      <w:proofErr w:type="gramStart"/>
      <w:r>
        <w:rPr>
          <w:rFonts w:ascii="宋体" w:eastAsia="宋体" w:hAnsi="宋体" w:cs="宋体" w:hint="eastAsia"/>
          <w:sz w:val="24"/>
        </w:rPr>
        <w:t>一</w:t>
      </w:r>
      <w:proofErr w:type="gramEnd"/>
      <w:r>
        <w:rPr>
          <w:rFonts w:ascii="宋体" w:eastAsia="宋体" w:hAnsi="宋体" w:cs="宋体" w:hint="eastAsia"/>
          <w:sz w:val="24"/>
        </w:rPr>
        <w:t>金”制度。</w:t>
      </w:r>
    </w:p>
    <w:p w14:paraId="2C273CB5"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【难点】</w:t>
      </w:r>
    </w:p>
    <w:p w14:paraId="7850C1D8" w14:textId="77777777" w:rsidR="00BC4EF1" w:rsidRDefault="00BC4EF1" w:rsidP="00BC4EF1">
      <w:pPr>
        <w:spacing w:line="440" w:lineRule="exact"/>
        <w:ind w:firstLineChars="200" w:firstLine="480"/>
        <w:rPr>
          <w:rFonts w:ascii="宋体" w:eastAsia="宋体" w:hAnsi="宋体" w:cs="宋体"/>
          <w:b/>
          <w:sz w:val="24"/>
        </w:rPr>
      </w:pPr>
      <w:r>
        <w:rPr>
          <w:rFonts w:ascii="宋体" w:eastAsia="宋体" w:hAnsi="宋体" w:cs="宋体" w:hint="eastAsia"/>
          <w:sz w:val="24"/>
        </w:rPr>
        <w:t>1.深刻理解劳动既是公民的权利又是公民的义务；</w:t>
      </w:r>
    </w:p>
    <w:p w14:paraId="4D29705B"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2.正确掌握劳动合同等相关内容。</w:t>
      </w:r>
    </w:p>
    <w:p w14:paraId="49C83AAF"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【教学方法】</w:t>
      </w:r>
    </w:p>
    <w:p w14:paraId="21802D6F"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1.通过教师系统讲授和学生自主探究相结合，引导学生了解劳动法律的相关概念界定，深刻领会法律对劳动的保护作用；</w:t>
      </w:r>
    </w:p>
    <w:p w14:paraId="4D5BB757"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2.通过“大学生求职”、“五险</w:t>
      </w:r>
      <w:proofErr w:type="gramStart"/>
      <w:r>
        <w:rPr>
          <w:rFonts w:ascii="宋体" w:eastAsia="宋体" w:hAnsi="宋体" w:cs="宋体" w:hint="eastAsia"/>
          <w:sz w:val="24"/>
        </w:rPr>
        <w:t>一</w:t>
      </w:r>
      <w:proofErr w:type="gramEnd"/>
      <w:r>
        <w:rPr>
          <w:rFonts w:ascii="宋体" w:eastAsia="宋体" w:hAnsi="宋体" w:cs="宋体" w:hint="eastAsia"/>
          <w:sz w:val="24"/>
        </w:rPr>
        <w:t>金”风波、“工伤”等案例分析，结合当前大学生毕业就业中遇到的</w:t>
      </w:r>
      <w:proofErr w:type="gramStart"/>
      <w:r>
        <w:rPr>
          <w:rFonts w:ascii="宋体" w:eastAsia="宋体" w:hAnsi="宋体" w:cs="宋体" w:hint="eastAsia"/>
          <w:sz w:val="24"/>
        </w:rPr>
        <w:t>维权难等</w:t>
      </w:r>
      <w:proofErr w:type="gramEnd"/>
      <w:r>
        <w:rPr>
          <w:rFonts w:ascii="宋体" w:eastAsia="宋体" w:hAnsi="宋体" w:cs="宋体" w:hint="eastAsia"/>
          <w:sz w:val="24"/>
        </w:rPr>
        <w:t>问题，进一步强化对学生劳动法律的教育，引导学生运用法律武器维护自身合法权利。</w:t>
      </w:r>
    </w:p>
    <w:p w14:paraId="52957167" w14:textId="77777777" w:rsidR="00BC4EF1" w:rsidRDefault="00BC4EF1" w:rsidP="00BC4EF1">
      <w:pPr>
        <w:spacing w:line="440" w:lineRule="exact"/>
        <w:ind w:firstLineChars="200" w:firstLine="482"/>
        <w:rPr>
          <w:rFonts w:ascii="宋体" w:eastAsia="宋体" w:hAnsi="宋体" w:cs="宋体"/>
          <w:b/>
          <w:sz w:val="24"/>
        </w:rPr>
      </w:pPr>
      <w:r>
        <w:rPr>
          <w:rFonts w:ascii="宋体" w:eastAsia="宋体" w:hAnsi="宋体" w:cs="宋体" w:hint="eastAsia"/>
          <w:b/>
          <w:sz w:val="24"/>
        </w:rPr>
        <w:t>【复习思考】</w:t>
      </w:r>
    </w:p>
    <w:p w14:paraId="4A2C4C5E" w14:textId="77777777" w:rsidR="00BC4EF1" w:rsidRDefault="00BC4EF1" w:rsidP="00BC4EF1">
      <w:pPr>
        <w:spacing w:line="440" w:lineRule="exact"/>
        <w:ind w:firstLineChars="200" w:firstLine="480"/>
        <w:rPr>
          <w:rFonts w:ascii="宋体" w:eastAsia="等线" w:hAnsi="宋体" w:cs="Times New Roman"/>
          <w:b/>
          <w:sz w:val="24"/>
        </w:rPr>
      </w:pPr>
      <w:r>
        <w:rPr>
          <w:rFonts w:ascii="宋体" w:eastAsia="等线" w:hAnsi="宋体" w:cs="Times New Roman" w:hint="eastAsia"/>
          <w:sz w:val="24"/>
        </w:rPr>
        <w:t>1</w:t>
      </w:r>
      <w:r>
        <w:rPr>
          <w:rFonts w:ascii="宋体" w:eastAsia="等线" w:hAnsi="宋体" w:cs="Times New Roman"/>
          <w:sz w:val="24"/>
        </w:rPr>
        <w:t>.</w:t>
      </w:r>
      <w:r>
        <w:rPr>
          <w:rFonts w:ascii="宋体" w:eastAsia="宋体" w:hAnsi="宋体" w:cs="Times New Roman" w:hint="eastAsia"/>
          <w:sz w:val="24"/>
        </w:rPr>
        <w:t>劳动者自主择业、市场调节就业、政府促进就业之间的关系</w:t>
      </w:r>
      <w:r>
        <w:rPr>
          <w:rFonts w:ascii="宋体" w:eastAsia="等线" w:hAnsi="宋体" w:cs="Times New Roman" w:hint="eastAsia"/>
          <w:sz w:val="24"/>
        </w:rPr>
        <w:t>。</w:t>
      </w:r>
    </w:p>
    <w:p w14:paraId="207A84B9" w14:textId="77777777" w:rsidR="00BC4EF1" w:rsidRDefault="00BC4EF1" w:rsidP="00BC4EF1">
      <w:pPr>
        <w:spacing w:line="440" w:lineRule="exact"/>
        <w:ind w:firstLineChars="200" w:firstLine="480"/>
        <w:rPr>
          <w:rFonts w:ascii="宋体" w:eastAsia="宋体" w:hAnsi="宋体" w:cs="Times New Roman"/>
          <w:sz w:val="24"/>
        </w:rPr>
      </w:pPr>
      <w:r>
        <w:rPr>
          <w:rFonts w:ascii="宋体" w:eastAsia="等线" w:hAnsi="宋体" w:cs="Times New Roman" w:hint="eastAsia"/>
          <w:sz w:val="24"/>
        </w:rPr>
        <w:t>2</w:t>
      </w:r>
      <w:r>
        <w:rPr>
          <w:rFonts w:ascii="宋体" w:eastAsia="等线" w:hAnsi="宋体" w:cs="Times New Roman"/>
          <w:sz w:val="24"/>
        </w:rPr>
        <w:t>.</w:t>
      </w:r>
      <w:r>
        <w:rPr>
          <w:rFonts w:ascii="宋体" w:eastAsia="宋体" w:hAnsi="宋体" w:cs="Times New Roman" w:hint="eastAsia"/>
          <w:sz w:val="24"/>
        </w:rPr>
        <w:t>劳动合同解除的几种情形和具体内容。</w:t>
      </w:r>
    </w:p>
    <w:p w14:paraId="17426721" w14:textId="77777777" w:rsidR="00BC4EF1" w:rsidRDefault="00BC4EF1" w:rsidP="00BC4EF1">
      <w:pPr>
        <w:spacing w:line="440" w:lineRule="exact"/>
        <w:ind w:firstLineChars="200" w:firstLine="480"/>
        <w:rPr>
          <w:rFonts w:ascii="黑体" w:eastAsia="黑体" w:hAnsi="黑体" w:cs="Times New Roman"/>
          <w:sz w:val="28"/>
          <w:szCs w:val="28"/>
        </w:rPr>
      </w:pPr>
      <w:r>
        <w:rPr>
          <w:rFonts w:ascii="宋体" w:eastAsia="宋体" w:hAnsi="宋体" w:cs="Times New Roman"/>
          <w:sz w:val="24"/>
        </w:rPr>
        <w:t>3</w:t>
      </w:r>
      <w:r>
        <w:rPr>
          <w:rFonts w:ascii="宋体" w:eastAsia="宋体" w:hAnsi="宋体" w:cs="Times New Roman" w:hint="eastAsia"/>
          <w:sz w:val="24"/>
        </w:rPr>
        <w:t>.“五险</w:t>
      </w:r>
      <w:proofErr w:type="gramStart"/>
      <w:r>
        <w:rPr>
          <w:rFonts w:ascii="宋体" w:eastAsia="宋体" w:hAnsi="宋体" w:cs="Times New Roman" w:hint="eastAsia"/>
          <w:sz w:val="24"/>
        </w:rPr>
        <w:t>一</w:t>
      </w:r>
      <w:proofErr w:type="gramEnd"/>
      <w:r>
        <w:rPr>
          <w:rFonts w:ascii="宋体" w:eastAsia="宋体" w:hAnsi="宋体" w:cs="Times New Roman" w:hint="eastAsia"/>
          <w:sz w:val="24"/>
        </w:rPr>
        <w:t>金”制度对即将进入劳动力市场的大学生而言，有哪些重要意义？</w:t>
      </w:r>
    </w:p>
    <w:p w14:paraId="697B201F"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（二）课程学习内容与课程学习目标的对应关系</w:t>
      </w:r>
    </w:p>
    <w:tbl>
      <w:tblPr>
        <w:tblW w:w="86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7"/>
        <w:gridCol w:w="2268"/>
        <w:gridCol w:w="1843"/>
        <w:gridCol w:w="1134"/>
      </w:tblGrid>
      <w:tr w:rsidR="00BC4EF1" w14:paraId="67C0369E" w14:textId="77777777" w:rsidTr="00BA2CFD">
        <w:trPr>
          <w:trHeight w:val="664"/>
          <w:jc w:val="center"/>
        </w:trPr>
        <w:tc>
          <w:tcPr>
            <w:tcW w:w="3397" w:type="dxa"/>
            <w:vAlign w:val="center"/>
          </w:tcPr>
          <w:p w14:paraId="338C3BE0" w14:textId="77777777" w:rsidR="00BC4EF1" w:rsidRDefault="00BC4EF1"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课程学习内容</w:t>
            </w:r>
          </w:p>
        </w:tc>
        <w:tc>
          <w:tcPr>
            <w:tcW w:w="2268" w:type="dxa"/>
            <w:vAlign w:val="center"/>
          </w:tcPr>
          <w:p w14:paraId="25E1C875" w14:textId="77777777" w:rsidR="00BC4EF1" w:rsidRDefault="00BC4EF1"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教学方法</w:t>
            </w:r>
          </w:p>
        </w:tc>
        <w:tc>
          <w:tcPr>
            <w:tcW w:w="1843" w:type="dxa"/>
            <w:vAlign w:val="center"/>
          </w:tcPr>
          <w:p w14:paraId="61D4004D" w14:textId="77777777" w:rsidR="00BC4EF1" w:rsidRDefault="00BC4EF1"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支撑的课程目标</w:t>
            </w:r>
          </w:p>
        </w:tc>
        <w:tc>
          <w:tcPr>
            <w:tcW w:w="1134" w:type="dxa"/>
            <w:vAlign w:val="center"/>
          </w:tcPr>
          <w:p w14:paraId="1D1C74F9" w14:textId="77777777" w:rsidR="00BC4EF1" w:rsidRDefault="00BC4EF1" w:rsidP="00BA2CFD">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学时安排</w:t>
            </w:r>
          </w:p>
        </w:tc>
      </w:tr>
      <w:tr w:rsidR="00BC4EF1" w14:paraId="4951AAEE" w14:textId="77777777" w:rsidTr="00BA2CFD">
        <w:trPr>
          <w:trHeight w:val="664"/>
          <w:jc w:val="center"/>
        </w:trPr>
        <w:tc>
          <w:tcPr>
            <w:tcW w:w="3397" w:type="dxa"/>
            <w:vAlign w:val="center"/>
          </w:tcPr>
          <w:p w14:paraId="53FC3426" w14:textId="77777777" w:rsidR="00BC4EF1" w:rsidRDefault="00BC4EF1" w:rsidP="00BA2CFD">
            <w:pPr>
              <w:spacing w:line="440" w:lineRule="exact"/>
              <w:rPr>
                <w:rFonts w:ascii="宋体" w:eastAsia="宋体" w:hAnsi="宋体" w:cs="宋体"/>
                <w:sz w:val="24"/>
                <w:szCs w:val="24"/>
              </w:rPr>
            </w:pPr>
            <w:proofErr w:type="gramStart"/>
            <w:r>
              <w:rPr>
                <w:rFonts w:ascii="宋体" w:eastAsia="宋体" w:hAnsi="宋体" w:cs="宋体" w:hint="eastAsia"/>
                <w:sz w:val="24"/>
                <w:szCs w:val="24"/>
              </w:rPr>
              <w:t>绪</w:t>
            </w:r>
            <w:proofErr w:type="gramEnd"/>
            <w:r>
              <w:rPr>
                <w:rFonts w:ascii="宋体" w:eastAsia="宋体" w:hAnsi="宋体" w:cs="宋体" w:hint="eastAsia"/>
                <w:sz w:val="24"/>
                <w:szCs w:val="24"/>
              </w:rPr>
              <w:t xml:space="preserve"> 论　劳动创造美好生活</w:t>
            </w:r>
          </w:p>
        </w:tc>
        <w:tc>
          <w:tcPr>
            <w:tcW w:w="2268" w:type="dxa"/>
            <w:vAlign w:val="center"/>
          </w:tcPr>
          <w:p w14:paraId="0D696D19"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讲授法、案例教学</w:t>
            </w:r>
          </w:p>
        </w:tc>
        <w:tc>
          <w:tcPr>
            <w:tcW w:w="1843" w:type="dxa"/>
            <w:vAlign w:val="center"/>
          </w:tcPr>
          <w:p w14:paraId="208B2303"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课程目标1、2</w:t>
            </w:r>
          </w:p>
        </w:tc>
        <w:tc>
          <w:tcPr>
            <w:tcW w:w="1134" w:type="dxa"/>
            <w:vAlign w:val="center"/>
          </w:tcPr>
          <w:p w14:paraId="14CAF625" w14:textId="77777777" w:rsidR="00BC4EF1" w:rsidRDefault="00BC4EF1" w:rsidP="00BA2CFD">
            <w:pPr>
              <w:jc w:val="center"/>
              <w:rPr>
                <w:rFonts w:ascii="宋体" w:eastAsia="宋体" w:hAnsi="宋体" w:cs="宋体"/>
                <w:sz w:val="24"/>
                <w:szCs w:val="24"/>
              </w:rPr>
            </w:pPr>
            <w:r>
              <w:rPr>
                <w:rFonts w:ascii="宋体" w:eastAsia="宋体" w:hAnsi="宋体" w:cs="宋体" w:hint="eastAsia"/>
                <w:sz w:val="24"/>
                <w:szCs w:val="24"/>
              </w:rPr>
              <w:t>2学时</w:t>
            </w:r>
          </w:p>
        </w:tc>
      </w:tr>
      <w:tr w:rsidR="00BC4EF1" w14:paraId="6293AE11" w14:textId="77777777" w:rsidTr="00BA2CFD">
        <w:trPr>
          <w:trHeight w:val="517"/>
          <w:jc w:val="center"/>
        </w:trPr>
        <w:tc>
          <w:tcPr>
            <w:tcW w:w="3397" w:type="dxa"/>
            <w:vAlign w:val="center"/>
          </w:tcPr>
          <w:p w14:paraId="5D173CDC" w14:textId="77777777" w:rsidR="00BC4EF1" w:rsidRDefault="00BC4EF1" w:rsidP="00BA2CFD">
            <w:pPr>
              <w:spacing w:line="440" w:lineRule="exact"/>
              <w:rPr>
                <w:rFonts w:ascii="宋体" w:eastAsia="宋体" w:hAnsi="宋体" w:cs="宋体"/>
                <w:sz w:val="24"/>
                <w:szCs w:val="24"/>
              </w:rPr>
            </w:pPr>
            <w:r>
              <w:rPr>
                <w:rFonts w:ascii="宋体" w:eastAsia="宋体" w:hAnsi="宋体" w:cs="宋体" w:hint="eastAsia"/>
                <w:sz w:val="24"/>
                <w:szCs w:val="24"/>
              </w:rPr>
              <w:t>专题</w:t>
            </w:r>
            <w:proofErr w:type="gramStart"/>
            <w:r>
              <w:rPr>
                <w:rFonts w:ascii="宋体" w:eastAsia="宋体" w:hAnsi="宋体" w:cs="宋体" w:hint="eastAsia"/>
                <w:sz w:val="24"/>
                <w:szCs w:val="24"/>
              </w:rPr>
              <w:t>一</w:t>
            </w:r>
            <w:proofErr w:type="gramEnd"/>
            <w:r>
              <w:rPr>
                <w:rFonts w:ascii="宋体" w:eastAsia="宋体" w:hAnsi="宋体" w:cs="宋体" w:hint="eastAsia"/>
                <w:sz w:val="24"/>
                <w:szCs w:val="24"/>
              </w:rPr>
              <w:t xml:space="preserve">　揭开劳动面纱，感悟</w:t>
            </w:r>
            <w:r>
              <w:rPr>
                <w:rFonts w:ascii="宋体" w:eastAsia="宋体" w:hAnsi="宋体" w:cs="宋体" w:hint="eastAsia"/>
                <w:sz w:val="24"/>
                <w:szCs w:val="24"/>
              </w:rPr>
              <w:lastRenderedPageBreak/>
              <w:t>劳动真谛</w:t>
            </w:r>
          </w:p>
        </w:tc>
        <w:tc>
          <w:tcPr>
            <w:tcW w:w="2268" w:type="dxa"/>
            <w:vAlign w:val="center"/>
          </w:tcPr>
          <w:p w14:paraId="5F8699F0"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lastRenderedPageBreak/>
              <w:t>讲授法</w:t>
            </w:r>
          </w:p>
        </w:tc>
        <w:tc>
          <w:tcPr>
            <w:tcW w:w="1843" w:type="dxa"/>
            <w:vAlign w:val="center"/>
          </w:tcPr>
          <w:p w14:paraId="49CC7A1B"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课程目标1、2</w:t>
            </w:r>
          </w:p>
        </w:tc>
        <w:tc>
          <w:tcPr>
            <w:tcW w:w="1134" w:type="dxa"/>
            <w:vAlign w:val="center"/>
          </w:tcPr>
          <w:p w14:paraId="4475498E" w14:textId="77777777" w:rsidR="00BC4EF1" w:rsidRDefault="00BC4EF1" w:rsidP="00BA2CFD">
            <w:pPr>
              <w:jc w:val="center"/>
              <w:rPr>
                <w:rFonts w:ascii="宋体" w:eastAsia="宋体" w:hAnsi="宋体" w:cs="宋体"/>
                <w:sz w:val="24"/>
                <w:szCs w:val="24"/>
              </w:rPr>
            </w:pPr>
            <w:r>
              <w:rPr>
                <w:rFonts w:ascii="宋体" w:eastAsia="宋体" w:hAnsi="宋体" w:cs="宋体" w:hint="eastAsia"/>
                <w:sz w:val="24"/>
                <w:szCs w:val="24"/>
              </w:rPr>
              <w:t>3学时</w:t>
            </w:r>
          </w:p>
        </w:tc>
      </w:tr>
      <w:tr w:rsidR="00BC4EF1" w14:paraId="321F7C1D" w14:textId="77777777" w:rsidTr="00BA2CFD">
        <w:trPr>
          <w:trHeight w:val="90"/>
          <w:jc w:val="center"/>
        </w:trPr>
        <w:tc>
          <w:tcPr>
            <w:tcW w:w="3397" w:type="dxa"/>
            <w:vAlign w:val="center"/>
          </w:tcPr>
          <w:p w14:paraId="5689A814" w14:textId="77777777" w:rsidR="00BC4EF1" w:rsidRDefault="00BC4EF1" w:rsidP="00BA2CFD">
            <w:pPr>
              <w:spacing w:line="440" w:lineRule="exact"/>
              <w:rPr>
                <w:rFonts w:ascii="宋体" w:eastAsia="宋体" w:hAnsi="宋体" w:cs="宋体"/>
                <w:sz w:val="24"/>
                <w:szCs w:val="24"/>
              </w:rPr>
            </w:pPr>
            <w:r>
              <w:rPr>
                <w:rFonts w:ascii="宋体" w:eastAsia="宋体" w:hAnsi="宋体" w:cs="宋体" w:hint="eastAsia"/>
                <w:sz w:val="24"/>
                <w:szCs w:val="24"/>
              </w:rPr>
              <w:t>专题二　培育劳动精神 创造美好生活</w:t>
            </w:r>
          </w:p>
        </w:tc>
        <w:tc>
          <w:tcPr>
            <w:tcW w:w="2268" w:type="dxa"/>
            <w:vAlign w:val="center"/>
          </w:tcPr>
          <w:p w14:paraId="7A01E24D"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讲授法、案例教学</w:t>
            </w:r>
          </w:p>
        </w:tc>
        <w:tc>
          <w:tcPr>
            <w:tcW w:w="1843" w:type="dxa"/>
            <w:vAlign w:val="center"/>
          </w:tcPr>
          <w:p w14:paraId="3553986A"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课程目标1、2、3</w:t>
            </w:r>
          </w:p>
        </w:tc>
        <w:tc>
          <w:tcPr>
            <w:tcW w:w="1134" w:type="dxa"/>
            <w:vAlign w:val="center"/>
          </w:tcPr>
          <w:p w14:paraId="630AD879" w14:textId="77777777" w:rsidR="00BC4EF1" w:rsidRDefault="00BC4EF1" w:rsidP="00BA2CFD">
            <w:pPr>
              <w:jc w:val="center"/>
              <w:rPr>
                <w:rFonts w:ascii="宋体" w:eastAsia="宋体" w:hAnsi="宋体" w:cs="宋体"/>
                <w:sz w:val="24"/>
                <w:szCs w:val="24"/>
              </w:rPr>
            </w:pPr>
            <w:r>
              <w:rPr>
                <w:rFonts w:ascii="宋体" w:eastAsia="宋体" w:hAnsi="宋体" w:cs="宋体" w:hint="eastAsia"/>
                <w:sz w:val="24"/>
                <w:szCs w:val="24"/>
              </w:rPr>
              <w:t>3学时</w:t>
            </w:r>
          </w:p>
        </w:tc>
      </w:tr>
      <w:tr w:rsidR="00BC4EF1" w14:paraId="4282FB7B" w14:textId="77777777" w:rsidTr="00BA2CFD">
        <w:trPr>
          <w:trHeight w:val="891"/>
          <w:jc w:val="center"/>
        </w:trPr>
        <w:tc>
          <w:tcPr>
            <w:tcW w:w="3397" w:type="dxa"/>
            <w:vAlign w:val="center"/>
          </w:tcPr>
          <w:p w14:paraId="7CE93C6C" w14:textId="77777777" w:rsidR="00BC4EF1" w:rsidRDefault="00BC4EF1" w:rsidP="00BA2CFD">
            <w:pPr>
              <w:spacing w:line="440" w:lineRule="exact"/>
              <w:rPr>
                <w:rFonts w:ascii="宋体" w:eastAsia="宋体" w:hAnsi="宋体" w:cs="宋体"/>
                <w:sz w:val="24"/>
                <w:szCs w:val="24"/>
              </w:rPr>
            </w:pPr>
            <w:r>
              <w:rPr>
                <w:rFonts w:ascii="宋体" w:eastAsia="宋体" w:hAnsi="宋体" w:cs="宋体" w:hint="eastAsia"/>
                <w:sz w:val="24"/>
                <w:szCs w:val="24"/>
              </w:rPr>
              <w:t>专题三　弘扬劳模精神 争当时代楷模</w:t>
            </w:r>
          </w:p>
        </w:tc>
        <w:tc>
          <w:tcPr>
            <w:tcW w:w="2268" w:type="dxa"/>
            <w:vAlign w:val="center"/>
          </w:tcPr>
          <w:p w14:paraId="1ABFFDE9"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讲授法、课堂汇报</w:t>
            </w:r>
          </w:p>
        </w:tc>
        <w:tc>
          <w:tcPr>
            <w:tcW w:w="1843" w:type="dxa"/>
            <w:vAlign w:val="center"/>
          </w:tcPr>
          <w:p w14:paraId="527CA517"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课程目标1、2、3</w:t>
            </w:r>
          </w:p>
        </w:tc>
        <w:tc>
          <w:tcPr>
            <w:tcW w:w="1134" w:type="dxa"/>
            <w:vAlign w:val="center"/>
          </w:tcPr>
          <w:p w14:paraId="12D64E35" w14:textId="77777777" w:rsidR="00BC4EF1" w:rsidRDefault="00BC4EF1" w:rsidP="00BA2CFD">
            <w:pPr>
              <w:jc w:val="center"/>
              <w:rPr>
                <w:rFonts w:ascii="宋体" w:eastAsia="宋体" w:hAnsi="宋体" w:cs="宋体"/>
                <w:sz w:val="24"/>
                <w:szCs w:val="24"/>
              </w:rPr>
            </w:pPr>
            <w:r>
              <w:rPr>
                <w:rFonts w:ascii="宋体" w:eastAsia="宋体" w:hAnsi="宋体" w:cs="宋体" w:hint="eastAsia"/>
                <w:sz w:val="24"/>
                <w:szCs w:val="24"/>
              </w:rPr>
              <w:t>3学时</w:t>
            </w:r>
          </w:p>
        </w:tc>
      </w:tr>
      <w:tr w:rsidR="00BC4EF1" w14:paraId="5AD80530" w14:textId="77777777" w:rsidTr="00BA2CFD">
        <w:trPr>
          <w:trHeight w:val="422"/>
          <w:jc w:val="center"/>
        </w:trPr>
        <w:tc>
          <w:tcPr>
            <w:tcW w:w="3397" w:type="dxa"/>
            <w:vAlign w:val="center"/>
          </w:tcPr>
          <w:p w14:paraId="35F66850" w14:textId="77777777" w:rsidR="00BC4EF1" w:rsidRDefault="00BC4EF1" w:rsidP="00BA2CFD">
            <w:pPr>
              <w:spacing w:line="440" w:lineRule="exact"/>
              <w:rPr>
                <w:rFonts w:ascii="宋体" w:eastAsia="宋体" w:hAnsi="宋体" w:cs="宋体"/>
                <w:sz w:val="24"/>
                <w:szCs w:val="24"/>
              </w:rPr>
            </w:pPr>
            <w:r>
              <w:rPr>
                <w:rFonts w:ascii="宋体" w:eastAsia="宋体" w:hAnsi="宋体" w:cs="宋体" w:hint="eastAsia"/>
                <w:sz w:val="24"/>
                <w:szCs w:val="24"/>
              </w:rPr>
              <w:t>专题四　传承工匠精神 坚守工匠初心</w:t>
            </w:r>
          </w:p>
        </w:tc>
        <w:tc>
          <w:tcPr>
            <w:tcW w:w="2268" w:type="dxa"/>
            <w:vAlign w:val="center"/>
          </w:tcPr>
          <w:p w14:paraId="490C9B9B"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讲授法、案例教学</w:t>
            </w:r>
          </w:p>
        </w:tc>
        <w:tc>
          <w:tcPr>
            <w:tcW w:w="1843" w:type="dxa"/>
            <w:vAlign w:val="center"/>
          </w:tcPr>
          <w:p w14:paraId="03BA5B49"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课程目标1、2、3</w:t>
            </w:r>
          </w:p>
        </w:tc>
        <w:tc>
          <w:tcPr>
            <w:tcW w:w="1134" w:type="dxa"/>
            <w:vAlign w:val="center"/>
          </w:tcPr>
          <w:p w14:paraId="1F4CA80F" w14:textId="77777777" w:rsidR="00BC4EF1" w:rsidRDefault="00BC4EF1" w:rsidP="00BA2CFD">
            <w:pPr>
              <w:jc w:val="center"/>
              <w:rPr>
                <w:rFonts w:ascii="宋体" w:eastAsia="宋体" w:hAnsi="宋体" w:cs="宋体"/>
                <w:sz w:val="24"/>
                <w:szCs w:val="24"/>
              </w:rPr>
            </w:pPr>
            <w:r>
              <w:rPr>
                <w:rFonts w:ascii="宋体" w:eastAsia="宋体" w:hAnsi="宋体" w:cs="宋体" w:hint="eastAsia"/>
                <w:sz w:val="24"/>
                <w:szCs w:val="24"/>
              </w:rPr>
              <w:t>3学时</w:t>
            </w:r>
          </w:p>
        </w:tc>
      </w:tr>
      <w:tr w:rsidR="00BC4EF1" w14:paraId="0C67FC79" w14:textId="77777777" w:rsidTr="00BA2CFD">
        <w:trPr>
          <w:trHeight w:val="875"/>
          <w:jc w:val="center"/>
        </w:trPr>
        <w:tc>
          <w:tcPr>
            <w:tcW w:w="3397" w:type="dxa"/>
            <w:vAlign w:val="center"/>
          </w:tcPr>
          <w:p w14:paraId="2C4BF60E" w14:textId="77777777" w:rsidR="00BC4EF1" w:rsidRDefault="00BC4EF1" w:rsidP="00BA2CFD">
            <w:pPr>
              <w:spacing w:line="440" w:lineRule="exact"/>
              <w:rPr>
                <w:rFonts w:ascii="宋体" w:eastAsia="宋体" w:hAnsi="宋体" w:cs="宋体"/>
                <w:sz w:val="24"/>
                <w:szCs w:val="24"/>
              </w:rPr>
            </w:pPr>
            <w:r>
              <w:rPr>
                <w:rFonts w:ascii="宋体" w:eastAsia="宋体" w:hAnsi="宋体" w:cs="宋体" w:hint="eastAsia"/>
                <w:sz w:val="24"/>
                <w:szCs w:val="24"/>
              </w:rPr>
              <w:t>专题五　大学生劳动教育的品德锻造与情怀培育</w:t>
            </w:r>
          </w:p>
        </w:tc>
        <w:tc>
          <w:tcPr>
            <w:tcW w:w="2268" w:type="dxa"/>
            <w:vAlign w:val="center"/>
          </w:tcPr>
          <w:p w14:paraId="792B34F9"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主题研讨、案例教学</w:t>
            </w:r>
          </w:p>
        </w:tc>
        <w:tc>
          <w:tcPr>
            <w:tcW w:w="1843" w:type="dxa"/>
            <w:vAlign w:val="center"/>
          </w:tcPr>
          <w:p w14:paraId="099C3603"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课程目标2、3</w:t>
            </w:r>
          </w:p>
        </w:tc>
        <w:tc>
          <w:tcPr>
            <w:tcW w:w="1134" w:type="dxa"/>
            <w:vAlign w:val="center"/>
          </w:tcPr>
          <w:p w14:paraId="48D0C6D0" w14:textId="77777777" w:rsidR="00BC4EF1" w:rsidRDefault="00BC4EF1" w:rsidP="00BA2CFD">
            <w:pPr>
              <w:jc w:val="center"/>
              <w:rPr>
                <w:rFonts w:ascii="宋体" w:eastAsia="宋体" w:hAnsi="宋体" w:cs="宋体"/>
                <w:sz w:val="24"/>
                <w:szCs w:val="24"/>
              </w:rPr>
            </w:pPr>
            <w:r>
              <w:rPr>
                <w:rFonts w:ascii="宋体" w:eastAsia="宋体" w:hAnsi="宋体" w:cs="宋体" w:hint="eastAsia"/>
                <w:sz w:val="24"/>
                <w:szCs w:val="24"/>
              </w:rPr>
              <w:t>3学时</w:t>
            </w:r>
          </w:p>
        </w:tc>
      </w:tr>
      <w:tr w:rsidR="00BC4EF1" w14:paraId="7FAF8F09" w14:textId="77777777" w:rsidTr="00BA2CFD">
        <w:trPr>
          <w:trHeight w:val="875"/>
          <w:jc w:val="center"/>
        </w:trPr>
        <w:tc>
          <w:tcPr>
            <w:tcW w:w="3397" w:type="dxa"/>
            <w:vAlign w:val="center"/>
          </w:tcPr>
          <w:p w14:paraId="0C4D5872" w14:textId="77777777" w:rsidR="00BC4EF1" w:rsidRDefault="00BC4EF1" w:rsidP="00BA2CFD">
            <w:pPr>
              <w:spacing w:line="440" w:lineRule="exact"/>
              <w:rPr>
                <w:rFonts w:ascii="宋体" w:eastAsia="宋体" w:hAnsi="宋体" w:cs="宋体"/>
                <w:sz w:val="24"/>
                <w:szCs w:val="24"/>
              </w:rPr>
            </w:pPr>
            <w:r>
              <w:rPr>
                <w:rFonts w:ascii="宋体" w:eastAsia="宋体" w:hAnsi="宋体" w:cs="宋体" w:hint="eastAsia"/>
                <w:sz w:val="24"/>
                <w:szCs w:val="24"/>
              </w:rPr>
              <w:t>专题六　新时代大学生日常生活劳动教育</w:t>
            </w:r>
          </w:p>
        </w:tc>
        <w:tc>
          <w:tcPr>
            <w:tcW w:w="2268" w:type="dxa"/>
            <w:vAlign w:val="center"/>
          </w:tcPr>
          <w:p w14:paraId="0E46C085"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讲授法、案例教学</w:t>
            </w:r>
          </w:p>
        </w:tc>
        <w:tc>
          <w:tcPr>
            <w:tcW w:w="1843" w:type="dxa"/>
            <w:vAlign w:val="center"/>
          </w:tcPr>
          <w:p w14:paraId="4B545D25"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课程目标1、2</w:t>
            </w:r>
          </w:p>
        </w:tc>
        <w:tc>
          <w:tcPr>
            <w:tcW w:w="1134" w:type="dxa"/>
            <w:vAlign w:val="center"/>
          </w:tcPr>
          <w:p w14:paraId="7E86426F" w14:textId="77777777" w:rsidR="00BC4EF1" w:rsidRDefault="00BC4EF1" w:rsidP="00BA2CFD">
            <w:pPr>
              <w:jc w:val="center"/>
              <w:rPr>
                <w:rFonts w:ascii="宋体" w:eastAsia="宋体" w:hAnsi="宋体" w:cs="宋体"/>
                <w:sz w:val="24"/>
                <w:szCs w:val="24"/>
              </w:rPr>
            </w:pPr>
            <w:r>
              <w:rPr>
                <w:rFonts w:ascii="宋体" w:eastAsia="宋体" w:hAnsi="宋体" w:cs="宋体" w:hint="eastAsia"/>
                <w:sz w:val="24"/>
                <w:szCs w:val="24"/>
              </w:rPr>
              <w:t>4学时</w:t>
            </w:r>
          </w:p>
        </w:tc>
      </w:tr>
      <w:tr w:rsidR="00BC4EF1" w14:paraId="56AB1E79" w14:textId="77777777" w:rsidTr="00BA2CFD">
        <w:trPr>
          <w:trHeight w:val="875"/>
          <w:jc w:val="center"/>
        </w:trPr>
        <w:tc>
          <w:tcPr>
            <w:tcW w:w="3397" w:type="dxa"/>
            <w:vAlign w:val="center"/>
          </w:tcPr>
          <w:p w14:paraId="0D0F5012" w14:textId="77777777" w:rsidR="00BC4EF1" w:rsidRDefault="00BC4EF1" w:rsidP="00BA2CFD">
            <w:pPr>
              <w:spacing w:line="440" w:lineRule="exact"/>
              <w:rPr>
                <w:rFonts w:ascii="宋体" w:eastAsia="宋体" w:hAnsi="宋体" w:cs="宋体"/>
                <w:sz w:val="24"/>
                <w:szCs w:val="24"/>
              </w:rPr>
            </w:pPr>
            <w:proofErr w:type="gramStart"/>
            <w:r>
              <w:rPr>
                <w:rFonts w:ascii="宋体" w:eastAsia="宋体" w:hAnsi="宋体" w:cs="宋体" w:hint="eastAsia"/>
                <w:sz w:val="24"/>
                <w:szCs w:val="24"/>
              </w:rPr>
              <w:t>专题七</w:t>
            </w:r>
            <w:proofErr w:type="gramEnd"/>
            <w:r>
              <w:rPr>
                <w:rFonts w:ascii="宋体" w:eastAsia="宋体" w:hAnsi="宋体" w:cs="宋体" w:hint="eastAsia"/>
                <w:sz w:val="24"/>
                <w:szCs w:val="24"/>
              </w:rPr>
              <w:t xml:space="preserve">　新时代大学生生产劳动教育</w:t>
            </w:r>
          </w:p>
        </w:tc>
        <w:tc>
          <w:tcPr>
            <w:tcW w:w="2268" w:type="dxa"/>
            <w:vAlign w:val="center"/>
          </w:tcPr>
          <w:p w14:paraId="1F7F8980"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主题研讨</w:t>
            </w:r>
          </w:p>
        </w:tc>
        <w:tc>
          <w:tcPr>
            <w:tcW w:w="1843" w:type="dxa"/>
            <w:vAlign w:val="center"/>
          </w:tcPr>
          <w:p w14:paraId="7ACAA77F"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课程目标1、2、3</w:t>
            </w:r>
          </w:p>
        </w:tc>
        <w:tc>
          <w:tcPr>
            <w:tcW w:w="1134" w:type="dxa"/>
            <w:vAlign w:val="center"/>
          </w:tcPr>
          <w:p w14:paraId="4B88B596" w14:textId="77777777" w:rsidR="00BC4EF1" w:rsidRDefault="00BC4EF1" w:rsidP="00BA2CFD">
            <w:pPr>
              <w:jc w:val="center"/>
              <w:rPr>
                <w:rFonts w:ascii="宋体" w:eastAsia="宋体" w:hAnsi="宋体" w:cs="宋体"/>
                <w:sz w:val="24"/>
                <w:szCs w:val="24"/>
              </w:rPr>
            </w:pPr>
            <w:r>
              <w:rPr>
                <w:rFonts w:ascii="宋体" w:eastAsia="宋体" w:hAnsi="宋体" w:cs="宋体" w:hint="eastAsia"/>
                <w:sz w:val="24"/>
                <w:szCs w:val="24"/>
              </w:rPr>
              <w:t>4学时</w:t>
            </w:r>
          </w:p>
        </w:tc>
      </w:tr>
      <w:tr w:rsidR="00BC4EF1" w14:paraId="41316D2C" w14:textId="77777777" w:rsidTr="00BA2CFD">
        <w:trPr>
          <w:trHeight w:val="875"/>
          <w:jc w:val="center"/>
        </w:trPr>
        <w:tc>
          <w:tcPr>
            <w:tcW w:w="3397" w:type="dxa"/>
            <w:vAlign w:val="center"/>
          </w:tcPr>
          <w:p w14:paraId="7DBCDFC5" w14:textId="77777777" w:rsidR="00BC4EF1" w:rsidRDefault="00BC4EF1" w:rsidP="00BA2CFD">
            <w:pPr>
              <w:spacing w:line="440" w:lineRule="exact"/>
              <w:rPr>
                <w:rFonts w:ascii="宋体" w:eastAsia="宋体" w:hAnsi="宋体" w:cs="宋体"/>
                <w:sz w:val="24"/>
                <w:szCs w:val="24"/>
              </w:rPr>
            </w:pPr>
            <w:proofErr w:type="gramStart"/>
            <w:r>
              <w:rPr>
                <w:rFonts w:ascii="宋体" w:eastAsia="宋体" w:hAnsi="宋体" w:cs="宋体" w:hint="eastAsia"/>
                <w:sz w:val="24"/>
                <w:szCs w:val="24"/>
              </w:rPr>
              <w:t>专题八</w:t>
            </w:r>
            <w:proofErr w:type="gramEnd"/>
            <w:r>
              <w:rPr>
                <w:rFonts w:ascii="宋体" w:eastAsia="宋体" w:hAnsi="宋体" w:cs="宋体" w:hint="eastAsia"/>
                <w:sz w:val="24"/>
                <w:szCs w:val="24"/>
              </w:rPr>
              <w:t xml:space="preserve">　新时代大学生服务性劳动教育</w:t>
            </w:r>
          </w:p>
        </w:tc>
        <w:tc>
          <w:tcPr>
            <w:tcW w:w="2268" w:type="dxa"/>
            <w:vAlign w:val="center"/>
          </w:tcPr>
          <w:p w14:paraId="51E18446"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讲授法、案例教学</w:t>
            </w:r>
          </w:p>
        </w:tc>
        <w:tc>
          <w:tcPr>
            <w:tcW w:w="1843" w:type="dxa"/>
            <w:vAlign w:val="center"/>
          </w:tcPr>
          <w:p w14:paraId="539C4712"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课程目标1、2、3</w:t>
            </w:r>
          </w:p>
        </w:tc>
        <w:tc>
          <w:tcPr>
            <w:tcW w:w="1134" w:type="dxa"/>
            <w:vAlign w:val="center"/>
          </w:tcPr>
          <w:p w14:paraId="2D5F6EFB" w14:textId="77777777" w:rsidR="00BC4EF1" w:rsidRDefault="00BC4EF1" w:rsidP="00BA2CFD">
            <w:pPr>
              <w:jc w:val="center"/>
              <w:rPr>
                <w:rFonts w:ascii="宋体" w:eastAsia="宋体" w:hAnsi="宋体" w:cs="宋体"/>
                <w:sz w:val="24"/>
                <w:szCs w:val="24"/>
              </w:rPr>
            </w:pPr>
            <w:r>
              <w:rPr>
                <w:rFonts w:ascii="宋体" w:eastAsia="宋体" w:hAnsi="宋体" w:cs="宋体" w:hint="eastAsia"/>
                <w:sz w:val="24"/>
                <w:szCs w:val="24"/>
              </w:rPr>
              <w:t>4学时</w:t>
            </w:r>
          </w:p>
        </w:tc>
      </w:tr>
      <w:tr w:rsidR="00BC4EF1" w14:paraId="350ED160" w14:textId="77777777" w:rsidTr="00BA2CFD">
        <w:trPr>
          <w:trHeight w:val="875"/>
          <w:jc w:val="center"/>
        </w:trPr>
        <w:tc>
          <w:tcPr>
            <w:tcW w:w="3397" w:type="dxa"/>
            <w:vAlign w:val="center"/>
          </w:tcPr>
          <w:p w14:paraId="20361098" w14:textId="77777777" w:rsidR="00BC4EF1" w:rsidRDefault="00BC4EF1" w:rsidP="00BA2CFD">
            <w:pPr>
              <w:spacing w:line="440" w:lineRule="exact"/>
              <w:rPr>
                <w:rFonts w:ascii="宋体" w:eastAsia="宋体" w:hAnsi="宋体" w:cs="宋体"/>
                <w:sz w:val="24"/>
                <w:szCs w:val="24"/>
              </w:rPr>
            </w:pPr>
            <w:r>
              <w:rPr>
                <w:rFonts w:ascii="宋体" w:eastAsia="宋体" w:hAnsi="宋体" w:cs="宋体" w:hint="eastAsia"/>
                <w:sz w:val="24"/>
                <w:szCs w:val="24"/>
              </w:rPr>
              <w:t>专题九　学习劳动法律，维护劳动权益</w:t>
            </w:r>
          </w:p>
        </w:tc>
        <w:tc>
          <w:tcPr>
            <w:tcW w:w="2268" w:type="dxa"/>
            <w:vAlign w:val="center"/>
          </w:tcPr>
          <w:p w14:paraId="5527685D"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案例教学</w:t>
            </w:r>
          </w:p>
        </w:tc>
        <w:tc>
          <w:tcPr>
            <w:tcW w:w="1843" w:type="dxa"/>
            <w:vAlign w:val="center"/>
          </w:tcPr>
          <w:p w14:paraId="63DBAD1F" w14:textId="77777777" w:rsidR="00BC4EF1" w:rsidRDefault="00BC4EF1" w:rsidP="00BA2CFD">
            <w:pPr>
              <w:spacing w:line="440" w:lineRule="exact"/>
              <w:jc w:val="center"/>
              <w:rPr>
                <w:rFonts w:ascii="宋体" w:eastAsia="宋体" w:hAnsi="宋体" w:cs="宋体"/>
                <w:sz w:val="24"/>
                <w:szCs w:val="24"/>
              </w:rPr>
            </w:pPr>
            <w:r>
              <w:rPr>
                <w:rFonts w:ascii="宋体" w:eastAsia="宋体" w:hAnsi="宋体" w:cs="宋体" w:hint="eastAsia"/>
                <w:sz w:val="24"/>
                <w:szCs w:val="24"/>
              </w:rPr>
              <w:t>课程目标1、3</w:t>
            </w:r>
          </w:p>
        </w:tc>
        <w:tc>
          <w:tcPr>
            <w:tcW w:w="1134" w:type="dxa"/>
            <w:vAlign w:val="center"/>
          </w:tcPr>
          <w:p w14:paraId="7D8D6955" w14:textId="77777777" w:rsidR="00BC4EF1" w:rsidRDefault="00BC4EF1" w:rsidP="00BA2CFD">
            <w:pPr>
              <w:jc w:val="center"/>
              <w:rPr>
                <w:rFonts w:ascii="宋体" w:eastAsia="宋体" w:hAnsi="宋体" w:cs="宋体"/>
                <w:sz w:val="24"/>
                <w:szCs w:val="24"/>
              </w:rPr>
            </w:pPr>
            <w:r>
              <w:rPr>
                <w:rFonts w:ascii="宋体" w:eastAsia="宋体" w:hAnsi="宋体" w:cs="宋体" w:hint="eastAsia"/>
                <w:sz w:val="24"/>
                <w:szCs w:val="24"/>
              </w:rPr>
              <w:t>3学时</w:t>
            </w:r>
          </w:p>
        </w:tc>
      </w:tr>
      <w:tr w:rsidR="00BC4EF1" w14:paraId="73ED30CA" w14:textId="77777777" w:rsidTr="00BA2CFD">
        <w:trPr>
          <w:trHeight w:val="437"/>
          <w:jc w:val="center"/>
        </w:trPr>
        <w:tc>
          <w:tcPr>
            <w:tcW w:w="7508" w:type="dxa"/>
            <w:gridSpan w:val="3"/>
            <w:vAlign w:val="center"/>
          </w:tcPr>
          <w:p w14:paraId="14830E25" w14:textId="77777777" w:rsidR="00BC4EF1" w:rsidRDefault="00BC4EF1" w:rsidP="00BA2CFD">
            <w:pPr>
              <w:spacing w:line="440" w:lineRule="exact"/>
              <w:jc w:val="center"/>
              <w:rPr>
                <w:rFonts w:ascii="宋体" w:eastAsia="宋体" w:hAnsi="宋体" w:cs="宋体"/>
                <w:b/>
                <w:sz w:val="24"/>
                <w:szCs w:val="24"/>
              </w:rPr>
            </w:pPr>
            <w:r>
              <w:rPr>
                <w:rFonts w:ascii="宋体" w:eastAsia="宋体" w:hAnsi="宋体" w:cs="宋体" w:hint="eastAsia"/>
                <w:b/>
                <w:sz w:val="24"/>
                <w:szCs w:val="24"/>
              </w:rPr>
              <w:t>合计</w:t>
            </w:r>
          </w:p>
        </w:tc>
        <w:tc>
          <w:tcPr>
            <w:tcW w:w="1134" w:type="dxa"/>
            <w:vAlign w:val="center"/>
          </w:tcPr>
          <w:p w14:paraId="02C252C0" w14:textId="77777777" w:rsidR="00BC4EF1" w:rsidRDefault="00BC4EF1" w:rsidP="00BA2CFD">
            <w:pPr>
              <w:jc w:val="center"/>
              <w:rPr>
                <w:rFonts w:ascii="宋体" w:eastAsia="宋体" w:hAnsi="宋体" w:cs="宋体"/>
                <w:sz w:val="24"/>
                <w:szCs w:val="24"/>
              </w:rPr>
            </w:pPr>
            <w:r>
              <w:rPr>
                <w:rFonts w:ascii="宋体" w:eastAsia="宋体" w:hAnsi="宋体" w:cs="宋体" w:hint="eastAsia"/>
                <w:sz w:val="24"/>
                <w:szCs w:val="24"/>
              </w:rPr>
              <w:t>32学时</w:t>
            </w:r>
          </w:p>
        </w:tc>
      </w:tr>
    </w:tbl>
    <w:p w14:paraId="6D75B98E"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四、课程考核及与课程学习目标的对应关系</w:t>
      </w:r>
    </w:p>
    <w:p w14:paraId="585C7D63" w14:textId="77777777" w:rsidR="00BC4EF1" w:rsidRDefault="00BC4EF1" w:rsidP="00BC4EF1">
      <w:pPr>
        <w:snapToGrid w:val="0"/>
        <w:spacing w:before="187" w:after="187" w:line="440" w:lineRule="exact"/>
        <w:ind w:left="561"/>
        <w:rPr>
          <w:rFonts w:ascii="黑体" w:eastAsia="黑体" w:hAnsi="黑体" w:cs="Times New Roman"/>
          <w:sz w:val="28"/>
          <w:szCs w:val="28"/>
        </w:rPr>
      </w:pPr>
      <w:r>
        <w:rPr>
          <w:rFonts w:ascii="黑体" w:eastAsia="黑体" w:hAnsi="黑体" w:hint="eastAsia"/>
          <w:sz w:val="28"/>
          <w:szCs w:val="28"/>
        </w:rPr>
        <w:t>（一）课程考核内容与课程学习目标的对应关系</w:t>
      </w:r>
    </w:p>
    <w:tbl>
      <w:tblPr>
        <w:tblW w:w="8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7301"/>
      </w:tblGrid>
      <w:tr w:rsidR="00BC4EF1" w14:paraId="2CA06736" w14:textId="77777777" w:rsidTr="00BA2CFD">
        <w:trPr>
          <w:trHeight w:val="519"/>
          <w:jc w:val="center"/>
        </w:trPr>
        <w:tc>
          <w:tcPr>
            <w:tcW w:w="1419" w:type="dxa"/>
          </w:tcPr>
          <w:p w14:paraId="6F432218" w14:textId="77777777" w:rsidR="00BC4EF1" w:rsidRDefault="00BC4EF1" w:rsidP="00BA2CFD">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7301" w:type="dxa"/>
            <w:vAlign w:val="center"/>
          </w:tcPr>
          <w:p w14:paraId="7D7FD878" w14:textId="77777777" w:rsidR="00BC4EF1" w:rsidRDefault="00BC4EF1" w:rsidP="00BA2CFD">
            <w:pPr>
              <w:adjustRightInd w:val="0"/>
              <w:snapToGrid w:val="0"/>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考核内容</w:t>
            </w:r>
          </w:p>
        </w:tc>
      </w:tr>
      <w:tr w:rsidR="00BC4EF1" w14:paraId="551CA669" w14:textId="77777777" w:rsidTr="00BA2CFD">
        <w:trPr>
          <w:trHeight w:val="877"/>
          <w:jc w:val="center"/>
        </w:trPr>
        <w:tc>
          <w:tcPr>
            <w:tcW w:w="1419" w:type="dxa"/>
            <w:vAlign w:val="center"/>
          </w:tcPr>
          <w:p w14:paraId="20A44096" w14:textId="77777777" w:rsidR="00BC4EF1" w:rsidRDefault="00BC4EF1" w:rsidP="00BA2CFD">
            <w:pPr>
              <w:adjustRightInd w:val="0"/>
              <w:snapToGrid w:val="0"/>
              <w:spacing w:line="440" w:lineRule="exact"/>
              <w:jc w:val="center"/>
              <w:rPr>
                <w:rFonts w:ascii="宋体" w:eastAsia="宋体" w:hAnsi="宋体" w:cs="宋体"/>
                <w:bCs/>
                <w:sz w:val="24"/>
                <w:szCs w:val="24"/>
              </w:rPr>
            </w:pPr>
            <w:r>
              <w:rPr>
                <w:rFonts w:ascii="宋体" w:eastAsia="宋体" w:hAnsi="宋体" w:cs="宋体" w:hint="eastAsia"/>
                <w:bCs/>
                <w:sz w:val="24"/>
                <w:szCs w:val="24"/>
              </w:rPr>
              <w:t>课程目标1</w:t>
            </w:r>
          </w:p>
        </w:tc>
        <w:tc>
          <w:tcPr>
            <w:tcW w:w="7301" w:type="dxa"/>
            <w:vAlign w:val="center"/>
          </w:tcPr>
          <w:p w14:paraId="584E7649" w14:textId="77777777" w:rsidR="00BC4EF1" w:rsidRDefault="00BC4EF1" w:rsidP="00BA2CFD">
            <w:pPr>
              <w:adjustRightInd w:val="0"/>
              <w:snapToGrid w:val="0"/>
              <w:spacing w:line="440" w:lineRule="exact"/>
              <w:ind w:firstLineChars="200" w:firstLine="480"/>
              <w:rPr>
                <w:rFonts w:ascii="宋体" w:eastAsia="宋体" w:hAnsi="宋体" w:cs="宋体"/>
                <w:bCs/>
                <w:sz w:val="24"/>
                <w:szCs w:val="24"/>
              </w:rPr>
            </w:pPr>
            <w:r>
              <w:rPr>
                <w:rFonts w:ascii="宋体" w:eastAsia="宋体" w:hAnsi="宋体" w:cs="宋体" w:hint="eastAsia"/>
                <w:bCs/>
                <w:sz w:val="24"/>
                <w:szCs w:val="24"/>
              </w:rPr>
              <w:t>考核学生对马克思主义劳动观的</w:t>
            </w:r>
            <w:r>
              <w:rPr>
                <w:rFonts w:ascii="宋体" w:eastAsia="宋体" w:hAnsi="宋体" w:cs="宋体" w:hint="eastAsia"/>
                <w:sz w:val="24"/>
                <w:szCs w:val="24"/>
              </w:rPr>
              <w:t>科学知识和劳动技能的</w:t>
            </w:r>
            <w:r>
              <w:rPr>
                <w:rFonts w:ascii="宋体" w:eastAsia="宋体" w:hAnsi="宋体" w:cs="宋体" w:hint="eastAsia"/>
                <w:bCs/>
                <w:sz w:val="24"/>
                <w:szCs w:val="24"/>
              </w:rPr>
              <w:t>掌握情况，</w:t>
            </w:r>
            <w:r>
              <w:rPr>
                <w:rFonts w:ascii="宋体" w:eastAsia="宋体" w:hAnsi="宋体" w:cs="宋体" w:hint="eastAsia"/>
                <w:sz w:val="24"/>
                <w:szCs w:val="24"/>
              </w:rPr>
              <w:t>学习理解习近平新时代中国特色社会主义劳动价值观；清晰劳动对人的发展的决定性作用，明晰劳动创造了人本身的科学论断；理解劳动精神、劳模精神、工匠精神的基本内涵、核心内容，通过对相关基础理论知识的学习和对先进事迹的了解，体会、感悟劳动教育的深刻内涵；强化对马克思主义劳动观的培养，积累职业经验，培育创造性劳动能力和诚实守信的合法劳动意识，能够正确使用常见劳动工具等方法。</w:t>
            </w:r>
          </w:p>
        </w:tc>
      </w:tr>
      <w:tr w:rsidR="00BC4EF1" w14:paraId="21584021" w14:textId="77777777" w:rsidTr="00BA2CFD">
        <w:trPr>
          <w:trHeight w:val="433"/>
          <w:jc w:val="center"/>
        </w:trPr>
        <w:tc>
          <w:tcPr>
            <w:tcW w:w="1419" w:type="dxa"/>
            <w:vAlign w:val="center"/>
          </w:tcPr>
          <w:p w14:paraId="4728E675" w14:textId="77777777" w:rsidR="00BC4EF1" w:rsidRDefault="00BC4EF1" w:rsidP="00BA2CFD">
            <w:pPr>
              <w:adjustRightInd w:val="0"/>
              <w:snapToGrid w:val="0"/>
              <w:spacing w:line="440" w:lineRule="exact"/>
              <w:jc w:val="center"/>
              <w:rPr>
                <w:rFonts w:ascii="宋体" w:eastAsia="宋体" w:hAnsi="宋体" w:cs="宋体"/>
                <w:bCs/>
                <w:sz w:val="24"/>
                <w:szCs w:val="24"/>
              </w:rPr>
            </w:pPr>
            <w:r>
              <w:rPr>
                <w:rFonts w:ascii="宋体" w:eastAsia="宋体" w:hAnsi="宋体" w:cs="宋体" w:hint="eastAsia"/>
                <w:bCs/>
                <w:sz w:val="24"/>
                <w:szCs w:val="24"/>
              </w:rPr>
              <w:lastRenderedPageBreak/>
              <w:t>课程目标2</w:t>
            </w:r>
          </w:p>
        </w:tc>
        <w:tc>
          <w:tcPr>
            <w:tcW w:w="7301" w:type="dxa"/>
            <w:vAlign w:val="center"/>
          </w:tcPr>
          <w:p w14:paraId="071DE7F4" w14:textId="77777777" w:rsidR="00BC4EF1" w:rsidRDefault="00BC4EF1" w:rsidP="00BA2CFD">
            <w:pPr>
              <w:adjustRightInd w:val="0"/>
              <w:snapToGrid w:val="0"/>
              <w:spacing w:line="440" w:lineRule="exact"/>
              <w:ind w:firstLineChars="200" w:firstLine="480"/>
              <w:rPr>
                <w:rFonts w:ascii="宋体" w:eastAsia="宋体" w:hAnsi="宋体" w:cs="宋体"/>
                <w:bCs/>
                <w:sz w:val="24"/>
                <w:szCs w:val="24"/>
              </w:rPr>
            </w:pPr>
            <w:r>
              <w:rPr>
                <w:rFonts w:ascii="宋体" w:eastAsia="宋体" w:hAnsi="宋体" w:cs="宋体" w:hint="eastAsia"/>
                <w:bCs/>
                <w:sz w:val="24"/>
                <w:szCs w:val="24"/>
              </w:rPr>
              <w:t>考核学生在参加日常生活劳动过程中的基本的生活能力、独立性和责任感；在对生产劳动、服务性劳动的实践中，体会马克思主义劳动价值论的内涵，并逐步在学习与实践中增强专业知识的实用能力，运用马克思主义劳动观将创新创业理念投入到未来的职业性劳动中，从而更好地认知世界和改造世界；在对服务性劳动的理解中，结合</w:t>
            </w:r>
            <w:r>
              <w:rPr>
                <w:rFonts w:ascii="宋体" w:eastAsia="宋体" w:hAnsi="宋体" w:cs="宋体" w:hint="eastAsia"/>
                <w:bCs/>
                <w:sz w:val="24"/>
                <w:szCs w:val="24"/>
                <w:lang w:val="zh-CN"/>
              </w:rPr>
              <w:t>“三</w:t>
            </w:r>
            <w:r>
              <w:rPr>
                <w:rFonts w:ascii="宋体" w:eastAsia="宋体" w:hAnsi="宋体" w:cs="宋体" w:hint="eastAsia"/>
                <w:bCs/>
                <w:sz w:val="24"/>
                <w:szCs w:val="24"/>
              </w:rPr>
              <w:t>支一扶”、大学生志愿服务西部计划、</w:t>
            </w:r>
            <w:r>
              <w:rPr>
                <w:rFonts w:ascii="宋体" w:eastAsia="宋体" w:hAnsi="宋体" w:cs="宋体" w:hint="eastAsia"/>
                <w:bCs/>
                <w:sz w:val="24"/>
                <w:szCs w:val="24"/>
                <w:lang w:val="zh-CN"/>
              </w:rPr>
              <w:t>“青年</w:t>
            </w:r>
            <w:r>
              <w:rPr>
                <w:rFonts w:ascii="宋体" w:eastAsia="宋体" w:hAnsi="宋体" w:cs="宋体" w:hint="eastAsia"/>
                <w:bCs/>
                <w:sz w:val="24"/>
                <w:szCs w:val="24"/>
              </w:rPr>
              <w:t>红色筑梦之旅”、</w:t>
            </w:r>
            <w:r>
              <w:rPr>
                <w:rFonts w:ascii="宋体" w:eastAsia="宋体" w:hAnsi="宋体" w:cs="宋体" w:hint="eastAsia"/>
                <w:bCs/>
                <w:sz w:val="24"/>
                <w:szCs w:val="24"/>
                <w:lang w:val="zh-CN"/>
              </w:rPr>
              <w:t>“三</w:t>
            </w:r>
            <w:r>
              <w:rPr>
                <w:rFonts w:ascii="宋体" w:eastAsia="宋体" w:hAnsi="宋体" w:cs="宋体" w:hint="eastAsia"/>
                <w:bCs/>
                <w:sz w:val="24"/>
                <w:szCs w:val="24"/>
              </w:rPr>
              <w:t>下乡”等社会实践活动开展服务性劳动，从而进一步强化公共服务意识和团队劳动合作精神。</w:t>
            </w:r>
          </w:p>
        </w:tc>
      </w:tr>
      <w:tr w:rsidR="00BC4EF1" w14:paraId="0C1AB538" w14:textId="77777777" w:rsidTr="00BA2CFD">
        <w:trPr>
          <w:trHeight w:val="1833"/>
          <w:jc w:val="center"/>
        </w:trPr>
        <w:tc>
          <w:tcPr>
            <w:tcW w:w="1419" w:type="dxa"/>
            <w:vAlign w:val="center"/>
          </w:tcPr>
          <w:p w14:paraId="51A0E636" w14:textId="77777777" w:rsidR="00BC4EF1" w:rsidRDefault="00BC4EF1" w:rsidP="00BA2CFD">
            <w:pPr>
              <w:adjustRightInd w:val="0"/>
              <w:snapToGrid w:val="0"/>
              <w:spacing w:line="440" w:lineRule="exact"/>
              <w:jc w:val="center"/>
              <w:rPr>
                <w:rFonts w:ascii="宋体" w:eastAsia="宋体" w:hAnsi="宋体" w:cs="宋体"/>
                <w:bCs/>
                <w:sz w:val="24"/>
                <w:szCs w:val="24"/>
              </w:rPr>
            </w:pPr>
            <w:r>
              <w:rPr>
                <w:rFonts w:ascii="宋体" w:eastAsia="宋体" w:hAnsi="宋体" w:cs="宋体" w:hint="eastAsia"/>
                <w:bCs/>
                <w:sz w:val="24"/>
                <w:szCs w:val="24"/>
              </w:rPr>
              <w:t>课程目标3</w:t>
            </w:r>
          </w:p>
        </w:tc>
        <w:tc>
          <w:tcPr>
            <w:tcW w:w="7301" w:type="dxa"/>
            <w:vAlign w:val="center"/>
          </w:tcPr>
          <w:p w14:paraId="24AC969C" w14:textId="77777777" w:rsidR="00BC4EF1" w:rsidRDefault="00BC4EF1" w:rsidP="00BA2CFD">
            <w:pPr>
              <w:adjustRightInd w:val="0"/>
              <w:snapToGrid w:val="0"/>
              <w:spacing w:line="440" w:lineRule="exact"/>
              <w:ind w:firstLineChars="200" w:firstLine="480"/>
              <w:rPr>
                <w:rFonts w:ascii="宋体" w:eastAsia="宋体" w:hAnsi="宋体" w:cs="宋体"/>
                <w:bCs/>
                <w:sz w:val="24"/>
                <w:szCs w:val="24"/>
              </w:rPr>
            </w:pPr>
            <w:r>
              <w:rPr>
                <w:rFonts w:ascii="宋体" w:eastAsia="宋体" w:hAnsi="宋体" w:cs="宋体" w:hint="eastAsia"/>
                <w:bCs/>
                <w:sz w:val="24"/>
                <w:szCs w:val="24"/>
              </w:rPr>
              <w:t>考核学生对“劳动最光荣、劳动最崇高、劳动最伟大、劳动最美丽”的观念养成情况，学生对劳动的情感认同与实践自觉，学生明晰劳动对人生职业的重要意义，提升职业道德，做到诚实劳动、踏实劳动、实现劳动和谐；学生</w:t>
            </w:r>
            <w:r>
              <w:rPr>
                <w:rFonts w:ascii="宋体" w:eastAsia="宋体" w:hAnsi="宋体" w:cs="宋体" w:hint="eastAsia"/>
                <w:sz w:val="24"/>
                <w:szCs w:val="24"/>
              </w:rPr>
              <w:t>对生活性劳动、生产性劳动、服务性劳动的情感认同与实践自觉，进一步形成服务社会、贡献国家的价值追求。</w:t>
            </w:r>
          </w:p>
        </w:tc>
      </w:tr>
    </w:tbl>
    <w:p w14:paraId="77A6D0F3"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（二）课程考核方式</w:t>
      </w:r>
    </w:p>
    <w:p w14:paraId="55AAEF8A"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本课程为开卷考试。课程共32学时（线下24学时+线上8学时），采用线下线上混合式教学方式开展，周3学时，授课时间为8周，线下授课分别在第1-8周开设或第9-16周开设。线上教学分别在第6-7周或15-16周进行。</w:t>
      </w:r>
    </w:p>
    <w:p w14:paraId="19B46551"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（三）课程目标达成评价方式及考核比例</w:t>
      </w:r>
    </w:p>
    <w:p w14:paraId="389F8248"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考核方式及成绩比例为：课堂表现（45%）＋线上学习（15%）＋期末论文（40%）；本课程3个课程目标，考核方式及成绩比例分别为：</w:t>
      </w:r>
    </w:p>
    <w:p w14:paraId="5A55E44A"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课程目标1：课堂表现（15%）+线上学习（10%）+期末论文（10%）</w:t>
      </w:r>
    </w:p>
    <w:p w14:paraId="2C23C672"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课程目标2：课堂表现（15%）+期末论文（5%）</w:t>
      </w:r>
    </w:p>
    <w:p w14:paraId="7380DBE7"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课程目标3：课堂表现（15%）+线上学习（5%）+期末论文（25%）</w:t>
      </w:r>
    </w:p>
    <w:p w14:paraId="31811A9D"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如下图：</w:t>
      </w:r>
    </w:p>
    <w:p w14:paraId="40E6CFE1" w14:textId="77777777" w:rsidR="00BC4EF1" w:rsidRDefault="00BC4EF1" w:rsidP="00BC4EF1">
      <w:pPr>
        <w:spacing w:line="440" w:lineRule="exact"/>
        <w:ind w:firstLineChars="200" w:firstLine="480"/>
        <w:rPr>
          <w:rFonts w:ascii="宋体" w:eastAsia="宋体" w:hAnsi="宋体" w:cs="宋体"/>
          <w:sz w:val="24"/>
        </w:rPr>
      </w:pPr>
    </w:p>
    <w:tbl>
      <w:tblPr>
        <w:tblStyle w:val="21"/>
        <w:tblW w:w="8218" w:type="dxa"/>
        <w:tblLayout w:type="fixed"/>
        <w:tblCellMar>
          <w:top w:w="120" w:type="dxa"/>
          <w:left w:w="60" w:type="dxa"/>
          <w:bottom w:w="120" w:type="dxa"/>
          <w:right w:w="60" w:type="dxa"/>
        </w:tblCellMar>
        <w:tblLook w:val="04A0" w:firstRow="1" w:lastRow="0" w:firstColumn="1" w:lastColumn="0" w:noHBand="0" w:noVBand="1"/>
      </w:tblPr>
      <w:tblGrid>
        <w:gridCol w:w="1266"/>
        <w:gridCol w:w="1557"/>
        <w:gridCol w:w="1320"/>
        <w:gridCol w:w="1490"/>
        <w:gridCol w:w="2585"/>
      </w:tblGrid>
      <w:tr w:rsidR="00BC4EF1" w14:paraId="3E7FD0AF" w14:textId="77777777" w:rsidTr="00BA2CFD">
        <w:trPr>
          <w:trHeight w:val="535"/>
        </w:trPr>
        <w:tc>
          <w:tcPr>
            <w:tcW w:w="1266" w:type="dxa"/>
            <w:vMerge w:val="restart"/>
            <w:tcBorders>
              <w:top w:val="single" w:sz="8" w:space="0" w:color="000000"/>
              <w:left w:val="single" w:sz="8" w:space="0" w:color="000000"/>
              <w:bottom w:val="single" w:sz="8" w:space="0" w:color="000000"/>
              <w:right w:val="single" w:sz="8" w:space="0" w:color="000000"/>
            </w:tcBorders>
            <w:vAlign w:val="center"/>
          </w:tcPr>
          <w:p w14:paraId="71C1B238" w14:textId="77777777" w:rsidR="00BC4EF1" w:rsidRDefault="00BC4EF1" w:rsidP="00BA2CFD">
            <w:pPr>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课程目标</w:t>
            </w:r>
          </w:p>
        </w:tc>
        <w:tc>
          <w:tcPr>
            <w:tcW w:w="4367" w:type="dxa"/>
            <w:gridSpan w:val="3"/>
            <w:tcBorders>
              <w:top w:val="single" w:sz="8" w:space="0" w:color="000000"/>
              <w:left w:val="single" w:sz="8" w:space="0" w:color="000000"/>
              <w:bottom w:val="single" w:sz="8" w:space="0" w:color="000000"/>
              <w:right w:val="single" w:sz="8" w:space="0" w:color="000000"/>
            </w:tcBorders>
            <w:vAlign w:val="center"/>
          </w:tcPr>
          <w:p w14:paraId="2EDEF320" w14:textId="77777777" w:rsidR="00BC4EF1" w:rsidRDefault="00BC4EF1" w:rsidP="00BA2CFD">
            <w:pPr>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考核方式及成绩比例（%）</w:t>
            </w:r>
          </w:p>
        </w:tc>
        <w:tc>
          <w:tcPr>
            <w:tcW w:w="2585" w:type="dxa"/>
            <w:vMerge w:val="restart"/>
            <w:tcBorders>
              <w:top w:val="single" w:sz="8" w:space="0" w:color="000000"/>
              <w:left w:val="single" w:sz="8" w:space="0" w:color="000000"/>
              <w:right w:val="single" w:sz="8" w:space="0" w:color="000000"/>
            </w:tcBorders>
            <w:vAlign w:val="center"/>
          </w:tcPr>
          <w:p w14:paraId="3A21D1F1" w14:textId="77777777" w:rsidR="00BC4EF1" w:rsidRDefault="00BC4EF1" w:rsidP="00BA2CFD">
            <w:pPr>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合计</w:t>
            </w:r>
          </w:p>
        </w:tc>
      </w:tr>
      <w:tr w:rsidR="00BC4EF1" w14:paraId="15842D78" w14:textId="77777777" w:rsidTr="00BA2CFD">
        <w:trPr>
          <w:trHeight w:val="579"/>
        </w:trPr>
        <w:tc>
          <w:tcPr>
            <w:tcW w:w="1266" w:type="dxa"/>
            <w:vMerge/>
            <w:tcBorders>
              <w:top w:val="single" w:sz="8" w:space="0" w:color="000000"/>
              <w:left w:val="single" w:sz="8" w:space="0" w:color="000000"/>
              <w:bottom w:val="single" w:sz="8" w:space="0" w:color="000000"/>
              <w:right w:val="single" w:sz="8" w:space="0" w:color="000000"/>
            </w:tcBorders>
            <w:vAlign w:val="center"/>
          </w:tcPr>
          <w:p w14:paraId="4875A403" w14:textId="77777777" w:rsidR="00BC4EF1" w:rsidRDefault="00BC4EF1" w:rsidP="00BA2CFD">
            <w:pPr>
              <w:jc w:val="center"/>
              <w:rPr>
                <w:rFonts w:ascii="宋体" w:hAnsi="宋体"/>
                <w:kern w:val="0"/>
                <w:sz w:val="24"/>
                <w:szCs w:val="24"/>
              </w:rPr>
            </w:pPr>
          </w:p>
        </w:tc>
        <w:tc>
          <w:tcPr>
            <w:tcW w:w="1557" w:type="dxa"/>
            <w:tcBorders>
              <w:top w:val="single" w:sz="8" w:space="0" w:color="000000"/>
              <w:left w:val="single" w:sz="8" w:space="0" w:color="000000"/>
              <w:bottom w:val="single" w:sz="8" w:space="0" w:color="000000"/>
              <w:right w:val="single" w:sz="8" w:space="0" w:color="000000"/>
            </w:tcBorders>
            <w:vAlign w:val="center"/>
          </w:tcPr>
          <w:p w14:paraId="6421EA25" w14:textId="77777777" w:rsidR="00BC4EF1" w:rsidRDefault="00BC4EF1" w:rsidP="00BA2CFD">
            <w:pPr>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课堂表现</w:t>
            </w:r>
          </w:p>
        </w:tc>
        <w:tc>
          <w:tcPr>
            <w:tcW w:w="1320" w:type="dxa"/>
            <w:tcBorders>
              <w:top w:val="single" w:sz="8" w:space="0" w:color="000000"/>
              <w:left w:val="single" w:sz="8" w:space="0" w:color="000000"/>
              <w:bottom w:val="single" w:sz="8" w:space="0" w:color="000000"/>
              <w:right w:val="single" w:sz="8" w:space="0" w:color="000000"/>
            </w:tcBorders>
            <w:vAlign w:val="center"/>
          </w:tcPr>
          <w:p w14:paraId="04206C3B" w14:textId="77777777" w:rsidR="00BC4EF1" w:rsidRDefault="00BC4EF1" w:rsidP="00BA2CFD">
            <w:pPr>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线上学习</w:t>
            </w:r>
          </w:p>
        </w:tc>
        <w:tc>
          <w:tcPr>
            <w:tcW w:w="1490" w:type="dxa"/>
            <w:tcBorders>
              <w:top w:val="single" w:sz="8" w:space="0" w:color="000000"/>
              <w:left w:val="single" w:sz="8" w:space="0" w:color="000000"/>
              <w:bottom w:val="single" w:sz="8" w:space="0" w:color="000000"/>
              <w:right w:val="single" w:sz="8" w:space="0" w:color="000000"/>
            </w:tcBorders>
            <w:vAlign w:val="center"/>
          </w:tcPr>
          <w:p w14:paraId="6AE4BE4A" w14:textId="77777777" w:rsidR="00BC4EF1" w:rsidRDefault="00BC4EF1" w:rsidP="00BA2CFD">
            <w:pPr>
              <w:spacing w:line="44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期末论文</w:t>
            </w:r>
          </w:p>
        </w:tc>
        <w:tc>
          <w:tcPr>
            <w:tcW w:w="2585" w:type="dxa"/>
            <w:vMerge/>
            <w:tcBorders>
              <w:left w:val="single" w:sz="8" w:space="0" w:color="000000"/>
              <w:bottom w:val="single" w:sz="8" w:space="0" w:color="000000"/>
              <w:right w:val="single" w:sz="8" w:space="0" w:color="000000"/>
            </w:tcBorders>
          </w:tcPr>
          <w:p w14:paraId="64651930" w14:textId="77777777" w:rsidR="00BC4EF1" w:rsidRDefault="00BC4EF1" w:rsidP="00BA2CFD">
            <w:pPr>
              <w:jc w:val="center"/>
              <w:rPr>
                <w:rFonts w:ascii="宋体" w:hAnsi="宋体"/>
                <w:kern w:val="0"/>
                <w:sz w:val="24"/>
                <w:szCs w:val="24"/>
              </w:rPr>
            </w:pPr>
          </w:p>
        </w:tc>
      </w:tr>
      <w:tr w:rsidR="00BC4EF1" w14:paraId="171AFA5E" w14:textId="77777777" w:rsidTr="00BA2CFD">
        <w:trPr>
          <w:trHeight w:val="437"/>
        </w:trPr>
        <w:tc>
          <w:tcPr>
            <w:tcW w:w="1266" w:type="dxa"/>
            <w:tcBorders>
              <w:top w:val="single" w:sz="8" w:space="0" w:color="000000"/>
              <w:left w:val="single" w:sz="8" w:space="0" w:color="000000"/>
              <w:bottom w:val="single" w:sz="8" w:space="0" w:color="000000"/>
              <w:right w:val="single" w:sz="8" w:space="0" w:color="000000"/>
            </w:tcBorders>
            <w:vAlign w:val="center"/>
          </w:tcPr>
          <w:p w14:paraId="0AD0FEB5" w14:textId="77777777" w:rsidR="00BC4EF1" w:rsidRDefault="00BC4EF1" w:rsidP="00BA2CFD">
            <w:pPr>
              <w:jc w:val="center"/>
              <w:rPr>
                <w:rFonts w:ascii="宋体" w:hAnsi="宋体"/>
                <w:kern w:val="0"/>
                <w:sz w:val="24"/>
                <w:szCs w:val="24"/>
              </w:rPr>
            </w:pPr>
            <w:r>
              <w:rPr>
                <w:rFonts w:ascii="宋体" w:hAnsi="宋体"/>
                <w:kern w:val="0"/>
                <w:sz w:val="24"/>
                <w:szCs w:val="24"/>
              </w:rPr>
              <w:lastRenderedPageBreak/>
              <w:t>课程目标1</w:t>
            </w:r>
          </w:p>
        </w:tc>
        <w:tc>
          <w:tcPr>
            <w:tcW w:w="1557" w:type="dxa"/>
            <w:tcBorders>
              <w:top w:val="single" w:sz="8" w:space="0" w:color="000000"/>
              <w:left w:val="single" w:sz="8" w:space="0" w:color="000000"/>
              <w:bottom w:val="single" w:sz="8" w:space="0" w:color="000000"/>
              <w:right w:val="single" w:sz="8" w:space="0" w:color="000000"/>
            </w:tcBorders>
            <w:vAlign w:val="center"/>
          </w:tcPr>
          <w:p w14:paraId="0EC81C61" w14:textId="77777777" w:rsidR="00BC4EF1" w:rsidRDefault="00BC4EF1" w:rsidP="00BA2CFD">
            <w:pPr>
              <w:jc w:val="center"/>
              <w:rPr>
                <w:rFonts w:ascii="宋体" w:hAnsi="宋体"/>
                <w:kern w:val="0"/>
                <w:sz w:val="24"/>
                <w:szCs w:val="24"/>
              </w:rPr>
            </w:pPr>
            <w:r>
              <w:rPr>
                <w:rFonts w:ascii="宋体" w:hAnsi="宋体" w:hint="eastAsia"/>
                <w:kern w:val="0"/>
                <w:sz w:val="24"/>
                <w:szCs w:val="24"/>
              </w:rPr>
              <w:t>15%</w:t>
            </w:r>
          </w:p>
        </w:tc>
        <w:tc>
          <w:tcPr>
            <w:tcW w:w="1320" w:type="dxa"/>
            <w:tcBorders>
              <w:top w:val="single" w:sz="8" w:space="0" w:color="000000"/>
              <w:left w:val="single" w:sz="8" w:space="0" w:color="000000"/>
              <w:bottom w:val="single" w:sz="8" w:space="0" w:color="000000"/>
              <w:right w:val="single" w:sz="8" w:space="0" w:color="000000"/>
            </w:tcBorders>
            <w:vAlign w:val="center"/>
          </w:tcPr>
          <w:p w14:paraId="2DF578AD" w14:textId="77777777" w:rsidR="00BC4EF1" w:rsidRDefault="00BC4EF1" w:rsidP="00BA2CFD">
            <w:pPr>
              <w:jc w:val="center"/>
              <w:rPr>
                <w:rFonts w:ascii="宋体" w:hAnsi="宋体"/>
                <w:kern w:val="0"/>
                <w:sz w:val="24"/>
                <w:szCs w:val="24"/>
              </w:rPr>
            </w:pPr>
            <w:r>
              <w:rPr>
                <w:rFonts w:ascii="宋体" w:hAnsi="宋体" w:hint="eastAsia"/>
                <w:kern w:val="0"/>
                <w:sz w:val="24"/>
                <w:szCs w:val="24"/>
              </w:rPr>
              <w:t>10%</w:t>
            </w:r>
          </w:p>
        </w:tc>
        <w:tc>
          <w:tcPr>
            <w:tcW w:w="1490" w:type="dxa"/>
            <w:tcBorders>
              <w:top w:val="single" w:sz="8" w:space="0" w:color="000000"/>
              <w:left w:val="single" w:sz="8" w:space="0" w:color="000000"/>
              <w:bottom w:val="single" w:sz="8" w:space="0" w:color="000000"/>
              <w:right w:val="single" w:sz="8" w:space="0" w:color="000000"/>
            </w:tcBorders>
            <w:vAlign w:val="center"/>
          </w:tcPr>
          <w:p w14:paraId="3D234A9B" w14:textId="77777777" w:rsidR="00BC4EF1" w:rsidRDefault="00BC4EF1" w:rsidP="00BA2CFD">
            <w:pPr>
              <w:jc w:val="center"/>
              <w:rPr>
                <w:rFonts w:ascii="宋体" w:hAnsi="宋体"/>
                <w:kern w:val="0"/>
                <w:sz w:val="24"/>
                <w:szCs w:val="24"/>
              </w:rPr>
            </w:pPr>
            <w:r>
              <w:rPr>
                <w:rFonts w:ascii="宋体" w:hAnsi="宋体" w:hint="eastAsia"/>
                <w:kern w:val="0"/>
                <w:sz w:val="24"/>
                <w:szCs w:val="24"/>
              </w:rPr>
              <w:t>10%</w:t>
            </w:r>
          </w:p>
        </w:tc>
        <w:tc>
          <w:tcPr>
            <w:tcW w:w="2585" w:type="dxa"/>
            <w:tcBorders>
              <w:top w:val="single" w:sz="8" w:space="0" w:color="000000"/>
              <w:left w:val="single" w:sz="8" w:space="0" w:color="000000"/>
              <w:bottom w:val="single" w:sz="8" w:space="0" w:color="000000"/>
              <w:right w:val="single" w:sz="8" w:space="0" w:color="000000"/>
            </w:tcBorders>
            <w:vAlign w:val="center"/>
          </w:tcPr>
          <w:p w14:paraId="0DF1FA46" w14:textId="77777777" w:rsidR="00BC4EF1" w:rsidRDefault="00BC4EF1" w:rsidP="00BA2CFD">
            <w:pPr>
              <w:jc w:val="center"/>
              <w:rPr>
                <w:rFonts w:ascii="宋体" w:hAnsi="宋体"/>
                <w:kern w:val="0"/>
                <w:sz w:val="24"/>
                <w:szCs w:val="24"/>
              </w:rPr>
            </w:pPr>
            <w:r>
              <w:rPr>
                <w:rFonts w:ascii="宋体" w:hAnsi="宋体" w:hint="eastAsia"/>
                <w:kern w:val="0"/>
                <w:sz w:val="24"/>
                <w:szCs w:val="24"/>
              </w:rPr>
              <w:t>35%</w:t>
            </w:r>
          </w:p>
        </w:tc>
      </w:tr>
      <w:tr w:rsidR="00BC4EF1" w14:paraId="0EE34554" w14:textId="77777777" w:rsidTr="00BA2CFD">
        <w:trPr>
          <w:trHeight w:val="437"/>
        </w:trPr>
        <w:tc>
          <w:tcPr>
            <w:tcW w:w="1266" w:type="dxa"/>
            <w:tcBorders>
              <w:top w:val="single" w:sz="8" w:space="0" w:color="000000"/>
              <w:left w:val="single" w:sz="8" w:space="0" w:color="000000"/>
              <w:bottom w:val="single" w:sz="8" w:space="0" w:color="000000"/>
              <w:right w:val="single" w:sz="8" w:space="0" w:color="000000"/>
            </w:tcBorders>
            <w:vAlign w:val="center"/>
          </w:tcPr>
          <w:p w14:paraId="01039EB3" w14:textId="77777777" w:rsidR="00BC4EF1" w:rsidRDefault="00BC4EF1" w:rsidP="00BA2CFD">
            <w:pPr>
              <w:jc w:val="center"/>
              <w:rPr>
                <w:rFonts w:ascii="宋体" w:hAnsi="宋体"/>
                <w:kern w:val="0"/>
                <w:sz w:val="24"/>
                <w:szCs w:val="24"/>
              </w:rPr>
            </w:pPr>
            <w:r>
              <w:rPr>
                <w:rFonts w:ascii="宋体" w:hAnsi="宋体"/>
                <w:kern w:val="0"/>
                <w:sz w:val="24"/>
                <w:szCs w:val="24"/>
              </w:rPr>
              <w:t>课程目标2</w:t>
            </w:r>
          </w:p>
        </w:tc>
        <w:tc>
          <w:tcPr>
            <w:tcW w:w="1557" w:type="dxa"/>
            <w:tcBorders>
              <w:top w:val="single" w:sz="8" w:space="0" w:color="000000"/>
              <w:left w:val="single" w:sz="8" w:space="0" w:color="000000"/>
              <w:bottom w:val="single" w:sz="8" w:space="0" w:color="000000"/>
              <w:right w:val="single" w:sz="8" w:space="0" w:color="000000"/>
            </w:tcBorders>
            <w:vAlign w:val="center"/>
          </w:tcPr>
          <w:p w14:paraId="02EBF580" w14:textId="77777777" w:rsidR="00BC4EF1" w:rsidRDefault="00BC4EF1" w:rsidP="00BA2CFD">
            <w:pPr>
              <w:jc w:val="center"/>
              <w:rPr>
                <w:rFonts w:ascii="宋体" w:hAnsi="宋体"/>
                <w:kern w:val="0"/>
                <w:sz w:val="24"/>
                <w:szCs w:val="24"/>
              </w:rPr>
            </w:pPr>
            <w:r>
              <w:rPr>
                <w:rFonts w:ascii="宋体" w:hAnsi="宋体" w:hint="eastAsia"/>
                <w:kern w:val="0"/>
                <w:sz w:val="24"/>
                <w:szCs w:val="24"/>
              </w:rPr>
              <w:t>15%</w:t>
            </w:r>
          </w:p>
        </w:tc>
        <w:tc>
          <w:tcPr>
            <w:tcW w:w="1320" w:type="dxa"/>
            <w:tcBorders>
              <w:top w:val="single" w:sz="8" w:space="0" w:color="000000"/>
              <w:left w:val="single" w:sz="8" w:space="0" w:color="000000"/>
              <w:bottom w:val="single" w:sz="8" w:space="0" w:color="000000"/>
              <w:right w:val="single" w:sz="8" w:space="0" w:color="000000"/>
            </w:tcBorders>
            <w:vAlign w:val="center"/>
          </w:tcPr>
          <w:p w14:paraId="3135D305" w14:textId="77777777" w:rsidR="00BC4EF1" w:rsidRDefault="00BC4EF1" w:rsidP="00BA2CFD">
            <w:pPr>
              <w:jc w:val="center"/>
              <w:rPr>
                <w:rFonts w:ascii="宋体" w:hAnsi="宋体"/>
                <w:kern w:val="0"/>
                <w:sz w:val="24"/>
                <w:szCs w:val="24"/>
              </w:rPr>
            </w:pPr>
          </w:p>
        </w:tc>
        <w:tc>
          <w:tcPr>
            <w:tcW w:w="1490" w:type="dxa"/>
            <w:tcBorders>
              <w:top w:val="single" w:sz="8" w:space="0" w:color="000000"/>
              <w:left w:val="single" w:sz="8" w:space="0" w:color="000000"/>
              <w:bottom w:val="single" w:sz="8" w:space="0" w:color="000000"/>
              <w:right w:val="single" w:sz="8" w:space="0" w:color="000000"/>
            </w:tcBorders>
            <w:vAlign w:val="center"/>
          </w:tcPr>
          <w:p w14:paraId="78ED2989" w14:textId="77777777" w:rsidR="00BC4EF1" w:rsidRDefault="00BC4EF1" w:rsidP="00BA2CFD">
            <w:pPr>
              <w:jc w:val="center"/>
              <w:rPr>
                <w:rFonts w:ascii="宋体" w:hAnsi="宋体"/>
                <w:kern w:val="0"/>
                <w:sz w:val="24"/>
                <w:szCs w:val="24"/>
              </w:rPr>
            </w:pPr>
            <w:r>
              <w:rPr>
                <w:rFonts w:ascii="宋体" w:hAnsi="宋体" w:hint="eastAsia"/>
                <w:kern w:val="0"/>
                <w:sz w:val="24"/>
                <w:szCs w:val="24"/>
              </w:rPr>
              <w:t>5%</w:t>
            </w:r>
          </w:p>
        </w:tc>
        <w:tc>
          <w:tcPr>
            <w:tcW w:w="2585" w:type="dxa"/>
            <w:tcBorders>
              <w:top w:val="single" w:sz="8" w:space="0" w:color="000000"/>
              <w:left w:val="single" w:sz="8" w:space="0" w:color="000000"/>
              <w:bottom w:val="single" w:sz="8" w:space="0" w:color="000000"/>
              <w:right w:val="single" w:sz="8" w:space="0" w:color="000000"/>
            </w:tcBorders>
            <w:vAlign w:val="center"/>
          </w:tcPr>
          <w:p w14:paraId="3D5F5F99" w14:textId="77777777" w:rsidR="00BC4EF1" w:rsidRDefault="00BC4EF1" w:rsidP="00BA2CFD">
            <w:pPr>
              <w:jc w:val="center"/>
              <w:rPr>
                <w:rFonts w:ascii="宋体" w:hAnsi="宋体"/>
                <w:kern w:val="0"/>
                <w:sz w:val="24"/>
                <w:szCs w:val="24"/>
              </w:rPr>
            </w:pPr>
            <w:r>
              <w:rPr>
                <w:rFonts w:ascii="宋体" w:hAnsi="宋体" w:hint="eastAsia"/>
                <w:kern w:val="0"/>
                <w:sz w:val="24"/>
                <w:szCs w:val="24"/>
              </w:rPr>
              <w:t>20%</w:t>
            </w:r>
          </w:p>
        </w:tc>
      </w:tr>
      <w:tr w:rsidR="00BC4EF1" w14:paraId="5516024A" w14:textId="77777777" w:rsidTr="00BA2CFD">
        <w:trPr>
          <w:trHeight w:val="437"/>
        </w:trPr>
        <w:tc>
          <w:tcPr>
            <w:tcW w:w="1266" w:type="dxa"/>
            <w:tcBorders>
              <w:top w:val="single" w:sz="8" w:space="0" w:color="000000"/>
              <w:left w:val="single" w:sz="8" w:space="0" w:color="000000"/>
              <w:bottom w:val="single" w:sz="8" w:space="0" w:color="000000"/>
              <w:right w:val="single" w:sz="8" w:space="0" w:color="000000"/>
            </w:tcBorders>
            <w:vAlign w:val="center"/>
          </w:tcPr>
          <w:p w14:paraId="3FE76BB3" w14:textId="77777777" w:rsidR="00BC4EF1" w:rsidRDefault="00BC4EF1" w:rsidP="00BA2CFD">
            <w:pPr>
              <w:jc w:val="center"/>
              <w:rPr>
                <w:rFonts w:ascii="宋体" w:hAnsi="宋体"/>
                <w:kern w:val="0"/>
                <w:sz w:val="24"/>
                <w:szCs w:val="24"/>
              </w:rPr>
            </w:pPr>
            <w:r>
              <w:rPr>
                <w:rFonts w:ascii="宋体" w:hAnsi="宋体"/>
                <w:kern w:val="0"/>
                <w:sz w:val="24"/>
                <w:szCs w:val="24"/>
              </w:rPr>
              <w:t>课程目标3</w:t>
            </w:r>
          </w:p>
        </w:tc>
        <w:tc>
          <w:tcPr>
            <w:tcW w:w="1557" w:type="dxa"/>
            <w:tcBorders>
              <w:top w:val="single" w:sz="8" w:space="0" w:color="000000"/>
              <w:left w:val="single" w:sz="8" w:space="0" w:color="000000"/>
              <w:bottom w:val="single" w:sz="8" w:space="0" w:color="000000"/>
              <w:right w:val="single" w:sz="8" w:space="0" w:color="000000"/>
            </w:tcBorders>
            <w:vAlign w:val="center"/>
          </w:tcPr>
          <w:p w14:paraId="2C1B971B" w14:textId="77777777" w:rsidR="00BC4EF1" w:rsidRDefault="00BC4EF1" w:rsidP="00BA2CFD">
            <w:pPr>
              <w:jc w:val="center"/>
              <w:rPr>
                <w:rFonts w:ascii="宋体" w:hAnsi="宋体"/>
                <w:kern w:val="0"/>
                <w:sz w:val="24"/>
                <w:szCs w:val="24"/>
              </w:rPr>
            </w:pPr>
            <w:r>
              <w:rPr>
                <w:rFonts w:ascii="宋体" w:hAnsi="宋体" w:hint="eastAsia"/>
                <w:kern w:val="0"/>
                <w:sz w:val="24"/>
                <w:szCs w:val="24"/>
              </w:rPr>
              <w:t>15%</w:t>
            </w:r>
          </w:p>
        </w:tc>
        <w:tc>
          <w:tcPr>
            <w:tcW w:w="1320" w:type="dxa"/>
            <w:tcBorders>
              <w:top w:val="single" w:sz="8" w:space="0" w:color="000000"/>
              <w:left w:val="single" w:sz="8" w:space="0" w:color="000000"/>
              <w:bottom w:val="single" w:sz="8" w:space="0" w:color="000000"/>
              <w:right w:val="single" w:sz="8" w:space="0" w:color="000000"/>
            </w:tcBorders>
            <w:vAlign w:val="center"/>
          </w:tcPr>
          <w:p w14:paraId="3980C1EC" w14:textId="77777777" w:rsidR="00BC4EF1" w:rsidRDefault="00BC4EF1" w:rsidP="00BA2CFD">
            <w:pPr>
              <w:jc w:val="center"/>
              <w:rPr>
                <w:rFonts w:ascii="宋体" w:hAnsi="宋体"/>
                <w:kern w:val="0"/>
                <w:sz w:val="24"/>
                <w:szCs w:val="24"/>
              </w:rPr>
            </w:pPr>
            <w:r>
              <w:rPr>
                <w:rFonts w:ascii="宋体" w:hAnsi="宋体" w:hint="eastAsia"/>
                <w:kern w:val="0"/>
                <w:sz w:val="24"/>
                <w:szCs w:val="24"/>
              </w:rPr>
              <w:t>5%</w:t>
            </w:r>
          </w:p>
        </w:tc>
        <w:tc>
          <w:tcPr>
            <w:tcW w:w="1490" w:type="dxa"/>
            <w:tcBorders>
              <w:top w:val="single" w:sz="8" w:space="0" w:color="000000"/>
              <w:left w:val="single" w:sz="8" w:space="0" w:color="000000"/>
              <w:bottom w:val="single" w:sz="8" w:space="0" w:color="000000"/>
              <w:right w:val="single" w:sz="8" w:space="0" w:color="000000"/>
            </w:tcBorders>
            <w:vAlign w:val="center"/>
          </w:tcPr>
          <w:p w14:paraId="1B9C4FC8" w14:textId="77777777" w:rsidR="00BC4EF1" w:rsidRDefault="00BC4EF1" w:rsidP="00BA2CFD">
            <w:pPr>
              <w:jc w:val="center"/>
              <w:rPr>
                <w:rFonts w:ascii="宋体" w:hAnsi="宋体"/>
                <w:kern w:val="0"/>
                <w:sz w:val="24"/>
                <w:szCs w:val="24"/>
              </w:rPr>
            </w:pPr>
            <w:r>
              <w:rPr>
                <w:rFonts w:ascii="宋体" w:hAnsi="宋体" w:hint="eastAsia"/>
                <w:kern w:val="0"/>
                <w:sz w:val="24"/>
                <w:szCs w:val="24"/>
              </w:rPr>
              <w:t>25%</w:t>
            </w:r>
          </w:p>
        </w:tc>
        <w:tc>
          <w:tcPr>
            <w:tcW w:w="2585" w:type="dxa"/>
            <w:tcBorders>
              <w:top w:val="single" w:sz="8" w:space="0" w:color="000000"/>
              <w:left w:val="single" w:sz="8" w:space="0" w:color="000000"/>
              <w:bottom w:val="single" w:sz="8" w:space="0" w:color="000000"/>
              <w:right w:val="single" w:sz="8" w:space="0" w:color="000000"/>
            </w:tcBorders>
            <w:vAlign w:val="center"/>
          </w:tcPr>
          <w:p w14:paraId="56AD655A" w14:textId="77777777" w:rsidR="00BC4EF1" w:rsidRDefault="00BC4EF1" w:rsidP="00BA2CFD">
            <w:pPr>
              <w:jc w:val="center"/>
              <w:rPr>
                <w:rFonts w:ascii="宋体" w:hAnsi="宋体"/>
                <w:kern w:val="0"/>
                <w:sz w:val="24"/>
                <w:szCs w:val="24"/>
              </w:rPr>
            </w:pPr>
            <w:r>
              <w:rPr>
                <w:rFonts w:ascii="宋体" w:hAnsi="宋体" w:hint="eastAsia"/>
                <w:kern w:val="0"/>
                <w:sz w:val="24"/>
                <w:szCs w:val="24"/>
              </w:rPr>
              <w:t>45%</w:t>
            </w:r>
          </w:p>
        </w:tc>
      </w:tr>
      <w:tr w:rsidR="00BC4EF1" w14:paraId="4F9C69AF" w14:textId="77777777" w:rsidTr="00BA2CFD">
        <w:trPr>
          <w:trHeight w:val="437"/>
        </w:trPr>
        <w:tc>
          <w:tcPr>
            <w:tcW w:w="1266" w:type="dxa"/>
            <w:tcBorders>
              <w:top w:val="single" w:sz="8" w:space="0" w:color="000000"/>
              <w:left w:val="single" w:sz="8" w:space="0" w:color="000000"/>
              <w:bottom w:val="single" w:sz="8" w:space="0" w:color="000000"/>
              <w:right w:val="single" w:sz="8" w:space="0" w:color="000000"/>
            </w:tcBorders>
            <w:vAlign w:val="center"/>
          </w:tcPr>
          <w:p w14:paraId="4862AD7E" w14:textId="77777777" w:rsidR="00BC4EF1" w:rsidRDefault="00BC4EF1" w:rsidP="00BA2CFD">
            <w:pPr>
              <w:jc w:val="center"/>
              <w:rPr>
                <w:rFonts w:ascii="宋体" w:hAnsi="宋体"/>
                <w:kern w:val="0"/>
                <w:sz w:val="24"/>
                <w:szCs w:val="24"/>
              </w:rPr>
            </w:pPr>
            <w:r>
              <w:rPr>
                <w:rFonts w:ascii="宋体" w:hAnsi="宋体"/>
                <w:kern w:val="0"/>
                <w:sz w:val="24"/>
                <w:szCs w:val="24"/>
              </w:rPr>
              <w:t>合计</w:t>
            </w:r>
          </w:p>
        </w:tc>
        <w:tc>
          <w:tcPr>
            <w:tcW w:w="1557" w:type="dxa"/>
            <w:tcBorders>
              <w:top w:val="single" w:sz="8" w:space="0" w:color="000000"/>
              <w:left w:val="single" w:sz="8" w:space="0" w:color="000000"/>
              <w:bottom w:val="single" w:sz="8" w:space="0" w:color="000000"/>
              <w:right w:val="single" w:sz="8" w:space="0" w:color="000000"/>
            </w:tcBorders>
            <w:vAlign w:val="center"/>
          </w:tcPr>
          <w:p w14:paraId="0CA6A819" w14:textId="77777777" w:rsidR="00BC4EF1" w:rsidRDefault="00BC4EF1" w:rsidP="00BA2CFD">
            <w:pPr>
              <w:jc w:val="center"/>
              <w:rPr>
                <w:rFonts w:ascii="宋体" w:hAnsi="宋体"/>
                <w:kern w:val="0"/>
                <w:sz w:val="24"/>
                <w:szCs w:val="24"/>
              </w:rPr>
            </w:pPr>
            <w:r>
              <w:rPr>
                <w:rFonts w:ascii="宋体" w:hAnsi="宋体" w:hint="eastAsia"/>
                <w:kern w:val="0"/>
                <w:sz w:val="24"/>
                <w:szCs w:val="24"/>
              </w:rPr>
              <w:t>45%</w:t>
            </w:r>
          </w:p>
        </w:tc>
        <w:tc>
          <w:tcPr>
            <w:tcW w:w="1320" w:type="dxa"/>
            <w:tcBorders>
              <w:top w:val="single" w:sz="8" w:space="0" w:color="000000"/>
              <w:left w:val="single" w:sz="8" w:space="0" w:color="000000"/>
              <w:bottom w:val="single" w:sz="8" w:space="0" w:color="000000"/>
              <w:right w:val="single" w:sz="8" w:space="0" w:color="000000"/>
            </w:tcBorders>
            <w:vAlign w:val="center"/>
          </w:tcPr>
          <w:p w14:paraId="708B7B14" w14:textId="77777777" w:rsidR="00BC4EF1" w:rsidRDefault="00BC4EF1" w:rsidP="00BA2CFD">
            <w:pPr>
              <w:jc w:val="center"/>
              <w:rPr>
                <w:rFonts w:ascii="宋体" w:hAnsi="宋体"/>
                <w:kern w:val="0"/>
                <w:sz w:val="24"/>
                <w:szCs w:val="24"/>
              </w:rPr>
            </w:pPr>
            <w:r>
              <w:rPr>
                <w:rFonts w:ascii="宋体" w:hAnsi="宋体"/>
                <w:kern w:val="0"/>
                <w:sz w:val="24"/>
                <w:szCs w:val="24"/>
              </w:rPr>
              <w:t>1</w:t>
            </w:r>
            <w:r>
              <w:rPr>
                <w:rFonts w:ascii="宋体" w:hAnsi="宋体" w:hint="eastAsia"/>
                <w:kern w:val="0"/>
                <w:sz w:val="24"/>
                <w:szCs w:val="24"/>
              </w:rPr>
              <w:t>5%</w:t>
            </w:r>
          </w:p>
        </w:tc>
        <w:tc>
          <w:tcPr>
            <w:tcW w:w="1490" w:type="dxa"/>
            <w:tcBorders>
              <w:top w:val="single" w:sz="8" w:space="0" w:color="000000"/>
              <w:left w:val="single" w:sz="8" w:space="0" w:color="000000"/>
              <w:bottom w:val="single" w:sz="8" w:space="0" w:color="000000"/>
              <w:right w:val="single" w:sz="8" w:space="0" w:color="000000"/>
            </w:tcBorders>
            <w:vAlign w:val="center"/>
          </w:tcPr>
          <w:p w14:paraId="31FDB0B8" w14:textId="77777777" w:rsidR="00BC4EF1" w:rsidRDefault="00BC4EF1" w:rsidP="00BA2CFD">
            <w:pPr>
              <w:jc w:val="center"/>
              <w:rPr>
                <w:rFonts w:ascii="宋体" w:hAnsi="宋体"/>
                <w:kern w:val="0"/>
                <w:sz w:val="24"/>
                <w:szCs w:val="24"/>
              </w:rPr>
            </w:pPr>
            <w:r>
              <w:rPr>
                <w:rFonts w:ascii="宋体" w:hAnsi="宋体" w:hint="eastAsia"/>
                <w:kern w:val="0"/>
                <w:sz w:val="24"/>
                <w:szCs w:val="24"/>
              </w:rPr>
              <w:t>4</w:t>
            </w:r>
            <w:r>
              <w:rPr>
                <w:rFonts w:ascii="宋体" w:hAnsi="宋体"/>
                <w:kern w:val="0"/>
                <w:sz w:val="24"/>
                <w:szCs w:val="24"/>
              </w:rPr>
              <w:t>0</w:t>
            </w:r>
            <w:r>
              <w:rPr>
                <w:rFonts w:ascii="宋体" w:hAnsi="宋体" w:hint="eastAsia"/>
                <w:kern w:val="0"/>
                <w:sz w:val="24"/>
                <w:szCs w:val="24"/>
              </w:rPr>
              <w:t>%</w:t>
            </w:r>
          </w:p>
        </w:tc>
        <w:tc>
          <w:tcPr>
            <w:tcW w:w="2585" w:type="dxa"/>
            <w:tcBorders>
              <w:top w:val="single" w:sz="8" w:space="0" w:color="000000"/>
              <w:left w:val="single" w:sz="8" w:space="0" w:color="000000"/>
              <w:bottom w:val="single" w:sz="8" w:space="0" w:color="000000"/>
              <w:right w:val="single" w:sz="8" w:space="0" w:color="000000"/>
            </w:tcBorders>
            <w:vAlign w:val="center"/>
          </w:tcPr>
          <w:p w14:paraId="6C713F75" w14:textId="77777777" w:rsidR="00BC4EF1" w:rsidRDefault="00BC4EF1" w:rsidP="00BA2CFD">
            <w:pPr>
              <w:jc w:val="center"/>
              <w:rPr>
                <w:rFonts w:ascii="宋体" w:hAnsi="宋体"/>
                <w:kern w:val="0"/>
                <w:sz w:val="24"/>
                <w:szCs w:val="24"/>
              </w:rPr>
            </w:pPr>
            <w:r>
              <w:rPr>
                <w:rFonts w:ascii="宋体" w:hAnsi="宋体"/>
                <w:kern w:val="0"/>
                <w:sz w:val="24"/>
                <w:szCs w:val="24"/>
              </w:rPr>
              <w:t>100</w:t>
            </w:r>
            <w:r>
              <w:rPr>
                <w:rFonts w:ascii="宋体" w:hAnsi="宋体" w:hint="eastAsia"/>
                <w:kern w:val="0"/>
                <w:sz w:val="24"/>
                <w:szCs w:val="24"/>
              </w:rPr>
              <w:t>%</w:t>
            </w:r>
          </w:p>
        </w:tc>
      </w:tr>
    </w:tbl>
    <w:p w14:paraId="3E8F33EB"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五、成绩评定</w:t>
      </w:r>
    </w:p>
    <w:p w14:paraId="16C793F1"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（一）总成绩评定</w:t>
      </w:r>
    </w:p>
    <w:p w14:paraId="018348AA"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总成绩=平时成绩×60%</w:t>
      </w:r>
      <w:r>
        <w:rPr>
          <w:rFonts w:ascii="宋体" w:eastAsia="宋体" w:hAnsi="宋体" w:cs="Times New Roman"/>
          <w:sz w:val="24"/>
          <w:szCs w:val="24"/>
        </w:rPr>
        <w:t>＋</w:t>
      </w:r>
      <w:r>
        <w:rPr>
          <w:rFonts w:ascii="宋体" w:eastAsia="宋体" w:hAnsi="宋体" w:cs="宋体" w:hint="eastAsia"/>
          <w:sz w:val="24"/>
        </w:rPr>
        <w:t>期末成绩×40%</w:t>
      </w:r>
    </w:p>
    <w:p w14:paraId="24875982"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备注：各部分考核成绩比例由教研室研究决定。</w:t>
      </w:r>
    </w:p>
    <w:p w14:paraId="77818918"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（二）平时成绩评定</w:t>
      </w:r>
    </w:p>
    <w:p w14:paraId="3F756441"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平时成绩（100%）=课堂表现（75%）+线上学习（25%）</w:t>
      </w:r>
    </w:p>
    <w:p w14:paraId="1593DD85"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建议考核方式：</w:t>
      </w:r>
    </w:p>
    <w:p w14:paraId="64A5EADD"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（1）课堂表现得分：重在过程性考核，依据学生课堂表现评定，</w:t>
      </w:r>
      <w:proofErr w:type="gramStart"/>
      <w:r>
        <w:rPr>
          <w:rFonts w:ascii="宋体" w:eastAsia="宋体" w:hAnsi="宋体" w:cs="宋体" w:hint="eastAsia"/>
          <w:sz w:val="24"/>
        </w:rPr>
        <w:t>如小组</w:t>
      </w:r>
      <w:proofErr w:type="gramEnd"/>
      <w:r>
        <w:rPr>
          <w:rFonts w:ascii="宋体" w:eastAsia="宋体" w:hAnsi="宋体" w:cs="宋体" w:hint="eastAsia"/>
          <w:sz w:val="24"/>
        </w:rPr>
        <w:t>成果分享、发言与提问、课堂参与程度、学生平时主题作业、视频观后感等。</w:t>
      </w:r>
    </w:p>
    <w:p w14:paraId="4C301F4A"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（2）线上学习得分：完成应学任务记100分；未完成应学任务，以实际学习分数计分。</w:t>
      </w:r>
    </w:p>
    <w:p w14:paraId="6D2D2F26"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（三）期末成绩评定</w:t>
      </w:r>
    </w:p>
    <w:p w14:paraId="7976B9C4"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期末成绩（100%）=期末论文×</w:t>
      </w:r>
      <w:r>
        <w:rPr>
          <w:rFonts w:ascii="宋体" w:eastAsia="宋体" w:hAnsi="宋体" w:cs="宋体"/>
          <w:sz w:val="24"/>
        </w:rPr>
        <w:t>100</w:t>
      </w:r>
      <w:r>
        <w:rPr>
          <w:rFonts w:ascii="宋体" w:eastAsia="宋体" w:hAnsi="宋体" w:cs="宋体" w:hint="eastAsia"/>
          <w:sz w:val="24"/>
        </w:rPr>
        <w:t>%</w:t>
      </w:r>
    </w:p>
    <w:p w14:paraId="5AC182DF"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综合考核学生对马克思主义劳动观的理解与把握程度，考察学生对劳动教育中劳动精神、劳模精神、工匠精神等相关内容的理解与分析感悟能力。</w:t>
      </w:r>
    </w:p>
    <w:p w14:paraId="4CC689CA"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六、使用教材、相关推荐书目及课程资源</w:t>
      </w:r>
    </w:p>
    <w:p w14:paraId="77A0EFFC"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（一）使用教材</w:t>
      </w:r>
    </w:p>
    <w:p w14:paraId="74237C12"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自编教材：《争做最美劳动者——大学生劳动教育》，2022年7月第二版。</w:t>
      </w:r>
    </w:p>
    <w:p w14:paraId="105BC38A"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（二）相关推荐书目</w:t>
      </w:r>
    </w:p>
    <w:p w14:paraId="2B69487F" w14:textId="77777777" w:rsidR="00BC4EF1" w:rsidRDefault="00BC4EF1" w:rsidP="00BC4EF1">
      <w:pPr>
        <w:spacing w:line="440" w:lineRule="exact"/>
        <w:ind w:leftChars="228" w:left="479"/>
        <w:rPr>
          <w:rFonts w:ascii="宋体" w:eastAsia="宋体" w:hAnsi="宋体" w:cs="宋体"/>
          <w:sz w:val="24"/>
        </w:rPr>
      </w:pPr>
      <w:r>
        <w:rPr>
          <w:rFonts w:ascii="宋体" w:eastAsia="宋体" w:hAnsi="宋体" w:cs="宋体" w:hint="eastAsia"/>
          <w:sz w:val="24"/>
        </w:rPr>
        <w:lastRenderedPageBreak/>
        <w:t>1.《马克思恩格斯选集》（第1—4卷），人民出版社，2012年版；</w:t>
      </w:r>
    </w:p>
    <w:p w14:paraId="010EEEEE"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sz w:val="24"/>
        </w:rPr>
        <w:t>2</w:t>
      </w:r>
      <w:r>
        <w:rPr>
          <w:rFonts w:ascii="宋体" w:eastAsia="宋体" w:hAnsi="宋体" w:cs="宋体" w:hint="eastAsia"/>
          <w:sz w:val="24"/>
        </w:rPr>
        <w:t>.刘向兵：《新时代高校劳动教育论纲》，社会科学文献出版社，2019年2月第一版；</w:t>
      </w:r>
    </w:p>
    <w:p w14:paraId="34F0DC2E" w14:textId="77777777" w:rsidR="00BC4EF1" w:rsidRDefault="00BC4EF1" w:rsidP="00BC4EF1">
      <w:pPr>
        <w:spacing w:line="440" w:lineRule="exact"/>
        <w:ind w:leftChars="228" w:left="479"/>
        <w:rPr>
          <w:rFonts w:ascii="宋体" w:eastAsia="宋体" w:hAnsi="宋体" w:cs="宋体"/>
          <w:sz w:val="24"/>
        </w:rPr>
      </w:pPr>
      <w:r>
        <w:rPr>
          <w:rFonts w:ascii="宋体" w:eastAsia="宋体" w:hAnsi="宋体" w:cs="宋体"/>
          <w:sz w:val="24"/>
        </w:rPr>
        <w:t>3</w:t>
      </w:r>
      <w:r>
        <w:rPr>
          <w:rFonts w:ascii="宋体" w:eastAsia="宋体" w:hAnsi="宋体" w:cs="宋体" w:hint="eastAsia"/>
          <w:sz w:val="24"/>
        </w:rPr>
        <w:t>.常凯：《劳动关系学》，中国劳动社会保障出版社，2009年版；</w:t>
      </w:r>
    </w:p>
    <w:p w14:paraId="173BA1A3"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sz w:val="24"/>
        </w:rPr>
        <w:t>4</w:t>
      </w:r>
      <w:r>
        <w:rPr>
          <w:rFonts w:ascii="宋体" w:eastAsia="宋体" w:hAnsi="宋体" w:cs="宋体" w:hint="eastAsia"/>
          <w:sz w:val="24"/>
        </w:rPr>
        <w:t>.姜颖：《劳动法学》，中国劳动社会保障出版社，2007年版；</w:t>
      </w:r>
    </w:p>
    <w:p w14:paraId="65B4AFC9"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sz w:val="24"/>
        </w:rPr>
        <w:t>5</w:t>
      </w:r>
      <w:r>
        <w:rPr>
          <w:rFonts w:ascii="宋体" w:eastAsia="宋体" w:hAnsi="宋体" w:cs="宋体" w:hint="eastAsia"/>
          <w:sz w:val="24"/>
        </w:rPr>
        <w:t>.顾海良、张雷声：《马克思劳动价值论的历史与现实》，人民出版社2002年版；</w:t>
      </w:r>
    </w:p>
    <w:p w14:paraId="5FC891BD"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sz w:val="24"/>
        </w:rPr>
        <w:t>6</w:t>
      </w:r>
      <w:r>
        <w:rPr>
          <w:rFonts w:ascii="宋体" w:eastAsia="宋体" w:hAnsi="宋体" w:cs="宋体" w:hint="eastAsia"/>
          <w:sz w:val="24"/>
        </w:rPr>
        <w:t>.成有信：《教育与生产劳动相结合问题新探索》，湖南教育出版社，1998年版；</w:t>
      </w:r>
    </w:p>
    <w:p w14:paraId="2C8BEE68"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sz w:val="24"/>
        </w:rPr>
        <w:t>7</w:t>
      </w:r>
      <w:r>
        <w:rPr>
          <w:rFonts w:ascii="宋体" w:eastAsia="宋体" w:hAnsi="宋体" w:cs="宋体" w:hint="eastAsia"/>
          <w:sz w:val="24"/>
        </w:rPr>
        <w:t>.刘</w:t>
      </w:r>
      <w:proofErr w:type="gramStart"/>
      <w:r>
        <w:rPr>
          <w:rFonts w:ascii="宋体" w:eastAsia="宋体" w:hAnsi="宋体" w:cs="宋体" w:hint="eastAsia"/>
          <w:sz w:val="24"/>
        </w:rPr>
        <w:t>世</w:t>
      </w:r>
      <w:proofErr w:type="gramEnd"/>
      <w:r>
        <w:rPr>
          <w:rFonts w:ascii="宋体" w:eastAsia="宋体" w:hAnsi="宋体" w:cs="宋体" w:hint="eastAsia"/>
          <w:sz w:val="24"/>
        </w:rPr>
        <w:t>峰：《中国教劳结合研究》，教育科学出版社，1996年版；</w:t>
      </w:r>
    </w:p>
    <w:p w14:paraId="0F45D118"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sz w:val="24"/>
        </w:rPr>
        <w:t>8</w:t>
      </w:r>
      <w:r>
        <w:rPr>
          <w:rFonts w:ascii="宋体" w:eastAsia="宋体" w:hAnsi="宋体" w:cs="宋体" w:hint="eastAsia"/>
          <w:sz w:val="24"/>
        </w:rPr>
        <w:t>.苏霍姆林斯基：《帕夫雷什中学》，赵炜等，教育科学出版社，2009年版；</w:t>
      </w:r>
    </w:p>
    <w:p w14:paraId="047339DF"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（三）课程资源</w:t>
      </w:r>
    </w:p>
    <w:p w14:paraId="537FE3AC" w14:textId="77777777" w:rsidR="00BC4EF1" w:rsidRDefault="00BC4EF1" w:rsidP="00BC4EF1">
      <w:pPr>
        <w:spacing w:line="440" w:lineRule="exact"/>
        <w:ind w:firstLineChars="200" w:firstLine="480"/>
        <w:rPr>
          <w:rFonts w:ascii="宋体" w:eastAsia="宋体" w:hAnsi="宋体" w:cs="宋体"/>
          <w:sz w:val="24"/>
        </w:rPr>
      </w:pPr>
      <w:r>
        <w:rPr>
          <w:rFonts w:ascii="宋体" w:eastAsia="宋体" w:hAnsi="宋体" w:cs="宋体" w:hint="eastAsia"/>
          <w:sz w:val="24"/>
        </w:rPr>
        <w:t>在线课程：中国劳动关系学院《劳动科学通论》，2020年9月上线。</w:t>
      </w:r>
    </w:p>
    <w:p w14:paraId="6C4E1825" w14:textId="77777777" w:rsidR="00BC4EF1" w:rsidRDefault="00BC4EF1" w:rsidP="00BC4EF1">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七、课程大纲制定依据</w:t>
      </w:r>
    </w:p>
    <w:p w14:paraId="0B013B68" w14:textId="77777777" w:rsidR="00BC4EF1" w:rsidRPr="005E476A" w:rsidRDefault="00BC4EF1" w:rsidP="005E476A">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本课程大纲依据《石家庄学院关于修订本科专业人才培养方案的指导意见（2023年）》等制定。</w:t>
      </w:r>
    </w:p>
    <w:p w14:paraId="5659798B" w14:textId="77777777" w:rsidR="00B26124" w:rsidRDefault="00B26124">
      <w:pPr>
        <w:widowControl/>
        <w:jc w:val="left"/>
        <w:rPr>
          <w:rFonts w:ascii="黑体" w:eastAsia="黑体" w:hAnsi="黑体"/>
          <w:sz w:val="36"/>
          <w:szCs w:val="36"/>
        </w:rPr>
      </w:pPr>
      <w:bookmarkStart w:id="27" w:name="_《大学英语1》课程大纲"/>
      <w:bookmarkStart w:id="28" w:name="_Toc22724"/>
      <w:bookmarkStart w:id="29" w:name="_Toc149662343"/>
      <w:bookmarkEnd w:id="27"/>
      <w:r>
        <w:rPr>
          <w:rFonts w:ascii="黑体" w:eastAsia="黑体" w:hAnsi="黑体"/>
          <w:b/>
          <w:szCs w:val="36"/>
        </w:rPr>
        <w:br w:type="page"/>
      </w:r>
    </w:p>
    <w:p w14:paraId="5EA85DBE" w14:textId="720574A9" w:rsidR="00D529CF" w:rsidRDefault="00D529CF" w:rsidP="00D529CF">
      <w:pPr>
        <w:pStyle w:val="1"/>
      </w:pPr>
      <w:r>
        <w:lastRenderedPageBreak/>
        <w:t>《大学英语</w:t>
      </w:r>
      <w:r>
        <w:t>1</w:t>
      </w:r>
      <w:r>
        <w:t>》课程大纲</w:t>
      </w:r>
      <w:bookmarkEnd w:id="28"/>
      <w:bookmarkEnd w:id="29"/>
    </w:p>
    <w:p w14:paraId="7C21364F" w14:textId="77777777" w:rsidR="00D529CF" w:rsidRDefault="00D529CF" w:rsidP="00D529CF">
      <w:pPr>
        <w:spacing w:beforeLines="50" w:before="156" w:afterLines="50" w:after="156" w:line="440" w:lineRule="exact"/>
        <w:ind w:firstLineChars="200" w:firstLine="560"/>
        <w:rPr>
          <w:rFonts w:eastAsia="黑体"/>
          <w:sz w:val="28"/>
          <w:szCs w:val="28"/>
        </w:rPr>
      </w:pPr>
      <w:r>
        <w:rPr>
          <w:rFonts w:eastAsia="黑体"/>
          <w:sz w:val="28"/>
          <w:szCs w:val="28"/>
        </w:rPr>
        <w:t>一、课程基本信息</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3044"/>
        <w:gridCol w:w="1440"/>
        <w:gridCol w:w="3028"/>
      </w:tblGrid>
      <w:tr w:rsidR="00D529CF" w:rsidRPr="00F34DF4" w14:paraId="7DFD9EDA" w14:textId="77777777" w:rsidTr="00BA2CFD">
        <w:trPr>
          <w:trHeight w:val="886"/>
          <w:jc w:val="center"/>
        </w:trPr>
        <w:tc>
          <w:tcPr>
            <w:tcW w:w="1668" w:type="dxa"/>
            <w:vAlign w:val="center"/>
          </w:tcPr>
          <w:p w14:paraId="212D714F"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课程名称</w:t>
            </w:r>
          </w:p>
        </w:tc>
        <w:tc>
          <w:tcPr>
            <w:tcW w:w="3044" w:type="dxa"/>
            <w:vAlign w:val="center"/>
          </w:tcPr>
          <w:p w14:paraId="676099DF"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大学英语1</w:t>
            </w:r>
          </w:p>
        </w:tc>
        <w:tc>
          <w:tcPr>
            <w:tcW w:w="1440" w:type="dxa"/>
            <w:vAlign w:val="center"/>
          </w:tcPr>
          <w:p w14:paraId="7FFBE65C"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课程代码</w:t>
            </w:r>
          </w:p>
        </w:tc>
        <w:tc>
          <w:tcPr>
            <w:tcW w:w="3028" w:type="dxa"/>
            <w:vAlign w:val="center"/>
          </w:tcPr>
          <w:p w14:paraId="7DC15C44"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0301058</w:t>
            </w:r>
          </w:p>
        </w:tc>
      </w:tr>
      <w:tr w:rsidR="00D529CF" w:rsidRPr="00F34DF4" w14:paraId="3CBE7958" w14:textId="77777777" w:rsidTr="00BA2CFD">
        <w:trPr>
          <w:trHeight w:val="829"/>
          <w:jc w:val="center"/>
        </w:trPr>
        <w:tc>
          <w:tcPr>
            <w:tcW w:w="1668" w:type="dxa"/>
            <w:vAlign w:val="center"/>
          </w:tcPr>
          <w:p w14:paraId="05C3FEAB"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课程类别</w:t>
            </w:r>
          </w:p>
        </w:tc>
        <w:tc>
          <w:tcPr>
            <w:tcW w:w="3044" w:type="dxa"/>
            <w:vAlign w:val="center"/>
          </w:tcPr>
          <w:p w14:paraId="4B0DA822" w14:textId="77777777" w:rsidR="00D529CF" w:rsidRPr="00F34DF4" w:rsidRDefault="00D529CF" w:rsidP="00BA2CFD">
            <w:pPr>
              <w:spacing w:line="440" w:lineRule="exact"/>
              <w:ind w:firstLineChars="300" w:firstLine="720"/>
              <w:rPr>
                <w:rFonts w:ascii="宋体" w:eastAsia="宋体" w:hAnsi="宋体"/>
                <w:sz w:val="24"/>
              </w:rPr>
            </w:pPr>
            <w:r w:rsidRPr="00F34DF4">
              <w:rPr>
                <w:rFonts w:ascii="宋体" w:eastAsia="宋体" w:hAnsi="宋体" w:hint="eastAsia"/>
                <w:sz w:val="24"/>
              </w:rPr>
              <w:t>通识教育</w:t>
            </w:r>
            <w:r w:rsidRPr="00F34DF4">
              <w:rPr>
                <w:rFonts w:ascii="宋体" w:eastAsia="宋体" w:hAnsi="宋体"/>
                <w:sz w:val="24"/>
              </w:rPr>
              <w:t>必修课</w:t>
            </w:r>
          </w:p>
        </w:tc>
        <w:tc>
          <w:tcPr>
            <w:tcW w:w="1440" w:type="dxa"/>
            <w:vAlign w:val="center"/>
          </w:tcPr>
          <w:p w14:paraId="65F7FB2A"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学时</w:t>
            </w:r>
          </w:p>
          <w:p w14:paraId="756B59CA"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/学分</w:t>
            </w:r>
          </w:p>
        </w:tc>
        <w:tc>
          <w:tcPr>
            <w:tcW w:w="3028" w:type="dxa"/>
            <w:vAlign w:val="center"/>
          </w:tcPr>
          <w:p w14:paraId="32608AED"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hint="eastAsia"/>
                <w:sz w:val="24"/>
              </w:rPr>
              <w:t>48</w:t>
            </w:r>
            <w:r w:rsidRPr="00F34DF4">
              <w:rPr>
                <w:rFonts w:ascii="宋体" w:eastAsia="宋体" w:hAnsi="宋体"/>
                <w:sz w:val="24"/>
              </w:rPr>
              <w:t>/</w:t>
            </w:r>
            <w:r w:rsidRPr="00F34DF4">
              <w:rPr>
                <w:rFonts w:ascii="宋体" w:eastAsia="宋体" w:hAnsi="宋体" w:hint="eastAsia"/>
                <w:sz w:val="24"/>
              </w:rPr>
              <w:t>2.5</w:t>
            </w:r>
          </w:p>
        </w:tc>
      </w:tr>
      <w:tr w:rsidR="00D529CF" w:rsidRPr="00F34DF4" w14:paraId="6FEC1050" w14:textId="77777777" w:rsidTr="00BA2CFD">
        <w:trPr>
          <w:trHeight w:val="811"/>
          <w:jc w:val="center"/>
        </w:trPr>
        <w:tc>
          <w:tcPr>
            <w:tcW w:w="1668" w:type="dxa"/>
            <w:vAlign w:val="center"/>
          </w:tcPr>
          <w:p w14:paraId="7241F73D"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开课单位</w:t>
            </w:r>
          </w:p>
        </w:tc>
        <w:tc>
          <w:tcPr>
            <w:tcW w:w="3044" w:type="dxa"/>
            <w:vAlign w:val="center"/>
          </w:tcPr>
          <w:p w14:paraId="67B6C9EE"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外国语学院</w:t>
            </w:r>
          </w:p>
        </w:tc>
        <w:tc>
          <w:tcPr>
            <w:tcW w:w="1440" w:type="dxa"/>
            <w:vAlign w:val="center"/>
          </w:tcPr>
          <w:p w14:paraId="6A6DA984"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适用专业</w:t>
            </w:r>
          </w:p>
        </w:tc>
        <w:tc>
          <w:tcPr>
            <w:tcW w:w="3028" w:type="dxa"/>
            <w:vAlign w:val="center"/>
          </w:tcPr>
          <w:p w14:paraId="0C0D290A"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非英语专业本科</w:t>
            </w:r>
            <w:r w:rsidRPr="00F34DF4">
              <w:rPr>
                <w:rFonts w:ascii="宋体" w:eastAsia="宋体" w:hAnsi="宋体" w:hint="eastAsia"/>
                <w:sz w:val="24"/>
              </w:rPr>
              <w:t>（</w:t>
            </w:r>
            <w:r w:rsidR="00855797">
              <w:rPr>
                <w:rFonts w:ascii="宋体" w:eastAsia="宋体" w:hAnsi="宋体" w:hint="eastAsia"/>
                <w:sz w:val="24"/>
              </w:rPr>
              <w:t>理</w:t>
            </w:r>
            <w:r w:rsidRPr="00F34DF4">
              <w:rPr>
                <w:rFonts w:ascii="宋体" w:eastAsia="宋体" w:hAnsi="宋体"/>
                <w:sz w:val="24"/>
              </w:rPr>
              <w:t>科类</w:t>
            </w:r>
            <w:r w:rsidRPr="00F34DF4">
              <w:rPr>
                <w:rFonts w:ascii="宋体" w:eastAsia="宋体" w:hAnsi="宋体" w:hint="eastAsia"/>
                <w:sz w:val="24"/>
              </w:rPr>
              <w:t>）</w:t>
            </w:r>
          </w:p>
        </w:tc>
      </w:tr>
      <w:tr w:rsidR="00D529CF" w:rsidRPr="00F34DF4" w14:paraId="50B8BECD" w14:textId="77777777" w:rsidTr="00BA2CFD">
        <w:trPr>
          <w:trHeight w:val="811"/>
          <w:jc w:val="center"/>
        </w:trPr>
        <w:tc>
          <w:tcPr>
            <w:tcW w:w="1668" w:type="dxa"/>
            <w:vAlign w:val="center"/>
          </w:tcPr>
          <w:p w14:paraId="4E3AC94B"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课程负责人</w:t>
            </w:r>
          </w:p>
        </w:tc>
        <w:tc>
          <w:tcPr>
            <w:tcW w:w="7512" w:type="dxa"/>
            <w:gridSpan w:val="3"/>
            <w:vAlign w:val="center"/>
          </w:tcPr>
          <w:p w14:paraId="40492261"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hint="eastAsia"/>
                <w:sz w:val="24"/>
              </w:rPr>
              <w:t>张枫</w:t>
            </w:r>
          </w:p>
        </w:tc>
      </w:tr>
      <w:tr w:rsidR="00D529CF" w:rsidRPr="00F34DF4" w14:paraId="5C08933D" w14:textId="77777777" w:rsidTr="00BA2CFD">
        <w:trPr>
          <w:trHeight w:val="836"/>
          <w:jc w:val="center"/>
        </w:trPr>
        <w:tc>
          <w:tcPr>
            <w:tcW w:w="1668" w:type="dxa"/>
            <w:vAlign w:val="center"/>
          </w:tcPr>
          <w:p w14:paraId="5A7C96F6"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大纲撰写人</w:t>
            </w:r>
          </w:p>
        </w:tc>
        <w:tc>
          <w:tcPr>
            <w:tcW w:w="3044" w:type="dxa"/>
            <w:vAlign w:val="center"/>
          </w:tcPr>
          <w:p w14:paraId="78B8490F"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hint="eastAsia"/>
                <w:sz w:val="24"/>
              </w:rPr>
              <w:t>赵南南、赵芳、崔伟丽、封伟、王艳坤、臧光亚、康宁、张蕾</w:t>
            </w:r>
          </w:p>
        </w:tc>
        <w:tc>
          <w:tcPr>
            <w:tcW w:w="1440" w:type="dxa"/>
            <w:vAlign w:val="center"/>
          </w:tcPr>
          <w:p w14:paraId="50D7C1A7"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大纲审核人</w:t>
            </w:r>
          </w:p>
        </w:tc>
        <w:tc>
          <w:tcPr>
            <w:tcW w:w="3028" w:type="dxa"/>
            <w:vAlign w:val="center"/>
          </w:tcPr>
          <w:p w14:paraId="002D1198" w14:textId="77777777" w:rsidR="00D529CF" w:rsidRPr="00F34DF4" w:rsidRDefault="00D529CF" w:rsidP="00BA2CFD">
            <w:pPr>
              <w:spacing w:line="440" w:lineRule="exact"/>
              <w:jc w:val="center"/>
              <w:rPr>
                <w:rFonts w:ascii="宋体" w:eastAsia="宋体" w:hAnsi="宋体"/>
                <w:sz w:val="24"/>
              </w:rPr>
            </w:pPr>
            <w:proofErr w:type="gramStart"/>
            <w:r w:rsidRPr="00F34DF4">
              <w:rPr>
                <w:rFonts w:ascii="宋体" w:eastAsia="宋体" w:hAnsi="宋体" w:hint="eastAsia"/>
                <w:sz w:val="24"/>
              </w:rPr>
              <w:t>贺宇涛</w:t>
            </w:r>
            <w:proofErr w:type="gramEnd"/>
          </w:p>
        </w:tc>
      </w:tr>
      <w:tr w:rsidR="00D529CF" w:rsidRPr="00F34DF4" w14:paraId="72D7F1E3" w14:textId="77777777" w:rsidTr="00BA2CFD">
        <w:trPr>
          <w:trHeight w:val="848"/>
          <w:jc w:val="center"/>
        </w:trPr>
        <w:tc>
          <w:tcPr>
            <w:tcW w:w="1668" w:type="dxa"/>
            <w:vAlign w:val="center"/>
          </w:tcPr>
          <w:p w14:paraId="50056CA5"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先修课程</w:t>
            </w:r>
          </w:p>
        </w:tc>
        <w:tc>
          <w:tcPr>
            <w:tcW w:w="7512" w:type="dxa"/>
            <w:gridSpan w:val="3"/>
            <w:vAlign w:val="center"/>
          </w:tcPr>
          <w:p w14:paraId="7B25C3DD"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高中英语</w:t>
            </w:r>
          </w:p>
        </w:tc>
      </w:tr>
      <w:tr w:rsidR="00D529CF" w:rsidRPr="00F34DF4" w14:paraId="4E2FEF12" w14:textId="77777777" w:rsidTr="00BA2CFD">
        <w:trPr>
          <w:trHeight w:val="848"/>
          <w:jc w:val="center"/>
        </w:trPr>
        <w:tc>
          <w:tcPr>
            <w:tcW w:w="1668" w:type="dxa"/>
            <w:vAlign w:val="center"/>
          </w:tcPr>
          <w:p w14:paraId="6167945D" w14:textId="77777777" w:rsidR="00D529CF" w:rsidRPr="00F34DF4" w:rsidRDefault="00D529CF" w:rsidP="00BA2CFD">
            <w:pPr>
              <w:spacing w:line="440" w:lineRule="exact"/>
              <w:jc w:val="center"/>
              <w:rPr>
                <w:rFonts w:ascii="宋体" w:eastAsia="宋体" w:hAnsi="宋体"/>
                <w:sz w:val="24"/>
              </w:rPr>
            </w:pPr>
            <w:r w:rsidRPr="00F34DF4">
              <w:rPr>
                <w:rFonts w:ascii="宋体" w:eastAsia="宋体" w:hAnsi="宋体"/>
                <w:sz w:val="24"/>
              </w:rPr>
              <w:t>课程网址</w:t>
            </w:r>
          </w:p>
        </w:tc>
        <w:tc>
          <w:tcPr>
            <w:tcW w:w="7512" w:type="dxa"/>
            <w:gridSpan w:val="3"/>
            <w:vAlign w:val="center"/>
          </w:tcPr>
          <w:p w14:paraId="5DB39A36" w14:textId="77777777" w:rsidR="00D529CF" w:rsidRPr="00F34DF4" w:rsidRDefault="00D529CF" w:rsidP="00BA2CFD">
            <w:pPr>
              <w:spacing w:line="440" w:lineRule="exact"/>
              <w:ind w:firstLineChars="200" w:firstLine="480"/>
              <w:rPr>
                <w:rFonts w:ascii="宋体" w:eastAsia="宋体" w:hAnsi="宋体"/>
                <w:sz w:val="24"/>
              </w:rPr>
            </w:pPr>
            <w:r w:rsidRPr="00F34DF4">
              <w:rPr>
                <w:rFonts w:ascii="宋体" w:eastAsia="宋体" w:hAnsi="宋体"/>
                <w:sz w:val="24"/>
              </w:rPr>
              <w:t>https://mooc1.chaoxing.com/course/237012068.html</w:t>
            </w:r>
          </w:p>
        </w:tc>
      </w:tr>
    </w:tbl>
    <w:p w14:paraId="1FF35D22" w14:textId="77777777" w:rsidR="00D529CF" w:rsidRDefault="00D529CF" w:rsidP="00D529CF">
      <w:pPr>
        <w:spacing w:beforeLines="50" w:before="156" w:afterLines="50" w:after="156" w:line="440" w:lineRule="exact"/>
        <w:ind w:firstLineChars="200" w:firstLine="560"/>
        <w:rPr>
          <w:rFonts w:eastAsia="黑体"/>
          <w:sz w:val="28"/>
          <w:szCs w:val="28"/>
        </w:rPr>
      </w:pPr>
      <w:r>
        <w:rPr>
          <w:rFonts w:eastAsia="黑体"/>
          <w:sz w:val="28"/>
          <w:szCs w:val="28"/>
        </w:rPr>
        <w:t>二、课程学习目标及与毕业要求的对应关系</w:t>
      </w:r>
    </w:p>
    <w:p w14:paraId="5648A1CA" w14:textId="77777777" w:rsidR="00D529CF" w:rsidRDefault="00D529CF" w:rsidP="00D529CF">
      <w:pPr>
        <w:spacing w:beforeLines="50" w:before="156" w:afterLines="50" w:after="156" w:line="440" w:lineRule="exact"/>
        <w:ind w:firstLineChars="200" w:firstLine="560"/>
        <w:rPr>
          <w:rFonts w:eastAsia="黑体"/>
          <w:sz w:val="28"/>
          <w:szCs w:val="28"/>
        </w:rPr>
      </w:pPr>
      <w:r>
        <w:rPr>
          <w:rFonts w:eastAsia="黑体"/>
          <w:sz w:val="28"/>
          <w:szCs w:val="28"/>
        </w:rPr>
        <w:t>（一）课程学习目标</w:t>
      </w:r>
    </w:p>
    <w:p w14:paraId="3B73A451" w14:textId="77777777" w:rsidR="00D529CF" w:rsidRPr="00F34DF4" w:rsidRDefault="00D529CF" w:rsidP="00D529CF">
      <w:pPr>
        <w:spacing w:line="440" w:lineRule="exact"/>
        <w:ind w:firstLineChars="200" w:firstLine="480"/>
        <w:rPr>
          <w:rFonts w:ascii="Times New Roman" w:eastAsia="宋体" w:hAnsi="Times New Roman" w:cs="Times New Roman"/>
          <w:b/>
          <w:bCs/>
          <w:sz w:val="24"/>
        </w:rPr>
      </w:pPr>
      <w:r w:rsidRPr="00F34DF4">
        <w:rPr>
          <w:rFonts w:ascii="Times New Roman" w:eastAsia="宋体" w:hAnsi="Times New Roman" w:cs="Times New Roman"/>
          <w:sz w:val="24"/>
        </w:rPr>
        <w:t>通过本课程的学习，使学生达到以下目标：</w:t>
      </w:r>
    </w:p>
    <w:p w14:paraId="5E737A69"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1.</w:t>
      </w:r>
      <w:r w:rsidRPr="00F34DF4">
        <w:rPr>
          <w:rFonts w:ascii="Times New Roman" w:eastAsia="宋体" w:hAnsi="Times New Roman" w:cs="Times New Roman"/>
          <w:sz w:val="24"/>
        </w:rPr>
        <w:t>具有扎实的英语语言基础和听、说、读、写、译等英语应用技能；具备基本的自主学习能力、自律意识和终身学习意识，能够运用所学的英语知识和技能了解工科领域最新理论和技术，关注工科领域国际前沿动态。【</w:t>
      </w:r>
      <w:r w:rsidRPr="00F34DF4">
        <w:rPr>
          <w:rFonts w:ascii="Times New Roman" w:eastAsia="宋体" w:hAnsi="Times New Roman" w:cs="Times New Roman"/>
          <w:b/>
          <w:sz w:val="24"/>
        </w:rPr>
        <w:t>毕业要求</w:t>
      </w:r>
      <w:r w:rsidRPr="00F34DF4">
        <w:rPr>
          <w:rFonts w:ascii="Times New Roman" w:eastAsia="宋体" w:hAnsi="Times New Roman" w:cs="Times New Roman"/>
          <w:b/>
          <w:sz w:val="24"/>
        </w:rPr>
        <w:t>12</w:t>
      </w:r>
      <w:r w:rsidRPr="00F34DF4">
        <w:rPr>
          <w:rFonts w:ascii="Times New Roman" w:eastAsia="宋体" w:hAnsi="Times New Roman" w:cs="Times New Roman"/>
          <w:b/>
          <w:sz w:val="24"/>
        </w:rPr>
        <w:t>：终身学习】</w:t>
      </w:r>
    </w:p>
    <w:p w14:paraId="0F2BF6D3"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2.</w:t>
      </w:r>
      <w:r w:rsidRPr="00F34DF4">
        <w:rPr>
          <w:rFonts w:ascii="Times New Roman" w:eastAsia="宋体" w:hAnsi="Times New Roman" w:cs="Times New Roman"/>
          <w:sz w:val="24"/>
        </w:rPr>
        <w:t>具有基本的人文社会素养和强烈的社会责任感，能够在各自专业领域的工程实践中理解并遵守工程职业道德和规范。在了解西方文化的同时，感受我国文化的博大精深，树立民族文化自信心，培养爱国主义和家国情怀。【</w:t>
      </w:r>
      <w:r w:rsidRPr="00F34DF4">
        <w:rPr>
          <w:rFonts w:ascii="Times New Roman" w:eastAsia="宋体" w:hAnsi="Times New Roman" w:cs="Times New Roman"/>
          <w:b/>
          <w:sz w:val="24"/>
        </w:rPr>
        <w:t>毕业要求</w:t>
      </w:r>
      <w:r w:rsidRPr="00F34DF4">
        <w:rPr>
          <w:rFonts w:ascii="Times New Roman" w:eastAsia="宋体" w:hAnsi="Times New Roman" w:cs="Times New Roman"/>
          <w:b/>
          <w:sz w:val="24"/>
        </w:rPr>
        <w:t xml:space="preserve">8 </w:t>
      </w:r>
      <w:r w:rsidRPr="00F34DF4">
        <w:rPr>
          <w:rFonts w:ascii="Times New Roman" w:eastAsia="宋体" w:hAnsi="Times New Roman" w:cs="Times New Roman"/>
          <w:b/>
          <w:sz w:val="24"/>
        </w:rPr>
        <w:t>职业规范】</w:t>
      </w:r>
    </w:p>
    <w:p w14:paraId="24A8A69D"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3.</w:t>
      </w:r>
      <w:r w:rsidRPr="00F34DF4">
        <w:rPr>
          <w:rFonts w:ascii="Times New Roman" w:eastAsia="宋体" w:hAnsi="Times New Roman" w:cs="Times New Roman"/>
          <w:sz w:val="24"/>
        </w:rPr>
        <w:t>通过参与课堂活动培养小组合作能力和组织管理能力；提升英语综合运用能力和跨文化交际能力，</w:t>
      </w:r>
      <w:r w:rsidRPr="00F34DF4">
        <w:rPr>
          <w:rFonts w:ascii="Times New Roman" w:eastAsia="宋体" w:hAnsi="Times New Roman" w:cs="Times New Roman"/>
          <w:sz w:val="24"/>
        </w:rPr>
        <w:t xml:space="preserve"> </w:t>
      </w:r>
      <w:r w:rsidRPr="00F34DF4">
        <w:rPr>
          <w:rFonts w:ascii="Times New Roman" w:eastAsia="宋体" w:hAnsi="Times New Roman" w:cs="Times New Roman"/>
          <w:sz w:val="24"/>
        </w:rPr>
        <w:t>能够使用英语就工科领域一些问题与业界同行及社会公众进行</w:t>
      </w:r>
      <w:r w:rsidRPr="00F34DF4">
        <w:rPr>
          <w:rFonts w:ascii="Times New Roman" w:eastAsia="宋体" w:hAnsi="Times New Roman" w:cs="Times New Roman"/>
          <w:sz w:val="24"/>
        </w:rPr>
        <w:lastRenderedPageBreak/>
        <w:t>有效的口头和书面沟通交流，包括用英语撰写简单报告和设计简单文稿、陈述发言、清晰表达回应指令等。</w:t>
      </w:r>
      <w:r w:rsidRPr="00F34DF4">
        <w:rPr>
          <w:rFonts w:ascii="Times New Roman" w:eastAsia="宋体" w:hAnsi="Times New Roman" w:cs="Times New Roman"/>
          <w:b/>
          <w:sz w:val="24"/>
        </w:rPr>
        <w:t>【毕业要求</w:t>
      </w:r>
      <w:r w:rsidRPr="00F34DF4">
        <w:rPr>
          <w:rFonts w:ascii="Times New Roman" w:eastAsia="宋体" w:hAnsi="Times New Roman" w:cs="Times New Roman"/>
          <w:b/>
          <w:sz w:val="24"/>
        </w:rPr>
        <w:t>10</w:t>
      </w:r>
      <w:r w:rsidRPr="00F34DF4">
        <w:rPr>
          <w:rFonts w:ascii="Times New Roman" w:eastAsia="宋体" w:hAnsi="Times New Roman" w:cs="Times New Roman"/>
          <w:b/>
          <w:sz w:val="24"/>
        </w:rPr>
        <w:t>：沟通】</w:t>
      </w:r>
    </w:p>
    <w:p w14:paraId="750CA415" w14:textId="77777777" w:rsidR="00D529CF" w:rsidRPr="007D2A80" w:rsidRDefault="00D529CF" w:rsidP="00D529CF">
      <w:pPr>
        <w:spacing w:beforeLines="50" w:before="156" w:afterLines="50" w:after="156" w:line="440" w:lineRule="exact"/>
        <w:rPr>
          <w:rFonts w:ascii="黑体" w:eastAsia="黑体" w:hAnsi="黑体" w:cs="Times New Roman"/>
          <w:sz w:val="28"/>
          <w:szCs w:val="28"/>
        </w:rPr>
      </w:pPr>
      <w:r w:rsidRPr="007D2A80">
        <w:rPr>
          <w:rFonts w:ascii="黑体" w:eastAsia="黑体" w:hAnsi="黑体"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2"/>
        <w:gridCol w:w="5318"/>
        <w:gridCol w:w="1959"/>
      </w:tblGrid>
      <w:tr w:rsidR="00D529CF" w:rsidRPr="00F34DF4" w14:paraId="381EEDC2" w14:textId="77777777" w:rsidTr="00BA2CFD">
        <w:trPr>
          <w:trHeight w:val="815"/>
          <w:jc w:val="center"/>
        </w:trPr>
        <w:tc>
          <w:tcPr>
            <w:tcW w:w="1892" w:type="dxa"/>
            <w:vAlign w:val="center"/>
          </w:tcPr>
          <w:p w14:paraId="00FFABAD" w14:textId="77777777" w:rsidR="00D529CF" w:rsidRPr="00F34DF4" w:rsidRDefault="00D529CF" w:rsidP="00BA2CFD">
            <w:pPr>
              <w:spacing w:line="440" w:lineRule="exact"/>
              <w:jc w:val="center"/>
              <w:rPr>
                <w:rFonts w:ascii="Times New Roman" w:eastAsia="宋体" w:hAnsi="Times New Roman" w:cs="Times New Roman"/>
                <w:b/>
                <w:sz w:val="24"/>
              </w:rPr>
            </w:pPr>
            <w:r w:rsidRPr="00F34DF4">
              <w:rPr>
                <w:rFonts w:ascii="Times New Roman" w:eastAsia="宋体" w:hAnsi="Times New Roman" w:cs="Times New Roman"/>
                <w:b/>
                <w:sz w:val="24"/>
              </w:rPr>
              <w:t>毕业要求</w:t>
            </w:r>
          </w:p>
        </w:tc>
        <w:tc>
          <w:tcPr>
            <w:tcW w:w="5318" w:type="dxa"/>
            <w:vAlign w:val="center"/>
          </w:tcPr>
          <w:p w14:paraId="6B69AAA4" w14:textId="77777777" w:rsidR="00D529CF" w:rsidRPr="00F34DF4" w:rsidRDefault="00D529CF" w:rsidP="00BA2CFD">
            <w:pPr>
              <w:spacing w:line="440" w:lineRule="exact"/>
              <w:jc w:val="center"/>
              <w:rPr>
                <w:rFonts w:ascii="Times New Roman" w:eastAsia="宋体" w:hAnsi="Times New Roman" w:cs="Times New Roman"/>
                <w:b/>
                <w:sz w:val="24"/>
              </w:rPr>
            </w:pPr>
            <w:r w:rsidRPr="00F34DF4">
              <w:rPr>
                <w:rFonts w:ascii="Times New Roman" w:eastAsia="宋体" w:hAnsi="Times New Roman" w:cs="Times New Roman"/>
                <w:b/>
                <w:sz w:val="24"/>
              </w:rPr>
              <w:t>毕业要求指标点</w:t>
            </w:r>
          </w:p>
        </w:tc>
        <w:tc>
          <w:tcPr>
            <w:tcW w:w="1959" w:type="dxa"/>
            <w:vAlign w:val="center"/>
          </w:tcPr>
          <w:p w14:paraId="4FC44885" w14:textId="77777777" w:rsidR="00D529CF" w:rsidRPr="00F34DF4" w:rsidRDefault="00D529CF" w:rsidP="00BA2CFD">
            <w:pPr>
              <w:spacing w:line="440" w:lineRule="exact"/>
              <w:jc w:val="center"/>
              <w:rPr>
                <w:rFonts w:ascii="Times New Roman" w:eastAsia="宋体" w:hAnsi="Times New Roman" w:cs="Times New Roman"/>
                <w:b/>
                <w:sz w:val="24"/>
              </w:rPr>
            </w:pPr>
            <w:r w:rsidRPr="00F34DF4">
              <w:rPr>
                <w:rFonts w:ascii="Times New Roman" w:eastAsia="宋体" w:hAnsi="Times New Roman" w:cs="Times New Roman"/>
                <w:b/>
                <w:sz w:val="24"/>
              </w:rPr>
              <w:t>课程目标</w:t>
            </w:r>
          </w:p>
        </w:tc>
      </w:tr>
      <w:tr w:rsidR="00D529CF" w:rsidRPr="00F34DF4" w14:paraId="691B8B8B" w14:textId="77777777" w:rsidTr="00BA2CFD">
        <w:trPr>
          <w:jc w:val="center"/>
        </w:trPr>
        <w:tc>
          <w:tcPr>
            <w:tcW w:w="1892" w:type="dxa"/>
            <w:vAlign w:val="center"/>
          </w:tcPr>
          <w:p w14:paraId="15940458"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12.</w:t>
            </w:r>
            <w:r w:rsidRPr="00F34DF4">
              <w:rPr>
                <w:rFonts w:ascii="Times New Roman" w:eastAsia="宋体" w:hAnsi="Times New Roman" w:cs="Times New Roman"/>
                <w:sz w:val="24"/>
              </w:rPr>
              <w:t>终身学习</w:t>
            </w:r>
          </w:p>
        </w:tc>
        <w:tc>
          <w:tcPr>
            <w:tcW w:w="5318" w:type="dxa"/>
            <w:vAlign w:val="center"/>
          </w:tcPr>
          <w:p w14:paraId="6A7767C7"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(M)</w:t>
            </w:r>
          </w:p>
        </w:tc>
        <w:tc>
          <w:tcPr>
            <w:tcW w:w="1959" w:type="dxa"/>
            <w:vAlign w:val="center"/>
          </w:tcPr>
          <w:p w14:paraId="01D525E6"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课程目标</w:t>
            </w:r>
            <w:r w:rsidRPr="00F34DF4">
              <w:rPr>
                <w:rFonts w:ascii="Times New Roman" w:eastAsia="宋体" w:hAnsi="Times New Roman" w:cs="Times New Roman"/>
                <w:sz w:val="24"/>
              </w:rPr>
              <w:t>1</w:t>
            </w:r>
          </w:p>
        </w:tc>
      </w:tr>
      <w:tr w:rsidR="00D529CF" w:rsidRPr="00F34DF4" w14:paraId="5CDDD07B" w14:textId="77777777" w:rsidTr="00BA2CFD">
        <w:trPr>
          <w:jc w:val="center"/>
        </w:trPr>
        <w:tc>
          <w:tcPr>
            <w:tcW w:w="1892" w:type="dxa"/>
            <w:vAlign w:val="center"/>
          </w:tcPr>
          <w:p w14:paraId="60C54D08"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8.</w:t>
            </w:r>
            <w:r w:rsidRPr="00F34DF4">
              <w:rPr>
                <w:rFonts w:ascii="Times New Roman" w:eastAsia="宋体" w:hAnsi="Times New Roman" w:cs="Times New Roman"/>
                <w:sz w:val="24"/>
              </w:rPr>
              <w:t>职业规范</w:t>
            </w:r>
          </w:p>
        </w:tc>
        <w:tc>
          <w:tcPr>
            <w:tcW w:w="5318" w:type="dxa"/>
            <w:vAlign w:val="center"/>
          </w:tcPr>
          <w:p w14:paraId="0C290E37"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(M)</w:t>
            </w:r>
          </w:p>
        </w:tc>
        <w:tc>
          <w:tcPr>
            <w:tcW w:w="1959" w:type="dxa"/>
            <w:vAlign w:val="center"/>
          </w:tcPr>
          <w:p w14:paraId="1E131372"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课程目标</w:t>
            </w:r>
            <w:r w:rsidRPr="00F34DF4">
              <w:rPr>
                <w:rFonts w:ascii="Times New Roman" w:eastAsia="宋体" w:hAnsi="Times New Roman" w:cs="Times New Roman"/>
                <w:sz w:val="24"/>
              </w:rPr>
              <w:t>2</w:t>
            </w:r>
          </w:p>
        </w:tc>
      </w:tr>
      <w:tr w:rsidR="00D529CF" w:rsidRPr="00F34DF4" w14:paraId="34E3996D" w14:textId="77777777" w:rsidTr="00BA2CFD">
        <w:trPr>
          <w:jc w:val="center"/>
        </w:trPr>
        <w:tc>
          <w:tcPr>
            <w:tcW w:w="1892" w:type="dxa"/>
            <w:vAlign w:val="center"/>
          </w:tcPr>
          <w:p w14:paraId="4493F73E"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 xml:space="preserve">10. </w:t>
            </w:r>
            <w:r w:rsidRPr="00F34DF4">
              <w:rPr>
                <w:rFonts w:ascii="Times New Roman" w:eastAsia="宋体" w:hAnsi="Times New Roman" w:cs="Times New Roman"/>
                <w:sz w:val="24"/>
              </w:rPr>
              <w:t>沟通</w:t>
            </w:r>
          </w:p>
        </w:tc>
        <w:tc>
          <w:tcPr>
            <w:tcW w:w="5318" w:type="dxa"/>
            <w:vAlign w:val="center"/>
          </w:tcPr>
          <w:p w14:paraId="7B80E953"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(H)</w:t>
            </w:r>
          </w:p>
        </w:tc>
        <w:tc>
          <w:tcPr>
            <w:tcW w:w="1959" w:type="dxa"/>
            <w:vAlign w:val="center"/>
          </w:tcPr>
          <w:p w14:paraId="1B841342"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课程目标</w:t>
            </w:r>
            <w:r w:rsidRPr="00F34DF4">
              <w:rPr>
                <w:rFonts w:ascii="Times New Roman" w:eastAsia="宋体" w:hAnsi="Times New Roman" w:cs="Times New Roman"/>
                <w:sz w:val="24"/>
              </w:rPr>
              <w:t>3</w:t>
            </w:r>
          </w:p>
        </w:tc>
      </w:tr>
      <w:tr w:rsidR="00D529CF" w:rsidRPr="00F34DF4" w14:paraId="109E143E" w14:textId="77777777" w:rsidTr="00BA2CFD">
        <w:trPr>
          <w:jc w:val="center"/>
        </w:trPr>
        <w:tc>
          <w:tcPr>
            <w:tcW w:w="1892" w:type="dxa"/>
            <w:vAlign w:val="center"/>
          </w:tcPr>
          <w:p w14:paraId="1A81CB42" w14:textId="77777777" w:rsidR="00D529CF" w:rsidRPr="00F34DF4" w:rsidRDefault="00D529CF" w:rsidP="00BA2CFD">
            <w:pPr>
              <w:spacing w:line="440" w:lineRule="exact"/>
              <w:jc w:val="center"/>
              <w:rPr>
                <w:rFonts w:ascii="Times New Roman" w:eastAsia="宋体" w:hAnsi="Times New Roman" w:cs="Times New Roman"/>
                <w:sz w:val="24"/>
              </w:rPr>
            </w:pPr>
          </w:p>
        </w:tc>
        <w:tc>
          <w:tcPr>
            <w:tcW w:w="5318" w:type="dxa"/>
            <w:vAlign w:val="center"/>
          </w:tcPr>
          <w:p w14:paraId="005F6298" w14:textId="77777777" w:rsidR="00D529CF" w:rsidRPr="00F34DF4" w:rsidRDefault="00D529CF" w:rsidP="00BA2CFD">
            <w:pPr>
              <w:spacing w:line="440" w:lineRule="exact"/>
              <w:jc w:val="center"/>
              <w:rPr>
                <w:rFonts w:ascii="Times New Roman" w:eastAsia="宋体" w:hAnsi="Times New Roman" w:cs="Times New Roman"/>
                <w:sz w:val="24"/>
              </w:rPr>
            </w:pPr>
          </w:p>
        </w:tc>
        <w:tc>
          <w:tcPr>
            <w:tcW w:w="1959" w:type="dxa"/>
            <w:vAlign w:val="center"/>
          </w:tcPr>
          <w:p w14:paraId="66561CDC" w14:textId="77777777" w:rsidR="00D529CF" w:rsidRPr="00F34DF4" w:rsidRDefault="00D529CF" w:rsidP="00BA2CFD">
            <w:pPr>
              <w:spacing w:line="440" w:lineRule="exact"/>
              <w:jc w:val="left"/>
              <w:rPr>
                <w:rFonts w:ascii="Times New Roman" w:eastAsia="宋体" w:hAnsi="Times New Roman" w:cs="Times New Roman"/>
                <w:sz w:val="24"/>
              </w:rPr>
            </w:pPr>
          </w:p>
        </w:tc>
      </w:tr>
    </w:tbl>
    <w:p w14:paraId="1B7B5B1A" w14:textId="77777777" w:rsidR="00D529CF" w:rsidRPr="00F34DF4" w:rsidRDefault="00D529CF" w:rsidP="00D529CF">
      <w:pPr>
        <w:spacing w:beforeLines="50" w:before="156" w:afterLines="50" w:after="156" w:line="440" w:lineRule="exact"/>
        <w:rPr>
          <w:rFonts w:ascii="Times New Roman" w:eastAsia="宋体" w:hAnsi="Times New Roman" w:cs="Times New Roman"/>
          <w:sz w:val="28"/>
          <w:szCs w:val="28"/>
        </w:rPr>
      </w:pPr>
    </w:p>
    <w:p w14:paraId="6662C058" w14:textId="77777777" w:rsidR="00D529CF" w:rsidRPr="007D2A80" w:rsidRDefault="00D529CF" w:rsidP="00D529CF">
      <w:pPr>
        <w:spacing w:beforeLines="50" w:before="156" w:afterLines="50" w:after="156" w:line="440" w:lineRule="exact"/>
        <w:ind w:firstLineChars="200" w:firstLine="560"/>
        <w:rPr>
          <w:rFonts w:ascii="黑体" w:eastAsia="黑体" w:hAnsi="黑体" w:cs="Times New Roman"/>
          <w:sz w:val="28"/>
          <w:szCs w:val="28"/>
        </w:rPr>
      </w:pPr>
      <w:r w:rsidRPr="007D2A80">
        <w:rPr>
          <w:rFonts w:ascii="黑体" w:eastAsia="黑体" w:hAnsi="黑体" w:cs="Times New Roman"/>
          <w:sz w:val="28"/>
          <w:szCs w:val="28"/>
        </w:rPr>
        <w:t>三、课程学习内容及与课程学习目标的对应关系</w:t>
      </w:r>
    </w:p>
    <w:p w14:paraId="7579F03E" w14:textId="77777777" w:rsidR="00D529CF" w:rsidRPr="00F34DF4" w:rsidRDefault="00D529CF" w:rsidP="00D529CF">
      <w:pPr>
        <w:spacing w:beforeLines="50" w:before="156" w:afterLines="50" w:after="156" w:line="440" w:lineRule="exact"/>
        <w:ind w:firstLineChars="200" w:firstLine="562"/>
        <w:rPr>
          <w:rFonts w:ascii="Times New Roman" w:eastAsia="宋体" w:hAnsi="Times New Roman" w:cs="Times New Roman"/>
          <w:b/>
          <w:sz w:val="28"/>
          <w:szCs w:val="28"/>
        </w:rPr>
      </w:pPr>
      <w:r w:rsidRPr="00F34DF4">
        <w:rPr>
          <w:rFonts w:ascii="Times New Roman" w:eastAsia="宋体" w:hAnsi="Times New Roman" w:cs="Times New Roman"/>
          <w:b/>
          <w:sz w:val="28"/>
          <w:szCs w:val="28"/>
        </w:rPr>
        <w:t>（一）课程学习内容</w:t>
      </w:r>
    </w:p>
    <w:p w14:paraId="62027986" w14:textId="77777777" w:rsidR="00D529CF" w:rsidRPr="00F34DF4" w:rsidRDefault="00D529CF" w:rsidP="00D529CF">
      <w:pPr>
        <w:spacing w:beforeLines="50" w:before="156" w:afterLines="50" w:after="156" w:line="440" w:lineRule="exact"/>
        <w:ind w:firstLineChars="200" w:firstLine="562"/>
        <w:jc w:val="center"/>
        <w:rPr>
          <w:rFonts w:ascii="Times New Roman" w:eastAsia="宋体" w:hAnsi="Times New Roman" w:cs="Times New Roman"/>
          <w:b/>
          <w:bCs/>
          <w:sz w:val="28"/>
          <w:szCs w:val="28"/>
        </w:rPr>
      </w:pPr>
      <w:r w:rsidRPr="00F34DF4">
        <w:rPr>
          <w:rFonts w:ascii="Times New Roman" w:eastAsia="宋体" w:hAnsi="Times New Roman" w:cs="Times New Roman"/>
          <w:b/>
          <w:bCs/>
          <w:sz w:val="28"/>
          <w:szCs w:val="28"/>
        </w:rPr>
        <w:t xml:space="preserve">Unit </w:t>
      </w:r>
      <w:proofErr w:type="gramStart"/>
      <w:r w:rsidRPr="00F34DF4">
        <w:rPr>
          <w:rFonts w:ascii="Times New Roman" w:eastAsia="宋体" w:hAnsi="Times New Roman" w:cs="Times New Roman"/>
          <w:b/>
          <w:bCs/>
          <w:sz w:val="28"/>
          <w:szCs w:val="28"/>
        </w:rPr>
        <w:t>2  Wealth</w:t>
      </w:r>
      <w:proofErr w:type="gramEnd"/>
      <w:r w:rsidRPr="00F34DF4">
        <w:rPr>
          <w:rFonts w:ascii="Times New Roman" w:eastAsia="宋体" w:hAnsi="Times New Roman" w:cs="Times New Roman"/>
          <w:b/>
          <w:bCs/>
          <w:sz w:val="28"/>
          <w:szCs w:val="28"/>
        </w:rPr>
        <w:t xml:space="preserve"> and Prosperity</w:t>
      </w:r>
    </w:p>
    <w:p w14:paraId="13FD0564" w14:textId="77777777" w:rsidR="00D529CF" w:rsidRPr="00F34DF4" w:rsidRDefault="00D529CF" w:rsidP="00D529CF">
      <w:pPr>
        <w:spacing w:line="440" w:lineRule="exact"/>
        <w:ind w:firstLineChars="200" w:firstLine="482"/>
        <w:rPr>
          <w:rFonts w:ascii="Times New Roman" w:eastAsia="宋体" w:hAnsi="Times New Roman" w:cs="Times New Roman"/>
          <w:b/>
          <w:sz w:val="24"/>
        </w:rPr>
      </w:pPr>
      <w:r w:rsidRPr="00F34DF4">
        <w:rPr>
          <w:rFonts w:ascii="Times New Roman" w:eastAsia="宋体" w:hAnsi="Times New Roman" w:cs="Times New Roman"/>
          <w:b/>
          <w:sz w:val="24"/>
        </w:rPr>
        <w:t>【学习目标】</w:t>
      </w:r>
    </w:p>
    <w:p w14:paraId="6CC47C88"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1. </w:t>
      </w:r>
      <w:r w:rsidRPr="00F34DF4">
        <w:rPr>
          <w:rFonts w:ascii="Times New Roman" w:eastAsia="宋体" w:hAnsi="Times New Roman" w:cs="Times New Roman"/>
          <w:sz w:val="24"/>
        </w:rPr>
        <w:t>认知类目标：掌握本单元中有关存储与消费以及表达建议的重点词汇、短语和句型。</w:t>
      </w:r>
    </w:p>
    <w:p w14:paraId="48EA57E1"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过程与方法类目标：引导学生把握文章结构，了解作者的主要观点以及如何协调存储和消费的关系。在听力学习过程中，熟悉新闻、对话和篇章等四级听力题型，能快速识别信息并做出正确的推理和判断。鼓励学生结合实际生活，比如自己与家人平时的消费习惯分享对于存储与消费的理解，表达对文章的看法。比较中西方消费习惯，结合社会消费现象，培养和提高学生的语言综合运用能力、独立思考和批判性思维能力的能力。</w:t>
      </w:r>
    </w:p>
    <w:p w14:paraId="613A30EC"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3. </w:t>
      </w:r>
      <w:r w:rsidRPr="00F34DF4">
        <w:rPr>
          <w:rFonts w:ascii="Times New Roman" w:eastAsia="宋体" w:hAnsi="Times New Roman" w:cs="Times New Roman"/>
          <w:sz w:val="24"/>
        </w:rPr>
        <w:t>情感、态度、价值观类目标：了解金钱的价值，培养良好的消费习惯，树立正确的理财意识，学会区分必要的需求和欲望。鼓励学生多参加社会实践以及一些可靠的兼职工作，把学校所学与实践结合起来，从中体验劳动的艰辛及收获的不易。培养学生的财商，鼓励勤俭持家，理性消费，积累财富，切勿冲动盲目消费，树立正确的金钱观、价值观与人生观。</w:t>
      </w:r>
    </w:p>
    <w:p w14:paraId="1073B3F1" w14:textId="77777777" w:rsidR="00D529CF" w:rsidRPr="00F34DF4" w:rsidRDefault="00D529CF" w:rsidP="00D529CF">
      <w:pPr>
        <w:spacing w:line="440" w:lineRule="exact"/>
        <w:ind w:firstLineChars="200" w:firstLine="482"/>
        <w:rPr>
          <w:rFonts w:ascii="Times New Roman" w:eastAsia="宋体" w:hAnsi="Times New Roman" w:cs="Times New Roman"/>
          <w:b/>
          <w:sz w:val="24"/>
        </w:rPr>
      </w:pPr>
      <w:r w:rsidRPr="00F34DF4">
        <w:rPr>
          <w:rFonts w:ascii="Times New Roman" w:eastAsia="宋体" w:hAnsi="Times New Roman" w:cs="Times New Roman"/>
          <w:b/>
          <w:sz w:val="24"/>
        </w:rPr>
        <w:t>【学习内容】</w:t>
      </w:r>
    </w:p>
    <w:p w14:paraId="41CACEBC"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lastRenderedPageBreak/>
        <w:t xml:space="preserve">1. </w:t>
      </w:r>
      <w:proofErr w:type="gramStart"/>
      <w:r w:rsidRPr="00F34DF4">
        <w:rPr>
          <w:rFonts w:ascii="Times New Roman" w:eastAsia="宋体" w:hAnsi="Times New Roman" w:cs="Times New Roman"/>
          <w:sz w:val="24"/>
        </w:rPr>
        <w:t>思政元素</w:t>
      </w:r>
      <w:proofErr w:type="gramEnd"/>
      <w:r w:rsidRPr="00F34DF4">
        <w:rPr>
          <w:rFonts w:ascii="Times New Roman" w:eastAsia="宋体" w:hAnsi="Times New Roman" w:cs="Times New Roman"/>
          <w:sz w:val="24"/>
        </w:rPr>
        <w:t>：培养学生正确的金钱观和价值观及对个人、国家发展的影响。</w:t>
      </w:r>
    </w:p>
    <w:p w14:paraId="1C69E641"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讨论并讲解与本单元主题</w:t>
      </w:r>
      <w:r w:rsidRPr="00F34DF4">
        <w:rPr>
          <w:rFonts w:ascii="Times New Roman" w:eastAsia="宋体" w:hAnsi="Times New Roman" w:cs="Times New Roman"/>
          <w:i/>
          <w:sz w:val="24"/>
        </w:rPr>
        <w:t>“</w:t>
      </w:r>
      <w:r w:rsidRPr="00F34DF4">
        <w:rPr>
          <w:rFonts w:ascii="Times New Roman" w:eastAsia="宋体" w:hAnsi="Times New Roman" w:cs="Times New Roman"/>
          <w:sz w:val="24"/>
        </w:rPr>
        <w:t>Wealth and Prosperity</w:t>
      </w:r>
      <w:r w:rsidRPr="00F34DF4">
        <w:rPr>
          <w:rFonts w:ascii="Times New Roman" w:eastAsia="宋体" w:hAnsi="Times New Roman" w:cs="Times New Roman"/>
          <w:i/>
          <w:sz w:val="24"/>
        </w:rPr>
        <w:t>”</w:t>
      </w:r>
      <w:r w:rsidRPr="00F34DF4">
        <w:rPr>
          <w:rFonts w:ascii="Times New Roman" w:eastAsia="宋体" w:hAnsi="Times New Roman" w:cs="Times New Roman"/>
          <w:sz w:val="24"/>
        </w:rPr>
        <w:t>相关的背景知识，例如：网络购物、财富积累、冲动消费、月光族等。</w:t>
      </w:r>
    </w:p>
    <w:p w14:paraId="25B30AEE"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3.</w:t>
      </w:r>
      <w:r w:rsidRPr="00F34DF4">
        <w:rPr>
          <w:rFonts w:ascii="Times New Roman" w:eastAsia="宋体" w:hAnsi="Times New Roman" w:cs="Times New Roman"/>
          <w:sz w:val="24"/>
        </w:rPr>
        <w:t>详细讲解</w:t>
      </w:r>
      <w:r w:rsidRPr="00F34DF4">
        <w:rPr>
          <w:rFonts w:ascii="Times New Roman" w:eastAsia="宋体" w:hAnsi="Times New Roman" w:cs="Times New Roman"/>
          <w:sz w:val="24"/>
        </w:rPr>
        <w:t>Text B Dollars and Senses---Financial Advice for My New Son.</w:t>
      </w:r>
      <w:r w:rsidRPr="00F34DF4">
        <w:rPr>
          <w:rFonts w:ascii="Times New Roman" w:eastAsia="宋体" w:hAnsi="Times New Roman" w:cs="Times New Roman"/>
          <w:sz w:val="24"/>
        </w:rPr>
        <w:t>中重点单词和词组的用法，</w:t>
      </w:r>
      <w:r w:rsidRPr="00F34DF4">
        <w:rPr>
          <w:rFonts w:ascii="Times New Roman" w:eastAsia="宋体" w:hAnsi="Times New Roman" w:cs="Times New Roman"/>
          <w:sz w:val="24"/>
        </w:rPr>
        <w:t>Text B</w:t>
      </w:r>
      <w:r w:rsidRPr="00F34DF4">
        <w:rPr>
          <w:rFonts w:ascii="Times New Roman" w:eastAsia="宋体" w:hAnsi="Times New Roman" w:cs="Times New Roman"/>
          <w:sz w:val="24"/>
        </w:rPr>
        <w:t>有关的背景知识讲解及课文分析。</w:t>
      </w:r>
    </w:p>
    <w:p w14:paraId="60B71298"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4.</w:t>
      </w:r>
      <w:r w:rsidRPr="00F34DF4">
        <w:rPr>
          <w:rFonts w:ascii="Times New Roman" w:eastAsia="宋体" w:hAnsi="Times New Roman" w:cs="Times New Roman"/>
          <w:sz w:val="24"/>
        </w:rPr>
        <w:t>线上完成配套教材视听说中的听力内容。</w:t>
      </w:r>
    </w:p>
    <w:p w14:paraId="6A512BA8" w14:textId="77777777" w:rsidR="00D529CF" w:rsidRPr="00F34DF4" w:rsidRDefault="00D529CF" w:rsidP="00D529CF">
      <w:pPr>
        <w:spacing w:line="440" w:lineRule="exact"/>
        <w:ind w:firstLineChars="200" w:firstLine="482"/>
        <w:rPr>
          <w:rFonts w:ascii="Times New Roman" w:eastAsia="宋体" w:hAnsi="Times New Roman" w:cs="Times New Roman"/>
          <w:b/>
          <w:sz w:val="24"/>
        </w:rPr>
      </w:pPr>
      <w:r w:rsidRPr="00F34DF4">
        <w:rPr>
          <w:rFonts w:ascii="Times New Roman" w:eastAsia="宋体" w:hAnsi="Times New Roman" w:cs="Times New Roman"/>
          <w:b/>
          <w:sz w:val="24"/>
        </w:rPr>
        <w:t>【重点】</w:t>
      </w:r>
    </w:p>
    <w:p w14:paraId="4704AF16" w14:textId="77777777" w:rsidR="00D529CF" w:rsidRPr="00F34DF4" w:rsidRDefault="00D529CF" w:rsidP="00D529CF">
      <w:pPr>
        <w:pStyle w:val="ae"/>
        <w:numPr>
          <w:ilvl w:val="0"/>
          <w:numId w:val="4"/>
        </w:numPr>
        <w:spacing w:line="440" w:lineRule="exact"/>
        <w:ind w:firstLineChars="0"/>
        <w:rPr>
          <w:rFonts w:ascii="Times New Roman" w:eastAsia="宋体" w:hAnsi="Times New Roman" w:cs="Times New Roman"/>
          <w:sz w:val="24"/>
        </w:rPr>
      </w:pPr>
      <w:proofErr w:type="gramStart"/>
      <w:r w:rsidRPr="00F34DF4">
        <w:rPr>
          <w:rFonts w:ascii="Times New Roman" w:eastAsia="宋体" w:hAnsi="Times New Roman" w:cs="Times New Roman"/>
          <w:sz w:val="24"/>
        </w:rPr>
        <w:t>思政教育</w:t>
      </w:r>
      <w:proofErr w:type="gramEnd"/>
      <w:r w:rsidRPr="00F34DF4">
        <w:rPr>
          <w:rFonts w:ascii="Times New Roman" w:eastAsia="宋体" w:hAnsi="Times New Roman" w:cs="Times New Roman"/>
          <w:sz w:val="24"/>
        </w:rPr>
        <w:t>：培养学生正确的金钱观和价值观及对个人、国家发展的影响。</w:t>
      </w:r>
    </w:p>
    <w:p w14:paraId="19BDBDC7"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课文重点单词、短语和句型。</w:t>
      </w:r>
    </w:p>
    <w:p w14:paraId="1F264C84"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3. </w:t>
      </w:r>
      <w:r w:rsidRPr="00F34DF4">
        <w:rPr>
          <w:rFonts w:ascii="Times New Roman" w:eastAsia="宋体" w:hAnsi="Times New Roman" w:cs="Times New Roman"/>
          <w:sz w:val="24"/>
        </w:rPr>
        <w:t>文章整体的段落结构和主旨。</w:t>
      </w:r>
    </w:p>
    <w:p w14:paraId="1B5239E6"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4. </w:t>
      </w:r>
      <w:r w:rsidRPr="00F34DF4">
        <w:rPr>
          <w:rFonts w:ascii="Times New Roman" w:eastAsia="宋体" w:hAnsi="Times New Roman" w:cs="Times New Roman"/>
          <w:sz w:val="24"/>
        </w:rPr>
        <w:t>学会区分</w:t>
      </w:r>
      <w:r w:rsidRPr="00F34DF4">
        <w:rPr>
          <w:rFonts w:ascii="Times New Roman" w:eastAsia="宋体" w:hAnsi="Times New Roman" w:cs="Times New Roman"/>
          <w:sz w:val="24"/>
        </w:rPr>
        <w:t xml:space="preserve">Main </w:t>
      </w:r>
      <w:proofErr w:type="spellStart"/>
      <w:r w:rsidRPr="00F34DF4">
        <w:rPr>
          <w:rFonts w:ascii="Times New Roman" w:eastAsia="宋体" w:hAnsi="Times New Roman" w:cs="Times New Roman"/>
          <w:sz w:val="24"/>
        </w:rPr>
        <w:t>idea&amp;Supporting</w:t>
      </w:r>
      <w:proofErr w:type="spellEnd"/>
      <w:r w:rsidRPr="00F34DF4">
        <w:rPr>
          <w:rFonts w:ascii="Times New Roman" w:eastAsia="宋体" w:hAnsi="Times New Roman" w:cs="Times New Roman"/>
          <w:sz w:val="24"/>
        </w:rPr>
        <w:t xml:space="preserve"> idea</w:t>
      </w:r>
      <w:r w:rsidRPr="00F34DF4">
        <w:rPr>
          <w:rFonts w:ascii="Times New Roman" w:eastAsia="宋体" w:hAnsi="Times New Roman" w:cs="Times New Roman"/>
          <w:sz w:val="24"/>
        </w:rPr>
        <w:t>。</w:t>
      </w:r>
    </w:p>
    <w:p w14:paraId="3C83ED25"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5. </w:t>
      </w:r>
      <w:r w:rsidRPr="00F34DF4">
        <w:rPr>
          <w:rFonts w:ascii="Times New Roman" w:eastAsia="宋体" w:hAnsi="Times New Roman" w:cs="Times New Roman"/>
          <w:sz w:val="24"/>
        </w:rPr>
        <w:t>熟悉听力中各种题型与解题方法。</w:t>
      </w:r>
    </w:p>
    <w:p w14:paraId="2C2D6DF3" w14:textId="77777777" w:rsidR="00D529CF" w:rsidRPr="00F34DF4" w:rsidRDefault="00D529CF" w:rsidP="00D529CF">
      <w:pPr>
        <w:spacing w:line="440" w:lineRule="exact"/>
        <w:ind w:firstLineChars="200" w:firstLine="482"/>
        <w:rPr>
          <w:rFonts w:ascii="Times New Roman" w:eastAsia="宋体" w:hAnsi="Times New Roman" w:cs="Times New Roman"/>
          <w:b/>
          <w:sz w:val="24"/>
        </w:rPr>
      </w:pPr>
      <w:r w:rsidRPr="00F34DF4">
        <w:rPr>
          <w:rFonts w:ascii="Times New Roman" w:eastAsia="宋体" w:hAnsi="Times New Roman" w:cs="Times New Roman"/>
          <w:b/>
          <w:sz w:val="24"/>
        </w:rPr>
        <w:t>【难点】</w:t>
      </w:r>
    </w:p>
    <w:p w14:paraId="65DFBE05"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1. </w:t>
      </w:r>
      <w:r w:rsidRPr="00F34DF4">
        <w:rPr>
          <w:rFonts w:ascii="Times New Roman" w:eastAsia="宋体" w:hAnsi="Times New Roman" w:cs="Times New Roman"/>
          <w:sz w:val="24"/>
        </w:rPr>
        <w:t>课文重点单词、短语和句型。</w:t>
      </w:r>
    </w:p>
    <w:p w14:paraId="5389AF3D"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元音的发音。</w:t>
      </w:r>
    </w:p>
    <w:p w14:paraId="6414A6CD"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3. </w:t>
      </w:r>
      <w:r w:rsidRPr="00F34DF4">
        <w:rPr>
          <w:rFonts w:ascii="Times New Roman" w:eastAsia="宋体" w:hAnsi="Times New Roman" w:cs="Times New Roman"/>
          <w:sz w:val="24"/>
        </w:rPr>
        <w:t>听力中新闻信息的提取。</w:t>
      </w:r>
    </w:p>
    <w:p w14:paraId="074FF90B"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4. </w:t>
      </w:r>
      <w:proofErr w:type="gramStart"/>
      <w:r w:rsidRPr="00F34DF4">
        <w:rPr>
          <w:rFonts w:ascii="Times New Roman" w:eastAsia="宋体" w:hAnsi="Times New Roman" w:cs="Times New Roman"/>
          <w:sz w:val="24"/>
        </w:rPr>
        <w:t>思政教育</w:t>
      </w:r>
      <w:proofErr w:type="gramEnd"/>
      <w:r w:rsidRPr="00F34DF4">
        <w:rPr>
          <w:rFonts w:ascii="Times New Roman" w:eastAsia="宋体" w:hAnsi="Times New Roman" w:cs="Times New Roman"/>
          <w:sz w:val="24"/>
        </w:rPr>
        <w:t>：培养学生正确的金钱观和价值观及对个人、国家发展的影响。</w:t>
      </w:r>
    </w:p>
    <w:p w14:paraId="2211C40F" w14:textId="77777777" w:rsidR="00D529CF" w:rsidRPr="00F34DF4" w:rsidRDefault="00D529CF" w:rsidP="00D529CF">
      <w:pPr>
        <w:spacing w:line="440" w:lineRule="exact"/>
        <w:ind w:firstLineChars="200" w:firstLine="482"/>
        <w:rPr>
          <w:rFonts w:ascii="Times New Roman" w:eastAsia="宋体" w:hAnsi="Times New Roman" w:cs="Times New Roman"/>
          <w:sz w:val="24"/>
        </w:rPr>
      </w:pPr>
      <w:r w:rsidRPr="00F34DF4">
        <w:rPr>
          <w:rFonts w:ascii="Times New Roman" w:eastAsia="宋体" w:hAnsi="Times New Roman" w:cs="Times New Roman"/>
          <w:b/>
          <w:bCs/>
          <w:sz w:val="24"/>
        </w:rPr>
        <w:t>【教学方法】</w:t>
      </w:r>
    </w:p>
    <w:p w14:paraId="1E9B3B9C"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 1.</w:t>
      </w:r>
      <w:r w:rsidRPr="00F34DF4">
        <w:rPr>
          <w:rFonts w:ascii="Times New Roman" w:eastAsia="宋体" w:hAnsi="Times New Roman" w:cs="Times New Roman"/>
          <w:bCs/>
          <w:sz w:val="24"/>
        </w:rPr>
        <w:t>通过混合式教学法（线上</w:t>
      </w:r>
      <w:r w:rsidRPr="00F34DF4">
        <w:rPr>
          <w:rFonts w:ascii="Times New Roman" w:eastAsia="宋体" w:hAnsi="Times New Roman" w:cs="Times New Roman"/>
          <w:bCs/>
          <w:sz w:val="24"/>
        </w:rPr>
        <w:t>+</w:t>
      </w:r>
      <w:r w:rsidRPr="00F34DF4">
        <w:rPr>
          <w:rFonts w:ascii="Times New Roman" w:eastAsia="宋体" w:hAnsi="Times New Roman" w:cs="Times New Roman"/>
          <w:bCs/>
          <w:sz w:val="24"/>
        </w:rPr>
        <w:t>线下）和</w:t>
      </w:r>
      <w:r w:rsidRPr="00F34DF4">
        <w:rPr>
          <w:rFonts w:ascii="Times New Roman" w:eastAsia="宋体" w:hAnsi="Times New Roman" w:cs="Times New Roman"/>
          <w:sz w:val="24"/>
        </w:rPr>
        <w:t>小组讨论法，了解分析关于</w:t>
      </w:r>
      <w:r w:rsidRPr="00F34DF4">
        <w:rPr>
          <w:rFonts w:ascii="Times New Roman" w:eastAsia="宋体" w:hAnsi="Times New Roman" w:cs="Times New Roman"/>
          <w:sz w:val="24"/>
        </w:rPr>
        <w:t>“Wealth and Prosperity”</w:t>
      </w:r>
      <w:r w:rsidRPr="00F34DF4">
        <w:rPr>
          <w:rFonts w:ascii="Times New Roman" w:eastAsia="宋体" w:hAnsi="Times New Roman" w:cs="Times New Roman"/>
          <w:sz w:val="24"/>
        </w:rPr>
        <w:t>相关话题（如何理财、合理消费等）的讨论和分析，并由学生进行成果展示，从而</w:t>
      </w:r>
      <w:r w:rsidRPr="00F34DF4">
        <w:rPr>
          <w:rFonts w:ascii="Times New Roman" w:eastAsia="宋体" w:hAnsi="Times New Roman" w:cs="Times New Roman"/>
          <w:bCs/>
          <w:sz w:val="24"/>
        </w:rPr>
        <w:t>促进学生的思考能力、口语表达能力和综合运用能力。在讨论中引导学生理解个人财富的获得需要个人奋斗及国家宏观政策环境（国家针对弱势困难地区的扶贫政策）。</w:t>
      </w:r>
    </w:p>
    <w:p w14:paraId="444A8013"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通过讲授法，讲解课文的背景知识以及重点词汇和句型，从而</w:t>
      </w:r>
      <w:r w:rsidRPr="00F34DF4">
        <w:rPr>
          <w:rFonts w:ascii="Times New Roman" w:eastAsia="宋体" w:hAnsi="Times New Roman" w:cs="Times New Roman"/>
          <w:bCs/>
          <w:sz w:val="24"/>
        </w:rPr>
        <w:t>夯实学生的语言基础。</w:t>
      </w:r>
    </w:p>
    <w:p w14:paraId="79203FC7"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3. </w:t>
      </w:r>
      <w:r w:rsidRPr="00F34DF4">
        <w:rPr>
          <w:rFonts w:ascii="Times New Roman" w:eastAsia="宋体" w:hAnsi="Times New Roman" w:cs="Times New Roman"/>
          <w:sz w:val="24"/>
        </w:rPr>
        <w:t>通过小组讨论法，引导学生划分文章的段落结构，帮助学生区分段落中的</w:t>
      </w:r>
      <w:r w:rsidRPr="00F34DF4">
        <w:rPr>
          <w:rFonts w:ascii="Times New Roman" w:eastAsia="宋体" w:hAnsi="Times New Roman" w:cs="Times New Roman"/>
          <w:sz w:val="24"/>
        </w:rPr>
        <w:t>main idea</w:t>
      </w:r>
      <w:r w:rsidRPr="00F34DF4">
        <w:rPr>
          <w:rFonts w:ascii="Times New Roman" w:eastAsia="宋体" w:hAnsi="Times New Roman" w:cs="Times New Roman"/>
          <w:sz w:val="24"/>
        </w:rPr>
        <w:t>和</w:t>
      </w:r>
      <w:r w:rsidRPr="00F34DF4">
        <w:rPr>
          <w:rFonts w:ascii="Times New Roman" w:eastAsia="宋体" w:hAnsi="Times New Roman" w:cs="Times New Roman"/>
          <w:sz w:val="24"/>
        </w:rPr>
        <w:t>supporting idea</w:t>
      </w:r>
      <w:r w:rsidRPr="00F34DF4">
        <w:rPr>
          <w:rFonts w:ascii="Times New Roman" w:eastAsia="宋体" w:hAnsi="Times New Roman" w:cs="Times New Roman"/>
          <w:sz w:val="24"/>
        </w:rPr>
        <w:t>并要求学生学会分析判断，这有利于培养学生的合作能力和逻辑分析能力。</w:t>
      </w:r>
    </w:p>
    <w:p w14:paraId="653B9E31"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4. </w:t>
      </w:r>
      <w:r w:rsidRPr="00F34DF4">
        <w:rPr>
          <w:rFonts w:ascii="Times New Roman" w:eastAsia="宋体" w:hAnsi="Times New Roman" w:cs="Times New Roman"/>
          <w:sz w:val="24"/>
        </w:rPr>
        <w:t>通过自主学习法和讲授法，讲解视听说教程内容，让学生自主完成听力部分的练习。</w:t>
      </w:r>
    </w:p>
    <w:p w14:paraId="3B30A308" w14:textId="77777777" w:rsidR="00D529CF" w:rsidRPr="00F34DF4" w:rsidRDefault="00D529CF" w:rsidP="00D529CF">
      <w:pPr>
        <w:spacing w:line="440" w:lineRule="exact"/>
        <w:ind w:firstLineChars="200" w:firstLine="482"/>
        <w:rPr>
          <w:rFonts w:ascii="Times New Roman" w:eastAsia="宋体" w:hAnsi="Times New Roman" w:cs="Times New Roman"/>
          <w:bCs/>
          <w:sz w:val="24"/>
        </w:rPr>
      </w:pPr>
      <w:r w:rsidRPr="00F34DF4">
        <w:rPr>
          <w:rFonts w:ascii="Times New Roman" w:eastAsia="宋体" w:hAnsi="Times New Roman" w:cs="Times New Roman"/>
          <w:b/>
          <w:sz w:val="24"/>
        </w:rPr>
        <w:t>【复习思考】</w:t>
      </w:r>
    </w:p>
    <w:p w14:paraId="53EB2C97" w14:textId="77777777" w:rsidR="00D529CF" w:rsidRPr="00F34DF4" w:rsidRDefault="00D529CF" w:rsidP="00D529CF">
      <w:pPr>
        <w:numPr>
          <w:ilvl w:val="0"/>
          <w:numId w:val="5"/>
        </w:num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lastRenderedPageBreak/>
        <w:t>思考如何合理地处理存储和消费的关系，如何培养正确的金钱观。</w:t>
      </w:r>
    </w:p>
    <w:p w14:paraId="001A9006"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线上完成第二单元</w:t>
      </w:r>
      <w:r w:rsidRPr="00F34DF4">
        <w:rPr>
          <w:rFonts w:ascii="Times New Roman" w:eastAsia="宋体" w:hAnsi="Times New Roman" w:cs="Times New Roman"/>
          <w:sz w:val="24"/>
        </w:rPr>
        <w:t>Text B</w:t>
      </w:r>
      <w:r w:rsidRPr="00F34DF4">
        <w:rPr>
          <w:rFonts w:ascii="Times New Roman" w:eastAsia="宋体" w:hAnsi="Times New Roman" w:cs="Times New Roman"/>
          <w:sz w:val="24"/>
        </w:rPr>
        <w:t>课后练习题。</w:t>
      </w:r>
    </w:p>
    <w:p w14:paraId="1613F0A0"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3. </w:t>
      </w:r>
      <w:r w:rsidRPr="00F34DF4">
        <w:rPr>
          <w:rFonts w:ascii="Times New Roman" w:eastAsia="宋体" w:hAnsi="Times New Roman" w:cs="Times New Roman"/>
          <w:sz w:val="24"/>
        </w:rPr>
        <w:t>文章结构分析、</w:t>
      </w:r>
      <w:r w:rsidRPr="00F34DF4">
        <w:rPr>
          <w:rFonts w:ascii="Times New Roman" w:eastAsia="宋体" w:hAnsi="Times New Roman" w:cs="Times New Roman"/>
          <w:sz w:val="24"/>
        </w:rPr>
        <w:t>main idea</w:t>
      </w:r>
      <w:r w:rsidRPr="00F34DF4">
        <w:rPr>
          <w:rFonts w:ascii="Times New Roman" w:eastAsia="宋体" w:hAnsi="Times New Roman" w:cs="Times New Roman"/>
          <w:sz w:val="24"/>
        </w:rPr>
        <w:t>和</w:t>
      </w:r>
      <w:r w:rsidRPr="00F34DF4">
        <w:rPr>
          <w:rFonts w:ascii="Times New Roman" w:eastAsia="宋体" w:hAnsi="Times New Roman" w:cs="Times New Roman"/>
          <w:sz w:val="24"/>
        </w:rPr>
        <w:t>supporting idea</w:t>
      </w:r>
      <w:r w:rsidRPr="00F34DF4">
        <w:rPr>
          <w:rFonts w:ascii="Times New Roman" w:eastAsia="宋体" w:hAnsi="Times New Roman" w:cs="Times New Roman"/>
          <w:sz w:val="24"/>
        </w:rPr>
        <w:t>的区分以及课文复述。</w:t>
      </w:r>
    </w:p>
    <w:p w14:paraId="1602F7AE" w14:textId="77777777" w:rsidR="00D529CF" w:rsidRPr="00F34DF4" w:rsidRDefault="00D529CF" w:rsidP="00D529CF">
      <w:pPr>
        <w:spacing w:beforeLines="50" w:before="156" w:afterLines="50" w:after="156" w:line="440" w:lineRule="exact"/>
        <w:ind w:firstLineChars="200" w:firstLine="562"/>
        <w:jc w:val="center"/>
        <w:rPr>
          <w:rFonts w:ascii="Times New Roman" w:eastAsia="宋体" w:hAnsi="Times New Roman" w:cs="Times New Roman"/>
          <w:b/>
          <w:bCs/>
          <w:sz w:val="28"/>
          <w:szCs w:val="28"/>
        </w:rPr>
      </w:pPr>
      <w:r w:rsidRPr="00F34DF4">
        <w:rPr>
          <w:rFonts w:ascii="Times New Roman" w:eastAsia="宋体" w:hAnsi="Times New Roman" w:cs="Times New Roman"/>
          <w:b/>
          <w:bCs/>
          <w:sz w:val="28"/>
          <w:szCs w:val="28"/>
        </w:rPr>
        <w:t xml:space="preserve">Unit </w:t>
      </w:r>
      <w:proofErr w:type="gramStart"/>
      <w:r w:rsidRPr="00F34DF4">
        <w:rPr>
          <w:rFonts w:ascii="Times New Roman" w:eastAsia="宋体" w:hAnsi="Times New Roman" w:cs="Times New Roman"/>
          <w:b/>
          <w:bCs/>
          <w:sz w:val="28"/>
          <w:szCs w:val="28"/>
        </w:rPr>
        <w:t>3  New</w:t>
      </w:r>
      <w:proofErr w:type="gramEnd"/>
      <w:r w:rsidRPr="00F34DF4">
        <w:rPr>
          <w:rFonts w:ascii="Times New Roman" w:eastAsia="宋体" w:hAnsi="Times New Roman" w:cs="Times New Roman"/>
          <w:b/>
          <w:bCs/>
          <w:sz w:val="28"/>
          <w:szCs w:val="28"/>
        </w:rPr>
        <w:t xml:space="preserve"> Era and Digital Civilization </w:t>
      </w:r>
    </w:p>
    <w:p w14:paraId="0AE48FFC" w14:textId="77777777" w:rsidR="00D529CF" w:rsidRPr="00F34DF4" w:rsidRDefault="00D529CF" w:rsidP="00D529CF">
      <w:pPr>
        <w:spacing w:line="440" w:lineRule="exact"/>
        <w:ind w:firstLineChars="200" w:firstLine="482"/>
        <w:rPr>
          <w:rFonts w:ascii="Times New Roman" w:eastAsia="宋体" w:hAnsi="Times New Roman" w:cs="Times New Roman"/>
          <w:b/>
          <w:sz w:val="24"/>
        </w:rPr>
      </w:pPr>
      <w:r w:rsidRPr="00F34DF4">
        <w:rPr>
          <w:rFonts w:ascii="Times New Roman" w:eastAsia="宋体" w:hAnsi="Times New Roman" w:cs="Times New Roman"/>
          <w:b/>
          <w:sz w:val="24"/>
        </w:rPr>
        <w:t>【学习目标】</w:t>
      </w:r>
    </w:p>
    <w:p w14:paraId="7D745DF0"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1. </w:t>
      </w:r>
      <w:r w:rsidRPr="00F34DF4">
        <w:rPr>
          <w:rFonts w:ascii="Times New Roman" w:eastAsia="宋体" w:hAnsi="Times New Roman" w:cs="Times New Roman"/>
          <w:sz w:val="24"/>
        </w:rPr>
        <w:t>认知类目标：掌握本单元中与数字技术和阅读有关的重点词汇、短语和句型；</w:t>
      </w:r>
      <w:r w:rsidRPr="00F34DF4">
        <w:rPr>
          <w:rFonts w:ascii="Times New Roman" w:eastAsia="宋体" w:hAnsi="Times New Roman" w:cs="Times New Roman"/>
          <w:sz w:val="24"/>
        </w:rPr>
        <w:t xml:space="preserve"> </w:t>
      </w:r>
    </w:p>
    <w:p w14:paraId="7444B6B4"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过程与方法类目标：引导学生把握文章结构，了解作者的主要观点以及如何正确看待数字文明对当代学生学习、阅读习惯的影响。在听力学习过程中，熟悉新闻、对话和篇章等四级听力题型，能快速识别信息并做出正确的推理和判断。引导学生正确认识传统的深度阅读方法，并将其与现代互联网碎片化阅读有机结合，各取所长，进而培养和提高学生的语言综合运用能力、独立思考和批判性思维能力的能力。</w:t>
      </w:r>
    </w:p>
    <w:p w14:paraId="0B2206D0"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3. </w:t>
      </w:r>
      <w:r w:rsidRPr="00F34DF4">
        <w:rPr>
          <w:rFonts w:ascii="Times New Roman" w:eastAsia="宋体" w:hAnsi="Times New Roman" w:cs="Times New Roman"/>
          <w:sz w:val="24"/>
        </w:rPr>
        <w:t>情感、态度、价值观类目标：了解数字技术的发展给个人生活、学习带来的广泛而深刻的影响。鼓励学生最大限度利用数字技术带来的便利，为自身学习和发展提供帮助；同时，避免其消极影响。树立正确的科技发展观。</w:t>
      </w:r>
    </w:p>
    <w:p w14:paraId="336C10F0" w14:textId="77777777" w:rsidR="00D529CF" w:rsidRPr="00F34DF4" w:rsidRDefault="00D529CF" w:rsidP="00D529CF">
      <w:pPr>
        <w:spacing w:line="440" w:lineRule="exact"/>
        <w:ind w:firstLineChars="200" w:firstLine="482"/>
        <w:rPr>
          <w:rFonts w:ascii="Times New Roman" w:eastAsia="宋体" w:hAnsi="Times New Roman" w:cs="Times New Roman"/>
          <w:b/>
          <w:sz w:val="24"/>
        </w:rPr>
      </w:pPr>
      <w:r w:rsidRPr="00F34DF4">
        <w:rPr>
          <w:rFonts w:ascii="Times New Roman" w:eastAsia="宋体" w:hAnsi="Times New Roman" w:cs="Times New Roman"/>
          <w:b/>
          <w:sz w:val="24"/>
        </w:rPr>
        <w:t>【学习内容】</w:t>
      </w:r>
    </w:p>
    <w:p w14:paraId="53D28394"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1. </w:t>
      </w:r>
      <w:proofErr w:type="gramStart"/>
      <w:r w:rsidRPr="00F34DF4">
        <w:rPr>
          <w:rFonts w:ascii="Times New Roman" w:eastAsia="宋体" w:hAnsi="Times New Roman" w:cs="Times New Roman"/>
          <w:sz w:val="24"/>
        </w:rPr>
        <w:t>思政元素</w:t>
      </w:r>
      <w:proofErr w:type="gramEnd"/>
      <w:r w:rsidRPr="00F34DF4">
        <w:rPr>
          <w:rFonts w:ascii="Times New Roman" w:eastAsia="宋体" w:hAnsi="Times New Roman" w:cs="Times New Roman"/>
          <w:sz w:val="24"/>
        </w:rPr>
        <w:t>：培养学生正确的看待科技的发展，及其对个人发展的影响。</w:t>
      </w:r>
    </w:p>
    <w:p w14:paraId="4E0EAE0A"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讨论并讲解与本单元主题</w:t>
      </w:r>
      <w:r w:rsidRPr="00F34DF4">
        <w:rPr>
          <w:rFonts w:ascii="Times New Roman" w:eastAsia="宋体" w:hAnsi="Times New Roman" w:cs="Times New Roman"/>
          <w:i/>
          <w:sz w:val="24"/>
        </w:rPr>
        <w:t>“</w:t>
      </w:r>
      <w:r w:rsidRPr="00F34DF4">
        <w:rPr>
          <w:rFonts w:ascii="Times New Roman" w:eastAsia="宋体" w:hAnsi="Times New Roman" w:cs="Times New Roman"/>
          <w:i/>
          <w:iCs/>
          <w:sz w:val="24"/>
        </w:rPr>
        <w:t>New Era and Digital Civilization</w:t>
      </w:r>
      <w:r w:rsidRPr="00F34DF4">
        <w:rPr>
          <w:rFonts w:ascii="Times New Roman" w:eastAsia="宋体" w:hAnsi="Times New Roman" w:cs="Times New Roman"/>
          <w:i/>
          <w:sz w:val="24"/>
        </w:rPr>
        <w:t>”</w:t>
      </w:r>
      <w:r w:rsidRPr="00F34DF4">
        <w:rPr>
          <w:rFonts w:ascii="Times New Roman" w:eastAsia="宋体" w:hAnsi="Times New Roman" w:cs="Times New Roman"/>
          <w:sz w:val="24"/>
        </w:rPr>
        <w:t>相关的背景知识。</w:t>
      </w:r>
    </w:p>
    <w:p w14:paraId="24379757"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3. </w:t>
      </w:r>
      <w:r w:rsidRPr="00F34DF4">
        <w:rPr>
          <w:rFonts w:ascii="Times New Roman" w:eastAsia="宋体" w:hAnsi="Times New Roman" w:cs="Times New Roman"/>
          <w:sz w:val="24"/>
        </w:rPr>
        <w:t>详细讲解</w:t>
      </w:r>
      <w:r w:rsidRPr="00F34DF4">
        <w:rPr>
          <w:rFonts w:ascii="Times New Roman" w:eastAsia="宋体" w:hAnsi="Times New Roman" w:cs="Times New Roman"/>
          <w:sz w:val="24"/>
        </w:rPr>
        <w:t xml:space="preserve">Text A </w:t>
      </w:r>
      <w:r w:rsidRPr="00F34DF4">
        <w:rPr>
          <w:rFonts w:ascii="Times New Roman" w:eastAsia="宋体" w:hAnsi="Times New Roman" w:cs="Times New Roman"/>
          <w:i/>
          <w:sz w:val="24"/>
        </w:rPr>
        <w:t>Read Less, More Often</w:t>
      </w:r>
      <w:r w:rsidRPr="00F34DF4">
        <w:rPr>
          <w:rFonts w:ascii="Times New Roman" w:eastAsia="宋体" w:hAnsi="Times New Roman" w:cs="Times New Roman"/>
          <w:sz w:val="24"/>
        </w:rPr>
        <w:t xml:space="preserve"> </w:t>
      </w:r>
      <w:r w:rsidRPr="00F34DF4">
        <w:rPr>
          <w:rFonts w:ascii="Times New Roman" w:eastAsia="宋体" w:hAnsi="Times New Roman" w:cs="Times New Roman"/>
          <w:sz w:val="24"/>
        </w:rPr>
        <w:t>中重点单词和词组的用法，</w:t>
      </w:r>
      <w:r w:rsidRPr="00F34DF4">
        <w:rPr>
          <w:rFonts w:ascii="Times New Roman" w:eastAsia="宋体" w:hAnsi="Times New Roman" w:cs="Times New Roman"/>
          <w:sz w:val="24"/>
        </w:rPr>
        <w:t>Text A</w:t>
      </w:r>
      <w:r w:rsidRPr="00F34DF4">
        <w:rPr>
          <w:rFonts w:ascii="Times New Roman" w:eastAsia="宋体" w:hAnsi="Times New Roman" w:cs="Times New Roman"/>
          <w:sz w:val="24"/>
        </w:rPr>
        <w:t>有关的背景知识讲解及课文分析。</w:t>
      </w:r>
    </w:p>
    <w:p w14:paraId="03B5B90E"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4. </w:t>
      </w:r>
      <w:r w:rsidRPr="00F34DF4">
        <w:rPr>
          <w:rFonts w:ascii="Times New Roman" w:eastAsia="宋体" w:hAnsi="Times New Roman" w:cs="Times New Roman"/>
          <w:sz w:val="24"/>
        </w:rPr>
        <w:t>线上完成配套教材视听说中的听力内容。</w:t>
      </w:r>
      <w:r w:rsidRPr="00F34DF4">
        <w:rPr>
          <w:rFonts w:ascii="Times New Roman" w:eastAsia="宋体" w:hAnsi="Times New Roman" w:cs="Times New Roman"/>
          <w:sz w:val="24"/>
        </w:rPr>
        <w:t xml:space="preserve"> </w:t>
      </w:r>
    </w:p>
    <w:p w14:paraId="6D88F665" w14:textId="77777777" w:rsidR="00D529CF" w:rsidRPr="00F34DF4" w:rsidRDefault="00D529CF" w:rsidP="00D529CF">
      <w:pPr>
        <w:spacing w:line="440" w:lineRule="exact"/>
        <w:ind w:firstLineChars="200" w:firstLine="482"/>
        <w:rPr>
          <w:rFonts w:ascii="Times New Roman" w:eastAsia="宋体" w:hAnsi="Times New Roman" w:cs="Times New Roman"/>
          <w:b/>
          <w:sz w:val="24"/>
        </w:rPr>
      </w:pPr>
      <w:r w:rsidRPr="00F34DF4">
        <w:rPr>
          <w:rFonts w:ascii="Times New Roman" w:eastAsia="宋体" w:hAnsi="Times New Roman" w:cs="Times New Roman"/>
          <w:b/>
          <w:sz w:val="24"/>
        </w:rPr>
        <w:t>【重点】</w:t>
      </w:r>
    </w:p>
    <w:p w14:paraId="3A617641" w14:textId="77777777" w:rsidR="00D529CF" w:rsidRPr="00F34DF4" w:rsidRDefault="00D529CF" w:rsidP="00D529CF">
      <w:pPr>
        <w:pStyle w:val="ae"/>
        <w:spacing w:line="440" w:lineRule="exact"/>
        <w:ind w:left="480" w:firstLineChars="0" w:firstLine="0"/>
        <w:rPr>
          <w:rFonts w:ascii="Times New Roman" w:eastAsia="宋体" w:hAnsi="Times New Roman" w:cs="Times New Roman"/>
          <w:sz w:val="24"/>
        </w:rPr>
      </w:pPr>
      <w:r w:rsidRPr="00F34DF4">
        <w:rPr>
          <w:rFonts w:ascii="Times New Roman" w:eastAsia="宋体" w:hAnsi="Times New Roman" w:cs="Times New Roman"/>
          <w:sz w:val="24"/>
        </w:rPr>
        <w:t xml:space="preserve">1. </w:t>
      </w:r>
      <w:proofErr w:type="gramStart"/>
      <w:r w:rsidRPr="00F34DF4">
        <w:rPr>
          <w:rFonts w:ascii="Times New Roman" w:eastAsia="宋体" w:hAnsi="Times New Roman" w:cs="Times New Roman"/>
          <w:sz w:val="24"/>
        </w:rPr>
        <w:t>思政教育</w:t>
      </w:r>
      <w:proofErr w:type="gramEnd"/>
      <w:r w:rsidRPr="00F34DF4">
        <w:rPr>
          <w:rFonts w:ascii="Times New Roman" w:eastAsia="宋体" w:hAnsi="Times New Roman" w:cs="Times New Roman"/>
          <w:sz w:val="24"/>
        </w:rPr>
        <w:t>：培养学生正确的看待科技的发展，及其对个人发展的影响。</w:t>
      </w:r>
    </w:p>
    <w:p w14:paraId="4802754D"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课文重点单词、短语和句型。</w:t>
      </w:r>
    </w:p>
    <w:p w14:paraId="215AF513"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3. </w:t>
      </w:r>
      <w:r w:rsidRPr="00F34DF4">
        <w:rPr>
          <w:rFonts w:ascii="Times New Roman" w:eastAsia="宋体" w:hAnsi="Times New Roman" w:cs="Times New Roman"/>
          <w:sz w:val="24"/>
        </w:rPr>
        <w:t>文章整体的段落结构和主旨。</w:t>
      </w:r>
    </w:p>
    <w:p w14:paraId="3978952C"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4. </w:t>
      </w:r>
      <w:r w:rsidRPr="00F34DF4">
        <w:rPr>
          <w:rFonts w:ascii="Times New Roman" w:eastAsia="宋体" w:hAnsi="Times New Roman" w:cs="Times New Roman"/>
          <w:sz w:val="24"/>
        </w:rPr>
        <w:t>熟悉听力中各种题型与解题方法。</w:t>
      </w:r>
    </w:p>
    <w:p w14:paraId="61FF8675" w14:textId="77777777" w:rsidR="00D529CF" w:rsidRPr="00F34DF4" w:rsidRDefault="00D529CF" w:rsidP="00D529CF">
      <w:pPr>
        <w:spacing w:line="440" w:lineRule="exact"/>
        <w:ind w:firstLineChars="200" w:firstLine="482"/>
        <w:rPr>
          <w:rFonts w:ascii="Times New Roman" w:eastAsia="宋体" w:hAnsi="Times New Roman" w:cs="Times New Roman"/>
          <w:b/>
          <w:sz w:val="24"/>
        </w:rPr>
      </w:pPr>
      <w:r w:rsidRPr="00F34DF4">
        <w:rPr>
          <w:rFonts w:ascii="Times New Roman" w:eastAsia="宋体" w:hAnsi="Times New Roman" w:cs="Times New Roman"/>
          <w:b/>
          <w:sz w:val="24"/>
        </w:rPr>
        <w:t>【难点】</w:t>
      </w:r>
    </w:p>
    <w:p w14:paraId="22D62FAA"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1. </w:t>
      </w:r>
      <w:r w:rsidRPr="00F34DF4">
        <w:rPr>
          <w:rFonts w:ascii="Times New Roman" w:eastAsia="宋体" w:hAnsi="Times New Roman" w:cs="Times New Roman"/>
          <w:sz w:val="24"/>
        </w:rPr>
        <w:t>课文重点单词、短语和句型。</w:t>
      </w:r>
    </w:p>
    <w:p w14:paraId="0DEF5B96"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听力中新闻信息的提取。</w:t>
      </w:r>
    </w:p>
    <w:p w14:paraId="32994044"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3. </w:t>
      </w:r>
      <w:proofErr w:type="gramStart"/>
      <w:r w:rsidRPr="00F34DF4">
        <w:rPr>
          <w:rFonts w:ascii="Times New Roman" w:eastAsia="宋体" w:hAnsi="Times New Roman" w:cs="Times New Roman"/>
          <w:sz w:val="24"/>
        </w:rPr>
        <w:t>思政教育</w:t>
      </w:r>
      <w:proofErr w:type="gramEnd"/>
      <w:r w:rsidRPr="00F34DF4">
        <w:rPr>
          <w:rFonts w:ascii="Times New Roman" w:eastAsia="宋体" w:hAnsi="Times New Roman" w:cs="Times New Roman"/>
          <w:sz w:val="24"/>
        </w:rPr>
        <w:t>：培养学生正确的看待科技的发展，及其对个人发展的影响。</w:t>
      </w:r>
    </w:p>
    <w:p w14:paraId="3C434213" w14:textId="77777777" w:rsidR="00D529CF" w:rsidRPr="00F34DF4" w:rsidRDefault="00D529CF" w:rsidP="00D529CF">
      <w:pPr>
        <w:spacing w:line="440" w:lineRule="exact"/>
        <w:ind w:firstLineChars="200" w:firstLine="482"/>
        <w:rPr>
          <w:rFonts w:ascii="Times New Roman" w:eastAsia="宋体" w:hAnsi="Times New Roman" w:cs="Times New Roman"/>
          <w:sz w:val="24"/>
        </w:rPr>
      </w:pPr>
      <w:r w:rsidRPr="00F34DF4">
        <w:rPr>
          <w:rFonts w:ascii="Times New Roman" w:eastAsia="宋体" w:hAnsi="Times New Roman" w:cs="Times New Roman"/>
          <w:b/>
          <w:bCs/>
          <w:sz w:val="24"/>
        </w:rPr>
        <w:t>【教学方法】</w:t>
      </w:r>
    </w:p>
    <w:p w14:paraId="7B4AB6C7"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lastRenderedPageBreak/>
        <w:t xml:space="preserve">1. </w:t>
      </w:r>
      <w:r w:rsidRPr="00F34DF4">
        <w:rPr>
          <w:rFonts w:ascii="Times New Roman" w:eastAsia="宋体" w:hAnsi="Times New Roman" w:cs="Times New Roman"/>
          <w:bCs/>
          <w:sz w:val="24"/>
        </w:rPr>
        <w:t>通过混合式教学法（线上</w:t>
      </w:r>
      <w:r w:rsidRPr="00F34DF4">
        <w:rPr>
          <w:rFonts w:ascii="Times New Roman" w:eastAsia="宋体" w:hAnsi="Times New Roman" w:cs="Times New Roman"/>
          <w:bCs/>
          <w:sz w:val="24"/>
        </w:rPr>
        <w:t>+</w:t>
      </w:r>
      <w:r w:rsidRPr="00F34DF4">
        <w:rPr>
          <w:rFonts w:ascii="Times New Roman" w:eastAsia="宋体" w:hAnsi="Times New Roman" w:cs="Times New Roman"/>
          <w:bCs/>
          <w:sz w:val="24"/>
        </w:rPr>
        <w:t>线下）和</w:t>
      </w:r>
      <w:r w:rsidRPr="00F34DF4">
        <w:rPr>
          <w:rFonts w:ascii="Times New Roman" w:eastAsia="宋体" w:hAnsi="Times New Roman" w:cs="Times New Roman"/>
          <w:sz w:val="24"/>
        </w:rPr>
        <w:t>小组讨论法，了解分析关于</w:t>
      </w:r>
      <w:r w:rsidRPr="00F34DF4">
        <w:rPr>
          <w:rFonts w:ascii="Times New Roman" w:eastAsia="宋体" w:hAnsi="Times New Roman" w:cs="Times New Roman"/>
          <w:sz w:val="24"/>
        </w:rPr>
        <w:t>“</w:t>
      </w:r>
      <w:r w:rsidRPr="00F34DF4">
        <w:rPr>
          <w:rFonts w:ascii="Times New Roman" w:eastAsia="宋体" w:hAnsi="Times New Roman" w:cs="Times New Roman"/>
          <w:i/>
          <w:iCs/>
          <w:sz w:val="24"/>
        </w:rPr>
        <w:t>New Era and Digital Civilization</w:t>
      </w:r>
      <w:r w:rsidRPr="00F34DF4">
        <w:rPr>
          <w:rFonts w:ascii="Times New Roman" w:eastAsia="宋体" w:hAnsi="Times New Roman" w:cs="Times New Roman"/>
          <w:sz w:val="24"/>
        </w:rPr>
        <w:t>”</w:t>
      </w:r>
      <w:r w:rsidRPr="00F34DF4">
        <w:rPr>
          <w:rFonts w:ascii="Times New Roman" w:eastAsia="宋体" w:hAnsi="Times New Roman" w:cs="Times New Roman"/>
          <w:sz w:val="24"/>
        </w:rPr>
        <w:t>相关话题的讨论和分析，</w:t>
      </w:r>
      <w:r w:rsidRPr="00F34DF4">
        <w:rPr>
          <w:rFonts w:ascii="Times New Roman" w:eastAsia="宋体" w:hAnsi="Times New Roman" w:cs="Times New Roman"/>
          <w:bCs/>
          <w:sz w:val="24"/>
        </w:rPr>
        <w:t>促进学生的思考能力和口语表达能力，培养学生的教学能力和综合运用能力。在讨论中引导学生正确理解</w:t>
      </w:r>
      <w:r w:rsidRPr="00F34DF4">
        <w:rPr>
          <w:rFonts w:ascii="Times New Roman" w:eastAsia="宋体" w:hAnsi="Times New Roman" w:cs="Times New Roman"/>
          <w:sz w:val="24"/>
        </w:rPr>
        <w:t>科技发展对个人生活、学习的影响</w:t>
      </w:r>
      <w:r w:rsidRPr="00F34DF4">
        <w:rPr>
          <w:rFonts w:ascii="Times New Roman" w:eastAsia="宋体" w:hAnsi="Times New Roman" w:cs="Times New Roman"/>
          <w:bCs/>
          <w:sz w:val="24"/>
        </w:rPr>
        <w:t>。</w:t>
      </w:r>
    </w:p>
    <w:p w14:paraId="7C52F55D"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通过讲授法，讲解课文的背景知识以及重点词汇和句型，从而</w:t>
      </w:r>
      <w:r w:rsidRPr="00F34DF4">
        <w:rPr>
          <w:rFonts w:ascii="Times New Roman" w:eastAsia="宋体" w:hAnsi="Times New Roman" w:cs="Times New Roman"/>
          <w:bCs/>
          <w:sz w:val="24"/>
        </w:rPr>
        <w:t>夯实学生的语言基础和职业素养。</w:t>
      </w:r>
    </w:p>
    <w:p w14:paraId="159BE168"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3. </w:t>
      </w:r>
      <w:r w:rsidRPr="00F34DF4">
        <w:rPr>
          <w:rFonts w:ascii="Times New Roman" w:eastAsia="宋体" w:hAnsi="Times New Roman" w:cs="Times New Roman"/>
          <w:sz w:val="24"/>
        </w:rPr>
        <w:t>通过小组合作式学习法，让学生以小组为单位学习了解</w:t>
      </w:r>
      <w:r w:rsidRPr="00F34DF4">
        <w:rPr>
          <w:rFonts w:ascii="Times New Roman" w:eastAsia="宋体" w:hAnsi="Times New Roman" w:cs="Times New Roman"/>
          <w:sz w:val="24"/>
        </w:rPr>
        <w:t>skimming</w:t>
      </w:r>
      <w:r w:rsidRPr="00F34DF4">
        <w:rPr>
          <w:rFonts w:ascii="Times New Roman" w:eastAsia="宋体" w:hAnsi="Times New Roman" w:cs="Times New Roman"/>
          <w:sz w:val="24"/>
        </w:rPr>
        <w:t>和</w:t>
      </w:r>
      <w:r w:rsidRPr="00F34DF4">
        <w:rPr>
          <w:rFonts w:ascii="Times New Roman" w:eastAsia="宋体" w:hAnsi="Times New Roman" w:cs="Times New Roman"/>
          <w:sz w:val="24"/>
        </w:rPr>
        <w:t>scanning</w:t>
      </w:r>
      <w:r w:rsidRPr="00F34DF4">
        <w:rPr>
          <w:rFonts w:ascii="Times New Roman" w:eastAsia="宋体" w:hAnsi="Times New Roman" w:cs="Times New Roman"/>
          <w:sz w:val="24"/>
        </w:rPr>
        <w:t>两种快速阅读的方法，并在课堂上展示。引导学生在后续的课文学习中将这两种阅读方法进行实践应用，有利于培养学生的合作能力、口语表达能力和快速阅读能力。</w:t>
      </w:r>
    </w:p>
    <w:p w14:paraId="1823068F"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4. </w:t>
      </w:r>
      <w:r w:rsidRPr="00F34DF4">
        <w:rPr>
          <w:rFonts w:ascii="Times New Roman" w:eastAsia="宋体" w:hAnsi="Times New Roman" w:cs="Times New Roman"/>
          <w:sz w:val="24"/>
        </w:rPr>
        <w:t>通过自主学习法和讲授法，讲解视听说教程内容，让学生自主完成听力部分的练习。</w:t>
      </w:r>
    </w:p>
    <w:p w14:paraId="12BF6322" w14:textId="77777777" w:rsidR="00D529CF" w:rsidRPr="00F34DF4" w:rsidRDefault="00D529CF" w:rsidP="00D529CF">
      <w:pPr>
        <w:spacing w:line="440" w:lineRule="exact"/>
        <w:ind w:firstLineChars="200" w:firstLine="482"/>
        <w:rPr>
          <w:rFonts w:ascii="Times New Roman" w:eastAsia="宋体" w:hAnsi="Times New Roman" w:cs="Times New Roman"/>
          <w:bCs/>
          <w:sz w:val="24"/>
        </w:rPr>
      </w:pPr>
      <w:r w:rsidRPr="00F34DF4">
        <w:rPr>
          <w:rFonts w:ascii="Times New Roman" w:eastAsia="宋体" w:hAnsi="Times New Roman" w:cs="Times New Roman"/>
          <w:b/>
          <w:sz w:val="24"/>
        </w:rPr>
        <w:t>【复习思考】</w:t>
      </w:r>
    </w:p>
    <w:p w14:paraId="534AD842"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1.</w:t>
      </w:r>
      <w:r w:rsidRPr="00F34DF4">
        <w:rPr>
          <w:rFonts w:ascii="Times New Roman" w:eastAsia="宋体" w:hAnsi="Times New Roman" w:cs="Times New Roman"/>
          <w:sz w:val="24"/>
        </w:rPr>
        <w:t>思考数字技术对传统学习和阅读带来的挑战和影响。</w:t>
      </w:r>
    </w:p>
    <w:p w14:paraId="79572BB2"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线上完成第三单元</w:t>
      </w:r>
      <w:r w:rsidRPr="00F34DF4">
        <w:rPr>
          <w:rFonts w:ascii="Times New Roman" w:eastAsia="宋体" w:hAnsi="Times New Roman" w:cs="Times New Roman"/>
          <w:sz w:val="24"/>
        </w:rPr>
        <w:t>Text A</w:t>
      </w:r>
      <w:r w:rsidRPr="00F34DF4">
        <w:rPr>
          <w:rFonts w:ascii="Times New Roman" w:eastAsia="宋体" w:hAnsi="Times New Roman" w:cs="Times New Roman"/>
          <w:sz w:val="24"/>
        </w:rPr>
        <w:t>课后练习题。</w:t>
      </w:r>
    </w:p>
    <w:p w14:paraId="2034560F"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3. </w:t>
      </w:r>
      <w:r w:rsidRPr="00F34DF4">
        <w:rPr>
          <w:rFonts w:ascii="Times New Roman" w:eastAsia="宋体" w:hAnsi="Times New Roman" w:cs="Times New Roman"/>
          <w:sz w:val="24"/>
        </w:rPr>
        <w:t>文章结构分析以及课文复述。</w:t>
      </w:r>
    </w:p>
    <w:p w14:paraId="12D643CF" w14:textId="77777777" w:rsidR="00D529CF" w:rsidRPr="00F34DF4" w:rsidRDefault="00D529CF" w:rsidP="00D529CF">
      <w:pPr>
        <w:spacing w:beforeLines="50" w:before="156" w:afterLines="50" w:after="156" w:line="440" w:lineRule="exact"/>
        <w:ind w:firstLineChars="200" w:firstLine="562"/>
        <w:jc w:val="center"/>
        <w:rPr>
          <w:rFonts w:ascii="Times New Roman" w:eastAsia="宋体" w:hAnsi="Times New Roman" w:cs="Times New Roman"/>
          <w:b/>
          <w:bCs/>
          <w:sz w:val="28"/>
          <w:szCs w:val="28"/>
        </w:rPr>
      </w:pPr>
      <w:r w:rsidRPr="00F34DF4">
        <w:rPr>
          <w:rFonts w:ascii="Times New Roman" w:eastAsia="宋体" w:hAnsi="Times New Roman" w:cs="Times New Roman"/>
          <w:b/>
          <w:bCs/>
          <w:sz w:val="28"/>
          <w:szCs w:val="28"/>
        </w:rPr>
        <w:t xml:space="preserve">Unit </w:t>
      </w:r>
      <w:proofErr w:type="gramStart"/>
      <w:r w:rsidRPr="00F34DF4">
        <w:rPr>
          <w:rFonts w:ascii="Times New Roman" w:eastAsia="宋体" w:hAnsi="Times New Roman" w:cs="Times New Roman"/>
          <w:b/>
          <w:bCs/>
          <w:sz w:val="28"/>
          <w:szCs w:val="28"/>
        </w:rPr>
        <w:t>5  Sports</w:t>
      </w:r>
      <w:proofErr w:type="gramEnd"/>
      <w:r w:rsidRPr="00F34DF4">
        <w:rPr>
          <w:rFonts w:ascii="Times New Roman" w:eastAsia="宋体" w:hAnsi="Times New Roman" w:cs="Times New Roman"/>
          <w:b/>
          <w:bCs/>
          <w:sz w:val="28"/>
          <w:szCs w:val="28"/>
        </w:rPr>
        <w:t xml:space="preserve"> and Social Civility </w:t>
      </w:r>
    </w:p>
    <w:p w14:paraId="40F4252E" w14:textId="77777777" w:rsidR="00D529CF" w:rsidRPr="00F34DF4" w:rsidRDefault="00D529CF" w:rsidP="00D529CF">
      <w:pPr>
        <w:spacing w:beforeLines="50" w:before="156" w:afterLines="50" w:after="156" w:line="440" w:lineRule="exact"/>
        <w:ind w:firstLineChars="200" w:firstLine="482"/>
        <w:jc w:val="left"/>
        <w:rPr>
          <w:rFonts w:ascii="Times New Roman" w:eastAsia="宋体" w:hAnsi="Times New Roman" w:cs="Times New Roman"/>
          <w:b/>
          <w:sz w:val="24"/>
        </w:rPr>
      </w:pPr>
      <w:r w:rsidRPr="00F34DF4">
        <w:rPr>
          <w:rFonts w:ascii="Times New Roman" w:eastAsia="宋体" w:hAnsi="Times New Roman" w:cs="Times New Roman"/>
          <w:b/>
          <w:sz w:val="24"/>
        </w:rPr>
        <w:t>【学习目标】</w:t>
      </w:r>
    </w:p>
    <w:p w14:paraId="71432C66"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1. </w:t>
      </w:r>
      <w:r w:rsidRPr="00F34DF4">
        <w:rPr>
          <w:rFonts w:ascii="Times New Roman" w:eastAsia="宋体" w:hAnsi="Times New Roman" w:cs="Times New Roman"/>
          <w:sz w:val="24"/>
        </w:rPr>
        <w:t>认知类目标：掌握本篇文章里和文化主题相关的词汇和语法点；掌握快速阅读的方法和技巧；掌握英语词汇中复合式名词的构词及含义和用法并适当扩充英文词汇中的复合式词，例如复合式形容词等；在听力学习方面，培养学生熟悉新闻、对话和篇章等四级听力题型，能快速识别信息并做出正确的推理和判断能力。</w:t>
      </w:r>
    </w:p>
    <w:p w14:paraId="390B4B54"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过程与方法类目标：鼓励学生主动参与小组讨论和协作，能够通过查阅书籍或网络检索查询与学习主题相关的信息和资料；能够使用字典、语法书等工具书解决词汇和语法问题；具备一定的职业反思能力。</w:t>
      </w:r>
    </w:p>
    <w:p w14:paraId="01559C2D"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3. </w:t>
      </w:r>
      <w:r w:rsidRPr="00F34DF4">
        <w:rPr>
          <w:rFonts w:ascii="Times New Roman" w:eastAsia="宋体" w:hAnsi="Times New Roman" w:cs="Times New Roman"/>
          <w:sz w:val="24"/>
        </w:rPr>
        <w:t>情感、态度、价值观类目标：通过体育运动及体育竞赛产生原因的溯源和认知，充分了解体育与社会文明的紧密关系，进而认识中华文明中忍耐、宽容、以礼相待，反对霸权等传统美德，以及这些美德对于我们设立正确的人生目标具有的重要意义，鼓励学生深入思考如何设立正确的人生目标，如何正确认识和体现自我价值，完善自己的职业规划，并以此主题为中心，深刻认知沟通合作的重要性。</w:t>
      </w:r>
    </w:p>
    <w:p w14:paraId="4C5528D6" w14:textId="77777777" w:rsidR="00D529CF" w:rsidRPr="00F34DF4" w:rsidRDefault="00D529CF" w:rsidP="00D529CF">
      <w:pPr>
        <w:spacing w:line="440" w:lineRule="exact"/>
        <w:ind w:firstLineChars="200" w:firstLine="480"/>
        <w:rPr>
          <w:rFonts w:ascii="Times New Roman" w:eastAsia="宋体" w:hAnsi="Times New Roman" w:cs="Times New Roman"/>
          <w:sz w:val="24"/>
        </w:rPr>
      </w:pPr>
    </w:p>
    <w:p w14:paraId="7A0C8650" w14:textId="77777777" w:rsidR="00D529CF" w:rsidRPr="00F34DF4" w:rsidRDefault="00D529CF" w:rsidP="00D529CF">
      <w:pPr>
        <w:spacing w:line="440" w:lineRule="exact"/>
        <w:ind w:firstLineChars="200" w:firstLine="482"/>
        <w:rPr>
          <w:rFonts w:ascii="Times New Roman" w:eastAsia="宋体" w:hAnsi="Times New Roman" w:cs="Times New Roman"/>
          <w:b/>
          <w:sz w:val="24"/>
        </w:rPr>
      </w:pPr>
      <w:r w:rsidRPr="00F34DF4">
        <w:rPr>
          <w:rFonts w:ascii="Times New Roman" w:eastAsia="宋体" w:hAnsi="Times New Roman" w:cs="Times New Roman"/>
          <w:b/>
          <w:sz w:val="24"/>
        </w:rPr>
        <w:lastRenderedPageBreak/>
        <w:t>【学习内容】</w:t>
      </w:r>
    </w:p>
    <w:p w14:paraId="4D8997EF"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1.</w:t>
      </w:r>
      <w:proofErr w:type="gramStart"/>
      <w:r w:rsidRPr="00F34DF4">
        <w:rPr>
          <w:rFonts w:ascii="Times New Roman" w:eastAsia="宋体" w:hAnsi="Times New Roman" w:cs="Times New Roman"/>
          <w:sz w:val="24"/>
        </w:rPr>
        <w:t>思政元素</w:t>
      </w:r>
      <w:proofErr w:type="gramEnd"/>
      <w:r w:rsidRPr="00F34DF4">
        <w:rPr>
          <w:rFonts w:ascii="Times New Roman" w:eastAsia="宋体" w:hAnsi="Times New Roman" w:cs="Times New Roman"/>
          <w:sz w:val="24"/>
        </w:rPr>
        <w:t>：党的十八大以来，习近平在不同场合多次强调体育强国的重要意义即，</w:t>
      </w:r>
      <w:r w:rsidRPr="00F34DF4">
        <w:rPr>
          <w:rFonts w:ascii="Times New Roman" w:eastAsia="宋体" w:hAnsi="Times New Roman" w:cs="Times New Roman"/>
          <w:sz w:val="24"/>
        </w:rPr>
        <w:t>“</w:t>
      </w:r>
      <w:r w:rsidRPr="00F34DF4">
        <w:rPr>
          <w:rFonts w:ascii="Times New Roman" w:eastAsia="宋体" w:hAnsi="Times New Roman" w:cs="Times New Roman"/>
          <w:sz w:val="24"/>
        </w:rPr>
        <w:t>体育是社会发展和人类进步的重要标志，是综合国力和社会文明程度的重要体现</w:t>
      </w:r>
      <w:r w:rsidRPr="00F34DF4">
        <w:rPr>
          <w:rFonts w:ascii="Times New Roman" w:eastAsia="宋体" w:hAnsi="Times New Roman" w:cs="Times New Roman"/>
          <w:sz w:val="24"/>
        </w:rPr>
        <w:t>……”</w:t>
      </w:r>
    </w:p>
    <w:p w14:paraId="329682D1" w14:textId="77777777" w:rsidR="00D529CF" w:rsidRPr="00F34DF4" w:rsidRDefault="00D529CF" w:rsidP="00D529CF">
      <w:pPr>
        <w:spacing w:line="440" w:lineRule="exact"/>
        <w:ind w:firstLineChars="100" w:firstLine="240"/>
        <w:rPr>
          <w:rFonts w:ascii="Times New Roman" w:eastAsia="宋体" w:hAnsi="Times New Roman" w:cs="Times New Roman"/>
          <w:b/>
          <w:sz w:val="24"/>
        </w:rPr>
      </w:pPr>
      <w:r w:rsidRPr="00F34DF4">
        <w:rPr>
          <w:rFonts w:ascii="Times New Roman" w:eastAsia="宋体" w:hAnsi="Times New Roman" w:cs="Times New Roman"/>
          <w:sz w:val="24"/>
        </w:rPr>
        <w:t xml:space="preserve">  2.</w:t>
      </w:r>
      <w:r w:rsidRPr="00F34DF4">
        <w:rPr>
          <w:rFonts w:ascii="Times New Roman" w:eastAsia="宋体" w:hAnsi="Times New Roman" w:cs="Times New Roman"/>
          <w:sz w:val="24"/>
        </w:rPr>
        <w:t>拓展与本单元主题相关的背景知识，认识体育强国的重要意义，要求学生分组讨论参与体育锻炼的积极意义以及体育与社会文明的关系。</w:t>
      </w:r>
    </w:p>
    <w:p w14:paraId="53256158"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3.</w:t>
      </w:r>
      <w:r w:rsidRPr="00F34DF4">
        <w:rPr>
          <w:rFonts w:ascii="Times New Roman" w:eastAsia="宋体" w:hAnsi="Times New Roman" w:cs="Times New Roman"/>
          <w:sz w:val="24"/>
        </w:rPr>
        <w:t>讲解课文中重点单词和词组的用法，对重点句型和语法点进行深度解析。</w:t>
      </w:r>
    </w:p>
    <w:p w14:paraId="5C144981"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4. </w:t>
      </w:r>
      <w:r w:rsidRPr="00F34DF4">
        <w:rPr>
          <w:rFonts w:ascii="Times New Roman" w:eastAsia="宋体" w:hAnsi="Times New Roman" w:cs="Times New Roman"/>
          <w:sz w:val="24"/>
        </w:rPr>
        <w:t>辅音的发音。</w:t>
      </w:r>
    </w:p>
    <w:p w14:paraId="1154C038"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5. </w:t>
      </w:r>
      <w:r w:rsidRPr="00F34DF4">
        <w:rPr>
          <w:rFonts w:ascii="Times New Roman" w:eastAsia="宋体" w:hAnsi="Times New Roman" w:cs="Times New Roman"/>
          <w:sz w:val="24"/>
        </w:rPr>
        <w:t>线上完成配套视听说教材中的听力材料的听力训练。</w:t>
      </w:r>
    </w:p>
    <w:p w14:paraId="7B5EDC76" w14:textId="77777777" w:rsidR="00D529CF" w:rsidRPr="00F34DF4" w:rsidRDefault="00D529CF" w:rsidP="00D529CF">
      <w:pPr>
        <w:spacing w:line="440" w:lineRule="exact"/>
        <w:ind w:firstLineChars="200" w:firstLine="482"/>
        <w:rPr>
          <w:rFonts w:ascii="Times New Roman" w:eastAsia="宋体" w:hAnsi="Times New Roman" w:cs="Times New Roman"/>
          <w:b/>
          <w:sz w:val="24"/>
        </w:rPr>
      </w:pPr>
      <w:r w:rsidRPr="00F34DF4">
        <w:rPr>
          <w:rFonts w:ascii="Times New Roman" w:eastAsia="宋体" w:hAnsi="Times New Roman" w:cs="Times New Roman"/>
          <w:b/>
          <w:sz w:val="24"/>
        </w:rPr>
        <w:t>【重点】</w:t>
      </w:r>
    </w:p>
    <w:p w14:paraId="013C9CF2" w14:textId="77777777" w:rsidR="00D529CF" w:rsidRPr="00F34DF4" w:rsidRDefault="00D529CF" w:rsidP="00D529CF">
      <w:pPr>
        <w:numPr>
          <w:ilvl w:val="0"/>
          <w:numId w:val="6"/>
        </w:numPr>
        <w:spacing w:line="440" w:lineRule="exact"/>
        <w:rPr>
          <w:rFonts w:ascii="Times New Roman" w:eastAsia="宋体" w:hAnsi="Times New Roman" w:cs="Times New Roman"/>
          <w:sz w:val="24"/>
        </w:rPr>
      </w:pPr>
      <w:r w:rsidRPr="00F34DF4">
        <w:rPr>
          <w:rFonts w:ascii="Times New Roman" w:eastAsia="宋体" w:hAnsi="Times New Roman" w:cs="Times New Roman"/>
          <w:sz w:val="24"/>
        </w:rPr>
        <w:t>学习与体育与社会文明相关的词汇及课文中重点单词、短语和句型。</w:t>
      </w:r>
    </w:p>
    <w:p w14:paraId="0D5DAFFB" w14:textId="77777777" w:rsidR="00D529CF" w:rsidRPr="00F34DF4" w:rsidRDefault="00D529CF" w:rsidP="00D529CF">
      <w:pPr>
        <w:numPr>
          <w:ilvl w:val="0"/>
          <w:numId w:val="6"/>
        </w:numPr>
        <w:spacing w:line="440" w:lineRule="exact"/>
        <w:rPr>
          <w:rFonts w:ascii="Times New Roman" w:eastAsia="宋体" w:hAnsi="Times New Roman" w:cs="Times New Roman"/>
          <w:sz w:val="24"/>
        </w:rPr>
      </w:pPr>
      <w:r w:rsidRPr="00F34DF4">
        <w:rPr>
          <w:rFonts w:ascii="Times New Roman" w:eastAsia="宋体" w:hAnsi="Times New Roman" w:cs="Times New Roman"/>
          <w:sz w:val="24"/>
        </w:rPr>
        <w:t>文章整体的段落结构和主旨。</w:t>
      </w:r>
    </w:p>
    <w:p w14:paraId="5E34EF46" w14:textId="77777777" w:rsidR="00D529CF" w:rsidRPr="00F34DF4" w:rsidRDefault="00D529CF" w:rsidP="00D529CF">
      <w:pPr>
        <w:pStyle w:val="ae"/>
        <w:numPr>
          <w:ilvl w:val="0"/>
          <w:numId w:val="6"/>
        </w:numPr>
        <w:spacing w:line="440" w:lineRule="exact"/>
        <w:ind w:firstLineChars="0"/>
        <w:rPr>
          <w:rFonts w:ascii="Times New Roman" w:eastAsia="宋体" w:hAnsi="Times New Roman" w:cs="Times New Roman"/>
          <w:bCs/>
          <w:sz w:val="24"/>
        </w:rPr>
      </w:pPr>
      <w:r w:rsidRPr="00F34DF4">
        <w:rPr>
          <w:rFonts w:ascii="Times New Roman" w:eastAsia="宋体" w:hAnsi="Times New Roman" w:cs="Times New Roman"/>
          <w:bCs/>
          <w:sz w:val="24"/>
        </w:rPr>
        <w:t>熟悉听力中各种题型与解题方法。</w:t>
      </w:r>
    </w:p>
    <w:p w14:paraId="2FCC3386" w14:textId="77777777" w:rsidR="00D529CF" w:rsidRPr="00F34DF4" w:rsidRDefault="00D529CF" w:rsidP="00D529CF">
      <w:pPr>
        <w:pStyle w:val="ae"/>
        <w:numPr>
          <w:ilvl w:val="0"/>
          <w:numId w:val="6"/>
        </w:numPr>
        <w:spacing w:line="440" w:lineRule="exact"/>
        <w:ind w:firstLineChars="0"/>
        <w:rPr>
          <w:rFonts w:ascii="Times New Roman" w:eastAsia="宋体" w:hAnsi="Times New Roman" w:cs="Times New Roman"/>
          <w:bCs/>
          <w:sz w:val="24"/>
        </w:rPr>
      </w:pPr>
      <w:r w:rsidRPr="00F34DF4">
        <w:rPr>
          <w:rFonts w:ascii="Times New Roman" w:eastAsia="宋体" w:hAnsi="Times New Roman" w:cs="Times New Roman"/>
          <w:sz w:val="24"/>
        </w:rPr>
        <w:t>叙事类段落的写作步骤，写作技巧。</w:t>
      </w:r>
    </w:p>
    <w:p w14:paraId="47E16ACE" w14:textId="77777777" w:rsidR="00D529CF" w:rsidRPr="00F34DF4" w:rsidRDefault="00D529CF" w:rsidP="00D529CF">
      <w:pPr>
        <w:pStyle w:val="ae"/>
        <w:numPr>
          <w:ilvl w:val="0"/>
          <w:numId w:val="6"/>
        </w:numPr>
        <w:spacing w:line="440" w:lineRule="exact"/>
        <w:ind w:firstLineChars="0"/>
        <w:rPr>
          <w:rFonts w:ascii="Times New Roman" w:eastAsia="宋体" w:hAnsi="Times New Roman" w:cs="Times New Roman"/>
          <w:bCs/>
          <w:sz w:val="24"/>
        </w:rPr>
      </w:pPr>
      <w:proofErr w:type="gramStart"/>
      <w:r w:rsidRPr="00F34DF4">
        <w:rPr>
          <w:rFonts w:ascii="Times New Roman" w:eastAsia="宋体" w:hAnsi="Times New Roman" w:cs="Times New Roman"/>
          <w:bCs/>
          <w:sz w:val="24"/>
        </w:rPr>
        <w:t>思政教育</w:t>
      </w:r>
      <w:proofErr w:type="gramEnd"/>
      <w:r w:rsidRPr="00F34DF4">
        <w:rPr>
          <w:rFonts w:ascii="Times New Roman" w:eastAsia="宋体" w:hAnsi="Times New Roman" w:cs="Times New Roman"/>
          <w:bCs/>
          <w:sz w:val="24"/>
        </w:rPr>
        <w:t>：利用线上短视频和课堂讨论等形式讲解体育强国的重要意义，深</w:t>
      </w:r>
    </w:p>
    <w:p w14:paraId="2DCB337C" w14:textId="77777777" w:rsidR="00D529CF" w:rsidRPr="00F34DF4" w:rsidRDefault="00D529CF" w:rsidP="00D529CF">
      <w:pPr>
        <w:pStyle w:val="ae"/>
        <w:spacing w:line="440" w:lineRule="exact"/>
        <w:ind w:firstLineChars="0" w:firstLine="0"/>
        <w:rPr>
          <w:rFonts w:ascii="Times New Roman" w:eastAsia="宋体" w:hAnsi="Times New Roman" w:cs="Times New Roman"/>
          <w:bCs/>
          <w:sz w:val="24"/>
        </w:rPr>
      </w:pPr>
      <w:proofErr w:type="gramStart"/>
      <w:r w:rsidRPr="00F34DF4">
        <w:rPr>
          <w:rFonts w:ascii="Times New Roman" w:eastAsia="宋体" w:hAnsi="Times New Roman" w:cs="Times New Roman"/>
          <w:bCs/>
          <w:sz w:val="24"/>
        </w:rPr>
        <w:t>刻认识</w:t>
      </w:r>
      <w:proofErr w:type="gramEnd"/>
      <w:r w:rsidRPr="00F34DF4">
        <w:rPr>
          <w:rFonts w:ascii="Times New Roman" w:eastAsia="宋体" w:hAnsi="Times New Roman" w:cs="Times New Roman"/>
          <w:bCs/>
          <w:sz w:val="24"/>
        </w:rPr>
        <w:t>体育的重要性，提升学生的体育参与意识，和培养学生的终身体育意识。</w:t>
      </w:r>
    </w:p>
    <w:p w14:paraId="6782DCEF" w14:textId="77777777" w:rsidR="00D529CF" w:rsidRPr="00F34DF4" w:rsidRDefault="00D529CF" w:rsidP="00D529CF">
      <w:pPr>
        <w:spacing w:line="440" w:lineRule="exact"/>
        <w:ind w:firstLineChars="200" w:firstLine="482"/>
        <w:rPr>
          <w:rFonts w:ascii="Times New Roman" w:eastAsia="宋体" w:hAnsi="Times New Roman" w:cs="Times New Roman"/>
          <w:b/>
          <w:sz w:val="24"/>
        </w:rPr>
      </w:pPr>
      <w:r w:rsidRPr="00F34DF4">
        <w:rPr>
          <w:rFonts w:ascii="Times New Roman" w:eastAsia="宋体" w:hAnsi="Times New Roman" w:cs="Times New Roman"/>
          <w:b/>
          <w:sz w:val="24"/>
        </w:rPr>
        <w:t>【难点】</w:t>
      </w:r>
    </w:p>
    <w:p w14:paraId="2262A234" w14:textId="77777777" w:rsidR="00D529CF" w:rsidRPr="00F34DF4" w:rsidRDefault="00D529CF" w:rsidP="00D529CF">
      <w:pPr>
        <w:spacing w:line="440" w:lineRule="exact"/>
        <w:ind w:firstLineChars="200" w:firstLine="480"/>
        <w:rPr>
          <w:rFonts w:ascii="Times New Roman" w:eastAsia="宋体" w:hAnsi="Times New Roman" w:cs="Times New Roman"/>
          <w:b/>
          <w:sz w:val="24"/>
        </w:rPr>
      </w:pPr>
      <w:r w:rsidRPr="00F34DF4">
        <w:rPr>
          <w:rFonts w:ascii="Times New Roman" w:eastAsia="宋体" w:hAnsi="Times New Roman" w:cs="Times New Roman"/>
          <w:sz w:val="24"/>
        </w:rPr>
        <w:t xml:space="preserve">1. </w:t>
      </w:r>
      <w:r w:rsidRPr="00F34DF4">
        <w:rPr>
          <w:rFonts w:ascii="Times New Roman" w:eastAsia="宋体" w:hAnsi="Times New Roman" w:cs="Times New Roman"/>
          <w:sz w:val="24"/>
        </w:rPr>
        <w:t>通过音视频和小组讨论形式讨论体育强国的重要意义。掌握一些相关单词的短语并能完成表达。</w:t>
      </w:r>
    </w:p>
    <w:p w14:paraId="3CF57584"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新闻类听力材料的答题技巧。</w:t>
      </w:r>
    </w:p>
    <w:p w14:paraId="2FAA0D84"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3. </w:t>
      </w:r>
      <w:r w:rsidRPr="00F34DF4">
        <w:rPr>
          <w:rFonts w:ascii="Times New Roman" w:eastAsia="宋体" w:hAnsi="Times New Roman" w:cs="Times New Roman"/>
          <w:sz w:val="24"/>
        </w:rPr>
        <w:t>叙事类段落的详略得当，避免流水账式的叙述。</w:t>
      </w:r>
    </w:p>
    <w:p w14:paraId="29D53C26"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4.</w:t>
      </w:r>
      <w:r w:rsidRPr="00F34DF4">
        <w:rPr>
          <w:rFonts w:ascii="Times New Roman" w:eastAsia="宋体" w:hAnsi="Times New Roman" w:cs="Times New Roman"/>
          <w:bCs/>
          <w:sz w:val="24"/>
        </w:rPr>
        <w:t xml:space="preserve"> </w:t>
      </w:r>
      <w:proofErr w:type="gramStart"/>
      <w:r w:rsidRPr="00F34DF4">
        <w:rPr>
          <w:rFonts w:ascii="Times New Roman" w:eastAsia="宋体" w:hAnsi="Times New Roman" w:cs="Times New Roman"/>
          <w:bCs/>
          <w:sz w:val="24"/>
        </w:rPr>
        <w:t>思政教育</w:t>
      </w:r>
      <w:proofErr w:type="gramEnd"/>
      <w:r w:rsidRPr="00F34DF4">
        <w:rPr>
          <w:rFonts w:ascii="Times New Roman" w:eastAsia="宋体" w:hAnsi="Times New Roman" w:cs="Times New Roman"/>
          <w:bCs/>
          <w:sz w:val="24"/>
        </w:rPr>
        <w:t>：</w:t>
      </w:r>
      <w:r w:rsidRPr="00F34DF4">
        <w:rPr>
          <w:rFonts w:ascii="Times New Roman" w:eastAsia="宋体" w:hAnsi="Times New Roman" w:cs="Times New Roman"/>
          <w:sz w:val="24"/>
        </w:rPr>
        <w:t>帮助学生更深刻地认知体育的重要性及体育与社会文明的关系，保持开放客观心态，增强文化自信，鼓励学生积极参与跨文化交际并传播中国优秀传统文化，帮助世界更好地了解中国的大国风范，同时将终身体育意识</w:t>
      </w:r>
      <w:proofErr w:type="gramStart"/>
      <w:r w:rsidRPr="00F34DF4">
        <w:rPr>
          <w:rFonts w:ascii="Times New Roman" w:eastAsia="宋体" w:hAnsi="Times New Roman" w:cs="Times New Roman"/>
          <w:sz w:val="24"/>
        </w:rPr>
        <w:t>践行</w:t>
      </w:r>
      <w:proofErr w:type="gramEnd"/>
      <w:r w:rsidRPr="00F34DF4">
        <w:rPr>
          <w:rFonts w:ascii="Times New Roman" w:eastAsia="宋体" w:hAnsi="Times New Roman" w:cs="Times New Roman"/>
          <w:sz w:val="24"/>
        </w:rPr>
        <w:t>于自己的日常生活中。</w:t>
      </w:r>
    </w:p>
    <w:p w14:paraId="7471444F" w14:textId="77777777" w:rsidR="00D529CF" w:rsidRPr="00F34DF4" w:rsidRDefault="00D529CF" w:rsidP="00D529CF">
      <w:pPr>
        <w:spacing w:line="440" w:lineRule="exact"/>
        <w:ind w:firstLineChars="200" w:firstLine="482"/>
        <w:rPr>
          <w:rFonts w:ascii="Times New Roman" w:eastAsia="宋体" w:hAnsi="Times New Roman" w:cs="Times New Roman"/>
          <w:sz w:val="24"/>
        </w:rPr>
      </w:pPr>
      <w:r w:rsidRPr="00F34DF4">
        <w:rPr>
          <w:rFonts w:ascii="Times New Roman" w:eastAsia="宋体" w:hAnsi="Times New Roman" w:cs="Times New Roman"/>
          <w:b/>
          <w:bCs/>
          <w:sz w:val="24"/>
        </w:rPr>
        <w:t>【教学方法】</w:t>
      </w:r>
    </w:p>
    <w:p w14:paraId="385687FB"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1. </w:t>
      </w:r>
      <w:r w:rsidRPr="00F34DF4">
        <w:rPr>
          <w:rFonts w:ascii="Times New Roman" w:eastAsia="宋体" w:hAnsi="Times New Roman" w:cs="Times New Roman"/>
          <w:sz w:val="24"/>
        </w:rPr>
        <w:t>通过多媒体课件和传统教学相结合，详细介绍体育的发展和体育赛事的发展，了解体育的重要性和相关社交礼仪，丰富学生的知识结构，培养学生的职业规范。</w:t>
      </w:r>
    </w:p>
    <w:p w14:paraId="6AAB76A2"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2.</w:t>
      </w:r>
      <w:r w:rsidRPr="00F34DF4">
        <w:rPr>
          <w:rFonts w:ascii="Times New Roman" w:eastAsia="宋体" w:hAnsi="Times New Roman" w:cs="Times New Roman"/>
          <w:bCs/>
          <w:sz w:val="24"/>
        </w:rPr>
        <w:t xml:space="preserve"> </w:t>
      </w:r>
      <w:r w:rsidRPr="00F34DF4">
        <w:rPr>
          <w:rFonts w:ascii="Times New Roman" w:eastAsia="宋体" w:hAnsi="Times New Roman" w:cs="Times New Roman"/>
          <w:sz w:val="24"/>
        </w:rPr>
        <w:t>通过任务型教学法，发挥学生学习的自觉性与主动性，强化自主学习的意识和行动，理论联系实际，实现知识的有效整合，培养综合素质。</w:t>
      </w:r>
    </w:p>
    <w:p w14:paraId="4EF30582" w14:textId="77777777" w:rsidR="00D529CF" w:rsidRPr="00F34DF4" w:rsidRDefault="00D529CF" w:rsidP="00D529CF">
      <w:pPr>
        <w:spacing w:line="440" w:lineRule="exact"/>
        <w:rPr>
          <w:rFonts w:ascii="Times New Roman" w:eastAsia="宋体" w:hAnsi="Times New Roman" w:cs="Times New Roman"/>
          <w:sz w:val="24"/>
        </w:rPr>
      </w:pPr>
      <w:r w:rsidRPr="00F34DF4">
        <w:rPr>
          <w:rFonts w:ascii="Times New Roman" w:eastAsia="宋体" w:hAnsi="Times New Roman" w:cs="Times New Roman"/>
          <w:sz w:val="24"/>
        </w:rPr>
        <w:t xml:space="preserve">    4. </w:t>
      </w:r>
      <w:r w:rsidRPr="00F34DF4">
        <w:rPr>
          <w:rFonts w:ascii="Times New Roman" w:eastAsia="宋体" w:hAnsi="Times New Roman" w:cs="Times New Roman"/>
          <w:sz w:val="24"/>
        </w:rPr>
        <w:t>通过以问题为导向的探究式教学法，设置问题，要求学生自行查阅资料，同学</w:t>
      </w:r>
      <w:r w:rsidRPr="00F34DF4">
        <w:rPr>
          <w:rFonts w:ascii="Times New Roman" w:eastAsia="宋体" w:hAnsi="Times New Roman" w:cs="Times New Roman"/>
          <w:sz w:val="24"/>
        </w:rPr>
        <w:lastRenderedPageBreak/>
        <w:t>相互交流，教师适时点拨等形式，培养学生查询资料，自主解决问题的能力。</w:t>
      </w:r>
    </w:p>
    <w:p w14:paraId="5C273234"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5. </w:t>
      </w:r>
      <w:r w:rsidRPr="00F34DF4">
        <w:rPr>
          <w:rFonts w:ascii="Times New Roman" w:eastAsia="宋体" w:hAnsi="Times New Roman" w:cs="Times New Roman"/>
          <w:sz w:val="24"/>
        </w:rPr>
        <w:t>通过小组合作学习，在讨论、互助学习与互助评价的活动中，引导学生思考中西方文明逐渐融合的影响，培养学生的合作能力、沟通能力以及思辨能力。</w:t>
      </w:r>
    </w:p>
    <w:p w14:paraId="66BDD6E5"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6. </w:t>
      </w:r>
      <w:r w:rsidRPr="00F34DF4">
        <w:rPr>
          <w:rFonts w:ascii="Times New Roman" w:eastAsia="宋体" w:hAnsi="Times New Roman" w:cs="Times New Roman"/>
          <w:sz w:val="24"/>
        </w:rPr>
        <w:t>通过课堂汇报和展示，强化知识应用意识，提升学生的职业竞争力。</w:t>
      </w:r>
    </w:p>
    <w:p w14:paraId="1BE9FF83" w14:textId="77777777" w:rsidR="00D529CF" w:rsidRPr="00F34DF4" w:rsidRDefault="00D529CF" w:rsidP="00D529CF">
      <w:pPr>
        <w:spacing w:line="440" w:lineRule="exact"/>
        <w:ind w:firstLineChars="200" w:firstLine="482"/>
        <w:rPr>
          <w:rFonts w:ascii="Times New Roman" w:eastAsia="宋体" w:hAnsi="Times New Roman" w:cs="Times New Roman"/>
          <w:bCs/>
          <w:sz w:val="24"/>
        </w:rPr>
      </w:pPr>
      <w:r w:rsidRPr="00F34DF4">
        <w:rPr>
          <w:rFonts w:ascii="Times New Roman" w:eastAsia="宋体" w:hAnsi="Times New Roman" w:cs="Times New Roman"/>
          <w:b/>
          <w:sz w:val="24"/>
        </w:rPr>
        <w:t>【复习思考】</w:t>
      </w:r>
    </w:p>
    <w:p w14:paraId="7AFC02C7"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1.</w:t>
      </w:r>
      <w:r w:rsidRPr="00F34DF4">
        <w:rPr>
          <w:rFonts w:ascii="Times New Roman" w:eastAsia="宋体" w:hAnsi="Times New Roman" w:cs="Times New Roman"/>
          <w:sz w:val="24"/>
        </w:rPr>
        <w:t>思考在我们的日常生活中如何</w:t>
      </w:r>
      <w:proofErr w:type="gramStart"/>
      <w:r w:rsidRPr="00F34DF4">
        <w:rPr>
          <w:rFonts w:ascii="Times New Roman" w:eastAsia="宋体" w:hAnsi="Times New Roman" w:cs="Times New Roman"/>
          <w:sz w:val="24"/>
        </w:rPr>
        <w:t>践行</w:t>
      </w:r>
      <w:proofErr w:type="gramEnd"/>
      <w:r w:rsidRPr="00F34DF4">
        <w:rPr>
          <w:rFonts w:ascii="Times New Roman" w:eastAsia="宋体" w:hAnsi="Times New Roman" w:cs="Times New Roman"/>
          <w:sz w:val="24"/>
        </w:rPr>
        <w:t>“</w:t>
      </w:r>
      <w:r w:rsidRPr="00F34DF4">
        <w:rPr>
          <w:rFonts w:ascii="Times New Roman" w:eastAsia="宋体" w:hAnsi="Times New Roman" w:cs="Times New Roman"/>
          <w:sz w:val="24"/>
        </w:rPr>
        <w:t>终身体育</w:t>
      </w:r>
      <w:r w:rsidRPr="00F34DF4">
        <w:rPr>
          <w:rFonts w:ascii="Times New Roman" w:eastAsia="宋体" w:hAnsi="Times New Roman" w:cs="Times New Roman"/>
          <w:sz w:val="24"/>
        </w:rPr>
        <w:t>”</w:t>
      </w:r>
      <w:r w:rsidRPr="00F34DF4">
        <w:rPr>
          <w:rFonts w:ascii="Times New Roman" w:eastAsia="宋体" w:hAnsi="Times New Roman" w:cs="Times New Roman"/>
          <w:sz w:val="24"/>
        </w:rPr>
        <w:t>？</w:t>
      </w:r>
    </w:p>
    <w:p w14:paraId="3103835B"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2.</w:t>
      </w:r>
      <w:r w:rsidRPr="00F34DF4">
        <w:rPr>
          <w:rFonts w:ascii="Times New Roman" w:eastAsia="宋体" w:hAnsi="Times New Roman" w:cs="Times New Roman"/>
          <w:sz w:val="24"/>
        </w:rPr>
        <w:t>思考，列举体育与社会文明的关系体现并以小组形式呈现。</w:t>
      </w:r>
    </w:p>
    <w:p w14:paraId="6ED305A9"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3.</w:t>
      </w:r>
      <w:r w:rsidRPr="00F34DF4">
        <w:rPr>
          <w:rFonts w:ascii="Times New Roman" w:eastAsia="宋体" w:hAnsi="Times New Roman" w:cs="Times New Roman"/>
          <w:sz w:val="24"/>
        </w:rPr>
        <w:t>叙事类段落的写作步骤，写作技巧。</w:t>
      </w:r>
    </w:p>
    <w:p w14:paraId="308D08CD" w14:textId="77777777" w:rsidR="00D529CF" w:rsidRPr="00F34DF4" w:rsidRDefault="00D529CF" w:rsidP="00D529CF">
      <w:pPr>
        <w:spacing w:beforeLines="50" w:before="156" w:afterLines="50" w:after="156" w:line="440" w:lineRule="exact"/>
        <w:ind w:firstLineChars="500" w:firstLine="1405"/>
        <w:rPr>
          <w:rFonts w:ascii="Times New Roman" w:eastAsia="宋体" w:hAnsi="Times New Roman" w:cs="Times New Roman"/>
          <w:b/>
          <w:bCs/>
          <w:sz w:val="28"/>
          <w:szCs w:val="28"/>
        </w:rPr>
      </w:pPr>
      <w:r w:rsidRPr="00F34DF4">
        <w:rPr>
          <w:rFonts w:ascii="Times New Roman" w:eastAsia="宋体" w:hAnsi="Times New Roman" w:cs="Times New Roman"/>
          <w:b/>
          <w:bCs/>
          <w:sz w:val="28"/>
          <w:szCs w:val="28"/>
        </w:rPr>
        <w:t xml:space="preserve">Unit </w:t>
      </w:r>
      <w:proofErr w:type="gramStart"/>
      <w:r w:rsidRPr="00F34DF4">
        <w:rPr>
          <w:rFonts w:ascii="Times New Roman" w:eastAsia="宋体" w:hAnsi="Times New Roman" w:cs="Times New Roman"/>
          <w:b/>
          <w:bCs/>
          <w:sz w:val="28"/>
          <w:szCs w:val="28"/>
        </w:rPr>
        <w:t>6  Scientific</w:t>
      </w:r>
      <w:proofErr w:type="gramEnd"/>
      <w:r w:rsidRPr="00F34DF4">
        <w:rPr>
          <w:rFonts w:ascii="Times New Roman" w:eastAsia="宋体" w:hAnsi="Times New Roman" w:cs="Times New Roman"/>
          <w:b/>
          <w:bCs/>
          <w:sz w:val="28"/>
          <w:szCs w:val="28"/>
        </w:rPr>
        <w:t xml:space="preserve"> Advances and Equality </w:t>
      </w:r>
    </w:p>
    <w:p w14:paraId="2D97633C" w14:textId="77777777" w:rsidR="00D529CF" w:rsidRPr="00F34DF4" w:rsidRDefault="00D529CF" w:rsidP="00D529CF">
      <w:pPr>
        <w:spacing w:beforeLines="50" w:before="156" w:afterLines="50" w:after="156" w:line="440" w:lineRule="exact"/>
        <w:ind w:firstLineChars="200" w:firstLine="482"/>
        <w:jc w:val="left"/>
        <w:rPr>
          <w:rFonts w:ascii="Times New Roman" w:eastAsia="宋体" w:hAnsi="Times New Roman" w:cs="Times New Roman"/>
          <w:b/>
          <w:sz w:val="24"/>
        </w:rPr>
      </w:pPr>
      <w:r w:rsidRPr="00F34DF4">
        <w:rPr>
          <w:rFonts w:ascii="Times New Roman" w:eastAsia="宋体" w:hAnsi="Times New Roman" w:cs="Times New Roman"/>
          <w:b/>
          <w:sz w:val="24"/>
        </w:rPr>
        <w:t>【学习目标】</w:t>
      </w:r>
    </w:p>
    <w:p w14:paraId="23C6C892"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1. </w:t>
      </w:r>
      <w:r w:rsidRPr="00F34DF4">
        <w:rPr>
          <w:rFonts w:ascii="Times New Roman" w:eastAsia="宋体" w:hAnsi="Times New Roman" w:cs="Times New Roman"/>
          <w:sz w:val="24"/>
        </w:rPr>
        <w:t>认知类目标：掌握本单元与科技发展相关的词汇、短语和语法点；</w:t>
      </w:r>
    </w:p>
    <w:p w14:paraId="1C093F5D"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过程与方法类目标：鼓励学生主动参与小组讨论和协作，能够通过图书馆或网络检索查询与学习主题相关的信息和资料；能够使用字典、语法书等工具书解决词汇和语法问题；引导学生把握文章结构，了解作者的主要观点以及如何</w:t>
      </w:r>
      <w:proofErr w:type="gramStart"/>
      <w:r w:rsidRPr="00F34DF4">
        <w:rPr>
          <w:rFonts w:ascii="Times New Roman" w:eastAsia="宋体" w:hAnsi="Times New Roman" w:cs="Times New Roman"/>
          <w:sz w:val="24"/>
        </w:rPr>
        <w:t>正确看</w:t>
      </w:r>
      <w:proofErr w:type="gramEnd"/>
      <w:r w:rsidRPr="00F34DF4">
        <w:rPr>
          <w:rFonts w:ascii="Times New Roman" w:eastAsia="宋体" w:hAnsi="Times New Roman" w:cs="Times New Roman"/>
          <w:sz w:val="24"/>
        </w:rPr>
        <w:t>科技进步和社会公平的关系。在听力学习过程中，熟悉新闻、对话和篇章等四级听力题型，能快速识别信息并做出正确的推理和判断。</w:t>
      </w:r>
    </w:p>
    <w:p w14:paraId="29D0A0B6" w14:textId="77777777" w:rsidR="00D529CF" w:rsidRPr="00F34DF4" w:rsidRDefault="00D529CF" w:rsidP="00D529CF">
      <w:pPr>
        <w:spacing w:line="440" w:lineRule="exact"/>
        <w:ind w:firstLineChars="200" w:firstLine="480"/>
        <w:rPr>
          <w:rFonts w:ascii="Times New Roman" w:eastAsia="宋体" w:hAnsi="Times New Roman" w:cs="Times New Roman"/>
          <w:b/>
          <w:sz w:val="24"/>
        </w:rPr>
      </w:pPr>
      <w:r w:rsidRPr="00F34DF4">
        <w:rPr>
          <w:rFonts w:ascii="Times New Roman" w:eastAsia="宋体" w:hAnsi="Times New Roman" w:cs="Times New Roman"/>
          <w:sz w:val="24"/>
        </w:rPr>
        <w:t xml:space="preserve">3. </w:t>
      </w:r>
      <w:r w:rsidRPr="00F34DF4">
        <w:rPr>
          <w:rFonts w:ascii="Times New Roman" w:eastAsia="宋体" w:hAnsi="Times New Roman" w:cs="Times New Roman"/>
          <w:sz w:val="24"/>
        </w:rPr>
        <w:t>情感、态度、价值观类目标：</w:t>
      </w:r>
      <w:bookmarkStart w:id="30" w:name="_Hlk140354063"/>
      <w:r w:rsidRPr="00F34DF4">
        <w:rPr>
          <w:rFonts w:ascii="Times New Roman" w:eastAsia="宋体" w:hAnsi="Times New Roman" w:cs="Times New Roman"/>
          <w:sz w:val="24"/>
        </w:rPr>
        <w:t>了解习总书记共享发展的理念</w:t>
      </w:r>
      <w:bookmarkEnd w:id="30"/>
      <w:r w:rsidRPr="00F34DF4">
        <w:rPr>
          <w:rFonts w:ascii="Times New Roman" w:eastAsia="宋体" w:hAnsi="Times New Roman" w:cs="Times New Roman"/>
          <w:sz w:val="24"/>
        </w:rPr>
        <w:t>，能够辩证的分析和理解人类基因工程应用的利与弊；</w:t>
      </w:r>
      <w:bookmarkStart w:id="31" w:name="_Hlk140354345"/>
      <w:r w:rsidRPr="00F34DF4">
        <w:rPr>
          <w:rFonts w:ascii="Times New Roman" w:eastAsia="宋体" w:hAnsi="Times New Roman" w:cs="Times New Roman"/>
          <w:sz w:val="24"/>
        </w:rPr>
        <w:t>能够正确地分析和理解现代科学技术对未来人类社会发展产生的影响，能够在本专业工程技术领域实践中理解并遵守职业道德和规范，进一步提升人文社会素养和强烈的社会责任感。，</w:t>
      </w:r>
    </w:p>
    <w:bookmarkEnd w:id="31"/>
    <w:p w14:paraId="43B23C5C" w14:textId="77777777" w:rsidR="00D529CF" w:rsidRPr="00F34DF4" w:rsidRDefault="00D529CF" w:rsidP="00D529CF">
      <w:pPr>
        <w:spacing w:line="440" w:lineRule="exact"/>
        <w:ind w:firstLineChars="200" w:firstLine="482"/>
        <w:rPr>
          <w:rFonts w:ascii="Times New Roman" w:eastAsia="宋体" w:hAnsi="Times New Roman" w:cs="Times New Roman"/>
          <w:b/>
          <w:sz w:val="24"/>
        </w:rPr>
      </w:pPr>
      <w:r w:rsidRPr="00F34DF4">
        <w:rPr>
          <w:rFonts w:ascii="Times New Roman" w:eastAsia="宋体" w:hAnsi="Times New Roman" w:cs="Times New Roman"/>
          <w:b/>
          <w:sz w:val="24"/>
        </w:rPr>
        <w:t>【学习内容】</w:t>
      </w:r>
    </w:p>
    <w:p w14:paraId="27C271E3" w14:textId="77777777" w:rsidR="00D529CF" w:rsidRPr="00F34DF4" w:rsidRDefault="00D529CF" w:rsidP="00D529CF">
      <w:pPr>
        <w:pStyle w:val="ae"/>
        <w:numPr>
          <w:ilvl w:val="0"/>
          <w:numId w:val="7"/>
        </w:numPr>
        <w:spacing w:line="440" w:lineRule="exact"/>
        <w:ind w:firstLineChars="0"/>
        <w:rPr>
          <w:rFonts w:ascii="Times New Roman" w:eastAsia="宋体" w:hAnsi="Times New Roman" w:cs="Times New Roman"/>
          <w:bCs/>
          <w:kern w:val="24"/>
          <w:sz w:val="24"/>
        </w:rPr>
      </w:pPr>
      <w:proofErr w:type="gramStart"/>
      <w:r w:rsidRPr="00F34DF4">
        <w:rPr>
          <w:rFonts w:ascii="Times New Roman" w:eastAsia="宋体" w:hAnsi="Times New Roman" w:cs="Times New Roman"/>
          <w:sz w:val="24"/>
        </w:rPr>
        <w:t>思政元素</w:t>
      </w:r>
      <w:proofErr w:type="gramEnd"/>
      <w:r w:rsidRPr="00F34DF4">
        <w:rPr>
          <w:rFonts w:ascii="Times New Roman" w:eastAsia="宋体" w:hAnsi="Times New Roman" w:cs="Times New Roman"/>
          <w:sz w:val="24"/>
        </w:rPr>
        <w:t>：了解习总书记共享发展的理念，</w:t>
      </w:r>
      <w:r w:rsidRPr="00F34DF4">
        <w:rPr>
          <w:rFonts w:ascii="Times New Roman" w:eastAsia="宋体" w:hAnsi="Times New Roman" w:cs="Times New Roman"/>
          <w:bCs/>
          <w:kern w:val="24"/>
          <w:sz w:val="24"/>
        </w:rPr>
        <w:t>坚持共享发展理念就是要决社会公平正义问题，让广大人民群众共享改革发展成果，实现共同富裕。</w:t>
      </w:r>
    </w:p>
    <w:p w14:paraId="6997CA7C" w14:textId="77777777" w:rsidR="00D529CF" w:rsidRPr="00F34DF4" w:rsidRDefault="00D529CF" w:rsidP="00D529CF">
      <w:pPr>
        <w:spacing w:line="440" w:lineRule="exact"/>
        <w:ind w:firstLineChars="200" w:firstLine="480"/>
        <w:rPr>
          <w:rFonts w:ascii="Times New Roman" w:eastAsia="宋体" w:hAnsi="Times New Roman" w:cs="Times New Roman"/>
          <w:b/>
          <w:sz w:val="24"/>
        </w:rPr>
      </w:pPr>
      <w:r w:rsidRPr="00F34DF4">
        <w:rPr>
          <w:rFonts w:ascii="Times New Roman" w:eastAsia="宋体" w:hAnsi="Times New Roman" w:cs="Times New Roman"/>
          <w:sz w:val="24"/>
        </w:rPr>
        <w:t>2.</w:t>
      </w:r>
      <w:r w:rsidRPr="00F34DF4">
        <w:rPr>
          <w:rFonts w:ascii="Times New Roman" w:eastAsia="宋体" w:hAnsi="Times New Roman" w:cs="Times New Roman"/>
          <w:sz w:val="24"/>
        </w:rPr>
        <w:t>认识人类基因工程技术的发展、应用，及其对未来社会产生的影响。</w:t>
      </w:r>
    </w:p>
    <w:p w14:paraId="7F3FD9A6"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3.</w:t>
      </w:r>
      <w:r w:rsidRPr="00F34DF4">
        <w:rPr>
          <w:rFonts w:ascii="Times New Roman" w:eastAsia="宋体" w:hAnsi="Times New Roman" w:cs="Times New Roman"/>
          <w:sz w:val="24"/>
        </w:rPr>
        <w:t>学习与人类基因工程技术相关的词汇。</w:t>
      </w:r>
    </w:p>
    <w:p w14:paraId="4F8DB701"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4. </w:t>
      </w:r>
      <w:r w:rsidRPr="00F34DF4">
        <w:rPr>
          <w:rFonts w:ascii="Times New Roman" w:eastAsia="宋体" w:hAnsi="Times New Roman" w:cs="Times New Roman"/>
          <w:sz w:val="24"/>
        </w:rPr>
        <w:t>分析课文讲解重点句型和难句。</w:t>
      </w:r>
    </w:p>
    <w:p w14:paraId="0AB28B64"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5. </w:t>
      </w:r>
      <w:r w:rsidRPr="00F34DF4">
        <w:rPr>
          <w:rFonts w:ascii="Times New Roman" w:eastAsia="宋体" w:hAnsi="Times New Roman" w:cs="Times New Roman"/>
          <w:sz w:val="24"/>
        </w:rPr>
        <w:t>线上完成视听说听力练习。</w:t>
      </w:r>
    </w:p>
    <w:p w14:paraId="7E9A2FA0" w14:textId="77777777" w:rsidR="00D529CF" w:rsidRPr="00F34DF4" w:rsidRDefault="00D529CF" w:rsidP="00D529CF">
      <w:pPr>
        <w:spacing w:line="440" w:lineRule="exact"/>
        <w:ind w:firstLineChars="200" w:firstLine="482"/>
        <w:rPr>
          <w:rFonts w:ascii="Times New Roman" w:eastAsia="宋体" w:hAnsi="Times New Roman" w:cs="Times New Roman"/>
          <w:b/>
          <w:sz w:val="24"/>
        </w:rPr>
      </w:pPr>
      <w:r w:rsidRPr="00F34DF4">
        <w:rPr>
          <w:rFonts w:ascii="Times New Roman" w:eastAsia="宋体" w:hAnsi="Times New Roman" w:cs="Times New Roman"/>
          <w:b/>
          <w:sz w:val="24"/>
        </w:rPr>
        <w:t>【重点】</w:t>
      </w:r>
    </w:p>
    <w:p w14:paraId="7C220515" w14:textId="77777777" w:rsidR="00D529CF" w:rsidRPr="00F34DF4" w:rsidRDefault="00D529CF" w:rsidP="00D529CF">
      <w:pPr>
        <w:spacing w:line="440" w:lineRule="exact"/>
        <w:ind w:leftChars="200" w:left="420"/>
        <w:rPr>
          <w:rFonts w:ascii="Times New Roman" w:eastAsia="宋体" w:hAnsi="Times New Roman" w:cs="Times New Roman"/>
          <w:sz w:val="24"/>
        </w:rPr>
      </w:pPr>
      <w:r w:rsidRPr="00F34DF4">
        <w:rPr>
          <w:rFonts w:ascii="Times New Roman" w:eastAsia="宋体" w:hAnsi="Times New Roman" w:cs="Times New Roman"/>
          <w:sz w:val="24"/>
        </w:rPr>
        <w:t>1.</w:t>
      </w:r>
      <w:r w:rsidRPr="00F34DF4">
        <w:rPr>
          <w:rFonts w:ascii="Times New Roman" w:eastAsia="宋体" w:hAnsi="Times New Roman" w:cs="Times New Roman"/>
          <w:sz w:val="24"/>
        </w:rPr>
        <w:t>学习与人类基因工程技术相关的词汇，能够用英语来表达有关人类基因工程科技发展以及观点和看法。</w:t>
      </w:r>
    </w:p>
    <w:p w14:paraId="4029EF7D"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lastRenderedPageBreak/>
        <w:t xml:space="preserve">2. </w:t>
      </w:r>
      <w:r w:rsidRPr="00F34DF4">
        <w:rPr>
          <w:rFonts w:ascii="Times New Roman" w:eastAsia="宋体" w:hAnsi="Times New Roman" w:cs="Times New Roman"/>
          <w:sz w:val="24"/>
        </w:rPr>
        <w:t>文章段落结构和主旨。</w:t>
      </w:r>
    </w:p>
    <w:p w14:paraId="23D567CD" w14:textId="77777777" w:rsidR="00D529CF" w:rsidRPr="00F34DF4" w:rsidRDefault="00D529CF" w:rsidP="00D529CF">
      <w:pPr>
        <w:spacing w:line="440" w:lineRule="exact"/>
        <w:ind w:firstLineChars="200" w:firstLine="480"/>
        <w:rPr>
          <w:rFonts w:ascii="Times New Roman" w:eastAsia="宋体" w:hAnsi="Times New Roman" w:cs="Times New Roman"/>
          <w:b/>
          <w:sz w:val="24"/>
        </w:rPr>
      </w:pPr>
      <w:r w:rsidRPr="00F34DF4">
        <w:rPr>
          <w:rFonts w:ascii="Times New Roman" w:eastAsia="宋体" w:hAnsi="Times New Roman" w:cs="Times New Roman"/>
          <w:sz w:val="24"/>
        </w:rPr>
        <w:t xml:space="preserve">3. </w:t>
      </w:r>
      <w:proofErr w:type="gramStart"/>
      <w:r w:rsidRPr="00F34DF4">
        <w:rPr>
          <w:rFonts w:ascii="Times New Roman" w:eastAsia="宋体" w:hAnsi="Times New Roman" w:cs="Times New Roman"/>
          <w:sz w:val="24"/>
        </w:rPr>
        <w:t>思政教育</w:t>
      </w:r>
      <w:proofErr w:type="gramEnd"/>
      <w:r w:rsidRPr="00F34DF4">
        <w:rPr>
          <w:rFonts w:ascii="Times New Roman" w:eastAsia="宋体" w:hAnsi="Times New Roman" w:cs="Times New Roman"/>
          <w:sz w:val="24"/>
        </w:rPr>
        <w:t>：了解习总书记共享发展的理念，辩证的分析和看待人类基因工程应用的利与弊，进一步提升学生的人文社会素养和强烈的社会责任感。</w:t>
      </w:r>
    </w:p>
    <w:p w14:paraId="4CFBF1B3" w14:textId="77777777" w:rsidR="00D529CF" w:rsidRPr="00F34DF4" w:rsidRDefault="00D529CF" w:rsidP="00D529CF">
      <w:pPr>
        <w:spacing w:line="440" w:lineRule="exact"/>
        <w:ind w:firstLineChars="200" w:firstLine="482"/>
        <w:rPr>
          <w:rFonts w:ascii="Times New Roman" w:eastAsia="宋体" w:hAnsi="Times New Roman" w:cs="Times New Roman"/>
          <w:b/>
          <w:sz w:val="24"/>
        </w:rPr>
      </w:pPr>
      <w:r w:rsidRPr="00F34DF4">
        <w:rPr>
          <w:rFonts w:ascii="Times New Roman" w:eastAsia="宋体" w:hAnsi="Times New Roman" w:cs="Times New Roman"/>
          <w:b/>
          <w:sz w:val="24"/>
        </w:rPr>
        <w:t>【难点】</w:t>
      </w:r>
    </w:p>
    <w:p w14:paraId="78742BC7"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1. </w:t>
      </w:r>
      <w:r w:rsidRPr="00F34DF4">
        <w:rPr>
          <w:rFonts w:ascii="Times New Roman" w:eastAsia="宋体" w:hAnsi="Times New Roman" w:cs="Times New Roman"/>
          <w:sz w:val="24"/>
        </w:rPr>
        <w:t>文章篇章结构的分析。</w:t>
      </w:r>
    </w:p>
    <w:p w14:paraId="1BC063A3"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人类基因工程相关的专业词汇，能够用英语来表达有关人类基因工程科技发展以及观点和看法。</w:t>
      </w:r>
    </w:p>
    <w:p w14:paraId="3EBB1EE2" w14:textId="77777777" w:rsidR="00D529CF" w:rsidRPr="00F34DF4" w:rsidRDefault="00D529CF" w:rsidP="00D529CF">
      <w:pPr>
        <w:spacing w:line="440" w:lineRule="exact"/>
        <w:ind w:firstLineChars="200" w:firstLine="480"/>
        <w:rPr>
          <w:rFonts w:ascii="Times New Roman" w:eastAsia="宋体" w:hAnsi="Times New Roman" w:cs="Times New Roman"/>
          <w:b/>
          <w:sz w:val="24"/>
        </w:rPr>
      </w:pPr>
      <w:r w:rsidRPr="00F34DF4">
        <w:rPr>
          <w:rFonts w:ascii="Times New Roman" w:eastAsia="宋体" w:hAnsi="Times New Roman" w:cs="Times New Roman"/>
          <w:sz w:val="24"/>
        </w:rPr>
        <w:t xml:space="preserve">3. </w:t>
      </w:r>
      <w:proofErr w:type="gramStart"/>
      <w:r w:rsidRPr="00F34DF4">
        <w:rPr>
          <w:rFonts w:ascii="Times New Roman" w:eastAsia="宋体" w:hAnsi="Times New Roman" w:cs="Times New Roman"/>
          <w:sz w:val="24"/>
        </w:rPr>
        <w:t>思政教育</w:t>
      </w:r>
      <w:proofErr w:type="gramEnd"/>
      <w:r w:rsidRPr="00F34DF4">
        <w:rPr>
          <w:rFonts w:ascii="Times New Roman" w:eastAsia="宋体" w:hAnsi="Times New Roman" w:cs="Times New Roman"/>
          <w:sz w:val="24"/>
        </w:rPr>
        <w:t>：了解习总书记共享发展的理念，辨证地分析人类基因工程的利与弊，进一步提升学生的人文社会素养和强烈的社会责任感。</w:t>
      </w:r>
    </w:p>
    <w:p w14:paraId="2B9CA68F" w14:textId="77777777" w:rsidR="00D529CF" w:rsidRPr="00F34DF4" w:rsidRDefault="00D529CF" w:rsidP="00D529CF">
      <w:pPr>
        <w:spacing w:line="440" w:lineRule="exact"/>
        <w:ind w:firstLineChars="200" w:firstLine="482"/>
        <w:rPr>
          <w:rFonts w:ascii="Times New Roman" w:eastAsia="宋体" w:hAnsi="Times New Roman" w:cs="Times New Roman"/>
          <w:sz w:val="24"/>
        </w:rPr>
      </w:pPr>
      <w:r w:rsidRPr="00F34DF4">
        <w:rPr>
          <w:rFonts w:ascii="Times New Roman" w:eastAsia="宋体" w:hAnsi="Times New Roman" w:cs="Times New Roman"/>
          <w:b/>
          <w:bCs/>
          <w:sz w:val="24"/>
        </w:rPr>
        <w:t>【教学方法】</w:t>
      </w:r>
    </w:p>
    <w:p w14:paraId="33AE895A"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1. </w:t>
      </w:r>
      <w:r w:rsidRPr="00F34DF4">
        <w:rPr>
          <w:rFonts w:ascii="Times New Roman" w:eastAsia="宋体" w:hAnsi="Times New Roman" w:cs="Times New Roman"/>
          <w:sz w:val="24"/>
        </w:rPr>
        <w:t>通过多媒体课件和传统教学相结合，详细介绍人类基因工程技术的发展应用，及其对社会的影响，丰富学生的知识结构，培养学生的职业规范。</w:t>
      </w:r>
    </w:p>
    <w:p w14:paraId="49D80D86"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通过任务型教学法，布置不同形式的任务，发挥学生学习的自觉性与主动性，强化自主学习的意识和行动，理论联系实际，实现知识的有效整合，培养综合素质。</w:t>
      </w:r>
    </w:p>
    <w:p w14:paraId="008BA0A1" w14:textId="77777777" w:rsidR="00D529CF" w:rsidRPr="00F34DF4" w:rsidRDefault="00D529CF" w:rsidP="00D529CF">
      <w:pPr>
        <w:spacing w:line="440" w:lineRule="exact"/>
        <w:rPr>
          <w:rFonts w:ascii="Times New Roman" w:eastAsia="宋体" w:hAnsi="Times New Roman" w:cs="Times New Roman"/>
          <w:sz w:val="24"/>
        </w:rPr>
      </w:pPr>
      <w:r w:rsidRPr="00F34DF4">
        <w:rPr>
          <w:rFonts w:ascii="Times New Roman" w:eastAsia="宋体" w:hAnsi="Times New Roman" w:cs="Times New Roman"/>
          <w:sz w:val="24"/>
        </w:rPr>
        <w:t xml:space="preserve">    3. </w:t>
      </w:r>
      <w:r w:rsidRPr="00F34DF4">
        <w:rPr>
          <w:rFonts w:ascii="Times New Roman" w:eastAsia="宋体" w:hAnsi="Times New Roman" w:cs="Times New Roman"/>
          <w:sz w:val="24"/>
        </w:rPr>
        <w:t>通过以问题为导向的探究式教学法，设置问题，要求学生自行查阅资料，同学相互交流，教师适时点拨等形式，培养学生查询资料，自主解决问题的能力。</w:t>
      </w:r>
    </w:p>
    <w:p w14:paraId="079DF6E4"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4. </w:t>
      </w:r>
      <w:r w:rsidRPr="00F34DF4">
        <w:rPr>
          <w:rFonts w:ascii="Times New Roman" w:eastAsia="宋体" w:hAnsi="Times New Roman" w:cs="Times New Roman"/>
          <w:sz w:val="24"/>
        </w:rPr>
        <w:t>通过小组合作学习，在讨论、互助学习与互助评价的活动中，引导学生思考科技发展对未来社会产生的影响，培养学生的合作能力、沟通能力以及思辨能力。</w:t>
      </w:r>
    </w:p>
    <w:p w14:paraId="5215375C"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5. </w:t>
      </w:r>
      <w:r w:rsidRPr="00F34DF4">
        <w:rPr>
          <w:rFonts w:ascii="Times New Roman" w:eastAsia="宋体" w:hAnsi="Times New Roman" w:cs="Times New Roman"/>
          <w:sz w:val="24"/>
        </w:rPr>
        <w:t>通过课堂汇报和课堂讨论，</w:t>
      </w:r>
      <w:r w:rsidRPr="00F34DF4">
        <w:rPr>
          <w:rFonts w:ascii="Times New Roman" w:eastAsia="宋体" w:hAnsi="Times New Roman" w:cs="Times New Roman"/>
          <w:bCs/>
          <w:sz w:val="24"/>
        </w:rPr>
        <w:t>培养学生的语言实践能力，</w:t>
      </w:r>
      <w:r w:rsidRPr="00F34DF4">
        <w:rPr>
          <w:rFonts w:ascii="Times New Roman" w:eastAsia="宋体" w:hAnsi="Times New Roman" w:cs="Times New Roman"/>
          <w:sz w:val="24"/>
        </w:rPr>
        <w:t>使学生能够顺畅利用英语就人类基因工程技术领域一些问题进行交流，发表观点与看法，发展学生的</w:t>
      </w:r>
      <w:r w:rsidRPr="00F34DF4">
        <w:rPr>
          <w:rFonts w:ascii="Times New Roman" w:eastAsia="宋体" w:hAnsi="Times New Roman" w:cs="Times New Roman"/>
          <w:bCs/>
          <w:sz w:val="24"/>
        </w:rPr>
        <w:t>语言实践能力</w:t>
      </w:r>
      <w:r w:rsidRPr="00F34DF4">
        <w:rPr>
          <w:rFonts w:ascii="Times New Roman" w:eastAsia="宋体" w:hAnsi="Times New Roman" w:cs="Times New Roman"/>
          <w:sz w:val="24"/>
        </w:rPr>
        <w:t>。</w:t>
      </w:r>
    </w:p>
    <w:p w14:paraId="12F9A20C" w14:textId="77777777" w:rsidR="00D529CF" w:rsidRPr="00F34DF4" w:rsidRDefault="00D529CF" w:rsidP="00D529CF">
      <w:pPr>
        <w:spacing w:line="440" w:lineRule="exact"/>
        <w:ind w:firstLineChars="200" w:firstLine="482"/>
        <w:rPr>
          <w:rFonts w:ascii="Times New Roman" w:eastAsia="宋体" w:hAnsi="Times New Roman" w:cs="Times New Roman"/>
          <w:bCs/>
          <w:sz w:val="24"/>
        </w:rPr>
      </w:pPr>
      <w:r w:rsidRPr="00F34DF4">
        <w:rPr>
          <w:rFonts w:ascii="Times New Roman" w:eastAsia="宋体" w:hAnsi="Times New Roman" w:cs="Times New Roman"/>
          <w:b/>
          <w:sz w:val="24"/>
        </w:rPr>
        <w:t>【复习思考】</w:t>
      </w:r>
    </w:p>
    <w:p w14:paraId="0DCA6B72"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1. </w:t>
      </w:r>
      <w:r w:rsidRPr="00F34DF4">
        <w:rPr>
          <w:rFonts w:ascii="Times New Roman" w:eastAsia="宋体" w:hAnsi="Times New Roman" w:cs="Times New Roman"/>
          <w:sz w:val="24"/>
        </w:rPr>
        <w:t>线上完成第六单元</w:t>
      </w:r>
      <w:r w:rsidRPr="00F34DF4">
        <w:rPr>
          <w:rFonts w:ascii="Times New Roman" w:eastAsia="宋体" w:hAnsi="Times New Roman" w:cs="Times New Roman"/>
          <w:sz w:val="24"/>
        </w:rPr>
        <w:t>Text A</w:t>
      </w:r>
      <w:r w:rsidRPr="00F34DF4">
        <w:rPr>
          <w:rFonts w:ascii="Times New Roman" w:eastAsia="宋体" w:hAnsi="Times New Roman" w:cs="Times New Roman"/>
          <w:sz w:val="24"/>
        </w:rPr>
        <w:t>课后练习题。</w:t>
      </w:r>
    </w:p>
    <w:p w14:paraId="2988BA06"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人类基因工程技术会对未来人类社会发展带来哪些利与弊？</w:t>
      </w:r>
    </w:p>
    <w:p w14:paraId="7D554833"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3. </w:t>
      </w:r>
      <w:r w:rsidRPr="00F34DF4">
        <w:rPr>
          <w:rFonts w:ascii="Times New Roman" w:eastAsia="宋体" w:hAnsi="Times New Roman" w:cs="Times New Roman"/>
          <w:sz w:val="24"/>
        </w:rPr>
        <w:t>总结归纳英语短文听力的方法与技巧。</w:t>
      </w:r>
    </w:p>
    <w:p w14:paraId="4BBFCC6E" w14:textId="77777777" w:rsidR="00D529CF" w:rsidRPr="00F34DF4" w:rsidRDefault="00D529CF" w:rsidP="00D529CF">
      <w:pPr>
        <w:spacing w:beforeLines="50" w:before="156" w:afterLines="50" w:after="156" w:line="440" w:lineRule="exact"/>
        <w:ind w:firstLineChars="200" w:firstLine="562"/>
        <w:rPr>
          <w:rFonts w:ascii="Times New Roman" w:eastAsia="宋体" w:hAnsi="Times New Roman" w:cs="Times New Roman"/>
          <w:sz w:val="24"/>
        </w:rPr>
      </w:pPr>
      <w:r w:rsidRPr="00F34DF4">
        <w:rPr>
          <w:rFonts w:ascii="Times New Roman" w:eastAsia="宋体" w:hAnsi="Times New Roman" w:cs="Times New Roman"/>
          <w:b/>
          <w:sz w:val="28"/>
          <w:szCs w:val="28"/>
        </w:rPr>
        <w:t>（二）、</w:t>
      </w:r>
      <w:r w:rsidRPr="00F34DF4">
        <w:rPr>
          <w:rFonts w:ascii="Times New Roman" w:eastAsia="宋体" w:hAnsi="Times New Roman" w:cs="Times New Roman"/>
          <w:sz w:val="28"/>
          <w:szCs w:val="28"/>
        </w:rPr>
        <w:t>课程学习内容与课程学习目标的对应关系</w:t>
      </w:r>
    </w:p>
    <w:tbl>
      <w:tblPr>
        <w:tblpPr w:leftFromText="180" w:rightFromText="180" w:vertAnchor="text" w:horzAnchor="page" w:tblpX="1372" w:tblpY="586"/>
        <w:tblOverlap w:val="never"/>
        <w:tblW w:w="9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D529CF" w:rsidRPr="00F34DF4" w14:paraId="5F679DDE" w14:textId="77777777" w:rsidTr="00BA2CFD">
        <w:trPr>
          <w:trHeight w:val="660"/>
        </w:trPr>
        <w:tc>
          <w:tcPr>
            <w:tcW w:w="3403" w:type="dxa"/>
            <w:vAlign w:val="center"/>
          </w:tcPr>
          <w:p w14:paraId="18127433" w14:textId="77777777" w:rsidR="00D529CF" w:rsidRPr="00F34DF4" w:rsidRDefault="00D529CF" w:rsidP="00BA2CFD">
            <w:pPr>
              <w:spacing w:line="440" w:lineRule="exact"/>
              <w:jc w:val="center"/>
              <w:rPr>
                <w:rFonts w:ascii="Times New Roman" w:eastAsia="宋体" w:hAnsi="Times New Roman" w:cs="Times New Roman"/>
                <w:b/>
                <w:bCs/>
                <w:sz w:val="24"/>
              </w:rPr>
            </w:pPr>
            <w:r w:rsidRPr="00F34DF4">
              <w:rPr>
                <w:rFonts w:ascii="Times New Roman" w:eastAsia="宋体" w:hAnsi="Times New Roman" w:cs="Times New Roman"/>
                <w:b/>
                <w:bCs/>
                <w:sz w:val="24"/>
              </w:rPr>
              <w:t>课程学习内容</w:t>
            </w:r>
          </w:p>
        </w:tc>
        <w:tc>
          <w:tcPr>
            <w:tcW w:w="2693" w:type="dxa"/>
            <w:vAlign w:val="center"/>
          </w:tcPr>
          <w:p w14:paraId="17009302" w14:textId="77777777" w:rsidR="00D529CF" w:rsidRPr="00F34DF4" w:rsidRDefault="00D529CF" w:rsidP="00BA2CFD">
            <w:pPr>
              <w:spacing w:line="440" w:lineRule="exact"/>
              <w:jc w:val="center"/>
              <w:rPr>
                <w:rFonts w:ascii="Times New Roman" w:eastAsia="宋体" w:hAnsi="Times New Roman" w:cs="Times New Roman"/>
                <w:b/>
                <w:bCs/>
                <w:sz w:val="24"/>
              </w:rPr>
            </w:pPr>
            <w:r w:rsidRPr="00F34DF4">
              <w:rPr>
                <w:rFonts w:ascii="Times New Roman" w:eastAsia="宋体" w:hAnsi="Times New Roman" w:cs="Times New Roman"/>
                <w:b/>
                <w:bCs/>
                <w:sz w:val="24"/>
              </w:rPr>
              <w:t>教学方法</w:t>
            </w:r>
          </w:p>
        </w:tc>
        <w:tc>
          <w:tcPr>
            <w:tcW w:w="1985" w:type="dxa"/>
            <w:vAlign w:val="center"/>
          </w:tcPr>
          <w:p w14:paraId="0C147C56" w14:textId="77777777" w:rsidR="00D529CF" w:rsidRPr="00F34DF4" w:rsidRDefault="00D529CF" w:rsidP="00BA2CFD">
            <w:pPr>
              <w:spacing w:line="440" w:lineRule="exact"/>
              <w:jc w:val="center"/>
              <w:rPr>
                <w:rFonts w:ascii="Times New Roman" w:eastAsia="宋体" w:hAnsi="Times New Roman" w:cs="Times New Roman"/>
                <w:b/>
                <w:bCs/>
                <w:sz w:val="24"/>
              </w:rPr>
            </w:pPr>
            <w:r w:rsidRPr="00F34DF4">
              <w:rPr>
                <w:rFonts w:ascii="Times New Roman" w:eastAsia="宋体" w:hAnsi="Times New Roman" w:cs="Times New Roman"/>
                <w:b/>
                <w:bCs/>
                <w:sz w:val="24"/>
              </w:rPr>
              <w:t>支撑的课程目标</w:t>
            </w:r>
          </w:p>
        </w:tc>
        <w:tc>
          <w:tcPr>
            <w:tcW w:w="1276" w:type="dxa"/>
            <w:vAlign w:val="center"/>
          </w:tcPr>
          <w:p w14:paraId="08F2A319" w14:textId="77777777" w:rsidR="00D529CF" w:rsidRPr="00F34DF4" w:rsidRDefault="00D529CF" w:rsidP="00BA2CFD">
            <w:pPr>
              <w:spacing w:line="440" w:lineRule="exact"/>
              <w:jc w:val="center"/>
              <w:rPr>
                <w:rFonts w:ascii="Times New Roman" w:eastAsia="宋体" w:hAnsi="Times New Roman" w:cs="Times New Roman"/>
                <w:b/>
                <w:bCs/>
                <w:sz w:val="24"/>
              </w:rPr>
            </w:pPr>
            <w:r w:rsidRPr="00F34DF4">
              <w:rPr>
                <w:rFonts w:ascii="Times New Roman" w:eastAsia="宋体" w:hAnsi="Times New Roman" w:cs="Times New Roman"/>
                <w:b/>
                <w:bCs/>
                <w:sz w:val="24"/>
              </w:rPr>
              <w:t>学时安排</w:t>
            </w:r>
          </w:p>
        </w:tc>
      </w:tr>
      <w:tr w:rsidR="00D529CF" w:rsidRPr="00F34DF4" w14:paraId="415CAF1E" w14:textId="77777777" w:rsidTr="00BA2CFD">
        <w:trPr>
          <w:trHeight w:val="514"/>
        </w:trPr>
        <w:tc>
          <w:tcPr>
            <w:tcW w:w="3403" w:type="dxa"/>
            <w:vAlign w:val="center"/>
          </w:tcPr>
          <w:p w14:paraId="252038CC" w14:textId="77777777" w:rsidR="00D529CF" w:rsidRPr="00F34DF4" w:rsidRDefault="00D529CF" w:rsidP="00BA2CFD">
            <w:pPr>
              <w:spacing w:beforeLines="50" w:before="156" w:afterLines="50" w:after="156" w:line="440" w:lineRule="exact"/>
              <w:rPr>
                <w:rFonts w:ascii="Times New Roman" w:eastAsia="宋体" w:hAnsi="Times New Roman" w:cs="Times New Roman"/>
                <w:sz w:val="24"/>
              </w:rPr>
            </w:pPr>
            <w:r w:rsidRPr="00F34DF4">
              <w:rPr>
                <w:rFonts w:ascii="Times New Roman" w:eastAsia="宋体" w:hAnsi="Times New Roman" w:cs="Times New Roman"/>
                <w:sz w:val="24"/>
              </w:rPr>
              <w:lastRenderedPageBreak/>
              <w:t>Unit2 Wealth and Prosperity</w:t>
            </w:r>
          </w:p>
        </w:tc>
        <w:tc>
          <w:tcPr>
            <w:tcW w:w="2693" w:type="dxa"/>
            <w:vAlign w:val="center"/>
          </w:tcPr>
          <w:p w14:paraId="602FBA35" w14:textId="77777777" w:rsidR="00D529CF" w:rsidRPr="00F34DF4" w:rsidRDefault="00D529CF" w:rsidP="00BA2CFD">
            <w:pPr>
              <w:spacing w:line="440" w:lineRule="exact"/>
              <w:rPr>
                <w:rFonts w:ascii="Times New Roman" w:eastAsia="宋体" w:hAnsi="Times New Roman" w:cs="Times New Roman"/>
                <w:sz w:val="24"/>
              </w:rPr>
            </w:pPr>
            <w:r w:rsidRPr="00F34DF4">
              <w:rPr>
                <w:rFonts w:ascii="Times New Roman" w:eastAsia="宋体" w:hAnsi="Times New Roman" w:cs="Times New Roman"/>
                <w:sz w:val="24"/>
              </w:rPr>
              <w:t>讲授法、任务法、混合式教学法（线上</w:t>
            </w:r>
            <w:r w:rsidRPr="00F34DF4">
              <w:rPr>
                <w:rFonts w:ascii="Times New Roman" w:eastAsia="宋体" w:hAnsi="Times New Roman" w:cs="Times New Roman"/>
                <w:sz w:val="24"/>
              </w:rPr>
              <w:t>+</w:t>
            </w:r>
            <w:r w:rsidRPr="00F34DF4">
              <w:rPr>
                <w:rFonts w:ascii="Times New Roman" w:eastAsia="宋体" w:hAnsi="Times New Roman" w:cs="Times New Roman"/>
                <w:sz w:val="24"/>
              </w:rPr>
              <w:t>线下）</w:t>
            </w:r>
          </w:p>
        </w:tc>
        <w:tc>
          <w:tcPr>
            <w:tcW w:w="1985" w:type="dxa"/>
            <w:vAlign w:val="center"/>
          </w:tcPr>
          <w:p w14:paraId="220763C4"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课程目标</w:t>
            </w:r>
            <w:r w:rsidRPr="00F34DF4">
              <w:rPr>
                <w:rFonts w:ascii="Times New Roman" w:eastAsia="宋体" w:hAnsi="Times New Roman" w:cs="Times New Roman"/>
                <w:sz w:val="24"/>
              </w:rPr>
              <w:t>1</w:t>
            </w:r>
            <w:r w:rsidRPr="00F34DF4">
              <w:rPr>
                <w:rFonts w:ascii="Times New Roman" w:eastAsia="宋体" w:hAnsi="Times New Roman" w:cs="Times New Roman"/>
                <w:sz w:val="24"/>
              </w:rPr>
              <w:t>、</w:t>
            </w:r>
            <w:r w:rsidRPr="00F34DF4">
              <w:rPr>
                <w:rFonts w:ascii="Times New Roman" w:eastAsia="宋体" w:hAnsi="Times New Roman" w:cs="Times New Roman"/>
                <w:sz w:val="24"/>
              </w:rPr>
              <w:t>2</w:t>
            </w:r>
            <w:r w:rsidRPr="00F34DF4">
              <w:rPr>
                <w:rFonts w:ascii="Times New Roman" w:eastAsia="宋体" w:hAnsi="Times New Roman" w:cs="Times New Roman"/>
                <w:sz w:val="24"/>
              </w:rPr>
              <w:t>、</w:t>
            </w:r>
            <w:r w:rsidRPr="00F34DF4">
              <w:rPr>
                <w:rFonts w:ascii="Times New Roman" w:eastAsia="宋体" w:hAnsi="Times New Roman" w:cs="Times New Roman"/>
                <w:sz w:val="24"/>
              </w:rPr>
              <w:t>3</w:t>
            </w:r>
          </w:p>
        </w:tc>
        <w:tc>
          <w:tcPr>
            <w:tcW w:w="1276" w:type="dxa"/>
            <w:vAlign w:val="center"/>
          </w:tcPr>
          <w:p w14:paraId="108B07E2"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理论</w:t>
            </w:r>
            <w:r w:rsidRPr="00F34DF4">
              <w:rPr>
                <w:rFonts w:ascii="Times New Roman" w:eastAsia="宋体" w:hAnsi="Times New Roman" w:cs="Times New Roman"/>
                <w:sz w:val="24"/>
              </w:rPr>
              <w:t>8</w:t>
            </w:r>
          </w:p>
          <w:p w14:paraId="40BA2CFD"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线上</w:t>
            </w:r>
            <w:r w:rsidRPr="00F34DF4">
              <w:rPr>
                <w:rFonts w:ascii="Times New Roman" w:eastAsia="宋体" w:hAnsi="Times New Roman" w:cs="Times New Roman"/>
                <w:sz w:val="24"/>
              </w:rPr>
              <w:t>4</w:t>
            </w:r>
          </w:p>
        </w:tc>
      </w:tr>
      <w:tr w:rsidR="00D529CF" w:rsidRPr="00F34DF4" w14:paraId="4C6F1FB5" w14:textId="77777777" w:rsidTr="00BA2CFD">
        <w:trPr>
          <w:trHeight w:val="90"/>
        </w:trPr>
        <w:tc>
          <w:tcPr>
            <w:tcW w:w="3403" w:type="dxa"/>
            <w:vAlign w:val="center"/>
          </w:tcPr>
          <w:p w14:paraId="1BB6D722" w14:textId="77777777" w:rsidR="00D529CF" w:rsidRPr="00F34DF4" w:rsidRDefault="00D529CF" w:rsidP="00BA2CFD">
            <w:pPr>
              <w:spacing w:beforeLines="50" w:before="156" w:afterLines="50" w:after="156" w:line="440" w:lineRule="exact"/>
              <w:rPr>
                <w:rFonts w:ascii="Times New Roman" w:eastAsia="宋体" w:hAnsi="Times New Roman" w:cs="Times New Roman"/>
                <w:sz w:val="24"/>
              </w:rPr>
            </w:pPr>
            <w:r w:rsidRPr="00F34DF4">
              <w:rPr>
                <w:rFonts w:ascii="Times New Roman" w:eastAsia="宋体" w:hAnsi="Times New Roman" w:cs="Times New Roman"/>
                <w:sz w:val="24"/>
              </w:rPr>
              <w:t xml:space="preserve">Unit3 New Era and Digital Civilization </w:t>
            </w:r>
          </w:p>
        </w:tc>
        <w:tc>
          <w:tcPr>
            <w:tcW w:w="2693" w:type="dxa"/>
            <w:vAlign w:val="center"/>
          </w:tcPr>
          <w:p w14:paraId="506806E5" w14:textId="77777777" w:rsidR="00D529CF" w:rsidRPr="00F34DF4" w:rsidRDefault="00D529CF" w:rsidP="00BA2CFD">
            <w:pPr>
              <w:spacing w:line="440" w:lineRule="exact"/>
              <w:rPr>
                <w:rFonts w:ascii="Times New Roman" w:eastAsia="宋体" w:hAnsi="Times New Roman" w:cs="Times New Roman"/>
                <w:sz w:val="24"/>
              </w:rPr>
            </w:pPr>
            <w:r w:rsidRPr="00F34DF4">
              <w:rPr>
                <w:rFonts w:ascii="Times New Roman" w:eastAsia="宋体" w:hAnsi="Times New Roman" w:cs="Times New Roman"/>
                <w:sz w:val="24"/>
              </w:rPr>
              <w:t>任务法、混合式教学（线上</w:t>
            </w:r>
            <w:r w:rsidRPr="00F34DF4">
              <w:rPr>
                <w:rFonts w:ascii="Times New Roman" w:eastAsia="宋体" w:hAnsi="Times New Roman" w:cs="Times New Roman"/>
                <w:sz w:val="24"/>
              </w:rPr>
              <w:t>+</w:t>
            </w:r>
            <w:r w:rsidRPr="00F34DF4">
              <w:rPr>
                <w:rFonts w:ascii="Times New Roman" w:eastAsia="宋体" w:hAnsi="Times New Roman" w:cs="Times New Roman"/>
                <w:sz w:val="24"/>
              </w:rPr>
              <w:t>线下）、合作讨论法</w:t>
            </w:r>
          </w:p>
        </w:tc>
        <w:tc>
          <w:tcPr>
            <w:tcW w:w="1985" w:type="dxa"/>
            <w:vAlign w:val="center"/>
          </w:tcPr>
          <w:p w14:paraId="41DD6D56"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课程目标</w:t>
            </w:r>
            <w:r w:rsidRPr="00F34DF4">
              <w:rPr>
                <w:rFonts w:ascii="Times New Roman" w:eastAsia="宋体" w:hAnsi="Times New Roman" w:cs="Times New Roman"/>
                <w:sz w:val="24"/>
              </w:rPr>
              <w:t>1</w:t>
            </w:r>
            <w:r w:rsidRPr="00F34DF4">
              <w:rPr>
                <w:rFonts w:ascii="Times New Roman" w:eastAsia="宋体" w:hAnsi="Times New Roman" w:cs="Times New Roman"/>
                <w:sz w:val="24"/>
              </w:rPr>
              <w:t>、</w:t>
            </w:r>
            <w:r w:rsidRPr="00F34DF4">
              <w:rPr>
                <w:rFonts w:ascii="Times New Roman" w:eastAsia="宋体" w:hAnsi="Times New Roman" w:cs="Times New Roman"/>
                <w:sz w:val="24"/>
              </w:rPr>
              <w:t>2</w:t>
            </w:r>
            <w:r w:rsidRPr="00F34DF4">
              <w:rPr>
                <w:rFonts w:ascii="Times New Roman" w:eastAsia="宋体" w:hAnsi="Times New Roman" w:cs="Times New Roman"/>
                <w:sz w:val="24"/>
              </w:rPr>
              <w:t>、</w:t>
            </w:r>
            <w:r w:rsidRPr="00F34DF4">
              <w:rPr>
                <w:rFonts w:ascii="Times New Roman" w:eastAsia="宋体" w:hAnsi="Times New Roman" w:cs="Times New Roman"/>
                <w:sz w:val="24"/>
              </w:rPr>
              <w:t>3</w:t>
            </w:r>
          </w:p>
        </w:tc>
        <w:tc>
          <w:tcPr>
            <w:tcW w:w="1276" w:type="dxa"/>
            <w:vAlign w:val="center"/>
          </w:tcPr>
          <w:p w14:paraId="66B85687"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理论</w:t>
            </w:r>
            <w:r w:rsidRPr="00F34DF4">
              <w:rPr>
                <w:rFonts w:ascii="Times New Roman" w:eastAsia="宋体" w:hAnsi="Times New Roman" w:cs="Times New Roman"/>
                <w:sz w:val="24"/>
              </w:rPr>
              <w:t>8</w:t>
            </w:r>
          </w:p>
          <w:p w14:paraId="48DC7486"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线上</w:t>
            </w:r>
            <w:r w:rsidRPr="00F34DF4">
              <w:rPr>
                <w:rFonts w:ascii="Times New Roman" w:eastAsia="宋体" w:hAnsi="Times New Roman" w:cs="Times New Roman"/>
                <w:sz w:val="24"/>
              </w:rPr>
              <w:t>4</w:t>
            </w:r>
          </w:p>
        </w:tc>
      </w:tr>
      <w:tr w:rsidR="00D529CF" w:rsidRPr="00F34DF4" w14:paraId="1B15026C" w14:textId="77777777" w:rsidTr="00BA2CFD">
        <w:trPr>
          <w:trHeight w:val="1172"/>
        </w:trPr>
        <w:tc>
          <w:tcPr>
            <w:tcW w:w="3403" w:type="dxa"/>
            <w:vAlign w:val="center"/>
          </w:tcPr>
          <w:p w14:paraId="5E20333A" w14:textId="77777777" w:rsidR="00D529CF" w:rsidRPr="00F34DF4" w:rsidRDefault="00D529CF" w:rsidP="00BA2CFD">
            <w:pPr>
              <w:spacing w:beforeLines="50" w:before="156" w:afterLines="50" w:after="156" w:line="440" w:lineRule="exact"/>
              <w:rPr>
                <w:rFonts w:ascii="Times New Roman" w:eastAsia="宋体" w:hAnsi="Times New Roman" w:cs="Times New Roman"/>
                <w:sz w:val="24"/>
              </w:rPr>
            </w:pPr>
            <w:r w:rsidRPr="00F34DF4">
              <w:rPr>
                <w:rFonts w:ascii="Times New Roman" w:eastAsia="宋体" w:hAnsi="Times New Roman" w:cs="Times New Roman"/>
                <w:sz w:val="24"/>
              </w:rPr>
              <w:t xml:space="preserve">Unit5 Sports and Social Civility </w:t>
            </w:r>
          </w:p>
        </w:tc>
        <w:tc>
          <w:tcPr>
            <w:tcW w:w="2693" w:type="dxa"/>
            <w:vAlign w:val="center"/>
          </w:tcPr>
          <w:p w14:paraId="145A150F"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翻转课堂、任务法、混合式教学（线上</w:t>
            </w:r>
            <w:r w:rsidRPr="00F34DF4">
              <w:rPr>
                <w:rFonts w:ascii="Times New Roman" w:eastAsia="宋体" w:hAnsi="Times New Roman" w:cs="Times New Roman"/>
                <w:sz w:val="24"/>
              </w:rPr>
              <w:t>+</w:t>
            </w:r>
            <w:r w:rsidRPr="00F34DF4">
              <w:rPr>
                <w:rFonts w:ascii="Times New Roman" w:eastAsia="宋体" w:hAnsi="Times New Roman" w:cs="Times New Roman"/>
                <w:sz w:val="24"/>
              </w:rPr>
              <w:t>线下）</w:t>
            </w:r>
          </w:p>
        </w:tc>
        <w:tc>
          <w:tcPr>
            <w:tcW w:w="1985" w:type="dxa"/>
            <w:vAlign w:val="center"/>
          </w:tcPr>
          <w:p w14:paraId="5EE6A3E2"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课程目标</w:t>
            </w:r>
            <w:r w:rsidRPr="00F34DF4">
              <w:rPr>
                <w:rFonts w:ascii="Times New Roman" w:eastAsia="宋体" w:hAnsi="Times New Roman" w:cs="Times New Roman"/>
                <w:sz w:val="24"/>
              </w:rPr>
              <w:t>1</w:t>
            </w:r>
            <w:r w:rsidRPr="00F34DF4">
              <w:rPr>
                <w:rFonts w:ascii="Times New Roman" w:eastAsia="宋体" w:hAnsi="Times New Roman" w:cs="Times New Roman"/>
                <w:sz w:val="24"/>
              </w:rPr>
              <w:t>、</w:t>
            </w:r>
            <w:r w:rsidRPr="00F34DF4">
              <w:rPr>
                <w:rFonts w:ascii="Times New Roman" w:eastAsia="宋体" w:hAnsi="Times New Roman" w:cs="Times New Roman"/>
                <w:sz w:val="24"/>
              </w:rPr>
              <w:t>2</w:t>
            </w:r>
            <w:r w:rsidRPr="00F34DF4">
              <w:rPr>
                <w:rFonts w:ascii="Times New Roman" w:eastAsia="宋体" w:hAnsi="Times New Roman" w:cs="Times New Roman"/>
                <w:sz w:val="24"/>
              </w:rPr>
              <w:t>、</w:t>
            </w:r>
            <w:r w:rsidRPr="00F34DF4">
              <w:rPr>
                <w:rFonts w:ascii="Times New Roman" w:eastAsia="宋体" w:hAnsi="Times New Roman" w:cs="Times New Roman"/>
                <w:sz w:val="24"/>
              </w:rPr>
              <w:t>3</w:t>
            </w:r>
          </w:p>
        </w:tc>
        <w:tc>
          <w:tcPr>
            <w:tcW w:w="1276" w:type="dxa"/>
            <w:vAlign w:val="center"/>
          </w:tcPr>
          <w:p w14:paraId="512A0139"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理论</w:t>
            </w:r>
            <w:r w:rsidRPr="00F34DF4">
              <w:rPr>
                <w:rFonts w:ascii="Times New Roman" w:eastAsia="宋体" w:hAnsi="Times New Roman" w:cs="Times New Roman"/>
                <w:sz w:val="24"/>
              </w:rPr>
              <w:t>8</w:t>
            </w:r>
          </w:p>
          <w:p w14:paraId="537DC5AB"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线上</w:t>
            </w:r>
            <w:r w:rsidRPr="00F34DF4">
              <w:rPr>
                <w:rFonts w:ascii="Times New Roman" w:eastAsia="宋体" w:hAnsi="Times New Roman" w:cs="Times New Roman"/>
                <w:sz w:val="24"/>
              </w:rPr>
              <w:t>4</w:t>
            </w:r>
          </w:p>
        </w:tc>
      </w:tr>
      <w:tr w:rsidR="00D529CF" w:rsidRPr="00F34DF4" w14:paraId="57CBE0F5" w14:textId="77777777" w:rsidTr="00BA2CFD">
        <w:tc>
          <w:tcPr>
            <w:tcW w:w="3403" w:type="dxa"/>
            <w:vAlign w:val="center"/>
          </w:tcPr>
          <w:p w14:paraId="100A9FC9" w14:textId="77777777" w:rsidR="00D529CF" w:rsidRPr="00F34DF4" w:rsidRDefault="00D529CF" w:rsidP="00BA2CFD">
            <w:pPr>
              <w:spacing w:beforeLines="50" w:before="156" w:afterLines="50" w:after="156" w:line="440" w:lineRule="exact"/>
              <w:rPr>
                <w:rFonts w:ascii="Times New Roman" w:eastAsia="宋体" w:hAnsi="Times New Roman" w:cs="Times New Roman"/>
                <w:sz w:val="24"/>
              </w:rPr>
            </w:pPr>
            <w:r w:rsidRPr="00F34DF4">
              <w:rPr>
                <w:rFonts w:ascii="Times New Roman" w:eastAsia="宋体" w:hAnsi="Times New Roman" w:cs="Times New Roman"/>
                <w:sz w:val="24"/>
              </w:rPr>
              <w:t xml:space="preserve">Unit6 Scientific Advances and Equality </w:t>
            </w:r>
          </w:p>
        </w:tc>
        <w:tc>
          <w:tcPr>
            <w:tcW w:w="2693" w:type="dxa"/>
            <w:vAlign w:val="center"/>
          </w:tcPr>
          <w:p w14:paraId="02A09E7E" w14:textId="77777777" w:rsidR="00D529CF" w:rsidRPr="00F34DF4" w:rsidRDefault="00D529CF" w:rsidP="00BA2CFD">
            <w:pPr>
              <w:spacing w:line="440" w:lineRule="exact"/>
              <w:rPr>
                <w:rFonts w:ascii="Times New Roman" w:eastAsia="宋体" w:hAnsi="Times New Roman" w:cs="Times New Roman"/>
                <w:sz w:val="24"/>
              </w:rPr>
            </w:pPr>
            <w:r w:rsidRPr="00F34DF4">
              <w:rPr>
                <w:rFonts w:ascii="Times New Roman" w:eastAsia="宋体" w:hAnsi="Times New Roman" w:cs="Times New Roman"/>
                <w:sz w:val="24"/>
              </w:rPr>
              <w:t>翻转课堂、讲授法、混合式教学（线上</w:t>
            </w:r>
            <w:r w:rsidRPr="00F34DF4">
              <w:rPr>
                <w:rFonts w:ascii="Times New Roman" w:eastAsia="宋体" w:hAnsi="Times New Roman" w:cs="Times New Roman"/>
                <w:sz w:val="24"/>
              </w:rPr>
              <w:t>+</w:t>
            </w:r>
            <w:r w:rsidRPr="00F34DF4">
              <w:rPr>
                <w:rFonts w:ascii="Times New Roman" w:eastAsia="宋体" w:hAnsi="Times New Roman" w:cs="Times New Roman"/>
                <w:sz w:val="24"/>
              </w:rPr>
              <w:t>线下）、合作讨论法</w:t>
            </w:r>
          </w:p>
        </w:tc>
        <w:tc>
          <w:tcPr>
            <w:tcW w:w="1985" w:type="dxa"/>
            <w:vAlign w:val="center"/>
          </w:tcPr>
          <w:p w14:paraId="66ECEB4A"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课程目标</w:t>
            </w:r>
            <w:r w:rsidRPr="00F34DF4">
              <w:rPr>
                <w:rFonts w:ascii="Times New Roman" w:eastAsia="宋体" w:hAnsi="Times New Roman" w:cs="Times New Roman"/>
                <w:sz w:val="24"/>
              </w:rPr>
              <w:t>1</w:t>
            </w:r>
            <w:r w:rsidRPr="00F34DF4">
              <w:rPr>
                <w:rFonts w:ascii="Times New Roman" w:eastAsia="宋体" w:hAnsi="Times New Roman" w:cs="Times New Roman"/>
                <w:sz w:val="24"/>
              </w:rPr>
              <w:t>、</w:t>
            </w:r>
            <w:r w:rsidRPr="00F34DF4">
              <w:rPr>
                <w:rFonts w:ascii="Times New Roman" w:eastAsia="宋体" w:hAnsi="Times New Roman" w:cs="Times New Roman"/>
                <w:sz w:val="24"/>
              </w:rPr>
              <w:t>2</w:t>
            </w:r>
            <w:r w:rsidRPr="00F34DF4">
              <w:rPr>
                <w:rFonts w:ascii="Times New Roman" w:eastAsia="宋体" w:hAnsi="Times New Roman" w:cs="Times New Roman"/>
                <w:sz w:val="24"/>
              </w:rPr>
              <w:t>、</w:t>
            </w:r>
            <w:r w:rsidRPr="00F34DF4">
              <w:rPr>
                <w:rFonts w:ascii="Times New Roman" w:eastAsia="宋体" w:hAnsi="Times New Roman" w:cs="Times New Roman"/>
                <w:sz w:val="24"/>
              </w:rPr>
              <w:t>3</w:t>
            </w:r>
          </w:p>
        </w:tc>
        <w:tc>
          <w:tcPr>
            <w:tcW w:w="1276" w:type="dxa"/>
            <w:vAlign w:val="center"/>
          </w:tcPr>
          <w:p w14:paraId="2A0B5379"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理论</w:t>
            </w:r>
            <w:r w:rsidRPr="00F34DF4">
              <w:rPr>
                <w:rFonts w:ascii="Times New Roman" w:eastAsia="宋体" w:hAnsi="Times New Roman" w:cs="Times New Roman"/>
                <w:sz w:val="24"/>
              </w:rPr>
              <w:t>8</w:t>
            </w:r>
          </w:p>
          <w:p w14:paraId="0F8E0E6B"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线上</w:t>
            </w:r>
            <w:r w:rsidRPr="00F34DF4">
              <w:rPr>
                <w:rFonts w:ascii="Times New Roman" w:eastAsia="宋体" w:hAnsi="Times New Roman" w:cs="Times New Roman"/>
                <w:sz w:val="24"/>
              </w:rPr>
              <w:t>4</w:t>
            </w:r>
          </w:p>
        </w:tc>
      </w:tr>
      <w:tr w:rsidR="00D529CF" w:rsidRPr="00F34DF4" w14:paraId="57F9F6E0" w14:textId="77777777" w:rsidTr="00BA2CFD">
        <w:tc>
          <w:tcPr>
            <w:tcW w:w="8081" w:type="dxa"/>
            <w:gridSpan w:val="3"/>
            <w:vAlign w:val="center"/>
          </w:tcPr>
          <w:p w14:paraId="4381F8C9" w14:textId="77777777" w:rsidR="00D529CF" w:rsidRPr="00F34DF4" w:rsidRDefault="00D529CF" w:rsidP="00BA2CFD">
            <w:pPr>
              <w:spacing w:line="440" w:lineRule="exact"/>
              <w:jc w:val="center"/>
              <w:rPr>
                <w:rFonts w:ascii="Times New Roman" w:eastAsia="宋体" w:hAnsi="Times New Roman" w:cs="Times New Roman"/>
                <w:b/>
                <w:sz w:val="24"/>
              </w:rPr>
            </w:pPr>
            <w:r w:rsidRPr="00F34DF4">
              <w:rPr>
                <w:rFonts w:ascii="Times New Roman" w:eastAsia="宋体" w:hAnsi="Times New Roman" w:cs="Times New Roman"/>
                <w:b/>
                <w:sz w:val="24"/>
              </w:rPr>
              <w:t>合计</w:t>
            </w:r>
          </w:p>
        </w:tc>
        <w:tc>
          <w:tcPr>
            <w:tcW w:w="1276" w:type="dxa"/>
            <w:vAlign w:val="center"/>
          </w:tcPr>
          <w:p w14:paraId="6C32126E" w14:textId="77777777" w:rsidR="00D529CF" w:rsidRPr="00F34DF4" w:rsidRDefault="00D529CF" w:rsidP="00BA2CFD">
            <w:pPr>
              <w:spacing w:line="440" w:lineRule="exact"/>
              <w:jc w:val="center"/>
              <w:rPr>
                <w:rFonts w:ascii="Times New Roman" w:eastAsia="宋体" w:hAnsi="Times New Roman" w:cs="Times New Roman"/>
                <w:sz w:val="24"/>
              </w:rPr>
            </w:pPr>
            <w:r w:rsidRPr="00F34DF4">
              <w:rPr>
                <w:rFonts w:ascii="Times New Roman" w:eastAsia="宋体" w:hAnsi="Times New Roman" w:cs="Times New Roman"/>
                <w:sz w:val="24"/>
              </w:rPr>
              <w:t>48</w:t>
            </w:r>
          </w:p>
        </w:tc>
      </w:tr>
    </w:tbl>
    <w:p w14:paraId="2B80E563" w14:textId="77777777" w:rsidR="00D529CF" w:rsidRPr="007D2A80" w:rsidRDefault="00D529CF" w:rsidP="00D529CF">
      <w:pPr>
        <w:spacing w:beforeLines="50" w:before="156" w:afterLines="50" w:after="156" w:line="440" w:lineRule="exact"/>
        <w:ind w:firstLineChars="200" w:firstLine="480"/>
        <w:rPr>
          <w:rFonts w:ascii="黑体" w:eastAsia="黑体" w:hAnsi="黑体" w:cs="Times New Roman"/>
          <w:sz w:val="24"/>
        </w:rPr>
      </w:pPr>
    </w:p>
    <w:p w14:paraId="0AECE408" w14:textId="77777777" w:rsidR="00D529CF" w:rsidRPr="007D2A80" w:rsidRDefault="00D529CF" w:rsidP="00D529CF">
      <w:pPr>
        <w:spacing w:beforeLines="50" w:before="156" w:afterLines="50" w:after="156" w:line="440" w:lineRule="exact"/>
        <w:ind w:firstLineChars="200" w:firstLine="560"/>
        <w:rPr>
          <w:rFonts w:ascii="黑体" w:eastAsia="黑体" w:hAnsi="黑体" w:cs="Times New Roman"/>
          <w:sz w:val="24"/>
        </w:rPr>
      </w:pPr>
      <w:r w:rsidRPr="007D2A80">
        <w:rPr>
          <w:rFonts w:ascii="黑体" w:eastAsia="黑体" w:hAnsi="黑体" w:cs="Times New Roman"/>
          <w:sz w:val="28"/>
          <w:szCs w:val="28"/>
        </w:rPr>
        <w:t>四、课程考核及与课程学习目标的对应关系</w:t>
      </w:r>
    </w:p>
    <w:p w14:paraId="3CF4AAF3" w14:textId="77777777" w:rsidR="00D529CF" w:rsidRPr="007D2A80" w:rsidRDefault="00D529CF" w:rsidP="00D529CF">
      <w:pPr>
        <w:spacing w:beforeLines="50" w:before="156" w:afterLines="50" w:after="156" w:line="440" w:lineRule="exact"/>
        <w:ind w:firstLineChars="200" w:firstLine="560"/>
        <w:rPr>
          <w:rFonts w:ascii="黑体" w:eastAsia="黑体" w:hAnsi="黑体" w:cs="Times New Roman"/>
          <w:sz w:val="28"/>
          <w:szCs w:val="28"/>
        </w:rPr>
      </w:pPr>
      <w:r w:rsidRPr="007D2A80">
        <w:rPr>
          <w:rFonts w:ascii="黑体" w:eastAsia="黑体" w:hAnsi="黑体" w:cs="Times New Roman"/>
          <w:sz w:val="28"/>
          <w:szCs w:val="28"/>
        </w:rPr>
        <w:t>（一）课程考核内容与课程学习目标的对应关系</w:t>
      </w:r>
    </w:p>
    <w:tbl>
      <w:tblPr>
        <w:tblpPr w:leftFromText="180" w:rightFromText="180" w:vertAnchor="text" w:horzAnchor="page" w:tblpX="1523" w:tblpY="605"/>
        <w:tblOverlap w:val="neve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D529CF" w:rsidRPr="00F34DF4" w14:paraId="47EEE5BF" w14:textId="77777777" w:rsidTr="00BA2CFD">
        <w:trPr>
          <w:trHeight w:val="515"/>
        </w:trPr>
        <w:tc>
          <w:tcPr>
            <w:tcW w:w="1422" w:type="dxa"/>
          </w:tcPr>
          <w:p w14:paraId="114EEDEB" w14:textId="77777777" w:rsidR="00D529CF" w:rsidRPr="00F34DF4" w:rsidRDefault="00D529CF" w:rsidP="00BA2CFD">
            <w:pPr>
              <w:spacing w:line="440" w:lineRule="exact"/>
              <w:jc w:val="center"/>
              <w:rPr>
                <w:rFonts w:ascii="Times New Roman" w:eastAsia="宋体" w:hAnsi="Times New Roman" w:cs="Times New Roman"/>
                <w:b/>
                <w:sz w:val="24"/>
              </w:rPr>
            </w:pPr>
            <w:r w:rsidRPr="00F34DF4">
              <w:rPr>
                <w:rFonts w:ascii="Times New Roman" w:eastAsia="宋体" w:hAnsi="Times New Roman" w:cs="Times New Roman"/>
                <w:b/>
                <w:sz w:val="24"/>
              </w:rPr>
              <w:t>课程目标</w:t>
            </w:r>
          </w:p>
        </w:tc>
        <w:tc>
          <w:tcPr>
            <w:tcW w:w="7918" w:type="dxa"/>
            <w:vAlign w:val="center"/>
          </w:tcPr>
          <w:p w14:paraId="1C0A0858" w14:textId="77777777" w:rsidR="00D529CF" w:rsidRPr="00F34DF4" w:rsidRDefault="00D529CF" w:rsidP="00BA2CFD">
            <w:pPr>
              <w:spacing w:line="440" w:lineRule="exact"/>
              <w:jc w:val="center"/>
              <w:rPr>
                <w:rFonts w:ascii="Times New Roman" w:eastAsia="宋体" w:hAnsi="Times New Roman" w:cs="Times New Roman"/>
                <w:b/>
                <w:sz w:val="24"/>
              </w:rPr>
            </w:pPr>
            <w:r w:rsidRPr="00F34DF4">
              <w:rPr>
                <w:rFonts w:ascii="Times New Roman" w:eastAsia="宋体" w:hAnsi="Times New Roman" w:cs="Times New Roman"/>
                <w:b/>
                <w:sz w:val="24"/>
              </w:rPr>
              <w:t>考核内容</w:t>
            </w:r>
          </w:p>
        </w:tc>
      </w:tr>
      <w:tr w:rsidR="00D529CF" w:rsidRPr="00F34DF4" w14:paraId="5BEA8F49" w14:textId="77777777" w:rsidTr="00BA2CFD">
        <w:tc>
          <w:tcPr>
            <w:tcW w:w="1422" w:type="dxa"/>
            <w:vAlign w:val="center"/>
          </w:tcPr>
          <w:p w14:paraId="32F098B2"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课程目标</w:t>
            </w:r>
            <w:r w:rsidRPr="00F34DF4">
              <w:rPr>
                <w:rFonts w:ascii="Times New Roman" w:eastAsia="宋体" w:hAnsi="Times New Roman" w:cs="Times New Roman"/>
                <w:bCs/>
                <w:sz w:val="24"/>
              </w:rPr>
              <w:t>1</w:t>
            </w:r>
          </w:p>
        </w:tc>
        <w:tc>
          <w:tcPr>
            <w:tcW w:w="7918" w:type="dxa"/>
            <w:vAlign w:val="center"/>
          </w:tcPr>
          <w:p w14:paraId="531EA301" w14:textId="77777777" w:rsidR="00D529CF" w:rsidRPr="00F34DF4" w:rsidRDefault="00D529CF" w:rsidP="00BA2CFD">
            <w:pPr>
              <w:spacing w:line="440" w:lineRule="exact"/>
              <w:ind w:left="480" w:hangingChars="200" w:hanging="480"/>
              <w:rPr>
                <w:rFonts w:ascii="Times New Roman" w:eastAsia="宋体" w:hAnsi="Times New Roman" w:cs="Times New Roman"/>
                <w:bCs/>
                <w:sz w:val="24"/>
              </w:rPr>
            </w:pPr>
            <w:r w:rsidRPr="00F34DF4">
              <w:rPr>
                <w:rFonts w:ascii="Times New Roman" w:eastAsia="宋体" w:hAnsi="Times New Roman" w:cs="Times New Roman"/>
                <w:bCs/>
                <w:sz w:val="24"/>
              </w:rPr>
              <w:t xml:space="preserve">1.1 </w:t>
            </w:r>
            <w:r w:rsidRPr="00F34DF4">
              <w:rPr>
                <w:rFonts w:ascii="Times New Roman" w:eastAsia="宋体" w:hAnsi="Times New Roman" w:cs="Times New Roman"/>
                <w:bCs/>
                <w:sz w:val="24"/>
              </w:rPr>
              <w:t>英语基础知识（词汇、语法等）对课文内容的理解、对文章主题的把握</w:t>
            </w:r>
            <w:r w:rsidRPr="00F34DF4">
              <w:rPr>
                <w:rFonts w:ascii="Times New Roman" w:eastAsia="宋体" w:hAnsi="Times New Roman" w:cs="Times New Roman"/>
                <w:bCs/>
                <w:sz w:val="24"/>
              </w:rPr>
              <w:t>,</w:t>
            </w:r>
            <w:r w:rsidRPr="00F34DF4">
              <w:rPr>
                <w:rFonts w:ascii="Times New Roman" w:eastAsia="宋体" w:hAnsi="Times New Roman" w:cs="Times New Roman"/>
                <w:bCs/>
                <w:sz w:val="24"/>
              </w:rPr>
              <w:t>英语知识的综合运用能力（口语、听力、阅读、翻译、写作能力等）</w:t>
            </w:r>
          </w:p>
          <w:p w14:paraId="59603BFF" w14:textId="77777777" w:rsidR="00D529CF" w:rsidRPr="00F34DF4" w:rsidRDefault="00D529CF" w:rsidP="00BA2CFD">
            <w:pPr>
              <w:spacing w:line="440" w:lineRule="exact"/>
              <w:rPr>
                <w:rFonts w:ascii="Times New Roman" w:eastAsia="宋体" w:hAnsi="Times New Roman" w:cs="Times New Roman"/>
                <w:bCs/>
                <w:sz w:val="24"/>
              </w:rPr>
            </w:pPr>
            <w:r w:rsidRPr="00F34DF4">
              <w:rPr>
                <w:rFonts w:ascii="Times New Roman" w:eastAsia="宋体" w:hAnsi="Times New Roman" w:cs="Times New Roman"/>
                <w:bCs/>
                <w:sz w:val="24"/>
              </w:rPr>
              <w:t>1.2</w:t>
            </w:r>
            <w:r w:rsidRPr="00F34DF4">
              <w:rPr>
                <w:rFonts w:ascii="Times New Roman" w:eastAsia="宋体" w:hAnsi="Times New Roman" w:cs="Times New Roman"/>
                <w:sz w:val="24"/>
              </w:rPr>
              <w:t>学生的自主学习能力、学生的学习自律和终身学习意识。</w:t>
            </w:r>
          </w:p>
        </w:tc>
      </w:tr>
      <w:tr w:rsidR="00D529CF" w:rsidRPr="00F34DF4" w14:paraId="16E1FA2A" w14:textId="77777777" w:rsidTr="00BA2CFD">
        <w:tc>
          <w:tcPr>
            <w:tcW w:w="1422" w:type="dxa"/>
            <w:vAlign w:val="center"/>
          </w:tcPr>
          <w:p w14:paraId="5087C1B4"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课程目标</w:t>
            </w:r>
            <w:r w:rsidRPr="00F34DF4">
              <w:rPr>
                <w:rFonts w:ascii="Times New Roman" w:eastAsia="宋体" w:hAnsi="Times New Roman" w:cs="Times New Roman"/>
                <w:bCs/>
                <w:sz w:val="24"/>
              </w:rPr>
              <w:t>2</w:t>
            </w:r>
          </w:p>
        </w:tc>
        <w:tc>
          <w:tcPr>
            <w:tcW w:w="7918" w:type="dxa"/>
            <w:vAlign w:val="center"/>
          </w:tcPr>
          <w:p w14:paraId="031EFC99" w14:textId="77777777" w:rsidR="00D529CF" w:rsidRPr="00F34DF4" w:rsidRDefault="00D529CF" w:rsidP="00BA2CFD">
            <w:pPr>
              <w:spacing w:line="440" w:lineRule="exact"/>
              <w:rPr>
                <w:rFonts w:ascii="Times New Roman" w:eastAsia="宋体" w:hAnsi="Times New Roman" w:cs="Times New Roman"/>
                <w:bCs/>
                <w:sz w:val="24"/>
              </w:rPr>
            </w:pPr>
            <w:r w:rsidRPr="00F34DF4">
              <w:rPr>
                <w:rFonts w:ascii="Times New Roman" w:eastAsia="宋体" w:hAnsi="Times New Roman" w:cs="Times New Roman"/>
                <w:bCs/>
                <w:sz w:val="24"/>
              </w:rPr>
              <w:t>2.1</w:t>
            </w:r>
            <w:r w:rsidRPr="00F34DF4">
              <w:rPr>
                <w:rFonts w:ascii="Times New Roman" w:eastAsia="宋体" w:hAnsi="Times New Roman" w:cs="Times New Roman"/>
                <w:sz w:val="24"/>
              </w:rPr>
              <w:t>学生的人文社会素养和强烈的社会责任感，职业道德和规范意识。</w:t>
            </w:r>
          </w:p>
          <w:p w14:paraId="56CD23C4" w14:textId="77777777" w:rsidR="00D529CF" w:rsidRPr="00F34DF4" w:rsidRDefault="00D529CF" w:rsidP="00BA2CFD">
            <w:pPr>
              <w:spacing w:line="440" w:lineRule="exact"/>
              <w:rPr>
                <w:rFonts w:ascii="Times New Roman" w:eastAsia="宋体" w:hAnsi="Times New Roman" w:cs="Times New Roman"/>
                <w:bCs/>
                <w:sz w:val="24"/>
              </w:rPr>
            </w:pPr>
            <w:r w:rsidRPr="00F34DF4">
              <w:rPr>
                <w:rFonts w:ascii="Times New Roman" w:eastAsia="宋体" w:hAnsi="Times New Roman" w:cs="Times New Roman"/>
                <w:bCs/>
                <w:sz w:val="24"/>
              </w:rPr>
              <w:t>2.2</w:t>
            </w:r>
            <w:r w:rsidRPr="00F34DF4">
              <w:rPr>
                <w:rFonts w:ascii="Times New Roman" w:eastAsia="宋体" w:hAnsi="Times New Roman" w:cs="Times New Roman"/>
                <w:bCs/>
                <w:sz w:val="24"/>
              </w:rPr>
              <w:t>学生对</w:t>
            </w:r>
            <w:r w:rsidRPr="00F34DF4">
              <w:rPr>
                <w:rFonts w:ascii="Times New Roman" w:eastAsia="宋体" w:hAnsi="Times New Roman" w:cs="Times New Roman"/>
                <w:sz w:val="24"/>
              </w:rPr>
              <w:t>博大精深的中国文化的理解，民族文化自信心及爱国主义和家国情怀。</w:t>
            </w:r>
          </w:p>
        </w:tc>
      </w:tr>
      <w:tr w:rsidR="00D529CF" w:rsidRPr="00F34DF4" w14:paraId="3896559D" w14:textId="77777777" w:rsidTr="00BA2CFD">
        <w:tc>
          <w:tcPr>
            <w:tcW w:w="1422" w:type="dxa"/>
            <w:vAlign w:val="center"/>
          </w:tcPr>
          <w:p w14:paraId="7646CD35"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课程目标</w:t>
            </w:r>
            <w:r w:rsidRPr="00F34DF4">
              <w:rPr>
                <w:rFonts w:ascii="Times New Roman" w:eastAsia="宋体" w:hAnsi="Times New Roman" w:cs="Times New Roman"/>
                <w:bCs/>
                <w:sz w:val="24"/>
              </w:rPr>
              <w:t>3</w:t>
            </w:r>
          </w:p>
        </w:tc>
        <w:tc>
          <w:tcPr>
            <w:tcW w:w="7918" w:type="dxa"/>
            <w:vAlign w:val="center"/>
          </w:tcPr>
          <w:p w14:paraId="153B740D" w14:textId="77777777" w:rsidR="00D529CF" w:rsidRPr="00F34DF4" w:rsidRDefault="00D529CF" w:rsidP="00BA2CFD">
            <w:pPr>
              <w:spacing w:line="440" w:lineRule="exact"/>
              <w:rPr>
                <w:rFonts w:ascii="Times New Roman" w:eastAsia="宋体" w:hAnsi="Times New Roman" w:cs="Times New Roman"/>
                <w:bCs/>
                <w:sz w:val="24"/>
              </w:rPr>
            </w:pPr>
            <w:r w:rsidRPr="00F34DF4">
              <w:rPr>
                <w:rFonts w:ascii="Times New Roman" w:eastAsia="宋体" w:hAnsi="Times New Roman" w:cs="Times New Roman"/>
                <w:bCs/>
                <w:sz w:val="24"/>
              </w:rPr>
              <w:t>3.1</w:t>
            </w:r>
            <w:r w:rsidRPr="00F34DF4">
              <w:rPr>
                <w:rFonts w:ascii="Times New Roman" w:eastAsia="宋体" w:hAnsi="Times New Roman" w:cs="Times New Roman"/>
                <w:sz w:val="24"/>
              </w:rPr>
              <w:t>参与课堂活动的能力，小组合作能力和组织管理能力；英语综合运用能力和跨文化交际能力。</w:t>
            </w:r>
          </w:p>
          <w:p w14:paraId="24DFCBB3" w14:textId="77777777" w:rsidR="00D529CF" w:rsidRPr="00F34DF4" w:rsidRDefault="00D529CF" w:rsidP="00BA2CFD">
            <w:pPr>
              <w:spacing w:line="440" w:lineRule="exact"/>
              <w:rPr>
                <w:rFonts w:ascii="Times New Roman" w:eastAsia="宋体" w:hAnsi="Times New Roman" w:cs="Times New Roman"/>
                <w:bCs/>
                <w:sz w:val="24"/>
              </w:rPr>
            </w:pPr>
            <w:r w:rsidRPr="00F34DF4">
              <w:rPr>
                <w:rFonts w:ascii="Times New Roman" w:eastAsia="宋体" w:hAnsi="Times New Roman" w:cs="Times New Roman"/>
                <w:bCs/>
                <w:sz w:val="24"/>
              </w:rPr>
              <w:t>3.2</w:t>
            </w:r>
            <w:r w:rsidRPr="00F34DF4">
              <w:rPr>
                <w:rFonts w:ascii="Times New Roman" w:eastAsia="宋体" w:hAnsi="Times New Roman" w:cs="Times New Roman"/>
                <w:bCs/>
                <w:sz w:val="24"/>
              </w:rPr>
              <w:t>学生的语言实践能力，</w:t>
            </w:r>
            <w:r w:rsidRPr="00F34DF4">
              <w:rPr>
                <w:rFonts w:ascii="Times New Roman" w:eastAsia="宋体" w:hAnsi="Times New Roman" w:cs="Times New Roman"/>
                <w:sz w:val="24"/>
              </w:rPr>
              <w:t>有效的口头和书面沟通交流能力，包括实用写作能力。</w:t>
            </w:r>
          </w:p>
        </w:tc>
      </w:tr>
    </w:tbl>
    <w:p w14:paraId="7A5F3BBA" w14:textId="77777777" w:rsidR="00D529CF" w:rsidRPr="00F34DF4" w:rsidRDefault="00D529CF" w:rsidP="00D529CF">
      <w:pPr>
        <w:spacing w:beforeLines="50" w:before="156" w:afterLines="50" w:after="156" w:line="440" w:lineRule="exact"/>
        <w:ind w:firstLineChars="200" w:firstLine="560"/>
        <w:rPr>
          <w:rFonts w:ascii="Times New Roman" w:eastAsia="宋体" w:hAnsi="Times New Roman" w:cs="Times New Roman"/>
          <w:sz w:val="28"/>
          <w:szCs w:val="28"/>
        </w:rPr>
      </w:pPr>
    </w:p>
    <w:p w14:paraId="32834AA7" w14:textId="77777777" w:rsidR="00D529CF" w:rsidRPr="007D2A80" w:rsidRDefault="00D529CF" w:rsidP="00D529CF">
      <w:pPr>
        <w:spacing w:beforeLines="50" w:before="156" w:afterLines="50" w:after="156" w:line="440" w:lineRule="exact"/>
        <w:ind w:firstLineChars="200" w:firstLine="560"/>
        <w:rPr>
          <w:rFonts w:ascii="黑体" w:eastAsia="黑体" w:hAnsi="黑体" w:cs="Times New Roman"/>
          <w:sz w:val="28"/>
          <w:szCs w:val="28"/>
        </w:rPr>
      </w:pPr>
      <w:r w:rsidRPr="007D2A80">
        <w:rPr>
          <w:rFonts w:ascii="黑体" w:eastAsia="黑体" w:hAnsi="黑体" w:cs="Times New Roman"/>
          <w:sz w:val="28"/>
          <w:szCs w:val="28"/>
        </w:rPr>
        <w:t>（二）课程考核方式</w:t>
      </w:r>
    </w:p>
    <w:p w14:paraId="71D3BAB6" w14:textId="77777777" w:rsidR="00D529CF" w:rsidRPr="00F34DF4" w:rsidRDefault="00D529CF" w:rsidP="00D529CF">
      <w:pPr>
        <w:spacing w:line="360" w:lineRule="auto"/>
        <w:ind w:firstLine="480"/>
        <w:rPr>
          <w:rFonts w:ascii="Times New Roman" w:eastAsia="宋体" w:hAnsi="Times New Roman" w:cs="Times New Roman"/>
          <w:sz w:val="24"/>
        </w:rPr>
      </w:pPr>
      <w:r w:rsidRPr="00F34DF4">
        <w:rPr>
          <w:rFonts w:ascii="Times New Roman" w:eastAsia="宋体" w:hAnsi="Times New Roman" w:cs="Times New Roman"/>
          <w:sz w:val="24"/>
        </w:rPr>
        <w:lastRenderedPageBreak/>
        <w:t>课程考核方式分为平时考核和期末考核。</w:t>
      </w:r>
    </w:p>
    <w:p w14:paraId="62AED459" w14:textId="77777777" w:rsidR="00D529CF" w:rsidRPr="00F34DF4" w:rsidRDefault="00D529CF" w:rsidP="00D529CF">
      <w:pPr>
        <w:spacing w:line="360" w:lineRule="auto"/>
        <w:ind w:firstLine="480"/>
        <w:rPr>
          <w:rFonts w:ascii="Times New Roman" w:eastAsia="宋体" w:hAnsi="Times New Roman" w:cs="Times New Roman"/>
          <w:sz w:val="28"/>
          <w:szCs w:val="28"/>
        </w:rPr>
      </w:pPr>
      <w:r w:rsidRPr="00F34DF4">
        <w:rPr>
          <w:rFonts w:ascii="Times New Roman" w:eastAsia="宋体" w:hAnsi="Times New Roman" w:cs="Times New Roman"/>
          <w:sz w:val="24"/>
        </w:rPr>
        <w:t>平时考核方式包括课堂考勤，线上、线下参与课堂互动</w:t>
      </w:r>
      <w:r w:rsidRPr="00F34DF4">
        <w:rPr>
          <w:rFonts w:ascii="Times New Roman" w:eastAsia="宋体" w:hAnsi="Times New Roman" w:cs="Times New Roman"/>
          <w:sz w:val="24"/>
        </w:rPr>
        <w:t>(</w:t>
      </w:r>
      <w:r w:rsidRPr="00F34DF4">
        <w:rPr>
          <w:rFonts w:ascii="Times New Roman" w:eastAsia="宋体" w:hAnsi="Times New Roman" w:cs="Times New Roman"/>
          <w:sz w:val="24"/>
        </w:rPr>
        <w:t>音视频完成、随堂测试、讨论、问卷、小组合作等</w:t>
      </w:r>
      <w:r w:rsidRPr="00F34DF4">
        <w:rPr>
          <w:rFonts w:ascii="Times New Roman" w:eastAsia="宋体" w:hAnsi="Times New Roman" w:cs="Times New Roman"/>
          <w:sz w:val="24"/>
        </w:rPr>
        <w:t>)</w:t>
      </w:r>
      <w:r w:rsidRPr="00F34DF4">
        <w:rPr>
          <w:rFonts w:ascii="Times New Roman" w:eastAsia="宋体" w:hAnsi="Times New Roman" w:cs="Times New Roman"/>
          <w:sz w:val="24"/>
        </w:rPr>
        <w:t>情况，平时作业的完成情况等；期末考核采用闭卷考试。</w:t>
      </w:r>
    </w:p>
    <w:p w14:paraId="68153A77" w14:textId="77777777" w:rsidR="00D529CF" w:rsidRPr="007D2A80" w:rsidRDefault="00D529CF" w:rsidP="00D529CF">
      <w:pPr>
        <w:spacing w:beforeLines="50" w:before="156" w:afterLines="50" w:after="156" w:line="440" w:lineRule="exact"/>
        <w:ind w:firstLineChars="200" w:firstLine="560"/>
        <w:rPr>
          <w:rFonts w:ascii="黑体" w:eastAsia="黑体" w:hAnsi="黑体" w:cs="Times New Roman"/>
          <w:sz w:val="28"/>
          <w:szCs w:val="28"/>
        </w:rPr>
      </w:pPr>
      <w:r w:rsidRPr="007D2A80">
        <w:rPr>
          <w:rFonts w:ascii="黑体" w:eastAsia="黑体" w:hAnsi="黑体" w:cs="Times New Roman"/>
          <w:sz w:val="28"/>
          <w:szCs w:val="28"/>
        </w:rPr>
        <w:t>（三）课程目标达成评价方式及考核比例</w:t>
      </w:r>
    </w:p>
    <w:p w14:paraId="1170C2CC"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本课程考核方式及成绩比例为：平时成绩</w:t>
      </w:r>
      <w:r w:rsidRPr="00F34DF4">
        <w:rPr>
          <w:rFonts w:ascii="Times New Roman" w:eastAsia="宋体" w:hAnsi="Times New Roman" w:cs="Times New Roman"/>
          <w:sz w:val="24"/>
        </w:rPr>
        <w:t>50%+</w:t>
      </w:r>
      <w:r w:rsidRPr="00F34DF4">
        <w:rPr>
          <w:rFonts w:ascii="Times New Roman" w:eastAsia="宋体" w:hAnsi="Times New Roman" w:cs="Times New Roman"/>
          <w:sz w:val="24"/>
        </w:rPr>
        <w:t>期末考试</w:t>
      </w:r>
      <w:r w:rsidRPr="00F34DF4">
        <w:rPr>
          <w:rFonts w:ascii="Times New Roman" w:eastAsia="宋体" w:hAnsi="Times New Roman" w:cs="Times New Roman"/>
          <w:sz w:val="24"/>
        </w:rPr>
        <w:t>50%</w:t>
      </w:r>
      <w:r w:rsidRPr="00F34DF4">
        <w:rPr>
          <w:rFonts w:ascii="Times New Roman" w:eastAsia="宋体" w:hAnsi="Times New Roman" w:cs="Times New Roman"/>
          <w:sz w:val="24"/>
        </w:rPr>
        <w:t>；本课程共有三个课程目标，考核方式及成绩比例分别为：</w:t>
      </w:r>
    </w:p>
    <w:p w14:paraId="2DEDBE3D"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课程目标</w:t>
      </w:r>
      <w:r w:rsidRPr="00F34DF4">
        <w:rPr>
          <w:rFonts w:ascii="Times New Roman" w:eastAsia="宋体" w:hAnsi="Times New Roman" w:cs="Times New Roman"/>
          <w:sz w:val="24"/>
        </w:rPr>
        <w:t>1</w:t>
      </w:r>
      <w:r w:rsidRPr="00F34DF4">
        <w:rPr>
          <w:rFonts w:ascii="Times New Roman" w:eastAsia="宋体" w:hAnsi="Times New Roman" w:cs="Times New Roman"/>
          <w:sz w:val="24"/>
        </w:rPr>
        <w:t>：课堂表现</w:t>
      </w:r>
      <w:r w:rsidRPr="00F34DF4">
        <w:rPr>
          <w:rFonts w:ascii="Times New Roman" w:eastAsia="宋体" w:hAnsi="Times New Roman" w:cs="Times New Roman"/>
          <w:sz w:val="24"/>
        </w:rPr>
        <w:t>10%+</w:t>
      </w:r>
      <w:r w:rsidRPr="00F34DF4">
        <w:rPr>
          <w:rFonts w:ascii="Times New Roman" w:eastAsia="宋体" w:hAnsi="Times New Roman" w:cs="Times New Roman"/>
          <w:sz w:val="24"/>
        </w:rPr>
        <w:t>课堂考勤</w:t>
      </w:r>
      <w:r w:rsidRPr="00F34DF4">
        <w:rPr>
          <w:rFonts w:ascii="Times New Roman" w:eastAsia="宋体" w:hAnsi="Times New Roman" w:cs="Times New Roman"/>
          <w:sz w:val="24"/>
        </w:rPr>
        <w:t>5%+</w:t>
      </w:r>
      <w:r w:rsidRPr="00F34DF4">
        <w:rPr>
          <w:rFonts w:ascii="Times New Roman" w:eastAsia="宋体" w:hAnsi="Times New Roman" w:cs="Times New Roman"/>
          <w:sz w:val="24"/>
        </w:rPr>
        <w:t>平时作业</w:t>
      </w:r>
      <w:r w:rsidRPr="00F34DF4">
        <w:rPr>
          <w:rFonts w:ascii="Times New Roman" w:eastAsia="宋体" w:hAnsi="Times New Roman" w:cs="Times New Roman"/>
          <w:sz w:val="24"/>
        </w:rPr>
        <w:t>10%+</w:t>
      </w:r>
      <w:r w:rsidRPr="00F34DF4">
        <w:rPr>
          <w:rFonts w:ascii="Times New Roman" w:eastAsia="宋体" w:hAnsi="Times New Roman" w:cs="Times New Roman"/>
          <w:sz w:val="24"/>
        </w:rPr>
        <w:t>期末考试</w:t>
      </w:r>
      <w:r w:rsidRPr="00F34DF4">
        <w:rPr>
          <w:rFonts w:ascii="Times New Roman" w:eastAsia="宋体" w:hAnsi="Times New Roman" w:cs="Times New Roman"/>
          <w:sz w:val="24"/>
        </w:rPr>
        <w:t>25%</w:t>
      </w:r>
    </w:p>
    <w:p w14:paraId="14A7F17F"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课程目标</w:t>
      </w:r>
      <w:r w:rsidRPr="00F34DF4">
        <w:rPr>
          <w:rFonts w:ascii="Times New Roman" w:eastAsia="宋体" w:hAnsi="Times New Roman" w:cs="Times New Roman"/>
          <w:sz w:val="24"/>
        </w:rPr>
        <w:t>2</w:t>
      </w:r>
      <w:r w:rsidRPr="00F34DF4">
        <w:rPr>
          <w:rFonts w:ascii="Times New Roman" w:eastAsia="宋体" w:hAnsi="Times New Roman" w:cs="Times New Roman"/>
          <w:sz w:val="24"/>
        </w:rPr>
        <w:t>：课堂表现</w:t>
      </w:r>
      <w:r w:rsidRPr="00F34DF4">
        <w:rPr>
          <w:rFonts w:ascii="Times New Roman" w:eastAsia="宋体" w:hAnsi="Times New Roman" w:cs="Times New Roman"/>
          <w:sz w:val="24"/>
        </w:rPr>
        <w:t>5%+</w:t>
      </w:r>
      <w:r w:rsidRPr="00F34DF4">
        <w:rPr>
          <w:rFonts w:ascii="Times New Roman" w:eastAsia="宋体" w:hAnsi="Times New Roman" w:cs="Times New Roman"/>
          <w:sz w:val="24"/>
        </w:rPr>
        <w:t>课堂考勤</w:t>
      </w:r>
      <w:r w:rsidRPr="00F34DF4">
        <w:rPr>
          <w:rFonts w:ascii="Times New Roman" w:eastAsia="宋体" w:hAnsi="Times New Roman" w:cs="Times New Roman"/>
          <w:sz w:val="24"/>
        </w:rPr>
        <w:t>5%+</w:t>
      </w:r>
      <w:r w:rsidRPr="00F34DF4">
        <w:rPr>
          <w:rFonts w:ascii="Times New Roman" w:eastAsia="宋体" w:hAnsi="Times New Roman" w:cs="Times New Roman"/>
          <w:sz w:val="24"/>
        </w:rPr>
        <w:t>平时作业</w:t>
      </w:r>
      <w:r w:rsidRPr="00F34DF4">
        <w:rPr>
          <w:rFonts w:ascii="Times New Roman" w:eastAsia="宋体" w:hAnsi="Times New Roman" w:cs="Times New Roman"/>
          <w:sz w:val="24"/>
        </w:rPr>
        <w:t>5%</w:t>
      </w:r>
    </w:p>
    <w:p w14:paraId="09E8459E"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课程目标</w:t>
      </w:r>
      <w:r w:rsidRPr="00F34DF4">
        <w:rPr>
          <w:rFonts w:ascii="Times New Roman" w:eastAsia="宋体" w:hAnsi="Times New Roman" w:cs="Times New Roman"/>
          <w:sz w:val="24"/>
        </w:rPr>
        <w:t>3</w:t>
      </w:r>
      <w:r w:rsidRPr="00F34DF4">
        <w:rPr>
          <w:rFonts w:ascii="Times New Roman" w:eastAsia="宋体" w:hAnsi="Times New Roman" w:cs="Times New Roman"/>
          <w:sz w:val="24"/>
        </w:rPr>
        <w:t>：课堂表现</w:t>
      </w:r>
      <w:r w:rsidRPr="00F34DF4">
        <w:rPr>
          <w:rFonts w:ascii="Times New Roman" w:eastAsia="宋体" w:hAnsi="Times New Roman" w:cs="Times New Roman"/>
          <w:sz w:val="24"/>
        </w:rPr>
        <w:t>5%+</w:t>
      </w:r>
      <w:r w:rsidRPr="00F34DF4">
        <w:rPr>
          <w:rFonts w:ascii="Times New Roman" w:eastAsia="宋体" w:hAnsi="Times New Roman" w:cs="Times New Roman"/>
          <w:sz w:val="24"/>
        </w:rPr>
        <w:t>平时作业</w:t>
      </w:r>
      <w:r w:rsidRPr="00F34DF4">
        <w:rPr>
          <w:rFonts w:ascii="Times New Roman" w:eastAsia="宋体" w:hAnsi="Times New Roman" w:cs="Times New Roman"/>
          <w:sz w:val="24"/>
        </w:rPr>
        <w:t>5%+</w:t>
      </w:r>
      <w:r w:rsidRPr="00F34DF4">
        <w:rPr>
          <w:rFonts w:ascii="Times New Roman" w:eastAsia="宋体" w:hAnsi="Times New Roman" w:cs="Times New Roman"/>
          <w:sz w:val="24"/>
        </w:rPr>
        <w:t>期末考试</w:t>
      </w:r>
      <w:r w:rsidRPr="00F34DF4">
        <w:rPr>
          <w:rFonts w:ascii="Times New Roman" w:eastAsia="宋体" w:hAnsi="Times New Roman" w:cs="Times New Roman"/>
          <w:sz w:val="24"/>
        </w:rPr>
        <w:t>25%</w:t>
      </w:r>
    </w:p>
    <w:p w14:paraId="2EC385E2"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D529CF" w:rsidRPr="00F34DF4" w14:paraId="06760619" w14:textId="77777777" w:rsidTr="00BA2CFD">
        <w:trPr>
          <w:trHeight w:val="540"/>
          <w:jc w:val="center"/>
        </w:trPr>
        <w:tc>
          <w:tcPr>
            <w:tcW w:w="1422" w:type="dxa"/>
            <w:vMerge w:val="restart"/>
            <w:vAlign w:val="center"/>
          </w:tcPr>
          <w:p w14:paraId="1DF3ED85" w14:textId="77777777" w:rsidR="00D529CF" w:rsidRPr="00F34DF4" w:rsidRDefault="00D529CF" w:rsidP="00BA2CFD">
            <w:pPr>
              <w:spacing w:line="440" w:lineRule="exact"/>
              <w:jc w:val="center"/>
              <w:rPr>
                <w:rFonts w:ascii="Times New Roman" w:eastAsia="宋体" w:hAnsi="Times New Roman" w:cs="Times New Roman"/>
                <w:b/>
                <w:sz w:val="24"/>
              </w:rPr>
            </w:pPr>
            <w:r w:rsidRPr="00F34DF4">
              <w:rPr>
                <w:rFonts w:ascii="Times New Roman" w:eastAsia="宋体" w:hAnsi="Times New Roman" w:cs="Times New Roman"/>
                <w:b/>
                <w:sz w:val="24"/>
              </w:rPr>
              <w:t>课程目标</w:t>
            </w:r>
          </w:p>
        </w:tc>
        <w:tc>
          <w:tcPr>
            <w:tcW w:w="6271" w:type="dxa"/>
            <w:gridSpan w:val="4"/>
            <w:vAlign w:val="center"/>
          </w:tcPr>
          <w:p w14:paraId="31EBC68F" w14:textId="77777777" w:rsidR="00D529CF" w:rsidRPr="00F34DF4" w:rsidRDefault="00D529CF" w:rsidP="00BA2CFD">
            <w:pPr>
              <w:spacing w:line="440" w:lineRule="exact"/>
              <w:jc w:val="center"/>
              <w:rPr>
                <w:rFonts w:ascii="Times New Roman" w:eastAsia="宋体" w:hAnsi="Times New Roman" w:cs="Times New Roman"/>
                <w:b/>
                <w:sz w:val="24"/>
              </w:rPr>
            </w:pPr>
            <w:r w:rsidRPr="00F34DF4">
              <w:rPr>
                <w:rFonts w:ascii="Times New Roman" w:eastAsia="宋体" w:hAnsi="Times New Roman" w:cs="Times New Roman"/>
                <w:b/>
                <w:sz w:val="24"/>
              </w:rPr>
              <w:t>考核方式及成绩比例（</w:t>
            </w:r>
            <w:r w:rsidRPr="00F34DF4">
              <w:rPr>
                <w:rFonts w:ascii="Times New Roman" w:eastAsia="宋体" w:hAnsi="Times New Roman" w:cs="Times New Roman"/>
                <w:b/>
                <w:sz w:val="24"/>
              </w:rPr>
              <w:t>%</w:t>
            </w:r>
            <w:r w:rsidRPr="00F34DF4">
              <w:rPr>
                <w:rFonts w:ascii="Times New Roman" w:eastAsia="宋体" w:hAnsi="Times New Roman" w:cs="Times New Roman"/>
                <w:b/>
                <w:sz w:val="24"/>
              </w:rPr>
              <w:t>）</w:t>
            </w:r>
          </w:p>
        </w:tc>
        <w:tc>
          <w:tcPr>
            <w:tcW w:w="1559" w:type="dxa"/>
            <w:vMerge w:val="restart"/>
            <w:vAlign w:val="center"/>
          </w:tcPr>
          <w:p w14:paraId="3D2D1B1D" w14:textId="77777777" w:rsidR="00D529CF" w:rsidRPr="00F34DF4" w:rsidRDefault="00D529CF" w:rsidP="00BA2CFD">
            <w:pPr>
              <w:spacing w:line="440" w:lineRule="exact"/>
              <w:jc w:val="center"/>
              <w:rPr>
                <w:rFonts w:ascii="Times New Roman" w:eastAsia="宋体" w:hAnsi="Times New Roman" w:cs="Times New Roman"/>
                <w:b/>
                <w:sz w:val="24"/>
              </w:rPr>
            </w:pPr>
            <w:r w:rsidRPr="00F34DF4">
              <w:rPr>
                <w:rFonts w:ascii="Times New Roman" w:eastAsia="宋体" w:hAnsi="Times New Roman" w:cs="Times New Roman"/>
                <w:b/>
                <w:sz w:val="24"/>
              </w:rPr>
              <w:t>合计</w:t>
            </w:r>
          </w:p>
        </w:tc>
      </w:tr>
      <w:tr w:rsidR="00D529CF" w:rsidRPr="00F34DF4" w14:paraId="54E6786F" w14:textId="77777777" w:rsidTr="00BA2CFD">
        <w:trPr>
          <w:trHeight w:val="578"/>
          <w:jc w:val="center"/>
        </w:trPr>
        <w:tc>
          <w:tcPr>
            <w:tcW w:w="1422" w:type="dxa"/>
            <w:vMerge/>
            <w:vAlign w:val="center"/>
          </w:tcPr>
          <w:p w14:paraId="78D4A965" w14:textId="77777777" w:rsidR="00D529CF" w:rsidRPr="00F34DF4" w:rsidRDefault="00D529CF" w:rsidP="00BA2CFD">
            <w:pPr>
              <w:spacing w:line="440" w:lineRule="exact"/>
              <w:jc w:val="center"/>
              <w:rPr>
                <w:rFonts w:ascii="Times New Roman" w:eastAsia="宋体" w:hAnsi="Times New Roman" w:cs="Times New Roman"/>
                <w:b/>
                <w:sz w:val="24"/>
              </w:rPr>
            </w:pPr>
          </w:p>
        </w:tc>
        <w:tc>
          <w:tcPr>
            <w:tcW w:w="1452" w:type="dxa"/>
            <w:vAlign w:val="center"/>
          </w:tcPr>
          <w:p w14:paraId="1173905D" w14:textId="77777777" w:rsidR="00D529CF" w:rsidRPr="00F34DF4" w:rsidRDefault="00D529CF" w:rsidP="00BA2CFD">
            <w:pPr>
              <w:spacing w:line="440" w:lineRule="exact"/>
              <w:jc w:val="center"/>
              <w:rPr>
                <w:rFonts w:ascii="Times New Roman" w:eastAsia="宋体" w:hAnsi="Times New Roman" w:cs="Times New Roman"/>
                <w:b/>
                <w:sz w:val="24"/>
              </w:rPr>
            </w:pPr>
            <w:r w:rsidRPr="00F34DF4">
              <w:rPr>
                <w:rFonts w:ascii="Times New Roman" w:eastAsia="宋体" w:hAnsi="Times New Roman" w:cs="Times New Roman"/>
                <w:b/>
                <w:sz w:val="24"/>
              </w:rPr>
              <w:t>课堂表现</w:t>
            </w:r>
          </w:p>
        </w:tc>
        <w:tc>
          <w:tcPr>
            <w:tcW w:w="1559" w:type="dxa"/>
            <w:vAlign w:val="center"/>
          </w:tcPr>
          <w:p w14:paraId="1975FF41" w14:textId="77777777" w:rsidR="00D529CF" w:rsidRPr="00F34DF4" w:rsidRDefault="00D529CF" w:rsidP="00BA2CFD">
            <w:pPr>
              <w:spacing w:line="440" w:lineRule="exact"/>
              <w:jc w:val="center"/>
              <w:rPr>
                <w:rFonts w:ascii="Times New Roman" w:eastAsia="宋体" w:hAnsi="Times New Roman" w:cs="Times New Roman"/>
                <w:b/>
                <w:sz w:val="24"/>
              </w:rPr>
            </w:pPr>
            <w:r w:rsidRPr="00F34DF4">
              <w:rPr>
                <w:rFonts w:ascii="Times New Roman" w:eastAsia="宋体" w:hAnsi="Times New Roman" w:cs="Times New Roman"/>
                <w:b/>
                <w:sz w:val="24"/>
              </w:rPr>
              <w:t>课堂考勤</w:t>
            </w:r>
          </w:p>
        </w:tc>
        <w:tc>
          <w:tcPr>
            <w:tcW w:w="1701" w:type="dxa"/>
            <w:vAlign w:val="center"/>
          </w:tcPr>
          <w:p w14:paraId="5ECE0E51" w14:textId="77777777" w:rsidR="00D529CF" w:rsidRPr="00F34DF4" w:rsidRDefault="00D529CF" w:rsidP="00BA2CFD">
            <w:pPr>
              <w:spacing w:line="440" w:lineRule="exact"/>
              <w:jc w:val="center"/>
              <w:rPr>
                <w:rFonts w:ascii="Times New Roman" w:eastAsia="宋体" w:hAnsi="Times New Roman" w:cs="Times New Roman"/>
                <w:b/>
                <w:sz w:val="24"/>
              </w:rPr>
            </w:pPr>
            <w:r w:rsidRPr="00F34DF4">
              <w:rPr>
                <w:rFonts w:ascii="Times New Roman" w:eastAsia="宋体" w:hAnsi="Times New Roman" w:cs="Times New Roman"/>
                <w:b/>
                <w:sz w:val="24"/>
              </w:rPr>
              <w:t>平时作业</w:t>
            </w:r>
          </w:p>
        </w:tc>
        <w:tc>
          <w:tcPr>
            <w:tcW w:w="1559" w:type="dxa"/>
            <w:vAlign w:val="center"/>
          </w:tcPr>
          <w:p w14:paraId="220831FD" w14:textId="77777777" w:rsidR="00D529CF" w:rsidRPr="00F34DF4" w:rsidRDefault="00D529CF" w:rsidP="00BA2CFD">
            <w:pPr>
              <w:spacing w:line="440" w:lineRule="exact"/>
              <w:jc w:val="center"/>
              <w:rPr>
                <w:rFonts w:ascii="Times New Roman" w:eastAsia="宋体" w:hAnsi="Times New Roman" w:cs="Times New Roman"/>
                <w:b/>
                <w:sz w:val="24"/>
              </w:rPr>
            </w:pPr>
            <w:r w:rsidRPr="00F34DF4">
              <w:rPr>
                <w:rFonts w:ascii="Times New Roman" w:eastAsia="宋体" w:hAnsi="Times New Roman" w:cs="Times New Roman"/>
                <w:b/>
                <w:sz w:val="24"/>
              </w:rPr>
              <w:t>期末考试</w:t>
            </w:r>
          </w:p>
        </w:tc>
        <w:tc>
          <w:tcPr>
            <w:tcW w:w="1559" w:type="dxa"/>
            <w:vMerge/>
          </w:tcPr>
          <w:p w14:paraId="2F72745A" w14:textId="77777777" w:rsidR="00D529CF" w:rsidRPr="00F34DF4" w:rsidRDefault="00D529CF" w:rsidP="00BA2CFD">
            <w:pPr>
              <w:spacing w:line="440" w:lineRule="exact"/>
              <w:jc w:val="center"/>
              <w:rPr>
                <w:rFonts w:ascii="Times New Roman" w:eastAsia="宋体" w:hAnsi="Times New Roman" w:cs="Times New Roman"/>
                <w:b/>
                <w:sz w:val="24"/>
              </w:rPr>
            </w:pPr>
          </w:p>
        </w:tc>
      </w:tr>
      <w:tr w:rsidR="00D529CF" w:rsidRPr="00F34DF4" w14:paraId="707197CB" w14:textId="77777777" w:rsidTr="00BA2CFD">
        <w:trPr>
          <w:jc w:val="center"/>
        </w:trPr>
        <w:tc>
          <w:tcPr>
            <w:tcW w:w="1422" w:type="dxa"/>
            <w:vAlign w:val="center"/>
          </w:tcPr>
          <w:p w14:paraId="28A72F10"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课程目标</w:t>
            </w:r>
            <w:r w:rsidRPr="00F34DF4">
              <w:rPr>
                <w:rFonts w:ascii="Times New Roman" w:eastAsia="宋体" w:hAnsi="Times New Roman" w:cs="Times New Roman"/>
                <w:bCs/>
                <w:sz w:val="24"/>
              </w:rPr>
              <w:t>1</w:t>
            </w:r>
          </w:p>
        </w:tc>
        <w:tc>
          <w:tcPr>
            <w:tcW w:w="1452" w:type="dxa"/>
            <w:vAlign w:val="center"/>
          </w:tcPr>
          <w:p w14:paraId="30C55281"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10</w:t>
            </w:r>
          </w:p>
        </w:tc>
        <w:tc>
          <w:tcPr>
            <w:tcW w:w="1559" w:type="dxa"/>
            <w:vAlign w:val="center"/>
          </w:tcPr>
          <w:p w14:paraId="1CFAE29A"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5</w:t>
            </w:r>
          </w:p>
        </w:tc>
        <w:tc>
          <w:tcPr>
            <w:tcW w:w="1701" w:type="dxa"/>
            <w:vAlign w:val="center"/>
          </w:tcPr>
          <w:p w14:paraId="5FD3E936"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10</w:t>
            </w:r>
          </w:p>
        </w:tc>
        <w:tc>
          <w:tcPr>
            <w:tcW w:w="1559" w:type="dxa"/>
            <w:vAlign w:val="center"/>
          </w:tcPr>
          <w:p w14:paraId="5FA6B074" w14:textId="77777777" w:rsidR="00D529CF" w:rsidRPr="00F34DF4" w:rsidRDefault="00D529CF" w:rsidP="00BA2CFD">
            <w:pPr>
              <w:spacing w:line="440" w:lineRule="exact"/>
              <w:ind w:firstLineChars="200" w:firstLine="480"/>
              <w:rPr>
                <w:rFonts w:ascii="Times New Roman" w:eastAsia="宋体" w:hAnsi="Times New Roman" w:cs="Times New Roman"/>
                <w:bCs/>
                <w:sz w:val="24"/>
              </w:rPr>
            </w:pPr>
            <w:r w:rsidRPr="00F34DF4">
              <w:rPr>
                <w:rFonts w:ascii="Times New Roman" w:eastAsia="宋体" w:hAnsi="Times New Roman" w:cs="Times New Roman"/>
                <w:bCs/>
                <w:sz w:val="24"/>
              </w:rPr>
              <w:t>25</w:t>
            </w:r>
          </w:p>
        </w:tc>
        <w:tc>
          <w:tcPr>
            <w:tcW w:w="1559" w:type="dxa"/>
          </w:tcPr>
          <w:p w14:paraId="18CC4B4D"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50</w:t>
            </w:r>
          </w:p>
        </w:tc>
      </w:tr>
      <w:tr w:rsidR="00D529CF" w:rsidRPr="00F34DF4" w14:paraId="0AE6AFAF" w14:textId="77777777" w:rsidTr="00BA2CFD">
        <w:trPr>
          <w:jc w:val="center"/>
        </w:trPr>
        <w:tc>
          <w:tcPr>
            <w:tcW w:w="1422" w:type="dxa"/>
            <w:vAlign w:val="center"/>
          </w:tcPr>
          <w:p w14:paraId="50D94A3F"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课程目标</w:t>
            </w:r>
            <w:r w:rsidRPr="00F34DF4">
              <w:rPr>
                <w:rFonts w:ascii="Times New Roman" w:eastAsia="宋体" w:hAnsi="Times New Roman" w:cs="Times New Roman"/>
                <w:bCs/>
                <w:sz w:val="24"/>
              </w:rPr>
              <w:t>2</w:t>
            </w:r>
          </w:p>
        </w:tc>
        <w:tc>
          <w:tcPr>
            <w:tcW w:w="1452" w:type="dxa"/>
            <w:vAlign w:val="center"/>
          </w:tcPr>
          <w:p w14:paraId="3B022456"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5</w:t>
            </w:r>
          </w:p>
        </w:tc>
        <w:tc>
          <w:tcPr>
            <w:tcW w:w="1559" w:type="dxa"/>
            <w:vAlign w:val="center"/>
          </w:tcPr>
          <w:p w14:paraId="5C38BBBA"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5</w:t>
            </w:r>
          </w:p>
        </w:tc>
        <w:tc>
          <w:tcPr>
            <w:tcW w:w="1701" w:type="dxa"/>
            <w:vAlign w:val="center"/>
          </w:tcPr>
          <w:p w14:paraId="0786A92A"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5</w:t>
            </w:r>
          </w:p>
        </w:tc>
        <w:tc>
          <w:tcPr>
            <w:tcW w:w="1559" w:type="dxa"/>
            <w:vAlign w:val="center"/>
          </w:tcPr>
          <w:p w14:paraId="54145486" w14:textId="77777777" w:rsidR="00D529CF" w:rsidRPr="00F34DF4" w:rsidRDefault="00D529CF" w:rsidP="00BA2CFD">
            <w:pPr>
              <w:spacing w:line="440" w:lineRule="exact"/>
              <w:jc w:val="center"/>
              <w:rPr>
                <w:rFonts w:ascii="Times New Roman" w:eastAsia="宋体" w:hAnsi="Times New Roman" w:cs="Times New Roman"/>
                <w:bCs/>
                <w:sz w:val="24"/>
              </w:rPr>
            </w:pPr>
          </w:p>
        </w:tc>
        <w:tc>
          <w:tcPr>
            <w:tcW w:w="1559" w:type="dxa"/>
          </w:tcPr>
          <w:p w14:paraId="2AFB6F39"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15</w:t>
            </w:r>
          </w:p>
        </w:tc>
      </w:tr>
      <w:tr w:rsidR="00D529CF" w:rsidRPr="00F34DF4" w14:paraId="5A1662E9" w14:textId="77777777" w:rsidTr="00BA2CFD">
        <w:trPr>
          <w:jc w:val="center"/>
        </w:trPr>
        <w:tc>
          <w:tcPr>
            <w:tcW w:w="1422" w:type="dxa"/>
            <w:vAlign w:val="center"/>
          </w:tcPr>
          <w:p w14:paraId="4EEE751C"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课程目标</w:t>
            </w:r>
            <w:r w:rsidRPr="00F34DF4">
              <w:rPr>
                <w:rFonts w:ascii="Times New Roman" w:eastAsia="宋体" w:hAnsi="Times New Roman" w:cs="Times New Roman"/>
                <w:bCs/>
                <w:sz w:val="24"/>
              </w:rPr>
              <w:t>3</w:t>
            </w:r>
          </w:p>
        </w:tc>
        <w:tc>
          <w:tcPr>
            <w:tcW w:w="1452" w:type="dxa"/>
            <w:vAlign w:val="center"/>
          </w:tcPr>
          <w:p w14:paraId="2D0F9747"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5</w:t>
            </w:r>
          </w:p>
        </w:tc>
        <w:tc>
          <w:tcPr>
            <w:tcW w:w="1559" w:type="dxa"/>
            <w:vAlign w:val="center"/>
          </w:tcPr>
          <w:p w14:paraId="4A2B4C0B" w14:textId="77777777" w:rsidR="00D529CF" w:rsidRPr="00F34DF4" w:rsidRDefault="00D529CF" w:rsidP="00BA2CFD">
            <w:pPr>
              <w:spacing w:line="440" w:lineRule="exact"/>
              <w:jc w:val="center"/>
              <w:rPr>
                <w:rFonts w:ascii="Times New Roman" w:eastAsia="宋体" w:hAnsi="Times New Roman" w:cs="Times New Roman"/>
                <w:bCs/>
                <w:sz w:val="24"/>
              </w:rPr>
            </w:pPr>
          </w:p>
        </w:tc>
        <w:tc>
          <w:tcPr>
            <w:tcW w:w="1701" w:type="dxa"/>
            <w:vAlign w:val="center"/>
          </w:tcPr>
          <w:p w14:paraId="7A11263F"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5</w:t>
            </w:r>
          </w:p>
        </w:tc>
        <w:tc>
          <w:tcPr>
            <w:tcW w:w="1559" w:type="dxa"/>
            <w:vAlign w:val="center"/>
          </w:tcPr>
          <w:p w14:paraId="7EF5406F"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25</w:t>
            </w:r>
          </w:p>
        </w:tc>
        <w:tc>
          <w:tcPr>
            <w:tcW w:w="1559" w:type="dxa"/>
          </w:tcPr>
          <w:p w14:paraId="21B5E4C7"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35</w:t>
            </w:r>
          </w:p>
        </w:tc>
      </w:tr>
      <w:tr w:rsidR="00D529CF" w:rsidRPr="00F34DF4" w14:paraId="5F0A5E97" w14:textId="77777777" w:rsidTr="00BA2CFD">
        <w:trPr>
          <w:jc w:val="center"/>
        </w:trPr>
        <w:tc>
          <w:tcPr>
            <w:tcW w:w="1422" w:type="dxa"/>
            <w:vAlign w:val="center"/>
          </w:tcPr>
          <w:p w14:paraId="27DD5C76"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合计</w:t>
            </w:r>
          </w:p>
        </w:tc>
        <w:tc>
          <w:tcPr>
            <w:tcW w:w="1452" w:type="dxa"/>
            <w:vAlign w:val="center"/>
          </w:tcPr>
          <w:p w14:paraId="7230F035"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20</w:t>
            </w:r>
          </w:p>
        </w:tc>
        <w:tc>
          <w:tcPr>
            <w:tcW w:w="1559" w:type="dxa"/>
            <w:vAlign w:val="center"/>
          </w:tcPr>
          <w:p w14:paraId="5A7C1D2F"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10</w:t>
            </w:r>
          </w:p>
        </w:tc>
        <w:tc>
          <w:tcPr>
            <w:tcW w:w="1701" w:type="dxa"/>
            <w:vAlign w:val="center"/>
          </w:tcPr>
          <w:p w14:paraId="66787EB2"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20</w:t>
            </w:r>
          </w:p>
        </w:tc>
        <w:tc>
          <w:tcPr>
            <w:tcW w:w="1559" w:type="dxa"/>
            <w:vAlign w:val="center"/>
          </w:tcPr>
          <w:p w14:paraId="37A15EB6"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50</w:t>
            </w:r>
          </w:p>
        </w:tc>
        <w:tc>
          <w:tcPr>
            <w:tcW w:w="1559" w:type="dxa"/>
          </w:tcPr>
          <w:p w14:paraId="44BB431C" w14:textId="77777777" w:rsidR="00D529CF" w:rsidRPr="00F34DF4" w:rsidRDefault="00D529CF" w:rsidP="00BA2CFD">
            <w:pPr>
              <w:spacing w:line="440" w:lineRule="exact"/>
              <w:jc w:val="center"/>
              <w:rPr>
                <w:rFonts w:ascii="Times New Roman" w:eastAsia="宋体" w:hAnsi="Times New Roman" w:cs="Times New Roman"/>
                <w:bCs/>
                <w:sz w:val="24"/>
              </w:rPr>
            </w:pPr>
            <w:r w:rsidRPr="00F34DF4">
              <w:rPr>
                <w:rFonts w:ascii="Times New Roman" w:eastAsia="宋体" w:hAnsi="Times New Roman" w:cs="Times New Roman"/>
                <w:bCs/>
                <w:sz w:val="24"/>
              </w:rPr>
              <w:t>100</w:t>
            </w:r>
          </w:p>
        </w:tc>
      </w:tr>
    </w:tbl>
    <w:p w14:paraId="2BDBA365" w14:textId="77777777" w:rsidR="00D529CF" w:rsidRPr="007D2A80" w:rsidRDefault="00D529CF" w:rsidP="00D529CF">
      <w:pPr>
        <w:spacing w:beforeLines="50" w:before="156" w:afterLines="50" w:after="156" w:line="440" w:lineRule="exact"/>
        <w:ind w:firstLineChars="200" w:firstLine="560"/>
        <w:rPr>
          <w:rFonts w:ascii="黑体" w:eastAsia="黑体" w:hAnsi="黑体" w:cs="Times New Roman"/>
          <w:sz w:val="28"/>
          <w:szCs w:val="28"/>
        </w:rPr>
      </w:pPr>
      <w:r w:rsidRPr="007D2A80">
        <w:rPr>
          <w:rFonts w:ascii="黑体" w:eastAsia="黑体" w:hAnsi="黑体" w:cs="Times New Roman"/>
          <w:sz w:val="28"/>
          <w:szCs w:val="28"/>
        </w:rPr>
        <w:t>五、成绩评定</w:t>
      </w:r>
    </w:p>
    <w:p w14:paraId="241819AF" w14:textId="77777777" w:rsidR="00D529CF" w:rsidRPr="007D2A80" w:rsidRDefault="00D529CF" w:rsidP="00D529CF">
      <w:pPr>
        <w:spacing w:beforeLines="50" w:before="156" w:afterLines="50" w:after="156" w:line="440" w:lineRule="exact"/>
        <w:ind w:firstLineChars="200" w:firstLine="560"/>
        <w:rPr>
          <w:rFonts w:ascii="黑体" w:eastAsia="黑体" w:hAnsi="黑体" w:cs="Times New Roman"/>
          <w:sz w:val="28"/>
          <w:szCs w:val="28"/>
        </w:rPr>
      </w:pPr>
      <w:r w:rsidRPr="007D2A80">
        <w:rPr>
          <w:rFonts w:ascii="黑体" w:eastAsia="黑体" w:hAnsi="黑体" w:cs="Times New Roman"/>
          <w:sz w:val="28"/>
          <w:szCs w:val="28"/>
        </w:rPr>
        <w:t>（一）总成绩评定</w:t>
      </w:r>
    </w:p>
    <w:p w14:paraId="4B9E06B2"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总成绩</w:t>
      </w:r>
      <w:r w:rsidRPr="00F34DF4">
        <w:rPr>
          <w:rFonts w:ascii="Times New Roman" w:eastAsia="宋体" w:hAnsi="Times New Roman" w:cs="Times New Roman"/>
          <w:sz w:val="24"/>
        </w:rPr>
        <w:t>=</w:t>
      </w:r>
      <w:r w:rsidRPr="00F34DF4">
        <w:rPr>
          <w:rFonts w:ascii="Times New Roman" w:eastAsia="宋体" w:hAnsi="Times New Roman" w:cs="Times New Roman"/>
          <w:sz w:val="24"/>
        </w:rPr>
        <w:t>平时成绩</w:t>
      </w:r>
      <w:r w:rsidRPr="00F34DF4">
        <w:rPr>
          <w:rFonts w:ascii="Times New Roman" w:eastAsia="宋体" w:hAnsi="Times New Roman" w:cs="Times New Roman"/>
          <w:sz w:val="24"/>
        </w:rPr>
        <w:t>×50%+</w:t>
      </w:r>
      <w:r w:rsidRPr="00F34DF4">
        <w:rPr>
          <w:rFonts w:ascii="Times New Roman" w:eastAsia="宋体" w:hAnsi="Times New Roman" w:cs="Times New Roman"/>
          <w:sz w:val="24"/>
        </w:rPr>
        <w:t>期末成绩</w:t>
      </w:r>
      <w:r w:rsidRPr="00F34DF4">
        <w:rPr>
          <w:rFonts w:ascii="Times New Roman" w:eastAsia="宋体" w:hAnsi="Times New Roman" w:cs="Times New Roman"/>
          <w:sz w:val="24"/>
        </w:rPr>
        <w:t>×50%</w:t>
      </w:r>
    </w:p>
    <w:p w14:paraId="0873B661" w14:textId="77777777" w:rsidR="00D529CF" w:rsidRPr="007D2A80" w:rsidRDefault="00D529CF" w:rsidP="00D529CF">
      <w:pPr>
        <w:numPr>
          <w:ilvl w:val="0"/>
          <w:numId w:val="8"/>
        </w:numPr>
        <w:spacing w:line="440" w:lineRule="exact"/>
        <w:ind w:firstLineChars="200" w:firstLine="560"/>
        <w:rPr>
          <w:rFonts w:ascii="黑体" w:eastAsia="黑体" w:hAnsi="黑体" w:cs="Times New Roman"/>
          <w:sz w:val="28"/>
          <w:szCs w:val="28"/>
        </w:rPr>
      </w:pPr>
      <w:r w:rsidRPr="007D2A80">
        <w:rPr>
          <w:rFonts w:ascii="黑体" w:eastAsia="黑体" w:hAnsi="黑体" w:cs="Times New Roman"/>
          <w:sz w:val="28"/>
          <w:szCs w:val="28"/>
        </w:rPr>
        <w:t>平时成绩评定</w:t>
      </w:r>
    </w:p>
    <w:p w14:paraId="5A28674D" w14:textId="77777777" w:rsidR="00D529CF" w:rsidRPr="00F34DF4" w:rsidRDefault="00D529CF" w:rsidP="00D529CF">
      <w:pPr>
        <w:spacing w:line="440" w:lineRule="exact"/>
        <w:ind w:firstLineChars="200" w:firstLine="480"/>
        <w:rPr>
          <w:rFonts w:ascii="Times New Roman" w:eastAsia="宋体" w:hAnsi="Times New Roman" w:cs="Times New Roman"/>
          <w:b/>
          <w:bCs/>
          <w:sz w:val="24"/>
        </w:rPr>
      </w:pPr>
      <w:r w:rsidRPr="00F34DF4">
        <w:rPr>
          <w:rFonts w:ascii="Times New Roman" w:eastAsia="宋体" w:hAnsi="Times New Roman" w:cs="Times New Roman"/>
          <w:sz w:val="24"/>
        </w:rPr>
        <w:t>平时成绩（</w:t>
      </w:r>
      <w:r w:rsidRPr="00F34DF4">
        <w:rPr>
          <w:rFonts w:ascii="Times New Roman" w:eastAsia="宋体" w:hAnsi="Times New Roman" w:cs="Times New Roman"/>
          <w:sz w:val="24"/>
        </w:rPr>
        <w:t>100%</w:t>
      </w:r>
      <w:r w:rsidRPr="00F34DF4">
        <w:rPr>
          <w:rFonts w:ascii="Times New Roman" w:eastAsia="宋体" w:hAnsi="Times New Roman" w:cs="Times New Roman"/>
          <w:sz w:val="24"/>
        </w:rPr>
        <w:t>）</w:t>
      </w:r>
      <w:r w:rsidRPr="00F34DF4">
        <w:rPr>
          <w:rFonts w:ascii="Times New Roman" w:eastAsia="宋体" w:hAnsi="Times New Roman" w:cs="Times New Roman"/>
          <w:sz w:val="24"/>
        </w:rPr>
        <w:t>=</w:t>
      </w:r>
      <w:r w:rsidRPr="00F34DF4">
        <w:rPr>
          <w:rFonts w:ascii="Times New Roman" w:eastAsia="宋体" w:hAnsi="Times New Roman" w:cs="Times New Roman"/>
          <w:sz w:val="24"/>
        </w:rPr>
        <w:t>课堂表现（</w:t>
      </w:r>
      <w:r w:rsidRPr="00F34DF4">
        <w:rPr>
          <w:rFonts w:ascii="Times New Roman" w:eastAsia="宋体" w:hAnsi="Times New Roman" w:cs="Times New Roman"/>
          <w:sz w:val="24"/>
        </w:rPr>
        <w:t>40%</w:t>
      </w:r>
      <w:r w:rsidRPr="00F34DF4">
        <w:rPr>
          <w:rFonts w:ascii="Times New Roman" w:eastAsia="宋体" w:hAnsi="Times New Roman" w:cs="Times New Roman"/>
          <w:sz w:val="24"/>
        </w:rPr>
        <w:t>）</w:t>
      </w:r>
      <w:r w:rsidRPr="00F34DF4">
        <w:rPr>
          <w:rFonts w:ascii="Times New Roman" w:eastAsia="宋体" w:hAnsi="Times New Roman" w:cs="Times New Roman"/>
          <w:sz w:val="24"/>
        </w:rPr>
        <w:t>+</w:t>
      </w:r>
      <w:r w:rsidRPr="00F34DF4">
        <w:rPr>
          <w:rFonts w:ascii="Times New Roman" w:eastAsia="宋体" w:hAnsi="Times New Roman" w:cs="Times New Roman"/>
          <w:sz w:val="24"/>
        </w:rPr>
        <w:t>课堂考勤（</w:t>
      </w:r>
      <w:r w:rsidRPr="00F34DF4">
        <w:rPr>
          <w:rFonts w:ascii="Times New Roman" w:eastAsia="宋体" w:hAnsi="Times New Roman" w:cs="Times New Roman"/>
          <w:sz w:val="24"/>
        </w:rPr>
        <w:t>20%</w:t>
      </w:r>
      <w:r w:rsidRPr="00F34DF4">
        <w:rPr>
          <w:rFonts w:ascii="Times New Roman" w:eastAsia="宋体" w:hAnsi="Times New Roman" w:cs="Times New Roman"/>
          <w:sz w:val="24"/>
        </w:rPr>
        <w:t>）</w:t>
      </w:r>
      <w:r w:rsidRPr="00F34DF4">
        <w:rPr>
          <w:rFonts w:ascii="Times New Roman" w:eastAsia="宋体" w:hAnsi="Times New Roman" w:cs="Times New Roman"/>
          <w:sz w:val="24"/>
        </w:rPr>
        <w:t>+</w:t>
      </w:r>
      <w:r w:rsidRPr="00F34DF4">
        <w:rPr>
          <w:rFonts w:ascii="Times New Roman" w:eastAsia="宋体" w:hAnsi="Times New Roman" w:cs="Times New Roman"/>
          <w:sz w:val="24"/>
        </w:rPr>
        <w:t>作业完成情况（</w:t>
      </w:r>
      <w:r w:rsidRPr="00F34DF4">
        <w:rPr>
          <w:rFonts w:ascii="Times New Roman" w:eastAsia="宋体" w:hAnsi="Times New Roman" w:cs="Times New Roman"/>
          <w:sz w:val="24"/>
        </w:rPr>
        <w:t>40%</w:t>
      </w:r>
      <w:r w:rsidRPr="00F34DF4">
        <w:rPr>
          <w:rFonts w:ascii="Times New Roman" w:eastAsia="宋体" w:hAnsi="Times New Roman" w:cs="Times New Roman"/>
          <w:sz w:val="24"/>
        </w:rPr>
        <w:t>）</w:t>
      </w:r>
    </w:p>
    <w:p w14:paraId="5B0FDA6D" w14:textId="77777777" w:rsidR="00D529CF" w:rsidRPr="00F34DF4" w:rsidRDefault="00D529CF" w:rsidP="00D529CF">
      <w:pPr>
        <w:spacing w:line="440" w:lineRule="exact"/>
        <w:ind w:firstLineChars="300" w:firstLine="723"/>
        <w:rPr>
          <w:rFonts w:ascii="Times New Roman" w:eastAsia="宋体" w:hAnsi="Times New Roman" w:cs="Times New Roman"/>
          <w:b/>
          <w:bCs/>
          <w:sz w:val="24"/>
        </w:rPr>
      </w:pPr>
      <w:r w:rsidRPr="00F34DF4">
        <w:rPr>
          <w:rFonts w:ascii="Times New Roman" w:eastAsia="宋体" w:hAnsi="Times New Roman" w:cs="Times New Roman"/>
          <w:b/>
          <w:bCs/>
          <w:sz w:val="24"/>
        </w:rPr>
        <w:t>考核方式：</w:t>
      </w:r>
    </w:p>
    <w:p w14:paraId="0A3B5F31"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1. </w:t>
      </w:r>
      <w:r w:rsidRPr="00F34DF4">
        <w:rPr>
          <w:rFonts w:ascii="Times New Roman" w:eastAsia="宋体" w:hAnsi="Times New Roman" w:cs="Times New Roman"/>
          <w:sz w:val="24"/>
        </w:rPr>
        <w:t>课堂表现</w:t>
      </w:r>
      <w:r w:rsidRPr="00F34DF4">
        <w:rPr>
          <w:rFonts w:ascii="Times New Roman" w:eastAsia="宋体" w:hAnsi="Times New Roman" w:cs="Times New Roman"/>
          <w:sz w:val="24"/>
        </w:rPr>
        <w:t xml:space="preserve">: </w:t>
      </w:r>
    </w:p>
    <w:p w14:paraId="22BF9B3E" w14:textId="77777777" w:rsidR="00D529CF" w:rsidRPr="00F34DF4" w:rsidRDefault="00D529CF" w:rsidP="00D529CF">
      <w:pPr>
        <w:pStyle w:val="ae"/>
        <w:spacing w:line="440" w:lineRule="exact"/>
        <w:ind w:left="420" w:firstLine="480"/>
        <w:rPr>
          <w:rFonts w:ascii="Times New Roman" w:eastAsia="宋体" w:hAnsi="Times New Roman" w:cs="Times New Roman"/>
          <w:sz w:val="24"/>
        </w:rPr>
      </w:pPr>
      <w:r w:rsidRPr="00F34DF4">
        <w:rPr>
          <w:rFonts w:ascii="Times New Roman" w:eastAsia="宋体" w:hAnsi="Times New Roman" w:cs="Times New Roman"/>
          <w:sz w:val="24"/>
        </w:rPr>
        <w:t>通过线上线下，学生参与智慧课堂发起的投票、问卷、抢答、选人、讨论、随堂练习或测试、小组合作等课程活动，音视频任务点的完成情况等；</w:t>
      </w:r>
    </w:p>
    <w:p w14:paraId="2BB35518" w14:textId="77777777" w:rsidR="00D529CF" w:rsidRPr="00F34DF4" w:rsidRDefault="00D529CF" w:rsidP="00D529CF">
      <w:pPr>
        <w:numPr>
          <w:ilvl w:val="0"/>
          <w:numId w:val="9"/>
        </w:num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课堂考勤：</w:t>
      </w:r>
    </w:p>
    <w:p w14:paraId="19D43CB5" w14:textId="77777777" w:rsidR="00D529CF" w:rsidRPr="00F34DF4" w:rsidRDefault="00D529CF" w:rsidP="00D529CF">
      <w:pPr>
        <w:spacing w:line="440" w:lineRule="exact"/>
        <w:ind w:left="480"/>
        <w:rPr>
          <w:rFonts w:ascii="Times New Roman" w:eastAsia="宋体" w:hAnsi="Times New Roman" w:cs="Times New Roman"/>
          <w:sz w:val="24"/>
        </w:rPr>
      </w:pPr>
      <w:r w:rsidRPr="00F34DF4">
        <w:rPr>
          <w:rFonts w:ascii="Times New Roman" w:eastAsia="宋体" w:hAnsi="Times New Roman" w:cs="Times New Roman"/>
          <w:sz w:val="24"/>
        </w:rPr>
        <w:t>通过线上线下考勤来评定学生考勤成绩</w:t>
      </w:r>
    </w:p>
    <w:p w14:paraId="7E29AE10" w14:textId="77777777" w:rsidR="00D529CF" w:rsidRPr="00F34DF4" w:rsidRDefault="00D529CF" w:rsidP="00D529CF">
      <w:pPr>
        <w:pStyle w:val="ae"/>
        <w:numPr>
          <w:ilvl w:val="0"/>
          <w:numId w:val="9"/>
        </w:numPr>
        <w:spacing w:line="440" w:lineRule="exact"/>
        <w:ind w:firstLineChars="0"/>
        <w:rPr>
          <w:rFonts w:ascii="Times New Roman" w:eastAsia="宋体" w:hAnsi="Times New Roman" w:cs="Times New Roman"/>
          <w:sz w:val="24"/>
        </w:rPr>
      </w:pPr>
      <w:r w:rsidRPr="00F34DF4">
        <w:rPr>
          <w:rFonts w:ascii="Times New Roman" w:eastAsia="宋体" w:hAnsi="Times New Roman" w:cs="Times New Roman"/>
          <w:sz w:val="24"/>
        </w:rPr>
        <w:t>平时作业：</w:t>
      </w:r>
    </w:p>
    <w:p w14:paraId="20079280" w14:textId="77777777" w:rsidR="00D529CF" w:rsidRPr="00F34DF4" w:rsidRDefault="00D529CF" w:rsidP="00D529CF">
      <w:pPr>
        <w:pStyle w:val="ae"/>
        <w:spacing w:line="440" w:lineRule="exact"/>
        <w:ind w:left="420" w:firstLineChars="0" w:firstLine="0"/>
        <w:rPr>
          <w:rFonts w:ascii="Times New Roman" w:eastAsia="宋体" w:hAnsi="Times New Roman" w:cs="Times New Roman"/>
          <w:sz w:val="28"/>
          <w:szCs w:val="28"/>
        </w:rPr>
      </w:pPr>
      <w:r w:rsidRPr="00F34DF4">
        <w:rPr>
          <w:rFonts w:ascii="Times New Roman" w:eastAsia="宋体" w:hAnsi="Times New Roman" w:cs="Times New Roman"/>
          <w:sz w:val="24"/>
        </w:rPr>
        <w:lastRenderedPageBreak/>
        <w:t>学习过程中利用</w:t>
      </w:r>
      <w:proofErr w:type="gramStart"/>
      <w:r w:rsidRPr="00F34DF4">
        <w:rPr>
          <w:rFonts w:ascii="Times New Roman" w:eastAsia="宋体" w:hAnsi="Times New Roman" w:cs="Times New Roman"/>
          <w:sz w:val="24"/>
        </w:rPr>
        <w:t>超星学习通发布</w:t>
      </w:r>
      <w:proofErr w:type="gramEnd"/>
      <w:r w:rsidRPr="00F34DF4">
        <w:rPr>
          <w:rFonts w:ascii="Times New Roman" w:eastAsia="宋体" w:hAnsi="Times New Roman" w:cs="Times New Roman"/>
          <w:sz w:val="24"/>
        </w:rPr>
        <w:t>的作业考核，包括综合教程及视听说作业。取所有作业总分</w:t>
      </w:r>
      <w:r w:rsidRPr="00F34DF4">
        <w:rPr>
          <w:rFonts w:ascii="Times New Roman" w:eastAsia="宋体" w:hAnsi="Times New Roman" w:cs="Times New Roman"/>
          <w:sz w:val="24"/>
        </w:rPr>
        <w:t>/</w:t>
      </w:r>
      <w:r w:rsidRPr="00F34DF4">
        <w:rPr>
          <w:rFonts w:ascii="Times New Roman" w:eastAsia="宋体" w:hAnsi="Times New Roman" w:cs="Times New Roman"/>
          <w:sz w:val="24"/>
        </w:rPr>
        <w:t>总共发布作业次数的得分。</w:t>
      </w:r>
    </w:p>
    <w:p w14:paraId="5D8C078C" w14:textId="77777777" w:rsidR="00D529CF" w:rsidRPr="007D2A80" w:rsidRDefault="00D529CF" w:rsidP="00D529CF">
      <w:pPr>
        <w:spacing w:beforeLines="50" w:before="156" w:afterLines="50" w:after="156" w:line="440" w:lineRule="exact"/>
        <w:ind w:firstLineChars="200" w:firstLine="560"/>
        <w:rPr>
          <w:rFonts w:ascii="黑体" w:eastAsia="黑体" w:hAnsi="黑体" w:cs="Times New Roman"/>
          <w:sz w:val="28"/>
          <w:szCs w:val="28"/>
        </w:rPr>
      </w:pPr>
      <w:r w:rsidRPr="007D2A80">
        <w:rPr>
          <w:rFonts w:ascii="黑体" w:eastAsia="黑体" w:hAnsi="黑体" w:cs="Times New Roman"/>
          <w:sz w:val="28"/>
          <w:szCs w:val="28"/>
        </w:rPr>
        <w:t>（三）期末成绩评定</w:t>
      </w:r>
    </w:p>
    <w:p w14:paraId="600A77E6" w14:textId="77777777" w:rsidR="00D529CF" w:rsidRPr="00F34DF4" w:rsidRDefault="00D529CF" w:rsidP="00D529CF">
      <w:pPr>
        <w:spacing w:line="440" w:lineRule="exact"/>
        <w:ind w:firstLineChars="200" w:firstLine="480"/>
        <w:rPr>
          <w:rFonts w:ascii="Times New Roman" w:eastAsia="宋体" w:hAnsi="Times New Roman" w:cs="Times New Roman"/>
          <w:sz w:val="28"/>
          <w:szCs w:val="28"/>
        </w:rPr>
      </w:pPr>
      <w:r w:rsidRPr="00F34DF4">
        <w:rPr>
          <w:rFonts w:ascii="Times New Roman" w:eastAsia="宋体" w:hAnsi="Times New Roman" w:cs="Times New Roman"/>
          <w:sz w:val="24"/>
        </w:rPr>
        <w:t>本学期为考查课，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14:paraId="0CA69DEE" w14:textId="77777777" w:rsidR="00D529CF" w:rsidRPr="007D2A80" w:rsidRDefault="00D529CF" w:rsidP="00D529CF">
      <w:pPr>
        <w:spacing w:beforeLines="50" w:before="156" w:afterLines="50" w:after="156" w:line="440" w:lineRule="exact"/>
        <w:ind w:firstLineChars="200" w:firstLine="560"/>
        <w:rPr>
          <w:rFonts w:ascii="黑体" w:eastAsia="黑体" w:hAnsi="黑体" w:cs="Times New Roman"/>
          <w:sz w:val="24"/>
        </w:rPr>
      </w:pPr>
      <w:r w:rsidRPr="007D2A80">
        <w:rPr>
          <w:rFonts w:ascii="黑体" w:eastAsia="黑体" w:hAnsi="黑体" w:cs="Times New Roman"/>
          <w:sz w:val="28"/>
          <w:szCs w:val="28"/>
        </w:rPr>
        <w:t>六、使用教材、相关推荐书目及课程资源</w:t>
      </w:r>
    </w:p>
    <w:p w14:paraId="6F057219" w14:textId="77777777" w:rsidR="00D529CF" w:rsidRPr="007D2A80" w:rsidRDefault="00D529CF" w:rsidP="00D529CF">
      <w:pPr>
        <w:spacing w:line="440" w:lineRule="exact"/>
        <w:ind w:firstLineChars="200" w:firstLine="560"/>
        <w:rPr>
          <w:rFonts w:ascii="黑体" w:eastAsia="黑体" w:hAnsi="黑体" w:cs="Times New Roman"/>
          <w:sz w:val="24"/>
        </w:rPr>
      </w:pPr>
      <w:r w:rsidRPr="007D2A80">
        <w:rPr>
          <w:rFonts w:ascii="黑体" w:eastAsia="黑体" w:hAnsi="黑体" w:cs="Times New Roman"/>
          <w:sz w:val="28"/>
          <w:szCs w:val="28"/>
        </w:rPr>
        <w:t>（一）使用教材</w:t>
      </w:r>
    </w:p>
    <w:p w14:paraId="3EF72397" w14:textId="77777777" w:rsidR="00D529CF" w:rsidRPr="00F34DF4" w:rsidRDefault="00D529CF" w:rsidP="00D529CF">
      <w:pPr>
        <w:tabs>
          <w:tab w:val="left" w:pos="840"/>
        </w:tabs>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1. </w:t>
      </w:r>
      <w:r w:rsidRPr="00F34DF4">
        <w:rPr>
          <w:rFonts w:ascii="Times New Roman" w:eastAsia="宋体" w:hAnsi="Times New Roman" w:cs="Times New Roman"/>
          <w:sz w:val="24"/>
        </w:rPr>
        <w:t>石</w:t>
      </w:r>
      <w:proofErr w:type="gramStart"/>
      <w:r w:rsidRPr="00F34DF4">
        <w:rPr>
          <w:rFonts w:ascii="Times New Roman" w:eastAsia="宋体" w:hAnsi="Times New Roman" w:cs="Times New Roman"/>
          <w:sz w:val="24"/>
        </w:rPr>
        <w:t>坚</w:t>
      </w:r>
      <w:proofErr w:type="gramEnd"/>
      <w:r w:rsidRPr="00F34DF4">
        <w:rPr>
          <w:rFonts w:ascii="Times New Roman" w:eastAsia="宋体" w:hAnsi="Times New Roman" w:cs="Times New Roman"/>
          <w:sz w:val="24"/>
        </w:rPr>
        <w:t>、邹申、金雯主编，《新时代大学进阶英语综合教程</w:t>
      </w:r>
      <w:r w:rsidRPr="00F34DF4">
        <w:rPr>
          <w:rFonts w:ascii="Times New Roman" w:eastAsia="宋体" w:hAnsi="Times New Roman" w:cs="Times New Roman"/>
          <w:sz w:val="24"/>
        </w:rPr>
        <w:t>1</w:t>
      </w:r>
      <w:r w:rsidRPr="00F34DF4">
        <w:rPr>
          <w:rFonts w:ascii="Times New Roman" w:eastAsia="宋体" w:hAnsi="Times New Roman" w:cs="Times New Roman"/>
          <w:sz w:val="24"/>
        </w:rPr>
        <w:t>》（第三版），南京大学出版社，</w:t>
      </w:r>
      <w:r w:rsidRPr="00F34DF4">
        <w:rPr>
          <w:rFonts w:ascii="Times New Roman" w:eastAsia="宋体" w:hAnsi="Times New Roman" w:cs="Times New Roman"/>
          <w:sz w:val="24"/>
        </w:rPr>
        <w:t>2022.3</w:t>
      </w:r>
      <w:r w:rsidRPr="00F34DF4">
        <w:rPr>
          <w:rFonts w:ascii="Times New Roman" w:eastAsia="宋体" w:hAnsi="Times New Roman" w:cs="Times New Roman"/>
          <w:sz w:val="24"/>
        </w:rPr>
        <w:t>；</w:t>
      </w:r>
    </w:p>
    <w:p w14:paraId="2A1D3119" w14:textId="77777777" w:rsidR="00D529CF" w:rsidRPr="00F34DF4" w:rsidRDefault="00D529CF" w:rsidP="00D529CF">
      <w:pPr>
        <w:tabs>
          <w:tab w:val="left" w:pos="840"/>
        </w:tabs>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石</w:t>
      </w:r>
      <w:proofErr w:type="gramStart"/>
      <w:r w:rsidRPr="00F34DF4">
        <w:rPr>
          <w:rFonts w:ascii="Times New Roman" w:eastAsia="宋体" w:hAnsi="Times New Roman" w:cs="Times New Roman"/>
          <w:sz w:val="24"/>
        </w:rPr>
        <w:t>坚</w:t>
      </w:r>
      <w:proofErr w:type="gramEnd"/>
      <w:r w:rsidRPr="00F34DF4">
        <w:rPr>
          <w:rFonts w:ascii="Times New Roman" w:eastAsia="宋体" w:hAnsi="Times New Roman" w:cs="Times New Roman"/>
          <w:sz w:val="24"/>
        </w:rPr>
        <w:t>、邹申、金雯主编，《新时代大学进阶英语视听说教程</w:t>
      </w:r>
      <w:r w:rsidRPr="00F34DF4">
        <w:rPr>
          <w:rFonts w:ascii="Times New Roman" w:eastAsia="宋体" w:hAnsi="Times New Roman" w:cs="Times New Roman"/>
          <w:sz w:val="24"/>
        </w:rPr>
        <w:t>1</w:t>
      </w:r>
      <w:r w:rsidRPr="00F34DF4">
        <w:rPr>
          <w:rFonts w:ascii="Times New Roman" w:eastAsia="宋体" w:hAnsi="Times New Roman" w:cs="Times New Roman"/>
          <w:sz w:val="24"/>
        </w:rPr>
        <w:t>》（第三版），南京大学出版社，</w:t>
      </w:r>
      <w:r w:rsidRPr="00F34DF4">
        <w:rPr>
          <w:rFonts w:ascii="Times New Roman" w:eastAsia="宋体" w:hAnsi="Times New Roman" w:cs="Times New Roman"/>
          <w:sz w:val="24"/>
        </w:rPr>
        <w:t>2022.3</w:t>
      </w:r>
      <w:r w:rsidRPr="00F34DF4">
        <w:rPr>
          <w:rFonts w:ascii="Times New Roman" w:eastAsia="宋体" w:hAnsi="Times New Roman" w:cs="Times New Roman"/>
          <w:sz w:val="24"/>
        </w:rPr>
        <w:t>。</w:t>
      </w:r>
    </w:p>
    <w:p w14:paraId="3CF14C5F" w14:textId="77777777" w:rsidR="00D529CF" w:rsidRPr="007D2A80" w:rsidRDefault="00D529CF" w:rsidP="00D529CF">
      <w:pPr>
        <w:spacing w:line="440" w:lineRule="exact"/>
        <w:ind w:firstLineChars="200" w:firstLine="560"/>
        <w:rPr>
          <w:rFonts w:ascii="黑体" w:eastAsia="黑体" w:hAnsi="黑体" w:cs="Times New Roman"/>
          <w:sz w:val="28"/>
          <w:szCs w:val="28"/>
        </w:rPr>
      </w:pPr>
      <w:r w:rsidRPr="007D2A80">
        <w:rPr>
          <w:rFonts w:ascii="黑体" w:eastAsia="黑体" w:hAnsi="黑体" w:cs="Times New Roman"/>
          <w:sz w:val="28"/>
          <w:szCs w:val="28"/>
        </w:rPr>
        <w:t>（二）相关推荐书目及网址</w:t>
      </w:r>
    </w:p>
    <w:p w14:paraId="100BAC82" w14:textId="77777777" w:rsidR="00D529CF" w:rsidRPr="00F34DF4" w:rsidRDefault="00D529CF" w:rsidP="00D529CF">
      <w:pPr>
        <w:tabs>
          <w:tab w:val="left" w:pos="840"/>
        </w:tabs>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1. </w:t>
      </w:r>
      <w:r w:rsidRPr="00F34DF4">
        <w:rPr>
          <w:rFonts w:ascii="Times New Roman" w:eastAsia="宋体" w:hAnsi="Times New Roman" w:cs="Times New Roman"/>
          <w:sz w:val="24"/>
        </w:rPr>
        <w:t>石</w:t>
      </w:r>
      <w:proofErr w:type="gramStart"/>
      <w:r w:rsidRPr="00F34DF4">
        <w:rPr>
          <w:rFonts w:ascii="Times New Roman" w:eastAsia="宋体" w:hAnsi="Times New Roman" w:cs="Times New Roman"/>
          <w:sz w:val="24"/>
        </w:rPr>
        <w:t>坚</w:t>
      </w:r>
      <w:proofErr w:type="gramEnd"/>
      <w:r w:rsidRPr="00F34DF4">
        <w:rPr>
          <w:rFonts w:ascii="Times New Roman" w:eastAsia="宋体" w:hAnsi="Times New Roman" w:cs="Times New Roman"/>
          <w:sz w:val="24"/>
        </w:rPr>
        <w:t>、邹申、金雯主编，《新时代大学进阶英语综合教程</w:t>
      </w:r>
      <w:r w:rsidRPr="00F34DF4">
        <w:rPr>
          <w:rFonts w:ascii="Times New Roman" w:eastAsia="宋体" w:hAnsi="Times New Roman" w:cs="Times New Roman"/>
          <w:sz w:val="24"/>
        </w:rPr>
        <w:t>1</w:t>
      </w:r>
      <w:r w:rsidRPr="00F34DF4">
        <w:rPr>
          <w:rFonts w:ascii="Times New Roman" w:eastAsia="宋体" w:hAnsi="Times New Roman" w:cs="Times New Roman"/>
          <w:sz w:val="24"/>
        </w:rPr>
        <w:t>教学参考书》（第三版），南京大学出版社，</w:t>
      </w:r>
      <w:r w:rsidRPr="00F34DF4">
        <w:rPr>
          <w:rFonts w:ascii="Times New Roman" w:eastAsia="宋体" w:hAnsi="Times New Roman" w:cs="Times New Roman"/>
          <w:sz w:val="24"/>
        </w:rPr>
        <w:t>2022.3</w:t>
      </w:r>
      <w:r w:rsidRPr="00F34DF4">
        <w:rPr>
          <w:rFonts w:ascii="Times New Roman" w:eastAsia="宋体" w:hAnsi="Times New Roman" w:cs="Times New Roman"/>
          <w:sz w:val="24"/>
        </w:rPr>
        <w:t>；</w:t>
      </w:r>
    </w:p>
    <w:p w14:paraId="2AE5C275" w14:textId="77777777" w:rsidR="00D529CF" w:rsidRPr="00F34DF4" w:rsidRDefault="00D529CF" w:rsidP="00D529CF">
      <w:pPr>
        <w:tabs>
          <w:tab w:val="left" w:pos="840"/>
        </w:tabs>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石</w:t>
      </w:r>
      <w:proofErr w:type="gramStart"/>
      <w:r w:rsidRPr="00F34DF4">
        <w:rPr>
          <w:rFonts w:ascii="Times New Roman" w:eastAsia="宋体" w:hAnsi="Times New Roman" w:cs="Times New Roman"/>
          <w:sz w:val="24"/>
        </w:rPr>
        <w:t>坚</w:t>
      </w:r>
      <w:proofErr w:type="gramEnd"/>
      <w:r w:rsidRPr="00F34DF4">
        <w:rPr>
          <w:rFonts w:ascii="Times New Roman" w:eastAsia="宋体" w:hAnsi="Times New Roman" w:cs="Times New Roman"/>
          <w:sz w:val="24"/>
        </w:rPr>
        <w:t>、邹申、金雯主编，《新时代大学进阶英语视听说教程</w:t>
      </w:r>
      <w:r w:rsidRPr="00F34DF4">
        <w:rPr>
          <w:rFonts w:ascii="Times New Roman" w:eastAsia="宋体" w:hAnsi="Times New Roman" w:cs="Times New Roman"/>
          <w:sz w:val="24"/>
        </w:rPr>
        <w:t>1</w:t>
      </w:r>
      <w:r w:rsidRPr="00F34DF4">
        <w:rPr>
          <w:rFonts w:ascii="Times New Roman" w:eastAsia="宋体" w:hAnsi="Times New Roman" w:cs="Times New Roman"/>
          <w:sz w:val="24"/>
        </w:rPr>
        <w:t>教学参考书》（第三版），南京大学出版社，</w:t>
      </w:r>
      <w:r w:rsidRPr="00F34DF4">
        <w:rPr>
          <w:rFonts w:ascii="Times New Roman" w:eastAsia="宋体" w:hAnsi="Times New Roman" w:cs="Times New Roman"/>
          <w:sz w:val="24"/>
        </w:rPr>
        <w:t>2022.3</w:t>
      </w:r>
      <w:r w:rsidRPr="00F34DF4">
        <w:rPr>
          <w:rFonts w:ascii="Times New Roman" w:eastAsia="宋体" w:hAnsi="Times New Roman" w:cs="Times New Roman"/>
          <w:sz w:val="24"/>
        </w:rPr>
        <w:t>。</w:t>
      </w:r>
    </w:p>
    <w:p w14:paraId="4B61C411" w14:textId="77777777" w:rsidR="00D529CF" w:rsidRPr="00F34DF4" w:rsidRDefault="00D529CF" w:rsidP="00D529CF">
      <w:pPr>
        <w:spacing w:line="50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3. </w:t>
      </w:r>
      <w:r w:rsidRPr="00F34DF4">
        <w:rPr>
          <w:rFonts w:ascii="Times New Roman" w:eastAsia="宋体" w:hAnsi="Times New Roman" w:cs="Times New Roman"/>
          <w:sz w:val="24"/>
        </w:rPr>
        <w:t>孙海晨，《汉译英实用技能训练》，外文出版社，</w:t>
      </w:r>
      <w:r w:rsidRPr="00F34DF4">
        <w:rPr>
          <w:rFonts w:ascii="Times New Roman" w:eastAsia="宋体" w:hAnsi="Times New Roman" w:cs="Times New Roman"/>
          <w:sz w:val="24"/>
        </w:rPr>
        <w:t>2007</w:t>
      </w:r>
      <w:r w:rsidRPr="00F34DF4">
        <w:rPr>
          <w:rFonts w:ascii="Times New Roman" w:eastAsia="宋体" w:hAnsi="Times New Roman" w:cs="Times New Roman"/>
          <w:sz w:val="24"/>
        </w:rPr>
        <w:t>年版；</w:t>
      </w:r>
    </w:p>
    <w:p w14:paraId="00AB978C" w14:textId="77777777" w:rsidR="00D529CF" w:rsidRPr="00F34DF4" w:rsidRDefault="00D529CF" w:rsidP="00D529CF">
      <w:pPr>
        <w:spacing w:line="50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4. </w:t>
      </w:r>
      <w:r w:rsidRPr="00F34DF4">
        <w:rPr>
          <w:rFonts w:ascii="Times New Roman" w:eastAsia="宋体" w:hAnsi="Times New Roman" w:cs="Times New Roman"/>
          <w:sz w:val="24"/>
        </w:rPr>
        <w:t>王忠梁，《大学英语写作技巧》，</w:t>
      </w:r>
      <w:r>
        <w:fldChar w:fldCharType="begin"/>
      </w:r>
      <w:r>
        <w:instrText>HYPERLINK "https://baike.so.com/doc/5290573-5525058.html" \h</w:instrText>
      </w:r>
      <w:r>
        <w:fldChar w:fldCharType="separate"/>
      </w:r>
      <w:r w:rsidRPr="00F34DF4">
        <w:rPr>
          <w:rFonts w:ascii="Times New Roman" w:eastAsia="宋体" w:hAnsi="Times New Roman" w:cs="Times New Roman"/>
          <w:sz w:val="24"/>
        </w:rPr>
        <w:t>东方出版中心</w:t>
      </w:r>
      <w:r>
        <w:rPr>
          <w:rFonts w:ascii="Times New Roman" w:eastAsia="宋体" w:hAnsi="Times New Roman" w:cs="Times New Roman"/>
          <w:sz w:val="24"/>
        </w:rPr>
        <w:fldChar w:fldCharType="end"/>
      </w:r>
      <w:r w:rsidRPr="00F34DF4">
        <w:rPr>
          <w:rFonts w:ascii="Times New Roman" w:eastAsia="宋体" w:hAnsi="Times New Roman" w:cs="Times New Roman"/>
          <w:sz w:val="24"/>
        </w:rPr>
        <w:t>，</w:t>
      </w:r>
      <w:r w:rsidRPr="00F34DF4">
        <w:rPr>
          <w:rFonts w:ascii="Times New Roman" w:eastAsia="宋体" w:hAnsi="Times New Roman" w:cs="Times New Roman"/>
          <w:sz w:val="24"/>
        </w:rPr>
        <w:t>2005</w:t>
      </w:r>
      <w:r w:rsidRPr="00F34DF4">
        <w:rPr>
          <w:rFonts w:ascii="Times New Roman" w:eastAsia="宋体" w:hAnsi="Times New Roman" w:cs="Times New Roman"/>
          <w:sz w:val="24"/>
        </w:rPr>
        <w:t>年版；</w:t>
      </w:r>
    </w:p>
    <w:p w14:paraId="51E18164"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5. </w:t>
      </w:r>
      <w:r w:rsidRPr="00F34DF4">
        <w:rPr>
          <w:rFonts w:ascii="Times New Roman" w:eastAsia="宋体" w:hAnsi="Times New Roman" w:cs="Times New Roman"/>
          <w:sz w:val="24"/>
        </w:rPr>
        <w:t>薄冰主编：《高级英语语法》，商务印书馆，</w:t>
      </w:r>
      <w:r w:rsidRPr="00F34DF4">
        <w:rPr>
          <w:rFonts w:ascii="Times New Roman" w:eastAsia="宋体" w:hAnsi="Times New Roman" w:cs="Times New Roman"/>
          <w:sz w:val="24"/>
        </w:rPr>
        <w:t>2018</w:t>
      </w:r>
      <w:r w:rsidRPr="00F34DF4">
        <w:rPr>
          <w:rFonts w:ascii="Times New Roman" w:eastAsia="宋体" w:hAnsi="Times New Roman" w:cs="Times New Roman"/>
          <w:sz w:val="24"/>
        </w:rPr>
        <w:t>年版；</w:t>
      </w:r>
    </w:p>
    <w:p w14:paraId="532DC79F" w14:textId="77777777" w:rsidR="00D529CF" w:rsidRPr="00F34DF4" w:rsidRDefault="00D529CF" w:rsidP="00D529CF">
      <w:pPr>
        <w:spacing w:line="440" w:lineRule="exact"/>
        <w:ind w:leftChars="228" w:left="719" w:hangingChars="100" w:hanging="240"/>
        <w:rPr>
          <w:rFonts w:ascii="Times New Roman" w:eastAsia="宋体" w:hAnsi="Times New Roman" w:cs="Times New Roman"/>
          <w:sz w:val="24"/>
        </w:rPr>
      </w:pPr>
      <w:r w:rsidRPr="00F34DF4">
        <w:rPr>
          <w:rFonts w:ascii="Times New Roman" w:eastAsia="宋体" w:hAnsi="Times New Roman" w:cs="Times New Roman"/>
          <w:sz w:val="24"/>
        </w:rPr>
        <w:t xml:space="preserve">6. </w:t>
      </w:r>
      <w:r w:rsidRPr="00F34DF4">
        <w:rPr>
          <w:rFonts w:ascii="Times New Roman" w:eastAsia="宋体" w:hAnsi="Times New Roman" w:cs="Times New Roman"/>
          <w:sz w:val="24"/>
        </w:rPr>
        <w:t>俞敏洪编著：《四级词汇词根</w:t>
      </w:r>
      <w:r w:rsidRPr="00F34DF4">
        <w:rPr>
          <w:rFonts w:ascii="Times New Roman" w:eastAsia="宋体" w:hAnsi="Times New Roman" w:cs="Times New Roman"/>
          <w:sz w:val="24"/>
        </w:rPr>
        <w:t>+</w:t>
      </w:r>
      <w:r w:rsidRPr="00F34DF4">
        <w:rPr>
          <w:rFonts w:ascii="Times New Roman" w:eastAsia="宋体" w:hAnsi="Times New Roman" w:cs="Times New Roman"/>
          <w:sz w:val="24"/>
        </w:rPr>
        <w:t>联想记忆法》，西安交通大学出版社</w:t>
      </w:r>
      <w:r w:rsidRPr="00F34DF4">
        <w:rPr>
          <w:rFonts w:ascii="Times New Roman" w:eastAsia="宋体" w:hAnsi="Times New Roman" w:cs="Times New Roman"/>
          <w:sz w:val="24"/>
        </w:rPr>
        <w:t>2011</w:t>
      </w:r>
      <w:r w:rsidRPr="00F34DF4">
        <w:rPr>
          <w:rFonts w:ascii="Times New Roman" w:eastAsia="宋体" w:hAnsi="Times New Roman" w:cs="Times New Roman"/>
          <w:sz w:val="24"/>
        </w:rPr>
        <w:t>年版；</w:t>
      </w:r>
    </w:p>
    <w:p w14:paraId="1E501274"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7. </w:t>
      </w:r>
      <w:r w:rsidRPr="00F34DF4">
        <w:rPr>
          <w:rFonts w:ascii="Times New Roman" w:eastAsia="宋体" w:hAnsi="Times New Roman" w:cs="Times New Roman"/>
          <w:sz w:val="24"/>
        </w:rPr>
        <w:t>曹</w:t>
      </w:r>
      <w:proofErr w:type="gramStart"/>
      <w:r w:rsidRPr="00F34DF4">
        <w:rPr>
          <w:rFonts w:ascii="Times New Roman" w:eastAsia="宋体" w:hAnsi="Times New Roman" w:cs="Times New Roman"/>
          <w:sz w:val="24"/>
        </w:rPr>
        <w:t>丽霞肖波高</w:t>
      </w:r>
      <w:proofErr w:type="gramEnd"/>
      <w:r w:rsidRPr="00F34DF4">
        <w:rPr>
          <w:rFonts w:ascii="Times New Roman" w:eastAsia="宋体" w:hAnsi="Times New Roman" w:cs="Times New Roman"/>
          <w:sz w:val="24"/>
        </w:rPr>
        <w:t>长主编《大学英语四级汉译英</w:t>
      </w:r>
      <w:r w:rsidRPr="00F34DF4">
        <w:rPr>
          <w:rFonts w:ascii="Times New Roman" w:eastAsia="宋体" w:hAnsi="Times New Roman" w:cs="Times New Roman"/>
          <w:sz w:val="24"/>
        </w:rPr>
        <w:t>16</w:t>
      </w:r>
      <w:r w:rsidRPr="00F34DF4">
        <w:rPr>
          <w:rFonts w:ascii="Times New Roman" w:eastAsia="宋体" w:hAnsi="Times New Roman" w:cs="Times New Roman"/>
          <w:sz w:val="24"/>
        </w:rPr>
        <w:t>字真经》（新题型），西安交通大学出版社，</w:t>
      </w:r>
      <w:r w:rsidRPr="00F34DF4">
        <w:rPr>
          <w:rFonts w:ascii="Times New Roman" w:eastAsia="宋体" w:hAnsi="Times New Roman" w:cs="Times New Roman"/>
          <w:sz w:val="24"/>
        </w:rPr>
        <w:t>2014</w:t>
      </w:r>
      <w:r w:rsidRPr="00F34DF4">
        <w:rPr>
          <w:rFonts w:ascii="Times New Roman" w:eastAsia="宋体" w:hAnsi="Times New Roman" w:cs="Times New Roman"/>
          <w:sz w:val="24"/>
        </w:rPr>
        <w:t>年版；</w:t>
      </w:r>
    </w:p>
    <w:p w14:paraId="00E0B101" w14:textId="77777777" w:rsidR="00D529CF" w:rsidRPr="00F34DF4" w:rsidRDefault="00D529CF" w:rsidP="00D529CF">
      <w:pPr>
        <w:tabs>
          <w:tab w:val="left" w:pos="840"/>
        </w:tabs>
        <w:spacing w:line="50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8. </w:t>
      </w:r>
      <w:r w:rsidRPr="00F34DF4">
        <w:rPr>
          <w:rFonts w:ascii="Times New Roman" w:eastAsia="宋体" w:hAnsi="Times New Roman" w:cs="Times New Roman"/>
          <w:sz w:val="24"/>
        </w:rPr>
        <w:t>赵天红、马海波，《实用英语文化背景知识手册》，合肥工业大学出版社，</w:t>
      </w:r>
      <w:r w:rsidRPr="00F34DF4">
        <w:rPr>
          <w:rFonts w:ascii="Times New Roman" w:eastAsia="宋体" w:hAnsi="Times New Roman" w:cs="Times New Roman"/>
          <w:sz w:val="24"/>
        </w:rPr>
        <w:t>2010</w:t>
      </w:r>
      <w:r w:rsidRPr="00F34DF4">
        <w:rPr>
          <w:rFonts w:ascii="Times New Roman" w:eastAsia="宋体" w:hAnsi="Times New Roman" w:cs="Times New Roman"/>
          <w:sz w:val="24"/>
        </w:rPr>
        <w:t>年版；</w:t>
      </w:r>
    </w:p>
    <w:p w14:paraId="46F32411" w14:textId="77777777" w:rsidR="00D529CF" w:rsidRPr="00F34DF4" w:rsidRDefault="00D529CF" w:rsidP="00D529CF">
      <w:pPr>
        <w:tabs>
          <w:tab w:val="left" w:pos="840"/>
        </w:tabs>
        <w:spacing w:line="50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9. </w:t>
      </w:r>
      <w:r w:rsidRPr="00F34DF4">
        <w:rPr>
          <w:rFonts w:ascii="Times New Roman" w:eastAsia="宋体" w:hAnsi="Times New Roman" w:cs="Times New Roman"/>
          <w:sz w:val="24"/>
        </w:rPr>
        <w:t>郭坤，《全球化背景下大学英语跨文化教学研究》，电子科技大学出版社，</w:t>
      </w:r>
      <w:r w:rsidRPr="00F34DF4">
        <w:rPr>
          <w:rFonts w:ascii="Times New Roman" w:eastAsia="宋体" w:hAnsi="Times New Roman" w:cs="Times New Roman"/>
          <w:sz w:val="24"/>
        </w:rPr>
        <w:t>2016</w:t>
      </w:r>
      <w:r w:rsidRPr="00F34DF4">
        <w:rPr>
          <w:rFonts w:ascii="Times New Roman" w:eastAsia="宋体" w:hAnsi="Times New Roman" w:cs="Times New Roman"/>
          <w:sz w:val="24"/>
        </w:rPr>
        <w:t>年版；</w:t>
      </w:r>
    </w:p>
    <w:p w14:paraId="78BB7C8F" w14:textId="77777777" w:rsidR="00D529CF" w:rsidRPr="00F34DF4" w:rsidRDefault="00D529CF" w:rsidP="00D529CF">
      <w:pPr>
        <w:tabs>
          <w:tab w:val="left" w:pos="840"/>
        </w:tabs>
        <w:spacing w:line="50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lastRenderedPageBreak/>
        <w:t xml:space="preserve">10. </w:t>
      </w:r>
      <w:r w:rsidRPr="00F34DF4">
        <w:rPr>
          <w:rFonts w:ascii="Times New Roman" w:eastAsia="宋体" w:hAnsi="Times New Roman" w:cs="Times New Roman"/>
          <w:sz w:val="24"/>
        </w:rPr>
        <w:t>辛克莱【英】，《英语语法系列（</w:t>
      </w:r>
      <w:r w:rsidRPr="00F34DF4">
        <w:rPr>
          <w:rFonts w:ascii="Times New Roman" w:eastAsia="宋体" w:hAnsi="Times New Roman" w:cs="Times New Roman"/>
          <w:sz w:val="24"/>
        </w:rPr>
        <w:t>2</w:t>
      </w:r>
      <w:r w:rsidRPr="00F34DF4">
        <w:rPr>
          <w:rFonts w:ascii="Times New Roman" w:eastAsia="宋体" w:hAnsi="Times New Roman" w:cs="Times New Roman"/>
          <w:sz w:val="24"/>
        </w:rPr>
        <w:t>）</w:t>
      </w:r>
      <w:r w:rsidRPr="00F34DF4">
        <w:rPr>
          <w:rFonts w:ascii="Times New Roman" w:eastAsia="宋体" w:hAnsi="Times New Roman" w:cs="Times New Roman"/>
          <w:sz w:val="24"/>
        </w:rPr>
        <w:t>--</w:t>
      </w:r>
      <w:r w:rsidRPr="00F34DF4">
        <w:rPr>
          <w:rFonts w:ascii="Times New Roman" w:eastAsia="宋体" w:hAnsi="Times New Roman" w:cs="Times New Roman"/>
          <w:sz w:val="24"/>
        </w:rPr>
        <w:t>构词法》，外文出版社，</w:t>
      </w:r>
      <w:r w:rsidRPr="00F34DF4">
        <w:rPr>
          <w:rFonts w:ascii="Times New Roman" w:eastAsia="宋体" w:hAnsi="Times New Roman" w:cs="Times New Roman"/>
          <w:sz w:val="24"/>
        </w:rPr>
        <w:t>2000</w:t>
      </w:r>
      <w:r w:rsidRPr="00F34DF4">
        <w:rPr>
          <w:rFonts w:ascii="Times New Roman" w:eastAsia="宋体" w:hAnsi="Times New Roman" w:cs="Times New Roman"/>
          <w:sz w:val="24"/>
        </w:rPr>
        <w:t>年版；</w:t>
      </w:r>
    </w:p>
    <w:p w14:paraId="4BA68431" w14:textId="77777777" w:rsidR="00D529CF" w:rsidRPr="00F34DF4" w:rsidRDefault="00D529CF" w:rsidP="00D529CF">
      <w:pPr>
        <w:tabs>
          <w:tab w:val="left" w:pos="840"/>
        </w:tabs>
        <w:spacing w:line="50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11. </w:t>
      </w:r>
      <w:r w:rsidRPr="00F34DF4">
        <w:rPr>
          <w:rFonts w:ascii="Times New Roman" w:eastAsia="宋体" w:hAnsi="Times New Roman" w:cs="Times New Roman"/>
          <w:sz w:val="24"/>
        </w:rPr>
        <w:t>新东方研究中心，《新东方四级阅读强化训练</w:t>
      </w:r>
      <w:r w:rsidRPr="00F34DF4">
        <w:rPr>
          <w:rFonts w:ascii="Times New Roman" w:eastAsia="宋体" w:hAnsi="Times New Roman" w:cs="Times New Roman"/>
          <w:sz w:val="24"/>
        </w:rPr>
        <w:t>600</w:t>
      </w:r>
      <w:r w:rsidRPr="00F34DF4">
        <w:rPr>
          <w:rFonts w:ascii="Times New Roman" w:eastAsia="宋体" w:hAnsi="Times New Roman" w:cs="Times New Roman"/>
          <w:sz w:val="24"/>
        </w:rPr>
        <w:t>题》，浙江教育出版社，</w:t>
      </w:r>
      <w:r w:rsidRPr="00F34DF4">
        <w:rPr>
          <w:rFonts w:ascii="Times New Roman" w:eastAsia="宋体" w:hAnsi="Times New Roman" w:cs="Times New Roman"/>
          <w:sz w:val="24"/>
        </w:rPr>
        <w:t>2015</w:t>
      </w:r>
      <w:r w:rsidRPr="00F34DF4">
        <w:rPr>
          <w:rFonts w:ascii="Times New Roman" w:eastAsia="宋体" w:hAnsi="Times New Roman" w:cs="Times New Roman"/>
          <w:sz w:val="24"/>
        </w:rPr>
        <w:t>年版。</w:t>
      </w:r>
    </w:p>
    <w:p w14:paraId="4E2A2A96" w14:textId="77777777" w:rsidR="00D529CF" w:rsidRPr="007D2A80" w:rsidRDefault="00D529CF" w:rsidP="00D529CF">
      <w:pPr>
        <w:spacing w:beforeLines="50" w:before="156" w:afterLines="50" w:after="156" w:line="440" w:lineRule="exact"/>
        <w:ind w:firstLineChars="200" w:firstLine="560"/>
        <w:rPr>
          <w:rFonts w:ascii="黑体" w:eastAsia="黑体" w:hAnsi="黑体" w:cs="Times New Roman"/>
          <w:sz w:val="24"/>
        </w:rPr>
      </w:pPr>
      <w:r w:rsidRPr="007D2A80">
        <w:rPr>
          <w:rFonts w:ascii="黑体" w:eastAsia="黑体" w:hAnsi="黑体" w:cs="Times New Roman"/>
          <w:sz w:val="28"/>
          <w:szCs w:val="28"/>
        </w:rPr>
        <w:t>（三）课程资源</w:t>
      </w:r>
    </w:p>
    <w:p w14:paraId="42B08DB7" w14:textId="77777777" w:rsidR="00D529CF" w:rsidRPr="00F34DF4" w:rsidRDefault="00D529CF" w:rsidP="00D529CF">
      <w:pPr>
        <w:spacing w:line="440" w:lineRule="exact"/>
        <w:ind w:firstLineChars="200" w:firstLine="480"/>
        <w:rPr>
          <w:rFonts w:ascii="Times New Roman" w:eastAsia="宋体" w:hAnsi="Times New Roman" w:cs="Times New Roman"/>
          <w:sz w:val="24"/>
        </w:rPr>
      </w:pPr>
      <w:bookmarkStart w:id="32" w:name="_Hlk48752951"/>
      <w:r w:rsidRPr="00F34DF4">
        <w:rPr>
          <w:rFonts w:ascii="Times New Roman" w:eastAsia="宋体" w:hAnsi="Times New Roman" w:cs="Times New Roman"/>
          <w:sz w:val="24"/>
        </w:rPr>
        <w:t>学习途径和方法：</w:t>
      </w:r>
    </w:p>
    <w:bookmarkEnd w:id="32"/>
    <w:p w14:paraId="0A397B6D"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1. </w:t>
      </w:r>
      <w:r w:rsidRPr="00F34DF4">
        <w:rPr>
          <w:rFonts w:ascii="Times New Roman" w:eastAsia="宋体" w:hAnsi="Times New Roman" w:cs="Times New Roman"/>
          <w:sz w:val="24"/>
        </w:rPr>
        <w:t>课程学习资源及学习途径</w:t>
      </w:r>
    </w:p>
    <w:p w14:paraId="5A40C52F"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本课程通过石家庄学院网络教学平台（</w:t>
      </w:r>
      <w:proofErr w:type="gramStart"/>
      <w:r w:rsidRPr="00F34DF4">
        <w:rPr>
          <w:rFonts w:ascii="Times New Roman" w:eastAsia="宋体" w:hAnsi="Times New Roman" w:cs="Times New Roman"/>
          <w:sz w:val="24"/>
        </w:rPr>
        <w:t>超星学习通</w:t>
      </w:r>
      <w:proofErr w:type="gramEnd"/>
      <w:r w:rsidRPr="00F34DF4">
        <w:rPr>
          <w:rFonts w:ascii="Times New Roman" w:eastAsia="宋体" w:hAnsi="Times New Roman" w:cs="Times New Roman"/>
          <w:sz w:val="24"/>
        </w:rPr>
        <w:t>），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14:paraId="01D98BF2"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 xml:space="preserve">2. </w:t>
      </w:r>
      <w:r w:rsidRPr="00F34DF4">
        <w:rPr>
          <w:rFonts w:ascii="Times New Roman" w:eastAsia="宋体" w:hAnsi="Times New Roman" w:cs="Times New Roman"/>
          <w:sz w:val="24"/>
        </w:rPr>
        <w:t>在线开放课程网址：</w:t>
      </w:r>
      <w:r w:rsidRPr="00F34DF4">
        <w:rPr>
          <w:rFonts w:ascii="Times New Roman" w:eastAsia="宋体" w:hAnsi="Times New Roman" w:cs="Times New Roman"/>
          <w:sz w:val="24"/>
        </w:rPr>
        <w:t>https://mooc1.chaoxing.com/course/237012068.html</w:t>
      </w:r>
    </w:p>
    <w:p w14:paraId="11DA7DA9" w14:textId="77777777" w:rsidR="00D529CF" w:rsidRPr="007D2A80" w:rsidRDefault="00D529CF" w:rsidP="00D529CF">
      <w:pPr>
        <w:spacing w:beforeLines="50" w:before="156" w:afterLines="50" w:after="156" w:line="440" w:lineRule="exact"/>
        <w:ind w:firstLineChars="200" w:firstLine="560"/>
        <w:rPr>
          <w:rFonts w:ascii="黑体" w:eastAsia="黑体" w:hAnsi="黑体" w:cs="Times New Roman"/>
          <w:sz w:val="28"/>
          <w:szCs w:val="28"/>
        </w:rPr>
      </w:pPr>
      <w:r w:rsidRPr="007D2A80">
        <w:rPr>
          <w:rFonts w:ascii="黑体" w:eastAsia="黑体" w:hAnsi="黑体" w:cs="Times New Roman"/>
          <w:sz w:val="28"/>
          <w:szCs w:val="28"/>
        </w:rPr>
        <w:t>七、课程大纲制定依据</w:t>
      </w:r>
    </w:p>
    <w:p w14:paraId="06137F76" w14:textId="77777777" w:rsidR="00D529CF" w:rsidRPr="00F34DF4" w:rsidRDefault="00D529CF" w:rsidP="00D529CF">
      <w:pPr>
        <w:spacing w:line="440" w:lineRule="exact"/>
        <w:ind w:firstLineChars="200" w:firstLine="480"/>
        <w:rPr>
          <w:rFonts w:ascii="Times New Roman" w:eastAsia="宋体" w:hAnsi="Times New Roman" w:cs="Times New Roman"/>
          <w:sz w:val="24"/>
        </w:rPr>
      </w:pPr>
      <w:r w:rsidRPr="00F34DF4">
        <w:rPr>
          <w:rFonts w:ascii="Times New Roman" w:eastAsia="宋体" w:hAnsi="Times New Roman" w:cs="Times New Roman"/>
          <w:sz w:val="24"/>
        </w:rPr>
        <w:t>本课程大纲依据</w:t>
      </w:r>
      <w:r w:rsidRPr="00F34DF4">
        <w:rPr>
          <w:rFonts w:ascii="Times New Roman" w:eastAsia="宋体" w:hAnsi="Times New Roman" w:cs="Times New Roman"/>
          <w:sz w:val="24"/>
        </w:rPr>
        <w:t>2023</w:t>
      </w:r>
      <w:r w:rsidRPr="00F34DF4">
        <w:rPr>
          <w:rFonts w:ascii="Times New Roman" w:eastAsia="宋体" w:hAnsi="Times New Roman" w:cs="Times New Roman"/>
          <w:sz w:val="24"/>
        </w:rPr>
        <w:t>年</w:t>
      </w:r>
      <w:r w:rsidR="00855797">
        <w:rPr>
          <w:rFonts w:ascii="Times New Roman" w:eastAsia="宋体" w:hAnsi="Times New Roman" w:cs="Times New Roman" w:hint="eastAsia"/>
          <w:sz w:val="24"/>
        </w:rPr>
        <w:t>药物分析</w:t>
      </w:r>
      <w:r w:rsidRPr="00F34DF4">
        <w:rPr>
          <w:rFonts w:ascii="Times New Roman" w:eastAsia="宋体" w:hAnsi="Times New Roman" w:cs="Times New Roman"/>
          <w:sz w:val="24"/>
        </w:rPr>
        <w:t>专业人才培养方案制定。</w:t>
      </w:r>
    </w:p>
    <w:p w14:paraId="350D8BCA" w14:textId="77777777" w:rsidR="00D529CF" w:rsidRPr="00F34DF4" w:rsidRDefault="00D529CF" w:rsidP="00D529CF">
      <w:pPr>
        <w:spacing w:line="440" w:lineRule="exact"/>
        <w:ind w:firstLineChars="200" w:firstLine="480"/>
        <w:rPr>
          <w:rFonts w:ascii="Times New Roman" w:eastAsia="宋体" w:hAnsi="Times New Roman" w:cs="Times New Roman"/>
          <w:sz w:val="24"/>
        </w:rPr>
      </w:pPr>
    </w:p>
    <w:p w14:paraId="63B88784" w14:textId="77777777" w:rsidR="00D529CF" w:rsidRPr="00F34DF4" w:rsidRDefault="00D529CF" w:rsidP="00D529CF">
      <w:pPr>
        <w:spacing w:line="440" w:lineRule="exact"/>
        <w:ind w:firstLineChars="200" w:firstLine="480"/>
        <w:rPr>
          <w:rFonts w:ascii="Times New Roman" w:eastAsia="宋体" w:hAnsi="Times New Roman" w:cs="Times New Roman"/>
          <w:sz w:val="24"/>
        </w:rPr>
      </w:pPr>
    </w:p>
    <w:p w14:paraId="3933C991" w14:textId="77777777" w:rsidR="00BC4EF1" w:rsidRPr="00F34DF4" w:rsidRDefault="00BC4EF1" w:rsidP="00BC4EF1">
      <w:pPr>
        <w:rPr>
          <w:rFonts w:ascii="Times New Roman" w:eastAsia="宋体" w:hAnsi="Times New Roman" w:cs="Times New Roman"/>
          <w:sz w:val="36"/>
          <w:szCs w:val="36"/>
        </w:rPr>
      </w:pPr>
      <w:r w:rsidRPr="00F34DF4">
        <w:rPr>
          <w:rFonts w:ascii="Times New Roman" w:eastAsia="宋体" w:hAnsi="Times New Roman" w:cs="Times New Roman"/>
          <w:sz w:val="36"/>
          <w:szCs w:val="36"/>
        </w:rPr>
        <w:br w:type="page"/>
      </w:r>
    </w:p>
    <w:p w14:paraId="12C887C3" w14:textId="77777777" w:rsidR="00A519ED" w:rsidRPr="00A519ED" w:rsidRDefault="00A519ED" w:rsidP="00A519ED">
      <w:pPr>
        <w:keepNext/>
        <w:keepLines/>
        <w:spacing w:before="340" w:after="330" w:line="576" w:lineRule="auto"/>
        <w:jc w:val="center"/>
        <w:outlineLvl w:val="0"/>
        <w:rPr>
          <w:rFonts w:ascii="Calibri" w:eastAsia="宋体" w:hAnsi="Calibri" w:cs="Times New Roman"/>
          <w:b/>
          <w:kern w:val="44"/>
          <w:sz w:val="36"/>
        </w:rPr>
      </w:pPr>
      <w:bookmarkStart w:id="33" w:name="_Toc163"/>
      <w:bookmarkStart w:id="34" w:name="_Toc149662344"/>
      <w:r w:rsidRPr="00A519ED">
        <w:rPr>
          <w:rFonts w:ascii="Calibri" w:eastAsia="宋体" w:hAnsi="Calibri" w:cs="Times New Roman" w:hint="eastAsia"/>
          <w:b/>
          <w:kern w:val="44"/>
          <w:sz w:val="36"/>
        </w:rPr>
        <w:lastRenderedPageBreak/>
        <w:t>《大学英语</w:t>
      </w:r>
      <w:r w:rsidRPr="00A519ED">
        <w:rPr>
          <w:rFonts w:ascii="Calibri" w:eastAsia="宋体" w:hAnsi="Calibri" w:cs="Times New Roman" w:hint="eastAsia"/>
          <w:b/>
          <w:kern w:val="44"/>
          <w:sz w:val="36"/>
        </w:rPr>
        <w:t>2</w:t>
      </w:r>
      <w:r w:rsidRPr="00A519ED">
        <w:rPr>
          <w:rFonts w:ascii="Calibri" w:eastAsia="宋体" w:hAnsi="Calibri" w:cs="Times New Roman" w:hint="eastAsia"/>
          <w:b/>
          <w:kern w:val="44"/>
          <w:sz w:val="36"/>
        </w:rPr>
        <w:t>》课程大纲</w:t>
      </w:r>
      <w:bookmarkEnd w:id="33"/>
      <w:bookmarkEnd w:id="34"/>
    </w:p>
    <w:p w14:paraId="320CED47" w14:textId="77777777" w:rsidR="00A519ED" w:rsidRPr="00A519ED" w:rsidRDefault="00A519ED" w:rsidP="00A519ED">
      <w:pPr>
        <w:spacing w:beforeLines="50" w:before="156" w:afterLines="50" w:after="156" w:line="440" w:lineRule="exact"/>
        <w:ind w:firstLineChars="200" w:firstLine="560"/>
        <w:rPr>
          <w:rFonts w:ascii="Calibri" w:eastAsia="黑体" w:hAnsi="Calibri" w:cs="Times New Roman"/>
          <w:sz w:val="28"/>
          <w:szCs w:val="28"/>
        </w:rPr>
      </w:pPr>
      <w:r w:rsidRPr="00A519ED">
        <w:rPr>
          <w:rFonts w:ascii="Calibri" w:eastAsia="黑体" w:hAnsi="Calibri" w:cs="Times New Roman" w:hint="eastAsia"/>
          <w:sz w:val="28"/>
          <w:szCs w:val="28"/>
        </w:rPr>
        <w:t>一、课程基本信息</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3044"/>
        <w:gridCol w:w="1440"/>
        <w:gridCol w:w="3028"/>
      </w:tblGrid>
      <w:tr w:rsidR="00A519ED" w:rsidRPr="00A519ED" w14:paraId="7D836187" w14:textId="77777777" w:rsidTr="00BA2CFD">
        <w:trPr>
          <w:trHeight w:val="886"/>
          <w:jc w:val="center"/>
        </w:trPr>
        <w:tc>
          <w:tcPr>
            <w:tcW w:w="1668" w:type="dxa"/>
            <w:vAlign w:val="center"/>
          </w:tcPr>
          <w:p w14:paraId="34F7816E"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课程名称</w:t>
            </w:r>
          </w:p>
        </w:tc>
        <w:tc>
          <w:tcPr>
            <w:tcW w:w="3044" w:type="dxa"/>
            <w:vAlign w:val="center"/>
          </w:tcPr>
          <w:p w14:paraId="162D1B20"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大学英语</w:t>
            </w:r>
            <w:r w:rsidRPr="00A519ED">
              <w:rPr>
                <w:rFonts w:ascii="Calibri" w:eastAsia="宋体" w:hAnsi="Calibri" w:cs="Times New Roman" w:hint="eastAsia"/>
                <w:sz w:val="24"/>
              </w:rPr>
              <w:t>2</w:t>
            </w:r>
          </w:p>
        </w:tc>
        <w:tc>
          <w:tcPr>
            <w:tcW w:w="1440" w:type="dxa"/>
            <w:vAlign w:val="center"/>
          </w:tcPr>
          <w:p w14:paraId="5B765D03"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课程代码</w:t>
            </w:r>
          </w:p>
        </w:tc>
        <w:tc>
          <w:tcPr>
            <w:tcW w:w="3028" w:type="dxa"/>
            <w:vAlign w:val="center"/>
          </w:tcPr>
          <w:p w14:paraId="66DB1361"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030105</w:t>
            </w:r>
            <w:r w:rsidRPr="00A519ED">
              <w:rPr>
                <w:rFonts w:ascii="Calibri" w:eastAsia="宋体" w:hAnsi="Calibri" w:cs="Times New Roman" w:hint="eastAsia"/>
                <w:sz w:val="24"/>
              </w:rPr>
              <w:t>9</w:t>
            </w:r>
          </w:p>
        </w:tc>
      </w:tr>
      <w:tr w:rsidR="00A519ED" w:rsidRPr="00A519ED" w14:paraId="09394BEB" w14:textId="77777777" w:rsidTr="00BA2CFD">
        <w:trPr>
          <w:trHeight w:val="829"/>
          <w:jc w:val="center"/>
        </w:trPr>
        <w:tc>
          <w:tcPr>
            <w:tcW w:w="1668" w:type="dxa"/>
            <w:vAlign w:val="center"/>
          </w:tcPr>
          <w:p w14:paraId="34416A76"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课程类别</w:t>
            </w:r>
          </w:p>
        </w:tc>
        <w:tc>
          <w:tcPr>
            <w:tcW w:w="3044" w:type="dxa"/>
            <w:vAlign w:val="center"/>
          </w:tcPr>
          <w:p w14:paraId="4C9DF26E" w14:textId="77777777" w:rsidR="00A519ED" w:rsidRPr="00A519ED" w:rsidRDefault="00A519ED" w:rsidP="00A519ED">
            <w:pPr>
              <w:spacing w:line="440" w:lineRule="exact"/>
              <w:ind w:firstLineChars="300" w:firstLine="720"/>
              <w:rPr>
                <w:rFonts w:ascii="Calibri" w:eastAsia="宋体" w:hAnsi="Calibri" w:cs="Times New Roman"/>
                <w:sz w:val="24"/>
              </w:rPr>
            </w:pPr>
            <w:r w:rsidRPr="00A519ED">
              <w:rPr>
                <w:rFonts w:ascii="Calibri" w:eastAsia="宋体" w:hAnsi="Calibri" w:cs="Times New Roman" w:hint="eastAsia"/>
                <w:sz w:val="24"/>
              </w:rPr>
              <w:t>通识教育</w:t>
            </w:r>
            <w:r w:rsidRPr="00A519ED">
              <w:rPr>
                <w:rFonts w:ascii="Calibri" w:eastAsia="宋体" w:hAnsi="Calibri" w:cs="Times New Roman"/>
                <w:sz w:val="24"/>
              </w:rPr>
              <w:t>必修课</w:t>
            </w:r>
          </w:p>
        </w:tc>
        <w:tc>
          <w:tcPr>
            <w:tcW w:w="1440" w:type="dxa"/>
            <w:vAlign w:val="center"/>
          </w:tcPr>
          <w:p w14:paraId="626A3D53"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学时</w:t>
            </w:r>
          </w:p>
          <w:p w14:paraId="20BF916A"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w:t>
            </w:r>
            <w:r w:rsidRPr="00A519ED">
              <w:rPr>
                <w:rFonts w:ascii="Calibri" w:eastAsia="宋体" w:hAnsi="Calibri" w:cs="Times New Roman"/>
                <w:sz w:val="24"/>
              </w:rPr>
              <w:t>学分</w:t>
            </w:r>
          </w:p>
        </w:tc>
        <w:tc>
          <w:tcPr>
            <w:tcW w:w="3028" w:type="dxa"/>
            <w:vAlign w:val="center"/>
          </w:tcPr>
          <w:p w14:paraId="703A5770"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hint="eastAsia"/>
                <w:sz w:val="24"/>
              </w:rPr>
              <w:t>48</w:t>
            </w:r>
            <w:r w:rsidRPr="00A519ED">
              <w:rPr>
                <w:rFonts w:ascii="Calibri" w:eastAsia="宋体" w:hAnsi="Calibri" w:cs="Times New Roman"/>
                <w:sz w:val="24"/>
              </w:rPr>
              <w:t>/</w:t>
            </w:r>
            <w:r w:rsidRPr="00A519ED">
              <w:rPr>
                <w:rFonts w:ascii="Calibri" w:eastAsia="宋体" w:hAnsi="Calibri" w:cs="Times New Roman" w:hint="eastAsia"/>
                <w:sz w:val="24"/>
              </w:rPr>
              <w:t>2.5</w:t>
            </w:r>
          </w:p>
        </w:tc>
      </w:tr>
      <w:tr w:rsidR="00A519ED" w:rsidRPr="00A519ED" w14:paraId="392AE82C" w14:textId="77777777" w:rsidTr="00BA2CFD">
        <w:trPr>
          <w:trHeight w:val="811"/>
          <w:jc w:val="center"/>
        </w:trPr>
        <w:tc>
          <w:tcPr>
            <w:tcW w:w="1668" w:type="dxa"/>
            <w:vAlign w:val="center"/>
          </w:tcPr>
          <w:p w14:paraId="76221CF5"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开课单位</w:t>
            </w:r>
          </w:p>
        </w:tc>
        <w:tc>
          <w:tcPr>
            <w:tcW w:w="3044" w:type="dxa"/>
            <w:vAlign w:val="center"/>
          </w:tcPr>
          <w:p w14:paraId="15BDD1C0"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外国语学院</w:t>
            </w:r>
          </w:p>
        </w:tc>
        <w:tc>
          <w:tcPr>
            <w:tcW w:w="1440" w:type="dxa"/>
            <w:vAlign w:val="center"/>
          </w:tcPr>
          <w:p w14:paraId="2E247836"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适用专业</w:t>
            </w:r>
          </w:p>
        </w:tc>
        <w:tc>
          <w:tcPr>
            <w:tcW w:w="3028" w:type="dxa"/>
            <w:vAlign w:val="center"/>
          </w:tcPr>
          <w:p w14:paraId="482471B4"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非英语专业本科</w:t>
            </w:r>
            <w:r w:rsidRPr="00A519ED">
              <w:rPr>
                <w:rFonts w:ascii="Calibri" w:eastAsia="宋体" w:hAnsi="Calibri" w:cs="Times New Roman" w:hint="eastAsia"/>
                <w:sz w:val="24"/>
              </w:rPr>
              <w:t>（</w:t>
            </w:r>
            <w:r w:rsidRPr="00A519ED">
              <w:rPr>
                <w:rFonts w:ascii="Calibri" w:eastAsia="宋体" w:hAnsi="Calibri" w:cs="Times New Roman"/>
                <w:sz w:val="24"/>
              </w:rPr>
              <w:t>工科类</w:t>
            </w:r>
            <w:r w:rsidRPr="00A519ED">
              <w:rPr>
                <w:rFonts w:ascii="Calibri" w:eastAsia="宋体" w:hAnsi="Calibri" w:cs="Times New Roman" w:hint="eastAsia"/>
                <w:sz w:val="24"/>
              </w:rPr>
              <w:t>）</w:t>
            </w:r>
          </w:p>
        </w:tc>
      </w:tr>
      <w:tr w:rsidR="00A519ED" w:rsidRPr="00A519ED" w14:paraId="656BEA3E" w14:textId="77777777" w:rsidTr="00BA2CFD">
        <w:trPr>
          <w:trHeight w:val="811"/>
          <w:jc w:val="center"/>
        </w:trPr>
        <w:tc>
          <w:tcPr>
            <w:tcW w:w="1668" w:type="dxa"/>
            <w:vAlign w:val="center"/>
          </w:tcPr>
          <w:p w14:paraId="3E19BB66"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课程负责人</w:t>
            </w:r>
          </w:p>
        </w:tc>
        <w:tc>
          <w:tcPr>
            <w:tcW w:w="7512" w:type="dxa"/>
            <w:gridSpan w:val="3"/>
            <w:vAlign w:val="center"/>
          </w:tcPr>
          <w:p w14:paraId="7C37029B"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hint="eastAsia"/>
                <w:sz w:val="24"/>
              </w:rPr>
              <w:t>张枫</w:t>
            </w:r>
          </w:p>
        </w:tc>
      </w:tr>
      <w:tr w:rsidR="00A519ED" w:rsidRPr="00A519ED" w14:paraId="28FC3AC5" w14:textId="77777777" w:rsidTr="00BA2CFD">
        <w:trPr>
          <w:trHeight w:val="836"/>
          <w:jc w:val="center"/>
        </w:trPr>
        <w:tc>
          <w:tcPr>
            <w:tcW w:w="1668" w:type="dxa"/>
            <w:vAlign w:val="center"/>
          </w:tcPr>
          <w:p w14:paraId="78064920"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大纲撰写人</w:t>
            </w:r>
          </w:p>
        </w:tc>
        <w:tc>
          <w:tcPr>
            <w:tcW w:w="3044" w:type="dxa"/>
            <w:vAlign w:val="center"/>
          </w:tcPr>
          <w:p w14:paraId="24305374"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hint="eastAsia"/>
                <w:sz w:val="24"/>
              </w:rPr>
              <w:t>赵南南，李晓莉，王芳，李蓓，王蕊，张书红</w:t>
            </w:r>
            <w:r w:rsidRPr="00A519ED">
              <w:rPr>
                <w:rFonts w:ascii="Calibri" w:eastAsia="宋体" w:hAnsi="Calibri" w:cs="Times New Roman" w:hint="eastAsia"/>
                <w:sz w:val="24"/>
              </w:rPr>
              <w:t>,</w:t>
            </w:r>
            <w:r w:rsidRPr="00A519ED">
              <w:rPr>
                <w:rFonts w:ascii="Calibri" w:eastAsia="宋体" w:hAnsi="Calibri" w:cs="Times New Roman" w:hint="eastAsia"/>
                <w:sz w:val="24"/>
              </w:rPr>
              <w:t>谷彩平，张克</w:t>
            </w:r>
            <w:proofErr w:type="gramStart"/>
            <w:r w:rsidRPr="00A519ED">
              <w:rPr>
                <w:rFonts w:ascii="Calibri" w:eastAsia="宋体" w:hAnsi="Calibri" w:cs="Times New Roman" w:hint="eastAsia"/>
                <w:sz w:val="24"/>
              </w:rPr>
              <w:t>坚</w:t>
            </w:r>
            <w:proofErr w:type="gramEnd"/>
          </w:p>
        </w:tc>
        <w:tc>
          <w:tcPr>
            <w:tcW w:w="1440" w:type="dxa"/>
            <w:vAlign w:val="center"/>
          </w:tcPr>
          <w:p w14:paraId="6CFE424F"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大纲审核人</w:t>
            </w:r>
          </w:p>
        </w:tc>
        <w:tc>
          <w:tcPr>
            <w:tcW w:w="3028" w:type="dxa"/>
            <w:vAlign w:val="center"/>
          </w:tcPr>
          <w:p w14:paraId="7142C13D" w14:textId="77777777" w:rsidR="00A519ED" w:rsidRPr="00A519ED" w:rsidRDefault="00A519ED" w:rsidP="00A519ED">
            <w:pPr>
              <w:spacing w:line="440" w:lineRule="exact"/>
              <w:jc w:val="center"/>
              <w:rPr>
                <w:rFonts w:ascii="Calibri" w:eastAsia="宋体" w:hAnsi="Calibri" w:cs="Times New Roman"/>
                <w:sz w:val="24"/>
              </w:rPr>
            </w:pPr>
            <w:proofErr w:type="gramStart"/>
            <w:r w:rsidRPr="00A519ED">
              <w:rPr>
                <w:rFonts w:ascii="Calibri" w:eastAsia="宋体" w:hAnsi="Calibri" w:cs="Times New Roman" w:hint="eastAsia"/>
                <w:sz w:val="24"/>
              </w:rPr>
              <w:t>贺宇涛</w:t>
            </w:r>
            <w:proofErr w:type="gramEnd"/>
          </w:p>
        </w:tc>
      </w:tr>
      <w:tr w:rsidR="00A519ED" w:rsidRPr="00A519ED" w14:paraId="3DDD029D" w14:textId="77777777" w:rsidTr="00BA2CFD">
        <w:trPr>
          <w:trHeight w:val="848"/>
          <w:jc w:val="center"/>
        </w:trPr>
        <w:tc>
          <w:tcPr>
            <w:tcW w:w="1668" w:type="dxa"/>
            <w:vAlign w:val="center"/>
          </w:tcPr>
          <w:p w14:paraId="6F6769E9"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先修课程</w:t>
            </w:r>
          </w:p>
        </w:tc>
        <w:tc>
          <w:tcPr>
            <w:tcW w:w="7512" w:type="dxa"/>
            <w:gridSpan w:val="3"/>
            <w:vAlign w:val="center"/>
          </w:tcPr>
          <w:p w14:paraId="6D570162"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hint="eastAsia"/>
                <w:sz w:val="24"/>
              </w:rPr>
              <w:t>大学英语</w:t>
            </w:r>
            <w:r w:rsidRPr="00A519ED">
              <w:rPr>
                <w:rFonts w:ascii="Calibri" w:eastAsia="宋体" w:hAnsi="Calibri" w:cs="Times New Roman" w:hint="eastAsia"/>
                <w:sz w:val="24"/>
              </w:rPr>
              <w:t>1</w:t>
            </w:r>
          </w:p>
        </w:tc>
      </w:tr>
      <w:tr w:rsidR="00A519ED" w:rsidRPr="00A519ED" w14:paraId="210539F1" w14:textId="77777777" w:rsidTr="00BA2CFD">
        <w:trPr>
          <w:trHeight w:val="848"/>
          <w:jc w:val="center"/>
        </w:trPr>
        <w:tc>
          <w:tcPr>
            <w:tcW w:w="1668" w:type="dxa"/>
            <w:vAlign w:val="center"/>
          </w:tcPr>
          <w:p w14:paraId="62BA1E2B"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课程网址</w:t>
            </w:r>
          </w:p>
        </w:tc>
        <w:tc>
          <w:tcPr>
            <w:tcW w:w="7512" w:type="dxa"/>
            <w:gridSpan w:val="3"/>
            <w:vAlign w:val="center"/>
          </w:tcPr>
          <w:p w14:paraId="19244F5C" w14:textId="77777777" w:rsidR="00A519ED" w:rsidRPr="00A519ED" w:rsidRDefault="00A519ED" w:rsidP="00A519ED">
            <w:pPr>
              <w:spacing w:line="440" w:lineRule="exact"/>
              <w:ind w:firstLineChars="200" w:firstLine="480"/>
              <w:rPr>
                <w:rFonts w:ascii="Calibri" w:eastAsia="宋体" w:hAnsi="Calibri" w:cs="Times New Roman"/>
                <w:sz w:val="24"/>
              </w:rPr>
            </w:pPr>
          </w:p>
        </w:tc>
      </w:tr>
    </w:tbl>
    <w:p w14:paraId="608C8AE5" w14:textId="77777777" w:rsidR="00A519ED" w:rsidRPr="00A519ED" w:rsidRDefault="00A519ED" w:rsidP="00A519ED">
      <w:pPr>
        <w:spacing w:beforeLines="50" w:before="156" w:afterLines="50" w:after="156" w:line="440" w:lineRule="exact"/>
        <w:ind w:firstLineChars="200" w:firstLine="560"/>
        <w:rPr>
          <w:rFonts w:ascii="Calibri" w:eastAsia="黑体" w:hAnsi="Calibri" w:cs="Times New Roman"/>
          <w:sz w:val="28"/>
          <w:szCs w:val="28"/>
        </w:rPr>
      </w:pPr>
      <w:r w:rsidRPr="00A519ED">
        <w:rPr>
          <w:rFonts w:ascii="Calibri" w:eastAsia="黑体" w:hAnsi="Calibri" w:cs="Times New Roman" w:hint="eastAsia"/>
          <w:sz w:val="28"/>
          <w:szCs w:val="28"/>
        </w:rPr>
        <w:t>二、课程学习目标及与毕业要求的对应关系</w:t>
      </w:r>
    </w:p>
    <w:p w14:paraId="0AB963D0" w14:textId="77777777" w:rsidR="00A519ED" w:rsidRPr="00A519ED" w:rsidRDefault="00A519ED" w:rsidP="00A519ED">
      <w:pPr>
        <w:spacing w:beforeLines="50" w:before="156" w:afterLines="50" w:after="156" w:line="440" w:lineRule="exact"/>
        <w:ind w:firstLineChars="200" w:firstLine="560"/>
        <w:rPr>
          <w:rFonts w:ascii="Calibri" w:eastAsia="黑体" w:hAnsi="Calibri" w:cs="Times New Roman"/>
          <w:sz w:val="28"/>
          <w:szCs w:val="28"/>
        </w:rPr>
      </w:pPr>
      <w:r w:rsidRPr="00A519ED">
        <w:rPr>
          <w:rFonts w:ascii="Calibri" w:eastAsia="黑体" w:hAnsi="Calibri" w:cs="Times New Roman" w:hint="eastAsia"/>
          <w:sz w:val="28"/>
          <w:szCs w:val="28"/>
        </w:rPr>
        <w:t>（一）课程学习目标</w:t>
      </w:r>
    </w:p>
    <w:p w14:paraId="0536D644" w14:textId="77777777" w:rsidR="00A519ED" w:rsidRPr="00A519ED" w:rsidRDefault="00A519ED" w:rsidP="00A519ED">
      <w:pPr>
        <w:spacing w:beforeLines="50" w:before="156" w:afterLines="50" w:after="156"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通过学习本课程，让学生达成以下目标：</w:t>
      </w:r>
    </w:p>
    <w:p w14:paraId="23C6AEEB" w14:textId="77777777" w:rsidR="00A519ED" w:rsidRPr="00A519ED" w:rsidRDefault="00A519ED" w:rsidP="00A519ED">
      <w:pPr>
        <w:spacing w:line="440" w:lineRule="exact"/>
        <w:ind w:firstLineChars="200" w:firstLine="480"/>
        <w:rPr>
          <w:rFonts w:ascii="Calibri" w:eastAsia="宋体" w:hAnsi="Calibri" w:cs="Times New Roman"/>
          <w:b/>
          <w:bCs/>
          <w:sz w:val="24"/>
        </w:rPr>
      </w:pPr>
      <w:r w:rsidRPr="00A519ED">
        <w:rPr>
          <w:rFonts w:ascii="Calibri" w:eastAsia="宋体" w:hAnsi="Calibri" w:cs="Times New Roman"/>
          <w:sz w:val="24"/>
        </w:rPr>
        <w:t>通过本课程的学习，使学生达到以下目标：</w:t>
      </w:r>
    </w:p>
    <w:p w14:paraId="18313A66"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1.</w:t>
      </w:r>
      <w:r w:rsidRPr="00A519ED">
        <w:rPr>
          <w:rFonts w:ascii="Calibri" w:eastAsia="宋体" w:hAnsi="Calibri" w:cs="Times New Roman" w:hint="eastAsia"/>
          <w:sz w:val="24"/>
        </w:rPr>
        <w:t>进一步扎实的英语语言基础和听、说、读、写、译等英语应用技能；同时提高个人的自主学习能力、自律意识和终身学习意识，能够运用所学的英语知识和技能了解工科领域最新理论和技术，关注工科领域国际前沿动态。</w:t>
      </w:r>
      <w:r w:rsidRPr="00A519ED">
        <w:rPr>
          <w:rFonts w:ascii="Calibri" w:eastAsia="宋体" w:hAnsi="Calibri" w:cs="Times New Roman"/>
          <w:sz w:val="24"/>
        </w:rPr>
        <w:t>【</w:t>
      </w:r>
      <w:r w:rsidRPr="00A519ED">
        <w:rPr>
          <w:rFonts w:ascii="Calibri" w:eastAsia="宋体" w:hAnsi="Calibri" w:cs="Times New Roman"/>
          <w:b/>
          <w:sz w:val="24"/>
        </w:rPr>
        <w:t>毕业要求</w:t>
      </w:r>
      <w:r w:rsidRPr="00A519ED">
        <w:rPr>
          <w:rFonts w:ascii="Calibri" w:eastAsia="宋体" w:hAnsi="Calibri" w:cs="Times New Roman" w:hint="eastAsia"/>
          <w:b/>
          <w:sz w:val="24"/>
        </w:rPr>
        <w:t>12</w:t>
      </w:r>
      <w:r w:rsidRPr="00A519ED">
        <w:rPr>
          <w:rFonts w:ascii="Calibri" w:eastAsia="宋体" w:hAnsi="Calibri" w:cs="Times New Roman" w:hint="eastAsia"/>
          <w:b/>
          <w:sz w:val="24"/>
        </w:rPr>
        <w:t>：终身学习</w:t>
      </w:r>
      <w:r w:rsidRPr="00A519ED">
        <w:rPr>
          <w:rFonts w:ascii="Calibri" w:eastAsia="宋体" w:hAnsi="Calibri" w:cs="Times New Roman"/>
          <w:b/>
          <w:sz w:val="24"/>
        </w:rPr>
        <w:t>】</w:t>
      </w:r>
    </w:p>
    <w:p w14:paraId="339A2A68"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2.</w:t>
      </w:r>
      <w:r w:rsidRPr="00A519ED">
        <w:rPr>
          <w:rFonts w:ascii="Calibri" w:eastAsia="宋体" w:hAnsi="Calibri" w:cs="Times New Roman" w:hint="eastAsia"/>
          <w:sz w:val="24"/>
        </w:rPr>
        <w:t>进一步提升个人人文社会素养和强烈的社会责任感，能够在各自专业领域的工程实践中理解并遵守工程职业道德和规范。在了解西方文化的同时，感受我国文化的博大精深，树立民族文化自信心，培养爱国主义和家国情怀。</w:t>
      </w:r>
      <w:r w:rsidRPr="00A519ED">
        <w:rPr>
          <w:rFonts w:ascii="Calibri" w:eastAsia="宋体" w:hAnsi="Calibri" w:cs="Times New Roman"/>
          <w:sz w:val="24"/>
        </w:rPr>
        <w:t>【</w:t>
      </w:r>
      <w:r w:rsidRPr="00A519ED">
        <w:rPr>
          <w:rFonts w:ascii="Calibri" w:eastAsia="宋体" w:hAnsi="Calibri" w:cs="Times New Roman"/>
          <w:b/>
          <w:sz w:val="24"/>
        </w:rPr>
        <w:t>毕业要求</w:t>
      </w:r>
      <w:r w:rsidRPr="00A519ED">
        <w:rPr>
          <w:rFonts w:ascii="Calibri" w:eastAsia="宋体" w:hAnsi="Calibri" w:cs="Times New Roman" w:hint="eastAsia"/>
          <w:b/>
          <w:sz w:val="24"/>
        </w:rPr>
        <w:t>8</w:t>
      </w:r>
      <w:r w:rsidRPr="00A519ED">
        <w:rPr>
          <w:rFonts w:ascii="Calibri" w:eastAsia="宋体" w:hAnsi="Calibri" w:cs="Times New Roman"/>
          <w:b/>
          <w:sz w:val="24"/>
        </w:rPr>
        <w:t xml:space="preserve"> </w:t>
      </w:r>
      <w:r w:rsidRPr="00A519ED">
        <w:rPr>
          <w:rFonts w:ascii="Calibri" w:eastAsia="宋体" w:hAnsi="Calibri" w:cs="Times New Roman" w:hint="eastAsia"/>
          <w:b/>
          <w:sz w:val="24"/>
        </w:rPr>
        <w:t>职业规范</w:t>
      </w:r>
      <w:r w:rsidRPr="00A519ED">
        <w:rPr>
          <w:rFonts w:ascii="Calibri" w:eastAsia="宋体" w:hAnsi="Calibri" w:cs="Times New Roman"/>
          <w:b/>
          <w:sz w:val="24"/>
        </w:rPr>
        <w:t>】</w:t>
      </w:r>
    </w:p>
    <w:p w14:paraId="3C5998F8"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3.</w:t>
      </w:r>
      <w:r w:rsidRPr="00A519ED">
        <w:rPr>
          <w:rFonts w:ascii="Calibri" w:eastAsia="宋体" w:hAnsi="Calibri" w:cs="Times New Roman" w:hint="eastAsia"/>
          <w:sz w:val="24"/>
        </w:rPr>
        <w:t>进一步通过参与课堂活动培养小组合作能力和组织管理能力；提升英语综合运</w:t>
      </w:r>
      <w:r w:rsidRPr="00A519ED">
        <w:rPr>
          <w:rFonts w:ascii="Calibri" w:eastAsia="宋体" w:hAnsi="Calibri" w:cs="Times New Roman" w:hint="eastAsia"/>
          <w:sz w:val="24"/>
        </w:rPr>
        <w:lastRenderedPageBreak/>
        <w:t>用能力和跨文化交际能力，</w:t>
      </w:r>
      <w:r w:rsidRPr="00A519ED">
        <w:rPr>
          <w:rFonts w:ascii="Calibri" w:eastAsia="宋体" w:hAnsi="Calibri" w:cs="Times New Roman" w:hint="eastAsia"/>
          <w:sz w:val="24"/>
        </w:rPr>
        <w:t xml:space="preserve"> </w:t>
      </w:r>
      <w:r w:rsidRPr="00A519ED">
        <w:rPr>
          <w:rFonts w:ascii="Calibri" w:eastAsia="宋体" w:hAnsi="Calibri" w:cs="Times New Roman" w:hint="eastAsia"/>
          <w:sz w:val="24"/>
        </w:rPr>
        <w:t>能够使用英语就工科领域一些问题与业界同行及社会公众进行有效的口头和书面沟通交流，包括用英语撰写简单报告和设计简单文稿、陈述发言、清晰表达回应指令等。</w:t>
      </w:r>
      <w:r w:rsidRPr="00A519ED">
        <w:rPr>
          <w:rFonts w:ascii="Calibri" w:eastAsia="宋体" w:hAnsi="Calibri" w:cs="Times New Roman"/>
          <w:b/>
          <w:sz w:val="24"/>
        </w:rPr>
        <w:t>【毕业要求</w:t>
      </w:r>
      <w:r w:rsidRPr="00A519ED">
        <w:rPr>
          <w:rFonts w:ascii="Calibri" w:eastAsia="宋体" w:hAnsi="Calibri" w:cs="Times New Roman" w:hint="eastAsia"/>
          <w:b/>
          <w:sz w:val="24"/>
        </w:rPr>
        <w:t>10</w:t>
      </w:r>
      <w:r w:rsidRPr="00A519ED">
        <w:rPr>
          <w:rFonts w:ascii="Calibri" w:eastAsia="宋体" w:hAnsi="Calibri" w:cs="Times New Roman" w:hint="eastAsia"/>
          <w:b/>
          <w:sz w:val="24"/>
        </w:rPr>
        <w:t>：沟通</w:t>
      </w:r>
      <w:r w:rsidRPr="00A519ED">
        <w:rPr>
          <w:rFonts w:ascii="Calibri" w:eastAsia="宋体" w:hAnsi="Calibri" w:cs="Times New Roman"/>
          <w:b/>
          <w:sz w:val="24"/>
        </w:rPr>
        <w:t>】</w:t>
      </w:r>
    </w:p>
    <w:p w14:paraId="544E3CFB" w14:textId="77777777" w:rsidR="00A519ED" w:rsidRPr="00A519ED" w:rsidRDefault="00A519ED" w:rsidP="00A519ED">
      <w:pPr>
        <w:spacing w:line="440" w:lineRule="exact"/>
        <w:ind w:firstLineChars="200" w:firstLine="482"/>
        <w:rPr>
          <w:rFonts w:ascii="宋体" w:eastAsia="宋体" w:hAnsi="宋体" w:cs="Times New Roman"/>
          <w:b/>
          <w:sz w:val="24"/>
        </w:rPr>
      </w:pPr>
    </w:p>
    <w:p w14:paraId="58864FAF" w14:textId="77777777" w:rsidR="00A519ED" w:rsidRPr="00A519ED" w:rsidRDefault="00A519ED" w:rsidP="00A519ED">
      <w:pPr>
        <w:spacing w:beforeLines="50" w:before="156" w:afterLines="50" w:after="156" w:line="440" w:lineRule="exact"/>
        <w:rPr>
          <w:rFonts w:ascii="Calibri" w:eastAsia="黑体" w:hAnsi="Calibri" w:cs="Times New Roman"/>
          <w:sz w:val="28"/>
          <w:szCs w:val="28"/>
        </w:rPr>
      </w:pPr>
      <w:r w:rsidRPr="00A519ED">
        <w:rPr>
          <w:rFonts w:ascii="Calibri" w:eastAsia="黑体" w:hAnsi="Calibri" w:cs="Times New Roman"/>
          <w:sz w:val="28"/>
          <w:szCs w:val="28"/>
        </w:rPr>
        <w:t>（二）课程学习目标与毕业要求指标点的对应关系</w:t>
      </w:r>
    </w:p>
    <w:tbl>
      <w:tblPr>
        <w:tblpPr w:leftFromText="180" w:rightFromText="180" w:vertAnchor="text" w:horzAnchor="page" w:tblpX="1613" w:tblpY="437"/>
        <w:tblOverlap w:val="never"/>
        <w:tblW w:w="9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2"/>
        <w:gridCol w:w="5318"/>
        <w:gridCol w:w="1959"/>
      </w:tblGrid>
      <w:tr w:rsidR="00A519ED" w:rsidRPr="00A519ED" w14:paraId="3ED69DF5" w14:textId="77777777" w:rsidTr="00BA2CFD">
        <w:trPr>
          <w:trHeight w:val="815"/>
        </w:trPr>
        <w:tc>
          <w:tcPr>
            <w:tcW w:w="1892" w:type="dxa"/>
            <w:vAlign w:val="center"/>
          </w:tcPr>
          <w:p w14:paraId="33ABD8FF" w14:textId="77777777" w:rsidR="00A519ED" w:rsidRPr="00A519ED" w:rsidRDefault="00A519ED" w:rsidP="00A519ED">
            <w:pPr>
              <w:spacing w:line="440" w:lineRule="exact"/>
              <w:jc w:val="center"/>
              <w:rPr>
                <w:rFonts w:ascii="宋体" w:eastAsia="宋体" w:hAnsi="宋体" w:cs="Times New Roman"/>
                <w:b/>
                <w:sz w:val="24"/>
              </w:rPr>
            </w:pPr>
            <w:r w:rsidRPr="00A519ED">
              <w:rPr>
                <w:rFonts w:ascii="宋体" w:eastAsia="宋体" w:hAnsi="宋体" w:cs="Times New Roman" w:hint="eastAsia"/>
                <w:b/>
                <w:sz w:val="24"/>
              </w:rPr>
              <w:t>毕业要求</w:t>
            </w:r>
          </w:p>
        </w:tc>
        <w:tc>
          <w:tcPr>
            <w:tcW w:w="5318" w:type="dxa"/>
            <w:vAlign w:val="center"/>
          </w:tcPr>
          <w:p w14:paraId="62B0821B" w14:textId="77777777" w:rsidR="00A519ED" w:rsidRPr="00A519ED" w:rsidRDefault="00A519ED" w:rsidP="00A519ED">
            <w:pPr>
              <w:spacing w:line="440" w:lineRule="exact"/>
              <w:jc w:val="center"/>
              <w:rPr>
                <w:rFonts w:ascii="宋体" w:eastAsia="宋体" w:hAnsi="宋体" w:cs="Times New Roman"/>
                <w:b/>
                <w:sz w:val="24"/>
              </w:rPr>
            </w:pPr>
            <w:r w:rsidRPr="00A519ED">
              <w:rPr>
                <w:rFonts w:ascii="宋体" w:eastAsia="宋体" w:hAnsi="宋体" w:cs="Times New Roman" w:hint="eastAsia"/>
                <w:b/>
                <w:sz w:val="24"/>
              </w:rPr>
              <w:t>毕业要求指标点</w:t>
            </w:r>
          </w:p>
        </w:tc>
        <w:tc>
          <w:tcPr>
            <w:tcW w:w="1959" w:type="dxa"/>
            <w:vAlign w:val="center"/>
          </w:tcPr>
          <w:p w14:paraId="287C2CFD" w14:textId="77777777" w:rsidR="00A519ED" w:rsidRPr="00A519ED" w:rsidRDefault="00A519ED" w:rsidP="00A519ED">
            <w:pPr>
              <w:spacing w:line="440" w:lineRule="exact"/>
              <w:jc w:val="center"/>
              <w:rPr>
                <w:rFonts w:ascii="宋体" w:eastAsia="宋体" w:hAnsi="宋体" w:cs="Times New Roman"/>
                <w:b/>
                <w:sz w:val="24"/>
              </w:rPr>
            </w:pPr>
            <w:r w:rsidRPr="00A519ED">
              <w:rPr>
                <w:rFonts w:ascii="宋体" w:eastAsia="宋体" w:hAnsi="宋体" w:cs="Times New Roman" w:hint="eastAsia"/>
                <w:b/>
                <w:sz w:val="24"/>
              </w:rPr>
              <w:t>课程目标</w:t>
            </w:r>
          </w:p>
        </w:tc>
      </w:tr>
      <w:tr w:rsidR="00A519ED" w:rsidRPr="00A519ED" w14:paraId="7F71AF07" w14:textId="77777777" w:rsidTr="00BA2CFD">
        <w:tc>
          <w:tcPr>
            <w:tcW w:w="1892" w:type="dxa"/>
            <w:vAlign w:val="center"/>
          </w:tcPr>
          <w:p w14:paraId="4A7694BF" w14:textId="77777777" w:rsidR="00A519ED" w:rsidRPr="00A519ED" w:rsidRDefault="00A519ED" w:rsidP="00A519ED">
            <w:pPr>
              <w:spacing w:line="440" w:lineRule="exact"/>
              <w:jc w:val="center"/>
              <w:rPr>
                <w:rFonts w:ascii="宋体" w:eastAsia="宋体" w:hAnsi="宋体" w:cs="Times New Roman"/>
                <w:sz w:val="24"/>
              </w:rPr>
            </w:pPr>
            <w:r w:rsidRPr="00A519ED">
              <w:rPr>
                <w:rFonts w:ascii="宋体" w:eastAsia="宋体" w:hAnsi="宋体" w:cs="Times New Roman" w:hint="eastAsia"/>
                <w:sz w:val="24"/>
              </w:rPr>
              <w:t>12.终身学习</w:t>
            </w:r>
          </w:p>
        </w:tc>
        <w:tc>
          <w:tcPr>
            <w:tcW w:w="5318" w:type="dxa"/>
            <w:vAlign w:val="center"/>
          </w:tcPr>
          <w:p w14:paraId="42354DEF" w14:textId="77777777" w:rsidR="00A519ED" w:rsidRPr="00A519ED" w:rsidRDefault="00A519ED" w:rsidP="00A519ED">
            <w:pPr>
              <w:spacing w:line="440" w:lineRule="exact"/>
              <w:jc w:val="center"/>
              <w:rPr>
                <w:rFonts w:ascii="宋体" w:eastAsia="宋体" w:hAnsi="宋体" w:cs="Times New Roman"/>
                <w:sz w:val="24"/>
              </w:rPr>
            </w:pPr>
            <w:r w:rsidRPr="00A519ED">
              <w:rPr>
                <w:rFonts w:ascii="宋体" w:eastAsia="宋体" w:hAnsi="宋体" w:cs="Times New Roman"/>
                <w:sz w:val="24"/>
              </w:rPr>
              <w:t>(M)</w:t>
            </w:r>
          </w:p>
        </w:tc>
        <w:tc>
          <w:tcPr>
            <w:tcW w:w="1959" w:type="dxa"/>
            <w:vAlign w:val="center"/>
          </w:tcPr>
          <w:p w14:paraId="11FBAEE8" w14:textId="77777777" w:rsidR="00A519ED" w:rsidRPr="00A519ED" w:rsidRDefault="00A519ED" w:rsidP="00A519ED">
            <w:pPr>
              <w:spacing w:line="440" w:lineRule="exact"/>
              <w:jc w:val="center"/>
              <w:rPr>
                <w:rFonts w:ascii="宋体" w:eastAsia="宋体" w:hAnsi="宋体" w:cs="Times New Roman"/>
                <w:sz w:val="24"/>
              </w:rPr>
            </w:pPr>
            <w:r w:rsidRPr="00A519ED">
              <w:rPr>
                <w:rFonts w:ascii="宋体" w:eastAsia="宋体" w:hAnsi="宋体" w:cs="Times New Roman" w:hint="eastAsia"/>
                <w:sz w:val="24"/>
              </w:rPr>
              <w:t>课程目标1</w:t>
            </w:r>
          </w:p>
        </w:tc>
      </w:tr>
      <w:tr w:rsidR="00A519ED" w:rsidRPr="00A519ED" w14:paraId="1140EF3F" w14:textId="77777777" w:rsidTr="00BA2CFD">
        <w:tc>
          <w:tcPr>
            <w:tcW w:w="1892" w:type="dxa"/>
            <w:vAlign w:val="center"/>
          </w:tcPr>
          <w:p w14:paraId="47549AF3" w14:textId="77777777" w:rsidR="00A519ED" w:rsidRPr="00A519ED" w:rsidRDefault="00A519ED" w:rsidP="00A519ED">
            <w:pPr>
              <w:spacing w:line="440" w:lineRule="exact"/>
              <w:jc w:val="center"/>
              <w:rPr>
                <w:rFonts w:ascii="宋体" w:eastAsia="宋体" w:hAnsi="宋体" w:cs="Times New Roman"/>
                <w:sz w:val="24"/>
              </w:rPr>
            </w:pPr>
            <w:r w:rsidRPr="00A519ED">
              <w:rPr>
                <w:rFonts w:ascii="宋体" w:eastAsia="宋体" w:hAnsi="宋体" w:cs="Times New Roman"/>
                <w:sz w:val="24"/>
              </w:rPr>
              <w:t>8</w:t>
            </w:r>
            <w:r w:rsidRPr="00A519ED">
              <w:rPr>
                <w:rFonts w:ascii="宋体" w:eastAsia="宋体" w:hAnsi="宋体" w:cs="Times New Roman" w:hint="eastAsia"/>
                <w:sz w:val="24"/>
              </w:rPr>
              <w:t>.</w:t>
            </w:r>
            <w:r w:rsidRPr="00A519ED">
              <w:rPr>
                <w:rFonts w:ascii="宋体" w:eastAsia="宋体" w:hAnsi="宋体" w:cs="Times New Roman"/>
                <w:sz w:val="24"/>
              </w:rPr>
              <w:t>职业规范</w:t>
            </w:r>
          </w:p>
        </w:tc>
        <w:tc>
          <w:tcPr>
            <w:tcW w:w="5318" w:type="dxa"/>
            <w:vAlign w:val="center"/>
          </w:tcPr>
          <w:p w14:paraId="13C93C6A" w14:textId="77777777" w:rsidR="00A519ED" w:rsidRPr="00A519ED" w:rsidRDefault="00A519ED" w:rsidP="00A519ED">
            <w:pPr>
              <w:spacing w:line="440" w:lineRule="exact"/>
              <w:jc w:val="center"/>
              <w:rPr>
                <w:rFonts w:ascii="宋体" w:eastAsia="宋体" w:hAnsi="宋体" w:cs="Times New Roman"/>
                <w:sz w:val="24"/>
              </w:rPr>
            </w:pPr>
            <w:r w:rsidRPr="00A519ED">
              <w:rPr>
                <w:rFonts w:ascii="宋体" w:eastAsia="宋体" w:hAnsi="宋体" w:cs="Times New Roman"/>
                <w:sz w:val="24"/>
              </w:rPr>
              <w:t>(</w:t>
            </w:r>
            <w:r w:rsidRPr="00A519ED">
              <w:rPr>
                <w:rFonts w:ascii="宋体" w:eastAsia="宋体" w:hAnsi="宋体" w:cs="Times New Roman" w:hint="eastAsia"/>
                <w:sz w:val="24"/>
              </w:rPr>
              <w:t>M</w:t>
            </w:r>
            <w:r w:rsidRPr="00A519ED">
              <w:rPr>
                <w:rFonts w:ascii="宋体" w:eastAsia="宋体" w:hAnsi="宋体" w:cs="Times New Roman"/>
                <w:sz w:val="24"/>
              </w:rPr>
              <w:t>)</w:t>
            </w:r>
          </w:p>
        </w:tc>
        <w:tc>
          <w:tcPr>
            <w:tcW w:w="1959" w:type="dxa"/>
            <w:vAlign w:val="center"/>
          </w:tcPr>
          <w:p w14:paraId="2A1F63B5" w14:textId="77777777" w:rsidR="00A519ED" w:rsidRPr="00A519ED" w:rsidRDefault="00A519ED" w:rsidP="00A519ED">
            <w:pPr>
              <w:spacing w:line="440" w:lineRule="exact"/>
              <w:jc w:val="center"/>
              <w:rPr>
                <w:rFonts w:ascii="宋体" w:eastAsia="宋体" w:hAnsi="宋体" w:cs="Times New Roman"/>
                <w:sz w:val="24"/>
              </w:rPr>
            </w:pPr>
            <w:r w:rsidRPr="00A519ED">
              <w:rPr>
                <w:rFonts w:ascii="宋体" w:eastAsia="宋体" w:hAnsi="宋体" w:cs="Times New Roman" w:hint="eastAsia"/>
                <w:sz w:val="24"/>
              </w:rPr>
              <w:t>课程目标2</w:t>
            </w:r>
          </w:p>
        </w:tc>
      </w:tr>
      <w:tr w:rsidR="00A519ED" w:rsidRPr="00A519ED" w14:paraId="7ED6D524" w14:textId="77777777" w:rsidTr="00BA2CFD">
        <w:tc>
          <w:tcPr>
            <w:tcW w:w="1892" w:type="dxa"/>
            <w:vAlign w:val="center"/>
          </w:tcPr>
          <w:p w14:paraId="03270B39" w14:textId="77777777" w:rsidR="00A519ED" w:rsidRPr="00A519ED" w:rsidRDefault="00A519ED" w:rsidP="00A519ED">
            <w:pPr>
              <w:spacing w:line="440" w:lineRule="exact"/>
              <w:jc w:val="center"/>
              <w:rPr>
                <w:rFonts w:ascii="宋体" w:eastAsia="宋体" w:hAnsi="宋体" w:cs="Times New Roman"/>
                <w:sz w:val="24"/>
              </w:rPr>
            </w:pPr>
            <w:r w:rsidRPr="00A519ED">
              <w:rPr>
                <w:rFonts w:ascii="宋体" w:eastAsia="宋体" w:hAnsi="宋体" w:cs="Times New Roman"/>
                <w:sz w:val="24"/>
              </w:rPr>
              <w:t>10</w:t>
            </w:r>
            <w:r w:rsidRPr="00A519ED">
              <w:rPr>
                <w:rFonts w:ascii="宋体" w:eastAsia="宋体" w:hAnsi="宋体" w:cs="Times New Roman" w:hint="eastAsia"/>
                <w:sz w:val="24"/>
              </w:rPr>
              <w:t>.</w:t>
            </w:r>
            <w:r w:rsidRPr="00A519ED">
              <w:rPr>
                <w:rFonts w:ascii="宋体" w:eastAsia="宋体" w:hAnsi="宋体" w:cs="Times New Roman"/>
                <w:sz w:val="24"/>
              </w:rPr>
              <w:t xml:space="preserve"> </w:t>
            </w:r>
            <w:r w:rsidRPr="00A519ED">
              <w:rPr>
                <w:rFonts w:ascii="宋体" w:eastAsia="宋体" w:hAnsi="宋体" w:cs="Times New Roman" w:hint="eastAsia"/>
                <w:sz w:val="24"/>
              </w:rPr>
              <w:t>沟通</w:t>
            </w:r>
          </w:p>
        </w:tc>
        <w:tc>
          <w:tcPr>
            <w:tcW w:w="5318" w:type="dxa"/>
            <w:vAlign w:val="center"/>
          </w:tcPr>
          <w:p w14:paraId="0BE63A30" w14:textId="77777777" w:rsidR="00A519ED" w:rsidRPr="00A519ED" w:rsidRDefault="00A519ED" w:rsidP="00A519ED">
            <w:pPr>
              <w:spacing w:line="440" w:lineRule="exact"/>
              <w:jc w:val="center"/>
              <w:rPr>
                <w:rFonts w:ascii="宋体" w:eastAsia="宋体" w:hAnsi="宋体" w:cs="Times New Roman"/>
                <w:sz w:val="24"/>
              </w:rPr>
            </w:pPr>
            <w:r w:rsidRPr="00A519ED">
              <w:rPr>
                <w:rFonts w:ascii="宋体" w:eastAsia="宋体" w:hAnsi="宋体" w:cs="Times New Roman"/>
                <w:sz w:val="24"/>
              </w:rPr>
              <w:t>(</w:t>
            </w:r>
            <w:r w:rsidRPr="00A519ED">
              <w:rPr>
                <w:rFonts w:ascii="宋体" w:eastAsia="宋体" w:hAnsi="宋体" w:cs="Times New Roman" w:hint="eastAsia"/>
                <w:sz w:val="24"/>
              </w:rPr>
              <w:t>H</w:t>
            </w:r>
            <w:r w:rsidRPr="00A519ED">
              <w:rPr>
                <w:rFonts w:ascii="宋体" w:eastAsia="宋体" w:hAnsi="宋体" w:cs="Times New Roman"/>
                <w:sz w:val="24"/>
              </w:rPr>
              <w:t>)</w:t>
            </w:r>
          </w:p>
        </w:tc>
        <w:tc>
          <w:tcPr>
            <w:tcW w:w="1959" w:type="dxa"/>
            <w:vAlign w:val="center"/>
          </w:tcPr>
          <w:p w14:paraId="1A530AED" w14:textId="77777777" w:rsidR="00A519ED" w:rsidRPr="00A519ED" w:rsidRDefault="00A519ED" w:rsidP="00A519ED">
            <w:pPr>
              <w:spacing w:line="440" w:lineRule="exact"/>
              <w:jc w:val="center"/>
              <w:rPr>
                <w:rFonts w:ascii="宋体" w:eastAsia="宋体" w:hAnsi="宋体" w:cs="Times New Roman"/>
                <w:sz w:val="24"/>
              </w:rPr>
            </w:pPr>
            <w:r w:rsidRPr="00A519ED">
              <w:rPr>
                <w:rFonts w:ascii="宋体" w:eastAsia="宋体" w:hAnsi="宋体" w:cs="Times New Roman" w:hint="eastAsia"/>
                <w:sz w:val="24"/>
              </w:rPr>
              <w:t>课程目标3</w:t>
            </w:r>
          </w:p>
        </w:tc>
      </w:tr>
      <w:tr w:rsidR="00A519ED" w:rsidRPr="00A519ED" w14:paraId="02CD15FE" w14:textId="77777777" w:rsidTr="00BA2CFD">
        <w:tc>
          <w:tcPr>
            <w:tcW w:w="1892" w:type="dxa"/>
            <w:vAlign w:val="center"/>
          </w:tcPr>
          <w:p w14:paraId="12BBB9BC" w14:textId="77777777" w:rsidR="00A519ED" w:rsidRPr="00A519ED" w:rsidRDefault="00A519ED" w:rsidP="00A519ED">
            <w:pPr>
              <w:spacing w:line="440" w:lineRule="exact"/>
              <w:jc w:val="center"/>
              <w:rPr>
                <w:rFonts w:ascii="宋体" w:eastAsia="宋体" w:hAnsi="宋体" w:cs="Times New Roman"/>
                <w:sz w:val="24"/>
              </w:rPr>
            </w:pPr>
          </w:p>
        </w:tc>
        <w:tc>
          <w:tcPr>
            <w:tcW w:w="5318" w:type="dxa"/>
            <w:vAlign w:val="center"/>
          </w:tcPr>
          <w:p w14:paraId="46D10F87" w14:textId="77777777" w:rsidR="00A519ED" w:rsidRPr="00A519ED" w:rsidRDefault="00A519ED" w:rsidP="00A519ED">
            <w:pPr>
              <w:spacing w:line="440" w:lineRule="exact"/>
              <w:jc w:val="center"/>
              <w:rPr>
                <w:rFonts w:ascii="宋体" w:eastAsia="宋体" w:hAnsi="宋体" w:cs="Times New Roman"/>
                <w:sz w:val="24"/>
              </w:rPr>
            </w:pPr>
          </w:p>
        </w:tc>
        <w:tc>
          <w:tcPr>
            <w:tcW w:w="1959" w:type="dxa"/>
            <w:vAlign w:val="center"/>
          </w:tcPr>
          <w:p w14:paraId="5D4D8AA7" w14:textId="77777777" w:rsidR="00A519ED" w:rsidRPr="00A519ED" w:rsidRDefault="00A519ED" w:rsidP="00A519ED">
            <w:pPr>
              <w:spacing w:line="440" w:lineRule="exact"/>
              <w:jc w:val="left"/>
              <w:rPr>
                <w:rFonts w:ascii="宋体" w:eastAsia="宋体" w:hAnsi="宋体" w:cs="Times New Roman"/>
                <w:sz w:val="24"/>
              </w:rPr>
            </w:pPr>
          </w:p>
        </w:tc>
      </w:tr>
    </w:tbl>
    <w:p w14:paraId="10D16547" w14:textId="77777777" w:rsidR="00A519ED" w:rsidRPr="00A519ED" w:rsidRDefault="00A519ED" w:rsidP="00A519ED">
      <w:pPr>
        <w:spacing w:line="440" w:lineRule="exact"/>
        <w:rPr>
          <w:rFonts w:ascii="Calibri" w:eastAsia="宋体" w:hAnsi="Calibri" w:cs="Times New Roman"/>
          <w:sz w:val="24"/>
        </w:rPr>
      </w:pPr>
    </w:p>
    <w:p w14:paraId="4C270A85" w14:textId="77777777" w:rsidR="00A519ED" w:rsidRPr="00A519ED" w:rsidRDefault="00A519ED" w:rsidP="00A519ED">
      <w:pPr>
        <w:spacing w:beforeLines="50" w:before="156" w:afterLines="50" w:after="156" w:line="440" w:lineRule="exact"/>
        <w:ind w:firstLineChars="200" w:firstLine="560"/>
        <w:rPr>
          <w:rFonts w:ascii="Calibri" w:eastAsia="黑体" w:hAnsi="Calibri" w:cs="Times New Roman"/>
          <w:sz w:val="28"/>
          <w:szCs w:val="28"/>
        </w:rPr>
      </w:pPr>
      <w:r w:rsidRPr="00A519ED">
        <w:rPr>
          <w:rFonts w:ascii="Calibri" w:eastAsia="黑体" w:hAnsi="Calibri" w:cs="Times New Roman"/>
          <w:sz w:val="28"/>
          <w:szCs w:val="28"/>
        </w:rPr>
        <w:t>三、课程学习内容及与课程学习目标的对应关系</w:t>
      </w:r>
    </w:p>
    <w:p w14:paraId="10CB63DD" w14:textId="77777777" w:rsidR="00A519ED" w:rsidRPr="00A519ED" w:rsidRDefault="00A519ED" w:rsidP="00A519ED">
      <w:pPr>
        <w:spacing w:beforeLines="50" w:before="156" w:afterLines="50" w:after="156" w:line="440" w:lineRule="exact"/>
        <w:ind w:firstLineChars="200" w:firstLine="560"/>
        <w:rPr>
          <w:rFonts w:ascii="Calibri" w:eastAsia="黑体" w:hAnsi="Calibri" w:cs="Times New Roman"/>
          <w:sz w:val="28"/>
          <w:szCs w:val="28"/>
        </w:rPr>
      </w:pPr>
      <w:r w:rsidRPr="00A519ED">
        <w:rPr>
          <w:rFonts w:ascii="Calibri" w:eastAsia="黑体" w:hAnsi="Calibri" w:cs="Times New Roman"/>
          <w:sz w:val="28"/>
          <w:szCs w:val="28"/>
        </w:rPr>
        <w:t>（一）课程学习内容</w:t>
      </w:r>
    </w:p>
    <w:p w14:paraId="65C2DD11" w14:textId="77777777" w:rsidR="00A519ED" w:rsidRPr="00A519ED" w:rsidRDefault="00A519ED" w:rsidP="00A519ED">
      <w:pPr>
        <w:spacing w:beforeLines="50" w:before="156" w:afterLines="50" w:after="156" w:line="440" w:lineRule="exact"/>
        <w:ind w:firstLineChars="200" w:firstLine="562"/>
        <w:jc w:val="center"/>
        <w:rPr>
          <w:rFonts w:ascii="Calibri" w:eastAsia="黑体" w:hAnsi="Calibri" w:cs="Times New Roman"/>
          <w:b/>
          <w:bCs/>
          <w:sz w:val="28"/>
          <w:szCs w:val="28"/>
        </w:rPr>
      </w:pPr>
      <w:r w:rsidRPr="00A519ED">
        <w:rPr>
          <w:rFonts w:ascii="Calibri" w:eastAsia="黑体" w:hAnsi="Calibri" w:cs="Times New Roman"/>
          <w:b/>
          <w:bCs/>
          <w:sz w:val="28"/>
          <w:szCs w:val="28"/>
        </w:rPr>
        <w:t xml:space="preserve">Unit </w:t>
      </w:r>
      <w:proofErr w:type="gramStart"/>
      <w:r w:rsidRPr="00A519ED">
        <w:rPr>
          <w:rFonts w:ascii="Calibri" w:eastAsia="黑体" w:hAnsi="Calibri" w:cs="Times New Roman"/>
          <w:b/>
          <w:bCs/>
          <w:sz w:val="28"/>
          <w:szCs w:val="28"/>
        </w:rPr>
        <w:t>1</w:t>
      </w:r>
      <w:r w:rsidRPr="00A519ED">
        <w:rPr>
          <w:rFonts w:ascii="Calibri" w:eastAsia="黑体" w:hAnsi="Calibri" w:cs="Times New Roman" w:hint="eastAsia"/>
          <w:b/>
          <w:bCs/>
          <w:sz w:val="28"/>
          <w:szCs w:val="28"/>
        </w:rPr>
        <w:t xml:space="preserve">  Social</w:t>
      </w:r>
      <w:proofErr w:type="gramEnd"/>
      <w:r w:rsidRPr="00A519ED">
        <w:rPr>
          <w:rFonts w:ascii="Calibri" w:eastAsia="黑体" w:hAnsi="Calibri" w:cs="Times New Roman" w:hint="eastAsia"/>
          <w:b/>
          <w:bCs/>
          <w:sz w:val="28"/>
          <w:szCs w:val="28"/>
        </w:rPr>
        <w:t xml:space="preserve"> Responsibility and Friendship</w:t>
      </w:r>
    </w:p>
    <w:p w14:paraId="7FA7AF76" w14:textId="77777777" w:rsidR="00A519ED" w:rsidRPr="00A519ED" w:rsidRDefault="00A519ED" w:rsidP="00A519ED">
      <w:pPr>
        <w:spacing w:line="360" w:lineRule="auto"/>
        <w:ind w:firstLineChars="200" w:firstLine="482"/>
        <w:rPr>
          <w:rFonts w:ascii="宋体" w:eastAsia="宋体" w:hAnsi="宋体" w:cs="Times New Roman"/>
          <w:b/>
          <w:sz w:val="24"/>
        </w:rPr>
      </w:pPr>
      <w:r w:rsidRPr="00A519ED">
        <w:rPr>
          <w:rFonts w:ascii="宋体" w:eastAsia="宋体" w:hAnsi="宋体" w:cs="Times New Roman" w:hint="eastAsia"/>
          <w:b/>
          <w:sz w:val="24"/>
        </w:rPr>
        <w:t>【学习目标】</w:t>
      </w:r>
    </w:p>
    <w:p w14:paraId="5F033D59"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1</w:t>
      </w:r>
      <w:r w:rsidRPr="00A519ED">
        <w:rPr>
          <w:rFonts w:ascii="Calibri" w:eastAsia="宋体" w:hAnsi="Calibri" w:cs="Times New Roman"/>
          <w:sz w:val="24"/>
        </w:rPr>
        <w:t xml:space="preserve">. </w:t>
      </w:r>
      <w:r w:rsidRPr="00A519ED">
        <w:rPr>
          <w:rFonts w:ascii="Calibri" w:eastAsia="宋体" w:hAnsi="Calibri" w:cs="Times New Roman" w:hint="eastAsia"/>
          <w:sz w:val="24"/>
        </w:rPr>
        <w:t>认知类目标：</w:t>
      </w:r>
      <w:r w:rsidRPr="00A519ED">
        <w:rPr>
          <w:rFonts w:ascii="Calibri" w:eastAsia="宋体" w:hAnsi="Calibri" w:cs="Times New Roman"/>
          <w:sz w:val="24"/>
        </w:rPr>
        <w:t>掌握</w:t>
      </w:r>
      <w:r w:rsidRPr="00A519ED">
        <w:rPr>
          <w:rFonts w:ascii="Calibri" w:eastAsia="宋体" w:hAnsi="Calibri" w:cs="Times New Roman" w:hint="eastAsia"/>
          <w:sz w:val="24"/>
        </w:rPr>
        <w:t>本单元中“社会责任与友谊”</w:t>
      </w:r>
      <w:r w:rsidRPr="00A519ED">
        <w:rPr>
          <w:rFonts w:ascii="Calibri" w:eastAsia="宋体" w:hAnsi="Calibri" w:cs="Times New Roman"/>
          <w:sz w:val="24"/>
        </w:rPr>
        <w:t>主题相关的</w:t>
      </w:r>
      <w:r w:rsidRPr="00A519ED">
        <w:rPr>
          <w:rFonts w:ascii="Calibri" w:eastAsia="宋体" w:hAnsi="Calibri" w:cs="Times New Roman" w:hint="eastAsia"/>
          <w:sz w:val="24"/>
        </w:rPr>
        <w:t>重点词汇、短语</w:t>
      </w:r>
      <w:r w:rsidRPr="00A519ED">
        <w:rPr>
          <w:rFonts w:ascii="Calibri" w:eastAsia="宋体" w:hAnsi="Calibri" w:cs="Times New Roman"/>
          <w:sz w:val="24"/>
        </w:rPr>
        <w:t>和语法点；掌握快速阅读的方法和技巧</w:t>
      </w:r>
      <w:r w:rsidRPr="00A519ED">
        <w:rPr>
          <w:rFonts w:ascii="Calibri" w:eastAsia="宋体" w:hAnsi="Calibri" w:cs="Times New Roman" w:hint="eastAsia"/>
          <w:sz w:val="24"/>
        </w:rPr>
        <w:t>，获取文章主旨大意和重要事实和细节的能力</w:t>
      </w:r>
      <w:r w:rsidRPr="00A519ED">
        <w:rPr>
          <w:rFonts w:ascii="Calibri" w:eastAsia="宋体" w:hAnsi="Calibri" w:cs="Times New Roman"/>
          <w:sz w:val="24"/>
        </w:rPr>
        <w:t>；掌握英语</w:t>
      </w:r>
      <w:r w:rsidRPr="00A519ED">
        <w:rPr>
          <w:rFonts w:ascii="Calibri" w:eastAsia="宋体" w:hAnsi="Calibri" w:cs="Times New Roman" w:hint="eastAsia"/>
          <w:sz w:val="24"/>
        </w:rPr>
        <w:t>词汇中常见的名词后缀及其含义和用法并做到举一反三</w:t>
      </w:r>
      <w:r w:rsidRPr="00A519ED">
        <w:rPr>
          <w:rFonts w:ascii="Calibri" w:eastAsia="宋体" w:hAnsi="Calibri" w:cs="Times New Roman"/>
          <w:sz w:val="24"/>
        </w:rPr>
        <w:t>；在听力学习方面，培养学生熟悉新闻、对话和篇章等四级听力题型，</w:t>
      </w:r>
      <w:r w:rsidRPr="00A519ED">
        <w:rPr>
          <w:rFonts w:ascii="Calibri" w:eastAsia="宋体" w:hAnsi="Calibri" w:cs="Times New Roman" w:hint="eastAsia"/>
          <w:sz w:val="24"/>
        </w:rPr>
        <w:t>掌握相关听力技巧，</w:t>
      </w:r>
      <w:r w:rsidRPr="00A519ED">
        <w:rPr>
          <w:rFonts w:ascii="Calibri" w:eastAsia="宋体" w:hAnsi="Calibri" w:cs="Times New Roman"/>
          <w:sz w:val="24"/>
        </w:rPr>
        <w:t>能快速识别信息并做出正确的推理和判断能力</w:t>
      </w:r>
      <w:r w:rsidRPr="00A519ED">
        <w:rPr>
          <w:rFonts w:ascii="Calibri" w:eastAsia="宋体" w:hAnsi="Calibri" w:cs="Times New Roman" w:hint="eastAsia"/>
          <w:sz w:val="24"/>
        </w:rPr>
        <w:t>。</w:t>
      </w:r>
    </w:p>
    <w:p w14:paraId="1A55665C"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2</w:t>
      </w:r>
      <w:r w:rsidRPr="00A519ED">
        <w:rPr>
          <w:rFonts w:ascii="Calibri" w:eastAsia="宋体" w:hAnsi="Calibri" w:cs="Times New Roman"/>
          <w:sz w:val="24"/>
        </w:rPr>
        <w:t xml:space="preserve">. </w:t>
      </w:r>
      <w:r w:rsidRPr="00A519ED">
        <w:rPr>
          <w:rFonts w:ascii="Calibri" w:eastAsia="宋体" w:hAnsi="Calibri" w:cs="Times New Roman" w:hint="eastAsia"/>
          <w:sz w:val="24"/>
        </w:rPr>
        <w:t>过程与方法类目标：</w:t>
      </w:r>
      <w:r w:rsidRPr="00A519ED">
        <w:rPr>
          <w:rFonts w:ascii="Calibri" w:eastAsia="宋体" w:hAnsi="Calibri" w:cs="Times New Roman"/>
          <w:sz w:val="24"/>
        </w:rPr>
        <w:t>鼓励学生主动参与小组讨论和协作，能够通过查阅书籍或网络检索查询与学习主题相关的信息和资料；能够使用字典、语法书等工具书解决词汇和语法问题；</w:t>
      </w:r>
      <w:r w:rsidRPr="00A519ED">
        <w:rPr>
          <w:rFonts w:ascii="Calibri" w:eastAsia="宋体" w:hAnsi="Calibri" w:cs="Times New Roman" w:hint="eastAsia"/>
          <w:sz w:val="24"/>
        </w:rPr>
        <w:t>引导学生参与课堂活动，培养学生小组合作能力和组织管理能力；提升学生英语综合运用能力和跨文化交际能力。</w:t>
      </w:r>
    </w:p>
    <w:p w14:paraId="5944A7E5"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 xml:space="preserve">3. </w:t>
      </w:r>
      <w:r w:rsidRPr="00A519ED">
        <w:rPr>
          <w:rFonts w:ascii="Calibri" w:eastAsia="宋体" w:hAnsi="Calibri" w:cs="Times New Roman" w:hint="eastAsia"/>
          <w:sz w:val="24"/>
        </w:rPr>
        <w:t>情感、态度、价值观类目标：</w:t>
      </w:r>
      <w:r w:rsidRPr="00A519ED">
        <w:rPr>
          <w:rFonts w:ascii="Calibri" w:eastAsia="宋体" w:hAnsi="Calibri" w:cs="Times New Roman"/>
          <w:sz w:val="24"/>
        </w:rPr>
        <w:t>通过</w:t>
      </w:r>
      <w:r w:rsidRPr="00A519ED">
        <w:rPr>
          <w:rFonts w:ascii="Calibri" w:eastAsia="宋体" w:hAnsi="Calibri" w:cs="Times New Roman" w:hint="eastAsia"/>
          <w:sz w:val="24"/>
        </w:rPr>
        <w:t>对本单元内容的学习，使学生们</w:t>
      </w:r>
      <w:r w:rsidRPr="00A519ED">
        <w:rPr>
          <w:rFonts w:ascii="Calibri" w:eastAsia="宋体" w:hAnsi="Calibri" w:cs="Times New Roman"/>
          <w:sz w:val="24"/>
        </w:rPr>
        <w:t>充分</w:t>
      </w:r>
      <w:r w:rsidRPr="00A519ED">
        <w:rPr>
          <w:rFonts w:ascii="Calibri" w:eastAsia="宋体" w:hAnsi="Calibri" w:cs="Times New Roman" w:hint="eastAsia"/>
          <w:sz w:val="24"/>
        </w:rPr>
        <w:t>理</w:t>
      </w:r>
      <w:r w:rsidRPr="00A519ED">
        <w:rPr>
          <w:rFonts w:ascii="Calibri" w:eastAsia="宋体" w:hAnsi="Calibri" w:cs="Times New Roman"/>
          <w:sz w:val="24"/>
        </w:rPr>
        <w:t>解</w:t>
      </w:r>
      <w:r w:rsidRPr="00A519ED">
        <w:rPr>
          <w:rFonts w:ascii="Calibri" w:eastAsia="宋体" w:hAnsi="Calibri" w:cs="Times New Roman" w:hint="eastAsia"/>
          <w:sz w:val="24"/>
        </w:rPr>
        <w:t>社会主义核心价值观，特别是友善、和谐和文明的重要意义，发扬互帮互助的中华优良</w:t>
      </w:r>
      <w:r w:rsidRPr="00A519ED">
        <w:rPr>
          <w:rFonts w:ascii="Calibri" w:eastAsia="宋体" w:hAnsi="Calibri" w:cs="Times New Roman" w:hint="eastAsia"/>
          <w:sz w:val="24"/>
        </w:rPr>
        <w:lastRenderedPageBreak/>
        <w:t>传统，积极</w:t>
      </w:r>
      <w:proofErr w:type="gramStart"/>
      <w:r w:rsidRPr="00A519ED">
        <w:rPr>
          <w:rFonts w:ascii="Calibri" w:eastAsia="宋体" w:hAnsi="Calibri" w:cs="Times New Roman" w:hint="eastAsia"/>
          <w:sz w:val="24"/>
        </w:rPr>
        <w:t>践行</w:t>
      </w:r>
      <w:proofErr w:type="gramEnd"/>
      <w:r w:rsidRPr="00A519ED">
        <w:rPr>
          <w:rFonts w:ascii="Calibri" w:eastAsia="宋体" w:hAnsi="Calibri" w:cs="Times New Roman" w:hint="eastAsia"/>
          <w:sz w:val="24"/>
        </w:rPr>
        <w:t>社会主义核心价值观；教育引导学生深刻理解中华优秀传统文化中讲仁爱、尚和合、求大同的思想精华和时代价值；进一步提升学生的人文素养和强烈的社会责任感，能够在各自专业领域的工程实践中理解并遵守工程职业道德和规范。</w:t>
      </w:r>
    </w:p>
    <w:p w14:paraId="39E9D92E" w14:textId="77777777" w:rsidR="00A519ED" w:rsidRPr="00A519ED" w:rsidRDefault="00A519ED" w:rsidP="00A519ED">
      <w:pPr>
        <w:spacing w:line="440" w:lineRule="exact"/>
        <w:ind w:firstLineChars="200" w:firstLine="482"/>
        <w:rPr>
          <w:rFonts w:ascii="Calibri" w:eastAsia="宋体" w:hAnsi="Calibri" w:cs="Times New Roman"/>
          <w:b/>
          <w:sz w:val="24"/>
        </w:rPr>
      </w:pPr>
      <w:r w:rsidRPr="00A519ED">
        <w:rPr>
          <w:rFonts w:ascii="Calibri" w:eastAsia="宋体" w:hAnsi="Calibri" w:cs="Times New Roman" w:hint="eastAsia"/>
          <w:b/>
          <w:sz w:val="24"/>
        </w:rPr>
        <w:t>【学习内容】</w:t>
      </w:r>
    </w:p>
    <w:p w14:paraId="5B3D7D25" w14:textId="77777777" w:rsidR="00A519ED" w:rsidRPr="00A519ED" w:rsidRDefault="00A519ED" w:rsidP="00A519ED">
      <w:pPr>
        <w:numPr>
          <w:ilvl w:val="0"/>
          <w:numId w:val="10"/>
        </w:numPr>
        <w:spacing w:line="440" w:lineRule="exact"/>
        <w:ind w:firstLineChars="200" w:firstLine="480"/>
        <w:rPr>
          <w:rFonts w:ascii="宋体" w:eastAsia="宋体" w:hAnsi="Calibri" w:cs="Times New Roman"/>
          <w:sz w:val="24"/>
        </w:rPr>
      </w:pPr>
      <w:proofErr w:type="gramStart"/>
      <w:r w:rsidRPr="00A519ED">
        <w:rPr>
          <w:rFonts w:ascii="Calibri" w:eastAsia="宋体" w:hAnsi="Calibri" w:cs="Times New Roman" w:hint="eastAsia"/>
          <w:sz w:val="24"/>
        </w:rPr>
        <w:t>思政元素</w:t>
      </w:r>
      <w:proofErr w:type="gramEnd"/>
      <w:r w:rsidRPr="00A519ED">
        <w:rPr>
          <w:rFonts w:ascii="Calibri" w:eastAsia="宋体" w:hAnsi="Calibri" w:cs="Times New Roman" w:hint="eastAsia"/>
          <w:sz w:val="24"/>
        </w:rPr>
        <w:t>：</w:t>
      </w:r>
      <w:r w:rsidRPr="00A519ED">
        <w:rPr>
          <w:rFonts w:ascii="Calibri" w:eastAsia="宋体" w:hAnsi="Calibri" w:cs="Times New Roman"/>
          <w:sz w:val="24"/>
        </w:rPr>
        <w:t>党的十八大以来，中央高度重视培育和</w:t>
      </w:r>
      <w:proofErr w:type="gramStart"/>
      <w:r w:rsidRPr="00A519ED">
        <w:rPr>
          <w:rFonts w:ascii="Calibri" w:eastAsia="宋体" w:hAnsi="Calibri" w:cs="Times New Roman"/>
          <w:sz w:val="24"/>
        </w:rPr>
        <w:t>践行</w:t>
      </w:r>
      <w:proofErr w:type="gramEnd"/>
      <w:r w:rsidRPr="00A519ED">
        <w:rPr>
          <w:rFonts w:ascii="Calibri" w:eastAsia="宋体" w:hAnsi="Calibri" w:cs="Times New Roman"/>
          <w:sz w:val="24"/>
        </w:rPr>
        <w:t>社会主义核心价值观。习近平总书记多次</w:t>
      </w:r>
      <w:proofErr w:type="gramStart"/>
      <w:r w:rsidRPr="00A519ED">
        <w:rPr>
          <w:rFonts w:ascii="Calibri" w:eastAsia="宋体" w:hAnsi="Calibri" w:cs="Times New Roman"/>
          <w:sz w:val="24"/>
        </w:rPr>
        <w:t>作出</w:t>
      </w:r>
      <w:proofErr w:type="gramEnd"/>
      <w:r w:rsidRPr="00A519ED">
        <w:rPr>
          <w:rFonts w:ascii="Calibri" w:eastAsia="宋体" w:hAnsi="Calibri" w:cs="Times New Roman"/>
          <w:sz w:val="24"/>
        </w:rPr>
        <w:t>重要论述、提出明确要求。中央政治局围绕培育和弘扬社会主义核心价值观、弘扬中华传统美德进行集体学习。</w:t>
      </w:r>
    </w:p>
    <w:p w14:paraId="60F6E090" w14:textId="77777777" w:rsidR="00A519ED" w:rsidRPr="00A519ED" w:rsidRDefault="00A519ED" w:rsidP="00A519ED">
      <w:pPr>
        <w:numPr>
          <w:ilvl w:val="0"/>
          <w:numId w:val="10"/>
        </w:numPr>
        <w:spacing w:line="440" w:lineRule="exact"/>
        <w:ind w:firstLineChars="200" w:firstLine="480"/>
        <w:rPr>
          <w:rFonts w:ascii="宋体" w:eastAsia="宋体" w:hAnsi="Calibri" w:cs="Times New Roman"/>
          <w:sz w:val="24"/>
        </w:rPr>
      </w:pPr>
      <w:r w:rsidRPr="00A519ED">
        <w:rPr>
          <w:rFonts w:ascii="Calibri" w:eastAsia="宋体" w:hAnsi="Calibri" w:cs="Times New Roman" w:hint="eastAsia"/>
          <w:sz w:val="24"/>
        </w:rPr>
        <w:t>拓展</w:t>
      </w:r>
      <w:r w:rsidRPr="00A519ED">
        <w:rPr>
          <w:rFonts w:ascii="Calibri" w:eastAsia="宋体" w:hAnsi="Calibri" w:cs="Times New Roman"/>
          <w:sz w:val="24"/>
        </w:rPr>
        <w:t>与本单元主题相关的背景知识，认识</w:t>
      </w:r>
      <w:proofErr w:type="gramStart"/>
      <w:r w:rsidRPr="00A519ED">
        <w:rPr>
          <w:rFonts w:ascii="Calibri" w:eastAsia="宋体" w:hAnsi="Calibri" w:cs="Times New Roman"/>
          <w:sz w:val="24"/>
        </w:rPr>
        <w:t>践行</w:t>
      </w:r>
      <w:proofErr w:type="gramEnd"/>
      <w:r w:rsidRPr="00A519ED">
        <w:rPr>
          <w:rFonts w:ascii="Calibri" w:eastAsia="宋体" w:hAnsi="Calibri" w:cs="Times New Roman"/>
          <w:sz w:val="24"/>
        </w:rPr>
        <w:t>社会主义核心价值观</w:t>
      </w:r>
      <w:r w:rsidRPr="00A519ED">
        <w:rPr>
          <w:rFonts w:ascii="Calibri" w:eastAsia="宋体" w:hAnsi="Calibri" w:cs="Times New Roman" w:hint="eastAsia"/>
          <w:sz w:val="24"/>
        </w:rPr>
        <w:t>的重要意义</w:t>
      </w:r>
      <w:r w:rsidRPr="00A519ED">
        <w:rPr>
          <w:rFonts w:ascii="Calibri" w:eastAsia="宋体" w:hAnsi="Calibri" w:cs="Times New Roman"/>
          <w:sz w:val="24"/>
        </w:rPr>
        <w:t>，</w:t>
      </w:r>
      <w:r w:rsidRPr="00A519ED">
        <w:rPr>
          <w:rFonts w:ascii="宋体" w:eastAsia="宋体" w:hAnsi="Calibri" w:cs="Times New Roman" w:hint="eastAsia"/>
          <w:sz w:val="24"/>
        </w:rPr>
        <w:t>引导学生</w:t>
      </w:r>
      <w:r w:rsidRPr="00A519ED">
        <w:rPr>
          <w:rFonts w:ascii="Calibri" w:eastAsia="宋体" w:hAnsi="Calibri" w:cs="Times New Roman" w:hint="eastAsia"/>
          <w:sz w:val="24"/>
        </w:rPr>
        <w:t>对社会主义核心价值观和中华优秀传统文化中讲仁爱、尚和合、求大同的思想精华和时代价值</w:t>
      </w:r>
      <w:r w:rsidRPr="00A519ED">
        <w:rPr>
          <w:rFonts w:ascii="宋体" w:eastAsia="宋体" w:hAnsi="Calibri" w:cs="Times New Roman" w:hint="eastAsia"/>
          <w:sz w:val="24"/>
        </w:rPr>
        <w:t>进行讨论。</w:t>
      </w:r>
    </w:p>
    <w:p w14:paraId="7A11D245" w14:textId="77777777" w:rsidR="00A519ED" w:rsidRPr="00A519ED" w:rsidRDefault="00A519ED" w:rsidP="00A519ED">
      <w:pPr>
        <w:numPr>
          <w:ilvl w:val="0"/>
          <w:numId w:val="10"/>
        </w:numPr>
        <w:spacing w:line="440" w:lineRule="exact"/>
        <w:ind w:firstLine="420"/>
        <w:rPr>
          <w:rFonts w:ascii="Calibri" w:eastAsia="宋体" w:hAnsi="Calibri" w:cs="Times New Roman"/>
          <w:i/>
          <w:sz w:val="24"/>
        </w:rPr>
      </w:pPr>
      <w:r w:rsidRPr="00A519ED">
        <w:rPr>
          <w:rFonts w:ascii="Calibri" w:eastAsia="宋体" w:hAnsi="Calibri" w:cs="Times New Roman" w:hint="eastAsia"/>
          <w:sz w:val="24"/>
        </w:rPr>
        <w:t>详</w:t>
      </w:r>
      <w:r w:rsidRPr="00A519ED">
        <w:rPr>
          <w:rFonts w:ascii="宋体" w:eastAsia="宋体" w:hAnsi="Calibri" w:cs="Times New Roman" w:hint="eastAsia"/>
          <w:sz w:val="24"/>
        </w:rPr>
        <w:t>细讲解</w:t>
      </w:r>
      <w:r w:rsidRPr="00A519ED">
        <w:rPr>
          <w:rFonts w:ascii="Calibri" w:eastAsia="宋体" w:hAnsi="Calibri" w:cs="Times New Roman"/>
          <w:sz w:val="24"/>
        </w:rPr>
        <w:t>Text A</w:t>
      </w:r>
      <w:r w:rsidRPr="00A519ED">
        <w:rPr>
          <w:rFonts w:ascii="宋体" w:eastAsia="宋体" w:hAnsi="Calibri" w:cs="Times New Roman" w:hint="eastAsia"/>
          <w:sz w:val="24"/>
        </w:rPr>
        <w:t>中的重点单词、短语和句型的用法，并对课文内容及结构进行分析。</w:t>
      </w:r>
    </w:p>
    <w:p w14:paraId="18BC98BB"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宋体" w:eastAsia="宋体" w:hAnsi="Calibri" w:cs="Times New Roman" w:hint="eastAsia"/>
          <w:sz w:val="24"/>
        </w:rPr>
        <w:t>4.</w:t>
      </w:r>
      <w:r w:rsidRPr="00A519ED">
        <w:rPr>
          <w:rFonts w:ascii="Calibri" w:eastAsia="宋体" w:hAnsi="Calibri" w:cs="Times New Roman"/>
          <w:sz w:val="24"/>
        </w:rPr>
        <w:t>线上</w:t>
      </w:r>
      <w:r w:rsidRPr="00A519ED">
        <w:rPr>
          <w:rFonts w:ascii="Calibri" w:eastAsia="宋体" w:hAnsi="Calibri" w:cs="Times New Roman" w:hint="eastAsia"/>
          <w:sz w:val="24"/>
        </w:rPr>
        <w:t>完成第一单元</w:t>
      </w:r>
      <w:proofErr w:type="spellStart"/>
      <w:r w:rsidRPr="00A519ED">
        <w:rPr>
          <w:rFonts w:ascii="Calibri" w:eastAsia="宋体" w:hAnsi="Calibri" w:cs="Times New Roman" w:hint="eastAsia"/>
          <w:sz w:val="24"/>
        </w:rPr>
        <w:t>TextA</w:t>
      </w:r>
      <w:proofErr w:type="spellEnd"/>
      <w:r w:rsidRPr="00A519ED">
        <w:rPr>
          <w:rFonts w:ascii="Calibri" w:eastAsia="宋体" w:hAnsi="Calibri" w:cs="Times New Roman" w:hint="eastAsia"/>
          <w:sz w:val="24"/>
        </w:rPr>
        <w:t>课后练习题</w:t>
      </w:r>
      <w:r w:rsidRPr="00A519ED">
        <w:rPr>
          <w:rFonts w:ascii="Calibri" w:eastAsia="宋体" w:hAnsi="Calibri" w:cs="Times New Roman" w:hint="eastAsia"/>
          <w:sz w:val="24"/>
        </w:rPr>
        <w:t>.</w:t>
      </w:r>
    </w:p>
    <w:p w14:paraId="163BF48F"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5</w:t>
      </w:r>
      <w:r w:rsidRPr="00A519ED">
        <w:rPr>
          <w:rFonts w:ascii="Calibri" w:eastAsia="宋体" w:hAnsi="Calibri" w:cs="Times New Roman"/>
          <w:sz w:val="24"/>
        </w:rPr>
        <w:t xml:space="preserve">. </w:t>
      </w:r>
      <w:r w:rsidRPr="00A519ED">
        <w:rPr>
          <w:rFonts w:ascii="Calibri" w:eastAsia="宋体" w:hAnsi="Calibri" w:cs="Times New Roman"/>
          <w:sz w:val="24"/>
        </w:rPr>
        <w:t>线上</w:t>
      </w:r>
      <w:r w:rsidRPr="00A519ED">
        <w:rPr>
          <w:rFonts w:ascii="Calibri" w:eastAsia="宋体" w:hAnsi="Calibri" w:cs="Times New Roman" w:hint="eastAsia"/>
          <w:sz w:val="24"/>
        </w:rPr>
        <w:t>完成视听说教程第一单元</w:t>
      </w:r>
      <w:r w:rsidRPr="00A519ED">
        <w:rPr>
          <w:rFonts w:ascii="Calibri" w:eastAsia="宋体" w:hAnsi="Calibri" w:cs="Times New Roman" w:hint="eastAsia"/>
          <w:sz w:val="24"/>
        </w:rPr>
        <w:t>P</w:t>
      </w:r>
      <w:r w:rsidRPr="00A519ED">
        <w:rPr>
          <w:rFonts w:ascii="Calibri" w:eastAsia="宋体" w:hAnsi="Calibri" w:cs="Times New Roman"/>
          <w:sz w:val="24"/>
        </w:rPr>
        <w:t xml:space="preserve">art A </w:t>
      </w:r>
      <w:r w:rsidRPr="00A519ED">
        <w:rPr>
          <w:rFonts w:ascii="Calibri" w:eastAsia="宋体" w:hAnsi="Calibri" w:cs="Times New Roman" w:hint="eastAsia"/>
          <w:sz w:val="24"/>
        </w:rPr>
        <w:t>和</w:t>
      </w:r>
      <w:proofErr w:type="spellStart"/>
      <w:r w:rsidRPr="00A519ED">
        <w:rPr>
          <w:rFonts w:ascii="Calibri" w:eastAsia="宋体" w:hAnsi="Calibri" w:cs="Times New Roman" w:hint="eastAsia"/>
          <w:sz w:val="24"/>
        </w:rPr>
        <w:t>PartD</w:t>
      </w:r>
      <w:proofErr w:type="spellEnd"/>
      <w:r w:rsidRPr="00A519ED">
        <w:rPr>
          <w:rFonts w:ascii="Calibri" w:eastAsia="宋体" w:hAnsi="Calibri" w:cs="Times New Roman" w:hint="eastAsia"/>
          <w:sz w:val="24"/>
        </w:rPr>
        <w:t>部分的听力练习题。</w:t>
      </w:r>
    </w:p>
    <w:p w14:paraId="1521D563" w14:textId="77777777" w:rsidR="00A519ED" w:rsidRPr="00A519ED" w:rsidRDefault="00A519ED" w:rsidP="00A519ED">
      <w:pPr>
        <w:spacing w:line="440" w:lineRule="exact"/>
        <w:ind w:firstLineChars="200" w:firstLine="482"/>
        <w:rPr>
          <w:rFonts w:ascii="Calibri" w:eastAsia="宋体" w:hAnsi="Calibri" w:cs="Times New Roman"/>
          <w:b/>
          <w:sz w:val="24"/>
        </w:rPr>
      </w:pPr>
      <w:r w:rsidRPr="00A519ED">
        <w:rPr>
          <w:rFonts w:ascii="Calibri" w:eastAsia="宋体" w:hAnsi="Calibri" w:cs="Times New Roman" w:hint="eastAsia"/>
          <w:b/>
          <w:sz w:val="24"/>
        </w:rPr>
        <w:t>【重点】</w:t>
      </w:r>
    </w:p>
    <w:p w14:paraId="4E03FCB9"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 xml:space="preserve">1. </w:t>
      </w:r>
      <w:r w:rsidRPr="00A519ED">
        <w:rPr>
          <w:rFonts w:ascii="Calibri" w:eastAsia="宋体" w:hAnsi="Calibri" w:cs="Times New Roman"/>
          <w:sz w:val="24"/>
        </w:rPr>
        <w:t>学习</w:t>
      </w:r>
      <w:r w:rsidRPr="00A519ED">
        <w:rPr>
          <w:rFonts w:ascii="Calibri" w:eastAsia="宋体" w:hAnsi="Calibri" w:cs="Times New Roman" w:hint="eastAsia"/>
          <w:sz w:val="24"/>
        </w:rPr>
        <w:t>课文中的重点单词、短语和句型以及与</w:t>
      </w:r>
      <w:r w:rsidRPr="00A519ED">
        <w:rPr>
          <w:rFonts w:ascii="Calibri" w:eastAsia="宋体" w:hAnsi="Calibri" w:cs="Times New Roman"/>
          <w:sz w:val="24"/>
        </w:rPr>
        <w:t>社会主义核心价值观</w:t>
      </w:r>
      <w:r w:rsidRPr="00A519ED">
        <w:rPr>
          <w:rFonts w:ascii="Calibri" w:eastAsia="宋体" w:hAnsi="Calibri" w:cs="Times New Roman" w:hint="eastAsia"/>
          <w:sz w:val="24"/>
        </w:rPr>
        <w:t>相关的英语词汇。</w:t>
      </w:r>
    </w:p>
    <w:p w14:paraId="0A03232C"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 xml:space="preserve">2. </w:t>
      </w:r>
      <w:r w:rsidRPr="00A519ED">
        <w:rPr>
          <w:rFonts w:ascii="Calibri" w:eastAsia="宋体" w:hAnsi="Calibri" w:cs="Times New Roman" w:hint="eastAsia"/>
          <w:sz w:val="24"/>
        </w:rPr>
        <w:t>文章的整体结构和主旨大意。</w:t>
      </w:r>
    </w:p>
    <w:p w14:paraId="3568F9EB"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3</w:t>
      </w:r>
      <w:r w:rsidRPr="00A519ED">
        <w:rPr>
          <w:rFonts w:ascii="Calibri" w:eastAsia="宋体" w:hAnsi="Calibri" w:cs="Times New Roman"/>
          <w:sz w:val="24"/>
        </w:rPr>
        <w:t xml:space="preserve">. </w:t>
      </w:r>
      <w:r w:rsidRPr="00A519ED">
        <w:rPr>
          <w:rFonts w:ascii="Calibri" w:eastAsia="宋体" w:hAnsi="Calibri" w:cs="Times New Roman" w:hint="eastAsia"/>
          <w:sz w:val="24"/>
        </w:rPr>
        <w:t>视听说学习中，</w:t>
      </w:r>
      <w:r w:rsidRPr="00A519ED">
        <w:rPr>
          <w:rFonts w:ascii="Calibri" w:eastAsia="宋体" w:hAnsi="Calibri" w:cs="Times New Roman"/>
          <w:sz w:val="24"/>
        </w:rPr>
        <w:t>熟悉听力</w:t>
      </w:r>
      <w:r w:rsidRPr="00A519ED">
        <w:rPr>
          <w:rFonts w:ascii="Calibri" w:eastAsia="宋体" w:hAnsi="Calibri" w:cs="Times New Roman" w:hint="eastAsia"/>
          <w:sz w:val="24"/>
        </w:rPr>
        <w:t>练习</w:t>
      </w:r>
      <w:r w:rsidRPr="00A519ED">
        <w:rPr>
          <w:rFonts w:ascii="Calibri" w:eastAsia="宋体" w:hAnsi="Calibri" w:cs="Times New Roman"/>
          <w:sz w:val="24"/>
        </w:rPr>
        <w:t>中各种题型</w:t>
      </w:r>
      <w:r w:rsidRPr="00A519ED">
        <w:rPr>
          <w:rFonts w:ascii="Calibri" w:eastAsia="宋体" w:hAnsi="Calibri" w:cs="Times New Roman" w:hint="eastAsia"/>
          <w:sz w:val="24"/>
        </w:rPr>
        <w:t>的</w:t>
      </w:r>
      <w:r w:rsidRPr="00A519ED">
        <w:rPr>
          <w:rFonts w:ascii="Calibri" w:eastAsia="宋体" w:hAnsi="Calibri" w:cs="Times New Roman"/>
          <w:sz w:val="24"/>
        </w:rPr>
        <w:t>解题</w:t>
      </w:r>
      <w:r w:rsidRPr="00A519ED">
        <w:rPr>
          <w:rFonts w:ascii="Calibri" w:eastAsia="宋体" w:hAnsi="Calibri" w:cs="Times New Roman" w:hint="eastAsia"/>
          <w:sz w:val="24"/>
        </w:rPr>
        <w:t>技巧。</w:t>
      </w:r>
    </w:p>
    <w:p w14:paraId="17488949"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 xml:space="preserve">4. </w:t>
      </w:r>
      <w:r w:rsidRPr="00A519ED">
        <w:rPr>
          <w:rFonts w:ascii="Calibri" w:eastAsia="宋体" w:hAnsi="Calibri" w:cs="Times New Roman" w:hint="eastAsia"/>
          <w:sz w:val="24"/>
        </w:rPr>
        <w:t>写作练习中，对比和对照的写作方法和技巧。</w:t>
      </w:r>
    </w:p>
    <w:p w14:paraId="54C771FC"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 xml:space="preserve">5. </w:t>
      </w:r>
      <w:proofErr w:type="gramStart"/>
      <w:r w:rsidRPr="00A519ED">
        <w:rPr>
          <w:rFonts w:ascii="Calibri" w:eastAsia="宋体" w:hAnsi="Calibri" w:cs="Times New Roman"/>
          <w:sz w:val="24"/>
        </w:rPr>
        <w:t>思政教育</w:t>
      </w:r>
      <w:proofErr w:type="gramEnd"/>
      <w:r w:rsidRPr="00A519ED">
        <w:rPr>
          <w:rFonts w:ascii="Calibri" w:eastAsia="宋体" w:hAnsi="Calibri" w:cs="Times New Roman"/>
          <w:sz w:val="24"/>
        </w:rPr>
        <w:t>：利用线上短视频和课堂讨论等形式讲解</w:t>
      </w:r>
      <w:proofErr w:type="gramStart"/>
      <w:r w:rsidRPr="00A519ED">
        <w:rPr>
          <w:rFonts w:ascii="Calibri" w:eastAsia="宋体" w:hAnsi="Calibri" w:cs="Times New Roman"/>
          <w:sz w:val="24"/>
        </w:rPr>
        <w:t>践行</w:t>
      </w:r>
      <w:proofErr w:type="gramEnd"/>
      <w:r w:rsidRPr="00A519ED">
        <w:rPr>
          <w:rFonts w:ascii="Calibri" w:eastAsia="宋体" w:hAnsi="Calibri" w:cs="Times New Roman"/>
          <w:sz w:val="24"/>
        </w:rPr>
        <w:t>社会主义核心价值观</w:t>
      </w:r>
      <w:r w:rsidRPr="00A519ED">
        <w:rPr>
          <w:rFonts w:ascii="Calibri" w:eastAsia="宋体" w:hAnsi="Calibri" w:cs="Times New Roman" w:hint="eastAsia"/>
          <w:sz w:val="24"/>
        </w:rPr>
        <w:t>的重要意义。</w:t>
      </w:r>
    </w:p>
    <w:p w14:paraId="026CC0CB" w14:textId="77777777" w:rsidR="00A519ED" w:rsidRPr="00A519ED" w:rsidRDefault="00A519ED" w:rsidP="00A519ED">
      <w:pPr>
        <w:spacing w:line="440" w:lineRule="exact"/>
        <w:ind w:firstLineChars="200" w:firstLine="482"/>
        <w:rPr>
          <w:rFonts w:ascii="Calibri" w:eastAsia="宋体" w:hAnsi="Calibri" w:cs="Times New Roman"/>
          <w:b/>
          <w:sz w:val="24"/>
        </w:rPr>
      </w:pPr>
      <w:r w:rsidRPr="00A519ED">
        <w:rPr>
          <w:rFonts w:ascii="Calibri" w:eastAsia="宋体" w:hAnsi="Calibri" w:cs="Times New Roman"/>
          <w:b/>
          <w:sz w:val="24"/>
        </w:rPr>
        <w:t>【难点】</w:t>
      </w:r>
    </w:p>
    <w:p w14:paraId="212CE2F8" w14:textId="77777777" w:rsidR="00A519ED" w:rsidRPr="00A519ED" w:rsidRDefault="00A519ED" w:rsidP="00A519ED">
      <w:pPr>
        <w:spacing w:line="440" w:lineRule="exact"/>
        <w:ind w:firstLineChars="200" w:firstLine="480"/>
        <w:rPr>
          <w:rFonts w:ascii="Calibri" w:eastAsia="宋体" w:hAnsi="Calibri" w:cs="Times New Roman"/>
          <w:b/>
          <w:sz w:val="24"/>
        </w:rPr>
      </w:pPr>
      <w:r w:rsidRPr="00A519ED">
        <w:rPr>
          <w:rFonts w:ascii="Calibri" w:eastAsia="宋体" w:hAnsi="Calibri" w:cs="Times New Roman" w:hint="eastAsia"/>
          <w:sz w:val="24"/>
        </w:rPr>
        <w:t xml:space="preserve">1. </w:t>
      </w:r>
      <w:r w:rsidRPr="00A519ED">
        <w:rPr>
          <w:rFonts w:ascii="Calibri" w:eastAsia="宋体" w:hAnsi="Calibri" w:cs="Times New Roman" w:hint="eastAsia"/>
          <w:sz w:val="24"/>
        </w:rPr>
        <w:t>通过音视频和小组讨论形式讨论</w:t>
      </w:r>
      <w:proofErr w:type="gramStart"/>
      <w:r w:rsidRPr="00A519ED">
        <w:rPr>
          <w:rFonts w:ascii="Calibri" w:eastAsia="宋体" w:hAnsi="Calibri" w:cs="Times New Roman"/>
          <w:sz w:val="24"/>
        </w:rPr>
        <w:t>践行</w:t>
      </w:r>
      <w:proofErr w:type="gramEnd"/>
      <w:r w:rsidRPr="00A519ED">
        <w:rPr>
          <w:rFonts w:ascii="Calibri" w:eastAsia="宋体" w:hAnsi="Calibri" w:cs="Times New Roman"/>
          <w:sz w:val="24"/>
        </w:rPr>
        <w:t>社会主义核心价值观</w:t>
      </w:r>
      <w:r w:rsidRPr="00A519ED">
        <w:rPr>
          <w:rFonts w:ascii="Calibri" w:eastAsia="宋体" w:hAnsi="Calibri" w:cs="Times New Roman" w:hint="eastAsia"/>
          <w:sz w:val="24"/>
        </w:rPr>
        <w:t>的重要意义。掌握一些相关单词的短语并能完成表达。</w:t>
      </w:r>
    </w:p>
    <w:p w14:paraId="520C18EA"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 xml:space="preserve">2. </w:t>
      </w:r>
      <w:r w:rsidRPr="00A519ED">
        <w:rPr>
          <w:rFonts w:ascii="Calibri" w:eastAsia="宋体" w:hAnsi="Calibri" w:cs="Times New Roman" w:hint="eastAsia"/>
          <w:sz w:val="24"/>
        </w:rPr>
        <w:t>如何正确把握听力练习中关键词。</w:t>
      </w:r>
    </w:p>
    <w:p w14:paraId="3524AB2A"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 xml:space="preserve">3. </w:t>
      </w:r>
      <w:r w:rsidRPr="00A519ED">
        <w:rPr>
          <w:rFonts w:ascii="Calibri" w:eastAsia="宋体" w:hAnsi="Calibri" w:cs="Times New Roman" w:hint="eastAsia"/>
          <w:sz w:val="24"/>
        </w:rPr>
        <w:t>写作练习中，对比和对照的写作方法和技巧。</w:t>
      </w:r>
    </w:p>
    <w:p w14:paraId="5AC74226"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 xml:space="preserve">4. </w:t>
      </w:r>
      <w:proofErr w:type="gramStart"/>
      <w:r w:rsidRPr="00A519ED">
        <w:rPr>
          <w:rFonts w:ascii="Calibri" w:eastAsia="宋体" w:hAnsi="Calibri" w:cs="Times New Roman" w:hint="eastAsia"/>
          <w:sz w:val="24"/>
        </w:rPr>
        <w:t>思政教育</w:t>
      </w:r>
      <w:proofErr w:type="gramEnd"/>
      <w:r w:rsidRPr="00A519ED">
        <w:rPr>
          <w:rFonts w:ascii="Calibri" w:eastAsia="宋体" w:hAnsi="Calibri" w:cs="Times New Roman" w:hint="eastAsia"/>
          <w:sz w:val="24"/>
        </w:rPr>
        <w:t>：帮助学生更深刻地理</w:t>
      </w:r>
      <w:r w:rsidRPr="00A519ED">
        <w:rPr>
          <w:rFonts w:ascii="Calibri" w:eastAsia="宋体" w:hAnsi="Calibri" w:cs="Times New Roman"/>
          <w:sz w:val="24"/>
        </w:rPr>
        <w:t>解</w:t>
      </w:r>
      <w:r w:rsidRPr="00A519ED">
        <w:rPr>
          <w:rFonts w:ascii="Calibri" w:eastAsia="宋体" w:hAnsi="Calibri" w:cs="Times New Roman" w:hint="eastAsia"/>
          <w:sz w:val="24"/>
        </w:rPr>
        <w:t>并</w:t>
      </w:r>
      <w:proofErr w:type="gramStart"/>
      <w:r w:rsidRPr="00A519ED">
        <w:rPr>
          <w:rFonts w:ascii="Calibri" w:eastAsia="宋体" w:hAnsi="Calibri" w:cs="Times New Roman" w:hint="eastAsia"/>
          <w:sz w:val="24"/>
        </w:rPr>
        <w:t>践行</w:t>
      </w:r>
      <w:proofErr w:type="gramEnd"/>
      <w:r w:rsidRPr="00A519ED">
        <w:rPr>
          <w:rFonts w:ascii="Calibri" w:eastAsia="宋体" w:hAnsi="Calibri" w:cs="Times New Roman" w:hint="eastAsia"/>
          <w:sz w:val="24"/>
        </w:rPr>
        <w:t>社会主义核心价值观的重要意义；教育引导学生深刻理解中华优秀传统文化的思想精华和时代价值。</w:t>
      </w:r>
    </w:p>
    <w:p w14:paraId="2941881E" w14:textId="77777777" w:rsidR="00A519ED" w:rsidRPr="00A519ED" w:rsidRDefault="00A519ED" w:rsidP="00A519ED">
      <w:pPr>
        <w:spacing w:line="440" w:lineRule="exact"/>
        <w:ind w:firstLineChars="200" w:firstLine="482"/>
        <w:rPr>
          <w:rFonts w:ascii="Calibri" w:eastAsia="宋体" w:hAnsi="Calibri" w:cs="Times New Roman"/>
          <w:b/>
          <w:bCs/>
          <w:sz w:val="24"/>
        </w:rPr>
      </w:pPr>
      <w:r w:rsidRPr="00A519ED">
        <w:rPr>
          <w:rFonts w:ascii="Calibri" w:eastAsia="宋体" w:hAnsi="Calibri" w:cs="Times New Roman" w:hint="eastAsia"/>
          <w:b/>
          <w:bCs/>
          <w:sz w:val="24"/>
        </w:rPr>
        <w:t>【教学方法】</w:t>
      </w:r>
    </w:p>
    <w:p w14:paraId="520FB858" w14:textId="77777777" w:rsidR="00A519ED" w:rsidRPr="00A519ED" w:rsidRDefault="00A519ED" w:rsidP="00A519ED">
      <w:pPr>
        <w:numPr>
          <w:ilvl w:val="0"/>
          <w:numId w:val="11"/>
        </w:numPr>
        <w:spacing w:line="440" w:lineRule="exact"/>
        <w:rPr>
          <w:rFonts w:ascii="Calibri" w:eastAsia="宋体" w:hAnsi="Calibri" w:cs="Times New Roman"/>
          <w:sz w:val="24"/>
        </w:rPr>
      </w:pPr>
      <w:r w:rsidRPr="00A519ED">
        <w:rPr>
          <w:rFonts w:ascii="Calibri" w:eastAsia="宋体" w:hAnsi="Calibri" w:cs="Times New Roman" w:hint="eastAsia"/>
          <w:sz w:val="24"/>
        </w:rPr>
        <w:t>通过多媒体课件，传统讲授法和线上线下讲授相结合，精炼教学内容，使学</w:t>
      </w:r>
      <w:r w:rsidRPr="00A519ED">
        <w:rPr>
          <w:rFonts w:ascii="Calibri" w:eastAsia="宋体" w:hAnsi="Calibri" w:cs="Times New Roman" w:hint="eastAsia"/>
          <w:sz w:val="24"/>
        </w:rPr>
        <w:lastRenderedPageBreak/>
        <w:t>生们在学习文章主旨大意、重点的词汇和句型的同时，</w:t>
      </w:r>
      <w:r w:rsidRPr="00A519ED">
        <w:rPr>
          <w:rFonts w:ascii="Calibri" w:eastAsia="宋体" w:hAnsi="Calibri" w:cs="Times New Roman"/>
          <w:sz w:val="24"/>
        </w:rPr>
        <w:t>充分</w:t>
      </w:r>
      <w:r w:rsidRPr="00A519ED">
        <w:rPr>
          <w:rFonts w:ascii="Calibri" w:eastAsia="宋体" w:hAnsi="Calibri" w:cs="Times New Roman" w:hint="eastAsia"/>
          <w:sz w:val="24"/>
        </w:rPr>
        <w:t>理</w:t>
      </w:r>
      <w:r w:rsidRPr="00A519ED">
        <w:rPr>
          <w:rFonts w:ascii="Calibri" w:eastAsia="宋体" w:hAnsi="Calibri" w:cs="Times New Roman"/>
          <w:sz w:val="24"/>
        </w:rPr>
        <w:t>解</w:t>
      </w:r>
      <w:proofErr w:type="gramStart"/>
      <w:r w:rsidRPr="00A519ED">
        <w:rPr>
          <w:rFonts w:ascii="Calibri" w:eastAsia="宋体" w:hAnsi="Calibri" w:cs="Times New Roman" w:hint="eastAsia"/>
          <w:sz w:val="24"/>
        </w:rPr>
        <w:t>践行</w:t>
      </w:r>
      <w:proofErr w:type="gramEnd"/>
      <w:r w:rsidRPr="00A519ED">
        <w:rPr>
          <w:rFonts w:ascii="Calibri" w:eastAsia="宋体" w:hAnsi="Calibri" w:cs="Times New Roman" w:hint="eastAsia"/>
          <w:sz w:val="24"/>
        </w:rPr>
        <w:t>社会主义核心价值观的重要意义；教育引导学生深刻理解中华优秀传统文化中讲仁爱、尚和合、求大同的思想精华和时代价值。</w:t>
      </w:r>
    </w:p>
    <w:p w14:paraId="401FF2D1" w14:textId="77777777" w:rsidR="00A519ED" w:rsidRPr="00A519ED" w:rsidRDefault="00A519ED" w:rsidP="00A519ED">
      <w:pPr>
        <w:numPr>
          <w:ilvl w:val="0"/>
          <w:numId w:val="11"/>
        </w:numPr>
        <w:spacing w:line="440" w:lineRule="exact"/>
        <w:rPr>
          <w:rFonts w:ascii="Calibri" w:eastAsia="宋体" w:hAnsi="Calibri" w:cs="Times New Roman"/>
          <w:sz w:val="24"/>
        </w:rPr>
      </w:pPr>
      <w:r w:rsidRPr="00A519ED">
        <w:rPr>
          <w:rFonts w:ascii="Calibri" w:eastAsia="宋体" w:hAnsi="Calibri" w:cs="Times New Roman" w:hint="eastAsia"/>
          <w:sz w:val="24"/>
        </w:rPr>
        <w:t xml:space="preserve"> </w:t>
      </w:r>
      <w:r w:rsidRPr="00A519ED">
        <w:rPr>
          <w:rFonts w:ascii="Calibri" w:eastAsia="宋体" w:hAnsi="Calibri" w:cs="Times New Roman"/>
          <w:sz w:val="24"/>
        </w:rPr>
        <w:t>通过任务型教学法，发挥学生学习的自觉性与主动性，</w:t>
      </w:r>
      <w:r w:rsidRPr="00A519ED">
        <w:rPr>
          <w:rFonts w:ascii="Calibri" w:eastAsia="宋体" w:hAnsi="Calibri" w:cs="Times New Roman" w:hint="eastAsia"/>
          <w:sz w:val="24"/>
        </w:rPr>
        <w:t>提高学生的自主学习能力、培养学生的学习自律和终身学习意识，能够运用所学的英语知识和技能了解各自专业领域最新理论和技术，关注专业领域国际前沿动态。</w:t>
      </w:r>
    </w:p>
    <w:p w14:paraId="24B31684" w14:textId="77777777" w:rsidR="00A519ED" w:rsidRPr="00A519ED" w:rsidRDefault="00A519ED" w:rsidP="00A519ED">
      <w:pPr>
        <w:numPr>
          <w:ilvl w:val="0"/>
          <w:numId w:val="11"/>
        </w:numPr>
        <w:spacing w:line="440" w:lineRule="exact"/>
        <w:rPr>
          <w:rFonts w:ascii="Calibri" w:eastAsia="宋体" w:hAnsi="Calibri" w:cs="Times New Roman"/>
          <w:sz w:val="24"/>
        </w:rPr>
      </w:pPr>
      <w:r w:rsidRPr="00A519ED">
        <w:rPr>
          <w:rFonts w:ascii="Calibri" w:eastAsia="宋体" w:hAnsi="Calibri" w:cs="Times New Roman" w:hint="eastAsia"/>
          <w:bCs/>
          <w:sz w:val="24"/>
        </w:rPr>
        <w:t>培养学生的语言实践能力，</w:t>
      </w:r>
      <w:r w:rsidRPr="00A519ED">
        <w:rPr>
          <w:rFonts w:ascii="Calibri" w:eastAsia="宋体" w:hAnsi="Calibri" w:cs="Times New Roman" w:hint="eastAsia"/>
          <w:sz w:val="24"/>
        </w:rPr>
        <w:t>使学生能够顺畅利用英语就专业领域一些问题与业界同行及社会公众进行有效的口头和书面沟通交流，包括用英语撰写简单报告和设计简单文稿、陈述发言、清晰表达回应指令等。</w:t>
      </w:r>
    </w:p>
    <w:p w14:paraId="05739096" w14:textId="77777777" w:rsidR="00A519ED" w:rsidRPr="00A519ED" w:rsidRDefault="00A519ED" w:rsidP="00A519ED">
      <w:pPr>
        <w:numPr>
          <w:ilvl w:val="0"/>
          <w:numId w:val="11"/>
        </w:numPr>
        <w:spacing w:line="440" w:lineRule="exact"/>
        <w:rPr>
          <w:rFonts w:ascii="Calibri" w:eastAsia="宋体" w:hAnsi="Calibri" w:cs="Times New Roman"/>
          <w:sz w:val="24"/>
        </w:rPr>
      </w:pPr>
      <w:r w:rsidRPr="00A519ED">
        <w:rPr>
          <w:rFonts w:ascii="Calibri" w:eastAsia="宋体" w:hAnsi="Calibri" w:cs="Times New Roman"/>
          <w:sz w:val="24"/>
        </w:rPr>
        <w:t>通过小组合作学习，在讨论、互助学习与互助评价的活动中，引导学生思考中西方</w:t>
      </w:r>
      <w:r w:rsidRPr="00A519ED">
        <w:rPr>
          <w:rFonts w:ascii="Calibri" w:eastAsia="宋体" w:hAnsi="Calibri" w:cs="Times New Roman" w:hint="eastAsia"/>
          <w:sz w:val="24"/>
        </w:rPr>
        <w:t>文化的异同</w:t>
      </w:r>
      <w:r w:rsidRPr="00A519ED">
        <w:rPr>
          <w:rFonts w:ascii="Calibri" w:eastAsia="宋体" w:hAnsi="Calibri" w:cs="Times New Roman"/>
          <w:sz w:val="24"/>
        </w:rPr>
        <w:t>，培养学生的</w:t>
      </w:r>
      <w:r w:rsidRPr="00A519ED">
        <w:rPr>
          <w:rFonts w:ascii="Calibri" w:eastAsia="宋体" w:hAnsi="Calibri" w:cs="Times New Roman" w:hint="eastAsia"/>
          <w:sz w:val="24"/>
        </w:rPr>
        <w:t>团队</w:t>
      </w:r>
      <w:r w:rsidRPr="00A519ED">
        <w:rPr>
          <w:rFonts w:ascii="Calibri" w:eastAsia="宋体" w:hAnsi="Calibri" w:cs="Times New Roman"/>
          <w:sz w:val="24"/>
        </w:rPr>
        <w:t>合作能力、沟通能力以及思辨能力</w:t>
      </w:r>
      <w:r w:rsidRPr="00A519ED">
        <w:rPr>
          <w:rFonts w:ascii="Calibri" w:eastAsia="宋体" w:hAnsi="Calibri" w:cs="Times New Roman" w:hint="eastAsia"/>
          <w:sz w:val="24"/>
        </w:rPr>
        <w:t>，形成良好的团队合作意识；</w:t>
      </w:r>
      <w:r w:rsidRPr="00A519ED">
        <w:rPr>
          <w:rFonts w:ascii="Calibri" w:eastAsia="宋体" w:hAnsi="Calibri" w:cs="Times New Roman"/>
          <w:sz w:val="24"/>
        </w:rPr>
        <w:t xml:space="preserve"> </w:t>
      </w:r>
    </w:p>
    <w:p w14:paraId="3D7E7AAC" w14:textId="77777777" w:rsidR="00A519ED" w:rsidRPr="00A519ED" w:rsidRDefault="00A519ED" w:rsidP="00A519ED">
      <w:pPr>
        <w:spacing w:line="440" w:lineRule="exact"/>
        <w:ind w:firstLineChars="200" w:firstLine="482"/>
        <w:rPr>
          <w:rFonts w:ascii="Calibri" w:eastAsia="宋体" w:hAnsi="Calibri" w:cs="Times New Roman"/>
          <w:bCs/>
          <w:sz w:val="24"/>
        </w:rPr>
      </w:pPr>
      <w:r w:rsidRPr="00A519ED">
        <w:rPr>
          <w:rFonts w:ascii="Calibri" w:eastAsia="宋体" w:hAnsi="Calibri" w:cs="Times New Roman" w:hint="eastAsia"/>
          <w:b/>
          <w:sz w:val="24"/>
        </w:rPr>
        <w:t>【复习思考】</w:t>
      </w:r>
    </w:p>
    <w:p w14:paraId="3834EA75" w14:textId="77777777" w:rsidR="00A519ED" w:rsidRPr="00A519ED" w:rsidRDefault="00A519ED" w:rsidP="00A519ED">
      <w:pPr>
        <w:numPr>
          <w:ilvl w:val="0"/>
          <w:numId w:val="12"/>
        </w:numPr>
        <w:spacing w:line="440" w:lineRule="exact"/>
        <w:rPr>
          <w:rFonts w:ascii="Calibri" w:eastAsia="宋体" w:hAnsi="Calibri" w:cs="Times New Roman"/>
          <w:sz w:val="24"/>
        </w:rPr>
      </w:pPr>
      <w:r w:rsidRPr="00A519ED">
        <w:rPr>
          <w:rFonts w:ascii="Calibri" w:eastAsia="宋体" w:hAnsi="Calibri" w:cs="Times New Roman"/>
          <w:sz w:val="24"/>
        </w:rPr>
        <w:t>思考在我们的日常</w:t>
      </w:r>
      <w:r w:rsidRPr="00A519ED">
        <w:rPr>
          <w:rFonts w:ascii="Calibri" w:eastAsia="宋体" w:hAnsi="Calibri" w:cs="Times New Roman" w:hint="eastAsia"/>
          <w:sz w:val="24"/>
        </w:rPr>
        <w:t>学习和</w:t>
      </w:r>
      <w:r w:rsidRPr="00A519ED">
        <w:rPr>
          <w:rFonts w:ascii="Calibri" w:eastAsia="宋体" w:hAnsi="Calibri" w:cs="Times New Roman"/>
          <w:sz w:val="24"/>
        </w:rPr>
        <w:t>生活中如何</w:t>
      </w:r>
      <w:proofErr w:type="gramStart"/>
      <w:r w:rsidRPr="00A519ED">
        <w:rPr>
          <w:rFonts w:ascii="Calibri" w:eastAsia="宋体" w:hAnsi="Calibri" w:cs="Times New Roman"/>
          <w:sz w:val="24"/>
        </w:rPr>
        <w:t>践行</w:t>
      </w:r>
      <w:proofErr w:type="gramEnd"/>
      <w:r w:rsidRPr="00A519ED">
        <w:rPr>
          <w:rFonts w:ascii="Calibri" w:eastAsia="宋体" w:hAnsi="Calibri" w:cs="Times New Roman" w:hint="eastAsia"/>
          <w:sz w:val="24"/>
        </w:rPr>
        <w:t>社会主义核心价值观。</w:t>
      </w:r>
    </w:p>
    <w:p w14:paraId="61135967" w14:textId="77777777" w:rsidR="00A519ED" w:rsidRPr="00A519ED" w:rsidRDefault="00A519ED" w:rsidP="00A519ED">
      <w:pPr>
        <w:numPr>
          <w:ilvl w:val="0"/>
          <w:numId w:val="12"/>
        </w:numPr>
        <w:spacing w:line="440" w:lineRule="exact"/>
        <w:rPr>
          <w:rFonts w:ascii="Calibri" w:eastAsia="宋体" w:hAnsi="Calibri" w:cs="Times New Roman"/>
          <w:sz w:val="24"/>
        </w:rPr>
      </w:pPr>
      <w:r w:rsidRPr="00A519ED">
        <w:rPr>
          <w:rFonts w:ascii="Calibri" w:eastAsia="宋体" w:hAnsi="Calibri" w:cs="Times New Roman" w:hint="eastAsia"/>
          <w:sz w:val="24"/>
        </w:rPr>
        <w:t>完成线上单元测验</w:t>
      </w:r>
    </w:p>
    <w:p w14:paraId="3E59A886" w14:textId="77777777" w:rsidR="00A519ED" w:rsidRPr="00A519ED" w:rsidRDefault="00A519ED" w:rsidP="00A519ED">
      <w:pPr>
        <w:numPr>
          <w:ilvl w:val="0"/>
          <w:numId w:val="12"/>
        </w:numPr>
        <w:spacing w:line="440" w:lineRule="exact"/>
        <w:rPr>
          <w:rFonts w:ascii="宋体" w:eastAsia="宋体" w:hAnsi="Calibri" w:cs="Times New Roman"/>
          <w:sz w:val="24"/>
        </w:rPr>
      </w:pPr>
      <w:r w:rsidRPr="00A519ED">
        <w:rPr>
          <w:rFonts w:ascii="Calibri" w:eastAsia="宋体" w:hAnsi="Calibri" w:cs="Times New Roman" w:hint="eastAsia"/>
          <w:sz w:val="24"/>
        </w:rPr>
        <w:t>线上主题讨论：</w:t>
      </w:r>
      <w:r w:rsidRPr="00A519ED">
        <w:rPr>
          <w:rFonts w:ascii="Calibri" w:eastAsia="宋体" w:hAnsi="Calibri" w:cs="Times New Roman" w:hint="eastAsia"/>
          <w:sz w:val="24"/>
        </w:rPr>
        <w:t>How to Help Your Community</w:t>
      </w:r>
      <w:r w:rsidRPr="00A519ED">
        <w:rPr>
          <w:rFonts w:ascii="Calibri" w:eastAsia="宋体" w:hAnsi="Calibri" w:cs="Times New Roman"/>
          <w:sz w:val="24"/>
        </w:rPr>
        <w:t>?</w:t>
      </w:r>
    </w:p>
    <w:p w14:paraId="10A2E9EF" w14:textId="77777777" w:rsidR="00A519ED" w:rsidRPr="00A519ED" w:rsidRDefault="00A519ED" w:rsidP="00A519ED">
      <w:pPr>
        <w:spacing w:beforeLines="50" w:before="156" w:afterLines="50" w:after="156" w:line="440" w:lineRule="exact"/>
        <w:ind w:firstLineChars="200" w:firstLine="562"/>
        <w:jc w:val="center"/>
        <w:rPr>
          <w:rFonts w:ascii="Calibri" w:eastAsia="黑体" w:hAnsi="Calibri" w:cs="Times New Roman"/>
          <w:b/>
          <w:bCs/>
          <w:sz w:val="28"/>
          <w:szCs w:val="28"/>
        </w:rPr>
      </w:pPr>
      <w:r w:rsidRPr="00A519ED">
        <w:rPr>
          <w:rFonts w:ascii="Calibri" w:eastAsia="黑体" w:hAnsi="Calibri" w:cs="Times New Roman"/>
          <w:b/>
          <w:bCs/>
          <w:sz w:val="28"/>
          <w:szCs w:val="28"/>
        </w:rPr>
        <w:t xml:space="preserve">Unit </w:t>
      </w:r>
      <w:proofErr w:type="gramStart"/>
      <w:r w:rsidRPr="00A519ED">
        <w:rPr>
          <w:rFonts w:ascii="Calibri" w:eastAsia="黑体" w:hAnsi="Calibri" w:cs="Times New Roman"/>
          <w:b/>
          <w:bCs/>
          <w:sz w:val="28"/>
          <w:szCs w:val="28"/>
        </w:rPr>
        <w:t xml:space="preserve">2 </w:t>
      </w:r>
      <w:r w:rsidRPr="00A519ED">
        <w:rPr>
          <w:rFonts w:ascii="Calibri" w:eastAsia="黑体" w:hAnsi="Calibri" w:cs="Times New Roman" w:hint="eastAsia"/>
          <w:b/>
          <w:bCs/>
          <w:sz w:val="28"/>
          <w:szCs w:val="28"/>
        </w:rPr>
        <w:t xml:space="preserve"> Dream</w:t>
      </w:r>
      <w:proofErr w:type="gramEnd"/>
      <w:r w:rsidRPr="00A519ED">
        <w:rPr>
          <w:rFonts w:ascii="Calibri" w:eastAsia="黑体" w:hAnsi="Calibri" w:cs="Times New Roman"/>
          <w:b/>
          <w:bCs/>
          <w:sz w:val="28"/>
          <w:szCs w:val="28"/>
        </w:rPr>
        <w:t xml:space="preserve"> </w:t>
      </w:r>
      <w:r w:rsidRPr="00A519ED">
        <w:rPr>
          <w:rFonts w:ascii="Calibri" w:eastAsia="黑体" w:hAnsi="Calibri" w:cs="Times New Roman" w:hint="eastAsia"/>
          <w:b/>
          <w:bCs/>
          <w:sz w:val="28"/>
          <w:szCs w:val="28"/>
        </w:rPr>
        <w:t>and</w:t>
      </w:r>
      <w:r w:rsidRPr="00A519ED">
        <w:rPr>
          <w:rFonts w:ascii="Calibri" w:eastAsia="黑体" w:hAnsi="Calibri" w:cs="Times New Roman"/>
          <w:b/>
          <w:bCs/>
          <w:sz w:val="28"/>
          <w:szCs w:val="28"/>
        </w:rPr>
        <w:t xml:space="preserve"> </w:t>
      </w:r>
      <w:r w:rsidRPr="00A519ED">
        <w:rPr>
          <w:rFonts w:ascii="Calibri" w:eastAsia="黑体" w:hAnsi="Calibri" w:cs="Times New Roman" w:hint="eastAsia"/>
          <w:b/>
          <w:bCs/>
          <w:sz w:val="28"/>
          <w:szCs w:val="28"/>
        </w:rPr>
        <w:t>Freedom</w:t>
      </w:r>
      <w:r w:rsidRPr="00A519ED">
        <w:rPr>
          <w:rFonts w:ascii="Calibri" w:eastAsia="黑体" w:hAnsi="Calibri" w:cs="Times New Roman"/>
          <w:b/>
          <w:bCs/>
          <w:sz w:val="28"/>
          <w:szCs w:val="28"/>
        </w:rPr>
        <w:t xml:space="preserve"> </w:t>
      </w:r>
      <w:r w:rsidRPr="00A519ED">
        <w:rPr>
          <w:rFonts w:ascii="Calibri" w:eastAsia="黑体" w:hAnsi="Calibri" w:cs="Times New Roman" w:hint="eastAsia"/>
          <w:b/>
          <w:bCs/>
          <w:sz w:val="28"/>
          <w:szCs w:val="28"/>
        </w:rPr>
        <w:t>of</w:t>
      </w:r>
      <w:r w:rsidRPr="00A519ED">
        <w:rPr>
          <w:rFonts w:ascii="Calibri" w:eastAsia="黑体" w:hAnsi="Calibri" w:cs="Times New Roman"/>
          <w:b/>
          <w:bCs/>
          <w:sz w:val="28"/>
          <w:szCs w:val="28"/>
        </w:rPr>
        <w:t xml:space="preserve"> </w:t>
      </w:r>
      <w:r w:rsidRPr="00A519ED">
        <w:rPr>
          <w:rFonts w:ascii="Calibri" w:eastAsia="黑体" w:hAnsi="Calibri" w:cs="Times New Roman" w:hint="eastAsia"/>
          <w:b/>
          <w:bCs/>
          <w:sz w:val="28"/>
          <w:szCs w:val="28"/>
        </w:rPr>
        <w:t>Choice</w:t>
      </w:r>
    </w:p>
    <w:p w14:paraId="54F533B7" w14:textId="77777777" w:rsidR="00A519ED" w:rsidRPr="00A519ED" w:rsidRDefault="00A519ED" w:rsidP="00A519ED">
      <w:pPr>
        <w:spacing w:line="440" w:lineRule="exact"/>
        <w:ind w:firstLineChars="200" w:firstLine="482"/>
        <w:jc w:val="left"/>
        <w:rPr>
          <w:rFonts w:ascii="Calibri" w:eastAsia="宋体" w:hAnsi="Calibri" w:cs="Times New Roman"/>
          <w:b/>
          <w:sz w:val="24"/>
        </w:rPr>
      </w:pPr>
      <w:r w:rsidRPr="00A519ED">
        <w:rPr>
          <w:rFonts w:ascii="Calibri" w:eastAsia="宋体" w:hAnsi="Calibri" w:cs="Times New Roman" w:hint="eastAsia"/>
          <w:b/>
          <w:sz w:val="24"/>
        </w:rPr>
        <w:t>【学习目标】</w:t>
      </w:r>
    </w:p>
    <w:p w14:paraId="5DCDCEAB" w14:textId="77777777" w:rsidR="00A519ED" w:rsidRPr="00A519ED" w:rsidRDefault="00A519ED" w:rsidP="00A519ED">
      <w:pPr>
        <w:spacing w:line="440" w:lineRule="exact"/>
        <w:ind w:firstLineChars="200" w:firstLine="480"/>
        <w:jc w:val="left"/>
        <w:rPr>
          <w:rFonts w:ascii="宋体" w:eastAsia="宋体" w:hAnsi="宋体" w:cs="宋体"/>
          <w:sz w:val="24"/>
        </w:rPr>
      </w:pPr>
      <w:r w:rsidRPr="00A519ED">
        <w:rPr>
          <w:rFonts w:ascii="Calibri" w:eastAsia="宋体" w:hAnsi="Calibri" w:cs="Times New Roman" w:hint="eastAsia"/>
          <w:sz w:val="24"/>
        </w:rPr>
        <w:t>1</w:t>
      </w:r>
      <w:r w:rsidRPr="00A519ED">
        <w:rPr>
          <w:rFonts w:ascii="Calibri" w:eastAsia="宋体" w:hAnsi="Calibri" w:cs="Times New Roman"/>
          <w:sz w:val="24"/>
        </w:rPr>
        <w:t xml:space="preserve">. </w:t>
      </w:r>
      <w:r w:rsidRPr="00A519ED">
        <w:rPr>
          <w:rFonts w:ascii="宋体" w:eastAsia="宋体" w:hAnsi="宋体" w:cs="宋体" w:hint="eastAsia"/>
          <w:sz w:val="24"/>
        </w:rPr>
        <w:t>认知类目标：掌握本单元中出现的重点词汇、短语和句型；</w:t>
      </w:r>
    </w:p>
    <w:p w14:paraId="3B7E5222" w14:textId="77777777" w:rsidR="00A519ED" w:rsidRPr="00A519ED" w:rsidRDefault="00A519ED" w:rsidP="00A519ED">
      <w:pPr>
        <w:spacing w:line="440" w:lineRule="exact"/>
        <w:ind w:firstLineChars="200" w:firstLine="480"/>
        <w:jc w:val="left"/>
        <w:rPr>
          <w:rFonts w:ascii="宋体" w:eastAsia="宋体" w:hAnsi="宋体" w:cs="宋体"/>
          <w:sz w:val="24"/>
        </w:rPr>
      </w:pPr>
      <w:r w:rsidRPr="00A519ED">
        <w:rPr>
          <w:rFonts w:ascii="宋体" w:eastAsia="宋体" w:hAnsi="宋体" w:cs="宋体" w:hint="eastAsia"/>
          <w:sz w:val="24"/>
        </w:rPr>
        <w:t>2. 过程与方法类目标：鼓励学生积极参与小组讨论、主题演讲、成果展示等多种形式的课堂互动，能够熟练掌握查阅书籍或网络检索等方法，搜集与学习主题相关的信息和资料；鼓励学生充分利用词典、语法书、在线词典、英语学习APP等学习工具解决词汇和语法问题。</w:t>
      </w:r>
    </w:p>
    <w:p w14:paraId="7821BE49" w14:textId="77777777" w:rsidR="00A519ED" w:rsidRPr="00A519ED" w:rsidRDefault="00A519ED" w:rsidP="00A519ED">
      <w:pPr>
        <w:spacing w:line="440" w:lineRule="exact"/>
        <w:ind w:leftChars="200" w:left="420"/>
        <w:jc w:val="left"/>
        <w:rPr>
          <w:rFonts w:ascii="宋体" w:eastAsia="宋体" w:hAnsi="宋体" w:cs="宋体"/>
          <w:sz w:val="24"/>
        </w:rPr>
      </w:pPr>
      <w:r w:rsidRPr="00A519ED">
        <w:rPr>
          <w:rFonts w:ascii="宋体" w:eastAsia="宋体" w:hAnsi="宋体" w:cs="宋体" w:hint="eastAsia"/>
          <w:sz w:val="24"/>
        </w:rPr>
        <w:t>3. 情感、态度、价值观类目标：（1）思考并理解什么是梦想；</w:t>
      </w:r>
      <w:bookmarkStart w:id="35" w:name="_Hlk140417843"/>
      <w:r w:rsidRPr="00A519ED">
        <w:rPr>
          <w:rFonts w:ascii="宋体" w:eastAsia="宋体" w:hAnsi="宋体" w:cs="宋体" w:hint="eastAsia"/>
          <w:sz w:val="24"/>
        </w:rPr>
        <w:t>梦想和目标的区</w:t>
      </w:r>
    </w:p>
    <w:p w14:paraId="418DF1DA" w14:textId="77777777" w:rsidR="00A519ED" w:rsidRPr="00A519ED" w:rsidRDefault="00A519ED" w:rsidP="00A519ED">
      <w:pPr>
        <w:spacing w:line="440" w:lineRule="exact"/>
        <w:jc w:val="left"/>
        <w:rPr>
          <w:rFonts w:ascii="宋体" w:eastAsia="宋体" w:hAnsi="宋体" w:cs="宋体"/>
          <w:sz w:val="24"/>
        </w:rPr>
      </w:pPr>
      <w:r w:rsidRPr="00A519ED">
        <w:rPr>
          <w:rFonts w:ascii="宋体" w:eastAsia="宋体" w:hAnsi="宋体" w:cs="宋体" w:hint="eastAsia"/>
          <w:sz w:val="24"/>
        </w:rPr>
        <w:t>别；梦想与现实的关系、梦想和选择的自由之间的关系等一系列和梦想相关的话题。</w:t>
      </w:r>
      <w:bookmarkEnd w:id="35"/>
      <w:r w:rsidRPr="00A519ED">
        <w:rPr>
          <w:rFonts w:ascii="宋体" w:eastAsia="宋体" w:hAnsi="宋体" w:cs="宋体" w:hint="eastAsia"/>
          <w:sz w:val="24"/>
        </w:rPr>
        <w:t>（2）引导学生深化认识中国梦是实现中华民族伟大复兴，是中华民族近代以来最伟大的梦想。中国梦凝聚了几代中国人的夙愿，体现了中华民族和中国人民的整体利益，是每一个中华儿女的共同期盼。每个青年都应该为实现中国梦而奋发图强。</w:t>
      </w:r>
    </w:p>
    <w:p w14:paraId="7D84116E" w14:textId="77777777" w:rsidR="00A519ED" w:rsidRPr="00A519ED" w:rsidRDefault="00A519ED" w:rsidP="00A519ED">
      <w:pPr>
        <w:spacing w:line="440" w:lineRule="exact"/>
        <w:ind w:firstLineChars="200" w:firstLine="482"/>
        <w:jc w:val="left"/>
        <w:rPr>
          <w:rFonts w:ascii="Calibri" w:eastAsia="宋体" w:hAnsi="Calibri" w:cs="Times New Roman"/>
          <w:b/>
          <w:sz w:val="24"/>
        </w:rPr>
      </w:pPr>
      <w:r w:rsidRPr="00A519ED">
        <w:rPr>
          <w:rFonts w:ascii="Calibri" w:eastAsia="宋体" w:hAnsi="Calibri" w:cs="Times New Roman" w:hint="eastAsia"/>
          <w:b/>
          <w:sz w:val="24"/>
        </w:rPr>
        <w:t>【学习内容】</w:t>
      </w:r>
    </w:p>
    <w:p w14:paraId="4E9DB5FA" w14:textId="77777777" w:rsidR="00A519ED" w:rsidRPr="00A519ED" w:rsidRDefault="00A519ED" w:rsidP="00A519ED">
      <w:pPr>
        <w:numPr>
          <w:ilvl w:val="0"/>
          <w:numId w:val="13"/>
        </w:numPr>
        <w:spacing w:line="440" w:lineRule="exact"/>
        <w:ind w:firstLineChars="200" w:firstLine="480"/>
        <w:rPr>
          <w:rFonts w:ascii="宋体" w:eastAsia="宋体" w:hAnsi="宋体" w:cs="宋体"/>
          <w:sz w:val="24"/>
        </w:rPr>
      </w:pPr>
      <w:proofErr w:type="gramStart"/>
      <w:r w:rsidRPr="00A519ED">
        <w:rPr>
          <w:rFonts w:ascii="宋体" w:eastAsia="宋体" w:hAnsi="宋体" w:cs="宋体" w:hint="eastAsia"/>
          <w:sz w:val="24"/>
        </w:rPr>
        <w:lastRenderedPageBreak/>
        <w:t>思政元素</w:t>
      </w:r>
      <w:proofErr w:type="gramEnd"/>
      <w:r w:rsidRPr="00A519ED">
        <w:rPr>
          <w:rFonts w:ascii="宋体" w:eastAsia="宋体" w:hAnsi="宋体" w:cs="宋体" w:hint="eastAsia"/>
          <w:sz w:val="24"/>
        </w:rPr>
        <w:t>：每个人都有自己的梦想，每个民族也都有自己的梦想。习近平总书记指出，实现中华民族伟大复兴，就是中华民族近代以来最伟大的梦想。习近平总书记还曾提到“这就像穿衣服扣扣子一样，如果第一粒扣子扣错了，剩余的扣子都会扣错。人生的扣子从一开始就要扣好。”通过本单元学习，鼓励青年大</w:t>
      </w:r>
      <w:bookmarkStart w:id="36" w:name="_Hlk140418981"/>
      <w:r w:rsidRPr="00A519ED">
        <w:rPr>
          <w:rFonts w:ascii="宋体" w:eastAsia="宋体" w:hAnsi="宋体" w:cs="宋体" w:hint="eastAsia"/>
          <w:sz w:val="24"/>
        </w:rPr>
        <w:t>学生要不仅要有自己的梦想，更要怀揣中国梦，感悟历史、鉴古知今，以强烈的历史使命感和社会责任感，自觉融入民族复兴的伟大进程。</w:t>
      </w:r>
      <w:bookmarkEnd w:id="36"/>
    </w:p>
    <w:p w14:paraId="135B0BF8" w14:textId="77777777" w:rsidR="00A519ED" w:rsidRPr="00A519ED" w:rsidRDefault="00A519ED" w:rsidP="00A519ED">
      <w:pPr>
        <w:numPr>
          <w:ilvl w:val="0"/>
          <w:numId w:val="13"/>
        </w:numPr>
        <w:spacing w:line="440" w:lineRule="exact"/>
        <w:ind w:firstLineChars="200" w:firstLine="480"/>
        <w:rPr>
          <w:rFonts w:ascii="宋体" w:eastAsia="宋体" w:hAnsi="宋体" w:cs="宋体"/>
          <w:sz w:val="24"/>
        </w:rPr>
      </w:pPr>
      <w:r w:rsidRPr="00A519ED">
        <w:rPr>
          <w:rFonts w:ascii="宋体" w:eastAsia="宋体" w:hAnsi="宋体" w:cs="宋体" w:hint="eastAsia"/>
          <w:sz w:val="24"/>
        </w:rPr>
        <w:t>拓展与本单元主题相关的背景知识，认识梦想的意义，组织学生分组讨论梦想和目标的区别；梦想与现实的关系、梦想和选择的自由之间的关系等一系列和梦想相关的话题。组织“中国梦 我的梦”英语主题演讲。</w:t>
      </w:r>
    </w:p>
    <w:p w14:paraId="26E6DBE6" w14:textId="77777777" w:rsidR="00A519ED" w:rsidRPr="00A519ED" w:rsidRDefault="00A519ED" w:rsidP="00A519ED">
      <w:pPr>
        <w:numPr>
          <w:ilvl w:val="0"/>
          <w:numId w:val="13"/>
        </w:numPr>
        <w:spacing w:line="440" w:lineRule="exact"/>
        <w:ind w:firstLineChars="200" w:firstLine="480"/>
        <w:rPr>
          <w:rFonts w:ascii="宋体" w:eastAsia="宋体" w:hAnsi="宋体" w:cs="宋体"/>
          <w:sz w:val="24"/>
        </w:rPr>
      </w:pPr>
      <w:r w:rsidRPr="00A519ED">
        <w:rPr>
          <w:rFonts w:ascii="宋体" w:eastAsia="宋体" w:hAnsi="宋体" w:cs="宋体" w:hint="eastAsia"/>
          <w:sz w:val="24"/>
        </w:rPr>
        <w:t>讲解课文中重点单词和词组的用法，对重点句型和语法点进行深度解析。</w:t>
      </w:r>
    </w:p>
    <w:p w14:paraId="018EBFE1" w14:textId="77777777" w:rsidR="00A519ED" w:rsidRPr="00A519ED" w:rsidRDefault="00A519ED" w:rsidP="00A519ED">
      <w:pPr>
        <w:numPr>
          <w:ilvl w:val="0"/>
          <w:numId w:val="13"/>
        </w:numPr>
        <w:spacing w:line="440" w:lineRule="exact"/>
        <w:ind w:firstLineChars="200" w:firstLine="480"/>
        <w:rPr>
          <w:rFonts w:ascii="宋体" w:eastAsia="宋体" w:hAnsi="宋体" w:cs="宋体"/>
          <w:sz w:val="24"/>
        </w:rPr>
      </w:pPr>
      <w:r w:rsidRPr="00A519ED">
        <w:rPr>
          <w:rFonts w:ascii="宋体" w:eastAsia="宋体" w:hAnsi="宋体" w:cs="宋体" w:hint="eastAsia"/>
          <w:sz w:val="24"/>
        </w:rPr>
        <w:t>通过快速阅读的方式学习Text A  You</w:t>
      </w:r>
      <w:proofErr w:type="gramStart"/>
      <w:r w:rsidRPr="00A519ED">
        <w:rPr>
          <w:rFonts w:ascii="宋体" w:eastAsia="宋体" w:hAnsi="宋体" w:cs="宋体" w:hint="eastAsia"/>
          <w:sz w:val="24"/>
        </w:rPr>
        <w:t>’</w:t>
      </w:r>
      <w:proofErr w:type="spellStart"/>
      <w:proofErr w:type="gramEnd"/>
      <w:r w:rsidRPr="00A519ED">
        <w:rPr>
          <w:rFonts w:ascii="宋体" w:eastAsia="宋体" w:hAnsi="宋体" w:cs="宋体" w:hint="eastAsia"/>
          <w:sz w:val="24"/>
        </w:rPr>
        <w:t>ll</w:t>
      </w:r>
      <w:proofErr w:type="spellEnd"/>
      <w:r w:rsidRPr="00A519ED">
        <w:rPr>
          <w:rFonts w:ascii="宋体" w:eastAsia="宋体" w:hAnsi="宋体" w:cs="宋体" w:hint="eastAsia"/>
          <w:sz w:val="24"/>
        </w:rPr>
        <w:t xml:space="preserve"> Never Be Famous—And That</w:t>
      </w:r>
      <w:proofErr w:type="gramStart"/>
      <w:r w:rsidRPr="00A519ED">
        <w:rPr>
          <w:rFonts w:ascii="宋体" w:eastAsia="宋体" w:hAnsi="宋体" w:cs="宋体" w:hint="eastAsia"/>
          <w:sz w:val="24"/>
        </w:rPr>
        <w:t>’</w:t>
      </w:r>
      <w:proofErr w:type="gramEnd"/>
      <w:r w:rsidRPr="00A519ED">
        <w:rPr>
          <w:rFonts w:ascii="宋体" w:eastAsia="宋体" w:hAnsi="宋体" w:cs="宋体" w:hint="eastAsia"/>
          <w:sz w:val="24"/>
        </w:rPr>
        <w:t>s O.K.了解文章结构，把握文章主题。</w:t>
      </w:r>
    </w:p>
    <w:p w14:paraId="5C63CC7D" w14:textId="77777777" w:rsidR="00A519ED" w:rsidRPr="00A519ED" w:rsidRDefault="00A519ED" w:rsidP="00A519ED">
      <w:pPr>
        <w:spacing w:line="440" w:lineRule="exact"/>
        <w:ind w:firstLineChars="200" w:firstLine="480"/>
        <w:rPr>
          <w:rFonts w:ascii="宋体" w:eastAsia="宋体" w:hAnsi="宋体" w:cs="宋体"/>
          <w:sz w:val="24"/>
        </w:rPr>
      </w:pPr>
      <w:r w:rsidRPr="00A519ED">
        <w:rPr>
          <w:rFonts w:ascii="宋体" w:eastAsia="宋体" w:hAnsi="宋体" w:cs="宋体" w:hint="eastAsia"/>
          <w:sz w:val="24"/>
        </w:rPr>
        <w:t>5. 线上完成本单元Text A 和Text B课后练习题。</w:t>
      </w:r>
    </w:p>
    <w:p w14:paraId="7BA8C8A0" w14:textId="77777777" w:rsidR="00A519ED" w:rsidRPr="00A519ED" w:rsidRDefault="00A519ED" w:rsidP="00A519ED">
      <w:pPr>
        <w:tabs>
          <w:tab w:val="left" w:pos="312"/>
        </w:tabs>
        <w:spacing w:line="440" w:lineRule="exact"/>
        <w:ind w:firstLineChars="200" w:firstLine="480"/>
        <w:rPr>
          <w:rFonts w:ascii="宋体" w:eastAsia="宋体" w:hAnsi="宋体" w:cs="宋体"/>
          <w:sz w:val="24"/>
        </w:rPr>
      </w:pPr>
      <w:r w:rsidRPr="00A519ED">
        <w:rPr>
          <w:rFonts w:ascii="宋体" w:eastAsia="宋体" w:hAnsi="宋体" w:cs="宋体" w:hint="eastAsia"/>
          <w:sz w:val="24"/>
        </w:rPr>
        <w:t>6. 线上完成配套视听说教程第二单元Part A 和Part D部分的听力练习题。</w:t>
      </w:r>
    </w:p>
    <w:p w14:paraId="1525990A" w14:textId="77777777" w:rsidR="00A519ED" w:rsidRPr="00A519ED" w:rsidRDefault="00A519ED" w:rsidP="00A519ED">
      <w:pPr>
        <w:spacing w:line="440" w:lineRule="exact"/>
        <w:ind w:firstLineChars="200" w:firstLine="482"/>
        <w:rPr>
          <w:rFonts w:ascii="宋体" w:eastAsia="宋体" w:hAnsi="宋体" w:cs="宋体"/>
          <w:b/>
          <w:sz w:val="24"/>
        </w:rPr>
      </w:pPr>
      <w:r w:rsidRPr="00A519ED">
        <w:rPr>
          <w:rFonts w:ascii="宋体" w:eastAsia="宋体" w:hAnsi="宋体" w:cs="宋体" w:hint="eastAsia"/>
          <w:b/>
          <w:sz w:val="24"/>
        </w:rPr>
        <w:t>【重点】</w:t>
      </w:r>
    </w:p>
    <w:p w14:paraId="5E6CD24C" w14:textId="77777777" w:rsidR="00A519ED" w:rsidRPr="00A519ED" w:rsidRDefault="00A519ED" w:rsidP="00A519ED">
      <w:pPr>
        <w:spacing w:line="440" w:lineRule="exact"/>
        <w:ind w:firstLineChars="200" w:firstLine="480"/>
        <w:rPr>
          <w:rFonts w:ascii="宋体" w:eastAsia="宋体" w:hAnsi="宋体" w:cs="宋体"/>
          <w:sz w:val="24"/>
        </w:rPr>
      </w:pPr>
      <w:r w:rsidRPr="00A519ED">
        <w:rPr>
          <w:rFonts w:ascii="宋体" w:eastAsia="宋体" w:hAnsi="宋体" w:cs="宋体" w:hint="eastAsia"/>
          <w:sz w:val="24"/>
        </w:rPr>
        <w:t xml:space="preserve">1. </w:t>
      </w:r>
      <w:proofErr w:type="gramStart"/>
      <w:r w:rsidRPr="00A519ED">
        <w:rPr>
          <w:rFonts w:ascii="宋体" w:eastAsia="宋体" w:hAnsi="宋体" w:cs="宋体" w:hint="eastAsia"/>
          <w:sz w:val="24"/>
        </w:rPr>
        <w:t>思政教育</w:t>
      </w:r>
      <w:proofErr w:type="gramEnd"/>
      <w:r w:rsidRPr="00A519ED">
        <w:rPr>
          <w:rFonts w:ascii="宋体" w:eastAsia="宋体" w:hAnsi="宋体" w:cs="宋体" w:hint="eastAsia"/>
          <w:sz w:val="24"/>
        </w:rPr>
        <w:t>：培养学生充分理解什么是梦想、梦想与选择的自由之间的关系；升华学生对梦想的认识，鼓励学生以实现中国民族伟大复兴的中国梦为己任，增强学生责任担当和历史使命感。</w:t>
      </w:r>
    </w:p>
    <w:p w14:paraId="0FCC9A42" w14:textId="77777777" w:rsidR="00A519ED" w:rsidRPr="00A519ED" w:rsidRDefault="00A519ED" w:rsidP="00A519ED">
      <w:pPr>
        <w:spacing w:line="440" w:lineRule="exact"/>
        <w:ind w:firstLineChars="200" w:firstLine="480"/>
        <w:rPr>
          <w:rFonts w:ascii="宋体" w:eastAsia="宋体" w:hAnsi="宋体" w:cs="宋体"/>
          <w:sz w:val="24"/>
        </w:rPr>
      </w:pPr>
      <w:r w:rsidRPr="00A519ED">
        <w:rPr>
          <w:rFonts w:ascii="宋体" w:eastAsia="宋体" w:hAnsi="宋体" w:cs="宋体" w:hint="eastAsia"/>
          <w:sz w:val="24"/>
        </w:rPr>
        <w:t>2.课文重点单词、短语和句型</w:t>
      </w:r>
    </w:p>
    <w:p w14:paraId="374697FD" w14:textId="77777777" w:rsidR="00A519ED" w:rsidRPr="00A519ED" w:rsidRDefault="00A519ED" w:rsidP="00A519ED">
      <w:pPr>
        <w:spacing w:line="440" w:lineRule="exact"/>
        <w:ind w:firstLineChars="200" w:firstLine="480"/>
        <w:rPr>
          <w:rFonts w:ascii="宋体" w:eastAsia="宋体" w:hAnsi="宋体" w:cs="宋体"/>
          <w:sz w:val="24"/>
        </w:rPr>
      </w:pPr>
      <w:r w:rsidRPr="00A519ED">
        <w:rPr>
          <w:rFonts w:ascii="宋体" w:eastAsia="宋体" w:hAnsi="宋体" w:cs="宋体" w:hint="eastAsia"/>
          <w:sz w:val="24"/>
        </w:rPr>
        <w:t>3. 文章整体的段落结构和主旨大意</w:t>
      </w:r>
    </w:p>
    <w:p w14:paraId="2A419FBA" w14:textId="77777777" w:rsidR="00A519ED" w:rsidRPr="00A519ED" w:rsidRDefault="00A519ED" w:rsidP="00A519ED">
      <w:pPr>
        <w:spacing w:line="440" w:lineRule="exact"/>
        <w:ind w:firstLineChars="200" w:firstLine="480"/>
        <w:rPr>
          <w:rFonts w:ascii="宋体" w:eastAsia="宋体" w:hAnsi="宋体" w:cs="宋体"/>
          <w:sz w:val="24"/>
        </w:rPr>
      </w:pPr>
      <w:r w:rsidRPr="00A519ED">
        <w:rPr>
          <w:rFonts w:ascii="宋体" w:eastAsia="宋体" w:hAnsi="宋体" w:cs="宋体" w:hint="eastAsia"/>
          <w:sz w:val="24"/>
        </w:rPr>
        <w:t>4. 听力技巧的训练</w:t>
      </w:r>
    </w:p>
    <w:p w14:paraId="32995BBE" w14:textId="77777777" w:rsidR="00A519ED" w:rsidRPr="00A519ED" w:rsidRDefault="00A519ED" w:rsidP="00A519ED">
      <w:pPr>
        <w:spacing w:line="440" w:lineRule="exact"/>
        <w:ind w:firstLineChars="200" w:firstLine="482"/>
        <w:rPr>
          <w:rFonts w:ascii="宋体" w:eastAsia="宋体" w:hAnsi="宋体" w:cs="宋体"/>
          <w:b/>
          <w:bCs/>
          <w:sz w:val="24"/>
        </w:rPr>
      </w:pPr>
      <w:r w:rsidRPr="00A519ED">
        <w:rPr>
          <w:rFonts w:ascii="宋体" w:eastAsia="宋体" w:hAnsi="宋体" w:cs="宋体" w:hint="eastAsia"/>
          <w:b/>
          <w:bCs/>
          <w:sz w:val="24"/>
        </w:rPr>
        <w:t>【难点】</w:t>
      </w:r>
    </w:p>
    <w:p w14:paraId="40615234" w14:textId="77777777" w:rsidR="00A519ED" w:rsidRPr="00A519ED" w:rsidRDefault="00A519ED" w:rsidP="00A519ED">
      <w:pPr>
        <w:numPr>
          <w:ilvl w:val="0"/>
          <w:numId w:val="14"/>
        </w:numPr>
        <w:spacing w:line="440" w:lineRule="exact"/>
        <w:ind w:firstLineChars="200" w:firstLine="480"/>
        <w:rPr>
          <w:rFonts w:ascii="宋体" w:eastAsia="宋体" w:hAnsi="宋体" w:cs="宋体"/>
          <w:sz w:val="24"/>
        </w:rPr>
      </w:pPr>
      <w:r w:rsidRPr="00A519ED">
        <w:rPr>
          <w:rFonts w:ascii="宋体" w:eastAsia="宋体" w:hAnsi="宋体" w:cs="宋体" w:hint="eastAsia"/>
          <w:sz w:val="24"/>
        </w:rPr>
        <w:t>课文重点单词、短语和句型</w:t>
      </w:r>
    </w:p>
    <w:p w14:paraId="709B67FC" w14:textId="77777777" w:rsidR="00A519ED" w:rsidRPr="00A519ED" w:rsidRDefault="00A519ED" w:rsidP="00A519ED">
      <w:pPr>
        <w:spacing w:line="440" w:lineRule="exact"/>
        <w:ind w:firstLineChars="200" w:firstLine="480"/>
        <w:rPr>
          <w:rFonts w:ascii="宋体" w:eastAsia="宋体" w:hAnsi="宋体" w:cs="宋体"/>
          <w:sz w:val="24"/>
        </w:rPr>
      </w:pPr>
      <w:r w:rsidRPr="00A519ED">
        <w:rPr>
          <w:rFonts w:ascii="宋体" w:eastAsia="宋体" w:hAnsi="宋体" w:cs="宋体" w:hint="eastAsia"/>
          <w:sz w:val="24"/>
        </w:rPr>
        <w:t>2. 听力技巧训练，继续加强新闻类听力材料的练习。</w:t>
      </w:r>
    </w:p>
    <w:p w14:paraId="14F1193F" w14:textId="77777777" w:rsidR="00A519ED" w:rsidRPr="00A519ED" w:rsidRDefault="00A519ED" w:rsidP="00A519ED">
      <w:pPr>
        <w:spacing w:line="440" w:lineRule="exact"/>
        <w:ind w:firstLineChars="200" w:firstLine="480"/>
        <w:rPr>
          <w:rFonts w:ascii="宋体" w:eastAsia="宋体" w:hAnsi="宋体" w:cs="宋体"/>
          <w:sz w:val="24"/>
        </w:rPr>
      </w:pPr>
      <w:r w:rsidRPr="00A519ED">
        <w:rPr>
          <w:rFonts w:ascii="宋体" w:eastAsia="宋体" w:hAnsi="宋体" w:cs="宋体" w:hint="eastAsia"/>
          <w:sz w:val="24"/>
        </w:rPr>
        <w:t xml:space="preserve">3. </w:t>
      </w:r>
      <w:proofErr w:type="gramStart"/>
      <w:r w:rsidRPr="00A519ED">
        <w:rPr>
          <w:rFonts w:ascii="宋体" w:eastAsia="宋体" w:hAnsi="宋体" w:cs="宋体" w:hint="eastAsia"/>
          <w:sz w:val="24"/>
        </w:rPr>
        <w:t>思政教育</w:t>
      </w:r>
      <w:proofErr w:type="gramEnd"/>
      <w:r w:rsidRPr="00A519ED">
        <w:rPr>
          <w:rFonts w:ascii="宋体" w:eastAsia="宋体" w:hAnsi="宋体" w:cs="宋体" w:hint="eastAsia"/>
          <w:sz w:val="24"/>
        </w:rPr>
        <w:t>：培养学生要不仅要有自己的梦想，更要怀揣中国梦，感悟历史、鉴古知今，以强烈的历史使命感和社会责任感，自觉融入民族复兴的伟大进程。</w:t>
      </w:r>
    </w:p>
    <w:p w14:paraId="0062528B" w14:textId="77777777" w:rsidR="00A519ED" w:rsidRPr="00A519ED" w:rsidRDefault="00A519ED" w:rsidP="00A519ED">
      <w:pPr>
        <w:spacing w:line="440" w:lineRule="exact"/>
        <w:ind w:firstLineChars="200" w:firstLine="482"/>
        <w:rPr>
          <w:rFonts w:ascii="宋体" w:eastAsia="宋体" w:hAnsi="宋体" w:cs="宋体"/>
          <w:sz w:val="24"/>
        </w:rPr>
      </w:pPr>
      <w:r w:rsidRPr="00A519ED">
        <w:rPr>
          <w:rFonts w:ascii="宋体" w:eastAsia="宋体" w:hAnsi="宋体" w:cs="宋体" w:hint="eastAsia"/>
          <w:b/>
          <w:bCs/>
          <w:sz w:val="24"/>
        </w:rPr>
        <w:t>【教学方法】</w:t>
      </w:r>
    </w:p>
    <w:p w14:paraId="57054B01" w14:textId="77777777" w:rsidR="00A519ED" w:rsidRPr="00A519ED" w:rsidRDefault="00A519ED" w:rsidP="00A519ED">
      <w:pPr>
        <w:spacing w:line="440" w:lineRule="exact"/>
        <w:ind w:firstLineChars="200" w:firstLine="480"/>
        <w:rPr>
          <w:rFonts w:ascii="宋体" w:eastAsia="宋体" w:hAnsi="宋体" w:cs="宋体"/>
          <w:sz w:val="24"/>
        </w:rPr>
      </w:pPr>
      <w:r w:rsidRPr="00A519ED">
        <w:rPr>
          <w:rFonts w:ascii="宋体" w:eastAsia="宋体" w:hAnsi="宋体" w:cs="宋体" w:hint="eastAsia"/>
          <w:sz w:val="24"/>
        </w:rPr>
        <w:t>1. 通过多媒体课件、传统讲授法和线上线下相结合，讲解与单元主题相关知识以及课文中的重点词汇和句型。</w:t>
      </w:r>
    </w:p>
    <w:p w14:paraId="011B3B29" w14:textId="77777777" w:rsidR="00A519ED" w:rsidRPr="00A519ED" w:rsidRDefault="00A519ED" w:rsidP="00A519ED">
      <w:pPr>
        <w:spacing w:line="440" w:lineRule="exact"/>
        <w:ind w:firstLineChars="200" w:firstLine="480"/>
        <w:rPr>
          <w:rFonts w:ascii="宋体" w:eastAsia="宋体" w:hAnsi="宋体" w:cs="宋体"/>
          <w:sz w:val="24"/>
        </w:rPr>
      </w:pPr>
      <w:r w:rsidRPr="00A519ED">
        <w:rPr>
          <w:rFonts w:ascii="宋体" w:eastAsia="宋体" w:hAnsi="宋体" w:cs="宋体" w:hint="eastAsia"/>
          <w:sz w:val="24"/>
        </w:rPr>
        <w:t>2.通过小组讨论法，引导学生思考为什么要有梦想，培养学生的思辨能力、英语口语表达能力和团队合作、沟通能力。</w:t>
      </w:r>
    </w:p>
    <w:p w14:paraId="0CB954F0" w14:textId="77777777" w:rsidR="00A519ED" w:rsidRPr="00A519ED" w:rsidRDefault="00A519ED" w:rsidP="00A519ED">
      <w:pPr>
        <w:spacing w:line="440" w:lineRule="exact"/>
        <w:ind w:firstLineChars="200" w:firstLine="480"/>
        <w:rPr>
          <w:rFonts w:ascii="宋体" w:eastAsia="宋体" w:hAnsi="宋体" w:cs="宋体"/>
          <w:sz w:val="24"/>
        </w:rPr>
      </w:pPr>
      <w:r w:rsidRPr="00A519ED">
        <w:rPr>
          <w:rFonts w:ascii="宋体" w:eastAsia="宋体" w:hAnsi="宋体" w:cs="宋体" w:hint="eastAsia"/>
          <w:sz w:val="24"/>
        </w:rPr>
        <w:lastRenderedPageBreak/>
        <w:t>3. 通过自主学习法，发展学生独立思考、分析问题、解决问题的能力，培养学生良好的职业规范。</w:t>
      </w:r>
    </w:p>
    <w:p w14:paraId="3CFC21C7" w14:textId="77777777" w:rsidR="00A519ED" w:rsidRPr="00A519ED" w:rsidRDefault="00A519ED" w:rsidP="00A519ED">
      <w:pPr>
        <w:spacing w:line="440" w:lineRule="exact"/>
        <w:ind w:firstLineChars="200" w:firstLine="482"/>
        <w:rPr>
          <w:rFonts w:ascii="宋体" w:eastAsia="宋体" w:hAnsi="宋体" w:cs="宋体"/>
          <w:bCs/>
          <w:sz w:val="24"/>
        </w:rPr>
      </w:pPr>
      <w:r w:rsidRPr="00A519ED">
        <w:rPr>
          <w:rFonts w:ascii="宋体" w:eastAsia="宋体" w:hAnsi="宋体" w:cs="宋体" w:hint="eastAsia"/>
          <w:b/>
          <w:sz w:val="24"/>
        </w:rPr>
        <w:t>【复习思考】</w:t>
      </w:r>
    </w:p>
    <w:p w14:paraId="2FA8A32D" w14:textId="77777777" w:rsidR="00A519ED" w:rsidRPr="00A519ED" w:rsidRDefault="00A519ED" w:rsidP="00A519ED">
      <w:pPr>
        <w:numPr>
          <w:ilvl w:val="0"/>
          <w:numId w:val="15"/>
        </w:numPr>
        <w:spacing w:line="440" w:lineRule="exact"/>
        <w:rPr>
          <w:rFonts w:ascii="宋体" w:eastAsia="宋体" w:hAnsi="宋体" w:cs="宋体"/>
          <w:sz w:val="24"/>
        </w:rPr>
      </w:pPr>
      <w:r w:rsidRPr="00A519ED">
        <w:rPr>
          <w:rFonts w:ascii="宋体" w:eastAsia="宋体" w:hAnsi="宋体" w:cs="宋体" w:hint="eastAsia"/>
          <w:sz w:val="24"/>
        </w:rPr>
        <w:t>思考：作为当代大学生，如何实现自己的梦想，如何为实现民族复兴的中国梦而发奋图强，奉献青春？</w:t>
      </w:r>
    </w:p>
    <w:p w14:paraId="7388C944" w14:textId="77777777" w:rsidR="00A519ED" w:rsidRPr="00A519ED" w:rsidRDefault="00A519ED" w:rsidP="00A519ED">
      <w:pPr>
        <w:numPr>
          <w:ilvl w:val="0"/>
          <w:numId w:val="15"/>
        </w:numPr>
        <w:spacing w:line="440" w:lineRule="exact"/>
        <w:rPr>
          <w:rFonts w:ascii="宋体" w:eastAsia="宋体" w:hAnsi="宋体" w:cs="宋体"/>
          <w:sz w:val="24"/>
        </w:rPr>
      </w:pPr>
      <w:r w:rsidRPr="00A519ED">
        <w:rPr>
          <w:rFonts w:ascii="宋体" w:eastAsia="宋体" w:hAnsi="宋体" w:cs="宋体" w:hint="eastAsia"/>
          <w:sz w:val="24"/>
        </w:rPr>
        <w:t>完成线上单元测验</w:t>
      </w:r>
    </w:p>
    <w:p w14:paraId="619E2053" w14:textId="77777777" w:rsidR="00A519ED" w:rsidRPr="00A519ED" w:rsidRDefault="00A519ED" w:rsidP="00A519ED">
      <w:pPr>
        <w:numPr>
          <w:ilvl w:val="0"/>
          <w:numId w:val="15"/>
        </w:numPr>
        <w:spacing w:line="440" w:lineRule="exact"/>
        <w:rPr>
          <w:rFonts w:ascii="宋体" w:eastAsia="宋体" w:hAnsi="Calibri" w:cs="Times New Roman"/>
          <w:sz w:val="24"/>
        </w:rPr>
      </w:pPr>
      <w:r w:rsidRPr="00A519ED">
        <w:rPr>
          <w:rFonts w:ascii="宋体" w:eastAsia="宋体" w:hAnsi="宋体" w:cs="宋体" w:hint="eastAsia"/>
          <w:sz w:val="24"/>
        </w:rPr>
        <w:t>主题演讲：</w:t>
      </w:r>
      <w:r w:rsidRPr="00A519ED">
        <w:rPr>
          <w:rFonts w:ascii="Calibri" w:eastAsia="宋体" w:hAnsi="Calibri" w:cs="Times New Roman"/>
          <w:sz w:val="24"/>
        </w:rPr>
        <w:t>Chinese Dream</w:t>
      </w:r>
      <w:r w:rsidRPr="00A519ED">
        <w:rPr>
          <w:rFonts w:ascii="Calibri" w:eastAsia="宋体" w:hAnsi="Calibri" w:cs="Times New Roman"/>
          <w:sz w:val="24"/>
        </w:rPr>
        <w:t>，</w:t>
      </w:r>
      <w:r w:rsidRPr="00A519ED">
        <w:rPr>
          <w:rFonts w:ascii="Calibri" w:eastAsia="宋体" w:hAnsi="Calibri" w:cs="Times New Roman"/>
          <w:sz w:val="24"/>
        </w:rPr>
        <w:t>My Dream</w:t>
      </w:r>
    </w:p>
    <w:p w14:paraId="0A4AFC47" w14:textId="77777777" w:rsidR="00A519ED" w:rsidRPr="00A519ED" w:rsidRDefault="00A519ED" w:rsidP="00A519ED">
      <w:pPr>
        <w:spacing w:beforeLines="50" w:before="156" w:afterLines="50" w:after="156" w:line="440" w:lineRule="exact"/>
        <w:ind w:firstLineChars="200" w:firstLine="562"/>
        <w:jc w:val="center"/>
        <w:rPr>
          <w:rFonts w:ascii="Calibri" w:eastAsia="黑体" w:hAnsi="Calibri" w:cs="Times New Roman"/>
          <w:b/>
          <w:bCs/>
          <w:sz w:val="28"/>
          <w:szCs w:val="28"/>
        </w:rPr>
      </w:pPr>
      <w:r w:rsidRPr="00A519ED">
        <w:rPr>
          <w:rFonts w:ascii="Calibri" w:eastAsia="黑体" w:hAnsi="Calibri" w:cs="Times New Roman"/>
          <w:b/>
          <w:bCs/>
          <w:sz w:val="28"/>
          <w:szCs w:val="28"/>
        </w:rPr>
        <w:t xml:space="preserve">Unit </w:t>
      </w:r>
      <w:r w:rsidRPr="00A519ED">
        <w:rPr>
          <w:rFonts w:ascii="Calibri" w:eastAsia="黑体" w:hAnsi="Calibri" w:cs="Times New Roman" w:hint="eastAsia"/>
          <w:b/>
          <w:bCs/>
          <w:sz w:val="28"/>
          <w:szCs w:val="28"/>
        </w:rPr>
        <w:t xml:space="preserve">3 Human and Artificial Intelligence </w:t>
      </w:r>
    </w:p>
    <w:p w14:paraId="79BCE763" w14:textId="77777777" w:rsidR="00A519ED" w:rsidRPr="00A519ED" w:rsidRDefault="00A519ED" w:rsidP="00A519ED">
      <w:pPr>
        <w:spacing w:line="440" w:lineRule="exact"/>
        <w:ind w:firstLineChars="200" w:firstLine="482"/>
        <w:rPr>
          <w:rFonts w:ascii="Calibri" w:eastAsia="宋体" w:hAnsi="Calibri" w:cs="Times New Roman"/>
          <w:b/>
          <w:sz w:val="24"/>
        </w:rPr>
      </w:pPr>
      <w:r w:rsidRPr="00A519ED">
        <w:rPr>
          <w:rFonts w:ascii="Calibri" w:eastAsia="宋体" w:hAnsi="Calibri" w:cs="Times New Roman" w:hint="eastAsia"/>
          <w:b/>
          <w:sz w:val="24"/>
        </w:rPr>
        <w:t>【学习目标】</w:t>
      </w:r>
    </w:p>
    <w:p w14:paraId="5F05B8A0"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1</w:t>
      </w:r>
      <w:r w:rsidRPr="00A519ED">
        <w:rPr>
          <w:rFonts w:ascii="Calibri" w:eastAsia="宋体" w:hAnsi="Calibri" w:cs="Times New Roman"/>
          <w:sz w:val="24"/>
        </w:rPr>
        <w:t xml:space="preserve">. </w:t>
      </w:r>
      <w:r w:rsidRPr="00A519ED">
        <w:rPr>
          <w:rFonts w:ascii="Calibri" w:eastAsia="宋体" w:hAnsi="Calibri" w:cs="Times New Roman" w:hint="eastAsia"/>
          <w:sz w:val="24"/>
        </w:rPr>
        <w:t>认知类目标：掌握本单元中出现的重点词汇、短语和句型；</w:t>
      </w:r>
    </w:p>
    <w:p w14:paraId="7988AF1C"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2</w:t>
      </w:r>
      <w:r w:rsidRPr="00A519ED">
        <w:rPr>
          <w:rFonts w:ascii="Calibri" w:eastAsia="宋体" w:hAnsi="Calibri" w:cs="Times New Roman"/>
          <w:sz w:val="24"/>
        </w:rPr>
        <w:t xml:space="preserve">. </w:t>
      </w:r>
      <w:r w:rsidRPr="00A519ED">
        <w:rPr>
          <w:rFonts w:ascii="Calibri" w:eastAsia="宋体" w:hAnsi="Calibri" w:cs="Times New Roman" w:hint="eastAsia"/>
          <w:sz w:val="24"/>
        </w:rPr>
        <w:t>过程与方法类目标：</w:t>
      </w:r>
      <w:r w:rsidRPr="00A519ED">
        <w:rPr>
          <w:rFonts w:ascii="Calibri" w:eastAsia="宋体" w:hAnsi="Calibri" w:cs="Times New Roman"/>
          <w:sz w:val="24"/>
        </w:rPr>
        <w:t>学生能够通过多种方法手段来提升自己的听力和口语表达能力</w:t>
      </w:r>
      <w:r w:rsidRPr="00A519ED">
        <w:rPr>
          <w:rFonts w:ascii="Calibri" w:eastAsia="宋体" w:hAnsi="Calibri" w:cs="Times New Roman" w:hint="eastAsia"/>
          <w:sz w:val="24"/>
        </w:rPr>
        <w:t>；了解人工智能，及其对社会带来的深远影响，了解人工智能时代，高等教育该如何应对。</w:t>
      </w:r>
    </w:p>
    <w:p w14:paraId="0BB2AEF9"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 xml:space="preserve">3. </w:t>
      </w:r>
      <w:r w:rsidRPr="00A519ED">
        <w:rPr>
          <w:rFonts w:ascii="Calibri" w:eastAsia="宋体" w:hAnsi="Calibri" w:cs="Times New Roman" w:hint="eastAsia"/>
          <w:sz w:val="24"/>
        </w:rPr>
        <w:t>情感、态度、价值观类目标：（</w:t>
      </w:r>
      <w:r w:rsidRPr="00A519ED">
        <w:rPr>
          <w:rFonts w:ascii="Calibri" w:eastAsia="宋体" w:hAnsi="Calibri" w:cs="Times New Roman" w:hint="eastAsia"/>
          <w:sz w:val="24"/>
        </w:rPr>
        <w:t>1</w:t>
      </w:r>
      <w:r w:rsidRPr="00A519ED">
        <w:rPr>
          <w:rFonts w:ascii="Calibri" w:eastAsia="宋体" w:hAnsi="Calibri" w:cs="Times New Roman" w:hint="eastAsia"/>
          <w:sz w:val="24"/>
        </w:rPr>
        <w:t>）使学生能够正确看待科技发展：一方面人工智能技术对社会文化、经济发展和人类生活产生了积极影响和推动；另一方面人工智能也会给未来的社会就业带来巨大的挑战。（</w:t>
      </w:r>
      <w:r w:rsidRPr="00A519ED">
        <w:rPr>
          <w:rFonts w:ascii="Calibri" w:eastAsia="宋体" w:hAnsi="Calibri" w:cs="Times New Roman" w:hint="eastAsia"/>
          <w:sz w:val="24"/>
        </w:rPr>
        <w:t>2</w:t>
      </w:r>
      <w:r w:rsidRPr="00A519ED">
        <w:rPr>
          <w:rFonts w:ascii="Calibri" w:eastAsia="宋体" w:hAnsi="Calibri" w:cs="Times New Roman" w:hint="eastAsia"/>
          <w:sz w:val="24"/>
        </w:rPr>
        <w:t>）使学生意识到，在人工智能时代，人文素养的重要性。</w:t>
      </w:r>
    </w:p>
    <w:p w14:paraId="60EF4C37" w14:textId="77777777" w:rsidR="00A519ED" w:rsidRPr="00A519ED" w:rsidRDefault="00A519ED" w:rsidP="00A519ED">
      <w:pPr>
        <w:spacing w:line="440" w:lineRule="exact"/>
        <w:ind w:firstLineChars="200" w:firstLine="560"/>
        <w:rPr>
          <w:rFonts w:ascii="Calibri" w:eastAsia="黑体" w:hAnsi="Calibri" w:cs="Times New Roman"/>
          <w:sz w:val="28"/>
          <w:szCs w:val="28"/>
        </w:rPr>
      </w:pPr>
      <w:r w:rsidRPr="00A519ED">
        <w:rPr>
          <w:rFonts w:ascii="Calibri" w:eastAsia="黑体" w:hAnsi="Calibri" w:cs="Times New Roman" w:hint="eastAsia"/>
          <w:sz w:val="28"/>
          <w:szCs w:val="28"/>
        </w:rPr>
        <w:t>【学习内容】</w:t>
      </w:r>
    </w:p>
    <w:p w14:paraId="574BB7F0" w14:textId="77777777" w:rsidR="00A519ED" w:rsidRPr="00A519ED" w:rsidRDefault="00A519ED" w:rsidP="00A519ED">
      <w:pPr>
        <w:numPr>
          <w:ilvl w:val="0"/>
          <w:numId w:val="16"/>
        </w:numPr>
        <w:spacing w:line="440" w:lineRule="exact"/>
        <w:ind w:firstLineChars="200" w:firstLine="480"/>
        <w:rPr>
          <w:rFonts w:ascii="Calibri" w:eastAsia="宋体" w:hAnsi="Calibri" w:cs="Times New Roman"/>
          <w:sz w:val="24"/>
        </w:rPr>
      </w:pPr>
      <w:proofErr w:type="gramStart"/>
      <w:r w:rsidRPr="00A519ED">
        <w:rPr>
          <w:rFonts w:ascii="Calibri" w:eastAsia="宋体" w:hAnsi="Calibri" w:cs="Times New Roman" w:hint="eastAsia"/>
          <w:sz w:val="24"/>
        </w:rPr>
        <w:t>思政元素</w:t>
      </w:r>
      <w:proofErr w:type="gramEnd"/>
      <w:r w:rsidRPr="00A519ED">
        <w:rPr>
          <w:rFonts w:ascii="Calibri" w:eastAsia="宋体" w:hAnsi="Calibri" w:cs="Times New Roman" w:hint="eastAsia"/>
          <w:sz w:val="24"/>
        </w:rPr>
        <w:t>：</w:t>
      </w:r>
    </w:p>
    <w:p w14:paraId="0EDC69DA" w14:textId="77777777" w:rsidR="00A519ED" w:rsidRPr="00A519ED" w:rsidRDefault="00A519ED" w:rsidP="00A519ED">
      <w:pPr>
        <w:spacing w:line="440" w:lineRule="exact"/>
        <w:ind w:firstLineChars="200" w:firstLine="480"/>
        <w:rPr>
          <w:rFonts w:ascii="宋体" w:eastAsia="宋体" w:hAnsi="Calibri" w:cs="Times New Roman"/>
          <w:sz w:val="24"/>
        </w:rPr>
      </w:pPr>
      <w:r w:rsidRPr="00A519ED">
        <w:rPr>
          <w:rFonts w:ascii="Calibri" w:eastAsia="宋体" w:hAnsi="Calibri" w:cs="Times New Roman" w:hint="eastAsia"/>
          <w:sz w:val="24"/>
        </w:rPr>
        <w:t>（</w:t>
      </w:r>
      <w:r w:rsidRPr="00A519ED">
        <w:rPr>
          <w:rFonts w:ascii="Calibri" w:eastAsia="宋体" w:hAnsi="Calibri" w:cs="Times New Roman" w:hint="eastAsia"/>
          <w:sz w:val="24"/>
        </w:rPr>
        <w:t>1</w:t>
      </w:r>
      <w:r w:rsidRPr="00A519ED">
        <w:rPr>
          <w:rFonts w:ascii="Calibri" w:eastAsia="宋体" w:hAnsi="Calibri" w:cs="Times New Roman" w:hint="eastAsia"/>
          <w:sz w:val="24"/>
        </w:rPr>
        <w:t>）科技进步在人类发展历程中的重要作用。通过短视频</w:t>
      </w:r>
      <w:r w:rsidRPr="00A519ED">
        <w:rPr>
          <w:rFonts w:ascii="宋体" w:eastAsia="宋体" w:hAnsi="Calibri" w:cs="Times New Roman" w:hint="eastAsia"/>
          <w:sz w:val="24"/>
        </w:rPr>
        <w:t>和问题讨论，使学生意识到科技发展的重要性，使其树立起科技创新的意识。</w:t>
      </w:r>
    </w:p>
    <w:p w14:paraId="38D586BE"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w:t>
      </w:r>
      <w:r w:rsidRPr="00A519ED">
        <w:rPr>
          <w:rFonts w:ascii="Calibri" w:eastAsia="宋体" w:hAnsi="Calibri" w:cs="Times New Roman" w:hint="eastAsia"/>
          <w:sz w:val="24"/>
        </w:rPr>
        <w:t>2</w:t>
      </w:r>
      <w:r w:rsidRPr="00A519ED">
        <w:rPr>
          <w:rFonts w:ascii="Calibri" w:eastAsia="宋体" w:hAnsi="Calibri" w:cs="Times New Roman" w:hint="eastAsia"/>
          <w:sz w:val="24"/>
        </w:rPr>
        <w:t>）辩证唯物主义的发展观。通过课文内容分析，使学生认识到，自诞生之日起，科技始终在改变着人类的社会形态和就业模式。人类社会也一直在不断做出调整，适应科技的发展。</w:t>
      </w:r>
    </w:p>
    <w:p w14:paraId="729F09DA"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w:t>
      </w:r>
      <w:r w:rsidRPr="00A519ED">
        <w:rPr>
          <w:rFonts w:ascii="Calibri" w:eastAsia="宋体" w:hAnsi="Calibri" w:cs="Times New Roman" w:hint="eastAsia"/>
          <w:sz w:val="24"/>
        </w:rPr>
        <w:t>3</w:t>
      </w:r>
      <w:r w:rsidRPr="00A519ED">
        <w:rPr>
          <w:rFonts w:ascii="Calibri" w:eastAsia="宋体" w:hAnsi="Calibri" w:cs="Times New Roman" w:hint="eastAsia"/>
          <w:sz w:val="24"/>
        </w:rPr>
        <w:t>）人文素养的重要性。通过课文内容分析和讨论，使学生意识到人工智能时代对劳动力提出的新竞争力的要求，即注重未来人才的人文素养，如团队合作、伦理道德、终身学习等方面的意识和能力。</w:t>
      </w:r>
    </w:p>
    <w:p w14:paraId="5A49E070" w14:textId="77777777" w:rsidR="00A519ED" w:rsidRPr="00A519ED" w:rsidRDefault="00A519ED" w:rsidP="00A519ED">
      <w:pPr>
        <w:spacing w:line="440" w:lineRule="exact"/>
        <w:ind w:firstLineChars="200" w:firstLine="480"/>
        <w:rPr>
          <w:rFonts w:ascii="宋体" w:eastAsia="宋体" w:hAnsi="Calibri" w:cs="Times New Roman"/>
          <w:sz w:val="24"/>
        </w:rPr>
      </w:pPr>
      <w:r w:rsidRPr="00A519ED">
        <w:rPr>
          <w:rFonts w:ascii="Calibri" w:eastAsia="宋体" w:hAnsi="Calibri" w:cs="Times New Roman" w:hint="eastAsia"/>
          <w:sz w:val="24"/>
        </w:rPr>
        <w:t>2.</w:t>
      </w:r>
      <w:r w:rsidRPr="00A519ED">
        <w:rPr>
          <w:rFonts w:ascii="宋体" w:eastAsia="宋体" w:hAnsi="Calibri" w:cs="Times New Roman" w:hint="eastAsia"/>
          <w:sz w:val="24"/>
        </w:rPr>
        <w:t>详细讲解</w:t>
      </w:r>
      <w:proofErr w:type="spellStart"/>
      <w:r w:rsidRPr="00A519ED">
        <w:rPr>
          <w:rFonts w:ascii="Calibri" w:eastAsia="宋体" w:hAnsi="Calibri" w:cs="Times New Roman"/>
          <w:sz w:val="24"/>
        </w:rPr>
        <w:t>Text</w:t>
      </w:r>
      <w:r w:rsidRPr="00A519ED">
        <w:rPr>
          <w:rFonts w:ascii="Calibri" w:eastAsia="宋体" w:hAnsi="Calibri" w:cs="Times New Roman" w:hint="eastAsia"/>
          <w:sz w:val="24"/>
        </w:rPr>
        <w:t>A</w:t>
      </w:r>
      <w:proofErr w:type="spellEnd"/>
      <w:r w:rsidRPr="00A519ED">
        <w:rPr>
          <w:rFonts w:ascii="Calibri" w:eastAsia="宋体" w:hAnsi="Calibri" w:cs="Times New Roman"/>
          <w:sz w:val="24"/>
        </w:rPr>
        <w:t xml:space="preserve"> </w:t>
      </w:r>
      <w:proofErr w:type="spellStart"/>
      <w:r w:rsidRPr="00A519ED">
        <w:rPr>
          <w:rFonts w:ascii="Calibri" w:eastAsia="宋体" w:hAnsi="Calibri" w:cs="Times New Roman"/>
          <w:sz w:val="24"/>
        </w:rPr>
        <w:t>Robot-Proof:Higher</w:t>
      </w:r>
      <w:proofErr w:type="spellEnd"/>
      <w:r w:rsidRPr="00A519ED">
        <w:rPr>
          <w:rFonts w:ascii="Calibri" w:eastAsia="宋体" w:hAnsi="Calibri" w:cs="Times New Roman"/>
          <w:sz w:val="24"/>
        </w:rPr>
        <w:t xml:space="preserve"> Education in the Age of Artificial Intelligence</w:t>
      </w:r>
      <w:r w:rsidRPr="00A519ED">
        <w:rPr>
          <w:rFonts w:ascii="宋体" w:eastAsia="宋体" w:hAnsi="Calibri" w:cs="Times New Roman" w:hint="eastAsia"/>
          <w:sz w:val="24"/>
        </w:rPr>
        <w:t>中的重点单词、短语和句型的用法，并对课文内容及结构进行分析。</w:t>
      </w:r>
    </w:p>
    <w:p w14:paraId="5F34066C" w14:textId="77777777" w:rsidR="00A519ED" w:rsidRPr="00A519ED" w:rsidRDefault="00A519ED" w:rsidP="00A519ED">
      <w:pPr>
        <w:spacing w:line="440" w:lineRule="exact"/>
        <w:ind w:firstLineChars="200" w:firstLine="482"/>
        <w:rPr>
          <w:rFonts w:ascii="宋体" w:eastAsia="宋体" w:hAnsi="Calibri" w:cs="Times New Roman"/>
          <w:sz w:val="24"/>
        </w:rPr>
      </w:pPr>
      <w:r w:rsidRPr="00A519ED">
        <w:rPr>
          <w:rFonts w:ascii="宋体" w:eastAsia="宋体" w:hAnsi="Calibri" w:cs="Times New Roman" w:hint="eastAsia"/>
          <w:b/>
          <w:sz w:val="24"/>
        </w:rPr>
        <w:t>3</w:t>
      </w:r>
      <w:r w:rsidRPr="00A519ED">
        <w:rPr>
          <w:rFonts w:ascii="宋体" w:eastAsia="宋体" w:hAnsi="Calibri" w:cs="Times New Roman" w:hint="eastAsia"/>
          <w:sz w:val="24"/>
        </w:rPr>
        <w:t>. 通过快速阅读的方式学习</w:t>
      </w:r>
      <w:proofErr w:type="spellStart"/>
      <w:r w:rsidRPr="00A519ED">
        <w:rPr>
          <w:rFonts w:ascii="Calibri" w:eastAsia="宋体" w:hAnsi="Calibri" w:cs="Times New Roman"/>
          <w:sz w:val="24"/>
        </w:rPr>
        <w:t>Text</w:t>
      </w:r>
      <w:r w:rsidRPr="00A519ED">
        <w:rPr>
          <w:rFonts w:ascii="Calibri" w:eastAsia="宋体" w:hAnsi="Calibri" w:cs="Times New Roman" w:hint="eastAsia"/>
          <w:sz w:val="24"/>
        </w:rPr>
        <w:t>A</w:t>
      </w:r>
      <w:proofErr w:type="spellEnd"/>
      <w:r w:rsidRPr="00A519ED">
        <w:rPr>
          <w:rFonts w:ascii="Calibri" w:eastAsia="宋体" w:hAnsi="Calibri" w:cs="Times New Roman"/>
          <w:sz w:val="24"/>
        </w:rPr>
        <w:t xml:space="preserve"> </w:t>
      </w:r>
      <w:proofErr w:type="spellStart"/>
      <w:r w:rsidRPr="00A519ED">
        <w:rPr>
          <w:rFonts w:ascii="Calibri" w:eastAsia="宋体" w:hAnsi="Calibri" w:cs="Times New Roman"/>
          <w:sz w:val="24"/>
        </w:rPr>
        <w:t>Robot-Proof:Higher</w:t>
      </w:r>
      <w:proofErr w:type="spellEnd"/>
      <w:r w:rsidRPr="00A519ED">
        <w:rPr>
          <w:rFonts w:ascii="Calibri" w:eastAsia="宋体" w:hAnsi="Calibri" w:cs="Times New Roman"/>
          <w:sz w:val="24"/>
        </w:rPr>
        <w:t xml:space="preserve"> Education in the Age of </w:t>
      </w:r>
      <w:r w:rsidRPr="00A519ED">
        <w:rPr>
          <w:rFonts w:ascii="Calibri" w:eastAsia="宋体" w:hAnsi="Calibri" w:cs="Times New Roman"/>
          <w:sz w:val="24"/>
        </w:rPr>
        <w:lastRenderedPageBreak/>
        <w:t>Artificial Intelligence</w:t>
      </w:r>
      <w:r w:rsidRPr="00A519ED">
        <w:rPr>
          <w:rFonts w:ascii="Calibri" w:eastAsia="宋体" w:hAnsi="Calibri" w:cs="Times New Roman" w:hint="eastAsia"/>
          <w:sz w:val="24"/>
        </w:rPr>
        <w:t>，</w:t>
      </w:r>
      <w:r w:rsidRPr="00A519ED">
        <w:rPr>
          <w:rFonts w:ascii="宋体" w:eastAsia="宋体" w:hAnsi="Calibri" w:cs="Times New Roman" w:hint="eastAsia"/>
          <w:sz w:val="24"/>
        </w:rPr>
        <w:t>了解文章结构，把握文章主题。</w:t>
      </w:r>
    </w:p>
    <w:p w14:paraId="69E73FFD"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4</w:t>
      </w:r>
      <w:r w:rsidRPr="00A519ED">
        <w:rPr>
          <w:rFonts w:ascii="Calibri" w:eastAsia="宋体" w:hAnsi="Calibri" w:cs="Times New Roman"/>
          <w:sz w:val="24"/>
        </w:rPr>
        <w:t xml:space="preserve">. </w:t>
      </w:r>
      <w:r w:rsidRPr="00A519ED">
        <w:rPr>
          <w:rFonts w:ascii="Calibri" w:eastAsia="宋体" w:hAnsi="Calibri" w:cs="Times New Roman"/>
          <w:sz w:val="24"/>
        </w:rPr>
        <w:t>线上</w:t>
      </w:r>
      <w:r w:rsidRPr="00A519ED">
        <w:rPr>
          <w:rFonts w:ascii="Calibri" w:eastAsia="宋体" w:hAnsi="Calibri" w:cs="Times New Roman" w:hint="eastAsia"/>
          <w:sz w:val="24"/>
        </w:rPr>
        <w:t>完成本单元</w:t>
      </w:r>
      <w:r w:rsidRPr="00A519ED">
        <w:rPr>
          <w:rFonts w:ascii="Calibri" w:eastAsia="宋体" w:hAnsi="Calibri" w:cs="Times New Roman" w:hint="eastAsia"/>
          <w:sz w:val="24"/>
        </w:rPr>
        <w:t xml:space="preserve">Text A </w:t>
      </w:r>
      <w:r w:rsidRPr="00A519ED">
        <w:rPr>
          <w:rFonts w:ascii="Calibri" w:eastAsia="宋体" w:hAnsi="Calibri" w:cs="Times New Roman" w:hint="eastAsia"/>
          <w:sz w:val="24"/>
        </w:rPr>
        <w:t>和</w:t>
      </w:r>
      <w:r w:rsidRPr="00A519ED">
        <w:rPr>
          <w:rFonts w:ascii="Calibri" w:eastAsia="宋体" w:hAnsi="Calibri" w:cs="Times New Roman" w:hint="eastAsia"/>
          <w:sz w:val="24"/>
        </w:rPr>
        <w:t>Text B</w:t>
      </w:r>
      <w:r w:rsidRPr="00A519ED">
        <w:rPr>
          <w:rFonts w:ascii="Calibri" w:eastAsia="宋体" w:hAnsi="Calibri" w:cs="Times New Roman" w:hint="eastAsia"/>
          <w:sz w:val="24"/>
        </w:rPr>
        <w:t>课后练习题；</w:t>
      </w:r>
    </w:p>
    <w:p w14:paraId="678EB62F"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5</w:t>
      </w:r>
      <w:r w:rsidRPr="00A519ED">
        <w:rPr>
          <w:rFonts w:ascii="Calibri" w:eastAsia="宋体" w:hAnsi="Calibri" w:cs="Times New Roman"/>
          <w:sz w:val="24"/>
        </w:rPr>
        <w:t xml:space="preserve">. </w:t>
      </w:r>
      <w:r w:rsidRPr="00A519ED">
        <w:rPr>
          <w:rFonts w:ascii="Calibri" w:eastAsia="宋体" w:hAnsi="Calibri" w:cs="Times New Roman"/>
          <w:sz w:val="24"/>
        </w:rPr>
        <w:t>线上</w:t>
      </w:r>
      <w:r w:rsidRPr="00A519ED">
        <w:rPr>
          <w:rFonts w:ascii="Calibri" w:eastAsia="宋体" w:hAnsi="Calibri" w:cs="Times New Roman" w:hint="eastAsia"/>
          <w:sz w:val="24"/>
        </w:rPr>
        <w:t>完成视听说教程第三单元</w:t>
      </w:r>
      <w:r w:rsidRPr="00A519ED">
        <w:rPr>
          <w:rFonts w:ascii="Calibri" w:eastAsia="宋体" w:hAnsi="Calibri" w:cs="Times New Roman" w:hint="eastAsia"/>
          <w:sz w:val="24"/>
        </w:rPr>
        <w:t>P</w:t>
      </w:r>
      <w:r w:rsidRPr="00A519ED">
        <w:rPr>
          <w:rFonts w:ascii="Calibri" w:eastAsia="宋体" w:hAnsi="Calibri" w:cs="Times New Roman"/>
          <w:sz w:val="24"/>
        </w:rPr>
        <w:t xml:space="preserve">art A </w:t>
      </w:r>
      <w:r w:rsidRPr="00A519ED">
        <w:rPr>
          <w:rFonts w:ascii="Calibri" w:eastAsia="宋体" w:hAnsi="Calibri" w:cs="Times New Roman" w:hint="eastAsia"/>
          <w:sz w:val="24"/>
        </w:rPr>
        <w:t>和</w:t>
      </w:r>
      <w:r w:rsidRPr="00A519ED">
        <w:rPr>
          <w:rFonts w:ascii="Calibri" w:eastAsia="宋体" w:hAnsi="Calibri" w:cs="Times New Roman" w:hint="eastAsia"/>
          <w:sz w:val="24"/>
        </w:rPr>
        <w:t>Part D</w:t>
      </w:r>
      <w:r w:rsidRPr="00A519ED">
        <w:rPr>
          <w:rFonts w:ascii="Calibri" w:eastAsia="宋体" w:hAnsi="Calibri" w:cs="Times New Roman" w:hint="eastAsia"/>
          <w:sz w:val="24"/>
        </w:rPr>
        <w:t>部分的听力练习题。</w:t>
      </w:r>
    </w:p>
    <w:p w14:paraId="68F00AC7" w14:textId="77777777" w:rsidR="00A519ED" w:rsidRPr="00A519ED" w:rsidRDefault="00A519ED" w:rsidP="00A519ED">
      <w:pPr>
        <w:spacing w:line="440" w:lineRule="exact"/>
        <w:ind w:firstLineChars="200" w:firstLine="482"/>
        <w:rPr>
          <w:rFonts w:ascii="Calibri" w:eastAsia="宋体" w:hAnsi="Calibri" w:cs="Times New Roman"/>
          <w:b/>
          <w:sz w:val="24"/>
        </w:rPr>
      </w:pPr>
      <w:r w:rsidRPr="00A519ED">
        <w:rPr>
          <w:rFonts w:ascii="Calibri" w:eastAsia="宋体" w:hAnsi="Calibri" w:cs="Times New Roman" w:hint="eastAsia"/>
          <w:b/>
          <w:sz w:val="24"/>
        </w:rPr>
        <w:t>【重点】</w:t>
      </w:r>
    </w:p>
    <w:p w14:paraId="5BDA6F19"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 xml:space="preserve">1. </w:t>
      </w:r>
      <w:proofErr w:type="gramStart"/>
      <w:r w:rsidRPr="00A519ED">
        <w:rPr>
          <w:rFonts w:ascii="Calibri" w:eastAsia="宋体" w:hAnsi="Calibri" w:cs="Times New Roman" w:hint="eastAsia"/>
          <w:sz w:val="24"/>
        </w:rPr>
        <w:t>思政教育</w:t>
      </w:r>
      <w:proofErr w:type="gramEnd"/>
      <w:r w:rsidRPr="00A519ED">
        <w:rPr>
          <w:rFonts w:ascii="Calibri" w:eastAsia="宋体" w:hAnsi="Calibri" w:cs="Times New Roman" w:hint="eastAsia"/>
          <w:sz w:val="24"/>
        </w:rPr>
        <w:t>：培养学生对于科技发展的正确认识；辩证唯物主义的发展观；认识到人文素养的重要性。</w:t>
      </w:r>
    </w:p>
    <w:p w14:paraId="65E5071E"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2.</w:t>
      </w:r>
      <w:r w:rsidRPr="00A519ED">
        <w:rPr>
          <w:rFonts w:ascii="Calibri" w:eastAsia="宋体" w:hAnsi="Calibri" w:cs="Times New Roman" w:hint="eastAsia"/>
          <w:sz w:val="24"/>
        </w:rPr>
        <w:t>课文重点单词、短语和句型</w:t>
      </w:r>
    </w:p>
    <w:p w14:paraId="1E4EFF77"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3</w:t>
      </w:r>
      <w:r w:rsidRPr="00A519ED">
        <w:rPr>
          <w:rFonts w:ascii="Calibri" w:eastAsia="宋体" w:hAnsi="Calibri" w:cs="Times New Roman"/>
          <w:sz w:val="24"/>
        </w:rPr>
        <w:t xml:space="preserve">. </w:t>
      </w:r>
      <w:r w:rsidRPr="00A519ED">
        <w:rPr>
          <w:rFonts w:ascii="Calibri" w:eastAsia="宋体" w:hAnsi="Calibri" w:cs="Times New Roman" w:hint="eastAsia"/>
          <w:sz w:val="24"/>
        </w:rPr>
        <w:t>文章整体的段落结构和主旨大意</w:t>
      </w:r>
    </w:p>
    <w:p w14:paraId="57AB2B7B"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4</w:t>
      </w:r>
      <w:r w:rsidRPr="00A519ED">
        <w:rPr>
          <w:rFonts w:ascii="Calibri" w:eastAsia="宋体" w:hAnsi="Calibri" w:cs="Times New Roman"/>
          <w:sz w:val="24"/>
        </w:rPr>
        <w:t xml:space="preserve">. </w:t>
      </w:r>
      <w:r w:rsidRPr="00A519ED">
        <w:rPr>
          <w:rFonts w:ascii="Calibri" w:eastAsia="宋体" w:hAnsi="Calibri" w:cs="Times New Roman" w:hint="eastAsia"/>
          <w:sz w:val="24"/>
        </w:rPr>
        <w:t>听力中速记技巧的训练</w:t>
      </w:r>
    </w:p>
    <w:p w14:paraId="5CAFF0D0" w14:textId="77777777" w:rsidR="00A519ED" w:rsidRPr="00A519ED" w:rsidRDefault="00A519ED" w:rsidP="00A519ED">
      <w:pPr>
        <w:spacing w:line="440" w:lineRule="exact"/>
        <w:ind w:firstLineChars="200" w:firstLine="560"/>
        <w:rPr>
          <w:rFonts w:ascii="Calibri" w:eastAsia="黑体" w:hAnsi="Calibri" w:cs="Times New Roman"/>
          <w:sz w:val="28"/>
          <w:szCs w:val="28"/>
        </w:rPr>
      </w:pPr>
      <w:r w:rsidRPr="00A519ED">
        <w:rPr>
          <w:rFonts w:ascii="Calibri" w:eastAsia="黑体" w:hAnsi="Calibri" w:cs="Times New Roman" w:hint="eastAsia"/>
          <w:sz w:val="28"/>
          <w:szCs w:val="28"/>
        </w:rPr>
        <w:t>【难点】</w:t>
      </w:r>
    </w:p>
    <w:p w14:paraId="64B64150" w14:textId="77777777" w:rsidR="00A519ED" w:rsidRPr="00A519ED" w:rsidRDefault="00A519ED" w:rsidP="00A519ED">
      <w:pPr>
        <w:numPr>
          <w:ilvl w:val="0"/>
          <w:numId w:val="17"/>
        </w:num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课文重点单词、短语和句型</w:t>
      </w:r>
    </w:p>
    <w:p w14:paraId="3EF48D87"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 xml:space="preserve">2. </w:t>
      </w:r>
      <w:r w:rsidRPr="00A519ED">
        <w:rPr>
          <w:rFonts w:ascii="Calibri" w:eastAsia="宋体" w:hAnsi="Calibri" w:cs="Times New Roman" w:hint="eastAsia"/>
          <w:sz w:val="24"/>
        </w:rPr>
        <w:t>听力中速记技巧的训练</w:t>
      </w:r>
    </w:p>
    <w:p w14:paraId="46E64A5C"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 xml:space="preserve">3. </w:t>
      </w:r>
      <w:proofErr w:type="gramStart"/>
      <w:r w:rsidRPr="00A519ED">
        <w:rPr>
          <w:rFonts w:ascii="Calibri" w:eastAsia="宋体" w:hAnsi="Calibri" w:cs="Times New Roman" w:hint="eastAsia"/>
          <w:sz w:val="24"/>
        </w:rPr>
        <w:t>思政教育</w:t>
      </w:r>
      <w:proofErr w:type="gramEnd"/>
      <w:r w:rsidRPr="00A519ED">
        <w:rPr>
          <w:rFonts w:ascii="Calibri" w:eastAsia="宋体" w:hAnsi="Calibri" w:cs="Times New Roman" w:hint="eastAsia"/>
          <w:sz w:val="24"/>
        </w:rPr>
        <w:t>：培养学生对于科技发展的正确认识；辩证唯物主义的发展观；认识到人文素养的重要性。</w:t>
      </w:r>
    </w:p>
    <w:p w14:paraId="0BBF8EDB" w14:textId="77777777" w:rsidR="00A519ED" w:rsidRPr="00A519ED" w:rsidRDefault="00A519ED" w:rsidP="00A519ED">
      <w:pPr>
        <w:spacing w:line="440" w:lineRule="exact"/>
        <w:ind w:firstLineChars="200" w:firstLine="482"/>
        <w:rPr>
          <w:rFonts w:ascii="Calibri" w:eastAsia="宋体" w:hAnsi="Calibri" w:cs="Times New Roman"/>
          <w:sz w:val="24"/>
        </w:rPr>
      </w:pPr>
      <w:r w:rsidRPr="00A519ED">
        <w:rPr>
          <w:rFonts w:ascii="Calibri" w:eastAsia="宋体" w:hAnsi="Calibri" w:cs="Times New Roman" w:hint="eastAsia"/>
          <w:b/>
          <w:bCs/>
          <w:sz w:val="24"/>
        </w:rPr>
        <w:t>【教学方法】</w:t>
      </w:r>
    </w:p>
    <w:p w14:paraId="4ED81C75"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 xml:space="preserve">1. </w:t>
      </w:r>
      <w:r w:rsidRPr="00A519ED">
        <w:rPr>
          <w:rFonts w:ascii="Calibri" w:eastAsia="宋体" w:hAnsi="Calibri" w:cs="Times New Roman" w:hint="eastAsia"/>
          <w:sz w:val="24"/>
        </w:rPr>
        <w:t>通过多媒体课件、传统讲授法和线上线下相结合，讲解人工智能的相关知识以及课文中的重点词汇和句型。</w:t>
      </w:r>
    </w:p>
    <w:p w14:paraId="53C8977C"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2</w:t>
      </w:r>
      <w:r w:rsidRPr="00A519ED">
        <w:rPr>
          <w:rFonts w:ascii="Calibri" w:eastAsia="宋体" w:hAnsi="Calibri" w:cs="Times New Roman" w:hint="eastAsia"/>
          <w:sz w:val="24"/>
        </w:rPr>
        <w:t>.</w:t>
      </w:r>
      <w:r w:rsidRPr="00A519ED">
        <w:rPr>
          <w:rFonts w:ascii="Calibri" w:eastAsia="宋体" w:hAnsi="Calibri" w:cs="Times New Roman" w:hint="eastAsia"/>
          <w:sz w:val="24"/>
        </w:rPr>
        <w:t>通过小组讨论法，引导学生思考人工智能带来的好处和存在的弊端，培养学生的思辨能力和团队合作和沟通能力。</w:t>
      </w:r>
    </w:p>
    <w:p w14:paraId="516847DD"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hint="eastAsia"/>
          <w:sz w:val="24"/>
        </w:rPr>
        <w:t>3</w:t>
      </w:r>
      <w:r w:rsidRPr="00A519ED">
        <w:rPr>
          <w:rFonts w:ascii="Calibri" w:eastAsia="宋体" w:hAnsi="Calibri" w:cs="Times New Roman"/>
          <w:sz w:val="24"/>
        </w:rPr>
        <w:t xml:space="preserve">. </w:t>
      </w:r>
      <w:r w:rsidRPr="00A519ED">
        <w:rPr>
          <w:rFonts w:ascii="Calibri" w:eastAsia="宋体" w:hAnsi="Calibri" w:cs="Times New Roman" w:hint="eastAsia"/>
          <w:sz w:val="24"/>
        </w:rPr>
        <w:t>通过自主学习法，发展学生独立思考、分析问题、解决问题的能力，培养良好职业规范。</w:t>
      </w:r>
    </w:p>
    <w:p w14:paraId="2899BEA1" w14:textId="77777777" w:rsidR="00A519ED" w:rsidRPr="00A519ED" w:rsidRDefault="00A519ED" w:rsidP="00A519ED">
      <w:pPr>
        <w:spacing w:line="440" w:lineRule="exact"/>
        <w:ind w:firstLineChars="200" w:firstLine="482"/>
        <w:rPr>
          <w:rFonts w:ascii="Calibri" w:eastAsia="宋体" w:hAnsi="Calibri" w:cs="Times New Roman"/>
          <w:bCs/>
          <w:sz w:val="24"/>
        </w:rPr>
      </w:pPr>
      <w:r w:rsidRPr="00A519ED">
        <w:rPr>
          <w:rFonts w:ascii="Calibri" w:eastAsia="宋体" w:hAnsi="Calibri" w:cs="Times New Roman" w:hint="eastAsia"/>
          <w:b/>
          <w:sz w:val="24"/>
        </w:rPr>
        <w:t>【复习思考】</w:t>
      </w:r>
    </w:p>
    <w:p w14:paraId="2D32FC0F" w14:textId="77777777" w:rsidR="00A519ED" w:rsidRPr="00A519ED" w:rsidRDefault="00A519ED" w:rsidP="00A519ED">
      <w:pPr>
        <w:numPr>
          <w:ilvl w:val="0"/>
          <w:numId w:val="18"/>
        </w:numPr>
        <w:spacing w:line="440" w:lineRule="exact"/>
        <w:ind w:left="435"/>
        <w:rPr>
          <w:rFonts w:ascii="Calibri" w:eastAsia="宋体" w:hAnsi="Calibri" w:cs="Times New Roman"/>
          <w:sz w:val="24"/>
        </w:rPr>
      </w:pPr>
      <w:r w:rsidRPr="00A519ED">
        <w:rPr>
          <w:rFonts w:ascii="Calibri" w:eastAsia="宋体" w:hAnsi="Calibri" w:cs="Times New Roman" w:hint="eastAsia"/>
          <w:sz w:val="24"/>
        </w:rPr>
        <w:t>思考如何应对人工智能时代的挑战；作为人工智能时代的大学生，应当从哪些方面着手，提高自己的综合素养，应对科技带来的挑战？</w:t>
      </w:r>
    </w:p>
    <w:p w14:paraId="17FC8F90" w14:textId="77777777" w:rsidR="00A519ED" w:rsidRPr="00A519ED" w:rsidRDefault="00A519ED" w:rsidP="00A519ED">
      <w:pPr>
        <w:numPr>
          <w:ilvl w:val="0"/>
          <w:numId w:val="18"/>
        </w:numPr>
        <w:spacing w:line="440" w:lineRule="exact"/>
        <w:ind w:left="435"/>
        <w:rPr>
          <w:rFonts w:ascii="Calibri" w:eastAsia="宋体" w:hAnsi="Calibri" w:cs="Times New Roman"/>
          <w:sz w:val="24"/>
        </w:rPr>
      </w:pPr>
      <w:r w:rsidRPr="00A519ED">
        <w:rPr>
          <w:rFonts w:ascii="Calibri" w:eastAsia="宋体" w:hAnsi="Calibri" w:cs="Times New Roman" w:hint="eastAsia"/>
          <w:sz w:val="24"/>
        </w:rPr>
        <w:t>完成线上单元测验</w:t>
      </w:r>
    </w:p>
    <w:p w14:paraId="4F1C3F0F" w14:textId="77777777" w:rsidR="00A519ED" w:rsidRPr="00A519ED" w:rsidRDefault="00A519ED" w:rsidP="00A519ED">
      <w:pPr>
        <w:numPr>
          <w:ilvl w:val="0"/>
          <w:numId w:val="18"/>
        </w:numPr>
        <w:spacing w:line="440" w:lineRule="exact"/>
        <w:ind w:left="435"/>
        <w:rPr>
          <w:rFonts w:ascii="Calibri" w:eastAsia="宋体" w:hAnsi="Calibri" w:cs="Times New Roman"/>
          <w:sz w:val="24"/>
        </w:rPr>
      </w:pPr>
      <w:r w:rsidRPr="00A519ED">
        <w:rPr>
          <w:rFonts w:ascii="Calibri" w:eastAsia="宋体" w:hAnsi="Calibri" w:cs="Times New Roman" w:hint="eastAsia"/>
          <w:sz w:val="24"/>
        </w:rPr>
        <w:t>线上主题讨论：</w:t>
      </w:r>
      <w:r w:rsidRPr="00A519ED">
        <w:rPr>
          <w:rFonts w:ascii="Calibri" w:eastAsia="宋体" w:hAnsi="Calibri" w:cs="Times New Roman" w:hint="eastAsia"/>
          <w:sz w:val="24"/>
        </w:rPr>
        <w:t>What makes us robot-proof?</w:t>
      </w:r>
    </w:p>
    <w:p w14:paraId="09AC01B0" w14:textId="77777777" w:rsidR="00A519ED" w:rsidRPr="00A519ED" w:rsidRDefault="00A519ED" w:rsidP="00A519ED">
      <w:pPr>
        <w:spacing w:beforeLines="50" w:before="156" w:afterLines="50" w:after="156" w:line="440" w:lineRule="exact"/>
        <w:ind w:firstLineChars="200" w:firstLine="562"/>
        <w:jc w:val="center"/>
        <w:rPr>
          <w:rFonts w:ascii="Calibri" w:eastAsia="宋体" w:hAnsi="Calibri" w:cs="Times New Roman"/>
          <w:b/>
          <w:bCs/>
          <w:sz w:val="28"/>
          <w:szCs w:val="28"/>
        </w:rPr>
      </w:pPr>
      <w:r w:rsidRPr="00A519ED">
        <w:rPr>
          <w:rFonts w:ascii="Calibri" w:eastAsia="宋体" w:hAnsi="Calibri" w:cs="Times New Roman"/>
          <w:b/>
          <w:bCs/>
          <w:sz w:val="28"/>
          <w:szCs w:val="28"/>
        </w:rPr>
        <w:t>Unit 5 Cultural Confidence and Patriotism</w:t>
      </w:r>
    </w:p>
    <w:p w14:paraId="26C96B3F" w14:textId="77777777" w:rsidR="00A519ED" w:rsidRPr="00A519ED" w:rsidRDefault="00A519ED" w:rsidP="00A519ED">
      <w:pPr>
        <w:spacing w:line="440" w:lineRule="exact"/>
        <w:ind w:firstLineChars="200" w:firstLine="480"/>
        <w:rPr>
          <w:rFonts w:ascii="宋体" w:eastAsia="宋体" w:hAnsi="宋体" w:cs="宋体"/>
          <w:sz w:val="24"/>
        </w:rPr>
      </w:pPr>
      <w:r w:rsidRPr="00A519ED">
        <w:rPr>
          <w:rFonts w:ascii="宋体" w:eastAsia="宋体" w:hAnsi="宋体" w:cs="宋体" w:hint="eastAsia"/>
          <w:sz w:val="24"/>
        </w:rPr>
        <w:t>【学习目标】</w:t>
      </w:r>
    </w:p>
    <w:p w14:paraId="18240D1B" w14:textId="77777777" w:rsidR="00A519ED" w:rsidRPr="00A519ED" w:rsidRDefault="00A519ED" w:rsidP="00A519ED">
      <w:pPr>
        <w:spacing w:line="440" w:lineRule="exact"/>
        <w:ind w:firstLineChars="200" w:firstLine="480"/>
        <w:rPr>
          <w:rFonts w:ascii="宋体" w:eastAsia="宋体" w:hAnsi="宋体" w:cs="宋体"/>
          <w:sz w:val="24"/>
        </w:rPr>
      </w:pPr>
      <w:r w:rsidRPr="00A519ED">
        <w:rPr>
          <w:rFonts w:ascii="宋体" w:eastAsia="宋体" w:hAnsi="宋体" w:cs="宋体" w:hint="eastAsia"/>
          <w:sz w:val="24"/>
        </w:rPr>
        <w:t>1. 认知类目标：掌握本单元中出现的重点词汇、短语和句型；</w:t>
      </w:r>
    </w:p>
    <w:p w14:paraId="3A1787A5" w14:textId="77777777" w:rsidR="00A519ED" w:rsidRPr="00A519ED" w:rsidRDefault="00A519ED" w:rsidP="00A519ED">
      <w:pPr>
        <w:spacing w:line="440" w:lineRule="exact"/>
        <w:ind w:firstLineChars="200" w:firstLine="480"/>
        <w:rPr>
          <w:rFonts w:ascii="宋体" w:eastAsia="宋体" w:hAnsi="宋体" w:cs="宋体"/>
          <w:sz w:val="24"/>
        </w:rPr>
      </w:pPr>
      <w:r w:rsidRPr="00A519ED">
        <w:rPr>
          <w:rFonts w:ascii="宋体" w:eastAsia="宋体" w:hAnsi="宋体" w:cs="宋体" w:hint="eastAsia"/>
          <w:sz w:val="24"/>
        </w:rPr>
        <w:t>2. 过程与方法类目标：学生在本专业与外语等多学科交叉领域中，具备良好的</w:t>
      </w:r>
      <w:r w:rsidRPr="00A519ED">
        <w:rPr>
          <w:rFonts w:ascii="宋体" w:eastAsia="宋体" w:hAnsi="宋体" w:cs="宋体" w:hint="eastAsia"/>
          <w:sz w:val="24"/>
        </w:rPr>
        <w:lastRenderedPageBreak/>
        <w:t>实践能力；通过多种方法手段来提升自己的听力和口语表达能力；了解和学习四个自信：道路自信、理论自信、制度自信和文化自信；了解什么是新型的、现代的中国人。</w:t>
      </w:r>
    </w:p>
    <w:p w14:paraId="33BB9FAE" w14:textId="77777777" w:rsidR="00A519ED" w:rsidRPr="00A519ED" w:rsidRDefault="00A519ED" w:rsidP="00A519ED">
      <w:pPr>
        <w:spacing w:line="440" w:lineRule="exact"/>
        <w:ind w:firstLineChars="200" w:firstLine="480"/>
        <w:rPr>
          <w:rFonts w:ascii="宋体" w:eastAsia="宋体" w:hAnsi="宋体" w:cs="宋体"/>
          <w:sz w:val="24"/>
        </w:rPr>
      </w:pPr>
      <w:r w:rsidRPr="00A519ED">
        <w:rPr>
          <w:rFonts w:ascii="宋体" w:eastAsia="宋体" w:hAnsi="宋体" w:cs="宋体" w:hint="eastAsia"/>
          <w:sz w:val="24"/>
        </w:rPr>
        <w:t>3. 情感、态度、价值观类目标：引导学生尊重世界文明多样性，认识到继承和发展我国文化传统的重要性，引导学生坚定文化自信，树立正确的理想、信念、人生观和价值观，弘扬社会主义核心价值观，培养学生的爱国情怀。坚定文化自信要结合中国特色社会主义新时代的新特点，对中华优秀传统文化进行创造性转化、不断钻研创新，在新技术实施创新的策略和项目中发挥重要作用。</w:t>
      </w:r>
    </w:p>
    <w:p w14:paraId="3FE9AEC7" w14:textId="77777777" w:rsidR="00A519ED" w:rsidRPr="00A519ED" w:rsidRDefault="00A519ED" w:rsidP="00A519ED">
      <w:pPr>
        <w:spacing w:line="440" w:lineRule="exact"/>
        <w:ind w:firstLineChars="200" w:firstLine="482"/>
        <w:rPr>
          <w:rFonts w:ascii="宋体" w:eastAsia="宋体" w:hAnsi="宋体" w:cs="宋体"/>
          <w:b/>
          <w:sz w:val="24"/>
        </w:rPr>
      </w:pPr>
      <w:r w:rsidRPr="00A519ED">
        <w:rPr>
          <w:rFonts w:ascii="宋体" w:eastAsia="宋体" w:hAnsi="宋体" w:cs="宋体" w:hint="eastAsia"/>
          <w:b/>
          <w:sz w:val="24"/>
        </w:rPr>
        <w:t>【学习内容】</w:t>
      </w:r>
    </w:p>
    <w:p w14:paraId="02E2D699" w14:textId="77777777" w:rsidR="00A519ED" w:rsidRPr="00A519ED" w:rsidRDefault="00A519ED" w:rsidP="00A519ED">
      <w:pPr>
        <w:numPr>
          <w:ilvl w:val="0"/>
          <w:numId w:val="19"/>
        </w:numPr>
        <w:spacing w:line="440" w:lineRule="exact"/>
        <w:ind w:firstLineChars="177" w:firstLine="425"/>
        <w:rPr>
          <w:rFonts w:ascii="宋体" w:eastAsia="宋体" w:hAnsi="宋体" w:cs="宋体"/>
          <w:sz w:val="24"/>
        </w:rPr>
      </w:pPr>
      <w:proofErr w:type="gramStart"/>
      <w:r w:rsidRPr="00A519ED">
        <w:rPr>
          <w:rFonts w:ascii="宋体" w:eastAsia="宋体" w:hAnsi="宋体" w:cs="宋体" w:hint="eastAsia"/>
          <w:sz w:val="24"/>
        </w:rPr>
        <w:t>思政元素</w:t>
      </w:r>
      <w:proofErr w:type="gramEnd"/>
      <w:r w:rsidRPr="00A519ED">
        <w:rPr>
          <w:rFonts w:ascii="宋体" w:eastAsia="宋体" w:hAnsi="宋体" w:cs="宋体" w:hint="eastAsia"/>
          <w:sz w:val="24"/>
        </w:rPr>
        <w:t>：引导学生尊重世界文明多样性，认识到继承和发展我国文化传统的重要性，同时坚定文化自信，培养学生的爱国情怀，了解爱国主义的特点是：艰苦奋斗、辛勤劳动，不断丰富和发展中华民族的物质文化财富。</w:t>
      </w:r>
    </w:p>
    <w:p w14:paraId="534F57F0" w14:textId="77777777" w:rsidR="00A519ED" w:rsidRPr="00A519ED" w:rsidRDefault="00A519ED" w:rsidP="00A519ED">
      <w:pPr>
        <w:spacing w:line="440" w:lineRule="exact"/>
        <w:ind w:firstLineChars="200" w:firstLine="480"/>
        <w:rPr>
          <w:rFonts w:ascii="宋体" w:eastAsia="宋体" w:hAnsi="宋体" w:cs="宋体"/>
          <w:sz w:val="24"/>
        </w:rPr>
      </w:pPr>
      <w:r w:rsidRPr="00A519ED">
        <w:rPr>
          <w:rFonts w:ascii="宋体" w:eastAsia="宋体" w:hAnsi="宋体" w:cs="宋体" w:hint="eastAsia"/>
          <w:sz w:val="24"/>
        </w:rPr>
        <w:t>2. 讲解并讨论与本单元主题“</w:t>
      </w:r>
      <w:r w:rsidRPr="00A519ED">
        <w:rPr>
          <w:rFonts w:ascii="Calibri" w:eastAsia="宋体" w:hAnsi="Calibri" w:cs="Times New Roman"/>
          <w:bCs/>
          <w:sz w:val="24"/>
        </w:rPr>
        <w:t>Cultural Confidence and Patriotism</w:t>
      </w:r>
      <w:r w:rsidRPr="00A519ED">
        <w:rPr>
          <w:rFonts w:ascii="宋体" w:eastAsia="宋体" w:hAnsi="宋体" w:cs="宋体" w:hint="eastAsia"/>
          <w:sz w:val="24"/>
        </w:rPr>
        <w:t>”相关的背景知识，了解与时俱进的民族精神。</w:t>
      </w:r>
    </w:p>
    <w:p w14:paraId="25ED8069" w14:textId="77777777" w:rsidR="00A519ED" w:rsidRPr="00A519ED" w:rsidRDefault="00A519ED" w:rsidP="00A519ED">
      <w:pPr>
        <w:spacing w:line="440" w:lineRule="exact"/>
        <w:ind w:firstLineChars="177" w:firstLine="425"/>
        <w:rPr>
          <w:rFonts w:ascii="宋体" w:eastAsia="宋体" w:hAnsi="宋体" w:cs="宋体"/>
          <w:sz w:val="24"/>
        </w:rPr>
      </w:pPr>
      <w:r w:rsidRPr="00A519ED">
        <w:rPr>
          <w:rFonts w:ascii="宋体" w:eastAsia="宋体" w:hAnsi="宋体" w:cs="宋体" w:hint="eastAsia"/>
          <w:sz w:val="24"/>
        </w:rPr>
        <w:t>3.详细讲解</w:t>
      </w:r>
      <w:proofErr w:type="spellStart"/>
      <w:r w:rsidRPr="00A519ED">
        <w:rPr>
          <w:rFonts w:ascii="宋体" w:eastAsia="宋体" w:hAnsi="宋体" w:cs="宋体" w:hint="eastAsia"/>
          <w:sz w:val="24"/>
        </w:rPr>
        <w:t>TextA</w:t>
      </w:r>
      <w:proofErr w:type="spellEnd"/>
      <w:r w:rsidRPr="00A519ED">
        <w:rPr>
          <w:rFonts w:ascii="宋体" w:eastAsia="宋体" w:hAnsi="宋体" w:cs="宋体" w:hint="eastAsia"/>
          <w:sz w:val="24"/>
        </w:rPr>
        <w:t>中的重点单词、短语和句型的用法，并对课文内容及结构进行分析。</w:t>
      </w:r>
    </w:p>
    <w:p w14:paraId="23640E0B" w14:textId="77777777" w:rsidR="00A519ED" w:rsidRPr="00A519ED" w:rsidRDefault="00A519ED" w:rsidP="00A519ED">
      <w:pPr>
        <w:spacing w:line="440" w:lineRule="exact"/>
        <w:ind w:firstLineChars="157" w:firstLine="377"/>
        <w:rPr>
          <w:rFonts w:ascii="宋体" w:eastAsia="宋体" w:hAnsi="宋体" w:cs="宋体"/>
          <w:sz w:val="24"/>
        </w:rPr>
      </w:pPr>
      <w:r w:rsidRPr="00A519ED">
        <w:rPr>
          <w:rFonts w:ascii="宋体" w:eastAsia="宋体" w:hAnsi="宋体" w:cs="宋体" w:hint="eastAsia"/>
          <w:bCs/>
          <w:sz w:val="24"/>
        </w:rPr>
        <w:t>4.</w:t>
      </w:r>
      <w:r w:rsidRPr="00A519ED">
        <w:rPr>
          <w:rFonts w:ascii="宋体" w:eastAsia="宋体" w:hAnsi="宋体" w:cs="宋体" w:hint="eastAsia"/>
          <w:sz w:val="24"/>
        </w:rPr>
        <w:t xml:space="preserve"> 线上完成本单元</w:t>
      </w:r>
      <w:proofErr w:type="spellStart"/>
      <w:r w:rsidRPr="00A519ED">
        <w:rPr>
          <w:rFonts w:ascii="宋体" w:eastAsia="宋体" w:hAnsi="宋体" w:cs="宋体" w:hint="eastAsia"/>
          <w:sz w:val="24"/>
        </w:rPr>
        <w:t>TextA</w:t>
      </w:r>
      <w:proofErr w:type="spellEnd"/>
      <w:r w:rsidRPr="00A519ED">
        <w:rPr>
          <w:rFonts w:ascii="宋体" w:eastAsia="宋体" w:hAnsi="宋体" w:cs="宋体" w:hint="eastAsia"/>
          <w:sz w:val="24"/>
        </w:rPr>
        <w:t xml:space="preserve"> 课后练习题；</w:t>
      </w:r>
    </w:p>
    <w:p w14:paraId="507B83ED" w14:textId="77777777" w:rsidR="00A519ED" w:rsidRPr="00A519ED" w:rsidRDefault="00A519ED" w:rsidP="00A519ED">
      <w:pPr>
        <w:spacing w:line="440" w:lineRule="exact"/>
        <w:ind w:firstLineChars="157" w:firstLine="377"/>
        <w:rPr>
          <w:rFonts w:ascii="宋体" w:eastAsia="宋体" w:hAnsi="宋体" w:cs="宋体"/>
          <w:sz w:val="24"/>
        </w:rPr>
      </w:pPr>
      <w:r w:rsidRPr="00A519ED">
        <w:rPr>
          <w:rFonts w:ascii="宋体" w:eastAsia="宋体" w:hAnsi="宋体" w:cs="宋体" w:hint="eastAsia"/>
          <w:sz w:val="24"/>
        </w:rPr>
        <w:t>5. 线上完成视听说教程第五单元Part A 和</w:t>
      </w:r>
      <w:proofErr w:type="spellStart"/>
      <w:r w:rsidRPr="00A519ED">
        <w:rPr>
          <w:rFonts w:ascii="宋体" w:eastAsia="宋体" w:hAnsi="宋体" w:cs="宋体" w:hint="eastAsia"/>
          <w:sz w:val="24"/>
        </w:rPr>
        <w:t>PartD</w:t>
      </w:r>
      <w:proofErr w:type="spellEnd"/>
      <w:r w:rsidRPr="00A519ED">
        <w:rPr>
          <w:rFonts w:ascii="宋体" w:eastAsia="宋体" w:hAnsi="宋体" w:cs="宋体" w:hint="eastAsia"/>
          <w:sz w:val="24"/>
        </w:rPr>
        <w:t>部分的听力练习题。</w:t>
      </w:r>
    </w:p>
    <w:p w14:paraId="2D810353" w14:textId="77777777" w:rsidR="00A519ED" w:rsidRPr="00A519ED" w:rsidRDefault="00A519ED" w:rsidP="00A519ED">
      <w:pPr>
        <w:spacing w:line="440" w:lineRule="exact"/>
        <w:ind w:firstLineChars="200" w:firstLine="482"/>
        <w:rPr>
          <w:rFonts w:ascii="宋体" w:eastAsia="宋体" w:hAnsi="宋体" w:cs="宋体"/>
          <w:b/>
          <w:sz w:val="24"/>
        </w:rPr>
      </w:pPr>
      <w:r w:rsidRPr="00A519ED">
        <w:rPr>
          <w:rFonts w:ascii="宋体" w:eastAsia="宋体" w:hAnsi="宋体" w:cs="宋体" w:hint="eastAsia"/>
          <w:b/>
          <w:sz w:val="24"/>
        </w:rPr>
        <w:t>【重点】</w:t>
      </w:r>
    </w:p>
    <w:p w14:paraId="49695407" w14:textId="77777777" w:rsidR="00A519ED" w:rsidRPr="00A519ED" w:rsidRDefault="00A519ED" w:rsidP="00A519ED">
      <w:pPr>
        <w:spacing w:line="440" w:lineRule="exact"/>
        <w:ind w:firstLineChars="157" w:firstLine="377"/>
        <w:rPr>
          <w:rFonts w:ascii="宋体" w:eastAsia="宋体" w:hAnsi="宋体" w:cs="宋体"/>
          <w:sz w:val="24"/>
        </w:rPr>
      </w:pPr>
      <w:r w:rsidRPr="00A519ED">
        <w:rPr>
          <w:rFonts w:ascii="宋体" w:eastAsia="宋体" w:hAnsi="宋体" w:cs="宋体" w:hint="eastAsia"/>
          <w:sz w:val="24"/>
        </w:rPr>
        <w:t>1.课文重点单词、短语和句型</w:t>
      </w:r>
    </w:p>
    <w:p w14:paraId="68C97851" w14:textId="77777777" w:rsidR="00A519ED" w:rsidRPr="00A519ED" w:rsidRDefault="00A519ED" w:rsidP="00A519ED">
      <w:pPr>
        <w:spacing w:line="440" w:lineRule="exact"/>
        <w:ind w:firstLineChars="157" w:firstLine="377"/>
        <w:rPr>
          <w:rFonts w:ascii="宋体" w:eastAsia="宋体" w:hAnsi="宋体" w:cs="宋体"/>
          <w:sz w:val="24"/>
        </w:rPr>
      </w:pPr>
      <w:r w:rsidRPr="00A519ED">
        <w:rPr>
          <w:rFonts w:ascii="宋体" w:eastAsia="宋体" w:hAnsi="宋体" w:cs="宋体" w:hint="eastAsia"/>
          <w:sz w:val="24"/>
        </w:rPr>
        <w:t>2. 文章整体的段落结构</w:t>
      </w:r>
    </w:p>
    <w:p w14:paraId="1419AB39" w14:textId="77777777" w:rsidR="00A519ED" w:rsidRPr="00A519ED" w:rsidRDefault="00A519ED" w:rsidP="00A519ED">
      <w:pPr>
        <w:spacing w:line="440" w:lineRule="exact"/>
        <w:ind w:firstLineChars="157" w:firstLine="377"/>
        <w:rPr>
          <w:rFonts w:ascii="宋体" w:eastAsia="宋体" w:hAnsi="宋体" w:cs="宋体"/>
          <w:sz w:val="24"/>
        </w:rPr>
      </w:pPr>
      <w:r w:rsidRPr="00A519ED">
        <w:rPr>
          <w:rFonts w:ascii="宋体" w:eastAsia="宋体" w:hAnsi="宋体" w:cs="宋体" w:hint="eastAsia"/>
          <w:sz w:val="24"/>
        </w:rPr>
        <w:t>3. 听力中猜测技巧的把握</w:t>
      </w:r>
    </w:p>
    <w:p w14:paraId="37CA5D7C" w14:textId="77777777" w:rsidR="00A519ED" w:rsidRPr="00A519ED" w:rsidRDefault="00A519ED" w:rsidP="00A519ED">
      <w:pPr>
        <w:spacing w:line="440" w:lineRule="exact"/>
        <w:ind w:firstLineChars="157" w:firstLine="377"/>
        <w:rPr>
          <w:rFonts w:ascii="宋体" w:eastAsia="宋体" w:hAnsi="宋体" w:cs="宋体"/>
          <w:sz w:val="24"/>
        </w:rPr>
      </w:pPr>
      <w:r w:rsidRPr="00A519ED">
        <w:rPr>
          <w:rFonts w:ascii="宋体" w:eastAsia="宋体" w:hAnsi="宋体" w:cs="宋体" w:hint="eastAsia"/>
          <w:sz w:val="24"/>
        </w:rPr>
        <w:t xml:space="preserve">4. </w:t>
      </w:r>
      <w:proofErr w:type="gramStart"/>
      <w:r w:rsidRPr="00A519ED">
        <w:rPr>
          <w:rFonts w:ascii="宋体" w:eastAsia="宋体" w:hAnsi="宋体" w:cs="宋体" w:hint="eastAsia"/>
          <w:sz w:val="24"/>
        </w:rPr>
        <w:t>思政教育</w:t>
      </w:r>
      <w:proofErr w:type="gramEnd"/>
      <w:r w:rsidRPr="00A519ED">
        <w:rPr>
          <w:rFonts w:ascii="宋体" w:eastAsia="宋体" w:hAnsi="宋体" w:cs="宋体" w:hint="eastAsia"/>
          <w:sz w:val="24"/>
        </w:rPr>
        <w:t>：结合历史，理性看待新旧时期中国人的思想与性格特点，实现中国文化全面复兴与繁荣，并强调文化自信的重要性和意义。</w:t>
      </w:r>
    </w:p>
    <w:p w14:paraId="6971253A" w14:textId="77777777" w:rsidR="00A519ED" w:rsidRPr="00A519ED" w:rsidRDefault="00A519ED" w:rsidP="00A519ED">
      <w:pPr>
        <w:spacing w:line="440" w:lineRule="exact"/>
        <w:ind w:firstLineChars="200" w:firstLine="482"/>
        <w:rPr>
          <w:rFonts w:ascii="宋体" w:eastAsia="宋体" w:hAnsi="宋体" w:cs="宋体"/>
          <w:b/>
          <w:sz w:val="24"/>
        </w:rPr>
      </w:pPr>
      <w:r w:rsidRPr="00A519ED">
        <w:rPr>
          <w:rFonts w:ascii="宋体" w:eastAsia="宋体" w:hAnsi="宋体" w:cs="宋体" w:hint="eastAsia"/>
          <w:b/>
          <w:sz w:val="24"/>
        </w:rPr>
        <w:t>【难点】</w:t>
      </w:r>
    </w:p>
    <w:p w14:paraId="34AE1157" w14:textId="77777777" w:rsidR="00A519ED" w:rsidRPr="00A519ED" w:rsidRDefault="00A519ED" w:rsidP="00A519ED">
      <w:pPr>
        <w:spacing w:line="440" w:lineRule="exact"/>
        <w:ind w:firstLineChars="157" w:firstLine="377"/>
        <w:rPr>
          <w:rFonts w:ascii="宋体" w:eastAsia="宋体" w:hAnsi="宋体" w:cs="宋体"/>
          <w:sz w:val="24"/>
        </w:rPr>
      </w:pPr>
      <w:r w:rsidRPr="00A519ED">
        <w:rPr>
          <w:rFonts w:ascii="宋体" w:eastAsia="宋体" w:hAnsi="宋体" w:cs="宋体" w:hint="eastAsia"/>
          <w:sz w:val="24"/>
        </w:rPr>
        <w:t>1.课文重点单词、短语和句型</w:t>
      </w:r>
    </w:p>
    <w:p w14:paraId="14DC0655" w14:textId="77777777" w:rsidR="00A519ED" w:rsidRPr="00A519ED" w:rsidRDefault="00A519ED" w:rsidP="00A519ED">
      <w:pPr>
        <w:spacing w:line="440" w:lineRule="exact"/>
        <w:ind w:firstLineChars="157" w:firstLine="377"/>
        <w:rPr>
          <w:rFonts w:ascii="宋体" w:eastAsia="宋体" w:hAnsi="宋体" w:cs="宋体"/>
          <w:sz w:val="24"/>
        </w:rPr>
      </w:pPr>
      <w:r w:rsidRPr="00A519ED">
        <w:rPr>
          <w:rFonts w:ascii="宋体" w:eastAsia="宋体" w:hAnsi="宋体" w:cs="宋体" w:hint="eastAsia"/>
          <w:sz w:val="24"/>
        </w:rPr>
        <w:t>2. 听力中猜测技巧的把握</w:t>
      </w:r>
    </w:p>
    <w:p w14:paraId="57EBA88B" w14:textId="77777777" w:rsidR="00A519ED" w:rsidRPr="00A519ED" w:rsidRDefault="00A519ED" w:rsidP="00A519ED">
      <w:pPr>
        <w:spacing w:line="440" w:lineRule="exact"/>
        <w:ind w:firstLineChars="157" w:firstLine="377"/>
        <w:rPr>
          <w:rFonts w:ascii="宋体" w:eastAsia="宋体" w:hAnsi="宋体" w:cs="宋体"/>
          <w:sz w:val="24"/>
        </w:rPr>
      </w:pPr>
      <w:r w:rsidRPr="00A519ED">
        <w:rPr>
          <w:rFonts w:ascii="宋体" w:eastAsia="宋体" w:hAnsi="宋体" w:cs="宋体" w:hint="eastAsia"/>
          <w:sz w:val="24"/>
        </w:rPr>
        <w:t xml:space="preserve">3. </w:t>
      </w:r>
      <w:proofErr w:type="gramStart"/>
      <w:r w:rsidRPr="00A519ED">
        <w:rPr>
          <w:rFonts w:ascii="宋体" w:eastAsia="宋体" w:hAnsi="宋体" w:cs="宋体" w:hint="eastAsia"/>
          <w:sz w:val="24"/>
        </w:rPr>
        <w:t>思政教育</w:t>
      </w:r>
      <w:proofErr w:type="gramEnd"/>
      <w:r w:rsidRPr="00A519ED">
        <w:rPr>
          <w:rFonts w:ascii="宋体" w:eastAsia="宋体" w:hAnsi="宋体" w:cs="宋体" w:hint="eastAsia"/>
          <w:sz w:val="24"/>
        </w:rPr>
        <w:t>：帮助学生正确看待文化多样性及保持文化传统的重要性，从而更深刻地认识中国优秀传统文化，增强文化自信，鼓励学生积极参与跨文化交际并传播中国优秀传统文化，帮助世界更好地了解中国的大国风范。</w:t>
      </w:r>
    </w:p>
    <w:p w14:paraId="06ADC925" w14:textId="77777777" w:rsidR="00A519ED" w:rsidRPr="00A519ED" w:rsidRDefault="00A519ED" w:rsidP="00A519ED">
      <w:pPr>
        <w:spacing w:line="440" w:lineRule="exact"/>
        <w:ind w:firstLineChars="200" w:firstLine="482"/>
        <w:rPr>
          <w:rFonts w:ascii="宋体" w:eastAsia="宋体" w:hAnsi="宋体" w:cs="宋体"/>
          <w:b/>
          <w:bCs/>
          <w:sz w:val="24"/>
        </w:rPr>
      </w:pPr>
      <w:r w:rsidRPr="00A519ED">
        <w:rPr>
          <w:rFonts w:ascii="宋体" w:eastAsia="宋体" w:hAnsi="宋体" w:cs="宋体" w:hint="eastAsia"/>
          <w:b/>
          <w:bCs/>
          <w:sz w:val="24"/>
        </w:rPr>
        <w:t>【教学方法】</w:t>
      </w:r>
    </w:p>
    <w:p w14:paraId="540A5274" w14:textId="77777777" w:rsidR="00A519ED" w:rsidRPr="00A519ED" w:rsidRDefault="00A519ED" w:rsidP="00A519ED">
      <w:pPr>
        <w:numPr>
          <w:ilvl w:val="0"/>
          <w:numId w:val="20"/>
        </w:numPr>
        <w:spacing w:line="440" w:lineRule="exact"/>
        <w:ind w:firstLineChars="200" w:firstLine="480"/>
        <w:rPr>
          <w:rFonts w:ascii="宋体" w:eastAsia="宋体" w:hAnsi="宋体" w:cs="宋体"/>
          <w:bCs/>
          <w:sz w:val="24"/>
        </w:rPr>
      </w:pPr>
      <w:r w:rsidRPr="00A519ED">
        <w:rPr>
          <w:rFonts w:ascii="宋体" w:eastAsia="宋体" w:hAnsi="宋体" w:cs="宋体" w:hint="eastAsia"/>
          <w:bCs/>
          <w:sz w:val="24"/>
        </w:rPr>
        <w:t>情境教学法：教师运用恰当的手段，有目的地引入或创设具有一定情感色彩</w:t>
      </w:r>
      <w:r w:rsidRPr="00A519ED">
        <w:rPr>
          <w:rFonts w:ascii="宋体" w:eastAsia="宋体" w:hAnsi="宋体" w:cs="宋体" w:hint="eastAsia"/>
          <w:bCs/>
          <w:sz w:val="24"/>
        </w:rPr>
        <w:lastRenderedPageBreak/>
        <w:t>的、形象、生动、具体的场景，以引起学生的情感体验，帮助学生理解文本，促其情感与认知获得同步发展。</w:t>
      </w:r>
    </w:p>
    <w:p w14:paraId="2B0A06F5" w14:textId="77777777" w:rsidR="00A519ED" w:rsidRPr="00A519ED" w:rsidRDefault="00A519ED" w:rsidP="00A519ED">
      <w:pPr>
        <w:spacing w:line="440" w:lineRule="exact"/>
        <w:ind w:firstLineChars="200" w:firstLine="480"/>
        <w:rPr>
          <w:rFonts w:ascii="宋体" w:eastAsia="宋体" w:hAnsi="宋体" w:cs="宋体"/>
          <w:bCs/>
          <w:sz w:val="24"/>
        </w:rPr>
      </w:pPr>
      <w:r w:rsidRPr="00A519ED">
        <w:rPr>
          <w:rFonts w:ascii="宋体" w:eastAsia="宋体" w:hAnsi="宋体" w:cs="宋体" w:hint="eastAsia"/>
          <w:bCs/>
          <w:sz w:val="24"/>
        </w:rPr>
        <w:t>2. 通过多媒体课件和传统讲授法相结合，线上及线下</w:t>
      </w:r>
      <w:proofErr w:type="gramStart"/>
      <w:r w:rsidRPr="00A519ED">
        <w:rPr>
          <w:rFonts w:ascii="宋体" w:eastAsia="宋体" w:hAnsi="宋体" w:cs="宋体" w:hint="eastAsia"/>
          <w:bCs/>
          <w:sz w:val="24"/>
        </w:rPr>
        <w:t>课程讲相结合</w:t>
      </w:r>
      <w:proofErr w:type="gramEnd"/>
      <w:r w:rsidRPr="00A519ED">
        <w:rPr>
          <w:rFonts w:ascii="宋体" w:eastAsia="宋体" w:hAnsi="宋体" w:cs="宋体" w:hint="eastAsia"/>
          <w:bCs/>
          <w:sz w:val="24"/>
        </w:rPr>
        <w:t>，学习“四个自信”及增强学生对传统文化、传统思想价值体系的认同与尊崇，丰富学生课程知识层面的学习；</w:t>
      </w:r>
    </w:p>
    <w:p w14:paraId="3AB99E2D" w14:textId="77777777" w:rsidR="00A519ED" w:rsidRPr="00A519ED" w:rsidRDefault="00A519ED" w:rsidP="00A519ED">
      <w:pPr>
        <w:spacing w:line="440" w:lineRule="exact"/>
        <w:ind w:firstLineChars="200" w:firstLine="480"/>
        <w:rPr>
          <w:rFonts w:ascii="宋体" w:eastAsia="宋体" w:hAnsi="宋体" w:cs="宋体"/>
          <w:bCs/>
          <w:sz w:val="24"/>
        </w:rPr>
      </w:pPr>
      <w:r w:rsidRPr="00A519ED">
        <w:rPr>
          <w:rFonts w:ascii="宋体" w:eastAsia="宋体" w:hAnsi="宋体" w:cs="宋体" w:hint="eastAsia"/>
          <w:bCs/>
          <w:sz w:val="24"/>
        </w:rPr>
        <w:t>3. 通过小组讨论和主题演讲方式，探讨旧式典型的中国人身上的优缺点与新中国人的区别联系，培养学生的思辨能力和沟通能力；</w:t>
      </w:r>
    </w:p>
    <w:p w14:paraId="7DF5EE86" w14:textId="77777777" w:rsidR="00A519ED" w:rsidRPr="00A519ED" w:rsidRDefault="00A519ED" w:rsidP="00A519ED">
      <w:pPr>
        <w:spacing w:line="440" w:lineRule="exact"/>
        <w:ind w:firstLineChars="200" w:firstLine="480"/>
        <w:rPr>
          <w:rFonts w:ascii="宋体" w:eastAsia="宋体" w:hAnsi="宋体" w:cs="宋体"/>
          <w:bCs/>
          <w:sz w:val="24"/>
        </w:rPr>
      </w:pPr>
      <w:r w:rsidRPr="00A519ED">
        <w:rPr>
          <w:rFonts w:ascii="宋体" w:eastAsia="宋体" w:hAnsi="宋体" w:cs="宋体" w:hint="eastAsia"/>
          <w:bCs/>
          <w:sz w:val="24"/>
        </w:rPr>
        <w:t>4. 通过小组活动：用英语讲述英雄事迹，唱一首心中的红色歌曲等形式，引导学生传承红色基因，弘扬民族精神，激发学生的爱国热情和社会责任感。</w:t>
      </w:r>
    </w:p>
    <w:p w14:paraId="5ECC8423" w14:textId="77777777" w:rsidR="00A519ED" w:rsidRPr="00A519ED" w:rsidRDefault="00A519ED" w:rsidP="00A519ED">
      <w:pPr>
        <w:spacing w:line="440" w:lineRule="exact"/>
        <w:ind w:firstLineChars="200" w:firstLine="480"/>
        <w:rPr>
          <w:rFonts w:ascii="宋体" w:eastAsia="宋体" w:hAnsi="宋体" w:cs="宋体"/>
          <w:bCs/>
          <w:sz w:val="24"/>
        </w:rPr>
      </w:pPr>
      <w:r w:rsidRPr="00A519ED">
        <w:rPr>
          <w:rFonts w:ascii="宋体" w:eastAsia="宋体" w:hAnsi="宋体" w:cs="宋体" w:hint="eastAsia"/>
          <w:bCs/>
          <w:sz w:val="24"/>
        </w:rPr>
        <w:t>5. 通过自主学习法，发展学生独立思考、分析问题、解决问题的能力。</w:t>
      </w:r>
    </w:p>
    <w:p w14:paraId="66F61D7C" w14:textId="77777777" w:rsidR="00A519ED" w:rsidRPr="00A519ED" w:rsidRDefault="00A519ED" w:rsidP="00A519ED">
      <w:pPr>
        <w:spacing w:line="440" w:lineRule="exact"/>
        <w:ind w:firstLineChars="200" w:firstLine="482"/>
        <w:rPr>
          <w:rFonts w:ascii="宋体" w:eastAsia="宋体" w:hAnsi="宋体" w:cs="宋体"/>
          <w:bCs/>
          <w:sz w:val="24"/>
        </w:rPr>
      </w:pPr>
      <w:r w:rsidRPr="00A519ED">
        <w:rPr>
          <w:rFonts w:ascii="宋体" w:eastAsia="宋体" w:hAnsi="宋体" w:cs="宋体" w:hint="eastAsia"/>
          <w:b/>
          <w:sz w:val="24"/>
        </w:rPr>
        <w:t>【复习思考】</w:t>
      </w:r>
    </w:p>
    <w:p w14:paraId="0AD61809" w14:textId="77777777" w:rsidR="00A519ED" w:rsidRPr="00A519ED" w:rsidRDefault="00A519ED" w:rsidP="00A519ED">
      <w:pPr>
        <w:numPr>
          <w:ilvl w:val="0"/>
          <w:numId w:val="21"/>
        </w:numPr>
        <w:spacing w:line="440" w:lineRule="exact"/>
        <w:ind w:firstLineChars="157" w:firstLine="377"/>
        <w:rPr>
          <w:rFonts w:ascii="宋体" w:eastAsia="宋体" w:hAnsi="宋体" w:cs="宋体"/>
          <w:sz w:val="24"/>
        </w:rPr>
      </w:pPr>
      <w:r w:rsidRPr="00A519ED">
        <w:rPr>
          <w:rFonts w:ascii="宋体" w:eastAsia="宋体" w:hAnsi="宋体" w:cs="宋体" w:hint="eastAsia"/>
          <w:sz w:val="24"/>
        </w:rPr>
        <w:t>思考传统文化长期发展的思想基础，了解“中国精神”是社会主义核心价值体系的精髓，是民族精神与时代精神的统一。</w:t>
      </w:r>
    </w:p>
    <w:p w14:paraId="5264B9A8" w14:textId="77777777" w:rsidR="00A519ED" w:rsidRPr="00A519ED" w:rsidRDefault="00A519ED" w:rsidP="00A519ED">
      <w:pPr>
        <w:numPr>
          <w:ilvl w:val="0"/>
          <w:numId w:val="21"/>
        </w:numPr>
        <w:spacing w:line="440" w:lineRule="exact"/>
        <w:ind w:firstLineChars="157" w:firstLine="377"/>
        <w:rPr>
          <w:rFonts w:ascii="宋体" w:eastAsia="宋体" w:hAnsi="宋体" w:cs="宋体"/>
          <w:sz w:val="24"/>
        </w:rPr>
      </w:pPr>
      <w:r w:rsidRPr="00A519ED">
        <w:rPr>
          <w:rFonts w:ascii="宋体" w:eastAsia="宋体" w:hAnsi="宋体" w:cs="宋体" w:hint="eastAsia"/>
          <w:sz w:val="24"/>
        </w:rPr>
        <w:t>完成线上单元测验。</w:t>
      </w:r>
    </w:p>
    <w:p w14:paraId="7D333832" w14:textId="77777777" w:rsidR="00A519ED" w:rsidRPr="00A519ED" w:rsidRDefault="00A519ED" w:rsidP="00A519ED">
      <w:pPr>
        <w:numPr>
          <w:ilvl w:val="0"/>
          <w:numId w:val="21"/>
        </w:numPr>
        <w:spacing w:line="440" w:lineRule="exact"/>
        <w:ind w:firstLineChars="157" w:firstLine="377"/>
        <w:rPr>
          <w:rFonts w:ascii="Calibri" w:eastAsia="宋体" w:hAnsi="Calibri" w:cs="Times New Roman"/>
          <w:sz w:val="24"/>
        </w:rPr>
      </w:pPr>
      <w:r w:rsidRPr="00A519ED">
        <w:rPr>
          <w:rFonts w:ascii="宋体" w:eastAsia="宋体" w:hAnsi="宋体" w:cs="宋体" w:hint="eastAsia"/>
          <w:sz w:val="24"/>
        </w:rPr>
        <w:t>线上主题讨论：</w:t>
      </w:r>
      <w:r w:rsidRPr="00A519ED">
        <w:rPr>
          <w:rFonts w:ascii="Calibri" w:eastAsia="宋体" w:hAnsi="Calibri" w:cs="Times New Roman"/>
          <w:sz w:val="24"/>
        </w:rPr>
        <w:t xml:space="preserve">How important do you think it is to maintain one’s cultural traditions?    </w:t>
      </w:r>
    </w:p>
    <w:p w14:paraId="30FFD206" w14:textId="77777777" w:rsidR="00A519ED" w:rsidRPr="00A519ED" w:rsidRDefault="00A519ED" w:rsidP="00A519ED">
      <w:pPr>
        <w:rPr>
          <w:rFonts w:ascii="Calibri" w:eastAsia="宋体" w:hAnsi="Calibri" w:cs="Times New Roman"/>
        </w:rPr>
      </w:pPr>
    </w:p>
    <w:p w14:paraId="6128ED65" w14:textId="77777777" w:rsidR="00A519ED" w:rsidRPr="00A519ED" w:rsidRDefault="00A519ED" w:rsidP="00A519ED">
      <w:pPr>
        <w:spacing w:beforeLines="50" w:before="156" w:afterLines="50" w:after="156" w:line="440" w:lineRule="exact"/>
        <w:ind w:firstLineChars="200" w:firstLine="562"/>
        <w:rPr>
          <w:rFonts w:ascii="Calibri" w:eastAsia="仿宋" w:hAnsi="Calibri" w:cs="Times New Roman"/>
          <w:sz w:val="24"/>
        </w:rPr>
      </w:pPr>
      <w:r w:rsidRPr="00A519ED">
        <w:rPr>
          <w:rFonts w:ascii="Calibri" w:eastAsia="黑体" w:hAnsi="Calibri" w:cs="Times New Roman"/>
          <w:b/>
          <w:sz w:val="28"/>
          <w:szCs w:val="28"/>
        </w:rPr>
        <w:t>（二）、</w:t>
      </w:r>
      <w:r w:rsidRPr="00A519ED">
        <w:rPr>
          <w:rFonts w:ascii="Calibri" w:eastAsia="黑体" w:hAnsi="Calibri" w:cs="Times New Roman"/>
          <w:sz w:val="28"/>
          <w:szCs w:val="28"/>
        </w:rPr>
        <w:t>课程学习内容与课程学习目标的对应关系</w:t>
      </w:r>
    </w:p>
    <w:tbl>
      <w:tblPr>
        <w:tblpPr w:leftFromText="180" w:rightFromText="180" w:vertAnchor="text" w:horzAnchor="page" w:tblpX="1372" w:tblpY="586"/>
        <w:tblOverlap w:val="never"/>
        <w:tblW w:w="9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A519ED" w:rsidRPr="00A519ED" w14:paraId="6DCD5B22" w14:textId="77777777" w:rsidTr="00BA2CFD">
        <w:trPr>
          <w:trHeight w:val="660"/>
        </w:trPr>
        <w:tc>
          <w:tcPr>
            <w:tcW w:w="3403" w:type="dxa"/>
            <w:vAlign w:val="center"/>
          </w:tcPr>
          <w:p w14:paraId="7A2824E3" w14:textId="77777777" w:rsidR="00A519ED" w:rsidRPr="00A519ED" w:rsidRDefault="00A519ED" w:rsidP="00A519ED">
            <w:pPr>
              <w:spacing w:line="440" w:lineRule="exact"/>
              <w:jc w:val="center"/>
              <w:rPr>
                <w:rFonts w:ascii="Calibri" w:eastAsia="宋体" w:hAnsi="Calibri" w:cs="Times New Roman"/>
                <w:b/>
                <w:bCs/>
                <w:sz w:val="24"/>
              </w:rPr>
            </w:pPr>
            <w:r w:rsidRPr="00A519ED">
              <w:rPr>
                <w:rFonts w:ascii="Calibri" w:eastAsia="宋体" w:hAnsi="Calibri" w:cs="Times New Roman"/>
                <w:b/>
                <w:bCs/>
                <w:sz w:val="24"/>
              </w:rPr>
              <w:t>课程学习内容</w:t>
            </w:r>
          </w:p>
        </w:tc>
        <w:tc>
          <w:tcPr>
            <w:tcW w:w="2693" w:type="dxa"/>
            <w:vAlign w:val="center"/>
          </w:tcPr>
          <w:p w14:paraId="711C1990" w14:textId="77777777" w:rsidR="00A519ED" w:rsidRPr="00A519ED" w:rsidRDefault="00A519ED" w:rsidP="00A519ED">
            <w:pPr>
              <w:spacing w:line="440" w:lineRule="exact"/>
              <w:jc w:val="center"/>
              <w:rPr>
                <w:rFonts w:ascii="Calibri" w:eastAsia="宋体" w:hAnsi="Calibri" w:cs="Times New Roman"/>
                <w:b/>
                <w:bCs/>
                <w:sz w:val="24"/>
              </w:rPr>
            </w:pPr>
            <w:r w:rsidRPr="00A519ED">
              <w:rPr>
                <w:rFonts w:ascii="Calibri" w:eastAsia="宋体" w:hAnsi="Calibri" w:cs="Times New Roman"/>
                <w:b/>
                <w:bCs/>
                <w:sz w:val="24"/>
              </w:rPr>
              <w:t>教学方法</w:t>
            </w:r>
          </w:p>
        </w:tc>
        <w:tc>
          <w:tcPr>
            <w:tcW w:w="1985" w:type="dxa"/>
            <w:vAlign w:val="center"/>
          </w:tcPr>
          <w:p w14:paraId="5E0DA850" w14:textId="77777777" w:rsidR="00A519ED" w:rsidRPr="00A519ED" w:rsidRDefault="00A519ED" w:rsidP="00A519ED">
            <w:pPr>
              <w:spacing w:line="440" w:lineRule="exact"/>
              <w:jc w:val="center"/>
              <w:rPr>
                <w:rFonts w:ascii="Calibri" w:eastAsia="宋体" w:hAnsi="Calibri" w:cs="Times New Roman"/>
                <w:b/>
                <w:bCs/>
                <w:sz w:val="24"/>
              </w:rPr>
            </w:pPr>
            <w:r w:rsidRPr="00A519ED">
              <w:rPr>
                <w:rFonts w:ascii="Calibri" w:eastAsia="宋体" w:hAnsi="Calibri" w:cs="Times New Roman"/>
                <w:b/>
                <w:bCs/>
                <w:sz w:val="24"/>
              </w:rPr>
              <w:t>支撑的课程目标</w:t>
            </w:r>
          </w:p>
        </w:tc>
        <w:tc>
          <w:tcPr>
            <w:tcW w:w="1276" w:type="dxa"/>
            <w:vAlign w:val="center"/>
          </w:tcPr>
          <w:p w14:paraId="4CFF00C5" w14:textId="77777777" w:rsidR="00A519ED" w:rsidRPr="00A519ED" w:rsidRDefault="00A519ED" w:rsidP="00A519ED">
            <w:pPr>
              <w:spacing w:line="440" w:lineRule="exact"/>
              <w:jc w:val="center"/>
              <w:rPr>
                <w:rFonts w:ascii="Calibri" w:eastAsia="宋体" w:hAnsi="Calibri" w:cs="Times New Roman"/>
                <w:b/>
                <w:bCs/>
                <w:sz w:val="24"/>
              </w:rPr>
            </w:pPr>
            <w:r w:rsidRPr="00A519ED">
              <w:rPr>
                <w:rFonts w:ascii="Calibri" w:eastAsia="宋体" w:hAnsi="Calibri" w:cs="Times New Roman"/>
                <w:b/>
                <w:bCs/>
                <w:sz w:val="24"/>
              </w:rPr>
              <w:t>学时安排</w:t>
            </w:r>
          </w:p>
        </w:tc>
      </w:tr>
      <w:tr w:rsidR="00A519ED" w:rsidRPr="00A519ED" w14:paraId="55BC382B" w14:textId="77777777" w:rsidTr="00BA2CFD">
        <w:trPr>
          <w:trHeight w:val="514"/>
        </w:trPr>
        <w:tc>
          <w:tcPr>
            <w:tcW w:w="3403" w:type="dxa"/>
            <w:vAlign w:val="center"/>
          </w:tcPr>
          <w:p w14:paraId="7A2E11D2" w14:textId="77777777" w:rsidR="00A519ED" w:rsidRPr="00A519ED" w:rsidRDefault="00A519ED" w:rsidP="00A519ED">
            <w:pPr>
              <w:spacing w:beforeLines="50" w:before="156" w:afterLines="50" w:after="156" w:line="440" w:lineRule="exact"/>
              <w:rPr>
                <w:rFonts w:ascii="Calibri" w:eastAsia="宋体" w:hAnsi="Calibri" w:cs="Times New Roman"/>
                <w:sz w:val="24"/>
              </w:rPr>
            </w:pPr>
            <w:r w:rsidRPr="00A519ED">
              <w:rPr>
                <w:rFonts w:ascii="Calibri" w:eastAsia="黑体" w:hAnsi="Calibri" w:cs="Times New Roman"/>
                <w:sz w:val="24"/>
              </w:rPr>
              <w:t>Unit1</w:t>
            </w:r>
            <w:r w:rsidRPr="00A519ED">
              <w:rPr>
                <w:rFonts w:ascii="Calibri" w:eastAsia="黑体" w:hAnsi="Calibri" w:cs="Times New Roman" w:hint="eastAsia"/>
                <w:sz w:val="24"/>
              </w:rPr>
              <w:t xml:space="preserve"> Social Responsibility and Friendship</w:t>
            </w:r>
          </w:p>
        </w:tc>
        <w:tc>
          <w:tcPr>
            <w:tcW w:w="2693" w:type="dxa"/>
            <w:vAlign w:val="center"/>
          </w:tcPr>
          <w:p w14:paraId="546EA9D6" w14:textId="77777777" w:rsidR="00A519ED" w:rsidRPr="00A519ED" w:rsidRDefault="00A519ED" w:rsidP="00A519ED">
            <w:pPr>
              <w:spacing w:line="440" w:lineRule="exact"/>
              <w:rPr>
                <w:rFonts w:ascii="Calibri" w:eastAsia="宋体" w:hAnsi="Calibri" w:cs="Times New Roman"/>
                <w:sz w:val="24"/>
              </w:rPr>
            </w:pPr>
            <w:r w:rsidRPr="00A519ED">
              <w:rPr>
                <w:rFonts w:ascii="宋体" w:eastAsia="宋体" w:hAnsi="宋体" w:cs="Times New Roman" w:hint="eastAsia"/>
                <w:sz w:val="24"/>
              </w:rPr>
              <w:t>讲授法、任务法、混合式教学法（线上+线下）</w:t>
            </w:r>
          </w:p>
        </w:tc>
        <w:tc>
          <w:tcPr>
            <w:tcW w:w="1985" w:type="dxa"/>
            <w:vAlign w:val="center"/>
          </w:tcPr>
          <w:p w14:paraId="34765D05"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课程目标</w:t>
            </w:r>
            <w:r w:rsidRPr="00A519ED">
              <w:rPr>
                <w:rFonts w:ascii="Calibri" w:eastAsia="宋体" w:hAnsi="Calibri" w:cs="Times New Roman"/>
                <w:sz w:val="24"/>
              </w:rPr>
              <w:t>1</w:t>
            </w:r>
            <w:r w:rsidRPr="00A519ED">
              <w:rPr>
                <w:rFonts w:ascii="Calibri" w:eastAsia="宋体" w:hAnsi="Calibri" w:cs="Times New Roman"/>
                <w:sz w:val="24"/>
              </w:rPr>
              <w:t>、</w:t>
            </w:r>
            <w:r w:rsidRPr="00A519ED">
              <w:rPr>
                <w:rFonts w:ascii="Calibri" w:eastAsia="宋体" w:hAnsi="Calibri" w:cs="Times New Roman"/>
                <w:sz w:val="24"/>
              </w:rPr>
              <w:t>2</w:t>
            </w:r>
            <w:r w:rsidRPr="00A519ED">
              <w:rPr>
                <w:rFonts w:ascii="Calibri" w:eastAsia="宋体" w:hAnsi="Calibri" w:cs="Times New Roman"/>
                <w:sz w:val="24"/>
              </w:rPr>
              <w:t>、</w:t>
            </w:r>
            <w:r w:rsidRPr="00A519ED">
              <w:rPr>
                <w:rFonts w:ascii="Calibri" w:eastAsia="宋体" w:hAnsi="Calibri" w:cs="Times New Roman"/>
                <w:sz w:val="24"/>
              </w:rPr>
              <w:t>3</w:t>
            </w:r>
          </w:p>
        </w:tc>
        <w:tc>
          <w:tcPr>
            <w:tcW w:w="1276" w:type="dxa"/>
            <w:vAlign w:val="center"/>
          </w:tcPr>
          <w:p w14:paraId="3BDB6055" w14:textId="77777777" w:rsidR="00A519ED" w:rsidRPr="00A519ED" w:rsidRDefault="00A519ED" w:rsidP="00A519ED">
            <w:pPr>
              <w:spacing w:line="440" w:lineRule="exact"/>
              <w:jc w:val="center"/>
              <w:rPr>
                <w:rFonts w:ascii="宋体" w:eastAsia="宋体" w:hAnsi="宋体" w:cs="Times New Roman"/>
                <w:sz w:val="24"/>
              </w:rPr>
            </w:pPr>
            <w:r w:rsidRPr="00A519ED">
              <w:rPr>
                <w:rFonts w:ascii="宋体" w:eastAsia="宋体" w:hAnsi="宋体" w:cs="Times New Roman" w:hint="eastAsia"/>
                <w:sz w:val="24"/>
              </w:rPr>
              <w:t>理论8</w:t>
            </w:r>
          </w:p>
          <w:p w14:paraId="6A0B7CB6" w14:textId="77777777" w:rsidR="00A519ED" w:rsidRPr="00A519ED" w:rsidRDefault="00A519ED" w:rsidP="00A519ED">
            <w:pPr>
              <w:spacing w:line="440" w:lineRule="exact"/>
              <w:jc w:val="center"/>
              <w:rPr>
                <w:rFonts w:ascii="Calibri" w:eastAsia="宋体" w:hAnsi="Calibri" w:cs="Times New Roman"/>
                <w:sz w:val="24"/>
              </w:rPr>
            </w:pPr>
            <w:r w:rsidRPr="00A519ED">
              <w:rPr>
                <w:rFonts w:ascii="宋体" w:eastAsia="宋体" w:hAnsi="宋体" w:cs="Times New Roman" w:hint="eastAsia"/>
                <w:sz w:val="24"/>
              </w:rPr>
              <w:t>线上4</w:t>
            </w:r>
          </w:p>
        </w:tc>
      </w:tr>
      <w:tr w:rsidR="00A519ED" w:rsidRPr="00A519ED" w14:paraId="5F69BC6C" w14:textId="77777777" w:rsidTr="00BA2CFD">
        <w:trPr>
          <w:trHeight w:val="90"/>
        </w:trPr>
        <w:tc>
          <w:tcPr>
            <w:tcW w:w="3403" w:type="dxa"/>
            <w:vAlign w:val="center"/>
          </w:tcPr>
          <w:p w14:paraId="30C3B299" w14:textId="77777777" w:rsidR="00A519ED" w:rsidRPr="00A519ED" w:rsidRDefault="00A519ED" w:rsidP="00A519ED">
            <w:pPr>
              <w:spacing w:beforeLines="50" w:before="156" w:afterLines="50" w:after="156" w:line="440" w:lineRule="exact"/>
              <w:rPr>
                <w:rFonts w:ascii="Calibri" w:eastAsia="宋体" w:hAnsi="Calibri" w:cs="Times New Roman"/>
                <w:sz w:val="24"/>
              </w:rPr>
            </w:pPr>
            <w:r w:rsidRPr="00A519ED">
              <w:rPr>
                <w:rFonts w:ascii="Calibri" w:eastAsia="黑体" w:hAnsi="Calibri" w:cs="Times New Roman"/>
                <w:sz w:val="24"/>
              </w:rPr>
              <w:t>Unit2</w:t>
            </w:r>
            <w:r w:rsidRPr="00A519ED">
              <w:rPr>
                <w:rFonts w:ascii="Calibri" w:eastAsia="黑体" w:hAnsi="Calibri" w:cs="Times New Roman" w:hint="eastAsia"/>
                <w:sz w:val="24"/>
              </w:rPr>
              <w:t xml:space="preserve"> Dream</w:t>
            </w:r>
            <w:r w:rsidRPr="00A519ED">
              <w:rPr>
                <w:rFonts w:ascii="Calibri" w:eastAsia="黑体" w:hAnsi="Calibri" w:cs="Times New Roman"/>
                <w:sz w:val="24"/>
              </w:rPr>
              <w:t xml:space="preserve"> </w:t>
            </w:r>
            <w:r w:rsidRPr="00A519ED">
              <w:rPr>
                <w:rFonts w:ascii="Calibri" w:eastAsia="黑体" w:hAnsi="Calibri" w:cs="Times New Roman" w:hint="eastAsia"/>
                <w:sz w:val="24"/>
              </w:rPr>
              <w:t>and</w:t>
            </w:r>
            <w:r w:rsidRPr="00A519ED">
              <w:rPr>
                <w:rFonts w:ascii="Calibri" w:eastAsia="黑体" w:hAnsi="Calibri" w:cs="Times New Roman"/>
                <w:sz w:val="24"/>
              </w:rPr>
              <w:t xml:space="preserve"> </w:t>
            </w:r>
            <w:r w:rsidRPr="00A519ED">
              <w:rPr>
                <w:rFonts w:ascii="Calibri" w:eastAsia="黑体" w:hAnsi="Calibri" w:cs="Times New Roman" w:hint="eastAsia"/>
                <w:sz w:val="24"/>
              </w:rPr>
              <w:t>Freedom</w:t>
            </w:r>
            <w:r w:rsidRPr="00A519ED">
              <w:rPr>
                <w:rFonts w:ascii="Calibri" w:eastAsia="黑体" w:hAnsi="Calibri" w:cs="Times New Roman"/>
                <w:sz w:val="24"/>
              </w:rPr>
              <w:t xml:space="preserve"> </w:t>
            </w:r>
            <w:r w:rsidRPr="00A519ED">
              <w:rPr>
                <w:rFonts w:ascii="Calibri" w:eastAsia="黑体" w:hAnsi="Calibri" w:cs="Times New Roman" w:hint="eastAsia"/>
                <w:sz w:val="24"/>
              </w:rPr>
              <w:t>of</w:t>
            </w:r>
            <w:r w:rsidRPr="00A519ED">
              <w:rPr>
                <w:rFonts w:ascii="Calibri" w:eastAsia="黑体" w:hAnsi="Calibri" w:cs="Times New Roman"/>
                <w:sz w:val="24"/>
              </w:rPr>
              <w:t xml:space="preserve"> </w:t>
            </w:r>
            <w:r w:rsidRPr="00A519ED">
              <w:rPr>
                <w:rFonts w:ascii="Calibri" w:eastAsia="黑体" w:hAnsi="Calibri" w:cs="Times New Roman" w:hint="eastAsia"/>
                <w:sz w:val="24"/>
              </w:rPr>
              <w:t>Choice</w:t>
            </w:r>
          </w:p>
        </w:tc>
        <w:tc>
          <w:tcPr>
            <w:tcW w:w="2693" w:type="dxa"/>
            <w:vAlign w:val="center"/>
          </w:tcPr>
          <w:p w14:paraId="5EA75D6A" w14:textId="77777777" w:rsidR="00A519ED" w:rsidRPr="00A519ED" w:rsidRDefault="00A519ED" w:rsidP="00A519ED">
            <w:pPr>
              <w:spacing w:line="440" w:lineRule="exact"/>
              <w:rPr>
                <w:rFonts w:ascii="Calibri" w:eastAsia="宋体" w:hAnsi="Calibri" w:cs="Times New Roman"/>
                <w:sz w:val="24"/>
              </w:rPr>
            </w:pPr>
            <w:r w:rsidRPr="00A519ED">
              <w:rPr>
                <w:rFonts w:ascii="宋体" w:eastAsia="宋体" w:hAnsi="宋体" w:cs="Times New Roman" w:hint="eastAsia"/>
                <w:sz w:val="24"/>
              </w:rPr>
              <w:t>任务法、混合式教学（线上+线下）、合作讨论法</w:t>
            </w:r>
          </w:p>
        </w:tc>
        <w:tc>
          <w:tcPr>
            <w:tcW w:w="1985" w:type="dxa"/>
            <w:vAlign w:val="center"/>
          </w:tcPr>
          <w:p w14:paraId="55B7906F"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课程目标</w:t>
            </w:r>
            <w:r w:rsidRPr="00A519ED">
              <w:rPr>
                <w:rFonts w:ascii="Calibri" w:eastAsia="宋体" w:hAnsi="Calibri" w:cs="Times New Roman"/>
                <w:sz w:val="24"/>
              </w:rPr>
              <w:t>1</w:t>
            </w:r>
            <w:r w:rsidRPr="00A519ED">
              <w:rPr>
                <w:rFonts w:ascii="Calibri" w:eastAsia="宋体" w:hAnsi="Calibri" w:cs="Times New Roman"/>
                <w:sz w:val="24"/>
              </w:rPr>
              <w:t>、</w:t>
            </w:r>
            <w:r w:rsidRPr="00A519ED">
              <w:rPr>
                <w:rFonts w:ascii="Calibri" w:eastAsia="宋体" w:hAnsi="Calibri" w:cs="Times New Roman"/>
                <w:sz w:val="24"/>
              </w:rPr>
              <w:t>2</w:t>
            </w:r>
            <w:r w:rsidRPr="00A519ED">
              <w:rPr>
                <w:rFonts w:ascii="Calibri" w:eastAsia="宋体" w:hAnsi="Calibri" w:cs="Times New Roman"/>
                <w:sz w:val="24"/>
              </w:rPr>
              <w:t>、</w:t>
            </w:r>
            <w:r w:rsidRPr="00A519ED">
              <w:rPr>
                <w:rFonts w:ascii="Calibri" w:eastAsia="宋体" w:hAnsi="Calibri" w:cs="Times New Roman"/>
                <w:sz w:val="24"/>
              </w:rPr>
              <w:t>3</w:t>
            </w:r>
          </w:p>
        </w:tc>
        <w:tc>
          <w:tcPr>
            <w:tcW w:w="1276" w:type="dxa"/>
            <w:vAlign w:val="center"/>
          </w:tcPr>
          <w:p w14:paraId="7E2CE5DC" w14:textId="77777777" w:rsidR="00A519ED" w:rsidRPr="00A519ED" w:rsidRDefault="00A519ED" w:rsidP="00A519ED">
            <w:pPr>
              <w:spacing w:line="440" w:lineRule="exact"/>
              <w:jc w:val="center"/>
              <w:rPr>
                <w:rFonts w:ascii="宋体" w:eastAsia="宋体" w:hAnsi="宋体" w:cs="Times New Roman"/>
                <w:sz w:val="24"/>
              </w:rPr>
            </w:pPr>
            <w:r w:rsidRPr="00A519ED">
              <w:rPr>
                <w:rFonts w:ascii="宋体" w:eastAsia="宋体" w:hAnsi="宋体" w:cs="Times New Roman" w:hint="eastAsia"/>
                <w:sz w:val="24"/>
              </w:rPr>
              <w:t>理论8</w:t>
            </w:r>
          </w:p>
          <w:p w14:paraId="1B7B2C93" w14:textId="77777777" w:rsidR="00A519ED" w:rsidRPr="00A519ED" w:rsidRDefault="00A519ED" w:rsidP="00A519ED">
            <w:pPr>
              <w:spacing w:line="440" w:lineRule="exact"/>
              <w:jc w:val="center"/>
              <w:rPr>
                <w:rFonts w:ascii="Calibri" w:eastAsia="宋体" w:hAnsi="Calibri" w:cs="Times New Roman"/>
                <w:sz w:val="24"/>
              </w:rPr>
            </w:pPr>
            <w:r w:rsidRPr="00A519ED">
              <w:rPr>
                <w:rFonts w:ascii="宋体" w:eastAsia="宋体" w:hAnsi="宋体" w:cs="Times New Roman" w:hint="eastAsia"/>
                <w:sz w:val="24"/>
              </w:rPr>
              <w:t>线上4</w:t>
            </w:r>
          </w:p>
        </w:tc>
      </w:tr>
      <w:tr w:rsidR="00A519ED" w:rsidRPr="00A519ED" w14:paraId="4B5FAC23" w14:textId="77777777" w:rsidTr="00BA2CFD">
        <w:tc>
          <w:tcPr>
            <w:tcW w:w="3403" w:type="dxa"/>
            <w:vAlign w:val="center"/>
          </w:tcPr>
          <w:p w14:paraId="766E5DD6" w14:textId="77777777" w:rsidR="00A519ED" w:rsidRPr="00A519ED" w:rsidRDefault="00A519ED" w:rsidP="00A519ED">
            <w:pPr>
              <w:spacing w:line="440" w:lineRule="exact"/>
              <w:jc w:val="left"/>
              <w:rPr>
                <w:rFonts w:ascii="Calibri" w:eastAsia="宋体" w:hAnsi="Calibri" w:cs="Times New Roman"/>
                <w:sz w:val="24"/>
              </w:rPr>
            </w:pPr>
            <w:r w:rsidRPr="00A519ED">
              <w:rPr>
                <w:rFonts w:ascii="Calibri" w:eastAsia="黑体" w:hAnsi="Calibri" w:cs="Times New Roman"/>
                <w:sz w:val="24"/>
              </w:rPr>
              <w:t>Unit</w:t>
            </w:r>
            <w:r w:rsidRPr="00A519ED">
              <w:rPr>
                <w:rFonts w:ascii="Calibri" w:eastAsia="黑体" w:hAnsi="Calibri" w:cs="Times New Roman" w:hint="eastAsia"/>
                <w:sz w:val="24"/>
              </w:rPr>
              <w:t>3 Human and Artificial Intelligence</w:t>
            </w:r>
          </w:p>
        </w:tc>
        <w:tc>
          <w:tcPr>
            <w:tcW w:w="2693" w:type="dxa"/>
            <w:vAlign w:val="center"/>
          </w:tcPr>
          <w:p w14:paraId="0312DC72" w14:textId="77777777" w:rsidR="00A519ED" w:rsidRPr="00A519ED" w:rsidRDefault="00A519ED" w:rsidP="00A519ED">
            <w:pPr>
              <w:spacing w:line="440" w:lineRule="exact"/>
              <w:jc w:val="center"/>
              <w:rPr>
                <w:rFonts w:ascii="Calibri" w:eastAsia="宋体" w:hAnsi="Calibri" w:cs="Times New Roman"/>
                <w:sz w:val="24"/>
              </w:rPr>
            </w:pPr>
            <w:r w:rsidRPr="00A519ED">
              <w:rPr>
                <w:rFonts w:ascii="宋体" w:eastAsia="宋体" w:hAnsi="宋体" w:cs="Times New Roman" w:hint="eastAsia"/>
                <w:sz w:val="24"/>
              </w:rPr>
              <w:t>翻转课堂、任务法、混合式教学（线上+线下）</w:t>
            </w:r>
          </w:p>
        </w:tc>
        <w:tc>
          <w:tcPr>
            <w:tcW w:w="1985" w:type="dxa"/>
            <w:vAlign w:val="center"/>
          </w:tcPr>
          <w:p w14:paraId="059FC514"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课程目标</w:t>
            </w:r>
            <w:r w:rsidRPr="00A519ED">
              <w:rPr>
                <w:rFonts w:ascii="Calibri" w:eastAsia="宋体" w:hAnsi="Calibri" w:cs="Times New Roman"/>
                <w:sz w:val="24"/>
              </w:rPr>
              <w:t>1</w:t>
            </w:r>
            <w:r w:rsidRPr="00A519ED">
              <w:rPr>
                <w:rFonts w:ascii="Calibri" w:eastAsia="宋体" w:hAnsi="Calibri" w:cs="Times New Roman"/>
                <w:sz w:val="24"/>
              </w:rPr>
              <w:t>、</w:t>
            </w:r>
            <w:r w:rsidRPr="00A519ED">
              <w:rPr>
                <w:rFonts w:ascii="Calibri" w:eastAsia="宋体" w:hAnsi="Calibri" w:cs="Times New Roman"/>
                <w:sz w:val="24"/>
              </w:rPr>
              <w:t>2</w:t>
            </w:r>
            <w:r w:rsidRPr="00A519ED">
              <w:rPr>
                <w:rFonts w:ascii="Calibri" w:eastAsia="宋体" w:hAnsi="Calibri" w:cs="Times New Roman"/>
                <w:sz w:val="24"/>
              </w:rPr>
              <w:t>、</w:t>
            </w:r>
            <w:r w:rsidRPr="00A519ED">
              <w:rPr>
                <w:rFonts w:ascii="Calibri" w:eastAsia="宋体" w:hAnsi="Calibri" w:cs="Times New Roman"/>
                <w:sz w:val="24"/>
              </w:rPr>
              <w:t>3</w:t>
            </w:r>
          </w:p>
        </w:tc>
        <w:tc>
          <w:tcPr>
            <w:tcW w:w="1276" w:type="dxa"/>
            <w:vAlign w:val="center"/>
          </w:tcPr>
          <w:p w14:paraId="5D584491" w14:textId="77777777" w:rsidR="00A519ED" w:rsidRPr="00A519ED" w:rsidRDefault="00A519ED" w:rsidP="00A519ED">
            <w:pPr>
              <w:spacing w:line="440" w:lineRule="exact"/>
              <w:jc w:val="center"/>
              <w:rPr>
                <w:rFonts w:ascii="宋体" w:eastAsia="宋体" w:hAnsi="宋体" w:cs="Times New Roman"/>
                <w:sz w:val="24"/>
              </w:rPr>
            </w:pPr>
            <w:r w:rsidRPr="00A519ED">
              <w:rPr>
                <w:rFonts w:ascii="宋体" w:eastAsia="宋体" w:hAnsi="宋体" w:cs="Times New Roman" w:hint="eastAsia"/>
                <w:sz w:val="24"/>
              </w:rPr>
              <w:t>理论8</w:t>
            </w:r>
          </w:p>
          <w:p w14:paraId="1E4B5745" w14:textId="77777777" w:rsidR="00A519ED" w:rsidRPr="00A519ED" w:rsidRDefault="00A519ED" w:rsidP="00A519ED">
            <w:pPr>
              <w:spacing w:line="440" w:lineRule="exact"/>
              <w:jc w:val="center"/>
              <w:rPr>
                <w:rFonts w:ascii="Calibri" w:eastAsia="宋体" w:hAnsi="Calibri" w:cs="Times New Roman"/>
                <w:sz w:val="24"/>
              </w:rPr>
            </w:pPr>
            <w:r w:rsidRPr="00A519ED">
              <w:rPr>
                <w:rFonts w:ascii="宋体" w:eastAsia="宋体" w:hAnsi="宋体" w:cs="Times New Roman" w:hint="eastAsia"/>
                <w:sz w:val="24"/>
              </w:rPr>
              <w:t>线上4</w:t>
            </w:r>
          </w:p>
        </w:tc>
      </w:tr>
      <w:tr w:rsidR="00A519ED" w:rsidRPr="00A519ED" w14:paraId="53043090" w14:textId="77777777" w:rsidTr="00BA2CFD">
        <w:tc>
          <w:tcPr>
            <w:tcW w:w="3403" w:type="dxa"/>
            <w:vAlign w:val="center"/>
          </w:tcPr>
          <w:p w14:paraId="305B8BCA" w14:textId="77777777" w:rsidR="00A519ED" w:rsidRPr="00A519ED" w:rsidRDefault="00A519ED" w:rsidP="00A519ED">
            <w:pPr>
              <w:spacing w:beforeLines="50" w:before="156" w:afterLines="50" w:after="156" w:line="440" w:lineRule="exact"/>
              <w:rPr>
                <w:rFonts w:ascii="Calibri" w:eastAsia="宋体" w:hAnsi="Calibri" w:cs="Times New Roman"/>
                <w:sz w:val="24"/>
              </w:rPr>
            </w:pPr>
            <w:r w:rsidRPr="00A519ED">
              <w:rPr>
                <w:rFonts w:ascii="Calibri" w:eastAsia="黑体" w:hAnsi="Calibri" w:cs="Times New Roman"/>
                <w:sz w:val="24"/>
              </w:rPr>
              <w:lastRenderedPageBreak/>
              <w:t>Unit</w:t>
            </w:r>
            <w:r w:rsidRPr="00A519ED">
              <w:rPr>
                <w:rFonts w:ascii="Calibri" w:eastAsia="黑体" w:hAnsi="Calibri" w:cs="Times New Roman" w:hint="eastAsia"/>
                <w:sz w:val="24"/>
              </w:rPr>
              <w:t>5 Cultural Confidence and Patriotism</w:t>
            </w:r>
          </w:p>
        </w:tc>
        <w:tc>
          <w:tcPr>
            <w:tcW w:w="2693" w:type="dxa"/>
            <w:vAlign w:val="center"/>
          </w:tcPr>
          <w:p w14:paraId="430E8C64" w14:textId="77777777" w:rsidR="00A519ED" w:rsidRPr="00A519ED" w:rsidRDefault="00A519ED" w:rsidP="00A519ED">
            <w:pPr>
              <w:spacing w:line="440" w:lineRule="exact"/>
              <w:rPr>
                <w:rFonts w:ascii="Calibri" w:eastAsia="宋体" w:hAnsi="Calibri" w:cs="Times New Roman"/>
                <w:sz w:val="24"/>
              </w:rPr>
            </w:pPr>
            <w:r w:rsidRPr="00A519ED">
              <w:rPr>
                <w:rFonts w:ascii="宋体" w:eastAsia="宋体" w:hAnsi="宋体" w:cs="Times New Roman" w:hint="eastAsia"/>
                <w:sz w:val="24"/>
              </w:rPr>
              <w:t>翻转课堂、讲授法、混合式教学（线上+线下）、合作讨论法</w:t>
            </w:r>
          </w:p>
        </w:tc>
        <w:tc>
          <w:tcPr>
            <w:tcW w:w="1985" w:type="dxa"/>
            <w:vAlign w:val="center"/>
          </w:tcPr>
          <w:p w14:paraId="202CA129"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课程目标</w:t>
            </w:r>
            <w:r w:rsidRPr="00A519ED">
              <w:rPr>
                <w:rFonts w:ascii="Calibri" w:eastAsia="宋体" w:hAnsi="Calibri" w:cs="Times New Roman"/>
                <w:sz w:val="24"/>
              </w:rPr>
              <w:t>1</w:t>
            </w:r>
            <w:r w:rsidRPr="00A519ED">
              <w:rPr>
                <w:rFonts w:ascii="Calibri" w:eastAsia="宋体" w:hAnsi="Calibri" w:cs="Times New Roman"/>
                <w:sz w:val="24"/>
              </w:rPr>
              <w:t>、</w:t>
            </w:r>
            <w:r w:rsidRPr="00A519ED">
              <w:rPr>
                <w:rFonts w:ascii="Calibri" w:eastAsia="宋体" w:hAnsi="Calibri" w:cs="Times New Roman"/>
                <w:sz w:val="24"/>
              </w:rPr>
              <w:t>2</w:t>
            </w:r>
            <w:r w:rsidRPr="00A519ED">
              <w:rPr>
                <w:rFonts w:ascii="Calibri" w:eastAsia="宋体" w:hAnsi="Calibri" w:cs="Times New Roman"/>
                <w:sz w:val="24"/>
              </w:rPr>
              <w:t>、</w:t>
            </w:r>
            <w:r w:rsidRPr="00A519ED">
              <w:rPr>
                <w:rFonts w:ascii="Calibri" w:eastAsia="宋体" w:hAnsi="Calibri" w:cs="Times New Roman"/>
                <w:sz w:val="24"/>
              </w:rPr>
              <w:t>3</w:t>
            </w:r>
          </w:p>
        </w:tc>
        <w:tc>
          <w:tcPr>
            <w:tcW w:w="1276" w:type="dxa"/>
            <w:vAlign w:val="center"/>
          </w:tcPr>
          <w:p w14:paraId="6B2F6AA6" w14:textId="77777777" w:rsidR="00A519ED" w:rsidRPr="00A519ED" w:rsidRDefault="00A519ED" w:rsidP="00A519ED">
            <w:pPr>
              <w:spacing w:line="440" w:lineRule="exact"/>
              <w:jc w:val="center"/>
              <w:rPr>
                <w:rFonts w:ascii="宋体" w:eastAsia="宋体" w:hAnsi="宋体" w:cs="Times New Roman"/>
                <w:sz w:val="24"/>
              </w:rPr>
            </w:pPr>
            <w:r w:rsidRPr="00A519ED">
              <w:rPr>
                <w:rFonts w:ascii="宋体" w:eastAsia="宋体" w:hAnsi="宋体" w:cs="Times New Roman" w:hint="eastAsia"/>
                <w:sz w:val="24"/>
              </w:rPr>
              <w:t>理论8</w:t>
            </w:r>
          </w:p>
          <w:p w14:paraId="151B4A75" w14:textId="77777777" w:rsidR="00A519ED" w:rsidRPr="00A519ED" w:rsidRDefault="00A519ED" w:rsidP="00A519ED">
            <w:pPr>
              <w:spacing w:line="440" w:lineRule="exact"/>
              <w:jc w:val="center"/>
              <w:rPr>
                <w:rFonts w:ascii="Calibri" w:eastAsia="宋体" w:hAnsi="Calibri" w:cs="Times New Roman"/>
                <w:sz w:val="24"/>
              </w:rPr>
            </w:pPr>
            <w:r w:rsidRPr="00A519ED">
              <w:rPr>
                <w:rFonts w:ascii="宋体" w:eastAsia="宋体" w:hAnsi="宋体" w:cs="Times New Roman" w:hint="eastAsia"/>
                <w:sz w:val="24"/>
              </w:rPr>
              <w:t>线上4</w:t>
            </w:r>
          </w:p>
        </w:tc>
      </w:tr>
      <w:tr w:rsidR="00A519ED" w:rsidRPr="00A519ED" w14:paraId="587C9BCA" w14:textId="77777777" w:rsidTr="00BA2CFD">
        <w:tc>
          <w:tcPr>
            <w:tcW w:w="8081" w:type="dxa"/>
            <w:gridSpan w:val="3"/>
            <w:vAlign w:val="center"/>
          </w:tcPr>
          <w:p w14:paraId="62C7D7C8" w14:textId="77777777" w:rsidR="00A519ED" w:rsidRPr="00A519ED" w:rsidRDefault="00A519ED" w:rsidP="00A519ED">
            <w:pPr>
              <w:spacing w:line="440" w:lineRule="exact"/>
              <w:jc w:val="center"/>
              <w:rPr>
                <w:rFonts w:ascii="Calibri" w:eastAsia="宋体" w:hAnsi="Calibri" w:cs="Times New Roman"/>
                <w:b/>
                <w:sz w:val="24"/>
              </w:rPr>
            </w:pPr>
            <w:r w:rsidRPr="00A519ED">
              <w:rPr>
                <w:rFonts w:ascii="Calibri" w:eastAsia="宋体" w:hAnsi="Calibri" w:cs="Times New Roman"/>
                <w:b/>
                <w:sz w:val="24"/>
              </w:rPr>
              <w:t>合计</w:t>
            </w:r>
          </w:p>
        </w:tc>
        <w:tc>
          <w:tcPr>
            <w:tcW w:w="1276" w:type="dxa"/>
            <w:vAlign w:val="center"/>
          </w:tcPr>
          <w:p w14:paraId="27ADFAD6" w14:textId="77777777" w:rsidR="00A519ED" w:rsidRPr="00A519ED" w:rsidRDefault="00A519ED" w:rsidP="00A519ED">
            <w:pPr>
              <w:spacing w:line="440" w:lineRule="exact"/>
              <w:jc w:val="center"/>
              <w:rPr>
                <w:rFonts w:ascii="Calibri" w:eastAsia="宋体" w:hAnsi="Calibri" w:cs="Times New Roman"/>
                <w:sz w:val="24"/>
              </w:rPr>
            </w:pPr>
            <w:r w:rsidRPr="00A519ED">
              <w:rPr>
                <w:rFonts w:ascii="Calibri" w:eastAsia="宋体" w:hAnsi="Calibri" w:cs="Times New Roman"/>
                <w:sz w:val="24"/>
              </w:rPr>
              <w:t>48</w:t>
            </w:r>
          </w:p>
        </w:tc>
      </w:tr>
    </w:tbl>
    <w:p w14:paraId="3F716921" w14:textId="77777777" w:rsidR="00A519ED" w:rsidRPr="00A519ED" w:rsidRDefault="00A519ED" w:rsidP="00A519ED">
      <w:pPr>
        <w:spacing w:beforeLines="50" w:before="156" w:afterLines="50" w:after="156" w:line="440" w:lineRule="exact"/>
        <w:ind w:firstLineChars="200" w:firstLine="480"/>
        <w:rPr>
          <w:rFonts w:ascii="Calibri" w:eastAsia="仿宋" w:hAnsi="Calibri" w:cs="Times New Roman"/>
          <w:sz w:val="24"/>
        </w:rPr>
      </w:pPr>
    </w:p>
    <w:p w14:paraId="7CDADB2B" w14:textId="77777777" w:rsidR="00A519ED" w:rsidRPr="00A519ED" w:rsidRDefault="00A519ED" w:rsidP="00A519ED">
      <w:pPr>
        <w:spacing w:beforeLines="50" w:before="156" w:afterLines="50" w:after="156" w:line="440" w:lineRule="exact"/>
        <w:ind w:firstLineChars="200" w:firstLine="560"/>
        <w:rPr>
          <w:rFonts w:ascii="Calibri" w:eastAsia="宋体" w:hAnsi="Calibri" w:cs="Times New Roman"/>
          <w:sz w:val="24"/>
        </w:rPr>
      </w:pPr>
      <w:r w:rsidRPr="00A519ED">
        <w:rPr>
          <w:rFonts w:ascii="Calibri" w:eastAsia="黑体" w:hAnsi="Calibri" w:cs="Times New Roman"/>
          <w:sz w:val="28"/>
          <w:szCs w:val="28"/>
        </w:rPr>
        <w:t>四、课程考核及与课程学习目标的对应关系</w:t>
      </w:r>
    </w:p>
    <w:p w14:paraId="73170C0F" w14:textId="77777777" w:rsidR="00A519ED" w:rsidRPr="00A519ED" w:rsidRDefault="00A519ED" w:rsidP="00A519ED">
      <w:pPr>
        <w:spacing w:beforeLines="50" w:before="156" w:afterLines="50" w:after="156" w:line="440" w:lineRule="exact"/>
        <w:ind w:firstLineChars="200" w:firstLine="560"/>
        <w:rPr>
          <w:rFonts w:ascii="Calibri" w:eastAsia="黑体" w:hAnsi="Calibri" w:cs="Times New Roman"/>
          <w:sz w:val="28"/>
          <w:szCs w:val="28"/>
        </w:rPr>
      </w:pPr>
      <w:r w:rsidRPr="00A519ED">
        <w:rPr>
          <w:rFonts w:ascii="Calibri" w:eastAsia="黑体" w:hAnsi="Calibri" w:cs="Times New Roman"/>
          <w:sz w:val="28"/>
          <w:szCs w:val="28"/>
        </w:rPr>
        <w:t>（一）课程考核内容与课程学习目标的对应关系</w:t>
      </w:r>
    </w:p>
    <w:tbl>
      <w:tblPr>
        <w:tblpPr w:leftFromText="180" w:rightFromText="180" w:vertAnchor="text" w:horzAnchor="page" w:tblpX="1523" w:tblpY="605"/>
        <w:tblOverlap w:val="neve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A519ED" w:rsidRPr="00A519ED" w14:paraId="7D2E5FE5" w14:textId="77777777" w:rsidTr="00BA2CFD">
        <w:trPr>
          <w:trHeight w:val="515"/>
        </w:trPr>
        <w:tc>
          <w:tcPr>
            <w:tcW w:w="1422" w:type="dxa"/>
          </w:tcPr>
          <w:p w14:paraId="56369D00" w14:textId="77777777" w:rsidR="00A519ED" w:rsidRPr="00A519ED" w:rsidRDefault="00A519ED" w:rsidP="00A519ED">
            <w:pPr>
              <w:spacing w:line="440" w:lineRule="exact"/>
              <w:jc w:val="center"/>
              <w:rPr>
                <w:rFonts w:ascii="Calibri" w:eastAsia="宋体" w:hAnsi="Calibri" w:cs="Times New Roman"/>
                <w:b/>
                <w:sz w:val="24"/>
              </w:rPr>
            </w:pPr>
            <w:r w:rsidRPr="00A519ED">
              <w:rPr>
                <w:rFonts w:ascii="Calibri" w:eastAsia="宋体" w:hAnsi="Calibri" w:cs="Times New Roman"/>
                <w:b/>
                <w:sz w:val="24"/>
              </w:rPr>
              <w:t>课程目标</w:t>
            </w:r>
          </w:p>
        </w:tc>
        <w:tc>
          <w:tcPr>
            <w:tcW w:w="7918" w:type="dxa"/>
            <w:vAlign w:val="center"/>
          </w:tcPr>
          <w:p w14:paraId="0831E517" w14:textId="77777777" w:rsidR="00A519ED" w:rsidRPr="00A519ED" w:rsidRDefault="00A519ED" w:rsidP="00A519ED">
            <w:pPr>
              <w:spacing w:line="440" w:lineRule="exact"/>
              <w:jc w:val="center"/>
              <w:rPr>
                <w:rFonts w:ascii="Calibri" w:eastAsia="宋体" w:hAnsi="Calibri" w:cs="Times New Roman"/>
                <w:b/>
                <w:sz w:val="24"/>
              </w:rPr>
            </w:pPr>
            <w:r w:rsidRPr="00A519ED">
              <w:rPr>
                <w:rFonts w:ascii="Calibri" w:eastAsia="宋体" w:hAnsi="Calibri" w:cs="Times New Roman"/>
                <w:b/>
                <w:sz w:val="24"/>
              </w:rPr>
              <w:t>考核内容</w:t>
            </w:r>
          </w:p>
        </w:tc>
      </w:tr>
      <w:tr w:rsidR="00A519ED" w:rsidRPr="00A519ED" w14:paraId="4587FB01" w14:textId="77777777" w:rsidTr="00BA2CFD">
        <w:tc>
          <w:tcPr>
            <w:tcW w:w="1422" w:type="dxa"/>
            <w:vAlign w:val="center"/>
          </w:tcPr>
          <w:p w14:paraId="7721CB66"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课程目标</w:t>
            </w:r>
            <w:r w:rsidRPr="00A519ED">
              <w:rPr>
                <w:rFonts w:ascii="Calibri" w:eastAsia="宋体" w:hAnsi="Calibri" w:cs="Times New Roman"/>
                <w:bCs/>
                <w:sz w:val="24"/>
              </w:rPr>
              <w:t>1</w:t>
            </w:r>
          </w:p>
        </w:tc>
        <w:tc>
          <w:tcPr>
            <w:tcW w:w="7918" w:type="dxa"/>
            <w:vAlign w:val="center"/>
          </w:tcPr>
          <w:p w14:paraId="668507F5" w14:textId="77777777" w:rsidR="00A519ED" w:rsidRPr="00A519ED" w:rsidRDefault="00A519ED" w:rsidP="00A519ED">
            <w:pPr>
              <w:spacing w:line="440" w:lineRule="exact"/>
              <w:ind w:left="480" w:hangingChars="200" w:hanging="480"/>
              <w:rPr>
                <w:rFonts w:ascii="Calibri" w:eastAsia="宋体" w:hAnsi="Calibri" w:cs="Times New Roman"/>
                <w:bCs/>
                <w:sz w:val="24"/>
              </w:rPr>
            </w:pPr>
            <w:r w:rsidRPr="00A519ED">
              <w:rPr>
                <w:rFonts w:ascii="Calibri" w:eastAsia="宋体" w:hAnsi="Calibri" w:cs="Times New Roman"/>
                <w:bCs/>
                <w:sz w:val="24"/>
              </w:rPr>
              <w:t xml:space="preserve">1.1 </w:t>
            </w:r>
            <w:r w:rsidRPr="00A519ED">
              <w:rPr>
                <w:rFonts w:ascii="Calibri" w:eastAsia="宋体" w:hAnsi="Calibri" w:cs="Times New Roman"/>
                <w:bCs/>
                <w:sz w:val="24"/>
              </w:rPr>
              <w:t>英语基础知识（词汇、语法等）对课文内容的理解、对文章主题的把握</w:t>
            </w:r>
            <w:r w:rsidRPr="00A519ED">
              <w:rPr>
                <w:rFonts w:ascii="Calibri" w:eastAsia="宋体" w:hAnsi="Calibri" w:cs="Times New Roman" w:hint="eastAsia"/>
                <w:bCs/>
                <w:sz w:val="24"/>
              </w:rPr>
              <w:t>,</w:t>
            </w:r>
            <w:r w:rsidRPr="00A519ED">
              <w:rPr>
                <w:rFonts w:ascii="Calibri" w:eastAsia="宋体" w:hAnsi="Calibri" w:cs="Times New Roman"/>
                <w:bCs/>
                <w:sz w:val="24"/>
              </w:rPr>
              <w:t>英语知识的综合运用能力（口语、听力、阅读、翻译、写作能力等）</w:t>
            </w:r>
          </w:p>
          <w:p w14:paraId="188F1E3E" w14:textId="77777777" w:rsidR="00A519ED" w:rsidRPr="00A519ED" w:rsidRDefault="00A519ED" w:rsidP="00A519ED">
            <w:pPr>
              <w:spacing w:line="440" w:lineRule="exact"/>
              <w:rPr>
                <w:rFonts w:ascii="Calibri" w:eastAsia="宋体" w:hAnsi="Calibri" w:cs="Times New Roman"/>
                <w:bCs/>
                <w:sz w:val="24"/>
              </w:rPr>
            </w:pPr>
            <w:r w:rsidRPr="00A519ED">
              <w:rPr>
                <w:rFonts w:ascii="Calibri" w:eastAsia="宋体" w:hAnsi="Calibri" w:cs="Times New Roman"/>
                <w:bCs/>
                <w:sz w:val="24"/>
              </w:rPr>
              <w:t>1.2</w:t>
            </w:r>
            <w:r w:rsidRPr="00A519ED">
              <w:rPr>
                <w:rFonts w:ascii="Calibri" w:eastAsia="宋体" w:hAnsi="Calibri" w:cs="Times New Roman" w:hint="eastAsia"/>
                <w:sz w:val="24"/>
              </w:rPr>
              <w:t>学生的自主学习能力、学生的学习自律和终身学习意识。</w:t>
            </w:r>
          </w:p>
        </w:tc>
      </w:tr>
      <w:tr w:rsidR="00A519ED" w:rsidRPr="00A519ED" w14:paraId="03E3B8FC" w14:textId="77777777" w:rsidTr="00BA2CFD">
        <w:tc>
          <w:tcPr>
            <w:tcW w:w="1422" w:type="dxa"/>
            <w:vAlign w:val="center"/>
          </w:tcPr>
          <w:p w14:paraId="0CB51DF9"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课程目标</w:t>
            </w:r>
            <w:r w:rsidRPr="00A519ED">
              <w:rPr>
                <w:rFonts w:ascii="Calibri" w:eastAsia="宋体" w:hAnsi="Calibri" w:cs="Times New Roman"/>
                <w:bCs/>
                <w:sz w:val="24"/>
              </w:rPr>
              <w:t>2</w:t>
            </w:r>
          </w:p>
        </w:tc>
        <w:tc>
          <w:tcPr>
            <w:tcW w:w="7918" w:type="dxa"/>
            <w:vAlign w:val="center"/>
          </w:tcPr>
          <w:p w14:paraId="1B4B8D4F" w14:textId="77777777" w:rsidR="00A519ED" w:rsidRPr="00A519ED" w:rsidRDefault="00A519ED" w:rsidP="00A519ED">
            <w:pPr>
              <w:spacing w:line="440" w:lineRule="exact"/>
              <w:rPr>
                <w:rFonts w:ascii="Calibri" w:eastAsia="宋体" w:hAnsi="Calibri" w:cs="Times New Roman"/>
                <w:bCs/>
                <w:sz w:val="24"/>
              </w:rPr>
            </w:pPr>
            <w:r w:rsidRPr="00A519ED">
              <w:rPr>
                <w:rFonts w:ascii="Calibri" w:eastAsia="宋体" w:hAnsi="Calibri" w:cs="Times New Roman"/>
                <w:bCs/>
                <w:sz w:val="24"/>
              </w:rPr>
              <w:t>2.1</w:t>
            </w:r>
            <w:r w:rsidRPr="00A519ED">
              <w:rPr>
                <w:rFonts w:ascii="Calibri" w:eastAsia="宋体" w:hAnsi="Calibri" w:cs="Times New Roman" w:hint="eastAsia"/>
                <w:sz w:val="24"/>
              </w:rPr>
              <w:t>学生的人文社会素养和强烈的社会责任感，职业道德和规范意识。</w:t>
            </w:r>
          </w:p>
          <w:p w14:paraId="3C78DDDA" w14:textId="77777777" w:rsidR="00A519ED" w:rsidRPr="00A519ED" w:rsidRDefault="00A519ED" w:rsidP="00A519ED">
            <w:pPr>
              <w:spacing w:line="440" w:lineRule="exact"/>
              <w:rPr>
                <w:rFonts w:ascii="Calibri" w:eastAsia="宋体" w:hAnsi="Calibri" w:cs="Times New Roman"/>
                <w:bCs/>
                <w:sz w:val="24"/>
              </w:rPr>
            </w:pPr>
            <w:r w:rsidRPr="00A519ED">
              <w:rPr>
                <w:rFonts w:ascii="Calibri" w:eastAsia="宋体" w:hAnsi="Calibri" w:cs="Times New Roman"/>
                <w:bCs/>
                <w:sz w:val="24"/>
              </w:rPr>
              <w:t>2.2</w:t>
            </w:r>
            <w:r w:rsidRPr="00A519ED">
              <w:rPr>
                <w:rFonts w:ascii="Calibri" w:eastAsia="宋体" w:hAnsi="Calibri" w:cs="Times New Roman" w:hint="eastAsia"/>
                <w:bCs/>
                <w:sz w:val="24"/>
              </w:rPr>
              <w:t>学生对</w:t>
            </w:r>
            <w:r w:rsidRPr="00A519ED">
              <w:rPr>
                <w:rFonts w:ascii="Calibri" w:eastAsia="宋体" w:hAnsi="Calibri" w:cs="Times New Roman" w:hint="eastAsia"/>
                <w:sz w:val="24"/>
              </w:rPr>
              <w:t>博大精深的中国文化的理解，民族文化自信心及爱国主义和家国情怀。</w:t>
            </w:r>
          </w:p>
        </w:tc>
      </w:tr>
      <w:tr w:rsidR="00A519ED" w:rsidRPr="00A519ED" w14:paraId="4C48BC6F" w14:textId="77777777" w:rsidTr="00BA2CFD">
        <w:tc>
          <w:tcPr>
            <w:tcW w:w="1422" w:type="dxa"/>
            <w:vAlign w:val="center"/>
          </w:tcPr>
          <w:p w14:paraId="523C4548"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课程目标</w:t>
            </w:r>
            <w:r w:rsidRPr="00A519ED">
              <w:rPr>
                <w:rFonts w:ascii="Calibri" w:eastAsia="宋体" w:hAnsi="Calibri" w:cs="Times New Roman"/>
                <w:bCs/>
                <w:sz w:val="24"/>
              </w:rPr>
              <w:t>3</w:t>
            </w:r>
          </w:p>
        </w:tc>
        <w:tc>
          <w:tcPr>
            <w:tcW w:w="7918" w:type="dxa"/>
            <w:vAlign w:val="center"/>
          </w:tcPr>
          <w:p w14:paraId="6D3ABBA9" w14:textId="77777777" w:rsidR="00A519ED" w:rsidRPr="00A519ED" w:rsidRDefault="00A519ED" w:rsidP="00A519ED">
            <w:pPr>
              <w:spacing w:line="440" w:lineRule="exact"/>
              <w:rPr>
                <w:rFonts w:ascii="Calibri" w:eastAsia="宋体" w:hAnsi="Calibri" w:cs="Times New Roman"/>
                <w:bCs/>
                <w:sz w:val="24"/>
              </w:rPr>
            </w:pPr>
            <w:r w:rsidRPr="00A519ED">
              <w:rPr>
                <w:rFonts w:ascii="Calibri" w:eastAsia="宋体" w:hAnsi="Calibri" w:cs="Times New Roman"/>
                <w:bCs/>
                <w:sz w:val="24"/>
              </w:rPr>
              <w:t>3.1</w:t>
            </w:r>
            <w:r w:rsidRPr="00A519ED">
              <w:rPr>
                <w:rFonts w:ascii="Calibri" w:eastAsia="宋体" w:hAnsi="Calibri" w:cs="Times New Roman" w:hint="eastAsia"/>
                <w:sz w:val="24"/>
              </w:rPr>
              <w:t>参与课堂活动的能力，小组合作能力和组织管理能力；英语综合运用能力和跨文化交际能力。</w:t>
            </w:r>
          </w:p>
          <w:p w14:paraId="013E40CD" w14:textId="77777777" w:rsidR="00A519ED" w:rsidRPr="00A519ED" w:rsidRDefault="00A519ED" w:rsidP="00A519ED">
            <w:pPr>
              <w:spacing w:line="440" w:lineRule="exact"/>
              <w:rPr>
                <w:rFonts w:ascii="Calibri" w:eastAsia="宋体" w:hAnsi="Calibri" w:cs="Times New Roman"/>
                <w:bCs/>
                <w:sz w:val="24"/>
              </w:rPr>
            </w:pPr>
            <w:r w:rsidRPr="00A519ED">
              <w:rPr>
                <w:rFonts w:ascii="Calibri" w:eastAsia="宋体" w:hAnsi="Calibri" w:cs="Times New Roman"/>
                <w:bCs/>
                <w:sz w:val="24"/>
              </w:rPr>
              <w:t>3.2</w:t>
            </w:r>
            <w:r w:rsidRPr="00A519ED">
              <w:rPr>
                <w:rFonts w:ascii="Calibri" w:eastAsia="宋体" w:hAnsi="Calibri" w:cs="Times New Roman" w:hint="eastAsia"/>
                <w:bCs/>
                <w:sz w:val="24"/>
              </w:rPr>
              <w:t>学生的语言实践能力，</w:t>
            </w:r>
            <w:r w:rsidRPr="00A519ED">
              <w:rPr>
                <w:rFonts w:ascii="Calibri" w:eastAsia="宋体" w:hAnsi="Calibri" w:cs="Times New Roman" w:hint="eastAsia"/>
                <w:sz w:val="24"/>
              </w:rPr>
              <w:t>有效的口头和书面沟通交流能力，包括实用写作能力。</w:t>
            </w:r>
          </w:p>
        </w:tc>
      </w:tr>
    </w:tbl>
    <w:p w14:paraId="1D71BE80" w14:textId="77777777" w:rsidR="00A519ED" w:rsidRPr="00A519ED" w:rsidRDefault="00A519ED" w:rsidP="00A519ED">
      <w:pPr>
        <w:spacing w:beforeLines="50" w:before="156" w:afterLines="50" w:after="156" w:line="440" w:lineRule="exact"/>
        <w:ind w:firstLineChars="200" w:firstLine="560"/>
        <w:rPr>
          <w:rFonts w:ascii="Calibri" w:eastAsia="黑体" w:hAnsi="Calibri" w:cs="Times New Roman"/>
          <w:sz w:val="28"/>
          <w:szCs w:val="28"/>
        </w:rPr>
      </w:pPr>
      <w:r w:rsidRPr="00A519ED">
        <w:rPr>
          <w:rFonts w:ascii="Calibri" w:eastAsia="黑体" w:hAnsi="Calibri" w:cs="Times New Roman"/>
          <w:sz w:val="28"/>
          <w:szCs w:val="28"/>
        </w:rPr>
        <w:t>（二）课程考核方式</w:t>
      </w:r>
    </w:p>
    <w:p w14:paraId="2FA60114" w14:textId="77777777" w:rsidR="00A519ED" w:rsidRPr="00A519ED" w:rsidRDefault="00A519ED" w:rsidP="00A519ED">
      <w:pPr>
        <w:spacing w:line="360" w:lineRule="auto"/>
        <w:ind w:firstLine="480"/>
        <w:rPr>
          <w:rFonts w:ascii="Calibri" w:eastAsia="宋体" w:hAnsi="Calibri" w:cs="Times New Roman"/>
          <w:sz w:val="24"/>
        </w:rPr>
      </w:pPr>
      <w:r w:rsidRPr="00A519ED">
        <w:rPr>
          <w:rFonts w:ascii="Calibri" w:eastAsia="宋体" w:hAnsi="Calibri" w:cs="Times New Roman"/>
          <w:sz w:val="24"/>
        </w:rPr>
        <w:t>课程考核方式分为平时考核和期末考核。</w:t>
      </w:r>
    </w:p>
    <w:p w14:paraId="0E84282C" w14:textId="77777777" w:rsidR="00A519ED" w:rsidRPr="00A519ED" w:rsidRDefault="00A519ED" w:rsidP="00A519ED">
      <w:pPr>
        <w:spacing w:line="360" w:lineRule="auto"/>
        <w:ind w:firstLine="480"/>
        <w:rPr>
          <w:rFonts w:ascii="Calibri" w:eastAsia="黑体" w:hAnsi="Calibri" w:cs="Times New Roman"/>
          <w:sz w:val="28"/>
          <w:szCs w:val="28"/>
        </w:rPr>
      </w:pPr>
      <w:r w:rsidRPr="00A519ED">
        <w:rPr>
          <w:rFonts w:ascii="Calibri" w:eastAsia="宋体" w:hAnsi="Calibri" w:cs="Times New Roman"/>
          <w:sz w:val="24"/>
        </w:rPr>
        <w:t>平时考核方式包括课堂考勤，线上、线下参与课堂互动</w:t>
      </w:r>
      <w:r w:rsidRPr="00A519ED">
        <w:rPr>
          <w:rFonts w:ascii="Calibri" w:eastAsia="宋体" w:hAnsi="Calibri" w:cs="Times New Roman" w:hint="eastAsia"/>
          <w:sz w:val="24"/>
        </w:rPr>
        <w:t>(</w:t>
      </w:r>
      <w:r w:rsidRPr="00A519ED">
        <w:rPr>
          <w:rFonts w:ascii="Calibri" w:eastAsia="宋体" w:hAnsi="Calibri" w:cs="Times New Roman" w:hint="eastAsia"/>
          <w:sz w:val="24"/>
        </w:rPr>
        <w:t>音视频完成、随堂测试、讨论、问卷、小组合作等</w:t>
      </w:r>
      <w:r w:rsidRPr="00A519ED">
        <w:rPr>
          <w:rFonts w:ascii="Calibri" w:eastAsia="宋体" w:hAnsi="Calibri" w:cs="Times New Roman" w:hint="eastAsia"/>
          <w:sz w:val="24"/>
        </w:rPr>
        <w:t>)</w:t>
      </w:r>
      <w:r w:rsidRPr="00A519ED">
        <w:rPr>
          <w:rFonts w:ascii="Calibri" w:eastAsia="宋体" w:hAnsi="Calibri" w:cs="Times New Roman"/>
          <w:sz w:val="24"/>
        </w:rPr>
        <w:t>情况，平时作业的完成情况等；期末考核采用闭卷考试。</w:t>
      </w:r>
    </w:p>
    <w:p w14:paraId="7F05D388" w14:textId="77777777" w:rsidR="00A519ED" w:rsidRPr="00A519ED" w:rsidRDefault="00A519ED" w:rsidP="00A519ED">
      <w:pPr>
        <w:spacing w:beforeLines="50" w:before="156" w:afterLines="50" w:after="156" w:line="440" w:lineRule="exact"/>
        <w:ind w:firstLineChars="200" w:firstLine="560"/>
        <w:rPr>
          <w:rFonts w:ascii="Calibri" w:eastAsia="黑体" w:hAnsi="Calibri" w:cs="Times New Roman"/>
          <w:sz w:val="28"/>
          <w:szCs w:val="28"/>
        </w:rPr>
      </w:pPr>
      <w:r w:rsidRPr="00A519ED">
        <w:rPr>
          <w:rFonts w:ascii="Calibri" w:eastAsia="黑体" w:hAnsi="Calibri" w:cs="Times New Roman"/>
          <w:sz w:val="28"/>
          <w:szCs w:val="28"/>
        </w:rPr>
        <w:t>（三）课程目标达成评价方式及考核比例</w:t>
      </w:r>
    </w:p>
    <w:p w14:paraId="1D91076A"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本课程考核方式及成绩比例为：平时成绩</w:t>
      </w:r>
      <w:r w:rsidRPr="00A519ED">
        <w:rPr>
          <w:rFonts w:ascii="Calibri" w:eastAsia="宋体" w:hAnsi="Calibri" w:cs="Times New Roman"/>
          <w:sz w:val="24"/>
        </w:rPr>
        <w:t>50%+</w:t>
      </w:r>
      <w:r w:rsidRPr="00A519ED">
        <w:rPr>
          <w:rFonts w:ascii="Calibri" w:eastAsia="宋体" w:hAnsi="Calibri" w:cs="Times New Roman"/>
          <w:sz w:val="24"/>
        </w:rPr>
        <w:t>期末考试</w:t>
      </w:r>
      <w:r w:rsidRPr="00A519ED">
        <w:rPr>
          <w:rFonts w:ascii="Calibri" w:eastAsia="宋体" w:hAnsi="Calibri" w:cs="Times New Roman"/>
          <w:sz w:val="24"/>
        </w:rPr>
        <w:t>50%</w:t>
      </w:r>
      <w:r w:rsidRPr="00A519ED">
        <w:rPr>
          <w:rFonts w:ascii="Calibri" w:eastAsia="宋体" w:hAnsi="Calibri" w:cs="Times New Roman"/>
          <w:sz w:val="24"/>
        </w:rPr>
        <w:t>；本课程共有三个课程目标，考核方式及成绩比例分别为：</w:t>
      </w:r>
    </w:p>
    <w:p w14:paraId="5FD61C7C"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课程目标</w:t>
      </w:r>
      <w:r w:rsidRPr="00A519ED">
        <w:rPr>
          <w:rFonts w:ascii="Calibri" w:eastAsia="宋体" w:hAnsi="Calibri" w:cs="Times New Roman"/>
          <w:sz w:val="24"/>
        </w:rPr>
        <w:t>1</w:t>
      </w:r>
      <w:r w:rsidRPr="00A519ED">
        <w:rPr>
          <w:rFonts w:ascii="Calibri" w:eastAsia="宋体" w:hAnsi="Calibri" w:cs="Times New Roman"/>
          <w:sz w:val="24"/>
        </w:rPr>
        <w:t>：课堂表现</w:t>
      </w:r>
      <w:r w:rsidRPr="00A519ED">
        <w:rPr>
          <w:rFonts w:ascii="Calibri" w:eastAsia="宋体" w:hAnsi="Calibri" w:cs="Times New Roman"/>
          <w:sz w:val="24"/>
        </w:rPr>
        <w:t>10%+</w:t>
      </w:r>
      <w:r w:rsidRPr="00A519ED">
        <w:rPr>
          <w:rFonts w:ascii="Calibri" w:eastAsia="宋体" w:hAnsi="Calibri" w:cs="Times New Roman"/>
          <w:sz w:val="24"/>
        </w:rPr>
        <w:t>课堂考勤</w:t>
      </w:r>
      <w:r w:rsidRPr="00A519ED">
        <w:rPr>
          <w:rFonts w:ascii="Calibri" w:eastAsia="宋体" w:hAnsi="Calibri" w:cs="Times New Roman"/>
          <w:sz w:val="24"/>
        </w:rPr>
        <w:t>5%+</w:t>
      </w:r>
      <w:r w:rsidRPr="00A519ED">
        <w:rPr>
          <w:rFonts w:ascii="Calibri" w:eastAsia="宋体" w:hAnsi="Calibri" w:cs="Times New Roman"/>
          <w:sz w:val="24"/>
        </w:rPr>
        <w:t>平时作业</w:t>
      </w:r>
      <w:r w:rsidRPr="00A519ED">
        <w:rPr>
          <w:rFonts w:ascii="Calibri" w:eastAsia="宋体" w:hAnsi="Calibri" w:cs="Times New Roman"/>
          <w:sz w:val="24"/>
        </w:rPr>
        <w:t>10%+</w:t>
      </w:r>
      <w:r w:rsidRPr="00A519ED">
        <w:rPr>
          <w:rFonts w:ascii="Calibri" w:eastAsia="宋体" w:hAnsi="Calibri" w:cs="Times New Roman"/>
          <w:sz w:val="24"/>
        </w:rPr>
        <w:t>期末考试</w:t>
      </w:r>
      <w:r w:rsidRPr="00A519ED">
        <w:rPr>
          <w:rFonts w:ascii="Calibri" w:eastAsia="宋体" w:hAnsi="Calibri" w:cs="Times New Roman"/>
          <w:sz w:val="24"/>
        </w:rPr>
        <w:t>25%</w:t>
      </w:r>
    </w:p>
    <w:p w14:paraId="340FBCFB"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课程目标</w:t>
      </w:r>
      <w:r w:rsidRPr="00A519ED">
        <w:rPr>
          <w:rFonts w:ascii="Calibri" w:eastAsia="宋体" w:hAnsi="Calibri" w:cs="Times New Roman"/>
          <w:sz w:val="24"/>
        </w:rPr>
        <w:t>2</w:t>
      </w:r>
      <w:r w:rsidRPr="00A519ED">
        <w:rPr>
          <w:rFonts w:ascii="Calibri" w:eastAsia="宋体" w:hAnsi="Calibri" w:cs="Times New Roman"/>
          <w:sz w:val="24"/>
        </w:rPr>
        <w:t>：课堂表现</w:t>
      </w:r>
      <w:r w:rsidRPr="00A519ED">
        <w:rPr>
          <w:rFonts w:ascii="Calibri" w:eastAsia="宋体" w:hAnsi="Calibri" w:cs="Times New Roman"/>
          <w:sz w:val="24"/>
        </w:rPr>
        <w:t>5%+</w:t>
      </w:r>
      <w:r w:rsidRPr="00A519ED">
        <w:rPr>
          <w:rFonts w:ascii="Calibri" w:eastAsia="宋体" w:hAnsi="Calibri" w:cs="Times New Roman"/>
          <w:sz w:val="24"/>
        </w:rPr>
        <w:t>课堂考勤</w:t>
      </w:r>
      <w:r w:rsidRPr="00A519ED">
        <w:rPr>
          <w:rFonts w:ascii="Calibri" w:eastAsia="宋体" w:hAnsi="Calibri" w:cs="Times New Roman"/>
          <w:sz w:val="24"/>
        </w:rPr>
        <w:t>5%+</w:t>
      </w:r>
      <w:r w:rsidRPr="00A519ED">
        <w:rPr>
          <w:rFonts w:ascii="Calibri" w:eastAsia="宋体" w:hAnsi="Calibri" w:cs="Times New Roman"/>
          <w:sz w:val="24"/>
        </w:rPr>
        <w:t>平时作业</w:t>
      </w:r>
      <w:r w:rsidRPr="00A519ED">
        <w:rPr>
          <w:rFonts w:ascii="Calibri" w:eastAsia="宋体" w:hAnsi="Calibri" w:cs="Times New Roman"/>
          <w:sz w:val="24"/>
        </w:rPr>
        <w:t>5%</w:t>
      </w:r>
    </w:p>
    <w:p w14:paraId="5AD1AD4B"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课程目标</w:t>
      </w:r>
      <w:r w:rsidRPr="00A519ED">
        <w:rPr>
          <w:rFonts w:ascii="Calibri" w:eastAsia="宋体" w:hAnsi="Calibri" w:cs="Times New Roman"/>
          <w:sz w:val="24"/>
        </w:rPr>
        <w:t>3</w:t>
      </w:r>
      <w:r w:rsidRPr="00A519ED">
        <w:rPr>
          <w:rFonts w:ascii="Calibri" w:eastAsia="宋体" w:hAnsi="Calibri" w:cs="Times New Roman"/>
          <w:sz w:val="24"/>
        </w:rPr>
        <w:t>：课堂表现</w:t>
      </w:r>
      <w:r w:rsidRPr="00A519ED">
        <w:rPr>
          <w:rFonts w:ascii="Calibri" w:eastAsia="宋体" w:hAnsi="Calibri" w:cs="Times New Roman"/>
          <w:sz w:val="24"/>
        </w:rPr>
        <w:t>5%+</w:t>
      </w:r>
      <w:r w:rsidRPr="00A519ED">
        <w:rPr>
          <w:rFonts w:ascii="Calibri" w:eastAsia="宋体" w:hAnsi="Calibri" w:cs="Times New Roman"/>
          <w:sz w:val="24"/>
        </w:rPr>
        <w:t>平时作业</w:t>
      </w:r>
      <w:r w:rsidRPr="00A519ED">
        <w:rPr>
          <w:rFonts w:ascii="Calibri" w:eastAsia="宋体" w:hAnsi="Calibri" w:cs="Times New Roman"/>
          <w:sz w:val="24"/>
        </w:rPr>
        <w:t>5%+</w:t>
      </w:r>
      <w:r w:rsidRPr="00A519ED">
        <w:rPr>
          <w:rFonts w:ascii="Calibri" w:eastAsia="宋体" w:hAnsi="Calibri" w:cs="Times New Roman"/>
          <w:sz w:val="24"/>
        </w:rPr>
        <w:t>期末考试</w:t>
      </w:r>
      <w:r w:rsidRPr="00A519ED">
        <w:rPr>
          <w:rFonts w:ascii="Calibri" w:eastAsia="宋体" w:hAnsi="Calibri" w:cs="Times New Roman"/>
          <w:sz w:val="24"/>
        </w:rPr>
        <w:t>25%</w:t>
      </w:r>
    </w:p>
    <w:p w14:paraId="38F1F45B"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lastRenderedPageBreak/>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A519ED" w:rsidRPr="00A519ED" w14:paraId="0D021EB2" w14:textId="77777777" w:rsidTr="00BA2CFD">
        <w:trPr>
          <w:trHeight w:val="540"/>
          <w:jc w:val="center"/>
        </w:trPr>
        <w:tc>
          <w:tcPr>
            <w:tcW w:w="1422" w:type="dxa"/>
            <w:vMerge w:val="restart"/>
            <w:vAlign w:val="center"/>
          </w:tcPr>
          <w:p w14:paraId="3538264B" w14:textId="77777777" w:rsidR="00A519ED" w:rsidRPr="00A519ED" w:rsidRDefault="00A519ED" w:rsidP="00A519ED">
            <w:pPr>
              <w:spacing w:line="440" w:lineRule="exact"/>
              <w:jc w:val="center"/>
              <w:rPr>
                <w:rFonts w:ascii="Calibri" w:eastAsia="宋体" w:hAnsi="Calibri" w:cs="Times New Roman"/>
                <w:b/>
                <w:sz w:val="24"/>
              </w:rPr>
            </w:pPr>
            <w:r w:rsidRPr="00A519ED">
              <w:rPr>
                <w:rFonts w:ascii="Calibri" w:eastAsia="宋体" w:hAnsi="Calibri" w:cs="Times New Roman"/>
                <w:b/>
                <w:sz w:val="24"/>
              </w:rPr>
              <w:t>课程目标</w:t>
            </w:r>
          </w:p>
        </w:tc>
        <w:tc>
          <w:tcPr>
            <w:tcW w:w="6271" w:type="dxa"/>
            <w:gridSpan w:val="4"/>
            <w:vAlign w:val="center"/>
          </w:tcPr>
          <w:p w14:paraId="4621DFEA" w14:textId="77777777" w:rsidR="00A519ED" w:rsidRPr="00A519ED" w:rsidRDefault="00A519ED" w:rsidP="00A519ED">
            <w:pPr>
              <w:spacing w:line="440" w:lineRule="exact"/>
              <w:jc w:val="center"/>
              <w:rPr>
                <w:rFonts w:ascii="Calibri" w:eastAsia="宋体" w:hAnsi="Calibri" w:cs="Times New Roman"/>
                <w:b/>
                <w:sz w:val="24"/>
              </w:rPr>
            </w:pPr>
            <w:r w:rsidRPr="00A519ED">
              <w:rPr>
                <w:rFonts w:ascii="Calibri" w:eastAsia="宋体" w:hAnsi="Calibri" w:cs="Times New Roman"/>
                <w:b/>
                <w:sz w:val="24"/>
              </w:rPr>
              <w:t>考核方式及成绩比例（</w:t>
            </w:r>
            <w:r w:rsidRPr="00A519ED">
              <w:rPr>
                <w:rFonts w:ascii="Calibri" w:eastAsia="宋体" w:hAnsi="Calibri" w:cs="Times New Roman"/>
                <w:b/>
                <w:sz w:val="24"/>
              </w:rPr>
              <w:t>%</w:t>
            </w:r>
            <w:r w:rsidRPr="00A519ED">
              <w:rPr>
                <w:rFonts w:ascii="Calibri" w:eastAsia="宋体" w:hAnsi="Calibri" w:cs="Times New Roman"/>
                <w:b/>
                <w:sz w:val="24"/>
              </w:rPr>
              <w:t>）</w:t>
            </w:r>
          </w:p>
        </w:tc>
        <w:tc>
          <w:tcPr>
            <w:tcW w:w="1559" w:type="dxa"/>
            <w:vMerge w:val="restart"/>
            <w:vAlign w:val="center"/>
          </w:tcPr>
          <w:p w14:paraId="1C97F797" w14:textId="77777777" w:rsidR="00A519ED" w:rsidRPr="00A519ED" w:rsidRDefault="00A519ED" w:rsidP="00A519ED">
            <w:pPr>
              <w:spacing w:line="440" w:lineRule="exact"/>
              <w:jc w:val="center"/>
              <w:rPr>
                <w:rFonts w:ascii="Calibri" w:eastAsia="宋体" w:hAnsi="Calibri" w:cs="Times New Roman"/>
                <w:b/>
                <w:sz w:val="24"/>
              </w:rPr>
            </w:pPr>
            <w:r w:rsidRPr="00A519ED">
              <w:rPr>
                <w:rFonts w:ascii="Calibri" w:eastAsia="宋体" w:hAnsi="Calibri" w:cs="Times New Roman"/>
                <w:b/>
                <w:sz w:val="24"/>
              </w:rPr>
              <w:t>合计</w:t>
            </w:r>
          </w:p>
        </w:tc>
      </w:tr>
      <w:tr w:rsidR="00A519ED" w:rsidRPr="00A519ED" w14:paraId="6279BD94" w14:textId="77777777" w:rsidTr="00BA2CFD">
        <w:trPr>
          <w:trHeight w:val="578"/>
          <w:jc w:val="center"/>
        </w:trPr>
        <w:tc>
          <w:tcPr>
            <w:tcW w:w="1422" w:type="dxa"/>
            <w:vMerge/>
            <w:vAlign w:val="center"/>
          </w:tcPr>
          <w:p w14:paraId="2560470A" w14:textId="77777777" w:rsidR="00A519ED" w:rsidRPr="00A519ED" w:rsidRDefault="00A519ED" w:rsidP="00A519ED">
            <w:pPr>
              <w:spacing w:line="440" w:lineRule="exact"/>
              <w:jc w:val="center"/>
              <w:rPr>
                <w:rFonts w:ascii="Calibri" w:eastAsia="宋体" w:hAnsi="Calibri" w:cs="Times New Roman"/>
                <w:b/>
                <w:sz w:val="24"/>
              </w:rPr>
            </w:pPr>
          </w:p>
        </w:tc>
        <w:tc>
          <w:tcPr>
            <w:tcW w:w="1452" w:type="dxa"/>
            <w:vAlign w:val="center"/>
          </w:tcPr>
          <w:p w14:paraId="79922332" w14:textId="77777777" w:rsidR="00A519ED" w:rsidRPr="00A519ED" w:rsidRDefault="00A519ED" w:rsidP="00A519ED">
            <w:pPr>
              <w:spacing w:line="440" w:lineRule="exact"/>
              <w:jc w:val="center"/>
              <w:rPr>
                <w:rFonts w:ascii="Calibri" w:eastAsia="宋体" w:hAnsi="Calibri" w:cs="Times New Roman"/>
                <w:b/>
                <w:sz w:val="24"/>
              </w:rPr>
            </w:pPr>
            <w:r w:rsidRPr="00A519ED">
              <w:rPr>
                <w:rFonts w:ascii="Calibri" w:eastAsia="宋体" w:hAnsi="Calibri" w:cs="Times New Roman"/>
                <w:b/>
                <w:sz w:val="24"/>
              </w:rPr>
              <w:t>课堂表现</w:t>
            </w:r>
          </w:p>
        </w:tc>
        <w:tc>
          <w:tcPr>
            <w:tcW w:w="1559" w:type="dxa"/>
            <w:vAlign w:val="center"/>
          </w:tcPr>
          <w:p w14:paraId="765D29D3" w14:textId="77777777" w:rsidR="00A519ED" w:rsidRPr="00A519ED" w:rsidRDefault="00A519ED" w:rsidP="00A519ED">
            <w:pPr>
              <w:spacing w:line="440" w:lineRule="exact"/>
              <w:jc w:val="center"/>
              <w:rPr>
                <w:rFonts w:ascii="Calibri" w:eastAsia="宋体" w:hAnsi="Calibri" w:cs="Times New Roman"/>
                <w:b/>
                <w:sz w:val="24"/>
              </w:rPr>
            </w:pPr>
            <w:r w:rsidRPr="00A519ED">
              <w:rPr>
                <w:rFonts w:ascii="Calibri" w:eastAsia="宋体" w:hAnsi="Calibri" w:cs="Times New Roman"/>
                <w:b/>
                <w:sz w:val="24"/>
              </w:rPr>
              <w:t>课堂考勤</w:t>
            </w:r>
          </w:p>
        </w:tc>
        <w:tc>
          <w:tcPr>
            <w:tcW w:w="1701" w:type="dxa"/>
            <w:vAlign w:val="center"/>
          </w:tcPr>
          <w:p w14:paraId="6F1A7CCF" w14:textId="77777777" w:rsidR="00A519ED" w:rsidRPr="00A519ED" w:rsidRDefault="00A519ED" w:rsidP="00A519ED">
            <w:pPr>
              <w:spacing w:line="440" w:lineRule="exact"/>
              <w:jc w:val="center"/>
              <w:rPr>
                <w:rFonts w:ascii="Calibri" w:eastAsia="宋体" w:hAnsi="Calibri" w:cs="Times New Roman"/>
                <w:b/>
                <w:sz w:val="24"/>
              </w:rPr>
            </w:pPr>
            <w:r w:rsidRPr="00A519ED">
              <w:rPr>
                <w:rFonts w:ascii="Calibri" w:eastAsia="宋体" w:hAnsi="Calibri" w:cs="Times New Roman"/>
                <w:b/>
                <w:sz w:val="24"/>
              </w:rPr>
              <w:t>平时作业</w:t>
            </w:r>
          </w:p>
        </w:tc>
        <w:tc>
          <w:tcPr>
            <w:tcW w:w="1559" w:type="dxa"/>
            <w:vAlign w:val="center"/>
          </w:tcPr>
          <w:p w14:paraId="66330676" w14:textId="77777777" w:rsidR="00A519ED" w:rsidRPr="00A519ED" w:rsidRDefault="00A519ED" w:rsidP="00A519ED">
            <w:pPr>
              <w:spacing w:line="440" w:lineRule="exact"/>
              <w:jc w:val="center"/>
              <w:rPr>
                <w:rFonts w:ascii="Calibri" w:eastAsia="宋体" w:hAnsi="Calibri" w:cs="Times New Roman"/>
                <w:b/>
                <w:sz w:val="24"/>
              </w:rPr>
            </w:pPr>
            <w:r w:rsidRPr="00A519ED">
              <w:rPr>
                <w:rFonts w:ascii="Calibri" w:eastAsia="宋体" w:hAnsi="Calibri" w:cs="Times New Roman"/>
                <w:b/>
                <w:sz w:val="24"/>
              </w:rPr>
              <w:t>期末考试</w:t>
            </w:r>
          </w:p>
        </w:tc>
        <w:tc>
          <w:tcPr>
            <w:tcW w:w="1559" w:type="dxa"/>
            <w:vMerge/>
          </w:tcPr>
          <w:p w14:paraId="4E8BC10C" w14:textId="77777777" w:rsidR="00A519ED" w:rsidRPr="00A519ED" w:rsidRDefault="00A519ED" w:rsidP="00A519ED">
            <w:pPr>
              <w:spacing w:line="440" w:lineRule="exact"/>
              <w:jc w:val="center"/>
              <w:rPr>
                <w:rFonts w:ascii="Calibri" w:eastAsia="宋体" w:hAnsi="Calibri" w:cs="Times New Roman"/>
                <w:b/>
                <w:sz w:val="24"/>
              </w:rPr>
            </w:pPr>
          </w:p>
        </w:tc>
      </w:tr>
      <w:tr w:rsidR="00A519ED" w:rsidRPr="00A519ED" w14:paraId="5553F318" w14:textId="77777777" w:rsidTr="00BA2CFD">
        <w:trPr>
          <w:jc w:val="center"/>
        </w:trPr>
        <w:tc>
          <w:tcPr>
            <w:tcW w:w="1422" w:type="dxa"/>
            <w:vAlign w:val="center"/>
          </w:tcPr>
          <w:p w14:paraId="736AB6E5"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课程目标</w:t>
            </w:r>
            <w:r w:rsidRPr="00A519ED">
              <w:rPr>
                <w:rFonts w:ascii="Calibri" w:eastAsia="宋体" w:hAnsi="Calibri" w:cs="Times New Roman"/>
                <w:bCs/>
                <w:sz w:val="24"/>
              </w:rPr>
              <w:t>1</w:t>
            </w:r>
          </w:p>
        </w:tc>
        <w:tc>
          <w:tcPr>
            <w:tcW w:w="1452" w:type="dxa"/>
            <w:vAlign w:val="center"/>
          </w:tcPr>
          <w:p w14:paraId="5FF7711E"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10</w:t>
            </w:r>
          </w:p>
        </w:tc>
        <w:tc>
          <w:tcPr>
            <w:tcW w:w="1559" w:type="dxa"/>
            <w:vAlign w:val="center"/>
          </w:tcPr>
          <w:p w14:paraId="32BB648A"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5</w:t>
            </w:r>
          </w:p>
        </w:tc>
        <w:tc>
          <w:tcPr>
            <w:tcW w:w="1701" w:type="dxa"/>
            <w:vAlign w:val="center"/>
          </w:tcPr>
          <w:p w14:paraId="5A0CD766"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10</w:t>
            </w:r>
          </w:p>
        </w:tc>
        <w:tc>
          <w:tcPr>
            <w:tcW w:w="1559" w:type="dxa"/>
            <w:vAlign w:val="center"/>
          </w:tcPr>
          <w:p w14:paraId="39B05905" w14:textId="77777777" w:rsidR="00A519ED" w:rsidRPr="00A519ED" w:rsidRDefault="00A519ED" w:rsidP="00A519ED">
            <w:pPr>
              <w:spacing w:line="440" w:lineRule="exact"/>
              <w:ind w:firstLineChars="200" w:firstLine="480"/>
              <w:rPr>
                <w:rFonts w:ascii="Calibri" w:eastAsia="宋体" w:hAnsi="Calibri" w:cs="Times New Roman"/>
                <w:bCs/>
                <w:sz w:val="24"/>
              </w:rPr>
            </w:pPr>
            <w:r w:rsidRPr="00A519ED">
              <w:rPr>
                <w:rFonts w:ascii="Calibri" w:eastAsia="宋体" w:hAnsi="Calibri" w:cs="Times New Roman"/>
                <w:bCs/>
                <w:sz w:val="24"/>
              </w:rPr>
              <w:t>25</w:t>
            </w:r>
          </w:p>
        </w:tc>
        <w:tc>
          <w:tcPr>
            <w:tcW w:w="1559" w:type="dxa"/>
          </w:tcPr>
          <w:p w14:paraId="3D53DD0C"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50</w:t>
            </w:r>
          </w:p>
        </w:tc>
      </w:tr>
      <w:tr w:rsidR="00A519ED" w:rsidRPr="00A519ED" w14:paraId="4452A997" w14:textId="77777777" w:rsidTr="00BA2CFD">
        <w:trPr>
          <w:jc w:val="center"/>
        </w:trPr>
        <w:tc>
          <w:tcPr>
            <w:tcW w:w="1422" w:type="dxa"/>
            <w:vAlign w:val="center"/>
          </w:tcPr>
          <w:p w14:paraId="10A1C27A"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课程目标</w:t>
            </w:r>
            <w:r w:rsidRPr="00A519ED">
              <w:rPr>
                <w:rFonts w:ascii="Calibri" w:eastAsia="宋体" w:hAnsi="Calibri" w:cs="Times New Roman"/>
                <w:bCs/>
                <w:sz w:val="24"/>
              </w:rPr>
              <w:t>2</w:t>
            </w:r>
          </w:p>
        </w:tc>
        <w:tc>
          <w:tcPr>
            <w:tcW w:w="1452" w:type="dxa"/>
            <w:vAlign w:val="center"/>
          </w:tcPr>
          <w:p w14:paraId="28AE853C"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5</w:t>
            </w:r>
          </w:p>
        </w:tc>
        <w:tc>
          <w:tcPr>
            <w:tcW w:w="1559" w:type="dxa"/>
            <w:vAlign w:val="center"/>
          </w:tcPr>
          <w:p w14:paraId="4A3A0A24"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5</w:t>
            </w:r>
          </w:p>
        </w:tc>
        <w:tc>
          <w:tcPr>
            <w:tcW w:w="1701" w:type="dxa"/>
            <w:vAlign w:val="center"/>
          </w:tcPr>
          <w:p w14:paraId="2FA3DB86"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5</w:t>
            </w:r>
          </w:p>
        </w:tc>
        <w:tc>
          <w:tcPr>
            <w:tcW w:w="1559" w:type="dxa"/>
            <w:vAlign w:val="center"/>
          </w:tcPr>
          <w:p w14:paraId="3C29725B" w14:textId="77777777" w:rsidR="00A519ED" w:rsidRPr="00A519ED" w:rsidRDefault="00A519ED" w:rsidP="00A519ED">
            <w:pPr>
              <w:spacing w:line="440" w:lineRule="exact"/>
              <w:jc w:val="center"/>
              <w:rPr>
                <w:rFonts w:ascii="Calibri" w:eastAsia="宋体" w:hAnsi="Calibri" w:cs="Times New Roman"/>
                <w:bCs/>
                <w:sz w:val="24"/>
              </w:rPr>
            </w:pPr>
          </w:p>
        </w:tc>
        <w:tc>
          <w:tcPr>
            <w:tcW w:w="1559" w:type="dxa"/>
          </w:tcPr>
          <w:p w14:paraId="1D14DC43"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15</w:t>
            </w:r>
          </w:p>
        </w:tc>
      </w:tr>
      <w:tr w:rsidR="00A519ED" w:rsidRPr="00A519ED" w14:paraId="69034DDF" w14:textId="77777777" w:rsidTr="00BA2CFD">
        <w:trPr>
          <w:jc w:val="center"/>
        </w:trPr>
        <w:tc>
          <w:tcPr>
            <w:tcW w:w="1422" w:type="dxa"/>
            <w:vAlign w:val="center"/>
          </w:tcPr>
          <w:p w14:paraId="3240E8FD"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课程目标</w:t>
            </w:r>
            <w:r w:rsidRPr="00A519ED">
              <w:rPr>
                <w:rFonts w:ascii="Calibri" w:eastAsia="宋体" w:hAnsi="Calibri" w:cs="Times New Roman"/>
                <w:bCs/>
                <w:sz w:val="24"/>
              </w:rPr>
              <w:t>3</w:t>
            </w:r>
          </w:p>
        </w:tc>
        <w:tc>
          <w:tcPr>
            <w:tcW w:w="1452" w:type="dxa"/>
            <w:vAlign w:val="center"/>
          </w:tcPr>
          <w:p w14:paraId="7F36F14C"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5</w:t>
            </w:r>
          </w:p>
        </w:tc>
        <w:tc>
          <w:tcPr>
            <w:tcW w:w="1559" w:type="dxa"/>
            <w:vAlign w:val="center"/>
          </w:tcPr>
          <w:p w14:paraId="79D3E412" w14:textId="77777777" w:rsidR="00A519ED" w:rsidRPr="00A519ED" w:rsidRDefault="00A519ED" w:rsidP="00A519ED">
            <w:pPr>
              <w:spacing w:line="440" w:lineRule="exact"/>
              <w:jc w:val="center"/>
              <w:rPr>
                <w:rFonts w:ascii="Calibri" w:eastAsia="宋体" w:hAnsi="Calibri" w:cs="Times New Roman"/>
                <w:bCs/>
                <w:sz w:val="24"/>
              </w:rPr>
            </w:pPr>
          </w:p>
        </w:tc>
        <w:tc>
          <w:tcPr>
            <w:tcW w:w="1701" w:type="dxa"/>
            <w:vAlign w:val="center"/>
          </w:tcPr>
          <w:p w14:paraId="50E1834B"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5</w:t>
            </w:r>
          </w:p>
        </w:tc>
        <w:tc>
          <w:tcPr>
            <w:tcW w:w="1559" w:type="dxa"/>
            <w:vAlign w:val="center"/>
          </w:tcPr>
          <w:p w14:paraId="7676BEB7"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25</w:t>
            </w:r>
          </w:p>
        </w:tc>
        <w:tc>
          <w:tcPr>
            <w:tcW w:w="1559" w:type="dxa"/>
          </w:tcPr>
          <w:p w14:paraId="447F76F4"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35</w:t>
            </w:r>
          </w:p>
        </w:tc>
      </w:tr>
      <w:tr w:rsidR="00A519ED" w:rsidRPr="00A519ED" w14:paraId="077BB6F7" w14:textId="77777777" w:rsidTr="00BA2CFD">
        <w:trPr>
          <w:jc w:val="center"/>
        </w:trPr>
        <w:tc>
          <w:tcPr>
            <w:tcW w:w="1422" w:type="dxa"/>
            <w:vAlign w:val="center"/>
          </w:tcPr>
          <w:p w14:paraId="3ECF5F0B"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合计</w:t>
            </w:r>
          </w:p>
        </w:tc>
        <w:tc>
          <w:tcPr>
            <w:tcW w:w="1452" w:type="dxa"/>
            <w:vAlign w:val="center"/>
          </w:tcPr>
          <w:p w14:paraId="347E0C94"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20</w:t>
            </w:r>
          </w:p>
        </w:tc>
        <w:tc>
          <w:tcPr>
            <w:tcW w:w="1559" w:type="dxa"/>
            <w:vAlign w:val="center"/>
          </w:tcPr>
          <w:p w14:paraId="62B54C9A"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10</w:t>
            </w:r>
          </w:p>
        </w:tc>
        <w:tc>
          <w:tcPr>
            <w:tcW w:w="1701" w:type="dxa"/>
            <w:vAlign w:val="center"/>
          </w:tcPr>
          <w:p w14:paraId="60488AAF"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20</w:t>
            </w:r>
          </w:p>
        </w:tc>
        <w:tc>
          <w:tcPr>
            <w:tcW w:w="1559" w:type="dxa"/>
            <w:vAlign w:val="center"/>
          </w:tcPr>
          <w:p w14:paraId="59FD3423"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50</w:t>
            </w:r>
          </w:p>
        </w:tc>
        <w:tc>
          <w:tcPr>
            <w:tcW w:w="1559" w:type="dxa"/>
          </w:tcPr>
          <w:p w14:paraId="61C61760" w14:textId="77777777" w:rsidR="00A519ED" w:rsidRPr="00A519ED" w:rsidRDefault="00A519ED" w:rsidP="00A519ED">
            <w:pPr>
              <w:spacing w:line="440" w:lineRule="exact"/>
              <w:jc w:val="center"/>
              <w:rPr>
                <w:rFonts w:ascii="Calibri" w:eastAsia="宋体" w:hAnsi="Calibri" w:cs="Times New Roman"/>
                <w:bCs/>
                <w:sz w:val="24"/>
              </w:rPr>
            </w:pPr>
            <w:r w:rsidRPr="00A519ED">
              <w:rPr>
                <w:rFonts w:ascii="Calibri" w:eastAsia="宋体" w:hAnsi="Calibri" w:cs="Times New Roman"/>
                <w:bCs/>
                <w:sz w:val="24"/>
              </w:rPr>
              <w:t>100</w:t>
            </w:r>
          </w:p>
        </w:tc>
      </w:tr>
    </w:tbl>
    <w:p w14:paraId="3026C33A" w14:textId="77777777" w:rsidR="00A519ED" w:rsidRPr="00A519ED" w:rsidRDefault="00A519ED" w:rsidP="00A519ED">
      <w:pPr>
        <w:spacing w:beforeLines="50" w:before="156" w:afterLines="50" w:after="156" w:line="440" w:lineRule="exact"/>
        <w:ind w:firstLineChars="200" w:firstLine="560"/>
        <w:rPr>
          <w:rFonts w:ascii="Calibri" w:eastAsia="黑体" w:hAnsi="Calibri" w:cs="Times New Roman"/>
          <w:sz w:val="28"/>
          <w:szCs w:val="28"/>
        </w:rPr>
      </w:pPr>
      <w:r w:rsidRPr="00A519ED">
        <w:rPr>
          <w:rFonts w:ascii="Calibri" w:eastAsia="黑体" w:hAnsi="Calibri" w:cs="Times New Roman"/>
          <w:sz w:val="28"/>
          <w:szCs w:val="28"/>
        </w:rPr>
        <w:t>五、成绩评定</w:t>
      </w:r>
    </w:p>
    <w:p w14:paraId="5A1C42F6" w14:textId="77777777" w:rsidR="00A519ED" w:rsidRPr="00A519ED" w:rsidRDefault="00A519ED" w:rsidP="00A519ED">
      <w:pPr>
        <w:spacing w:beforeLines="50" w:before="156" w:afterLines="50" w:after="156" w:line="440" w:lineRule="exact"/>
        <w:ind w:firstLineChars="200" w:firstLine="560"/>
        <w:rPr>
          <w:rFonts w:ascii="Calibri" w:eastAsia="黑体" w:hAnsi="Calibri" w:cs="Times New Roman"/>
          <w:sz w:val="28"/>
          <w:szCs w:val="28"/>
        </w:rPr>
      </w:pPr>
      <w:r w:rsidRPr="00A519ED">
        <w:rPr>
          <w:rFonts w:ascii="Calibri" w:eastAsia="黑体" w:hAnsi="Calibri" w:cs="Times New Roman"/>
          <w:sz w:val="28"/>
          <w:szCs w:val="28"/>
        </w:rPr>
        <w:t>（一）总成绩评定</w:t>
      </w:r>
    </w:p>
    <w:p w14:paraId="0941CEBB"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总成绩</w:t>
      </w:r>
      <w:r w:rsidRPr="00A519ED">
        <w:rPr>
          <w:rFonts w:ascii="Calibri" w:eastAsia="宋体" w:hAnsi="Calibri" w:cs="Times New Roman"/>
          <w:sz w:val="24"/>
        </w:rPr>
        <w:t>=</w:t>
      </w:r>
      <w:r w:rsidRPr="00A519ED">
        <w:rPr>
          <w:rFonts w:ascii="Calibri" w:eastAsia="宋体" w:hAnsi="Calibri" w:cs="Times New Roman"/>
          <w:sz w:val="24"/>
        </w:rPr>
        <w:t>平时成绩</w:t>
      </w:r>
      <w:r w:rsidRPr="00A519ED">
        <w:rPr>
          <w:rFonts w:ascii="Calibri" w:eastAsia="宋体" w:hAnsi="Calibri" w:cs="Times New Roman"/>
          <w:sz w:val="24"/>
        </w:rPr>
        <w:t>×50%+</w:t>
      </w:r>
      <w:r w:rsidRPr="00A519ED">
        <w:rPr>
          <w:rFonts w:ascii="Calibri" w:eastAsia="宋体" w:hAnsi="Calibri" w:cs="Times New Roman"/>
          <w:sz w:val="24"/>
        </w:rPr>
        <w:t>期末成绩</w:t>
      </w:r>
      <w:r w:rsidRPr="00A519ED">
        <w:rPr>
          <w:rFonts w:ascii="Calibri" w:eastAsia="宋体" w:hAnsi="Calibri" w:cs="Times New Roman"/>
          <w:sz w:val="24"/>
        </w:rPr>
        <w:t>×50%</w:t>
      </w:r>
    </w:p>
    <w:p w14:paraId="3CA49CF9" w14:textId="77777777" w:rsidR="00A519ED" w:rsidRPr="00A519ED" w:rsidRDefault="00A519ED" w:rsidP="00A519ED">
      <w:pPr>
        <w:numPr>
          <w:ilvl w:val="0"/>
          <w:numId w:val="8"/>
        </w:numPr>
        <w:spacing w:line="440" w:lineRule="exact"/>
        <w:ind w:firstLineChars="200" w:firstLine="560"/>
        <w:rPr>
          <w:rFonts w:ascii="Calibri" w:eastAsia="黑体" w:hAnsi="Calibri" w:cs="Times New Roman"/>
          <w:sz w:val="28"/>
          <w:szCs w:val="28"/>
        </w:rPr>
      </w:pPr>
      <w:r w:rsidRPr="00A519ED">
        <w:rPr>
          <w:rFonts w:ascii="Calibri" w:eastAsia="黑体" w:hAnsi="Calibri" w:cs="Times New Roman"/>
          <w:sz w:val="28"/>
          <w:szCs w:val="28"/>
        </w:rPr>
        <w:t>平时成绩评定</w:t>
      </w:r>
    </w:p>
    <w:p w14:paraId="1226C969" w14:textId="77777777" w:rsidR="00A519ED" w:rsidRPr="00A519ED" w:rsidRDefault="00A519ED" w:rsidP="00A519ED">
      <w:pPr>
        <w:spacing w:line="440" w:lineRule="exact"/>
        <w:ind w:firstLineChars="200" w:firstLine="480"/>
        <w:rPr>
          <w:rFonts w:ascii="Calibri" w:eastAsia="宋体" w:hAnsi="Calibri" w:cs="Times New Roman"/>
          <w:b/>
          <w:bCs/>
          <w:sz w:val="24"/>
        </w:rPr>
      </w:pPr>
      <w:r w:rsidRPr="00A519ED">
        <w:rPr>
          <w:rFonts w:ascii="Calibri" w:eastAsia="宋体" w:hAnsi="Calibri" w:cs="Times New Roman"/>
          <w:sz w:val="24"/>
        </w:rPr>
        <w:t>平时成绩（</w:t>
      </w:r>
      <w:r w:rsidRPr="00A519ED">
        <w:rPr>
          <w:rFonts w:ascii="Calibri" w:eastAsia="宋体" w:hAnsi="Calibri" w:cs="Times New Roman"/>
          <w:sz w:val="24"/>
        </w:rPr>
        <w:t>100%</w:t>
      </w:r>
      <w:r w:rsidRPr="00A519ED">
        <w:rPr>
          <w:rFonts w:ascii="Calibri" w:eastAsia="宋体" w:hAnsi="Calibri" w:cs="Times New Roman"/>
          <w:sz w:val="24"/>
        </w:rPr>
        <w:t>）</w:t>
      </w:r>
      <w:r w:rsidRPr="00A519ED">
        <w:rPr>
          <w:rFonts w:ascii="Calibri" w:eastAsia="宋体" w:hAnsi="Calibri" w:cs="Times New Roman"/>
          <w:sz w:val="24"/>
        </w:rPr>
        <w:t>=</w:t>
      </w:r>
      <w:r w:rsidRPr="00A519ED">
        <w:rPr>
          <w:rFonts w:ascii="Calibri" w:eastAsia="宋体" w:hAnsi="Calibri" w:cs="Times New Roman"/>
          <w:sz w:val="24"/>
        </w:rPr>
        <w:t>课堂表现（</w:t>
      </w:r>
      <w:r w:rsidRPr="00A519ED">
        <w:rPr>
          <w:rFonts w:ascii="Calibri" w:eastAsia="宋体" w:hAnsi="Calibri" w:cs="Times New Roman"/>
          <w:sz w:val="24"/>
        </w:rPr>
        <w:t>40%</w:t>
      </w:r>
      <w:r w:rsidRPr="00A519ED">
        <w:rPr>
          <w:rFonts w:ascii="Calibri" w:eastAsia="宋体" w:hAnsi="Calibri" w:cs="Times New Roman"/>
          <w:sz w:val="24"/>
        </w:rPr>
        <w:t>）</w:t>
      </w:r>
      <w:r w:rsidRPr="00A519ED">
        <w:rPr>
          <w:rFonts w:ascii="Calibri" w:eastAsia="宋体" w:hAnsi="Calibri" w:cs="Times New Roman"/>
          <w:sz w:val="24"/>
        </w:rPr>
        <w:t>+</w:t>
      </w:r>
      <w:r w:rsidRPr="00A519ED">
        <w:rPr>
          <w:rFonts w:ascii="Calibri" w:eastAsia="宋体" w:hAnsi="Calibri" w:cs="Times New Roman"/>
          <w:sz w:val="24"/>
        </w:rPr>
        <w:t>课堂考勤（</w:t>
      </w:r>
      <w:r w:rsidRPr="00A519ED">
        <w:rPr>
          <w:rFonts w:ascii="Calibri" w:eastAsia="宋体" w:hAnsi="Calibri" w:cs="Times New Roman"/>
          <w:sz w:val="24"/>
        </w:rPr>
        <w:t>20%</w:t>
      </w:r>
      <w:r w:rsidRPr="00A519ED">
        <w:rPr>
          <w:rFonts w:ascii="Calibri" w:eastAsia="宋体" w:hAnsi="Calibri" w:cs="Times New Roman"/>
          <w:sz w:val="24"/>
        </w:rPr>
        <w:t>）</w:t>
      </w:r>
      <w:r w:rsidRPr="00A519ED">
        <w:rPr>
          <w:rFonts w:ascii="Calibri" w:eastAsia="宋体" w:hAnsi="Calibri" w:cs="Times New Roman"/>
          <w:sz w:val="24"/>
        </w:rPr>
        <w:t>+</w:t>
      </w:r>
      <w:r w:rsidRPr="00A519ED">
        <w:rPr>
          <w:rFonts w:ascii="Calibri" w:eastAsia="宋体" w:hAnsi="Calibri" w:cs="Times New Roman"/>
          <w:sz w:val="24"/>
        </w:rPr>
        <w:t>作业完成情况（</w:t>
      </w:r>
      <w:r w:rsidRPr="00A519ED">
        <w:rPr>
          <w:rFonts w:ascii="Calibri" w:eastAsia="宋体" w:hAnsi="Calibri" w:cs="Times New Roman"/>
          <w:sz w:val="24"/>
        </w:rPr>
        <w:t>40%</w:t>
      </w:r>
      <w:r w:rsidRPr="00A519ED">
        <w:rPr>
          <w:rFonts w:ascii="Calibri" w:eastAsia="宋体" w:hAnsi="Calibri" w:cs="Times New Roman"/>
          <w:sz w:val="24"/>
        </w:rPr>
        <w:t>）</w:t>
      </w:r>
    </w:p>
    <w:p w14:paraId="75098986" w14:textId="77777777" w:rsidR="00A519ED" w:rsidRPr="00A519ED" w:rsidRDefault="00A519ED" w:rsidP="00A519ED">
      <w:pPr>
        <w:spacing w:line="440" w:lineRule="exact"/>
        <w:ind w:firstLineChars="300" w:firstLine="723"/>
        <w:rPr>
          <w:rFonts w:ascii="Calibri" w:eastAsia="宋体" w:hAnsi="Calibri" w:cs="Times New Roman"/>
          <w:b/>
          <w:bCs/>
          <w:sz w:val="24"/>
        </w:rPr>
      </w:pPr>
      <w:r w:rsidRPr="00A519ED">
        <w:rPr>
          <w:rFonts w:ascii="Calibri" w:eastAsia="宋体" w:hAnsi="Calibri" w:cs="Times New Roman"/>
          <w:b/>
          <w:bCs/>
          <w:sz w:val="24"/>
        </w:rPr>
        <w:t>考核方式：</w:t>
      </w:r>
    </w:p>
    <w:p w14:paraId="09EDC55B"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 xml:space="preserve">1. </w:t>
      </w:r>
      <w:r w:rsidRPr="00A519ED">
        <w:rPr>
          <w:rFonts w:ascii="Calibri" w:eastAsia="宋体" w:hAnsi="Calibri" w:cs="Times New Roman"/>
          <w:sz w:val="24"/>
        </w:rPr>
        <w:t>课堂表现</w:t>
      </w:r>
      <w:r w:rsidRPr="00A519ED">
        <w:rPr>
          <w:rFonts w:ascii="Calibri" w:eastAsia="宋体" w:hAnsi="Calibri" w:cs="Times New Roman"/>
          <w:sz w:val="24"/>
        </w:rPr>
        <w:t xml:space="preserve">: </w:t>
      </w:r>
    </w:p>
    <w:p w14:paraId="01B8E84A" w14:textId="77777777" w:rsidR="00A519ED" w:rsidRPr="00A519ED" w:rsidRDefault="00A519ED" w:rsidP="00A519ED">
      <w:pPr>
        <w:spacing w:line="440" w:lineRule="exact"/>
        <w:ind w:left="420" w:firstLineChars="200" w:firstLine="480"/>
        <w:rPr>
          <w:rFonts w:ascii="Calibri" w:eastAsia="宋体" w:hAnsi="Calibri" w:cs="Times New Roman"/>
          <w:sz w:val="24"/>
        </w:rPr>
      </w:pPr>
      <w:r w:rsidRPr="00A519ED">
        <w:rPr>
          <w:rFonts w:ascii="Calibri" w:eastAsia="宋体" w:hAnsi="Calibri" w:cs="Times New Roman"/>
          <w:sz w:val="24"/>
        </w:rPr>
        <w:t>通过线上线下</w:t>
      </w:r>
      <w:r w:rsidRPr="00A519ED">
        <w:rPr>
          <w:rFonts w:ascii="Calibri" w:eastAsia="宋体" w:hAnsi="Calibri" w:cs="Times New Roman" w:hint="eastAsia"/>
          <w:sz w:val="24"/>
        </w:rPr>
        <w:t>，</w:t>
      </w:r>
      <w:r w:rsidRPr="00A519ED">
        <w:rPr>
          <w:rFonts w:ascii="Calibri" w:eastAsia="宋体" w:hAnsi="Calibri" w:cs="Times New Roman"/>
          <w:sz w:val="24"/>
        </w:rPr>
        <w:t>学生参与智慧课堂发起的投票、问卷、抢答、选人、讨论、随堂练习</w:t>
      </w:r>
      <w:r w:rsidRPr="00A519ED">
        <w:rPr>
          <w:rFonts w:ascii="Calibri" w:eastAsia="宋体" w:hAnsi="Calibri" w:cs="Times New Roman" w:hint="eastAsia"/>
          <w:sz w:val="24"/>
        </w:rPr>
        <w:t>或测试</w:t>
      </w:r>
      <w:r w:rsidRPr="00A519ED">
        <w:rPr>
          <w:rFonts w:ascii="Calibri" w:eastAsia="宋体" w:hAnsi="Calibri" w:cs="Times New Roman"/>
          <w:sz w:val="24"/>
        </w:rPr>
        <w:t>、</w:t>
      </w:r>
      <w:r w:rsidRPr="00A519ED">
        <w:rPr>
          <w:rFonts w:ascii="Calibri" w:eastAsia="宋体" w:hAnsi="Calibri" w:cs="Times New Roman" w:hint="eastAsia"/>
          <w:sz w:val="24"/>
        </w:rPr>
        <w:t>小组合作</w:t>
      </w:r>
      <w:r w:rsidRPr="00A519ED">
        <w:rPr>
          <w:rFonts w:ascii="Calibri" w:eastAsia="宋体" w:hAnsi="Calibri" w:cs="Times New Roman"/>
          <w:sz w:val="24"/>
        </w:rPr>
        <w:t>等课程活动，音视频任务点的完成情况等；</w:t>
      </w:r>
    </w:p>
    <w:p w14:paraId="2DB40326" w14:textId="77777777" w:rsidR="00A519ED" w:rsidRPr="00A519ED" w:rsidRDefault="00A519ED" w:rsidP="00A519ED">
      <w:pPr>
        <w:numPr>
          <w:ilvl w:val="0"/>
          <w:numId w:val="9"/>
        </w:num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课堂考勤：</w:t>
      </w:r>
    </w:p>
    <w:p w14:paraId="6DE99F59" w14:textId="77777777" w:rsidR="00A519ED" w:rsidRPr="00A519ED" w:rsidRDefault="00A519ED" w:rsidP="00A519ED">
      <w:pPr>
        <w:spacing w:line="440" w:lineRule="exact"/>
        <w:ind w:left="480" w:firstLineChars="200" w:firstLine="480"/>
        <w:rPr>
          <w:rFonts w:ascii="Calibri" w:eastAsia="宋体" w:hAnsi="Calibri" w:cs="Times New Roman"/>
          <w:sz w:val="24"/>
        </w:rPr>
      </w:pPr>
      <w:r w:rsidRPr="00A519ED">
        <w:rPr>
          <w:rFonts w:ascii="Calibri" w:eastAsia="宋体" w:hAnsi="Calibri" w:cs="Times New Roman"/>
          <w:sz w:val="24"/>
        </w:rPr>
        <w:t>通过线上线下考勤来评定学生考勤成绩</w:t>
      </w:r>
    </w:p>
    <w:p w14:paraId="3693024F" w14:textId="77777777" w:rsidR="00A519ED" w:rsidRPr="00A519ED" w:rsidRDefault="00A519ED" w:rsidP="00A519ED">
      <w:pPr>
        <w:numPr>
          <w:ilvl w:val="0"/>
          <w:numId w:val="9"/>
        </w:numPr>
        <w:spacing w:line="440" w:lineRule="exact"/>
        <w:ind w:firstLine="420"/>
        <w:rPr>
          <w:rFonts w:ascii="Calibri" w:eastAsia="宋体" w:hAnsi="Calibri" w:cs="Times New Roman"/>
          <w:sz w:val="24"/>
        </w:rPr>
      </w:pPr>
      <w:r w:rsidRPr="00A519ED">
        <w:rPr>
          <w:rFonts w:ascii="Calibri" w:eastAsia="宋体" w:hAnsi="Calibri" w:cs="Times New Roman"/>
          <w:sz w:val="24"/>
        </w:rPr>
        <w:t>平时作业：</w:t>
      </w:r>
    </w:p>
    <w:p w14:paraId="40CC569C" w14:textId="77777777" w:rsidR="00A519ED" w:rsidRPr="00A519ED" w:rsidRDefault="00A519ED" w:rsidP="00A519ED">
      <w:pPr>
        <w:spacing w:line="440" w:lineRule="exact"/>
        <w:ind w:left="420" w:firstLineChars="200" w:firstLine="480"/>
        <w:rPr>
          <w:rFonts w:ascii="Calibri" w:eastAsia="宋体" w:hAnsi="Calibri" w:cs="Times New Roman"/>
          <w:sz w:val="24"/>
        </w:rPr>
      </w:pPr>
      <w:r w:rsidRPr="00A519ED">
        <w:rPr>
          <w:rFonts w:ascii="Calibri" w:eastAsia="宋体" w:hAnsi="Calibri" w:cs="Times New Roman"/>
          <w:sz w:val="24"/>
        </w:rPr>
        <w:t>学习过程中利用</w:t>
      </w:r>
      <w:proofErr w:type="gramStart"/>
      <w:r w:rsidRPr="00A519ED">
        <w:rPr>
          <w:rFonts w:ascii="Calibri" w:eastAsia="宋体" w:hAnsi="Calibri" w:cs="Times New Roman"/>
          <w:sz w:val="24"/>
        </w:rPr>
        <w:t>超星学习通发布</w:t>
      </w:r>
      <w:proofErr w:type="gramEnd"/>
      <w:r w:rsidRPr="00A519ED">
        <w:rPr>
          <w:rFonts w:ascii="Calibri" w:eastAsia="宋体" w:hAnsi="Calibri" w:cs="Times New Roman"/>
          <w:sz w:val="24"/>
        </w:rPr>
        <w:t>的作业考核，包括综合</w:t>
      </w:r>
      <w:r w:rsidRPr="00A519ED">
        <w:rPr>
          <w:rFonts w:ascii="Calibri" w:eastAsia="宋体" w:hAnsi="Calibri" w:cs="Times New Roman" w:hint="eastAsia"/>
          <w:sz w:val="24"/>
        </w:rPr>
        <w:t>教程</w:t>
      </w:r>
      <w:r w:rsidRPr="00A519ED">
        <w:rPr>
          <w:rFonts w:ascii="Calibri" w:eastAsia="宋体" w:hAnsi="Calibri" w:cs="Times New Roman"/>
          <w:sz w:val="24"/>
        </w:rPr>
        <w:t>及视听说</w:t>
      </w:r>
      <w:r w:rsidRPr="00A519ED">
        <w:rPr>
          <w:rFonts w:ascii="Calibri" w:eastAsia="宋体" w:hAnsi="Calibri" w:cs="Times New Roman" w:hint="eastAsia"/>
          <w:sz w:val="24"/>
        </w:rPr>
        <w:t>作业</w:t>
      </w:r>
      <w:r w:rsidRPr="00A519ED">
        <w:rPr>
          <w:rFonts w:ascii="Calibri" w:eastAsia="宋体" w:hAnsi="Calibri" w:cs="Times New Roman"/>
          <w:sz w:val="24"/>
        </w:rPr>
        <w:t>。取所有作业总分</w:t>
      </w:r>
      <w:r w:rsidRPr="00A519ED">
        <w:rPr>
          <w:rFonts w:ascii="Calibri" w:eastAsia="宋体" w:hAnsi="Calibri" w:cs="Times New Roman"/>
          <w:sz w:val="24"/>
        </w:rPr>
        <w:t>/</w:t>
      </w:r>
      <w:r w:rsidRPr="00A519ED">
        <w:rPr>
          <w:rFonts w:ascii="Calibri" w:eastAsia="宋体" w:hAnsi="Calibri" w:cs="Times New Roman"/>
          <w:sz w:val="24"/>
        </w:rPr>
        <w:t>总共发布作业次数的得分。</w:t>
      </w:r>
    </w:p>
    <w:p w14:paraId="7A236434" w14:textId="77777777" w:rsidR="00A519ED" w:rsidRPr="00A519ED" w:rsidRDefault="00A519ED" w:rsidP="00A519ED">
      <w:pPr>
        <w:spacing w:beforeLines="50" w:before="156" w:afterLines="50" w:after="156" w:line="440" w:lineRule="exact"/>
        <w:ind w:firstLineChars="200" w:firstLine="560"/>
        <w:rPr>
          <w:rFonts w:ascii="Calibri" w:eastAsia="黑体" w:hAnsi="Calibri" w:cs="Times New Roman"/>
          <w:sz w:val="28"/>
          <w:szCs w:val="28"/>
        </w:rPr>
      </w:pPr>
      <w:r w:rsidRPr="00A519ED">
        <w:rPr>
          <w:rFonts w:ascii="Calibri" w:eastAsia="黑体" w:hAnsi="Calibri" w:cs="Times New Roman"/>
          <w:sz w:val="28"/>
          <w:szCs w:val="28"/>
        </w:rPr>
        <w:t>（三）期末成绩评定</w:t>
      </w:r>
    </w:p>
    <w:p w14:paraId="3AC80E4F" w14:textId="77777777" w:rsidR="00A519ED" w:rsidRPr="00A519ED" w:rsidRDefault="00A519ED" w:rsidP="00A519ED">
      <w:pPr>
        <w:spacing w:line="440" w:lineRule="exact"/>
        <w:ind w:firstLineChars="200" w:firstLine="480"/>
        <w:rPr>
          <w:rFonts w:ascii="Calibri" w:eastAsia="黑体" w:hAnsi="Calibri" w:cs="Times New Roman"/>
          <w:sz w:val="28"/>
          <w:szCs w:val="28"/>
        </w:rPr>
      </w:pPr>
      <w:r w:rsidRPr="00A519ED">
        <w:rPr>
          <w:rFonts w:ascii="Calibri" w:eastAsia="宋体" w:hAnsi="Calibri" w:cs="Times New Roman" w:hint="eastAsia"/>
          <w:sz w:val="24"/>
        </w:rPr>
        <w:t>本学期为学位考试课，</w:t>
      </w:r>
      <w:r w:rsidRPr="00A519ED">
        <w:rPr>
          <w:rFonts w:ascii="Calibri" w:eastAsia="宋体" w:hAnsi="Calibri" w:cs="Times New Roman"/>
          <w:sz w:val="24"/>
        </w:rPr>
        <w:t>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14:paraId="27D9CA70" w14:textId="77777777" w:rsidR="00A519ED" w:rsidRPr="00A519ED" w:rsidRDefault="00A519ED" w:rsidP="00A519ED">
      <w:pPr>
        <w:spacing w:beforeLines="50" w:before="156" w:afterLines="50" w:after="156" w:line="440" w:lineRule="exact"/>
        <w:ind w:firstLineChars="200" w:firstLine="560"/>
        <w:rPr>
          <w:rFonts w:ascii="Calibri" w:eastAsia="宋体" w:hAnsi="Calibri" w:cs="Times New Roman"/>
          <w:sz w:val="24"/>
        </w:rPr>
      </w:pPr>
      <w:r w:rsidRPr="00A519ED">
        <w:rPr>
          <w:rFonts w:ascii="Calibri" w:eastAsia="黑体" w:hAnsi="Calibri" w:cs="Times New Roman"/>
          <w:sz w:val="28"/>
          <w:szCs w:val="28"/>
        </w:rPr>
        <w:t>六、使用教材、相关推荐书目及课程资源</w:t>
      </w:r>
    </w:p>
    <w:p w14:paraId="6937E714" w14:textId="77777777" w:rsidR="00A519ED" w:rsidRPr="00A519ED" w:rsidRDefault="00A519ED" w:rsidP="00A519ED">
      <w:pPr>
        <w:spacing w:line="440" w:lineRule="exact"/>
        <w:ind w:firstLineChars="200" w:firstLine="560"/>
        <w:rPr>
          <w:rFonts w:ascii="Calibri" w:eastAsia="宋体" w:hAnsi="Calibri" w:cs="Times New Roman"/>
          <w:sz w:val="24"/>
        </w:rPr>
      </w:pPr>
      <w:r w:rsidRPr="00A519ED">
        <w:rPr>
          <w:rFonts w:ascii="Calibri" w:eastAsia="黑体" w:hAnsi="Calibri" w:cs="Times New Roman"/>
          <w:sz w:val="28"/>
          <w:szCs w:val="28"/>
        </w:rPr>
        <w:lastRenderedPageBreak/>
        <w:t>（一）使用教材</w:t>
      </w:r>
    </w:p>
    <w:p w14:paraId="20A8D38B" w14:textId="77777777" w:rsidR="00A519ED" w:rsidRPr="00A519ED" w:rsidRDefault="00A519ED" w:rsidP="00A519ED">
      <w:pPr>
        <w:tabs>
          <w:tab w:val="left" w:pos="840"/>
        </w:tabs>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 xml:space="preserve">1. </w:t>
      </w:r>
      <w:r w:rsidRPr="00A519ED">
        <w:rPr>
          <w:rFonts w:ascii="Calibri" w:eastAsia="宋体" w:hAnsi="Calibri" w:cs="Times New Roman"/>
          <w:sz w:val="24"/>
        </w:rPr>
        <w:t>石</w:t>
      </w:r>
      <w:proofErr w:type="gramStart"/>
      <w:r w:rsidRPr="00A519ED">
        <w:rPr>
          <w:rFonts w:ascii="Calibri" w:eastAsia="宋体" w:hAnsi="Calibri" w:cs="Times New Roman"/>
          <w:sz w:val="24"/>
        </w:rPr>
        <w:t>坚</w:t>
      </w:r>
      <w:proofErr w:type="gramEnd"/>
      <w:r w:rsidRPr="00A519ED">
        <w:rPr>
          <w:rFonts w:ascii="Calibri" w:eastAsia="宋体" w:hAnsi="Calibri" w:cs="Times New Roman"/>
          <w:sz w:val="24"/>
        </w:rPr>
        <w:t>、邹申、金雯主编，《新时代大学进阶英语综合教程</w:t>
      </w:r>
      <w:r w:rsidRPr="00A519ED">
        <w:rPr>
          <w:rFonts w:ascii="Calibri" w:eastAsia="宋体" w:hAnsi="Calibri" w:cs="Times New Roman"/>
          <w:sz w:val="24"/>
        </w:rPr>
        <w:t>1</w:t>
      </w:r>
      <w:r w:rsidRPr="00A519ED">
        <w:rPr>
          <w:rFonts w:ascii="Calibri" w:eastAsia="宋体" w:hAnsi="Calibri" w:cs="Times New Roman"/>
          <w:sz w:val="24"/>
        </w:rPr>
        <w:t>》（第三版），南京大学出版社，</w:t>
      </w:r>
      <w:r w:rsidRPr="00A519ED">
        <w:rPr>
          <w:rFonts w:ascii="Calibri" w:eastAsia="宋体" w:hAnsi="Calibri" w:cs="Times New Roman"/>
          <w:sz w:val="24"/>
        </w:rPr>
        <w:t>2022.3</w:t>
      </w:r>
      <w:r w:rsidRPr="00A519ED">
        <w:rPr>
          <w:rFonts w:ascii="Calibri" w:eastAsia="宋体" w:hAnsi="Calibri" w:cs="Times New Roman"/>
          <w:sz w:val="24"/>
        </w:rPr>
        <w:t>；</w:t>
      </w:r>
    </w:p>
    <w:p w14:paraId="07C836D8" w14:textId="77777777" w:rsidR="00A519ED" w:rsidRPr="00A519ED" w:rsidRDefault="00A519ED" w:rsidP="00A519ED">
      <w:pPr>
        <w:tabs>
          <w:tab w:val="left" w:pos="840"/>
        </w:tabs>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 xml:space="preserve">2. </w:t>
      </w:r>
      <w:r w:rsidRPr="00A519ED">
        <w:rPr>
          <w:rFonts w:ascii="Calibri" w:eastAsia="宋体" w:hAnsi="Calibri" w:cs="Times New Roman"/>
          <w:sz w:val="24"/>
        </w:rPr>
        <w:t>石</w:t>
      </w:r>
      <w:proofErr w:type="gramStart"/>
      <w:r w:rsidRPr="00A519ED">
        <w:rPr>
          <w:rFonts w:ascii="Calibri" w:eastAsia="宋体" w:hAnsi="Calibri" w:cs="Times New Roman"/>
          <w:sz w:val="24"/>
        </w:rPr>
        <w:t>坚</w:t>
      </w:r>
      <w:proofErr w:type="gramEnd"/>
      <w:r w:rsidRPr="00A519ED">
        <w:rPr>
          <w:rFonts w:ascii="Calibri" w:eastAsia="宋体" w:hAnsi="Calibri" w:cs="Times New Roman"/>
          <w:sz w:val="24"/>
        </w:rPr>
        <w:t>、邹申、金雯主编，《新时代大学进阶英语视听说教程</w:t>
      </w:r>
      <w:r w:rsidRPr="00A519ED">
        <w:rPr>
          <w:rFonts w:ascii="Calibri" w:eastAsia="宋体" w:hAnsi="Calibri" w:cs="Times New Roman"/>
          <w:sz w:val="24"/>
        </w:rPr>
        <w:t>1</w:t>
      </w:r>
      <w:r w:rsidRPr="00A519ED">
        <w:rPr>
          <w:rFonts w:ascii="Calibri" w:eastAsia="宋体" w:hAnsi="Calibri" w:cs="Times New Roman"/>
          <w:sz w:val="24"/>
        </w:rPr>
        <w:t>》（第三版），南京大学出版社，</w:t>
      </w:r>
      <w:r w:rsidRPr="00A519ED">
        <w:rPr>
          <w:rFonts w:ascii="Calibri" w:eastAsia="宋体" w:hAnsi="Calibri" w:cs="Times New Roman"/>
          <w:sz w:val="24"/>
        </w:rPr>
        <w:t>2022.3</w:t>
      </w:r>
      <w:r w:rsidRPr="00A519ED">
        <w:rPr>
          <w:rFonts w:ascii="Calibri" w:eastAsia="宋体" w:hAnsi="Calibri" w:cs="Times New Roman"/>
          <w:sz w:val="24"/>
        </w:rPr>
        <w:t>。</w:t>
      </w:r>
    </w:p>
    <w:p w14:paraId="26ECAA8D" w14:textId="77777777" w:rsidR="00A519ED" w:rsidRPr="00A519ED" w:rsidRDefault="00A519ED" w:rsidP="00A519ED">
      <w:pPr>
        <w:spacing w:line="440" w:lineRule="exact"/>
        <w:ind w:firstLineChars="200" w:firstLine="560"/>
        <w:rPr>
          <w:rFonts w:ascii="Calibri" w:eastAsia="黑体" w:hAnsi="Calibri" w:cs="Times New Roman"/>
          <w:sz w:val="28"/>
          <w:szCs w:val="28"/>
        </w:rPr>
      </w:pPr>
      <w:r w:rsidRPr="00A519ED">
        <w:rPr>
          <w:rFonts w:ascii="Calibri" w:eastAsia="黑体" w:hAnsi="Calibri" w:cs="Times New Roman"/>
          <w:sz w:val="28"/>
          <w:szCs w:val="28"/>
        </w:rPr>
        <w:t>（二）相关推荐书目及网址</w:t>
      </w:r>
    </w:p>
    <w:p w14:paraId="6057B1E5" w14:textId="77777777" w:rsidR="00A519ED" w:rsidRPr="00A519ED" w:rsidRDefault="00A519ED" w:rsidP="00A519ED">
      <w:pPr>
        <w:tabs>
          <w:tab w:val="left" w:pos="840"/>
        </w:tabs>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 xml:space="preserve">1. </w:t>
      </w:r>
      <w:r w:rsidRPr="00A519ED">
        <w:rPr>
          <w:rFonts w:ascii="Calibri" w:eastAsia="宋体" w:hAnsi="Calibri" w:cs="Times New Roman"/>
          <w:sz w:val="24"/>
        </w:rPr>
        <w:t>石</w:t>
      </w:r>
      <w:proofErr w:type="gramStart"/>
      <w:r w:rsidRPr="00A519ED">
        <w:rPr>
          <w:rFonts w:ascii="Calibri" w:eastAsia="宋体" w:hAnsi="Calibri" w:cs="Times New Roman"/>
          <w:sz w:val="24"/>
        </w:rPr>
        <w:t>坚</w:t>
      </w:r>
      <w:proofErr w:type="gramEnd"/>
      <w:r w:rsidRPr="00A519ED">
        <w:rPr>
          <w:rFonts w:ascii="Calibri" w:eastAsia="宋体" w:hAnsi="Calibri" w:cs="Times New Roman"/>
          <w:sz w:val="24"/>
        </w:rPr>
        <w:t>、邹申、金雯主编，《新时代大学进阶英语综合教程</w:t>
      </w:r>
      <w:r w:rsidRPr="00A519ED">
        <w:rPr>
          <w:rFonts w:ascii="Calibri" w:eastAsia="宋体" w:hAnsi="Calibri" w:cs="Times New Roman"/>
          <w:sz w:val="24"/>
        </w:rPr>
        <w:t>1</w:t>
      </w:r>
      <w:r w:rsidRPr="00A519ED">
        <w:rPr>
          <w:rFonts w:ascii="Calibri" w:eastAsia="宋体" w:hAnsi="Calibri" w:cs="Times New Roman"/>
          <w:sz w:val="24"/>
        </w:rPr>
        <w:t>教学参考书》（第三版），南京大学出版社，</w:t>
      </w:r>
      <w:r w:rsidRPr="00A519ED">
        <w:rPr>
          <w:rFonts w:ascii="Calibri" w:eastAsia="宋体" w:hAnsi="Calibri" w:cs="Times New Roman"/>
          <w:sz w:val="24"/>
        </w:rPr>
        <w:t>2022.3</w:t>
      </w:r>
      <w:r w:rsidRPr="00A519ED">
        <w:rPr>
          <w:rFonts w:ascii="Calibri" w:eastAsia="宋体" w:hAnsi="Calibri" w:cs="Times New Roman"/>
          <w:sz w:val="24"/>
        </w:rPr>
        <w:t>；</w:t>
      </w:r>
    </w:p>
    <w:p w14:paraId="1F5093C2" w14:textId="77777777" w:rsidR="00A519ED" w:rsidRPr="00A519ED" w:rsidRDefault="00A519ED" w:rsidP="00A519ED">
      <w:pPr>
        <w:tabs>
          <w:tab w:val="left" w:pos="840"/>
        </w:tabs>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 xml:space="preserve">2. </w:t>
      </w:r>
      <w:r w:rsidRPr="00A519ED">
        <w:rPr>
          <w:rFonts w:ascii="Calibri" w:eastAsia="宋体" w:hAnsi="Calibri" w:cs="Times New Roman"/>
          <w:sz w:val="24"/>
        </w:rPr>
        <w:t>石</w:t>
      </w:r>
      <w:proofErr w:type="gramStart"/>
      <w:r w:rsidRPr="00A519ED">
        <w:rPr>
          <w:rFonts w:ascii="Calibri" w:eastAsia="宋体" w:hAnsi="Calibri" w:cs="Times New Roman"/>
          <w:sz w:val="24"/>
        </w:rPr>
        <w:t>坚</w:t>
      </w:r>
      <w:proofErr w:type="gramEnd"/>
      <w:r w:rsidRPr="00A519ED">
        <w:rPr>
          <w:rFonts w:ascii="Calibri" w:eastAsia="宋体" w:hAnsi="Calibri" w:cs="Times New Roman"/>
          <w:sz w:val="24"/>
        </w:rPr>
        <w:t>、邹申、金雯主编，《新时代大学进阶英语视听说教程</w:t>
      </w:r>
      <w:r w:rsidRPr="00A519ED">
        <w:rPr>
          <w:rFonts w:ascii="Calibri" w:eastAsia="宋体" w:hAnsi="Calibri" w:cs="Times New Roman"/>
          <w:sz w:val="24"/>
        </w:rPr>
        <w:t>1</w:t>
      </w:r>
      <w:r w:rsidRPr="00A519ED">
        <w:rPr>
          <w:rFonts w:ascii="Calibri" w:eastAsia="宋体" w:hAnsi="Calibri" w:cs="Times New Roman"/>
          <w:sz w:val="24"/>
        </w:rPr>
        <w:t>教学参考书》（第三版），南京大学出版社，</w:t>
      </w:r>
      <w:r w:rsidRPr="00A519ED">
        <w:rPr>
          <w:rFonts w:ascii="Calibri" w:eastAsia="宋体" w:hAnsi="Calibri" w:cs="Times New Roman"/>
          <w:sz w:val="24"/>
        </w:rPr>
        <w:t>2022.3</w:t>
      </w:r>
      <w:r w:rsidRPr="00A519ED">
        <w:rPr>
          <w:rFonts w:ascii="Calibri" w:eastAsia="宋体" w:hAnsi="Calibri" w:cs="Times New Roman"/>
          <w:sz w:val="24"/>
        </w:rPr>
        <w:t>。</w:t>
      </w:r>
    </w:p>
    <w:p w14:paraId="71412CBA" w14:textId="77777777" w:rsidR="00A519ED" w:rsidRPr="00A519ED" w:rsidRDefault="00A519ED" w:rsidP="00A519ED">
      <w:pPr>
        <w:spacing w:line="500" w:lineRule="exact"/>
        <w:ind w:firstLineChars="200" w:firstLine="480"/>
        <w:rPr>
          <w:rFonts w:ascii="宋体" w:eastAsia="宋体" w:hAnsi="宋体" w:cs="Times New Roman"/>
          <w:sz w:val="24"/>
        </w:rPr>
      </w:pPr>
      <w:r w:rsidRPr="00A519ED">
        <w:rPr>
          <w:rFonts w:ascii="Calibri" w:eastAsia="宋体" w:hAnsi="Calibri" w:cs="Times New Roman"/>
          <w:sz w:val="24"/>
        </w:rPr>
        <w:t xml:space="preserve">3. </w:t>
      </w:r>
      <w:r w:rsidRPr="00A519ED">
        <w:rPr>
          <w:rFonts w:ascii="宋体" w:eastAsia="宋体" w:hAnsi="宋体" w:cs="Times New Roman"/>
          <w:sz w:val="24"/>
        </w:rPr>
        <w:t>孙海晨，《汉译英实用技能训练》，外文出版社，2007年版；</w:t>
      </w:r>
    </w:p>
    <w:p w14:paraId="6C5DBEB3" w14:textId="77777777" w:rsidR="00A519ED" w:rsidRPr="00A519ED" w:rsidRDefault="00A519ED" w:rsidP="00A519ED">
      <w:pPr>
        <w:spacing w:line="500" w:lineRule="exact"/>
        <w:ind w:firstLineChars="200" w:firstLine="480"/>
        <w:rPr>
          <w:rFonts w:ascii="宋体" w:eastAsia="宋体" w:hAnsi="宋体" w:cs="Times New Roman"/>
          <w:sz w:val="24"/>
        </w:rPr>
      </w:pPr>
      <w:r w:rsidRPr="00A519ED">
        <w:rPr>
          <w:rFonts w:ascii="宋体" w:eastAsia="宋体" w:hAnsi="宋体" w:cs="Times New Roman"/>
          <w:sz w:val="24"/>
        </w:rPr>
        <w:t>4. 王忠梁，《大学英语写作技巧》，</w:t>
      </w:r>
      <w:r>
        <w:fldChar w:fldCharType="begin"/>
      </w:r>
      <w:r>
        <w:instrText>HYPERLINK "https://baike.so.com/doc/5290573-5525058.html" \h</w:instrText>
      </w:r>
      <w:r>
        <w:fldChar w:fldCharType="separate"/>
      </w:r>
      <w:r w:rsidRPr="00A519ED">
        <w:rPr>
          <w:rFonts w:ascii="宋体" w:eastAsia="宋体" w:hAnsi="宋体" w:cs="Times New Roman"/>
          <w:sz w:val="24"/>
        </w:rPr>
        <w:t>东方出版中心</w:t>
      </w:r>
      <w:r>
        <w:rPr>
          <w:rFonts w:ascii="宋体" w:eastAsia="宋体" w:hAnsi="宋体" w:cs="Times New Roman"/>
          <w:sz w:val="24"/>
        </w:rPr>
        <w:fldChar w:fldCharType="end"/>
      </w:r>
      <w:r w:rsidRPr="00A519ED">
        <w:rPr>
          <w:rFonts w:ascii="宋体" w:eastAsia="宋体" w:hAnsi="宋体" w:cs="Times New Roman"/>
          <w:sz w:val="24"/>
        </w:rPr>
        <w:t>，2005年版；</w:t>
      </w:r>
    </w:p>
    <w:p w14:paraId="6369BEDA" w14:textId="77777777" w:rsidR="00A519ED" w:rsidRPr="00A519ED" w:rsidRDefault="00A519ED" w:rsidP="00A519ED">
      <w:pPr>
        <w:spacing w:line="440" w:lineRule="exact"/>
        <w:ind w:firstLineChars="200" w:firstLine="480"/>
        <w:rPr>
          <w:rFonts w:ascii="宋体" w:eastAsia="宋体" w:hAnsi="宋体" w:cs="Times New Roman"/>
          <w:sz w:val="24"/>
        </w:rPr>
      </w:pPr>
      <w:r w:rsidRPr="00A519ED">
        <w:rPr>
          <w:rFonts w:ascii="宋体" w:eastAsia="宋体" w:hAnsi="宋体" w:cs="Times New Roman"/>
          <w:sz w:val="24"/>
        </w:rPr>
        <w:t>5. 薄冰主编：《高级英语语法》，商务印书馆，2018年版；</w:t>
      </w:r>
    </w:p>
    <w:p w14:paraId="6ACBABB3" w14:textId="77777777" w:rsidR="00A519ED" w:rsidRPr="00A519ED" w:rsidRDefault="00A519ED" w:rsidP="00A519ED">
      <w:pPr>
        <w:spacing w:line="440" w:lineRule="exact"/>
        <w:ind w:leftChars="228" w:left="719" w:hangingChars="100" w:hanging="240"/>
        <w:rPr>
          <w:rFonts w:ascii="宋体" w:eastAsia="宋体" w:hAnsi="宋体" w:cs="Times New Roman"/>
          <w:sz w:val="24"/>
        </w:rPr>
      </w:pPr>
      <w:r w:rsidRPr="00A519ED">
        <w:rPr>
          <w:rFonts w:ascii="宋体" w:eastAsia="宋体" w:hAnsi="宋体" w:cs="Times New Roman"/>
          <w:sz w:val="24"/>
        </w:rPr>
        <w:t>6. 俞敏洪编著：《四级词汇词根+联想记忆法》，西安交通大学出版社2011年版；</w:t>
      </w:r>
    </w:p>
    <w:p w14:paraId="2286F18F"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宋体" w:eastAsia="宋体" w:hAnsi="宋体" w:cs="Times New Roman"/>
          <w:sz w:val="24"/>
        </w:rPr>
        <w:t>7. 曹</w:t>
      </w:r>
      <w:proofErr w:type="gramStart"/>
      <w:r w:rsidRPr="00A519ED">
        <w:rPr>
          <w:rFonts w:ascii="宋体" w:eastAsia="宋体" w:hAnsi="宋体" w:cs="Times New Roman"/>
          <w:sz w:val="24"/>
        </w:rPr>
        <w:t>丽霞肖波高</w:t>
      </w:r>
      <w:proofErr w:type="gramEnd"/>
      <w:r w:rsidRPr="00A519ED">
        <w:rPr>
          <w:rFonts w:ascii="宋体" w:eastAsia="宋体" w:hAnsi="宋体" w:cs="Times New Roman"/>
          <w:sz w:val="24"/>
        </w:rPr>
        <w:t>长主编《大学英语四级汉译英16字真经》（新题型），西安</w:t>
      </w:r>
      <w:r w:rsidRPr="00A519ED">
        <w:rPr>
          <w:rFonts w:ascii="Calibri" w:eastAsia="宋体" w:hAnsi="Calibri" w:cs="Times New Roman"/>
          <w:sz w:val="24"/>
        </w:rPr>
        <w:t>交通大学出版社，</w:t>
      </w:r>
      <w:r w:rsidRPr="00A519ED">
        <w:rPr>
          <w:rFonts w:ascii="Calibri" w:eastAsia="宋体" w:hAnsi="Calibri" w:cs="Times New Roman"/>
          <w:sz w:val="24"/>
        </w:rPr>
        <w:t>2014</w:t>
      </w:r>
      <w:r w:rsidRPr="00A519ED">
        <w:rPr>
          <w:rFonts w:ascii="Calibri" w:eastAsia="宋体" w:hAnsi="Calibri" w:cs="Times New Roman"/>
          <w:sz w:val="24"/>
        </w:rPr>
        <w:t>年版；</w:t>
      </w:r>
    </w:p>
    <w:p w14:paraId="2DEDB46C" w14:textId="77777777" w:rsidR="00A519ED" w:rsidRPr="00A519ED" w:rsidRDefault="00A519ED" w:rsidP="00A519ED">
      <w:pPr>
        <w:tabs>
          <w:tab w:val="left" w:pos="840"/>
        </w:tabs>
        <w:spacing w:line="500" w:lineRule="exact"/>
        <w:ind w:firstLineChars="200" w:firstLine="480"/>
        <w:rPr>
          <w:rFonts w:ascii="Calibri" w:eastAsia="宋体" w:hAnsi="Calibri" w:cs="Times New Roman"/>
          <w:sz w:val="24"/>
        </w:rPr>
      </w:pPr>
      <w:r w:rsidRPr="00A519ED">
        <w:rPr>
          <w:rFonts w:ascii="Calibri" w:eastAsia="宋体" w:hAnsi="Calibri" w:cs="Times New Roman"/>
          <w:sz w:val="24"/>
        </w:rPr>
        <w:t xml:space="preserve">8. </w:t>
      </w:r>
      <w:r w:rsidRPr="00A519ED">
        <w:rPr>
          <w:rFonts w:ascii="Calibri" w:eastAsia="宋体" w:hAnsi="Calibri" w:cs="Times New Roman"/>
          <w:sz w:val="24"/>
        </w:rPr>
        <w:t>赵天红、马海波，《实用英语文化背景知识手册》，合肥工业大学出版社，</w:t>
      </w:r>
      <w:r w:rsidRPr="00A519ED">
        <w:rPr>
          <w:rFonts w:ascii="Calibri" w:eastAsia="宋体" w:hAnsi="Calibri" w:cs="Times New Roman"/>
          <w:sz w:val="24"/>
        </w:rPr>
        <w:t>2010</w:t>
      </w:r>
      <w:r w:rsidRPr="00A519ED">
        <w:rPr>
          <w:rFonts w:ascii="Calibri" w:eastAsia="宋体" w:hAnsi="Calibri" w:cs="Times New Roman"/>
          <w:sz w:val="24"/>
        </w:rPr>
        <w:t>年版；</w:t>
      </w:r>
    </w:p>
    <w:p w14:paraId="132F52ED" w14:textId="77777777" w:rsidR="00A519ED" w:rsidRPr="00A519ED" w:rsidRDefault="00A519ED" w:rsidP="00A519ED">
      <w:pPr>
        <w:tabs>
          <w:tab w:val="left" w:pos="840"/>
        </w:tabs>
        <w:spacing w:line="500" w:lineRule="exact"/>
        <w:ind w:firstLineChars="200" w:firstLine="480"/>
        <w:rPr>
          <w:rFonts w:ascii="Calibri" w:eastAsia="宋体" w:hAnsi="Calibri" w:cs="Times New Roman"/>
          <w:sz w:val="24"/>
        </w:rPr>
      </w:pPr>
      <w:r w:rsidRPr="00A519ED">
        <w:rPr>
          <w:rFonts w:ascii="Calibri" w:eastAsia="宋体" w:hAnsi="Calibri" w:cs="Times New Roman"/>
          <w:sz w:val="24"/>
        </w:rPr>
        <w:t xml:space="preserve">9. </w:t>
      </w:r>
      <w:r w:rsidRPr="00A519ED">
        <w:rPr>
          <w:rFonts w:ascii="Calibri" w:eastAsia="宋体" w:hAnsi="Calibri" w:cs="Times New Roman"/>
          <w:sz w:val="24"/>
        </w:rPr>
        <w:t>郭坤，《全球化背景下大学英语跨文化教学研究》，电子科技大学出版社，</w:t>
      </w:r>
      <w:r w:rsidRPr="00A519ED">
        <w:rPr>
          <w:rFonts w:ascii="Calibri" w:eastAsia="宋体" w:hAnsi="Calibri" w:cs="Times New Roman"/>
          <w:sz w:val="24"/>
        </w:rPr>
        <w:t>2016</w:t>
      </w:r>
      <w:r w:rsidRPr="00A519ED">
        <w:rPr>
          <w:rFonts w:ascii="Calibri" w:eastAsia="宋体" w:hAnsi="Calibri" w:cs="Times New Roman"/>
          <w:sz w:val="24"/>
        </w:rPr>
        <w:t>年版；</w:t>
      </w:r>
    </w:p>
    <w:p w14:paraId="198D10B6" w14:textId="77777777" w:rsidR="00A519ED" w:rsidRPr="00A519ED" w:rsidRDefault="00A519ED" w:rsidP="00A519ED">
      <w:pPr>
        <w:tabs>
          <w:tab w:val="left" w:pos="840"/>
        </w:tabs>
        <w:spacing w:line="500" w:lineRule="exact"/>
        <w:ind w:firstLineChars="200" w:firstLine="480"/>
        <w:rPr>
          <w:rFonts w:ascii="Calibri" w:eastAsia="宋体" w:hAnsi="Calibri" w:cs="Times New Roman"/>
          <w:sz w:val="24"/>
        </w:rPr>
      </w:pPr>
      <w:r w:rsidRPr="00A519ED">
        <w:rPr>
          <w:rFonts w:ascii="Calibri" w:eastAsia="宋体" w:hAnsi="Calibri" w:cs="Times New Roman"/>
          <w:sz w:val="24"/>
        </w:rPr>
        <w:t xml:space="preserve">10. </w:t>
      </w:r>
      <w:r w:rsidRPr="00A519ED">
        <w:rPr>
          <w:rFonts w:ascii="Calibri" w:eastAsia="宋体" w:hAnsi="Calibri" w:cs="Times New Roman"/>
          <w:sz w:val="24"/>
        </w:rPr>
        <w:t>辛克莱【英】，《英语语法系列（</w:t>
      </w:r>
      <w:r w:rsidRPr="00A519ED">
        <w:rPr>
          <w:rFonts w:ascii="Calibri" w:eastAsia="宋体" w:hAnsi="Calibri" w:cs="Times New Roman"/>
          <w:sz w:val="24"/>
        </w:rPr>
        <w:t>2</w:t>
      </w:r>
      <w:r w:rsidRPr="00A519ED">
        <w:rPr>
          <w:rFonts w:ascii="Calibri" w:eastAsia="宋体" w:hAnsi="Calibri" w:cs="Times New Roman"/>
          <w:sz w:val="24"/>
        </w:rPr>
        <w:t>）</w:t>
      </w:r>
      <w:r w:rsidRPr="00A519ED">
        <w:rPr>
          <w:rFonts w:ascii="Calibri" w:eastAsia="宋体" w:hAnsi="Calibri" w:cs="Times New Roman"/>
          <w:sz w:val="24"/>
        </w:rPr>
        <w:t>--</w:t>
      </w:r>
      <w:r w:rsidRPr="00A519ED">
        <w:rPr>
          <w:rFonts w:ascii="Calibri" w:eastAsia="宋体" w:hAnsi="Calibri" w:cs="Times New Roman"/>
          <w:sz w:val="24"/>
        </w:rPr>
        <w:t>构词法》，外文出版社，</w:t>
      </w:r>
      <w:r w:rsidRPr="00A519ED">
        <w:rPr>
          <w:rFonts w:ascii="Calibri" w:eastAsia="宋体" w:hAnsi="Calibri" w:cs="Times New Roman"/>
          <w:sz w:val="24"/>
        </w:rPr>
        <w:t>2000</w:t>
      </w:r>
      <w:r w:rsidRPr="00A519ED">
        <w:rPr>
          <w:rFonts w:ascii="Calibri" w:eastAsia="宋体" w:hAnsi="Calibri" w:cs="Times New Roman"/>
          <w:sz w:val="24"/>
        </w:rPr>
        <w:t>年版；</w:t>
      </w:r>
    </w:p>
    <w:p w14:paraId="53C6DBF3" w14:textId="77777777" w:rsidR="00A519ED" w:rsidRPr="00A519ED" w:rsidRDefault="00A519ED" w:rsidP="00A519ED">
      <w:pPr>
        <w:tabs>
          <w:tab w:val="left" w:pos="840"/>
        </w:tabs>
        <w:spacing w:line="500" w:lineRule="exact"/>
        <w:ind w:firstLineChars="200" w:firstLine="480"/>
        <w:rPr>
          <w:rFonts w:ascii="Calibri" w:eastAsia="宋体" w:hAnsi="Calibri" w:cs="Times New Roman"/>
          <w:sz w:val="24"/>
        </w:rPr>
      </w:pPr>
      <w:r w:rsidRPr="00A519ED">
        <w:rPr>
          <w:rFonts w:ascii="Calibri" w:eastAsia="宋体" w:hAnsi="Calibri" w:cs="Times New Roman"/>
          <w:sz w:val="24"/>
        </w:rPr>
        <w:t xml:space="preserve">11. </w:t>
      </w:r>
      <w:r w:rsidRPr="00A519ED">
        <w:rPr>
          <w:rFonts w:ascii="Calibri" w:eastAsia="宋体" w:hAnsi="Calibri" w:cs="Times New Roman"/>
          <w:sz w:val="24"/>
        </w:rPr>
        <w:t>新东方研究中心，《新东方四级阅读强化训练</w:t>
      </w:r>
      <w:r w:rsidRPr="00A519ED">
        <w:rPr>
          <w:rFonts w:ascii="Calibri" w:eastAsia="宋体" w:hAnsi="Calibri" w:cs="Times New Roman"/>
          <w:sz w:val="24"/>
        </w:rPr>
        <w:t>600</w:t>
      </w:r>
      <w:r w:rsidRPr="00A519ED">
        <w:rPr>
          <w:rFonts w:ascii="Calibri" w:eastAsia="宋体" w:hAnsi="Calibri" w:cs="Times New Roman"/>
          <w:sz w:val="24"/>
        </w:rPr>
        <w:t>题》，浙江教育出版社，</w:t>
      </w:r>
      <w:r w:rsidRPr="00A519ED">
        <w:rPr>
          <w:rFonts w:ascii="Calibri" w:eastAsia="宋体" w:hAnsi="Calibri" w:cs="Times New Roman"/>
          <w:sz w:val="24"/>
        </w:rPr>
        <w:t>2015</w:t>
      </w:r>
      <w:r w:rsidRPr="00A519ED">
        <w:rPr>
          <w:rFonts w:ascii="Calibri" w:eastAsia="宋体" w:hAnsi="Calibri" w:cs="Times New Roman"/>
          <w:sz w:val="24"/>
        </w:rPr>
        <w:t>年版</w:t>
      </w:r>
      <w:r w:rsidRPr="00A519ED">
        <w:rPr>
          <w:rFonts w:ascii="Calibri" w:eastAsia="宋体" w:hAnsi="Calibri" w:cs="Times New Roman" w:hint="eastAsia"/>
          <w:sz w:val="24"/>
        </w:rPr>
        <w:t>。</w:t>
      </w:r>
    </w:p>
    <w:p w14:paraId="0EF0DE36" w14:textId="77777777" w:rsidR="00A519ED" w:rsidRPr="00A519ED" w:rsidRDefault="00A519ED" w:rsidP="00A519ED">
      <w:pPr>
        <w:spacing w:beforeLines="50" w:before="156" w:afterLines="50" w:after="156" w:line="440" w:lineRule="exact"/>
        <w:ind w:firstLineChars="200" w:firstLine="560"/>
        <w:rPr>
          <w:rFonts w:ascii="Calibri" w:eastAsia="宋体" w:hAnsi="Calibri" w:cs="Times New Roman"/>
          <w:sz w:val="24"/>
        </w:rPr>
      </w:pPr>
      <w:r w:rsidRPr="00A519ED">
        <w:rPr>
          <w:rFonts w:ascii="Calibri" w:eastAsia="黑体" w:hAnsi="Calibri" w:cs="Times New Roman"/>
          <w:sz w:val="28"/>
          <w:szCs w:val="28"/>
        </w:rPr>
        <w:t>（三）课程资源</w:t>
      </w:r>
    </w:p>
    <w:p w14:paraId="4989646E"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学习途径和方法：</w:t>
      </w:r>
    </w:p>
    <w:p w14:paraId="36DEAD3F"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 xml:space="preserve">1. </w:t>
      </w:r>
      <w:r w:rsidRPr="00A519ED">
        <w:rPr>
          <w:rFonts w:ascii="Calibri" w:eastAsia="宋体" w:hAnsi="Calibri" w:cs="Times New Roman"/>
          <w:sz w:val="24"/>
        </w:rPr>
        <w:t>课程学习资源及学习途径</w:t>
      </w:r>
    </w:p>
    <w:p w14:paraId="17A92933"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本课程通过石家庄学院网络教学平台（</w:t>
      </w:r>
      <w:proofErr w:type="gramStart"/>
      <w:r w:rsidRPr="00A519ED">
        <w:rPr>
          <w:rFonts w:ascii="Calibri" w:eastAsia="宋体" w:hAnsi="Calibri" w:cs="Times New Roman"/>
          <w:sz w:val="24"/>
        </w:rPr>
        <w:t>超星学习通</w:t>
      </w:r>
      <w:proofErr w:type="gramEnd"/>
      <w:r w:rsidRPr="00A519ED">
        <w:rPr>
          <w:rFonts w:ascii="Calibri" w:eastAsia="宋体" w:hAnsi="Calibri" w:cs="Times New Roman"/>
          <w:sz w:val="24"/>
        </w:rPr>
        <w:t>），为学生提供丰富的自主学习资源。线上资源包括和所学内容相关文档资料如背景知识、视频导入，文章重点与难点、课文翻译、音视频、拓展阅读，听力、阅读、翻译、写作等技巧以及各单元的</w:t>
      </w:r>
      <w:r w:rsidRPr="00A519ED">
        <w:rPr>
          <w:rFonts w:ascii="Calibri" w:eastAsia="宋体" w:hAnsi="Calibri" w:cs="Times New Roman"/>
          <w:sz w:val="24"/>
        </w:rPr>
        <w:lastRenderedPageBreak/>
        <w:t>练习等。每项都进行任务点的设置，学生可以通过登录自己的学习通账号，随时随地进行英语知识自主学习。教师可以通过平台对学生学习情况进行监测。</w:t>
      </w:r>
    </w:p>
    <w:p w14:paraId="4F9E3ECD" w14:textId="77777777" w:rsidR="00A519ED" w:rsidRPr="00A519ED" w:rsidRDefault="00A519ED" w:rsidP="00A519ED">
      <w:pPr>
        <w:spacing w:line="440" w:lineRule="exact"/>
        <w:ind w:firstLineChars="200" w:firstLine="480"/>
        <w:rPr>
          <w:rFonts w:ascii="Calibri" w:eastAsia="宋体" w:hAnsi="Calibri" w:cs="Times New Roman"/>
          <w:sz w:val="24"/>
        </w:rPr>
      </w:pPr>
      <w:r w:rsidRPr="00A519ED">
        <w:rPr>
          <w:rFonts w:ascii="Calibri" w:eastAsia="宋体" w:hAnsi="Calibri" w:cs="Times New Roman"/>
          <w:sz w:val="24"/>
        </w:rPr>
        <w:t xml:space="preserve">2. </w:t>
      </w:r>
      <w:r w:rsidRPr="00A519ED">
        <w:rPr>
          <w:rFonts w:ascii="Calibri" w:eastAsia="宋体" w:hAnsi="Calibri" w:cs="Times New Roman"/>
          <w:sz w:val="24"/>
        </w:rPr>
        <w:t>在线开放课程网址：</w:t>
      </w:r>
    </w:p>
    <w:p w14:paraId="04DC1DEF" w14:textId="77777777" w:rsidR="00A519ED" w:rsidRPr="00A519ED" w:rsidRDefault="00A519ED" w:rsidP="00A519ED">
      <w:pPr>
        <w:spacing w:beforeLines="50" w:before="156" w:afterLines="50" w:after="156" w:line="440" w:lineRule="exact"/>
        <w:ind w:firstLineChars="200" w:firstLine="560"/>
        <w:rPr>
          <w:rFonts w:ascii="Calibri" w:eastAsia="黑体" w:hAnsi="Calibri" w:cs="Times New Roman"/>
          <w:sz w:val="28"/>
          <w:szCs w:val="28"/>
        </w:rPr>
      </w:pPr>
      <w:r w:rsidRPr="00A519ED">
        <w:rPr>
          <w:rFonts w:ascii="Calibri" w:eastAsia="黑体" w:hAnsi="Calibri" w:cs="Times New Roman"/>
          <w:sz w:val="28"/>
          <w:szCs w:val="28"/>
        </w:rPr>
        <w:t>七、课程大纲制定依据</w:t>
      </w:r>
    </w:p>
    <w:p w14:paraId="0B751D0A" w14:textId="77777777" w:rsidR="00A519ED" w:rsidRPr="00A519ED" w:rsidRDefault="00A519ED" w:rsidP="00A519ED">
      <w:pPr>
        <w:spacing w:line="440" w:lineRule="exact"/>
        <w:ind w:firstLineChars="300" w:firstLine="720"/>
        <w:rPr>
          <w:rFonts w:ascii="Calibri" w:eastAsia="宋体" w:hAnsi="Calibri" w:cs="Times New Roman"/>
          <w:sz w:val="24"/>
        </w:rPr>
      </w:pPr>
      <w:r w:rsidRPr="00A519ED">
        <w:rPr>
          <w:rFonts w:ascii="Calibri" w:eastAsia="宋体" w:hAnsi="Calibri" w:cs="Times New Roman"/>
          <w:sz w:val="24"/>
        </w:rPr>
        <w:t>本课程大纲依据</w:t>
      </w:r>
      <w:r w:rsidRPr="00A519ED">
        <w:rPr>
          <w:rFonts w:ascii="Calibri" w:eastAsia="宋体" w:hAnsi="Calibri" w:cs="Times New Roman"/>
          <w:sz w:val="24"/>
        </w:rPr>
        <w:t>202</w:t>
      </w:r>
      <w:r w:rsidRPr="00A519ED">
        <w:rPr>
          <w:rFonts w:ascii="Calibri" w:eastAsia="宋体" w:hAnsi="Calibri" w:cs="Times New Roman" w:hint="eastAsia"/>
          <w:sz w:val="24"/>
        </w:rPr>
        <w:t>3</w:t>
      </w:r>
      <w:r w:rsidRPr="00A519ED">
        <w:rPr>
          <w:rFonts w:ascii="Calibri" w:eastAsia="宋体" w:hAnsi="Calibri" w:cs="Times New Roman"/>
          <w:sz w:val="24"/>
        </w:rPr>
        <w:t>年</w:t>
      </w:r>
      <w:r w:rsidR="00855797">
        <w:rPr>
          <w:rFonts w:ascii="Calibri" w:eastAsia="宋体" w:hAnsi="Calibri" w:cs="Times New Roman" w:hint="eastAsia"/>
          <w:sz w:val="24"/>
        </w:rPr>
        <w:t>药物分析</w:t>
      </w:r>
      <w:r w:rsidRPr="00A519ED">
        <w:rPr>
          <w:rFonts w:ascii="Calibri" w:eastAsia="宋体" w:hAnsi="Calibri" w:cs="Times New Roman"/>
          <w:sz w:val="24"/>
        </w:rPr>
        <w:t>专业人才培养方案制定。</w:t>
      </w:r>
    </w:p>
    <w:p w14:paraId="26E7B97D" w14:textId="77777777" w:rsidR="00A519ED" w:rsidRPr="00A519ED" w:rsidRDefault="00A519ED" w:rsidP="00A519ED">
      <w:pPr>
        <w:rPr>
          <w:rFonts w:ascii="Calibri" w:eastAsia="宋体" w:hAnsi="Calibri" w:cs="Times New Roman"/>
          <w:sz w:val="24"/>
        </w:rPr>
      </w:pPr>
    </w:p>
    <w:p w14:paraId="22C3B45F" w14:textId="77777777" w:rsidR="0078124E" w:rsidRDefault="0078124E" w:rsidP="0078124E">
      <w:pPr>
        <w:rPr>
          <w:rFonts w:ascii="黑体" w:eastAsia="黑体" w:hAnsi="黑体" w:cs="Times New Roman"/>
          <w:color w:val="000000"/>
          <w:sz w:val="36"/>
          <w:szCs w:val="36"/>
        </w:rPr>
      </w:pPr>
      <w:r>
        <w:rPr>
          <w:rFonts w:ascii="黑体" w:eastAsia="黑体" w:hAnsi="黑体" w:cs="Times New Roman"/>
          <w:color w:val="000000"/>
          <w:sz w:val="36"/>
          <w:szCs w:val="36"/>
        </w:rPr>
        <w:br w:type="page"/>
      </w:r>
    </w:p>
    <w:p w14:paraId="48EB70AF" w14:textId="77777777" w:rsidR="0049133F" w:rsidRPr="0049133F" w:rsidRDefault="0049133F" w:rsidP="0049133F">
      <w:pPr>
        <w:keepNext/>
        <w:keepLines/>
        <w:spacing w:before="340" w:after="330" w:line="576" w:lineRule="auto"/>
        <w:jc w:val="center"/>
        <w:outlineLvl w:val="0"/>
        <w:rPr>
          <w:rFonts w:ascii="Calibri" w:eastAsia="宋体" w:hAnsi="Calibri" w:cs="Times New Roman"/>
          <w:b/>
          <w:kern w:val="44"/>
          <w:sz w:val="36"/>
        </w:rPr>
      </w:pPr>
      <w:bookmarkStart w:id="37" w:name="_Toc24702"/>
      <w:bookmarkStart w:id="38" w:name="_Toc149662345"/>
      <w:r w:rsidRPr="0049133F">
        <w:rPr>
          <w:rFonts w:ascii="Calibri" w:eastAsia="宋体" w:hAnsi="Calibri" w:cs="Times New Roman" w:hint="eastAsia"/>
          <w:b/>
          <w:kern w:val="44"/>
          <w:sz w:val="36"/>
        </w:rPr>
        <w:lastRenderedPageBreak/>
        <w:t>《大学英语</w:t>
      </w:r>
      <w:r w:rsidRPr="0049133F">
        <w:rPr>
          <w:rFonts w:ascii="Calibri" w:eastAsia="宋体" w:hAnsi="Calibri" w:cs="Times New Roman"/>
          <w:b/>
          <w:kern w:val="44"/>
          <w:sz w:val="36"/>
        </w:rPr>
        <w:t>3</w:t>
      </w:r>
      <w:r w:rsidRPr="0049133F">
        <w:rPr>
          <w:rFonts w:ascii="Calibri" w:eastAsia="宋体" w:hAnsi="Calibri" w:cs="Times New Roman" w:hint="eastAsia"/>
          <w:b/>
          <w:kern w:val="44"/>
          <w:sz w:val="36"/>
        </w:rPr>
        <w:t>》课程大纲</w:t>
      </w:r>
      <w:bookmarkEnd w:id="37"/>
      <w:bookmarkEnd w:id="38"/>
    </w:p>
    <w:p w14:paraId="0B4ED10E" w14:textId="77777777" w:rsidR="0049133F" w:rsidRPr="0049133F" w:rsidRDefault="0049133F" w:rsidP="0049133F">
      <w:pPr>
        <w:spacing w:beforeLines="50" w:before="156" w:afterLines="50" w:after="156" w:line="440" w:lineRule="exact"/>
        <w:ind w:firstLineChars="200" w:firstLine="560"/>
        <w:rPr>
          <w:rFonts w:ascii="黑体" w:eastAsia="黑体" w:hAnsi="黑体" w:cs="Times New Roman"/>
          <w:sz w:val="28"/>
          <w:szCs w:val="28"/>
        </w:rPr>
      </w:pPr>
      <w:r w:rsidRPr="0049133F">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7"/>
        <w:gridCol w:w="2737"/>
        <w:gridCol w:w="1506"/>
        <w:gridCol w:w="2937"/>
      </w:tblGrid>
      <w:tr w:rsidR="0049133F" w:rsidRPr="0049133F" w14:paraId="6188472F" w14:textId="77777777" w:rsidTr="00BA2CFD">
        <w:trPr>
          <w:trHeight w:val="886"/>
          <w:jc w:val="center"/>
        </w:trPr>
        <w:tc>
          <w:tcPr>
            <w:tcW w:w="1477" w:type="dxa"/>
            <w:tcBorders>
              <w:top w:val="single" w:sz="4" w:space="0" w:color="auto"/>
              <w:left w:val="single" w:sz="4" w:space="0" w:color="auto"/>
              <w:bottom w:val="single" w:sz="4" w:space="0" w:color="auto"/>
              <w:right w:val="single" w:sz="4" w:space="0" w:color="auto"/>
            </w:tcBorders>
            <w:vAlign w:val="center"/>
          </w:tcPr>
          <w:p w14:paraId="69B6B3A4" w14:textId="77777777" w:rsidR="0049133F" w:rsidRPr="0049133F" w:rsidRDefault="0049133F" w:rsidP="0049133F">
            <w:pPr>
              <w:spacing w:line="440" w:lineRule="exact"/>
              <w:jc w:val="center"/>
              <w:rPr>
                <w:rFonts w:ascii="宋体" w:eastAsia="宋体" w:hAnsi="宋体" w:cs="Times New Roman"/>
                <w:sz w:val="24"/>
              </w:rPr>
            </w:pPr>
            <w:r w:rsidRPr="0049133F">
              <w:rPr>
                <w:rFonts w:ascii="宋体" w:eastAsia="宋体" w:hAnsi="宋体" w:cs="Times New Roman" w:hint="eastAsia"/>
                <w:sz w:val="24"/>
              </w:rPr>
              <w:t>课程名称</w:t>
            </w:r>
          </w:p>
        </w:tc>
        <w:tc>
          <w:tcPr>
            <w:tcW w:w="2737" w:type="dxa"/>
            <w:tcBorders>
              <w:top w:val="single" w:sz="4" w:space="0" w:color="auto"/>
              <w:left w:val="single" w:sz="4" w:space="0" w:color="auto"/>
              <w:bottom w:val="single" w:sz="4" w:space="0" w:color="auto"/>
              <w:right w:val="single" w:sz="4" w:space="0" w:color="auto"/>
            </w:tcBorders>
            <w:vAlign w:val="center"/>
          </w:tcPr>
          <w:p w14:paraId="21168534" w14:textId="77777777" w:rsidR="0049133F" w:rsidRPr="0049133F" w:rsidRDefault="0049133F" w:rsidP="0049133F">
            <w:pPr>
              <w:spacing w:line="440" w:lineRule="exact"/>
              <w:jc w:val="center"/>
              <w:rPr>
                <w:rFonts w:ascii="宋体" w:eastAsia="宋体" w:hAnsi="宋体" w:cs="Times New Roman"/>
                <w:sz w:val="24"/>
              </w:rPr>
            </w:pPr>
            <w:r w:rsidRPr="0049133F">
              <w:rPr>
                <w:rFonts w:ascii="宋体" w:eastAsia="宋体" w:hAnsi="宋体" w:cs="Times New Roman" w:hint="eastAsia"/>
                <w:sz w:val="24"/>
              </w:rPr>
              <w:t>大学英语</w:t>
            </w:r>
            <w:r w:rsidRPr="0049133F">
              <w:rPr>
                <w:rFonts w:ascii="Calibri" w:eastAsia="宋体" w:hAnsi="Calibri" w:cs="Times New Roman"/>
                <w:sz w:val="24"/>
              </w:rPr>
              <w:t>3</w:t>
            </w:r>
          </w:p>
        </w:tc>
        <w:tc>
          <w:tcPr>
            <w:tcW w:w="1506" w:type="dxa"/>
            <w:tcBorders>
              <w:top w:val="single" w:sz="4" w:space="0" w:color="auto"/>
              <w:left w:val="single" w:sz="4" w:space="0" w:color="auto"/>
              <w:bottom w:val="single" w:sz="4" w:space="0" w:color="auto"/>
              <w:right w:val="single" w:sz="4" w:space="0" w:color="auto"/>
            </w:tcBorders>
            <w:vAlign w:val="center"/>
          </w:tcPr>
          <w:p w14:paraId="7800E192" w14:textId="77777777" w:rsidR="0049133F" w:rsidRPr="0049133F" w:rsidRDefault="0049133F" w:rsidP="0049133F">
            <w:pPr>
              <w:spacing w:line="440" w:lineRule="exact"/>
              <w:jc w:val="center"/>
              <w:rPr>
                <w:rFonts w:ascii="宋体" w:eastAsia="宋体" w:hAnsi="宋体" w:cs="Times New Roman"/>
                <w:sz w:val="24"/>
              </w:rPr>
            </w:pPr>
            <w:r w:rsidRPr="0049133F">
              <w:rPr>
                <w:rFonts w:ascii="宋体" w:eastAsia="宋体" w:hAnsi="宋体" w:cs="Times New Roman" w:hint="eastAsia"/>
                <w:sz w:val="24"/>
              </w:rPr>
              <w:t>课程代码</w:t>
            </w:r>
          </w:p>
        </w:tc>
        <w:tc>
          <w:tcPr>
            <w:tcW w:w="2937" w:type="dxa"/>
            <w:tcBorders>
              <w:top w:val="single" w:sz="4" w:space="0" w:color="auto"/>
              <w:left w:val="single" w:sz="4" w:space="0" w:color="auto"/>
              <w:bottom w:val="single" w:sz="4" w:space="0" w:color="auto"/>
              <w:right w:val="single" w:sz="4" w:space="0" w:color="auto"/>
            </w:tcBorders>
            <w:vAlign w:val="center"/>
          </w:tcPr>
          <w:p w14:paraId="54DA9B65" w14:textId="77777777" w:rsidR="0049133F" w:rsidRPr="0049133F" w:rsidRDefault="0049133F" w:rsidP="0049133F">
            <w:pPr>
              <w:spacing w:line="440" w:lineRule="exact"/>
              <w:jc w:val="center"/>
              <w:rPr>
                <w:rFonts w:ascii="Calibri" w:eastAsia="宋体" w:hAnsi="Calibri" w:cs="Times New Roman"/>
                <w:sz w:val="24"/>
              </w:rPr>
            </w:pPr>
            <w:r w:rsidRPr="0049133F">
              <w:rPr>
                <w:rFonts w:ascii="Calibri" w:eastAsia="宋体" w:hAnsi="Calibri" w:cs="Times New Roman"/>
                <w:sz w:val="24"/>
              </w:rPr>
              <w:t>03010</w:t>
            </w:r>
            <w:r w:rsidRPr="0049133F">
              <w:rPr>
                <w:rFonts w:ascii="Calibri" w:eastAsia="宋体" w:hAnsi="Calibri" w:cs="Times New Roman" w:hint="eastAsia"/>
                <w:sz w:val="24"/>
              </w:rPr>
              <w:t>60</w:t>
            </w:r>
          </w:p>
        </w:tc>
      </w:tr>
      <w:tr w:rsidR="0049133F" w:rsidRPr="0049133F" w14:paraId="2A755F92" w14:textId="77777777" w:rsidTr="00BA2CFD">
        <w:trPr>
          <w:trHeight w:val="829"/>
          <w:jc w:val="center"/>
        </w:trPr>
        <w:tc>
          <w:tcPr>
            <w:tcW w:w="1477" w:type="dxa"/>
            <w:tcBorders>
              <w:top w:val="single" w:sz="4" w:space="0" w:color="auto"/>
              <w:left w:val="single" w:sz="4" w:space="0" w:color="auto"/>
              <w:bottom w:val="single" w:sz="4" w:space="0" w:color="auto"/>
              <w:right w:val="single" w:sz="4" w:space="0" w:color="auto"/>
            </w:tcBorders>
            <w:vAlign w:val="center"/>
          </w:tcPr>
          <w:p w14:paraId="441FB994" w14:textId="77777777" w:rsidR="0049133F" w:rsidRPr="0049133F" w:rsidRDefault="0049133F" w:rsidP="0049133F">
            <w:pPr>
              <w:spacing w:line="440" w:lineRule="exact"/>
              <w:jc w:val="center"/>
              <w:rPr>
                <w:rFonts w:ascii="宋体" w:eastAsia="宋体" w:hAnsi="宋体" w:cs="Times New Roman"/>
                <w:sz w:val="24"/>
              </w:rPr>
            </w:pPr>
            <w:r w:rsidRPr="0049133F">
              <w:rPr>
                <w:rFonts w:ascii="宋体" w:eastAsia="宋体" w:hAnsi="宋体" w:cs="Times New Roman" w:hint="eastAsia"/>
                <w:sz w:val="24"/>
              </w:rPr>
              <w:t>课程类别</w:t>
            </w:r>
          </w:p>
        </w:tc>
        <w:tc>
          <w:tcPr>
            <w:tcW w:w="2737" w:type="dxa"/>
            <w:tcBorders>
              <w:top w:val="single" w:sz="4" w:space="0" w:color="auto"/>
              <w:left w:val="single" w:sz="4" w:space="0" w:color="auto"/>
              <w:bottom w:val="single" w:sz="4" w:space="0" w:color="auto"/>
              <w:right w:val="single" w:sz="4" w:space="0" w:color="auto"/>
            </w:tcBorders>
            <w:vAlign w:val="center"/>
          </w:tcPr>
          <w:p w14:paraId="101F4500" w14:textId="77777777" w:rsidR="0049133F" w:rsidRPr="0049133F" w:rsidRDefault="0049133F" w:rsidP="0049133F">
            <w:pPr>
              <w:spacing w:line="440" w:lineRule="exact"/>
              <w:jc w:val="center"/>
              <w:rPr>
                <w:rFonts w:ascii="宋体" w:eastAsia="宋体" w:hAnsi="宋体" w:cs="Times New Roman"/>
                <w:sz w:val="24"/>
              </w:rPr>
            </w:pPr>
            <w:r w:rsidRPr="0049133F">
              <w:rPr>
                <w:rFonts w:ascii="Calibri" w:eastAsia="宋体" w:hAnsi="宋体" w:cs="Times New Roman" w:hint="eastAsia"/>
                <w:sz w:val="24"/>
              </w:rPr>
              <w:t>通识教育必修课</w:t>
            </w:r>
          </w:p>
        </w:tc>
        <w:tc>
          <w:tcPr>
            <w:tcW w:w="1506" w:type="dxa"/>
            <w:tcBorders>
              <w:top w:val="single" w:sz="4" w:space="0" w:color="auto"/>
              <w:left w:val="single" w:sz="4" w:space="0" w:color="auto"/>
              <w:bottom w:val="single" w:sz="4" w:space="0" w:color="auto"/>
              <w:right w:val="single" w:sz="4" w:space="0" w:color="auto"/>
            </w:tcBorders>
            <w:vAlign w:val="center"/>
          </w:tcPr>
          <w:p w14:paraId="1AA6C980" w14:textId="77777777" w:rsidR="0049133F" w:rsidRPr="0049133F" w:rsidRDefault="0049133F" w:rsidP="0049133F">
            <w:pPr>
              <w:spacing w:line="440" w:lineRule="exact"/>
              <w:jc w:val="center"/>
              <w:rPr>
                <w:rFonts w:ascii="宋体" w:eastAsia="宋体" w:hAnsi="宋体" w:cs="Times New Roman"/>
                <w:sz w:val="24"/>
              </w:rPr>
            </w:pPr>
            <w:r w:rsidRPr="0049133F">
              <w:rPr>
                <w:rFonts w:ascii="宋体" w:eastAsia="宋体" w:hAnsi="宋体" w:cs="Times New Roman" w:hint="eastAsia"/>
                <w:sz w:val="24"/>
              </w:rPr>
              <w:t>学时</w:t>
            </w:r>
          </w:p>
          <w:p w14:paraId="0B8CE555" w14:textId="77777777" w:rsidR="0049133F" w:rsidRPr="0049133F" w:rsidRDefault="0049133F" w:rsidP="0049133F">
            <w:pPr>
              <w:spacing w:line="440" w:lineRule="exact"/>
              <w:jc w:val="center"/>
              <w:rPr>
                <w:rFonts w:ascii="宋体" w:eastAsia="宋体" w:hAnsi="宋体" w:cs="Times New Roman"/>
                <w:sz w:val="24"/>
              </w:rPr>
            </w:pPr>
            <w:r w:rsidRPr="0049133F">
              <w:rPr>
                <w:rFonts w:ascii="宋体" w:eastAsia="宋体" w:hAnsi="宋体" w:cs="Times New Roman" w:hint="eastAsia"/>
                <w:sz w:val="24"/>
              </w:rPr>
              <w:t>/学分</w:t>
            </w:r>
          </w:p>
        </w:tc>
        <w:tc>
          <w:tcPr>
            <w:tcW w:w="2937" w:type="dxa"/>
            <w:tcBorders>
              <w:top w:val="single" w:sz="4" w:space="0" w:color="auto"/>
              <w:left w:val="single" w:sz="4" w:space="0" w:color="auto"/>
              <w:bottom w:val="single" w:sz="4" w:space="0" w:color="auto"/>
              <w:right w:val="single" w:sz="4" w:space="0" w:color="auto"/>
            </w:tcBorders>
            <w:vAlign w:val="center"/>
          </w:tcPr>
          <w:p w14:paraId="37469957" w14:textId="77777777" w:rsidR="0049133F" w:rsidRPr="0049133F" w:rsidRDefault="0049133F" w:rsidP="0049133F">
            <w:pPr>
              <w:spacing w:line="440" w:lineRule="exact"/>
              <w:jc w:val="center"/>
              <w:rPr>
                <w:rFonts w:ascii="Calibri" w:eastAsia="宋体" w:hAnsi="Calibri" w:cs="Times New Roman"/>
                <w:sz w:val="24"/>
              </w:rPr>
            </w:pPr>
            <w:r w:rsidRPr="0049133F">
              <w:rPr>
                <w:rFonts w:ascii="Calibri" w:eastAsia="宋体" w:hAnsi="Calibri" w:cs="Times New Roman" w:hint="eastAsia"/>
                <w:sz w:val="24"/>
              </w:rPr>
              <w:t>48</w:t>
            </w:r>
            <w:r w:rsidRPr="0049133F">
              <w:rPr>
                <w:rFonts w:ascii="Calibri" w:eastAsia="宋体" w:hAnsi="Calibri" w:cs="Times New Roman"/>
                <w:sz w:val="24"/>
              </w:rPr>
              <w:t>/</w:t>
            </w:r>
            <w:r w:rsidRPr="0049133F">
              <w:rPr>
                <w:rFonts w:ascii="Calibri" w:eastAsia="宋体" w:hAnsi="Calibri" w:cs="Times New Roman" w:hint="eastAsia"/>
                <w:sz w:val="24"/>
              </w:rPr>
              <w:t>2.5</w:t>
            </w:r>
          </w:p>
        </w:tc>
      </w:tr>
      <w:tr w:rsidR="0049133F" w:rsidRPr="0049133F" w14:paraId="49B6B35E" w14:textId="77777777" w:rsidTr="00BA2CFD">
        <w:trPr>
          <w:trHeight w:val="811"/>
          <w:jc w:val="center"/>
        </w:trPr>
        <w:tc>
          <w:tcPr>
            <w:tcW w:w="1477" w:type="dxa"/>
            <w:tcBorders>
              <w:top w:val="single" w:sz="4" w:space="0" w:color="auto"/>
              <w:left w:val="single" w:sz="4" w:space="0" w:color="auto"/>
              <w:bottom w:val="single" w:sz="4" w:space="0" w:color="auto"/>
              <w:right w:val="single" w:sz="4" w:space="0" w:color="auto"/>
            </w:tcBorders>
            <w:vAlign w:val="center"/>
          </w:tcPr>
          <w:p w14:paraId="73E02A05" w14:textId="77777777" w:rsidR="0049133F" w:rsidRPr="0049133F" w:rsidRDefault="0049133F" w:rsidP="0049133F">
            <w:pPr>
              <w:spacing w:line="440" w:lineRule="exact"/>
              <w:jc w:val="center"/>
              <w:rPr>
                <w:rFonts w:ascii="宋体" w:eastAsia="宋体" w:hAnsi="宋体" w:cs="Times New Roman"/>
                <w:sz w:val="24"/>
              </w:rPr>
            </w:pPr>
            <w:r w:rsidRPr="0049133F">
              <w:rPr>
                <w:rFonts w:ascii="宋体" w:eastAsia="宋体" w:hAnsi="宋体" w:cs="Times New Roman" w:hint="eastAsia"/>
                <w:sz w:val="24"/>
              </w:rPr>
              <w:t>开课单位</w:t>
            </w:r>
          </w:p>
        </w:tc>
        <w:tc>
          <w:tcPr>
            <w:tcW w:w="2737" w:type="dxa"/>
            <w:tcBorders>
              <w:top w:val="single" w:sz="4" w:space="0" w:color="auto"/>
              <w:left w:val="single" w:sz="4" w:space="0" w:color="auto"/>
              <w:bottom w:val="single" w:sz="4" w:space="0" w:color="auto"/>
              <w:right w:val="single" w:sz="4" w:space="0" w:color="auto"/>
            </w:tcBorders>
            <w:vAlign w:val="center"/>
          </w:tcPr>
          <w:p w14:paraId="79B8F4AE" w14:textId="77777777" w:rsidR="0049133F" w:rsidRPr="0049133F" w:rsidRDefault="0049133F" w:rsidP="0049133F">
            <w:pPr>
              <w:spacing w:line="440" w:lineRule="exact"/>
              <w:jc w:val="center"/>
              <w:rPr>
                <w:rFonts w:ascii="宋体" w:eastAsia="宋体" w:hAnsi="宋体" w:cs="Times New Roman"/>
                <w:sz w:val="24"/>
              </w:rPr>
            </w:pPr>
            <w:r w:rsidRPr="0049133F">
              <w:rPr>
                <w:rFonts w:ascii="宋体" w:eastAsia="宋体" w:hAnsi="宋体" w:cs="Times New Roman" w:hint="eastAsia"/>
                <w:sz w:val="24"/>
              </w:rPr>
              <w:t>外国语学院</w:t>
            </w:r>
          </w:p>
        </w:tc>
        <w:tc>
          <w:tcPr>
            <w:tcW w:w="1506" w:type="dxa"/>
            <w:tcBorders>
              <w:top w:val="single" w:sz="4" w:space="0" w:color="auto"/>
              <w:left w:val="single" w:sz="4" w:space="0" w:color="auto"/>
              <w:bottom w:val="single" w:sz="4" w:space="0" w:color="auto"/>
              <w:right w:val="single" w:sz="4" w:space="0" w:color="auto"/>
            </w:tcBorders>
            <w:vAlign w:val="center"/>
          </w:tcPr>
          <w:p w14:paraId="478FA295" w14:textId="77777777" w:rsidR="0049133F" w:rsidRPr="0049133F" w:rsidRDefault="0049133F" w:rsidP="0049133F">
            <w:pPr>
              <w:spacing w:line="440" w:lineRule="exact"/>
              <w:jc w:val="center"/>
              <w:rPr>
                <w:rFonts w:ascii="宋体" w:eastAsia="宋体" w:hAnsi="宋体" w:cs="Times New Roman"/>
                <w:sz w:val="24"/>
              </w:rPr>
            </w:pPr>
            <w:r w:rsidRPr="0049133F">
              <w:rPr>
                <w:rFonts w:ascii="宋体" w:eastAsia="宋体" w:hAnsi="宋体" w:cs="Times New Roman" w:hint="eastAsia"/>
                <w:sz w:val="24"/>
              </w:rPr>
              <w:t>适用专业</w:t>
            </w:r>
          </w:p>
        </w:tc>
        <w:tc>
          <w:tcPr>
            <w:tcW w:w="2937" w:type="dxa"/>
            <w:tcBorders>
              <w:top w:val="single" w:sz="4" w:space="0" w:color="auto"/>
              <w:left w:val="single" w:sz="4" w:space="0" w:color="auto"/>
              <w:bottom w:val="single" w:sz="4" w:space="0" w:color="auto"/>
              <w:right w:val="single" w:sz="4" w:space="0" w:color="auto"/>
            </w:tcBorders>
            <w:vAlign w:val="center"/>
          </w:tcPr>
          <w:p w14:paraId="6C5D1334" w14:textId="77777777" w:rsidR="0049133F" w:rsidRPr="0049133F" w:rsidRDefault="0049133F" w:rsidP="0049133F">
            <w:pPr>
              <w:spacing w:line="440" w:lineRule="exact"/>
              <w:rPr>
                <w:rFonts w:ascii="Calibri" w:eastAsia="宋体" w:hAnsi="Calibri" w:cs="Times New Roman"/>
                <w:sz w:val="24"/>
              </w:rPr>
            </w:pPr>
            <w:r w:rsidRPr="0049133F">
              <w:rPr>
                <w:rFonts w:ascii="Calibri" w:eastAsia="宋体" w:hAnsi="Calibri" w:cs="Times New Roman"/>
                <w:sz w:val="24"/>
              </w:rPr>
              <w:t>非英语专业本科</w:t>
            </w:r>
            <w:r w:rsidRPr="0049133F">
              <w:rPr>
                <w:rFonts w:ascii="Calibri" w:eastAsia="宋体" w:hAnsi="Calibri" w:cs="Times New Roman" w:hint="eastAsia"/>
                <w:sz w:val="24"/>
              </w:rPr>
              <w:t>（工科</w:t>
            </w:r>
            <w:r w:rsidRPr="0049133F">
              <w:rPr>
                <w:rFonts w:ascii="Calibri" w:eastAsia="宋体" w:hAnsi="Calibri" w:cs="Times New Roman"/>
                <w:sz w:val="24"/>
              </w:rPr>
              <w:t>类</w:t>
            </w:r>
            <w:r w:rsidRPr="0049133F">
              <w:rPr>
                <w:rFonts w:ascii="Calibri" w:eastAsia="宋体" w:hAnsi="Calibri" w:cs="Times New Roman" w:hint="eastAsia"/>
                <w:sz w:val="24"/>
              </w:rPr>
              <w:t>）</w:t>
            </w:r>
          </w:p>
        </w:tc>
      </w:tr>
      <w:tr w:rsidR="0049133F" w:rsidRPr="0049133F" w14:paraId="23BAC985" w14:textId="77777777" w:rsidTr="00BA2CFD">
        <w:trPr>
          <w:trHeight w:val="811"/>
          <w:jc w:val="center"/>
        </w:trPr>
        <w:tc>
          <w:tcPr>
            <w:tcW w:w="1477" w:type="dxa"/>
            <w:tcBorders>
              <w:top w:val="single" w:sz="4" w:space="0" w:color="auto"/>
              <w:left w:val="single" w:sz="4" w:space="0" w:color="auto"/>
              <w:bottom w:val="single" w:sz="4" w:space="0" w:color="auto"/>
              <w:right w:val="single" w:sz="4" w:space="0" w:color="auto"/>
            </w:tcBorders>
            <w:vAlign w:val="center"/>
          </w:tcPr>
          <w:p w14:paraId="010BF232" w14:textId="77777777" w:rsidR="0049133F" w:rsidRPr="0049133F" w:rsidRDefault="0049133F" w:rsidP="0049133F">
            <w:pPr>
              <w:spacing w:line="440" w:lineRule="exact"/>
              <w:jc w:val="center"/>
              <w:rPr>
                <w:rFonts w:ascii="宋体" w:eastAsia="宋体" w:hAnsi="宋体" w:cs="Times New Roman"/>
                <w:sz w:val="24"/>
              </w:rPr>
            </w:pPr>
            <w:r w:rsidRPr="0049133F">
              <w:rPr>
                <w:rFonts w:ascii="宋体" w:eastAsia="宋体" w:hAnsi="宋体" w:cs="Times New Roman" w:hint="eastAsia"/>
                <w:sz w:val="24"/>
              </w:rPr>
              <w:t>课程负责人</w:t>
            </w:r>
          </w:p>
        </w:tc>
        <w:tc>
          <w:tcPr>
            <w:tcW w:w="7180" w:type="dxa"/>
            <w:gridSpan w:val="3"/>
            <w:tcBorders>
              <w:top w:val="single" w:sz="4" w:space="0" w:color="auto"/>
              <w:left w:val="single" w:sz="4" w:space="0" w:color="auto"/>
              <w:bottom w:val="single" w:sz="4" w:space="0" w:color="auto"/>
              <w:right w:val="single" w:sz="4" w:space="0" w:color="auto"/>
            </w:tcBorders>
            <w:vAlign w:val="center"/>
          </w:tcPr>
          <w:p w14:paraId="425721DC" w14:textId="77777777" w:rsidR="0049133F" w:rsidRPr="0049133F" w:rsidRDefault="0049133F" w:rsidP="0049133F">
            <w:pPr>
              <w:spacing w:line="440" w:lineRule="exact"/>
              <w:jc w:val="center"/>
              <w:rPr>
                <w:rFonts w:ascii="宋体" w:eastAsia="宋体" w:hAnsi="宋体" w:cs="Times New Roman"/>
                <w:sz w:val="24"/>
              </w:rPr>
            </w:pPr>
            <w:r w:rsidRPr="0049133F">
              <w:rPr>
                <w:rFonts w:ascii="宋体" w:eastAsia="宋体" w:hAnsi="宋体" w:cs="Times New Roman" w:hint="eastAsia"/>
                <w:sz w:val="24"/>
              </w:rPr>
              <w:t>张枫</w:t>
            </w:r>
          </w:p>
        </w:tc>
      </w:tr>
      <w:tr w:rsidR="0049133F" w:rsidRPr="0049133F" w14:paraId="56D8FF89" w14:textId="77777777" w:rsidTr="00BA2CFD">
        <w:trPr>
          <w:trHeight w:val="836"/>
          <w:jc w:val="center"/>
        </w:trPr>
        <w:tc>
          <w:tcPr>
            <w:tcW w:w="1477" w:type="dxa"/>
            <w:tcBorders>
              <w:top w:val="single" w:sz="4" w:space="0" w:color="auto"/>
              <w:left w:val="single" w:sz="4" w:space="0" w:color="auto"/>
              <w:bottom w:val="single" w:sz="4" w:space="0" w:color="auto"/>
              <w:right w:val="single" w:sz="4" w:space="0" w:color="auto"/>
            </w:tcBorders>
            <w:vAlign w:val="center"/>
          </w:tcPr>
          <w:p w14:paraId="4FD1B507" w14:textId="77777777" w:rsidR="0049133F" w:rsidRPr="0049133F" w:rsidRDefault="0049133F" w:rsidP="0049133F">
            <w:pPr>
              <w:spacing w:line="440" w:lineRule="exact"/>
              <w:jc w:val="center"/>
              <w:rPr>
                <w:rFonts w:ascii="宋体" w:eastAsia="宋体" w:hAnsi="宋体" w:cs="Times New Roman"/>
                <w:sz w:val="24"/>
              </w:rPr>
            </w:pPr>
            <w:r w:rsidRPr="0049133F">
              <w:rPr>
                <w:rFonts w:ascii="宋体" w:eastAsia="宋体" w:hAnsi="宋体" w:cs="Times New Roman" w:hint="eastAsia"/>
                <w:sz w:val="24"/>
              </w:rPr>
              <w:t>大纲撰写人</w:t>
            </w:r>
          </w:p>
        </w:tc>
        <w:tc>
          <w:tcPr>
            <w:tcW w:w="2737" w:type="dxa"/>
            <w:tcBorders>
              <w:top w:val="single" w:sz="4" w:space="0" w:color="auto"/>
              <w:left w:val="single" w:sz="4" w:space="0" w:color="auto"/>
              <w:bottom w:val="single" w:sz="4" w:space="0" w:color="auto"/>
              <w:right w:val="single" w:sz="4" w:space="0" w:color="auto"/>
            </w:tcBorders>
            <w:vAlign w:val="center"/>
          </w:tcPr>
          <w:p w14:paraId="3B1AB2D9" w14:textId="77777777" w:rsidR="0049133F" w:rsidRPr="0049133F" w:rsidRDefault="0049133F" w:rsidP="0049133F">
            <w:pPr>
              <w:spacing w:line="440" w:lineRule="exact"/>
              <w:jc w:val="center"/>
              <w:rPr>
                <w:rFonts w:ascii="宋体" w:eastAsia="宋体" w:hAnsi="宋体" w:cs="Times New Roman"/>
                <w:sz w:val="24"/>
              </w:rPr>
            </w:pPr>
            <w:r w:rsidRPr="0049133F">
              <w:rPr>
                <w:rFonts w:ascii="Calibri" w:eastAsia="宋体" w:hAnsi="宋体" w:cs="Times New Roman"/>
                <w:sz w:val="24"/>
              </w:rPr>
              <w:t>高若腾、王洁欣、庞青月、刘佳滢</w:t>
            </w:r>
            <w:r w:rsidRPr="0049133F">
              <w:rPr>
                <w:rFonts w:ascii="Calibri" w:eastAsia="宋体" w:hAnsi="宋体" w:cs="Times New Roman" w:hint="eastAsia"/>
                <w:sz w:val="24"/>
              </w:rPr>
              <w:t>、李刚、刘琳、吴佳琳</w:t>
            </w:r>
          </w:p>
        </w:tc>
        <w:tc>
          <w:tcPr>
            <w:tcW w:w="1506" w:type="dxa"/>
            <w:tcBorders>
              <w:top w:val="single" w:sz="4" w:space="0" w:color="auto"/>
              <w:left w:val="single" w:sz="4" w:space="0" w:color="auto"/>
              <w:bottom w:val="single" w:sz="4" w:space="0" w:color="auto"/>
              <w:right w:val="single" w:sz="4" w:space="0" w:color="auto"/>
            </w:tcBorders>
            <w:vAlign w:val="center"/>
          </w:tcPr>
          <w:p w14:paraId="0A4BF87D" w14:textId="77777777" w:rsidR="0049133F" w:rsidRPr="0049133F" w:rsidRDefault="0049133F" w:rsidP="0049133F">
            <w:pPr>
              <w:spacing w:line="440" w:lineRule="exact"/>
              <w:jc w:val="center"/>
              <w:rPr>
                <w:rFonts w:ascii="宋体" w:eastAsia="宋体" w:hAnsi="宋体" w:cs="Times New Roman"/>
                <w:sz w:val="24"/>
              </w:rPr>
            </w:pPr>
            <w:r w:rsidRPr="0049133F">
              <w:rPr>
                <w:rFonts w:ascii="宋体" w:eastAsia="宋体" w:hAnsi="宋体" w:cs="Times New Roman" w:hint="eastAsia"/>
                <w:sz w:val="24"/>
              </w:rPr>
              <w:t>大纲审核人</w:t>
            </w:r>
          </w:p>
        </w:tc>
        <w:tc>
          <w:tcPr>
            <w:tcW w:w="2937" w:type="dxa"/>
            <w:tcBorders>
              <w:top w:val="single" w:sz="4" w:space="0" w:color="auto"/>
              <w:left w:val="single" w:sz="4" w:space="0" w:color="auto"/>
              <w:bottom w:val="single" w:sz="4" w:space="0" w:color="auto"/>
              <w:right w:val="single" w:sz="4" w:space="0" w:color="auto"/>
            </w:tcBorders>
            <w:vAlign w:val="center"/>
          </w:tcPr>
          <w:p w14:paraId="1F889C18" w14:textId="77777777" w:rsidR="0049133F" w:rsidRPr="0049133F" w:rsidRDefault="0049133F" w:rsidP="0049133F">
            <w:pPr>
              <w:spacing w:line="440" w:lineRule="exact"/>
              <w:jc w:val="center"/>
              <w:rPr>
                <w:rFonts w:ascii="宋体" w:eastAsia="宋体" w:hAnsi="宋体" w:cs="Times New Roman"/>
                <w:sz w:val="24"/>
              </w:rPr>
            </w:pPr>
            <w:proofErr w:type="gramStart"/>
            <w:r w:rsidRPr="0049133F">
              <w:rPr>
                <w:rFonts w:ascii="宋体" w:eastAsia="宋体" w:hAnsi="宋体" w:cs="Times New Roman" w:hint="eastAsia"/>
                <w:sz w:val="24"/>
              </w:rPr>
              <w:t>贺宇涛</w:t>
            </w:r>
            <w:proofErr w:type="gramEnd"/>
          </w:p>
        </w:tc>
      </w:tr>
      <w:tr w:rsidR="0049133F" w:rsidRPr="0049133F" w14:paraId="36BDD873" w14:textId="77777777" w:rsidTr="00BA2CFD">
        <w:trPr>
          <w:trHeight w:val="848"/>
          <w:jc w:val="center"/>
        </w:trPr>
        <w:tc>
          <w:tcPr>
            <w:tcW w:w="1477" w:type="dxa"/>
            <w:tcBorders>
              <w:top w:val="single" w:sz="4" w:space="0" w:color="auto"/>
              <w:left w:val="single" w:sz="4" w:space="0" w:color="auto"/>
              <w:bottom w:val="single" w:sz="4" w:space="0" w:color="auto"/>
              <w:right w:val="single" w:sz="4" w:space="0" w:color="auto"/>
            </w:tcBorders>
            <w:vAlign w:val="center"/>
          </w:tcPr>
          <w:p w14:paraId="5DD01B29" w14:textId="77777777" w:rsidR="0049133F" w:rsidRPr="0049133F" w:rsidRDefault="0049133F" w:rsidP="0049133F">
            <w:pPr>
              <w:spacing w:line="440" w:lineRule="exact"/>
              <w:jc w:val="center"/>
              <w:rPr>
                <w:rFonts w:ascii="宋体" w:eastAsia="宋体" w:hAnsi="宋体" w:cs="Times New Roman"/>
                <w:sz w:val="24"/>
              </w:rPr>
            </w:pPr>
            <w:r w:rsidRPr="0049133F">
              <w:rPr>
                <w:rFonts w:ascii="宋体" w:eastAsia="宋体" w:hAnsi="宋体" w:cs="Times New Roman" w:hint="eastAsia"/>
                <w:sz w:val="24"/>
              </w:rPr>
              <w:t>先修课程</w:t>
            </w:r>
          </w:p>
        </w:tc>
        <w:tc>
          <w:tcPr>
            <w:tcW w:w="7180" w:type="dxa"/>
            <w:gridSpan w:val="3"/>
            <w:tcBorders>
              <w:top w:val="single" w:sz="4" w:space="0" w:color="auto"/>
              <w:left w:val="single" w:sz="4" w:space="0" w:color="auto"/>
              <w:bottom w:val="single" w:sz="4" w:space="0" w:color="auto"/>
              <w:right w:val="single" w:sz="4" w:space="0" w:color="auto"/>
            </w:tcBorders>
            <w:vAlign w:val="center"/>
          </w:tcPr>
          <w:p w14:paraId="13AEDF6B" w14:textId="77777777" w:rsidR="0049133F" w:rsidRPr="0049133F" w:rsidRDefault="0049133F" w:rsidP="0049133F">
            <w:pPr>
              <w:spacing w:line="440" w:lineRule="exact"/>
              <w:jc w:val="center"/>
              <w:rPr>
                <w:rFonts w:ascii="宋体" w:eastAsia="宋体" w:hAnsi="宋体" w:cs="Times New Roman"/>
                <w:sz w:val="24"/>
              </w:rPr>
            </w:pPr>
            <w:r w:rsidRPr="0049133F">
              <w:rPr>
                <w:rFonts w:ascii="宋体" w:eastAsia="宋体" w:hAnsi="宋体" w:cs="Times New Roman" w:hint="eastAsia"/>
                <w:sz w:val="24"/>
              </w:rPr>
              <w:t>大学英语</w:t>
            </w:r>
            <w:r w:rsidRPr="0049133F">
              <w:rPr>
                <w:rFonts w:ascii="Calibri" w:eastAsia="宋体" w:hAnsi="Calibri" w:cs="Times New Roman"/>
                <w:sz w:val="24"/>
              </w:rPr>
              <w:t>1</w:t>
            </w:r>
            <w:r w:rsidRPr="0049133F">
              <w:rPr>
                <w:rFonts w:ascii="Calibri" w:eastAsia="宋体" w:hAnsi="宋体" w:cs="Times New Roman" w:hint="eastAsia"/>
                <w:sz w:val="24"/>
              </w:rPr>
              <w:t>、大学英语</w:t>
            </w:r>
            <w:r w:rsidRPr="0049133F">
              <w:rPr>
                <w:rFonts w:ascii="Calibri" w:eastAsia="宋体" w:hAnsi="Calibri" w:cs="Times New Roman"/>
                <w:sz w:val="24"/>
              </w:rPr>
              <w:t>2</w:t>
            </w:r>
          </w:p>
        </w:tc>
      </w:tr>
      <w:tr w:rsidR="0049133F" w:rsidRPr="0049133F" w14:paraId="58977444" w14:textId="77777777" w:rsidTr="00BA2CFD">
        <w:trPr>
          <w:trHeight w:val="848"/>
          <w:jc w:val="center"/>
        </w:trPr>
        <w:tc>
          <w:tcPr>
            <w:tcW w:w="1477" w:type="dxa"/>
            <w:tcBorders>
              <w:top w:val="single" w:sz="4" w:space="0" w:color="auto"/>
              <w:left w:val="single" w:sz="4" w:space="0" w:color="auto"/>
              <w:bottom w:val="single" w:sz="4" w:space="0" w:color="auto"/>
              <w:right w:val="single" w:sz="4" w:space="0" w:color="auto"/>
            </w:tcBorders>
            <w:vAlign w:val="center"/>
          </w:tcPr>
          <w:p w14:paraId="2C257FAE" w14:textId="77777777" w:rsidR="0049133F" w:rsidRPr="0049133F" w:rsidRDefault="0049133F" w:rsidP="0049133F">
            <w:pPr>
              <w:spacing w:line="440" w:lineRule="exact"/>
              <w:jc w:val="center"/>
              <w:rPr>
                <w:rFonts w:ascii="宋体" w:eastAsia="宋体" w:hAnsi="宋体" w:cs="Times New Roman"/>
                <w:sz w:val="24"/>
              </w:rPr>
            </w:pPr>
            <w:r w:rsidRPr="0049133F">
              <w:rPr>
                <w:rFonts w:ascii="宋体" w:eastAsia="宋体" w:hAnsi="宋体" w:cs="Times New Roman" w:hint="eastAsia"/>
                <w:sz w:val="24"/>
              </w:rPr>
              <w:t>课程网址</w:t>
            </w:r>
          </w:p>
        </w:tc>
        <w:tc>
          <w:tcPr>
            <w:tcW w:w="7180" w:type="dxa"/>
            <w:gridSpan w:val="3"/>
            <w:tcBorders>
              <w:top w:val="single" w:sz="4" w:space="0" w:color="auto"/>
              <w:left w:val="single" w:sz="4" w:space="0" w:color="auto"/>
              <w:bottom w:val="single" w:sz="4" w:space="0" w:color="auto"/>
              <w:right w:val="single" w:sz="4" w:space="0" w:color="auto"/>
            </w:tcBorders>
            <w:vAlign w:val="center"/>
          </w:tcPr>
          <w:p w14:paraId="35A01020" w14:textId="77777777" w:rsidR="0049133F" w:rsidRPr="0049133F" w:rsidRDefault="0049133F" w:rsidP="0049133F">
            <w:pPr>
              <w:spacing w:line="440" w:lineRule="exact"/>
              <w:rPr>
                <w:rFonts w:ascii="Calibri" w:eastAsia="宋体" w:hAnsi="Calibri" w:cs="Times New Roman"/>
                <w:sz w:val="24"/>
              </w:rPr>
            </w:pPr>
          </w:p>
        </w:tc>
      </w:tr>
    </w:tbl>
    <w:p w14:paraId="455429F9" w14:textId="77777777" w:rsidR="0049133F" w:rsidRPr="0049133F" w:rsidRDefault="0049133F" w:rsidP="0049133F">
      <w:pPr>
        <w:spacing w:beforeLines="50" w:before="156" w:afterLines="50" w:after="156" w:line="440" w:lineRule="exact"/>
        <w:rPr>
          <w:rFonts w:ascii="黑体" w:eastAsia="黑体" w:hAnsi="黑体" w:cs="Times New Roman"/>
          <w:sz w:val="28"/>
          <w:szCs w:val="28"/>
        </w:rPr>
      </w:pPr>
      <w:r w:rsidRPr="0049133F">
        <w:rPr>
          <w:rFonts w:ascii="黑体" w:eastAsia="黑体" w:hAnsi="黑体" w:cs="Times New Roman" w:hint="eastAsia"/>
          <w:sz w:val="28"/>
          <w:szCs w:val="28"/>
        </w:rPr>
        <w:t>二、课程学习目标及与毕业要求的对应关系</w:t>
      </w:r>
    </w:p>
    <w:p w14:paraId="48DB040E" w14:textId="77777777" w:rsidR="0049133F" w:rsidRPr="0049133F" w:rsidRDefault="0049133F" w:rsidP="0049133F">
      <w:pPr>
        <w:spacing w:beforeLines="50" w:before="156" w:afterLines="50" w:after="156" w:line="440" w:lineRule="exact"/>
        <w:rPr>
          <w:rFonts w:ascii="Calibri" w:eastAsia="黑体" w:hAnsi="Calibri" w:cs="Times New Roman"/>
          <w:sz w:val="28"/>
          <w:szCs w:val="28"/>
          <w:highlight w:val="yellow"/>
        </w:rPr>
      </w:pPr>
      <w:r w:rsidRPr="0049133F">
        <w:rPr>
          <w:rFonts w:ascii="Calibri" w:eastAsia="黑体" w:hAnsi="Calibri" w:cs="Times New Roman" w:hint="eastAsia"/>
          <w:sz w:val="28"/>
          <w:szCs w:val="28"/>
        </w:rPr>
        <w:t>（一）课程学习目标</w:t>
      </w:r>
      <w:r w:rsidRPr="0049133F">
        <w:rPr>
          <w:rFonts w:ascii="Calibri" w:eastAsia="黑体" w:hAnsi="Calibri" w:cs="Times New Roman" w:hint="eastAsia"/>
          <w:sz w:val="28"/>
          <w:szCs w:val="28"/>
        </w:rPr>
        <w:t xml:space="preserve">  </w:t>
      </w:r>
    </w:p>
    <w:p w14:paraId="15377BAF" w14:textId="77777777" w:rsidR="0049133F" w:rsidRPr="0049133F" w:rsidRDefault="0049133F" w:rsidP="0049133F">
      <w:pPr>
        <w:spacing w:line="360" w:lineRule="auto"/>
        <w:ind w:firstLineChars="200" w:firstLine="480"/>
        <w:rPr>
          <w:rFonts w:ascii="Calibri" w:eastAsia="宋体" w:hAnsi="Calibri" w:cs="Times New Roman"/>
          <w:sz w:val="24"/>
          <w:highlight w:val="yellow"/>
        </w:rPr>
      </w:pPr>
      <w:r w:rsidRPr="0049133F">
        <w:rPr>
          <w:rFonts w:ascii="Calibri" w:eastAsia="宋体" w:hAnsi="Calibri" w:cs="Times New Roman" w:hint="eastAsia"/>
          <w:sz w:val="24"/>
        </w:rPr>
        <w:t>通过本课程的学习，使学生达到以下目标：</w:t>
      </w:r>
      <w:r w:rsidRPr="0049133F">
        <w:rPr>
          <w:rFonts w:ascii="Calibri" w:eastAsia="宋体" w:hAnsi="Calibri" w:cs="Times New Roman"/>
          <w:sz w:val="24"/>
        </w:rPr>
        <w:t xml:space="preserve"> </w:t>
      </w:r>
    </w:p>
    <w:p w14:paraId="0C909FF3"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hint="eastAsia"/>
          <w:sz w:val="24"/>
        </w:rPr>
        <w:t>1.</w:t>
      </w:r>
      <w:r w:rsidRPr="0049133F">
        <w:rPr>
          <w:rFonts w:ascii="Calibri" w:eastAsia="宋体" w:hAnsi="Calibri" w:cs="Times New Roman" w:hint="eastAsia"/>
          <w:sz w:val="24"/>
        </w:rPr>
        <w:t>具有扎实的英语语言基础和较强的听、说、读、写、译等英语应用技能；具备较强的自主学习能力、自律意识和终身学习意识，能够运用所学的英语知识和技能了解工科领域最新理论和技术，关注工科领域国际前沿动态。</w:t>
      </w:r>
      <w:r w:rsidRPr="0049133F">
        <w:rPr>
          <w:rFonts w:ascii="Calibri" w:eastAsia="宋体" w:hAnsi="Calibri" w:cs="Times New Roman"/>
          <w:sz w:val="24"/>
        </w:rPr>
        <w:t>【</w:t>
      </w:r>
      <w:r w:rsidRPr="0049133F">
        <w:rPr>
          <w:rFonts w:ascii="Calibri" w:eastAsia="宋体" w:hAnsi="Calibri" w:cs="Times New Roman"/>
          <w:b/>
          <w:sz w:val="24"/>
        </w:rPr>
        <w:t>毕业要求</w:t>
      </w:r>
      <w:r w:rsidRPr="0049133F">
        <w:rPr>
          <w:rFonts w:ascii="Calibri" w:eastAsia="宋体" w:hAnsi="Calibri" w:cs="Times New Roman" w:hint="eastAsia"/>
          <w:b/>
          <w:sz w:val="24"/>
        </w:rPr>
        <w:t>12</w:t>
      </w:r>
      <w:r w:rsidRPr="0049133F">
        <w:rPr>
          <w:rFonts w:ascii="Calibri" w:eastAsia="宋体" w:hAnsi="Calibri" w:cs="Times New Roman" w:hint="eastAsia"/>
          <w:b/>
          <w:sz w:val="24"/>
        </w:rPr>
        <w:t>：终身学习</w:t>
      </w:r>
      <w:r w:rsidRPr="0049133F">
        <w:rPr>
          <w:rFonts w:ascii="Calibri" w:eastAsia="宋体" w:hAnsi="Calibri" w:cs="Times New Roman"/>
          <w:b/>
          <w:sz w:val="24"/>
        </w:rPr>
        <w:t>】</w:t>
      </w:r>
    </w:p>
    <w:p w14:paraId="2354E9AC"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hint="eastAsia"/>
          <w:sz w:val="24"/>
        </w:rPr>
        <w:t>2.</w:t>
      </w:r>
      <w:r w:rsidRPr="0049133F">
        <w:rPr>
          <w:rFonts w:ascii="Calibri" w:eastAsia="宋体" w:hAnsi="Calibri" w:cs="Times New Roman" w:hint="eastAsia"/>
          <w:sz w:val="24"/>
        </w:rPr>
        <w:t>具有较为丰厚的人文社会素养和强烈的社会责任感，能够在各自专业领域的工程实践中理解并遵守工程职业道德和规范。在学习西方文化的同时，感受我国文化的博大精深，树立民族文化自信心，培养爱国主义和家国情怀。</w:t>
      </w:r>
      <w:r w:rsidRPr="0049133F">
        <w:rPr>
          <w:rFonts w:ascii="Calibri" w:eastAsia="宋体" w:hAnsi="Calibri" w:cs="Times New Roman"/>
          <w:sz w:val="24"/>
        </w:rPr>
        <w:t>【</w:t>
      </w:r>
      <w:r w:rsidRPr="0049133F">
        <w:rPr>
          <w:rFonts w:ascii="Calibri" w:eastAsia="宋体" w:hAnsi="Calibri" w:cs="Times New Roman"/>
          <w:b/>
          <w:sz w:val="24"/>
        </w:rPr>
        <w:t>毕业要求</w:t>
      </w:r>
      <w:r w:rsidRPr="0049133F">
        <w:rPr>
          <w:rFonts w:ascii="Calibri" w:eastAsia="宋体" w:hAnsi="Calibri" w:cs="Times New Roman" w:hint="eastAsia"/>
          <w:b/>
          <w:sz w:val="24"/>
        </w:rPr>
        <w:t>8</w:t>
      </w:r>
      <w:r w:rsidRPr="0049133F">
        <w:rPr>
          <w:rFonts w:ascii="Calibri" w:eastAsia="宋体" w:hAnsi="Calibri" w:cs="Times New Roman" w:hint="eastAsia"/>
          <w:b/>
          <w:sz w:val="24"/>
        </w:rPr>
        <w:t>：职业规范</w:t>
      </w:r>
      <w:r w:rsidRPr="0049133F">
        <w:rPr>
          <w:rFonts w:ascii="Calibri" w:eastAsia="宋体" w:hAnsi="Calibri" w:cs="Times New Roman"/>
          <w:b/>
          <w:sz w:val="24"/>
        </w:rPr>
        <w:t>】</w:t>
      </w:r>
    </w:p>
    <w:p w14:paraId="0B952E66" w14:textId="77777777" w:rsidR="0049133F" w:rsidRPr="0049133F" w:rsidRDefault="0049133F" w:rsidP="0049133F">
      <w:pPr>
        <w:spacing w:line="360" w:lineRule="auto"/>
        <w:ind w:firstLineChars="200" w:firstLine="480"/>
        <w:rPr>
          <w:rFonts w:ascii="Calibri" w:eastAsia="黑体" w:hAnsi="Calibri" w:cs="Times New Roman"/>
          <w:sz w:val="28"/>
          <w:szCs w:val="28"/>
        </w:rPr>
      </w:pPr>
      <w:r w:rsidRPr="0049133F">
        <w:rPr>
          <w:rFonts w:ascii="Calibri" w:eastAsia="宋体" w:hAnsi="Calibri" w:cs="Times New Roman" w:hint="eastAsia"/>
          <w:sz w:val="24"/>
        </w:rPr>
        <w:t>3.</w:t>
      </w:r>
      <w:r w:rsidRPr="0049133F">
        <w:rPr>
          <w:rFonts w:ascii="Calibri" w:eastAsia="宋体" w:hAnsi="Calibri" w:cs="Times New Roman" w:hint="eastAsia"/>
          <w:sz w:val="24"/>
        </w:rPr>
        <w:t>通过参与课堂活动提升小组合作能力和组织管理能力；提升英语综合运用能力</w:t>
      </w:r>
      <w:r w:rsidRPr="0049133F">
        <w:rPr>
          <w:rFonts w:ascii="Calibri" w:eastAsia="宋体" w:hAnsi="Calibri" w:cs="Times New Roman" w:hint="eastAsia"/>
          <w:sz w:val="24"/>
        </w:rPr>
        <w:lastRenderedPageBreak/>
        <w:t>和跨文化交际能力，能够使用英语就工科领域一些问题与业界同行及社会公众进行有效的口头和书面沟通交流，包括用英语撰写报告和设计文稿、陈述发言、清晰表达回应指令等。</w:t>
      </w:r>
      <w:r w:rsidRPr="0049133F">
        <w:rPr>
          <w:rFonts w:ascii="Calibri" w:eastAsia="宋体" w:hAnsi="Calibri" w:cs="Times New Roman"/>
          <w:b/>
          <w:sz w:val="24"/>
        </w:rPr>
        <w:t>【毕业要求</w:t>
      </w:r>
      <w:r w:rsidRPr="0049133F">
        <w:rPr>
          <w:rFonts w:ascii="Calibri" w:eastAsia="宋体" w:hAnsi="Calibri" w:cs="Times New Roman" w:hint="eastAsia"/>
          <w:b/>
          <w:sz w:val="24"/>
        </w:rPr>
        <w:t>10</w:t>
      </w:r>
      <w:r w:rsidRPr="0049133F">
        <w:rPr>
          <w:rFonts w:ascii="Calibri" w:eastAsia="宋体" w:hAnsi="Calibri" w:cs="Times New Roman" w:hint="eastAsia"/>
          <w:b/>
          <w:sz w:val="24"/>
        </w:rPr>
        <w:t>：沟通</w:t>
      </w:r>
      <w:r w:rsidRPr="0049133F">
        <w:rPr>
          <w:rFonts w:ascii="Calibri" w:eastAsia="宋体" w:hAnsi="Calibri" w:cs="Times New Roman"/>
          <w:b/>
          <w:sz w:val="24"/>
        </w:rPr>
        <w:t>】</w:t>
      </w:r>
      <w:r w:rsidRPr="0049133F">
        <w:rPr>
          <w:rFonts w:ascii="Calibri" w:eastAsia="宋体" w:hAnsi="Calibri" w:cs="Times New Roman" w:hint="eastAsia"/>
          <w:sz w:val="24"/>
        </w:rPr>
        <w:t xml:space="preserve">  </w:t>
      </w:r>
    </w:p>
    <w:p w14:paraId="7521BA65" w14:textId="77777777" w:rsidR="0049133F" w:rsidRPr="0049133F" w:rsidRDefault="0049133F" w:rsidP="0049133F">
      <w:pPr>
        <w:spacing w:beforeLines="50" w:before="156" w:afterLines="50" w:after="156" w:line="440" w:lineRule="exact"/>
        <w:rPr>
          <w:rFonts w:ascii="Calibri" w:eastAsia="黑体" w:hAnsi="Calibri" w:cs="Times New Roman"/>
          <w:sz w:val="28"/>
          <w:szCs w:val="28"/>
        </w:rPr>
      </w:pPr>
      <w:r w:rsidRPr="0049133F">
        <w:rPr>
          <w:rFonts w:ascii="Calibri" w:eastAsia="黑体" w:hAnsi="Calibri"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49133F" w:rsidRPr="0049133F" w14:paraId="4AEA875D" w14:textId="77777777" w:rsidTr="00BA2CFD">
        <w:trPr>
          <w:trHeight w:val="815"/>
          <w:jc w:val="center"/>
        </w:trPr>
        <w:tc>
          <w:tcPr>
            <w:tcW w:w="1676" w:type="dxa"/>
            <w:vAlign w:val="center"/>
          </w:tcPr>
          <w:p w14:paraId="29F8AF80" w14:textId="77777777" w:rsidR="0049133F" w:rsidRPr="0049133F" w:rsidRDefault="0049133F" w:rsidP="0049133F">
            <w:pPr>
              <w:spacing w:line="440" w:lineRule="exact"/>
              <w:jc w:val="center"/>
              <w:rPr>
                <w:rFonts w:ascii="宋体" w:eastAsia="宋体" w:hAnsi="宋体" w:cs="Times New Roman"/>
                <w:b/>
                <w:sz w:val="24"/>
              </w:rPr>
            </w:pPr>
            <w:r w:rsidRPr="0049133F">
              <w:rPr>
                <w:rFonts w:ascii="宋体" w:eastAsia="宋体" w:hAnsi="宋体" w:cs="Times New Roman" w:hint="eastAsia"/>
                <w:b/>
                <w:sz w:val="24"/>
              </w:rPr>
              <w:t>毕业要求</w:t>
            </w:r>
          </w:p>
        </w:tc>
        <w:tc>
          <w:tcPr>
            <w:tcW w:w="5534" w:type="dxa"/>
            <w:vAlign w:val="center"/>
          </w:tcPr>
          <w:p w14:paraId="44719040" w14:textId="77777777" w:rsidR="0049133F" w:rsidRPr="0049133F" w:rsidRDefault="0049133F" w:rsidP="0049133F">
            <w:pPr>
              <w:spacing w:line="440" w:lineRule="exact"/>
              <w:jc w:val="center"/>
              <w:rPr>
                <w:rFonts w:ascii="宋体" w:eastAsia="宋体" w:hAnsi="宋体" w:cs="Times New Roman"/>
                <w:b/>
                <w:sz w:val="24"/>
              </w:rPr>
            </w:pPr>
            <w:r w:rsidRPr="0049133F">
              <w:rPr>
                <w:rFonts w:ascii="宋体" w:eastAsia="宋体" w:hAnsi="宋体" w:cs="Times New Roman" w:hint="eastAsia"/>
                <w:b/>
                <w:sz w:val="24"/>
              </w:rPr>
              <w:t>毕业要求指标点</w:t>
            </w:r>
          </w:p>
        </w:tc>
        <w:tc>
          <w:tcPr>
            <w:tcW w:w="1959" w:type="dxa"/>
            <w:vAlign w:val="center"/>
          </w:tcPr>
          <w:p w14:paraId="53B7BD6B" w14:textId="77777777" w:rsidR="0049133F" w:rsidRPr="0049133F" w:rsidRDefault="0049133F" w:rsidP="0049133F">
            <w:pPr>
              <w:spacing w:line="440" w:lineRule="exact"/>
              <w:jc w:val="center"/>
              <w:rPr>
                <w:rFonts w:ascii="宋体" w:eastAsia="宋体" w:hAnsi="宋体" w:cs="Times New Roman"/>
                <w:b/>
                <w:sz w:val="24"/>
              </w:rPr>
            </w:pPr>
            <w:r w:rsidRPr="0049133F">
              <w:rPr>
                <w:rFonts w:ascii="宋体" w:eastAsia="宋体" w:hAnsi="宋体" w:cs="Times New Roman" w:hint="eastAsia"/>
                <w:b/>
                <w:sz w:val="24"/>
              </w:rPr>
              <w:t>课程目标</w:t>
            </w:r>
          </w:p>
        </w:tc>
      </w:tr>
      <w:tr w:rsidR="0049133F" w:rsidRPr="0049133F" w14:paraId="0955CCE3" w14:textId="77777777" w:rsidTr="00BA2CFD">
        <w:trPr>
          <w:jc w:val="center"/>
        </w:trPr>
        <w:tc>
          <w:tcPr>
            <w:tcW w:w="1676" w:type="dxa"/>
            <w:vAlign w:val="center"/>
          </w:tcPr>
          <w:p w14:paraId="2257DE4B" w14:textId="77777777" w:rsidR="0049133F" w:rsidRPr="0049133F" w:rsidRDefault="0049133F" w:rsidP="0049133F">
            <w:pPr>
              <w:numPr>
                <w:ilvl w:val="0"/>
                <w:numId w:val="22"/>
              </w:numPr>
              <w:spacing w:line="440" w:lineRule="exact"/>
              <w:rPr>
                <w:rFonts w:ascii="宋体" w:eastAsia="宋体" w:hAnsi="宋体" w:cs="Times New Roman"/>
                <w:b/>
                <w:sz w:val="24"/>
              </w:rPr>
            </w:pPr>
            <w:r w:rsidRPr="0049133F">
              <w:rPr>
                <w:rFonts w:ascii="宋体" w:eastAsia="宋体" w:hAnsi="宋体" w:cs="Times New Roman" w:hint="eastAsia"/>
                <w:b/>
                <w:sz w:val="24"/>
              </w:rPr>
              <w:t>终身学习</w:t>
            </w:r>
          </w:p>
        </w:tc>
        <w:tc>
          <w:tcPr>
            <w:tcW w:w="5534" w:type="dxa"/>
            <w:vAlign w:val="center"/>
          </w:tcPr>
          <w:p w14:paraId="1FF79F1E" w14:textId="77777777" w:rsidR="0049133F" w:rsidRPr="0049133F" w:rsidRDefault="0049133F" w:rsidP="0049133F">
            <w:pPr>
              <w:spacing w:line="440" w:lineRule="exact"/>
              <w:jc w:val="center"/>
              <w:rPr>
                <w:rFonts w:ascii="宋体" w:eastAsia="宋体" w:hAnsi="宋体" w:cs="Times New Roman"/>
                <w:b/>
                <w:sz w:val="24"/>
              </w:rPr>
            </w:pPr>
            <w:r w:rsidRPr="0049133F">
              <w:rPr>
                <w:rFonts w:ascii="宋体" w:eastAsia="宋体" w:hAnsi="宋体" w:cs="Times New Roman" w:hint="eastAsia"/>
                <w:b/>
                <w:sz w:val="24"/>
              </w:rPr>
              <w:t>M</w:t>
            </w:r>
          </w:p>
        </w:tc>
        <w:tc>
          <w:tcPr>
            <w:tcW w:w="1959" w:type="dxa"/>
            <w:vAlign w:val="center"/>
          </w:tcPr>
          <w:p w14:paraId="799FFA64" w14:textId="77777777" w:rsidR="0049133F" w:rsidRPr="0049133F" w:rsidRDefault="0049133F" w:rsidP="0049133F">
            <w:pPr>
              <w:spacing w:line="440" w:lineRule="exact"/>
              <w:jc w:val="center"/>
              <w:rPr>
                <w:rFonts w:ascii="宋体" w:eastAsia="宋体" w:hAnsi="宋体" w:cs="Times New Roman"/>
                <w:b/>
                <w:sz w:val="24"/>
              </w:rPr>
            </w:pPr>
            <w:r w:rsidRPr="0049133F">
              <w:rPr>
                <w:rFonts w:ascii="宋体" w:eastAsia="宋体" w:hAnsi="宋体" w:cs="Times New Roman" w:hint="eastAsia"/>
                <w:b/>
                <w:sz w:val="24"/>
              </w:rPr>
              <w:t>课程目标1</w:t>
            </w:r>
          </w:p>
        </w:tc>
      </w:tr>
      <w:tr w:rsidR="0049133F" w:rsidRPr="0049133F" w14:paraId="0BF471D1" w14:textId="77777777" w:rsidTr="00BA2CFD">
        <w:trPr>
          <w:jc w:val="center"/>
        </w:trPr>
        <w:tc>
          <w:tcPr>
            <w:tcW w:w="1676" w:type="dxa"/>
            <w:vAlign w:val="center"/>
          </w:tcPr>
          <w:p w14:paraId="3BA1CC00" w14:textId="77777777" w:rsidR="0049133F" w:rsidRPr="0049133F" w:rsidRDefault="0049133F" w:rsidP="0049133F">
            <w:pPr>
              <w:numPr>
                <w:ilvl w:val="0"/>
                <w:numId w:val="23"/>
              </w:numPr>
              <w:spacing w:line="440" w:lineRule="exact"/>
              <w:rPr>
                <w:rFonts w:ascii="宋体" w:eastAsia="宋体" w:hAnsi="宋体" w:cs="Times New Roman"/>
                <w:b/>
                <w:sz w:val="24"/>
              </w:rPr>
            </w:pPr>
            <w:r w:rsidRPr="0049133F">
              <w:rPr>
                <w:rFonts w:ascii="宋体" w:eastAsia="宋体" w:hAnsi="宋体" w:cs="Times New Roman" w:hint="eastAsia"/>
                <w:b/>
                <w:sz w:val="24"/>
              </w:rPr>
              <w:t>职业规范</w:t>
            </w:r>
          </w:p>
        </w:tc>
        <w:tc>
          <w:tcPr>
            <w:tcW w:w="5534" w:type="dxa"/>
            <w:vAlign w:val="center"/>
          </w:tcPr>
          <w:p w14:paraId="491BE3EE" w14:textId="77777777" w:rsidR="0049133F" w:rsidRPr="0049133F" w:rsidRDefault="0049133F" w:rsidP="0049133F">
            <w:pPr>
              <w:spacing w:line="440" w:lineRule="exact"/>
              <w:jc w:val="center"/>
              <w:rPr>
                <w:rFonts w:ascii="宋体" w:eastAsia="宋体" w:hAnsi="宋体" w:cs="Times New Roman"/>
                <w:b/>
                <w:sz w:val="24"/>
              </w:rPr>
            </w:pPr>
            <w:r w:rsidRPr="0049133F">
              <w:rPr>
                <w:rFonts w:ascii="宋体" w:eastAsia="宋体" w:hAnsi="宋体" w:cs="Times New Roman" w:hint="eastAsia"/>
                <w:b/>
                <w:sz w:val="24"/>
              </w:rPr>
              <w:t>M</w:t>
            </w:r>
          </w:p>
        </w:tc>
        <w:tc>
          <w:tcPr>
            <w:tcW w:w="1959" w:type="dxa"/>
            <w:vAlign w:val="center"/>
          </w:tcPr>
          <w:p w14:paraId="4E0409B0" w14:textId="77777777" w:rsidR="0049133F" w:rsidRPr="0049133F" w:rsidRDefault="0049133F" w:rsidP="0049133F">
            <w:pPr>
              <w:spacing w:line="440" w:lineRule="exact"/>
              <w:jc w:val="center"/>
              <w:rPr>
                <w:rFonts w:ascii="宋体" w:eastAsia="宋体" w:hAnsi="宋体" w:cs="Times New Roman"/>
                <w:b/>
                <w:sz w:val="24"/>
              </w:rPr>
            </w:pPr>
            <w:r w:rsidRPr="0049133F">
              <w:rPr>
                <w:rFonts w:ascii="宋体" w:eastAsia="宋体" w:hAnsi="宋体" w:cs="Times New Roman" w:hint="eastAsia"/>
                <w:b/>
                <w:sz w:val="24"/>
              </w:rPr>
              <w:t>课程目标2</w:t>
            </w:r>
          </w:p>
        </w:tc>
      </w:tr>
      <w:tr w:rsidR="0049133F" w:rsidRPr="0049133F" w14:paraId="2BA05554" w14:textId="77777777" w:rsidTr="00BA2CFD">
        <w:trPr>
          <w:jc w:val="center"/>
        </w:trPr>
        <w:tc>
          <w:tcPr>
            <w:tcW w:w="1676" w:type="dxa"/>
            <w:vAlign w:val="center"/>
          </w:tcPr>
          <w:p w14:paraId="3BBF2057" w14:textId="77777777" w:rsidR="0049133F" w:rsidRPr="0049133F" w:rsidRDefault="0049133F" w:rsidP="0049133F">
            <w:pPr>
              <w:spacing w:line="440" w:lineRule="exact"/>
              <w:rPr>
                <w:rFonts w:ascii="宋体" w:eastAsia="宋体" w:hAnsi="宋体" w:cs="Times New Roman"/>
                <w:b/>
                <w:sz w:val="24"/>
              </w:rPr>
            </w:pPr>
            <w:r w:rsidRPr="0049133F">
              <w:rPr>
                <w:rFonts w:ascii="宋体" w:eastAsia="宋体" w:hAnsi="宋体" w:cs="Times New Roman" w:hint="eastAsia"/>
                <w:b/>
                <w:sz w:val="24"/>
              </w:rPr>
              <w:t>10. 沟通</w:t>
            </w:r>
          </w:p>
        </w:tc>
        <w:tc>
          <w:tcPr>
            <w:tcW w:w="5534" w:type="dxa"/>
            <w:vAlign w:val="center"/>
          </w:tcPr>
          <w:p w14:paraId="2E487309" w14:textId="77777777" w:rsidR="0049133F" w:rsidRPr="0049133F" w:rsidRDefault="0049133F" w:rsidP="0049133F">
            <w:pPr>
              <w:spacing w:line="440" w:lineRule="exact"/>
              <w:jc w:val="center"/>
              <w:rPr>
                <w:rFonts w:ascii="宋体" w:eastAsia="宋体" w:hAnsi="宋体" w:cs="Times New Roman"/>
                <w:b/>
                <w:sz w:val="24"/>
              </w:rPr>
            </w:pPr>
            <w:r w:rsidRPr="0049133F">
              <w:rPr>
                <w:rFonts w:ascii="宋体" w:eastAsia="宋体" w:hAnsi="宋体" w:cs="Times New Roman" w:hint="eastAsia"/>
                <w:b/>
                <w:sz w:val="24"/>
              </w:rPr>
              <w:t>H</w:t>
            </w:r>
          </w:p>
        </w:tc>
        <w:tc>
          <w:tcPr>
            <w:tcW w:w="1959" w:type="dxa"/>
            <w:vAlign w:val="center"/>
          </w:tcPr>
          <w:p w14:paraId="2C71FA69" w14:textId="77777777" w:rsidR="0049133F" w:rsidRPr="0049133F" w:rsidRDefault="0049133F" w:rsidP="0049133F">
            <w:pPr>
              <w:spacing w:line="440" w:lineRule="exact"/>
              <w:jc w:val="center"/>
              <w:rPr>
                <w:rFonts w:ascii="宋体" w:eastAsia="宋体" w:hAnsi="宋体" w:cs="Times New Roman"/>
                <w:b/>
                <w:sz w:val="24"/>
              </w:rPr>
            </w:pPr>
            <w:r w:rsidRPr="0049133F">
              <w:rPr>
                <w:rFonts w:ascii="宋体" w:eastAsia="宋体" w:hAnsi="宋体" w:cs="Times New Roman" w:hint="eastAsia"/>
                <w:b/>
                <w:sz w:val="24"/>
              </w:rPr>
              <w:t>课程目标3</w:t>
            </w:r>
          </w:p>
        </w:tc>
      </w:tr>
    </w:tbl>
    <w:p w14:paraId="40F6406C" w14:textId="77777777" w:rsidR="0049133F" w:rsidRPr="0049133F" w:rsidRDefault="0049133F" w:rsidP="0049133F">
      <w:pPr>
        <w:spacing w:beforeLines="50" w:before="156" w:afterLines="50" w:after="156" w:line="440" w:lineRule="exact"/>
        <w:rPr>
          <w:rFonts w:ascii="Calibri" w:eastAsia="黑体" w:hAnsi="Calibri" w:cs="Times New Roman"/>
          <w:sz w:val="28"/>
          <w:szCs w:val="28"/>
        </w:rPr>
      </w:pPr>
    </w:p>
    <w:p w14:paraId="42123EF5" w14:textId="77777777" w:rsidR="0049133F" w:rsidRPr="0049133F" w:rsidRDefault="0049133F" w:rsidP="0049133F">
      <w:pPr>
        <w:spacing w:beforeLines="50" w:before="156" w:afterLines="50" w:after="156" w:line="440" w:lineRule="exact"/>
        <w:rPr>
          <w:rFonts w:ascii="Calibri" w:eastAsia="黑体" w:hAnsi="Calibri" w:cs="Times New Roman"/>
          <w:sz w:val="28"/>
          <w:szCs w:val="28"/>
        </w:rPr>
      </w:pPr>
      <w:r w:rsidRPr="0049133F">
        <w:rPr>
          <w:rFonts w:ascii="Calibri" w:eastAsia="黑体" w:hAnsi="Calibri" w:cs="Times New Roman" w:hint="eastAsia"/>
          <w:sz w:val="28"/>
          <w:szCs w:val="28"/>
        </w:rPr>
        <w:t>三、课程学习内容及与课程学习目标的对应关系</w:t>
      </w:r>
    </w:p>
    <w:p w14:paraId="51062108" w14:textId="77777777" w:rsidR="0049133F" w:rsidRPr="0049133F" w:rsidRDefault="0049133F" w:rsidP="0049133F">
      <w:pPr>
        <w:spacing w:beforeLines="50" w:before="156" w:afterLines="50" w:after="156" w:line="440" w:lineRule="exact"/>
        <w:rPr>
          <w:rFonts w:ascii="Calibri" w:eastAsia="黑体" w:hAnsi="Calibri" w:cs="Times New Roman"/>
          <w:b/>
          <w:sz w:val="28"/>
          <w:szCs w:val="28"/>
        </w:rPr>
      </w:pPr>
      <w:r w:rsidRPr="0049133F">
        <w:rPr>
          <w:rFonts w:ascii="Calibri" w:eastAsia="黑体" w:hAnsi="Calibri" w:cs="Times New Roman" w:hint="eastAsia"/>
          <w:b/>
          <w:sz w:val="28"/>
          <w:szCs w:val="28"/>
        </w:rPr>
        <w:t>（一）</w:t>
      </w:r>
      <w:bookmarkStart w:id="39" w:name="OLE_LINK5"/>
      <w:r w:rsidRPr="0049133F">
        <w:rPr>
          <w:rFonts w:ascii="Calibri" w:eastAsia="黑体" w:hAnsi="Calibri" w:cs="Times New Roman" w:hint="eastAsia"/>
          <w:b/>
          <w:sz w:val="28"/>
          <w:szCs w:val="28"/>
        </w:rPr>
        <w:t>课程学习内容</w:t>
      </w:r>
    </w:p>
    <w:bookmarkEnd w:id="39"/>
    <w:p w14:paraId="732E1C8D" w14:textId="77777777" w:rsidR="0049133F" w:rsidRPr="0049133F" w:rsidRDefault="0049133F" w:rsidP="0049133F">
      <w:pPr>
        <w:spacing w:beforeLines="50" w:before="156" w:afterLines="50" w:after="156" w:line="360" w:lineRule="auto"/>
        <w:ind w:firstLineChars="200" w:firstLine="562"/>
        <w:jc w:val="center"/>
        <w:rPr>
          <w:rFonts w:ascii="Calibri" w:eastAsia="黑体" w:hAnsi="Calibri" w:cs="Times New Roman"/>
          <w:b/>
          <w:sz w:val="28"/>
          <w:szCs w:val="28"/>
        </w:rPr>
      </w:pPr>
      <w:r w:rsidRPr="0049133F">
        <w:rPr>
          <w:rFonts w:ascii="Calibri" w:eastAsia="黑体" w:hAnsi="Calibri" w:cs="Times New Roman"/>
          <w:b/>
          <w:sz w:val="28"/>
          <w:szCs w:val="28"/>
        </w:rPr>
        <w:t>Unit</w:t>
      </w:r>
      <w:proofErr w:type="gramStart"/>
      <w:r w:rsidRPr="0049133F">
        <w:rPr>
          <w:rFonts w:ascii="Calibri" w:eastAsia="黑体" w:hAnsi="Calibri" w:cs="Times New Roman"/>
          <w:b/>
          <w:sz w:val="28"/>
          <w:szCs w:val="28"/>
        </w:rPr>
        <w:t xml:space="preserve">1 </w:t>
      </w:r>
      <w:r w:rsidRPr="0049133F">
        <w:rPr>
          <w:rFonts w:ascii="Calibri" w:eastAsia="黑体" w:hAnsi="Calibri" w:cs="Times New Roman" w:hint="eastAsia"/>
          <w:b/>
          <w:sz w:val="28"/>
          <w:szCs w:val="28"/>
        </w:rPr>
        <w:t xml:space="preserve"> </w:t>
      </w:r>
      <w:r w:rsidRPr="0049133F">
        <w:rPr>
          <w:rFonts w:ascii="Calibri" w:eastAsia="黑体" w:hAnsi="Calibri" w:cs="Times New Roman"/>
          <w:b/>
          <w:sz w:val="28"/>
          <w:szCs w:val="28"/>
        </w:rPr>
        <w:t>Teaching</w:t>
      </w:r>
      <w:proofErr w:type="gramEnd"/>
      <w:r w:rsidRPr="0049133F">
        <w:rPr>
          <w:rFonts w:ascii="Calibri" w:eastAsia="黑体" w:hAnsi="Calibri" w:cs="Times New Roman"/>
          <w:b/>
          <w:sz w:val="28"/>
          <w:szCs w:val="28"/>
        </w:rPr>
        <w:t xml:space="preserve"> and Moral Education</w:t>
      </w:r>
    </w:p>
    <w:p w14:paraId="4B0A3599" w14:textId="77777777" w:rsidR="0049133F" w:rsidRPr="0049133F" w:rsidRDefault="0049133F" w:rsidP="0049133F">
      <w:pPr>
        <w:spacing w:line="360" w:lineRule="auto"/>
        <w:ind w:firstLineChars="200" w:firstLine="482"/>
        <w:rPr>
          <w:rFonts w:ascii="宋体" w:eastAsia="宋体" w:hAnsi="宋体" w:cs="Times New Roman"/>
          <w:b/>
          <w:sz w:val="24"/>
        </w:rPr>
      </w:pPr>
      <w:r w:rsidRPr="0049133F">
        <w:rPr>
          <w:rFonts w:ascii="宋体" w:eastAsia="宋体" w:hAnsi="宋体" w:cs="Times New Roman" w:hint="eastAsia"/>
          <w:b/>
          <w:sz w:val="24"/>
        </w:rPr>
        <w:t>【学习目标】</w:t>
      </w:r>
    </w:p>
    <w:p w14:paraId="61B70978"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 </w:t>
      </w:r>
      <w:r w:rsidRPr="0049133F">
        <w:rPr>
          <w:rFonts w:ascii="Calibri" w:eastAsia="宋体" w:hAnsi="宋体" w:cs="Times New Roman" w:hint="eastAsia"/>
          <w:sz w:val="24"/>
        </w:rPr>
        <w:t>认知类目标：掌握本单元中与教学及道德教育有关的重点词汇、短语和句型，理解课文主旨大意；</w:t>
      </w:r>
      <w:r w:rsidRPr="0049133F">
        <w:rPr>
          <w:rFonts w:ascii="Calibri" w:eastAsia="宋体" w:hAnsi="Calibri" w:cs="Times New Roman" w:hint="eastAsia"/>
          <w:sz w:val="24"/>
        </w:rPr>
        <w:t>具备一定的英语听读能力和跨文化知识，能够听懂与教学和教育有关的新闻、对话和文章的细节信息，并能够对说话人的意图做出合理判断和推测。</w:t>
      </w:r>
    </w:p>
    <w:p w14:paraId="45F32718"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2. </w:t>
      </w:r>
      <w:r w:rsidRPr="0049133F">
        <w:rPr>
          <w:rFonts w:ascii="Calibri" w:eastAsia="宋体" w:hAnsi="宋体" w:cs="Times New Roman" w:hint="eastAsia"/>
          <w:sz w:val="24"/>
        </w:rPr>
        <w:t>过程与方法类目标：引导学生在阅读过程中，快速准确找到文章主旨，识别作者观点，并且能够从篇章层面上把握文章的结构，以及作者使用的连贯和衔接手段；听力中学会识别新闻、对话和篇章中的细节方面的信息，学会通过线索词推理和判断说话人的意图。</w:t>
      </w:r>
    </w:p>
    <w:p w14:paraId="1C2FB024" w14:textId="77777777" w:rsidR="0049133F" w:rsidRPr="0049133F" w:rsidRDefault="0049133F" w:rsidP="0049133F">
      <w:pPr>
        <w:spacing w:line="360" w:lineRule="auto"/>
        <w:ind w:firstLineChars="200" w:firstLine="480"/>
        <w:rPr>
          <w:rFonts w:ascii="宋体" w:eastAsia="宋体" w:hAnsi="宋体" w:cs="Times New Roman"/>
          <w:sz w:val="24"/>
        </w:rPr>
      </w:pPr>
      <w:r w:rsidRPr="0049133F">
        <w:rPr>
          <w:rFonts w:ascii="Calibri" w:eastAsia="宋体" w:hAnsi="Calibri" w:cs="Times New Roman"/>
          <w:sz w:val="24"/>
        </w:rPr>
        <w:t xml:space="preserve">3. </w:t>
      </w:r>
      <w:r w:rsidRPr="0049133F">
        <w:rPr>
          <w:rFonts w:ascii="Calibri" w:eastAsia="宋体" w:hAnsi="宋体" w:cs="Times New Roman" w:hint="eastAsia"/>
          <w:sz w:val="24"/>
        </w:rPr>
        <w:t>情感、态度、价值观类目标：通过课文中教师的言行，引导学生思考好老师的标准及如何正确处理师生关系；意识到不管从事教学还是其它行业，不能因循守旧，要有自己独立的思考能力，想象力和创新精神，成长为具有家国情怀、有社会担当、有革新精神的各领域能手。</w:t>
      </w:r>
    </w:p>
    <w:p w14:paraId="6C85288C" w14:textId="77777777" w:rsidR="0049133F" w:rsidRPr="0049133F" w:rsidRDefault="0049133F" w:rsidP="0049133F">
      <w:pPr>
        <w:spacing w:line="360" w:lineRule="auto"/>
        <w:ind w:firstLineChars="200" w:firstLine="482"/>
        <w:rPr>
          <w:rFonts w:ascii="宋体" w:eastAsia="宋体" w:hAnsi="宋体" w:cs="Times New Roman"/>
          <w:b/>
          <w:sz w:val="24"/>
        </w:rPr>
      </w:pPr>
      <w:r w:rsidRPr="0049133F">
        <w:rPr>
          <w:rFonts w:ascii="宋体" w:eastAsia="宋体" w:hAnsi="宋体" w:cs="Times New Roman" w:hint="eastAsia"/>
          <w:b/>
          <w:sz w:val="24"/>
        </w:rPr>
        <w:t>【学习内容】</w:t>
      </w:r>
    </w:p>
    <w:p w14:paraId="4B716A09" w14:textId="77777777" w:rsidR="0049133F" w:rsidRPr="0049133F" w:rsidRDefault="0049133F" w:rsidP="0049133F">
      <w:pPr>
        <w:numPr>
          <w:ilvl w:val="0"/>
          <w:numId w:val="24"/>
        </w:numPr>
        <w:spacing w:line="360" w:lineRule="auto"/>
        <w:ind w:firstLineChars="200" w:firstLine="480"/>
        <w:rPr>
          <w:rFonts w:ascii="Calibri" w:eastAsia="宋体" w:hAnsi="Calibri" w:cs="Times New Roman"/>
          <w:sz w:val="24"/>
        </w:rPr>
      </w:pPr>
      <w:r w:rsidRPr="0049133F">
        <w:rPr>
          <w:rFonts w:ascii="Calibri" w:eastAsia="宋体" w:hAnsi="宋体" w:cs="Times New Roman" w:hint="eastAsia"/>
          <w:sz w:val="24"/>
        </w:rPr>
        <w:t>讨论并讲解与本单元主题</w:t>
      </w:r>
      <w:r w:rsidRPr="0049133F">
        <w:rPr>
          <w:rFonts w:ascii="Calibri" w:eastAsia="宋体" w:hAnsi="Calibri" w:cs="Times New Roman"/>
          <w:sz w:val="24"/>
        </w:rPr>
        <w:t>“Teaching and Moral Education”</w:t>
      </w:r>
      <w:r w:rsidRPr="0049133F">
        <w:rPr>
          <w:rFonts w:ascii="Calibri" w:eastAsia="宋体" w:hAnsi="宋体" w:cs="Times New Roman" w:hint="eastAsia"/>
          <w:sz w:val="24"/>
        </w:rPr>
        <w:t>相关的话题，例如：教</w:t>
      </w:r>
      <w:r w:rsidRPr="0049133F">
        <w:rPr>
          <w:rFonts w:ascii="Calibri" w:eastAsia="宋体" w:hAnsi="宋体" w:cs="Times New Roman" w:hint="eastAsia"/>
          <w:sz w:val="24"/>
        </w:rPr>
        <w:lastRenderedPageBreak/>
        <w:t>师的类型及好老师应具有的品质；</w:t>
      </w:r>
      <w:r w:rsidRPr="0049133F">
        <w:rPr>
          <w:rFonts w:ascii="Calibri" w:eastAsia="宋体" w:hAnsi="Calibri" w:cs="Times New Roman" w:hint="eastAsia"/>
          <w:sz w:val="24"/>
        </w:rPr>
        <w:t>教师在教学中的角色及教育的目标。</w:t>
      </w:r>
    </w:p>
    <w:p w14:paraId="58FDB9C1" w14:textId="77777777" w:rsidR="0049133F" w:rsidRPr="0049133F" w:rsidRDefault="0049133F" w:rsidP="0049133F">
      <w:pPr>
        <w:numPr>
          <w:ilvl w:val="0"/>
          <w:numId w:val="24"/>
        </w:numPr>
        <w:spacing w:line="360" w:lineRule="auto"/>
        <w:ind w:firstLineChars="200" w:firstLine="480"/>
        <w:rPr>
          <w:rFonts w:ascii="Calibri" w:eastAsia="宋体" w:hAnsi="Calibri" w:cs="Times New Roman"/>
          <w:sz w:val="24"/>
        </w:rPr>
      </w:pPr>
      <w:r w:rsidRPr="0049133F">
        <w:rPr>
          <w:rFonts w:ascii="Calibri" w:eastAsia="宋体" w:hAnsi="宋体" w:cs="Times New Roman" w:hint="eastAsia"/>
          <w:sz w:val="24"/>
        </w:rPr>
        <w:t>详细讲解</w:t>
      </w:r>
      <w:r w:rsidRPr="0049133F">
        <w:rPr>
          <w:rFonts w:ascii="Calibri" w:eastAsia="宋体" w:hAnsi="Calibri" w:cs="Times New Roman"/>
          <w:sz w:val="24"/>
        </w:rPr>
        <w:t xml:space="preserve">Text A </w:t>
      </w:r>
      <w:r w:rsidRPr="0049133F">
        <w:rPr>
          <w:rFonts w:ascii="Calibri" w:eastAsia="宋体" w:hAnsi="Calibri" w:cs="Times New Roman" w:hint="eastAsia"/>
          <w:sz w:val="24"/>
        </w:rPr>
        <w:t xml:space="preserve"> </w:t>
      </w:r>
      <w:proofErr w:type="spellStart"/>
      <w:r w:rsidRPr="0049133F">
        <w:rPr>
          <w:rFonts w:ascii="Calibri" w:eastAsia="宋体" w:hAnsi="Calibri" w:cs="Times New Roman"/>
          <w:i/>
          <w:iCs/>
          <w:sz w:val="24"/>
        </w:rPr>
        <w:t>A</w:t>
      </w:r>
      <w:proofErr w:type="spellEnd"/>
      <w:r w:rsidRPr="0049133F">
        <w:rPr>
          <w:rFonts w:ascii="Calibri" w:eastAsia="宋体" w:hAnsi="Calibri" w:cs="Times New Roman"/>
          <w:i/>
          <w:iCs/>
          <w:sz w:val="24"/>
        </w:rPr>
        <w:t xml:space="preserve"> Different Kind of Cinderella Story</w:t>
      </w:r>
      <w:r w:rsidRPr="0049133F">
        <w:rPr>
          <w:rFonts w:ascii="Calibri" w:eastAsia="宋体" w:hAnsi="宋体" w:cs="Times New Roman" w:hint="eastAsia"/>
          <w:sz w:val="24"/>
        </w:rPr>
        <w:t>单词和词组的用法，</w:t>
      </w:r>
      <w:r w:rsidRPr="0049133F">
        <w:rPr>
          <w:rFonts w:ascii="Calibri" w:eastAsia="宋体" w:hAnsi="Calibri" w:cs="Times New Roman"/>
          <w:sz w:val="24"/>
        </w:rPr>
        <w:t>Text A</w:t>
      </w:r>
      <w:r w:rsidRPr="0049133F">
        <w:rPr>
          <w:rFonts w:ascii="Calibri" w:eastAsia="宋体" w:hAnsi="宋体" w:cs="Times New Roman" w:hint="eastAsia"/>
          <w:sz w:val="24"/>
        </w:rPr>
        <w:t>有关的背景知识及课文分析。</w:t>
      </w:r>
    </w:p>
    <w:p w14:paraId="18CBFCD4" w14:textId="77777777" w:rsidR="0049133F" w:rsidRPr="0049133F" w:rsidRDefault="0049133F" w:rsidP="0049133F">
      <w:pPr>
        <w:numPr>
          <w:ilvl w:val="0"/>
          <w:numId w:val="24"/>
        </w:numPr>
        <w:spacing w:line="360" w:lineRule="auto"/>
        <w:ind w:firstLineChars="200" w:firstLine="480"/>
        <w:rPr>
          <w:rFonts w:ascii="Calibri" w:eastAsia="宋体" w:hAnsi="Calibri" w:cs="Times New Roman"/>
          <w:sz w:val="24"/>
        </w:rPr>
      </w:pPr>
      <w:r w:rsidRPr="0049133F">
        <w:rPr>
          <w:rFonts w:ascii="Calibri" w:eastAsia="宋体" w:hAnsi="宋体" w:cs="Times New Roman" w:hint="eastAsia"/>
          <w:sz w:val="24"/>
        </w:rPr>
        <w:t>通过快速阅读的方式学习</w:t>
      </w:r>
      <w:r w:rsidRPr="0049133F">
        <w:rPr>
          <w:rFonts w:ascii="Calibri" w:eastAsia="宋体" w:hAnsi="Calibri" w:cs="Times New Roman"/>
          <w:sz w:val="24"/>
        </w:rPr>
        <w:t xml:space="preserve">Text B </w:t>
      </w:r>
      <w:r w:rsidRPr="0049133F">
        <w:rPr>
          <w:rFonts w:ascii="Calibri" w:eastAsia="宋体" w:hAnsi="Calibri" w:cs="Times New Roman"/>
          <w:i/>
          <w:iCs/>
          <w:sz w:val="24"/>
        </w:rPr>
        <w:t>The Importance of Imagination</w:t>
      </w:r>
      <w:r w:rsidRPr="0049133F">
        <w:rPr>
          <w:rFonts w:ascii="Calibri" w:eastAsia="宋体" w:hAnsi="Calibri" w:cs="Times New Roman" w:hint="eastAsia"/>
          <w:sz w:val="24"/>
        </w:rPr>
        <w:t>，</w:t>
      </w:r>
      <w:r w:rsidRPr="0049133F">
        <w:rPr>
          <w:rFonts w:ascii="Calibri" w:eastAsia="宋体" w:hAnsi="宋体" w:cs="Times New Roman" w:hint="eastAsia"/>
          <w:sz w:val="24"/>
        </w:rPr>
        <w:t>了解文章结构，把握文章主题。</w:t>
      </w:r>
    </w:p>
    <w:p w14:paraId="64AF1114" w14:textId="77777777" w:rsidR="0049133F" w:rsidRPr="0049133F" w:rsidRDefault="0049133F" w:rsidP="0049133F">
      <w:pPr>
        <w:numPr>
          <w:ilvl w:val="0"/>
          <w:numId w:val="24"/>
        </w:numPr>
        <w:spacing w:line="360" w:lineRule="auto"/>
        <w:ind w:firstLineChars="200" w:firstLine="480"/>
        <w:rPr>
          <w:rFonts w:ascii="Calibri" w:eastAsia="宋体" w:hAnsi="Calibri" w:cs="Times New Roman"/>
          <w:sz w:val="24"/>
        </w:rPr>
      </w:pPr>
      <w:r w:rsidRPr="0049133F">
        <w:rPr>
          <w:rFonts w:ascii="Calibri" w:eastAsia="宋体" w:hAnsi="宋体" w:cs="Times New Roman" w:hint="eastAsia"/>
          <w:sz w:val="24"/>
        </w:rPr>
        <w:t>线上完成练习题讲解</w:t>
      </w:r>
      <w:proofErr w:type="gramStart"/>
      <w:r w:rsidRPr="0049133F">
        <w:rPr>
          <w:rFonts w:ascii="Calibri" w:eastAsia="宋体" w:hAnsi="宋体" w:cs="Times New Roman" w:hint="eastAsia"/>
          <w:sz w:val="24"/>
        </w:rPr>
        <w:t>的录课视频</w:t>
      </w:r>
      <w:proofErr w:type="gramEnd"/>
      <w:r w:rsidRPr="0049133F">
        <w:rPr>
          <w:rFonts w:ascii="Calibri" w:eastAsia="宋体" w:hAnsi="宋体" w:cs="Times New Roman" w:hint="eastAsia"/>
          <w:sz w:val="24"/>
        </w:rPr>
        <w:t>的学习，</w:t>
      </w:r>
      <w:bookmarkStart w:id="40" w:name="OLE_LINK3"/>
      <w:r w:rsidRPr="0049133F">
        <w:rPr>
          <w:rFonts w:ascii="Calibri" w:eastAsia="宋体" w:hAnsi="宋体" w:cs="Times New Roman" w:hint="eastAsia"/>
          <w:sz w:val="24"/>
        </w:rPr>
        <w:t>完成配套教材视听说中的内容。</w:t>
      </w:r>
    </w:p>
    <w:bookmarkEnd w:id="40"/>
    <w:p w14:paraId="2B2F11B8" w14:textId="77777777" w:rsidR="0049133F" w:rsidRPr="0049133F" w:rsidRDefault="0049133F" w:rsidP="0049133F">
      <w:pPr>
        <w:numPr>
          <w:ilvl w:val="0"/>
          <w:numId w:val="24"/>
        </w:numPr>
        <w:spacing w:line="360" w:lineRule="auto"/>
        <w:ind w:firstLineChars="200" w:firstLine="480"/>
        <w:rPr>
          <w:rFonts w:ascii="宋体" w:eastAsia="宋体" w:hAnsi="宋体" w:cs="Times New Roman"/>
          <w:sz w:val="24"/>
        </w:rPr>
      </w:pPr>
      <w:r w:rsidRPr="0049133F">
        <w:rPr>
          <w:rFonts w:ascii="宋体" w:eastAsia="宋体" w:hAnsi="宋体" w:cs="Times New Roman" w:hint="eastAsia"/>
          <w:sz w:val="24"/>
        </w:rPr>
        <w:t>阅读技巧学习：学会通过线索词识别作者的情感及态度。</w:t>
      </w:r>
    </w:p>
    <w:p w14:paraId="47C7976F" w14:textId="77777777" w:rsidR="0049133F" w:rsidRPr="0049133F" w:rsidRDefault="0049133F" w:rsidP="0049133F">
      <w:pPr>
        <w:numPr>
          <w:ilvl w:val="0"/>
          <w:numId w:val="24"/>
        </w:numPr>
        <w:spacing w:line="360" w:lineRule="auto"/>
        <w:ind w:firstLineChars="200" w:firstLine="480"/>
        <w:rPr>
          <w:rFonts w:ascii="Calibri" w:eastAsia="宋体" w:hAnsi="Calibri" w:cs="Times New Roman"/>
          <w:sz w:val="24"/>
        </w:rPr>
      </w:pPr>
      <w:proofErr w:type="gramStart"/>
      <w:r w:rsidRPr="0049133F">
        <w:rPr>
          <w:rFonts w:ascii="Calibri" w:eastAsia="宋体" w:hAnsi="Calibri" w:cs="Times New Roman" w:hint="eastAsia"/>
          <w:sz w:val="24"/>
        </w:rPr>
        <w:t>思政元素</w:t>
      </w:r>
      <w:proofErr w:type="gramEnd"/>
      <w:r w:rsidRPr="0049133F">
        <w:rPr>
          <w:rFonts w:ascii="Calibri" w:eastAsia="宋体" w:hAnsi="Calibri" w:cs="Times New Roman" w:hint="eastAsia"/>
          <w:sz w:val="24"/>
        </w:rPr>
        <w:t>：通过课文讲解，增强学生对教师的理解；使学生认识到“是金子总会发光”，从而培养学生奋发向上，</w:t>
      </w:r>
      <w:proofErr w:type="gramStart"/>
      <w:r w:rsidRPr="0049133F">
        <w:rPr>
          <w:rFonts w:ascii="Calibri" w:eastAsia="宋体" w:hAnsi="Calibri" w:cs="Times New Roman" w:hint="eastAsia"/>
          <w:sz w:val="24"/>
        </w:rPr>
        <w:t>有家国</w:t>
      </w:r>
      <w:proofErr w:type="gramEnd"/>
      <w:r w:rsidRPr="0049133F">
        <w:rPr>
          <w:rFonts w:ascii="Calibri" w:eastAsia="宋体" w:hAnsi="Calibri" w:cs="Times New Roman" w:hint="eastAsia"/>
          <w:sz w:val="24"/>
        </w:rPr>
        <w:t>情怀、有社会担当的意志品质。。</w:t>
      </w:r>
    </w:p>
    <w:p w14:paraId="4F096420" w14:textId="77777777" w:rsidR="0049133F" w:rsidRPr="0049133F" w:rsidRDefault="0049133F" w:rsidP="0049133F">
      <w:pPr>
        <w:spacing w:line="360" w:lineRule="auto"/>
        <w:ind w:firstLineChars="200" w:firstLine="482"/>
        <w:rPr>
          <w:rFonts w:ascii="宋体" w:eastAsia="宋体" w:hAnsi="宋体" w:cs="Times New Roman"/>
          <w:b/>
          <w:sz w:val="24"/>
        </w:rPr>
      </w:pPr>
      <w:r w:rsidRPr="0049133F">
        <w:rPr>
          <w:rFonts w:ascii="宋体" w:eastAsia="宋体" w:hAnsi="宋体" w:cs="Times New Roman" w:hint="eastAsia"/>
          <w:b/>
          <w:sz w:val="24"/>
        </w:rPr>
        <w:t>【重点】</w:t>
      </w:r>
    </w:p>
    <w:p w14:paraId="3653018F"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 </w:t>
      </w:r>
      <w:r w:rsidRPr="0049133F">
        <w:rPr>
          <w:rFonts w:ascii="Calibri" w:eastAsia="宋体" w:hAnsi="宋体" w:cs="Times New Roman" w:hint="eastAsia"/>
          <w:sz w:val="24"/>
        </w:rPr>
        <w:t>课文重点单词、短语和句型。</w:t>
      </w:r>
    </w:p>
    <w:p w14:paraId="296F8DF0"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2. </w:t>
      </w:r>
      <w:r w:rsidRPr="0049133F">
        <w:rPr>
          <w:rFonts w:ascii="Calibri" w:eastAsia="宋体" w:hAnsi="宋体" w:cs="Times New Roman" w:hint="eastAsia"/>
          <w:sz w:val="24"/>
        </w:rPr>
        <w:t>文章整体的段落结构和个别长句句法。</w:t>
      </w:r>
    </w:p>
    <w:p w14:paraId="37A4F280"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3. </w:t>
      </w:r>
      <w:r w:rsidRPr="0049133F">
        <w:rPr>
          <w:rFonts w:ascii="Calibri" w:eastAsia="宋体" w:hAnsi="宋体" w:cs="Times New Roman" w:hint="eastAsia"/>
          <w:sz w:val="24"/>
        </w:rPr>
        <w:t>听力和阅读过程中的方法与技巧。</w:t>
      </w:r>
    </w:p>
    <w:p w14:paraId="4DF7E8D3" w14:textId="77777777" w:rsidR="0049133F" w:rsidRPr="0049133F" w:rsidRDefault="0049133F" w:rsidP="0049133F">
      <w:pPr>
        <w:spacing w:line="360" w:lineRule="auto"/>
        <w:ind w:firstLineChars="200" w:firstLine="482"/>
        <w:rPr>
          <w:rFonts w:ascii="Calibri" w:eastAsia="宋体" w:hAnsi="Calibri" w:cs="Times New Roman"/>
          <w:b/>
          <w:sz w:val="24"/>
        </w:rPr>
      </w:pPr>
      <w:r w:rsidRPr="0049133F">
        <w:rPr>
          <w:rFonts w:ascii="Calibri" w:eastAsia="宋体" w:hAnsi="宋体" w:cs="Times New Roman" w:hint="eastAsia"/>
          <w:b/>
          <w:sz w:val="24"/>
        </w:rPr>
        <w:t>【难点】</w:t>
      </w:r>
    </w:p>
    <w:p w14:paraId="3AABB5B4"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 </w:t>
      </w:r>
      <w:r w:rsidRPr="0049133F">
        <w:rPr>
          <w:rFonts w:ascii="Calibri" w:eastAsia="宋体" w:hAnsi="宋体" w:cs="Times New Roman" w:hint="eastAsia"/>
          <w:sz w:val="24"/>
        </w:rPr>
        <w:t>课文的中心思想。</w:t>
      </w:r>
    </w:p>
    <w:p w14:paraId="68668611"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2. </w:t>
      </w:r>
      <w:r w:rsidRPr="0049133F">
        <w:rPr>
          <w:rFonts w:ascii="Calibri" w:eastAsia="宋体" w:hAnsi="宋体" w:cs="Times New Roman" w:hint="eastAsia"/>
          <w:sz w:val="24"/>
        </w:rPr>
        <w:t>听力和阅读过程中的方法和技巧。</w:t>
      </w:r>
    </w:p>
    <w:p w14:paraId="4032258C" w14:textId="77777777" w:rsidR="0049133F" w:rsidRPr="0049133F" w:rsidRDefault="0049133F" w:rsidP="0049133F">
      <w:pPr>
        <w:spacing w:line="360" w:lineRule="auto"/>
        <w:ind w:firstLineChars="200" w:firstLine="482"/>
        <w:rPr>
          <w:rFonts w:ascii="宋体" w:eastAsia="宋体" w:hAnsi="宋体" w:cs="Times New Roman"/>
          <w:sz w:val="24"/>
        </w:rPr>
      </w:pPr>
      <w:r w:rsidRPr="0049133F">
        <w:rPr>
          <w:rFonts w:ascii="宋体" w:eastAsia="宋体" w:hAnsi="宋体" w:cs="Times New Roman" w:hint="eastAsia"/>
          <w:b/>
          <w:bCs/>
          <w:sz w:val="24"/>
        </w:rPr>
        <w:t>【教学方法】</w:t>
      </w:r>
    </w:p>
    <w:p w14:paraId="5ED750DC"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 </w:t>
      </w:r>
      <w:r w:rsidRPr="0049133F">
        <w:rPr>
          <w:rFonts w:ascii="Calibri" w:eastAsia="宋体" w:hAnsi="宋体" w:cs="Times New Roman" w:hint="eastAsia"/>
          <w:sz w:val="24"/>
        </w:rPr>
        <w:t>讲授法：通过课堂讲解，使学生掌握有关童话故事《灰姑娘》的相关知识以及两篇课文中的重点词汇和句型；通过对课后练习的讲解，使学生进一步巩固所学知识，发现自己学习中存在的问题。通过课文中心思想的讲解，帮助学生树立正确的教育教学理念。</w:t>
      </w:r>
    </w:p>
    <w:p w14:paraId="0546026F" w14:textId="77777777" w:rsidR="0049133F" w:rsidRPr="0049133F" w:rsidRDefault="0049133F" w:rsidP="0049133F">
      <w:pPr>
        <w:spacing w:line="360" w:lineRule="auto"/>
        <w:ind w:firstLineChars="200" w:firstLine="480"/>
        <w:rPr>
          <w:rFonts w:ascii="Calibri" w:eastAsia="宋体" w:hAnsi="宋体" w:cs="Times New Roman"/>
          <w:sz w:val="24"/>
        </w:rPr>
      </w:pPr>
      <w:r w:rsidRPr="0049133F">
        <w:rPr>
          <w:rFonts w:ascii="Calibri" w:eastAsia="宋体" w:hAnsi="Calibri" w:cs="Times New Roman"/>
          <w:sz w:val="24"/>
        </w:rPr>
        <w:t xml:space="preserve">2. </w:t>
      </w:r>
      <w:r w:rsidRPr="0049133F">
        <w:rPr>
          <w:rFonts w:ascii="Calibri" w:eastAsia="宋体" w:hAnsi="宋体" w:cs="Times New Roman" w:hint="eastAsia"/>
          <w:sz w:val="24"/>
        </w:rPr>
        <w:t>讨论法：分小组讨论教师的类型、角色，引导学生讨论教育教学的目标及如何成为一名好老师，并派代表进行展示；这一过程有助于学生理论结合实践、完成学习成果展示、培养教师基本能力素养。</w:t>
      </w:r>
    </w:p>
    <w:p w14:paraId="69D80F20" w14:textId="77777777" w:rsidR="0049133F" w:rsidRPr="0049133F" w:rsidRDefault="0049133F" w:rsidP="0049133F">
      <w:pPr>
        <w:spacing w:line="360" w:lineRule="auto"/>
        <w:ind w:firstLineChars="200" w:firstLine="480"/>
        <w:rPr>
          <w:rFonts w:ascii="Calibri" w:eastAsia="宋体" w:hAnsi="宋体" w:cs="Times New Roman"/>
          <w:sz w:val="24"/>
        </w:rPr>
      </w:pPr>
      <w:r w:rsidRPr="0049133F">
        <w:rPr>
          <w:rFonts w:ascii="Calibri" w:eastAsia="宋体" w:hAnsi="Calibri" w:cs="Times New Roman"/>
          <w:sz w:val="24"/>
        </w:rPr>
        <w:t xml:space="preserve">3. </w:t>
      </w:r>
      <w:r w:rsidRPr="0049133F">
        <w:rPr>
          <w:rFonts w:ascii="Calibri" w:eastAsia="宋体" w:hAnsi="宋体" w:cs="Times New Roman" w:hint="eastAsia"/>
          <w:sz w:val="24"/>
        </w:rPr>
        <w:t>读书指导法：提前向网络教学平台上传补充资料，指导学生在线阅读相关知识、快速准确找到文章主旨、识别作者观点、并且能够从篇章层面上把握文章的结构、掌握阅读方法和技巧。</w:t>
      </w:r>
    </w:p>
    <w:p w14:paraId="20C91E50" w14:textId="77777777" w:rsidR="0049133F" w:rsidRPr="0049133F" w:rsidRDefault="0049133F" w:rsidP="0049133F">
      <w:pPr>
        <w:spacing w:line="360" w:lineRule="auto"/>
        <w:ind w:firstLineChars="200" w:firstLine="480"/>
        <w:rPr>
          <w:rFonts w:ascii="Calibri" w:eastAsia="宋体" w:hAnsi="宋体" w:cs="Times New Roman"/>
          <w:sz w:val="24"/>
        </w:rPr>
      </w:pPr>
      <w:r w:rsidRPr="0049133F">
        <w:rPr>
          <w:rFonts w:ascii="Calibri" w:eastAsia="宋体" w:hAnsi="Calibri" w:cs="Times New Roman" w:hint="eastAsia"/>
          <w:bCs/>
          <w:sz w:val="24"/>
        </w:rPr>
        <w:t xml:space="preserve">4. </w:t>
      </w:r>
      <w:r w:rsidRPr="0049133F">
        <w:rPr>
          <w:rFonts w:ascii="Calibri" w:eastAsia="宋体" w:hAnsi="Calibri" w:cs="Times New Roman" w:hint="eastAsia"/>
          <w:bCs/>
          <w:sz w:val="24"/>
        </w:rPr>
        <w:t>任务型教学法：根据教学进度给学生</w:t>
      </w:r>
      <w:proofErr w:type="gramStart"/>
      <w:r w:rsidRPr="0049133F">
        <w:rPr>
          <w:rFonts w:ascii="Calibri" w:eastAsia="宋体" w:hAnsi="Calibri" w:cs="Times New Roman" w:hint="eastAsia"/>
          <w:bCs/>
          <w:sz w:val="24"/>
        </w:rPr>
        <w:t>布置线</w:t>
      </w:r>
      <w:proofErr w:type="gramEnd"/>
      <w:r w:rsidRPr="0049133F">
        <w:rPr>
          <w:rFonts w:ascii="Calibri" w:eastAsia="宋体" w:hAnsi="Calibri" w:cs="Times New Roman" w:hint="eastAsia"/>
          <w:bCs/>
          <w:sz w:val="24"/>
        </w:rPr>
        <w:t>上作业和听力任务，使学生</w:t>
      </w:r>
      <w:r w:rsidRPr="0049133F">
        <w:rPr>
          <w:rFonts w:ascii="Calibri" w:eastAsia="宋体" w:hAnsi="宋体" w:cs="Times New Roman" w:hint="eastAsia"/>
          <w:sz w:val="24"/>
        </w:rPr>
        <w:t>学会识别新闻、对话和篇章中的细节方面的信息，掌握听力技巧与方法，并能以此做出推理</w:t>
      </w:r>
      <w:r w:rsidRPr="0049133F">
        <w:rPr>
          <w:rFonts w:ascii="Calibri" w:eastAsia="宋体" w:hAnsi="宋体" w:cs="Times New Roman" w:hint="eastAsia"/>
          <w:sz w:val="24"/>
        </w:rPr>
        <w:lastRenderedPageBreak/>
        <w:t>和判断说话人的意图。</w:t>
      </w:r>
    </w:p>
    <w:p w14:paraId="5E9C94D0" w14:textId="77777777" w:rsidR="0049133F" w:rsidRPr="0049133F" w:rsidRDefault="0049133F" w:rsidP="0049133F">
      <w:pPr>
        <w:spacing w:line="360" w:lineRule="auto"/>
        <w:ind w:firstLineChars="200" w:firstLine="482"/>
        <w:rPr>
          <w:rFonts w:ascii="宋体" w:eastAsia="宋体" w:hAnsi="宋体" w:cs="Times New Roman"/>
          <w:bCs/>
          <w:sz w:val="24"/>
        </w:rPr>
      </w:pPr>
      <w:r w:rsidRPr="0049133F">
        <w:rPr>
          <w:rFonts w:ascii="宋体" w:eastAsia="宋体" w:hAnsi="宋体" w:cs="Times New Roman" w:hint="eastAsia"/>
          <w:b/>
          <w:sz w:val="24"/>
        </w:rPr>
        <w:t>【复习思考】</w:t>
      </w:r>
    </w:p>
    <w:p w14:paraId="3805E0C8"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 </w:t>
      </w:r>
      <w:r w:rsidRPr="0049133F">
        <w:rPr>
          <w:rFonts w:ascii="Calibri" w:eastAsia="宋体" w:hAnsi="宋体" w:cs="Times New Roman" w:hint="eastAsia"/>
          <w:sz w:val="24"/>
        </w:rPr>
        <w:t>思考年轻人在这个科技和经济迅速发展的时代，如何正确看待教师这一职业。</w:t>
      </w:r>
    </w:p>
    <w:p w14:paraId="548D1DBD" w14:textId="77777777" w:rsidR="0049133F" w:rsidRPr="0049133F" w:rsidRDefault="0049133F" w:rsidP="0049133F">
      <w:pPr>
        <w:spacing w:line="360" w:lineRule="auto"/>
        <w:ind w:firstLineChars="200" w:firstLine="480"/>
        <w:rPr>
          <w:rFonts w:ascii="Calibri" w:eastAsia="宋体" w:hAnsi="宋体" w:cs="Times New Roman"/>
          <w:sz w:val="24"/>
        </w:rPr>
      </w:pPr>
      <w:r w:rsidRPr="0049133F">
        <w:rPr>
          <w:rFonts w:ascii="Calibri" w:eastAsia="宋体" w:hAnsi="Calibri" w:cs="Times New Roman"/>
          <w:sz w:val="24"/>
        </w:rPr>
        <w:t xml:space="preserve">2. </w:t>
      </w:r>
      <w:r w:rsidRPr="0049133F">
        <w:rPr>
          <w:rFonts w:ascii="Calibri" w:eastAsia="宋体" w:hAnsi="Calibri" w:cs="Times New Roman" w:hint="eastAsia"/>
          <w:sz w:val="24"/>
        </w:rPr>
        <w:t>学生</w:t>
      </w:r>
      <w:r w:rsidRPr="0049133F">
        <w:rPr>
          <w:rFonts w:ascii="Calibri" w:eastAsia="宋体" w:hAnsi="宋体" w:cs="Times New Roman" w:hint="eastAsia"/>
          <w:sz w:val="24"/>
        </w:rPr>
        <w:t>道德教育是家长和教师的共同责任。思考作为一名教师，在课堂中如何开展道德教育。</w:t>
      </w:r>
    </w:p>
    <w:p w14:paraId="44BAC7A2" w14:textId="77777777" w:rsidR="0049133F" w:rsidRPr="0049133F" w:rsidRDefault="0049133F" w:rsidP="0049133F">
      <w:pPr>
        <w:spacing w:line="360" w:lineRule="auto"/>
        <w:ind w:firstLineChars="200" w:firstLine="480"/>
        <w:rPr>
          <w:rFonts w:ascii="Calibri" w:eastAsia="宋体" w:hAnsi="宋体" w:cs="Times New Roman"/>
          <w:sz w:val="24"/>
        </w:rPr>
      </w:pPr>
    </w:p>
    <w:p w14:paraId="4C8961E0" w14:textId="77777777" w:rsidR="0049133F" w:rsidRPr="0049133F" w:rsidRDefault="0049133F" w:rsidP="0049133F">
      <w:pPr>
        <w:spacing w:beforeLines="50" w:before="156" w:afterLines="50" w:after="156" w:line="440" w:lineRule="exact"/>
        <w:jc w:val="center"/>
        <w:rPr>
          <w:rFonts w:ascii="Calibri" w:eastAsia="黑体" w:hAnsi="Calibri" w:cs="Times New Roman"/>
          <w:b/>
          <w:bCs/>
          <w:sz w:val="28"/>
          <w:szCs w:val="28"/>
        </w:rPr>
      </w:pPr>
      <w:r w:rsidRPr="0049133F">
        <w:rPr>
          <w:rFonts w:ascii="Calibri" w:eastAsia="宋体" w:hAnsi="Calibri" w:cs="Times New Roman"/>
          <w:b/>
          <w:bCs/>
          <w:sz w:val="28"/>
          <w:szCs w:val="28"/>
        </w:rPr>
        <w:t xml:space="preserve">Unit </w:t>
      </w:r>
      <w:proofErr w:type="gramStart"/>
      <w:r w:rsidRPr="0049133F">
        <w:rPr>
          <w:rFonts w:ascii="Calibri" w:eastAsia="宋体" w:hAnsi="Calibri" w:cs="Times New Roman" w:hint="eastAsia"/>
          <w:b/>
          <w:bCs/>
          <w:sz w:val="28"/>
          <w:szCs w:val="28"/>
        </w:rPr>
        <w:t xml:space="preserve">2  </w:t>
      </w:r>
      <w:r w:rsidRPr="0049133F">
        <w:rPr>
          <w:rFonts w:ascii="Calibri" w:eastAsia="黑体" w:hAnsi="Calibri" w:cs="Times New Roman" w:hint="eastAsia"/>
          <w:b/>
          <w:bCs/>
          <w:sz w:val="28"/>
          <w:szCs w:val="28"/>
        </w:rPr>
        <w:t>Job</w:t>
      </w:r>
      <w:proofErr w:type="gramEnd"/>
      <w:r w:rsidRPr="0049133F">
        <w:rPr>
          <w:rFonts w:ascii="Calibri" w:eastAsia="黑体" w:hAnsi="Calibri" w:cs="Times New Roman" w:hint="eastAsia"/>
          <w:b/>
          <w:bCs/>
          <w:sz w:val="28"/>
          <w:szCs w:val="28"/>
        </w:rPr>
        <w:t xml:space="preserve"> and Dedication</w:t>
      </w:r>
    </w:p>
    <w:p w14:paraId="4D7CA7EA" w14:textId="77777777" w:rsidR="0049133F" w:rsidRPr="0049133F" w:rsidRDefault="0049133F" w:rsidP="0049133F">
      <w:pPr>
        <w:spacing w:line="360" w:lineRule="auto"/>
        <w:ind w:firstLineChars="200" w:firstLine="482"/>
        <w:rPr>
          <w:rFonts w:ascii="Calibri" w:eastAsia="宋体" w:hAnsi="Calibri" w:cs="Times New Roman"/>
          <w:b/>
          <w:sz w:val="24"/>
        </w:rPr>
      </w:pPr>
      <w:r w:rsidRPr="0049133F">
        <w:rPr>
          <w:rFonts w:ascii="Calibri" w:eastAsia="宋体" w:hAnsi="Calibri" w:cs="Times New Roman"/>
          <w:b/>
          <w:sz w:val="24"/>
        </w:rPr>
        <w:t>【学习目标】</w:t>
      </w:r>
    </w:p>
    <w:p w14:paraId="4242982B"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 </w:t>
      </w:r>
      <w:r w:rsidRPr="0049133F">
        <w:rPr>
          <w:rFonts w:ascii="Calibri" w:eastAsia="宋体" w:hAnsi="Calibri" w:cs="Times New Roman"/>
          <w:sz w:val="24"/>
        </w:rPr>
        <w:t>认知类目标：</w:t>
      </w:r>
      <w:r w:rsidRPr="0049133F">
        <w:rPr>
          <w:rFonts w:ascii="Calibri" w:eastAsia="宋体" w:hAnsi="Calibri" w:cs="Times New Roman" w:hint="eastAsia"/>
          <w:sz w:val="24"/>
        </w:rPr>
        <w:t>通过本单元主题</w:t>
      </w:r>
      <w:r w:rsidRPr="0049133F">
        <w:rPr>
          <w:rFonts w:ascii="Calibri" w:eastAsia="宋体" w:hAnsi="Calibri" w:cs="Times New Roman" w:hint="eastAsia"/>
          <w:sz w:val="24"/>
        </w:rPr>
        <w:t xml:space="preserve"> </w:t>
      </w:r>
      <w:bookmarkStart w:id="41" w:name="OLE_LINK1"/>
      <w:r w:rsidRPr="0049133F">
        <w:rPr>
          <w:rFonts w:ascii="Calibri" w:eastAsia="宋体" w:hAnsi="Calibri" w:cs="Times New Roman" w:hint="eastAsia"/>
          <w:sz w:val="24"/>
        </w:rPr>
        <w:t>Job and Dedication</w:t>
      </w:r>
      <w:bookmarkEnd w:id="41"/>
      <w:r w:rsidRPr="0049133F">
        <w:rPr>
          <w:rFonts w:ascii="Calibri" w:eastAsia="宋体" w:hAnsi="Calibri" w:cs="Times New Roman" w:hint="eastAsia"/>
          <w:sz w:val="24"/>
        </w:rPr>
        <w:t>的学习，</w:t>
      </w:r>
      <w:r w:rsidRPr="0049133F">
        <w:rPr>
          <w:rFonts w:ascii="Calibri" w:eastAsia="宋体" w:hAnsi="Calibri" w:cs="Times New Roman"/>
          <w:sz w:val="24"/>
        </w:rPr>
        <w:t>掌握</w:t>
      </w:r>
      <w:r w:rsidRPr="0049133F">
        <w:rPr>
          <w:rFonts w:ascii="Calibri" w:eastAsia="宋体" w:hAnsi="Calibri" w:cs="Times New Roman" w:hint="eastAsia"/>
          <w:sz w:val="24"/>
        </w:rPr>
        <w:t>并能熟练应用</w:t>
      </w:r>
      <w:r w:rsidRPr="0049133F">
        <w:rPr>
          <w:rFonts w:ascii="Calibri" w:eastAsia="宋体" w:hAnsi="Calibri" w:cs="Times New Roman"/>
          <w:sz w:val="24"/>
        </w:rPr>
        <w:t>本单元中</w:t>
      </w:r>
      <w:r w:rsidRPr="0049133F">
        <w:rPr>
          <w:rFonts w:ascii="Calibri" w:eastAsia="宋体" w:hAnsi="Calibri" w:cs="Times New Roman" w:hint="eastAsia"/>
          <w:sz w:val="24"/>
        </w:rPr>
        <w:t>探讨职业、奉献、敬业、坚持等概念的标准</w:t>
      </w:r>
      <w:r w:rsidRPr="0049133F">
        <w:rPr>
          <w:rFonts w:ascii="Calibri" w:eastAsia="宋体" w:hAnsi="Calibri" w:cs="Times New Roman"/>
          <w:sz w:val="24"/>
        </w:rPr>
        <w:t>的重点词汇、短语和句型。</w:t>
      </w:r>
      <w:r w:rsidRPr="0049133F">
        <w:rPr>
          <w:rFonts w:ascii="Calibri" w:eastAsia="宋体" w:hAnsi="Calibri" w:cs="Times New Roman"/>
          <w:sz w:val="24"/>
        </w:rPr>
        <w:t xml:space="preserve"> </w:t>
      </w:r>
    </w:p>
    <w:p w14:paraId="0FD4937F"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2. </w:t>
      </w:r>
      <w:r w:rsidRPr="0049133F">
        <w:rPr>
          <w:rFonts w:ascii="Calibri" w:eastAsia="宋体" w:hAnsi="Calibri" w:cs="Times New Roman"/>
          <w:sz w:val="24"/>
        </w:rPr>
        <w:t>过程与方法类目标：学生在阅读过程中，</w:t>
      </w:r>
      <w:r w:rsidRPr="0049133F">
        <w:rPr>
          <w:rFonts w:ascii="Calibri" w:eastAsia="宋体" w:hAnsi="Calibri" w:cs="Times New Roman" w:hint="eastAsia"/>
          <w:sz w:val="24"/>
        </w:rPr>
        <w:t>需要</w:t>
      </w:r>
      <w:r w:rsidRPr="0049133F">
        <w:rPr>
          <w:rFonts w:ascii="Calibri" w:eastAsia="宋体" w:hAnsi="Calibri" w:cs="Times New Roman"/>
          <w:sz w:val="24"/>
        </w:rPr>
        <w:t>快速准确找到文章主旨，识别作者观点，并且能够从篇章层面上把握文章的结构。在学习听力过程中，学会通过上下文推断生词的意思，学会识别新闻、对话和篇章中的细节方面的信息，并能以此做出推理和判断说话人的意图。学生</w:t>
      </w:r>
      <w:r w:rsidRPr="0049133F">
        <w:rPr>
          <w:rFonts w:ascii="Calibri" w:eastAsia="宋体" w:hAnsi="Calibri" w:cs="Times New Roman" w:hint="eastAsia"/>
          <w:sz w:val="24"/>
        </w:rPr>
        <w:t>要会</w:t>
      </w:r>
      <w:r w:rsidRPr="0049133F">
        <w:rPr>
          <w:rFonts w:ascii="Calibri" w:eastAsia="宋体" w:hAnsi="Calibri" w:cs="Times New Roman"/>
          <w:sz w:val="24"/>
        </w:rPr>
        <w:t>使用语料库等先进学习技术研究词汇、语法等语言规律，培养学生自主学习及终身学习的能力</w:t>
      </w:r>
      <w:r w:rsidRPr="0049133F">
        <w:rPr>
          <w:rFonts w:ascii="Calibri" w:eastAsia="宋体" w:hAnsi="Calibri" w:cs="Times New Roman" w:hint="eastAsia"/>
          <w:sz w:val="24"/>
        </w:rPr>
        <w:t>。</w:t>
      </w:r>
    </w:p>
    <w:p w14:paraId="692B3BDC"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3. </w:t>
      </w:r>
      <w:r w:rsidRPr="0049133F">
        <w:rPr>
          <w:rFonts w:ascii="Calibri" w:eastAsia="宋体" w:hAnsi="Calibri" w:cs="Times New Roman"/>
          <w:sz w:val="24"/>
        </w:rPr>
        <w:t>情感、态度、价值观类目标：学生</w:t>
      </w:r>
      <w:r w:rsidRPr="0049133F">
        <w:rPr>
          <w:rFonts w:ascii="Calibri" w:eastAsia="宋体" w:hAnsi="Calibri" w:cs="Times New Roman" w:hint="eastAsia"/>
          <w:sz w:val="24"/>
        </w:rPr>
        <w:t>对</w:t>
      </w:r>
      <w:r w:rsidRPr="0049133F">
        <w:rPr>
          <w:rFonts w:ascii="Calibri" w:eastAsia="宋体" w:hAnsi="Calibri" w:cs="Times New Roman" w:hint="eastAsia"/>
          <w:sz w:val="24"/>
        </w:rPr>
        <w:t xml:space="preserve"> </w:t>
      </w:r>
      <w:r w:rsidRPr="0049133F">
        <w:rPr>
          <w:rFonts w:ascii="Calibri" w:eastAsia="宋体" w:hAnsi="Calibri" w:cs="Times New Roman"/>
          <w:sz w:val="24"/>
        </w:rPr>
        <w:t>“</w:t>
      </w:r>
      <w:r w:rsidRPr="0049133F">
        <w:rPr>
          <w:rFonts w:ascii="Calibri" w:eastAsia="宋体" w:hAnsi="Calibri" w:cs="Times New Roman" w:hint="eastAsia"/>
          <w:sz w:val="24"/>
        </w:rPr>
        <w:t>滴水穿石的启示</w:t>
      </w:r>
      <w:r w:rsidRPr="0049133F">
        <w:rPr>
          <w:rFonts w:ascii="Calibri" w:eastAsia="宋体" w:hAnsi="Calibri" w:cs="Times New Roman"/>
          <w:sz w:val="24"/>
        </w:rPr>
        <w:t>”</w:t>
      </w:r>
      <w:r w:rsidRPr="0049133F">
        <w:rPr>
          <w:rFonts w:ascii="Calibri" w:eastAsia="宋体" w:hAnsi="Calibri" w:cs="Times New Roman" w:hint="eastAsia"/>
          <w:sz w:val="24"/>
        </w:rPr>
        <w:t>进行思考，理解水能穿石“喻之于人，是一种前仆后继、勇于牺牲的人格的体现。喻之于事，则是以柔克刚、以弱治强的辩证法原理”，尊重和推崇一种甘于为总体成功牺牲的完美人格，推崇一种胸有宏图，扎扎实实、持之以恒、至死不渝的精神。</w:t>
      </w:r>
    </w:p>
    <w:p w14:paraId="3AA46720" w14:textId="77777777" w:rsidR="0049133F" w:rsidRPr="0049133F" w:rsidRDefault="0049133F" w:rsidP="0049133F">
      <w:pPr>
        <w:spacing w:line="360" w:lineRule="auto"/>
        <w:ind w:firstLineChars="200" w:firstLine="482"/>
        <w:rPr>
          <w:rFonts w:ascii="Calibri" w:eastAsia="宋体" w:hAnsi="Calibri" w:cs="Times New Roman"/>
          <w:b/>
          <w:sz w:val="24"/>
        </w:rPr>
      </w:pPr>
      <w:r w:rsidRPr="0049133F">
        <w:rPr>
          <w:rFonts w:ascii="Calibri" w:eastAsia="宋体" w:hAnsi="Calibri" w:cs="Times New Roman"/>
          <w:b/>
          <w:sz w:val="24"/>
        </w:rPr>
        <w:t>【学习内容】</w:t>
      </w:r>
    </w:p>
    <w:p w14:paraId="5015084C"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hint="eastAsia"/>
          <w:sz w:val="24"/>
        </w:rPr>
        <w:t xml:space="preserve">1. </w:t>
      </w:r>
      <w:r w:rsidRPr="0049133F">
        <w:rPr>
          <w:rFonts w:ascii="Calibri" w:eastAsia="宋体" w:hAnsi="Calibri" w:cs="Times New Roman"/>
          <w:sz w:val="24"/>
        </w:rPr>
        <w:t>背景知识：关于主题</w:t>
      </w:r>
      <w:r w:rsidRPr="0049133F">
        <w:rPr>
          <w:rFonts w:ascii="Calibri" w:eastAsia="黑体" w:hAnsi="Calibri" w:cs="Times New Roman" w:hint="eastAsia"/>
          <w:sz w:val="24"/>
        </w:rPr>
        <w:t>Job and Dedication</w:t>
      </w:r>
      <w:r w:rsidRPr="0049133F">
        <w:rPr>
          <w:rFonts w:ascii="Calibri" w:eastAsia="宋体" w:hAnsi="Calibri" w:cs="Times New Roman"/>
          <w:sz w:val="24"/>
        </w:rPr>
        <w:t>，学生</w:t>
      </w:r>
      <w:r w:rsidRPr="0049133F">
        <w:rPr>
          <w:rFonts w:ascii="Calibri" w:eastAsia="宋体" w:hAnsi="Calibri" w:cs="Times New Roman" w:hint="eastAsia"/>
          <w:sz w:val="24"/>
        </w:rPr>
        <w:t>线上学习完成</w:t>
      </w:r>
      <w:r w:rsidRPr="0049133F">
        <w:rPr>
          <w:rFonts w:ascii="Calibri" w:eastAsia="宋体" w:hAnsi="Calibri" w:cs="Times New Roman"/>
          <w:sz w:val="24"/>
        </w:rPr>
        <w:t>。</w:t>
      </w:r>
    </w:p>
    <w:p w14:paraId="51EC2500" w14:textId="77777777" w:rsidR="0049133F" w:rsidRPr="0049133F" w:rsidRDefault="0049133F" w:rsidP="0049133F">
      <w:pPr>
        <w:spacing w:line="360" w:lineRule="auto"/>
        <w:ind w:leftChars="114" w:left="239" w:firstLineChars="100" w:firstLine="240"/>
        <w:rPr>
          <w:rFonts w:ascii="Calibri" w:eastAsia="宋体" w:hAnsi="Calibri" w:cs="Times New Roman"/>
          <w:sz w:val="24"/>
        </w:rPr>
      </w:pPr>
      <w:r w:rsidRPr="0049133F">
        <w:rPr>
          <w:rFonts w:ascii="Calibri" w:eastAsia="宋体" w:hAnsi="Calibri" w:cs="Times New Roman"/>
          <w:sz w:val="24"/>
        </w:rPr>
        <w:t>2</w:t>
      </w:r>
      <w:r w:rsidRPr="0049133F">
        <w:rPr>
          <w:rFonts w:ascii="Calibri" w:eastAsia="宋体" w:hAnsi="Calibri" w:cs="Times New Roman" w:hint="eastAsia"/>
          <w:sz w:val="24"/>
        </w:rPr>
        <w:t>.</w:t>
      </w:r>
      <w:r w:rsidRPr="0049133F">
        <w:rPr>
          <w:rFonts w:ascii="Calibri" w:eastAsia="宋体" w:hAnsi="Calibri" w:cs="Times New Roman" w:hint="eastAsia"/>
          <w:bCs/>
          <w:sz w:val="24"/>
        </w:rPr>
        <w:t xml:space="preserve"> </w:t>
      </w:r>
      <w:r w:rsidRPr="0049133F">
        <w:rPr>
          <w:rFonts w:ascii="Calibri" w:eastAsia="宋体" w:hAnsi="Calibri" w:cs="Times New Roman"/>
          <w:bCs/>
          <w:sz w:val="24"/>
        </w:rPr>
        <w:t>重点单词和短语：</w:t>
      </w:r>
      <w:r w:rsidRPr="0049133F">
        <w:rPr>
          <w:rFonts w:ascii="Calibri" w:eastAsia="宋体" w:hAnsi="Calibri" w:cs="Times New Roman"/>
          <w:bCs/>
          <w:sz w:val="24"/>
        </w:rPr>
        <w:t xml:space="preserve"> T</w:t>
      </w:r>
      <w:r w:rsidRPr="0049133F">
        <w:rPr>
          <w:rFonts w:ascii="Calibri" w:eastAsia="宋体" w:hAnsi="Calibri" w:cs="Times New Roman" w:hint="eastAsia"/>
          <w:bCs/>
          <w:sz w:val="24"/>
        </w:rPr>
        <w:t>ext</w:t>
      </w:r>
      <w:r w:rsidRPr="0049133F">
        <w:rPr>
          <w:rFonts w:ascii="Calibri" w:eastAsia="宋体" w:hAnsi="Calibri" w:cs="Times New Roman"/>
          <w:bCs/>
          <w:sz w:val="24"/>
        </w:rPr>
        <w:t xml:space="preserve"> A </w:t>
      </w:r>
      <w:r w:rsidRPr="0049133F">
        <w:rPr>
          <w:rFonts w:ascii="Calibri" w:eastAsia="宋体" w:hAnsi="Calibri" w:cs="Times New Roman" w:hint="eastAsia"/>
          <w:i/>
          <w:sz w:val="24"/>
        </w:rPr>
        <w:t>Water Droplets Drilling through Rock</w:t>
      </w:r>
      <w:r w:rsidRPr="0049133F">
        <w:rPr>
          <w:rFonts w:ascii="Calibri" w:eastAsia="宋体" w:hAnsi="Calibri" w:cs="Times New Roman" w:hint="eastAsia"/>
          <w:sz w:val="24"/>
        </w:rPr>
        <w:t>和</w:t>
      </w:r>
      <w:r w:rsidRPr="0049133F">
        <w:rPr>
          <w:rFonts w:ascii="Calibri" w:eastAsia="宋体" w:hAnsi="Calibri" w:cs="Times New Roman" w:hint="eastAsia"/>
          <w:sz w:val="24"/>
        </w:rPr>
        <w:t xml:space="preserve">Text B </w:t>
      </w:r>
      <w:r w:rsidRPr="0049133F">
        <w:rPr>
          <w:rFonts w:ascii="Calibri" w:eastAsia="宋体" w:hAnsi="Calibri" w:cs="Times New Roman" w:hint="eastAsia"/>
          <w:i/>
          <w:sz w:val="24"/>
        </w:rPr>
        <w:t>Tom and His Work</w:t>
      </w:r>
      <w:r w:rsidRPr="0049133F">
        <w:rPr>
          <w:rFonts w:ascii="Calibri" w:eastAsia="宋体" w:hAnsi="Calibri" w:cs="Times New Roman"/>
          <w:bCs/>
          <w:sz w:val="24"/>
        </w:rPr>
        <w:t>中出现的</w:t>
      </w:r>
      <w:r w:rsidRPr="0049133F">
        <w:rPr>
          <w:rFonts w:ascii="Calibri" w:eastAsia="宋体" w:hAnsi="Calibri" w:cs="Times New Roman" w:hint="eastAsia"/>
          <w:bCs/>
          <w:sz w:val="24"/>
        </w:rPr>
        <w:t>重点单词和短语及其</w:t>
      </w:r>
      <w:r w:rsidRPr="0049133F">
        <w:rPr>
          <w:rFonts w:ascii="Calibri" w:eastAsia="宋体" w:hAnsi="Calibri" w:cs="Times New Roman"/>
          <w:bCs/>
          <w:sz w:val="24"/>
        </w:rPr>
        <w:t>用法，学生</w:t>
      </w:r>
      <w:r w:rsidRPr="0049133F">
        <w:rPr>
          <w:rFonts w:ascii="Calibri" w:eastAsia="宋体" w:hAnsi="Calibri" w:cs="Times New Roman" w:hint="eastAsia"/>
          <w:sz w:val="24"/>
        </w:rPr>
        <w:t>线上学习完成</w:t>
      </w:r>
      <w:r w:rsidRPr="0049133F">
        <w:rPr>
          <w:rFonts w:ascii="Calibri" w:eastAsia="宋体" w:hAnsi="Calibri" w:cs="Times New Roman" w:hint="eastAsia"/>
          <w:bCs/>
          <w:sz w:val="24"/>
        </w:rPr>
        <w:t>。</w:t>
      </w:r>
    </w:p>
    <w:p w14:paraId="6B543F39"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hint="eastAsia"/>
          <w:sz w:val="24"/>
        </w:rPr>
        <w:t xml:space="preserve">3. </w:t>
      </w:r>
      <w:r w:rsidRPr="0049133F">
        <w:rPr>
          <w:rFonts w:ascii="Calibri" w:eastAsia="宋体" w:hAnsi="Calibri" w:cs="Times New Roman" w:hint="eastAsia"/>
          <w:sz w:val="24"/>
        </w:rPr>
        <w:t>课文内容：两篇</w:t>
      </w:r>
      <w:r w:rsidRPr="0049133F">
        <w:rPr>
          <w:rFonts w:ascii="Calibri" w:eastAsia="宋体" w:hAnsi="Calibri" w:cs="Times New Roman"/>
          <w:sz w:val="24"/>
        </w:rPr>
        <w:t>课文的</w:t>
      </w:r>
      <w:r w:rsidRPr="0049133F">
        <w:rPr>
          <w:rFonts w:ascii="Calibri" w:eastAsia="宋体" w:hAnsi="Calibri" w:cs="Times New Roman" w:hint="eastAsia"/>
          <w:sz w:val="24"/>
        </w:rPr>
        <w:t>结构</w:t>
      </w:r>
      <w:r w:rsidRPr="0049133F">
        <w:rPr>
          <w:rFonts w:ascii="Calibri" w:eastAsia="宋体" w:hAnsi="Calibri" w:cs="Times New Roman"/>
          <w:sz w:val="24"/>
        </w:rPr>
        <w:t>分析</w:t>
      </w:r>
      <w:r w:rsidRPr="0049133F">
        <w:rPr>
          <w:rFonts w:ascii="Calibri" w:eastAsia="宋体" w:hAnsi="Calibri" w:cs="Times New Roman" w:hint="eastAsia"/>
          <w:sz w:val="24"/>
        </w:rPr>
        <w:t>、语言点讲解，线下授课完成。</w:t>
      </w:r>
    </w:p>
    <w:p w14:paraId="1A0A5FD3"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hint="eastAsia"/>
          <w:sz w:val="24"/>
        </w:rPr>
        <w:t xml:space="preserve">4. </w:t>
      </w:r>
      <w:r w:rsidRPr="0049133F">
        <w:rPr>
          <w:rFonts w:ascii="Calibri" w:eastAsia="宋体" w:hAnsi="Calibri" w:cs="Times New Roman" w:hint="eastAsia"/>
          <w:sz w:val="24"/>
        </w:rPr>
        <w:t>练习题：课后练习题解析，学生线上完成。</w:t>
      </w:r>
    </w:p>
    <w:p w14:paraId="1B0AEDB5"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hint="eastAsia"/>
          <w:sz w:val="24"/>
        </w:rPr>
        <w:t xml:space="preserve">5. </w:t>
      </w:r>
      <w:r w:rsidRPr="0049133F">
        <w:rPr>
          <w:rFonts w:ascii="Calibri" w:eastAsia="宋体" w:hAnsi="Calibri" w:cs="Times New Roman" w:hint="eastAsia"/>
          <w:sz w:val="24"/>
        </w:rPr>
        <w:t>阅读技巧：结合课文内容的</w:t>
      </w:r>
      <w:r w:rsidRPr="0049133F">
        <w:rPr>
          <w:rFonts w:ascii="Calibri" w:eastAsia="宋体" w:hAnsi="Calibri" w:cs="Times New Roman"/>
          <w:sz w:val="24"/>
        </w:rPr>
        <w:t>阅读策略</w:t>
      </w:r>
      <w:r w:rsidRPr="0049133F">
        <w:rPr>
          <w:rFonts w:ascii="Calibri" w:eastAsia="宋体" w:hAnsi="Calibri" w:cs="Times New Roman" w:hint="eastAsia"/>
          <w:sz w:val="24"/>
        </w:rPr>
        <w:t>解析，即</w:t>
      </w:r>
      <w:r w:rsidRPr="0049133F">
        <w:rPr>
          <w:rFonts w:ascii="Calibri" w:eastAsia="宋体" w:hAnsi="Calibri" w:cs="Times New Roman" w:hint="eastAsia"/>
          <w:sz w:val="24"/>
        </w:rPr>
        <w:t>how to identify organizational patterns</w:t>
      </w:r>
      <w:r w:rsidRPr="0049133F">
        <w:rPr>
          <w:rFonts w:ascii="Calibri" w:eastAsia="宋体" w:hAnsi="Calibri" w:cs="Times New Roman"/>
          <w:sz w:val="24"/>
        </w:rPr>
        <w:t>，线下授课完成。</w:t>
      </w:r>
    </w:p>
    <w:p w14:paraId="0D4DFA3F"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hint="eastAsia"/>
          <w:sz w:val="24"/>
        </w:rPr>
        <w:t xml:space="preserve">6. </w:t>
      </w:r>
      <w:r w:rsidRPr="0049133F">
        <w:rPr>
          <w:rFonts w:ascii="Calibri" w:eastAsia="宋体" w:hAnsi="Calibri" w:cs="Times New Roman" w:hint="eastAsia"/>
          <w:sz w:val="24"/>
        </w:rPr>
        <w:t>听力内容：</w:t>
      </w:r>
      <w:r w:rsidRPr="0049133F">
        <w:rPr>
          <w:rFonts w:ascii="Calibri" w:eastAsia="宋体" w:hAnsi="Calibri" w:cs="Times New Roman"/>
          <w:sz w:val="24"/>
        </w:rPr>
        <w:t>视听说教材中</w:t>
      </w:r>
      <w:r w:rsidRPr="0049133F">
        <w:rPr>
          <w:rFonts w:ascii="Calibri" w:eastAsia="宋体" w:hAnsi="Calibri" w:cs="Times New Roman" w:hint="eastAsia"/>
          <w:sz w:val="24"/>
        </w:rPr>
        <w:t>Part A</w:t>
      </w:r>
      <w:r w:rsidRPr="0049133F">
        <w:rPr>
          <w:rFonts w:ascii="Calibri" w:eastAsia="宋体" w:hAnsi="Calibri" w:cs="Times New Roman" w:hint="eastAsia"/>
          <w:sz w:val="24"/>
        </w:rPr>
        <w:t>和</w:t>
      </w:r>
      <w:r w:rsidRPr="0049133F">
        <w:rPr>
          <w:rFonts w:ascii="Calibri" w:eastAsia="宋体" w:hAnsi="Calibri" w:cs="Times New Roman" w:hint="eastAsia"/>
          <w:sz w:val="24"/>
        </w:rPr>
        <w:t>Part D</w:t>
      </w:r>
      <w:r w:rsidRPr="0049133F">
        <w:rPr>
          <w:rFonts w:ascii="Calibri" w:eastAsia="宋体" w:hAnsi="Calibri" w:cs="Times New Roman" w:hint="eastAsia"/>
          <w:sz w:val="24"/>
        </w:rPr>
        <w:t>部分，学生</w:t>
      </w:r>
      <w:proofErr w:type="gramStart"/>
      <w:r w:rsidRPr="0049133F">
        <w:rPr>
          <w:rFonts w:ascii="Calibri" w:eastAsia="宋体" w:hAnsi="Calibri" w:cs="Times New Roman" w:hint="eastAsia"/>
          <w:sz w:val="24"/>
        </w:rPr>
        <w:t>泛听过程</w:t>
      </w:r>
      <w:proofErr w:type="gramEnd"/>
      <w:r w:rsidRPr="0049133F">
        <w:rPr>
          <w:rFonts w:ascii="Calibri" w:eastAsia="宋体" w:hAnsi="Calibri" w:cs="Times New Roman" w:hint="eastAsia"/>
          <w:sz w:val="24"/>
        </w:rPr>
        <w:t>中理解大意，</w:t>
      </w:r>
      <w:proofErr w:type="gramStart"/>
      <w:r w:rsidRPr="0049133F">
        <w:rPr>
          <w:rFonts w:ascii="Calibri" w:eastAsia="宋体" w:hAnsi="Calibri" w:cs="Times New Roman" w:hint="eastAsia"/>
          <w:sz w:val="24"/>
        </w:rPr>
        <w:lastRenderedPageBreak/>
        <w:t>精听过程</w:t>
      </w:r>
      <w:proofErr w:type="gramEnd"/>
      <w:r w:rsidRPr="0049133F">
        <w:rPr>
          <w:rFonts w:ascii="Calibri" w:eastAsia="宋体" w:hAnsi="Calibri" w:cs="Times New Roman" w:hint="eastAsia"/>
          <w:sz w:val="24"/>
        </w:rPr>
        <w:t>中掌握细节内容，线上完成</w:t>
      </w:r>
      <w:r w:rsidRPr="0049133F">
        <w:rPr>
          <w:rFonts w:ascii="Calibri" w:eastAsia="宋体" w:hAnsi="Calibri" w:cs="Times New Roman"/>
          <w:sz w:val="24"/>
        </w:rPr>
        <w:t>。</w:t>
      </w:r>
    </w:p>
    <w:p w14:paraId="0385ECED" w14:textId="77777777" w:rsidR="0049133F" w:rsidRPr="0049133F" w:rsidRDefault="0049133F" w:rsidP="0049133F">
      <w:pPr>
        <w:spacing w:line="360" w:lineRule="auto"/>
        <w:ind w:firstLineChars="200" w:firstLine="480"/>
        <w:rPr>
          <w:rFonts w:ascii="宋体" w:eastAsia="宋体" w:hAnsi="Calibri" w:cs="Times New Roman"/>
          <w:sz w:val="24"/>
        </w:rPr>
      </w:pPr>
      <w:r w:rsidRPr="0049133F">
        <w:rPr>
          <w:rFonts w:ascii="Calibri" w:eastAsia="宋体" w:hAnsi="Calibri" w:cs="Times New Roman" w:hint="eastAsia"/>
          <w:sz w:val="24"/>
        </w:rPr>
        <w:t xml:space="preserve">7.  </w:t>
      </w:r>
      <w:r w:rsidRPr="0049133F">
        <w:rPr>
          <w:rFonts w:ascii="Calibri" w:eastAsia="宋体" w:hAnsi="Calibri" w:cs="Times New Roman" w:hint="eastAsia"/>
          <w:sz w:val="24"/>
        </w:rPr>
        <w:t>翻译技巧讲解：入门篇，学生线上完成。</w:t>
      </w:r>
    </w:p>
    <w:p w14:paraId="43DEEFC1" w14:textId="77777777" w:rsidR="0049133F" w:rsidRPr="0049133F" w:rsidRDefault="0049133F" w:rsidP="0049133F">
      <w:pPr>
        <w:spacing w:line="360" w:lineRule="auto"/>
        <w:ind w:firstLineChars="200" w:firstLine="480"/>
        <w:rPr>
          <w:rFonts w:ascii="宋体" w:eastAsia="宋体" w:hAnsi="Calibri" w:cs="Times New Roman"/>
          <w:sz w:val="24"/>
        </w:rPr>
      </w:pPr>
      <w:r w:rsidRPr="0049133F">
        <w:rPr>
          <w:rFonts w:ascii="宋体" w:eastAsia="宋体" w:hAnsi="Calibri" w:cs="Times New Roman" w:hint="eastAsia"/>
          <w:sz w:val="24"/>
        </w:rPr>
        <w:t>8. 主题写作：应用类写作</w:t>
      </w:r>
      <w:r w:rsidRPr="0049133F">
        <w:rPr>
          <w:rFonts w:ascii="Calibri" w:eastAsia="宋体" w:hAnsi="Calibri" w:cs="Times New Roman" w:hint="eastAsia"/>
          <w:sz w:val="24"/>
        </w:rPr>
        <w:t>Writing a summary</w:t>
      </w:r>
      <w:r w:rsidRPr="0049133F">
        <w:rPr>
          <w:rFonts w:ascii="Calibri" w:eastAsia="宋体" w:hAnsi="Calibri" w:cs="Times New Roman" w:hint="eastAsia"/>
          <w:sz w:val="24"/>
        </w:rPr>
        <w:t>。</w:t>
      </w:r>
    </w:p>
    <w:p w14:paraId="5AA086AB" w14:textId="77777777" w:rsidR="0049133F" w:rsidRPr="0049133F" w:rsidRDefault="0049133F" w:rsidP="0049133F">
      <w:pPr>
        <w:spacing w:line="360" w:lineRule="auto"/>
        <w:ind w:firstLineChars="200" w:firstLine="480"/>
        <w:rPr>
          <w:rFonts w:ascii="宋体" w:eastAsia="宋体" w:hAnsi="Calibri" w:cs="Times New Roman"/>
          <w:sz w:val="24"/>
        </w:rPr>
      </w:pPr>
      <w:r w:rsidRPr="0049133F">
        <w:rPr>
          <w:rFonts w:ascii="宋体" w:eastAsia="宋体" w:hAnsi="Calibri" w:cs="Times New Roman" w:hint="eastAsia"/>
          <w:sz w:val="24"/>
        </w:rPr>
        <w:t xml:space="preserve">9. </w:t>
      </w:r>
      <w:proofErr w:type="gramStart"/>
      <w:r w:rsidRPr="0049133F">
        <w:rPr>
          <w:rFonts w:ascii="宋体" w:eastAsia="宋体" w:hAnsi="Calibri" w:cs="Times New Roman" w:hint="eastAsia"/>
          <w:sz w:val="24"/>
        </w:rPr>
        <w:t>思政元素</w:t>
      </w:r>
      <w:proofErr w:type="gramEnd"/>
      <w:r w:rsidRPr="0049133F">
        <w:rPr>
          <w:rFonts w:ascii="宋体" w:eastAsia="宋体" w:hAnsi="Calibri" w:cs="Times New Roman" w:hint="eastAsia"/>
          <w:sz w:val="24"/>
        </w:rPr>
        <w:t>：社会主义核心价值观“敬业”的含义，艰苦奋斗、拼搏奉献的精神。</w:t>
      </w:r>
    </w:p>
    <w:p w14:paraId="5B5B39DE" w14:textId="77777777" w:rsidR="0049133F" w:rsidRPr="0049133F" w:rsidRDefault="0049133F" w:rsidP="0049133F">
      <w:pPr>
        <w:spacing w:line="360" w:lineRule="auto"/>
        <w:ind w:firstLineChars="200" w:firstLine="482"/>
        <w:rPr>
          <w:rFonts w:ascii="Calibri" w:eastAsia="宋体" w:hAnsi="Calibri" w:cs="Times New Roman"/>
          <w:b/>
          <w:sz w:val="24"/>
        </w:rPr>
      </w:pPr>
      <w:r w:rsidRPr="0049133F">
        <w:rPr>
          <w:rFonts w:ascii="Calibri" w:eastAsia="宋体" w:hAnsi="Calibri" w:cs="Times New Roman"/>
          <w:b/>
          <w:sz w:val="24"/>
        </w:rPr>
        <w:t>【重点】</w:t>
      </w:r>
    </w:p>
    <w:p w14:paraId="55C7DB21" w14:textId="77777777" w:rsidR="0049133F" w:rsidRPr="0049133F" w:rsidRDefault="0049133F" w:rsidP="0049133F">
      <w:pPr>
        <w:spacing w:line="360" w:lineRule="auto"/>
        <w:ind w:leftChars="228" w:left="479"/>
        <w:rPr>
          <w:rFonts w:ascii="等线" w:eastAsia="宋体" w:hAnsi="等线" w:cs="等线"/>
          <w:b/>
          <w:sz w:val="19"/>
          <w:szCs w:val="19"/>
        </w:rPr>
      </w:pPr>
      <w:r w:rsidRPr="0049133F">
        <w:rPr>
          <w:rFonts w:ascii="Calibri" w:eastAsia="宋体" w:hAnsi="Calibri" w:cs="Times New Roman" w:hint="eastAsia"/>
          <w:sz w:val="24"/>
        </w:rPr>
        <w:t>1.</w:t>
      </w:r>
      <w:r w:rsidRPr="0049133F">
        <w:rPr>
          <w:rFonts w:ascii="Calibri" w:eastAsia="宋体" w:hAnsi="Calibri" w:cs="Times New Roman" w:hint="eastAsia"/>
          <w:sz w:val="24"/>
        </w:rPr>
        <w:t>课文重点单词、短语：</w:t>
      </w:r>
      <w:r w:rsidRPr="0049133F">
        <w:rPr>
          <w:rFonts w:ascii="Calibri" w:eastAsia="宋体" w:hAnsi="Calibri" w:cs="Times New Roman" w:hint="eastAsia"/>
          <w:sz w:val="24"/>
        </w:rPr>
        <w:t>contemplate; opposing; stubbornness; metaphor; sacrifice; insubstantial; demonstration; dialectical; complication; trepidation; elusive; tenacity; awe; model oneself on; zero in on; square one</w:t>
      </w:r>
      <w:r w:rsidRPr="0049133F">
        <w:rPr>
          <w:rFonts w:ascii="Calibri" w:eastAsia="宋体" w:hAnsi="Calibri" w:cs="Times New Roman"/>
          <w:sz w:val="24"/>
        </w:rPr>
        <w:t>’</w:t>
      </w:r>
      <w:r w:rsidRPr="0049133F">
        <w:rPr>
          <w:rFonts w:ascii="Calibri" w:eastAsia="宋体" w:hAnsi="Calibri" w:cs="Times New Roman" w:hint="eastAsia"/>
          <w:sz w:val="24"/>
        </w:rPr>
        <w:t xml:space="preserve">s shoulders; get down to; at the expense of; chip away; by fits and starts; see </w:t>
      </w:r>
      <w:proofErr w:type="spellStart"/>
      <w:r w:rsidRPr="0049133F">
        <w:rPr>
          <w:rFonts w:ascii="Calibri" w:eastAsia="宋体" w:hAnsi="Calibri" w:cs="Times New Roman" w:hint="eastAsia"/>
          <w:sz w:val="24"/>
        </w:rPr>
        <w:t>sth</w:t>
      </w:r>
      <w:proofErr w:type="spellEnd"/>
      <w:r w:rsidRPr="0049133F">
        <w:rPr>
          <w:rFonts w:ascii="Calibri" w:eastAsia="宋体" w:hAnsi="Calibri" w:cs="Times New Roman" w:hint="eastAsia"/>
          <w:sz w:val="24"/>
        </w:rPr>
        <w:t xml:space="preserve">. </w:t>
      </w:r>
      <w:r w:rsidRPr="0049133F">
        <w:rPr>
          <w:rFonts w:ascii="Calibri" w:eastAsia="宋体" w:hAnsi="Calibri" w:cs="Times New Roman"/>
          <w:sz w:val="24"/>
        </w:rPr>
        <w:t>t</w:t>
      </w:r>
      <w:r w:rsidRPr="0049133F">
        <w:rPr>
          <w:rFonts w:ascii="Calibri" w:eastAsia="宋体" w:hAnsi="Calibri" w:cs="Times New Roman" w:hint="eastAsia"/>
          <w:sz w:val="24"/>
        </w:rPr>
        <w:t>hrough</w:t>
      </w:r>
      <w:r w:rsidRPr="0049133F">
        <w:rPr>
          <w:rFonts w:ascii="Calibri" w:eastAsia="宋体" w:hAnsi="Calibri" w:cs="Times New Roman" w:hint="eastAsia"/>
          <w:sz w:val="24"/>
        </w:rPr>
        <w:t>。</w:t>
      </w:r>
    </w:p>
    <w:p w14:paraId="6F2E66E3"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2.</w:t>
      </w:r>
      <w:r w:rsidRPr="0049133F">
        <w:rPr>
          <w:rFonts w:ascii="Calibri" w:eastAsia="宋体" w:hAnsi="Calibri" w:cs="Times New Roman"/>
          <w:sz w:val="24"/>
        </w:rPr>
        <w:t>文章整体的段落结构</w:t>
      </w:r>
      <w:r w:rsidRPr="0049133F">
        <w:rPr>
          <w:rFonts w:ascii="Calibri" w:eastAsia="宋体" w:hAnsi="Calibri" w:cs="Times New Roman" w:hint="eastAsia"/>
          <w:sz w:val="24"/>
        </w:rPr>
        <w:t>。</w:t>
      </w:r>
    </w:p>
    <w:p w14:paraId="622E13DD"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hint="eastAsia"/>
          <w:sz w:val="24"/>
        </w:rPr>
        <w:t>3.</w:t>
      </w:r>
      <w:r w:rsidRPr="0049133F">
        <w:rPr>
          <w:rFonts w:ascii="Calibri" w:eastAsia="宋体" w:hAnsi="Calibri" w:cs="Times New Roman" w:hint="eastAsia"/>
          <w:sz w:val="24"/>
        </w:rPr>
        <w:t>课文及练习中出现的长难句的翻译。</w:t>
      </w:r>
    </w:p>
    <w:p w14:paraId="1CBCF9CD"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hint="eastAsia"/>
          <w:sz w:val="24"/>
        </w:rPr>
        <w:t>4.Summary</w:t>
      </w:r>
      <w:r w:rsidRPr="0049133F">
        <w:rPr>
          <w:rFonts w:ascii="Calibri" w:eastAsia="宋体" w:hAnsi="Calibri" w:cs="Times New Roman" w:hint="eastAsia"/>
          <w:sz w:val="24"/>
        </w:rPr>
        <w:t>的写作方法及步骤。</w:t>
      </w:r>
    </w:p>
    <w:p w14:paraId="18C7F242" w14:textId="77777777" w:rsidR="0049133F" w:rsidRPr="0049133F" w:rsidRDefault="0049133F" w:rsidP="0049133F">
      <w:pPr>
        <w:spacing w:line="360" w:lineRule="auto"/>
        <w:ind w:firstLineChars="200" w:firstLine="482"/>
        <w:rPr>
          <w:rFonts w:ascii="Calibri" w:eastAsia="宋体" w:hAnsi="Calibri" w:cs="Times New Roman"/>
          <w:b/>
          <w:sz w:val="24"/>
        </w:rPr>
      </w:pPr>
      <w:r w:rsidRPr="0049133F">
        <w:rPr>
          <w:rFonts w:ascii="Calibri" w:eastAsia="宋体" w:hAnsi="Calibri" w:cs="Times New Roman"/>
          <w:b/>
          <w:sz w:val="24"/>
        </w:rPr>
        <w:t>【难点】</w:t>
      </w:r>
    </w:p>
    <w:p w14:paraId="49A59E13"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hint="eastAsia"/>
          <w:sz w:val="24"/>
        </w:rPr>
        <w:t xml:space="preserve">1. </w:t>
      </w:r>
      <w:r w:rsidRPr="0049133F">
        <w:rPr>
          <w:rFonts w:ascii="Calibri" w:eastAsia="宋体" w:hAnsi="Calibri" w:cs="Times New Roman"/>
          <w:sz w:val="24"/>
        </w:rPr>
        <w:t>重点单词、短语</w:t>
      </w:r>
      <w:r w:rsidRPr="0049133F">
        <w:rPr>
          <w:rFonts w:ascii="Calibri" w:eastAsia="宋体" w:hAnsi="Calibri" w:cs="Times New Roman" w:hint="eastAsia"/>
          <w:sz w:val="24"/>
        </w:rPr>
        <w:t>如</w:t>
      </w:r>
      <w:r w:rsidRPr="0049133F">
        <w:rPr>
          <w:rFonts w:ascii="Calibri" w:eastAsia="宋体" w:hAnsi="Calibri" w:cs="Times New Roman" w:hint="eastAsia"/>
          <w:sz w:val="24"/>
        </w:rPr>
        <w:t>zero in on; by fits and starts</w:t>
      </w:r>
      <w:r w:rsidRPr="0049133F">
        <w:rPr>
          <w:rFonts w:ascii="Calibri" w:eastAsia="宋体" w:hAnsi="Calibri" w:cs="Times New Roman" w:hint="eastAsia"/>
          <w:sz w:val="24"/>
        </w:rPr>
        <w:t>等在文中的具体含义及用法，一些长难句的解释和翻译。</w:t>
      </w:r>
    </w:p>
    <w:p w14:paraId="71AE1F68"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hint="eastAsia"/>
          <w:sz w:val="24"/>
        </w:rPr>
        <w:t xml:space="preserve">2. </w:t>
      </w:r>
      <w:r w:rsidRPr="0049133F">
        <w:rPr>
          <w:rFonts w:ascii="Calibri" w:eastAsia="宋体" w:hAnsi="Calibri" w:cs="Times New Roman" w:hint="eastAsia"/>
          <w:sz w:val="24"/>
        </w:rPr>
        <w:t>听力部分的篇章理解。</w:t>
      </w:r>
    </w:p>
    <w:p w14:paraId="3FF7D730"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hint="eastAsia"/>
          <w:sz w:val="24"/>
        </w:rPr>
        <w:t xml:space="preserve">3. </w:t>
      </w:r>
      <w:r w:rsidRPr="0049133F">
        <w:rPr>
          <w:rFonts w:ascii="Calibri" w:eastAsia="宋体" w:hAnsi="Calibri" w:cs="Times New Roman" w:hint="eastAsia"/>
          <w:sz w:val="24"/>
        </w:rPr>
        <w:t>应用类写作的方法及步骤。</w:t>
      </w:r>
    </w:p>
    <w:p w14:paraId="22071066" w14:textId="77777777" w:rsidR="0049133F" w:rsidRPr="0049133F" w:rsidRDefault="0049133F" w:rsidP="0049133F">
      <w:pPr>
        <w:spacing w:line="360" w:lineRule="auto"/>
        <w:ind w:firstLineChars="200" w:firstLine="482"/>
        <w:rPr>
          <w:rFonts w:ascii="Calibri" w:eastAsia="宋体" w:hAnsi="Calibri" w:cs="Times New Roman"/>
          <w:sz w:val="24"/>
        </w:rPr>
      </w:pPr>
      <w:r w:rsidRPr="0049133F">
        <w:rPr>
          <w:rFonts w:ascii="Calibri" w:eastAsia="宋体" w:hAnsi="Calibri" w:cs="Times New Roman"/>
          <w:b/>
          <w:bCs/>
          <w:sz w:val="24"/>
        </w:rPr>
        <w:t>【教学方法】</w:t>
      </w:r>
    </w:p>
    <w:p w14:paraId="040CE93B" w14:textId="77777777" w:rsidR="0049133F" w:rsidRPr="0049133F" w:rsidRDefault="0049133F" w:rsidP="0049133F">
      <w:pPr>
        <w:numPr>
          <w:ilvl w:val="0"/>
          <w:numId w:val="25"/>
        </w:numPr>
        <w:spacing w:line="360" w:lineRule="auto"/>
        <w:ind w:firstLineChars="200" w:firstLine="480"/>
        <w:rPr>
          <w:rFonts w:ascii="Calibri" w:eastAsia="宋体" w:hAnsi="Calibri" w:cs="Times New Roman"/>
          <w:sz w:val="24"/>
        </w:rPr>
      </w:pPr>
      <w:r w:rsidRPr="0049133F">
        <w:rPr>
          <w:rFonts w:ascii="Calibri" w:eastAsia="宋体" w:hAnsi="Calibri" w:cs="Times New Roman" w:hint="eastAsia"/>
          <w:sz w:val="24"/>
        </w:rPr>
        <w:t>小组讨论法：利用线上线下结合的混合式教学模式，组织学生进行线</w:t>
      </w:r>
      <w:proofErr w:type="gramStart"/>
      <w:r w:rsidRPr="0049133F">
        <w:rPr>
          <w:rFonts w:ascii="Calibri" w:eastAsia="宋体" w:hAnsi="Calibri" w:cs="Times New Roman" w:hint="eastAsia"/>
          <w:sz w:val="24"/>
        </w:rPr>
        <w:t>上背景</w:t>
      </w:r>
      <w:proofErr w:type="gramEnd"/>
      <w:r w:rsidRPr="0049133F">
        <w:rPr>
          <w:rFonts w:ascii="Calibri" w:eastAsia="宋体" w:hAnsi="Calibri" w:cs="Times New Roman" w:hint="eastAsia"/>
          <w:sz w:val="24"/>
        </w:rPr>
        <w:t>学习，通过小组讨论，探讨“水滴石穿”带给我们的启示，使学生认识到个人的奉献与集体成就的关系，培养艰苦奋斗、拼搏奉献的精神。</w:t>
      </w:r>
    </w:p>
    <w:p w14:paraId="7E5C3D8B"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hint="eastAsia"/>
          <w:sz w:val="24"/>
        </w:rPr>
        <w:t xml:space="preserve">2. </w:t>
      </w:r>
      <w:r w:rsidRPr="0049133F">
        <w:rPr>
          <w:rFonts w:ascii="Calibri" w:eastAsia="宋体" w:hAnsi="Calibri" w:cs="Times New Roman" w:hint="eastAsia"/>
          <w:sz w:val="24"/>
        </w:rPr>
        <w:t>任务型教学法、讲授法：教师引导并通过讲解完成对课文的分析与学习，使学生掌握本课中所出现的重点词汇和短语并学会灵活使用，促进学生的思考能力和口语表达能力，有助于培养学生英语综合运用能力。</w:t>
      </w:r>
    </w:p>
    <w:p w14:paraId="33B1F7C8"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hint="eastAsia"/>
          <w:sz w:val="24"/>
        </w:rPr>
        <w:t xml:space="preserve">3. </w:t>
      </w:r>
      <w:r w:rsidRPr="0049133F">
        <w:rPr>
          <w:rFonts w:ascii="Calibri" w:eastAsia="宋体" w:hAnsi="Calibri" w:cs="Times New Roman" w:hint="eastAsia"/>
          <w:sz w:val="24"/>
        </w:rPr>
        <w:t>自主学习法：通过布置任务点的方式，监督学生在线上进行自主学习，完成预习、复习、听力练习等任务，培养学生自主学习能力和自律意识。</w:t>
      </w:r>
    </w:p>
    <w:p w14:paraId="4D7B77EA" w14:textId="77777777" w:rsidR="0049133F" w:rsidRPr="0049133F" w:rsidRDefault="0049133F" w:rsidP="0049133F">
      <w:pPr>
        <w:spacing w:line="360" w:lineRule="auto"/>
        <w:ind w:firstLineChars="200" w:firstLine="482"/>
        <w:rPr>
          <w:rFonts w:ascii="Calibri" w:eastAsia="宋体" w:hAnsi="Calibri" w:cs="Times New Roman"/>
          <w:b/>
          <w:bCs/>
          <w:sz w:val="24"/>
        </w:rPr>
      </w:pPr>
      <w:r w:rsidRPr="0049133F">
        <w:rPr>
          <w:rFonts w:ascii="Calibri" w:eastAsia="宋体" w:hAnsi="Calibri" w:cs="Times New Roman" w:hint="eastAsia"/>
          <w:b/>
          <w:bCs/>
          <w:sz w:val="24"/>
        </w:rPr>
        <w:t>【复习思考】</w:t>
      </w:r>
    </w:p>
    <w:p w14:paraId="14B4380F" w14:textId="77777777" w:rsidR="0049133F" w:rsidRPr="0049133F" w:rsidRDefault="0049133F" w:rsidP="0049133F">
      <w:pPr>
        <w:spacing w:line="360" w:lineRule="auto"/>
        <w:rPr>
          <w:rFonts w:ascii="Calibri" w:eastAsia="宋体" w:hAnsi="Calibri" w:cs="Times New Roman"/>
          <w:sz w:val="24"/>
        </w:rPr>
      </w:pPr>
      <w:r w:rsidRPr="0049133F">
        <w:rPr>
          <w:rFonts w:ascii="Calibri" w:eastAsia="宋体" w:hAnsi="Calibri" w:cs="Times New Roman" w:hint="eastAsia"/>
          <w:sz w:val="24"/>
        </w:rPr>
        <w:t>1.</w:t>
      </w:r>
      <w:r w:rsidRPr="0049133F">
        <w:rPr>
          <w:rFonts w:ascii="Calibri" w:eastAsia="宋体" w:hAnsi="Calibri" w:cs="Times New Roman" w:hint="eastAsia"/>
          <w:sz w:val="24"/>
        </w:rPr>
        <w:t>完成线上单元测验，复习重点词汇、短语的用法。</w:t>
      </w:r>
    </w:p>
    <w:p w14:paraId="60D74813" w14:textId="77777777" w:rsidR="0049133F" w:rsidRPr="0049133F" w:rsidRDefault="0049133F" w:rsidP="0049133F">
      <w:pPr>
        <w:spacing w:line="360" w:lineRule="auto"/>
        <w:rPr>
          <w:rFonts w:ascii="Calibri" w:eastAsia="宋体" w:hAnsi="Calibri" w:cs="Times New Roman"/>
          <w:sz w:val="24"/>
        </w:rPr>
      </w:pPr>
      <w:r w:rsidRPr="0049133F">
        <w:rPr>
          <w:rFonts w:ascii="Calibri" w:eastAsia="宋体" w:hAnsi="Calibri" w:cs="Times New Roman" w:hint="eastAsia"/>
          <w:sz w:val="24"/>
        </w:rPr>
        <w:lastRenderedPageBreak/>
        <w:t>2.</w:t>
      </w:r>
      <w:r w:rsidRPr="0049133F">
        <w:rPr>
          <w:rFonts w:ascii="Calibri" w:eastAsia="宋体" w:hAnsi="Calibri" w:cs="Times New Roman" w:hint="eastAsia"/>
          <w:sz w:val="24"/>
        </w:rPr>
        <w:t>思考工作中如何处理个人和团队的关系，学生结合自己的经历和感悟，进行小组讨论。</w:t>
      </w:r>
    </w:p>
    <w:p w14:paraId="3DF4FCAF" w14:textId="77777777" w:rsidR="0049133F" w:rsidRPr="0049133F" w:rsidRDefault="0049133F" w:rsidP="0049133F">
      <w:pPr>
        <w:spacing w:line="360" w:lineRule="auto"/>
        <w:rPr>
          <w:rFonts w:ascii="Calibri" w:eastAsia="黑体" w:hAnsi="Calibri" w:cs="Times New Roman"/>
          <w:b/>
          <w:sz w:val="28"/>
          <w:szCs w:val="28"/>
        </w:rPr>
      </w:pPr>
    </w:p>
    <w:p w14:paraId="7A8EA21B" w14:textId="77777777" w:rsidR="0049133F" w:rsidRPr="0049133F" w:rsidRDefault="0049133F" w:rsidP="0049133F">
      <w:pPr>
        <w:autoSpaceDE w:val="0"/>
        <w:autoSpaceDN w:val="0"/>
        <w:adjustRightInd w:val="0"/>
        <w:spacing w:line="440" w:lineRule="atLeast"/>
        <w:jc w:val="center"/>
        <w:rPr>
          <w:rFonts w:ascii="Calibri" w:eastAsia="宋体" w:hAnsi="Calibri" w:cs="Times New Roman"/>
          <w:b/>
          <w:bCs/>
          <w:kern w:val="0"/>
          <w:sz w:val="28"/>
          <w:szCs w:val="28"/>
        </w:rPr>
      </w:pPr>
      <w:r w:rsidRPr="0049133F">
        <w:rPr>
          <w:rFonts w:ascii="Calibri" w:eastAsia="宋体" w:hAnsi="Calibri" w:cs="Times New Roman"/>
          <w:b/>
          <w:bCs/>
          <w:kern w:val="0"/>
          <w:sz w:val="28"/>
          <w:szCs w:val="28"/>
        </w:rPr>
        <w:t xml:space="preserve">Unit </w:t>
      </w:r>
      <w:proofErr w:type="gramStart"/>
      <w:r w:rsidRPr="0049133F">
        <w:rPr>
          <w:rFonts w:ascii="Calibri" w:eastAsia="宋体" w:hAnsi="Calibri" w:cs="Times New Roman"/>
          <w:b/>
          <w:bCs/>
          <w:kern w:val="0"/>
          <w:sz w:val="28"/>
          <w:szCs w:val="28"/>
        </w:rPr>
        <w:t xml:space="preserve">3 </w:t>
      </w:r>
      <w:r w:rsidRPr="0049133F">
        <w:rPr>
          <w:rFonts w:ascii="Calibri" w:eastAsia="宋体" w:hAnsi="Calibri" w:cs="Times New Roman" w:hint="eastAsia"/>
          <w:b/>
          <w:bCs/>
          <w:kern w:val="0"/>
          <w:sz w:val="28"/>
          <w:szCs w:val="28"/>
        </w:rPr>
        <w:t xml:space="preserve"> </w:t>
      </w:r>
      <w:r w:rsidRPr="0049133F">
        <w:rPr>
          <w:rFonts w:ascii="Calibri" w:eastAsia="宋体" w:hAnsi="Calibri" w:cs="Times New Roman"/>
          <w:b/>
          <w:bCs/>
          <w:kern w:val="0"/>
          <w:sz w:val="28"/>
          <w:szCs w:val="28"/>
        </w:rPr>
        <w:t>Stress</w:t>
      </w:r>
      <w:proofErr w:type="gramEnd"/>
      <w:r w:rsidRPr="0049133F">
        <w:rPr>
          <w:rFonts w:ascii="Calibri" w:eastAsia="宋体" w:hAnsi="Calibri" w:cs="Times New Roman"/>
          <w:b/>
          <w:bCs/>
          <w:kern w:val="0"/>
          <w:sz w:val="28"/>
          <w:szCs w:val="28"/>
        </w:rPr>
        <w:t xml:space="preserve"> and Happiness</w:t>
      </w:r>
    </w:p>
    <w:p w14:paraId="4CEDF286" w14:textId="77777777" w:rsidR="0049133F" w:rsidRPr="0049133F" w:rsidRDefault="0049133F" w:rsidP="0049133F">
      <w:pPr>
        <w:autoSpaceDE w:val="0"/>
        <w:autoSpaceDN w:val="0"/>
        <w:adjustRightInd w:val="0"/>
        <w:spacing w:line="360" w:lineRule="auto"/>
        <w:ind w:firstLineChars="200" w:firstLine="482"/>
        <w:rPr>
          <w:rFonts w:ascii="Calibri" w:eastAsia="宋体" w:hAnsi="Calibri" w:cs="Times New Roman"/>
          <w:b/>
          <w:bCs/>
          <w:kern w:val="0"/>
          <w:sz w:val="24"/>
        </w:rPr>
      </w:pPr>
      <w:r w:rsidRPr="0049133F">
        <w:rPr>
          <w:rFonts w:ascii="宋体" w:eastAsia="宋体" w:hAnsi="Calibri" w:cs="宋体" w:hint="eastAsia"/>
          <w:b/>
          <w:bCs/>
          <w:kern w:val="0"/>
          <w:sz w:val="24"/>
          <w:lang w:val="zh-CN"/>
        </w:rPr>
        <w:t>【学习目标】</w:t>
      </w:r>
    </w:p>
    <w:p w14:paraId="5F7DDD50"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rPr>
        <w:t xml:space="preserve">1. </w:t>
      </w:r>
      <w:r w:rsidRPr="0049133F">
        <w:rPr>
          <w:rFonts w:ascii="宋体" w:eastAsia="宋体" w:hAnsi="Calibri" w:cs="宋体" w:hint="eastAsia"/>
          <w:kern w:val="0"/>
          <w:sz w:val="24"/>
          <w:lang w:val="zh-CN"/>
        </w:rPr>
        <w:t>认知类目标</w:t>
      </w:r>
      <w:r w:rsidRPr="0049133F">
        <w:rPr>
          <w:rFonts w:ascii="宋体" w:eastAsia="宋体" w:hAnsi="Calibri" w:cs="宋体" w:hint="eastAsia"/>
          <w:kern w:val="0"/>
          <w:sz w:val="24"/>
        </w:rPr>
        <w:t>：</w:t>
      </w:r>
      <w:r w:rsidRPr="0049133F">
        <w:rPr>
          <w:rFonts w:ascii="宋体" w:eastAsia="宋体" w:hAnsi="Calibri" w:cs="宋体" w:hint="eastAsia"/>
          <w:kern w:val="0"/>
          <w:sz w:val="24"/>
          <w:lang w:val="zh-CN"/>
        </w:rPr>
        <w:t>掌握本单元中出现的重点词汇、短语和句型</w:t>
      </w:r>
      <w:r w:rsidRPr="0049133F">
        <w:rPr>
          <w:rFonts w:ascii="宋体" w:eastAsia="宋体" w:hAnsi="Calibri" w:cs="宋体"/>
          <w:kern w:val="0"/>
          <w:sz w:val="24"/>
        </w:rPr>
        <w:t>。</w:t>
      </w:r>
    </w:p>
    <w:p w14:paraId="7AA02FB5" w14:textId="77777777" w:rsidR="0049133F" w:rsidRPr="0049133F" w:rsidRDefault="0049133F" w:rsidP="0049133F">
      <w:pPr>
        <w:autoSpaceDE w:val="0"/>
        <w:autoSpaceDN w:val="0"/>
        <w:adjustRightInd w:val="0"/>
        <w:spacing w:line="360" w:lineRule="auto"/>
        <w:ind w:firstLine="480"/>
        <w:rPr>
          <w:rFonts w:ascii="宋体" w:eastAsia="宋体" w:hAnsi="Calibri" w:cs="宋体"/>
          <w:kern w:val="0"/>
          <w:sz w:val="24"/>
        </w:rPr>
      </w:pPr>
      <w:r w:rsidRPr="0049133F">
        <w:rPr>
          <w:rFonts w:ascii="Calibri" w:eastAsia="宋体" w:hAnsi="Calibri" w:cs="Times New Roman"/>
          <w:kern w:val="0"/>
          <w:sz w:val="24"/>
        </w:rPr>
        <w:t xml:space="preserve">2. </w:t>
      </w:r>
      <w:r w:rsidRPr="0049133F">
        <w:rPr>
          <w:rFonts w:ascii="宋体" w:eastAsia="宋体" w:hAnsi="Calibri" w:cs="宋体" w:hint="eastAsia"/>
          <w:kern w:val="0"/>
          <w:sz w:val="24"/>
          <w:lang w:val="zh-CN"/>
        </w:rPr>
        <w:t>过程与方法类目标：学生</w:t>
      </w:r>
      <w:r w:rsidRPr="0049133F">
        <w:rPr>
          <w:rFonts w:ascii="宋体" w:eastAsia="宋体" w:hAnsi="Calibri" w:cs="宋体" w:hint="eastAsia"/>
          <w:kern w:val="0"/>
          <w:sz w:val="24"/>
        </w:rPr>
        <w:t>要理解幸福的含义和实质</w:t>
      </w:r>
      <w:r w:rsidRPr="0049133F">
        <w:rPr>
          <w:rFonts w:ascii="宋体" w:eastAsia="宋体" w:hAnsi="Calibri" w:cs="宋体"/>
          <w:kern w:val="0"/>
          <w:sz w:val="24"/>
        </w:rPr>
        <w:t>，</w:t>
      </w:r>
      <w:r w:rsidRPr="0049133F">
        <w:rPr>
          <w:rFonts w:ascii="宋体" w:eastAsia="宋体" w:hAnsi="Calibri" w:cs="宋体" w:hint="eastAsia"/>
          <w:kern w:val="0"/>
          <w:sz w:val="24"/>
        </w:rPr>
        <w:t>积极应对生活中的压力与挫折</w:t>
      </w:r>
      <w:r w:rsidRPr="0049133F">
        <w:rPr>
          <w:rFonts w:ascii="宋体" w:eastAsia="宋体" w:hAnsi="Calibri" w:cs="宋体" w:hint="eastAsia"/>
          <w:kern w:val="0"/>
          <w:sz w:val="24"/>
          <w:lang w:val="zh-CN"/>
        </w:rPr>
        <w:t>。在阅读过程中，学会分析课文的组织结构，抓住段落间的内在逻辑，辨别事实与观点的区别，培养批判性思考的能力；在学习听力过程中，学会通过分析题干和选项中的关键词预测对话及短文内容，增加听力选择的准确度</w:t>
      </w:r>
      <w:r w:rsidRPr="0049133F">
        <w:rPr>
          <w:rFonts w:ascii="宋体" w:eastAsia="宋体" w:hAnsi="Calibri" w:cs="宋体"/>
          <w:kern w:val="0"/>
          <w:sz w:val="24"/>
        </w:rPr>
        <w:t>。</w:t>
      </w:r>
    </w:p>
    <w:p w14:paraId="6E53374D"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rPr>
        <w:t xml:space="preserve">3. </w:t>
      </w:r>
      <w:r w:rsidRPr="0049133F">
        <w:rPr>
          <w:rFonts w:ascii="Calibri" w:eastAsia="宋体" w:hAnsi="Calibri" w:cs="Times New Roman"/>
          <w:kern w:val="0"/>
          <w:sz w:val="24"/>
          <w:lang w:val="zh-CN"/>
        </w:rPr>
        <w:t>情感、态度、价值观类目标：在</w:t>
      </w:r>
      <w:r w:rsidRPr="0049133F">
        <w:rPr>
          <w:rFonts w:ascii="Calibri" w:eastAsia="宋体" w:hAnsi="Calibri" w:cs="Times New Roman"/>
          <w:kern w:val="0"/>
          <w:sz w:val="24"/>
          <w:lang w:val="zh-CN"/>
        </w:rPr>
        <w:t>Text</w:t>
      </w:r>
      <w:r w:rsidRPr="0049133F">
        <w:rPr>
          <w:rFonts w:ascii="Calibri" w:eastAsia="宋体" w:hAnsi="Calibri" w:cs="Times New Roman"/>
          <w:kern w:val="0"/>
          <w:sz w:val="24"/>
        </w:rPr>
        <w:t xml:space="preserve"> </w:t>
      </w:r>
      <w:r w:rsidRPr="0049133F">
        <w:rPr>
          <w:rFonts w:ascii="Calibri" w:eastAsia="宋体" w:hAnsi="Calibri" w:cs="Times New Roman"/>
          <w:kern w:val="0"/>
          <w:sz w:val="24"/>
          <w:lang w:val="zh-CN"/>
        </w:rPr>
        <w:t>A</w:t>
      </w:r>
      <w:r w:rsidRPr="0049133F">
        <w:rPr>
          <w:rFonts w:ascii="Calibri" w:eastAsia="宋体" w:hAnsi="Calibri" w:cs="Times New Roman"/>
          <w:kern w:val="0"/>
          <w:sz w:val="24"/>
          <w:lang w:val="zh-CN"/>
        </w:rPr>
        <w:t>课文中，学生</w:t>
      </w:r>
      <w:r w:rsidRPr="0049133F">
        <w:rPr>
          <w:rFonts w:ascii="Calibri" w:eastAsia="宋体" w:hAnsi="Calibri" w:cs="Times New Roman" w:hint="eastAsia"/>
          <w:kern w:val="0"/>
          <w:sz w:val="24"/>
        </w:rPr>
        <w:t>要</w:t>
      </w:r>
      <w:r w:rsidRPr="0049133F">
        <w:rPr>
          <w:rFonts w:ascii="Calibri" w:eastAsia="宋体" w:hAnsi="Calibri" w:cs="Times New Roman"/>
          <w:kern w:val="0"/>
          <w:sz w:val="24"/>
          <w:lang w:val="zh-CN"/>
        </w:rPr>
        <w:t>了解什么是</w:t>
      </w:r>
      <w:r w:rsidRPr="0049133F">
        <w:rPr>
          <w:rFonts w:ascii="Calibri" w:eastAsia="宋体" w:hAnsi="Calibri" w:cs="Times New Roman"/>
          <w:kern w:val="0"/>
          <w:sz w:val="24"/>
        </w:rPr>
        <w:t>幸福。从海伦</w:t>
      </w:r>
      <w:r w:rsidRPr="0049133F">
        <w:rPr>
          <w:rFonts w:ascii="Calibri" w:eastAsia="宋体" w:hAnsi="Calibri" w:cs="Times New Roman"/>
          <w:kern w:val="0"/>
          <w:sz w:val="24"/>
        </w:rPr>
        <w:t>∙</w:t>
      </w:r>
      <w:proofErr w:type="gramStart"/>
      <w:r w:rsidRPr="0049133F">
        <w:rPr>
          <w:rFonts w:ascii="Calibri" w:eastAsia="宋体" w:hAnsi="Calibri" w:cs="Times New Roman"/>
          <w:kern w:val="0"/>
          <w:sz w:val="24"/>
        </w:rPr>
        <w:t>凯</w:t>
      </w:r>
      <w:proofErr w:type="gramEnd"/>
      <w:r w:rsidRPr="0049133F">
        <w:rPr>
          <w:rFonts w:ascii="Calibri" w:eastAsia="宋体" w:hAnsi="Calibri" w:cs="Times New Roman"/>
          <w:kern w:val="0"/>
          <w:sz w:val="24"/>
        </w:rPr>
        <w:t>勒的故事入手</w:t>
      </w:r>
      <w:r w:rsidRPr="0049133F">
        <w:rPr>
          <w:rFonts w:ascii="Calibri" w:eastAsia="宋体" w:hAnsi="Calibri" w:cs="Times New Roman"/>
          <w:kern w:val="0"/>
          <w:sz w:val="24"/>
          <w:lang w:val="zh-CN"/>
        </w:rPr>
        <w:t>，</w:t>
      </w:r>
      <w:r w:rsidRPr="0049133F">
        <w:rPr>
          <w:rFonts w:ascii="Calibri" w:eastAsia="宋体" w:hAnsi="Calibri" w:cs="Times New Roman"/>
          <w:kern w:val="0"/>
          <w:sz w:val="24"/>
        </w:rPr>
        <w:t>客观探讨幸福的定义及影响因素</w:t>
      </w:r>
      <w:r w:rsidRPr="0049133F">
        <w:rPr>
          <w:rFonts w:ascii="Calibri" w:eastAsia="宋体" w:hAnsi="Calibri" w:cs="Times New Roman"/>
          <w:kern w:val="0"/>
          <w:sz w:val="24"/>
          <w:lang w:val="zh-CN"/>
        </w:rPr>
        <w:t>，认识</w:t>
      </w:r>
      <w:r w:rsidRPr="0049133F">
        <w:rPr>
          <w:rFonts w:ascii="Calibri" w:eastAsia="宋体" w:hAnsi="Calibri" w:cs="Times New Roman"/>
          <w:kern w:val="0"/>
          <w:sz w:val="24"/>
        </w:rPr>
        <w:t>到在身陷困境时，人的主观能动性对于客观世界的积极作用。</w:t>
      </w:r>
      <w:r w:rsidRPr="0049133F">
        <w:rPr>
          <w:rFonts w:ascii="Calibri" w:eastAsia="宋体" w:hAnsi="Calibri" w:cs="Times New Roman"/>
          <w:sz w:val="24"/>
        </w:rPr>
        <w:t>培养学生积极向上、热爱生活的意识，</w:t>
      </w:r>
      <w:r w:rsidRPr="0049133F">
        <w:rPr>
          <w:rFonts w:ascii="Calibri" w:eastAsia="宋体" w:hAnsi="Calibri" w:cs="Times New Roman" w:hint="eastAsia"/>
          <w:sz w:val="24"/>
        </w:rPr>
        <w:t>塑造敢于奋斗、肯于吃苦、乐于奉献的精神</w:t>
      </w:r>
      <w:r w:rsidRPr="0049133F">
        <w:rPr>
          <w:rFonts w:ascii="Calibri" w:eastAsia="宋体" w:hAnsi="Calibri" w:cs="Times New Roman"/>
          <w:sz w:val="24"/>
        </w:rPr>
        <w:t>。</w:t>
      </w:r>
      <w:r w:rsidRPr="0049133F">
        <w:rPr>
          <w:rFonts w:ascii="Calibri" w:eastAsia="宋体" w:hAnsi="Calibri" w:cs="Times New Roman"/>
          <w:kern w:val="0"/>
          <w:sz w:val="24"/>
          <w:lang w:val="zh-CN"/>
        </w:rPr>
        <w:t>在</w:t>
      </w:r>
      <w:r w:rsidRPr="0049133F">
        <w:rPr>
          <w:rFonts w:ascii="Calibri" w:eastAsia="宋体" w:hAnsi="Calibri" w:cs="Times New Roman"/>
          <w:kern w:val="0"/>
          <w:sz w:val="24"/>
          <w:lang w:val="zh-CN"/>
        </w:rPr>
        <w:t>Text</w:t>
      </w:r>
      <w:r w:rsidRPr="0049133F">
        <w:rPr>
          <w:rFonts w:ascii="Calibri" w:eastAsia="宋体" w:hAnsi="Calibri" w:cs="Times New Roman"/>
          <w:kern w:val="0"/>
          <w:sz w:val="24"/>
        </w:rPr>
        <w:t xml:space="preserve"> </w:t>
      </w:r>
      <w:r w:rsidRPr="0049133F">
        <w:rPr>
          <w:rFonts w:ascii="Calibri" w:eastAsia="宋体" w:hAnsi="Calibri" w:cs="Times New Roman"/>
          <w:kern w:val="0"/>
          <w:sz w:val="24"/>
          <w:lang w:val="zh-CN"/>
        </w:rPr>
        <w:t>B</w:t>
      </w:r>
      <w:r w:rsidRPr="0049133F">
        <w:rPr>
          <w:rFonts w:ascii="Calibri" w:eastAsia="宋体" w:hAnsi="Calibri" w:cs="Times New Roman"/>
          <w:kern w:val="0"/>
          <w:sz w:val="24"/>
          <w:lang w:val="zh-CN"/>
        </w:rPr>
        <w:t>课文中，学生</w:t>
      </w:r>
      <w:r w:rsidRPr="0049133F">
        <w:rPr>
          <w:rFonts w:ascii="Calibri" w:eastAsia="宋体" w:hAnsi="Calibri" w:cs="Times New Roman" w:hint="eastAsia"/>
          <w:kern w:val="0"/>
          <w:sz w:val="24"/>
        </w:rPr>
        <w:t>需要</w:t>
      </w:r>
      <w:r w:rsidRPr="0049133F">
        <w:rPr>
          <w:rFonts w:ascii="Calibri" w:eastAsia="宋体" w:hAnsi="Calibri" w:cs="Times New Roman"/>
          <w:kern w:val="0"/>
          <w:sz w:val="24"/>
          <w:lang w:val="zh-CN"/>
        </w:rPr>
        <w:t>了解</w:t>
      </w:r>
      <w:r w:rsidRPr="0049133F">
        <w:rPr>
          <w:rFonts w:ascii="Calibri" w:eastAsia="宋体" w:hAnsi="Calibri" w:cs="Times New Roman"/>
          <w:kern w:val="0"/>
          <w:sz w:val="24"/>
        </w:rPr>
        <w:t>拖延症的存在及其成因和影响</w:t>
      </w:r>
      <w:r w:rsidRPr="0049133F">
        <w:rPr>
          <w:rFonts w:ascii="Calibri" w:eastAsia="宋体" w:hAnsi="Calibri" w:cs="Times New Roman"/>
          <w:kern w:val="0"/>
          <w:sz w:val="24"/>
          <w:lang w:val="zh-CN"/>
        </w:rPr>
        <w:t>，学会</w:t>
      </w:r>
      <w:r w:rsidRPr="0049133F">
        <w:rPr>
          <w:rFonts w:ascii="Calibri" w:eastAsia="宋体" w:hAnsi="Calibri" w:cs="Times New Roman"/>
          <w:kern w:val="0"/>
          <w:sz w:val="24"/>
        </w:rPr>
        <w:t>合理安排自己的学习与生活</w:t>
      </w:r>
      <w:r w:rsidRPr="0049133F">
        <w:rPr>
          <w:rFonts w:ascii="Calibri" w:eastAsia="宋体" w:hAnsi="Calibri" w:cs="Times New Roman"/>
          <w:kern w:val="0"/>
          <w:sz w:val="24"/>
          <w:lang w:val="zh-CN"/>
        </w:rPr>
        <w:t>，</w:t>
      </w:r>
      <w:r w:rsidRPr="0049133F">
        <w:rPr>
          <w:rFonts w:ascii="Calibri" w:eastAsia="宋体" w:hAnsi="Calibri" w:cs="Times New Roman"/>
          <w:sz w:val="24"/>
        </w:rPr>
        <w:t>增强</w:t>
      </w:r>
      <w:r w:rsidRPr="0049133F">
        <w:rPr>
          <w:rFonts w:ascii="Calibri" w:eastAsia="宋体" w:hAnsi="Calibri" w:cs="Times New Roman" w:hint="eastAsia"/>
          <w:sz w:val="24"/>
        </w:rPr>
        <w:t>对挫折的</w:t>
      </w:r>
      <w:r w:rsidRPr="0049133F">
        <w:rPr>
          <w:rFonts w:ascii="Calibri" w:eastAsia="宋体" w:hAnsi="Calibri" w:cs="Times New Roman"/>
          <w:sz w:val="24"/>
        </w:rPr>
        <w:t>抗压能力</w:t>
      </w:r>
      <w:r w:rsidRPr="0049133F">
        <w:rPr>
          <w:rFonts w:ascii="Calibri" w:eastAsia="宋体" w:hAnsi="Calibri" w:cs="Times New Roman" w:hint="eastAsia"/>
          <w:sz w:val="24"/>
        </w:rPr>
        <w:t>，积极面对生活和工作中出现的问题</w:t>
      </w:r>
      <w:r w:rsidRPr="0049133F">
        <w:rPr>
          <w:rFonts w:ascii="Calibri" w:eastAsia="宋体" w:hAnsi="Calibri" w:cs="Times New Roman"/>
          <w:kern w:val="0"/>
          <w:sz w:val="24"/>
        </w:rPr>
        <w:t>。</w:t>
      </w:r>
    </w:p>
    <w:p w14:paraId="097D6B41" w14:textId="77777777" w:rsidR="0049133F" w:rsidRPr="0049133F" w:rsidRDefault="0049133F" w:rsidP="0049133F">
      <w:pPr>
        <w:autoSpaceDE w:val="0"/>
        <w:autoSpaceDN w:val="0"/>
        <w:adjustRightInd w:val="0"/>
        <w:spacing w:line="360" w:lineRule="auto"/>
        <w:ind w:firstLineChars="200" w:firstLine="482"/>
        <w:rPr>
          <w:rFonts w:ascii="Calibri" w:eastAsia="宋体" w:hAnsi="Calibri" w:cs="Times New Roman"/>
          <w:b/>
          <w:bCs/>
          <w:kern w:val="0"/>
          <w:sz w:val="24"/>
        </w:rPr>
      </w:pPr>
      <w:r w:rsidRPr="0049133F">
        <w:rPr>
          <w:rFonts w:ascii="宋体" w:eastAsia="宋体" w:hAnsi="Calibri" w:cs="宋体" w:hint="eastAsia"/>
          <w:b/>
          <w:bCs/>
          <w:kern w:val="0"/>
          <w:sz w:val="24"/>
          <w:lang w:val="zh-CN"/>
        </w:rPr>
        <w:t>【学习内容】</w:t>
      </w:r>
    </w:p>
    <w:p w14:paraId="2B884DD8"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rPr>
        <w:t xml:space="preserve">1. </w:t>
      </w:r>
      <w:r w:rsidRPr="0049133F">
        <w:rPr>
          <w:rFonts w:ascii="Calibri" w:eastAsia="宋体" w:hAnsi="Calibri" w:cs="Times New Roman"/>
          <w:kern w:val="0"/>
          <w:sz w:val="24"/>
          <w:lang w:val="zh-CN"/>
        </w:rPr>
        <w:t>讨论并讲解与本单元主题</w:t>
      </w:r>
      <w:r w:rsidRPr="0049133F">
        <w:rPr>
          <w:rFonts w:ascii="Calibri" w:eastAsia="宋体" w:hAnsi="Calibri" w:cs="Times New Roman"/>
          <w:kern w:val="0"/>
          <w:sz w:val="24"/>
        </w:rPr>
        <w:t>“</w:t>
      </w:r>
      <w:r w:rsidRPr="0049133F">
        <w:rPr>
          <w:rFonts w:ascii="Calibri" w:eastAsia="宋体" w:hAnsi="Calibri" w:cs="Times New Roman"/>
          <w:iCs/>
          <w:kern w:val="0"/>
          <w:sz w:val="24"/>
        </w:rPr>
        <w:t>Stress and Happiness</w:t>
      </w:r>
      <w:r w:rsidRPr="0049133F">
        <w:rPr>
          <w:rFonts w:ascii="Calibri" w:eastAsia="宋体" w:hAnsi="Calibri" w:cs="Times New Roman"/>
          <w:kern w:val="0"/>
          <w:sz w:val="24"/>
        </w:rPr>
        <w:t>”</w:t>
      </w:r>
      <w:r w:rsidRPr="0049133F">
        <w:rPr>
          <w:rFonts w:ascii="Calibri" w:eastAsia="宋体" w:hAnsi="Calibri" w:cs="Times New Roman"/>
          <w:kern w:val="0"/>
          <w:sz w:val="24"/>
          <w:lang w:val="zh-CN"/>
        </w:rPr>
        <w:t>相关的背景知识</w:t>
      </w:r>
      <w:r w:rsidRPr="0049133F">
        <w:rPr>
          <w:rFonts w:ascii="Calibri" w:eastAsia="宋体" w:hAnsi="Calibri" w:cs="Times New Roman"/>
          <w:kern w:val="0"/>
          <w:sz w:val="24"/>
        </w:rPr>
        <w:t>，</w:t>
      </w:r>
      <w:r w:rsidRPr="0049133F">
        <w:rPr>
          <w:rFonts w:ascii="Calibri" w:eastAsia="宋体" w:hAnsi="Calibri" w:cs="Times New Roman"/>
          <w:kern w:val="0"/>
          <w:sz w:val="24"/>
          <w:lang w:val="zh-CN"/>
        </w:rPr>
        <w:t>例如</w:t>
      </w:r>
      <w:r w:rsidRPr="0049133F">
        <w:rPr>
          <w:rFonts w:ascii="Calibri" w:eastAsia="宋体" w:hAnsi="Calibri" w:cs="Times New Roman"/>
          <w:kern w:val="0"/>
          <w:sz w:val="24"/>
        </w:rPr>
        <w:t>：了解并讨论海伦</w:t>
      </w:r>
      <w:r w:rsidRPr="0049133F">
        <w:rPr>
          <w:rFonts w:ascii="Calibri" w:eastAsia="宋体" w:hAnsi="Calibri" w:cs="Times New Roman"/>
          <w:kern w:val="0"/>
          <w:sz w:val="24"/>
        </w:rPr>
        <w:t>∙</w:t>
      </w:r>
      <w:proofErr w:type="gramStart"/>
      <w:r w:rsidRPr="0049133F">
        <w:rPr>
          <w:rFonts w:ascii="Calibri" w:eastAsia="宋体" w:hAnsi="Calibri" w:cs="Times New Roman"/>
          <w:kern w:val="0"/>
          <w:sz w:val="24"/>
        </w:rPr>
        <w:t>凯</w:t>
      </w:r>
      <w:proofErr w:type="gramEnd"/>
      <w:r w:rsidRPr="0049133F">
        <w:rPr>
          <w:rFonts w:ascii="Calibri" w:eastAsia="宋体" w:hAnsi="Calibri" w:cs="Times New Roman"/>
          <w:kern w:val="0"/>
          <w:sz w:val="24"/>
        </w:rPr>
        <w:t>勒的人生经历。</w:t>
      </w:r>
    </w:p>
    <w:p w14:paraId="271F17E9"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rPr>
        <w:t xml:space="preserve">2. </w:t>
      </w:r>
      <w:r w:rsidRPr="0049133F">
        <w:rPr>
          <w:rFonts w:ascii="Calibri" w:eastAsia="宋体" w:hAnsi="Calibri" w:cs="Times New Roman"/>
          <w:kern w:val="0"/>
          <w:sz w:val="24"/>
          <w:lang w:val="zh-CN"/>
        </w:rPr>
        <w:t>详细讲解</w:t>
      </w:r>
      <w:r w:rsidRPr="0049133F">
        <w:rPr>
          <w:rFonts w:ascii="Calibri" w:eastAsia="宋体" w:hAnsi="Calibri" w:cs="Times New Roman"/>
          <w:kern w:val="0"/>
          <w:sz w:val="24"/>
        </w:rPr>
        <w:t xml:space="preserve">Text A </w:t>
      </w:r>
      <w:r w:rsidRPr="0049133F">
        <w:rPr>
          <w:rFonts w:ascii="Calibri" w:eastAsia="宋体" w:hAnsi="Calibri" w:cs="Times New Roman"/>
          <w:i/>
          <w:iCs/>
          <w:kern w:val="0"/>
          <w:sz w:val="24"/>
        </w:rPr>
        <w:t xml:space="preserve">Defining Happiness </w:t>
      </w:r>
      <w:r w:rsidRPr="0049133F">
        <w:rPr>
          <w:rFonts w:ascii="Calibri" w:eastAsia="宋体" w:hAnsi="Calibri" w:cs="Times New Roman"/>
          <w:kern w:val="0"/>
          <w:sz w:val="24"/>
          <w:lang w:val="zh-CN"/>
        </w:rPr>
        <w:t>单词和词组的用法</w:t>
      </w:r>
      <w:r w:rsidRPr="0049133F">
        <w:rPr>
          <w:rFonts w:ascii="Calibri" w:eastAsia="宋体" w:hAnsi="Calibri" w:cs="Times New Roman"/>
          <w:kern w:val="0"/>
          <w:sz w:val="24"/>
        </w:rPr>
        <w:t>，</w:t>
      </w:r>
      <w:r w:rsidRPr="0049133F">
        <w:rPr>
          <w:rFonts w:ascii="Calibri" w:eastAsia="宋体" w:hAnsi="Calibri" w:cs="Times New Roman"/>
          <w:kern w:val="0"/>
          <w:sz w:val="24"/>
        </w:rPr>
        <w:t>Text A</w:t>
      </w:r>
      <w:r w:rsidRPr="0049133F">
        <w:rPr>
          <w:rFonts w:ascii="Calibri" w:eastAsia="宋体" w:hAnsi="Calibri" w:cs="Times New Roman"/>
          <w:kern w:val="0"/>
          <w:sz w:val="24"/>
          <w:lang w:val="zh-CN"/>
        </w:rPr>
        <w:t>有关的语言背景知识</w:t>
      </w:r>
      <w:r w:rsidRPr="0049133F">
        <w:rPr>
          <w:rFonts w:ascii="Calibri" w:eastAsia="宋体" w:hAnsi="Calibri" w:cs="Times New Roman"/>
          <w:kern w:val="0"/>
          <w:sz w:val="24"/>
        </w:rPr>
        <w:t>，</w:t>
      </w:r>
      <w:r w:rsidRPr="0049133F">
        <w:rPr>
          <w:rFonts w:ascii="Calibri" w:eastAsia="宋体" w:hAnsi="Calibri" w:cs="Times New Roman"/>
          <w:kern w:val="0"/>
          <w:sz w:val="24"/>
          <w:lang w:val="zh-CN"/>
        </w:rPr>
        <w:t>及课文分析</w:t>
      </w:r>
      <w:r w:rsidRPr="0049133F">
        <w:rPr>
          <w:rFonts w:ascii="Calibri" w:eastAsia="宋体" w:hAnsi="Calibri" w:cs="Times New Roman"/>
          <w:kern w:val="0"/>
          <w:sz w:val="24"/>
        </w:rPr>
        <w:t>。</w:t>
      </w:r>
    </w:p>
    <w:p w14:paraId="6EE50136"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rPr>
        <w:t xml:space="preserve">3. </w:t>
      </w:r>
      <w:r w:rsidRPr="0049133F">
        <w:rPr>
          <w:rFonts w:ascii="Calibri" w:eastAsia="宋体" w:hAnsi="Calibri" w:cs="Times New Roman"/>
          <w:kern w:val="0"/>
          <w:sz w:val="24"/>
          <w:lang w:val="zh-CN"/>
        </w:rPr>
        <w:t>通过快速阅读的方式学习</w:t>
      </w:r>
      <w:r w:rsidRPr="0049133F">
        <w:rPr>
          <w:rFonts w:ascii="Calibri" w:eastAsia="宋体" w:hAnsi="Calibri" w:cs="Times New Roman"/>
          <w:kern w:val="0"/>
          <w:sz w:val="24"/>
        </w:rPr>
        <w:t xml:space="preserve">Text B </w:t>
      </w:r>
      <w:r w:rsidRPr="0049133F">
        <w:rPr>
          <w:rFonts w:ascii="Calibri" w:eastAsia="宋体" w:hAnsi="Calibri" w:cs="Times New Roman"/>
          <w:i/>
          <w:iCs/>
          <w:kern w:val="0"/>
          <w:sz w:val="24"/>
        </w:rPr>
        <w:t>My Life as a Procrastinator</w:t>
      </w:r>
      <w:r w:rsidRPr="0049133F">
        <w:rPr>
          <w:rFonts w:ascii="Calibri" w:eastAsia="宋体" w:hAnsi="Calibri" w:cs="Times New Roman"/>
          <w:kern w:val="0"/>
          <w:sz w:val="24"/>
          <w:lang w:val="zh-CN"/>
        </w:rPr>
        <w:t>了解文章结构</w:t>
      </w:r>
      <w:r w:rsidRPr="0049133F">
        <w:rPr>
          <w:rFonts w:ascii="Calibri" w:eastAsia="宋体" w:hAnsi="Calibri" w:cs="Times New Roman"/>
          <w:kern w:val="0"/>
          <w:sz w:val="24"/>
        </w:rPr>
        <w:t>，</w:t>
      </w:r>
      <w:r w:rsidRPr="0049133F">
        <w:rPr>
          <w:rFonts w:ascii="Calibri" w:eastAsia="宋体" w:hAnsi="Calibri" w:cs="Times New Roman"/>
          <w:kern w:val="0"/>
          <w:sz w:val="24"/>
          <w:lang w:val="zh-CN"/>
        </w:rPr>
        <w:t>把握文章主题</w:t>
      </w:r>
      <w:r w:rsidRPr="0049133F">
        <w:rPr>
          <w:rFonts w:ascii="Calibri" w:eastAsia="宋体" w:hAnsi="Calibri" w:cs="Times New Roman"/>
          <w:kern w:val="0"/>
          <w:sz w:val="24"/>
        </w:rPr>
        <w:t>。</w:t>
      </w:r>
    </w:p>
    <w:p w14:paraId="626C5DF7"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rPr>
        <w:t xml:space="preserve">4. </w:t>
      </w:r>
      <w:r w:rsidRPr="0049133F">
        <w:rPr>
          <w:rFonts w:ascii="Calibri" w:eastAsia="宋体" w:hAnsi="Calibri" w:cs="Times New Roman"/>
          <w:kern w:val="0"/>
          <w:sz w:val="24"/>
        </w:rPr>
        <w:t>在线</w:t>
      </w:r>
      <w:r w:rsidRPr="0049133F">
        <w:rPr>
          <w:rFonts w:ascii="Calibri" w:eastAsia="宋体" w:hAnsi="Calibri" w:cs="Times New Roman"/>
          <w:kern w:val="0"/>
          <w:sz w:val="24"/>
          <w:lang w:val="zh-CN"/>
        </w:rPr>
        <w:t>完成配套教材视听说中的内容</w:t>
      </w:r>
      <w:r w:rsidRPr="0049133F">
        <w:rPr>
          <w:rFonts w:ascii="Calibri" w:eastAsia="宋体" w:hAnsi="Calibri" w:cs="Times New Roman"/>
          <w:kern w:val="0"/>
          <w:sz w:val="24"/>
        </w:rPr>
        <w:t>。</w:t>
      </w:r>
    </w:p>
    <w:p w14:paraId="725DB58D"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lang w:val="zh-CN"/>
        </w:rPr>
        <w:t xml:space="preserve">5. </w:t>
      </w:r>
      <w:r w:rsidRPr="0049133F">
        <w:rPr>
          <w:rFonts w:ascii="Calibri" w:eastAsia="宋体" w:hAnsi="Calibri" w:cs="Times New Roman"/>
          <w:kern w:val="0"/>
          <w:sz w:val="24"/>
          <w:lang w:val="zh-CN"/>
        </w:rPr>
        <w:t>练习过程中讲解重点词汇和重点短语的搭配以及阅读技巧</w:t>
      </w:r>
      <w:r w:rsidRPr="0049133F">
        <w:rPr>
          <w:rFonts w:ascii="Calibri" w:eastAsia="宋体" w:hAnsi="Calibri" w:cs="Times New Roman"/>
          <w:kern w:val="0"/>
          <w:sz w:val="24"/>
        </w:rPr>
        <w:t>。</w:t>
      </w:r>
    </w:p>
    <w:p w14:paraId="100AE6D9"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6. </w:t>
      </w:r>
      <w:proofErr w:type="gramStart"/>
      <w:r w:rsidRPr="0049133F">
        <w:rPr>
          <w:rFonts w:ascii="Calibri" w:eastAsia="宋体" w:hAnsi="Calibri" w:cs="Times New Roman"/>
          <w:sz w:val="24"/>
        </w:rPr>
        <w:t>思政元素</w:t>
      </w:r>
      <w:proofErr w:type="gramEnd"/>
      <w:r w:rsidRPr="0049133F">
        <w:rPr>
          <w:rFonts w:ascii="Calibri" w:eastAsia="宋体" w:hAnsi="Calibri" w:cs="Times New Roman"/>
          <w:sz w:val="24"/>
        </w:rPr>
        <w:t>：引导学生树立正确的人生观、价值观，客观定义什么是幸福，学会正确认识自己，成熟看待生活中遇到的困难。培养学生积极乐观、热爱生活</w:t>
      </w:r>
      <w:r w:rsidRPr="0049133F">
        <w:rPr>
          <w:rFonts w:ascii="Calibri" w:eastAsia="宋体" w:hAnsi="Calibri" w:cs="Times New Roman" w:hint="eastAsia"/>
          <w:sz w:val="24"/>
        </w:rPr>
        <w:t>、</w:t>
      </w:r>
      <w:r w:rsidRPr="0049133F">
        <w:rPr>
          <w:rFonts w:ascii="Calibri" w:eastAsia="宋体" w:hAnsi="Calibri" w:cs="Times New Roman"/>
          <w:sz w:val="24"/>
        </w:rPr>
        <w:t>勇于奋</w:t>
      </w:r>
      <w:r w:rsidRPr="0049133F">
        <w:rPr>
          <w:rFonts w:ascii="Calibri" w:eastAsia="宋体" w:hAnsi="Calibri" w:cs="Times New Roman" w:hint="eastAsia"/>
          <w:sz w:val="24"/>
        </w:rPr>
        <w:t>斗、乐于奉献</w:t>
      </w:r>
      <w:r w:rsidRPr="0049133F">
        <w:rPr>
          <w:rFonts w:ascii="Calibri" w:eastAsia="宋体" w:hAnsi="Calibri" w:cs="Times New Roman"/>
          <w:sz w:val="24"/>
        </w:rPr>
        <w:t>的精神。</w:t>
      </w:r>
    </w:p>
    <w:p w14:paraId="0D46D9CB" w14:textId="77777777" w:rsidR="0049133F" w:rsidRPr="0049133F" w:rsidRDefault="0049133F" w:rsidP="0049133F">
      <w:pPr>
        <w:autoSpaceDE w:val="0"/>
        <w:autoSpaceDN w:val="0"/>
        <w:adjustRightInd w:val="0"/>
        <w:spacing w:line="360" w:lineRule="auto"/>
        <w:ind w:firstLine="482"/>
        <w:rPr>
          <w:rFonts w:ascii="Calibri" w:eastAsia="宋体" w:hAnsi="Calibri" w:cs="Times New Roman"/>
          <w:b/>
          <w:bCs/>
          <w:kern w:val="0"/>
          <w:sz w:val="24"/>
        </w:rPr>
      </w:pPr>
      <w:r w:rsidRPr="0049133F">
        <w:rPr>
          <w:rFonts w:ascii="Calibri" w:eastAsia="宋体" w:hAnsi="Calibri" w:cs="Times New Roman" w:hint="eastAsia"/>
          <w:b/>
          <w:bCs/>
          <w:kern w:val="0"/>
          <w:sz w:val="24"/>
          <w:lang w:val="zh-CN"/>
        </w:rPr>
        <w:lastRenderedPageBreak/>
        <w:t>【重点】</w:t>
      </w:r>
    </w:p>
    <w:p w14:paraId="721DF4BE"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rPr>
        <w:t>1.“that”</w:t>
      </w:r>
      <w:r w:rsidRPr="0049133F">
        <w:rPr>
          <w:rFonts w:ascii="Calibri" w:eastAsia="宋体" w:hAnsi="Calibri" w:cs="Times New Roman"/>
          <w:kern w:val="0"/>
          <w:sz w:val="24"/>
        </w:rPr>
        <w:t>引导的同位语从句等句型及</w:t>
      </w:r>
      <w:r w:rsidRPr="0049133F">
        <w:rPr>
          <w:rFonts w:ascii="Calibri" w:eastAsia="宋体" w:hAnsi="Calibri" w:cs="Times New Roman"/>
          <w:kern w:val="0"/>
          <w:sz w:val="24"/>
          <w:lang w:val="zh-CN"/>
        </w:rPr>
        <w:t>重点单词、短语</w:t>
      </w:r>
      <w:r w:rsidRPr="0049133F">
        <w:rPr>
          <w:rFonts w:ascii="Calibri" w:eastAsia="宋体" w:hAnsi="Calibri" w:cs="Times New Roman"/>
          <w:kern w:val="0"/>
          <w:sz w:val="24"/>
        </w:rPr>
        <w:t>。</w:t>
      </w:r>
    </w:p>
    <w:p w14:paraId="02431F7A"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rPr>
        <w:t xml:space="preserve">2. </w:t>
      </w:r>
      <w:r w:rsidRPr="0049133F">
        <w:rPr>
          <w:rFonts w:ascii="Calibri" w:eastAsia="宋体" w:hAnsi="Calibri" w:cs="Times New Roman"/>
          <w:kern w:val="0"/>
          <w:sz w:val="24"/>
          <w:lang w:val="zh-CN"/>
        </w:rPr>
        <w:t>文章整体的组织结构</w:t>
      </w:r>
      <w:r w:rsidRPr="0049133F">
        <w:rPr>
          <w:rFonts w:ascii="Calibri" w:eastAsia="宋体" w:hAnsi="Calibri" w:cs="Times New Roman"/>
          <w:kern w:val="0"/>
          <w:sz w:val="24"/>
        </w:rPr>
        <w:t>。</w:t>
      </w:r>
    </w:p>
    <w:p w14:paraId="641B47EF"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rPr>
        <w:t xml:space="preserve">3. </w:t>
      </w:r>
      <w:r w:rsidRPr="0049133F">
        <w:rPr>
          <w:rFonts w:ascii="Calibri" w:eastAsia="宋体" w:hAnsi="Calibri" w:cs="Times New Roman"/>
          <w:kern w:val="0"/>
          <w:sz w:val="24"/>
          <w:lang w:val="zh-CN"/>
        </w:rPr>
        <w:t>听力中分析题干和选项中的关键词预测对话及短文内容</w:t>
      </w:r>
      <w:r w:rsidRPr="0049133F">
        <w:rPr>
          <w:rFonts w:ascii="Calibri" w:eastAsia="宋体" w:hAnsi="Calibri" w:cs="Times New Roman"/>
          <w:kern w:val="0"/>
          <w:sz w:val="24"/>
        </w:rPr>
        <w:t>。</w:t>
      </w:r>
    </w:p>
    <w:p w14:paraId="05A39A02"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lang w:val="zh-CN"/>
        </w:rPr>
        <w:t xml:space="preserve">4. </w:t>
      </w:r>
      <w:r w:rsidRPr="0049133F">
        <w:rPr>
          <w:rFonts w:ascii="Calibri" w:eastAsia="宋体" w:hAnsi="Calibri" w:cs="Times New Roman"/>
          <w:kern w:val="0"/>
          <w:sz w:val="24"/>
          <w:lang w:val="zh-CN"/>
        </w:rPr>
        <w:t>阅读技巧的学习。</w:t>
      </w:r>
    </w:p>
    <w:p w14:paraId="705804B5" w14:textId="77777777" w:rsidR="0049133F" w:rsidRPr="0049133F" w:rsidRDefault="0049133F" w:rsidP="0049133F">
      <w:pPr>
        <w:autoSpaceDE w:val="0"/>
        <w:autoSpaceDN w:val="0"/>
        <w:adjustRightInd w:val="0"/>
        <w:spacing w:line="360" w:lineRule="auto"/>
        <w:ind w:firstLine="482"/>
        <w:rPr>
          <w:rFonts w:ascii="Calibri" w:eastAsia="宋体" w:hAnsi="Calibri" w:cs="Times New Roman"/>
          <w:b/>
          <w:bCs/>
          <w:kern w:val="0"/>
          <w:sz w:val="24"/>
        </w:rPr>
      </w:pPr>
      <w:r w:rsidRPr="0049133F">
        <w:rPr>
          <w:rFonts w:ascii="Calibri" w:eastAsia="宋体" w:hAnsi="Calibri" w:cs="Times New Roman"/>
          <w:b/>
          <w:bCs/>
          <w:kern w:val="0"/>
          <w:sz w:val="24"/>
          <w:lang w:val="zh-CN"/>
        </w:rPr>
        <w:t>【难点】</w:t>
      </w:r>
    </w:p>
    <w:p w14:paraId="7BB9869E"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rPr>
        <w:t xml:space="preserve">1. </w:t>
      </w:r>
      <w:r w:rsidRPr="0049133F">
        <w:rPr>
          <w:rFonts w:ascii="Calibri" w:eastAsia="宋体" w:hAnsi="Calibri" w:cs="Times New Roman" w:hint="eastAsia"/>
          <w:kern w:val="0"/>
          <w:sz w:val="24"/>
          <w:lang w:val="zh-CN"/>
        </w:rPr>
        <w:t>课文重点单词、短语和句型</w:t>
      </w:r>
      <w:r w:rsidRPr="0049133F">
        <w:rPr>
          <w:rFonts w:ascii="Calibri" w:eastAsia="宋体" w:hAnsi="Calibri" w:cs="Times New Roman"/>
          <w:kern w:val="0"/>
          <w:sz w:val="24"/>
        </w:rPr>
        <w:t>。</w:t>
      </w:r>
    </w:p>
    <w:p w14:paraId="176E46C6"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rPr>
        <w:t xml:space="preserve">2. </w:t>
      </w:r>
      <w:r w:rsidRPr="0049133F">
        <w:rPr>
          <w:rFonts w:ascii="Calibri" w:eastAsia="宋体" w:hAnsi="Calibri" w:cs="Times New Roman" w:hint="eastAsia"/>
          <w:kern w:val="0"/>
          <w:sz w:val="24"/>
          <w:lang w:val="zh-CN"/>
        </w:rPr>
        <w:t>听力中分析题干和选项中的关键词预测对话及短文内容</w:t>
      </w:r>
      <w:r w:rsidRPr="0049133F">
        <w:rPr>
          <w:rFonts w:ascii="Calibri" w:eastAsia="宋体" w:hAnsi="Calibri" w:cs="Times New Roman"/>
          <w:kern w:val="0"/>
          <w:sz w:val="24"/>
        </w:rPr>
        <w:t>。</w:t>
      </w:r>
    </w:p>
    <w:p w14:paraId="7C9DD8A4"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lang w:val="zh-CN"/>
        </w:rPr>
        <w:t xml:space="preserve">3. </w:t>
      </w:r>
      <w:r w:rsidRPr="0049133F">
        <w:rPr>
          <w:rFonts w:ascii="Calibri" w:eastAsia="宋体" w:hAnsi="Calibri" w:cs="Times New Roman" w:hint="eastAsia"/>
          <w:kern w:val="0"/>
          <w:sz w:val="24"/>
          <w:lang w:val="zh-CN"/>
        </w:rPr>
        <w:t>阅读技巧：</w:t>
      </w:r>
      <w:r w:rsidRPr="0049133F">
        <w:rPr>
          <w:rFonts w:ascii="Calibri" w:eastAsia="宋体" w:hAnsi="Calibri" w:cs="Times New Roman" w:hint="eastAsia"/>
          <w:kern w:val="0"/>
          <w:sz w:val="24"/>
        </w:rPr>
        <w:t>区分事实和观点</w:t>
      </w:r>
      <w:r w:rsidRPr="0049133F">
        <w:rPr>
          <w:rFonts w:ascii="Calibri" w:eastAsia="宋体" w:hAnsi="Calibri" w:cs="Times New Roman" w:hint="eastAsia"/>
          <w:kern w:val="0"/>
          <w:sz w:val="24"/>
          <w:lang w:val="zh-CN"/>
        </w:rPr>
        <w:t>。</w:t>
      </w:r>
    </w:p>
    <w:p w14:paraId="4E8D0D0E" w14:textId="77777777" w:rsidR="0049133F" w:rsidRPr="0049133F" w:rsidRDefault="0049133F" w:rsidP="0049133F">
      <w:pPr>
        <w:autoSpaceDE w:val="0"/>
        <w:autoSpaceDN w:val="0"/>
        <w:adjustRightInd w:val="0"/>
        <w:spacing w:line="360" w:lineRule="auto"/>
        <w:ind w:firstLine="482"/>
        <w:rPr>
          <w:rFonts w:ascii="Calibri" w:eastAsia="宋体" w:hAnsi="Calibri" w:cs="Times New Roman"/>
          <w:kern w:val="0"/>
          <w:sz w:val="24"/>
        </w:rPr>
      </w:pPr>
      <w:r w:rsidRPr="0049133F">
        <w:rPr>
          <w:rFonts w:ascii="Calibri" w:eastAsia="宋体" w:hAnsi="Calibri" w:cs="Times New Roman" w:hint="eastAsia"/>
          <w:b/>
          <w:bCs/>
          <w:kern w:val="0"/>
          <w:sz w:val="24"/>
          <w:lang w:val="zh-CN"/>
        </w:rPr>
        <w:t>【教学方法】</w:t>
      </w:r>
    </w:p>
    <w:p w14:paraId="143AA722"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rPr>
        <w:t xml:space="preserve">1. </w:t>
      </w:r>
      <w:r w:rsidRPr="0049133F">
        <w:rPr>
          <w:rFonts w:ascii="Calibri" w:eastAsia="宋体" w:hAnsi="Calibri" w:cs="Times New Roman" w:hint="eastAsia"/>
          <w:kern w:val="0"/>
          <w:sz w:val="24"/>
          <w:lang w:val="zh-CN"/>
        </w:rPr>
        <w:t>讲授法：通过课堂讲解，使学生了解</w:t>
      </w:r>
      <w:r w:rsidRPr="0049133F">
        <w:rPr>
          <w:rFonts w:ascii="Calibri" w:eastAsia="宋体" w:hAnsi="Calibri" w:cs="Times New Roman" w:hint="eastAsia"/>
          <w:kern w:val="0"/>
          <w:sz w:val="24"/>
        </w:rPr>
        <w:t>人们看待幸福的不同观点</w:t>
      </w:r>
      <w:r w:rsidRPr="0049133F">
        <w:rPr>
          <w:rFonts w:ascii="Calibri" w:eastAsia="宋体" w:hAnsi="Calibri" w:cs="Times New Roman"/>
          <w:kern w:val="0"/>
          <w:sz w:val="24"/>
        </w:rPr>
        <w:t>，</w:t>
      </w:r>
      <w:r w:rsidRPr="0049133F">
        <w:rPr>
          <w:rFonts w:ascii="Calibri" w:eastAsia="宋体" w:hAnsi="Calibri" w:cs="Times New Roman" w:hint="eastAsia"/>
          <w:kern w:val="0"/>
          <w:sz w:val="24"/>
          <w:lang w:val="zh-CN"/>
        </w:rPr>
        <w:t>以及两篇课文中的重点词汇和句型，</w:t>
      </w:r>
      <w:r w:rsidRPr="0049133F">
        <w:rPr>
          <w:rFonts w:ascii="宋体" w:eastAsia="宋体" w:hAnsi="宋体" w:cs="Times New Roman" w:hint="eastAsia"/>
          <w:sz w:val="24"/>
        </w:rPr>
        <w:t>帮助学生增长专业知识；</w:t>
      </w:r>
      <w:r w:rsidRPr="0049133F">
        <w:rPr>
          <w:rFonts w:ascii="Calibri" w:eastAsia="宋体" w:hAnsi="Calibri" w:cs="Times New Roman" w:hint="eastAsia"/>
          <w:kern w:val="0"/>
          <w:sz w:val="24"/>
          <w:lang w:val="zh-CN"/>
        </w:rPr>
        <w:t>讲解</w:t>
      </w:r>
      <w:r w:rsidRPr="0049133F">
        <w:rPr>
          <w:rFonts w:ascii="Calibri" w:eastAsia="宋体" w:hAnsi="Calibri" w:cs="Times New Roman" w:hint="eastAsia"/>
          <w:kern w:val="0"/>
          <w:sz w:val="24"/>
        </w:rPr>
        <w:t>压力的诱因</w:t>
      </w:r>
      <w:r w:rsidRPr="0049133F">
        <w:rPr>
          <w:rFonts w:ascii="Calibri" w:eastAsia="宋体" w:hAnsi="Calibri" w:cs="Times New Roman"/>
          <w:kern w:val="0"/>
          <w:sz w:val="24"/>
        </w:rPr>
        <w:t>，</w:t>
      </w:r>
      <w:r w:rsidRPr="0049133F">
        <w:rPr>
          <w:rFonts w:ascii="Calibri" w:eastAsia="宋体" w:hAnsi="Calibri" w:cs="Times New Roman" w:hint="eastAsia"/>
          <w:kern w:val="0"/>
          <w:sz w:val="24"/>
        </w:rPr>
        <w:t>及其积极和消极两方面的不同影响</w:t>
      </w:r>
      <w:r w:rsidRPr="0049133F">
        <w:rPr>
          <w:rFonts w:ascii="Calibri" w:eastAsia="宋体" w:hAnsi="Calibri" w:cs="Times New Roman" w:hint="eastAsia"/>
          <w:kern w:val="0"/>
          <w:sz w:val="24"/>
          <w:lang w:val="zh-CN"/>
        </w:rPr>
        <w:t>，引导学生讨论如何</w:t>
      </w:r>
      <w:r w:rsidRPr="0049133F">
        <w:rPr>
          <w:rFonts w:ascii="Calibri" w:eastAsia="宋体" w:hAnsi="Calibri" w:cs="Times New Roman" w:hint="eastAsia"/>
          <w:kern w:val="0"/>
          <w:sz w:val="24"/>
        </w:rPr>
        <w:t>应对压力</w:t>
      </w:r>
      <w:r w:rsidRPr="0049133F">
        <w:rPr>
          <w:rFonts w:ascii="Calibri" w:eastAsia="宋体" w:hAnsi="Calibri" w:cs="Times New Roman" w:hint="eastAsia"/>
          <w:kern w:val="0"/>
          <w:sz w:val="24"/>
          <w:lang w:val="zh-CN"/>
        </w:rPr>
        <w:t>，如何</w:t>
      </w:r>
      <w:r w:rsidRPr="0049133F">
        <w:rPr>
          <w:rFonts w:ascii="Calibri" w:eastAsia="宋体" w:hAnsi="Calibri" w:cs="Times New Roman" w:hint="eastAsia"/>
          <w:kern w:val="0"/>
          <w:sz w:val="24"/>
        </w:rPr>
        <w:t>通过改变认知获得幸福感</w:t>
      </w:r>
      <w:r w:rsidRPr="0049133F">
        <w:rPr>
          <w:rFonts w:ascii="Calibri" w:eastAsia="宋体" w:hAnsi="Calibri" w:cs="Times New Roman"/>
          <w:kern w:val="0"/>
          <w:sz w:val="24"/>
        </w:rPr>
        <w:t>。</w:t>
      </w:r>
      <w:r w:rsidRPr="0049133F">
        <w:rPr>
          <w:rFonts w:ascii="Calibri" w:eastAsia="宋体" w:hAnsi="Calibri" w:cs="Times New Roman"/>
          <w:kern w:val="0"/>
          <w:sz w:val="24"/>
        </w:rPr>
        <w:t xml:space="preserve"> </w:t>
      </w:r>
    </w:p>
    <w:p w14:paraId="292A7D0C"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rPr>
        <w:t xml:space="preserve">2. </w:t>
      </w:r>
      <w:r w:rsidRPr="0049133F">
        <w:rPr>
          <w:rFonts w:ascii="Calibri" w:eastAsia="宋体" w:hAnsi="Calibri" w:cs="Times New Roman" w:hint="eastAsia"/>
          <w:sz w:val="24"/>
        </w:rPr>
        <w:t>小组讨论法：分小组划分文章的段落结构，概括段落大意，并由学生讲解，这有利于培养学生的合作能力和口语表达能力，发挥学生学习的自觉性与主动性；通过海伦</w:t>
      </w:r>
      <w:r w:rsidRPr="0049133F">
        <w:rPr>
          <w:rFonts w:ascii="Arial" w:eastAsia="宋体" w:hAnsi="Arial" w:cs="Arial"/>
          <w:sz w:val="24"/>
        </w:rPr>
        <w:t>∙</w:t>
      </w:r>
      <w:proofErr w:type="gramStart"/>
      <w:r w:rsidRPr="0049133F">
        <w:rPr>
          <w:rFonts w:ascii="Calibri" w:eastAsia="宋体" w:hAnsi="Calibri" w:cs="Times New Roman" w:hint="eastAsia"/>
          <w:sz w:val="24"/>
        </w:rPr>
        <w:t>凯勒故事</w:t>
      </w:r>
      <w:proofErr w:type="gramEnd"/>
      <w:r w:rsidRPr="0049133F">
        <w:rPr>
          <w:rFonts w:ascii="Calibri" w:eastAsia="宋体" w:hAnsi="Calibri" w:cs="Times New Roman" w:hint="eastAsia"/>
          <w:sz w:val="24"/>
        </w:rPr>
        <w:t>讨论当厄运降临己身</w:t>
      </w:r>
      <w:r w:rsidRPr="0049133F">
        <w:rPr>
          <w:rFonts w:ascii="Calibri" w:eastAsia="宋体" w:hAnsi="Calibri" w:cs="Times New Roman"/>
          <w:sz w:val="24"/>
        </w:rPr>
        <w:t>，</w:t>
      </w:r>
      <w:r w:rsidRPr="0049133F">
        <w:rPr>
          <w:rFonts w:ascii="Calibri" w:eastAsia="宋体" w:hAnsi="Calibri" w:cs="Times New Roman" w:hint="eastAsia"/>
          <w:sz w:val="24"/>
        </w:rPr>
        <w:t>生活会发生怎样的变化以及可能的处理方式</w:t>
      </w:r>
      <w:r w:rsidRPr="0049133F">
        <w:rPr>
          <w:rFonts w:ascii="Calibri" w:eastAsia="宋体" w:hAnsi="Calibri" w:cs="Times New Roman"/>
          <w:sz w:val="24"/>
        </w:rPr>
        <w:t>。</w:t>
      </w:r>
      <w:r w:rsidRPr="0049133F">
        <w:rPr>
          <w:rFonts w:ascii="Calibri" w:eastAsia="宋体" w:hAnsi="Calibri" w:cs="Times New Roman" w:hint="eastAsia"/>
          <w:sz w:val="24"/>
        </w:rPr>
        <w:t>结合课文内容分析影响幸福的多种因素和个人在追求幸福时可以做出的努力，培养学生热爱生活、不惧挑战的意识，增强学生处理消极情绪的能力。</w:t>
      </w:r>
    </w:p>
    <w:p w14:paraId="5E0C09F4"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lang w:val="zh-CN"/>
        </w:rPr>
      </w:pPr>
      <w:r w:rsidRPr="0049133F">
        <w:rPr>
          <w:rFonts w:ascii="Calibri" w:eastAsia="宋体" w:hAnsi="Calibri" w:cs="Times New Roman"/>
          <w:kern w:val="0"/>
          <w:sz w:val="24"/>
        </w:rPr>
        <w:t xml:space="preserve">3. </w:t>
      </w:r>
      <w:r w:rsidRPr="0049133F">
        <w:rPr>
          <w:rFonts w:ascii="Calibri" w:eastAsia="宋体" w:hAnsi="Calibri" w:cs="Times New Roman" w:hint="eastAsia"/>
          <w:kern w:val="0"/>
          <w:sz w:val="24"/>
          <w:lang w:val="zh-CN"/>
        </w:rPr>
        <w:t>自主学习法：讲解通过</w:t>
      </w:r>
      <w:r w:rsidRPr="0049133F">
        <w:rPr>
          <w:rFonts w:ascii="Calibri" w:eastAsia="宋体" w:hAnsi="Calibri" w:cs="Times New Roman" w:hint="eastAsia"/>
          <w:kern w:val="0"/>
          <w:sz w:val="24"/>
        </w:rPr>
        <w:t>意</w:t>
      </w:r>
      <w:proofErr w:type="gramStart"/>
      <w:r w:rsidRPr="0049133F">
        <w:rPr>
          <w:rFonts w:ascii="Calibri" w:eastAsia="宋体" w:hAnsi="Calibri" w:cs="Times New Roman" w:hint="eastAsia"/>
          <w:kern w:val="0"/>
          <w:sz w:val="24"/>
        </w:rPr>
        <w:t>群快速</w:t>
      </w:r>
      <w:proofErr w:type="gramEnd"/>
      <w:r w:rsidRPr="0049133F">
        <w:rPr>
          <w:rFonts w:ascii="Calibri" w:eastAsia="宋体" w:hAnsi="Calibri" w:cs="Times New Roman" w:hint="eastAsia"/>
          <w:kern w:val="0"/>
          <w:sz w:val="24"/>
        </w:rPr>
        <w:t>理解和记忆</w:t>
      </w:r>
      <w:r w:rsidRPr="0049133F">
        <w:rPr>
          <w:rFonts w:ascii="Calibri" w:eastAsia="宋体" w:hAnsi="Calibri" w:cs="Times New Roman" w:hint="eastAsia"/>
          <w:kern w:val="0"/>
          <w:sz w:val="24"/>
          <w:lang w:val="zh-CN"/>
        </w:rPr>
        <w:t>对话及短文内容，</w:t>
      </w:r>
      <w:r w:rsidRPr="0049133F">
        <w:rPr>
          <w:rFonts w:ascii="Calibri" w:eastAsia="宋体" w:hAnsi="Calibri" w:cs="Times New Roman" w:hint="eastAsia"/>
          <w:kern w:val="0"/>
          <w:sz w:val="24"/>
        </w:rPr>
        <w:t>增强学生对听力材料的熟悉度</w:t>
      </w:r>
      <w:r w:rsidRPr="0049133F">
        <w:rPr>
          <w:rFonts w:ascii="Calibri" w:eastAsia="宋体" w:hAnsi="Calibri" w:cs="Times New Roman" w:hint="eastAsia"/>
          <w:kern w:val="0"/>
          <w:sz w:val="24"/>
          <w:lang w:val="zh-CN"/>
        </w:rPr>
        <w:t>，让学生自主完成听力部分的练习。</w:t>
      </w:r>
    </w:p>
    <w:p w14:paraId="0EE6B241"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kern w:val="0"/>
          <w:sz w:val="24"/>
        </w:rPr>
        <w:t>4.</w:t>
      </w:r>
      <w:r w:rsidRPr="0049133F">
        <w:rPr>
          <w:rFonts w:ascii="Calibri" w:eastAsia="宋体" w:hAnsi="Calibri" w:cs="Times New Roman"/>
          <w:bCs/>
          <w:kern w:val="0"/>
          <w:sz w:val="24"/>
        </w:rPr>
        <w:t xml:space="preserve"> </w:t>
      </w:r>
      <w:r w:rsidRPr="0049133F">
        <w:rPr>
          <w:rFonts w:ascii="Calibri" w:eastAsia="宋体" w:hAnsi="Calibri" w:cs="Times New Roman" w:hint="eastAsia"/>
          <w:bCs/>
          <w:sz w:val="24"/>
        </w:rPr>
        <w:t>混合式教学法</w:t>
      </w:r>
      <w:r w:rsidRPr="0049133F">
        <w:rPr>
          <w:rFonts w:ascii="Calibri" w:eastAsia="宋体" w:hAnsi="Calibri" w:cs="Times New Roman" w:hint="eastAsia"/>
          <w:kern w:val="0"/>
          <w:sz w:val="24"/>
          <w:lang w:val="zh-CN"/>
        </w:rPr>
        <w:t>：让学生在学习通平台上</w:t>
      </w:r>
      <w:proofErr w:type="gramStart"/>
      <w:r w:rsidRPr="0049133F">
        <w:rPr>
          <w:rFonts w:ascii="Calibri" w:eastAsia="宋体" w:hAnsi="Calibri" w:cs="Times New Roman" w:hint="eastAsia"/>
          <w:kern w:val="0"/>
          <w:sz w:val="24"/>
          <w:lang w:val="zh-CN"/>
        </w:rPr>
        <w:t>观看录课视频</w:t>
      </w:r>
      <w:proofErr w:type="gramEnd"/>
      <w:r w:rsidRPr="0049133F">
        <w:rPr>
          <w:rFonts w:ascii="Calibri" w:eastAsia="宋体" w:hAnsi="Calibri" w:cs="Times New Roman" w:hint="eastAsia"/>
          <w:kern w:val="0"/>
          <w:sz w:val="24"/>
          <w:lang w:val="zh-CN"/>
        </w:rPr>
        <w:t>，</w:t>
      </w:r>
      <w:r w:rsidRPr="0049133F">
        <w:rPr>
          <w:rFonts w:ascii="Calibri" w:eastAsia="宋体" w:hAnsi="Calibri" w:cs="Times New Roman" w:hint="eastAsia"/>
          <w:kern w:val="0"/>
          <w:sz w:val="24"/>
        </w:rPr>
        <w:t>结合生活实际</w:t>
      </w:r>
      <w:r w:rsidRPr="0049133F">
        <w:rPr>
          <w:rFonts w:ascii="Calibri" w:eastAsia="宋体" w:hAnsi="Calibri" w:cs="Times New Roman" w:hint="eastAsia"/>
          <w:kern w:val="0"/>
          <w:sz w:val="24"/>
          <w:lang w:val="zh-CN"/>
        </w:rPr>
        <w:t>分小组研究</w:t>
      </w:r>
      <w:r w:rsidRPr="0049133F">
        <w:rPr>
          <w:rFonts w:ascii="Calibri" w:eastAsia="宋体" w:hAnsi="Calibri" w:cs="Times New Roman" w:hint="eastAsia"/>
          <w:kern w:val="0"/>
          <w:sz w:val="24"/>
        </w:rPr>
        <w:t>课文中所给观点的合理性和存在的分歧点</w:t>
      </w:r>
      <w:r w:rsidRPr="0049133F">
        <w:rPr>
          <w:rFonts w:ascii="Calibri" w:eastAsia="宋体" w:hAnsi="Calibri" w:cs="Times New Roman"/>
          <w:kern w:val="0"/>
          <w:sz w:val="24"/>
        </w:rPr>
        <w:t>，</w:t>
      </w:r>
      <w:r w:rsidRPr="0049133F">
        <w:rPr>
          <w:rFonts w:ascii="Calibri" w:eastAsia="宋体" w:hAnsi="Calibri" w:cs="Times New Roman" w:hint="eastAsia"/>
          <w:kern w:val="0"/>
          <w:sz w:val="24"/>
        </w:rPr>
        <w:t>讨论并整理出生活中常见的压力</w:t>
      </w:r>
      <w:r w:rsidRPr="0049133F">
        <w:rPr>
          <w:rFonts w:ascii="Calibri" w:eastAsia="宋体" w:hAnsi="Calibri" w:cs="Times New Roman" w:hint="eastAsia"/>
          <w:kern w:val="0"/>
          <w:sz w:val="24"/>
          <w:lang w:val="zh-CN"/>
        </w:rPr>
        <w:t>，</w:t>
      </w:r>
      <w:r w:rsidRPr="0049133F">
        <w:rPr>
          <w:rFonts w:ascii="Calibri" w:eastAsia="宋体" w:hAnsi="Calibri" w:cs="Times New Roman" w:hint="eastAsia"/>
          <w:kern w:val="0"/>
          <w:sz w:val="24"/>
        </w:rPr>
        <w:t>拖延者的特征和拖延症的利弊</w:t>
      </w:r>
      <w:r w:rsidRPr="0049133F">
        <w:rPr>
          <w:rFonts w:ascii="Calibri" w:eastAsia="宋体" w:hAnsi="Calibri" w:cs="Times New Roman" w:hint="eastAsia"/>
          <w:kern w:val="0"/>
          <w:sz w:val="24"/>
          <w:lang w:val="zh-CN"/>
        </w:rPr>
        <w:t>，</w:t>
      </w:r>
      <w:r w:rsidRPr="0049133F">
        <w:rPr>
          <w:rFonts w:ascii="Calibri" w:eastAsia="宋体" w:hAnsi="Calibri" w:cs="Times New Roman" w:hint="eastAsia"/>
          <w:kern w:val="0"/>
          <w:sz w:val="24"/>
        </w:rPr>
        <w:t>以及获得幸福的途径</w:t>
      </w:r>
      <w:r w:rsidRPr="0049133F">
        <w:rPr>
          <w:rFonts w:ascii="Calibri" w:eastAsia="宋体" w:hAnsi="Calibri" w:cs="Times New Roman" w:hint="eastAsia"/>
          <w:kern w:val="0"/>
          <w:sz w:val="24"/>
          <w:lang w:val="zh-CN"/>
        </w:rPr>
        <w:t>，并派代表进行成果展示，</w:t>
      </w:r>
      <w:r w:rsidRPr="0049133F">
        <w:rPr>
          <w:rFonts w:ascii="Calibri" w:eastAsia="宋体" w:hAnsi="Calibri" w:cs="Times New Roman" w:hint="eastAsia"/>
          <w:sz w:val="24"/>
        </w:rPr>
        <w:t>培养学生的沟通能力以及思辨能力。</w:t>
      </w:r>
    </w:p>
    <w:p w14:paraId="43512E92" w14:textId="77777777" w:rsidR="0049133F" w:rsidRPr="0049133F" w:rsidRDefault="0049133F" w:rsidP="0049133F">
      <w:pPr>
        <w:autoSpaceDE w:val="0"/>
        <w:autoSpaceDN w:val="0"/>
        <w:adjustRightInd w:val="0"/>
        <w:spacing w:line="360" w:lineRule="auto"/>
        <w:ind w:firstLine="482"/>
        <w:rPr>
          <w:rFonts w:ascii="Calibri" w:eastAsia="宋体" w:hAnsi="Calibri" w:cs="Times New Roman"/>
          <w:kern w:val="0"/>
          <w:sz w:val="24"/>
        </w:rPr>
      </w:pPr>
      <w:r w:rsidRPr="0049133F">
        <w:rPr>
          <w:rFonts w:ascii="Calibri" w:eastAsia="宋体" w:hAnsi="Calibri" w:cs="Times New Roman" w:hint="eastAsia"/>
          <w:b/>
          <w:bCs/>
          <w:kern w:val="0"/>
          <w:sz w:val="24"/>
          <w:lang w:val="zh-CN"/>
        </w:rPr>
        <w:t>【复习思考】</w:t>
      </w:r>
    </w:p>
    <w:p w14:paraId="1C747168"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rPr>
        <w:t xml:space="preserve">1. </w:t>
      </w:r>
      <w:r w:rsidRPr="0049133F">
        <w:rPr>
          <w:rFonts w:ascii="Calibri" w:eastAsia="宋体" w:hAnsi="Calibri" w:cs="Times New Roman" w:hint="eastAsia"/>
          <w:kern w:val="0"/>
          <w:sz w:val="24"/>
          <w:lang w:val="zh-CN"/>
        </w:rPr>
        <w:t>思考</w:t>
      </w:r>
      <w:r w:rsidRPr="0049133F">
        <w:rPr>
          <w:rFonts w:ascii="Calibri" w:eastAsia="宋体" w:hAnsi="Calibri" w:cs="Times New Roman" w:hint="eastAsia"/>
          <w:kern w:val="0"/>
          <w:sz w:val="24"/>
        </w:rPr>
        <w:t>生活中遇到的困难与挑战</w:t>
      </w:r>
      <w:r w:rsidRPr="0049133F">
        <w:rPr>
          <w:rFonts w:ascii="Calibri" w:eastAsia="宋体" w:hAnsi="Calibri" w:cs="Times New Roman" w:hint="eastAsia"/>
          <w:kern w:val="0"/>
          <w:sz w:val="24"/>
          <w:lang w:val="zh-CN"/>
        </w:rPr>
        <w:t>，使学生明白</w:t>
      </w:r>
      <w:r w:rsidRPr="0049133F">
        <w:rPr>
          <w:rFonts w:ascii="Calibri" w:eastAsia="宋体" w:hAnsi="Calibri" w:cs="Times New Roman" w:hint="eastAsia"/>
          <w:kern w:val="0"/>
          <w:sz w:val="24"/>
        </w:rPr>
        <w:t>人生并非一帆风顺</w:t>
      </w:r>
      <w:r w:rsidRPr="0049133F">
        <w:rPr>
          <w:rFonts w:ascii="Calibri" w:eastAsia="宋体" w:hAnsi="Calibri" w:cs="Times New Roman" w:hint="eastAsia"/>
          <w:kern w:val="0"/>
          <w:sz w:val="24"/>
          <w:lang w:val="zh-CN"/>
        </w:rPr>
        <w:t>，</w:t>
      </w:r>
      <w:r w:rsidRPr="0049133F">
        <w:rPr>
          <w:rFonts w:ascii="Calibri" w:eastAsia="宋体" w:hAnsi="Calibri" w:cs="Times New Roman" w:hint="eastAsia"/>
          <w:kern w:val="0"/>
          <w:sz w:val="24"/>
        </w:rPr>
        <w:t>应以积极乐观的心态和恰当的方式追求幸福</w:t>
      </w:r>
      <w:r w:rsidRPr="0049133F">
        <w:rPr>
          <w:rFonts w:ascii="Calibri" w:eastAsia="宋体" w:hAnsi="Calibri" w:cs="Times New Roman"/>
          <w:kern w:val="0"/>
          <w:sz w:val="24"/>
        </w:rPr>
        <w:t>。</w:t>
      </w:r>
    </w:p>
    <w:p w14:paraId="3A2F5881"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kern w:val="0"/>
          <w:sz w:val="24"/>
        </w:rPr>
        <w:t xml:space="preserve">2. </w:t>
      </w:r>
      <w:r w:rsidRPr="0049133F">
        <w:rPr>
          <w:rFonts w:ascii="Calibri" w:eastAsia="宋体" w:hAnsi="Calibri" w:cs="Times New Roman" w:hint="eastAsia"/>
          <w:kern w:val="0"/>
          <w:sz w:val="24"/>
        </w:rPr>
        <w:t>思考压力的类型</w:t>
      </w:r>
      <w:r w:rsidRPr="0049133F">
        <w:rPr>
          <w:rFonts w:ascii="Calibri" w:eastAsia="宋体" w:hAnsi="Calibri" w:cs="Times New Roman"/>
          <w:kern w:val="0"/>
          <w:sz w:val="24"/>
        </w:rPr>
        <w:t>、</w:t>
      </w:r>
      <w:r w:rsidRPr="0049133F">
        <w:rPr>
          <w:rFonts w:ascii="Calibri" w:eastAsia="宋体" w:hAnsi="Calibri" w:cs="Times New Roman" w:hint="eastAsia"/>
          <w:kern w:val="0"/>
          <w:sz w:val="24"/>
        </w:rPr>
        <w:t>成因和解决办法，增强学生抗压能力和获取幸福的能力。</w:t>
      </w:r>
    </w:p>
    <w:p w14:paraId="45632FC5" w14:textId="77777777" w:rsidR="0049133F" w:rsidRPr="0049133F" w:rsidRDefault="0049133F" w:rsidP="0049133F">
      <w:pPr>
        <w:autoSpaceDE w:val="0"/>
        <w:autoSpaceDN w:val="0"/>
        <w:adjustRightInd w:val="0"/>
        <w:spacing w:line="360" w:lineRule="auto"/>
        <w:ind w:firstLine="480"/>
        <w:rPr>
          <w:rFonts w:ascii="Calibri" w:eastAsia="宋体" w:hAnsi="Calibri" w:cs="Times New Roman"/>
          <w:kern w:val="0"/>
          <w:sz w:val="24"/>
        </w:rPr>
      </w:pPr>
      <w:r w:rsidRPr="0049133F">
        <w:rPr>
          <w:rFonts w:ascii="Calibri" w:eastAsia="宋体" w:hAnsi="Calibri" w:cs="Times New Roman" w:hint="eastAsia"/>
          <w:kern w:val="0"/>
          <w:sz w:val="24"/>
        </w:rPr>
        <w:t xml:space="preserve">3. </w:t>
      </w:r>
      <w:r w:rsidRPr="0049133F">
        <w:rPr>
          <w:rFonts w:ascii="Calibri" w:eastAsia="宋体" w:hAnsi="Calibri" w:cs="Times New Roman" w:hint="eastAsia"/>
          <w:kern w:val="0"/>
          <w:sz w:val="24"/>
        </w:rPr>
        <w:t>思考如何把职业压力转化为奋斗动力，快乐工作、幸福生活。</w:t>
      </w:r>
    </w:p>
    <w:p w14:paraId="092C696B" w14:textId="77777777" w:rsidR="0049133F" w:rsidRPr="0049133F" w:rsidRDefault="0049133F" w:rsidP="0049133F">
      <w:pPr>
        <w:autoSpaceDE w:val="0"/>
        <w:autoSpaceDN w:val="0"/>
        <w:adjustRightInd w:val="0"/>
        <w:spacing w:line="440" w:lineRule="atLeast"/>
        <w:rPr>
          <w:rFonts w:ascii="Calibri" w:eastAsia="宋体" w:hAnsi="Calibri" w:cs="Times New Roman"/>
          <w:kern w:val="0"/>
          <w:sz w:val="24"/>
        </w:rPr>
      </w:pPr>
    </w:p>
    <w:p w14:paraId="07D4E0FA" w14:textId="77777777" w:rsidR="0049133F" w:rsidRPr="0049133F" w:rsidRDefault="0049133F" w:rsidP="0049133F">
      <w:pPr>
        <w:spacing w:line="440" w:lineRule="exact"/>
        <w:ind w:firstLineChars="500" w:firstLine="1405"/>
        <w:rPr>
          <w:rFonts w:ascii="Calibri" w:eastAsia="黑体" w:hAnsi="Calibri" w:cs="Times New Roman"/>
          <w:b/>
          <w:sz w:val="28"/>
          <w:szCs w:val="28"/>
          <w:highlight w:val="yellow"/>
        </w:rPr>
      </w:pPr>
      <w:r w:rsidRPr="0049133F">
        <w:rPr>
          <w:rFonts w:ascii="Calibri" w:eastAsia="黑体" w:hAnsi="Calibri" w:cs="Times New Roman"/>
          <w:b/>
          <w:sz w:val="28"/>
          <w:szCs w:val="28"/>
        </w:rPr>
        <w:t xml:space="preserve">Unit </w:t>
      </w:r>
      <w:proofErr w:type="gramStart"/>
      <w:r w:rsidRPr="0049133F">
        <w:rPr>
          <w:rFonts w:ascii="Calibri" w:eastAsia="黑体" w:hAnsi="Calibri" w:cs="Times New Roman"/>
          <w:b/>
          <w:sz w:val="28"/>
          <w:szCs w:val="28"/>
        </w:rPr>
        <w:t xml:space="preserve">6 </w:t>
      </w:r>
      <w:r w:rsidRPr="0049133F">
        <w:rPr>
          <w:rFonts w:ascii="Calibri" w:eastAsia="黑体" w:hAnsi="Calibri" w:cs="Times New Roman" w:hint="eastAsia"/>
          <w:b/>
          <w:sz w:val="28"/>
          <w:szCs w:val="28"/>
        </w:rPr>
        <w:t xml:space="preserve"> </w:t>
      </w:r>
      <w:r w:rsidRPr="0049133F">
        <w:rPr>
          <w:rFonts w:ascii="Calibri" w:eastAsia="黑体" w:hAnsi="Calibri" w:cs="Times New Roman"/>
          <w:b/>
          <w:sz w:val="28"/>
          <w:szCs w:val="28"/>
        </w:rPr>
        <w:t>Harmony</w:t>
      </w:r>
      <w:proofErr w:type="gramEnd"/>
      <w:r w:rsidRPr="0049133F">
        <w:rPr>
          <w:rFonts w:ascii="Calibri" w:eastAsia="黑体" w:hAnsi="Calibri" w:cs="Times New Roman"/>
          <w:b/>
          <w:sz w:val="28"/>
          <w:szCs w:val="28"/>
        </w:rPr>
        <w:t xml:space="preserve"> between Humanity and Nature</w:t>
      </w:r>
    </w:p>
    <w:p w14:paraId="0CC785A7" w14:textId="77777777" w:rsidR="0049133F" w:rsidRPr="0049133F" w:rsidRDefault="0049133F" w:rsidP="0049133F">
      <w:pPr>
        <w:spacing w:line="360" w:lineRule="auto"/>
        <w:rPr>
          <w:rFonts w:ascii="宋体" w:eastAsia="宋体" w:hAnsi="宋体" w:cs="Times New Roman"/>
          <w:b/>
          <w:sz w:val="24"/>
        </w:rPr>
      </w:pPr>
      <w:r w:rsidRPr="0049133F">
        <w:rPr>
          <w:rFonts w:ascii="宋体" w:eastAsia="宋体" w:hAnsi="宋体" w:cs="Times New Roman" w:hint="eastAsia"/>
          <w:b/>
          <w:sz w:val="24"/>
        </w:rPr>
        <w:t>【学习目标】</w:t>
      </w:r>
    </w:p>
    <w:p w14:paraId="5D5F1F4C"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 </w:t>
      </w:r>
      <w:r w:rsidRPr="0049133F">
        <w:rPr>
          <w:rFonts w:ascii="Calibri" w:eastAsia="宋体" w:hAnsi="宋体" w:cs="Times New Roman" w:hint="eastAsia"/>
          <w:sz w:val="24"/>
        </w:rPr>
        <w:t>认知类目标：掌握本单元中关于人与自然关系描述的重点词汇、短语和句型；能够阅读人与自然相关主题的文章，准确把握文章细节，听懂人与自然关系的新闻和演讲，正确掌握信息的内容。</w:t>
      </w:r>
    </w:p>
    <w:p w14:paraId="25409954"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2. </w:t>
      </w:r>
      <w:r w:rsidRPr="0049133F">
        <w:rPr>
          <w:rFonts w:ascii="Calibri" w:eastAsia="宋体" w:hAnsi="宋体" w:cs="Times New Roman" w:hint="eastAsia"/>
          <w:sz w:val="24"/>
        </w:rPr>
        <w:t>过程与方法类目标：学生在阅读过程中，能够快速准确找到文章主旨，识别作者的主要观点，并且能够从篇章层面上把握文章的结构和文体，以及作者使用的连贯和衔接手段，同时会分析文章的细节内容；在学习听力过程中，学会识别新闻、对话和篇章中的细节方面的信息，并能以此做出推理和判断说话人的意图，正确定位所听内容的关键点。</w:t>
      </w:r>
    </w:p>
    <w:p w14:paraId="3A46E283" w14:textId="77777777" w:rsidR="0049133F" w:rsidRPr="0049133F" w:rsidRDefault="0049133F" w:rsidP="0049133F">
      <w:pPr>
        <w:spacing w:line="360" w:lineRule="auto"/>
        <w:ind w:firstLineChars="200" w:firstLine="480"/>
        <w:rPr>
          <w:rFonts w:ascii="宋体" w:eastAsia="宋体" w:hAnsi="宋体" w:cs="Times New Roman"/>
          <w:sz w:val="24"/>
        </w:rPr>
      </w:pPr>
      <w:r w:rsidRPr="0049133F">
        <w:rPr>
          <w:rFonts w:ascii="Calibri" w:eastAsia="宋体" w:hAnsi="Calibri" w:cs="Times New Roman"/>
          <w:sz w:val="24"/>
        </w:rPr>
        <w:t xml:space="preserve">3. </w:t>
      </w:r>
      <w:r w:rsidRPr="0049133F">
        <w:rPr>
          <w:rFonts w:ascii="宋体" w:eastAsia="宋体" w:hAnsi="宋体" w:cs="Times New Roman" w:hint="eastAsia"/>
          <w:sz w:val="24"/>
        </w:rPr>
        <w:t>情感、态度、价值观类目标：学生需要了解</w:t>
      </w:r>
      <w:r w:rsidRPr="0049133F">
        <w:rPr>
          <w:rFonts w:ascii="宋体" w:eastAsia="宋体" w:hAnsi="宋体" w:cs="Times New Roman"/>
          <w:sz w:val="24"/>
        </w:rPr>
        <w:t>保护生态环境与产业发展之间的关系</w:t>
      </w:r>
      <w:r w:rsidRPr="0049133F">
        <w:rPr>
          <w:rFonts w:ascii="宋体" w:eastAsia="宋体" w:hAnsi="宋体" w:cs="Times New Roman" w:hint="eastAsia"/>
          <w:sz w:val="24"/>
        </w:rPr>
        <w:t>，强调人与自然息息相关、和谐共生，</w:t>
      </w:r>
      <w:r w:rsidRPr="0049133F">
        <w:rPr>
          <w:rFonts w:ascii="宋体" w:eastAsia="宋体" w:hAnsi="宋体" w:cs="Times New Roman"/>
          <w:sz w:val="24"/>
        </w:rPr>
        <w:t>从生态的角度看待经济发展</w:t>
      </w:r>
      <w:r w:rsidRPr="0049133F">
        <w:rPr>
          <w:rFonts w:ascii="宋体" w:eastAsia="宋体" w:hAnsi="宋体" w:cs="Times New Roman" w:hint="eastAsia"/>
          <w:sz w:val="24"/>
        </w:rPr>
        <w:t>。同时，学生要知道保护自然环境，从小事做起，贡献自己的一份力量。</w:t>
      </w:r>
    </w:p>
    <w:p w14:paraId="4C6CA1DE" w14:textId="77777777" w:rsidR="0049133F" w:rsidRPr="0049133F" w:rsidRDefault="0049133F" w:rsidP="0049133F">
      <w:pPr>
        <w:spacing w:line="360" w:lineRule="auto"/>
        <w:ind w:firstLineChars="200" w:firstLine="482"/>
        <w:rPr>
          <w:rFonts w:ascii="宋体" w:eastAsia="宋体" w:hAnsi="宋体" w:cs="Times New Roman"/>
          <w:b/>
          <w:sz w:val="24"/>
        </w:rPr>
      </w:pPr>
      <w:r w:rsidRPr="0049133F">
        <w:rPr>
          <w:rFonts w:ascii="宋体" w:eastAsia="宋体" w:hAnsi="宋体" w:cs="Times New Roman" w:hint="eastAsia"/>
          <w:b/>
          <w:sz w:val="24"/>
        </w:rPr>
        <w:t>【学习内容】</w:t>
      </w:r>
    </w:p>
    <w:p w14:paraId="7E8A9929"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1.</w:t>
      </w:r>
      <w:r w:rsidRPr="0049133F">
        <w:rPr>
          <w:rFonts w:ascii="Calibri" w:eastAsia="宋体" w:hAnsi="Calibri" w:cs="Times New Roman"/>
          <w:sz w:val="24"/>
        </w:rPr>
        <w:t>讨论并讲解与本单元主题</w:t>
      </w:r>
      <w:r w:rsidRPr="0049133F">
        <w:rPr>
          <w:rFonts w:ascii="Calibri" w:eastAsia="宋体" w:hAnsi="Calibri" w:cs="Times New Roman"/>
          <w:sz w:val="24"/>
        </w:rPr>
        <w:t>“</w:t>
      </w:r>
      <w:bookmarkStart w:id="42" w:name="OLE_LINK10"/>
      <w:r w:rsidRPr="0049133F">
        <w:rPr>
          <w:rFonts w:ascii="Calibri" w:eastAsia="黑体" w:hAnsi="Calibri" w:cs="Times New Roman"/>
          <w:sz w:val="24"/>
        </w:rPr>
        <w:t>Harmony between Humanity and Nature</w:t>
      </w:r>
      <w:bookmarkEnd w:id="42"/>
      <w:r w:rsidRPr="0049133F">
        <w:rPr>
          <w:rFonts w:ascii="Calibri" w:eastAsia="宋体" w:hAnsi="Calibri" w:cs="Times New Roman"/>
          <w:sz w:val="24"/>
        </w:rPr>
        <w:t>”</w:t>
      </w:r>
      <w:r w:rsidRPr="0049133F">
        <w:rPr>
          <w:rFonts w:ascii="Calibri" w:eastAsia="宋体" w:hAnsi="Calibri" w:cs="Times New Roman"/>
          <w:sz w:val="24"/>
        </w:rPr>
        <w:t>相关的背景知识，例如：</w:t>
      </w:r>
      <w:r w:rsidRPr="0049133F">
        <w:rPr>
          <w:rFonts w:ascii="Calibri" w:eastAsia="宋体" w:hAnsi="Calibri" w:cs="Times New Roman" w:hint="eastAsia"/>
          <w:sz w:val="24"/>
        </w:rPr>
        <w:t>经济发展中如何保持自然环境与产业发展的和谐关系</w:t>
      </w:r>
      <w:r w:rsidRPr="0049133F">
        <w:rPr>
          <w:rFonts w:ascii="Calibri" w:eastAsia="宋体" w:hAnsi="Calibri" w:cs="Times New Roman"/>
          <w:sz w:val="24"/>
        </w:rPr>
        <w:t>等；</w:t>
      </w:r>
    </w:p>
    <w:p w14:paraId="2622C018"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2.</w:t>
      </w:r>
      <w:r w:rsidRPr="0049133F">
        <w:rPr>
          <w:rFonts w:ascii="Calibri" w:eastAsia="宋体" w:hAnsi="Calibri" w:cs="Times New Roman"/>
          <w:sz w:val="24"/>
        </w:rPr>
        <w:t>详细讲解</w:t>
      </w:r>
      <w:r w:rsidRPr="0049133F">
        <w:rPr>
          <w:rFonts w:ascii="Calibri" w:eastAsia="宋体" w:hAnsi="Calibri" w:cs="Times New Roman"/>
          <w:sz w:val="24"/>
        </w:rPr>
        <w:t xml:space="preserve">Text A </w:t>
      </w:r>
      <w:r w:rsidRPr="0049133F">
        <w:rPr>
          <w:rFonts w:ascii="Calibri" w:eastAsia="宋体" w:hAnsi="Calibri" w:cs="Times New Roman"/>
          <w:i/>
          <w:iCs/>
          <w:sz w:val="24"/>
        </w:rPr>
        <w:t>There</w:t>
      </w:r>
      <w:proofErr w:type="gramStart"/>
      <w:r w:rsidRPr="0049133F">
        <w:rPr>
          <w:rFonts w:ascii="Calibri" w:eastAsia="宋体" w:hAnsi="Calibri" w:cs="Times New Roman"/>
          <w:i/>
          <w:iCs/>
          <w:sz w:val="24"/>
        </w:rPr>
        <w:t>’</w:t>
      </w:r>
      <w:proofErr w:type="gramEnd"/>
      <w:r w:rsidRPr="0049133F">
        <w:rPr>
          <w:rFonts w:ascii="Calibri" w:eastAsia="宋体" w:hAnsi="Calibri" w:cs="Times New Roman"/>
          <w:i/>
          <w:iCs/>
          <w:sz w:val="24"/>
        </w:rPr>
        <w:t>s No Reason to Eat Animals</w:t>
      </w:r>
      <w:r w:rsidRPr="0049133F">
        <w:rPr>
          <w:rFonts w:ascii="Calibri" w:eastAsia="宋体" w:hAnsi="Calibri" w:cs="Times New Roman"/>
          <w:sz w:val="24"/>
        </w:rPr>
        <w:t>单词和词组的用法，</w:t>
      </w:r>
      <w:r w:rsidRPr="0049133F">
        <w:rPr>
          <w:rFonts w:ascii="Calibri" w:eastAsia="宋体" w:hAnsi="Calibri" w:cs="Times New Roman"/>
          <w:sz w:val="24"/>
        </w:rPr>
        <w:t>Text A</w:t>
      </w:r>
      <w:r w:rsidRPr="0049133F">
        <w:rPr>
          <w:rFonts w:ascii="Calibri" w:eastAsia="宋体" w:hAnsi="Calibri" w:cs="Times New Roman"/>
          <w:sz w:val="24"/>
        </w:rPr>
        <w:t>有关的语言背景知识，及课文分析；</w:t>
      </w:r>
    </w:p>
    <w:p w14:paraId="1E30187C"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3.</w:t>
      </w:r>
      <w:r w:rsidRPr="0049133F">
        <w:rPr>
          <w:rFonts w:ascii="Calibri" w:eastAsia="宋体" w:hAnsi="Calibri" w:cs="Times New Roman"/>
          <w:sz w:val="24"/>
        </w:rPr>
        <w:t>通过快速阅读的方式学习</w:t>
      </w:r>
      <w:r w:rsidRPr="0049133F">
        <w:rPr>
          <w:rFonts w:ascii="Calibri" w:eastAsia="宋体" w:hAnsi="Calibri" w:cs="Times New Roman"/>
          <w:sz w:val="24"/>
        </w:rPr>
        <w:t>Text</w:t>
      </w:r>
      <w:r w:rsidRPr="0049133F">
        <w:rPr>
          <w:rFonts w:ascii="Calibri" w:eastAsia="宋体" w:hAnsi="Calibri" w:cs="Times New Roman" w:hint="eastAsia"/>
          <w:sz w:val="24"/>
        </w:rPr>
        <w:t xml:space="preserve"> </w:t>
      </w:r>
      <w:r w:rsidRPr="0049133F">
        <w:rPr>
          <w:rFonts w:ascii="Calibri" w:eastAsia="宋体" w:hAnsi="Calibri" w:cs="Times New Roman"/>
          <w:sz w:val="24"/>
        </w:rPr>
        <w:t xml:space="preserve">B </w:t>
      </w:r>
      <w:r w:rsidRPr="0049133F">
        <w:rPr>
          <w:rFonts w:ascii="Calibri" w:eastAsia="宋体" w:hAnsi="Calibri" w:cs="Times New Roman"/>
          <w:i/>
          <w:iCs/>
          <w:sz w:val="24"/>
        </w:rPr>
        <w:t>Save the Environment with “Two Mountains</w:t>
      </w:r>
      <w:r w:rsidRPr="0049133F">
        <w:rPr>
          <w:rFonts w:ascii="Calibri" w:eastAsia="宋体" w:hAnsi="Calibri" w:cs="Times New Roman"/>
          <w:sz w:val="24"/>
        </w:rPr>
        <w:t>”</w:t>
      </w:r>
      <w:r w:rsidRPr="0049133F">
        <w:rPr>
          <w:rFonts w:ascii="Calibri" w:eastAsia="宋体" w:hAnsi="Calibri" w:cs="Times New Roman"/>
          <w:sz w:val="24"/>
        </w:rPr>
        <w:t>了解文章结构，把握文章主题</w:t>
      </w:r>
      <w:r w:rsidRPr="0049133F">
        <w:rPr>
          <w:rFonts w:ascii="Calibri" w:eastAsia="宋体" w:hAnsi="Calibri" w:cs="Times New Roman"/>
          <w:sz w:val="24"/>
        </w:rPr>
        <w:t>,</w:t>
      </w:r>
      <w:r w:rsidRPr="0049133F">
        <w:rPr>
          <w:rFonts w:ascii="Calibri" w:eastAsia="宋体" w:hAnsi="Calibri" w:cs="Times New Roman"/>
          <w:sz w:val="24"/>
        </w:rPr>
        <w:t>掌握阅读技巧；</w:t>
      </w:r>
    </w:p>
    <w:p w14:paraId="362816A1" w14:textId="77777777" w:rsidR="0049133F" w:rsidRPr="0049133F" w:rsidRDefault="0049133F" w:rsidP="0049133F">
      <w:pPr>
        <w:spacing w:line="360" w:lineRule="auto"/>
        <w:ind w:firstLineChars="200" w:firstLine="480"/>
        <w:rPr>
          <w:rFonts w:ascii="Calibri" w:eastAsia="宋体" w:hAnsi="Calibri" w:cs="Times New Roman"/>
          <w:kern w:val="0"/>
          <w:sz w:val="24"/>
        </w:rPr>
      </w:pPr>
      <w:r w:rsidRPr="0049133F">
        <w:rPr>
          <w:rFonts w:ascii="Calibri" w:eastAsia="宋体" w:hAnsi="Calibri" w:cs="Times New Roman"/>
          <w:sz w:val="24"/>
        </w:rPr>
        <w:t>4.</w:t>
      </w:r>
      <w:r w:rsidRPr="0049133F">
        <w:rPr>
          <w:rFonts w:ascii="Calibri" w:eastAsia="宋体" w:hAnsi="Calibri" w:cs="Times New Roman"/>
          <w:kern w:val="0"/>
          <w:sz w:val="24"/>
        </w:rPr>
        <w:t xml:space="preserve"> </w:t>
      </w:r>
      <w:r w:rsidRPr="0049133F">
        <w:rPr>
          <w:rFonts w:ascii="Calibri" w:eastAsia="宋体" w:hAnsi="Calibri" w:cs="Times New Roman" w:hint="eastAsia"/>
          <w:kern w:val="0"/>
          <w:sz w:val="24"/>
        </w:rPr>
        <w:t>线上完成</w:t>
      </w:r>
      <w:r w:rsidRPr="0049133F">
        <w:rPr>
          <w:rFonts w:ascii="Calibri" w:eastAsia="宋体" w:hAnsi="Calibri" w:cs="Times New Roman"/>
          <w:kern w:val="0"/>
          <w:sz w:val="24"/>
          <w:lang w:val="zh-CN"/>
        </w:rPr>
        <w:t>练习讲解</w:t>
      </w:r>
      <w:r w:rsidRPr="0049133F">
        <w:rPr>
          <w:rFonts w:ascii="Calibri" w:eastAsia="宋体" w:hAnsi="Calibri" w:cs="Times New Roman" w:hint="eastAsia"/>
          <w:kern w:val="0"/>
          <w:sz w:val="24"/>
        </w:rPr>
        <w:t>的学习，掌握</w:t>
      </w:r>
      <w:r w:rsidRPr="0049133F">
        <w:rPr>
          <w:rFonts w:ascii="Calibri" w:eastAsia="宋体" w:hAnsi="Calibri" w:cs="Times New Roman"/>
          <w:kern w:val="0"/>
          <w:sz w:val="24"/>
          <w:lang w:val="zh-CN"/>
        </w:rPr>
        <w:t>重点词汇和短语的用法</w:t>
      </w:r>
      <w:r w:rsidRPr="0049133F">
        <w:rPr>
          <w:rFonts w:ascii="Calibri" w:eastAsia="宋体" w:hAnsi="Calibri" w:cs="Times New Roman" w:hint="eastAsia"/>
          <w:kern w:val="0"/>
          <w:sz w:val="24"/>
        </w:rPr>
        <w:t>，具备</w:t>
      </w:r>
      <w:r w:rsidRPr="0049133F">
        <w:rPr>
          <w:rFonts w:ascii="Calibri" w:eastAsia="宋体" w:hAnsi="Calibri" w:cs="Times New Roman"/>
          <w:kern w:val="0"/>
          <w:sz w:val="24"/>
          <w:lang w:val="zh-CN"/>
        </w:rPr>
        <w:t>阅读</w:t>
      </w:r>
      <w:r w:rsidRPr="0049133F">
        <w:rPr>
          <w:rFonts w:ascii="Calibri" w:eastAsia="宋体" w:hAnsi="Calibri" w:cs="Times New Roman"/>
          <w:kern w:val="0"/>
          <w:sz w:val="24"/>
        </w:rPr>
        <w:t>persuasive passage</w:t>
      </w:r>
      <w:r w:rsidRPr="0049133F">
        <w:rPr>
          <w:rFonts w:ascii="Calibri" w:eastAsia="宋体" w:hAnsi="Calibri" w:cs="Times New Roman" w:hint="eastAsia"/>
          <w:kern w:val="0"/>
          <w:sz w:val="24"/>
        </w:rPr>
        <w:t>的</w:t>
      </w:r>
      <w:r w:rsidRPr="0049133F">
        <w:rPr>
          <w:rFonts w:ascii="Calibri" w:eastAsia="宋体" w:hAnsi="Calibri" w:cs="Times New Roman"/>
          <w:kern w:val="0"/>
          <w:sz w:val="24"/>
          <w:lang w:val="zh-CN"/>
        </w:rPr>
        <w:t>技巧</w:t>
      </w:r>
      <w:r w:rsidRPr="0049133F">
        <w:rPr>
          <w:rFonts w:ascii="Calibri" w:eastAsia="宋体" w:hAnsi="Calibri" w:cs="Times New Roman"/>
          <w:kern w:val="0"/>
          <w:sz w:val="24"/>
        </w:rPr>
        <w:t>；</w:t>
      </w:r>
    </w:p>
    <w:p w14:paraId="3AF8E033"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kern w:val="0"/>
          <w:sz w:val="24"/>
        </w:rPr>
        <w:t>5.</w:t>
      </w:r>
      <w:r w:rsidRPr="0049133F">
        <w:rPr>
          <w:rFonts w:ascii="Calibri" w:eastAsia="宋体" w:hAnsi="Calibri" w:cs="Times New Roman"/>
          <w:sz w:val="24"/>
        </w:rPr>
        <w:t xml:space="preserve"> </w:t>
      </w:r>
      <w:r w:rsidRPr="0049133F">
        <w:rPr>
          <w:rFonts w:ascii="Calibri" w:eastAsia="宋体" w:hAnsi="Calibri" w:cs="Times New Roman"/>
          <w:sz w:val="24"/>
        </w:rPr>
        <w:t>线上完成视听说</w:t>
      </w:r>
      <w:r w:rsidRPr="0049133F">
        <w:rPr>
          <w:rFonts w:ascii="Calibri" w:eastAsia="宋体" w:hAnsi="Calibri" w:cs="Times New Roman"/>
          <w:sz w:val="24"/>
        </w:rPr>
        <w:t>Part</w:t>
      </w:r>
      <w:r w:rsidRPr="0049133F">
        <w:rPr>
          <w:rFonts w:ascii="Calibri" w:eastAsia="宋体" w:hAnsi="Calibri" w:cs="Times New Roman" w:hint="eastAsia"/>
          <w:sz w:val="24"/>
        </w:rPr>
        <w:t xml:space="preserve"> </w:t>
      </w:r>
      <w:r w:rsidRPr="0049133F">
        <w:rPr>
          <w:rFonts w:ascii="Calibri" w:eastAsia="宋体" w:hAnsi="Calibri" w:cs="Times New Roman"/>
          <w:sz w:val="24"/>
        </w:rPr>
        <w:t>A</w:t>
      </w:r>
      <w:r w:rsidRPr="0049133F">
        <w:rPr>
          <w:rFonts w:ascii="Calibri" w:eastAsia="宋体" w:hAnsi="Calibri" w:cs="Times New Roman"/>
          <w:sz w:val="24"/>
        </w:rPr>
        <w:t>和</w:t>
      </w:r>
      <w:r w:rsidRPr="0049133F">
        <w:rPr>
          <w:rFonts w:ascii="Calibri" w:eastAsia="宋体" w:hAnsi="Calibri" w:cs="Times New Roman"/>
          <w:sz w:val="24"/>
        </w:rPr>
        <w:t>Part</w:t>
      </w:r>
      <w:r w:rsidRPr="0049133F">
        <w:rPr>
          <w:rFonts w:ascii="Calibri" w:eastAsia="宋体" w:hAnsi="Calibri" w:cs="Times New Roman" w:hint="eastAsia"/>
          <w:sz w:val="24"/>
        </w:rPr>
        <w:t xml:space="preserve"> </w:t>
      </w:r>
      <w:r w:rsidRPr="0049133F">
        <w:rPr>
          <w:rFonts w:ascii="Calibri" w:eastAsia="宋体" w:hAnsi="Calibri" w:cs="Times New Roman"/>
          <w:sz w:val="24"/>
        </w:rPr>
        <w:t>D</w:t>
      </w:r>
      <w:r w:rsidRPr="0049133F">
        <w:rPr>
          <w:rFonts w:ascii="Calibri" w:eastAsia="宋体" w:hAnsi="Calibri" w:cs="Times New Roman"/>
          <w:sz w:val="24"/>
        </w:rPr>
        <w:t>，掌握新闻、对话和篇章听力的技巧；</w:t>
      </w:r>
    </w:p>
    <w:p w14:paraId="78BDE9D4"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6. </w:t>
      </w:r>
      <w:proofErr w:type="gramStart"/>
      <w:r w:rsidRPr="0049133F">
        <w:rPr>
          <w:rFonts w:ascii="Calibri" w:eastAsia="宋体" w:hAnsi="Calibri" w:cs="Times New Roman"/>
          <w:sz w:val="24"/>
        </w:rPr>
        <w:t>思政元素</w:t>
      </w:r>
      <w:proofErr w:type="gramEnd"/>
      <w:r w:rsidRPr="0049133F">
        <w:rPr>
          <w:rFonts w:ascii="Calibri" w:eastAsia="宋体" w:hAnsi="Calibri" w:cs="Times New Roman"/>
          <w:sz w:val="24"/>
        </w:rPr>
        <w:t>：让学生意识</w:t>
      </w:r>
      <w:r w:rsidRPr="0049133F">
        <w:rPr>
          <w:rFonts w:ascii="Calibri" w:eastAsia="宋体" w:hAnsi="Calibri" w:cs="Times New Roman" w:hint="eastAsia"/>
          <w:sz w:val="24"/>
        </w:rPr>
        <w:t>到随着经济的快速发展，保护生态环境与我们每个人息息相关，从饮食相关的畜牧业到“绿水青山”的保护，</w:t>
      </w:r>
      <w:r w:rsidRPr="0049133F">
        <w:rPr>
          <w:rFonts w:ascii="Calibri" w:eastAsia="宋体" w:hAnsi="Calibri" w:cs="Times New Roman"/>
          <w:sz w:val="24"/>
        </w:rPr>
        <w:t>关注</w:t>
      </w:r>
      <w:r w:rsidRPr="0049133F">
        <w:rPr>
          <w:rFonts w:ascii="Calibri" w:eastAsia="宋体" w:hAnsi="Calibri" w:cs="Times New Roman" w:hint="eastAsia"/>
          <w:sz w:val="24"/>
        </w:rPr>
        <w:t>为保护自然环境而应树立</w:t>
      </w:r>
      <w:r w:rsidRPr="0049133F">
        <w:rPr>
          <w:rFonts w:ascii="Calibri" w:eastAsia="宋体" w:hAnsi="Calibri" w:cs="Times New Roman"/>
          <w:sz w:val="24"/>
        </w:rPr>
        <w:t>经济方式转变</w:t>
      </w:r>
      <w:r w:rsidRPr="0049133F">
        <w:rPr>
          <w:rFonts w:ascii="Calibri" w:eastAsia="宋体" w:hAnsi="Calibri" w:cs="Times New Roman" w:hint="eastAsia"/>
          <w:sz w:val="24"/>
        </w:rPr>
        <w:t>的思路</w:t>
      </w:r>
      <w:r w:rsidRPr="0049133F">
        <w:rPr>
          <w:rFonts w:ascii="Calibri" w:eastAsia="宋体" w:hAnsi="Calibri" w:cs="Times New Roman"/>
          <w:sz w:val="24"/>
        </w:rPr>
        <w:t>，找寻产业发展与环境保护之间的和谐关系，热爱保护我们的大自然是我们每一代人的使命，也是关系民生的重大社会问题。培养学生热爱自然</w:t>
      </w:r>
      <w:r w:rsidRPr="0049133F">
        <w:rPr>
          <w:rFonts w:ascii="Calibri" w:eastAsia="宋体" w:hAnsi="Calibri" w:cs="Times New Roman" w:hint="eastAsia"/>
          <w:sz w:val="24"/>
        </w:rPr>
        <w:t>的理念</w:t>
      </w:r>
      <w:r w:rsidRPr="0049133F">
        <w:rPr>
          <w:rFonts w:ascii="Calibri" w:eastAsia="宋体" w:hAnsi="Calibri" w:cs="Times New Roman"/>
          <w:sz w:val="24"/>
        </w:rPr>
        <w:t>，将保护自然的意识深刻印记在心中。</w:t>
      </w:r>
    </w:p>
    <w:p w14:paraId="28C05A09" w14:textId="77777777" w:rsidR="0049133F" w:rsidRPr="0049133F" w:rsidRDefault="0049133F" w:rsidP="0049133F">
      <w:pPr>
        <w:spacing w:line="360" w:lineRule="auto"/>
        <w:ind w:firstLineChars="200" w:firstLine="482"/>
        <w:rPr>
          <w:rFonts w:ascii="Calibri" w:eastAsia="宋体" w:hAnsi="Calibri" w:cs="Times New Roman"/>
          <w:b/>
          <w:sz w:val="24"/>
        </w:rPr>
      </w:pPr>
      <w:r w:rsidRPr="0049133F">
        <w:rPr>
          <w:rFonts w:ascii="Calibri" w:eastAsia="宋体" w:hAnsi="宋体" w:cs="Times New Roman" w:hint="eastAsia"/>
          <w:b/>
          <w:sz w:val="24"/>
        </w:rPr>
        <w:lastRenderedPageBreak/>
        <w:t>【重点】</w:t>
      </w:r>
    </w:p>
    <w:p w14:paraId="764AD406"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 </w:t>
      </w:r>
      <w:r w:rsidRPr="0049133F">
        <w:rPr>
          <w:rFonts w:ascii="Calibri" w:eastAsia="宋体" w:hAnsi="Calibri" w:cs="Times New Roman"/>
          <w:sz w:val="24"/>
        </w:rPr>
        <w:t>通过学习课文，学生要掌握总结归纳和预测的阅读技巧。</w:t>
      </w:r>
    </w:p>
    <w:p w14:paraId="2FB4D255"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2. </w:t>
      </w:r>
      <w:r w:rsidRPr="0049133F">
        <w:rPr>
          <w:rFonts w:ascii="Calibri" w:eastAsia="宋体" w:hAnsi="Calibri" w:cs="Times New Roman"/>
          <w:sz w:val="24"/>
        </w:rPr>
        <w:t>熟练掌握和应用课文</w:t>
      </w:r>
      <w:r w:rsidRPr="0049133F">
        <w:rPr>
          <w:rFonts w:ascii="Calibri" w:eastAsia="宋体" w:hAnsi="Calibri" w:cs="Times New Roman"/>
          <w:sz w:val="24"/>
        </w:rPr>
        <w:t>Text A</w:t>
      </w:r>
      <w:r w:rsidRPr="0049133F">
        <w:rPr>
          <w:rFonts w:ascii="Calibri" w:eastAsia="宋体" w:hAnsi="Calibri" w:cs="Times New Roman" w:hint="eastAsia"/>
          <w:sz w:val="24"/>
        </w:rPr>
        <w:t xml:space="preserve">, </w:t>
      </w:r>
      <w:r w:rsidRPr="0049133F">
        <w:rPr>
          <w:rFonts w:ascii="Calibri" w:eastAsia="宋体" w:hAnsi="Calibri" w:cs="Times New Roman"/>
          <w:sz w:val="24"/>
        </w:rPr>
        <w:t>Text B</w:t>
      </w:r>
      <w:r w:rsidRPr="0049133F">
        <w:rPr>
          <w:rFonts w:ascii="Calibri" w:eastAsia="宋体" w:hAnsi="Calibri" w:cs="Times New Roman"/>
          <w:sz w:val="24"/>
        </w:rPr>
        <w:t>中的重点单词、短语和句型</w:t>
      </w:r>
      <w:r w:rsidRPr="0049133F">
        <w:rPr>
          <w:rFonts w:ascii="Calibri" w:eastAsia="宋体" w:hAnsi="Calibri" w:cs="Times New Roman" w:hint="eastAsia"/>
          <w:sz w:val="24"/>
        </w:rPr>
        <w:t>以及语法点。</w:t>
      </w:r>
    </w:p>
    <w:p w14:paraId="46F5CCF0"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3. </w:t>
      </w:r>
      <w:r w:rsidRPr="0049133F">
        <w:rPr>
          <w:rFonts w:ascii="Calibri" w:eastAsia="宋体" w:hAnsi="Calibri" w:cs="Times New Roman"/>
          <w:sz w:val="24"/>
        </w:rPr>
        <w:t>篇章听力技巧</w:t>
      </w:r>
      <w:r w:rsidRPr="0049133F">
        <w:rPr>
          <w:rFonts w:ascii="Calibri" w:eastAsia="宋体" w:hAnsi="Calibri" w:cs="Times New Roman" w:hint="eastAsia"/>
          <w:sz w:val="24"/>
        </w:rPr>
        <w:t xml:space="preserve">, </w:t>
      </w:r>
      <w:r w:rsidRPr="0049133F">
        <w:rPr>
          <w:rFonts w:ascii="Calibri" w:eastAsia="宋体" w:hAnsi="Calibri" w:cs="Times New Roman"/>
          <w:sz w:val="24"/>
        </w:rPr>
        <w:t>如：听前选项预读与预测，</w:t>
      </w:r>
      <w:proofErr w:type="gramStart"/>
      <w:r w:rsidRPr="0049133F">
        <w:rPr>
          <w:rFonts w:ascii="Calibri" w:eastAsia="宋体" w:hAnsi="Calibri" w:cs="Times New Roman"/>
          <w:sz w:val="24"/>
        </w:rPr>
        <w:t>极</w:t>
      </w:r>
      <w:proofErr w:type="gramEnd"/>
      <w:r w:rsidRPr="0049133F">
        <w:rPr>
          <w:rFonts w:ascii="Calibri" w:eastAsia="宋体" w:hAnsi="Calibri" w:cs="Times New Roman"/>
          <w:sz w:val="24"/>
        </w:rPr>
        <w:t>速猜想预测</w:t>
      </w:r>
      <w:r w:rsidRPr="0049133F">
        <w:rPr>
          <w:rFonts w:ascii="Calibri" w:eastAsia="宋体" w:hAnsi="Calibri" w:cs="Times New Roman" w:hint="eastAsia"/>
          <w:sz w:val="24"/>
        </w:rPr>
        <w:t>。</w:t>
      </w:r>
    </w:p>
    <w:p w14:paraId="5EC3E6A8" w14:textId="77777777" w:rsidR="0049133F" w:rsidRPr="0049133F" w:rsidRDefault="0049133F" w:rsidP="0049133F">
      <w:pPr>
        <w:spacing w:line="360" w:lineRule="auto"/>
        <w:ind w:firstLineChars="200" w:firstLine="482"/>
        <w:rPr>
          <w:rFonts w:ascii="Calibri" w:eastAsia="宋体" w:hAnsi="Calibri" w:cs="Times New Roman"/>
          <w:b/>
          <w:sz w:val="24"/>
        </w:rPr>
      </w:pPr>
      <w:r w:rsidRPr="0049133F">
        <w:rPr>
          <w:rFonts w:ascii="Calibri" w:eastAsia="宋体" w:hAnsi="Calibri" w:cs="Times New Roman"/>
          <w:b/>
          <w:sz w:val="24"/>
        </w:rPr>
        <w:t>【难点】</w:t>
      </w:r>
    </w:p>
    <w:p w14:paraId="1C74A236"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 </w:t>
      </w:r>
      <w:r w:rsidRPr="0049133F">
        <w:rPr>
          <w:rFonts w:ascii="Calibri" w:eastAsia="宋体" w:hAnsi="Calibri" w:cs="Times New Roman"/>
          <w:sz w:val="24"/>
        </w:rPr>
        <w:t>总结归纳和预测的阅读技巧</w:t>
      </w:r>
      <w:r w:rsidRPr="0049133F">
        <w:rPr>
          <w:rFonts w:ascii="Calibri" w:eastAsia="宋体" w:hAnsi="Calibri" w:cs="Times New Roman" w:hint="eastAsia"/>
          <w:sz w:val="24"/>
        </w:rPr>
        <w:t>。</w:t>
      </w:r>
    </w:p>
    <w:p w14:paraId="417FA9AA"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2. </w:t>
      </w:r>
      <w:r w:rsidRPr="0049133F">
        <w:rPr>
          <w:rFonts w:ascii="Calibri" w:eastAsia="宋体" w:hAnsi="Calibri" w:cs="Times New Roman"/>
          <w:sz w:val="24"/>
        </w:rPr>
        <w:t>课文重点单词、短语和句型</w:t>
      </w:r>
      <w:r w:rsidRPr="0049133F">
        <w:rPr>
          <w:rFonts w:ascii="Calibri" w:eastAsia="宋体" w:hAnsi="Calibri" w:cs="Times New Roman" w:hint="eastAsia"/>
          <w:sz w:val="24"/>
        </w:rPr>
        <w:t>。</w:t>
      </w:r>
    </w:p>
    <w:p w14:paraId="599CB380"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3. </w:t>
      </w:r>
      <w:r w:rsidRPr="0049133F">
        <w:rPr>
          <w:rFonts w:ascii="Calibri" w:eastAsia="宋体" w:hAnsi="Calibri" w:cs="Times New Roman"/>
          <w:sz w:val="24"/>
        </w:rPr>
        <w:t>篇章的听力技巧</w:t>
      </w:r>
      <w:r w:rsidRPr="0049133F">
        <w:rPr>
          <w:rFonts w:ascii="Calibri" w:eastAsia="宋体" w:hAnsi="Calibri" w:cs="Times New Roman" w:hint="eastAsia"/>
          <w:sz w:val="24"/>
        </w:rPr>
        <w:t>。</w:t>
      </w:r>
    </w:p>
    <w:p w14:paraId="6B9F200C" w14:textId="77777777" w:rsidR="0049133F" w:rsidRPr="0049133F" w:rsidRDefault="0049133F" w:rsidP="0049133F">
      <w:pPr>
        <w:spacing w:line="360" w:lineRule="auto"/>
        <w:ind w:firstLineChars="200" w:firstLine="482"/>
        <w:rPr>
          <w:rFonts w:ascii="Calibri" w:eastAsia="宋体" w:hAnsi="Calibri" w:cs="Times New Roman"/>
          <w:b/>
          <w:sz w:val="24"/>
        </w:rPr>
      </w:pPr>
      <w:r w:rsidRPr="0049133F">
        <w:rPr>
          <w:rFonts w:ascii="Calibri" w:eastAsia="宋体" w:hAnsi="宋体" w:cs="Times New Roman" w:hint="eastAsia"/>
          <w:b/>
          <w:sz w:val="24"/>
        </w:rPr>
        <w:t>【教学方法】</w:t>
      </w:r>
    </w:p>
    <w:p w14:paraId="529D5170"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 </w:t>
      </w:r>
      <w:r w:rsidRPr="0049133F">
        <w:rPr>
          <w:rFonts w:ascii="Calibri" w:eastAsia="宋体" w:hAnsi="Calibri" w:cs="Times New Roman"/>
          <w:sz w:val="24"/>
        </w:rPr>
        <w:t>讨论法：学生分小组讨论</w:t>
      </w:r>
      <w:r w:rsidRPr="0049133F">
        <w:rPr>
          <w:rFonts w:ascii="Calibri" w:eastAsia="宋体" w:hAnsi="Calibri" w:cs="Times New Roman" w:hint="eastAsia"/>
          <w:sz w:val="24"/>
        </w:rPr>
        <w:t>饮食习惯以及素食饮食的利与弊，人类饮食对生态环境的影响，了解生物多样性，</w:t>
      </w:r>
      <w:r w:rsidRPr="0049133F">
        <w:rPr>
          <w:rFonts w:ascii="Calibri" w:eastAsia="宋体" w:hAnsi="Calibri" w:cs="Times New Roman"/>
          <w:sz w:val="24"/>
        </w:rPr>
        <w:t>引导学生</w:t>
      </w:r>
      <w:r w:rsidRPr="0049133F">
        <w:rPr>
          <w:rFonts w:ascii="Calibri" w:eastAsia="宋体" w:hAnsi="Calibri" w:cs="Times New Roman" w:hint="eastAsia"/>
          <w:sz w:val="24"/>
        </w:rPr>
        <w:t>理解</w:t>
      </w:r>
      <w:r w:rsidRPr="0049133F">
        <w:rPr>
          <w:rFonts w:ascii="Calibri" w:eastAsia="宋体" w:hAnsi="Calibri" w:cs="Times New Roman"/>
          <w:sz w:val="24"/>
        </w:rPr>
        <w:t>人与自然息息相关，意识</w:t>
      </w:r>
      <w:r w:rsidRPr="0049133F">
        <w:rPr>
          <w:rFonts w:ascii="Calibri" w:eastAsia="宋体" w:hAnsi="Calibri" w:cs="Times New Roman" w:hint="eastAsia"/>
          <w:sz w:val="24"/>
        </w:rPr>
        <w:t>到</w:t>
      </w:r>
      <w:r w:rsidRPr="0049133F">
        <w:rPr>
          <w:rFonts w:ascii="Calibri" w:eastAsia="宋体" w:hAnsi="Calibri" w:cs="Times New Roman"/>
          <w:sz w:val="24"/>
        </w:rPr>
        <w:t>生态环境关系到我们每个人的生存与发展这个主题，进而树立正确的环境</w:t>
      </w:r>
      <w:r w:rsidRPr="0049133F">
        <w:rPr>
          <w:rFonts w:ascii="Calibri" w:eastAsia="宋体" w:hAnsi="Calibri" w:cs="Times New Roman" w:hint="eastAsia"/>
          <w:sz w:val="24"/>
        </w:rPr>
        <w:t>保护</w:t>
      </w:r>
      <w:r w:rsidRPr="0049133F">
        <w:rPr>
          <w:rFonts w:ascii="Calibri" w:eastAsia="宋体" w:hAnsi="Calibri" w:cs="Times New Roman"/>
          <w:sz w:val="24"/>
        </w:rPr>
        <w:t>观</w:t>
      </w:r>
      <w:r w:rsidRPr="0049133F">
        <w:rPr>
          <w:rFonts w:ascii="Calibri" w:eastAsia="宋体" w:hAnsi="Calibri" w:cs="Times New Roman" w:hint="eastAsia"/>
          <w:sz w:val="24"/>
        </w:rPr>
        <w:t>念</w:t>
      </w:r>
      <w:r w:rsidRPr="0049133F">
        <w:rPr>
          <w:rFonts w:ascii="Calibri" w:eastAsia="宋体" w:hAnsi="Calibri" w:cs="Times New Roman"/>
          <w:sz w:val="24"/>
        </w:rPr>
        <w:t>，为保护自然环境贡献自己的一份力量，同时培养学生独立思考的能力</w:t>
      </w:r>
      <w:r w:rsidRPr="0049133F">
        <w:rPr>
          <w:rFonts w:ascii="Calibri" w:eastAsia="宋体" w:hAnsi="Calibri" w:cs="Times New Roman" w:hint="eastAsia"/>
          <w:sz w:val="24"/>
        </w:rPr>
        <w:t>。</w:t>
      </w:r>
    </w:p>
    <w:p w14:paraId="784A10DF" w14:textId="77777777" w:rsidR="0049133F" w:rsidRPr="0049133F" w:rsidRDefault="0049133F" w:rsidP="0049133F">
      <w:pPr>
        <w:spacing w:line="360" w:lineRule="auto"/>
        <w:ind w:firstLineChars="100" w:firstLine="240"/>
        <w:rPr>
          <w:rFonts w:ascii="Calibri" w:eastAsia="宋体" w:hAnsi="Calibri" w:cs="Times New Roman"/>
          <w:sz w:val="24"/>
        </w:rPr>
      </w:pPr>
      <w:r w:rsidRPr="0049133F">
        <w:rPr>
          <w:rFonts w:ascii="Calibri" w:eastAsia="宋体" w:hAnsi="Calibri" w:cs="Times New Roman"/>
          <w:sz w:val="24"/>
        </w:rPr>
        <w:t xml:space="preserve"> 2. </w:t>
      </w:r>
      <w:r w:rsidRPr="0049133F">
        <w:rPr>
          <w:rFonts w:ascii="Calibri" w:eastAsia="宋体" w:hAnsi="Calibri" w:cs="Times New Roman"/>
          <w:sz w:val="24"/>
        </w:rPr>
        <w:t>讲授法：讲解课文</w:t>
      </w:r>
      <w:r w:rsidRPr="0049133F">
        <w:rPr>
          <w:rFonts w:ascii="Calibri" w:eastAsia="宋体" w:hAnsi="Calibri" w:cs="Times New Roman" w:hint="eastAsia"/>
          <w:sz w:val="24"/>
        </w:rPr>
        <w:t>《没有理由吃动物》及</w:t>
      </w:r>
      <w:r w:rsidRPr="0049133F">
        <w:rPr>
          <w:rFonts w:ascii="Calibri" w:eastAsia="宋体" w:hAnsi="Calibri" w:cs="Times New Roman" w:hint="eastAsia"/>
          <w:sz w:val="24"/>
        </w:rPr>
        <w:t>B</w:t>
      </w:r>
      <w:r w:rsidRPr="0049133F">
        <w:rPr>
          <w:rFonts w:ascii="Calibri" w:eastAsia="宋体" w:hAnsi="Calibri" w:cs="Times New Roman" w:hint="eastAsia"/>
          <w:sz w:val="24"/>
        </w:rPr>
        <w:t>篇</w:t>
      </w:r>
      <w:r w:rsidRPr="0049133F">
        <w:rPr>
          <w:rFonts w:ascii="Calibri" w:eastAsia="宋体" w:hAnsi="Calibri" w:cs="Times New Roman"/>
          <w:sz w:val="24"/>
        </w:rPr>
        <w:t>课文中的重点词汇和句型</w:t>
      </w:r>
      <w:r w:rsidRPr="0049133F">
        <w:rPr>
          <w:rFonts w:ascii="Calibri" w:eastAsia="宋体" w:hAnsi="Calibri" w:cs="Times New Roman" w:hint="eastAsia"/>
          <w:sz w:val="24"/>
        </w:rPr>
        <w:t>，帮助学生掌握该文体的阅读技巧和分析方法，</w:t>
      </w:r>
      <w:r w:rsidRPr="0049133F">
        <w:rPr>
          <w:rFonts w:ascii="Calibri" w:eastAsia="宋体" w:hAnsi="Calibri" w:cs="Times New Roman"/>
          <w:sz w:val="24"/>
        </w:rPr>
        <w:t>引导学生在阅读过程中，快速准确找到文章主旨，</w:t>
      </w:r>
      <w:r w:rsidRPr="0049133F">
        <w:rPr>
          <w:rFonts w:ascii="Calibri" w:eastAsia="宋体" w:hAnsi="Calibri" w:cs="Times New Roman" w:hint="eastAsia"/>
          <w:sz w:val="24"/>
        </w:rPr>
        <w:t>正确理解作者的写作目的，</w:t>
      </w:r>
      <w:r w:rsidRPr="0049133F">
        <w:rPr>
          <w:rFonts w:ascii="Calibri" w:eastAsia="宋体" w:hAnsi="Calibri" w:cs="Times New Roman"/>
          <w:sz w:val="24"/>
        </w:rPr>
        <w:t>从篇章层面上把握文章的结构从而提高学生整体阅读的能力</w:t>
      </w:r>
      <w:r w:rsidRPr="0049133F">
        <w:rPr>
          <w:rFonts w:ascii="Calibri" w:eastAsia="宋体" w:hAnsi="Calibri" w:cs="Times New Roman" w:hint="eastAsia"/>
          <w:sz w:val="24"/>
        </w:rPr>
        <w:t>，并且能够对文章的细节内容加以判断，真正掌握文章内容。</w:t>
      </w:r>
    </w:p>
    <w:p w14:paraId="4C763D63"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3.</w:t>
      </w:r>
      <w:r w:rsidRPr="0049133F">
        <w:rPr>
          <w:rFonts w:ascii="Calibri" w:eastAsia="宋体" w:hAnsi="Calibri" w:cs="Times New Roman"/>
          <w:bCs/>
          <w:sz w:val="24"/>
        </w:rPr>
        <w:t xml:space="preserve"> </w:t>
      </w:r>
      <w:r w:rsidRPr="0049133F">
        <w:rPr>
          <w:rFonts w:ascii="Calibri" w:eastAsia="宋体" w:hAnsi="Calibri" w:cs="Times New Roman"/>
          <w:bCs/>
          <w:sz w:val="24"/>
        </w:rPr>
        <w:t>任务型教学法：根据教学进度给学生布置</w:t>
      </w:r>
      <w:r w:rsidRPr="0049133F">
        <w:rPr>
          <w:rFonts w:ascii="Calibri" w:eastAsia="宋体" w:hAnsi="Calibri" w:cs="Times New Roman" w:hint="eastAsia"/>
          <w:bCs/>
          <w:sz w:val="24"/>
        </w:rPr>
        <w:t>学习任务，包括线上学习任务</w:t>
      </w:r>
      <w:r w:rsidRPr="0049133F">
        <w:rPr>
          <w:rFonts w:ascii="Calibri" w:eastAsia="宋体" w:hAnsi="Calibri" w:cs="Times New Roman"/>
          <w:bCs/>
          <w:sz w:val="24"/>
        </w:rPr>
        <w:t>和听力任务，</w:t>
      </w:r>
      <w:r w:rsidRPr="0049133F">
        <w:rPr>
          <w:rFonts w:ascii="Calibri" w:eastAsia="宋体" w:hAnsi="Calibri" w:cs="Times New Roman" w:hint="eastAsia"/>
          <w:bCs/>
          <w:sz w:val="24"/>
        </w:rPr>
        <w:t>学生任务与课堂教学内容相关，并做好完成任务后的效果检验。听力学习任务</w:t>
      </w:r>
      <w:r w:rsidRPr="0049133F">
        <w:rPr>
          <w:rFonts w:ascii="Calibri" w:eastAsia="宋体" w:hAnsi="Calibri" w:cs="Times New Roman"/>
          <w:bCs/>
          <w:sz w:val="24"/>
        </w:rPr>
        <w:t>使学生</w:t>
      </w:r>
      <w:r w:rsidRPr="0049133F">
        <w:rPr>
          <w:rFonts w:ascii="Calibri" w:eastAsia="宋体" w:hAnsi="Calibri" w:cs="Times New Roman"/>
          <w:sz w:val="24"/>
        </w:rPr>
        <w:t>学会识别新闻、对话和篇章中的细节方面的信息，掌握听力技巧与方法，并能以此做出推理和判断说话人的意图。</w:t>
      </w:r>
    </w:p>
    <w:p w14:paraId="6F1DDAE6" w14:textId="77777777" w:rsidR="0049133F" w:rsidRPr="0049133F" w:rsidRDefault="0049133F" w:rsidP="0049133F">
      <w:pPr>
        <w:spacing w:line="360" w:lineRule="auto"/>
        <w:ind w:firstLineChars="200" w:firstLine="480"/>
        <w:rPr>
          <w:rFonts w:ascii="Calibri" w:eastAsia="宋体" w:hAnsi="宋体" w:cs="Times New Roman"/>
          <w:sz w:val="24"/>
          <w:highlight w:val="yellow"/>
        </w:rPr>
      </w:pPr>
      <w:r w:rsidRPr="0049133F">
        <w:rPr>
          <w:rFonts w:ascii="Calibri" w:eastAsia="宋体" w:hAnsi="宋体" w:cs="Times New Roman" w:hint="eastAsia"/>
          <w:sz w:val="24"/>
        </w:rPr>
        <w:t>4.</w:t>
      </w:r>
      <w:bookmarkStart w:id="43" w:name="OLE_LINK6"/>
      <w:r w:rsidRPr="0049133F">
        <w:rPr>
          <w:rFonts w:ascii="Calibri" w:eastAsia="宋体" w:hAnsi="Calibri" w:cs="Times New Roman" w:hint="eastAsia"/>
          <w:bCs/>
          <w:sz w:val="24"/>
        </w:rPr>
        <w:t>混合式教学法</w:t>
      </w:r>
      <w:bookmarkEnd w:id="43"/>
      <w:r w:rsidRPr="0049133F">
        <w:rPr>
          <w:rFonts w:ascii="Calibri" w:eastAsia="宋体" w:hAnsi="Calibri" w:cs="Times New Roman" w:hint="eastAsia"/>
          <w:bCs/>
          <w:sz w:val="24"/>
        </w:rPr>
        <w:t>：线上学习做好</w:t>
      </w:r>
      <w:r w:rsidRPr="0049133F">
        <w:rPr>
          <w:rFonts w:ascii="Calibri" w:eastAsia="宋体" w:hAnsi="Calibri" w:cs="Times New Roman" w:hint="eastAsia"/>
          <w:sz w:val="24"/>
        </w:rPr>
        <w:t>关于“</w:t>
      </w:r>
      <w:r w:rsidRPr="0049133F">
        <w:rPr>
          <w:rFonts w:ascii="Calibri" w:eastAsia="黑体" w:hAnsi="Calibri" w:cs="Times New Roman"/>
          <w:sz w:val="24"/>
        </w:rPr>
        <w:t>Harmony between Humanity and Nature</w:t>
      </w:r>
      <w:r w:rsidRPr="0049133F">
        <w:rPr>
          <w:rFonts w:ascii="Calibri" w:eastAsia="宋体" w:hAnsi="Calibri" w:cs="Times New Roman" w:hint="eastAsia"/>
          <w:sz w:val="24"/>
        </w:rPr>
        <w:t>”相关话题的铺垫，线下开展相关话题的讨论，</w:t>
      </w:r>
      <w:r w:rsidRPr="0049133F">
        <w:rPr>
          <w:rFonts w:ascii="Calibri" w:eastAsia="宋体" w:hAnsi="Calibri" w:cs="Times New Roman"/>
          <w:sz w:val="24"/>
        </w:rPr>
        <w:t>并由学生进行成果展示</w:t>
      </w:r>
      <w:r w:rsidRPr="0049133F">
        <w:rPr>
          <w:rFonts w:ascii="Calibri" w:eastAsia="宋体" w:hAnsi="Calibri" w:cs="Times New Roman" w:hint="eastAsia"/>
          <w:sz w:val="24"/>
        </w:rPr>
        <w:t>，从而</w:t>
      </w:r>
      <w:r w:rsidRPr="0049133F">
        <w:rPr>
          <w:rFonts w:ascii="Calibri" w:eastAsia="宋体" w:hAnsi="Calibri" w:cs="Times New Roman"/>
          <w:bCs/>
          <w:sz w:val="24"/>
        </w:rPr>
        <w:t>促进学生的思考能力和口语表达能力，</w:t>
      </w:r>
      <w:r w:rsidRPr="0049133F">
        <w:rPr>
          <w:rFonts w:ascii="Calibri" w:eastAsia="宋体" w:hAnsi="Calibri" w:cs="Times New Roman" w:hint="eastAsia"/>
          <w:bCs/>
          <w:sz w:val="24"/>
        </w:rPr>
        <w:t>同时结合线上课文单词的学习，线下课堂授课中引导学生深入理解课文主要观点，</w:t>
      </w:r>
      <w:r w:rsidRPr="0049133F">
        <w:rPr>
          <w:rFonts w:ascii="Calibri" w:eastAsia="宋体" w:hAnsi="Calibri" w:cs="Times New Roman"/>
          <w:bCs/>
          <w:sz w:val="24"/>
        </w:rPr>
        <w:t>培养学生的</w:t>
      </w:r>
      <w:r w:rsidRPr="0049133F">
        <w:rPr>
          <w:rFonts w:ascii="Calibri" w:eastAsia="宋体" w:hAnsi="Calibri" w:cs="Times New Roman" w:hint="eastAsia"/>
          <w:bCs/>
          <w:sz w:val="24"/>
        </w:rPr>
        <w:t>英语综合运用能力。</w:t>
      </w:r>
    </w:p>
    <w:p w14:paraId="6763A4E2" w14:textId="77777777" w:rsidR="0049133F" w:rsidRPr="0049133F" w:rsidRDefault="0049133F" w:rsidP="0049133F">
      <w:pPr>
        <w:spacing w:line="360" w:lineRule="auto"/>
        <w:ind w:firstLineChars="200" w:firstLine="482"/>
        <w:rPr>
          <w:rFonts w:ascii="Calibri" w:eastAsia="宋体" w:hAnsi="Calibri" w:cs="Times New Roman"/>
          <w:bCs/>
          <w:sz w:val="24"/>
        </w:rPr>
      </w:pPr>
      <w:r w:rsidRPr="0049133F">
        <w:rPr>
          <w:rFonts w:ascii="Calibri" w:eastAsia="宋体" w:hAnsi="宋体" w:cs="Times New Roman" w:hint="eastAsia"/>
          <w:b/>
          <w:sz w:val="24"/>
        </w:rPr>
        <w:t>【复习思考】</w:t>
      </w:r>
    </w:p>
    <w:p w14:paraId="74B971B4" w14:textId="77777777" w:rsidR="0049133F" w:rsidRPr="0049133F" w:rsidRDefault="0049133F" w:rsidP="0049133F">
      <w:pPr>
        <w:spacing w:line="360" w:lineRule="auto"/>
        <w:rPr>
          <w:rFonts w:ascii="Calibri" w:eastAsia="宋体" w:hAnsi="Calibri" w:cs="Times New Roman"/>
          <w:sz w:val="24"/>
        </w:rPr>
      </w:pPr>
      <w:r w:rsidRPr="0049133F">
        <w:rPr>
          <w:rFonts w:ascii="Calibri" w:eastAsia="宋体" w:hAnsi="Calibri" w:cs="Times New Roman"/>
          <w:sz w:val="24"/>
        </w:rPr>
        <w:t xml:space="preserve">1. </w:t>
      </w:r>
      <w:r w:rsidRPr="0049133F">
        <w:rPr>
          <w:rFonts w:ascii="Calibri" w:eastAsia="宋体" w:hAnsi="宋体" w:cs="Times New Roman" w:hint="eastAsia"/>
          <w:sz w:val="24"/>
        </w:rPr>
        <w:t>思考如何在平时生活中保护生态环境以及在生态视角下寻求经济方式转变的途径；</w:t>
      </w:r>
    </w:p>
    <w:p w14:paraId="094BED0C" w14:textId="77777777" w:rsidR="0049133F" w:rsidRPr="0049133F" w:rsidRDefault="0049133F" w:rsidP="0049133F">
      <w:pPr>
        <w:spacing w:line="360" w:lineRule="auto"/>
        <w:rPr>
          <w:rFonts w:ascii="宋体" w:eastAsia="宋体" w:hAnsi="宋体" w:cs="Times New Roman"/>
          <w:sz w:val="24"/>
        </w:rPr>
      </w:pPr>
      <w:r w:rsidRPr="0049133F">
        <w:rPr>
          <w:rFonts w:ascii="Calibri" w:eastAsia="宋体" w:hAnsi="Calibri" w:cs="Times New Roman"/>
          <w:sz w:val="24"/>
        </w:rPr>
        <w:t>2.</w:t>
      </w:r>
      <w:r w:rsidRPr="0049133F">
        <w:rPr>
          <w:rFonts w:ascii="宋体" w:eastAsia="宋体" w:hAnsi="宋体" w:cs="Times New Roman" w:hint="eastAsia"/>
          <w:sz w:val="24"/>
        </w:rPr>
        <w:t xml:space="preserve"> 思考如何识别听力材料中的有效信息，从而推断说话人的意图。</w:t>
      </w:r>
    </w:p>
    <w:p w14:paraId="40D19324" w14:textId="77777777" w:rsidR="0049133F" w:rsidRPr="0049133F" w:rsidRDefault="0049133F" w:rsidP="0049133F">
      <w:pPr>
        <w:rPr>
          <w:rFonts w:ascii="宋体" w:eastAsia="宋体" w:hAnsi="宋体" w:cs="Times New Roman"/>
          <w:sz w:val="24"/>
        </w:rPr>
      </w:pPr>
    </w:p>
    <w:p w14:paraId="4306A53E" w14:textId="77777777" w:rsidR="0049133F" w:rsidRPr="0049133F" w:rsidRDefault="0049133F" w:rsidP="0049133F">
      <w:pPr>
        <w:spacing w:line="440" w:lineRule="exact"/>
        <w:rPr>
          <w:rFonts w:ascii="黑体" w:eastAsia="黑体" w:hAnsi="黑体" w:cs="Times New Roman"/>
          <w:sz w:val="28"/>
          <w:szCs w:val="28"/>
        </w:rPr>
      </w:pPr>
      <w:r w:rsidRPr="0049133F">
        <w:rPr>
          <w:rFonts w:ascii="黑体" w:eastAsia="黑体" w:hAnsi="黑体" w:cs="Times New Roman" w:hint="eastAsia"/>
          <w:sz w:val="28"/>
          <w:szCs w:val="28"/>
        </w:rPr>
        <w:lastRenderedPageBreak/>
        <w:t>（二）课程学习内容与课程学习目标的对应关系</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28"/>
        <w:gridCol w:w="2970"/>
        <w:gridCol w:w="1986"/>
        <w:gridCol w:w="1276"/>
      </w:tblGrid>
      <w:tr w:rsidR="0049133F" w:rsidRPr="0049133F" w14:paraId="317DC98E" w14:textId="77777777" w:rsidTr="00BA2CFD">
        <w:trPr>
          <w:trHeight w:val="660"/>
          <w:jc w:val="center"/>
        </w:trPr>
        <w:tc>
          <w:tcPr>
            <w:tcW w:w="3128" w:type="dxa"/>
            <w:tcBorders>
              <w:top w:val="single" w:sz="4" w:space="0" w:color="auto"/>
              <w:left w:val="single" w:sz="4" w:space="0" w:color="auto"/>
              <w:bottom w:val="single" w:sz="4" w:space="0" w:color="auto"/>
              <w:right w:val="single" w:sz="4" w:space="0" w:color="auto"/>
            </w:tcBorders>
            <w:vAlign w:val="center"/>
          </w:tcPr>
          <w:p w14:paraId="70FE1B34" w14:textId="77777777" w:rsidR="0049133F" w:rsidRPr="0049133F" w:rsidRDefault="0049133F" w:rsidP="0049133F">
            <w:pPr>
              <w:spacing w:line="440" w:lineRule="exact"/>
              <w:jc w:val="center"/>
              <w:rPr>
                <w:rFonts w:ascii="Calibri" w:eastAsia="宋体" w:hAnsi="Calibri" w:cs="Times New Roman"/>
                <w:b/>
                <w:bCs/>
                <w:sz w:val="24"/>
              </w:rPr>
            </w:pPr>
            <w:r w:rsidRPr="0049133F">
              <w:rPr>
                <w:rFonts w:ascii="Calibri" w:eastAsia="宋体" w:hAnsi="Calibri" w:cs="Times New Roman"/>
                <w:b/>
                <w:bCs/>
                <w:sz w:val="24"/>
              </w:rPr>
              <w:t>课程学习内容</w:t>
            </w:r>
          </w:p>
        </w:tc>
        <w:tc>
          <w:tcPr>
            <w:tcW w:w="2970" w:type="dxa"/>
            <w:tcBorders>
              <w:top w:val="single" w:sz="4" w:space="0" w:color="auto"/>
              <w:left w:val="single" w:sz="4" w:space="0" w:color="auto"/>
              <w:bottom w:val="single" w:sz="4" w:space="0" w:color="auto"/>
              <w:right w:val="single" w:sz="4" w:space="0" w:color="auto"/>
            </w:tcBorders>
            <w:vAlign w:val="center"/>
          </w:tcPr>
          <w:p w14:paraId="5F66985E" w14:textId="77777777" w:rsidR="0049133F" w:rsidRPr="0049133F" w:rsidRDefault="0049133F" w:rsidP="0049133F">
            <w:pPr>
              <w:spacing w:line="440" w:lineRule="exact"/>
              <w:jc w:val="center"/>
              <w:rPr>
                <w:rFonts w:ascii="Calibri" w:eastAsia="宋体" w:hAnsi="Calibri" w:cs="Times New Roman"/>
                <w:b/>
                <w:bCs/>
                <w:sz w:val="24"/>
              </w:rPr>
            </w:pPr>
            <w:r w:rsidRPr="0049133F">
              <w:rPr>
                <w:rFonts w:ascii="Calibri" w:eastAsia="宋体" w:hAnsi="Calibri" w:cs="Times New Roman"/>
                <w:b/>
                <w:bCs/>
                <w:sz w:val="24"/>
              </w:rPr>
              <w:t>教学方法</w:t>
            </w:r>
          </w:p>
        </w:tc>
        <w:tc>
          <w:tcPr>
            <w:tcW w:w="1986" w:type="dxa"/>
            <w:tcBorders>
              <w:top w:val="single" w:sz="4" w:space="0" w:color="auto"/>
              <w:left w:val="single" w:sz="4" w:space="0" w:color="auto"/>
              <w:bottom w:val="single" w:sz="4" w:space="0" w:color="auto"/>
              <w:right w:val="single" w:sz="4" w:space="0" w:color="auto"/>
            </w:tcBorders>
            <w:vAlign w:val="center"/>
          </w:tcPr>
          <w:p w14:paraId="7DF03F5D" w14:textId="77777777" w:rsidR="0049133F" w:rsidRPr="0049133F" w:rsidRDefault="0049133F" w:rsidP="0049133F">
            <w:pPr>
              <w:spacing w:line="440" w:lineRule="exact"/>
              <w:jc w:val="center"/>
              <w:rPr>
                <w:rFonts w:ascii="Calibri" w:eastAsia="宋体" w:hAnsi="Calibri" w:cs="Times New Roman"/>
                <w:b/>
                <w:bCs/>
                <w:sz w:val="24"/>
              </w:rPr>
            </w:pPr>
            <w:r w:rsidRPr="0049133F">
              <w:rPr>
                <w:rFonts w:ascii="Calibri" w:eastAsia="宋体" w:hAnsi="Calibri" w:cs="Times New Roman"/>
                <w:b/>
                <w:bCs/>
                <w:sz w:val="24"/>
              </w:rPr>
              <w:t>支撑的课程目标</w:t>
            </w:r>
          </w:p>
        </w:tc>
        <w:tc>
          <w:tcPr>
            <w:tcW w:w="1276" w:type="dxa"/>
            <w:tcBorders>
              <w:top w:val="single" w:sz="4" w:space="0" w:color="auto"/>
              <w:left w:val="single" w:sz="4" w:space="0" w:color="auto"/>
              <w:bottom w:val="single" w:sz="4" w:space="0" w:color="auto"/>
              <w:right w:val="single" w:sz="4" w:space="0" w:color="auto"/>
            </w:tcBorders>
            <w:vAlign w:val="center"/>
          </w:tcPr>
          <w:p w14:paraId="04BBBE3C" w14:textId="77777777" w:rsidR="0049133F" w:rsidRPr="0049133F" w:rsidRDefault="0049133F" w:rsidP="0049133F">
            <w:pPr>
              <w:spacing w:line="440" w:lineRule="exact"/>
              <w:jc w:val="center"/>
              <w:rPr>
                <w:rFonts w:ascii="Calibri" w:eastAsia="宋体" w:hAnsi="Calibri" w:cs="Times New Roman"/>
                <w:b/>
                <w:bCs/>
                <w:sz w:val="24"/>
              </w:rPr>
            </w:pPr>
            <w:r w:rsidRPr="0049133F">
              <w:rPr>
                <w:rFonts w:ascii="Calibri" w:eastAsia="宋体" w:hAnsi="Calibri" w:cs="Times New Roman"/>
                <w:b/>
                <w:bCs/>
                <w:sz w:val="24"/>
              </w:rPr>
              <w:t>学时安排</w:t>
            </w:r>
          </w:p>
        </w:tc>
      </w:tr>
      <w:tr w:rsidR="0049133F" w:rsidRPr="0049133F" w14:paraId="75280225" w14:textId="77777777" w:rsidTr="00BA2CFD">
        <w:trPr>
          <w:trHeight w:val="461"/>
          <w:jc w:val="center"/>
        </w:trPr>
        <w:tc>
          <w:tcPr>
            <w:tcW w:w="3128" w:type="dxa"/>
            <w:tcBorders>
              <w:top w:val="single" w:sz="4" w:space="0" w:color="auto"/>
              <w:left w:val="single" w:sz="4" w:space="0" w:color="auto"/>
              <w:bottom w:val="single" w:sz="4" w:space="0" w:color="auto"/>
              <w:right w:val="single" w:sz="4" w:space="0" w:color="auto"/>
            </w:tcBorders>
            <w:vAlign w:val="center"/>
          </w:tcPr>
          <w:p w14:paraId="41AA2A8C" w14:textId="77777777" w:rsidR="0049133F" w:rsidRPr="0049133F" w:rsidRDefault="0049133F" w:rsidP="0049133F">
            <w:pPr>
              <w:spacing w:line="440" w:lineRule="exact"/>
              <w:jc w:val="left"/>
              <w:rPr>
                <w:rFonts w:ascii="Calibri" w:eastAsia="宋体" w:hAnsi="Calibri" w:cs="Times New Roman"/>
                <w:sz w:val="24"/>
              </w:rPr>
            </w:pPr>
            <w:r w:rsidRPr="0049133F">
              <w:rPr>
                <w:rFonts w:ascii="Calibri" w:eastAsia="宋体" w:hAnsi="Calibri" w:cs="Times New Roman"/>
                <w:sz w:val="24"/>
              </w:rPr>
              <w:t xml:space="preserve">Unit1 Teaching and </w:t>
            </w:r>
            <w:r w:rsidRPr="0049133F">
              <w:rPr>
                <w:rFonts w:ascii="Calibri" w:eastAsia="宋体" w:hAnsi="Calibri" w:cs="Times New Roman" w:hint="eastAsia"/>
                <w:sz w:val="24"/>
              </w:rPr>
              <w:t>Moral Education</w:t>
            </w:r>
          </w:p>
        </w:tc>
        <w:tc>
          <w:tcPr>
            <w:tcW w:w="2970" w:type="dxa"/>
            <w:tcBorders>
              <w:top w:val="single" w:sz="4" w:space="0" w:color="auto"/>
              <w:left w:val="single" w:sz="4" w:space="0" w:color="auto"/>
              <w:bottom w:val="single" w:sz="4" w:space="0" w:color="auto"/>
              <w:right w:val="single" w:sz="4" w:space="0" w:color="auto"/>
            </w:tcBorders>
            <w:vAlign w:val="center"/>
          </w:tcPr>
          <w:p w14:paraId="382F0E28" w14:textId="77777777" w:rsidR="0049133F" w:rsidRPr="0049133F" w:rsidRDefault="0049133F" w:rsidP="0049133F">
            <w:pPr>
              <w:spacing w:line="440" w:lineRule="exact"/>
              <w:rPr>
                <w:rFonts w:ascii="Calibri" w:eastAsia="宋体" w:hAnsi="Calibri" w:cs="Times New Roman"/>
                <w:kern w:val="0"/>
                <w:sz w:val="24"/>
              </w:rPr>
            </w:pPr>
            <w:r w:rsidRPr="0049133F">
              <w:rPr>
                <w:rFonts w:ascii="Calibri" w:eastAsia="宋体" w:hAnsi="Calibri" w:cs="Times New Roman" w:hint="eastAsia"/>
                <w:kern w:val="0"/>
                <w:sz w:val="24"/>
              </w:rPr>
              <w:t>讲授法、讨论法、读书指导法、任务型教学法</w:t>
            </w:r>
          </w:p>
        </w:tc>
        <w:tc>
          <w:tcPr>
            <w:tcW w:w="1986" w:type="dxa"/>
            <w:tcBorders>
              <w:top w:val="single" w:sz="4" w:space="0" w:color="auto"/>
              <w:left w:val="single" w:sz="4" w:space="0" w:color="auto"/>
              <w:bottom w:val="single" w:sz="4" w:space="0" w:color="auto"/>
              <w:right w:val="single" w:sz="4" w:space="0" w:color="auto"/>
            </w:tcBorders>
            <w:vAlign w:val="center"/>
          </w:tcPr>
          <w:p w14:paraId="003EF172" w14:textId="77777777" w:rsidR="0049133F" w:rsidRPr="0049133F" w:rsidRDefault="0049133F" w:rsidP="0049133F">
            <w:pPr>
              <w:spacing w:line="440" w:lineRule="exact"/>
              <w:jc w:val="center"/>
              <w:rPr>
                <w:rFonts w:ascii="Calibri" w:eastAsia="宋体" w:hAnsi="Calibri" w:cs="Times New Roman"/>
                <w:sz w:val="24"/>
              </w:rPr>
            </w:pPr>
            <w:r w:rsidRPr="0049133F">
              <w:rPr>
                <w:rFonts w:ascii="Calibri" w:eastAsia="宋体" w:hAnsi="Calibri" w:cs="Times New Roman"/>
                <w:sz w:val="24"/>
              </w:rPr>
              <w:t>课程目标</w:t>
            </w:r>
            <w:r w:rsidRPr="0049133F">
              <w:rPr>
                <w:rFonts w:ascii="Calibri" w:eastAsia="宋体" w:hAnsi="Calibri" w:cs="Times New Roman"/>
                <w:sz w:val="24"/>
              </w:rPr>
              <w:t>1</w:t>
            </w:r>
            <w:r w:rsidRPr="0049133F">
              <w:rPr>
                <w:rFonts w:ascii="Calibri" w:eastAsia="宋体" w:hAnsi="Calibri" w:cs="Times New Roman"/>
                <w:sz w:val="24"/>
              </w:rPr>
              <w:t>、</w:t>
            </w:r>
            <w:r w:rsidRPr="0049133F">
              <w:rPr>
                <w:rFonts w:ascii="Calibri" w:eastAsia="宋体" w:hAnsi="Calibri" w:cs="Times New Roman"/>
                <w:sz w:val="24"/>
              </w:rPr>
              <w:t>2</w:t>
            </w:r>
            <w:r w:rsidRPr="0049133F">
              <w:rPr>
                <w:rFonts w:ascii="Calibri" w:eastAsia="宋体" w:hAnsi="Calibri" w:cs="Times New Roman"/>
                <w:sz w:val="24"/>
              </w:rPr>
              <w:t>、</w:t>
            </w:r>
            <w:r w:rsidRPr="0049133F">
              <w:rPr>
                <w:rFonts w:ascii="Calibri" w:eastAsia="宋体" w:hAnsi="Calibri" w:cs="Times New Roman"/>
                <w:sz w:val="24"/>
              </w:rPr>
              <w:t>3</w:t>
            </w:r>
          </w:p>
        </w:tc>
        <w:tc>
          <w:tcPr>
            <w:tcW w:w="1276" w:type="dxa"/>
            <w:tcBorders>
              <w:top w:val="single" w:sz="4" w:space="0" w:color="auto"/>
              <w:left w:val="single" w:sz="4" w:space="0" w:color="auto"/>
              <w:bottom w:val="single" w:sz="4" w:space="0" w:color="auto"/>
              <w:right w:val="single" w:sz="4" w:space="0" w:color="auto"/>
            </w:tcBorders>
            <w:vAlign w:val="center"/>
          </w:tcPr>
          <w:p w14:paraId="09C15EE3" w14:textId="77777777" w:rsidR="0049133F" w:rsidRPr="0049133F" w:rsidRDefault="0049133F" w:rsidP="0049133F">
            <w:pPr>
              <w:spacing w:line="440" w:lineRule="exact"/>
              <w:jc w:val="center"/>
              <w:rPr>
                <w:rFonts w:ascii="Calibri" w:eastAsia="宋体" w:hAnsi="Calibri" w:cs="Times New Roman"/>
                <w:sz w:val="24"/>
              </w:rPr>
            </w:pPr>
            <w:r w:rsidRPr="0049133F">
              <w:rPr>
                <w:rFonts w:ascii="Calibri" w:eastAsia="宋体" w:hAnsi="Calibri" w:cs="Times New Roman"/>
                <w:sz w:val="24"/>
              </w:rPr>
              <w:t>理论</w:t>
            </w:r>
            <w:r w:rsidRPr="0049133F">
              <w:rPr>
                <w:rFonts w:ascii="Calibri" w:eastAsia="宋体" w:hAnsi="Calibri" w:cs="Times New Roman"/>
                <w:sz w:val="24"/>
              </w:rPr>
              <w:t>8</w:t>
            </w:r>
          </w:p>
          <w:p w14:paraId="5A61CDFB" w14:textId="77777777" w:rsidR="0049133F" w:rsidRPr="0049133F" w:rsidRDefault="0049133F" w:rsidP="0049133F">
            <w:pPr>
              <w:spacing w:line="440" w:lineRule="exact"/>
              <w:jc w:val="center"/>
              <w:rPr>
                <w:rFonts w:ascii="Calibri" w:eastAsia="宋体" w:hAnsi="Calibri" w:cs="Times New Roman"/>
                <w:sz w:val="24"/>
              </w:rPr>
            </w:pPr>
            <w:r w:rsidRPr="0049133F">
              <w:rPr>
                <w:rFonts w:ascii="Calibri" w:eastAsia="宋体" w:hAnsi="Calibri" w:cs="Times New Roman"/>
                <w:sz w:val="24"/>
              </w:rPr>
              <w:t>线上</w:t>
            </w:r>
            <w:r w:rsidRPr="0049133F">
              <w:rPr>
                <w:rFonts w:ascii="Calibri" w:eastAsia="宋体" w:hAnsi="Calibri" w:cs="Times New Roman" w:hint="eastAsia"/>
                <w:sz w:val="24"/>
              </w:rPr>
              <w:t>4</w:t>
            </w:r>
          </w:p>
        </w:tc>
      </w:tr>
      <w:tr w:rsidR="0049133F" w:rsidRPr="0049133F" w14:paraId="19F10D1B" w14:textId="77777777" w:rsidTr="00BA2CFD">
        <w:trPr>
          <w:trHeight w:val="90"/>
          <w:jc w:val="center"/>
        </w:trPr>
        <w:tc>
          <w:tcPr>
            <w:tcW w:w="3128" w:type="dxa"/>
            <w:tcBorders>
              <w:top w:val="single" w:sz="4" w:space="0" w:color="auto"/>
              <w:left w:val="single" w:sz="4" w:space="0" w:color="auto"/>
              <w:bottom w:val="single" w:sz="4" w:space="0" w:color="auto"/>
              <w:right w:val="single" w:sz="4" w:space="0" w:color="auto"/>
            </w:tcBorders>
            <w:vAlign w:val="center"/>
          </w:tcPr>
          <w:p w14:paraId="1AE72C8C" w14:textId="77777777" w:rsidR="0049133F" w:rsidRPr="0049133F" w:rsidRDefault="0049133F" w:rsidP="0049133F">
            <w:pPr>
              <w:spacing w:line="440" w:lineRule="exact"/>
              <w:rPr>
                <w:rFonts w:ascii="Calibri" w:eastAsia="宋体" w:hAnsi="Calibri" w:cs="Times New Roman"/>
                <w:sz w:val="24"/>
              </w:rPr>
            </w:pPr>
            <w:r w:rsidRPr="0049133F">
              <w:rPr>
                <w:rFonts w:ascii="Calibri" w:eastAsia="宋体" w:hAnsi="Calibri" w:cs="Times New Roman"/>
                <w:sz w:val="24"/>
              </w:rPr>
              <w:t xml:space="preserve">Unit 2 </w:t>
            </w:r>
            <w:r w:rsidRPr="0049133F">
              <w:rPr>
                <w:rFonts w:ascii="Calibri" w:eastAsia="宋体" w:hAnsi="Calibri" w:cs="Times New Roman" w:hint="eastAsia"/>
                <w:sz w:val="24"/>
              </w:rPr>
              <w:t>Job and Dedication</w:t>
            </w:r>
          </w:p>
        </w:tc>
        <w:tc>
          <w:tcPr>
            <w:tcW w:w="2970" w:type="dxa"/>
            <w:tcBorders>
              <w:top w:val="single" w:sz="4" w:space="0" w:color="auto"/>
              <w:left w:val="single" w:sz="4" w:space="0" w:color="auto"/>
              <w:bottom w:val="single" w:sz="4" w:space="0" w:color="auto"/>
              <w:right w:val="single" w:sz="4" w:space="0" w:color="auto"/>
            </w:tcBorders>
            <w:vAlign w:val="center"/>
          </w:tcPr>
          <w:p w14:paraId="31A4A7F0" w14:textId="77777777" w:rsidR="0049133F" w:rsidRPr="0049133F" w:rsidRDefault="0049133F" w:rsidP="0049133F">
            <w:pPr>
              <w:rPr>
                <w:rFonts w:ascii="Calibri" w:eastAsia="宋体" w:hAnsi="Calibri" w:cs="Times New Roman"/>
                <w:sz w:val="24"/>
              </w:rPr>
            </w:pPr>
            <w:r w:rsidRPr="0049133F">
              <w:rPr>
                <w:rFonts w:ascii="Calibri" w:eastAsia="宋体" w:hAnsi="Calibri" w:cs="Times New Roman" w:hint="eastAsia"/>
                <w:sz w:val="24"/>
              </w:rPr>
              <w:t>小组讨论法、任务型教学法、自主学习法</w:t>
            </w:r>
          </w:p>
        </w:tc>
        <w:tc>
          <w:tcPr>
            <w:tcW w:w="1986" w:type="dxa"/>
            <w:tcBorders>
              <w:top w:val="single" w:sz="4" w:space="0" w:color="auto"/>
              <w:left w:val="single" w:sz="4" w:space="0" w:color="auto"/>
              <w:bottom w:val="single" w:sz="4" w:space="0" w:color="auto"/>
              <w:right w:val="single" w:sz="4" w:space="0" w:color="auto"/>
            </w:tcBorders>
            <w:vAlign w:val="center"/>
          </w:tcPr>
          <w:p w14:paraId="14CB7B0E" w14:textId="77777777" w:rsidR="0049133F" w:rsidRPr="0049133F" w:rsidRDefault="0049133F" w:rsidP="0049133F">
            <w:pPr>
              <w:spacing w:line="440" w:lineRule="exact"/>
              <w:jc w:val="center"/>
              <w:rPr>
                <w:rFonts w:ascii="Calibri" w:eastAsia="宋体" w:hAnsi="Calibri" w:cs="Times New Roman"/>
                <w:sz w:val="24"/>
              </w:rPr>
            </w:pPr>
            <w:r w:rsidRPr="0049133F">
              <w:rPr>
                <w:rFonts w:ascii="Calibri" w:eastAsia="宋体" w:hAnsi="Calibri" w:cs="Times New Roman"/>
                <w:sz w:val="24"/>
              </w:rPr>
              <w:t>课程目标</w:t>
            </w:r>
            <w:r w:rsidRPr="0049133F">
              <w:rPr>
                <w:rFonts w:ascii="Calibri" w:eastAsia="宋体" w:hAnsi="Calibri" w:cs="Times New Roman"/>
                <w:sz w:val="24"/>
              </w:rPr>
              <w:t>1</w:t>
            </w:r>
            <w:r w:rsidRPr="0049133F">
              <w:rPr>
                <w:rFonts w:ascii="Calibri" w:eastAsia="宋体" w:hAnsi="Calibri" w:cs="Times New Roman"/>
                <w:sz w:val="24"/>
              </w:rPr>
              <w:t>、</w:t>
            </w:r>
            <w:r w:rsidRPr="0049133F">
              <w:rPr>
                <w:rFonts w:ascii="Calibri" w:eastAsia="宋体" w:hAnsi="Calibri" w:cs="Times New Roman"/>
                <w:sz w:val="24"/>
              </w:rPr>
              <w:t>2</w:t>
            </w:r>
            <w:r w:rsidRPr="0049133F">
              <w:rPr>
                <w:rFonts w:ascii="Calibri" w:eastAsia="宋体" w:hAnsi="Calibri" w:cs="Times New Roman"/>
                <w:sz w:val="24"/>
              </w:rPr>
              <w:t>、</w:t>
            </w:r>
            <w:r w:rsidRPr="0049133F">
              <w:rPr>
                <w:rFonts w:ascii="Calibri" w:eastAsia="宋体" w:hAnsi="Calibri" w:cs="Times New Roman"/>
                <w:sz w:val="24"/>
              </w:rPr>
              <w:t>3</w:t>
            </w:r>
          </w:p>
        </w:tc>
        <w:tc>
          <w:tcPr>
            <w:tcW w:w="1276" w:type="dxa"/>
            <w:tcBorders>
              <w:top w:val="single" w:sz="4" w:space="0" w:color="auto"/>
              <w:left w:val="single" w:sz="4" w:space="0" w:color="auto"/>
              <w:bottom w:val="single" w:sz="4" w:space="0" w:color="auto"/>
              <w:right w:val="single" w:sz="4" w:space="0" w:color="auto"/>
            </w:tcBorders>
            <w:vAlign w:val="center"/>
          </w:tcPr>
          <w:p w14:paraId="5D3C8BE5" w14:textId="77777777" w:rsidR="0049133F" w:rsidRPr="0049133F" w:rsidRDefault="0049133F" w:rsidP="0049133F">
            <w:pPr>
              <w:spacing w:line="440" w:lineRule="exact"/>
              <w:jc w:val="center"/>
              <w:rPr>
                <w:rFonts w:ascii="Calibri" w:eastAsia="宋体" w:hAnsi="Calibri" w:cs="Times New Roman"/>
                <w:sz w:val="24"/>
              </w:rPr>
            </w:pPr>
            <w:r w:rsidRPr="0049133F">
              <w:rPr>
                <w:rFonts w:ascii="Calibri" w:eastAsia="宋体" w:hAnsi="Calibri" w:cs="Times New Roman"/>
                <w:sz w:val="24"/>
              </w:rPr>
              <w:t>理论</w:t>
            </w:r>
            <w:r w:rsidRPr="0049133F">
              <w:rPr>
                <w:rFonts w:ascii="Calibri" w:eastAsia="宋体" w:hAnsi="Calibri" w:cs="Times New Roman"/>
                <w:sz w:val="24"/>
              </w:rPr>
              <w:t>8</w:t>
            </w:r>
          </w:p>
          <w:p w14:paraId="76CFB8CA" w14:textId="77777777" w:rsidR="0049133F" w:rsidRPr="0049133F" w:rsidRDefault="0049133F" w:rsidP="0049133F">
            <w:pPr>
              <w:spacing w:line="440" w:lineRule="exact"/>
              <w:jc w:val="center"/>
              <w:rPr>
                <w:rFonts w:ascii="Calibri" w:eastAsia="宋体" w:hAnsi="Calibri" w:cs="Times New Roman"/>
                <w:sz w:val="24"/>
              </w:rPr>
            </w:pPr>
            <w:r w:rsidRPr="0049133F">
              <w:rPr>
                <w:rFonts w:ascii="Calibri" w:eastAsia="宋体" w:hAnsi="Calibri" w:cs="Times New Roman"/>
                <w:sz w:val="24"/>
              </w:rPr>
              <w:t>线上</w:t>
            </w:r>
            <w:r w:rsidRPr="0049133F">
              <w:rPr>
                <w:rFonts w:ascii="Calibri" w:eastAsia="宋体" w:hAnsi="Calibri" w:cs="Times New Roman" w:hint="eastAsia"/>
                <w:sz w:val="24"/>
              </w:rPr>
              <w:t>4</w:t>
            </w:r>
          </w:p>
        </w:tc>
      </w:tr>
      <w:tr w:rsidR="0049133F" w:rsidRPr="0049133F" w14:paraId="742E56B5" w14:textId="77777777" w:rsidTr="00BA2CFD">
        <w:trPr>
          <w:jc w:val="center"/>
        </w:trPr>
        <w:tc>
          <w:tcPr>
            <w:tcW w:w="3128" w:type="dxa"/>
            <w:tcBorders>
              <w:top w:val="single" w:sz="4" w:space="0" w:color="auto"/>
              <w:left w:val="single" w:sz="4" w:space="0" w:color="auto"/>
              <w:bottom w:val="single" w:sz="4" w:space="0" w:color="auto"/>
              <w:right w:val="single" w:sz="4" w:space="0" w:color="auto"/>
            </w:tcBorders>
            <w:vAlign w:val="center"/>
          </w:tcPr>
          <w:p w14:paraId="4F9071B1" w14:textId="77777777" w:rsidR="0049133F" w:rsidRPr="0049133F" w:rsidRDefault="0049133F" w:rsidP="0049133F">
            <w:pPr>
              <w:spacing w:line="440" w:lineRule="exact"/>
              <w:rPr>
                <w:rFonts w:ascii="Calibri" w:eastAsia="宋体" w:hAnsi="Calibri" w:cs="Times New Roman"/>
                <w:sz w:val="24"/>
                <w:highlight w:val="yellow"/>
              </w:rPr>
            </w:pPr>
            <w:r w:rsidRPr="0049133F">
              <w:rPr>
                <w:rFonts w:ascii="Calibri" w:eastAsia="宋体" w:hAnsi="Calibri" w:cs="Times New Roman"/>
                <w:sz w:val="24"/>
              </w:rPr>
              <w:t>Unit 3 Stress and Happiness</w:t>
            </w:r>
          </w:p>
        </w:tc>
        <w:tc>
          <w:tcPr>
            <w:tcW w:w="2970" w:type="dxa"/>
            <w:tcBorders>
              <w:top w:val="single" w:sz="4" w:space="0" w:color="auto"/>
              <w:left w:val="single" w:sz="4" w:space="0" w:color="auto"/>
              <w:bottom w:val="single" w:sz="4" w:space="0" w:color="auto"/>
              <w:right w:val="single" w:sz="4" w:space="0" w:color="auto"/>
            </w:tcBorders>
            <w:vAlign w:val="center"/>
          </w:tcPr>
          <w:p w14:paraId="73666592" w14:textId="77777777" w:rsidR="0049133F" w:rsidRPr="0049133F" w:rsidRDefault="0049133F" w:rsidP="0049133F">
            <w:pPr>
              <w:rPr>
                <w:rFonts w:ascii="Calibri" w:eastAsia="宋体" w:hAnsi="Calibri" w:cs="Times New Roman"/>
                <w:sz w:val="24"/>
                <w:highlight w:val="yellow"/>
              </w:rPr>
            </w:pPr>
            <w:r w:rsidRPr="0049133F">
              <w:rPr>
                <w:rFonts w:ascii="Calibri" w:eastAsia="宋体" w:hAnsi="Calibri" w:cs="Times New Roman" w:hint="eastAsia"/>
                <w:kern w:val="0"/>
                <w:sz w:val="24"/>
                <w:lang w:val="zh-CN"/>
              </w:rPr>
              <w:t>讲授法、</w:t>
            </w:r>
            <w:r w:rsidRPr="0049133F">
              <w:rPr>
                <w:rFonts w:ascii="Calibri" w:eastAsia="宋体" w:hAnsi="Calibri" w:cs="Times New Roman" w:hint="eastAsia"/>
                <w:sz w:val="24"/>
              </w:rPr>
              <w:t>小组讨论法、</w:t>
            </w:r>
            <w:r w:rsidRPr="0049133F">
              <w:rPr>
                <w:rFonts w:ascii="Calibri" w:eastAsia="宋体" w:hAnsi="Calibri" w:cs="Times New Roman" w:hint="eastAsia"/>
                <w:kern w:val="0"/>
                <w:sz w:val="24"/>
                <w:lang w:val="zh-CN"/>
              </w:rPr>
              <w:t>自主学习法、</w:t>
            </w:r>
            <w:r w:rsidRPr="0049133F">
              <w:rPr>
                <w:rFonts w:ascii="Calibri" w:eastAsia="宋体" w:hAnsi="Calibri" w:cs="Times New Roman" w:hint="eastAsia"/>
                <w:bCs/>
                <w:sz w:val="24"/>
              </w:rPr>
              <w:t>混合式教学法</w:t>
            </w:r>
          </w:p>
        </w:tc>
        <w:tc>
          <w:tcPr>
            <w:tcW w:w="1986" w:type="dxa"/>
            <w:tcBorders>
              <w:top w:val="single" w:sz="4" w:space="0" w:color="auto"/>
              <w:left w:val="single" w:sz="4" w:space="0" w:color="auto"/>
              <w:bottom w:val="single" w:sz="4" w:space="0" w:color="auto"/>
              <w:right w:val="single" w:sz="4" w:space="0" w:color="auto"/>
            </w:tcBorders>
            <w:vAlign w:val="center"/>
          </w:tcPr>
          <w:p w14:paraId="3A537CD0" w14:textId="77777777" w:rsidR="0049133F" w:rsidRPr="0049133F" w:rsidRDefault="0049133F" w:rsidP="0049133F">
            <w:pPr>
              <w:spacing w:line="440" w:lineRule="exact"/>
              <w:jc w:val="center"/>
              <w:rPr>
                <w:rFonts w:ascii="Calibri" w:eastAsia="宋体" w:hAnsi="Calibri" w:cs="Times New Roman"/>
                <w:sz w:val="24"/>
                <w:highlight w:val="yellow"/>
              </w:rPr>
            </w:pPr>
            <w:r w:rsidRPr="0049133F">
              <w:rPr>
                <w:rFonts w:ascii="Calibri" w:eastAsia="宋体" w:hAnsi="Calibri" w:cs="Times New Roman"/>
                <w:sz w:val="24"/>
              </w:rPr>
              <w:t>课程目标</w:t>
            </w:r>
            <w:r w:rsidRPr="0049133F">
              <w:rPr>
                <w:rFonts w:ascii="Calibri" w:eastAsia="宋体" w:hAnsi="Calibri" w:cs="Times New Roman"/>
                <w:sz w:val="24"/>
              </w:rPr>
              <w:t>1</w:t>
            </w:r>
            <w:r w:rsidRPr="0049133F">
              <w:rPr>
                <w:rFonts w:ascii="Calibri" w:eastAsia="宋体" w:hAnsi="Calibri" w:cs="Times New Roman"/>
                <w:sz w:val="24"/>
              </w:rPr>
              <w:t>、</w:t>
            </w:r>
            <w:r w:rsidRPr="0049133F">
              <w:rPr>
                <w:rFonts w:ascii="Calibri" w:eastAsia="宋体" w:hAnsi="Calibri" w:cs="Times New Roman"/>
                <w:sz w:val="24"/>
              </w:rPr>
              <w:t>2</w:t>
            </w:r>
            <w:r w:rsidRPr="0049133F">
              <w:rPr>
                <w:rFonts w:ascii="Calibri" w:eastAsia="宋体" w:hAnsi="Calibri" w:cs="Times New Roman"/>
                <w:sz w:val="24"/>
              </w:rPr>
              <w:t>、</w:t>
            </w:r>
            <w:r w:rsidRPr="0049133F">
              <w:rPr>
                <w:rFonts w:ascii="Calibri" w:eastAsia="宋体" w:hAnsi="Calibri" w:cs="Times New Roman"/>
                <w:sz w:val="24"/>
              </w:rPr>
              <w:t>3</w:t>
            </w:r>
          </w:p>
        </w:tc>
        <w:tc>
          <w:tcPr>
            <w:tcW w:w="1276" w:type="dxa"/>
            <w:tcBorders>
              <w:top w:val="single" w:sz="4" w:space="0" w:color="auto"/>
              <w:left w:val="single" w:sz="4" w:space="0" w:color="auto"/>
              <w:bottom w:val="single" w:sz="4" w:space="0" w:color="auto"/>
              <w:right w:val="single" w:sz="4" w:space="0" w:color="auto"/>
            </w:tcBorders>
            <w:vAlign w:val="center"/>
          </w:tcPr>
          <w:p w14:paraId="2FE80B42" w14:textId="77777777" w:rsidR="0049133F" w:rsidRPr="0049133F" w:rsidRDefault="0049133F" w:rsidP="0049133F">
            <w:pPr>
              <w:spacing w:line="440" w:lineRule="exact"/>
              <w:jc w:val="center"/>
              <w:rPr>
                <w:rFonts w:ascii="Calibri" w:eastAsia="宋体" w:hAnsi="Calibri" w:cs="Times New Roman"/>
                <w:sz w:val="24"/>
              </w:rPr>
            </w:pPr>
            <w:r w:rsidRPr="0049133F">
              <w:rPr>
                <w:rFonts w:ascii="Calibri" w:eastAsia="宋体" w:hAnsi="Calibri" w:cs="Times New Roman"/>
                <w:sz w:val="24"/>
              </w:rPr>
              <w:t>理论</w:t>
            </w:r>
            <w:r w:rsidRPr="0049133F">
              <w:rPr>
                <w:rFonts w:ascii="Calibri" w:eastAsia="宋体" w:hAnsi="Calibri" w:cs="Times New Roman"/>
                <w:sz w:val="24"/>
              </w:rPr>
              <w:t>8</w:t>
            </w:r>
          </w:p>
          <w:p w14:paraId="7404B8B1" w14:textId="77777777" w:rsidR="0049133F" w:rsidRPr="0049133F" w:rsidRDefault="0049133F" w:rsidP="0049133F">
            <w:pPr>
              <w:spacing w:line="440" w:lineRule="exact"/>
              <w:jc w:val="center"/>
              <w:rPr>
                <w:rFonts w:ascii="Calibri" w:eastAsia="宋体" w:hAnsi="Calibri" w:cs="Times New Roman"/>
                <w:sz w:val="24"/>
              </w:rPr>
            </w:pPr>
            <w:r w:rsidRPr="0049133F">
              <w:rPr>
                <w:rFonts w:ascii="Calibri" w:eastAsia="宋体" w:hAnsi="Calibri" w:cs="Times New Roman"/>
                <w:sz w:val="24"/>
              </w:rPr>
              <w:t>线上</w:t>
            </w:r>
            <w:r w:rsidRPr="0049133F">
              <w:rPr>
                <w:rFonts w:ascii="Calibri" w:eastAsia="宋体" w:hAnsi="Calibri" w:cs="Times New Roman" w:hint="eastAsia"/>
                <w:sz w:val="24"/>
              </w:rPr>
              <w:t>4</w:t>
            </w:r>
          </w:p>
        </w:tc>
      </w:tr>
      <w:tr w:rsidR="0049133F" w:rsidRPr="0049133F" w14:paraId="64C11D0E" w14:textId="77777777" w:rsidTr="00BA2CFD">
        <w:trPr>
          <w:jc w:val="center"/>
        </w:trPr>
        <w:tc>
          <w:tcPr>
            <w:tcW w:w="3128" w:type="dxa"/>
            <w:tcBorders>
              <w:top w:val="single" w:sz="4" w:space="0" w:color="auto"/>
              <w:left w:val="single" w:sz="4" w:space="0" w:color="auto"/>
              <w:bottom w:val="single" w:sz="4" w:space="0" w:color="auto"/>
              <w:right w:val="single" w:sz="4" w:space="0" w:color="auto"/>
            </w:tcBorders>
            <w:vAlign w:val="center"/>
          </w:tcPr>
          <w:p w14:paraId="30C15A10" w14:textId="77777777" w:rsidR="0049133F" w:rsidRPr="0049133F" w:rsidRDefault="0049133F" w:rsidP="0049133F">
            <w:pPr>
              <w:spacing w:line="440" w:lineRule="exact"/>
              <w:jc w:val="left"/>
              <w:rPr>
                <w:rFonts w:ascii="Calibri" w:eastAsia="宋体" w:hAnsi="Calibri" w:cs="Times New Roman"/>
                <w:sz w:val="24"/>
              </w:rPr>
            </w:pPr>
            <w:r w:rsidRPr="0049133F">
              <w:rPr>
                <w:rFonts w:ascii="Calibri" w:eastAsia="宋体" w:hAnsi="Calibri" w:cs="Times New Roman"/>
                <w:sz w:val="24"/>
              </w:rPr>
              <w:t>Unit 6</w:t>
            </w:r>
            <w:r w:rsidRPr="0049133F">
              <w:rPr>
                <w:rFonts w:ascii="Calibri" w:eastAsia="宋体" w:hAnsi="Calibri" w:cs="Times New Roman" w:hint="eastAsia"/>
                <w:sz w:val="24"/>
              </w:rPr>
              <w:t xml:space="preserve"> </w:t>
            </w:r>
            <w:r w:rsidRPr="0049133F">
              <w:rPr>
                <w:rFonts w:ascii="Calibri" w:eastAsia="宋体" w:hAnsi="Calibri" w:cs="Times New Roman"/>
                <w:sz w:val="24"/>
              </w:rPr>
              <w:t>Harmony between Humanity and Nature</w:t>
            </w:r>
          </w:p>
        </w:tc>
        <w:tc>
          <w:tcPr>
            <w:tcW w:w="2970" w:type="dxa"/>
            <w:tcBorders>
              <w:top w:val="single" w:sz="4" w:space="0" w:color="auto"/>
              <w:left w:val="single" w:sz="4" w:space="0" w:color="auto"/>
              <w:bottom w:val="single" w:sz="4" w:space="0" w:color="auto"/>
              <w:right w:val="single" w:sz="4" w:space="0" w:color="auto"/>
            </w:tcBorders>
            <w:vAlign w:val="center"/>
          </w:tcPr>
          <w:p w14:paraId="04A8D87B" w14:textId="77777777" w:rsidR="0049133F" w:rsidRPr="0049133F" w:rsidRDefault="0049133F" w:rsidP="0049133F">
            <w:pPr>
              <w:rPr>
                <w:rFonts w:ascii="Calibri" w:eastAsia="宋体" w:hAnsi="Calibri" w:cs="Times New Roman"/>
                <w:sz w:val="24"/>
              </w:rPr>
            </w:pPr>
            <w:r w:rsidRPr="0049133F">
              <w:rPr>
                <w:rFonts w:ascii="Calibri" w:eastAsia="宋体" w:hAnsi="Calibri" w:cs="Times New Roman"/>
                <w:sz w:val="24"/>
              </w:rPr>
              <w:t>讨论法</w:t>
            </w:r>
            <w:r w:rsidRPr="0049133F">
              <w:rPr>
                <w:rFonts w:ascii="Calibri" w:eastAsia="宋体" w:hAnsi="Calibri" w:cs="Times New Roman" w:hint="eastAsia"/>
                <w:sz w:val="24"/>
              </w:rPr>
              <w:t>、</w:t>
            </w:r>
            <w:r w:rsidRPr="0049133F">
              <w:rPr>
                <w:rFonts w:ascii="Calibri" w:eastAsia="宋体" w:hAnsi="Calibri" w:cs="Times New Roman"/>
                <w:sz w:val="24"/>
              </w:rPr>
              <w:t>讲授法</w:t>
            </w:r>
            <w:r w:rsidRPr="0049133F">
              <w:rPr>
                <w:rFonts w:ascii="Calibri" w:eastAsia="宋体" w:hAnsi="Calibri" w:cs="Times New Roman" w:hint="eastAsia"/>
                <w:sz w:val="24"/>
              </w:rPr>
              <w:t>、</w:t>
            </w:r>
            <w:r w:rsidRPr="0049133F">
              <w:rPr>
                <w:rFonts w:ascii="Calibri" w:eastAsia="宋体" w:hAnsi="Calibri" w:cs="Times New Roman"/>
                <w:bCs/>
                <w:sz w:val="24"/>
              </w:rPr>
              <w:t>任务型教学法</w:t>
            </w:r>
            <w:r w:rsidRPr="0049133F">
              <w:rPr>
                <w:rFonts w:ascii="Calibri" w:eastAsia="宋体" w:hAnsi="Calibri" w:cs="Times New Roman" w:hint="eastAsia"/>
                <w:bCs/>
                <w:sz w:val="24"/>
              </w:rPr>
              <w:t>、混合式教学法</w:t>
            </w:r>
          </w:p>
        </w:tc>
        <w:tc>
          <w:tcPr>
            <w:tcW w:w="1986" w:type="dxa"/>
            <w:tcBorders>
              <w:top w:val="single" w:sz="4" w:space="0" w:color="auto"/>
              <w:left w:val="single" w:sz="4" w:space="0" w:color="auto"/>
              <w:bottom w:val="single" w:sz="4" w:space="0" w:color="auto"/>
              <w:right w:val="single" w:sz="4" w:space="0" w:color="auto"/>
            </w:tcBorders>
            <w:vAlign w:val="center"/>
          </w:tcPr>
          <w:p w14:paraId="5C8590CB" w14:textId="77777777" w:rsidR="0049133F" w:rsidRPr="0049133F" w:rsidRDefault="0049133F" w:rsidP="0049133F">
            <w:pPr>
              <w:spacing w:line="440" w:lineRule="exact"/>
              <w:jc w:val="center"/>
              <w:rPr>
                <w:rFonts w:ascii="Calibri" w:eastAsia="宋体" w:hAnsi="Calibri" w:cs="Times New Roman"/>
                <w:sz w:val="24"/>
              </w:rPr>
            </w:pPr>
            <w:r w:rsidRPr="0049133F">
              <w:rPr>
                <w:rFonts w:ascii="Calibri" w:eastAsia="宋体" w:hAnsi="Calibri" w:cs="Times New Roman"/>
                <w:sz w:val="24"/>
              </w:rPr>
              <w:t>课程目标</w:t>
            </w:r>
            <w:r w:rsidRPr="0049133F">
              <w:rPr>
                <w:rFonts w:ascii="Calibri" w:eastAsia="宋体" w:hAnsi="Calibri" w:cs="Times New Roman"/>
                <w:sz w:val="24"/>
              </w:rPr>
              <w:t>1</w:t>
            </w:r>
            <w:r w:rsidRPr="0049133F">
              <w:rPr>
                <w:rFonts w:ascii="Calibri" w:eastAsia="宋体" w:hAnsi="Calibri" w:cs="Times New Roman"/>
                <w:sz w:val="24"/>
              </w:rPr>
              <w:t>、</w:t>
            </w:r>
            <w:r w:rsidRPr="0049133F">
              <w:rPr>
                <w:rFonts w:ascii="Calibri" w:eastAsia="宋体" w:hAnsi="Calibri" w:cs="Times New Roman"/>
                <w:sz w:val="24"/>
              </w:rPr>
              <w:t>2</w:t>
            </w:r>
            <w:r w:rsidRPr="0049133F">
              <w:rPr>
                <w:rFonts w:ascii="Calibri" w:eastAsia="宋体" w:hAnsi="Calibri" w:cs="Times New Roman"/>
                <w:sz w:val="24"/>
              </w:rPr>
              <w:t>、</w:t>
            </w:r>
            <w:r w:rsidRPr="0049133F">
              <w:rPr>
                <w:rFonts w:ascii="Calibri" w:eastAsia="宋体" w:hAnsi="Calibri" w:cs="Times New Roman"/>
                <w:sz w:val="24"/>
              </w:rPr>
              <w:t>3</w:t>
            </w:r>
          </w:p>
        </w:tc>
        <w:tc>
          <w:tcPr>
            <w:tcW w:w="1276" w:type="dxa"/>
            <w:tcBorders>
              <w:top w:val="single" w:sz="4" w:space="0" w:color="auto"/>
              <w:left w:val="single" w:sz="4" w:space="0" w:color="auto"/>
              <w:bottom w:val="single" w:sz="4" w:space="0" w:color="auto"/>
              <w:right w:val="single" w:sz="4" w:space="0" w:color="auto"/>
            </w:tcBorders>
            <w:vAlign w:val="center"/>
          </w:tcPr>
          <w:p w14:paraId="0B1098BC" w14:textId="77777777" w:rsidR="0049133F" w:rsidRPr="0049133F" w:rsidRDefault="0049133F" w:rsidP="0049133F">
            <w:pPr>
              <w:spacing w:line="440" w:lineRule="exact"/>
              <w:jc w:val="center"/>
              <w:rPr>
                <w:rFonts w:ascii="Calibri" w:eastAsia="宋体" w:hAnsi="Calibri" w:cs="Times New Roman"/>
                <w:sz w:val="24"/>
              </w:rPr>
            </w:pPr>
            <w:r w:rsidRPr="0049133F">
              <w:rPr>
                <w:rFonts w:ascii="Calibri" w:eastAsia="宋体" w:hAnsi="Calibri" w:cs="Times New Roman"/>
                <w:sz w:val="24"/>
              </w:rPr>
              <w:t>理论</w:t>
            </w:r>
            <w:r w:rsidRPr="0049133F">
              <w:rPr>
                <w:rFonts w:ascii="Calibri" w:eastAsia="宋体" w:hAnsi="Calibri" w:cs="Times New Roman"/>
                <w:sz w:val="24"/>
              </w:rPr>
              <w:t>8</w:t>
            </w:r>
          </w:p>
          <w:p w14:paraId="16C027BC" w14:textId="77777777" w:rsidR="0049133F" w:rsidRPr="0049133F" w:rsidRDefault="0049133F" w:rsidP="0049133F">
            <w:pPr>
              <w:spacing w:line="440" w:lineRule="exact"/>
              <w:jc w:val="center"/>
              <w:rPr>
                <w:rFonts w:ascii="Calibri" w:eastAsia="宋体" w:hAnsi="Calibri" w:cs="Times New Roman"/>
                <w:sz w:val="24"/>
              </w:rPr>
            </w:pPr>
            <w:r w:rsidRPr="0049133F">
              <w:rPr>
                <w:rFonts w:ascii="Calibri" w:eastAsia="宋体" w:hAnsi="Calibri" w:cs="Times New Roman"/>
                <w:sz w:val="24"/>
              </w:rPr>
              <w:t>线上</w:t>
            </w:r>
            <w:r w:rsidRPr="0049133F">
              <w:rPr>
                <w:rFonts w:ascii="Calibri" w:eastAsia="宋体" w:hAnsi="Calibri" w:cs="Times New Roman" w:hint="eastAsia"/>
                <w:sz w:val="24"/>
              </w:rPr>
              <w:t>4</w:t>
            </w:r>
          </w:p>
        </w:tc>
      </w:tr>
      <w:tr w:rsidR="0049133F" w:rsidRPr="0049133F" w14:paraId="6C4B92F1" w14:textId="77777777" w:rsidTr="00BA2CFD">
        <w:trPr>
          <w:jc w:val="center"/>
        </w:trPr>
        <w:tc>
          <w:tcPr>
            <w:tcW w:w="8084" w:type="dxa"/>
            <w:gridSpan w:val="3"/>
            <w:tcBorders>
              <w:top w:val="single" w:sz="4" w:space="0" w:color="auto"/>
              <w:left w:val="single" w:sz="4" w:space="0" w:color="auto"/>
              <w:bottom w:val="single" w:sz="4" w:space="0" w:color="auto"/>
              <w:right w:val="single" w:sz="4" w:space="0" w:color="auto"/>
            </w:tcBorders>
            <w:vAlign w:val="center"/>
          </w:tcPr>
          <w:p w14:paraId="5F84800B" w14:textId="77777777" w:rsidR="0049133F" w:rsidRPr="0049133F" w:rsidRDefault="0049133F" w:rsidP="0049133F">
            <w:pPr>
              <w:spacing w:line="440" w:lineRule="exact"/>
              <w:jc w:val="center"/>
              <w:rPr>
                <w:rFonts w:ascii="Calibri" w:eastAsia="宋体" w:hAnsi="Calibri" w:cs="Times New Roman"/>
                <w:b/>
                <w:sz w:val="24"/>
              </w:rPr>
            </w:pPr>
            <w:r w:rsidRPr="0049133F">
              <w:rPr>
                <w:rFonts w:ascii="Calibri" w:eastAsia="宋体" w:hAnsi="Calibri" w:cs="Times New Roman"/>
                <w:b/>
                <w:sz w:val="24"/>
              </w:rPr>
              <w:t>合计</w:t>
            </w:r>
          </w:p>
        </w:tc>
        <w:tc>
          <w:tcPr>
            <w:tcW w:w="1276" w:type="dxa"/>
            <w:tcBorders>
              <w:top w:val="single" w:sz="4" w:space="0" w:color="auto"/>
              <w:left w:val="single" w:sz="4" w:space="0" w:color="auto"/>
              <w:bottom w:val="single" w:sz="4" w:space="0" w:color="auto"/>
              <w:right w:val="single" w:sz="4" w:space="0" w:color="auto"/>
            </w:tcBorders>
            <w:vAlign w:val="center"/>
          </w:tcPr>
          <w:p w14:paraId="79311DA7" w14:textId="77777777" w:rsidR="0049133F" w:rsidRPr="0049133F" w:rsidRDefault="0049133F" w:rsidP="0049133F">
            <w:pPr>
              <w:spacing w:line="440" w:lineRule="exact"/>
              <w:jc w:val="center"/>
              <w:rPr>
                <w:rFonts w:ascii="Calibri" w:eastAsia="宋体" w:hAnsi="Calibri" w:cs="Times New Roman"/>
                <w:sz w:val="24"/>
              </w:rPr>
            </w:pPr>
            <w:r w:rsidRPr="0049133F">
              <w:rPr>
                <w:rFonts w:ascii="Calibri" w:eastAsia="宋体" w:hAnsi="Calibri" w:cs="Times New Roman" w:hint="eastAsia"/>
                <w:sz w:val="24"/>
              </w:rPr>
              <w:t>48</w:t>
            </w:r>
          </w:p>
        </w:tc>
      </w:tr>
    </w:tbl>
    <w:p w14:paraId="2A510A62" w14:textId="77777777" w:rsidR="0049133F" w:rsidRPr="0049133F" w:rsidRDefault="0049133F" w:rsidP="0049133F">
      <w:pPr>
        <w:numPr>
          <w:ilvl w:val="0"/>
          <w:numId w:val="26"/>
        </w:numPr>
        <w:spacing w:beforeLines="50" w:before="156" w:afterLines="50" w:after="156" w:line="440" w:lineRule="exact"/>
        <w:rPr>
          <w:rFonts w:ascii="黑体" w:eastAsia="黑体" w:hAnsi="黑体" w:cs="Times New Roman"/>
          <w:sz w:val="28"/>
          <w:szCs w:val="28"/>
        </w:rPr>
      </w:pPr>
      <w:bookmarkStart w:id="44" w:name="OLE_LINK4"/>
      <w:r w:rsidRPr="0049133F">
        <w:rPr>
          <w:rFonts w:ascii="黑体" w:eastAsia="黑体" w:hAnsi="黑体" w:cs="Times New Roman" w:hint="eastAsia"/>
          <w:sz w:val="28"/>
          <w:szCs w:val="28"/>
        </w:rPr>
        <w:t>课程考核及与课程学习目标的对应关系</w:t>
      </w:r>
      <w:bookmarkEnd w:id="44"/>
    </w:p>
    <w:p w14:paraId="02081B8F" w14:textId="77777777" w:rsidR="0049133F" w:rsidRPr="0049133F" w:rsidRDefault="0049133F" w:rsidP="0049133F">
      <w:pPr>
        <w:spacing w:beforeLines="50" w:before="156" w:afterLines="50" w:after="156" w:line="440" w:lineRule="exact"/>
        <w:rPr>
          <w:rFonts w:ascii="黑体" w:eastAsia="黑体" w:hAnsi="黑体" w:cs="Times New Roman"/>
          <w:sz w:val="28"/>
          <w:szCs w:val="28"/>
        </w:rPr>
      </w:pPr>
      <w:r w:rsidRPr="0049133F">
        <w:rPr>
          <w:rFonts w:ascii="黑体" w:eastAsia="黑体" w:hAnsi="黑体" w:cs="Times New Roman" w:hint="eastAsia"/>
          <w:sz w:val="28"/>
          <w:szCs w:val="28"/>
        </w:rPr>
        <w:t>（一）课程考核内容与课程学习目标的对应关系</w:t>
      </w:r>
    </w:p>
    <w:tbl>
      <w:tblPr>
        <w:tblpPr w:leftFromText="180" w:rightFromText="180" w:vertAnchor="text" w:horzAnchor="page" w:tblpX="1523" w:tblpY="605"/>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49133F" w:rsidRPr="0049133F" w14:paraId="213708D1" w14:textId="77777777" w:rsidTr="00BA2CFD">
        <w:trPr>
          <w:trHeight w:val="515"/>
        </w:trPr>
        <w:tc>
          <w:tcPr>
            <w:tcW w:w="1422" w:type="dxa"/>
            <w:tcBorders>
              <w:top w:val="single" w:sz="4" w:space="0" w:color="auto"/>
              <w:left w:val="single" w:sz="4" w:space="0" w:color="auto"/>
              <w:bottom w:val="single" w:sz="4" w:space="0" w:color="auto"/>
              <w:right w:val="single" w:sz="4" w:space="0" w:color="auto"/>
            </w:tcBorders>
          </w:tcPr>
          <w:p w14:paraId="0C15FB25" w14:textId="77777777" w:rsidR="0049133F" w:rsidRPr="0049133F" w:rsidRDefault="0049133F" w:rsidP="0049133F">
            <w:pPr>
              <w:spacing w:line="440" w:lineRule="exact"/>
              <w:jc w:val="center"/>
              <w:rPr>
                <w:rFonts w:ascii="Calibri" w:eastAsia="宋体" w:hAnsi="Calibri" w:cs="Times New Roman"/>
                <w:b/>
                <w:sz w:val="24"/>
              </w:rPr>
            </w:pPr>
            <w:r w:rsidRPr="0049133F">
              <w:rPr>
                <w:rFonts w:ascii="Calibri" w:eastAsia="宋体" w:hAnsi="Calibri" w:cs="Times New Roman" w:hint="eastAsia"/>
                <w:b/>
                <w:sz w:val="24"/>
              </w:rPr>
              <w:t>课程目标</w:t>
            </w:r>
          </w:p>
        </w:tc>
        <w:tc>
          <w:tcPr>
            <w:tcW w:w="7918" w:type="dxa"/>
            <w:tcBorders>
              <w:top w:val="single" w:sz="4" w:space="0" w:color="auto"/>
              <w:left w:val="single" w:sz="4" w:space="0" w:color="auto"/>
              <w:bottom w:val="single" w:sz="4" w:space="0" w:color="auto"/>
              <w:right w:val="single" w:sz="4" w:space="0" w:color="auto"/>
            </w:tcBorders>
            <w:vAlign w:val="center"/>
          </w:tcPr>
          <w:p w14:paraId="425064C7" w14:textId="77777777" w:rsidR="0049133F" w:rsidRPr="0049133F" w:rsidRDefault="0049133F" w:rsidP="0049133F">
            <w:pPr>
              <w:spacing w:line="440" w:lineRule="exact"/>
              <w:jc w:val="center"/>
              <w:rPr>
                <w:rFonts w:ascii="Calibri" w:eastAsia="宋体" w:hAnsi="Calibri" w:cs="Times New Roman"/>
                <w:b/>
                <w:sz w:val="24"/>
              </w:rPr>
            </w:pPr>
            <w:r w:rsidRPr="0049133F">
              <w:rPr>
                <w:rFonts w:ascii="Calibri" w:eastAsia="宋体" w:hAnsi="Calibri" w:cs="Times New Roman" w:hint="eastAsia"/>
                <w:b/>
                <w:sz w:val="24"/>
              </w:rPr>
              <w:t>考核内容</w:t>
            </w:r>
          </w:p>
        </w:tc>
      </w:tr>
      <w:tr w:rsidR="0049133F" w:rsidRPr="0049133F" w14:paraId="5359F643" w14:textId="77777777" w:rsidTr="00BA2CFD">
        <w:tc>
          <w:tcPr>
            <w:tcW w:w="1422" w:type="dxa"/>
            <w:tcBorders>
              <w:top w:val="single" w:sz="4" w:space="0" w:color="auto"/>
              <w:left w:val="single" w:sz="4" w:space="0" w:color="auto"/>
              <w:bottom w:val="single" w:sz="4" w:space="0" w:color="auto"/>
              <w:right w:val="single" w:sz="4" w:space="0" w:color="auto"/>
            </w:tcBorders>
            <w:vAlign w:val="center"/>
          </w:tcPr>
          <w:p w14:paraId="5759FF02"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hint="eastAsia"/>
                <w:bCs/>
                <w:sz w:val="24"/>
              </w:rPr>
              <w:t>课程目标</w:t>
            </w:r>
            <w:r w:rsidRPr="0049133F">
              <w:rPr>
                <w:rFonts w:ascii="Calibri" w:eastAsia="宋体" w:hAnsi="Calibri" w:cs="Times New Roman"/>
                <w:bCs/>
                <w:sz w:val="24"/>
              </w:rPr>
              <w:t>1</w:t>
            </w:r>
          </w:p>
        </w:tc>
        <w:tc>
          <w:tcPr>
            <w:tcW w:w="7918" w:type="dxa"/>
            <w:tcBorders>
              <w:top w:val="single" w:sz="4" w:space="0" w:color="auto"/>
              <w:left w:val="single" w:sz="4" w:space="0" w:color="auto"/>
              <w:bottom w:val="single" w:sz="4" w:space="0" w:color="auto"/>
              <w:right w:val="single" w:sz="4" w:space="0" w:color="auto"/>
            </w:tcBorders>
            <w:vAlign w:val="center"/>
          </w:tcPr>
          <w:p w14:paraId="3298DBB3" w14:textId="77777777" w:rsidR="0049133F" w:rsidRPr="0049133F" w:rsidRDefault="0049133F" w:rsidP="0049133F">
            <w:pPr>
              <w:spacing w:line="440" w:lineRule="exact"/>
              <w:ind w:left="480" w:hangingChars="200" w:hanging="480"/>
              <w:rPr>
                <w:rFonts w:ascii="Calibri" w:eastAsia="宋体" w:hAnsi="Calibri" w:cs="Times New Roman"/>
                <w:bCs/>
                <w:sz w:val="24"/>
              </w:rPr>
            </w:pPr>
            <w:r w:rsidRPr="0049133F">
              <w:rPr>
                <w:rFonts w:ascii="Calibri" w:eastAsia="宋体" w:hAnsi="Calibri" w:cs="Times New Roman"/>
                <w:bCs/>
                <w:sz w:val="24"/>
              </w:rPr>
              <w:t xml:space="preserve">1.1 </w:t>
            </w:r>
            <w:r w:rsidRPr="0049133F">
              <w:rPr>
                <w:rFonts w:ascii="Calibri" w:eastAsia="宋体" w:hAnsi="Calibri" w:cs="Times New Roman" w:hint="eastAsia"/>
                <w:bCs/>
                <w:sz w:val="24"/>
              </w:rPr>
              <w:t>英语基础知识（词汇、语法等）、对课文内容的理解、对文章主题的把握；英语知识的综合运用能力（口语、听力、阅读、翻译、写作能力等）</w:t>
            </w:r>
          </w:p>
          <w:p w14:paraId="2D31320D" w14:textId="77777777" w:rsidR="0049133F" w:rsidRPr="0049133F" w:rsidRDefault="0049133F" w:rsidP="0049133F">
            <w:pPr>
              <w:spacing w:line="440" w:lineRule="exact"/>
              <w:rPr>
                <w:rFonts w:ascii="Calibri" w:eastAsia="宋体" w:hAnsi="Calibri" w:cs="Times New Roman"/>
                <w:bCs/>
                <w:sz w:val="24"/>
              </w:rPr>
            </w:pPr>
            <w:r w:rsidRPr="0049133F">
              <w:rPr>
                <w:rFonts w:ascii="Calibri" w:eastAsia="宋体" w:hAnsi="Calibri" w:cs="Times New Roman"/>
                <w:bCs/>
                <w:sz w:val="24"/>
              </w:rPr>
              <w:t>1.2</w:t>
            </w:r>
            <w:r w:rsidRPr="0049133F">
              <w:rPr>
                <w:rFonts w:ascii="Calibri" w:eastAsia="宋体" w:hAnsi="Calibri" w:cs="Times New Roman" w:hint="eastAsia"/>
                <w:sz w:val="24"/>
              </w:rPr>
              <w:t>学生的自主学习能力、学生的学习自律和终身学习意识。</w:t>
            </w:r>
          </w:p>
        </w:tc>
      </w:tr>
      <w:tr w:rsidR="0049133F" w:rsidRPr="0049133F" w14:paraId="5E772CC8" w14:textId="77777777" w:rsidTr="00BA2CFD">
        <w:tc>
          <w:tcPr>
            <w:tcW w:w="1422" w:type="dxa"/>
            <w:tcBorders>
              <w:top w:val="single" w:sz="4" w:space="0" w:color="auto"/>
              <w:left w:val="single" w:sz="4" w:space="0" w:color="auto"/>
              <w:bottom w:val="single" w:sz="4" w:space="0" w:color="auto"/>
              <w:right w:val="single" w:sz="4" w:space="0" w:color="auto"/>
            </w:tcBorders>
            <w:vAlign w:val="center"/>
          </w:tcPr>
          <w:p w14:paraId="3D494481"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hint="eastAsia"/>
                <w:bCs/>
                <w:sz w:val="24"/>
              </w:rPr>
              <w:t>课程目标</w:t>
            </w:r>
            <w:r w:rsidRPr="0049133F">
              <w:rPr>
                <w:rFonts w:ascii="Calibri" w:eastAsia="宋体" w:hAnsi="Calibri" w:cs="Times New Roman"/>
                <w:bCs/>
                <w:sz w:val="24"/>
              </w:rPr>
              <w:t>2</w:t>
            </w:r>
          </w:p>
        </w:tc>
        <w:tc>
          <w:tcPr>
            <w:tcW w:w="7918" w:type="dxa"/>
            <w:tcBorders>
              <w:top w:val="single" w:sz="4" w:space="0" w:color="auto"/>
              <w:left w:val="single" w:sz="4" w:space="0" w:color="auto"/>
              <w:bottom w:val="single" w:sz="4" w:space="0" w:color="auto"/>
              <w:right w:val="single" w:sz="4" w:space="0" w:color="auto"/>
            </w:tcBorders>
            <w:vAlign w:val="center"/>
          </w:tcPr>
          <w:p w14:paraId="3ED5CC60" w14:textId="77777777" w:rsidR="0049133F" w:rsidRPr="0049133F" w:rsidRDefault="0049133F" w:rsidP="0049133F">
            <w:pPr>
              <w:spacing w:line="440" w:lineRule="exact"/>
              <w:rPr>
                <w:rFonts w:ascii="Calibri" w:eastAsia="宋体" w:hAnsi="Calibri" w:cs="Times New Roman"/>
                <w:bCs/>
                <w:sz w:val="24"/>
              </w:rPr>
            </w:pPr>
            <w:r w:rsidRPr="0049133F">
              <w:rPr>
                <w:rFonts w:ascii="Calibri" w:eastAsia="宋体" w:hAnsi="Calibri" w:cs="Times New Roman"/>
                <w:bCs/>
                <w:sz w:val="24"/>
              </w:rPr>
              <w:t>2.1</w:t>
            </w:r>
            <w:r w:rsidRPr="0049133F">
              <w:rPr>
                <w:rFonts w:ascii="Calibri" w:eastAsia="宋体" w:hAnsi="Calibri" w:cs="Times New Roman" w:hint="eastAsia"/>
                <w:sz w:val="24"/>
              </w:rPr>
              <w:t>学生的人文社会素养和强烈的社会责任感，职业道德和规范意识。</w:t>
            </w:r>
          </w:p>
          <w:p w14:paraId="2B0E4B9A" w14:textId="77777777" w:rsidR="0049133F" w:rsidRPr="0049133F" w:rsidRDefault="0049133F" w:rsidP="0049133F">
            <w:pPr>
              <w:spacing w:line="440" w:lineRule="exact"/>
              <w:rPr>
                <w:rFonts w:ascii="Calibri" w:eastAsia="宋体" w:hAnsi="Calibri" w:cs="Times New Roman"/>
                <w:bCs/>
                <w:sz w:val="24"/>
              </w:rPr>
            </w:pPr>
            <w:r w:rsidRPr="0049133F">
              <w:rPr>
                <w:rFonts w:ascii="Calibri" w:eastAsia="宋体" w:hAnsi="Calibri" w:cs="Times New Roman"/>
                <w:bCs/>
                <w:sz w:val="24"/>
              </w:rPr>
              <w:t>2.2</w:t>
            </w:r>
            <w:r w:rsidRPr="0049133F">
              <w:rPr>
                <w:rFonts w:ascii="Calibri" w:eastAsia="宋体" w:hAnsi="Calibri" w:cs="Times New Roman" w:hint="eastAsia"/>
                <w:bCs/>
                <w:sz w:val="24"/>
              </w:rPr>
              <w:t>学生对</w:t>
            </w:r>
            <w:r w:rsidRPr="0049133F">
              <w:rPr>
                <w:rFonts w:ascii="Calibri" w:eastAsia="宋体" w:hAnsi="Calibri" w:cs="Times New Roman" w:hint="eastAsia"/>
                <w:sz w:val="24"/>
              </w:rPr>
              <w:t>博大精深的中国文化的理解，民族文化自信心及爱国主义和家国情怀。</w:t>
            </w:r>
          </w:p>
        </w:tc>
      </w:tr>
      <w:tr w:rsidR="0049133F" w:rsidRPr="0049133F" w14:paraId="0844BDCD" w14:textId="77777777" w:rsidTr="00BA2CFD">
        <w:tc>
          <w:tcPr>
            <w:tcW w:w="1422" w:type="dxa"/>
            <w:tcBorders>
              <w:top w:val="single" w:sz="4" w:space="0" w:color="auto"/>
              <w:left w:val="single" w:sz="4" w:space="0" w:color="auto"/>
              <w:bottom w:val="single" w:sz="4" w:space="0" w:color="auto"/>
              <w:right w:val="single" w:sz="4" w:space="0" w:color="auto"/>
            </w:tcBorders>
            <w:vAlign w:val="center"/>
          </w:tcPr>
          <w:p w14:paraId="1CFDECB2"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hint="eastAsia"/>
                <w:bCs/>
                <w:sz w:val="24"/>
              </w:rPr>
              <w:t>课程目标</w:t>
            </w:r>
            <w:r w:rsidRPr="0049133F">
              <w:rPr>
                <w:rFonts w:ascii="Calibri" w:eastAsia="宋体" w:hAnsi="Calibri" w:cs="Times New Roman"/>
                <w:bCs/>
                <w:sz w:val="24"/>
              </w:rPr>
              <w:t>3</w:t>
            </w:r>
          </w:p>
        </w:tc>
        <w:tc>
          <w:tcPr>
            <w:tcW w:w="7918" w:type="dxa"/>
            <w:tcBorders>
              <w:top w:val="single" w:sz="4" w:space="0" w:color="auto"/>
              <w:left w:val="single" w:sz="4" w:space="0" w:color="auto"/>
              <w:bottom w:val="single" w:sz="4" w:space="0" w:color="auto"/>
              <w:right w:val="single" w:sz="4" w:space="0" w:color="auto"/>
            </w:tcBorders>
            <w:vAlign w:val="center"/>
          </w:tcPr>
          <w:p w14:paraId="546E1BB0" w14:textId="77777777" w:rsidR="0049133F" w:rsidRPr="0049133F" w:rsidRDefault="0049133F" w:rsidP="0049133F">
            <w:pPr>
              <w:spacing w:line="440" w:lineRule="exact"/>
              <w:rPr>
                <w:rFonts w:ascii="Calibri" w:eastAsia="宋体" w:hAnsi="Calibri" w:cs="Times New Roman"/>
                <w:bCs/>
                <w:sz w:val="24"/>
              </w:rPr>
            </w:pPr>
            <w:r w:rsidRPr="0049133F">
              <w:rPr>
                <w:rFonts w:ascii="Calibri" w:eastAsia="宋体" w:hAnsi="Calibri" w:cs="Times New Roman"/>
                <w:bCs/>
                <w:sz w:val="24"/>
              </w:rPr>
              <w:t>3.1</w:t>
            </w:r>
            <w:r w:rsidRPr="0049133F">
              <w:rPr>
                <w:rFonts w:ascii="Calibri" w:eastAsia="宋体" w:hAnsi="Calibri" w:cs="Times New Roman" w:hint="eastAsia"/>
                <w:sz w:val="24"/>
              </w:rPr>
              <w:t>参与课堂活动的能力，小组合作能力和组织管理能力；英语综合运用能力和跨文化交际能力。</w:t>
            </w:r>
          </w:p>
          <w:p w14:paraId="1F292387" w14:textId="77777777" w:rsidR="0049133F" w:rsidRPr="0049133F" w:rsidRDefault="0049133F" w:rsidP="0049133F">
            <w:pPr>
              <w:spacing w:line="440" w:lineRule="exact"/>
              <w:rPr>
                <w:rFonts w:ascii="Calibri" w:eastAsia="宋体" w:hAnsi="Calibri" w:cs="Times New Roman"/>
                <w:bCs/>
                <w:sz w:val="24"/>
              </w:rPr>
            </w:pPr>
            <w:r w:rsidRPr="0049133F">
              <w:rPr>
                <w:rFonts w:ascii="Calibri" w:eastAsia="宋体" w:hAnsi="Calibri" w:cs="Times New Roman"/>
                <w:bCs/>
                <w:sz w:val="24"/>
              </w:rPr>
              <w:t>3.2</w:t>
            </w:r>
            <w:r w:rsidRPr="0049133F">
              <w:rPr>
                <w:rFonts w:ascii="Calibri" w:eastAsia="宋体" w:hAnsi="Calibri" w:cs="Times New Roman" w:hint="eastAsia"/>
                <w:bCs/>
                <w:sz w:val="24"/>
              </w:rPr>
              <w:t>学生的语言实践能力，</w:t>
            </w:r>
            <w:r w:rsidRPr="0049133F">
              <w:rPr>
                <w:rFonts w:ascii="Calibri" w:eastAsia="宋体" w:hAnsi="Calibri" w:cs="Times New Roman" w:hint="eastAsia"/>
                <w:sz w:val="24"/>
              </w:rPr>
              <w:t>有效的口头和书面沟通交流能力，包括实用写作能力等。</w:t>
            </w:r>
          </w:p>
        </w:tc>
      </w:tr>
    </w:tbl>
    <w:p w14:paraId="50320716" w14:textId="77777777" w:rsidR="0049133F" w:rsidRPr="0049133F" w:rsidRDefault="0049133F" w:rsidP="0049133F">
      <w:pPr>
        <w:spacing w:beforeLines="50" w:before="156" w:afterLines="50" w:after="156" w:line="440" w:lineRule="exact"/>
        <w:rPr>
          <w:rFonts w:ascii="黑体" w:eastAsia="黑体" w:hAnsi="黑体" w:cs="Times New Roman"/>
          <w:sz w:val="28"/>
          <w:szCs w:val="28"/>
        </w:rPr>
      </w:pPr>
    </w:p>
    <w:p w14:paraId="2A46B7E0" w14:textId="77777777" w:rsidR="0049133F" w:rsidRPr="0049133F" w:rsidRDefault="0049133F" w:rsidP="0049133F">
      <w:pPr>
        <w:spacing w:beforeLines="50" w:before="156" w:afterLines="50" w:after="156" w:line="440" w:lineRule="exact"/>
        <w:rPr>
          <w:rFonts w:ascii="Calibri" w:eastAsia="黑体" w:hAnsi="Calibri" w:cs="Times New Roman"/>
          <w:sz w:val="28"/>
          <w:szCs w:val="28"/>
        </w:rPr>
      </w:pPr>
    </w:p>
    <w:p w14:paraId="7608E0E4" w14:textId="77777777" w:rsidR="0049133F" w:rsidRPr="0049133F" w:rsidRDefault="0049133F" w:rsidP="0049133F">
      <w:pPr>
        <w:spacing w:beforeLines="50" w:before="156" w:afterLines="50" w:after="156" w:line="440" w:lineRule="exact"/>
        <w:rPr>
          <w:rFonts w:ascii="Calibri" w:eastAsia="黑体" w:hAnsi="Calibri" w:cs="Times New Roman"/>
          <w:sz w:val="28"/>
          <w:szCs w:val="28"/>
        </w:rPr>
      </w:pPr>
      <w:r w:rsidRPr="0049133F">
        <w:rPr>
          <w:rFonts w:ascii="Calibri" w:eastAsia="黑体" w:hAnsi="Calibri" w:cs="Times New Roman"/>
          <w:sz w:val="28"/>
          <w:szCs w:val="28"/>
        </w:rPr>
        <w:t>（二）课程考核方式</w:t>
      </w:r>
    </w:p>
    <w:p w14:paraId="4DA886D5" w14:textId="77777777" w:rsidR="0049133F" w:rsidRPr="0049133F" w:rsidRDefault="0049133F" w:rsidP="0049133F">
      <w:pPr>
        <w:spacing w:line="360" w:lineRule="auto"/>
        <w:ind w:firstLine="480"/>
        <w:rPr>
          <w:rFonts w:ascii="Calibri" w:eastAsia="宋体" w:hAnsi="Calibri" w:cs="Times New Roman"/>
          <w:sz w:val="24"/>
        </w:rPr>
      </w:pPr>
      <w:r w:rsidRPr="0049133F">
        <w:rPr>
          <w:rFonts w:ascii="Calibri" w:eastAsia="宋体" w:hAnsi="Calibri" w:cs="Times New Roman"/>
          <w:sz w:val="24"/>
        </w:rPr>
        <w:lastRenderedPageBreak/>
        <w:t>课程考核方式分为平时考核和期末考核。</w:t>
      </w:r>
    </w:p>
    <w:p w14:paraId="55498AE5" w14:textId="77777777" w:rsidR="0049133F" w:rsidRPr="0049133F" w:rsidRDefault="0049133F" w:rsidP="0049133F">
      <w:pPr>
        <w:spacing w:line="360" w:lineRule="auto"/>
        <w:ind w:firstLine="480"/>
        <w:rPr>
          <w:rFonts w:ascii="Calibri" w:eastAsia="黑体" w:hAnsi="Calibri" w:cs="Times New Roman"/>
          <w:sz w:val="28"/>
          <w:szCs w:val="28"/>
        </w:rPr>
      </w:pPr>
      <w:r w:rsidRPr="0049133F">
        <w:rPr>
          <w:rFonts w:ascii="Calibri" w:eastAsia="宋体" w:hAnsi="Calibri" w:cs="Times New Roman"/>
          <w:sz w:val="24"/>
        </w:rPr>
        <w:t>平时考核方式包括课堂考勤，线上、线下参与课堂互动</w:t>
      </w:r>
      <w:r w:rsidRPr="0049133F">
        <w:rPr>
          <w:rFonts w:ascii="Calibri" w:eastAsia="宋体" w:hAnsi="Calibri" w:cs="Times New Roman" w:hint="eastAsia"/>
          <w:sz w:val="24"/>
        </w:rPr>
        <w:t>(</w:t>
      </w:r>
      <w:r w:rsidRPr="0049133F">
        <w:rPr>
          <w:rFonts w:ascii="Calibri" w:eastAsia="宋体" w:hAnsi="Calibri" w:cs="Times New Roman" w:hint="eastAsia"/>
          <w:sz w:val="24"/>
        </w:rPr>
        <w:t>音视频完成、随堂测试、讨论、问卷、小组合作等</w:t>
      </w:r>
      <w:r w:rsidRPr="0049133F">
        <w:rPr>
          <w:rFonts w:ascii="Calibri" w:eastAsia="宋体" w:hAnsi="Calibri" w:cs="Times New Roman" w:hint="eastAsia"/>
          <w:sz w:val="24"/>
        </w:rPr>
        <w:t>)</w:t>
      </w:r>
      <w:r w:rsidRPr="0049133F">
        <w:rPr>
          <w:rFonts w:ascii="Calibri" w:eastAsia="宋体" w:hAnsi="Calibri" w:cs="Times New Roman"/>
          <w:sz w:val="24"/>
        </w:rPr>
        <w:t>情况，平时作业的完成情况等；期末考核采用闭卷考试。</w:t>
      </w:r>
    </w:p>
    <w:p w14:paraId="01625427" w14:textId="77777777" w:rsidR="0049133F" w:rsidRPr="0049133F" w:rsidRDefault="0049133F" w:rsidP="0049133F">
      <w:pPr>
        <w:spacing w:beforeLines="50" w:before="156" w:afterLines="50" w:after="156" w:line="440" w:lineRule="exact"/>
        <w:rPr>
          <w:rFonts w:ascii="Calibri" w:eastAsia="黑体" w:hAnsi="Calibri" w:cs="Times New Roman"/>
          <w:sz w:val="28"/>
          <w:szCs w:val="28"/>
        </w:rPr>
      </w:pPr>
      <w:r w:rsidRPr="0049133F">
        <w:rPr>
          <w:rFonts w:ascii="Calibri" w:eastAsia="黑体" w:hAnsi="Calibri" w:cs="Times New Roman"/>
          <w:sz w:val="28"/>
          <w:szCs w:val="28"/>
        </w:rPr>
        <w:t>（三）课程目标达成评价方式及考核比例</w:t>
      </w:r>
    </w:p>
    <w:p w14:paraId="3443114B"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本课程考核方式及成绩比例为：平时成绩</w:t>
      </w:r>
      <w:r w:rsidRPr="0049133F">
        <w:rPr>
          <w:rFonts w:ascii="Calibri" w:eastAsia="宋体" w:hAnsi="Calibri" w:cs="Times New Roman"/>
          <w:sz w:val="24"/>
        </w:rPr>
        <w:t>50%+</w:t>
      </w:r>
      <w:r w:rsidRPr="0049133F">
        <w:rPr>
          <w:rFonts w:ascii="Calibri" w:eastAsia="宋体" w:hAnsi="Calibri" w:cs="Times New Roman"/>
          <w:sz w:val="24"/>
        </w:rPr>
        <w:t>期末考试</w:t>
      </w:r>
      <w:r w:rsidRPr="0049133F">
        <w:rPr>
          <w:rFonts w:ascii="Calibri" w:eastAsia="宋体" w:hAnsi="Calibri" w:cs="Times New Roman"/>
          <w:sz w:val="24"/>
        </w:rPr>
        <w:t>50%</w:t>
      </w:r>
      <w:r w:rsidRPr="0049133F">
        <w:rPr>
          <w:rFonts w:ascii="Calibri" w:eastAsia="宋体" w:hAnsi="Calibri" w:cs="Times New Roman"/>
          <w:sz w:val="24"/>
        </w:rPr>
        <w:t>；本课程共有三个课程目标，考核方式及成绩比例分别为：</w:t>
      </w:r>
    </w:p>
    <w:p w14:paraId="0BFB3BC6"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课程目标</w:t>
      </w:r>
      <w:r w:rsidRPr="0049133F">
        <w:rPr>
          <w:rFonts w:ascii="Calibri" w:eastAsia="宋体" w:hAnsi="Calibri" w:cs="Times New Roman"/>
          <w:sz w:val="24"/>
        </w:rPr>
        <w:t>1</w:t>
      </w:r>
      <w:r w:rsidRPr="0049133F">
        <w:rPr>
          <w:rFonts w:ascii="Calibri" w:eastAsia="宋体" w:hAnsi="Calibri" w:cs="Times New Roman"/>
          <w:sz w:val="24"/>
        </w:rPr>
        <w:t>：课堂表现</w:t>
      </w:r>
      <w:r w:rsidRPr="0049133F">
        <w:rPr>
          <w:rFonts w:ascii="Calibri" w:eastAsia="宋体" w:hAnsi="Calibri" w:cs="Times New Roman"/>
          <w:sz w:val="24"/>
        </w:rPr>
        <w:t>10%+</w:t>
      </w:r>
      <w:r w:rsidRPr="0049133F">
        <w:rPr>
          <w:rFonts w:ascii="Calibri" w:eastAsia="宋体" w:hAnsi="Calibri" w:cs="Times New Roman"/>
          <w:sz w:val="24"/>
        </w:rPr>
        <w:t>课堂考勤</w:t>
      </w:r>
      <w:r w:rsidRPr="0049133F">
        <w:rPr>
          <w:rFonts w:ascii="Calibri" w:eastAsia="宋体" w:hAnsi="Calibri" w:cs="Times New Roman"/>
          <w:sz w:val="24"/>
        </w:rPr>
        <w:t>5%+</w:t>
      </w:r>
      <w:r w:rsidRPr="0049133F">
        <w:rPr>
          <w:rFonts w:ascii="Calibri" w:eastAsia="宋体" w:hAnsi="Calibri" w:cs="Times New Roman"/>
          <w:sz w:val="24"/>
        </w:rPr>
        <w:t>平时作业</w:t>
      </w:r>
      <w:r w:rsidRPr="0049133F">
        <w:rPr>
          <w:rFonts w:ascii="Calibri" w:eastAsia="宋体" w:hAnsi="Calibri" w:cs="Times New Roman"/>
          <w:sz w:val="24"/>
        </w:rPr>
        <w:t>10%+</w:t>
      </w:r>
      <w:r w:rsidRPr="0049133F">
        <w:rPr>
          <w:rFonts w:ascii="Calibri" w:eastAsia="宋体" w:hAnsi="Calibri" w:cs="Times New Roman"/>
          <w:sz w:val="24"/>
        </w:rPr>
        <w:t>期末考试</w:t>
      </w:r>
      <w:r w:rsidRPr="0049133F">
        <w:rPr>
          <w:rFonts w:ascii="Calibri" w:eastAsia="宋体" w:hAnsi="Calibri" w:cs="Times New Roman"/>
          <w:sz w:val="24"/>
        </w:rPr>
        <w:t>25%</w:t>
      </w:r>
    </w:p>
    <w:p w14:paraId="4030CB85"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课程目标</w:t>
      </w:r>
      <w:r w:rsidRPr="0049133F">
        <w:rPr>
          <w:rFonts w:ascii="Calibri" w:eastAsia="宋体" w:hAnsi="Calibri" w:cs="Times New Roman"/>
          <w:sz w:val="24"/>
        </w:rPr>
        <w:t>2</w:t>
      </w:r>
      <w:r w:rsidRPr="0049133F">
        <w:rPr>
          <w:rFonts w:ascii="Calibri" w:eastAsia="宋体" w:hAnsi="Calibri" w:cs="Times New Roman"/>
          <w:sz w:val="24"/>
        </w:rPr>
        <w:t>：课堂表现</w:t>
      </w:r>
      <w:r w:rsidRPr="0049133F">
        <w:rPr>
          <w:rFonts w:ascii="Calibri" w:eastAsia="宋体" w:hAnsi="Calibri" w:cs="Times New Roman"/>
          <w:sz w:val="24"/>
        </w:rPr>
        <w:t>5%+</w:t>
      </w:r>
      <w:r w:rsidRPr="0049133F">
        <w:rPr>
          <w:rFonts w:ascii="Calibri" w:eastAsia="宋体" w:hAnsi="Calibri" w:cs="Times New Roman"/>
          <w:sz w:val="24"/>
        </w:rPr>
        <w:t>课堂考勤</w:t>
      </w:r>
      <w:r w:rsidRPr="0049133F">
        <w:rPr>
          <w:rFonts w:ascii="Calibri" w:eastAsia="宋体" w:hAnsi="Calibri" w:cs="Times New Roman"/>
          <w:sz w:val="24"/>
        </w:rPr>
        <w:t>5%+</w:t>
      </w:r>
      <w:r w:rsidRPr="0049133F">
        <w:rPr>
          <w:rFonts w:ascii="Calibri" w:eastAsia="宋体" w:hAnsi="Calibri" w:cs="Times New Roman"/>
          <w:sz w:val="24"/>
        </w:rPr>
        <w:t>平时作业</w:t>
      </w:r>
      <w:r w:rsidRPr="0049133F">
        <w:rPr>
          <w:rFonts w:ascii="Calibri" w:eastAsia="宋体" w:hAnsi="Calibri" w:cs="Times New Roman"/>
          <w:sz w:val="24"/>
        </w:rPr>
        <w:t>5%</w:t>
      </w:r>
    </w:p>
    <w:p w14:paraId="2AFC926F"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课程目标</w:t>
      </w:r>
      <w:r w:rsidRPr="0049133F">
        <w:rPr>
          <w:rFonts w:ascii="Calibri" w:eastAsia="宋体" w:hAnsi="Calibri" w:cs="Times New Roman"/>
          <w:sz w:val="24"/>
        </w:rPr>
        <w:t>3</w:t>
      </w:r>
      <w:r w:rsidRPr="0049133F">
        <w:rPr>
          <w:rFonts w:ascii="Calibri" w:eastAsia="宋体" w:hAnsi="Calibri" w:cs="Times New Roman"/>
          <w:sz w:val="24"/>
        </w:rPr>
        <w:t>：课堂表现</w:t>
      </w:r>
      <w:r w:rsidRPr="0049133F">
        <w:rPr>
          <w:rFonts w:ascii="Calibri" w:eastAsia="宋体" w:hAnsi="Calibri" w:cs="Times New Roman"/>
          <w:sz w:val="24"/>
        </w:rPr>
        <w:t>5%+</w:t>
      </w:r>
      <w:r w:rsidRPr="0049133F">
        <w:rPr>
          <w:rFonts w:ascii="Calibri" w:eastAsia="宋体" w:hAnsi="Calibri" w:cs="Times New Roman"/>
          <w:sz w:val="24"/>
        </w:rPr>
        <w:t>平时作业</w:t>
      </w:r>
      <w:r w:rsidRPr="0049133F">
        <w:rPr>
          <w:rFonts w:ascii="Calibri" w:eastAsia="宋体" w:hAnsi="Calibri" w:cs="Times New Roman"/>
          <w:sz w:val="24"/>
        </w:rPr>
        <w:t>5%+</w:t>
      </w:r>
      <w:r w:rsidRPr="0049133F">
        <w:rPr>
          <w:rFonts w:ascii="Calibri" w:eastAsia="宋体" w:hAnsi="Calibri" w:cs="Times New Roman"/>
          <w:sz w:val="24"/>
        </w:rPr>
        <w:t>期末考试</w:t>
      </w:r>
      <w:r w:rsidRPr="0049133F">
        <w:rPr>
          <w:rFonts w:ascii="Calibri" w:eastAsia="宋体" w:hAnsi="Calibri" w:cs="Times New Roman"/>
          <w:sz w:val="24"/>
        </w:rPr>
        <w:t>25%</w:t>
      </w:r>
    </w:p>
    <w:p w14:paraId="368A77B4"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49133F" w:rsidRPr="0049133F" w14:paraId="2E645EC6" w14:textId="77777777" w:rsidTr="00BA2CFD">
        <w:trPr>
          <w:trHeight w:val="540"/>
          <w:jc w:val="center"/>
        </w:trPr>
        <w:tc>
          <w:tcPr>
            <w:tcW w:w="1422" w:type="dxa"/>
            <w:vMerge w:val="restart"/>
            <w:vAlign w:val="center"/>
          </w:tcPr>
          <w:p w14:paraId="791F03E3" w14:textId="77777777" w:rsidR="0049133F" w:rsidRPr="0049133F" w:rsidRDefault="0049133F" w:rsidP="0049133F">
            <w:pPr>
              <w:spacing w:line="440" w:lineRule="exact"/>
              <w:jc w:val="center"/>
              <w:rPr>
                <w:rFonts w:ascii="Calibri" w:eastAsia="宋体" w:hAnsi="Calibri" w:cs="Times New Roman"/>
                <w:b/>
                <w:sz w:val="24"/>
              </w:rPr>
            </w:pPr>
            <w:r w:rsidRPr="0049133F">
              <w:rPr>
                <w:rFonts w:ascii="Calibri" w:eastAsia="宋体" w:hAnsi="Calibri" w:cs="Times New Roman"/>
                <w:b/>
                <w:sz w:val="24"/>
              </w:rPr>
              <w:t>课程目标</w:t>
            </w:r>
          </w:p>
        </w:tc>
        <w:tc>
          <w:tcPr>
            <w:tcW w:w="6271" w:type="dxa"/>
            <w:gridSpan w:val="4"/>
            <w:vAlign w:val="center"/>
          </w:tcPr>
          <w:p w14:paraId="35E510F4" w14:textId="77777777" w:rsidR="0049133F" w:rsidRPr="0049133F" w:rsidRDefault="0049133F" w:rsidP="0049133F">
            <w:pPr>
              <w:spacing w:line="440" w:lineRule="exact"/>
              <w:jc w:val="center"/>
              <w:rPr>
                <w:rFonts w:ascii="Calibri" w:eastAsia="宋体" w:hAnsi="Calibri" w:cs="Times New Roman"/>
                <w:b/>
                <w:sz w:val="24"/>
              </w:rPr>
            </w:pPr>
            <w:r w:rsidRPr="0049133F">
              <w:rPr>
                <w:rFonts w:ascii="Calibri" w:eastAsia="宋体" w:hAnsi="Calibri" w:cs="Times New Roman"/>
                <w:b/>
                <w:sz w:val="24"/>
              </w:rPr>
              <w:t>考核方式及成绩比例（</w:t>
            </w:r>
            <w:r w:rsidRPr="0049133F">
              <w:rPr>
                <w:rFonts w:ascii="Calibri" w:eastAsia="宋体" w:hAnsi="Calibri" w:cs="Times New Roman"/>
                <w:b/>
                <w:sz w:val="24"/>
              </w:rPr>
              <w:t>%</w:t>
            </w:r>
            <w:r w:rsidRPr="0049133F">
              <w:rPr>
                <w:rFonts w:ascii="Calibri" w:eastAsia="宋体" w:hAnsi="Calibri" w:cs="Times New Roman"/>
                <w:b/>
                <w:sz w:val="24"/>
              </w:rPr>
              <w:t>）</w:t>
            </w:r>
          </w:p>
        </w:tc>
        <w:tc>
          <w:tcPr>
            <w:tcW w:w="1559" w:type="dxa"/>
            <w:vMerge w:val="restart"/>
            <w:vAlign w:val="center"/>
          </w:tcPr>
          <w:p w14:paraId="2FC8334A" w14:textId="77777777" w:rsidR="0049133F" w:rsidRPr="0049133F" w:rsidRDefault="0049133F" w:rsidP="0049133F">
            <w:pPr>
              <w:spacing w:line="440" w:lineRule="exact"/>
              <w:jc w:val="center"/>
              <w:rPr>
                <w:rFonts w:ascii="Calibri" w:eastAsia="宋体" w:hAnsi="Calibri" w:cs="Times New Roman"/>
                <w:b/>
                <w:sz w:val="24"/>
              </w:rPr>
            </w:pPr>
            <w:r w:rsidRPr="0049133F">
              <w:rPr>
                <w:rFonts w:ascii="Calibri" w:eastAsia="宋体" w:hAnsi="Calibri" w:cs="Times New Roman"/>
                <w:b/>
                <w:sz w:val="24"/>
              </w:rPr>
              <w:t>合计</w:t>
            </w:r>
          </w:p>
        </w:tc>
      </w:tr>
      <w:tr w:rsidR="0049133F" w:rsidRPr="0049133F" w14:paraId="068E3723" w14:textId="77777777" w:rsidTr="00BA2CFD">
        <w:trPr>
          <w:trHeight w:val="578"/>
          <w:jc w:val="center"/>
        </w:trPr>
        <w:tc>
          <w:tcPr>
            <w:tcW w:w="1422" w:type="dxa"/>
            <w:vMerge/>
            <w:vAlign w:val="center"/>
          </w:tcPr>
          <w:p w14:paraId="5B9490F1" w14:textId="77777777" w:rsidR="0049133F" w:rsidRPr="0049133F" w:rsidRDefault="0049133F" w:rsidP="0049133F">
            <w:pPr>
              <w:spacing w:line="440" w:lineRule="exact"/>
              <w:jc w:val="center"/>
              <w:rPr>
                <w:rFonts w:ascii="Calibri" w:eastAsia="宋体" w:hAnsi="Calibri" w:cs="Times New Roman"/>
                <w:b/>
                <w:sz w:val="24"/>
              </w:rPr>
            </w:pPr>
          </w:p>
        </w:tc>
        <w:tc>
          <w:tcPr>
            <w:tcW w:w="1452" w:type="dxa"/>
            <w:vAlign w:val="center"/>
          </w:tcPr>
          <w:p w14:paraId="6D896489" w14:textId="77777777" w:rsidR="0049133F" w:rsidRPr="0049133F" w:rsidRDefault="0049133F" w:rsidP="0049133F">
            <w:pPr>
              <w:spacing w:line="440" w:lineRule="exact"/>
              <w:jc w:val="center"/>
              <w:rPr>
                <w:rFonts w:ascii="Calibri" w:eastAsia="宋体" w:hAnsi="Calibri" w:cs="Times New Roman"/>
                <w:b/>
                <w:sz w:val="24"/>
              </w:rPr>
            </w:pPr>
            <w:r w:rsidRPr="0049133F">
              <w:rPr>
                <w:rFonts w:ascii="Calibri" w:eastAsia="宋体" w:hAnsi="Calibri" w:cs="Times New Roman"/>
                <w:b/>
                <w:sz w:val="24"/>
              </w:rPr>
              <w:t>课堂表现</w:t>
            </w:r>
          </w:p>
        </w:tc>
        <w:tc>
          <w:tcPr>
            <w:tcW w:w="1559" w:type="dxa"/>
            <w:vAlign w:val="center"/>
          </w:tcPr>
          <w:p w14:paraId="4AE2C6B1" w14:textId="77777777" w:rsidR="0049133F" w:rsidRPr="0049133F" w:rsidRDefault="0049133F" w:rsidP="0049133F">
            <w:pPr>
              <w:spacing w:line="440" w:lineRule="exact"/>
              <w:jc w:val="center"/>
              <w:rPr>
                <w:rFonts w:ascii="Calibri" w:eastAsia="宋体" w:hAnsi="Calibri" w:cs="Times New Roman"/>
                <w:b/>
                <w:sz w:val="24"/>
              </w:rPr>
            </w:pPr>
            <w:r w:rsidRPr="0049133F">
              <w:rPr>
                <w:rFonts w:ascii="Calibri" w:eastAsia="宋体" w:hAnsi="Calibri" w:cs="Times New Roman"/>
                <w:b/>
                <w:sz w:val="24"/>
              </w:rPr>
              <w:t>课堂考勤</w:t>
            </w:r>
          </w:p>
        </w:tc>
        <w:tc>
          <w:tcPr>
            <w:tcW w:w="1701" w:type="dxa"/>
            <w:vAlign w:val="center"/>
          </w:tcPr>
          <w:p w14:paraId="78ED55EE" w14:textId="77777777" w:rsidR="0049133F" w:rsidRPr="0049133F" w:rsidRDefault="0049133F" w:rsidP="0049133F">
            <w:pPr>
              <w:spacing w:line="440" w:lineRule="exact"/>
              <w:jc w:val="center"/>
              <w:rPr>
                <w:rFonts w:ascii="Calibri" w:eastAsia="宋体" w:hAnsi="Calibri" w:cs="Times New Roman"/>
                <w:b/>
                <w:sz w:val="24"/>
              </w:rPr>
            </w:pPr>
            <w:r w:rsidRPr="0049133F">
              <w:rPr>
                <w:rFonts w:ascii="Calibri" w:eastAsia="宋体" w:hAnsi="Calibri" w:cs="Times New Roman"/>
                <w:b/>
                <w:sz w:val="24"/>
              </w:rPr>
              <w:t>平时作业</w:t>
            </w:r>
          </w:p>
        </w:tc>
        <w:tc>
          <w:tcPr>
            <w:tcW w:w="1559" w:type="dxa"/>
            <w:vAlign w:val="center"/>
          </w:tcPr>
          <w:p w14:paraId="44067F4D" w14:textId="77777777" w:rsidR="0049133F" w:rsidRPr="0049133F" w:rsidRDefault="0049133F" w:rsidP="0049133F">
            <w:pPr>
              <w:spacing w:line="440" w:lineRule="exact"/>
              <w:jc w:val="center"/>
              <w:rPr>
                <w:rFonts w:ascii="Calibri" w:eastAsia="宋体" w:hAnsi="Calibri" w:cs="Times New Roman"/>
                <w:b/>
                <w:sz w:val="24"/>
              </w:rPr>
            </w:pPr>
            <w:r w:rsidRPr="0049133F">
              <w:rPr>
                <w:rFonts w:ascii="Calibri" w:eastAsia="宋体" w:hAnsi="Calibri" w:cs="Times New Roman"/>
                <w:b/>
                <w:sz w:val="24"/>
              </w:rPr>
              <w:t>期末考试</w:t>
            </w:r>
          </w:p>
        </w:tc>
        <w:tc>
          <w:tcPr>
            <w:tcW w:w="1559" w:type="dxa"/>
            <w:vMerge/>
          </w:tcPr>
          <w:p w14:paraId="484E7FEB" w14:textId="77777777" w:rsidR="0049133F" w:rsidRPr="0049133F" w:rsidRDefault="0049133F" w:rsidP="0049133F">
            <w:pPr>
              <w:spacing w:line="440" w:lineRule="exact"/>
              <w:jc w:val="center"/>
              <w:rPr>
                <w:rFonts w:ascii="Calibri" w:eastAsia="宋体" w:hAnsi="Calibri" w:cs="Times New Roman"/>
                <w:b/>
                <w:sz w:val="24"/>
              </w:rPr>
            </w:pPr>
          </w:p>
        </w:tc>
      </w:tr>
      <w:tr w:rsidR="0049133F" w:rsidRPr="0049133F" w14:paraId="761A77D5" w14:textId="77777777" w:rsidTr="00BA2CFD">
        <w:trPr>
          <w:jc w:val="center"/>
        </w:trPr>
        <w:tc>
          <w:tcPr>
            <w:tcW w:w="1422" w:type="dxa"/>
            <w:vAlign w:val="center"/>
          </w:tcPr>
          <w:p w14:paraId="18E5E83F"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课程目标</w:t>
            </w:r>
            <w:r w:rsidRPr="0049133F">
              <w:rPr>
                <w:rFonts w:ascii="Calibri" w:eastAsia="宋体" w:hAnsi="Calibri" w:cs="Times New Roman"/>
                <w:bCs/>
                <w:sz w:val="24"/>
              </w:rPr>
              <w:t>1</w:t>
            </w:r>
          </w:p>
        </w:tc>
        <w:tc>
          <w:tcPr>
            <w:tcW w:w="1452" w:type="dxa"/>
            <w:vAlign w:val="center"/>
          </w:tcPr>
          <w:p w14:paraId="470B8B02"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10</w:t>
            </w:r>
          </w:p>
        </w:tc>
        <w:tc>
          <w:tcPr>
            <w:tcW w:w="1559" w:type="dxa"/>
            <w:vAlign w:val="center"/>
          </w:tcPr>
          <w:p w14:paraId="20E0A891"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5</w:t>
            </w:r>
          </w:p>
        </w:tc>
        <w:tc>
          <w:tcPr>
            <w:tcW w:w="1701" w:type="dxa"/>
            <w:vAlign w:val="center"/>
          </w:tcPr>
          <w:p w14:paraId="65AF782C"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10</w:t>
            </w:r>
          </w:p>
        </w:tc>
        <w:tc>
          <w:tcPr>
            <w:tcW w:w="1559" w:type="dxa"/>
            <w:vAlign w:val="center"/>
          </w:tcPr>
          <w:p w14:paraId="17A2245A" w14:textId="77777777" w:rsidR="0049133F" w:rsidRPr="0049133F" w:rsidRDefault="0049133F" w:rsidP="0049133F">
            <w:pPr>
              <w:spacing w:line="440" w:lineRule="exact"/>
              <w:ind w:firstLineChars="200" w:firstLine="480"/>
              <w:rPr>
                <w:rFonts w:ascii="Calibri" w:eastAsia="宋体" w:hAnsi="Calibri" w:cs="Times New Roman"/>
                <w:bCs/>
                <w:sz w:val="24"/>
              </w:rPr>
            </w:pPr>
            <w:r w:rsidRPr="0049133F">
              <w:rPr>
                <w:rFonts w:ascii="Calibri" w:eastAsia="宋体" w:hAnsi="Calibri" w:cs="Times New Roman"/>
                <w:bCs/>
                <w:sz w:val="24"/>
              </w:rPr>
              <w:t>25</w:t>
            </w:r>
          </w:p>
        </w:tc>
        <w:tc>
          <w:tcPr>
            <w:tcW w:w="1559" w:type="dxa"/>
          </w:tcPr>
          <w:p w14:paraId="4259478B"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50</w:t>
            </w:r>
          </w:p>
        </w:tc>
      </w:tr>
      <w:tr w:rsidR="0049133F" w:rsidRPr="0049133F" w14:paraId="60C4660D" w14:textId="77777777" w:rsidTr="00BA2CFD">
        <w:trPr>
          <w:jc w:val="center"/>
        </w:trPr>
        <w:tc>
          <w:tcPr>
            <w:tcW w:w="1422" w:type="dxa"/>
            <w:vAlign w:val="center"/>
          </w:tcPr>
          <w:p w14:paraId="70742C7F"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课程目标</w:t>
            </w:r>
            <w:r w:rsidRPr="0049133F">
              <w:rPr>
                <w:rFonts w:ascii="Calibri" w:eastAsia="宋体" w:hAnsi="Calibri" w:cs="Times New Roman"/>
                <w:bCs/>
                <w:sz w:val="24"/>
              </w:rPr>
              <w:t>2</w:t>
            </w:r>
          </w:p>
        </w:tc>
        <w:tc>
          <w:tcPr>
            <w:tcW w:w="1452" w:type="dxa"/>
            <w:vAlign w:val="center"/>
          </w:tcPr>
          <w:p w14:paraId="33DC09BC"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5</w:t>
            </w:r>
          </w:p>
        </w:tc>
        <w:tc>
          <w:tcPr>
            <w:tcW w:w="1559" w:type="dxa"/>
            <w:vAlign w:val="center"/>
          </w:tcPr>
          <w:p w14:paraId="1B6E460B"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5</w:t>
            </w:r>
          </w:p>
        </w:tc>
        <w:tc>
          <w:tcPr>
            <w:tcW w:w="1701" w:type="dxa"/>
            <w:vAlign w:val="center"/>
          </w:tcPr>
          <w:p w14:paraId="7081D82E"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5</w:t>
            </w:r>
          </w:p>
        </w:tc>
        <w:tc>
          <w:tcPr>
            <w:tcW w:w="1559" w:type="dxa"/>
            <w:vAlign w:val="center"/>
          </w:tcPr>
          <w:p w14:paraId="404F41CA" w14:textId="77777777" w:rsidR="0049133F" w:rsidRPr="0049133F" w:rsidRDefault="0049133F" w:rsidP="0049133F">
            <w:pPr>
              <w:spacing w:line="440" w:lineRule="exact"/>
              <w:jc w:val="center"/>
              <w:rPr>
                <w:rFonts w:ascii="Calibri" w:eastAsia="宋体" w:hAnsi="Calibri" w:cs="Times New Roman"/>
                <w:bCs/>
                <w:sz w:val="24"/>
              </w:rPr>
            </w:pPr>
          </w:p>
        </w:tc>
        <w:tc>
          <w:tcPr>
            <w:tcW w:w="1559" w:type="dxa"/>
          </w:tcPr>
          <w:p w14:paraId="3B9BBD92"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15</w:t>
            </w:r>
          </w:p>
        </w:tc>
      </w:tr>
      <w:tr w:rsidR="0049133F" w:rsidRPr="0049133F" w14:paraId="5F2564A2" w14:textId="77777777" w:rsidTr="00BA2CFD">
        <w:trPr>
          <w:jc w:val="center"/>
        </w:trPr>
        <w:tc>
          <w:tcPr>
            <w:tcW w:w="1422" w:type="dxa"/>
            <w:vAlign w:val="center"/>
          </w:tcPr>
          <w:p w14:paraId="698BDCA8"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课程目标</w:t>
            </w:r>
            <w:r w:rsidRPr="0049133F">
              <w:rPr>
                <w:rFonts w:ascii="Calibri" w:eastAsia="宋体" w:hAnsi="Calibri" w:cs="Times New Roman"/>
                <w:bCs/>
                <w:sz w:val="24"/>
              </w:rPr>
              <w:t>3</w:t>
            </w:r>
          </w:p>
        </w:tc>
        <w:tc>
          <w:tcPr>
            <w:tcW w:w="1452" w:type="dxa"/>
            <w:vAlign w:val="center"/>
          </w:tcPr>
          <w:p w14:paraId="359D145D"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5</w:t>
            </w:r>
          </w:p>
        </w:tc>
        <w:tc>
          <w:tcPr>
            <w:tcW w:w="1559" w:type="dxa"/>
            <w:vAlign w:val="center"/>
          </w:tcPr>
          <w:p w14:paraId="66230CDF" w14:textId="77777777" w:rsidR="0049133F" w:rsidRPr="0049133F" w:rsidRDefault="0049133F" w:rsidP="0049133F">
            <w:pPr>
              <w:spacing w:line="440" w:lineRule="exact"/>
              <w:jc w:val="center"/>
              <w:rPr>
                <w:rFonts w:ascii="Calibri" w:eastAsia="宋体" w:hAnsi="Calibri" w:cs="Times New Roman"/>
                <w:bCs/>
                <w:sz w:val="24"/>
              </w:rPr>
            </w:pPr>
          </w:p>
        </w:tc>
        <w:tc>
          <w:tcPr>
            <w:tcW w:w="1701" w:type="dxa"/>
            <w:vAlign w:val="center"/>
          </w:tcPr>
          <w:p w14:paraId="69B1C616"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5</w:t>
            </w:r>
          </w:p>
        </w:tc>
        <w:tc>
          <w:tcPr>
            <w:tcW w:w="1559" w:type="dxa"/>
            <w:vAlign w:val="center"/>
          </w:tcPr>
          <w:p w14:paraId="64093C97"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25</w:t>
            </w:r>
          </w:p>
        </w:tc>
        <w:tc>
          <w:tcPr>
            <w:tcW w:w="1559" w:type="dxa"/>
          </w:tcPr>
          <w:p w14:paraId="51665DB2"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35</w:t>
            </w:r>
          </w:p>
        </w:tc>
      </w:tr>
      <w:tr w:rsidR="0049133F" w:rsidRPr="0049133F" w14:paraId="444CFE4E" w14:textId="77777777" w:rsidTr="00BA2CFD">
        <w:trPr>
          <w:jc w:val="center"/>
        </w:trPr>
        <w:tc>
          <w:tcPr>
            <w:tcW w:w="1422" w:type="dxa"/>
            <w:vAlign w:val="center"/>
          </w:tcPr>
          <w:p w14:paraId="38927511"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合计</w:t>
            </w:r>
          </w:p>
        </w:tc>
        <w:tc>
          <w:tcPr>
            <w:tcW w:w="1452" w:type="dxa"/>
            <w:vAlign w:val="center"/>
          </w:tcPr>
          <w:p w14:paraId="65A1DB53"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20</w:t>
            </w:r>
          </w:p>
        </w:tc>
        <w:tc>
          <w:tcPr>
            <w:tcW w:w="1559" w:type="dxa"/>
            <w:vAlign w:val="center"/>
          </w:tcPr>
          <w:p w14:paraId="0D67EA4E"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10</w:t>
            </w:r>
          </w:p>
        </w:tc>
        <w:tc>
          <w:tcPr>
            <w:tcW w:w="1701" w:type="dxa"/>
            <w:vAlign w:val="center"/>
          </w:tcPr>
          <w:p w14:paraId="66945C12"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20</w:t>
            </w:r>
          </w:p>
        </w:tc>
        <w:tc>
          <w:tcPr>
            <w:tcW w:w="1559" w:type="dxa"/>
            <w:vAlign w:val="center"/>
          </w:tcPr>
          <w:p w14:paraId="649CFF0B"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50</w:t>
            </w:r>
          </w:p>
        </w:tc>
        <w:tc>
          <w:tcPr>
            <w:tcW w:w="1559" w:type="dxa"/>
          </w:tcPr>
          <w:p w14:paraId="75F14766" w14:textId="77777777" w:rsidR="0049133F" w:rsidRPr="0049133F" w:rsidRDefault="0049133F" w:rsidP="0049133F">
            <w:pPr>
              <w:spacing w:line="440" w:lineRule="exact"/>
              <w:jc w:val="center"/>
              <w:rPr>
                <w:rFonts w:ascii="Calibri" w:eastAsia="宋体" w:hAnsi="Calibri" w:cs="Times New Roman"/>
                <w:bCs/>
                <w:sz w:val="24"/>
              </w:rPr>
            </w:pPr>
            <w:r w:rsidRPr="0049133F">
              <w:rPr>
                <w:rFonts w:ascii="Calibri" w:eastAsia="宋体" w:hAnsi="Calibri" w:cs="Times New Roman"/>
                <w:bCs/>
                <w:sz w:val="24"/>
              </w:rPr>
              <w:t>100</w:t>
            </w:r>
          </w:p>
        </w:tc>
      </w:tr>
    </w:tbl>
    <w:p w14:paraId="58C4BFB1" w14:textId="77777777" w:rsidR="0049133F" w:rsidRPr="0049133F" w:rsidRDefault="0049133F" w:rsidP="0049133F">
      <w:pPr>
        <w:spacing w:beforeLines="50" w:before="156" w:afterLines="50" w:after="156" w:line="440" w:lineRule="exact"/>
        <w:rPr>
          <w:rFonts w:ascii="Calibri" w:eastAsia="黑体" w:hAnsi="Calibri" w:cs="Times New Roman"/>
          <w:sz w:val="28"/>
          <w:szCs w:val="28"/>
        </w:rPr>
      </w:pPr>
      <w:r w:rsidRPr="0049133F">
        <w:rPr>
          <w:rFonts w:ascii="Calibri" w:eastAsia="黑体" w:hAnsi="Calibri" w:cs="Times New Roman"/>
          <w:sz w:val="28"/>
          <w:szCs w:val="28"/>
        </w:rPr>
        <w:t>五、成绩评定</w:t>
      </w:r>
    </w:p>
    <w:p w14:paraId="0EFABC79" w14:textId="77777777" w:rsidR="0049133F" w:rsidRPr="0049133F" w:rsidRDefault="0049133F" w:rsidP="0049133F">
      <w:pPr>
        <w:spacing w:beforeLines="50" w:before="156" w:afterLines="50" w:after="156" w:line="440" w:lineRule="exact"/>
        <w:rPr>
          <w:rFonts w:ascii="Calibri" w:eastAsia="黑体" w:hAnsi="Calibri" w:cs="Times New Roman"/>
          <w:sz w:val="28"/>
          <w:szCs w:val="28"/>
        </w:rPr>
      </w:pPr>
      <w:r w:rsidRPr="0049133F">
        <w:rPr>
          <w:rFonts w:ascii="Calibri" w:eastAsia="黑体" w:hAnsi="Calibri" w:cs="Times New Roman"/>
          <w:sz w:val="28"/>
          <w:szCs w:val="28"/>
        </w:rPr>
        <w:t>（一）总成绩评定</w:t>
      </w:r>
    </w:p>
    <w:p w14:paraId="441D3943" w14:textId="77777777" w:rsidR="0049133F" w:rsidRPr="0049133F" w:rsidRDefault="0049133F" w:rsidP="0049133F">
      <w:pPr>
        <w:spacing w:line="440" w:lineRule="exact"/>
        <w:ind w:firstLineChars="200" w:firstLine="480"/>
        <w:rPr>
          <w:rFonts w:ascii="Calibri" w:eastAsia="宋体" w:hAnsi="Calibri" w:cs="Times New Roman"/>
          <w:sz w:val="24"/>
        </w:rPr>
      </w:pPr>
      <w:r w:rsidRPr="0049133F">
        <w:rPr>
          <w:rFonts w:ascii="Calibri" w:eastAsia="宋体" w:hAnsi="Calibri" w:cs="Times New Roman"/>
          <w:sz w:val="24"/>
        </w:rPr>
        <w:t>总成绩</w:t>
      </w:r>
      <w:r w:rsidRPr="0049133F">
        <w:rPr>
          <w:rFonts w:ascii="Calibri" w:eastAsia="宋体" w:hAnsi="Calibri" w:cs="Times New Roman"/>
          <w:sz w:val="24"/>
        </w:rPr>
        <w:t>=</w:t>
      </w:r>
      <w:r w:rsidRPr="0049133F">
        <w:rPr>
          <w:rFonts w:ascii="Calibri" w:eastAsia="宋体" w:hAnsi="Calibri" w:cs="Times New Roman"/>
          <w:sz w:val="24"/>
        </w:rPr>
        <w:t>平时成绩</w:t>
      </w:r>
      <w:r w:rsidRPr="0049133F">
        <w:rPr>
          <w:rFonts w:ascii="Calibri" w:eastAsia="宋体" w:hAnsi="Calibri" w:cs="Times New Roman"/>
          <w:sz w:val="24"/>
        </w:rPr>
        <w:t>×50%+</w:t>
      </w:r>
      <w:r w:rsidRPr="0049133F">
        <w:rPr>
          <w:rFonts w:ascii="Calibri" w:eastAsia="宋体" w:hAnsi="Calibri" w:cs="Times New Roman"/>
          <w:sz w:val="24"/>
        </w:rPr>
        <w:t>期末成绩</w:t>
      </w:r>
      <w:r w:rsidRPr="0049133F">
        <w:rPr>
          <w:rFonts w:ascii="Calibri" w:eastAsia="宋体" w:hAnsi="Calibri" w:cs="Times New Roman"/>
          <w:sz w:val="24"/>
        </w:rPr>
        <w:t>×50%</w:t>
      </w:r>
    </w:p>
    <w:p w14:paraId="302A87DF" w14:textId="77777777" w:rsidR="0049133F" w:rsidRPr="0049133F" w:rsidRDefault="0049133F" w:rsidP="0049133F">
      <w:pPr>
        <w:spacing w:line="440" w:lineRule="exact"/>
        <w:rPr>
          <w:rFonts w:ascii="Calibri" w:eastAsia="黑体" w:hAnsi="Calibri" w:cs="Times New Roman"/>
          <w:sz w:val="28"/>
          <w:szCs w:val="28"/>
        </w:rPr>
      </w:pPr>
      <w:r w:rsidRPr="0049133F">
        <w:rPr>
          <w:rFonts w:ascii="Calibri" w:eastAsia="黑体" w:hAnsi="Calibri" w:cs="Times New Roman" w:hint="eastAsia"/>
          <w:sz w:val="28"/>
          <w:szCs w:val="28"/>
        </w:rPr>
        <w:t>（二）</w:t>
      </w:r>
      <w:r w:rsidRPr="0049133F">
        <w:rPr>
          <w:rFonts w:ascii="Calibri" w:eastAsia="黑体" w:hAnsi="Calibri" w:cs="Times New Roman"/>
          <w:sz w:val="28"/>
          <w:szCs w:val="28"/>
        </w:rPr>
        <w:t>平时成绩评定</w:t>
      </w:r>
    </w:p>
    <w:p w14:paraId="6AAB4941" w14:textId="77777777" w:rsidR="0049133F" w:rsidRPr="0049133F" w:rsidRDefault="0049133F" w:rsidP="0049133F">
      <w:pPr>
        <w:spacing w:line="360" w:lineRule="auto"/>
        <w:ind w:firstLineChars="200" w:firstLine="480"/>
        <w:rPr>
          <w:rFonts w:ascii="Calibri" w:eastAsia="宋体" w:hAnsi="Calibri" w:cs="Times New Roman"/>
          <w:b/>
          <w:bCs/>
          <w:sz w:val="24"/>
        </w:rPr>
      </w:pPr>
      <w:r w:rsidRPr="0049133F">
        <w:rPr>
          <w:rFonts w:ascii="Calibri" w:eastAsia="宋体" w:hAnsi="Calibri" w:cs="Times New Roman"/>
          <w:sz w:val="24"/>
        </w:rPr>
        <w:t>平时成绩（</w:t>
      </w:r>
      <w:r w:rsidRPr="0049133F">
        <w:rPr>
          <w:rFonts w:ascii="Calibri" w:eastAsia="宋体" w:hAnsi="Calibri" w:cs="Times New Roman"/>
          <w:sz w:val="24"/>
        </w:rPr>
        <w:t>100%</w:t>
      </w:r>
      <w:r w:rsidRPr="0049133F">
        <w:rPr>
          <w:rFonts w:ascii="Calibri" w:eastAsia="宋体" w:hAnsi="Calibri" w:cs="Times New Roman"/>
          <w:sz w:val="24"/>
        </w:rPr>
        <w:t>）</w:t>
      </w:r>
      <w:r w:rsidRPr="0049133F">
        <w:rPr>
          <w:rFonts w:ascii="Calibri" w:eastAsia="宋体" w:hAnsi="Calibri" w:cs="Times New Roman"/>
          <w:sz w:val="24"/>
        </w:rPr>
        <w:t>=</w:t>
      </w:r>
      <w:r w:rsidRPr="0049133F">
        <w:rPr>
          <w:rFonts w:ascii="Calibri" w:eastAsia="宋体" w:hAnsi="Calibri" w:cs="Times New Roman"/>
          <w:sz w:val="24"/>
        </w:rPr>
        <w:t>课堂表现（</w:t>
      </w:r>
      <w:r w:rsidRPr="0049133F">
        <w:rPr>
          <w:rFonts w:ascii="Calibri" w:eastAsia="宋体" w:hAnsi="Calibri" w:cs="Times New Roman"/>
          <w:sz w:val="24"/>
        </w:rPr>
        <w:t>40%</w:t>
      </w:r>
      <w:r w:rsidRPr="0049133F">
        <w:rPr>
          <w:rFonts w:ascii="Calibri" w:eastAsia="宋体" w:hAnsi="Calibri" w:cs="Times New Roman"/>
          <w:sz w:val="24"/>
        </w:rPr>
        <w:t>）</w:t>
      </w:r>
      <w:r w:rsidRPr="0049133F">
        <w:rPr>
          <w:rFonts w:ascii="Calibri" w:eastAsia="宋体" w:hAnsi="Calibri" w:cs="Times New Roman"/>
          <w:sz w:val="24"/>
        </w:rPr>
        <w:t>+</w:t>
      </w:r>
      <w:r w:rsidRPr="0049133F">
        <w:rPr>
          <w:rFonts w:ascii="Calibri" w:eastAsia="宋体" w:hAnsi="Calibri" w:cs="Times New Roman"/>
          <w:sz w:val="24"/>
        </w:rPr>
        <w:t>课堂考勤（</w:t>
      </w:r>
      <w:r w:rsidRPr="0049133F">
        <w:rPr>
          <w:rFonts w:ascii="Calibri" w:eastAsia="宋体" w:hAnsi="Calibri" w:cs="Times New Roman"/>
          <w:sz w:val="24"/>
        </w:rPr>
        <w:t>20%</w:t>
      </w:r>
      <w:r w:rsidRPr="0049133F">
        <w:rPr>
          <w:rFonts w:ascii="Calibri" w:eastAsia="宋体" w:hAnsi="Calibri" w:cs="Times New Roman"/>
          <w:sz w:val="24"/>
        </w:rPr>
        <w:t>）</w:t>
      </w:r>
      <w:r w:rsidRPr="0049133F">
        <w:rPr>
          <w:rFonts w:ascii="Calibri" w:eastAsia="宋体" w:hAnsi="Calibri" w:cs="Times New Roman"/>
          <w:sz w:val="24"/>
        </w:rPr>
        <w:t>+</w:t>
      </w:r>
      <w:r w:rsidRPr="0049133F">
        <w:rPr>
          <w:rFonts w:ascii="Calibri" w:eastAsia="宋体" w:hAnsi="Calibri" w:cs="Times New Roman"/>
          <w:sz w:val="24"/>
        </w:rPr>
        <w:t>作业完成情况（</w:t>
      </w:r>
      <w:r w:rsidRPr="0049133F">
        <w:rPr>
          <w:rFonts w:ascii="Calibri" w:eastAsia="宋体" w:hAnsi="Calibri" w:cs="Times New Roman"/>
          <w:sz w:val="24"/>
        </w:rPr>
        <w:t>40%</w:t>
      </w:r>
      <w:r w:rsidRPr="0049133F">
        <w:rPr>
          <w:rFonts w:ascii="Calibri" w:eastAsia="宋体" w:hAnsi="Calibri" w:cs="Times New Roman"/>
          <w:sz w:val="24"/>
        </w:rPr>
        <w:t>）</w:t>
      </w:r>
    </w:p>
    <w:p w14:paraId="48263B3F" w14:textId="77777777" w:rsidR="0049133F" w:rsidRPr="0049133F" w:rsidRDefault="0049133F" w:rsidP="0049133F">
      <w:pPr>
        <w:spacing w:line="360" w:lineRule="auto"/>
        <w:ind w:firstLineChars="300" w:firstLine="723"/>
        <w:rPr>
          <w:rFonts w:ascii="Calibri" w:eastAsia="宋体" w:hAnsi="Calibri" w:cs="Times New Roman"/>
          <w:b/>
          <w:bCs/>
          <w:sz w:val="24"/>
        </w:rPr>
      </w:pPr>
      <w:r w:rsidRPr="0049133F">
        <w:rPr>
          <w:rFonts w:ascii="Calibri" w:eastAsia="宋体" w:hAnsi="Calibri" w:cs="Times New Roman"/>
          <w:b/>
          <w:bCs/>
          <w:sz w:val="24"/>
        </w:rPr>
        <w:t>考核方式：</w:t>
      </w:r>
    </w:p>
    <w:p w14:paraId="7DBBCAA8"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 </w:t>
      </w:r>
      <w:r w:rsidRPr="0049133F">
        <w:rPr>
          <w:rFonts w:ascii="Calibri" w:eastAsia="宋体" w:hAnsi="Calibri" w:cs="Times New Roman"/>
          <w:sz w:val="24"/>
        </w:rPr>
        <w:t>课堂表现</w:t>
      </w:r>
      <w:r w:rsidRPr="0049133F">
        <w:rPr>
          <w:rFonts w:ascii="Calibri" w:eastAsia="宋体" w:hAnsi="Calibri" w:cs="Times New Roman"/>
          <w:sz w:val="24"/>
        </w:rPr>
        <w:t xml:space="preserve">: </w:t>
      </w:r>
    </w:p>
    <w:p w14:paraId="285A8904" w14:textId="77777777" w:rsidR="0049133F" w:rsidRPr="0049133F" w:rsidRDefault="0049133F" w:rsidP="0049133F">
      <w:pPr>
        <w:spacing w:line="360" w:lineRule="auto"/>
        <w:ind w:left="420"/>
        <w:rPr>
          <w:rFonts w:ascii="Calibri" w:eastAsia="宋体" w:hAnsi="Calibri" w:cs="Times New Roman"/>
          <w:sz w:val="24"/>
        </w:rPr>
      </w:pPr>
      <w:r w:rsidRPr="0049133F">
        <w:rPr>
          <w:rFonts w:ascii="Calibri" w:eastAsia="宋体" w:hAnsi="Calibri" w:cs="Times New Roman"/>
          <w:sz w:val="24"/>
        </w:rPr>
        <w:t>通过线上线下</w:t>
      </w:r>
      <w:r w:rsidRPr="0049133F">
        <w:rPr>
          <w:rFonts w:ascii="Calibri" w:eastAsia="宋体" w:hAnsi="Calibri" w:cs="Times New Roman" w:hint="eastAsia"/>
          <w:sz w:val="24"/>
        </w:rPr>
        <w:t>，</w:t>
      </w:r>
      <w:r w:rsidRPr="0049133F">
        <w:rPr>
          <w:rFonts w:ascii="Calibri" w:eastAsia="宋体" w:hAnsi="Calibri" w:cs="Times New Roman"/>
          <w:sz w:val="24"/>
        </w:rPr>
        <w:t>学生参与智慧课堂发起的投票、问卷、抢答、选人、讨论、</w:t>
      </w:r>
    </w:p>
    <w:p w14:paraId="34472D34" w14:textId="77777777" w:rsidR="0049133F" w:rsidRPr="0049133F" w:rsidRDefault="0049133F" w:rsidP="0049133F">
      <w:pPr>
        <w:spacing w:line="360" w:lineRule="auto"/>
        <w:rPr>
          <w:rFonts w:ascii="Calibri" w:eastAsia="宋体" w:hAnsi="Calibri" w:cs="Times New Roman"/>
          <w:sz w:val="24"/>
        </w:rPr>
      </w:pPr>
      <w:r w:rsidRPr="0049133F">
        <w:rPr>
          <w:rFonts w:ascii="Calibri" w:eastAsia="宋体" w:hAnsi="Calibri" w:cs="Times New Roman"/>
          <w:sz w:val="24"/>
        </w:rPr>
        <w:t>随堂练习</w:t>
      </w:r>
      <w:r w:rsidRPr="0049133F">
        <w:rPr>
          <w:rFonts w:ascii="Calibri" w:eastAsia="宋体" w:hAnsi="Calibri" w:cs="Times New Roman" w:hint="eastAsia"/>
          <w:sz w:val="24"/>
        </w:rPr>
        <w:t>或测试</w:t>
      </w:r>
      <w:r w:rsidRPr="0049133F">
        <w:rPr>
          <w:rFonts w:ascii="Calibri" w:eastAsia="宋体" w:hAnsi="Calibri" w:cs="Times New Roman"/>
          <w:sz w:val="24"/>
        </w:rPr>
        <w:t>、</w:t>
      </w:r>
      <w:r w:rsidRPr="0049133F">
        <w:rPr>
          <w:rFonts w:ascii="Calibri" w:eastAsia="宋体" w:hAnsi="Calibri" w:cs="Times New Roman" w:hint="eastAsia"/>
          <w:sz w:val="24"/>
        </w:rPr>
        <w:t>小组合作</w:t>
      </w:r>
      <w:r w:rsidRPr="0049133F">
        <w:rPr>
          <w:rFonts w:ascii="Calibri" w:eastAsia="宋体" w:hAnsi="Calibri" w:cs="Times New Roman"/>
          <w:sz w:val="24"/>
        </w:rPr>
        <w:t>等课程活动，音视频任务点的完成情况等</w:t>
      </w:r>
      <w:r w:rsidRPr="0049133F">
        <w:rPr>
          <w:rFonts w:ascii="Calibri" w:eastAsia="宋体" w:hAnsi="Calibri" w:cs="Times New Roman" w:hint="eastAsia"/>
          <w:sz w:val="24"/>
        </w:rPr>
        <w:t>。</w:t>
      </w:r>
    </w:p>
    <w:p w14:paraId="299DFA0F" w14:textId="77777777" w:rsidR="0049133F" w:rsidRPr="0049133F" w:rsidRDefault="0049133F" w:rsidP="0049133F">
      <w:pPr>
        <w:numPr>
          <w:ilvl w:val="0"/>
          <w:numId w:val="9"/>
        </w:numPr>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课堂考勤：</w:t>
      </w:r>
    </w:p>
    <w:p w14:paraId="2C8EE6F2" w14:textId="77777777" w:rsidR="0049133F" w:rsidRPr="0049133F" w:rsidRDefault="0049133F" w:rsidP="0049133F">
      <w:pPr>
        <w:spacing w:line="360" w:lineRule="auto"/>
        <w:ind w:left="480"/>
        <w:rPr>
          <w:rFonts w:ascii="Calibri" w:eastAsia="宋体" w:hAnsi="Calibri" w:cs="Times New Roman"/>
          <w:sz w:val="24"/>
        </w:rPr>
      </w:pPr>
      <w:r w:rsidRPr="0049133F">
        <w:rPr>
          <w:rFonts w:ascii="Calibri" w:eastAsia="宋体" w:hAnsi="Calibri" w:cs="Times New Roman"/>
          <w:sz w:val="24"/>
        </w:rPr>
        <w:t>通过线上线下考勤来评定学生考勤成绩</w:t>
      </w:r>
      <w:r w:rsidRPr="0049133F">
        <w:rPr>
          <w:rFonts w:ascii="Calibri" w:eastAsia="宋体" w:hAnsi="Calibri" w:cs="Times New Roman" w:hint="eastAsia"/>
          <w:sz w:val="24"/>
        </w:rPr>
        <w:t>。</w:t>
      </w:r>
    </w:p>
    <w:p w14:paraId="013E8F0F" w14:textId="77777777" w:rsidR="0049133F" w:rsidRPr="0049133F" w:rsidRDefault="0049133F" w:rsidP="0049133F">
      <w:pPr>
        <w:numPr>
          <w:ilvl w:val="0"/>
          <w:numId w:val="9"/>
        </w:numPr>
        <w:spacing w:line="360" w:lineRule="auto"/>
        <w:ind w:firstLine="420"/>
        <w:rPr>
          <w:rFonts w:ascii="Calibri" w:eastAsia="宋体" w:hAnsi="Calibri" w:cs="Times New Roman"/>
          <w:sz w:val="24"/>
        </w:rPr>
      </w:pPr>
      <w:r w:rsidRPr="0049133F">
        <w:rPr>
          <w:rFonts w:ascii="Calibri" w:eastAsia="宋体" w:hAnsi="Calibri" w:cs="Times New Roman"/>
          <w:sz w:val="24"/>
        </w:rPr>
        <w:lastRenderedPageBreak/>
        <w:t>平时作业：</w:t>
      </w:r>
    </w:p>
    <w:p w14:paraId="5802EE51" w14:textId="77777777" w:rsidR="0049133F" w:rsidRPr="0049133F" w:rsidRDefault="0049133F" w:rsidP="0049133F">
      <w:pPr>
        <w:spacing w:line="360" w:lineRule="auto"/>
        <w:ind w:left="420"/>
        <w:rPr>
          <w:rFonts w:ascii="Calibri" w:eastAsia="宋体" w:hAnsi="Calibri" w:cs="Times New Roman"/>
          <w:sz w:val="24"/>
        </w:rPr>
      </w:pPr>
      <w:r w:rsidRPr="0049133F">
        <w:rPr>
          <w:rFonts w:ascii="Calibri" w:eastAsia="宋体" w:hAnsi="Calibri" w:cs="Times New Roman"/>
          <w:sz w:val="24"/>
        </w:rPr>
        <w:t>学习过程中利用</w:t>
      </w:r>
      <w:proofErr w:type="gramStart"/>
      <w:r w:rsidRPr="0049133F">
        <w:rPr>
          <w:rFonts w:ascii="Calibri" w:eastAsia="宋体" w:hAnsi="Calibri" w:cs="Times New Roman"/>
          <w:sz w:val="24"/>
        </w:rPr>
        <w:t>超星学习通发布</w:t>
      </w:r>
      <w:proofErr w:type="gramEnd"/>
      <w:r w:rsidRPr="0049133F">
        <w:rPr>
          <w:rFonts w:ascii="Calibri" w:eastAsia="宋体" w:hAnsi="Calibri" w:cs="Times New Roman"/>
          <w:sz w:val="24"/>
        </w:rPr>
        <w:t>的作业考核，包括综合</w:t>
      </w:r>
      <w:r w:rsidRPr="0049133F">
        <w:rPr>
          <w:rFonts w:ascii="Calibri" w:eastAsia="宋体" w:hAnsi="Calibri" w:cs="Times New Roman" w:hint="eastAsia"/>
          <w:sz w:val="24"/>
        </w:rPr>
        <w:t>教程</w:t>
      </w:r>
      <w:r w:rsidRPr="0049133F">
        <w:rPr>
          <w:rFonts w:ascii="Calibri" w:eastAsia="宋体" w:hAnsi="Calibri" w:cs="Times New Roman"/>
          <w:sz w:val="24"/>
        </w:rPr>
        <w:t>及视听说</w:t>
      </w:r>
      <w:r w:rsidRPr="0049133F">
        <w:rPr>
          <w:rFonts w:ascii="Calibri" w:eastAsia="宋体" w:hAnsi="Calibri" w:cs="Times New Roman" w:hint="eastAsia"/>
          <w:sz w:val="24"/>
        </w:rPr>
        <w:t>作业</w:t>
      </w:r>
      <w:r w:rsidRPr="0049133F">
        <w:rPr>
          <w:rFonts w:ascii="Calibri" w:eastAsia="宋体" w:hAnsi="Calibri" w:cs="Times New Roman"/>
          <w:sz w:val="24"/>
        </w:rPr>
        <w:t>。</w:t>
      </w:r>
    </w:p>
    <w:p w14:paraId="037D784A" w14:textId="77777777" w:rsidR="0049133F" w:rsidRPr="0049133F" w:rsidRDefault="0049133F" w:rsidP="0049133F">
      <w:pPr>
        <w:spacing w:line="360" w:lineRule="auto"/>
        <w:rPr>
          <w:rFonts w:ascii="Calibri" w:eastAsia="黑体" w:hAnsi="Calibri" w:cs="Times New Roman"/>
          <w:sz w:val="28"/>
          <w:szCs w:val="28"/>
        </w:rPr>
      </w:pPr>
      <w:r w:rsidRPr="0049133F">
        <w:rPr>
          <w:rFonts w:ascii="Calibri" w:eastAsia="宋体" w:hAnsi="Calibri" w:cs="Times New Roman"/>
          <w:sz w:val="24"/>
        </w:rPr>
        <w:t>取所有作业总分</w:t>
      </w:r>
      <w:r w:rsidRPr="0049133F">
        <w:rPr>
          <w:rFonts w:ascii="Calibri" w:eastAsia="宋体" w:hAnsi="Calibri" w:cs="Times New Roman"/>
          <w:sz w:val="24"/>
        </w:rPr>
        <w:t>/</w:t>
      </w:r>
      <w:r w:rsidRPr="0049133F">
        <w:rPr>
          <w:rFonts w:ascii="Calibri" w:eastAsia="宋体" w:hAnsi="Calibri" w:cs="Times New Roman"/>
          <w:sz w:val="24"/>
        </w:rPr>
        <w:t>总共发布作业次数的得分。</w:t>
      </w:r>
    </w:p>
    <w:p w14:paraId="7F7C6C2C" w14:textId="77777777" w:rsidR="0049133F" w:rsidRPr="0049133F" w:rsidRDefault="0049133F" w:rsidP="0049133F">
      <w:pPr>
        <w:spacing w:beforeLines="50" w:before="156" w:afterLines="50" w:after="156" w:line="360" w:lineRule="auto"/>
        <w:rPr>
          <w:rFonts w:ascii="Calibri" w:eastAsia="黑体" w:hAnsi="Calibri" w:cs="Times New Roman"/>
          <w:sz w:val="28"/>
          <w:szCs w:val="28"/>
        </w:rPr>
      </w:pPr>
      <w:r w:rsidRPr="0049133F">
        <w:rPr>
          <w:rFonts w:ascii="Calibri" w:eastAsia="黑体" w:hAnsi="Calibri" w:cs="Times New Roman"/>
          <w:sz w:val="28"/>
          <w:szCs w:val="28"/>
        </w:rPr>
        <w:t>（三）期末成绩评定</w:t>
      </w:r>
    </w:p>
    <w:p w14:paraId="634EC426" w14:textId="77777777" w:rsidR="0049133F" w:rsidRPr="0049133F" w:rsidRDefault="0049133F" w:rsidP="0049133F">
      <w:pPr>
        <w:spacing w:line="360" w:lineRule="auto"/>
        <w:ind w:firstLineChars="200" w:firstLine="480"/>
        <w:rPr>
          <w:rFonts w:ascii="黑体" w:eastAsia="黑体" w:hAnsi="黑体" w:cs="Times New Roman"/>
          <w:sz w:val="28"/>
          <w:szCs w:val="28"/>
        </w:rPr>
      </w:pPr>
      <w:r w:rsidRPr="0049133F">
        <w:rPr>
          <w:rFonts w:ascii="Calibri" w:eastAsia="宋体" w:hAnsi="Calibri" w:cs="Times New Roman" w:hint="eastAsia"/>
          <w:sz w:val="24"/>
        </w:rPr>
        <w:t>本学期为考查课，</w:t>
      </w:r>
      <w:r w:rsidRPr="0049133F">
        <w:rPr>
          <w:rFonts w:ascii="Calibri" w:eastAsia="宋体" w:hAnsi="Calibri" w:cs="Times New Roman"/>
          <w:sz w:val="24"/>
        </w:rPr>
        <w:t>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14:paraId="5FC7E2DC" w14:textId="77777777" w:rsidR="0049133F" w:rsidRPr="0049133F" w:rsidRDefault="0049133F" w:rsidP="0049133F">
      <w:pPr>
        <w:spacing w:beforeLines="50" w:before="156" w:afterLines="50" w:after="156" w:line="440" w:lineRule="exact"/>
        <w:rPr>
          <w:rFonts w:ascii="宋体" w:eastAsia="宋体" w:hAnsi="宋体" w:cs="Times New Roman"/>
          <w:sz w:val="24"/>
        </w:rPr>
      </w:pPr>
      <w:r w:rsidRPr="0049133F">
        <w:rPr>
          <w:rFonts w:ascii="黑体" w:eastAsia="黑体" w:hAnsi="黑体" w:cs="Times New Roman" w:hint="eastAsia"/>
          <w:sz w:val="28"/>
          <w:szCs w:val="28"/>
        </w:rPr>
        <w:t>六、使用教材、相关推荐书目及课程资源</w:t>
      </w:r>
    </w:p>
    <w:p w14:paraId="1256F1D5" w14:textId="77777777" w:rsidR="0049133F" w:rsidRPr="0049133F" w:rsidRDefault="0049133F" w:rsidP="0049133F">
      <w:pPr>
        <w:spacing w:line="360" w:lineRule="auto"/>
        <w:ind w:firstLineChars="200" w:firstLine="560"/>
        <w:rPr>
          <w:rFonts w:ascii="Calibri" w:eastAsia="宋体" w:hAnsi="Calibri" w:cs="Times New Roman"/>
          <w:sz w:val="24"/>
        </w:rPr>
      </w:pPr>
      <w:r w:rsidRPr="0049133F">
        <w:rPr>
          <w:rFonts w:ascii="Calibri" w:eastAsia="黑体" w:hAnsi="Calibri" w:cs="Times New Roman"/>
          <w:sz w:val="28"/>
          <w:szCs w:val="28"/>
        </w:rPr>
        <w:t>（一）使用教材</w:t>
      </w:r>
    </w:p>
    <w:p w14:paraId="2C883F0A" w14:textId="77777777" w:rsidR="0049133F" w:rsidRPr="0049133F" w:rsidRDefault="0049133F" w:rsidP="0049133F">
      <w:pPr>
        <w:tabs>
          <w:tab w:val="left" w:pos="840"/>
        </w:tabs>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 </w:t>
      </w:r>
      <w:r w:rsidRPr="0049133F">
        <w:rPr>
          <w:rFonts w:ascii="Calibri" w:eastAsia="宋体" w:hAnsi="Calibri" w:cs="Times New Roman"/>
          <w:sz w:val="24"/>
        </w:rPr>
        <w:t>石</w:t>
      </w:r>
      <w:proofErr w:type="gramStart"/>
      <w:r w:rsidRPr="0049133F">
        <w:rPr>
          <w:rFonts w:ascii="Calibri" w:eastAsia="宋体" w:hAnsi="Calibri" w:cs="Times New Roman"/>
          <w:sz w:val="24"/>
        </w:rPr>
        <w:t>坚</w:t>
      </w:r>
      <w:proofErr w:type="gramEnd"/>
      <w:r w:rsidRPr="0049133F">
        <w:rPr>
          <w:rFonts w:ascii="Calibri" w:eastAsia="宋体" w:hAnsi="Calibri" w:cs="Times New Roman"/>
          <w:sz w:val="24"/>
        </w:rPr>
        <w:t>、邹申、金雯主编，《新时代大学进阶英语综合教程</w:t>
      </w:r>
      <w:r w:rsidRPr="0049133F">
        <w:rPr>
          <w:rFonts w:ascii="Calibri" w:eastAsia="宋体" w:hAnsi="Calibri" w:cs="Times New Roman" w:hint="eastAsia"/>
          <w:sz w:val="24"/>
        </w:rPr>
        <w:t>3</w:t>
      </w:r>
      <w:r w:rsidRPr="0049133F">
        <w:rPr>
          <w:rFonts w:ascii="Calibri" w:eastAsia="宋体" w:hAnsi="Calibri" w:cs="Times New Roman"/>
          <w:sz w:val="24"/>
        </w:rPr>
        <w:t>》（第三版），南京大学出版社，</w:t>
      </w:r>
      <w:r w:rsidRPr="0049133F">
        <w:rPr>
          <w:rFonts w:ascii="Calibri" w:eastAsia="宋体" w:hAnsi="Calibri" w:cs="Times New Roman"/>
          <w:sz w:val="24"/>
        </w:rPr>
        <w:t>2022.3</w:t>
      </w:r>
      <w:r w:rsidRPr="0049133F">
        <w:rPr>
          <w:rFonts w:ascii="Calibri" w:eastAsia="宋体" w:hAnsi="Calibri" w:cs="Times New Roman" w:hint="eastAsia"/>
          <w:sz w:val="24"/>
        </w:rPr>
        <w:t>。</w:t>
      </w:r>
    </w:p>
    <w:p w14:paraId="01E72121" w14:textId="77777777" w:rsidR="0049133F" w:rsidRPr="0049133F" w:rsidRDefault="0049133F" w:rsidP="0049133F">
      <w:pPr>
        <w:tabs>
          <w:tab w:val="left" w:pos="840"/>
        </w:tabs>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2. </w:t>
      </w:r>
      <w:r w:rsidRPr="0049133F">
        <w:rPr>
          <w:rFonts w:ascii="Calibri" w:eastAsia="宋体" w:hAnsi="Calibri" w:cs="Times New Roman"/>
          <w:sz w:val="24"/>
        </w:rPr>
        <w:t>石</w:t>
      </w:r>
      <w:proofErr w:type="gramStart"/>
      <w:r w:rsidRPr="0049133F">
        <w:rPr>
          <w:rFonts w:ascii="Calibri" w:eastAsia="宋体" w:hAnsi="Calibri" w:cs="Times New Roman"/>
          <w:sz w:val="24"/>
        </w:rPr>
        <w:t>坚</w:t>
      </w:r>
      <w:proofErr w:type="gramEnd"/>
      <w:r w:rsidRPr="0049133F">
        <w:rPr>
          <w:rFonts w:ascii="Calibri" w:eastAsia="宋体" w:hAnsi="Calibri" w:cs="Times New Roman"/>
          <w:sz w:val="24"/>
        </w:rPr>
        <w:t>、邹申、金雯主编，《新时代大学进阶英语视听说教程</w:t>
      </w:r>
      <w:r w:rsidRPr="0049133F">
        <w:rPr>
          <w:rFonts w:ascii="Calibri" w:eastAsia="宋体" w:hAnsi="Calibri" w:cs="Times New Roman" w:hint="eastAsia"/>
          <w:sz w:val="24"/>
        </w:rPr>
        <w:t>3</w:t>
      </w:r>
      <w:r w:rsidRPr="0049133F">
        <w:rPr>
          <w:rFonts w:ascii="Calibri" w:eastAsia="宋体" w:hAnsi="Calibri" w:cs="Times New Roman"/>
          <w:sz w:val="24"/>
        </w:rPr>
        <w:t>》（第三版），南京大学出版社，</w:t>
      </w:r>
      <w:r w:rsidRPr="0049133F">
        <w:rPr>
          <w:rFonts w:ascii="Calibri" w:eastAsia="宋体" w:hAnsi="Calibri" w:cs="Times New Roman"/>
          <w:sz w:val="24"/>
        </w:rPr>
        <w:t>2022.3</w:t>
      </w:r>
      <w:r w:rsidRPr="0049133F">
        <w:rPr>
          <w:rFonts w:ascii="Calibri" w:eastAsia="宋体" w:hAnsi="Calibri" w:cs="Times New Roman"/>
          <w:sz w:val="24"/>
        </w:rPr>
        <w:t>。</w:t>
      </w:r>
    </w:p>
    <w:p w14:paraId="1AEE8ED6" w14:textId="77777777" w:rsidR="0049133F" w:rsidRPr="0049133F" w:rsidRDefault="0049133F" w:rsidP="0049133F">
      <w:pPr>
        <w:spacing w:line="360" w:lineRule="auto"/>
        <w:ind w:firstLineChars="200" w:firstLine="560"/>
        <w:rPr>
          <w:rFonts w:ascii="Calibri" w:eastAsia="黑体" w:hAnsi="Calibri" w:cs="Times New Roman"/>
          <w:sz w:val="28"/>
          <w:szCs w:val="28"/>
        </w:rPr>
      </w:pPr>
      <w:r w:rsidRPr="0049133F">
        <w:rPr>
          <w:rFonts w:ascii="Calibri" w:eastAsia="黑体" w:hAnsi="Calibri" w:cs="Times New Roman"/>
          <w:sz w:val="28"/>
          <w:szCs w:val="28"/>
        </w:rPr>
        <w:t>（二）相关推荐书目及网址</w:t>
      </w:r>
    </w:p>
    <w:p w14:paraId="4CEA62CA" w14:textId="77777777" w:rsidR="0049133F" w:rsidRPr="0049133F" w:rsidRDefault="0049133F" w:rsidP="0049133F">
      <w:pPr>
        <w:tabs>
          <w:tab w:val="left" w:pos="840"/>
        </w:tabs>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 </w:t>
      </w:r>
      <w:r w:rsidRPr="0049133F">
        <w:rPr>
          <w:rFonts w:ascii="Calibri" w:eastAsia="宋体" w:hAnsi="Calibri" w:cs="Times New Roman"/>
          <w:sz w:val="24"/>
        </w:rPr>
        <w:t>石</w:t>
      </w:r>
      <w:proofErr w:type="gramStart"/>
      <w:r w:rsidRPr="0049133F">
        <w:rPr>
          <w:rFonts w:ascii="Calibri" w:eastAsia="宋体" w:hAnsi="Calibri" w:cs="Times New Roman"/>
          <w:sz w:val="24"/>
        </w:rPr>
        <w:t>坚</w:t>
      </w:r>
      <w:proofErr w:type="gramEnd"/>
      <w:r w:rsidRPr="0049133F">
        <w:rPr>
          <w:rFonts w:ascii="Calibri" w:eastAsia="宋体" w:hAnsi="Calibri" w:cs="Times New Roman"/>
          <w:sz w:val="24"/>
        </w:rPr>
        <w:t>、邹申、金雯主编，《新时代大学进阶英语综合教程</w:t>
      </w:r>
      <w:r w:rsidRPr="0049133F">
        <w:rPr>
          <w:rFonts w:ascii="Calibri" w:eastAsia="宋体" w:hAnsi="Calibri" w:cs="Times New Roman"/>
          <w:sz w:val="24"/>
        </w:rPr>
        <w:t>3</w:t>
      </w:r>
      <w:r w:rsidRPr="0049133F">
        <w:rPr>
          <w:rFonts w:ascii="Calibri" w:eastAsia="宋体" w:hAnsi="Calibri" w:cs="Times New Roman"/>
          <w:sz w:val="24"/>
        </w:rPr>
        <w:t>教学参考书》（第三版），南京大学出版社，</w:t>
      </w:r>
      <w:r w:rsidRPr="0049133F">
        <w:rPr>
          <w:rFonts w:ascii="Calibri" w:eastAsia="宋体" w:hAnsi="Calibri" w:cs="Times New Roman"/>
          <w:sz w:val="24"/>
        </w:rPr>
        <w:t>2022.3.</w:t>
      </w:r>
    </w:p>
    <w:p w14:paraId="56DCAEF5" w14:textId="77777777" w:rsidR="0049133F" w:rsidRPr="0049133F" w:rsidRDefault="0049133F" w:rsidP="0049133F">
      <w:pPr>
        <w:tabs>
          <w:tab w:val="left" w:pos="840"/>
        </w:tabs>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2. </w:t>
      </w:r>
      <w:r w:rsidRPr="0049133F">
        <w:rPr>
          <w:rFonts w:ascii="Calibri" w:eastAsia="宋体" w:hAnsi="Calibri" w:cs="Times New Roman"/>
          <w:sz w:val="24"/>
        </w:rPr>
        <w:t>石</w:t>
      </w:r>
      <w:proofErr w:type="gramStart"/>
      <w:r w:rsidRPr="0049133F">
        <w:rPr>
          <w:rFonts w:ascii="Calibri" w:eastAsia="宋体" w:hAnsi="Calibri" w:cs="Times New Roman"/>
          <w:sz w:val="24"/>
        </w:rPr>
        <w:t>坚</w:t>
      </w:r>
      <w:proofErr w:type="gramEnd"/>
      <w:r w:rsidRPr="0049133F">
        <w:rPr>
          <w:rFonts w:ascii="Calibri" w:eastAsia="宋体" w:hAnsi="Calibri" w:cs="Times New Roman"/>
          <w:sz w:val="24"/>
        </w:rPr>
        <w:t>、邹申、金雯主编，《新时代大学进阶英语视听说教程</w:t>
      </w:r>
      <w:r w:rsidRPr="0049133F">
        <w:rPr>
          <w:rFonts w:ascii="Calibri" w:eastAsia="宋体" w:hAnsi="Calibri" w:cs="Times New Roman"/>
          <w:sz w:val="24"/>
        </w:rPr>
        <w:t>3</w:t>
      </w:r>
      <w:r w:rsidRPr="0049133F">
        <w:rPr>
          <w:rFonts w:ascii="Calibri" w:eastAsia="宋体" w:hAnsi="Calibri" w:cs="Times New Roman"/>
          <w:sz w:val="24"/>
        </w:rPr>
        <w:t>教学参考书》（第三版），南京大学出版社，</w:t>
      </w:r>
      <w:r w:rsidRPr="0049133F">
        <w:rPr>
          <w:rFonts w:ascii="Calibri" w:eastAsia="宋体" w:hAnsi="Calibri" w:cs="Times New Roman"/>
          <w:sz w:val="24"/>
        </w:rPr>
        <w:t>2022.3.</w:t>
      </w:r>
    </w:p>
    <w:p w14:paraId="6B30C318" w14:textId="77777777" w:rsidR="0049133F" w:rsidRPr="0049133F" w:rsidRDefault="0049133F" w:rsidP="0049133F">
      <w:pPr>
        <w:tabs>
          <w:tab w:val="left" w:pos="840"/>
        </w:tabs>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3. </w:t>
      </w:r>
      <w:proofErr w:type="gramStart"/>
      <w:r w:rsidRPr="0049133F">
        <w:rPr>
          <w:rFonts w:ascii="Calibri" w:eastAsia="宋体" w:hAnsi="Calibri" w:cs="Times New Roman"/>
          <w:sz w:val="24"/>
        </w:rPr>
        <w:t>唐雄英</w:t>
      </w:r>
      <w:proofErr w:type="gramEnd"/>
      <w:r w:rsidRPr="0049133F">
        <w:rPr>
          <w:rFonts w:ascii="Calibri" w:eastAsia="宋体" w:hAnsi="Calibri" w:cs="Times New Roman"/>
          <w:sz w:val="24"/>
        </w:rPr>
        <w:t>《教育评价范式转变中的英语教学评价实践》，上海外语教育出版社，</w:t>
      </w:r>
      <w:r w:rsidRPr="0049133F">
        <w:rPr>
          <w:rFonts w:ascii="Calibri" w:eastAsia="宋体" w:hAnsi="Calibri" w:cs="Times New Roman"/>
          <w:sz w:val="24"/>
        </w:rPr>
        <w:t>2015.</w:t>
      </w:r>
    </w:p>
    <w:p w14:paraId="48B9649B" w14:textId="77777777" w:rsidR="0049133F" w:rsidRPr="0049133F" w:rsidRDefault="0049133F" w:rsidP="0049133F">
      <w:pPr>
        <w:tabs>
          <w:tab w:val="left" w:pos="840"/>
        </w:tabs>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4. </w:t>
      </w:r>
      <w:r w:rsidRPr="0049133F">
        <w:rPr>
          <w:rFonts w:ascii="Calibri" w:eastAsia="宋体" w:hAnsi="Calibri" w:cs="Times New Roman"/>
          <w:sz w:val="24"/>
        </w:rPr>
        <w:t>郭坤《全球化背景下大学英语跨文化教学研究》，电子科技大学出版社，</w:t>
      </w:r>
      <w:r w:rsidRPr="0049133F">
        <w:rPr>
          <w:rFonts w:ascii="Calibri" w:eastAsia="宋体" w:hAnsi="Calibri" w:cs="Times New Roman"/>
          <w:sz w:val="24"/>
        </w:rPr>
        <w:t>2016.</w:t>
      </w:r>
    </w:p>
    <w:p w14:paraId="0B5575F0" w14:textId="77777777" w:rsidR="0049133F" w:rsidRPr="0049133F" w:rsidRDefault="0049133F" w:rsidP="0049133F">
      <w:pPr>
        <w:tabs>
          <w:tab w:val="left" w:pos="840"/>
        </w:tabs>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5. </w:t>
      </w:r>
      <w:r w:rsidRPr="0049133F">
        <w:rPr>
          <w:rFonts w:ascii="Calibri" w:eastAsia="宋体" w:hAnsi="Calibri" w:cs="Times New Roman"/>
          <w:sz w:val="24"/>
        </w:rPr>
        <w:t>程晓堂著：《改什么？如何教？怎样考？</w:t>
      </w:r>
      <w:r w:rsidRPr="0049133F">
        <w:rPr>
          <w:rFonts w:ascii="Calibri" w:eastAsia="宋体" w:hAnsi="Calibri" w:cs="Times New Roman"/>
          <w:sz w:val="24"/>
        </w:rPr>
        <w:t>---</w:t>
      </w:r>
      <w:r w:rsidRPr="0049133F">
        <w:rPr>
          <w:rFonts w:ascii="Calibri" w:eastAsia="宋体" w:hAnsi="Calibri" w:cs="Times New Roman"/>
          <w:sz w:val="24"/>
        </w:rPr>
        <w:t>义务教育英语课程标准（</w:t>
      </w:r>
      <w:r w:rsidRPr="0049133F">
        <w:rPr>
          <w:rFonts w:ascii="Calibri" w:eastAsia="宋体" w:hAnsi="Calibri" w:cs="Times New Roman"/>
          <w:sz w:val="24"/>
        </w:rPr>
        <w:t>2022</w:t>
      </w:r>
      <w:r w:rsidRPr="0049133F">
        <w:rPr>
          <w:rFonts w:ascii="Calibri" w:eastAsia="宋体" w:hAnsi="Calibri" w:cs="Times New Roman"/>
          <w:sz w:val="24"/>
        </w:rPr>
        <w:t>年版）解析》，外语教学与研究出版社，</w:t>
      </w:r>
      <w:r w:rsidRPr="0049133F">
        <w:rPr>
          <w:rFonts w:ascii="Calibri" w:eastAsia="宋体" w:hAnsi="Calibri" w:cs="Times New Roman"/>
          <w:sz w:val="24"/>
        </w:rPr>
        <w:t>2022</w:t>
      </w:r>
      <w:r w:rsidRPr="0049133F">
        <w:rPr>
          <w:rFonts w:ascii="Calibri" w:eastAsia="宋体" w:hAnsi="Calibri" w:cs="Times New Roman"/>
          <w:sz w:val="24"/>
        </w:rPr>
        <w:t>年版。</w:t>
      </w:r>
    </w:p>
    <w:p w14:paraId="689A33AE" w14:textId="77777777" w:rsidR="0049133F" w:rsidRPr="0049133F" w:rsidRDefault="0049133F" w:rsidP="0049133F">
      <w:pPr>
        <w:tabs>
          <w:tab w:val="left" w:pos="840"/>
        </w:tabs>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6. </w:t>
      </w:r>
      <w:r w:rsidRPr="0049133F">
        <w:rPr>
          <w:rFonts w:ascii="Calibri" w:eastAsia="宋体" w:hAnsi="Calibri" w:cs="Times New Roman"/>
          <w:sz w:val="24"/>
        </w:rPr>
        <w:t>汪霞等《世界一流大学通识教育课程研究》，南京大学出版社</w:t>
      </w:r>
      <w:r w:rsidRPr="0049133F">
        <w:rPr>
          <w:rFonts w:ascii="Calibri" w:eastAsia="宋体" w:hAnsi="Calibri" w:cs="Times New Roman"/>
          <w:sz w:val="24"/>
        </w:rPr>
        <w:t>.2017.</w:t>
      </w:r>
    </w:p>
    <w:p w14:paraId="7EBD7C97" w14:textId="77777777" w:rsidR="0049133F" w:rsidRPr="0049133F" w:rsidRDefault="0049133F" w:rsidP="0049133F">
      <w:pPr>
        <w:tabs>
          <w:tab w:val="left" w:pos="840"/>
        </w:tabs>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7. </w:t>
      </w:r>
      <w:r w:rsidRPr="0049133F">
        <w:rPr>
          <w:rFonts w:ascii="Calibri" w:eastAsia="宋体" w:hAnsi="Calibri" w:cs="Times New Roman"/>
          <w:sz w:val="24"/>
        </w:rPr>
        <w:t>薄冰主编：《高级英语语法》，商务印书馆，</w:t>
      </w:r>
      <w:r w:rsidRPr="0049133F">
        <w:rPr>
          <w:rFonts w:ascii="Calibri" w:eastAsia="宋体" w:hAnsi="Calibri" w:cs="Times New Roman"/>
          <w:sz w:val="24"/>
        </w:rPr>
        <w:t>2018.</w:t>
      </w:r>
    </w:p>
    <w:p w14:paraId="466199A7" w14:textId="77777777" w:rsidR="0049133F" w:rsidRPr="0049133F" w:rsidRDefault="0049133F" w:rsidP="0049133F">
      <w:pPr>
        <w:tabs>
          <w:tab w:val="left" w:pos="840"/>
        </w:tabs>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8. </w:t>
      </w:r>
      <w:r w:rsidRPr="0049133F">
        <w:rPr>
          <w:rFonts w:ascii="Calibri" w:eastAsia="宋体" w:hAnsi="Calibri" w:cs="Times New Roman"/>
          <w:sz w:val="24"/>
        </w:rPr>
        <w:t>戚一岚《计算机网络辅助英语教学的理论和实践》，浙江工商大学出版社，</w:t>
      </w:r>
      <w:r w:rsidRPr="0049133F">
        <w:rPr>
          <w:rFonts w:ascii="Calibri" w:eastAsia="宋体" w:hAnsi="Calibri" w:cs="Times New Roman"/>
          <w:sz w:val="24"/>
        </w:rPr>
        <w:t>2020.</w:t>
      </w:r>
    </w:p>
    <w:p w14:paraId="29506B9E" w14:textId="77777777" w:rsidR="0049133F" w:rsidRPr="0049133F" w:rsidRDefault="0049133F" w:rsidP="0049133F">
      <w:pPr>
        <w:tabs>
          <w:tab w:val="left" w:pos="840"/>
        </w:tabs>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lastRenderedPageBreak/>
        <w:t xml:space="preserve">9. </w:t>
      </w:r>
      <w:r w:rsidRPr="0049133F">
        <w:rPr>
          <w:rFonts w:ascii="Calibri" w:eastAsia="宋体" w:hAnsi="Calibri" w:cs="Times New Roman"/>
          <w:sz w:val="24"/>
        </w:rPr>
        <w:t>张强华《人工智能专业英语教程》，清华大学出版社，</w:t>
      </w:r>
      <w:r w:rsidRPr="0049133F">
        <w:rPr>
          <w:rFonts w:ascii="Calibri" w:eastAsia="宋体" w:hAnsi="Calibri" w:cs="Times New Roman"/>
          <w:sz w:val="24"/>
        </w:rPr>
        <w:t>2021.</w:t>
      </w:r>
    </w:p>
    <w:p w14:paraId="0D3D5EF9" w14:textId="77777777" w:rsidR="0049133F" w:rsidRPr="0049133F" w:rsidRDefault="0049133F" w:rsidP="0049133F">
      <w:pPr>
        <w:tabs>
          <w:tab w:val="left" w:pos="840"/>
        </w:tabs>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8. Michael Swan</w:t>
      </w:r>
      <w:r w:rsidRPr="0049133F">
        <w:rPr>
          <w:rFonts w:ascii="Calibri" w:eastAsia="宋体" w:hAnsi="Calibri" w:cs="Times New Roman"/>
          <w:sz w:val="24"/>
        </w:rPr>
        <w:t>主编：《牛津英语用法指南》第四版，外语教学与研究出版社，</w:t>
      </w:r>
      <w:r w:rsidRPr="0049133F">
        <w:rPr>
          <w:rFonts w:ascii="Calibri" w:eastAsia="宋体" w:hAnsi="Calibri" w:cs="Times New Roman"/>
          <w:sz w:val="24"/>
        </w:rPr>
        <w:t>2019.</w:t>
      </w:r>
    </w:p>
    <w:p w14:paraId="06713061" w14:textId="77777777" w:rsidR="0049133F" w:rsidRPr="0049133F" w:rsidRDefault="0049133F" w:rsidP="0049133F">
      <w:pPr>
        <w:tabs>
          <w:tab w:val="left" w:pos="840"/>
        </w:tabs>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10. </w:t>
      </w:r>
      <w:r w:rsidRPr="0049133F">
        <w:rPr>
          <w:rFonts w:ascii="Calibri" w:eastAsia="宋体" w:hAnsi="Calibri" w:cs="Times New Roman"/>
          <w:sz w:val="24"/>
        </w:rPr>
        <w:t>新东方研究中心，《新东方四级阅读强化训练</w:t>
      </w:r>
      <w:r w:rsidRPr="0049133F">
        <w:rPr>
          <w:rFonts w:ascii="Calibri" w:eastAsia="宋体" w:hAnsi="Calibri" w:cs="Times New Roman"/>
          <w:sz w:val="24"/>
        </w:rPr>
        <w:t>600</w:t>
      </w:r>
      <w:r w:rsidRPr="0049133F">
        <w:rPr>
          <w:rFonts w:ascii="Calibri" w:eastAsia="宋体" w:hAnsi="Calibri" w:cs="Times New Roman"/>
          <w:sz w:val="24"/>
        </w:rPr>
        <w:t>题》，浙江教育出版社，</w:t>
      </w:r>
      <w:r w:rsidRPr="0049133F">
        <w:rPr>
          <w:rFonts w:ascii="Calibri" w:eastAsia="宋体" w:hAnsi="Calibri" w:cs="Times New Roman"/>
          <w:sz w:val="24"/>
        </w:rPr>
        <w:t>2015.</w:t>
      </w:r>
    </w:p>
    <w:p w14:paraId="3F59BC60" w14:textId="77777777" w:rsidR="0049133F" w:rsidRPr="0049133F" w:rsidRDefault="0049133F" w:rsidP="0049133F">
      <w:pPr>
        <w:tabs>
          <w:tab w:val="left" w:pos="840"/>
        </w:tabs>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11. </w:t>
      </w:r>
      <w:r w:rsidRPr="0049133F">
        <w:rPr>
          <w:rFonts w:ascii="Calibri" w:eastAsia="宋体" w:hAnsi="Calibri" w:cs="Times New Roman"/>
          <w:sz w:val="24"/>
        </w:rPr>
        <w:t>中国大学</w:t>
      </w:r>
      <w:r w:rsidRPr="0049133F">
        <w:rPr>
          <w:rFonts w:ascii="Calibri" w:eastAsia="宋体" w:hAnsi="Calibri" w:cs="Times New Roman"/>
          <w:sz w:val="24"/>
        </w:rPr>
        <w:t>MOOC</w:t>
      </w:r>
      <w:r w:rsidRPr="0049133F">
        <w:rPr>
          <w:rFonts w:ascii="Calibri" w:eastAsia="宋体" w:hAnsi="Calibri" w:cs="Times New Roman"/>
          <w:sz w:val="24"/>
        </w:rPr>
        <w:t>网：</w:t>
      </w:r>
      <w:r w:rsidRPr="0049133F">
        <w:rPr>
          <w:rFonts w:ascii="Calibri" w:eastAsia="宋体" w:hAnsi="Calibri" w:cs="Times New Roman"/>
          <w:sz w:val="24"/>
        </w:rPr>
        <w:t>https://www.icourse163.org/.</w:t>
      </w:r>
    </w:p>
    <w:p w14:paraId="709C7F1F" w14:textId="77777777" w:rsidR="0049133F" w:rsidRPr="0049133F" w:rsidRDefault="0049133F" w:rsidP="0049133F">
      <w:pPr>
        <w:tabs>
          <w:tab w:val="left" w:pos="840"/>
        </w:tabs>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12. </w:t>
      </w:r>
      <w:r w:rsidRPr="0049133F">
        <w:rPr>
          <w:rFonts w:ascii="Calibri" w:eastAsia="宋体" w:hAnsi="Calibri" w:cs="Times New Roman"/>
          <w:sz w:val="24"/>
        </w:rPr>
        <w:t>沪江英语学习网站：</w:t>
      </w:r>
      <w:proofErr w:type="gramStart"/>
      <w:r w:rsidRPr="0049133F">
        <w:rPr>
          <w:rFonts w:ascii="Calibri" w:eastAsia="宋体" w:hAnsi="Calibri" w:cs="Times New Roman"/>
          <w:sz w:val="24"/>
        </w:rPr>
        <w:t>https://www.hjenglish.com/ .</w:t>
      </w:r>
      <w:proofErr w:type="gramEnd"/>
    </w:p>
    <w:p w14:paraId="3EC5B6B5" w14:textId="77777777" w:rsidR="0049133F" w:rsidRPr="0049133F" w:rsidRDefault="0049133F" w:rsidP="0049133F">
      <w:pPr>
        <w:tabs>
          <w:tab w:val="left" w:pos="840"/>
        </w:tabs>
        <w:spacing w:line="360" w:lineRule="auto"/>
        <w:ind w:firstLineChars="200" w:firstLine="480"/>
        <w:rPr>
          <w:rFonts w:ascii="Calibri" w:eastAsia="宋体" w:hAnsi="Calibri" w:cs="Times New Roman"/>
          <w:sz w:val="24"/>
        </w:rPr>
      </w:pPr>
      <w:r w:rsidRPr="0049133F">
        <w:rPr>
          <w:rFonts w:ascii="Calibri" w:eastAsia="宋体" w:hAnsi="Calibri" w:cs="Times New Roman"/>
          <w:sz w:val="24"/>
        </w:rPr>
        <w:t xml:space="preserve">13. </w:t>
      </w:r>
      <w:r w:rsidRPr="0049133F">
        <w:rPr>
          <w:rFonts w:ascii="Calibri" w:eastAsia="宋体" w:hAnsi="Calibri" w:cs="Times New Roman"/>
          <w:sz w:val="24"/>
        </w:rPr>
        <w:t>可可英语学习网站：</w:t>
      </w:r>
      <w:r w:rsidRPr="0049133F">
        <w:rPr>
          <w:rFonts w:ascii="Calibri" w:eastAsia="宋体" w:hAnsi="Calibri" w:cs="Times New Roman"/>
          <w:sz w:val="24"/>
        </w:rPr>
        <w:t>http://www.kekenet.com/.</w:t>
      </w:r>
    </w:p>
    <w:p w14:paraId="41FF0DB4" w14:textId="77777777" w:rsidR="0049133F" w:rsidRPr="0049133F" w:rsidRDefault="0049133F" w:rsidP="0049133F">
      <w:pPr>
        <w:tabs>
          <w:tab w:val="left" w:pos="840"/>
        </w:tabs>
        <w:spacing w:line="360" w:lineRule="auto"/>
        <w:ind w:firstLineChars="200" w:firstLine="480"/>
        <w:rPr>
          <w:rFonts w:ascii="Calibri" w:eastAsia="黑体" w:hAnsi="Calibri" w:cs="Times New Roman"/>
          <w:sz w:val="24"/>
        </w:rPr>
      </w:pPr>
      <w:r w:rsidRPr="0049133F">
        <w:rPr>
          <w:rFonts w:ascii="Calibri" w:eastAsia="宋体" w:hAnsi="Calibri" w:cs="Times New Roman"/>
          <w:sz w:val="24"/>
        </w:rPr>
        <w:t xml:space="preserve">14. </w:t>
      </w:r>
      <w:r w:rsidRPr="0049133F">
        <w:rPr>
          <w:rFonts w:ascii="Calibri" w:eastAsia="宋体" w:hAnsi="Calibri" w:cs="Times New Roman"/>
          <w:sz w:val="24"/>
        </w:rPr>
        <w:t>中国日报英文版官网：</w:t>
      </w:r>
      <w:r w:rsidRPr="0049133F">
        <w:rPr>
          <w:rFonts w:ascii="Calibri" w:eastAsia="宋体" w:hAnsi="Calibri" w:cs="Times New Roman"/>
          <w:sz w:val="24"/>
        </w:rPr>
        <w:t>http://www.chinadaily.com.cn/.</w:t>
      </w:r>
    </w:p>
    <w:p w14:paraId="70BD84F5" w14:textId="77777777" w:rsidR="0049133F" w:rsidRPr="0049133F" w:rsidRDefault="0049133F" w:rsidP="0049133F">
      <w:pPr>
        <w:spacing w:beforeLines="50" w:before="156" w:afterLines="50" w:after="156" w:line="440" w:lineRule="exact"/>
        <w:rPr>
          <w:rFonts w:ascii="宋体" w:eastAsia="宋体" w:hAnsi="宋体" w:cs="Times New Roman"/>
          <w:sz w:val="24"/>
        </w:rPr>
      </w:pPr>
      <w:r w:rsidRPr="0049133F">
        <w:rPr>
          <w:rFonts w:ascii="黑体" w:eastAsia="黑体" w:hAnsi="黑体" w:cs="Times New Roman" w:hint="eastAsia"/>
          <w:sz w:val="28"/>
          <w:szCs w:val="28"/>
        </w:rPr>
        <w:t>（三）课程资源</w:t>
      </w:r>
    </w:p>
    <w:p w14:paraId="31A2B1A7" w14:textId="77777777" w:rsidR="0049133F" w:rsidRPr="0049133F" w:rsidRDefault="0049133F" w:rsidP="0049133F">
      <w:pPr>
        <w:spacing w:line="360" w:lineRule="auto"/>
        <w:ind w:firstLineChars="200" w:firstLine="480"/>
        <w:rPr>
          <w:rFonts w:ascii="Calibri" w:eastAsia="宋体" w:hAnsi="Calibri" w:cs="Times New Roman"/>
          <w:sz w:val="24"/>
        </w:rPr>
      </w:pPr>
      <w:r w:rsidRPr="0049133F">
        <w:rPr>
          <w:rFonts w:ascii="Calibri" w:eastAsia="宋体" w:hAnsi="Calibri" w:cs="Times New Roman" w:hint="eastAsia"/>
          <w:sz w:val="24"/>
        </w:rPr>
        <w:t>学习途径和方法：</w:t>
      </w:r>
    </w:p>
    <w:p w14:paraId="498616E1" w14:textId="77777777" w:rsidR="0049133F" w:rsidRPr="0049133F" w:rsidRDefault="0049133F" w:rsidP="0049133F">
      <w:pPr>
        <w:spacing w:line="360" w:lineRule="auto"/>
        <w:ind w:firstLineChars="200" w:firstLine="480"/>
        <w:rPr>
          <w:rFonts w:ascii="宋体" w:eastAsia="宋体" w:hAnsi="宋体" w:cs="Times New Roman"/>
          <w:sz w:val="24"/>
        </w:rPr>
      </w:pPr>
      <w:r w:rsidRPr="0049133F">
        <w:rPr>
          <w:rFonts w:ascii="Calibri" w:eastAsia="宋体" w:hAnsi="Calibri" w:cs="Times New Roman"/>
          <w:sz w:val="24"/>
        </w:rPr>
        <w:t>1.</w:t>
      </w:r>
      <w:r w:rsidRPr="0049133F">
        <w:rPr>
          <w:rFonts w:ascii="宋体" w:eastAsia="宋体" w:hAnsi="宋体" w:cs="Times New Roman" w:hint="eastAsia"/>
          <w:sz w:val="24"/>
        </w:rPr>
        <w:t xml:space="preserve"> 课程学习资源及学习途径</w:t>
      </w:r>
    </w:p>
    <w:p w14:paraId="38288CF5" w14:textId="77777777" w:rsidR="0049133F" w:rsidRPr="0049133F" w:rsidRDefault="0049133F" w:rsidP="0049133F">
      <w:pPr>
        <w:spacing w:line="360" w:lineRule="auto"/>
        <w:ind w:firstLineChars="200" w:firstLine="480"/>
        <w:rPr>
          <w:rFonts w:ascii="宋体" w:eastAsia="宋体" w:hAnsi="宋体" w:cs="Times New Roman"/>
          <w:sz w:val="24"/>
        </w:rPr>
      </w:pPr>
      <w:r w:rsidRPr="0049133F">
        <w:rPr>
          <w:rFonts w:ascii="Calibri" w:eastAsia="宋体" w:hAnsi="Calibri" w:cs="Times New Roman"/>
          <w:sz w:val="24"/>
        </w:rPr>
        <w:t>本课程通过石家庄学院网络教学平台（</w:t>
      </w:r>
      <w:proofErr w:type="gramStart"/>
      <w:r w:rsidRPr="0049133F">
        <w:rPr>
          <w:rFonts w:ascii="Calibri" w:eastAsia="宋体" w:hAnsi="Calibri" w:cs="Times New Roman"/>
          <w:sz w:val="24"/>
        </w:rPr>
        <w:t>超星学习通</w:t>
      </w:r>
      <w:proofErr w:type="gramEnd"/>
      <w:r w:rsidRPr="0049133F">
        <w:rPr>
          <w:rFonts w:ascii="Calibri" w:eastAsia="宋体" w:hAnsi="Calibri" w:cs="Times New Roman"/>
          <w:sz w:val="24"/>
        </w:rPr>
        <w:t>），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14:paraId="06B456F8" w14:textId="77777777" w:rsidR="0049133F" w:rsidRPr="0049133F" w:rsidRDefault="0049133F" w:rsidP="0049133F">
      <w:pPr>
        <w:numPr>
          <w:ilvl w:val="0"/>
          <w:numId w:val="27"/>
        </w:numPr>
        <w:spacing w:line="360" w:lineRule="auto"/>
        <w:ind w:firstLineChars="200" w:firstLine="480"/>
        <w:rPr>
          <w:rFonts w:ascii="宋体" w:eastAsia="宋体" w:hAnsi="宋体" w:cs="Times New Roman"/>
          <w:sz w:val="24"/>
        </w:rPr>
      </w:pPr>
      <w:r w:rsidRPr="0049133F">
        <w:rPr>
          <w:rFonts w:ascii="宋体" w:eastAsia="宋体" w:hAnsi="宋体" w:cs="Times New Roman" w:hint="eastAsia"/>
          <w:sz w:val="24"/>
        </w:rPr>
        <w:t>在线开放课程网址：</w:t>
      </w:r>
    </w:p>
    <w:p w14:paraId="4F7911E7" w14:textId="77777777" w:rsidR="0049133F" w:rsidRPr="0049133F" w:rsidRDefault="0049133F" w:rsidP="0049133F">
      <w:pPr>
        <w:spacing w:beforeLines="50" w:before="156" w:afterLines="50" w:after="156" w:line="360" w:lineRule="auto"/>
        <w:rPr>
          <w:rFonts w:ascii="黑体" w:eastAsia="黑体" w:hAnsi="黑体" w:cs="Times New Roman"/>
          <w:sz w:val="28"/>
          <w:szCs w:val="28"/>
        </w:rPr>
      </w:pPr>
      <w:r w:rsidRPr="0049133F">
        <w:rPr>
          <w:rFonts w:ascii="黑体" w:eastAsia="黑体" w:hAnsi="黑体" w:cs="Times New Roman" w:hint="eastAsia"/>
          <w:sz w:val="28"/>
          <w:szCs w:val="28"/>
        </w:rPr>
        <w:t>七、课程大纲制定依据</w:t>
      </w:r>
    </w:p>
    <w:p w14:paraId="72B0B264" w14:textId="77777777" w:rsidR="0049133F" w:rsidRPr="0049133F" w:rsidRDefault="0049133F" w:rsidP="0049133F">
      <w:pPr>
        <w:spacing w:line="360" w:lineRule="auto"/>
        <w:ind w:firstLineChars="200" w:firstLine="480"/>
        <w:rPr>
          <w:rFonts w:ascii="宋体" w:eastAsia="宋体" w:hAnsi="宋体" w:cs="Times New Roman"/>
          <w:sz w:val="24"/>
        </w:rPr>
      </w:pPr>
      <w:r w:rsidRPr="0049133F">
        <w:rPr>
          <w:rFonts w:ascii="宋体" w:eastAsia="宋体" w:hAnsi="宋体" w:cs="Times New Roman" w:hint="eastAsia"/>
          <w:sz w:val="24"/>
        </w:rPr>
        <w:t>本课程大纲依据</w:t>
      </w:r>
      <w:r w:rsidRPr="0049133F">
        <w:rPr>
          <w:rFonts w:ascii="Calibri" w:eastAsia="宋体" w:hAnsi="Calibri" w:cs="Times New Roman" w:hint="eastAsia"/>
          <w:sz w:val="24"/>
        </w:rPr>
        <w:t>2023</w:t>
      </w:r>
      <w:r w:rsidRPr="0049133F">
        <w:rPr>
          <w:rFonts w:ascii="宋体" w:eastAsia="宋体" w:hAnsi="宋体" w:cs="Times New Roman" w:hint="eastAsia"/>
          <w:sz w:val="24"/>
        </w:rPr>
        <w:t>年</w:t>
      </w:r>
      <w:r w:rsidR="00855797">
        <w:rPr>
          <w:rFonts w:ascii="宋体" w:eastAsia="宋体" w:hAnsi="宋体" w:cs="Times New Roman" w:hint="eastAsia"/>
          <w:sz w:val="24"/>
        </w:rPr>
        <w:t>药物分析</w:t>
      </w:r>
      <w:r w:rsidRPr="0049133F">
        <w:rPr>
          <w:rFonts w:ascii="宋体" w:eastAsia="宋体" w:hAnsi="宋体" w:cs="Times New Roman" w:hint="eastAsia"/>
          <w:sz w:val="24"/>
        </w:rPr>
        <w:t>专业人才培养方案制定。</w:t>
      </w:r>
    </w:p>
    <w:p w14:paraId="7FB8A09C" w14:textId="77777777" w:rsidR="0049133F" w:rsidRPr="0049133F" w:rsidRDefault="0049133F" w:rsidP="0049133F">
      <w:pPr>
        <w:rPr>
          <w:rFonts w:ascii="Calibri" w:eastAsia="宋体" w:hAnsi="Calibri" w:cs="Times New Roman"/>
        </w:rPr>
      </w:pPr>
    </w:p>
    <w:p w14:paraId="558E8ADD" w14:textId="77777777" w:rsidR="006E7B59" w:rsidRDefault="006E7B59">
      <w:pPr>
        <w:widowControl/>
        <w:jc w:val="left"/>
        <w:rPr>
          <w:rFonts w:ascii="黑体" w:eastAsia="黑体" w:hAnsi="黑体" w:cs="Times New Roman"/>
          <w:color w:val="000000"/>
          <w:sz w:val="36"/>
          <w:szCs w:val="36"/>
        </w:rPr>
      </w:pPr>
      <w:bookmarkStart w:id="45" w:name="_Toc21494"/>
      <w:bookmarkStart w:id="46" w:name="_Toc149662346"/>
      <w:r>
        <w:rPr>
          <w:rFonts w:ascii="黑体" w:eastAsia="黑体" w:hAnsi="黑体" w:cs="Times New Roman"/>
          <w:color w:val="000000"/>
          <w:sz w:val="36"/>
          <w:szCs w:val="36"/>
        </w:rPr>
        <w:br w:type="page"/>
      </w:r>
    </w:p>
    <w:p w14:paraId="16DA47E0" w14:textId="3E04B488" w:rsidR="00C93813" w:rsidRPr="00C93813" w:rsidRDefault="00C93813" w:rsidP="00C93813">
      <w:pPr>
        <w:keepNext/>
        <w:keepLines/>
        <w:spacing w:before="340" w:after="330" w:line="576" w:lineRule="auto"/>
        <w:jc w:val="center"/>
        <w:outlineLvl w:val="0"/>
        <w:rPr>
          <w:rFonts w:ascii="Calibri" w:eastAsia="宋体" w:hAnsi="Calibri" w:cs="Times New Roman"/>
          <w:b/>
          <w:kern w:val="44"/>
          <w:sz w:val="36"/>
        </w:rPr>
      </w:pPr>
      <w:r w:rsidRPr="00C93813">
        <w:rPr>
          <w:rFonts w:ascii="Calibri" w:eastAsia="宋体" w:hAnsi="Calibri" w:cs="Times New Roman"/>
          <w:b/>
          <w:kern w:val="44"/>
          <w:sz w:val="36"/>
        </w:rPr>
        <w:lastRenderedPageBreak/>
        <w:t>《大学英语</w:t>
      </w:r>
      <w:r w:rsidRPr="00C93813">
        <w:rPr>
          <w:rFonts w:ascii="Calibri" w:eastAsia="宋体" w:hAnsi="Calibri" w:cs="Times New Roman"/>
          <w:b/>
          <w:kern w:val="44"/>
          <w:sz w:val="36"/>
        </w:rPr>
        <w:t>4</w:t>
      </w:r>
      <w:r w:rsidRPr="00C93813">
        <w:rPr>
          <w:rFonts w:ascii="Calibri" w:eastAsia="宋体" w:hAnsi="Calibri" w:cs="Times New Roman"/>
          <w:b/>
          <w:kern w:val="44"/>
          <w:sz w:val="36"/>
        </w:rPr>
        <w:t>》课程大纲</w:t>
      </w:r>
      <w:bookmarkEnd w:id="45"/>
      <w:bookmarkEnd w:id="46"/>
    </w:p>
    <w:p w14:paraId="4F0421AF" w14:textId="77777777" w:rsidR="00C93813" w:rsidRPr="00C93813" w:rsidRDefault="00C93813" w:rsidP="00B23175">
      <w:pPr>
        <w:spacing w:beforeLines="50" w:before="156" w:afterLines="50" w:after="156" w:line="440" w:lineRule="exact"/>
        <w:ind w:firstLineChars="200" w:firstLine="562"/>
        <w:rPr>
          <w:rFonts w:ascii="Calibri" w:eastAsia="宋体" w:hAnsi="Calibri" w:cs="Times New Roman"/>
          <w:b/>
          <w:sz w:val="28"/>
          <w:szCs w:val="28"/>
        </w:rPr>
      </w:pPr>
      <w:r w:rsidRPr="00C93813">
        <w:rPr>
          <w:rFonts w:ascii="Calibri" w:eastAsia="宋体" w:hAnsi="Calibri" w:cs="Times New Roman"/>
          <w:b/>
          <w:sz w:val="28"/>
          <w:szCs w:val="28"/>
        </w:rPr>
        <w:t>一、课程基本信息</w:t>
      </w:r>
    </w:p>
    <w:tbl>
      <w:tblPr>
        <w:tblW w:w="90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7"/>
        <w:gridCol w:w="3397"/>
        <w:gridCol w:w="1289"/>
        <w:gridCol w:w="2861"/>
      </w:tblGrid>
      <w:tr w:rsidR="00C93813" w:rsidRPr="00C93813" w14:paraId="5D4A3751" w14:textId="77777777" w:rsidTr="00BA2CFD">
        <w:trPr>
          <w:trHeight w:val="886"/>
          <w:jc w:val="center"/>
        </w:trPr>
        <w:tc>
          <w:tcPr>
            <w:tcW w:w="1477" w:type="dxa"/>
            <w:vAlign w:val="center"/>
          </w:tcPr>
          <w:p w14:paraId="6C8D1116"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课程名称</w:t>
            </w:r>
          </w:p>
        </w:tc>
        <w:tc>
          <w:tcPr>
            <w:tcW w:w="3397" w:type="dxa"/>
            <w:vAlign w:val="center"/>
          </w:tcPr>
          <w:p w14:paraId="7AD56303"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大学英语</w:t>
            </w:r>
            <w:r w:rsidRPr="00C93813">
              <w:rPr>
                <w:rFonts w:ascii="Calibri" w:eastAsia="宋体" w:hAnsi="Calibri" w:cs="Times New Roman"/>
                <w:sz w:val="24"/>
              </w:rPr>
              <w:t>4</w:t>
            </w:r>
          </w:p>
        </w:tc>
        <w:tc>
          <w:tcPr>
            <w:tcW w:w="1289" w:type="dxa"/>
            <w:vAlign w:val="center"/>
          </w:tcPr>
          <w:p w14:paraId="67446B30"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课程代码</w:t>
            </w:r>
          </w:p>
        </w:tc>
        <w:tc>
          <w:tcPr>
            <w:tcW w:w="2861" w:type="dxa"/>
            <w:vAlign w:val="center"/>
          </w:tcPr>
          <w:p w14:paraId="46D10F71"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03010</w:t>
            </w:r>
            <w:r w:rsidRPr="00C93813">
              <w:rPr>
                <w:rFonts w:ascii="Calibri" w:eastAsia="宋体" w:hAnsi="Calibri" w:cs="Times New Roman" w:hint="eastAsia"/>
                <w:sz w:val="24"/>
              </w:rPr>
              <w:t>61</w:t>
            </w:r>
          </w:p>
        </w:tc>
      </w:tr>
      <w:tr w:rsidR="00C93813" w:rsidRPr="00C93813" w14:paraId="50B23465" w14:textId="77777777" w:rsidTr="00BA2CFD">
        <w:trPr>
          <w:trHeight w:val="829"/>
          <w:jc w:val="center"/>
        </w:trPr>
        <w:tc>
          <w:tcPr>
            <w:tcW w:w="1477" w:type="dxa"/>
            <w:vAlign w:val="center"/>
          </w:tcPr>
          <w:p w14:paraId="03391365"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课程类别</w:t>
            </w:r>
          </w:p>
        </w:tc>
        <w:tc>
          <w:tcPr>
            <w:tcW w:w="3397" w:type="dxa"/>
            <w:vAlign w:val="center"/>
          </w:tcPr>
          <w:p w14:paraId="3FA9AB8F" w14:textId="77777777" w:rsidR="00C93813" w:rsidRPr="00C93813" w:rsidRDefault="00C93813" w:rsidP="00C93813">
            <w:pPr>
              <w:spacing w:line="440" w:lineRule="exact"/>
              <w:ind w:firstLineChars="300" w:firstLine="720"/>
              <w:rPr>
                <w:rFonts w:ascii="Calibri" w:eastAsia="宋体" w:hAnsi="Calibri" w:cs="Times New Roman"/>
                <w:sz w:val="24"/>
              </w:rPr>
            </w:pPr>
            <w:r w:rsidRPr="00C93813">
              <w:rPr>
                <w:rFonts w:ascii="Calibri" w:eastAsia="宋体" w:hAnsi="宋体" w:cs="Times New Roman" w:hint="eastAsia"/>
                <w:sz w:val="24"/>
              </w:rPr>
              <w:t>通识教育必修课</w:t>
            </w:r>
          </w:p>
        </w:tc>
        <w:tc>
          <w:tcPr>
            <w:tcW w:w="1289" w:type="dxa"/>
            <w:vAlign w:val="center"/>
          </w:tcPr>
          <w:p w14:paraId="6B276AAF"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学时</w:t>
            </w:r>
          </w:p>
          <w:p w14:paraId="6234B555"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w:t>
            </w:r>
            <w:r w:rsidRPr="00C93813">
              <w:rPr>
                <w:rFonts w:ascii="Calibri" w:eastAsia="宋体" w:hAnsi="Calibri" w:cs="Times New Roman"/>
                <w:sz w:val="24"/>
              </w:rPr>
              <w:t>学分</w:t>
            </w:r>
          </w:p>
        </w:tc>
        <w:tc>
          <w:tcPr>
            <w:tcW w:w="2861" w:type="dxa"/>
            <w:vAlign w:val="center"/>
          </w:tcPr>
          <w:p w14:paraId="1B1D5E2A"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hint="eastAsia"/>
                <w:sz w:val="24"/>
              </w:rPr>
              <w:t>48</w:t>
            </w:r>
            <w:r w:rsidRPr="00C93813">
              <w:rPr>
                <w:rFonts w:ascii="Calibri" w:eastAsia="宋体" w:hAnsi="Calibri" w:cs="Times New Roman"/>
                <w:sz w:val="24"/>
              </w:rPr>
              <w:t>/</w:t>
            </w:r>
            <w:r w:rsidRPr="00C93813">
              <w:rPr>
                <w:rFonts w:ascii="Calibri" w:eastAsia="宋体" w:hAnsi="Calibri" w:cs="Times New Roman" w:hint="eastAsia"/>
                <w:sz w:val="24"/>
              </w:rPr>
              <w:t>2.5</w:t>
            </w:r>
          </w:p>
        </w:tc>
      </w:tr>
      <w:tr w:rsidR="00C93813" w:rsidRPr="00C93813" w14:paraId="3486A680" w14:textId="77777777" w:rsidTr="00BA2CFD">
        <w:trPr>
          <w:trHeight w:val="811"/>
          <w:jc w:val="center"/>
        </w:trPr>
        <w:tc>
          <w:tcPr>
            <w:tcW w:w="1477" w:type="dxa"/>
            <w:vAlign w:val="center"/>
          </w:tcPr>
          <w:p w14:paraId="5F90D6F0"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开课单位</w:t>
            </w:r>
          </w:p>
        </w:tc>
        <w:tc>
          <w:tcPr>
            <w:tcW w:w="3397" w:type="dxa"/>
            <w:vAlign w:val="center"/>
          </w:tcPr>
          <w:p w14:paraId="5292A3A2"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外国语学院</w:t>
            </w:r>
          </w:p>
        </w:tc>
        <w:tc>
          <w:tcPr>
            <w:tcW w:w="1289" w:type="dxa"/>
            <w:vAlign w:val="center"/>
          </w:tcPr>
          <w:p w14:paraId="5E9C4DA6"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适用专业</w:t>
            </w:r>
          </w:p>
        </w:tc>
        <w:tc>
          <w:tcPr>
            <w:tcW w:w="2861" w:type="dxa"/>
            <w:vAlign w:val="center"/>
          </w:tcPr>
          <w:p w14:paraId="2D5BC44E" w14:textId="77777777" w:rsidR="00C93813" w:rsidRPr="00C93813" w:rsidRDefault="00C93813" w:rsidP="00C93813">
            <w:pPr>
              <w:spacing w:line="440" w:lineRule="exact"/>
              <w:jc w:val="center"/>
              <w:rPr>
                <w:rFonts w:ascii="Calibri" w:eastAsia="宋体" w:hAnsi="Calibri" w:cs="Times New Roman"/>
                <w:sz w:val="24"/>
              </w:rPr>
            </w:pPr>
            <w:r w:rsidRPr="00C93813">
              <w:rPr>
                <w:rFonts w:ascii="宋体" w:eastAsia="宋体" w:hAnsi="宋体" w:cs="Times New Roman" w:hint="eastAsia"/>
                <w:kern w:val="0"/>
                <w:sz w:val="24"/>
              </w:rPr>
              <w:t>非英语</w:t>
            </w:r>
            <w:r w:rsidRPr="00C93813">
              <w:rPr>
                <w:rFonts w:ascii="宋体" w:eastAsia="宋体" w:hAnsi="宋体" w:cs="Times New Roman"/>
                <w:kern w:val="0"/>
                <w:sz w:val="24"/>
              </w:rPr>
              <w:t>专业本科</w:t>
            </w:r>
            <w:r w:rsidRPr="00C93813">
              <w:rPr>
                <w:rFonts w:ascii="宋体" w:eastAsia="宋体" w:hAnsi="宋体" w:cs="Times New Roman" w:hint="eastAsia"/>
                <w:kern w:val="0"/>
                <w:sz w:val="24"/>
              </w:rPr>
              <w:t>（工科类）</w:t>
            </w:r>
          </w:p>
        </w:tc>
      </w:tr>
      <w:tr w:rsidR="00C93813" w:rsidRPr="00C93813" w14:paraId="6A461A67" w14:textId="77777777" w:rsidTr="00BA2CFD">
        <w:trPr>
          <w:trHeight w:val="811"/>
          <w:jc w:val="center"/>
        </w:trPr>
        <w:tc>
          <w:tcPr>
            <w:tcW w:w="1477" w:type="dxa"/>
            <w:vAlign w:val="center"/>
          </w:tcPr>
          <w:p w14:paraId="2CAE3EE3"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课程负责人</w:t>
            </w:r>
          </w:p>
        </w:tc>
        <w:tc>
          <w:tcPr>
            <w:tcW w:w="7547" w:type="dxa"/>
            <w:gridSpan w:val="3"/>
            <w:vAlign w:val="center"/>
          </w:tcPr>
          <w:p w14:paraId="33AF61C2"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hint="eastAsia"/>
                <w:sz w:val="24"/>
              </w:rPr>
              <w:t>张枫</w:t>
            </w:r>
          </w:p>
        </w:tc>
      </w:tr>
      <w:tr w:rsidR="00C93813" w:rsidRPr="00C93813" w14:paraId="2537AE9E" w14:textId="77777777" w:rsidTr="00BA2CFD">
        <w:trPr>
          <w:trHeight w:val="836"/>
          <w:jc w:val="center"/>
        </w:trPr>
        <w:tc>
          <w:tcPr>
            <w:tcW w:w="1477" w:type="dxa"/>
            <w:vAlign w:val="center"/>
          </w:tcPr>
          <w:p w14:paraId="1E6FD3D6"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大纲撰写人</w:t>
            </w:r>
          </w:p>
        </w:tc>
        <w:tc>
          <w:tcPr>
            <w:tcW w:w="3397" w:type="dxa"/>
            <w:vAlign w:val="center"/>
          </w:tcPr>
          <w:p w14:paraId="431E7A3B"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宋体" w:cs="Times New Roman"/>
                <w:sz w:val="24"/>
              </w:rPr>
              <w:t>吴超群、贾宁、付珂、李焱伟、于杰、张柳</w:t>
            </w:r>
          </w:p>
        </w:tc>
        <w:tc>
          <w:tcPr>
            <w:tcW w:w="1289" w:type="dxa"/>
            <w:vAlign w:val="center"/>
          </w:tcPr>
          <w:p w14:paraId="0343F9D6"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大纲审核人</w:t>
            </w:r>
          </w:p>
        </w:tc>
        <w:tc>
          <w:tcPr>
            <w:tcW w:w="2861" w:type="dxa"/>
            <w:vAlign w:val="center"/>
          </w:tcPr>
          <w:p w14:paraId="61D43665" w14:textId="77777777" w:rsidR="00C93813" w:rsidRPr="00C93813" w:rsidRDefault="00C93813" w:rsidP="00C93813">
            <w:pPr>
              <w:spacing w:line="440" w:lineRule="exact"/>
              <w:jc w:val="center"/>
              <w:rPr>
                <w:rFonts w:ascii="Calibri" w:eastAsia="宋体" w:hAnsi="Calibri" w:cs="Times New Roman"/>
                <w:sz w:val="24"/>
              </w:rPr>
            </w:pPr>
            <w:proofErr w:type="gramStart"/>
            <w:r w:rsidRPr="00C93813">
              <w:rPr>
                <w:rFonts w:ascii="Calibri" w:eastAsia="宋体" w:hAnsi="Calibri" w:cs="Times New Roman" w:hint="eastAsia"/>
                <w:sz w:val="24"/>
              </w:rPr>
              <w:t>贺宇涛</w:t>
            </w:r>
            <w:proofErr w:type="gramEnd"/>
          </w:p>
        </w:tc>
      </w:tr>
      <w:tr w:rsidR="00C93813" w:rsidRPr="00C93813" w14:paraId="716A7307" w14:textId="77777777" w:rsidTr="00BA2CFD">
        <w:trPr>
          <w:trHeight w:val="848"/>
          <w:jc w:val="center"/>
        </w:trPr>
        <w:tc>
          <w:tcPr>
            <w:tcW w:w="1477" w:type="dxa"/>
            <w:vAlign w:val="center"/>
          </w:tcPr>
          <w:p w14:paraId="6432996B"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先修课程</w:t>
            </w:r>
          </w:p>
        </w:tc>
        <w:tc>
          <w:tcPr>
            <w:tcW w:w="7547" w:type="dxa"/>
            <w:gridSpan w:val="3"/>
            <w:vAlign w:val="center"/>
          </w:tcPr>
          <w:p w14:paraId="04349CA7"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大学英语</w:t>
            </w:r>
            <w:r w:rsidRPr="00C93813">
              <w:rPr>
                <w:rFonts w:ascii="Calibri" w:eastAsia="宋体" w:hAnsi="Calibri" w:cs="Times New Roman"/>
                <w:sz w:val="24"/>
              </w:rPr>
              <w:t>1</w:t>
            </w:r>
            <w:r w:rsidRPr="00C93813">
              <w:rPr>
                <w:rFonts w:ascii="Calibri" w:eastAsia="宋体" w:hAnsi="Calibri" w:cs="Times New Roman"/>
                <w:sz w:val="24"/>
              </w:rPr>
              <w:t>、大学英语</w:t>
            </w:r>
            <w:r w:rsidRPr="00C93813">
              <w:rPr>
                <w:rFonts w:ascii="Calibri" w:eastAsia="宋体" w:hAnsi="Calibri" w:cs="Times New Roman"/>
                <w:sz w:val="24"/>
              </w:rPr>
              <w:t>2</w:t>
            </w:r>
            <w:r w:rsidRPr="00C93813">
              <w:rPr>
                <w:rFonts w:ascii="Calibri" w:eastAsia="宋体" w:hAnsi="Calibri" w:cs="Times New Roman"/>
                <w:sz w:val="24"/>
              </w:rPr>
              <w:t>、大学英语</w:t>
            </w:r>
            <w:r w:rsidRPr="00C93813">
              <w:rPr>
                <w:rFonts w:ascii="Calibri" w:eastAsia="宋体" w:hAnsi="Calibri" w:cs="Times New Roman" w:hint="eastAsia"/>
                <w:sz w:val="24"/>
              </w:rPr>
              <w:t>3</w:t>
            </w:r>
          </w:p>
        </w:tc>
      </w:tr>
      <w:tr w:rsidR="00C93813" w:rsidRPr="00C93813" w14:paraId="50D8C4F0" w14:textId="77777777" w:rsidTr="00BA2CFD">
        <w:trPr>
          <w:trHeight w:val="848"/>
          <w:jc w:val="center"/>
        </w:trPr>
        <w:tc>
          <w:tcPr>
            <w:tcW w:w="1477" w:type="dxa"/>
            <w:vAlign w:val="center"/>
          </w:tcPr>
          <w:p w14:paraId="1BCBD4DF"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课程网址</w:t>
            </w:r>
          </w:p>
        </w:tc>
        <w:tc>
          <w:tcPr>
            <w:tcW w:w="7547" w:type="dxa"/>
            <w:gridSpan w:val="3"/>
            <w:vAlign w:val="center"/>
          </w:tcPr>
          <w:p w14:paraId="75B23644" w14:textId="77777777" w:rsidR="00C93813" w:rsidRPr="00C93813" w:rsidRDefault="00C93813" w:rsidP="00C93813">
            <w:pPr>
              <w:spacing w:line="440" w:lineRule="exact"/>
              <w:rPr>
                <w:rFonts w:ascii="Calibri" w:eastAsia="宋体" w:hAnsi="Calibri" w:cs="Times New Roman"/>
                <w:sz w:val="24"/>
              </w:rPr>
            </w:pPr>
          </w:p>
        </w:tc>
      </w:tr>
    </w:tbl>
    <w:p w14:paraId="27081D4E" w14:textId="77777777" w:rsidR="00C93813" w:rsidRPr="00B23175" w:rsidRDefault="00C93813" w:rsidP="00B23175">
      <w:pPr>
        <w:spacing w:beforeLines="50" w:before="156" w:afterLines="50" w:after="156" w:line="440" w:lineRule="exact"/>
        <w:ind w:firstLineChars="200" w:firstLine="560"/>
        <w:rPr>
          <w:rFonts w:ascii="黑体" w:eastAsia="黑体" w:hAnsi="黑体" w:cs="Times New Roman"/>
          <w:sz w:val="28"/>
          <w:szCs w:val="28"/>
        </w:rPr>
      </w:pPr>
      <w:r w:rsidRPr="00B23175">
        <w:rPr>
          <w:rFonts w:ascii="黑体" w:eastAsia="黑体" w:hAnsi="黑体" w:cs="Times New Roman"/>
          <w:sz w:val="28"/>
          <w:szCs w:val="28"/>
        </w:rPr>
        <w:t>二、课程学习目标及与毕业要求的对应关系</w:t>
      </w:r>
    </w:p>
    <w:p w14:paraId="7D59054F" w14:textId="77777777" w:rsidR="00C93813" w:rsidRPr="00C93813" w:rsidRDefault="00C93813" w:rsidP="00B23175">
      <w:pPr>
        <w:spacing w:beforeLines="50" w:before="156" w:afterLines="50" w:after="156" w:line="440" w:lineRule="exact"/>
        <w:ind w:firstLineChars="200" w:firstLine="560"/>
        <w:rPr>
          <w:rFonts w:ascii="Calibri" w:eastAsia="黑体" w:hAnsi="Calibri" w:cs="Times New Roman"/>
          <w:sz w:val="28"/>
          <w:szCs w:val="28"/>
        </w:rPr>
      </w:pPr>
      <w:r w:rsidRPr="00C93813">
        <w:rPr>
          <w:rFonts w:ascii="Calibri" w:eastAsia="黑体" w:hAnsi="Calibri" w:cs="Times New Roman" w:hint="eastAsia"/>
          <w:sz w:val="28"/>
          <w:szCs w:val="28"/>
        </w:rPr>
        <w:t>（一）课程学习目标</w:t>
      </w:r>
    </w:p>
    <w:p w14:paraId="5B2DAEF2" w14:textId="77777777" w:rsidR="00C93813" w:rsidRPr="00C93813" w:rsidRDefault="00C93813" w:rsidP="00B23175">
      <w:pPr>
        <w:spacing w:line="360" w:lineRule="auto"/>
        <w:ind w:firstLineChars="200" w:firstLine="480"/>
        <w:rPr>
          <w:rFonts w:ascii="Calibri" w:eastAsia="宋体" w:hAnsi="Calibri" w:cs="Times New Roman"/>
          <w:b/>
          <w:bCs/>
          <w:sz w:val="24"/>
        </w:rPr>
      </w:pPr>
      <w:r w:rsidRPr="00C93813">
        <w:rPr>
          <w:rFonts w:ascii="Calibri" w:eastAsia="宋体" w:hAnsi="Calibri" w:cs="Times New Roman"/>
          <w:sz w:val="24"/>
        </w:rPr>
        <w:t>通过本课程的学习，使学生达到以下目标：</w:t>
      </w:r>
    </w:p>
    <w:p w14:paraId="029D4E83" w14:textId="77777777" w:rsidR="00C93813" w:rsidRPr="00C93813" w:rsidRDefault="00C93813" w:rsidP="00B23175">
      <w:pPr>
        <w:numPr>
          <w:ilvl w:val="0"/>
          <w:numId w:val="28"/>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具有更为扎实的英语语言基础和更强的听、说、读、写、译等英语应用技能；有良好的思想品德；具备更强的自主学习能力、自律意识和终身学习意识，能够运用所学的英语知识和技能了解工科领域最新理论和技术，关注工科领域国际前沿动态</w:t>
      </w:r>
      <w:r w:rsidRPr="00C93813">
        <w:rPr>
          <w:rFonts w:ascii="Calibri" w:eastAsia="宋体" w:hAnsi="Calibri" w:cs="Times New Roman" w:hint="eastAsia"/>
          <w:b/>
          <w:sz w:val="24"/>
        </w:rPr>
        <w:t>。</w:t>
      </w:r>
      <w:r w:rsidRPr="00C93813">
        <w:rPr>
          <w:rFonts w:ascii="Calibri" w:eastAsia="宋体" w:hAnsi="Calibri" w:cs="Times New Roman"/>
          <w:sz w:val="24"/>
        </w:rPr>
        <w:t>【</w:t>
      </w:r>
      <w:r w:rsidRPr="00C93813">
        <w:rPr>
          <w:rFonts w:ascii="Calibri" w:eastAsia="宋体" w:hAnsi="Calibri" w:cs="Times New Roman"/>
          <w:b/>
          <w:sz w:val="24"/>
        </w:rPr>
        <w:t>毕业要求</w:t>
      </w:r>
      <w:r w:rsidRPr="00C93813">
        <w:rPr>
          <w:rFonts w:ascii="Calibri" w:eastAsia="宋体" w:hAnsi="Calibri" w:cs="Times New Roman" w:hint="eastAsia"/>
          <w:b/>
          <w:sz w:val="24"/>
        </w:rPr>
        <w:t>12</w:t>
      </w:r>
      <w:r w:rsidRPr="00C93813">
        <w:rPr>
          <w:rFonts w:ascii="Calibri" w:eastAsia="宋体" w:hAnsi="Calibri" w:cs="Times New Roman" w:hint="eastAsia"/>
          <w:b/>
          <w:sz w:val="24"/>
        </w:rPr>
        <w:t>：终身学习</w:t>
      </w:r>
      <w:r w:rsidRPr="00C93813">
        <w:rPr>
          <w:rFonts w:ascii="Calibri" w:eastAsia="宋体" w:hAnsi="Calibri" w:cs="Times New Roman"/>
          <w:b/>
          <w:sz w:val="24"/>
        </w:rPr>
        <w:t>】</w:t>
      </w:r>
    </w:p>
    <w:p w14:paraId="67D9ADD6" w14:textId="77777777" w:rsidR="00C93813" w:rsidRPr="00C93813" w:rsidRDefault="00C93813" w:rsidP="00B23175">
      <w:pPr>
        <w:numPr>
          <w:ilvl w:val="0"/>
          <w:numId w:val="28"/>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具有更加丰厚的人文社会素养和强烈的社会责任感，能够在各自专业领域的工程实践中理解并遵守工程职业道德和规范。在学习西方文化</w:t>
      </w:r>
      <w:r w:rsidRPr="00C93813">
        <w:rPr>
          <w:rFonts w:ascii="Calibri" w:eastAsia="宋体" w:hAnsi="Calibri" w:cs="Times New Roman"/>
          <w:sz w:val="24"/>
        </w:rPr>
        <w:t>的同时，感受我国文化的博大精深，树立民族文化自信心，培养爱国主义和家国情怀。【</w:t>
      </w:r>
      <w:r w:rsidRPr="00C93813">
        <w:rPr>
          <w:rFonts w:ascii="Calibri" w:eastAsia="宋体" w:hAnsi="Calibri" w:cs="Times New Roman"/>
          <w:b/>
          <w:sz w:val="24"/>
        </w:rPr>
        <w:t>毕业要求</w:t>
      </w:r>
      <w:r w:rsidRPr="00C93813">
        <w:rPr>
          <w:rFonts w:ascii="Calibri" w:eastAsia="宋体" w:hAnsi="Calibri" w:cs="Times New Roman" w:hint="eastAsia"/>
          <w:b/>
          <w:sz w:val="24"/>
        </w:rPr>
        <w:t>8</w:t>
      </w:r>
      <w:r w:rsidRPr="00C93813">
        <w:rPr>
          <w:rFonts w:ascii="Calibri" w:eastAsia="宋体" w:hAnsi="Calibri" w:cs="Times New Roman"/>
          <w:b/>
          <w:sz w:val="24"/>
        </w:rPr>
        <w:t xml:space="preserve"> </w:t>
      </w:r>
      <w:r w:rsidRPr="00C93813">
        <w:rPr>
          <w:rFonts w:ascii="Calibri" w:eastAsia="宋体" w:hAnsi="Calibri" w:cs="Times New Roman" w:hint="eastAsia"/>
          <w:b/>
          <w:sz w:val="24"/>
        </w:rPr>
        <w:t>职业规范</w:t>
      </w:r>
      <w:r w:rsidRPr="00C93813">
        <w:rPr>
          <w:rFonts w:ascii="Calibri" w:eastAsia="宋体" w:hAnsi="Calibri" w:cs="Times New Roman"/>
          <w:b/>
          <w:sz w:val="24"/>
        </w:rPr>
        <w:t>】</w:t>
      </w:r>
    </w:p>
    <w:p w14:paraId="24EED811" w14:textId="77777777" w:rsidR="00C93813" w:rsidRPr="00B23175" w:rsidRDefault="00C93813" w:rsidP="00B23175">
      <w:pPr>
        <w:numPr>
          <w:ilvl w:val="0"/>
          <w:numId w:val="28"/>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通过参与课堂活动不断巩固小组</w:t>
      </w:r>
      <w:r w:rsidRPr="00C93813">
        <w:rPr>
          <w:rFonts w:ascii="Calibri" w:eastAsia="宋体" w:hAnsi="Calibri" w:cs="Times New Roman"/>
          <w:sz w:val="24"/>
        </w:rPr>
        <w:t>合作能力</w:t>
      </w:r>
      <w:r w:rsidRPr="00C93813">
        <w:rPr>
          <w:rFonts w:ascii="Calibri" w:eastAsia="宋体" w:hAnsi="Calibri" w:cs="Times New Roman" w:hint="eastAsia"/>
          <w:sz w:val="24"/>
        </w:rPr>
        <w:t>和组织管理能力；进一步</w:t>
      </w:r>
      <w:r w:rsidRPr="00C93813">
        <w:rPr>
          <w:rFonts w:ascii="Calibri" w:eastAsia="宋体" w:hAnsi="Calibri" w:cs="Times New Roman" w:hint="eastAsia"/>
          <w:bCs/>
          <w:sz w:val="24"/>
        </w:rPr>
        <w:t>加强英语综</w:t>
      </w:r>
      <w:r w:rsidRPr="00C93813">
        <w:rPr>
          <w:rFonts w:ascii="Calibri" w:eastAsia="宋体" w:hAnsi="Calibri" w:cs="Times New Roman" w:hint="eastAsia"/>
          <w:bCs/>
          <w:sz w:val="24"/>
        </w:rPr>
        <w:lastRenderedPageBreak/>
        <w:t>合运用能力和</w:t>
      </w:r>
      <w:r w:rsidRPr="00C93813">
        <w:rPr>
          <w:rFonts w:ascii="Calibri" w:eastAsia="宋体" w:hAnsi="Calibri" w:cs="Times New Roman"/>
          <w:sz w:val="24"/>
        </w:rPr>
        <w:t>跨文化交际能力</w:t>
      </w:r>
      <w:r w:rsidRPr="00C93813">
        <w:rPr>
          <w:rFonts w:ascii="Calibri" w:eastAsia="宋体" w:hAnsi="Calibri" w:cs="Times New Roman" w:hint="eastAsia"/>
          <w:sz w:val="24"/>
        </w:rPr>
        <w:t>，能够使用英语就工科领域一些问题与业界同行及社会公众进行高效的口头和书面沟通交流，包括用英语撰写报告和设计文稿、陈述发言、清晰表达回应指令等。</w:t>
      </w:r>
      <w:r w:rsidRPr="00C93813">
        <w:rPr>
          <w:rFonts w:ascii="Calibri" w:eastAsia="宋体" w:hAnsi="Calibri" w:cs="Times New Roman"/>
          <w:b/>
          <w:sz w:val="24"/>
        </w:rPr>
        <w:t>【毕业要求</w:t>
      </w:r>
      <w:r w:rsidRPr="00C93813">
        <w:rPr>
          <w:rFonts w:ascii="Calibri" w:eastAsia="宋体" w:hAnsi="Calibri" w:cs="Times New Roman" w:hint="eastAsia"/>
          <w:b/>
          <w:sz w:val="24"/>
        </w:rPr>
        <w:t>10</w:t>
      </w:r>
      <w:r w:rsidRPr="00C93813">
        <w:rPr>
          <w:rFonts w:ascii="Calibri" w:eastAsia="宋体" w:hAnsi="Calibri" w:cs="Times New Roman" w:hint="eastAsia"/>
          <w:b/>
          <w:sz w:val="24"/>
        </w:rPr>
        <w:t>：沟通</w:t>
      </w:r>
      <w:r w:rsidRPr="00C93813">
        <w:rPr>
          <w:rFonts w:ascii="Calibri" w:eastAsia="宋体" w:hAnsi="Calibri" w:cs="Times New Roman"/>
          <w:b/>
          <w:sz w:val="24"/>
        </w:rPr>
        <w:t>】</w:t>
      </w:r>
      <w:r w:rsidRPr="00C93813">
        <w:rPr>
          <w:rFonts w:ascii="Calibri" w:eastAsia="宋体" w:hAnsi="Calibri" w:cs="Times New Roman" w:hint="eastAsia"/>
          <w:sz w:val="24"/>
        </w:rPr>
        <w:t xml:space="preserve">    </w:t>
      </w:r>
    </w:p>
    <w:p w14:paraId="79E3CF2D" w14:textId="77777777" w:rsidR="00C93813" w:rsidRPr="00C93813" w:rsidRDefault="00C93813" w:rsidP="00B23175">
      <w:pPr>
        <w:spacing w:beforeLines="50" w:before="156" w:afterLines="50" w:after="156" w:line="440" w:lineRule="exact"/>
        <w:ind w:firstLineChars="200" w:firstLine="560"/>
        <w:rPr>
          <w:rFonts w:ascii="Calibri" w:eastAsia="黑体" w:hAnsi="Calibri" w:cs="Times New Roman"/>
          <w:sz w:val="28"/>
          <w:szCs w:val="28"/>
        </w:rPr>
      </w:pPr>
      <w:r w:rsidRPr="00C93813">
        <w:rPr>
          <w:rFonts w:ascii="Calibri" w:eastAsia="黑体" w:hAnsi="Calibri"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C93813" w:rsidRPr="00C93813" w14:paraId="53C998E7" w14:textId="77777777" w:rsidTr="00BA2CFD">
        <w:trPr>
          <w:trHeight w:val="815"/>
          <w:jc w:val="center"/>
        </w:trPr>
        <w:tc>
          <w:tcPr>
            <w:tcW w:w="1676" w:type="dxa"/>
            <w:vAlign w:val="center"/>
          </w:tcPr>
          <w:p w14:paraId="338FEABC" w14:textId="77777777" w:rsidR="00C93813" w:rsidRPr="00C93813" w:rsidRDefault="00C93813" w:rsidP="00C93813">
            <w:pPr>
              <w:spacing w:line="440" w:lineRule="exact"/>
              <w:jc w:val="center"/>
              <w:rPr>
                <w:rFonts w:ascii="宋体" w:eastAsia="宋体" w:hAnsi="宋体" w:cs="Times New Roman"/>
                <w:b/>
                <w:sz w:val="24"/>
              </w:rPr>
            </w:pPr>
            <w:r w:rsidRPr="00C93813">
              <w:rPr>
                <w:rFonts w:ascii="宋体" w:eastAsia="宋体" w:hAnsi="宋体" w:cs="Times New Roman" w:hint="eastAsia"/>
                <w:b/>
                <w:sz w:val="24"/>
              </w:rPr>
              <w:t>毕业要求</w:t>
            </w:r>
          </w:p>
        </w:tc>
        <w:tc>
          <w:tcPr>
            <w:tcW w:w="5534" w:type="dxa"/>
            <w:vAlign w:val="center"/>
          </w:tcPr>
          <w:p w14:paraId="332CEBAA" w14:textId="77777777" w:rsidR="00C93813" w:rsidRPr="00C93813" w:rsidRDefault="00C93813" w:rsidP="00C93813">
            <w:pPr>
              <w:spacing w:line="440" w:lineRule="exact"/>
              <w:jc w:val="center"/>
              <w:rPr>
                <w:rFonts w:ascii="宋体" w:eastAsia="宋体" w:hAnsi="宋体" w:cs="Times New Roman"/>
                <w:b/>
                <w:sz w:val="24"/>
              </w:rPr>
            </w:pPr>
            <w:r w:rsidRPr="00C93813">
              <w:rPr>
                <w:rFonts w:ascii="宋体" w:eastAsia="宋体" w:hAnsi="宋体" w:cs="Times New Roman" w:hint="eastAsia"/>
                <w:b/>
                <w:sz w:val="24"/>
              </w:rPr>
              <w:t>毕业要求指标点</w:t>
            </w:r>
          </w:p>
        </w:tc>
        <w:tc>
          <w:tcPr>
            <w:tcW w:w="1959" w:type="dxa"/>
            <w:vAlign w:val="center"/>
          </w:tcPr>
          <w:p w14:paraId="5D59A987" w14:textId="77777777" w:rsidR="00C93813" w:rsidRPr="00C93813" w:rsidRDefault="00C93813" w:rsidP="00C93813">
            <w:pPr>
              <w:spacing w:line="440" w:lineRule="exact"/>
              <w:jc w:val="center"/>
              <w:rPr>
                <w:rFonts w:ascii="宋体" w:eastAsia="宋体" w:hAnsi="宋体" w:cs="Times New Roman"/>
                <w:b/>
                <w:sz w:val="24"/>
              </w:rPr>
            </w:pPr>
            <w:r w:rsidRPr="00C93813">
              <w:rPr>
                <w:rFonts w:ascii="宋体" w:eastAsia="宋体" w:hAnsi="宋体" w:cs="Times New Roman" w:hint="eastAsia"/>
                <w:b/>
                <w:sz w:val="24"/>
              </w:rPr>
              <w:t>课程目标</w:t>
            </w:r>
          </w:p>
        </w:tc>
      </w:tr>
      <w:tr w:rsidR="00C93813" w:rsidRPr="00C93813" w14:paraId="2D39E8D8" w14:textId="77777777" w:rsidTr="00BA2CFD">
        <w:trPr>
          <w:jc w:val="center"/>
        </w:trPr>
        <w:tc>
          <w:tcPr>
            <w:tcW w:w="1676" w:type="dxa"/>
            <w:vAlign w:val="center"/>
          </w:tcPr>
          <w:p w14:paraId="77FBAF3B" w14:textId="77777777" w:rsidR="00C93813" w:rsidRPr="00C93813" w:rsidRDefault="00C93813" w:rsidP="00C93813">
            <w:pPr>
              <w:spacing w:line="440" w:lineRule="exact"/>
              <w:rPr>
                <w:rFonts w:ascii="宋体" w:eastAsia="宋体" w:hAnsi="宋体" w:cs="Times New Roman"/>
                <w:b/>
                <w:sz w:val="24"/>
              </w:rPr>
            </w:pPr>
            <w:r w:rsidRPr="00C93813">
              <w:rPr>
                <w:rFonts w:ascii="宋体" w:eastAsia="宋体" w:hAnsi="宋体" w:cs="Times New Roman" w:hint="eastAsia"/>
                <w:b/>
                <w:sz w:val="24"/>
              </w:rPr>
              <w:t>12. 终身学习</w:t>
            </w:r>
          </w:p>
        </w:tc>
        <w:tc>
          <w:tcPr>
            <w:tcW w:w="5534" w:type="dxa"/>
            <w:vAlign w:val="center"/>
          </w:tcPr>
          <w:p w14:paraId="0D7E580F" w14:textId="77777777" w:rsidR="00C93813" w:rsidRPr="00C93813" w:rsidRDefault="00C93813" w:rsidP="00C93813">
            <w:pPr>
              <w:spacing w:line="440" w:lineRule="exact"/>
              <w:jc w:val="center"/>
              <w:rPr>
                <w:rFonts w:ascii="宋体" w:eastAsia="宋体" w:hAnsi="宋体" w:cs="Times New Roman"/>
                <w:b/>
                <w:sz w:val="24"/>
              </w:rPr>
            </w:pPr>
            <w:r w:rsidRPr="00C93813">
              <w:rPr>
                <w:rFonts w:ascii="宋体" w:eastAsia="宋体" w:hAnsi="宋体" w:cs="Times New Roman" w:hint="eastAsia"/>
                <w:b/>
                <w:sz w:val="24"/>
              </w:rPr>
              <w:t>M</w:t>
            </w:r>
          </w:p>
        </w:tc>
        <w:tc>
          <w:tcPr>
            <w:tcW w:w="1959" w:type="dxa"/>
            <w:vAlign w:val="center"/>
          </w:tcPr>
          <w:p w14:paraId="4304E109" w14:textId="77777777" w:rsidR="00C93813" w:rsidRPr="00C93813" w:rsidRDefault="00C93813" w:rsidP="00C93813">
            <w:pPr>
              <w:spacing w:line="440" w:lineRule="exact"/>
              <w:jc w:val="center"/>
              <w:rPr>
                <w:rFonts w:ascii="宋体" w:eastAsia="宋体" w:hAnsi="宋体" w:cs="Times New Roman"/>
                <w:b/>
                <w:sz w:val="24"/>
              </w:rPr>
            </w:pPr>
            <w:r w:rsidRPr="00C93813">
              <w:rPr>
                <w:rFonts w:ascii="宋体" w:eastAsia="宋体" w:hAnsi="宋体" w:cs="Times New Roman" w:hint="eastAsia"/>
                <w:b/>
                <w:sz w:val="24"/>
              </w:rPr>
              <w:t>课程目标1</w:t>
            </w:r>
          </w:p>
        </w:tc>
      </w:tr>
      <w:tr w:rsidR="00C93813" w:rsidRPr="00C93813" w14:paraId="0ACAFEC5" w14:textId="77777777" w:rsidTr="00BA2CFD">
        <w:trPr>
          <w:jc w:val="center"/>
        </w:trPr>
        <w:tc>
          <w:tcPr>
            <w:tcW w:w="1676" w:type="dxa"/>
            <w:vAlign w:val="center"/>
          </w:tcPr>
          <w:p w14:paraId="21A66064" w14:textId="77777777" w:rsidR="00C93813" w:rsidRPr="00C93813" w:rsidRDefault="00C93813" w:rsidP="00C93813">
            <w:pPr>
              <w:spacing w:line="440" w:lineRule="exact"/>
              <w:rPr>
                <w:rFonts w:ascii="宋体" w:eastAsia="宋体" w:hAnsi="宋体" w:cs="Times New Roman"/>
                <w:b/>
                <w:sz w:val="24"/>
              </w:rPr>
            </w:pPr>
            <w:r w:rsidRPr="00C93813">
              <w:rPr>
                <w:rFonts w:ascii="宋体" w:eastAsia="宋体" w:hAnsi="宋体" w:cs="Times New Roman" w:hint="eastAsia"/>
                <w:b/>
                <w:sz w:val="24"/>
              </w:rPr>
              <w:t>8. 职业规范</w:t>
            </w:r>
          </w:p>
        </w:tc>
        <w:tc>
          <w:tcPr>
            <w:tcW w:w="5534" w:type="dxa"/>
            <w:vAlign w:val="center"/>
          </w:tcPr>
          <w:p w14:paraId="06CC9F78" w14:textId="77777777" w:rsidR="00C93813" w:rsidRPr="00C93813" w:rsidRDefault="00C93813" w:rsidP="00C93813">
            <w:pPr>
              <w:spacing w:line="440" w:lineRule="exact"/>
              <w:jc w:val="center"/>
              <w:rPr>
                <w:rFonts w:ascii="宋体" w:eastAsia="宋体" w:hAnsi="宋体" w:cs="Times New Roman"/>
                <w:b/>
                <w:sz w:val="24"/>
              </w:rPr>
            </w:pPr>
            <w:r w:rsidRPr="00C93813">
              <w:rPr>
                <w:rFonts w:ascii="宋体" w:eastAsia="宋体" w:hAnsi="宋体" w:cs="Times New Roman" w:hint="eastAsia"/>
                <w:b/>
                <w:sz w:val="24"/>
              </w:rPr>
              <w:t>M</w:t>
            </w:r>
          </w:p>
        </w:tc>
        <w:tc>
          <w:tcPr>
            <w:tcW w:w="1959" w:type="dxa"/>
            <w:vAlign w:val="center"/>
          </w:tcPr>
          <w:p w14:paraId="730E687A" w14:textId="77777777" w:rsidR="00C93813" w:rsidRPr="00C93813" w:rsidRDefault="00C93813" w:rsidP="00C93813">
            <w:pPr>
              <w:spacing w:line="440" w:lineRule="exact"/>
              <w:jc w:val="center"/>
              <w:rPr>
                <w:rFonts w:ascii="宋体" w:eastAsia="宋体" w:hAnsi="宋体" w:cs="Times New Roman"/>
                <w:b/>
                <w:sz w:val="24"/>
              </w:rPr>
            </w:pPr>
            <w:r w:rsidRPr="00C93813">
              <w:rPr>
                <w:rFonts w:ascii="宋体" w:eastAsia="宋体" w:hAnsi="宋体" w:cs="Times New Roman" w:hint="eastAsia"/>
                <w:b/>
                <w:sz w:val="24"/>
              </w:rPr>
              <w:t>课程目标2</w:t>
            </w:r>
          </w:p>
        </w:tc>
      </w:tr>
      <w:tr w:rsidR="00C93813" w:rsidRPr="00C93813" w14:paraId="6B33F40C" w14:textId="77777777" w:rsidTr="00BA2CFD">
        <w:trPr>
          <w:jc w:val="center"/>
        </w:trPr>
        <w:tc>
          <w:tcPr>
            <w:tcW w:w="1676" w:type="dxa"/>
            <w:vAlign w:val="center"/>
          </w:tcPr>
          <w:p w14:paraId="289C7527" w14:textId="77777777" w:rsidR="00C93813" w:rsidRPr="00C93813" w:rsidRDefault="00C93813" w:rsidP="00C93813">
            <w:pPr>
              <w:spacing w:line="440" w:lineRule="exact"/>
              <w:rPr>
                <w:rFonts w:ascii="宋体" w:eastAsia="宋体" w:hAnsi="宋体" w:cs="Times New Roman"/>
                <w:b/>
                <w:sz w:val="24"/>
              </w:rPr>
            </w:pPr>
            <w:r w:rsidRPr="00C93813">
              <w:rPr>
                <w:rFonts w:ascii="宋体" w:eastAsia="宋体" w:hAnsi="宋体" w:cs="Times New Roman" w:hint="eastAsia"/>
                <w:b/>
                <w:sz w:val="24"/>
              </w:rPr>
              <w:t>10. 沟通</w:t>
            </w:r>
          </w:p>
        </w:tc>
        <w:tc>
          <w:tcPr>
            <w:tcW w:w="5534" w:type="dxa"/>
            <w:vAlign w:val="center"/>
          </w:tcPr>
          <w:p w14:paraId="15472BBE" w14:textId="77777777" w:rsidR="00C93813" w:rsidRPr="00C93813" w:rsidRDefault="00C93813" w:rsidP="00C93813">
            <w:pPr>
              <w:spacing w:line="440" w:lineRule="exact"/>
              <w:jc w:val="center"/>
              <w:rPr>
                <w:rFonts w:ascii="宋体" w:eastAsia="宋体" w:hAnsi="宋体" w:cs="Times New Roman"/>
                <w:b/>
                <w:sz w:val="24"/>
              </w:rPr>
            </w:pPr>
            <w:r w:rsidRPr="00C93813">
              <w:rPr>
                <w:rFonts w:ascii="宋体" w:eastAsia="宋体" w:hAnsi="宋体" w:cs="Times New Roman" w:hint="eastAsia"/>
                <w:b/>
                <w:sz w:val="24"/>
              </w:rPr>
              <w:t>H</w:t>
            </w:r>
          </w:p>
        </w:tc>
        <w:tc>
          <w:tcPr>
            <w:tcW w:w="1959" w:type="dxa"/>
            <w:vAlign w:val="center"/>
          </w:tcPr>
          <w:p w14:paraId="6665D1F1" w14:textId="77777777" w:rsidR="00C93813" w:rsidRPr="00C93813" w:rsidRDefault="00C93813" w:rsidP="00C93813">
            <w:pPr>
              <w:spacing w:line="440" w:lineRule="exact"/>
              <w:jc w:val="center"/>
              <w:rPr>
                <w:rFonts w:ascii="宋体" w:eastAsia="宋体" w:hAnsi="宋体" w:cs="Times New Roman"/>
                <w:b/>
                <w:sz w:val="24"/>
              </w:rPr>
            </w:pPr>
            <w:r w:rsidRPr="00C93813">
              <w:rPr>
                <w:rFonts w:ascii="宋体" w:eastAsia="宋体" w:hAnsi="宋体" w:cs="Times New Roman" w:hint="eastAsia"/>
                <w:b/>
                <w:sz w:val="24"/>
              </w:rPr>
              <w:t>课程目标3</w:t>
            </w:r>
          </w:p>
        </w:tc>
      </w:tr>
    </w:tbl>
    <w:p w14:paraId="432666F9" w14:textId="77777777" w:rsidR="00C93813" w:rsidRPr="00C93813" w:rsidRDefault="00C93813" w:rsidP="00C93813">
      <w:pPr>
        <w:spacing w:beforeLines="50" w:before="156" w:afterLines="50" w:after="156" w:line="440" w:lineRule="exact"/>
        <w:rPr>
          <w:rFonts w:ascii="Calibri" w:eastAsia="宋体" w:hAnsi="Calibri" w:cs="Times New Roman"/>
          <w:b/>
          <w:sz w:val="28"/>
          <w:szCs w:val="28"/>
        </w:rPr>
      </w:pPr>
    </w:p>
    <w:p w14:paraId="3349269D" w14:textId="77777777" w:rsidR="00C93813" w:rsidRPr="00C93813" w:rsidRDefault="00C93813" w:rsidP="00B23175">
      <w:pPr>
        <w:spacing w:beforeLines="50" w:before="156" w:afterLines="50" w:after="156" w:line="440" w:lineRule="exact"/>
        <w:ind w:firstLineChars="200" w:firstLine="562"/>
        <w:rPr>
          <w:rFonts w:ascii="Calibri" w:eastAsia="宋体" w:hAnsi="Calibri" w:cs="Times New Roman"/>
          <w:b/>
          <w:sz w:val="28"/>
          <w:szCs w:val="28"/>
        </w:rPr>
      </w:pPr>
      <w:r w:rsidRPr="00C93813">
        <w:rPr>
          <w:rFonts w:ascii="Calibri" w:eastAsia="宋体" w:hAnsi="Calibri" w:cs="Times New Roman"/>
          <w:b/>
          <w:sz w:val="28"/>
          <w:szCs w:val="28"/>
        </w:rPr>
        <w:t>三、课程学习内容及与课程学习目标的对应关系</w:t>
      </w:r>
    </w:p>
    <w:p w14:paraId="185B2BCE" w14:textId="77777777" w:rsidR="00C93813" w:rsidRPr="00C93813" w:rsidRDefault="00C93813" w:rsidP="00B23175">
      <w:pPr>
        <w:spacing w:beforeLines="50" w:before="156" w:afterLines="50" w:after="156" w:line="440" w:lineRule="exact"/>
        <w:ind w:firstLineChars="200" w:firstLine="562"/>
        <w:rPr>
          <w:rFonts w:ascii="Calibri" w:eastAsia="宋体" w:hAnsi="Calibri" w:cs="Times New Roman"/>
          <w:b/>
          <w:sz w:val="28"/>
          <w:szCs w:val="28"/>
        </w:rPr>
      </w:pPr>
      <w:r w:rsidRPr="00C93813">
        <w:rPr>
          <w:rFonts w:ascii="Calibri" w:eastAsia="宋体" w:hAnsi="Calibri" w:cs="Times New Roman"/>
          <w:b/>
          <w:sz w:val="28"/>
          <w:szCs w:val="28"/>
        </w:rPr>
        <w:t>（一）课程学习内容</w:t>
      </w:r>
    </w:p>
    <w:p w14:paraId="7CAC3E59" w14:textId="77777777" w:rsidR="00C93813" w:rsidRPr="00C93813" w:rsidRDefault="00C93813" w:rsidP="00B23175">
      <w:pPr>
        <w:spacing w:beforeLines="50" w:before="156" w:afterLines="50" w:after="156" w:line="440" w:lineRule="exact"/>
        <w:ind w:firstLineChars="200" w:firstLine="562"/>
        <w:jc w:val="center"/>
        <w:rPr>
          <w:rFonts w:ascii="Calibri" w:eastAsia="宋体" w:hAnsi="Calibri" w:cs="Times New Roman"/>
          <w:b/>
          <w:bCs/>
          <w:sz w:val="28"/>
          <w:szCs w:val="28"/>
        </w:rPr>
      </w:pPr>
      <w:r w:rsidRPr="00C93813">
        <w:rPr>
          <w:rFonts w:ascii="Calibri" w:eastAsia="宋体" w:hAnsi="Calibri" w:cs="Times New Roman"/>
          <w:b/>
          <w:bCs/>
          <w:sz w:val="28"/>
          <w:szCs w:val="28"/>
        </w:rPr>
        <w:t xml:space="preserve">Unit </w:t>
      </w:r>
      <w:proofErr w:type="gramStart"/>
      <w:r w:rsidRPr="00C93813">
        <w:rPr>
          <w:rFonts w:ascii="Calibri" w:eastAsia="宋体" w:hAnsi="Calibri" w:cs="Times New Roman"/>
          <w:b/>
          <w:bCs/>
          <w:sz w:val="28"/>
          <w:szCs w:val="28"/>
        </w:rPr>
        <w:t xml:space="preserve">1 </w:t>
      </w:r>
      <w:r w:rsidRPr="00C93813">
        <w:rPr>
          <w:rFonts w:ascii="Calibri" w:eastAsia="宋体" w:hAnsi="Calibri" w:cs="Times New Roman" w:hint="eastAsia"/>
          <w:b/>
          <w:bCs/>
          <w:sz w:val="28"/>
          <w:szCs w:val="28"/>
        </w:rPr>
        <w:t xml:space="preserve"> Love</w:t>
      </w:r>
      <w:proofErr w:type="gramEnd"/>
      <w:r w:rsidRPr="00C93813">
        <w:rPr>
          <w:rFonts w:ascii="Calibri" w:eastAsia="宋体" w:hAnsi="Calibri" w:cs="Times New Roman"/>
          <w:b/>
          <w:bCs/>
          <w:sz w:val="28"/>
          <w:szCs w:val="28"/>
        </w:rPr>
        <w:t xml:space="preserve"> and Sacrifice</w:t>
      </w:r>
    </w:p>
    <w:p w14:paraId="76E0C53B" w14:textId="77777777" w:rsidR="00C93813" w:rsidRPr="00C93813" w:rsidRDefault="00C93813" w:rsidP="00B23175">
      <w:pPr>
        <w:spacing w:line="360" w:lineRule="auto"/>
        <w:ind w:firstLineChars="200" w:firstLine="482"/>
        <w:rPr>
          <w:rFonts w:ascii="Calibri" w:eastAsia="宋体" w:hAnsi="Calibri" w:cs="Times New Roman"/>
          <w:b/>
          <w:sz w:val="24"/>
        </w:rPr>
      </w:pPr>
      <w:bookmarkStart w:id="47" w:name="OLE_LINK11"/>
      <w:bookmarkStart w:id="48" w:name="OLE_LINK12"/>
      <w:r w:rsidRPr="00C93813">
        <w:rPr>
          <w:rFonts w:ascii="Calibri" w:eastAsia="宋体" w:hAnsi="Calibri" w:cs="Times New Roman"/>
          <w:b/>
          <w:sz w:val="24"/>
        </w:rPr>
        <w:t>【学习目标】</w:t>
      </w:r>
    </w:p>
    <w:p w14:paraId="27FB4DAA"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1. </w:t>
      </w:r>
      <w:r w:rsidRPr="00C93813">
        <w:rPr>
          <w:rFonts w:ascii="Calibri" w:eastAsia="宋体" w:hAnsi="Calibri" w:cs="Times New Roman"/>
          <w:sz w:val="24"/>
        </w:rPr>
        <w:t>认知类目标：</w:t>
      </w:r>
      <w:r w:rsidRPr="00C93813">
        <w:rPr>
          <w:rFonts w:ascii="Calibri" w:eastAsia="宋体" w:hAnsi="Calibri" w:cs="Times New Roman" w:hint="eastAsia"/>
          <w:sz w:val="24"/>
        </w:rPr>
        <w:t>通过本单元主题</w:t>
      </w:r>
      <w:r w:rsidRPr="00C93813">
        <w:rPr>
          <w:rFonts w:ascii="Calibri" w:eastAsia="宋体" w:hAnsi="Calibri" w:cs="Times New Roman" w:hint="eastAsia"/>
          <w:sz w:val="24"/>
        </w:rPr>
        <w:t xml:space="preserve"> </w:t>
      </w:r>
      <w:r w:rsidRPr="00C93813">
        <w:rPr>
          <w:rFonts w:ascii="Calibri" w:eastAsia="宋体" w:hAnsi="Calibri" w:cs="Times New Roman"/>
          <w:sz w:val="24"/>
        </w:rPr>
        <w:t>Love</w:t>
      </w:r>
      <w:r w:rsidRPr="00C93813">
        <w:rPr>
          <w:rFonts w:ascii="Calibri" w:eastAsia="宋体" w:hAnsi="Calibri" w:cs="Times New Roman" w:hint="eastAsia"/>
          <w:sz w:val="24"/>
        </w:rPr>
        <w:t xml:space="preserve"> and</w:t>
      </w:r>
      <w:r w:rsidRPr="00C93813">
        <w:rPr>
          <w:rFonts w:ascii="Calibri" w:eastAsia="宋体" w:hAnsi="Calibri" w:cs="Times New Roman"/>
          <w:sz w:val="24"/>
        </w:rPr>
        <w:t xml:space="preserve"> Sacrifice</w:t>
      </w:r>
      <w:r w:rsidRPr="00C93813">
        <w:rPr>
          <w:rFonts w:ascii="Calibri" w:eastAsia="宋体" w:hAnsi="Calibri" w:cs="Times New Roman" w:hint="eastAsia"/>
          <w:sz w:val="24"/>
        </w:rPr>
        <w:t>的学习，</w:t>
      </w:r>
      <w:r w:rsidRPr="00C93813">
        <w:rPr>
          <w:rFonts w:ascii="Calibri" w:eastAsia="宋体" w:hAnsi="Calibri" w:cs="Times New Roman"/>
          <w:sz w:val="24"/>
        </w:rPr>
        <w:t>掌握</w:t>
      </w:r>
      <w:r w:rsidRPr="00C93813">
        <w:rPr>
          <w:rFonts w:ascii="Calibri" w:eastAsia="宋体" w:hAnsi="Calibri" w:cs="Times New Roman" w:hint="eastAsia"/>
          <w:sz w:val="24"/>
        </w:rPr>
        <w:t>并能熟练应用</w:t>
      </w:r>
      <w:r w:rsidRPr="00C93813">
        <w:rPr>
          <w:rFonts w:ascii="Calibri" w:eastAsia="宋体" w:hAnsi="Calibri" w:cs="Times New Roman"/>
          <w:sz w:val="24"/>
        </w:rPr>
        <w:t>本单元中描述</w:t>
      </w:r>
      <w:r w:rsidRPr="00C93813">
        <w:rPr>
          <w:rFonts w:ascii="Calibri" w:eastAsia="宋体" w:hAnsi="Calibri" w:cs="Times New Roman" w:hint="eastAsia"/>
          <w:sz w:val="24"/>
        </w:rPr>
        <w:t>人的内心感受</w:t>
      </w:r>
      <w:r w:rsidRPr="00C93813">
        <w:rPr>
          <w:rFonts w:ascii="Calibri" w:eastAsia="宋体" w:hAnsi="Calibri" w:cs="Times New Roman"/>
          <w:sz w:val="24"/>
        </w:rPr>
        <w:t>的重点词汇、短语和句型</w:t>
      </w:r>
      <w:r w:rsidRPr="00C93813">
        <w:rPr>
          <w:rFonts w:ascii="Calibri" w:eastAsia="宋体" w:hAnsi="Calibri" w:cs="Times New Roman" w:hint="eastAsia"/>
          <w:sz w:val="24"/>
        </w:rPr>
        <w:t>；了解常用的翻译技巧。</w:t>
      </w:r>
      <w:r w:rsidRPr="00C93813">
        <w:rPr>
          <w:rFonts w:ascii="Calibri" w:eastAsia="宋体" w:hAnsi="Calibri" w:cs="Times New Roman"/>
          <w:sz w:val="24"/>
        </w:rPr>
        <w:t xml:space="preserve"> </w:t>
      </w:r>
    </w:p>
    <w:p w14:paraId="6EDF3584"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2. </w:t>
      </w:r>
      <w:r w:rsidRPr="00C93813">
        <w:rPr>
          <w:rFonts w:ascii="Calibri" w:eastAsia="宋体" w:hAnsi="Calibri" w:cs="Times New Roman"/>
          <w:sz w:val="24"/>
        </w:rPr>
        <w:t>过程与方法类目标：在阅读过程中，快速准确找到文章主旨，识别作者观点，并且能够从篇章层面上把握文章的结构以及作者使用的连贯和衔接手段；在学习听力过程中，学会识别新闻、对话和篇章中的细节方面的信息，并能以此做出推理和判断说话人的意图；鼓励学生使用语料库等先进学习技术研究词汇、语法等语言规律，培养学生使用先进技术研究语言的能力</w:t>
      </w:r>
      <w:r w:rsidRPr="00C93813">
        <w:rPr>
          <w:rFonts w:ascii="Calibri" w:eastAsia="宋体" w:hAnsi="Calibri" w:cs="Times New Roman" w:hint="eastAsia"/>
          <w:sz w:val="24"/>
        </w:rPr>
        <w:t>。</w:t>
      </w:r>
    </w:p>
    <w:p w14:paraId="04150317"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3. </w:t>
      </w:r>
      <w:r w:rsidRPr="00C93813">
        <w:rPr>
          <w:rFonts w:ascii="Calibri" w:eastAsia="宋体" w:hAnsi="Calibri" w:cs="Times New Roman"/>
          <w:sz w:val="24"/>
        </w:rPr>
        <w:t>情感、态度、价值观类目标：</w:t>
      </w:r>
      <w:r w:rsidRPr="00C93813">
        <w:rPr>
          <w:rFonts w:ascii="Calibri" w:eastAsia="宋体" w:hAnsi="Calibri" w:cs="Times New Roman" w:hint="eastAsia"/>
          <w:sz w:val="24"/>
        </w:rPr>
        <w:t>通过课文的学习，感受课文主人公在面临至亲生病或死亡时的内心情感活动</w:t>
      </w:r>
      <w:r w:rsidRPr="00C93813">
        <w:rPr>
          <w:rFonts w:ascii="Calibri" w:eastAsia="宋体" w:hAnsi="Calibri" w:cs="Times New Roman"/>
          <w:sz w:val="24"/>
        </w:rPr>
        <w:t>，</w:t>
      </w:r>
      <w:r w:rsidRPr="00C93813">
        <w:rPr>
          <w:rFonts w:ascii="Calibri" w:eastAsia="宋体" w:hAnsi="Calibri" w:cs="Times New Roman" w:hint="eastAsia"/>
          <w:sz w:val="24"/>
        </w:rPr>
        <w:t>探讨爱与牺牲的主题，珍惜和热爱自己的家庭，铭记尊老爱幼</w:t>
      </w:r>
      <w:r w:rsidRPr="00C93813">
        <w:rPr>
          <w:rFonts w:ascii="Calibri" w:eastAsia="宋体" w:hAnsi="Calibri" w:cs="Times New Roman"/>
          <w:sz w:val="24"/>
        </w:rPr>
        <w:t>、</w:t>
      </w:r>
      <w:r w:rsidRPr="00C93813">
        <w:rPr>
          <w:rFonts w:ascii="Calibri" w:eastAsia="宋体" w:hAnsi="Calibri" w:cs="Times New Roman" w:hint="eastAsia"/>
          <w:sz w:val="24"/>
        </w:rPr>
        <w:t>母慈子孝</w:t>
      </w:r>
      <w:r w:rsidRPr="00C93813">
        <w:rPr>
          <w:rFonts w:ascii="Calibri" w:eastAsia="宋体" w:hAnsi="Calibri" w:cs="Times New Roman"/>
          <w:sz w:val="24"/>
        </w:rPr>
        <w:t>、</w:t>
      </w:r>
      <w:r w:rsidRPr="00C93813">
        <w:rPr>
          <w:rFonts w:ascii="Calibri" w:eastAsia="宋体" w:hAnsi="Calibri" w:cs="Times New Roman" w:hint="eastAsia"/>
          <w:sz w:val="24"/>
        </w:rPr>
        <w:t>家和万事兴等中华民族传统家庭美德；了解爱与牺牲的辩证关系，“先大家后小家</w:t>
      </w:r>
      <w:r w:rsidRPr="00C93813">
        <w:rPr>
          <w:rFonts w:ascii="Calibri" w:eastAsia="宋体" w:hAnsi="Calibri" w:cs="Times New Roman"/>
          <w:sz w:val="24"/>
        </w:rPr>
        <w:t>、</w:t>
      </w:r>
      <w:r w:rsidRPr="00C93813">
        <w:rPr>
          <w:rFonts w:ascii="Calibri" w:eastAsia="宋体" w:hAnsi="Calibri" w:cs="Times New Roman" w:hint="eastAsia"/>
          <w:sz w:val="24"/>
        </w:rPr>
        <w:t>为大家舍小家”，养成积极向上的家庭观及高尚的家国情怀。</w:t>
      </w:r>
    </w:p>
    <w:p w14:paraId="35243FD4" w14:textId="77777777" w:rsidR="00C93813" w:rsidRPr="00C93813" w:rsidRDefault="00C93813" w:rsidP="00B23175">
      <w:pPr>
        <w:spacing w:line="360" w:lineRule="auto"/>
        <w:ind w:firstLineChars="200" w:firstLine="482"/>
        <w:rPr>
          <w:rFonts w:ascii="Calibri" w:eastAsia="宋体" w:hAnsi="Calibri" w:cs="Times New Roman"/>
          <w:b/>
          <w:sz w:val="24"/>
        </w:rPr>
      </w:pPr>
      <w:r w:rsidRPr="00C93813">
        <w:rPr>
          <w:rFonts w:ascii="Calibri" w:eastAsia="宋体" w:hAnsi="Calibri" w:cs="Times New Roman"/>
          <w:b/>
          <w:sz w:val="24"/>
        </w:rPr>
        <w:t>【学习内容】</w:t>
      </w:r>
    </w:p>
    <w:p w14:paraId="4AB183E1" w14:textId="77777777" w:rsidR="00C93813" w:rsidRPr="00C93813" w:rsidRDefault="00C93813" w:rsidP="00B23175">
      <w:pPr>
        <w:numPr>
          <w:ilvl w:val="0"/>
          <w:numId w:val="29"/>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通过线上</w:t>
      </w:r>
      <w:r w:rsidRPr="00C93813">
        <w:rPr>
          <w:rFonts w:ascii="Calibri" w:eastAsia="宋体" w:hAnsi="Calibri" w:cs="Times New Roman"/>
          <w:sz w:val="24"/>
        </w:rPr>
        <w:t>本单元主题</w:t>
      </w:r>
      <w:r w:rsidRPr="00C93813">
        <w:rPr>
          <w:rFonts w:ascii="Calibri" w:eastAsia="宋体" w:hAnsi="Calibri" w:cs="Times New Roman"/>
          <w:sz w:val="24"/>
        </w:rPr>
        <w:t>“Love</w:t>
      </w:r>
      <w:r w:rsidRPr="00C93813">
        <w:rPr>
          <w:rFonts w:ascii="Calibri" w:eastAsia="宋体" w:hAnsi="Calibri" w:cs="Times New Roman" w:hint="eastAsia"/>
          <w:sz w:val="24"/>
        </w:rPr>
        <w:t xml:space="preserve"> and</w:t>
      </w:r>
      <w:r w:rsidRPr="00C93813">
        <w:rPr>
          <w:rFonts w:ascii="Calibri" w:eastAsia="宋体" w:hAnsi="Calibri" w:cs="Times New Roman"/>
          <w:sz w:val="24"/>
        </w:rPr>
        <w:t xml:space="preserve"> Sacrifice”</w:t>
      </w:r>
      <w:r w:rsidRPr="00C93813">
        <w:rPr>
          <w:rFonts w:ascii="Calibri" w:eastAsia="宋体" w:hAnsi="Calibri" w:cs="Times New Roman"/>
          <w:sz w:val="24"/>
        </w:rPr>
        <w:t>相关的背景知识，</w:t>
      </w:r>
      <w:r w:rsidRPr="00C93813">
        <w:rPr>
          <w:rFonts w:ascii="Calibri" w:eastAsia="宋体" w:hAnsi="Calibri" w:cs="Times New Roman" w:hint="eastAsia"/>
          <w:sz w:val="24"/>
        </w:rPr>
        <w:t>引导</w:t>
      </w:r>
      <w:r w:rsidRPr="00C93813">
        <w:rPr>
          <w:rFonts w:ascii="Calibri" w:eastAsia="宋体" w:hAnsi="Calibri" w:cs="Times New Roman"/>
          <w:sz w:val="24"/>
        </w:rPr>
        <w:t>讨论</w:t>
      </w:r>
      <w:r w:rsidRPr="00C93813">
        <w:rPr>
          <w:rFonts w:ascii="Calibri" w:eastAsia="宋体" w:hAnsi="Calibri" w:cs="Times New Roman"/>
          <w:sz w:val="24"/>
        </w:rPr>
        <w:t>What Love</w:t>
      </w:r>
      <w:r w:rsidRPr="00C93813">
        <w:rPr>
          <w:rFonts w:ascii="Calibri" w:eastAsia="宋体" w:hAnsi="Calibri" w:cs="Times New Roman" w:hint="eastAsia"/>
          <w:sz w:val="24"/>
        </w:rPr>
        <w:t xml:space="preserve"> </w:t>
      </w:r>
      <w:r w:rsidRPr="00C93813">
        <w:rPr>
          <w:rFonts w:ascii="Calibri" w:eastAsia="宋体" w:hAnsi="Calibri" w:cs="Times New Roman" w:hint="eastAsia"/>
          <w:sz w:val="24"/>
        </w:rPr>
        <w:lastRenderedPageBreak/>
        <w:t xml:space="preserve">is </w:t>
      </w:r>
      <w:r w:rsidRPr="00C93813">
        <w:rPr>
          <w:rFonts w:ascii="Calibri" w:eastAsia="宋体" w:hAnsi="Calibri" w:cs="Times New Roman"/>
          <w:sz w:val="24"/>
        </w:rPr>
        <w:t xml:space="preserve">and </w:t>
      </w:r>
      <w:r w:rsidRPr="00C93813">
        <w:rPr>
          <w:rFonts w:ascii="Calibri" w:eastAsia="宋体" w:hAnsi="Calibri" w:cs="Times New Roman" w:hint="eastAsia"/>
          <w:sz w:val="24"/>
        </w:rPr>
        <w:t xml:space="preserve">what </w:t>
      </w:r>
      <w:r w:rsidRPr="00C93813">
        <w:rPr>
          <w:rFonts w:ascii="Calibri" w:eastAsia="宋体" w:hAnsi="Calibri" w:cs="Times New Roman"/>
          <w:sz w:val="24"/>
        </w:rPr>
        <w:t xml:space="preserve">Sacrifice </w:t>
      </w:r>
      <w:r w:rsidRPr="00C93813">
        <w:rPr>
          <w:rFonts w:ascii="Calibri" w:eastAsia="宋体" w:hAnsi="Calibri" w:cs="Times New Roman" w:hint="eastAsia"/>
          <w:sz w:val="24"/>
        </w:rPr>
        <w:t>is</w:t>
      </w:r>
      <w:r w:rsidRPr="00C93813">
        <w:rPr>
          <w:rFonts w:ascii="Calibri" w:eastAsia="宋体" w:hAnsi="Calibri" w:cs="Times New Roman" w:hint="eastAsia"/>
          <w:sz w:val="24"/>
        </w:rPr>
        <w:t>。</w:t>
      </w:r>
      <w:r w:rsidRPr="00C93813">
        <w:rPr>
          <w:rFonts w:ascii="Calibri" w:eastAsia="宋体" w:hAnsi="Calibri" w:cs="Times New Roman"/>
          <w:sz w:val="24"/>
        </w:rPr>
        <w:t xml:space="preserve"> </w:t>
      </w:r>
    </w:p>
    <w:p w14:paraId="171D1CBE" w14:textId="77777777" w:rsidR="00C93813" w:rsidRPr="00C93813" w:rsidRDefault="00C93813" w:rsidP="00B23175">
      <w:pPr>
        <w:numPr>
          <w:ilvl w:val="0"/>
          <w:numId w:val="29"/>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线上学习并熟悉</w:t>
      </w:r>
      <w:r w:rsidRPr="00C93813">
        <w:rPr>
          <w:rFonts w:ascii="Calibri" w:eastAsia="宋体" w:hAnsi="Calibri" w:cs="Times New Roman"/>
          <w:bCs/>
          <w:sz w:val="24"/>
        </w:rPr>
        <w:t>T</w:t>
      </w:r>
      <w:r w:rsidRPr="00C93813">
        <w:rPr>
          <w:rFonts w:ascii="Calibri" w:eastAsia="宋体" w:hAnsi="Calibri" w:cs="Times New Roman" w:hint="eastAsia"/>
          <w:bCs/>
          <w:sz w:val="24"/>
        </w:rPr>
        <w:t>ext</w:t>
      </w:r>
      <w:r w:rsidRPr="00C93813">
        <w:rPr>
          <w:rFonts w:ascii="Calibri" w:eastAsia="宋体" w:hAnsi="Calibri" w:cs="Times New Roman"/>
          <w:bCs/>
          <w:sz w:val="24"/>
        </w:rPr>
        <w:t xml:space="preserve"> A</w:t>
      </w:r>
      <w:r w:rsidRPr="00C93813">
        <w:rPr>
          <w:rFonts w:ascii="Calibri" w:eastAsia="宋体" w:hAnsi="Calibri" w:cs="Times New Roman" w:hint="eastAsia"/>
          <w:bCs/>
          <w:sz w:val="24"/>
        </w:rPr>
        <w:t xml:space="preserve"> </w:t>
      </w:r>
      <w:r w:rsidRPr="00C93813">
        <w:rPr>
          <w:rFonts w:ascii="Calibri" w:eastAsia="宋体" w:hAnsi="Calibri" w:cs="Times New Roman" w:hint="eastAsia"/>
          <w:i/>
          <w:sz w:val="24"/>
        </w:rPr>
        <w:t>Johanna</w:t>
      </w:r>
      <w:r w:rsidRPr="00C93813">
        <w:rPr>
          <w:rFonts w:ascii="Calibri" w:eastAsia="宋体" w:hAnsi="Calibri" w:cs="Times New Roman"/>
          <w:bCs/>
          <w:sz w:val="24"/>
        </w:rPr>
        <w:t>重点单词和短语的用法</w:t>
      </w:r>
      <w:r w:rsidRPr="00C93813">
        <w:rPr>
          <w:rFonts w:ascii="Calibri" w:eastAsia="宋体" w:hAnsi="Calibri" w:cs="Times New Roman" w:hint="eastAsia"/>
          <w:bCs/>
          <w:sz w:val="24"/>
        </w:rPr>
        <w:t>。</w:t>
      </w:r>
    </w:p>
    <w:p w14:paraId="52E45BDF"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3. </w:t>
      </w:r>
      <w:r w:rsidRPr="00C93813">
        <w:rPr>
          <w:rFonts w:ascii="Calibri" w:eastAsia="宋体" w:hAnsi="Calibri" w:cs="Times New Roman" w:hint="eastAsia"/>
          <w:sz w:val="24"/>
        </w:rPr>
        <w:t>线下进行</w:t>
      </w:r>
      <w:r w:rsidRPr="00C93813">
        <w:rPr>
          <w:rFonts w:ascii="Calibri" w:eastAsia="宋体" w:hAnsi="Calibri" w:cs="Times New Roman" w:hint="eastAsia"/>
          <w:sz w:val="24"/>
        </w:rPr>
        <w:t>Text A</w:t>
      </w:r>
      <w:r w:rsidRPr="00C93813">
        <w:rPr>
          <w:rFonts w:ascii="Calibri" w:eastAsia="宋体" w:hAnsi="Calibri" w:cs="Times New Roman"/>
          <w:sz w:val="24"/>
        </w:rPr>
        <w:t>课文</w:t>
      </w:r>
      <w:r w:rsidRPr="00C93813">
        <w:rPr>
          <w:rFonts w:ascii="Calibri" w:eastAsia="宋体" w:hAnsi="Calibri" w:cs="Times New Roman" w:hint="eastAsia"/>
          <w:sz w:val="24"/>
        </w:rPr>
        <w:t>结构</w:t>
      </w:r>
      <w:r w:rsidRPr="00C93813">
        <w:rPr>
          <w:rFonts w:ascii="Calibri" w:eastAsia="宋体" w:hAnsi="Calibri" w:cs="Times New Roman"/>
          <w:sz w:val="24"/>
        </w:rPr>
        <w:t>分析</w:t>
      </w:r>
      <w:r w:rsidRPr="00C93813">
        <w:rPr>
          <w:rFonts w:ascii="Calibri" w:eastAsia="宋体" w:hAnsi="Calibri" w:cs="Times New Roman" w:hint="eastAsia"/>
          <w:sz w:val="24"/>
        </w:rPr>
        <w:t>，重点难点讲解。</w:t>
      </w:r>
    </w:p>
    <w:p w14:paraId="1DA5525B"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4. </w:t>
      </w:r>
      <w:r w:rsidRPr="00C93813">
        <w:rPr>
          <w:rFonts w:ascii="Calibri" w:eastAsia="宋体" w:hAnsi="Calibri" w:cs="Times New Roman" w:hint="eastAsia"/>
          <w:sz w:val="24"/>
        </w:rPr>
        <w:t>线上完成</w:t>
      </w:r>
      <w:r w:rsidRPr="00C93813">
        <w:rPr>
          <w:rFonts w:ascii="Calibri" w:eastAsia="宋体" w:hAnsi="Calibri" w:cs="Times New Roman" w:hint="eastAsia"/>
          <w:sz w:val="24"/>
        </w:rPr>
        <w:t>Text A</w:t>
      </w:r>
      <w:r w:rsidRPr="00C93813">
        <w:rPr>
          <w:rFonts w:ascii="Calibri" w:eastAsia="宋体" w:hAnsi="Calibri" w:cs="Times New Roman" w:hint="eastAsia"/>
          <w:sz w:val="24"/>
        </w:rPr>
        <w:t>部分练习。</w:t>
      </w:r>
    </w:p>
    <w:p w14:paraId="6A552674"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5. </w:t>
      </w:r>
      <w:r w:rsidRPr="00C93813">
        <w:rPr>
          <w:rFonts w:ascii="Calibri" w:eastAsia="宋体" w:hAnsi="Calibri" w:cs="Times New Roman" w:hint="eastAsia"/>
          <w:sz w:val="24"/>
        </w:rPr>
        <w:t>线下学习</w:t>
      </w:r>
      <w:r w:rsidRPr="00C93813">
        <w:rPr>
          <w:rFonts w:ascii="Calibri" w:eastAsia="宋体" w:hAnsi="Calibri" w:cs="Times New Roman"/>
          <w:sz w:val="24"/>
        </w:rPr>
        <w:t xml:space="preserve">Text B </w:t>
      </w:r>
      <w:r w:rsidRPr="00C93813">
        <w:rPr>
          <w:rFonts w:ascii="Calibri" w:eastAsia="宋体" w:hAnsi="Calibri" w:cs="Times New Roman"/>
          <w:i/>
          <w:sz w:val="24"/>
        </w:rPr>
        <w:t>You Go Your Way, I</w:t>
      </w:r>
      <w:proofErr w:type="gramStart"/>
      <w:r w:rsidRPr="00C93813">
        <w:rPr>
          <w:rFonts w:ascii="Calibri" w:eastAsia="宋体" w:hAnsi="Calibri" w:cs="Times New Roman"/>
          <w:i/>
          <w:sz w:val="24"/>
        </w:rPr>
        <w:t>’</w:t>
      </w:r>
      <w:proofErr w:type="gramEnd"/>
      <w:r w:rsidRPr="00C93813">
        <w:rPr>
          <w:rFonts w:ascii="Calibri" w:eastAsia="宋体" w:hAnsi="Calibri" w:cs="Times New Roman"/>
          <w:i/>
          <w:sz w:val="24"/>
        </w:rPr>
        <w:t>ll Go Mine</w:t>
      </w:r>
      <w:r w:rsidRPr="00C93813">
        <w:rPr>
          <w:rFonts w:ascii="Calibri" w:eastAsia="宋体" w:hAnsi="Calibri" w:cs="Times New Roman"/>
          <w:sz w:val="24"/>
        </w:rPr>
        <w:t>,</w:t>
      </w:r>
      <w:r w:rsidRPr="00C93813">
        <w:rPr>
          <w:rFonts w:ascii="Calibri" w:eastAsia="宋体" w:hAnsi="Calibri" w:cs="Times New Roman"/>
          <w:sz w:val="24"/>
        </w:rPr>
        <w:t>了解文章结构，把握文章主题。</w:t>
      </w:r>
    </w:p>
    <w:p w14:paraId="5FB10F39"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6. </w:t>
      </w:r>
      <w:r w:rsidRPr="00C93813">
        <w:rPr>
          <w:rFonts w:ascii="Calibri" w:eastAsia="宋体" w:hAnsi="Calibri" w:cs="Times New Roman" w:hint="eastAsia"/>
          <w:sz w:val="24"/>
        </w:rPr>
        <w:t>线上</w:t>
      </w:r>
      <w:r w:rsidRPr="00C93813">
        <w:rPr>
          <w:rFonts w:ascii="Calibri" w:eastAsia="宋体" w:hAnsi="Calibri" w:cs="Times New Roman"/>
          <w:sz w:val="24"/>
        </w:rPr>
        <w:t>完成配套教材视听说中的</w:t>
      </w:r>
      <w:r w:rsidRPr="00C93813">
        <w:rPr>
          <w:rFonts w:ascii="Calibri" w:eastAsia="宋体" w:hAnsi="Calibri" w:cs="Times New Roman" w:hint="eastAsia"/>
          <w:sz w:val="24"/>
        </w:rPr>
        <w:t>听力部分</w:t>
      </w:r>
      <w:r w:rsidRPr="00C93813">
        <w:rPr>
          <w:rFonts w:ascii="Calibri" w:eastAsia="宋体" w:hAnsi="Calibri" w:cs="Times New Roman"/>
          <w:sz w:val="24"/>
        </w:rPr>
        <w:t>内容</w:t>
      </w:r>
      <w:r w:rsidRPr="00C93813">
        <w:rPr>
          <w:rFonts w:ascii="Calibri" w:eastAsia="宋体" w:hAnsi="Calibri" w:cs="Times New Roman" w:hint="eastAsia"/>
          <w:sz w:val="24"/>
        </w:rPr>
        <w:t>。</w:t>
      </w:r>
    </w:p>
    <w:p w14:paraId="26A1EACE" w14:textId="77777777" w:rsidR="00C93813" w:rsidRPr="00C93813" w:rsidRDefault="00C93813" w:rsidP="00B23175">
      <w:pPr>
        <w:spacing w:line="360" w:lineRule="auto"/>
        <w:ind w:firstLineChars="200" w:firstLine="480"/>
        <w:rPr>
          <w:rFonts w:ascii="宋体" w:eastAsia="宋体" w:hAnsi="Calibri" w:cs="Times New Roman"/>
          <w:sz w:val="24"/>
        </w:rPr>
      </w:pPr>
      <w:r w:rsidRPr="00C93813">
        <w:rPr>
          <w:rFonts w:ascii="Calibri" w:eastAsia="宋体" w:hAnsi="Calibri" w:cs="Times New Roman" w:hint="eastAsia"/>
          <w:sz w:val="24"/>
        </w:rPr>
        <w:t xml:space="preserve">7. </w:t>
      </w:r>
      <w:r w:rsidRPr="00C93813">
        <w:rPr>
          <w:rFonts w:ascii="Calibri" w:eastAsia="宋体" w:hAnsi="Calibri" w:cs="Times New Roman" w:hint="eastAsia"/>
          <w:sz w:val="24"/>
        </w:rPr>
        <w:t>翻译技巧讲解：</w:t>
      </w:r>
      <w:r w:rsidRPr="00C93813">
        <w:rPr>
          <w:rFonts w:ascii="宋体" w:eastAsia="宋体" w:hAnsi="Calibri" w:cs="Times New Roman" w:hint="eastAsia"/>
          <w:sz w:val="24"/>
        </w:rPr>
        <w:t>翻译技巧综述及作品欣赏。</w:t>
      </w:r>
    </w:p>
    <w:p w14:paraId="2CB9A64C"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8. </w:t>
      </w:r>
      <w:proofErr w:type="gramStart"/>
      <w:r w:rsidRPr="00C93813">
        <w:rPr>
          <w:rFonts w:ascii="Calibri" w:eastAsia="宋体" w:hAnsi="Calibri" w:cs="Times New Roman" w:hint="eastAsia"/>
          <w:sz w:val="24"/>
        </w:rPr>
        <w:t>思政元素</w:t>
      </w:r>
      <w:proofErr w:type="gramEnd"/>
      <w:r w:rsidRPr="00C93813">
        <w:rPr>
          <w:rFonts w:ascii="Calibri" w:eastAsia="宋体" w:hAnsi="Calibri" w:cs="Times New Roman" w:hint="eastAsia"/>
          <w:sz w:val="24"/>
        </w:rPr>
        <w:t>：通过学习与讨论，认识到家庭成员</w:t>
      </w:r>
      <w:proofErr w:type="gramStart"/>
      <w:r w:rsidRPr="00C93813">
        <w:rPr>
          <w:rFonts w:ascii="Calibri" w:eastAsia="宋体" w:hAnsi="Calibri" w:cs="Times New Roman" w:hint="eastAsia"/>
          <w:sz w:val="24"/>
        </w:rPr>
        <w:t>之间爱</w:t>
      </w:r>
      <w:proofErr w:type="gramEnd"/>
      <w:r w:rsidRPr="00C93813">
        <w:rPr>
          <w:rFonts w:ascii="Calibri" w:eastAsia="宋体" w:hAnsi="Calibri" w:cs="Times New Roman" w:hint="eastAsia"/>
          <w:sz w:val="24"/>
        </w:rPr>
        <w:t>的真谛，体会人对至亲深刻的感情和爱。家庭是社会的基础，充满爱的家庭是社会和谐的关键。通过课文的学习，引导学生珍惜自己的亲人，维护自己的家庭和睦，铭记尊老爱幼</w:t>
      </w:r>
      <w:r w:rsidRPr="00C93813">
        <w:rPr>
          <w:rFonts w:ascii="Calibri" w:eastAsia="宋体" w:hAnsi="Calibri" w:cs="Times New Roman"/>
          <w:sz w:val="24"/>
        </w:rPr>
        <w:t>、</w:t>
      </w:r>
      <w:r w:rsidRPr="00C93813">
        <w:rPr>
          <w:rFonts w:ascii="Calibri" w:eastAsia="宋体" w:hAnsi="Calibri" w:cs="Times New Roman" w:hint="eastAsia"/>
          <w:sz w:val="24"/>
        </w:rPr>
        <w:t>家和万事兴等中华民族传统家庭美德，了解爱与牺牲的辩证关系，“先大家后小家</w:t>
      </w:r>
      <w:r w:rsidRPr="00C93813">
        <w:rPr>
          <w:rFonts w:ascii="Calibri" w:eastAsia="宋体" w:hAnsi="Calibri" w:cs="Times New Roman"/>
          <w:sz w:val="24"/>
        </w:rPr>
        <w:t>、</w:t>
      </w:r>
      <w:r w:rsidRPr="00C93813">
        <w:rPr>
          <w:rFonts w:ascii="Calibri" w:eastAsia="宋体" w:hAnsi="Calibri" w:cs="Times New Roman" w:hint="eastAsia"/>
          <w:sz w:val="24"/>
        </w:rPr>
        <w:t>为大家舍小家”，养成积极向上的家庭观及高尚的家国情怀。</w:t>
      </w:r>
    </w:p>
    <w:p w14:paraId="692D73B2" w14:textId="77777777" w:rsidR="00C93813" w:rsidRPr="00C93813" w:rsidRDefault="00C93813" w:rsidP="00B23175">
      <w:pPr>
        <w:spacing w:line="360" w:lineRule="auto"/>
        <w:ind w:firstLineChars="200" w:firstLine="482"/>
        <w:rPr>
          <w:rFonts w:ascii="Calibri" w:eastAsia="宋体" w:hAnsi="Calibri" w:cs="Times New Roman"/>
          <w:b/>
          <w:sz w:val="24"/>
        </w:rPr>
      </w:pPr>
      <w:r w:rsidRPr="00C93813">
        <w:rPr>
          <w:rFonts w:ascii="Calibri" w:eastAsia="宋体" w:hAnsi="Calibri" w:cs="Times New Roman"/>
          <w:b/>
          <w:sz w:val="24"/>
        </w:rPr>
        <w:t>【重点】</w:t>
      </w:r>
    </w:p>
    <w:p w14:paraId="0FBC5573" w14:textId="77777777" w:rsidR="00C93813" w:rsidRPr="00C93813" w:rsidRDefault="00C93813" w:rsidP="00B23175">
      <w:pPr>
        <w:spacing w:line="360" w:lineRule="auto"/>
        <w:ind w:leftChars="228" w:left="479" w:firstLineChars="200" w:firstLine="480"/>
        <w:rPr>
          <w:rFonts w:ascii="Calibri" w:eastAsia="宋体" w:hAnsi="Calibri" w:cs="Times New Roman"/>
          <w:b/>
          <w:bCs/>
          <w:sz w:val="27"/>
          <w:szCs w:val="27"/>
        </w:rPr>
      </w:pPr>
      <w:r w:rsidRPr="00C93813">
        <w:rPr>
          <w:rFonts w:ascii="Calibri" w:eastAsia="宋体" w:hAnsi="Calibri" w:cs="Times New Roman" w:hint="eastAsia"/>
          <w:sz w:val="24"/>
        </w:rPr>
        <w:t xml:space="preserve">1. </w:t>
      </w:r>
      <w:r w:rsidRPr="00C93813">
        <w:rPr>
          <w:rFonts w:ascii="Calibri" w:eastAsia="宋体" w:hAnsi="Calibri" w:cs="Times New Roman" w:hint="eastAsia"/>
          <w:sz w:val="24"/>
        </w:rPr>
        <w:t>课文重点单词、短语和句型：</w:t>
      </w:r>
      <w:r w:rsidRPr="00C93813">
        <w:rPr>
          <w:rFonts w:ascii="Calibri" w:eastAsia="宋体" w:hAnsi="Calibri" w:cs="Times New Roman"/>
          <w:sz w:val="24"/>
        </w:rPr>
        <w:t>made up her mind</w:t>
      </w:r>
      <w:r w:rsidRPr="00C93813">
        <w:rPr>
          <w:rFonts w:ascii="Calibri" w:eastAsia="宋体" w:hAnsi="Calibri" w:cs="Times New Roman"/>
          <w:sz w:val="24"/>
        </w:rPr>
        <w:t>、</w:t>
      </w:r>
      <w:r w:rsidRPr="00C93813">
        <w:rPr>
          <w:rFonts w:ascii="Calibri" w:eastAsia="宋体" w:hAnsi="Calibri" w:cs="Times New Roman"/>
          <w:sz w:val="24"/>
        </w:rPr>
        <w:t>alert</w:t>
      </w:r>
      <w:r w:rsidRPr="00C93813">
        <w:rPr>
          <w:rFonts w:ascii="Calibri" w:eastAsia="宋体" w:hAnsi="Calibri" w:cs="Times New Roman"/>
          <w:sz w:val="24"/>
        </w:rPr>
        <w:t>、</w:t>
      </w:r>
      <w:r w:rsidRPr="00C93813">
        <w:rPr>
          <w:rFonts w:ascii="Calibri" w:eastAsia="宋体" w:hAnsi="Calibri" w:cs="Times New Roman"/>
          <w:sz w:val="24"/>
        </w:rPr>
        <w:t>get to one</w:t>
      </w:r>
      <w:proofErr w:type="gramStart"/>
      <w:r w:rsidRPr="00C93813">
        <w:rPr>
          <w:rFonts w:ascii="Calibri" w:eastAsia="宋体" w:hAnsi="Calibri" w:cs="Times New Roman"/>
          <w:sz w:val="24"/>
        </w:rPr>
        <w:t>’</w:t>
      </w:r>
      <w:proofErr w:type="gramEnd"/>
      <w:r w:rsidRPr="00C93813">
        <w:rPr>
          <w:rFonts w:ascii="Calibri" w:eastAsia="宋体" w:hAnsi="Calibri" w:cs="Times New Roman"/>
          <w:sz w:val="24"/>
        </w:rPr>
        <w:t xml:space="preserve">s feet </w:t>
      </w:r>
      <w:r w:rsidRPr="00C93813">
        <w:rPr>
          <w:rFonts w:ascii="Calibri" w:eastAsia="宋体" w:hAnsi="Calibri" w:cs="Times New Roman"/>
          <w:sz w:val="24"/>
        </w:rPr>
        <w:t>、</w:t>
      </w:r>
      <w:r w:rsidRPr="00C93813">
        <w:rPr>
          <w:rFonts w:ascii="Calibri" w:eastAsia="宋体" w:hAnsi="Calibri" w:cs="Times New Roman"/>
          <w:sz w:val="24"/>
        </w:rPr>
        <w:t>cautiously</w:t>
      </w:r>
      <w:r w:rsidRPr="00C93813">
        <w:rPr>
          <w:rFonts w:ascii="Calibri" w:eastAsia="宋体" w:hAnsi="Calibri" w:cs="Times New Roman"/>
          <w:sz w:val="24"/>
        </w:rPr>
        <w:t>、</w:t>
      </w:r>
      <w:r w:rsidRPr="00C93813">
        <w:rPr>
          <w:rFonts w:ascii="Calibri" w:eastAsia="宋体" w:hAnsi="Calibri" w:cs="Times New Roman"/>
          <w:sz w:val="24"/>
        </w:rPr>
        <w:t>halt</w:t>
      </w:r>
      <w:r w:rsidRPr="00C93813">
        <w:rPr>
          <w:rFonts w:ascii="Calibri" w:eastAsia="宋体" w:hAnsi="Calibri" w:cs="Times New Roman"/>
          <w:sz w:val="24"/>
        </w:rPr>
        <w:t>、</w:t>
      </w:r>
      <w:r w:rsidRPr="00C93813">
        <w:rPr>
          <w:rFonts w:ascii="Calibri" w:eastAsia="宋体" w:hAnsi="Calibri" w:cs="Times New Roman"/>
          <w:sz w:val="24"/>
        </w:rPr>
        <w:t>edge</w:t>
      </w:r>
      <w:r w:rsidRPr="00C93813">
        <w:rPr>
          <w:rFonts w:ascii="Calibri" w:eastAsia="宋体" w:hAnsi="Calibri" w:cs="Times New Roman"/>
          <w:sz w:val="24"/>
        </w:rPr>
        <w:t>、</w:t>
      </w:r>
      <w:r w:rsidRPr="00C93813">
        <w:rPr>
          <w:rFonts w:ascii="Calibri" w:eastAsia="宋体" w:hAnsi="Calibri" w:cs="Times New Roman"/>
          <w:sz w:val="24"/>
        </w:rPr>
        <w:t>pace</w:t>
      </w:r>
      <w:r w:rsidRPr="00C93813">
        <w:rPr>
          <w:rFonts w:ascii="Calibri" w:eastAsia="宋体" w:hAnsi="Calibri" w:cs="Times New Roman"/>
          <w:sz w:val="24"/>
        </w:rPr>
        <w:t>、</w:t>
      </w:r>
      <w:r w:rsidRPr="00C93813">
        <w:rPr>
          <w:rFonts w:ascii="Calibri" w:eastAsia="宋体" w:hAnsi="Calibri" w:cs="Times New Roman"/>
          <w:sz w:val="24"/>
        </w:rPr>
        <w:t>dread</w:t>
      </w:r>
      <w:r w:rsidRPr="00C93813">
        <w:rPr>
          <w:rFonts w:ascii="Calibri" w:eastAsia="宋体" w:hAnsi="Calibri" w:cs="Times New Roman"/>
          <w:sz w:val="24"/>
        </w:rPr>
        <w:t>、</w:t>
      </w:r>
      <w:r w:rsidRPr="00C93813">
        <w:rPr>
          <w:rFonts w:ascii="Calibri" w:eastAsia="宋体" w:hAnsi="Calibri" w:cs="Times New Roman"/>
          <w:sz w:val="24"/>
        </w:rPr>
        <w:t>shiver</w:t>
      </w:r>
      <w:r w:rsidRPr="00C93813">
        <w:rPr>
          <w:rFonts w:ascii="Calibri" w:eastAsia="宋体" w:hAnsi="Calibri" w:cs="Times New Roman" w:hint="eastAsia"/>
          <w:sz w:val="24"/>
        </w:rPr>
        <w:t>.</w:t>
      </w:r>
    </w:p>
    <w:p w14:paraId="4726D1D4"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2. </w:t>
      </w:r>
      <w:r w:rsidRPr="00C93813">
        <w:rPr>
          <w:rFonts w:ascii="Calibri" w:eastAsia="宋体" w:hAnsi="Calibri" w:cs="Times New Roman"/>
          <w:sz w:val="24"/>
        </w:rPr>
        <w:t>文章整体的段落结构</w:t>
      </w:r>
      <w:r w:rsidRPr="00C93813">
        <w:rPr>
          <w:rFonts w:ascii="Calibri" w:eastAsia="宋体" w:hAnsi="Calibri" w:cs="Times New Roman" w:hint="eastAsia"/>
          <w:sz w:val="24"/>
        </w:rPr>
        <w:t>及文章深层次主题。</w:t>
      </w:r>
    </w:p>
    <w:p w14:paraId="374C7C92"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3. </w:t>
      </w:r>
      <w:r w:rsidRPr="00C93813">
        <w:rPr>
          <w:rFonts w:ascii="Calibri" w:eastAsia="宋体" w:hAnsi="Calibri" w:cs="Times New Roman" w:hint="eastAsia"/>
          <w:sz w:val="24"/>
        </w:rPr>
        <w:t>课文及练习中出现的长难句的翻译。</w:t>
      </w:r>
    </w:p>
    <w:p w14:paraId="0C53BC9E" w14:textId="77777777" w:rsidR="00C93813" w:rsidRPr="00C93813" w:rsidRDefault="00C93813" w:rsidP="00B23175">
      <w:pPr>
        <w:spacing w:line="360" w:lineRule="auto"/>
        <w:ind w:firstLineChars="200" w:firstLine="482"/>
        <w:rPr>
          <w:rFonts w:ascii="Calibri" w:eastAsia="宋体" w:hAnsi="Calibri" w:cs="Times New Roman"/>
          <w:sz w:val="24"/>
        </w:rPr>
      </w:pPr>
      <w:r w:rsidRPr="00C93813">
        <w:rPr>
          <w:rFonts w:ascii="Calibri" w:eastAsia="宋体" w:hAnsi="Calibri" w:cs="Times New Roman"/>
          <w:b/>
          <w:sz w:val="24"/>
        </w:rPr>
        <w:t>【难点】</w:t>
      </w:r>
    </w:p>
    <w:p w14:paraId="0377A922" w14:textId="77777777" w:rsidR="00C93813" w:rsidRPr="00C93813" w:rsidRDefault="00C93813" w:rsidP="00B23175">
      <w:pPr>
        <w:numPr>
          <w:ilvl w:val="0"/>
          <w:numId w:val="30"/>
        </w:num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课文</w:t>
      </w:r>
      <w:r w:rsidRPr="00C93813">
        <w:rPr>
          <w:rFonts w:ascii="Calibri" w:eastAsia="宋体" w:hAnsi="Calibri" w:cs="Times New Roman" w:hint="eastAsia"/>
          <w:sz w:val="24"/>
        </w:rPr>
        <w:t>所涉及</w:t>
      </w:r>
      <w:r w:rsidRPr="00C93813">
        <w:rPr>
          <w:rFonts w:ascii="Calibri" w:eastAsia="宋体" w:hAnsi="Calibri" w:cs="Times New Roman"/>
          <w:sz w:val="24"/>
        </w:rPr>
        <w:t>重点单词、短语和句型</w:t>
      </w:r>
      <w:r w:rsidRPr="00C93813">
        <w:rPr>
          <w:rFonts w:ascii="Calibri" w:eastAsia="宋体" w:hAnsi="Calibri" w:cs="Times New Roman" w:hint="eastAsia"/>
          <w:sz w:val="24"/>
        </w:rPr>
        <w:t>如：</w:t>
      </w:r>
      <w:r w:rsidRPr="00C93813">
        <w:rPr>
          <w:rFonts w:ascii="Calibri" w:eastAsia="宋体" w:hAnsi="Calibri" w:cs="Times New Roman"/>
          <w:sz w:val="24"/>
        </w:rPr>
        <w:t>get to one</w:t>
      </w:r>
      <w:proofErr w:type="gramStart"/>
      <w:r w:rsidRPr="00C93813">
        <w:rPr>
          <w:rFonts w:ascii="Calibri" w:eastAsia="宋体" w:hAnsi="Calibri" w:cs="Times New Roman"/>
          <w:sz w:val="24"/>
        </w:rPr>
        <w:t>’</w:t>
      </w:r>
      <w:proofErr w:type="gramEnd"/>
      <w:r w:rsidRPr="00C93813">
        <w:rPr>
          <w:rFonts w:ascii="Calibri" w:eastAsia="宋体" w:hAnsi="Calibri" w:cs="Times New Roman"/>
          <w:sz w:val="24"/>
        </w:rPr>
        <w:t>s feet</w:t>
      </w:r>
      <w:r w:rsidRPr="00C93813">
        <w:rPr>
          <w:rFonts w:ascii="Calibri" w:eastAsia="宋体" w:hAnsi="Calibri" w:cs="Times New Roman"/>
          <w:sz w:val="24"/>
        </w:rPr>
        <w:t>、</w:t>
      </w:r>
      <w:r w:rsidRPr="00C93813">
        <w:rPr>
          <w:rFonts w:ascii="Calibri" w:eastAsia="宋体" w:hAnsi="Calibri" w:cs="Times New Roman"/>
          <w:sz w:val="24"/>
        </w:rPr>
        <w:t>take the place of</w:t>
      </w:r>
      <w:r w:rsidRPr="00C93813">
        <w:rPr>
          <w:rFonts w:ascii="Calibri" w:eastAsia="宋体" w:hAnsi="Calibri" w:cs="Times New Roman" w:hint="eastAsia"/>
          <w:sz w:val="24"/>
        </w:rPr>
        <w:t xml:space="preserve"> </w:t>
      </w:r>
      <w:r w:rsidRPr="00C93813">
        <w:rPr>
          <w:rFonts w:ascii="Calibri" w:eastAsia="宋体" w:hAnsi="Calibri" w:cs="Times New Roman" w:hint="eastAsia"/>
          <w:sz w:val="24"/>
        </w:rPr>
        <w:t>等在文中的具体含义。</w:t>
      </w:r>
    </w:p>
    <w:p w14:paraId="20A02584" w14:textId="77777777" w:rsidR="00C93813" w:rsidRPr="00C93813" w:rsidRDefault="00C93813" w:rsidP="00B23175">
      <w:pPr>
        <w:numPr>
          <w:ilvl w:val="0"/>
          <w:numId w:val="30"/>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语法：虚拟语气</w:t>
      </w:r>
    </w:p>
    <w:p w14:paraId="3ACBFA37" w14:textId="77777777" w:rsidR="00C93813" w:rsidRPr="00C93813" w:rsidRDefault="00C93813" w:rsidP="00B23175">
      <w:pPr>
        <w:numPr>
          <w:ilvl w:val="0"/>
          <w:numId w:val="30"/>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翻译的标准。</w:t>
      </w:r>
    </w:p>
    <w:p w14:paraId="3E4AF1D6" w14:textId="77777777" w:rsidR="00C93813" w:rsidRPr="00C93813" w:rsidRDefault="00C93813" w:rsidP="00B23175">
      <w:pPr>
        <w:spacing w:line="360" w:lineRule="auto"/>
        <w:ind w:firstLineChars="200" w:firstLine="482"/>
        <w:rPr>
          <w:rFonts w:ascii="Calibri" w:eastAsia="宋体" w:hAnsi="Calibri" w:cs="Times New Roman"/>
          <w:sz w:val="24"/>
        </w:rPr>
      </w:pPr>
      <w:r w:rsidRPr="00C93813">
        <w:rPr>
          <w:rFonts w:ascii="Calibri" w:eastAsia="宋体" w:hAnsi="Calibri" w:cs="Times New Roman"/>
          <w:b/>
          <w:bCs/>
          <w:sz w:val="24"/>
        </w:rPr>
        <w:t>【教学方法】</w:t>
      </w:r>
    </w:p>
    <w:p w14:paraId="5C2C811F" w14:textId="77777777" w:rsidR="00C93813" w:rsidRPr="00C93813" w:rsidRDefault="00C93813" w:rsidP="00B23175">
      <w:pPr>
        <w:numPr>
          <w:ilvl w:val="0"/>
          <w:numId w:val="31"/>
        </w:numPr>
        <w:spacing w:line="360" w:lineRule="auto"/>
        <w:ind w:firstLineChars="200" w:firstLine="480"/>
        <w:rPr>
          <w:rFonts w:ascii="Calibri" w:eastAsia="宋体" w:hAnsi="Calibri" w:cs="Times New Roman"/>
          <w:sz w:val="24"/>
        </w:rPr>
      </w:pPr>
      <w:bookmarkStart w:id="49" w:name="OLE_LINK15"/>
      <w:r w:rsidRPr="00C93813">
        <w:rPr>
          <w:rFonts w:ascii="Calibri" w:eastAsia="宋体" w:hAnsi="Calibri" w:cs="Times New Roman" w:hint="eastAsia"/>
          <w:sz w:val="24"/>
        </w:rPr>
        <w:t>讨论法：导入环节引导学生进行关于爱和牺牲的讨论，让学生表达自己对家庭和亲人的爱，思考教师对学生的爱。通过课文主题讨论等</w:t>
      </w:r>
      <w:r w:rsidRPr="00C93813">
        <w:rPr>
          <w:rFonts w:ascii="Calibri" w:eastAsia="宋体" w:hAnsi="Calibri" w:cs="Times New Roman"/>
          <w:sz w:val="24"/>
        </w:rPr>
        <w:t>，</w:t>
      </w:r>
      <w:r w:rsidRPr="00C93813">
        <w:rPr>
          <w:rFonts w:ascii="Calibri" w:eastAsia="宋体" w:hAnsi="Calibri" w:cs="Times New Roman" w:hint="eastAsia"/>
          <w:sz w:val="24"/>
        </w:rPr>
        <w:t>了解爱对自己和他人</w:t>
      </w:r>
      <w:r w:rsidRPr="00C93813">
        <w:rPr>
          <w:rFonts w:ascii="Calibri" w:eastAsia="宋体" w:hAnsi="Calibri" w:cs="Times New Roman"/>
          <w:sz w:val="24"/>
        </w:rPr>
        <w:t>的重要性，</w:t>
      </w:r>
      <w:r w:rsidRPr="00C93813">
        <w:rPr>
          <w:rFonts w:ascii="Calibri" w:eastAsia="宋体" w:hAnsi="Calibri" w:cs="Times New Roman" w:hint="eastAsia"/>
          <w:sz w:val="24"/>
        </w:rPr>
        <w:t>同时培养学生的团队协作及沟通能力。</w:t>
      </w:r>
    </w:p>
    <w:p w14:paraId="32626F0F" w14:textId="77777777" w:rsidR="00C93813" w:rsidRPr="00C93813" w:rsidRDefault="00C93813" w:rsidP="00B23175">
      <w:pPr>
        <w:numPr>
          <w:ilvl w:val="0"/>
          <w:numId w:val="31"/>
        </w:numPr>
        <w:spacing w:line="360" w:lineRule="auto"/>
        <w:ind w:firstLineChars="200" w:firstLine="480"/>
        <w:rPr>
          <w:rFonts w:ascii="Calibri" w:eastAsia="宋体" w:hAnsi="Calibri" w:cs="Times New Roman"/>
          <w:bCs/>
          <w:sz w:val="24"/>
        </w:rPr>
      </w:pPr>
      <w:r w:rsidRPr="00C93813">
        <w:rPr>
          <w:rFonts w:ascii="Calibri" w:eastAsia="宋体" w:hAnsi="Calibri" w:cs="Times New Roman" w:hint="eastAsia"/>
          <w:bCs/>
          <w:sz w:val="24"/>
        </w:rPr>
        <w:t>讲授法：</w:t>
      </w:r>
      <w:r w:rsidRPr="00C93813">
        <w:rPr>
          <w:rFonts w:ascii="Calibri" w:eastAsia="宋体" w:hAnsi="Calibri" w:cs="Times New Roman"/>
          <w:bCs/>
          <w:sz w:val="24"/>
        </w:rPr>
        <w:t>通过课堂</w:t>
      </w:r>
      <w:r w:rsidRPr="00C93813">
        <w:rPr>
          <w:rFonts w:ascii="Calibri" w:eastAsia="宋体" w:hAnsi="Calibri" w:cs="Times New Roman" w:hint="eastAsia"/>
          <w:bCs/>
          <w:sz w:val="24"/>
        </w:rPr>
        <w:t>教师讲授等完成对</w:t>
      </w:r>
      <w:r w:rsidRPr="00C93813">
        <w:rPr>
          <w:rFonts w:ascii="Calibri" w:eastAsia="宋体" w:hAnsi="Calibri" w:cs="Times New Roman"/>
          <w:bCs/>
          <w:sz w:val="24"/>
        </w:rPr>
        <w:t>课文</w:t>
      </w:r>
      <w:r w:rsidRPr="00C93813">
        <w:rPr>
          <w:rFonts w:ascii="Calibri" w:eastAsia="宋体" w:hAnsi="Calibri" w:cs="Times New Roman" w:hint="eastAsia"/>
          <w:bCs/>
          <w:sz w:val="24"/>
        </w:rPr>
        <w:t>的分析与学习</w:t>
      </w:r>
      <w:r w:rsidRPr="00C93813">
        <w:rPr>
          <w:rFonts w:ascii="Calibri" w:eastAsia="宋体" w:hAnsi="Calibri" w:cs="Times New Roman"/>
          <w:bCs/>
          <w:sz w:val="24"/>
        </w:rPr>
        <w:t>，</w:t>
      </w:r>
      <w:r w:rsidRPr="00C93813">
        <w:rPr>
          <w:rFonts w:ascii="Calibri" w:eastAsia="宋体" w:hAnsi="Calibri" w:cs="Times New Roman" w:hint="eastAsia"/>
          <w:bCs/>
          <w:sz w:val="24"/>
        </w:rPr>
        <w:t>掌握本课中所出现的重点词汇和短语并学会灵活使用，</w:t>
      </w:r>
      <w:r w:rsidRPr="00C93813">
        <w:rPr>
          <w:rFonts w:ascii="Calibri" w:eastAsia="宋体" w:hAnsi="Calibri" w:cs="Times New Roman"/>
          <w:bCs/>
          <w:sz w:val="24"/>
        </w:rPr>
        <w:t>促进学生的思考能力和口语表达能力</w:t>
      </w:r>
      <w:r w:rsidRPr="00C93813">
        <w:rPr>
          <w:rFonts w:ascii="Calibri" w:eastAsia="宋体" w:hAnsi="Calibri" w:cs="Times New Roman" w:hint="eastAsia"/>
          <w:bCs/>
          <w:sz w:val="24"/>
        </w:rPr>
        <w:t>。</w:t>
      </w:r>
    </w:p>
    <w:p w14:paraId="054B6267" w14:textId="77777777" w:rsidR="00C93813" w:rsidRPr="00C93813" w:rsidRDefault="00C93813" w:rsidP="00B23175">
      <w:pPr>
        <w:numPr>
          <w:ilvl w:val="0"/>
          <w:numId w:val="31"/>
        </w:numPr>
        <w:spacing w:line="360" w:lineRule="auto"/>
        <w:ind w:firstLineChars="200" w:firstLine="480"/>
        <w:rPr>
          <w:rFonts w:ascii="Calibri" w:eastAsia="宋体" w:hAnsi="Calibri" w:cs="Times New Roman"/>
          <w:bCs/>
          <w:sz w:val="24"/>
        </w:rPr>
      </w:pPr>
      <w:r w:rsidRPr="00C93813">
        <w:rPr>
          <w:rFonts w:ascii="Calibri" w:eastAsia="宋体" w:hAnsi="Calibri" w:cs="Times New Roman" w:hint="eastAsia"/>
          <w:sz w:val="24"/>
        </w:rPr>
        <w:t>任务型教学法：</w:t>
      </w:r>
      <w:r w:rsidRPr="00C93813">
        <w:rPr>
          <w:rFonts w:ascii="Calibri" w:eastAsia="宋体" w:hAnsi="Calibri" w:cs="Times New Roman" w:hint="eastAsia"/>
          <w:bCs/>
          <w:sz w:val="24"/>
        </w:rPr>
        <w:t>根据教学进度给学生</w:t>
      </w:r>
      <w:proofErr w:type="gramStart"/>
      <w:r w:rsidRPr="00C93813">
        <w:rPr>
          <w:rFonts w:ascii="Calibri" w:eastAsia="宋体" w:hAnsi="Calibri" w:cs="Times New Roman" w:hint="eastAsia"/>
          <w:bCs/>
          <w:sz w:val="24"/>
        </w:rPr>
        <w:t>布置线</w:t>
      </w:r>
      <w:proofErr w:type="gramEnd"/>
      <w:r w:rsidRPr="00C93813">
        <w:rPr>
          <w:rFonts w:ascii="Calibri" w:eastAsia="宋体" w:hAnsi="Calibri" w:cs="Times New Roman" w:hint="eastAsia"/>
          <w:bCs/>
          <w:sz w:val="24"/>
        </w:rPr>
        <w:t>上作业和听力任务</w:t>
      </w:r>
      <w:r w:rsidRPr="00C93813">
        <w:rPr>
          <w:rFonts w:ascii="Calibri" w:eastAsia="宋体" w:hAnsi="Calibri" w:cs="Times New Roman" w:hint="eastAsia"/>
          <w:sz w:val="24"/>
        </w:rPr>
        <w:t>，并在线监控学</w:t>
      </w:r>
      <w:r w:rsidRPr="00C93813">
        <w:rPr>
          <w:rFonts w:ascii="Calibri" w:eastAsia="宋体" w:hAnsi="Calibri" w:cs="Times New Roman" w:hint="eastAsia"/>
          <w:sz w:val="24"/>
        </w:rPr>
        <w:lastRenderedPageBreak/>
        <w:t>生线上进行</w:t>
      </w:r>
      <w:r w:rsidRPr="00C93813">
        <w:rPr>
          <w:rFonts w:ascii="Calibri" w:eastAsia="宋体" w:hAnsi="Calibri" w:cs="Times New Roman"/>
          <w:bCs/>
          <w:sz w:val="24"/>
        </w:rPr>
        <w:t>预习</w:t>
      </w:r>
      <w:r w:rsidRPr="00C93813">
        <w:rPr>
          <w:rFonts w:ascii="Calibri" w:eastAsia="宋体" w:hAnsi="Calibri" w:cs="Times New Roman" w:hint="eastAsia"/>
          <w:bCs/>
          <w:sz w:val="24"/>
        </w:rPr>
        <w:t>、复习和听力练习等情况，</w:t>
      </w:r>
      <w:r w:rsidRPr="00C93813">
        <w:rPr>
          <w:rFonts w:ascii="Calibri" w:eastAsia="宋体" w:hAnsi="Calibri" w:cs="Times New Roman"/>
          <w:bCs/>
          <w:sz w:val="24"/>
        </w:rPr>
        <w:t>培养学生</w:t>
      </w:r>
      <w:r w:rsidRPr="00C93813">
        <w:rPr>
          <w:rFonts w:ascii="Calibri" w:eastAsia="宋体" w:hAnsi="Calibri" w:cs="Times New Roman" w:hint="eastAsia"/>
          <w:bCs/>
          <w:sz w:val="24"/>
        </w:rPr>
        <w:t>的自主学习能力。</w:t>
      </w:r>
      <w:bookmarkEnd w:id="49"/>
    </w:p>
    <w:p w14:paraId="380AB5A0" w14:textId="77777777" w:rsidR="00C93813" w:rsidRPr="00C93813" w:rsidRDefault="00C93813" w:rsidP="00B23175">
      <w:pPr>
        <w:spacing w:line="360" w:lineRule="auto"/>
        <w:ind w:firstLineChars="200" w:firstLine="482"/>
        <w:rPr>
          <w:rFonts w:ascii="Calibri" w:eastAsia="宋体" w:hAnsi="Calibri" w:cs="Times New Roman"/>
          <w:bCs/>
          <w:sz w:val="24"/>
        </w:rPr>
      </w:pPr>
      <w:r w:rsidRPr="00C93813">
        <w:rPr>
          <w:rFonts w:ascii="Calibri" w:eastAsia="宋体" w:hAnsi="Calibri" w:cs="Times New Roman"/>
          <w:b/>
          <w:sz w:val="24"/>
        </w:rPr>
        <w:t>【复习思考】</w:t>
      </w:r>
    </w:p>
    <w:p w14:paraId="0DE69B69" w14:textId="77777777" w:rsidR="00C93813" w:rsidRPr="00C93813" w:rsidRDefault="00C93813" w:rsidP="00B23175">
      <w:pPr>
        <w:numPr>
          <w:ilvl w:val="0"/>
          <w:numId w:val="32"/>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完成线上单元测验。</w:t>
      </w:r>
    </w:p>
    <w:p w14:paraId="62E4CE47" w14:textId="77777777" w:rsidR="00C93813" w:rsidRPr="00C93813" w:rsidRDefault="00C93813" w:rsidP="00B23175">
      <w:pPr>
        <w:numPr>
          <w:ilvl w:val="0"/>
          <w:numId w:val="32"/>
        </w:numPr>
        <w:spacing w:line="360" w:lineRule="auto"/>
        <w:ind w:firstLineChars="200" w:firstLine="480"/>
        <w:rPr>
          <w:rFonts w:ascii="Calibri" w:eastAsia="宋体" w:hAnsi="Calibri" w:cs="Times New Roman"/>
          <w:sz w:val="28"/>
          <w:szCs w:val="28"/>
        </w:rPr>
      </w:pPr>
      <w:r w:rsidRPr="00C93813">
        <w:rPr>
          <w:rFonts w:ascii="Calibri" w:eastAsia="宋体" w:hAnsi="Calibri" w:cs="Times New Roman" w:hint="eastAsia"/>
          <w:sz w:val="24"/>
        </w:rPr>
        <w:t>通过课文的学习，针对爱与牺牲的关系展开讨论，引导学生重新审视个人与家庭的关系，家庭与国家的关系，了解维护家庭稳定性的作用，感受家庭爱的主题。</w:t>
      </w:r>
      <w:bookmarkEnd w:id="47"/>
      <w:bookmarkEnd w:id="48"/>
    </w:p>
    <w:p w14:paraId="7ECA7067" w14:textId="77777777" w:rsidR="00C93813" w:rsidRPr="00C93813" w:rsidRDefault="00C93813" w:rsidP="00B23175">
      <w:pPr>
        <w:spacing w:beforeLines="50" w:before="156" w:afterLines="50" w:after="156" w:line="360" w:lineRule="auto"/>
        <w:ind w:firstLineChars="200" w:firstLine="562"/>
        <w:jc w:val="center"/>
        <w:rPr>
          <w:rFonts w:ascii="Calibri" w:eastAsia="黑体" w:hAnsi="Calibri" w:cs="Times New Roman"/>
          <w:b/>
          <w:bCs/>
          <w:sz w:val="28"/>
          <w:szCs w:val="28"/>
        </w:rPr>
      </w:pPr>
      <w:r w:rsidRPr="00C93813">
        <w:rPr>
          <w:rFonts w:ascii="Calibri" w:eastAsia="宋体" w:hAnsi="Calibri" w:cs="Times New Roman"/>
          <w:b/>
          <w:bCs/>
          <w:sz w:val="28"/>
          <w:szCs w:val="28"/>
        </w:rPr>
        <w:t xml:space="preserve">Unit </w:t>
      </w:r>
      <w:proofErr w:type="gramStart"/>
      <w:r w:rsidRPr="00C93813">
        <w:rPr>
          <w:rFonts w:ascii="Calibri" w:eastAsia="宋体" w:hAnsi="Calibri" w:cs="Times New Roman" w:hint="eastAsia"/>
          <w:b/>
          <w:bCs/>
          <w:sz w:val="28"/>
          <w:szCs w:val="28"/>
        </w:rPr>
        <w:t xml:space="preserve">4  </w:t>
      </w:r>
      <w:r w:rsidRPr="00C93813">
        <w:rPr>
          <w:rFonts w:ascii="Calibri" w:eastAsia="黑体" w:hAnsi="Calibri" w:cs="Times New Roman" w:hint="eastAsia"/>
          <w:b/>
          <w:bCs/>
          <w:sz w:val="28"/>
          <w:szCs w:val="28"/>
        </w:rPr>
        <w:t>Fashion</w:t>
      </w:r>
      <w:proofErr w:type="gramEnd"/>
      <w:r w:rsidRPr="00C93813">
        <w:rPr>
          <w:rFonts w:ascii="Calibri" w:eastAsia="黑体" w:hAnsi="Calibri" w:cs="Times New Roman" w:hint="eastAsia"/>
          <w:b/>
          <w:bCs/>
          <w:sz w:val="28"/>
          <w:szCs w:val="28"/>
        </w:rPr>
        <w:t xml:space="preserve"> and Standard of Beauty</w:t>
      </w:r>
    </w:p>
    <w:p w14:paraId="37470DDD" w14:textId="77777777" w:rsidR="00C93813" w:rsidRPr="00C93813" w:rsidRDefault="00C93813" w:rsidP="00B23175">
      <w:pPr>
        <w:spacing w:line="360" w:lineRule="auto"/>
        <w:ind w:firstLineChars="200" w:firstLine="482"/>
        <w:rPr>
          <w:rFonts w:ascii="宋体" w:eastAsia="宋体" w:hAnsi="宋体" w:cs="Times New Roman"/>
          <w:b/>
          <w:sz w:val="24"/>
        </w:rPr>
      </w:pPr>
      <w:r w:rsidRPr="00C93813">
        <w:rPr>
          <w:rFonts w:ascii="宋体" w:eastAsia="宋体" w:hAnsi="宋体" w:cs="Times New Roman"/>
          <w:b/>
          <w:sz w:val="24"/>
        </w:rPr>
        <w:t>【学习目标】</w:t>
      </w:r>
    </w:p>
    <w:p w14:paraId="3BEBA73C"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1. </w:t>
      </w:r>
      <w:r w:rsidRPr="00C93813">
        <w:rPr>
          <w:rFonts w:ascii="Calibri" w:eastAsia="宋体" w:hAnsi="Calibri" w:cs="Times New Roman"/>
          <w:sz w:val="24"/>
        </w:rPr>
        <w:t>认知类目标：通过本单元主题</w:t>
      </w:r>
      <w:r w:rsidRPr="00C93813">
        <w:rPr>
          <w:rFonts w:ascii="Calibri" w:eastAsia="宋体" w:hAnsi="Calibri" w:cs="Times New Roman"/>
          <w:sz w:val="24"/>
        </w:rPr>
        <w:t xml:space="preserve"> Fashion and Standard of Beauty</w:t>
      </w:r>
      <w:r w:rsidRPr="00C93813">
        <w:rPr>
          <w:rFonts w:ascii="Calibri" w:eastAsia="宋体" w:hAnsi="Calibri" w:cs="Times New Roman"/>
          <w:sz w:val="24"/>
        </w:rPr>
        <w:t>的学习，掌握并能熟练应用本单元中</w:t>
      </w:r>
      <w:proofErr w:type="gramStart"/>
      <w:r w:rsidRPr="00C93813">
        <w:rPr>
          <w:rFonts w:ascii="Calibri" w:eastAsia="宋体" w:hAnsi="Calibri" w:cs="Times New Roman"/>
          <w:sz w:val="24"/>
        </w:rPr>
        <w:t>探讨美</w:t>
      </w:r>
      <w:proofErr w:type="gramEnd"/>
      <w:r w:rsidRPr="00C93813">
        <w:rPr>
          <w:rFonts w:ascii="Calibri" w:eastAsia="宋体" w:hAnsi="Calibri" w:cs="Times New Roman"/>
          <w:sz w:val="24"/>
        </w:rPr>
        <w:t>的标准的重点词汇、短语和句型。</w:t>
      </w:r>
      <w:r w:rsidRPr="00C93813">
        <w:rPr>
          <w:rFonts w:ascii="Calibri" w:eastAsia="宋体" w:hAnsi="Calibri" w:cs="Times New Roman"/>
          <w:sz w:val="24"/>
        </w:rPr>
        <w:t xml:space="preserve"> </w:t>
      </w:r>
    </w:p>
    <w:p w14:paraId="5A7B7B5E"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2. </w:t>
      </w:r>
      <w:r w:rsidRPr="00C93813">
        <w:rPr>
          <w:rFonts w:ascii="Calibri" w:eastAsia="宋体" w:hAnsi="Calibri" w:cs="Times New Roman"/>
          <w:sz w:val="24"/>
        </w:rPr>
        <w:t>过程与方法类目标：学生在阅读过程中，</w:t>
      </w:r>
      <w:r w:rsidRPr="00C93813">
        <w:rPr>
          <w:rFonts w:ascii="Calibri" w:eastAsia="宋体" w:hAnsi="Calibri" w:cs="Times New Roman" w:hint="eastAsia"/>
          <w:sz w:val="24"/>
        </w:rPr>
        <w:t>能够</w:t>
      </w:r>
      <w:r w:rsidRPr="00C93813">
        <w:rPr>
          <w:rFonts w:ascii="Calibri" w:eastAsia="宋体" w:hAnsi="Calibri" w:cs="Times New Roman"/>
          <w:sz w:val="24"/>
        </w:rPr>
        <w:t>快速准确找到文章主旨，识别作者观点，并且能够从篇章层面上把握文章的结构，以及作者使用的连贯和衔接手段；在学习听力过程中，学会识别同位语，学会识别新闻、对话和篇章中的细节信息，并能以此做出推理和判断说话人的意图；学生</w:t>
      </w:r>
      <w:r w:rsidRPr="00C93813">
        <w:rPr>
          <w:rFonts w:ascii="Calibri" w:eastAsia="宋体" w:hAnsi="Calibri" w:cs="Times New Roman" w:hint="eastAsia"/>
          <w:sz w:val="24"/>
        </w:rPr>
        <w:t>能够</w:t>
      </w:r>
      <w:r w:rsidRPr="00C93813">
        <w:rPr>
          <w:rFonts w:ascii="Calibri" w:eastAsia="宋体" w:hAnsi="Calibri" w:cs="Times New Roman"/>
          <w:sz w:val="24"/>
        </w:rPr>
        <w:t>使用数据库及搜索引擎库等研究相关词汇、语法等语言规律，培养学生自主学习的能力。</w:t>
      </w:r>
    </w:p>
    <w:p w14:paraId="4E38A56E"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3. </w:t>
      </w:r>
      <w:r w:rsidRPr="00C93813">
        <w:rPr>
          <w:rFonts w:ascii="Calibri" w:eastAsia="宋体" w:hAnsi="Calibri" w:cs="Times New Roman"/>
          <w:sz w:val="24"/>
        </w:rPr>
        <w:t>情感、态度、价值观类目标：学生</w:t>
      </w:r>
      <w:r w:rsidRPr="00C93813">
        <w:rPr>
          <w:rFonts w:ascii="Calibri" w:eastAsia="宋体" w:hAnsi="Calibri" w:cs="Times New Roman" w:hint="eastAsia"/>
          <w:sz w:val="24"/>
        </w:rPr>
        <w:t>应</w:t>
      </w:r>
      <w:r w:rsidRPr="00C93813">
        <w:rPr>
          <w:rFonts w:ascii="Calibri" w:eastAsia="宋体" w:hAnsi="Calibri" w:cs="Times New Roman"/>
          <w:sz w:val="24"/>
        </w:rPr>
        <w:t>对美的多样性进行思考，同时了解不同时期人类对美的追求的侧重点，进而树立正确的审美观念，注重内在美并尊重不同国家不同背景文化下的美的思想，培养学生开放性思维和对不同文化的接纳能力。</w:t>
      </w:r>
    </w:p>
    <w:p w14:paraId="6E2F5675" w14:textId="77777777" w:rsidR="00C93813" w:rsidRPr="00C93813" w:rsidRDefault="00C93813" w:rsidP="00B23175">
      <w:pPr>
        <w:spacing w:line="360" w:lineRule="auto"/>
        <w:ind w:firstLineChars="200" w:firstLine="482"/>
        <w:rPr>
          <w:rFonts w:ascii="宋体" w:eastAsia="宋体" w:hAnsi="宋体" w:cs="Times New Roman"/>
          <w:b/>
          <w:sz w:val="24"/>
        </w:rPr>
      </w:pPr>
      <w:r w:rsidRPr="00C93813">
        <w:rPr>
          <w:rFonts w:ascii="宋体" w:eastAsia="宋体" w:hAnsi="宋体" w:cs="Times New Roman"/>
          <w:b/>
          <w:sz w:val="24"/>
        </w:rPr>
        <w:t>【学习内容】</w:t>
      </w:r>
    </w:p>
    <w:p w14:paraId="2914BD1E" w14:textId="77777777" w:rsidR="00C93813" w:rsidRPr="00C93813" w:rsidRDefault="00C93813" w:rsidP="00B23175">
      <w:pPr>
        <w:spacing w:line="360" w:lineRule="auto"/>
        <w:ind w:firstLineChars="200" w:firstLine="480"/>
        <w:rPr>
          <w:rFonts w:ascii="Calibri" w:eastAsia="宋体" w:hAnsi="Calibri" w:cs="Times New Roman"/>
          <w:bCs/>
          <w:sz w:val="24"/>
        </w:rPr>
      </w:pPr>
      <w:r w:rsidRPr="00C93813">
        <w:rPr>
          <w:rFonts w:ascii="Calibri" w:eastAsia="宋体" w:hAnsi="Calibri" w:cs="Times New Roman"/>
          <w:bCs/>
          <w:sz w:val="24"/>
        </w:rPr>
        <w:t>1.</w:t>
      </w:r>
      <w:r w:rsidRPr="00C93813">
        <w:rPr>
          <w:rFonts w:ascii="Calibri" w:eastAsia="宋体" w:hAnsi="Calibri" w:cs="Times New Roman"/>
          <w:bCs/>
          <w:sz w:val="24"/>
        </w:rPr>
        <w:t>通过对本单元主题</w:t>
      </w:r>
      <w:r w:rsidRPr="00C93813">
        <w:rPr>
          <w:rFonts w:ascii="Calibri" w:eastAsia="宋体" w:hAnsi="Calibri" w:cs="Times New Roman"/>
          <w:bCs/>
          <w:sz w:val="24"/>
        </w:rPr>
        <w:t>Fashion and</w:t>
      </w:r>
      <w:r w:rsidRPr="00C93813">
        <w:rPr>
          <w:rFonts w:ascii="Calibri" w:eastAsia="宋体" w:hAnsi="Calibri" w:cs="Times New Roman"/>
          <w:bCs/>
        </w:rPr>
        <w:t xml:space="preserve"> </w:t>
      </w:r>
      <w:r w:rsidRPr="00C93813">
        <w:rPr>
          <w:rFonts w:ascii="Calibri" w:eastAsia="宋体" w:hAnsi="Calibri" w:cs="Times New Roman"/>
          <w:bCs/>
          <w:sz w:val="24"/>
        </w:rPr>
        <w:t>Standard of Beauty</w:t>
      </w:r>
      <w:r w:rsidRPr="00C93813">
        <w:rPr>
          <w:rFonts w:ascii="Calibri" w:eastAsia="宋体" w:hAnsi="Calibri" w:cs="Times New Roman"/>
          <w:bCs/>
          <w:sz w:val="24"/>
        </w:rPr>
        <w:t>相关的背景知识的讲解，引导学生讨论</w:t>
      </w:r>
      <w:r w:rsidRPr="00C93813">
        <w:rPr>
          <w:rFonts w:ascii="Calibri" w:eastAsia="宋体" w:hAnsi="Calibri" w:cs="Times New Roman"/>
          <w:bCs/>
          <w:sz w:val="24"/>
        </w:rPr>
        <w:t>“What is your standard of beauty?”</w:t>
      </w:r>
      <w:r w:rsidRPr="00C93813">
        <w:rPr>
          <w:rFonts w:ascii="Calibri" w:eastAsia="宋体" w:hAnsi="Calibri" w:cs="Times New Roman"/>
          <w:bCs/>
          <w:sz w:val="24"/>
        </w:rPr>
        <w:t>。</w:t>
      </w:r>
    </w:p>
    <w:p w14:paraId="1BA7F00F" w14:textId="77777777" w:rsidR="00C93813" w:rsidRPr="00C93813" w:rsidRDefault="00C93813" w:rsidP="00B23175">
      <w:pPr>
        <w:spacing w:line="360" w:lineRule="auto"/>
        <w:ind w:firstLineChars="200" w:firstLine="480"/>
        <w:rPr>
          <w:rFonts w:ascii="Calibri" w:eastAsia="宋体" w:hAnsi="Calibri" w:cs="Times New Roman"/>
          <w:bCs/>
          <w:sz w:val="24"/>
        </w:rPr>
      </w:pPr>
      <w:r w:rsidRPr="00C93813">
        <w:rPr>
          <w:rFonts w:ascii="Calibri" w:eastAsia="宋体" w:hAnsi="Calibri" w:cs="Times New Roman"/>
          <w:bCs/>
          <w:sz w:val="24"/>
        </w:rPr>
        <w:t>2.</w:t>
      </w:r>
      <w:r w:rsidRPr="00C93813">
        <w:rPr>
          <w:rFonts w:ascii="Calibri" w:eastAsia="宋体" w:hAnsi="Calibri" w:cs="Times New Roman"/>
          <w:bCs/>
          <w:sz w:val="24"/>
        </w:rPr>
        <w:t>详细讲解</w:t>
      </w:r>
      <w:r w:rsidRPr="00C93813">
        <w:rPr>
          <w:rFonts w:ascii="Calibri" w:eastAsia="宋体" w:hAnsi="Calibri" w:cs="Times New Roman"/>
          <w:bCs/>
          <w:sz w:val="24"/>
        </w:rPr>
        <w:t xml:space="preserve">Text A </w:t>
      </w:r>
      <w:r w:rsidRPr="00C93813">
        <w:rPr>
          <w:rFonts w:ascii="Calibri" w:eastAsia="宋体" w:hAnsi="Calibri" w:cs="Times New Roman"/>
          <w:bCs/>
          <w:i/>
          <w:iCs/>
          <w:sz w:val="24"/>
        </w:rPr>
        <w:t>Chicken-Hips</w:t>
      </w:r>
      <w:r w:rsidRPr="00C93813">
        <w:rPr>
          <w:rFonts w:ascii="Calibri" w:eastAsia="宋体" w:hAnsi="Calibri" w:cs="Times New Roman"/>
          <w:bCs/>
          <w:sz w:val="24"/>
        </w:rPr>
        <w:t>课文以及文章中重点单词和短语的用法；</w:t>
      </w:r>
      <w:r w:rsidRPr="00C93813">
        <w:rPr>
          <w:rFonts w:ascii="Calibri" w:eastAsia="宋体" w:hAnsi="Calibri" w:cs="Times New Roman"/>
          <w:bCs/>
          <w:sz w:val="24"/>
        </w:rPr>
        <w:t>Text A</w:t>
      </w:r>
      <w:r w:rsidRPr="00C93813">
        <w:rPr>
          <w:rFonts w:ascii="Calibri" w:eastAsia="宋体" w:hAnsi="Calibri" w:cs="Times New Roman"/>
          <w:bCs/>
          <w:sz w:val="24"/>
        </w:rPr>
        <w:t>有关的课文结构分析，重点难点讲解。</w:t>
      </w:r>
    </w:p>
    <w:p w14:paraId="14B11FDB" w14:textId="77777777" w:rsidR="00C93813" w:rsidRPr="00C93813" w:rsidRDefault="00C93813" w:rsidP="00B23175">
      <w:pPr>
        <w:spacing w:line="360" w:lineRule="auto"/>
        <w:ind w:firstLineChars="200" w:firstLine="480"/>
        <w:rPr>
          <w:rFonts w:ascii="Calibri" w:eastAsia="宋体" w:hAnsi="Calibri" w:cs="Times New Roman"/>
          <w:bCs/>
          <w:sz w:val="24"/>
        </w:rPr>
      </w:pPr>
      <w:r w:rsidRPr="00C93813">
        <w:rPr>
          <w:rFonts w:ascii="Calibri" w:eastAsia="宋体" w:hAnsi="Calibri" w:cs="Times New Roman"/>
          <w:bCs/>
          <w:sz w:val="24"/>
        </w:rPr>
        <w:t xml:space="preserve">3. </w:t>
      </w:r>
      <w:r w:rsidRPr="00C93813">
        <w:rPr>
          <w:rFonts w:ascii="Calibri" w:eastAsia="宋体" w:hAnsi="Calibri" w:cs="Times New Roman"/>
          <w:bCs/>
          <w:sz w:val="24"/>
        </w:rPr>
        <w:t>通过快速阅读的方式学习</w:t>
      </w:r>
      <w:r w:rsidRPr="00C93813">
        <w:rPr>
          <w:rFonts w:ascii="Calibri" w:eastAsia="宋体" w:hAnsi="Calibri" w:cs="Times New Roman"/>
          <w:bCs/>
          <w:sz w:val="24"/>
        </w:rPr>
        <w:t xml:space="preserve">Text B </w:t>
      </w:r>
      <w:r w:rsidRPr="00C93813">
        <w:rPr>
          <w:rFonts w:ascii="Calibri" w:eastAsia="宋体" w:hAnsi="Calibri" w:cs="Times New Roman"/>
          <w:bCs/>
          <w:i/>
          <w:iCs/>
          <w:sz w:val="24"/>
        </w:rPr>
        <w:t>The Search for Beauty</w:t>
      </w:r>
      <w:r w:rsidRPr="00C93813">
        <w:rPr>
          <w:rFonts w:ascii="Calibri" w:eastAsia="宋体" w:hAnsi="Calibri" w:cs="Times New Roman"/>
          <w:bCs/>
          <w:sz w:val="24"/>
        </w:rPr>
        <w:t xml:space="preserve"> ,</w:t>
      </w:r>
      <w:r w:rsidRPr="00C93813">
        <w:rPr>
          <w:rFonts w:ascii="Calibri" w:eastAsia="宋体" w:hAnsi="Calibri" w:cs="Times New Roman"/>
          <w:bCs/>
          <w:sz w:val="24"/>
        </w:rPr>
        <w:t>了解文章结构，把握文章主题，掌握主题相关词汇。</w:t>
      </w:r>
    </w:p>
    <w:p w14:paraId="6A1FD512" w14:textId="77777777" w:rsidR="00C93813" w:rsidRPr="00C93813" w:rsidRDefault="00C93813" w:rsidP="00B23175">
      <w:pPr>
        <w:spacing w:line="360" w:lineRule="auto"/>
        <w:ind w:firstLineChars="200" w:firstLine="480"/>
        <w:rPr>
          <w:rFonts w:ascii="Calibri" w:eastAsia="宋体" w:hAnsi="Calibri" w:cs="Times New Roman"/>
          <w:bCs/>
          <w:sz w:val="24"/>
        </w:rPr>
      </w:pPr>
      <w:r w:rsidRPr="00C93813">
        <w:rPr>
          <w:rFonts w:ascii="Calibri" w:eastAsia="宋体" w:hAnsi="Calibri" w:cs="Times New Roman"/>
          <w:bCs/>
          <w:sz w:val="24"/>
        </w:rPr>
        <w:t xml:space="preserve">4. </w:t>
      </w:r>
      <w:r w:rsidRPr="00C93813">
        <w:rPr>
          <w:rFonts w:ascii="Calibri" w:eastAsia="宋体" w:hAnsi="Calibri" w:cs="Times New Roman"/>
          <w:bCs/>
          <w:sz w:val="24"/>
        </w:rPr>
        <w:t>线上完成练习题讲解</w:t>
      </w:r>
      <w:proofErr w:type="gramStart"/>
      <w:r w:rsidRPr="00C93813">
        <w:rPr>
          <w:rFonts w:ascii="Calibri" w:eastAsia="宋体" w:hAnsi="Calibri" w:cs="Times New Roman"/>
          <w:bCs/>
          <w:sz w:val="24"/>
        </w:rPr>
        <w:t>的录课视频</w:t>
      </w:r>
      <w:proofErr w:type="gramEnd"/>
      <w:r w:rsidRPr="00C93813">
        <w:rPr>
          <w:rFonts w:ascii="Calibri" w:eastAsia="宋体" w:hAnsi="Calibri" w:cs="Times New Roman"/>
          <w:bCs/>
          <w:sz w:val="24"/>
        </w:rPr>
        <w:t>的学习，完成配套教材视听说中的内容。</w:t>
      </w:r>
    </w:p>
    <w:p w14:paraId="623DFC70" w14:textId="77777777" w:rsidR="00C93813" w:rsidRPr="00C93813" w:rsidRDefault="00C93813" w:rsidP="00B23175">
      <w:pPr>
        <w:spacing w:line="360" w:lineRule="auto"/>
        <w:ind w:firstLineChars="200" w:firstLine="480"/>
        <w:rPr>
          <w:rFonts w:ascii="Calibri" w:eastAsia="宋体" w:hAnsi="Calibri" w:cs="Times New Roman"/>
          <w:bCs/>
          <w:sz w:val="24"/>
        </w:rPr>
      </w:pPr>
      <w:r w:rsidRPr="00C93813">
        <w:rPr>
          <w:rFonts w:ascii="Calibri" w:eastAsia="宋体" w:hAnsi="Calibri" w:cs="Times New Roman"/>
          <w:bCs/>
          <w:sz w:val="24"/>
        </w:rPr>
        <w:t xml:space="preserve">5. </w:t>
      </w:r>
      <w:r w:rsidRPr="00C93813">
        <w:rPr>
          <w:rFonts w:ascii="Calibri" w:eastAsia="宋体" w:hAnsi="Calibri" w:cs="Times New Roman"/>
          <w:bCs/>
          <w:sz w:val="24"/>
        </w:rPr>
        <w:t>翻译技巧讲解：基础篇。</w:t>
      </w:r>
    </w:p>
    <w:p w14:paraId="7F0A39E9" w14:textId="77777777" w:rsidR="00C93813" w:rsidRPr="00C93813" w:rsidRDefault="00C93813" w:rsidP="00B23175">
      <w:pPr>
        <w:spacing w:line="360" w:lineRule="auto"/>
        <w:ind w:firstLineChars="200" w:firstLine="480"/>
        <w:rPr>
          <w:rFonts w:ascii="Calibri" w:eastAsia="宋体" w:hAnsi="Calibri" w:cs="Times New Roman"/>
          <w:bCs/>
          <w:sz w:val="24"/>
        </w:rPr>
      </w:pPr>
      <w:r w:rsidRPr="00C93813">
        <w:rPr>
          <w:rFonts w:ascii="Calibri" w:eastAsia="宋体" w:hAnsi="Calibri" w:cs="Times New Roman"/>
          <w:bCs/>
          <w:sz w:val="24"/>
        </w:rPr>
        <w:t xml:space="preserve">6. </w:t>
      </w:r>
      <w:r w:rsidRPr="00C93813">
        <w:rPr>
          <w:rFonts w:ascii="Calibri" w:eastAsia="宋体" w:hAnsi="Calibri" w:cs="Times New Roman"/>
          <w:bCs/>
          <w:sz w:val="24"/>
        </w:rPr>
        <w:t>主题写作：应用类写作。</w:t>
      </w:r>
    </w:p>
    <w:p w14:paraId="465CAF0F" w14:textId="77777777" w:rsidR="00C93813" w:rsidRPr="00C93813" w:rsidRDefault="00C93813" w:rsidP="00B23175">
      <w:pPr>
        <w:spacing w:line="360" w:lineRule="auto"/>
        <w:ind w:firstLineChars="200" w:firstLine="480"/>
        <w:rPr>
          <w:rFonts w:ascii="Calibri" w:eastAsia="宋体" w:hAnsi="Calibri" w:cs="Times New Roman"/>
          <w:bCs/>
          <w:sz w:val="24"/>
        </w:rPr>
      </w:pPr>
      <w:r w:rsidRPr="00C93813">
        <w:rPr>
          <w:rFonts w:ascii="Calibri" w:eastAsia="宋体" w:hAnsi="Calibri" w:cs="Times New Roman"/>
          <w:bCs/>
          <w:sz w:val="24"/>
        </w:rPr>
        <w:t>7.</w:t>
      </w:r>
      <w:proofErr w:type="gramStart"/>
      <w:r w:rsidRPr="00C93813">
        <w:rPr>
          <w:rFonts w:ascii="Calibri" w:eastAsia="宋体" w:hAnsi="Calibri" w:cs="Times New Roman"/>
          <w:bCs/>
          <w:sz w:val="24"/>
        </w:rPr>
        <w:t>思政元素</w:t>
      </w:r>
      <w:proofErr w:type="gramEnd"/>
      <w:r w:rsidRPr="00C93813">
        <w:rPr>
          <w:rFonts w:ascii="Calibri" w:eastAsia="宋体" w:hAnsi="Calibri" w:cs="Times New Roman"/>
          <w:bCs/>
          <w:sz w:val="24"/>
        </w:rPr>
        <w:t>：引导学生树立正确的审美观，意识到内在美在审美标准中的重要性；</w:t>
      </w:r>
      <w:r w:rsidRPr="00C93813">
        <w:rPr>
          <w:rFonts w:ascii="Calibri" w:eastAsia="宋体" w:hAnsi="Calibri" w:cs="Times New Roman"/>
          <w:bCs/>
          <w:sz w:val="24"/>
        </w:rPr>
        <w:lastRenderedPageBreak/>
        <w:t>通过</w:t>
      </w:r>
      <w:r w:rsidRPr="00C93813">
        <w:rPr>
          <w:rFonts w:ascii="Calibri" w:eastAsia="宋体" w:hAnsi="Calibri" w:cs="Times New Roman"/>
          <w:bCs/>
          <w:sz w:val="24"/>
        </w:rPr>
        <w:t>Text A</w:t>
      </w:r>
      <w:r w:rsidRPr="00C93813">
        <w:rPr>
          <w:rFonts w:ascii="Calibri" w:eastAsia="宋体" w:hAnsi="Calibri" w:cs="Times New Roman"/>
          <w:bCs/>
          <w:sz w:val="24"/>
        </w:rPr>
        <w:t>的学习，让学生学会尊重不同国家、不同背景文化下的美的思想，具有开放性思维和对不同文化的接纳能力。</w:t>
      </w:r>
    </w:p>
    <w:p w14:paraId="6CB49F66" w14:textId="77777777" w:rsidR="00C93813" w:rsidRPr="00C93813" w:rsidRDefault="00C93813" w:rsidP="00B23175">
      <w:pPr>
        <w:spacing w:line="360" w:lineRule="auto"/>
        <w:ind w:firstLineChars="200" w:firstLine="482"/>
        <w:rPr>
          <w:rFonts w:ascii="宋体" w:eastAsia="宋体" w:hAnsi="宋体" w:cs="Times New Roman"/>
          <w:b/>
          <w:sz w:val="24"/>
        </w:rPr>
      </w:pPr>
      <w:r w:rsidRPr="00C93813">
        <w:rPr>
          <w:rFonts w:ascii="宋体" w:eastAsia="宋体" w:hAnsi="宋体" w:cs="Times New Roman"/>
          <w:b/>
          <w:sz w:val="24"/>
        </w:rPr>
        <w:t>【重点】</w:t>
      </w:r>
    </w:p>
    <w:p w14:paraId="6853FACC" w14:textId="77777777" w:rsidR="00C93813" w:rsidRPr="00C93813" w:rsidRDefault="00C93813" w:rsidP="00B23175">
      <w:pPr>
        <w:spacing w:line="360" w:lineRule="auto"/>
        <w:ind w:leftChars="228" w:left="479" w:firstLineChars="200" w:firstLine="480"/>
        <w:rPr>
          <w:rFonts w:ascii="Calibri" w:eastAsia="宋体" w:hAnsi="Calibri" w:cs="Times New Roman"/>
          <w:b/>
          <w:sz w:val="19"/>
          <w:szCs w:val="19"/>
        </w:rPr>
      </w:pPr>
      <w:r w:rsidRPr="00C93813">
        <w:rPr>
          <w:rFonts w:ascii="宋体" w:eastAsia="宋体" w:hAnsi="宋体" w:cs="Times New Roman" w:hint="eastAsia"/>
          <w:sz w:val="24"/>
        </w:rPr>
        <w:t>1.课文重点单词、短语和句型：</w:t>
      </w:r>
      <w:r w:rsidRPr="00C93813">
        <w:rPr>
          <w:rFonts w:ascii="Calibri" w:eastAsia="宋体" w:hAnsi="Calibri" w:cs="Times New Roman"/>
          <w:sz w:val="24"/>
        </w:rPr>
        <w:t>disapprovingly</w:t>
      </w:r>
      <w:r w:rsidRPr="00C93813">
        <w:rPr>
          <w:rFonts w:ascii="Calibri" w:eastAsia="宋体" w:hAnsi="Calibri" w:cs="Times New Roman"/>
          <w:sz w:val="24"/>
        </w:rPr>
        <w:t>、</w:t>
      </w:r>
      <w:r w:rsidRPr="00C93813">
        <w:rPr>
          <w:rFonts w:ascii="Calibri" w:eastAsia="宋体" w:hAnsi="Calibri" w:cs="Times New Roman"/>
          <w:sz w:val="24"/>
        </w:rPr>
        <w:t>marvel</w:t>
      </w:r>
      <w:r w:rsidRPr="00C93813">
        <w:rPr>
          <w:rFonts w:ascii="Calibri" w:eastAsia="宋体" w:hAnsi="Calibri" w:cs="Times New Roman"/>
          <w:sz w:val="24"/>
        </w:rPr>
        <w:t>、</w:t>
      </w:r>
      <w:r w:rsidRPr="00C93813">
        <w:rPr>
          <w:rFonts w:ascii="Calibri" w:eastAsia="宋体" w:hAnsi="Calibri" w:cs="Times New Roman"/>
          <w:sz w:val="24"/>
        </w:rPr>
        <w:t>long for</w:t>
      </w:r>
      <w:r w:rsidRPr="00C93813">
        <w:rPr>
          <w:rFonts w:ascii="Calibri" w:eastAsia="宋体" w:hAnsi="Calibri" w:cs="Times New Roman"/>
          <w:sz w:val="24"/>
        </w:rPr>
        <w:t>、</w:t>
      </w:r>
      <w:r w:rsidRPr="00C93813">
        <w:rPr>
          <w:rFonts w:ascii="Calibri" w:eastAsia="宋体" w:hAnsi="Calibri" w:cs="Times New Roman"/>
          <w:sz w:val="24"/>
        </w:rPr>
        <w:t>fall short of</w:t>
      </w:r>
      <w:r w:rsidRPr="00C93813">
        <w:rPr>
          <w:rFonts w:ascii="Calibri" w:eastAsia="宋体" w:hAnsi="Calibri" w:cs="Times New Roman"/>
          <w:sz w:val="24"/>
        </w:rPr>
        <w:t>、</w:t>
      </w:r>
      <w:r w:rsidRPr="00C93813">
        <w:rPr>
          <w:rFonts w:ascii="Calibri" w:eastAsia="宋体" w:hAnsi="Calibri" w:cs="Times New Roman"/>
          <w:sz w:val="24"/>
        </w:rPr>
        <w:t>heartily</w:t>
      </w:r>
      <w:r w:rsidRPr="00C93813">
        <w:rPr>
          <w:rFonts w:ascii="Calibri" w:eastAsia="宋体" w:hAnsi="Calibri" w:cs="Times New Roman"/>
          <w:sz w:val="24"/>
        </w:rPr>
        <w:t>、</w:t>
      </w:r>
      <w:r w:rsidRPr="00C93813">
        <w:rPr>
          <w:rFonts w:ascii="Calibri" w:eastAsia="宋体" w:hAnsi="Calibri" w:cs="Times New Roman"/>
          <w:sz w:val="24"/>
        </w:rPr>
        <w:t xml:space="preserve">in pursuit of </w:t>
      </w:r>
      <w:r w:rsidRPr="00C93813">
        <w:rPr>
          <w:rFonts w:ascii="Calibri" w:eastAsia="宋体" w:hAnsi="Calibri" w:cs="Times New Roman"/>
          <w:sz w:val="24"/>
        </w:rPr>
        <w:t>、</w:t>
      </w:r>
      <w:r w:rsidRPr="00C93813">
        <w:rPr>
          <w:rFonts w:ascii="Calibri" w:eastAsia="宋体" w:hAnsi="Calibri" w:cs="Times New Roman"/>
          <w:sz w:val="24"/>
        </w:rPr>
        <w:t>run out</w:t>
      </w:r>
      <w:r w:rsidRPr="00C93813">
        <w:rPr>
          <w:rFonts w:ascii="Calibri" w:eastAsia="宋体" w:hAnsi="Calibri" w:cs="Times New Roman"/>
          <w:sz w:val="24"/>
        </w:rPr>
        <w:t>、</w:t>
      </w:r>
      <w:r w:rsidRPr="00C93813">
        <w:rPr>
          <w:rFonts w:ascii="Calibri" w:eastAsia="宋体" w:hAnsi="Calibri" w:cs="Times New Roman"/>
          <w:sz w:val="24"/>
        </w:rPr>
        <w:t>devoid</w:t>
      </w:r>
      <w:r w:rsidRPr="00C93813">
        <w:rPr>
          <w:rFonts w:ascii="Calibri" w:eastAsia="宋体" w:hAnsi="Calibri" w:cs="Times New Roman"/>
          <w:sz w:val="24"/>
        </w:rPr>
        <w:t>、</w:t>
      </w:r>
      <w:r w:rsidRPr="00C93813">
        <w:rPr>
          <w:rFonts w:ascii="Calibri" w:eastAsia="宋体" w:hAnsi="Calibri" w:cs="Times New Roman"/>
          <w:sz w:val="24"/>
        </w:rPr>
        <w:t>weigh in</w:t>
      </w:r>
      <w:r w:rsidRPr="00C93813">
        <w:rPr>
          <w:rFonts w:ascii="Calibri" w:eastAsia="宋体" w:hAnsi="Calibri" w:cs="Times New Roman"/>
          <w:sz w:val="24"/>
        </w:rPr>
        <w:t>、</w:t>
      </w:r>
      <w:r w:rsidRPr="00C93813">
        <w:rPr>
          <w:rFonts w:ascii="Calibri" w:eastAsia="宋体" w:hAnsi="Calibri" w:cs="Times New Roman"/>
          <w:sz w:val="24"/>
        </w:rPr>
        <w:t>let oneself go</w:t>
      </w:r>
    </w:p>
    <w:p w14:paraId="78C94FEE" w14:textId="77777777" w:rsidR="00C93813" w:rsidRPr="00C93813" w:rsidRDefault="00C93813" w:rsidP="00B23175">
      <w:pPr>
        <w:spacing w:line="360" w:lineRule="auto"/>
        <w:ind w:firstLineChars="200" w:firstLine="480"/>
        <w:rPr>
          <w:rFonts w:ascii="宋体" w:eastAsia="宋体" w:hAnsi="宋体" w:cs="Times New Roman"/>
          <w:sz w:val="24"/>
        </w:rPr>
      </w:pPr>
      <w:r w:rsidRPr="00C93813">
        <w:rPr>
          <w:rFonts w:ascii="宋体" w:eastAsia="宋体" w:hAnsi="宋体" w:cs="Times New Roman"/>
          <w:sz w:val="24"/>
        </w:rPr>
        <w:t>2.文章整体的段落结构</w:t>
      </w:r>
      <w:r w:rsidRPr="00C93813">
        <w:rPr>
          <w:rFonts w:ascii="宋体" w:eastAsia="宋体" w:hAnsi="宋体" w:cs="Times New Roman" w:hint="eastAsia"/>
          <w:sz w:val="24"/>
        </w:rPr>
        <w:t>。</w:t>
      </w:r>
    </w:p>
    <w:p w14:paraId="5E0C45E9" w14:textId="77777777" w:rsidR="00C93813" w:rsidRPr="00C93813" w:rsidRDefault="00C93813" w:rsidP="00B23175">
      <w:pPr>
        <w:spacing w:line="360" w:lineRule="auto"/>
        <w:ind w:firstLineChars="200" w:firstLine="480"/>
        <w:rPr>
          <w:rFonts w:ascii="宋体" w:eastAsia="宋体" w:hAnsi="宋体" w:cs="Times New Roman"/>
          <w:sz w:val="24"/>
        </w:rPr>
      </w:pPr>
      <w:r w:rsidRPr="00C93813">
        <w:rPr>
          <w:rFonts w:ascii="宋体" w:eastAsia="宋体" w:hAnsi="宋体" w:cs="Times New Roman" w:hint="eastAsia"/>
          <w:sz w:val="24"/>
        </w:rPr>
        <w:t>3.课文及练习中出现的长难句的翻译。</w:t>
      </w:r>
    </w:p>
    <w:p w14:paraId="17E2DD94"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宋体" w:eastAsia="宋体" w:hAnsi="宋体" w:cs="Times New Roman" w:hint="eastAsia"/>
          <w:sz w:val="24"/>
        </w:rPr>
        <w:t>4.应用类写作的结构</w:t>
      </w:r>
      <w:r w:rsidRPr="00C93813">
        <w:rPr>
          <w:rFonts w:ascii="Calibri" w:eastAsia="宋体" w:hAnsi="Calibri" w:cs="Times New Roman"/>
          <w:sz w:val="24"/>
        </w:rPr>
        <w:t>（</w:t>
      </w:r>
      <w:r w:rsidRPr="00C93813">
        <w:rPr>
          <w:rFonts w:ascii="Calibri" w:eastAsia="宋体" w:hAnsi="Calibri" w:cs="Times New Roman"/>
          <w:sz w:val="24"/>
        </w:rPr>
        <w:t>Creating an Outline</w:t>
      </w:r>
      <w:r w:rsidRPr="00C93813">
        <w:rPr>
          <w:rFonts w:ascii="Calibri" w:eastAsia="宋体" w:hAnsi="Calibri" w:cs="Times New Roman"/>
          <w:sz w:val="24"/>
        </w:rPr>
        <w:t>）</w:t>
      </w:r>
      <w:r w:rsidRPr="00C93813">
        <w:rPr>
          <w:rFonts w:ascii="Calibri" w:eastAsia="宋体" w:hAnsi="Calibri" w:cs="Times New Roman" w:hint="eastAsia"/>
          <w:sz w:val="24"/>
        </w:rPr>
        <w:t>。</w:t>
      </w:r>
    </w:p>
    <w:p w14:paraId="755B39C0" w14:textId="77777777" w:rsidR="00C93813" w:rsidRPr="00C93813" w:rsidRDefault="00C93813" w:rsidP="00B23175">
      <w:pPr>
        <w:spacing w:line="360" w:lineRule="auto"/>
        <w:ind w:firstLineChars="200" w:firstLine="482"/>
        <w:rPr>
          <w:rFonts w:ascii="宋体" w:eastAsia="宋体" w:hAnsi="宋体" w:cs="Times New Roman"/>
          <w:b/>
          <w:sz w:val="24"/>
        </w:rPr>
      </w:pPr>
      <w:r w:rsidRPr="00C93813">
        <w:rPr>
          <w:rFonts w:ascii="宋体" w:eastAsia="宋体" w:hAnsi="宋体" w:cs="Times New Roman"/>
          <w:b/>
          <w:sz w:val="24"/>
        </w:rPr>
        <w:t>【难点】</w:t>
      </w:r>
    </w:p>
    <w:p w14:paraId="47C3636D" w14:textId="77777777" w:rsidR="00C93813" w:rsidRPr="00C93813" w:rsidRDefault="00C93813" w:rsidP="00B23175">
      <w:pPr>
        <w:spacing w:line="360" w:lineRule="auto"/>
        <w:ind w:firstLineChars="200" w:firstLine="480"/>
        <w:rPr>
          <w:rFonts w:ascii="宋体" w:eastAsia="宋体" w:hAnsi="宋体" w:cs="Times New Roman"/>
          <w:sz w:val="24"/>
        </w:rPr>
      </w:pPr>
      <w:r w:rsidRPr="00C93813">
        <w:rPr>
          <w:rFonts w:ascii="宋体" w:eastAsia="宋体" w:hAnsi="宋体" w:cs="Times New Roman" w:hint="eastAsia"/>
          <w:sz w:val="24"/>
        </w:rPr>
        <w:t>1.引导学生合理</w:t>
      </w:r>
      <w:proofErr w:type="gramStart"/>
      <w:r w:rsidRPr="00C93813">
        <w:rPr>
          <w:rFonts w:ascii="宋体" w:eastAsia="宋体" w:hAnsi="宋体" w:cs="Times New Roman" w:hint="eastAsia"/>
          <w:sz w:val="24"/>
        </w:rPr>
        <w:t>安排线</w:t>
      </w:r>
      <w:proofErr w:type="gramEnd"/>
      <w:r w:rsidRPr="00C93813">
        <w:rPr>
          <w:rFonts w:ascii="宋体" w:eastAsia="宋体" w:hAnsi="宋体" w:cs="Times New Roman" w:hint="eastAsia"/>
          <w:sz w:val="24"/>
        </w:rPr>
        <w:t>上学习。</w:t>
      </w:r>
    </w:p>
    <w:p w14:paraId="2DCA1CFF" w14:textId="77777777" w:rsidR="00C93813" w:rsidRPr="00C93813" w:rsidRDefault="00C93813" w:rsidP="00B23175">
      <w:pPr>
        <w:spacing w:line="360" w:lineRule="auto"/>
        <w:ind w:firstLineChars="200" w:firstLine="480"/>
        <w:rPr>
          <w:rFonts w:ascii="宋体" w:eastAsia="宋体" w:hAnsi="宋体" w:cs="Times New Roman"/>
          <w:sz w:val="24"/>
        </w:rPr>
      </w:pPr>
      <w:r w:rsidRPr="00C93813">
        <w:rPr>
          <w:rFonts w:ascii="宋体" w:eastAsia="宋体" w:hAnsi="宋体" w:cs="Times New Roman" w:hint="eastAsia"/>
          <w:sz w:val="24"/>
        </w:rPr>
        <w:t>2.引导学生参与线上讨论。</w:t>
      </w:r>
    </w:p>
    <w:p w14:paraId="3DC738A8" w14:textId="77777777" w:rsidR="00C93813" w:rsidRPr="00C93813" w:rsidRDefault="00C93813" w:rsidP="00B23175">
      <w:pPr>
        <w:spacing w:line="360" w:lineRule="auto"/>
        <w:ind w:firstLineChars="200" w:firstLine="480"/>
        <w:rPr>
          <w:rFonts w:ascii="宋体" w:eastAsia="宋体" w:hAnsi="宋体" w:cs="Times New Roman"/>
          <w:sz w:val="24"/>
        </w:rPr>
      </w:pPr>
      <w:r w:rsidRPr="00C93813">
        <w:rPr>
          <w:rFonts w:ascii="宋体" w:eastAsia="宋体" w:hAnsi="宋体" w:cs="Times New Roman" w:hint="eastAsia"/>
          <w:sz w:val="24"/>
        </w:rPr>
        <w:t>3.帮助学生理解</w:t>
      </w:r>
      <w:r w:rsidRPr="00C93813">
        <w:rPr>
          <w:rFonts w:ascii="宋体" w:eastAsia="宋体" w:hAnsi="宋体" w:cs="Times New Roman"/>
          <w:sz w:val="24"/>
        </w:rPr>
        <w:t>课文</w:t>
      </w:r>
      <w:r w:rsidRPr="00C93813">
        <w:rPr>
          <w:rFonts w:ascii="宋体" w:eastAsia="宋体" w:hAnsi="宋体" w:cs="Times New Roman" w:hint="eastAsia"/>
          <w:sz w:val="24"/>
        </w:rPr>
        <w:t>所涉及</w:t>
      </w:r>
      <w:r w:rsidRPr="00C93813">
        <w:rPr>
          <w:rFonts w:ascii="宋体" w:eastAsia="宋体" w:hAnsi="宋体" w:cs="Times New Roman"/>
          <w:sz w:val="24"/>
        </w:rPr>
        <w:t>重点单词、短语和句型</w:t>
      </w:r>
      <w:r w:rsidRPr="00C93813">
        <w:rPr>
          <w:rFonts w:ascii="宋体" w:eastAsia="宋体" w:hAnsi="宋体" w:cs="Times New Roman" w:hint="eastAsia"/>
          <w:sz w:val="24"/>
        </w:rPr>
        <w:t>如：</w:t>
      </w:r>
      <w:r w:rsidRPr="00C93813">
        <w:rPr>
          <w:rFonts w:ascii="Calibri" w:eastAsia="宋体" w:hAnsi="Calibri" w:cs="Times New Roman"/>
          <w:sz w:val="24"/>
        </w:rPr>
        <w:t>let oneself go</w:t>
      </w:r>
      <w:r w:rsidRPr="00C93813">
        <w:rPr>
          <w:rFonts w:ascii="Calibri" w:eastAsia="宋体" w:hAnsi="Calibri" w:cs="Times New Roman"/>
          <w:sz w:val="24"/>
        </w:rPr>
        <w:t>、</w:t>
      </w:r>
      <w:r w:rsidRPr="00C93813">
        <w:rPr>
          <w:rFonts w:ascii="Calibri" w:eastAsia="宋体" w:hAnsi="Calibri" w:cs="Times New Roman"/>
          <w:sz w:val="24"/>
        </w:rPr>
        <w:t>cosmetic surgery</w:t>
      </w:r>
      <w:r w:rsidRPr="00C93813">
        <w:rPr>
          <w:rFonts w:ascii="宋体" w:eastAsia="宋体" w:hAnsi="宋体" w:cs="Times New Roman" w:hint="eastAsia"/>
          <w:sz w:val="24"/>
        </w:rPr>
        <w:t>等在文中的具体含义。</w:t>
      </w:r>
    </w:p>
    <w:p w14:paraId="1ED54C97" w14:textId="77777777" w:rsidR="00C93813" w:rsidRPr="00C93813" w:rsidRDefault="00C93813" w:rsidP="00B23175">
      <w:pPr>
        <w:spacing w:line="360" w:lineRule="auto"/>
        <w:ind w:firstLineChars="200" w:firstLine="480"/>
        <w:rPr>
          <w:rFonts w:ascii="宋体" w:eastAsia="宋体" w:hAnsi="宋体" w:cs="Times New Roman"/>
          <w:sz w:val="24"/>
        </w:rPr>
      </w:pPr>
      <w:r w:rsidRPr="00C93813">
        <w:rPr>
          <w:rFonts w:ascii="宋体" w:eastAsia="宋体" w:hAnsi="宋体" w:cs="Times New Roman" w:hint="eastAsia"/>
          <w:sz w:val="24"/>
        </w:rPr>
        <w:t>4.应用类写作的结构。</w:t>
      </w:r>
    </w:p>
    <w:p w14:paraId="77E8023C" w14:textId="77777777" w:rsidR="00C93813" w:rsidRPr="00C93813" w:rsidRDefault="00C93813" w:rsidP="00B23175">
      <w:pPr>
        <w:spacing w:line="360" w:lineRule="auto"/>
        <w:ind w:firstLineChars="200" w:firstLine="482"/>
        <w:rPr>
          <w:rFonts w:ascii="宋体" w:eastAsia="宋体" w:hAnsi="宋体" w:cs="Times New Roman"/>
          <w:sz w:val="24"/>
        </w:rPr>
      </w:pPr>
      <w:r w:rsidRPr="00C93813">
        <w:rPr>
          <w:rFonts w:ascii="宋体" w:eastAsia="宋体" w:hAnsi="宋体" w:cs="Times New Roman"/>
          <w:b/>
          <w:bCs/>
          <w:sz w:val="24"/>
        </w:rPr>
        <w:t>【教学方法】</w:t>
      </w:r>
    </w:p>
    <w:p w14:paraId="1AAABFA5" w14:textId="77777777" w:rsidR="00C93813" w:rsidRPr="00C93813" w:rsidRDefault="00C93813" w:rsidP="00B23175">
      <w:pPr>
        <w:spacing w:line="360" w:lineRule="auto"/>
        <w:ind w:firstLineChars="200" w:firstLine="480"/>
        <w:rPr>
          <w:rFonts w:ascii="宋体" w:eastAsia="宋体" w:hAnsi="宋体" w:cs="Times New Roman"/>
          <w:sz w:val="24"/>
        </w:rPr>
      </w:pPr>
      <w:r w:rsidRPr="00C93813">
        <w:rPr>
          <w:rFonts w:ascii="宋体" w:eastAsia="宋体" w:hAnsi="宋体" w:cs="Times New Roman" w:hint="eastAsia"/>
          <w:sz w:val="24"/>
        </w:rPr>
        <w:t>1.讲授法：通过课堂讲解，使学生了解冈比亚女性的身材和穿着，探讨多元文化下的美的标准，</w:t>
      </w:r>
      <w:proofErr w:type="gramStart"/>
      <w:r w:rsidRPr="00C93813">
        <w:rPr>
          <w:rFonts w:ascii="宋体" w:eastAsia="宋体" w:hAnsi="宋体" w:cs="Times New Roman" w:hint="eastAsia"/>
          <w:sz w:val="24"/>
        </w:rPr>
        <w:t>了解美</w:t>
      </w:r>
      <w:proofErr w:type="gramEnd"/>
      <w:r w:rsidRPr="00C93813">
        <w:rPr>
          <w:rFonts w:ascii="宋体" w:eastAsia="宋体" w:hAnsi="宋体" w:cs="Times New Roman" w:hint="eastAsia"/>
          <w:sz w:val="24"/>
        </w:rPr>
        <w:t>的历程和人类对美的追求目标。使学生掌握两篇课文中的重点词汇和句型；通过对课后练习的讲解，使学生进一步巩固所学知识，发现自己学习中存在的问题，并及时解决问题。</w:t>
      </w:r>
    </w:p>
    <w:p w14:paraId="2386DC8F" w14:textId="77777777" w:rsidR="00C93813" w:rsidRPr="00C93813" w:rsidRDefault="00C93813" w:rsidP="00B23175">
      <w:pPr>
        <w:spacing w:line="360" w:lineRule="auto"/>
        <w:ind w:firstLineChars="200" w:firstLine="480"/>
        <w:rPr>
          <w:rFonts w:ascii="宋体" w:eastAsia="宋体" w:hAnsi="宋体" w:cs="Times New Roman"/>
          <w:sz w:val="24"/>
        </w:rPr>
      </w:pPr>
      <w:r w:rsidRPr="00C93813">
        <w:rPr>
          <w:rFonts w:ascii="宋体" w:eastAsia="宋体" w:hAnsi="宋体" w:cs="Times New Roman" w:hint="eastAsia"/>
          <w:sz w:val="24"/>
        </w:rPr>
        <w:t>2.讨论法：通过课堂讨论话题“</w:t>
      </w:r>
      <w:r w:rsidRPr="00C93813">
        <w:rPr>
          <w:rFonts w:ascii="Calibri" w:eastAsia="宋体" w:hAnsi="Calibri" w:cs="Times New Roman"/>
          <w:sz w:val="24"/>
        </w:rPr>
        <w:t>What is your standard of beauty?</w:t>
      </w:r>
      <w:r w:rsidRPr="00C93813">
        <w:rPr>
          <w:rFonts w:ascii="宋体" w:eastAsia="宋体" w:hAnsi="宋体" w:cs="Times New Roman" w:hint="eastAsia"/>
          <w:sz w:val="24"/>
        </w:rPr>
        <w:t>”，引导学生灵活使用本课中所出现的重点词汇和短语，促进学生的思考能力和口语表达能力，提升学生英语综合运用能力。</w:t>
      </w:r>
    </w:p>
    <w:p w14:paraId="07C81599" w14:textId="77777777" w:rsidR="00C93813" w:rsidRPr="00C93813" w:rsidRDefault="00C93813" w:rsidP="00B23175">
      <w:pPr>
        <w:spacing w:line="360" w:lineRule="auto"/>
        <w:ind w:firstLineChars="200" w:firstLine="480"/>
        <w:rPr>
          <w:rFonts w:ascii="宋体" w:eastAsia="宋体" w:hAnsi="宋体" w:cs="Times New Roman"/>
          <w:sz w:val="24"/>
        </w:rPr>
      </w:pPr>
      <w:r w:rsidRPr="00C93813">
        <w:rPr>
          <w:rFonts w:ascii="宋体" w:eastAsia="宋体" w:hAnsi="宋体" w:cs="Times New Roman" w:hint="eastAsia"/>
          <w:sz w:val="24"/>
        </w:rPr>
        <w:t>3.读书指导法：通过网络教学平台上传的与主题相关的补充资料，指导学生在线阅读相关知识、快速准确找到文章主旨、识别作者观点、并且能够从篇章层面上把握文章的结构、掌握阅读方法和技巧。</w:t>
      </w:r>
    </w:p>
    <w:p w14:paraId="21F1322D" w14:textId="77777777" w:rsidR="00C93813" w:rsidRPr="00C93813" w:rsidRDefault="00C93813" w:rsidP="00B23175">
      <w:pPr>
        <w:spacing w:line="360" w:lineRule="auto"/>
        <w:ind w:firstLineChars="200" w:firstLine="480"/>
        <w:rPr>
          <w:rFonts w:ascii="宋体" w:eastAsia="宋体" w:hAnsi="宋体" w:cs="Times New Roman"/>
          <w:sz w:val="24"/>
        </w:rPr>
      </w:pPr>
      <w:r w:rsidRPr="00C93813">
        <w:rPr>
          <w:rFonts w:ascii="宋体" w:eastAsia="宋体" w:hAnsi="宋体" w:cs="Times New Roman" w:hint="eastAsia"/>
          <w:sz w:val="24"/>
        </w:rPr>
        <w:t>4.任务型教学法：通过</w:t>
      </w:r>
      <w:proofErr w:type="gramStart"/>
      <w:r w:rsidRPr="00C93813">
        <w:rPr>
          <w:rFonts w:ascii="宋体" w:eastAsia="宋体" w:hAnsi="宋体" w:cs="Times New Roman" w:hint="eastAsia"/>
          <w:sz w:val="24"/>
        </w:rPr>
        <w:t>布置线</w:t>
      </w:r>
      <w:proofErr w:type="gramEnd"/>
      <w:r w:rsidRPr="00C93813">
        <w:rPr>
          <w:rFonts w:ascii="宋体" w:eastAsia="宋体" w:hAnsi="宋体" w:cs="Times New Roman" w:hint="eastAsia"/>
          <w:sz w:val="24"/>
        </w:rPr>
        <w:t>上任务，并通过教学平台监督的方式，帮助学生完成线上预习、复习、听力练习等学习内容，培养学生自主学习和自我管理的能力。</w:t>
      </w:r>
    </w:p>
    <w:p w14:paraId="3D1EA68A" w14:textId="77777777" w:rsidR="00C93813" w:rsidRPr="00C93813" w:rsidRDefault="00C93813" w:rsidP="00B23175">
      <w:pPr>
        <w:spacing w:line="360" w:lineRule="auto"/>
        <w:ind w:firstLineChars="200" w:firstLine="482"/>
        <w:rPr>
          <w:rFonts w:ascii="宋体" w:eastAsia="宋体" w:hAnsi="宋体" w:cs="Times New Roman"/>
          <w:b/>
          <w:bCs/>
          <w:sz w:val="24"/>
        </w:rPr>
      </w:pPr>
      <w:r w:rsidRPr="00C93813">
        <w:rPr>
          <w:rFonts w:ascii="宋体" w:eastAsia="宋体" w:hAnsi="宋体" w:cs="Times New Roman" w:hint="eastAsia"/>
          <w:b/>
          <w:bCs/>
          <w:sz w:val="24"/>
        </w:rPr>
        <w:t>【复习思考】</w:t>
      </w:r>
    </w:p>
    <w:p w14:paraId="5BE7CCD4" w14:textId="77777777" w:rsidR="00C93813" w:rsidRPr="00C93813" w:rsidRDefault="00C93813" w:rsidP="00B23175">
      <w:pPr>
        <w:spacing w:line="360" w:lineRule="auto"/>
        <w:ind w:firstLineChars="200" w:firstLine="480"/>
        <w:rPr>
          <w:rFonts w:ascii="宋体" w:eastAsia="宋体" w:hAnsi="宋体" w:cs="Times New Roman"/>
          <w:sz w:val="24"/>
        </w:rPr>
      </w:pPr>
      <w:r w:rsidRPr="00C93813">
        <w:rPr>
          <w:rFonts w:ascii="宋体" w:eastAsia="宋体" w:hAnsi="宋体" w:cs="Times New Roman" w:hint="eastAsia"/>
          <w:sz w:val="24"/>
        </w:rPr>
        <w:t>1.完成线上单元测验。</w:t>
      </w:r>
    </w:p>
    <w:p w14:paraId="66A9D2E8" w14:textId="77777777" w:rsidR="00C93813" w:rsidRPr="00C93813" w:rsidRDefault="00C93813" w:rsidP="00B23175">
      <w:pPr>
        <w:spacing w:line="360" w:lineRule="auto"/>
        <w:ind w:firstLineChars="200" w:firstLine="480"/>
        <w:rPr>
          <w:rFonts w:ascii="宋体" w:eastAsia="宋体" w:hAnsi="宋体" w:cs="Times New Roman"/>
          <w:sz w:val="24"/>
        </w:rPr>
      </w:pPr>
      <w:r w:rsidRPr="00C93813">
        <w:rPr>
          <w:rFonts w:ascii="宋体" w:eastAsia="宋体" w:hAnsi="宋体" w:cs="Times New Roman" w:hint="eastAsia"/>
          <w:sz w:val="24"/>
        </w:rPr>
        <w:lastRenderedPageBreak/>
        <w:t>2.思考为什么不同文化背景下人们</w:t>
      </w:r>
      <w:proofErr w:type="gramStart"/>
      <w:r w:rsidRPr="00C93813">
        <w:rPr>
          <w:rFonts w:ascii="宋体" w:eastAsia="宋体" w:hAnsi="宋体" w:cs="Times New Roman" w:hint="eastAsia"/>
          <w:sz w:val="24"/>
        </w:rPr>
        <w:t>衡量美</w:t>
      </w:r>
      <w:proofErr w:type="gramEnd"/>
      <w:r w:rsidRPr="00C93813">
        <w:rPr>
          <w:rFonts w:ascii="宋体" w:eastAsia="宋体" w:hAnsi="宋体" w:cs="Times New Roman" w:hint="eastAsia"/>
          <w:sz w:val="24"/>
        </w:rPr>
        <w:t>的标准不同？影响因素是什么？</w:t>
      </w:r>
    </w:p>
    <w:p w14:paraId="1C0CEBB8" w14:textId="77777777" w:rsidR="00C93813" w:rsidRPr="00C93813" w:rsidRDefault="00C93813" w:rsidP="00B23175">
      <w:pPr>
        <w:spacing w:line="360" w:lineRule="auto"/>
        <w:ind w:firstLineChars="200" w:firstLine="480"/>
        <w:rPr>
          <w:rFonts w:ascii="宋体" w:eastAsia="宋体" w:hAnsi="宋体" w:cs="Times New Roman"/>
          <w:sz w:val="24"/>
        </w:rPr>
      </w:pPr>
      <w:r w:rsidRPr="00C93813">
        <w:rPr>
          <w:rFonts w:ascii="宋体" w:eastAsia="宋体" w:hAnsi="宋体" w:cs="Times New Roman" w:hint="eastAsia"/>
          <w:sz w:val="24"/>
        </w:rPr>
        <w:t>学生结合自己的经历和感受，进行小组讨论。</w:t>
      </w:r>
    </w:p>
    <w:p w14:paraId="36BBB8BA" w14:textId="77777777" w:rsidR="00C93813" w:rsidRPr="00C93813" w:rsidRDefault="00C93813" w:rsidP="00B23175">
      <w:pPr>
        <w:spacing w:line="360" w:lineRule="auto"/>
        <w:ind w:firstLineChars="200" w:firstLine="562"/>
        <w:rPr>
          <w:rFonts w:ascii="Calibri" w:eastAsia="黑体" w:hAnsi="Calibri" w:cs="Times New Roman"/>
          <w:b/>
          <w:bCs/>
          <w:sz w:val="28"/>
          <w:szCs w:val="28"/>
          <w:highlight w:val="yellow"/>
        </w:rPr>
      </w:pPr>
    </w:p>
    <w:p w14:paraId="5AAA8AF7" w14:textId="77777777" w:rsidR="00C93813" w:rsidRPr="00C93813" w:rsidRDefault="00C93813" w:rsidP="00B23175">
      <w:pPr>
        <w:spacing w:beforeLines="50" w:before="156" w:afterLines="50" w:after="156" w:line="440" w:lineRule="exact"/>
        <w:ind w:firstLineChars="200" w:firstLine="562"/>
        <w:rPr>
          <w:rFonts w:ascii="Calibri" w:eastAsia="宋体" w:hAnsi="Calibri" w:cs="Times New Roman"/>
          <w:b/>
          <w:bCs/>
          <w:sz w:val="28"/>
          <w:szCs w:val="28"/>
        </w:rPr>
      </w:pPr>
      <w:bookmarkStart w:id="50" w:name="OLE_LINK2"/>
      <w:r w:rsidRPr="00C93813">
        <w:rPr>
          <w:rFonts w:ascii="Calibri" w:eastAsia="宋体" w:hAnsi="Calibri" w:cs="Times New Roman"/>
          <w:b/>
          <w:bCs/>
          <w:sz w:val="28"/>
          <w:szCs w:val="28"/>
        </w:rPr>
        <w:t xml:space="preserve">Unit </w:t>
      </w:r>
      <w:proofErr w:type="gramStart"/>
      <w:r w:rsidRPr="00C93813">
        <w:rPr>
          <w:rFonts w:ascii="Calibri" w:eastAsia="宋体" w:hAnsi="Calibri" w:cs="Times New Roman"/>
          <w:b/>
          <w:bCs/>
          <w:sz w:val="28"/>
          <w:szCs w:val="28"/>
        </w:rPr>
        <w:t xml:space="preserve">5 </w:t>
      </w:r>
      <w:r w:rsidRPr="00C93813">
        <w:rPr>
          <w:rFonts w:ascii="Calibri" w:eastAsia="宋体" w:hAnsi="Calibri" w:cs="Times New Roman" w:hint="eastAsia"/>
          <w:b/>
          <w:bCs/>
          <w:sz w:val="28"/>
          <w:szCs w:val="28"/>
        </w:rPr>
        <w:t xml:space="preserve"> Commerce</w:t>
      </w:r>
      <w:proofErr w:type="gramEnd"/>
      <w:r w:rsidRPr="00C93813">
        <w:rPr>
          <w:rFonts w:ascii="Calibri" w:eastAsia="宋体" w:hAnsi="Calibri" w:cs="Times New Roman" w:hint="eastAsia"/>
          <w:b/>
          <w:bCs/>
          <w:sz w:val="28"/>
          <w:szCs w:val="28"/>
        </w:rPr>
        <w:t xml:space="preserve"> and </w:t>
      </w:r>
      <w:r w:rsidRPr="00C93813">
        <w:rPr>
          <w:rFonts w:ascii="Calibri" w:eastAsia="宋体" w:hAnsi="Calibri" w:cs="Times New Roman"/>
          <w:b/>
          <w:bCs/>
          <w:sz w:val="28"/>
          <w:szCs w:val="28"/>
        </w:rPr>
        <w:t>Integrity</w:t>
      </w:r>
    </w:p>
    <w:p w14:paraId="5BA205F0" w14:textId="77777777" w:rsidR="00C93813" w:rsidRPr="00C93813" w:rsidRDefault="00C93813" w:rsidP="00B23175">
      <w:pPr>
        <w:spacing w:line="360" w:lineRule="auto"/>
        <w:ind w:firstLineChars="200" w:firstLine="482"/>
        <w:rPr>
          <w:rFonts w:ascii="Calibri" w:eastAsia="宋体" w:hAnsi="Calibri" w:cs="Times New Roman"/>
          <w:b/>
          <w:sz w:val="24"/>
        </w:rPr>
      </w:pPr>
      <w:r w:rsidRPr="00C93813">
        <w:rPr>
          <w:rFonts w:ascii="Calibri" w:eastAsia="宋体" w:hAnsi="Calibri" w:cs="Times New Roman"/>
          <w:b/>
          <w:sz w:val="24"/>
        </w:rPr>
        <w:t>【学习目标】</w:t>
      </w:r>
    </w:p>
    <w:p w14:paraId="71CAAAB7"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1. </w:t>
      </w:r>
      <w:r w:rsidRPr="00C93813">
        <w:rPr>
          <w:rFonts w:ascii="Calibri" w:eastAsia="宋体" w:hAnsi="Calibri" w:cs="Times New Roman"/>
          <w:sz w:val="24"/>
        </w:rPr>
        <w:t>认知类目标：掌握本单元中出现的重点词汇、短语和句型。</w:t>
      </w:r>
      <w:r w:rsidRPr="00C93813">
        <w:rPr>
          <w:rFonts w:ascii="Calibri" w:eastAsia="宋体" w:hAnsi="Calibri" w:cs="Times New Roman"/>
          <w:sz w:val="24"/>
        </w:rPr>
        <w:t xml:space="preserve"> </w:t>
      </w:r>
    </w:p>
    <w:p w14:paraId="07042938"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2. </w:t>
      </w:r>
      <w:r w:rsidRPr="00C93813">
        <w:rPr>
          <w:rFonts w:ascii="Calibri" w:eastAsia="宋体" w:hAnsi="Calibri" w:cs="Times New Roman"/>
          <w:sz w:val="24"/>
        </w:rPr>
        <w:t>过程与方法类目标：在阅读过程中，把握课文结构、概括文章主旨，提高批判性思考和创造性地解决问题的能力，辩证地看待图书推广以及自助服务问题。在写作练习中，尝试就研究性文章进行完整客观的总结性写作。</w:t>
      </w:r>
    </w:p>
    <w:p w14:paraId="45ADEAD6"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3. </w:t>
      </w:r>
      <w:r w:rsidRPr="00C93813">
        <w:rPr>
          <w:rFonts w:ascii="Calibri" w:eastAsia="宋体" w:hAnsi="Calibri" w:cs="Times New Roman"/>
          <w:sz w:val="24"/>
        </w:rPr>
        <w:t>情感、态度、价值观类目标：</w:t>
      </w:r>
      <w:r w:rsidRPr="00C93813">
        <w:rPr>
          <w:rFonts w:ascii="Calibri" w:eastAsia="宋体" w:hAnsi="Calibri" w:cs="Times New Roman"/>
          <w:kern w:val="0"/>
          <w:sz w:val="24"/>
        </w:rPr>
        <w:t>学习</w:t>
      </w:r>
      <w:r w:rsidRPr="00C93813">
        <w:rPr>
          <w:rFonts w:ascii="Calibri" w:eastAsia="宋体" w:hAnsi="Calibri" w:cs="Times New Roman"/>
          <w:kern w:val="0"/>
          <w:sz w:val="24"/>
          <w:lang w:val="zh-CN"/>
        </w:rPr>
        <w:t>Text</w:t>
      </w:r>
      <w:r w:rsidRPr="00C93813">
        <w:rPr>
          <w:rFonts w:ascii="Calibri" w:eastAsia="宋体" w:hAnsi="Calibri" w:cs="Times New Roman"/>
          <w:kern w:val="0"/>
          <w:sz w:val="24"/>
        </w:rPr>
        <w:t xml:space="preserve"> </w:t>
      </w:r>
      <w:r w:rsidRPr="00C93813">
        <w:rPr>
          <w:rFonts w:ascii="Calibri" w:eastAsia="宋体" w:hAnsi="Calibri" w:cs="Times New Roman"/>
          <w:kern w:val="0"/>
          <w:sz w:val="24"/>
          <w:lang w:val="zh-CN"/>
        </w:rPr>
        <w:t>A</w:t>
      </w:r>
      <w:r w:rsidRPr="00C93813">
        <w:rPr>
          <w:rFonts w:ascii="Calibri" w:eastAsia="宋体" w:hAnsi="Calibri" w:cs="Times New Roman"/>
          <w:kern w:val="0"/>
          <w:sz w:val="24"/>
          <w:lang w:val="zh-CN"/>
        </w:rPr>
        <w:t>课文</w:t>
      </w:r>
      <w:r w:rsidRPr="00C93813">
        <w:rPr>
          <w:rFonts w:ascii="Calibri" w:eastAsia="宋体" w:hAnsi="Calibri" w:cs="Times New Roman"/>
          <w:kern w:val="0"/>
          <w:sz w:val="24"/>
        </w:rPr>
        <w:t>时</w:t>
      </w:r>
      <w:r w:rsidRPr="00C93813">
        <w:rPr>
          <w:rFonts w:ascii="Calibri" w:eastAsia="宋体" w:hAnsi="Calibri" w:cs="Times New Roman"/>
          <w:kern w:val="0"/>
          <w:sz w:val="24"/>
          <w:lang w:val="zh-CN"/>
        </w:rPr>
        <w:t>，</w:t>
      </w:r>
      <w:r w:rsidRPr="00C93813">
        <w:rPr>
          <w:rFonts w:ascii="Calibri" w:eastAsia="宋体" w:hAnsi="Calibri" w:cs="Times New Roman"/>
          <w:kern w:val="0"/>
          <w:sz w:val="24"/>
        </w:rPr>
        <w:t>总结</w:t>
      </w:r>
      <w:r w:rsidRPr="00C93813">
        <w:rPr>
          <w:rFonts w:ascii="Calibri" w:eastAsia="宋体" w:hAnsi="Calibri" w:cs="Times New Roman"/>
          <w:kern w:val="0"/>
          <w:sz w:val="24"/>
          <w:lang w:val="zh-CN"/>
        </w:rPr>
        <w:t>图书推广</w:t>
      </w:r>
      <w:r w:rsidRPr="00C93813">
        <w:rPr>
          <w:rFonts w:ascii="Calibri" w:eastAsia="宋体" w:hAnsi="Calibri" w:cs="Times New Roman"/>
          <w:kern w:val="0"/>
          <w:sz w:val="24"/>
        </w:rPr>
        <w:t>成功的原因和</w:t>
      </w:r>
      <w:r w:rsidRPr="00C93813">
        <w:rPr>
          <w:rFonts w:ascii="Calibri" w:eastAsia="宋体" w:hAnsi="Calibri" w:cs="Times New Roman"/>
          <w:kern w:val="0"/>
          <w:sz w:val="24"/>
          <w:lang w:val="zh-CN"/>
        </w:rPr>
        <w:t>益处</w:t>
      </w:r>
      <w:r w:rsidRPr="00C93813">
        <w:rPr>
          <w:rFonts w:ascii="Calibri" w:eastAsia="宋体" w:hAnsi="Calibri" w:cs="Times New Roman"/>
          <w:sz w:val="24"/>
        </w:rPr>
        <w:t>。对作者给出的作家案例进行分析，提出质疑或提供进一步的解释。小组讨论推广一本新书的方法，并阐述其可行性。简单了解经商之道，树立创新意识、法治意识、契约精神和守约观念</w:t>
      </w:r>
      <w:r w:rsidRPr="00C93813">
        <w:rPr>
          <w:rFonts w:ascii="Calibri" w:eastAsia="宋体" w:hAnsi="Calibri" w:cs="Times New Roman"/>
          <w:sz w:val="24"/>
        </w:rPr>
        <w:t xml:space="preserve">, </w:t>
      </w:r>
      <w:r w:rsidRPr="00C93813">
        <w:rPr>
          <w:rFonts w:ascii="Calibri" w:eastAsia="宋体" w:hAnsi="Calibri" w:cs="Times New Roman"/>
          <w:sz w:val="24"/>
        </w:rPr>
        <w:t>做正直诚信的时代青年。</w:t>
      </w:r>
      <w:r w:rsidRPr="00C93813">
        <w:rPr>
          <w:rFonts w:ascii="Calibri" w:eastAsia="宋体" w:hAnsi="Calibri" w:cs="Times New Roman"/>
          <w:kern w:val="0"/>
          <w:sz w:val="24"/>
          <w:lang w:val="zh-CN"/>
        </w:rPr>
        <w:t>Text</w:t>
      </w:r>
      <w:r w:rsidRPr="00C93813">
        <w:rPr>
          <w:rFonts w:ascii="Calibri" w:eastAsia="宋体" w:hAnsi="Calibri" w:cs="Times New Roman"/>
          <w:kern w:val="0"/>
          <w:sz w:val="24"/>
        </w:rPr>
        <w:t xml:space="preserve"> </w:t>
      </w:r>
      <w:r w:rsidRPr="00C93813">
        <w:rPr>
          <w:rFonts w:ascii="Calibri" w:eastAsia="宋体" w:hAnsi="Calibri" w:cs="Times New Roman"/>
          <w:kern w:val="0"/>
          <w:sz w:val="24"/>
          <w:lang w:val="zh-CN"/>
        </w:rPr>
        <w:t>B</w:t>
      </w:r>
      <w:r w:rsidRPr="00C93813">
        <w:rPr>
          <w:rFonts w:ascii="Calibri" w:eastAsia="宋体" w:hAnsi="Calibri" w:cs="Times New Roman"/>
          <w:kern w:val="0"/>
          <w:sz w:val="24"/>
          <w:lang w:val="zh-CN"/>
        </w:rPr>
        <w:t>课文中，</w:t>
      </w:r>
      <w:r w:rsidRPr="00C93813">
        <w:rPr>
          <w:rFonts w:ascii="Calibri" w:eastAsia="宋体" w:hAnsi="Calibri" w:cs="Times New Roman"/>
          <w:kern w:val="0"/>
          <w:sz w:val="24"/>
        </w:rPr>
        <w:t>了解自助服务变迁和发展，讨论自助服务的优点与弊端，并进行辩论，学习以全面客观的角度看待问题。</w:t>
      </w:r>
    </w:p>
    <w:p w14:paraId="3C16F500" w14:textId="77777777" w:rsidR="00C93813" w:rsidRPr="00C93813" w:rsidRDefault="00C93813" w:rsidP="00B23175">
      <w:pPr>
        <w:spacing w:line="360" w:lineRule="auto"/>
        <w:ind w:firstLineChars="200" w:firstLine="482"/>
        <w:rPr>
          <w:rFonts w:ascii="Calibri" w:eastAsia="宋体" w:hAnsi="Calibri" w:cs="Times New Roman"/>
          <w:b/>
          <w:sz w:val="24"/>
        </w:rPr>
      </w:pPr>
      <w:r w:rsidRPr="00C93813">
        <w:rPr>
          <w:rFonts w:ascii="Calibri" w:eastAsia="宋体" w:hAnsi="Calibri" w:cs="Times New Roman"/>
          <w:b/>
          <w:sz w:val="24"/>
        </w:rPr>
        <w:t>【学习内容】</w:t>
      </w:r>
    </w:p>
    <w:p w14:paraId="57C1D1FF"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1. </w:t>
      </w:r>
      <w:r w:rsidRPr="00C93813">
        <w:rPr>
          <w:rFonts w:ascii="Calibri" w:eastAsia="宋体" w:hAnsi="Calibri" w:cs="Times New Roman" w:hint="eastAsia"/>
          <w:sz w:val="24"/>
        </w:rPr>
        <w:t>线上学习并</w:t>
      </w:r>
      <w:r w:rsidRPr="00C93813">
        <w:rPr>
          <w:rFonts w:ascii="Calibri" w:eastAsia="宋体" w:hAnsi="Calibri" w:cs="Times New Roman"/>
          <w:sz w:val="24"/>
        </w:rPr>
        <w:t>讨论与本单元主题</w:t>
      </w:r>
      <w:r w:rsidRPr="00C93813">
        <w:rPr>
          <w:rFonts w:ascii="Calibri" w:eastAsia="宋体" w:hAnsi="Calibri" w:cs="Times New Roman"/>
          <w:sz w:val="24"/>
        </w:rPr>
        <w:t>“</w:t>
      </w:r>
      <w:r w:rsidRPr="00C93813">
        <w:rPr>
          <w:rFonts w:ascii="Calibri" w:eastAsia="宋体" w:hAnsi="Calibri" w:cs="Times New Roman" w:hint="eastAsia"/>
          <w:sz w:val="24"/>
        </w:rPr>
        <w:t>Commerce</w:t>
      </w:r>
      <w:r w:rsidRPr="00C93813">
        <w:rPr>
          <w:rFonts w:ascii="Calibri" w:eastAsia="宋体" w:hAnsi="Calibri" w:cs="Times New Roman"/>
          <w:sz w:val="24"/>
        </w:rPr>
        <w:t xml:space="preserve"> and Integrity”</w:t>
      </w:r>
      <w:r w:rsidRPr="00C93813">
        <w:rPr>
          <w:rFonts w:ascii="Calibri" w:eastAsia="宋体" w:hAnsi="Calibri" w:cs="Times New Roman"/>
          <w:sz w:val="24"/>
        </w:rPr>
        <w:t>相关的背景知识，例如：</w:t>
      </w:r>
      <w:r w:rsidRPr="00C93813">
        <w:rPr>
          <w:rFonts w:ascii="Calibri" w:eastAsia="宋体" w:hAnsi="Calibri" w:cs="Times New Roman" w:hint="eastAsia"/>
          <w:sz w:val="24"/>
        </w:rPr>
        <w:t>如何设计成立一个品牌</w:t>
      </w:r>
      <w:r w:rsidRPr="00C93813">
        <w:rPr>
          <w:rFonts w:ascii="Calibri" w:eastAsia="宋体" w:hAnsi="Calibri" w:cs="Times New Roman"/>
          <w:sz w:val="24"/>
        </w:rPr>
        <w:t>，</w:t>
      </w:r>
      <w:r w:rsidRPr="00C93813">
        <w:rPr>
          <w:rFonts w:ascii="Calibri" w:eastAsia="宋体" w:hAnsi="Calibri" w:cs="Times New Roman" w:hint="eastAsia"/>
          <w:sz w:val="24"/>
        </w:rPr>
        <w:t>其中包含品牌文化</w:t>
      </w:r>
      <w:r w:rsidRPr="00C93813">
        <w:rPr>
          <w:rFonts w:ascii="Calibri" w:eastAsia="宋体" w:hAnsi="Calibri" w:cs="Times New Roman"/>
          <w:sz w:val="24"/>
        </w:rPr>
        <w:t>、</w:t>
      </w:r>
      <w:r w:rsidRPr="00C93813">
        <w:rPr>
          <w:rFonts w:ascii="Calibri" w:eastAsia="宋体" w:hAnsi="Calibri" w:cs="Times New Roman" w:hint="eastAsia"/>
          <w:sz w:val="24"/>
        </w:rPr>
        <w:t>品牌价值</w:t>
      </w:r>
      <w:r w:rsidRPr="00C93813">
        <w:rPr>
          <w:rFonts w:ascii="Calibri" w:eastAsia="宋体" w:hAnsi="Calibri" w:cs="Times New Roman"/>
          <w:sz w:val="24"/>
        </w:rPr>
        <w:t>、</w:t>
      </w:r>
      <w:r w:rsidRPr="00C93813">
        <w:rPr>
          <w:rFonts w:ascii="Calibri" w:eastAsia="宋体" w:hAnsi="Calibri" w:cs="Times New Roman" w:hint="eastAsia"/>
          <w:sz w:val="24"/>
        </w:rPr>
        <w:t>品牌的定位和目标客户以及品牌的合作伙伴等内容</w:t>
      </w:r>
      <w:r w:rsidRPr="00C93813">
        <w:rPr>
          <w:rFonts w:ascii="Calibri" w:eastAsia="宋体" w:hAnsi="Calibri" w:cs="Times New Roman"/>
          <w:sz w:val="24"/>
        </w:rPr>
        <w:t>。</w:t>
      </w:r>
      <w:r w:rsidRPr="00C93813">
        <w:rPr>
          <w:rFonts w:ascii="Calibri" w:eastAsia="宋体" w:hAnsi="Calibri" w:cs="Times New Roman" w:hint="eastAsia"/>
          <w:sz w:val="24"/>
        </w:rPr>
        <w:t>熟悉词汇的发音</w:t>
      </w:r>
      <w:r w:rsidRPr="00C93813">
        <w:rPr>
          <w:rFonts w:ascii="Calibri" w:eastAsia="宋体" w:hAnsi="Calibri" w:cs="Times New Roman"/>
          <w:sz w:val="24"/>
        </w:rPr>
        <w:t>、</w:t>
      </w:r>
      <w:r w:rsidRPr="00C93813">
        <w:rPr>
          <w:rFonts w:ascii="Calibri" w:eastAsia="宋体" w:hAnsi="Calibri" w:cs="Times New Roman" w:hint="eastAsia"/>
          <w:sz w:val="24"/>
        </w:rPr>
        <w:t>意义及基本用法。</w:t>
      </w:r>
    </w:p>
    <w:p w14:paraId="41A20B0A"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2.</w:t>
      </w:r>
      <w:r w:rsidRPr="00C93813">
        <w:rPr>
          <w:rFonts w:ascii="Calibri" w:eastAsia="宋体" w:hAnsi="Calibri" w:cs="Times New Roman" w:hint="eastAsia"/>
          <w:sz w:val="24"/>
        </w:rPr>
        <w:t xml:space="preserve"> </w:t>
      </w:r>
      <w:r w:rsidRPr="00C93813">
        <w:rPr>
          <w:rFonts w:ascii="Calibri" w:eastAsia="宋体" w:hAnsi="Calibri" w:cs="Times New Roman" w:hint="eastAsia"/>
          <w:sz w:val="24"/>
        </w:rPr>
        <w:t>线下分析讨论</w:t>
      </w:r>
      <w:r w:rsidRPr="00C93813">
        <w:rPr>
          <w:rFonts w:ascii="Calibri" w:eastAsia="宋体" w:hAnsi="Calibri" w:cs="Times New Roman"/>
          <w:sz w:val="24"/>
        </w:rPr>
        <w:t xml:space="preserve">Text A </w:t>
      </w:r>
      <w:r w:rsidRPr="00C93813">
        <w:rPr>
          <w:rFonts w:ascii="Calibri" w:eastAsia="宋体" w:hAnsi="Calibri" w:cs="Times New Roman" w:hint="eastAsia"/>
          <w:i/>
          <w:iCs/>
          <w:sz w:val="24"/>
        </w:rPr>
        <w:t>How Writers Build the Brand</w:t>
      </w:r>
      <w:r w:rsidRPr="00C93813">
        <w:rPr>
          <w:rFonts w:ascii="Calibri" w:eastAsia="宋体" w:hAnsi="Calibri" w:cs="Times New Roman"/>
          <w:i/>
          <w:iCs/>
          <w:sz w:val="24"/>
        </w:rPr>
        <w:t>.</w:t>
      </w:r>
      <w:r w:rsidRPr="00C93813">
        <w:rPr>
          <w:rFonts w:ascii="Calibri" w:eastAsia="宋体" w:hAnsi="Calibri" w:cs="Times New Roman" w:hint="eastAsia"/>
          <w:sz w:val="24"/>
        </w:rPr>
        <w:t>处理文中长难句。</w:t>
      </w:r>
    </w:p>
    <w:p w14:paraId="008E4B97"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3. </w:t>
      </w:r>
      <w:r w:rsidRPr="00C93813">
        <w:rPr>
          <w:rFonts w:ascii="Calibri" w:eastAsia="宋体" w:hAnsi="Calibri" w:cs="Times New Roman" w:hint="eastAsia"/>
          <w:sz w:val="24"/>
        </w:rPr>
        <w:t>线上完成</w:t>
      </w:r>
      <w:r w:rsidRPr="00C93813">
        <w:rPr>
          <w:rFonts w:ascii="Calibri" w:eastAsia="宋体" w:hAnsi="Calibri" w:cs="Times New Roman" w:hint="eastAsia"/>
          <w:sz w:val="24"/>
        </w:rPr>
        <w:t xml:space="preserve">Text A </w:t>
      </w:r>
      <w:r w:rsidRPr="00C93813">
        <w:rPr>
          <w:rFonts w:ascii="Calibri" w:eastAsia="宋体" w:hAnsi="Calibri" w:cs="Times New Roman" w:hint="eastAsia"/>
          <w:sz w:val="24"/>
        </w:rPr>
        <w:t>部分练习</w:t>
      </w:r>
      <w:r w:rsidRPr="00C93813">
        <w:rPr>
          <w:rFonts w:ascii="Calibri" w:eastAsia="宋体" w:hAnsi="Calibri" w:cs="Times New Roman"/>
          <w:sz w:val="24"/>
        </w:rPr>
        <w:t>。</w:t>
      </w:r>
    </w:p>
    <w:p w14:paraId="6DF681DF"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4</w:t>
      </w:r>
      <w:r w:rsidRPr="00C93813">
        <w:rPr>
          <w:rFonts w:ascii="Calibri" w:eastAsia="宋体" w:hAnsi="Calibri" w:cs="Times New Roman"/>
          <w:sz w:val="24"/>
        </w:rPr>
        <w:t xml:space="preserve">. </w:t>
      </w:r>
      <w:r w:rsidRPr="00C93813">
        <w:rPr>
          <w:rFonts w:ascii="Calibri" w:eastAsia="宋体" w:hAnsi="Calibri" w:cs="Times New Roman" w:hint="eastAsia"/>
          <w:sz w:val="24"/>
        </w:rPr>
        <w:t>线下学习</w:t>
      </w:r>
      <w:r w:rsidRPr="00C93813">
        <w:rPr>
          <w:rFonts w:ascii="Calibri" w:eastAsia="宋体" w:hAnsi="Calibri" w:cs="Times New Roman"/>
          <w:sz w:val="24"/>
        </w:rPr>
        <w:t xml:space="preserve">Text B </w:t>
      </w:r>
      <w:r w:rsidRPr="00C93813">
        <w:rPr>
          <w:rFonts w:ascii="Calibri" w:eastAsia="宋体" w:hAnsi="Calibri" w:cs="Times New Roman" w:hint="eastAsia"/>
          <w:i/>
          <w:iCs/>
          <w:sz w:val="24"/>
        </w:rPr>
        <w:t>Self-serving Propaganda</w:t>
      </w:r>
      <w:r w:rsidRPr="00C93813">
        <w:rPr>
          <w:rFonts w:ascii="Calibri" w:eastAsia="宋体" w:hAnsi="Calibri" w:cs="Times New Roman"/>
          <w:sz w:val="24"/>
        </w:rPr>
        <w:t>，</w:t>
      </w:r>
      <w:r w:rsidRPr="00C93813">
        <w:rPr>
          <w:rFonts w:ascii="Calibri" w:eastAsia="宋体" w:hAnsi="Calibri" w:cs="Times New Roman" w:hint="eastAsia"/>
          <w:sz w:val="24"/>
        </w:rPr>
        <w:t>整理</w:t>
      </w:r>
      <w:r w:rsidRPr="00C93813">
        <w:rPr>
          <w:rFonts w:ascii="Calibri" w:eastAsia="宋体" w:hAnsi="Calibri" w:cs="Times New Roman"/>
          <w:sz w:val="24"/>
        </w:rPr>
        <w:t>文章结构，把握文章主题。</w:t>
      </w:r>
    </w:p>
    <w:p w14:paraId="24E133B0"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5. </w:t>
      </w:r>
      <w:r w:rsidRPr="00C93813">
        <w:rPr>
          <w:rFonts w:ascii="Calibri" w:eastAsia="宋体" w:hAnsi="Calibri" w:cs="Times New Roman" w:hint="eastAsia"/>
          <w:sz w:val="24"/>
        </w:rPr>
        <w:t>线上</w:t>
      </w:r>
      <w:r w:rsidRPr="00C93813">
        <w:rPr>
          <w:rFonts w:ascii="Calibri" w:eastAsia="宋体" w:hAnsi="Calibri" w:cs="Times New Roman"/>
          <w:sz w:val="24"/>
        </w:rPr>
        <w:t>完成</w:t>
      </w:r>
      <w:r w:rsidRPr="00C93813">
        <w:rPr>
          <w:rFonts w:ascii="Calibri" w:eastAsia="宋体" w:hAnsi="Calibri" w:cs="Times New Roman" w:hint="eastAsia"/>
          <w:sz w:val="24"/>
        </w:rPr>
        <w:t>视听说教材第</w:t>
      </w:r>
      <w:r w:rsidRPr="00C93813">
        <w:rPr>
          <w:rFonts w:ascii="Calibri" w:eastAsia="宋体" w:hAnsi="Calibri" w:cs="Times New Roman" w:hint="eastAsia"/>
          <w:sz w:val="24"/>
        </w:rPr>
        <w:t>5</w:t>
      </w:r>
      <w:r w:rsidRPr="00C93813">
        <w:rPr>
          <w:rFonts w:ascii="Calibri" w:eastAsia="宋体" w:hAnsi="Calibri" w:cs="Times New Roman" w:hint="eastAsia"/>
          <w:sz w:val="24"/>
        </w:rPr>
        <w:t>单元内容。</w:t>
      </w:r>
    </w:p>
    <w:p w14:paraId="6E88A6B3"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6. </w:t>
      </w:r>
      <w:r w:rsidRPr="00C93813">
        <w:rPr>
          <w:rFonts w:ascii="Calibri" w:eastAsia="宋体" w:hAnsi="Calibri" w:cs="Times New Roman" w:hint="eastAsia"/>
          <w:sz w:val="24"/>
        </w:rPr>
        <w:t>翻译技巧讲解</w:t>
      </w:r>
      <w:r w:rsidRPr="00C93813">
        <w:rPr>
          <w:rFonts w:ascii="Calibri" w:eastAsia="宋体" w:hAnsi="Calibri" w:cs="Times New Roman" w:hint="eastAsia"/>
          <w:sz w:val="24"/>
        </w:rPr>
        <w:t xml:space="preserve">: </w:t>
      </w:r>
      <w:r w:rsidRPr="00C93813">
        <w:rPr>
          <w:rFonts w:ascii="Calibri" w:eastAsia="宋体" w:hAnsi="Calibri" w:cs="Times New Roman" w:hint="eastAsia"/>
          <w:sz w:val="24"/>
        </w:rPr>
        <w:t>提高篇</w:t>
      </w:r>
      <w:r w:rsidRPr="00C93813">
        <w:rPr>
          <w:rFonts w:ascii="Calibri" w:eastAsia="宋体" w:hAnsi="Calibri" w:cs="Times New Roman"/>
          <w:sz w:val="24"/>
        </w:rPr>
        <w:t>。</w:t>
      </w:r>
    </w:p>
    <w:p w14:paraId="0B7010F9"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7. </w:t>
      </w:r>
      <w:r w:rsidRPr="00C93813">
        <w:rPr>
          <w:rFonts w:ascii="Calibri" w:eastAsia="宋体" w:hAnsi="Calibri" w:cs="Times New Roman" w:hint="eastAsia"/>
          <w:sz w:val="24"/>
        </w:rPr>
        <w:t>主题写作：总结类</w:t>
      </w:r>
      <w:r w:rsidRPr="00C93813">
        <w:rPr>
          <w:rFonts w:ascii="Calibri" w:eastAsia="宋体" w:hAnsi="Calibri" w:cs="Times New Roman"/>
          <w:sz w:val="24"/>
        </w:rPr>
        <w:t>。</w:t>
      </w:r>
    </w:p>
    <w:p w14:paraId="6547E251"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8.</w:t>
      </w:r>
      <w:r w:rsidRPr="00C93813">
        <w:rPr>
          <w:rFonts w:ascii="Calibri" w:eastAsia="宋体" w:hAnsi="Calibri" w:cs="Times New Roman"/>
          <w:sz w:val="24"/>
        </w:rPr>
        <w:t xml:space="preserve"> </w:t>
      </w:r>
      <w:proofErr w:type="gramStart"/>
      <w:r w:rsidRPr="00C93813">
        <w:rPr>
          <w:rFonts w:ascii="Calibri" w:eastAsia="宋体" w:hAnsi="Calibri" w:cs="Times New Roman" w:hint="eastAsia"/>
          <w:sz w:val="24"/>
        </w:rPr>
        <w:t>思政元素</w:t>
      </w:r>
      <w:proofErr w:type="gramEnd"/>
      <w:r w:rsidRPr="00C93813">
        <w:rPr>
          <w:rFonts w:ascii="Calibri" w:eastAsia="宋体" w:hAnsi="Calibri" w:cs="Times New Roman" w:hint="eastAsia"/>
          <w:sz w:val="24"/>
        </w:rPr>
        <w:t>：从</w:t>
      </w:r>
      <w:r w:rsidRPr="00C93813">
        <w:rPr>
          <w:rFonts w:ascii="Calibri" w:eastAsia="宋体" w:hAnsi="Calibri" w:cs="Times New Roman" w:hint="eastAsia"/>
          <w:sz w:val="24"/>
        </w:rPr>
        <w:t>Passage A</w:t>
      </w:r>
      <w:r w:rsidRPr="00C93813">
        <w:rPr>
          <w:rFonts w:ascii="Calibri" w:eastAsia="宋体" w:hAnsi="Calibri" w:cs="Times New Roman" w:hint="eastAsia"/>
          <w:sz w:val="24"/>
        </w:rPr>
        <w:t>课文中提及的多位作家自我推销的经历和实际中</w:t>
      </w:r>
      <w:r w:rsidRPr="00C93813">
        <w:rPr>
          <w:rFonts w:ascii="Calibri" w:eastAsia="宋体" w:hAnsi="Calibri" w:cs="Times New Roman"/>
          <w:sz w:val="24"/>
        </w:rPr>
        <w:t>，</w:t>
      </w:r>
      <w:r w:rsidRPr="00C93813">
        <w:rPr>
          <w:rFonts w:ascii="Calibri" w:eastAsia="宋体" w:hAnsi="Calibri" w:cs="Times New Roman" w:hint="eastAsia"/>
          <w:sz w:val="24"/>
        </w:rPr>
        <w:t>认识到干成一件事情、成就有作为的人生，务必从基础做起、扎实推进</w:t>
      </w:r>
      <w:r w:rsidRPr="00C93813">
        <w:rPr>
          <w:rFonts w:ascii="Calibri" w:eastAsia="宋体" w:hAnsi="Calibri" w:cs="Times New Roman"/>
          <w:sz w:val="24"/>
        </w:rPr>
        <w:t>；</w:t>
      </w:r>
      <w:r w:rsidRPr="00C93813">
        <w:rPr>
          <w:rFonts w:ascii="Calibri" w:eastAsia="宋体" w:hAnsi="Calibri" w:cs="Times New Roman" w:hint="eastAsia"/>
          <w:sz w:val="24"/>
        </w:rPr>
        <w:t>要磨练持之以恒的意志，培养工匠精神并增强创新意识</w:t>
      </w:r>
      <w:r w:rsidRPr="00C93813">
        <w:rPr>
          <w:rFonts w:ascii="Calibri" w:eastAsia="宋体" w:hAnsi="Calibri" w:cs="Times New Roman"/>
          <w:sz w:val="24"/>
        </w:rPr>
        <w:t>。</w:t>
      </w:r>
      <w:r w:rsidRPr="00C93813">
        <w:rPr>
          <w:rFonts w:ascii="Calibri" w:eastAsia="宋体" w:hAnsi="Calibri" w:cs="Times New Roman" w:hint="eastAsia"/>
          <w:sz w:val="24"/>
        </w:rPr>
        <w:t>从</w:t>
      </w:r>
      <w:r w:rsidRPr="00C93813">
        <w:rPr>
          <w:rFonts w:ascii="Calibri" w:eastAsia="宋体" w:hAnsi="Calibri" w:cs="Times New Roman" w:hint="eastAsia"/>
          <w:sz w:val="24"/>
        </w:rPr>
        <w:t>Passage B</w:t>
      </w:r>
      <w:r w:rsidRPr="00C93813">
        <w:rPr>
          <w:rFonts w:ascii="Calibri" w:eastAsia="宋体" w:hAnsi="Calibri" w:cs="Times New Roman" w:hint="eastAsia"/>
          <w:sz w:val="24"/>
        </w:rPr>
        <w:t>课文中思考自助服务对人带</w:t>
      </w:r>
      <w:r w:rsidRPr="00C93813">
        <w:rPr>
          <w:rFonts w:ascii="Calibri" w:eastAsia="宋体" w:hAnsi="Calibri" w:cs="Times New Roman" w:hint="eastAsia"/>
          <w:sz w:val="24"/>
        </w:rPr>
        <w:lastRenderedPageBreak/>
        <w:t>来便捷的同时还带来了哪些负面的影响，如何增强科技创新并使技术发展更好的服务于人类生活。</w:t>
      </w:r>
    </w:p>
    <w:p w14:paraId="11C230AB" w14:textId="77777777" w:rsidR="00C93813" w:rsidRPr="00C93813" w:rsidRDefault="00C93813" w:rsidP="00B23175">
      <w:pPr>
        <w:spacing w:line="360" w:lineRule="auto"/>
        <w:ind w:firstLineChars="200" w:firstLine="482"/>
        <w:rPr>
          <w:rFonts w:ascii="Calibri" w:eastAsia="宋体" w:hAnsi="Calibri" w:cs="Times New Roman"/>
          <w:b/>
          <w:sz w:val="24"/>
        </w:rPr>
      </w:pPr>
      <w:r w:rsidRPr="00C93813">
        <w:rPr>
          <w:rFonts w:ascii="Calibri" w:eastAsia="宋体" w:hAnsi="Calibri" w:cs="Times New Roman"/>
          <w:b/>
          <w:sz w:val="24"/>
        </w:rPr>
        <w:t>【重点】</w:t>
      </w:r>
    </w:p>
    <w:p w14:paraId="61D1D188" w14:textId="77777777" w:rsidR="00C93813" w:rsidRPr="00C93813" w:rsidRDefault="00C93813" w:rsidP="00B23175">
      <w:pPr>
        <w:numPr>
          <w:ilvl w:val="0"/>
          <w:numId w:val="33"/>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省略“</w:t>
      </w:r>
      <w:r w:rsidRPr="00C93813">
        <w:rPr>
          <w:rFonts w:ascii="Calibri" w:eastAsia="宋体" w:hAnsi="Calibri" w:cs="Times New Roman" w:hint="eastAsia"/>
          <w:sz w:val="24"/>
        </w:rPr>
        <w:t>shoul</w:t>
      </w:r>
      <w:r w:rsidRPr="00C93813">
        <w:rPr>
          <w:rFonts w:ascii="Calibri" w:eastAsia="宋体" w:hAnsi="Calibri" w:cs="Times New Roman"/>
          <w:sz w:val="24"/>
        </w:rPr>
        <w:t>d</w:t>
      </w:r>
      <w:r w:rsidRPr="00C93813">
        <w:rPr>
          <w:rFonts w:ascii="Calibri" w:eastAsia="宋体" w:hAnsi="Calibri" w:cs="Times New Roman" w:hint="eastAsia"/>
          <w:sz w:val="24"/>
        </w:rPr>
        <w:t>”的虚拟语气等句法和课文重点单词、短语</w:t>
      </w:r>
      <w:r w:rsidRPr="00C93813">
        <w:rPr>
          <w:rFonts w:ascii="Calibri" w:eastAsia="宋体" w:hAnsi="Calibri" w:cs="Times New Roman"/>
          <w:sz w:val="24"/>
        </w:rPr>
        <w:t>。</w:t>
      </w:r>
    </w:p>
    <w:p w14:paraId="49603E33" w14:textId="77777777" w:rsidR="00C93813" w:rsidRPr="00C93813" w:rsidRDefault="00C93813" w:rsidP="00B23175">
      <w:pPr>
        <w:numPr>
          <w:ilvl w:val="0"/>
          <w:numId w:val="33"/>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翻译方法的选择</w:t>
      </w:r>
      <w:r w:rsidRPr="00C93813">
        <w:rPr>
          <w:rFonts w:ascii="Calibri" w:eastAsia="宋体" w:hAnsi="Calibri" w:cs="Times New Roman"/>
          <w:sz w:val="24"/>
        </w:rPr>
        <w:t>。</w:t>
      </w:r>
    </w:p>
    <w:p w14:paraId="0C3F04AB" w14:textId="77777777" w:rsidR="00C93813" w:rsidRPr="00C93813" w:rsidRDefault="00C93813" w:rsidP="00B23175">
      <w:pPr>
        <w:numPr>
          <w:ilvl w:val="0"/>
          <w:numId w:val="33"/>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总结类写作结构</w:t>
      </w:r>
      <w:r w:rsidRPr="00C93813">
        <w:rPr>
          <w:rFonts w:ascii="Calibri" w:eastAsia="宋体" w:hAnsi="Calibri" w:cs="Times New Roman"/>
          <w:sz w:val="24"/>
        </w:rPr>
        <w:t>。</w:t>
      </w:r>
    </w:p>
    <w:p w14:paraId="68A2DB4D" w14:textId="77777777" w:rsidR="00C93813" w:rsidRPr="00C93813" w:rsidRDefault="00C93813" w:rsidP="00B23175">
      <w:pPr>
        <w:spacing w:line="360" w:lineRule="auto"/>
        <w:ind w:firstLineChars="200" w:firstLine="482"/>
        <w:rPr>
          <w:rFonts w:ascii="Calibri" w:eastAsia="宋体" w:hAnsi="Calibri" w:cs="Times New Roman"/>
          <w:b/>
          <w:sz w:val="24"/>
        </w:rPr>
      </w:pPr>
      <w:r w:rsidRPr="00C93813">
        <w:rPr>
          <w:rFonts w:ascii="Calibri" w:eastAsia="宋体" w:hAnsi="Calibri" w:cs="Times New Roman"/>
          <w:b/>
          <w:sz w:val="24"/>
        </w:rPr>
        <w:t>【难点】</w:t>
      </w:r>
    </w:p>
    <w:p w14:paraId="4AC4083E" w14:textId="77777777" w:rsidR="00C93813" w:rsidRPr="00C93813" w:rsidRDefault="00C93813" w:rsidP="00B23175">
      <w:pPr>
        <w:spacing w:line="360" w:lineRule="auto"/>
        <w:ind w:firstLineChars="200" w:firstLine="480"/>
        <w:rPr>
          <w:rFonts w:ascii="Calibri" w:eastAsia="宋体" w:hAnsi="Calibri" w:cs="Times New Roman"/>
          <w:kern w:val="0"/>
          <w:sz w:val="24"/>
        </w:rPr>
      </w:pPr>
      <w:r w:rsidRPr="00C93813">
        <w:rPr>
          <w:rFonts w:ascii="Calibri" w:eastAsia="宋体" w:hAnsi="Calibri" w:cs="Times New Roman" w:hint="eastAsia"/>
          <w:bCs/>
          <w:sz w:val="24"/>
        </w:rPr>
        <w:t>1.</w:t>
      </w:r>
      <w:r w:rsidRPr="00C93813">
        <w:rPr>
          <w:rFonts w:ascii="Calibri" w:eastAsia="宋体" w:hAnsi="Calibri" w:cs="Times New Roman" w:hint="eastAsia"/>
          <w:bCs/>
          <w:sz w:val="24"/>
        </w:rPr>
        <w:t>课</w:t>
      </w:r>
      <w:r w:rsidRPr="00C93813">
        <w:rPr>
          <w:rFonts w:ascii="Calibri" w:eastAsia="宋体" w:hAnsi="Calibri" w:cs="Times New Roman" w:hint="eastAsia"/>
          <w:sz w:val="24"/>
        </w:rPr>
        <w:t>文重点单词、短语和句法</w:t>
      </w:r>
      <w:r w:rsidRPr="00C93813">
        <w:rPr>
          <w:rFonts w:ascii="Calibri" w:eastAsia="宋体" w:hAnsi="Calibri" w:cs="Times New Roman" w:hint="eastAsia"/>
          <w:kern w:val="0"/>
          <w:sz w:val="24"/>
        </w:rPr>
        <w:t>等。</w:t>
      </w:r>
    </w:p>
    <w:p w14:paraId="5D7D023F"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2.</w:t>
      </w:r>
      <w:r w:rsidRPr="00C93813">
        <w:rPr>
          <w:rFonts w:ascii="Calibri" w:eastAsia="宋体" w:hAnsi="Calibri" w:cs="Times New Roman" w:hint="eastAsia"/>
          <w:sz w:val="24"/>
        </w:rPr>
        <w:t>课文中出现的作家名人及涉及到的人文地理知识等</w:t>
      </w:r>
      <w:r w:rsidRPr="00C93813">
        <w:rPr>
          <w:rFonts w:ascii="Calibri" w:eastAsia="宋体" w:hAnsi="Calibri" w:cs="Times New Roman"/>
          <w:sz w:val="24"/>
        </w:rPr>
        <w:t>。</w:t>
      </w:r>
    </w:p>
    <w:p w14:paraId="1FCC0EEB"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3.</w:t>
      </w:r>
      <w:r w:rsidRPr="00C93813">
        <w:rPr>
          <w:rFonts w:ascii="Calibri" w:eastAsia="宋体" w:hAnsi="Calibri" w:cs="Times New Roman" w:hint="eastAsia"/>
          <w:sz w:val="24"/>
        </w:rPr>
        <w:t>阅读技巧</w:t>
      </w:r>
      <w:r w:rsidRPr="00C93813">
        <w:rPr>
          <w:rFonts w:ascii="Calibri" w:eastAsia="宋体" w:hAnsi="Calibri" w:cs="Times New Roman"/>
          <w:sz w:val="24"/>
        </w:rPr>
        <w:t>：</w:t>
      </w:r>
      <w:r w:rsidRPr="00C93813">
        <w:rPr>
          <w:rFonts w:ascii="Calibri" w:eastAsia="宋体" w:hAnsi="Calibri" w:cs="Times New Roman" w:hint="eastAsia"/>
          <w:sz w:val="24"/>
        </w:rPr>
        <w:t>识别“抗辩”</w:t>
      </w:r>
      <w:r w:rsidRPr="00C93813">
        <w:rPr>
          <w:rFonts w:ascii="Calibri" w:eastAsia="宋体" w:hAnsi="Calibri" w:cs="Times New Roman"/>
          <w:sz w:val="24"/>
        </w:rPr>
        <w:t>。</w:t>
      </w:r>
    </w:p>
    <w:p w14:paraId="726513A7" w14:textId="77777777" w:rsidR="00C93813" w:rsidRPr="00C93813" w:rsidRDefault="00C93813" w:rsidP="00B23175">
      <w:pPr>
        <w:spacing w:line="360" w:lineRule="auto"/>
        <w:ind w:firstLineChars="200" w:firstLine="482"/>
        <w:rPr>
          <w:rFonts w:ascii="Calibri" w:eastAsia="宋体" w:hAnsi="Calibri" w:cs="Times New Roman"/>
          <w:sz w:val="24"/>
        </w:rPr>
      </w:pPr>
      <w:r w:rsidRPr="00C93813">
        <w:rPr>
          <w:rFonts w:ascii="Calibri" w:eastAsia="宋体" w:hAnsi="Calibri" w:cs="Times New Roman"/>
          <w:b/>
          <w:bCs/>
          <w:sz w:val="24"/>
        </w:rPr>
        <w:t>【教学方法】</w:t>
      </w:r>
    </w:p>
    <w:p w14:paraId="2AAFD60B" w14:textId="77777777" w:rsidR="00C93813" w:rsidRPr="00C93813" w:rsidRDefault="00C93813" w:rsidP="00B23175">
      <w:pPr>
        <w:numPr>
          <w:ilvl w:val="0"/>
          <w:numId w:val="34"/>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讲授法：通过课堂讲解，使学生了解作家推销作品时使用的方法及历史趣闻，以及课文中的重点词汇和句型，帮助学生增长专业知识；讲解自助服务发展历程，及其积极和消极两方面的不同影响，引导学生辩证性看待问题</w:t>
      </w:r>
      <w:r w:rsidRPr="00C93813">
        <w:rPr>
          <w:rFonts w:ascii="Calibri" w:eastAsia="宋体" w:hAnsi="Calibri" w:cs="Times New Roman"/>
          <w:sz w:val="24"/>
        </w:rPr>
        <w:t>。</w:t>
      </w:r>
    </w:p>
    <w:p w14:paraId="36B33EE3" w14:textId="77777777" w:rsidR="00C93813" w:rsidRPr="00C93813" w:rsidRDefault="00C93813" w:rsidP="00B23175">
      <w:pPr>
        <w:numPr>
          <w:ilvl w:val="0"/>
          <w:numId w:val="34"/>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小组讨论法：分小组划分文章的段落结构，概括段落大意，并由学生讲解，这有利于提高学生的合作能力和口语表达能力，发挥学生学习的自觉性与主动性</w:t>
      </w:r>
      <w:r w:rsidRPr="00C93813">
        <w:rPr>
          <w:rFonts w:ascii="Calibri" w:eastAsia="宋体" w:hAnsi="Calibri" w:cs="Times New Roman"/>
          <w:sz w:val="24"/>
        </w:rPr>
        <w:t>，</w:t>
      </w:r>
      <w:r w:rsidRPr="00C93813">
        <w:rPr>
          <w:rFonts w:ascii="Calibri" w:eastAsia="宋体" w:hAnsi="Calibri" w:cs="Times New Roman" w:hint="eastAsia"/>
          <w:sz w:val="24"/>
        </w:rPr>
        <w:t>锻炼其信息搜集能力</w:t>
      </w:r>
      <w:r w:rsidRPr="00C93813">
        <w:rPr>
          <w:rFonts w:ascii="Calibri" w:eastAsia="宋体" w:hAnsi="Calibri" w:cs="Times New Roman"/>
          <w:sz w:val="24"/>
        </w:rPr>
        <w:t>；</w:t>
      </w:r>
      <w:r w:rsidRPr="00C93813">
        <w:rPr>
          <w:rFonts w:ascii="Calibri" w:eastAsia="宋体" w:hAnsi="Calibri" w:cs="Times New Roman" w:hint="eastAsia"/>
          <w:sz w:val="24"/>
        </w:rPr>
        <w:t>通过讨论如何成立一个品牌，活跃学生思维</w:t>
      </w:r>
      <w:r w:rsidRPr="00C93813">
        <w:rPr>
          <w:rFonts w:ascii="Calibri" w:eastAsia="宋体" w:hAnsi="Calibri" w:cs="Times New Roman"/>
          <w:sz w:val="24"/>
        </w:rPr>
        <w:t>，</w:t>
      </w:r>
      <w:r w:rsidRPr="00C93813">
        <w:rPr>
          <w:rFonts w:ascii="Calibri" w:eastAsia="宋体" w:hAnsi="Calibri" w:cs="Times New Roman" w:hint="eastAsia"/>
          <w:sz w:val="24"/>
        </w:rPr>
        <w:t>培养逻辑性</w:t>
      </w:r>
      <w:r w:rsidRPr="00C93813">
        <w:rPr>
          <w:rFonts w:ascii="Calibri" w:eastAsia="宋体" w:hAnsi="Calibri" w:cs="Times New Roman"/>
          <w:sz w:val="24"/>
        </w:rPr>
        <w:t>，</w:t>
      </w:r>
      <w:r w:rsidRPr="00C93813">
        <w:rPr>
          <w:rFonts w:ascii="Calibri" w:eastAsia="宋体" w:hAnsi="Calibri" w:cs="Times New Roman" w:hint="eastAsia"/>
          <w:sz w:val="24"/>
        </w:rPr>
        <w:t>激发其创新意识</w:t>
      </w:r>
      <w:r w:rsidRPr="00C93813">
        <w:rPr>
          <w:rFonts w:ascii="Calibri" w:eastAsia="宋体" w:hAnsi="Calibri" w:cs="Times New Roman"/>
          <w:sz w:val="24"/>
        </w:rPr>
        <w:t>。</w:t>
      </w:r>
      <w:r w:rsidRPr="00C93813">
        <w:rPr>
          <w:rFonts w:ascii="Calibri" w:eastAsia="宋体" w:hAnsi="Calibri" w:cs="Times New Roman" w:hint="eastAsia"/>
          <w:sz w:val="24"/>
        </w:rPr>
        <w:t>结合课文内容分析达成目标的途径和必需特质</w:t>
      </w:r>
      <w:r w:rsidRPr="00C93813">
        <w:rPr>
          <w:rFonts w:ascii="Calibri" w:eastAsia="宋体" w:hAnsi="Calibri" w:cs="Times New Roman"/>
          <w:sz w:val="24"/>
        </w:rPr>
        <w:t>，</w:t>
      </w:r>
      <w:r w:rsidRPr="00C93813">
        <w:rPr>
          <w:rFonts w:ascii="Calibri" w:eastAsia="宋体" w:hAnsi="Calibri" w:cs="Times New Roman" w:hint="eastAsia"/>
          <w:sz w:val="24"/>
        </w:rPr>
        <w:t>给学生树立“不忘初心</w:t>
      </w:r>
      <w:r w:rsidRPr="00C93813">
        <w:rPr>
          <w:rFonts w:ascii="Calibri" w:eastAsia="宋体" w:hAnsi="Calibri" w:cs="Times New Roman"/>
          <w:sz w:val="24"/>
        </w:rPr>
        <w:t>，</w:t>
      </w:r>
      <w:r w:rsidRPr="00C93813">
        <w:rPr>
          <w:rFonts w:ascii="Calibri" w:eastAsia="宋体" w:hAnsi="Calibri" w:cs="Times New Roman" w:hint="eastAsia"/>
          <w:sz w:val="24"/>
        </w:rPr>
        <w:t>方得始终”的事业观</w:t>
      </w:r>
      <w:r w:rsidRPr="00C93813">
        <w:rPr>
          <w:rFonts w:ascii="Calibri" w:eastAsia="宋体" w:hAnsi="Calibri" w:cs="Times New Roman"/>
          <w:sz w:val="24"/>
        </w:rPr>
        <w:t>、</w:t>
      </w:r>
      <w:r w:rsidRPr="00C93813">
        <w:rPr>
          <w:rFonts w:ascii="Calibri" w:eastAsia="宋体" w:hAnsi="Calibri" w:cs="Times New Roman" w:hint="eastAsia"/>
          <w:sz w:val="24"/>
        </w:rPr>
        <w:t>人生观</w:t>
      </w:r>
      <w:r w:rsidRPr="00C93813">
        <w:rPr>
          <w:rFonts w:ascii="Calibri" w:eastAsia="宋体" w:hAnsi="Calibri" w:cs="Times New Roman"/>
          <w:sz w:val="24"/>
        </w:rPr>
        <w:t>。</w:t>
      </w:r>
    </w:p>
    <w:p w14:paraId="15804A9B" w14:textId="77777777" w:rsidR="00C93813" w:rsidRPr="00C93813" w:rsidRDefault="00C93813" w:rsidP="00B23175">
      <w:pPr>
        <w:numPr>
          <w:ilvl w:val="0"/>
          <w:numId w:val="34"/>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自主学习法和讲授法：通过讲解“影子跟读”的练习方法提升学生听力练习效率，增强学生对不同主题听力材料的熟悉度，让学生自主完成听力部分的练习。</w:t>
      </w:r>
    </w:p>
    <w:p w14:paraId="75BAE25D"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4. </w:t>
      </w:r>
      <w:r w:rsidRPr="00C93813">
        <w:rPr>
          <w:rFonts w:ascii="Calibri" w:eastAsia="宋体" w:hAnsi="Calibri" w:cs="Times New Roman" w:hint="eastAsia"/>
          <w:sz w:val="24"/>
        </w:rPr>
        <w:t>混合式教学法（线上</w:t>
      </w:r>
      <w:r w:rsidRPr="00C93813">
        <w:rPr>
          <w:rFonts w:ascii="Calibri" w:eastAsia="宋体" w:hAnsi="Calibri" w:cs="Times New Roman" w:hint="eastAsia"/>
          <w:sz w:val="24"/>
        </w:rPr>
        <w:t>+</w:t>
      </w:r>
      <w:r w:rsidRPr="00C93813">
        <w:rPr>
          <w:rFonts w:ascii="Calibri" w:eastAsia="宋体" w:hAnsi="Calibri" w:cs="Times New Roman" w:hint="eastAsia"/>
          <w:sz w:val="24"/>
        </w:rPr>
        <w:t>线下）：让学生在学习通平台上</w:t>
      </w:r>
      <w:proofErr w:type="gramStart"/>
      <w:r w:rsidRPr="00C93813">
        <w:rPr>
          <w:rFonts w:ascii="Calibri" w:eastAsia="宋体" w:hAnsi="Calibri" w:cs="Times New Roman" w:hint="eastAsia"/>
          <w:sz w:val="24"/>
        </w:rPr>
        <w:t>观看录课视频</w:t>
      </w:r>
      <w:proofErr w:type="gramEnd"/>
      <w:r w:rsidRPr="00C93813">
        <w:rPr>
          <w:rFonts w:ascii="Calibri" w:eastAsia="宋体" w:hAnsi="Calibri" w:cs="Times New Roman" w:hint="eastAsia"/>
          <w:sz w:val="24"/>
        </w:rPr>
        <w:t>和推荐视频</w:t>
      </w:r>
      <w:r w:rsidRPr="00C93813">
        <w:rPr>
          <w:rFonts w:ascii="Calibri" w:eastAsia="宋体" w:hAnsi="Calibri" w:cs="Times New Roman"/>
          <w:sz w:val="24"/>
        </w:rPr>
        <w:t>，</w:t>
      </w:r>
      <w:r w:rsidRPr="00C93813">
        <w:rPr>
          <w:rFonts w:ascii="Calibri" w:eastAsia="宋体" w:hAnsi="Calibri" w:cs="Times New Roman" w:hint="eastAsia"/>
          <w:sz w:val="24"/>
        </w:rPr>
        <w:t>了解课文中提及的作家及相应文学常识</w:t>
      </w:r>
      <w:r w:rsidRPr="00C93813">
        <w:rPr>
          <w:rFonts w:ascii="Calibri" w:eastAsia="宋体" w:hAnsi="Calibri" w:cs="Times New Roman"/>
          <w:sz w:val="24"/>
        </w:rPr>
        <w:t>。</w:t>
      </w:r>
      <w:r w:rsidRPr="00C93813">
        <w:rPr>
          <w:rFonts w:ascii="Calibri" w:eastAsia="宋体" w:hAnsi="Calibri" w:cs="Times New Roman" w:hint="eastAsia"/>
          <w:sz w:val="24"/>
        </w:rPr>
        <w:t>结合实际分小组研究影响作家推销作品的主客观因素</w:t>
      </w:r>
      <w:r w:rsidRPr="00C93813">
        <w:rPr>
          <w:rFonts w:ascii="Calibri" w:eastAsia="宋体" w:hAnsi="Calibri" w:cs="Times New Roman"/>
          <w:sz w:val="24"/>
        </w:rPr>
        <w:t>，</w:t>
      </w:r>
      <w:r w:rsidRPr="00C93813">
        <w:rPr>
          <w:rFonts w:ascii="Calibri" w:eastAsia="宋体" w:hAnsi="Calibri" w:cs="Times New Roman" w:hint="eastAsia"/>
          <w:sz w:val="24"/>
        </w:rPr>
        <w:t>并派代表进行成果展示，增强语言概括能力和逻辑思维能力。</w:t>
      </w:r>
    </w:p>
    <w:p w14:paraId="1D8B039F" w14:textId="77777777" w:rsidR="00C93813" w:rsidRPr="00C93813" w:rsidRDefault="00C93813" w:rsidP="00B23175">
      <w:pPr>
        <w:spacing w:line="360" w:lineRule="auto"/>
        <w:ind w:firstLineChars="200" w:firstLine="482"/>
        <w:rPr>
          <w:rFonts w:ascii="Calibri" w:eastAsia="宋体" w:hAnsi="Calibri" w:cs="Times New Roman"/>
          <w:b/>
          <w:bCs/>
          <w:sz w:val="24"/>
        </w:rPr>
      </w:pPr>
      <w:r w:rsidRPr="00C93813">
        <w:rPr>
          <w:rFonts w:ascii="Calibri" w:eastAsia="宋体" w:hAnsi="Calibri" w:cs="Times New Roman"/>
          <w:b/>
          <w:bCs/>
          <w:sz w:val="24"/>
        </w:rPr>
        <w:t>【复习思考】</w:t>
      </w:r>
    </w:p>
    <w:p w14:paraId="7916ABB9"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1. </w:t>
      </w:r>
      <w:r w:rsidRPr="00C93813">
        <w:rPr>
          <w:rFonts w:ascii="Calibri" w:eastAsia="宋体" w:hAnsi="Calibri" w:cs="Times New Roman"/>
          <w:sz w:val="24"/>
        </w:rPr>
        <w:t>思考</w:t>
      </w:r>
      <w:r w:rsidRPr="00C93813">
        <w:rPr>
          <w:rFonts w:ascii="Calibri" w:eastAsia="宋体" w:hAnsi="Calibri" w:cs="Times New Roman" w:hint="eastAsia"/>
          <w:sz w:val="24"/>
        </w:rPr>
        <w:t>在作家推销图书时容易遇到的问题</w:t>
      </w:r>
      <w:r w:rsidRPr="00C93813">
        <w:rPr>
          <w:rFonts w:ascii="Calibri" w:eastAsia="宋体" w:hAnsi="Calibri" w:cs="Times New Roman"/>
          <w:sz w:val="24"/>
        </w:rPr>
        <w:t>，</w:t>
      </w:r>
      <w:r w:rsidRPr="00C93813">
        <w:rPr>
          <w:rFonts w:ascii="Calibri" w:eastAsia="宋体" w:hAnsi="Calibri" w:cs="Times New Roman" w:hint="eastAsia"/>
          <w:sz w:val="24"/>
        </w:rPr>
        <w:t>及其解决办法。</w:t>
      </w:r>
    </w:p>
    <w:p w14:paraId="75C6C48D"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2. </w:t>
      </w:r>
      <w:r w:rsidRPr="00C93813">
        <w:rPr>
          <w:rFonts w:ascii="Calibri" w:eastAsia="宋体" w:hAnsi="Calibri" w:cs="Times New Roman" w:hint="eastAsia"/>
          <w:sz w:val="24"/>
        </w:rPr>
        <w:t>线上完成单元测试。</w:t>
      </w:r>
    </w:p>
    <w:p w14:paraId="656F483C"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3.</w:t>
      </w:r>
      <w:r w:rsidRPr="00C93813">
        <w:rPr>
          <w:rFonts w:ascii="Calibri" w:eastAsia="宋体" w:hAnsi="Calibri" w:cs="Times New Roman"/>
          <w:sz w:val="24"/>
        </w:rPr>
        <w:t xml:space="preserve"> </w:t>
      </w:r>
      <w:r w:rsidRPr="00C93813">
        <w:rPr>
          <w:rFonts w:ascii="Calibri" w:eastAsia="宋体" w:hAnsi="Calibri" w:cs="Times New Roman" w:hint="eastAsia"/>
          <w:sz w:val="24"/>
        </w:rPr>
        <w:t>小组进行自助服务的调查，感受自助服务便利的同时发现自助服务的问题。思考如何进行技术创新，使科技发展更好的服务于人类生活。</w:t>
      </w:r>
    </w:p>
    <w:p w14:paraId="79331F1A" w14:textId="77777777" w:rsidR="00C93813" w:rsidRPr="00C93813" w:rsidRDefault="00C93813" w:rsidP="00B23175">
      <w:pPr>
        <w:spacing w:beforeLines="50" w:before="156" w:afterLines="50" w:after="156" w:line="440" w:lineRule="exact"/>
        <w:ind w:firstLineChars="200" w:firstLine="562"/>
        <w:rPr>
          <w:rFonts w:ascii="Calibri" w:eastAsia="宋体" w:hAnsi="Calibri" w:cs="Times New Roman"/>
          <w:b/>
          <w:bCs/>
          <w:sz w:val="28"/>
          <w:szCs w:val="28"/>
          <w:highlight w:val="yellow"/>
        </w:rPr>
      </w:pPr>
    </w:p>
    <w:bookmarkEnd w:id="50"/>
    <w:p w14:paraId="393D2B92" w14:textId="77777777" w:rsidR="00C93813" w:rsidRPr="00C93813" w:rsidRDefault="00C93813" w:rsidP="00B23175">
      <w:pPr>
        <w:spacing w:beforeLines="50" w:before="156" w:afterLines="50" w:after="156" w:line="440" w:lineRule="exact"/>
        <w:ind w:firstLineChars="200" w:firstLine="562"/>
        <w:rPr>
          <w:rFonts w:ascii="Calibri" w:eastAsia="黑体" w:hAnsi="Calibri" w:cs="Times New Roman"/>
          <w:b/>
          <w:bCs/>
          <w:sz w:val="28"/>
          <w:szCs w:val="28"/>
        </w:rPr>
      </w:pPr>
      <w:r w:rsidRPr="00C93813">
        <w:rPr>
          <w:rFonts w:ascii="Calibri" w:eastAsia="黑体" w:hAnsi="Calibri" w:cs="Times New Roman"/>
          <w:b/>
          <w:bCs/>
          <w:sz w:val="28"/>
          <w:szCs w:val="28"/>
        </w:rPr>
        <w:t xml:space="preserve">Unit </w:t>
      </w:r>
      <w:proofErr w:type="gramStart"/>
      <w:r w:rsidRPr="00C93813">
        <w:rPr>
          <w:rFonts w:ascii="Calibri" w:eastAsia="黑体" w:hAnsi="Calibri" w:cs="Times New Roman" w:hint="eastAsia"/>
          <w:b/>
          <w:bCs/>
          <w:sz w:val="28"/>
          <w:szCs w:val="28"/>
        </w:rPr>
        <w:t>6</w:t>
      </w:r>
      <w:r w:rsidRPr="00C93813">
        <w:rPr>
          <w:rFonts w:ascii="Calibri" w:eastAsia="黑体" w:hAnsi="Calibri" w:cs="Times New Roman"/>
          <w:b/>
          <w:bCs/>
          <w:sz w:val="28"/>
          <w:szCs w:val="28"/>
        </w:rPr>
        <w:t xml:space="preserve"> </w:t>
      </w:r>
      <w:r w:rsidRPr="00C93813">
        <w:rPr>
          <w:rFonts w:ascii="Calibri" w:eastAsia="黑体" w:hAnsi="Calibri" w:cs="Times New Roman" w:hint="eastAsia"/>
          <w:b/>
          <w:bCs/>
          <w:sz w:val="28"/>
          <w:szCs w:val="28"/>
        </w:rPr>
        <w:t xml:space="preserve"> Urbanization</w:t>
      </w:r>
      <w:proofErr w:type="gramEnd"/>
      <w:r w:rsidRPr="00C93813">
        <w:rPr>
          <w:rFonts w:ascii="Calibri" w:eastAsia="黑体" w:hAnsi="Calibri" w:cs="Times New Roman" w:hint="eastAsia"/>
          <w:b/>
          <w:bCs/>
          <w:sz w:val="28"/>
          <w:szCs w:val="28"/>
        </w:rPr>
        <w:t xml:space="preserve"> and Migration </w:t>
      </w:r>
    </w:p>
    <w:p w14:paraId="7ABD5514" w14:textId="77777777" w:rsidR="00C93813" w:rsidRPr="00C93813" w:rsidRDefault="00C93813" w:rsidP="00B23175">
      <w:pPr>
        <w:spacing w:line="360" w:lineRule="auto"/>
        <w:ind w:firstLineChars="200" w:firstLine="482"/>
        <w:rPr>
          <w:rFonts w:ascii="Calibri" w:eastAsia="宋体" w:hAnsi="Calibri" w:cs="Times New Roman"/>
          <w:b/>
          <w:sz w:val="24"/>
        </w:rPr>
      </w:pPr>
      <w:r w:rsidRPr="00C93813">
        <w:rPr>
          <w:rFonts w:ascii="Calibri" w:eastAsia="宋体" w:hAnsi="Calibri" w:cs="Times New Roman" w:hint="eastAsia"/>
          <w:b/>
          <w:sz w:val="24"/>
        </w:rPr>
        <w:t>【学习目标】</w:t>
      </w:r>
    </w:p>
    <w:p w14:paraId="4C75E6B0" w14:textId="77777777" w:rsidR="00C93813" w:rsidRPr="00C93813" w:rsidRDefault="00C93813" w:rsidP="00B23175">
      <w:pPr>
        <w:numPr>
          <w:ilvl w:val="0"/>
          <w:numId w:val="35"/>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认知</w:t>
      </w:r>
      <w:r w:rsidRPr="00C93813">
        <w:rPr>
          <w:rFonts w:ascii="Calibri" w:eastAsia="宋体" w:hAnsi="Calibri" w:cs="Times New Roman" w:hint="eastAsia"/>
          <w:sz w:val="22"/>
        </w:rPr>
        <w:t>类</w:t>
      </w:r>
      <w:r w:rsidRPr="00C93813">
        <w:rPr>
          <w:rFonts w:ascii="Calibri" w:eastAsia="宋体" w:hAnsi="Calibri" w:cs="Times New Roman" w:hint="eastAsia"/>
          <w:sz w:val="24"/>
        </w:rPr>
        <w:t>目标：通过单元主题</w:t>
      </w:r>
      <w:r w:rsidRPr="00C93813">
        <w:rPr>
          <w:rFonts w:ascii="Calibri" w:eastAsia="宋体" w:hAnsi="Calibri" w:cs="Times New Roman" w:hint="eastAsia"/>
          <w:sz w:val="24"/>
        </w:rPr>
        <w:t>Urbanization and Migration</w:t>
      </w:r>
      <w:r w:rsidRPr="00C93813">
        <w:rPr>
          <w:rFonts w:ascii="Calibri" w:eastAsia="宋体" w:hAnsi="Calibri" w:cs="Times New Roman" w:hint="eastAsia"/>
          <w:sz w:val="24"/>
        </w:rPr>
        <w:t>的学习</w:t>
      </w:r>
      <w:r w:rsidRPr="00C93813">
        <w:rPr>
          <w:rFonts w:ascii="Calibri" w:eastAsia="宋体" w:hAnsi="Calibri" w:cs="Times New Roman" w:hint="eastAsia"/>
          <w:sz w:val="24"/>
        </w:rPr>
        <w:t xml:space="preserve">, </w:t>
      </w:r>
      <w:r w:rsidRPr="00C93813">
        <w:rPr>
          <w:rFonts w:ascii="Calibri" w:eastAsia="宋体" w:hAnsi="Calibri" w:cs="Times New Roman" w:hint="eastAsia"/>
          <w:sz w:val="24"/>
        </w:rPr>
        <w:t>掌握本单元中与描述城市古建筑保护、人口数量相关的重点词汇、短语和句型，掌握篇章阅读技巧。</w:t>
      </w:r>
    </w:p>
    <w:p w14:paraId="621FC2AE" w14:textId="77777777" w:rsidR="00C93813" w:rsidRPr="00C93813" w:rsidRDefault="00C93813" w:rsidP="00B23175">
      <w:pPr>
        <w:numPr>
          <w:ilvl w:val="0"/>
          <w:numId w:val="35"/>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过程与方法</w:t>
      </w:r>
      <w:r w:rsidRPr="00C93813">
        <w:rPr>
          <w:rFonts w:ascii="Calibri" w:eastAsia="宋体" w:hAnsi="Calibri" w:cs="Times New Roman" w:hint="eastAsia"/>
          <w:sz w:val="22"/>
        </w:rPr>
        <w:t>类目标</w:t>
      </w:r>
      <w:r w:rsidRPr="00C93813">
        <w:rPr>
          <w:rFonts w:ascii="Calibri" w:eastAsia="宋体" w:hAnsi="Calibri" w:cs="Times New Roman" w:hint="eastAsia"/>
          <w:sz w:val="24"/>
        </w:rPr>
        <w:t>：学生会分析文章结构，在阅读过程中能够正确掌握作者的主要观点，针对对比类文章，能够找到比较的异同点；学生通过分析文章中的细节信息深入理解文章内容；学会识别听力中细节方面的信息，并且掌握通过细节信息推理说话人意图的能力，练习速记。</w:t>
      </w:r>
    </w:p>
    <w:p w14:paraId="777C77C2"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3. </w:t>
      </w:r>
      <w:r w:rsidRPr="00C93813">
        <w:rPr>
          <w:rFonts w:ascii="Calibri" w:eastAsia="宋体" w:hAnsi="Calibri" w:cs="Times New Roman" w:hint="eastAsia"/>
          <w:sz w:val="24"/>
        </w:rPr>
        <w:t>情感、态度、价值观类目标：学生能够正确看待中国城市化发展中古建筑保护的益处，以及城市化发展与古建筑保护的相关性，同时理解城市创新与人口密度的关系，城市化发展过程中所面临的问题和新的解决方法，可以结合目前实际问题建立对我国城市化发展政策的正确理解，提升学生对我国城市化发展的自豪感和自信心。</w:t>
      </w:r>
    </w:p>
    <w:p w14:paraId="7D0B328D" w14:textId="77777777" w:rsidR="00C93813" w:rsidRPr="00C93813" w:rsidRDefault="00C93813" w:rsidP="00B23175">
      <w:pPr>
        <w:spacing w:line="360" w:lineRule="auto"/>
        <w:ind w:firstLineChars="200" w:firstLine="482"/>
        <w:rPr>
          <w:rFonts w:ascii="Calibri" w:eastAsia="宋体" w:hAnsi="Calibri" w:cs="Times New Roman"/>
          <w:b/>
          <w:sz w:val="24"/>
        </w:rPr>
      </w:pPr>
      <w:r w:rsidRPr="00C93813">
        <w:rPr>
          <w:rFonts w:ascii="Calibri" w:eastAsia="宋体" w:hAnsi="Calibri" w:cs="Times New Roman" w:hint="eastAsia"/>
          <w:b/>
          <w:sz w:val="24"/>
        </w:rPr>
        <w:t>【学习内容】</w:t>
      </w:r>
    </w:p>
    <w:p w14:paraId="319F4CC6" w14:textId="77777777" w:rsidR="00C93813" w:rsidRPr="00C93813" w:rsidRDefault="00C93813" w:rsidP="00B23175">
      <w:pPr>
        <w:spacing w:line="360" w:lineRule="auto"/>
        <w:ind w:leftChars="114" w:left="239" w:firstLineChars="200" w:firstLine="480"/>
        <w:rPr>
          <w:rFonts w:ascii="Calibri" w:eastAsia="宋体" w:hAnsi="Calibri" w:cs="Times New Roman"/>
          <w:sz w:val="24"/>
        </w:rPr>
      </w:pPr>
      <w:r w:rsidRPr="00C93813">
        <w:rPr>
          <w:rFonts w:ascii="Calibri" w:eastAsia="宋体" w:hAnsi="Calibri" w:cs="Times New Roman" w:hint="eastAsia"/>
          <w:sz w:val="24"/>
        </w:rPr>
        <w:t>1.</w:t>
      </w:r>
      <w:r w:rsidRPr="00C93813">
        <w:rPr>
          <w:rFonts w:ascii="Calibri" w:eastAsia="宋体" w:hAnsi="Calibri" w:cs="Times New Roman" w:hint="eastAsia"/>
          <w:sz w:val="24"/>
        </w:rPr>
        <w:t>通过</w:t>
      </w:r>
      <w:r w:rsidRPr="00C93813">
        <w:rPr>
          <w:rFonts w:ascii="宋体" w:eastAsia="宋体" w:hAnsi="Calibri" w:cs="Times New Roman" w:hint="eastAsia"/>
          <w:sz w:val="24"/>
        </w:rPr>
        <w:t>线上学习和讨论本单元主题“</w:t>
      </w:r>
      <w:r w:rsidRPr="00C93813">
        <w:rPr>
          <w:rFonts w:ascii="Calibri" w:eastAsia="宋体" w:hAnsi="Calibri" w:cs="Times New Roman"/>
          <w:sz w:val="24"/>
        </w:rPr>
        <w:t>Urbanization and Migration</w:t>
      </w:r>
      <w:r w:rsidRPr="00C93813">
        <w:rPr>
          <w:rFonts w:ascii="宋体" w:eastAsia="宋体" w:hAnsi="Calibri" w:cs="Times New Roman" w:hint="eastAsia"/>
          <w:sz w:val="24"/>
        </w:rPr>
        <w:t>”相关的话题</w:t>
      </w:r>
      <w:r w:rsidRPr="00C93813">
        <w:rPr>
          <w:rFonts w:ascii="Calibri" w:eastAsia="宋体" w:hAnsi="Calibri" w:cs="Times New Roman"/>
          <w:i/>
          <w:sz w:val="24"/>
        </w:rPr>
        <w:t>What is urbanization</w:t>
      </w:r>
      <w:r w:rsidRPr="00C93813">
        <w:rPr>
          <w:rFonts w:ascii="Calibri" w:eastAsia="宋体" w:hAnsi="Calibri" w:cs="Times New Roman"/>
          <w:sz w:val="24"/>
        </w:rPr>
        <w:t>?</w:t>
      </w:r>
      <w:r w:rsidRPr="00C93813">
        <w:rPr>
          <w:rFonts w:ascii="Calibri" w:eastAsia="宋体" w:hAnsi="Calibri" w:cs="Times New Roman"/>
          <w:sz w:val="24"/>
        </w:rPr>
        <w:t>，</w:t>
      </w:r>
      <w:r w:rsidRPr="00C93813">
        <w:rPr>
          <w:rFonts w:ascii="Calibri" w:eastAsia="宋体" w:hAnsi="Calibri" w:cs="Times New Roman" w:hint="eastAsia"/>
          <w:sz w:val="24"/>
        </w:rPr>
        <w:t>理解城市化的定义</w:t>
      </w:r>
      <w:r w:rsidRPr="00C93813">
        <w:rPr>
          <w:rFonts w:ascii="宋体" w:eastAsia="宋体" w:hAnsi="Calibri" w:cs="Times New Roman" w:hint="eastAsia"/>
          <w:sz w:val="24"/>
        </w:rPr>
        <w:t>、城市化发展的利与</w:t>
      </w:r>
      <w:proofErr w:type="gramStart"/>
      <w:r w:rsidRPr="00C93813">
        <w:rPr>
          <w:rFonts w:ascii="宋体" w:eastAsia="宋体" w:hAnsi="Calibri" w:cs="Times New Roman" w:hint="eastAsia"/>
          <w:sz w:val="24"/>
        </w:rPr>
        <w:t>弊以及</w:t>
      </w:r>
      <w:proofErr w:type="gramEnd"/>
      <w:r w:rsidRPr="00C93813">
        <w:rPr>
          <w:rFonts w:ascii="宋体" w:eastAsia="宋体" w:hAnsi="Calibri" w:cs="Times New Roman" w:hint="eastAsia"/>
          <w:sz w:val="24"/>
        </w:rPr>
        <w:t>目前出现的问题，并引导学生讨论中国城市化进程的发展现状并预测可能出现的问题。</w:t>
      </w:r>
    </w:p>
    <w:p w14:paraId="47512404" w14:textId="77777777" w:rsidR="00C93813" w:rsidRPr="00C93813" w:rsidRDefault="00C93813" w:rsidP="00B23175">
      <w:pPr>
        <w:spacing w:line="360" w:lineRule="auto"/>
        <w:ind w:firstLineChars="200" w:firstLine="480"/>
        <w:rPr>
          <w:rFonts w:ascii="宋体" w:eastAsia="宋体" w:hAnsi="Calibri" w:cs="Times New Roman"/>
          <w:sz w:val="24"/>
        </w:rPr>
      </w:pPr>
      <w:r w:rsidRPr="00C93813">
        <w:rPr>
          <w:rFonts w:ascii="Calibri" w:eastAsia="宋体" w:hAnsi="Calibri" w:cs="Times New Roman" w:hint="eastAsia"/>
          <w:sz w:val="24"/>
        </w:rPr>
        <w:t>2.</w:t>
      </w:r>
      <w:r w:rsidRPr="00C93813">
        <w:rPr>
          <w:rFonts w:ascii="Calibri" w:eastAsia="宋体" w:hAnsi="Calibri" w:cs="Times New Roman" w:hint="eastAsia"/>
          <w:sz w:val="24"/>
        </w:rPr>
        <w:t>线上学习并熟悉</w:t>
      </w:r>
      <w:r w:rsidRPr="00C93813">
        <w:rPr>
          <w:rFonts w:ascii="Calibri" w:eastAsia="宋体" w:hAnsi="Calibri" w:cs="Times New Roman" w:hint="eastAsia"/>
          <w:sz w:val="24"/>
        </w:rPr>
        <w:t xml:space="preserve"> </w:t>
      </w:r>
      <w:r w:rsidRPr="00C93813">
        <w:rPr>
          <w:rFonts w:ascii="Calibri" w:eastAsia="宋体" w:hAnsi="Calibri" w:cs="Times New Roman"/>
          <w:sz w:val="24"/>
        </w:rPr>
        <w:t xml:space="preserve">Text A </w:t>
      </w:r>
      <w:r w:rsidRPr="00C93813">
        <w:rPr>
          <w:rFonts w:ascii="Calibri" w:eastAsia="宋体" w:hAnsi="Calibri" w:cs="Times New Roman" w:hint="eastAsia"/>
          <w:sz w:val="24"/>
        </w:rPr>
        <w:t xml:space="preserve"> </w:t>
      </w:r>
      <w:r w:rsidRPr="00C93813">
        <w:rPr>
          <w:rFonts w:ascii="Calibri" w:eastAsia="宋体" w:hAnsi="Calibri" w:cs="Times New Roman"/>
          <w:i/>
          <w:sz w:val="24"/>
        </w:rPr>
        <w:t>Conserving Buildings of Historic Value: Shanghai and Hong Kong</w:t>
      </w:r>
      <w:r w:rsidRPr="00C93813">
        <w:rPr>
          <w:rFonts w:ascii="宋体" w:eastAsia="宋体" w:hAnsi="Calibri" w:cs="Times New Roman" w:hint="eastAsia"/>
          <w:sz w:val="24"/>
        </w:rPr>
        <w:t>里的单词和词组的用法。</w:t>
      </w:r>
    </w:p>
    <w:p w14:paraId="0EDF905D"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3. </w:t>
      </w:r>
      <w:r w:rsidRPr="00C93813">
        <w:rPr>
          <w:rFonts w:ascii="Calibri" w:eastAsia="宋体" w:hAnsi="Calibri" w:cs="Times New Roman" w:hint="eastAsia"/>
          <w:sz w:val="24"/>
        </w:rPr>
        <w:t>线下进行</w:t>
      </w:r>
      <w:r w:rsidRPr="00C93813">
        <w:rPr>
          <w:rFonts w:ascii="Calibri" w:eastAsia="宋体" w:hAnsi="Calibri" w:cs="Times New Roman" w:hint="eastAsia"/>
          <w:sz w:val="24"/>
        </w:rPr>
        <w:t>Text A</w:t>
      </w:r>
      <w:r w:rsidRPr="00C93813">
        <w:rPr>
          <w:rFonts w:ascii="Calibri" w:eastAsia="宋体" w:hAnsi="Calibri" w:cs="Times New Roman"/>
          <w:sz w:val="24"/>
        </w:rPr>
        <w:t>课文</w:t>
      </w:r>
      <w:r w:rsidRPr="00C93813">
        <w:rPr>
          <w:rFonts w:ascii="Calibri" w:eastAsia="宋体" w:hAnsi="Calibri" w:cs="Times New Roman" w:hint="eastAsia"/>
          <w:sz w:val="24"/>
        </w:rPr>
        <w:t>结构</w:t>
      </w:r>
      <w:r w:rsidRPr="00C93813">
        <w:rPr>
          <w:rFonts w:ascii="Calibri" w:eastAsia="宋体" w:hAnsi="Calibri" w:cs="Times New Roman"/>
          <w:sz w:val="24"/>
        </w:rPr>
        <w:t>分析</w:t>
      </w:r>
      <w:r w:rsidRPr="00C93813">
        <w:rPr>
          <w:rFonts w:ascii="Calibri" w:eastAsia="宋体" w:hAnsi="Calibri" w:cs="Times New Roman" w:hint="eastAsia"/>
          <w:sz w:val="24"/>
        </w:rPr>
        <w:t>，重点难点讲解，课文内容深入理解。</w:t>
      </w:r>
    </w:p>
    <w:p w14:paraId="31B1EA45" w14:textId="77777777" w:rsidR="00C93813" w:rsidRPr="00C93813" w:rsidRDefault="00C93813" w:rsidP="00B23175">
      <w:pPr>
        <w:tabs>
          <w:tab w:val="center" w:pos="4153"/>
        </w:tabs>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4. </w:t>
      </w:r>
      <w:r w:rsidRPr="00C93813">
        <w:rPr>
          <w:rFonts w:ascii="Calibri" w:eastAsia="宋体" w:hAnsi="Calibri" w:cs="Times New Roman" w:hint="eastAsia"/>
          <w:sz w:val="24"/>
        </w:rPr>
        <w:t>线上完成</w:t>
      </w:r>
      <w:r w:rsidRPr="00C93813">
        <w:rPr>
          <w:rFonts w:ascii="Calibri" w:eastAsia="宋体" w:hAnsi="Calibri" w:cs="Times New Roman" w:hint="eastAsia"/>
          <w:sz w:val="24"/>
        </w:rPr>
        <w:t>Text A</w:t>
      </w:r>
      <w:r w:rsidRPr="00C93813">
        <w:rPr>
          <w:rFonts w:ascii="Calibri" w:eastAsia="宋体" w:hAnsi="Calibri" w:cs="Times New Roman" w:hint="eastAsia"/>
          <w:sz w:val="24"/>
        </w:rPr>
        <w:t>的相关习题。</w:t>
      </w:r>
      <w:r w:rsidRPr="00C93813">
        <w:rPr>
          <w:rFonts w:ascii="Calibri" w:eastAsia="宋体" w:hAnsi="Calibri" w:cs="Times New Roman" w:hint="eastAsia"/>
          <w:sz w:val="24"/>
        </w:rPr>
        <w:tab/>
      </w:r>
    </w:p>
    <w:p w14:paraId="11753289"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5. </w:t>
      </w:r>
      <w:r w:rsidRPr="00C93813">
        <w:rPr>
          <w:rFonts w:ascii="Calibri" w:eastAsia="宋体" w:hAnsi="Calibri" w:cs="Times New Roman" w:hint="eastAsia"/>
          <w:sz w:val="24"/>
        </w:rPr>
        <w:t>线下学习</w:t>
      </w:r>
      <w:r w:rsidRPr="00C93813">
        <w:rPr>
          <w:rFonts w:ascii="Calibri" w:eastAsia="宋体" w:hAnsi="Calibri" w:cs="Times New Roman"/>
          <w:sz w:val="24"/>
        </w:rPr>
        <w:t>Text</w:t>
      </w:r>
      <w:r w:rsidRPr="00C93813">
        <w:rPr>
          <w:rFonts w:ascii="Calibri" w:eastAsia="宋体" w:hAnsi="Calibri" w:cs="Times New Roman" w:hint="eastAsia"/>
          <w:sz w:val="24"/>
        </w:rPr>
        <w:t xml:space="preserve"> </w:t>
      </w:r>
      <w:r w:rsidRPr="00C93813">
        <w:rPr>
          <w:rFonts w:ascii="Calibri" w:eastAsia="宋体" w:hAnsi="Calibri" w:cs="Times New Roman"/>
          <w:sz w:val="24"/>
        </w:rPr>
        <w:t>B</w:t>
      </w:r>
      <w:r w:rsidRPr="00C93813">
        <w:rPr>
          <w:rFonts w:ascii="Calibri" w:eastAsia="宋体" w:hAnsi="Calibri" w:cs="Times New Roman"/>
          <w:i/>
          <w:iCs/>
          <w:sz w:val="24"/>
        </w:rPr>
        <w:t xml:space="preserve"> The City Triumphs, Again</w:t>
      </w:r>
      <w:r w:rsidRPr="00C93813">
        <w:rPr>
          <w:rFonts w:ascii="宋体" w:eastAsia="宋体" w:hAnsi="Calibri" w:cs="Times New Roman" w:hint="eastAsia"/>
          <w:sz w:val="24"/>
        </w:rPr>
        <w:t>文章结构和重难点的讲解，把握文章主题</w:t>
      </w:r>
      <w:r w:rsidRPr="00C93813">
        <w:rPr>
          <w:rFonts w:ascii="Calibri" w:eastAsia="宋体" w:hAnsi="Calibri" w:cs="Times New Roman"/>
          <w:sz w:val="24"/>
        </w:rPr>
        <w:t>。</w:t>
      </w:r>
    </w:p>
    <w:p w14:paraId="58206099"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6.</w:t>
      </w:r>
      <w:r w:rsidRPr="00C93813">
        <w:rPr>
          <w:rFonts w:ascii="Calibri" w:eastAsia="宋体" w:hAnsi="Calibri" w:cs="Times New Roman"/>
          <w:sz w:val="24"/>
        </w:rPr>
        <w:t>线上</w:t>
      </w:r>
      <w:r w:rsidRPr="00C93813">
        <w:rPr>
          <w:rFonts w:ascii="Calibri" w:eastAsia="宋体" w:hAnsi="Calibri" w:cs="Times New Roman" w:hint="eastAsia"/>
          <w:sz w:val="24"/>
        </w:rPr>
        <w:t>学习</w:t>
      </w:r>
      <w:r w:rsidRPr="00C93813">
        <w:rPr>
          <w:rFonts w:ascii="Calibri" w:eastAsia="宋体" w:hAnsi="Calibri" w:cs="Times New Roman"/>
          <w:sz w:val="24"/>
        </w:rPr>
        <w:t>配套教材视听说中的</w:t>
      </w:r>
      <w:r w:rsidRPr="00C93813">
        <w:rPr>
          <w:rFonts w:ascii="Calibri" w:eastAsia="宋体" w:hAnsi="Calibri" w:cs="Times New Roman" w:hint="eastAsia"/>
          <w:sz w:val="24"/>
        </w:rPr>
        <w:t>听力板块的</w:t>
      </w:r>
      <w:r w:rsidRPr="00C93813">
        <w:rPr>
          <w:rFonts w:ascii="Calibri" w:eastAsia="宋体" w:hAnsi="Calibri" w:cs="Times New Roman"/>
          <w:sz w:val="24"/>
        </w:rPr>
        <w:t>内容</w:t>
      </w:r>
      <w:r w:rsidRPr="00C93813">
        <w:rPr>
          <w:rFonts w:ascii="Calibri" w:eastAsia="宋体" w:hAnsi="Calibri" w:cs="Times New Roman" w:hint="eastAsia"/>
          <w:sz w:val="24"/>
        </w:rPr>
        <w:t>。</w:t>
      </w:r>
    </w:p>
    <w:p w14:paraId="6D26BB93"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7.</w:t>
      </w:r>
      <w:r w:rsidRPr="00C93813">
        <w:rPr>
          <w:rFonts w:ascii="Calibri" w:eastAsia="宋体" w:hAnsi="Calibri" w:cs="Times New Roman" w:hint="eastAsia"/>
          <w:sz w:val="24"/>
        </w:rPr>
        <w:t>学习翻译技巧讲解</w:t>
      </w:r>
      <w:r w:rsidRPr="00C93813">
        <w:rPr>
          <w:rFonts w:ascii="Calibri" w:eastAsia="宋体" w:hAnsi="Calibri" w:cs="Times New Roman" w:hint="eastAsia"/>
          <w:sz w:val="24"/>
        </w:rPr>
        <w:t>:</w:t>
      </w:r>
      <w:r w:rsidRPr="00C93813">
        <w:rPr>
          <w:rFonts w:ascii="Calibri" w:eastAsia="宋体" w:hAnsi="Calibri" w:cs="Times New Roman" w:hint="eastAsia"/>
          <w:sz w:val="24"/>
        </w:rPr>
        <w:t>总</w:t>
      </w:r>
      <w:r w:rsidRPr="00C93813">
        <w:rPr>
          <w:rFonts w:ascii="Calibri" w:eastAsia="宋体" w:hAnsi="Calibri" w:cs="Times New Roman"/>
          <w:sz w:val="24"/>
        </w:rPr>
        <w:t>结篇</w:t>
      </w:r>
      <w:r w:rsidRPr="00C93813">
        <w:rPr>
          <w:rFonts w:ascii="Calibri" w:eastAsia="宋体" w:hAnsi="Calibri" w:cs="Times New Roman" w:hint="eastAsia"/>
          <w:sz w:val="24"/>
        </w:rPr>
        <w:t>。</w:t>
      </w:r>
    </w:p>
    <w:p w14:paraId="01F6E91F"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8.</w:t>
      </w:r>
      <w:proofErr w:type="gramStart"/>
      <w:r w:rsidRPr="00C93813">
        <w:rPr>
          <w:rFonts w:ascii="Calibri" w:eastAsia="宋体" w:hAnsi="Calibri" w:cs="Times New Roman" w:hint="eastAsia"/>
          <w:sz w:val="24"/>
        </w:rPr>
        <w:t>思政元素</w:t>
      </w:r>
      <w:proofErr w:type="gramEnd"/>
      <w:r w:rsidRPr="00C93813">
        <w:rPr>
          <w:rFonts w:ascii="Calibri" w:eastAsia="宋体" w:hAnsi="Calibri" w:cs="Times New Roman"/>
          <w:sz w:val="24"/>
        </w:rPr>
        <w:t>：当前我国综合实力不断提升，随着经济的发展，城市化</w:t>
      </w:r>
      <w:r w:rsidRPr="00C93813">
        <w:rPr>
          <w:rFonts w:ascii="Calibri" w:eastAsia="宋体" w:hAnsi="Calibri" w:cs="Times New Roman" w:hint="eastAsia"/>
          <w:sz w:val="24"/>
        </w:rPr>
        <w:t>发展</w:t>
      </w:r>
      <w:r w:rsidRPr="00C93813">
        <w:rPr>
          <w:rFonts w:ascii="Calibri" w:eastAsia="宋体" w:hAnsi="Calibri" w:cs="Times New Roman"/>
          <w:sz w:val="24"/>
        </w:rPr>
        <w:t>会越来越普遍。当代大学生应以祖国城市化发展的成果为荣，</w:t>
      </w:r>
      <w:r w:rsidRPr="00C93813">
        <w:rPr>
          <w:rFonts w:ascii="Calibri" w:eastAsia="宋体" w:hAnsi="Calibri" w:cs="Times New Roman" w:hint="eastAsia"/>
          <w:sz w:val="24"/>
        </w:rPr>
        <w:t>深入理解国家城市化发展战略，</w:t>
      </w:r>
      <w:r w:rsidRPr="00C93813">
        <w:rPr>
          <w:rFonts w:ascii="Calibri" w:eastAsia="宋体" w:hAnsi="Calibri" w:cs="Times New Roman"/>
          <w:sz w:val="24"/>
        </w:rPr>
        <w:t>对城市化发展树立自信，但是同时也要学会思考城市化发展中出现的</w:t>
      </w:r>
      <w:r w:rsidRPr="00C93813">
        <w:rPr>
          <w:rFonts w:ascii="Calibri" w:eastAsia="宋体" w:hAnsi="Calibri" w:cs="Times New Roman" w:hint="eastAsia"/>
          <w:sz w:val="24"/>
        </w:rPr>
        <w:t>问题以及原因，</w:t>
      </w:r>
      <w:r w:rsidRPr="00C93813">
        <w:rPr>
          <w:rFonts w:ascii="Calibri" w:eastAsia="宋体" w:hAnsi="Calibri" w:cs="Times New Roman"/>
          <w:sz w:val="24"/>
        </w:rPr>
        <w:lastRenderedPageBreak/>
        <w:t>结合自己未来的职业规划以及专业特点，</w:t>
      </w:r>
      <w:r w:rsidRPr="00C93813">
        <w:rPr>
          <w:rFonts w:ascii="Calibri" w:eastAsia="宋体" w:hAnsi="Calibri" w:cs="Times New Roman" w:hint="eastAsia"/>
          <w:sz w:val="24"/>
        </w:rPr>
        <w:t>在城市化发展的机遇中正确定位，</w:t>
      </w:r>
      <w:r w:rsidRPr="00C93813">
        <w:rPr>
          <w:rFonts w:ascii="Calibri" w:eastAsia="宋体" w:hAnsi="Calibri" w:cs="Times New Roman"/>
          <w:sz w:val="24"/>
        </w:rPr>
        <w:t>为国家城市更加繁荣发展做出贡献。</w:t>
      </w:r>
    </w:p>
    <w:p w14:paraId="785A0155" w14:textId="77777777" w:rsidR="00C93813" w:rsidRPr="00C93813" w:rsidRDefault="00C93813" w:rsidP="00B23175">
      <w:pPr>
        <w:spacing w:line="360" w:lineRule="auto"/>
        <w:ind w:firstLineChars="200" w:firstLine="482"/>
        <w:rPr>
          <w:rFonts w:ascii="Calibri" w:eastAsia="宋体" w:hAnsi="Calibri" w:cs="Times New Roman"/>
          <w:b/>
          <w:sz w:val="24"/>
        </w:rPr>
      </w:pPr>
      <w:r w:rsidRPr="00C93813">
        <w:rPr>
          <w:rFonts w:ascii="Calibri" w:eastAsia="宋体" w:hAnsi="Calibri" w:cs="Times New Roman"/>
          <w:b/>
          <w:sz w:val="24"/>
        </w:rPr>
        <w:t>【重点】</w:t>
      </w:r>
    </w:p>
    <w:p w14:paraId="2FF20721"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1.</w:t>
      </w:r>
      <w:r w:rsidRPr="00C93813">
        <w:rPr>
          <w:rFonts w:ascii="Calibri" w:eastAsia="宋体" w:hAnsi="Calibri" w:cs="Times New Roman" w:hint="eastAsia"/>
          <w:sz w:val="24"/>
        </w:rPr>
        <w:t>课文重点单词、短语和句型：</w:t>
      </w:r>
      <w:r w:rsidRPr="00C93813">
        <w:rPr>
          <w:rFonts w:ascii="Calibri" w:eastAsia="宋体" w:hAnsi="Calibri" w:cs="Times New Roman"/>
          <w:sz w:val="24"/>
        </w:rPr>
        <w:t xml:space="preserve">landmark, distinctive, highlight, vibrant, be studded (with), under the umbrella of, retain, squish, spawn, spur, rank </w:t>
      </w:r>
      <w:r w:rsidRPr="00C93813">
        <w:rPr>
          <w:rFonts w:ascii="Calibri" w:eastAsia="宋体" w:hAnsi="Calibri" w:cs="Times New Roman" w:hint="eastAsia"/>
          <w:sz w:val="24"/>
        </w:rPr>
        <w:t>等。</w:t>
      </w:r>
      <w:r w:rsidRPr="00C93813">
        <w:rPr>
          <w:rFonts w:ascii="Calibri" w:eastAsia="宋体" w:hAnsi="Calibri" w:cs="Times New Roman" w:hint="eastAsia"/>
          <w:sz w:val="24"/>
        </w:rPr>
        <w:t xml:space="preserve"> </w:t>
      </w:r>
    </w:p>
    <w:p w14:paraId="73084118"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2. </w:t>
      </w:r>
      <w:r w:rsidRPr="00C93813">
        <w:rPr>
          <w:rFonts w:ascii="Calibri" w:eastAsia="宋体" w:hAnsi="Calibri" w:cs="Times New Roman" w:hint="eastAsia"/>
          <w:sz w:val="24"/>
        </w:rPr>
        <w:t>文章整体的段落结构。</w:t>
      </w:r>
    </w:p>
    <w:p w14:paraId="1EB63A32"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3. </w:t>
      </w:r>
      <w:r w:rsidRPr="00C93813">
        <w:rPr>
          <w:rFonts w:ascii="Calibri" w:eastAsia="宋体" w:hAnsi="Calibri" w:cs="Times New Roman" w:hint="eastAsia"/>
          <w:sz w:val="24"/>
        </w:rPr>
        <w:t>课文及练习中出现的长难句的翻译和语法点。</w:t>
      </w:r>
    </w:p>
    <w:p w14:paraId="4FE34909"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4. </w:t>
      </w:r>
      <w:r w:rsidRPr="00C93813">
        <w:rPr>
          <w:rFonts w:ascii="Calibri" w:eastAsia="宋体" w:hAnsi="Calibri" w:cs="Times New Roman" w:hint="eastAsia"/>
          <w:sz w:val="24"/>
        </w:rPr>
        <w:t>议论类写作的结构。</w:t>
      </w:r>
    </w:p>
    <w:p w14:paraId="5D75B2F0"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5. </w:t>
      </w:r>
      <w:r w:rsidRPr="00C93813">
        <w:rPr>
          <w:rFonts w:ascii="Calibri" w:eastAsia="宋体" w:hAnsi="Calibri" w:cs="Times New Roman" w:hint="eastAsia"/>
          <w:sz w:val="24"/>
        </w:rPr>
        <w:t>翻译技巧：长句的翻译</w:t>
      </w:r>
    </w:p>
    <w:p w14:paraId="075E84C5" w14:textId="77777777" w:rsidR="00C93813" w:rsidRPr="00C93813" w:rsidRDefault="00C93813" w:rsidP="00B23175">
      <w:pPr>
        <w:spacing w:line="360" w:lineRule="auto"/>
        <w:ind w:firstLineChars="200" w:firstLine="482"/>
        <w:rPr>
          <w:rFonts w:ascii="Calibri" w:eastAsia="宋体" w:hAnsi="Calibri" w:cs="Times New Roman"/>
          <w:b/>
          <w:sz w:val="24"/>
        </w:rPr>
      </w:pPr>
      <w:r w:rsidRPr="00C93813">
        <w:rPr>
          <w:rFonts w:ascii="Calibri" w:eastAsia="宋体" w:hAnsi="Calibri" w:cs="Times New Roman" w:hint="eastAsia"/>
          <w:b/>
          <w:sz w:val="24"/>
        </w:rPr>
        <w:t>【难点】</w:t>
      </w:r>
    </w:p>
    <w:p w14:paraId="50183C67" w14:textId="77777777" w:rsidR="00C93813" w:rsidRPr="00C93813" w:rsidRDefault="00C93813" w:rsidP="00B23175">
      <w:pPr>
        <w:numPr>
          <w:ilvl w:val="0"/>
          <w:numId w:val="36"/>
        </w:num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课文重点单词、短语和句型如</w:t>
      </w:r>
      <w:r w:rsidRPr="00C93813">
        <w:rPr>
          <w:rFonts w:ascii="Calibri" w:eastAsia="宋体" w:hAnsi="Calibri" w:cs="Times New Roman" w:hint="eastAsia"/>
          <w:sz w:val="24"/>
        </w:rPr>
        <w:t xml:space="preserve">go down the drain, by virtue of </w:t>
      </w:r>
      <w:r w:rsidRPr="00C93813">
        <w:rPr>
          <w:rFonts w:ascii="Calibri" w:eastAsia="宋体" w:hAnsi="Calibri" w:cs="Times New Roman" w:hint="eastAsia"/>
          <w:sz w:val="24"/>
        </w:rPr>
        <w:t>等在文中的具体含义。</w:t>
      </w:r>
    </w:p>
    <w:p w14:paraId="4CD21628"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2. </w:t>
      </w:r>
      <w:r w:rsidRPr="00C93813">
        <w:rPr>
          <w:rFonts w:ascii="Calibri" w:eastAsia="宋体" w:hAnsi="Calibri" w:cs="Times New Roman" w:hint="eastAsia"/>
          <w:sz w:val="24"/>
        </w:rPr>
        <w:t>两篇文章的篇章结构。</w:t>
      </w:r>
    </w:p>
    <w:p w14:paraId="32A8D519"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3</w:t>
      </w:r>
      <w:r w:rsidRPr="00C93813">
        <w:rPr>
          <w:rFonts w:ascii="Calibri" w:eastAsia="宋体" w:hAnsi="Calibri" w:cs="Times New Roman"/>
          <w:sz w:val="24"/>
        </w:rPr>
        <w:t xml:space="preserve">. </w:t>
      </w:r>
      <w:r w:rsidRPr="00C93813">
        <w:rPr>
          <w:rFonts w:ascii="Calibri" w:eastAsia="宋体" w:hAnsi="Calibri" w:cs="Times New Roman" w:hint="eastAsia"/>
          <w:sz w:val="24"/>
        </w:rPr>
        <w:t>议论类写作的方法。</w:t>
      </w:r>
    </w:p>
    <w:p w14:paraId="1203EE63" w14:textId="77777777" w:rsidR="00C93813" w:rsidRPr="00C93813" w:rsidRDefault="00C93813" w:rsidP="00B23175">
      <w:pPr>
        <w:spacing w:line="360" w:lineRule="auto"/>
        <w:ind w:firstLineChars="200" w:firstLine="482"/>
        <w:rPr>
          <w:rFonts w:ascii="Calibri" w:eastAsia="宋体" w:hAnsi="Calibri" w:cs="Times New Roman"/>
          <w:b/>
          <w:bCs/>
          <w:sz w:val="24"/>
        </w:rPr>
      </w:pPr>
      <w:r w:rsidRPr="00C93813">
        <w:rPr>
          <w:rFonts w:ascii="Calibri" w:eastAsia="宋体" w:hAnsi="Calibri" w:cs="Times New Roman" w:hint="eastAsia"/>
          <w:b/>
          <w:bCs/>
          <w:sz w:val="24"/>
        </w:rPr>
        <w:t>【教学方法】</w:t>
      </w:r>
    </w:p>
    <w:p w14:paraId="3BDCF853"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1.</w:t>
      </w:r>
      <w:r w:rsidRPr="00C93813">
        <w:rPr>
          <w:rFonts w:ascii="Calibri" w:eastAsia="宋体" w:hAnsi="Calibri" w:cs="Times New Roman" w:hint="eastAsia"/>
          <w:sz w:val="24"/>
        </w:rPr>
        <w:t>讨论法：分小组开展讨论，关于城市化概念和对城市化的看法，引导学生理解城市化的必然性和制定城市化政策的依据，同时通过课文主题讨论</w:t>
      </w:r>
      <w:r w:rsidRPr="00C93813">
        <w:rPr>
          <w:rFonts w:ascii="Calibri" w:eastAsia="宋体" w:hAnsi="Calibri" w:cs="Times New Roman"/>
          <w:sz w:val="24"/>
        </w:rPr>
        <w:t>，</w:t>
      </w:r>
      <w:r w:rsidRPr="00C93813">
        <w:rPr>
          <w:rFonts w:ascii="Calibri" w:eastAsia="宋体" w:hAnsi="Calibri" w:cs="Times New Roman" w:hint="eastAsia"/>
          <w:sz w:val="24"/>
        </w:rPr>
        <w:t>使学生了解在城市化进程中与个人职业发展的关联</w:t>
      </w:r>
      <w:r w:rsidRPr="00C93813">
        <w:rPr>
          <w:rFonts w:ascii="Calibri" w:eastAsia="宋体" w:hAnsi="Calibri" w:cs="Times New Roman"/>
          <w:sz w:val="24"/>
        </w:rPr>
        <w:t>，</w:t>
      </w:r>
      <w:r w:rsidRPr="00C93813">
        <w:rPr>
          <w:rFonts w:ascii="Calibri" w:eastAsia="宋体" w:hAnsi="Calibri" w:cs="Times New Roman" w:hint="eastAsia"/>
          <w:sz w:val="24"/>
        </w:rPr>
        <w:t>同时培养学生的团队协作及沟通能力。</w:t>
      </w:r>
    </w:p>
    <w:p w14:paraId="272F5003" w14:textId="77777777" w:rsidR="00C93813" w:rsidRPr="00C93813" w:rsidRDefault="00C93813" w:rsidP="00B23175">
      <w:pPr>
        <w:spacing w:line="360" w:lineRule="auto"/>
        <w:ind w:firstLineChars="200" w:firstLine="480"/>
        <w:rPr>
          <w:rFonts w:ascii="Calibri" w:eastAsia="宋体" w:hAnsi="Calibri" w:cs="Times New Roman"/>
          <w:bCs/>
          <w:sz w:val="24"/>
        </w:rPr>
      </w:pPr>
      <w:r w:rsidRPr="00C93813">
        <w:rPr>
          <w:rFonts w:ascii="Calibri" w:eastAsia="宋体" w:hAnsi="Calibri" w:cs="Times New Roman" w:hint="eastAsia"/>
          <w:bCs/>
          <w:sz w:val="24"/>
        </w:rPr>
        <w:t>2.</w:t>
      </w:r>
      <w:r w:rsidRPr="00C93813">
        <w:rPr>
          <w:rFonts w:ascii="Calibri" w:eastAsia="宋体" w:hAnsi="Calibri" w:cs="Times New Roman" w:hint="eastAsia"/>
          <w:bCs/>
          <w:sz w:val="24"/>
        </w:rPr>
        <w:t>讲授法：</w:t>
      </w:r>
      <w:r w:rsidRPr="00C93813">
        <w:rPr>
          <w:rFonts w:ascii="Calibri" w:eastAsia="宋体" w:hAnsi="Calibri" w:cs="Times New Roman"/>
          <w:bCs/>
          <w:sz w:val="24"/>
        </w:rPr>
        <w:t>课堂</w:t>
      </w:r>
      <w:r w:rsidRPr="00C93813">
        <w:rPr>
          <w:rFonts w:ascii="Calibri" w:eastAsia="宋体" w:hAnsi="Calibri" w:cs="Times New Roman" w:hint="eastAsia"/>
          <w:bCs/>
          <w:sz w:val="24"/>
        </w:rPr>
        <w:t>上通过教师讲授完成对</w:t>
      </w:r>
      <w:r w:rsidRPr="00C93813">
        <w:rPr>
          <w:rFonts w:ascii="Calibri" w:eastAsia="宋体" w:hAnsi="Calibri" w:cs="Times New Roman"/>
          <w:bCs/>
          <w:sz w:val="24"/>
        </w:rPr>
        <w:t>课文</w:t>
      </w:r>
      <w:r w:rsidRPr="00C93813">
        <w:rPr>
          <w:rFonts w:ascii="Calibri" w:eastAsia="宋体" w:hAnsi="Calibri" w:cs="Times New Roman" w:hint="eastAsia"/>
          <w:bCs/>
          <w:sz w:val="24"/>
        </w:rPr>
        <w:t>的分析与学习</w:t>
      </w:r>
      <w:r w:rsidRPr="00C93813">
        <w:rPr>
          <w:rFonts w:ascii="Calibri" w:eastAsia="宋体" w:hAnsi="Calibri" w:cs="Times New Roman"/>
          <w:bCs/>
          <w:sz w:val="24"/>
        </w:rPr>
        <w:t>，</w:t>
      </w:r>
      <w:r w:rsidRPr="00C93813">
        <w:rPr>
          <w:rFonts w:ascii="Calibri" w:eastAsia="宋体" w:hAnsi="Calibri" w:cs="Times New Roman" w:hint="eastAsia"/>
          <w:bCs/>
          <w:sz w:val="24"/>
        </w:rPr>
        <w:t>掌握课文中所出现的重点词汇和短语，并能够</w:t>
      </w:r>
      <w:proofErr w:type="gramStart"/>
      <w:r w:rsidRPr="00C93813">
        <w:rPr>
          <w:rFonts w:ascii="Calibri" w:eastAsia="宋体" w:hAnsi="Calibri" w:cs="Times New Roman" w:hint="eastAsia"/>
          <w:bCs/>
          <w:sz w:val="24"/>
        </w:rPr>
        <w:t>分析长</w:t>
      </w:r>
      <w:proofErr w:type="gramEnd"/>
      <w:r w:rsidRPr="00C93813">
        <w:rPr>
          <w:rFonts w:ascii="Calibri" w:eastAsia="宋体" w:hAnsi="Calibri" w:cs="Times New Roman" w:hint="eastAsia"/>
          <w:bCs/>
          <w:sz w:val="24"/>
        </w:rPr>
        <w:t>难句，提高学生的综合阅读能力，同时通过课文的讲授训练学生的写作和翻译技能。</w:t>
      </w:r>
    </w:p>
    <w:p w14:paraId="5D1D3DFB"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3.</w:t>
      </w:r>
      <w:r w:rsidRPr="00C93813">
        <w:rPr>
          <w:rFonts w:ascii="宋体" w:eastAsia="宋体" w:hAnsi="宋体" w:cs="Times New Roman" w:hint="eastAsia"/>
          <w:sz w:val="24"/>
        </w:rPr>
        <w:t>任务型教学法</w:t>
      </w:r>
      <w:r w:rsidRPr="00C93813">
        <w:rPr>
          <w:rFonts w:ascii="Calibri" w:eastAsia="宋体" w:hAnsi="Calibri" w:cs="Times New Roman" w:hint="eastAsia"/>
          <w:sz w:val="24"/>
        </w:rPr>
        <w:t>：布置课堂学习任务，从单词查询、背景知识了解等方向进行任务安排，同时</w:t>
      </w:r>
      <w:r w:rsidRPr="00C93813">
        <w:rPr>
          <w:rFonts w:ascii="Calibri" w:eastAsia="宋体" w:hAnsi="Calibri" w:cs="Times New Roman" w:hint="eastAsia"/>
          <w:bCs/>
          <w:sz w:val="24"/>
        </w:rPr>
        <w:t>根据教学进度给学生</w:t>
      </w:r>
      <w:proofErr w:type="gramStart"/>
      <w:r w:rsidRPr="00C93813">
        <w:rPr>
          <w:rFonts w:ascii="Calibri" w:eastAsia="宋体" w:hAnsi="Calibri" w:cs="Times New Roman" w:hint="eastAsia"/>
          <w:bCs/>
          <w:sz w:val="24"/>
        </w:rPr>
        <w:t>布置线</w:t>
      </w:r>
      <w:proofErr w:type="gramEnd"/>
      <w:r w:rsidRPr="00C93813">
        <w:rPr>
          <w:rFonts w:ascii="Calibri" w:eastAsia="宋体" w:hAnsi="Calibri" w:cs="Times New Roman" w:hint="eastAsia"/>
          <w:bCs/>
          <w:sz w:val="24"/>
        </w:rPr>
        <w:t>上作业和听力任务</w:t>
      </w:r>
      <w:r w:rsidRPr="00C93813">
        <w:rPr>
          <w:rFonts w:ascii="Calibri" w:eastAsia="宋体" w:hAnsi="Calibri" w:cs="Times New Roman" w:hint="eastAsia"/>
          <w:sz w:val="24"/>
        </w:rPr>
        <w:t>，</w:t>
      </w:r>
      <w:r w:rsidRPr="00C93813">
        <w:rPr>
          <w:rFonts w:ascii="Calibri" w:eastAsia="宋体" w:hAnsi="Calibri" w:cs="Times New Roman"/>
          <w:bCs/>
          <w:sz w:val="24"/>
        </w:rPr>
        <w:t>培养学生</w:t>
      </w:r>
      <w:r w:rsidRPr="00C93813">
        <w:rPr>
          <w:rFonts w:ascii="Calibri" w:eastAsia="宋体" w:hAnsi="Calibri" w:cs="Times New Roman" w:hint="eastAsia"/>
          <w:bCs/>
          <w:sz w:val="24"/>
        </w:rPr>
        <w:t>的自主学习能力。课堂检验学生任务学习成果，同时</w:t>
      </w:r>
      <w:r w:rsidRPr="00C93813">
        <w:rPr>
          <w:rFonts w:ascii="Calibri" w:eastAsia="宋体" w:hAnsi="Calibri" w:cs="Times New Roman" w:hint="eastAsia"/>
          <w:sz w:val="24"/>
        </w:rPr>
        <w:t>探讨中国城市化迅速发展的原因并学会分析城市化发展中出现的问题，鼓励学生根据自己专业特点分析问题，培养学生的思辨能力。</w:t>
      </w:r>
    </w:p>
    <w:p w14:paraId="45DFBD8B" w14:textId="77777777" w:rsidR="00C93813" w:rsidRPr="00C93813" w:rsidRDefault="00C93813" w:rsidP="00B23175">
      <w:pPr>
        <w:spacing w:line="360" w:lineRule="auto"/>
        <w:ind w:firstLineChars="200" w:firstLine="482"/>
        <w:rPr>
          <w:rFonts w:ascii="Calibri" w:eastAsia="宋体" w:hAnsi="Calibri" w:cs="Times New Roman"/>
          <w:bCs/>
          <w:sz w:val="24"/>
        </w:rPr>
      </w:pPr>
      <w:r w:rsidRPr="00C93813">
        <w:rPr>
          <w:rFonts w:ascii="Calibri" w:eastAsia="宋体" w:hAnsi="Calibri" w:cs="Times New Roman" w:hint="eastAsia"/>
          <w:b/>
          <w:sz w:val="24"/>
        </w:rPr>
        <w:t>【复习思考】</w:t>
      </w:r>
    </w:p>
    <w:p w14:paraId="337764E6"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1</w:t>
      </w:r>
      <w:r w:rsidRPr="00C93813">
        <w:rPr>
          <w:rFonts w:ascii="Calibri" w:eastAsia="宋体" w:hAnsi="Calibri" w:cs="Times New Roman"/>
          <w:sz w:val="24"/>
        </w:rPr>
        <w:t xml:space="preserve">. </w:t>
      </w:r>
      <w:r w:rsidRPr="00C93813">
        <w:rPr>
          <w:rFonts w:ascii="Calibri" w:eastAsia="宋体" w:hAnsi="Calibri" w:cs="Times New Roman" w:hint="eastAsia"/>
          <w:sz w:val="24"/>
        </w:rPr>
        <w:t>当代青年面临着城市化的发展即是机遇也是挑战，结合这一背景，思考城市化对个人产生的影响以及未来如何利用自己的专业定位实现个人价值，为国家的繁荣和发展贡献力量。</w:t>
      </w:r>
    </w:p>
    <w:p w14:paraId="06669883"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lastRenderedPageBreak/>
        <w:t xml:space="preserve">2. </w:t>
      </w:r>
      <w:r w:rsidRPr="00C93813">
        <w:rPr>
          <w:rFonts w:ascii="Calibri" w:eastAsia="宋体" w:hAnsi="Calibri" w:cs="Times New Roman" w:hint="eastAsia"/>
          <w:sz w:val="24"/>
        </w:rPr>
        <w:t>城市化发展势必带来对传统文化的冲击，在这个过程中，对如何实现传统与发展的和谐进行思考，同时思考新的生活方式会对哪些行业带来冲击。</w:t>
      </w:r>
    </w:p>
    <w:p w14:paraId="28F57B9C" w14:textId="77777777" w:rsidR="00C93813" w:rsidRPr="00C93813" w:rsidRDefault="00C93813" w:rsidP="00B23175">
      <w:pPr>
        <w:spacing w:beforeLines="50" w:before="156" w:afterLines="50" w:after="156" w:line="440" w:lineRule="exact"/>
        <w:ind w:left="561" w:firstLineChars="200" w:firstLine="562"/>
        <w:rPr>
          <w:rFonts w:ascii="Calibri" w:eastAsia="宋体" w:hAnsi="Calibri" w:cs="Times New Roman"/>
          <w:b/>
          <w:sz w:val="24"/>
        </w:rPr>
      </w:pPr>
      <w:r w:rsidRPr="00C93813">
        <w:rPr>
          <w:rFonts w:ascii="Calibri" w:eastAsia="宋体" w:hAnsi="Calibri" w:cs="Times New Roman" w:hint="eastAsia"/>
          <w:b/>
          <w:sz w:val="28"/>
          <w:szCs w:val="28"/>
        </w:rPr>
        <w:t>(</w:t>
      </w:r>
      <w:r w:rsidRPr="00C93813">
        <w:rPr>
          <w:rFonts w:ascii="Calibri" w:eastAsia="宋体" w:hAnsi="Calibri" w:cs="Times New Roman"/>
          <w:b/>
          <w:sz w:val="28"/>
          <w:szCs w:val="28"/>
        </w:rPr>
        <w:t>二）课程学习内容与课程学习目标的对应关系</w:t>
      </w:r>
    </w:p>
    <w:tbl>
      <w:tblPr>
        <w:tblW w:w="95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92"/>
        <w:gridCol w:w="2929"/>
        <w:gridCol w:w="1616"/>
        <w:gridCol w:w="1701"/>
      </w:tblGrid>
      <w:tr w:rsidR="00C93813" w:rsidRPr="00C93813" w14:paraId="69C60469" w14:textId="77777777" w:rsidTr="00BA2CFD">
        <w:trPr>
          <w:trHeight w:val="660"/>
          <w:jc w:val="center"/>
        </w:trPr>
        <w:tc>
          <w:tcPr>
            <w:tcW w:w="3292" w:type="dxa"/>
            <w:vAlign w:val="center"/>
          </w:tcPr>
          <w:p w14:paraId="6C93D4FA" w14:textId="77777777" w:rsidR="00C93813" w:rsidRPr="00C93813" w:rsidRDefault="00C93813" w:rsidP="00C93813">
            <w:pPr>
              <w:spacing w:line="440" w:lineRule="exact"/>
              <w:jc w:val="center"/>
              <w:rPr>
                <w:rFonts w:ascii="Calibri" w:eastAsia="宋体" w:hAnsi="Calibri" w:cs="Times New Roman"/>
                <w:b/>
                <w:bCs/>
                <w:sz w:val="24"/>
              </w:rPr>
            </w:pPr>
            <w:r w:rsidRPr="00C93813">
              <w:rPr>
                <w:rFonts w:ascii="Calibri" w:eastAsia="宋体" w:hAnsi="Calibri" w:cs="Times New Roman"/>
                <w:b/>
                <w:bCs/>
                <w:sz w:val="24"/>
              </w:rPr>
              <w:t>课程学习内容</w:t>
            </w:r>
          </w:p>
        </w:tc>
        <w:tc>
          <w:tcPr>
            <w:tcW w:w="2929" w:type="dxa"/>
            <w:vAlign w:val="center"/>
          </w:tcPr>
          <w:p w14:paraId="7E5E7BB2" w14:textId="77777777" w:rsidR="00C93813" w:rsidRPr="00C93813" w:rsidRDefault="00C93813" w:rsidP="00C93813">
            <w:pPr>
              <w:spacing w:line="440" w:lineRule="exact"/>
              <w:jc w:val="center"/>
              <w:rPr>
                <w:rFonts w:ascii="Calibri" w:eastAsia="宋体" w:hAnsi="Calibri" w:cs="Times New Roman"/>
                <w:b/>
                <w:bCs/>
                <w:sz w:val="24"/>
              </w:rPr>
            </w:pPr>
            <w:r w:rsidRPr="00C93813">
              <w:rPr>
                <w:rFonts w:ascii="Calibri" w:eastAsia="宋体" w:hAnsi="Calibri" w:cs="Times New Roman"/>
                <w:b/>
                <w:bCs/>
                <w:sz w:val="24"/>
              </w:rPr>
              <w:t>教学方法</w:t>
            </w:r>
          </w:p>
        </w:tc>
        <w:tc>
          <w:tcPr>
            <w:tcW w:w="1616" w:type="dxa"/>
            <w:vAlign w:val="center"/>
          </w:tcPr>
          <w:p w14:paraId="09BC45B1" w14:textId="77777777" w:rsidR="00C93813" w:rsidRPr="00C93813" w:rsidRDefault="00C93813" w:rsidP="00C93813">
            <w:pPr>
              <w:spacing w:line="440" w:lineRule="exact"/>
              <w:jc w:val="center"/>
              <w:rPr>
                <w:rFonts w:ascii="Calibri" w:eastAsia="宋体" w:hAnsi="Calibri" w:cs="Times New Roman"/>
                <w:b/>
                <w:bCs/>
                <w:sz w:val="24"/>
              </w:rPr>
            </w:pPr>
            <w:r w:rsidRPr="00C93813">
              <w:rPr>
                <w:rFonts w:ascii="Calibri" w:eastAsia="宋体" w:hAnsi="Calibri" w:cs="Times New Roman"/>
                <w:b/>
                <w:bCs/>
                <w:sz w:val="24"/>
              </w:rPr>
              <w:t>支撑的课程目标</w:t>
            </w:r>
          </w:p>
        </w:tc>
        <w:tc>
          <w:tcPr>
            <w:tcW w:w="1701" w:type="dxa"/>
            <w:vAlign w:val="center"/>
          </w:tcPr>
          <w:p w14:paraId="16CA4BAE" w14:textId="77777777" w:rsidR="00C93813" w:rsidRPr="00C93813" w:rsidRDefault="00C93813" w:rsidP="00C93813">
            <w:pPr>
              <w:spacing w:line="440" w:lineRule="exact"/>
              <w:jc w:val="center"/>
              <w:rPr>
                <w:rFonts w:ascii="Calibri" w:eastAsia="宋体" w:hAnsi="Calibri" w:cs="Times New Roman"/>
                <w:b/>
                <w:bCs/>
                <w:sz w:val="24"/>
              </w:rPr>
            </w:pPr>
            <w:r w:rsidRPr="00C93813">
              <w:rPr>
                <w:rFonts w:ascii="Calibri" w:eastAsia="宋体" w:hAnsi="Calibri" w:cs="Times New Roman"/>
                <w:b/>
                <w:bCs/>
                <w:sz w:val="24"/>
              </w:rPr>
              <w:t>学时安排</w:t>
            </w:r>
          </w:p>
        </w:tc>
      </w:tr>
      <w:tr w:rsidR="00C93813" w:rsidRPr="00C93813" w14:paraId="74B4E767" w14:textId="77777777" w:rsidTr="00BA2CFD">
        <w:trPr>
          <w:trHeight w:val="514"/>
          <w:jc w:val="center"/>
        </w:trPr>
        <w:tc>
          <w:tcPr>
            <w:tcW w:w="3292" w:type="dxa"/>
            <w:vAlign w:val="center"/>
          </w:tcPr>
          <w:p w14:paraId="6CA424CE" w14:textId="77777777" w:rsidR="00C93813" w:rsidRPr="00C93813" w:rsidRDefault="00C93813" w:rsidP="00C93813">
            <w:pPr>
              <w:spacing w:line="440" w:lineRule="exact"/>
              <w:jc w:val="left"/>
              <w:rPr>
                <w:rFonts w:ascii="Calibri" w:eastAsia="宋体" w:hAnsi="Calibri" w:cs="Times New Roman"/>
                <w:sz w:val="24"/>
              </w:rPr>
            </w:pPr>
            <w:r w:rsidRPr="00C93813">
              <w:rPr>
                <w:rFonts w:ascii="Calibri" w:eastAsia="宋体" w:hAnsi="Calibri" w:cs="Times New Roman"/>
                <w:sz w:val="24"/>
              </w:rPr>
              <w:t>Unit 1</w:t>
            </w:r>
            <w:r w:rsidRPr="00C93813">
              <w:rPr>
                <w:rFonts w:ascii="Calibri" w:eastAsia="宋体" w:hAnsi="Calibri" w:cs="Times New Roman" w:hint="eastAsia"/>
                <w:sz w:val="24"/>
              </w:rPr>
              <w:t xml:space="preserve"> Family and Love</w:t>
            </w:r>
          </w:p>
        </w:tc>
        <w:tc>
          <w:tcPr>
            <w:tcW w:w="2929" w:type="dxa"/>
            <w:vAlign w:val="center"/>
          </w:tcPr>
          <w:p w14:paraId="7024EBEB" w14:textId="77777777" w:rsidR="00C93813" w:rsidRPr="00C93813" w:rsidRDefault="00C93813" w:rsidP="00C93813">
            <w:pPr>
              <w:spacing w:line="440" w:lineRule="exact"/>
              <w:jc w:val="left"/>
              <w:rPr>
                <w:rFonts w:ascii="Calibri" w:eastAsia="宋体" w:hAnsi="Calibri" w:cs="Times New Roman"/>
                <w:sz w:val="24"/>
              </w:rPr>
            </w:pPr>
            <w:bookmarkStart w:id="51" w:name="OLE_LINK14"/>
            <w:bookmarkStart w:id="52" w:name="OLE_LINK13"/>
            <w:r w:rsidRPr="00C93813">
              <w:rPr>
                <w:rFonts w:ascii="Calibri" w:eastAsia="宋体" w:hAnsi="Calibri" w:cs="Times New Roman"/>
                <w:sz w:val="24"/>
              </w:rPr>
              <w:t>讨论法、讲授法、</w:t>
            </w:r>
            <w:bookmarkEnd w:id="51"/>
            <w:bookmarkEnd w:id="52"/>
            <w:r w:rsidRPr="00C93813">
              <w:rPr>
                <w:rFonts w:ascii="Calibri" w:eastAsia="宋体" w:hAnsi="Calibri" w:cs="Times New Roman" w:hint="eastAsia"/>
                <w:sz w:val="24"/>
              </w:rPr>
              <w:t>任务型教学法</w:t>
            </w:r>
          </w:p>
        </w:tc>
        <w:tc>
          <w:tcPr>
            <w:tcW w:w="1616" w:type="dxa"/>
            <w:vAlign w:val="center"/>
          </w:tcPr>
          <w:p w14:paraId="537B8497"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课程目标</w:t>
            </w:r>
            <w:bookmarkStart w:id="53" w:name="OLE_LINK21"/>
            <w:bookmarkStart w:id="54" w:name="OLE_LINK22"/>
            <w:r w:rsidRPr="00C93813">
              <w:rPr>
                <w:rFonts w:ascii="Calibri" w:eastAsia="宋体" w:hAnsi="Calibri" w:cs="Times New Roman"/>
                <w:sz w:val="24"/>
              </w:rPr>
              <w:t>1</w:t>
            </w:r>
            <w:r w:rsidRPr="00C93813">
              <w:rPr>
                <w:rFonts w:ascii="Calibri" w:eastAsia="宋体" w:hAnsi="Calibri" w:cs="Times New Roman"/>
                <w:sz w:val="24"/>
              </w:rPr>
              <w:t>、</w:t>
            </w:r>
            <w:r w:rsidRPr="00C93813">
              <w:rPr>
                <w:rFonts w:ascii="Calibri" w:eastAsia="宋体" w:hAnsi="Calibri" w:cs="Times New Roman"/>
                <w:sz w:val="24"/>
              </w:rPr>
              <w:t>2</w:t>
            </w:r>
            <w:r w:rsidRPr="00C93813">
              <w:rPr>
                <w:rFonts w:ascii="Calibri" w:eastAsia="宋体" w:hAnsi="Calibri" w:cs="Times New Roman"/>
                <w:sz w:val="24"/>
              </w:rPr>
              <w:t>、</w:t>
            </w:r>
            <w:r w:rsidRPr="00C93813">
              <w:rPr>
                <w:rFonts w:ascii="Calibri" w:eastAsia="宋体" w:hAnsi="Calibri" w:cs="Times New Roman"/>
                <w:sz w:val="24"/>
              </w:rPr>
              <w:t>3</w:t>
            </w:r>
            <w:bookmarkEnd w:id="53"/>
            <w:bookmarkEnd w:id="54"/>
          </w:p>
        </w:tc>
        <w:tc>
          <w:tcPr>
            <w:tcW w:w="1701" w:type="dxa"/>
            <w:vAlign w:val="center"/>
          </w:tcPr>
          <w:p w14:paraId="449A7630"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hint="eastAsia"/>
                <w:sz w:val="24"/>
              </w:rPr>
              <w:t>理论</w:t>
            </w:r>
            <w:r w:rsidRPr="00C93813">
              <w:rPr>
                <w:rFonts w:ascii="Calibri" w:eastAsia="宋体" w:hAnsi="Calibri" w:cs="Times New Roman"/>
                <w:sz w:val="24"/>
              </w:rPr>
              <w:t>8</w:t>
            </w:r>
            <w:r w:rsidRPr="00C93813">
              <w:rPr>
                <w:rFonts w:ascii="Calibri" w:eastAsia="宋体" w:hAnsi="Calibri" w:cs="Times New Roman"/>
                <w:sz w:val="24"/>
              </w:rPr>
              <w:t>学时</w:t>
            </w:r>
            <w:r w:rsidRPr="00C93813">
              <w:rPr>
                <w:rFonts w:ascii="Calibri" w:eastAsia="宋体" w:hAnsi="Calibri" w:cs="Times New Roman"/>
                <w:sz w:val="24"/>
              </w:rPr>
              <w:t>+</w:t>
            </w:r>
            <w:r w:rsidRPr="00C93813">
              <w:rPr>
                <w:rFonts w:ascii="Calibri" w:eastAsia="宋体" w:hAnsi="Calibri" w:cs="Times New Roman"/>
                <w:sz w:val="24"/>
              </w:rPr>
              <w:t>线上</w:t>
            </w:r>
            <w:r w:rsidRPr="00C93813">
              <w:rPr>
                <w:rFonts w:ascii="Calibri" w:eastAsia="宋体" w:hAnsi="Calibri" w:cs="Times New Roman" w:hint="eastAsia"/>
                <w:sz w:val="24"/>
              </w:rPr>
              <w:t>4</w:t>
            </w:r>
            <w:r w:rsidRPr="00C93813">
              <w:rPr>
                <w:rFonts w:ascii="Calibri" w:eastAsia="宋体" w:hAnsi="Calibri" w:cs="Times New Roman"/>
                <w:sz w:val="24"/>
              </w:rPr>
              <w:t>学时</w:t>
            </w:r>
          </w:p>
        </w:tc>
      </w:tr>
      <w:tr w:rsidR="00C93813" w:rsidRPr="00C93813" w14:paraId="4AB9D747" w14:textId="77777777" w:rsidTr="00BA2CFD">
        <w:trPr>
          <w:trHeight w:val="90"/>
          <w:jc w:val="center"/>
        </w:trPr>
        <w:tc>
          <w:tcPr>
            <w:tcW w:w="3292" w:type="dxa"/>
            <w:vAlign w:val="center"/>
          </w:tcPr>
          <w:p w14:paraId="5B1E3DB2" w14:textId="77777777" w:rsidR="00C93813" w:rsidRPr="00C93813" w:rsidRDefault="00C93813" w:rsidP="00C93813">
            <w:pPr>
              <w:spacing w:line="440" w:lineRule="exact"/>
              <w:jc w:val="left"/>
              <w:rPr>
                <w:rFonts w:ascii="Calibri" w:eastAsia="宋体" w:hAnsi="Calibri" w:cs="Times New Roman"/>
                <w:sz w:val="24"/>
                <w:highlight w:val="yellow"/>
              </w:rPr>
            </w:pPr>
            <w:r w:rsidRPr="00C93813">
              <w:rPr>
                <w:rFonts w:ascii="Calibri" w:eastAsia="宋体" w:hAnsi="Calibri" w:cs="Times New Roman"/>
                <w:sz w:val="24"/>
              </w:rPr>
              <w:t xml:space="preserve">Unit 4 </w:t>
            </w:r>
            <w:r w:rsidRPr="00C93813">
              <w:rPr>
                <w:rFonts w:ascii="Calibri" w:eastAsia="宋体" w:hAnsi="Calibri" w:cs="Times New Roman"/>
                <w:bCs/>
                <w:sz w:val="24"/>
              </w:rPr>
              <w:t>Fashion and</w:t>
            </w:r>
            <w:r w:rsidRPr="00C93813">
              <w:rPr>
                <w:rFonts w:ascii="Calibri" w:eastAsia="宋体" w:hAnsi="Calibri" w:cs="Times New Roman"/>
                <w:bCs/>
              </w:rPr>
              <w:t xml:space="preserve"> </w:t>
            </w:r>
            <w:r w:rsidRPr="00C93813">
              <w:rPr>
                <w:rFonts w:ascii="Calibri" w:eastAsia="宋体" w:hAnsi="Calibri" w:cs="Times New Roman"/>
                <w:bCs/>
                <w:sz w:val="24"/>
              </w:rPr>
              <w:t>Standard of Beauty</w:t>
            </w:r>
          </w:p>
        </w:tc>
        <w:tc>
          <w:tcPr>
            <w:tcW w:w="2929" w:type="dxa"/>
            <w:vAlign w:val="center"/>
          </w:tcPr>
          <w:p w14:paraId="3231C96E" w14:textId="77777777" w:rsidR="00C93813" w:rsidRPr="00C93813" w:rsidRDefault="00C93813" w:rsidP="00C93813">
            <w:pPr>
              <w:spacing w:line="440" w:lineRule="exact"/>
              <w:jc w:val="left"/>
              <w:rPr>
                <w:rFonts w:ascii="Calibri" w:eastAsia="宋体" w:hAnsi="Calibri" w:cs="Times New Roman"/>
                <w:sz w:val="24"/>
                <w:highlight w:val="yellow"/>
              </w:rPr>
            </w:pPr>
            <w:r w:rsidRPr="00C93813">
              <w:rPr>
                <w:rFonts w:ascii="Calibri" w:eastAsia="宋体" w:hAnsi="Calibri" w:cs="Times New Roman"/>
                <w:sz w:val="24"/>
              </w:rPr>
              <w:t>讲授法、</w:t>
            </w:r>
            <w:r w:rsidRPr="00C93813">
              <w:rPr>
                <w:rFonts w:ascii="Calibri" w:eastAsia="宋体" w:hAnsi="Calibri" w:cs="Times New Roman" w:hint="eastAsia"/>
                <w:sz w:val="24"/>
              </w:rPr>
              <w:t>讨论法、读书指导法、任务型教学法</w:t>
            </w:r>
          </w:p>
        </w:tc>
        <w:tc>
          <w:tcPr>
            <w:tcW w:w="1616" w:type="dxa"/>
            <w:vAlign w:val="center"/>
          </w:tcPr>
          <w:p w14:paraId="3B094CCA" w14:textId="77777777" w:rsidR="00C93813" w:rsidRPr="00C93813" w:rsidRDefault="00C93813" w:rsidP="00C93813">
            <w:pPr>
              <w:spacing w:line="440" w:lineRule="exact"/>
              <w:jc w:val="center"/>
              <w:rPr>
                <w:rFonts w:ascii="Calibri" w:eastAsia="宋体" w:hAnsi="Calibri" w:cs="Times New Roman"/>
                <w:sz w:val="24"/>
                <w:highlight w:val="yellow"/>
              </w:rPr>
            </w:pPr>
            <w:r w:rsidRPr="00C93813">
              <w:rPr>
                <w:rFonts w:ascii="Calibri" w:eastAsia="宋体" w:hAnsi="Calibri" w:cs="Times New Roman"/>
                <w:sz w:val="24"/>
              </w:rPr>
              <w:t>课程目标</w:t>
            </w:r>
            <w:r w:rsidRPr="00C93813">
              <w:rPr>
                <w:rFonts w:ascii="Calibri" w:eastAsia="宋体" w:hAnsi="Calibri" w:cs="Times New Roman"/>
                <w:sz w:val="24"/>
              </w:rPr>
              <w:t>1</w:t>
            </w:r>
            <w:r w:rsidRPr="00C93813">
              <w:rPr>
                <w:rFonts w:ascii="Calibri" w:eastAsia="宋体" w:hAnsi="Calibri" w:cs="Times New Roman"/>
                <w:sz w:val="24"/>
              </w:rPr>
              <w:t>、</w:t>
            </w:r>
            <w:r w:rsidRPr="00C93813">
              <w:rPr>
                <w:rFonts w:ascii="Calibri" w:eastAsia="宋体" w:hAnsi="Calibri" w:cs="Times New Roman"/>
                <w:sz w:val="24"/>
              </w:rPr>
              <w:t>2</w:t>
            </w:r>
            <w:r w:rsidRPr="00C93813">
              <w:rPr>
                <w:rFonts w:ascii="Calibri" w:eastAsia="宋体" w:hAnsi="Calibri" w:cs="Times New Roman"/>
                <w:sz w:val="24"/>
              </w:rPr>
              <w:t>、</w:t>
            </w:r>
            <w:r w:rsidRPr="00C93813">
              <w:rPr>
                <w:rFonts w:ascii="Calibri" w:eastAsia="宋体" w:hAnsi="Calibri" w:cs="Times New Roman"/>
                <w:sz w:val="24"/>
              </w:rPr>
              <w:t>3</w:t>
            </w:r>
          </w:p>
        </w:tc>
        <w:tc>
          <w:tcPr>
            <w:tcW w:w="1701" w:type="dxa"/>
            <w:vAlign w:val="center"/>
          </w:tcPr>
          <w:p w14:paraId="6ED3B453"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hint="eastAsia"/>
                <w:sz w:val="24"/>
              </w:rPr>
              <w:t>理论</w:t>
            </w:r>
            <w:r w:rsidRPr="00C93813">
              <w:rPr>
                <w:rFonts w:ascii="Calibri" w:eastAsia="宋体" w:hAnsi="Calibri" w:cs="Times New Roman"/>
                <w:sz w:val="24"/>
              </w:rPr>
              <w:t>8</w:t>
            </w:r>
            <w:r w:rsidRPr="00C93813">
              <w:rPr>
                <w:rFonts w:ascii="Calibri" w:eastAsia="宋体" w:hAnsi="Calibri" w:cs="Times New Roman"/>
                <w:sz w:val="24"/>
              </w:rPr>
              <w:t>学时</w:t>
            </w:r>
            <w:r w:rsidRPr="00C93813">
              <w:rPr>
                <w:rFonts w:ascii="Calibri" w:eastAsia="宋体" w:hAnsi="Calibri" w:cs="Times New Roman"/>
                <w:sz w:val="24"/>
              </w:rPr>
              <w:t>+</w:t>
            </w:r>
            <w:r w:rsidRPr="00C93813">
              <w:rPr>
                <w:rFonts w:ascii="Calibri" w:eastAsia="宋体" w:hAnsi="Calibri" w:cs="Times New Roman"/>
                <w:sz w:val="24"/>
              </w:rPr>
              <w:t>线上</w:t>
            </w:r>
            <w:r w:rsidRPr="00C93813">
              <w:rPr>
                <w:rFonts w:ascii="Calibri" w:eastAsia="宋体" w:hAnsi="Calibri" w:cs="Times New Roman" w:hint="eastAsia"/>
                <w:sz w:val="24"/>
              </w:rPr>
              <w:t>4</w:t>
            </w:r>
            <w:r w:rsidRPr="00C93813">
              <w:rPr>
                <w:rFonts w:ascii="Calibri" w:eastAsia="宋体" w:hAnsi="Calibri" w:cs="Times New Roman"/>
                <w:sz w:val="24"/>
              </w:rPr>
              <w:t>学时</w:t>
            </w:r>
          </w:p>
        </w:tc>
      </w:tr>
      <w:tr w:rsidR="00C93813" w:rsidRPr="00C93813" w14:paraId="09084158" w14:textId="77777777" w:rsidTr="00BA2CFD">
        <w:trPr>
          <w:trHeight w:val="892"/>
          <w:jc w:val="center"/>
        </w:trPr>
        <w:tc>
          <w:tcPr>
            <w:tcW w:w="3292" w:type="dxa"/>
            <w:vAlign w:val="center"/>
          </w:tcPr>
          <w:p w14:paraId="568493D6" w14:textId="77777777" w:rsidR="00C93813" w:rsidRPr="00C93813" w:rsidRDefault="00C93813" w:rsidP="00C93813">
            <w:pPr>
              <w:spacing w:beforeLines="50" w:before="156" w:afterLines="50" w:after="156" w:line="440" w:lineRule="exact"/>
              <w:jc w:val="left"/>
              <w:rPr>
                <w:rFonts w:ascii="Calibri" w:eastAsia="宋体" w:hAnsi="Calibri" w:cs="Times New Roman"/>
                <w:sz w:val="24"/>
                <w:highlight w:val="yellow"/>
              </w:rPr>
            </w:pPr>
            <w:r w:rsidRPr="00C93813">
              <w:rPr>
                <w:rFonts w:ascii="Calibri" w:eastAsia="宋体" w:hAnsi="Calibri" w:cs="Times New Roman" w:hint="eastAsia"/>
                <w:sz w:val="24"/>
              </w:rPr>
              <w:t>Unit 5 Commerce and Integrity</w:t>
            </w:r>
          </w:p>
        </w:tc>
        <w:tc>
          <w:tcPr>
            <w:tcW w:w="2929" w:type="dxa"/>
            <w:vAlign w:val="center"/>
          </w:tcPr>
          <w:p w14:paraId="372858CD" w14:textId="77777777" w:rsidR="00C93813" w:rsidRPr="00C93813" w:rsidRDefault="00C93813" w:rsidP="00C93813">
            <w:pPr>
              <w:spacing w:line="440" w:lineRule="exact"/>
              <w:jc w:val="left"/>
              <w:rPr>
                <w:rFonts w:ascii="Calibri" w:eastAsia="宋体" w:hAnsi="Calibri" w:cs="Times New Roman"/>
                <w:sz w:val="24"/>
                <w:highlight w:val="yellow"/>
              </w:rPr>
            </w:pPr>
            <w:bookmarkStart w:id="55" w:name="OLE_LINK17"/>
            <w:bookmarkStart w:id="56" w:name="OLE_LINK18"/>
            <w:r w:rsidRPr="00C93813">
              <w:rPr>
                <w:rFonts w:ascii="Calibri" w:eastAsia="宋体" w:hAnsi="Calibri" w:cs="Times New Roman"/>
                <w:sz w:val="24"/>
              </w:rPr>
              <w:t>讲授法、小组讨论法、自主学习法</w:t>
            </w:r>
            <w:bookmarkEnd w:id="55"/>
            <w:bookmarkEnd w:id="56"/>
            <w:r w:rsidRPr="00C93813">
              <w:rPr>
                <w:rFonts w:ascii="Calibri" w:eastAsia="宋体" w:hAnsi="Calibri" w:cs="Times New Roman" w:hint="eastAsia"/>
                <w:sz w:val="24"/>
              </w:rPr>
              <w:t>、混合式教学法</w:t>
            </w:r>
          </w:p>
        </w:tc>
        <w:tc>
          <w:tcPr>
            <w:tcW w:w="1616" w:type="dxa"/>
            <w:vAlign w:val="center"/>
          </w:tcPr>
          <w:p w14:paraId="21E38512" w14:textId="77777777" w:rsidR="00C93813" w:rsidRPr="00C93813" w:rsidRDefault="00C93813" w:rsidP="00C93813">
            <w:pPr>
              <w:spacing w:line="440" w:lineRule="exact"/>
              <w:jc w:val="center"/>
              <w:rPr>
                <w:rFonts w:ascii="Calibri" w:eastAsia="宋体" w:hAnsi="Calibri" w:cs="Times New Roman"/>
                <w:sz w:val="24"/>
                <w:highlight w:val="yellow"/>
              </w:rPr>
            </w:pPr>
            <w:r w:rsidRPr="00C93813">
              <w:rPr>
                <w:rFonts w:ascii="Calibri" w:eastAsia="宋体" w:hAnsi="Calibri" w:cs="Times New Roman"/>
                <w:sz w:val="24"/>
              </w:rPr>
              <w:t>课程目标</w:t>
            </w:r>
            <w:r w:rsidRPr="00C93813">
              <w:rPr>
                <w:rFonts w:ascii="Calibri" w:eastAsia="宋体" w:hAnsi="Calibri" w:cs="Times New Roman"/>
                <w:sz w:val="24"/>
              </w:rPr>
              <w:t>1</w:t>
            </w:r>
            <w:r w:rsidRPr="00C93813">
              <w:rPr>
                <w:rFonts w:ascii="Calibri" w:eastAsia="宋体" w:hAnsi="Calibri" w:cs="Times New Roman"/>
                <w:sz w:val="24"/>
              </w:rPr>
              <w:t>、</w:t>
            </w:r>
            <w:r w:rsidRPr="00C93813">
              <w:rPr>
                <w:rFonts w:ascii="Calibri" w:eastAsia="宋体" w:hAnsi="Calibri" w:cs="Times New Roman"/>
                <w:sz w:val="24"/>
              </w:rPr>
              <w:t>2</w:t>
            </w:r>
            <w:r w:rsidRPr="00C93813">
              <w:rPr>
                <w:rFonts w:ascii="Calibri" w:eastAsia="宋体" w:hAnsi="Calibri" w:cs="Times New Roman"/>
                <w:sz w:val="24"/>
              </w:rPr>
              <w:t>、</w:t>
            </w:r>
            <w:r w:rsidRPr="00C93813">
              <w:rPr>
                <w:rFonts w:ascii="Calibri" w:eastAsia="宋体" w:hAnsi="Calibri" w:cs="Times New Roman"/>
                <w:sz w:val="24"/>
              </w:rPr>
              <w:t>3</w:t>
            </w:r>
          </w:p>
        </w:tc>
        <w:tc>
          <w:tcPr>
            <w:tcW w:w="1701" w:type="dxa"/>
            <w:vAlign w:val="center"/>
          </w:tcPr>
          <w:p w14:paraId="3074B9CA"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hint="eastAsia"/>
                <w:sz w:val="24"/>
              </w:rPr>
              <w:t>理论</w:t>
            </w:r>
            <w:r w:rsidRPr="00C93813">
              <w:rPr>
                <w:rFonts w:ascii="Calibri" w:eastAsia="宋体" w:hAnsi="Calibri" w:cs="Times New Roman"/>
                <w:sz w:val="24"/>
              </w:rPr>
              <w:t>8</w:t>
            </w:r>
            <w:r w:rsidRPr="00C93813">
              <w:rPr>
                <w:rFonts w:ascii="Calibri" w:eastAsia="宋体" w:hAnsi="Calibri" w:cs="Times New Roman"/>
                <w:sz w:val="24"/>
              </w:rPr>
              <w:t>学时</w:t>
            </w:r>
            <w:r w:rsidRPr="00C93813">
              <w:rPr>
                <w:rFonts w:ascii="Calibri" w:eastAsia="宋体" w:hAnsi="Calibri" w:cs="Times New Roman"/>
                <w:sz w:val="24"/>
              </w:rPr>
              <w:t>+</w:t>
            </w:r>
            <w:r w:rsidRPr="00C93813">
              <w:rPr>
                <w:rFonts w:ascii="Calibri" w:eastAsia="宋体" w:hAnsi="Calibri" w:cs="Times New Roman"/>
                <w:sz w:val="24"/>
              </w:rPr>
              <w:t>线上</w:t>
            </w:r>
            <w:r w:rsidRPr="00C93813">
              <w:rPr>
                <w:rFonts w:ascii="Calibri" w:eastAsia="宋体" w:hAnsi="Calibri" w:cs="Times New Roman" w:hint="eastAsia"/>
                <w:sz w:val="24"/>
              </w:rPr>
              <w:t>4</w:t>
            </w:r>
            <w:r w:rsidRPr="00C93813">
              <w:rPr>
                <w:rFonts w:ascii="Calibri" w:eastAsia="宋体" w:hAnsi="Calibri" w:cs="Times New Roman"/>
                <w:sz w:val="24"/>
              </w:rPr>
              <w:t>学时</w:t>
            </w:r>
          </w:p>
        </w:tc>
      </w:tr>
      <w:tr w:rsidR="00C93813" w:rsidRPr="00C93813" w14:paraId="4AFFED5A" w14:textId="77777777" w:rsidTr="00BA2CFD">
        <w:trPr>
          <w:jc w:val="center"/>
        </w:trPr>
        <w:tc>
          <w:tcPr>
            <w:tcW w:w="3292" w:type="dxa"/>
            <w:vAlign w:val="center"/>
          </w:tcPr>
          <w:p w14:paraId="1CBF80F9" w14:textId="77777777" w:rsidR="00C93813" w:rsidRPr="00C93813" w:rsidRDefault="00C93813" w:rsidP="00C93813">
            <w:pPr>
              <w:spacing w:line="440" w:lineRule="exact"/>
              <w:jc w:val="left"/>
              <w:rPr>
                <w:rFonts w:ascii="Calibri" w:eastAsia="宋体" w:hAnsi="Calibri" w:cs="Times New Roman"/>
                <w:sz w:val="24"/>
              </w:rPr>
            </w:pPr>
            <w:r w:rsidRPr="00C93813">
              <w:rPr>
                <w:rFonts w:ascii="Calibri" w:eastAsia="宋体" w:hAnsi="Calibri" w:cs="Times New Roman"/>
                <w:sz w:val="24"/>
              </w:rPr>
              <w:t>Unit</w:t>
            </w:r>
            <w:r w:rsidRPr="00C93813">
              <w:rPr>
                <w:rFonts w:ascii="Calibri" w:eastAsia="宋体" w:hAnsi="Calibri" w:cs="Times New Roman" w:hint="eastAsia"/>
                <w:sz w:val="24"/>
              </w:rPr>
              <w:t xml:space="preserve"> 6</w:t>
            </w:r>
            <w:r w:rsidRPr="00C93813">
              <w:rPr>
                <w:rFonts w:ascii="Calibri" w:eastAsia="宋体" w:hAnsi="Calibri" w:cs="Times New Roman"/>
                <w:sz w:val="24"/>
              </w:rPr>
              <w:t xml:space="preserve"> Urbanization and Migration</w:t>
            </w:r>
          </w:p>
        </w:tc>
        <w:tc>
          <w:tcPr>
            <w:tcW w:w="2929" w:type="dxa"/>
            <w:vAlign w:val="center"/>
          </w:tcPr>
          <w:p w14:paraId="79C3862D" w14:textId="77777777" w:rsidR="00C93813" w:rsidRPr="00C93813" w:rsidRDefault="00C93813" w:rsidP="00C93813">
            <w:pPr>
              <w:spacing w:line="440" w:lineRule="exact"/>
              <w:jc w:val="left"/>
              <w:rPr>
                <w:rFonts w:ascii="Calibri" w:eastAsia="宋体" w:hAnsi="Calibri" w:cs="Times New Roman"/>
                <w:sz w:val="24"/>
              </w:rPr>
            </w:pPr>
            <w:r w:rsidRPr="00C93813">
              <w:rPr>
                <w:rFonts w:ascii="Calibri" w:eastAsia="宋体" w:hAnsi="Calibri" w:cs="Times New Roman"/>
                <w:sz w:val="24"/>
              </w:rPr>
              <w:t>讨论法、讲授法</w:t>
            </w:r>
            <w:r w:rsidRPr="00C93813">
              <w:rPr>
                <w:rFonts w:ascii="Calibri" w:eastAsia="宋体" w:hAnsi="Calibri" w:cs="Times New Roman" w:hint="eastAsia"/>
                <w:sz w:val="24"/>
              </w:rPr>
              <w:t>、</w:t>
            </w:r>
            <w:r w:rsidRPr="00C93813">
              <w:rPr>
                <w:rFonts w:ascii="宋体" w:eastAsia="宋体" w:hAnsi="宋体" w:cs="Times New Roman" w:hint="eastAsia"/>
                <w:sz w:val="24"/>
              </w:rPr>
              <w:t>任务型教学法</w:t>
            </w:r>
          </w:p>
        </w:tc>
        <w:tc>
          <w:tcPr>
            <w:tcW w:w="1616" w:type="dxa"/>
            <w:vAlign w:val="center"/>
          </w:tcPr>
          <w:p w14:paraId="5CFF759D"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sz w:val="24"/>
              </w:rPr>
              <w:t>课程目标</w:t>
            </w:r>
            <w:r w:rsidRPr="00C93813">
              <w:rPr>
                <w:rFonts w:ascii="Calibri" w:eastAsia="宋体" w:hAnsi="Calibri" w:cs="Times New Roman"/>
                <w:sz w:val="24"/>
              </w:rPr>
              <w:t>1</w:t>
            </w:r>
            <w:r w:rsidRPr="00C93813">
              <w:rPr>
                <w:rFonts w:ascii="Calibri" w:eastAsia="宋体" w:hAnsi="Calibri" w:cs="Times New Roman"/>
                <w:sz w:val="24"/>
              </w:rPr>
              <w:t>、</w:t>
            </w:r>
            <w:r w:rsidRPr="00C93813">
              <w:rPr>
                <w:rFonts w:ascii="Calibri" w:eastAsia="宋体" w:hAnsi="Calibri" w:cs="Times New Roman"/>
                <w:sz w:val="24"/>
              </w:rPr>
              <w:t>2</w:t>
            </w:r>
            <w:r w:rsidRPr="00C93813">
              <w:rPr>
                <w:rFonts w:ascii="Calibri" w:eastAsia="宋体" w:hAnsi="Calibri" w:cs="Times New Roman"/>
                <w:sz w:val="24"/>
              </w:rPr>
              <w:t>、</w:t>
            </w:r>
            <w:r w:rsidRPr="00C93813">
              <w:rPr>
                <w:rFonts w:ascii="Calibri" w:eastAsia="宋体" w:hAnsi="Calibri" w:cs="Times New Roman"/>
                <w:sz w:val="24"/>
              </w:rPr>
              <w:t>3</w:t>
            </w:r>
          </w:p>
        </w:tc>
        <w:tc>
          <w:tcPr>
            <w:tcW w:w="1701" w:type="dxa"/>
            <w:vAlign w:val="center"/>
          </w:tcPr>
          <w:p w14:paraId="4F4FFF3F"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hint="eastAsia"/>
                <w:sz w:val="24"/>
              </w:rPr>
              <w:t>理论</w:t>
            </w:r>
            <w:r w:rsidRPr="00C93813">
              <w:rPr>
                <w:rFonts w:ascii="Calibri" w:eastAsia="宋体" w:hAnsi="Calibri" w:cs="Times New Roman"/>
                <w:sz w:val="24"/>
              </w:rPr>
              <w:t>8</w:t>
            </w:r>
            <w:r w:rsidRPr="00C93813">
              <w:rPr>
                <w:rFonts w:ascii="Calibri" w:eastAsia="宋体" w:hAnsi="Calibri" w:cs="Times New Roman"/>
                <w:sz w:val="24"/>
              </w:rPr>
              <w:t>学时</w:t>
            </w:r>
            <w:r w:rsidRPr="00C93813">
              <w:rPr>
                <w:rFonts w:ascii="Calibri" w:eastAsia="宋体" w:hAnsi="Calibri" w:cs="Times New Roman"/>
                <w:sz w:val="24"/>
              </w:rPr>
              <w:t>+</w:t>
            </w:r>
            <w:r w:rsidRPr="00C93813">
              <w:rPr>
                <w:rFonts w:ascii="Calibri" w:eastAsia="宋体" w:hAnsi="Calibri" w:cs="Times New Roman"/>
                <w:sz w:val="24"/>
              </w:rPr>
              <w:t>线上</w:t>
            </w:r>
            <w:r w:rsidRPr="00C93813">
              <w:rPr>
                <w:rFonts w:ascii="Calibri" w:eastAsia="宋体" w:hAnsi="Calibri" w:cs="Times New Roman" w:hint="eastAsia"/>
                <w:sz w:val="24"/>
              </w:rPr>
              <w:t>4</w:t>
            </w:r>
            <w:r w:rsidRPr="00C93813">
              <w:rPr>
                <w:rFonts w:ascii="Calibri" w:eastAsia="宋体" w:hAnsi="Calibri" w:cs="Times New Roman"/>
                <w:sz w:val="24"/>
              </w:rPr>
              <w:t>学时</w:t>
            </w:r>
          </w:p>
        </w:tc>
      </w:tr>
      <w:tr w:rsidR="00C93813" w:rsidRPr="00C93813" w14:paraId="56B69F38" w14:textId="77777777" w:rsidTr="00BA2CFD">
        <w:trPr>
          <w:jc w:val="center"/>
        </w:trPr>
        <w:tc>
          <w:tcPr>
            <w:tcW w:w="7837" w:type="dxa"/>
            <w:gridSpan w:val="3"/>
            <w:vAlign w:val="center"/>
          </w:tcPr>
          <w:p w14:paraId="57416AE3" w14:textId="77777777" w:rsidR="00C93813" w:rsidRPr="00C93813" w:rsidRDefault="00C93813" w:rsidP="00C93813">
            <w:pPr>
              <w:spacing w:line="440" w:lineRule="exact"/>
              <w:jc w:val="center"/>
              <w:rPr>
                <w:rFonts w:ascii="Calibri" w:eastAsia="宋体" w:hAnsi="Calibri" w:cs="Times New Roman"/>
                <w:b/>
                <w:sz w:val="24"/>
              </w:rPr>
            </w:pPr>
            <w:r w:rsidRPr="00C93813">
              <w:rPr>
                <w:rFonts w:ascii="Calibri" w:eastAsia="宋体" w:hAnsi="Calibri" w:cs="Times New Roman"/>
                <w:b/>
                <w:sz w:val="24"/>
              </w:rPr>
              <w:t>合计</w:t>
            </w:r>
          </w:p>
        </w:tc>
        <w:tc>
          <w:tcPr>
            <w:tcW w:w="1701" w:type="dxa"/>
            <w:vAlign w:val="center"/>
          </w:tcPr>
          <w:p w14:paraId="03AE7477" w14:textId="77777777" w:rsidR="00C93813" w:rsidRPr="00C93813" w:rsidRDefault="00C93813" w:rsidP="00C93813">
            <w:pPr>
              <w:spacing w:line="440" w:lineRule="exact"/>
              <w:jc w:val="center"/>
              <w:rPr>
                <w:rFonts w:ascii="Calibri" w:eastAsia="宋体" w:hAnsi="Calibri" w:cs="Times New Roman"/>
                <w:sz w:val="24"/>
              </w:rPr>
            </w:pPr>
            <w:r w:rsidRPr="00C93813">
              <w:rPr>
                <w:rFonts w:ascii="Calibri" w:eastAsia="宋体" w:hAnsi="Calibri" w:cs="Times New Roman" w:hint="eastAsia"/>
                <w:sz w:val="24"/>
              </w:rPr>
              <w:t>48</w:t>
            </w:r>
            <w:r w:rsidRPr="00C93813">
              <w:rPr>
                <w:rFonts w:ascii="Calibri" w:eastAsia="宋体" w:hAnsi="Calibri" w:cs="Times New Roman"/>
                <w:sz w:val="24"/>
              </w:rPr>
              <w:t>学时</w:t>
            </w:r>
          </w:p>
        </w:tc>
      </w:tr>
    </w:tbl>
    <w:p w14:paraId="370704B5" w14:textId="77777777" w:rsidR="00C93813" w:rsidRPr="00C93813" w:rsidRDefault="00C93813" w:rsidP="00B23175">
      <w:pPr>
        <w:spacing w:beforeLines="50" w:before="156" w:afterLines="50" w:after="156" w:line="440" w:lineRule="exact"/>
        <w:ind w:firstLineChars="200" w:firstLine="562"/>
        <w:rPr>
          <w:rFonts w:ascii="Calibri" w:eastAsia="宋体" w:hAnsi="Calibri" w:cs="Times New Roman"/>
          <w:b/>
          <w:sz w:val="28"/>
          <w:szCs w:val="28"/>
        </w:rPr>
      </w:pPr>
      <w:r w:rsidRPr="00C93813">
        <w:rPr>
          <w:rFonts w:ascii="Calibri" w:eastAsia="宋体" w:hAnsi="Calibri" w:cs="Times New Roman" w:hint="eastAsia"/>
          <w:b/>
          <w:sz w:val="28"/>
          <w:szCs w:val="28"/>
        </w:rPr>
        <w:t>四、</w:t>
      </w:r>
      <w:r w:rsidRPr="00C93813">
        <w:rPr>
          <w:rFonts w:ascii="Calibri" w:eastAsia="宋体" w:hAnsi="Calibri" w:cs="Times New Roman"/>
          <w:b/>
          <w:sz w:val="28"/>
          <w:szCs w:val="28"/>
        </w:rPr>
        <w:t>课程考核及与课程学习目标的对应关系</w:t>
      </w:r>
      <w:r w:rsidRPr="00C93813">
        <w:rPr>
          <w:rFonts w:ascii="Calibri" w:eastAsia="宋体" w:hAnsi="Calibri" w:cs="Times New Roman"/>
          <w:b/>
          <w:sz w:val="28"/>
          <w:szCs w:val="28"/>
        </w:rPr>
        <w:t xml:space="preserve"> </w:t>
      </w:r>
    </w:p>
    <w:p w14:paraId="234C53AB" w14:textId="77777777" w:rsidR="00C93813" w:rsidRPr="00C93813" w:rsidRDefault="00C93813" w:rsidP="00B23175">
      <w:pPr>
        <w:spacing w:beforeLines="50" w:before="156" w:afterLines="50" w:after="156" w:line="440" w:lineRule="exact"/>
        <w:ind w:firstLineChars="200" w:firstLine="562"/>
        <w:rPr>
          <w:rFonts w:ascii="Calibri" w:eastAsia="宋体" w:hAnsi="Calibri" w:cs="Times New Roman"/>
          <w:b/>
          <w:sz w:val="28"/>
          <w:szCs w:val="28"/>
        </w:rPr>
      </w:pPr>
      <w:r w:rsidRPr="00C93813">
        <w:rPr>
          <w:rFonts w:ascii="Calibri" w:eastAsia="宋体" w:hAnsi="Calibri" w:cs="Times New Roman"/>
          <w:b/>
          <w:sz w:val="28"/>
          <w:szCs w:val="28"/>
        </w:rPr>
        <w:t>（一）课程考核内容与课程学习目标的对应关系</w:t>
      </w:r>
    </w:p>
    <w:tbl>
      <w:tblPr>
        <w:tblpPr w:leftFromText="180" w:rightFromText="180" w:vertAnchor="text" w:horzAnchor="page" w:tblpX="1523" w:tblpY="605"/>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C93813" w:rsidRPr="00C93813" w14:paraId="3B6DB96A" w14:textId="77777777" w:rsidTr="00BA2CFD">
        <w:trPr>
          <w:trHeight w:val="515"/>
        </w:trPr>
        <w:tc>
          <w:tcPr>
            <w:tcW w:w="1422" w:type="dxa"/>
            <w:tcBorders>
              <w:top w:val="single" w:sz="4" w:space="0" w:color="auto"/>
              <w:left w:val="single" w:sz="4" w:space="0" w:color="auto"/>
              <w:bottom w:val="single" w:sz="4" w:space="0" w:color="auto"/>
              <w:right w:val="single" w:sz="4" w:space="0" w:color="auto"/>
            </w:tcBorders>
          </w:tcPr>
          <w:p w14:paraId="42329EA3" w14:textId="77777777" w:rsidR="00C93813" w:rsidRPr="00C93813" w:rsidRDefault="00C93813" w:rsidP="00C93813">
            <w:pPr>
              <w:spacing w:line="440" w:lineRule="exact"/>
              <w:jc w:val="center"/>
              <w:rPr>
                <w:rFonts w:ascii="Calibri" w:eastAsia="宋体" w:hAnsi="Calibri" w:cs="Times New Roman"/>
                <w:b/>
                <w:sz w:val="24"/>
              </w:rPr>
            </w:pPr>
            <w:r w:rsidRPr="00C93813">
              <w:rPr>
                <w:rFonts w:ascii="Calibri" w:eastAsia="宋体" w:hAnsi="Calibri" w:cs="Times New Roman" w:hint="eastAsia"/>
                <w:b/>
                <w:sz w:val="24"/>
              </w:rPr>
              <w:t>课程目标</w:t>
            </w:r>
          </w:p>
        </w:tc>
        <w:tc>
          <w:tcPr>
            <w:tcW w:w="7918" w:type="dxa"/>
            <w:tcBorders>
              <w:top w:val="single" w:sz="4" w:space="0" w:color="auto"/>
              <w:left w:val="single" w:sz="4" w:space="0" w:color="auto"/>
              <w:bottom w:val="single" w:sz="4" w:space="0" w:color="auto"/>
              <w:right w:val="single" w:sz="4" w:space="0" w:color="auto"/>
            </w:tcBorders>
            <w:vAlign w:val="center"/>
          </w:tcPr>
          <w:p w14:paraId="2AFCB30D" w14:textId="77777777" w:rsidR="00C93813" w:rsidRPr="00C93813" w:rsidRDefault="00C93813" w:rsidP="00C93813">
            <w:pPr>
              <w:spacing w:line="440" w:lineRule="exact"/>
              <w:jc w:val="center"/>
              <w:rPr>
                <w:rFonts w:ascii="Calibri" w:eastAsia="宋体" w:hAnsi="Calibri" w:cs="Times New Roman"/>
                <w:b/>
                <w:sz w:val="24"/>
              </w:rPr>
            </w:pPr>
            <w:r w:rsidRPr="00C93813">
              <w:rPr>
                <w:rFonts w:ascii="Calibri" w:eastAsia="宋体" w:hAnsi="Calibri" w:cs="Times New Roman" w:hint="eastAsia"/>
                <w:b/>
                <w:sz w:val="24"/>
              </w:rPr>
              <w:t>考核内容</w:t>
            </w:r>
          </w:p>
        </w:tc>
      </w:tr>
      <w:tr w:rsidR="00C93813" w:rsidRPr="00C93813" w14:paraId="05D75B7C" w14:textId="77777777" w:rsidTr="00BA2CFD">
        <w:tc>
          <w:tcPr>
            <w:tcW w:w="1422" w:type="dxa"/>
            <w:tcBorders>
              <w:top w:val="single" w:sz="4" w:space="0" w:color="auto"/>
              <w:left w:val="single" w:sz="4" w:space="0" w:color="auto"/>
              <w:bottom w:val="single" w:sz="4" w:space="0" w:color="auto"/>
              <w:right w:val="single" w:sz="4" w:space="0" w:color="auto"/>
            </w:tcBorders>
            <w:vAlign w:val="center"/>
          </w:tcPr>
          <w:p w14:paraId="7B6EDA1E"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hint="eastAsia"/>
                <w:bCs/>
                <w:sz w:val="24"/>
              </w:rPr>
              <w:t>课程目标</w:t>
            </w:r>
            <w:r w:rsidRPr="00C93813">
              <w:rPr>
                <w:rFonts w:ascii="Calibri" w:eastAsia="宋体" w:hAnsi="Calibri" w:cs="Times New Roman"/>
                <w:bCs/>
                <w:sz w:val="24"/>
              </w:rPr>
              <w:t>1</w:t>
            </w:r>
          </w:p>
        </w:tc>
        <w:tc>
          <w:tcPr>
            <w:tcW w:w="7918" w:type="dxa"/>
            <w:tcBorders>
              <w:top w:val="single" w:sz="4" w:space="0" w:color="auto"/>
              <w:left w:val="single" w:sz="4" w:space="0" w:color="auto"/>
              <w:bottom w:val="single" w:sz="4" w:space="0" w:color="auto"/>
              <w:right w:val="single" w:sz="4" w:space="0" w:color="auto"/>
            </w:tcBorders>
            <w:vAlign w:val="center"/>
          </w:tcPr>
          <w:p w14:paraId="66B29D18" w14:textId="77777777" w:rsidR="00C93813" w:rsidRPr="00C93813" w:rsidRDefault="00C93813" w:rsidP="00C93813">
            <w:pPr>
              <w:spacing w:line="440" w:lineRule="exact"/>
              <w:ind w:left="480" w:hangingChars="200" w:hanging="480"/>
              <w:rPr>
                <w:rFonts w:ascii="Calibri" w:eastAsia="宋体" w:hAnsi="Calibri" w:cs="Times New Roman"/>
                <w:bCs/>
                <w:sz w:val="24"/>
              </w:rPr>
            </w:pPr>
            <w:r w:rsidRPr="00C93813">
              <w:rPr>
                <w:rFonts w:ascii="Calibri" w:eastAsia="宋体" w:hAnsi="Calibri" w:cs="Times New Roman"/>
                <w:bCs/>
                <w:sz w:val="24"/>
              </w:rPr>
              <w:t xml:space="preserve">1.1 </w:t>
            </w:r>
            <w:r w:rsidRPr="00C93813">
              <w:rPr>
                <w:rFonts w:ascii="Calibri" w:eastAsia="宋体" w:hAnsi="Calibri" w:cs="Times New Roman" w:hint="eastAsia"/>
                <w:bCs/>
                <w:sz w:val="24"/>
              </w:rPr>
              <w:t>英语基础知识（词汇、语法等）、对课文内容的理解、对文章主题的把握，英语知识的综合运用能力（口语、听力、阅读、翻译、写作能力等）</w:t>
            </w:r>
          </w:p>
          <w:p w14:paraId="6D4186A5" w14:textId="77777777" w:rsidR="00C93813" w:rsidRPr="00C93813" w:rsidRDefault="00C93813" w:rsidP="00C93813">
            <w:pPr>
              <w:spacing w:line="440" w:lineRule="exact"/>
              <w:rPr>
                <w:rFonts w:ascii="Calibri" w:eastAsia="宋体" w:hAnsi="Calibri" w:cs="Times New Roman"/>
                <w:bCs/>
                <w:sz w:val="24"/>
              </w:rPr>
            </w:pPr>
            <w:r w:rsidRPr="00C93813">
              <w:rPr>
                <w:rFonts w:ascii="Calibri" w:eastAsia="宋体" w:hAnsi="Calibri" w:cs="Times New Roman"/>
                <w:bCs/>
                <w:sz w:val="24"/>
              </w:rPr>
              <w:t>1.2</w:t>
            </w:r>
            <w:r w:rsidRPr="00C93813">
              <w:rPr>
                <w:rFonts w:ascii="Calibri" w:eastAsia="宋体" w:hAnsi="Calibri" w:cs="Times New Roman" w:hint="eastAsia"/>
                <w:sz w:val="24"/>
              </w:rPr>
              <w:t>学生的自主学习能力、学生的学习自律和终身学习意识。</w:t>
            </w:r>
          </w:p>
        </w:tc>
      </w:tr>
      <w:tr w:rsidR="00C93813" w:rsidRPr="00C93813" w14:paraId="45A1AAF3" w14:textId="77777777" w:rsidTr="00BA2CFD">
        <w:tc>
          <w:tcPr>
            <w:tcW w:w="1422" w:type="dxa"/>
            <w:tcBorders>
              <w:top w:val="single" w:sz="4" w:space="0" w:color="auto"/>
              <w:left w:val="single" w:sz="4" w:space="0" w:color="auto"/>
              <w:bottom w:val="single" w:sz="4" w:space="0" w:color="auto"/>
              <w:right w:val="single" w:sz="4" w:space="0" w:color="auto"/>
            </w:tcBorders>
            <w:vAlign w:val="center"/>
          </w:tcPr>
          <w:p w14:paraId="31DD5B1F"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hint="eastAsia"/>
                <w:bCs/>
                <w:sz w:val="24"/>
              </w:rPr>
              <w:t>课程目标</w:t>
            </w:r>
            <w:r w:rsidRPr="00C93813">
              <w:rPr>
                <w:rFonts w:ascii="Calibri" w:eastAsia="宋体" w:hAnsi="Calibri" w:cs="Times New Roman"/>
                <w:bCs/>
                <w:sz w:val="24"/>
              </w:rPr>
              <w:t>2</w:t>
            </w:r>
          </w:p>
        </w:tc>
        <w:tc>
          <w:tcPr>
            <w:tcW w:w="7918" w:type="dxa"/>
            <w:tcBorders>
              <w:top w:val="single" w:sz="4" w:space="0" w:color="auto"/>
              <w:left w:val="single" w:sz="4" w:space="0" w:color="auto"/>
              <w:bottom w:val="single" w:sz="4" w:space="0" w:color="auto"/>
              <w:right w:val="single" w:sz="4" w:space="0" w:color="auto"/>
            </w:tcBorders>
            <w:vAlign w:val="center"/>
          </w:tcPr>
          <w:p w14:paraId="13FD7B26" w14:textId="77777777" w:rsidR="00C93813" w:rsidRPr="00C93813" w:rsidRDefault="00C93813" w:rsidP="00C93813">
            <w:pPr>
              <w:spacing w:line="440" w:lineRule="exact"/>
              <w:rPr>
                <w:rFonts w:ascii="Calibri" w:eastAsia="宋体" w:hAnsi="Calibri" w:cs="Times New Roman"/>
                <w:bCs/>
                <w:sz w:val="24"/>
              </w:rPr>
            </w:pPr>
            <w:r w:rsidRPr="00C93813">
              <w:rPr>
                <w:rFonts w:ascii="Calibri" w:eastAsia="宋体" w:hAnsi="Calibri" w:cs="Times New Roman"/>
                <w:bCs/>
                <w:sz w:val="24"/>
              </w:rPr>
              <w:t>2.1</w:t>
            </w:r>
            <w:r w:rsidRPr="00C93813">
              <w:rPr>
                <w:rFonts w:ascii="Calibri" w:eastAsia="宋体" w:hAnsi="Calibri" w:cs="Times New Roman" w:hint="eastAsia"/>
                <w:sz w:val="24"/>
              </w:rPr>
              <w:t>学生的人文社会素养和强烈的社会责任感，职业道德和规范意识。</w:t>
            </w:r>
          </w:p>
          <w:p w14:paraId="7E6A0DD5" w14:textId="77777777" w:rsidR="00C93813" w:rsidRPr="00C93813" w:rsidRDefault="00C93813" w:rsidP="00C93813">
            <w:pPr>
              <w:spacing w:line="440" w:lineRule="exact"/>
              <w:rPr>
                <w:rFonts w:ascii="Calibri" w:eastAsia="宋体" w:hAnsi="Calibri" w:cs="Times New Roman"/>
                <w:bCs/>
                <w:sz w:val="24"/>
              </w:rPr>
            </w:pPr>
            <w:r w:rsidRPr="00C93813">
              <w:rPr>
                <w:rFonts w:ascii="Calibri" w:eastAsia="宋体" w:hAnsi="Calibri" w:cs="Times New Roman"/>
                <w:bCs/>
                <w:sz w:val="24"/>
              </w:rPr>
              <w:t>2.2</w:t>
            </w:r>
            <w:r w:rsidRPr="00C93813">
              <w:rPr>
                <w:rFonts w:ascii="Calibri" w:eastAsia="宋体" w:hAnsi="Calibri" w:cs="Times New Roman" w:hint="eastAsia"/>
                <w:bCs/>
                <w:sz w:val="24"/>
              </w:rPr>
              <w:t>学生对</w:t>
            </w:r>
            <w:r w:rsidRPr="00C93813">
              <w:rPr>
                <w:rFonts w:ascii="Calibri" w:eastAsia="宋体" w:hAnsi="Calibri" w:cs="Times New Roman" w:hint="eastAsia"/>
                <w:sz w:val="24"/>
              </w:rPr>
              <w:t>博大精深的中国文化的理解，民族文化自信心及爱国主义和家国情怀。</w:t>
            </w:r>
          </w:p>
        </w:tc>
      </w:tr>
      <w:tr w:rsidR="00C93813" w:rsidRPr="00C93813" w14:paraId="0B0B21B6" w14:textId="77777777" w:rsidTr="00BA2CFD">
        <w:tc>
          <w:tcPr>
            <w:tcW w:w="1422" w:type="dxa"/>
            <w:tcBorders>
              <w:top w:val="single" w:sz="4" w:space="0" w:color="auto"/>
              <w:left w:val="single" w:sz="4" w:space="0" w:color="auto"/>
              <w:bottom w:val="single" w:sz="4" w:space="0" w:color="auto"/>
              <w:right w:val="single" w:sz="4" w:space="0" w:color="auto"/>
            </w:tcBorders>
            <w:vAlign w:val="center"/>
          </w:tcPr>
          <w:p w14:paraId="66280ECE"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hint="eastAsia"/>
                <w:bCs/>
                <w:sz w:val="24"/>
              </w:rPr>
              <w:t>课程目标</w:t>
            </w:r>
            <w:r w:rsidRPr="00C93813">
              <w:rPr>
                <w:rFonts w:ascii="Calibri" w:eastAsia="宋体" w:hAnsi="Calibri" w:cs="Times New Roman"/>
                <w:bCs/>
                <w:sz w:val="24"/>
              </w:rPr>
              <w:t>3</w:t>
            </w:r>
          </w:p>
        </w:tc>
        <w:tc>
          <w:tcPr>
            <w:tcW w:w="7918" w:type="dxa"/>
            <w:tcBorders>
              <w:top w:val="single" w:sz="4" w:space="0" w:color="auto"/>
              <w:left w:val="single" w:sz="4" w:space="0" w:color="auto"/>
              <w:bottom w:val="single" w:sz="4" w:space="0" w:color="auto"/>
              <w:right w:val="single" w:sz="4" w:space="0" w:color="auto"/>
            </w:tcBorders>
            <w:vAlign w:val="center"/>
          </w:tcPr>
          <w:p w14:paraId="29CCEF92" w14:textId="77777777" w:rsidR="00C93813" w:rsidRPr="00C93813" w:rsidRDefault="00C93813" w:rsidP="00C93813">
            <w:pPr>
              <w:spacing w:line="440" w:lineRule="exact"/>
              <w:rPr>
                <w:rFonts w:ascii="Calibri" w:eastAsia="宋体" w:hAnsi="Calibri" w:cs="Times New Roman"/>
                <w:bCs/>
                <w:sz w:val="24"/>
              </w:rPr>
            </w:pPr>
            <w:r w:rsidRPr="00C93813">
              <w:rPr>
                <w:rFonts w:ascii="Calibri" w:eastAsia="宋体" w:hAnsi="Calibri" w:cs="Times New Roman"/>
                <w:bCs/>
                <w:sz w:val="24"/>
              </w:rPr>
              <w:t>3.1</w:t>
            </w:r>
            <w:r w:rsidRPr="00C93813">
              <w:rPr>
                <w:rFonts w:ascii="Calibri" w:eastAsia="宋体" w:hAnsi="Calibri" w:cs="Times New Roman" w:hint="eastAsia"/>
                <w:sz w:val="24"/>
              </w:rPr>
              <w:t>参与课堂活动的能力，小组合作能力和组织管理能力；英语综合运用能力和跨文化交际能力。</w:t>
            </w:r>
          </w:p>
          <w:p w14:paraId="360F7BBF" w14:textId="77777777" w:rsidR="00C93813" w:rsidRPr="00C93813" w:rsidRDefault="00C93813" w:rsidP="00C93813">
            <w:pPr>
              <w:spacing w:line="440" w:lineRule="exact"/>
              <w:rPr>
                <w:rFonts w:ascii="Calibri" w:eastAsia="宋体" w:hAnsi="Calibri" w:cs="Times New Roman"/>
                <w:bCs/>
                <w:sz w:val="24"/>
              </w:rPr>
            </w:pPr>
            <w:r w:rsidRPr="00C93813">
              <w:rPr>
                <w:rFonts w:ascii="Calibri" w:eastAsia="宋体" w:hAnsi="Calibri" w:cs="Times New Roman"/>
                <w:bCs/>
                <w:sz w:val="24"/>
              </w:rPr>
              <w:t>3.2</w:t>
            </w:r>
            <w:r w:rsidRPr="00C93813">
              <w:rPr>
                <w:rFonts w:ascii="Calibri" w:eastAsia="宋体" w:hAnsi="Calibri" w:cs="Times New Roman" w:hint="eastAsia"/>
                <w:bCs/>
                <w:sz w:val="24"/>
              </w:rPr>
              <w:t>学生的语言实践能力，</w:t>
            </w:r>
            <w:r w:rsidRPr="00C93813">
              <w:rPr>
                <w:rFonts w:ascii="Calibri" w:eastAsia="宋体" w:hAnsi="Calibri" w:cs="Times New Roman" w:hint="eastAsia"/>
                <w:sz w:val="24"/>
              </w:rPr>
              <w:t>有效的口头和书面沟通交流能力，包括实用写作</w:t>
            </w:r>
            <w:r w:rsidRPr="00C93813">
              <w:rPr>
                <w:rFonts w:ascii="Calibri" w:eastAsia="宋体" w:hAnsi="Calibri" w:cs="Times New Roman" w:hint="eastAsia"/>
                <w:sz w:val="24"/>
              </w:rPr>
              <w:lastRenderedPageBreak/>
              <w:t>能力等。</w:t>
            </w:r>
          </w:p>
        </w:tc>
      </w:tr>
    </w:tbl>
    <w:p w14:paraId="4518F5FE" w14:textId="77777777" w:rsidR="00C93813" w:rsidRPr="00C93813" w:rsidRDefault="00C93813" w:rsidP="00C93813">
      <w:pPr>
        <w:spacing w:beforeLines="50" w:before="156" w:afterLines="50" w:after="156" w:line="440" w:lineRule="exact"/>
        <w:rPr>
          <w:rFonts w:ascii="Calibri" w:eastAsia="宋体" w:hAnsi="Calibri" w:cs="Times New Roman"/>
          <w:b/>
          <w:sz w:val="28"/>
          <w:szCs w:val="28"/>
        </w:rPr>
      </w:pPr>
    </w:p>
    <w:p w14:paraId="69A1F7EC" w14:textId="77777777" w:rsidR="00C93813" w:rsidRPr="00C93813" w:rsidRDefault="00C93813" w:rsidP="00B23175">
      <w:pPr>
        <w:spacing w:beforeLines="50" w:before="156" w:afterLines="50" w:after="156" w:line="440" w:lineRule="exact"/>
        <w:ind w:firstLineChars="200" w:firstLine="562"/>
        <w:rPr>
          <w:rFonts w:ascii="Calibri" w:eastAsia="宋体" w:hAnsi="Calibri" w:cs="Times New Roman"/>
          <w:b/>
          <w:sz w:val="28"/>
          <w:szCs w:val="28"/>
        </w:rPr>
      </w:pPr>
      <w:r w:rsidRPr="00C93813">
        <w:rPr>
          <w:rFonts w:ascii="Calibri" w:eastAsia="宋体" w:hAnsi="Calibri" w:cs="Times New Roman"/>
          <w:b/>
          <w:sz w:val="28"/>
          <w:szCs w:val="28"/>
        </w:rPr>
        <w:t>（二）课程考核方式</w:t>
      </w:r>
    </w:p>
    <w:p w14:paraId="05B11319"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楷体_GB2312" w:hint="eastAsia"/>
          <w:sz w:val="24"/>
        </w:rPr>
        <w:t>课程考核方式分为平时考核和期末考核。</w:t>
      </w:r>
    </w:p>
    <w:p w14:paraId="75364AF2" w14:textId="77777777" w:rsidR="00C93813" w:rsidRPr="00C93813" w:rsidRDefault="00C93813" w:rsidP="00B23175">
      <w:pPr>
        <w:spacing w:line="360" w:lineRule="auto"/>
        <w:ind w:firstLineChars="200" w:firstLine="480"/>
        <w:rPr>
          <w:rFonts w:ascii="Calibri" w:eastAsia="黑体" w:hAnsi="Calibri" w:cs="Times New Roman"/>
          <w:sz w:val="28"/>
          <w:szCs w:val="28"/>
        </w:rPr>
      </w:pPr>
      <w:r w:rsidRPr="00C93813">
        <w:rPr>
          <w:rFonts w:ascii="Calibri" w:eastAsia="宋体" w:hAnsi="Calibri" w:cs="Times New Roman"/>
          <w:sz w:val="24"/>
        </w:rPr>
        <w:t>平时考核方式包括课堂考勤，线上、线下参与课堂互动</w:t>
      </w:r>
      <w:r w:rsidRPr="00C93813">
        <w:rPr>
          <w:rFonts w:ascii="Calibri" w:eastAsia="宋体" w:hAnsi="Calibri" w:cs="Times New Roman" w:hint="eastAsia"/>
          <w:sz w:val="24"/>
        </w:rPr>
        <w:t>（音视频完成、随堂测试、讨论、问卷、小组合作等）</w:t>
      </w:r>
      <w:r w:rsidRPr="00C93813">
        <w:rPr>
          <w:rFonts w:ascii="Calibri" w:eastAsia="宋体" w:hAnsi="Calibri" w:cs="Times New Roman"/>
          <w:sz w:val="24"/>
        </w:rPr>
        <w:t>情况，平时作业的完成情况等；期末考核采用闭卷考试。</w:t>
      </w:r>
    </w:p>
    <w:p w14:paraId="3EE60DD7" w14:textId="77777777" w:rsidR="00C93813" w:rsidRPr="00C93813" w:rsidRDefault="00C93813" w:rsidP="00B23175">
      <w:pPr>
        <w:spacing w:beforeLines="50" w:before="156" w:afterLines="50" w:after="156" w:line="440" w:lineRule="exact"/>
        <w:ind w:firstLineChars="200" w:firstLine="562"/>
        <w:rPr>
          <w:rFonts w:ascii="Calibri" w:eastAsia="宋体" w:hAnsi="Calibri" w:cs="Times New Roman"/>
          <w:b/>
          <w:sz w:val="28"/>
          <w:szCs w:val="28"/>
        </w:rPr>
      </w:pPr>
      <w:r w:rsidRPr="00C93813">
        <w:rPr>
          <w:rFonts w:ascii="Calibri" w:eastAsia="宋体" w:hAnsi="Calibri" w:cs="Times New Roman"/>
          <w:b/>
          <w:sz w:val="28"/>
          <w:szCs w:val="28"/>
        </w:rPr>
        <w:t>（三）课程目标达成评价方式及考核比例</w:t>
      </w:r>
    </w:p>
    <w:p w14:paraId="1AADC88D"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本课程考核方式及成绩比例为：平时成绩</w:t>
      </w:r>
      <w:r w:rsidRPr="00C93813">
        <w:rPr>
          <w:rFonts w:ascii="Calibri" w:eastAsia="宋体" w:hAnsi="Calibri" w:cs="Times New Roman"/>
          <w:sz w:val="24"/>
        </w:rPr>
        <w:t>50%+</w:t>
      </w:r>
      <w:r w:rsidRPr="00C93813">
        <w:rPr>
          <w:rFonts w:ascii="Calibri" w:eastAsia="宋体" w:hAnsi="Calibri" w:cs="Times New Roman"/>
          <w:sz w:val="24"/>
        </w:rPr>
        <w:t>期末考试</w:t>
      </w:r>
      <w:r w:rsidRPr="00C93813">
        <w:rPr>
          <w:rFonts w:ascii="Calibri" w:eastAsia="宋体" w:hAnsi="Calibri" w:cs="Times New Roman"/>
          <w:sz w:val="24"/>
        </w:rPr>
        <w:t>50%</w:t>
      </w:r>
      <w:r w:rsidRPr="00C93813">
        <w:rPr>
          <w:rFonts w:ascii="Calibri" w:eastAsia="宋体" w:hAnsi="Calibri" w:cs="Times New Roman"/>
          <w:sz w:val="24"/>
        </w:rPr>
        <w:t>；本课程共有三个课程目标，考核方式及成绩比例分别为：</w:t>
      </w:r>
    </w:p>
    <w:p w14:paraId="17F37BBA"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课程目标</w:t>
      </w:r>
      <w:r w:rsidRPr="00C93813">
        <w:rPr>
          <w:rFonts w:ascii="Calibri" w:eastAsia="宋体" w:hAnsi="Calibri" w:cs="Times New Roman"/>
          <w:sz w:val="24"/>
        </w:rPr>
        <w:t>1</w:t>
      </w:r>
      <w:r w:rsidRPr="00C93813">
        <w:rPr>
          <w:rFonts w:ascii="Calibri" w:eastAsia="宋体" w:hAnsi="Calibri" w:cs="Times New Roman"/>
          <w:sz w:val="24"/>
        </w:rPr>
        <w:t>：课堂表现</w:t>
      </w:r>
      <w:r w:rsidRPr="00C93813">
        <w:rPr>
          <w:rFonts w:ascii="Calibri" w:eastAsia="宋体" w:hAnsi="Calibri" w:cs="Times New Roman"/>
          <w:sz w:val="24"/>
        </w:rPr>
        <w:t>10%+</w:t>
      </w:r>
      <w:r w:rsidRPr="00C93813">
        <w:rPr>
          <w:rFonts w:ascii="Calibri" w:eastAsia="宋体" w:hAnsi="Calibri" w:cs="Times New Roman"/>
          <w:sz w:val="24"/>
        </w:rPr>
        <w:t>课堂考勤</w:t>
      </w:r>
      <w:r w:rsidRPr="00C93813">
        <w:rPr>
          <w:rFonts w:ascii="Calibri" w:eastAsia="宋体" w:hAnsi="Calibri" w:cs="Times New Roman"/>
          <w:sz w:val="24"/>
        </w:rPr>
        <w:t>5%+</w:t>
      </w:r>
      <w:r w:rsidRPr="00C93813">
        <w:rPr>
          <w:rFonts w:ascii="Calibri" w:eastAsia="宋体" w:hAnsi="Calibri" w:cs="Times New Roman"/>
          <w:sz w:val="24"/>
        </w:rPr>
        <w:t>平时作业</w:t>
      </w:r>
      <w:r w:rsidRPr="00C93813">
        <w:rPr>
          <w:rFonts w:ascii="Calibri" w:eastAsia="宋体" w:hAnsi="Calibri" w:cs="Times New Roman"/>
          <w:sz w:val="24"/>
        </w:rPr>
        <w:t>10%+</w:t>
      </w:r>
      <w:r w:rsidRPr="00C93813">
        <w:rPr>
          <w:rFonts w:ascii="Calibri" w:eastAsia="宋体" w:hAnsi="Calibri" w:cs="Times New Roman"/>
          <w:sz w:val="24"/>
        </w:rPr>
        <w:t>期末考试</w:t>
      </w:r>
      <w:r w:rsidRPr="00C93813">
        <w:rPr>
          <w:rFonts w:ascii="Calibri" w:eastAsia="宋体" w:hAnsi="Calibri" w:cs="Times New Roman"/>
          <w:sz w:val="24"/>
        </w:rPr>
        <w:t>25%</w:t>
      </w:r>
    </w:p>
    <w:p w14:paraId="72DE5261"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课程目标</w:t>
      </w:r>
      <w:r w:rsidRPr="00C93813">
        <w:rPr>
          <w:rFonts w:ascii="Calibri" w:eastAsia="宋体" w:hAnsi="Calibri" w:cs="Times New Roman"/>
          <w:sz w:val="24"/>
        </w:rPr>
        <w:t>2</w:t>
      </w:r>
      <w:r w:rsidRPr="00C93813">
        <w:rPr>
          <w:rFonts w:ascii="Calibri" w:eastAsia="宋体" w:hAnsi="Calibri" w:cs="Times New Roman"/>
          <w:sz w:val="24"/>
        </w:rPr>
        <w:t>：课堂表现</w:t>
      </w:r>
      <w:r w:rsidRPr="00C93813">
        <w:rPr>
          <w:rFonts w:ascii="Calibri" w:eastAsia="宋体" w:hAnsi="Calibri" w:cs="Times New Roman"/>
          <w:sz w:val="24"/>
        </w:rPr>
        <w:t>5%+</w:t>
      </w:r>
      <w:r w:rsidRPr="00C93813">
        <w:rPr>
          <w:rFonts w:ascii="Calibri" w:eastAsia="宋体" w:hAnsi="Calibri" w:cs="Times New Roman"/>
          <w:sz w:val="24"/>
        </w:rPr>
        <w:t>课堂考勤</w:t>
      </w:r>
      <w:r w:rsidRPr="00C93813">
        <w:rPr>
          <w:rFonts w:ascii="Calibri" w:eastAsia="宋体" w:hAnsi="Calibri" w:cs="Times New Roman"/>
          <w:sz w:val="24"/>
        </w:rPr>
        <w:t>5%+</w:t>
      </w:r>
      <w:r w:rsidRPr="00C93813">
        <w:rPr>
          <w:rFonts w:ascii="Calibri" w:eastAsia="宋体" w:hAnsi="Calibri" w:cs="Times New Roman"/>
          <w:sz w:val="24"/>
        </w:rPr>
        <w:t>平时作业</w:t>
      </w:r>
      <w:r w:rsidRPr="00C93813">
        <w:rPr>
          <w:rFonts w:ascii="Calibri" w:eastAsia="宋体" w:hAnsi="Calibri" w:cs="Times New Roman"/>
          <w:sz w:val="24"/>
        </w:rPr>
        <w:t>5%</w:t>
      </w:r>
    </w:p>
    <w:p w14:paraId="560B3BD6" w14:textId="77777777" w:rsidR="00C93813" w:rsidRPr="00C93813" w:rsidRDefault="00C93813" w:rsidP="00B23175">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课程目标</w:t>
      </w:r>
      <w:r w:rsidRPr="00C93813">
        <w:rPr>
          <w:rFonts w:ascii="Calibri" w:eastAsia="宋体" w:hAnsi="Calibri" w:cs="Times New Roman"/>
          <w:sz w:val="24"/>
        </w:rPr>
        <w:t>3</w:t>
      </w:r>
      <w:r w:rsidRPr="00C93813">
        <w:rPr>
          <w:rFonts w:ascii="Calibri" w:eastAsia="宋体" w:hAnsi="Calibri" w:cs="Times New Roman"/>
          <w:sz w:val="24"/>
        </w:rPr>
        <w:t>：课堂表现</w:t>
      </w:r>
      <w:r w:rsidRPr="00C93813">
        <w:rPr>
          <w:rFonts w:ascii="Calibri" w:eastAsia="宋体" w:hAnsi="Calibri" w:cs="Times New Roman"/>
          <w:sz w:val="24"/>
        </w:rPr>
        <w:t>5%+</w:t>
      </w:r>
      <w:r w:rsidRPr="00C93813">
        <w:rPr>
          <w:rFonts w:ascii="Calibri" w:eastAsia="宋体" w:hAnsi="Calibri" w:cs="Times New Roman"/>
          <w:sz w:val="24"/>
        </w:rPr>
        <w:t>平时作业</w:t>
      </w:r>
      <w:r w:rsidRPr="00C93813">
        <w:rPr>
          <w:rFonts w:ascii="Calibri" w:eastAsia="宋体" w:hAnsi="Calibri" w:cs="Times New Roman"/>
          <w:sz w:val="24"/>
        </w:rPr>
        <w:t>5%+</w:t>
      </w:r>
      <w:r w:rsidRPr="00C93813">
        <w:rPr>
          <w:rFonts w:ascii="Calibri" w:eastAsia="宋体" w:hAnsi="Calibri" w:cs="Times New Roman"/>
          <w:sz w:val="24"/>
        </w:rPr>
        <w:t>期末考试</w:t>
      </w:r>
      <w:r w:rsidRPr="00C93813">
        <w:rPr>
          <w:rFonts w:ascii="Calibri" w:eastAsia="宋体" w:hAnsi="Calibri" w:cs="Times New Roman"/>
          <w:sz w:val="24"/>
        </w:rPr>
        <w:t>25%</w:t>
      </w:r>
    </w:p>
    <w:p w14:paraId="08037077" w14:textId="77777777" w:rsidR="00C93813" w:rsidRPr="00C93813" w:rsidRDefault="00C93813" w:rsidP="00B23175">
      <w:pPr>
        <w:spacing w:line="440" w:lineRule="exact"/>
        <w:ind w:firstLineChars="200" w:firstLine="480"/>
        <w:rPr>
          <w:rFonts w:ascii="Calibri" w:eastAsia="宋体" w:hAnsi="Calibri" w:cs="Times New Roman"/>
          <w:sz w:val="24"/>
        </w:rPr>
      </w:pPr>
      <w:r w:rsidRPr="00C93813">
        <w:rPr>
          <w:rFonts w:ascii="Calibri" w:eastAsia="宋体" w:hAnsi="Calibri"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C93813" w:rsidRPr="00C93813" w14:paraId="2918DD17" w14:textId="77777777" w:rsidTr="00BA2CFD">
        <w:trPr>
          <w:trHeight w:val="540"/>
          <w:jc w:val="center"/>
        </w:trPr>
        <w:tc>
          <w:tcPr>
            <w:tcW w:w="1422" w:type="dxa"/>
            <w:vMerge w:val="restart"/>
            <w:vAlign w:val="center"/>
          </w:tcPr>
          <w:p w14:paraId="06FE320B" w14:textId="77777777" w:rsidR="00C93813" w:rsidRPr="00C93813" w:rsidRDefault="00C93813" w:rsidP="00C93813">
            <w:pPr>
              <w:spacing w:line="440" w:lineRule="exact"/>
              <w:jc w:val="center"/>
              <w:rPr>
                <w:rFonts w:ascii="Calibri" w:eastAsia="宋体" w:hAnsi="Calibri" w:cs="Times New Roman"/>
                <w:b/>
                <w:sz w:val="24"/>
              </w:rPr>
            </w:pPr>
            <w:r w:rsidRPr="00C93813">
              <w:rPr>
                <w:rFonts w:ascii="Calibri" w:eastAsia="宋体" w:hAnsi="Calibri" w:cs="Times New Roman"/>
                <w:b/>
                <w:sz w:val="24"/>
              </w:rPr>
              <w:t>课程目标</w:t>
            </w:r>
          </w:p>
        </w:tc>
        <w:tc>
          <w:tcPr>
            <w:tcW w:w="6271" w:type="dxa"/>
            <w:gridSpan w:val="4"/>
            <w:vAlign w:val="center"/>
          </w:tcPr>
          <w:p w14:paraId="60D274EF" w14:textId="77777777" w:rsidR="00C93813" w:rsidRPr="00C93813" w:rsidRDefault="00C93813" w:rsidP="00C93813">
            <w:pPr>
              <w:spacing w:line="440" w:lineRule="exact"/>
              <w:jc w:val="center"/>
              <w:rPr>
                <w:rFonts w:ascii="Calibri" w:eastAsia="宋体" w:hAnsi="Calibri" w:cs="Times New Roman"/>
                <w:b/>
                <w:sz w:val="24"/>
              </w:rPr>
            </w:pPr>
            <w:r w:rsidRPr="00C93813">
              <w:rPr>
                <w:rFonts w:ascii="Calibri" w:eastAsia="宋体" w:hAnsi="Calibri" w:cs="Times New Roman"/>
                <w:b/>
                <w:sz w:val="24"/>
              </w:rPr>
              <w:t>考核方式及成绩比例（</w:t>
            </w:r>
            <w:r w:rsidRPr="00C93813">
              <w:rPr>
                <w:rFonts w:ascii="Calibri" w:eastAsia="宋体" w:hAnsi="Calibri" w:cs="Times New Roman"/>
                <w:b/>
                <w:sz w:val="24"/>
              </w:rPr>
              <w:t>%</w:t>
            </w:r>
            <w:r w:rsidRPr="00C93813">
              <w:rPr>
                <w:rFonts w:ascii="Calibri" w:eastAsia="宋体" w:hAnsi="Calibri" w:cs="Times New Roman"/>
                <w:b/>
                <w:sz w:val="24"/>
              </w:rPr>
              <w:t>）</w:t>
            </w:r>
          </w:p>
        </w:tc>
        <w:tc>
          <w:tcPr>
            <w:tcW w:w="1559" w:type="dxa"/>
            <w:vMerge w:val="restart"/>
            <w:vAlign w:val="center"/>
          </w:tcPr>
          <w:p w14:paraId="04DCE3B9" w14:textId="77777777" w:rsidR="00C93813" w:rsidRPr="00C93813" w:rsidRDefault="00C93813" w:rsidP="00C93813">
            <w:pPr>
              <w:spacing w:line="440" w:lineRule="exact"/>
              <w:jc w:val="center"/>
              <w:rPr>
                <w:rFonts w:ascii="Calibri" w:eastAsia="宋体" w:hAnsi="Calibri" w:cs="Times New Roman"/>
                <w:b/>
                <w:sz w:val="24"/>
              </w:rPr>
            </w:pPr>
            <w:r w:rsidRPr="00C93813">
              <w:rPr>
                <w:rFonts w:ascii="Calibri" w:eastAsia="宋体" w:hAnsi="Calibri" w:cs="Times New Roman"/>
                <w:b/>
                <w:sz w:val="24"/>
              </w:rPr>
              <w:t>合计</w:t>
            </w:r>
          </w:p>
        </w:tc>
      </w:tr>
      <w:tr w:rsidR="00C93813" w:rsidRPr="00C93813" w14:paraId="785A6A9A" w14:textId="77777777" w:rsidTr="00BA2CFD">
        <w:trPr>
          <w:trHeight w:val="578"/>
          <w:jc w:val="center"/>
        </w:trPr>
        <w:tc>
          <w:tcPr>
            <w:tcW w:w="1422" w:type="dxa"/>
            <w:vMerge/>
            <w:vAlign w:val="center"/>
          </w:tcPr>
          <w:p w14:paraId="39E68DA1" w14:textId="77777777" w:rsidR="00C93813" w:rsidRPr="00C93813" w:rsidRDefault="00C93813" w:rsidP="00C93813">
            <w:pPr>
              <w:spacing w:line="440" w:lineRule="exact"/>
              <w:jc w:val="center"/>
              <w:rPr>
                <w:rFonts w:ascii="Calibri" w:eastAsia="宋体" w:hAnsi="Calibri" w:cs="Times New Roman"/>
                <w:b/>
                <w:sz w:val="24"/>
              </w:rPr>
            </w:pPr>
          </w:p>
        </w:tc>
        <w:tc>
          <w:tcPr>
            <w:tcW w:w="1452" w:type="dxa"/>
            <w:vAlign w:val="center"/>
          </w:tcPr>
          <w:p w14:paraId="5CD41DE5" w14:textId="77777777" w:rsidR="00C93813" w:rsidRPr="00C93813" w:rsidRDefault="00C93813" w:rsidP="00C93813">
            <w:pPr>
              <w:spacing w:line="440" w:lineRule="exact"/>
              <w:jc w:val="center"/>
              <w:rPr>
                <w:rFonts w:ascii="Calibri" w:eastAsia="宋体" w:hAnsi="Calibri" w:cs="Times New Roman"/>
                <w:b/>
                <w:sz w:val="24"/>
              </w:rPr>
            </w:pPr>
            <w:r w:rsidRPr="00C93813">
              <w:rPr>
                <w:rFonts w:ascii="Calibri" w:eastAsia="宋体" w:hAnsi="Calibri" w:cs="Times New Roman"/>
                <w:b/>
                <w:sz w:val="24"/>
              </w:rPr>
              <w:t>课堂表现</w:t>
            </w:r>
          </w:p>
        </w:tc>
        <w:tc>
          <w:tcPr>
            <w:tcW w:w="1559" w:type="dxa"/>
            <w:vAlign w:val="center"/>
          </w:tcPr>
          <w:p w14:paraId="508BD42D" w14:textId="77777777" w:rsidR="00C93813" w:rsidRPr="00C93813" w:rsidRDefault="00C93813" w:rsidP="00C93813">
            <w:pPr>
              <w:spacing w:line="440" w:lineRule="exact"/>
              <w:jc w:val="center"/>
              <w:rPr>
                <w:rFonts w:ascii="Calibri" w:eastAsia="宋体" w:hAnsi="Calibri" w:cs="Times New Roman"/>
                <w:b/>
                <w:sz w:val="24"/>
              </w:rPr>
            </w:pPr>
            <w:r w:rsidRPr="00C93813">
              <w:rPr>
                <w:rFonts w:ascii="Calibri" w:eastAsia="宋体" w:hAnsi="Calibri" w:cs="Times New Roman"/>
                <w:b/>
                <w:sz w:val="24"/>
              </w:rPr>
              <w:t>课堂考勤</w:t>
            </w:r>
          </w:p>
        </w:tc>
        <w:tc>
          <w:tcPr>
            <w:tcW w:w="1701" w:type="dxa"/>
            <w:vAlign w:val="center"/>
          </w:tcPr>
          <w:p w14:paraId="1F57911A" w14:textId="77777777" w:rsidR="00C93813" w:rsidRPr="00C93813" w:rsidRDefault="00C93813" w:rsidP="00C93813">
            <w:pPr>
              <w:spacing w:line="440" w:lineRule="exact"/>
              <w:jc w:val="center"/>
              <w:rPr>
                <w:rFonts w:ascii="Calibri" w:eastAsia="宋体" w:hAnsi="Calibri" w:cs="Times New Roman"/>
                <w:b/>
                <w:sz w:val="24"/>
              </w:rPr>
            </w:pPr>
            <w:r w:rsidRPr="00C93813">
              <w:rPr>
                <w:rFonts w:ascii="Calibri" w:eastAsia="宋体" w:hAnsi="Calibri" w:cs="Times New Roman"/>
                <w:b/>
                <w:sz w:val="24"/>
              </w:rPr>
              <w:t>平时作业</w:t>
            </w:r>
          </w:p>
        </w:tc>
        <w:tc>
          <w:tcPr>
            <w:tcW w:w="1559" w:type="dxa"/>
            <w:vAlign w:val="center"/>
          </w:tcPr>
          <w:p w14:paraId="7D66423F" w14:textId="77777777" w:rsidR="00C93813" w:rsidRPr="00C93813" w:rsidRDefault="00C93813" w:rsidP="00C93813">
            <w:pPr>
              <w:spacing w:line="440" w:lineRule="exact"/>
              <w:jc w:val="center"/>
              <w:rPr>
                <w:rFonts w:ascii="Calibri" w:eastAsia="宋体" w:hAnsi="Calibri" w:cs="Times New Roman"/>
                <w:b/>
                <w:sz w:val="24"/>
              </w:rPr>
            </w:pPr>
            <w:r w:rsidRPr="00C93813">
              <w:rPr>
                <w:rFonts w:ascii="Calibri" w:eastAsia="宋体" w:hAnsi="Calibri" w:cs="Times New Roman"/>
                <w:b/>
                <w:sz w:val="24"/>
              </w:rPr>
              <w:t>期末考试</w:t>
            </w:r>
          </w:p>
        </w:tc>
        <w:tc>
          <w:tcPr>
            <w:tcW w:w="1559" w:type="dxa"/>
            <w:vMerge/>
          </w:tcPr>
          <w:p w14:paraId="570866BE" w14:textId="77777777" w:rsidR="00C93813" w:rsidRPr="00C93813" w:rsidRDefault="00C93813" w:rsidP="00C93813">
            <w:pPr>
              <w:spacing w:line="440" w:lineRule="exact"/>
              <w:jc w:val="center"/>
              <w:rPr>
                <w:rFonts w:ascii="Calibri" w:eastAsia="宋体" w:hAnsi="Calibri" w:cs="Times New Roman"/>
                <w:b/>
                <w:sz w:val="24"/>
              </w:rPr>
            </w:pPr>
          </w:p>
        </w:tc>
      </w:tr>
      <w:tr w:rsidR="00C93813" w:rsidRPr="00C93813" w14:paraId="0EB4228B" w14:textId="77777777" w:rsidTr="00BA2CFD">
        <w:trPr>
          <w:jc w:val="center"/>
        </w:trPr>
        <w:tc>
          <w:tcPr>
            <w:tcW w:w="1422" w:type="dxa"/>
            <w:vAlign w:val="center"/>
          </w:tcPr>
          <w:p w14:paraId="3FB87F25"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课程目标</w:t>
            </w:r>
            <w:r w:rsidRPr="00C93813">
              <w:rPr>
                <w:rFonts w:ascii="Calibri" w:eastAsia="宋体" w:hAnsi="Calibri" w:cs="Times New Roman"/>
                <w:bCs/>
                <w:sz w:val="24"/>
              </w:rPr>
              <w:t>1</w:t>
            </w:r>
          </w:p>
        </w:tc>
        <w:tc>
          <w:tcPr>
            <w:tcW w:w="1452" w:type="dxa"/>
            <w:vAlign w:val="center"/>
          </w:tcPr>
          <w:p w14:paraId="23F2892E"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10</w:t>
            </w:r>
          </w:p>
        </w:tc>
        <w:tc>
          <w:tcPr>
            <w:tcW w:w="1559" w:type="dxa"/>
            <w:vAlign w:val="center"/>
          </w:tcPr>
          <w:p w14:paraId="2A858247"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5</w:t>
            </w:r>
          </w:p>
        </w:tc>
        <w:tc>
          <w:tcPr>
            <w:tcW w:w="1701" w:type="dxa"/>
            <w:vAlign w:val="center"/>
          </w:tcPr>
          <w:p w14:paraId="5EE3AC17"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10</w:t>
            </w:r>
          </w:p>
        </w:tc>
        <w:tc>
          <w:tcPr>
            <w:tcW w:w="1559" w:type="dxa"/>
            <w:vAlign w:val="center"/>
          </w:tcPr>
          <w:p w14:paraId="5F4DE770" w14:textId="77777777" w:rsidR="00C93813" w:rsidRPr="00C93813" w:rsidRDefault="00C93813" w:rsidP="00C93813">
            <w:pPr>
              <w:spacing w:line="440" w:lineRule="exact"/>
              <w:ind w:firstLineChars="200" w:firstLine="480"/>
              <w:rPr>
                <w:rFonts w:ascii="Calibri" w:eastAsia="宋体" w:hAnsi="Calibri" w:cs="Times New Roman"/>
                <w:bCs/>
                <w:sz w:val="24"/>
              </w:rPr>
            </w:pPr>
            <w:r w:rsidRPr="00C93813">
              <w:rPr>
                <w:rFonts w:ascii="Calibri" w:eastAsia="宋体" w:hAnsi="Calibri" w:cs="Times New Roman"/>
                <w:bCs/>
                <w:sz w:val="24"/>
              </w:rPr>
              <w:t>25</w:t>
            </w:r>
          </w:p>
        </w:tc>
        <w:tc>
          <w:tcPr>
            <w:tcW w:w="1559" w:type="dxa"/>
          </w:tcPr>
          <w:p w14:paraId="4AB4A1E8"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50</w:t>
            </w:r>
          </w:p>
        </w:tc>
      </w:tr>
      <w:tr w:rsidR="00C93813" w:rsidRPr="00C93813" w14:paraId="30A4D756" w14:textId="77777777" w:rsidTr="00BA2CFD">
        <w:trPr>
          <w:jc w:val="center"/>
        </w:trPr>
        <w:tc>
          <w:tcPr>
            <w:tcW w:w="1422" w:type="dxa"/>
            <w:vAlign w:val="center"/>
          </w:tcPr>
          <w:p w14:paraId="2F9DD922"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课程目标</w:t>
            </w:r>
            <w:r w:rsidRPr="00C93813">
              <w:rPr>
                <w:rFonts w:ascii="Calibri" w:eastAsia="宋体" w:hAnsi="Calibri" w:cs="Times New Roman"/>
                <w:bCs/>
                <w:sz w:val="24"/>
              </w:rPr>
              <w:t>2</w:t>
            </w:r>
          </w:p>
        </w:tc>
        <w:tc>
          <w:tcPr>
            <w:tcW w:w="1452" w:type="dxa"/>
            <w:vAlign w:val="center"/>
          </w:tcPr>
          <w:p w14:paraId="559FAE63"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5</w:t>
            </w:r>
          </w:p>
        </w:tc>
        <w:tc>
          <w:tcPr>
            <w:tcW w:w="1559" w:type="dxa"/>
            <w:vAlign w:val="center"/>
          </w:tcPr>
          <w:p w14:paraId="69F1FF47"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5</w:t>
            </w:r>
          </w:p>
        </w:tc>
        <w:tc>
          <w:tcPr>
            <w:tcW w:w="1701" w:type="dxa"/>
            <w:vAlign w:val="center"/>
          </w:tcPr>
          <w:p w14:paraId="03DB358A"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5</w:t>
            </w:r>
          </w:p>
        </w:tc>
        <w:tc>
          <w:tcPr>
            <w:tcW w:w="1559" w:type="dxa"/>
            <w:vAlign w:val="center"/>
          </w:tcPr>
          <w:p w14:paraId="0BA1B472" w14:textId="77777777" w:rsidR="00C93813" w:rsidRPr="00C93813" w:rsidRDefault="00C93813" w:rsidP="00C93813">
            <w:pPr>
              <w:spacing w:line="440" w:lineRule="exact"/>
              <w:jc w:val="center"/>
              <w:rPr>
                <w:rFonts w:ascii="Calibri" w:eastAsia="宋体" w:hAnsi="Calibri" w:cs="Times New Roman"/>
                <w:bCs/>
                <w:sz w:val="24"/>
              </w:rPr>
            </w:pPr>
          </w:p>
        </w:tc>
        <w:tc>
          <w:tcPr>
            <w:tcW w:w="1559" w:type="dxa"/>
          </w:tcPr>
          <w:p w14:paraId="55942D90"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15</w:t>
            </w:r>
          </w:p>
        </w:tc>
      </w:tr>
      <w:tr w:rsidR="00C93813" w:rsidRPr="00C93813" w14:paraId="58A373FF" w14:textId="77777777" w:rsidTr="00BA2CFD">
        <w:trPr>
          <w:jc w:val="center"/>
        </w:trPr>
        <w:tc>
          <w:tcPr>
            <w:tcW w:w="1422" w:type="dxa"/>
            <w:vAlign w:val="center"/>
          </w:tcPr>
          <w:p w14:paraId="3EE5D8E8"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课程目标</w:t>
            </w:r>
            <w:r w:rsidRPr="00C93813">
              <w:rPr>
                <w:rFonts w:ascii="Calibri" w:eastAsia="宋体" w:hAnsi="Calibri" w:cs="Times New Roman"/>
                <w:bCs/>
                <w:sz w:val="24"/>
              </w:rPr>
              <w:t>3</w:t>
            </w:r>
          </w:p>
        </w:tc>
        <w:tc>
          <w:tcPr>
            <w:tcW w:w="1452" w:type="dxa"/>
            <w:vAlign w:val="center"/>
          </w:tcPr>
          <w:p w14:paraId="12BF0DE2"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5</w:t>
            </w:r>
          </w:p>
        </w:tc>
        <w:tc>
          <w:tcPr>
            <w:tcW w:w="1559" w:type="dxa"/>
            <w:vAlign w:val="center"/>
          </w:tcPr>
          <w:p w14:paraId="46844329" w14:textId="77777777" w:rsidR="00C93813" w:rsidRPr="00C93813" w:rsidRDefault="00C93813" w:rsidP="00C93813">
            <w:pPr>
              <w:spacing w:line="440" w:lineRule="exact"/>
              <w:jc w:val="center"/>
              <w:rPr>
                <w:rFonts w:ascii="Calibri" w:eastAsia="宋体" w:hAnsi="Calibri" w:cs="Times New Roman"/>
                <w:bCs/>
                <w:sz w:val="24"/>
              </w:rPr>
            </w:pPr>
          </w:p>
        </w:tc>
        <w:tc>
          <w:tcPr>
            <w:tcW w:w="1701" w:type="dxa"/>
            <w:vAlign w:val="center"/>
          </w:tcPr>
          <w:p w14:paraId="5B114E3D"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5</w:t>
            </w:r>
          </w:p>
        </w:tc>
        <w:tc>
          <w:tcPr>
            <w:tcW w:w="1559" w:type="dxa"/>
            <w:vAlign w:val="center"/>
          </w:tcPr>
          <w:p w14:paraId="41F36BE7"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25</w:t>
            </w:r>
          </w:p>
        </w:tc>
        <w:tc>
          <w:tcPr>
            <w:tcW w:w="1559" w:type="dxa"/>
          </w:tcPr>
          <w:p w14:paraId="327F4C6B"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35</w:t>
            </w:r>
          </w:p>
        </w:tc>
      </w:tr>
      <w:tr w:rsidR="00C93813" w:rsidRPr="00C93813" w14:paraId="26B22455" w14:textId="77777777" w:rsidTr="00BA2CFD">
        <w:trPr>
          <w:jc w:val="center"/>
        </w:trPr>
        <w:tc>
          <w:tcPr>
            <w:tcW w:w="1422" w:type="dxa"/>
            <w:vAlign w:val="center"/>
          </w:tcPr>
          <w:p w14:paraId="11A5D049"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合计</w:t>
            </w:r>
          </w:p>
        </w:tc>
        <w:tc>
          <w:tcPr>
            <w:tcW w:w="1452" w:type="dxa"/>
            <w:vAlign w:val="center"/>
          </w:tcPr>
          <w:p w14:paraId="21344169"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20</w:t>
            </w:r>
          </w:p>
        </w:tc>
        <w:tc>
          <w:tcPr>
            <w:tcW w:w="1559" w:type="dxa"/>
            <w:vAlign w:val="center"/>
          </w:tcPr>
          <w:p w14:paraId="6CBE1828"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10</w:t>
            </w:r>
          </w:p>
        </w:tc>
        <w:tc>
          <w:tcPr>
            <w:tcW w:w="1701" w:type="dxa"/>
            <w:vAlign w:val="center"/>
          </w:tcPr>
          <w:p w14:paraId="53B1AD84"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20</w:t>
            </w:r>
          </w:p>
        </w:tc>
        <w:tc>
          <w:tcPr>
            <w:tcW w:w="1559" w:type="dxa"/>
            <w:vAlign w:val="center"/>
          </w:tcPr>
          <w:p w14:paraId="625A8BE0"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50</w:t>
            </w:r>
          </w:p>
        </w:tc>
        <w:tc>
          <w:tcPr>
            <w:tcW w:w="1559" w:type="dxa"/>
          </w:tcPr>
          <w:p w14:paraId="46B4F1EE" w14:textId="77777777" w:rsidR="00C93813" w:rsidRPr="00C93813" w:rsidRDefault="00C93813" w:rsidP="00C93813">
            <w:pPr>
              <w:spacing w:line="440" w:lineRule="exact"/>
              <w:jc w:val="center"/>
              <w:rPr>
                <w:rFonts w:ascii="Calibri" w:eastAsia="宋体" w:hAnsi="Calibri" w:cs="Times New Roman"/>
                <w:bCs/>
                <w:sz w:val="24"/>
              </w:rPr>
            </w:pPr>
            <w:r w:rsidRPr="00C93813">
              <w:rPr>
                <w:rFonts w:ascii="Calibri" w:eastAsia="宋体" w:hAnsi="Calibri" w:cs="Times New Roman"/>
                <w:bCs/>
                <w:sz w:val="24"/>
              </w:rPr>
              <w:t>100</w:t>
            </w:r>
          </w:p>
        </w:tc>
      </w:tr>
    </w:tbl>
    <w:p w14:paraId="1B28A7CC" w14:textId="77777777" w:rsidR="00C93813" w:rsidRPr="00C93813" w:rsidRDefault="00C93813" w:rsidP="00C93813">
      <w:pPr>
        <w:spacing w:beforeLines="50" w:before="156" w:afterLines="50" w:after="156" w:line="440" w:lineRule="exact"/>
        <w:rPr>
          <w:rFonts w:ascii="Calibri" w:eastAsia="宋体" w:hAnsi="Calibri" w:cs="Times New Roman"/>
          <w:b/>
          <w:sz w:val="28"/>
          <w:szCs w:val="28"/>
        </w:rPr>
      </w:pPr>
    </w:p>
    <w:p w14:paraId="01BA0B90" w14:textId="77777777" w:rsidR="00C93813" w:rsidRPr="00C93813" w:rsidRDefault="00C93813" w:rsidP="0035308B">
      <w:pPr>
        <w:spacing w:beforeLines="50" w:before="156" w:afterLines="50" w:after="156" w:line="440" w:lineRule="exact"/>
        <w:ind w:firstLineChars="200" w:firstLine="562"/>
        <w:rPr>
          <w:rFonts w:ascii="Calibri" w:eastAsia="宋体" w:hAnsi="Calibri" w:cs="Times New Roman"/>
          <w:b/>
          <w:sz w:val="28"/>
          <w:szCs w:val="28"/>
        </w:rPr>
      </w:pPr>
      <w:r w:rsidRPr="00C93813">
        <w:rPr>
          <w:rFonts w:ascii="Calibri" w:eastAsia="宋体" w:hAnsi="Calibri" w:cs="Times New Roman"/>
          <w:b/>
          <w:sz w:val="28"/>
          <w:szCs w:val="28"/>
        </w:rPr>
        <w:t>五、成绩评定</w:t>
      </w:r>
    </w:p>
    <w:p w14:paraId="595A4D9B" w14:textId="77777777" w:rsidR="00C93813" w:rsidRPr="00C93813" w:rsidRDefault="00C93813" w:rsidP="0035308B">
      <w:pPr>
        <w:spacing w:beforeLines="50" w:before="156" w:afterLines="50" w:after="156" w:line="360" w:lineRule="auto"/>
        <w:ind w:firstLineChars="200" w:firstLine="560"/>
        <w:rPr>
          <w:rFonts w:ascii="Calibri" w:eastAsia="黑体" w:hAnsi="Calibri" w:cs="Times New Roman"/>
          <w:sz w:val="28"/>
          <w:szCs w:val="28"/>
        </w:rPr>
      </w:pPr>
      <w:r w:rsidRPr="00C93813">
        <w:rPr>
          <w:rFonts w:ascii="Calibri" w:eastAsia="黑体" w:hAnsi="Calibri" w:cs="Times New Roman"/>
          <w:sz w:val="28"/>
          <w:szCs w:val="28"/>
        </w:rPr>
        <w:t>（一）总成绩评定</w:t>
      </w:r>
    </w:p>
    <w:p w14:paraId="78601949" w14:textId="77777777" w:rsidR="00C93813" w:rsidRPr="00C93813" w:rsidRDefault="00C93813" w:rsidP="0035308B">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总成绩</w:t>
      </w:r>
      <w:r w:rsidRPr="00C93813">
        <w:rPr>
          <w:rFonts w:ascii="Calibri" w:eastAsia="宋体" w:hAnsi="Calibri" w:cs="Times New Roman"/>
          <w:sz w:val="24"/>
        </w:rPr>
        <w:t>=</w:t>
      </w:r>
      <w:r w:rsidRPr="00C93813">
        <w:rPr>
          <w:rFonts w:ascii="Calibri" w:eastAsia="宋体" w:hAnsi="Calibri" w:cs="Times New Roman"/>
          <w:sz w:val="24"/>
        </w:rPr>
        <w:t>平时成绩</w:t>
      </w:r>
      <w:r w:rsidRPr="00C93813">
        <w:rPr>
          <w:rFonts w:ascii="Calibri" w:eastAsia="宋体" w:hAnsi="Calibri" w:cs="Times New Roman"/>
          <w:sz w:val="24"/>
        </w:rPr>
        <w:t>×50%+</w:t>
      </w:r>
      <w:r w:rsidRPr="00C93813">
        <w:rPr>
          <w:rFonts w:ascii="Calibri" w:eastAsia="宋体" w:hAnsi="Calibri" w:cs="Times New Roman"/>
          <w:sz w:val="24"/>
        </w:rPr>
        <w:t>期末成绩</w:t>
      </w:r>
      <w:r w:rsidRPr="00C93813">
        <w:rPr>
          <w:rFonts w:ascii="Calibri" w:eastAsia="宋体" w:hAnsi="Calibri" w:cs="Times New Roman"/>
          <w:sz w:val="24"/>
        </w:rPr>
        <w:t>×50%</w:t>
      </w:r>
    </w:p>
    <w:p w14:paraId="19B6FE88" w14:textId="77777777" w:rsidR="00C93813" w:rsidRPr="00C93813" w:rsidRDefault="0035308B" w:rsidP="0035308B">
      <w:pPr>
        <w:spacing w:line="360" w:lineRule="auto"/>
        <w:ind w:firstLineChars="200" w:firstLine="560"/>
        <w:rPr>
          <w:rFonts w:ascii="Calibri" w:eastAsia="黑体" w:hAnsi="Calibri" w:cs="Times New Roman"/>
          <w:sz w:val="28"/>
          <w:szCs w:val="28"/>
        </w:rPr>
      </w:pPr>
      <w:r>
        <w:rPr>
          <w:rFonts w:ascii="Calibri" w:eastAsia="黑体" w:hAnsi="Calibri" w:cs="Times New Roman" w:hint="eastAsia"/>
          <w:sz w:val="28"/>
          <w:szCs w:val="28"/>
          <w:highlight w:val="lightGray"/>
        </w:rPr>
        <w:t>（二）</w:t>
      </w:r>
      <w:r w:rsidR="00C93813" w:rsidRPr="00C93813">
        <w:rPr>
          <w:rFonts w:ascii="Calibri" w:eastAsia="黑体" w:hAnsi="Calibri" w:cs="Times New Roman"/>
          <w:sz w:val="28"/>
          <w:szCs w:val="28"/>
        </w:rPr>
        <w:t>平时成绩评定</w:t>
      </w:r>
    </w:p>
    <w:p w14:paraId="1C4F685F" w14:textId="77777777" w:rsidR="00C93813" w:rsidRPr="00C93813" w:rsidRDefault="00C93813" w:rsidP="0035308B">
      <w:pPr>
        <w:spacing w:line="360" w:lineRule="auto"/>
        <w:ind w:firstLineChars="200" w:firstLine="480"/>
        <w:rPr>
          <w:rFonts w:ascii="Calibri" w:eastAsia="宋体" w:hAnsi="Calibri" w:cs="Times New Roman"/>
          <w:b/>
          <w:bCs/>
          <w:sz w:val="24"/>
        </w:rPr>
      </w:pPr>
      <w:r w:rsidRPr="00C93813">
        <w:rPr>
          <w:rFonts w:ascii="Calibri" w:eastAsia="宋体" w:hAnsi="Calibri" w:cs="Times New Roman"/>
          <w:sz w:val="24"/>
        </w:rPr>
        <w:t>平时成绩（</w:t>
      </w:r>
      <w:r w:rsidRPr="00C93813">
        <w:rPr>
          <w:rFonts w:ascii="Calibri" w:eastAsia="宋体" w:hAnsi="Calibri" w:cs="Times New Roman"/>
          <w:sz w:val="24"/>
        </w:rPr>
        <w:t>100%</w:t>
      </w:r>
      <w:r w:rsidRPr="00C93813">
        <w:rPr>
          <w:rFonts w:ascii="Calibri" w:eastAsia="宋体" w:hAnsi="Calibri" w:cs="Times New Roman"/>
          <w:sz w:val="24"/>
        </w:rPr>
        <w:t>）</w:t>
      </w:r>
      <w:r w:rsidRPr="00C93813">
        <w:rPr>
          <w:rFonts w:ascii="Calibri" w:eastAsia="宋体" w:hAnsi="Calibri" w:cs="Times New Roman"/>
          <w:sz w:val="24"/>
        </w:rPr>
        <w:t>=</w:t>
      </w:r>
      <w:r w:rsidRPr="00C93813">
        <w:rPr>
          <w:rFonts w:ascii="Calibri" w:eastAsia="宋体" w:hAnsi="Calibri" w:cs="Times New Roman"/>
          <w:sz w:val="24"/>
        </w:rPr>
        <w:t>课堂表现（</w:t>
      </w:r>
      <w:r w:rsidRPr="00C93813">
        <w:rPr>
          <w:rFonts w:ascii="Calibri" w:eastAsia="宋体" w:hAnsi="Calibri" w:cs="Times New Roman"/>
          <w:sz w:val="24"/>
        </w:rPr>
        <w:t>40%</w:t>
      </w:r>
      <w:r w:rsidRPr="00C93813">
        <w:rPr>
          <w:rFonts w:ascii="Calibri" w:eastAsia="宋体" w:hAnsi="Calibri" w:cs="Times New Roman"/>
          <w:sz w:val="24"/>
        </w:rPr>
        <w:t>）</w:t>
      </w:r>
      <w:r w:rsidRPr="00C93813">
        <w:rPr>
          <w:rFonts w:ascii="Calibri" w:eastAsia="宋体" w:hAnsi="Calibri" w:cs="Times New Roman"/>
          <w:sz w:val="24"/>
        </w:rPr>
        <w:t>+</w:t>
      </w:r>
      <w:r w:rsidRPr="00C93813">
        <w:rPr>
          <w:rFonts w:ascii="Calibri" w:eastAsia="宋体" w:hAnsi="Calibri" w:cs="Times New Roman"/>
          <w:sz w:val="24"/>
        </w:rPr>
        <w:t>课堂考勤（</w:t>
      </w:r>
      <w:r w:rsidRPr="00C93813">
        <w:rPr>
          <w:rFonts w:ascii="Calibri" w:eastAsia="宋体" w:hAnsi="Calibri" w:cs="Times New Roman"/>
          <w:sz w:val="24"/>
        </w:rPr>
        <w:t>20%</w:t>
      </w:r>
      <w:r w:rsidRPr="00C93813">
        <w:rPr>
          <w:rFonts w:ascii="Calibri" w:eastAsia="宋体" w:hAnsi="Calibri" w:cs="Times New Roman"/>
          <w:sz w:val="24"/>
        </w:rPr>
        <w:t>）</w:t>
      </w:r>
      <w:r w:rsidRPr="00C93813">
        <w:rPr>
          <w:rFonts w:ascii="Calibri" w:eastAsia="宋体" w:hAnsi="Calibri" w:cs="Times New Roman"/>
          <w:sz w:val="24"/>
        </w:rPr>
        <w:t>+</w:t>
      </w:r>
      <w:r w:rsidRPr="00C93813">
        <w:rPr>
          <w:rFonts w:ascii="Calibri" w:eastAsia="宋体" w:hAnsi="Calibri" w:cs="Times New Roman"/>
          <w:sz w:val="24"/>
        </w:rPr>
        <w:t>作业完成情况（</w:t>
      </w:r>
      <w:r w:rsidRPr="00C93813">
        <w:rPr>
          <w:rFonts w:ascii="Calibri" w:eastAsia="宋体" w:hAnsi="Calibri" w:cs="Times New Roman"/>
          <w:sz w:val="24"/>
        </w:rPr>
        <w:t>40%</w:t>
      </w:r>
      <w:r w:rsidRPr="00C93813">
        <w:rPr>
          <w:rFonts w:ascii="Calibri" w:eastAsia="宋体" w:hAnsi="Calibri" w:cs="Times New Roman"/>
          <w:sz w:val="24"/>
        </w:rPr>
        <w:t>）</w:t>
      </w:r>
    </w:p>
    <w:p w14:paraId="2D63CA7F" w14:textId="77777777" w:rsidR="00C93813" w:rsidRPr="00C93813" w:rsidRDefault="00C93813" w:rsidP="0035308B">
      <w:pPr>
        <w:spacing w:line="360" w:lineRule="auto"/>
        <w:ind w:firstLineChars="200" w:firstLine="482"/>
        <w:rPr>
          <w:rFonts w:ascii="Calibri" w:eastAsia="宋体" w:hAnsi="Calibri" w:cs="Times New Roman"/>
          <w:b/>
          <w:bCs/>
          <w:sz w:val="24"/>
        </w:rPr>
      </w:pPr>
      <w:r w:rsidRPr="00C93813">
        <w:rPr>
          <w:rFonts w:ascii="Calibri" w:eastAsia="宋体" w:hAnsi="Calibri" w:cs="Times New Roman"/>
          <w:b/>
          <w:bCs/>
          <w:sz w:val="24"/>
        </w:rPr>
        <w:lastRenderedPageBreak/>
        <w:t>考核方式：</w:t>
      </w:r>
    </w:p>
    <w:p w14:paraId="685C36A3" w14:textId="77777777" w:rsidR="00C93813" w:rsidRPr="00C93813" w:rsidRDefault="00C93813" w:rsidP="0035308B">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1. </w:t>
      </w:r>
      <w:r w:rsidRPr="00C93813">
        <w:rPr>
          <w:rFonts w:ascii="Calibri" w:eastAsia="宋体" w:hAnsi="Calibri" w:cs="Times New Roman"/>
          <w:sz w:val="24"/>
        </w:rPr>
        <w:t>课堂表现</w:t>
      </w:r>
      <w:r w:rsidRPr="00C93813">
        <w:rPr>
          <w:rFonts w:ascii="Calibri" w:eastAsia="宋体" w:hAnsi="Calibri" w:cs="Times New Roman"/>
          <w:sz w:val="24"/>
        </w:rPr>
        <w:t xml:space="preserve">: </w:t>
      </w:r>
    </w:p>
    <w:p w14:paraId="34A8F683" w14:textId="77777777" w:rsidR="00C93813" w:rsidRPr="00C93813" w:rsidRDefault="00C93813" w:rsidP="0035308B">
      <w:pPr>
        <w:spacing w:line="360" w:lineRule="auto"/>
        <w:ind w:left="420" w:firstLineChars="200" w:firstLine="480"/>
        <w:rPr>
          <w:rFonts w:ascii="Calibri" w:eastAsia="宋体" w:hAnsi="Calibri" w:cs="Times New Roman"/>
          <w:sz w:val="24"/>
        </w:rPr>
      </w:pPr>
      <w:r w:rsidRPr="00C93813">
        <w:rPr>
          <w:rFonts w:ascii="Calibri" w:eastAsia="宋体" w:hAnsi="Calibri" w:cs="Times New Roman"/>
          <w:sz w:val="24"/>
        </w:rPr>
        <w:t>通过线上线下</w:t>
      </w:r>
      <w:r w:rsidRPr="00C93813">
        <w:rPr>
          <w:rFonts w:ascii="Calibri" w:eastAsia="宋体" w:hAnsi="Calibri" w:cs="Times New Roman" w:hint="eastAsia"/>
          <w:sz w:val="24"/>
        </w:rPr>
        <w:t>，</w:t>
      </w:r>
      <w:r w:rsidRPr="00C93813">
        <w:rPr>
          <w:rFonts w:ascii="Calibri" w:eastAsia="宋体" w:hAnsi="Calibri" w:cs="Times New Roman"/>
          <w:sz w:val="24"/>
        </w:rPr>
        <w:t>学生参与智慧课堂发起的投票、问卷、抢答、选人、讨论、</w:t>
      </w:r>
    </w:p>
    <w:p w14:paraId="5105DDA0" w14:textId="77777777" w:rsidR="00C93813" w:rsidRPr="00C93813" w:rsidRDefault="00C93813" w:rsidP="0035308B">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随堂练习</w:t>
      </w:r>
      <w:r w:rsidRPr="00C93813">
        <w:rPr>
          <w:rFonts w:ascii="Calibri" w:eastAsia="宋体" w:hAnsi="Calibri" w:cs="Times New Roman" w:hint="eastAsia"/>
          <w:sz w:val="24"/>
        </w:rPr>
        <w:t>或测试</w:t>
      </w:r>
      <w:r w:rsidRPr="00C93813">
        <w:rPr>
          <w:rFonts w:ascii="Calibri" w:eastAsia="宋体" w:hAnsi="Calibri" w:cs="Times New Roman"/>
          <w:sz w:val="24"/>
        </w:rPr>
        <w:t>、</w:t>
      </w:r>
      <w:r w:rsidRPr="00C93813">
        <w:rPr>
          <w:rFonts w:ascii="Calibri" w:eastAsia="宋体" w:hAnsi="Calibri" w:cs="Times New Roman" w:hint="eastAsia"/>
          <w:sz w:val="24"/>
        </w:rPr>
        <w:t>小组合作</w:t>
      </w:r>
      <w:r w:rsidRPr="00C93813">
        <w:rPr>
          <w:rFonts w:ascii="Calibri" w:eastAsia="宋体" w:hAnsi="Calibri" w:cs="Times New Roman"/>
          <w:sz w:val="24"/>
        </w:rPr>
        <w:t>等课程活动，音视频任务点的完成情况等；</w:t>
      </w:r>
    </w:p>
    <w:p w14:paraId="69141B63" w14:textId="77777777" w:rsidR="00C93813" w:rsidRPr="00C93813" w:rsidRDefault="00C93813" w:rsidP="0035308B">
      <w:pPr>
        <w:numPr>
          <w:ilvl w:val="0"/>
          <w:numId w:val="9"/>
        </w:num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课堂考勤：</w:t>
      </w:r>
    </w:p>
    <w:p w14:paraId="436BA41E" w14:textId="77777777" w:rsidR="00C93813" w:rsidRPr="00C93813" w:rsidRDefault="00C93813" w:rsidP="0035308B">
      <w:pPr>
        <w:spacing w:line="360" w:lineRule="auto"/>
        <w:ind w:left="480" w:firstLineChars="200" w:firstLine="480"/>
        <w:rPr>
          <w:rFonts w:ascii="Calibri" w:eastAsia="宋体" w:hAnsi="Calibri" w:cs="Times New Roman"/>
          <w:sz w:val="24"/>
        </w:rPr>
      </w:pPr>
      <w:r w:rsidRPr="00C93813">
        <w:rPr>
          <w:rFonts w:ascii="Calibri" w:eastAsia="宋体" w:hAnsi="Calibri" w:cs="Times New Roman"/>
          <w:sz w:val="24"/>
        </w:rPr>
        <w:t>通过线上线下考勤来评定学生考勤成绩</w:t>
      </w:r>
      <w:r w:rsidRPr="00C93813">
        <w:rPr>
          <w:rFonts w:ascii="Calibri" w:eastAsia="宋体" w:hAnsi="Calibri" w:cs="Times New Roman" w:hint="eastAsia"/>
          <w:sz w:val="24"/>
        </w:rPr>
        <w:t>。</w:t>
      </w:r>
    </w:p>
    <w:p w14:paraId="1383F61B" w14:textId="77777777" w:rsidR="00C93813" w:rsidRPr="00C93813" w:rsidRDefault="00C93813" w:rsidP="0035308B">
      <w:pPr>
        <w:numPr>
          <w:ilvl w:val="0"/>
          <w:numId w:val="9"/>
        </w:num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平时作业：</w:t>
      </w:r>
    </w:p>
    <w:p w14:paraId="4885302B" w14:textId="77777777" w:rsidR="00C93813" w:rsidRPr="00C93813" w:rsidRDefault="00C93813" w:rsidP="0035308B">
      <w:pPr>
        <w:spacing w:line="360" w:lineRule="auto"/>
        <w:ind w:left="420" w:firstLineChars="200" w:firstLine="480"/>
        <w:rPr>
          <w:rFonts w:ascii="Calibri" w:eastAsia="宋体" w:hAnsi="Calibri" w:cs="Times New Roman"/>
          <w:sz w:val="24"/>
        </w:rPr>
      </w:pPr>
      <w:r w:rsidRPr="00C93813">
        <w:rPr>
          <w:rFonts w:ascii="Calibri" w:eastAsia="宋体" w:hAnsi="Calibri" w:cs="Times New Roman"/>
          <w:sz w:val="24"/>
        </w:rPr>
        <w:t>学习过程中利用</w:t>
      </w:r>
      <w:proofErr w:type="gramStart"/>
      <w:r w:rsidRPr="00C93813">
        <w:rPr>
          <w:rFonts w:ascii="Calibri" w:eastAsia="宋体" w:hAnsi="Calibri" w:cs="Times New Roman"/>
          <w:sz w:val="24"/>
        </w:rPr>
        <w:t>超星学习通发布</w:t>
      </w:r>
      <w:proofErr w:type="gramEnd"/>
      <w:r w:rsidRPr="00C93813">
        <w:rPr>
          <w:rFonts w:ascii="Calibri" w:eastAsia="宋体" w:hAnsi="Calibri" w:cs="Times New Roman"/>
          <w:sz w:val="24"/>
        </w:rPr>
        <w:t>的作业考核，包括综合</w:t>
      </w:r>
      <w:r w:rsidRPr="00C93813">
        <w:rPr>
          <w:rFonts w:ascii="Calibri" w:eastAsia="宋体" w:hAnsi="Calibri" w:cs="Times New Roman" w:hint="eastAsia"/>
          <w:sz w:val="24"/>
        </w:rPr>
        <w:t>教程</w:t>
      </w:r>
      <w:r w:rsidRPr="00C93813">
        <w:rPr>
          <w:rFonts w:ascii="Calibri" w:eastAsia="宋体" w:hAnsi="Calibri" w:cs="Times New Roman"/>
          <w:sz w:val="24"/>
        </w:rPr>
        <w:t>及视听说</w:t>
      </w:r>
      <w:r w:rsidRPr="00C93813">
        <w:rPr>
          <w:rFonts w:ascii="Calibri" w:eastAsia="宋体" w:hAnsi="Calibri" w:cs="Times New Roman" w:hint="eastAsia"/>
          <w:sz w:val="24"/>
        </w:rPr>
        <w:t>作业</w:t>
      </w:r>
      <w:r w:rsidRPr="00C93813">
        <w:rPr>
          <w:rFonts w:ascii="Calibri" w:eastAsia="宋体" w:hAnsi="Calibri" w:cs="Times New Roman"/>
          <w:sz w:val="24"/>
        </w:rPr>
        <w:t>。</w:t>
      </w:r>
    </w:p>
    <w:p w14:paraId="3895AA9A" w14:textId="77777777" w:rsidR="00C93813" w:rsidRPr="00C93813" w:rsidRDefault="00C93813" w:rsidP="0035308B">
      <w:pPr>
        <w:spacing w:line="360" w:lineRule="auto"/>
        <w:ind w:firstLineChars="200" w:firstLine="480"/>
        <w:rPr>
          <w:rFonts w:ascii="Calibri" w:eastAsia="黑体" w:hAnsi="Calibri" w:cs="Times New Roman"/>
          <w:sz w:val="28"/>
          <w:szCs w:val="28"/>
        </w:rPr>
      </w:pPr>
      <w:r w:rsidRPr="00C93813">
        <w:rPr>
          <w:rFonts w:ascii="Calibri" w:eastAsia="宋体" w:hAnsi="Calibri" w:cs="Times New Roman"/>
          <w:sz w:val="24"/>
        </w:rPr>
        <w:t>取所有作业总分</w:t>
      </w:r>
      <w:r w:rsidRPr="00C93813">
        <w:rPr>
          <w:rFonts w:ascii="Calibri" w:eastAsia="宋体" w:hAnsi="Calibri" w:cs="Times New Roman"/>
          <w:sz w:val="24"/>
        </w:rPr>
        <w:t>/</w:t>
      </w:r>
      <w:r w:rsidRPr="00C93813">
        <w:rPr>
          <w:rFonts w:ascii="Calibri" w:eastAsia="宋体" w:hAnsi="Calibri" w:cs="Times New Roman"/>
          <w:sz w:val="24"/>
        </w:rPr>
        <w:t>总共发布作业次数的得分。</w:t>
      </w:r>
    </w:p>
    <w:p w14:paraId="60BEACA3" w14:textId="77777777" w:rsidR="00C93813" w:rsidRPr="00C93813" w:rsidRDefault="00C93813" w:rsidP="0035308B">
      <w:pPr>
        <w:spacing w:beforeLines="50" w:before="156" w:afterLines="50" w:after="156" w:line="360" w:lineRule="auto"/>
        <w:ind w:firstLineChars="200" w:firstLine="560"/>
        <w:rPr>
          <w:rFonts w:ascii="Calibri" w:eastAsia="黑体" w:hAnsi="Calibri" w:cs="Times New Roman"/>
          <w:sz w:val="28"/>
          <w:szCs w:val="28"/>
        </w:rPr>
      </w:pPr>
      <w:r w:rsidRPr="00C93813">
        <w:rPr>
          <w:rFonts w:ascii="Calibri" w:eastAsia="黑体" w:hAnsi="Calibri" w:cs="Times New Roman"/>
          <w:sz w:val="28"/>
          <w:szCs w:val="28"/>
        </w:rPr>
        <w:t>（三）期末成绩评定</w:t>
      </w:r>
    </w:p>
    <w:p w14:paraId="0DF1C920" w14:textId="77777777" w:rsidR="00C93813" w:rsidRPr="00C93813" w:rsidRDefault="00C93813" w:rsidP="0035308B">
      <w:pPr>
        <w:spacing w:beforeLines="50" w:before="156" w:afterLines="50" w:after="156" w:line="360" w:lineRule="auto"/>
        <w:ind w:firstLineChars="200" w:firstLine="480"/>
        <w:rPr>
          <w:rFonts w:ascii="Calibri" w:eastAsia="宋体" w:hAnsi="Calibri" w:cs="Times New Roman"/>
          <w:b/>
          <w:sz w:val="24"/>
        </w:rPr>
      </w:pPr>
      <w:r w:rsidRPr="00C93813">
        <w:rPr>
          <w:rFonts w:ascii="Calibri" w:eastAsia="宋体" w:hAnsi="Calibri" w:cs="Times New Roman" w:hint="eastAsia"/>
          <w:sz w:val="24"/>
        </w:rPr>
        <w:t>本学期为学位考试课，</w:t>
      </w:r>
      <w:r w:rsidRPr="00C93813">
        <w:rPr>
          <w:rFonts w:ascii="Calibri" w:eastAsia="宋体" w:hAnsi="Calibri" w:cs="Times New Roman"/>
          <w:sz w:val="24"/>
        </w:rPr>
        <w:t>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14:paraId="0FBD9749" w14:textId="77777777" w:rsidR="00C93813" w:rsidRPr="00C93813" w:rsidRDefault="00C93813" w:rsidP="0035308B">
      <w:pPr>
        <w:spacing w:beforeLines="50" w:before="156" w:afterLines="50" w:after="156" w:line="360" w:lineRule="auto"/>
        <w:ind w:firstLineChars="200" w:firstLine="562"/>
        <w:rPr>
          <w:rFonts w:ascii="Calibri" w:eastAsia="宋体" w:hAnsi="Calibri" w:cs="Times New Roman"/>
          <w:b/>
          <w:sz w:val="28"/>
          <w:szCs w:val="28"/>
        </w:rPr>
      </w:pPr>
      <w:r w:rsidRPr="00C93813">
        <w:rPr>
          <w:rFonts w:ascii="Calibri" w:eastAsia="宋体" w:hAnsi="Calibri" w:cs="Times New Roman"/>
          <w:b/>
          <w:sz w:val="28"/>
          <w:szCs w:val="28"/>
        </w:rPr>
        <w:t>六、使用教材、相关推荐书目及课程资源</w:t>
      </w:r>
    </w:p>
    <w:p w14:paraId="77618A02" w14:textId="77777777" w:rsidR="00C93813" w:rsidRPr="00C93813" w:rsidRDefault="00C93813" w:rsidP="0035308B">
      <w:pPr>
        <w:spacing w:line="360" w:lineRule="auto"/>
        <w:ind w:firstLineChars="200" w:firstLine="560"/>
        <w:rPr>
          <w:rFonts w:ascii="Calibri" w:eastAsia="宋体" w:hAnsi="Calibri" w:cs="Times New Roman"/>
          <w:sz w:val="24"/>
        </w:rPr>
      </w:pPr>
      <w:r w:rsidRPr="00C93813">
        <w:rPr>
          <w:rFonts w:ascii="Calibri" w:eastAsia="黑体" w:hAnsi="Calibri" w:cs="Times New Roman"/>
          <w:sz w:val="28"/>
          <w:szCs w:val="28"/>
        </w:rPr>
        <w:t>（一）使用教材</w:t>
      </w:r>
    </w:p>
    <w:p w14:paraId="73F85B4B" w14:textId="77777777" w:rsidR="00C93813" w:rsidRPr="00C93813"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1. </w:t>
      </w:r>
      <w:r w:rsidRPr="00C93813">
        <w:rPr>
          <w:rFonts w:ascii="Calibri" w:eastAsia="宋体" w:hAnsi="Calibri" w:cs="Times New Roman"/>
          <w:sz w:val="24"/>
        </w:rPr>
        <w:t>石</w:t>
      </w:r>
      <w:proofErr w:type="gramStart"/>
      <w:r w:rsidRPr="00C93813">
        <w:rPr>
          <w:rFonts w:ascii="Calibri" w:eastAsia="宋体" w:hAnsi="Calibri" w:cs="Times New Roman"/>
          <w:sz w:val="24"/>
        </w:rPr>
        <w:t>坚</w:t>
      </w:r>
      <w:proofErr w:type="gramEnd"/>
      <w:r w:rsidRPr="00C93813">
        <w:rPr>
          <w:rFonts w:ascii="Calibri" w:eastAsia="宋体" w:hAnsi="Calibri" w:cs="Times New Roman"/>
          <w:sz w:val="24"/>
        </w:rPr>
        <w:t>、邹申、金雯主编，《新时代大学进阶英语综合教程</w:t>
      </w:r>
      <w:r w:rsidRPr="00C93813">
        <w:rPr>
          <w:rFonts w:ascii="Calibri" w:eastAsia="宋体" w:hAnsi="Calibri" w:cs="Times New Roman" w:hint="eastAsia"/>
          <w:sz w:val="24"/>
        </w:rPr>
        <w:t>4</w:t>
      </w:r>
      <w:r w:rsidRPr="00C93813">
        <w:rPr>
          <w:rFonts w:ascii="Calibri" w:eastAsia="宋体" w:hAnsi="Calibri" w:cs="Times New Roman"/>
          <w:sz w:val="24"/>
        </w:rPr>
        <w:t>》（第三版），南京大学出版社，</w:t>
      </w:r>
      <w:r w:rsidRPr="00C93813">
        <w:rPr>
          <w:rFonts w:ascii="Calibri" w:eastAsia="宋体" w:hAnsi="Calibri" w:cs="Times New Roman"/>
          <w:sz w:val="24"/>
        </w:rPr>
        <w:t>2022.3</w:t>
      </w:r>
      <w:r w:rsidRPr="00C93813">
        <w:rPr>
          <w:rFonts w:ascii="Calibri" w:eastAsia="宋体" w:hAnsi="Calibri" w:cs="Times New Roman" w:hint="eastAsia"/>
          <w:sz w:val="24"/>
        </w:rPr>
        <w:t>.</w:t>
      </w:r>
    </w:p>
    <w:p w14:paraId="19D35418" w14:textId="77777777" w:rsidR="00C93813" w:rsidRPr="00C93813"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2. </w:t>
      </w:r>
      <w:r w:rsidRPr="00C93813">
        <w:rPr>
          <w:rFonts w:ascii="Calibri" w:eastAsia="宋体" w:hAnsi="Calibri" w:cs="Times New Roman"/>
          <w:sz w:val="24"/>
        </w:rPr>
        <w:t>石</w:t>
      </w:r>
      <w:proofErr w:type="gramStart"/>
      <w:r w:rsidRPr="00C93813">
        <w:rPr>
          <w:rFonts w:ascii="Calibri" w:eastAsia="宋体" w:hAnsi="Calibri" w:cs="Times New Roman"/>
          <w:sz w:val="24"/>
        </w:rPr>
        <w:t>坚</w:t>
      </w:r>
      <w:proofErr w:type="gramEnd"/>
      <w:r w:rsidRPr="00C93813">
        <w:rPr>
          <w:rFonts w:ascii="Calibri" w:eastAsia="宋体" w:hAnsi="Calibri" w:cs="Times New Roman"/>
          <w:sz w:val="24"/>
        </w:rPr>
        <w:t>、邹申、金雯主编，《新时代大学进阶英语视听说教程</w:t>
      </w:r>
      <w:r w:rsidRPr="00C93813">
        <w:rPr>
          <w:rFonts w:ascii="Calibri" w:eastAsia="宋体" w:hAnsi="Calibri" w:cs="Times New Roman" w:hint="eastAsia"/>
          <w:sz w:val="24"/>
        </w:rPr>
        <w:t>4</w:t>
      </w:r>
      <w:r w:rsidRPr="00C93813">
        <w:rPr>
          <w:rFonts w:ascii="Calibri" w:eastAsia="宋体" w:hAnsi="Calibri" w:cs="Times New Roman"/>
          <w:sz w:val="24"/>
        </w:rPr>
        <w:t>》（第三版），南京大学出版社，</w:t>
      </w:r>
      <w:r w:rsidRPr="00C93813">
        <w:rPr>
          <w:rFonts w:ascii="Calibri" w:eastAsia="宋体" w:hAnsi="Calibri" w:cs="Times New Roman"/>
          <w:sz w:val="24"/>
        </w:rPr>
        <w:t>2022.3</w:t>
      </w:r>
      <w:r w:rsidRPr="00C93813">
        <w:rPr>
          <w:rFonts w:ascii="Calibri" w:eastAsia="宋体" w:hAnsi="Calibri" w:cs="Times New Roman" w:hint="eastAsia"/>
          <w:sz w:val="24"/>
        </w:rPr>
        <w:t>.</w:t>
      </w:r>
    </w:p>
    <w:p w14:paraId="5B4DDC55" w14:textId="77777777" w:rsidR="00C93813" w:rsidRPr="00C93813" w:rsidRDefault="00C93813" w:rsidP="0035308B">
      <w:pPr>
        <w:spacing w:line="360" w:lineRule="auto"/>
        <w:ind w:firstLineChars="200" w:firstLine="560"/>
        <w:rPr>
          <w:rFonts w:ascii="Calibri" w:eastAsia="黑体" w:hAnsi="Calibri" w:cs="Times New Roman"/>
          <w:sz w:val="28"/>
          <w:szCs w:val="28"/>
        </w:rPr>
      </w:pPr>
      <w:r w:rsidRPr="00C93813">
        <w:rPr>
          <w:rFonts w:ascii="Calibri" w:eastAsia="黑体" w:hAnsi="Calibri" w:cs="Times New Roman"/>
          <w:sz w:val="28"/>
          <w:szCs w:val="28"/>
        </w:rPr>
        <w:t>（二）相关推荐书目及网址</w:t>
      </w:r>
    </w:p>
    <w:p w14:paraId="550A8AE2" w14:textId="77777777" w:rsidR="00C93813" w:rsidRPr="00C93813"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1. </w:t>
      </w:r>
      <w:r w:rsidRPr="00C93813">
        <w:rPr>
          <w:rFonts w:ascii="Calibri" w:eastAsia="宋体" w:hAnsi="Calibri" w:cs="Times New Roman"/>
          <w:sz w:val="24"/>
        </w:rPr>
        <w:t>石</w:t>
      </w:r>
      <w:proofErr w:type="gramStart"/>
      <w:r w:rsidRPr="00C93813">
        <w:rPr>
          <w:rFonts w:ascii="Calibri" w:eastAsia="宋体" w:hAnsi="Calibri" w:cs="Times New Roman"/>
          <w:sz w:val="24"/>
        </w:rPr>
        <w:t>坚</w:t>
      </w:r>
      <w:proofErr w:type="gramEnd"/>
      <w:r w:rsidRPr="00C93813">
        <w:rPr>
          <w:rFonts w:ascii="Calibri" w:eastAsia="宋体" w:hAnsi="Calibri" w:cs="Times New Roman"/>
          <w:sz w:val="24"/>
        </w:rPr>
        <w:t>、邹申、金雯主编，《新时代大学进阶英语综合教程</w:t>
      </w:r>
      <w:r w:rsidRPr="00C93813">
        <w:rPr>
          <w:rFonts w:ascii="Calibri" w:eastAsia="宋体" w:hAnsi="Calibri" w:cs="Times New Roman" w:hint="eastAsia"/>
          <w:sz w:val="24"/>
        </w:rPr>
        <w:t>4</w:t>
      </w:r>
      <w:r w:rsidRPr="00C93813">
        <w:rPr>
          <w:rFonts w:ascii="Calibri" w:eastAsia="宋体" w:hAnsi="Calibri" w:cs="Times New Roman"/>
          <w:sz w:val="24"/>
        </w:rPr>
        <w:t>教学参考书》（第三版），南京大学出版社，</w:t>
      </w:r>
      <w:r w:rsidRPr="00C93813">
        <w:rPr>
          <w:rFonts w:ascii="Calibri" w:eastAsia="宋体" w:hAnsi="Calibri" w:cs="Times New Roman"/>
          <w:sz w:val="24"/>
        </w:rPr>
        <w:t>2022.3</w:t>
      </w:r>
      <w:r w:rsidRPr="00C93813">
        <w:rPr>
          <w:rFonts w:ascii="Calibri" w:eastAsia="宋体" w:hAnsi="Calibri" w:cs="Times New Roman" w:hint="eastAsia"/>
          <w:sz w:val="24"/>
        </w:rPr>
        <w:t>.</w:t>
      </w:r>
    </w:p>
    <w:p w14:paraId="107EF06C" w14:textId="77777777" w:rsidR="00C93813" w:rsidRPr="00C93813"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2. </w:t>
      </w:r>
      <w:r w:rsidRPr="00C93813">
        <w:rPr>
          <w:rFonts w:ascii="Calibri" w:eastAsia="宋体" w:hAnsi="Calibri" w:cs="Times New Roman"/>
          <w:sz w:val="24"/>
        </w:rPr>
        <w:t>石</w:t>
      </w:r>
      <w:proofErr w:type="gramStart"/>
      <w:r w:rsidRPr="00C93813">
        <w:rPr>
          <w:rFonts w:ascii="Calibri" w:eastAsia="宋体" w:hAnsi="Calibri" w:cs="Times New Roman"/>
          <w:sz w:val="24"/>
        </w:rPr>
        <w:t>坚</w:t>
      </w:r>
      <w:proofErr w:type="gramEnd"/>
      <w:r w:rsidRPr="00C93813">
        <w:rPr>
          <w:rFonts w:ascii="Calibri" w:eastAsia="宋体" w:hAnsi="Calibri" w:cs="Times New Roman"/>
          <w:sz w:val="24"/>
        </w:rPr>
        <w:t>、邹申、金雯主编，《新时代大学进阶英语视听说教程</w:t>
      </w:r>
      <w:r w:rsidRPr="00C93813">
        <w:rPr>
          <w:rFonts w:ascii="Calibri" w:eastAsia="宋体" w:hAnsi="Calibri" w:cs="Times New Roman" w:hint="eastAsia"/>
          <w:sz w:val="24"/>
        </w:rPr>
        <w:t>4</w:t>
      </w:r>
      <w:r w:rsidRPr="00C93813">
        <w:rPr>
          <w:rFonts w:ascii="Calibri" w:eastAsia="宋体" w:hAnsi="Calibri" w:cs="Times New Roman"/>
          <w:sz w:val="24"/>
        </w:rPr>
        <w:t>教学参考书》（第三版），南京大学出版社，</w:t>
      </w:r>
      <w:r w:rsidRPr="00C93813">
        <w:rPr>
          <w:rFonts w:ascii="Calibri" w:eastAsia="宋体" w:hAnsi="Calibri" w:cs="Times New Roman"/>
          <w:sz w:val="24"/>
        </w:rPr>
        <w:t>2022.3</w:t>
      </w:r>
      <w:r w:rsidRPr="00C93813">
        <w:rPr>
          <w:rFonts w:ascii="Calibri" w:eastAsia="宋体" w:hAnsi="Calibri" w:cs="Times New Roman" w:hint="eastAsia"/>
          <w:sz w:val="24"/>
        </w:rPr>
        <w:t>.</w:t>
      </w:r>
    </w:p>
    <w:p w14:paraId="70DA1D6C" w14:textId="77777777" w:rsidR="00C93813" w:rsidRPr="00C93813"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3. </w:t>
      </w:r>
      <w:proofErr w:type="gramStart"/>
      <w:r w:rsidRPr="00C93813">
        <w:rPr>
          <w:rFonts w:ascii="Calibri" w:eastAsia="宋体" w:hAnsi="Calibri" w:cs="Times New Roman" w:hint="eastAsia"/>
          <w:sz w:val="24"/>
        </w:rPr>
        <w:t>唐雄英</w:t>
      </w:r>
      <w:proofErr w:type="gramEnd"/>
      <w:r w:rsidRPr="00C93813">
        <w:rPr>
          <w:rFonts w:ascii="Calibri" w:eastAsia="宋体" w:hAnsi="Calibri" w:cs="Times New Roman" w:hint="eastAsia"/>
          <w:sz w:val="24"/>
        </w:rPr>
        <w:t>《教育评价范式转变中的英语教学评价实践》，上海外语教育出版社，</w:t>
      </w:r>
      <w:r w:rsidRPr="00C93813">
        <w:rPr>
          <w:rFonts w:ascii="Calibri" w:eastAsia="宋体" w:hAnsi="Calibri" w:cs="Times New Roman" w:hint="eastAsia"/>
          <w:sz w:val="24"/>
        </w:rPr>
        <w:lastRenderedPageBreak/>
        <w:t>2015.</w:t>
      </w:r>
    </w:p>
    <w:p w14:paraId="7AA7AF4B" w14:textId="77777777" w:rsidR="00C93813" w:rsidRPr="00C93813"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4. </w:t>
      </w:r>
      <w:r w:rsidRPr="00C93813">
        <w:rPr>
          <w:rFonts w:ascii="Calibri" w:eastAsia="宋体" w:hAnsi="Calibri" w:cs="Times New Roman" w:hint="eastAsia"/>
          <w:sz w:val="24"/>
        </w:rPr>
        <w:t>郭坤《全球化背景下大学英语跨文化教学研究》，电子科技大学出版社，</w:t>
      </w:r>
      <w:r w:rsidRPr="00C93813">
        <w:rPr>
          <w:rFonts w:ascii="Calibri" w:eastAsia="宋体" w:hAnsi="Calibri" w:cs="Times New Roman" w:hint="eastAsia"/>
          <w:sz w:val="24"/>
        </w:rPr>
        <w:t>2016.</w:t>
      </w:r>
    </w:p>
    <w:p w14:paraId="0DFCC237" w14:textId="77777777" w:rsidR="00C93813" w:rsidRPr="00C93813"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5.</w:t>
      </w:r>
      <w:r w:rsidRPr="00C93813">
        <w:rPr>
          <w:rFonts w:ascii="Calibri" w:eastAsia="宋体" w:hAnsi="Calibri" w:cs="Times New Roman" w:hint="eastAsia"/>
          <w:sz w:val="24"/>
        </w:rPr>
        <w:t>程晓堂著：《改什么？如何教？怎样考？</w:t>
      </w:r>
      <w:r w:rsidRPr="00C93813">
        <w:rPr>
          <w:rFonts w:ascii="Calibri" w:eastAsia="宋体" w:hAnsi="Calibri" w:cs="Times New Roman" w:hint="eastAsia"/>
          <w:sz w:val="24"/>
        </w:rPr>
        <w:t>---</w:t>
      </w:r>
      <w:r w:rsidRPr="00C93813">
        <w:rPr>
          <w:rFonts w:ascii="Calibri" w:eastAsia="宋体" w:hAnsi="Calibri" w:cs="Times New Roman" w:hint="eastAsia"/>
          <w:sz w:val="24"/>
        </w:rPr>
        <w:t>义务教育英语课程标准（</w:t>
      </w:r>
      <w:r w:rsidRPr="00C93813">
        <w:rPr>
          <w:rFonts w:ascii="Calibri" w:eastAsia="宋体" w:hAnsi="Calibri" w:cs="Times New Roman" w:hint="eastAsia"/>
          <w:sz w:val="24"/>
        </w:rPr>
        <w:t>2022</w:t>
      </w:r>
      <w:r w:rsidRPr="00C93813">
        <w:rPr>
          <w:rFonts w:ascii="Calibri" w:eastAsia="宋体" w:hAnsi="Calibri" w:cs="Times New Roman" w:hint="eastAsia"/>
          <w:sz w:val="24"/>
        </w:rPr>
        <w:t>年版）解析》，外语教学与研究出版社，</w:t>
      </w:r>
      <w:r w:rsidRPr="00C93813">
        <w:rPr>
          <w:rFonts w:ascii="Calibri" w:eastAsia="宋体" w:hAnsi="Calibri" w:cs="Times New Roman" w:hint="eastAsia"/>
          <w:sz w:val="24"/>
        </w:rPr>
        <w:t>2022</w:t>
      </w:r>
      <w:r w:rsidRPr="00C93813">
        <w:rPr>
          <w:rFonts w:ascii="Calibri" w:eastAsia="宋体" w:hAnsi="Calibri" w:cs="Times New Roman" w:hint="eastAsia"/>
          <w:sz w:val="24"/>
        </w:rPr>
        <w:t>年版。</w:t>
      </w:r>
    </w:p>
    <w:p w14:paraId="34B37619" w14:textId="77777777" w:rsidR="00C93813" w:rsidRPr="00C93813"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6. </w:t>
      </w:r>
      <w:r w:rsidRPr="00C93813">
        <w:rPr>
          <w:rFonts w:ascii="Calibri" w:eastAsia="宋体" w:hAnsi="Calibri" w:cs="Times New Roman" w:hint="eastAsia"/>
          <w:sz w:val="24"/>
        </w:rPr>
        <w:t>汪霞等《世界一流大学通识教育课程研究》，南京大学出版社</w:t>
      </w:r>
      <w:r w:rsidRPr="00C93813">
        <w:rPr>
          <w:rFonts w:ascii="Calibri" w:eastAsia="宋体" w:hAnsi="Calibri" w:cs="Times New Roman" w:hint="eastAsia"/>
          <w:sz w:val="24"/>
        </w:rPr>
        <w:t>.2017.</w:t>
      </w:r>
    </w:p>
    <w:p w14:paraId="63C666CF" w14:textId="77777777" w:rsidR="00C93813" w:rsidRPr="00C93813"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7. </w:t>
      </w:r>
      <w:r w:rsidRPr="00C93813">
        <w:rPr>
          <w:rFonts w:ascii="Calibri" w:eastAsia="宋体" w:hAnsi="Calibri" w:cs="Times New Roman" w:hint="eastAsia"/>
          <w:sz w:val="24"/>
        </w:rPr>
        <w:t>薄冰主编：《高级英语语法》，商务印书馆，</w:t>
      </w:r>
      <w:r w:rsidRPr="00C93813">
        <w:rPr>
          <w:rFonts w:ascii="Calibri" w:eastAsia="宋体" w:hAnsi="Calibri" w:cs="Times New Roman" w:hint="eastAsia"/>
          <w:sz w:val="24"/>
        </w:rPr>
        <w:t>2018</w:t>
      </w:r>
      <w:r w:rsidRPr="00C93813">
        <w:rPr>
          <w:rFonts w:ascii="Calibri" w:eastAsia="宋体" w:hAnsi="Calibri" w:cs="Times New Roman" w:hint="eastAsia"/>
          <w:sz w:val="24"/>
        </w:rPr>
        <w:t>；</w:t>
      </w:r>
    </w:p>
    <w:p w14:paraId="4D630936" w14:textId="77777777" w:rsidR="00C93813" w:rsidRPr="00C93813"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8. </w:t>
      </w:r>
      <w:r w:rsidRPr="00C93813">
        <w:rPr>
          <w:rFonts w:ascii="Calibri" w:eastAsia="宋体" w:hAnsi="Calibri" w:cs="Times New Roman" w:hint="eastAsia"/>
          <w:sz w:val="24"/>
        </w:rPr>
        <w:t>戚一岚《计算机网络辅助英语教学的理论和实践》，浙江工商大学出版社，</w:t>
      </w:r>
      <w:r w:rsidRPr="00C93813">
        <w:rPr>
          <w:rFonts w:ascii="Calibri" w:eastAsia="宋体" w:hAnsi="Calibri" w:cs="Times New Roman" w:hint="eastAsia"/>
          <w:sz w:val="24"/>
        </w:rPr>
        <w:t>2020.</w:t>
      </w:r>
    </w:p>
    <w:p w14:paraId="6B6539AD" w14:textId="77777777" w:rsidR="00C93813" w:rsidRPr="00C93813"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9. </w:t>
      </w:r>
      <w:r w:rsidRPr="00C93813">
        <w:rPr>
          <w:rFonts w:ascii="Calibri" w:eastAsia="宋体" w:hAnsi="Calibri" w:cs="Times New Roman" w:hint="eastAsia"/>
          <w:sz w:val="24"/>
        </w:rPr>
        <w:t>张强华《人工智能专业英语教程》，清华大学出版社，</w:t>
      </w:r>
      <w:r w:rsidRPr="00C93813">
        <w:rPr>
          <w:rFonts w:ascii="Calibri" w:eastAsia="宋体" w:hAnsi="Calibri" w:cs="Times New Roman" w:hint="eastAsia"/>
          <w:sz w:val="24"/>
        </w:rPr>
        <w:t>2021.</w:t>
      </w:r>
    </w:p>
    <w:p w14:paraId="2562929E" w14:textId="77777777" w:rsidR="00C93813" w:rsidRPr="00C93813"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8.Michael Swan</w:t>
      </w:r>
      <w:r w:rsidRPr="00C93813">
        <w:rPr>
          <w:rFonts w:ascii="Calibri" w:eastAsia="宋体" w:hAnsi="Calibri" w:cs="Times New Roman" w:hint="eastAsia"/>
          <w:sz w:val="24"/>
        </w:rPr>
        <w:t>主编：《牛津英语用法指南》第四版，外语教学与研究出版社，</w:t>
      </w:r>
      <w:r w:rsidRPr="00C93813">
        <w:rPr>
          <w:rFonts w:ascii="Calibri" w:eastAsia="宋体" w:hAnsi="Calibri" w:cs="Times New Roman" w:hint="eastAsia"/>
          <w:sz w:val="24"/>
        </w:rPr>
        <w:t>2019.</w:t>
      </w:r>
    </w:p>
    <w:p w14:paraId="519F791C" w14:textId="77777777" w:rsidR="00C93813" w:rsidRPr="00C93813"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10. </w:t>
      </w:r>
      <w:r w:rsidRPr="00C93813">
        <w:rPr>
          <w:rFonts w:ascii="Calibri" w:eastAsia="宋体" w:hAnsi="Calibri" w:cs="Times New Roman" w:hint="eastAsia"/>
          <w:sz w:val="24"/>
        </w:rPr>
        <w:t>新东方研究中心，《新东方四级阅读强化训练</w:t>
      </w:r>
      <w:r w:rsidRPr="00C93813">
        <w:rPr>
          <w:rFonts w:ascii="Calibri" w:eastAsia="宋体" w:hAnsi="Calibri" w:cs="Times New Roman" w:hint="eastAsia"/>
          <w:sz w:val="24"/>
        </w:rPr>
        <w:t>600</w:t>
      </w:r>
      <w:r w:rsidRPr="00C93813">
        <w:rPr>
          <w:rFonts w:ascii="Calibri" w:eastAsia="宋体" w:hAnsi="Calibri" w:cs="Times New Roman" w:hint="eastAsia"/>
          <w:sz w:val="24"/>
        </w:rPr>
        <w:t>题》，浙江教育出版社，</w:t>
      </w:r>
      <w:r w:rsidRPr="00C93813">
        <w:rPr>
          <w:rFonts w:ascii="Calibri" w:eastAsia="宋体" w:hAnsi="Calibri" w:cs="Times New Roman" w:hint="eastAsia"/>
          <w:sz w:val="24"/>
        </w:rPr>
        <w:t>2015</w:t>
      </w:r>
    </w:p>
    <w:p w14:paraId="6DF60C79" w14:textId="77777777" w:rsidR="00C93813" w:rsidRPr="00C93813"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11. </w:t>
      </w:r>
      <w:r w:rsidRPr="00C93813">
        <w:rPr>
          <w:rFonts w:ascii="Calibri" w:eastAsia="宋体" w:hAnsi="Calibri" w:cs="Times New Roman" w:hint="eastAsia"/>
          <w:sz w:val="24"/>
        </w:rPr>
        <w:t>中国大学</w:t>
      </w:r>
      <w:r w:rsidRPr="00C93813">
        <w:rPr>
          <w:rFonts w:ascii="Calibri" w:eastAsia="宋体" w:hAnsi="Calibri" w:cs="Times New Roman" w:hint="eastAsia"/>
          <w:sz w:val="24"/>
        </w:rPr>
        <w:t>MOOC</w:t>
      </w:r>
      <w:r w:rsidRPr="00C93813">
        <w:rPr>
          <w:rFonts w:ascii="Calibri" w:eastAsia="宋体" w:hAnsi="Calibri" w:cs="Times New Roman" w:hint="eastAsia"/>
          <w:sz w:val="24"/>
        </w:rPr>
        <w:t>网：</w:t>
      </w:r>
      <w:r w:rsidRPr="00C93813">
        <w:rPr>
          <w:rFonts w:ascii="Calibri" w:eastAsia="宋体" w:hAnsi="Calibri" w:cs="Times New Roman" w:hint="eastAsia"/>
          <w:sz w:val="24"/>
        </w:rPr>
        <w:t>https://www.icourse163.org/.</w:t>
      </w:r>
    </w:p>
    <w:p w14:paraId="13496DFA" w14:textId="77777777" w:rsidR="00C93813" w:rsidRPr="00C93813"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12. </w:t>
      </w:r>
      <w:r w:rsidRPr="00C93813">
        <w:rPr>
          <w:rFonts w:ascii="Calibri" w:eastAsia="宋体" w:hAnsi="Calibri" w:cs="Times New Roman" w:hint="eastAsia"/>
          <w:sz w:val="24"/>
        </w:rPr>
        <w:t>沪江英语学习网站：</w:t>
      </w:r>
      <w:proofErr w:type="gramStart"/>
      <w:r w:rsidRPr="00C93813">
        <w:rPr>
          <w:rFonts w:ascii="Calibri" w:eastAsia="宋体" w:hAnsi="Calibri" w:cs="Times New Roman" w:hint="eastAsia"/>
          <w:sz w:val="24"/>
        </w:rPr>
        <w:t>https://www.hjenglish.com/ .</w:t>
      </w:r>
      <w:proofErr w:type="gramEnd"/>
    </w:p>
    <w:p w14:paraId="030CD894" w14:textId="77777777" w:rsidR="00C93813" w:rsidRPr="00C93813"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13. </w:t>
      </w:r>
      <w:r w:rsidRPr="00C93813">
        <w:rPr>
          <w:rFonts w:ascii="Calibri" w:eastAsia="宋体" w:hAnsi="Calibri" w:cs="Times New Roman" w:hint="eastAsia"/>
          <w:sz w:val="24"/>
        </w:rPr>
        <w:t>可可英语学习网站：</w:t>
      </w:r>
      <w:r w:rsidRPr="00C93813">
        <w:rPr>
          <w:rFonts w:ascii="Calibri" w:eastAsia="宋体" w:hAnsi="Calibri" w:cs="Times New Roman" w:hint="eastAsia"/>
          <w:sz w:val="24"/>
        </w:rPr>
        <w:t>http://www.kekenet.com/.</w:t>
      </w:r>
    </w:p>
    <w:p w14:paraId="1EDD678E" w14:textId="77777777" w:rsidR="00C93813" w:rsidRPr="0035308B" w:rsidRDefault="00C93813" w:rsidP="0035308B">
      <w:pPr>
        <w:tabs>
          <w:tab w:val="left" w:pos="840"/>
        </w:tabs>
        <w:spacing w:line="360" w:lineRule="auto"/>
        <w:ind w:firstLineChars="200" w:firstLine="480"/>
        <w:rPr>
          <w:rFonts w:ascii="Calibri" w:eastAsia="宋体" w:hAnsi="Calibri" w:cs="Times New Roman"/>
          <w:sz w:val="24"/>
        </w:rPr>
      </w:pPr>
      <w:r w:rsidRPr="00C93813">
        <w:rPr>
          <w:rFonts w:ascii="Calibri" w:eastAsia="宋体" w:hAnsi="Calibri" w:cs="Times New Roman" w:hint="eastAsia"/>
          <w:sz w:val="24"/>
        </w:rPr>
        <w:t xml:space="preserve">14. </w:t>
      </w:r>
      <w:r w:rsidRPr="00C93813">
        <w:rPr>
          <w:rFonts w:ascii="Calibri" w:eastAsia="宋体" w:hAnsi="Calibri" w:cs="Times New Roman" w:hint="eastAsia"/>
          <w:sz w:val="24"/>
        </w:rPr>
        <w:t>中国日报英文版官网：</w:t>
      </w:r>
      <w:r w:rsidRPr="00C93813">
        <w:rPr>
          <w:rFonts w:ascii="Calibri" w:eastAsia="宋体" w:hAnsi="Calibri" w:cs="Times New Roman" w:hint="eastAsia"/>
          <w:sz w:val="24"/>
        </w:rPr>
        <w:t>http://www.chinadaily.com.cn/.</w:t>
      </w:r>
    </w:p>
    <w:p w14:paraId="2EDA787F" w14:textId="77777777" w:rsidR="00C93813" w:rsidRPr="00C93813" w:rsidRDefault="00C93813" w:rsidP="0035308B">
      <w:pPr>
        <w:spacing w:beforeLines="50" w:before="156" w:afterLines="50" w:after="156" w:line="360" w:lineRule="auto"/>
        <w:ind w:firstLineChars="200" w:firstLine="562"/>
        <w:rPr>
          <w:rFonts w:ascii="Calibri" w:eastAsia="宋体" w:hAnsi="Calibri" w:cs="Times New Roman"/>
          <w:b/>
          <w:sz w:val="24"/>
        </w:rPr>
      </w:pPr>
      <w:r w:rsidRPr="00C93813">
        <w:rPr>
          <w:rFonts w:ascii="Calibri" w:eastAsia="宋体" w:hAnsi="Calibri" w:cs="Times New Roman"/>
          <w:b/>
          <w:sz w:val="28"/>
          <w:szCs w:val="28"/>
        </w:rPr>
        <w:t>（三）课程资源</w:t>
      </w:r>
    </w:p>
    <w:p w14:paraId="0E4D7CAD" w14:textId="77777777" w:rsidR="00C93813" w:rsidRPr="00C93813" w:rsidRDefault="00C93813" w:rsidP="0035308B">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学习途径和方法：</w:t>
      </w:r>
    </w:p>
    <w:p w14:paraId="4DB4B8D6" w14:textId="77777777" w:rsidR="00C93813" w:rsidRPr="00C93813" w:rsidRDefault="00C93813" w:rsidP="0035308B">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 xml:space="preserve">1. </w:t>
      </w:r>
      <w:r w:rsidRPr="00C93813">
        <w:rPr>
          <w:rFonts w:ascii="Calibri" w:eastAsia="宋体" w:hAnsi="Calibri" w:cs="Times New Roman"/>
          <w:sz w:val="24"/>
        </w:rPr>
        <w:t>课程学习资源及学习途径</w:t>
      </w:r>
    </w:p>
    <w:p w14:paraId="2923C83A" w14:textId="77777777" w:rsidR="00C93813" w:rsidRPr="00C93813" w:rsidRDefault="00C93813" w:rsidP="0035308B">
      <w:pPr>
        <w:spacing w:line="360" w:lineRule="auto"/>
        <w:ind w:firstLineChars="200" w:firstLine="480"/>
        <w:rPr>
          <w:rFonts w:ascii="Calibri" w:eastAsia="宋体" w:hAnsi="Calibri" w:cs="Times New Roman"/>
          <w:sz w:val="24"/>
        </w:rPr>
      </w:pPr>
      <w:r w:rsidRPr="00C93813">
        <w:rPr>
          <w:rFonts w:ascii="Calibri" w:eastAsia="宋体" w:hAnsi="Calibri" w:cs="Times New Roman"/>
          <w:sz w:val="24"/>
        </w:rPr>
        <w:t>本课程通过石家庄学院网络教学平台（</w:t>
      </w:r>
      <w:proofErr w:type="gramStart"/>
      <w:r w:rsidRPr="00C93813">
        <w:rPr>
          <w:rFonts w:ascii="Calibri" w:eastAsia="宋体" w:hAnsi="Calibri" w:cs="Times New Roman"/>
          <w:sz w:val="24"/>
        </w:rPr>
        <w:t>超星学习通</w:t>
      </w:r>
      <w:proofErr w:type="gramEnd"/>
      <w:r w:rsidRPr="00C93813">
        <w:rPr>
          <w:rFonts w:ascii="Calibri" w:eastAsia="宋体" w:hAnsi="Calibri" w:cs="Times New Roman"/>
          <w:sz w:val="24"/>
        </w:rPr>
        <w:t>），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14:paraId="5CC534C8" w14:textId="77777777" w:rsidR="00C93813" w:rsidRPr="00C93813" w:rsidRDefault="00C93813" w:rsidP="0035308B">
      <w:pPr>
        <w:spacing w:line="360" w:lineRule="auto"/>
        <w:ind w:firstLineChars="200" w:firstLine="480"/>
        <w:rPr>
          <w:rFonts w:ascii="Calibri" w:eastAsia="宋体" w:hAnsi="Calibri" w:cs="Times New Roman"/>
          <w:sz w:val="15"/>
          <w:szCs w:val="15"/>
          <w:shd w:val="clear" w:color="auto" w:fill="FFFFFF"/>
        </w:rPr>
      </w:pPr>
      <w:r w:rsidRPr="00C93813">
        <w:rPr>
          <w:rFonts w:ascii="Calibri" w:eastAsia="宋体" w:hAnsi="Calibri" w:cs="Times New Roman"/>
          <w:sz w:val="24"/>
        </w:rPr>
        <w:t xml:space="preserve">2. </w:t>
      </w:r>
      <w:r w:rsidRPr="00C93813">
        <w:rPr>
          <w:rFonts w:ascii="Calibri" w:eastAsia="宋体" w:hAnsi="Calibri" w:cs="Times New Roman"/>
          <w:sz w:val="24"/>
        </w:rPr>
        <w:t>在线开放课程网址：</w:t>
      </w:r>
    </w:p>
    <w:p w14:paraId="1486C316" w14:textId="77777777" w:rsidR="00C93813" w:rsidRPr="00C93813" w:rsidRDefault="00C93813" w:rsidP="0035308B">
      <w:pPr>
        <w:spacing w:beforeLines="50" w:before="156" w:afterLines="50" w:after="156" w:line="360" w:lineRule="auto"/>
        <w:ind w:firstLineChars="200" w:firstLine="562"/>
        <w:rPr>
          <w:rFonts w:ascii="Calibri" w:eastAsia="宋体" w:hAnsi="Calibri" w:cs="Times New Roman"/>
          <w:b/>
          <w:sz w:val="28"/>
          <w:szCs w:val="28"/>
        </w:rPr>
      </w:pPr>
      <w:r w:rsidRPr="00C93813">
        <w:rPr>
          <w:rFonts w:ascii="Calibri" w:eastAsia="宋体" w:hAnsi="Calibri" w:cs="Times New Roman"/>
          <w:b/>
          <w:sz w:val="28"/>
          <w:szCs w:val="28"/>
        </w:rPr>
        <w:t>七、课程大纲制定依据</w:t>
      </w:r>
    </w:p>
    <w:p w14:paraId="10F6E216" w14:textId="77777777" w:rsidR="003708A4" w:rsidRPr="00D21F0B" w:rsidRDefault="00C93813" w:rsidP="00D21F0B">
      <w:pPr>
        <w:ind w:firstLineChars="200" w:firstLine="480"/>
        <w:rPr>
          <w:rFonts w:ascii="宋体" w:eastAsia="宋体" w:hAnsi="宋体" w:cs="Times New Roman"/>
          <w:sz w:val="24"/>
        </w:rPr>
      </w:pPr>
      <w:r w:rsidRPr="00C93813">
        <w:rPr>
          <w:rFonts w:ascii="宋体" w:eastAsia="宋体" w:hAnsi="宋体" w:cs="Times New Roman" w:hint="eastAsia"/>
          <w:sz w:val="24"/>
        </w:rPr>
        <w:t>本课程大纲依据</w:t>
      </w:r>
      <w:r w:rsidRPr="00C93813">
        <w:rPr>
          <w:rFonts w:ascii="Calibri" w:eastAsia="宋体" w:hAnsi="Calibri" w:cs="Times New Roman"/>
          <w:sz w:val="24"/>
        </w:rPr>
        <w:t>202</w:t>
      </w:r>
      <w:r w:rsidRPr="00C93813">
        <w:rPr>
          <w:rFonts w:ascii="Calibri" w:eastAsia="宋体" w:hAnsi="Calibri" w:cs="Times New Roman" w:hint="eastAsia"/>
          <w:sz w:val="24"/>
        </w:rPr>
        <w:t>3</w:t>
      </w:r>
      <w:r w:rsidRPr="00C93813">
        <w:rPr>
          <w:rFonts w:ascii="宋体" w:eastAsia="宋体" w:hAnsi="宋体" w:cs="Times New Roman" w:hint="eastAsia"/>
          <w:sz w:val="24"/>
        </w:rPr>
        <w:t>年</w:t>
      </w:r>
      <w:r w:rsidR="00855797">
        <w:rPr>
          <w:rFonts w:ascii="宋体" w:eastAsia="宋体" w:hAnsi="宋体" w:cs="Times New Roman" w:hint="eastAsia"/>
          <w:sz w:val="24"/>
        </w:rPr>
        <w:t>药物分析</w:t>
      </w:r>
      <w:r w:rsidRPr="00C93813">
        <w:rPr>
          <w:rFonts w:ascii="宋体" w:eastAsia="宋体" w:hAnsi="宋体" w:cs="Times New Roman" w:hint="eastAsia"/>
          <w:sz w:val="24"/>
        </w:rPr>
        <w:t>专业人才培养方案制定。</w:t>
      </w:r>
    </w:p>
    <w:p w14:paraId="6A4C1738" w14:textId="77777777" w:rsidR="003708A4" w:rsidRDefault="003708A4" w:rsidP="00C93813">
      <w:pPr>
        <w:rPr>
          <w:rFonts w:ascii="黑体" w:eastAsia="黑体" w:hAnsi="黑体" w:cs="Times New Roman"/>
          <w:color w:val="000000"/>
          <w:sz w:val="36"/>
          <w:szCs w:val="36"/>
        </w:rPr>
      </w:pPr>
    </w:p>
    <w:p w14:paraId="0423A626" w14:textId="77777777" w:rsidR="00BA2CFD" w:rsidRPr="00BA2CFD" w:rsidRDefault="00BA2CFD" w:rsidP="00BA2CFD">
      <w:pPr>
        <w:spacing w:beforeLines="100" w:before="312" w:afterLines="100" w:after="312" w:line="440" w:lineRule="exact"/>
        <w:jc w:val="center"/>
        <w:outlineLvl w:val="0"/>
        <w:rPr>
          <w:rFonts w:eastAsia="黑体"/>
          <w:bCs/>
          <w:sz w:val="36"/>
          <w:szCs w:val="36"/>
        </w:rPr>
      </w:pPr>
      <w:bookmarkStart w:id="57" w:name="_Toc19953"/>
      <w:bookmarkStart w:id="58" w:name="_Toc149662347"/>
      <w:r w:rsidRPr="00BA2CFD">
        <w:rPr>
          <w:rFonts w:eastAsia="黑体" w:hint="eastAsia"/>
          <w:bCs/>
          <w:sz w:val="36"/>
          <w:szCs w:val="36"/>
        </w:rPr>
        <w:lastRenderedPageBreak/>
        <w:t>《大学体育》课程大纲</w:t>
      </w:r>
      <w:bookmarkEnd w:id="57"/>
      <w:bookmarkEnd w:id="58"/>
    </w:p>
    <w:p w14:paraId="66A9BB5F" w14:textId="77777777" w:rsidR="00C32AC2" w:rsidRPr="00C32AC2" w:rsidRDefault="00C32AC2" w:rsidP="00C32AC2">
      <w:pPr>
        <w:spacing w:beforeLines="100" w:before="312" w:afterLines="100" w:after="312" w:line="440" w:lineRule="exact"/>
        <w:jc w:val="center"/>
        <w:rPr>
          <w:rFonts w:ascii="黑体" w:eastAsia="黑体" w:hAnsi="黑体" w:cs="Times New Roman"/>
          <w:bCs/>
          <w:sz w:val="36"/>
          <w:szCs w:val="36"/>
        </w:rPr>
      </w:pPr>
      <w:r w:rsidRPr="00C32AC2">
        <w:rPr>
          <w:rFonts w:ascii="黑体" w:eastAsia="黑体" w:hAnsi="黑体" w:cs="Times New Roman" w:hint="eastAsia"/>
          <w:bCs/>
          <w:sz w:val="36"/>
          <w:szCs w:val="36"/>
        </w:rPr>
        <w:t>《足球》课程大纲</w:t>
      </w:r>
    </w:p>
    <w:p w14:paraId="188614DD"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C32AC2" w:rsidRPr="00C32AC2" w14:paraId="053BFAD5" w14:textId="77777777" w:rsidTr="00375FAF">
        <w:trPr>
          <w:trHeight w:val="886"/>
          <w:jc w:val="center"/>
        </w:trPr>
        <w:tc>
          <w:tcPr>
            <w:tcW w:w="1581" w:type="dxa"/>
            <w:vAlign w:val="center"/>
          </w:tcPr>
          <w:p w14:paraId="6ADB2498"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课程名称</w:t>
            </w:r>
          </w:p>
        </w:tc>
        <w:tc>
          <w:tcPr>
            <w:tcW w:w="2662" w:type="dxa"/>
            <w:vAlign w:val="center"/>
          </w:tcPr>
          <w:p w14:paraId="7417D1E7"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Calibri" w:cs="宋体" w:hint="eastAsia"/>
                <w:kern w:val="0"/>
                <w:sz w:val="24"/>
              </w:rPr>
              <w:t>足球</w:t>
            </w:r>
          </w:p>
        </w:tc>
        <w:tc>
          <w:tcPr>
            <w:tcW w:w="1482" w:type="dxa"/>
            <w:vAlign w:val="center"/>
          </w:tcPr>
          <w:p w14:paraId="50DC8054"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课程代码</w:t>
            </w:r>
          </w:p>
        </w:tc>
        <w:tc>
          <w:tcPr>
            <w:tcW w:w="2797" w:type="dxa"/>
            <w:vAlign w:val="center"/>
          </w:tcPr>
          <w:p w14:paraId="363408A2"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Calibri" w:cs="宋体" w:hint="eastAsia"/>
                <w:kern w:val="0"/>
                <w:sz w:val="24"/>
              </w:rPr>
              <w:t>091050</w:t>
            </w:r>
          </w:p>
        </w:tc>
      </w:tr>
      <w:tr w:rsidR="00C32AC2" w:rsidRPr="00C32AC2" w14:paraId="13BB94B3" w14:textId="77777777" w:rsidTr="00375FAF">
        <w:trPr>
          <w:trHeight w:val="829"/>
          <w:jc w:val="center"/>
        </w:trPr>
        <w:tc>
          <w:tcPr>
            <w:tcW w:w="1581" w:type="dxa"/>
            <w:vAlign w:val="center"/>
          </w:tcPr>
          <w:p w14:paraId="691277E5"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课程类别</w:t>
            </w:r>
          </w:p>
        </w:tc>
        <w:tc>
          <w:tcPr>
            <w:tcW w:w="2662" w:type="dxa"/>
            <w:vAlign w:val="center"/>
          </w:tcPr>
          <w:p w14:paraId="048E8714"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Calibri" w:cs="宋体" w:hint="eastAsia"/>
                <w:kern w:val="0"/>
                <w:sz w:val="24"/>
              </w:rPr>
              <w:t>公共必修课程</w:t>
            </w:r>
          </w:p>
        </w:tc>
        <w:tc>
          <w:tcPr>
            <w:tcW w:w="1482" w:type="dxa"/>
            <w:vAlign w:val="center"/>
          </w:tcPr>
          <w:p w14:paraId="6AE0B98B"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学时</w:t>
            </w:r>
          </w:p>
          <w:p w14:paraId="4A3AFAF0"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/学分</w:t>
            </w:r>
          </w:p>
        </w:tc>
        <w:tc>
          <w:tcPr>
            <w:tcW w:w="2797" w:type="dxa"/>
            <w:vAlign w:val="center"/>
          </w:tcPr>
          <w:p w14:paraId="53B9A353"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144/4</w:t>
            </w:r>
          </w:p>
        </w:tc>
      </w:tr>
      <w:tr w:rsidR="00C32AC2" w:rsidRPr="00C32AC2" w14:paraId="605FA48C" w14:textId="77777777" w:rsidTr="00375FAF">
        <w:trPr>
          <w:trHeight w:val="811"/>
          <w:jc w:val="center"/>
        </w:trPr>
        <w:tc>
          <w:tcPr>
            <w:tcW w:w="1581" w:type="dxa"/>
            <w:vAlign w:val="center"/>
          </w:tcPr>
          <w:p w14:paraId="1E445FEF"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开课单位</w:t>
            </w:r>
          </w:p>
        </w:tc>
        <w:tc>
          <w:tcPr>
            <w:tcW w:w="2662" w:type="dxa"/>
            <w:vAlign w:val="center"/>
          </w:tcPr>
          <w:p w14:paraId="4021238C"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sz w:val="24"/>
              </w:rPr>
              <w:t>石家庄学院体育学院</w:t>
            </w:r>
          </w:p>
        </w:tc>
        <w:tc>
          <w:tcPr>
            <w:tcW w:w="1482" w:type="dxa"/>
            <w:vAlign w:val="center"/>
          </w:tcPr>
          <w:p w14:paraId="525D95E3"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适用专业</w:t>
            </w:r>
          </w:p>
        </w:tc>
        <w:tc>
          <w:tcPr>
            <w:tcW w:w="2797" w:type="dxa"/>
            <w:vAlign w:val="center"/>
          </w:tcPr>
          <w:p w14:paraId="6B4C121C" w14:textId="77777777" w:rsidR="00C32AC2" w:rsidRPr="00C32AC2" w:rsidRDefault="00233E31" w:rsidP="00C32AC2">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C32AC2" w:rsidRPr="00C32AC2" w14:paraId="1BD1B2E3" w14:textId="77777777" w:rsidTr="00375FAF">
        <w:trPr>
          <w:trHeight w:val="811"/>
          <w:jc w:val="center"/>
        </w:trPr>
        <w:tc>
          <w:tcPr>
            <w:tcW w:w="1581" w:type="dxa"/>
            <w:vAlign w:val="center"/>
          </w:tcPr>
          <w:p w14:paraId="503869BF"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课程负责人</w:t>
            </w:r>
          </w:p>
        </w:tc>
        <w:tc>
          <w:tcPr>
            <w:tcW w:w="6941" w:type="dxa"/>
            <w:gridSpan w:val="3"/>
            <w:vAlign w:val="center"/>
          </w:tcPr>
          <w:p w14:paraId="1F3DAAE4"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潘乐、冯国群、温路广</w:t>
            </w:r>
          </w:p>
        </w:tc>
      </w:tr>
      <w:tr w:rsidR="00C32AC2" w:rsidRPr="00C32AC2" w14:paraId="763B7603" w14:textId="77777777" w:rsidTr="00375FAF">
        <w:trPr>
          <w:trHeight w:val="836"/>
          <w:jc w:val="center"/>
        </w:trPr>
        <w:tc>
          <w:tcPr>
            <w:tcW w:w="1581" w:type="dxa"/>
            <w:vAlign w:val="center"/>
          </w:tcPr>
          <w:p w14:paraId="56C881EF"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大纲撰写人</w:t>
            </w:r>
          </w:p>
        </w:tc>
        <w:tc>
          <w:tcPr>
            <w:tcW w:w="2662" w:type="dxa"/>
            <w:vAlign w:val="center"/>
          </w:tcPr>
          <w:p w14:paraId="652D9500"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潘乐</w:t>
            </w:r>
          </w:p>
        </w:tc>
        <w:tc>
          <w:tcPr>
            <w:tcW w:w="1482" w:type="dxa"/>
            <w:vAlign w:val="center"/>
          </w:tcPr>
          <w:p w14:paraId="20B9FF69"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大纲审核人</w:t>
            </w:r>
          </w:p>
        </w:tc>
        <w:tc>
          <w:tcPr>
            <w:tcW w:w="2797" w:type="dxa"/>
            <w:vAlign w:val="center"/>
          </w:tcPr>
          <w:p w14:paraId="1A8833E4" w14:textId="77777777" w:rsidR="00C32AC2" w:rsidRPr="00C32AC2" w:rsidRDefault="00C32AC2" w:rsidP="00C32AC2">
            <w:pPr>
              <w:spacing w:line="440" w:lineRule="exact"/>
              <w:jc w:val="center"/>
              <w:rPr>
                <w:rFonts w:ascii="宋体" w:eastAsia="宋体" w:hAnsi="宋体" w:cs="Times New Roman"/>
                <w:sz w:val="24"/>
              </w:rPr>
            </w:pPr>
            <w:proofErr w:type="gramStart"/>
            <w:r w:rsidRPr="00C32AC2">
              <w:rPr>
                <w:rFonts w:ascii="宋体" w:eastAsia="宋体" w:hAnsi="宋体" w:cs="Times New Roman" w:hint="eastAsia"/>
                <w:sz w:val="24"/>
              </w:rPr>
              <w:t>左健</w:t>
            </w:r>
            <w:proofErr w:type="gramEnd"/>
          </w:p>
        </w:tc>
      </w:tr>
      <w:tr w:rsidR="00C32AC2" w:rsidRPr="00C32AC2" w14:paraId="1341E337" w14:textId="77777777" w:rsidTr="00375FAF">
        <w:trPr>
          <w:trHeight w:val="848"/>
          <w:jc w:val="center"/>
        </w:trPr>
        <w:tc>
          <w:tcPr>
            <w:tcW w:w="1581" w:type="dxa"/>
            <w:vAlign w:val="center"/>
          </w:tcPr>
          <w:p w14:paraId="622B362B"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先修课程</w:t>
            </w:r>
          </w:p>
        </w:tc>
        <w:tc>
          <w:tcPr>
            <w:tcW w:w="6941" w:type="dxa"/>
            <w:gridSpan w:val="3"/>
            <w:vAlign w:val="center"/>
          </w:tcPr>
          <w:p w14:paraId="2EC9EACF" w14:textId="77777777" w:rsidR="00C32AC2" w:rsidRPr="00C32AC2" w:rsidRDefault="00C32AC2" w:rsidP="00C32AC2">
            <w:pPr>
              <w:spacing w:line="440" w:lineRule="exact"/>
              <w:jc w:val="center"/>
              <w:rPr>
                <w:rFonts w:ascii="宋体" w:eastAsia="宋体" w:hAnsi="宋体" w:cs="Times New Roman"/>
                <w:sz w:val="24"/>
              </w:rPr>
            </w:pPr>
          </w:p>
        </w:tc>
      </w:tr>
      <w:tr w:rsidR="00C32AC2" w:rsidRPr="00C32AC2" w14:paraId="012986AE" w14:textId="77777777" w:rsidTr="00375FAF">
        <w:trPr>
          <w:trHeight w:val="848"/>
          <w:jc w:val="center"/>
        </w:trPr>
        <w:tc>
          <w:tcPr>
            <w:tcW w:w="1581" w:type="dxa"/>
            <w:vAlign w:val="center"/>
          </w:tcPr>
          <w:p w14:paraId="61B66A8D"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课程网址</w:t>
            </w:r>
          </w:p>
        </w:tc>
        <w:tc>
          <w:tcPr>
            <w:tcW w:w="6941" w:type="dxa"/>
            <w:gridSpan w:val="3"/>
            <w:vAlign w:val="center"/>
          </w:tcPr>
          <w:p w14:paraId="2E229E8E" w14:textId="77777777" w:rsidR="00C32AC2" w:rsidRPr="00C32AC2" w:rsidRDefault="00C32AC2" w:rsidP="00C32AC2">
            <w:pPr>
              <w:spacing w:line="440" w:lineRule="exact"/>
              <w:rPr>
                <w:rFonts w:ascii="宋体" w:eastAsia="宋体" w:hAnsi="宋体" w:cs="Times New Roman"/>
                <w:color w:val="FF0000"/>
                <w:sz w:val="24"/>
              </w:rPr>
            </w:pPr>
          </w:p>
        </w:tc>
      </w:tr>
    </w:tbl>
    <w:p w14:paraId="31207390"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二、课程学习目标及与毕业要求的对应关系</w:t>
      </w:r>
    </w:p>
    <w:p w14:paraId="44FE378D"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（一）课程学习目标</w:t>
      </w:r>
    </w:p>
    <w:p w14:paraId="67A5F233"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通过本课程的学习，使学生达到以下目标：</w:t>
      </w:r>
    </w:p>
    <w:p w14:paraId="64498C1B" w14:textId="77777777" w:rsidR="00C32AC2" w:rsidRPr="00C32AC2" w:rsidRDefault="00C32AC2" w:rsidP="00B41A22">
      <w:pPr>
        <w:numPr>
          <w:ilvl w:val="0"/>
          <w:numId w:val="37"/>
        </w:numPr>
        <w:adjustRightInd w:val="0"/>
        <w:snapToGrid w:val="0"/>
        <w:spacing w:line="360" w:lineRule="exact"/>
        <w:ind w:firstLineChars="200" w:firstLine="480"/>
        <w:rPr>
          <w:rFonts w:ascii="宋体" w:eastAsia="宋体" w:hAnsi="宋体" w:cs="宋体"/>
          <w:sz w:val="24"/>
        </w:rPr>
      </w:pPr>
      <w:r w:rsidRPr="00C32AC2">
        <w:rPr>
          <w:rFonts w:ascii="宋体" w:eastAsia="宋体" w:hAnsi="宋体" w:cs="仿宋_GB2312" w:hint="eastAsia"/>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7490D221" w14:textId="77777777" w:rsidR="00C32AC2" w:rsidRPr="00C32AC2" w:rsidRDefault="00C32AC2" w:rsidP="00B41A22">
      <w:pPr>
        <w:numPr>
          <w:ilvl w:val="0"/>
          <w:numId w:val="37"/>
        </w:numPr>
        <w:adjustRightInd w:val="0"/>
        <w:snapToGrid w:val="0"/>
        <w:spacing w:line="360" w:lineRule="exact"/>
        <w:ind w:firstLineChars="200" w:firstLine="480"/>
        <w:rPr>
          <w:rFonts w:ascii="宋体" w:eastAsia="宋体" w:hAnsi="宋体" w:cs="仿宋_GB2312"/>
          <w:sz w:val="24"/>
        </w:rPr>
      </w:pPr>
      <w:r w:rsidRPr="00C32A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72DA3286" w14:textId="77777777" w:rsidR="00C32AC2" w:rsidRPr="00C32AC2" w:rsidRDefault="00C32AC2" w:rsidP="00B41A22">
      <w:pPr>
        <w:numPr>
          <w:ilvl w:val="0"/>
          <w:numId w:val="37"/>
        </w:numPr>
        <w:adjustRightInd w:val="0"/>
        <w:snapToGrid w:val="0"/>
        <w:spacing w:line="360" w:lineRule="exact"/>
        <w:ind w:firstLineChars="200" w:firstLine="480"/>
        <w:rPr>
          <w:rFonts w:ascii="黑体" w:eastAsia="黑体" w:hAnsi="黑体" w:cs="Times New Roman"/>
          <w:sz w:val="28"/>
          <w:szCs w:val="28"/>
        </w:rPr>
      </w:pPr>
      <w:r w:rsidRPr="00C32AC2">
        <w:rPr>
          <w:rFonts w:ascii="宋体" w:eastAsia="宋体" w:hAnsi="宋体" w:cs="仿宋_GB2312" w:hint="eastAsia"/>
          <w:sz w:val="24"/>
        </w:rPr>
        <w:lastRenderedPageBreak/>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37D1264E"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C32AC2" w:rsidRPr="00C32AC2" w14:paraId="64F3B21E" w14:textId="77777777" w:rsidTr="00375FAF">
        <w:trPr>
          <w:trHeight w:val="815"/>
          <w:jc w:val="center"/>
        </w:trPr>
        <w:tc>
          <w:tcPr>
            <w:tcW w:w="1708" w:type="dxa"/>
            <w:vAlign w:val="center"/>
          </w:tcPr>
          <w:p w14:paraId="6DB76044" w14:textId="77777777" w:rsidR="00C32AC2" w:rsidRPr="00C32AC2" w:rsidRDefault="00C32AC2" w:rsidP="00C32AC2">
            <w:pPr>
              <w:spacing w:line="440" w:lineRule="exact"/>
              <w:jc w:val="center"/>
              <w:rPr>
                <w:rFonts w:ascii="宋体" w:eastAsia="宋体" w:hAnsi="宋体" w:cs="Times New Roman"/>
                <w:b/>
                <w:sz w:val="24"/>
              </w:rPr>
            </w:pPr>
            <w:r w:rsidRPr="00C32AC2">
              <w:rPr>
                <w:rFonts w:ascii="宋体" w:eastAsia="宋体" w:hAnsi="宋体" w:cs="Times New Roman" w:hint="eastAsia"/>
                <w:b/>
                <w:sz w:val="24"/>
              </w:rPr>
              <w:t>毕业要求</w:t>
            </w:r>
          </w:p>
        </w:tc>
        <w:tc>
          <w:tcPr>
            <w:tcW w:w="5954" w:type="dxa"/>
            <w:vAlign w:val="center"/>
          </w:tcPr>
          <w:p w14:paraId="2EF4FA0E" w14:textId="77777777" w:rsidR="00C32AC2" w:rsidRPr="00C32AC2" w:rsidRDefault="00C32AC2" w:rsidP="00C32AC2">
            <w:pPr>
              <w:spacing w:line="440" w:lineRule="exact"/>
              <w:jc w:val="center"/>
              <w:rPr>
                <w:rFonts w:ascii="宋体" w:eastAsia="宋体" w:hAnsi="宋体" w:cs="Times New Roman"/>
                <w:b/>
                <w:sz w:val="24"/>
              </w:rPr>
            </w:pPr>
            <w:r w:rsidRPr="00C32AC2">
              <w:rPr>
                <w:rFonts w:ascii="宋体" w:eastAsia="宋体" w:hAnsi="宋体" w:cs="Times New Roman" w:hint="eastAsia"/>
                <w:b/>
                <w:sz w:val="24"/>
              </w:rPr>
              <w:t>毕业要求指标点</w:t>
            </w:r>
          </w:p>
        </w:tc>
        <w:tc>
          <w:tcPr>
            <w:tcW w:w="1507" w:type="dxa"/>
            <w:vAlign w:val="center"/>
          </w:tcPr>
          <w:p w14:paraId="0729AD8D" w14:textId="77777777" w:rsidR="00C32AC2" w:rsidRPr="00C32AC2" w:rsidRDefault="00C32AC2" w:rsidP="00C32AC2">
            <w:pPr>
              <w:spacing w:line="440" w:lineRule="exact"/>
              <w:jc w:val="center"/>
              <w:rPr>
                <w:rFonts w:ascii="宋体" w:eastAsia="宋体" w:hAnsi="宋体" w:cs="Times New Roman"/>
                <w:b/>
                <w:sz w:val="24"/>
              </w:rPr>
            </w:pPr>
            <w:r w:rsidRPr="00C32AC2">
              <w:rPr>
                <w:rFonts w:ascii="宋体" w:eastAsia="宋体" w:hAnsi="宋体" w:cs="Times New Roman" w:hint="eastAsia"/>
                <w:b/>
                <w:sz w:val="24"/>
              </w:rPr>
              <w:t>课程目标</w:t>
            </w:r>
          </w:p>
        </w:tc>
      </w:tr>
      <w:tr w:rsidR="00C32AC2" w:rsidRPr="00C32AC2" w14:paraId="47FD1015" w14:textId="77777777" w:rsidTr="00375FAF">
        <w:trPr>
          <w:jc w:val="center"/>
        </w:trPr>
        <w:tc>
          <w:tcPr>
            <w:tcW w:w="1708" w:type="dxa"/>
            <w:vAlign w:val="center"/>
          </w:tcPr>
          <w:p w14:paraId="74051611"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职业规范</w:t>
            </w:r>
            <w:r w:rsidRPr="00C32AC2">
              <w:rPr>
                <w:rFonts w:ascii="宋体" w:eastAsia="宋体" w:hAnsi="宋体" w:cs="Times New Roman"/>
                <w:sz w:val="24"/>
              </w:rPr>
              <w:t>（</w:t>
            </w:r>
            <w:r w:rsidRPr="00C32AC2">
              <w:rPr>
                <w:rFonts w:ascii="宋体" w:eastAsia="宋体" w:hAnsi="宋体" w:cs="Times New Roman" w:hint="eastAsia"/>
                <w:sz w:val="24"/>
              </w:rPr>
              <w:t>M</w:t>
            </w:r>
            <w:r w:rsidRPr="00C32AC2">
              <w:rPr>
                <w:rFonts w:ascii="宋体" w:eastAsia="宋体" w:hAnsi="宋体" w:cs="Times New Roman"/>
                <w:sz w:val="24"/>
              </w:rPr>
              <w:t>）</w:t>
            </w:r>
          </w:p>
        </w:tc>
        <w:tc>
          <w:tcPr>
            <w:tcW w:w="5954" w:type="dxa"/>
            <w:vAlign w:val="center"/>
          </w:tcPr>
          <w:p w14:paraId="7519C59B" w14:textId="2A53D3F8" w:rsidR="00C32AC2" w:rsidRPr="00C32AC2" w:rsidRDefault="00C32AC2" w:rsidP="006E7B59">
            <w:pPr>
              <w:spacing w:line="440" w:lineRule="exact"/>
              <w:rPr>
                <w:rFonts w:ascii="宋体" w:eastAsia="宋体" w:hAnsi="宋体" w:cs="Times New Roman"/>
                <w:sz w:val="24"/>
              </w:rPr>
            </w:pPr>
          </w:p>
        </w:tc>
        <w:tc>
          <w:tcPr>
            <w:tcW w:w="1507" w:type="dxa"/>
            <w:vAlign w:val="center"/>
          </w:tcPr>
          <w:p w14:paraId="78BEBA46" w14:textId="77777777" w:rsidR="00C32AC2" w:rsidRPr="00C32AC2" w:rsidRDefault="00C32AC2" w:rsidP="00C32AC2">
            <w:pPr>
              <w:spacing w:line="440" w:lineRule="exact"/>
              <w:ind w:firstLineChars="50" w:firstLine="120"/>
              <w:rPr>
                <w:rFonts w:ascii="宋体" w:eastAsia="宋体" w:hAnsi="宋体" w:cs="Times New Roman"/>
                <w:sz w:val="24"/>
              </w:rPr>
            </w:pPr>
            <w:r w:rsidRPr="00C32AC2">
              <w:rPr>
                <w:rFonts w:ascii="宋体" w:eastAsia="宋体" w:hAnsi="宋体" w:cs="Times New Roman" w:hint="eastAsia"/>
                <w:sz w:val="24"/>
              </w:rPr>
              <w:t>课程目标1</w:t>
            </w:r>
          </w:p>
        </w:tc>
      </w:tr>
      <w:tr w:rsidR="00C32AC2" w:rsidRPr="00C32AC2" w14:paraId="324FB2A4" w14:textId="77777777" w:rsidTr="00375FAF">
        <w:trPr>
          <w:jc w:val="center"/>
        </w:trPr>
        <w:tc>
          <w:tcPr>
            <w:tcW w:w="1708" w:type="dxa"/>
            <w:vAlign w:val="center"/>
          </w:tcPr>
          <w:p w14:paraId="525ECAD2"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沟通</w:t>
            </w:r>
            <w:r w:rsidRPr="00C32AC2">
              <w:rPr>
                <w:rFonts w:ascii="宋体" w:eastAsia="宋体" w:hAnsi="宋体" w:cs="Times New Roman"/>
                <w:sz w:val="24"/>
              </w:rPr>
              <w:t>（</w:t>
            </w:r>
            <w:r w:rsidRPr="00C32AC2">
              <w:rPr>
                <w:rFonts w:ascii="宋体" w:eastAsia="宋体" w:hAnsi="宋体" w:cs="Times New Roman" w:hint="eastAsia"/>
                <w:sz w:val="24"/>
              </w:rPr>
              <w:t>M</w:t>
            </w:r>
            <w:r w:rsidRPr="00C32AC2">
              <w:rPr>
                <w:rFonts w:ascii="宋体" w:eastAsia="宋体" w:hAnsi="宋体" w:cs="Times New Roman"/>
                <w:sz w:val="24"/>
              </w:rPr>
              <w:t>）</w:t>
            </w:r>
          </w:p>
        </w:tc>
        <w:tc>
          <w:tcPr>
            <w:tcW w:w="5954" w:type="dxa"/>
            <w:vAlign w:val="center"/>
          </w:tcPr>
          <w:p w14:paraId="57899C5F" w14:textId="6CF791E8" w:rsidR="00C32AC2" w:rsidRPr="00C32AC2" w:rsidRDefault="00C32AC2" w:rsidP="006E7B59">
            <w:pPr>
              <w:spacing w:line="440" w:lineRule="exact"/>
              <w:jc w:val="center"/>
              <w:rPr>
                <w:rFonts w:ascii="宋体" w:eastAsia="宋体" w:hAnsi="宋体" w:cs="Times New Roman"/>
                <w:sz w:val="24"/>
              </w:rPr>
            </w:pPr>
          </w:p>
        </w:tc>
        <w:tc>
          <w:tcPr>
            <w:tcW w:w="1507" w:type="dxa"/>
            <w:vAlign w:val="center"/>
          </w:tcPr>
          <w:p w14:paraId="5540CEF0" w14:textId="77777777" w:rsidR="00C32AC2" w:rsidRPr="00C32AC2" w:rsidRDefault="00C32AC2" w:rsidP="00C32AC2">
            <w:pPr>
              <w:spacing w:line="440" w:lineRule="exact"/>
              <w:ind w:firstLineChars="50" w:firstLine="120"/>
              <w:rPr>
                <w:rFonts w:ascii="宋体" w:eastAsia="宋体" w:hAnsi="宋体" w:cs="仿宋_GB2312"/>
                <w:sz w:val="24"/>
              </w:rPr>
            </w:pPr>
            <w:r w:rsidRPr="00C32AC2">
              <w:rPr>
                <w:rFonts w:ascii="宋体" w:eastAsia="宋体" w:hAnsi="宋体" w:cs="Times New Roman" w:hint="eastAsia"/>
                <w:sz w:val="24"/>
              </w:rPr>
              <w:t>课程目标</w:t>
            </w:r>
            <w:r w:rsidRPr="00C32AC2">
              <w:rPr>
                <w:rFonts w:ascii="宋体" w:eastAsia="宋体" w:hAnsi="宋体" w:cs="Times New Roman"/>
                <w:sz w:val="24"/>
              </w:rPr>
              <w:t>2</w:t>
            </w:r>
          </w:p>
        </w:tc>
      </w:tr>
      <w:tr w:rsidR="00C32AC2" w:rsidRPr="00C32AC2" w14:paraId="2D835FDF" w14:textId="77777777" w:rsidTr="00375FAF">
        <w:trPr>
          <w:jc w:val="center"/>
        </w:trPr>
        <w:tc>
          <w:tcPr>
            <w:tcW w:w="1708" w:type="dxa"/>
            <w:vAlign w:val="center"/>
          </w:tcPr>
          <w:p w14:paraId="3685152C"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终身学习</w:t>
            </w:r>
            <w:r w:rsidRPr="00C32AC2">
              <w:rPr>
                <w:rFonts w:ascii="宋体" w:eastAsia="宋体" w:hAnsi="宋体" w:cs="Times New Roman"/>
                <w:sz w:val="24"/>
              </w:rPr>
              <w:t>（</w:t>
            </w:r>
            <w:r w:rsidRPr="00C32AC2">
              <w:rPr>
                <w:rFonts w:ascii="宋体" w:eastAsia="宋体" w:hAnsi="宋体" w:cs="Times New Roman" w:hint="eastAsia"/>
                <w:sz w:val="24"/>
              </w:rPr>
              <w:t>H</w:t>
            </w:r>
            <w:r w:rsidRPr="00C32AC2">
              <w:rPr>
                <w:rFonts w:ascii="宋体" w:eastAsia="宋体" w:hAnsi="宋体" w:cs="Times New Roman"/>
                <w:sz w:val="24"/>
              </w:rPr>
              <w:t>）</w:t>
            </w:r>
          </w:p>
        </w:tc>
        <w:tc>
          <w:tcPr>
            <w:tcW w:w="5954" w:type="dxa"/>
            <w:vAlign w:val="center"/>
          </w:tcPr>
          <w:p w14:paraId="4F51E29B" w14:textId="70A54FB0" w:rsidR="00C32AC2" w:rsidRPr="00C32AC2" w:rsidRDefault="00C32AC2" w:rsidP="006E7B59">
            <w:pPr>
              <w:spacing w:line="440" w:lineRule="exact"/>
              <w:rPr>
                <w:rFonts w:ascii="宋体" w:eastAsia="宋体" w:hAnsi="宋体" w:cs="Times New Roman"/>
                <w:sz w:val="24"/>
              </w:rPr>
            </w:pPr>
          </w:p>
        </w:tc>
        <w:tc>
          <w:tcPr>
            <w:tcW w:w="1507" w:type="dxa"/>
            <w:vAlign w:val="center"/>
          </w:tcPr>
          <w:p w14:paraId="136F3CFD" w14:textId="77777777" w:rsidR="00C32AC2" w:rsidRPr="00C32AC2" w:rsidRDefault="00C32AC2" w:rsidP="00C32AC2">
            <w:pPr>
              <w:spacing w:line="440" w:lineRule="exact"/>
              <w:ind w:firstLineChars="50" w:firstLine="120"/>
              <w:rPr>
                <w:rFonts w:ascii="宋体" w:eastAsia="宋体" w:hAnsi="宋体" w:cs="Times New Roman"/>
                <w:sz w:val="24"/>
              </w:rPr>
            </w:pPr>
            <w:r w:rsidRPr="00C32AC2">
              <w:rPr>
                <w:rFonts w:ascii="宋体" w:eastAsia="宋体" w:hAnsi="宋体" w:cs="Times New Roman"/>
                <w:sz w:val="24"/>
              </w:rPr>
              <w:t>课程目标3</w:t>
            </w:r>
          </w:p>
        </w:tc>
      </w:tr>
    </w:tbl>
    <w:p w14:paraId="2401BD10" w14:textId="77777777" w:rsidR="00C32AC2" w:rsidRPr="00C32AC2" w:rsidRDefault="00C32AC2" w:rsidP="00C32AC2">
      <w:pPr>
        <w:spacing w:beforeLines="50" w:before="156" w:afterLines="50" w:after="156" w:line="440" w:lineRule="exact"/>
        <w:ind w:firstLineChars="150" w:firstLine="420"/>
        <w:rPr>
          <w:rFonts w:ascii="黑体" w:eastAsia="黑体" w:hAnsi="黑体" w:cs="Times New Roman"/>
          <w:sz w:val="28"/>
          <w:szCs w:val="28"/>
        </w:rPr>
      </w:pPr>
      <w:r w:rsidRPr="00C32AC2">
        <w:rPr>
          <w:rFonts w:ascii="黑体" w:eastAsia="黑体" w:hAnsi="黑体" w:cs="Times New Roman" w:hint="eastAsia"/>
          <w:sz w:val="28"/>
          <w:szCs w:val="28"/>
        </w:rPr>
        <w:t>三、课程学习内容及与课程学习目标的对应关系</w:t>
      </w:r>
    </w:p>
    <w:p w14:paraId="71BEDA7D" w14:textId="77777777" w:rsidR="00C32AC2" w:rsidRPr="00C32AC2" w:rsidRDefault="00C32AC2" w:rsidP="00C32AC2">
      <w:pPr>
        <w:spacing w:beforeLines="50" w:before="156" w:afterLines="50" w:after="156" w:line="440" w:lineRule="exact"/>
        <w:ind w:firstLineChars="200" w:firstLine="562"/>
        <w:rPr>
          <w:rFonts w:ascii="黑体" w:eastAsia="黑体" w:hAnsi="黑体" w:cs="Times New Roman"/>
          <w:b/>
          <w:sz w:val="28"/>
          <w:szCs w:val="28"/>
        </w:rPr>
      </w:pPr>
      <w:r w:rsidRPr="00C32AC2">
        <w:rPr>
          <w:rFonts w:ascii="黑体" w:eastAsia="黑体" w:hAnsi="黑体" w:cs="Times New Roman" w:hint="eastAsia"/>
          <w:b/>
          <w:sz w:val="28"/>
          <w:szCs w:val="28"/>
        </w:rPr>
        <w:t>（一）课程学习内容</w:t>
      </w:r>
    </w:p>
    <w:p w14:paraId="41D0D8C8" w14:textId="77777777" w:rsidR="00C32AC2" w:rsidRPr="00C32AC2" w:rsidRDefault="00C32AC2" w:rsidP="00C32AC2">
      <w:pPr>
        <w:spacing w:beforeLines="50" w:before="156" w:afterLines="50" w:after="156" w:line="440" w:lineRule="exact"/>
        <w:ind w:firstLineChars="200" w:firstLine="560"/>
        <w:jc w:val="center"/>
        <w:rPr>
          <w:rFonts w:ascii="黑体" w:eastAsia="黑体" w:hAnsi="黑体" w:cs="Times New Roman"/>
          <w:sz w:val="28"/>
          <w:szCs w:val="28"/>
        </w:rPr>
      </w:pPr>
      <w:r w:rsidRPr="00C32AC2">
        <w:rPr>
          <w:rFonts w:ascii="黑体" w:eastAsia="黑体" w:hAnsi="黑体" w:cs="Times New Roman" w:hint="eastAsia"/>
          <w:sz w:val="28"/>
          <w:szCs w:val="28"/>
        </w:rPr>
        <w:t>学习内容</w:t>
      </w:r>
      <w:proofErr w:type="gramStart"/>
      <w:r w:rsidRPr="00C32AC2">
        <w:rPr>
          <w:rFonts w:ascii="黑体" w:eastAsia="黑体" w:hAnsi="黑体" w:cs="Times New Roman" w:hint="eastAsia"/>
          <w:sz w:val="28"/>
          <w:szCs w:val="28"/>
        </w:rPr>
        <w:t>一</w:t>
      </w:r>
      <w:proofErr w:type="gramEnd"/>
      <w:r w:rsidRPr="00C32AC2">
        <w:rPr>
          <w:rFonts w:ascii="黑体" w:eastAsia="黑体" w:hAnsi="黑体" w:cs="Times New Roman" w:hint="eastAsia"/>
          <w:sz w:val="28"/>
          <w:szCs w:val="28"/>
        </w:rPr>
        <w:t xml:space="preserve"> 体能+足球 </w:t>
      </w:r>
    </w:p>
    <w:p w14:paraId="041955BD"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C32AC2">
        <w:rPr>
          <w:rFonts w:ascii="宋体" w:eastAsia="宋体" w:hAnsi="宋体" w:cs="Times New Roman" w:hint="eastAsia"/>
          <w:b/>
          <w:sz w:val="24"/>
        </w:rPr>
        <w:t>【学习目标】</w:t>
      </w:r>
    </w:p>
    <w:p w14:paraId="5AFAE869"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1.</w:t>
      </w:r>
      <w:r w:rsidRPr="00C32A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C32AC2">
        <w:rPr>
          <w:rFonts w:ascii="宋体" w:eastAsia="宋体" w:hAnsi="Calibri" w:cs="宋体" w:hint="eastAsia"/>
          <w:spacing w:val="5"/>
          <w:kern w:val="0"/>
          <w:sz w:val="24"/>
        </w:rPr>
        <w:t>通过体能教学活动，</w:t>
      </w:r>
      <w:r w:rsidRPr="00C32AC2">
        <w:rPr>
          <w:rFonts w:ascii="宋体" w:eastAsia="宋体" w:hAnsi="宋体" w:cs="仿宋_GB2312" w:hint="eastAsia"/>
          <w:sz w:val="24"/>
        </w:rPr>
        <w:t>了解《大学生体质健康标准测验》项目内容、考核方式、评价标准，掌握考核内容锻炼的方式方法。</w:t>
      </w:r>
      <w:r w:rsidRPr="00C32AC2">
        <w:rPr>
          <w:rFonts w:ascii="宋体" w:eastAsia="宋体" w:hAnsi="Calibri" w:cs="宋体" w:hint="eastAsia"/>
          <w:spacing w:val="5"/>
          <w:kern w:val="0"/>
          <w:sz w:val="24"/>
        </w:rPr>
        <w:t>培养学生努力学习、不断进取、修身立业、顽强奋进的精神与品质。</w:t>
      </w:r>
    </w:p>
    <w:p w14:paraId="66B2D930"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2.</w:t>
      </w:r>
      <w:r w:rsidRPr="00C32A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32AC2">
        <w:rPr>
          <w:rFonts w:ascii="宋体" w:eastAsia="宋体" w:hAnsi="Calibri" w:cs="宋体" w:hint="eastAsia"/>
          <w:spacing w:val="5"/>
          <w:kern w:val="0"/>
          <w:sz w:val="24"/>
        </w:rPr>
        <w:t>。</w:t>
      </w:r>
    </w:p>
    <w:p w14:paraId="7642E67E"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3.</w:t>
      </w:r>
      <w:r w:rsidRPr="00C32AC2">
        <w:rPr>
          <w:rFonts w:ascii="宋体" w:eastAsia="宋体" w:hAnsi="宋体" w:cs="仿宋_GB2312" w:hint="eastAsia"/>
          <w:sz w:val="24"/>
        </w:rPr>
        <w:t>使学生能够掌握足球运动的一般规律和特点，使学生获得足球运动的基本技</w:t>
      </w:r>
      <w:r w:rsidRPr="00C32AC2">
        <w:rPr>
          <w:rFonts w:ascii="宋体" w:eastAsia="宋体" w:hAnsi="宋体" w:cs="仿宋_GB2312" w:hint="eastAsia"/>
          <w:sz w:val="24"/>
        </w:rPr>
        <w:lastRenderedPageBreak/>
        <w:t>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C32AC2">
        <w:rPr>
          <w:rFonts w:ascii="宋体" w:eastAsia="宋体" w:hAnsi="Calibri" w:cs="宋体" w:hint="eastAsia"/>
          <w:spacing w:val="5"/>
          <w:kern w:val="0"/>
          <w:sz w:val="24"/>
        </w:rPr>
        <w:t>。</w:t>
      </w:r>
    </w:p>
    <w:p w14:paraId="7F916ABA" w14:textId="77777777" w:rsidR="00C32AC2" w:rsidRPr="00C32AC2" w:rsidRDefault="00C32AC2" w:rsidP="00C32AC2">
      <w:pPr>
        <w:spacing w:line="440" w:lineRule="exact"/>
        <w:ind w:firstLineChars="200" w:firstLine="500"/>
        <w:rPr>
          <w:rFonts w:ascii="Calibri" w:eastAsia="宋体" w:hAnsi="Calibri" w:cs="Times New Roman"/>
        </w:rPr>
      </w:pPr>
      <w:r w:rsidRPr="00C32AC2">
        <w:rPr>
          <w:rFonts w:ascii="宋体" w:eastAsia="宋体" w:hAnsi="Calibri" w:cs="宋体" w:hint="eastAsia"/>
          <w:spacing w:val="5"/>
          <w:kern w:val="0"/>
          <w:sz w:val="24"/>
        </w:rPr>
        <w:t>4.</w:t>
      </w:r>
      <w:r w:rsidRPr="00C32A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32AC2">
        <w:rPr>
          <w:rFonts w:ascii="宋体" w:eastAsia="宋体" w:hAnsi="Calibri" w:cs="宋体" w:hint="eastAsia"/>
          <w:spacing w:val="5"/>
          <w:kern w:val="0"/>
          <w:sz w:val="24"/>
        </w:rPr>
        <w:t>。</w:t>
      </w:r>
    </w:p>
    <w:p w14:paraId="08B864A0" w14:textId="77777777" w:rsidR="00C32AC2" w:rsidRPr="00C32AC2" w:rsidRDefault="00C32AC2" w:rsidP="00C32AC2">
      <w:pPr>
        <w:spacing w:line="440" w:lineRule="exact"/>
        <w:rPr>
          <w:rFonts w:ascii="宋体" w:eastAsia="宋体" w:hAnsi="宋体" w:cs="Times New Roman"/>
          <w:b/>
          <w:sz w:val="24"/>
        </w:rPr>
      </w:pPr>
    </w:p>
    <w:p w14:paraId="24F8F5C4" w14:textId="77777777" w:rsidR="00C32AC2" w:rsidRPr="00C32AC2" w:rsidRDefault="00C32AC2" w:rsidP="00C32AC2">
      <w:pPr>
        <w:spacing w:line="440" w:lineRule="exact"/>
        <w:ind w:firstLineChars="200" w:firstLine="482"/>
        <w:rPr>
          <w:rFonts w:ascii="宋体" w:eastAsia="宋体" w:hAnsi="宋体" w:cs="Times New Roman"/>
          <w:bCs/>
          <w:color w:val="FF0000"/>
          <w:sz w:val="24"/>
        </w:rPr>
      </w:pPr>
      <w:r w:rsidRPr="00C32AC2">
        <w:rPr>
          <w:rFonts w:ascii="宋体" w:eastAsia="宋体" w:hAnsi="宋体" w:cs="Times New Roman" w:hint="eastAsia"/>
          <w:b/>
          <w:sz w:val="24"/>
        </w:rPr>
        <w:t>【学习内容】</w:t>
      </w:r>
    </w:p>
    <w:p w14:paraId="7DF9170C" w14:textId="77777777" w:rsidR="00C32AC2" w:rsidRPr="00C32AC2" w:rsidRDefault="00C32AC2" w:rsidP="00C32AC2">
      <w:pPr>
        <w:spacing w:beforeLines="50" w:before="156" w:afterLines="50" w:after="156" w:line="360" w:lineRule="auto"/>
        <w:jc w:val="center"/>
        <w:rPr>
          <w:rFonts w:ascii="宋体" w:eastAsia="宋体" w:hAnsi="Calibri" w:cs="Arial"/>
          <w:b/>
          <w:sz w:val="28"/>
          <w:szCs w:val="28"/>
        </w:rPr>
      </w:pPr>
      <w:r w:rsidRPr="00C32AC2">
        <w:rPr>
          <w:rFonts w:ascii="宋体" w:eastAsia="宋体" w:hAnsi="宋体" w:cs="Arial" w:hint="eastAsia"/>
          <w:b/>
          <w:sz w:val="28"/>
          <w:szCs w:val="28"/>
        </w:rPr>
        <w:t>第一章</w:t>
      </w:r>
      <w:r w:rsidRPr="00C32AC2">
        <w:rPr>
          <w:rFonts w:ascii="宋体" w:eastAsia="宋体" w:hAnsi="宋体" w:cs="Arial"/>
          <w:b/>
          <w:sz w:val="28"/>
          <w:szCs w:val="28"/>
        </w:rPr>
        <w:t xml:space="preserve">   </w:t>
      </w:r>
      <w:r w:rsidRPr="00C32AC2">
        <w:rPr>
          <w:rFonts w:ascii="宋体" w:eastAsia="宋体" w:hAnsi="宋体" w:cs="Arial" w:hint="eastAsia"/>
          <w:b/>
          <w:sz w:val="28"/>
          <w:szCs w:val="28"/>
        </w:rPr>
        <w:t>认识健康的重要性（0.5学时）</w:t>
      </w:r>
    </w:p>
    <w:p w14:paraId="57F62610" w14:textId="77777777" w:rsidR="00C32AC2" w:rsidRPr="00C32AC2" w:rsidRDefault="00C32AC2" w:rsidP="00C32AC2">
      <w:pPr>
        <w:spacing w:before="50" w:after="50"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191F13A6"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1.1 健康的内涵</w:t>
      </w:r>
    </w:p>
    <w:p w14:paraId="584186FE"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1.2 预防与消除亚健康</w:t>
      </w:r>
    </w:p>
    <w:p w14:paraId="64E4A73F"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1.3 维护健康的法则</w:t>
      </w:r>
    </w:p>
    <w:p w14:paraId="32F10816" w14:textId="77777777" w:rsidR="00C32AC2" w:rsidRPr="00C32AC2" w:rsidRDefault="00C32AC2" w:rsidP="00C32AC2">
      <w:pPr>
        <w:spacing w:line="360" w:lineRule="auto"/>
        <w:ind w:leftChars="-29" w:left="-61" w:firstLineChars="219" w:firstLine="528"/>
        <w:rPr>
          <w:rFonts w:ascii="Arial" w:eastAsia="宋体" w:hAnsi="Calibri" w:cs="Arial"/>
          <w:b/>
          <w:sz w:val="24"/>
        </w:rPr>
      </w:pPr>
      <w:r w:rsidRPr="00C32AC2">
        <w:rPr>
          <w:rFonts w:ascii="Arial" w:eastAsia="宋体" w:hAnsi="Calibri" w:cs="Arial" w:hint="eastAsia"/>
          <w:b/>
          <w:sz w:val="24"/>
        </w:rPr>
        <w:t>本章教学目的及要求：</w:t>
      </w:r>
      <w:r w:rsidRPr="00C32AC2">
        <w:rPr>
          <w:rFonts w:ascii="Arial" w:eastAsia="宋体" w:hAnsi="Arial" w:cs="Arial" w:hint="eastAsia"/>
          <w:sz w:val="24"/>
        </w:rPr>
        <w:t>使同学们了解自身健康的重要性及如何维护、促进自身的健康。</w:t>
      </w:r>
    </w:p>
    <w:p w14:paraId="63CFF28E" w14:textId="77777777" w:rsidR="00C32AC2" w:rsidRPr="00C32AC2" w:rsidRDefault="00C32AC2" w:rsidP="00C32AC2">
      <w:pPr>
        <w:adjustRightInd w:val="0"/>
        <w:snapToGrid w:val="0"/>
        <w:spacing w:line="500" w:lineRule="exact"/>
        <w:ind w:firstLineChars="196" w:firstLine="472"/>
        <w:rPr>
          <w:rFonts w:ascii="Arial" w:eastAsia="宋体" w:hAnsi="Arial" w:cs="Arial"/>
          <w:sz w:val="24"/>
        </w:rPr>
      </w:pPr>
      <w:r w:rsidRPr="00C32AC2">
        <w:rPr>
          <w:rFonts w:ascii="Arial" w:eastAsia="宋体" w:hAnsi="Calibri" w:cs="Arial" w:hint="eastAsia"/>
          <w:b/>
          <w:sz w:val="24"/>
        </w:rPr>
        <w:t>本章教学重点及难点：</w:t>
      </w:r>
      <w:r w:rsidRPr="00C32AC2">
        <w:rPr>
          <w:rFonts w:ascii="Arial" w:eastAsia="宋体" w:hAnsi="Arial" w:cs="Arial" w:hint="eastAsia"/>
          <w:sz w:val="24"/>
        </w:rPr>
        <w:t>认识到健康的重要性；如何维护自身的健康。</w:t>
      </w:r>
    </w:p>
    <w:p w14:paraId="3B992520" w14:textId="77777777" w:rsidR="00C32AC2" w:rsidRPr="00C32AC2" w:rsidRDefault="00C32AC2" w:rsidP="00C32AC2">
      <w:pPr>
        <w:spacing w:beforeLines="50" w:before="156" w:afterLines="50" w:after="156" w:line="360" w:lineRule="auto"/>
        <w:jc w:val="center"/>
        <w:rPr>
          <w:rFonts w:ascii="Arial" w:eastAsia="宋体" w:hAnsi="Arial" w:cs="Arial"/>
          <w:b/>
          <w:sz w:val="28"/>
          <w:szCs w:val="28"/>
        </w:rPr>
      </w:pPr>
      <w:r w:rsidRPr="00C32AC2">
        <w:rPr>
          <w:rFonts w:ascii="Arial" w:eastAsia="宋体" w:hAnsi="Calibri" w:cs="Arial" w:hint="eastAsia"/>
          <w:b/>
          <w:sz w:val="28"/>
          <w:szCs w:val="28"/>
        </w:rPr>
        <w:t>第二章</w:t>
      </w:r>
      <w:r w:rsidRPr="00C32AC2">
        <w:rPr>
          <w:rFonts w:ascii="Arial" w:eastAsia="宋体" w:hAnsi="Arial" w:cs="Arial"/>
          <w:b/>
          <w:sz w:val="28"/>
          <w:szCs w:val="28"/>
        </w:rPr>
        <w:t xml:space="preserve">   </w:t>
      </w:r>
      <w:r w:rsidRPr="00C32AC2">
        <w:rPr>
          <w:rFonts w:ascii="Arial" w:eastAsia="宋体" w:hAnsi="Calibri" w:cs="Arial" w:hint="eastAsia"/>
          <w:b/>
          <w:sz w:val="28"/>
          <w:szCs w:val="28"/>
        </w:rPr>
        <w:t>科学健身的理论与方法（</w:t>
      </w:r>
      <w:r w:rsidRPr="00C32AC2">
        <w:rPr>
          <w:rFonts w:ascii="Arial" w:eastAsia="宋体" w:hAnsi="Calibri" w:cs="Arial" w:hint="eastAsia"/>
          <w:b/>
          <w:sz w:val="28"/>
          <w:szCs w:val="28"/>
        </w:rPr>
        <w:t>0.5</w:t>
      </w:r>
      <w:r w:rsidRPr="00C32AC2">
        <w:rPr>
          <w:rFonts w:ascii="Arial" w:eastAsia="宋体" w:hAnsi="Calibri" w:cs="Arial" w:hint="eastAsia"/>
          <w:b/>
          <w:sz w:val="28"/>
          <w:szCs w:val="28"/>
        </w:rPr>
        <w:t>学时）</w:t>
      </w:r>
    </w:p>
    <w:p w14:paraId="7D3219E8"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0618DEF5"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2.1 健身新理念</w:t>
      </w:r>
    </w:p>
    <w:p w14:paraId="032E1248"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2.2 运动处方</w:t>
      </w:r>
    </w:p>
    <w:p w14:paraId="19800D41" w14:textId="77777777" w:rsidR="00C32AC2" w:rsidRPr="00C32AC2" w:rsidRDefault="00C32AC2" w:rsidP="00C32AC2">
      <w:pPr>
        <w:spacing w:line="360" w:lineRule="auto"/>
        <w:ind w:firstLineChars="196" w:firstLine="472"/>
        <w:rPr>
          <w:rFonts w:ascii="Calibri" w:eastAsia="宋体" w:hAnsi="Calibri" w:cs="Times New Roman"/>
          <w:bCs/>
          <w:sz w:val="24"/>
        </w:rPr>
      </w:pPr>
      <w:r w:rsidRPr="00C32AC2">
        <w:rPr>
          <w:rFonts w:ascii="Arial" w:eastAsia="宋体" w:hAnsi="Calibri" w:cs="Arial" w:hint="eastAsia"/>
          <w:b/>
          <w:sz w:val="24"/>
        </w:rPr>
        <w:t>本章教学目的及要求：</w:t>
      </w:r>
      <w:r w:rsidRPr="00C32AC2">
        <w:rPr>
          <w:rFonts w:ascii="Calibri" w:eastAsia="宋体" w:hAnsi="Calibri" w:cs="Times New Roman" w:hint="eastAsia"/>
          <w:bCs/>
          <w:sz w:val="24"/>
        </w:rPr>
        <w:t>使学生了解健身新理念及运动处方如何制定。</w:t>
      </w:r>
    </w:p>
    <w:p w14:paraId="608939D3" w14:textId="77777777" w:rsidR="00C32AC2" w:rsidRPr="00C32AC2" w:rsidRDefault="00C32AC2" w:rsidP="00C32AC2">
      <w:pPr>
        <w:spacing w:line="360" w:lineRule="auto"/>
        <w:ind w:firstLineChars="200" w:firstLine="482"/>
        <w:rPr>
          <w:rFonts w:ascii="Arial" w:eastAsia="宋体" w:hAnsi="Arial" w:cs="Arial"/>
          <w:sz w:val="24"/>
        </w:rPr>
      </w:pPr>
      <w:r w:rsidRPr="00C32AC2">
        <w:rPr>
          <w:rFonts w:ascii="Arial" w:eastAsia="宋体" w:hAnsi="Calibri" w:cs="Arial" w:hint="eastAsia"/>
          <w:b/>
          <w:sz w:val="24"/>
        </w:rPr>
        <w:t>本章教学重点及难点：</w:t>
      </w:r>
      <w:r w:rsidRPr="00C32AC2">
        <w:rPr>
          <w:rFonts w:ascii="Arial" w:eastAsia="宋体" w:hAnsi="Calibri" w:cs="Arial" w:hint="eastAsia"/>
          <w:sz w:val="24"/>
        </w:rPr>
        <w:t>制订运动处方的重要性；如何制订自身的运动处方。</w:t>
      </w:r>
    </w:p>
    <w:p w14:paraId="0B7C41E0" w14:textId="77777777" w:rsidR="00C32AC2" w:rsidRPr="00C32AC2" w:rsidRDefault="00C32AC2" w:rsidP="00C32AC2">
      <w:pPr>
        <w:spacing w:beforeLines="50" w:before="156" w:afterLines="50" w:after="156" w:line="360" w:lineRule="auto"/>
        <w:jc w:val="center"/>
        <w:rPr>
          <w:rFonts w:ascii="Arial" w:eastAsia="宋体" w:hAnsi="Arial" w:cs="Arial"/>
          <w:b/>
          <w:sz w:val="28"/>
          <w:szCs w:val="28"/>
        </w:rPr>
      </w:pPr>
      <w:r w:rsidRPr="00C32AC2">
        <w:rPr>
          <w:rFonts w:ascii="Arial" w:eastAsia="宋体" w:hAnsi="Calibri" w:cs="Arial" w:hint="eastAsia"/>
          <w:b/>
          <w:sz w:val="28"/>
          <w:szCs w:val="28"/>
        </w:rPr>
        <w:t>第三章</w:t>
      </w:r>
      <w:r w:rsidRPr="00C32AC2">
        <w:rPr>
          <w:rFonts w:ascii="Arial" w:eastAsia="宋体" w:hAnsi="Arial" w:cs="Arial"/>
          <w:b/>
          <w:sz w:val="28"/>
          <w:szCs w:val="28"/>
        </w:rPr>
        <w:t xml:space="preserve">   </w:t>
      </w:r>
      <w:r w:rsidRPr="00C32AC2">
        <w:rPr>
          <w:rFonts w:ascii="Arial" w:eastAsia="宋体" w:hAnsi="Calibri" w:cs="Arial" w:hint="eastAsia"/>
          <w:b/>
          <w:sz w:val="28"/>
          <w:szCs w:val="28"/>
        </w:rPr>
        <w:t>营养与健康（</w:t>
      </w:r>
      <w:r w:rsidRPr="00C32AC2">
        <w:rPr>
          <w:rFonts w:ascii="Arial" w:eastAsia="宋体" w:hAnsi="Calibri" w:cs="Arial" w:hint="eastAsia"/>
          <w:b/>
          <w:sz w:val="28"/>
          <w:szCs w:val="28"/>
        </w:rPr>
        <w:t>0.5</w:t>
      </w:r>
      <w:r w:rsidRPr="00C32AC2">
        <w:rPr>
          <w:rFonts w:ascii="Arial" w:eastAsia="宋体" w:hAnsi="Calibri" w:cs="Arial" w:hint="eastAsia"/>
          <w:b/>
          <w:sz w:val="28"/>
          <w:szCs w:val="28"/>
        </w:rPr>
        <w:t>学时）</w:t>
      </w:r>
    </w:p>
    <w:p w14:paraId="38F7E945"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19BCCD11"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lastRenderedPageBreak/>
        <w:t>3.1 营养对健康的影响</w:t>
      </w:r>
    </w:p>
    <w:p w14:paraId="7B13C636"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3.2 营养素及人体对营养的需要</w:t>
      </w:r>
    </w:p>
    <w:p w14:paraId="40A7F8EF"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3.3 平衡膳食</w:t>
      </w:r>
    </w:p>
    <w:p w14:paraId="0705B149"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3.4 运动与营养</w:t>
      </w:r>
    </w:p>
    <w:p w14:paraId="006EE370" w14:textId="77777777" w:rsidR="00C32AC2" w:rsidRPr="00C32AC2" w:rsidRDefault="00C32AC2" w:rsidP="00C32AC2">
      <w:pPr>
        <w:spacing w:line="360" w:lineRule="auto"/>
        <w:ind w:firstLineChars="196" w:firstLine="472"/>
        <w:rPr>
          <w:rFonts w:ascii="Calibri" w:eastAsia="宋体" w:hAnsi="Calibri" w:cs="Times New Roman"/>
          <w:bCs/>
          <w:sz w:val="24"/>
        </w:rPr>
      </w:pPr>
      <w:r w:rsidRPr="00C32AC2">
        <w:rPr>
          <w:rFonts w:ascii="Arial" w:eastAsia="宋体" w:hAnsi="Calibri" w:cs="Arial" w:hint="eastAsia"/>
          <w:b/>
          <w:sz w:val="24"/>
        </w:rPr>
        <w:t>本章教学目的及要求：</w:t>
      </w:r>
      <w:r w:rsidRPr="00C32AC2">
        <w:rPr>
          <w:rFonts w:ascii="Calibri" w:eastAsia="宋体" w:hAnsi="Calibri" w:cs="Times New Roman" w:hint="eastAsia"/>
          <w:bCs/>
          <w:sz w:val="24"/>
        </w:rPr>
        <w:t>让学生正确认识科学补充营养可以提高自身免疫力，从而提高生活质量。</w:t>
      </w:r>
    </w:p>
    <w:p w14:paraId="3917EFB8" w14:textId="77777777" w:rsidR="00C32AC2" w:rsidRPr="00C32AC2" w:rsidRDefault="00C32AC2" w:rsidP="00C32AC2">
      <w:pPr>
        <w:spacing w:line="360" w:lineRule="auto"/>
        <w:ind w:firstLineChars="196" w:firstLine="472"/>
        <w:rPr>
          <w:rFonts w:ascii="Arial" w:eastAsia="宋体" w:hAnsi="Arial" w:cs="Arial"/>
          <w:bCs/>
          <w:sz w:val="24"/>
        </w:rPr>
      </w:pPr>
      <w:r w:rsidRPr="00C32AC2">
        <w:rPr>
          <w:rFonts w:ascii="Arial" w:eastAsia="宋体" w:hAnsi="Calibri" w:cs="Arial" w:hint="eastAsia"/>
          <w:b/>
          <w:sz w:val="24"/>
        </w:rPr>
        <w:t>本章教学重点及难点：</w:t>
      </w:r>
      <w:r w:rsidRPr="00C32AC2">
        <w:rPr>
          <w:rFonts w:ascii="Arial" w:eastAsia="宋体" w:hAnsi="Calibri" w:cs="Arial" w:hint="eastAsia"/>
          <w:sz w:val="24"/>
        </w:rPr>
        <w:t>学生阶段的营养过剩与运动不足；补充营养的同时如何提高自身的健康。</w:t>
      </w:r>
    </w:p>
    <w:p w14:paraId="665429E1" w14:textId="77777777" w:rsidR="00C32AC2" w:rsidRPr="00C32AC2" w:rsidRDefault="00C32AC2" w:rsidP="00C32AC2">
      <w:pPr>
        <w:spacing w:beforeLines="50" w:before="156" w:afterLines="50" w:after="156" w:line="360" w:lineRule="auto"/>
        <w:jc w:val="center"/>
        <w:rPr>
          <w:rFonts w:ascii="Arial" w:eastAsia="宋体" w:hAnsi="Arial" w:cs="Arial"/>
          <w:b/>
          <w:sz w:val="28"/>
          <w:szCs w:val="28"/>
        </w:rPr>
      </w:pPr>
      <w:r w:rsidRPr="00C32AC2">
        <w:rPr>
          <w:rFonts w:ascii="Arial" w:eastAsia="宋体" w:hAnsi="Calibri" w:cs="Arial" w:hint="eastAsia"/>
          <w:b/>
          <w:sz w:val="28"/>
          <w:szCs w:val="28"/>
        </w:rPr>
        <w:t>第四章</w:t>
      </w:r>
      <w:r w:rsidRPr="00C32AC2">
        <w:rPr>
          <w:rFonts w:ascii="Arial" w:eastAsia="宋体" w:hAnsi="Arial" w:cs="Arial"/>
          <w:b/>
          <w:sz w:val="28"/>
          <w:szCs w:val="28"/>
        </w:rPr>
        <w:t xml:space="preserve">   </w:t>
      </w:r>
      <w:r w:rsidRPr="00C32AC2">
        <w:rPr>
          <w:rFonts w:ascii="Arial" w:eastAsia="宋体" w:hAnsi="Calibri" w:cs="Arial" w:hint="eastAsia"/>
          <w:b/>
          <w:sz w:val="28"/>
          <w:szCs w:val="28"/>
        </w:rPr>
        <w:t>体育保健知识（</w:t>
      </w:r>
      <w:r w:rsidRPr="00C32AC2">
        <w:rPr>
          <w:rFonts w:ascii="Arial" w:eastAsia="宋体" w:hAnsi="Calibri" w:cs="Arial" w:hint="eastAsia"/>
          <w:b/>
          <w:sz w:val="28"/>
          <w:szCs w:val="28"/>
        </w:rPr>
        <w:t>0.5</w:t>
      </w:r>
      <w:r w:rsidRPr="00C32AC2">
        <w:rPr>
          <w:rFonts w:ascii="Arial" w:eastAsia="宋体" w:hAnsi="Calibri" w:cs="Arial" w:hint="eastAsia"/>
          <w:b/>
          <w:sz w:val="28"/>
          <w:szCs w:val="28"/>
        </w:rPr>
        <w:t>学时）</w:t>
      </w:r>
    </w:p>
    <w:p w14:paraId="45D77F58"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773D2E4E"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4.1运动中常见的生理反应与处理方法</w:t>
      </w:r>
    </w:p>
    <w:p w14:paraId="0126504A"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4.2 运动损伤的处置</w:t>
      </w:r>
    </w:p>
    <w:p w14:paraId="35E2D45D"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4.3女子运动保健</w:t>
      </w:r>
    </w:p>
    <w:p w14:paraId="59F9D771" w14:textId="77777777" w:rsidR="00C32AC2" w:rsidRPr="00C32AC2" w:rsidRDefault="00C32AC2" w:rsidP="00C32AC2">
      <w:pPr>
        <w:spacing w:line="360" w:lineRule="auto"/>
        <w:ind w:firstLineChars="196" w:firstLine="472"/>
        <w:rPr>
          <w:rFonts w:ascii="Calibri" w:eastAsia="宋体" w:hAnsi="Calibri" w:cs="Times New Roman"/>
          <w:bCs/>
          <w:sz w:val="24"/>
        </w:rPr>
      </w:pPr>
      <w:r w:rsidRPr="00C32AC2">
        <w:rPr>
          <w:rFonts w:ascii="Arial" w:eastAsia="宋体" w:hAnsi="Calibri" w:cs="Arial" w:hint="eastAsia"/>
          <w:b/>
          <w:sz w:val="24"/>
        </w:rPr>
        <w:t>本章教学目的及要求：</w:t>
      </w:r>
      <w:r w:rsidRPr="00C32AC2">
        <w:rPr>
          <w:rFonts w:ascii="Calibri" w:eastAsia="宋体" w:hAnsi="Calibri" w:cs="Times New Roman" w:hint="eastAsia"/>
          <w:bCs/>
          <w:sz w:val="24"/>
        </w:rPr>
        <w:t>使学生了解运动中常见的生理反应及处理方法。</w:t>
      </w:r>
    </w:p>
    <w:p w14:paraId="60CADF51" w14:textId="77777777" w:rsidR="00C32AC2" w:rsidRPr="00C32AC2" w:rsidRDefault="00C32AC2" w:rsidP="00C32AC2">
      <w:pPr>
        <w:spacing w:line="360" w:lineRule="auto"/>
        <w:ind w:firstLineChars="196" w:firstLine="472"/>
        <w:rPr>
          <w:rFonts w:ascii="Arial" w:eastAsia="宋体" w:hAnsi="Calibri" w:cs="Arial"/>
          <w:sz w:val="24"/>
        </w:rPr>
      </w:pPr>
      <w:r w:rsidRPr="00C32AC2">
        <w:rPr>
          <w:rFonts w:ascii="Arial" w:eastAsia="宋体" w:hAnsi="Calibri" w:cs="Arial" w:hint="eastAsia"/>
          <w:b/>
          <w:sz w:val="24"/>
        </w:rPr>
        <w:t>本章教学重点及难点：</w:t>
      </w:r>
      <w:r w:rsidRPr="00C32AC2">
        <w:rPr>
          <w:rFonts w:ascii="Arial" w:eastAsia="宋体" w:hAnsi="Calibri" w:cs="Arial" w:hint="eastAsia"/>
          <w:sz w:val="24"/>
        </w:rPr>
        <w:t>学生如何预防常见的运动损伤；运动损伤如何处置。</w:t>
      </w:r>
    </w:p>
    <w:p w14:paraId="61E61B63" w14:textId="77777777" w:rsidR="00C32AC2" w:rsidRPr="00C32AC2" w:rsidRDefault="00C32AC2" w:rsidP="00C32AC2">
      <w:pPr>
        <w:tabs>
          <w:tab w:val="left" w:pos="960"/>
        </w:tabs>
        <w:spacing w:beforeLines="50" w:before="156" w:afterLines="50" w:after="156" w:line="360" w:lineRule="auto"/>
        <w:jc w:val="center"/>
        <w:rPr>
          <w:rFonts w:ascii="宋体" w:eastAsia="宋体" w:hAnsi="Calibri" w:cs="Arial"/>
          <w:b/>
          <w:bCs/>
          <w:sz w:val="28"/>
          <w:szCs w:val="28"/>
        </w:rPr>
      </w:pPr>
      <w:r w:rsidRPr="00C32AC2">
        <w:rPr>
          <w:rFonts w:ascii="宋体" w:eastAsia="宋体" w:hAnsi="宋体" w:cs="Arial" w:hint="eastAsia"/>
          <w:b/>
          <w:bCs/>
          <w:sz w:val="28"/>
          <w:szCs w:val="28"/>
        </w:rPr>
        <w:t>第五章 了解体育文化（0.5课时）</w:t>
      </w:r>
    </w:p>
    <w:p w14:paraId="53B5938F"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77EAB2AE"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5.1中西方体育文化比较</w:t>
      </w:r>
    </w:p>
    <w:p w14:paraId="01D5C655"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5.2 奥林匹克体育文化</w:t>
      </w:r>
    </w:p>
    <w:p w14:paraId="01266DF2"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5.3 校园体育文化</w:t>
      </w:r>
    </w:p>
    <w:p w14:paraId="3A547FD5" w14:textId="77777777" w:rsidR="00C32AC2" w:rsidRPr="00C32AC2" w:rsidRDefault="00C32AC2" w:rsidP="00C32AC2">
      <w:pPr>
        <w:spacing w:line="360" w:lineRule="auto"/>
        <w:ind w:firstLineChars="196" w:firstLine="472"/>
        <w:rPr>
          <w:rFonts w:ascii="Arial" w:eastAsia="宋体" w:hAnsi="Calibri" w:cs="Arial"/>
          <w:b/>
          <w:sz w:val="24"/>
        </w:rPr>
      </w:pPr>
      <w:r w:rsidRPr="00C32AC2">
        <w:rPr>
          <w:rFonts w:ascii="Arial" w:eastAsia="宋体" w:hAnsi="Calibri" w:cs="Arial" w:hint="eastAsia"/>
          <w:b/>
          <w:sz w:val="24"/>
        </w:rPr>
        <w:t>本章教学目的及要求：</w:t>
      </w:r>
      <w:r w:rsidRPr="00C32AC2">
        <w:rPr>
          <w:rFonts w:ascii="Arial" w:eastAsia="宋体" w:hAnsi="Calibri" w:cs="Arial" w:hint="eastAsia"/>
          <w:bCs/>
          <w:sz w:val="24"/>
          <w:szCs w:val="28"/>
        </w:rPr>
        <w:t>让学生了解东西方体育文化的差异。</w:t>
      </w:r>
    </w:p>
    <w:p w14:paraId="56B8F194" w14:textId="77777777" w:rsidR="00C32AC2" w:rsidRPr="00C32AC2" w:rsidRDefault="00C32AC2" w:rsidP="00C32AC2">
      <w:pPr>
        <w:spacing w:line="360" w:lineRule="auto"/>
        <w:ind w:firstLineChars="196" w:firstLine="472"/>
        <w:rPr>
          <w:rFonts w:ascii="Arial" w:eastAsia="宋体" w:hAnsi="Calibri" w:cs="Arial"/>
          <w:b/>
          <w:sz w:val="24"/>
        </w:rPr>
      </w:pPr>
      <w:r w:rsidRPr="00C32AC2">
        <w:rPr>
          <w:rFonts w:ascii="Arial" w:eastAsia="宋体" w:hAnsi="Calibri" w:cs="Arial" w:hint="eastAsia"/>
          <w:b/>
          <w:sz w:val="24"/>
        </w:rPr>
        <w:t>本章教学重点及难点：</w:t>
      </w:r>
      <w:r w:rsidRPr="00C32AC2">
        <w:rPr>
          <w:rFonts w:ascii="Arial" w:eastAsia="宋体" w:hAnsi="Calibri" w:cs="Arial" w:hint="eastAsia"/>
          <w:sz w:val="24"/>
        </w:rPr>
        <w:t>介绍奥林匹克文化的发展</w:t>
      </w:r>
      <w:r w:rsidRPr="00C32AC2">
        <w:rPr>
          <w:rFonts w:ascii="Arial" w:eastAsia="宋体" w:hAnsi="Calibri" w:cs="Arial" w:hint="eastAsia"/>
          <w:bCs/>
          <w:sz w:val="24"/>
          <w:szCs w:val="28"/>
        </w:rPr>
        <w:t>；介绍校园体育文化的发展与功能。</w:t>
      </w:r>
    </w:p>
    <w:p w14:paraId="10189462" w14:textId="77777777" w:rsidR="00C32AC2" w:rsidRPr="00C32AC2" w:rsidRDefault="00C32AC2" w:rsidP="00C32AC2">
      <w:pPr>
        <w:spacing w:beforeLines="50" w:before="156" w:afterLines="50" w:after="156" w:line="360" w:lineRule="auto"/>
        <w:jc w:val="center"/>
        <w:rPr>
          <w:rFonts w:ascii="Arial" w:eastAsia="宋体" w:hAnsi="Calibri" w:cs="Arial"/>
          <w:b/>
          <w:sz w:val="28"/>
          <w:szCs w:val="28"/>
        </w:rPr>
      </w:pPr>
      <w:r w:rsidRPr="00C32AC2">
        <w:rPr>
          <w:rFonts w:ascii="宋体" w:eastAsia="宋体" w:hAnsi="宋体" w:cs="宋体" w:hint="eastAsia"/>
          <w:b/>
          <w:bCs/>
          <w:sz w:val="28"/>
          <w:szCs w:val="28"/>
        </w:rPr>
        <w:t>第六章 欣赏体育比赛</w:t>
      </w:r>
      <w:r w:rsidRPr="00C32AC2">
        <w:rPr>
          <w:rFonts w:ascii="Arial" w:eastAsia="宋体" w:hAnsi="Calibri" w:cs="Arial" w:hint="eastAsia"/>
          <w:b/>
          <w:sz w:val="28"/>
          <w:szCs w:val="28"/>
        </w:rPr>
        <w:t>（</w:t>
      </w:r>
      <w:r w:rsidRPr="00C32AC2">
        <w:rPr>
          <w:rFonts w:ascii="Arial" w:eastAsia="宋体" w:hAnsi="Arial" w:cs="Arial" w:hint="eastAsia"/>
          <w:b/>
          <w:sz w:val="28"/>
          <w:szCs w:val="28"/>
        </w:rPr>
        <w:t>0.5</w:t>
      </w:r>
      <w:r w:rsidRPr="00C32AC2">
        <w:rPr>
          <w:rFonts w:ascii="Arial" w:eastAsia="宋体" w:hAnsi="Calibri" w:cs="Arial" w:hint="eastAsia"/>
          <w:b/>
          <w:sz w:val="28"/>
          <w:szCs w:val="28"/>
        </w:rPr>
        <w:t>学时）</w:t>
      </w:r>
    </w:p>
    <w:p w14:paraId="1A01305F"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3AA96BE7"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lastRenderedPageBreak/>
        <w:t>6.1体育欣赏的体育美学原理及特点</w:t>
      </w:r>
    </w:p>
    <w:p w14:paraId="109D4A06"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6.2 体育运动的欣赏内容</w:t>
      </w:r>
    </w:p>
    <w:p w14:paraId="7D2D7821"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6.3 特定运动项目的欣赏</w:t>
      </w:r>
    </w:p>
    <w:p w14:paraId="546693C8" w14:textId="77777777" w:rsidR="00C32AC2" w:rsidRPr="00C32AC2" w:rsidRDefault="00C32AC2" w:rsidP="00C32AC2">
      <w:pPr>
        <w:spacing w:line="360" w:lineRule="auto"/>
        <w:ind w:firstLineChars="196" w:firstLine="472"/>
        <w:rPr>
          <w:rFonts w:ascii="Arial" w:eastAsia="宋体" w:hAnsi="Calibri" w:cs="Arial"/>
          <w:b/>
          <w:sz w:val="24"/>
        </w:rPr>
      </w:pPr>
      <w:r w:rsidRPr="00C32AC2">
        <w:rPr>
          <w:rFonts w:ascii="Arial" w:eastAsia="宋体" w:hAnsi="Calibri" w:cs="Arial" w:hint="eastAsia"/>
          <w:b/>
          <w:sz w:val="24"/>
        </w:rPr>
        <w:t>本章教学目的及要求：</w:t>
      </w:r>
      <w:r w:rsidRPr="00C32AC2">
        <w:rPr>
          <w:rFonts w:ascii="Arial" w:eastAsia="宋体" w:hAnsi="Calibri" w:cs="Arial" w:hint="eastAsia"/>
          <w:bCs/>
          <w:sz w:val="24"/>
          <w:szCs w:val="28"/>
        </w:rPr>
        <w:t>使学生提高体育文化素质，培养起体育欣赏的兴趣，树立正确的体育审美观念。</w:t>
      </w:r>
    </w:p>
    <w:p w14:paraId="7E403AFE" w14:textId="77777777" w:rsidR="00C32AC2" w:rsidRPr="00C32AC2" w:rsidRDefault="00C32AC2" w:rsidP="00C32AC2">
      <w:pPr>
        <w:spacing w:line="360" w:lineRule="auto"/>
        <w:ind w:firstLineChars="196" w:firstLine="472"/>
        <w:rPr>
          <w:rFonts w:ascii="Arial" w:eastAsia="宋体" w:hAnsi="Calibri" w:cs="Arial"/>
          <w:b/>
          <w:sz w:val="24"/>
        </w:rPr>
      </w:pPr>
      <w:r w:rsidRPr="00C32AC2">
        <w:rPr>
          <w:rFonts w:ascii="Arial" w:eastAsia="宋体" w:hAnsi="Calibri" w:cs="Arial" w:hint="eastAsia"/>
          <w:b/>
          <w:sz w:val="24"/>
        </w:rPr>
        <w:t>本章教学重点及难点：</w:t>
      </w:r>
      <w:r w:rsidRPr="00C32AC2">
        <w:rPr>
          <w:rFonts w:ascii="Arial" w:eastAsia="宋体" w:hAnsi="Calibri" w:cs="Arial" w:hint="eastAsia"/>
          <w:sz w:val="24"/>
        </w:rPr>
        <w:t>如何欣赏球类比赛</w:t>
      </w:r>
      <w:r w:rsidRPr="00C32AC2">
        <w:rPr>
          <w:rFonts w:ascii="Arial" w:eastAsia="宋体" w:hAnsi="Calibri" w:cs="Arial" w:hint="eastAsia"/>
          <w:bCs/>
          <w:sz w:val="24"/>
          <w:szCs w:val="28"/>
        </w:rPr>
        <w:t>；如何提高体育欣赏水平。</w:t>
      </w:r>
    </w:p>
    <w:p w14:paraId="01240C3A" w14:textId="77777777" w:rsidR="00C32AC2" w:rsidRPr="00C32AC2" w:rsidRDefault="00C32AC2" w:rsidP="00C32AC2">
      <w:pPr>
        <w:spacing w:beforeLines="50" w:before="156" w:afterLines="50" w:after="156" w:line="360" w:lineRule="auto"/>
        <w:jc w:val="center"/>
        <w:rPr>
          <w:rFonts w:ascii="Arial" w:eastAsia="宋体" w:hAnsi="Arial" w:cs="Arial"/>
          <w:b/>
          <w:sz w:val="28"/>
          <w:szCs w:val="28"/>
        </w:rPr>
      </w:pPr>
      <w:r w:rsidRPr="00C32AC2">
        <w:rPr>
          <w:rFonts w:ascii="Arial" w:eastAsia="宋体" w:hAnsi="Calibri" w:cs="Arial" w:hint="eastAsia"/>
          <w:b/>
          <w:sz w:val="28"/>
          <w:szCs w:val="28"/>
        </w:rPr>
        <w:t>第七章</w:t>
      </w:r>
      <w:r w:rsidRPr="00C32AC2">
        <w:rPr>
          <w:rFonts w:ascii="Arial" w:eastAsia="宋体" w:hAnsi="Arial" w:cs="Arial"/>
          <w:b/>
          <w:sz w:val="28"/>
          <w:szCs w:val="28"/>
        </w:rPr>
        <w:t xml:space="preserve">   </w:t>
      </w:r>
      <w:r w:rsidRPr="00C32AC2">
        <w:rPr>
          <w:rFonts w:ascii="Arial" w:eastAsia="宋体" w:hAnsi="Arial" w:cs="Arial"/>
          <w:b/>
          <w:sz w:val="28"/>
          <w:szCs w:val="28"/>
        </w:rPr>
        <w:t>大</w:t>
      </w:r>
      <w:r w:rsidRPr="00C32AC2">
        <w:rPr>
          <w:rFonts w:ascii="Arial" w:eastAsia="宋体" w:hAnsi="Calibri" w:cs="Arial" w:hint="eastAsia"/>
          <w:b/>
          <w:sz w:val="28"/>
          <w:szCs w:val="28"/>
        </w:rPr>
        <w:t>学生体质健康测评（</w:t>
      </w:r>
      <w:r w:rsidRPr="00C32AC2">
        <w:rPr>
          <w:rFonts w:ascii="Arial" w:eastAsia="宋体" w:hAnsi="Calibri" w:cs="Arial" w:hint="eastAsia"/>
          <w:b/>
          <w:sz w:val="28"/>
          <w:szCs w:val="28"/>
        </w:rPr>
        <w:t>4</w:t>
      </w:r>
      <w:r w:rsidRPr="00C32AC2">
        <w:rPr>
          <w:rFonts w:ascii="Arial" w:eastAsia="宋体" w:hAnsi="Calibri" w:cs="Arial" w:hint="eastAsia"/>
          <w:b/>
          <w:sz w:val="28"/>
          <w:szCs w:val="28"/>
        </w:rPr>
        <w:t>学时）</w:t>
      </w:r>
    </w:p>
    <w:p w14:paraId="5EF5BA8D"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140296E2"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7.1 《国家学生体质健康标准》实施说明</w:t>
      </w:r>
    </w:p>
    <w:p w14:paraId="42630B02" w14:textId="77777777" w:rsidR="00C32AC2" w:rsidRPr="00C32AC2" w:rsidRDefault="00C32AC2" w:rsidP="00C32AC2">
      <w:pPr>
        <w:autoSpaceDE w:val="0"/>
        <w:autoSpaceDN w:val="0"/>
        <w:adjustRightInd w:val="0"/>
        <w:snapToGrid w:val="0"/>
        <w:spacing w:line="500" w:lineRule="exact"/>
        <w:ind w:firstLineChars="200" w:firstLine="500"/>
        <w:jc w:val="left"/>
        <w:rPr>
          <w:rFonts w:ascii="Arial" w:eastAsia="宋体" w:hAnsi="Calibri" w:cs="Arial"/>
          <w:sz w:val="24"/>
        </w:rPr>
      </w:pPr>
      <w:r w:rsidRPr="00C32AC2">
        <w:rPr>
          <w:rFonts w:ascii="宋体" w:eastAsia="宋体" w:hAnsi="Calibri" w:cs="宋体" w:hint="eastAsia"/>
          <w:spacing w:val="5"/>
          <w:kern w:val="0"/>
          <w:sz w:val="24"/>
        </w:rPr>
        <w:t>7.2 《国家学生体质健康标准》测试评分表</w:t>
      </w:r>
    </w:p>
    <w:p w14:paraId="6CAA1A53" w14:textId="77777777" w:rsidR="00C32AC2" w:rsidRPr="00C32AC2" w:rsidRDefault="00C32AC2" w:rsidP="00C32AC2">
      <w:pPr>
        <w:spacing w:line="360" w:lineRule="auto"/>
        <w:ind w:firstLineChars="196" w:firstLine="472"/>
        <w:rPr>
          <w:rFonts w:ascii="Calibri" w:eastAsia="宋体" w:hAnsi="Calibri" w:cs="Times New Roman"/>
          <w:bCs/>
          <w:sz w:val="24"/>
        </w:rPr>
      </w:pPr>
      <w:r w:rsidRPr="00C32AC2">
        <w:rPr>
          <w:rFonts w:ascii="Arial" w:eastAsia="宋体" w:hAnsi="Calibri" w:cs="Arial" w:hint="eastAsia"/>
          <w:b/>
          <w:sz w:val="24"/>
        </w:rPr>
        <w:t>本章教学目的及要求：</w:t>
      </w:r>
      <w:r w:rsidRPr="00C32AC2">
        <w:rPr>
          <w:rFonts w:ascii="Calibri" w:eastAsia="宋体" w:hAnsi="Calibri" w:cs="Times New Roman" w:hint="eastAsia"/>
          <w:bCs/>
          <w:sz w:val="24"/>
        </w:rPr>
        <w:t>使学生了解体质健康的主要内容及要求。</w:t>
      </w:r>
    </w:p>
    <w:p w14:paraId="54C0D0BF" w14:textId="77777777" w:rsidR="00C32AC2" w:rsidRPr="00C32AC2" w:rsidRDefault="00C32AC2" w:rsidP="00C32AC2">
      <w:pPr>
        <w:spacing w:line="360" w:lineRule="auto"/>
        <w:ind w:firstLineChars="196" w:firstLine="472"/>
        <w:rPr>
          <w:rFonts w:ascii="Arial" w:eastAsia="宋体" w:hAnsi="Calibri" w:cs="Arial"/>
          <w:sz w:val="24"/>
        </w:rPr>
      </w:pPr>
      <w:r w:rsidRPr="00C32AC2">
        <w:rPr>
          <w:rFonts w:ascii="Arial" w:eastAsia="宋体" w:hAnsi="Calibri" w:cs="Arial" w:hint="eastAsia"/>
          <w:b/>
          <w:sz w:val="24"/>
        </w:rPr>
        <w:t>本章教学重点及难点：</w:t>
      </w:r>
      <w:r w:rsidRPr="00C32AC2">
        <w:rPr>
          <w:rFonts w:ascii="Arial" w:eastAsia="宋体" w:hAnsi="Calibri" w:cs="Arial" w:hint="eastAsia"/>
          <w:sz w:val="24"/>
        </w:rPr>
        <w:t>学生体质健康标准的重要性；如何激发学生锻炼身体的积极性和自觉性。</w:t>
      </w:r>
    </w:p>
    <w:p w14:paraId="04150D20" w14:textId="77777777" w:rsidR="00C32AC2" w:rsidRPr="00C32AC2" w:rsidRDefault="00C32AC2" w:rsidP="00B41A22">
      <w:pPr>
        <w:numPr>
          <w:ilvl w:val="0"/>
          <w:numId w:val="38"/>
        </w:numPr>
        <w:spacing w:beforeLines="50" w:before="156" w:afterLines="50" w:after="156" w:line="360" w:lineRule="auto"/>
        <w:jc w:val="center"/>
        <w:rPr>
          <w:rFonts w:ascii="Arial" w:eastAsia="宋体" w:hAnsi="Calibri" w:cs="Arial"/>
          <w:b/>
          <w:sz w:val="28"/>
          <w:szCs w:val="28"/>
        </w:rPr>
      </w:pPr>
      <w:r w:rsidRPr="00C32AC2">
        <w:rPr>
          <w:rFonts w:ascii="Arial" w:eastAsia="宋体" w:hAnsi="Arial" w:cs="Arial"/>
          <w:b/>
          <w:sz w:val="28"/>
          <w:szCs w:val="28"/>
        </w:rPr>
        <w:t xml:space="preserve">  </w:t>
      </w:r>
      <w:r w:rsidRPr="00C32AC2">
        <w:rPr>
          <w:rFonts w:ascii="宋体" w:eastAsia="宋体" w:hAnsi="宋体" w:cs="Arial" w:hint="eastAsia"/>
          <w:b/>
          <w:bCs/>
          <w:sz w:val="28"/>
          <w:szCs w:val="28"/>
        </w:rPr>
        <w:t>体能训练</w:t>
      </w:r>
      <w:r w:rsidRPr="00C32AC2">
        <w:rPr>
          <w:rFonts w:ascii="Arial" w:eastAsia="宋体" w:hAnsi="Calibri" w:cs="Arial" w:hint="eastAsia"/>
          <w:b/>
          <w:sz w:val="28"/>
          <w:szCs w:val="28"/>
        </w:rPr>
        <w:t>（</w:t>
      </w:r>
      <w:r w:rsidRPr="00C32AC2">
        <w:rPr>
          <w:rFonts w:ascii="Arial" w:eastAsia="宋体" w:hAnsi="Calibri" w:cs="Arial" w:hint="eastAsia"/>
          <w:b/>
          <w:sz w:val="28"/>
          <w:szCs w:val="28"/>
        </w:rPr>
        <w:t>13</w:t>
      </w:r>
      <w:r w:rsidRPr="00C32AC2">
        <w:rPr>
          <w:rFonts w:ascii="Arial" w:eastAsia="宋体" w:hAnsi="Calibri" w:cs="Arial" w:hint="eastAsia"/>
          <w:b/>
          <w:sz w:val="28"/>
          <w:szCs w:val="28"/>
        </w:rPr>
        <w:t>学时）</w:t>
      </w:r>
    </w:p>
    <w:p w14:paraId="36A54105" w14:textId="77777777" w:rsidR="00C32AC2" w:rsidRPr="00C32AC2" w:rsidRDefault="00C32AC2" w:rsidP="00C32AC2">
      <w:pPr>
        <w:spacing w:line="360" w:lineRule="auto"/>
        <w:ind w:left="472"/>
        <w:rPr>
          <w:rFonts w:ascii="Arial" w:eastAsia="宋体" w:hAnsi="Arial" w:cs="Arial"/>
          <w:b/>
          <w:sz w:val="24"/>
        </w:rPr>
      </w:pPr>
      <w:r w:rsidRPr="00C32AC2">
        <w:rPr>
          <w:rFonts w:ascii="Arial" w:eastAsia="宋体" w:hAnsi="Calibri" w:cs="Arial" w:hint="eastAsia"/>
          <w:b/>
          <w:sz w:val="24"/>
        </w:rPr>
        <w:t>本章主要教学内容：</w:t>
      </w:r>
    </w:p>
    <w:p w14:paraId="7CBC1FB9"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8.1体能训练简介</w:t>
      </w:r>
    </w:p>
    <w:p w14:paraId="581A0447"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8.2加速能力及力量训练2.柔韧能力训练</w:t>
      </w:r>
    </w:p>
    <w:p w14:paraId="7922EC3C"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8.3弹跳能力及力量训练</w:t>
      </w:r>
    </w:p>
    <w:p w14:paraId="4BCDAED6"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8.4灵敏能力及力量训练</w:t>
      </w:r>
    </w:p>
    <w:p w14:paraId="2CB91718"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8.5耐力能力及无氧训练</w:t>
      </w:r>
    </w:p>
    <w:p w14:paraId="53B7B4E8"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8.6弹跳能力及力量测试</w:t>
      </w:r>
    </w:p>
    <w:p w14:paraId="49A4032B"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8.7上肢（男）力量训练2.腹肌（女）力量训练</w:t>
      </w:r>
    </w:p>
    <w:p w14:paraId="341A6F20"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8.8耐力能力及无氧训练</w:t>
      </w:r>
    </w:p>
    <w:p w14:paraId="7525E4AE"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8.9引体向上（男）；一分钟仰卧起坐（女）</w:t>
      </w:r>
    </w:p>
    <w:p w14:paraId="49C2E10B"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8.10立定跳远测试</w:t>
      </w:r>
    </w:p>
    <w:p w14:paraId="54404A52" w14:textId="77777777" w:rsidR="00C32AC2" w:rsidRPr="00C32AC2" w:rsidRDefault="00C32AC2" w:rsidP="00B41A22">
      <w:pPr>
        <w:numPr>
          <w:ilvl w:val="0"/>
          <w:numId w:val="38"/>
        </w:numPr>
        <w:spacing w:beforeLines="50" w:before="156" w:afterLines="50" w:after="156" w:line="360" w:lineRule="auto"/>
        <w:jc w:val="center"/>
        <w:rPr>
          <w:rFonts w:ascii="Arial" w:eastAsia="宋体" w:hAnsi="Calibri" w:cs="Arial"/>
          <w:b/>
          <w:sz w:val="28"/>
          <w:szCs w:val="28"/>
        </w:rPr>
      </w:pPr>
      <w:r w:rsidRPr="00C32AC2">
        <w:rPr>
          <w:rFonts w:ascii="Arial" w:eastAsia="宋体" w:hAnsi="Arial" w:cs="Arial" w:hint="eastAsia"/>
          <w:b/>
          <w:sz w:val="28"/>
          <w:szCs w:val="28"/>
        </w:rPr>
        <w:lastRenderedPageBreak/>
        <w:t>选项</w:t>
      </w:r>
      <w:proofErr w:type="gramStart"/>
      <w:r w:rsidRPr="00C32AC2">
        <w:rPr>
          <w:rFonts w:ascii="Arial" w:eastAsia="宋体" w:hAnsi="Arial" w:cs="Arial" w:hint="eastAsia"/>
          <w:b/>
          <w:sz w:val="28"/>
          <w:szCs w:val="28"/>
        </w:rPr>
        <w:t>课各项</w:t>
      </w:r>
      <w:proofErr w:type="gramEnd"/>
      <w:r w:rsidRPr="00C32AC2">
        <w:rPr>
          <w:rFonts w:ascii="Arial" w:eastAsia="宋体" w:hAnsi="Arial" w:cs="Arial" w:hint="eastAsia"/>
          <w:b/>
          <w:sz w:val="28"/>
          <w:szCs w:val="28"/>
        </w:rPr>
        <w:t>目内容</w:t>
      </w:r>
      <w:r w:rsidRPr="00C32AC2">
        <w:rPr>
          <w:rFonts w:ascii="Arial" w:eastAsia="宋体" w:hAnsi="Calibri" w:cs="Arial" w:hint="eastAsia"/>
          <w:b/>
          <w:sz w:val="28"/>
          <w:szCs w:val="28"/>
        </w:rPr>
        <w:t>（</w:t>
      </w:r>
      <w:r w:rsidRPr="00C32AC2">
        <w:rPr>
          <w:rFonts w:ascii="Arial" w:eastAsia="宋体" w:hAnsi="Calibri" w:cs="Arial" w:hint="eastAsia"/>
          <w:b/>
          <w:sz w:val="28"/>
          <w:szCs w:val="28"/>
        </w:rPr>
        <w:t>12</w:t>
      </w:r>
      <w:r w:rsidRPr="00C32AC2">
        <w:rPr>
          <w:rFonts w:ascii="Arial" w:eastAsia="宋体" w:hAnsi="Calibri" w:cs="Arial" w:hint="eastAsia"/>
          <w:b/>
          <w:sz w:val="28"/>
          <w:szCs w:val="28"/>
        </w:rPr>
        <w:t>学时）</w:t>
      </w:r>
    </w:p>
    <w:p w14:paraId="41701823" w14:textId="77777777" w:rsidR="00C32AC2" w:rsidRPr="00C32AC2" w:rsidRDefault="00C32AC2" w:rsidP="00C32AC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C32AC2">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C32AC2" w:rsidRPr="00C32AC2" w14:paraId="0E00D8C2"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45AC338"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29000048"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001781D5"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0DC7A49"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54BF4F3"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备注 </w:t>
            </w:r>
          </w:p>
        </w:tc>
      </w:tr>
      <w:tr w:rsidR="00C32AC2" w:rsidRPr="00C32AC2" w14:paraId="24C09D68"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1885315"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75E826D7"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足球运动概述 </w:t>
            </w:r>
          </w:p>
        </w:tc>
        <w:tc>
          <w:tcPr>
            <w:tcW w:w="1579" w:type="dxa"/>
            <w:tcBorders>
              <w:top w:val="outset" w:sz="6" w:space="0" w:color="auto"/>
              <w:left w:val="outset" w:sz="6" w:space="0" w:color="auto"/>
              <w:bottom w:val="outset" w:sz="6" w:space="0" w:color="auto"/>
              <w:right w:val="outset" w:sz="6" w:space="0" w:color="auto"/>
            </w:tcBorders>
            <w:vAlign w:val="center"/>
          </w:tcPr>
          <w:p w14:paraId="6626FA9E"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0696AA0" w14:textId="77777777" w:rsidR="00C32AC2" w:rsidRPr="00C32AC2" w:rsidRDefault="00C32AC2" w:rsidP="00C32AC2">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72C2CD4" w14:textId="77777777" w:rsidR="00C32AC2" w:rsidRPr="00C32AC2" w:rsidRDefault="00C32AC2" w:rsidP="00C32AC2">
            <w:pPr>
              <w:widowControl/>
              <w:jc w:val="left"/>
              <w:rPr>
                <w:rFonts w:ascii="宋体" w:eastAsia="宋体" w:hAnsi="Calibri" w:cs="宋体"/>
                <w:spacing w:val="1"/>
                <w:kern w:val="0"/>
                <w:sz w:val="24"/>
              </w:rPr>
            </w:pPr>
          </w:p>
        </w:tc>
      </w:tr>
      <w:tr w:rsidR="00C32AC2" w:rsidRPr="00C32AC2" w14:paraId="5DAECAEB"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C635F39"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5B48C946"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足球运动竞赛规则及裁判法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125E6BC8"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B5999F8" w14:textId="77777777" w:rsidR="00C32AC2" w:rsidRPr="00C32AC2" w:rsidRDefault="00C32AC2" w:rsidP="00C32AC2">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7748F6B" w14:textId="77777777" w:rsidR="00C32AC2" w:rsidRPr="00C32AC2" w:rsidRDefault="00C32AC2" w:rsidP="00C32AC2">
            <w:pPr>
              <w:widowControl/>
              <w:jc w:val="left"/>
              <w:rPr>
                <w:rFonts w:ascii="宋体" w:eastAsia="宋体" w:hAnsi="Calibri" w:cs="宋体"/>
                <w:spacing w:val="1"/>
                <w:kern w:val="0"/>
                <w:sz w:val="24"/>
              </w:rPr>
            </w:pPr>
          </w:p>
        </w:tc>
      </w:tr>
      <w:tr w:rsidR="00C32AC2" w:rsidRPr="00C32AC2" w14:paraId="336BB0C7"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5AB8B6A"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71102684"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足球运动专项身体素质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13A27AF6" w14:textId="77777777" w:rsidR="00C32AC2" w:rsidRPr="00C32AC2" w:rsidRDefault="00C32AC2" w:rsidP="00C32AC2">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B53DD26"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B57D3F8" w14:textId="77777777" w:rsidR="00C32AC2" w:rsidRPr="00C32AC2" w:rsidRDefault="00C32AC2" w:rsidP="00C32AC2">
            <w:pPr>
              <w:widowControl/>
              <w:jc w:val="left"/>
              <w:rPr>
                <w:rFonts w:ascii="宋体" w:eastAsia="宋体" w:hAnsi="Calibri" w:cs="宋体"/>
                <w:spacing w:val="1"/>
                <w:kern w:val="0"/>
                <w:sz w:val="24"/>
              </w:rPr>
            </w:pPr>
          </w:p>
        </w:tc>
      </w:tr>
      <w:tr w:rsidR="00C32AC2" w:rsidRPr="00C32AC2" w14:paraId="4B43496A"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5699A69"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7F5578FF"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0D0FBA16" w14:textId="77777777" w:rsidR="00C32AC2" w:rsidRPr="00C32AC2" w:rsidRDefault="00C32AC2" w:rsidP="00C32AC2">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F62A3C0"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630DAB5" w14:textId="77777777" w:rsidR="00C32AC2" w:rsidRPr="00C32AC2" w:rsidRDefault="00C32AC2" w:rsidP="00C32AC2">
            <w:pPr>
              <w:widowControl/>
              <w:jc w:val="left"/>
              <w:rPr>
                <w:rFonts w:ascii="宋体" w:eastAsia="宋体" w:hAnsi="Calibri" w:cs="宋体"/>
                <w:spacing w:val="1"/>
                <w:kern w:val="0"/>
                <w:sz w:val="24"/>
              </w:rPr>
            </w:pPr>
          </w:p>
        </w:tc>
      </w:tr>
      <w:tr w:rsidR="00C32AC2" w:rsidRPr="00C32AC2" w14:paraId="6FB5345C"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F64447E"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74A47F92"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65BEF029" w14:textId="77777777" w:rsidR="00C32AC2" w:rsidRPr="00C32AC2" w:rsidRDefault="00C32AC2" w:rsidP="00C32AC2">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1032ED"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D7EACBA" w14:textId="77777777" w:rsidR="00C32AC2" w:rsidRPr="00C32AC2" w:rsidRDefault="00C32AC2" w:rsidP="00C32AC2">
            <w:pPr>
              <w:widowControl/>
              <w:jc w:val="left"/>
              <w:rPr>
                <w:rFonts w:ascii="宋体" w:eastAsia="宋体" w:hAnsi="Calibri" w:cs="宋体"/>
                <w:spacing w:val="1"/>
                <w:kern w:val="0"/>
                <w:sz w:val="24"/>
              </w:rPr>
            </w:pPr>
          </w:p>
        </w:tc>
      </w:tr>
    </w:tbl>
    <w:p w14:paraId="15A690A1" w14:textId="77777777" w:rsidR="00C32AC2" w:rsidRPr="00C32AC2" w:rsidRDefault="00C32AC2" w:rsidP="00C32AC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C32AC2">
        <w:rPr>
          <w:rFonts w:ascii="宋体" w:eastAsia="宋体" w:hAnsi="Calibri" w:cs="宋体" w:hint="eastAsia"/>
          <w:spacing w:val="1"/>
          <w:kern w:val="0"/>
          <w:sz w:val="24"/>
        </w:rPr>
        <w:t xml:space="preserve"> 9.2理论课学时安排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C32AC2" w:rsidRPr="00C32AC2" w14:paraId="5C1DDA85" w14:textId="77777777" w:rsidTr="00375FAF">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320736D9"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9CFEBD0"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8966142"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备注</w:t>
            </w:r>
          </w:p>
        </w:tc>
      </w:tr>
      <w:tr w:rsidR="00C32AC2" w:rsidRPr="00C32AC2" w14:paraId="5259E6FC" w14:textId="77777777" w:rsidTr="00375FAF">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0550D57" w14:textId="77777777" w:rsidR="00C32AC2" w:rsidRPr="00C32AC2" w:rsidRDefault="00C32AC2" w:rsidP="00C32AC2">
            <w:pPr>
              <w:widowControl/>
              <w:spacing w:before="100" w:beforeAutospacing="1" w:after="100" w:afterAutospacing="1"/>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足球概述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9ED8118"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足球运动特点与功能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77E624C"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68DA0AE" w14:textId="77777777" w:rsidR="00C32AC2" w:rsidRPr="00C32AC2" w:rsidRDefault="00C32AC2" w:rsidP="00C32AC2">
            <w:pPr>
              <w:widowControl/>
              <w:jc w:val="left"/>
              <w:rPr>
                <w:rFonts w:ascii="宋体" w:eastAsia="宋体" w:hAnsi="Calibri" w:cs="宋体"/>
                <w:spacing w:val="1"/>
                <w:kern w:val="0"/>
                <w:sz w:val="24"/>
              </w:rPr>
            </w:pPr>
          </w:p>
        </w:tc>
      </w:tr>
      <w:tr w:rsidR="00C32AC2" w:rsidRPr="00C32AC2" w14:paraId="3D38D192" w14:textId="77777777" w:rsidTr="00375FAF">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5DFF3F17" w14:textId="77777777" w:rsidR="00C32AC2" w:rsidRPr="00C32AC2" w:rsidRDefault="00C32AC2" w:rsidP="00C32AC2">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42444A0"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中国古代足球概况 </w:t>
            </w:r>
          </w:p>
        </w:tc>
        <w:tc>
          <w:tcPr>
            <w:tcW w:w="2369" w:type="dxa"/>
            <w:vMerge/>
            <w:tcBorders>
              <w:top w:val="outset" w:sz="6" w:space="0" w:color="auto"/>
              <w:left w:val="outset" w:sz="6" w:space="0" w:color="auto"/>
              <w:bottom w:val="outset" w:sz="6" w:space="0" w:color="auto"/>
              <w:right w:val="outset" w:sz="6" w:space="0" w:color="auto"/>
            </w:tcBorders>
            <w:vAlign w:val="center"/>
          </w:tcPr>
          <w:p w14:paraId="1E697DDA" w14:textId="77777777" w:rsidR="00C32AC2" w:rsidRPr="00C32AC2" w:rsidRDefault="00C32AC2" w:rsidP="00C32AC2">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500DD1DC" w14:textId="77777777" w:rsidR="00C32AC2" w:rsidRPr="00C32AC2" w:rsidRDefault="00C32AC2" w:rsidP="00C32AC2">
            <w:pPr>
              <w:widowControl/>
              <w:jc w:val="left"/>
              <w:rPr>
                <w:rFonts w:ascii="宋体" w:eastAsia="宋体" w:hAnsi="Calibri" w:cs="宋体"/>
                <w:spacing w:val="1"/>
                <w:kern w:val="0"/>
                <w:sz w:val="24"/>
              </w:rPr>
            </w:pPr>
          </w:p>
        </w:tc>
      </w:tr>
      <w:tr w:rsidR="00C32AC2" w:rsidRPr="00C32AC2" w14:paraId="5EC95D32" w14:textId="77777777" w:rsidTr="00375FAF">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47CC900D" w14:textId="77777777" w:rsidR="00C32AC2" w:rsidRPr="00C32AC2" w:rsidRDefault="00C32AC2" w:rsidP="00C32AC2">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DBF1D8A"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现代足球概况</w:t>
            </w:r>
          </w:p>
        </w:tc>
        <w:tc>
          <w:tcPr>
            <w:tcW w:w="2369" w:type="dxa"/>
            <w:vMerge/>
            <w:tcBorders>
              <w:top w:val="outset" w:sz="6" w:space="0" w:color="auto"/>
              <w:left w:val="outset" w:sz="6" w:space="0" w:color="auto"/>
              <w:bottom w:val="outset" w:sz="6" w:space="0" w:color="auto"/>
              <w:right w:val="outset" w:sz="6" w:space="0" w:color="auto"/>
            </w:tcBorders>
            <w:vAlign w:val="center"/>
          </w:tcPr>
          <w:p w14:paraId="77DCF04D" w14:textId="77777777" w:rsidR="00C32AC2" w:rsidRPr="00C32AC2" w:rsidRDefault="00C32AC2" w:rsidP="00C32AC2">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71FBAA83" w14:textId="77777777" w:rsidR="00C32AC2" w:rsidRPr="00C32AC2" w:rsidRDefault="00C32AC2" w:rsidP="00C32AC2">
            <w:pPr>
              <w:widowControl/>
              <w:jc w:val="left"/>
              <w:rPr>
                <w:rFonts w:ascii="宋体" w:eastAsia="宋体" w:hAnsi="Calibri" w:cs="宋体"/>
                <w:spacing w:val="1"/>
                <w:kern w:val="0"/>
                <w:sz w:val="24"/>
              </w:rPr>
            </w:pPr>
          </w:p>
        </w:tc>
      </w:tr>
      <w:tr w:rsidR="00C32AC2" w:rsidRPr="00C32AC2" w14:paraId="6219F731" w14:textId="77777777" w:rsidTr="00375FAF">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E093FDF" w14:textId="77777777" w:rsidR="00C32AC2" w:rsidRPr="00C32AC2" w:rsidRDefault="00C32AC2" w:rsidP="00C32AC2">
            <w:pPr>
              <w:widowControl/>
              <w:spacing w:before="100" w:beforeAutospacing="1" w:after="100" w:afterAutospacing="1"/>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足球规则与裁判法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3E43FC0"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球场区划及作用</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66E9EC4"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CCD7BFA" w14:textId="77777777" w:rsidR="00C32AC2" w:rsidRPr="00C32AC2" w:rsidRDefault="00C32AC2" w:rsidP="00C32AC2">
            <w:pPr>
              <w:widowControl/>
              <w:jc w:val="left"/>
              <w:rPr>
                <w:rFonts w:ascii="宋体" w:eastAsia="宋体" w:hAnsi="Calibri" w:cs="宋体"/>
                <w:spacing w:val="1"/>
                <w:kern w:val="0"/>
                <w:sz w:val="24"/>
              </w:rPr>
            </w:pPr>
          </w:p>
        </w:tc>
      </w:tr>
      <w:tr w:rsidR="00C32AC2" w:rsidRPr="00C32AC2" w14:paraId="7FEB17E7" w14:textId="77777777" w:rsidTr="00375FAF">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192CF6AF" w14:textId="77777777" w:rsidR="00C32AC2" w:rsidRPr="00C32AC2" w:rsidRDefault="00C32AC2" w:rsidP="00C32AC2">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D004FEB"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越位 </w:t>
            </w:r>
          </w:p>
        </w:tc>
        <w:tc>
          <w:tcPr>
            <w:tcW w:w="2369" w:type="dxa"/>
            <w:vMerge/>
            <w:tcBorders>
              <w:top w:val="outset" w:sz="6" w:space="0" w:color="auto"/>
              <w:left w:val="outset" w:sz="6" w:space="0" w:color="auto"/>
              <w:bottom w:val="outset" w:sz="6" w:space="0" w:color="auto"/>
              <w:right w:val="outset" w:sz="6" w:space="0" w:color="auto"/>
            </w:tcBorders>
            <w:vAlign w:val="center"/>
          </w:tcPr>
          <w:p w14:paraId="4006DAFD" w14:textId="77777777" w:rsidR="00C32AC2" w:rsidRPr="00C32AC2" w:rsidRDefault="00C32AC2" w:rsidP="00C32AC2">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620BF60C" w14:textId="77777777" w:rsidR="00C32AC2" w:rsidRPr="00C32AC2" w:rsidRDefault="00C32AC2" w:rsidP="00C32AC2">
            <w:pPr>
              <w:widowControl/>
              <w:jc w:val="left"/>
              <w:rPr>
                <w:rFonts w:ascii="宋体" w:eastAsia="宋体" w:hAnsi="Calibri" w:cs="宋体"/>
                <w:spacing w:val="1"/>
                <w:kern w:val="0"/>
                <w:sz w:val="24"/>
              </w:rPr>
            </w:pPr>
          </w:p>
        </w:tc>
      </w:tr>
      <w:tr w:rsidR="00C32AC2" w:rsidRPr="00C32AC2" w14:paraId="014FC2B6" w14:textId="77777777" w:rsidTr="00375FAF">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7900E82F" w14:textId="77777777" w:rsidR="00C32AC2" w:rsidRPr="00C32AC2" w:rsidRDefault="00C32AC2" w:rsidP="00C32AC2">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2D8493D"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犯规与不正当行为</w:t>
            </w:r>
          </w:p>
        </w:tc>
        <w:tc>
          <w:tcPr>
            <w:tcW w:w="2369" w:type="dxa"/>
            <w:vMerge/>
            <w:tcBorders>
              <w:top w:val="outset" w:sz="6" w:space="0" w:color="auto"/>
              <w:left w:val="outset" w:sz="6" w:space="0" w:color="auto"/>
              <w:bottom w:val="outset" w:sz="6" w:space="0" w:color="auto"/>
              <w:right w:val="outset" w:sz="6" w:space="0" w:color="auto"/>
            </w:tcBorders>
            <w:vAlign w:val="center"/>
          </w:tcPr>
          <w:p w14:paraId="2E7E6DDF" w14:textId="77777777" w:rsidR="00C32AC2" w:rsidRPr="00C32AC2" w:rsidRDefault="00C32AC2" w:rsidP="00C32AC2">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4349CD24" w14:textId="77777777" w:rsidR="00C32AC2" w:rsidRPr="00C32AC2" w:rsidRDefault="00C32AC2" w:rsidP="00C32AC2">
            <w:pPr>
              <w:widowControl/>
              <w:jc w:val="left"/>
              <w:rPr>
                <w:rFonts w:ascii="宋体" w:eastAsia="宋体" w:hAnsi="Calibri" w:cs="宋体"/>
                <w:spacing w:val="1"/>
                <w:kern w:val="0"/>
                <w:sz w:val="24"/>
              </w:rPr>
            </w:pPr>
          </w:p>
        </w:tc>
      </w:tr>
      <w:tr w:rsidR="00C32AC2" w:rsidRPr="00C32AC2" w14:paraId="4A1B8D25" w14:textId="77777777" w:rsidTr="00375FAF">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6BED716B" w14:textId="77777777" w:rsidR="00C32AC2" w:rsidRPr="00C32AC2" w:rsidRDefault="00C32AC2" w:rsidP="00C32AC2">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F2503A5"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裁判信号 </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1A099401" w14:textId="77777777" w:rsidR="00C32AC2" w:rsidRPr="00C32AC2" w:rsidRDefault="00C32AC2" w:rsidP="00C32AC2">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7C7FB3A4" w14:textId="77777777" w:rsidR="00C32AC2" w:rsidRPr="00C32AC2" w:rsidRDefault="00C32AC2" w:rsidP="00C32AC2">
            <w:pPr>
              <w:widowControl/>
              <w:jc w:val="left"/>
              <w:rPr>
                <w:rFonts w:ascii="宋体" w:eastAsia="宋体" w:hAnsi="Calibri" w:cs="宋体"/>
                <w:spacing w:val="1"/>
                <w:kern w:val="0"/>
                <w:sz w:val="24"/>
              </w:rPr>
            </w:pPr>
          </w:p>
        </w:tc>
      </w:tr>
    </w:tbl>
    <w:p w14:paraId="1E0293F1" w14:textId="77777777" w:rsidR="00C32AC2" w:rsidRPr="00C32AC2" w:rsidRDefault="00C32AC2" w:rsidP="00C32AC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C32AC2">
        <w:rPr>
          <w:rFonts w:ascii="宋体" w:eastAsia="宋体" w:hAnsi="Calibri" w:cs="宋体" w:hint="eastAsia"/>
          <w:spacing w:val="1"/>
          <w:kern w:val="0"/>
          <w:sz w:val="24"/>
        </w:rPr>
        <w:t xml:space="preserve">  9.3技术课学时分配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C32AC2" w:rsidRPr="00C32AC2" w14:paraId="4872668F" w14:textId="77777777" w:rsidTr="00375FAF">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63F253AC"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280E67E"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6175707"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备注</w:t>
            </w:r>
          </w:p>
        </w:tc>
      </w:tr>
      <w:tr w:rsidR="00C32AC2" w:rsidRPr="00C32AC2" w14:paraId="12EED662" w14:textId="77777777" w:rsidTr="00375FAF">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7D54C92"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技术</w:t>
            </w:r>
          </w:p>
          <w:p w14:paraId="7CE767F5"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48C29EC"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 xml:space="preserve">颠球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0312FC2"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脚背正面颠球</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A01E3F8"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593674D" w14:textId="77777777" w:rsidR="00C32AC2" w:rsidRPr="00C32AC2" w:rsidRDefault="00C32AC2" w:rsidP="00C32AC2">
            <w:pPr>
              <w:widowControl/>
              <w:jc w:val="left"/>
              <w:rPr>
                <w:rFonts w:ascii="宋体" w:eastAsia="宋体" w:hAnsi="Calibri" w:cs="宋体"/>
                <w:spacing w:val="1"/>
                <w:kern w:val="0"/>
                <w:sz w:val="24"/>
              </w:rPr>
            </w:pPr>
          </w:p>
        </w:tc>
      </w:tr>
      <w:tr w:rsidR="00C32AC2" w:rsidRPr="00C32AC2" w14:paraId="5506AA90" w14:textId="77777777" w:rsidTr="00375FAF">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6FA3262B" w14:textId="77777777" w:rsidR="00C32AC2" w:rsidRPr="00C32AC2" w:rsidRDefault="00C32AC2" w:rsidP="00C32AC2">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60FC4524"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踢球技术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8F56A4B"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脚内侧踢球</w:t>
            </w: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09FB8E86"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129764E7" w14:textId="77777777" w:rsidR="00C32AC2" w:rsidRPr="00C32AC2" w:rsidRDefault="00C32AC2" w:rsidP="00C32AC2">
            <w:pPr>
              <w:widowControl/>
              <w:jc w:val="left"/>
              <w:rPr>
                <w:rFonts w:ascii="宋体" w:eastAsia="宋体" w:hAnsi="Calibri" w:cs="宋体"/>
                <w:spacing w:val="1"/>
                <w:kern w:val="0"/>
                <w:sz w:val="24"/>
              </w:rPr>
            </w:pPr>
          </w:p>
        </w:tc>
      </w:tr>
      <w:tr w:rsidR="00C32AC2" w:rsidRPr="00C32AC2" w14:paraId="7C84AA2B" w14:textId="77777777" w:rsidTr="00375FAF">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7BCA3C70" w14:textId="77777777" w:rsidR="00C32AC2" w:rsidRPr="00C32AC2" w:rsidRDefault="00C32AC2" w:rsidP="00C32AC2">
            <w:pPr>
              <w:widowControl/>
              <w:jc w:val="left"/>
              <w:rPr>
                <w:rFonts w:ascii="宋体" w:eastAsia="宋体" w:hAnsi="Calibri" w:cs="宋体"/>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187D84A2" w14:textId="77777777" w:rsidR="00C32AC2" w:rsidRPr="00C32AC2" w:rsidRDefault="00C32AC2" w:rsidP="00C32AC2">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255FCB7" w14:textId="77777777" w:rsidR="00C32AC2" w:rsidRPr="00C32AC2" w:rsidRDefault="00C32AC2" w:rsidP="00C32AC2">
            <w:pPr>
              <w:widowControl/>
              <w:jc w:val="center"/>
              <w:rPr>
                <w:rFonts w:ascii="宋体" w:eastAsia="宋体" w:hAnsi="Calibri" w:cs="宋体"/>
                <w:spacing w:val="1"/>
                <w:kern w:val="0"/>
                <w:sz w:val="24"/>
              </w:rPr>
            </w:pPr>
            <w:r w:rsidRPr="00C32AC2">
              <w:rPr>
                <w:rFonts w:ascii="宋体" w:eastAsia="宋体" w:hAnsi="Calibri" w:cs="宋体" w:hint="eastAsia"/>
                <w:spacing w:val="1"/>
                <w:kern w:val="0"/>
                <w:sz w:val="24"/>
              </w:rPr>
              <w:t>脚内侧接球</w:t>
            </w: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57CCC55B" w14:textId="77777777" w:rsidR="00C32AC2" w:rsidRPr="00C32AC2" w:rsidRDefault="00C32AC2" w:rsidP="00C32AC2">
            <w:pPr>
              <w:widowControl/>
              <w:jc w:val="left"/>
              <w:rPr>
                <w:rFonts w:ascii="宋体" w:eastAsia="宋体" w:hAnsi="Calibri" w:cs="宋体"/>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65BC1BD5" w14:textId="77777777" w:rsidR="00C32AC2" w:rsidRPr="00C32AC2" w:rsidRDefault="00C32AC2" w:rsidP="00C32AC2">
            <w:pPr>
              <w:widowControl/>
              <w:jc w:val="left"/>
              <w:rPr>
                <w:rFonts w:ascii="宋体" w:eastAsia="宋体" w:hAnsi="Calibri" w:cs="宋体"/>
                <w:spacing w:val="1"/>
                <w:kern w:val="0"/>
                <w:sz w:val="24"/>
              </w:rPr>
            </w:pPr>
          </w:p>
        </w:tc>
      </w:tr>
    </w:tbl>
    <w:p w14:paraId="08813420" w14:textId="77777777" w:rsidR="00C32AC2" w:rsidRPr="00C32AC2" w:rsidRDefault="00C32AC2" w:rsidP="00C32AC2">
      <w:pPr>
        <w:spacing w:beforeLines="50" w:before="156" w:afterLines="50" w:after="156" w:line="440" w:lineRule="exact"/>
        <w:ind w:firstLineChars="200" w:firstLine="560"/>
        <w:jc w:val="center"/>
        <w:rPr>
          <w:rFonts w:ascii="黑体" w:eastAsia="黑体" w:hAnsi="黑体" w:cs="Times New Roman"/>
          <w:sz w:val="28"/>
          <w:szCs w:val="28"/>
        </w:rPr>
      </w:pPr>
      <w:r w:rsidRPr="00C32AC2">
        <w:rPr>
          <w:rFonts w:ascii="黑体" w:eastAsia="黑体" w:hAnsi="黑体" w:cs="Times New Roman" w:hint="eastAsia"/>
          <w:sz w:val="28"/>
          <w:szCs w:val="28"/>
        </w:rPr>
        <w:t>学习内容二 足球 1</w:t>
      </w:r>
    </w:p>
    <w:p w14:paraId="5FB976E1"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C32AC2">
        <w:rPr>
          <w:rFonts w:ascii="宋体" w:eastAsia="宋体" w:hAnsi="宋体" w:cs="Times New Roman" w:hint="eastAsia"/>
          <w:b/>
          <w:sz w:val="24"/>
        </w:rPr>
        <w:t>【学习目标】</w:t>
      </w:r>
    </w:p>
    <w:p w14:paraId="69128BF9"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1.</w:t>
      </w:r>
      <w:r w:rsidRPr="00C32A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C32AC2">
        <w:rPr>
          <w:rFonts w:ascii="宋体" w:eastAsia="宋体" w:hAnsi="Calibri" w:cs="宋体" w:hint="eastAsia"/>
          <w:spacing w:val="5"/>
          <w:kern w:val="0"/>
          <w:sz w:val="24"/>
        </w:rPr>
        <w:t>通过体能教学活动，</w:t>
      </w:r>
      <w:r w:rsidRPr="00C32AC2">
        <w:rPr>
          <w:rFonts w:ascii="宋体" w:eastAsia="宋体" w:hAnsi="宋体" w:cs="仿宋_GB2312" w:hint="eastAsia"/>
          <w:sz w:val="24"/>
        </w:rPr>
        <w:t>了解《大学生体质健康标准测验》项目内容、考核方式、评价标准，掌握考核内容锻炼的方式方法。</w:t>
      </w:r>
      <w:r w:rsidRPr="00C32AC2">
        <w:rPr>
          <w:rFonts w:ascii="宋体" w:eastAsia="宋体" w:hAnsi="Calibri" w:cs="宋体" w:hint="eastAsia"/>
          <w:spacing w:val="5"/>
          <w:kern w:val="0"/>
          <w:sz w:val="24"/>
        </w:rPr>
        <w:t>培养学生努力学习、不断进取、修身立业、顽强奋进的精神与品质。</w:t>
      </w:r>
    </w:p>
    <w:p w14:paraId="0790C16D"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lastRenderedPageBreak/>
        <w:t>2.</w:t>
      </w:r>
      <w:r w:rsidRPr="00C32A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32AC2">
        <w:rPr>
          <w:rFonts w:ascii="宋体" w:eastAsia="宋体" w:hAnsi="Calibri" w:cs="宋体" w:hint="eastAsia"/>
          <w:spacing w:val="5"/>
          <w:kern w:val="0"/>
          <w:sz w:val="24"/>
        </w:rPr>
        <w:t>。</w:t>
      </w:r>
    </w:p>
    <w:p w14:paraId="575930A3"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3.</w:t>
      </w:r>
      <w:r w:rsidRPr="00C32AC2">
        <w:rPr>
          <w:rFonts w:ascii="宋体" w:eastAsia="宋体" w:hAnsi="宋体" w:cs="仿宋_GB2312" w:hint="eastAsia"/>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C32AC2">
        <w:rPr>
          <w:rFonts w:ascii="宋体" w:eastAsia="宋体" w:hAnsi="Calibri" w:cs="宋体" w:hint="eastAsia"/>
          <w:spacing w:val="5"/>
          <w:kern w:val="0"/>
          <w:sz w:val="24"/>
        </w:rPr>
        <w:t>。</w:t>
      </w:r>
    </w:p>
    <w:p w14:paraId="13ABC658" w14:textId="77777777" w:rsidR="00C32AC2" w:rsidRPr="00C32AC2" w:rsidRDefault="00C32AC2" w:rsidP="00C32AC2">
      <w:pPr>
        <w:spacing w:line="440" w:lineRule="exact"/>
        <w:ind w:firstLineChars="200" w:firstLine="500"/>
        <w:rPr>
          <w:rFonts w:ascii="宋体" w:eastAsia="宋体" w:hAnsi="宋体" w:cs="Times New Roman"/>
          <w:b/>
          <w:sz w:val="24"/>
        </w:rPr>
      </w:pPr>
      <w:r w:rsidRPr="00C32AC2">
        <w:rPr>
          <w:rFonts w:ascii="宋体" w:eastAsia="宋体" w:hAnsi="Calibri" w:cs="宋体" w:hint="eastAsia"/>
          <w:spacing w:val="5"/>
          <w:kern w:val="0"/>
          <w:sz w:val="24"/>
        </w:rPr>
        <w:t>4.</w:t>
      </w:r>
      <w:r w:rsidRPr="00C32A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32AC2">
        <w:rPr>
          <w:rFonts w:ascii="宋体" w:eastAsia="宋体" w:hAnsi="Calibri" w:cs="宋体" w:hint="eastAsia"/>
          <w:spacing w:val="5"/>
          <w:kern w:val="0"/>
          <w:sz w:val="24"/>
        </w:rPr>
        <w:t>。</w:t>
      </w:r>
    </w:p>
    <w:p w14:paraId="3FE4CB60" w14:textId="77777777" w:rsidR="00C32AC2" w:rsidRPr="00C32AC2" w:rsidRDefault="00C32AC2" w:rsidP="00C32AC2">
      <w:pPr>
        <w:spacing w:line="440" w:lineRule="exact"/>
        <w:ind w:firstLineChars="200" w:firstLine="482"/>
        <w:rPr>
          <w:rFonts w:ascii="宋体" w:eastAsia="宋体" w:hAnsi="宋体" w:cs="Times New Roman"/>
          <w:bCs/>
          <w:color w:val="FF0000"/>
          <w:sz w:val="24"/>
        </w:rPr>
      </w:pPr>
      <w:r w:rsidRPr="00C32AC2">
        <w:rPr>
          <w:rFonts w:ascii="宋体" w:eastAsia="宋体" w:hAnsi="宋体" w:cs="Times New Roman" w:hint="eastAsia"/>
          <w:b/>
          <w:sz w:val="24"/>
        </w:rPr>
        <w:t>【学习内容】</w:t>
      </w:r>
    </w:p>
    <w:p w14:paraId="475AFE90" w14:textId="77777777" w:rsidR="00C32AC2" w:rsidRPr="00C32AC2" w:rsidRDefault="00C32AC2" w:rsidP="00C32AC2">
      <w:pPr>
        <w:adjustRightInd w:val="0"/>
        <w:snapToGrid w:val="0"/>
        <w:spacing w:beforeLines="50" w:before="156" w:afterLines="50" w:after="156" w:line="500" w:lineRule="exact"/>
        <w:jc w:val="center"/>
        <w:rPr>
          <w:rFonts w:ascii="宋体" w:eastAsia="宋体" w:hAnsi="宋体" w:cs="Times New Roman"/>
          <w:b/>
          <w:sz w:val="28"/>
          <w:szCs w:val="28"/>
        </w:rPr>
      </w:pPr>
      <w:r w:rsidRPr="00C32AC2">
        <w:rPr>
          <w:rFonts w:ascii="宋体" w:eastAsia="宋体" w:hAnsi="宋体" w:cs="Times New Roman" w:hint="eastAsia"/>
          <w:b/>
          <w:sz w:val="28"/>
          <w:szCs w:val="28"/>
        </w:rPr>
        <w:t>第一章  基本技术(18学时)</w:t>
      </w:r>
    </w:p>
    <w:p w14:paraId="08E4A83E" w14:textId="77777777" w:rsidR="00C32AC2" w:rsidRPr="00C32AC2" w:rsidRDefault="00C32AC2" w:rsidP="00C32AC2">
      <w:pPr>
        <w:adjustRightInd w:val="0"/>
        <w:snapToGrid w:val="0"/>
        <w:spacing w:line="500" w:lineRule="exact"/>
        <w:ind w:firstLineChars="200" w:firstLine="482"/>
        <w:rPr>
          <w:rFonts w:ascii="Calibri" w:eastAsia="宋体" w:hAnsi="Calibri" w:cs="Times New Roman"/>
          <w:b/>
          <w:sz w:val="24"/>
        </w:rPr>
      </w:pPr>
      <w:r w:rsidRPr="00C32AC2">
        <w:rPr>
          <w:rFonts w:ascii="Calibri" w:eastAsia="宋体" w:hAnsi="Calibri" w:cs="Times New Roman"/>
          <w:b/>
          <w:sz w:val="24"/>
        </w:rPr>
        <w:t>本章主要教学内容：</w:t>
      </w:r>
    </w:p>
    <w:p w14:paraId="47170267"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1.1足球运动中的踢、停、运、顶、</w:t>
      </w:r>
      <w:proofErr w:type="gramStart"/>
      <w:r w:rsidRPr="00C32AC2">
        <w:rPr>
          <w:rFonts w:ascii="宋体" w:eastAsia="宋体" w:hAnsi="宋体" w:cs="宋体" w:hint="eastAsia"/>
          <w:sz w:val="24"/>
        </w:rPr>
        <w:t>射等技术</w:t>
      </w:r>
      <w:proofErr w:type="gramEnd"/>
      <w:r w:rsidRPr="00C32AC2">
        <w:rPr>
          <w:rFonts w:ascii="宋体" w:eastAsia="宋体" w:hAnsi="宋体" w:cs="宋体" w:hint="eastAsia"/>
          <w:sz w:val="24"/>
        </w:rPr>
        <w:t>。</w:t>
      </w:r>
    </w:p>
    <w:p w14:paraId="58C405E1"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1.2脚内侧踢球；</w:t>
      </w:r>
    </w:p>
    <w:p w14:paraId="7322681F"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1.3脚背内侧踢球；</w:t>
      </w:r>
    </w:p>
    <w:p w14:paraId="0A014FDF"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1.4脚背正面踢球；</w:t>
      </w:r>
    </w:p>
    <w:p w14:paraId="6F61D2FC"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1.5各种停球:脚掌停球、脚背内侧停球、脚背正面停球、大腿停球、胸部停球。</w:t>
      </w:r>
    </w:p>
    <w:p w14:paraId="16E7F780"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1.6各种运球：脚背正面、脚背内侧、脚背外侧等。</w:t>
      </w:r>
    </w:p>
    <w:p w14:paraId="5C0E96FB"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1.7行进间传接球技术；</w:t>
      </w:r>
    </w:p>
    <w:p w14:paraId="36C2FED7"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1.8运球过杆射门技术；</w:t>
      </w:r>
    </w:p>
    <w:p w14:paraId="71B747E8" w14:textId="77777777" w:rsidR="00C32AC2" w:rsidRPr="00C32AC2" w:rsidRDefault="00C32AC2" w:rsidP="00C32AC2">
      <w:pPr>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本章教学目的及要求</w:t>
      </w:r>
      <w:r w:rsidRPr="00C32AC2">
        <w:rPr>
          <w:rFonts w:ascii="宋体" w:eastAsia="宋体" w:hAnsi="宋体" w:cs="宋体" w:hint="eastAsia"/>
          <w:sz w:val="24"/>
        </w:rPr>
        <w:t>：使学生掌握足球基本技术要领，并能够熟练应用踢、停、运、顶、</w:t>
      </w:r>
      <w:proofErr w:type="gramStart"/>
      <w:r w:rsidRPr="00C32AC2">
        <w:rPr>
          <w:rFonts w:ascii="宋体" w:eastAsia="宋体" w:hAnsi="宋体" w:cs="宋体" w:hint="eastAsia"/>
          <w:sz w:val="24"/>
        </w:rPr>
        <w:t>射等技术</w:t>
      </w:r>
      <w:proofErr w:type="gramEnd"/>
      <w:r w:rsidRPr="00C32AC2">
        <w:rPr>
          <w:rFonts w:ascii="宋体" w:eastAsia="宋体" w:hAnsi="宋体" w:cs="宋体" w:hint="eastAsia"/>
          <w:sz w:val="24"/>
        </w:rPr>
        <w:t xml:space="preserve">动作。 </w:t>
      </w:r>
    </w:p>
    <w:p w14:paraId="1F4E8C44" w14:textId="77777777" w:rsidR="00C32AC2" w:rsidRPr="00C32AC2" w:rsidRDefault="00C32AC2" w:rsidP="00C32AC2">
      <w:pPr>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lastRenderedPageBreak/>
        <w:t>本章教学重点及难点</w:t>
      </w:r>
      <w:r w:rsidRPr="00C32AC2">
        <w:rPr>
          <w:rFonts w:ascii="宋体" w:eastAsia="宋体" w:hAnsi="宋体" w:cs="宋体" w:hint="eastAsia"/>
          <w:sz w:val="24"/>
        </w:rPr>
        <w:t xml:space="preserve">：掌握足球基本技术要领、动作发力时机、灵活运用。 </w:t>
      </w:r>
    </w:p>
    <w:p w14:paraId="2367BF48" w14:textId="77777777" w:rsidR="00C32AC2" w:rsidRPr="00C32AC2" w:rsidRDefault="00C32AC2" w:rsidP="00C32AC2">
      <w:pPr>
        <w:widowControl/>
        <w:spacing w:line="360" w:lineRule="auto"/>
        <w:jc w:val="left"/>
        <w:rPr>
          <w:rFonts w:ascii="宋体" w:eastAsia="宋体" w:hAnsi="宋体" w:cs="Times New Roman"/>
          <w:sz w:val="24"/>
        </w:rPr>
      </w:pPr>
    </w:p>
    <w:p w14:paraId="5E21F7EF" w14:textId="77777777" w:rsidR="00C32AC2" w:rsidRPr="00C32AC2" w:rsidRDefault="00C32AC2" w:rsidP="00C32AC2">
      <w:pPr>
        <w:adjustRightInd w:val="0"/>
        <w:snapToGrid w:val="0"/>
        <w:spacing w:beforeLines="50" w:before="156" w:afterLines="50" w:after="156" w:line="500" w:lineRule="exact"/>
        <w:jc w:val="center"/>
        <w:rPr>
          <w:rFonts w:ascii="宋体" w:eastAsia="宋体" w:hAnsi="宋体" w:cs="Times New Roman"/>
          <w:b/>
          <w:sz w:val="28"/>
          <w:szCs w:val="28"/>
        </w:rPr>
      </w:pPr>
      <w:r w:rsidRPr="00C32AC2">
        <w:rPr>
          <w:rFonts w:ascii="宋体" w:eastAsia="宋体" w:hAnsi="宋体" w:cs="Times New Roman" w:hint="eastAsia"/>
          <w:b/>
          <w:sz w:val="28"/>
          <w:szCs w:val="28"/>
        </w:rPr>
        <w:t>第二章  基本战术（8学时）</w:t>
      </w:r>
    </w:p>
    <w:p w14:paraId="5831704D" w14:textId="77777777" w:rsidR="00C32AC2" w:rsidRPr="00C32AC2" w:rsidRDefault="00C32AC2" w:rsidP="00C32AC2">
      <w:pPr>
        <w:adjustRightInd w:val="0"/>
        <w:snapToGrid w:val="0"/>
        <w:spacing w:line="500" w:lineRule="exact"/>
        <w:ind w:firstLineChars="200" w:firstLine="482"/>
        <w:rPr>
          <w:rFonts w:ascii="Calibri" w:eastAsia="宋体" w:hAnsi="Calibri" w:cs="Times New Roman"/>
          <w:b/>
          <w:sz w:val="24"/>
        </w:rPr>
      </w:pPr>
      <w:r w:rsidRPr="00C32AC2">
        <w:rPr>
          <w:rFonts w:ascii="Calibri" w:eastAsia="宋体" w:hAnsi="Calibri" w:cs="Times New Roman"/>
          <w:b/>
          <w:sz w:val="24"/>
        </w:rPr>
        <w:t>本章主要教学内容：</w:t>
      </w:r>
    </w:p>
    <w:p w14:paraId="7BAE2A10"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2.1比赛阵型及站位；</w:t>
      </w:r>
    </w:p>
    <w:p w14:paraId="63909DD3"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2.2个人进攻及防守战术；</w:t>
      </w:r>
    </w:p>
    <w:p w14:paraId="3E0384CA" w14:textId="77777777" w:rsidR="00C32AC2" w:rsidRPr="00C32AC2" w:rsidRDefault="00C32AC2" w:rsidP="00C32AC2">
      <w:pPr>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教学目的及要求</w:t>
      </w:r>
      <w:r w:rsidRPr="00C32AC2">
        <w:rPr>
          <w:rFonts w:ascii="宋体" w:eastAsia="宋体" w:hAnsi="宋体" w:cs="宋体" w:hint="eastAsia"/>
          <w:sz w:val="24"/>
        </w:rPr>
        <w:t xml:space="preserve">：使学生掌握足球基本战术要领，并能够熟练应用。 </w:t>
      </w:r>
    </w:p>
    <w:p w14:paraId="280A0AC2" w14:textId="77777777" w:rsidR="00C32AC2" w:rsidRPr="00C32AC2" w:rsidRDefault="00C32AC2" w:rsidP="00C32AC2">
      <w:pPr>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教学重点及难点</w:t>
      </w:r>
      <w:r w:rsidRPr="00C32AC2">
        <w:rPr>
          <w:rFonts w:ascii="宋体" w:eastAsia="宋体" w:hAnsi="宋体" w:cs="宋体" w:hint="eastAsia"/>
          <w:sz w:val="24"/>
        </w:rPr>
        <w:t>：战术应用的灵活性、准确性、合理性。</w:t>
      </w:r>
    </w:p>
    <w:p w14:paraId="244B71FF" w14:textId="77777777" w:rsidR="00C32AC2" w:rsidRPr="00C32AC2" w:rsidRDefault="00C32AC2" w:rsidP="00C32AC2">
      <w:pPr>
        <w:spacing w:line="360" w:lineRule="auto"/>
        <w:rPr>
          <w:rFonts w:ascii="宋体" w:eastAsia="宋体" w:hAnsi="宋体" w:cs="Times New Roman"/>
          <w:sz w:val="24"/>
        </w:rPr>
      </w:pPr>
    </w:p>
    <w:p w14:paraId="7D60FBFB" w14:textId="77777777" w:rsidR="00C32AC2" w:rsidRPr="00C32AC2" w:rsidRDefault="00C32AC2" w:rsidP="00C32AC2">
      <w:pPr>
        <w:adjustRightInd w:val="0"/>
        <w:snapToGrid w:val="0"/>
        <w:spacing w:beforeLines="50" w:before="156" w:afterLines="50" w:after="156" w:line="500" w:lineRule="exact"/>
        <w:jc w:val="center"/>
        <w:rPr>
          <w:rFonts w:ascii="宋体" w:eastAsia="宋体" w:hAnsi="宋体" w:cs="Times New Roman"/>
          <w:b/>
          <w:sz w:val="28"/>
          <w:szCs w:val="28"/>
        </w:rPr>
      </w:pPr>
      <w:r w:rsidRPr="00C32AC2">
        <w:rPr>
          <w:rFonts w:ascii="宋体" w:eastAsia="宋体" w:hAnsi="宋体" w:cs="Times New Roman" w:hint="eastAsia"/>
          <w:b/>
          <w:sz w:val="28"/>
          <w:szCs w:val="28"/>
        </w:rPr>
        <w:t>第二章  身体素质（6学时）</w:t>
      </w:r>
    </w:p>
    <w:p w14:paraId="0CAFBCCE" w14:textId="77777777" w:rsidR="00C32AC2" w:rsidRPr="00C32AC2" w:rsidRDefault="00C32AC2" w:rsidP="00C32AC2">
      <w:pPr>
        <w:spacing w:line="360" w:lineRule="auto"/>
        <w:ind w:firstLineChars="200" w:firstLine="482"/>
        <w:rPr>
          <w:rFonts w:ascii="Calibri" w:eastAsia="宋体" w:hAnsi="Calibri" w:cs="Times New Roman"/>
          <w:b/>
          <w:sz w:val="24"/>
        </w:rPr>
      </w:pPr>
      <w:r w:rsidRPr="00C32AC2">
        <w:rPr>
          <w:rFonts w:ascii="Calibri" w:eastAsia="宋体" w:hAnsi="Calibri" w:cs="Times New Roman"/>
          <w:b/>
          <w:sz w:val="24"/>
        </w:rPr>
        <w:t>本章主要教学内容：</w:t>
      </w:r>
    </w:p>
    <w:p w14:paraId="4CEADE9C"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3.1速度素质、耐力素质、灵敏素质。</w:t>
      </w:r>
    </w:p>
    <w:p w14:paraId="696AF437" w14:textId="77777777" w:rsidR="00C32AC2" w:rsidRPr="00C32AC2" w:rsidRDefault="00C32AC2" w:rsidP="00C32AC2">
      <w:pPr>
        <w:adjustRightInd w:val="0"/>
        <w:snapToGrid w:val="0"/>
        <w:spacing w:line="500" w:lineRule="exact"/>
        <w:ind w:firstLineChars="200" w:firstLine="480"/>
        <w:rPr>
          <w:rFonts w:ascii="Calibri" w:eastAsia="宋体" w:hAnsi="Calibri" w:cs="Times New Roman"/>
          <w:sz w:val="24"/>
        </w:rPr>
      </w:pPr>
      <w:r w:rsidRPr="00C32AC2">
        <w:rPr>
          <w:rFonts w:ascii="宋体" w:eastAsia="宋体" w:hAnsi="宋体" w:cs="宋体" w:hint="eastAsia"/>
          <w:sz w:val="24"/>
        </w:rPr>
        <w:t>3.2教学目的及要求：使学生掌握足球运动需要的基本身体素质。</w:t>
      </w:r>
      <w:r w:rsidRPr="00C32AC2">
        <w:rPr>
          <w:rFonts w:ascii="Calibri" w:eastAsia="宋体" w:hAnsi="Calibri" w:cs="Times New Roman" w:hint="eastAsia"/>
          <w:sz w:val="24"/>
        </w:rPr>
        <w:t xml:space="preserve"> </w:t>
      </w:r>
    </w:p>
    <w:p w14:paraId="4727D140" w14:textId="77777777" w:rsidR="00C32AC2" w:rsidRPr="00C32AC2" w:rsidRDefault="00C32AC2" w:rsidP="00C32AC2">
      <w:pPr>
        <w:adjustRightInd w:val="0"/>
        <w:snapToGrid w:val="0"/>
        <w:spacing w:line="500" w:lineRule="exact"/>
        <w:ind w:firstLineChars="200" w:firstLine="482"/>
        <w:rPr>
          <w:rFonts w:ascii="Calibri" w:eastAsia="宋体" w:hAnsi="Calibri" w:cs="Times New Roman"/>
          <w:sz w:val="24"/>
        </w:rPr>
      </w:pPr>
      <w:r w:rsidRPr="00C32AC2">
        <w:rPr>
          <w:rFonts w:ascii="Calibri" w:eastAsia="宋体" w:hAnsi="Calibri" w:cs="Times New Roman" w:hint="eastAsia"/>
          <w:b/>
          <w:bCs/>
          <w:sz w:val="24"/>
        </w:rPr>
        <w:t>教学重点及难点</w:t>
      </w:r>
      <w:r w:rsidRPr="00C32AC2">
        <w:rPr>
          <w:rFonts w:ascii="Calibri" w:eastAsia="宋体" w:hAnsi="Calibri" w:cs="Times New Roman" w:hint="eastAsia"/>
          <w:sz w:val="24"/>
        </w:rPr>
        <w:t>：身体耐力、肌肉力量、柔韧性。</w:t>
      </w:r>
    </w:p>
    <w:p w14:paraId="5D9353F9" w14:textId="77777777" w:rsidR="00C32AC2" w:rsidRPr="00C32AC2" w:rsidRDefault="00C32AC2" w:rsidP="00C32AC2">
      <w:pPr>
        <w:spacing w:beforeLines="50" w:before="156" w:afterLines="50" w:after="156" w:line="440" w:lineRule="exact"/>
        <w:ind w:firstLineChars="200" w:firstLine="560"/>
        <w:jc w:val="center"/>
        <w:rPr>
          <w:rFonts w:ascii="黑体" w:eastAsia="黑体" w:hAnsi="黑体" w:cs="Times New Roman"/>
          <w:sz w:val="28"/>
          <w:szCs w:val="28"/>
        </w:rPr>
      </w:pPr>
      <w:r w:rsidRPr="00C32AC2">
        <w:rPr>
          <w:rFonts w:ascii="黑体" w:eastAsia="黑体" w:hAnsi="黑体" w:cs="Times New Roman" w:hint="eastAsia"/>
          <w:sz w:val="28"/>
          <w:szCs w:val="28"/>
        </w:rPr>
        <w:t>学习内容三 足球 2</w:t>
      </w:r>
    </w:p>
    <w:p w14:paraId="78095B7C"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C32AC2">
        <w:rPr>
          <w:rFonts w:ascii="宋体" w:eastAsia="宋体" w:hAnsi="宋体" w:cs="Times New Roman" w:hint="eastAsia"/>
          <w:b/>
          <w:sz w:val="24"/>
        </w:rPr>
        <w:t>【学习目标】</w:t>
      </w:r>
    </w:p>
    <w:p w14:paraId="1A0790B2"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1.</w:t>
      </w:r>
      <w:r w:rsidRPr="00C32A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C32AC2">
        <w:rPr>
          <w:rFonts w:ascii="宋体" w:eastAsia="宋体" w:hAnsi="Calibri" w:cs="宋体" w:hint="eastAsia"/>
          <w:spacing w:val="5"/>
          <w:kern w:val="0"/>
          <w:sz w:val="24"/>
        </w:rPr>
        <w:t>通过体能教学活动，</w:t>
      </w:r>
      <w:r w:rsidRPr="00C32AC2">
        <w:rPr>
          <w:rFonts w:ascii="宋体" w:eastAsia="宋体" w:hAnsi="宋体" w:cs="仿宋_GB2312" w:hint="eastAsia"/>
          <w:sz w:val="24"/>
        </w:rPr>
        <w:t>了解《大学生体质健康标准测验》项目内容、考核方式、评价标准，掌握考核内容锻炼的方式方法。</w:t>
      </w:r>
      <w:r w:rsidRPr="00C32AC2">
        <w:rPr>
          <w:rFonts w:ascii="宋体" w:eastAsia="宋体" w:hAnsi="Calibri" w:cs="宋体" w:hint="eastAsia"/>
          <w:spacing w:val="5"/>
          <w:kern w:val="0"/>
          <w:sz w:val="24"/>
        </w:rPr>
        <w:t>培养学生努力学习、不断进取、修身立业、顽强奋进的精神与品质。</w:t>
      </w:r>
    </w:p>
    <w:p w14:paraId="2F46BED4"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2.</w:t>
      </w:r>
      <w:r w:rsidRPr="00C32A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w:t>
      </w:r>
      <w:r w:rsidRPr="00C32AC2">
        <w:rPr>
          <w:rFonts w:ascii="宋体" w:eastAsia="宋体" w:hAnsi="宋体" w:cs="仿宋_GB2312" w:hint="eastAsia"/>
          <w:sz w:val="24"/>
        </w:rPr>
        <w:lastRenderedPageBreak/>
        <w:t>和自我评价</w:t>
      </w:r>
      <w:r w:rsidRPr="00C32AC2">
        <w:rPr>
          <w:rFonts w:ascii="宋体" w:eastAsia="宋体" w:hAnsi="Calibri" w:cs="宋体" w:hint="eastAsia"/>
          <w:spacing w:val="5"/>
          <w:kern w:val="0"/>
          <w:sz w:val="24"/>
        </w:rPr>
        <w:t>。</w:t>
      </w:r>
    </w:p>
    <w:p w14:paraId="48138D67"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3.</w:t>
      </w:r>
      <w:r w:rsidRPr="00C32AC2">
        <w:rPr>
          <w:rFonts w:ascii="宋体" w:eastAsia="宋体" w:hAnsi="宋体" w:cs="仿宋_GB2312" w:hint="eastAsia"/>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C32AC2">
        <w:rPr>
          <w:rFonts w:ascii="宋体" w:eastAsia="宋体" w:hAnsi="Calibri" w:cs="宋体" w:hint="eastAsia"/>
          <w:spacing w:val="5"/>
          <w:kern w:val="0"/>
          <w:sz w:val="24"/>
        </w:rPr>
        <w:t>。</w:t>
      </w:r>
    </w:p>
    <w:p w14:paraId="31247FB6" w14:textId="77777777" w:rsidR="00C32AC2" w:rsidRPr="00C32AC2" w:rsidRDefault="00C32AC2" w:rsidP="00C32AC2">
      <w:pPr>
        <w:spacing w:line="440" w:lineRule="exact"/>
        <w:ind w:firstLineChars="200" w:firstLine="500"/>
        <w:rPr>
          <w:rFonts w:ascii="宋体" w:eastAsia="宋体" w:hAnsi="宋体" w:cs="Times New Roman"/>
          <w:b/>
          <w:sz w:val="24"/>
        </w:rPr>
      </w:pPr>
      <w:r w:rsidRPr="00C32AC2">
        <w:rPr>
          <w:rFonts w:ascii="宋体" w:eastAsia="宋体" w:hAnsi="Calibri" w:cs="宋体" w:hint="eastAsia"/>
          <w:spacing w:val="5"/>
          <w:kern w:val="0"/>
          <w:sz w:val="24"/>
        </w:rPr>
        <w:t>4.</w:t>
      </w:r>
      <w:r w:rsidRPr="00C32A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32AC2">
        <w:rPr>
          <w:rFonts w:ascii="宋体" w:eastAsia="宋体" w:hAnsi="Calibri" w:cs="宋体" w:hint="eastAsia"/>
          <w:spacing w:val="5"/>
          <w:kern w:val="0"/>
          <w:sz w:val="24"/>
        </w:rPr>
        <w:t>。</w:t>
      </w:r>
    </w:p>
    <w:p w14:paraId="6044340B" w14:textId="77777777" w:rsidR="00C32AC2" w:rsidRPr="00C32AC2" w:rsidRDefault="00C32AC2" w:rsidP="00C32AC2">
      <w:pPr>
        <w:spacing w:line="440" w:lineRule="exact"/>
        <w:ind w:firstLineChars="200" w:firstLine="482"/>
        <w:rPr>
          <w:rFonts w:ascii="宋体" w:eastAsia="宋体" w:hAnsi="宋体" w:cs="Times New Roman"/>
          <w:b/>
          <w:sz w:val="24"/>
        </w:rPr>
      </w:pPr>
      <w:r w:rsidRPr="00C32AC2">
        <w:rPr>
          <w:rFonts w:ascii="宋体" w:eastAsia="宋体" w:hAnsi="宋体" w:cs="Times New Roman" w:hint="eastAsia"/>
          <w:b/>
          <w:sz w:val="24"/>
        </w:rPr>
        <w:t>【学习内容】</w:t>
      </w:r>
    </w:p>
    <w:p w14:paraId="338D7C6A" w14:textId="77777777" w:rsidR="00C32AC2" w:rsidRPr="00C32AC2" w:rsidRDefault="00C32AC2" w:rsidP="00C32AC2">
      <w:pPr>
        <w:adjustRightInd w:val="0"/>
        <w:snapToGrid w:val="0"/>
        <w:spacing w:beforeLines="50" w:before="156" w:afterLines="50" w:after="156" w:line="500" w:lineRule="exact"/>
        <w:jc w:val="center"/>
        <w:rPr>
          <w:rFonts w:ascii="宋体" w:eastAsia="宋体" w:hAnsi="宋体" w:cs="Times New Roman"/>
          <w:b/>
          <w:sz w:val="28"/>
          <w:szCs w:val="28"/>
        </w:rPr>
      </w:pPr>
      <w:r w:rsidRPr="00C32AC2">
        <w:rPr>
          <w:rFonts w:ascii="宋体" w:eastAsia="宋体" w:hAnsi="宋体" w:cs="Times New Roman" w:hint="eastAsia"/>
          <w:b/>
          <w:sz w:val="28"/>
          <w:szCs w:val="28"/>
        </w:rPr>
        <w:t>第一章  基本技术(12学时)</w:t>
      </w:r>
    </w:p>
    <w:p w14:paraId="55EAAFFE" w14:textId="77777777" w:rsidR="00C32AC2" w:rsidRPr="00C32AC2" w:rsidRDefault="00C32AC2" w:rsidP="00C32AC2">
      <w:pPr>
        <w:adjustRightInd w:val="0"/>
        <w:snapToGrid w:val="0"/>
        <w:spacing w:line="500" w:lineRule="exact"/>
        <w:ind w:firstLineChars="200" w:firstLine="482"/>
        <w:rPr>
          <w:rFonts w:ascii="Calibri" w:eastAsia="宋体" w:hAnsi="Calibri" w:cs="Times New Roman"/>
          <w:b/>
          <w:sz w:val="24"/>
        </w:rPr>
      </w:pPr>
      <w:r w:rsidRPr="00C32AC2">
        <w:rPr>
          <w:rFonts w:ascii="Calibri" w:eastAsia="宋体" w:hAnsi="Calibri" w:cs="Times New Roman"/>
          <w:b/>
          <w:sz w:val="24"/>
        </w:rPr>
        <w:t>本章主要教学内容：</w:t>
      </w:r>
    </w:p>
    <w:p w14:paraId="276E9A09"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1.1复习足球运动中的踢、停、运、顶、</w:t>
      </w:r>
      <w:proofErr w:type="gramStart"/>
      <w:r w:rsidRPr="00C32AC2">
        <w:rPr>
          <w:rFonts w:ascii="宋体" w:eastAsia="宋体" w:hAnsi="宋体" w:cs="宋体" w:hint="eastAsia"/>
          <w:sz w:val="24"/>
        </w:rPr>
        <w:t>射等技术</w:t>
      </w:r>
      <w:proofErr w:type="gramEnd"/>
      <w:r w:rsidRPr="00C32AC2">
        <w:rPr>
          <w:rFonts w:ascii="宋体" w:eastAsia="宋体" w:hAnsi="宋体" w:cs="宋体" w:hint="eastAsia"/>
          <w:sz w:val="24"/>
        </w:rPr>
        <w:t>。</w:t>
      </w:r>
    </w:p>
    <w:p w14:paraId="59182149"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1.2复习各种停球:脚掌停球、脚背内侧停球、脚背正面停球、大腿停球、胸部停球。</w:t>
      </w:r>
    </w:p>
    <w:p w14:paraId="0DC1DB71"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1.3复习各种运球：脚背正面、脚背内侧、脚背外侧等。</w:t>
      </w:r>
    </w:p>
    <w:p w14:paraId="610C436F"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1.4学习头顶球；</w:t>
      </w:r>
    </w:p>
    <w:p w14:paraId="2E83DACF"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1.5传运射组合技术；</w:t>
      </w:r>
    </w:p>
    <w:p w14:paraId="136DF6BE"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1.6运球过杆射门技术；</w:t>
      </w:r>
    </w:p>
    <w:p w14:paraId="7C9F8BB2"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1.7下底传中跟进射门技术；</w:t>
      </w:r>
    </w:p>
    <w:p w14:paraId="0FBF201B"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1.8抢截球技术；</w:t>
      </w:r>
    </w:p>
    <w:p w14:paraId="323F69C7"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1.9铲球技术。</w:t>
      </w:r>
    </w:p>
    <w:p w14:paraId="45C9B316" w14:textId="77777777" w:rsidR="00C32AC2" w:rsidRPr="00C32AC2" w:rsidRDefault="00C32AC2" w:rsidP="00C32AC2">
      <w:pPr>
        <w:adjustRightInd w:val="0"/>
        <w:snapToGrid w:val="0"/>
        <w:spacing w:line="500" w:lineRule="exact"/>
        <w:ind w:firstLineChars="200" w:firstLine="482"/>
        <w:rPr>
          <w:rFonts w:ascii="Calibri" w:eastAsia="宋体" w:hAnsi="Calibri" w:cs="Times New Roman"/>
          <w:sz w:val="24"/>
        </w:rPr>
      </w:pPr>
      <w:r w:rsidRPr="00C32AC2">
        <w:rPr>
          <w:rFonts w:ascii="Calibri" w:eastAsia="宋体" w:hAnsi="Calibri" w:cs="Times New Roman" w:hint="eastAsia"/>
          <w:b/>
          <w:sz w:val="24"/>
        </w:rPr>
        <w:t>本章教学目的及要求</w:t>
      </w:r>
      <w:r w:rsidRPr="00C32AC2">
        <w:rPr>
          <w:rFonts w:ascii="Calibri" w:eastAsia="宋体" w:hAnsi="Calibri" w:cs="Times New Roman" w:hint="eastAsia"/>
          <w:sz w:val="24"/>
        </w:rPr>
        <w:t>：使学生掌握足球基本技术要领，并能够熟练应用踢、停、运、顶、</w:t>
      </w:r>
      <w:proofErr w:type="gramStart"/>
      <w:r w:rsidRPr="00C32AC2">
        <w:rPr>
          <w:rFonts w:ascii="Calibri" w:eastAsia="宋体" w:hAnsi="Calibri" w:cs="Times New Roman" w:hint="eastAsia"/>
          <w:sz w:val="24"/>
        </w:rPr>
        <w:t>射等技术</w:t>
      </w:r>
      <w:proofErr w:type="gramEnd"/>
      <w:r w:rsidRPr="00C32AC2">
        <w:rPr>
          <w:rFonts w:ascii="Calibri" w:eastAsia="宋体" w:hAnsi="Calibri" w:cs="Times New Roman" w:hint="eastAsia"/>
          <w:sz w:val="24"/>
        </w:rPr>
        <w:t>动作。</w:t>
      </w:r>
      <w:r w:rsidRPr="00C32AC2">
        <w:rPr>
          <w:rFonts w:ascii="Calibri" w:eastAsia="宋体" w:hAnsi="Calibri" w:cs="Times New Roman" w:hint="eastAsia"/>
          <w:sz w:val="24"/>
        </w:rPr>
        <w:t xml:space="preserve"> </w:t>
      </w:r>
    </w:p>
    <w:p w14:paraId="65E82AE2" w14:textId="77777777" w:rsidR="00C32AC2" w:rsidRPr="00C32AC2" w:rsidRDefault="00C32AC2" w:rsidP="00C32AC2">
      <w:pPr>
        <w:adjustRightInd w:val="0"/>
        <w:snapToGrid w:val="0"/>
        <w:spacing w:line="500" w:lineRule="exact"/>
        <w:ind w:firstLineChars="200" w:firstLine="482"/>
        <w:rPr>
          <w:rFonts w:ascii="宋体" w:eastAsia="宋体" w:hAnsi="宋体" w:cs="Times New Roman"/>
          <w:sz w:val="24"/>
        </w:rPr>
      </w:pPr>
      <w:r w:rsidRPr="00C32AC2">
        <w:rPr>
          <w:rFonts w:ascii="Calibri" w:eastAsia="宋体" w:hAnsi="Calibri" w:cs="Times New Roman" w:hint="eastAsia"/>
          <w:b/>
          <w:sz w:val="24"/>
        </w:rPr>
        <w:t>本章教学重点及难点</w:t>
      </w:r>
      <w:r w:rsidRPr="00C32AC2">
        <w:rPr>
          <w:rFonts w:ascii="Calibri" w:eastAsia="宋体" w:hAnsi="Calibri" w:cs="Times New Roman" w:hint="eastAsia"/>
          <w:sz w:val="24"/>
        </w:rPr>
        <w:t>：掌握足球基本技术要领、动作发力时机、灵活运用。</w:t>
      </w:r>
      <w:r w:rsidRPr="00C32AC2">
        <w:rPr>
          <w:rFonts w:ascii="宋体" w:eastAsia="宋体" w:hAnsi="宋体" w:cs="Times New Roman"/>
          <w:sz w:val="24"/>
        </w:rPr>
        <w:t xml:space="preserve"> </w:t>
      </w:r>
    </w:p>
    <w:p w14:paraId="16C1FC6B" w14:textId="77777777" w:rsidR="00C32AC2" w:rsidRPr="00C32AC2" w:rsidRDefault="00C32AC2" w:rsidP="00C32AC2">
      <w:pPr>
        <w:adjustRightInd w:val="0"/>
        <w:snapToGrid w:val="0"/>
        <w:spacing w:beforeLines="50" w:before="156" w:afterLines="50" w:after="156" w:line="500" w:lineRule="exact"/>
        <w:jc w:val="center"/>
        <w:rPr>
          <w:rFonts w:ascii="宋体" w:eastAsia="宋体" w:hAnsi="宋体" w:cs="Times New Roman"/>
          <w:b/>
          <w:sz w:val="28"/>
          <w:szCs w:val="28"/>
        </w:rPr>
      </w:pPr>
      <w:r w:rsidRPr="00C32AC2">
        <w:rPr>
          <w:rFonts w:ascii="宋体" w:eastAsia="宋体" w:hAnsi="宋体" w:cs="Times New Roman" w:hint="eastAsia"/>
          <w:b/>
          <w:sz w:val="28"/>
          <w:szCs w:val="28"/>
        </w:rPr>
        <w:t>第二章  基本战术（8学时）</w:t>
      </w:r>
    </w:p>
    <w:p w14:paraId="2AFD3FF5" w14:textId="77777777" w:rsidR="00C32AC2" w:rsidRPr="00C32AC2" w:rsidRDefault="00C32AC2" w:rsidP="00C32AC2">
      <w:pPr>
        <w:adjustRightInd w:val="0"/>
        <w:snapToGrid w:val="0"/>
        <w:spacing w:line="500" w:lineRule="exact"/>
        <w:ind w:firstLineChars="200" w:firstLine="482"/>
        <w:rPr>
          <w:rFonts w:ascii="Calibri" w:eastAsia="宋体" w:hAnsi="Calibri" w:cs="Times New Roman"/>
          <w:b/>
          <w:sz w:val="24"/>
        </w:rPr>
      </w:pPr>
      <w:r w:rsidRPr="00C32AC2">
        <w:rPr>
          <w:rFonts w:ascii="Calibri" w:eastAsia="宋体" w:hAnsi="Calibri" w:cs="Times New Roman"/>
          <w:b/>
          <w:sz w:val="24"/>
        </w:rPr>
        <w:lastRenderedPageBreak/>
        <w:t>本章主要教学内容：</w:t>
      </w:r>
    </w:p>
    <w:p w14:paraId="508B5E7D"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2.1比赛阵型及站位；</w:t>
      </w:r>
    </w:p>
    <w:p w14:paraId="0DB4BC00"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2.2个人进攻及防守战术；</w:t>
      </w:r>
    </w:p>
    <w:p w14:paraId="699D16A0"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2.3“二过一”进攻战术；</w:t>
      </w:r>
    </w:p>
    <w:p w14:paraId="4A79F508"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2.4“三过二”进攻战术；</w:t>
      </w:r>
    </w:p>
    <w:p w14:paraId="43BA05E1"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2.5全队的进攻战术；</w:t>
      </w:r>
    </w:p>
    <w:p w14:paraId="528057A3"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2.6全队的防守战术等。</w:t>
      </w:r>
    </w:p>
    <w:p w14:paraId="20AEEC52" w14:textId="77777777" w:rsidR="00C32AC2" w:rsidRPr="00C32AC2" w:rsidRDefault="00C32AC2" w:rsidP="00C32AC2">
      <w:pPr>
        <w:adjustRightInd w:val="0"/>
        <w:snapToGrid w:val="0"/>
        <w:spacing w:line="500" w:lineRule="exact"/>
        <w:ind w:firstLineChars="200" w:firstLine="482"/>
        <w:rPr>
          <w:rFonts w:ascii="Calibri" w:eastAsia="宋体" w:hAnsi="Calibri" w:cs="Times New Roman"/>
          <w:sz w:val="24"/>
        </w:rPr>
      </w:pPr>
      <w:r w:rsidRPr="00C32AC2">
        <w:rPr>
          <w:rFonts w:ascii="Calibri" w:eastAsia="宋体" w:hAnsi="Calibri" w:cs="Times New Roman" w:hint="eastAsia"/>
          <w:b/>
          <w:sz w:val="24"/>
        </w:rPr>
        <w:t>教学目的及要求</w:t>
      </w:r>
      <w:r w:rsidRPr="00C32AC2">
        <w:rPr>
          <w:rFonts w:ascii="Calibri" w:eastAsia="宋体" w:hAnsi="Calibri" w:cs="Times New Roman" w:hint="eastAsia"/>
          <w:sz w:val="24"/>
        </w:rPr>
        <w:t>：使学生掌握足球基本战术要领，并能够熟练应用。</w:t>
      </w:r>
      <w:r w:rsidRPr="00C32AC2">
        <w:rPr>
          <w:rFonts w:ascii="Calibri" w:eastAsia="宋体" w:hAnsi="Calibri" w:cs="Times New Roman" w:hint="eastAsia"/>
          <w:sz w:val="24"/>
        </w:rPr>
        <w:t xml:space="preserve"> </w:t>
      </w:r>
    </w:p>
    <w:p w14:paraId="71ACD30A" w14:textId="77777777" w:rsidR="00C32AC2" w:rsidRPr="00C32AC2" w:rsidRDefault="00C32AC2" w:rsidP="00C32AC2">
      <w:pPr>
        <w:adjustRightInd w:val="0"/>
        <w:snapToGrid w:val="0"/>
        <w:spacing w:line="500" w:lineRule="exact"/>
        <w:ind w:firstLineChars="200" w:firstLine="482"/>
        <w:rPr>
          <w:rFonts w:ascii="宋体" w:eastAsia="宋体" w:hAnsi="宋体" w:cs="Times New Roman"/>
          <w:sz w:val="24"/>
        </w:rPr>
      </w:pPr>
      <w:r w:rsidRPr="00C32AC2">
        <w:rPr>
          <w:rFonts w:ascii="Calibri" w:eastAsia="宋体" w:hAnsi="Calibri" w:cs="Times New Roman" w:hint="eastAsia"/>
          <w:b/>
          <w:sz w:val="24"/>
        </w:rPr>
        <w:t>教学重点及难点</w:t>
      </w:r>
      <w:r w:rsidRPr="00C32AC2">
        <w:rPr>
          <w:rFonts w:ascii="Calibri" w:eastAsia="宋体" w:hAnsi="Calibri" w:cs="Times New Roman" w:hint="eastAsia"/>
          <w:sz w:val="24"/>
        </w:rPr>
        <w:t>：战术应用的灵活性、准确性、合理性。</w:t>
      </w:r>
    </w:p>
    <w:p w14:paraId="0E290AE4" w14:textId="77777777" w:rsidR="00C32AC2" w:rsidRPr="00C32AC2" w:rsidRDefault="00C32AC2" w:rsidP="00C32AC2">
      <w:pPr>
        <w:adjustRightInd w:val="0"/>
        <w:snapToGrid w:val="0"/>
        <w:spacing w:beforeLines="50" w:before="156" w:afterLines="50" w:after="156" w:line="500" w:lineRule="exact"/>
        <w:jc w:val="center"/>
        <w:rPr>
          <w:rFonts w:ascii="宋体" w:eastAsia="宋体" w:hAnsi="宋体" w:cs="Times New Roman"/>
          <w:b/>
          <w:sz w:val="28"/>
          <w:szCs w:val="28"/>
        </w:rPr>
      </w:pPr>
      <w:r w:rsidRPr="00C32AC2">
        <w:rPr>
          <w:rFonts w:ascii="宋体" w:eastAsia="宋体" w:hAnsi="宋体" w:cs="Times New Roman" w:hint="eastAsia"/>
          <w:b/>
          <w:sz w:val="28"/>
          <w:szCs w:val="28"/>
        </w:rPr>
        <w:t>第三章  教学比赛、裁判实习（8学时）</w:t>
      </w:r>
    </w:p>
    <w:p w14:paraId="579381CD" w14:textId="77777777" w:rsidR="00C32AC2" w:rsidRPr="00C32AC2" w:rsidRDefault="00C32AC2" w:rsidP="00C32AC2">
      <w:pPr>
        <w:spacing w:line="360" w:lineRule="auto"/>
        <w:ind w:firstLineChars="200" w:firstLine="482"/>
        <w:rPr>
          <w:rFonts w:ascii="Calibri" w:eastAsia="宋体" w:hAnsi="Calibri" w:cs="Times New Roman"/>
          <w:b/>
          <w:sz w:val="24"/>
        </w:rPr>
      </w:pPr>
      <w:r w:rsidRPr="00C32AC2">
        <w:rPr>
          <w:rFonts w:ascii="Calibri" w:eastAsia="宋体" w:hAnsi="Calibri" w:cs="Times New Roman"/>
          <w:b/>
          <w:sz w:val="24"/>
        </w:rPr>
        <w:t>本章主要教学内容：</w:t>
      </w:r>
    </w:p>
    <w:p w14:paraId="50E77F6C"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3.1《足球与裁判罚规则》，哨音、旗语、记录单填写等。</w:t>
      </w:r>
    </w:p>
    <w:p w14:paraId="5C1025EE"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 xml:space="preserve">3.2教学目的及要求：使学生掌握足球比赛规则，裁判方法，对比赛的良好控制。 </w:t>
      </w:r>
    </w:p>
    <w:p w14:paraId="728BF12D" w14:textId="77777777" w:rsidR="00C32AC2" w:rsidRPr="00C32AC2" w:rsidRDefault="00C32AC2" w:rsidP="00C32AC2">
      <w:pPr>
        <w:adjustRightInd w:val="0"/>
        <w:snapToGrid w:val="0"/>
        <w:spacing w:line="500" w:lineRule="exact"/>
        <w:ind w:firstLineChars="200" w:firstLine="482"/>
        <w:rPr>
          <w:rFonts w:ascii="宋体" w:eastAsia="宋体" w:hAnsi="宋体" w:cs="Times New Roman"/>
          <w:b/>
          <w:sz w:val="28"/>
          <w:szCs w:val="28"/>
        </w:rPr>
      </w:pPr>
      <w:r w:rsidRPr="00C32AC2">
        <w:rPr>
          <w:rFonts w:ascii="Calibri" w:eastAsia="宋体" w:hAnsi="Calibri" w:cs="Times New Roman" w:hint="eastAsia"/>
          <w:b/>
          <w:sz w:val="24"/>
        </w:rPr>
        <w:t>教学重点及难点</w:t>
      </w:r>
      <w:r w:rsidRPr="00C32AC2">
        <w:rPr>
          <w:rFonts w:ascii="Calibri" w:eastAsia="宋体" w:hAnsi="Calibri" w:cs="Times New Roman" w:hint="eastAsia"/>
          <w:sz w:val="24"/>
        </w:rPr>
        <w:t>：使学生掌握足球运动</w:t>
      </w:r>
      <w:r w:rsidRPr="00C32AC2">
        <w:rPr>
          <w:rFonts w:ascii="Calibri" w:eastAsia="宋体" w:hAnsi="Calibri" w:cs="Times New Roman" w:hint="eastAsia"/>
          <w:sz w:val="24"/>
        </w:rPr>
        <w:t>5</w:t>
      </w:r>
      <w:proofErr w:type="gramStart"/>
      <w:r w:rsidRPr="00C32AC2">
        <w:rPr>
          <w:rFonts w:ascii="Calibri" w:eastAsia="宋体" w:hAnsi="Calibri" w:cs="Times New Roman" w:hint="eastAsia"/>
          <w:sz w:val="24"/>
        </w:rPr>
        <w:t>人制</w:t>
      </w:r>
      <w:proofErr w:type="gramEnd"/>
      <w:r w:rsidRPr="00C32AC2">
        <w:rPr>
          <w:rFonts w:ascii="Calibri" w:eastAsia="宋体" w:hAnsi="Calibri" w:cs="Times New Roman" w:hint="eastAsia"/>
          <w:sz w:val="24"/>
        </w:rPr>
        <w:t>、</w:t>
      </w:r>
      <w:r w:rsidRPr="00C32AC2">
        <w:rPr>
          <w:rFonts w:ascii="Calibri" w:eastAsia="宋体" w:hAnsi="Calibri" w:cs="Times New Roman" w:hint="eastAsia"/>
          <w:sz w:val="24"/>
        </w:rPr>
        <w:t>7</w:t>
      </w:r>
      <w:proofErr w:type="gramStart"/>
      <w:r w:rsidRPr="00C32AC2">
        <w:rPr>
          <w:rFonts w:ascii="Calibri" w:eastAsia="宋体" w:hAnsi="Calibri" w:cs="Times New Roman" w:hint="eastAsia"/>
          <w:sz w:val="24"/>
        </w:rPr>
        <w:t>人制</w:t>
      </w:r>
      <w:proofErr w:type="gramEnd"/>
      <w:r w:rsidRPr="00C32AC2">
        <w:rPr>
          <w:rFonts w:ascii="Calibri" w:eastAsia="宋体" w:hAnsi="Calibri" w:cs="Times New Roman" w:hint="eastAsia"/>
          <w:sz w:val="24"/>
        </w:rPr>
        <w:t>、</w:t>
      </w:r>
      <w:r w:rsidRPr="00C32AC2">
        <w:rPr>
          <w:rFonts w:ascii="Calibri" w:eastAsia="宋体" w:hAnsi="Calibri" w:cs="Times New Roman" w:hint="eastAsia"/>
          <w:sz w:val="24"/>
        </w:rPr>
        <w:t>11</w:t>
      </w:r>
      <w:proofErr w:type="gramStart"/>
      <w:r w:rsidRPr="00C32AC2">
        <w:rPr>
          <w:rFonts w:ascii="Calibri" w:eastAsia="宋体" w:hAnsi="Calibri" w:cs="Times New Roman" w:hint="eastAsia"/>
          <w:sz w:val="24"/>
        </w:rPr>
        <w:t>人制</w:t>
      </w:r>
      <w:proofErr w:type="gramEnd"/>
      <w:r w:rsidRPr="00C32AC2">
        <w:rPr>
          <w:rFonts w:ascii="Calibri" w:eastAsia="宋体" w:hAnsi="Calibri" w:cs="Times New Roman" w:hint="eastAsia"/>
          <w:sz w:val="24"/>
        </w:rPr>
        <w:t>比赛规则。</w:t>
      </w:r>
    </w:p>
    <w:p w14:paraId="7DB043C1" w14:textId="77777777" w:rsidR="00C32AC2" w:rsidRPr="00C32AC2" w:rsidRDefault="00C32AC2" w:rsidP="00C32AC2">
      <w:pPr>
        <w:adjustRightInd w:val="0"/>
        <w:snapToGrid w:val="0"/>
        <w:spacing w:beforeLines="50" w:before="156" w:afterLines="50" w:after="156" w:line="500" w:lineRule="exact"/>
        <w:jc w:val="center"/>
        <w:rPr>
          <w:rFonts w:ascii="Arial" w:eastAsia="宋体" w:hAnsi="Arial" w:cs="Arial"/>
          <w:b/>
          <w:sz w:val="28"/>
          <w:szCs w:val="28"/>
        </w:rPr>
      </w:pPr>
      <w:r w:rsidRPr="00C32AC2">
        <w:rPr>
          <w:rFonts w:ascii="宋体" w:eastAsia="宋体" w:hAnsi="宋体" w:cs="Times New Roman" w:hint="eastAsia"/>
          <w:b/>
          <w:sz w:val="28"/>
          <w:szCs w:val="28"/>
        </w:rPr>
        <w:t xml:space="preserve">第四章   </w:t>
      </w:r>
      <w:r w:rsidRPr="00C32AC2">
        <w:rPr>
          <w:rFonts w:ascii="Arial" w:eastAsia="宋体" w:hAnsi="Arial" w:cs="Arial"/>
          <w:b/>
          <w:sz w:val="28"/>
          <w:szCs w:val="28"/>
        </w:rPr>
        <w:t>大</w:t>
      </w:r>
      <w:r w:rsidRPr="00C32AC2">
        <w:rPr>
          <w:rFonts w:ascii="Arial" w:eastAsia="宋体" w:hAnsi="Calibri" w:cs="Arial" w:hint="eastAsia"/>
          <w:b/>
          <w:sz w:val="28"/>
          <w:szCs w:val="28"/>
        </w:rPr>
        <w:t>学生体质健康测评（</w:t>
      </w:r>
      <w:r w:rsidRPr="00C32AC2">
        <w:rPr>
          <w:rFonts w:ascii="Arial" w:eastAsia="宋体" w:hAnsi="Calibri" w:cs="Arial" w:hint="eastAsia"/>
          <w:b/>
          <w:sz w:val="28"/>
          <w:szCs w:val="28"/>
        </w:rPr>
        <w:t>4</w:t>
      </w:r>
      <w:r w:rsidRPr="00C32AC2">
        <w:rPr>
          <w:rFonts w:ascii="Arial" w:eastAsia="宋体" w:hAnsi="Calibri" w:cs="Arial" w:hint="eastAsia"/>
          <w:b/>
          <w:sz w:val="28"/>
          <w:szCs w:val="28"/>
        </w:rPr>
        <w:t>学时）</w:t>
      </w:r>
    </w:p>
    <w:p w14:paraId="6E243F6B"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7FA1D2E5"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4.1 《国家学生体质健康标准》实施说明</w:t>
      </w:r>
    </w:p>
    <w:p w14:paraId="7E249219"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4.2 《国家学生体质健康标准》测试评分表</w:t>
      </w:r>
    </w:p>
    <w:p w14:paraId="5C05D379" w14:textId="77777777" w:rsidR="00C32AC2" w:rsidRPr="00C32AC2" w:rsidRDefault="00C32AC2" w:rsidP="00C32AC2">
      <w:pPr>
        <w:spacing w:line="360" w:lineRule="auto"/>
        <w:ind w:firstLineChars="196" w:firstLine="472"/>
        <w:rPr>
          <w:rFonts w:ascii="Calibri" w:eastAsia="宋体" w:hAnsi="Calibri" w:cs="Times New Roman"/>
          <w:bCs/>
          <w:sz w:val="24"/>
        </w:rPr>
      </w:pPr>
      <w:r w:rsidRPr="00C32AC2">
        <w:rPr>
          <w:rFonts w:ascii="Arial" w:eastAsia="宋体" w:hAnsi="Calibri" w:cs="Arial" w:hint="eastAsia"/>
          <w:b/>
          <w:sz w:val="24"/>
        </w:rPr>
        <w:t>本章教学目的及要求：</w:t>
      </w:r>
      <w:r w:rsidRPr="00C32AC2">
        <w:rPr>
          <w:rFonts w:ascii="Calibri" w:eastAsia="宋体" w:hAnsi="Calibri" w:cs="Times New Roman" w:hint="eastAsia"/>
          <w:bCs/>
          <w:sz w:val="24"/>
        </w:rPr>
        <w:t>使学生了解体质健康的主要内容及要求。</w:t>
      </w:r>
    </w:p>
    <w:p w14:paraId="668EB5AD" w14:textId="77777777" w:rsidR="00C32AC2" w:rsidRPr="00C32AC2" w:rsidRDefault="00C32AC2" w:rsidP="00C32AC2">
      <w:pPr>
        <w:spacing w:line="360" w:lineRule="auto"/>
        <w:ind w:firstLineChars="196" w:firstLine="472"/>
        <w:rPr>
          <w:rFonts w:ascii="宋体" w:eastAsia="宋体" w:hAnsi="宋体" w:cs="宋体"/>
          <w:sz w:val="24"/>
        </w:rPr>
      </w:pPr>
      <w:r w:rsidRPr="00C32AC2">
        <w:rPr>
          <w:rFonts w:ascii="Arial" w:eastAsia="宋体" w:hAnsi="Calibri" w:cs="Arial" w:hint="eastAsia"/>
          <w:b/>
          <w:sz w:val="24"/>
        </w:rPr>
        <w:t>本章教学重点及难点：</w:t>
      </w:r>
      <w:r w:rsidRPr="00C32AC2">
        <w:rPr>
          <w:rFonts w:ascii="Arial" w:eastAsia="宋体" w:hAnsi="Calibri" w:cs="Arial" w:hint="eastAsia"/>
          <w:sz w:val="24"/>
        </w:rPr>
        <w:t>学生体质健康标准的重要性；如何激发学生锻炼身体的积极性和自觉性。</w:t>
      </w:r>
    </w:p>
    <w:p w14:paraId="0BDC9D32" w14:textId="77777777" w:rsidR="00791904" w:rsidRDefault="00791904" w:rsidP="00C32AC2">
      <w:pPr>
        <w:spacing w:beforeLines="50" w:before="156" w:afterLines="50" w:after="156" w:line="440" w:lineRule="exact"/>
        <w:ind w:firstLineChars="200" w:firstLine="560"/>
        <w:jc w:val="center"/>
        <w:rPr>
          <w:rFonts w:ascii="黑体" w:eastAsia="黑体" w:hAnsi="黑体" w:cs="Times New Roman"/>
          <w:sz w:val="28"/>
          <w:szCs w:val="28"/>
        </w:rPr>
      </w:pPr>
    </w:p>
    <w:p w14:paraId="2987377F" w14:textId="77777777" w:rsidR="00C32AC2" w:rsidRPr="00C32AC2" w:rsidRDefault="00C32AC2" w:rsidP="00C32AC2">
      <w:pPr>
        <w:spacing w:beforeLines="50" w:before="156" w:afterLines="50" w:after="156" w:line="440" w:lineRule="exact"/>
        <w:ind w:firstLineChars="200" w:firstLine="560"/>
        <w:jc w:val="center"/>
        <w:rPr>
          <w:rFonts w:ascii="黑体" w:eastAsia="黑体" w:hAnsi="黑体" w:cs="Times New Roman"/>
          <w:sz w:val="28"/>
          <w:szCs w:val="28"/>
        </w:rPr>
      </w:pPr>
      <w:r w:rsidRPr="00C32AC2">
        <w:rPr>
          <w:rFonts w:ascii="黑体" w:eastAsia="黑体" w:hAnsi="黑体" w:cs="Times New Roman" w:hint="eastAsia"/>
          <w:sz w:val="28"/>
          <w:szCs w:val="28"/>
        </w:rPr>
        <w:t>学习内容四 足球 3</w:t>
      </w:r>
    </w:p>
    <w:p w14:paraId="4368BCAF"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C32AC2">
        <w:rPr>
          <w:rFonts w:ascii="宋体" w:eastAsia="宋体" w:hAnsi="宋体" w:cs="Times New Roman" w:hint="eastAsia"/>
          <w:b/>
          <w:sz w:val="24"/>
        </w:rPr>
        <w:t>【学习目标】</w:t>
      </w:r>
    </w:p>
    <w:p w14:paraId="241B4C3C"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1.</w:t>
      </w:r>
      <w:r w:rsidRPr="00C32AC2">
        <w:rPr>
          <w:rFonts w:ascii="宋体" w:eastAsia="宋体" w:hAnsi="宋体" w:cs="仿宋_GB2312" w:hint="eastAsia"/>
          <w:sz w:val="24"/>
        </w:rPr>
        <w:t>树立现代化体育意识，把健康与生存、学习、生活和自身的发展联系起来，提</w:t>
      </w:r>
      <w:r w:rsidRPr="00C32AC2">
        <w:rPr>
          <w:rFonts w:ascii="宋体" w:eastAsia="宋体" w:hAnsi="宋体" w:cs="仿宋_GB2312" w:hint="eastAsia"/>
          <w:sz w:val="24"/>
        </w:rPr>
        <w:lastRenderedPageBreak/>
        <w:t>高体育的兴趣和体育比赛的欣赏能力，养成积极自觉参加体育锻炼的习惯。</w:t>
      </w:r>
      <w:r w:rsidRPr="00C32AC2">
        <w:rPr>
          <w:rFonts w:ascii="宋体" w:eastAsia="宋体" w:hAnsi="Calibri" w:cs="宋体" w:hint="eastAsia"/>
          <w:spacing w:val="5"/>
          <w:kern w:val="0"/>
          <w:sz w:val="24"/>
        </w:rPr>
        <w:t>通过体能教学活动，</w:t>
      </w:r>
      <w:r w:rsidRPr="00C32AC2">
        <w:rPr>
          <w:rFonts w:ascii="宋体" w:eastAsia="宋体" w:hAnsi="宋体" w:cs="仿宋_GB2312" w:hint="eastAsia"/>
          <w:sz w:val="24"/>
        </w:rPr>
        <w:t>了解《大学生体质健康标准测验》项目内容、考核方式、评价标准，掌握考核内容锻炼的方式方法。</w:t>
      </w:r>
      <w:r w:rsidRPr="00C32AC2">
        <w:rPr>
          <w:rFonts w:ascii="宋体" w:eastAsia="宋体" w:hAnsi="Calibri" w:cs="宋体" w:hint="eastAsia"/>
          <w:spacing w:val="5"/>
          <w:kern w:val="0"/>
          <w:sz w:val="24"/>
        </w:rPr>
        <w:t>培养学生努力学习、不断进取、修身立业、顽强奋进的精神与品质。</w:t>
      </w:r>
    </w:p>
    <w:p w14:paraId="46485849"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2.</w:t>
      </w:r>
      <w:r w:rsidRPr="00C32A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32AC2">
        <w:rPr>
          <w:rFonts w:ascii="宋体" w:eastAsia="宋体" w:hAnsi="Calibri" w:cs="宋体" w:hint="eastAsia"/>
          <w:spacing w:val="5"/>
          <w:kern w:val="0"/>
          <w:sz w:val="24"/>
        </w:rPr>
        <w:t>。</w:t>
      </w:r>
    </w:p>
    <w:p w14:paraId="606FD517"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3.</w:t>
      </w:r>
      <w:r w:rsidRPr="00C32AC2">
        <w:rPr>
          <w:rFonts w:ascii="宋体" w:eastAsia="宋体" w:hAnsi="宋体" w:cs="仿宋_GB2312" w:hint="eastAsia"/>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C32AC2">
        <w:rPr>
          <w:rFonts w:ascii="宋体" w:eastAsia="宋体" w:hAnsi="Calibri" w:cs="宋体" w:hint="eastAsia"/>
          <w:spacing w:val="5"/>
          <w:kern w:val="0"/>
          <w:sz w:val="24"/>
        </w:rPr>
        <w:t>。</w:t>
      </w:r>
    </w:p>
    <w:p w14:paraId="3D4EB4C3" w14:textId="77777777" w:rsidR="00C32AC2" w:rsidRPr="00C32AC2" w:rsidRDefault="00C32AC2" w:rsidP="00C32AC2">
      <w:pPr>
        <w:spacing w:line="440" w:lineRule="exact"/>
        <w:ind w:firstLineChars="200" w:firstLine="500"/>
        <w:rPr>
          <w:rFonts w:ascii="宋体" w:eastAsia="宋体" w:hAnsi="宋体" w:cs="Times New Roman"/>
          <w:b/>
          <w:sz w:val="24"/>
        </w:rPr>
      </w:pPr>
      <w:r w:rsidRPr="00C32AC2">
        <w:rPr>
          <w:rFonts w:ascii="宋体" w:eastAsia="宋体" w:hAnsi="Calibri" w:cs="宋体" w:hint="eastAsia"/>
          <w:spacing w:val="5"/>
          <w:kern w:val="0"/>
          <w:sz w:val="24"/>
        </w:rPr>
        <w:t>4.</w:t>
      </w:r>
      <w:r w:rsidRPr="00C32A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32AC2">
        <w:rPr>
          <w:rFonts w:ascii="宋体" w:eastAsia="宋体" w:hAnsi="Calibri" w:cs="宋体" w:hint="eastAsia"/>
          <w:spacing w:val="5"/>
          <w:kern w:val="0"/>
          <w:sz w:val="24"/>
        </w:rPr>
        <w:t>。</w:t>
      </w:r>
    </w:p>
    <w:p w14:paraId="0F797BC7" w14:textId="77777777" w:rsidR="00C32AC2" w:rsidRPr="00C32AC2" w:rsidRDefault="00C32AC2" w:rsidP="00C32AC2">
      <w:pPr>
        <w:spacing w:line="440" w:lineRule="exact"/>
        <w:ind w:firstLineChars="200" w:firstLine="482"/>
        <w:rPr>
          <w:rFonts w:ascii="宋体" w:eastAsia="宋体" w:hAnsi="宋体" w:cs="Times New Roman"/>
          <w:bCs/>
          <w:color w:val="FF0000"/>
          <w:sz w:val="24"/>
        </w:rPr>
      </w:pPr>
      <w:r w:rsidRPr="00C32AC2">
        <w:rPr>
          <w:rFonts w:ascii="宋体" w:eastAsia="宋体" w:hAnsi="宋体" w:cs="Times New Roman" w:hint="eastAsia"/>
          <w:b/>
          <w:sz w:val="24"/>
        </w:rPr>
        <w:t>【学习内容】</w:t>
      </w:r>
    </w:p>
    <w:p w14:paraId="428E3A17" w14:textId="77777777" w:rsidR="00C32AC2" w:rsidRPr="00C32AC2" w:rsidRDefault="00C32AC2" w:rsidP="00C32AC2">
      <w:pPr>
        <w:adjustRightInd w:val="0"/>
        <w:snapToGrid w:val="0"/>
        <w:spacing w:beforeLines="50" w:before="156" w:afterLines="50" w:after="156" w:line="500" w:lineRule="exact"/>
        <w:jc w:val="center"/>
        <w:rPr>
          <w:rFonts w:ascii="宋体" w:eastAsia="宋体" w:hAnsi="宋体" w:cs="Times New Roman"/>
          <w:b/>
          <w:sz w:val="28"/>
          <w:szCs w:val="28"/>
        </w:rPr>
      </w:pPr>
      <w:r w:rsidRPr="00C32AC2">
        <w:rPr>
          <w:rFonts w:ascii="宋体" w:eastAsia="宋体" w:hAnsi="宋体" w:cs="Times New Roman" w:hint="eastAsia"/>
          <w:b/>
          <w:sz w:val="28"/>
          <w:szCs w:val="28"/>
        </w:rPr>
        <w:t>第一章  基本技术(16学时)</w:t>
      </w:r>
    </w:p>
    <w:p w14:paraId="6557520E" w14:textId="77777777" w:rsidR="00C32AC2" w:rsidRPr="00C32AC2" w:rsidRDefault="00C32AC2" w:rsidP="00C32AC2">
      <w:pPr>
        <w:adjustRightInd w:val="0"/>
        <w:snapToGrid w:val="0"/>
        <w:spacing w:line="500" w:lineRule="exact"/>
        <w:ind w:firstLineChars="200" w:firstLine="482"/>
        <w:rPr>
          <w:rFonts w:ascii="Calibri" w:eastAsia="宋体" w:hAnsi="Calibri" w:cs="Times New Roman"/>
          <w:b/>
          <w:sz w:val="24"/>
        </w:rPr>
      </w:pPr>
      <w:r w:rsidRPr="00C32AC2">
        <w:rPr>
          <w:rFonts w:ascii="Calibri" w:eastAsia="宋体" w:hAnsi="Calibri" w:cs="Times New Roman"/>
          <w:b/>
          <w:sz w:val="24"/>
        </w:rPr>
        <w:t>本章主要教学内容：</w:t>
      </w:r>
    </w:p>
    <w:p w14:paraId="61F3CAC9"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1.1运动中的踢、停、运、顶、</w:t>
      </w:r>
      <w:proofErr w:type="gramStart"/>
      <w:r w:rsidRPr="00C32AC2">
        <w:rPr>
          <w:rFonts w:ascii="宋体" w:eastAsia="宋体" w:hAnsi="宋体" w:cs="宋体" w:hint="eastAsia"/>
          <w:sz w:val="24"/>
        </w:rPr>
        <w:t>射等技术</w:t>
      </w:r>
      <w:proofErr w:type="gramEnd"/>
      <w:r w:rsidRPr="00C32AC2">
        <w:rPr>
          <w:rFonts w:ascii="宋体" w:eastAsia="宋体" w:hAnsi="宋体" w:cs="宋体" w:hint="eastAsia"/>
          <w:sz w:val="24"/>
        </w:rPr>
        <w:t>。</w:t>
      </w:r>
    </w:p>
    <w:p w14:paraId="60B769D8"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1.2侧踢球；</w:t>
      </w:r>
    </w:p>
    <w:p w14:paraId="776461BA"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1.3内侧踢球；</w:t>
      </w:r>
    </w:p>
    <w:p w14:paraId="610609BD"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1.4正面踢球；</w:t>
      </w:r>
    </w:p>
    <w:p w14:paraId="3FB08A87"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1.5停球:脚掌停球、脚背内侧停球、脚背正面停球、大腿停球、胸部停球。</w:t>
      </w:r>
    </w:p>
    <w:p w14:paraId="72BF21F9"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1.6运球：脚背正面、脚背内侧、脚背外侧等。</w:t>
      </w:r>
    </w:p>
    <w:p w14:paraId="298751DB"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lastRenderedPageBreak/>
        <w:t>1.7进间传接球技术；</w:t>
      </w:r>
    </w:p>
    <w:p w14:paraId="475C16E6"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1.8杆射门技术；</w:t>
      </w:r>
    </w:p>
    <w:p w14:paraId="32E75550" w14:textId="77777777" w:rsidR="00C32AC2" w:rsidRPr="00C32AC2" w:rsidRDefault="00C32AC2" w:rsidP="00C32AC2">
      <w:pPr>
        <w:adjustRightInd w:val="0"/>
        <w:snapToGrid w:val="0"/>
        <w:spacing w:line="500" w:lineRule="exact"/>
        <w:ind w:firstLineChars="200" w:firstLine="482"/>
        <w:rPr>
          <w:rFonts w:ascii="Calibri" w:eastAsia="宋体" w:hAnsi="Calibri" w:cs="Times New Roman"/>
          <w:sz w:val="24"/>
        </w:rPr>
      </w:pPr>
      <w:r w:rsidRPr="00C32AC2">
        <w:rPr>
          <w:rFonts w:ascii="Calibri" w:eastAsia="宋体" w:hAnsi="Calibri" w:cs="Times New Roman" w:hint="eastAsia"/>
          <w:b/>
          <w:sz w:val="24"/>
        </w:rPr>
        <w:t>本章教学目的及要求</w:t>
      </w:r>
      <w:r w:rsidRPr="00C32AC2">
        <w:rPr>
          <w:rFonts w:ascii="Calibri" w:eastAsia="宋体" w:hAnsi="Calibri" w:cs="Times New Roman" w:hint="eastAsia"/>
          <w:sz w:val="24"/>
        </w:rPr>
        <w:t>：使学生掌握足球基本技术要领，并能够熟练应用踢、停、运、顶、</w:t>
      </w:r>
      <w:proofErr w:type="gramStart"/>
      <w:r w:rsidRPr="00C32AC2">
        <w:rPr>
          <w:rFonts w:ascii="Calibri" w:eastAsia="宋体" w:hAnsi="Calibri" w:cs="Times New Roman" w:hint="eastAsia"/>
          <w:sz w:val="24"/>
        </w:rPr>
        <w:t>射等技术</w:t>
      </w:r>
      <w:proofErr w:type="gramEnd"/>
      <w:r w:rsidRPr="00C32AC2">
        <w:rPr>
          <w:rFonts w:ascii="Calibri" w:eastAsia="宋体" w:hAnsi="Calibri" w:cs="Times New Roman" w:hint="eastAsia"/>
          <w:sz w:val="24"/>
        </w:rPr>
        <w:t>动作。</w:t>
      </w:r>
      <w:r w:rsidRPr="00C32AC2">
        <w:rPr>
          <w:rFonts w:ascii="Calibri" w:eastAsia="宋体" w:hAnsi="Calibri" w:cs="Times New Roman" w:hint="eastAsia"/>
          <w:sz w:val="24"/>
        </w:rPr>
        <w:t xml:space="preserve"> </w:t>
      </w:r>
    </w:p>
    <w:p w14:paraId="6FC0BD25" w14:textId="77777777" w:rsidR="00C32AC2" w:rsidRPr="00C32AC2" w:rsidRDefault="00C32AC2" w:rsidP="00C32AC2">
      <w:pPr>
        <w:adjustRightInd w:val="0"/>
        <w:snapToGrid w:val="0"/>
        <w:spacing w:line="500" w:lineRule="exact"/>
        <w:ind w:firstLineChars="200" w:firstLine="482"/>
        <w:rPr>
          <w:rFonts w:ascii="宋体" w:eastAsia="宋体" w:hAnsi="宋体" w:cs="Times New Roman"/>
          <w:sz w:val="24"/>
        </w:rPr>
      </w:pPr>
      <w:r w:rsidRPr="00C32AC2">
        <w:rPr>
          <w:rFonts w:ascii="Calibri" w:eastAsia="宋体" w:hAnsi="Calibri" w:cs="Times New Roman" w:hint="eastAsia"/>
          <w:b/>
          <w:sz w:val="24"/>
        </w:rPr>
        <w:t>本章教学重点及难点</w:t>
      </w:r>
      <w:r w:rsidRPr="00C32AC2">
        <w:rPr>
          <w:rFonts w:ascii="Calibri" w:eastAsia="宋体" w:hAnsi="Calibri" w:cs="Times New Roman" w:hint="eastAsia"/>
          <w:sz w:val="24"/>
        </w:rPr>
        <w:t>：掌握足球基本技术要领、动作发力时机、灵活运用。</w:t>
      </w:r>
      <w:r w:rsidRPr="00C32AC2">
        <w:rPr>
          <w:rFonts w:ascii="宋体" w:eastAsia="宋体" w:hAnsi="宋体" w:cs="Times New Roman"/>
          <w:sz w:val="24"/>
        </w:rPr>
        <w:t xml:space="preserve"> </w:t>
      </w:r>
    </w:p>
    <w:p w14:paraId="50252189" w14:textId="77777777" w:rsidR="00C32AC2" w:rsidRPr="00C32AC2" w:rsidRDefault="00C32AC2" w:rsidP="00C32AC2">
      <w:pPr>
        <w:adjustRightInd w:val="0"/>
        <w:snapToGrid w:val="0"/>
        <w:spacing w:beforeLines="50" w:before="156" w:afterLines="50" w:after="156" w:line="500" w:lineRule="exact"/>
        <w:jc w:val="center"/>
        <w:rPr>
          <w:rFonts w:ascii="宋体" w:eastAsia="宋体" w:hAnsi="宋体" w:cs="Times New Roman"/>
          <w:b/>
          <w:sz w:val="28"/>
          <w:szCs w:val="28"/>
        </w:rPr>
      </w:pPr>
      <w:r w:rsidRPr="00C32AC2">
        <w:rPr>
          <w:rFonts w:ascii="宋体" w:eastAsia="宋体" w:hAnsi="宋体" w:cs="Times New Roman" w:hint="eastAsia"/>
          <w:b/>
          <w:sz w:val="28"/>
          <w:szCs w:val="28"/>
        </w:rPr>
        <w:t>第二章  基本战术（10学时）</w:t>
      </w:r>
    </w:p>
    <w:p w14:paraId="3B847098" w14:textId="77777777" w:rsidR="00C32AC2" w:rsidRPr="00C32AC2" w:rsidRDefault="00C32AC2" w:rsidP="00C32AC2">
      <w:pPr>
        <w:adjustRightInd w:val="0"/>
        <w:snapToGrid w:val="0"/>
        <w:spacing w:line="500" w:lineRule="exact"/>
        <w:ind w:firstLineChars="200" w:firstLine="482"/>
        <w:rPr>
          <w:rFonts w:ascii="Calibri" w:eastAsia="宋体" w:hAnsi="Calibri" w:cs="Times New Roman"/>
          <w:b/>
          <w:sz w:val="24"/>
        </w:rPr>
      </w:pPr>
      <w:r w:rsidRPr="00C32AC2">
        <w:rPr>
          <w:rFonts w:ascii="Calibri" w:eastAsia="宋体" w:hAnsi="Calibri" w:cs="Times New Roman"/>
          <w:b/>
          <w:sz w:val="24"/>
        </w:rPr>
        <w:t>本章主要教学内容：</w:t>
      </w:r>
    </w:p>
    <w:p w14:paraId="62E0394E"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2.1赛阵型及站位；</w:t>
      </w:r>
    </w:p>
    <w:p w14:paraId="4F03471E"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2.2个人进攻及防守战术；</w:t>
      </w:r>
    </w:p>
    <w:p w14:paraId="4BCC2550" w14:textId="77777777" w:rsidR="00C32AC2" w:rsidRPr="00C32AC2" w:rsidRDefault="00C32AC2" w:rsidP="00C32AC2">
      <w:pPr>
        <w:adjustRightInd w:val="0"/>
        <w:snapToGrid w:val="0"/>
        <w:spacing w:line="500" w:lineRule="exact"/>
        <w:ind w:firstLineChars="200" w:firstLine="482"/>
        <w:rPr>
          <w:rFonts w:ascii="Calibri" w:eastAsia="宋体" w:hAnsi="Calibri" w:cs="Times New Roman"/>
          <w:sz w:val="24"/>
        </w:rPr>
      </w:pPr>
      <w:r w:rsidRPr="00C32AC2">
        <w:rPr>
          <w:rFonts w:ascii="Calibri" w:eastAsia="宋体" w:hAnsi="Calibri" w:cs="Times New Roman" w:hint="eastAsia"/>
          <w:b/>
          <w:sz w:val="24"/>
        </w:rPr>
        <w:t>教学目的及要求</w:t>
      </w:r>
      <w:r w:rsidRPr="00C32AC2">
        <w:rPr>
          <w:rFonts w:ascii="Calibri" w:eastAsia="宋体" w:hAnsi="Calibri" w:cs="Times New Roman" w:hint="eastAsia"/>
          <w:sz w:val="24"/>
        </w:rPr>
        <w:t>：使学生掌握足球基本战术要领，并能够熟练应用。</w:t>
      </w:r>
      <w:r w:rsidRPr="00C32AC2">
        <w:rPr>
          <w:rFonts w:ascii="Calibri" w:eastAsia="宋体" w:hAnsi="Calibri" w:cs="Times New Roman" w:hint="eastAsia"/>
          <w:sz w:val="24"/>
        </w:rPr>
        <w:t xml:space="preserve"> </w:t>
      </w:r>
    </w:p>
    <w:p w14:paraId="71C0389D" w14:textId="77777777" w:rsidR="00C32AC2" w:rsidRPr="00C32AC2" w:rsidRDefault="00C32AC2" w:rsidP="00C32AC2">
      <w:pPr>
        <w:adjustRightInd w:val="0"/>
        <w:snapToGrid w:val="0"/>
        <w:spacing w:line="500" w:lineRule="exact"/>
        <w:ind w:firstLineChars="200" w:firstLine="482"/>
        <w:rPr>
          <w:rFonts w:ascii="Calibri" w:eastAsia="宋体" w:hAnsi="Calibri" w:cs="Times New Roman"/>
          <w:sz w:val="24"/>
        </w:rPr>
      </w:pPr>
      <w:r w:rsidRPr="00C32AC2">
        <w:rPr>
          <w:rFonts w:ascii="Calibri" w:eastAsia="宋体" w:hAnsi="Calibri" w:cs="Times New Roman" w:hint="eastAsia"/>
          <w:b/>
          <w:sz w:val="24"/>
        </w:rPr>
        <w:t>教学重点及难点</w:t>
      </w:r>
      <w:r w:rsidRPr="00C32AC2">
        <w:rPr>
          <w:rFonts w:ascii="Calibri" w:eastAsia="宋体" w:hAnsi="Calibri" w:cs="Times New Roman" w:hint="eastAsia"/>
          <w:sz w:val="24"/>
        </w:rPr>
        <w:t>：战术应用的灵活性、准确性、合理性。</w:t>
      </w:r>
    </w:p>
    <w:p w14:paraId="7648D4F8" w14:textId="77777777" w:rsidR="00C32AC2" w:rsidRPr="00C32AC2" w:rsidRDefault="00C32AC2" w:rsidP="00C32AC2">
      <w:pPr>
        <w:adjustRightInd w:val="0"/>
        <w:snapToGrid w:val="0"/>
        <w:spacing w:beforeLines="50" w:before="156" w:afterLines="50" w:after="156" w:line="500" w:lineRule="exact"/>
        <w:jc w:val="center"/>
        <w:rPr>
          <w:rFonts w:ascii="宋体" w:eastAsia="宋体" w:hAnsi="宋体" w:cs="Times New Roman"/>
          <w:b/>
          <w:sz w:val="28"/>
          <w:szCs w:val="28"/>
        </w:rPr>
      </w:pPr>
      <w:r w:rsidRPr="00C32AC2">
        <w:rPr>
          <w:rFonts w:ascii="宋体" w:eastAsia="宋体" w:hAnsi="宋体" w:cs="Times New Roman" w:hint="eastAsia"/>
          <w:b/>
          <w:sz w:val="28"/>
          <w:szCs w:val="28"/>
        </w:rPr>
        <w:t>第三章 身体素质（6学时）</w:t>
      </w:r>
    </w:p>
    <w:p w14:paraId="631F2AB3" w14:textId="77777777" w:rsidR="00C32AC2" w:rsidRPr="00C32AC2" w:rsidRDefault="00C32AC2" w:rsidP="00C32AC2">
      <w:pPr>
        <w:autoSpaceDE w:val="0"/>
        <w:autoSpaceDN w:val="0"/>
        <w:adjustRightInd w:val="0"/>
        <w:snapToGrid w:val="0"/>
        <w:spacing w:line="500" w:lineRule="exact"/>
        <w:ind w:firstLineChars="200" w:firstLine="482"/>
        <w:rPr>
          <w:rFonts w:ascii="Calibri" w:eastAsia="宋体" w:hAnsi="Calibri" w:cs="Times New Roman"/>
          <w:b/>
          <w:sz w:val="24"/>
        </w:rPr>
      </w:pPr>
      <w:r w:rsidRPr="00C32AC2">
        <w:rPr>
          <w:rFonts w:ascii="Calibri" w:eastAsia="宋体" w:hAnsi="Calibri" w:cs="Times New Roman"/>
          <w:b/>
          <w:sz w:val="24"/>
        </w:rPr>
        <w:t>本章主要教学内容：</w:t>
      </w:r>
    </w:p>
    <w:p w14:paraId="3DB5F190" w14:textId="77777777" w:rsidR="00C32AC2" w:rsidRPr="00C32AC2" w:rsidRDefault="00C32AC2" w:rsidP="00C32AC2">
      <w:pPr>
        <w:adjustRightInd w:val="0"/>
        <w:snapToGrid w:val="0"/>
        <w:spacing w:line="500" w:lineRule="exact"/>
        <w:ind w:firstLineChars="200" w:firstLine="480"/>
        <w:rPr>
          <w:rFonts w:ascii="宋体" w:eastAsia="宋体" w:hAnsi="宋体" w:cs="宋体"/>
          <w:sz w:val="24"/>
        </w:rPr>
      </w:pPr>
      <w:r w:rsidRPr="00C32AC2">
        <w:rPr>
          <w:rFonts w:ascii="宋体" w:eastAsia="宋体" w:hAnsi="宋体" w:cs="宋体" w:hint="eastAsia"/>
          <w:sz w:val="24"/>
        </w:rPr>
        <w:t>3.1速度素质、耐力素质、灵敏素质。</w:t>
      </w:r>
    </w:p>
    <w:p w14:paraId="080107AB" w14:textId="77777777" w:rsidR="00C32AC2" w:rsidRPr="00C32AC2" w:rsidRDefault="00C32AC2" w:rsidP="00C32AC2">
      <w:pPr>
        <w:adjustRightInd w:val="0"/>
        <w:snapToGrid w:val="0"/>
        <w:spacing w:line="500" w:lineRule="exact"/>
        <w:ind w:firstLineChars="200" w:firstLine="482"/>
        <w:rPr>
          <w:rFonts w:ascii="Calibri" w:eastAsia="宋体" w:hAnsi="Calibri" w:cs="Times New Roman"/>
          <w:sz w:val="24"/>
        </w:rPr>
      </w:pPr>
      <w:r w:rsidRPr="00C32AC2">
        <w:rPr>
          <w:rFonts w:ascii="Calibri" w:eastAsia="宋体" w:hAnsi="Calibri" w:cs="Times New Roman" w:hint="eastAsia"/>
          <w:b/>
          <w:sz w:val="24"/>
        </w:rPr>
        <w:t>教学目的及要求</w:t>
      </w:r>
      <w:r w:rsidRPr="00C32AC2">
        <w:rPr>
          <w:rFonts w:ascii="Calibri" w:eastAsia="宋体" w:hAnsi="Calibri" w:cs="Times New Roman" w:hint="eastAsia"/>
          <w:sz w:val="24"/>
        </w:rPr>
        <w:t>：使学生掌握足球运动需要的基本身体素质。</w:t>
      </w:r>
      <w:r w:rsidRPr="00C32AC2">
        <w:rPr>
          <w:rFonts w:ascii="Calibri" w:eastAsia="宋体" w:hAnsi="Calibri" w:cs="Times New Roman" w:hint="eastAsia"/>
          <w:sz w:val="24"/>
        </w:rPr>
        <w:t xml:space="preserve"> </w:t>
      </w:r>
    </w:p>
    <w:p w14:paraId="2A8FE33E" w14:textId="77777777" w:rsidR="00C32AC2" w:rsidRPr="00C32AC2" w:rsidRDefault="00C32AC2" w:rsidP="00C32AC2">
      <w:pPr>
        <w:adjustRightInd w:val="0"/>
        <w:snapToGrid w:val="0"/>
        <w:spacing w:line="500" w:lineRule="exact"/>
        <w:ind w:firstLineChars="200" w:firstLine="482"/>
        <w:rPr>
          <w:rFonts w:ascii="宋体" w:eastAsia="宋体" w:hAnsi="宋体" w:cs="Times New Roman"/>
          <w:bCs/>
          <w:color w:val="FF0000"/>
          <w:sz w:val="24"/>
        </w:rPr>
      </w:pPr>
      <w:r w:rsidRPr="00C32AC2">
        <w:rPr>
          <w:rFonts w:ascii="Calibri" w:eastAsia="宋体" w:hAnsi="Calibri" w:cs="Times New Roman" w:hint="eastAsia"/>
          <w:b/>
          <w:sz w:val="24"/>
        </w:rPr>
        <w:t>教学重点及难点</w:t>
      </w:r>
      <w:r w:rsidRPr="00C32AC2">
        <w:rPr>
          <w:rFonts w:ascii="Calibri" w:eastAsia="宋体" w:hAnsi="Calibri" w:cs="Times New Roman" w:hint="eastAsia"/>
          <w:sz w:val="24"/>
        </w:rPr>
        <w:t>：身体耐力、肌肉力量、柔韧性。</w:t>
      </w:r>
    </w:p>
    <w:p w14:paraId="6D0D9D3C" w14:textId="77777777" w:rsidR="00C32AC2" w:rsidRPr="00C32AC2" w:rsidRDefault="00C32AC2" w:rsidP="00C32AC2">
      <w:pPr>
        <w:spacing w:line="440" w:lineRule="exact"/>
        <w:ind w:firstLineChars="200" w:firstLine="482"/>
        <w:rPr>
          <w:rFonts w:ascii="宋体" w:eastAsia="宋体" w:hAnsi="宋体" w:cs="Times New Roman"/>
          <w:b/>
          <w:sz w:val="24"/>
        </w:rPr>
      </w:pPr>
      <w:r w:rsidRPr="00C32AC2">
        <w:rPr>
          <w:rFonts w:ascii="宋体" w:eastAsia="宋体" w:hAnsi="宋体" w:cs="Times New Roman" w:hint="eastAsia"/>
          <w:b/>
          <w:sz w:val="24"/>
        </w:rPr>
        <w:t>【重点】</w:t>
      </w:r>
    </w:p>
    <w:p w14:paraId="3E55ED39"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 xml:space="preserve">1.《大学体育教程》理论课程使学生对大学体育有深入理解；了解体  </w:t>
      </w:r>
    </w:p>
    <w:p w14:paraId="017A893D" w14:textId="77777777" w:rsidR="00C32AC2" w:rsidRPr="00C32AC2" w:rsidRDefault="00C32AC2" w:rsidP="00C32AC2">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C32AC2">
        <w:rPr>
          <w:rFonts w:ascii="宋体" w:eastAsia="宋体" w:hAnsi="Calibri" w:cs="宋体" w:hint="eastAsia"/>
          <w:spacing w:val="5"/>
          <w:kern w:val="0"/>
          <w:sz w:val="24"/>
        </w:rPr>
        <w:t>质健康</w:t>
      </w:r>
      <w:proofErr w:type="gramEnd"/>
      <w:r w:rsidRPr="00C32AC2">
        <w:rPr>
          <w:rFonts w:ascii="宋体" w:eastAsia="宋体" w:hAnsi="Calibri" w:cs="宋体" w:hint="eastAsia"/>
          <w:spacing w:val="5"/>
          <w:kern w:val="0"/>
          <w:sz w:val="24"/>
        </w:rPr>
        <w:t>标准的实施与如何评价；学会分析常见运动损伤和运动性疾病的症状。</w:t>
      </w:r>
    </w:p>
    <w:p w14:paraId="54EFA15B" w14:textId="77777777" w:rsidR="00C32AC2" w:rsidRPr="00C32AC2" w:rsidRDefault="00C32AC2" w:rsidP="00C32AC2">
      <w:pPr>
        <w:autoSpaceDE w:val="0"/>
        <w:autoSpaceDN w:val="0"/>
        <w:adjustRightInd w:val="0"/>
        <w:snapToGrid w:val="0"/>
        <w:spacing w:line="500" w:lineRule="exact"/>
        <w:ind w:left="490"/>
        <w:rPr>
          <w:rFonts w:ascii="宋体" w:eastAsia="宋体" w:hAnsi="Calibri" w:cs="宋体"/>
          <w:spacing w:val="5"/>
          <w:kern w:val="0"/>
          <w:sz w:val="24"/>
        </w:rPr>
      </w:pPr>
      <w:r w:rsidRPr="00C32AC2">
        <w:rPr>
          <w:rFonts w:ascii="宋体" w:eastAsia="宋体" w:hAnsi="Calibri" w:cs="宋体" w:hint="eastAsia"/>
          <w:spacing w:val="5"/>
          <w:kern w:val="0"/>
          <w:sz w:val="24"/>
        </w:rPr>
        <w:t>2.足球运动的基本理论、基本知识和基本技能。</w:t>
      </w:r>
    </w:p>
    <w:p w14:paraId="080E02BE"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宋体" w:cs="Times New Roman"/>
          <w:sz w:val="24"/>
        </w:rPr>
      </w:pPr>
      <w:r w:rsidRPr="00C32AC2">
        <w:rPr>
          <w:rFonts w:ascii="宋体" w:eastAsia="宋体" w:hAnsi="Calibri" w:cs="宋体" w:hint="eastAsia"/>
          <w:spacing w:val="5"/>
          <w:kern w:val="0"/>
          <w:sz w:val="24"/>
        </w:rPr>
        <w:t>3.掌握一定的科学锻炼方法，扎实的理论知识。</w:t>
      </w:r>
    </w:p>
    <w:p w14:paraId="1C8BFA6F" w14:textId="77777777" w:rsidR="00C32AC2" w:rsidRPr="00C32AC2" w:rsidRDefault="00C32AC2" w:rsidP="00C32AC2">
      <w:pPr>
        <w:spacing w:line="440" w:lineRule="exact"/>
        <w:ind w:firstLineChars="200" w:firstLine="482"/>
        <w:rPr>
          <w:rFonts w:ascii="宋体" w:eastAsia="宋体" w:hAnsi="宋体" w:cs="Times New Roman"/>
          <w:b/>
          <w:sz w:val="24"/>
        </w:rPr>
      </w:pPr>
      <w:r w:rsidRPr="00C32AC2">
        <w:rPr>
          <w:rFonts w:ascii="宋体" w:eastAsia="宋体" w:hAnsi="宋体" w:cs="Times New Roman" w:hint="eastAsia"/>
          <w:b/>
          <w:sz w:val="24"/>
        </w:rPr>
        <w:t>【难点】</w:t>
      </w:r>
    </w:p>
    <w:p w14:paraId="41132BC5"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17830E4B"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2.考虑学生原有的理论知识和实践技术，在讲授教材及大纲要求的所有知识和技术的同时，重点讲授足球基本技术、基本战术、裁判规则等部分，以达到理</w:t>
      </w:r>
      <w:r w:rsidRPr="00C32AC2">
        <w:rPr>
          <w:rFonts w:ascii="宋体" w:eastAsia="宋体" w:hAnsi="Calibri" w:cs="宋体" w:hint="eastAsia"/>
          <w:spacing w:val="5"/>
          <w:kern w:val="0"/>
          <w:sz w:val="24"/>
        </w:rPr>
        <w:lastRenderedPageBreak/>
        <w:t xml:space="preserve">论联系实际，学以致用。 </w:t>
      </w:r>
    </w:p>
    <w:p w14:paraId="19C8120A" w14:textId="77777777" w:rsidR="00C32AC2" w:rsidRPr="00C32AC2" w:rsidRDefault="00C32AC2" w:rsidP="00C32AC2">
      <w:pPr>
        <w:spacing w:line="44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 xml:space="preserve">3.在足球基本技术、基本战术学习的基础上，重点提高学生的足球技术课、理论课的组织能力培养学生研究能力。 </w:t>
      </w:r>
    </w:p>
    <w:p w14:paraId="2B68C55A" w14:textId="77777777" w:rsidR="00C32AC2" w:rsidRPr="00C32AC2" w:rsidRDefault="00C32AC2" w:rsidP="00C32AC2">
      <w:pPr>
        <w:spacing w:line="440" w:lineRule="exact"/>
        <w:ind w:firstLineChars="200" w:firstLine="482"/>
        <w:rPr>
          <w:rFonts w:ascii="宋体" w:eastAsia="宋体" w:hAnsi="宋体" w:cs="Times New Roman"/>
          <w:color w:val="FF0000"/>
          <w:sz w:val="24"/>
        </w:rPr>
      </w:pPr>
      <w:r w:rsidRPr="00C32AC2">
        <w:rPr>
          <w:rFonts w:ascii="宋体" w:eastAsia="宋体" w:hAnsi="宋体" w:cs="Times New Roman" w:hint="eastAsia"/>
          <w:b/>
          <w:bCs/>
          <w:sz w:val="24"/>
        </w:rPr>
        <w:t>【实施方式】</w:t>
      </w:r>
    </w:p>
    <w:p w14:paraId="6D67DE9E"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室外实践课程</w:t>
      </w:r>
    </w:p>
    <w:p w14:paraId="44D433D5" w14:textId="77777777" w:rsidR="00C32AC2" w:rsidRPr="00C32AC2" w:rsidRDefault="00C32AC2" w:rsidP="00C32AC2">
      <w:pPr>
        <w:spacing w:line="440" w:lineRule="exact"/>
        <w:ind w:firstLineChars="200" w:firstLine="482"/>
        <w:rPr>
          <w:rFonts w:ascii="宋体" w:eastAsia="宋体" w:hAnsi="宋体" w:cs="Times New Roman"/>
          <w:bCs/>
          <w:color w:val="FF0000"/>
          <w:sz w:val="24"/>
        </w:rPr>
      </w:pPr>
      <w:r w:rsidRPr="00C32AC2">
        <w:rPr>
          <w:rFonts w:ascii="宋体" w:eastAsia="宋体" w:hAnsi="宋体" w:cs="Times New Roman" w:hint="eastAsia"/>
          <w:b/>
          <w:sz w:val="24"/>
        </w:rPr>
        <w:t>【学习要求】</w:t>
      </w:r>
    </w:p>
    <w:p w14:paraId="1BD54387" w14:textId="77777777" w:rsidR="00C32AC2" w:rsidRPr="00C32AC2" w:rsidRDefault="00C32AC2" w:rsidP="00C32AC2">
      <w:pPr>
        <w:spacing w:line="440" w:lineRule="exact"/>
        <w:ind w:firstLineChars="200" w:firstLine="480"/>
        <w:rPr>
          <w:rFonts w:ascii="宋体" w:eastAsia="宋体" w:hAnsi="宋体" w:cs="Times New Roman"/>
          <w:b/>
          <w:sz w:val="24"/>
        </w:rPr>
      </w:pPr>
      <w:r w:rsidRPr="00C32AC2">
        <w:rPr>
          <w:rFonts w:ascii="宋体" w:eastAsia="宋体" w:hAnsi="宋体" w:cs="Times New Roman" w:hint="eastAsia"/>
          <w:sz w:val="24"/>
        </w:rPr>
        <w:t>1</w:t>
      </w:r>
      <w:r w:rsidRPr="00C32AC2">
        <w:rPr>
          <w:rFonts w:ascii="宋体" w:eastAsia="宋体" w:hAnsi="宋体" w:cs="Times New Roman"/>
          <w:sz w:val="24"/>
        </w:rPr>
        <w:t xml:space="preserve">. </w:t>
      </w:r>
      <w:r w:rsidRPr="00C32AC2">
        <w:rPr>
          <w:rFonts w:ascii="宋体" w:eastAsia="宋体" w:hAnsi="宋体" w:cs="Times New Roman" w:hint="eastAsia"/>
          <w:sz w:val="24"/>
        </w:rPr>
        <w:t>了解大学体育课程的性质和授课方式，学分情况和进行网上选项课，开设的15门选项课程，课堂常识和安全注意事项。</w:t>
      </w:r>
    </w:p>
    <w:p w14:paraId="5F8C6104"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C32AC2">
        <w:rPr>
          <w:rFonts w:ascii="宋体" w:eastAsia="宋体" w:hAnsi="宋体" w:cs="Times New Roman" w:hint="eastAsia"/>
          <w:sz w:val="24"/>
        </w:rPr>
        <w:t>缓测免</w:t>
      </w:r>
      <w:proofErr w:type="gramEnd"/>
      <w:r w:rsidRPr="00C32AC2">
        <w:rPr>
          <w:rFonts w:ascii="宋体" w:eastAsia="宋体" w:hAnsi="宋体" w:cs="Times New Roman" w:hint="eastAsia"/>
          <w:sz w:val="24"/>
        </w:rPr>
        <w:t>测的申请流程以及掌握测验时间。</w:t>
      </w:r>
    </w:p>
    <w:p w14:paraId="2772C187"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3</w:t>
      </w:r>
      <w:r w:rsidRPr="00C32AC2">
        <w:rPr>
          <w:rFonts w:ascii="宋体" w:eastAsia="宋体" w:hAnsi="宋体" w:cs="Times New Roman"/>
          <w:sz w:val="24"/>
        </w:rPr>
        <w:t>.</w:t>
      </w:r>
      <w:r w:rsidRPr="00C32AC2">
        <w:rPr>
          <w:rFonts w:ascii="宋体" w:eastAsia="宋体" w:hAnsi="宋体" w:cs="Times New Roman" w:hint="eastAsia"/>
          <w:sz w:val="24"/>
        </w:rPr>
        <w:t>运用足球基础课程。</w:t>
      </w:r>
    </w:p>
    <w:p w14:paraId="7877212B" w14:textId="77777777" w:rsidR="00C32AC2" w:rsidRPr="00C32AC2" w:rsidRDefault="00C32AC2" w:rsidP="00C32AC2">
      <w:pPr>
        <w:spacing w:line="440" w:lineRule="exact"/>
        <w:ind w:firstLineChars="200" w:firstLine="482"/>
        <w:rPr>
          <w:rFonts w:ascii="宋体" w:eastAsia="宋体" w:hAnsi="宋体" w:cs="Times New Roman"/>
          <w:sz w:val="24"/>
        </w:rPr>
      </w:pPr>
      <w:r w:rsidRPr="00C32AC2">
        <w:rPr>
          <w:rFonts w:ascii="宋体" w:eastAsia="宋体" w:hAnsi="宋体" w:cs="Times New Roman" w:hint="eastAsia"/>
          <w:b/>
          <w:sz w:val="24"/>
        </w:rPr>
        <w:t>【实践要求】</w:t>
      </w:r>
    </w:p>
    <w:p w14:paraId="0D40799E"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1.实践属性：综合训练型</w:t>
      </w:r>
    </w:p>
    <w:p w14:paraId="7D8653C6"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2.工作流程：开始部分，准备部分，基本部分，结束部分</w:t>
      </w:r>
    </w:p>
    <w:p w14:paraId="2548C7AC"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3.分组要求：自然班和选项班，不超过45人。</w:t>
      </w:r>
    </w:p>
    <w:p w14:paraId="7420C4F5"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2830E30A"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5.时间安排：每周2学时</w:t>
      </w:r>
    </w:p>
    <w:p w14:paraId="7682D02B"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6.其他要求：</w:t>
      </w:r>
    </w:p>
    <w:p w14:paraId="13790426" w14:textId="77777777" w:rsidR="00C32AC2" w:rsidRPr="00C32AC2" w:rsidRDefault="00C32AC2" w:rsidP="00C32AC2">
      <w:pPr>
        <w:spacing w:beforeLines="50" w:before="156" w:afterLines="50" w:after="156" w:line="440" w:lineRule="exact"/>
        <w:ind w:left="561"/>
        <w:rPr>
          <w:rFonts w:ascii="仿宋" w:eastAsia="仿宋" w:hAnsi="仿宋" w:cs="Times New Roman"/>
          <w:sz w:val="24"/>
        </w:rPr>
      </w:pPr>
      <w:r w:rsidRPr="00C32AC2">
        <w:rPr>
          <w:rFonts w:ascii="黑体" w:eastAsia="黑体" w:hAnsi="黑体" w:cs="Times New Roman" w:hint="eastAsia"/>
          <w:sz w:val="28"/>
          <w:szCs w:val="28"/>
        </w:rPr>
        <w:t>（二）课程学习内容与课程学习目标的对应关系</w:t>
      </w:r>
      <w:r w:rsidRPr="00C32AC2">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C32AC2" w:rsidRPr="00C32AC2" w14:paraId="63C7622E" w14:textId="77777777" w:rsidTr="00375FAF">
        <w:trPr>
          <w:trHeight w:val="660"/>
          <w:jc w:val="center"/>
        </w:trPr>
        <w:tc>
          <w:tcPr>
            <w:tcW w:w="3403" w:type="dxa"/>
            <w:vAlign w:val="center"/>
          </w:tcPr>
          <w:p w14:paraId="24A0E978" w14:textId="77777777" w:rsidR="00C32AC2" w:rsidRPr="00C32AC2" w:rsidRDefault="00C32AC2" w:rsidP="00C32AC2">
            <w:pPr>
              <w:spacing w:line="440" w:lineRule="exact"/>
              <w:jc w:val="center"/>
              <w:rPr>
                <w:rFonts w:ascii="宋体" w:eastAsia="宋体" w:hAnsi="宋体" w:cs="Times New Roman"/>
                <w:b/>
                <w:bCs/>
                <w:sz w:val="24"/>
              </w:rPr>
            </w:pPr>
            <w:r w:rsidRPr="00C32AC2">
              <w:rPr>
                <w:rFonts w:ascii="宋体" w:eastAsia="宋体" w:hAnsi="宋体" w:cs="Times New Roman" w:hint="eastAsia"/>
                <w:b/>
                <w:bCs/>
                <w:sz w:val="24"/>
              </w:rPr>
              <w:t>实践内容</w:t>
            </w:r>
          </w:p>
        </w:tc>
        <w:tc>
          <w:tcPr>
            <w:tcW w:w="2693" w:type="dxa"/>
            <w:vAlign w:val="center"/>
          </w:tcPr>
          <w:p w14:paraId="4C2954E5" w14:textId="77777777" w:rsidR="00C32AC2" w:rsidRPr="00C32AC2" w:rsidRDefault="00C32AC2" w:rsidP="00C32AC2">
            <w:pPr>
              <w:spacing w:line="440" w:lineRule="exact"/>
              <w:jc w:val="center"/>
              <w:rPr>
                <w:rFonts w:ascii="宋体" w:eastAsia="宋体" w:hAnsi="宋体" w:cs="Times New Roman"/>
                <w:b/>
                <w:bCs/>
                <w:sz w:val="24"/>
              </w:rPr>
            </w:pPr>
            <w:r w:rsidRPr="00C32AC2">
              <w:rPr>
                <w:rFonts w:ascii="宋体" w:eastAsia="宋体" w:hAnsi="宋体" w:cs="Times New Roman" w:hint="eastAsia"/>
                <w:b/>
                <w:bCs/>
                <w:sz w:val="24"/>
              </w:rPr>
              <w:t>实施方式</w:t>
            </w:r>
          </w:p>
        </w:tc>
        <w:tc>
          <w:tcPr>
            <w:tcW w:w="1985" w:type="dxa"/>
            <w:vAlign w:val="center"/>
          </w:tcPr>
          <w:p w14:paraId="68AAA6C9" w14:textId="77777777" w:rsidR="00C32AC2" w:rsidRPr="00C32AC2" w:rsidRDefault="00C32AC2" w:rsidP="00C32AC2">
            <w:pPr>
              <w:spacing w:line="440" w:lineRule="exact"/>
              <w:jc w:val="center"/>
              <w:rPr>
                <w:rFonts w:ascii="宋体" w:eastAsia="宋体" w:hAnsi="宋体" w:cs="Times New Roman"/>
                <w:b/>
                <w:bCs/>
                <w:sz w:val="24"/>
              </w:rPr>
            </w:pPr>
            <w:r w:rsidRPr="00C32AC2">
              <w:rPr>
                <w:rFonts w:ascii="宋体" w:eastAsia="宋体" w:hAnsi="宋体" w:cs="Times New Roman" w:hint="eastAsia"/>
                <w:b/>
                <w:bCs/>
                <w:sz w:val="24"/>
              </w:rPr>
              <w:t>支撑的课程目标</w:t>
            </w:r>
          </w:p>
        </w:tc>
        <w:tc>
          <w:tcPr>
            <w:tcW w:w="1276" w:type="dxa"/>
            <w:vAlign w:val="center"/>
          </w:tcPr>
          <w:p w14:paraId="75CD65CD" w14:textId="77777777" w:rsidR="00C32AC2" w:rsidRPr="00C32AC2" w:rsidRDefault="00C32AC2" w:rsidP="00C32AC2">
            <w:pPr>
              <w:spacing w:line="440" w:lineRule="exact"/>
              <w:jc w:val="center"/>
              <w:rPr>
                <w:rFonts w:ascii="宋体" w:eastAsia="宋体" w:hAnsi="宋体" w:cs="Times New Roman"/>
                <w:b/>
                <w:bCs/>
                <w:sz w:val="24"/>
              </w:rPr>
            </w:pPr>
            <w:r w:rsidRPr="00C32AC2">
              <w:rPr>
                <w:rFonts w:ascii="宋体" w:eastAsia="宋体" w:hAnsi="宋体" w:cs="Times New Roman" w:hint="eastAsia"/>
                <w:b/>
                <w:bCs/>
                <w:sz w:val="24"/>
              </w:rPr>
              <w:t>学时安排</w:t>
            </w:r>
          </w:p>
        </w:tc>
      </w:tr>
      <w:tr w:rsidR="00C32AC2" w:rsidRPr="00C32AC2" w14:paraId="6DF37DBF" w14:textId="77777777" w:rsidTr="00375FAF">
        <w:trPr>
          <w:trHeight w:val="514"/>
          <w:jc w:val="center"/>
        </w:trPr>
        <w:tc>
          <w:tcPr>
            <w:tcW w:w="3403" w:type="dxa"/>
            <w:vAlign w:val="center"/>
          </w:tcPr>
          <w:p w14:paraId="730E7086"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学习内容</w:t>
            </w:r>
            <w:proofErr w:type="gramStart"/>
            <w:r w:rsidRPr="00C32AC2">
              <w:rPr>
                <w:rFonts w:ascii="宋体" w:eastAsia="宋体" w:hAnsi="宋体" w:cs="Times New Roman" w:hint="eastAsia"/>
                <w:sz w:val="24"/>
              </w:rPr>
              <w:t>一</w:t>
            </w:r>
            <w:proofErr w:type="gramEnd"/>
            <w:r w:rsidRPr="00C32AC2">
              <w:rPr>
                <w:rFonts w:ascii="宋体" w:eastAsia="宋体" w:hAnsi="宋体" w:cs="Times New Roman" w:hint="eastAsia"/>
                <w:sz w:val="24"/>
              </w:rPr>
              <w:t xml:space="preserve"> 体能+足球 </w:t>
            </w:r>
          </w:p>
          <w:p w14:paraId="0BFFC184" w14:textId="77777777" w:rsidR="00C32AC2" w:rsidRPr="00C32AC2" w:rsidRDefault="00C32AC2" w:rsidP="00C32AC2">
            <w:pPr>
              <w:spacing w:line="440" w:lineRule="exact"/>
              <w:jc w:val="center"/>
              <w:rPr>
                <w:rFonts w:ascii="宋体" w:eastAsia="宋体" w:hAnsi="宋体" w:cs="Times New Roman"/>
                <w:sz w:val="24"/>
              </w:rPr>
            </w:pPr>
          </w:p>
        </w:tc>
        <w:tc>
          <w:tcPr>
            <w:tcW w:w="2693" w:type="dxa"/>
            <w:vAlign w:val="center"/>
          </w:tcPr>
          <w:p w14:paraId="6DAF89BE" w14:textId="77777777" w:rsidR="00C32AC2" w:rsidRPr="00C32AC2" w:rsidRDefault="00C32AC2" w:rsidP="00C32AC2">
            <w:pPr>
              <w:spacing w:line="440" w:lineRule="exact"/>
              <w:jc w:val="center"/>
              <w:rPr>
                <w:rFonts w:ascii="宋体" w:eastAsia="宋体" w:hAnsi="宋体" w:cs="Times New Roman"/>
                <w:color w:val="FF0000"/>
                <w:sz w:val="24"/>
              </w:rPr>
            </w:pPr>
            <w:r w:rsidRPr="00C32AC2">
              <w:rPr>
                <w:rFonts w:ascii="宋体" w:eastAsia="宋体" w:hAnsi="宋体" w:cs="Times New Roman" w:hint="eastAsia"/>
                <w:sz w:val="24"/>
              </w:rPr>
              <w:t>利用</w:t>
            </w:r>
            <w:proofErr w:type="gramStart"/>
            <w:r w:rsidRPr="00C32AC2">
              <w:rPr>
                <w:rFonts w:ascii="宋体" w:eastAsia="宋体" w:hAnsi="宋体" w:cs="Times New Roman" w:hint="eastAsia"/>
                <w:sz w:val="24"/>
              </w:rPr>
              <w:t>微信平台</w:t>
            </w:r>
            <w:proofErr w:type="gramEnd"/>
            <w:r w:rsidRPr="00C32AC2">
              <w:rPr>
                <w:rFonts w:ascii="宋体" w:eastAsia="宋体" w:hAnsi="宋体" w:cs="Times New Roman" w:hint="eastAsia"/>
                <w:sz w:val="24"/>
              </w:rPr>
              <w:t>；讲解法、示范法；练习法；小组合作学习</w:t>
            </w:r>
          </w:p>
        </w:tc>
        <w:tc>
          <w:tcPr>
            <w:tcW w:w="1985" w:type="dxa"/>
            <w:vAlign w:val="center"/>
          </w:tcPr>
          <w:p w14:paraId="02441EFC" w14:textId="77777777" w:rsidR="00C32AC2" w:rsidRPr="00C32AC2" w:rsidRDefault="00C32AC2" w:rsidP="00C32AC2">
            <w:pPr>
              <w:spacing w:line="440" w:lineRule="exact"/>
              <w:jc w:val="center"/>
              <w:rPr>
                <w:rFonts w:ascii="宋体" w:eastAsia="宋体" w:hAnsi="宋体" w:cs="Times New Roman"/>
                <w:color w:val="FF0000"/>
                <w:sz w:val="24"/>
              </w:rPr>
            </w:pPr>
            <w:r w:rsidRPr="00C32AC2">
              <w:rPr>
                <w:rFonts w:ascii="宋体" w:eastAsia="宋体" w:hAnsi="宋体" w:cs="Times New Roman" w:hint="eastAsia"/>
                <w:sz w:val="24"/>
              </w:rPr>
              <w:t>课程</w:t>
            </w:r>
            <w:r w:rsidRPr="00C32AC2">
              <w:rPr>
                <w:rFonts w:ascii="宋体" w:eastAsia="宋体" w:hAnsi="宋体" w:cs="Times New Roman"/>
                <w:sz w:val="24"/>
              </w:rPr>
              <w:t>目标</w:t>
            </w:r>
            <w:r w:rsidRPr="00C32AC2">
              <w:rPr>
                <w:rFonts w:ascii="宋体" w:eastAsia="宋体" w:hAnsi="宋体" w:cs="Times New Roman" w:hint="eastAsia"/>
                <w:sz w:val="24"/>
              </w:rPr>
              <w:t>1、2、3</w:t>
            </w:r>
          </w:p>
        </w:tc>
        <w:tc>
          <w:tcPr>
            <w:tcW w:w="1276" w:type="dxa"/>
            <w:vAlign w:val="center"/>
          </w:tcPr>
          <w:p w14:paraId="0A655ED3"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32</w:t>
            </w:r>
          </w:p>
        </w:tc>
      </w:tr>
      <w:tr w:rsidR="00C32AC2" w:rsidRPr="00C32AC2" w14:paraId="14807D28" w14:textId="77777777" w:rsidTr="00375FAF">
        <w:trPr>
          <w:trHeight w:val="90"/>
          <w:jc w:val="center"/>
        </w:trPr>
        <w:tc>
          <w:tcPr>
            <w:tcW w:w="3403" w:type="dxa"/>
            <w:vAlign w:val="center"/>
          </w:tcPr>
          <w:p w14:paraId="312C08F5"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 xml:space="preserve">学习内容二 足球1 </w:t>
            </w:r>
          </w:p>
          <w:p w14:paraId="01605E06" w14:textId="77777777" w:rsidR="00C32AC2" w:rsidRPr="00C32AC2" w:rsidRDefault="00C32AC2" w:rsidP="00C32AC2">
            <w:pPr>
              <w:spacing w:line="440" w:lineRule="exact"/>
              <w:jc w:val="center"/>
              <w:rPr>
                <w:rFonts w:ascii="宋体" w:eastAsia="宋体" w:hAnsi="宋体" w:cs="Times New Roman"/>
                <w:sz w:val="24"/>
              </w:rPr>
            </w:pPr>
          </w:p>
        </w:tc>
        <w:tc>
          <w:tcPr>
            <w:tcW w:w="2693" w:type="dxa"/>
            <w:vAlign w:val="center"/>
          </w:tcPr>
          <w:p w14:paraId="6903B670" w14:textId="77777777" w:rsidR="00C32AC2" w:rsidRPr="00C32AC2" w:rsidRDefault="00C32AC2" w:rsidP="00C32AC2">
            <w:pPr>
              <w:spacing w:line="440" w:lineRule="exact"/>
              <w:jc w:val="center"/>
              <w:rPr>
                <w:rFonts w:ascii="宋体" w:eastAsia="宋体" w:hAnsi="宋体" w:cs="Times New Roman"/>
                <w:color w:val="FF0000"/>
                <w:sz w:val="24"/>
              </w:rPr>
            </w:pPr>
            <w:r w:rsidRPr="00C32AC2">
              <w:rPr>
                <w:rFonts w:ascii="宋体" w:eastAsia="宋体" w:hAnsi="宋体" w:cs="Times New Roman" w:hint="eastAsia"/>
                <w:sz w:val="24"/>
              </w:rPr>
              <w:t>利用</w:t>
            </w:r>
            <w:proofErr w:type="gramStart"/>
            <w:r w:rsidRPr="00C32AC2">
              <w:rPr>
                <w:rFonts w:ascii="宋体" w:eastAsia="宋体" w:hAnsi="宋体" w:cs="Times New Roman" w:hint="eastAsia"/>
                <w:sz w:val="24"/>
              </w:rPr>
              <w:t>微信平台</w:t>
            </w:r>
            <w:proofErr w:type="gramEnd"/>
            <w:r w:rsidRPr="00C32AC2">
              <w:rPr>
                <w:rFonts w:ascii="宋体" w:eastAsia="宋体" w:hAnsi="宋体" w:cs="Times New Roman" w:hint="eastAsia"/>
                <w:sz w:val="24"/>
              </w:rPr>
              <w:t>；讲解法、示范法；练习法；小组合作学习</w:t>
            </w:r>
          </w:p>
        </w:tc>
        <w:tc>
          <w:tcPr>
            <w:tcW w:w="1985" w:type="dxa"/>
            <w:vAlign w:val="center"/>
          </w:tcPr>
          <w:p w14:paraId="4E7AD19C" w14:textId="77777777" w:rsidR="00C32AC2" w:rsidRPr="00C32AC2" w:rsidRDefault="00C32AC2" w:rsidP="00C32AC2">
            <w:pPr>
              <w:spacing w:line="440" w:lineRule="exact"/>
              <w:jc w:val="center"/>
              <w:rPr>
                <w:rFonts w:ascii="宋体" w:eastAsia="宋体" w:hAnsi="宋体" w:cs="Times New Roman"/>
                <w:color w:val="FF0000"/>
                <w:sz w:val="24"/>
              </w:rPr>
            </w:pPr>
            <w:r w:rsidRPr="00C32AC2">
              <w:rPr>
                <w:rFonts w:ascii="宋体" w:eastAsia="宋体" w:hAnsi="宋体" w:cs="Times New Roman" w:hint="eastAsia"/>
                <w:sz w:val="24"/>
              </w:rPr>
              <w:t>课程</w:t>
            </w:r>
            <w:r w:rsidRPr="00C32AC2">
              <w:rPr>
                <w:rFonts w:ascii="宋体" w:eastAsia="宋体" w:hAnsi="宋体" w:cs="Times New Roman"/>
                <w:sz w:val="24"/>
              </w:rPr>
              <w:t>目标</w:t>
            </w:r>
            <w:r w:rsidRPr="00C32AC2">
              <w:rPr>
                <w:rFonts w:ascii="宋体" w:eastAsia="宋体" w:hAnsi="宋体" w:cs="Times New Roman" w:hint="eastAsia"/>
                <w:sz w:val="24"/>
              </w:rPr>
              <w:t>1、2、3</w:t>
            </w:r>
          </w:p>
        </w:tc>
        <w:tc>
          <w:tcPr>
            <w:tcW w:w="1276" w:type="dxa"/>
            <w:vAlign w:val="center"/>
          </w:tcPr>
          <w:p w14:paraId="58C83AB1"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32</w:t>
            </w:r>
          </w:p>
        </w:tc>
      </w:tr>
      <w:tr w:rsidR="00C32AC2" w:rsidRPr="00C32AC2" w14:paraId="21002E5C" w14:textId="77777777" w:rsidTr="00375FAF">
        <w:trPr>
          <w:jc w:val="center"/>
        </w:trPr>
        <w:tc>
          <w:tcPr>
            <w:tcW w:w="3403" w:type="dxa"/>
            <w:vAlign w:val="center"/>
          </w:tcPr>
          <w:p w14:paraId="204E2DBE"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学习内容三 足球 2</w:t>
            </w:r>
          </w:p>
          <w:p w14:paraId="723D8D10" w14:textId="77777777" w:rsidR="00C32AC2" w:rsidRPr="00C32AC2" w:rsidRDefault="00C32AC2" w:rsidP="00C32AC2">
            <w:pPr>
              <w:spacing w:line="440" w:lineRule="exact"/>
              <w:jc w:val="center"/>
              <w:rPr>
                <w:rFonts w:ascii="宋体" w:eastAsia="宋体" w:hAnsi="宋体" w:cs="Times New Roman"/>
                <w:sz w:val="24"/>
              </w:rPr>
            </w:pPr>
          </w:p>
        </w:tc>
        <w:tc>
          <w:tcPr>
            <w:tcW w:w="2693" w:type="dxa"/>
            <w:vAlign w:val="center"/>
          </w:tcPr>
          <w:p w14:paraId="3E59A41C" w14:textId="77777777" w:rsidR="00C32AC2" w:rsidRPr="00C32AC2" w:rsidRDefault="00C32AC2" w:rsidP="00C32AC2">
            <w:pPr>
              <w:spacing w:line="440" w:lineRule="exact"/>
              <w:jc w:val="center"/>
              <w:rPr>
                <w:rFonts w:ascii="宋体" w:eastAsia="宋体" w:hAnsi="宋体" w:cs="Times New Roman"/>
                <w:color w:val="FF0000"/>
                <w:sz w:val="24"/>
              </w:rPr>
            </w:pPr>
            <w:r w:rsidRPr="00C32AC2">
              <w:rPr>
                <w:rFonts w:ascii="宋体" w:eastAsia="宋体" w:hAnsi="宋体" w:cs="Times New Roman" w:hint="eastAsia"/>
                <w:sz w:val="24"/>
              </w:rPr>
              <w:lastRenderedPageBreak/>
              <w:t>利用</w:t>
            </w:r>
            <w:proofErr w:type="gramStart"/>
            <w:r w:rsidRPr="00C32AC2">
              <w:rPr>
                <w:rFonts w:ascii="宋体" w:eastAsia="宋体" w:hAnsi="宋体" w:cs="Times New Roman" w:hint="eastAsia"/>
                <w:sz w:val="24"/>
              </w:rPr>
              <w:t>微信平台</w:t>
            </w:r>
            <w:proofErr w:type="gramEnd"/>
            <w:r w:rsidRPr="00C32AC2">
              <w:rPr>
                <w:rFonts w:ascii="宋体" w:eastAsia="宋体" w:hAnsi="宋体" w:cs="Times New Roman" w:hint="eastAsia"/>
                <w:sz w:val="24"/>
              </w:rPr>
              <w:t>；讲解</w:t>
            </w:r>
            <w:r w:rsidRPr="00C32AC2">
              <w:rPr>
                <w:rFonts w:ascii="宋体" w:eastAsia="宋体" w:hAnsi="宋体" w:cs="Times New Roman" w:hint="eastAsia"/>
                <w:sz w:val="24"/>
              </w:rPr>
              <w:lastRenderedPageBreak/>
              <w:t>法、示范法；练习法；小组合作学习</w:t>
            </w:r>
          </w:p>
        </w:tc>
        <w:tc>
          <w:tcPr>
            <w:tcW w:w="1985" w:type="dxa"/>
            <w:vAlign w:val="center"/>
          </w:tcPr>
          <w:p w14:paraId="0FF9A569" w14:textId="77777777" w:rsidR="00C32AC2" w:rsidRPr="00C32AC2" w:rsidRDefault="00C32AC2" w:rsidP="00C32AC2">
            <w:pPr>
              <w:spacing w:line="440" w:lineRule="exact"/>
              <w:jc w:val="center"/>
              <w:rPr>
                <w:rFonts w:ascii="宋体" w:eastAsia="宋体" w:hAnsi="宋体" w:cs="Times New Roman"/>
                <w:color w:val="FF0000"/>
                <w:sz w:val="24"/>
              </w:rPr>
            </w:pPr>
            <w:r w:rsidRPr="00C32AC2">
              <w:rPr>
                <w:rFonts w:ascii="宋体" w:eastAsia="宋体" w:hAnsi="宋体" w:cs="Times New Roman" w:hint="eastAsia"/>
                <w:sz w:val="24"/>
              </w:rPr>
              <w:lastRenderedPageBreak/>
              <w:t>课程</w:t>
            </w:r>
            <w:r w:rsidRPr="00C32AC2">
              <w:rPr>
                <w:rFonts w:ascii="宋体" w:eastAsia="宋体" w:hAnsi="宋体" w:cs="Times New Roman"/>
                <w:sz w:val="24"/>
              </w:rPr>
              <w:t>目标</w:t>
            </w:r>
            <w:r w:rsidRPr="00C32AC2">
              <w:rPr>
                <w:rFonts w:ascii="宋体" w:eastAsia="宋体" w:hAnsi="宋体" w:cs="Times New Roman" w:hint="eastAsia"/>
                <w:sz w:val="24"/>
              </w:rPr>
              <w:t>1、2、</w:t>
            </w:r>
            <w:r w:rsidRPr="00C32AC2">
              <w:rPr>
                <w:rFonts w:ascii="宋体" w:eastAsia="宋体" w:hAnsi="宋体" w:cs="Times New Roman" w:hint="eastAsia"/>
                <w:sz w:val="24"/>
              </w:rPr>
              <w:lastRenderedPageBreak/>
              <w:t>3</w:t>
            </w:r>
          </w:p>
        </w:tc>
        <w:tc>
          <w:tcPr>
            <w:tcW w:w="1276" w:type="dxa"/>
            <w:vAlign w:val="center"/>
          </w:tcPr>
          <w:p w14:paraId="774B5B72"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lastRenderedPageBreak/>
              <w:t>32</w:t>
            </w:r>
          </w:p>
        </w:tc>
      </w:tr>
      <w:tr w:rsidR="00C32AC2" w:rsidRPr="00C32AC2" w14:paraId="399CD2A9" w14:textId="77777777" w:rsidTr="00375FAF">
        <w:trPr>
          <w:jc w:val="center"/>
        </w:trPr>
        <w:tc>
          <w:tcPr>
            <w:tcW w:w="3403" w:type="dxa"/>
            <w:vAlign w:val="center"/>
          </w:tcPr>
          <w:p w14:paraId="1EFF4256"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学习内容四 足球 3</w:t>
            </w:r>
          </w:p>
          <w:p w14:paraId="41A09896" w14:textId="77777777" w:rsidR="00C32AC2" w:rsidRPr="00C32AC2" w:rsidRDefault="00C32AC2" w:rsidP="00C32AC2">
            <w:pPr>
              <w:spacing w:line="440" w:lineRule="exact"/>
              <w:jc w:val="center"/>
              <w:rPr>
                <w:rFonts w:ascii="宋体" w:eastAsia="宋体" w:hAnsi="宋体" w:cs="Times New Roman"/>
                <w:sz w:val="24"/>
              </w:rPr>
            </w:pPr>
          </w:p>
        </w:tc>
        <w:tc>
          <w:tcPr>
            <w:tcW w:w="2693" w:type="dxa"/>
            <w:vAlign w:val="center"/>
          </w:tcPr>
          <w:p w14:paraId="490A86F0" w14:textId="77777777" w:rsidR="00C32AC2" w:rsidRPr="00C32AC2" w:rsidRDefault="00C32AC2" w:rsidP="00C32AC2">
            <w:pPr>
              <w:spacing w:line="440" w:lineRule="exact"/>
              <w:jc w:val="center"/>
              <w:rPr>
                <w:rFonts w:ascii="宋体" w:eastAsia="宋体" w:hAnsi="宋体" w:cs="Times New Roman"/>
                <w:color w:val="FF0000"/>
                <w:sz w:val="24"/>
              </w:rPr>
            </w:pPr>
            <w:r w:rsidRPr="00C32AC2">
              <w:rPr>
                <w:rFonts w:ascii="宋体" w:eastAsia="宋体" w:hAnsi="宋体" w:cs="Times New Roman" w:hint="eastAsia"/>
                <w:sz w:val="24"/>
              </w:rPr>
              <w:t>利用</w:t>
            </w:r>
            <w:proofErr w:type="gramStart"/>
            <w:r w:rsidRPr="00C32AC2">
              <w:rPr>
                <w:rFonts w:ascii="宋体" w:eastAsia="宋体" w:hAnsi="宋体" w:cs="Times New Roman" w:hint="eastAsia"/>
                <w:sz w:val="24"/>
              </w:rPr>
              <w:t>微信平台</w:t>
            </w:r>
            <w:proofErr w:type="gramEnd"/>
            <w:r w:rsidRPr="00C32AC2">
              <w:rPr>
                <w:rFonts w:ascii="宋体" w:eastAsia="宋体" w:hAnsi="宋体" w:cs="Times New Roman" w:hint="eastAsia"/>
                <w:sz w:val="24"/>
              </w:rPr>
              <w:t>；讲解法、示范法；练习法；小组合作学习</w:t>
            </w:r>
          </w:p>
        </w:tc>
        <w:tc>
          <w:tcPr>
            <w:tcW w:w="1985" w:type="dxa"/>
            <w:vAlign w:val="center"/>
          </w:tcPr>
          <w:p w14:paraId="33E773DD" w14:textId="77777777" w:rsidR="00C32AC2" w:rsidRPr="00C32AC2" w:rsidRDefault="00C32AC2" w:rsidP="00C32AC2">
            <w:pPr>
              <w:spacing w:line="440" w:lineRule="exact"/>
              <w:jc w:val="center"/>
              <w:rPr>
                <w:rFonts w:ascii="宋体" w:eastAsia="宋体" w:hAnsi="宋体" w:cs="Times New Roman"/>
                <w:color w:val="FF0000"/>
                <w:sz w:val="24"/>
              </w:rPr>
            </w:pPr>
            <w:r w:rsidRPr="00C32AC2">
              <w:rPr>
                <w:rFonts w:ascii="宋体" w:eastAsia="宋体" w:hAnsi="宋体" w:cs="Times New Roman" w:hint="eastAsia"/>
                <w:sz w:val="24"/>
              </w:rPr>
              <w:t>课程</w:t>
            </w:r>
            <w:r w:rsidRPr="00C32AC2">
              <w:rPr>
                <w:rFonts w:ascii="宋体" w:eastAsia="宋体" w:hAnsi="宋体" w:cs="Times New Roman"/>
                <w:sz w:val="24"/>
              </w:rPr>
              <w:t>目标</w:t>
            </w:r>
            <w:r w:rsidRPr="00C32AC2">
              <w:rPr>
                <w:rFonts w:ascii="宋体" w:eastAsia="宋体" w:hAnsi="宋体" w:cs="Times New Roman" w:hint="eastAsia"/>
                <w:sz w:val="24"/>
              </w:rPr>
              <w:t>1、2、3</w:t>
            </w:r>
          </w:p>
        </w:tc>
        <w:tc>
          <w:tcPr>
            <w:tcW w:w="1276" w:type="dxa"/>
            <w:vAlign w:val="center"/>
          </w:tcPr>
          <w:p w14:paraId="5154B47C"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32</w:t>
            </w:r>
          </w:p>
        </w:tc>
      </w:tr>
      <w:tr w:rsidR="00C32AC2" w:rsidRPr="00C32AC2" w14:paraId="6632C16C" w14:textId="77777777" w:rsidTr="00375FAF">
        <w:trPr>
          <w:jc w:val="center"/>
        </w:trPr>
        <w:tc>
          <w:tcPr>
            <w:tcW w:w="8081" w:type="dxa"/>
            <w:gridSpan w:val="3"/>
            <w:vAlign w:val="center"/>
          </w:tcPr>
          <w:p w14:paraId="504A8086" w14:textId="77777777" w:rsidR="00C32AC2" w:rsidRPr="00C32AC2" w:rsidRDefault="00C32AC2" w:rsidP="00C32AC2">
            <w:pPr>
              <w:spacing w:line="440" w:lineRule="exact"/>
              <w:jc w:val="center"/>
              <w:rPr>
                <w:rFonts w:ascii="宋体" w:eastAsia="宋体" w:hAnsi="宋体" w:cs="Times New Roman"/>
                <w:b/>
                <w:sz w:val="24"/>
              </w:rPr>
            </w:pPr>
            <w:r w:rsidRPr="00C32AC2">
              <w:rPr>
                <w:rFonts w:ascii="宋体" w:eastAsia="宋体" w:hAnsi="宋体" w:cs="Times New Roman" w:hint="eastAsia"/>
                <w:b/>
                <w:sz w:val="24"/>
              </w:rPr>
              <w:t>合计</w:t>
            </w:r>
          </w:p>
        </w:tc>
        <w:tc>
          <w:tcPr>
            <w:tcW w:w="1276" w:type="dxa"/>
            <w:vAlign w:val="center"/>
          </w:tcPr>
          <w:p w14:paraId="55317A6E"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128</w:t>
            </w:r>
          </w:p>
        </w:tc>
      </w:tr>
    </w:tbl>
    <w:p w14:paraId="443348EA" w14:textId="77777777" w:rsidR="00C32AC2" w:rsidRPr="00C32AC2" w:rsidRDefault="00C32AC2" w:rsidP="00C32AC2">
      <w:pPr>
        <w:spacing w:beforeLines="50" w:before="156" w:afterLines="50" w:after="156" w:line="440" w:lineRule="exact"/>
        <w:ind w:firstLineChars="200" w:firstLine="560"/>
        <w:rPr>
          <w:rFonts w:ascii="宋体" w:eastAsia="宋体" w:hAnsi="宋体" w:cs="Times New Roman"/>
          <w:sz w:val="24"/>
        </w:rPr>
      </w:pPr>
      <w:r w:rsidRPr="00C32AC2">
        <w:rPr>
          <w:rFonts w:ascii="黑体" w:eastAsia="黑体" w:hAnsi="黑体" w:cs="Times New Roman" w:hint="eastAsia"/>
          <w:sz w:val="28"/>
          <w:szCs w:val="28"/>
        </w:rPr>
        <w:t>四、课程考核及与课程学习目标的对应关系</w:t>
      </w:r>
    </w:p>
    <w:p w14:paraId="7E811C6F"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C32AC2" w:rsidRPr="00C32AC2" w14:paraId="22E283DF" w14:textId="77777777" w:rsidTr="00375FAF">
        <w:trPr>
          <w:trHeight w:val="515"/>
          <w:jc w:val="center"/>
        </w:trPr>
        <w:tc>
          <w:tcPr>
            <w:tcW w:w="1422" w:type="dxa"/>
          </w:tcPr>
          <w:p w14:paraId="3A2CCFF3" w14:textId="77777777" w:rsidR="00C32AC2" w:rsidRPr="00C32AC2" w:rsidRDefault="00C32AC2" w:rsidP="00C32AC2">
            <w:pPr>
              <w:spacing w:line="440" w:lineRule="exact"/>
              <w:jc w:val="center"/>
              <w:rPr>
                <w:rFonts w:ascii="宋体" w:eastAsia="宋体" w:hAnsi="宋体" w:cs="Times New Roman"/>
                <w:b/>
                <w:sz w:val="24"/>
              </w:rPr>
            </w:pPr>
            <w:r w:rsidRPr="00C32AC2">
              <w:rPr>
                <w:rFonts w:ascii="宋体" w:eastAsia="宋体" w:hAnsi="宋体" w:cs="Times New Roman" w:hint="eastAsia"/>
                <w:b/>
                <w:sz w:val="24"/>
              </w:rPr>
              <w:t>课程目标</w:t>
            </w:r>
          </w:p>
        </w:tc>
        <w:tc>
          <w:tcPr>
            <w:tcW w:w="5376" w:type="dxa"/>
            <w:vAlign w:val="center"/>
          </w:tcPr>
          <w:p w14:paraId="64328068" w14:textId="77777777" w:rsidR="00C32AC2" w:rsidRPr="00C32AC2" w:rsidRDefault="00C32AC2" w:rsidP="00C32AC2">
            <w:pPr>
              <w:spacing w:line="440" w:lineRule="exact"/>
              <w:jc w:val="center"/>
              <w:rPr>
                <w:rFonts w:ascii="宋体" w:eastAsia="宋体" w:hAnsi="宋体" w:cs="Times New Roman"/>
                <w:b/>
                <w:sz w:val="24"/>
              </w:rPr>
            </w:pPr>
            <w:r w:rsidRPr="00C32AC2">
              <w:rPr>
                <w:rFonts w:ascii="宋体" w:eastAsia="宋体" w:hAnsi="宋体" w:cs="Times New Roman" w:hint="eastAsia"/>
                <w:b/>
                <w:sz w:val="24"/>
              </w:rPr>
              <w:t>考核内容</w:t>
            </w:r>
          </w:p>
        </w:tc>
        <w:tc>
          <w:tcPr>
            <w:tcW w:w="2542" w:type="dxa"/>
            <w:vAlign w:val="center"/>
          </w:tcPr>
          <w:p w14:paraId="0074FB8A" w14:textId="77777777" w:rsidR="00C32AC2" w:rsidRPr="00C32AC2" w:rsidRDefault="00C32AC2" w:rsidP="00C32AC2">
            <w:pPr>
              <w:spacing w:line="440" w:lineRule="exact"/>
              <w:jc w:val="center"/>
              <w:rPr>
                <w:rFonts w:ascii="宋体" w:eastAsia="宋体" w:hAnsi="宋体" w:cs="Times New Roman"/>
                <w:b/>
                <w:sz w:val="24"/>
              </w:rPr>
            </w:pPr>
            <w:r w:rsidRPr="00C32AC2">
              <w:rPr>
                <w:rFonts w:ascii="宋体" w:eastAsia="宋体" w:hAnsi="宋体" w:cs="Times New Roman" w:hint="eastAsia"/>
                <w:b/>
                <w:sz w:val="24"/>
              </w:rPr>
              <w:t>考核方式</w:t>
            </w:r>
          </w:p>
        </w:tc>
      </w:tr>
      <w:tr w:rsidR="00C32AC2" w:rsidRPr="00C32AC2" w14:paraId="4ED34367" w14:textId="77777777" w:rsidTr="00375FAF">
        <w:trPr>
          <w:jc w:val="center"/>
        </w:trPr>
        <w:tc>
          <w:tcPr>
            <w:tcW w:w="1422" w:type="dxa"/>
            <w:vAlign w:val="center"/>
          </w:tcPr>
          <w:p w14:paraId="66E9D854" w14:textId="77777777" w:rsidR="00C32AC2" w:rsidRPr="00C32AC2" w:rsidRDefault="00C32AC2" w:rsidP="00C32AC2">
            <w:pPr>
              <w:spacing w:line="440" w:lineRule="exact"/>
              <w:jc w:val="center"/>
              <w:rPr>
                <w:rFonts w:ascii="宋体" w:eastAsia="宋体" w:hAnsi="宋体" w:cs="Times New Roman"/>
                <w:bCs/>
                <w:sz w:val="24"/>
              </w:rPr>
            </w:pPr>
            <w:r w:rsidRPr="00C32AC2">
              <w:rPr>
                <w:rFonts w:ascii="宋体" w:eastAsia="宋体" w:hAnsi="宋体" w:cs="Times New Roman" w:hint="eastAsia"/>
                <w:bCs/>
                <w:sz w:val="24"/>
              </w:rPr>
              <w:t>课程目标1、2、3</w:t>
            </w:r>
          </w:p>
        </w:tc>
        <w:tc>
          <w:tcPr>
            <w:tcW w:w="5376" w:type="dxa"/>
            <w:vAlign w:val="center"/>
          </w:tcPr>
          <w:p w14:paraId="341CFD73"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大学生体质健康标准测试</w:t>
            </w:r>
          </w:p>
        </w:tc>
        <w:tc>
          <w:tcPr>
            <w:tcW w:w="2542" w:type="dxa"/>
            <w:vAlign w:val="center"/>
          </w:tcPr>
          <w:p w14:paraId="5733E85D" w14:textId="77777777" w:rsidR="00C32AC2" w:rsidRPr="00C32AC2" w:rsidRDefault="00C32AC2" w:rsidP="00C32AC2">
            <w:pPr>
              <w:widowControl/>
              <w:jc w:val="left"/>
              <w:rPr>
                <w:rFonts w:ascii="宋体" w:eastAsia="宋体" w:hAnsi="宋体" w:cs="Times New Roman"/>
                <w:bCs/>
                <w:sz w:val="24"/>
              </w:rPr>
            </w:pPr>
          </w:p>
          <w:p w14:paraId="7D660B7A"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随堂技术考核</w:t>
            </w:r>
          </w:p>
        </w:tc>
      </w:tr>
      <w:tr w:rsidR="00C32AC2" w:rsidRPr="00C32AC2" w14:paraId="149A1427" w14:textId="77777777" w:rsidTr="00375FAF">
        <w:trPr>
          <w:jc w:val="center"/>
        </w:trPr>
        <w:tc>
          <w:tcPr>
            <w:tcW w:w="1422" w:type="dxa"/>
            <w:vAlign w:val="center"/>
          </w:tcPr>
          <w:p w14:paraId="19CD9878" w14:textId="77777777" w:rsidR="00C32AC2" w:rsidRPr="00C32AC2" w:rsidRDefault="00C32AC2" w:rsidP="00C32AC2">
            <w:pPr>
              <w:spacing w:line="440" w:lineRule="exact"/>
              <w:jc w:val="center"/>
              <w:rPr>
                <w:rFonts w:ascii="宋体" w:eastAsia="宋体" w:hAnsi="宋体" w:cs="Times New Roman"/>
                <w:bCs/>
                <w:sz w:val="24"/>
              </w:rPr>
            </w:pPr>
            <w:r w:rsidRPr="00C32AC2">
              <w:rPr>
                <w:rFonts w:ascii="宋体" w:eastAsia="宋体" w:hAnsi="宋体" w:cs="Times New Roman" w:hint="eastAsia"/>
                <w:bCs/>
                <w:sz w:val="24"/>
              </w:rPr>
              <w:t>课程目标3</w:t>
            </w:r>
          </w:p>
        </w:tc>
        <w:tc>
          <w:tcPr>
            <w:tcW w:w="5376" w:type="dxa"/>
            <w:vAlign w:val="center"/>
          </w:tcPr>
          <w:p w14:paraId="7F5EE318"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立定跳远</w:t>
            </w:r>
          </w:p>
        </w:tc>
        <w:tc>
          <w:tcPr>
            <w:tcW w:w="2542" w:type="dxa"/>
            <w:vAlign w:val="center"/>
          </w:tcPr>
          <w:p w14:paraId="763B1610" w14:textId="77777777" w:rsidR="00C32AC2" w:rsidRPr="00C32AC2" w:rsidRDefault="00C32AC2" w:rsidP="00C32AC2">
            <w:pPr>
              <w:widowControl/>
              <w:jc w:val="left"/>
              <w:rPr>
                <w:rFonts w:ascii="宋体" w:eastAsia="宋体" w:hAnsi="宋体" w:cs="Times New Roman"/>
                <w:bCs/>
                <w:sz w:val="24"/>
              </w:rPr>
            </w:pPr>
          </w:p>
          <w:p w14:paraId="53CA57E0"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随堂技术考核</w:t>
            </w:r>
          </w:p>
        </w:tc>
      </w:tr>
      <w:tr w:rsidR="00C32AC2" w:rsidRPr="00C32AC2" w14:paraId="45792069" w14:textId="77777777" w:rsidTr="00375FAF">
        <w:trPr>
          <w:jc w:val="center"/>
        </w:trPr>
        <w:tc>
          <w:tcPr>
            <w:tcW w:w="1422" w:type="dxa"/>
            <w:vAlign w:val="center"/>
          </w:tcPr>
          <w:p w14:paraId="7603E598" w14:textId="77777777" w:rsidR="00C32AC2" w:rsidRPr="00C32AC2" w:rsidRDefault="00C32AC2" w:rsidP="00C32AC2">
            <w:pPr>
              <w:spacing w:line="440" w:lineRule="exact"/>
              <w:jc w:val="center"/>
              <w:rPr>
                <w:rFonts w:ascii="宋体" w:eastAsia="宋体" w:hAnsi="宋体" w:cs="Times New Roman"/>
                <w:bCs/>
                <w:sz w:val="24"/>
              </w:rPr>
            </w:pPr>
            <w:r w:rsidRPr="00C32AC2">
              <w:rPr>
                <w:rFonts w:ascii="宋体" w:eastAsia="宋体" w:hAnsi="宋体" w:cs="Times New Roman" w:hint="eastAsia"/>
                <w:bCs/>
                <w:sz w:val="24"/>
              </w:rPr>
              <w:t>课程目标3</w:t>
            </w:r>
          </w:p>
        </w:tc>
        <w:tc>
          <w:tcPr>
            <w:tcW w:w="5376" w:type="dxa"/>
            <w:vAlign w:val="center"/>
          </w:tcPr>
          <w:p w14:paraId="0E8BF8B9"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Calibri" w:cs="Times New Roman" w:hint="eastAsia"/>
                <w:bCs/>
                <w:kern w:val="0"/>
                <w:sz w:val="24"/>
              </w:rPr>
              <w:t>足球定点射门</w:t>
            </w:r>
          </w:p>
        </w:tc>
        <w:tc>
          <w:tcPr>
            <w:tcW w:w="2542" w:type="dxa"/>
            <w:vAlign w:val="center"/>
          </w:tcPr>
          <w:p w14:paraId="2AD19877" w14:textId="77777777" w:rsidR="00C32AC2" w:rsidRPr="00C32AC2" w:rsidRDefault="00C32AC2" w:rsidP="00C32AC2">
            <w:pPr>
              <w:widowControl/>
              <w:jc w:val="left"/>
              <w:rPr>
                <w:rFonts w:ascii="宋体" w:eastAsia="宋体" w:hAnsi="宋体" w:cs="Times New Roman"/>
                <w:bCs/>
                <w:sz w:val="24"/>
              </w:rPr>
            </w:pPr>
          </w:p>
          <w:p w14:paraId="45D2DD1B"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随堂技术考核</w:t>
            </w:r>
          </w:p>
        </w:tc>
      </w:tr>
      <w:tr w:rsidR="00C32AC2" w:rsidRPr="00C32AC2" w14:paraId="4BBC6476" w14:textId="77777777" w:rsidTr="00375FAF">
        <w:trPr>
          <w:jc w:val="center"/>
        </w:trPr>
        <w:tc>
          <w:tcPr>
            <w:tcW w:w="1422" w:type="dxa"/>
            <w:vAlign w:val="center"/>
          </w:tcPr>
          <w:p w14:paraId="52DD408C" w14:textId="77777777" w:rsidR="00C32AC2" w:rsidRPr="00C32AC2" w:rsidRDefault="00C32AC2" w:rsidP="00C32AC2">
            <w:pPr>
              <w:spacing w:line="440" w:lineRule="exact"/>
              <w:jc w:val="center"/>
              <w:rPr>
                <w:rFonts w:ascii="宋体" w:eastAsia="宋体" w:hAnsi="宋体" w:cs="Times New Roman"/>
                <w:bCs/>
                <w:sz w:val="24"/>
              </w:rPr>
            </w:pPr>
            <w:r w:rsidRPr="00C32AC2">
              <w:rPr>
                <w:rFonts w:ascii="宋体" w:eastAsia="宋体" w:hAnsi="宋体" w:cs="Times New Roman" w:hint="eastAsia"/>
                <w:bCs/>
                <w:sz w:val="24"/>
              </w:rPr>
              <w:t>课程目标3</w:t>
            </w:r>
          </w:p>
        </w:tc>
        <w:tc>
          <w:tcPr>
            <w:tcW w:w="5376" w:type="dxa"/>
            <w:vAlign w:val="center"/>
          </w:tcPr>
          <w:p w14:paraId="0D0223FD"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Calibri" w:cs="Times New Roman" w:hint="eastAsia"/>
                <w:bCs/>
                <w:kern w:val="0"/>
                <w:sz w:val="24"/>
              </w:rPr>
              <w:t>足球运球过杆射门</w:t>
            </w:r>
          </w:p>
        </w:tc>
        <w:tc>
          <w:tcPr>
            <w:tcW w:w="2542" w:type="dxa"/>
            <w:vAlign w:val="center"/>
          </w:tcPr>
          <w:p w14:paraId="262B4E52" w14:textId="77777777" w:rsidR="00C32AC2" w:rsidRPr="00C32AC2" w:rsidRDefault="00C32AC2" w:rsidP="00C32AC2">
            <w:pPr>
              <w:widowControl/>
              <w:jc w:val="left"/>
              <w:rPr>
                <w:rFonts w:ascii="宋体" w:eastAsia="宋体" w:hAnsi="宋体" w:cs="Times New Roman"/>
                <w:bCs/>
                <w:sz w:val="24"/>
              </w:rPr>
            </w:pPr>
            <w:r w:rsidRPr="00C32AC2">
              <w:rPr>
                <w:rFonts w:ascii="宋体" w:eastAsia="宋体" w:hAnsi="宋体" w:cs="Times New Roman" w:hint="eastAsia"/>
                <w:bCs/>
                <w:sz w:val="24"/>
              </w:rPr>
              <w:t>随堂技术考核</w:t>
            </w:r>
          </w:p>
          <w:p w14:paraId="6668561C" w14:textId="77777777" w:rsidR="00C32AC2" w:rsidRPr="00C32AC2" w:rsidRDefault="00C32AC2" w:rsidP="00C32AC2">
            <w:pPr>
              <w:spacing w:line="440" w:lineRule="exact"/>
              <w:rPr>
                <w:rFonts w:ascii="宋体" w:eastAsia="宋体" w:hAnsi="宋体" w:cs="Times New Roman"/>
                <w:bCs/>
                <w:sz w:val="24"/>
              </w:rPr>
            </w:pPr>
          </w:p>
        </w:tc>
      </w:tr>
    </w:tbl>
    <w:p w14:paraId="1566D91D"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（二）课程目标达成评价方式及考核比例</w:t>
      </w:r>
    </w:p>
    <w:p w14:paraId="25A3E3A3"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足球课程</w:t>
      </w:r>
      <w:proofErr w:type="gramStart"/>
      <w:r w:rsidRPr="00C32AC2">
        <w:rPr>
          <w:rFonts w:ascii="宋体" w:eastAsia="宋体" w:hAnsi="宋体" w:cs="Times New Roman" w:hint="eastAsia"/>
          <w:sz w:val="24"/>
        </w:rPr>
        <w:t>1、2、3、4每</w:t>
      </w:r>
      <w:proofErr w:type="gramEnd"/>
      <w:r w:rsidRPr="00C32AC2">
        <w:rPr>
          <w:rFonts w:ascii="宋体" w:eastAsia="宋体" w:hAnsi="宋体" w:cs="Times New Roman" w:hint="eastAsia"/>
          <w:sz w:val="24"/>
        </w:rPr>
        <w:t>学期考核方式及成绩比例为：课堂表现20%</w:t>
      </w:r>
      <w:r w:rsidRPr="00C32AC2">
        <w:rPr>
          <w:rFonts w:ascii="宋体" w:eastAsia="宋体" w:hAnsi="宋体" w:cs="Times New Roman"/>
          <w:sz w:val="24"/>
        </w:rPr>
        <w:t>+</w:t>
      </w:r>
      <w:r w:rsidRPr="00C32AC2">
        <w:rPr>
          <w:rFonts w:ascii="宋体" w:eastAsia="宋体" w:hAnsi="宋体" w:cs="Times New Roman" w:hint="eastAsia"/>
          <w:sz w:val="24"/>
        </w:rPr>
        <w:t>期中考核30%</w:t>
      </w:r>
      <w:r w:rsidRPr="00C32AC2">
        <w:rPr>
          <w:rFonts w:ascii="宋体" w:eastAsia="宋体" w:hAnsi="宋体" w:cs="Times New Roman"/>
          <w:sz w:val="24"/>
        </w:rPr>
        <w:t>+</w:t>
      </w:r>
      <w:r w:rsidRPr="00C32AC2">
        <w:rPr>
          <w:rFonts w:ascii="宋体" w:eastAsia="宋体" w:hAnsi="宋体" w:cs="Times New Roman" w:hint="eastAsia"/>
          <w:sz w:val="24"/>
        </w:rPr>
        <w:t>课期</w:t>
      </w:r>
      <w:proofErr w:type="gramStart"/>
      <w:r w:rsidRPr="00C32AC2">
        <w:rPr>
          <w:rFonts w:ascii="宋体" w:eastAsia="宋体" w:hAnsi="宋体" w:cs="Times New Roman" w:hint="eastAsia"/>
          <w:sz w:val="24"/>
        </w:rPr>
        <w:t>末考试</w:t>
      </w:r>
      <w:proofErr w:type="gramEnd"/>
      <w:r w:rsidRPr="00C32AC2">
        <w:rPr>
          <w:rFonts w:ascii="宋体" w:eastAsia="宋体" w:hAnsi="宋体" w:cs="Times New Roman" w:hint="eastAsia"/>
          <w:sz w:val="24"/>
        </w:rPr>
        <w:t>5</w:t>
      </w:r>
      <w:r w:rsidRPr="00C32AC2">
        <w:rPr>
          <w:rFonts w:ascii="宋体" w:eastAsia="宋体" w:hAnsi="宋体" w:cs="Times New Roman"/>
          <w:sz w:val="24"/>
        </w:rPr>
        <w:t>0</w:t>
      </w:r>
      <w:r w:rsidRPr="00C32AC2">
        <w:rPr>
          <w:rFonts w:ascii="宋体" w:eastAsia="宋体" w:hAnsi="宋体" w:cs="Times New Roman" w:hint="eastAsia"/>
          <w:sz w:val="24"/>
        </w:rPr>
        <w:t>%；本课程共有三个课程目标，考核方式及成绩比例分别为：</w:t>
      </w:r>
    </w:p>
    <w:p w14:paraId="1B609D3D"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课程目标1：课堂表现5%</w:t>
      </w:r>
      <w:r w:rsidRPr="00C32AC2">
        <w:rPr>
          <w:rFonts w:ascii="宋体" w:eastAsia="宋体" w:hAnsi="宋体" w:cs="Times New Roman"/>
          <w:sz w:val="24"/>
        </w:rPr>
        <w:t>+</w:t>
      </w:r>
      <w:r w:rsidRPr="00C32AC2">
        <w:rPr>
          <w:rFonts w:ascii="宋体" w:eastAsia="宋体" w:hAnsi="宋体" w:cs="Times New Roman" w:hint="eastAsia"/>
          <w:sz w:val="24"/>
        </w:rPr>
        <w:t>阶段测试10%</w:t>
      </w:r>
      <w:r w:rsidRPr="00C32AC2">
        <w:rPr>
          <w:rFonts w:ascii="宋体" w:eastAsia="宋体" w:hAnsi="宋体" w:cs="Times New Roman"/>
          <w:sz w:val="24"/>
        </w:rPr>
        <w:t>+</w:t>
      </w:r>
      <w:r w:rsidRPr="00C32AC2">
        <w:rPr>
          <w:rFonts w:ascii="宋体" w:eastAsia="宋体" w:hAnsi="宋体" w:cs="Times New Roman" w:hint="eastAsia"/>
          <w:sz w:val="24"/>
        </w:rPr>
        <w:t>期末考试20%</w:t>
      </w:r>
    </w:p>
    <w:p w14:paraId="647CE967"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课程目标2：课堂表现10%</w:t>
      </w:r>
      <w:r w:rsidRPr="00C32AC2">
        <w:rPr>
          <w:rFonts w:ascii="宋体" w:eastAsia="宋体" w:hAnsi="宋体" w:cs="Times New Roman"/>
          <w:sz w:val="24"/>
        </w:rPr>
        <w:t>+</w:t>
      </w:r>
      <w:r w:rsidRPr="00C32AC2">
        <w:rPr>
          <w:rFonts w:ascii="宋体" w:eastAsia="宋体" w:hAnsi="宋体" w:cs="Times New Roman" w:hint="eastAsia"/>
          <w:sz w:val="24"/>
        </w:rPr>
        <w:t>阶段测试10%</w:t>
      </w:r>
      <w:r w:rsidRPr="00C32AC2">
        <w:rPr>
          <w:rFonts w:ascii="宋体" w:eastAsia="宋体" w:hAnsi="宋体" w:cs="Times New Roman"/>
          <w:sz w:val="24"/>
        </w:rPr>
        <w:t>+</w:t>
      </w:r>
      <w:r w:rsidRPr="00C32AC2">
        <w:rPr>
          <w:rFonts w:ascii="宋体" w:eastAsia="宋体" w:hAnsi="宋体" w:cs="Times New Roman" w:hint="eastAsia"/>
          <w:sz w:val="24"/>
        </w:rPr>
        <w:t>期末考试20%</w:t>
      </w:r>
    </w:p>
    <w:p w14:paraId="2712EFC2"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课程目标3：课堂表现5%</w:t>
      </w:r>
      <w:r w:rsidRPr="00C32AC2">
        <w:rPr>
          <w:rFonts w:ascii="宋体" w:eastAsia="宋体" w:hAnsi="宋体" w:cs="Times New Roman"/>
          <w:sz w:val="24"/>
        </w:rPr>
        <w:t>+</w:t>
      </w:r>
      <w:r w:rsidRPr="00C32AC2">
        <w:rPr>
          <w:rFonts w:ascii="宋体" w:eastAsia="宋体" w:hAnsi="宋体" w:cs="Times New Roman" w:hint="eastAsia"/>
          <w:sz w:val="24"/>
        </w:rPr>
        <w:t>阶段测试10%</w:t>
      </w:r>
      <w:r w:rsidRPr="00C32AC2">
        <w:rPr>
          <w:rFonts w:ascii="宋体" w:eastAsia="宋体" w:hAnsi="宋体" w:cs="Times New Roman"/>
          <w:sz w:val="24"/>
        </w:rPr>
        <w:t>+</w:t>
      </w:r>
      <w:r w:rsidRPr="00C32AC2">
        <w:rPr>
          <w:rFonts w:ascii="宋体" w:eastAsia="宋体" w:hAnsi="宋体" w:cs="Times New Roman" w:hint="eastAsia"/>
          <w:sz w:val="24"/>
        </w:rPr>
        <w:t>期末考试10%</w:t>
      </w:r>
    </w:p>
    <w:p w14:paraId="1C84A910"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C32AC2" w:rsidRPr="00C32AC2" w14:paraId="4BB43A3C" w14:textId="77777777" w:rsidTr="00375FAF">
        <w:trPr>
          <w:trHeight w:val="540"/>
          <w:jc w:val="center"/>
        </w:trPr>
        <w:tc>
          <w:tcPr>
            <w:tcW w:w="1422" w:type="dxa"/>
            <w:vMerge w:val="restart"/>
            <w:vAlign w:val="center"/>
          </w:tcPr>
          <w:p w14:paraId="28569E82"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课程目标</w:t>
            </w:r>
          </w:p>
        </w:tc>
        <w:tc>
          <w:tcPr>
            <w:tcW w:w="6271" w:type="dxa"/>
            <w:gridSpan w:val="4"/>
            <w:vAlign w:val="center"/>
          </w:tcPr>
          <w:p w14:paraId="1E0BB6F2"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考核方式及成绩比例（%）</w:t>
            </w:r>
          </w:p>
        </w:tc>
        <w:tc>
          <w:tcPr>
            <w:tcW w:w="1559" w:type="dxa"/>
            <w:vMerge w:val="restart"/>
            <w:vAlign w:val="center"/>
          </w:tcPr>
          <w:p w14:paraId="427633F6"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合计</w:t>
            </w:r>
          </w:p>
        </w:tc>
      </w:tr>
      <w:tr w:rsidR="00C32AC2" w:rsidRPr="00C32AC2" w14:paraId="3F7EE5C6" w14:textId="77777777" w:rsidTr="00375FAF">
        <w:trPr>
          <w:trHeight w:val="578"/>
          <w:jc w:val="center"/>
        </w:trPr>
        <w:tc>
          <w:tcPr>
            <w:tcW w:w="1422" w:type="dxa"/>
            <w:vMerge/>
            <w:vAlign w:val="center"/>
          </w:tcPr>
          <w:p w14:paraId="5C2AEFC7" w14:textId="77777777" w:rsidR="00C32AC2" w:rsidRPr="00C32AC2" w:rsidRDefault="00C32AC2" w:rsidP="00C32AC2">
            <w:pPr>
              <w:spacing w:line="440" w:lineRule="exact"/>
              <w:rPr>
                <w:rFonts w:ascii="宋体" w:eastAsia="宋体" w:hAnsi="宋体" w:cs="Times New Roman"/>
                <w:b/>
                <w:sz w:val="24"/>
              </w:rPr>
            </w:pPr>
          </w:p>
        </w:tc>
        <w:tc>
          <w:tcPr>
            <w:tcW w:w="1452" w:type="dxa"/>
            <w:vAlign w:val="center"/>
          </w:tcPr>
          <w:p w14:paraId="763D9947"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课堂表现</w:t>
            </w:r>
          </w:p>
        </w:tc>
        <w:tc>
          <w:tcPr>
            <w:tcW w:w="1559" w:type="dxa"/>
            <w:vAlign w:val="center"/>
          </w:tcPr>
          <w:p w14:paraId="342E3FE4"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阶段测试</w:t>
            </w:r>
          </w:p>
        </w:tc>
        <w:tc>
          <w:tcPr>
            <w:tcW w:w="1701" w:type="dxa"/>
            <w:vAlign w:val="center"/>
          </w:tcPr>
          <w:p w14:paraId="6D55D47C"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课程论文</w:t>
            </w:r>
          </w:p>
        </w:tc>
        <w:tc>
          <w:tcPr>
            <w:tcW w:w="1559" w:type="dxa"/>
            <w:vAlign w:val="center"/>
          </w:tcPr>
          <w:p w14:paraId="10C57DE7"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期末考试</w:t>
            </w:r>
          </w:p>
        </w:tc>
        <w:tc>
          <w:tcPr>
            <w:tcW w:w="1559" w:type="dxa"/>
            <w:vMerge/>
          </w:tcPr>
          <w:p w14:paraId="037BCD48" w14:textId="77777777" w:rsidR="00C32AC2" w:rsidRPr="00C32AC2" w:rsidRDefault="00C32AC2" w:rsidP="00C32AC2">
            <w:pPr>
              <w:spacing w:line="440" w:lineRule="exact"/>
              <w:rPr>
                <w:rFonts w:ascii="宋体" w:eastAsia="宋体" w:hAnsi="宋体" w:cs="Times New Roman"/>
                <w:b/>
                <w:sz w:val="24"/>
              </w:rPr>
            </w:pPr>
          </w:p>
        </w:tc>
      </w:tr>
      <w:tr w:rsidR="00C32AC2" w:rsidRPr="00C32AC2" w14:paraId="7C33993E" w14:textId="77777777" w:rsidTr="00375FAF">
        <w:trPr>
          <w:jc w:val="center"/>
        </w:trPr>
        <w:tc>
          <w:tcPr>
            <w:tcW w:w="1422" w:type="dxa"/>
            <w:vAlign w:val="center"/>
          </w:tcPr>
          <w:p w14:paraId="0241B3A0"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课程目标1</w:t>
            </w:r>
          </w:p>
        </w:tc>
        <w:tc>
          <w:tcPr>
            <w:tcW w:w="1452" w:type="dxa"/>
            <w:vAlign w:val="center"/>
          </w:tcPr>
          <w:p w14:paraId="2D94BAAC"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5</w:t>
            </w:r>
          </w:p>
        </w:tc>
        <w:tc>
          <w:tcPr>
            <w:tcW w:w="1559" w:type="dxa"/>
            <w:vAlign w:val="center"/>
          </w:tcPr>
          <w:p w14:paraId="3DCA1F25"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10</w:t>
            </w:r>
          </w:p>
        </w:tc>
        <w:tc>
          <w:tcPr>
            <w:tcW w:w="1701" w:type="dxa"/>
            <w:vAlign w:val="center"/>
          </w:tcPr>
          <w:p w14:paraId="0E19A3F0" w14:textId="77777777" w:rsidR="00C32AC2" w:rsidRPr="00C32AC2" w:rsidRDefault="00C32AC2" w:rsidP="00C32AC2">
            <w:pPr>
              <w:spacing w:line="440" w:lineRule="exact"/>
              <w:rPr>
                <w:rFonts w:ascii="宋体" w:eastAsia="宋体" w:hAnsi="宋体" w:cs="Times New Roman"/>
                <w:bCs/>
                <w:sz w:val="24"/>
              </w:rPr>
            </w:pPr>
          </w:p>
        </w:tc>
        <w:tc>
          <w:tcPr>
            <w:tcW w:w="1559" w:type="dxa"/>
            <w:vAlign w:val="center"/>
          </w:tcPr>
          <w:p w14:paraId="08B2EB55"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20</w:t>
            </w:r>
          </w:p>
        </w:tc>
        <w:tc>
          <w:tcPr>
            <w:tcW w:w="1559" w:type="dxa"/>
          </w:tcPr>
          <w:p w14:paraId="52FAD7BF"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35</w:t>
            </w:r>
          </w:p>
        </w:tc>
      </w:tr>
      <w:tr w:rsidR="00C32AC2" w:rsidRPr="00C32AC2" w14:paraId="4969C0EB" w14:textId="77777777" w:rsidTr="00375FAF">
        <w:trPr>
          <w:jc w:val="center"/>
        </w:trPr>
        <w:tc>
          <w:tcPr>
            <w:tcW w:w="1422" w:type="dxa"/>
            <w:vAlign w:val="center"/>
          </w:tcPr>
          <w:p w14:paraId="628ADE13"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课程目标2</w:t>
            </w:r>
          </w:p>
        </w:tc>
        <w:tc>
          <w:tcPr>
            <w:tcW w:w="1452" w:type="dxa"/>
            <w:vAlign w:val="center"/>
          </w:tcPr>
          <w:p w14:paraId="0476772B"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10</w:t>
            </w:r>
          </w:p>
        </w:tc>
        <w:tc>
          <w:tcPr>
            <w:tcW w:w="1559" w:type="dxa"/>
            <w:vAlign w:val="center"/>
          </w:tcPr>
          <w:p w14:paraId="4FC64E30"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10</w:t>
            </w:r>
          </w:p>
        </w:tc>
        <w:tc>
          <w:tcPr>
            <w:tcW w:w="1701" w:type="dxa"/>
            <w:vAlign w:val="center"/>
          </w:tcPr>
          <w:p w14:paraId="05B26FAB" w14:textId="77777777" w:rsidR="00C32AC2" w:rsidRPr="00C32AC2" w:rsidRDefault="00C32AC2" w:rsidP="00C32AC2">
            <w:pPr>
              <w:spacing w:line="440" w:lineRule="exact"/>
              <w:rPr>
                <w:rFonts w:ascii="宋体" w:eastAsia="宋体" w:hAnsi="宋体" w:cs="Times New Roman"/>
                <w:bCs/>
                <w:sz w:val="24"/>
              </w:rPr>
            </w:pPr>
          </w:p>
        </w:tc>
        <w:tc>
          <w:tcPr>
            <w:tcW w:w="1559" w:type="dxa"/>
            <w:vAlign w:val="center"/>
          </w:tcPr>
          <w:p w14:paraId="297299A3"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20</w:t>
            </w:r>
          </w:p>
        </w:tc>
        <w:tc>
          <w:tcPr>
            <w:tcW w:w="1559" w:type="dxa"/>
          </w:tcPr>
          <w:p w14:paraId="2C7CC3A1"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40</w:t>
            </w:r>
          </w:p>
        </w:tc>
      </w:tr>
      <w:tr w:rsidR="00C32AC2" w:rsidRPr="00C32AC2" w14:paraId="7C1005DF" w14:textId="77777777" w:rsidTr="00375FAF">
        <w:trPr>
          <w:jc w:val="center"/>
        </w:trPr>
        <w:tc>
          <w:tcPr>
            <w:tcW w:w="1422" w:type="dxa"/>
            <w:vAlign w:val="center"/>
          </w:tcPr>
          <w:p w14:paraId="791AD182"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课程目标3</w:t>
            </w:r>
          </w:p>
        </w:tc>
        <w:tc>
          <w:tcPr>
            <w:tcW w:w="1452" w:type="dxa"/>
            <w:vAlign w:val="center"/>
          </w:tcPr>
          <w:p w14:paraId="14E455C6"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5</w:t>
            </w:r>
          </w:p>
        </w:tc>
        <w:tc>
          <w:tcPr>
            <w:tcW w:w="1559" w:type="dxa"/>
            <w:vAlign w:val="center"/>
          </w:tcPr>
          <w:p w14:paraId="16BB55FD"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10</w:t>
            </w:r>
          </w:p>
        </w:tc>
        <w:tc>
          <w:tcPr>
            <w:tcW w:w="1701" w:type="dxa"/>
            <w:vAlign w:val="center"/>
          </w:tcPr>
          <w:p w14:paraId="2BDE8235" w14:textId="77777777" w:rsidR="00C32AC2" w:rsidRPr="00C32AC2" w:rsidRDefault="00C32AC2" w:rsidP="00C32AC2">
            <w:pPr>
              <w:spacing w:line="440" w:lineRule="exact"/>
              <w:rPr>
                <w:rFonts w:ascii="宋体" w:eastAsia="宋体" w:hAnsi="宋体" w:cs="Times New Roman"/>
                <w:bCs/>
                <w:sz w:val="24"/>
              </w:rPr>
            </w:pPr>
          </w:p>
        </w:tc>
        <w:tc>
          <w:tcPr>
            <w:tcW w:w="1559" w:type="dxa"/>
            <w:vAlign w:val="center"/>
          </w:tcPr>
          <w:p w14:paraId="1236070B"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10</w:t>
            </w:r>
          </w:p>
        </w:tc>
        <w:tc>
          <w:tcPr>
            <w:tcW w:w="1559" w:type="dxa"/>
          </w:tcPr>
          <w:p w14:paraId="3DB8F807"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25</w:t>
            </w:r>
          </w:p>
        </w:tc>
      </w:tr>
      <w:tr w:rsidR="00C32AC2" w:rsidRPr="00C32AC2" w14:paraId="3CAC5B92" w14:textId="77777777" w:rsidTr="00375FAF">
        <w:trPr>
          <w:jc w:val="center"/>
        </w:trPr>
        <w:tc>
          <w:tcPr>
            <w:tcW w:w="1422" w:type="dxa"/>
            <w:vAlign w:val="center"/>
          </w:tcPr>
          <w:p w14:paraId="0DBE3A58"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lastRenderedPageBreak/>
              <w:t>合计</w:t>
            </w:r>
          </w:p>
        </w:tc>
        <w:tc>
          <w:tcPr>
            <w:tcW w:w="1452" w:type="dxa"/>
            <w:vAlign w:val="center"/>
          </w:tcPr>
          <w:p w14:paraId="55D0FF09"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20</w:t>
            </w:r>
          </w:p>
        </w:tc>
        <w:tc>
          <w:tcPr>
            <w:tcW w:w="1559" w:type="dxa"/>
            <w:vAlign w:val="center"/>
          </w:tcPr>
          <w:p w14:paraId="4DD4D788"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30</w:t>
            </w:r>
          </w:p>
        </w:tc>
        <w:tc>
          <w:tcPr>
            <w:tcW w:w="1701" w:type="dxa"/>
            <w:vAlign w:val="center"/>
          </w:tcPr>
          <w:p w14:paraId="795D5F62" w14:textId="77777777" w:rsidR="00C32AC2" w:rsidRPr="00C32AC2" w:rsidRDefault="00C32AC2" w:rsidP="00C32AC2">
            <w:pPr>
              <w:spacing w:line="440" w:lineRule="exact"/>
              <w:rPr>
                <w:rFonts w:ascii="宋体" w:eastAsia="宋体" w:hAnsi="宋体" w:cs="Times New Roman"/>
                <w:bCs/>
                <w:sz w:val="24"/>
              </w:rPr>
            </w:pPr>
          </w:p>
        </w:tc>
        <w:tc>
          <w:tcPr>
            <w:tcW w:w="1559" w:type="dxa"/>
            <w:vAlign w:val="center"/>
          </w:tcPr>
          <w:p w14:paraId="0E2130C9"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50</w:t>
            </w:r>
          </w:p>
        </w:tc>
        <w:tc>
          <w:tcPr>
            <w:tcW w:w="1559" w:type="dxa"/>
          </w:tcPr>
          <w:p w14:paraId="2A593E00"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1</w:t>
            </w:r>
            <w:r w:rsidRPr="00C32AC2">
              <w:rPr>
                <w:rFonts w:ascii="宋体" w:eastAsia="宋体" w:hAnsi="宋体" w:cs="Times New Roman"/>
                <w:bCs/>
                <w:sz w:val="24"/>
              </w:rPr>
              <w:t>00</w:t>
            </w:r>
          </w:p>
        </w:tc>
      </w:tr>
    </w:tbl>
    <w:p w14:paraId="3B41B426" w14:textId="77777777" w:rsidR="00C32AC2" w:rsidRPr="00C32AC2" w:rsidRDefault="00C32AC2" w:rsidP="00C32AC2">
      <w:pPr>
        <w:spacing w:line="440" w:lineRule="exact"/>
        <w:ind w:firstLineChars="200" w:firstLine="480"/>
        <w:rPr>
          <w:rFonts w:ascii="宋体" w:eastAsia="宋体" w:hAnsi="宋体" w:cs="Times New Roman"/>
          <w:sz w:val="24"/>
        </w:rPr>
      </w:pPr>
    </w:p>
    <w:p w14:paraId="62A8F3EA" w14:textId="77777777" w:rsidR="00C32AC2" w:rsidRPr="00C32AC2" w:rsidRDefault="00C32AC2" w:rsidP="0039515A">
      <w:pPr>
        <w:pStyle w:val="afc"/>
      </w:pPr>
      <w:bookmarkStart w:id="59" w:name="_Toc28783"/>
      <w:bookmarkStart w:id="60" w:name="_Toc16517"/>
      <w:r w:rsidRPr="00C32AC2">
        <w:rPr>
          <w:rFonts w:hint="eastAsia"/>
        </w:rPr>
        <w:t>五、成绩评定</w:t>
      </w:r>
      <w:bookmarkEnd w:id="59"/>
      <w:bookmarkEnd w:id="60"/>
    </w:p>
    <w:p w14:paraId="06A2373F" w14:textId="77777777" w:rsidR="00C32AC2" w:rsidRPr="00C32AC2" w:rsidRDefault="00C32AC2" w:rsidP="0039515A">
      <w:pPr>
        <w:pStyle w:val="afc"/>
      </w:pPr>
      <w:r w:rsidRPr="00C32AC2">
        <w:rPr>
          <w:rFonts w:hint="eastAsia"/>
        </w:rPr>
        <w:t>（一）总成绩评定</w:t>
      </w:r>
    </w:p>
    <w:p w14:paraId="182E1A32"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总成绩=平时成绩×20%+期中成绩×30%+期末成绩×50%</w:t>
      </w:r>
    </w:p>
    <w:p w14:paraId="3BAFAD62"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备注：每学期总成绩</w:t>
      </w:r>
    </w:p>
    <w:p w14:paraId="5D9B4B70" w14:textId="77777777" w:rsidR="00C32AC2" w:rsidRPr="00C32AC2" w:rsidRDefault="00C32AC2" w:rsidP="00C32AC2">
      <w:pPr>
        <w:spacing w:beforeLines="50" w:before="156" w:afterLines="50" w:after="156" w:line="440" w:lineRule="exact"/>
        <w:ind w:firstLineChars="200" w:firstLine="560"/>
        <w:rPr>
          <w:rFonts w:ascii="宋体" w:eastAsia="宋体" w:hAnsi="宋体" w:cs="Times New Roman"/>
          <w:color w:val="FF0000"/>
          <w:sz w:val="24"/>
        </w:rPr>
      </w:pPr>
      <w:r w:rsidRPr="00C32AC2">
        <w:rPr>
          <w:rFonts w:ascii="黑体" w:eastAsia="黑体" w:hAnsi="黑体" w:cs="Times New Roman" w:hint="eastAsia"/>
          <w:sz w:val="28"/>
          <w:szCs w:val="28"/>
        </w:rPr>
        <w:t>（二）平时成绩评定</w:t>
      </w:r>
    </w:p>
    <w:p w14:paraId="29A9E26D"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（1）课堂表现：通过学生在课堂上的表现情况、发言与主体参与和练习情况，来评价学生相关的能力。</w:t>
      </w:r>
    </w:p>
    <w:p w14:paraId="75604829"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（2）作业完成情况：围绕课程的学习目标进行作业的设计。如让学生简述对知识的认识，建议</w:t>
      </w:r>
      <w:proofErr w:type="gramStart"/>
      <w:r w:rsidRPr="00C32AC2">
        <w:rPr>
          <w:rFonts w:ascii="宋体" w:eastAsia="宋体" w:hAnsi="宋体" w:cs="Times New Roman" w:hint="eastAsia"/>
          <w:sz w:val="24"/>
        </w:rPr>
        <w:t>带准备</w:t>
      </w:r>
      <w:proofErr w:type="gramEnd"/>
      <w:r w:rsidRPr="00C32AC2">
        <w:rPr>
          <w:rFonts w:ascii="宋体" w:eastAsia="宋体" w:hAnsi="宋体" w:cs="Times New Roman" w:hint="eastAsia"/>
          <w:sz w:val="24"/>
        </w:rPr>
        <w:t>部分和基本部分中的复习内容，帮助学生将定义转化为自己的理解,学生在小组合作学习中测验掌握课程的情况。</w:t>
      </w:r>
    </w:p>
    <w:p w14:paraId="09BD4190" w14:textId="77777777" w:rsidR="00C32AC2" w:rsidRPr="00C32AC2" w:rsidRDefault="00C32AC2" w:rsidP="00C32AC2">
      <w:pPr>
        <w:spacing w:line="440" w:lineRule="exact"/>
        <w:ind w:firstLineChars="200" w:firstLine="480"/>
        <w:rPr>
          <w:rFonts w:ascii="宋体" w:eastAsia="宋体" w:hAnsi="宋体" w:cs="Times New Roman"/>
          <w:color w:val="FF0000"/>
          <w:sz w:val="24"/>
        </w:rPr>
      </w:pPr>
      <w:r w:rsidRPr="00C32AC2">
        <w:rPr>
          <w:rFonts w:ascii="宋体" w:eastAsia="宋体" w:hAnsi="宋体" w:cs="Times New Roman" w:hint="eastAsia"/>
          <w:sz w:val="24"/>
        </w:rPr>
        <w:t>（3）课堂考勤：留存辅导员开具的事假条、校医院开具的病假条。缺课达到本学期三分之一课时，按照考试无资格处理。</w:t>
      </w:r>
    </w:p>
    <w:p w14:paraId="3C88DDBF"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（三）期中、期末成绩评定</w:t>
      </w:r>
    </w:p>
    <w:p w14:paraId="69AFB736"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第一学期</w:t>
      </w:r>
    </w:p>
    <w:p w14:paraId="15146FC2" w14:textId="77777777" w:rsidR="00C32AC2" w:rsidRPr="00C32AC2" w:rsidRDefault="00C32AC2" w:rsidP="00C32AC2">
      <w:pPr>
        <w:adjustRightInd w:val="0"/>
        <w:snapToGrid w:val="0"/>
        <w:spacing w:line="500" w:lineRule="exact"/>
        <w:jc w:val="center"/>
        <w:rPr>
          <w:rFonts w:ascii="宋体" w:eastAsia="宋体" w:hAnsi="Calibri" w:cs="Times New Roman"/>
          <w:b/>
          <w:bCs/>
          <w:kern w:val="0"/>
          <w:sz w:val="24"/>
        </w:rPr>
      </w:pPr>
      <w:r w:rsidRPr="00C32AC2">
        <w:rPr>
          <w:rFonts w:ascii="宋体" w:eastAsia="宋体" w:hAnsi="Calibri" w:cs="Times New Roman" w:hint="eastAsia"/>
          <w:b/>
          <w:bCs/>
          <w:kern w:val="0"/>
          <w:sz w:val="24"/>
        </w:rPr>
        <w:t>期中考试</w:t>
      </w:r>
    </w:p>
    <w:p w14:paraId="4C10107C" w14:textId="77777777" w:rsidR="00C32AC2" w:rsidRPr="00C32AC2" w:rsidRDefault="00C32AC2" w:rsidP="00C32AC2">
      <w:pPr>
        <w:adjustRightInd w:val="0"/>
        <w:snapToGrid w:val="0"/>
        <w:spacing w:line="500" w:lineRule="exact"/>
        <w:rPr>
          <w:rFonts w:ascii="宋体" w:eastAsia="宋体" w:hAnsi="Calibri" w:cs="Times New Roman"/>
          <w:bCs/>
          <w:kern w:val="0"/>
          <w:sz w:val="24"/>
        </w:rPr>
      </w:pPr>
      <w:r w:rsidRPr="00C32AC2">
        <w:rPr>
          <w:rFonts w:ascii="宋体" w:eastAsia="宋体" w:hAnsi="Calibri" w:cs="Times New Roman" w:hint="eastAsia"/>
          <w:b/>
          <w:kern w:val="0"/>
          <w:sz w:val="24"/>
        </w:rPr>
        <w:t>1.课程考核目标:</w:t>
      </w:r>
      <w:r w:rsidRPr="00C32AC2">
        <w:rPr>
          <w:rFonts w:ascii="宋体" w:eastAsia="宋体" w:hAnsi="Calibri" w:cs="Times New Roman" w:hint="eastAsia"/>
          <w:bCs/>
          <w:kern w:val="0"/>
          <w:sz w:val="24"/>
        </w:rPr>
        <w:t>通过考核检验体能训练教学效果和学生掌握情况，让学生了解体质健康标准测验的重要性。</w:t>
      </w:r>
    </w:p>
    <w:p w14:paraId="1F5548EE"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r w:rsidRPr="00C32AC2">
        <w:rPr>
          <w:rFonts w:ascii="宋体" w:eastAsia="宋体" w:hAnsi="Calibri" w:cs="Times New Roman" w:hint="eastAsia"/>
          <w:b/>
          <w:kern w:val="0"/>
          <w:sz w:val="24"/>
        </w:rPr>
        <w:t>2.课程考核的内容：</w:t>
      </w:r>
      <w:r w:rsidRPr="00C32AC2">
        <w:rPr>
          <w:rFonts w:ascii="宋体" w:eastAsia="宋体" w:hAnsi="Calibri" w:cs="Times New Roman" w:hint="eastAsia"/>
          <w:bCs/>
          <w:kern w:val="0"/>
          <w:sz w:val="24"/>
        </w:rPr>
        <w:t>立定跳远。</w:t>
      </w:r>
    </w:p>
    <w:p w14:paraId="25DB8ACF"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r w:rsidRPr="00C32AC2">
        <w:rPr>
          <w:rFonts w:ascii="宋体" w:eastAsia="宋体" w:hAnsi="Calibri" w:cs="Times New Roman" w:hint="eastAsia"/>
          <w:b/>
          <w:kern w:val="0"/>
          <w:sz w:val="24"/>
        </w:rPr>
        <w:t>3.课程考核方式：</w:t>
      </w:r>
      <w:r w:rsidRPr="00C32AC2">
        <w:rPr>
          <w:rFonts w:ascii="宋体" w:eastAsia="宋体" w:hAnsi="Calibri" w:cs="Times New Roman" w:hint="eastAsia"/>
          <w:bCs/>
          <w:kern w:val="0"/>
          <w:sz w:val="24"/>
        </w:rPr>
        <w:t>沙坑场地，每人跳两次，取最好成绩。</w:t>
      </w:r>
    </w:p>
    <w:p w14:paraId="7268F173"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r w:rsidRPr="00C32AC2">
        <w:rPr>
          <w:rFonts w:ascii="宋体" w:eastAsia="宋体" w:hAnsi="Calibri" w:cs="Times New Roman" w:hint="eastAsia"/>
          <w:b/>
          <w:kern w:val="0"/>
          <w:sz w:val="24"/>
        </w:rPr>
        <w:t>4.成绩构成及分值：</w:t>
      </w:r>
      <w:r w:rsidRPr="00C32AC2">
        <w:rPr>
          <w:rFonts w:ascii="宋体" w:eastAsia="宋体" w:hAnsi="Calibri" w:cs="Times New Roman" w:hint="eastAsia"/>
          <w:bCs/>
          <w:kern w:val="0"/>
          <w:sz w:val="24"/>
        </w:rPr>
        <w:t>数量及技术评定分值各为100分，各占总分值的20%，</w:t>
      </w:r>
    </w:p>
    <w:p w14:paraId="3F03C934"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r w:rsidRPr="00C32AC2">
        <w:rPr>
          <w:rFonts w:ascii="宋体" w:eastAsia="宋体" w:hAnsi="Calibri" w:cs="Times New Roman" w:hint="eastAsia"/>
          <w:bCs/>
          <w:kern w:val="0"/>
          <w:sz w:val="24"/>
        </w:rPr>
        <w:t>总分值为100分。</w:t>
      </w:r>
    </w:p>
    <w:p w14:paraId="0F4AB69F" w14:textId="77777777" w:rsidR="00C32AC2" w:rsidRPr="00C32AC2" w:rsidRDefault="00C32AC2" w:rsidP="00C32AC2">
      <w:pPr>
        <w:adjustRightInd w:val="0"/>
        <w:snapToGrid w:val="0"/>
        <w:spacing w:line="500" w:lineRule="exact"/>
        <w:jc w:val="left"/>
        <w:rPr>
          <w:rFonts w:ascii="宋体" w:eastAsia="宋体" w:hAnsi="Calibri" w:cs="Times New Roman"/>
          <w:b/>
          <w:kern w:val="0"/>
          <w:sz w:val="24"/>
        </w:rPr>
      </w:pPr>
      <w:r w:rsidRPr="00C32AC2">
        <w:rPr>
          <w:rFonts w:ascii="宋体" w:eastAsia="宋体" w:hAnsi="Calibri" w:cs="Times New Roman" w:hint="eastAsia"/>
          <w:b/>
          <w:kern w:val="0"/>
          <w:sz w:val="24"/>
        </w:rPr>
        <w:t>5.评分记分原则：</w:t>
      </w:r>
    </w:p>
    <w:p w14:paraId="404CA65D"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p>
    <w:p w14:paraId="579704E4"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p>
    <w:p w14:paraId="57A38721"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C32AC2" w:rsidRPr="00C32AC2" w14:paraId="10A2B042" w14:textId="77777777" w:rsidTr="00375FAF">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783D0D5"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56EF5F08"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81DA613"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大</w:t>
            </w:r>
            <w:proofErr w:type="gramStart"/>
            <w:r w:rsidRPr="00C32AC2">
              <w:rPr>
                <w:rFonts w:ascii="宋体" w:eastAsia="宋体" w:hAnsi="宋体" w:cs="宋体" w:hint="eastAsia"/>
                <w:b/>
                <w:kern w:val="0"/>
                <w:sz w:val="24"/>
                <w:lang w:bidi="ar"/>
              </w:rPr>
              <w:t>一</w:t>
            </w:r>
            <w:proofErr w:type="gramEnd"/>
            <w:r w:rsidRPr="00C32AC2">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6478FD84"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大</w:t>
            </w:r>
            <w:proofErr w:type="gramStart"/>
            <w:r w:rsidRPr="00C32AC2">
              <w:rPr>
                <w:rFonts w:ascii="宋体" w:eastAsia="宋体" w:hAnsi="宋体" w:cs="宋体" w:hint="eastAsia"/>
                <w:b/>
                <w:kern w:val="0"/>
                <w:sz w:val="24"/>
                <w:lang w:bidi="ar"/>
              </w:rPr>
              <w:t>一</w:t>
            </w:r>
            <w:proofErr w:type="gramEnd"/>
            <w:r w:rsidRPr="00C32AC2">
              <w:rPr>
                <w:rFonts w:ascii="宋体" w:eastAsia="宋体" w:hAnsi="宋体" w:cs="宋体" w:hint="eastAsia"/>
                <w:b/>
                <w:kern w:val="0"/>
                <w:sz w:val="24"/>
                <w:lang w:bidi="ar"/>
              </w:rPr>
              <w:t>女生</w:t>
            </w:r>
          </w:p>
        </w:tc>
      </w:tr>
      <w:tr w:rsidR="00C32AC2" w:rsidRPr="00C32AC2" w14:paraId="6A783428" w14:textId="77777777" w:rsidTr="00375FAF">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C509EC1"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BE73697"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00262EF4" w14:textId="77777777" w:rsidR="00C32AC2" w:rsidRPr="00C32AC2" w:rsidRDefault="00C32AC2" w:rsidP="00C32AC2">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53E3EFED" w14:textId="77777777" w:rsidR="00C32AC2" w:rsidRPr="00C32AC2" w:rsidRDefault="00C32AC2" w:rsidP="00C32AC2">
            <w:pPr>
              <w:jc w:val="center"/>
              <w:rPr>
                <w:rFonts w:ascii="宋体" w:eastAsia="宋体" w:hAnsi="宋体" w:cs="宋体"/>
                <w:b/>
                <w:sz w:val="24"/>
              </w:rPr>
            </w:pPr>
          </w:p>
        </w:tc>
      </w:tr>
      <w:tr w:rsidR="00C32AC2" w:rsidRPr="00C32AC2" w14:paraId="07804705"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075E1B0"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655FD9C7"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29329404"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14652670"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207</w:t>
            </w:r>
          </w:p>
        </w:tc>
      </w:tr>
      <w:tr w:rsidR="00C32AC2" w:rsidRPr="00C32AC2" w14:paraId="375C8974"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F31445C"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0186A72"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43B855E8"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11C46B7E"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201</w:t>
            </w:r>
          </w:p>
        </w:tc>
      </w:tr>
      <w:tr w:rsidR="00C32AC2" w:rsidRPr="00C32AC2" w14:paraId="4FE16AA6"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4120852"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2D6222E"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BEA2A3C"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1630C74"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195</w:t>
            </w:r>
          </w:p>
        </w:tc>
      </w:tr>
      <w:tr w:rsidR="00C32AC2" w:rsidRPr="00C32AC2" w14:paraId="635BCD00"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5C5381A"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A05FB90"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62908D0A"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5E7FAEA5"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188</w:t>
            </w:r>
          </w:p>
        </w:tc>
      </w:tr>
      <w:tr w:rsidR="00C32AC2" w:rsidRPr="00C32AC2" w14:paraId="58A1E023"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3D469C4"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EA6C35"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A45E53A"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677AFD9"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181</w:t>
            </w:r>
          </w:p>
        </w:tc>
      </w:tr>
      <w:tr w:rsidR="00C32AC2" w:rsidRPr="00C32AC2" w14:paraId="1A31D922"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520836B"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5B5E7E81"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53280483"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4141F3C6"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178</w:t>
            </w:r>
          </w:p>
        </w:tc>
      </w:tr>
      <w:tr w:rsidR="00C32AC2" w:rsidRPr="00C32AC2" w14:paraId="0CA652F3"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563BDE7"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E790482"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63AED4E7"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452A8E6A"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175</w:t>
            </w:r>
          </w:p>
        </w:tc>
      </w:tr>
      <w:tr w:rsidR="00C32AC2" w:rsidRPr="00C32AC2" w14:paraId="0C7FA4A7"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3C8F0F8"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ED138E1"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2B7FE0F6"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3E6134F"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172</w:t>
            </w:r>
          </w:p>
        </w:tc>
      </w:tr>
      <w:tr w:rsidR="00C32AC2" w:rsidRPr="00C32AC2" w14:paraId="2A7B3443"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7DC642D"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CFBCD17"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62F7D4C7"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58AAC603"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169</w:t>
            </w:r>
          </w:p>
        </w:tc>
      </w:tr>
      <w:tr w:rsidR="00C32AC2" w:rsidRPr="00C32AC2" w14:paraId="00F1E88B"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390B9A4"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22EB778"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05417035"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3A7A4D3D"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166</w:t>
            </w:r>
          </w:p>
        </w:tc>
      </w:tr>
      <w:tr w:rsidR="00C32AC2" w:rsidRPr="00C32AC2" w14:paraId="23BE7869"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B72C5A1"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D14A6FA"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7C56A2ED"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22B563B2"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163</w:t>
            </w:r>
          </w:p>
        </w:tc>
      </w:tr>
      <w:tr w:rsidR="00C32AC2" w:rsidRPr="00C32AC2" w14:paraId="2C651BDE"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D1E1854"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6983398"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78002954"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393E76EC"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160</w:t>
            </w:r>
          </w:p>
        </w:tc>
      </w:tr>
      <w:tr w:rsidR="00C32AC2" w:rsidRPr="00C32AC2" w14:paraId="7140D64F"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DEAEF36"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8E7C31B"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6E34D080"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7B2FBBB4"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157</w:t>
            </w:r>
          </w:p>
        </w:tc>
      </w:tr>
      <w:tr w:rsidR="00C32AC2" w:rsidRPr="00C32AC2" w14:paraId="19084C20"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F6A8085"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3D156D8"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60FD5EDB"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732CCED9"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154</w:t>
            </w:r>
          </w:p>
        </w:tc>
      </w:tr>
      <w:tr w:rsidR="00C32AC2" w:rsidRPr="00C32AC2" w14:paraId="6B1FA9BC"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E5D33AD"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8945BB4"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E8EB293"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365955C"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151</w:t>
            </w:r>
          </w:p>
        </w:tc>
      </w:tr>
      <w:tr w:rsidR="00C32AC2" w:rsidRPr="00C32AC2" w14:paraId="29075627"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8BF7DCB"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549AF30"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16D28122"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24B0ADC6"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146</w:t>
            </w:r>
          </w:p>
        </w:tc>
      </w:tr>
      <w:tr w:rsidR="00C32AC2" w:rsidRPr="00C32AC2" w14:paraId="2BBD6626"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980EC1D"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1EED521"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4272F621"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4F593119"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141</w:t>
            </w:r>
          </w:p>
        </w:tc>
      </w:tr>
      <w:tr w:rsidR="00C32AC2" w:rsidRPr="00C32AC2" w14:paraId="7E2A4913"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C048005"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3B00CD7"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43E989D1"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7158FE8D"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136</w:t>
            </w:r>
          </w:p>
        </w:tc>
      </w:tr>
      <w:tr w:rsidR="00C32AC2" w:rsidRPr="00C32AC2" w14:paraId="4E6DE6D2"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74266CC"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96E748F"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6D7A3A42"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0519EB8B"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131</w:t>
            </w:r>
          </w:p>
        </w:tc>
      </w:tr>
      <w:tr w:rsidR="00C32AC2" w:rsidRPr="00C32AC2" w14:paraId="542B1FB6"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93CF063" w14:textId="77777777" w:rsidR="00C32AC2" w:rsidRPr="00C32AC2" w:rsidRDefault="00C32AC2" w:rsidP="00C32A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1DEE798" w14:textId="77777777" w:rsidR="00C32AC2" w:rsidRPr="00C32AC2" w:rsidRDefault="00C32AC2" w:rsidP="00C32AC2">
            <w:pPr>
              <w:widowControl/>
              <w:jc w:val="center"/>
              <w:textAlignment w:val="center"/>
              <w:rPr>
                <w:rFonts w:ascii="宋体" w:eastAsia="宋体" w:hAnsi="宋体" w:cs="宋体"/>
                <w:b/>
                <w:sz w:val="24"/>
              </w:rPr>
            </w:pPr>
            <w:r w:rsidRPr="00C32AC2">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3F67A60F"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065A6040" w14:textId="77777777" w:rsidR="00C32AC2" w:rsidRPr="00C32AC2" w:rsidRDefault="00C32AC2" w:rsidP="00C32AC2">
            <w:pPr>
              <w:widowControl/>
              <w:jc w:val="center"/>
              <w:textAlignment w:val="center"/>
              <w:rPr>
                <w:rFonts w:ascii="宋体" w:eastAsia="宋体" w:hAnsi="宋体" w:cs="宋体"/>
                <w:sz w:val="24"/>
              </w:rPr>
            </w:pPr>
            <w:r w:rsidRPr="00C32AC2">
              <w:rPr>
                <w:rFonts w:ascii="宋体" w:eastAsia="宋体" w:hAnsi="宋体" w:cs="宋体" w:hint="eastAsia"/>
                <w:kern w:val="0"/>
                <w:sz w:val="24"/>
                <w:lang w:bidi="ar"/>
              </w:rPr>
              <w:t>126</w:t>
            </w:r>
          </w:p>
        </w:tc>
      </w:tr>
    </w:tbl>
    <w:p w14:paraId="156C6642"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p>
    <w:p w14:paraId="7A9B9CFB" w14:textId="77777777" w:rsidR="00C32AC2" w:rsidRPr="00C32AC2" w:rsidRDefault="00C32AC2" w:rsidP="00C32AC2">
      <w:pPr>
        <w:adjustRightInd w:val="0"/>
        <w:snapToGrid w:val="0"/>
        <w:spacing w:line="500" w:lineRule="exact"/>
        <w:jc w:val="center"/>
        <w:rPr>
          <w:rFonts w:ascii="宋体" w:eastAsia="宋体" w:hAnsi="Calibri" w:cs="Times New Roman"/>
          <w:b/>
          <w:bCs/>
          <w:kern w:val="0"/>
          <w:sz w:val="24"/>
        </w:rPr>
      </w:pPr>
      <w:r w:rsidRPr="00C32AC2">
        <w:rPr>
          <w:rFonts w:ascii="宋体" w:eastAsia="宋体" w:hAnsi="Calibri" w:cs="Times New Roman" w:hint="eastAsia"/>
          <w:b/>
          <w:bCs/>
          <w:kern w:val="0"/>
          <w:sz w:val="24"/>
        </w:rPr>
        <w:t>期末考试</w:t>
      </w:r>
    </w:p>
    <w:p w14:paraId="3EE2536D" w14:textId="77777777" w:rsidR="00C32AC2" w:rsidRPr="00C32AC2" w:rsidRDefault="00C32AC2" w:rsidP="00C32AC2">
      <w:pPr>
        <w:adjustRightInd w:val="0"/>
        <w:snapToGrid w:val="0"/>
        <w:spacing w:line="500" w:lineRule="exact"/>
        <w:rPr>
          <w:rFonts w:ascii="宋体" w:eastAsia="宋体" w:hAnsi="Calibri" w:cs="Times New Roman"/>
          <w:bCs/>
          <w:kern w:val="0"/>
          <w:sz w:val="24"/>
        </w:rPr>
      </w:pPr>
      <w:r w:rsidRPr="00C32AC2">
        <w:rPr>
          <w:rFonts w:ascii="宋体" w:eastAsia="宋体" w:hAnsi="Calibri" w:cs="Times New Roman" w:hint="eastAsia"/>
          <w:b/>
          <w:kern w:val="0"/>
          <w:sz w:val="24"/>
        </w:rPr>
        <w:t>1.课程考核目标:</w:t>
      </w:r>
      <w:r w:rsidRPr="00C32AC2">
        <w:rPr>
          <w:rFonts w:ascii="宋体" w:eastAsia="宋体" w:hAnsi="Calibri" w:cs="Times New Roman" w:hint="eastAsia"/>
          <w:bCs/>
          <w:kern w:val="0"/>
          <w:sz w:val="24"/>
        </w:rPr>
        <w:t>通过考核检验足球技术教学效果和学生掌握情况，让学生了解选项课内容和科学体育锻炼方式方法。</w:t>
      </w:r>
    </w:p>
    <w:p w14:paraId="0BA75B63"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r w:rsidRPr="00C32AC2">
        <w:rPr>
          <w:rFonts w:ascii="宋体" w:eastAsia="宋体" w:hAnsi="Calibri" w:cs="Times New Roman" w:hint="eastAsia"/>
          <w:b/>
          <w:kern w:val="0"/>
          <w:sz w:val="24"/>
        </w:rPr>
        <w:t>2.课程考核的内容：</w:t>
      </w:r>
      <w:r w:rsidRPr="00C32AC2">
        <w:rPr>
          <w:rFonts w:ascii="宋体" w:eastAsia="宋体" w:hAnsi="Calibri" w:cs="Times New Roman" w:hint="eastAsia"/>
          <w:bCs/>
          <w:kern w:val="0"/>
          <w:sz w:val="24"/>
        </w:rPr>
        <w:t>足球定点射门</w:t>
      </w:r>
    </w:p>
    <w:p w14:paraId="2E698FD3"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r w:rsidRPr="00C32AC2">
        <w:rPr>
          <w:rFonts w:ascii="宋体" w:eastAsia="宋体" w:hAnsi="Calibri" w:cs="Times New Roman" w:hint="eastAsia"/>
          <w:b/>
          <w:kern w:val="0"/>
          <w:sz w:val="24"/>
        </w:rPr>
        <w:t>3.课程考核方式：</w:t>
      </w:r>
      <w:r w:rsidRPr="00C32AC2">
        <w:rPr>
          <w:rFonts w:ascii="宋体" w:eastAsia="宋体" w:hAnsi="Calibri" w:cs="Times New Roman" w:hint="eastAsia"/>
          <w:bCs/>
          <w:kern w:val="0"/>
          <w:sz w:val="24"/>
        </w:rPr>
        <w:t>足球场地结合球门进行两轮次测试，取最好成绩。</w:t>
      </w:r>
    </w:p>
    <w:p w14:paraId="22BF6799"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r w:rsidRPr="00C32AC2">
        <w:rPr>
          <w:rFonts w:ascii="宋体" w:eastAsia="宋体" w:hAnsi="Calibri" w:cs="Times New Roman" w:hint="eastAsia"/>
          <w:b/>
          <w:kern w:val="0"/>
          <w:sz w:val="24"/>
        </w:rPr>
        <w:t>4.成绩构成及分值：</w:t>
      </w:r>
      <w:r w:rsidRPr="00C32AC2">
        <w:rPr>
          <w:rFonts w:ascii="宋体" w:eastAsia="宋体" w:hAnsi="Calibri" w:cs="Times New Roman" w:hint="eastAsia"/>
          <w:bCs/>
          <w:kern w:val="0"/>
          <w:sz w:val="24"/>
        </w:rPr>
        <w:t>数量及技术评定分值各为100分，各占总分值的20%，</w:t>
      </w:r>
    </w:p>
    <w:p w14:paraId="23F6192C"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r w:rsidRPr="00C32AC2">
        <w:rPr>
          <w:rFonts w:ascii="宋体" w:eastAsia="宋体" w:hAnsi="Calibri" w:cs="Times New Roman" w:hint="eastAsia"/>
          <w:bCs/>
          <w:kern w:val="0"/>
          <w:sz w:val="24"/>
        </w:rPr>
        <w:t>总分值为100分。进6球为及格，10球为满分100分；分值100分。</w:t>
      </w:r>
    </w:p>
    <w:p w14:paraId="3330767D" w14:textId="77777777" w:rsidR="00C32AC2" w:rsidRPr="00C32AC2" w:rsidRDefault="00C32AC2" w:rsidP="00C32AC2">
      <w:pPr>
        <w:adjustRightInd w:val="0"/>
        <w:snapToGrid w:val="0"/>
        <w:spacing w:line="500" w:lineRule="exact"/>
        <w:jc w:val="left"/>
        <w:rPr>
          <w:rFonts w:ascii="宋体" w:eastAsia="宋体" w:hAnsi="Calibri" w:cs="Times New Roman"/>
          <w:b/>
          <w:kern w:val="0"/>
          <w:sz w:val="24"/>
        </w:rPr>
      </w:pPr>
      <w:r w:rsidRPr="00C32AC2">
        <w:rPr>
          <w:rFonts w:ascii="宋体" w:eastAsia="宋体" w:hAnsi="Calibri" w:cs="Times New Roman" w:hint="eastAsia"/>
          <w:b/>
          <w:kern w:val="0"/>
          <w:sz w:val="24"/>
        </w:rPr>
        <w:t>5.评分记分原则：</w:t>
      </w:r>
    </w:p>
    <w:p w14:paraId="653E7A84" w14:textId="77777777" w:rsidR="00C32AC2" w:rsidRPr="00C32AC2" w:rsidRDefault="00C32AC2" w:rsidP="00C32AC2">
      <w:pPr>
        <w:adjustRightInd w:val="0"/>
        <w:snapToGrid w:val="0"/>
        <w:spacing w:line="500" w:lineRule="exact"/>
        <w:jc w:val="left"/>
        <w:rPr>
          <w:rFonts w:ascii="宋体" w:eastAsia="宋体" w:hAnsi="Calibri" w:cs="Times New Roman"/>
          <w:b/>
          <w:kern w:val="0"/>
          <w:sz w:val="24"/>
        </w:rPr>
      </w:pPr>
    </w:p>
    <w:p w14:paraId="28EF0361" w14:textId="77777777" w:rsidR="00C32AC2" w:rsidRPr="00C32AC2" w:rsidRDefault="00C32AC2" w:rsidP="00C32AC2">
      <w:pPr>
        <w:adjustRightInd w:val="0"/>
        <w:snapToGrid w:val="0"/>
        <w:spacing w:line="500" w:lineRule="exact"/>
        <w:jc w:val="left"/>
        <w:rPr>
          <w:rFonts w:ascii="宋体" w:eastAsia="宋体" w:hAnsi="Calibri" w:cs="Times New Roman"/>
          <w:b/>
          <w:kern w:val="0"/>
          <w:sz w:val="24"/>
        </w:rPr>
      </w:pPr>
    </w:p>
    <w:p w14:paraId="74616984" w14:textId="77777777" w:rsidR="00C32AC2" w:rsidRPr="00C32AC2" w:rsidRDefault="00C32AC2" w:rsidP="00C32AC2">
      <w:pPr>
        <w:adjustRightInd w:val="0"/>
        <w:snapToGrid w:val="0"/>
        <w:spacing w:line="500" w:lineRule="exact"/>
        <w:jc w:val="left"/>
        <w:rPr>
          <w:rFonts w:ascii="宋体" w:eastAsia="宋体" w:hAnsi="Calibri" w:cs="Times New Roman"/>
          <w:b/>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C32AC2" w:rsidRPr="00C32AC2" w14:paraId="5EA6094D" w14:textId="77777777" w:rsidTr="00375FAF">
        <w:trPr>
          <w:jc w:val="center"/>
        </w:trPr>
        <w:tc>
          <w:tcPr>
            <w:tcW w:w="970" w:type="dxa"/>
          </w:tcPr>
          <w:p w14:paraId="5819DF84"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技术分</w:t>
            </w:r>
          </w:p>
        </w:tc>
        <w:tc>
          <w:tcPr>
            <w:tcW w:w="1183" w:type="dxa"/>
          </w:tcPr>
          <w:p w14:paraId="73A0C0D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五级制</w:t>
            </w:r>
          </w:p>
        </w:tc>
        <w:tc>
          <w:tcPr>
            <w:tcW w:w="1341" w:type="dxa"/>
          </w:tcPr>
          <w:p w14:paraId="7911E10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分值范围</w:t>
            </w:r>
          </w:p>
        </w:tc>
        <w:tc>
          <w:tcPr>
            <w:tcW w:w="3039" w:type="dxa"/>
          </w:tcPr>
          <w:p w14:paraId="3DF3825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备注</w:t>
            </w:r>
          </w:p>
        </w:tc>
        <w:tc>
          <w:tcPr>
            <w:tcW w:w="1403" w:type="dxa"/>
          </w:tcPr>
          <w:p w14:paraId="41DD377A"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数目</w:t>
            </w:r>
          </w:p>
        </w:tc>
      </w:tr>
      <w:tr w:rsidR="00C32AC2" w:rsidRPr="00C32AC2" w14:paraId="4B8F53EF" w14:textId="77777777" w:rsidTr="00375FAF">
        <w:trPr>
          <w:jc w:val="center"/>
        </w:trPr>
        <w:tc>
          <w:tcPr>
            <w:tcW w:w="970" w:type="dxa"/>
          </w:tcPr>
          <w:p w14:paraId="22BFC1D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A</w:t>
            </w:r>
          </w:p>
        </w:tc>
        <w:tc>
          <w:tcPr>
            <w:tcW w:w="1183" w:type="dxa"/>
          </w:tcPr>
          <w:p w14:paraId="317C1A0A"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优</w:t>
            </w:r>
          </w:p>
        </w:tc>
        <w:tc>
          <w:tcPr>
            <w:tcW w:w="1341" w:type="dxa"/>
          </w:tcPr>
          <w:p w14:paraId="00FFCFA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90—95</w:t>
            </w:r>
          </w:p>
        </w:tc>
        <w:tc>
          <w:tcPr>
            <w:tcW w:w="3039" w:type="dxa"/>
          </w:tcPr>
          <w:p w14:paraId="70CEAB62"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姿势正确，动作优美、协调，</w:t>
            </w:r>
          </w:p>
        </w:tc>
        <w:tc>
          <w:tcPr>
            <w:tcW w:w="1403" w:type="dxa"/>
          </w:tcPr>
          <w:p w14:paraId="4391CDC2"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10</w:t>
            </w:r>
          </w:p>
        </w:tc>
      </w:tr>
      <w:tr w:rsidR="00C32AC2" w:rsidRPr="00C32AC2" w14:paraId="336C9979" w14:textId="77777777" w:rsidTr="00375FAF">
        <w:trPr>
          <w:jc w:val="center"/>
        </w:trPr>
        <w:tc>
          <w:tcPr>
            <w:tcW w:w="970" w:type="dxa"/>
          </w:tcPr>
          <w:p w14:paraId="5493C41A"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B</w:t>
            </w:r>
          </w:p>
        </w:tc>
        <w:tc>
          <w:tcPr>
            <w:tcW w:w="1183" w:type="dxa"/>
          </w:tcPr>
          <w:p w14:paraId="43D6EFD6"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良好</w:t>
            </w:r>
          </w:p>
        </w:tc>
        <w:tc>
          <w:tcPr>
            <w:tcW w:w="1341" w:type="dxa"/>
          </w:tcPr>
          <w:p w14:paraId="27BBCF24"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80—89</w:t>
            </w:r>
          </w:p>
        </w:tc>
        <w:tc>
          <w:tcPr>
            <w:tcW w:w="3039" w:type="dxa"/>
          </w:tcPr>
          <w:p w14:paraId="6B066F38"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姿势较正确，动作自然，</w:t>
            </w:r>
          </w:p>
        </w:tc>
        <w:tc>
          <w:tcPr>
            <w:tcW w:w="1403" w:type="dxa"/>
          </w:tcPr>
          <w:p w14:paraId="70E59AB2"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9</w:t>
            </w:r>
          </w:p>
        </w:tc>
      </w:tr>
      <w:tr w:rsidR="00C32AC2" w:rsidRPr="00C32AC2" w14:paraId="0E6923B7" w14:textId="77777777" w:rsidTr="00375FAF">
        <w:trPr>
          <w:jc w:val="center"/>
        </w:trPr>
        <w:tc>
          <w:tcPr>
            <w:tcW w:w="970" w:type="dxa"/>
          </w:tcPr>
          <w:p w14:paraId="684885B4"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C</w:t>
            </w:r>
          </w:p>
        </w:tc>
        <w:tc>
          <w:tcPr>
            <w:tcW w:w="1183" w:type="dxa"/>
          </w:tcPr>
          <w:p w14:paraId="413E46E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良</w:t>
            </w:r>
          </w:p>
        </w:tc>
        <w:tc>
          <w:tcPr>
            <w:tcW w:w="1341" w:type="dxa"/>
          </w:tcPr>
          <w:p w14:paraId="0D33A13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70—79</w:t>
            </w:r>
          </w:p>
        </w:tc>
        <w:tc>
          <w:tcPr>
            <w:tcW w:w="3039" w:type="dxa"/>
          </w:tcPr>
          <w:p w14:paraId="10BD1194"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姿势一般，动作基本正确，</w:t>
            </w:r>
          </w:p>
        </w:tc>
        <w:tc>
          <w:tcPr>
            <w:tcW w:w="1403" w:type="dxa"/>
          </w:tcPr>
          <w:p w14:paraId="405816A2"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8</w:t>
            </w:r>
          </w:p>
        </w:tc>
      </w:tr>
      <w:tr w:rsidR="00C32AC2" w:rsidRPr="00C32AC2" w14:paraId="1FB08BC6" w14:textId="77777777" w:rsidTr="00375FAF">
        <w:trPr>
          <w:jc w:val="center"/>
        </w:trPr>
        <w:tc>
          <w:tcPr>
            <w:tcW w:w="970" w:type="dxa"/>
          </w:tcPr>
          <w:p w14:paraId="728BD54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D</w:t>
            </w:r>
          </w:p>
        </w:tc>
        <w:tc>
          <w:tcPr>
            <w:tcW w:w="1183" w:type="dxa"/>
          </w:tcPr>
          <w:p w14:paraId="79830985"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及格</w:t>
            </w:r>
          </w:p>
        </w:tc>
        <w:tc>
          <w:tcPr>
            <w:tcW w:w="1341" w:type="dxa"/>
          </w:tcPr>
          <w:p w14:paraId="33111AA5"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60—69</w:t>
            </w:r>
          </w:p>
        </w:tc>
        <w:tc>
          <w:tcPr>
            <w:tcW w:w="3039" w:type="dxa"/>
          </w:tcPr>
          <w:p w14:paraId="3237F20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动作不协调，有多余动作，</w:t>
            </w:r>
          </w:p>
        </w:tc>
        <w:tc>
          <w:tcPr>
            <w:tcW w:w="1403" w:type="dxa"/>
          </w:tcPr>
          <w:p w14:paraId="274BBD79"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7</w:t>
            </w:r>
          </w:p>
        </w:tc>
      </w:tr>
      <w:tr w:rsidR="00C32AC2" w:rsidRPr="00C32AC2" w14:paraId="62E22C94" w14:textId="77777777" w:rsidTr="00375FAF">
        <w:trPr>
          <w:jc w:val="center"/>
        </w:trPr>
        <w:tc>
          <w:tcPr>
            <w:tcW w:w="970" w:type="dxa"/>
          </w:tcPr>
          <w:p w14:paraId="52EEE2FA"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E</w:t>
            </w:r>
          </w:p>
        </w:tc>
        <w:tc>
          <w:tcPr>
            <w:tcW w:w="1183" w:type="dxa"/>
          </w:tcPr>
          <w:p w14:paraId="31866591"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不及格</w:t>
            </w:r>
          </w:p>
        </w:tc>
        <w:tc>
          <w:tcPr>
            <w:tcW w:w="1341" w:type="dxa"/>
          </w:tcPr>
          <w:p w14:paraId="0BF32FDD"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60以下</w:t>
            </w:r>
          </w:p>
        </w:tc>
        <w:tc>
          <w:tcPr>
            <w:tcW w:w="3039" w:type="dxa"/>
          </w:tcPr>
          <w:p w14:paraId="0B7FF001"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动作僵硬，吃力，不协调</w:t>
            </w:r>
          </w:p>
        </w:tc>
        <w:tc>
          <w:tcPr>
            <w:tcW w:w="1403" w:type="dxa"/>
          </w:tcPr>
          <w:p w14:paraId="46270B1D"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w:t>
            </w:r>
          </w:p>
        </w:tc>
      </w:tr>
    </w:tbl>
    <w:p w14:paraId="19D509D4"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第二学期</w:t>
      </w:r>
    </w:p>
    <w:p w14:paraId="1CE6B840" w14:textId="77777777" w:rsidR="00C32AC2" w:rsidRPr="00C32AC2" w:rsidRDefault="00C32AC2" w:rsidP="00C32AC2">
      <w:pPr>
        <w:adjustRightInd w:val="0"/>
        <w:snapToGrid w:val="0"/>
        <w:spacing w:line="500" w:lineRule="exact"/>
        <w:jc w:val="center"/>
        <w:rPr>
          <w:rFonts w:ascii="宋体" w:eastAsia="宋体" w:hAnsi="Calibri" w:cs="Times New Roman"/>
          <w:b/>
          <w:kern w:val="0"/>
          <w:sz w:val="24"/>
        </w:rPr>
      </w:pPr>
      <w:r w:rsidRPr="00C32AC2">
        <w:rPr>
          <w:rFonts w:ascii="宋体" w:eastAsia="宋体" w:hAnsi="Calibri" w:cs="Times New Roman" w:hint="eastAsia"/>
          <w:b/>
          <w:kern w:val="0"/>
          <w:sz w:val="24"/>
        </w:rPr>
        <w:t>期中考试</w:t>
      </w:r>
    </w:p>
    <w:p w14:paraId="5A37257F"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1.课程考核目标:</w:t>
      </w:r>
      <w:r w:rsidRPr="00C32AC2">
        <w:rPr>
          <w:rFonts w:ascii="宋体" w:eastAsia="宋体" w:hAnsi="Calibri" w:cs="Times New Roman" w:hint="eastAsia"/>
          <w:bCs/>
          <w:kern w:val="0"/>
          <w:sz w:val="24"/>
        </w:rPr>
        <w:t>通过考核检验足球技术教学效果和学生掌握情况，让学生了解选项课内容和科学体育锻炼方式方法。</w:t>
      </w:r>
    </w:p>
    <w:p w14:paraId="10A66676"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2.课程考核的内容：</w:t>
      </w:r>
      <w:r w:rsidRPr="00C32AC2">
        <w:rPr>
          <w:rFonts w:ascii="宋体" w:eastAsia="宋体" w:hAnsi="Calibri" w:cs="Times New Roman" w:hint="eastAsia"/>
          <w:bCs/>
          <w:kern w:val="0"/>
          <w:sz w:val="24"/>
        </w:rPr>
        <w:t>足球定点射门</w:t>
      </w:r>
    </w:p>
    <w:p w14:paraId="5AB570DE"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3.课程考核方式：</w:t>
      </w:r>
      <w:r w:rsidRPr="00C32AC2">
        <w:rPr>
          <w:rFonts w:ascii="宋体" w:eastAsia="宋体" w:hAnsi="Calibri" w:cs="Times New Roman" w:hint="eastAsia"/>
          <w:bCs/>
          <w:kern w:val="0"/>
          <w:sz w:val="24"/>
        </w:rPr>
        <w:t>足球场地结合球门进行两轮次测试，取最好成绩。</w:t>
      </w:r>
    </w:p>
    <w:p w14:paraId="7DB7D0BB"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4.成绩构成及分值：</w:t>
      </w:r>
      <w:r w:rsidRPr="00C32AC2">
        <w:rPr>
          <w:rFonts w:ascii="宋体" w:eastAsia="宋体" w:hAnsi="Calibri" w:cs="Times New Roman" w:hint="eastAsia"/>
          <w:bCs/>
          <w:kern w:val="0"/>
          <w:sz w:val="24"/>
        </w:rPr>
        <w:t>数量及技术评定分值各为100分，各占总分值的20%，总分值为100分。进6球为及格，10球为满分100分；分值100分。</w:t>
      </w:r>
    </w:p>
    <w:p w14:paraId="0FCF9F35"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
          <w:kern w:val="0"/>
          <w:sz w:val="24"/>
        </w:rPr>
      </w:pPr>
      <w:r w:rsidRPr="00C32AC2">
        <w:rPr>
          <w:rFonts w:ascii="宋体" w:eastAsia="宋体" w:hAnsi="Calibri" w:cs="Times New Roman" w:hint="eastAsia"/>
          <w:b/>
          <w:kern w:val="0"/>
          <w:sz w:val="24"/>
        </w:rPr>
        <w:t>5.评分记分原则</w:t>
      </w:r>
    </w:p>
    <w:p w14:paraId="2B1B5EBD"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C32AC2" w:rsidRPr="00C32AC2" w14:paraId="5C3506F9" w14:textId="77777777" w:rsidTr="00375FAF">
        <w:trPr>
          <w:jc w:val="center"/>
        </w:trPr>
        <w:tc>
          <w:tcPr>
            <w:tcW w:w="970" w:type="dxa"/>
          </w:tcPr>
          <w:p w14:paraId="540E522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技术分</w:t>
            </w:r>
          </w:p>
        </w:tc>
        <w:tc>
          <w:tcPr>
            <w:tcW w:w="1183" w:type="dxa"/>
          </w:tcPr>
          <w:p w14:paraId="44716AD2"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五级制</w:t>
            </w:r>
          </w:p>
        </w:tc>
        <w:tc>
          <w:tcPr>
            <w:tcW w:w="1341" w:type="dxa"/>
          </w:tcPr>
          <w:p w14:paraId="4E1BC1E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分值范围</w:t>
            </w:r>
          </w:p>
        </w:tc>
        <w:tc>
          <w:tcPr>
            <w:tcW w:w="3039" w:type="dxa"/>
          </w:tcPr>
          <w:p w14:paraId="19EB471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备注</w:t>
            </w:r>
          </w:p>
        </w:tc>
        <w:tc>
          <w:tcPr>
            <w:tcW w:w="1403" w:type="dxa"/>
          </w:tcPr>
          <w:p w14:paraId="7212F45A"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数目</w:t>
            </w:r>
          </w:p>
        </w:tc>
      </w:tr>
      <w:tr w:rsidR="00C32AC2" w:rsidRPr="00C32AC2" w14:paraId="13DD1637" w14:textId="77777777" w:rsidTr="00375FAF">
        <w:trPr>
          <w:jc w:val="center"/>
        </w:trPr>
        <w:tc>
          <w:tcPr>
            <w:tcW w:w="970" w:type="dxa"/>
          </w:tcPr>
          <w:p w14:paraId="7959560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A</w:t>
            </w:r>
          </w:p>
        </w:tc>
        <w:tc>
          <w:tcPr>
            <w:tcW w:w="1183" w:type="dxa"/>
          </w:tcPr>
          <w:p w14:paraId="7346F128"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优</w:t>
            </w:r>
          </w:p>
        </w:tc>
        <w:tc>
          <w:tcPr>
            <w:tcW w:w="1341" w:type="dxa"/>
          </w:tcPr>
          <w:p w14:paraId="039E93D4"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90—95</w:t>
            </w:r>
          </w:p>
        </w:tc>
        <w:tc>
          <w:tcPr>
            <w:tcW w:w="3039" w:type="dxa"/>
          </w:tcPr>
          <w:p w14:paraId="7599EF13"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姿势正确，动作优美、协调，</w:t>
            </w:r>
          </w:p>
        </w:tc>
        <w:tc>
          <w:tcPr>
            <w:tcW w:w="1403" w:type="dxa"/>
          </w:tcPr>
          <w:p w14:paraId="2D759B8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10</w:t>
            </w:r>
          </w:p>
        </w:tc>
      </w:tr>
      <w:tr w:rsidR="00C32AC2" w:rsidRPr="00C32AC2" w14:paraId="6ED7B8CB" w14:textId="77777777" w:rsidTr="00375FAF">
        <w:trPr>
          <w:jc w:val="center"/>
        </w:trPr>
        <w:tc>
          <w:tcPr>
            <w:tcW w:w="970" w:type="dxa"/>
          </w:tcPr>
          <w:p w14:paraId="23A9F2F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B</w:t>
            </w:r>
          </w:p>
        </w:tc>
        <w:tc>
          <w:tcPr>
            <w:tcW w:w="1183" w:type="dxa"/>
          </w:tcPr>
          <w:p w14:paraId="49DB4719"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良好</w:t>
            </w:r>
          </w:p>
        </w:tc>
        <w:tc>
          <w:tcPr>
            <w:tcW w:w="1341" w:type="dxa"/>
          </w:tcPr>
          <w:p w14:paraId="7C436198"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80—89</w:t>
            </w:r>
          </w:p>
        </w:tc>
        <w:tc>
          <w:tcPr>
            <w:tcW w:w="3039" w:type="dxa"/>
          </w:tcPr>
          <w:p w14:paraId="40040A6A"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姿势较正确，动作自然，</w:t>
            </w:r>
          </w:p>
        </w:tc>
        <w:tc>
          <w:tcPr>
            <w:tcW w:w="1403" w:type="dxa"/>
          </w:tcPr>
          <w:p w14:paraId="76106AA2"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9</w:t>
            </w:r>
          </w:p>
        </w:tc>
      </w:tr>
      <w:tr w:rsidR="00C32AC2" w:rsidRPr="00C32AC2" w14:paraId="0DEA5A10" w14:textId="77777777" w:rsidTr="00375FAF">
        <w:trPr>
          <w:jc w:val="center"/>
        </w:trPr>
        <w:tc>
          <w:tcPr>
            <w:tcW w:w="970" w:type="dxa"/>
          </w:tcPr>
          <w:p w14:paraId="64D92BF8"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C</w:t>
            </w:r>
          </w:p>
        </w:tc>
        <w:tc>
          <w:tcPr>
            <w:tcW w:w="1183" w:type="dxa"/>
          </w:tcPr>
          <w:p w14:paraId="7A78BC68"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良</w:t>
            </w:r>
          </w:p>
        </w:tc>
        <w:tc>
          <w:tcPr>
            <w:tcW w:w="1341" w:type="dxa"/>
          </w:tcPr>
          <w:p w14:paraId="04E0D08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70—79</w:t>
            </w:r>
          </w:p>
        </w:tc>
        <w:tc>
          <w:tcPr>
            <w:tcW w:w="3039" w:type="dxa"/>
          </w:tcPr>
          <w:p w14:paraId="3FAC908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姿势一般，动作基本正</w:t>
            </w:r>
            <w:r w:rsidRPr="00C32AC2">
              <w:rPr>
                <w:rFonts w:ascii="宋体" w:eastAsia="宋体" w:hAnsi="Calibri" w:cs="Times New Roman" w:hint="eastAsia"/>
                <w:bCs/>
                <w:kern w:val="0"/>
                <w:sz w:val="24"/>
              </w:rPr>
              <w:lastRenderedPageBreak/>
              <w:t>确，</w:t>
            </w:r>
          </w:p>
        </w:tc>
        <w:tc>
          <w:tcPr>
            <w:tcW w:w="1403" w:type="dxa"/>
          </w:tcPr>
          <w:p w14:paraId="5A3066F3"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lastRenderedPageBreak/>
              <w:t>8</w:t>
            </w:r>
          </w:p>
        </w:tc>
      </w:tr>
      <w:tr w:rsidR="00C32AC2" w:rsidRPr="00C32AC2" w14:paraId="75E74DBF" w14:textId="77777777" w:rsidTr="00375FAF">
        <w:trPr>
          <w:jc w:val="center"/>
        </w:trPr>
        <w:tc>
          <w:tcPr>
            <w:tcW w:w="970" w:type="dxa"/>
          </w:tcPr>
          <w:p w14:paraId="728DCCD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D</w:t>
            </w:r>
          </w:p>
        </w:tc>
        <w:tc>
          <w:tcPr>
            <w:tcW w:w="1183" w:type="dxa"/>
          </w:tcPr>
          <w:p w14:paraId="44F904D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及格</w:t>
            </w:r>
          </w:p>
        </w:tc>
        <w:tc>
          <w:tcPr>
            <w:tcW w:w="1341" w:type="dxa"/>
          </w:tcPr>
          <w:p w14:paraId="203B7BC2"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60—69</w:t>
            </w:r>
          </w:p>
        </w:tc>
        <w:tc>
          <w:tcPr>
            <w:tcW w:w="3039" w:type="dxa"/>
          </w:tcPr>
          <w:p w14:paraId="2507782D"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动作不协调，有多余动作，</w:t>
            </w:r>
          </w:p>
        </w:tc>
        <w:tc>
          <w:tcPr>
            <w:tcW w:w="1403" w:type="dxa"/>
          </w:tcPr>
          <w:p w14:paraId="2A9A20C1"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7</w:t>
            </w:r>
          </w:p>
        </w:tc>
      </w:tr>
      <w:tr w:rsidR="00C32AC2" w:rsidRPr="00C32AC2" w14:paraId="32057656" w14:textId="77777777" w:rsidTr="00375FAF">
        <w:trPr>
          <w:jc w:val="center"/>
        </w:trPr>
        <w:tc>
          <w:tcPr>
            <w:tcW w:w="970" w:type="dxa"/>
          </w:tcPr>
          <w:p w14:paraId="459E9D16"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E</w:t>
            </w:r>
          </w:p>
        </w:tc>
        <w:tc>
          <w:tcPr>
            <w:tcW w:w="1183" w:type="dxa"/>
          </w:tcPr>
          <w:p w14:paraId="70FD22D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不及格</w:t>
            </w:r>
          </w:p>
        </w:tc>
        <w:tc>
          <w:tcPr>
            <w:tcW w:w="1341" w:type="dxa"/>
          </w:tcPr>
          <w:p w14:paraId="3A2E87B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60以下</w:t>
            </w:r>
          </w:p>
        </w:tc>
        <w:tc>
          <w:tcPr>
            <w:tcW w:w="3039" w:type="dxa"/>
          </w:tcPr>
          <w:p w14:paraId="261A64C2"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动作僵硬，吃力，不协调</w:t>
            </w:r>
          </w:p>
        </w:tc>
        <w:tc>
          <w:tcPr>
            <w:tcW w:w="1403" w:type="dxa"/>
          </w:tcPr>
          <w:p w14:paraId="5D982D0F"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w:t>
            </w:r>
          </w:p>
        </w:tc>
      </w:tr>
    </w:tbl>
    <w:p w14:paraId="16998B93" w14:textId="77777777" w:rsidR="00C32AC2" w:rsidRPr="00C32AC2" w:rsidRDefault="00C32AC2" w:rsidP="00C32AC2">
      <w:pPr>
        <w:adjustRightInd w:val="0"/>
        <w:snapToGrid w:val="0"/>
        <w:spacing w:line="500" w:lineRule="exact"/>
        <w:rPr>
          <w:rFonts w:ascii="宋体" w:eastAsia="宋体" w:hAnsi="Calibri" w:cs="Times New Roman"/>
          <w:bCs/>
          <w:kern w:val="0"/>
          <w:sz w:val="24"/>
        </w:rPr>
      </w:pPr>
    </w:p>
    <w:p w14:paraId="1B8C4113" w14:textId="77777777" w:rsidR="00C32AC2" w:rsidRPr="00C32AC2" w:rsidRDefault="00C32AC2" w:rsidP="00C32AC2">
      <w:pPr>
        <w:adjustRightInd w:val="0"/>
        <w:snapToGrid w:val="0"/>
        <w:spacing w:line="500" w:lineRule="exact"/>
        <w:jc w:val="center"/>
        <w:rPr>
          <w:rFonts w:ascii="宋体" w:eastAsia="宋体" w:hAnsi="Calibri" w:cs="Times New Roman"/>
          <w:b/>
          <w:kern w:val="0"/>
          <w:sz w:val="24"/>
        </w:rPr>
      </w:pPr>
      <w:r w:rsidRPr="00C32AC2">
        <w:rPr>
          <w:rFonts w:ascii="宋体" w:eastAsia="宋体" w:hAnsi="Calibri" w:cs="Times New Roman" w:hint="eastAsia"/>
          <w:b/>
          <w:kern w:val="0"/>
          <w:sz w:val="24"/>
        </w:rPr>
        <w:t>期末考试</w:t>
      </w:r>
    </w:p>
    <w:p w14:paraId="6EA931FE"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1.课程考核目标:</w:t>
      </w:r>
      <w:r w:rsidRPr="00C32AC2">
        <w:rPr>
          <w:rFonts w:ascii="宋体" w:eastAsia="宋体" w:hAnsi="Calibri" w:cs="Times New Roman" w:hint="eastAsia"/>
          <w:bCs/>
          <w:kern w:val="0"/>
          <w:sz w:val="24"/>
        </w:rPr>
        <w:t>通过考核检验足球技术教学效果和学生掌握情况，让学生了解选项课内容和科学体育锻炼方式方法。</w:t>
      </w:r>
    </w:p>
    <w:p w14:paraId="6BEFD109"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2.课程考核的内容：</w:t>
      </w:r>
      <w:r w:rsidRPr="00C32AC2">
        <w:rPr>
          <w:rFonts w:ascii="宋体" w:eastAsia="宋体" w:hAnsi="Calibri" w:cs="Times New Roman" w:hint="eastAsia"/>
          <w:bCs/>
          <w:kern w:val="0"/>
          <w:sz w:val="24"/>
        </w:rPr>
        <w:t>足球运球过杆射门。</w:t>
      </w:r>
    </w:p>
    <w:p w14:paraId="6A333888"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3.课程考核方式：</w:t>
      </w:r>
      <w:r w:rsidRPr="00C32AC2">
        <w:rPr>
          <w:rFonts w:ascii="宋体" w:eastAsia="宋体" w:hAnsi="Calibri" w:cs="Times New Roman" w:hint="eastAsia"/>
          <w:bCs/>
          <w:kern w:val="0"/>
          <w:sz w:val="24"/>
        </w:rPr>
        <w:t>起点与四根杆之间，均间隔2、5米，运球至罚球区线外射门。每人三次机会，取最好一次成绩。绕杆过程中不得错杆、漏杆。</w:t>
      </w:r>
    </w:p>
    <w:p w14:paraId="4A0CB9C2"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4.成绩构成及分值：</w:t>
      </w:r>
      <w:r w:rsidRPr="00C32AC2">
        <w:rPr>
          <w:rFonts w:ascii="宋体" w:eastAsia="宋体" w:hAnsi="Calibri" w:cs="Times New Roman" w:hint="eastAsia"/>
          <w:bCs/>
          <w:kern w:val="0"/>
          <w:sz w:val="24"/>
        </w:rPr>
        <w:t>秒数及技术评定分值各为100分，各占总分值的50%，总分值为100分。</w:t>
      </w:r>
    </w:p>
    <w:p w14:paraId="653F2715"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
          <w:kern w:val="0"/>
          <w:sz w:val="24"/>
        </w:rPr>
      </w:pPr>
      <w:r w:rsidRPr="00C32AC2">
        <w:rPr>
          <w:rFonts w:ascii="宋体" w:eastAsia="宋体" w:hAnsi="Calibri" w:cs="Times New Roman" w:hint="eastAsia"/>
          <w:b/>
          <w:kern w:val="0"/>
          <w:sz w:val="24"/>
        </w:rPr>
        <w:t>5.评分记分原则：</w:t>
      </w:r>
    </w:p>
    <w:p w14:paraId="42CB4824"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r w:rsidRPr="00C32AC2">
        <w:rPr>
          <w:rFonts w:ascii="宋体" w:eastAsia="宋体" w:hAnsi="Calibri" w:cs="Times New Roman" w:hint="eastAsia"/>
          <w:bCs/>
          <w:kern w:val="0"/>
          <w:sz w:val="24"/>
        </w:rPr>
        <w:t xml:space="preserve"> </w:t>
      </w:r>
    </w:p>
    <w:p w14:paraId="0B9B5C0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noProof/>
          <w:kern w:val="0"/>
          <w:sz w:val="24"/>
        </w:rPr>
        <mc:AlternateContent>
          <mc:Choice Requires="wps">
            <w:drawing>
              <wp:anchor distT="0" distB="0" distL="114300" distR="114300" simplePos="0" relativeHeight="251667456" behindDoc="0" locked="0" layoutInCell="1" allowOverlap="1" wp14:anchorId="7236A65A" wp14:editId="3598C534">
                <wp:simplePos x="0" y="0"/>
                <wp:positionH relativeFrom="column">
                  <wp:posOffset>1028700</wp:posOffset>
                </wp:positionH>
                <wp:positionV relativeFrom="paragraph">
                  <wp:posOffset>99060</wp:posOffset>
                </wp:positionV>
                <wp:extent cx="2286000" cy="495300"/>
                <wp:effectExtent l="5080" t="4445" r="13970" b="14605"/>
                <wp:wrapSquare wrapText="bothSides"/>
                <wp:docPr id="5" name="矩形 5"/>
                <wp:cNvGraphicFramePr/>
                <a:graphic xmlns:a="http://schemas.openxmlformats.org/drawingml/2006/main">
                  <a:graphicData uri="http://schemas.microsoft.com/office/word/2010/wordprocessingShape">
                    <wps:wsp>
                      <wps:cNvSpPr/>
                      <wps:spPr>
                        <a:xfrm>
                          <a:off x="0" y="0"/>
                          <a:ext cx="2286000" cy="49530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5C77DE4" w14:textId="77777777" w:rsidR="00095B84" w:rsidRDefault="00095B84" w:rsidP="00C32AC2"/>
                        </w:txbxContent>
                      </wps:txbx>
                      <wps:bodyPr upright="1"/>
                    </wps:wsp>
                  </a:graphicData>
                </a:graphic>
              </wp:anchor>
            </w:drawing>
          </mc:Choice>
          <mc:Fallback>
            <w:pict>
              <v:rect w14:anchorId="7236A65A" id="矩形 5" o:spid="_x0000_s1026" style="position:absolute;left:0;text-align:left;margin-left:81pt;margin-top:7.8pt;width:180pt;height:39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">
                <v:textbox>
                  <w:txbxContent>
                    <w:p w14:paraId="55C77DE4" w14:textId="77777777" w:rsidR="00095B84" w:rsidRDefault="00095B84" w:rsidP="00C32AC2"/>
                  </w:txbxContent>
                </v:textbox>
                <w10:wrap type="square"/>
              </v:rect>
            </w:pict>
          </mc:Fallback>
        </mc:AlternateContent>
      </w:r>
    </w:p>
    <w:p w14:paraId="622749C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noProof/>
          <w:kern w:val="0"/>
          <w:sz w:val="24"/>
        </w:rPr>
        <mc:AlternateContent>
          <mc:Choice Requires="wps">
            <w:drawing>
              <wp:anchor distT="0" distB="0" distL="114300" distR="114300" simplePos="0" relativeHeight="251669504" behindDoc="0" locked="0" layoutInCell="1" allowOverlap="1" wp14:anchorId="40D23521" wp14:editId="5B4D19A4">
                <wp:simplePos x="0" y="0"/>
                <wp:positionH relativeFrom="column">
                  <wp:posOffset>2057400</wp:posOffset>
                </wp:positionH>
                <wp:positionV relativeFrom="paragraph">
                  <wp:posOffset>99060</wp:posOffset>
                </wp:positionV>
                <wp:extent cx="228600" cy="594360"/>
                <wp:effectExtent l="8255" t="0" r="10795" b="15240"/>
                <wp:wrapSquare wrapText="bothSides"/>
                <wp:docPr id="4" name="直接连接符 4"/>
                <wp:cNvGraphicFramePr/>
                <a:graphic xmlns:a="http://schemas.openxmlformats.org/drawingml/2006/main">
                  <a:graphicData uri="http://schemas.microsoft.com/office/word/2010/wordprocessingShape">
                    <wps:wsp>
                      <wps:cNvCnPr/>
                      <wps:spPr>
                        <a:xfrm flipH="1" flipV="1">
                          <a:off x="0" y="0"/>
                          <a:ext cx="228600" cy="59436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w14:anchorId="590090FE" id="直接连接符 4" o:spid="_x0000_s1026" style="position:absolute;flip:x y;z-index:251669504;visibility:visible;mso-wrap-style:square;mso-wrap-distance-left:9pt;mso-wrap-distance-top:0;mso-wrap-distance-right:9pt;mso-wrap-distance-bottom:0;mso-position-horizontal:absolute;mso-position-horizontal-relative:text;mso-position-vertical:absolute;mso-position-vertical-relative:text" from="162pt,7.8pt" to="180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">
                <v:stroke endarrow="block"/>
                <w10:wrap type="square"/>
              </v:line>
            </w:pict>
          </mc:Fallback>
        </mc:AlternateContent>
      </w:r>
    </w:p>
    <w:p w14:paraId="1846E03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noProof/>
          <w:kern w:val="0"/>
          <w:sz w:val="24"/>
        </w:rPr>
        <mc:AlternateContent>
          <mc:Choice Requires="wps">
            <w:drawing>
              <wp:anchor distT="0" distB="0" distL="114300" distR="114300" simplePos="0" relativeHeight="251659264" behindDoc="1" locked="0" layoutInCell="1" allowOverlap="1" wp14:anchorId="37DD7C93" wp14:editId="4700DEA1">
                <wp:simplePos x="0" y="0"/>
                <wp:positionH relativeFrom="column">
                  <wp:posOffset>1804670</wp:posOffset>
                </wp:positionH>
                <wp:positionV relativeFrom="paragraph">
                  <wp:posOffset>231140</wp:posOffset>
                </wp:positionV>
                <wp:extent cx="590550" cy="1485900"/>
                <wp:effectExtent l="0" t="1905" r="0" b="17145"/>
                <wp:wrapNone/>
                <wp:docPr id="7" name="任意多边形 7"/>
                <wp:cNvGraphicFramePr/>
                <a:graphic xmlns:a="http://schemas.openxmlformats.org/drawingml/2006/main">
                  <a:graphicData uri="http://schemas.microsoft.com/office/word/2010/wordprocessingShape">
                    <wps:wsp>
                      <wps:cNvSpPr/>
                      <wps:spPr>
                        <a:xfrm>
                          <a:off x="0" y="0"/>
                          <a:ext cx="590550" cy="1485900"/>
                        </a:xfrm>
                        <a:custGeom>
                          <a:avLst/>
                          <a:gdLst/>
                          <a:ahLst/>
                          <a:cxnLst/>
                          <a:rect l="0" t="0" r="0" b="0"/>
                          <a:pathLst>
                            <a:path w="810" h="2340">
                              <a:moveTo>
                                <a:pt x="570" y="2340"/>
                              </a:moveTo>
                              <a:cubicBezTo>
                                <a:pt x="285" y="2184"/>
                                <a:pt x="0" y="2028"/>
                                <a:pt x="30" y="1872"/>
                              </a:cubicBezTo>
                              <a:cubicBezTo>
                                <a:pt x="60" y="1716"/>
                                <a:pt x="720" y="1534"/>
                                <a:pt x="750" y="1404"/>
                              </a:cubicBezTo>
                              <a:cubicBezTo>
                                <a:pt x="780" y="1274"/>
                                <a:pt x="210" y="1222"/>
                                <a:pt x="210" y="1092"/>
                              </a:cubicBezTo>
                              <a:cubicBezTo>
                                <a:pt x="210" y="962"/>
                                <a:pt x="690" y="806"/>
                                <a:pt x="750" y="624"/>
                              </a:cubicBezTo>
                              <a:cubicBezTo>
                                <a:pt x="810" y="442"/>
                                <a:pt x="600" y="104"/>
                                <a:pt x="570" y="0"/>
                              </a:cubicBezTo>
                            </a:path>
                          </a:pathLst>
                        </a:custGeom>
                        <a:noFill/>
                        <a:ln w="9525" cap="flat" cmpd="sng">
                          <a:solidFill>
                            <a:srgbClr val="000000"/>
                          </a:solidFill>
                          <a:prstDash val="solid"/>
                          <a:headEnd type="none" w="med" len="med"/>
                          <a:tailEnd type="none" w="med" len="med"/>
                        </a:ln>
                        <a:effectLst/>
                      </wps:spPr>
                      <wps:bodyPr upright="1"/>
                    </wps:wsp>
                  </a:graphicData>
                </a:graphic>
              </wp:anchor>
            </w:drawing>
          </mc:Choice>
          <mc:Fallback>
            <w:pict>
              <v:shape w14:anchorId="2FEDFEFC" id="任意多边形 7" o:spid="_x0000_s1026" style="position:absolute;margin-left:142.1pt;margin-top:18.2pt;width:46.5pt;height:117pt;z-index:-251657216;visibility:visible;mso-wrap-style:square;mso-wrap-distance-left:9pt;mso-wrap-distance-top:0;mso-wrap-distance-right:9pt;mso-wrap-distance-bottom:0;mso-position-horizontal:absolute;mso-position-horizontal-relative:text;mso-position-vertical:absolute;mso-position-vertical-relative:text;v-text-anchor:top" coordsize="810,2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" path="m570,2340c285,2184,,2028,30,1872,60,1716,720,1534,750,1404,780,1274,210,1222,210,1092,210,962,690,806,750,624,810,442,600,104,570,e" filled="f">
                <v:path arrowok="t" textboxrect="0,0,810,2340"/>
              </v:shape>
            </w:pict>
          </mc:Fallback>
        </mc:AlternateContent>
      </w:r>
      <w:r w:rsidRPr="00C32AC2">
        <w:rPr>
          <w:rFonts w:ascii="宋体" w:eastAsia="宋体" w:hAnsi="Calibri" w:cs="Times New Roman" w:hint="eastAsia"/>
          <w:bCs/>
          <w:noProof/>
          <w:kern w:val="0"/>
          <w:sz w:val="24"/>
        </w:rPr>
        <mc:AlternateContent>
          <mc:Choice Requires="wps">
            <w:drawing>
              <wp:anchor distT="0" distB="0" distL="114300" distR="114300" simplePos="0" relativeHeight="251666432" behindDoc="0" locked="0" layoutInCell="1" allowOverlap="1" wp14:anchorId="0769AE6B" wp14:editId="7C54EFDF">
                <wp:simplePos x="0" y="0"/>
                <wp:positionH relativeFrom="column">
                  <wp:posOffset>1943100</wp:posOffset>
                </wp:positionH>
                <wp:positionV relativeFrom="paragraph">
                  <wp:posOffset>91440</wp:posOffset>
                </wp:positionV>
                <wp:extent cx="685800" cy="396240"/>
                <wp:effectExtent l="4445" t="4445" r="14605" b="18415"/>
                <wp:wrapSquare wrapText="bothSides"/>
                <wp:docPr id="8" name="椭圆 8"/>
                <wp:cNvGraphicFramePr/>
                <a:graphic xmlns:a="http://schemas.openxmlformats.org/drawingml/2006/main">
                  <a:graphicData uri="http://schemas.microsoft.com/office/word/2010/wordprocessingShape">
                    <wps:wsp>
                      <wps:cNvSpPr/>
                      <wps:spPr>
                        <a:xfrm>
                          <a:off x="0" y="0"/>
                          <a:ext cx="685800" cy="396240"/>
                        </a:xfrm>
                        <a:prstGeom prst="ellipse">
                          <a:avLst/>
                        </a:prstGeom>
                        <a:solidFill>
                          <a:srgbClr val="FFFFFF"/>
                        </a:solidFill>
                        <a:ln w="9525" cap="flat" cmpd="sng">
                          <a:solidFill>
                            <a:srgbClr val="000000"/>
                          </a:solidFill>
                          <a:prstDash val="solid"/>
                          <a:headEnd type="none" w="med" len="med"/>
                          <a:tailEnd type="none" w="med" len="med"/>
                        </a:ln>
                        <a:effectLst/>
                      </wps:spPr>
                      <wps:txbx>
                        <w:txbxContent>
                          <w:p w14:paraId="5D3822B3" w14:textId="77777777" w:rsidR="00095B84" w:rsidRDefault="00095B84" w:rsidP="00C32AC2"/>
                        </w:txbxContent>
                      </wps:txbx>
                      <wps:bodyPr upright="1"/>
                    </wps:wsp>
                  </a:graphicData>
                </a:graphic>
              </wp:anchor>
            </w:drawing>
          </mc:Choice>
          <mc:Fallback>
            <w:pict>
              <v:oval w14:anchorId="0769AE6B" id="椭圆 8" o:spid="_x0000_s1027" style="position:absolute;left:0;text-align:left;margin-left:153pt;margin-top:7.2pt;width:54pt;height:31.2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">
                <v:textbox>
                  <w:txbxContent>
                    <w:p w14:paraId="5D3822B3" w14:textId="77777777" w:rsidR="00095B84" w:rsidRDefault="00095B84" w:rsidP="00C32AC2"/>
                  </w:txbxContent>
                </v:textbox>
                <w10:wrap type="square"/>
              </v:oval>
            </w:pict>
          </mc:Fallback>
        </mc:AlternateContent>
      </w:r>
    </w:p>
    <w:p w14:paraId="721568C9"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p>
    <w:p w14:paraId="3A61E50D"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p>
    <w:p w14:paraId="589CEB4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p>
    <w:p w14:paraId="16FAEE8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 xml:space="preserve">                                                  </w:t>
      </w:r>
      <w:r w:rsidRPr="00C32AC2">
        <w:rPr>
          <w:rFonts w:ascii="宋体" w:eastAsia="宋体" w:hAnsi="Calibri" w:cs="Times New Roman" w:hint="eastAsia"/>
          <w:bCs/>
          <w:noProof/>
          <w:kern w:val="0"/>
          <w:sz w:val="24"/>
        </w:rPr>
        <mc:AlternateContent>
          <mc:Choice Requires="wps">
            <w:drawing>
              <wp:anchor distT="0" distB="0" distL="114300" distR="114300" simplePos="0" relativeHeight="251668480" behindDoc="0" locked="0" layoutInCell="1" allowOverlap="1" wp14:anchorId="61833645" wp14:editId="01C5E371">
                <wp:simplePos x="0" y="0"/>
                <wp:positionH relativeFrom="column">
                  <wp:posOffset>2171700</wp:posOffset>
                </wp:positionH>
                <wp:positionV relativeFrom="paragraph">
                  <wp:posOffset>99060</wp:posOffset>
                </wp:positionV>
                <wp:extent cx="0" cy="198120"/>
                <wp:effectExtent l="38100" t="0" r="38100" b="11430"/>
                <wp:wrapSquare wrapText="bothSides"/>
                <wp:docPr id="6" name="直接连接符 6"/>
                <wp:cNvGraphicFramePr/>
                <a:graphic xmlns:a="http://schemas.openxmlformats.org/drawingml/2006/main">
                  <a:graphicData uri="http://schemas.microsoft.com/office/word/2010/wordprocessingShape">
                    <wps:wsp>
                      <wps:cNvCnPr/>
                      <wps:spPr>
                        <a:xfrm flipV="1">
                          <a:off x="0" y="0"/>
                          <a:ext cx="0" cy="19812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w14:anchorId="02A39B2C" id="直接连接符 6" o:spid="_x0000_s1026" style="position:absolute;flip:y;z-index:251668480;visibility:visible;mso-wrap-style:square;mso-wrap-distance-left:9pt;mso-wrap-distance-top:0;mso-wrap-distance-right:9pt;mso-wrap-distance-bottom:0;mso-position-horizontal:absolute;mso-position-horizontal-relative:text;mso-position-vertical:absolute;mso-position-vertical-relative:text" from="171pt,7.8pt" to="171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">
                <v:stroke endarrow="block"/>
                <w10:wrap type="square"/>
              </v:line>
            </w:pict>
          </mc:Fallback>
        </mc:AlternateContent>
      </w:r>
    </w:p>
    <w:tbl>
      <w:tblPr>
        <w:tblpPr w:leftFromText="180" w:rightFromText="180" w:vertAnchor="text" w:horzAnchor="margin" w:tblpY="462"/>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C32AC2" w:rsidRPr="00C32AC2" w14:paraId="7D3CB550" w14:textId="77777777" w:rsidTr="00375FAF">
        <w:tc>
          <w:tcPr>
            <w:tcW w:w="1180" w:type="dxa"/>
          </w:tcPr>
          <w:p w14:paraId="339E059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男生时间</w:t>
            </w:r>
          </w:p>
        </w:tc>
        <w:tc>
          <w:tcPr>
            <w:tcW w:w="1170" w:type="dxa"/>
          </w:tcPr>
          <w:p w14:paraId="504A3DF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女生时间</w:t>
            </w:r>
          </w:p>
        </w:tc>
        <w:tc>
          <w:tcPr>
            <w:tcW w:w="975" w:type="dxa"/>
          </w:tcPr>
          <w:p w14:paraId="4B36FB3A"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技术分</w:t>
            </w:r>
          </w:p>
        </w:tc>
        <w:tc>
          <w:tcPr>
            <w:tcW w:w="1140" w:type="dxa"/>
          </w:tcPr>
          <w:p w14:paraId="1750AE26"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五级制</w:t>
            </w:r>
          </w:p>
        </w:tc>
        <w:tc>
          <w:tcPr>
            <w:tcW w:w="1215" w:type="dxa"/>
          </w:tcPr>
          <w:p w14:paraId="0D35A5A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分值范围</w:t>
            </w:r>
          </w:p>
        </w:tc>
        <w:tc>
          <w:tcPr>
            <w:tcW w:w="3090" w:type="dxa"/>
          </w:tcPr>
          <w:p w14:paraId="5E1F98F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备注</w:t>
            </w:r>
          </w:p>
        </w:tc>
      </w:tr>
      <w:tr w:rsidR="00C32AC2" w:rsidRPr="00C32AC2" w14:paraId="04DEA641" w14:textId="77777777" w:rsidTr="00375FAF">
        <w:tc>
          <w:tcPr>
            <w:tcW w:w="1180" w:type="dxa"/>
          </w:tcPr>
          <w:p w14:paraId="1D04BFF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10秒</w:t>
            </w:r>
          </w:p>
        </w:tc>
        <w:tc>
          <w:tcPr>
            <w:tcW w:w="1170" w:type="dxa"/>
          </w:tcPr>
          <w:p w14:paraId="5A46258D"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15秒</w:t>
            </w:r>
          </w:p>
        </w:tc>
        <w:tc>
          <w:tcPr>
            <w:tcW w:w="975" w:type="dxa"/>
          </w:tcPr>
          <w:p w14:paraId="501B677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A</w:t>
            </w:r>
          </w:p>
        </w:tc>
        <w:tc>
          <w:tcPr>
            <w:tcW w:w="1140" w:type="dxa"/>
          </w:tcPr>
          <w:p w14:paraId="465E1B6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优</w:t>
            </w:r>
          </w:p>
        </w:tc>
        <w:tc>
          <w:tcPr>
            <w:tcW w:w="1215" w:type="dxa"/>
          </w:tcPr>
          <w:p w14:paraId="234CFA1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90—95</w:t>
            </w:r>
          </w:p>
        </w:tc>
        <w:tc>
          <w:tcPr>
            <w:tcW w:w="3090" w:type="dxa"/>
          </w:tcPr>
          <w:p w14:paraId="5B23BB8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姿势正确，动作优美、协调，</w:t>
            </w:r>
          </w:p>
        </w:tc>
      </w:tr>
      <w:tr w:rsidR="00C32AC2" w:rsidRPr="00C32AC2" w14:paraId="480A014F" w14:textId="77777777" w:rsidTr="00375FAF">
        <w:tc>
          <w:tcPr>
            <w:tcW w:w="1180" w:type="dxa"/>
          </w:tcPr>
          <w:p w14:paraId="6C9CCE86"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lastRenderedPageBreak/>
              <w:t>11秒</w:t>
            </w:r>
          </w:p>
        </w:tc>
        <w:tc>
          <w:tcPr>
            <w:tcW w:w="1170" w:type="dxa"/>
          </w:tcPr>
          <w:p w14:paraId="56ABCC63"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16秒</w:t>
            </w:r>
          </w:p>
        </w:tc>
        <w:tc>
          <w:tcPr>
            <w:tcW w:w="975" w:type="dxa"/>
          </w:tcPr>
          <w:p w14:paraId="17CCC669"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B</w:t>
            </w:r>
          </w:p>
        </w:tc>
        <w:tc>
          <w:tcPr>
            <w:tcW w:w="1140" w:type="dxa"/>
          </w:tcPr>
          <w:p w14:paraId="25E478D2"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良好</w:t>
            </w:r>
          </w:p>
        </w:tc>
        <w:tc>
          <w:tcPr>
            <w:tcW w:w="1215" w:type="dxa"/>
          </w:tcPr>
          <w:p w14:paraId="48FBDF7D"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80—89</w:t>
            </w:r>
          </w:p>
        </w:tc>
        <w:tc>
          <w:tcPr>
            <w:tcW w:w="3090" w:type="dxa"/>
          </w:tcPr>
          <w:p w14:paraId="01B9980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姿势较正确，动作自然，</w:t>
            </w:r>
          </w:p>
        </w:tc>
      </w:tr>
      <w:tr w:rsidR="00C32AC2" w:rsidRPr="00C32AC2" w14:paraId="54050F8F" w14:textId="77777777" w:rsidTr="00375FAF">
        <w:tc>
          <w:tcPr>
            <w:tcW w:w="1180" w:type="dxa"/>
          </w:tcPr>
          <w:p w14:paraId="42E11974"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12秒</w:t>
            </w:r>
          </w:p>
        </w:tc>
        <w:tc>
          <w:tcPr>
            <w:tcW w:w="1170" w:type="dxa"/>
          </w:tcPr>
          <w:p w14:paraId="509A5B3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17秒</w:t>
            </w:r>
          </w:p>
        </w:tc>
        <w:tc>
          <w:tcPr>
            <w:tcW w:w="975" w:type="dxa"/>
          </w:tcPr>
          <w:p w14:paraId="4CAB4D23"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C</w:t>
            </w:r>
          </w:p>
        </w:tc>
        <w:tc>
          <w:tcPr>
            <w:tcW w:w="1140" w:type="dxa"/>
          </w:tcPr>
          <w:p w14:paraId="62BB1BF8"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良</w:t>
            </w:r>
          </w:p>
        </w:tc>
        <w:tc>
          <w:tcPr>
            <w:tcW w:w="1215" w:type="dxa"/>
          </w:tcPr>
          <w:p w14:paraId="3F2CD448"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70—79</w:t>
            </w:r>
          </w:p>
        </w:tc>
        <w:tc>
          <w:tcPr>
            <w:tcW w:w="3090" w:type="dxa"/>
          </w:tcPr>
          <w:p w14:paraId="35D8AA2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姿势一般，动作基本正确，</w:t>
            </w:r>
          </w:p>
        </w:tc>
      </w:tr>
      <w:tr w:rsidR="00C32AC2" w:rsidRPr="00C32AC2" w14:paraId="243E5BAD" w14:textId="77777777" w:rsidTr="00375FAF">
        <w:tc>
          <w:tcPr>
            <w:tcW w:w="1180" w:type="dxa"/>
          </w:tcPr>
          <w:p w14:paraId="6132B5E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13秒</w:t>
            </w:r>
          </w:p>
        </w:tc>
        <w:tc>
          <w:tcPr>
            <w:tcW w:w="1170" w:type="dxa"/>
          </w:tcPr>
          <w:p w14:paraId="7179D175"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18秒</w:t>
            </w:r>
          </w:p>
        </w:tc>
        <w:tc>
          <w:tcPr>
            <w:tcW w:w="975" w:type="dxa"/>
          </w:tcPr>
          <w:p w14:paraId="69657495"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D</w:t>
            </w:r>
          </w:p>
        </w:tc>
        <w:tc>
          <w:tcPr>
            <w:tcW w:w="1140" w:type="dxa"/>
          </w:tcPr>
          <w:p w14:paraId="7436545D"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及格</w:t>
            </w:r>
          </w:p>
        </w:tc>
        <w:tc>
          <w:tcPr>
            <w:tcW w:w="1215" w:type="dxa"/>
          </w:tcPr>
          <w:p w14:paraId="634F64A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60—69</w:t>
            </w:r>
          </w:p>
        </w:tc>
        <w:tc>
          <w:tcPr>
            <w:tcW w:w="3090" w:type="dxa"/>
          </w:tcPr>
          <w:p w14:paraId="77D43D3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动作不协调，有多余动作，</w:t>
            </w:r>
          </w:p>
        </w:tc>
      </w:tr>
      <w:tr w:rsidR="00C32AC2" w:rsidRPr="00C32AC2" w14:paraId="1747BDCF" w14:textId="77777777" w:rsidTr="00375FAF">
        <w:tc>
          <w:tcPr>
            <w:tcW w:w="1180" w:type="dxa"/>
          </w:tcPr>
          <w:p w14:paraId="074FC1E9"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15秒</w:t>
            </w:r>
          </w:p>
        </w:tc>
        <w:tc>
          <w:tcPr>
            <w:tcW w:w="1170" w:type="dxa"/>
          </w:tcPr>
          <w:p w14:paraId="19CEB4C1"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20秒</w:t>
            </w:r>
          </w:p>
        </w:tc>
        <w:tc>
          <w:tcPr>
            <w:tcW w:w="975" w:type="dxa"/>
          </w:tcPr>
          <w:p w14:paraId="29F910E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E</w:t>
            </w:r>
          </w:p>
        </w:tc>
        <w:tc>
          <w:tcPr>
            <w:tcW w:w="1140" w:type="dxa"/>
          </w:tcPr>
          <w:p w14:paraId="530B3282"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不及格</w:t>
            </w:r>
          </w:p>
        </w:tc>
        <w:tc>
          <w:tcPr>
            <w:tcW w:w="1215" w:type="dxa"/>
          </w:tcPr>
          <w:p w14:paraId="6F9D79F8"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60以下</w:t>
            </w:r>
          </w:p>
        </w:tc>
        <w:tc>
          <w:tcPr>
            <w:tcW w:w="3090" w:type="dxa"/>
          </w:tcPr>
          <w:p w14:paraId="075D09A5"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动作僵硬，吃力，不协调</w:t>
            </w:r>
          </w:p>
        </w:tc>
      </w:tr>
    </w:tbl>
    <w:p w14:paraId="364970E3" w14:textId="77777777" w:rsidR="00C32AC2" w:rsidRPr="00C32AC2" w:rsidRDefault="00C32AC2" w:rsidP="00C32AC2">
      <w:pPr>
        <w:spacing w:beforeLines="50" w:before="156" w:afterLines="50" w:after="156" w:line="440" w:lineRule="exact"/>
        <w:rPr>
          <w:rFonts w:ascii="黑体" w:eastAsia="黑体" w:hAnsi="黑体" w:cs="Times New Roman"/>
          <w:sz w:val="28"/>
          <w:szCs w:val="28"/>
        </w:rPr>
      </w:pPr>
    </w:p>
    <w:p w14:paraId="3A7C8144"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第三学期</w:t>
      </w:r>
    </w:p>
    <w:p w14:paraId="5577EE82" w14:textId="77777777" w:rsidR="00C32AC2" w:rsidRPr="00C32AC2" w:rsidRDefault="00C32AC2" w:rsidP="00C32AC2">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C32AC2">
        <w:rPr>
          <w:rFonts w:ascii="宋体" w:eastAsia="宋体" w:hAnsi="Calibri" w:cs="Times New Roman" w:hint="eastAsia"/>
          <w:b/>
          <w:kern w:val="0"/>
          <w:sz w:val="24"/>
        </w:rPr>
        <w:t>期中考试</w:t>
      </w:r>
    </w:p>
    <w:p w14:paraId="7505E523"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1.课程考核目标:</w:t>
      </w:r>
      <w:r w:rsidRPr="00C32AC2">
        <w:rPr>
          <w:rFonts w:ascii="宋体" w:eastAsia="宋体" w:hAnsi="Calibri" w:cs="Times New Roman" w:hint="eastAsia"/>
          <w:bCs/>
          <w:kern w:val="0"/>
          <w:sz w:val="24"/>
        </w:rPr>
        <w:t>通过考核检验足球技术教学效果和学生掌握情况，让学生了解选项课内容和科学体育锻炼方式方法。</w:t>
      </w:r>
    </w:p>
    <w:p w14:paraId="7E346FD7"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2.课程考核的内容：</w:t>
      </w:r>
      <w:r w:rsidRPr="00C32AC2">
        <w:rPr>
          <w:rFonts w:ascii="宋体" w:eastAsia="宋体" w:hAnsi="Calibri" w:cs="Times New Roman" w:hint="eastAsia"/>
          <w:bCs/>
          <w:kern w:val="0"/>
          <w:sz w:val="24"/>
        </w:rPr>
        <w:t>足球脚背正面颠球。</w:t>
      </w:r>
    </w:p>
    <w:p w14:paraId="3CB37C53"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3.课程考核方式：</w:t>
      </w:r>
      <w:r w:rsidRPr="00C32AC2">
        <w:rPr>
          <w:rFonts w:ascii="宋体" w:eastAsia="宋体" w:hAnsi="Calibri" w:cs="Times New Roman" w:hint="eastAsia"/>
          <w:bCs/>
          <w:kern w:val="0"/>
          <w:sz w:val="24"/>
        </w:rPr>
        <w:t>足球场地，每人三次机会取最好成绩。</w:t>
      </w:r>
    </w:p>
    <w:p w14:paraId="4CB54150"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4.成绩构成及分值：</w:t>
      </w:r>
      <w:r w:rsidRPr="00C32AC2">
        <w:rPr>
          <w:rFonts w:ascii="宋体" w:eastAsia="宋体" w:hAnsi="Calibri" w:cs="Times New Roman" w:hint="eastAsia"/>
          <w:bCs/>
          <w:kern w:val="0"/>
          <w:sz w:val="24"/>
        </w:rPr>
        <w:t>数量及技术评定分值各为100分，各占总分值的50%，</w:t>
      </w:r>
    </w:p>
    <w:p w14:paraId="609766A3" w14:textId="77777777" w:rsidR="00C32AC2" w:rsidRPr="00C32AC2" w:rsidRDefault="00C32AC2" w:rsidP="00C32AC2">
      <w:pPr>
        <w:autoSpaceDE w:val="0"/>
        <w:autoSpaceDN w:val="0"/>
        <w:adjustRightInd w:val="0"/>
        <w:snapToGrid w:val="0"/>
        <w:spacing w:line="500" w:lineRule="exact"/>
        <w:rPr>
          <w:rFonts w:ascii="宋体" w:eastAsia="宋体" w:hAnsi="Calibri" w:cs="Times New Roman"/>
          <w:bCs/>
          <w:kern w:val="0"/>
          <w:sz w:val="24"/>
        </w:rPr>
      </w:pPr>
      <w:r w:rsidRPr="00C32AC2">
        <w:rPr>
          <w:rFonts w:ascii="宋体" w:eastAsia="宋体" w:hAnsi="Calibri" w:cs="Times New Roman" w:hint="eastAsia"/>
          <w:bCs/>
          <w:kern w:val="0"/>
          <w:sz w:val="24"/>
        </w:rPr>
        <w:t>总分值为100分。</w:t>
      </w:r>
    </w:p>
    <w:p w14:paraId="2B496D7B"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Calibri" w:cs="Times New Roman"/>
          <w:b/>
          <w:kern w:val="0"/>
          <w:sz w:val="24"/>
        </w:rPr>
      </w:pPr>
      <w:r w:rsidRPr="00C32AC2">
        <w:rPr>
          <w:rFonts w:ascii="宋体" w:eastAsia="宋体" w:hAnsi="Calibri" w:cs="Times New Roman" w:hint="eastAsia"/>
          <w:b/>
          <w:kern w:val="0"/>
          <w:sz w:val="24"/>
        </w:rPr>
        <w:t>5.评分记分原则：</w:t>
      </w:r>
    </w:p>
    <w:tbl>
      <w:tblPr>
        <w:tblpPr w:leftFromText="180" w:rightFromText="180" w:vertAnchor="text" w:horzAnchor="page" w:tblpXSpec="center" w:tblpY="213"/>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1"/>
        <w:gridCol w:w="955"/>
        <w:gridCol w:w="1201"/>
        <w:gridCol w:w="1215"/>
        <w:gridCol w:w="3090"/>
      </w:tblGrid>
      <w:tr w:rsidR="00C32AC2" w:rsidRPr="00C32AC2" w14:paraId="0FCD48D7" w14:textId="77777777" w:rsidTr="00375FAF">
        <w:trPr>
          <w:jc w:val="center"/>
        </w:trPr>
        <w:tc>
          <w:tcPr>
            <w:tcW w:w="1461" w:type="dxa"/>
            <w:vAlign w:val="center"/>
          </w:tcPr>
          <w:p w14:paraId="3AF9E199"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男女生颠球</w:t>
            </w:r>
          </w:p>
        </w:tc>
        <w:tc>
          <w:tcPr>
            <w:tcW w:w="955" w:type="dxa"/>
            <w:vAlign w:val="center"/>
          </w:tcPr>
          <w:p w14:paraId="1F508339"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技术分</w:t>
            </w:r>
          </w:p>
        </w:tc>
        <w:tc>
          <w:tcPr>
            <w:tcW w:w="1201" w:type="dxa"/>
            <w:vAlign w:val="center"/>
          </w:tcPr>
          <w:p w14:paraId="6EC6F6F9"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五级制</w:t>
            </w:r>
          </w:p>
        </w:tc>
        <w:tc>
          <w:tcPr>
            <w:tcW w:w="1215" w:type="dxa"/>
            <w:vAlign w:val="center"/>
          </w:tcPr>
          <w:p w14:paraId="61FDA36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分值范围</w:t>
            </w:r>
          </w:p>
        </w:tc>
        <w:tc>
          <w:tcPr>
            <w:tcW w:w="3090" w:type="dxa"/>
            <w:vAlign w:val="center"/>
          </w:tcPr>
          <w:p w14:paraId="5A732E8A"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备注</w:t>
            </w:r>
          </w:p>
        </w:tc>
      </w:tr>
      <w:tr w:rsidR="00C32AC2" w:rsidRPr="00C32AC2" w14:paraId="4E563C08" w14:textId="77777777" w:rsidTr="00375FAF">
        <w:trPr>
          <w:jc w:val="center"/>
        </w:trPr>
        <w:tc>
          <w:tcPr>
            <w:tcW w:w="1461" w:type="dxa"/>
            <w:vAlign w:val="center"/>
          </w:tcPr>
          <w:p w14:paraId="5170186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50个以上</w:t>
            </w:r>
          </w:p>
        </w:tc>
        <w:tc>
          <w:tcPr>
            <w:tcW w:w="955" w:type="dxa"/>
            <w:vAlign w:val="center"/>
          </w:tcPr>
          <w:p w14:paraId="54640486"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A</w:t>
            </w:r>
          </w:p>
        </w:tc>
        <w:tc>
          <w:tcPr>
            <w:tcW w:w="1201" w:type="dxa"/>
            <w:vAlign w:val="center"/>
          </w:tcPr>
          <w:p w14:paraId="1C0E66D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优</w:t>
            </w:r>
          </w:p>
        </w:tc>
        <w:tc>
          <w:tcPr>
            <w:tcW w:w="1215" w:type="dxa"/>
            <w:vAlign w:val="center"/>
          </w:tcPr>
          <w:p w14:paraId="6F8D127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90—95</w:t>
            </w:r>
          </w:p>
        </w:tc>
        <w:tc>
          <w:tcPr>
            <w:tcW w:w="3090" w:type="dxa"/>
            <w:vAlign w:val="center"/>
          </w:tcPr>
          <w:p w14:paraId="120B15F6"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姿势正确，动作优美、协调，</w:t>
            </w:r>
          </w:p>
        </w:tc>
      </w:tr>
      <w:tr w:rsidR="00C32AC2" w:rsidRPr="00C32AC2" w14:paraId="42FB7B58" w14:textId="77777777" w:rsidTr="00375FAF">
        <w:trPr>
          <w:jc w:val="center"/>
        </w:trPr>
        <w:tc>
          <w:tcPr>
            <w:tcW w:w="1461" w:type="dxa"/>
            <w:vAlign w:val="center"/>
          </w:tcPr>
          <w:p w14:paraId="5D49EB8D"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40-49个</w:t>
            </w:r>
          </w:p>
        </w:tc>
        <w:tc>
          <w:tcPr>
            <w:tcW w:w="955" w:type="dxa"/>
            <w:vAlign w:val="center"/>
          </w:tcPr>
          <w:p w14:paraId="77DE6898"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B</w:t>
            </w:r>
          </w:p>
        </w:tc>
        <w:tc>
          <w:tcPr>
            <w:tcW w:w="1201" w:type="dxa"/>
            <w:vAlign w:val="center"/>
          </w:tcPr>
          <w:p w14:paraId="2A5F9066"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良好</w:t>
            </w:r>
          </w:p>
        </w:tc>
        <w:tc>
          <w:tcPr>
            <w:tcW w:w="1215" w:type="dxa"/>
            <w:vAlign w:val="center"/>
          </w:tcPr>
          <w:p w14:paraId="2F33523A"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80—89</w:t>
            </w:r>
          </w:p>
        </w:tc>
        <w:tc>
          <w:tcPr>
            <w:tcW w:w="3090" w:type="dxa"/>
            <w:vAlign w:val="center"/>
          </w:tcPr>
          <w:p w14:paraId="5EE6453F"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姿势较正确，动作自然，</w:t>
            </w:r>
          </w:p>
        </w:tc>
      </w:tr>
      <w:tr w:rsidR="00C32AC2" w:rsidRPr="00C32AC2" w14:paraId="34BCDE97" w14:textId="77777777" w:rsidTr="00375FAF">
        <w:trPr>
          <w:jc w:val="center"/>
        </w:trPr>
        <w:tc>
          <w:tcPr>
            <w:tcW w:w="1461" w:type="dxa"/>
            <w:vAlign w:val="center"/>
          </w:tcPr>
          <w:p w14:paraId="44B7C9A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30-39个</w:t>
            </w:r>
          </w:p>
        </w:tc>
        <w:tc>
          <w:tcPr>
            <w:tcW w:w="955" w:type="dxa"/>
            <w:vAlign w:val="center"/>
          </w:tcPr>
          <w:p w14:paraId="59C071C6"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C</w:t>
            </w:r>
          </w:p>
        </w:tc>
        <w:tc>
          <w:tcPr>
            <w:tcW w:w="1201" w:type="dxa"/>
            <w:vAlign w:val="center"/>
          </w:tcPr>
          <w:p w14:paraId="46D98BCD"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良</w:t>
            </w:r>
          </w:p>
        </w:tc>
        <w:tc>
          <w:tcPr>
            <w:tcW w:w="1215" w:type="dxa"/>
            <w:vAlign w:val="center"/>
          </w:tcPr>
          <w:p w14:paraId="22D50D45"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70—79</w:t>
            </w:r>
          </w:p>
        </w:tc>
        <w:tc>
          <w:tcPr>
            <w:tcW w:w="3090" w:type="dxa"/>
            <w:vAlign w:val="center"/>
          </w:tcPr>
          <w:p w14:paraId="626AC2B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姿势一般，动作基本正确，</w:t>
            </w:r>
          </w:p>
        </w:tc>
      </w:tr>
      <w:tr w:rsidR="00C32AC2" w:rsidRPr="00C32AC2" w14:paraId="2DDDAECE" w14:textId="77777777" w:rsidTr="00375FAF">
        <w:trPr>
          <w:jc w:val="center"/>
        </w:trPr>
        <w:tc>
          <w:tcPr>
            <w:tcW w:w="1461" w:type="dxa"/>
            <w:vAlign w:val="center"/>
          </w:tcPr>
          <w:p w14:paraId="4CB42736"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20-29个</w:t>
            </w:r>
          </w:p>
        </w:tc>
        <w:tc>
          <w:tcPr>
            <w:tcW w:w="955" w:type="dxa"/>
            <w:vAlign w:val="center"/>
          </w:tcPr>
          <w:p w14:paraId="36513316"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D</w:t>
            </w:r>
          </w:p>
        </w:tc>
        <w:tc>
          <w:tcPr>
            <w:tcW w:w="1201" w:type="dxa"/>
            <w:vAlign w:val="center"/>
          </w:tcPr>
          <w:p w14:paraId="64219F1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及格</w:t>
            </w:r>
          </w:p>
        </w:tc>
        <w:tc>
          <w:tcPr>
            <w:tcW w:w="1215" w:type="dxa"/>
            <w:vAlign w:val="center"/>
          </w:tcPr>
          <w:p w14:paraId="78E230B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60—69</w:t>
            </w:r>
          </w:p>
        </w:tc>
        <w:tc>
          <w:tcPr>
            <w:tcW w:w="3090" w:type="dxa"/>
            <w:vAlign w:val="center"/>
          </w:tcPr>
          <w:p w14:paraId="1873CF2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动作不协调，有多余动作，</w:t>
            </w:r>
          </w:p>
        </w:tc>
      </w:tr>
      <w:tr w:rsidR="00C32AC2" w:rsidRPr="00C32AC2" w14:paraId="5F1F85FD" w14:textId="77777777" w:rsidTr="00375FAF">
        <w:trPr>
          <w:jc w:val="center"/>
        </w:trPr>
        <w:tc>
          <w:tcPr>
            <w:tcW w:w="1461" w:type="dxa"/>
            <w:vAlign w:val="center"/>
          </w:tcPr>
          <w:p w14:paraId="2C87E6CF"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20个以下</w:t>
            </w:r>
          </w:p>
        </w:tc>
        <w:tc>
          <w:tcPr>
            <w:tcW w:w="955" w:type="dxa"/>
            <w:vAlign w:val="center"/>
          </w:tcPr>
          <w:p w14:paraId="74AE6219"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E</w:t>
            </w:r>
          </w:p>
        </w:tc>
        <w:tc>
          <w:tcPr>
            <w:tcW w:w="1201" w:type="dxa"/>
            <w:vAlign w:val="center"/>
          </w:tcPr>
          <w:p w14:paraId="60F63D2F"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不及格</w:t>
            </w:r>
          </w:p>
        </w:tc>
        <w:tc>
          <w:tcPr>
            <w:tcW w:w="1215" w:type="dxa"/>
            <w:vAlign w:val="center"/>
          </w:tcPr>
          <w:p w14:paraId="619627B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60以下</w:t>
            </w:r>
          </w:p>
        </w:tc>
        <w:tc>
          <w:tcPr>
            <w:tcW w:w="3090" w:type="dxa"/>
            <w:vAlign w:val="center"/>
          </w:tcPr>
          <w:p w14:paraId="587D6F31"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动作僵硬，吃力，不协调</w:t>
            </w:r>
          </w:p>
        </w:tc>
      </w:tr>
    </w:tbl>
    <w:p w14:paraId="576416EC" w14:textId="77777777" w:rsidR="00C32AC2" w:rsidRPr="00C32AC2" w:rsidRDefault="00C32AC2" w:rsidP="00C32AC2">
      <w:pPr>
        <w:autoSpaceDE w:val="0"/>
        <w:autoSpaceDN w:val="0"/>
        <w:adjustRightInd w:val="0"/>
        <w:snapToGrid w:val="0"/>
        <w:spacing w:line="500" w:lineRule="exact"/>
        <w:ind w:firstLineChars="200" w:firstLine="480"/>
        <w:jc w:val="center"/>
        <w:rPr>
          <w:rFonts w:ascii="宋体" w:eastAsia="宋体" w:hAnsi="Calibri" w:cs="Times New Roman"/>
          <w:bCs/>
          <w:kern w:val="0"/>
          <w:sz w:val="24"/>
        </w:rPr>
      </w:pPr>
    </w:p>
    <w:p w14:paraId="35D037AC" w14:textId="77777777" w:rsidR="00C32AC2" w:rsidRPr="00C32AC2" w:rsidRDefault="00C32AC2" w:rsidP="00C32AC2">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p>
    <w:p w14:paraId="0FF49675" w14:textId="77777777" w:rsidR="00C32AC2" w:rsidRPr="00C32AC2" w:rsidRDefault="00C32AC2" w:rsidP="00C32AC2">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C32AC2">
        <w:rPr>
          <w:rFonts w:ascii="宋体" w:eastAsia="宋体" w:hAnsi="Calibri" w:cs="Times New Roman" w:hint="eastAsia"/>
          <w:b/>
          <w:kern w:val="0"/>
          <w:sz w:val="24"/>
        </w:rPr>
        <w:t>期末考试</w:t>
      </w:r>
    </w:p>
    <w:p w14:paraId="353CB93B"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1.课程考核目标:</w:t>
      </w:r>
      <w:r w:rsidRPr="00C32AC2">
        <w:rPr>
          <w:rFonts w:ascii="宋体" w:eastAsia="宋体" w:hAnsi="Calibri" w:cs="Times New Roman" w:hint="eastAsia"/>
          <w:bCs/>
          <w:kern w:val="0"/>
          <w:sz w:val="24"/>
        </w:rPr>
        <w:t>通过考核检验足球技术教学效果和学生掌握情况，让学生了解选项课内容和科学体育锻炼方式方法。</w:t>
      </w:r>
    </w:p>
    <w:p w14:paraId="759AE525"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2.课程考核的内容：</w:t>
      </w:r>
      <w:r w:rsidRPr="00C32AC2">
        <w:rPr>
          <w:rFonts w:ascii="宋体" w:eastAsia="宋体" w:hAnsi="Calibri" w:cs="Times New Roman" w:hint="eastAsia"/>
          <w:bCs/>
          <w:kern w:val="0"/>
          <w:sz w:val="24"/>
        </w:rPr>
        <w:t>足球脚背内侧技术。</w:t>
      </w:r>
    </w:p>
    <w:p w14:paraId="5255BF0A"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3.课程考核方式：</w:t>
      </w:r>
      <w:r w:rsidRPr="00C32AC2">
        <w:rPr>
          <w:rFonts w:ascii="宋体" w:eastAsia="宋体" w:hAnsi="Calibri" w:cs="Times New Roman" w:hint="eastAsia"/>
          <w:bCs/>
          <w:kern w:val="0"/>
          <w:sz w:val="24"/>
        </w:rPr>
        <w:t>在20米（男生）10米（女生）处有半径为5米的圆圈，运用脚背内侧踢球技术向圆圈里踢球，每人连续踢5个球，取总成绩。</w:t>
      </w:r>
    </w:p>
    <w:p w14:paraId="3E8ED38D"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kern w:val="0"/>
          <w:sz w:val="24"/>
        </w:rPr>
      </w:pPr>
      <w:r w:rsidRPr="00C32AC2">
        <w:rPr>
          <w:rFonts w:ascii="宋体" w:eastAsia="宋体" w:hAnsi="Calibri" w:cs="Times New Roman" w:hint="eastAsia"/>
          <w:b/>
          <w:kern w:val="0"/>
          <w:sz w:val="24"/>
        </w:rPr>
        <w:t>4.成绩构成及分值：</w:t>
      </w:r>
      <w:r w:rsidRPr="00C32AC2">
        <w:rPr>
          <w:rFonts w:ascii="宋体" w:eastAsia="宋体" w:hAnsi="Calibri" w:cs="Times New Roman" w:hint="eastAsia"/>
          <w:kern w:val="0"/>
          <w:sz w:val="24"/>
        </w:rPr>
        <w:t>数量及技术评定分值各为100分，各占总分值的50%，</w:t>
      </w:r>
    </w:p>
    <w:p w14:paraId="085697CD" w14:textId="77777777" w:rsidR="00C32AC2" w:rsidRPr="00C32AC2" w:rsidRDefault="00C32AC2" w:rsidP="00C32AC2">
      <w:pPr>
        <w:adjustRightInd w:val="0"/>
        <w:snapToGrid w:val="0"/>
        <w:spacing w:line="500" w:lineRule="exact"/>
        <w:ind w:firstLineChars="200" w:firstLine="480"/>
        <w:rPr>
          <w:rFonts w:ascii="宋体" w:eastAsia="宋体" w:hAnsi="Calibri" w:cs="Times New Roman"/>
          <w:kern w:val="0"/>
          <w:sz w:val="24"/>
        </w:rPr>
      </w:pPr>
      <w:r w:rsidRPr="00C32AC2">
        <w:rPr>
          <w:rFonts w:ascii="宋体" w:eastAsia="宋体" w:hAnsi="Calibri" w:cs="Times New Roman" w:hint="eastAsia"/>
          <w:kern w:val="0"/>
          <w:sz w:val="24"/>
        </w:rPr>
        <w:t>总分值为100分。</w:t>
      </w:r>
    </w:p>
    <w:p w14:paraId="7D0A4333"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Calibri" w:cs="Times New Roman"/>
          <w:b/>
          <w:kern w:val="0"/>
          <w:sz w:val="24"/>
        </w:rPr>
      </w:pPr>
    </w:p>
    <w:p w14:paraId="0DC0F06B"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5.评分记分原则：</w:t>
      </w:r>
    </w:p>
    <w:p w14:paraId="3DD3FA22"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noProof/>
          <w:kern w:val="0"/>
          <w:sz w:val="24"/>
        </w:rPr>
        <mc:AlternateContent>
          <mc:Choice Requires="wps">
            <w:drawing>
              <wp:anchor distT="0" distB="0" distL="114300" distR="114300" simplePos="0" relativeHeight="251662336" behindDoc="0" locked="0" layoutInCell="1" allowOverlap="1" wp14:anchorId="1FB30885" wp14:editId="325A9F13">
                <wp:simplePos x="0" y="0"/>
                <wp:positionH relativeFrom="column">
                  <wp:posOffset>4114800</wp:posOffset>
                </wp:positionH>
                <wp:positionV relativeFrom="paragraph">
                  <wp:posOffset>198120</wp:posOffset>
                </wp:positionV>
                <wp:extent cx="0" cy="1485900"/>
                <wp:effectExtent l="4445" t="0" r="14605" b="0"/>
                <wp:wrapSquare wrapText="bothSides"/>
                <wp:docPr id="9" name="直接连接符 9"/>
                <wp:cNvGraphicFramePr/>
                <a:graphic xmlns:a="http://schemas.openxmlformats.org/drawingml/2006/main">
                  <a:graphicData uri="http://schemas.microsoft.com/office/word/2010/wordprocessingShape">
                    <wps:wsp>
                      <wps:cNvCnPr/>
                      <wps:spPr>
                        <a:xfrm>
                          <a:off x="0" y="0"/>
                          <a:ext cx="0" cy="148590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w14:anchorId="7FAD8D7D" id="直接连接符 9"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324pt,15.6pt" to="324pt,1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">
                <w10:wrap type="square"/>
              </v:line>
            </w:pict>
          </mc:Fallback>
        </mc:AlternateContent>
      </w:r>
      <w:r w:rsidRPr="00C32AC2">
        <w:rPr>
          <w:rFonts w:ascii="宋体" w:eastAsia="宋体" w:hAnsi="Calibri" w:cs="Times New Roman" w:hint="eastAsia"/>
          <w:bCs/>
          <w:noProof/>
          <w:kern w:val="0"/>
          <w:sz w:val="24"/>
        </w:rPr>
        <mc:AlternateContent>
          <mc:Choice Requires="wps">
            <w:drawing>
              <wp:anchor distT="0" distB="0" distL="114300" distR="114300" simplePos="0" relativeHeight="251661312" behindDoc="0" locked="0" layoutInCell="1" allowOverlap="1" wp14:anchorId="599574B1" wp14:editId="55AA8D81">
                <wp:simplePos x="0" y="0"/>
                <wp:positionH relativeFrom="column">
                  <wp:posOffset>1485900</wp:posOffset>
                </wp:positionH>
                <wp:positionV relativeFrom="paragraph">
                  <wp:posOffset>297180</wp:posOffset>
                </wp:positionV>
                <wp:extent cx="1485900" cy="1386840"/>
                <wp:effectExtent l="4445" t="4445" r="14605" b="18415"/>
                <wp:wrapSquare wrapText="bothSides"/>
                <wp:docPr id="3" name="椭圆 3"/>
                <wp:cNvGraphicFramePr/>
                <a:graphic xmlns:a="http://schemas.openxmlformats.org/drawingml/2006/main">
                  <a:graphicData uri="http://schemas.microsoft.com/office/word/2010/wordprocessingShape">
                    <wps:wsp>
                      <wps:cNvSpPr/>
                      <wps:spPr>
                        <a:xfrm>
                          <a:off x="0" y="0"/>
                          <a:ext cx="1485900" cy="1386840"/>
                        </a:xfrm>
                        <a:prstGeom prst="ellipse">
                          <a:avLst/>
                        </a:prstGeom>
                        <a:solidFill>
                          <a:srgbClr val="FFFFFF"/>
                        </a:solidFill>
                        <a:ln w="9525" cap="flat" cmpd="sng">
                          <a:solidFill>
                            <a:srgbClr val="000000"/>
                          </a:solidFill>
                          <a:prstDash val="solid"/>
                          <a:headEnd type="none" w="med" len="med"/>
                          <a:tailEnd type="none" w="med" len="med"/>
                        </a:ln>
                        <a:effectLst/>
                      </wps:spPr>
                      <wps:txbx>
                        <w:txbxContent>
                          <w:p w14:paraId="604016CC" w14:textId="77777777" w:rsidR="00095B84" w:rsidRDefault="00095B84" w:rsidP="00C32AC2"/>
                        </w:txbxContent>
                      </wps:txbx>
                      <wps:bodyPr upright="1"/>
                    </wps:wsp>
                  </a:graphicData>
                </a:graphic>
              </wp:anchor>
            </w:drawing>
          </mc:Choice>
          <mc:Fallback>
            <w:pict>
              <v:oval w14:anchorId="599574B1" id="椭圆 3" o:spid="_x0000_s1028" style="position:absolute;left:0;text-align:left;margin-left:117pt;margin-top:23.4pt;width:117pt;height:109.2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">
                <v:textbox>
                  <w:txbxContent>
                    <w:p w14:paraId="604016CC" w14:textId="77777777" w:rsidR="00095B84" w:rsidRDefault="00095B84" w:rsidP="00C32AC2"/>
                  </w:txbxContent>
                </v:textbox>
                <w10:wrap type="square"/>
              </v:oval>
            </w:pict>
          </mc:Fallback>
        </mc:AlternateContent>
      </w:r>
    </w:p>
    <w:p w14:paraId="082FCC36"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p>
    <w:p w14:paraId="2CB9EFA3"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noProof/>
          <w:kern w:val="0"/>
          <w:sz w:val="24"/>
        </w:rPr>
        <mc:AlternateContent>
          <mc:Choice Requires="wps">
            <w:drawing>
              <wp:anchor distT="0" distB="0" distL="114300" distR="114300" simplePos="0" relativeHeight="251665408" behindDoc="0" locked="0" layoutInCell="1" allowOverlap="1" wp14:anchorId="0B037A96" wp14:editId="1F82957A">
                <wp:simplePos x="0" y="0"/>
                <wp:positionH relativeFrom="column">
                  <wp:posOffset>3076575</wp:posOffset>
                </wp:positionH>
                <wp:positionV relativeFrom="paragraph">
                  <wp:posOffset>59690</wp:posOffset>
                </wp:positionV>
                <wp:extent cx="809625" cy="534670"/>
                <wp:effectExtent l="0" t="0" r="9525" b="17780"/>
                <wp:wrapSquare wrapText="bothSides"/>
                <wp:docPr id="10" name="文本框 10"/>
                <wp:cNvGraphicFramePr/>
                <a:graphic xmlns:a="http://schemas.openxmlformats.org/drawingml/2006/main">
                  <a:graphicData uri="http://schemas.microsoft.com/office/word/2010/wordprocessingShape">
                    <wps:wsp>
                      <wps:cNvSpPr txBox="1"/>
                      <wps:spPr>
                        <a:xfrm>
                          <a:off x="0" y="0"/>
                          <a:ext cx="809625" cy="534670"/>
                        </a:xfrm>
                        <a:prstGeom prst="rect">
                          <a:avLst/>
                        </a:prstGeom>
                        <a:solidFill>
                          <a:srgbClr val="FFFFFF"/>
                        </a:solidFill>
                        <a:ln w="9525">
                          <a:noFill/>
                        </a:ln>
                        <a:effectLst/>
                      </wps:spPr>
                      <wps:txbx>
                        <w:txbxContent>
                          <w:p w14:paraId="396B1550" w14:textId="77777777" w:rsidR="00095B84" w:rsidRDefault="00095B84" w:rsidP="00C32AC2">
                            <w:r>
                              <w:rPr>
                                <w:rFonts w:hint="eastAsia"/>
                              </w:rPr>
                              <w:t>10—20米</w:t>
                            </w:r>
                          </w:p>
                        </w:txbxContent>
                      </wps:txbx>
                      <wps:bodyPr upright="1"/>
                    </wps:wsp>
                  </a:graphicData>
                </a:graphic>
              </wp:anchor>
            </w:drawing>
          </mc:Choice>
          <mc:Fallback>
            <w:pict>
              <v:shapetype w14:anchorId="0B037A96" id="_x0000_t202" coordsize="21600,21600" o:spt="202" path="m,l,21600r21600,l21600,xe">
                <v:stroke joinstyle="miter"/>
                <v:path gradientshapeok="t" o:connecttype="rect"/>
              </v:shapetype>
              <v:shape id="文本框 10" o:spid="_x0000_s1029" type="#_x0000_t202" style="position:absolute;left:0;text-align:left;margin-left:242.25pt;margin-top:4.7pt;width:63.75pt;height:42.1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" stroked="f">
                <v:textbox>
                  <w:txbxContent>
                    <w:p w14:paraId="396B1550" w14:textId="77777777" w:rsidR="00095B84" w:rsidRDefault="00095B84" w:rsidP="00C32AC2">
                      <w:r>
                        <w:rPr>
                          <w:rFonts w:hint="eastAsia"/>
                        </w:rPr>
                        <w:t>10—20米</w:t>
                      </w:r>
                    </w:p>
                  </w:txbxContent>
                </v:textbox>
                <w10:wrap type="square"/>
              </v:shape>
            </w:pict>
          </mc:Fallback>
        </mc:AlternateContent>
      </w:r>
    </w:p>
    <w:p w14:paraId="742B06A5"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 xml:space="preserve">                                                                                                </w:t>
      </w:r>
      <w:r w:rsidRPr="00C32AC2">
        <w:rPr>
          <w:rFonts w:ascii="宋体" w:eastAsia="宋体" w:hAnsi="Calibri" w:cs="Times New Roman" w:hint="eastAsia"/>
          <w:bCs/>
          <w:noProof/>
          <w:kern w:val="0"/>
          <w:sz w:val="24"/>
        </w:rPr>
        <mc:AlternateContent>
          <mc:Choice Requires="wps">
            <w:drawing>
              <wp:anchor distT="0" distB="0" distL="114300" distR="114300" simplePos="0" relativeHeight="251664384" behindDoc="0" locked="0" layoutInCell="1" allowOverlap="1" wp14:anchorId="6FAD19A5" wp14:editId="5EBDD536">
                <wp:simplePos x="0" y="0"/>
                <wp:positionH relativeFrom="column">
                  <wp:posOffset>2286000</wp:posOffset>
                </wp:positionH>
                <wp:positionV relativeFrom="paragraph">
                  <wp:posOffset>0</wp:posOffset>
                </wp:positionV>
                <wp:extent cx="342900" cy="0"/>
                <wp:effectExtent l="0" t="38100" r="0" b="38100"/>
                <wp:wrapSquare wrapText="bothSides"/>
                <wp:docPr id="2" name="直接连接符 2"/>
                <wp:cNvGraphicFramePr/>
                <a:graphic xmlns:a="http://schemas.openxmlformats.org/drawingml/2006/main">
                  <a:graphicData uri="http://schemas.microsoft.com/office/word/2010/wordprocessingShape">
                    <wps:wsp>
                      <wps:cNvCnPr/>
                      <wps:spPr>
                        <a:xfrm flipH="1">
                          <a:off x="0" y="0"/>
                          <a:ext cx="342900" cy="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w14:anchorId="32988AAD" id="直接连接符 2" o:spid="_x0000_s1026" style="position:absolute;flip:x;z-index:251664384;visibility:visible;mso-wrap-style:square;mso-wrap-distance-left:9pt;mso-wrap-distance-top:0;mso-wrap-distance-right:9pt;mso-wrap-distance-bottom:0;mso-position-horizontal:absolute;mso-position-horizontal-relative:text;mso-position-vertical:absolute;mso-position-vertical-relative:text" from="180pt,0" to="207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">
                <v:stroke endarrow="block"/>
                <w10:wrap type="square"/>
              </v:line>
            </w:pict>
          </mc:Fallback>
        </mc:AlternateContent>
      </w:r>
      <w:r w:rsidRPr="00C32AC2">
        <w:rPr>
          <w:rFonts w:ascii="宋体" w:eastAsia="宋体" w:hAnsi="Calibri" w:cs="Times New Roman" w:hint="eastAsia"/>
          <w:bCs/>
          <w:noProof/>
          <w:kern w:val="0"/>
          <w:sz w:val="24"/>
        </w:rPr>
        <mc:AlternateContent>
          <mc:Choice Requires="wps">
            <w:drawing>
              <wp:anchor distT="0" distB="0" distL="114300" distR="114300" simplePos="0" relativeHeight="251663360" behindDoc="0" locked="0" layoutInCell="1" allowOverlap="1" wp14:anchorId="33A965A4" wp14:editId="04AD0313">
                <wp:simplePos x="0" y="0"/>
                <wp:positionH relativeFrom="column">
                  <wp:posOffset>2286000</wp:posOffset>
                </wp:positionH>
                <wp:positionV relativeFrom="paragraph">
                  <wp:posOffset>0</wp:posOffset>
                </wp:positionV>
                <wp:extent cx="1828800" cy="0"/>
                <wp:effectExtent l="0" t="0" r="0" b="0"/>
                <wp:wrapSquare wrapText="bothSides"/>
                <wp:docPr id="11" name="直接连接符 11"/>
                <wp:cNvGraphicFramePr/>
                <a:graphic xmlns:a="http://schemas.openxmlformats.org/drawingml/2006/main">
                  <a:graphicData uri="http://schemas.microsoft.com/office/word/2010/wordprocessingShape">
                    <wps:wsp>
                      <wps:cNvCnPr/>
                      <wps:spPr>
                        <a:xfrm>
                          <a:off x="0" y="0"/>
                          <a:ext cx="1828800"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w14:anchorId="6A89D612" id="直接连接符 11"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180pt,0" to="32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">
                <w10:wrap type="square"/>
              </v:line>
            </w:pict>
          </mc:Fallback>
        </mc:AlternateContent>
      </w:r>
    </w:p>
    <w:p w14:paraId="31AADE41"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p>
    <w:p w14:paraId="031D3643"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p>
    <w:tbl>
      <w:tblPr>
        <w:tblpPr w:leftFromText="180" w:rightFromText="180" w:vertAnchor="text" w:horzAnchor="page" w:tblpXSpec="center" w:tblpY="213"/>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8"/>
        <w:gridCol w:w="1119"/>
        <w:gridCol w:w="1007"/>
        <w:gridCol w:w="1188"/>
        <w:gridCol w:w="3220"/>
      </w:tblGrid>
      <w:tr w:rsidR="00C32AC2" w:rsidRPr="00C32AC2" w14:paraId="28685A11" w14:textId="77777777" w:rsidTr="00375FAF">
        <w:trPr>
          <w:jc w:val="center"/>
        </w:trPr>
        <w:tc>
          <w:tcPr>
            <w:tcW w:w="1478" w:type="dxa"/>
            <w:vAlign w:val="center"/>
          </w:tcPr>
          <w:p w14:paraId="12B7693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男女生</w:t>
            </w:r>
          </w:p>
          <w:p w14:paraId="214CBB74"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proofErr w:type="gramStart"/>
            <w:r w:rsidRPr="00C32AC2">
              <w:rPr>
                <w:rFonts w:ascii="宋体" w:eastAsia="宋体" w:hAnsi="Calibri" w:cs="Times New Roman" w:hint="eastAsia"/>
                <w:bCs/>
                <w:kern w:val="0"/>
                <w:sz w:val="24"/>
              </w:rPr>
              <w:t>踢准</w:t>
            </w:r>
            <w:proofErr w:type="gramEnd"/>
          </w:p>
        </w:tc>
        <w:tc>
          <w:tcPr>
            <w:tcW w:w="1119" w:type="dxa"/>
            <w:vAlign w:val="center"/>
          </w:tcPr>
          <w:p w14:paraId="17C01268"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技术分</w:t>
            </w:r>
          </w:p>
        </w:tc>
        <w:tc>
          <w:tcPr>
            <w:tcW w:w="1007" w:type="dxa"/>
            <w:vAlign w:val="center"/>
          </w:tcPr>
          <w:p w14:paraId="3E8EDB46"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五级制</w:t>
            </w:r>
          </w:p>
        </w:tc>
        <w:tc>
          <w:tcPr>
            <w:tcW w:w="1188" w:type="dxa"/>
            <w:vAlign w:val="center"/>
          </w:tcPr>
          <w:p w14:paraId="097EEED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分值</w:t>
            </w:r>
          </w:p>
          <w:p w14:paraId="659C67F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范围</w:t>
            </w:r>
          </w:p>
        </w:tc>
        <w:tc>
          <w:tcPr>
            <w:tcW w:w="3220" w:type="dxa"/>
            <w:vAlign w:val="center"/>
          </w:tcPr>
          <w:p w14:paraId="3C4E7196"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备注</w:t>
            </w:r>
          </w:p>
        </w:tc>
      </w:tr>
      <w:tr w:rsidR="00C32AC2" w:rsidRPr="00C32AC2" w14:paraId="1765CA91" w14:textId="77777777" w:rsidTr="00375FAF">
        <w:trPr>
          <w:jc w:val="center"/>
        </w:trPr>
        <w:tc>
          <w:tcPr>
            <w:tcW w:w="1478" w:type="dxa"/>
            <w:vAlign w:val="center"/>
          </w:tcPr>
          <w:p w14:paraId="4653F818"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5</w:t>
            </w:r>
          </w:p>
        </w:tc>
        <w:tc>
          <w:tcPr>
            <w:tcW w:w="1119" w:type="dxa"/>
            <w:vAlign w:val="center"/>
          </w:tcPr>
          <w:p w14:paraId="1E619A38"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A</w:t>
            </w:r>
          </w:p>
        </w:tc>
        <w:tc>
          <w:tcPr>
            <w:tcW w:w="1007" w:type="dxa"/>
            <w:vAlign w:val="center"/>
          </w:tcPr>
          <w:p w14:paraId="21662698"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优</w:t>
            </w:r>
          </w:p>
        </w:tc>
        <w:tc>
          <w:tcPr>
            <w:tcW w:w="1188" w:type="dxa"/>
            <w:vAlign w:val="center"/>
          </w:tcPr>
          <w:p w14:paraId="66E35D4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90—95</w:t>
            </w:r>
          </w:p>
        </w:tc>
        <w:tc>
          <w:tcPr>
            <w:tcW w:w="3220" w:type="dxa"/>
            <w:vAlign w:val="center"/>
          </w:tcPr>
          <w:p w14:paraId="3B7F22C6"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姿势正确，动作优美、协调，</w:t>
            </w:r>
          </w:p>
        </w:tc>
      </w:tr>
      <w:tr w:rsidR="00C32AC2" w:rsidRPr="00C32AC2" w14:paraId="67FE86C5" w14:textId="77777777" w:rsidTr="00375FAF">
        <w:trPr>
          <w:jc w:val="center"/>
        </w:trPr>
        <w:tc>
          <w:tcPr>
            <w:tcW w:w="1478" w:type="dxa"/>
            <w:vAlign w:val="center"/>
          </w:tcPr>
          <w:p w14:paraId="3718DED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4</w:t>
            </w:r>
          </w:p>
        </w:tc>
        <w:tc>
          <w:tcPr>
            <w:tcW w:w="1119" w:type="dxa"/>
            <w:vAlign w:val="center"/>
          </w:tcPr>
          <w:p w14:paraId="5029A07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B</w:t>
            </w:r>
          </w:p>
        </w:tc>
        <w:tc>
          <w:tcPr>
            <w:tcW w:w="1007" w:type="dxa"/>
            <w:vAlign w:val="center"/>
          </w:tcPr>
          <w:p w14:paraId="67FED91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良好</w:t>
            </w:r>
          </w:p>
        </w:tc>
        <w:tc>
          <w:tcPr>
            <w:tcW w:w="1188" w:type="dxa"/>
            <w:vAlign w:val="center"/>
          </w:tcPr>
          <w:p w14:paraId="36DA2C1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80—89</w:t>
            </w:r>
          </w:p>
        </w:tc>
        <w:tc>
          <w:tcPr>
            <w:tcW w:w="3220" w:type="dxa"/>
            <w:vAlign w:val="center"/>
          </w:tcPr>
          <w:p w14:paraId="6ADAD3D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姿势较正确，动作自然，</w:t>
            </w:r>
          </w:p>
        </w:tc>
      </w:tr>
      <w:tr w:rsidR="00C32AC2" w:rsidRPr="00C32AC2" w14:paraId="300F25FC" w14:textId="77777777" w:rsidTr="00375FAF">
        <w:trPr>
          <w:jc w:val="center"/>
        </w:trPr>
        <w:tc>
          <w:tcPr>
            <w:tcW w:w="1478" w:type="dxa"/>
            <w:vAlign w:val="center"/>
          </w:tcPr>
          <w:p w14:paraId="2A852A7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3</w:t>
            </w:r>
          </w:p>
        </w:tc>
        <w:tc>
          <w:tcPr>
            <w:tcW w:w="1119" w:type="dxa"/>
            <w:vAlign w:val="center"/>
          </w:tcPr>
          <w:p w14:paraId="51BB6E46"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C</w:t>
            </w:r>
          </w:p>
        </w:tc>
        <w:tc>
          <w:tcPr>
            <w:tcW w:w="1007" w:type="dxa"/>
            <w:vAlign w:val="center"/>
          </w:tcPr>
          <w:p w14:paraId="1E82591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良</w:t>
            </w:r>
          </w:p>
        </w:tc>
        <w:tc>
          <w:tcPr>
            <w:tcW w:w="1188" w:type="dxa"/>
            <w:vAlign w:val="center"/>
          </w:tcPr>
          <w:p w14:paraId="09A14D4F"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70—79</w:t>
            </w:r>
          </w:p>
        </w:tc>
        <w:tc>
          <w:tcPr>
            <w:tcW w:w="3220" w:type="dxa"/>
            <w:vAlign w:val="center"/>
          </w:tcPr>
          <w:p w14:paraId="0C1F83C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姿势一般，动作基本正确，</w:t>
            </w:r>
          </w:p>
        </w:tc>
      </w:tr>
      <w:tr w:rsidR="00C32AC2" w:rsidRPr="00C32AC2" w14:paraId="35FE3A7C" w14:textId="77777777" w:rsidTr="00375FAF">
        <w:trPr>
          <w:jc w:val="center"/>
        </w:trPr>
        <w:tc>
          <w:tcPr>
            <w:tcW w:w="1478" w:type="dxa"/>
            <w:vAlign w:val="center"/>
          </w:tcPr>
          <w:p w14:paraId="50311355"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2</w:t>
            </w:r>
          </w:p>
        </w:tc>
        <w:tc>
          <w:tcPr>
            <w:tcW w:w="1119" w:type="dxa"/>
            <w:vAlign w:val="center"/>
          </w:tcPr>
          <w:p w14:paraId="05BF751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D</w:t>
            </w:r>
          </w:p>
        </w:tc>
        <w:tc>
          <w:tcPr>
            <w:tcW w:w="1007" w:type="dxa"/>
            <w:vAlign w:val="center"/>
          </w:tcPr>
          <w:p w14:paraId="1CFC3C64"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及格</w:t>
            </w:r>
          </w:p>
        </w:tc>
        <w:tc>
          <w:tcPr>
            <w:tcW w:w="1188" w:type="dxa"/>
            <w:vAlign w:val="center"/>
          </w:tcPr>
          <w:p w14:paraId="13A588E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60—69</w:t>
            </w:r>
          </w:p>
        </w:tc>
        <w:tc>
          <w:tcPr>
            <w:tcW w:w="3220" w:type="dxa"/>
            <w:vAlign w:val="center"/>
          </w:tcPr>
          <w:p w14:paraId="508268E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动作不协调，有多余动作，</w:t>
            </w:r>
          </w:p>
        </w:tc>
      </w:tr>
      <w:tr w:rsidR="00C32AC2" w:rsidRPr="00C32AC2" w14:paraId="029191E6" w14:textId="77777777" w:rsidTr="00375FAF">
        <w:trPr>
          <w:jc w:val="center"/>
        </w:trPr>
        <w:tc>
          <w:tcPr>
            <w:tcW w:w="1478" w:type="dxa"/>
            <w:vAlign w:val="center"/>
          </w:tcPr>
          <w:p w14:paraId="75166A1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w:t>
            </w:r>
          </w:p>
        </w:tc>
        <w:tc>
          <w:tcPr>
            <w:tcW w:w="1119" w:type="dxa"/>
            <w:vAlign w:val="center"/>
          </w:tcPr>
          <w:p w14:paraId="77F17D73"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E</w:t>
            </w:r>
          </w:p>
        </w:tc>
        <w:tc>
          <w:tcPr>
            <w:tcW w:w="1007" w:type="dxa"/>
            <w:vAlign w:val="center"/>
          </w:tcPr>
          <w:p w14:paraId="0666977F"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不及格</w:t>
            </w:r>
          </w:p>
        </w:tc>
        <w:tc>
          <w:tcPr>
            <w:tcW w:w="1188" w:type="dxa"/>
            <w:vAlign w:val="center"/>
          </w:tcPr>
          <w:p w14:paraId="28CE9A36"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60以下</w:t>
            </w:r>
          </w:p>
        </w:tc>
        <w:tc>
          <w:tcPr>
            <w:tcW w:w="3220" w:type="dxa"/>
            <w:vAlign w:val="center"/>
          </w:tcPr>
          <w:p w14:paraId="18FED081"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动作僵硬，吃力，不协调</w:t>
            </w:r>
          </w:p>
        </w:tc>
      </w:tr>
    </w:tbl>
    <w:p w14:paraId="2596DE67"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p>
    <w:p w14:paraId="27DED197"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lastRenderedPageBreak/>
        <w:t>第四学期</w:t>
      </w:r>
    </w:p>
    <w:p w14:paraId="2A1B52DE" w14:textId="77777777" w:rsidR="00C32AC2" w:rsidRPr="00C32AC2" w:rsidRDefault="00C32AC2" w:rsidP="00C32AC2">
      <w:pPr>
        <w:adjustRightInd w:val="0"/>
        <w:snapToGrid w:val="0"/>
        <w:spacing w:line="500" w:lineRule="exact"/>
        <w:jc w:val="center"/>
        <w:rPr>
          <w:rFonts w:ascii="宋体" w:eastAsia="宋体" w:hAnsi="Calibri" w:cs="Times New Roman"/>
          <w:b/>
          <w:kern w:val="0"/>
          <w:sz w:val="24"/>
        </w:rPr>
      </w:pPr>
      <w:r w:rsidRPr="00C32AC2">
        <w:rPr>
          <w:rFonts w:ascii="宋体" w:eastAsia="宋体" w:hAnsi="Calibri" w:cs="Times New Roman" w:hint="eastAsia"/>
          <w:b/>
          <w:kern w:val="0"/>
          <w:sz w:val="24"/>
        </w:rPr>
        <w:t>期中考试</w:t>
      </w:r>
    </w:p>
    <w:p w14:paraId="7546CD49"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1.课程考核目标:</w:t>
      </w:r>
      <w:r w:rsidRPr="00C32AC2">
        <w:rPr>
          <w:rFonts w:ascii="宋体" w:eastAsia="宋体" w:hAnsi="Calibri" w:cs="Times New Roman" w:hint="eastAsia"/>
          <w:bCs/>
          <w:kern w:val="0"/>
          <w:sz w:val="24"/>
        </w:rPr>
        <w:t>通过考核检验足球技术教学效果和学生掌握情况，让学生了解选项课内容和科学体育锻炼方式方法。</w:t>
      </w:r>
    </w:p>
    <w:p w14:paraId="383E6407"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2.课程考核的内容：</w:t>
      </w:r>
      <w:r w:rsidRPr="00C32AC2">
        <w:rPr>
          <w:rFonts w:ascii="宋体" w:eastAsia="宋体" w:hAnsi="Calibri" w:cs="Times New Roman" w:hint="eastAsia"/>
          <w:bCs/>
          <w:kern w:val="0"/>
          <w:sz w:val="24"/>
        </w:rPr>
        <w:t>足球定点射门</w:t>
      </w:r>
    </w:p>
    <w:p w14:paraId="4C9039C8"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3.课程考核方式：</w:t>
      </w:r>
      <w:r w:rsidRPr="00C32AC2">
        <w:rPr>
          <w:rFonts w:ascii="宋体" w:eastAsia="宋体" w:hAnsi="Calibri" w:cs="Times New Roman" w:hint="eastAsia"/>
          <w:bCs/>
          <w:kern w:val="0"/>
          <w:sz w:val="24"/>
        </w:rPr>
        <w:t>足球场地结合球门进行两轮次测试，取最好成绩。</w:t>
      </w:r>
    </w:p>
    <w:p w14:paraId="5405944F"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4.成绩构成及分值：</w:t>
      </w:r>
      <w:r w:rsidRPr="00C32AC2">
        <w:rPr>
          <w:rFonts w:ascii="宋体" w:eastAsia="宋体" w:hAnsi="Calibri" w:cs="Times New Roman" w:hint="eastAsia"/>
          <w:bCs/>
          <w:kern w:val="0"/>
          <w:sz w:val="24"/>
        </w:rPr>
        <w:t>数量及技术评定分值各为100分，各占总分值的20%，总分值为100分。进6球为及格，10球为满分100分；分值100分。</w:t>
      </w:r>
    </w:p>
    <w:p w14:paraId="75176EB1"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
          <w:kern w:val="0"/>
          <w:sz w:val="24"/>
        </w:rPr>
      </w:pPr>
      <w:r w:rsidRPr="00C32AC2">
        <w:rPr>
          <w:rFonts w:ascii="宋体" w:eastAsia="宋体" w:hAnsi="Calibri" w:cs="Times New Roman" w:hint="eastAsia"/>
          <w:b/>
          <w:kern w:val="0"/>
          <w:sz w:val="24"/>
        </w:rPr>
        <w:t>5.评分记分原则：</w:t>
      </w:r>
    </w:p>
    <w:p w14:paraId="1EFE6DE5" w14:textId="77777777" w:rsidR="00C32AC2" w:rsidRPr="00C32AC2" w:rsidRDefault="00C32AC2" w:rsidP="00C32AC2">
      <w:pPr>
        <w:adjustRightInd w:val="0"/>
        <w:snapToGrid w:val="0"/>
        <w:spacing w:line="500" w:lineRule="exact"/>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C32AC2" w:rsidRPr="00C32AC2" w14:paraId="20530C9E" w14:textId="77777777" w:rsidTr="00375FAF">
        <w:trPr>
          <w:jc w:val="center"/>
        </w:trPr>
        <w:tc>
          <w:tcPr>
            <w:tcW w:w="970" w:type="dxa"/>
          </w:tcPr>
          <w:p w14:paraId="21CAABC1"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技术分</w:t>
            </w:r>
          </w:p>
        </w:tc>
        <w:tc>
          <w:tcPr>
            <w:tcW w:w="1183" w:type="dxa"/>
          </w:tcPr>
          <w:p w14:paraId="772BE27A"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五级制</w:t>
            </w:r>
          </w:p>
        </w:tc>
        <w:tc>
          <w:tcPr>
            <w:tcW w:w="1341" w:type="dxa"/>
          </w:tcPr>
          <w:p w14:paraId="699C5A94"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分值范围</w:t>
            </w:r>
          </w:p>
        </w:tc>
        <w:tc>
          <w:tcPr>
            <w:tcW w:w="3039" w:type="dxa"/>
          </w:tcPr>
          <w:p w14:paraId="2E4BCE23"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备注</w:t>
            </w:r>
          </w:p>
        </w:tc>
        <w:tc>
          <w:tcPr>
            <w:tcW w:w="1403" w:type="dxa"/>
          </w:tcPr>
          <w:p w14:paraId="2D2FDD8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数目</w:t>
            </w:r>
          </w:p>
        </w:tc>
      </w:tr>
      <w:tr w:rsidR="00C32AC2" w:rsidRPr="00C32AC2" w14:paraId="4F963B82" w14:textId="77777777" w:rsidTr="00375FAF">
        <w:trPr>
          <w:jc w:val="center"/>
        </w:trPr>
        <w:tc>
          <w:tcPr>
            <w:tcW w:w="970" w:type="dxa"/>
          </w:tcPr>
          <w:p w14:paraId="2D17CB3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A</w:t>
            </w:r>
          </w:p>
        </w:tc>
        <w:tc>
          <w:tcPr>
            <w:tcW w:w="1183" w:type="dxa"/>
          </w:tcPr>
          <w:p w14:paraId="04DAB659"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优</w:t>
            </w:r>
          </w:p>
        </w:tc>
        <w:tc>
          <w:tcPr>
            <w:tcW w:w="1341" w:type="dxa"/>
          </w:tcPr>
          <w:p w14:paraId="559239DD"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90—95</w:t>
            </w:r>
          </w:p>
        </w:tc>
        <w:tc>
          <w:tcPr>
            <w:tcW w:w="3039" w:type="dxa"/>
          </w:tcPr>
          <w:p w14:paraId="65C2C2B4"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姿势正确，动作优美、协调，</w:t>
            </w:r>
          </w:p>
        </w:tc>
        <w:tc>
          <w:tcPr>
            <w:tcW w:w="1403" w:type="dxa"/>
          </w:tcPr>
          <w:p w14:paraId="7BB4510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10</w:t>
            </w:r>
          </w:p>
        </w:tc>
      </w:tr>
      <w:tr w:rsidR="00C32AC2" w:rsidRPr="00C32AC2" w14:paraId="70956E3A" w14:textId="77777777" w:rsidTr="00375FAF">
        <w:trPr>
          <w:jc w:val="center"/>
        </w:trPr>
        <w:tc>
          <w:tcPr>
            <w:tcW w:w="970" w:type="dxa"/>
          </w:tcPr>
          <w:p w14:paraId="5175D7B2"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B</w:t>
            </w:r>
          </w:p>
        </w:tc>
        <w:tc>
          <w:tcPr>
            <w:tcW w:w="1183" w:type="dxa"/>
          </w:tcPr>
          <w:p w14:paraId="30E0AFF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良好</w:t>
            </w:r>
          </w:p>
        </w:tc>
        <w:tc>
          <w:tcPr>
            <w:tcW w:w="1341" w:type="dxa"/>
          </w:tcPr>
          <w:p w14:paraId="36CB6A93"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80—89</w:t>
            </w:r>
          </w:p>
        </w:tc>
        <w:tc>
          <w:tcPr>
            <w:tcW w:w="3039" w:type="dxa"/>
          </w:tcPr>
          <w:p w14:paraId="34C46D0F"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姿势较正确，动作自然，</w:t>
            </w:r>
          </w:p>
        </w:tc>
        <w:tc>
          <w:tcPr>
            <w:tcW w:w="1403" w:type="dxa"/>
          </w:tcPr>
          <w:p w14:paraId="6E98A24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9</w:t>
            </w:r>
          </w:p>
        </w:tc>
      </w:tr>
      <w:tr w:rsidR="00C32AC2" w:rsidRPr="00C32AC2" w14:paraId="2E8EC115" w14:textId="77777777" w:rsidTr="00375FAF">
        <w:trPr>
          <w:jc w:val="center"/>
        </w:trPr>
        <w:tc>
          <w:tcPr>
            <w:tcW w:w="970" w:type="dxa"/>
          </w:tcPr>
          <w:p w14:paraId="2FB2A66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C</w:t>
            </w:r>
          </w:p>
        </w:tc>
        <w:tc>
          <w:tcPr>
            <w:tcW w:w="1183" w:type="dxa"/>
          </w:tcPr>
          <w:p w14:paraId="73A57BBA"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良</w:t>
            </w:r>
          </w:p>
        </w:tc>
        <w:tc>
          <w:tcPr>
            <w:tcW w:w="1341" w:type="dxa"/>
          </w:tcPr>
          <w:p w14:paraId="2E887A05"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70—79</w:t>
            </w:r>
          </w:p>
        </w:tc>
        <w:tc>
          <w:tcPr>
            <w:tcW w:w="3039" w:type="dxa"/>
          </w:tcPr>
          <w:p w14:paraId="44BDD793"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姿势一般，动作基本正确，</w:t>
            </w:r>
          </w:p>
        </w:tc>
        <w:tc>
          <w:tcPr>
            <w:tcW w:w="1403" w:type="dxa"/>
          </w:tcPr>
          <w:p w14:paraId="4204005D"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8</w:t>
            </w:r>
          </w:p>
        </w:tc>
      </w:tr>
      <w:tr w:rsidR="00C32AC2" w:rsidRPr="00C32AC2" w14:paraId="2C792744" w14:textId="77777777" w:rsidTr="00375FAF">
        <w:trPr>
          <w:jc w:val="center"/>
        </w:trPr>
        <w:tc>
          <w:tcPr>
            <w:tcW w:w="970" w:type="dxa"/>
          </w:tcPr>
          <w:p w14:paraId="35921F8A"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D</w:t>
            </w:r>
          </w:p>
        </w:tc>
        <w:tc>
          <w:tcPr>
            <w:tcW w:w="1183" w:type="dxa"/>
          </w:tcPr>
          <w:p w14:paraId="41D0D3F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及格</w:t>
            </w:r>
          </w:p>
        </w:tc>
        <w:tc>
          <w:tcPr>
            <w:tcW w:w="1341" w:type="dxa"/>
          </w:tcPr>
          <w:p w14:paraId="0360749D"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60—69</w:t>
            </w:r>
          </w:p>
        </w:tc>
        <w:tc>
          <w:tcPr>
            <w:tcW w:w="3039" w:type="dxa"/>
          </w:tcPr>
          <w:p w14:paraId="26666242"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动作不协调，有多余动作，</w:t>
            </w:r>
          </w:p>
        </w:tc>
        <w:tc>
          <w:tcPr>
            <w:tcW w:w="1403" w:type="dxa"/>
          </w:tcPr>
          <w:p w14:paraId="40D452C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7</w:t>
            </w:r>
          </w:p>
        </w:tc>
      </w:tr>
      <w:tr w:rsidR="00C32AC2" w:rsidRPr="00C32AC2" w14:paraId="6EDA9EB3" w14:textId="77777777" w:rsidTr="00375FAF">
        <w:trPr>
          <w:jc w:val="center"/>
        </w:trPr>
        <w:tc>
          <w:tcPr>
            <w:tcW w:w="970" w:type="dxa"/>
          </w:tcPr>
          <w:p w14:paraId="3EE4164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E</w:t>
            </w:r>
          </w:p>
        </w:tc>
        <w:tc>
          <w:tcPr>
            <w:tcW w:w="1183" w:type="dxa"/>
          </w:tcPr>
          <w:p w14:paraId="4F383D19"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不及格</w:t>
            </w:r>
          </w:p>
        </w:tc>
        <w:tc>
          <w:tcPr>
            <w:tcW w:w="1341" w:type="dxa"/>
          </w:tcPr>
          <w:p w14:paraId="3B8CB99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60以下</w:t>
            </w:r>
          </w:p>
        </w:tc>
        <w:tc>
          <w:tcPr>
            <w:tcW w:w="3039" w:type="dxa"/>
          </w:tcPr>
          <w:p w14:paraId="20B93AC3"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动作僵硬，吃力，不协调</w:t>
            </w:r>
          </w:p>
        </w:tc>
        <w:tc>
          <w:tcPr>
            <w:tcW w:w="1403" w:type="dxa"/>
          </w:tcPr>
          <w:p w14:paraId="7D10214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w:t>
            </w:r>
          </w:p>
        </w:tc>
      </w:tr>
    </w:tbl>
    <w:p w14:paraId="5407327C" w14:textId="77777777" w:rsidR="00C32AC2" w:rsidRPr="00C32AC2" w:rsidRDefault="00C32AC2" w:rsidP="00C32AC2">
      <w:pPr>
        <w:adjustRightInd w:val="0"/>
        <w:snapToGrid w:val="0"/>
        <w:spacing w:line="500" w:lineRule="exact"/>
        <w:rPr>
          <w:rFonts w:ascii="宋体" w:eastAsia="宋体" w:hAnsi="Calibri" w:cs="Times New Roman"/>
          <w:bCs/>
          <w:kern w:val="0"/>
          <w:sz w:val="24"/>
        </w:rPr>
      </w:pPr>
    </w:p>
    <w:p w14:paraId="3328A9D2" w14:textId="77777777" w:rsidR="00C32AC2" w:rsidRPr="00C32AC2" w:rsidRDefault="00C32AC2" w:rsidP="00C32AC2">
      <w:pPr>
        <w:adjustRightInd w:val="0"/>
        <w:snapToGrid w:val="0"/>
        <w:spacing w:line="500" w:lineRule="exact"/>
        <w:jc w:val="center"/>
        <w:rPr>
          <w:rFonts w:ascii="宋体" w:eastAsia="宋体" w:hAnsi="Calibri" w:cs="Times New Roman"/>
          <w:b/>
          <w:kern w:val="0"/>
          <w:sz w:val="24"/>
        </w:rPr>
      </w:pPr>
      <w:r w:rsidRPr="00C32AC2">
        <w:rPr>
          <w:rFonts w:ascii="宋体" w:eastAsia="宋体" w:hAnsi="Calibri" w:cs="Times New Roman" w:hint="eastAsia"/>
          <w:b/>
          <w:kern w:val="0"/>
          <w:sz w:val="24"/>
        </w:rPr>
        <w:t>期末考试</w:t>
      </w:r>
    </w:p>
    <w:p w14:paraId="3A07B0E9"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1.课程考核目标:</w:t>
      </w:r>
      <w:r w:rsidRPr="00C32AC2">
        <w:rPr>
          <w:rFonts w:ascii="宋体" w:eastAsia="宋体" w:hAnsi="Calibri" w:cs="Times New Roman" w:hint="eastAsia"/>
          <w:bCs/>
          <w:kern w:val="0"/>
          <w:sz w:val="24"/>
        </w:rPr>
        <w:t>通过考核检验足球技术教学效果和学生掌握情况，让学生了解选项课内容和科学体育锻炼方式方法。</w:t>
      </w:r>
    </w:p>
    <w:p w14:paraId="541AA965"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2.课程考核的内容：</w:t>
      </w:r>
      <w:r w:rsidRPr="00C32AC2">
        <w:rPr>
          <w:rFonts w:ascii="宋体" w:eastAsia="宋体" w:hAnsi="Calibri" w:cs="Times New Roman" w:hint="eastAsia"/>
          <w:bCs/>
          <w:kern w:val="0"/>
          <w:sz w:val="24"/>
        </w:rPr>
        <w:t>足球运球过杆射门</w:t>
      </w:r>
    </w:p>
    <w:p w14:paraId="1DE15DDD"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Cs/>
          <w:kern w:val="0"/>
          <w:sz w:val="24"/>
        </w:rPr>
      </w:pPr>
      <w:r w:rsidRPr="00C32AC2">
        <w:rPr>
          <w:rFonts w:ascii="宋体" w:eastAsia="宋体" w:hAnsi="Calibri" w:cs="Times New Roman" w:hint="eastAsia"/>
          <w:b/>
          <w:kern w:val="0"/>
          <w:sz w:val="24"/>
        </w:rPr>
        <w:t>3.课程考核方式：</w:t>
      </w:r>
      <w:r w:rsidRPr="00C32AC2">
        <w:rPr>
          <w:rFonts w:ascii="宋体" w:eastAsia="宋体" w:hAnsi="Calibri" w:cs="Times New Roman" w:hint="eastAsia"/>
          <w:bCs/>
          <w:kern w:val="0"/>
          <w:sz w:val="24"/>
        </w:rPr>
        <w:t>起点与四根杆之间，均间隔2、5米，运球至罚球区线外射门。每人三次机会，取最好一次成绩。绕杆过程中不得错杆、漏杆。</w:t>
      </w:r>
    </w:p>
    <w:p w14:paraId="69DA966A" w14:textId="77777777" w:rsidR="00C32AC2" w:rsidRPr="00C32AC2" w:rsidRDefault="00C32AC2" w:rsidP="00C32AC2">
      <w:pPr>
        <w:spacing w:line="360" w:lineRule="auto"/>
        <w:ind w:firstLineChars="196" w:firstLine="472"/>
        <w:rPr>
          <w:rFonts w:ascii="Arial" w:eastAsia="宋体" w:hAnsi="Calibri" w:cs="Arial"/>
          <w:sz w:val="24"/>
        </w:rPr>
      </w:pPr>
      <w:r w:rsidRPr="00C32AC2">
        <w:rPr>
          <w:rFonts w:ascii="Arial" w:eastAsia="宋体" w:hAnsi="Calibri" w:cs="Arial" w:hint="eastAsia"/>
          <w:b/>
          <w:sz w:val="24"/>
        </w:rPr>
        <w:t>4.</w:t>
      </w:r>
      <w:r w:rsidRPr="00C32AC2">
        <w:rPr>
          <w:rFonts w:ascii="Arial" w:eastAsia="宋体" w:hAnsi="Calibri" w:cs="Arial" w:hint="eastAsia"/>
          <w:b/>
          <w:sz w:val="24"/>
        </w:rPr>
        <w:t>成绩构成及分值：</w:t>
      </w:r>
      <w:r w:rsidRPr="00C32AC2">
        <w:rPr>
          <w:rFonts w:ascii="Arial" w:eastAsia="宋体" w:hAnsi="Calibri" w:cs="Arial" w:hint="eastAsia"/>
          <w:sz w:val="24"/>
        </w:rPr>
        <w:t>秒数及技术评定分值各为</w:t>
      </w:r>
      <w:r w:rsidRPr="00C32AC2">
        <w:rPr>
          <w:rFonts w:ascii="Arial" w:eastAsia="宋体" w:hAnsi="Calibri" w:cs="Arial" w:hint="eastAsia"/>
          <w:sz w:val="24"/>
        </w:rPr>
        <w:t>100</w:t>
      </w:r>
      <w:r w:rsidRPr="00C32AC2">
        <w:rPr>
          <w:rFonts w:ascii="Arial" w:eastAsia="宋体" w:hAnsi="Calibri" w:cs="Arial" w:hint="eastAsia"/>
          <w:sz w:val="24"/>
        </w:rPr>
        <w:t>分，各占总分值的</w:t>
      </w:r>
      <w:r w:rsidRPr="00C32AC2">
        <w:rPr>
          <w:rFonts w:ascii="Arial" w:eastAsia="宋体" w:hAnsi="Calibri" w:cs="Arial" w:hint="eastAsia"/>
          <w:sz w:val="24"/>
        </w:rPr>
        <w:t>50%</w:t>
      </w:r>
      <w:r w:rsidRPr="00C32AC2">
        <w:rPr>
          <w:rFonts w:ascii="Arial" w:eastAsia="宋体" w:hAnsi="Calibri" w:cs="Arial" w:hint="eastAsia"/>
          <w:sz w:val="24"/>
        </w:rPr>
        <w:t>，总</w:t>
      </w:r>
      <w:r w:rsidRPr="00C32AC2">
        <w:rPr>
          <w:rFonts w:ascii="Arial" w:eastAsia="宋体" w:hAnsi="Calibri" w:cs="Arial" w:hint="eastAsia"/>
          <w:sz w:val="24"/>
        </w:rPr>
        <w:lastRenderedPageBreak/>
        <w:t>分值为</w:t>
      </w:r>
      <w:r w:rsidRPr="00C32AC2">
        <w:rPr>
          <w:rFonts w:ascii="Arial" w:eastAsia="宋体" w:hAnsi="Calibri" w:cs="Arial" w:hint="eastAsia"/>
          <w:sz w:val="24"/>
        </w:rPr>
        <w:t>100</w:t>
      </w:r>
      <w:r w:rsidRPr="00C32AC2">
        <w:rPr>
          <w:rFonts w:ascii="Arial" w:eastAsia="宋体" w:hAnsi="Calibri" w:cs="Arial" w:hint="eastAsia"/>
          <w:sz w:val="24"/>
        </w:rPr>
        <w:t>分。</w:t>
      </w:r>
    </w:p>
    <w:p w14:paraId="01C94404"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b/>
          <w:kern w:val="0"/>
          <w:sz w:val="24"/>
        </w:rPr>
      </w:pPr>
      <w:r w:rsidRPr="00C32AC2">
        <w:rPr>
          <w:rFonts w:ascii="宋体" w:eastAsia="宋体" w:hAnsi="Calibri" w:cs="Times New Roman" w:hint="eastAsia"/>
          <w:b/>
          <w:kern w:val="0"/>
          <w:sz w:val="24"/>
        </w:rPr>
        <w:t>5.评分记分原则：</w:t>
      </w:r>
    </w:p>
    <w:p w14:paraId="21430953"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r w:rsidRPr="00C32AC2">
        <w:rPr>
          <w:rFonts w:ascii="宋体" w:eastAsia="宋体" w:hAnsi="Calibri" w:cs="Times New Roman" w:hint="eastAsia"/>
          <w:bCs/>
          <w:kern w:val="0"/>
          <w:sz w:val="24"/>
        </w:rPr>
        <w:t xml:space="preserve"> </w:t>
      </w:r>
    </w:p>
    <w:p w14:paraId="23C96DA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noProof/>
          <w:kern w:val="0"/>
          <w:sz w:val="24"/>
        </w:rPr>
        <mc:AlternateContent>
          <mc:Choice Requires="wps">
            <w:drawing>
              <wp:anchor distT="0" distB="0" distL="114300" distR="114300" simplePos="0" relativeHeight="251671552" behindDoc="0" locked="0" layoutInCell="1" allowOverlap="1" wp14:anchorId="7C5B8FBE" wp14:editId="5FA673CB">
                <wp:simplePos x="0" y="0"/>
                <wp:positionH relativeFrom="column">
                  <wp:posOffset>1028700</wp:posOffset>
                </wp:positionH>
                <wp:positionV relativeFrom="paragraph">
                  <wp:posOffset>99060</wp:posOffset>
                </wp:positionV>
                <wp:extent cx="2286000" cy="495300"/>
                <wp:effectExtent l="5080" t="4445" r="13970" b="14605"/>
                <wp:wrapSquare wrapText="bothSides"/>
                <wp:docPr id="42" name="矩形 42"/>
                <wp:cNvGraphicFramePr/>
                <a:graphic xmlns:a="http://schemas.openxmlformats.org/drawingml/2006/main">
                  <a:graphicData uri="http://schemas.microsoft.com/office/word/2010/wordprocessingShape">
                    <wps:wsp>
                      <wps:cNvSpPr/>
                      <wps:spPr>
                        <a:xfrm>
                          <a:off x="0" y="0"/>
                          <a:ext cx="2286000" cy="49530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DA55798" w14:textId="77777777" w:rsidR="00095B84" w:rsidRDefault="00095B84" w:rsidP="00C32AC2"/>
                        </w:txbxContent>
                      </wps:txbx>
                      <wps:bodyPr upright="1"/>
                    </wps:wsp>
                  </a:graphicData>
                </a:graphic>
              </wp:anchor>
            </w:drawing>
          </mc:Choice>
          <mc:Fallback>
            <w:pict>
              <v:rect w14:anchorId="7C5B8FBE" id="矩形 42" o:spid="_x0000_s1030" style="position:absolute;left:0;text-align:left;margin-left:81pt;margin-top:7.8pt;width:180pt;height:39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">
                <v:textbox>
                  <w:txbxContent>
                    <w:p w14:paraId="6DA55798" w14:textId="77777777" w:rsidR="00095B84" w:rsidRDefault="00095B84" w:rsidP="00C32AC2"/>
                  </w:txbxContent>
                </v:textbox>
                <w10:wrap type="square"/>
              </v:rect>
            </w:pict>
          </mc:Fallback>
        </mc:AlternateContent>
      </w:r>
    </w:p>
    <w:p w14:paraId="01806881"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noProof/>
          <w:kern w:val="0"/>
          <w:sz w:val="24"/>
        </w:rPr>
        <mc:AlternateContent>
          <mc:Choice Requires="wps">
            <w:drawing>
              <wp:anchor distT="0" distB="0" distL="114300" distR="114300" simplePos="0" relativeHeight="251673600" behindDoc="0" locked="0" layoutInCell="1" allowOverlap="1" wp14:anchorId="0FB511AF" wp14:editId="30741F5F">
                <wp:simplePos x="0" y="0"/>
                <wp:positionH relativeFrom="column">
                  <wp:posOffset>2057400</wp:posOffset>
                </wp:positionH>
                <wp:positionV relativeFrom="paragraph">
                  <wp:posOffset>99060</wp:posOffset>
                </wp:positionV>
                <wp:extent cx="228600" cy="594360"/>
                <wp:effectExtent l="8255" t="0" r="10795" b="15240"/>
                <wp:wrapSquare wrapText="bothSides"/>
                <wp:docPr id="46" name="直接连接符 46"/>
                <wp:cNvGraphicFramePr/>
                <a:graphic xmlns:a="http://schemas.openxmlformats.org/drawingml/2006/main">
                  <a:graphicData uri="http://schemas.microsoft.com/office/word/2010/wordprocessingShape">
                    <wps:wsp>
                      <wps:cNvCnPr/>
                      <wps:spPr>
                        <a:xfrm flipH="1" flipV="1">
                          <a:off x="0" y="0"/>
                          <a:ext cx="228600" cy="59436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w14:anchorId="322A8CB9" id="直接连接符 46" o:spid="_x0000_s1026" style="position:absolute;flip:x y;z-index:251673600;visibility:visible;mso-wrap-style:square;mso-wrap-distance-left:9pt;mso-wrap-distance-top:0;mso-wrap-distance-right:9pt;mso-wrap-distance-bottom:0;mso-position-horizontal:absolute;mso-position-horizontal-relative:text;mso-position-vertical:absolute;mso-position-vertical-relative:text" from="162pt,7.8pt" to="180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">
                <v:stroke endarrow="block"/>
                <w10:wrap type="square"/>
              </v:line>
            </w:pict>
          </mc:Fallback>
        </mc:AlternateContent>
      </w:r>
    </w:p>
    <w:p w14:paraId="3635BF42"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noProof/>
          <w:kern w:val="0"/>
          <w:sz w:val="24"/>
        </w:rPr>
        <mc:AlternateContent>
          <mc:Choice Requires="wps">
            <w:drawing>
              <wp:anchor distT="0" distB="0" distL="114300" distR="114300" simplePos="0" relativeHeight="251660288" behindDoc="1" locked="0" layoutInCell="1" allowOverlap="1" wp14:anchorId="71E44D36" wp14:editId="5E72F851">
                <wp:simplePos x="0" y="0"/>
                <wp:positionH relativeFrom="column">
                  <wp:posOffset>1804670</wp:posOffset>
                </wp:positionH>
                <wp:positionV relativeFrom="paragraph">
                  <wp:posOffset>231140</wp:posOffset>
                </wp:positionV>
                <wp:extent cx="590550" cy="1485900"/>
                <wp:effectExtent l="0" t="1905" r="0" b="17145"/>
                <wp:wrapNone/>
                <wp:docPr id="33" name="任意多边形 33"/>
                <wp:cNvGraphicFramePr/>
                <a:graphic xmlns:a="http://schemas.openxmlformats.org/drawingml/2006/main">
                  <a:graphicData uri="http://schemas.microsoft.com/office/word/2010/wordprocessingShape">
                    <wps:wsp>
                      <wps:cNvSpPr/>
                      <wps:spPr>
                        <a:xfrm>
                          <a:off x="0" y="0"/>
                          <a:ext cx="590550" cy="1485900"/>
                        </a:xfrm>
                        <a:custGeom>
                          <a:avLst/>
                          <a:gdLst/>
                          <a:ahLst/>
                          <a:cxnLst/>
                          <a:rect l="0" t="0" r="0" b="0"/>
                          <a:pathLst>
                            <a:path w="810" h="2340">
                              <a:moveTo>
                                <a:pt x="570" y="2340"/>
                              </a:moveTo>
                              <a:cubicBezTo>
                                <a:pt x="285" y="2184"/>
                                <a:pt x="0" y="2028"/>
                                <a:pt x="30" y="1872"/>
                              </a:cubicBezTo>
                              <a:cubicBezTo>
                                <a:pt x="60" y="1716"/>
                                <a:pt x="720" y="1534"/>
                                <a:pt x="750" y="1404"/>
                              </a:cubicBezTo>
                              <a:cubicBezTo>
                                <a:pt x="780" y="1274"/>
                                <a:pt x="210" y="1222"/>
                                <a:pt x="210" y="1092"/>
                              </a:cubicBezTo>
                              <a:cubicBezTo>
                                <a:pt x="210" y="962"/>
                                <a:pt x="690" y="806"/>
                                <a:pt x="750" y="624"/>
                              </a:cubicBezTo>
                              <a:cubicBezTo>
                                <a:pt x="810" y="442"/>
                                <a:pt x="600" y="104"/>
                                <a:pt x="570" y="0"/>
                              </a:cubicBezTo>
                            </a:path>
                          </a:pathLst>
                        </a:custGeom>
                        <a:noFill/>
                        <a:ln w="9525" cap="flat" cmpd="sng">
                          <a:solidFill>
                            <a:srgbClr val="000000"/>
                          </a:solidFill>
                          <a:prstDash val="solid"/>
                          <a:headEnd type="none" w="med" len="med"/>
                          <a:tailEnd type="none" w="med" len="med"/>
                        </a:ln>
                        <a:effectLst/>
                      </wps:spPr>
                      <wps:bodyPr upright="1"/>
                    </wps:wsp>
                  </a:graphicData>
                </a:graphic>
              </wp:anchor>
            </w:drawing>
          </mc:Choice>
          <mc:Fallback>
            <w:pict>
              <v:shape w14:anchorId="12A7D0A5" id="任意多边形 33" o:spid="_x0000_s1026" style="position:absolute;margin-left:142.1pt;margin-top:18.2pt;width:46.5pt;height:117pt;z-index:-251656192;visibility:visible;mso-wrap-style:square;mso-wrap-distance-left:9pt;mso-wrap-distance-top:0;mso-wrap-distance-right:9pt;mso-wrap-distance-bottom:0;mso-position-horizontal:absolute;mso-position-horizontal-relative:text;mso-position-vertical:absolute;mso-position-vertical-relative:text;v-text-anchor:top" coordsize="810,2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" path="m570,2340c285,2184,,2028,30,1872,60,1716,720,1534,750,1404,780,1274,210,1222,210,1092,210,962,690,806,750,624,810,442,600,104,570,e" filled="f">
                <v:path arrowok="t" textboxrect="0,0,810,2340"/>
              </v:shape>
            </w:pict>
          </mc:Fallback>
        </mc:AlternateContent>
      </w:r>
      <w:r w:rsidRPr="00C32AC2">
        <w:rPr>
          <w:rFonts w:ascii="宋体" w:eastAsia="宋体" w:hAnsi="Calibri" w:cs="Times New Roman" w:hint="eastAsia"/>
          <w:bCs/>
          <w:noProof/>
          <w:kern w:val="0"/>
          <w:sz w:val="24"/>
        </w:rPr>
        <mc:AlternateContent>
          <mc:Choice Requires="wps">
            <w:drawing>
              <wp:anchor distT="0" distB="0" distL="114300" distR="114300" simplePos="0" relativeHeight="251670528" behindDoc="0" locked="0" layoutInCell="1" allowOverlap="1" wp14:anchorId="7BAD243F" wp14:editId="3C548983">
                <wp:simplePos x="0" y="0"/>
                <wp:positionH relativeFrom="column">
                  <wp:posOffset>1943100</wp:posOffset>
                </wp:positionH>
                <wp:positionV relativeFrom="paragraph">
                  <wp:posOffset>91440</wp:posOffset>
                </wp:positionV>
                <wp:extent cx="685800" cy="396240"/>
                <wp:effectExtent l="4445" t="4445" r="14605" b="18415"/>
                <wp:wrapSquare wrapText="bothSides"/>
                <wp:docPr id="44" name="椭圆 44"/>
                <wp:cNvGraphicFramePr/>
                <a:graphic xmlns:a="http://schemas.openxmlformats.org/drawingml/2006/main">
                  <a:graphicData uri="http://schemas.microsoft.com/office/word/2010/wordprocessingShape">
                    <wps:wsp>
                      <wps:cNvSpPr/>
                      <wps:spPr>
                        <a:xfrm>
                          <a:off x="0" y="0"/>
                          <a:ext cx="685800" cy="396240"/>
                        </a:xfrm>
                        <a:prstGeom prst="ellipse">
                          <a:avLst/>
                        </a:prstGeom>
                        <a:solidFill>
                          <a:srgbClr val="FFFFFF"/>
                        </a:solidFill>
                        <a:ln w="9525" cap="flat" cmpd="sng">
                          <a:solidFill>
                            <a:srgbClr val="000000"/>
                          </a:solidFill>
                          <a:prstDash val="solid"/>
                          <a:headEnd type="none" w="med" len="med"/>
                          <a:tailEnd type="none" w="med" len="med"/>
                        </a:ln>
                        <a:effectLst/>
                      </wps:spPr>
                      <wps:txbx>
                        <w:txbxContent>
                          <w:p w14:paraId="541504A0" w14:textId="77777777" w:rsidR="00095B84" w:rsidRDefault="00095B84" w:rsidP="00C32AC2"/>
                        </w:txbxContent>
                      </wps:txbx>
                      <wps:bodyPr upright="1"/>
                    </wps:wsp>
                  </a:graphicData>
                </a:graphic>
              </wp:anchor>
            </w:drawing>
          </mc:Choice>
          <mc:Fallback>
            <w:pict>
              <v:oval w14:anchorId="7BAD243F" id="椭圆 44" o:spid="_x0000_s1031" style="position:absolute;left:0;text-align:left;margin-left:153pt;margin-top:7.2pt;width:54pt;height:31.2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">
                <v:textbox>
                  <w:txbxContent>
                    <w:p w14:paraId="541504A0" w14:textId="77777777" w:rsidR="00095B84" w:rsidRDefault="00095B84" w:rsidP="00C32AC2"/>
                  </w:txbxContent>
                </v:textbox>
                <w10:wrap type="square"/>
              </v:oval>
            </w:pict>
          </mc:Fallback>
        </mc:AlternateContent>
      </w:r>
    </w:p>
    <w:p w14:paraId="46F708C4"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p>
    <w:p w14:paraId="0E181894"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p>
    <w:p w14:paraId="4D73A348"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 xml:space="preserve"> </w:t>
      </w:r>
    </w:p>
    <w:p w14:paraId="684BDFDD"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p>
    <w:p w14:paraId="41D811E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p>
    <w:p w14:paraId="1933A4F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 xml:space="preserve">                                                 </w:t>
      </w:r>
      <w:r w:rsidRPr="00C32AC2">
        <w:rPr>
          <w:rFonts w:ascii="宋体" w:eastAsia="宋体" w:hAnsi="Calibri" w:cs="Times New Roman" w:hint="eastAsia"/>
          <w:bCs/>
          <w:noProof/>
          <w:kern w:val="0"/>
          <w:sz w:val="24"/>
        </w:rPr>
        <mc:AlternateContent>
          <mc:Choice Requires="wps">
            <w:drawing>
              <wp:anchor distT="0" distB="0" distL="114300" distR="114300" simplePos="0" relativeHeight="251672576" behindDoc="0" locked="0" layoutInCell="1" allowOverlap="1" wp14:anchorId="122C2D8D" wp14:editId="43DC2E39">
                <wp:simplePos x="0" y="0"/>
                <wp:positionH relativeFrom="column">
                  <wp:posOffset>2171700</wp:posOffset>
                </wp:positionH>
                <wp:positionV relativeFrom="paragraph">
                  <wp:posOffset>99060</wp:posOffset>
                </wp:positionV>
                <wp:extent cx="0" cy="198120"/>
                <wp:effectExtent l="38100" t="0" r="38100" b="11430"/>
                <wp:wrapSquare wrapText="bothSides"/>
                <wp:docPr id="22" name="直接连接符 22"/>
                <wp:cNvGraphicFramePr/>
                <a:graphic xmlns:a="http://schemas.openxmlformats.org/drawingml/2006/main">
                  <a:graphicData uri="http://schemas.microsoft.com/office/word/2010/wordprocessingShape">
                    <wps:wsp>
                      <wps:cNvCnPr/>
                      <wps:spPr>
                        <a:xfrm flipV="1">
                          <a:off x="0" y="0"/>
                          <a:ext cx="0" cy="19812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w14:anchorId="45DC0C47" id="直接连接符 22" o:spid="_x0000_s1026" style="position:absolute;flip:y;z-index:251672576;visibility:visible;mso-wrap-style:square;mso-wrap-distance-left:9pt;mso-wrap-distance-top:0;mso-wrap-distance-right:9pt;mso-wrap-distance-bottom:0;mso-position-horizontal:absolute;mso-position-horizontal-relative:text;mso-position-vertical:absolute;mso-position-vertical-relative:text" from="171pt,7.8pt" to="171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">
                <v:stroke endarrow="block"/>
                <w10:wrap type="square"/>
              </v:line>
            </w:pict>
          </mc:Fallback>
        </mc:AlternateContent>
      </w:r>
    </w:p>
    <w:tbl>
      <w:tblPr>
        <w:tblpPr w:leftFromText="180" w:rightFromText="180" w:vertAnchor="text" w:horzAnchor="margin" w:tblpY="550"/>
        <w:tblOverlap w:val="never"/>
        <w:tblW w:w="8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C32AC2" w:rsidRPr="00C32AC2" w14:paraId="2F339617" w14:textId="77777777" w:rsidTr="00375FAF">
        <w:tc>
          <w:tcPr>
            <w:tcW w:w="1180" w:type="dxa"/>
          </w:tcPr>
          <w:p w14:paraId="6D4D17C2"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男生时间</w:t>
            </w:r>
          </w:p>
        </w:tc>
        <w:tc>
          <w:tcPr>
            <w:tcW w:w="1170" w:type="dxa"/>
          </w:tcPr>
          <w:p w14:paraId="419560DE"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女生时间</w:t>
            </w:r>
          </w:p>
        </w:tc>
        <w:tc>
          <w:tcPr>
            <w:tcW w:w="975" w:type="dxa"/>
          </w:tcPr>
          <w:p w14:paraId="1AB1F40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技术分</w:t>
            </w:r>
          </w:p>
        </w:tc>
        <w:tc>
          <w:tcPr>
            <w:tcW w:w="1140" w:type="dxa"/>
          </w:tcPr>
          <w:p w14:paraId="37EA653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五级制</w:t>
            </w:r>
          </w:p>
        </w:tc>
        <w:tc>
          <w:tcPr>
            <w:tcW w:w="1215" w:type="dxa"/>
          </w:tcPr>
          <w:p w14:paraId="3638BD54"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分值范围</w:t>
            </w:r>
          </w:p>
        </w:tc>
        <w:tc>
          <w:tcPr>
            <w:tcW w:w="3090" w:type="dxa"/>
          </w:tcPr>
          <w:p w14:paraId="39C3FFA8"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备注</w:t>
            </w:r>
          </w:p>
        </w:tc>
      </w:tr>
      <w:tr w:rsidR="00C32AC2" w:rsidRPr="00C32AC2" w14:paraId="68EE9A13" w14:textId="77777777" w:rsidTr="00375FAF">
        <w:tc>
          <w:tcPr>
            <w:tcW w:w="1180" w:type="dxa"/>
          </w:tcPr>
          <w:p w14:paraId="6911C3D3"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10秒</w:t>
            </w:r>
          </w:p>
        </w:tc>
        <w:tc>
          <w:tcPr>
            <w:tcW w:w="1170" w:type="dxa"/>
          </w:tcPr>
          <w:p w14:paraId="69925CD4"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15秒</w:t>
            </w:r>
          </w:p>
        </w:tc>
        <w:tc>
          <w:tcPr>
            <w:tcW w:w="975" w:type="dxa"/>
          </w:tcPr>
          <w:p w14:paraId="2F000F6D"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A</w:t>
            </w:r>
          </w:p>
        </w:tc>
        <w:tc>
          <w:tcPr>
            <w:tcW w:w="1140" w:type="dxa"/>
          </w:tcPr>
          <w:p w14:paraId="305C9D58"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优</w:t>
            </w:r>
          </w:p>
        </w:tc>
        <w:tc>
          <w:tcPr>
            <w:tcW w:w="1215" w:type="dxa"/>
          </w:tcPr>
          <w:p w14:paraId="6C0CFD2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90—95</w:t>
            </w:r>
          </w:p>
        </w:tc>
        <w:tc>
          <w:tcPr>
            <w:tcW w:w="3090" w:type="dxa"/>
          </w:tcPr>
          <w:p w14:paraId="4958A63F"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姿势正确，动作优美、协调，</w:t>
            </w:r>
          </w:p>
        </w:tc>
      </w:tr>
      <w:tr w:rsidR="00C32AC2" w:rsidRPr="00C32AC2" w14:paraId="04BE4349" w14:textId="77777777" w:rsidTr="00375FAF">
        <w:tc>
          <w:tcPr>
            <w:tcW w:w="1180" w:type="dxa"/>
          </w:tcPr>
          <w:p w14:paraId="2499A6E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11秒</w:t>
            </w:r>
          </w:p>
        </w:tc>
        <w:tc>
          <w:tcPr>
            <w:tcW w:w="1170" w:type="dxa"/>
          </w:tcPr>
          <w:p w14:paraId="35A53AF2"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16秒</w:t>
            </w:r>
          </w:p>
        </w:tc>
        <w:tc>
          <w:tcPr>
            <w:tcW w:w="975" w:type="dxa"/>
          </w:tcPr>
          <w:p w14:paraId="1ED32AE3"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B</w:t>
            </w:r>
          </w:p>
        </w:tc>
        <w:tc>
          <w:tcPr>
            <w:tcW w:w="1140" w:type="dxa"/>
          </w:tcPr>
          <w:p w14:paraId="2620F931"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良好</w:t>
            </w:r>
          </w:p>
        </w:tc>
        <w:tc>
          <w:tcPr>
            <w:tcW w:w="1215" w:type="dxa"/>
          </w:tcPr>
          <w:p w14:paraId="5A04A584"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80—89</w:t>
            </w:r>
          </w:p>
        </w:tc>
        <w:tc>
          <w:tcPr>
            <w:tcW w:w="3090" w:type="dxa"/>
          </w:tcPr>
          <w:p w14:paraId="7F4E953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姿势较正确，动作自然，</w:t>
            </w:r>
          </w:p>
        </w:tc>
      </w:tr>
      <w:tr w:rsidR="00C32AC2" w:rsidRPr="00C32AC2" w14:paraId="69A997EE" w14:textId="77777777" w:rsidTr="00375FAF">
        <w:tc>
          <w:tcPr>
            <w:tcW w:w="1180" w:type="dxa"/>
          </w:tcPr>
          <w:p w14:paraId="1227E9EA"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12秒</w:t>
            </w:r>
          </w:p>
        </w:tc>
        <w:tc>
          <w:tcPr>
            <w:tcW w:w="1170" w:type="dxa"/>
          </w:tcPr>
          <w:p w14:paraId="204577C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17秒</w:t>
            </w:r>
          </w:p>
        </w:tc>
        <w:tc>
          <w:tcPr>
            <w:tcW w:w="975" w:type="dxa"/>
          </w:tcPr>
          <w:p w14:paraId="24119305"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C</w:t>
            </w:r>
          </w:p>
        </w:tc>
        <w:tc>
          <w:tcPr>
            <w:tcW w:w="1140" w:type="dxa"/>
          </w:tcPr>
          <w:p w14:paraId="5141EC59"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良</w:t>
            </w:r>
          </w:p>
        </w:tc>
        <w:tc>
          <w:tcPr>
            <w:tcW w:w="1215" w:type="dxa"/>
          </w:tcPr>
          <w:p w14:paraId="691501C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70—79</w:t>
            </w:r>
          </w:p>
        </w:tc>
        <w:tc>
          <w:tcPr>
            <w:tcW w:w="3090" w:type="dxa"/>
          </w:tcPr>
          <w:p w14:paraId="65F10069"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姿势一般，动作基本正确，</w:t>
            </w:r>
          </w:p>
        </w:tc>
      </w:tr>
      <w:tr w:rsidR="00C32AC2" w:rsidRPr="00C32AC2" w14:paraId="53B9CF14" w14:textId="77777777" w:rsidTr="00375FAF">
        <w:tc>
          <w:tcPr>
            <w:tcW w:w="1180" w:type="dxa"/>
          </w:tcPr>
          <w:p w14:paraId="2A3672D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13秒</w:t>
            </w:r>
          </w:p>
        </w:tc>
        <w:tc>
          <w:tcPr>
            <w:tcW w:w="1170" w:type="dxa"/>
          </w:tcPr>
          <w:p w14:paraId="05E11CE5"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18秒</w:t>
            </w:r>
          </w:p>
        </w:tc>
        <w:tc>
          <w:tcPr>
            <w:tcW w:w="975" w:type="dxa"/>
          </w:tcPr>
          <w:p w14:paraId="281E2ECC"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D</w:t>
            </w:r>
          </w:p>
        </w:tc>
        <w:tc>
          <w:tcPr>
            <w:tcW w:w="1140" w:type="dxa"/>
          </w:tcPr>
          <w:p w14:paraId="28F6050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及格</w:t>
            </w:r>
          </w:p>
        </w:tc>
        <w:tc>
          <w:tcPr>
            <w:tcW w:w="1215" w:type="dxa"/>
          </w:tcPr>
          <w:p w14:paraId="012BAAE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60—69</w:t>
            </w:r>
          </w:p>
        </w:tc>
        <w:tc>
          <w:tcPr>
            <w:tcW w:w="3090" w:type="dxa"/>
          </w:tcPr>
          <w:p w14:paraId="0346F1E0"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动作不协调，有多余动作，</w:t>
            </w:r>
          </w:p>
        </w:tc>
      </w:tr>
      <w:tr w:rsidR="00C32AC2" w:rsidRPr="00C32AC2" w14:paraId="1A7532EA" w14:textId="77777777" w:rsidTr="00375FAF">
        <w:tc>
          <w:tcPr>
            <w:tcW w:w="1180" w:type="dxa"/>
          </w:tcPr>
          <w:p w14:paraId="1A4A1A27"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15秒</w:t>
            </w:r>
          </w:p>
        </w:tc>
        <w:tc>
          <w:tcPr>
            <w:tcW w:w="1170" w:type="dxa"/>
          </w:tcPr>
          <w:p w14:paraId="27DA1A45"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20秒</w:t>
            </w:r>
          </w:p>
        </w:tc>
        <w:tc>
          <w:tcPr>
            <w:tcW w:w="975" w:type="dxa"/>
          </w:tcPr>
          <w:p w14:paraId="752E8335"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E</w:t>
            </w:r>
          </w:p>
        </w:tc>
        <w:tc>
          <w:tcPr>
            <w:tcW w:w="1140" w:type="dxa"/>
          </w:tcPr>
          <w:p w14:paraId="146C86A9"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不及格</w:t>
            </w:r>
          </w:p>
        </w:tc>
        <w:tc>
          <w:tcPr>
            <w:tcW w:w="1215" w:type="dxa"/>
          </w:tcPr>
          <w:p w14:paraId="2276C55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60以下</w:t>
            </w:r>
          </w:p>
        </w:tc>
        <w:tc>
          <w:tcPr>
            <w:tcW w:w="3090" w:type="dxa"/>
          </w:tcPr>
          <w:p w14:paraId="417E043B" w14:textId="77777777" w:rsidR="00C32AC2" w:rsidRPr="00C32AC2" w:rsidRDefault="00C32AC2" w:rsidP="00C32AC2">
            <w:pPr>
              <w:adjustRightInd w:val="0"/>
              <w:snapToGrid w:val="0"/>
              <w:spacing w:line="500" w:lineRule="exact"/>
              <w:jc w:val="center"/>
              <w:rPr>
                <w:rFonts w:ascii="宋体" w:eastAsia="宋体" w:hAnsi="Calibri" w:cs="Times New Roman"/>
                <w:bCs/>
                <w:kern w:val="0"/>
                <w:sz w:val="24"/>
              </w:rPr>
            </w:pPr>
            <w:r w:rsidRPr="00C32AC2">
              <w:rPr>
                <w:rFonts w:ascii="宋体" w:eastAsia="宋体" w:hAnsi="Calibri" w:cs="Times New Roman" w:hint="eastAsia"/>
                <w:bCs/>
                <w:kern w:val="0"/>
                <w:sz w:val="24"/>
              </w:rPr>
              <w:t>动作僵硬，吃力，不协调</w:t>
            </w:r>
          </w:p>
        </w:tc>
      </w:tr>
    </w:tbl>
    <w:p w14:paraId="1D2EE891" w14:textId="77777777" w:rsidR="00C32AC2" w:rsidRPr="00C32AC2" w:rsidRDefault="00C32AC2" w:rsidP="00C32AC2">
      <w:pPr>
        <w:spacing w:beforeLines="50" w:before="156" w:afterLines="50" w:after="156" w:line="440" w:lineRule="exact"/>
        <w:ind w:firstLineChars="250" w:firstLine="700"/>
        <w:rPr>
          <w:rFonts w:ascii="宋体" w:eastAsia="宋体" w:hAnsi="宋体" w:cs="Times New Roman"/>
          <w:sz w:val="24"/>
        </w:rPr>
      </w:pPr>
      <w:r w:rsidRPr="00C32AC2">
        <w:rPr>
          <w:rFonts w:ascii="黑体" w:eastAsia="黑体" w:hAnsi="黑体" w:cs="Times New Roman" w:hint="eastAsia"/>
          <w:sz w:val="28"/>
          <w:szCs w:val="28"/>
        </w:rPr>
        <w:t>六、使用教材、相关推荐书目及课程资源</w:t>
      </w:r>
    </w:p>
    <w:p w14:paraId="2B9CC6F0" w14:textId="77777777" w:rsidR="00C32AC2" w:rsidRPr="00C32AC2" w:rsidRDefault="00C32AC2" w:rsidP="00C32AC2">
      <w:pPr>
        <w:spacing w:line="440" w:lineRule="exact"/>
        <w:ind w:firstLineChars="200" w:firstLine="560"/>
        <w:rPr>
          <w:rFonts w:ascii="宋体" w:eastAsia="宋体" w:hAnsi="宋体" w:cs="Times New Roman"/>
          <w:sz w:val="24"/>
        </w:rPr>
      </w:pPr>
      <w:r w:rsidRPr="00C32AC2">
        <w:rPr>
          <w:rFonts w:ascii="黑体" w:eastAsia="黑体" w:hAnsi="黑体" w:cs="Times New Roman" w:hint="eastAsia"/>
          <w:sz w:val="28"/>
          <w:szCs w:val="28"/>
        </w:rPr>
        <w:t>（一）使用教材</w:t>
      </w:r>
    </w:p>
    <w:p w14:paraId="3888AADF" w14:textId="77777777" w:rsidR="00C32AC2" w:rsidRPr="00C32AC2" w:rsidRDefault="00C32AC2" w:rsidP="00C32AC2">
      <w:pPr>
        <w:autoSpaceDE w:val="0"/>
        <w:autoSpaceDN w:val="0"/>
        <w:adjustRightInd w:val="0"/>
        <w:snapToGrid w:val="0"/>
        <w:spacing w:line="500" w:lineRule="exact"/>
        <w:ind w:firstLineChars="300" w:firstLine="720"/>
        <w:rPr>
          <w:rFonts w:ascii="宋体" w:eastAsia="宋体" w:hAnsi="宋体" w:cs="宋体"/>
          <w:kern w:val="0"/>
          <w:sz w:val="24"/>
        </w:rPr>
      </w:pPr>
      <w:r w:rsidRPr="00C32AC2">
        <w:rPr>
          <w:rFonts w:ascii="宋体" w:eastAsia="宋体" w:hAnsi="宋体" w:cs="宋体" w:hint="eastAsia"/>
          <w:kern w:val="0"/>
          <w:sz w:val="24"/>
        </w:rPr>
        <w:t>任晋军主编：《当代大学体育教程》，北京体育大学出版社，2008</w:t>
      </w:r>
    </w:p>
    <w:p w14:paraId="6E100400" w14:textId="77777777" w:rsidR="00C32AC2" w:rsidRPr="00C32AC2" w:rsidRDefault="00C32AC2" w:rsidP="00C32AC2">
      <w:pPr>
        <w:autoSpaceDE w:val="0"/>
        <w:autoSpaceDN w:val="0"/>
        <w:adjustRightInd w:val="0"/>
        <w:snapToGrid w:val="0"/>
        <w:spacing w:line="500" w:lineRule="exact"/>
        <w:ind w:firstLineChars="300" w:firstLine="750"/>
        <w:rPr>
          <w:rFonts w:ascii="宋体" w:eastAsia="宋体" w:hAnsi="宋体" w:cs="Times New Roman"/>
          <w:color w:val="FF0000"/>
          <w:sz w:val="24"/>
        </w:rPr>
      </w:pPr>
      <w:proofErr w:type="gramStart"/>
      <w:r w:rsidRPr="00C32AC2">
        <w:rPr>
          <w:rFonts w:ascii="宋体" w:eastAsia="宋体" w:hAnsi="Calibri" w:cs="宋体" w:hint="eastAsia"/>
          <w:spacing w:val="5"/>
          <w:kern w:val="0"/>
          <w:sz w:val="24"/>
        </w:rPr>
        <w:lastRenderedPageBreak/>
        <w:t>王崇喜主编</w:t>
      </w:r>
      <w:proofErr w:type="gramEnd"/>
      <w:r w:rsidRPr="00C32AC2">
        <w:rPr>
          <w:rFonts w:ascii="宋体" w:eastAsia="宋体" w:hAnsi="Calibri" w:cs="宋体" w:hint="eastAsia"/>
          <w:spacing w:val="5"/>
          <w:kern w:val="0"/>
          <w:sz w:val="24"/>
        </w:rPr>
        <w:t>：《球类运动—足球》，高等教育出版社，2001年6月</w:t>
      </w:r>
    </w:p>
    <w:p w14:paraId="77766FC7" w14:textId="77777777" w:rsidR="00C32AC2" w:rsidRPr="00C32AC2" w:rsidRDefault="00C32AC2" w:rsidP="00C32AC2">
      <w:pPr>
        <w:spacing w:line="440" w:lineRule="exact"/>
        <w:ind w:firstLineChars="200" w:firstLine="560"/>
        <w:rPr>
          <w:rFonts w:ascii="宋体" w:eastAsia="宋体" w:hAnsi="宋体" w:cs="Times New Roman"/>
          <w:sz w:val="24"/>
        </w:rPr>
      </w:pPr>
      <w:r w:rsidRPr="00C32AC2">
        <w:rPr>
          <w:rFonts w:ascii="黑体" w:eastAsia="黑体" w:hAnsi="黑体" w:cs="Times New Roman" w:hint="eastAsia"/>
          <w:sz w:val="28"/>
          <w:szCs w:val="28"/>
        </w:rPr>
        <w:t>（二）相关推荐书目</w:t>
      </w:r>
    </w:p>
    <w:p w14:paraId="15AB2832"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1</w:t>
      </w:r>
      <w:r w:rsidRPr="00C32AC2">
        <w:rPr>
          <w:rFonts w:ascii="宋体" w:eastAsia="宋体" w:hAnsi="宋体" w:cs="Times New Roman"/>
          <w:sz w:val="24"/>
        </w:rPr>
        <w:t xml:space="preserve">. </w:t>
      </w:r>
      <w:r w:rsidRPr="00C32AC2">
        <w:rPr>
          <w:rFonts w:ascii="宋体" w:eastAsia="宋体" w:hAnsi="宋体" w:cs="宋体" w:hint="eastAsia"/>
          <w:kern w:val="0"/>
          <w:sz w:val="24"/>
        </w:rPr>
        <w:t>刘建国主编：《当代大学体育与健身》，高教出版社，2008</w:t>
      </w:r>
    </w:p>
    <w:p w14:paraId="6231C63A" w14:textId="77777777" w:rsidR="00C32AC2" w:rsidRPr="00C32AC2" w:rsidRDefault="00C32AC2" w:rsidP="00C32AC2">
      <w:pPr>
        <w:autoSpaceDE w:val="0"/>
        <w:autoSpaceDN w:val="0"/>
        <w:adjustRightInd w:val="0"/>
        <w:snapToGrid w:val="0"/>
        <w:spacing w:line="500" w:lineRule="exact"/>
        <w:ind w:firstLineChars="200" w:firstLine="480"/>
        <w:rPr>
          <w:rFonts w:ascii="宋体" w:eastAsia="宋体" w:hAnsi="宋体" w:cs="Times New Roman"/>
          <w:sz w:val="24"/>
        </w:rPr>
      </w:pPr>
      <w:r w:rsidRPr="00C32AC2">
        <w:rPr>
          <w:rFonts w:ascii="宋体" w:eastAsia="宋体" w:hAnsi="宋体" w:cs="Times New Roman" w:hint="eastAsia"/>
          <w:sz w:val="24"/>
        </w:rPr>
        <w:t>2</w:t>
      </w:r>
      <w:r w:rsidRPr="00C32AC2">
        <w:rPr>
          <w:rFonts w:ascii="宋体" w:eastAsia="宋体" w:hAnsi="宋体" w:cs="Times New Roman"/>
          <w:sz w:val="24"/>
        </w:rPr>
        <w:t xml:space="preserve">. </w:t>
      </w:r>
      <w:r w:rsidRPr="00C32AC2">
        <w:rPr>
          <w:rFonts w:ascii="宋体" w:eastAsia="宋体" w:hAnsi="宋体" w:cs="宋体" w:hint="eastAsia"/>
          <w:kern w:val="0"/>
          <w:sz w:val="24"/>
        </w:rPr>
        <w:t>全国体育学院教材委员会审定：《体育与健康理论指导手册》，人民体育出版社，2014</w:t>
      </w:r>
    </w:p>
    <w:p w14:paraId="2A8E8486"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（三）课程资源</w:t>
      </w:r>
    </w:p>
    <w:p w14:paraId="387EE046" w14:textId="77777777" w:rsidR="00C32AC2" w:rsidRPr="00C32AC2" w:rsidRDefault="00C32AC2" w:rsidP="00C32AC2">
      <w:pPr>
        <w:spacing w:line="44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766E9DDD" w14:textId="77777777" w:rsidR="00C32AC2" w:rsidRPr="00C32AC2" w:rsidRDefault="00C32AC2" w:rsidP="00C32AC2">
      <w:pPr>
        <w:spacing w:line="44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2. 《国家学生体质健康标准》实施说明《国家学生体质健康标准》测试评分表。</w:t>
      </w:r>
    </w:p>
    <w:p w14:paraId="0CAB2F95"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七、课程大纲制定依据</w:t>
      </w:r>
    </w:p>
    <w:p w14:paraId="1E4D2A31"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本课程大纲依据2023年人才培养方案</w:t>
      </w:r>
      <w:r w:rsidR="00D21F0B">
        <w:rPr>
          <w:rFonts w:ascii="宋体" w:eastAsia="宋体" w:hAnsi="宋体" w:cs="Times New Roman" w:hint="eastAsia"/>
          <w:sz w:val="24"/>
        </w:rPr>
        <w:t>药物分析</w:t>
      </w:r>
      <w:r w:rsidRPr="00C32AC2">
        <w:rPr>
          <w:rFonts w:ascii="宋体" w:eastAsia="宋体" w:hAnsi="宋体" w:cs="Times New Roman" w:hint="eastAsia"/>
          <w:sz w:val="24"/>
        </w:rPr>
        <w:t>专业制定。</w:t>
      </w:r>
    </w:p>
    <w:p w14:paraId="11586315" w14:textId="77777777" w:rsidR="00C32AC2" w:rsidRPr="00C32AC2" w:rsidRDefault="00C32AC2" w:rsidP="00C32AC2">
      <w:pPr>
        <w:spacing w:beforeLines="50" w:before="156" w:afterLines="50" w:after="156" w:line="440" w:lineRule="exact"/>
        <w:rPr>
          <w:rFonts w:ascii="黑体" w:eastAsia="黑体" w:hAnsi="黑体" w:cs="Times New Roman"/>
          <w:sz w:val="28"/>
          <w:szCs w:val="28"/>
        </w:rPr>
      </w:pPr>
    </w:p>
    <w:p w14:paraId="06DDE8D6" w14:textId="77777777" w:rsidR="00C32AC2" w:rsidRPr="00C32AC2" w:rsidRDefault="00C32AC2" w:rsidP="00C32AC2">
      <w:pPr>
        <w:rPr>
          <w:rFonts w:ascii="仿宋_GB2312" w:eastAsia="仿宋_GB2312" w:hAnsi="仿宋" w:cs="Times New Roman"/>
          <w:sz w:val="32"/>
          <w:szCs w:val="32"/>
        </w:rPr>
      </w:pPr>
    </w:p>
    <w:p w14:paraId="0A3A02CE" w14:textId="77777777" w:rsidR="00C32AC2" w:rsidRPr="00C32AC2" w:rsidRDefault="00C32AC2" w:rsidP="00C32AC2">
      <w:pPr>
        <w:rPr>
          <w:rFonts w:ascii="仿宋_GB2312" w:eastAsia="仿宋_GB2312" w:hAnsi="仿宋" w:cs="Times New Roman"/>
          <w:sz w:val="32"/>
          <w:szCs w:val="32"/>
        </w:rPr>
      </w:pPr>
    </w:p>
    <w:p w14:paraId="6E8A60FD" w14:textId="77777777" w:rsidR="00C32AC2" w:rsidRPr="00C32AC2" w:rsidRDefault="00C32AC2" w:rsidP="00C32AC2">
      <w:pPr>
        <w:rPr>
          <w:rFonts w:ascii="仿宋_GB2312" w:eastAsia="仿宋_GB2312" w:hAnsi="仿宋" w:cs="Times New Roman"/>
          <w:sz w:val="32"/>
          <w:szCs w:val="32"/>
        </w:rPr>
      </w:pPr>
    </w:p>
    <w:p w14:paraId="4DB7C70A" w14:textId="77777777" w:rsidR="00C32AC2" w:rsidRPr="00C32AC2" w:rsidRDefault="00C32AC2" w:rsidP="00C32AC2">
      <w:pPr>
        <w:rPr>
          <w:rFonts w:ascii="宋体" w:eastAsia="宋体" w:hAnsi="宋体" w:cs="Times New Roman"/>
          <w:b/>
          <w:sz w:val="28"/>
          <w:szCs w:val="28"/>
        </w:rPr>
      </w:pPr>
    </w:p>
    <w:p w14:paraId="1E5BB1A9" w14:textId="77777777" w:rsidR="00C32AC2" w:rsidRPr="00C32AC2" w:rsidRDefault="00C45876" w:rsidP="00C32AC2">
      <w:pPr>
        <w:ind w:firstLineChars="300" w:firstLine="960"/>
        <w:rPr>
          <w:rFonts w:ascii="宋体" w:eastAsia="宋体" w:hAnsi="Calibri" w:cs="宋体"/>
          <w:spacing w:val="5"/>
          <w:kern w:val="0"/>
          <w:sz w:val="24"/>
        </w:rPr>
      </w:pPr>
      <w:r w:rsidRPr="00C32AC2">
        <w:rPr>
          <w:rFonts w:ascii="仿宋_GB2312" w:eastAsia="仿宋_GB2312" w:hAnsi="仿宋" w:cs="Times New Roman" w:hint="eastAsia"/>
          <w:sz w:val="32"/>
          <w:szCs w:val="32"/>
        </w:rPr>
        <w:t xml:space="preserve"> </w:t>
      </w:r>
    </w:p>
    <w:p w14:paraId="3EBB70DE" w14:textId="77777777" w:rsidR="00C32AC2" w:rsidRPr="00C32AC2" w:rsidRDefault="00C32AC2" w:rsidP="00C32AC2">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7E5D1A3" w14:textId="77777777" w:rsidR="00C32AC2" w:rsidRPr="00C32AC2" w:rsidRDefault="00C32AC2" w:rsidP="00C32AC2">
      <w:pPr>
        <w:rPr>
          <w:rFonts w:ascii="Calibri" w:eastAsia="宋体" w:hAnsi="Calibri" w:cs="Times New Roman"/>
          <w:bCs/>
          <w:lang w:val="zh-CN"/>
        </w:rPr>
      </w:pPr>
    </w:p>
    <w:p w14:paraId="332DC6CA" w14:textId="77777777" w:rsidR="00646ED3" w:rsidRDefault="00646ED3">
      <w:pPr>
        <w:widowControl/>
        <w:jc w:val="left"/>
        <w:rPr>
          <w:rFonts w:ascii="黑体" w:eastAsia="黑体" w:hAnsi="黑体" w:cs="Times New Roman"/>
          <w:sz w:val="36"/>
          <w:szCs w:val="36"/>
        </w:rPr>
      </w:pPr>
      <w:bookmarkStart w:id="61" w:name="_Toc15902"/>
      <w:bookmarkStart w:id="62" w:name="_Toc4314367"/>
      <w:r>
        <w:rPr>
          <w:sz w:val="36"/>
          <w:szCs w:val="36"/>
        </w:rPr>
        <w:br w:type="page"/>
      </w:r>
    </w:p>
    <w:p w14:paraId="06A81DA7" w14:textId="062421B5" w:rsidR="00C32AC2" w:rsidRPr="00C30960" w:rsidRDefault="00C32AC2" w:rsidP="00C30960">
      <w:pPr>
        <w:pStyle w:val="afc"/>
        <w:ind w:firstLine="720"/>
        <w:jc w:val="center"/>
        <w:rPr>
          <w:sz w:val="36"/>
          <w:szCs w:val="36"/>
        </w:rPr>
      </w:pPr>
      <w:r w:rsidRPr="00C30960">
        <w:rPr>
          <w:rFonts w:hint="eastAsia"/>
          <w:sz w:val="36"/>
          <w:szCs w:val="36"/>
        </w:rPr>
        <w:lastRenderedPageBreak/>
        <w:t>《篮球》课程大纲</w:t>
      </w:r>
      <w:bookmarkEnd w:id="61"/>
      <w:bookmarkEnd w:id="62"/>
    </w:p>
    <w:p w14:paraId="7A86556C"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C32AC2" w:rsidRPr="00C32AC2" w14:paraId="752DAFD5" w14:textId="77777777" w:rsidTr="00375FAF">
        <w:trPr>
          <w:trHeight w:val="886"/>
          <w:jc w:val="center"/>
        </w:trPr>
        <w:tc>
          <w:tcPr>
            <w:tcW w:w="1581" w:type="dxa"/>
            <w:vAlign w:val="center"/>
          </w:tcPr>
          <w:p w14:paraId="0E881490"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课程名称</w:t>
            </w:r>
          </w:p>
        </w:tc>
        <w:tc>
          <w:tcPr>
            <w:tcW w:w="2662" w:type="dxa"/>
            <w:vAlign w:val="center"/>
          </w:tcPr>
          <w:p w14:paraId="15898366"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Calibri" w:cs="宋体" w:hint="eastAsia"/>
                <w:kern w:val="0"/>
                <w:sz w:val="24"/>
              </w:rPr>
              <w:t>篮球</w:t>
            </w:r>
          </w:p>
        </w:tc>
        <w:tc>
          <w:tcPr>
            <w:tcW w:w="1482" w:type="dxa"/>
            <w:vAlign w:val="center"/>
          </w:tcPr>
          <w:p w14:paraId="5782A48A"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课程代码</w:t>
            </w:r>
          </w:p>
        </w:tc>
        <w:tc>
          <w:tcPr>
            <w:tcW w:w="2797" w:type="dxa"/>
            <w:vAlign w:val="center"/>
          </w:tcPr>
          <w:p w14:paraId="49EF1CB9"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Calibri" w:cs="宋体" w:hint="eastAsia"/>
                <w:kern w:val="0"/>
                <w:sz w:val="24"/>
              </w:rPr>
              <w:t>091050</w:t>
            </w:r>
          </w:p>
        </w:tc>
      </w:tr>
      <w:tr w:rsidR="00C32AC2" w:rsidRPr="00C32AC2" w14:paraId="787FA286" w14:textId="77777777" w:rsidTr="00375FAF">
        <w:trPr>
          <w:trHeight w:val="829"/>
          <w:jc w:val="center"/>
        </w:trPr>
        <w:tc>
          <w:tcPr>
            <w:tcW w:w="1581" w:type="dxa"/>
            <w:vAlign w:val="center"/>
          </w:tcPr>
          <w:p w14:paraId="74BF7B48"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课程类别</w:t>
            </w:r>
          </w:p>
        </w:tc>
        <w:tc>
          <w:tcPr>
            <w:tcW w:w="2662" w:type="dxa"/>
            <w:vAlign w:val="center"/>
          </w:tcPr>
          <w:p w14:paraId="70E97190"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Calibri" w:cs="宋体" w:hint="eastAsia"/>
                <w:kern w:val="0"/>
                <w:sz w:val="24"/>
              </w:rPr>
              <w:t>公共必修课程</w:t>
            </w:r>
          </w:p>
        </w:tc>
        <w:tc>
          <w:tcPr>
            <w:tcW w:w="1482" w:type="dxa"/>
            <w:vAlign w:val="center"/>
          </w:tcPr>
          <w:p w14:paraId="46B69D9E"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学时</w:t>
            </w:r>
          </w:p>
          <w:p w14:paraId="66C99D6C"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/学分</w:t>
            </w:r>
          </w:p>
        </w:tc>
        <w:tc>
          <w:tcPr>
            <w:tcW w:w="2797" w:type="dxa"/>
            <w:vAlign w:val="center"/>
          </w:tcPr>
          <w:p w14:paraId="5FA92F12"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144/4</w:t>
            </w:r>
          </w:p>
        </w:tc>
      </w:tr>
      <w:tr w:rsidR="00C32AC2" w:rsidRPr="00C32AC2" w14:paraId="7A42B7DF" w14:textId="77777777" w:rsidTr="00375FAF">
        <w:trPr>
          <w:trHeight w:val="811"/>
          <w:jc w:val="center"/>
        </w:trPr>
        <w:tc>
          <w:tcPr>
            <w:tcW w:w="1581" w:type="dxa"/>
            <w:vAlign w:val="center"/>
          </w:tcPr>
          <w:p w14:paraId="538AD87A"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开课单位</w:t>
            </w:r>
          </w:p>
        </w:tc>
        <w:tc>
          <w:tcPr>
            <w:tcW w:w="2662" w:type="dxa"/>
            <w:vAlign w:val="center"/>
          </w:tcPr>
          <w:p w14:paraId="109FAC72"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sz w:val="24"/>
              </w:rPr>
              <w:t>石家庄学院体育学院</w:t>
            </w:r>
          </w:p>
        </w:tc>
        <w:tc>
          <w:tcPr>
            <w:tcW w:w="1482" w:type="dxa"/>
            <w:vAlign w:val="center"/>
          </w:tcPr>
          <w:p w14:paraId="58A74902"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适用专业</w:t>
            </w:r>
          </w:p>
        </w:tc>
        <w:tc>
          <w:tcPr>
            <w:tcW w:w="2797" w:type="dxa"/>
            <w:vAlign w:val="center"/>
          </w:tcPr>
          <w:p w14:paraId="24A8C964" w14:textId="77777777" w:rsidR="00C32AC2" w:rsidRPr="00C32AC2" w:rsidRDefault="00233E31" w:rsidP="00C32AC2">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C32AC2" w:rsidRPr="00C32AC2" w14:paraId="0BC16BE3" w14:textId="77777777" w:rsidTr="00375FAF">
        <w:trPr>
          <w:trHeight w:val="811"/>
          <w:jc w:val="center"/>
        </w:trPr>
        <w:tc>
          <w:tcPr>
            <w:tcW w:w="1581" w:type="dxa"/>
            <w:vAlign w:val="center"/>
          </w:tcPr>
          <w:p w14:paraId="6C94EF34"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课程负责人</w:t>
            </w:r>
          </w:p>
        </w:tc>
        <w:tc>
          <w:tcPr>
            <w:tcW w:w="6941" w:type="dxa"/>
            <w:gridSpan w:val="3"/>
            <w:vAlign w:val="center"/>
          </w:tcPr>
          <w:p w14:paraId="28A98E36" w14:textId="77777777" w:rsidR="00C32AC2" w:rsidRPr="00C32AC2" w:rsidRDefault="00C32AC2" w:rsidP="00C32AC2">
            <w:pPr>
              <w:spacing w:line="440" w:lineRule="exact"/>
              <w:jc w:val="center"/>
              <w:rPr>
                <w:rFonts w:ascii="宋体" w:eastAsia="宋体" w:hAnsi="宋体" w:cs="Times New Roman"/>
                <w:sz w:val="24"/>
              </w:rPr>
            </w:pPr>
            <w:proofErr w:type="gramStart"/>
            <w:r w:rsidRPr="00C32AC2">
              <w:rPr>
                <w:rFonts w:ascii="宋体" w:eastAsia="宋体" w:hAnsi="宋体" w:cs="Times New Roman" w:hint="eastAsia"/>
                <w:sz w:val="24"/>
              </w:rPr>
              <w:t>董美寅</w:t>
            </w:r>
            <w:proofErr w:type="gramEnd"/>
            <w:r w:rsidRPr="00C32AC2">
              <w:rPr>
                <w:rFonts w:ascii="宋体" w:eastAsia="宋体" w:hAnsi="宋体" w:cs="Times New Roman" w:hint="eastAsia"/>
                <w:sz w:val="24"/>
              </w:rPr>
              <w:t>、李伟、李芳、靳明、柏海平</w:t>
            </w:r>
          </w:p>
        </w:tc>
      </w:tr>
      <w:tr w:rsidR="00C32AC2" w:rsidRPr="00C32AC2" w14:paraId="12861AC1" w14:textId="77777777" w:rsidTr="00375FAF">
        <w:trPr>
          <w:trHeight w:val="836"/>
          <w:jc w:val="center"/>
        </w:trPr>
        <w:tc>
          <w:tcPr>
            <w:tcW w:w="1581" w:type="dxa"/>
            <w:vAlign w:val="center"/>
          </w:tcPr>
          <w:p w14:paraId="165494C5"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大纲撰写人</w:t>
            </w:r>
          </w:p>
        </w:tc>
        <w:tc>
          <w:tcPr>
            <w:tcW w:w="2662" w:type="dxa"/>
            <w:vAlign w:val="center"/>
          </w:tcPr>
          <w:p w14:paraId="45DC10F9"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靳明</w:t>
            </w:r>
          </w:p>
        </w:tc>
        <w:tc>
          <w:tcPr>
            <w:tcW w:w="1482" w:type="dxa"/>
            <w:vAlign w:val="center"/>
          </w:tcPr>
          <w:p w14:paraId="2683FE45"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大纲审核人</w:t>
            </w:r>
          </w:p>
        </w:tc>
        <w:tc>
          <w:tcPr>
            <w:tcW w:w="2797" w:type="dxa"/>
            <w:vAlign w:val="center"/>
          </w:tcPr>
          <w:p w14:paraId="30BE606E" w14:textId="77777777" w:rsidR="00C32AC2" w:rsidRPr="00C32AC2" w:rsidRDefault="00C32AC2" w:rsidP="00C32AC2">
            <w:pPr>
              <w:spacing w:line="440" w:lineRule="exact"/>
              <w:jc w:val="center"/>
              <w:rPr>
                <w:rFonts w:ascii="宋体" w:eastAsia="宋体" w:hAnsi="宋体" w:cs="Times New Roman"/>
                <w:sz w:val="24"/>
              </w:rPr>
            </w:pPr>
            <w:proofErr w:type="gramStart"/>
            <w:r w:rsidRPr="00C32AC2">
              <w:rPr>
                <w:rFonts w:ascii="宋体" w:eastAsia="宋体" w:hAnsi="宋体" w:cs="Times New Roman" w:hint="eastAsia"/>
                <w:sz w:val="24"/>
              </w:rPr>
              <w:t>左健</w:t>
            </w:r>
            <w:proofErr w:type="gramEnd"/>
          </w:p>
        </w:tc>
      </w:tr>
      <w:tr w:rsidR="00C32AC2" w:rsidRPr="00C32AC2" w14:paraId="5A2E5767" w14:textId="77777777" w:rsidTr="00375FAF">
        <w:trPr>
          <w:trHeight w:val="848"/>
          <w:jc w:val="center"/>
        </w:trPr>
        <w:tc>
          <w:tcPr>
            <w:tcW w:w="1581" w:type="dxa"/>
            <w:vAlign w:val="center"/>
          </w:tcPr>
          <w:p w14:paraId="3DBD19D5"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先修课程</w:t>
            </w:r>
          </w:p>
        </w:tc>
        <w:tc>
          <w:tcPr>
            <w:tcW w:w="6941" w:type="dxa"/>
            <w:gridSpan w:val="3"/>
            <w:vAlign w:val="center"/>
          </w:tcPr>
          <w:p w14:paraId="1A94D14E" w14:textId="77777777" w:rsidR="00C32AC2" w:rsidRPr="00C32AC2" w:rsidRDefault="00C32AC2" w:rsidP="00C32AC2">
            <w:pPr>
              <w:spacing w:line="440" w:lineRule="exact"/>
              <w:rPr>
                <w:rFonts w:ascii="宋体" w:eastAsia="宋体" w:hAnsi="宋体" w:cs="Times New Roman"/>
                <w:sz w:val="24"/>
              </w:rPr>
            </w:pPr>
          </w:p>
        </w:tc>
      </w:tr>
      <w:tr w:rsidR="00C32AC2" w:rsidRPr="00C32AC2" w14:paraId="45E2E182" w14:textId="77777777" w:rsidTr="00375FAF">
        <w:trPr>
          <w:trHeight w:val="848"/>
          <w:jc w:val="center"/>
        </w:trPr>
        <w:tc>
          <w:tcPr>
            <w:tcW w:w="1581" w:type="dxa"/>
            <w:vAlign w:val="center"/>
          </w:tcPr>
          <w:p w14:paraId="3EDC01DB"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课程网址</w:t>
            </w:r>
          </w:p>
        </w:tc>
        <w:tc>
          <w:tcPr>
            <w:tcW w:w="6941" w:type="dxa"/>
            <w:gridSpan w:val="3"/>
            <w:vAlign w:val="center"/>
          </w:tcPr>
          <w:p w14:paraId="193FF691" w14:textId="77777777" w:rsidR="00C32AC2" w:rsidRPr="00C32AC2" w:rsidRDefault="00C32AC2" w:rsidP="00C32AC2">
            <w:pPr>
              <w:spacing w:line="440" w:lineRule="exact"/>
              <w:rPr>
                <w:rFonts w:ascii="宋体" w:eastAsia="宋体" w:hAnsi="宋体" w:cs="Times New Roman"/>
                <w:color w:val="FF0000"/>
                <w:sz w:val="24"/>
              </w:rPr>
            </w:pPr>
          </w:p>
        </w:tc>
      </w:tr>
    </w:tbl>
    <w:p w14:paraId="2BF200FC"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二、课程学习目标及与毕业要求的对应关系</w:t>
      </w:r>
    </w:p>
    <w:p w14:paraId="7E1C8555"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（一）课程学习目标</w:t>
      </w:r>
    </w:p>
    <w:p w14:paraId="2733FA27"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通过本课程的学习，使学生达到以下目标：</w:t>
      </w:r>
    </w:p>
    <w:p w14:paraId="10106FC8" w14:textId="77777777" w:rsidR="00C32AC2" w:rsidRPr="00C32AC2" w:rsidRDefault="00C32AC2" w:rsidP="00C32AC2">
      <w:pPr>
        <w:spacing w:line="440" w:lineRule="exact"/>
        <w:ind w:firstLineChars="200" w:firstLine="480"/>
        <w:rPr>
          <w:rFonts w:ascii="宋体" w:eastAsia="宋体" w:hAnsi="宋体" w:cs="宋体"/>
          <w:sz w:val="24"/>
        </w:rPr>
      </w:pPr>
      <w:r w:rsidRPr="00C32AC2">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619CF551" w14:textId="77777777" w:rsidR="00C32AC2" w:rsidRPr="00C32AC2" w:rsidRDefault="00C32AC2" w:rsidP="00C32AC2">
      <w:pPr>
        <w:spacing w:line="440" w:lineRule="exact"/>
        <w:ind w:firstLineChars="200" w:firstLine="480"/>
        <w:rPr>
          <w:rFonts w:ascii="宋体" w:eastAsia="宋体" w:hAnsi="宋体" w:cs="仿宋_GB2312"/>
          <w:sz w:val="24"/>
        </w:rPr>
      </w:pPr>
      <w:r w:rsidRPr="00C32AC2">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5D7BFDF7" w14:textId="77777777" w:rsidR="00C32AC2" w:rsidRPr="00C32AC2" w:rsidRDefault="00C32AC2" w:rsidP="00C32AC2">
      <w:pPr>
        <w:spacing w:line="440" w:lineRule="exact"/>
        <w:ind w:firstLineChars="200" w:firstLine="480"/>
        <w:rPr>
          <w:rFonts w:ascii="宋体" w:eastAsia="宋体" w:hAnsi="宋体" w:cs="仿宋_GB2312"/>
          <w:sz w:val="24"/>
        </w:rPr>
      </w:pPr>
      <w:r w:rsidRPr="00C32AC2">
        <w:rPr>
          <w:rFonts w:ascii="宋体" w:eastAsia="宋体" w:hAnsi="宋体" w:cs="仿宋_GB2312" w:hint="eastAsia"/>
          <w:sz w:val="24"/>
        </w:rPr>
        <w:lastRenderedPageBreak/>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78CAC8E4"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812"/>
        <w:gridCol w:w="1649"/>
      </w:tblGrid>
      <w:tr w:rsidR="00C32AC2" w:rsidRPr="00C32AC2" w14:paraId="5AC5A839" w14:textId="77777777" w:rsidTr="00375FAF">
        <w:trPr>
          <w:trHeight w:val="815"/>
          <w:jc w:val="center"/>
        </w:trPr>
        <w:tc>
          <w:tcPr>
            <w:tcW w:w="1708" w:type="dxa"/>
            <w:vAlign w:val="center"/>
          </w:tcPr>
          <w:p w14:paraId="1689BCB4" w14:textId="77777777" w:rsidR="00C32AC2" w:rsidRPr="00C32AC2" w:rsidRDefault="00C32AC2" w:rsidP="00C32AC2">
            <w:pPr>
              <w:spacing w:line="440" w:lineRule="exact"/>
              <w:jc w:val="center"/>
              <w:rPr>
                <w:rFonts w:ascii="宋体" w:eastAsia="宋体" w:hAnsi="宋体" w:cs="Times New Roman"/>
                <w:b/>
                <w:sz w:val="24"/>
              </w:rPr>
            </w:pPr>
            <w:r w:rsidRPr="00C32AC2">
              <w:rPr>
                <w:rFonts w:ascii="宋体" w:eastAsia="宋体" w:hAnsi="宋体" w:cs="Times New Roman" w:hint="eastAsia"/>
                <w:b/>
                <w:sz w:val="24"/>
              </w:rPr>
              <w:t>毕业要求</w:t>
            </w:r>
          </w:p>
        </w:tc>
        <w:tc>
          <w:tcPr>
            <w:tcW w:w="5812" w:type="dxa"/>
            <w:vAlign w:val="center"/>
          </w:tcPr>
          <w:p w14:paraId="3D191231" w14:textId="77777777" w:rsidR="00C32AC2" w:rsidRPr="00C32AC2" w:rsidRDefault="00C32AC2" w:rsidP="00C32AC2">
            <w:pPr>
              <w:spacing w:line="440" w:lineRule="exact"/>
              <w:jc w:val="center"/>
              <w:rPr>
                <w:rFonts w:ascii="宋体" w:eastAsia="宋体" w:hAnsi="宋体" w:cs="Times New Roman"/>
                <w:b/>
                <w:sz w:val="24"/>
              </w:rPr>
            </w:pPr>
            <w:r w:rsidRPr="00C32AC2">
              <w:rPr>
                <w:rFonts w:ascii="宋体" w:eastAsia="宋体" w:hAnsi="宋体" w:cs="Times New Roman" w:hint="eastAsia"/>
                <w:b/>
                <w:sz w:val="24"/>
              </w:rPr>
              <w:t>毕业要求指标点</w:t>
            </w:r>
          </w:p>
        </w:tc>
        <w:tc>
          <w:tcPr>
            <w:tcW w:w="1649" w:type="dxa"/>
            <w:vAlign w:val="center"/>
          </w:tcPr>
          <w:p w14:paraId="05DBC29D" w14:textId="77777777" w:rsidR="00C32AC2" w:rsidRPr="00C32AC2" w:rsidRDefault="00C32AC2" w:rsidP="00C32AC2">
            <w:pPr>
              <w:spacing w:line="440" w:lineRule="exact"/>
              <w:jc w:val="center"/>
              <w:rPr>
                <w:rFonts w:ascii="宋体" w:eastAsia="宋体" w:hAnsi="宋体" w:cs="Times New Roman"/>
                <w:b/>
                <w:sz w:val="24"/>
              </w:rPr>
            </w:pPr>
            <w:r w:rsidRPr="00C32AC2">
              <w:rPr>
                <w:rFonts w:ascii="宋体" w:eastAsia="宋体" w:hAnsi="宋体" w:cs="Times New Roman" w:hint="eastAsia"/>
                <w:b/>
                <w:sz w:val="24"/>
              </w:rPr>
              <w:t>课程目标</w:t>
            </w:r>
          </w:p>
        </w:tc>
      </w:tr>
      <w:tr w:rsidR="00C32AC2" w:rsidRPr="00C32AC2" w14:paraId="01DC4FEA" w14:textId="77777777" w:rsidTr="00375FAF">
        <w:trPr>
          <w:jc w:val="center"/>
        </w:trPr>
        <w:tc>
          <w:tcPr>
            <w:tcW w:w="1708" w:type="dxa"/>
            <w:vAlign w:val="center"/>
          </w:tcPr>
          <w:p w14:paraId="6BD36C78"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职业规范</w:t>
            </w:r>
            <w:r w:rsidRPr="00C32AC2">
              <w:rPr>
                <w:rFonts w:ascii="宋体" w:eastAsia="宋体" w:hAnsi="宋体" w:cs="Times New Roman"/>
                <w:sz w:val="24"/>
              </w:rPr>
              <w:t>（</w:t>
            </w:r>
            <w:r w:rsidRPr="00C32AC2">
              <w:rPr>
                <w:rFonts w:ascii="宋体" w:eastAsia="宋体" w:hAnsi="宋体" w:cs="Times New Roman" w:hint="eastAsia"/>
                <w:sz w:val="24"/>
              </w:rPr>
              <w:t>M</w:t>
            </w:r>
            <w:r w:rsidRPr="00C32AC2">
              <w:rPr>
                <w:rFonts w:ascii="宋体" w:eastAsia="宋体" w:hAnsi="宋体" w:cs="Times New Roman"/>
                <w:sz w:val="24"/>
              </w:rPr>
              <w:t>）</w:t>
            </w:r>
          </w:p>
        </w:tc>
        <w:tc>
          <w:tcPr>
            <w:tcW w:w="5812" w:type="dxa"/>
            <w:vAlign w:val="center"/>
          </w:tcPr>
          <w:p w14:paraId="28F528AA" w14:textId="77777777" w:rsidR="00C32AC2" w:rsidRPr="00C32AC2" w:rsidRDefault="00C32AC2" w:rsidP="00C32AC2">
            <w:pPr>
              <w:spacing w:line="440" w:lineRule="exact"/>
              <w:rPr>
                <w:rFonts w:ascii="宋体" w:eastAsia="宋体" w:hAnsi="宋体" w:cs="仿宋_GB2312"/>
                <w:sz w:val="24"/>
              </w:rPr>
            </w:pPr>
          </w:p>
          <w:p w14:paraId="6025B8FA" w14:textId="77777777" w:rsidR="00C32AC2" w:rsidRPr="00C32AC2" w:rsidRDefault="00C32AC2" w:rsidP="00C32AC2">
            <w:pPr>
              <w:spacing w:line="440" w:lineRule="exact"/>
              <w:rPr>
                <w:rFonts w:ascii="宋体" w:eastAsia="宋体" w:hAnsi="宋体" w:cs="仿宋_GB2312"/>
                <w:sz w:val="24"/>
              </w:rPr>
            </w:pPr>
          </w:p>
          <w:p w14:paraId="22364A01" w14:textId="77777777" w:rsidR="00C32AC2" w:rsidRPr="00C32AC2" w:rsidRDefault="00C32AC2" w:rsidP="00C32AC2">
            <w:pPr>
              <w:spacing w:line="440" w:lineRule="exact"/>
              <w:rPr>
                <w:rFonts w:ascii="宋体" w:eastAsia="宋体" w:hAnsi="宋体" w:cs="Times New Roman"/>
                <w:sz w:val="24"/>
              </w:rPr>
            </w:pPr>
          </w:p>
        </w:tc>
        <w:tc>
          <w:tcPr>
            <w:tcW w:w="1649" w:type="dxa"/>
            <w:vAlign w:val="center"/>
          </w:tcPr>
          <w:p w14:paraId="17C1D385" w14:textId="77777777" w:rsidR="00C32AC2" w:rsidRPr="00C32AC2" w:rsidRDefault="00C32AC2" w:rsidP="00C32AC2">
            <w:pPr>
              <w:spacing w:line="440" w:lineRule="exact"/>
              <w:jc w:val="center"/>
              <w:rPr>
                <w:rFonts w:ascii="宋体" w:eastAsia="宋体" w:hAnsi="宋体" w:cs="Times New Roman"/>
                <w:sz w:val="24"/>
              </w:rPr>
            </w:pPr>
            <w:r w:rsidRPr="00C32AC2">
              <w:rPr>
                <w:rFonts w:ascii="宋体" w:eastAsia="宋体" w:hAnsi="宋体" w:cs="Times New Roman" w:hint="eastAsia"/>
                <w:sz w:val="24"/>
              </w:rPr>
              <w:t>课程目标1</w:t>
            </w:r>
          </w:p>
        </w:tc>
      </w:tr>
      <w:tr w:rsidR="00C32AC2" w:rsidRPr="00C32AC2" w14:paraId="0F75E133" w14:textId="77777777" w:rsidTr="00375FAF">
        <w:trPr>
          <w:jc w:val="center"/>
        </w:trPr>
        <w:tc>
          <w:tcPr>
            <w:tcW w:w="1708" w:type="dxa"/>
            <w:vAlign w:val="center"/>
          </w:tcPr>
          <w:p w14:paraId="7BF27921"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沟通</w:t>
            </w:r>
            <w:r w:rsidRPr="00C32AC2">
              <w:rPr>
                <w:rFonts w:ascii="宋体" w:eastAsia="宋体" w:hAnsi="宋体" w:cs="Times New Roman"/>
                <w:sz w:val="24"/>
              </w:rPr>
              <w:t>（</w:t>
            </w:r>
            <w:r w:rsidRPr="00C32AC2">
              <w:rPr>
                <w:rFonts w:ascii="宋体" w:eastAsia="宋体" w:hAnsi="宋体" w:cs="Times New Roman" w:hint="eastAsia"/>
                <w:sz w:val="24"/>
              </w:rPr>
              <w:t>M</w:t>
            </w:r>
            <w:r w:rsidRPr="00C32AC2">
              <w:rPr>
                <w:rFonts w:ascii="宋体" w:eastAsia="宋体" w:hAnsi="宋体" w:cs="Times New Roman"/>
                <w:sz w:val="24"/>
              </w:rPr>
              <w:t>）</w:t>
            </w:r>
          </w:p>
        </w:tc>
        <w:tc>
          <w:tcPr>
            <w:tcW w:w="5812" w:type="dxa"/>
            <w:vAlign w:val="center"/>
          </w:tcPr>
          <w:p w14:paraId="201DDEE1" w14:textId="77777777" w:rsidR="00C32AC2" w:rsidRPr="00C32AC2" w:rsidRDefault="00C32AC2" w:rsidP="00C32AC2">
            <w:pPr>
              <w:spacing w:line="440" w:lineRule="exact"/>
              <w:rPr>
                <w:rFonts w:ascii="宋体" w:eastAsia="宋体" w:hAnsi="宋体" w:cs="Times New Roman"/>
                <w:sz w:val="24"/>
              </w:rPr>
            </w:pPr>
          </w:p>
          <w:p w14:paraId="34FC19E8" w14:textId="77777777" w:rsidR="00C32AC2" w:rsidRPr="00C32AC2" w:rsidRDefault="00C32AC2" w:rsidP="00C32AC2">
            <w:pPr>
              <w:spacing w:line="440" w:lineRule="exact"/>
              <w:rPr>
                <w:rFonts w:ascii="宋体" w:eastAsia="宋体" w:hAnsi="宋体" w:cs="Times New Roman"/>
                <w:sz w:val="24"/>
              </w:rPr>
            </w:pPr>
          </w:p>
          <w:p w14:paraId="467AADA7" w14:textId="77777777" w:rsidR="00C32AC2" w:rsidRPr="00C32AC2" w:rsidRDefault="00C32AC2" w:rsidP="00C32AC2">
            <w:pPr>
              <w:spacing w:line="440" w:lineRule="exact"/>
              <w:rPr>
                <w:rFonts w:ascii="宋体" w:eastAsia="宋体" w:hAnsi="宋体" w:cs="Times New Roman"/>
                <w:sz w:val="24"/>
              </w:rPr>
            </w:pPr>
          </w:p>
        </w:tc>
        <w:tc>
          <w:tcPr>
            <w:tcW w:w="1649" w:type="dxa"/>
            <w:vAlign w:val="center"/>
          </w:tcPr>
          <w:p w14:paraId="6B64A75F" w14:textId="77777777" w:rsidR="00C32AC2" w:rsidRPr="00C32AC2" w:rsidRDefault="00C32AC2" w:rsidP="00C32AC2">
            <w:pPr>
              <w:spacing w:line="440" w:lineRule="exact"/>
              <w:jc w:val="center"/>
              <w:rPr>
                <w:rFonts w:ascii="宋体" w:eastAsia="宋体" w:hAnsi="宋体" w:cs="仿宋_GB2312"/>
                <w:sz w:val="24"/>
              </w:rPr>
            </w:pPr>
            <w:r w:rsidRPr="00C32AC2">
              <w:rPr>
                <w:rFonts w:ascii="宋体" w:eastAsia="宋体" w:hAnsi="宋体" w:cs="Times New Roman" w:hint="eastAsia"/>
                <w:sz w:val="24"/>
              </w:rPr>
              <w:t>课程目标</w:t>
            </w:r>
            <w:r w:rsidRPr="00C32AC2">
              <w:rPr>
                <w:rFonts w:ascii="宋体" w:eastAsia="宋体" w:hAnsi="宋体" w:cs="Times New Roman"/>
                <w:sz w:val="24"/>
              </w:rPr>
              <w:t>2</w:t>
            </w:r>
          </w:p>
        </w:tc>
      </w:tr>
      <w:tr w:rsidR="00C32AC2" w:rsidRPr="00C32AC2" w14:paraId="5EAC3424" w14:textId="77777777" w:rsidTr="00375FAF">
        <w:trPr>
          <w:jc w:val="center"/>
        </w:trPr>
        <w:tc>
          <w:tcPr>
            <w:tcW w:w="1708" w:type="dxa"/>
            <w:vAlign w:val="center"/>
          </w:tcPr>
          <w:p w14:paraId="384D1468"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终生学习</w:t>
            </w:r>
            <w:r w:rsidRPr="00C32AC2">
              <w:rPr>
                <w:rFonts w:ascii="宋体" w:eastAsia="宋体" w:hAnsi="宋体" w:cs="Times New Roman"/>
                <w:sz w:val="24"/>
              </w:rPr>
              <w:t>（</w:t>
            </w:r>
            <w:r w:rsidRPr="00C32AC2">
              <w:rPr>
                <w:rFonts w:ascii="宋体" w:eastAsia="宋体" w:hAnsi="宋体" w:cs="Times New Roman" w:hint="eastAsia"/>
                <w:sz w:val="24"/>
              </w:rPr>
              <w:t>H</w:t>
            </w:r>
            <w:r w:rsidRPr="00C32AC2">
              <w:rPr>
                <w:rFonts w:ascii="宋体" w:eastAsia="宋体" w:hAnsi="宋体" w:cs="Times New Roman"/>
                <w:sz w:val="24"/>
              </w:rPr>
              <w:t>）</w:t>
            </w:r>
          </w:p>
        </w:tc>
        <w:tc>
          <w:tcPr>
            <w:tcW w:w="5812" w:type="dxa"/>
            <w:vAlign w:val="center"/>
          </w:tcPr>
          <w:p w14:paraId="00149A13" w14:textId="77777777" w:rsidR="00C32AC2" w:rsidRPr="00C32AC2" w:rsidRDefault="00C32AC2" w:rsidP="00C32AC2">
            <w:pPr>
              <w:spacing w:line="440" w:lineRule="exact"/>
              <w:rPr>
                <w:rFonts w:ascii="宋体" w:eastAsia="宋体" w:hAnsi="宋体" w:cs="仿宋_GB2312"/>
                <w:sz w:val="24"/>
              </w:rPr>
            </w:pPr>
          </w:p>
          <w:p w14:paraId="31677889" w14:textId="77777777" w:rsidR="00C32AC2" w:rsidRPr="00C32AC2" w:rsidRDefault="00C32AC2" w:rsidP="00C32AC2">
            <w:pPr>
              <w:spacing w:line="440" w:lineRule="exact"/>
              <w:rPr>
                <w:rFonts w:ascii="宋体" w:eastAsia="宋体" w:hAnsi="宋体" w:cs="仿宋_GB2312"/>
                <w:sz w:val="24"/>
              </w:rPr>
            </w:pPr>
          </w:p>
          <w:p w14:paraId="6987EAFF" w14:textId="77777777" w:rsidR="00C32AC2" w:rsidRPr="00C32AC2" w:rsidRDefault="00C32AC2" w:rsidP="00C32AC2">
            <w:pPr>
              <w:spacing w:line="440" w:lineRule="exact"/>
              <w:rPr>
                <w:rFonts w:ascii="宋体" w:eastAsia="宋体" w:hAnsi="宋体" w:cs="Times New Roman"/>
                <w:sz w:val="24"/>
              </w:rPr>
            </w:pPr>
          </w:p>
        </w:tc>
        <w:tc>
          <w:tcPr>
            <w:tcW w:w="1649" w:type="dxa"/>
            <w:vAlign w:val="center"/>
          </w:tcPr>
          <w:p w14:paraId="1E4F2E34" w14:textId="77777777" w:rsidR="00C32AC2" w:rsidRPr="00C32AC2" w:rsidRDefault="00C32AC2" w:rsidP="00C32AC2">
            <w:pPr>
              <w:spacing w:line="440" w:lineRule="exact"/>
              <w:ind w:firstLineChars="50" w:firstLine="120"/>
              <w:rPr>
                <w:rFonts w:ascii="宋体" w:eastAsia="宋体" w:hAnsi="宋体" w:cs="Times New Roman"/>
                <w:sz w:val="24"/>
              </w:rPr>
            </w:pPr>
            <w:r w:rsidRPr="00C32AC2">
              <w:rPr>
                <w:rFonts w:ascii="宋体" w:eastAsia="宋体" w:hAnsi="宋体" w:cs="Times New Roman"/>
                <w:sz w:val="24"/>
              </w:rPr>
              <w:t>课程目标3</w:t>
            </w:r>
          </w:p>
        </w:tc>
      </w:tr>
    </w:tbl>
    <w:p w14:paraId="0F592C36" w14:textId="77777777" w:rsidR="00C32AC2" w:rsidRPr="00C32AC2" w:rsidRDefault="00C32AC2" w:rsidP="00C32AC2">
      <w:pPr>
        <w:spacing w:beforeLines="50" w:before="156" w:afterLines="50" w:after="156" w:line="440" w:lineRule="exact"/>
        <w:rPr>
          <w:rFonts w:ascii="黑体" w:eastAsia="黑体" w:hAnsi="黑体" w:cs="Times New Roman"/>
          <w:sz w:val="28"/>
          <w:szCs w:val="28"/>
        </w:rPr>
      </w:pPr>
    </w:p>
    <w:p w14:paraId="6B01D301"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三、课程学习内容及与课程学习目标的对应关系</w:t>
      </w:r>
    </w:p>
    <w:p w14:paraId="4008C0D4" w14:textId="77777777" w:rsidR="00C32AC2" w:rsidRPr="00C32AC2" w:rsidRDefault="00C32AC2" w:rsidP="00C32AC2">
      <w:pPr>
        <w:spacing w:beforeLines="50" w:before="156" w:afterLines="50" w:after="156" w:line="440" w:lineRule="exact"/>
        <w:ind w:firstLineChars="200" w:firstLine="562"/>
        <w:rPr>
          <w:rFonts w:ascii="黑体" w:eastAsia="黑体" w:hAnsi="黑体" w:cs="Times New Roman"/>
          <w:b/>
          <w:sz w:val="28"/>
          <w:szCs w:val="28"/>
        </w:rPr>
      </w:pPr>
      <w:r w:rsidRPr="00C32AC2">
        <w:rPr>
          <w:rFonts w:ascii="黑体" w:eastAsia="黑体" w:hAnsi="黑体" w:cs="Times New Roman" w:hint="eastAsia"/>
          <w:b/>
          <w:sz w:val="28"/>
          <w:szCs w:val="28"/>
        </w:rPr>
        <w:t>（一）课程学习内容</w:t>
      </w:r>
    </w:p>
    <w:p w14:paraId="2ADA5B69" w14:textId="77777777" w:rsidR="00C32AC2" w:rsidRPr="00C32AC2" w:rsidRDefault="00C32AC2" w:rsidP="00C32AC2">
      <w:pPr>
        <w:spacing w:beforeLines="50" w:before="156" w:afterLines="50" w:after="156" w:line="440" w:lineRule="exact"/>
        <w:ind w:firstLineChars="200" w:firstLine="560"/>
        <w:jc w:val="center"/>
        <w:rPr>
          <w:rFonts w:ascii="黑体" w:eastAsia="黑体" w:hAnsi="黑体" w:cs="Times New Roman"/>
          <w:sz w:val="28"/>
          <w:szCs w:val="28"/>
        </w:rPr>
      </w:pPr>
      <w:r w:rsidRPr="00C32AC2">
        <w:rPr>
          <w:rFonts w:ascii="黑体" w:eastAsia="黑体" w:hAnsi="黑体" w:cs="Times New Roman" w:hint="eastAsia"/>
          <w:sz w:val="28"/>
          <w:szCs w:val="28"/>
        </w:rPr>
        <w:t>学习内容</w:t>
      </w:r>
      <w:proofErr w:type="gramStart"/>
      <w:r w:rsidRPr="00C32AC2">
        <w:rPr>
          <w:rFonts w:ascii="黑体" w:eastAsia="黑体" w:hAnsi="黑体" w:cs="Times New Roman" w:hint="eastAsia"/>
          <w:sz w:val="28"/>
          <w:szCs w:val="28"/>
        </w:rPr>
        <w:t>一</w:t>
      </w:r>
      <w:proofErr w:type="gramEnd"/>
      <w:r w:rsidRPr="00C32AC2">
        <w:rPr>
          <w:rFonts w:ascii="黑体" w:eastAsia="黑体" w:hAnsi="黑体" w:cs="Times New Roman" w:hint="eastAsia"/>
          <w:sz w:val="28"/>
          <w:szCs w:val="28"/>
        </w:rPr>
        <w:t xml:space="preserve"> 体能+篮球</w:t>
      </w:r>
    </w:p>
    <w:p w14:paraId="15F18F2F"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C32AC2">
        <w:rPr>
          <w:rFonts w:ascii="宋体" w:eastAsia="宋体" w:hAnsi="宋体" w:cs="Times New Roman" w:hint="eastAsia"/>
          <w:b/>
          <w:sz w:val="24"/>
        </w:rPr>
        <w:t>【学习目标】</w:t>
      </w:r>
    </w:p>
    <w:p w14:paraId="6F0EAEDA"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1.</w:t>
      </w:r>
      <w:r w:rsidRPr="00C32A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C32AC2">
        <w:rPr>
          <w:rFonts w:ascii="宋体" w:eastAsia="宋体" w:hAnsi="Calibri" w:cs="宋体" w:hint="eastAsia"/>
          <w:spacing w:val="5"/>
          <w:kern w:val="0"/>
          <w:sz w:val="24"/>
        </w:rPr>
        <w:t>通过体能教学活动，</w:t>
      </w:r>
      <w:r w:rsidRPr="00C32AC2">
        <w:rPr>
          <w:rFonts w:ascii="宋体" w:eastAsia="宋体" w:hAnsi="宋体" w:cs="仿宋_GB2312" w:hint="eastAsia"/>
          <w:sz w:val="24"/>
        </w:rPr>
        <w:t>了解《大学生体质健康标准测验》项目内容、考核方式、评价标准，掌握考核内容锻炼的方式方法。</w:t>
      </w:r>
      <w:r w:rsidRPr="00C32AC2">
        <w:rPr>
          <w:rFonts w:ascii="宋体" w:eastAsia="宋体" w:hAnsi="Calibri" w:cs="宋体" w:hint="eastAsia"/>
          <w:spacing w:val="5"/>
          <w:kern w:val="0"/>
          <w:sz w:val="24"/>
        </w:rPr>
        <w:t>培养学生努力学习、不断进取、修身立业、顽强奋进的精神与品质。</w:t>
      </w:r>
    </w:p>
    <w:p w14:paraId="2156C48D"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lastRenderedPageBreak/>
        <w:t>2.</w:t>
      </w:r>
      <w:r w:rsidRPr="00C32A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32AC2">
        <w:rPr>
          <w:rFonts w:ascii="宋体" w:eastAsia="宋体" w:hAnsi="Calibri" w:cs="宋体" w:hint="eastAsia"/>
          <w:spacing w:val="5"/>
          <w:kern w:val="0"/>
          <w:sz w:val="24"/>
        </w:rPr>
        <w:t>。</w:t>
      </w:r>
    </w:p>
    <w:p w14:paraId="18BF29AB" w14:textId="77777777" w:rsidR="00C32AC2" w:rsidRPr="00C32AC2" w:rsidRDefault="00C32AC2" w:rsidP="00C32AC2">
      <w:pPr>
        <w:spacing w:line="44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3.通过篮球专项课教学，使学生较好地掌握篮球基本技术，不断提高篮球比赛的能力。通过理论教学，使学生了解篮球运动发展史，篮球基本规则和裁判法，科学锻炼身体的方法和要求，培养良好的体育意识，养成终身锻炼的习惯。</w:t>
      </w:r>
    </w:p>
    <w:p w14:paraId="78AE53CB" w14:textId="77777777" w:rsidR="00C32AC2" w:rsidRPr="00C32AC2" w:rsidRDefault="00C32AC2" w:rsidP="00C32AC2">
      <w:pPr>
        <w:spacing w:line="440" w:lineRule="exact"/>
        <w:ind w:firstLineChars="200" w:firstLine="500"/>
        <w:rPr>
          <w:rFonts w:ascii="宋体" w:eastAsia="宋体" w:hAnsi="宋体" w:cs="Times New Roman"/>
          <w:b/>
          <w:sz w:val="24"/>
        </w:rPr>
      </w:pPr>
      <w:r w:rsidRPr="00C32AC2">
        <w:rPr>
          <w:rFonts w:ascii="宋体" w:eastAsia="宋体" w:hAnsi="Calibri" w:cs="宋体" w:hint="eastAsia"/>
          <w:spacing w:val="5"/>
          <w:kern w:val="0"/>
          <w:sz w:val="24"/>
        </w:rPr>
        <w:t>4.</w:t>
      </w:r>
      <w:r w:rsidRPr="00C32A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32AC2">
        <w:rPr>
          <w:rFonts w:ascii="宋体" w:eastAsia="宋体" w:hAnsi="Calibri" w:cs="宋体" w:hint="eastAsia"/>
          <w:spacing w:val="5"/>
          <w:kern w:val="0"/>
          <w:sz w:val="24"/>
        </w:rPr>
        <w:t>。</w:t>
      </w:r>
    </w:p>
    <w:p w14:paraId="52D1884F" w14:textId="77777777" w:rsidR="00C32AC2" w:rsidRPr="00C32AC2" w:rsidRDefault="00C32AC2" w:rsidP="00C32AC2">
      <w:pPr>
        <w:spacing w:line="440" w:lineRule="exact"/>
        <w:ind w:firstLineChars="200" w:firstLine="482"/>
        <w:rPr>
          <w:rFonts w:ascii="宋体" w:eastAsia="宋体" w:hAnsi="宋体" w:cs="Times New Roman"/>
          <w:bCs/>
          <w:color w:val="FF0000"/>
          <w:sz w:val="24"/>
        </w:rPr>
      </w:pPr>
      <w:r w:rsidRPr="00C32AC2">
        <w:rPr>
          <w:rFonts w:ascii="宋体" w:eastAsia="宋体" w:hAnsi="宋体" w:cs="Times New Roman" w:hint="eastAsia"/>
          <w:b/>
          <w:sz w:val="24"/>
        </w:rPr>
        <w:t>【学习内容】</w:t>
      </w:r>
    </w:p>
    <w:p w14:paraId="4B671863" w14:textId="77777777" w:rsidR="00C32AC2" w:rsidRPr="00C32AC2" w:rsidRDefault="00C32AC2" w:rsidP="00C32AC2">
      <w:pPr>
        <w:spacing w:beforeLines="50" w:before="156" w:afterLines="50" w:after="156" w:line="360" w:lineRule="auto"/>
        <w:jc w:val="center"/>
        <w:rPr>
          <w:rFonts w:ascii="宋体" w:eastAsia="宋体" w:hAnsi="Calibri" w:cs="Arial"/>
          <w:b/>
          <w:sz w:val="28"/>
          <w:szCs w:val="28"/>
        </w:rPr>
      </w:pPr>
      <w:r w:rsidRPr="00C32AC2">
        <w:rPr>
          <w:rFonts w:ascii="宋体" w:eastAsia="宋体" w:hAnsi="宋体" w:cs="Arial" w:hint="eastAsia"/>
          <w:b/>
          <w:sz w:val="28"/>
          <w:szCs w:val="28"/>
        </w:rPr>
        <w:t>第一章</w:t>
      </w:r>
      <w:r w:rsidRPr="00C32AC2">
        <w:rPr>
          <w:rFonts w:ascii="宋体" w:eastAsia="宋体" w:hAnsi="宋体" w:cs="Arial"/>
          <w:b/>
          <w:sz w:val="28"/>
          <w:szCs w:val="28"/>
        </w:rPr>
        <w:t xml:space="preserve">   </w:t>
      </w:r>
      <w:r w:rsidRPr="00C32AC2">
        <w:rPr>
          <w:rFonts w:ascii="宋体" w:eastAsia="宋体" w:hAnsi="宋体" w:cs="Arial" w:hint="eastAsia"/>
          <w:b/>
          <w:sz w:val="28"/>
          <w:szCs w:val="28"/>
        </w:rPr>
        <w:t>认识健康的重要性（0.5学时）</w:t>
      </w:r>
    </w:p>
    <w:p w14:paraId="4D1F7810" w14:textId="77777777" w:rsidR="00C32AC2" w:rsidRPr="00C32AC2" w:rsidRDefault="00C32AC2" w:rsidP="00C32AC2">
      <w:pPr>
        <w:spacing w:before="50" w:after="50"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4B4DDF72"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1.1 健康的内涵</w:t>
      </w:r>
    </w:p>
    <w:p w14:paraId="0581E5E5"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1.2 预防与消除亚健康</w:t>
      </w:r>
    </w:p>
    <w:p w14:paraId="635D2E9F"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1.3 维护健康的法则</w:t>
      </w:r>
    </w:p>
    <w:p w14:paraId="08D27EF4" w14:textId="77777777" w:rsidR="00C32AC2" w:rsidRPr="00C32AC2" w:rsidRDefault="00C32AC2" w:rsidP="00C32AC2">
      <w:pPr>
        <w:spacing w:line="360" w:lineRule="auto"/>
        <w:ind w:leftChars="-29" w:left="-61" w:firstLineChars="219" w:firstLine="528"/>
        <w:rPr>
          <w:rFonts w:ascii="Arial" w:eastAsia="宋体" w:hAnsi="Calibri" w:cs="Arial"/>
          <w:b/>
          <w:sz w:val="24"/>
        </w:rPr>
      </w:pPr>
      <w:r w:rsidRPr="00C32AC2">
        <w:rPr>
          <w:rFonts w:ascii="Arial" w:eastAsia="宋体" w:hAnsi="Calibri" w:cs="Arial" w:hint="eastAsia"/>
          <w:b/>
          <w:sz w:val="24"/>
        </w:rPr>
        <w:t>本章教学目的及要求：</w:t>
      </w:r>
      <w:r w:rsidRPr="00C32AC2">
        <w:rPr>
          <w:rFonts w:ascii="Arial" w:eastAsia="宋体" w:hAnsi="Arial" w:cs="Arial" w:hint="eastAsia"/>
          <w:sz w:val="24"/>
        </w:rPr>
        <w:t>使同学们了解自身健康的重要性及如何维护、促进自身的健康。</w:t>
      </w:r>
    </w:p>
    <w:p w14:paraId="0E5D0D6B" w14:textId="77777777" w:rsidR="00C32AC2" w:rsidRPr="00C32AC2" w:rsidRDefault="00C32AC2" w:rsidP="00C32AC2">
      <w:pPr>
        <w:adjustRightInd w:val="0"/>
        <w:snapToGrid w:val="0"/>
        <w:spacing w:line="500" w:lineRule="exact"/>
        <w:ind w:firstLineChars="196" w:firstLine="472"/>
        <w:rPr>
          <w:rFonts w:ascii="Arial" w:eastAsia="宋体" w:hAnsi="Arial" w:cs="Arial"/>
          <w:sz w:val="24"/>
        </w:rPr>
      </w:pPr>
      <w:r w:rsidRPr="00C32AC2">
        <w:rPr>
          <w:rFonts w:ascii="Arial" w:eastAsia="宋体" w:hAnsi="Calibri" w:cs="Arial" w:hint="eastAsia"/>
          <w:b/>
          <w:sz w:val="24"/>
        </w:rPr>
        <w:t>本章教学重点及难点：</w:t>
      </w:r>
      <w:r w:rsidRPr="00C32AC2">
        <w:rPr>
          <w:rFonts w:ascii="Arial" w:eastAsia="宋体" w:hAnsi="Arial" w:cs="Arial" w:hint="eastAsia"/>
          <w:sz w:val="24"/>
        </w:rPr>
        <w:t>认识到健康的重要性；如何维护自身的健康。</w:t>
      </w:r>
    </w:p>
    <w:p w14:paraId="22D86CE2" w14:textId="77777777" w:rsidR="00C32AC2" w:rsidRPr="00C32AC2" w:rsidRDefault="00C32AC2" w:rsidP="00C32AC2">
      <w:pPr>
        <w:spacing w:beforeLines="50" w:before="156" w:afterLines="50" w:after="156" w:line="360" w:lineRule="auto"/>
        <w:jc w:val="center"/>
        <w:rPr>
          <w:rFonts w:ascii="Arial" w:eastAsia="宋体" w:hAnsi="Arial" w:cs="Arial"/>
          <w:b/>
          <w:sz w:val="28"/>
          <w:szCs w:val="28"/>
        </w:rPr>
      </w:pPr>
      <w:r w:rsidRPr="00C32AC2">
        <w:rPr>
          <w:rFonts w:ascii="Arial" w:eastAsia="宋体" w:hAnsi="Calibri" w:cs="Arial" w:hint="eastAsia"/>
          <w:b/>
          <w:sz w:val="28"/>
          <w:szCs w:val="28"/>
        </w:rPr>
        <w:t>第二章</w:t>
      </w:r>
      <w:r w:rsidRPr="00C32AC2">
        <w:rPr>
          <w:rFonts w:ascii="Arial" w:eastAsia="宋体" w:hAnsi="Arial" w:cs="Arial"/>
          <w:b/>
          <w:sz w:val="28"/>
          <w:szCs w:val="28"/>
        </w:rPr>
        <w:t xml:space="preserve">   </w:t>
      </w:r>
      <w:r w:rsidRPr="00C32AC2">
        <w:rPr>
          <w:rFonts w:ascii="Arial" w:eastAsia="宋体" w:hAnsi="Calibri" w:cs="Arial" w:hint="eastAsia"/>
          <w:b/>
          <w:sz w:val="28"/>
          <w:szCs w:val="28"/>
        </w:rPr>
        <w:t>科学健身的理论与方法（</w:t>
      </w:r>
      <w:r w:rsidRPr="00C32AC2">
        <w:rPr>
          <w:rFonts w:ascii="Arial" w:eastAsia="宋体" w:hAnsi="Calibri" w:cs="Arial" w:hint="eastAsia"/>
          <w:b/>
          <w:sz w:val="28"/>
          <w:szCs w:val="28"/>
        </w:rPr>
        <w:t>0.5</w:t>
      </w:r>
      <w:r w:rsidRPr="00C32AC2">
        <w:rPr>
          <w:rFonts w:ascii="Arial" w:eastAsia="宋体" w:hAnsi="Calibri" w:cs="Arial" w:hint="eastAsia"/>
          <w:b/>
          <w:sz w:val="28"/>
          <w:szCs w:val="28"/>
        </w:rPr>
        <w:t>学时）</w:t>
      </w:r>
    </w:p>
    <w:p w14:paraId="63D5D79E"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1DBDA71C"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2.1 健身新理念</w:t>
      </w:r>
    </w:p>
    <w:p w14:paraId="0FC0A76E"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2.2 运动处方</w:t>
      </w:r>
    </w:p>
    <w:p w14:paraId="6CE3DAA9" w14:textId="77777777" w:rsidR="00C32AC2" w:rsidRPr="00C32AC2" w:rsidRDefault="00C32AC2" w:rsidP="00C32AC2">
      <w:pPr>
        <w:spacing w:line="360" w:lineRule="auto"/>
        <w:ind w:firstLineChars="196" w:firstLine="472"/>
        <w:rPr>
          <w:rFonts w:ascii="Calibri" w:eastAsia="宋体" w:hAnsi="Calibri" w:cs="Times New Roman"/>
          <w:bCs/>
          <w:sz w:val="24"/>
        </w:rPr>
      </w:pPr>
      <w:r w:rsidRPr="00C32AC2">
        <w:rPr>
          <w:rFonts w:ascii="Arial" w:eastAsia="宋体" w:hAnsi="Calibri" w:cs="Arial" w:hint="eastAsia"/>
          <w:b/>
          <w:sz w:val="24"/>
        </w:rPr>
        <w:t>本章教学目的及要求：</w:t>
      </w:r>
      <w:r w:rsidRPr="00C32AC2">
        <w:rPr>
          <w:rFonts w:ascii="Calibri" w:eastAsia="宋体" w:hAnsi="Calibri" w:cs="Times New Roman" w:hint="eastAsia"/>
          <w:bCs/>
          <w:sz w:val="24"/>
        </w:rPr>
        <w:t>使学生了解健身新理念及运动处方如何制定。</w:t>
      </w:r>
    </w:p>
    <w:p w14:paraId="7C486BF8" w14:textId="77777777" w:rsidR="00C32AC2" w:rsidRPr="00C32AC2" w:rsidRDefault="00C32AC2" w:rsidP="00C32AC2">
      <w:pPr>
        <w:spacing w:line="360" w:lineRule="auto"/>
        <w:ind w:firstLineChars="200" w:firstLine="482"/>
        <w:rPr>
          <w:rFonts w:ascii="Arial" w:eastAsia="宋体" w:hAnsi="Arial" w:cs="Arial"/>
          <w:sz w:val="24"/>
        </w:rPr>
      </w:pPr>
      <w:r w:rsidRPr="00C32AC2">
        <w:rPr>
          <w:rFonts w:ascii="Arial" w:eastAsia="宋体" w:hAnsi="Calibri" w:cs="Arial" w:hint="eastAsia"/>
          <w:b/>
          <w:sz w:val="24"/>
        </w:rPr>
        <w:lastRenderedPageBreak/>
        <w:t>本章教学重点及难点：</w:t>
      </w:r>
      <w:r w:rsidRPr="00C32AC2">
        <w:rPr>
          <w:rFonts w:ascii="Arial" w:eastAsia="宋体" w:hAnsi="Calibri" w:cs="Arial" w:hint="eastAsia"/>
          <w:sz w:val="24"/>
        </w:rPr>
        <w:t>制订运动处方的重要性；如何制订自身的运动处方。</w:t>
      </w:r>
    </w:p>
    <w:p w14:paraId="0162FC90" w14:textId="77777777" w:rsidR="00C32AC2" w:rsidRPr="00C32AC2" w:rsidRDefault="00C32AC2" w:rsidP="00C32AC2">
      <w:pPr>
        <w:spacing w:beforeLines="50" w:before="156" w:afterLines="50" w:after="156" w:line="360" w:lineRule="auto"/>
        <w:jc w:val="center"/>
        <w:rPr>
          <w:rFonts w:ascii="Arial" w:eastAsia="宋体" w:hAnsi="Arial" w:cs="Arial"/>
          <w:b/>
          <w:sz w:val="28"/>
          <w:szCs w:val="28"/>
        </w:rPr>
      </w:pPr>
      <w:r w:rsidRPr="00C32AC2">
        <w:rPr>
          <w:rFonts w:ascii="Arial" w:eastAsia="宋体" w:hAnsi="Calibri" w:cs="Arial" w:hint="eastAsia"/>
          <w:b/>
          <w:sz w:val="28"/>
          <w:szCs w:val="28"/>
        </w:rPr>
        <w:t>第三章</w:t>
      </w:r>
      <w:r w:rsidRPr="00C32AC2">
        <w:rPr>
          <w:rFonts w:ascii="Arial" w:eastAsia="宋体" w:hAnsi="Arial" w:cs="Arial"/>
          <w:b/>
          <w:sz w:val="28"/>
          <w:szCs w:val="28"/>
        </w:rPr>
        <w:t xml:space="preserve">   </w:t>
      </w:r>
      <w:r w:rsidRPr="00C32AC2">
        <w:rPr>
          <w:rFonts w:ascii="Arial" w:eastAsia="宋体" w:hAnsi="Calibri" w:cs="Arial" w:hint="eastAsia"/>
          <w:b/>
          <w:sz w:val="28"/>
          <w:szCs w:val="28"/>
        </w:rPr>
        <w:t>营养与健康（</w:t>
      </w:r>
      <w:r w:rsidRPr="00C32AC2">
        <w:rPr>
          <w:rFonts w:ascii="Arial" w:eastAsia="宋体" w:hAnsi="Calibri" w:cs="Arial" w:hint="eastAsia"/>
          <w:b/>
          <w:sz w:val="28"/>
          <w:szCs w:val="28"/>
        </w:rPr>
        <w:t>0.5</w:t>
      </w:r>
      <w:r w:rsidRPr="00C32AC2">
        <w:rPr>
          <w:rFonts w:ascii="Arial" w:eastAsia="宋体" w:hAnsi="Calibri" w:cs="Arial" w:hint="eastAsia"/>
          <w:b/>
          <w:sz w:val="28"/>
          <w:szCs w:val="28"/>
        </w:rPr>
        <w:t>学时）</w:t>
      </w:r>
    </w:p>
    <w:p w14:paraId="4D7FD057"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3B688401"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3.1 营养对健康的影响</w:t>
      </w:r>
    </w:p>
    <w:p w14:paraId="339CFCF8"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3.2 营养素及人体对营养的需要</w:t>
      </w:r>
    </w:p>
    <w:p w14:paraId="28A1916F"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3.3 平衡膳食</w:t>
      </w:r>
    </w:p>
    <w:p w14:paraId="595512E9"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3.4 运动与营养</w:t>
      </w:r>
    </w:p>
    <w:p w14:paraId="2FC34857" w14:textId="77777777" w:rsidR="00C32AC2" w:rsidRPr="00C32AC2" w:rsidRDefault="00C32AC2" w:rsidP="00C32AC2">
      <w:pPr>
        <w:spacing w:line="360" w:lineRule="auto"/>
        <w:ind w:firstLineChars="196" w:firstLine="472"/>
        <w:rPr>
          <w:rFonts w:ascii="Calibri" w:eastAsia="宋体" w:hAnsi="Calibri" w:cs="Times New Roman"/>
          <w:bCs/>
          <w:sz w:val="24"/>
        </w:rPr>
      </w:pPr>
      <w:r w:rsidRPr="00C32AC2">
        <w:rPr>
          <w:rFonts w:ascii="Arial" w:eastAsia="宋体" w:hAnsi="Calibri" w:cs="Arial" w:hint="eastAsia"/>
          <w:b/>
          <w:sz w:val="24"/>
        </w:rPr>
        <w:t>本章教学目的及要求：</w:t>
      </w:r>
      <w:r w:rsidRPr="00C32AC2">
        <w:rPr>
          <w:rFonts w:ascii="Calibri" w:eastAsia="宋体" w:hAnsi="Calibri" w:cs="Times New Roman" w:hint="eastAsia"/>
          <w:bCs/>
          <w:sz w:val="24"/>
        </w:rPr>
        <w:t>让学生正确认识科学补充营养可以提高自身免疫力，从而提高生活质量。</w:t>
      </w:r>
    </w:p>
    <w:p w14:paraId="71BB0752" w14:textId="77777777" w:rsidR="00C32AC2" w:rsidRPr="00C32AC2" w:rsidRDefault="00C32AC2" w:rsidP="00C32AC2">
      <w:pPr>
        <w:spacing w:line="360" w:lineRule="auto"/>
        <w:ind w:firstLineChars="196" w:firstLine="472"/>
        <w:rPr>
          <w:rFonts w:ascii="Arial" w:eastAsia="宋体" w:hAnsi="Arial" w:cs="Arial"/>
          <w:bCs/>
          <w:sz w:val="24"/>
        </w:rPr>
      </w:pPr>
      <w:r w:rsidRPr="00C32AC2">
        <w:rPr>
          <w:rFonts w:ascii="Arial" w:eastAsia="宋体" w:hAnsi="Calibri" w:cs="Arial" w:hint="eastAsia"/>
          <w:b/>
          <w:sz w:val="24"/>
        </w:rPr>
        <w:t>本章教学重点及难点：</w:t>
      </w:r>
      <w:r w:rsidRPr="00C32AC2">
        <w:rPr>
          <w:rFonts w:ascii="Arial" w:eastAsia="宋体" w:hAnsi="Calibri" w:cs="Arial" w:hint="eastAsia"/>
          <w:sz w:val="24"/>
        </w:rPr>
        <w:t>学生阶段的营养过剩与运动不足；补充营养的同时如何提高自身的健康。</w:t>
      </w:r>
    </w:p>
    <w:p w14:paraId="2F14CD33" w14:textId="77777777" w:rsidR="00C32AC2" w:rsidRPr="00C32AC2" w:rsidRDefault="00C32AC2" w:rsidP="00C32AC2">
      <w:pPr>
        <w:spacing w:beforeLines="50" w:before="156" w:afterLines="50" w:after="156" w:line="360" w:lineRule="auto"/>
        <w:jc w:val="center"/>
        <w:rPr>
          <w:rFonts w:ascii="Arial" w:eastAsia="宋体" w:hAnsi="Arial" w:cs="Arial"/>
          <w:b/>
          <w:sz w:val="28"/>
          <w:szCs w:val="28"/>
        </w:rPr>
      </w:pPr>
      <w:r w:rsidRPr="00C32AC2">
        <w:rPr>
          <w:rFonts w:ascii="Arial" w:eastAsia="宋体" w:hAnsi="Calibri" w:cs="Arial" w:hint="eastAsia"/>
          <w:b/>
          <w:sz w:val="28"/>
          <w:szCs w:val="28"/>
        </w:rPr>
        <w:t>第四章</w:t>
      </w:r>
      <w:r w:rsidRPr="00C32AC2">
        <w:rPr>
          <w:rFonts w:ascii="Arial" w:eastAsia="宋体" w:hAnsi="Arial" w:cs="Arial"/>
          <w:b/>
          <w:sz w:val="28"/>
          <w:szCs w:val="28"/>
        </w:rPr>
        <w:t xml:space="preserve">   </w:t>
      </w:r>
      <w:r w:rsidRPr="00C32AC2">
        <w:rPr>
          <w:rFonts w:ascii="Arial" w:eastAsia="宋体" w:hAnsi="Calibri" w:cs="Arial" w:hint="eastAsia"/>
          <w:b/>
          <w:sz w:val="28"/>
          <w:szCs w:val="28"/>
        </w:rPr>
        <w:t>体育保健知识（</w:t>
      </w:r>
      <w:r w:rsidRPr="00C32AC2">
        <w:rPr>
          <w:rFonts w:ascii="Arial" w:eastAsia="宋体" w:hAnsi="Calibri" w:cs="Arial" w:hint="eastAsia"/>
          <w:b/>
          <w:sz w:val="28"/>
          <w:szCs w:val="28"/>
        </w:rPr>
        <w:t>0.5</w:t>
      </w:r>
      <w:r w:rsidRPr="00C32AC2">
        <w:rPr>
          <w:rFonts w:ascii="Arial" w:eastAsia="宋体" w:hAnsi="Calibri" w:cs="Arial" w:hint="eastAsia"/>
          <w:b/>
          <w:sz w:val="28"/>
          <w:szCs w:val="28"/>
        </w:rPr>
        <w:t>学时）</w:t>
      </w:r>
    </w:p>
    <w:p w14:paraId="4C10F378"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4159298C"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4.1运动中常见的生理反应与处理方法</w:t>
      </w:r>
    </w:p>
    <w:p w14:paraId="149BA95E"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4.2 运动损伤的处置</w:t>
      </w:r>
    </w:p>
    <w:p w14:paraId="32BD35E5" w14:textId="77777777" w:rsidR="00C32AC2" w:rsidRPr="00C32AC2" w:rsidRDefault="00C32AC2" w:rsidP="00C32AC2">
      <w:pPr>
        <w:spacing w:line="360" w:lineRule="auto"/>
        <w:ind w:firstLineChars="196" w:firstLine="472"/>
        <w:rPr>
          <w:rFonts w:ascii="Calibri" w:eastAsia="宋体" w:hAnsi="Calibri" w:cs="Times New Roman"/>
          <w:bCs/>
          <w:sz w:val="24"/>
        </w:rPr>
      </w:pPr>
      <w:r w:rsidRPr="00C32AC2">
        <w:rPr>
          <w:rFonts w:ascii="Arial" w:eastAsia="宋体" w:hAnsi="Calibri" w:cs="Arial" w:hint="eastAsia"/>
          <w:b/>
          <w:sz w:val="24"/>
        </w:rPr>
        <w:t>本章教学目的及要求：</w:t>
      </w:r>
      <w:r w:rsidRPr="00C32AC2">
        <w:rPr>
          <w:rFonts w:ascii="Calibri" w:eastAsia="宋体" w:hAnsi="Calibri" w:cs="Times New Roman" w:hint="eastAsia"/>
          <w:bCs/>
          <w:sz w:val="24"/>
        </w:rPr>
        <w:t>使学生了解运动中常见的生理反应及处理方法。</w:t>
      </w:r>
    </w:p>
    <w:p w14:paraId="1FC95541" w14:textId="77777777" w:rsidR="00C32AC2" w:rsidRPr="00C32AC2" w:rsidRDefault="00C32AC2" w:rsidP="00C32AC2">
      <w:pPr>
        <w:spacing w:line="360" w:lineRule="auto"/>
        <w:ind w:firstLineChars="196" w:firstLine="472"/>
        <w:rPr>
          <w:rFonts w:ascii="Arial" w:eastAsia="宋体" w:hAnsi="Calibri" w:cs="Arial"/>
          <w:sz w:val="24"/>
        </w:rPr>
      </w:pPr>
      <w:r w:rsidRPr="00C32AC2">
        <w:rPr>
          <w:rFonts w:ascii="Arial" w:eastAsia="宋体" w:hAnsi="Calibri" w:cs="Arial" w:hint="eastAsia"/>
          <w:b/>
          <w:sz w:val="24"/>
        </w:rPr>
        <w:t>本章教学重点及难点：</w:t>
      </w:r>
      <w:r w:rsidRPr="00C32AC2">
        <w:rPr>
          <w:rFonts w:ascii="Arial" w:eastAsia="宋体" w:hAnsi="Calibri" w:cs="Arial" w:hint="eastAsia"/>
          <w:sz w:val="24"/>
        </w:rPr>
        <w:t>学生如何预防常见的运动损伤；损伤如何处置。</w:t>
      </w:r>
    </w:p>
    <w:p w14:paraId="09D867E6" w14:textId="77777777" w:rsidR="00C32AC2" w:rsidRPr="00C32AC2" w:rsidRDefault="00C32AC2" w:rsidP="00C32AC2">
      <w:pPr>
        <w:tabs>
          <w:tab w:val="left" w:pos="960"/>
        </w:tabs>
        <w:spacing w:beforeLines="50" w:before="156" w:afterLines="50" w:after="156" w:line="360" w:lineRule="auto"/>
        <w:jc w:val="center"/>
        <w:rPr>
          <w:rFonts w:ascii="宋体" w:eastAsia="宋体" w:hAnsi="Calibri" w:cs="Arial"/>
          <w:b/>
          <w:bCs/>
          <w:sz w:val="28"/>
          <w:szCs w:val="28"/>
        </w:rPr>
      </w:pPr>
      <w:r w:rsidRPr="00C32AC2">
        <w:rPr>
          <w:rFonts w:ascii="宋体" w:eastAsia="宋体" w:hAnsi="宋体" w:cs="Arial" w:hint="eastAsia"/>
          <w:b/>
          <w:bCs/>
          <w:sz w:val="28"/>
          <w:szCs w:val="28"/>
        </w:rPr>
        <w:t>第五章 了解体育文化（0.5课时）</w:t>
      </w:r>
    </w:p>
    <w:p w14:paraId="4E168865"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517B5A1D"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5.1中西方体育文化比较</w:t>
      </w:r>
    </w:p>
    <w:p w14:paraId="043CF90F"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5.2 奥林匹克体育文化</w:t>
      </w:r>
    </w:p>
    <w:p w14:paraId="322B64DB" w14:textId="77777777" w:rsidR="00C32AC2" w:rsidRPr="00C32AC2" w:rsidRDefault="00C32AC2" w:rsidP="00C32AC2">
      <w:pPr>
        <w:spacing w:line="360" w:lineRule="auto"/>
        <w:ind w:firstLineChars="196" w:firstLine="472"/>
        <w:rPr>
          <w:rFonts w:ascii="Arial" w:eastAsia="宋体" w:hAnsi="Calibri" w:cs="Arial"/>
          <w:b/>
          <w:sz w:val="24"/>
        </w:rPr>
      </w:pPr>
      <w:r w:rsidRPr="00C32AC2">
        <w:rPr>
          <w:rFonts w:ascii="Arial" w:eastAsia="宋体" w:hAnsi="Calibri" w:cs="Arial" w:hint="eastAsia"/>
          <w:b/>
          <w:sz w:val="24"/>
        </w:rPr>
        <w:t>本章教学目的及要求：</w:t>
      </w:r>
      <w:r w:rsidRPr="00C32AC2">
        <w:rPr>
          <w:rFonts w:ascii="Arial" w:eastAsia="宋体" w:hAnsi="Calibri" w:cs="Arial" w:hint="eastAsia"/>
          <w:bCs/>
          <w:sz w:val="24"/>
          <w:szCs w:val="28"/>
        </w:rPr>
        <w:t>让学生了解东西方体育文化的差异。</w:t>
      </w:r>
    </w:p>
    <w:p w14:paraId="45C8E612" w14:textId="77777777" w:rsidR="00C32AC2" w:rsidRPr="00C32AC2" w:rsidRDefault="00C32AC2" w:rsidP="00C32AC2">
      <w:pPr>
        <w:spacing w:line="360" w:lineRule="auto"/>
        <w:ind w:firstLineChars="196" w:firstLine="472"/>
        <w:rPr>
          <w:rFonts w:ascii="Arial" w:eastAsia="宋体" w:hAnsi="Calibri" w:cs="Arial"/>
          <w:b/>
          <w:sz w:val="24"/>
        </w:rPr>
      </w:pPr>
      <w:r w:rsidRPr="00C32AC2">
        <w:rPr>
          <w:rFonts w:ascii="Arial" w:eastAsia="宋体" w:hAnsi="Calibri" w:cs="Arial" w:hint="eastAsia"/>
          <w:b/>
          <w:sz w:val="24"/>
        </w:rPr>
        <w:t>本章教学重点及难点：</w:t>
      </w:r>
      <w:r w:rsidRPr="00C32AC2">
        <w:rPr>
          <w:rFonts w:ascii="Arial" w:eastAsia="宋体" w:hAnsi="Calibri" w:cs="Arial" w:hint="eastAsia"/>
          <w:sz w:val="24"/>
        </w:rPr>
        <w:t>介绍奥林匹克文化的发展</w:t>
      </w:r>
      <w:r w:rsidRPr="00C32AC2">
        <w:rPr>
          <w:rFonts w:ascii="Arial" w:eastAsia="宋体" w:hAnsi="Calibri" w:cs="Arial" w:hint="eastAsia"/>
          <w:bCs/>
          <w:sz w:val="24"/>
          <w:szCs w:val="28"/>
        </w:rPr>
        <w:t>；介绍校园体育文化的发展与功能。</w:t>
      </w:r>
    </w:p>
    <w:p w14:paraId="472F2970" w14:textId="77777777" w:rsidR="00C32AC2" w:rsidRPr="00C32AC2" w:rsidRDefault="00C32AC2" w:rsidP="00C32AC2">
      <w:pPr>
        <w:spacing w:beforeLines="50" w:before="156" w:afterLines="50" w:after="156" w:line="360" w:lineRule="auto"/>
        <w:jc w:val="center"/>
        <w:rPr>
          <w:rFonts w:ascii="Arial" w:eastAsia="宋体" w:hAnsi="Calibri" w:cs="Arial"/>
          <w:b/>
          <w:sz w:val="28"/>
          <w:szCs w:val="28"/>
        </w:rPr>
      </w:pPr>
      <w:r w:rsidRPr="00C32AC2">
        <w:rPr>
          <w:rFonts w:ascii="宋体" w:eastAsia="宋体" w:hAnsi="宋体" w:cs="宋体" w:hint="eastAsia"/>
          <w:b/>
          <w:bCs/>
          <w:sz w:val="28"/>
          <w:szCs w:val="28"/>
        </w:rPr>
        <w:t>第六章 欣赏体育比赛</w:t>
      </w:r>
      <w:r w:rsidRPr="00C32AC2">
        <w:rPr>
          <w:rFonts w:ascii="Arial" w:eastAsia="宋体" w:hAnsi="Calibri" w:cs="Arial" w:hint="eastAsia"/>
          <w:b/>
          <w:sz w:val="28"/>
          <w:szCs w:val="28"/>
        </w:rPr>
        <w:t>（</w:t>
      </w:r>
      <w:r w:rsidRPr="00C32AC2">
        <w:rPr>
          <w:rFonts w:ascii="Arial" w:eastAsia="宋体" w:hAnsi="Arial" w:cs="Arial" w:hint="eastAsia"/>
          <w:b/>
          <w:sz w:val="28"/>
          <w:szCs w:val="28"/>
        </w:rPr>
        <w:t>0.5</w:t>
      </w:r>
      <w:r w:rsidRPr="00C32AC2">
        <w:rPr>
          <w:rFonts w:ascii="Arial" w:eastAsia="宋体" w:hAnsi="Calibri" w:cs="Arial" w:hint="eastAsia"/>
          <w:b/>
          <w:sz w:val="28"/>
          <w:szCs w:val="28"/>
        </w:rPr>
        <w:t>学时）</w:t>
      </w:r>
    </w:p>
    <w:p w14:paraId="775592EA"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lastRenderedPageBreak/>
        <w:t>本章主要教学内容：</w:t>
      </w:r>
    </w:p>
    <w:p w14:paraId="28F2040F"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6.1体育欣赏的体育美学原理及特点</w:t>
      </w:r>
    </w:p>
    <w:p w14:paraId="67928066"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6.2 体育运动的欣赏内容</w:t>
      </w:r>
    </w:p>
    <w:p w14:paraId="7A54B7CC"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6.3 特定运动项目的欣赏</w:t>
      </w:r>
    </w:p>
    <w:p w14:paraId="1F1BF8C9" w14:textId="77777777" w:rsidR="00C32AC2" w:rsidRPr="00C32AC2" w:rsidRDefault="00C32AC2" w:rsidP="00C32AC2">
      <w:pPr>
        <w:spacing w:line="360" w:lineRule="auto"/>
        <w:ind w:firstLineChars="196" w:firstLine="472"/>
        <w:rPr>
          <w:rFonts w:ascii="Arial" w:eastAsia="宋体" w:hAnsi="Calibri" w:cs="Arial"/>
          <w:b/>
          <w:sz w:val="24"/>
        </w:rPr>
      </w:pPr>
      <w:r w:rsidRPr="00C32AC2">
        <w:rPr>
          <w:rFonts w:ascii="Arial" w:eastAsia="宋体" w:hAnsi="Calibri" w:cs="Arial" w:hint="eastAsia"/>
          <w:b/>
          <w:sz w:val="24"/>
        </w:rPr>
        <w:t>本章教学目的及要求：</w:t>
      </w:r>
      <w:r w:rsidRPr="00C32AC2">
        <w:rPr>
          <w:rFonts w:ascii="Arial" w:eastAsia="宋体" w:hAnsi="Calibri" w:cs="Arial" w:hint="eastAsia"/>
          <w:bCs/>
          <w:sz w:val="24"/>
          <w:szCs w:val="28"/>
        </w:rPr>
        <w:t>使学生提高体育文化素质，培养起体育欣赏的兴趣，树立正确的体育审美观念。</w:t>
      </w:r>
    </w:p>
    <w:p w14:paraId="0F23EB3F" w14:textId="77777777" w:rsidR="00C32AC2" w:rsidRPr="00C32AC2" w:rsidRDefault="00C32AC2" w:rsidP="00C32AC2">
      <w:pPr>
        <w:spacing w:line="360" w:lineRule="auto"/>
        <w:ind w:firstLineChars="196" w:firstLine="472"/>
        <w:rPr>
          <w:rFonts w:ascii="Arial" w:eastAsia="宋体" w:hAnsi="Calibri" w:cs="Arial"/>
          <w:b/>
          <w:sz w:val="24"/>
        </w:rPr>
      </w:pPr>
      <w:r w:rsidRPr="00C32AC2">
        <w:rPr>
          <w:rFonts w:ascii="Arial" w:eastAsia="宋体" w:hAnsi="Calibri" w:cs="Arial" w:hint="eastAsia"/>
          <w:b/>
          <w:sz w:val="24"/>
        </w:rPr>
        <w:t>本章教学重点及难点：</w:t>
      </w:r>
      <w:r w:rsidRPr="00C32AC2">
        <w:rPr>
          <w:rFonts w:ascii="Arial" w:eastAsia="宋体" w:hAnsi="Calibri" w:cs="Arial" w:hint="eastAsia"/>
          <w:sz w:val="24"/>
        </w:rPr>
        <w:t>如何欣赏球类比赛</w:t>
      </w:r>
      <w:r w:rsidRPr="00C32AC2">
        <w:rPr>
          <w:rFonts w:ascii="Arial" w:eastAsia="宋体" w:hAnsi="Calibri" w:cs="Arial" w:hint="eastAsia"/>
          <w:bCs/>
          <w:sz w:val="24"/>
          <w:szCs w:val="28"/>
        </w:rPr>
        <w:t>；如何提高体育欣赏水平。</w:t>
      </w:r>
    </w:p>
    <w:p w14:paraId="70049A83" w14:textId="77777777" w:rsidR="00C32AC2" w:rsidRPr="00C32AC2" w:rsidRDefault="00C32AC2" w:rsidP="00C32AC2">
      <w:pPr>
        <w:spacing w:beforeLines="50" w:before="156" w:afterLines="50" w:after="156" w:line="360" w:lineRule="auto"/>
        <w:jc w:val="center"/>
        <w:rPr>
          <w:rFonts w:ascii="Arial" w:eastAsia="宋体" w:hAnsi="Arial" w:cs="Arial"/>
          <w:b/>
          <w:sz w:val="28"/>
          <w:szCs w:val="28"/>
        </w:rPr>
      </w:pPr>
      <w:r w:rsidRPr="00C32AC2">
        <w:rPr>
          <w:rFonts w:ascii="Arial" w:eastAsia="宋体" w:hAnsi="Calibri" w:cs="Arial" w:hint="eastAsia"/>
          <w:b/>
          <w:sz w:val="28"/>
          <w:szCs w:val="28"/>
        </w:rPr>
        <w:t>第七章</w:t>
      </w:r>
      <w:r w:rsidRPr="00C32AC2">
        <w:rPr>
          <w:rFonts w:ascii="Arial" w:eastAsia="宋体" w:hAnsi="Arial" w:cs="Arial"/>
          <w:b/>
          <w:sz w:val="28"/>
          <w:szCs w:val="28"/>
        </w:rPr>
        <w:t xml:space="preserve">   </w:t>
      </w:r>
      <w:r w:rsidRPr="00C32AC2">
        <w:rPr>
          <w:rFonts w:ascii="Arial" w:eastAsia="宋体" w:hAnsi="Arial" w:cs="Arial"/>
          <w:b/>
          <w:sz w:val="28"/>
          <w:szCs w:val="28"/>
        </w:rPr>
        <w:t>大</w:t>
      </w:r>
      <w:r w:rsidRPr="00C32AC2">
        <w:rPr>
          <w:rFonts w:ascii="Arial" w:eastAsia="宋体" w:hAnsi="Calibri" w:cs="Arial" w:hint="eastAsia"/>
          <w:b/>
          <w:sz w:val="28"/>
          <w:szCs w:val="28"/>
        </w:rPr>
        <w:t>学生体质健康测评（</w:t>
      </w:r>
      <w:r w:rsidRPr="00C32AC2">
        <w:rPr>
          <w:rFonts w:ascii="Arial" w:eastAsia="宋体" w:hAnsi="Calibri" w:cs="Arial" w:hint="eastAsia"/>
          <w:b/>
          <w:sz w:val="28"/>
          <w:szCs w:val="28"/>
        </w:rPr>
        <w:t>4</w:t>
      </w:r>
      <w:r w:rsidRPr="00C32AC2">
        <w:rPr>
          <w:rFonts w:ascii="Arial" w:eastAsia="宋体" w:hAnsi="Calibri" w:cs="Arial" w:hint="eastAsia"/>
          <w:b/>
          <w:sz w:val="28"/>
          <w:szCs w:val="28"/>
        </w:rPr>
        <w:t>学时）</w:t>
      </w:r>
    </w:p>
    <w:p w14:paraId="7BA8907E"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0CBC2A30"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7.1 《国家学生体质健康标准》实施说明</w:t>
      </w:r>
    </w:p>
    <w:p w14:paraId="29AB2305"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7.2 《国家学生体质健康标准》测试评分表</w:t>
      </w:r>
    </w:p>
    <w:p w14:paraId="256B3768" w14:textId="77777777" w:rsidR="00C32AC2" w:rsidRPr="00C32AC2" w:rsidRDefault="00C32AC2" w:rsidP="00C32AC2">
      <w:pPr>
        <w:spacing w:line="360" w:lineRule="auto"/>
        <w:ind w:firstLineChars="196" w:firstLine="472"/>
        <w:rPr>
          <w:rFonts w:ascii="Calibri" w:eastAsia="宋体" w:hAnsi="Calibri" w:cs="Times New Roman"/>
          <w:bCs/>
          <w:sz w:val="24"/>
        </w:rPr>
      </w:pPr>
      <w:r w:rsidRPr="00C32AC2">
        <w:rPr>
          <w:rFonts w:ascii="Arial" w:eastAsia="宋体" w:hAnsi="Calibri" w:cs="Arial" w:hint="eastAsia"/>
          <w:b/>
          <w:sz w:val="24"/>
        </w:rPr>
        <w:t>本章教学目的及要求：</w:t>
      </w:r>
      <w:r w:rsidRPr="00C32AC2">
        <w:rPr>
          <w:rFonts w:ascii="Calibri" w:eastAsia="宋体" w:hAnsi="Calibri" w:cs="Times New Roman" w:hint="eastAsia"/>
          <w:bCs/>
          <w:sz w:val="24"/>
        </w:rPr>
        <w:t>使学生了解体质健康的主要内容及要求。</w:t>
      </w:r>
    </w:p>
    <w:p w14:paraId="1D395A4A" w14:textId="77777777" w:rsidR="00C32AC2" w:rsidRPr="00C32AC2" w:rsidRDefault="00C32AC2" w:rsidP="00C32AC2">
      <w:pPr>
        <w:spacing w:line="360" w:lineRule="auto"/>
        <w:ind w:firstLineChars="196" w:firstLine="472"/>
        <w:rPr>
          <w:rFonts w:ascii="Arial" w:eastAsia="宋体" w:hAnsi="Calibri" w:cs="Arial"/>
          <w:sz w:val="24"/>
        </w:rPr>
      </w:pPr>
      <w:r w:rsidRPr="00C32AC2">
        <w:rPr>
          <w:rFonts w:ascii="Arial" w:eastAsia="宋体" w:hAnsi="Calibri" w:cs="Arial" w:hint="eastAsia"/>
          <w:b/>
          <w:sz w:val="24"/>
        </w:rPr>
        <w:t>本章教学重点及难点：</w:t>
      </w:r>
      <w:r w:rsidRPr="00C32AC2">
        <w:rPr>
          <w:rFonts w:ascii="Arial" w:eastAsia="宋体" w:hAnsi="Calibri" w:cs="Arial" w:hint="eastAsia"/>
          <w:sz w:val="24"/>
        </w:rPr>
        <w:t>学生体质健康标准的重要性；如何激发学生锻炼身体的积极性和自觉性。</w:t>
      </w:r>
    </w:p>
    <w:p w14:paraId="3C4983A1" w14:textId="77777777" w:rsidR="00C32AC2" w:rsidRPr="00C32AC2" w:rsidRDefault="00C32AC2" w:rsidP="00C32AC2">
      <w:pPr>
        <w:spacing w:beforeLines="50" w:before="156" w:afterLines="50" w:after="156" w:line="360" w:lineRule="auto"/>
        <w:jc w:val="center"/>
        <w:rPr>
          <w:rFonts w:ascii="Arial" w:eastAsia="宋体" w:hAnsi="Calibri" w:cs="Arial"/>
          <w:b/>
          <w:sz w:val="28"/>
          <w:szCs w:val="28"/>
        </w:rPr>
      </w:pPr>
      <w:r w:rsidRPr="00C32AC2">
        <w:rPr>
          <w:rFonts w:ascii="Arial" w:eastAsia="宋体" w:hAnsi="Arial" w:cs="Arial" w:hint="eastAsia"/>
          <w:b/>
          <w:sz w:val="28"/>
          <w:szCs w:val="28"/>
        </w:rPr>
        <w:t>第八章</w:t>
      </w:r>
      <w:r w:rsidRPr="00C32AC2">
        <w:rPr>
          <w:rFonts w:ascii="Arial" w:eastAsia="宋体" w:hAnsi="Arial" w:cs="Arial"/>
          <w:b/>
          <w:sz w:val="28"/>
          <w:szCs w:val="28"/>
        </w:rPr>
        <w:t xml:space="preserve">  </w:t>
      </w:r>
      <w:r w:rsidRPr="00C32AC2">
        <w:rPr>
          <w:rFonts w:ascii="宋体" w:eastAsia="宋体" w:hAnsi="宋体" w:cs="Arial" w:hint="eastAsia"/>
          <w:b/>
          <w:bCs/>
          <w:sz w:val="28"/>
          <w:szCs w:val="28"/>
        </w:rPr>
        <w:t>体能训练</w:t>
      </w:r>
      <w:r w:rsidRPr="00C32AC2">
        <w:rPr>
          <w:rFonts w:ascii="Arial" w:eastAsia="宋体" w:hAnsi="Calibri" w:cs="Arial" w:hint="eastAsia"/>
          <w:b/>
          <w:sz w:val="28"/>
          <w:szCs w:val="28"/>
        </w:rPr>
        <w:t>（</w:t>
      </w:r>
      <w:r w:rsidRPr="00C32AC2">
        <w:rPr>
          <w:rFonts w:ascii="Arial" w:eastAsia="宋体" w:hAnsi="Calibri" w:cs="Arial" w:hint="eastAsia"/>
          <w:b/>
          <w:sz w:val="28"/>
          <w:szCs w:val="28"/>
        </w:rPr>
        <w:t>13</w:t>
      </w:r>
      <w:r w:rsidRPr="00C32AC2">
        <w:rPr>
          <w:rFonts w:ascii="Arial" w:eastAsia="宋体" w:hAnsi="Calibri" w:cs="Arial" w:hint="eastAsia"/>
          <w:b/>
          <w:sz w:val="28"/>
          <w:szCs w:val="28"/>
        </w:rPr>
        <w:t>学时）</w:t>
      </w:r>
    </w:p>
    <w:p w14:paraId="6B4B7A8C"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49A93C81"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8.1体能训练简介</w:t>
      </w:r>
    </w:p>
    <w:p w14:paraId="7C82ED36"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8.2加速能力及力量训练</w:t>
      </w:r>
    </w:p>
    <w:p w14:paraId="45D33457"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8.3弹跳能力及力量训练</w:t>
      </w:r>
    </w:p>
    <w:p w14:paraId="528BD408"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8.4灵敏能力及力量训练</w:t>
      </w:r>
    </w:p>
    <w:p w14:paraId="59521C5C"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8.5耐力能力及无氧训练</w:t>
      </w:r>
    </w:p>
    <w:p w14:paraId="3E16CD03"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8.6弹跳能力及力量测试</w:t>
      </w:r>
    </w:p>
    <w:p w14:paraId="0BC3D2E5"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8.7上肢（男）力量训练2.腹肌（女）力量训练</w:t>
      </w:r>
    </w:p>
    <w:p w14:paraId="727E56C2"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8.8耐力能力及无氧训练</w:t>
      </w:r>
    </w:p>
    <w:p w14:paraId="73D339D3"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8.9引体向上（男）；一分钟仰卧起坐（女）</w:t>
      </w:r>
    </w:p>
    <w:p w14:paraId="095E3C7B"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8.10立定跳远测试</w:t>
      </w:r>
    </w:p>
    <w:p w14:paraId="7F42F2A7" w14:textId="77777777" w:rsidR="00C32AC2" w:rsidRPr="00C32AC2" w:rsidRDefault="00C32AC2" w:rsidP="00C32AC2">
      <w:pPr>
        <w:spacing w:line="360" w:lineRule="auto"/>
        <w:ind w:firstLineChars="196" w:firstLine="472"/>
        <w:rPr>
          <w:rFonts w:ascii="Arial" w:eastAsia="宋体" w:hAnsi="Arial" w:cs="Arial"/>
          <w:sz w:val="24"/>
        </w:rPr>
      </w:pPr>
      <w:r w:rsidRPr="00C32AC2">
        <w:rPr>
          <w:rFonts w:ascii="Arial" w:eastAsia="宋体" w:hAnsi="Calibri" w:cs="Arial" w:hint="eastAsia"/>
          <w:b/>
          <w:sz w:val="24"/>
        </w:rPr>
        <w:t>本章教学目的及要求：</w:t>
      </w:r>
      <w:r w:rsidRPr="00C32AC2">
        <w:rPr>
          <w:rFonts w:ascii="Arial" w:eastAsia="宋体" w:hAnsi="Calibri" w:cs="Arial" w:hint="eastAsia"/>
          <w:sz w:val="24"/>
        </w:rPr>
        <w:t>掌握方法后课下能够自己提高；提高全身柔韧性及身体的</w:t>
      </w:r>
      <w:r w:rsidRPr="00C32AC2">
        <w:rPr>
          <w:rFonts w:ascii="Arial" w:eastAsia="宋体" w:hAnsi="Calibri" w:cs="Arial" w:hint="eastAsia"/>
          <w:sz w:val="24"/>
        </w:rPr>
        <w:lastRenderedPageBreak/>
        <w:t>协调性。</w:t>
      </w:r>
    </w:p>
    <w:p w14:paraId="4663E4CF" w14:textId="77777777" w:rsidR="00C32AC2" w:rsidRPr="00C32AC2" w:rsidRDefault="00C32AC2" w:rsidP="00C32AC2">
      <w:pPr>
        <w:adjustRightInd w:val="0"/>
        <w:snapToGrid w:val="0"/>
        <w:spacing w:beforeLines="50" w:before="156" w:afterLines="50" w:after="156" w:line="500" w:lineRule="exact"/>
        <w:jc w:val="center"/>
        <w:rPr>
          <w:rFonts w:ascii="宋体" w:eastAsia="宋体" w:hAnsi="Calibri" w:cs="Times New Roman"/>
          <w:b/>
          <w:sz w:val="28"/>
          <w:szCs w:val="28"/>
        </w:rPr>
      </w:pPr>
      <w:r w:rsidRPr="00C32AC2">
        <w:rPr>
          <w:rFonts w:ascii="宋体" w:eastAsia="宋体" w:hAnsi="宋体" w:cs="Times New Roman" w:hint="eastAsia"/>
          <w:b/>
          <w:sz w:val="28"/>
          <w:szCs w:val="28"/>
        </w:rPr>
        <w:t>第九章</w:t>
      </w:r>
      <w:r w:rsidRPr="00C32AC2">
        <w:rPr>
          <w:rFonts w:ascii="宋体" w:eastAsia="宋体" w:hAnsi="宋体" w:cs="Times New Roman"/>
          <w:b/>
          <w:sz w:val="28"/>
          <w:szCs w:val="28"/>
        </w:rPr>
        <w:t xml:space="preserve">  </w:t>
      </w:r>
      <w:r w:rsidRPr="00C32AC2">
        <w:rPr>
          <w:rFonts w:ascii="宋体" w:eastAsia="宋体" w:hAnsi="宋体" w:cs="Times New Roman" w:hint="eastAsia"/>
          <w:b/>
          <w:sz w:val="28"/>
          <w:szCs w:val="28"/>
        </w:rPr>
        <w:t>篮球基本技术</w:t>
      </w:r>
      <w:r w:rsidRPr="00C32AC2">
        <w:rPr>
          <w:rFonts w:ascii="宋体" w:eastAsia="宋体" w:hAnsi="宋体" w:cs="Times New Roman"/>
          <w:b/>
          <w:sz w:val="28"/>
          <w:szCs w:val="28"/>
        </w:rPr>
        <w:t xml:space="preserve"> </w:t>
      </w:r>
      <w:r w:rsidRPr="00C32AC2">
        <w:rPr>
          <w:rFonts w:ascii="宋体" w:eastAsia="宋体" w:hAnsi="宋体" w:cs="Times New Roman" w:hint="eastAsia"/>
          <w:b/>
          <w:sz w:val="28"/>
          <w:szCs w:val="28"/>
        </w:rPr>
        <w:t>（12学时）</w:t>
      </w:r>
    </w:p>
    <w:p w14:paraId="014DA1A9"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1A3F7650"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9.1</w:t>
      </w:r>
      <w:r w:rsidRPr="00C32AC2">
        <w:rPr>
          <w:rFonts w:ascii="宋体" w:eastAsia="宋体" w:hAnsi="Calibri" w:cs="宋体" w:hint="eastAsia"/>
          <w:spacing w:val="1"/>
          <w:kern w:val="0"/>
          <w:sz w:val="24"/>
        </w:rPr>
        <w:t>教学内容与学时分配</w:t>
      </w:r>
    </w:p>
    <w:p w14:paraId="0FAA8B19"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9.1.1 基本球性讲解与练习：</w:t>
      </w:r>
    </w:p>
    <w:p w14:paraId="1CA6E742"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9.1.1.1 原地不运球</w:t>
      </w:r>
      <w:proofErr w:type="gramStart"/>
      <w:r w:rsidRPr="00C32AC2">
        <w:rPr>
          <w:rFonts w:ascii="宋体" w:eastAsia="宋体" w:hAnsi="宋体" w:cs="宋体" w:hint="eastAsia"/>
          <w:sz w:val="24"/>
        </w:rPr>
        <w:t>球</w:t>
      </w:r>
      <w:proofErr w:type="gramEnd"/>
      <w:r w:rsidRPr="00C32AC2">
        <w:rPr>
          <w:rFonts w:ascii="宋体" w:eastAsia="宋体" w:hAnsi="宋体" w:cs="宋体" w:hint="eastAsia"/>
          <w:sz w:val="24"/>
        </w:rPr>
        <w:t>性</w:t>
      </w:r>
    </w:p>
    <w:p w14:paraId="4A028E67"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9.1.1.2 原地运球</w:t>
      </w:r>
      <w:proofErr w:type="gramStart"/>
      <w:r w:rsidRPr="00C32AC2">
        <w:rPr>
          <w:rFonts w:ascii="宋体" w:eastAsia="宋体" w:hAnsi="宋体" w:cs="宋体" w:hint="eastAsia"/>
          <w:sz w:val="24"/>
        </w:rPr>
        <w:t>球</w:t>
      </w:r>
      <w:proofErr w:type="gramEnd"/>
      <w:r w:rsidRPr="00C32AC2">
        <w:rPr>
          <w:rFonts w:ascii="宋体" w:eastAsia="宋体" w:hAnsi="宋体" w:cs="宋体" w:hint="eastAsia"/>
          <w:sz w:val="24"/>
        </w:rPr>
        <w:t>性</w:t>
      </w:r>
    </w:p>
    <w:p w14:paraId="5F1DE92F"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9.1.2 篮球脚步移动、行进间运球、三步上篮讲解与练习</w:t>
      </w:r>
    </w:p>
    <w:p w14:paraId="1987977A"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9.1.3 投篮、传球讲解与练习</w:t>
      </w:r>
    </w:p>
    <w:p w14:paraId="01CAF047" w14:textId="77777777" w:rsidR="00C32AC2" w:rsidRPr="00C32AC2" w:rsidRDefault="00C32AC2" w:rsidP="00C32AC2">
      <w:pPr>
        <w:spacing w:line="360" w:lineRule="auto"/>
        <w:ind w:firstLineChars="200" w:firstLine="480"/>
        <w:rPr>
          <w:rFonts w:ascii="宋体" w:eastAsia="宋体" w:hAnsi="宋体" w:cs="宋体"/>
          <w:sz w:val="24"/>
        </w:rPr>
      </w:pPr>
      <w:r w:rsidRPr="00C32AC2">
        <w:rPr>
          <w:rFonts w:ascii="宋体" w:eastAsia="宋体" w:hAnsi="宋体" w:cs="宋体" w:hint="eastAsia"/>
          <w:sz w:val="24"/>
        </w:rPr>
        <w:t>9.1.4 个人防守基本功讲解与练习</w:t>
      </w:r>
    </w:p>
    <w:p w14:paraId="617075CF" w14:textId="77777777" w:rsidR="00C32AC2" w:rsidRPr="00C32AC2" w:rsidRDefault="00C32AC2" w:rsidP="00C32AC2">
      <w:pPr>
        <w:spacing w:line="360" w:lineRule="auto"/>
        <w:ind w:firstLineChars="200" w:firstLine="480"/>
        <w:rPr>
          <w:rFonts w:ascii="宋体" w:eastAsia="宋体" w:hAnsi="宋体" w:cs="Arial"/>
          <w:sz w:val="24"/>
        </w:rPr>
      </w:pPr>
      <w:r w:rsidRPr="00C32AC2">
        <w:rPr>
          <w:rFonts w:ascii="宋体" w:eastAsia="宋体" w:hAnsi="宋体" w:cs="宋体" w:hint="eastAsia"/>
          <w:sz w:val="24"/>
        </w:rPr>
        <w:t xml:space="preserve">9.2 </w:t>
      </w:r>
      <w:r w:rsidRPr="00C32AC2">
        <w:rPr>
          <w:rFonts w:ascii="宋体" w:eastAsia="宋体" w:hAnsi="宋体" w:cs="Arial" w:hint="eastAsia"/>
          <w:sz w:val="24"/>
        </w:rPr>
        <w:t>篮球选项</w:t>
      </w:r>
      <w:proofErr w:type="gramStart"/>
      <w:r w:rsidRPr="00C32AC2">
        <w:rPr>
          <w:rFonts w:ascii="宋体" w:eastAsia="宋体" w:hAnsi="宋体" w:cs="Arial" w:hint="eastAsia"/>
          <w:sz w:val="24"/>
        </w:rPr>
        <w:t>课项目</w:t>
      </w:r>
      <w:proofErr w:type="gramEnd"/>
      <w:r w:rsidRPr="00C32AC2">
        <w:rPr>
          <w:rFonts w:ascii="宋体" w:eastAsia="宋体" w:hAnsi="宋体" w:cs="Arial" w:hint="eastAsia"/>
          <w:sz w:val="24"/>
        </w:rPr>
        <w:t>内容安排（12学时）</w:t>
      </w:r>
    </w:p>
    <w:tbl>
      <w:tblPr>
        <w:tblW w:w="9275" w:type="dxa"/>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6136"/>
        <w:gridCol w:w="850"/>
        <w:gridCol w:w="851"/>
        <w:gridCol w:w="993"/>
      </w:tblGrid>
      <w:tr w:rsidR="00C32AC2" w:rsidRPr="00C32AC2" w14:paraId="4D90B047"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26471E0"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 xml:space="preserve">序号 </w:t>
            </w:r>
          </w:p>
        </w:tc>
        <w:tc>
          <w:tcPr>
            <w:tcW w:w="6106" w:type="dxa"/>
            <w:tcBorders>
              <w:top w:val="outset" w:sz="6" w:space="0" w:color="auto"/>
              <w:left w:val="outset" w:sz="6" w:space="0" w:color="auto"/>
              <w:bottom w:val="outset" w:sz="6" w:space="0" w:color="auto"/>
              <w:right w:val="outset" w:sz="6" w:space="0" w:color="auto"/>
            </w:tcBorders>
            <w:vAlign w:val="center"/>
          </w:tcPr>
          <w:p w14:paraId="52716987"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 xml:space="preserve">教学内容 </w:t>
            </w:r>
          </w:p>
        </w:tc>
        <w:tc>
          <w:tcPr>
            <w:tcW w:w="820" w:type="dxa"/>
            <w:tcBorders>
              <w:top w:val="outset" w:sz="6" w:space="0" w:color="auto"/>
              <w:left w:val="outset" w:sz="6" w:space="0" w:color="auto"/>
              <w:bottom w:val="outset" w:sz="6" w:space="0" w:color="auto"/>
              <w:right w:val="outset" w:sz="6" w:space="0" w:color="auto"/>
            </w:tcBorders>
            <w:vAlign w:val="center"/>
          </w:tcPr>
          <w:p w14:paraId="63EA4100"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 xml:space="preserve">理论时数 </w:t>
            </w: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CCC787D"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 xml:space="preserve">实践时数 </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B3724EF"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 xml:space="preserve">备注 </w:t>
            </w:r>
          </w:p>
        </w:tc>
      </w:tr>
      <w:tr w:rsidR="00C32AC2" w:rsidRPr="00C32AC2" w14:paraId="10A1A932"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2C76A43"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 xml:space="preserve">1 </w:t>
            </w:r>
          </w:p>
        </w:tc>
        <w:tc>
          <w:tcPr>
            <w:tcW w:w="6106" w:type="dxa"/>
            <w:tcBorders>
              <w:top w:val="outset" w:sz="6" w:space="0" w:color="auto"/>
              <w:left w:val="outset" w:sz="6" w:space="0" w:color="auto"/>
              <w:bottom w:val="outset" w:sz="6" w:space="0" w:color="auto"/>
              <w:right w:val="outset" w:sz="6" w:space="0" w:color="auto"/>
            </w:tcBorders>
            <w:vAlign w:val="center"/>
          </w:tcPr>
          <w:p w14:paraId="77445757"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介绍篮球的知识和具体的有关要求</w:t>
            </w:r>
          </w:p>
        </w:tc>
        <w:tc>
          <w:tcPr>
            <w:tcW w:w="820" w:type="dxa"/>
            <w:tcBorders>
              <w:top w:val="outset" w:sz="6" w:space="0" w:color="auto"/>
              <w:left w:val="outset" w:sz="6" w:space="0" w:color="auto"/>
              <w:bottom w:val="outset" w:sz="6" w:space="0" w:color="auto"/>
              <w:right w:val="outset" w:sz="6" w:space="0" w:color="auto"/>
            </w:tcBorders>
            <w:vAlign w:val="center"/>
          </w:tcPr>
          <w:p w14:paraId="13D79DFE"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2</w:t>
            </w: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1D4D6A4" w14:textId="77777777" w:rsidR="00C32AC2" w:rsidRPr="00C32AC2" w:rsidRDefault="00C32AC2" w:rsidP="00C32AC2">
            <w:pPr>
              <w:widowControl/>
              <w:jc w:val="left"/>
              <w:rPr>
                <w:rFonts w:ascii="宋体" w:eastAsia="宋体" w:hAnsi="Calibri" w:cs="宋体"/>
                <w:spacing w:val="1"/>
                <w:kern w:val="0"/>
                <w:sz w:val="24"/>
              </w:rPr>
            </w:pP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D3B2259" w14:textId="77777777" w:rsidR="00C32AC2" w:rsidRPr="00C32AC2" w:rsidRDefault="00C32AC2" w:rsidP="00C32AC2">
            <w:pPr>
              <w:widowControl/>
              <w:jc w:val="left"/>
              <w:rPr>
                <w:rFonts w:ascii="宋体" w:eastAsia="宋体" w:hAnsi="Calibri" w:cs="宋体"/>
                <w:spacing w:val="1"/>
                <w:kern w:val="0"/>
                <w:sz w:val="24"/>
              </w:rPr>
            </w:pPr>
          </w:p>
        </w:tc>
      </w:tr>
      <w:tr w:rsidR="00C32AC2" w:rsidRPr="00C32AC2" w14:paraId="26F4B349"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4E49631"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 xml:space="preserve">2 </w:t>
            </w:r>
          </w:p>
        </w:tc>
        <w:tc>
          <w:tcPr>
            <w:tcW w:w="6106" w:type="dxa"/>
            <w:tcBorders>
              <w:top w:val="outset" w:sz="6" w:space="0" w:color="auto"/>
              <w:left w:val="outset" w:sz="6" w:space="0" w:color="auto"/>
              <w:bottom w:val="outset" w:sz="6" w:space="0" w:color="auto"/>
              <w:right w:val="outset" w:sz="6" w:space="0" w:color="auto"/>
            </w:tcBorders>
            <w:vAlign w:val="center"/>
          </w:tcPr>
          <w:p w14:paraId="7062A406"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球性练习</w:t>
            </w:r>
          </w:p>
        </w:tc>
        <w:tc>
          <w:tcPr>
            <w:tcW w:w="820" w:type="dxa"/>
            <w:tcBorders>
              <w:top w:val="outset" w:sz="6" w:space="0" w:color="auto"/>
              <w:left w:val="outset" w:sz="6" w:space="0" w:color="auto"/>
              <w:bottom w:val="outset" w:sz="6" w:space="0" w:color="auto"/>
              <w:right w:val="outset" w:sz="6" w:space="0" w:color="auto"/>
            </w:tcBorders>
            <w:vAlign w:val="center"/>
          </w:tcPr>
          <w:p w14:paraId="133B6C4C" w14:textId="77777777" w:rsidR="00C32AC2" w:rsidRPr="00C32AC2" w:rsidRDefault="00C32AC2" w:rsidP="00C32AC2">
            <w:pPr>
              <w:widowControl/>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B66BA9"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4</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64D1A3F" w14:textId="77777777" w:rsidR="00C32AC2" w:rsidRPr="00C32AC2" w:rsidRDefault="00C32AC2" w:rsidP="00C32AC2">
            <w:pPr>
              <w:widowControl/>
              <w:jc w:val="left"/>
              <w:rPr>
                <w:rFonts w:ascii="宋体" w:eastAsia="宋体" w:hAnsi="Calibri" w:cs="宋体"/>
                <w:spacing w:val="1"/>
                <w:kern w:val="0"/>
                <w:sz w:val="24"/>
              </w:rPr>
            </w:pPr>
          </w:p>
        </w:tc>
      </w:tr>
      <w:tr w:rsidR="00C32AC2" w:rsidRPr="00C32AC2" w14:paraId="037EE2D3"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48ECD8A"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 xml:space="preserve">3 </w:t>
            </w:r>
          </w:p>
        </w:tc>
        <w:tc>
          <w:tcPr>
            <w:tcW w:w="6106" w:type="dxa"/>
            <w:tcBorders>
              <w:top w:val="outset" w:sz="6" w:space="0" w:color="auto"/>
              <w:left w:val="outset" w:sz="6" w:space="0" w:color="auto"/>
              <w:bottom w:val="outset" w:sz="6" w:space="0" w:color="auto"/>
              <w:right w:val="outset" w:sz="6" w:space="0" w:color="auto"/>
            </w:tcBorders>
            <w:vAlign w:val="center"/>
          </w:tcPr>
          <w:p w14:paraId="456FEEB0"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投篮、传球、防守脚步体验式学习</w:t>
            </w:r>
          </w:p>
        </w:tc>
        <w:tc>
          <w:tcPr>
            <w:tcW w:w="820" w:type="dxa"/>
            <w:tcBorders>
              <w:top w:val="outset" w:sz="6" w:space="0" w:color="auto"/>
              <w:left w:val="outset" w:sz="6" w:space="0" w:color="auto"/>
              <w:bottom w:val="outset" w:sz="6" w:space="0" w:color="auto"/>
              <w:right w:val="outset" w:sz="6" w:space="0" w:color="auto"/>
            </w:tcBorders>
            <w:vAlign w:val="center"/>
          </w:tcPr>
          <w:p w14:paraId="7224C1AF" w14:textId="77777777" w:rsidR="00C32AC2" w:rsidRPr="00C32AC2" w:rsidRDefault="00C32AC2" w:rsidP="00C32AC2">
            <w:pPr>
              <w:widowControl/>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727380F"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4</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69E5711" w14:textId="77777777" w:rsidR="00C32AC2" w:rsidRPr="00C32AC2" w:rsidRDefault="00C32AC2" w:rsidP="00C32AC2">
            <w:pPr>
              <w:widowControl/>
              <w:jc w:val="left"/>
              <w:rPr>
                <w:rFonts w:ascii="宋体" w:eastAsia="宋体" w:hAnsi="Calibri" w:cs="宋体"/>
                <w:spacing w:val="1"/>
                <w:kern w:val="0"/>
                <w:sz w:val="24"/>
              </w:rPr>
            </w:pPr>
          </w:p>
        </w:tc>
      </w:tr>
      <w:tr w:rsidR="00C32AC2" w:rsidRPr="00C32AC2" w14:paraId="2976E364"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5D05C3F"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 xml:space="preserve">4 </w:t>
            </w:r>
          </w:p>
        </w:tc>
        <w:tc>
          <w:tcPr>
            <w:tcW w:w="6106" w:type="dxa"/>
            <w:tcBorders>
              <w:top w:val="outset" w:sz="6" w:space="0" w:color="auto"/>
              <w:left w:val="outset" w:sz="6" w:space="0" w:color="auto"/>
              <w:bottom w:val="outset" w:sz="6" w:space="0" w:color="auto"/>
              <w:right w:val="outset" w:sz="6" w:space="0" w:color="auto"/>
            </w:tcBorders>
            <w:vAlign w:val="center"/>
          </w:tcPr>
          <w:p w14:paraId="156F9B15"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教学考核</w:t>
            </w:r>
          </w:p>
        </w:tc>
        <w:tc>
          <w:tcPr>
            <w:tcW w:w="820" w:type="dxa"/>
            <w:tcBorders>
              <w:top w:val="outset" w:sz="6" w:space="0" w:color="auto"/>
              <w:left w:val="outset" w:sz="6" w:space="0" w:color="auto"/>
              <w:bottom w:val="outset" w:sz="6" w:space="0" w:color="auto"/>
              <w:right w:val="outset" w:sz="6" w:space="0" w:color="auto"/>
            </w:tcBorders>
            <w:vAlign w:val="center"/>
          </w:tcPr>
          <w:p w14:paraId="759D1EF6" w14:textId="77777777" w:rsidR="00C32AC2" w:rsidRPr="00C32AC2" w:rsidRDefault="00C32AC2" w:rsidP="00C32AC2">
            <w:pPr>
              <w:widowControl/>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7B9B543"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A6B826A" w14:textId="77777777" w:rsidR="00C32AC2" w:rsidRPr="00C32AC2" w:rsidRDefault="00C32AC2" w:rsidP="00C32AC2">
            <w:pPr>
              <w:widowControl/>
              <w:jc w:val="left"/>
              <w:rPr>
                <w:rFonts w:ascii="宋体" w:eastAsia="宋体" w:hAnsi="Calibri" w:cs="宋体"/>
                <w:spacing w:val="1"/>
                <w:kern w:val="0"/>
                <w:sz w:val="24"/>
              </w:rPr>
            </w:pPr>
          </w:p>
        </w:tc>
      </w:tr>
      <w:tr w:rsidR="00C32AC2" w:rsidRPr="00C32AC2" w14:paraId="25547FDC"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0FE46B9"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 xml:space="preserve">5 </w:t>
            </w:r>
          </w:p>
        </w:tc>
        <w:tc>
          <w:tcPr>
            <w:tcW w:w="6106" w:type="dxa"/>
            <w:tcBorders>
              <w:top w:val="outset" w:sz="6" w:space="0" w:color="auto"/>
              <w:left w:val="outset" w:sz="6" w:space="0" w:color="auto"/>
              <w:bottom w:val="outset" w:sz="6" w:space="0" w:color="auto"/>
              <w:right w:val="outset" w:sz="6" w:space="0" w:color="auto"/>
            </w:tcBorders>
            <w:vAlign w:val="center"/>
          </w:tcPr>
          <w:p w14:paraId="45EC076A"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合计</w:t>
            </w:r>
          </w:p>
        </w:tc>
        <w:tc>
          <w:tcPr>
            <w:tcW w:w="820" w:type="dxa"/>
            <w:tcBorders>
              <w:top w:val="outset" w:sz="6" w:space="0" w:color="auto"/>
              <w:left w:val="outset" w:sz="6" w:space="0" w:color="auto"/>
              <w:bottom w:val="outset" w:sz="6" w:space="0" w:color="auto"/>
              <w:right w:val="outset" w:sz="6" w:space="0" w:color="auto"/>
            </w:tcBorders>
            <w:vAlign w:val="center"/>
          </w:tcPr>
          <w:p w14:paraId="0AE5500B" w14:textId="77777777" w:rsidR="00C32AC2" w:rsidRPr="00C32AC2" w:rsidRDefault="00C32AC2" w:rsidP="00C32AC2">
            <w:pPr>
              <w:widowControl/>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A3C6401" w14:textId="77777777" w:rsidR="00C32AC2" w:rsidRPr="00C32AC2" w:rsidRDefault="00C32AC2" w:rsidP="00C32AC2">
            <w:pPr>
              <w:widowControl/>
              <w:rPr>
                <w:rFonts w:ascii="宋体" w:eastAsia="宋体" w:hAnsi="Calibri" w:cs="宋体"/>
                <w:spacing w:val="1"/>
                <w:kern w:val="0"/>
                <w:sz w:val="24"/>
              </w:rPr>
            </w:pPr>
            <w:r w:rsidRPr="00C32AC2">
              <w:rPr>
                <w:rFonts w:ascii="宋体" w:eastAsia="宋体" w:hAnsi="Calibri" w:cs="宋体" w:hint="eastAsia"/>
                <w:spacing w:val="1"/>
                <w:kern w:val="0"/>
                <w:sz w:val="24"/>
              </w:rPr>
              <w:t>12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9D54213" w14:textId="77777777" w:rsidR="00C32AC2" w:rsidRPr="00C32AC2" w:rsidRDefault="00C32AC2" w:rsidP="00C32AC2">
            <w:pPr>
              <w:widowControl/>
              <w:jc w:val="left"/>
              <w:rPr>
                <w:rFonts w:ascii="宋体" w:eastAsia="宋体" w:hAnsi="Calibri" w:cs="宋体"/>
                <w:spacing w:val="1"/>
                <w:kern w:val="0"/>
                <w:sz w:val="24"/>
              </w:rPr>
            </w:pPr>
          </w:p>
        </w:tc>
      </w:tr>
    </w:tbl>
    <w:p w14:paraId="35B9F42A" w14:textId="77777777" w:rsidR="00C32AC2" w:rsidRPr="00C32AC2" w:rsidRDefault="00C32AC2" w:rsidP="00C32AC2">
      <w:pPr>
        <w:spacing w:beforeLines="50" w:before="156" w:afterLines="50" w:after="156" w:line="440" w:lineRule="exact"/>
        <w:ind w:firstLineChars="200" w:firstLine="560"/>
        <w:jc w:val="center"/>
        <w:rPr>
          <w:rFonts w:ascii="黑体" w:eastAsia="黑体" w:hAnsi="黑体" w:cs="Times New Roman"/>
          <w:sz w:val="28"/>
          <w:szCs w:val="28"/>
        </w:rPr>
      </w:pPr>
    </w:p>
    <w:p w14:paraId="39D8AF8C" w14:textId="77777777" w:rsidR="00C32AC2" w:rsidRPr="00C32AC2" w:rsidRDefault="00C32AC2" w:rsidP="00C32AC2">
      <w:pPr>
        <w:spacing w:beforeLines="50" w:before="156" w:afterLines="50" w:after="156" w:line="440" w:lineRule="exact"/>
        <w:ind w:firstLineChars="200" w:firstLine="560"/>
        <w:jc w:val="center"/>
        <w:rPr>
          <w:rFonts w:ascii="黑体" w:eastAsia="黑体" w:hAnsi="黑体" w:cs="Times New Roman"/>
          <w:sz w:val="28"/>
          <w:szCs w:val="28"/>
        </w:rPr>
      </w:pPr>
      <w:r w:rsidRPr="00C32AC2">
        <w:rPr>
          <w:rFonts w:ascii="黑体" w:eastAsia="黑体" w:hAnsi="黑体" w:cs="Times New Roman" w:hint="eastAsia"/>
          <w:sz w:val="28"/>
          <w:szCs w:val="28"/>
        </w:rPr>
        <w:t>学习内容二 篮球 1</w:t>
      </w:r>
    </w:p>
    <w:p w14:paraId="48D361DB"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C32AC2">
        <w:rPr>
          <w:rFonts w:ascii="宋体" w:eastAsia="宋体" w:hAnsi="宋体" w:cs="Times New Roman" w:hint="eastAsia"/>
          <w:b/>
          <w:sz w:val="24"/>
        </w:rPr>
        <w:t>【学习目标】</w:t>
      </w:r>
    </w:p>
    <w:p w14:paraId="705DD9C9"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1.</w:t>
      </w:r>
      <w:r w:rsidRPr="00C32A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C32AC2">
        <w:rPr>
          <w:rFonts w:ascii="宋体" w:eastAsia="宋体" w:hAnsi="Calibri" w:cs="宋体" w:hint="eastAsia"/>
          <w:spacing w:val="5"/>
          <w:kern w:val="0"/>
          <w:sz w:val="24"/>
        </w:rPr>
        <w:t>通过体能教学活动，</w:t>
      </w:r>
      <w:r w:rsidRPr="00C32AC2">
        <w:rPr>
          <w:rFonts w:ascii="宋体" w:eastAsia="宋体" w:hAnsi="宋体" w:cs="仿宋_GB2312" w:hint="eastAsia"/>
          <w:sz w:val="24"/>
        </w:rPr>
        <w:t>了解《大学生体质健康标准测验》项目内容、考核方式、评价标准，掌握考核内容锻炼的方式方法。</w:t>
      </w:r>
      <w:r w:rsidRPr="00C32AC2">
        <w:rPr>
          <w:rFonts w:ascii="宋体" w:eastAsia="宋体" w:hAnsi="Calibri" w:cs="宋体" w:hint="eastAsia"/>
          <w:spacing w:val="5"/>
          <w:kern w:val="0"/>
          <w:sz w:val="24"/>
        </w:rPr>
        <w:t>培养学生努力学习、不断进取、修身立业、顽强奋进的精神与品质。</w:t>
      </w:r>
    </w:p>
    <w:p w14:paraId="5B78DBF2"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2.</w:t>
      </w:r>
      <w:r w:rsidRPr="00C32A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w:t>
      </w:r>
      <w:r w:rsidRPr="00C32AC2">
        <w:rPr>
          <w:rFonts w:ascii="宋体" w:eastAsia="宋体" w:hAnsi="宋体" w:cs="仿宋_GB2312" w:hint="eastAsia"/>
          <w:sz w:val="24"/>
        </w:rPr>
        <w:lastRenderedPageBreak/>
        <w:t>的技能与方法，掌握部分体育项目的基本技术初步学会运用科学的方法锻炼身体，促进学生能力的发展能够初步运用获得的知识技能锻炼身体，进行自我调控，自我检测和自我评价</w:t>
      </w:r>
      <w:r w:rsidRPr="00C32AC2">
        <w:rPr>
          <w:rFonts w:ascii="宋体" w:eastAsia="宋体" w:hAnsi="Calibri" w:cs="宋体" w:hint="eastAsia"/>
          <w:spacing w:val="5"/>
          <w:kern w:val="0"/>
          <w:sz w:val="24"/>
        </w:rPr>
        <w:t>。</w:t>
      </w:r>
    </w:p>
    <w:p w14:paraId="469AAA5B" w14:textId="77777777" w:rsidR="00C32AC2" w:rsidRPr="00C32AC2" w:rsidRDefault="00C32AC2" w:rsidP="00C32AC2">
      <w:pPr>
        <w:spacing w:line="44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3.通过篮球专项课教学，使学生较好地掌握篮球基本技术，不断提高篮球比赛的能力。通过理论教学，使学生了解篮球运动发展史，篮球基本规则和裁判法，科学锻炼身体的方法和要求，培养良好的体育意识，养成终身锻炼的习惯。</w:t>
      </w:r>
    </w:p>
    <w:p w14:paraId="36863DED" w14:textId="77777777" w:rsidR="00C32AC2" w:rsidRPr="00C32AC2" w:rsidRDefault="00C32AC2" w:rsidP="00C32AC2">
      <w:pPr>
        <w:spacing w:line="440" w:lineRule="exact"/>
        <w:ind w:firstLineChars="200" w:firstLine="500"/>
        <w:rPr>
          <w:rFonts w:ascii="宋体" w:eastAsia="宋体" w:hAnsi="宋体" w:cs="Times New Roman"/>
          <w:b/>
          <w:sz w:val="24"/>
        </w:rPr>
      </w:pPr>
      <w:r w:rsidRPr="00C32AC2">
        <w:rPr>
          <w:rFonts w:ascii="宋体" w:eastAsia="宋体" w:hAnsi="Calibri" w:cs="宋体" w:hint="eastAsia"/>
          <w:spacing w:val="5"/>
          <w:kern w:val="0"/>
          <w:sz w:val="24"/>
        </w:rPr>
        <w:t>4.</w:t>
      </w:r>
      <w:r w:rsidRPr="00C32A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32AC2">
        <w:rPr>
          <w:rFonts w:ascii="宋体" w:eastAsia="宋体" w:hAnsi="Calibri" w:cs="宋体" w:hint="eastAsia"/>
          <w:spacing w:val="5"/>
          <w:kern w:val="0"/>
          <w:sz w:val="24"/>
        </w:rPr>
        <w:t>。</w:t>
      </w:r>
    </w:p>
    <w:p w14:paraId="570270E8" w14:textId="77777777" w:rsidR="00C32AC2" w:rsidRPr="00C32AC2" w:rsidRDefault="00C32AC2" w:rsidP="00C32AC2">
      <w:pPr>
        <w:spacing w:line="440" w:lineRule="exact"/>
        <w:ind w:firstLineChars="200" w:firstLine="482"/>
        <w:rPr>
          <w:rFonts w:ascii="宋体" w:eastAsia="宋体" w:hAnsi="宋体" w:cs="Times New Roman"/>
          <w:bCs/>
          <w:color w:val="FF0000"/>
          <w:sz w:val="24"/>
        </w:rPr>
      </w:pPr>
      <w:r w:rsidRPr="00C32AC2">
        <w:rPr>
          <w:rFonts w:ascii="宋体" w:eastAsia="宋体" w:hAnsi="宋体" w:cs="Times New Roman" w:hint="eastAsia"/>
          <w:b/>
          <w:sz w:val="24"/>
        </w:rPr>
        <w:t>【学习内容】</w:t>
      </w:r>
    </w:p>
    <w:p w14:paraId="13B25CE2" w14:textId="77777777" w:rsidR="00C32AC2" w:rsidRPr="00C32AC2" w:rsidRDefault="00C32AC2" w:rsidP="00C32AC2">
      <w:pPr>
        <w:adjustRightInd w:val="0"/>
        <w:snapToGrid w:val="0"/>
        <w:spacing w:beforeLines="50" w:before="156" w:afterLines="50" w:after="156" w:line="500" w:lineRule="exact"/>
        <w:jc w:val="center"/>
        <w:rPr>
          <w:rFonts w:ascii="宋体" w:eastAsia="宋体" w:hAnsi="Calibri" w:cs="Times New Roman"/>
          <w:b/>
          <w:sz w:val="28"/>
          <w:szCs w:val="28"/>
        </w:rPr>
      </w:pPr>
      <w:r w:rsidRPr="00C32AC2">
        <w:rPr>
          <w:rFonts w:ascii="宋体" w:eastAsia="宋体" w:hAnsi="宋体" w:cs="Times New Roman" w:hint="eastAsia"/>
          <w:b/>
          <w:sz w:val="28"/>
          <w:szCs w:val="28"/>
        </w:rPr>
        <w:t>第一章 导入（</w:t>
      </w:r>
      <w:r w:rsidRPr="00C32AC2">
        <w:rPr>
          <w:rFonts w:ascii="宋体" w:eastAsia="宋体" w:hAnsi="宋体" w:cs="Times New Roman"/>
          <w:b/>
          <w:sz w:val="28"/>
          <w:szCs w:val="28"/>
        </w:rPr>
        <w:t>2</w:t>
      </w:r>
      <w:r w:rsidRPr="00C32AC2">
        <w:rPr>
          <w:rFonts w:ascii="宋体" w:eastAsia="宋体" w:hAnsi="宋体" w:cs="Times New Roman" w:hint="eastAsia"/>
          <w:b/>
          <w:sz w:val="28"/>
          <w:szCs w:val="28"/>
        </w:rPr>
        <w:t>学时）</w:t>
      </w:r>
    </w:p>
    <w:p w14:paraId="3CA21375" w14:textId="77777777" w:rsidR="00C32AC2" w:rsidRPr="00C32AC2" w:rsidRDefault="00C32AC2" w:rsidP="00C32AC2">
      <w:pPr>
        <w:adjustRightInd w:val="0"/>
        <w:snapToGrid w:val="0"/>
        <w:spacing w:line="500" w:lineRule="exact"/>
        <w:ind w:firstLineChars="200" w:firstLine="482"/>
        <w:rPr>
          <w:rFonts w:ascii="Calibri" w:eastAsia="宋体" w:hAnsi="Calibri" w:cs="Times New Roman"/>
          <w:b/>
          <w:sz w:val="24"/>
        </w:rPr>
      </w:pPr>
      <w:r w:rsidRPr="00C32AC2">
        <w:rPr>
          <w:rFonts w:ascii="Calibri" w:eastAsia="宋体" w:hAnsi="Calibri" w:cs="Times New Roman" w:hint="eastAsia"/>
          <w:b/>
          <w:sz w:val="24"/>
        </w:rPr>
        <w:t>本章主要教学内容：</w:t>
      </w:r>
    </w:p>
    <w:p w14:paraId="30D142AD"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t xml:space="preserve">1.1 </w:t>
      </w:r>
      <w:r w:rsidRPr="00C32AC2">
        <w:rPr>
          <w:rFonts w:ascii="宋体" w:eastAsia="宋体" w:hAnsi="宋体" w:cs="Arial" w:hint="eastAsia"/>
          <w:sz w:val="24"/>
        </w:rPr>
        <w:t>介绍篮球运动以及篮球课</w:t>
      </w:r>
    </w:p>
    <w:p w14:paraId="66F7B226"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t xml:space="preserve">1.2 </w:t>
      </w:r>
      <w:r w:rsidRPr="00C32AC2">
        <w:rPr>
          <w:rFonts w:ascii="宋体" w:eastAsia="宋体" w:hAnsi="宋体" w:cs="Arial" w:hint="eastAsia"/>
          <w:sz w:val="24"/>
        </w:rPr>
        <w:t>讲解本课程的重难点</w:t>
      </w:r>
      <w:r w:rsidRPr="00C32AC2">
        <w:rPr>
          <w:rFonts w:ascii="宋体" w:eastAsia="宋体" w:hAnsi="Calibri" w:cs="Arial"/>
          <w:sz w:val="24"/>
        </w:rPr>
        <w:t>,</w:t>
      </w:r>
      <w:r w:rsidRPr="00C32AC2">
        <w:rPr>
          <w:rFonts w:ascii="宋体" w:eastAsia="宋体" w:hAnsi="宋体" w:cs="Arial" w:hint="eastAsia"/>
          <w:sz w:val="24"/>
        </w:rPr>
        <w:t>以及如何上好篮球课</w:t>
      </w:r>
    </w:p>
    <w:p w14:paraId="477A4AB3"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t xml:space="preserve">1.3 </w:t>
      </w:r>
      <w:r w:rsidRPr="00C32AC2">
        <w:rPr>
          <w:rFonts w:ascii="宋体" w:eastAsia="宋体" w:hAnsi="宋体" w:cs="Arial" w:hint="eastAsia"/>
          <w:sz w:val="24"/>
        </w:rPr>
        <w:t>强调上课纪律</w:t>
      </w:r>
    </w:p>
    <w:p w14:paraId="39908846" w14:textId="77777777" w:rsidR="00C32AC2" w:rsidRPr="00C32AC2" w:rsidRDefault="00C32AC2" w:rsidP="00C32AC2">
      <w:pPr>
        <w:spacing w:line="360" w:lineRule="auto"/>
        <w:ind w:firstLineChars="200" w:firstLine="480"/>
        <w:rPr>
          <w:rFonts w:ascii="Arial" w:eastAsia="宋体" w:hAnsi="Calibri" w:cs="Arial"/>
          <w:sz w:val="24"/>
        </w:rPr>
      </w:pPr>
      <w:r w:rsidRPr="00C32AC2">
        <w:rPr>
          <w:rFonts w:ascii="宋体" w:eastAsia="宋体" w:hAnsi="宋体" w:cs="Arial"/>
          <w:sz w:val="24"/>
        </w:rPr>
        <w:t xml:space="preserve">1.4 </w:t>
      </w:r>
      <w:r w:rsidRPr="00C32AC2">
        <w:rPr>
          <w:rFonts w:ascii="宋体" w:eastAsia="宋体" w:hAnsi="宋体" w:cs="Arial" w:hint="eastAsia"/>
          <w:sz w:val="24"/>
        </w:rPr>
        <w:t>以篮球为核心相关外延知识拓展</w:t>
      </w:r>
    </w:p>
    <w:p w14:paraId="78C8B7B3"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sz w:val="24"/>
        </w:rPr>
      </w:pPr>
      <w:r w:rsidRPr="00C32AC2">
        <w:rPr>
          <w:rFonts w:ascii="Calibri" w:eastAsia="宋体" w:hAnsi="Calibri" w:cs="Times New Roman" w:hint="eastAsia"/>
          <w:b/>
          <w:sz w:val="24"/>
        </w:rPr>
        <w:t>本章教学目的及要求：</w:t>
      </w:r>
      <w:r w:rsidRPr="00C32AC2">
        <w:rPr>
          <w:rFonts w:ascii="宋体" w:eastAsia="宋体" w:hAnsi="宋体" w:cs="楷体_GB2312" w:hint="eastAsia"/>
          <w:color w:val="000000"/>
          <w:kern w:val="0"/>
          <w:sz w:val="24"/>
        </w:rPr>
        <w:t>理论上对篮球运动的宏观认识、篮球运动发展史及发展现状；体育课的重要性；对上好篮球课有所认识。</w:t>
      </w:r>
    </w:p>
    <w:p w14:paraId="473C38CD" w14:textId="77777777" w:rsidR="00C32AC2" w:rsidRPr="00C32AC2" w:rsidRDefault="00C32AC2" w:rsidP="00C32AC2">
      <w:pPr>
        <w:autoSpaceDE w:val="0"/>
        <w:autoSpaceDN w:val="0"/>
        <w:adjustRightInd w:val="0"/>
        <w:snapToGrid w:val="0"/>
        <w:spacing w:line="500" w:lineRule="exact"/>
        <w:ind w:firstLineChars="196" w:firstLine="472"/>
        <w:jc w:val="left"/>
        <w:rPr>
          <w:rFonts w:ascii="宋体" w:eastAsia="宋体" w:hAnsi="宋体" w:cs="楷体_GB2312"/>
          <w:color w:val="000000"/>
          <w:kern w:val="0"/>
          <w:sz w:val="24"/>
        </w:rPr>
      </w:pPr>
      <w:r w:rsidRPr="00C32AC2">
        <w:rPr>
          <w:rFonts w:ascii="Calibri" w:eastAsia="宋体" w:hAnsi="Calibri" w:cs="Times New Roman" w:hint="eastAsia"/>
          <w:b/>
          <w:sz w:val="24"/>
        </w:rPr>
        <w:t>本章教学重点及难点：</w:t>
      </w:r>
      <w:r w:rsidRPr="00C32AC2">
        <w:rPr>
          <w:rFonts w:ascii="宋体" w:eastAsia="宋体" w:hAnsi="宋体" w:cs="楷体_GB2312" w:hint="eastAsia"/>
          <w:color w:val="000000"/>
          <w:kern w:val="0"/>
          <w:sz w:val="24"/>
        </w:rPr>
        <w:t>建立对体育课的正确认识；对篮球运动初步了解。</w:t>
      </w:r>
    </w:p>
    <w:p w14:paraId="6C5BE42A" w14:textId="77777777" w:rsidR="00C32AC2" w:rsidRPr="00C32AC2" w:rsidRDefault="00C32AC2" w:rsidP="00C32AC2">
      <w:pPr>
        <w:adjustRightInd w:val="0"/>
        <w:snapToGrid w:val="0"/>
        <w:spacing w:beforeLines="50" w:before="156" w:afterLines="50" w:after="156" w:line="500" w:lineRule="exact"/>
        <w:jc w:val="center"/>
        <w:rPr>
          <w:rFonts w:ascii="宋体" w:eastAsia="宋体" w:hAnsi="Calibri" w:cs="Times New Roman"/>
          <w:b/>
          <w:sz w:val="28"/>
          <w:szCs w:val="28"/>
        </w:rPr>
      </w:pPr>
      <w:r w:rsidRPr="00C32AC2">
        <w:rPr>
          <w:rFonts w:ascii="宋体" w:eastAsia="宋体" w:hAnsi="宋体" w:cs="Times New Roman" w:hint="eastAsia"/>
          <w:b/>
          <w:sz w:val="28"/>
          <w:szCs w:val="28"/>
        </w:rPr>
        <w:t>第二章</w:t>
      </w:r>
      <w:r w:rsidRPr="00C32AC2">
        <w:rPr>
          <w:rFonts w:ascii="宋体" w:eastAsia="宋体" w:hAnsi="宋体" w:cs="Times New Roman"/>
          <w:b/>
          <w:sz w:val="28"/>
          <w:szCs w:val="28"/>
        </w:rPr>
        <w:t xml:space="preserve">  </w:t>
      </w:r>
      <w:r w:rsidRPr="00C32AC2">
        <w:rPr>
          <w:rFonts w:ascii="宋体" w:eastAsia="宋体" w:hAnsi="宋体" w:cs="Times New Roman" w:hint="eastAsia"/>
          <w:b/>
          <w:sz w:val="28"/>
          <w:szCs w:val="28"/>
        </w:rPr>
        <w:t>篮球基本技术</w:t>
      </w:r>
      <w:r w:rsidRPr="00C32AC2">
        <w:rPr>
          <w:rFonts w:ascii="宋体" w:eastAsia="宋体" w:hAnsi="宋体" w:cs="Times New Roman"/>
          <w:b/>
          <w:sz w:val="28"/>
          <w:szCs w:val="28"/>
        </w:rPr>
        <w:t xml:space="preserve"> </w:t>
      </w:r>
      <w:r w:rsidRPr="00C32AC2">
        <w:rPr>
          <w:rFonts w:ascii="宋体" w:eastAsia="宋体" w:hAnsi="宋体" w:cs="Times New Roman" w:hint="eastAsia"/>
          <w:b/>
          <w:sz w:val="28"/>
          <w:szCs w:val="28"/>
        </w:rPr>
        <w:t>（30学时）</w:t>
      </w:r>
    </w:p>
    <w:p w14:paraId="1C4D1B57"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551EAAA7"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t xml:space="preserve">2.1 </w:t>
      </w:r>
      <w:r w:rsidRPr="00C32AC2">
        <w:rPr>
          <w:rFonts w:ascii="宋体" w:eastAsia="宋体" w:hAnsi="宋体" w:cs="Arial" w:hint="eastAsia"/>
          <w:sz w:val="24"/>
        </w:rPr>
        <w:t>基本球性讲解与练习：</w:t>
      </w:r>
    </w:p>
    <w:p w14:paraId="14859E8A" w14:textId="77777777" w:rsidR="00C32AC2" w:rsidRPr="00C32AC2" w:rsidRDefault="00C32AC2" w:rsidP="00C32AC2">
      <w:pPr>
        <w:spacing w:line="360" w:lineRule="auto"/>
        <w:rPr>
          <w:rFonts w:ascii="宋体" w:eastAsia="宋体" w:hAnsi="Calibri" w:cs="Arial"/>
          <w:sz w:val="24"/>
        </w:rPr>
      </w:pPr>
      <w:r w:rsidRPr="00C32AC2">
        <w:rPr>
          <w:rFonts w:ascii="宋体" w:eastAsia="宋体" w:hAnsi="宋体" w:cs="Arial"/>
          <w:sz w:val="24"/>
        </w:rPr>
        <w:t xml:space="preserve">    2.1.1 </w:t>
      </w:r>
      <w:r w:rsidRPr="00C32AC2">
        <w:rPr>
          <w:rFonts w:ascii="宋体" w:eastAsia="宋体" w:hAnsi="宋体" w:cs="Arial" w:hint="eastAsia"/>
          <w:sz w:val="24"/>
        </w:rPr>
        <w:t>原地不运球</w:t>
      </w:r>
      <w:proofErr w:type="gramStart"/>
      <w:r w:rsidRPr="00C32AC2">
        <w:rPr>
          <w:rFonts w:ascii="宋体" w:eastAsia="宋体" w:hAnsi="宋体" w:cs="Arial" w:hint="eastAsia"/>
          <w:sz w:val="24"/>
        </w:rPr>
        <w:t>球</w:t>
      </w:r>
      <w:proofErr w:type="gramEnd"/>
      <w:r w:rsidRPr="00C32AC2">
        <w:rPr>
          <w:rFonts w:ascii="宋体" w:eastAsia="宋体" w:hAnsi="宋体" w:cs="Arial" w:hint="eastAsia"/>
          <w:sz w:val="24"/>
        </w:rPr>
        <w:t>性</w:t>
      </w:r>
    </w:p>
    <w:p w14:paraId="651FCDC0" w14:textId="77777777" w:rsidR="00C32AC2" w:rsidRPr="00C32AC2" w:rsidRDefault="00C32AC2" w:rsidP="00C32AC2">
      <w:pPr>
        <w:spacing w:line="360" w:lineRule="auto"/>
        <w:rPr>
          <w:rFonts w:ascii="宋体" w:eastAsia="宋体" w:hAnsi="Calibri" w:cs="Arial"/>
          <w:sz w:val="24"/>
        </w:rPr>
      </w:pPr>
      <w:r w:rsidRPr="00C32AC2">
        <w:rPr>
          <w:rFonts w:ascii="宋体" w:eastAsia="宋体" w:hAnsi="宋体" w:cs="Arial"/>
          <w:sz w:val="24"/>
        </w:rPr>
        <w:t xml:space="preserve">    2.1.2 </w:t>
      </w:r>
      <w:r w:rsidRPr="00C32AC2">
        <w:rPr>
          <w:rFonts w:ascii="宋体" w:eastAsia="宋体" w:hAnsi="宋体" w:cs="Arial" w:hint="eastAsia"/>
          <w:sz w:val="24"/>
        </w:rPr>
        <w:t>原地运球</w:t>
      </w:r>
      <w:proofErr w:type="gramStart"/>
      <w:r w:rsidRPr="00C32AC2">
        <w:rPr>
          <w:rFonts w:ascii="宋体" w:eastAsia="宋体" w:hAnsi="宋体" w:cs="Arial" w:hint="eastAsia"/>
          <w:sz w:val="24"/>
        </w:rPr>
        <w:t>球</w:t>
      </w:r>
      <w:proofErr w:type="gramEnd"/>
      <w:r w:rsidRPr="00C32AC2">
        <w:rPr>
          <w:rFonts w:ascii="宋体" w:eastAsia="宋体" w:hAnsi="宋体" w:cs="Arial" w:hint="eastAsia"/>
          <w:sz w:val="24"/>
        </w:rPr>
        <w:t>性</w:t>
      </w:r>
    </w:p>
    <w:p w14:paraId="102532BE"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t xml:space="preserve">2.2 </w:t>
      </w:r>
      <w:r w:rsidRPr="00C32AC2">
        <w:rPr>
          <w:rFonts w:ascii="宋体" w:eastAsia="宋体" w:hAnsi="宋体" w:cs="Arial" w:hint="eastAsia"/>
          <w:sz w:val="24"/>
        </w:rPr>
        <w:t>篮球脚步移动、行进间运球、三步上篮讲解与练习</w:t>
      </w:r>
    </w:p>
    <w:p w14:paraId="7E185D64"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t xml:space="preserve">2.3 </w:t>
      </w:r>
      <w:r w:rsidRPr="00C32AC2">
        <w:rPr>
          <w:rFonts w:ascii="宋体" w:eastAsia="宋体" w:hAnsi="宋体" w:cs="Arial" w:hint="eastAsia"/>
          <w:sz w:val="24"/>
        </w:rPr>
        <w:t>投篮、传球讲解与练习</w:t>
      </w:r>
    </w:p>
    <w:p w14:paraId="07C3B247"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lastRenderedPageBreak/>
        <w:t xml:space="preserve">2.4 </w:t>
      </w:r>
      <w:r w:rsidRPr="00C32AC2">
        <w:rPr>
          <w:rFonts w:ascii="宋体" w:eastAsia="宋体" w:hAnsi="宋体" w:cs="Arial" w:hint="eastAsia"/>
          <w:sz w:val="24"/>
        </w:rPr>
        <w:t>个人防守基本功讲解与练习</w:t>
      </w:r>
    </w:p>
    <w:p w14:paraId="799B0576" w14:textId="77777777" w:rsidR="00C32AC2" w:rsidRPr="00C32AC2" w:rsidRDefault="00C32AC2" w:rsidP="00C32AC2">
      <w:pPr>
        <w:spacing w:line="360" w:lineRule="auto"/>
        <w:ind w:firstLineChars="196" w:firstLine="472"/>
        <w:rPr>
          <w:rFonts w:ascii="Arial" w:eastAsia="宋体" w:hAnsi="Arial" w:cs="Arial"/>
          <w:sz w:val="24"/>
        </w:rPr>
      </w:pPr>
      <w:r w:rsidRPr="00C32AC2">
        <w:rPr>
          <w:rFonts w:ascii="Arial" w:eastAsia="宋体" w:hAnsi="Calibri" w:cs="Arial" w:hint="eastAsia"/>
          <w:b/>
          <w:sz w:val="24"/>
        </w:rPr>
        <w:t>本章教学目的及要求：</w:t>
      </w:r>
      <w:r w:rsidRPr="00C32AC2">
        <w:rPr>
          <w:rFonts w:ascii="Arial" w:eastAsia="宋体" w:hAnsi="Calibri" w:cs="Arial" w:hint="eastAsia"/>
          <w:sz w:val="24"/>
        </w:rPr>
        <w:t>掌握篮球基本功以及练习方法，课上体验式学习，掌握方法后课下能够自己提高；提高全身柔韧性及身体的协调性。</w:t>
      </w:r>
    </w:p>
    <w:p w14:paraId="4B2D7E7F" w14:textId="77777777" w:rsidR="00C32AC2" w:rsidRPr="00C32AC2" w:rsidRDefault="00C32AC2" w:rsidP="00C32AC2">
      <w:pPr>
        <w:spacing w:line="360" w:lineRule="auto"/>
        <w:ind w:firstLineChars="196" w:firstLine="472"/>
        <w:rPr>
          <w:rFonts w:ascii="Arial" w:eastAsia="宋体" w:hAnsi="Arial" w:cs="Arial"/>
          <w:sz w:val="24"/>
        </w:rPr>
      </w:pPr>
      <w:r w:rsidRPr="00C32AC2">
        <w:rPr>
          <w:rFonts w:ascii="Arial" w:eastAsia="宋体" w:hAnsi="Calibri" w:cs="Arial" w:hint="eastAsia"/>
          <w:b/>
          <w:sz w:val="24"/>
        </w:rPr>
        <w:t>本章教学重点及难点：</w:t>
      </w:r>
      <w:r w:rsidRPr="00C32AC2">
        <w:rPr>
          <w:rFonts w:ascii="Arial" w:eastAsia="宋体" w:hAnsi="Calibri" w:cs="Arial" w:hint="eastAsia"/>
          <w:sz w:val="24"/>
        </w:rPr>
        <w:t>掌握篮球进攻与防守基本功。</w:t>
      </w:r>
    </w:p>
    <w:p w14:paraId="2B5AA714" w14:textId="77777777" w:rsidR="00C32AC2" w:rsidRPr="00C32AC2" w:rsidRDefault="00C32AC2" w:rsidP="00C32AC2">
      <w:pPr>
        <w:spacing w:beforeLines="50" w:before="156" w:afterLines="50" w:after="156" w:line="440" w:lineRule="exact"/>
        <w:ind w:firstLineChars="200" w:firstLine="560"/>
        <w:jc w:val="center"/>
        <w:rPr>
          <w:rFonts w:ascii="黑体" w:eastAsia="黑体" w:hAnsi="黑体" w:cs="Times New Roman"/>
          <w:sz w:val="28"/>
          <w:szCs w:val="28"/>
        </w:rPr>
      </w:pPr>
      <w:r w:rsidRPr="00C32AC2">
        <w:rPr>
          <w:rFonts w:ascii="黑体" w:eastAsia="黑体" w:hAnsi="黑体" w:cs="Times New Roman" w:hint="eastAsia"/>
          <w:sz w:val="28"/>
          <w:szCs w:val="28"/>
        </w:rPr>
        <w:t>学习内容三 篮球 2</w:t>
      </w:r>
    </w:p>
    <w:p w14:paraId="4FC8750B"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C32AC2">
        <w:rPr>
          <w:rFonts w:ascii="宋体" w:eastAsia="宋体" w:hAnsi="宋体" w:cs="Times New Roman" w:hint="eastAsia"/>
          <w:b/>
          <w:sz w:val="24"/>
        </w:rPr>
        <w:t>【学习目标】</w:t>
      </w:r>
    </w:p>
    <w:p w14:paraId="583F0B79"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1.</w:t>
      </w:r>
      <w:r w:rsidRPr="00C32A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C32AC2">
        <w:rPr>
          <w:rFonts w:ascii="宋体" w:eastAsia="宋体" w:hAnsi="Calibri" w:cs="宋体" w:hint="eastAsia"/>
          <w:spacing w:val="5"/>
          <w:kern w:val="0"/>
          <w:sz w:val="24"/>
        </w:rPr>
        <w:t>通过体能教学活动，</w:t>
      </w:r>
      <w:r w:rsidRPr="00C32AC2">
        <w:rPr>
          <w:rFonts w:ascii="宋体" w:eastAsia="宋体" w:hAnsi="宋体" w:cs="仿宋_GB2312" w:hint="eastAsia"/>
          <w:sz w:val="24"/>
        </w:rPr>
        <w:t>了解《大学生体质健康标准测验》项目内容、考核方式、评价标准，掌握考核内容锻炼的方式方法。</w:t>
      </w:r>
      <w:r w:rsidRPr="00C32AC2">
        <w:rPr>
          <w:rFonts w:ascii="宋体" w:eastAsia="宋体" w:hAnsi="Calibri" w:cs="宋体" w:hint="eastAsia"/>
          <w:spacing w:val="5"/>
          <w:kern w:val="0"/>
          <w:sz w:val="24"/>
        </w:rPr>
        <w:t>培养学生努力学习、不断进取、修身立业、顽强奋进的精神与品质。</w:t>
      </w:r>
    </w:p>
    <w:p w14:paraId="05A8110E"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2.</w:t>
      </w:r>
      <w:r w:rsidRPr="00C32A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32AC2">
        <w:rPr>
          <w:rFonts w:ascii="宋体" w:eastAsia="宋体" w:hAnsi="Calibri" w:cs="宋体" w:hint="eastAsia"/>
          <w:spacing w:val="5"/>
          <w:kern w:val="0"/>
          <w:sz w:val="24"/>
        </w:rPr>
        <w:t>。</w:t>
      </w:r>
    </w:p>
    <w:p w14:paraId="1BA2EF60" w14:textId="77777777" w:rsidR="00C32AC2" w:rsidRPr="00C32AC2" w:rsidRDefault="00C32AC2" w:rsidP="00C32AC2">
      <w:pPr>
        <w:spacing w:line="44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3.通过篮球专项课教学，使学生较好地掌握篮球基本技术，不断提高篮球比赛的能力。通过理论教学，使学生了解篮球运动发展史，篮球基本规则和裁判法，科学锻炼身体的方法和要求，培养良好的体育意识，养成终身锻炼的习惯。</w:t>
      </w:r>
    </w:p>
    <w:p w14:paraId="54C5EC92" w14:textId="77777777" w:rsidR="00C32AC2" w:rsidRPr="00C32AC2" w:rsidRDefault="00C32AC2" w:rsidP="00C32AC2">
      <w:pPr>
        <w:spacing w:line="440" w:lineRule="exact"/>
        <w:ind w:firstLineChars="200" w:firstLine="500"/>
        <w:rPr>
          <w:rFonts w:ascii="宋体" w:eastAsia="宋体" w:hAnsi="宋体" w:cs="Times New Roman"/>
          <w:b/>
          <w:sz w:val="24"/>
        </w:rPr>
      </w:pPr>
      <w:r w:rsidRPr="00C32AC2">
        <w:rPr>
          <w:rFonts w:ascii="宋体" w:eastAsia="宋体" w:hAnsi="Calibri" w:cs="宋体" w:hint="eastAsia"/>
          <w:spacing w:val="5"/>
          <w:kern w:val="0"/>
          <w:sz w:val="24"/>
        </w:rPr>
        <w:t>4.</w:t>
      </w:r>
      <w:r w:rsidRPr="00C32A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32AC2">
        <w:rPr>
          <w:rFonts w:ascii="宋体" w:eastAsia="宋体" w:hAnsi="Calibri" w:cs="宋体" w:hint="eastAsia"/>
          <w:spacing w:val="5"/>
          <w:kern w:val="0"/>
          <w:sz w:val="24"/>
        </w:rPr>
        <w:t>。</w:t>
      </w:r>
    </w:p>
    <w:p w14:paraId="48118DCE" w14:textId="77777777" w:rsidR="00C32AC2" w:rsidRPr="00C32AC2" w:rsidRDefault="00C32AC2" w:rsidP="00C32AC2">
      <w:pPr>
        <w:spacing w:line="440" w:lineRule="exact"/>
        <w:ind w:firstLineChars="200" w:firstLine="482"/>
        <w:rPr>
          <w:rFonts w:ascii="宋体" w:eastAsia="宋体" w:hAnsi="宋体" w:cs="Times New Roman"/>
          <w:b/>
          <w:sz w:val="24"/>
        </w:rPr>
      </w:pPr>
      <w:r w:rsidRPr="00C32AC2">
        <w:rPr>
          <w:rFonts w:ascii="宋体" w:eastAsia="宋体" w:hAnsi="宋体" w:cs="Times New Roman" w:hint="eastAsia"/>
          <w:b/>
          <w:sz w:val="24"/>
        </w:rPr>
        <w:t>【学习内容】</w:t>
      </w:r>
    </w:p>
    <w:p w14:paraId="6479FFD6" w14:textId="77777777" w:rsidR="00C32AC2" w:rsidRPr="00C32AC2" w:rsidRDefault="00C32AC2" w:rsidP="00C32AC2">
      <w:pPr>
        <w:adjustRightInd w:val="0"/>
        <w:snapToGrid w:val="0"/>
        <w:spacing w:beforeLines="50" w:before="156" w:afterLines="50" w:after="156" w:line="500" w:lineRule="exact"/>
        <w:jc w:val="center"/>
        <w:rPr>
          <w:rFonts w:ascii="宋体" w:eastAsia="宋体" w:hAnsi="Calibri" w:cs="Times New Roman"/>
          <w:b/>
          <w:sz w:val="28"/>
          <w:szCs w:val="28"/>
        </w:rPr>
      </w:pPr>
      <w:r w:rsidRPr="00C32AC2">
        <w:rPr>
          <w:rFonts w:ascii="宋体" w:eastAsia="宋体" w:hAnsi="宋体" w:cs="Times New Roman" w:hint="eastAsia"/>
          <w:b/>
          <w:sz w:val="28"/>
          <w:szCs w:val="28"/>
        </w:rPr>
        <w:t>第一章 导入（</w:t>
      </w:r>
      <w:r w:rsidRPr="00C32AC2">
        <w:rPr>
          <w:rFonts w:ascii="宋体" w:eastAsia="宋体" w:hAnsi="宋体" w:cs="Times New Roman"/>
          <w:b/>
          <w:sz w:val="28"/>
          <w:szCs w:val="28"/>
        </w:rPr>
        <w:t>2</w:t>
      </w:r>
      <w:r w:rsidRPr="00C32AC2">
        <w:rPr>
          <w:rFonts w:ascii="宋体" w:eastAsia="宋体" w:hAnsi="宋体" w:cs="Times New Roman" w:hint="eastAsia"/>
          <w:b/>
          <w:sz w:val="28"/>
          <w:szCs w:val="28"/>
        </w:rPr>
        <w:t>学时）</w:t>
      </w:r>
    </w:p>
    <w:p w14:paraId="37589314" w14:textId="77777777" w:rsidR="00C32AC2" w:rsidRPr="00C32AC2" w:rsidRDefault="00C32AC2" w:rsidP="00C32AC2">
      <w:pPr>
        <w:adjustRightInd w:val="0"/>
        <w:snapToGrid w:val="0"/>
        <w:spacing w:line="500" w:lineRule="exact"/>
        <w:ind w:firstLineChars="200" w:firstLine="482"/>
        <w:rPr>
          <w:rFonts w:ascii="Calibri" w:eastAsia="宋体" w:hAnsi="Calibri" w:cs="Times New Roman"/>
          <w:b/>
          <w:sz w:val="24"/>
        </w:rPr>
      </w:pPr>
      <w:r w:rsidRPr="00C32AC2">
        <w:rPr>
          <w:rFonts w:ascii="Calibri" w:eastAsia="宋体" w:hAnsi="Calibri" w:cs="Times New Roman" w:hint="eastAsia"/>
          <w:b/>
          <w:sz w:val="24"/>
        </w:rPr>
        <w:t>本章主要教学内容：</w:t>
      </w:r>
    </w:p>
    <w:p w14:paraId="5C0F340A"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lastRenderedPageBreak/>
        <w:t xml:space="preserve">1.1 </w:t>
      </w:r>
      <w:r w:rsidRPr="00C32AC2">
        <w:rPr>
          <w:rFonts w:ascii="宋体" w:eastAsia="宋体" w:hAnsi="宋体" w:cs="Arial" w:hint="eastAsia"/>
          <w:sz w:val="24"/>
        </w:rPr>
        <w:t>深入介绍篮球运动以及篮球课</w:t>
      </w:r>
    </w:p>
    <w:p w14:paraId="4E4C524D"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t xml:space="preserve">1.2 </w:t>
      </w:r>
      <w:r w:rsidRPr="00C32AC2">
        <w:rPr>
          <w:rFonts w:ascii="宋体" w:eastAsia="宋体" w:hAnsi="宋体" w:cs="Arial" w:hint="eastAsia"/>
          <w:sz w:val="24"/>
        </w:rPr>
        <w:t>讲解本学期课程的重难点</w:t>
      </w:r>
      <w:r w:rsidRPr="00C32AC2">
        <w:rPr>
          <w:rFonts w:ascii="宋体" w:eastAsia="宋体" w:hAnsi="Calibri" w:cs="Arial"/>
          <w:sz w:val="24"/>
        </w:rPr>
        <w:t>,</w:t>
      </w:r>
      <w:r w:rsidRPr="00C32AC2">
        <w:rPr>
          <w:rFonts w:ascii="宋体" w:eastAsia="宋体" w:hAnsi="宋体" w:cs="Arial" w:hint="eastAsia"/>
          <w:sz w:val="24"/>
        </w:rPr>
        <w:t>以及如何上好篮球课</w:t>
      </w:r>
    </w:p>
    <w:p w14:paraId="60FE38AD"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t xml:space="preserve">1.3 </w:t>
      </w:r>
      <w:r w:rsidRPr="00C32AC2">
        <w:rPr>
          <w:rFonts w:ascii="宋体" w:eastAsia="宋体" w:hAnsi="宋体" w:cs="Arial" w:hint="eastAsia"/>
          <w:sz w:val="24"/>
        </w:rPr>
        <w:t>重申上课纪律</w:t>
      </w:r>
    </w:p>
    <w:p w14:paraId="13D1237C"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sz w:val="24"/>
        </w:rPr>
      </w:pPr>
      <w:r w:rsidRPr="00C32AC2">
        <w:rPr>
          <w:rFonts w:ascii="Calibri" w:eastAsia="宋体" w:hAnsi="Calibri" w:cs="Times New Roman" w:hint="eastAsia"/>
          <w:b/>
          <w:sz w:val="24"/>
        </w:rPr>
        <w:t>本章教学目的及要求：</w:t>
      </w:r>
      <w:r w:rsidRPr="00C32AC2">
        <w:rPr>
          <w:rFonts w:ascii="宋体" w:eastAsia="宋体" w:hAnsi="宋体" w:cs="楷体_GB2312" w:hint="eastAsia"/>
          <w:color w:val="000000"/>
          <w:kern w:val="0"/>
          <w:sz w:val="24"/>
        </w:rPr>
        <w:t>理论上对篮球运动的进一步认识、篮球运动发展趋势；体育课的重要性；对上好篮球课有所认识。</w:t>
      </w:r>
    </w:p>
    <w:p w14:paraId="594B0F55" w14:textId="77777777" w:rsidR="00C32AC2" w:rsidRPr="00C32AC2" w:rsidRDefault="00C32AC2" w:rsidP="00C32AC2">
      <w:pPr>
        <w:autoSpaceDE w:val="0"/>
        <w:autoSpaceDN w:val="0"/>
        <w:adjustRightInd w:val="0"/>
        <w:snapToGrid w:val="0"/>
        <w:spacing w:line="500" w:lineRule="exact"/>
        <w:ind w:firstLineChars="196" w:firstLine="472"/>
        <w:jc w:val="left"/>
        <w:rPr>
          <w:rFonts w:ascii="宋体" w:eastAsia="宋体" w:hAnsi="Calibri" w:cs="楷体_GB2312"/>
          <w:color w:val="000000"/>
          <w:kern w:val="0"/>
          <w:sz w:val="24"/>
        </w:rPr>
      </w:pPr>
      <w:r w:rsidRPr="00C32AC2">
        <w:rPr>
          <w:rFonts w:ascii="Calibri" w:eastAsia="宋体" w:hAnsi="Calibri" w:cs="Times New Roman" w:hint="eastAsia"/>
          <w:b/>
          <w:sz w:val="24"/>
        </w:rPr>
        <w:t>本章教学重点及难点：</w:t>
      </w:r>
      <w:r w:rsidRPr="00C32AC2">
        <w:rPr>
          <w:rFonts w:ascii="宋体" w:eastAsia="宋体" w:hAnsi="宋体" w:cs="楷体_GB2312" w:hint="eastAsia"/>
          <w:color w:val="000000"/>
          <w:kern w:val="0"/>
          <w:sz w:val="24"/>
        </w:rPr>
        <w:t>建立对体育课的正确认识；对篮球运动进一步了解。</w:t>
      </w:r>
    </w:p>
    <w:p w14:paraId="2F980E11" w14:textId="77777777" w:rsidR="00C32AC2" w:rsidRPr="00C32AC2" w:rsidRDefault="00C32AC2" w:rsidP="00C32AC2">
      <w:pPr>
        <w:adjustRightInd w:val="0"/>
        <w:snapToGrid w:val="0"/>
        <w:spacing w:beforeLines="50" w:before="156" w:afterLines="50" w:after="156" w:line="500" w:lineRule="exact"/>
        <w:jc w:val="center"/>
        <w:rPr>
          <w:rFonts w:ascii="宋体" w:eastAsia="宋体" w:hAnsi="Calibri" w:cs="Times New Roman"/>
          <w:b/>
          <w:sz w:val="28"/>
          <w:szCs w:val="28"/>
        </w:rPr>
      </w:pPr>
      <w:r w:rsidRPr="00C32AC2">
        <w:rPr>
          <w:rFonts w:ascii="宋体" w:eastAsia="宋体" w:hAnsi="宋体" w:cs="Times New Roman" w:hint="eastAsia"/>
          <w:b/>
          <w:sz w:val="28"/>
          <w:szCs w:val="28"/>
        </w:rPr>
        <w:t>第二章 篮球基本技术（26学时）</w:t>
      </w:r>
    </w:p>
    <w:p w14:paraId="77606203"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479D0400"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2 个人基本技术</w:t>
      </w:r>
    </w:p>
    <w:p w14:paraId="6DAF5807"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2.1 移动</w:t>
      </w:r>
    </w:p>
    <w:p w14:paraId="7AD0F130"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2.1.1奔跑：侧身跑、后退跑、变速跑、变向跑；</w:t>
      </w:r>
    </w:p>
    <w:p w14:paraId="3CC1A6F7"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2.1.2急起急停：跨步急停、跳步急停、前后转身；</w:t>
      </w:r>
    </w:p>
    <w:p w14:paraId="6C2F1431"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2.1.3防守滑步：横滑步、后撤步、攻击步。</w:t>
      </w:r>
    </w:p>
    <w:p w14:paraId="65267A0F"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2.2 运球</w:t>
      </w:r>
    </w:p>
    <w:p w14:paraId="10257EC6"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2.2.1 原地运球：高运球、低运球；行进间运球：直线运球、运球急停急起、体前变向、后转身运球变向、背后运球变向。</w:t>
      </w:r>
    </w:p>
    <w:p w14:paraId="097D25EF"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2.3传接球</w:t>
      </w:r>
    </w:p>
    <w:p w14:paraId="2124F78D"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2.3.1 原地双手传接球：双手胸前传接球；</w:t>
      </w:r>
    </w:p>
    <w:p w14:paraId="223998C4"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2.3.2 行进间双手传接球：行进间胸前传接球。</w:t>
      </w:r>
    </w:p>
    <w:p w14:paraId="16A6680E"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2.4投篮</w:t>
      </w:r>
    </w:p>
    <w:p w14:paraId="08F29431"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2.4.1原地单手肩上投篮。</w:t>
      </w:r>
    </w:p>
    <w:p w14:paraId="5D2BCAA1"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2.4.2行进间上篮：高手投篮、低手投篮。</w:t>
      </w:r>
    </w:p>
    <w:p w14:paraId="7409707B"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2.5 持球突破：交叉步持球突破。</w:t>
      </w:r>
    </w:p>
    <w:p w14:paraId="292D1167"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2.6 防守技术</w:t>
      </w:r>
    </w:p>
    <w:p w14:paraId="4101537E"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3基础战术配合</w:t>
      </w:r>
    </w:p>
    <w:p w14:paraId="6AECCFA7"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3.1进攻战术配合：传切配合——横切、纵切等。</w:t>
      </w:r>
    </w:p>
    <w:p w14:paraId="19E7336E"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t>4 身体素质</w:t>
      </w:r>
    </w:p>
    <w:p w14:paraId="55ACBCE1" w14:textId="77777777" w:rsidR="00C32AC2" w:rsidRPr="00C32AC2" w:rsidRDefault="00C32AC2" w:rsidP="00C32AC2">
      <w:pPr>
        <w:spacing w:line="500" w:lineRule="exact"/>
        <w:ind w:firstLineChars="200" w:firstLine="480"/>
        <w:rPr>
          <w:rFonts w:ascii="宋体" w:eastAsia="宋体" w:hAnsi="宋体" w:cs="宋体"/>
          <w:sz w:val="24"/>
        </w:rPr>
      </w:pPr>
      <w:r w:rsidRPr="00C32AC2">
        <w:rPr>
          <w:rFonts w:ascii="宋体" w:eastAsia="宋体" w:hAnsi="宋体" w:cs="宋体" w:hint="eastAsia"/>
          <w:sz w:val="24"/>
        </w:rPr>
        <w:lastRenderedPageBreak/>
        <w:t>4.1专项身体素质：各种折返跑练习；原地双脚连续跳起摸篮板、行进间单脚跳起摸篮板或篮圈、连续持球碰篮板练习；各种躲闪游戏、各种变速变向跑、原地</w:t>
      </w:r>
      <w:proofErr w:type="gramStart"/>
      <w:r w:rsidRPr="00C32AC2">
        <w:rPr>
          <w:rFonts w:ascii="宋体" w:eastAsia="宋体" w:hAnsi="宋体" w:cs="宋体" w:hint="eastAsia"/>
          <w:sz w:val="24"/>
        </w:rPr>
        <w:t>接不同</w:t>
      </w:r>
      <w:proofErr w:type="gramEnd"/>
      <w:r w:rsidRPr="00C32AC2">
        <w:rPr>
          <w:rFonts w:ascii="宋体" w:eastAsia="宋体" w:hAnsi="宋体" w:cs="宋体" w:hint="eastAsia"/>
          <w:sz w:val="24"/>
        </w:rPr>
        <w:t>方向、距离、速度的球。</w:t>
      </w:r>
    </w:p>
    <w:p w14:paraId="5ED6ED3C" w14:textId="77777777" w:rsidR="00C32AC2" w:rsidRPr="00C32AC2" w:rsidRDefault="00C32AC2" w:rsidP="00C32AC2">
      <w:pPr>
        <w:spacing w:line="360" w:lineRule="auto"/>
        <w:ind w:firstLineChars="196" w:firstLine="472"/>
        <w:rPr>
          <w:rFonts w:ascii="Arial" w:eastAsia="宋体" w:hAnsi="Arial" w:cs="Arial"/>
          <w:sz w:val="24"/>
        </w:rPr>
      </w:pPr>
      <w:r w:rsidRPr="00C32AC2">
        <w:rPr>
          <w:rFonts w:ascii="Arial" w:eastAsia="宋体" w:hAnsi="Calibri" w:cs="Arial" w:hint="eastAsia"/>
          <w:b/>
          <w:sz w:val="24"/>
        </w:rPr>
        <w:t>本章教学目的及要求：</w:t>
      </w:r>
      <w:r w:rsidRPr="00C32AC2">
        <w:rPr>
          <w:rFonts w:ascii="Arial" w:eastAsia="宋体" w:hAnsi="Calibri" w:cs="Arial" w:hint="eastAsia"/>
          <w:sz w:val="24"/>
        </w:rPr>
        <w:t>掌握篮球基本功以及练习方法，课上体验式学习，掌握方法后课下能够自己提高；提高全身柔韧性及身体的协调性。</w:t>
      </w:r>
    </w:p>
    <w:p w14:paraId="76580D68" w14:textId="77777777" w:rsidR="00C32AC2" w:rsidRPr="00C32AC2" w:rsidRDefault="00C32AC2" w:rsidP="00C32AC2">
      <w:pPr>
        <w:spacing w:line="360" w:lineRule="auto"/>
        <w:ind w:firstLineChars="196" w:firstLine="472"/>
        <w:rPr>
          <w:rFonts w:ascii="Arial" w:eastAsia="宋体" w:hAnsi="Calibri" w:cs="Arial"/>
          <w:sz w:val="24"/>
        </w:rPr>
      </w:pPr>
      <w:r w:rsidRPr="00C32AC2">
        <w:rPr>
          <w:rFonts w:ascii="Arial" w:eastAsia="宋体" w:hAnsi="Calibri" w:cs="Arial" w:hint="eastAsia"/>
          <w:b/>
          <w:sz w:val="24"/>
        </w:rPr>
        <w:t>本章教学重点及难点：</w:t>
      </w:r>
      <w:r w:rsidRPr="00C32AC2">
        <w:rPr>
          <w:rFonts w:ascii="Arial" w:eastAsia="宋体" w:hAnsi="Calibri" w:cs="Arial" w:hint="eastAsia"/>
          <w:sz w:val="24"/>
        </w:rPr>
        <w:t>掌握篮球进攻与防守基本功。</w:t>
      </w:r>
    </w:p>
    <w:p w14:paraId="2B073D3A" w14:textId="77777777" w:rsidR="00C32AC2" w:rsidRPr="00C32AC2" w:rsidRDefault="00C32AC2" w:rsidP="00C32AC2">
      <w:pPr>
        <w:adjustRightInd w:val="0"/>
        <w:snapToGrid w:val="0"/>
        <w:spacing w:beforeLines="50" w:before="156" w:afterLines="50" w:after="156" w:line="500" w:lineRule="exact"/>
        <w:jc w:val="center"/>
        <w:rPr>
          <w:rFonts w:ascii="Arial" w:eastAsia="宋体" w:hAnsi="Arial" w:cs="Arial"/>
          <w:b/>
          <w:sz w:val="28"/>
          <w:szCs w:val="28"/>
        </w:rPr>
      </w:pPr>
      <w:r w:rsidRPr="00C32AC2">
        <w:rPr>
          <w:rFonts w:ascii="宋体" w:eastAsia="宋体" w:hAnsi="宋体" w:cs="Times New Roman" w:hint="eastAsia"/>
          <w:b/>
          <w:sz w:val="28"/>
          <w:szCs w:val="28"/>
        </w:rPr>
        <w:t xml:space="preserve">第三章   </w:t>
      </w:r>
      <w:r w:rsidRPr="00C32AC2">
        <w:rPr>
          <w:rFonts w:ascii="Arial" w:eastAsia="宋体" w:hAnsi="Arial" w:cs="Arial"/>
          <w:b/>
          <w:sz w:val="28"/>
          <w:szCs w:val="28"/>
        </w:rPr>
        <w:t>大</w:t>
      </w:r>
      <w:r w:rsidRPr="00C32AC2">
        <w:rPr>
          <w:rFonts w:ascii="Arial" w:eastAsia="宋体" w:hAnsi="Calibri" w:cs="Arial" w:hint="eastAsia"/>
          <w:b/>
          <w:sz w:val="28"/>
          <w:szCs w:val="28"/>
        </w:rPr>
        <w:t>学生体质健康测评（</w:t>
      </w:r>
      <w:r w:rsidRPr="00C32AC2">
        <w:rPr>
          <w:rFonts w:ascii="Arial" w:eastAsia="宋体" w:hAnsi="Calibri" w:cs="Arial" w:hint="eastAsia"/>
          <w:b/>
          <w:sz w:val="28"/>
          <w:szCs w:val="28"/>
        </w:rPr>
        <w:t>4</w:t>
      </w:r>
      <w:r w:rsidRPr="00C32AC2">
        <w:rPr>
          <w:rFonts w:ascii="Arial" w:eastAsia="宋体" w:hAnsi="Calibri" w:cs="Arial" w:hint="eastAsia"/>
          <w:b/>
          <w:sz w:val="28"/>
          <w:szCs w:val="28"/>
        </w:rPr>
        <w:t>学时）</w:t>
      </w:r>
    </w:p>
    <w:p w14:paraId="4FC4AA05"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46BB5463"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3.1 《国家学生体质健康标准》实施说明</w:t>
      </w:r>
    </w:p>
    <w:p w14:paraId="1BA13A40"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3.2 《国家学生体质健康标准》测试评分表</w:t>
      </w:r>
    </w:p>
    <w:p w14:paraId="13446C64" w14:textId="77777777" w:rsidR="00C32AC2" w:rsidRPr="00C32AC2" w:rsidRDefault="00C32AC2" w:rsidP="00C32AC2">
      <w:pPr>
        <w:spacing w:line="360" w:lineRule="auto"/>
        <w:ind w:firstLineChars="196" w:firstLine="472"/>
        <w:rPr>
          <w:rFonts w:ascii="Calibri" w:eastAsia="宋体" w:hAnsi="Calibri" w:cs="Times New Roman"/>
          <w:bCs/>
          <w:sz w:val="24"/>
        </w:rPr>
      </w:pPr>
      <w:r w:rsidRPr="00C32AC2">
        <w:rPr>
          <w:rFonts w:ascii="Arial" w:eastAsia="宋体" w:hAnsi="Calibri" w:cs="Arial" w:hint="eastAsia"/>
          <w:b/>
          <w:sz w:val="24"/>
        </w:rPr>
        <w:t>本章教学目的及要求：</w:t>
      </w:r>
      <w:r w:rsidRPr="00C32AC2">
        <w:rPr>
          <w:rFonts w:ascii="Calibri" w:eastAsia="宋体" w:hAnsi="Calibri" w:cs="Times New Roman" w:hint="eastAsia"/>
          <w:bCs/>
          <w:sz w:val="24"/>
        </w:rPr>
        <w:t>使学生了解体质健康的主要内容及要求。</w:t>
      </w:r>
    </w:p>
    <w:p w14:paraId="42FEE237" w14:textId="77777777" w:rsidR="00C32AC2" w:rsidRPr="00C32AC2" w:rsidRDefault="00C32AC2" w:rsidP="00C32AC2">
      <w:pPr>
        <w:spacing w:line="360" w:lineRule="auto"/>
        <w:ind w:firstLineChars="196" w:firstLine="472"/>
        <w:rPr>
          <w:rFonts w:ascii="宋体" w:eastAsia="宋体" w:hAnsi="宋体" w:cs="宋体"/>
          <w:sz w:val="24"/>
        </w:rPr>
      </w:pPr>
      <w:r w:rsidRPr="00C32AC2">
        <w:rPr>
          <w:rFonts w:ascii="Arial" w:eastAsia="宋体" w:hAnsi="Calibri" w:cs="Arial" w:hint="eastAsia"/>
          <w:b/>
          <w:sz w:val="24"/>
        </w:rPr>
        <w:t>本章教学重点及难点：</w:t>
      </w:r>
      <w:r w:rsidRPr="00C32AC2">
        <w:rPr>
          <w:rFonts w:ascii="Arial" w:eastAsia="宋体" w:hAnsi="Calibri" w:cs="Arial" w:hint="eastAsia"/>
          <w:sz w:val="24"/>
        </w:rPr>
        <w:t>学生体质健康标准的重要性；如何激发学生锻炼身体的积极性和自觉性。</w:t>
      </w:r>
    </w:p>
    <w:p w14:paraId="47392010" w14:textId="77777777" w:rsidR="00C32AC2" w:rsidRPr="00C32AC2" w:rsidRDefault="00C32AC2" w:rsidP="00C32AC2">
      <w:pPr>
        <w:spacing w:beforeLines="50" w:before="156" w:afterLines="50" w:after="156" w:line="440" w:lineRule="exact"/>
        <w:ind w:firstLineChars="200" w:firstLine="560"/>
        <w:jc w:val="center"/>
        <w:rPr>
          <w:rFonts w:ascii="黑体" w:eastAsia="黑体" w:hAnsi="黑体" w:cs="Times New Roman"/>
          <w:sz w:val="28"/>
          <w:szCs w:val="28"/>
        </w:rPr>
      </w:pPr>
      <w:r w:rsidRPr="00C32AC2">
        <w:rPr>
          <w:rFonts w:ascii="黑体" w:eastAsia="黑体" w:hAnsi="黑体" w:cs="Times New Roman" w:hint="eastAsia"/>
          <w:sz w:val="28"/>
          <w:szCs w:val="28"/>
        </w:rPr>
        <w:t>学习内容四 篮球 3</w:t>
      </w:r>
    </w:p>
    <w:p w14:paraId="758FD59C"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C32AC2">
        <w:rPr>
          <w:rFonts w:ascii="宋体" w:eastAsia="宋体" w:hAnsi="宋体" w:cs="Times New Roman" w:hint="eastAsia"/>
          <w:b/>
          <w:sz w:val="24"/>
        </w:rPr>
        <w:t>【学习目标】</w:t>
      </w:r>
    </w:p>
    <w:p w14:paraId="2A02ACAC"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1.</w:t>
      </w:r>
      <w:r w:rsidRPr="00C32A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C32AC2">
        <w:rPr>
          <w:rFonts w:ascii="宋体" w:eastAsia="宋体" w:hAnsi="Calibri" w:cs="宋体" w:hint="eastAsia"/>
          <w:spacing w:val="5"/>
          <w:kern w:val="0"/>
          <w:sz w:val="24"/>
        </w:rPr>
        <w:t>通过体能教学活动，</w:t>
      </w:r>
      <w:r w:rsidRPr="00C32AC2">
        <w:rPr>
          <w:rFonts w:ascii="宋体" w:eastAsia="宋体" w:hAnsi="宋体" w:cs="仿宋_GB2312" w:hint="eastAsia"/>
          <w:sz w:val="24"/>
        </w:rPr>
        <w:t>了解《大学生体质健康标准测验》项目内容、考核方式、评价标准，掌握考核内容锻炼的方式方法。</w:t>
      </w:r>
      <w:r w:rsidRPr="00C32AC2">
        <w:rPr>
          <w:rFonts w:ascii="宋体" w:eastAsia="宋体" w:hAnsi="Calibri" w:cs="宋体" w:hint="eastAsia"/>
          <w:spacing w:val="5"/>
          <w:kern w:val="0"/>
          <w:sz w:val="24"/>
        </w:rPr>
        <w:t>培养学生努力学习、不断进取、修身立业、顽强奋进的精神与品质。</w:t>
      </w:r>
    </w:p>
    <w:p w14:paraId="43A704A5"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2.</w:t>
      </w:r>
      <w:r w:rsidRPr="00C32A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32AC2">
        <w:rPr>
          <w:rFonts w:ascii="宋体" w:eastAsia="宋体" w:hAnsi="Calibri" w:cs="宋体" w:hint="eastAsia"/>
          <w:spacing w:val="5"/>
          <w:kern w:val="0"/>
          <w:sz w:val="24"/>
        </w:rPr>
        <w:t>。</w:t>
      </w:r>
    </w:p>
    <w:p w14:paraId="796A16B0" w14:textId="77777777" w:rsidR="00C32AC2" w:rsidRPr="00C32AC2" w:rsidRDefault="00C32AC2" w:rsidP="00C32AC2">
      <w:pPr>
        <w:spacing w:line="44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3.通过篮球专项课教学，使学生较好地掌握篮球基本技术，不断提高篮球比</w:t>
      </w:r>
      <w:r w:rsidRPr="00C32AC2">
        <w:rPr>
          <w:rFonts w:ascii="宋体" w:eastAsia="宋体" w:hAnsi="Calibri" w:cs="宋体" w:hint="eastAsia"/>
          <w:spacing w:val="5"/>
          <w:kern w:val="0"/>
          <w:sz w:val="24"/>
        </w:rPr>
        <w:lastRenderedPageBreak/>
        <w:t>赛的能力。通过理论教学，使学生了解篮球运动发展史，篮球基本规则和裁判法，科学锻炼身体的方法和要求，培养良好的体育意识，养成终身锻炼的习惯。</w:t>
      </w:r>
    </w:p>
    <w:p w14:paraId="75F55B97" w14:textId="77777777" w:rsidR="00C32AC2" w:rsidRPr="00C32AC2" w:rsidRDefault="00C32AC2" w:rsidP="00C32AC2">
      <w:pPr>
        <w:spacing w:line="440" w:lineRule="exact"/>
        <w:ind w:firstLineChars="200" w:firstLine="500"/>
        <w:rPr>
          <w:rFonts w:ascii="宋体" w:eastAsia="宋体" w:hAnsi="宋体" w:cs="Times New Roman"/>
          <w:b/>
          <w:sz w:val="24"/>
        </w:rPr>
      </w:pPr>
      <w:r w:rsidRPr="00C32AC2">
        <w:rPr>
          <w:rFonts w:ascii="宋体" w:eastAsia="宋体" w:hAnsi="Calibri" w:cs="宋体" w:hint="eastAsia"/>
          <w:spacing w:val="5"/>
          <w:kern w:val="0"/>
          <w:sz w:val="24"/>
        </w:rPr>
        <w:t>4.</w:t>
      </w:r>
      <w:r w:rsidRPr="00C32A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32AC2">
        <w:rPr>
          <w:rFonts w:ascii="宋体" w:eastAsia="宋体" w:hAnsi="Calibri" w:cs="宋体" w:hint="eastAsia"/>
          <w:spacing w:val="5"/>
          <w:kern w:val="0"/>
          <w:sz w:val="24"/>
        </w:rPr>
        <w:t>。</w:t>
      </w:r>
    </w:p>
    <w:p w14:paraId="60C7A138" w14:textId="77777777" w:rsidR="00C32AC2" w:rsidRPr="00C32AC2" w:rsidRDefault="00C32AC2" w:rsidP="00C32AC2">
      <w:pPr>
        <w:spacing w:line="440" w:lineRule="exact"/>
        <w:rPr>
          <w:rFonts w:ascii="宋体" w:eastAsia="宋体" w:hAnsi="宋体" w:cs="Times New Roman"/>
          <w:bCs/>
          <w:color w:val="FF0000"/>
          <w:sz w:val="24"/>
        </w:rPr>
      </w:pPr>
      <w:r w:rsidRPr="00C32AC2">
        <w:rPr>
          <w:rFonts w:ascii="宋体" w:eastAsia="宋体" w:hAnsi="宋体" w:cs="Times New Roman" w:hint="eastAsia"/>
          <w:b/>
          <w:sz w:val="24"/>
        </w:rPr>
        <w:t>【学习内容】</w:t>
      </w:r>
    </w:p>
    <w:p w14:paraId="6580DACD" w14:textId="77777777" w:rsidR="00C32AC2" w:rsidRPr="00C32AC2" w:rsidRDefault="00C32AC2" w:rsidP="00C32AC2">
      <w:pPr>
        <w:adjustRightInd w:val="0"/>
        <w:snapToGrid w:val="0"/>
        <w:spacing w:beforeLines="50" w:before="156" w:afterLines="50" w:after="156" w:line="500" w:lineRule="exact"/>
        <w:jc w:val="center"/>
        <w:rPr>
          <w:rFonts w:ascii="宋体" w:eastAsia="宋体" w:hAnsi="Calibri" w:cs="Times New Roman"/>
          <w:b/>
          <w:sz w:val="28"/>
          <w:szCs w:val="28"/>
        </w:rPr>
      </w:pPr>
      <w:r w:rsidRPr="00C32AC2">
        <w:rPr>
          <w:rFonts w:ascii="宋体" w:eastAsia="宋体" w:hAnsi="宋体" w:cs="Times New Roman" w:hint="eastAsia"/>
          <w:b/>
          <w:sz w:val="28"/>
          <w:szCs w:val="28"/>
        </w:rPr>
        <w:t>第一章 导入（</w:t>
      </w:r>
      <w:r w:rsidRPr="00C32AC2">
        <w:rPr>
          <w:rFonts w:ascii="宋体" w:eastAsia="宋体" w:hAnsi="宋体" w:cs="Times New Roman"/>
          <w:b/>
          <w:sz w:val="28"/>
          <w:szCs w:val="28"/>
        </w:rPr>
        <w:t>2</w:t>
      </w:r>
      <w:r w:rsidRPr="00C32AC2">
        <w:rPr>
          <w:rFonts w:ascii="宋体" w:eastAsia="宋体" w:hAnsi="宋体" w:cs="Times New Roman" w:hint="eastAsia"/>
          <w:b/>
          <w:sz w:val="28"/>
          <w:szCs w:val="28"/>
        </w:rPr>
        <w:t>学时）</w:t>
      </w:r>
    </w:p>
    <w:p w14:paraId="1B56D52C" w14:textId="77777777" w:rsidR="00C32AC2" w:rsidRPr="00C32AC2" w:rsidRDefault="00C32AC2" w:rsidP="00C32AC2">
      <w:pPr>
        <w:adjustRightInd w:val="0"/>
        <w:snapToGrid w:val="0"/>
        <w:spacing w:line="500" w:lineRule="exact"/>
        <w:ind w:firstLineChars="200" w:firstLine="482"/>
        <w:rPr>
          <w:rFonts w:ascii="Calibri" w:eastAsia="宋体" w:hAnsi="Calibri" w:cs="Times New Roman"/>
          <w:b/>
          <w:sz w:val="24"/>
        </w:rPr>
      </w:pPr>
      <w:r w:rsidRPr="00C32AC2">
        <w:rPr>
          <w:rFonts w:ascii="Calibri" w:eastAsia="宋体" w:hAnsi="Calibri" w:cs="Times New Roman" w:hint="eastAsia"/>
          <w:b/>
          <w:sz w:val="24"/>
        </w:rPr>
        <w:t>本章主要教学内容：</w:t>
      </w:r>
    </w:p>
    <w:p w14:paraId="6D3CC5A2"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t xml:space="preserve">1.1 </w:t>
      </w:r>
      <w:r w:rsidRPr="00C32AC2">
        <w:rPr>
          <w:rFonts w:ascii="宋体" w:eastAsia="宋体" w:hAnsi="宋体" w:cs="Arial" w:hint="eastAsia"/>
          <w:sz w:val="24"/>
        </w:rPr>
        <w:t>介绍篮球运动以及篮球课</w:t>
      </w:r>
    </w:p>
    <w:p w14:paraId="4F76D116"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t xml:space="preserve">1.2 </w:t>
      </w:r>
      <w:r w:rsidRPr="00C32AC2">
        <w:rPr>
          <w:rFonts w:ascii="宋体" w:eastAsia="宋体" w:hAnsi="宋体" w:cs="Arial" w:hint="eastAsia"/>
          <w:sz w:val="24"/>
        </w:rPr>
        <w:t>讲解本课程的重难点</w:t>
      </w:r>
      <w:r w:rsidRPr="00C32AC2">
        <w:rPr>
          <w:rFonts w:ascii="宋体" w:eastAsia="宋体" w:hAnsi="Calibri" w:cs="Arial"/>
          <w:sz w:val="24"/>
        </w:rPr>
        <w:t>,</w:t>
      </w:r>
      <w:r w:rsidRPr="00C32AC2">
        <w:rPr>
          <w:rFonts w:ascii="宋体" w:eastAsia="宋体" w:hAnsi="宋体" w:cs="Arial" w:hint="eastAsia"/>
          <w:sz w:val="24"/>
        </w:rPr>
        <w:t>以及如何上好篮球课</w:t>
      </w:r>
    </w:p>
    <w:p w14:paraId="1C400EF0"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t xml:space="preserve">1.3 </w:t>
      </w:r>
      <w:r w:rsidRPr="00C32AC2">
        <w:rPr>
          <w:rFonts w:ascii="宋体" w:eastAsia="宋体" w:hAnsi="宋体" w:cs="Arial" w:hint="eastAsia"/>
          <w:sz w:val="24"/>
        </w:rPr>
        <w:t>强调上课纪律</w:t>
      </w:r>
    </w:p>
    <w:p w14:paraId="6089CDC6" w14:textId="77777777" w:rsidR="00C32AC2" w:rsidRPr="00C32AC2" w:rsidRDefault="00C32AC2" w:rsidP="00C32AC2">
      <w:pPr>
        <w:spacing w:line="360" w:lineRule="auto"/>
        <w:ind w:firstLineChars="200" w:firstLine="480"/>
        <w:rPr>
          <w:rFonts w:ascii="Arial" w:eastAsia="宋体" w:hAnsi="Calibri" w:cs="Arial"/>
          <w:sz w:val="24"/>
        </w:rPr>
      </w:pPr>
      <w:r w:rsidRPr="00C32AC2">
        <w:rPr>
          <w:rFonts w:ascii="宋体" w:eastAsia="宋体" w:hAnsi="宋体" w:cs="Arial"/>
          <w:sz w:val="24"/>
        </w:rPr>
        <w:t xml:space="preserve">1.4 </w:t>
      </w:r>
      <w:r w:rsidRPr="00C32AC2">
        <w:rPr>
          <w:rFonts w:ascii="宋体" w:eastAsia="宋体" w:hAnsi="宋体" w:cs="Arial" w:hint="eastAsia"/>
          <w:sz w:val="24"/>
        </w:rPr>
        <w:t>以篮球为核心相关外延知识拓展</w:t>
      </w:r>
    </w:p>
    <w:p w14:paraId="21A814CD" w14:textId="77777777" w:rsidR="00C32AC2" w:rsidRPr="00C32AC2" w:rsidRDefault="00C32AC2" w:rsidP="00C32AC2">
      <w:pPr>
        <w:adjustRightInd w:val="0"/>
        <w:snapToGrid w:val="0"/>
        <w:spacing w:line="500" w:lineRule="exact"/>
        <w:ind w:firstLineChars="200" w:firstLine="482"/>
        <w:rPr>
          <w:rFonts w:ascii="宋体" w:eastAsia="宋体" w:hAnsi="Calibri" w:cs="Times New Roman"/>
          <w:sz w:val="24"/>
        </w:rPr>
      </w:pPr>
      <w:r w:rsidRPr="00C32AC2">
        <w:rPr>
          <w:rFonts w:ascii="Calibri" w:eastAsia="宋体" w:hAnsi="Calibri" w:cs="Times New Roman" w:hint="eastAsia"/>
          <w:b/>
          <w:sz w:val="24"/>
        </w:rPr>
        <w:t>本章教学目的及要求：</w:t>
      </w:r>
      <w:r w:rsidRPr="00C32AC2">
        <w:rPr>
          <w:rFonts w:ascii="宋体" w:eastAsia="宋体" w:hAnsi="宋体" w:cs="楷体_GB2312" w:hint="eastAsia"/>
          <w:color w:val="000000"/>
          <w:kern w:val="0"/>
          <w:sz w:val="24"/>
        </w:rPr>
        <w:t>理论上对篮球运动的宏观认识、篮球运动发展史及发展现状；体育课的重要性；对上好篮球课有所认识。</w:t>
      </w:r>
    </w:p>
    <w:p w14:paraId="4832B737" w14:textId="77777777" w:rsidR="00C32AC2" w:rsidRPr="00C32AC2" w:rsidRDefault="00C32AC2" w:rsidP="00C32AC2">
      <w:pPr>
        <w:autoSpaceDE w:val="0"/>
        <w:autoSpaceDN w:val="0"/>
        <w:adjustRightInd w:val="0"/>
        <w:snapToGrid w:val="0"/>
        <w:spacing w:line="500" w:lineRule="exact"/>
        <w:ind w:firstLineChars="196" w:firstLine="472"/>
        <w:jc w:val="left"/>
        <w:rPr>
          <w:rFonts w:ascii="宋体" w:eastAsia="宋体" w:hAnsi="宋体" w:cs="楷体_GB2312"/>
          <w:color w:val="000000"/>
          <w:kern w:val="0"/>
          <w:sz w:val="24"/>
        </w:rPr>
      </w:pPr>
      <w:r w:rsidRPr="00C32AC2">
        <w:rPr>
          <w:rFonts w:ascii="Calibri" w:eastAsia="宋体" w:hAnsi="Calibri" w:cs="Times New Roman" w:hint="eastAsia"/>
          <w:b/>
          <w:sz w:val="24"/>
        </w:rPr>
        <w:t>本章教学重点及难点：</w:t>
      </w:r>
      <w:r w:rsidRPr="00C32AC2">
        <w:rPr>
          <w:rFonts w:ascii="宋体" w:eastAsia="宋体" w:hAnsi="宋体" w:cs="楷体_GB2312" w:hint="eastAsia"/>
          <w:color w:val="000000"/>
          <w:kern w:val="0"/>
          <w:sz w:val="24"/>
        </w:rPr>
        <w:t>建立对体育课的正确认识；对篮球运动初步了解。</w:t>
      </w:r>
    </w:p>
    <w:p w14:paraId="5CABA267" w14:textId="77777777" w:rsidR="00C32AC2" w:rsidRPr="00C32AC2" w:rsidRDefault="00C32AC2" w:rsidP="00C32AC2">
      <w:pPr>
        <w:adjustRightInd w:val="0"/>
        <w:snapToGrid w:val="0"/>
        <w:spacing w:beforeLines="50" w:before="156" w:afterLines="50" w:after="156" w:line="500" w:lineRule="exact"/>
        <w:jc w:val="center"/>
        <w:rPr>
          <w:rFonts w:ascii="宋体" w:eastAsia="宋体" w:hAnsi="Calibri" w:cs="Times New Roman"/>
          <w:b/>
          <w:sz w:val="28"/>
          <w:szCs w:val="28"/>
        </w:rPr>
      </w:pPr>
      <w:r w:rsidRPr="00C32AC2">
        <w:rPr>
          <w:rFonts w:ascii="宋体" w:eastAsia="宋体" w:hAnsi="宋体" w:cs="Times New Roman" w:hint="eastAsia"/>
          <w:b/>
          <w:sz w:val="28"/>
          <w:szCs w:val="28"/>
        </w:rPr>
        <w:t>第二章</w:t>
      </w:r>
      <w:r w:rsidRPr="00C32AC2">
        <w:rPr>
          <w:rFonts w:ascii="宋体" w:eastAsia="宋体" w:hAnsi="宋体" w:cs="Times New Roman"/>
          <w:b/>
          <w:sz w:val="28"/>
          <w:szCs w:val="28"/>
        </w:rPr>
        <w:t xml:space="preserve">  </w:t>
      </w:r>
      <w:r w:rsidRPr="00C32AC2">
        <w:rPr>
          <w:rFonts w:ascii="宋体" w:eastAsia="宋体" w:hAnsi="宋体" w:cs="Times New Roman" w:hint="eastAsia"/>
          <w:b/>
          <w:sz w:val="28"/>
          <w:szCs w:val="28"/>
        </w:rPr>
        <w:t>篮球基本技术</w:t>
      </w:r>
      <w:r w:rsidRPr="00C32AC2">
        <w:rPr>
          <w:rFonts w:ascii="宋体" w:eastAsia="宋体" w:hAnsi="宋体" w:cs="Times New Roman"/>
          <w:b/>
          <w:sz w:val="28"/>
          <w:szCs w:val="28"/>
        </w:rPr>
        <w:t xml:space="preserve"> </w:t>
      </w:r>
      <w:r w:rsidRPr="00C32AC2">
        <w:rPr>
          <w:rFonts w:ascii="宋体" w:eastAsia="宋体" w:hAnsi="宋体" w:cs="Times New Roman" w:hint="eastAsia"/>
          <w:b/>
          <w:sz w:val="28"/>
          <w:szCs w:val="28"/>
        </w:rPr>
        <w:t>（30学时）</w:t>
      </w:r>
    </w:p>
    <w:p w14:paraId="3F823910" w14:textId="77777777" w:rsidR="00C32AC2" w:rsidRPr="00C32AC2" w:rsidRDefault="00C32AC2" w:rsidP="00C32AC2">
      <w:pPr>
        <w:spacing w:line="360" w:lineRule="auto"/>
        <w:ind w:firstLineChars="196" w:firstLine="472"/>
        <w:rPr>
          <w:rFonts w:ascii="Arial" w:eastAsia="宋体" w:hAnsi="Arial" w:cs="Arial"/>
          <w:b/>
          <w:sz w:val="24"/>
        </w:rPr>
      </w:pPr>
      <w:r w:rsidRPr="00C32AC2">
        <w:rPr>
          <w:rFonts w:ascii="Arial" w:eastAsia="宋体" w:hAnsi="Calibri" w:cs="Arial" w:hint="eastAsia"/>
          <w:b/>
          <w:sz w:val="24"/>
        </w:rPr>
        <w:t>本章主要教学内容：</w:t>
      </w:r>
    </w:p>
    <w:p w14:paraId="01D3E705"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t xml:space="preserve">2.1 </w:t>
      </w:r>
      <w:r w:rsidRPr="00C32AC2">
        <w:rPr>
          <w:rFonts w:ascii="宋体" w:eastAsia="宋体" w:hAnsi="宋体" w:cs="Arial" w:hint="eastAsia"/>
          <w:sz w:val="24"/>
        </w:rPr>
        <w:t>基本球性讲解与练习：</w:t>
      </w:r>
    </w:p>
    <w:p w14:paraId="395253E1" w14:textId="77777777" w:rsidR="00C32AC2" w:rsidRPr="00C32AC2" w:rsidRDefault="00C32AC2" w:rsidP="00C32AC2">
      <w:pPr>
        <w:spacing w:line="360" w:lineRule="auto"/>
        <w:rPr>
          <w:rFonts w:ascii="宋体" w:eastAsia="宋体" w:hAnsi="Calibri" w:cs="Arial"/>
          <w:sz w:val="24"/>
        </w:rPr>
      </w:pPr>
      <w:r w:rsidRPr="00C32AC2">
        <w:rPr>
          <w:rFonts w:ascii="宋体" w:eastAsia="宋体" w:hAnsi="宋体" w:cs="Arial"/>
          <w:sz w:val="24"/>
        </w:rPr>
        <w:t xml:space="preserve">    2.1.1 </w:t>
      </w:r>
      <w:r w:rsidRPr="00C32AC2">
        <w:rPr>
          <w:rFonts w:ascii="宋体" w:eastAsia="宋体" w:hAnsi="宋体" w:cs="Arial" w:hint="eastAsia"/>
          <w:sz w:val="24"/>
        </w:rPr>
        <w:t>原地不运球</w:t>
      </w:r>
      <w:proofErr w:type="gramStart"/>
      <w:r w:rsidRPr="00C32AC2">
        <w:rPr>
          <w:rFonts w:ascii="宋体" w:eastAsia="宋体" w:hAnsi="宋体" w:cs="Arial" w:hint="eastAsia"/>
          <w:sz w:val="24"/>
        </w:rPr>
        <w:t>球</w:t>
      </w:r>
      <w:proofErr w:type="gramEnd"/>
      <w:r w:rsidRPr="00C32AC2">
        <w:rPr>
          <w:rFonts w:ascii="宋体" w:eastAsia="宋体" w:hAnsi="宋体" w:cs="Arial" w:hint="eastAsia"/>
          <w:sz w:val="24"/>
        </w:rPr>
        <w:t>性</w:t>
      </w:r>
    </w:p>
    <w:p w14:paraId="2668A6E6" w14:textId="77777777" w:rsidR="00C32AC2" w:rsidRPr="00C32AC2" w:rsidRDefault="00C32AC2" w:rsidP="00C32AC2">
      <w:pPr>
        <w:spacing w:line="360" w:lineRule="auto"/>
        <w:rPr>
          <w:rFonts w:ascii="宋体" w:eastAsia="宋体" w:hAnsi="Calibri" w:cs="Arial"/>
          <w:sz w:val="24"/>
        </w:rPr>
      </w:pPr>
      <w:r w:rsidRPr="00C32AC2">
        <w:rPr>
          <w:rFonts w:ascii="宋体" w:eastAsia="宋体" w:hAnsi="宋体" w:cs="Arial"/>
          <w:sz w:val="24"/>
        </w:rPr>
        <w:t xml:space="preserve">    2.1.2 </w:t>
      </w:r>
      <w:r w:rsidRPr="00C32AC2">
        <w:rPr>
          <w:rFonts w:ascii="宋体" w:eastAsia="宋体" w:hAnsi="宋体" w:cs="Arial" w:hint="eastAsia"/>
          <w:sz w:val="24"/>
        </w:rPr>
        <w:t>原地运球</w:t>
      </w:r>
      <w:proofErr w:type="gramStart"/>
      <w:r w:rsidRPr="00C32AC2">
        <w:rPr>
          <w:rFonts w:ascii="宋体" w:eastAsia="宋体" w:hAnsi="宋体" w:cs="Arial" w:hint="eastAsia"/>
          <w:sz w:val="24"/>
        </w:rPr>
        <w:t>球</w:t>
      </w:r>
      <w:proofErr w:type="gramEnd"/>
      <w:r w:rsidRPr="00C32AC2">
        <w:rPr>
          <w:rFonts w:ascii="宋体" w:eastAsia="宋体" w:hAnsi="宋体" w:cs="Arial" w:hint="eastAsia"/>
          <w:sz w:val="24"/>
        </w:rPr>
        <w:t>性</w:t>
      </w:r>
    </w:p>
    <w:p w14:paraId="17D78CF7"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t xml:space="preserve">2.2 </w:t>
      </w:r>
      <w:r w:rsidRPr="00C32AC2">
        <w:rPr>
          <w:rFonts w:ascii="宋体" w:eastAsia="宋体" w:hAnsi="宋体" w:cs="Arial" w:hint="eastAsia"/>
          <w:sz w:val="24"/>
        </w:rPr>
        <w:t>篮球脚步移动、行进间运球、三步上篮讲解与练习</w:t>
      </w:r>
    </w:p>
    <w:p w14:paraId="4347972D"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t xml:space="preserve">2.3 </w:t>
      </w:r>
      <w:r w:rsidRPr="00C32AC2">
        <w:rPr>
          <w:rFonts w:ascii="宋体" w:eastAsia="宋体" w:hAnsi="宋体" w:cs="Arial" w:hint="eastAsia"/>
          <w:sz w:val="24"/>
        </w:rPr>
        <w:t>投篮、传球讲解与练习</w:t>
      </w:r>
    </w:p>
    <w:p w14:paraId="2C7F8313" w14:textId="77777777" w:rsidR="00C32AC2" w:rsidRPr="00C32AC2" w:rsidRDefault="00C32AC2" w:rsidP="00C32AC2">
      <w:pPr>
        <w:spacing w:line="360" w:lineRule="auto"/>
        <w:ind w:firstLineChars="200" w:firstLine="480"/>
        <w:rPr>
          <w:rFonts w:ascii="宋体" w:eastAsia="宋体" w:hAnsi="Calibri" w:cs="Arial"/>
          <w:sz w:val="24"/>
        </w:rPr>
      </w:pPr>
      <w:r w:rsidRPr="00C32AC2">
        <w:rPr>
          <w:rFonts w:ascii="宋体" w:eastAsia="宋体" w:hAnsi="宋体" w:cs="Arial"/>
          <w:sz w:val="24"/>
        </w:rPr>
        <w:t xml:space="preserve">2.4 </w:t>
      </w:r>
      <w:r w:rsidRPr="00C32AC2">
        <w:rPr>
          <w:rFonts w:ascii="宋体" w:eastAsia="宋体" w:hAnsi="宋体" w:cs="Arial" w:hint="eastAsia"/>
          <w:sz w:val="24"/>
        </w:rPr>
        <w:t>个人防守基本功讲解与练习</w:t>
      </w:r>
    </w:p>
    <w:p w14:paraId="32D42EB2" w14:textId="77777777" w:rsidR="00C32AC2" w:rsidRPr="00C32AC2" w:rsidRDefault="00C32AC2" w:rsidP="00C32AC2">
      <w:pPr>
        <w:spacing w:line="360" w:lineRule="auto"/>
        <w:ind w:firstLineChars="196" w:firstLine="472"/>
        <w:rPr>
          <w:rFonts w:ascii="Arial" w:eastAsia="宋体" w:hAnsi="Arial" w:cs="Arial"/>
          <w:sz w:val="24"/>
        </w:rPr>
      </w:pPr>
      <w:r w:rsidRPr="00C32AC2">
        <w:rPr>
          <w:rFonts w:ascii="Arial" w:eastAsia="宋体" w:hAnsi="Calibri" w:cs="Arial" w:hint="eastAsia"/>
          <w:b/>
          <w:sz w:val="24"/>
        </w:rPr>
        <w:t>本章教学目的及要求：</w:t>
      </w:r>
      <w:r w:rsidRPr="00C32AC2">
        <w:rPr>
          <w:rFonts w:ascii="Arial" w:eastAsia="宋体" w:hAnsi="Calibri" w:cs="Arial" w:hint="eastAsia"/>
          <w:sz w:val="24"/>
        </w:rPr>
        <w:t>掌握篮球基本功以及练习方法，课上体验式学习，掌握方法后课下能够自己提高；提高全身柔韧性及身体的协调性。</w:t>
      </w:r>
    </w:p>
    <w:p w14:paraId="11101E63" w14:textId="77777777" w:rsidR="00C32AC2" w:rsidRPr="00C32AC2" w:rsidRDefault="00C32AC2" w:rsidP="00C32AC2">
      <w:pPr>
        <w:spacing w:line="360" w:lineRule="auto"/>
        <w:ind w:firstLineChars="196" w:firstLine="472"/>
        <w:rPr>
          <w:rFonts w:ascii="Arial" w:eastAsia="宋体" w:hAnsi="Calibri" w:cs="Arial"/>
          <w:sz w:val="24"/>
        </w:rPr>
      </w:pPr>
      <w:r w:rsidRPr="00C32AC2">
        <w:rPr>
          <w:rFonts w:ascii="Arial" w:eastAsia="宋体" w:hAnsi="Calibri" w:cs="Arial" w:hint="eastAsia"/>
          <w:b/>
          <w:sz w:val="24"/>
        </w:rPr>
        <w:t>本章教学重点及难点：</w:t>
      </w:r>
      <w:r w:rsidRPr="00C32AC2">
        <w:rPr>
          <w:rFonts w:ascii="Arial" w:eastAsia="宋体" w:hAnsi="Calibri" w:cs="Arial" w:hint="eastAsia"/>
          <w:sz w:val="24"/>
        </w:rPr>
        <w:t>掌握篮球进攻与防守基本功。</w:t>
      </w:r>
    </w:p>
    <w:p w14:paraId="326A6686" w14:textId="77777777" w:rsidR="00C32AC2" w:rsidRPr="00C32AC2" w:rsidRDefault="00C32AC2" w:rsidP="00C32AC2">
      <w:pPr>
        <w:spacing w:line="440" w:lineRule="exact"/>
        <w:ind w:firstLineChars="200" w:firstLine="482"/>
        <w:rPr>
          <w:rFonts w:ascii="宋体" w:eastAsia="宋体" w:hAnsi="宋体" w:cs="Times New Roman"/>
          <w:b/>
          <w:sz w:val="24"/>
        </w:rPr>
      </w:pPr>
      <w:r w:rsidRPr="00C32AC2">
        <w:rPr>
          <w:rFonts w:ascii="宋体" w:eastAsia="宋体" w:hAnsi="宋体" w:cs="Times New Roman" w:hint="eastAsia"/>
          <w:b/>
          <w:sz w:val="24"/>
        </w:rPr>
        <w:lastRenderedPageBreak/>
        <w:t>【重点】</w:t>
      </w:r>
    </w:p>
    <w:p w14:paraId="36EC031D"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 xml:space="preserve">1.《大学体育教程》理论课程使学生对大学体育有深入理解；了解体  </w:t>
      </w:r>
    </w:p>
    <w:p w14:paraId="1740409C" w14:textId="77777777" w:rsidR="00C32AC2" w:rsidRPr="00C32AC2" w:rsidRDefault="00C32AC2" w:rsidP="00C32AC2">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C32AC2">
        <w:rPr>
          <w:rFonts w:ascii="宋体" w:eastAsia="宋体" w:hAnsi="Calibri" w:cs="宋体" w:hint="eastAsia"/>
          <w:spacing w:val="5"/>
          <w:kern w:val="0"/>
          <w:sz w:val="24"/>
        </w:rPr>
        <w:t>质健康</w:t>
      </w:r>
      <w:proofErr w:type="gramEnd"/>
      <w:r w:rsidRPr="00C32AC2">
        <w:rPr>
          <w:rFonts w:ascii="宋体" w:eastAsia="宋体" w:hAnsi="Calibri" w:cs="宋体" w:hint="eastAsia"/>
          <w:spacing w:val="5"/>
          <w:kern w:val="0"/>
          <w:sz w:val="24"/>
        </w:rPr>
        <w:t>标准的实施与如何评价；学会分析常见运动损伤和运动性疾病的症状。</w:t>
      </w:r>
    </w:p>
    <w:p w14:paraId="16FB68AE" w14:textId="77777777" w:rsidR="00C32AC2" w:rsidRPr="00C32AC2" w:rsidRDefault="00C32AC2" w:rsidP="00C32AC2">
      <w:pPr>
        <w:autoSpaceDE w:val="0"/>
        <w:autoSpaceDN w:val="0"/>
        <w:adjustRightInd w:val="0"/>
        <w:snapToGrid w:val="0"/>
        <w:spacing w:line="500" w:lineRule="exact"/>
        <w:ind w:left="490"/>
        <w:rPr>
          <w:rFonts w:ascii="宋体" w:eastAsia="宋体" w:hAnsi="Calibri" w:cs="宋体"/>
          <w:spacing w:val="5"/>
          <w:kern w:val="0"/>
          <w:sz w:val="24"/>
        </w:rPr>
      </w:pPr>
      <w:r w:rsidRPr="00C32AC2">
        <w:rPr>
          <w:rFonts w:ascii="宋体" w:eastAsia="宋体" w:hAnsi="Calibri" w:cs="宋体" w:hint="eastAsia"/>
          <w:spacing w:val="5"/>
          <w:kern w:val="0"/>
          <w:sz w:val="24"/>
        </w:rPr>
        <w:t>2.篮球运动的基本理论、基本知识和基本技能。</w:t>
      </w:r>
    </w:p>
    <w:p w14:paraId="45EBA40B"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宋体" w:cs="Times New Roman"/>
          <w:sz w:val="24"/>
        </w:rPr>
      </w:pPr>
      <w:r w:rsidRPr="00C32AC2">
        <w:rPr>
          <w:rFonts w:ascii="宋体" w:eastAsia="宋体" w:hAnsi="Calibri" w:cs="宋体" w:hint="eastAsia"/>
          <w:spacing w:val="5"/>
          <w:kern w:val="0"/>
          <w:sz w:val="24"/>
        </w:rPr>
        <w:t>3.掌握一定的科学锻炼方法，扎实的理论知识。</w:t>
      </w:r>
    </w:p>
    <w:p w14:paraId="7C0102C0" w14:textId="77777777" w:rsidR="00C32AC2" w:rsidRPr="00C32AC2" w:rsidRDefault="00C32AC2" w:rsidP="00C32AC2">
      <w:pPr>
        <w:spacing w:line="440" w:lineRule="exact"/>
        <w:ind w:firstLineChars="200" w:firstLine="482"/>
        <w:rPr>
          <w:rFonts w:ascii="宋体" w:eastAsia="宋体" w:hAnsi="宋体" w:cs="Times New Roman"/>
          <w:b/>
          <w:sz w:val="24"/>
        </w:rPr>
      </w:pPr>
      <w:r w:rsidRPr="00C32AC2">
        <w:rPr>
          <w:rFonts w:ascii="宋体" w:eastAsia="宋体" w:hAnsi="宋体" w:cs="Times New Roman" w:hint="eastAsia"/>
          <w:b/>
          <w:sz w:val="24"/>
        </w:rPr>
        <w:t>【难点】</w:t>
      </w:r>
    </w:p>
    <w:p w14:paraId="4DD367E6" w14:textId="77777777" w:rsidR="00C32AC2" w:rsidRPr="00C32AC2" w:rsidRDefault="00C32AC2" w:rsidP="00C32A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C32AC2">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4245CEFA" w14:textId="77777777" w:rsidR="00C32AC2" w:rsidRPr="00C32AC2" w:rsidRDefault="00C32AC2" w:rsidP="00C32A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 xml:space="preserve">2.考虑学生原有的理论知识和实践技术，在讲授教材及大纲要求的所有知识和技术的同时，重点讲授篮球基本技术、基本战术、裁判规则等部分，以达到理论联系实际，学以致用。 </w:t>
      </w:r>
    </w:p>
    <w:p w14:paraId="0B22204B" w14:textId="77777777" w:rsidR="00C32AC2" w:rsidRPr="00C32AC2" w:rsidRDefault="00C32AC2" w:rsidP="00C32AC2">
      <w:pPr>
        <w:spacing w:line="44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 xml:space="preserve">3.在篮球基本技术、基本战术学习的基础上，重点提高学生的篮球技术课、理论课的组织能力培养学生研究能力。 </w:t>
      </w:r>
    </w:p>
    <w:p w14:paraId="373D9E0F" w14:textId="77777777" w:rsidR="00C32AC2" w:rsidRPr="00C32AC2" w:rsidRDefault="00C32AC2" w:rsidP="00C32AC2">
      <w:pPr>
        <w:spacing w:line="440" w:lineRule="exact"/>
        <w:ind w:firstLineChars="200" w:firstLine="482"/>
        <w:rPr>
          <w:rFonts w:ascii="宋体" w:eastAsia="宋体" w:hAnsi="宋体" w:cs="Times New Roman"/>
          <w:color w:val="FF0000"/>
          <w:sz w:val="24"/>
        </w:rPr>
      </w:pPr>
      <w:r w:rsidRPr="00C32AC2">
        <w:rPr>
          <w:rFonts w:ascii="宋体" w:eastAsia="宋体" w:hAnsi="宋体" w:cs="Times New Roman" w:hint="eastAsia"/>
          <w:b/>
          <w:bCs/>
          <w:sz w:val="24"/>
        </w:rPr>
        <w:t>【实施方式】</w:t>
      </w:r>
    </w:p>
    <w:p w14:paraId="51E583DC"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室外实践课程</w:t>
      </w:r>
    </w:p>
    <w:p w14:paraId="6D0063AA" w14:textId="77777777" w:rsidR="00C32AC2" w:rsidRPr="00C32AC2" w:rsidRDefault="00C32AC2" w:rsidP="00C32AC2">
      <w:pPr>
        <w:spacing w:line="440" w:lineRule="exact"/>
        <w:ind w:firstLineChars="200" w:firstLine="482"/>
        <w:rPr>
          <w:rFonts w:ascii="宋体" w:eastAsia="宋体" w:hAnsi="宋体" w:cs="Times New Roman"/>
          <w:bCs/>
          <w:color w:val="FF0000"/>
          <w:sz w:val="24"/>
        </w:rPr>
      </w:pPr>
      <w:r w:rsidRPr="00C32AC2">
        <w:rPr>
          <w:rFonts w:ascii="宋体" w:eastAsia="宋体" w:hAnsi="宋体" w:cs="Times New Roman" w:hint="eastAsia"/>
          <w:b/>
          <w:sz w:val="24"/>
        </w:rPr>
        <w:t>【学习要求】</w:t>
      </w:r>
    </w:p>
    <w:p w14:paraId="42FC5B4E" w14:textId="77777777" w:rsidR="00C32AC2" w:rsidRPr="00C32AC2" w:rsidRDefault="00C32AC2" w:rsidP="00C32AC2">
      <w:pPr>
        <w:spacing w:line="440" w:lineRule="exact"/>
        <w:ind w:firstLineChars="200" w:firstLine="480"/>
        <w:rPr>
          <w:rFonts w:ascii="宋体" w:eastAsia="宋体" w:hAnsi="宋体" w:cs="Times New Roman"/>
          <w:b/>
          <w:sz w:val="24"/>
        </w:rPr>
      </w:pPr>
      <w:r w:rsidRPr="00C32AC2">
        <w:rPr>
          <w:rFonts w:ascii="宋体" w:eastAsia="宋体" w:hAnsi="宋体" w:cs="Times New Roman" w:hint="eastAsia"/>
          <w:sz w:val="24"/>
        </w:rPr>
        <w:t>1</w:t>
      </w:r>
      <w:r w:rsidRPr="00C32AC2">
        <w:rPr>
          <w:rFonts w:ascii="宋体" w:eastAsia="宋体" w:hAnsi="宋体" w:cs="Times New Roman"/>
          <w:sz w:val="24"/>
        </w:rPr>
        <w:t xml:space="preserve">. </w:t>
      </w:r>
      <w:r w:rsidRPr="00C32AC2">
        <w:rPr>
          <w:rFonts w:ascii="宋体" w:eastAsia="宋体" w:hAnsi="宋体" w:cs="Times New Roman" w:hint="eastAsia"/>
          <w:sz w:val="24"/>
        </w:rPr>
        <w:t>了解大学体育课程的性质和授课方式，学分情况和进行网上选项课，开设的15门选项课程，课堂常识和安全注意事项。</w:t>
      </w:r>
    </w:p>
    <w:p w14:paraId="6647A490"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C32AC2">
        <w:rPr>
          <w:rFonts w:ascii="宋体" w:eastAsia="宋体" w:hAnsi="宋体" w:cs="Times New Roman" w:hint="eastAsia"/>
          <w:sz w:val="24"/>
        </w:rPr>
        <w:t>缓测免</w:t>
      </w:r>
      <w:proofErr w:type="gramEnd"/>
      <w:r w:rsidRPr="00C32AC2">
        <w:rPr>
          <w:rFonts w:ascii="宋体" w:eastAsia="宋体" w:hAnsi="宋体" w:cs="Times New Roman" w:hint="eastAsia"/>
          <w:sz w:val="24"/>
        </w:rPr>
        <w:t>测的申请流程以及掌握测验时间。</w:t>
      </w:r>
    </w:p>
    <w:p w14:paraId="6581115C"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3</w:t>
      </w:r>
      <w:r w:rsidRPr="00C32AC2">
        <w:rPr>
          <w:rFonts w:ascii="宋体" w:eastAsia="宋体" w:hAnsi="宋体" w:cs="Times New Roman"/>
          <w:sz w:val="24"/>
        </w:rPr>
        <w:t>.</w:t>
      </w:r>
      <w:r w:rsidRPr="00C32AC2">
        <w:rPr>
          <w:rFonts w:ascii="宋体" w:eastAsia="宋体" w:hAnsi="宋体" w:cs="Times New Roman" w:hint="eastAsia"/>
          <w:sz w:val="24"/>
        </w:rPr>
        <w:t>运用篮球基础课程。</w:t>
      </w:r>
    </w:p>
    <w:p w14:paraId="2383E997" w14:textId="77777777" w:rsidR="00C32AC2" w:rsidRPr="00C32AC2" w:rsidRDefault="00C32AC2" w:rsidP="00C32AC2">
      <w:pPr>
        <w:spacing w:line="440" w:lineRule="exact"/>
        <w:ind w:firstLineChars="200" w:firstLine="482"/>
        <w:rPr>
          <w:rFonts w:ascii="宋体" w:eastAsia="宋体" w:hAnsi="宋体" w:cs="Times New Roman"/>
          <w:sz w:val="24"/>
        </w:rPr>
      </w:pPr>
      <w:r w:rsidRPr="00C32AC2">
        <w:rPr>
          <w:rFonts w:ascii="宋体" w:eastAsia="宋体" w:hAnsi="宋体" w:cs="Times New Roman" w:hint="eastAsia"/>
          <w:b/>
          <w:sz w:val="24"/>
        </w:rPr>
        <w:t>【实践要求】</w:t>
      </w:r>
    </w:p>
    <w:p w14:paraId="16A5004D"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1.实践属性：综合训练型</w:t>
      </w:r>
    </w:p>
    <w:p w14:paraId="53095786"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2.工作流程：开始部分，准备部分，基本部分，结束部分</w:t>
      </w:r>
    </w:p>
    <w:p w14:paraId="286F8972"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3.分组要求：自然班和选项班，不超过45人。</w:t>
      </w:r>
    </w:p>
    <w:p w14:paraId="59F8A51E"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32E34D69"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5.时间安排：每周2学时</w:t>
      </w:r>
    </w:p>
    <w:p w14:paraId="551D82FE"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lastRenderedPageBreak/>
        <w:t>6.其他要求：</w:t>
      </w:r>
    </w:p>
    <w:p w14:paraId="68373FE9" w14:textId="77777777" w:rsidR="00C32AC2" w:rsidRPr="00C32AC2" w:rsidRDefault="00C32AC2" w:rsidP="00C32AC2">
      <w:pPr>
        <w:spacing w:beforeLines="50" w:before="156" w:afterLines="50" w:after="156" w:line="440" w:lineRule="exact"/>
        <w:ind w:left="561"/>
        <w:rPr>
          <w:rFonts w:ascii="仿宋" w:eastAsia="仿宋" w:hAnsi="仿宋" w:cs="Times New Roman"/>
          <w:sz w:val="24"/>
        </w:rPr>
      </w:pPr>
      <w:r w:rsidRPr="00C32AC2">
        <w:rPr>
          <w:rFonts w:ascii="黑体" w:eastAsia="黑体" w:hAnsi="黑体" w:cs="Times New Roman" w:hint="eastAsia"/>
          <w:sz w:val="28"/>
          <w:szCs w:val="28"/>
        </w:rPr>
        <w:t>（二）课程学习内容与课程学习目标的对应关系</w:t>
      </w:r>
      <w:r w:rsidRPr="00C32AC2">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C32AC2" w:rsidRPr="00C32AC2" w14:paraId="2BD6A625" w14:textId="77777777" w:rsidTr="00375FAF">
        <w:trPr>
          <w:trHeight w:val="660"/>
          <w:jc w:val="center"/>
        </w:trPr>
        <w:tc>
          <w:tcPr>
            <w:tcW w:w="3403" w:type="dxa"/>
            <w:vAlign w:val="center"/>
          </w:tcPr>
          <w:p w14:paraId="2A9BAE3B" w14:textId="77777777" w:rsidR="00C32AC2" w:rsidRPr="00C32AC2" w:rsidRDefault="00C32AC2" w:rsidP="00C32AC2">
            <w:pPr>
              <w:spacing w:line="440" w:lineRule="exact"/>
              <w:rPr>
                <w:rFonts w:ascii="宋体" w:eastAsia="宋体" w:hAnsi="宋体" w:cs="Times New Roman"/>
                <w:b/>
                <w:bCs/>
                <w:sz w:val="24"/>
              </w:rPr>
            </w:pPr>
            <w:r w:rsidRPr="00C32AC2">
              <w:rPr>
                <w:rFonts w:ascii="宋体" w:eastAsia="宋体" w:hAnsi="宋体" w:cs="Times New Roman" w:hint="eastAsia"/>
                <w:b/>
                <w:bCs/>
                <w:sz w:val="24"/>
              </w:rPr>
              <w:t>实践内容</w:t>
            </w:r>
          </w:p>
        </w:tc>
        <w:tc>
          <w:tcPr>
            <w:tcW w:w="2693" w:type="dxa"/>
            <w:vAlign w:val="center"/>
          </w:tcPr>
          <w:p w14:paraId="3177C615" w14:textId="77777777" w:rsidR="00C32AC2" w:rsidRPr="00C32AC2" w:rsidRDefault="00C32AC2" w:rsidP="00C32AC2">
            <w:pPr>
              <w:spacing w:line="440" w:lineRule="exact"/>
              <w:rPr>
                <w:rFonts w:ascii="宋体" w:eastAsia="宋体" w:hAnsi="宋体" w:cs="Times New Roman"/>
                <w:b/>
                <w:bCs/>
                <w:sz w:val="24"/>
              </w:rPr>
            </w:pPr>
            <w:r w:rsidRPr="00C32AC2">
              <w:rPr>
                <w:rFonts w:ascii="宋体" w:eastAsia="宋体" w:hAnsi="宋体" w:cs="Times New Roman" w:hint="eastAsia"/>
                <w:b/>
                <w:bCs/>
                <w:sz w:val="24"/>
              </w:rPr>
              <w:t>实施方式</w:t>
            </w:r>
          </w:p>
        </w:tc>
        <w:tc>
          <w:tcPr>
            <w:tcW w:w="1985" w:type="dxa"/>
            <w:vAlign w:val="center"/>
          </w:tcPr>
          <w:p w14:paraId="5AF6D364" w14:textId="77777777" w:rsidR="00C32AC2" w:rsidRPr="00C32AC2" w:rsidRDefault="00C32AC2" w:rsidP="00C32AC2">
            <w:pPr>
              <w:spacing w:line="440" w:lineRule="exact"/>
              <w:rPr>
                <w:rFonts w:ascii="宋体" w:eastAsia="宋体" w:hAnsi="宋体" w:cs="Times New Roman"/>
                <w:b/>
                <w:bCs/>
                <w:sz w:val="24"/>
              </w:rPr>
            </w:pPr>
            <w:r w:rsidRPr="00C32AC2">
              <w:rPr>
                <w:rFonts w:ascii="宋体" w:eastAsia="宋体" w:hAnsi="宋体" w:cs="Times New Roman" w:hint="eastAsia"/>
                <w:b/>
                <w:bCs/>
                <w:sz w:val="24"/>
              </w:rPr>
              <w:t>支撑的课程目标</w:t>
            </w:r>
          </w:p>
        </w:tc>
        <w:tc>
          <w:tcPr>
            <w:tcW w:w="1276" w:type="dxa"/>
            <w:vAlign w:val="center"/>
          </w:tcPr>
          <w:p w14:paraId="4A189345" w14:textId="77777777" w:rsidR="00C32AC2" w:rsidRPr="00C32AC2" w:rsidRDefault="00C32AC2" w:rsidP="00C32AC2">
            <w:pPr>
              <w:spacing w:line="440" w:lineRule="exact"/>
              <w:rPr>
                <w:rFonts w:ascii="宋体" w:eastAsia="宋体" w:hAnsi="宋体" w:cs="Times New Roman"/>
                <w:b/>
                <w:bCs/>
                <w:sz w:val="24"/>
              </w:rPr>
            </w:pPr>
            <w:r w:rsidRPr="00C32AC2">
              <w:rPr>
                <w:rFonts w:ascii="宋体" w:eastAsia="宋体" w:hAnsi="宋体" w:cs="Times New Roman" w:hint="eastAsia"/>
                <w:b/>
                <w:bCs/>
                <w:sz w:val="24"/>
              </w:rPr>
              <w:t>学时安排</w:t>
            </w:r>
          </w:p>
        </w:tc>
      </w:tr>
      <w:tr w:rsidR="00C32AC2" w:rsidRPr="00C32AC2" w14:paraId="7422FB3F" w14:textId="77777777" w:rsidTr="00375FAF">
        <w:trPr>
          <w:trHeight w:val="514"/>
          <w:jc w:val="center"/>
        </w:trPr>
        <w:tc>
          <w:tcPr>
            <w:tcW w:w="3403" w:type="dxa"/>
            <w:vAlign w:val="center"/>
          </w:tcPr>
          <w:p w14:paraId="64B09861"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学习内容</w:t>
            </w:r>
            <w:proofErr w:type="gramStart"/>
            <w:r w:rsidRPr="00C32AC2">
              <w:rPr>
                <w:rFonts w:ascii="宋体" w:eastAsia="宋体" w:hAnsi="宋体" w:cs="Times New Roman" w:hint="eastAsia"/>
                <w:sz w:val="24"/>
              </w:rPr>
              <w:t>一</w:t>
            </w:r>
            <w:proofErr w:type="gramEnd"/>
            <w:r w:rsidRPr="00C32AC2">
              <w:rPr>
                <w:rFonts w:ascii="宋体" w:eastAsia="宋体" w:hAnsi="宋体" w:cs="Times New Roman" w:hint="eastAsia"/>
                <w:sz w:val="24"/>
              </w:rPr>
              <w:t xml:space="preserve"> 体能+篮球 </w:t>
            </w:r>
          </w:p>
          <w:p w14:paraId="65D2B141" w14:textId="77777777" w:rsidR="00C32AC2" w:rsidRPr="00C32AC2" w:rsidRDefault="00C32AC2" w:rsidP="00C32AC2">
            <w:pPr>
              <w:spacing w:line="440" w:lineRule="exact"/>
              <w:rPr>
                <w:rFonts w:ascii="宋体" w:eastAsia="宋体" w:hAnsi="宋体" w:cs="Times New Roman"/>
                <w:sz w:val="24"/>
              </w:rPr>
            </w:pPr>
          </w:p>
        </w:tc>
        <w:tc>
          <w:tcPr>
            <w:tcW w:w="2693" w:type="dxa"/>
            <w:vAlign w:val="center"/>
          </w:tcPr>
          <w:p w14:paraId="5EE6F9A8" w14:textId="77777777" w:rsidR="00C32AC2" w:rsidRPr="00C32AC2" w:rsidRDefault="00C32AC2" w:rsidP="00C32AC2">
            <w:pPr>
              <w:spacing w:line="440" w:lineRule="exact"/>
              <w:rPr>
                <w:rFonts w:ascii="宋体" w:eastAsia="宋体" w:hAnsi="宋体" w:cs="Times New Roman"/>
                <w:color w:val="FF0000"/>
                <w:sz w:val="24"/>
              </w:rPr>
            </w:pPr>
            <w:r w:rsidRPr="00C32AC2">
              <w:rPr>
                <w:rFonts w:ascii="宋体" w:eastAsia="宋体" w:hAnsi="宋体" w:cs="Times New Roman" w:hint="eastAsia"/>
                <w:sz w:val="24"/>
              </w:rPr>
              <w:t>利用</w:t>
            </w:r>
            <w:proofErr w:type="gramStart"/>
            <w:r w:rsidRPr="00C32AC2">
              <w:rPr>
                <w:rFonts w:ascii="宋体" w:eastAsia="宋体" w:hAnsi="宋体" w:cs="Times New Roman" w:hint="eastAsia"/>
                <w:sz w:val="24"/>
              </w:rPr>
              <w:t>微信平台</w:t>
            </w:r>
            <w:proofErr w:type="gramEnd"/>
            <w:r w:rsidRPr="00C32AC2">
              <w:rPr>
                <w:rFonts w:ascii="宋体" w:eastAsia="宋体" w:hAnsi="宋体" w:cs="Times New Roman" w:hint="eastAsia"/>
                <w:sz w:val="24"/>
              </w:rPr>
              <w:t>；讲解法、示范法；练习法；小组合作学习</w:t>
            </w:r>
          </w:p>
        </w:tc>
        <w:tc>
          <w:tcPr>
            <w:tcW w:w="1985" w:type="dxa"/>
            <w:vAlign w:val="center"/>
          </w:tcPr>
          <w:p w14:paraId="5E048336" w14:textId="77777777" w:rsidR="00C32AC2" w:rsidRPr="00C32AC2" w:rsidRDefault="00C32AC2" w:rsidP="00C32AC2">
            <w:pPr>
              <w:spacing w:line="440" w:lineRule="exact"/>
              <w:rPr>
                <w:rFonts w:ascii="宋体" w:eastAsia="宋体" w:hAnsi="宋体" w:cs="Times New Roman"/>
                <w:color w:val="FF0000"/>
                <w:sz w:val="24"/>
              </w:rPr>
            </w:pPr>
            <w:r w:rsidRPr="00C32AC2">
              <w:rPr>
                <w:rFonts w:ascii="宋体" w:eastAsia="宋体" w:hAnsi="宋体" w:cs="Times New Roman" w:hint="eastAsia"/>
                <w:sz w:val="24"/>
              </w:rPr>
              <w:t>课程</w:t>
            </w:r>
            <w:r w:rsidRPr="00C32AC2">
              <w:rPr>
                <w:rFonts w:ascii="宋体" w:eastAsia="宋体" w:hAnsi="宋体" w:cs="Times New Roman"/>
                <w:sz w:val="24"/>
              </w:rPr>
              <w:t>目标</w:t>
            </w:r>
            <w:r w:rsidRPr="00C32AC2">
              <w:rPr>
                <w:rFonts w:ascii="宋体" w:eastAsia="宋体" w:hAnsi="宋体" w:cs="Times New Roman" w:hint="eastAsia"/>
                <w:sz w:val="24"/>
              </w:rPr>
              <w:t>1、2、3</w:t>
            </w:r>
          </w:p>
        </w:tc>
        <w:tc>
          <w:tcPr>
            <w:tcW w:w="1276" w:type="dxa"/>
            <w:vAlign w:val="center"/>
          </w:tcPr>
          <w:p w14:paraId="6E2A9F02"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32</w:t>
            </w:r>
          </w:p>
        </w:tc>
      </w:tr>
      <w:tr w:rsidR="00C32AC2" w:rsidRPr="00C32AC2" w14:paraId="0ECB3657" w14:textId="77777777" w:rsidTr="00375FAF">
        <w:trPr>
          <w:trHeight w:val="90"/>
          <w:jc w:val="center"/>
        </w:trPr>
        <w:tc>
          <w:tcPr>
            <w:tcW w:w="3403" w:type="dxa"/>
            <w:vAlign w:val="center"/>
          </w:tcPr>
          <w:p w14:paraId="7D0D92E6"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 xml:space="preserve">学习内容二 篮球1 </w:t>
            </w:r>
          </w:p>
          <w:p w14:paraId="0CC97ADE" w14:textId="77777777" w:rsidR="00C32AC2" w:rsidRPr="00C32AC2" w:rsidRDefault="00C32AC2" w:rsidP="00C32AC2">
            <w:pPr>
              <w:spacing w:line="440" w:lineRule="exact"/>
              <w:rPr>
                <w:rFonts w:ascii="宋体" w:eastAsia="宋体" w:hAnsi="宋体" w:cs="Times New Roman"/>
                <w:sz w:val="24"/>
              </w:rPr>
            </w:pPr>
          </w:p>
        </w:tc>
        <w:tc>
          <w:tcPr>
            <w:tcW w:w="2693" w:type="dxa"/>
            <w:vAlign w:val="center"/>
          </w:tcPr>
          <w:p w14:paraId="287B4D20" w14:textId="77777777" w:rsidR="00C32AC2" w:rsidRPr="00C32AC2" w:rsidRDefault="00C32AC2" w:rsidP="00C32AC2">
            <w:pPr>
              <w:spacing w:line="440" w:lineRule="exact"/>
              <w:rPr>
                <w:rFonts w:ascii="宋体" w:eastAsia="宋体" w:hAnsi="宋体" w:cs="Times New Roman"/>
                <w:color w:val="FF0000"/>
                <w:sz w:val="24"/>
              </w:rPr>
            </w:pPr>
            <w:r w:rsidRPr="00C32AC2">
              <w:rPr>
                <w:rFonts w:ascii="宋体" w:eastAsia="宋体" w:hAnsi="宋体" w:cs="Times New Roman" w:hint="eastAsia"/>
                <w:sz w:val="24"/>
              </w:rPr>
              <w:t>利用</w:t>
            </w:r>
            <w:proofErr w:type="gramStart"/>
            <w:r w:rsidRPr="00C32AC2">
              <w:rPr>
                <w:rFonts w:ascii="宋体" w:eastAsia="宋体" w:hAnsi="宋体" w:cs="Times New Roman" w:hint="eastAsia"/>
                <w:sz w:val="24"/>
              </w:rPr>
              <w:t>微信平台</w:t>
            </w:r>
            <w:proofErr w:type="gramEnd"/>
            <w:r w:rsidRPr="00C32AC2">
              <w:rPr>
                <w:rFonts w:ascii="宋体" w:eastAsia="宋体" w:hAnsi="宋体" w:cs="Times New Roman" w:hint="eastAsia"/>
                <w:sz w:val="24"/>
              </w:rPr>
              <w:t>；讲解法、示范法；练习法；小组合作学习</w:t>
            </w:r>
          </w:p>
        </w:tc>
        <w:tc>
          <w:tcPr>
            <w:tcW w:w="1985" w:type="dxa"/>
            <w:vAlign w:val="center"/>
          </w:tcPr>
          <w:p w14:paraId="1D4A7A20" w14:textId="77777777" w:rsidR="00C32AC2" w:rsidRPr="00C32AC2" w:rsidRDefault="00C32AC2" w:rsidP="00C32AC2">
            <w:pPr>
              <w:spacing w:line="440" w:lineRule="exact"/>
              <w:rPr>
                <w:rFonts w:ascii="宋体" w:eastAsia="宋体" w:hAnsi="宋体" w:cs="Times New Roman"/>
                <w:color w:val="FF0000"/>
                <w:sz w:val="24"/>
              </w:rPr>
            </w:pPr>
            <w:r w:rsidRPr="00C32AC2">
              <w:rPr>
                <w:rFonts w:ascii="宋体" w:eastAsia="宋体" w:hAnsi="宋体" w:cs="Times New Roman" w:hint="eastAsia"/>
                <w:sz w:val="24"/>
              </w:rPr>
              <w:t>课程</w:t>
            </w:r>
            <w:r w:rsidRPr="00C32AC2">
              <w:rPr>
                <w:rFonts w:ascii="宋体" w:eastAsia="宋体" w:hAnsi="宋体" w:cs="Times New Roman"/>
                <w:sz w:val="24"/>
              </w:rPr>
              <w:t>目标</w:t>
            </w:r>
            <w:r w:rsidRPr="00C32AC2">
              <w:rPr>
                <w:rFonts w:ascii="宋体" w:eastAsia="宋体" w:hAnsi="宋体" w:cs="Times New Roman" w:hint="eastAsia"/>
                <w:sz w:val="24"/>
              </w:rPr>
              <w:t>1、2、3</w:t>
            </w:r>
          </w:p>
        </w:tc>
        <w:tc>
          <w:tcPr>
            <w:tcW w:w="1276" w:type="dxa"/>
            <w:vAlign w:val="center"/>
          </w:tcPr>
          <w:p w14:paraId="4D3BEBA0"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32</w:t>
            </w:r>
          </w:p>
        </w:tc>
      </w:tr>
      <w:tr w:rsidR="00C32AC2" w:rsidRPr="00C32AC2" w14:paraId="280C7952" w14:textId="77777777" w:rsidTr="00375FAF">
        <w:trPr>
          <w:jc w:val="center"/>
        </w:trPr>
        <w:tc>
          <w:tcPr>
            <w:tcW w:w="3403" w:type="dxa"/>
            <w:vAlign w:val="center"/>
          </w:tcPr>
          <w:p w14:paraId="24F05996"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学习内容三 篮球2</w:t>
            </w:r>
          </w:p>
          <w:p w14:paraId="33A988E3" w14:textId="77777777" w:rsidR="00C32AC2" w:rsidRPr="00C32AC2" w:rsidRDefault="00C32AC2" w:rsidP="00C32AC2">
            <w:pPr>
              <w:spacing w:line="440" w:lineRule="exact"/>
              <w:rPr>
                <w:rFonts w:ascii="宋体" w:eastAsia="宋体" w:hAnsi="宋体" w:cs="Times New Roman"/>
                <w:sz w:val="24"/>
              </w:rPr>
            </w:pPr>
          </w:p>
        </w:tc>
        <w:tc>
          <w:tcPr>
            <w:tcW w:w="2693" w:type="dxa"/>
            <w:vAlign w:val="center"/>
          </w:tcPr>
          <w:p w14:paraId="09F54B8D" w14:textId="77777777" w:rsidR="00C32AC2" w:rsidRPr="00C32AC2" w:rsidRDefault="00C32AC2" w:rsidP="00C32AC2">
            <w:pPr>
              <w:spacing w:line="440" w:lineRule="exact"/>
              <w:rPr>
                <w:rFonts w:ascii="宋体" w:eastAsia="宋体" w:hAnsi="宋体" w:cs="Times New Roman"/>
                <w:color w:val="FF0000"/>
                <w:sz w:val="24"/>
              </w:rPr>
            </w:pPr>
            <w:r w:rsidRPr="00C32AC2">
              <w:rPr>
                <w:rFonts w:ascii="宋体" w:eastAsia="宋体" w:hAnsi="宋体" w:cs="Times New Roman" w:hint="eastAsia"/>
                <w:sz w:val="24"/>
              </w:rPr>
              <w:t>利用</w:t>
            </w:r>
            <w:proofErr w:type="gramStart"/>
            <w:r w:rsidRPr="00C32AC2">
              <w:rPr>
                <w:rFonts w:ascii="宋体" w:eastAsia="宋体" w:hAnsi="宋体" w:cs="Times New Roman" w:hint="eastAsia"/>
                <w:sz w:val="24"/>
              </w:rPr>
              <w:t>微信平台</w:t>
            </w:r>
            <w:proofErr w:type="gramEnd"/>
            <w:r w:rsidRPr="00C32AC2">
              <w:rPr>
                <w:rFonts w:ascii="宋体" w:eastAsia="宋体" w:hAnsi="宋体" w:cs="Times New Roman" w:hint="eastAsia"/>
                <w:sz w:val="24"/>
              </w:rPr>
              <w:t>；讲解法、示范法；练习法；小组合作学习</w:t>
            </w:r>
          </w:p>
        </w:tc>
        <w:tc>
          <w:tcPr>
            <w:tcW w:w="1985" w:type="dxa"/>
            <w:vAlign w:val="center"/>
          </w:tcPr>
          <w:p w14:paraId="226026F5" w14:textId="77777777" w:rsidR="00C32AC2" w:rsidRPr="00C32AC2" w:rsidRDefault="00C32AC2" w:rsidP="00C32AC2">
            <w:pPr>
              <w:spacing w:line="440" w:lineRule="exact"/>
              <w:rPr>
                <w:rFonts w:ascii="宋体" w:eastAsia="宋体" w:hAnsi="宋体" w:cs="Times New Roman"/>
                <w:color w:val="FF0000"/>
                <w:sz w:val="24"/>
              </w:rPr>
            </w:pPr>
            <w:r w:rsidRPr="00C32AC2">
              <w:rPr>
                <w:rFonts w:ascii="宋体" w:eastAsia="宋体" w:hAnsi="宋体" w:cs="Times New Roman" w:hint="eastAsia"/>
                <w:sz w:val="24"/>
              </w:rPr>
              <w:t>课程</w:t>
            </w:r>
            <w:r w:rsidRPr="00C32AC2">
              <w:rPr>
                <w:rFonts w:ascii="宋体" w:eastAsia="宋体" w:hAnsi="宋体" w:cs="Times New Roman"/>
                <w:sz w:val="24"/>
              </w:rPr>
              <w:t>目标</w:t>
            </w:r>
            <w:r w:rsidRPr="00C32AC2">
              <w:rPr>
                <w:rFonts w:ascii="宋体" w:eastAsia="宋体" w:hAnsi="宋体" w:cs="Times New Roman" w:hint="eastAsia"/>
                <w:sz w:val="24"/>
              </w:rPr>
              <w:t>1、2、3</w:t>
            </w:r>
          </w:p>
        </w:tc>
        <w:tc>
          <w:tcPr>
            <w:tcW w:w="1276" w:type="dxa"/>
            <w:vAlign w:val="center"/>
          </w:tcPr>
          <w:p w14:paraId="5DC34A76"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32</w:t>
            </w:r>
          </w:p>
        </w:tc>
      </w:tr>
      <w:tr w:rsidR="00C32AC2" w:rsidRPr="00C32AC2" w14:paraId="37CAF053" w14:textId="77777777" w:rsidTr="00375FAF">
        <w:trPr>
          <w:jc w:val="center"/>
        </w:trPr>
        <w:tc>
          <w:tcPr>
            <w:tcW w:w="3403" w:type="dxa"/>
            <w:vAlign w:val="center"/>
          </w:tcPr>
          <w:p w14:paraId="0196FA36"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学习内容四 篮球3</w:t>
            </w:r>
          </w:p>
          <w:p w14:paraId="18099EAB" w14:textId="77777777" w:rsidR="00C32AC2" w:rsidRPr="00C32AC2" w:rsidRDefault="00C32AC2" w:rsidP="00C32AC2">
            <w:pPr>
              <w:spacing w:line="440" w:lineRule="exact"/>
              <w:rPr>
                <w:rFonts w:ascii="宋体" w:eastAsia="宋体" w:hAnsi="宋体" w:cs="Times New Roman"/>
                <w:sz w:val="24"/>
              </w:rPr>
            </w:pPr>
          </w:p>
        </w:tc>
        <w:tc>
          <w:tcPr>
            <w:tcW w:w="2693" w:type="dxa"/>
            <w:vAlign w:val="center"/>
          </w:tcPr>
          <w:p w14:paraId="4418D0AD" w14:textId="77777777" w:rsidR="00C32AC2" w:rsidRPr="00C32AC2" w:rsidRDefault="00C32AC2" w:rsidP="00C32AC2">
            <w:pPr>
              <w:spacing w:line="440" w:lineRule="exact"/>
              <w:rPr>
                <w:rFonts w:ascii="宋体" w:eastAsia="宋体" w:hAnsi="宋体" w:cs="Times New Roman"/>
                <w:color w:val="FF0000"/>
                <w:sz w:val="24"/>
              </w:rPr>
            </w:pPr>
            <w:r w:rsidRPr="00C32AC2">
              <w:rPr>
                <w:rFonts w:ascii="宋体" w:eastAsia="宋体" w:hAnsi="宋体" w:cs="Times New Roman" w:hint="eastAsia"/>
                <w:sz w:val="24"/>
              </w:rPr>
              <w:t>利用</w:t>
            </w:r>
            <w:proofErr w:type="gramStart"/>
            <w:r w:rsidRPr="00C32AC2">
              <w:rPr>
                <w:rFonts w:ascii="宋体" w:eastAsia="宋体" w:hAnsi="宋体" w:cs="Times New Roman" w:hint="eastAsia"/>
                <w:sz w:val="24"/>
              </w:rPr>
              <w:t>微信平台</w:t>
            </w:r>
            <w:proofErr w:type="gramEnd"/>
            <w:r w:rsidRPr="00C32AC2">
              <w:rPr>
                <w:rFonts w:ascii="宋体" w:eastAsia="宋体" w:hAnsi="宋体" w:cs="Times New Roman" w:hint="eastAsia"/>
                <w:sz w:val="24"/>
              </w:rPr>
              <w:t>；讲解法、示范法；练习法；小组合作学习</w:t>
            </w:r>
          </w:p>
        </w:tc>
        <w:tc>
          <w:tcPr>
            <w:tcW w:w="1985" w:type="dxa"/>
            <w:vAlign w:val="center"/>
          </w:tcPr>
          <w:p w14:paraId="070A57ED" w14:textId="77777777" w:rsidR="00C32AC2" w:rsidRPr="00C32AC2" w:rsidRDefault="00C32AC2" w:rsidP="00C32AC2">
            <w:pPr>
              <w:spacing w:line="440" w:lineRule="exact"/>
              <w:rPr>
                <w:rFonts w:ascii="宋体" w:eastAsia="宋体" w:hAnsi="宋体" w:cs="Times New Roman"/>
                <w:color w:val="FF0000"/>
                <w:sz w:val="24"/>
              </w:rPr>
            </w:pPr>
            <w:r w:rsidRPr="00C32AC2">
              <w:rPr>
                <w:rFonts w:ascii="宋体" w:eastAsia="宋体" w:hAnsi="宋体" w:cs="Times New Roman" w:hint="eastAsia"/>
                <w:sz w:val="24"/>
              </w:rPr>
              <w:t>课程</w:t>
            </w:r>
            <w:r w:rsidRPr="00C32AC2">
              <w:rPr>
                <w:rFonts w:ascii="宋体" w:eastAsia="宋体" w:hAnsi="宋体" w:cs="Times New Roman"/>
                <w:sz w:val="24"/>
              </w:rPr>
              <w:t>目标</w:t>
            </w:r>
            <w:r w:rsidRPr="00C32AC2">
              <w:rPr>
                <w:rFonts w:ascii="宋体" w:eastAsia="宋体" w:hAnsi="宋体" w:cs="Times New Roman" w:hint="eastAsia"/>
                <w:sz w:val="24"/>
              </w:rPr>
              <w:t>1、2、3</w:t>
            </w:r>
          </w:p>
        </w:tc>
        <w:tc>
          <w:tcPr>
            <w:tcW w:w="1276" w:type="dxa"/>
            <w:vAlign w:val="center"/>
          </w:tcPr>
          <w:p w14:paraId="32DBDD70"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32</w:t>
            </w:r>
          </w:p>
        </w:tc>
      </w:tr>
      <w:tr w:rsidR="00C32AC2" w:rsidRPr="00C32AC2" w14:paraId="3C7E5A4A" w14:textId="77777777" w:rsidTr="00375FAF">
        <w:trPr>
          <w:jc w:val="center"/>
        </w:trPr>
        <w:tc>
          <w:tcPr>
            <w:tcW w:w="8081" w:type="dxa"/>
            <w:gridSpan w:val="3"/>
            <w:vAlign w:val="center"/>
          </w:tcPr>
          <w:p w14:paraId="7F72636F"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合计</w:t>
            </w:r>
          </w:p>
        </w:tc>
        <w:tc>
          <w:tcPr>
            <w:tcW w:w="1276" w:type="dxa"/>
            <w:vAlign w:val="center"/>
          </w:tcPr>
          <w:p w14:paraId="625D9DDF" w14:textId="77777777" w:rsidR="00C32AC2" w:rsidRPr="00C32AC2" w:rsidRDefault="00C32AC2" w:rsidP="00C32AC2">
            <w:pPr>
              <w:spacing w:line="440" w:lineRule="exact"/>
              <w:rPr>
                <w:rFonts w:ascii="宋体" w:eastAsia="宋体" w:hAnsi="宋体" w:cs="Times New Roman"/>
                <w:sz w:val="24"/>
              </w:rPr>
            </w:pPr>
            <w:r w:rsidRPr="00C32AC2">
              <w:rPr>
                <w:rFonts w:ascii="宋体" w:eastAsia="宋体" w:hAnsi="宋体" w:cs="Times New Roman" w:hint="eastAsia"/>
                <w:sz w:val="24"/>
              </w:rPr>
              <w:t>128</w:t>
            </w:r>
          </w:p>
        </w:tc>
      </w:tr>
    </w:tbl>
    <w:p w14:paraId="565AA066" w14:textId="77777777" w:rsidR="00C32AC2" w:rsidRPr="00C32AC2" w:rsidRDefault="00C32AC2" w:rsidP="00C32AC2">
      <w:pPr>
        <w:spacing w:beforeLines="50" w:before="156" w:afterLines="50" w:after="156" w:line="440" w:lineRule="exact"/>
        <w:ind w:firstLineChars="50" w:firstLine="140"/>
        <w:rPr>
          <w:rFonts w:ascii="宋体" w:eastAsia="宋体" w:hAnsi="宋体" w:cs="Times New Roman"/>
          <w:sz w:val="24"/>
        </w:rPr>
      </w:pPr>
      <w:r w:rsidRPr="00C32AC2">
        <w:rPr>
          <w:rFonts w:ascii="黑体" w:eastAsia="黑体" w:hAnsi="黑体" w:cs="Times New Roman" w:hint="eastAsia"/>
          <w:sz w:val="28"/>
          <w:szCs w:val="28"/>
        </w:rPr>
        <w:t>四、课程考核及与课程学习目标的对应关系</w:t>
      </w:r>
    </w:p>
    <w:p w14:paraId="6DC848E3"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C32AC2" w:rsidRPr="00C32AC2" w14:paraId="09AD2FF6" w14:textId="77777777" w:rsidTr="00375FAF">
        <w:trPr>
          <w:trHeight w:val="515"/>
          <w:jc w:val="center"/>
        </w:trPr>
        <w:tc>
          <w:tcPr>
            <w:tcW w:w="1422" w:type="dxa"/>
          </w:tcPr>
          <w:p w14:paraId="37A11285"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课程目标</w:t>
            </w:r>
          </w:p>
        </w:tc>
        <w:tc>
          <w:tcPr>
            <w:tcW w:w="5376" w:type="dxa"/>
            <w:vAlign w:val="center"/>
          </w:tcPr>
          <w:p w14:paraId="39503B14"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考核内容</w:t>
            </w:r>
          </w:p>
        </w:tc>
        <w:tc>
          <w:tcPr>
            <w:tcW w:w="2542" w:type="dxa"/>
            <w:vAlign w:val="center"/>
          </w:tcPr>
          <w:p w14:paraId="55F74209"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考核方式</w:t>
            </w:r>
          </w:p>
        </w:tc>
      </w:tr>
      <w:tr w:rsidR="00C32AC2" w:rsidRPr="00C32AC2" w14:paraId="013C5E95" w14:textId="77777777" w:rsidTr="00375FAF">
        <w:trPr>
          <w:trHeight w:val="858"/>
          <w:jc w:val="center"/>
        </w:trPr>
        <w:tc>
          <w:tcPr>
            <w:tcW w:w="1422" w:type="dxa"/>
            <w:vAlign w:val="center"/>
          </w:tcPr>
          <w:p w14:paraId="541597EE"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课程目标1、2、3</w:t>
            </w:r>
          </w:p>
        </w:tc>
        <w:tc>
          <w:tcPr>
            <w:tcW w:w="5376" w:type="dxa"/>
            <w:vAlign w:val="center"/>
          </w:tcPr>
          <w:p w14:paraId="5B725BB4"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大学生体质健康标准测试</w:t>
            </w:r>
          </w:p>
        </w:tc>
        <w:tc>
          <w:tcPr>
            <w:tcW w:w="2542" w:type="dxa"/>
            <w:vAlign w:val="center"/>
          </w:tcPr>
          <w:p w14:paraId="4D34E4DA"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随堂技术考核</w:t>
            </w:r>
          </w:p>
        </w:tc>
      </w:tr>
      <w:tr w:rsidR="00C32AC2" w:rsidRPr="00C32AC2" w14:paraId="5442ED88" w14:textId="77777777" w:rsidTr="00375FAF">
        <w:trPr>
          <w:trHeight w:val="814"/>
          <w:jc w:val="center"/>
        </w:trPr>
        <w:tc>
          <w:tcPr>
            <w:tcW w:w="1422" w:type="dxa"/>
            <w:vAlign w:val="center"/>
          </w:tcPr>
          <w:p w14:paraId="04053660"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课程目标3</w:t>
            </w:r>
          </w:p>
        </w:tc>
        <w:tc>
          <w:tcPr>
            <w:tcW w:w="5376" w:type="dxa"/>
            <w:vAlign w:val="center"/>
          </w:tcPr>
          <w:p w14:paraId="5703B5D9"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立定跳远</w:t>
            </w:r>
          </w:p>
        </w:tc>
        <w:tc>
          <w:tcPr>
            <w:tcW w:w="2542" w:type="dxa"/>
            <w:vAlign w:val="center"/>
          </w:tcPr>
          <w:p w14:paraId="44643B47"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随堂技术考核</w:t>
            </w:r>
          </w:p>
        </w:tc>
      </w:tr>
      <w:tr w:rsidR="00C32AC2" w:rsidRPr="00C32AC2" w14:paraId="3CF6C562" w14:textId="77777777" w:rsidTr="00375FAF">
        <w:trPr>
          <w:trHeight w:val="840"/>
          <w:jc w:val="center"/>
        </w:trPr>
        <w:tc>
          <w:tcPr>
            <w:tcW w:w="1422" w:type="dxa"/>
            <w:vAlign w:val="center"/>
          </w:tcPr>
          <w:p w14:paraId="269F52F9"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课程目标3</w:t>
            </w:r>
          </w:p>
        </w:tc>
        <w:tc>
          <w:tcPr>
            <w:tcW w:w="5376" w:type="dxa"/>
            <w:vAlign w:val="center"/>
          </w:tcPr>
          <w:p w14:paraId="493EE8C2"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Calibri" w:cs="Times New Roman" w:hint="eastAsia"/>
                <w:bCs/>
                <w:kern w:val="0"/>
                <w:sz w:val="24"/>
              </w:rPr>
              <w:t>篮球定点投篮</w:t>
            </w:r>
          </w:p>
        </w:tc>
        <w:tc>
          <w:tcPr>
            <w:tcW w:w="2542" w:type="dxa"/>
            <w:vAlign w:val="center"/>
          </w:tcPr>
          <w:p w14:paraId="0D742D33"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随堂技术考核</w:t>
            </w:r>
          </w:p>
        </w:tc>
      </w:tr>
      <w:tr w:rsidR="00C32AC2" w:rsidRPr="00C32AC2" w14:paraId="6A770BE1" w14:textId="77777777" w:rsidTr="00375FAF">
        <w:trPr>
          <w:trHeight w:val="838"/>
          <w:jc w:val="center"/>
        </w:trPr>
        <w:tc>
          <w:tcPr>
            <w:tcW w:w="1422" w:type="dxa"/>
            <w:vAlign w:val="center"/>
          </w:tcPr>
          <w:p w14:paraId="61FF21DB"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课程目标3</w:t>
            </w:r>
          </w:p>
        </w:tc>
        <w:tc>
          <w:tcPr>
            <w:tcW w:w="5376" w:type="dxa"/>
            <w:vAlign w:val="center"/>
          </w:tcPr>
          <w:p w14:paraId="13C2C5EC"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Calibri" w:cs="Times New Roman" w:hint="eastAsia"/>
                <w:bCs/>
                <w:kern w:val="0"/>
                <w:sz w:val="24"/>
              </w:rPr>
              <w:t>篮球全场急停急起运球</w:t>
            </w:r>
          </w:p>
        </w:tc>
        <w:tc>
          <w:tcPr>
            <w:tcW w:w="2542" w:type="dxa"/>
            <w:vAlign w:val="center"/>
          </w:tcPr>
          <w:p w14:paraId="322FAFC6" w14:textId="77777777" w:rsidR="00C32AC2" w:rsidRPr="00C32AC2" w:rsidRDefault="00C32AC2" w:rsidP="00C32AC2">
            <w:pPr>
              <w:widowControl/>
              <w:jc w:val="left"/>
              <w:rPr>
                <w:rFonts w:ascii="宋体" w:eastAsia="宋体" w:hAnsi="宋体" w:cs="Times New Roman"/>
                <w:bCs/>
                <w:sz w:val="24"/>
              </w:rPr>
            </w:pPr>
            <w:r w:rsidRPr="00C32AC2">
              <w:rPr>
                <w:rFonts w:ascii="宋体" w:eastAsia="宋体" w:hAnsi="宋体" w:cs="Times New Roman" w:hint="eastAsia"/>
                <w:bCs/>
                <w:sz w:val="24"/>
              </w:rPr>
              <w:t>随堂技术考核</w:t>
            </w:r>
          </w:p>
        </w:tc>
      </w:tr>
      <w:tr w:rsidR="00C32AC2" w:rsidRPr="00C32AC2" w14:paraId="7598F6EE" w14:textId="77777777" w:rsidTr="00375FAF">
        <w:trPr>
          <w:trHeight w:val="850"/>
          <w:jc w:val="center"/>
        </w:trPr>
        <w:tc>
          <w:tcPr>
            <w:tcW w:w="1422" w:type="dxa"/>
            <w:vAlign w:val="center"/>
          </w:tcPr>
          <w:p w14:paraId="740FA57B"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lastRenderedPageBreak/>
              <w:t>课程目标3</w:t>
            </w:r>
          </w:p>
        </w:tc>
        <w:tc>
          <w:tcPr>
            <w:tcW w:w="5376" w:type="dxa"/>
            <w:vAlign w:val="center"/>
          </w:tcPr>
          <w:p w14:paraId="174C4B5C" w14:textId="77777777" w:rsidR="00C32AC2" w:rsidRPr="00C32AC2" w:rsidRDefault="00C32AC2" w:rsidP="00C32AC2">
            <w:pPr>
              <w:spacing w:line="440" w:lineRule="exact"/>
              <w:rPr>
                <w:rFonts w:ascii="宋体" w:eastAsia="宋体" w:hAnsi="Calibri" w:cs="Times New Roman"/>
                <w:bCs/>
                <w:kern w:val="0"/>
                <w:sz w:val="24"/>
              </w:rPr>
            </w:pPr>
            <w:r w:rsidRPr="00C32AC2">
              <w:rPr>
                <w:rFonts w:ascii="宋体" w:eastAsia="宋体" w:hAnsi="Calibri" w:cs="Times New Roman" w:hint="eastAsia"/>
                <w:bCs/>
                <w:kern w:val="0"/>
                <w:sz w:val="24"/>
              </w:rPr>
              <w:t>篮球行进间三步上篮</w:t>
            </w:r>
          </w:p>
        </w:tc>
        <w:tc>
          <w:tcPr>
            <w:tcW w:w="2542" w:type="dxa"/>
            <w:vAlign w:val="center"/>
          </w:tcPr>
          <w:p w14:paraId="64F3BCA5" w14:textId="77777777" w:rsidR="00C32AC2" w:rsidRPr="00C32AC2" w:rsidRDefault="00C32AC2" w:rsidP="00C32AC2">
            <w:pPr>
              <w:widowControl/>
              <w:jc w:val="left"/>
              <w:rPr>
                <w:rFonts w:ascii="宋体" w:eastAsia="宋体" w:hAnsi="宋体" w:cs="Times New Roman"/>
                <w:bCs/>
                <w:sz w:val="24"/>
              </w:rPr>
            </w:pPr>
            <w:r w:rsidRPr="00C32AC2">
              <w:rPr>
                <w:rFonts w:ascii="宋体" w:eastAsia="宋体" w:hAnsi="宋体" w:cs="Times New Roman" w:hint="eastAsia"/>
                <w:bCs/>
                <w:sz w:val="24"/>
              </w:rPr>
              <w:t>随堂技术考核</w:t>
            </w:r>
          </w:p>
        </w:tc>
      </w:tr>
      <w:tr w:rsidR="00C32AC2" w:rsidRPr="00C32AC2" w14:paraId="2F96D7E4" w14:textId="77777777" w:rsidTr="00375FAF">
        <w:trPr>
          <w:trHeight w:val="834"/>
          <w:jc w:val="center"/>
        </w:trPr>
        <w:tc>
          <w:tcPr>
            <w:tcW w:w="1422" w:type="dxa"/>
            <w:vAlign w:val="center"/>
          </w:tcPr>
          <w:p w14:paraId="0846055F"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课程目标3</w:t>
            </w:r>
          </w:p>
        </w:tc>
        <w:tc>
          <w:tcPr>
            <w:tcW w:w="5376" w:type="dxa"/>
            <w:vAlign w:val="center"/>
          </w:tcPr>
          <w:p w14:paraId="0148B933" w14:textId="77777777" w:rsidR="00C32AC2" w:rsidRPr="00C32AC2" w:rsidRDefault="00C32AC2" w:rsidP="00C32AC2">
            <w:pPr>
              <w:spacing w:line="440" w:lineRule="exact"/>
              <w:rPr>
                <w:rFonts w:ascii="宋体" w:eastAsia="宋体" w:hAnsi="Calibri" w:cs="Times New Roman"/>
                <w:bCs/>
                <w:kern w:val="0"/>
                <w:sz w:val="24"/>
              </w:rPr>
            </w:pPr>
            <w:r w:rsidRPr="00C32AC2">
              <w:rPr>
                <w:rFonts w:ascii="宋体" w:eastAsia="宋体" w:hAnsi="Calibri" w:cs="Times New Roman" w:hint="eastAsia"/>
                <w:bCs/>
                <w:kern w:val="0"/>
                <w:sz w:val="24"/>
              </w:rPr>
              <w:t>篮球全场之字形运球</w:t>
            </w:r>
          </w:p>
        </w:tc>
        <w:tc>
          <w:tcPr>
            <w:tcW w:w="2542" w:type="dxa"/>
            <w:vAlign w:val="center"/>
          </w:tcPr>
          <w:p w14:paraId="5DF58908" w14:textId="77777777" w:rsidR="00C32AC2" w:rsidRPr="00C32AC2" w:rsidRDefault="00C32AC2" w:rsidP="00C32AC2">
            <w:pPr>
              <w:widowControl/>
              <w:jc w:val="left"/>
              <w:rPr>
                <w:rFonts w:ascii="宋体" w:eastAsia="宋体" w:hAnsi="宋体" w:cs="Times New Roman"/>
                <w:bCs/>
                <w:sz w:val="24"/>
              </w:rPr>
            </w:pPr>
            <w:r w:rsidRPr="00C32AC2">
              <w:rPr>
                <w:rFonts w:ascii="宋体" w:eastAsia="宋体" w:hAnsi="宋体" w:cs="Times New Roman" w:hint="eastAsia"/>
                <w:bCs/>
                <w:sz w:val="24"/>
              </w:rPr>
              <w:t>随堂技术考核</w:t>
            </w:r>
          </w:p>
        </w:tc>
      </w:tr>
    </w:tbl>
    <w:p w14:paraId="48E51EEB"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（二）课程目标达成评价方式及考核比例</w:t>
      </w:r>
    </w:p>
    <w:p w14:paraId="18DFF617"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篮球课程</w:t>
      </w:r>
      <w:proofErr w:type="gramStart"/>
      <w:r w:rsidRPr="00C32AC2">
        <w:rPr>
          <w:rFonts w:ascii="宋体" w:eastAsia="宋体" w:hAnsi="宋体" w:cs="Times New Roman" w:hint="eastAsia"/>
          <w:sz w:val="24"/>
        </w:rPr>
        <w:t>1、2、3、4每</w:t>
      </w:r>
      <w:proofErr w:type="gramEnd"/>
      <w:r w:rsidRPr="00C32AC2">
        <w:rPr>
          <w:rFonts w:ascii="宋体" w:eastAsia="宋体" w:hAnsi="宋体" w:cs="Times New Roman" w:hint="eastAsia"/>
          <w:sz w:val="24"/>
        </w:rPr>
        <w:t>学期考核方式及成绩比例为：课堂表现20%</w:t>
      </w:r>
      <w:r w:rsidRPr="00C32AC2">
        <w:rPr>
          <w:rFonts w:ascii="宋体" w:eastAsia="宋体" w:hAnsi="宋体" w:cs="Times New Roman"/>
          <w:sz w:val="24"/>
        </w:rPr>
        <w:t>+</w:t>
      </w:r>
      <w:r w:rsidRPr="00C32AC2">
        <w:rPr>
          <w:rFonts w:ascii="宋体" w:eastAsia="宋体" w:hAnsi="宋体" w:cs="Times New Roman" w:hint="eastAsia"/>
          <w:sz w:val="24"/>
        </w:rPr>
        <w:t>期中考核30%</w:t>
      </w:r>
      <w:r w:rsidRPr="00C32AC2">
        <w:rPr>
          <w:rFonts w:ascii="宋体" w:eastAsia="宋体" w:hAnsi="宋体" w:cs="Times New Roman"/>
          <w:sz w:val="24"/>
        </w:rPr>
        <w:t>+</w:t>
      </w:r>
      <w:r w:rsidRPr="00C32AC2">
        <w:rPr>
          <w:rFonts w:ascii="宋体" w:eastAsia="宋体" w:hAnsi="宋体" w:cs="Times New Roman" w:hint="eastAsia"/>
          <w:sz w:val="24"/>
        </w:rPr>
        <w:t>课期</w:t>
      </w:r>
      <w:proofErr w:type="gramStart"/>
      <w:r w:rsidRPr="00C32AC2">
        <w:rPr>
          <w:rFonts w:ascii="宋体" w:eastAsia="宋体" w:hAnsi="宋体" w:cs="Times New Roman" w:hint="eastAsia"/>
          <w:sz w:val="24"/>
        </w:rPr>
        <w:t>末考试</w:t>
      </w:r>
      <w:proofErr w:type="gramEnd"/>
      <w:r w:rsidRPr="00C32AC2">
        <w:rPr>
          <w:rFonts w:ascii="宋体" w:eastAsia="宋体" w:hAnsi="宋体" w:cs="Times New Roman" w:hint="eastAsia"/>
          <w:sz w:val="24"/>
        </w:rPr>
        <w:t>5</w:t>
      </w:r>
      <w:r w:rsidRPr="00C32AC2">
        <w:rPr>
          <w:rFonts w:ascii="宋体" w:eastAsia="宋体" w:hAnsi="宋体" w:cs="Times New Roman"/>
          <w:sz w:val="24"/>
        </w:rPr>
        <w:t>0</w:t>
      </w:r>
      <w:r w:rsidRPr="00C32AC2">
        <w:rPr>
          <w:rFonts w:ascii="宋体" w:eastAsia="宋体" w:hAnsi="宋体" w:cs="Times New Roman" w:hint="eastAsia"/>
          <w:sz w:val="24"/>
        </w:rPr>
        <w:t>%；本课程共有三个课程目标，考核方式及成绩比例分别为：</w:t>
      </w:r>
    </w:p>
    <w:p w14:paraId="62F0863A"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课程目标1：课堂表现5%</w:t>
      </w:r>
      <w:r w:rsidRPr="00C32AC2">
        <w:rPr>
          <w:rFonts w:ascii="宋体" w:eastAsia="宋体" w:hAnsi="宋体" w:cs="Times New Roman"/>
          <w:sz w:val="24"/>
        </w:rPr>
        <w:t>+</w:t>
      </w:r>
      <w:r w:rsidRPr="00C32AC2">
        <w:rPr>
          <w:rFonts w:ascii="宋体" w:eastAsia="宋体" w:hAnsi="宋体" w:cs="Times New Roman" w:hint="eastAsia"/>
          <w:sz w:val="24"/>
        </w:rPr>
        <w:t>阶段测试10%</w:t>
      </w:r>
      <w:r w:rsidRPr="00C32AC2">
        <w:rPr>
          <w:rFonts w:ascii="宋体" w:eastAsia="宋体" w:hAnsi="宋体" w:cs="Times New Roman"/>
          <w:sz w:val="24"/>
        </w:rPr>
        <w:t>+</w:t>
      </w:r>
      <w:r w:rsidRPr="00C32AC2">
        <w:rPr>
          <w:rFonts w:ascii="宋体" w:eastAsia="宋体" w:hAnsi="宋体" w:cs="Times New Roman" w:hint="eastAsia"/>
          <w:sz w:val="24"/>
        </w:rPr>
        <w:t>期末考试20%</w:t>
      </w:r>
    </w:p>
    <w:p w14:paraId="405A4FEA"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课程目标2：课堂表现10%</w:t>
      </w:r>
      <w:r w:rsidRPr="00C32AC2">
        <w:rPr>
          <w:rFonts w:ascii="宋体" w:eastAsia="宋体" w:hAnsi="宋体" w:cs="Times New Roman"/>
          <w:sz w:val="24"/>
        </w:rPr>
        <w:t>+</w:t>
      </w:r>
      <w:r w:rsidRPr="00C32AC2">
        <w:rPr>
          <w:rFonts w:ascii="宋体" w:eastAsia="宋体" w:hAnsi="宋体" w:cs="Times New Roman" w:hint="eastAsia"/>
          <w:sz w:val="24"/>
        </w:rPr>
        <w:t>阶段测试10%</w:t>
      </w:r>
      <w:r w:rsidRPr="00C32AC2">
        <w:rPr>
          <w:rFonts w:ascii="宋体" w:eastAsia="宋体" w:hAnsi="宋体" w:cs="Times New Roman"/>
          <w:sz w:val="24"/>
        </w:rPr>
        <w:t>+</w:t>
      </w:r>
      <w:r w:rsidRPr="00C32AC2">
        <w:rPr>
          <w:rFonts w:ascii="宋体" w:eastAsia="宋体" w:hAnsi="宋体" w:cs="Times New Roman" w:hint="eastAsia"/>
          <w:sz w:val="24"/>
        </w:rPr>
        <w:t>期末考试20%</w:t>
      </w:r>
    </w:p>
    <w:p w14:paraId="63B88C9D"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课程目标3：课堂表现5%</w:t>
      </w:r>
      <w:r w:rsidRPr="00C32AC2">
        <w:rPr>
          <w:rFonts w:ascii="宋体" w:eastAsia="宋体" w:hAnsi="宋体" w:cs="Times New Roman"/>
          <w:sz w:val="24"/>
        </w:rPr>
        <w:t>+</w:t>
      </w:r>
      <w:r w:rsidRPr="00C32AC2">
        <w:rPr>
          <w:rFonts w:ascii="宋体" w:eastAsia="宋体" w:hAnsi="宋体" w:cs="Times New Roman" w:hint="eastAsia"/>
          <w:sz w:val="24"/>
        </w:rPr>
        <w:t>阶段测试10%</w:t>
      </w:r>
      <w:r w:rsidRPr="00C32AC2">
        <w:rPr>
          <w:rFonts w:ascii="宋体" w:eastAsia="宋体" w:hAnsi="宋体" w:cs="Times New Roman"/>
          <w:sz w:val="24"/>
        </w:rPr>
        <w:t>+</w:t>
      </w:r>
      <w:r w:rsidRPr="00C32AC2">
        <w:rPr>
          <w:rFonts w:ascii="宋体" w:eastAsia="宋体" w:hAnsi="宋体" w:cs="Times New Roman" w:hint="eastAsia"/>
          <w:sz w:val="24"/>
        </w:rPr>
        <w:t>期末考试10%</w:t>
      </w:r>
    </w:p>
    <w:p w14:paraId="39F73D40"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C32AC2" w:rsidRPr="00C32AC2" w14:paraId="19CF566C" w14:textId="77777777" w:rsidTr="00375FAF">
        <w:trPr>
          <w:trHeight w:val="540"/>
          <w:jc w:val="center"/>
        </w:trPr>
        <w:tc>
          <w:tcPr>
            <w:tcW w:w="1422" w:type="dxa"/>
            <w:vMerge w:val="restart"/>
            <w:vAlign w:val="center"/>
          </w:tcPr>
          <w:p w14:paraId="5CF58E66"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课程目标</w:t>
            </w:r>
          </w:p>
        </w:tc>
        <w:tc>
          <w:tcPr>
            <w:tcW w:w="6271" w:type="dxa"/>
            <w:gridSpan w:val="4"/>
            <w:vAlign w:val="center"/>
          </w:tcPr>
          <w:p w14:paraId="5364CA34"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考核方式及成绩比例（%）</w:t>
            </w:r>
          </w:p>
        </w:tc>
        <w:tc>
          <w:tcPr>
            <w:tcW w:w="1559" w:type="dxa"/>
            <w:vMerge w:val="restart"/>
            <w:vAlign w:val="center"/>
          </w:tcPr>
          <w:p w14:paraId="5CADFCFD"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合计</w:t>
            </w:r>
          </w:p>
        </w:tc>
      </w:tr>
      <w:tr w:rsidR="00C32AC2" w:rsidRPr="00C32AC2" w14:paraId="2A011650" w14:textId="77777777" w:rsidTr="00375FAF">
        <w:trPr>
          <w:trHeight w:val="578"/>
          <w:jc w:val="center"/>
        </w:trPr>
        <w:tc>
          <w:tcPr>
            <w:tcW w:w="1422" w:type="dxa"/>
            <w:vMerge/>
            <w:vAlign w:val="center"/>
          </w:tcPr>
          <w:p w14:paraId="42331EE9" w14:textId="77777777" w:rsidR="00C32AC2" w:rsidRPr="00C32AC2" w:rsidRDefault="00C32AC2" w:rsidP="00C32AC2">
            <w:pPr>
              <w:spacing w:line="440" w:lineRule="exact"/>
              <w:rPr>
                <w:rFonts w:ascii="宋体" w:eastAsia="宋体" w:hAnsi="宋体" w:cs="Times New Roman"/>
                <w:b/>
                <w:sz w:val="24"/>
              </w:rPr>
            </w:pPr>
          </w:p>
        </w:tc>
        <w:tc>
          <w:tcPr>
            <w:tcW w:w="1452" w:type="dxa"/>
            <w:vAlign w:val="center"/>
          </w:tcPr>
          <w:p w14:paraId="3E35BAE5"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课堂表现</w:t>
            </w:r>
          </w:p>
        </w:tc>
        <w:tc>
          <w:tcPr>
            <w:tcW w:w="1559" w:type="dxa"/>
            <w:vAlign w:val="center"/>
          </w:tcPr>
          <w:p w14:paraId="2E4FAC66"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阶段测试</w:t>
            </w:r>
          </w:p>
        </w:tc>
        <w:tc>
          <w:tcPr>
            <w:tcW w:w="1701" w:type="dxa"/>
            <w:vAlign w:val="center"/>
          </w:tcPr>
          <w:p w14:paraId="41958A4A"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课程论文</w:t>
            </w:r>
          </w:p>
        </w:tc>
        <w:tc>
          <w:tcPr>
            <w:tcW w:w="1559" w:type="dxa"/>
            <w:vAlign w:val="center"/>
          </w:tcPr>
          <w:p w14:paraId="20E70C6E" w14:textId="77777777" w:rsidR="00C32AC2" w:rsidRPr="00C32AC2" w:rsidRDefault="00C32AC2" w:rsidP="00C32AC2">
            <w:pPr>
              <w:spacing w:line="440" w:lineRule="exact"/>
              <w:rPr>
                <w:rFonts w:ascii="宋体" w:eastAsia="宋体" w:hAnsi="宋体" w:cs="Times New Roman"/>
                <w:b/>
                <w:sz w:val="24"/>
              </w:rPr>
            </w:pPr>
            <w:r w:rsidRPr="00C32AC2">
              <w:rPr>
                <w:rFonts w:ascii="宋体" w:eastAsia="宋体" w:hAnsi="宋体" w:cs="Times New Roman" w:hint="eastAsia"/>
                <w:b/>
                <w:sz w:val="24"/>
              </w:rPr>
              <w:t>期末考试</w:t>
            </w:r>
          </w:p>
        </w:tc>
        <w:tc>
          <w:tcPr>
            <w:tcW w:w="1559" w:type="dxa"/>
            <w:vMerge/>
          </w:tcPr>
          <w:p w14:paraId="5AD49FBE" w14:textId="77777777" w:rsidR="00C32AC2" w:rsidRPr="00C32AC2" w:rsidRDefault="00C32AC2" w:rsidP="00C32AC2">
            <w:pPr>
              <w:spacing w:line="440" w:lineRule="exact"/>
              <w:rPr>
                <w:rFonts w:ascii="宋体" w:eastAsia="宋体" w:hAnsi="宋体" w:cs="Times New Roman"/>
                <w:b/>
                <w:sz w:val="24"/>
              </w:rPr>
            </w:pPr>
          </w:p>
        </w:tc>
      </w:tr>
      <w:tr w:rsidR="00C32AC2" w:rsidRPr="00C32AC2" w14:paraId="25EAA2F7" w14:textId="77777777" w:rsidTr="00375FAF">
        <w:trPr>
          <w:jc w:val="center"/>
        </w:trPr>
        <w:tc>
          <w:tcPr>
            <w:tcW w:w="1422" w:type="dxa"/>
            <w:vAlign w:val="center"/>
          </w:tcPr>
          <w:p w14:paraId="06C1D02F"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课程目标1</w:t>
            </w:r>
          </w:p>
        </w:tc>
        <w:tc>
          <w:tcPr>
            <w:tcW w:w="1452" w:type="dxa"/>
            <w:vAlign w:val="center"/>
          </w:tcPr>
          <w:p w14:paraId="545C5BBD"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5</w:t>
            </w:r>
          </w:p>
        </w:tc>
        <w:tc>
          <w:tcPr>
            <w:tcW w:w="1559" w:type="dxa"/>
            <w:vAlign w:val="center"/>
          </w:tcPr>
          <w:p w14:paraId="76383221"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10</w:t>
            </w:r>
          </w:p>
        </w:tc>
        <w:tc>
          <w:tcPr>
            <w:tcW w:w="1701" w:type="dxa"/>
            <w:vAlign w:val="center"/>
          </w:tcPr>
          <w:p w14:paraId="64E81F56" w14:textId="77777777" w:rsidR="00C32AC2" w:rsidRPr="00C32AC2" w:rsidRDefault="00C32AC2" w:rsidP="00C32AC2">
            <w:pPr>
              <w:spacing w:line="440" w:lineRule="exact"/>
              <w:rPr>
                <w:rFonts w:ascii="宋体" w:eastAsia="宋体" w:hAnsi="宋体" w:cs="Times New Roman"/>
                <w:bCs/>
                <w:sz w:val="24"/>
              </w:rPr>
            </w:pPr>
          </w:p>
        </w:tc>
        <w:tc>
          <w:tcPr>
            <w:tcW w:w="1559" w:type="dxa"/>
            <w:vAlign w:val="center"/>
          </w:tcPr>
          <w:p w14:paraId="3807101E"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20</w:t>
            </w:r>
          </w:p>
        </w:tc>
        <w:tc>
          <w:tcPr>
            <w:tcW w:w="1559" w:type="dxa"/>
          </w:tcPr>
          <w:p w14:paraId="02021BA1"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35</w:t>
            </w:r>
          </w:p>
        </w:tc>
      </w:tr>
      <w:tr w:rsidR="00C32AC2" w:rsidRPr="00C32AC2" w14:paraId="3B9C00F2" w14:textId="77777777" w:rsidTr="00375FAF">
        <w:trPr>
          <w:jc w:val="center"/>
        </w:trPr>
        <w:tc>
          <w:tcPr>
            <w:tcW w:w="1422" w:type="dxa"/>
            <w:vAlign w:val="center"/>
          </w:tcPr>
          <w:p w14:paraId="357AAF68"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课程目标2</w:t>
            </w:r>
          </w:p>
        </w:tc>
        <w:tc>
          <w:tcPr>
            <w:tcW w:w="1452" w:type="dxa"/>
            <w:vAlign w:val="center"/>
          </w:tcPr>
          <w:p w14:paraId="3EA7F2D0"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10</w:t>
            </w:r>
          </w:p>
        </w:tc>
        <w:tc>
          <w:tcPr>
            <w:tcW w:w="1559" w:type="dxa"/>
            <w:vAlign w:val="center"/>
          </w:tcPr>
          <w:p w14:paraId="4C1ADAB9"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10</w:t>
            </w:r>
          </w:p>
        </w:tc>
        <w:tc>
          <w:tcPr>
            <w:tcW w:w="1701" w:type="dxa"/>
            <w:vAlign w:val="center"/>
          </w:tcPr>
          <w:p w14:paraId="3D45B7C9" w14:textId="77777777" w:rsidR="00C32AC2" w:rsidRPr="00C32AC2" w:rsidRDefault="00C32AC2" w:rsidP="00C32AC2">
            <w:pPr>
              <w:spacing w:line="440" w:lineRule="exact"/>
              <w:rPr>
                <w:rFonts w:ascii="宋体" w:eastAsia="宋体" w:hAnsi="宋体" w:cs="Times New Roman"/>
                <w:bCs/>
                <w:sz w:val="24"/>
              </w:rPr>
            </w:pPr>
          </w:p>
        </w:tc>
        <w:tc>
          <w:tcPr>
            <w:tcW w:w="1559" w:type="dxa"/>
            <w:vAlign w:val="center"/>
          </w:tcPr>
          <w:p w14:paraId="36A865EC"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20</w:t>
            </w:r>
          </w:p>
        </w:tc>
        <w:tc>
          <w:tcPr>
            <w:tcW w:w="1559" w:type="dxa"/>
          </w:tcPr>
          <w:p w14:paraId="755AE8A5"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40</w:t>
            </w:r>
          </w:p>
        </w:tc>
      </w:tr>
      <w:tr w:rsidR="00C32AC2" w:rsidRPr="00C32AC2" w14:paraId="3944456F" w14:textId="77777777" w:rsidTr="00375FAF">
        <w:trPr>
          <w:jc w:val="center"/>
        </w:trPr>
        <w:tc>
          <w:tcPr>
            <w:tcW w:w="1422" w:type="dxa"/>
            <w:vAlign w:val="center"/>
          </w:tcPr>
          <w:p w14:paraId="6ADD1941"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课程目标3</w:t>
            </w:r>
          </w:p>
        </w:tc>
        <w:tc>
          <w:tcPr>
            <w:tcW w:w="1452" w:type="dxa"/>
            <w:vAlign w:val="center"/>
          </w:tcPr>
          <w:p w14:paraId="3F1ECE8C"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5</w:t>
            </w:r>
          </w:p>
        </w:tc>
        <w:tc>
          <w:tcPr>
            <w:tcW w:w="1559" w:type="dxa"/>
            <w:vAlign w:val="center"/>
          </w:tcPr>
          <w:p w14:paraId="1BE6951F"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10</w:t>
            </w:r>
          </w:p>
        </w:tc>
        <w:tc>
          <w:tcPr>
            <w:tcW w:w="1701" w:type="dxa"/>
            <w:vAlign w:val="center"/>
          </w:tcPr>
          <w:p w14:paraId="77F38BF1" w14:textId="77777777" w:rsidR="00C32AC2" w:rsidRPr="00C32AC2" w:rsidRDefault="00C32AC2" w:rsidP="00C32AC2">
            <w:pPr>
              <w:spacing w:line="440" w:lineRule="exact"/>
              <w:rPr>
                <w:rFonts w:ascii="宋体" w:eastAsia="宋体" w:hAnsi="宋体" w:cs="Times New Roman"/>
                <w:bCs/>
                <w:sz w:val="24"/>
              </w:rPr>
            </w:pPr>
          </w:p>
        </w:tc>
        <w:tc>
          <w:tcPr>
            <w:tcW w:w="1559" w:type="dxa"/>
            <w:vAlign w:val="center"/>
          </w:tcPr>
          <w:p w14:paraId="554C99E8"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10</w:t>
            </w:r>
          </w:p>
        </w:tc>
        <w:tc>
          <w:tcPr>
            <w:tcW w:w="1559" w:type="dxa"/>
          </w:tcPr>
          <w:p w14:paraId="76B92EC5"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25</w:t>
            </w:r>
          </w:p>
        </w:tc>
      </w:tr>
      <w:tr w:rsidR="00C32AC2" w:rsidRPr="00C32AC2" w14:paraId="5D63E284" w14:textId="77777777" w:rsidTr="00375FAF">
        <w:trPr>
          <w:jc w:val="center"/>
        </w:trPr>
        <w:tc>
          <w:tcPr>
            <w:tcW w:w="1422" w:type="dxa"/>
            <w:vAlign w:val="center"/>
          </w:tcPr>
          <w:p w14:paraId="0B28958F"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合计</w:t>
            </w:r>
          </w:p>
        </w:tc>
        <w:tc>
          <w:tcPr>
            <w:tcW w:w="1452" w:type="dxa"/>
            <w:vAlign w:val="center"/>
          </w:tcPr>
          <w:p w14:paraId="2EFE4772"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20</w:t>
            </w:r>
          </w:p>
        </w:tc>
        <w:tc>
          <w:tcPr>
            <w:tcW w:w="1559" w:type="dxa"/>
            <w:vAlign w:val="center"/>
          </w:tcPr>
          <w:p w14:paraId="6C07B89A"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30</w:t>
            </w:r>
          </w:p>
        </w:tc>
        <w:tc>
          <w:tcPr>
            <w:tcW w:w="1701" w:type="dxa"/>
            <w:vAlign w:val="center"/>
          </w:tcPr>
          <w:p w14:paraId="7F41E420" w14:textId="77777777" w:rsidR="00C32AC2" w:rsidRPr="00C32AC2" w:rsidRDefault="00C32AC2" w:rsidP="00C32AC2">
            <w:pPr>
              <w:spacing w:line="440" w:lineRule="exact"/>
              <w:rPr>
                <w:rFonts w:ascii="宋体" w:eastAsia="宋体" w:hAnsi="宋体" w:cs="Times New Roman"/>
                <w:bCs/>
                <w:sz w:val="24"/>
              </w:rPr>
            </w:pPr>
          </w:p>
        </w:tc>
        <w:tc>
          <w:tcPr>
            <w:tcW w:w="1559" w:type="dxa"/>
            <w:vAlign w:val="center"/>
          </w:tcPr>
          <w:p w14:paraId="1DD9AD51"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50</w:t>
            </w:r>
          </w:p>
        </w:tc>
        <w:tc>
          <w:tcPr>
            <w:tcW w:w="1559" w:type="dxa"/>
          </w:tcPr>
          <w:p w14:paraId="42DAC27C" w14:textId="77777777" w:rsidR="00C32AC2" w:rsidRPr="00C32AC2" w:rsidRDefault="00C32AC2" w:rsidP="00C32AC2">
            <w:pPr>
              <w:spacing w:line="440" w:lineRule="exact"/>
              <w:rPr>
                <w:rFonts w:ascii="宋体" w:eastAsia="宋体" w:hAnsi="宋体" w:cs="Times New Roman"/>
                <w:bCs/>
                <w:sz w:val="24"/>
              </w:rPr>
            </w:pPr>
            <w:r w:rsidRPr="00C32AC2">
              <w:rPr>
                <w:rFonts w:ascii="宋体" w:eastAsia="宋体" w:hAnsi="宋体" w:cs="Times New Roman" w:hint="eastAsia"/>
                <w:bCs/>
                <w:sz w:val="24"/>
              </w:rPr>
              <w:t>1</w:t>
            </w:r>
            <w:r w:rsidRPr="00C32AC2">
              <w:rPr>
                <w:rFonts w:ascii="宋体" w:eastAsia="宋体" w:hAnsi="宋体" w:cs="Times New Roman"/>
                <w:bCs/>
                <w:sz w:val="24"/>
              </w:rPr>
              <w:t>00</w:t>
            </w:r>
          </w:p>
        </w:tc>
      </w:tr>
    </w:tbl>
    <w:p w14:paraId="5BF5C921" w14:textId="77777777" w:rsidR="00C32AC2" w:rsidRPr="00C32AC2" w:rsidRDefault="00C32AC2" w:rsidP="00C32AC2">
      <w:pPr>
        <w:spacing w:line="440" w:lineRule="exact"/>
        <w:ind w:firstLineChars="200" w:firstLine="480"/>
        <w:rPr>
          <w:rFonts w:ascii="宋体" w:eastAsia="宋体" w:hAnsi="宋体" w:cs="Times New Roman"/>
          <w:sz w:val="24"/>
        </w:rPr>
      </w:pPr>
    </w:p>
    <w:p w14:paraId="7F31D565" w14:textId="77777777" w:rsidR="00C32AC2" w:rsidRPr="00C32AC2" w:rsidRDefault="00C32AC2" w:rsidP="003D5B30">
      <w:pPr>
        <w:pStyle w:val="afc"/>
      </w:pPr>
      <w:bookmarkStart w:id="63" w:name="_Toc8702"/>
      <w:r w:rsidRPr="00C32AC2">
        <w:rPr>
          <w:rFonts w:hint="eastAsia"/>
        </w:rPr>
        <w:t>五、成绩评定</w:t>
      </w:r>
      <w:bookmarkEnd w:id="63"/>
    </w:p>
    <w:p w14:paraId="35D47ECD"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（一）总成绩评定</w:t>
      </w:r>
    </w:p>
    <w:p w14:paraId="341142BC"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总成绩=平时成绩×20%+期中成绩×30%+期末成绩×50%</w:t>
      </w:r>
    </w:p>
    <w:p w14:paraId="1539EBFC"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备注：每学期总成绩</w:t>
      </w:r>
    </w:p>
    <w:p w14:paraId="6A1ED32C" w14:textId="77777777" w:rsidR="00C32AC2" w:rsidRPr="00C32AC2" w:rsidRDefault="00C32AC2" w:rsidP="00C32AC2">
      <w:pPr>
        <w:spacing w:beforeLines="50" w:before="156" w:afterLines="50" w:after="156" w:line="440" w:lineRule="exact"/>
        <w:ind w:firstLineChars="200" w:firstLine="560"/>
        <w:rPr>
          <w:rFonts w:ascii="宋体" w:eastAsia="宋体" w:hAnsi="宋体" w:cs="Times New Roman"/>
          <w:color w:val="FF0000"/>
          <w:sz w:val="24"/>
        </w:rPr>
      </w:pPr>
      <w:r w:rsidRPr="00C32AC2">
        <w:rPr>
          <w:rFonts w:ascii="黑体" w:eastAsia="黑体" w:hAnsi="黑体" w:cs="Times New Roman" w:hint="eastAsia"/>
          <w:sz w:val="28"/>
          <w:szCs w:val="28"/>
        </w:rPr>
        <w:t>（二）平时成绩评定</w:t>
      </w:r>
    </w:p>
    <w:p w14:paraId="3B983AC4"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（1）课堂表现：通过学生在课堂上的表现情况、发言与主体参与和练习情况，来评价学生相关的能力。</w:t>
      </w:r>
    </w:p>
    <w:p w14:paraId="5A134DBD"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（2）作业完成情况：围绕课程的学习目标进行作业的设计。如让学生简述对知识的认识，建议</w:t>
      </w:r>
      <w:proofErr w:type="gramStart"/>
      <w:r w:rsidRPr="00C32AC2">
        <w:rPr>
          <w:rFonts w:ascii="宋体" w:eastAsia="宋体" w:hAnsi="宋体" w:cs="Times New Roman" w:hint="eastAsia"/>
          <w:sz w:val="24"/>
        </w:rPr>
        <w:t>带准备</w:t>
      </w:r>
      <w:proofErr w:type="gramEnd"/>
      <w:r w:rsidRPr="00C32AC2">
        <w:rPr>
          <w:rFonts w:ascii="宋体" w:eastAsia="宋体" w:hAnsi="宋体" w:cs="Times New Roman" w:hint="eastAsia"/>
          <w:sz w:val="24"/>
        </w:rPr>
        <w:t>部分和基本部分中的复习内容，帮助学生将定义转化为自己的理解。学生在小组合作学习中测验掌握课程的情况</w:t>
      </w:r>
    </w:p>
    <w:p w14:paraId="319A3203"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lastRenderedPageBreak/>
        <w:t>（3）课堂考勤：留存辅导员开具的事假条、校医院开具的病假条。缺课达到本学期三分之一课时，按照考试无资格处理。</w:t>
      </w:r>
    </w:p>
    <w:p w14:paraId="037D7B94"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（三）期中、期末成绩评定</w:t>
      </w:r>
    </w:p>
    <w:p w14:paraId="7FFA921C"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 xml:space="preserve">第一学期                  </w:t>
      </w:r>
      <w:r w:rsidRPr="00C32AC2">
        <w:rPr>
          <w:rFonts w:ascii="宋体" w:eastAsia="宋体" w:hAnsi="Calibri" w:cs="Times New Roman" w:hint="eastAsia"/>
          <w:b/>
          <w:kern w:val="0"/>
          <w:sz w:val="24"/>
        </w:rPr>
        <w:t>期中考试</w:t>
      </w:r>
    </w:p>
    <w:p w14:paraId="4AC448F6" w14:textId="77777777" w:rsidR="00C32AC2" w:rsidRPr="00C32AC2" w:rsidRDefault="00C32AC2" w:rsidP="00C32AC2">
      <w:pPr>
        <w:adjustRightInd w:val="0"/>
        <w:snapToGrid w:val="0"/>
        <w:spacing w:line="500" w:lineRule="exact"/>
        <w:rPr>
          <w:rFonts w:ascii="宋体" w:eastAsia="宋体" w:hAnsi="Calibri" w:cs="Times New Roman"/>
          <w:bCs/>
          <w:kern w:val="0"/>
          <w:sz w:val="24"/>
        </w:rPr>
      </w:pPr>
      <w:r w:rsidRPr="00C32AC2">
        <w:rPr>
          <w:rFonts w:ascii="宋体" w:eastAsia="宋体" w:hAnsi="Calibri" w:cs="Times New Roman" w:hint="eastAsia"/>
          <w:b/>
          <w:kern w:val="0"/>
          <w:sz w:val="24"/>
        </w:rPr>
        <w:t>1.课程考核目标:</w:t>
      </w:r>
      <w:r w:rsidRPr="00C32AC2">
        <w:rPr>
          <w:rFonts w:ascii="宋体" w:eastAsia="宋体" w:hAnsi="Calibri" w:cs="Times New Roman" w:hint="eastAsia"/>
          <w:bCs/>
          <w:kern w:val="0"/>
          <w:sz w:val="24"/>
        </w:rPr>
        <w:t>通过考核检验体能训练教学效果和学生掌握情况，让学生了解体质健康标准测验的重要性。</w:t>
      </w:r>
    </w:p>
    <w:p w14:paraId="672FEAE5"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r w:rsidRPr="00C32AC2">
        <w:rPr>
          <w:rFonts w:ascii="宋体" w:eastAsia="宋体" w:hAnsi="Calibri" w:cs="Times New Roman" w:hint="eastAsia"/>
          <w:b/>
          <w:kern w:val="0"/>
          <w:sz w:val="24"/>
        </w:rPr>
        <w:t>2.课程考核的内容：</w:t>
      </w:r>
      <w:r w:rsidRPr="00C32AC2">
        <w:rPr>
          <w:rFonts w:ascii="宋体" w:eastAsia="宋体" w:hAnsi="Calibri" w:cs="Times New Roman" w:hint="eastAsia"/>
          <w:bCs/>
          <w:kern w:val="0"/>
          <w:sz w:val="24"/>
        </w:rPr>
        <w:t>立定跳远。</w:t>
      </w:r>
    </w:p>
    <w:p w14:paraId="345331C0"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r w:rsidRPr="00C32AC2">
        <w:rPr>
          <w:rFonts w:ascii="宋体" w:eastAsia="宋体" w:hAnsi="Calibri" w:cs="Times New Roman" w:hint="eastAsia"/>
          <w:b/>
          <w:kern w:val="0"/>
          <w:sz w:val="24"/>
        </w:rPr>
        <w:t>3.课程考核方式：</w:t>
      </w:r>
      <w:r w:rsidRPr="00C32AC2">
        <w:rPr>
          <w:rFonts w:ascii="宋体" w:eastAsia="宋体" w:hAnsi="Calibri" w:cs="Times New Roman" w:hint="eastAsia"/>
          <w:bCs/>
          <w:kern w:val="0"/>
          <w:sz w:val="24"/>
        </w:rPr>
        <w:t>沙坑场地，每人跳两次，取最好成绩。</w:t>
      </w:r>
    </w:p>
    <w:p w14:paraId="76A8756D"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r w:rsidRPr="00C32AC2">
        <w:rPr>
          <w:rFonts w:ascii="宋体" w:eastAsia="宋体" w:hAnsi="Calibri" w:cs="Times New Roman" w:hint="eastAsia"/>
          <w:b/>
          <w:kern w:val="0"/>
          <w:sz w:val="24"/>
        </w:rPr>
        <w:t>4.成绩构成及分值：</w:t>
      </w:r>
      <w:r w:rsidRPr="00C32AC2">
        <w:rPr>
          <w:rFonts w:ascii="宋体" w:eastAsia="宋体" w:hAnsi="Calibri" w:cs="Times New Roman" w:hint="eastAsia"/>
          <w:bCs/>
          <w:kern w:val="0"/>
          <w:sz w:val="24"/>
        </w:rPr>
        <w:t>数量及技术评定分值各为100分，各占总分值的20%，</w:t>
      </w:r>
    </w:p>
    <w:p w14:paraId="37ADDF45" w14:textId="77777777" w:rsidR="00C32AC2" w:rsidRPr="00C32AC2" w:rsidRDefault="00C32AC2" w:rsidP="00C32AC2">
      <w:pPr>
        <w:adjustRightInd w:val="0"/>
        <w:snapToGrid w:val="0"/>
        <w:spacing w:line="500" w:lineRule="exact"/>
        <w:jc w:val="left"/>
        <w:rPr>
          <w:rFonts w:ascii="宋体" w:eastAsia="宋体" w:hAnsi="Calibri" w:cs="Times New Roman"/>
          <w:bCs/>
          <w:kern w:val="0"/>
          <w:sz w:val="24"/>
        </w:rPr>
      </w:pPr>
      <w:r w:rsidRPr="00C32AC2">
        <w:rPr>
          <w:rFonts w:ascii="宋体" w:eastAsia="宋体" w:hAnsi="Calibri" w:cs="Times New Roman" w:hint="eastAsia"/>
          <w:bCs/>
          <w:kern w:val="0"/>
          <w:sz w:val="24"/>
        </w:rPr>
        <w:t>总分值为100分。</w:t>
      </w:r>
    </w:p>
    <w:p w14:paraId="245B1988" w14:textId="77777777" w:rsidR="00C32AC2" w:rsidRPr="00C32AC2" w:rsidRDefault="00C32AC2" w:rsidP="00C32AC2">
      <w:pPr>
        <w:adjustRightInd w:val="0"/>
        <w:snapToGrid w:val="0"/>
        <w:spacing w:line="500" w:lineRule="exact"/>
        <w:jc w:val="left"/>
        <w:rPr>
          <w:rFonts w:ascii="宋体" w:eastAsia="宋体" w:hAnsi="Calibri" w:cs="Times New Roman"/>
          <w:b/>
          <w:kern w:val="0"/>
          <w:sz w:val="24"/>
        </w:rPr>
      </w:pPr>
      <w:r w:rsidRPr="00C32AC2">
        <w:rPr>
          <w:rFonts w:ascii="宋体" w:eastAsia="宋体" w:hAnsi="Calibri" w:cs="Times New Roman" w:hint="eastAsia"/>
          <w:b/>
          <w:kern w:val="0"/>
          <w:sz w:val="24"/>
        </w:rPr>
        <w:t>5.评分记分原则：</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C32AC2" w:rsidRPr="00C32AC2" w14:paraId="22FD63CC" w14:textId="77777777" w:rsidTr="00375FAF">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5EF4A7A"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5808FC84"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BCC37C1"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大</w:t>
            </w:r>
            <w:proofErr w:type="gramStart"/>
            <w:r w:rsidRPr="00C32AC2">
              <w:rPr>
                <w:rFonts w:ascii="宋体" w:eastAsia="宋体" w:hAnsi="宋体" w:cs="宋体" w:hint="eastAsia"/>
                <w:b/>
                <w:kern w:val="0"/>
                <w:sz w:val="24"/>
              </w:rPr>
              <w:t>一</w:t>
            </w:r>
            <w:proofErr w:type="gramEnd"/>
            <w:r w:rsidRPr="00C32AC2">
              <w:rPr>
                <w:rFonts w:ascii="宋体" w:eastAsia="宋体" w:hAnsi="宋体" w:cs="宋体" w:hint="eastAsia"/>
                <w:b/>
                <w:kern w:val="0"/>
                <w:sz w:val="24"/>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1483E538"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大</w:t>
            </w:r>
            <w:proofErr w:type="gramStart"/>
            <w:r w:rsidRPr="00C32AC2">
              <w:rPr>
                <w:rFonts w:ascii="宋体" w:eastAsia="宋体" w:hAnsi="宋体" w:cs="宋体" w:hint="eastAsia"/>
                <w:b/>
                <w:kern w:val="0"/>
                <w:sz w:val="24"/>
              </w:rPr>
              <w:t>一</w:t>
            </w:r>
            <w:proofErr w:type="gramEnd"/>
            <w:r w:rsidRPr="00C32AC2">
              <w:rPr>
                <w:rFonts w:ascii="宋体" w:eastAsia="宋体" w:hAnsi="宋体" w:cs="宋体" w:hint="eastAsia"/>
                <w:b/>
                <w:kern w:val="0"/>
                <w:sz w:val="24"/>
              </w:rPr>
              <w:t>女生</w:t>
            </w:r>
          </w:p>
        </w:tc>
      </w:tr>
      <w:tr w:rsidR="00C32AC2" w:rsidRPr="00C32AC2" w14:paraId="522317A1" w14:textId="77777777" w:rsidTr="00375FAF">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DEA4367"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F28AC65"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666A80C5" w14:textId="77777777" w:rsidR="00C32AC2" w:rsidRPr="00C32AC2" w:rsidRDefault="00C32AC2" w:rsidP="00C32AC2">
            <w:pP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1EDAFCDB" w14:textId="77777777" w:rsidR="00C32AC2" w:rsidRPr="00C32AC2" w:rsidRDefault="00C32AC2" w:rsidP="00C32AC2">
            <w:pPr>
              <w:rPr>
                <w:rFonts w:ascii="宋体" w:eastAsia="宋体" w:hAnsi="宋体" w:cs="宋体"/>
                <w:b/>
                <w:sz w:val="24"/>
              </w:rPr>
            </w:pPr>
          </w:p>
        </w:tc>
      </w:tr>
      <w:tr w:rsidR="00C32AC2" w:rsidRPr="00C32AC2" w14:paraId="689A6D1B"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74E4C90"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01DBF853"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6ED22A9E"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0FB9DE86"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207</w:t>
            </w:r>
          </w:p>
        </w:tc>
      </w:tr>
      <w:tr w:rsidR="00C32AC2" w:rsidRPr="00C32AC2" w14:paraId="2ED1A759"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7588804"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A66C7CF"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040C3F8C"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64EE8E30"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201</w:t>
            </w:r>
          </w:p>
        </w:tc>
      </w:tr>
      <w:tr w:rsidR="00C32AC2" w:rsidRPr="00C32AC2" w14:paraId="357E7307"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C0DC7FD"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7BE19C3"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2EF3A69"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EA0AFA0"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195</w:t>
            </w:r>
          </w:p>
        </w:tc>
      </w:tr>
      <w:tr w:rsidR="00C32AC2" w:rsidRPr="00C32AC2" w14:paraId="7230BF9B"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F0FAE95"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27A95835"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26A9A712"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557B31C2"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188</w:t>
            </w:r>
          </w:p>
        </w:tc>
      </w:tr>
      <w:tr w:rsidR="00C32AC2" w:rsidRPr="00C32AC2" w14:paraId="2AC95548"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3339F3C"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E70996F"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0BB32F5"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89EAFC0"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181</w:t>
            </w:r>
          </w:p>
        </w:tc>
      </w:tr>
      <w:tr w:rsidR="00C32AC2" w:rsidRPr="00C32AC2" w14:paraId="655BB07A"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8D980A7"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1B2943D0"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191B3E6F"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4536E0D2"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178</w:t>
            </w:r>
          </w:p>
        </w:tc>
      </w:tr>
      <w:tr w:rsidR="00C32AC2" w:rsidRPr="00C32AC2" w14:paraId="44B4599D"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98E3082"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EE7AC31"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08C599CA"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1FA98086"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175</w:t>
            </w:r>
          </w:p>
        </w:tc>
      </w:tr>
      <w:tr w:rsidR="00C32AC2" w:rsidRPr="00C32AC2" w14:paraId="7583073C"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5DEBA12"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C951CCE"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5F7EE3A0"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21EF5455"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172</w:t>
            </w:r>
          </w:p>
        </w:tc>
      </w:tr>
      <w:tr w:rsidR="00C32AC2" w:rsidRPr="00C32AC2" w14:paraId="4F2D3DD2"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EB97824"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C42D3EB"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5AC8CC37"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644F3EE8"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169</w:t>
            </w:r>
          </w:p>
        </w:tc>
      </w:tr>
      <w:tr w:rsidR="00C32AC2" w:rsidRPr="00C32AC2" w14:paraId="3DC2CE9D"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5A97E94"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269ACB7"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4B139DC1"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4A97D492"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166</w:t>
            </w:r>
          </w:p>
        </w:tc>
      </w:tr>
      <w:tr w:rsidR="00C32AC2" w:rsidRPr="00C32AC2" w14:paraId="3EEB338D"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57D3440"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F4A6592"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442788A7"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3BB236C0"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163</w:t>
            </w:r>
          </w:p>
        </w:tc>
      </w:tr>
      <w:tr w:rsidR="00C32AC2" w:rsidRPr="00C32AC2" w14:paraId="2C79D869"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0256CDB"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6CDF616"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76666C60"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52589C87"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160</w:t>
            </w:r>
          </w:p>
        </w:tc>
      </w:tr>
      <w:tr w:rsidR="00C32AC2" w:rsidRPr="00C32AC2" w14:paraId="3CC38EEE"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970072A"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9CFB9FD"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711EEFAE"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4ADDDF12"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157</w:t>
            </w:r>
          </w:p>
        </w:tc>
      </w:tr>
      <w:tr w:rsidR="00C32AC2" w:rsidRPr="00C32AC2" w14:paraId="1E3B5C72"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54F0EB0"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4F341B1"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732BEF46"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778757AC"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154</w:t>
            </w:r>
          </w:p>
        </w:tc>
      </w:tr>
      <w:tr w:rsidR="00C32AC2" w:rsidRPr="00C32AC2" w14:paraId="465D30DC"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65637BC"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4A51B97"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D201FBD"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46E4BC1"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151</w:t>
            </w:r>
          </w:p>
        </w:tc>
      </w:tr>
      <w:tr w:rsidR="00C32AC2" w:rsidRPr="00C32AC2" w14:paraId="65D2A09B"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0284A9B"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4C2D841"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61EEF514"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273CE2B9"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146</w:t>
            </w:r>
          </w:p>
        </w:tc>
      </w:tr>
      <w:tr w:rsidR="00C32AC2" w:rsidRPr="00C32AC2" w14:paraId="105396B9"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C684C7F"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84B9D73"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77E3FB2C"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0027C23F"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141</w:t>
            </w:r>
          </w:p>
        </w:tc>
      </w:tr>
      <w:tr w:rsidR="00C32AC2" w:rsidRPr="00C32AC2" w14:paraId="3E86C1DF"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1C9F4A6"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BBB6A69"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0FEE35F5"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4098BC90"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136</w:t>
            </w:r>
          </w:p>
        </w:tc>
      </w:tr>
      <w:tr w:rsidR="00C32AC2" w:rsidRPr="00C32AC2" w14:paraId="3F71DA79"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2C84E85"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9791B3B"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66169B3F"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0C4EA08C"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131</w:t>
            </w:r>
          </w:p>
        </w:tc>
      </w:tr>
      <w:tr w:rsidR="00C32AC2" w:rsidRPr="00C32AC2" w14:paraId="12697978"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DD735F7" w14:textId="77777777" w:rsidR="00C32AC2" w:rsidRPr="00C32AC2" w:rsidRDefault="00C32AC2" w:rsidP="00C32AC2">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43E0EB0" w14:textId="77777777" w:rsidR="00C32AC2" w:rsidRPr="00C32AC2" w:rsidRDefault="00C32AC2" w:rsidP="00C32AC2">
            <w:pPr>
              <w:widowControl/>
              <w:textAlignment w:val="center"/>
              <w:rPr>
                <w:rFonts w:ascii="宋体" w:eastAsia="宋体" w:hAnsi="宋体" w:cs="宋体"/>
                <w:b/>
                <w:sz w:val="24"/>
              </w:rPr>
            </w:pPr>
            <w:r w:rsidRPr="00C32AC2">
              <w:rPr>
                <w:rFonts w:ascii="宋体" w:eastAsia="宋体" w:hAnsi="宋体" w:cs="宋体" w:hint="eastAsia"/>
                <w:b/>
                <w:kern w:val="0"/>
                <w:sz w:val="24"/>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2BC63421"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6DCAA6AF" w14:textId="77777777" w:rsidR="00C32AC2" w:rsidRPr="00C32AC2" w:rsidRDefault="00C32AC2" w:rsidP="00C32AC2">
            <w:pPr>
              <w:widowControl/>
              <w:textAlignment w:val="center"/>
              <w:rPr>
                <w:rFonts w:ascii="宋体" w:eastAsia="宋体" w:hAnsi="宋体" w:cs="宋体"/>
                <w:sz w:val="24"/>
              </w:rPr>
            </w:pPr>
            <w:r w:rsidRPr="00C32AC2">
              <w:rPr>
                <w:rFonts w:ascii="宋体" w:eastAsia="宋体" w:hAnsi="宋体" w:cs="宋体" w:hint="eastAsia"/>
                <w:kern w:val="0"/>
                <w:sz w:val="24"/>
              </w:rPr>
              <w:t>126</w:t>
            </w:r>
          </w:p>
        </w:tc>
      </w:tr>
    </w:tbl>
    <w:p w14:paraId="7365A7AA" w14:textId="77777777" w:rsidR="00C32AC2" w:rsidRPr="00C32AC2" w:rsidRDefault="00C32AC2" w:rsidP="00C32AC2">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C32AC2">
        <w:rPr>
          <w:rFonts w:ascii="Calibri" w:eastAsia="宋体" w:hAnsi="Calibri" w:cs="宋体" w:hint="eastAsia"/>
          <w:b/>
          <w:color w:val="000000"/>
          <w:sz w:val="24"/>
        </w:rPr>
        <w:lastRenderedPageBreak/>
        <w:t>期末考试</w:t>
      </w:r>
    </w:p>
    <w:p w14:paraId="1DDE1201" w14:textId="77777777" w:rsidR="00C32AC2" w:rsidRPr="00C32AC2" w:rsidRDefault="00C32AC2" w:rsidP="00C32AC2">
      <w:pPr>
        <w:autoSpaceDE w:val="0"/>
        <w:autoSpaceDN w:val="0"/>
        <w:adjustRightInd w:val="0"/>
        <w:snapToGrid w:val="0"/>
        <w:spacing w:line="500" w:lineRule="exact"/>
        <w:jc w:val="left"/>
        <w:rPr>
          <w:rFonts w:ascii="宋体" w:eastAsia="宋体" w:hAnsi="宋体" w:cs="宋体"/>
          <w:sz w:val="24"/>
        </w:rPr>
      </w:pPr>
      <w:r w:rsidRPr="00C32AC2">
        <w:rPr>
          <w:rFonts w:ascii="宋体" w:eastAsia="宋体" w:hAnsi="宋体" w:cs="宋体" w:hint="eastAsia"/>
          <w:b/>
          <w:bCs/>
          <w:sz w:val="24"/>
        </w:rPr>
        <w:t>1.课程考核目标：</w:t>
      </w:r>
      <w:r w:rsidRPr="00C32AC2">
        <w:rPr>
          <w:rFonts w:ascii="宋体" w:eastAsia="宋体" w:hAnsi="宋体" w:cs="宋体" w:hint="eastAsia"/>
          <w:sz w:val="24"/>
        </w:rPr>
        <w:t>考核检验篮球技术的掌握情况，以及课上听讲课下练习情况。</w:t>
      </w:r>
    </w:p>
    <w:p w14:paraId="6B6583E8" w14:textId="77777777" w:rsidR="00C32AC2" w:rsidRPr="00C32AC2" w:rsidRDefault="00C32AC2" w:rsidP="00C32AC2">
      <w:pPr>
        <w:autoSpaceDE w:val="0"/>
        <w:autoSpaceDN w:val="0"/>
        <w:adjustRightInd w:val="0"/>
        <w:snapToGrid w:val="0"/>
        <w:spacing w:beforeLines="50" w:before="156" w:afterLines="50" w:after="156" w:line="500" w:lineRule="exact"/>
        <w:rPr>
          <w:rFonts w:ascii="宋体" w:eastAsia="宋体" w:hAnsi="宋体" w:cs="宋体"/>
          <w:sz w:val="24"/>
        </w:rPr>
      </w:pPr>
      <w:r w:rsidRPr="00C32AC2">
        <w:rPr>
          <w:rFonts w:ascii="宋体" w:eastAsia="宋体" w:hAnsi="宋体" w:cs="宋体" w:hint="eastAsia"/>
          <w:b/>
          <w:bCs/>
          <w:sz w:val="24"/>
        </w:rPr>
        <w:t>2.课程考试内容：</w:t>
      </w:r>
      <w:r w:rsidRPr="00C32AC2">
        <w:rPr>
          <w:rFonts w:ascii="宋体" w:eastAsia="宋体" w:hAnsi="宋体" w:cs="宋体" w:hint="eastAsia"/>
          <w:sz w:val="24"/>
        </w:rPr>
        <w:t>定点投篮（投中个数评定50%技术评定50%）</w:t>
      </w:r>
    </w:p>
    <w:p w14:paraId="3082496D" w14:textId="77777777" w:rsidR="00C32AC2" w:rsidRPr="00C32AC2" w:rsidRDefault="00C32AC2" w:rsidP="00C32AC2">
      <w:pPr>
        <w:autoSpaceDE w:val="0"/>
        <w:autoSpaceDN w:val="0"/>
        <w:adjustRightInd w:val="0"/>
        <w:snapToGrid w:val="0"/>
        <w:spacing w:beforeLines="50" w:before="156" w:afterLines="50" w:after="156" w:line="500" w:lineRule="exact"/>
        <w:rPr>
          <w:rFonts w:ascii="宋体" w:eastAsia="宋体" w:hAnsi="宋体" w:cs="宋体"/>
          <w:sz w:val="24"/>
        </w:rPr>
      </w:pPr>
      <w:r w:rsidRPr="00C32AC2">
        <w:rPr>
          <w:rFonts w:ascii="宋体" w:eastAsia="宋体" w:hAnsi="宋体" w:cs="宋体" w:hint="eastAsia"/>
          <w:b/>
          <w:bCs/>
          <w:sz w:val="24"/>
        </w:rPr>
        <w:t>3.课程考试方法：</w:t>
      </w:r>
      <w:r w:rsidRPr="00C32AC2">
        <w:rPr>
          <w:rFonts w:ascii="宋体" w:eastAsia="宋体" w:hAnsi="宋体" w:cs="宋体" w:hint="eastAsia"/>
          <w:sz w:val="24"/>
        </w:rPr>
        <w:t>篮下45°打板投篮10次的方式进行考试。</w:t>
      </w:r>
    </w:p>
    <w:p w14:paraId="1147B50A" w14:textId="77777777" w:rsidR="00C32AC2" w:rsidRPr="00C32AC2" w:rsidRDefault="00C32AC2" w:rsidP="00C32AC2">
      <w:pPr>
        <w:autoSpaceDE w:val="0"/>
        <w:autoSpaceDN w:val="0"/>
        <w:adjustRightInd w:val="0"/>
        <w:snapToGrid w:val="0"/>
        <w:spacing w:beforeLines="50" w:before="156" w:afterLines="50" w:after="156" w:line="500" w:lineRule="exact"/>
        <w:rPr>
          <w:rFonts w:ascii="宋体" w:eastAsia="宋体" w:hAnsi="宋体" w:cs="宋体"/>
          <w:sz w:val="24"/>
        </w:rPr>
      </w:pPr>
      <w:r w:rsidRPr="00C32AC2">
        <w:rPr>
          <w:rFonts w:ascii="宋体" w:eastAsia="宋体" w:hAnsi="宋体" w:cs="宋体" w:hint="eastAsia"/>
          <w:b/>
          <w:bCs/>
          <w:sz w:val="24"/>
        </w:rPr>
        <w:t>4.</w:t>
      </w:r>
      <w:r w:rsidRPr="00C32AC2">
        <w:rPr>
          <w:rFonts w:ascii="宋体" w:eastAsia="宋体" w:hAnsi="宋体" w:cs="宋体" w:hint="eastAsia"/>
          <w:b/>
          <w:bCs/>
          <w:kern w:val="0"/>
          <w:sz w:val="24"/>
        </w:rPr>
        <w:t>成绩构成及分值</w:t>
      </w:r>
      <w:r w:rsidRPr="00C32AC2">
        <w:rPr>
          <w:rFonts w:ascii="宋体" w:eastAsia="宋体" w:hAnsi="宋体" w:cs="宋体" w:hint="eastAsia"/>
          <w:b/>
          <w:bCs/>
          <w:sz w:val="24"/>
        </w:rPr>
        <w:t>：</w:t>
      </w:r>
      <w:r w:rsidRPr="00C32AC2">
        <w:rPr>
          <w:rFonts w:ascii="宋体" w:eastAsia="宋体" w:hAnsi="宋体" w:cs="宋体" w:hint="eastAsia"/>
          <w:sz w:val="24"/>
        </w:rPr>
        <w:t>评定分值为100分，按考核标准要求分为，优（90-100分）、良（80-89分）、一般（70-79分）、及格（60-69分）、不及格（60分以下），共五档；期末考试</w:t>
      </w:r>
      <w:proofErr w:type="gramStart"/>
      <w:r w:rsidRPr="00C32AC2">
        <w:rPr>
          <w:rFonts w:ascii="宋体" w:eastAsia="宋体" w:hAnsi="宋体" w:cs="宋体" w:hint="eastAsia"/>
          <w:sz w:val="24"/>
        </w:rPr>
        <w:t>分值占</w:t>
      </w:r>
      <w:proofErr w:type="gramEnd"/>
      <w:r w:rsidRPr="00C32AC2">
        <w:rPr>
          <w:rFonts w:ascii="宋体" w:eastAsia="宋体" w:hAnsi="宋体" w:cs="宋体" w:hint="eastAsia"/>
          <w:sz w:val="24"/>
        </w:rPr>
        <w:t>总评成绩的70%。</w:t>
      </w:r>
    </w:p>
    <w:p w14:paraId="06F8FD54" w14:textId="77777777" w:rsidR="00C32AC2" w:rsidRPr="00C32AC2" w:rsidRDefault="00C32AC2" w:rsidP="00C32AC2">
      <w:pPr>
        <w:autoSpaceDE w:val="0"/>
        <w:autoSpaceDN w:val="0"/>
        <w:adjustRightInd w:val="0"/>
        <w:snapToGrid w:val="0"/>
        <w:spacing w:beforeLines="50" w:before="156" w:afterLines="50" w:after="156" w:line="500" w:lineRule="exact"/>
        <w:rPr>
          <w:rFonts w:ascii="宋体" w:eastAsia="宋体" w:hAnsi="宋体" w:cs="宋体"/>
          <w:b/>
          <w:bCs/>
          <w:sz w:val="24"/>
        </w:rPr>
      </w:pPr>
      <w:r w:rsidRPr="00C32AC2">
        <w:rPr>
          <w:rFonts w:ascii="宋体" w:eastAsia="宋体" w:hAnsi="宋体" w:cs="宋体" w:hint="eastAsia"/>
          <w:b/>
          <w:bCs/>
          <w:sz w:val="24"/>
        </w:rPr>
        <w:t>5.评分记分原则：</w:t>
      </w: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2"/>
        <w:gridCol w:w="1542"/>
        <w:gridCol w:w="1543"/>
        <w:gridCol w:w="1544"/>
        <w:gridCol w:w="1543"/>
        <w:gridCol w:w="1537"/>
      </w:tblGrid>
      <w:tr w:rsidR="00C32AC2" w:rsidRPr="00C32AC2" w14:paraId="5A38ED3E" w14:textId="77777777" w:rsidTr="00375FAF">
        <w:tc>
          <w:tcPr>
            <w:tcW w:w="1272" w:type="dxa"/>
            <w:vAlign w:val="center"/>
          </w:tcPr>
          <w:p w14:paraId="191B37F0" w14:textId="77777777" w:rsidR="00C32AC2" w:rsidRPr="00C32AC2" w:rsidRDefault="00C32AC2" w:rsidP="00C32AC2">
            <w:pPr>
              <w:autoSpaceDE w:val="0"/>
              <w:autoSpaceDN w:val="0"/>
              <w:adjustRightInd w:val="0"/>
              <w:snapToGrid w:val="0"/>
              <w:spacing w:line="500" w:lineRule="exact"/>
              <w:rPr>
                <w:rFonts w:ascii="宋体" w:eastAsia="宋体" w:hAnsi="宋体" w:cs="楷体_GB2312"/>
                <w:color w:val="000000"/>
                <w:kern w:val="0"/>
                <w:sz w:val="24"/>
              </w:rPr>
            </w:pPr>
            <w:r w:rsidRPr="00C32AC2">
              <w:rPr>
                <w:rFonts w:ascii="宋体" w:eastAsia="宋体" w:hAnsi="宋体" w:cs="楷体_GB2312" w:hint="eastAsia"/>
                <w:color w:val="000000"/>
                <w:kern w:val="0"/>
                <w:sz w:val="24"/>
              </w:rPr>
              <w:t>技术分</w:t>
            </w:r>
          </w:p>
        </w:tc>
        <w:tc>
          <w:tcPr>
            <w:tcW w:w="1542" w:type="dxa"/>
            <w:vAlign w:val="center"/>
          </w:tcPr>
          <w:p w14:paraId="443DC369"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A</w:t>
            </w:r>
          </w:p>
        </w:tc>
        <w:tc>
          <w:tcPr>
            <w:tcW w:w="1543" w:type="dxa"/>
            <w:vAlign w:val="center"/>
          </w:tcPr>
          <w:p w14:paraId="107E6917"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B</w:t>
            </w:r>
          </w:p>
        </w:tc>
        <w:tc>
          <w:tcPr>
            <w:tcW w:w="1544" w:type="dxa"/>
            <w:vAlign w:val="center"/>
          </w:tcPr>
          <w:p w14:paraId="5C9257F1"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C</w:t>
            </w:r>
          </w:p>
        </w:tc>
        <w:tc>
          <w:tcPr>
            <w:tcW w:w="1543" w:type="dxa"/>
            <w:vAlign w:val="center"/>
          </w:tcPr>
          <w:p w14:paraId="7544A86A"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D</w:t>
            </w:r>
          </w:p>
        </w:tc>
        <w:tc>
          <w:tcPr>
            <w:tcW w:w="1537" w:type="dxa"/>
            <w:vAlign w:val="center"/>
          </w:tcPr>
          <w:p w14:paraId="65FDF1FA"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E</w:t>
            </w:r>
          </w:p>
        </w:tc>
      </w:tr>
      <w:tr w:rsidR="00C32AC2" w:rsidRPr="00C32AC2" w14:paraId="2F43C304" w14:textId="77777777" w:rsidTr="00375FAF">
        <w:tc>
          <w:tcPr>
            <w:tcW w:w="1272" w:type="dxa"/>
            <w:vAlign w:val="center"/>
          </w:tcPr>
          <w:p w14:paraId="54F2532A" w14:textId="77777777" w:rsidR="00C32AC2" w:rsidRPr="00C32AC2" w:rsidRDefault="00C32AC2" w:rsidP="00C32AC2">
            <w:pPr>
              <w:autoSpaceDE w:val="0"/>
              <w:autoSpaceDN w:val="0"/>
              <w:adjustRightInd w:val="0"/>
              <w:snapToGrid w:val="0"/>
              <w:spacing w:line="500" w:lineRule="exact"/>
              <w:rPr>
                <w:rFonts w:ascii="宋体" w:eastAsia="宋体" w:hAnsi="宋体" w:cs="楷体_GB2312"/>
                <w:color w:val="000000"/>
                <w:kern w:val="0"/>
                <w:sz w:val="24"/>
              </w:rPr>
            </w:pPr>
            <w:r w:rsidRPr="00C32AC2">
              <w:rPr>
                <w:rFonts w:ascii="宋体" w:eastAsia="宋体" w:hAnsi="宋体" w:cs="楷体_GB2312" w:hint="eastAsia"/>
                <w:color w:val="000000"/>
                <w:kern w:val="0"/>
                <w:sz w:val="24"/>
              </w:rPr>
              <w:t>五级制</w:t>
            </w:r>
          </w:p>
        </w:tc>
        <w:tc>
          <w:tcPr>
            <w:tcW w:w="1542" w:type="dxa"/>
            <w:vAlign w:val="center"/>
          </w:tcPr>
          <w:p w14:paraId="6F6D64D2"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优</w:t>
            </w:r>
          </w:p>
        </w:tc>
        <w:tc>
          <w:tcPr>
            <w:tcW w:w="1543" w:type="dxa"/>
            <w:vAlign w:val="center"/>
          </w:tcPr>
          <w:p w14:paraId="52C1C213"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良好</w:t>
            </w:r>
          </w:p>
        </w:tc>
        <w:tc>
          <w:tcPr>
            <w:tcW w:w="1544" w:type="dxa"/>
            <w:vAlign w:val="center"/>
          </w:tcPr>
          <w:p w14:paraId="6E3F416B"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良</w:t>
            </w:r>
          </w:p>
        </w:tc>
        <w:tc>
          <w:tcPr>
            <w:tcW w:w="1543" w:type="dxa"/>
            <w:vAlign w:val="center"/>
          </w:tcPr>
          <w:p w14:paraId="0BBDA301"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及格</w:t>
            </w:r>
          </w:p>
        </w:tc>
        <w:tc>
          <w:tcPr>
            <w:tcW w:w="1537" w:type="dxa"/>
            <w:vAlign w:val="center"/>
          </w:tcPr>
          <w:p w14:paraId="05231E08"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不及格</w:t>
            </w:r>
          </w:p>
        </w:tc>
      </w:tr>
      <w:tr w:rsidR="00C32AC2" w:rsidRPr="00C32AC2" w14:paraId="62EAC00E" w14:textId="77777777" w:rsidTr="00375FAF">
        <w:tc>
          <w:tcPr>
            <w:tcW w:w="1272" w:type="dxa"/>
            <w:vAlign w:val="center"/>
          </w:tcPr>
          <w:p w14:paraId="559D4D70" w14:textId="77777777" w:rsidR="00C32AC2" w:rsidRPr="00C32AC2" w:rsidRDefault="00C32AC2" w:rsidP="00C32AC2">
            <w:pPr>
              <w:rPr>
                <w:rFonts w:ascii="宋体" w:eastAsia="宋体" w:hAnsi="宋体" w:cs="楷体_GB2312"/>
                <w:sz w:val="24"/>
              </w:rPr>
            </w:pPr>
            <w:r w:rsidRPr="00C32AC2">
              <w:rPr>
                <w:rFonts w:ascii="宋体" w:eastAsia="宋体" w:hAnsi="宋体" w:cs="楷体_GB2312" w:hint="eastAsia"/>
                <w:sz w:val="24"/>
              </w:rPr>
              <w:t>分值范围</w:t>
            </w:r>
          </w:p>
        </w:tc>
        <w:tc>
          <w:tcPr>
            <w:tcW w:w="1542" w:type="dxa"/>
            <w:vAlign w:val="center"/>
          </w:tcPr>
          <w:p w14:paraId="0EB0AB7D" w14:textId="77777777" w:rsidR="00C32AC2" w:rsidRPr="00C32AC2" w:rsidRDefault="00C32AC2" w:rsidP="00C32AC2">
            <w:pPr>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90-100</w:t>
            </w:r>
          </w:p>
        </w:tc>
        <w:tc>
          <w:tcPr>
            <w:tcW w:w="1543" w:type="dxa"/>
            <w:vAlign w:val="center"/>
          </w:tcPr>
          <w:p w14:paraId="2AAFA02C" w14:textId="77777777" w:rsidR="00C32AC2" w:rsidRPr="00C32AC2" w:rsidRDefault="00C32AC2" w:rsidP="00C32AC2">
            <w:pPr>
              <w:autoSpaceDE w:val="0"/>
              <w:autoSpaceDN w:val="0"/>
              <w:adjustRightInd w:val="0"/>
              <w:snapToGrid w:val="0"/>
              <w:ind w:firstLineChars="200" w:firstLine="480"/>
              <w:rPr>
                <w:rFonts w:ascii="宋体" w:eastAsia="宋体" w:hAnsi="宋体" w:cs="楷体_GB2312"/>
                <w:color w:val="000000"/>
                <w:kern w:val="0"/>
                <w:sz w:val="24"/>
              </w:rPr>
            </w:pPr>
            <w:r w:rsidRPr="00C32AC2">
              <w:rPr>
                <w:rFonts w:ascii="宋体" w:eastAsia="宋体" w:hAnsi="宋体" w:cs="楷体_GB2312" w:hint="eastAsia"/>
                <w:color w:val="000000"/>
                <w:kern w:val="0"/>
                <w:sz w:val="24"/>
              </w:rPr>
              <w:t>80-89</w:t>
            </w:r>
          </w:p>
        </w:tc>
        <w:tc>
          <w:tcPr>
            <w:tcW w:w="1544" w:type="dxa"/>
            <w:vAlign w:val="center"/>
          </w:tcPr>
          <w:p w14:paraId="2EA06F95" w14:textId="77777777" w:rsidR="00C32AC2" w:rsidRPr="00C32AC2" w:rsidRDefault="00C32AC2" w:rsidP="00C32AC2">
            <w:pPr>
              <w:autoSpaceDE w:val="0"/>
              <w:autoSpaceDN w:val="0"/>
              <w:adjustRightInd w:val="0"/>
              <w:snapToGrid w:val="0"/>
              <w:ind w:firstLineChars="200" w:firstLine="480"/>
              <w:rPr>
                <w:rFonts w:ascii="宋体" w:eastAsia="宋体" w:hAnsi="宋体" w:cs="楷体_GB2312"/>
                <w:color w:val="000000"/>
                <w:kern w:val="0"/>
                <w:sz w:val="24"/>
              </w:rPr>
            </w:pPr>
            <w:r w:rsidRPr="00C32AC2">
              <w:rPr>
                <w:rFonts w:ascii="宋体" w:eastAsia="宋体" w:hAnsi="宋体" w:cs="楷体_GB2312" w:hint="eastAsia"/>
                <w:color w:val="000000"/>
                <w:kern w:val="0"/>
                <w:sz w:val="24"/>
              </w:rPr>
              <w:t>70-79</w:t>
            </w:r>
          </w:p>
        </w:tc>
        <w:tc>
          <w:tcPr>
            <w:tcW w:w="1543" w:type="dxa"/>
            <w:vAlign w:val="center"/>
          </w:tcPr>
          <w:p w14:paraId="5BE5786D"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60-69</w:t>
            </w:r>
          </w:p>
        </w:tc>
        <w:tc>
          <w:tcPr>
            <w:tcW w:w="1537" w:type="dxa"/>
          </w:tcPr>
          <w:p w14:paraId="0D49CA83"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60以下</w:t>
            </w:r>
          </w:p>
        </w:tc>
      </w:tr>
      <w:tr w:rsidR="00C32AC2" w:rsidRPr="00C32AC2" w14:paraId="568E3F63" w14:textId="77777777" w:rsidTr="00375FAF">
        <w:tc>
          <w:tcPr>
            <w:tcW w:w="1272" w:type="dxa"/>
            <w:vAlign w:val="center"/>
          </w:tcPr>
          <w:p w14:paraId="62D6C954" w14:textId="77777777" w:rsidR="00C32AC2" w:rsidRPr="00C32AC2" w:rsidRDefault="00C32AC2" w:rsidP="00C32AC2">
            <w:pPr>
              <w:autoSpaceDE w:val="0"/>
              <w:autoSpaceDN w:val="0"/>
              <w:adjustRightInd w:val="0"/>
              <w:snapToGrid w:val="0"/>
              <w:spacing w:line="500" w:lineRule="exact"/>
              <w:rPr>
                <w:rFonts w:ascii="Calibri" w:eastAsia="宋体" w:hAnsi="Calibri" w:cs="Times New Roman"/>
              </w:rPr>
            </w:pPr>
            <w:r w:rsidRPr="00C32AC2">
              <w:rPr>
                <w:rFonts w:ascii="宋体" w:eastAsia="宋体" w:hAnsi="宋体" w:cs="楷体_GB2312" w:hint="eastAsia"/>
                <w:color w:val="000000"/>
                <w:kern w:val="0"/>
                <w:sz w:val="24"/>
              </w:rPr>
              <w:t>标准</w:t>
            </w:r>
          </w:p>
        </w:tc>
        <w:tc>
          <w:tcPr>
            <w:tcW w:w="1542" w:type="dxa"/>
            <w:vAlign w:val="center"/>
          </w:tcPr>
          <w:p w14:paraId="64F67919"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动作优美、娴熟，动作自动化程度高</w:t>
            </w:r>
          </w:p>
        </w:tc>
        <w:tc>
          <w:tcPr>
            <w:tcW w:w="1543" w:type="dxa"/>
            <w:vAlign w:val="center"/>
          </w:tcPr>
          <w:p w14:paraId="5E90AF43"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动作熟练、规范，符合课上要求</w:t>
            </w:r>
          </w:p>
        </w:tc>
        <w:tc>
          <w:tcPr>
            <w:tcW w:w="1544" w:type="dxa"/>
            <w:vAlign w:val="center"/>
          </w:tcPr>
          <w:p w14:paraId="6FA08EDB"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动作基本符合课上要求</w:t>
            </w:r>
          </w:p>
        </w:tc>
        <w:tc>
          <w:tcPr>
            <w:tcW w:w="1543" w:type="dxa"/>
            <w:vAlign w:val="center"/>
          </w:tcPr>
          <w:p w14:paraId="7D954883"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动作基本符合课上要求，进球数只有两个</w:t>
            </w:r>
          </w:p>
        </w:tc>
        <w:tc>
          <w:tcPr>
            <w:tcW w:w="1537" w:type="dxa"/>
            <w:vAlign w:val="center"/>
          </w:tcPr>
          <w:p w14:paraId="630BCB97"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进球数小于两个</w:t>
            </w:r>
          </w:p>
        </w:tc>
      </w:tr>
      <w:tr w:rsidR="00C32AC2" w:rsidRPr="00C32AC2" w14:paraId="7B102D29" w14:textId="77777777" w:rsidTr="00375FAF">
        <w:tc>
          <w:tcPr>
            <w:tcW w:w="1272" w:type="dxa"/>
            <w:vAlign w:val="center"/>
          </w:tcPr>
          <w:p w14:paraId="2A22A982" w14:textId="77777777" w:rsidR="00C32AC2" w:rsidRPr="00C32AC2" w:rsidRDefault="00C32AC2" w:rsidP="00C32AC2">
            <w:pPr>
              <w:autoSpaceDE w:val="0"/>
              <w:autoSpaceDN w:val="0"/>
              <w:adjustRightInd w:val="0"/>
              <w:snapToGrid w:val="0"/>
              <w:spacing w:line="500" w:lineRule="exact"/>
              <w:rPr>
                <w:rFonts w:ascii="宋体" w:eastAsia="宋体" w:hAnsi="宋体" w:cs="楷体_GB2312"/>
                <w:color w:val="000000"/>
                <w:kern w:val="0"/>
                <w:sz w:val="24"/>
              </w:rPr>
            </w:pPr>
            <w:r w:rsidRPr="00C32AC2">
              <w:rPr>
                <w:rFonts w:ascii="宋体" w:eastAsia="宋体" w:hAnsi="宋体" w:cs="楷体_GB2312" w:hint="eastAsia"/>
                <w:color w:val="000000"/>
                <w:kern w:val="0"/>
                <w:sz w:val="24"/>
              </w:rPr>
              <w:t>数目</w:t>
            </w:r>
          </w:p>
        </w:tc>
        <w:tc>
          <w:tcPr>
            <w:tcW w:w="1542" w:type="dxa"/>
            <w:vAlign w:val="center"/>
          </w:tcPr>
          <w:p w14:paraId="0ECDB353"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8-10</w:t>
            </w:r>
          </w:p>
        </w:tc>
        <w:tc>
          <w:tcPr>
            <w:tcW w:w="1543" w:type="dxa"/>
            <w:vAlign w:val="center"/>
          </w:tcPr>
          <w:p w14:paraId="04653B7E"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6-7</w:t>
            </w:r>
          </w:p>
        </w:tc>
        <w:tc>
          <w:tcPr>
            <w:tcW w:w="1544" w:type="dxa"/>
            <w:vAlign w:val="center"/>
          </w:tcPr>
          <w:p w14:paraId="3AA7F710"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3-5</w:t>
            </w:r>
          </w:p>
        </w:tc>
        <w:tc>
          <w:tcPr>
            <w:tcW w:w="1543" w:type="dxa"/>
            <w:vAlign w:val="center"/>
          </w:tcPr>
          <w:p w14:paraId="58BDF3AF"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2</w:t>
            </w:r>
          </w:p>
        </w:tc>
        <w:tc>
          <w:tcPr>
            <w:tcW w:w="1537" w:type="dxa"/>
            <w:vAlign w:val="center"/>
          </w:tcPr>
          <w:p w14:paraId="0A3A565F"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0-1</w:t>
            </w:r>
          </w:p>
        </w:tc>
      </w:tr>
    </w:tbl>
    <w:p w14:paraId="36A17601"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第二学期</w:t>
      </w:r>
    </w:p>
    <w:p w14:paraId="6B38E4CB" w14:textId="77777777" w:rsidR="00C32AC2" w:rsidRPr="00C32AC2" w:rsidRDefault="00C32AC2" w:rsidP="00C32AC2">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C32AC2">
        <w:rPr>
          <w:rFonts w:ascii="Calibri" w:eastAsia="宋体" w:hAnsi="Calibri" w:cs="宋体" w:hint="eastAsia"/>
          <w:b/>
          <w:color w:val="000000"/>
          <w:sz w:val="24"/>
        </w:rPr>
        <w:t>期中考试</w:t>
      </w:r>
    </w:p>
    <w:p w14:paraId="00AE3730"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1.课程考核目标：</w:t>
      </w:r>
      <w:r w:rsidRPr="00C32AC2">
        <w:rPr>
          <w:rFonts w:ascii="宋体" w:eastAsia="宋体" w:hAnsi="宋体" w:cs="宋体" w:hint="eastAsia"/>
          <w:sz w:val="24"/>
        </w:rPr>
        <w:t>考核检验运球技术的掌握情况，以及课上听讲课下练习情况。</w:t>
      </w:r>
    </w:p>
    <w:p w14:paraId="3687CE3B"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2.课程考试内容：</w:t>
      </w:r>
      <w:r w:rsidRPr="00C32AC2">
        <w:rPr>
          <w:rFonts w:ascii="宋体" w:eastAsia="宋体" w:hAnsi="宋体" w:cs="宋体" w:hint="eastAsia"/>
          <w:sz w:val="24"/>
        </w:rPr>
        <w:t>行进间全场急停急起运球</w:t>
      </w:r>
    </w:p>
    <w:p w14:paraId="12FF8434"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3.课程考试方法：</w:t>
      </w:r>
      <w:r w:rsidRPr="00C32AC2">
        <w:rPr>
          <w:rFonts w:ascii="宋体" w:eastAsia="宋体" w:hAnsi="宋体" w:cs="宋体" w:hint="eastAsia"/>
          <w:sz w:val="24"/>
        </w:rPr>
        <w:t>底线开始，全场</w:t>
      </w:r>
      <w:proofErr w:type="gramStart"/>
      <w:r w:rsidRPr="00C32AC2">
        <w:rPr>
          <w:rFonts w:ascii="宋体" w:eastAsia="宋体" w:hAnsi="宋体" w:cs="宋体" w:hint="eastAsia"/>
          <w:sz w:val="24"/>
        </w:rPr>
        <w:t>往返见</w:t>
      </w:r>
      <w:proofErr w:type="gramEnd"/>
      <w:r w:rsidRPr="00C32AC2">
        <w:rPr>
          <w:rFonts w:ascii="宋体" w:eastAsia="宋体" w:hAnsi="宋体" w:cs="宋体" w:hint="eastAsia"/>
          <w:sz w:val="24"/>
        </w:rPr>
        <w:t>线急停急起运球。急停点依次：去（全</w:t>
      </w:r>
      <w:proofErr w:type="gramStart"/>
      <w:r w:rsidRPr="00C32AC2">
        <w:rPr>
          <w:rFonts w:ascii="宋体" w:eastAsia="宋体" w:hAnsi="宋体" w:cs="宋体" w:hint="eastAsia"/>
          <w:sz w:val="24"/>
        </w:rPr>
        <w:t>一侧手</w:t>
      </w:r>
      <w:proofErr w:type="gramEnd"/>
      <w:r w:rsidRPr="00C32AC2">
        <w:rPr>
          <w:rFonts w:ascii="宋体" w:eastAsia="宋体" w:hAnsi="宋体" w:cs="宋体" w:hint="eastAsia"/>
          <w:sz w:val="24"/>
        </w:rPr>
        <w:t>运球），己方罚球线、中场线、对侧罚球线、对侧底线；回（</w:t>
      </w:r>
      <w:proofErr w:type="gramStart"/>
      <w:r w:rsidRPr="00C32AC2">
        <w:rPr>
          <w:rFonts w:ascii="宋体" w:eastAsia="宋体" w:hAnsi="宋体" w:cs="宋体" w:hint="eastAsia"/>
          <w:sz w:val="24"/>
        </w:rPr>
        <w:t>全另一侧手</w:t>
      </w:r>
      <w:proofErr w:type="gramEnd"/>
      <w:r w:rsidRPr="00C32AC2">
        <w:rPr>
          <w:rFonts w:ascii="宋体" w:eastAsia="宋体" w:hAnsi="宋体" w:cs="宋体" w:hint="eastAsia"/>
          <w:sz w:val="24"/>
        </w:rPr>
        <w:t>运球），对侧罚球线、中场线、己方罚球线。结束：再次回到己方底线。注意：每个急停点至少运三次球再启动；男生全程至多18秒内完成，女生全程至多25秒内完成。</w:t>
      </w:r>
    </w:p>
    <w:p w14:paraId="6F7F8ADE"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4.</w:t>
      </w:r>
      <w:r w:rsidRPr="00C32AC2">
        <w:rPr>
          <w:rFonts w:ascii="宋体" w:eastAsia="宋体" w:hAnsi="宋体" w:cs="宋体" w:hint="eastAsia"/>
          <w:b/>
          <w:bCs/>
          <w:kern w:val="0"/>
          <w:sz w:val="24"/>
        </w:rPr>
        <w:t>成绩构成及分值</w:t>
      </w:r>
      <w:r w:rsidRPr="00C32AC2">
        <w:rPr>
          <w:rFonts w:ascii="宋体" w:eastAsia="宋体" w:hAnsi="宋体" w:cs="宋体" w:hint="eastAsia"/>
          <w:b/>
          <w:bCs/>
          <w:sz w:val="24"/>
        </w:rPr>
        <w:t>：</w:t>
      </w:r>
      <w:r w:rsidRPr="00C32AC2">
        <w:rPr>
          <w:rFonts w:ascii="宋体" w:eastAsia="宋体" w:hAnsi="宋体" w:cs="宋体" w:hint="eastAsia"/>
          <w:sz w:val="24"/>
        </w:rPr>
        <w:t>评定分值为100分，按考核标准要求分为，优（90-100分）、良（80-89分）、一般（70-79分）、及格（60-69分）、不及格（60分以下），共五档；期</w:t>
      </w:r>
      <w:r w:rsidRPr="00C32AC2">
        <w:rPr>
          <w:rFonts w:ascii="宋体" w:eastAsia="宋体" w:hAnsi="宋体" w:cs="宋体" w:hint="eastAsia"/>
          <w:sz w:val="24"/>
        </w:rPr>
        <w:lastRenderedPageBreak/>
        <w:t>中考试</w:t>
      </w:r>
      <w:proofErr w:type="gramStart"/>
      <w:r w:rsidRPr="00C32AC2">
        <w:rPr>
          <w:rFonts w:ascii="宋体" w:eastAsia="宋体" w:hAnsi="宋体" w:cs="宋体" w:hint="eastAsia"/>
          <w:sz w:val="24"/>
        </w:rPr>
        <w:t>分值占</w:t>
      </w:r>
      <w:proofErr w:type="gramEnd"/>
      <w:r w:rsidRPr="00C32AC2">
        <w:rPr>
          <w:rFonts w:ascii="宋体" w:eastAsia="宋体" w:hAnsi="宋体" w:cs="宋体" w:hint="eastAsia"/>
          <w:sz w:val="24"/>
        </w:rPr>
        <w:t>总评成绩的20%。</w:t>
      </w:r>
    </w:p>
    <w:p w14:paraId="0AFF4789"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b/>
          <w:bCs/>
          <w:sz w:val="24"/>
        </w:rPr>
      </w:pPr>
      <w:r w:rsidRPr="00C32AC2">
        <w:rPr>
          <w:rFonts w:ascii="宋体" w:eastAsia="宋体" w:hAnsi="宋体" w:cs="宋体" w:hint="eastAsia"/>
          <w:b/>
          <w:bCs/>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4"/>
        <w:gridCol w:w="1539"/>
        <w:gridCol w:w="1561"/>
        <w:gridCol w:w="1551"/>
        <w:gridCol w:w="1531"/>
        <w:gridCol w:w="1534"/>
      </w:tblGrid>
      <w:tr w:rsidR="00C32AC2" w:rsidRPr="00C32AC2" w14:paraId="576999CA" w14:textId="77777777" w:rsidTr="00375FAF">
        <w:trPr>
          <w:trHeight w:val="484"/>
          <w:jc w:val="center"/>
        </w:trPr>
        <w:tc>
          <w:tcPr>
            <w:tcW w:w="1974" w:type="dxa"/>
            <w:vAlign w:val="center"/>
          </w:tcPr>
          <w:p w14:paraId="7E6800FF" w14:textId="77777777" w:rsidR="00C32AC2" w:rsidRPr="00C32AC2" w:rsidRDefault="00C32AC2" w:rsidP="00C32AC2">
            <w:pPr>
              <w:autoSpaceDE w:val="0"/>
              <w:autoSpaceDN w:val="0"/>
              <w:adjustRightInd w:val="0"/>
              <w:snapToGrid w:val="0"/>
              <w:spacing w:line="500" w:lineRule="exact"/>
              <w:rPr>
                <w:rFonts w:ascii="宋体" w:eastAsia="宋体" w:hAnsi="宋体" w:cs="楷体_GB2312"/>
                <w:color w:val="000000"/>
                <w:kern w:val="0"/>
                <w:sz w:val="24"/>
              </w:rPr>
            </w:pPr>
            <w:r w:rsidRPr="00C32AC2">
              <w:rPr>
                <w:rFonts w:ascii="宋体" w:eastAsia="宋体" w:hAnsi="宋体" w:cs="楷体_GB2312" w:hint="eastAsia"/>
                <w:color w:val="000000"/>
                <w:kern w:val="0"/>
                <w:sz w:val="24"/>
              </w:rPr>
              <w:t>技术分</w:t>
            </w:r>
          </w:p>
        </w:tc>
        <w:tc>
          <w:tcPr>
            <w:tcW w:w="1539" w:type="dxa"/>
            <w:vAlign w:val="center"/>
          </w:tcPr>
          <w:p w14:paraId="76FB399C" w14:textId="77777777" w:rsidR="00C32AC2" w:rsidRPr="00C32AC2" w:rsidRDefault="00C32AC2" w:rsidP="00C32AC2">
            <w:pPr>
              <w:autoSpaceDE w:val="0"/>
              <w:autoSpaceDN w:val="0"/>
              <w:adjustRightInd w:val="0"/>
              <w:snapToGrid w:val="0"/>
              <w:spacing w:line="500" w:lineRule="exact"/>
              <w:rPr>
                <w:rFonts w:ascii="宋体" w:eastAsia="宋体" w:hAnsi="宋体" w:cs="楷体_GB2312"/>
                <w:color w:val="000000"/>
                <w:kern w:val="0"/>
                <w:sz w:val="24"/>
              </w:rPr>
            </w:pPr>
            <w:r w:rsidRPr="00C32AC2">
              <w:rPr>
                <w:rFonts w:ascii="宋体" w:eastAsia="宋体" w:hAnsi="宋体" w:cs="楷体_GB2312" w:hint="eastAsia"/>
                <w:color w:val="000000"/>
                <w:kern w:val="0"/>
                <w:sz w:val="24"/>
              </w:rPr>
              <w:t>A</w:t>
            </w:r>
          </w:p>
        </w:tc>
        <w:tc>
          <w:tcPr>
            <w:tcW w:w="1561" w:type="dxa"/>
            <w:vAlign w:val="center"/>
          </w:tcPr>
          <w:p w14:paraId="1EDE02FF" w14:textId="77777777" w:rsidR="00C32AC2" w:rsidRPr="00C32AC2" w:rsidRDefault="00C32AC2" w:rsidP="00C32AC2">
            <w:pPr>
              <w:autoSpaceDE w:val="0"/>
              <w:autoSpaceDN w:val="0"/>
              <w:adjustRightInd w:val="0"/>
              <w:snapToGrid w:val="0"/>
              <w:spacing w:line="500" w:lineRule="exact"/>
              <w:rPr>
                <w:rFonts w:ascii="宋体" w:eastAsia="宋体" w:hAnsi="宋体" w:cs="楷体_GB2312"/>
                <w:color w:val="000000"/>
                <w:kern w:val="0"/>
                <w:sz w:val="24"/>
              </w:rPr>
            </w:pPr>
            <w:r w:rsidRPr="00C32AC2">
              <w:rPr>
                <w:rFonts w:ascii="宋体" w:eastAsia="宋体" w:hAnsi="宋体" w:cs="楷体_GB2312" w:hint="eastAsia"/>
                <w:color w:val="000000"/>
                <w:kern w:val="0"/>
                <w:sz w:val="24"/>
              </w:rPr>
              <w:t>B</w:t>
            </w:r>
          </w:p>
        </w:tc>
        <w:tc>
          <w:tcPr>
            <w:tcW w:w="1551" w:type="dxa"/>
            <w:vAlign w:val="center"/>
          </w:tcPr>
          <w:p w14:paraId="4625A4B6" w14:textId="77777777" w:rsidR="00C32AC2" w:rsidRPr="00C32AC2" w:rsidRDefault="00C32AC2" w:rsidP="00C32AC2">
            <w:pPr>
              <w:autoSpaceDE w:val="0"/>
              <w:autoSpaceDN w:val="0"/>
              <w:adjustRightInd w:val="0"/>
              <w:snapToGrid w:val="0"/>
              <w:spacing w:line="500" w:lineRule="exact"/>
              <w:rPr>
                <w:rFonts w:ascii="宋体" w:eastAsia="宋体" w:hAnsi="宋体" w:cs="楷体_GB2312"/>
                <w:color w:val="000000"/>
                <w:kern w:val="0"/>
                <w:sz w:val="24"/>
              </w:rPr>
            </w:pPr>
            <w:r w:rsidRPr="00C32AC2">
              <w:rPr>
                <w:rFonts w:ascii="宋体" w:eastAsia="宋体" w:hAnsi="宋体" w:cs="楷体_GB2312" w:hint="eastAsia"/>
                <w:color w:val="000000"/>
                <w:kern w:val="0"/>
                <w:sz w:val="24"/>
              </w:rPr>
              <w:t>C</w:t>
            </w:r>
          </w:p>
        </w:tc>
        <w:tc>
          <w:tcPr>
            <w:tcW w:w="1531" w:type="dxa"/>
            <w:vAlign w:val="center"/>
          </w:tcPr>
          <w:p w14:paraId="2D2CBD2D" w14:textId="77777777" w:rsidR="00C32AC2" w:rsidRPr="00C32AC2" w:rsidRDefault="00C32AC2" w:rsidP="00C32AC2">
            <w:pPr>
              <w:autoSpaceDE w:val="0"/>
              <w:autoSpaceDN w:val="0"/>
              <w:adjustRightInd w:val="0"/>
              <w:snapToGrid w:val="0"/>
              <w:spacing w:line="500" w:lineRule="exact"/>
              <w:rPr>
                <w:rFonts w:ascii="宋体" w:eastAsia="宋体" w:hAnsi="宋体" w:cs="楷体_GB2312"/>
                <w:color w:val="000000"/>
                <w:kern w:val="0"/>
                <w:sz w:val="24"/>
              </w:rPr>
            </w:pPr>
            <w:r w:rsidRPr="00C32AC2">
              <w:rPr>
                <w:rFonts w:ascii="宋体" w:eastAsia="宋体" w:hAnsi="宋体" w:cs="楷体_GB2312" w:hint="eastAsia"/>
                <w:color w:val="000000"/>
                <w:kern w:val="0"/>
                <w:sz w:val="24"/>
              </w:rPr>
              <w:t>D</w:t>
            </w:r>
          </w:p>
        </w:tc>
        <w:tc>
          <w:tcPr>
            <w:tcW w:w="1534" w:type="dxa"/>
            <w:vAlign w:val="center"/>
          </w:tcPr>
          <w:p w14:paraId="28621FC5" w14:textId="77777777" w:rsidR="00C32AC2" w:rsidRPr="00C32AC2" w:rsidRDefault="00C32AC2" w:rsidP="00C32AC2">
            <w:pPr>
              <w:autoSpaceDE w:val="0"/>
              <w:autoSpaceDN w:val="0"/>
              <w:adjustRightInd w:val="0"/>
              <w:snapToGrid w:val="0"/>
              <w:spacing w:line="500" w:lineRule="exact"/>
              <w:rPr>
                <w:rFonts w:ascii="宋体" w:eastAsia="宋体" w:hAnsi="宋体" w:cs="楷体_GB2312"/>
                <w:color w:val="000000"/>
                <w:kern w:val="0"/>
                <w:sz w:val="24"/>
              </w:rPr>
            </w:pPr>
            <w:r w:rsidRPr="00C32AC2">
              <w:rPr>
                <w:rFonts w:ascii="宋体" w:eastAsia="宋体" w:hAnsi="宋体" w:cs="楷体_GB2312" w:hint="eastAsia"/>
                <w:color w:val="000000"/>
                <w:kern w:val="0"/>
                <w:sz w:val="24"/>
              </w:rPr>
              <w:t>E</w:t>
            </w:r>
          </w:p>
        </w:tc>
      </w:tr>
      <w:tr w:rsidR="00C32AC2" w:rsidRPr="00C32AC2" w14:paraId="42ADE9C8" w14:textId="77777777" w:rsidTr="00375FAF">
        <w:trPr>
          <w:trHeight w:val="484"/>
          <w:jc w:val="center"/>
        </w:trPr>
        <w:tc>
          <w:tcPr>
            <w:tcW w:w="1974" w:type="dxa"/>
            <w:vAlign w:val="center"/>
          </w:tcPr>
          <w:p w14:paraId="093DB054" w14:textId="77777777" w:rsidR="00C32AC2" w:rsidRPr="00C32AC2" w:rsidRDefault="00C32AC2" w:rsidP="00C32AC2">
            <w:pPr>
              <w:autoSpaceDE w:val="0"/>
              <w:autoSpaceDN w:val="0"/>
              <w:adjustRightInd w:val="0"/>
              <w:snapToGrid w:val="0"/>
              <w:spacing w:line="500" w:lineRule="exact"/>
              <w:rPr>
                <w:rFonts w:ascii="宋体" w:eastAsia="宋体" w:hAnsi="Calibri" w:cs="楷体_GB2312"/>
                <w:color w:val="000000"/>
                <w:kern w:val="0"/>
                <w:sz w:val="24"/>
              </w:rPr>
            </w:pPr>
            <w:r w:rsidRPr="00C32AC2">
              <w:rPr>
                <w:rFonts w:ascii="宋体" w:eastAsia="宋体" w:hAnsi="宋体" w:cs="楷体_GB2312" w:hint="eastAsia"/>
                <w:color w:val="000000"/>
                <w:kern w:val="0"/>
                <w:sz w:val="24"/>
              </w:rPr>
              <w:t>五级制</w:t>
            </w:r>
          </w:p>
        </w:tc>
        <w:tc>
          <w:tcPr>
            <w:tcW w:w="1539" w:type="dxa"/>
            <w:vAlign w:val="center"/>
          </w:tcPr>
          <w:p w14:paraId="1EA2471B" w14:textId="77777777" w:rsidR="00C32AC2" w:rsidRPr="00C32AC2" w:rsidRDefault="00C32AC2" w:rsidP="00C32AC2">
            <w:pPr>
              <w:autoSpaceDE w:val="0"/>
              <w:autoSpaceDN w:val="0"/>
              <w:adjustRightInd w:val="0"/>
              <w:snapToGrid w:val="0"/>
              <w:spacing w:line="500" w:lineRule="exact"/>
              <w:rPr>
                <w:rFonts w:ascii="宋体" w:eastAsia="宋体" w:hAnsi="Calibri" w:cs="楷体_GB2312"/>
                <w:color w:val="000000"/>
                <w:kern w:val="0"/>
                <w:sz w:val="24"/>
              </w:rPr>
            </w:pPr>
            <w:r w:rsidRPr="00C32AC2">
              <w:rPr>
                <w:rFonts w:ascii="宋体" w:eastAsia="宋体" w:hAnsi="宋体" w:cs="楷体_GB2312" w:hint="eastAsia"/>
                <w:color w:val="000000"/>
                <w:kern w:val="0"/>
                <w:sz w:val="24"/>
              </w:rPr>
              <w:t>优</w:t>
            </w:r>
          </w:p>
        </w:tc>
        <w:tc>
          <w:tcPr>
            <w:tcW w:w="1561" w:type="dxa"/>
            <w:vAlign w:val="center"/>
          </w:tcPr>
          <w:p w14:paraId="528EA050" w14:textId="77777777" w:rsidR="00C32AC2" w:rsidRPr="00C32AC2" w:rsidRDefault="00C32AC2" w:rsidP="00C32AC2">
            <w:pPr>
              <w:autoSpaceDE w:val="0"/>
              <w:autoSpaceDN w:val="0"/>
              <w:adjustRightInd w:val="0"/>
              <w:snapToGrid w:val="0"/>
              <w:spacing w:line="500" w:lineRule="exact"/>
              <w:rPr>
                <w:rFonts w:ascii="宋体" w:eastAsia="宋体" w:hAnsi="Calibri" w:cs="楷体_GB2312"/>
                <w:color w:val="000000"/>
                <w:kern w:val="0"/>
                <w:sz w:val="24"/>
              </w:rPr>
            </w:pPr>
            <w:r w:rsidRPr="00C32AC2">
              <w:rPr>
                <w:rFonts w:ascii="宋体" w:eastAsia="宋体" w:hAnsi="宋体" w:cs="楷体_GB2312" w:hint="eastAsia"/>
                <w:color w:val="000000"/>
                <w:kern w:val="0"/>
                <w:sz w:val="24"/>
              </w:rPr>
              <w:t>良好</w:t>
            </w:r>
          </w:p>
        </w:tc>
        <w:tc>
          <w:tcPr>
            <w:tcW w:w="1551" w:type="dxa"/>
            <w:vAlign w:val="center"/>
          </w:tcPr>
          <w:p w14:paraId="44A8FE2B" w14:textId="77777777" w:rsidR="00C32AC2" w:rsidRPr="00C32AC2" w:rsidRDefault="00C32AC2" w:rsidP="00C32AC2">
            <w:pPr>
              <w:autoSpaceDE w:val="0"/>
              <w:autoSpaceDN w:val="0"/>
              <w:adjustRightInd w:val="0"/>
              <w:snapToGrid w:val="0"/>
              <w:spacing w:line="500" w:lineRule="exact"/>
              <w:rPr>
                <w:rFonts w:ascii="宋体" w:eastAsia="宋体" w:hAnsi="Calibri" w:cs="楷体_GB2312"/>
                <w:color w:val="000000"/>
                <w:kern w:val="0"/>
                <w:sz w:val="24"/>
              </w:rPr>
            </w:pPr>
            <w:r w:rsidRPr="00C32AC2">
              <w:rPr>
                <w:rFonts w:ascii="宋体" w:eastAsia="宋体" w:hAnsi="宋体" w:cs="楷体_GB2312" w:hint="eastAsia"/>
                <w:color w:val="000000"/>
                <w:kern w:val="0"/>
                <w:sz w:val="24"/>
              </w:rPr>
              <w:t>良</w:t>
            </w:r>
          </w:p>
        </w:tc>
        <w:tc>
          <w:tcPr>
            <w:tcW w:w="1531" w:type="dxa"/>
            <w:vAlign w:val="center"/>
          </w:tcPr>
          <w:p w14:paraId="222BA10C" w14:textId="77777777" w:rsidR="00C32AC2" w:rsidRPr="00C32AC2" w:rsidRDefault="00C32AC2" w:rsidP="00C32AC2">
            <w:pPr>
              <w:autoSpaceDE w:val="0"/>
              <w:autoSpaceDN w:val="0"/>
              <w:adjustRightInd w:val="0"/>
              <w:snapToGrid w:val="0"/>
              <w:spacing w:line="500" w:lineRule="exact"/>
              <w:rPr>
                <w:rFonts w:ascii="宋体" w:eastAsia="宋体" w:hAnsi="Calibri" w:cs="楷体_GB2312"/>
                <w:color w:val="000000"/>
                <w:kern w:val="0"/>
                <w:sz w:val="24"/>
              </w:rPr>
            </w:pPr>
            <w:r w:rsidRPr="00C32AC2">
              <w:rPr>
                <w:rFonts w:ascii="宋体" w:eastAsia="宋体" w:hAnsi="宋体" w:cs="楷体_GB2312" w:hint="eastAsia"/>
                <w:color w:val="000000"/>
                <w:kern w:val="0"/>
                <w:sz w:val="24"/>
              </w:rPr>
              <w:t>及格</w:t>
            </w:r>
          </w:p>
        </w:tc>
        <w:tc>
          <w:tcPr>
            <w:tcW w:w="1534" w:type="dxa"/>
            <w:vAlign w:val="center"/>
          </w:tcPr>
          <w:p w14:paraId="7ECE12A3" w14:textId="77777777" w:rsidR="00C32AC2" w:rsidRPr="00C32AC2" w:rsidRDefault="00C32AC2" w:rsidP="00C32AC2">
            <w:pPr>
              <w:autoSpaceDE w:val="0"/>
              <w:autoSpaceDN w:val="0"/>
              <w:adjustRightInd w:val="0"/>
              <w:snapToGrid w:val="0"/>
              <w:spacing w:line="500" w:lineRule="exact"/>
              <w:rPr>
                <w:rFonts w:ascii="宋体" w:eastAsia="宋体" w:hAnsi="Calibri" w:cs="楷体_GB2312"/>
                <w:color w:val="000000"/>
                <w:kern w:val="0"/>
                <w:sz w:val="24"/>
              </w:rPr>
            </w:pPr>
            <w:r w:rsidRPr="00C32AC2">
              <w:rPr>
                <w:rFonts w:ascii="宋体" w:eastAsia="宋体" w:hAnsi="宋体" w:cs="楷体_GB2312" w:hint="eastAsia"/>
                <w:color w:val="000000"/>
                <w:kern w:val="0"/>
                <w:sz w:val="24"/>
              </w:rPr>
              <w:t>不及格</w:t>
            </w:r>
          </w:p>
        </w:tc>
      </w:tr>
      <w:tr w:rsidR="00C32AC2" w:rsidRPr="00C32AC2" w14:paraId="77FF4E54" w14:textId="77777777" w:rsidTr="00375FAF">
        <w:trPr>
          <w:trHeight w:val="421"/>
          <w:jc w:val="center"/>
        </w:trPr>
        <w:tc>
          <w:tcPr>
            <w:tcW w:w="1974" w:type="dxa"/>
            <w:vAlign w:val="center"/>
          </w:tcPr>
          <w:p w14:paraId="24EE6D28" w14:textId="77777777" w:rsidR="00C32AC2" w:rsidRPr="00C32AC2" w:rsidRDefault="00C32AC2" w:rsidP="00C32AC2">
            <w:pPr>
              <w:rPr>
                <w:rFonts w:ascii="宋体" w:eastAsia="宋体" w:hAnsi="Calibri" w:cs="楷体_GB2312"/>
                <w:kern w:val="0"/>
                <w:sz w:val="24"/>
              </w:rPr>
            </w:pPr>
            <w:r w:rsidRPr="00C32AC2">
              <w:rPr>
                <w:rFonts w:ascii="宋体" w:eastAsia="宋体" w:hAnsi="宋体" w:cs="楷体_GB2312" w:hint="eastAsia"/>
                <w:color w:val="000000"/>
                <w:kern w:val="0"/>
                <w:sz w:val="24"/>
              </w:rPr>
              <w:t>分值范围</w:t>
            </w:r>
          </w:p>
        </w:tc>
        <w:tc>
          <w:tcPr>
            <w:tcW w:w="1539" w:type="dxa"/>
            <w:vAlign w:val="center"/>
          </w:tcPr>
          <w:p w14:paraId="69DE66A7" w14:textId="77777777" w:rsidR="00C32AC2" w:rsidRPr="00C32AC2" w:rsidRDefault="00C32AC2" w:rsidP="00C32AC2">
            <w:pPr>
              <w:rPr>
                <w:rFonts w:ascii="宋体" w:eastAsia="宋体" w:hAnsi="Calibri" w:cs="楷体_GB2312"/>
                <w:kern w:val="0"/>
                <w:sz w:val="24"/>
              </w:rPr>
            </w:pPr>
            <w:r w:rsidRPr="00C32AC2">
              <w:rPr>
                <w:rFonts w:ascii="宋体" w:eastAsia="宋体" w:hAnsi="宋体" w:cs="楷体_GB2312"/>
                <w:kern w:val="0"/>
                <w:sz w:val="24"/>
              </w:rPr>
              <w:t>90-100</w:t>
            </w:r>
          </w:p>
        </w:tc>
        <w:tc>
          <w:tcPr>
            <w:tcW w:w="1561" w:type="dxa"/>
            <w:vAlign w:val="center"/>
          </w:tcPr>
          <w:p w14:paraId="14150DAE" w14:textId="77777777" w:rsidR="00C32AC2" w:rsidRPr="00C32AC2" w:rsidRDefault="00C32AC2" w:rsidP="00C32AC2">
            <w:pPr>
              <w:autoSpaceDE w:val="0"/>
              <w:autoSpaceDN w:val="0"/>
              <w:adjustRightInd w:val="0"/>
              <w:snapToGrid w:val="0"/>
              <w:ind w:firstLineChars="200" w:firstLine="480"/>
              <w:rPr>
                <w:rFonts w:ascii="宋体" w:eastAsia="宋体" w:hAnsi="Calibri" w:cs="楷体_GB2312"/>
                <w:color w:val="000000"/>
                <w:kern w:val="0"/>
                <w:sz w:val="24"/>
              </w:rPr>
            </w:pPr>
            <w:r w:rsidRPr="00C32AC2">
              <w:rPr>
                <w:rFonts w:ascii="宋体" w:eastAsia="宋体" w:hAnsi="宋体" w:cs="楷体_GB2312"/>
                <w:color w:val="000000"/>
                <w:kern w:val="0"/>
                <w:sz w:val="24"/>
              </w:rPr>
              <w:t>80-89</w:t>
            </w:r>
          </w:p>
        </w:tc>
        <w:tc>
          <w:tcPr>
            <w:tcW w:w="1551" w:type="dxa"/>
            <w:vAlign w:val="center"/>
          </w:tcPr>
          <w:p w14:paraId="06BA8D1A" w14:textId="77777777" w:rsidR="00C32AC2" w:rsidRPr="00C32AC2" w:rsidRDefault="00C32AC2" w:rsidP="00C32AC2">
            <w:pPr>
              <w:autoSpaceDE w:val="0"/>
              <w:autoSpaceDN w:val="0"/>
              <w:adjustRightInd w:val="0"/>
              <w:snapToGrid w:val="0"/>
              <w:ind w:firstLineChars="200" w:firstLine="480"/>
              <w:rPr>
                <w:rFonts w:ascii="宋体" w:eastAsia="宋体" w:hAnsi="宋体" w:cs="楷体_GB2312"/>
                <w:color w:val="000000"/>
                <w:kern w:val="0"/>
                <w:sz w:val="24"/>
              </w:rPr>
            </w:pPr>
            <w:r w:rsidRPr="00C32AC2">
              <w:rPr>
                <w:rFonts w:ascii="宋体" w:eastAsia="宋体" w:hAnsi="宋体" w:cs="楷体_GB2312"/>
                <w:color w:val="000000"/>
                <w:kern w:val="0"/>
                <w:sz w:val="24"/>
              </w:rPr>
              <w:t>70-79</w:t>
            </w:r>
          </w:p>
        </w:tc>
        <w:tc>
          <w:tcPr>
            <w:tcW w:w="1531" w:type="dxa"/>
            <w:vAlign w:val="center"/>
          </w:tcPr>
          <w:p w14:paraId="3DC3DD76" w14:textId="77777777" w:rsidR="00C32AC2" w:rsidRPr="00C32AC2" w:rsidRDefault="00C32AC2" w:rsidP="00C32AC2">
            <w:pPr>
              <w:autoSpaceDE w:val="0"/>
              <w:autoSpaceDN w:val="0"/>
              <w:adjustRightInd w:val="0"/>
              <w:snapToGrid w:val="0"/>
              <w:spacing w:line="500" w:lineRule="exact"/>
              <w:rPr>
                <w:rFonts w:ascii="宋体" w:eastAsia="宋体" w:hAnsi="Calibri" w:cs="楷体_GB2312"/>
                <w:color w:val="000000"/>
                <w:kern w:val="0"/>
                <w:sz w:val="24"/>
              </w:rPr>
            </w:pPr>
            <w:r w:rsidRPr="00C32AC2">
              <w:rPr>
                <w:rFonts w:ascii="宋体" w:eastAsia="宋体" w:hAnsi="宋体" w:cs="楷体_GB2312"/>
                <w:color w:val="000000"/>
                <w:kern w:val="0"/>
                <w:sz w:val="24"/>
              </w:rPr>
              <w:t>60-69</w:t>
            </w:r>
          </w:p>
        </w:tc>
        <w:tc>
          <w:tcPr>
            <w:tcW w:w="1534" w:type="dxa"/>
            <w:vAlign w:val="center"/>
          </w:tcPr>
          <w:p w14:paraId="1E13C87E" w14:textId="77777777" w:rsidR="00C32AC2" w:rsidRPr="00C32AC2" w:rsidRDefault="00C32AC2" w:rsidP="00C32AC2">
            <w:pPr>
              <w:autoSpaceDE w:val="0"/>
              <w:autoSpaceDN w:val="0"/>
              <w:adjustRightInd w:val="0"/>
              <w:snapToGrid w:val="0"/>
              <w:spacing w:line="500" w:lineRule="exact"/>
              <w:rPr>
                <w:rFonts w:ascii="宋体" w:eastAsia="宋体" w:hAnsi="Calibri" w:cs="楷体_GB2312"/>
                <w:color w:val="000000"/>
                <w:kern w:val="0"/>
                <w:sz w:val="24"/>
              </w:rPr>
            </w:pPr>
            <w:r w:rsidRPr="00C32AC2">
              <w:rPr>
                <w:rFonts w:ascii="宋体" w:eastAsia="宋体" w:hAnsi="宋体" w:cs="楷体_GB2312"/>
                <w:color w:val="000000"/>
                <w:kern w:val="0"/>
                <w:sz w:val="24"/>
              </w:rPr>
              <w:t>60</w:t>
            </w:r>
            <w:r w:rsidRPr="00C32AC2">
              <w:rPr>
                <w:rFonts w:ascii="宋体" w:eastAsia="宋体" w:hAnsi="宋体" w:cs="楷体_GB2312" w:hint="eastAsia"/>
                <w:color w:val="000000"/>
                <w:kern w:val="0"/>
                <w:sz w:val="24"/>
              </w:rPr>
              <w:t>以下</w:t>
            </w:r>
          </w:p>
        </w:tc>
      </w:tr>
      <w:tr w:rsidR="00C32AC2" w:rsidRPr="00C32AC2" w14:paraId="70AC2FAE" w14:textId="77777777" w:rsidTr="00375FAF">
        <w:trPr>
          <w:jc w:val="center"/>
        </w:trPr>
        <w:tc>
          <w:tcPr>
            <w:tcW w:w="1974" w:type="dxa"/>
            <w:vAlign w:val="center"/>
          </w:tcPr>
          <w:p w14:paraId="186CF470" w14:textId="77777777" w:rsidR="00C32AC2" w:rsidRPr="00C32AC2" w:rsidRDefault="00C32AC2" w:rsidP="00C32AC2">
            <w:pPr>
              <w:autoSpaceDE w:val="0"/>
              <w:autoSpaceDN w:val="0"/>
              <w:adjustRightInd w:val="0"/>
              <w:snapToGrid w:val="0"/>
              <w:spacing w:line="500" w:lineRule="exact"/>
              <w:rPr>
                <w:rFonts w:ascii="Calibri" w:eastAsia="宋体" w:hAnsi="Calibri" w:cs="Times New Roman"/>
                <w:kern w:val="0"/>
                <w:sz w:val="20"/>
              </w:rPr>
            </w:pPr>
            <w:r w:rsidRPr="00C32AC2">
              <w:rPr>
                <w:rFonts w:ascii="宋体" w:eastAsia="宋体" w:hAnsi="宋体" w:cs="楷体_GB2312" w:hint="eastAsia"/>
                <w:color w:val="000000"/>
                <w:kern w:val="0"/>
                <w:sz w:val="24"/>
              </w:rPr>
              <w:t>标准</w:t>
            </w:r>
          </w:p>
        </w:tc>
        <w:tc>
          <w:tcPr>
            <w:tcW w:w="1539" w:type="dxa"/>
            <w:vAlign w:val="center"/>
          </w:tcPr>
          <w:p w14:paraId="26EA3359"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一、奔跑与运球结合自如；</w:t>
            </w:r>
          </w:p>
          <w:p w14:paraId="01C09BD4"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二、运球急停急起节奏感好，每点上运球至少三次后，起动有爆发力，运球稳定有力；</w:t>
            </w:r>
          </w:p>
          <w:p w14:paraId="5526B3DC"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三、无违例，无违反考试规则。</w:t>
            </w:r>
          </w:p>
          <w:p w14:paraId="48CEE055"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p>
        </w:tc>
        <w:tc>
          <w:tcPr>
            <w:tcW w:w="1561" w:type="dxa"/>
            <w:vAlign w:val="center"/>
          </w:tcPr>
          <w:p w14:paraId="4380EC74"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一、奔跑与运球结合较好，能较为流畅完成考试项目；</w:t>
            </w:r>
          </w:p>
          <w:p w14:paraId="43FBF43C"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二、运球急停急起有一定节奏感，每点上运球至少三次后再起动，运球较稳定；</w:t>
            </w:r>
          </w:p>
          <w:p w14:paraId="33D57053"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三、未见明显违例。</w:t>
            </w:r>
          </w:p>
          <w:p w14:paraId="1E42E16B" w14:textId="77777777" w:rsidR="00C32AC2" w:rsidRPr="00C32AC2" w:rsidRDefault="00C32AC2" w:rsidP="00C32AC2">
            <w:pPr>
              <w:autoSpaceDE w:val="0"/>
              <w:autoSpaceDN w:val="0"/>
              <w:adjustRightInd w:val="0"/>
              <w:snapToGrid w:val="0"/>
              <w:ind w:firstLineChars="150" w:firstLine="300"/>
              <w:rPr>
                <w:rFonts w:ascii="Calibri" w:eastAsia="宋体" w:hAnsi="Calibri" w:cs="Times New Roman"/>
                <w:kern w:val="0"/>
                <w:sz w:val="20"/>
              </w:rPr>
            </w:pPr>
          </w:p>
        </w:tc>
        <w:tc>
          <w:tcPr>
            <w:tcW w:w="1551" w:type="dxa"/>
            <w:vAlign w:val="center"/>
          </w:tcPr>
          <w:p w14:paraId="06CE815E"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一、能够在规定时间内完成考试项目；</w:t>
            </w:r>
          </w:p>
          <w:p w14:paraId="3B45AF2B"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二、运球能够看出有停有起，每点上运球至少三次后再起动；</w:t>
            </w:r>
          </w:p>
          <w:p w14:paraId="7B5DCB0D"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三、计时中，违例纠正后依然能够在规定时间内完成考试项目。</w:t>
            </w:r>
          </w:p>
          <w:p w14:paraId="5843A809" w14:textId="77777777" w:rsidR="00C32AC2" w:rsidRPr="00C32AC2" w:rsidRDefault="00C32AC2" w:rsidP="00C32AC2">
            <w:pPr>
              <w:autoSpaceDE w:val="0"/>
              <w:autoSpaceDN w:val="0"/>
              <w:adjustRightInd w:val="0"/>
              <w:snapToGrid w:val="0"/>
              <w:ind w:firstLineChars="150" w:firstLine="300"/>
              <w:rPr>
                <w:rFonts w:ascii="Calibri" w:eastAsia="宋体" w:hAnsi="Calibri" w:cs="Times New Roman"/>
                <w:kern w:val="0"/>
                <w:sz w:val="20"/>
              </w:rPr>
            </w:pPr>
          </w:p>
        </w:tc>
        <w:tc>
          <w:tcPr>
            <w:tcW w:w="1531" w:type="dxa"/>
            <w:vAlign w:val="center"/>
          </w:tcPr>
          <w:p w14:paraId="369233EB" w14:textId="77777777" w:rsidR="00C32AC2" w:rsidRPr="00C32AC2" w:rsidRDefault="00C32AC2" w:rsidP="00C32AC2">
            <w:pPr>
              <w:autoSpaceDE w:val="0"/>
              <w:autoSpaceDN w:val="0"/>
              <w:adjustRightInd w:val="0"/>
              <w:snapToGrid w:val="0"/>
              <w:ind w:firstLineChars="150" w:firstLine="300"/>
              <w:rPr>
                <w:rFonts w:ascii="Calibri" w:eastAsia="宋体" w:hAnsi="Calibri" w:cs="Times New Roman"/>
                <w:kern w:val="0"/>
                <w:sz w:val="20"/>
              </w:rPr>
            </w:pPr>
            <w:r w:rsidRPr="00C32AC2">
              <w:rPr>
                <w:rFonts w:ascii="Calibri" w:eastAsia="宋体" w:hAnsi="Calibri" w:cs="Times New Roman" w:hint="eastAsia"/>
                <w:kern w:val="0"/>
                <w:sz w:val="20"/>
              </w:rPr>
              <w:t>能够在规定时间内独立完成考试项目。</w:t>
            </w:r>
          </w:p>
        </w:tc>
        <w:tc>
          <w:tcPr>
            <w:tcW w:w="1534" w:type="dxa"/>
            <w:vAlign w:val="center"/>
          </w:tcPr>
          <w:p w14:paraId="21DE7F43" w14:textId="77777777" w:rsidR="00C32AC2" w:rsidRPr="00C32AC2" w:rsidRDefault="00C32AC2" w:rsidP="00C32AC2">
            <w:pPr>
              <w:autoSpaceDE w:val="0"/>
              <w:autoSpaceDN w:val="0"/>
              <w:adjustRightInd w:val="0"/>
              <w:snapToGrid w:val="0"/>
              <w:ind w:firstLineChars="200" w:firstLine="400"/>
              <w:rPr>
                <w:rFonts w:ascii="Calibri" w:eastAsia="宋体" w:hAnsi="Calibri" w:cs="Times New Roman"/>
                <w:kern w:val="0"/>
                <w:sz w:val="20"/>
              </w:rPr>
            </w:pPr>
            <w:r w:rsidRPr="00C32AC2">
              <w:rPr>
                <w:rFonts w:ascii="Calibri" w:eastAsia="宋体" w:hAnsi="Calibri" w:cs="Times New Roman" w:hint="eastAsia"/>
                <w:kern w:val="0"/>
                <w:sz w:val="20"/>
              </w:rPr>
              <w:t>没有在规定时间内完成考试项目；没有掌握行进间运球。</w:t>
            </w:r>
          </w:p>
          <w:p w14:paraId="6FC4EC5A" w14:textId="77777777" w:rsidR="00C32AC2" w:rsidRPr="00C32AC2" w:rsidRDefault="00C32AC2" w:rsidP="00C32AC2">
            <w:pPr>
              <w:autoSpaceDE w:val="0"/>
              <w:autoSpaceDN w:val="0"/>
              <w:adjustRightInd w:val="0"/>
              <w:snapToGrid w:val="0"/>
              <w:spacing w:line="500" w:lineRule="exact"/>
              <w:rPr>
                <w:rFonts w:ascii="Calibri" w:eastAsia="宋体" w:hAnsi="Calibri" w:cs="Times New Roman"/>
                <w:kern w:val="0"/>
                <w:sz w:val="20"/>
              </w:rPr>
            </w:pPr>
          </w:p>
        </w:tc>
      </w:tr>
      <w:tr w:rsidR="00C32AC2" w:rsidRPr="00C32AC2" w14:paraId="3E7DFFB7" w14:textId="77777777" w:rsidTr="00375FAF">
        <w:trPr>
          <w:jc w:val="center"/>
        </w:trPr>
        <w:tc>
          <w:tcPr>
            <w:tcW w:w="1974" w:type="dxa"/>
            <w:vAlign w:val="center"/>
          </w:tcPr>
          <w:p w14:paraId="18AE1123" w14:textId="77777777" w:rsidR="00C32AC2" w:rsidRPr="00C32AC2" w:rsidRDefault="00C32AC2" w:rsidP="00C32AC2">
            <w:pPr>
              <w:autoSpaceDE w:val="0"/>
              <w:autoSpaceDN w:val="0"/>
              <w:adjustRightInd w:val="0"/>
              <w:snapToGrid w:val="0"/>
              <w:spacing w:line="500" w:lineRule="exact"/>
              <w:rPr>
                <w:rFonts w:ascii="宋体" w:eastAsia="宋体" w:hAnsi="宋体" w:cs="楷体_GB2312"/>
                <w:color w:val="000000"/>
                <w:kern w:val="0"/>
                <w:sz w:val="24"/>
              </w:rPr>
            </w:pPr>
            <w:r w:rsidRPr="00C32AC2">
              <w:rPr>
                <w:rFonts w:ascii="宋体" w:eastAsia="宋体" w:hAnsi="宋体" w:cs="楷体_GB2312" w:hint="eastAsia"/>
                <w:color w:val="000000"/>
                <w:kern w:val="0"/>
                <w:sz w:val="24"/>
              </w:rPr>
              <w:t>时间（男；女）</w:t>
            </w:r>
          </w:p>
        </w:tc>
        <w:tc>
          <w:tcPr>
            <w:tcW w:w="1539" w:type="dxa"/>
            <w:vAlign w:val="center"/>
          </w:tcPr>
          <w:p w14:paraId="68D426FB"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9 -13s</w:t>
            </w:r>
            <w:r w:rsidRPr="00C32AC2">
              <w:rPr>
                <w:rFonts w:ascii="Calibri" w:eastAsia="宋体" w:hAnsi="Calibri" w:cs="Times New Roman" w:hint="eastAsia"/>
                <w:kern w:val="0"/>
                <w:sz w:val="20"/>
              </w:rPr>
              <w:t>；</w:t>
            </w:r>
            <w:r w:rsidRPr="00C32AC2">
              <w:rPr>
                <w:rFonts w:ascii="Calibri" w:eastAsia="宋体" w:hAnsi="Calibri" w:cs="Times New Roman" w:hint="eastAsia"/>
                <w:kern w:val="0"/>
                <w:sz w:val="20"/>
              </w:rPr>
              <w:t>11-15s</w:t>
            </w:r>
          </w:p>
        </w:tc>
        <w:tc>
          <w:tcPr>
            <w:tcW w:w="1561" w:type="dxa"/>
            <w:vAlign w:val="center"/>
          </w:tcPr>
          <w:p w14:paraId="2DE85F06"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9 -16s</w:t>
            </w:r>
            <w:r w:rsidRPr="00C32AC2">
              <w:rPr>
                <w:rFonts w:ascii="Calibri" w:eastAsia="宋体" w:hAnsi="Calibri" w:cs="Times New Roman" w:hint="eastAsia"/>
                <w:kern w:val="0"/>
                <w:sz w:val="20"/>
              </w:rPr>
              <w:t>；</w:t>
            </w:r>
            <w:r w:rsidRPr="00C32AC2">
              <w:rPr>
                <w:rFonts w:ascii="Calibri" w:eastAsia="宋体" w:hAnsi="Calibri" w:cs="Times New Roman" w:hint="eastAsia"/>
                <w:kern w:val="0"/>
                <w:sz w:val="20"/>
              </w:rPr>
              <w:t>11-20s</w:t>
            </w:r>
          </w:p>
        </w:tc>
        <w:tc>
          <w:tcPr>
            <w:tcW w:w="1551" w:type="dxa"/>
            <w:vAlign w:val="center"/>
          </w:tcPr>
          <w:p w14:paraId="46923BFA"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9 -16s</w:t>
            </w:r>
            <w:r w:rsidRPr="00C32AC2">
              <w:rPr>
                <w:rFonts w:ascii="Calibri" w:eastAsia="宋体" w:hAnsi="Calibri" w:cs="Times New Roman" w:hint="eastAsia"/>
                <w:kern w:val="0"/>
                <w:sz w:val="20"/>
              </w:rPr>
              <w:t>；</w:t>
            </w:r>
            <w:r w:rsidRPr="00C32AC2">
              <w:rPr>
                <w:rFonts w:ascii="Calibri" w:eastAsia="宋体" w:hAnsi="Calibri" w:cs="Times New Roman" w:hint="eastAsia"/>
                <w:kern w:val="0"/>
                <w:sz w:val="20"/>
              </w:rPr>
              <w:t>11-20s</w:t>
            </w:r>
          </w:p>
        </w:tc>
        <w:tc>
          <w:tcPr>
            <w:tcW w:w="1531" w:type="dxa"/>
            <w:vAlign w:val="center"/>
          </w:tcPr>
          <w:p w14:paraId="7313B4A4"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9 -18s</w:t>
            </w:r>
            <w:r w:rsidRPr="00C32AC2">
              <w:rPr>
                <w:rFonts w:ascii="Calibri" w:eastAsia="宋体" w:hAnsi="Calibri" w:cs="Times New Roman" w:hint="eastAsia"/>
                <w:kern w:val="0"/>
                <w:sz w:val="20"/>
              </w:rPr>
              <w:t>；</w:t>
            </w:r>
            <w:r w:rsidRPr="00C32AC2">
              <w:rPr>
                <w:rFonts w:ascii="Calibri" w:eastAsia="宋体" w:hAnsi="Calibri" w:cs="Times New Roman" w:hint="eastAsia"/>
                <w:kern w:val="0"/>
                <w:sz w:val="20"/>
              </w:rPr>
              <w:t>11-25s</w:t>
            </w:r>
          </w:p>
        </w:tc>
        <w:tc>
          <w:tcPr>
            <w:tcW w:w="1534" w:type="dxa"/>
            <w:vAlign w:val="center"/>
          </w:tcPr>
          <w:p w14:paraId="5605FB14" w14:textId="77777777" w:rsidR="00C32AC2" w:rsidRPr="00C32AC2" w:rsidRDefault="00C32AC2" w:rsidP="00C32AC2">
            <w:pPr>
              <w:autoSpaceDE w:val="0"/>
              <w:autoSpaceDN w:val="0"/>
              <w:adjustRightInd w:val="0"/>
              <w:snapToGrid w:val="0"/>
              <w:ind w:firstLineChars="200" w:firstLine="400"/>
              <w:rPr>
                <w:rFonts w:ascii="Calibri" w:eastAsia="宋体" w:hAnsi="Calibri" w:cs="Times New Roman"/>
                <w:kern w:val="0"/>
                <w:sz w:val="20"/>
              </w:rPr>
            </w:pPr>
            <w:r w:rsidRPr="00C32AC2">
              <w:rPr>
                <w:rFonts w:ascii="Calibri" w:eastAsia="宋体" w:hAnsi="Calibri" w:cs="Times New Roman" w:hint="eastAsia"/>
                <w:kern w:val="0"/>
                <w:sz w:val="20"/>
              </w:rPr>
              <w:t>18+s</w:t>
            </w:r>
            <w:r w:rsidRPr="00C32AC2">
              <w:rPr>
                <w:rFonts w:ascii="Calibri" w:eastAsia="宋体" w:hAnsi="Calibri" w:cs="Times New Roman" w:hint="eastAsia"/>
                <w:kern w:val="0"/>
                <w:sz w:val="20"/>
              </w:rPr>
              <w:t>；</w:t>
            </w:r>
            <w:r w:rsidRPr="00C32AC2">
              <w:rPr>
                <w:rFonts w:ascii="Calibri" w:eastAsia="宋体" w:hAnsi="Calibri" w:cs="Times New Roman" w:hint="eastAsia"/>
                <w:kern w:val="0"/>
                <w:sz w:val="20"/>
              </w:rPr>
              <w:t>25+s</w:t>
            </w:r>
          </w:p>
        </w:tc>
      </w:tr>
    </w:tbl>
    <w:p w14:paraId="02C7D3F8" w14:textId="77777777" w:rsidR="00C32AC2" w:rsidRPr="00C32AC2" w:rsidRDefault="00C32AC2" w:rsidP="00C32AC2">
      <w:pPr>
        <w:tabs>
          <w:tab w:val="center" w:pos="4390"/>
          <w:tab w:val="left" w:pos="6809"/>
        </w:tabs>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C32AC2">
        <w:rPr>
          <w:rFonts w:ascii="Calibri" w:eastAsia="宋体" w:hAnsi="Calibri" w:cs="宋体" w:hint="eastAsia"/>
          <w:b/>
          <w:color w:val="000000"/>
          <w:sz w:val="24"/>
        </w:rPr>
        <w:t>期末考试</w:t>
      </w:r>
    </w:p>
    <w:p w14:paraId="471B8552"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1.课程考核目标：</w:t>
      </w:r>
      <w:r w:rsidRPr="00C32AC2">
        <w:rPr>
          <w:rFonts w:ascii="宋体" w:eastAsia="宋体" w:hAnsi="宋体" w:cs="宋体" w:hint="eastAsia"/>
          <w:sz w:val="24"/>
        </w:rPr>
        <w:t>考核检验运球技术的掌握情况，以及课上听讲课下练习情况。</w:t>
      </w:r>
    </w:p>
    <w:p w14:paraId="05D6656D"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2.课程考试内容：</w:t>
      </w:r>
      <w:r w:rsidRPr="00C32AC2">
        <w:rPr>
          <w:rFonts w:ascii="宋体" w:eastAsia="宋体" w:hAnsi="宋体" w:cs="宋体" w:hint="eastAsia"/>
          <w:sz w:val="24"/>
        </w:rPr>
        <w:t>行进间三步上篮</w:t>
      </w:r>
    </w:p>
    <w:p w14:paraId="0CFDA76B"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3.课程考试方法：</w:t>
      </w:r>
      <w:r w:rsidRPr="00C32AC2">
        <w:rPr>
          <w:rFonts w:ascii="宋体" w:eastAsia="宋体" w:hAnsi="宋体" w:cs="宋体" w:hint="eastAsia"/>
          <w:sz w:val="24"/>
        </w:rPr>
        <w:t xml:space="preserve"> 男子，位于两侧三分线外45°行进间运球左右手上篮各两次,取成绩最好的一次；女子，位于三分线外45°行进间运球高手上篮两次，取成绩最好的一次。</w:t>
      </w:r>
    </w:p>
    <w:p w14:paraId="7A0C7CC6"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4.</w:t>
      </w:r>
      <w:r w:rsidRPr="00C32AC2">
        <w:rPr>
          <w:rFonts w:ascii="宋体" w:eastAsia="宋体" w:hAnsi="宋体" w:cs="宋体" w:hint="eastAsia"/>
          <w:b/>
          <w:bCs/>
          <w:kern w:val="0"/>
          <w:sz w:val="24"/>
        </w:rPr>
        <w:t>成绩构成及分值</w:t>
      </w:r>
      <w:r w:rsidRPr="00C32AC2">
        <w:rPr>
          <w:rFonts w:ascii="宋体" w:eastAsia="宋体" w:hAnsi="宋体" w:cs="宋体" w:hint="eastAsia"/>
          <w:b/>
          <w:bCs/>
          <w:sz w:val="24"/>
        </w:rPr>
        <w:t>：</w:t>
      </w:r>
      <w:r w:rsidRPr="00C32AC2">
        <w:rPr>
          <w:rFonts w:ascii="宋体" w:eastAsia="宋体" w:hAnsi="宋体" w:cs="宋体" w:hint="eastAsia"/>
          <w:sz w:val="24"/>
        </w:rPr>
        <w:t>评定分值为100分，按考核标准要求分为，优（90-100分）、良（80-89分）、一般（70-79分）、及格（60-69分）、不及格（60分以下），共五档；期末考试</w:t>
      </w:r>
      <w:proofErr w:type="gramStart"/>
      <w:r w:rsidRPr="00C32AC2">
        <w:rPr>
          <w:rFonts w:ascii="宋体" w:eastAsia="宋体" w:hAnsi="宋体" w:cs="宋体" w:hint="eastAsia"/>
          <w:sz w:val="24"/>
        </w:rPr>
        <w:t>分值占</w:t>
      </w:r>
      <w:proofErr w:type="gramEnd"/>
      <w:r w:rsidRPr="00C32AC2">
        <w:rPr>
          <w:rFonts w:ascii="宋体" w:eastAsia="宋体" w:hAnsi="宋体" w:cs="宋体" w:hint="eastAsia"/>
          <w:sz w:val="24"/>
        </w:rPr>
        <w:t>总评成绩的70%。</w:t>
      </w:r>
    </w:p>
    <w:p w14:paraId="4C1BAE04"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b/>
          <w:bCs/>
          <w:sz w:val="24"/>
        </w:rPr>
      </w:pPr>
    </w:p>
    <w:p w14:paraId="5CEFB37B" w14:textId="77777777" w:rsidR="00C32AC2" w:rsidRPr="00C32AC2" w:rsidRDefault="00C32AC2" w:rsidP="00C32AC2">
      <w:pPr>
        <w:autoSpaceDE w:val="0"/>
        <w:autoSpaceDN w:val="0"/>
        <w:adjustRightInd w:val="0"/>
        <w:snapToGrid w:val="0"/>
        <w:spacing w:line="500" w:lineRule="exact"/>
        <w:rPr>
          <w:rFonts w:ascii="宋体" w:eastAsia="宋体" w:hAnsi="宋体" w:cs="宋体"/>
          <w:b/>
          <w:bCs/>
          <w:sz w:val="24"/>
        </w:rPr>
      </w:pPr>
    </w:p>
    <w:p w14:paraId="72C56254"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b/>
          <w:bCs/>
          <w:sz w:val="24"/>
        </w:rPr>
      </w:pPr>
      <w:r w:rsidRPr="00C32AC2">
        <w:rPr>
          <w:rFonts w:ascii="宋体" w:eastAsia="宋体" w:hAnsi="宋体" w:cs="宋体" w:hint="eastAsia"/>
          <w:b/>
          <w:bCs/>
          <w:sz w:val="24"/>
        </w:rPr>
        <w:t>5.评分记分原则：</w:t>
      </w:r>
    </w:p>
    <w:tbl>
      <w:tblPr>
        <w:tblW w:w="96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1"/>
        <w:gridCol w:w="1542"/>
        <w:gridCol w:w="1542"/>
        <w:gridCol w:w="1543"/>
        <w:gridCol w:w="1539"/>
        <w:gridCol w:w="1543"/>
      </w:tblGrid>
      <w:tr w:rsidR="00C32AC2" w:rsidRPr="00C32AC2" w14:paraId="416EDC01" w14:textId="77777777" w:rsidTr="00375FAF">
        <w:trPr>
          <w:jc w:val="center"/>
        </w:trPr>
        <w:tc>
          <w:tcPr>
            <w:tcW w:w="1981" w:type="dxa"/>
            <w:vAlign w:val="center"/>
          </w:tcPr>
          <w:p w14:paraId="195A18E5" w14:textId="77777777" w:rsidR="00C32AC2" w:rsidRPr="00C32AC2" w:rsidRDefault="00C32AC2" w:rsidP="00C32AC2">
            <w:pPr>
              <w:autoSpaceDE w:val="0"/>
              <w:autoSpaceDN w:val="0"/>
              <w:adjustRightInd w:val="0"/>
              <w:snapToGrid w:val="0"/>
              <w:spacing w:line="500" w:lineRule="exact"/>
              <w:rPr>
                <w:rFonts w:ascii="宋体" w:eastAsia="宋体" w:hAnsi="宋体" w:cs="楷体_GB2312"/>
                <w:color w:val="000000"/>
                <w:kern w:val="0"/>
                <w:sz w:val="24"/>
              </w:rPr>
            </w:pPr>
            <w:r w:rsidRPr="00C32AC2">
              <w:rPr>
                <w:rFonts w:ascii="宋体" w:eastAsia="宋体" w:hAnsi="宋体" w:cs="楷体_GB2312" w:hint="eastAsia"/>
                <w:color w:val="000000"/>
                <w:kern w:val="0"/>
                <w:sz w:val="24"/>
              </w:rPr>
              <w:t>技术分</w:t>
            </w:r>
          </w:p>
        </w:tc>
        <w:tc>
          <w:tcPr>
            <w:tcW w:w="1542" w:type="dxa"/>
            <w:vAlign w:val="center"/>
          </w:tcPr>
          <w:p w14:paraId="3079BDB8"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A</w:t>
            </w:r>
          </w:p>
        </w:tc>
        <w:tc>
          <w:tcPr>
            <w:tcW w:w="1542" w:type="dxa"/>
            <w:vAlign w:val="center"/>
          </w:tcPr>
          <w:p w14:paraId="496FFBFB"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B</w:t>
            </w:r>
          </w:p>
        </w:tc>
        <w:tc>
          <w:tcPr>
            <w:tcW w:w="1543" w:type="dxa"/>
            <w:vAlign w:val="center"/>
          </w:tcPr>
          <w:p w14:paraId="6822B89A"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C</w:t>
            </w:r>
          </w:p>
        </w:tc>
        <w:tc>
          <w:tcPr>
            <w:tcW w:w="1539" w:type="dxa"/>
            <w:vAlign w:val="center"/>
          </w:tcPr>
          <w:p w14:paraId="1710E5C8"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D</w:t>
            </w:r>
          </w:p>
        </w:tc>
        <w:tc>
          <w:tcPr>
            <w:tcW w:w="1543" w:type="dxa"/>
            <w:vAlign w:val="center"/>
          </w:tcPr>
          <w:p w14:paraId="7E4BEA77"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E</w:t>
            </w:r>
          </w:p>
        </w:tc>
      </w:tr>
      <w:tr w:rsidR="00C32AC2" w:rsidRPr="00C32AC2" w14:paraId="4DBF4ED2" w14:textId="77777777" w:rsidTr="00375FAF">
        <w:trPr>
          <w:jc w:val="center"/>
        </w:trPr>
        <w:tc>
          <w:tcPr>
            <w:tcW w:w="1981" w:type="dxa"/>
            <w:vAlign w:val="center"/>
          </w:tcPr>
          <w:p w14:paraId="54FAE71B" w14:textId="77777777" w:rsidR="00C32AC2" w:rsidRPr="00C32AC2" w:rsidRDefault="00C32AC2" w:rsidP="00C32AC2">
            <w:pPr>
              <w:autoSpaceDE w:val="0"/>
              <w:autoSpaceDN w:val="0"/>
              <w:adjustRightInd w:val="0"/>
              <w:snapToGrid w:val="0"/>
              <w:spacing w:line="500" w:lineRule="exact"/>
              <w:rPr>
                <w:rFonts w:ascii="宋体" w:eastAsia="宋体" w:hAnsi="宋体" w:cs="楷体_GB2312"/>
                <w:color w:val="000000"/>
                <w:kern w:val="0"/>
                <w:sz w:val="24"/>
              </w:rPr>
            </w:pPr>
            <w:r w:rsidRPr="00C32AC2">
              <w:rPr>
                <w:rFonts w:ascii="宋体" w:eastAsia="宋体" w:hAnsi="宋体" w:cs="楷体_GB2312" w:hint="eastAsia"/>
                <w:color w:val="000000"/>
                <w:kern w:val="0"/>
                <w:sz w:val="24"/>
              </w:rPr>
              <w:lastRenderedPageBreak/>
              <w:t>五级制</w:t>
            </w:r>
          </w:p>
        </w:tc>
        <w:tc>
          <w:tcPr>
            <w:tcW w:w="1542" w:type="dxa"/>
            <w:vAlign w:val="center"/>
          </w:tcPr>
          <w:p w14:paraId="3880E15B"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优</w:t>
            </w:r>
          </w:p>
        </w:tc>
        <w:tc>
          <w:tcPr>
            <w:tcW w:w="1542" w:type="dxa"/>
            <w:vAlign w:val="center"/>
          </w:tcPr>
          <w:p w14:paraId="43524523"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良好</w:t>
            </w:r>
          </w:p>
        </w:tc>
        <w:tc>
          <w:tcPr>
            <w:tcW w:w="1543" w:type="dxa"/>
            <w:vAlign w:val="center"/>
          </w:tcPr>
          <w:p w14:paraId="46332AD4"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良</w:t>
            </w:r>
          </w:p>
        </w:tc>
        <w:tc>
          <w:tcPr>
            <w:tcW w:w="1539" w:type="dxa"/>
            <w:vAlign w:val="center"/>
          </w:tcPr>
          <w:p w14:paraId="33FEDC0F"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及格</w:t>
            </w:r>
          </w:p>
        </w:tc>
        <w:tc>
          <w:tcPr>
            <w:tcW w:w="1543" w:type="dxa"/>
            <w:vAlign w:val="center"/>
          </w:tcPr>
          <w:p w14:paraId="534D0B82"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不及格</w:t>
            </w:r>
          </w:p>
        </w:tc>
      </w:tr>
      <w:tr w:rsidR="00C32AC2" w:rsidRPr="00C32AC2" w14:paraId="00CA0931" w14:textId="77777777" w:rsidTr="00375FAF">
        <w:trPr>
          <w:jc w:val="center"/>
        </w:trPr>
        <w:tc>
          <w:tcPr>
            <w:tcW w:w="1981" w:type="dxa"/>
            <w:vAlign w:val="center"/>
          </w:tcPr>
          <w:p w14:paraId="3F3FAAE7" w14:textId="77777777" w:rsidR="00C32AC2" w:rsidRPr="00C32AC2" w:rsidRDefault="00C32AC2" w:rsidP="00C32AC2">
            <w:pPr>
              <w:rPr>
                <w:rFonts w:ascii="宋体" w:eastAsia="宋体" w:hAnsi="宋体" w:cs="楷体_GB2312"/>
                <w:sz w:val="24"/>
              </w:rPr>
            </w:pPr>
            <w:r w:rsidRPr="00C32AC2">
              <w:rPr>
                <w:rFonts w:ascii="宋体" w:eastAsia="宋体" w:hAnsi="宋体" w:cs="楷体_GB2312" w:hint="eastAsia"/>
                <w:color w:val="000000"/>
                <w:kern w:val="0"/>
                <w:sz w:val="24"/>
              </w:rPr>
              <w:t>分值范围</w:t>
            </w:r>
          </w:p>
        </w:tc>
        <w:tc>
          <w:tcPr>
            <w:tcW w:w="1542" w:type="dxa"/>
            <w:vAlign w:val="center"/>
          </w:tcPr>
          <w:p w14:paraId="088C26E1" w14:textId="77777777" w:rsidR="00C32AC2" w:rsidRPr="00C32AC2" w:rsidRDefault="00C32AC2" w:rsidP="00C32AC2">
            <w:pPr>
              <w:ind w:firstLine="497"/>
              <w:rPr>
                <w:rFonts w:ascii="宋体" w:eastAsia="宋体" w:hAnsi="宋体" w:cs="楷体_GB2312"/>
                <w:sz w:val="24"/>
              </w:rPr>
            </w:pPr>
            <w:r w:rsidRPr="00C32AC2">
              <w:rPr>
                <w:rFonts w:ascii="宋体" w:eastAsia="宋体" w:hAnsi="宋体" w:cs="楷体_GB2312" w:hint="eastAsia"/>
                <w:sz w:val="24"/>
              </w:rPr>
              <w:t>90-100</w:t>
            </w:r>
          </w:p>
        </w:tc>
        <w:tc>
          <w:tcPr>
            <w:tcW w:w="1542" w:type="dxa"/>
            <w:vAlign w:val="center"/>
          </w:tcPr>
          <w:p w14:paraId="03BC39BE" w14:textId="77777777" w:rsidR="00C32AC2" w:rsidRPr="00C32AC2" w:rsidRDefault="00C32AC2" w:rsidP="00C32AC2">
            <w:pPr>
              <w:autoSpaceDE w:val="0"/>
              <w:autoSpaceDN w:val="0"/>
              <w:adjustRightInd w:val="0"/>
              <w:snapToGrid w:val="0"/>
              <w:ind w:firstLineChars="200" w:firstLine="480"/>
              <w:rPr>
                <w:rFonts w:ascii="宋体" w:eastAsia="宋体" w:hAnsi="宋体" w:cs="楷体_GB2312"/>
                <w:color w:val="000000"/>
                <w:kern w:val="0"/>
                <w:sz w:val="24"/>
              </w:rPr>
            </w:pPr>
            <w:r w:rsidRPr="00C32AC2">
              <w:rPr>
                <w:rFonts w:ascii="宋体" w:eastAsia="宋体" w:hAnsi="宋体" w:cs="楷体_GB2312" w:hint="eastAsia"/>
                <w:color w:val="000000"/>
                <w:kern w:val="0"/>
                <w:sz w:val="24"/>
              </w:rPr>
              <w:t>80-89</w:t>
            </w:r>
          </w:p>
        </w:tc>
        <w:tc>
          <w:tcPr>
            <w:tcW w:w="1543" w:type="dxa"/>
            <w:vAlign w:val="center"/>
          </w:tcPr>
          <w:p w14:paraId="66FFE3BF"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70-79</w:t>
            </w:r>
          </w:p>
        </w:tc>
        <w:tc>
          <w:tcPr>
            <w:tcW w:w="1539" w:type="dxa"/>
            <w:vAlign w:val="center"/>
          </w:tcPr>
          <w:p w14:paraId="01D0F94C"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60-69</w:t>
            </w:r>
          </w:p>
        </w:tc>
        <w:tc>
          <w:tcPr>
            <w:tcW w:w="1543" w:type="dxa"/>
            <w:vAlign w:val="center"/>
          </w:tcPr>
          <w:p w14:paraId="48F88318"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60以下</w:t>
            </w:r>
          </w:p>
        </w:tc>
      </w:tr>
      <w:tr w:rsidR="00C32AC2" w:rsidRPr="00C32AC2" w14:paraId="6737B12D" w14:textId="77777777" w:rsidTr="00375FAF">
        <w:trPr>
          <w:jc w:val="center"/>
        </w:trPr>
        <w:tc>
          <w:tcPr>
            <w:tcW w:w="1981" w:type="dxa"/>
            <w:vAlign w:val="center"/>
          </w:tcPr>
          <w:p w14:paraId="61CF3C45" w14:textId="77777777" w:rsidR="00C32AC2" w:rsidRPr="00C32AC2" w:rsidRDefault="00C32AC2" w:rsidP="00C32AC2">
            <w:pPr>
              <w:autoSpaceDE w:val="0"/>
              <w:autoSpaceDN w:val="0"/>
              <w:adjustRightInd w:val="0"/>
              <w:snapToGrid w:val="0"/>
              <w:spacing w:line="500" w:lineRule="exact"/>
              <w:rPr>
                <w:rFonts w:ascii="Calibri" w:eastAsia="宋体" w:hAnsi="Calibri" w:cs="Times New Roman"/>
              </w:rPr>
            </w:pPr>
            <w:r w:rsidRPr="00C32AC2">
              <w:rPr>
                <w:rFonts w:ascii="宋体" w:eastAsia="宋体" w:hAnsi="宋体" w:cs="楷体_GB2312" w:hint="eastAsia"/>
                <w:color w:val="000000"/>
                <w:kern w:val="0"/>
                <w:sz w:val="24"/>
              </w:rPr>
              <w:t>标准</w:t>
            </w:r>
          </w:p>
        </w:tc>
        <w:tc>
          <w:tcPr>
            <w:tcW w:w="1542" w:type="dxa"/>
            <w:vAlign w:val="center"/>
          </w:tcPr>
          <w:p w14:paraId="664807FE"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动作姿势规范、技术熟练、方法运用合理、舒展大方、节奏分明、协调流畅、优秀的速度与爆发</w:t>
            </w:r>
          </w:p>
        </w:tc>
        <w:tc>
          <w:tcPr>
            <w:tcW w:w="1542" w:type="dxa"/>
            <w:vAlign w:val="center"/>
          </w:tcPr>
          <w:p w14:paraId="74679A46"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动作姿势较规范、方法运用较合理、技术较熟练、节奏处理较好、动作较流畅、良好的速度与爆发</w:t>
            </w:r>
          </w:p>
        </w:tc>
        <w:tc>
          <w:tcPr>
            <w:tcW w:w="1543" w:type="dxa"/>
            <w:vAlign w:val="center"/>
          </w:tcPr>
          <w:p w14:paraId="45966B10"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动作姿势基本规范、方法运用基本合理、动作流畅性、一般的速度与爆发</w:t>
            </w:r>
          </w:p>
        </w:tc>
        <w:tc>
          <w:tcPr>
            <w:tcW w:w="1539" w:type="dxa"/>
            <w:vAlign w:val="center"/>
          </w:tcPr>
          <w:p w14:paraId="36961390"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顺利完成考试</w:t>
            </w:r>
          </w:p>
        </w:tc>
        <w:tc>
          <w:tcPr>
            <w:tcW w:w="1543" w:type="dxa"/>
            <w:vAlign w:val="center"/>
          </w:tcPr>
          <w:p w14:paraId="3679517B"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没能完整完成考试：没有在时间最低标准内，按照固定的技术动作和行进路线完成考试</w:t>
            </w:r>
          </w:p>
        </w:tc>
      </w:tr>
      <w:tr w:rsidR="00C32AC2" w:rsidRPr="00C32AC2" w14:paraId="39F93DDC" w14:textId="77777777" w:rsidTr="00375FAF">
        <w:trPr>
          <w:jc w:val="center"/>
        </w:trPr>
        <w:tc>
          <w:tcPr>
            <w:tcW w:w="1981" w:type="dxa"/>
            <w:vAlign w:val="center"/>
          </w:tcPr>
          <w:p w14:paraId="5E94EEDA" w14:textId="77777777" w:rsidR="00C32AC2" w:rsidRPr="00C32AC2" w:rsidRDefault="00C32AC2" w:rsidP="00C32AC2">
            <w:pPr>
              <w:autoSpaceDE w:val="0"/>
              <w:autoSpaceDN w:val="0"/>
              <w:adjustRightInd w:val="0"/>
              <w:snapToGrid w:val="0"/>
              <w:spacing w:line="500" w:lineRule="exact"/>
              <w:rPr>
                <w:rFonts w:ascii="宋体" w:eastAsia="宋体" w:hAnsi="宋体" w:cs="楷体_GB2312"/>
                <w:color w:val="000000"/>
                <w:kern w:val="0"/>
                <w:sz w:val="24"/>
              </w:rPr>
            </w:pPr>
            <w:r w:rsidRPr="00C32AC2">
              <w:rPr>
                <w:rFonts w:ascii="宋体" w:eastAsia="宋体" w:hAnsi="宋体" w:cs="楷体_GB2312" w:hint="eastAsia"/>
                <w:color w:val="000000"/>
                <w:kern w:val="0"/>
                <w:sz w:val="24"/>
              </w:rPr>
              <w:t>数目（男；女）</w:t>
            </w:r>
          </w:p>
        </w:tc>
        <w:tc>
          <w:tcPr>
            <w:tcW w:w="1542" w:type="dxa"/>
            <w:vAlign w:val="center"/>
          </w:tcPr>
          <w:p w14:paraId="129C036E"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1-1</w:t>
            </w:r>
            <w:r w:rsidRPr="00C32AC2">
              <w:rPr>
                <w:rFonts w:ascii="Calibri" w:eastAsia="宋体" w:hAnsi="Calibri" w:cs="Times New Roman" w:hint="eastAsia"/>
              </w:rPr>
              <w:t>；</w:t>
            </w:r>
            <w:r w:rsidRPr="00C32AC2">
              <w:rPr>
                <w:rFonts w:ascii="Calibri" w:eastAsia="宋体" w:hAnsi="Calibri" w:cs="Times New Roman" w:hint="eastAsia"/>
              </w:rPr>
              <w:t>1</w:t>
            </w:r>
          </w:p>
        </w:tc>
        <w:tc>
          <w:tcPr>
            <w:tcW w:w="1542" w:type="dxa"/>
            <w:vAlign w:val="center"/>
          </w:tcPr>
          <w:p w14:paraId="063C4B76"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b/>
              </w:rPr>
            </w:pPr>
            <w:r w:rsidRPr="00C32AC2">
              <w:rPr>
                <w:rFonts w:ascii="Calibri" w:eastAsia="宋体" w:hAnsi="Calibri" w:cs="Times New Roman" w:hint="eastAsia"/>
              </w:rPr>
              <w:t>1-1</w:t>
            </w:r>
            <w:r w:rsidRPr="00C32AC2">
              <w:rPr>
                <w:rFonts w:ascii="Calibri" w:eastAsia="宋体" w:hAnsi="Calibri" w:cs="Times New Roman" w:hint="eastAsia"/>
              </w:rPr>
              <w:t>；</w:t>
            </w:r>
            <w:r w:rsidRPr="00C32AC2">
              <w:rPr>
                <w:rFonts w:ascii="Calibri" w:eastAsia="宋体" w:hAnsi="Calibri" w:cs="Times New Roman" w:hint="eastAsia"/>
              </w:rPr>
              <w:t>1</w:t>
            </w:r>
          </w:p>
        </w:tc>
        <w:tc>
          <w:tcPr>
            <w:tcW w:w="1543" w:type="dxa"/>
            <w:vAlign w:val="center"/>
          </w:tcPr>
          <w:p w14:paraId="52279FB2"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1-1</w:t>
            </w:r>
            <w:r w:rsidRPr="00C32AC2">
              <w:rPr>
                <w:rFonts w:ascii="Calibri" w:eastAsia="宋体" w:hAnsi="Calibri" w:cs="Times New Roman" w:hint="eastAsia"/>
              </w:rPr>
              <w:t>；</w:t>
            </w:r>
            <w:r w:rsidRPr="00C32AC2">
              <w:rPr>
                <w:rFonts w:ascii="Calibri" w:eastAsia="宋体" w:hAnsi="Calibri" w:cs="Times New Roman" w:hint="eastAsia"/>
              </w:rPr>
              <w:t>1</w:t>
            </w:r>
          </w:p>
        </w:tc>
        <w:tc>
          <w:tcPr>
            <w:tcW w:w="1539" w:type="dxa"/>
            <w:vAlign w:val="center"/>
          </w:tcPr>
          <w:p w14:paraId="5526417C"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1-1</w:t>
            </w:r>
            <w:r w:rsidRPr="00C32AC2">
              <w:rPr>
                <w:rFonts w:ascii="Calibri" w:eastAsia="宋体" w:hAnsi="Calibri" w:cs="Times New Roman" w:hint="eastAsia"/>
              </w:rPr>
              <w:t>；</w:t>
            </w:r>
            <w:r w:rsidRPr="00C32AC2">
              <w:rPr>
                <w:rFonts w:ascii="Calibri" w:eastAsia="宋体" w:hAnsi="Calibri" w:cs="Times New Roman" w:hint="eastAsia"/>
              </w:rPr>
              <w:t>1</w:t>
            </w:r>
          </w:p>
        </w:tc>
        <w:tc>
          <w:tcPr>
            <w:tcW w:w="1543" w:type="dxa"/>
            <w:vAlign w:val="center"/>
          </w:tcPr>
          <w:p w14:paraId="37AB1960"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1-1</w:t>
            </w:r>
            <w:r w:rsidRPr="00C32AC2">
              <w:rPr>
                <w:rFonts w:ascii="Calibri" w:eastAsia="宋体" w:hAnsi="Calibri" w:cs="Times New Roman" w:hint="eastAsia"/>
              </w:rPr>
              <w:t>；</w:t>
            </w:r>
            <w:r w:rsidRPr="00C32AC2">
              <w:rPr>
                <w:rFonts w:ascii="Calibri" w:eastAsia="宋体" w:hAnsi="Calibri" w:cs="Times New Roman" w:hint="eastAsia"/>
              </w:rPr>
              <w:t>1</w:t>
            </w:r>
          </w:p>
        </w:tc>
      </w:tr>
    </w:tbl>
    <w:p w14:paraId="29C6ED6D"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第三学期</w:t>
      </w:r>
    </w:p>
    <w:p w14:paraId="4F8F3388" w14:textId="77777777" w:rsidR="00C32AC2" w:rsidRPr="00C32AC2" w:rsidRDefault="00C32AC2" w:rsidP="00C32AC2">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C32AC2">
        <w:rPr>
          <w:rFonts w:ascii="Calibri" w:eastAsia="宋体" w:hAnsi="Calibri" w:cs="宋体" w:hint="eastAsia"/>
          <w:b/>
          <w:color w:val="000000"/>
          <w:sz w:val="24"/>
        </w:rPr>
        <w:t>期中考试</w:t>
      </w:r>
    </w:p>
    <w:p w14:paraId="43B8C671" w14:textId="77777777" w:rsidR="00C32AC2" w:rsidRPr="00C32AC2" w:rsidRDefault="00C32AC2" w:rsidP="00C32AC2">
      <w:pPr>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1.课程考核目标：</w:t>
      </w:r>
      <w:r w:rsidRPr="00C32AC2">
        <w:rPr>
          <w:rFonts w:ascii="宋体" w:eastAsia="宋体" w:hAnsi="宋体" w:cs="宋体" w:hint="eastAsia"/>
          <w:sz w:val="24"/>
        </w:rPr>
        <w:t>考核检验运球技术的掌握情况，以及课上听讲课下练习情况。</w:t>
      </w:r>
    </w:p>
    <w:p w14:paraId="22A1B552" w14:textId="77777777" w:rsidR="00C32AC2" w:rsidRPr="00C32AC2" w:rsidRDefault="00C32AC2" w:rsidP="00C32AC2">
      <w:pPr>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2.课程考试内容：</w:t>
      </w:r>
      <w:r w:rsidRPr="00C32AC2">
        <w:rPr>
          <w:rFonts w:ascii="宋体" w:eastAsia="宋体" w:hAnsi="宋体" w:cs="宋体" w:hint="eastAsia"/>
          <w:sz w:val="24"/>
        </w:rPr>
        <w:t>全场之字行运球变向组合运球技术</w:t>
      </w:r>
    </w:p>
    <w:p w14:paraId="30B5BD38" w14:textId="77777777" w:rsidR="00C32AC2" w:rsidRPr="00C32AC2" w:rsidRDefault="00C32AC2" w:rsidP="00C32AC2">
      <w:pPr>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3.课程考试方法：</w:t>
      </w:r>
      <w:r w:rsidRPr="00C32AC2">
        <w:rPr>
          <w:rFonts w:ascii="宋体" w:eastAsia="宋体" w:hAnsi="宋体" w:cs="宋体" w:hint="eastAsia"/>
          <w:sz w:val="24"/>
        </w:rPr>
        <w:t>男子：全场运球绕六个标志桶，时间28秒以内完成；女子：全场运球绕六个标志桶，时间35秒以内完成；</w:t>
      </w:r>
    </w:p>
    <w:p w14:paraId="4728CA2F" w14:textId="77777777" w:rsidR="00C32AC2" w:rsidRPr="00C32AC2" w:rsidRDefault="00C32AC2" w:rsidP="00C32AC2">
      <w:pPr>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4.成绩构成及分值：</w:t>
      </w:r>
      <w:r w:rsidRPr="00C32AC2">
        <w:rPr>
          <w:rFonts w:ascii="宋体" w:eastAsia="宋体" w:hAnsi="宋体" w:cs="宋体" w:hint="eastAsia"/>
          <w:sz w:val="24"/>
        </w:rPr>
        <w:t>评定分值为100分，按考核标准要求分为，优（90-100分）、良（80-89分）、一般（70-79分）、及格（60-69分）、不及格（60分以下），共五档；期中考试</w:t>
      </w:r>
      <w:proofErr w:type="gramStart"/>
      <w:r w:rsidRPr="00C32AC2">
        <w:rPr>
          <w:rFonts w:ascii="宋体" w:eastAsia="宋体" w:hAnsi="宋体" w:cs="宋体" w:hint="eastAsia"/>
          <w:sz w:val="24"/>
        </w:rPr>
        <w:t>分值占</w:t>
      </w:r>
      <w:proofErr w:type="gramEnd"/>
      <w:r w:rsidRPr="00C32AC2">
        <w:rPr>
          <w:rFonts w:ascii="宋体" w:eastAsia="宋体" w:hAnsi="宋体" w:cs="宋体" w:hint="eastAsia"/>
          <w:sz w:val="24"/>
        </w:rPr>
        <w:t>总评成绩的20%。</w:t>
      </w:r>
    </w:p>
    <w:p w14:paraId="02E159CD" w14:textId="77777777" w:rsidR="00C32AC2" w:rsidRPr="00C32AC2" w:rsidRDefault="00C32AC2" w:rsidP="00C32AC2">
      <w:pPr>
        <w:spacing w:line="500" w:lineRule="exact"/>
        <w:ind w:firstLineChars="200" w:firstLine="482"/>
        <w:rPr>
          <w:rFonts w:ascii="宋体" w:eastAsia="宋体" w:hAnsi="宋体" w:cs="宋体"/>
          <w:b/>
          <w:bCs/>
          <w:sz w:val="24"/>
        </w:rPr>
      </w:pPr>
      <w:r w:rsidRPr="00C32AC2">
        <w:rPr>
          <w:rFonts w:ascii="宋体" w:eastAsia="宋体" w:hAnsi="宋体" w:cs="宋体" w:hint="eastAsia"/>
          <w:b/>
          <w:bCs/>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542"/>
        <w:gridCol w:w="1542"/>
        <w:gridCol w:w="1543"/>
        <w:gridCol w:w="1539"/>
        <w:gridCol w:w="1543"/>
      </w:tblGrid>
      <w:tr w:rsidR="00C32AC2" w:rsidRPr="00C32AC2" w14:paraId="63EA03B5" w14:textId="77777777" w:rsidTr="00375FAF">
        <w:tc>
          <w:tcPr>
            <w:tcW w:w="813" w:type="dxa"/>
            <w:vAlign w:val="center"/>
          </w:tcPr>
          <w:p w14:paraId="1A3EB018" w14:textId="77777777" w:rsidR="00C32AC2" w:rsidRPr="00C32AC2" w:rsidRDefault="00C32AC2" w:rsidP="00C32AC2">
            <w:pPr>
              <w:autoSpaceDE w:val="0"/>
              <w:autoSpaceDN w:val="0"/>
              <w:adjustRightInd w:val="0"/>
              <w:snapToGrid w:val="0"/>
              <w:spacing w:line="500" w:lineRule="exact"/>
              <w:rPr>
                <w:rFonts w:ascii="宋体" w:eastAsia="宋体" w:hAnsi="宋体" w:cs="楷体_GB2312"/>
                <w:color w:val="000000"/>
                <w:kern w:val="0"/>
                <w:sz w:val="24"/>
              </w:rPr>
            </w:pPr>
            <w:r w:rsidRPr="00C32AC2">
              <w:rPr>
                <w:rFonts w:ascii="宋体" w:eastAsia="宋体" w:hAnsi="宋体" w:cs="楷体_GB2312" w:hint="eastAsia"/>
                <w:color w:val="000000"/>
                <w:kern w:val="0"/>
                <w:sz w:val="24"/>
              </w:rPr>
              <w:t>等级</w:t>
            </w:r>
          </w:p>
        </w:tc>
        <w:tc>
          <w:tcPr>
            <w:tcW w:w="1542" w:type="dxa"/>
            <w:vAlign w:val="center"/>
          </w:tcPr>
          <w:p w14:paraId="71F6390C"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优</w:t>
            </w:r>
          </w:p>
        </w:tc>
        <w:tc>
          <w:tcPr>
            <w:tcW w:w="1542" w:type="dxa"/>
            <w:vAlign w:val="center"/>
          </w:tcPr>
          <w:p w14:paraId="0DF77846"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良</w:t>
            </w:r>
          </w:p>
        </w:tc>
        <w:tc>
          <w:tcPr>
            <w:tcW w:w="1543" w:type="dxa"/>
            <w:vAlign w:val="center"/>
          </w:tcPr>
          <w:p w14:paraId="69CDD318"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一般</w:t>
            </w:r>
          </w:p>
        </w:tc>
        <w:tc>
          <w:tcPr>
            <w:tcW w:w="1539" w:type="dxa"/>
            <w:vAlign w:val="center"/>
          </w:tcPr>
          <w:p w14:paraId="18282C5E"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及格</w:t>
            </w:r>
          </w:p>
        </w:tc>
        <w:tc>
          <w:tcPr>
            <w:tcW w:w="1543" w:type="dxa"/>
            <w:vAlign w:val="center"/>
          </w:tcPr>
          <w:p w14:paraId="583AD429"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不及格</w:t>
            </w:r>
          </w:p>
        </w:tc>
      </w:tr>
      <w:tr w:rsidR="00C32AC2" w:rsidRPr="00C32AC2" w14:paraId="0CC632FB" w14:textId="77777777" w:rsidTr="00375FAF">
        <w:tc>
          <w:tcPr>
            <w:tcW w:w="813" w:type="dxa"/>
            <w:vAlign w:val="center"/>
          </w:tcPr>
          <w:p w14:paraId="239D164A" w14:textId="77777777" w:rsidR="00C32AC2" w:rsidRPr="00C32AC2" w:rsidRDefault="00C32AC2" w:rsidP="00C32AC2">
            <w:pPr>
              <w:rPr>
                <w:rFonts w:ascii="宋体" w:eastAsia="宋体" w:hAnsi="宋体" w:cs="楷体_GB2312"/>
                <w:sz w:val="24"/>
              </w:rPr>
            </w:pPr>
            <w:r w:rsidRPr="00C32AC2">
              <w:rPr>
                <w:rFonts w:ascii="Calibri" w:eastAsia="宋体" w:hAnsi="Calibri" w:cs="Times New Roman" w:hint="eastAsia"/>
              </w:rPr>
              <w:t>分值</w:t>
            </w:r>
          </w:p>
        </w:tc>
        <w:tc>
          <w:tcPr>
            <w:tcW w:w="1542" w:type="dxa"/>
            <w:vAlign w:val="center"/>
          </w:tcPr>
          <w:p w14:paraId="5C6CDF0F" w14:textId="77777777" w:rsidR="00C32AC2" w:rsidRPr="00C32AC2" w:rsidRDefault="00C32AC2" w:rsidP="00C32AC2">
            <w:pPr>
              <w:ind w:firstLine="497"/>
              <w:rPr>
                <w:rFonts w:ascii="宋体" w:eastAsia="宋体" w:hAnsi="宋体" w:cs="楷体_GB2312"/>
                <w:sz w:val="24"/>
              </w:rPr>
            </w:pPr>
            <w:r w:rsidRPr="00C32AC2">
              <w:rPr>
                <w:rFonts w:ascii="宋体" w:eastAsia="宋体" w:hAnsi="宋体" w:cs="楷体_GB2312" w:hint="eastAsia"/>
                <w:sz w:val="24"/>
              </w:rPr>
              <w:t>90-100</w:t>
            </w:r>
          </w:p>
        </w:tc>
        <w:tc>
          <w:tcPr>
            <w:tcW w:w="1542" w:type="dxa"/>
            <w:vAlign w:val="center"/>
          </w:tcPr>
          <w:p w14:paraId="57B63BE8" w14:textId="77777777" w:rsidR="00C32AC2" w:rsidRPr="00C32AC2" w:rsidRDefault="00C32AC2" w:rsidP="00C32AC2">
            <w:pPr>
              <w:autoSpaceDE w:val="0"/>
              <w:autoSpaceDN w:val="0"/>
              <w:adjustRightInd w:val="0"/>
              <w:snapToGrid w:val="0"/>
              <w:ind w:firstLineChars="200" w:firstLine="480"/>
              <w:rPr>
                <w:rFonts w:ascii="宋体" w:eastAsia="宋体" w:hAnsi="宋体" w:cs="楷体_GB2312"/>
                <w:color w:val="000000"/>
                <w:kern w:val="0"/>
                <w:sz w:val="24"/>
              </w:rPr>
            </w:pPr>
            <w:r w:rsidRPr="00C32AC2">
              <w:rPr>
                <w:rFonts w:ascii="宋体" w:eastAsia="宋体" w:hAnsi="宋体" w:cs="楷体_GB2312" w:hint="eastAsia"/>
                <w:color w:val="000000"/>
                <w:kern w:val="0"/>
                <w:sz w:val="24"/>
              </w:rPr>
              <w:t>80-89</w:t>
            </w:r>
          </w:p>
        </w:tc>
        <w:tc>
          <w:tcPr>
            <w:tcW w:w="1543" w:type="dxa"/>
            <w:vAlign w:val="center"/>
          </w:tcPr>
          <w:p w14:paraId="05251DFC"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70-79</w:t>
            </w:r>
          </w:p>
        </w:tc>
        <w:tc>
          <w:tcPr>
            <w:tcW w:w="1539" w:type="dxa"/>
            <w:vAlign w:val="center"/>
          </w:tcPr>
          <w:p w14:paraId="7BFBF2D5"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60-69</w:t>
            </w:r>
          </w:p>
        </w:tc>
        <w:tc>
          <w:tcPr>
            <w:tcW w:w="1543" w:type="dxa"/>
            <w:vAlign w:val="center"/>
          </w:tcPr>
          <w:p w14:paraId="0B9FCE9E"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60以下</w:t>
            </w:r>
          </w:p>
        </w:tc>
      </w:tr>
      <w:tr w:rsidR="00C32AC2" w:rsidRPr="00C32AC2" w14:paraId="23FDD63F" w14:textId="77777777" w:rsidTr="00375FAF">
        <w:tc>
          <w:tcPr>
            <w:tcW w:w="813" w:type="dxa"/>
            <w:vAlign w:val="center"/>
          </w:tcPr>
          <w:p w14:paraId="2A9E87C6" w14:textId="77777777" w:rsidR="00C32AC2" w:rsidRPr="00C32AC2" w:rsidRDefault="00C32AC2" w:rsidP="00C32AC2">
            <w:pPr>
              <w:autoSpaceDE w:val="0"/>
              <w:autoSpaceDN w:val="0"/>
              <w:adjustRightInd w:val="0"/>
              <w:snapToGrid w:val="0"/>
              <w:spacing w:line="500" w:lineRule="exact"/>
              <w:rPr>
                <w:rFonts w:ascii="Calibri" w:eastAsia="宋体" w:hAnsi="Calibri" w:cs="Times New Roman"/>
              </w:rPr>
            </w:pPr>
            <w:r w:rsidRPr="00C32AC2">
              <w:rPr>
                <w:rFonts w:ascii="宋体" w:eastAsia="宋体" w:hAnsi="宋体" w:cs="楷体_GB2312" w:hint="eastAsia"/>
                <w:color w:val="000000"/>
                <w:kern w:val="0"/>
                <w:sz w:val="24"/>
              </w:rPr>
              <w:t>标准</w:t>
            </w:r>
          </w:p>
        </w:tc>
        <w:tc>
          <w:tcPr>
            <w:tcW w:w="1542" w:type="dxa"/>
            <w:vAlign w:val="center"/>
          </w:tcPr>
          <w:p w14:paraId="1ECB8070"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动作姿势规范、技术熟练、方法运用合理、舒展大方、节奏分明、协调流畅、优秀的速度与爆发</w:t>
            </w:r>
          </w:p>
        </w:tc>
        <w:tc>
          <w:tcPr>
            <w:tcW w:w="1542" w:type="dxa"/>
            <w:vAlign w:val="center"/>
          </w:tcPr>
          <w:p w14:paraId="000B036F"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动作姿势较规范、方法运用较合理、技术较熟练、节奏处理较好、动作较流畅、良好的速度与爆发</w:t>
            </w:r>
          </w:p>
        </w:tc>
        <w:tc>
          <w:tcPr>
            <w:tcW w:w="1543" w:type="dxa"/>
            <w:vAlign w:val="center"/>
          </w:tcPr>
          <w:p w14:paraId="418F7C63"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动作姿势基本规范、方法运用基本合理、动作流畅性、一般的速度与爆发</w:t>
            </w:r>
          </w:p>
        </w:tc>
        <w:tc>
          <w:tcPr>
            <w:tcW w:w="1539" w:type="dxa"/>
            <w:vAlign w:val="center"/>
          </w:tcPr>
          <w:p w14:paraId="38A3AB3F"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顺利完成考试</w:t>
            </w:r>
          </w:p>
        </w:tc>
        <w:tc>
          <w:tcPr>
            <w:tcW w:w="1543" w:type="dxa"/>
            <w:vAlign w:val="center"/>
          </w:tcPr>
          <w:p w14:paraId="79ED69B9"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没能完整完成考试：没有在时间最低标准内，按照固定的技术动作和行进路线完成考试</w:t>
            </w:r>
          </w:p>
        </w:tc>
      </w:tr>
    </w:tbl>
    <w:p w14:paraId="5C10E210" w14:textId="77777777" w:rsidR="00C32AC2" w:rsidRPr="00C32AC2" w:rsidRDefault="00C32AC2" w:rsidP="00C32AC2">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C32AC2">
        <w:rPr>
          <w:rFonts w:ascii="Calibri" w:eastAsia="宋体" w:hAnsi="Calibri" w:cs="宋体" w:hint="eastAsia"/>
          <w:b/>
          <w:color w:val="000000"/>
          <w:sz w:val="24"/>
        </w:rPr>
        <w:t>期末考试</w:t>
      </w:r>
    </w:p>
    <w:p w14:paraId="0EBD5BFA" w14:textId="77777777" w:rsidR="00C32AC2" w:rsidRPr="00C32AC2" w:rsidRDefault="00C32AC2" w:rsidP="00C32AC2">
      <w:pPr>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1.课程考核目标：</w:t>
      </w:r>
      <w:r w:rsidRPr="00C32AC2">
        <w:rPr>
          <w:rFonts w:ascii="宋体" w:eastAsia="宋体" w:hAnsi="宋体" w:cs="宋体" w:hint="eastAsia"/>
          <w:sz w:val="24"/>
        </w:rPr>
        <w:t>考核检验运球技术的掌握情况，以及课上听讲课下练习情况。</w:t>
      </w:r>
    </w:p>
    <w:p w14:paraId="117E4955" w14:textId="77777777" w:rsidR="00C32AC2" w:rsidRPr="00C32AC2" w:rsidRDefault="00C32AC2" w:rsidP="00C32AC2">
      <w:pPr>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lastRenderedPageBreak/>
        <w:t>2.课程考试内容：</w:t>
      </w:r>
      <w:r w:rsidRPr="00C32AC2">
        <w:rPr>
          <w:rFonts w:ascii="宋体" w:eastAsia="宋体" w:hAnsi="宋体" w:cs="宋体" w:hint="eastAsia"/>
          <w:sz w:val="24"/>
        </w:rPr>
        <w:t>定点投篮（占总成绩40%计算方法：投中个数评定50%技术评定50%）</w:t>
      </w:r>
    </w:p>
    <w:p w14:paraId="34D00E9B" w14:textId="77777777" w:rsidR="00C32AC2" w:rsidRPr="00C32AC2" w:rsidRDefault="00C32AC2" w:rsidP="00C32AC2">
      <w:pPr>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3.课程考试方法：</w:t>
      </w:r>
      <w:r w:rsidRPr="00C32AC2">
        <w:rPr>
          <w:rFonts w:ascii="宋体" w:eastAsia="宋体" w:hAnsi="宋体" w:cs="宋体" w:hint="eastAsia"/>
          <w:sz w:val="24"/>
        </w:rPr>
        <w:t>在三秒区底线平行于篮筐两点、罚球线、罚球线到底线之间的三秒区</w:t>
      </w:r>
      <w:proofErr w:type="gramStart"/>
      <w:r w:rsidRPr="00C32AC2">
        <w:rPr>
          <w:rFonts w:ascii="宋体" w:eastAsia="宋体" w:hAnsi="宋体" w:cs="宋体" w:hint="eastAsia"/>
          <w:sz w:val="24"/>
        </w:rPr>
        <w:t>两侧肋线两点</w:t>
      </w:r>
      <w:proofErr w:type="gramEnd"/>
      <w:r w:rsidRPr="00C32AC2">
        <w:rPr>
          <w:rFonts w:ascii="宋体" w:eastAsia="宋体" w:hAnsi="宋体" w:cs="宋体" w:hint="eastAsia"/>
          <w:sz w:val="24"/>
        </w:rPr>
        <w:t>，共5点；按顺序从左至右，或从右至左，进行5点投篮，一轮5个投篮，共两轮；男生采用跳投方式，女生采用单手肩上投篮的方式进行考试。</w:t>
      </w:r>
    </w:p>
    <w:p w14:paraId="2CCD2A26" w14:textId="77777777" w:rsidR="00C32AC2" w:rsidRPr="00C32AC2" w:rsidRDefault="00C32AC2" w:rsidP="00C32AC2">
      <w:pPr>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4.成绩构成及分值：</w:t>
      </w:r>
      <w:r w:rsidRPr="00C32AC2">
        <w:rPr>
          <w:rFonts w:ascii="宋体" w:eastAsia="宋体" w:hAnsi="宋体" w:cs="宋体" w:hint="eastAsia"/>
          <w:sz w:val="24"/>
        </w:rPr>
        <w:t>评定分值为100分，按考核标准要求分为，优（90-100分）、良（80-89分）、一般（70-79分）、及格（60-69分）、不及格（60分以下），共五档；期末考试</w:t>
      </w:r>
      <w:proofErr w:type="gramStart"/>
      <w:r w:rsidRPr="00C32AC2">
        <w:rPr>
          <w:rFonts w:ascii="宋体" w:eastAsia="宋体" w:hAnsi="宋体" w:cs="宋体" w:hint="eastAsia"/>
          <w:sz w:val="24"/>
        </w:rPr>
        <w:t>分值占</w:t>
      </w:r>
      <w:proofErr w:type="gramEnd"/>
      <w:r w:rsidRPr="00C32AC2">
        <w:rPr>
          <w:rFonts w:ascii="宋体" w:eastAsia="宋体" w:hAnsi="宋体" w:cs="宋体" w:hint="eastAsia"/>
          <w:sz w:val="24"/>
        </w:rPr>
        <w:t>总评成绩的70%。</w:t>
      </w:r>
    </w:p>
    <w:p w14:paraId="55D6C57A" w14:textId="77777777" w:rsidR="00C32AC2" w:rsidRPr="00C32AC2" w:rsidRDefault="00C32AC2" w:rsidP="00C32AC2">
      <w:pPr>
        <w:spacing w:line="500" w:lineRule="exact"/>
        <w:ind w:firstLineChars="200" w:firstLine="482"/>
        <w:rPr>
          <w:rFonts w:ascii="宋体" w:eastAsia="宋体" w:hAnsi="宋体" w:cs="宋体"/>
          <w:b/>
          <w:bCs/>
          <w:sz w:val="24"/>
        </w:rPr>
      </w:pPr>
      <w:r w:rsidRPr="00C32AC2">
        <w:rPr>
          <w:rFonts w:ascii="宋体" w:eastAsia="宋体" w:hAnsi="宋体" w:cs="宋体" w:hint="eastAsia"/>
          <w:b/>
          <w:bCs/>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542"/>
        <w:gridCol w:w="1543"/>
        <w:gridCol w:w="1544"/>
        <w:gridCol w:w="1543"/>
        <w:gridCol w:w="1537"/>
      </w:tblGrid>
      <w:tr w:rsidR="00C32AC2" w:rsidRPr="00C32AC2" w14:paraId="77D85652" w14:textId="77777777" w:rsidTr="00375FAF">
        <w:tc>
          <w:tcPr>
            <w:tcW w:w="813" w:type="dxa"/>
            <w:vAlign w:val="center"/>
          </w:tcPr>
          <w:p w14:paraId="2B62B2B6" w14:textId="77777777" w:rsidR="00C32AC2" w:rsidRPr="00C32AC2" w:rsidRDefault="00C32AC2" w:rsidP="00C32AC2">
            <w:pPr>
              <w:autoSpaceDE w:val="0"/>
              <w:autoSpaceDN w:val="0"/>
              <w:adjustRightInd w:val="0"/>
              <w:snapToGrid w:val="0"/>
              <w:spacing w:line="500" w:lineRule="exact"/>
              <w:rPr>
                <w:rFonts w:ascii="宋体" w:eastAsia="宋体" w:hAnsi="宋体" w:cs="楷体_GB2312"/>
                <w:color w:val="000000"/>
                <w:kern w:val="0"/>
                <w:sz w:val="24"/>
              </w:rPr>
            </w:pPr>
            <w:r w:rsidRPr="00C32AC2">
              <w:rPr>
                <w:rFonts w:ascii="宋体" w:eastAsia="宋体" w:hAnsi="宋体" w:cs="楷体_GB2312" w:hint="eastAsia"/>
                <w:color w:val="000000"/>
                <w:kern w:val="0"/>
                <w:sz w:val="24"/>
              </w:rPr>
              <w:t>等级</w:t>
            </w:r>
          </w:p>
        </w:tc>
        <w:tc>
          <w:tcPr>
            <w:tcW w:w="1542" w:type="dxa"/>
            <w:vAlign w:val="center"/>
          </w:tcPr>
          <w:p w14:paraId="046EBE59"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优</w:t>
            </w:r>
          </w:p>
        </w:tc>
        <w:tc>
          <w:tcPr>
            <w:tcW w:w="1543" w:type="dxa"/>
            <w:vAlign w:val="center"/>
          </w:tcPr>
          <w:p w14:paraId="278901B9"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良</w:t>
            </w:r>
          </w:p>
        </w:tc>
        <w:tc>
          <w:tcPr>
            <w:tcW w:w="1544" w:type="dxa"/>
            <w:vAlign w:val="center"/>
          </w:tcPr>
          <w:p w14:paraId="4E13E22F"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一般</w:t>
            </w:r>
          </w:p>
        </w:tc>
        <w:tc>
          <w:tcPr>
            <w:tcW w:w="1543" w:type="dxa"/>
            <w:vAlign w:val="center"/>
          </w:tcPr>
          <w:p w14:paraId="6BD905F4"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及格</w:t>
            </w:r>
          </w:p>
        </w:tc>
        <w:tc>
          <w:tcPr>
            <w:tcW w:w="1537" w:type="dxa"/>
            <w:vAlign w:val="center"/>
          </w:tcPr>
          <w:p w14:paraId="7FC65C85"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不及格</w:t>
            </w:r>
          </w:p>
        </w:tc>
      </w:tr>
      <w:tr w:rsidR="00C32AC2" w:rsidRPr="00C32AC2" w14:paraId="5A2BD4AF" w14:textId="77777777" w:rsidTr="00375FAF">
        <w:tc>
          <w:tcPr>
            <w:tcW w:w="813" w:type="dxa"/>
            <w:vAlign w:val="center"/>
          </w:tcPr>
          <w:p w14:paraId="4174794E" w14:textId="77777777" w:rsidR="00C32AC2" w:rsidRPr="00C32AC2" w:rsidRDefault="00C32AC2" w:rsidP="00C32AC2">
            <w:pPr>
              <w:rPr>
                <w:rFonts w:ascii="宋体" w:eastAsia="宋体" w:hAnsi="宋体" w:cs="楷体_GB2312"/>
                <w:sz w:val="24"/>
              </w:rPr>
            </w:pPr>
            <w:r w:rsidRPr="00C32AC2">
              <w:rPr>
                <w:rFonts w:ascii="Calibri" w:eastAsia="宋体" w:hAnsi="Calibri" w:cs="Times New Roman" w:hint="eastAsia"/>
              </w:rPr>
              <w:t>分值</w:t>
            </w:r>
          </w:p>
        </w:tc>
        <w:tc>
          <w:tcPr>
            <w:tcW w:w="1542" w:type="dxa"/>
            <w:vAlign w:val="center"/>
          </w:tcPr>
          <w:p w14:paraId="2C5E865F" w14:textId="77777777" w:rsidR="00C32AC2" w:rsidRPr="00C32AC2" w:rsidRDefault="00C32AC2" w:rsidP="00C32AC2">
            <w:pPr>
              <w:ind w:firstLine="497"/>
              <w:rPr>
                <w:rFonts w:ascii="宋体" w:eastAsia="宋体" w:hAnsi="宋体" w:cs="楷体_GB2312"/>
                <w:sz w:val="24"/>
              </w:rPr>
            </w:pPr>
            <w:r w:rsidRPr="00C32AC2">
              <w:rPr>
                <w:rFonts w:ascii="宋体" w:eastAsia="宋体" w:hAnsi="宋体" w:cs="楷体_GB2312" w:hint="eastAsia"/>
                <w:sz w:val="24"/>
              </w:rPr>
              <w:t>90-100</w:t>
            </w:r>
          </w:p>
        </w:tc>
        <w:tc>
          <w:tcPr>
            <w:tcW w:w="1543" w:type="dxa"/>
            <w:vAlign w:val="center"/>
          </w:tcPr>
          <w:p w14:paraId="4155A69B" w14:textId="77777777" w:rsidR="00C32AC2" w:rsidRPr="00C32AC2" w:rsidRDefault="00C32AC2" w:rsidP="00C32AC2">
            <w:pPr>
              <w:autoSpaceDE w:val="0"/>
              <w:autoSpaceDN w:val="0"/>
              <w:adjustRightInd w:val="0"/>
              <w:snapToGrid w:val="0"/>
              <w:ind w:firstLineChars="200" w:firstLine="480"/>
              <w:rPr>
                <w:rFonts w:ascii="宋体" w:eastAsia="宋体" w:hAnsi="宋体" w:cs="楷体_GB2312"/>
                <w:color w:val="000000"/>
                <w:kern w:val="0"/>
                <w:sz w:val="24"/>
              </w:rPr>
            </w:pPr>
            <w:r w:rsidRPr="00C32AC2">
              <w:rPr>
                <w:rFonts w:ascii="宋体" w:eastAsia="宋体" w:hAnsi="宋体" w:cs="楷体_GB2312" w:hint="eastAsia"/>
                <w:color w:val="000000"/>
                <w:kern w:val="0"/>
                <w:sz w:val="24"/>
              </w:rPr>
              <w:t>80-89</w:t>
            </w:r>
          </w:p>
        </w:tc>
        <w:tc>
          <w:tcPr>
            <w:tcW w:w="1544" w:type="dxa"/>
            <w:vAlign w:val="center"/>
          </w:tcPr>
          <w:p w14:paraId="0DE555B7"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70-79</w:t>
            </w:r>
          </w:p>
        </w:tc>
        <w:tc>
          <w:tcPr>
            <w:tcW w:w="1543" w:type="dxa"/>
            <w:vAlign w:val="center"/>
          </w:tcPr>
          <w:p w14:paraId="3215F2F2"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60-69</w:t>
            </w:r>
          </w:p>
        </w:tc>
        <w:tc>
          <w:tcPr>
            <w:tcW w:w="1537" w:type="dxa"/>
            <w:vAlign w:val="center"/>
          </w:tcPr>
          <w:p w14:paraId="0F1600DD"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60以下</w:t>
            </w:r>
          </w:p>
        </w:tc>
      </w:tr>
      <w:tr w:rsidR="00C32AC2" w:rsidRPr="00C32AC2" w14:paraId="5126E767" w14:textId="77777777" w:rsidTr="00375FAF">
        <w:tc>
          <w:tcPr>
            <w:tcW w:w="813" w:type="dxa"/>
            <w:vAlign w:val="center"/>
          </w:tcPr>
          <w:p w14:paraId="5E8B1277" w14:textId="77777777" w:rsidR="00C32AC2" w:rsidRPr="00C32AC2" w:rsidRDefault="00C32AC2" w:rsidP="00C32AC2">
            <w:pPr>
              <w:autoSpaceDE w:val="0"/>
              <w:autoSpaceDN w:val="0"/>
              <w:adjustRightInd w:val="0"/>
              <w:snapToGrid w:val="0"/>
              <w:spacing w:line="500" w:lineRule="exact"/>
              <w:rPr>
                <w:rFonts w:ascii="Calibri" w:eastAsia="宋体" w:hAnsi="Calibri" w:cs="Times New Roman"/>
              </w:rPr>
            </w:pPr>
            <w:r w:rsidRPr="00C32AC2">
              <w:rPr>
                <w:rFonts w:ascii="宋体" w:eastAsia="宋体" w:hAnsi="宋体" w:cs="楷体_GB2312" w:hint="eastAsia"/>
                <w:color w:val="000000"/>
                <w:kern w:val="0"/>
                <w:sz w:val="24"/>
              </w:rPr>
              <w:t>标准</w:t>
            </w:r>
          </w:p>
        </w:tc>
        <w:tc>
          <w:tcPr>
            <w:tcW w:w="1542" w:type="dxa"/>
            <w:vAlign w:val="center"/>
          </w:tcPr>
          <w:p w14:paraId="185057B8"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动作优美、娴熟，动作自动化程度高，进三至五球</w:t>
            </w:r>
          </w:p>
        </w:tc>
        <w:tc>
          <w:tcPr>
            <w:tcW w:w="1543" w:type="dxa"/>
            <w:vAlign w:val="center"/>
          </w:tcPr>
          <w:p w14:paraId="5D41E451"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动作熟练、规范，符合课上要求，进两至三球。</w:t>
            </w:r>
          </w:p>
        </w:tc>
        <w:tc>
          <w:tcPr>
            <w:tcW w:w="1544" w:type="dxa"/>
            <w:vAlign w:val="center"/>
          </w:tcPr>
          <w:p w14:paraId="43E0D34A"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动作基本符合课上要求，进两球</w:t>
            </w:r>
          </w:p>
        </w:tc>
        <w:tc>
          <w:tcPr>
            <w:tcW w:w="1543" w:type="dxa"/>
            <w:vAlign w:val="center"/>
          </w:tcPr>
          <w:p w14:paraId="23168BE3"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动作基本符合课上要求，只进一球</w:t>
            </w:r>
          </w:p>
        </w:tc>
        <w:tc>
          <w:tcPr>
            <w:tcW w:w="1537" w:type="dxa"/>
            <w:vAlign w:val="center"/>
          </w:tcPr>
          <w:p w14:paraId="33013A50"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没有进球</w:t>
            </w:r>
          </w:p>
        </w:tc>
      </w:tr>
    </w:tbl>
    <w:p w14:paraId="5C883A2D" w14:textId="77777777" w:rsidR="00C32AC2" w:rsidRPr="00C32AC2" w:rsidRDefault="00C32AC2" w:rsidP="00C32AC2">
      <w:pPr>
        <w:spacing w:beforeLines="50" w:before="156" w:afterLines="50" w:after="156" w:line="440" w:lineRule="exact"/>
        <w:ind w:firstLineChars="300" w:firstLine="840"/>
        <w:rPr>
          <w:rFonts w:ascii="黑体" w:eastAsia="黑体" w:hAnsi="黑体" w:cs="Times New Roman"/>
          <w:sz w:val="28"/>
          <w:szCs w:val="28"/>
        </w:rPr>
      </w:pPr>
      <w:r w:rsidRPr="00C32AC2">
        <w:rPr>
          <w:rFonts w:ascii="黑体" w:eastAsia="黑体" w:hAnsi="黑体" w:cs="Times New Roman" w:hint="eastAsia"/>
          <w:sz w:val="28"/>
          <w:szCs w:val="28"/>
        </w:rPr>
        <w:t>第四学期</w:t>
      </w:r>
    </w:p>
    <w:p w14:paraId="712CAF6E" w14:textId="77777777" w:rsidR="00C32AC2" w:rsidRPr="00C32AC2" w:rsidRDefault="00C32AC2" w:rsidP="00C32AC2">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C32AC2">
        <w:rPr>
          <w:rFonts w:ascii="Calibri" w:eastAsia="宋体" w:hAnsi="Calibri" w:cs="宋体" w:hint="eastAsia"/>
          <w:b/>
          <w:color w:val="000000"/>
          <w:sz w:val="24"/>
        </w:rPr>
        <w:t>期中考试</w:t>
      </w:r>
    </w:p>
    <w:p w14:paraId="5A52FC0E"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1.课程考核目标</w:t>
      </w:r>
      <w:r w:rsidRPr="00C32AC2">
        <w:rPr>
          <w:rFonts w:ascii="宋体" w:eastAsia="宋体" w:hAnsi="宋体" w:cs="宋体" w:hint="eastAsia"/>
          <w:sz w:val="24"/>
        </w:rPr>
        <w:t>：考核检验运球技术的掌握情况，以及课上听讲课下练习情况。</w:t>
      </w:r>
    </w:p>
    <w:p w14:paraId="3C9C90E9"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2.课程考试内容：</w:t>
      </w:r>
      <w:r w:rsidRPr="00C32AC2">
        <w:rPr>
          <w:rFonts w:ascii="宋体" w:eastAsia="宋体" w:hAnsi="宋体" w:cs="宋体" w:hint="eastAsia"/>
          <w:sz w:val="24"/>
        </w:rPr>
        <w:t>行进间全场急停急起运球</w:t>
      </w:r>
    </w:p>
    <w:p w14:paraId="5D6FFCBB"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3.课程考试方法：</w:t>
      </w:r>
      <w:r w:rsidRPr="00C32AC2">
        <w:rPr>
          <w:rFonts w:ascii="宋体" w:eastAsia="宋体" w:hAnsi="宋体" w:cs="宋体" w:hint="eastAsia"/>
          <w:sz w:val="24"/>
        </w:rPr>
        <w:t>男子，全场运球左右手急停急起四次，时间18秒内完成；女子，</w:t>
      </w:r>
      <w:proofErr w:type="gramStart"/>
      <w:r w:rsidRPr="00C32AC2">
        <w:rPr>
          <w:rFonts w:ascii="宋体" w:eastAsia="宋体" w:hAnsi="宋体" w:cs="宋体" w:hint="eastAsia"/>
          <w:sz w:val="24"/>
        </w:rPr>
        <w:t>强测单手</w:t>
      </w:r>
      <w:proofErr w:type="gramEnd"/>
      <w:r w:rsidRPr="00C32AC2">
        <w:rPr>
          <w:rFonts w:ascii="宋体" w:eastAsia="宋体" w:hAnsi="宋体" w:cs="宋体" w:hint="eastAsia"/>
          <w:sz w:val="24"/>
        </w:rPr>
        <w:t>运球急停急起四次，时间25秒内完成。</w:t>
      </w:r>
    </w:p>
    <w:p w14:paraId="2C3F73B7"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4.</w:t>
      </w:r>
      <w:r w:rsidRPr="00C32AC2">
        <w:rPr>
          <w:rFonts w:ascii="宋体" w:eastAsia="宋体" w:hAnsi="宋体" w:cs="宋体" w:hint="eastAsia"/>
          <w:b/>
          <w:bCs/>
          <w:kern w:val="0"/>
          <w:sz w:val="24"/>
        </w:rPr>
        <w:t>成绩构成及分值</w:t>
      </w:r>
      <w:r w:rsidRPr="00C32AC2">
        <w:rPr>
          <w:rFonts w:ascii="宋体" w:eastAsia="宋体" w:hAnsi="宋体" w:cs="宋体" w:hint="eastAsia"/>
          <w:b/>
          <w:bCs/>
          <w:sz w:val="24"/>
        </w:rPr>
        <w:t>：</w:t>
      </w:r>
      <w:r w:rsidRPr="00C32AC2">
        <w:rPr>
          <w:rFonts w:ascii="宋体" w:eastAsia="宋体" w:hAnsi="宋体" w:cs="宋体" w:hint="eastAsia"/>
          <w:sz w:val="24"/>
        </w:rPr>
        <w:t>评定分值为100分，按考核标准要求分为，优（90-100分）、良（80-89分）、一般（70-79分）、及格（60-69分）、不及格（60分以下），共五档；期中考试</w:t>
      </w:r>
      <w:proofErr w:type="gramStart"/>
      <w:r w:rsidRPr="00C32AC2">
        <w:rPr>
          <w:rFonts w:ascii="宋体" w:eastAsia="宋体" w:hAnsi="宋体" w:cs="宋体" w:hint="eastAsia"/>
          <w:sz w:val="24"/>
        </w:rPr>
        <w:t>分值占</w:t>
      </w:r>
      <w:proofErr w:type="gramEnd"/>
      <w:r w:rsidRPr="00C32AC2">
        <w:rPr>
          <w:rFonts w:ascii="宋体" w:eastAsia="宋体" w:hAnsi="宋体" w:cs="宋体" w:hint="eastAsia"/>
          <w:sz w:val="24"/>
        </w:rPr>
        <w:t>总评成绩的20%。</w:t>
      </w:r>
    </w:p>
    <w:p w14:paraId="19470EE5"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b/>
          <w:bCs/>
          <w:sz w:val="24"/>
        </w:rPr>
      </w:pPr>
      <w:r w:rsidRPr="00C32AC2">
        <w:rPr>
          <w:rFonts w:ascii="宋体" w:eastAsia="宋体" w:hAnsi="宋体" w:cs="宋体" w:hint="eastAsia"/>
          <w:b/>
          <w:bCs/>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6"/>
        <w:gridCol w:w="1539"/>
        <w:gridCol w:w="1561"/>
        <w:gridCol w:w="1551"/>
        <w:gridCol w:w="1531"/>
        <w:gridCol w:w="1534"/>
      </w:tblGrid>
      <w:tr w:rsidR="00C32AC2" w:rsidRPr="00C32AC2" w14:paraId="4D29C284" w14:textId="77777777" w:rsidTr="00375FAF">
        <w:trPr>
          <w:trHeight w:val="484"/>
        </w:trPr>
        <w:tc>
          <w:tcPr>
            <w:tcW w:w="806" w:type="dxa"/>
            <w:vAlign w:val="center"/>
          </w:tcPr>
          <w:p w14:paraId="561331BE" w14:textId="77777777" w:rsidR="00C32AC2" w:rsidRPr="00C32AC2" w:rsidRDefault="00C32AC2" w:rsidP="00C32AC2">
            <w:pPr>
              <w:autoSpaceDE w:val="0"/>
              <w:autoSpaceDN w:val="0"/>
              <w:adjustRightInd w:val="0"/>
              <w:snapToGrid w:val="0"/>
              <w:spacing w:line="500" w:lineRule="exact"/>
              <w:jc w:val="left"/>
              <w:rPr>
                <w:rFonts w:ascii="宋体" w:eastAsia="宋体" w:hAnsi="Calibri" w:cs="楷体_GB2312"/>
                <w:color w:val="000000"/>
                <w:kern w:val="0"/>
                <w:sz w:val="24"/>
              </w:rPr>
            </w:pPr>
            <w:r w:rsidRPr="00C32AC2">
              <w:rPr>
                <w:rFonts w:ascii="宋体" w:eastAsia="宋体" w:hAnsi="宋体" w:cs="楷体_GB2312" w:hint="eastAsia"/>
                <w:color w:val="000000"/>
                <w:kern w:val="0"/>
                <w:sz w:val="24"/>
              </w:rPr>
              <w:t>等级</w:t>
            </w:r>
          </w:p>
        </w:tc>
        <w:tc>
          <w:tcPr>
            <w:tcW w:w="1539" w:type="dxa"/>
            <w:vAlign w:val="center"/>
          </w:tcPr>
          <w:p w14:paraId="39683BF6" w14:textId="77777777" w:rsidR="00C32AC2" w:rsidRPr="00C32AC2" w:rsidRDefault="00C32AC2" w:rsidP="00C32AC2">
            <w:pPr>
              <w:autoSpaceDE w:val="0"/>
              <w:autoSpaceDN w:val="0"/>
              <w:adjustRightInd w:val="0"/>
              <w:snapToGrid w:val="0"/>
              <w:spacing w:line="500" w:lineRule="exact"/>
              <w:rPr>
                <w:rFonts w:ascii="宋体" w:eastAsia="宋体" w:hAnsi="Calibri" w:cs="楷体_GB2312"/>
                <w:color w:val="000000"/>
                <w:kern w:val="0"/>
                <w:sz w:val="24"/>
              </w:rPr>
            </w:pPr>
            <w:r w:rsidRPr="00C32AC2">
              <w:rPr>
                <w:rFonts w:ascii="宋体" w:eastAsia="宋体" w:hAnsi="宋体" w:cs="楷体_GB2312" w:hint="eastAsia"/>
                <w:color w:val="000000"/>
                <w:kern w:val="0"/>
                <w:sz w:val="24"/>
              </w:rPr>
              <w:t>优</w:t>
            </w:r>
          </w:p>
        </w:tc>
        <w:tc>
          <w:tcPr>
            <w:tcW w:w="1561" w:type="dxa"/>
            <w:vAlign w:val="center"/>
          </w:tcPr>
          <w:p w14:paraId="6ED12275" w14:textId="77777777" w:rsidR="00C32AC2" w:rsidRPr="00C32AC2" w:rsidRDefault="00C32AC2" w:rsidP="00C32AC2">
            <w:pPr>
              <w:autoSpaceDE w:val="0"/>
              <w:autoSpaceDN w:val="0"/>
              <w:adjustRightInd w:val="0"/>
              <w:snapToGrid w:val="0"/>
              <w:spacing w:line="500" w:lineRule="exact"/>
              <w:rPr>
                <w:rFonts w:ascii="宋体" w:eastAsia="宋体" w:hAnsi="Calibri" w:cs="楷体_GB2312"/>
                <w:color w:val="000000"/>
                <w:kern w:val="0"/>
                <w:sz w:val="24"/>
              </w:rPr>
            </w:pPr>
            <w:r w:rsidRPr="00C32AC2">
              <w:rPr>
                <w:rFonts w:ascii="宋体" w:eastAsia="宋体" w:hAnsi="宋体" w:cs="楷体_GB2312" w:hint="eastAsia"/>
                <w:color w:val="000000"/>
                <w:kern w:val="0"/>
                <w:sz w:val="24"/>
              </w:rPr>
              <w:t>良</w:t>
            </w:r>
          </w:p>
        </w:tc>
        <w:tc>
          <w:tcPr>
            <w:tcW w:w="1551" w:type="dxa"/>
            <w:vAlign w:val="center"/>
          </w:tcPr>
          <w:p w14:paraId="6823D764" w14:textId="77777777" w:rsidR="00C32AC2" w:rsidRPr="00C32AC2" w:rsidRDefault="00C32AC2" w:rsidP="00C32AC2">
            <w:pPr>
              <w:autoSpaceDE w:val="0"/>
              <w:autoSpaceDN w:val="0"/>
              <w:adjustRightInd w:val="0"/>
              <w:snapToGrid w:val="0"/>
              <w:spacing w:line="500" w:lineRule="exact"/>
              <w:rPr>
                <w:rFonts w:ascii="宋体" w:eastAsia="宋体" w:hAnsi="Calibri" w:cs="楷体_GB2312"/>
                <w:color w:val="000000"/>
                <w:kern w:val="0"/>
                <w:sz w:val="24"/>
              </w:rPr>
            </w:pPr>
            <w:r w:rsidRPr="00C32AC2">
              <w:rPr>
                <w:rFonts w:ascii="宋体" w:eastAsia="宋体" w:hAnsi="宋体" w:cs="楷体_GB2312" w:hint="eastAsia"/>
                <w:color w:val="000000"/>
                <w:kern w:val="0"/>
                <w:sz w:val="24"/>
              </w:rPr>
              <w:t>一般</w:t>
            </w:r>
          </w:p>
        </w:tc>
        <w:tc>
          <w:tcPr>
            <w:tcW w:w="1531" w:type="dxa"/>
            <w:vAlign w:val="center"/>
          </w:tcPr>
          <w:p w14:paraId="420AFEF4" w14:textId="77777777" w:rsidR="00C32AC2" w:rsidRPr="00C32AC2" w:rsidRDefault="00C32AC2" w:rsidP="00C32AC2">
            <w:pPr>
              <w:autoSpaceDE w:val="0"/>
              <w:autoSpaceDN w:val="0"/>
              <w:adjustRightInd w:val="0"/>
              <w:snapToGrid w:val="0"/>
              <w:spacing w:line="500" w:lineRule="exact"/>
              <w:rPr>
                <w:rFonts w:ascii="宋体" w:eastAsia="宋体" w:hAnsi="Calibri" w:cs="楷体_GB2312"/>
                <w:color w:val="000000"/>
                <w:kern w:val="0"/>
                <w:sz w:val="24"/>
              </w:rPr>
            </w:pPr>
            <w:r w:rsidRPr="00C32AC2">
              <w:rPr>
                <w:rFonts w:ascii="宋体" w:eastAsia="宋体" w:hAnsi="宋体" w:cs="楷体_GB2312" w:hint="eastAsia"/>
                <w:color w:val="000000"/>
                <w:kern w:val="0"/>
                <w:sz w:val="24"/>
              </w:rPr>
              <w:t>及格</w:t>
            </w:r>
          </w:p>
        </w:tc>
        <w:tc>
          <w:tcPr>
            <w:tcW w:w="1534" w:type="dxa"/>
            <w:vAlign w:val="center"/>
          </w:tcPr>
          <w:p w14:paraId="3AE3B87F" w14:textId="77777777" w:rsidR="00C32AC2" w:rsidRPr="00C32AC2" w:rsidRDefault="00C32AC2" w:rsidP="00C32AC2">
            <w:pPr>
              <w:autoSpaceDE w:val="0"/>
              <w:autoSpaceDN w:val="0"/>
              <w:adjustRightInd w:val="0"/>
              <w:snapToGrid w:val="0"/>
              <w:spacing w:line="500" w:lineRule="exact"/>
              <w:rPr>
                <w:rFonts w:ascii="宋体" w:eastAsia="宋体" w:hAnsi="Calibri" w:cs="楷体_GB2312"/>
                <w:color w:val="000000"/>
                <w:kern w:val="0"/>
                <w:sz w:val="24"/>
              </w:rPr>
            </w:pPr>
            <w:r w:rsidRPr="00C32AC2">
              <w:rPr>
                <w:rFonts w:ascii="宋体" w:eastAsia="宋体" w:hAnsi="宋体" w:cs="楷体_GB2312" w:hint="eastAsia"/>
                <w:color w:val="000000"/>
                <w:kern w:val="0"/>
                <w:sz w:val="24"/>
              </w:rPr>
              <w:t>不及格</w:t>
            </w:r>
          </w:p>
        </w:tc>
      </w:tr>
      <w:tr w:rsidR="00C32AC2" w:rsidRPr="00C32AC2" w14:paraId="0954368E" w14:textId="77777777" w:rsidTr="00375FAF">
        <w:trPr>
          <w:trHeight w:val="421"/>
        </w:trPr>
        <w:tc>
          <w:tcPr>
            <w:tcW w:w="806" w:type="dxa"/>
            <w:vAlign w:val="center"/>
          </w:tcPr>
          <w:p w14:paraId="56182EBF" w14:textId="77777777" w:rsidR="00C32AC2" w:rsidRPr="00C32AC2" w:rsidRDefault="00C32AC2" w:rsidP="00C32AC2">
            <w:pPr>
              <w:rPr>
                <w:rFonts w:ascii="宋体" w:eastAsia="宋体" w:hAnsi="Calibri" w:cs="楷体_GB2312"/>
                <w:kern w:val="0"/>
                <w:sz w:val="24"/>
              </w:rPr>
            </w:pPr>
            <w:r w:rsidRPr="00C32AC2">
              <w:rPr>
                <w:rFonts w:ascii="宋体" w:eastAsia="宋体" w:hAnsi="宋体" w:cs="楷体_GB2312" w:hint="eastAsia"/>
                <w:color w:val="000000"/>
                <w:kern w:val="0"/>
                <w:sz w:val="24"/>
              </w:rPr>
              <w:t>分值</w:t>
            </w:r>
          </w:p>
        </w:tc>
        <w:tc>
          <w:tcPr>
            <w:tcW w:w="1539" w:type="dxa"/>
            <w:vAlign w:val="center"/>
          </w:tcPr>
          <w:p w14:paraId="78C64BB2" w14:textId="77777777" w:rsidR="00C32AC2" w:rsidRPr="00C32AC2" w:rsidRDefault="00C32AC2" w:rsidP="00C32AC2">
            <w:pPr>
              <w:rPr>
                <w:rFonts w:ascii="宋体" w:eastAsia="宋体" w:hAnsi="Calibri" w:cs="楷体_GB2312"/>
                <w:kern w:val="0"/>
                <w:sz w:val="24"/>
              </w:rPr>
            </w:pPr>
            <w:r w:rsidRPr="00C32AC2">
              <w:rPr>
                <w:rFonts w:ascii="宋体" w:eastAsia="宋体" w:hAnsi="宋体" w:cs="楷体_GB2312"/>
                <w:kern w:val="0"/>
                <w:sz w:val="24"/>
              </w:rPr>
              <w:t>90-100</w:t>
            </w:r>
          </w:p>
        </w:tc>
        <w:tc>
          <w:tcPr>
            <w:tcW w:w="1561" w:type="dxa"/>
            <w:vAlign w:val="center"/>
          </w:tcPr>
          <w:p w14:paraId="6A52E499" w14:textId="77777777" w:rsidR="00C32AC2" w:rsidRPr="00C32AC2" w:rsidRDefault="00C32AC2" w:rsidP="00C32AC2">
            <w:pPr>
              <w:autoSpaceDE w:val="0"/>
              <w:autoSpaceDN w:val="0"/>
              <w:adjustRightInd w:val="0"/>
              <w:snapToGrid w:val="0"/>
              <w:ind w:firstLineChars="200" w:firstLine="480"/>
              <w:rPr>
                <w:rFonts w:ascii="宋体" w:eastAsia="宋体" w:hAnsi="Calibri" w:cs="楷体_GB2312"/>
                <w:color w:val="000000"/>
                <w:kern w:val="0"/>
                <w:sz w:val="24"/>
              </w:rPr>
            </w:pPr>
            <w:r w:rsidRPr="00C32AC2">
              <w:rPr>
                <w:rFonts w:ascii="宋体" w:eastAsia="宋体" w:hAnsi="宋体" w:cs="楷体_GB2312"/>
                <w:color w:val="000000"/>
                <w:kern w:val="0"/>
                <w:sz w:val="24"/>
              </w:rPr>
              <w:t>80-89</w:t>
            </w:r>
          </w:p>
        </w:tc>
        <w:tc>
          <w:tcPr>
            <w:tcW w:w="1551" w:type="dxa"/>
            <w:vAlign w:val="center"/>
          </w:tcPr>
          <w:p w14:paraId="0918A205" w14:textId="77777777" w:rsidR="00C32AC2" w:rsidRPr="00C32AC2" w:rsidRDefault="00C32AC2" w:rsidP="00C32AC2">
            <w:pPr>
              <w:autoSpaceDE w:val="0"/>
              <w:autoSpaceDN w:val="0"/>
              <w:adjustRightInd w:val="0"/>
              <w:snapToGrid w:val="0"/>
              <w:ind w:firstLineChars="200" w:firstLine="400"/>
              <w:rPr>
                <w:rFonts w:ascii="Calibri" w:eastAsia="宋体" w:hAnsi="Calibri" w:cs="Times New Roman"/>
                <w:kern w:val="0"/>
                <w:sz w:val="20"/>
              </w:rPr>
            </w:pPr>
            <w:r w:rsidRPr="00C32AC2">
              <w:rPr>
                <w:rFonts w:ascii="Calibri" w:eastAsia="宋体" w:hAnsi="Calibri" w:cs="Times New Roman"/>
                <w:kern w:val="0"/>
                <w:sz w:val="20"/>
              </w:rPr>
              <w:t>70-79</w:t>
            </w:r>
          </w:p>
        </w:tc>
        <w:tc>
          <w:tcPr>
            <w:tcW w:w="1531" w:type="dxa"/>
            <w:vAlign w:val="center"/>
          </w:tcPr>
          <w:p w14:paraId="110C4487" w14:textId="77777777" w:rsidR="00C32AC2" w:rsidRPr="00C32AC2" w:rsidRDefault="00C32AC2" w:rsidP="00C32AC2">
            <w:pPr>
              <w:autoSpaceDE w:val="0"/>
              <w:autoSpaceDN w:val="0"/>
              <w:adjustRightInd w:val="0"/>
              <w:snapToGrid w:val="0"/>
              <w:spacing w:line="500" w:lineRule="exact"/>
              <w:rPr>
                <w:rFonts w:ascii="宋体" w:eastAsia="宋体" w:hAnsi="Calibri" w:cs="楷体_GB2312"/>
                <w:color w:val="000000"/>
                <w:kern w:val="0"/>
                <w:sz w:val="24"/>
              </w:rPr>
            </w:pPr>
            <w:r w:rsidRPr="00C32AC2">
              <w:rPr>
                <w:rFonts w:ascii="宋体" w:eastAsia="宋体" w:hAnsi="宋体" w:cs="楷体_GB2312"/>
                <w:color w:val="000000"/>
                <w:kern w:val="0"/>
                <w:sz w:val="24"/>
              </w:rPr>
              <w:t>60-69</w:t>
            </w:r>
          </w:p>
        </w:tc>
        <w:tc>
          <w:tcPr>
            <w:tcW w:w="1534" w:type="dxa"/>
            <w:vAlign w:val="center"/>
          </w:tcPr>
          <w:p w14:paraId="1EADB70D" w14:textId="77777777" w:rsidR="00C32AC2" w:rsidRPr="00C32AC2" w:rsidRDefault="00C32AC2" w:rsidP="00C32AC2">
            <w:pPr>
              <w:autoSpaceDE w:val="0"/>
              <w:autoSpaceDN w:val="0"/>
              <w:adjustRightInd w:val="0"/>
              <w:snapToGrid w:val="0"/>
              <w:spacing w:line="500" w:lineRule="exact"/>
              <w:rPr>
                <w:rFonts w:ascii="宋体" w:eastAsia="宋体" w:hAnsi="Calibri" w:cs="楷体_GB2312"/>
                <w:color w:val="000000"/>
                <w:kern w:val="0"/>
                <w:sz w:val="24"/>
              </w:rPr>
            </w:pPr>
            <w:r w:rsidRPr="00C32AC2">
              <w:rPr>
                <w:rFonts w:ascii="宋体" w:eastAsia="宋体" w:hAnsi="宋体" w:cs="楷体_GB2312"/>
                <w:color w:val="000000"/>
                <w:kern w:val="0"/>
                <w:sz w:val="24"/>
              </w:rPr>
              <w:t>60</w:t>
            </w:r>
            <w:r w:rsidRPr="00C32AC2">
              <w:rPr>
                <w:rFonts w:ascii="宋体" w:eastAsia="宋体" w:hAnsi="宋体" w:cs="楷体_GB2312" w:hint="eastAsia"/>
                <w:color w:val="000000"/>
                <w:kern w:val="0"/>
                <w:sz w:val="24"/>
              </w:rPr>
              <w:t>分以下</w:t>
            </w:r>
          </w:p>
        </w:tc>
      </w:tr>
      <w:tr w:rsidR="00C32AC2" w:rsidRPr="00C32AC2" w14:paraId="40FF0907" w14:textId="77777777" w:rsidTr="00375FAF">
        <w:tc>
          <w:tcPr>
            <w:tcW w:w="806" w:type="dxa"/>
            <w:vAlign w:val="center"/>
          </w:tcPr>
          <w:p w14:paraId="7EBDAE56" w14:textId="77777777" w:rsidR="00C32AC2" w:rsidRPr="00C32AC2" w:rsidRDefault="00C32AC2" w:rsidP="00C32AC2">
            <w:pPr>
              <w:autoSpaceDE w:val="0"/>
              <w:autoSpaceDN w:val="0"/>
              <w:adjustRightInd w:val="0"/>
              <w:snapToGrid w:val="0"/>
              <w:spacing w:line="500" w:lineRule="exact"/>
              <w:rPr>
                <w:rFonts w:ascii="Calibri" w:eastAsia="宋体" w:hAnsi="Calibri" w:cs="Times New Roman"/>
                <w:kern w:val="0"/>
                <w:sz w:val="20"/>
              </w:rPr>
            </w:pPr>
            <w:r w:rsidRPr="00C32AC2">
              <w:rPr>
                <w:rFonts w:ascii="宋体" w:eastAsia="宋体" w:hAnsi="宋体" w:cs="楷体_GB2312" w:hint="eastAsia"/>
                <w:color w:val="000000"/>
                <w:kern w:val="0"/>
                <w:sz w:val="24"/>
              </w:rPr>
              <w:lastRenderedPageBreak/>
              <w:t>标准</w:t>
            </w:r>
          </w:p>
        </w:tc>
        <w:tc>
          <w:tcPr>
            <w:tcW w:w="1539" w:type="dxa"/>
            <w:vAlign w:val="center"/>
          </w:tcPr>
          <w:p w14:paraId="4DD627C1"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一、奔跑与运球结合自如；</w:t>
            </w:r>
          </w:p>
          <w:p w14:paraId="2BC00389"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二、运球急停急起节奏感好，每点上运球至少三次后，起动有爆发力，运球稳定有力；</w:t>
            </w:r>
          </w:p>
          <w:p w14:paraId="0054723E"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三、无违例，无违反考试规则。</w:t>
            </w:r>
          </w:p>
          <w:p w14:paraId="42AF7556"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p>
        </w:tc>
        <w:tc>
          <w:tcPr>
            <w:tcW w:w="1561" w:type="dxa"/>
            <w:vAlign w:val="center"/>
          </w:tcPr>
          <w:p w14:paraId="603542A7"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一、奔跑与运球结合较好，能较为流畅完成考试项目；</w:t>
            </w:r>
          </w:p>
          <w:p w14:paraId="764AE3CC"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二、运球急停急起有一定节奏感，每点上运球至少三次后再起动，运球较稳定；</w:t>
            </w:r>
          </w:p>
          <w:p w14:paraId="3211EEDD"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三、未见明显违例。</w:t>
            </w:r>
          </w:p>
          <w:p w14:paraId="75056189" w14:textId="77777777" w:rsidR="00C32AC2" w:rsidRPr="00C32AC2" w:rsidRDefault="00C32AC2" w:rsidP="00C32AC2">
            <w:pPr>
              <w:autoSpaceDE w:val="0"/>
              <w:autoSpaceDN w:val="0"/>
              <w:adjustRightInd w:val="0"/>
              <w:snapToGrid w:val="0"/>
              <w:ind w:firstLineChars="150" w:firstLine="300"/>
              <w:rPr>
                <w:rFonts w:ascii="Calibri" w:eastAsia="宋体" w:hAnsi="Calibri" w:cs="Times New Roman"/>
                <w:kern w:val="0"/>
                <w:sz w:val="20"/>
              </w:rPr>
            </w:pPr>
          </w:p>
        </w:tc>
        <w:tc>
          <w:tcPr>
            <w:tcW w:w="1551" w:type="dxa"/>
            <w:vAlign w:val="center"/>
          </w:tcPr>
          <w:p w14:paraId="6A7BA905"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一、能够在规定时间内完成考试项目；</w:t>
            </w:r>
          </w:p>
          <w:p w14:paraId="25102685"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二、运球能够看出有停有起，每点上运球至少三次后再起动；</w:t>
            </w:r>
            <w:r w:rsidRPr="00C32AC2">
              <w:rPr>
                <w:rFonts w:ascii="Calibri" w:eastAsia="宋体" w:hAnsi="Calibri" w:cs="Times New Roman"/>
                <w:kern w:val="0"/>
                <w:sz w:val="20"/>
              </w:rPr>
              <w:t xml:space="preserve"> </w:t>
            </w:r>
          </w:p>
          <w:p w14:paraId="77A27FE6" w14:textId="77777777" w:rsidR="00C32AC2" w:rsidRPr="00C32AC2" w:rsidRDefault="00C32AC2" w:rsidP="00C32AC2">
            <w:pPr>
              <w:autoSpaceDE w:val="0"/>
              <w:autoSpaceDN w:val="0"/>
              <w:adjustRightInd w:val="0"/>
              <w:snapToGrid w:val="0"/>
              <w:rPr>
                <w:rFonts w:ascii="Calibri" w:eastAsia="宋体" w:hAnsi="Calibri" w:cs="Times New Roman"/>
                <w:kern w:val="0"/>
                <w:sz w:val="20"/>
              </w:rPr>
            </w:pPr>
            <w:r w:rsidRPr="00C32AC2">
              <w:rPr>
                <w:rFonts w:ascii="Calibri" w:eastAsia="宋体" w:hAnsi="Calibri" w:cs="Times New Roman" w:hint="eastAsia"/>
                <w:kern w:val="0"/>
                <w:sz w:val="20"/>
              </w:rPr>
              <w:t>三、计时中，违例纠正后依然能够在规定时间内完成考试项目。</w:t>
            </w:r>
          </w:p>
          <w:p w14:paraId="3011949D" w14:textId="77777777" w:rsidR="00C32AC2" w:rsidRPr="00C32AC2" w:rsidRDefault="00C32AC2" w:rsidP="00C32AC2">
            <w:pPr>
              <w:autoSpaceDE w:val="0"/>
              <w:autoSpaceDN w:val="0"/>
              <w:adjustRightInd w:val="0"/>
              <w:snapToGrid w:val="0"/>
              <w:ind w:firstLineChars="150" w:firstLine="300"/>
              <w:rPr>
                <w:rFonts w:ascii="Calibri" w:eastAsia="宋体" w:hAnsi="Calibri" w:cs="Times New Roman"/>
                <w:kern w:val="0"/>
                <w:sz w:val="20"/>
              </w:rPr>
            </w:pPr>
          </w:p>
        </w:tc>
        <w:tc>
          <w:tcPr>
            <w:tcW w:w="1531" w:type="dxa"/>
            <w:vAlign w:val="center"/>
          </w:tcPr>
          <w:p w14:paraId="2D7F20D4" w14:textId="77777777" w:rsidR="00C32AC2" w:rsidRPr="00C32AC2" w:rsidRDefault="00C32AC2" w:rsidP="00C32AC2">
            <w:pPr>
              <w:autoSpaceDE w:val="0"/>
              <w:autoSpaceDN w:val="0"/>
              <w:adjustRightInd w:val="0"/>
              <w:snapToGrid w:val="0"/>
              <w:ind w:firstLineChars="150" w:firstLine="300"/>
              <w:rPr>
                <w:rFonts w:ascii="Calibri" w:eastAsia="宋体" w:hAnsi="Calibri" w:cs="Times New Roman"/>
                <w:kern w:val="0"/>
                <w:sz w:val="20"/>
              </w:rPr>
            </w:pPr>
            <w:r w:rsidRPr="00C32AC2">
              <w:rPr>
                <w:rFonts w:ascii="Calibri" w:eastAsia="宋体" w:hAnsi="Calibri" w:cs="Times New Roman" w:hint="eastAsia"/>
                <w:kern w:val="0"/>
                <w:sz w:val="20"/>
              </w:rPr>
              <w:t>能够在规定时间内独立完成考试项目。</w:t>
            </w:r>
          </w:p>
        </w:tc>
        <w:tc>
          <w:tcPr>
            <w:tcW w:w="1534" w:type="dxa"/>
            <w:vAlign w:val="center"/>
          </w:tcPr>
          <w:p w14:paraId="011B3E09" w14:textId="77777777" w:rsidR="00C32AC2" w:rsidRPr="00C32AC2" w:rsidRDefault="00C32AC2" w:rsidP="00C32AC2">
            <w:pPr>
              <w:autoSpaceDE w:val="0"/>
              <w:autoSpaceDN w:val="0"/>
              <w:adjustRightInd w:val="0"/>
              <w:snapToGrid w:val="0"/>
              <w:ind w:firstLineChars="200" w:firstLine="400"/>
              <w:rPr>
                <w:rFonts w:ascii="Calibri" w:eastAsia="宋体" w:hAnsi="Calibri" w:cs="Times New Roman"/>
                <w:kern w:val="0"/>
                <w:sz w:val="20"/>
              </w:rPr>
            </w:pPr>
            <w:r w:rsidRPr="00C32AC2">
              <w:rPr>
                <w:rFonts w:ascii="Calibri" w:eastAsia="宋体" w:hAnsi="Calibri" w:cs="Times New Roman" w:hint="eastAsia"/>
                <w:kern w:val="0"/>
                <w:sz w:val="20"/>
              </w:rPr>
              <w:t>没有在规定时间内完成考试项目；没有掌握行进间运球。</w:t>
            </w:r>
          </w:p>
          <w:p w14:paraId="0D278AA8" w14:textId="77777777" w:rsidR="00C32AC2" w:rsidRPr="00C32AC2" w:rsidRDefault="00C32AC2" w:rsidP="00C32AC2">
            <w:pPr>
              <w:autoSpaceDE w:val="0"/>
              <w:autoSpaceDN w:val="0"/>
              <w:adjustRightInd w:val="0"/>
              <w:snapToGrid w:val="0"/>
              <w:spacing w:line="500" w:lineRule="exact"/>
              <w:rPr>
                <w:rFonts w:ascii="Calibri" w:eastAsia="宋体" w:hAnsi="Calibri" w:cs="Times New Roman"/>
                <w:kern w:val="0"/>
                <w:sz w:val="20"/>
              </w:rPr>
            </w:pPr>
          </w:p>
        </w:tc>
      </w:tr>
    </w:tbl>
    <w:p w14:paraId="130A2727" w14:textId="77777777" w:rsidR="00C32AC2" w:rsidRPr="00C32AC2" w:rsidRDefault="00C32AC2" w:rsidP="00C32AC2">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C32AC2">
        <w:rPr>
          <w:rFonts w:ascii="Calibri" w:eastAsia="宋体" w:hAnsi="Calibri" w:cs="宋体" w:hint="eastAsia"/>
          <w:b/>
          <w:color w:val="000000"/>
          <w:sz w:val="24"/>
        </w:rPr>
        <w:t>期末考试</w:t>
      </w:r>
    </w:p>
    <w:p w14:paraId="078CB79F"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1.课程考核目标：</w:t>
      </w:r>
      <w:r w:rsidRPr="00C32AC2">
        <w:rPr>
          <w:rFonts w:ascii="宋体" w:eastAsia="宋体" w:hAnsi="宋体" w:cs="宋体" w:hint="eastAsia"/>
          <w:sz w:val="24"/>
        </w:rPr>
        <w:t>考核检验运球技术的掌握情况，以及课上听讲课下练习情况。</w:t>
      </w:r>
    </w:p>
    <w:p w14:paraId="3C6D07EF"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2.课程考试内容：</w:t>
      </w:r>
      <w:r w:rsidRPr="00C32AC2">
        <w:rPr>
          <w:rFonts w:ascii="宋体" w:eastAsia="宋体" w:hAnsi="宋体" w:cs="宋体" w:hint="eastAsia"/>
          <w:sz w:val="24"/>
        </w:rPr>
        <w:t>行进间三步上篮</w:t>
      </w:r>
    </w:p>
    <w:p w14:paraId="3DD62601"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3.课程考试方法：</w:t>
      </w:r>
      <w:r w:rsidRPr="00C32AC2">
        <w:rPr>
          <w:rFonts w:ascii="宋体" w:eastAsia="宋体" w:hAnsi="宋体" w:cs="宋体" w:hint="eastAsia"/>
          <w:sz w:val="24"/>
        </w:rPr>
        <w:t xml:space="preserve"> 男子，位于两侧三分线外45°行进间运球左右手上篮各两次,取成绩最好的一次；女子，位于三分线外45°行进间运球高手上篮两次，取成绩最好的一次。</w:t>
      </w:r>
    </w:p>
    <w:p w14:paraId="5B7CC775"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sz w:val="24"/>
        </w:rPr>
      </w:pPr>
      <w:r w:rsidRPr="00C32AC2">
        <w:rPr>
          <w:rFonts w:ascii="宋体" w:eastAsia="宋体" w:hAnsi="宋体" w:cs="宋体" w:hint="eastAsia"/>
          <w:b/>
          <w:bCs/>
          <w:sz w:val="24"/>
        </w:rPr>
        <w:t>4.</w:t>
      </w:r>
      <w:r w:rsidRPr="00C32AC2">
        <w:rPr>
          <w:rFonts w:ascii="宋体" w:eastAsia="宋体" w:hAnsi="宋体" w:cs="宋体" w:hint="eastAsia"/>
          <w:b/>
          <w:bCs/>
          <w:kern w:val="0"/>
          <w:sz w:val="24"/>
        </w:rPr>
        <w:t>成绩构成及分值</w:t>
      </w:r>
      <w:r w:rsidRPr="00C32AC2">
        <w:rPr>
          <w:rFonts w:ascii="宋体" w:eastAsia="宋体" w:hAnsi="宋体" w:cs="宋体" w:hint="eastAsia"/>
          <w:b/>
          <w:bCs/>
          <w:sz w:val="24"/>
        </w:rPr>
        <w:t>：</w:t>
      </w:r>
      <w:r w:rsidRPr="00C32AC2">
        <w:rPr>
          <w:rFonts w:ascii="宋体" w:eastAsia="宋体" w:hAnsi="宋体" w:cs="宋体" w:hint="eastAsia"/>
          <w:sz w:val="24"/>
        </w:rPr>
        <w:t>评定分值为100分，按考核标准要求分为，优（90-100分）、良（80-89分）、一般（70-79分）、及格（60-69分）、不及格（60分以下），共五档；期末考试</w:t>
      </w:r>
      <w:proofErr w:type="gramStart"/>
      <w:r w:rsidRPr="00C32AC2">
        <w:rPr>
          <w:rFonts w:ascii="宋体" w:eastAsia="宋体" w:hAnsi="宋体" w:cs="宋体" w:hint="eastAsia"/>
          <w:sz w:val="24"/>
        </w:rPr>
        <w:t>分值占</w:t>
      </w:r>
      <w:proofErr w:type="gramEnd"/>
      <w:r w:rsidRPr="00C32AC2">
        <w:rPr>
          <w:rFonts w:ascii="宋体" w:eastAsia="宋体" w:hAnsi="宋体" w:cs="宋体" w:hint="eastAsia"/>
          <w:sz w:val="24"/>
        </w:rPr>
        <w:t>总评成绩的70%。</w:t>
      </w:r>
    </w:p>
    <w:p w14:paraId="5CFCBE33" w14:textId="77777777" w:rsidR="00C32AC2" w:rsidRPr="00C32AC2" w:rsidRDefault="00C32AC2" w:rsidP="00C32AC2">
      <w:pPr>
        <w:autoSpaceDE w:val="0"/>
        <w:autoSpaceDN w:val="0"/>
        <w:adjustRightInd w:val="0"/>
        <w:snapToGrid w:val="0"/>
        <w:spacing w:line="500" w:lineRule="exact"/>
        <w:ind w:firstLineChars="200" w:firstLine="482"/>
        <w:rPr>
          <w:rFonts w:ascii="宋体" w:eastAsia="宋体" w:hAnsi="宋体" w:cs="宋体"/>
          <w:b/>
          <w:bCs/>
          <w:sz w:val="24"/>
        </w:rPr>
      </w:pPr>
      <w:r w:rsidRPr="00C32AC2">
        <w:rPr>
          <w:rFonts w:ascii="宋体" w:eastAsia="宋体" w:hAnsi="宋体" w:cs="宋体" w:hint="eastAsia"/>
          <w:b/>
          <w:bCs/>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542"/>
        <w:gridCol w:w="1542"/>
        <w:gridCol w:w="1543"/>
        <w:gridCol w:w="1539"/>
        <w:gridCol w:w="1543"/>
      </w:tblGrid>
      <w:tr w:rsidR="00C32AC2" w:rsidRPr="00C32AC2" w14:paraId="30EF8953" w14:textId="77777777" w:rsidTr="00375FAF">
        <w:tc>
          <w:tcPr>
            <w:tcW w:w="813" w:type="dxa"/>
            <w:vAlign w:val="center"/>
          </w:tcPr>
          <w:p w14:paraId="67199D8A" w14:textId="77777777" w:rsidR="00C32AC2" w:rsidRPr="00C32AC2" w:rsidRDefault="00C32AC2" w:rsidP="00C32AC2">
            <w:pPr>
              <w:autoSpaceDE w:val="0"/>
              <w:autoSpaceDN w:val="0"/>
              <w:adjustRightInd w:val="0"/>
              <w:snapToGrid w:val="0"/>
              <w:spacing w:line="500" w:lineRule="exact"/>
              <w:rPr>
                <w:rFonts w:ascii="宋体" w:eastAsia="宋体" w:hAnsi="宋体" w:cs="楷体_GB2312"/>
                <w:color w:val="000000"/>
                <w:kern w:val="0"/>
                <w:sz w:val="24"/>
              </w:rPr>
            </w:pPr>
            <w:r w:rsidRPr="00C32AC2">
              <w:rPr>
                <w:rFonts w:ascii="宋体" w:eastAsia="宋体" w:hAnsi="宋体" w:cs="楷体_GB2312" w:hint="eastAsia"/>
                <w:color w:val="000000"/>
                <w:kern w:val="0"/>
                <w:sz w:val="24"/>
              </w:rPr>
              <w:t>等级</w:t>
            </w:r>
          </w:p>
        </w:tc>
        <w:tc>
          <w:tcPr>
            <w:tcW w:w="1542" w:type="dxa"/>
            <w:vAlign w:val="center"/>
          </w:tcPr>
          <w:p w14:paraId="5CBDB05E"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优</w:t>
            </w:r>
          </w:p>
        </w:tc>
        <w:tc>
          <w:tcPr>
            <w:tcW w:w="1542" w:type="dxa"/>
            <w:vAlign w:val="center"/>
          </w:tcPr>
          <w:p w14:paraId="7423DBF0"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良</w:t>
            </w:r>
          </w:p>
        </w:tc>
        <w:tc>
          <w:tcPr>
            <w:tcW w:w="1543" w:type="dxa"/>
            <w:vAlign w:val="center"/>
          </w:tcPr>
          <w:p w14:paraId="1EB98591"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一般</w:t>
            </w:r>
          </w:p>
        </w:tc>
        <w:tc>
          <w:tcPr>
            <w:tcW w:w="1539" w:type="dxa"/>
            <w:vAlign w:val="center"/>
          </w:tcPr>
          <w:p w14:paraId="4E45DD6C"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及格</w:t>
            </w:r>
          </w:p>
        </w:tc>
        <w:tc>
          <w:tcPr>
            <w:tcW w:w="1543" w:type="dxa"/>
            <w:vAlign w:val="center"/>
          </w:tcPr>
          <w:p w14:paraId="694C5897"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不及格</w:t>
            </w:r>
          </w:p>
        </w:tc>
      </w:tr>
      <w:tr w:rsidR="00C32AC2" w:rsidRPr="00C32AC2" w14:paraId="30185A28" w14:textId="77777777" w:rsidTr="00375FAF">
        <w:tc>
          <w:tcPr>
            <w:tcW w:w="813" w:type="dxa"/>
            <w:vAlign w:val="center"/>
          </w:tcPr>
          <w:p w14:paraId="70740147" w14:textId="77777777" w:rsidR="00C32AC2" w:rsidRPr="00C32AC2" w:rsidRDefault="00C32AC2" w:rsidP="00C32AC2">
            <w:pPr>
              <w:rPr>
                <w:rFonts w:ascii="宋体" w:eastAsia="宋体" w:hAnsi="宋体" w:cs="楷体_GB2312"/>
                <w:sz w:val="24"/>
              </w:rPr>
            </w:pPr>
            <w:r w:rsidRPr="00C32AC2">
              <w:rPr>
                <w:rFonts w:ascii="Calibri" w:eastAsia="宋体" w:hAnsi="Calibri" w:cs="Times New Roman" w:hint="eastAsia"/>
              </w:rPr>
              <w:t>分值</w:t>
            </w:r>
          </w:p>
        </w:tc>
        <w:tc>
          <w:tcPr>
            <w:tcW w:w="1542" w:type="dxa"/>
            <w:vAlign w:val="center"/>
          </w:tcPr>
          <w:p w14:paraId="2D61EF9D" w14:textId="77777777" w:rsidR="00C32AC2" w:rsidRPr="00C32AC2" w:rsidRDefault="00C32AC2" w:rsidP="00C32AC2">
            <w:pPr>
              <w:ind w:firstLine="497"/>
              <w:rPr>
                <w:rFonts w:ascii="宋体" w:eastAsia="宋体" w:hAnsi="宋体" w:cs="楷体_GB2312"/>
                <w:sz w:val="24"/>
              </w:rPr>
            </w:pPr>
            <w:r w:rsidRPr="00C32AC2">
              <w:rPr>
                <w:rFonts w:ascii="宋体" w:eastAsia="宋体" w:hAnsi="宋体" w:cs="楷体_GB2312" w:hint="eastAsia"/>
                <w:sz w:val="24"/>
              </w:rPr>
              <w:t>90-100</w:t>
            </w:r>
          </w:p>
        </w:tc>
        <w:tc>
          <w:tcPr>
            <w:tcW w:w="1542" w:type="dxa"/>
            <w:vAlign w:val="center"/>
          </w:tcPr>
          <w:p w14:paraId="21322664" w14:textId="77777777" w:rsidR="00C32AC2" w:rsidRPr="00C32AC2" w:rsidRDefault="00C32AC2" w:rsidP="00C32AC2">
            <w:pPr>
              <w:autoSpaceDE w:val="0"/>
              <w:autoSpaceDN w:val="0"/>
              <w:adjustRightInd w:val="0"/>
              <w:snapToGrid w:val="0"/>
              <w:ind w:firstLineChars="200" w:firstLine="480"/>
              <w:rPr>
                <w:rFonts w:ascii="宋体" w:eastAsia="宋体" w:hAnsi="宋体" w:cs="楷体_GB2312"/>
                <w:color w:val="000000"/>
                <w:kern w:val="0"/>
                <w:sz w:val="24"/>
              </w:rPr>
            </w:pPr>
            <w:r w:rsidRPr="00C32AC2">
              <w:rPr>
                <w:rFonts w:ascii="宋体" w:eastAsia="宋体" w:hAnsi="宋体" w:cs="楷体_GB2312" w:hint="eastAsia"/>
                <w:color w:val="000000"/>
                <w:kern w:val="0"/>
                <w:sz w:val="24"/>
              </w:rPr>
              <w:t>80-89</w:t>
            </w:r>
          </w:p>
        </w:tc>
        <w:tc>
          <w:tcPr>
            <w:tcW w:w="1543" w:type="dxa"/>
            <w:vAlign w:val="center"/>
          </w:tcPr>
          <w:p w14:paraId="1BF78154"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70-79</w:t>
            </w:r>
          </w:p>
        </w:tc>
        <w:tc>
          <w:tcPr>
            <w:tcW w:w="1539" w:type="dxa"/>
            <w:vAlign w:val="center"/>
          </w:tcPr>
          <w:p w14:paraId="0129336F"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60-69</w:t>
            </w:r>
          </w:p>
        </w:tc>
        <w:tc>
          <w:tcPr>
            <w:tcW w:w="1543" w:type="dxa"/>
            <w:vAlign w:val="center"/>
          </w:tcPr>
          <w:p w14:paraId="24A6DA7B" w14:textId="77777777" w:rsidR="00C32AC2" w:rsidRPr="00C32AC2" w:rsidRDefault="00C32AC2" w:rsidP="00C32AC2">
            <w:pPr>
              <w:autoSpaceDE w:val="0"/>
              <w:autoSpaceDN w:val="0"/>
              <w:adjustRightInd w:val="0"/>
              <w:snapToGrid w:val="0"/>
              <w:spacing w:line="500" w:lineRule="exact"/>
              <w:ind w:firstLine="497"/>
              <w:rPr>
                <w:rFonts w:ascii="宋体" w:eastAsia="宋体" w:hAnsi="宋体" w:cs="楷体_GB2312"/>
                <w:color w:val="000000"/>
                <w:kern w:val="0"/>
                <w:sz w:val="24"/>
              </w:rPr>
            </w:pPr>
            <w:r w:rsidRPr="00C32AC2">
              <w:rPr>
                <w:rFonts w:ascii="宋体" w:eastAsia="宋体" w:hAnsi="宋体" w:cs="楷体_GB2312" w:hint="eastAsia"/>
                <w:color w:val="000000"/>
                <w:kern w:val="0"/>
                <w:sz w:val="24"/>
              </w:rPr>
              <w:t>60以下</w:t>
            </w:r>
          </w:p>
        </w:tc>
      </w:tr>
      <w:tr w:rsidR="00C32AC2" w:rsidRPr="00C32AC2" w14:paraId="6C623258" w14:textId="77777777" w:rsidTr="00375FAF">
        <w:tc>
          <w:tcPr>
            <w:tcW w:w="813" w:type="dxa"/>
            <w:vAlign w:val="center"/>
          </w:tcPr>
          <w:p w14:paraId="31477BB9" w14:textId="77777777" w:rsidR="00C32AC2" w:rsidRPr="00C32AC2" w:rsidRDefault="00C32AC2" w:rsidP="00C32AC2">
            <w:pPr>
              <w:autoSpaceDE w:val="0"/>
              <w:autoSpaceDN w:val="0"/>
              <w:adjustRightInd w:val="0"/>
              <w:snapToGrid w:val="0"/>
              <w:spacing w:line="500" w:lineRule="exact"/>
              <w:rPr>
                <w:rFonts w:ascii="Calibri" w:eastAsia="宋体" w:hAnsi="Calibri" w:cs="Times New Roman"/>
              </w:rPr>
            </w:pPr>
            <w:r w:rsidRPr="00C32AC2">
              <w:rPr>
                <w:rFonts w:ascii="宋体" w:eastAsia="宋体" w:hAnsi="宋体" w:cs="楷体_GB2312" w:hint="eastAsia"/>
                <w:color w:val="000000"/>
                <w:kern w:val="0"/>
                <w:sz w:val="24"/>
              </w:rPr>
              <w:t>标准</w:t>
            </w:r>
          </w:p>
        </w:tc>
        <w:tc>
          <w:tcPr>
            <w:tcW w:w="1542" w:type="dxa"/>
            <w:vAlign w:val="center"/>
          </w:tcPr>
          <w:p w14:paraId="1E623978"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动作姿势规范、技术熟练、方法运用合理、舒展大方、节奏分明、协调流畅、优秀的速度与爆发</w:t>
            </w:r>
          </w:p>
        </w:tc>
        <w:tc>
          <w:tcPr>
            <w:tcW w:w="1542" w:type="dxa"/>
            <w:vAlign w:val="center"/>
          </w:tcPr>
          <w:p w14:paraId="394376D7"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动作姿势较规范、方法运用较合理、技术较熟练、节奏处理较好、动作较流畅、良好的速度与爆发</w:t>
            </w:r>
          </w:p>
        </w:tc>
        <w:tc>
          <w:tcPr>
            <w:tcW w:w="1543" w:type="dxa"/>
            <w:vAlign w:val="center"/>
          </w:tcPr>
          <w:p w14:paraId="6C32E7D0"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动作姿势基本规范、方法运用基本合理、动作流畅性、一般的速度与爆发</w:t>
            </w:r>
          </w:p>
        </w:tc>
        <w:tc>
          <w:tcPr>
            <w:tcW w:w="1539" w:type="dxa"/>
            <w:vAlign w:val="center"/>
          </w:tcPr>
          <w:p w14:paraId="77F406A7" w14:textId="77777777" w:rsidR="00C32AC2" w:rsidRPr="00C32AC2" w:rsidRDefault="00C32AC2" w:rsidP="00C32AC2">
            <w:pPr>
              <w:autoSpaceDE w:val="0"/>
              <w:autoSpaceDN w:val="0"/>
              <w:adjustRightInd w:val="0"/>
              <w:snapToGrid w:val="0"/>
              <w:ind w:firstLineChars="150" w:firstLine="315"/>
              <w:rPr>
                <w:rFonts w:ascii="Calibri" w:eastAsia="宋体" w:hAnsi="Calibri" w:cs="Times New Roman"/>
              </w:rPr>
            </w:pPr>
            <w:r w:rsidRPr="00C32AC2">
              <w:rPr>
                <w:rFonts w:ascii="Calibri" w:eastAsia="宋体" w:hAnsi="Calibri" w:cs="Times New Roman" w:hint="eastAsia"/>
              </w:rPr>
              <w:t>顺利完成考试</w:t>
            </w:r>
          </w:p>
        </w:tc>
        <w:tc>
          <w:tcPr>
            <w:tcW w:w="1543" w:type="dxa"/>
            <w:vAlign w:val="center"/>
          </w:tcPr>
          <w:p w14:paraId="67B02AAE" w14:textId="77777777" w:rsidR="00C32AC2" w:rsidRPr="00C32AC2" w:rsidRDefault="00C32AC2" w:rsidP="00C32AC2">
            <w:pPr>
              <w:autoSpaceDE w:val="0"/>
              <w:autoSpaceDN w:val="0"/>
              <w:adjustRightInd w:val="0"/>
              <w:snapToGrid w:val="0"/>
              <w:ind w:firstLineChars="200" w:firstLine="420"/>
              <w:rPr>
                <w:rFonts w:ascii="Calibri" w:eastAsia="宋体" w:hAnsi="Calibri" w:cs="Times New Roman"/>
              </w:rPr>
            </w:pPr>
            <w:r w:rsidRPr="00C32AC2">
              <w:rPr>
                <w:rFonts w:ascii="Calibri" w:eastAsia="宋体" w:hAnsi="Calibri" w:cs="Times New Roman" w:hint="eastAsia"/>
              </w:rPr>
              <w:t>没能完整完成考试：没有在时间最低标准内，按照固定的技术动作和行进路线完成考试</w:t>
            </w:r>
          </w:p>
        </w:tc>
      </w:tr>
    </w:tbl>
    <w:p w14:paraId="0E3251B5"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六、使用教材、相关推荐书目及课程资源</w:t>
      </w:r>
    </w:p>
    <w:p w14:paraId="3B754A6C" w14:textId="77777777" w:rsidR="00C32AC2" w:rsidRPr="00C32AC2" w:rsidRDefault="00C32AC2" w:rsidP="00C32AC2">
      <w:pPr>
        <w:spacing w:line="440" w:lineRule="exact"/>
        <w:ind w:firstLineChars="200" w:firstLine="560"/>
        <w:rPr>
          <w:rFonts w:ascii="宋体" w:eastAsia="宋体" w:hAnsi="宋体" w:cs="Times New Roman"/>
          <w:sz w:val="24"/>
        </w:rPr>
      </w:pPr>
      <w:r w:rsidRPr="00C32AC2">
        <w:rPr>
          <w:rFonts w:ascii="黑体" w:eastAsia="黑体" w:hAnsi="黑体" w:cs="Times New Roman" w:hint="eastAsia"/>
          <w:sz w:val="28"/>
          <w:szCs w:val="28"/>
        </w:rPr>
        <w:t>（一）使用教材</w:t>
      </w:r>
    </w:p>
    <w:p w14:paraId="1DB4D785" w14:textId="77777777" w:rsidR="00C32AC2" w:rsidRPr="00C32AC2" w:rsidRDefault="00C32AC2" w:rsidP="00C32AC2">
      <w:pPr>
        <w:autoSpaceDE w:val="0"/>
        <w:autoSpaceDN w:val="0"/>
        <w:adjustRightInd w:val="0"/>
        <w:snapToGrid w:val="0"/>
        <w:spacing w:line="500" w:lineRule="exact"/>
        <w:ind w:firstLineChars="300" w:firstLine="720"/>
        <w:rPr>
          <w:rFonts w:ascii="宋体" w:eastAsia="宋体" w:hAnsi="宋体" w:cs="宋体"/>
          <w:kern w:val="0"/>
          <w:sz w:val="24"/>
        </w:rPr>
      </w:pPr>
      <w:r w:rsidRPr="00C32AC2">
        <w:rPr>
          <w:rFonts w:ascii="宋体" w:eastAsia="宋体" w:hAnsi="宋体" w:cs="宋体" w:hint="eastAsia"/>
          <w:kern w:val="0"/>
          <w:sz w:val="24"/>
        </w:rPr>
        <w:t>任晋军主编：《当代大学体育教程》，北京体育大学出版社，2008</w:t>
      </w:r>
    </w:p>
    <w:p w14:paraId="3DBCCB54" w14:textId="77777777" w:rsidR="00C32AC2" w:rsidRPr="00C32AC2" w:rsidRDefault="00C32AC2" w:rsidP="00C32AC2">
      <w:pPr>
        <w:spacing w:line="440" w:lineRule="exact"/>
        <w:ind w:firstLineChars="200" w:firstLine="560"/>
        <w:rPr>
          <w:rFonts w:ascii="宋体" w:eastAsia="宋体" w:hAnsi="宋体" w:cs="Times New Roman"/>
          <w:sz w:val="24"/>
        </w:rPr>
      </w:pPr>
      <w:r w:rsidRPr="00C32AC2">
        <w:rPr>
          <w:rFonts w:ascii="黑体" w:eastAsia="黑体" w:hAnsi="黑体" w:cs="Times New Roman" w:hint="eastAsia"/>
          <w:sz w:val="28"/>
          <w:szCs w:val="28"/>
        </w:rPr>
        <w:lastRenderedPageBreak/>
        <w:t>（二）相关推荐书目</w:t>
      </w:r>
    </w:p>
    <w:p w14:paraId="0ED13055"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1</w:t>
      </w:r>
      <w:r w:rsidRPr="00C32AC2">
        <w:rPr>
          <w:rFonts w:ascii="宋体" w:eastAsia="宋体" w:hAnsi="宋体" w:cs="Times New Roman"/>
          <w:sz w:val="24"/>
        </w:rPr>
        <w:t xml:space="preserve">. </w:t>
      </w:r>
      <w:r w:rsidRPr="00C32AC2">
        <w:rPr>
          <w:rFonts w:ascii="宋体" w:eastAsia="宋体" w:hAnsi="宋体" w:cs="宋体" w:hint="eastAsia"/>
          <w:kern w:val="0"/>
          <w:sz w:val="24"/>
        </w:rPr>
        <w:t>刘建国主编：《当代大学体育与健身》，高教出版社，2008</w:t>
      </w:r>
    </w:p>
    <w:p w14:paraId="0A37E60E" w14:textId="77777777" w:rsidR="00C32AC2" w:rsidRPr="00C32AC2" w:rsidRDefault="00C32AC2" w:rsidP="00C32AC2">
      <w:pPr>
        <w:autoSpaceDE w:val="0"/>
        <w:autoSpaceDN w:val="0"/>
        <w:adjustRightInd w:val="0"/>
        <w:snapToGrid w:val="0"/>
        <w:spacing w:line="500" w:lineRule="exact"/>
        <w:ind w:firstLineChars="200" w:firstLine="480"/>
        <w:rPr>
          <w:rFonts w:ascii="宋体" w:eastAsia="宋体" w:hAnsi="宋体" w:cs="Times New Roman"/>
          <w:sz w:val="24"/>
        </w:rPr>
      </w:pPr>
      <w:r w:rsidRPr="00C32AC2">
        <w:rPr>
          <w:rFonts w:ascii="宋体" w:eastAsia="宋体" w:hAnsi="宋体" w:cs="Times New Roman" w:hint="eastAsia"/>
          <w:sz w:val="24"/>
        </w:rPr>
        <w:t>2</w:t>
      </w:r>
      <w:r w:rsidRPr="00C32AC2">
        <w:rPr>
          <w:rFonts w:ascii="宋体" w:eastAsia="宋体" w:hAnsi="宋体" w:cs="Times New Roman"/>
          <w:sz w:val="24"/>
        </w:rPr>
        <w:t xml:space="preserve">. </w:t>
      </w:r>
      <w:r w:rsidRPr="00C32AC2">
        <w:rPr>
          <w:rFonts w:ascii="宋体" w:eastAsia="宋体" w:hAnsi="宋体" w:cs="宋体" w:hint="eastAsia"/>
          <w:kern w:val="0"/>
          <w:sz w:val="24"/>
        </w:rPr>
        <w:t>全国体育学院教材委员会审定：《体育与健康理论指导手册》，人民体育出版社，2014</w:t>
      </w:r>
    </w:p>
    <w:p w14:paraId="1D814AE7"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（三）课程资源</w:t>
      </w:r>
    </w:p>
    <w:p w14:paraId="04235304" w14:textId="77777777" w:rsidR="00C32AC2" w:rsidRPr="00C32AC2" w:rsidRDefault="00C32AC2" w:rsidP="00C32AC2">
      <w:pPr>
        <w:spacing w:line="44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5A3484C9" w14:textId="77777777" w:rsidR="00C32AC2" w:rsidRPr="00C32AC2" w:rsidRDefault="00C32AC2" w:rsidP="00C32AC2">
      <w:pPr>
        <w:spacing w:line="440" w:lineRule="exact"/>
        <w:ind w:firstLineChars="200" w:firstLine="500"/>
        <w:rPr>
          <w:rFonts w:ascii="宋体" w:eastAsia="宋体" w:hAnsi="Calibri" w:cs="宋体"/>
          <w:spacing w:val="5"/>
          <w:kern w:val="0"/>
          <w:sz w:val="24"/>
        </w:rPr>
      </w:pPr>
      <w:r w:rsidRPr="00C32AC2">
        <w:rPr>
          <w:rFonts w:ascii="宋体" w:eastAsia="宋体" w:hAnsi="Calibri" w:cs="宋体" w:hint="eastAsia"/>
          <w:spacing w:val="5"/>
          <w:kern w:val="0"/>
          <w:sz w:val="24"/>
        </w:rPr>
        <w:t>2. 《国家学生体质健康标准》实施说明《国家学生体质健康标准》测试评分表。</w:t>
      </w:r>
    </w:p>
    <w:p w14:paraId="2BD70609" w14:textId="77777777" w:rsidR="00C32AC2" w:rsidRPr="00C32AC2" w:rsidRDefault="00C32AC2" w:rsidP="00C32AC2">
      <w:pPr>
        <w:spacing w:beforeLines="50" w:before="156" w:afterLines="50" w:after="156" w:line="440" w:lineRule="exact"/>
        <w:ind w:firstLineChars="200" w:firstLine="560"/>
        <w:rPr>
          <w:rFonts w:ascii="黑体" w:eastAsia="黑体" w:hAnsi="黑体" w:cs="Times New Roman"/>
          <w:sz w:val="28"/>
          <w:szCs w:val="28"/>
        </w:rPr>
      </w:pPr>
      <w:r w:rsidRPr="00C32AC2">
        <w:rPr>
          <w:rFonts w:ascii="黑体" w:eastAsia="黑体" w:hAnsi="黑体" w:cs="Times New Roman" w:hint="eastAsia"/>
          <w:sz w:val="28"/>
          <w:szCs w:val="28"/>
        </w:rPr>
        <w:t>七、课程大纲制定依据</w:t>
      </w:r>
    </w:p>
    <w:p w14:paraId="730F5A23" w14:textId="77777777" w:rsidR="00C32AC2" w:rsidRPr="00C32AC2" w:rsidRDefault="00C32AC2" w:rsidP="00C32AC2">
      <w:pPr>
        <w:spacing w:line="440" w:lineRule="exact"/>
        <w:ind w:firstLineChars="200" w:firstLine="480"/>
        <w:rPr>
          <w:rFonts w:ascii="宋体" w:eastAsia="宋体" w:hAnsi="宋体" w:cs="Times New Roman"/>
          <w:sz w:val="24"/>
        </w:rPr>
      </w:pPr>
      <w:r w:rsidRPr="00C32AC2">
        <w:rPr>
          <w:rFonts w:ascii="宋体" w:eastAsia="宋体" w:hAnsi="宋体" w:cs="Times New Roman" w:hint="eastAsia"/>
          <w:sz w:val="24"/>
        </w:rPr>
        <w:t>本课程大纲依据2023年人才培养方案</w:t>
      </w:r>
      <w:r w:rsidR="002E4147">
        <w:rPr>
          <w:rFonts w:ascii="宋体" w:eastAsia="宋体" w:hAnsi="宋体" w:cs="Times New Roman" w:hint="eastAsia"/>
          <w:sz w:val="24"/>
        </w:rPr>
        <w:t>药物分析专业</w:t>
      </w:r>
      <w:r w:rsidRPr="00C32AC2">
        <w:rPr>
          <w:rFonts w:ascii="宋体" w:eastAsia="宋体" w:hAnsi="宋体" w:cs="Times New Roman" w:hint="eastAsia"/>
          <w:sz w:val="24"/>
        </w:rPr>
        <w:t>制定。</w:t>
      </w:r>
    </w:p>
    <w:p w14:paraId="2F01ECDF" w14:textId="77777777" w:rsidR="00C32AC2" w:rsidRPr="00C32AC2" w:rsidRDefault="00C32AC2" w:rsidP="00C32AC2">
      <w:pPr>
        <w:spacing w:beforeLines="50" w:before="156" w:afterLines="50" w:after="156" w:line="440" w:lineRule="exact"/>
        <w:rPr>
          <w:rFonts w:ascii="黑体" w:eastAsia="黑体" w:hAnsi="黑体" w:cs="Times New Roman"/>
          <w:sz w:val="28"/>
          <w:szCs w:val="28"/>
        </w:rPr>
      </w:pPr>
    </w:p>
    <w:p w14:paraId="77E90019" w14:textId="77777777" w:rsidR="00791904" w:rsidRDefault="00791904">
      <w:pPr>
        <w:rPr>
          <w:rFonts w:ascii="仿宋" w:eastAsia="仿宋" w:hAnsi="仿宋"/>
          <w:sz w:val="28"/>
          <w:szCs w:val="28"/>
        </w:rPr>
      </w:pPr>
    </w:p>
    <w:p w14:paraId="13E57BFA" w14:textId="77777777" w:rsidR="00646ED3" w:rsidRDefault="00646ED3">
      <w:pPr>
        <w:widowControl/>
        <w:jc w:val="left"/>
        <w:rPr>
          <w:rFonts w:ascii="黑体" w:eastAsia="黑体" w:hAnsi="黑体" w:cs="Times New Roman"/>
          <w:bCs/>
          <w:sz w:val="36"/>
          <w:szCs w:val="36"/>
        </w:rPr>
      </w:pPr>
      <w:r>
        <w:rPr>
          <w:rFonts w:ascii="黑体" w:eastAsia="黑体" w:hAnsi="黑体" w:cs="Times New Roman"/>
          <w:bCs/>
          <w:sz w:val="36"/>
          <w:szCs w:val="36"/>
        </w:rPr>
        <w:br w:type="page"/>
      </w:r>
    </w:p>
    <w:p w14:paraId="40B5BE29" w14:textId="7E300966" w:rsidR="00E75FE1" w:rsidRPr="00E75FE1" w:rsidRDefault="00E75FE1" w:rsidP="00E75FE1">
      <w:pPr>
        <w:spacing w:beforeLines="100" w:before="312" w:afterLines="100" w:after="312" w:line="440" w:lineRule="exact"/>
        <w:jc w:val="center"/>
        <w:rPr>
          <w:rFonts w:ascii="黑体" w:eastAsia="黑体" w:hAnsi="黑体" w:cs="Times New Roman"/>
          <w:bCs/>
          <w:sz w:val="36"/>
          <w:szCs w:val="36"/>
        </w:rPr>
      </w:pPr>
      <w:r w:rsidRPr="00E75FE1">
        <w:rPr>
          <w:rFonts w:ascii="黑体" w:eastAsia="黑体" w:hAnsi="黑体" w:cs="Times New Roman" w:hint="eastAsia"/>
          <w:bCs/>
          <w:sz w:val="36"/>
          <w:szCs w:val="36"/>
        </w:rPr>
        <w:lastRenderedPageBreak/>
        <w:t>《排球》课程大纲</w:t>
      </w:r>
    </w:p>
    <w:p w14:paraId="174D0722"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E75FE1" w:rsidRPr="00E75FE1" w14:paraId="016E7025" w14:textId="77777777" w:rsidTr="00375FAF">
        <w:trPr>
          <w:trHeight w:val="886"/>
          <w:jc w:val="center"/>
        </w:trPr>
        <w:tc>
          <w:tcPr>
            <w:tcW w:w="1581" w:type="dxa"/>
            <w:vAlign w:val="center"/>
          </w:tcPr>
          <w:p w14:paraId="01176DD6"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课程名称</w:t>
            </w:r>
          </w:p>
        </w:tc>
        <w:tc>
          <w:tcPr>
            <w:tcW w:w="2662" w:type="dxa"/>
            <w:vAlign w:val="center"/>
          </w:tcPr>
          <w:p w14:paraId="7ADD4CFB"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Calibri" w:cs="宋体" w:hint="eastAsia"/>
                <w:kern w:val="0"/>
                <w:sz w:val="24"/>
              </w:rPr>
              <w:t>排球</w:t>
            </w:r>
          </w:p>
        </w:tc>
        <w:tc>
          <w:tcPr>
            <w:tcW w:w="1482" w:type="dxa"/>
            <w:vAlign w:val="center"/>
          </w:tcPr>
          <w:p w14:paraId="16DF39C4"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课程代码</w:t>
            </w:r>
          </w:p>
        </w:tc>
        <w:tc>
          <w:tcPr>
            <w:tcW w:w="2797" w:type="dxa"/>
            <w:vAlign w:val="center"/>
          </w:tcPr>
          <w:p w14:paraId="0CB7C788"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Calibri" w:cs="宋体" w:hint="eastAsia"/>
                <w:kern w:val="0"/>
                <w:sz w:val="24"/>
              </w:rPr>
              <w:t>091050</w:t>
            </w:r>
          </w:p>
        </w:tc>
      </w:tr>
      <w:tr w:rsidR="00E75FE1" w:rsidRPr="00E75FE1" w14:paraId="2F06510A" w14:textId="77777777" w:rsidTr="00375FAF">
        <w:trPr>
          <w:trHeight w:val="829"/>
          <w:jc w:val="center"/>
        </w:trPr>
        <w:tc>
          <w:tcPr>
            <w:tcW w:w="1581" w:type="dxa"/>
            <w:vAlign w:val="center"/>
          </w:tcPr>
          <w:p w14:paraId="04D0F6B7"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课程类别</w:t>
            </w:r>
          </w:p>
        </w:tc>
        <w:tc>
          <w:tcPr>
            <w:tcW w:w="2662" w:type="dxa"/>
            <w:vAlign w:val="center"/>
          </w:tcPr>
          <w:p w14:paraId="5F957198"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Calibri" w:cs="宋体" w:hint="eastAsia"/>
                <w:kern w:val="0"/>
                <w:sz w:val="24"/>
              </w:rPr>
              <w:t>公共必修课程</w:t>
            </w:r>
          </w:p>
        </w:tc>
        <w:tc>
          <w:tcPr>
            <w:tcW w:w="1482" w:type="dxa"/>
            <w:vAlign w:val="center"/>
          </w:tcPr>
          <w:p w14:paraId="0333B284"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学时</w:t>
            </w:r>
          </w:p>
          <w:p w14:paraId="71542174"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/学分</w:t>
            </w:r>
          </w:p>
        </w:tc>
        <w:tc>
          <w:tcPr>
            <w:tcW w:w="2797" w:type="dxa"/>
            <w:vAlign w:val="center"/>
          </w:tcPr>
          <w:p w14:paraId="4394657D"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144/4</w:t>
            </w:r>
          </w:p>
        </w:tc>
      </w:tr>
      <w:tr w:rsidR="00E75FE1" w:rsidRPr="00E75FE1" w14:paraId="3AC7A0C8" w14:textId="77777777" w:rsidTr="00375FAF">
        <w:trPr>
          <w:trHeight w:val="811"/>
          <w:jc w:val="center"/>
        </w:trPr>
        <w:tc>
          <w:tcPr>
            <w:tcW w:w="1581" w:type="dxa"/>
            <w:vAlign w:val="center"/>
          </w:tcPr>
          <w:p w14:paraId="205FC44D"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开课单位</w:t>
            </w:r>
          </w:p>
        </w:tc>
        <w:tc>
          <w:tcPr>
            <w:tcW w:w="2662" w:type="dxa"/>
            <w:vAlign w:val="center"/>
          </w:tcPr>
          <w:p w14:paraId="14FA8562"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sz w:val="24"/>
              </w:rPr>
              <w:t>石家庄学院体育学院</w:t>
            </w:r>
          </w:p>
        </w:tc>
        <w:tc>
          <w:tcPr>
            <w:tcW w:w="1482" w:type="dxa"/>
            <w:vAlign w:val="center"/>
          </w:tcPr>
          <w:p w14:paraId="69DBB80C"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适用专业</w:t>
            </w:r>
          </w:p>
        </w:tc>
        <w:tc>
          <w:tcPr>
            <w:tcW w:w="2797" w:type="dxa"/>
            <w:vAlign w:val="center"/>
          </w:tcPr>
          <w:p w14:paraId="2D308E16" w14:textId="77777777" w:rsidR="00E75FE1" w:rsidRPr="00E75FE1" w:rsidRDefault="00233E31" w:rsidP="00E75FE1">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E75FE1" w:rsidRPr="00E75FE1" w14:paraId="2CC43590" w14:textId="77777777" w:rsidTr="00375FAF">
        <w:trPr>
          <w:trHeight w:val="811"/>
          <w:jc w:val="center"/>
        </w:trPr>
        <w:tc>
          <w:tcPr>
            <w:tcW w:w="1581" w:type="dxa"/>
            <w:vAlign w:val="center"/>
          </w:tcPr>
          <w:p w14:paraId="176FFABD"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课程负责人</w:t>
            </w:r>
          </w:p>
        </w:tc>
        <w:tc>
          <w:tcPr>
            <w:tcW w:w="6941" w:type="dxa"/>
            <w:gridSpan w:val="3"/>
            <w:vAlign w:val="center"/>
          </w:tcPr>
          <w:p w14:paraId="3DF2F595"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李长虹、王彦伟、张诗钰</w:t>
            </w:r>
          </w:p>
        </w:tc>
      </w:tr>
      <w:tr w:rsidR="00E75FE1" w:rsidRPr="00E75FE1" w14:paraId="1776FA42" w14:textId="77777777" w:rsidTr="00375FAF">
        <w:trPr>
          <w:trHeight w:val="836"/>
          <w:jc w:val="center"/>
        </w:trPr>
        <w:tc>
          <w:tcPr>
            <w:tcW w:w="1581" w:type="dxa"/>
            <w:vAlign w:val="center"/>
          </w:tcPr>
          <w:p w14:paraId="7E47A662"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大纲撰写人</w:t>
            </w:r>
          </w:p>
        </w:tc>
        <w:tc>
          <w:tcPr>
            <w:tcW w:w="2662" w:type="dxa"/>
            <w:vAlign w:val="center"/>
          </w:tcPr>
          <w:p w14:paraId="1DC6EBF9"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张诗钰</w:t>
            </w:r>
          </w:p>
        </w:tc>
        <w:tc>
          <w:tcPr>
            <w:tcW w:w="1482" w:type="dxa"/>
            <w:vAlign w:val="center"/>
          </w:tcPr>
          <w:p w14:paraId="7357785C"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大纲审核人</w:t>
            </w:r>
          </w:p>
        </w:tc>
        <w:tc>
          <w:tcPr>
            <w:tcW w:w="2797" w:type="dxa"/>
            <w:vAlign w:val="center"/>
          </w:tcPr>
          <w:p w14:paraId="7DB15781" w14:textId="77777777" w:rsidR="00E75FE1" w:rsidRPr="00E75FE1" w:rsidRDefault="00E75FE1" w:rsidP="00E75FE1">
            <w:pPr>
              <w:spacing w:line="440" w:lineRule="exact"/>
              <w:jc w:val="center"/>
              <w:rPr>
                <w:rFonts w:ascii="宋体" w:eastAsia="宋体" w:hAnsi="宋体" w:cs="Times New Roman"/>
                <w:sz w:val="24"/>
              </w:rPr>
            </w:pPr>
            <w:proofErr w:type="gramStart"/>
            <w:r w:rsidRPr="00E75FE1">
              <w:rPr>
                <w:rFonts w:ascii="宋体" w:eastAsia="宋体" w:hAnsi="宋体" w:cs="Times New Roman" w:hint="eastAsia"/>
                <w:sz w:val="24"/>
              </w:rPr>
              <w:t>左健</w:t>
            </w:r>
            <w:proofErr w:type="gramEnd"/>
          </w:p>
        </w:tc>
      </w:tr>
      <w:tr w:rsidR="00E75FE1" w:rsidRPr="00E75FE1" w14:paraId="0FE13967" w14:textId="77777777" w:rsidTr="00375FAF">
        <w:trPr>
          <w:trHeight w:val="848"/>
          <w:jc w:val="center"/>
        </w:trPr>
        <w:tc>
          <w:tcPr>
            <w:tcW w:w="1581" w:type="dxa"/>
            <w:vAlign w:val="center"/>
          </w:tcPr>
          <w:p w14:paraId="4A6B7C55"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先修课程</w:t>
            </w:r>
          </w:p>
        </w:tc>
        <w:tc>
          <w:tcPr>
            <w:tcW w:w="6941" w:type="dxa"/>
            <w:gridSpan w:val="3"/>
            <w:vAlign w:val="center"/>
          </w:tcPr>
          <w:p w14:paraId="188DB83A" w14:textId="77777777" w:rsidR="00E75FE1" w:rsidRPr="00E75FE1" w:rsidRDefault="00E75FE1" w:rsidP="00E75FE1">
            <w:pPr>
              <w:spacing w:line="440" w:lineRule="exact"/>
              <w:jc w:val="center"/>
              <w:rPr>
                <w:rFonts w:ascii="宋体" w:eastAsia="宋体" w:hAnsi="宋体" w:cs="Times New Roman"/>
                <w:sz w:val="24"/>
              </w:rPr>
            </w:pPr>
          </w:p>
        </w:tc>
      </w:tr>
      <w:tr w:rsidR="00E75FE1" w:rsidRPr="00E75FE1" w14:paraId="09BFA1D2" w14:textId="77777777" w:rsidTr="00375FAF">
        <w:trPr>
          <w:trHeight w:val="848"/>
          <w:jc w:val="center"/>
        </w:trPr>
        <w:tc>
          <w:tcPr>
            <w:tcW w:w="1581" w:type="dxa"/>
            <w:vAlign w:val="center"/>
          </w:tcPr>
          <w:p w14:paraId="4E63DDF6"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课程网址</w:t>
            </w:r>
          </w:p>
        </w:tc>
        <w:tc>
          <w:tcPr>
            <w:tcW w:w="6941" w:type="dxa"/>
            <w:gridSpan w:val="3"/>
            <w:vAlign w:val="center"/>
          </w:tcPr>
          <w:p w14:paraId="68471363" w14:textId="77777777" w:rsidR="00E75FE1" w:rsidRPr="00E75FE1" w:rsidRDefault="00E75FE1" w:rsidP="00E75FE1">
            <w:pPr>
              <w:spacing w:line="440" w:lineRule="exact"/>
              <w:rPr>
                <w:rFonts w:ascii="宋体" w:eastAsia="宋体" w:hAnsi="宋体" w:cs="Times New Roman"/>
                <w:sz w:val="24"/>
              </w:rPr>
            </w:pPr>
          </w:p>
        </w:tc>
      </w:tr>
    </w:tbl>
    <w:p w14:paraId="17AFBB80"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二、课程学习目标及与毕业要求的对应关系</w:t>
      </w:r>
    </w:p>
    <w:p w14:paraId="4BB8D88B"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（一）课程学习目标</w:t>
      </w:r>
    </w:p>
    <w:p w14:paraId="0D582B6F"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通过本课程的学习，使学生达到以下目标：</w:t>
      </w:r>
    </w:p>
    <w:p w14:paraId="0A86FA20" w14:textId="77777777" w:rsidR="00E75FE1" w:rsidRPr="00B26124" w:rsidRDefault="00E75FE1" w:rsidP="00E75FE1">
      <w:pPr>
        <w:spacing w:line="440" w:lineRule="exact"/>
        <w:ind w:firstLineChars="200" w:firstLine="500"/>
        <w:rPr>
          <w:rFonts w:ascii="宋体" w:eastAsia="宋体" w:hAnsi="Calibri" w:cs="宋体"/>
          <w:b/>
          <w:bCs/>
          <w:spacing w:val="5"/>
          <w:kern w:val="0"/>
          <w:sz w:val="24"/>
        </w:rPr>
      </w:pPr>
      <w:r w:rsidRPr="00E75FE1">
        <w:rPr>
          <w:rFonts w:ascii="宋体" w:eastAsia="宋体" w:hAnsi="Calibri" w:cs="宋体" w:hint="eastAsia"/>
          <w:spacing w:val="5"/>
          <w:kern w:val="0"/>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w:t>
      </w:r>
      <w:r w:rsidRPr="00B26124">
        <w:rPr>
          <w:rFonts w:ascii="宋体" w:eastAsia="宋体" w:hAnsi="Calibri" w:cs="宋体" w:hint="eastAsia"/>
          <w:b/>
          <w:bCs/>
          <w:spacing w:val="5"/>
          <w:kern w:val="0"/>
          <w:sz w:val="24"/>
        </w:rPr>
        <w:t>毕业要求8/10 职业规范】</w:t>
      </w:r>
    </w:p>
    <w:p w14:paraId="773644F6" w14:textId="77777777" w:rsidR="00E75FE1" w:rsidRPr="00B26124" w:rsidRDefault="00E75FE1" w:rsidP="00E75FE1">
      <w:pPr>
        <w:spacing w:line="440" w:lineRule="exact"/>
        <w:ind w:firstLineChars="200" w:firstLine="500"/>
        <w:rPr>
          <w:rFonts w:ascii="宋体" w:eastAsia="宋体" w:hAnsi="Calibri" w:cs="宋体"/>
          <w:b/>
          <w:bCs/>
          <w:spacing w:val="5"/>
          <w:kern w:val="0"/>
          <w:sz w:val="24"/>
        </w:rPr>
      </w:pPr>
      <w:r w:rsidRPr="00E75FE1">
        <w:rPr>
          <w:rFonts w:ascii="宋体" w:eastAsia="宋体" w:hAnsi="Calibri" w:cs="宋体" w:hint="eastAsia"/>
          <w:spacing w:val="5"/>
          <w:kern w:val="0"/>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w:t>
      </w:r>
      <w:r w:rsidRPr="00E75FE1">
        <w:rPr>
          <w:rFonts w:ascii="宋体" w:eastAsia="宋体" w:hAnsi="Calibri" w:cs="宋体" w:hint="eastAsia"/>
          <w:spacing w:val="5"/>
          <w:kern w:val="0"/>
          <w:sz w:val="24"/>
        </w:rPr>
        <w:lastRenderedPageBreak/>
        <w:t>准测验》项目内容、考核方式、评价标准；掌握考核内容锻炼的方式方法。</w:t>
      </w:r>
      <w:r w:rsidRPr="00B26124">
        <w:rPr>
          <w:rFonts w:ascii="宋体" w:eastAsia="宋体" w:hAnsi="Calibri" w:cs="宋体" w:hint="eastAsia"/>
          <w:b/>
          <w:bCs/>
          <w:spacing w:val="5"/>
          <w:kern w:val="0"/>
          <w:sz w:val="24"/>
        </w:rPr>
        <w:t>【毕业要求8/10 沟通】</w:t>
      </w:r>
    </w:p>
    <w:p w14:paraId="78007911" w14:textId="77777777" w:rsidR="00E75FE1" w:rsidRPr="00E75FE1" w:rsidRDefault="00E75FE1" w:rsidP="00E75FE1">
      <w:pPr>
        <w:spacing w:line="44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w:t>
      </w:r>
      <w:r w:rsidRPr="00B26124">
        <w:rPr>
          <w:rFonts w:ascii="宋体" w:eastAsia="宋体" w:hAnsi="Calibri" w:cs="宋体" w:hint="eastAsia"/>
          <w:b/>
          <w:bCs/>
          <w:spacing w:val="5"/>
          <w:kern w:val="0"/>
          <w:sz w:val="24"/>
        </w:rPr>
        <w:t>【毕业要求8/12 终身学习】</w:t>
      </w:r>
    </w:p>
    <w:p w14:paraId="45316A00"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E75FE1" w:rsidRPr="00E75FE1" w14:paraId="6CB2CAF7" w14:textId="77777777" w:rsidTr="00375FAF">
        <w:trPr>
          <w:trHeight w:val="815"/>
          <w:jc w:val="center"/>
        </w:trPr>
        <w:tc>
          <w:tcPr>
            <w:tcW w:w="1708" w:type="dxa"/>
            <w:vAlign w:val="center"/>
          </w:tcPr>
          <w:p w14:paraId="13BC6056" w14:textId="77777777" w:rsidR="00E75FE1" w:rsidRPr="00E75FE1" w:rsidRDefault="00E75FE1" w:rsidP="00E75FE1">
            <w:pPr>
              <w:spacing w:line="440" w:lineRule="exact"/>
              <w:jc w:val="center"/>
              <w:rPr>
                <w:rFonts w:ascii="宋体" w:eastAsia="宋体" w:hAnsi="宋体" w:cs="Times New Roman"/>
                <w:b/>
                <w:sz w:val="24"/>
              </w:rPr>
            </w:pPr>
            <w:r w:rsidRPr="00E75FE1">
              <w:rPr>
                <w:rFonts w:ascii="宋体" w:eastAsia="宋体" w:hAnsi="宋体" w:cs="Times New Roman" w:hint="eastAsia"/>
                <w:b/>
                <w:sz w:val="24"/>
              </w:rPr>
              <w:t>毕业要求</w:t>
            </w:r>
          </w:p>
        </w:tc>
        <w:tc>
          <w:tcPr>
            <w:tcW w:w="5954" w:type="dxa"/>
            <w:vAlign w:val="center"/>
          </w:tcPr>
          <w:p w14:paraId="3CC89105" w14:textId="77777777" w:rsidR="00E75FE1" w:rsidRPr="00E75FE1" w:rsidRDefault="00E75FE1" w:rsidP="00E75FE1">
            <w:pPr>
              <w:spacing w:line="440" w:lineRule="exact"/>
              <w:jc w:val="center"/>
              <w:rPr>
                <w:rFonts w:ascii="宋体" w:eastAsia="宋体" w:hAnsi="宋体" w:cs="Times New Roman"/>
                <w:b/>
                <w:sz w:val="24"/>
              </w:rPr>
            </w:pPr>
            <w:r w:rsidRPr="00E75FE1">
              <w:rPr>
                <w:rFonts w:ascii="宋体" w:eastAsia="宋体" w:hAnsi="宋体" w:cs="Times New Roman" w:hint="eastAsia"/>
                <w:b/>
                <w:sz w:val="24"/>
              </w:rPr>
              <w:t>毕业要求指标点</w:t>
            </w:r>
          </w:p>
        </w:tc>
        <w:tc>
          <w:tcPr>
            <w:tcW w:w="1507" w:type="dxa"/>
            <w:vAlign w:val="center"/>
          </w:tcPr>
          <w:p w14:paraId="7570351F" w14:textId="77777777" w:rsidR="00E75FE1" w:rsidRPr="00E75FE1" w:rsidRDefault="00E75FE1" w:rsidP="00E75FE1">
            <w:pPr>
              <w:spacing w:line="440" w:lineRule="exact"/>
              <w:jc w:val="center"/>
              <w:rPr>
                <w:rFonts w:ascii="宋体" w:eastAsia="宋体" w:hAnsi="宋体" w:cs="Times New Roman"/>
                <w:b/>
                <w:sz w:val="24"/>
              </w:rPr>
            </w:pPr>
            <w:r w:rsidRPr="00E75FE1">
              <w:rPr>
                <w:rFonts w:ascii="宋体" w:eastAsia="宋体" w:hAnsi="宋体" w:cs="Times New Roman" w:hint="eastAsia"/>
                <w:b/>
                <w:sz w:val="24"/>
              </w:rPr>
              <w:t>课程目标</w:t>
            </w:r>
          </w:p>
        </w:tc>
      </w:tr>
      <w:tr w:rsidR="00E75FE1" w:rsidRPr="00E75FE1" w14:paraId="24CD6C7C" w14:textId="77777777" w:rsidTr="00375FAF">
        <w:trPr>
          <w:jc w:val="center"/>
        </w:trPr>
        <w:tc>
          <w:tcPr>
            <w:tcW w:w="1708" w:type="dxa"/>
            <w:vAlign w:val="center"/>
          </w:tcPr>
          <w:p w14:paraId="2221445E"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职业规范</w:t>
            </w:r>
            <w:r w:rsidRPr="00E75FE1">
              <w:rPr>
                <w:rFonts w:ascii="宋体" w:eastAsia="宋体" w:hAnsi="宋体" w:cs="Times New Roman"/>
                <w:sz w:val="24"/>
              </w:rPr>
              <w:t>（</w:t>
            </w:r>
            <w:r w:rsidRPr="00E75FE1">
              <w:rPr>
                <w:rFonts w:ascii="宋体" w:eastAsia="宋体" w:hAnsi="宋体" w:cs="Times New Roman" w:hint="eastAsia"/>
                <w:sz w:val="24"/>
              </w:rPr>
              <w:t>M</w:t>
            </w:r>
            <w:r w:rsidRPr="00E75FE1">
              <w:rPr>
                <w:rFonts w:ascii="宋体" w:eastAsia="宋体" w:hAnsi="宋体" w:cs="Times New Roman"/>
                <w:sz w:val="24"/>
              </w:rPr>
              <w:t>）</w:t>
            </w:r>
          </w:p>
        </w:tc>
        <w:tc>
          <w:tcPr>
            <w:tcW w:w="5954" w:type="dxa"/>
            <w:vAlign w:val="center"/>
          </w:tcPr>
          <w:p w14:paraId="71488D82" w14:textId="77777777" w:rsidR="00E75FE1" w:rsidRPr="00E75FE1" w:rsidRDefault="00E75FE1" w:rsidP="00E75FE1">
            <w:pPr>
              <w:spacing w:line="440" w:lineRule="exact"/>
              <w:rPr>
                <w:rFonts w:ascii="宋体" w:eastAsia="宋体" w:hAnsi="宋体" w:cs="仿宋_GB2312"/>
                <w:sz w:val="24"/>
              </w:rPr>
            </w:pPr>
            <w:r w:rsidRPr="00E75FE1">
              <w:rPr>
                <w:rFonts w:ascii="宋体" w:eastAsia="宋体" w:hAnsi="宋体" w:cs="仿宋_GB2312" w:hint="eastAsia"/>
                <w:sz w:val="24"/>
              </w:rPr>
              <w:t>8</w:t>
            </w:r>
            <w:r w:rsidRPr="00E75FE1">
              <w:rPr>
                <w:rFonts w:ascii="宋体" w:eastAsia="宋体" w:hAnsi="宋体" w:cs="仿宋_GB2312"/>
                <w:sz w:val="24"/>
              </w:rPr>
              <w:t>-</w:t>
            </w:r>
            <w:r w:rsidRPr="00E75FE1">
              <w:rPr>
                <w:rFonts w:ascii="宋体" w:eastAsia="宋体" w:hAnsi="宋体" w:cs="仿宋_GB2312" w:hint="eastAsia"/>
                <w:sz w:val="24"/>
              </w:rPr>
              <w:t>1</w:t>
            </w:r>
            <w:r w:rsidRPr="00E75FE1">
              <w:rPr>
                <w:rFonts w:ascii="宋体" w:eastAsia="宋体" w:hAnsi="宋体" w:cs="宋体" w:hint="eastAsia"/>
                <w:sz w:val="24"/>
              </w:rPr>
              <w:t>在增强学生健康知识与锻炼身体上，进行思想品德教育</w:t>
            </w:r>
            <w:r w:rsidRPr="00E75FE1">
              <w:rPr>
                <w:rFonts w:ascii="宋体" w:eastAsia="宋体" w:hAnsi="宋体" w:cs="仿宋_GB2312" w:hint="eastAsia"/>
                <w:sz w:val="24"/>
              </w:rPr>
              <w:t>；</w:t>
            </w:r>
          </w:p>
          <w:p w14:paraId="07699962" w14:textId="77777777" w:rsidR="00E75FE1" w:rsidRPr="00E75FE1" w:rsidRDefault="00E75FE1" w:rsidP="00E75FE1">
            <w:pPr>
              <w:spacing w:line="440" w:lineRule="exact"/>
              <w:rPr>
                <w:rFonts w:ascii="宋体" w:eastAsia="宋体" w:hAnsi="宋体" w:cs="仿宋_GB2312"/>
                <w:sz w:val="24"/>
              </w:rPr>
            </w:pPr>
            <w:r w:rsidRPr="00E75FE1">
              <w:rPr>
                <w:rFonts w:ascii="宋体" w:eastAsia="宋体" w:hAnsi="宋体" w:cs="仿宋_GB2312" w:hint="eastAsia"/>
                <w:sz w:val="24"/>
              </w:rPr>
              <w:t>8</w:t>
            </w:r>
            <w:r w:rsidRPr="00E75FE1">
              <w:rPr>
                <w:rFonts w:ascii="宋体" w:eastAsia="宋体" w:hAnsi="宋体" w:cs="仿宋_GB2312"/>
                <w:sz w:val="24"/>
              </w:rPr>
              <w:t>-</w:t>
            </w:r>
            <w:r w:rsidRPr="00E75FE1">
              <w:rPr>
                <w:rFonts w:ascii="宋体" w:eastAsia="宋体" w:hAnsi="宋体" w:cs="仿宋_GB2312" w:hint="eastAsia"/>
                <w:sz w:val="24"/>
              </w:rPr>
              <w:t>2</w:t>
            </w:r>
            <w:r w:rsidRPr="00E75FE1">
              <w:rPr>
                <w:rFonts w:ascii="宋体" w:eastAsia="宋体" w:hAnsi="宋体" w:cs="宋体" w:hint="eastAsia"/>
                <w:sz w:val="24"/>
              </w:rPr>
              <w:t>培养健康的心理素质进行爱国主义、社会主义、集体主义教育培养良好的社会公德</w:t>
            </w:r>
            <w:r w:rsidRPr="00E75FE1">
              <w:rPr>
                <w:rFonts w:ascii="宋体" w:eastAsia="宋体" w:hAnsi="宋体" w:cs="仿宋_GB2312" w:hint="eastAsia"/>
                <w:sz w:val="24"/>
              </w:rPr>
              <w:t>；</w:t>
            </w:r>
          </w:p>
          <w:p w14:paraId="792E0077" w14:textId="77777777" w:rsidR="00E75FE1" w:rsidRPr="00E75FE1" w:rsidRDefault="00E75FE1" w:rsidP="00E75FE1">
            <w:pPr>
              <w:spacing w:line="440" w:lineRule="exact"/>
              <w:rPr>
                <w:rFonts w:ascii="宋体" w:eastAsia="宋体" w:hAnsi="宋体" w:cs="Times New Roman"/>
                <w:sz w:val="24"/>
              </w:rPr>
            </w:pPr>
            <w:r w:rsidRPr="00E75FE1">
              <w:rPr>
                <w:rFonts w:ascii="宋体" w:eastAsia="宋体" w:hAnsi="宋体" w:cs="仿宋_GB2312" w:hint="eastAsia"/>
                <w:sz w:val="24"/>
              </w:rPr>
              <w:t>8</w:t>
            </w:r>
            <w:r w:rsidRPr="00E75FE1">
              <w:rPr>
                <w:rFonts w:ascii="宋体" w:eastAsia="宋体" w:hAnsi="宋体" w:cs="仿宋_GB2312"/>
                <w:sz w:val="24"/>
              </w:rPr>
              <w:t>-</w:t>
            </w:r>
            <w:r w:rsidRPr="00E75FE1">
              <w:rPr>
                <w:rFonts w:ascii="宋体" w:eastAsia="宋体" w:hAnsi="宋体" w:cs="仿宋_GB2312" w:hint="eastAsia"/>
                <w:sz w:val="24"/>
              </w:rPr>
              <w:t>3</w:t>
            </w:r>
            <w:r w:rsidRPr="00E75FE1">
              <w:rPr>
                <w:rFonts w:ascii="宋体" w:eastAsia="宋体" w:hAnsi="宋体" w:cs="宋体" w:hint="eastAsia"/>
                <w:sz w:val="24"/>
              </w:rPr>
              <w:t>树立现代化体育意识，把健康与生存、学习、生活和自身的发展联系起来；</w:t>
            </w:r>
            <w:r w:rsidRPr="00E75FE1">
              <w:rPr>
                <w:rFonts w:ascii="宋体" w:eastAsia="宋体" w:hAnsi="宋体" w:cs="仿宋_GB2312" w:hint="eastAsia"/>
                <w:sz w:val="24"/>
              </w:rPr>
              <w:t>遵守教育法律法规，具有良好的职业操守、健康的心理素质和高尚的审美情趣。</w:t>
            </w:r>
          </w:p>
        </w:tc>
        <w:tc>
          <w:tcPr>
            <w:tcW w:w="1507" w:type="dxa"/>
            <w:vAlign w:val="center"/>
          </w:tcPr>
          <w:p w14:paraId="74D4DA73" w14:textId="77777777" w:rsidR="00E75FE1" w:rsidRPr="00E75FE1" w:rsidRDefault="00E75FE1" w:rsidP="00E75FE1">
            <w:pPr>
              <w:spacing w:line="440" w:lineRule="exact"/>
              <w:rPr>
                <w:rFonts w:ascii="宋体" w:eastAsia="宋体" w:hAnsi="宋体" w:cs="Times New Roman"/>
                <w:sz w:val="24"/>
              </w:rPr>
            </w:pPr>
            <w:r w:rsidRPr="00E75FE1">
              <w:rPr>
                <w:rFonts w:ascii="宋体" w:eastAsia="宋体" w:hAnsi="宋体" w:cs="Times New Roman" w:hint="eastAsia"/>
                <w:sz w:val="24"/>
              </w:rPr>
              <w:t>课程目标1</w:t>
            </w:r>
          </w:p>
        </w:tc>
      </w:tr>
      <w:tr w:rsidR="00E75FE1" w:rsidRPr="00E75FE1" w14:paraId="03198B67" w14:textId="77777777" w:rsidTr="00375FAF">
        <w:trPr>
          <w:jc w:val="center"/>
        </w:trPr>
        <w:tc>
          <w:tcPr>
            <w:tcW w:w="1708" w:type="dxa"/>
            <w:vAlign w:val="center"/>
          </w:tcPr>
          <w:p w14:paraId="77C78A84"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沟通</w:t>
            </w:r>
            <w:r w:rsidRPr="00E75FE1">
              <w:rPr>
                <w:rFonts w:ascii="宋体" w:eastAsia="宋体" w:hAnsi="宋体" w:cs="Times New Roman"/>
                <w:sz w:val="24"/>
              </w:rPr>
              <w:t>（</w:t>
            </w:r>
            <w:r w:rsidRPr="00E75FE1">
              <w:rPr>
                <w:rFonts w:ascii="宋体" w:eastAsia="宋体" w:hAnsi="宋体" w:cs="Times New Roman" w:hint="eastAsia"/>
                <w:sz w:val="24"/>
              </w:rPr>
              <w:t>M</w:t>
            </w:r>
            <w:r w:rsidRPr="00E75FE1">
              <w:rPr>
                <w:rFonts w:ascii="宋体" w:eastAsia="宋体" w:hAnsi="宋体" w:cs="Times New Roman"/>
                <w:sz w:val="24"/>
              </w:rPr>
              <w:t>）</w:t>
            </w:r>
          </w:p>
        </w:tc>
        <w:tc>
          <w:tcPr>
            <w:tcW w:w="5954" w:type="dxa"/>
            <w:vAlign w:val="center"/>
          </w:tcPr>
          <w:p w14:paraId="3D19D002" w14:textId="77777777" w:rsidR="00E75FE1" w:rsidRPr="00E75FE1" w:rsidRDefault="00E75FE1" w:rsidP="00E75FE1">
            <w:pPr>
              <w:spacing w:line="440" w:lineRule="exact"/>
              <w:rPr>
                <w:rFonts w:ascii="宋体" w:eastAsia="宋体" w:hAnsi="宋体" w:cs="Times New Roman"/>
                <w:sz w:val="24"/>
              </w:rPr>
            </w:pPr>
            <w:r w:rsidRPr="00E75FE1">
              <w:rPr>
                <w:rFonts w:ascii="宋体" w:eastAsia="宋体" w:hAnsi="宋体" w:cs="Times New Roman" w:hint="eastAsia"/>
                <w:sz w:val="24"/>
              </w:rPr>
              <w:t>10-1</w:t>
            </w:r>
            <w:r w:rsidRPr="00E75FE1">
              <w:rPr>
                <w:rFonts w:ascii="宋体" w:eastAsia="宋体" w:hAnsi="宋体" w:cs="仿宋_GB2312" w:hint="eastAsia"/>
                <w:sz w:val="24"/>
              </w:rPr>
              <w:t>了解《大学生体质健康标准测验》项目内容、考核方式、评价标准；掌握考核内容锻炼的方式方法</w:t>
            </w:r>
            <w:r w:rsidRPr="00E75FE1">
              <w:rPr>
                <w:rFonts w:ascii="宋体" w:eastAsia="宋体" w:hAnsi="宋体" w:cs="Times New Roman" w:hint="eastAsia"/>
                <w:sz w:val="24"/>
              </w:rPr>
              <w:t>；</w:t>
            </w:r>
          </w:p>
          <w:p w14:paraId="224D9F7D" w14:textId="77777777" w:rsidR="00E75FE1" w:rsidRPr="00E75FE1" w:rsidRDefault="00E75FE1" w:rsidP="00E75FE1">
            <w:pPr>
              <w:spacing w:line="440" w:lineRule="exact"/>
              <w:rPr>
                <w:rFonts w:ascii="宋体" w:eastAsia="宋体" w:hAnsi="宋体" w:cs="Times New Roman"/>
                <w:sz w:val="24"/>
              </w:rPr>
            </w:pPr>
            <w:r w:rsidRPr="00E75FE1">
              <w:rPr>
                <w:rFonts w:ascii="宋体" w:eastAsia="宋体" w:hAnsi="宋体" w:cs="Times New Roman" w:hint="eastAsia"/>
                <w:sz w:val="24"/>
              </w:rPr>
              <w:t>10</w:t>
            </w:r>
            <w:r w:rsidRPr="00E75FE1">
              <w:rPr>
                <w:rFonts w:ascii="宋体" w:eastAsia="宋体" w:hAnsi="宋体" w:cs="Times New Roman"/>
                <w:sz w:val="24"/>
              </w:rPr>
              <w:t>-</w:t>
            </w:r>
            <w:r w:rsidRPr="00E75FE1">
              <w:rPr>
                <w:rFonts w:ascii="宋体" w:eastAsia="宋体" w:hAnsi="宋体" w:cs="Times New Roman" w:hint="eastAsia"/>
                <w:sz w:val="24"/>
              </w:rPr>
              <w:t>2</w:t>
            </w:r>
            <w:r w:rsidRPr="00E75FE1">
              <w:rPr>
                <w:rFonts w:ascii="宋体" w:eastAsia="宋体" w:hAnsi="宋体" w:cs="仿宋_GB2312" w:hint="eastAsia"/>
                <w:sz w:val="24"/>
              </w:rPr>
              <w:t>发展学生的个性和创造性，培养学生的主体意识和活泼愉快、积极向上、勇于探索以及克服困难的精</w:t>
            </w:r>
            <w:r w:rsidRPr="00E75FE1">
              <w:rPr>
                <w:rFonts w:ascii="宋体" w:eastAsia="宋体" w:hAnsi="宋体" w:cs="Times New Roman" w:hint="eastAsia"/>
                <w:sz w:val="24"/>
              </w:rPr>
              <w:t>10</w:t>
            </w:r>
            <w:r w:rsidRPr="00E75FE1">
              <w:rPr>
                <w:rFonts w:ascii="宋体" w:eastAsia="宋体" w:hAnsi="宋体" w:cs="Times New Roman"/>
                <w:sz w:val="24"/>
              </w:rPr>
              <w:t>-</w:t>
            </w:r>
            <w:r w:rsidRPr="00E75FE1">
              <w:rPr>
                <w:rFonts w:ascii="宋体" w:eastAsia="宋体" w:hAnsi="宋体" w:cs="Times New Roman" w:hint="eastAsia"/>
                <w:sz w:val="24"/>
              </w:rPr>
              <w:t>3</w:t>
            </w:r>
            <w:r w:rsidRPr="00E75FE1">
              <w:rPr>
                <w:rFonts w:ascii="宋体" w:eastAsia="宋体" w:hAnsi="宋体" w:cs="仿宋_GB2312" w:hint="eastAsia"/>
                <w:sz w:val="24"/>
              </w:rPr>
              <w:t>具备沟通交流能力与团队合作精神，能够养成认真、求实、勤奋良好科研精神与学风。</w:t>
            </w:r>
          </w:p>
        </w:tc>
        <w:tc>
          <w:tcPr>
            <w:tcW w:w="1507" w:type="dxa"/>
            <w:vAlign w:val="center"/>
          </w:tcPr>
          <w:p w14:paraId="16EC522F" w14:textId="77777777" w:rsidR="00E75FE1" w:rsidRPr="00E75FE1" w:rsidRDefault="00E75FE1" w:rsidP="00E75FE1">
            <w:pPr>
              <w:spacing w:line="440" w:lineRule="exact"/>
              <w:rPr>
                <w:rFonts w:ascii="宋体" w:eastAsia="宋体" w:hAnsi="宋体" w:cs="仿宋_GB2312"/>
                <w:sz w:val="24"/>
              </w:rPr>
            </w:pPr>
            <w:r w:rsidRPr="00E75FE1">
              <w:rPr>
                <w:rFonts w:ascii="宋体" w:eastAsia="宋体" w:hAnsi="宋体" w:cs="Times New Roman" w:hint="eastAsia"/>
                <w:sz w:val="24"/>
              </w:rPr>
              <w:t>课程目标</w:t>
            </w:r>
            <w:r w:rsidRPr="00E75FE1">
              <w:rPr>
                <w:rFonts w:ascii="宋体" w:eastAsia="宋体" w:hAnsi="宋体" w:cs="Times New Roman"/>
                <w:sz w:val="24"/>
              </w:rPr>
              <w:t>2</w:t>
            </w:r>
          </w:p>
        </w:tc>
      </w:tr>
      <w:tr w:rsidR="00E75FE1" w:rsidRPr="00E75FE1" w14:paraId="08F36548" w14:textId="77777777" w:rsidTr="00375FAF">
        <w:trPr>
          <w:jc w:val="center"/>
        </w:trPr>
        <w:tc>
          <w:tcPr>
            <w:tcW w:w="1708" w:type="dxa"/>
            <w:vAlign w:val="center"/>
          </w:tcPr>
          <w:p w14:paraId="060595FC"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终身学习</w:t>
            </w:r>
            <w:r w:rsidRPr="00E75FE1">
              <w:rPr>
                <w:rFonts w:ascii="宋体" w:eastAsia="宋体" w:hAnsi="宋体" w:cs="Times New Roman"/>
                <w:sz w:val="24"/>
              </w:rPr>
              <w:t>（</w:t>
            </w:r>
            <w:r w:rsidRPr="00E75FE1">
              <w:rPr>
                <w:rFonts w:ascii="宋体" w:eastAsia="宋体" w:hAnsi="宋体" w:cs="Times New Roman" w:hint="eastAsia"/>
                <w:sz w:val="24"/>
              </w:rPr>
              <w:t>H</w:t>
            </w:r>
            <w:r w:rsidRPr="00E75FE1">
              <w:rPr>
                <w:rFonts w:ascii="宋体" w:eastAsia="宋体" w:hAnsi="宋体" w:cs="Times New Roman"/>
                <w:sz w:val="24"/>
              </w:rPr>
              <w:t>）</w:t>
            </w:r>
          </w:p>
        </w:tc>
        <w:tc>
          <w:tcPr>
            <w:tcW w:w="5954" w:type="dxa"/>
            <w:vAlign w:val="center"/>
          </w:tcPr>
          <w:p w14:paraId="1F57946E" w14:textId="77777777" w:rsidR="00E75FE1" w:rsidRPr="00E75FE1" w:rsidRDefault="00E75FE1" w:rsidP="00E75FE1">
            <w:pPr>
              <w:spacing w:line="440" w:lineRule="exact"/>
              <w:rPr>
                <w:rFonts w:ascii="宋体" w:eastAsia="宋体" w:hAnsi="宋体" w:cs="仿宋_GB2312"/>
                <w:sz w:val="24"/>
              </w:rPr>
            </w:pPr>
            <w:r w:rsidRPr="00E75FE1">
              <w:rPr>
                <w:rFonts w:ascii="宋体" w:eastAsia="宋体" w:hAnsi="宋体" w:cs="仿宋_GB2312" w:hint="eastAsia"/>
                <w:sz w:val="24"/>
              </w:rPr>
              <w:t>12</w:t>
            </w:r>
            <w:r w:rsidRPr="00E75FE1">
              <w:rPr>
                <w:rFonts w:ascii="宋体" w:eastAsia="宋体" w:hAnsi="宋体" w:cs="仿宋_GB2312"/>
                <w:sz w:val="24"/>
              </w:rPr>
              <w:t>-</w:t>
            </w:r>
            <w:r w:rsidRPr="00E75FE1">
              <w:rPr>
                <w:rFonts w:ascii="宋体" w:eastAsia="宋体" w:hAnsi="宋体" w:cs="仿宋_GB2312" w:hint="eastAsia"/>
                <w:sz w:val="24"/>
              </w:rPr>
              <w:t>1具备现代体育教育、健康第一、终身体育的思想理念；</w:t>
            </w:r>
          </w:p>
          <w:p w14:paraId="7DE60D0D" w14:textId="77777777" w:rsidR="00E75FE1" w:rsidRPr="00E75FE1" w:rsidRDefault="00E75FE1" w:rsidP="00E75FE1">
            <w:pPr>
              <w:spacing w:line="440" w:lineRule="exact"/>
              <w:rPr>
                <w:rFonts w:ascii="宋体" w:eastAsia="宋体" w:hAnsi="宋体" w:cs="Times New Roman"/>
                <w:sz w:val="24"/>
              </w:rPr>
            </w:pPr>
            <w:r w:rsidRPr="00E75FE1">
              <w:rPr>
                <w:rFonts w:ascii="宋体" w:eastAsia="宋体" w:hAnsi="宋体" w:cs="仿宋_GB2312" w:hint="eastAsia"/>
                <w:sz w:val="24"/>
              </w:rPr>
              <w:t>12</w:t>
            </w:r>
            <w:r w:rsidRPr="00E75FE1">
              <w:rPr>
                <w:rFonts w:ascii="宋体" w:eastAsia="宋体" w:hAnsi="宋体" w:cs="仿宋_GB2312"/>
                <w:sz w:val="24"/>
              </w:rPr>
              <w:t>-</w:t>
            </w:r>
            <w:r w:rsidRPr="00E75FE1">
              <w:rPr>
                <w:rFonts w:ascii="宋体" w:eastAsia="宋体" w:hAnsi="宋体" w:cs="仿宋_GB2312" w:hint="eastAsia"/>
                <w:sz w:val="24"/>
              </w:rPr>
              <w:t>2促进德、智、体、美全面发展，达到身心健康、全面发展的教育总目的。</w:t>
            </w:r>
          </w:p>
        </w:tc>
        <w:tc>
          <w:tcPr>
            <w:tcW w:w="1507" w:type="dxa"/>
            <w:vAlign w:val="center"/>
          </w:tcPr>
          <w:p w14:paraId="7D8F9927" w14:textId="77777777" w:rsidR="00E75FE1" w:rsidRPr="00E75FE1" w:rsidRDefault="00E75FE1" w:rsidP="00E75FE1">
            <w:pPr>
              <w:spacing w:line="440" w:lineRule="exact"/>
              <w:rPr>
                <w:rFonts w:ascii="宋体" w:eastAsia="宋体" w:hAnsi="宋体" w:cs="Times New Roman"/>
                <w:sz w:val="24"/>
              </w:rPr>
            </w:pPr>
            <w:r w:rsidRPr="00E75FE1">
              <w:rPr>
                <w:rFonts w:ascii="宋体" w:eastAsia="宋体" w:hAnsi="宋体" w:cs="Times New Roman"/>
                <w:sz w:val="24"/>
              </w:rPr>
              <w:t>课程目标3</w:t>
            </w:r>
          </w:p>
        </w:tc>
      </w:tr>
    </w:tbl>
    <w:p w14:paraId="7C813539" w14:textId="77777777" w:rsidR="00E75FE1" w:rsidRPr="00E75FE1" w:rsidRDefault="00E75FE1" w:rsidP="00E75FE1">
      <w:pPr>
        <w:spacing w:beforeLines="50" w:before="156" w:afterLines="50" w:after="156" w:line="440" w:lineRule="exact"/>
        <w:rPr>
          <w:rFonts w:ascii="黑体" w:eastAsia="黑体" w:hAnsi="黑体" w:cs="Times New Roman"/>
          <w:sz w:val="28"/>
          <w:szCs w:val="28"/>
        </w:rPr>
      </w:pPr>
    </w:p>
    <w:p w14:paraId="03E3C326"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三、课程学习内容及与课程学习目标的对应关系</w:t>
      </w:r>
    </w:p>
    <w:p w14:paraId="53C22A99" w14:textId="77777777" w:rsidR="00E75FE1" w:rsidRPr="00E75FE1" w:rsidRDefault="00E75FE1" w:rsidP="00E75FE1">
      <w:pPr>
        <w:spacing w:beforeLines="50" w:before="156" w:afterLines="50" w:after="156" w:line="440" w:lineRule="exact"/>
        <w:ind w:firstLineChars="200" w:firstLine="562"/>
        <w:rPr>
          <w:rFonts w:ascii="黑体" w:eastAsia="黑体" w:hAnsi="黑体" w:cs="Times New Roman"/>
          <w:b/>
          <w:sz w:val="28"/>
          <w:szCs w:val="28"/>
        </w:rPr>
      </w:pPr>
      <w:r w:rsidRPr="00E75FE1">
        <w:rPr>
          <w:rFonts w:ascii="黑体" w:eastAsia="黑体" w:hAnsi="黑体" w:cs="Times New Roman" w:hint="eastAsia"/>
          <w:b/>
          <w:sz w:val="28"/>
          <w:szCs w:val="28"/>
        </w:rPr>
        <w:lastRenderedPageBreak/>
        <w:t>（一）课程学习内容</w:t>
      </w:r>
    </w:p>
    <w:p w14:paraId="5AE90659" w14:textId="77777777" w:rsidR="00E75FE1" w:rsidRPr="00E75FE1" w:rsidRDefault="00E75FE1" w:rsidP="00E75FE1">
      <w:pPr>
        <w:spacing w:beforeLines="50" w:before="156" w:afterLines="50" w:after="156" w:line="440" w:lineRule="exact"/>
        <w:ind w:firstLineChars="200" w:firstLine="560"/>
        <w:jc w:val="center"/>
        <w:rPr>
          <w:rFonts w:ascii="黑体" w:eastAsia="黑体" w:hAnsi="黑体" w:cs="Times New Roman"/>
          <w:sz w:val="28"/>
          <w:szCs w:val="28"/>
        </w:rPr>
      </w:pPr>
      <w:r w:rsidRPr="00E75FE1">
        <w:rPr>
          <w:rFonts w:ascii="黑体" w:eastAsia="黑体" w:hAnsi="黑体" w:cs="Times New Roman" w:hint="eastAsia"/>
          <w:sz w:val="28"/>
          <w:szCs w:val="28"/>
        </w:rPr>
        <w:t>学习内容</w:t>
      </w:r>
      <w:proofErr w:type="gramStart"/>
      <w:r w:rsidRPr="00E75FE1">
        <w:rPr>
          <w:rFonts w:ascii="黑体" w:eastAsia="黑体" w:hAnsi="黑体" w:cs="Times New Roman" w:hint="eastAsia"/>
          <w:sz w:val="28"/>
          <w:szCs w:val="28"/>
        </w:rPr>
        <w:t>一</w:t>
      </w:r>
      <w:proofErr w:type="gramEnd"/>
      <w:r w:rsidRPr="00E75FE1">
        <w:rPr>
          <w:rFonts w:ascii="黑体" w:eastAsia="黑体" w:hAnsi="黑体" w:cs="Times New Roman" w:hint="eastAsia"/>
          <w:sz w:val="28"/>
          <w:szCs w:val="28"/>
        </w:rPr>
        <w:t xml:space="preserve"> 体能+排球 </w:t>
      </w:r>
    </w:p>
    <w:p w14:paraId="38A56B36"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宋体" w:cs="Times New Roman"/>
          <w:bCs/>
          <w:sz w:val="24"/>
        </w:rPr>
      </w:pPr>
      <w:r w:rsidRPr="00E75FE1">
        <w:rPr>
          <w:rFonts w:ascii="宋体" w:eastAsia="宋体" w:hAnsi="宋体" w:cs="Times New Roman" w:hint="eastAsia"/>
          <w:b/>
          <w:sz w:val="24"/>
        </w:rPr>
        <w:t>【学习目标】</w:t>
      </w:r>
    </w:p>
    <w:p w14:paraId="3D0EB927"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1.</w:t>
      </w:r>
      <w:r w:rsidRPr="00E75FE1">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E75FE1">
        <w:rPr>
          <w:rFonts w:ascii="宋体" w:eastAsia="宋体" w:hAnsi="Calibri" w:cs="宋体" w:hint="eastAsia"/>
          <w:spacing w:val="5"/>
          <w:kern w:val="0"/>
          <w:sz w:val="24"/>
        </w:rPr>
        <w:t>通过体能教学活动，</w:t>
      </w:r>
      <w:r w:rsidRPr="00E75FE1">
        <w:rPr>
          <w:rFonts w:ascii="宋体" w:eastAsia="宋体" w:hAnsi="宋体" w:cs="仿宋_GB2312" w:hint="eastAsia"/>
          <w:sz w:val="24"/>
        </w:rPr>
        <w:t>了解《大学生体质健康标准测验》项目内容、考核方式、评价标准，掌握考核内容锻炼的方式方法。</w:t>
      </w:r>
      <w:r w:rsidRPr="00E75FE1">
        <w:rPr>
          <w:rFonts w:ascii="宋体" w:eastAsia="宋体" w:hAnsi="Calibri" w:cs="宋体" w:hint="eastAsia"/>
          <w:spacing w:val="5"/>
          <w:kern w:val="0"/>
          <w:sz w:val="24"/>
        </w:rPr>
        <w:t>培养学生努力学习、不断进取、修身立业、顽强奋进的精神与品质。</w:t>
      </w:r>
    </w:p>
    <w:p w14:paraId="78E1F265"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2.</w:t>
      </w:r>
      <w:r w:rsidRPr="00E75FE1">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E75FE1">
        <w:rPr>
          <w:rFonts w:ascii="宋体" w:eastAsia="宋体" w:hAnsi="Calibri" w:cs="宋体" w:hint="eastAsia"/>
          <w:spacing w:val="5"/>
          <w:kern w:val="0"/>
          <w:sz w:val="24"/>
        </w:rPr>
        <w:t>。</w:t>
      </w:r>
    </w:p>
    <w:p w14:paraId="0F1CF5BF"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3.</w:t>
      </w:r>
      <w:r w:rsidRPr="00E75FE1">
        <w:rPr>
          <w:rFonts w:ascii="宋体" w:eastAsia="宋体" w:hAnsi="宋体" w:cs="仿宋_GB2312" w:hint="eastAsia"/>
          <w:sz w:val="24"/>
        </w:rPr>
        <w:t>使学生能够掌握排球运动的一般规律和特点，使学生获得排球运动的基本技术、基本技能和基础理论知识，并了解现代排球的发展趋势。以运动和身体练习为基本手段，对大学生机体进行科学的培育，在提高人的生物潜能、心理潜能的过程中促进德、智、体、美全面发展，达到身心健康、全面发展的教育总目的</w:t>
      </w:r>
      <w:r w:rsidRPr="00E75FE1">
        <w:rPr>
          <w:rFonts w:ascii="宋体" w:eastAsia="宋体" w:hAnsi="Calibri" w:cs="宋体" w:hint="eastAsia"/>
          <w:spacing w:val="5"/>
          <w:kern w:val="0"/>
          <w:sz w:val="24"/>
        </w:rPr>
        <w:t>。</w:t>
      </w:r>
    </w:p>
    <w:p w14:paraId="650C46F9" w14:textId="77777777" w:rsidR="00E75FE1" w:rsidRPr="00E75FE1" w:rsidRDefault="00E75FE1" w:rsidP="00E75FE1">
      <w:pPr>
        <w:spacing w:line="440" w:lineRule="exact"/>
        <w:ind w:firstLineChars="200" w:firstLine="500"/>
        <w:rPr>
          <w:rFonts w:ascii="Calibri" w:eastAsia="宋体" w:hAnsi="Calibri" w:cs="Times New Roman"/>
        </w:rPr>
      </w:pPr>
      <w:r w:rsidRPr="00E75FE1">
        <w:rPr>
          <w:rFonts w:ascii="宋体" w:eastAsia="宋体" w:hAnsi="Calibri" w:cs="宋体" w:hint="eastAsia"/>
          <w:spacing w:val="5"/>
          <w:kern w:val="0"/>
          <w:sz w:val="24"/>
        </w:rPr>
        <w:t>4.</w:t>
      </w:r>
      <w:r w:rsidRPr="00E75FE1">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E75FE1">
        <w:rPr>
          <w:rFonts w:ascii="宋体" w:eastAsia="宋体" w:hAnsi="Calibri" w:cs="宋体" w:hint="eastAsia"/>
          <w:spacing w:val="5"/>
          <w:kern w:val="0"/>
          <w:sz w:val="24"/>
        </w:rPr>
        <w:t>。</w:t>
      </w:r>
    </w:p>
    <w:p w14:paraId="230BAD34" w14:textId="77777777" w:rsidR="00E75FE1" w:rsidRPr="00E75FE1" w:rsidRDefault="00E75FE1" w:rsidP="00E75FE1">
      <w:pPr>
        <w:spacing w:line="440" w:lineRule="exact"/>
        <w:rPr>
          <w:rFonts w:ascii="宋体" w:eastAsia="宋体" w:hAnsi="宋体" w:cs="Times New Roman"/>
          <w:b/>
          <w:sz w:val="24"/>
        </w:rPr>
      </w:pPr>
    </w:p>
    <w:p w14:paraId="12006934" w14:textId="77777777" w:rsidR="00E75FE1" w:rsidRPr="00E75FE1" w:rsidRDefault="00E75FE1" w:rsidP="00E75FE1">
      <w:pPr>
        <w:spacing w:line="440" w:lineRule="exact"/>
        <w:ind w:firstLineChars="200" w:firstLine="482"/>
        <w:rPr>
          <w:rFonts w:ascii="宋体" w:eastAsia="宋体" w:hAnsi="宋体" w:cs="Times New Roman"/>
          <w:bCs/>
          <w:sz w:val="24"/>
        </w:rPr>
      </w:pPr>
      <w:r w:rsidRPr="00E75FE1">
        <w:rPr>
          <w:rFonts w:ascii="宋体" w:eastAsia="宋体" w:hAnsi="宋体" w:cs="Times New Roman" w:hint="eastAsia"/>
          <w:b/>
          <w:sz w:val="24"/>
        </w:rPr>
        <w:t>【学习内容】</w:t>
      </w:r>
    </w:p>
    <w:p w14:paraId="34D0A40B" w14:textId="77777777" w:rsidR="00E75FE1" w:rsidRPr="00E75FE1" w:rsidRDefault="00E75FE1" w:rsidP="00E75FE1">
      <w:pPr>
        <w:spacing w:beforeLines="50" w:before="156" w:afterLines="50" w:after="156" w:line="360" w:lineRule="auto"/>
        <w:jc w:val="center"/>
        <w:rPr>
          <w:rFonts w:ascii="宋体" w:eastAsia="宋体" w:hAnsi="Calibri" w:cs="Arial"/>
          <w:b/>
          <w:sz w:val="28"/>
          <w:szCs w:val="28"/>
        </w:rPr>
      </w:pPr>
      <w:r w:rsidRPr="00E75FE1">
        <w:rPr>
          <w:rFonts w:ascii="宋体" w:eastAsia="宋体" w:hAnsi="宋体" w:cs="Arial" w:hint="eastAsia"/>
          <w:b/>
          <w:sz w:val="28"/>
          <w:szCs w:val="28"/>
        </w:rPr>
        <w:t>第一章</w:t>
      </w:r>
      <w:r w:rsidRPr="00E75FE1">
        <w:rPr>
          <w:rFonts w:ascii="宋体" w:eastAsia="宋体" w:hAnsi="宋体" w:cs="Arial"/>
          <w:b/>
          <w:sz w:val="28"/>
          <w:szCs w:val="28"/>
        </w:rPr>
        <w:t xml:space="preserve">   </w:t>
      </w:r>
      <w:r w:rsidRPr="00E75FE1">
        <w:rPr>
          <w:rFonts w:ascii="宋体" w:eastAsia="宋体" w:hAnsi="宋体" w:cs="Arial" w:hint="eastAsia"/>
          <w:b/>
          <w:sz w:val="28"/>
          <w:szCs w:val="28"/>
        </w:rPr>
        <w:t>认识健康的重要性（0.5学时）</w:t>
      </w:r>
    </w:p>
    <w:p w14:paraId="4331FDA8" w14:textId="77777777" w:rsidR="00E75FE1" w:rsidRPr="00E75FE1" w:rsidRDefault="00E75FE1" w:rsidP="00E75FE1">
      <w:pPr>
        <w:spacing w:before="50" w:after="50"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6FDCF0B1"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lastRenderedPageBreak/>
        <w:t>1.1 健康的内涵</w:t>
      </w:r>
    </w:p>
    <w:p w14:paraId="0A0AAE44"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1.2 预防与消除亚健康</w:t>
      </w:r>
    </w:p>
    <w:p w14:paraId="56CC12D6"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1.3 维护健康的法则</w:t>
      </w:r>
    </w:p>
    <w:p w14:paraId="6DFB750E" w14:textId="77777777" w:rsidR="00E75FE1" w:rsidRPr="00E75FE1" w:rsidRDefault="00E75FE1" w:rsidP="00E75FE1">
      <w:pPr>
        <w:spacing w:line="360" w:lineRule="auto"/>
        <w:ind w:leftChars="-29" w:left="-61" w:firstLineChars="219" w:firstLine="528"/>
        <w:rPr>
          <w:rFonts w:ascii="Arial" w:eastAsia="宋体" w:hAnsi="Calibri" w:cs="Arial"/>
          <w:b/>
          <w:sz w:val="24"/>
        </w:rPr>
      </w:pPr>
      <w:r w:rsidRPr="00E75FE1">
        <w:rPr>
          <w:rFonts w:ascii="Arial" w:eastAsia="宋体" w:hAnsi="Calibri" w:cs="Arial" w:hint="eastAsia"/>
          <w:b/>
          <w:sz w:val="24"/>
        </w:rPr>
        <w:t>本章教学目的及要求：</w:t>
      </w:r>
      <w:r w:rsidRPr="00E75FE1">
        <w:rPr>
          <w:rFonts w:ascii="Arial" w:eastAsia="宋体" w:hAnsi="Arial" w:cs="Arial" w:hint="eastAsia"/>
          <w:sz w:val="24"/>
        </w:rPr>
        <w:t>使同学们了解自身健康的重要性及如何维护、促进自身的健康。</w:t>
      </w:r>
    </w:p>
    <w:p w14:paraId="62C687B4" w14:textId="77777777" w:rsidR="00E75FE1" w:rsidRPr="00E75FE1" w:rsidRDefault="00E75FE1" w:rsidP="00E75FE1">
      <w:pPr>
        <w:adjustRightInd w:val="0"/>
        <w:snapToGrid w:val="0"/>
        <w:spacing w:line="500" w:lineRule="exact"/>
        <w:ind w:firstLineChars="196" w:firstLine="472"/>
        <w:rPr>
          <w:rFonts w:ascii="Arial" w:eastAsia="宋体" w:hAnsi="Arial" w:cs="Arial"/>
          <w:sz w:val="24"/>
        </w:rPr>
      </w:pPr>
      <w:r w:rsidRPr="00E75FE1">
        <w:rPr>
          <w:rFonts w:ascii="Arial" w:eastAsia="宋体" w:hAnsi="Calibri" w:cs="Arial" w:hint="eastAsia"/>
          <w:b/>
          <w:sz w:val="24"/>
        </w:rPr>
        <w:t>本章教学重点及难点：</w:t>
      </w:r>
      <w:r w:rsidRPr="00E75FE1">
        <w:rPr>
          <w:rFonts w:ascii="Arial" w:eastAsia="宋体" w:hAnsi="Arial" w:cs="Arial" w:hint="eastAsia"/>
          <w:sz w:val="24"/>
        </w:rPr>
        <w:t>认识到健康的重要性；如何维护自身的健康。</w:t>
      </w:r>
    </w:p>
    <w:p w14:paraId="7550FAB3" w14:textId="77777777" w:rsidR="00E75FE1" w:rsidRPr="00E75FE1" w:rsidRDefault="00E75FE1" w:rsidP="00E75FE1">
      <w:pPr>
        <w:spacing w:beforeLines="50" w:before="156" w:afterLines="50" w:after="156" w:line="360" w:lineRule="auto"/>
        <w:jc w:val="center"/>
        <w:rPr>
          <w:rFonts w:ascii="Arial" w:eastAsia="宋体" w:hAnsi="Arial" w:cs="Arial"/>
          <w:b/>
          <w:sz w:val="28"/>
          <w:szCs w:val="28"/>
        </w:rPr>
      </w:pPr>
      <w:r w:rsidRPr="00E75FE1">
        <w:rPr>
          <w:rFonts w:ascii="Arial" w:eastAsia="宋体" w:hAnsi="Calibri" w:cs="Arial" w:hint="eastAsia"/>
          <w:b/>
          <w:sz w:val="28"/>
          <w:szCs w:val="28"/>
        </w:rPr>
        <w:t>第二章</w:t>
      </w:r>
      <w:r w:rsidRPr="00E75FE1">
        <w:rPr>
          <w:rFonts w:ascii="Arial" w:eastAsia="宋体" w:hAnsi="Arial" w:cs="Arial"/>
          <w:b/>
          <w:sz w:val="28"/>
          <w:szCs w:val="28"/>
        </w:rPr>
        <w:t xml:space="preserve">   </w:t>
      </w:r>
      <w:r w:rsidRPr="00E75FE1">
        <w:rPr>
          <w:rFonts w:ascii="Arial" w:eastAsia="宋体" w:hAnsi="Calibri" w:cs="Arial" w:hint="eastAsia"/>
          <w:b/>
          <w:sz w:val="28"/>
          <w:szCs w:val="28"/>
        </w:rPr>
        <w:t>科学健身的理论与方法（</w:t>
      </w:r>
      <w:r w:rsidRPr="00E75FE1">
        <w:rPr>
          <w:rFonts w:ascii="Arial" w:eastAsia="宋体" w:hAnsi="Calibri" w:cs="Arial" w:hint="eastAsia"/>
          <w:b/>
          <w:sz w:val="28"/>
          <w:szCs w:val="28"/>
        </w:rPr>
        <w:t>0.5</w:t>
      </w:r>
      <w:r w:rsidRPr="00E75FE1">
        <w:rPr>
          <w:rFonts w:ascii="Arial" w:eastAsia="宋体" w:hAnsi="Calibri" w:cs="Arial" w:hint="eastAsia"/>
          <w:b/>
          <w:sz w:val="28"/>
          <w:szCs w:val="28"/>
        </w:rPr>
        <w:t>学时）</w:t>
      </w:r>
    </w:p>
    <w:p w14:paraId="3EAE9DF6" w14:textId="77777777" w:rsidR="00E75FE1" w:rsidRPr="00E75FE1" w:rsidRDefault="00E75FE1" w:rsidP="00E75FE1">
      <w:pPr>
        <w:spacing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4BEEC6CD"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2.1 健身新理念</w:t>
      </w:r>
    </w:p>
    <w:p w14:paraId="224D778C"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2.2 运动处方</w:t>
      </w:r>
    </w:p>
    <w:p w14:paraId="10EFFDDE" w14:textId="77777777" w:rsidR="00E75FE1" w:rsidRPr="00E75FE1" w:rsidRDefault="00E75FE1" w:rsidP="00E75FE1">
      <w:pPr>
        <w:spacing w:line="360" w:lineRule="auto"/>
        <w:ind w:firstLineChars="196" w:firstLine="472"/>
        <w:rPr>
          <w:rFonts w:ascii="Calibri" w:eastAsia="宋体" w:hAnsi="Calibri" w:cs="Times New Roman"/>
          <w:bCs/>
          <w:sz w:val="24"/>
        </w:rPr>
      </w:pPr>
      <w:r w:rsidRPr="00E75FE1">
        <w:rPr>
          <w:rFonts w:ascii="Arial" w:eastAsia="宋体" w:hAnsi="Calibri" w:cs="Arial" w:hint="eastAsia"/>
          <w:b/>
          <w:sz w:val="24"/>
        </w:rPr>
        <w:t>本章教学目的及要求：</w:t>
      </w:r>
      <w:r w:rsidRPr="00E75FE1">
        <w:rPr>
          <w:rFonts w:ascii="Calibri" w:eastAsia="宋体" w:hAnsi="Calibri" w:cs="Times New Roman" w:hint="eastAsia"/>
          <w:bCs/>
          <w:sz w:val="24"/>
        </w:rPr>
        <w:t>使学生了解健身新理念及运动处方如何制定。</w:t>
      </w:r>
    </w:p>
    <w:p w14:paraId="61EAF67A" w14:textId="77777777" w:rsidR="00E75FE1" w:rsidRPr="00E75FE1" w:rsidRDefault="00E75FE1" w:rsidP="00E75FE1">
      <w:pPr>
        <w:spacing w:line="360" w:lineRule="auto"/>
        <w:ind w:firstLineChars="200" w:firstLine="482"/>
        <w:rPr>
          <w:rFonts w:ascii="Arial" w:eastAsia="宋体" w:hAnsi="Arial" w:cs="Arial"/>
          <w:sz w:val="24"/>
        </w:rPr>
      </w:pPr>
      <w:r w:rsidRPr="00E75FE1">
        <w:rPr>
          <w:rFonts w:ascii="Arial" w:eastAsia="宋体" w:hAnsi="Calibri" w:cs="Arial" w:hint="eastAsia"/>
          <w:b/>
          <w:sz w:val="24"/>
        </w:rPr>
        <w:t>本章教学重点及难点：</w:t>
      </w:r>
      <w:r w:rsidRPr="00E75FE1">
        <w:rPr>
          <w:rFonts w:ascii="Arial" w:eastAsia="宋体" w:hAnsi="Calibri" w:cs="Arial" w:hint="eastAsia"/>
          <w:sz w:val="24"/>
        </w:rPr>
        <w:t>制订运动处方的重要性；如何制订自身的运动处方。</w:t>
      </w:r>
    </w:p>
    <w:p w14:paraId="0DFE9571" w14:textId="77777777" w:rsidR="00E75FE1" w:rsidRPr="00E75FE1" w:rsidRDefault="00E75FE1" w:rsidP="00E75FE1">
      <w:pPr>
        <w:spacing w:beforeLines="50" w:before="156" w:afterLines="50" w:after="156" w:line="360" w:lineRule="auto"/>
        <w:jc w:val="center"/>
        <w:rPr>
          <w:rFonts w:ascii="Arial" w:eastAsia="宋体" w:hAnsi="Arial" w:cs="Arial"/>
          <w:b/>
          <w:sz w:val="28"/>
          <w:szCs w:val="28"/>
        </w:rPr>
      </w:pPr>
      <w:r w:rsidRPr="00E75FE1">
        <w:rPr>
          <w:rFonts w:ascii="Arial" w:eastAsia="宋体" w:hAnsi="Calibri" w:cs="Arial" w:hint="eastAsia"/>
          <w:b/>
          <w:sz w:val="28"/>
          <w:szCs w:val="28"/>
        </w:rPr>
        <w:t>第三章</w:t>
      </w:r>
      <w:r w:rsidRPr="00E75FE1">
        <w:rPr>
          <w:rFonts w:ascii="Arial" w:eastAsia="宋体" w:hAnsi="Arial" w:cs="Arial"/>
          <w:b/>
          <w:sz w:val="28"/>
          <w:szCs w:val="28"/>
        </w:rPr>
        <w:t xml:space="preserve">   </w:t>
      </w:r>
      <w:r w:rsidRPr="00E75FE1">
        <w:rPr>
          <w:rFonts w:ascii="Arial" w:eastAsia="宋体" w:hAnsi="Calibri" w:cs="Arial" w:hint="eastAsia"/>
          <w:b/>
          <w:sz w:val="28"/>
          <w:szCs w:val="28"/>
        </w:rPr>
        <w:t>营养与健康（</w:t>
      </w:r>
      <w:r w:rsidRPr="00E75FE1">
        <w:rPr>
          <w:rFonts w:ascii="Arial" w:eastAsia="宋体" w:hAnsi="Calibri" w:cs="Arial" w:hint="eastAsia"/>
          <w:b/>
          <w:sz w:val="28"/>
          <w:szCs w:val="28"/>
        </w:rPr>
        <w:t>0.5</w:t>
      </w:r>
      <w:r w:rsidRPr="00E75FE1">
        <w:rPr>
          <w:rFonts w:ascii="Arial" w:eastAsia="宋体" w:hAnsi="Calibri" w:cs="Arial" w:hint="eastAsia"/>
          <w:b/>
          <w:sz w:val="28"/>
          <w:szCs w:val="28"/>
        </w:rPr>
        <w:t>学时）</w:t>
      </w:r>
    </w:p>
    <w:p w14:paraId="7AB7D1D6" w14:textId="77777777" w:rsidR="00E75FE1" w:rsidRPr="00E75FE1" w:rsidRDefault="00E75FE1" w:rsidP="00E75FE1">
      <w:pPr>
        <w:spacing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78F9EB03"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3.1 营养对健康的影响</w:t>
      </w:r>
    </w:p>
    <w:p w14:paraId="26B9BE10"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3.2 营养素及人体对营养的需要</w:t>
      </w:r>
    </w:p>
    <w:p w14:paraId="3EBD3BE9"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3.3 平衡膳食</w:t>
      </w:r>
    </w:p>
    <w:p w14:paraId="7CB03A26"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3.4 运动与营养</w:t>
      </w:r>
    </w:p>
    <w:p w14:paraId="0FB3C236" w14:textId="77777777" w:rsidR="00E75FE1" w:rsidRPr="00E75FE1" w:rsidRDefault="00E75FE1" w:rsidP="00E75FE1">
      <w:pPr>
        <w:spacing w:line="360" w:lineRule="auto"/>
        <w:ind w:firstLineChars="196" w:firstLine="472"/>
        <w:rPr>
          <w:rFonts w:ascii="Calibri" w:eastAsia="宋体" w:hAnsi="Calibri" w:cs="Times New Roman"/>
          <w:bCs/>
          <w:sz w:val="24"/>
        </w:rPr>
      </w:pPr>
      <w:r w:rsidRPr="00E75FE1">
        <w:rPr>
          <w:rFonts w:ascii="Arial" w:eastAsia="宋体" w:hAnsi="Calibri" w:cs="Arial" w:hint="eastAsia"/>
          <w:b/>
          <w:sz w:val="24"/>
        </w:rPr>
        <w:t>本章教学目的及要求：</w:t>
      </w:r>
      <w:r w:rsidRPr="00E75FE1">
        <w:rPr>
          <w:rFonts w:ascii="Calibri" w:eastAsia="宋体" w:hAnsi="Calibri" w:cs="Times New Roman" w:hint="eastAsia"/>
          <w:bCs/>
          <w:sz w:val="24"/>
        </w:rPr>
        <w:t>让学生正确认识科学补充营养可以提高自身免疫力，从而提高生活质量。</w:t>
      </w:r>
    </w:p>
    <w:p w14:paraId="7E2E5593" w14:textId="77777777" w:rsidR="00E75FE1" w:rsidRPr="00E75FE1" w:rsidRDefault="00E75FE1" w:rsidP="00E75FE1">
      <w:pPr>
        <w:spacing w:line="360" w:lineRule="auto"/>
        <w:ind w:firstLineChars="196" w:firstLine="472"/>
        <w:rPr>
          <w:rFonts w:ascii="Arial" w:eastAsia="宋体" w:hAnsi="Arial" w:cs="Arial"/>
          <w:bCs/>
          <w:sz w:val="24"/>
        </w:rPr>
      </w:pPr>
      <w:r w:rsidRPr="00E75FE1">
        <w:rPr>
          <w:rFonts w:ascii="Arial" w:eastAsia="宋体" w:hAnsi="Calibri" w:cs="Arial" w:hint="eastAsia"/>
          <w:b/>
          <w:sz w:val="24"/>
        </w:rPr>
        <w:t>本章教学重点及难点：</w:t>
      </w:r>
      <w:r w:rsidRPr="00E75FE1">
        <w:rPr>
          <w:rFonts w:ascii="Arial" w:eastAsia="宋体" w:hAnsi="Calibri" w:cs="Arial" w:hint="eastAsia"/>
          <w:sz w:val="24"/>
        </w:rPr>
        <w:t>学生阶段的营养过剩与运动不足；补充营养的同时如何提高自身的健康。</w:t>
      </w:r>
    </w:p>
    <w:p w14:paraId="5295DEF0" w14:textId="77777777" w:rsidR="00E75FE1" w:rsidRPr="00E75FE1" w:rsidRDefault="00E75FE1" w:rsidP="00E75FE1">
      <w:pPr>
        <w:spacing w:beforeLines="50" w:before="156" w:afterLines="50" w:after="156" w:line="360" w:lineRule="auto"/>
        <w:jc w:val="center"/>
        <w:rPr>
          <w:rFonts w:ascii="Arial" w:eastAsia="宋体" w:hAnsi="Arial" w:cs="Arial"/>
          <w:b/>
          <w:sz w:val="28"/>
          <w:szCs w:val="28"/>
        </w:rPr>
      </w:pPr>
      <w:r w:rsidRPr="00E75FE1">
        <w:rPr>
          <w:rFonts w:ascii="Arial" w:eastAsia="宋体" w:hAnsi="Calibri" w:cs="Arial" w:hint="eastAsia"/>
          <w:b/>
          <w:sz w:val="28"/>
          <w:szCs w:val="28"/>
        </w:rPr>
        <w:t>第四章</w:t>
      </w:r>
      <w:r w:rsidRPr="00E75FE1">
        <w:rPr>
          <w:rFonts w:ascii="Arial" w:eastAsia="宋体" w:hAnsi="Arial" w:cs="Arial"/>
          <w:b/>
          <w:sz w:val="28"/>
          <w:szCs w:val="28"/>
        </w:rPr>
        <w:t xml:space="preserve">   </w:t>
      </w:r>
      <w:r w:rsidRPr="00E75FE1">
        <w:rPr>
          <w:rFonts w:ascii="Arial" w:eastAsia="宋体" w:hAnsi="Calibri" w:cs="Arial" w:hint="eastAsia"/>
          <w:b/>
          <w:sz w:val="28"/>
          <w:szCs w:val="28"/>
        </w:rPr>
        <w:t>体育保健知识（</w:t>
      </w:r>
      <w:r w:rsidRPr="00E75FE1">
        <w:rPr>
          <w:rFonts w:ascii="Arial" w:eastAsia="宋体" w:hAnsi="Calibri" w:cs="Arial" w:hint="eastAsia"/>
          <w:b/>
          <w:sz w:val="28"/>
          <w:szCs w:val="28"/>
        </w:rPr>
        <w:t>0.5</w:t>
      </w:r>
      <w:r w:rsidRPr="00E75FE1">
        <w:rPr>
          <w:rFonts w:ascii="Arial" w:eastAsia="宋体" w:hAnsi="Calibri" w:cs="Arial" w:hint="eastAsia"/>
          <w:b/>
          <w:sz w:val="28"/>
          <w:szCs w:val="28"/>
        </w:rPr>
        <w:t>学时）</w:t>
      </w:r>
    </w:p>
    <w:p w14:paraId="5A9684D0" w14:textId="77777777" w:rsidR="00E75FE1" w:rsidRPr="00E75FE1" w:rsidRDefault="00E75FE1" w:rsidP="00E75FE1">
      <w:pPr>
        <w:spacing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5B72016B"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4.1运动中常见的生理反应与处理方法</w:t>
      </w:r>
    </w:p>
    <w:p w14:paraId="3FAD4841"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lastRenderedPageBreak/>
        <w:t>4.2 运动损伤的处置</w:t>
      </w:r>
    </w:p>
    <w:p w14:paraId="75B9AC0B"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4.3女子运动保健</w:t>
      </w:r>
    </w:p>
    <w:p w14:paraId="6F0A184E" w14:textId="77777777" w:rsidR="00E75FE1" w:rsidRPr="00E75FE1" w:rsidRDefault="00E75FE1" w:rsidP="00E75FE1">
      <w:pPr>
        <w:spacing w:line="360" w:lineRule="auto"/>
        <w:ind w:firstLineChars="196" w:firstLine="472"/>
        <w:rPr>
          <w:rFonts w:ascii="Calibri" w:eastAsia="宋体" w:hAnsi="Calibri" w:cs="Times New Roman"/>
          <w:bCs/>
          <w:sz w:val="24"/>
        </w:rPr>
      </w:pPr>
      <w:r w:rsidRPr="00E75FE1">
        <w:rPr>
          <w:rFonts w:ascii="Arial" w:eastAsia="宋体" w:hAnsi="Calibri" w:cs="Arial" w:hint="eastAsia"/>
          <w:b/>
          <w:sz w:val="24"/>
        </w:rPr>
        <w:t>本章教学目的及要求：</w:t>
      </w:r>
      <w:r w:rsidRPr="00E75FE1">
        <w:rPr>
          <w:rFonts w:ascii="Calibri" w:eastAsia="宋体" w:hAnsi="Calibri" w:cs="Times New Roman" w:hint="eastAsia"/>
          <w:bCs/>
          <w:sz w:val="24"/>
        </w:rPr>
        <w:t>使学生了解运动中常见的生理反应及处理方法。</w:t>
      </w:r>
    </w:p>
    <w:p w14:paraId="71536158" w14:textId="77777777" w:rsidR="00E75FE1" w:rsidRPr="00E75FE1" w:rsidRDefault="00E75FE1" w:rsidP="00E75FE1">
      <w:pPr>
        <w:spacing w:line="360" w:lineRule="auto"/>
        <w:ind w:firstLineChars="196" w:firstLine="472"/>
        <w:rPr>
          <w:rFonts w:ascii="Arial" w:eastAsia="宋体" w:hAnsi="Calibri" w:cs="Arial"/>
          <w:sz w:val="24"/>
        </w:rPr>
      </w:pPr>
      <w:r w:rsidRPr="00E75FE1">
        <w:rPr>
          <w:rFonts w:ascii="Arial" w:eastAsia="宋体" w:hAnsi="Calibri" w:cs="Arial" w:hint="eastAsia"/>
          <w:b/>
          <w:sz w:val="24"/>
        </w:rPr>
        <w:t>本章教学重点及难点：</w:t>
      </w:r>
      <w:r w:rsidRPr="00E75FE1">
        <w:rPr>
          <w:rFonts w:ascii="Arial" w:eastAsia="宋体" w:hAnsi="Calibri" w:cs="Arial" w:hint="eastAsia"/>
          <w:sz w:val="24"/>
        </w:rPr>
        <w:t>学生如何预防常见的运动损伤；运动损伤如何处置。</w:t>
      </w:r>
    </w:p>
    <w:p w14:paraId="26CA544C" w14:textId="77777777" w:rsidR="00E75FE1" w:rsidRPr="00E75FE1" w:rsidRDefault="00E75FE1" w:rsidP="00E75FE1">
      <w:pPr>
        <w:tabs>
          <w:tab w:val="left" w:pos="960"/>
        </w:tabs>
        <w:spacing w:beforeLines="50" w:before="156" w:afterLines="50" w:after="156" w:line="360" w:lineRule="auto"/>
        <w:jc w:val="center"/>
        <w:rPr>
          <w:rFonts w:ascii="宋体" w:eastAsia="宋体" w:hAnsi="Calibri" w:cs="Arial"/>
          <w:b/>
          <w:bCs/>
          <w:sz w:val="28"/>
          <w:szCs w:val="28"/>
        </w:rPr>
      </w:pPr>
      <w:r w:rsidRPr="00E75FE1">
        <w:rPr>
          <w:rFonts w:ascii="宋体" w:eastAsia="宋体" w:hAnsi="宋体" w:cs="Arial" w:hint="eastAsia"/>
          <w:b/>
          <w:bCs/>
          <w:sz w:val="28"/>
          <w:szCs w:val="28"/>
        </w:rPr>
        <w:t>第五章 了解体育文化（0.5课时）</w:t>
      </w:r>
    </w:p>
    <w:p w14:paraId="3B10ADAB" w14:textId="77777777" w:rsidR="00E75FE1" w:rsidRPr="00E75FE1" w:rsidRDefault="00E75FE1" w:rsidP="00E75FE1">
      <w:pPr>
        <w:spacing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09E34C98"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5.1中西方体育文化比较</w:t>
      </w:r>
    </w:p>
    <w:p w14:paraId="6FFE2407"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5.2 奥林匹克体育文化</w:t>
      </w:r>
    </w:p>
    <w:p w14:paraId="03B92552"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5.3 校园体育文化</w:t>
      </w:r>
    </w:p>
    <w:p w14:paraId="70D9692B" w14:textId="77777777" w:rsidR="00E75FE1" w:rsidRPr="00E75FE1" w:rsidRDefault="00E75FE1" w:rsidP="00E75FE1">
      <w:pPr>
        <w:spacing w:line="360" w:lineRule="auto"/>
        <w:ind w:firstLineChars="196" w:firstLine="472"/>
        <w:rPr>
          <w:rFonts w:ascii="Arial" w:eastAsia="宋体" w:hAnsi="Calibri" w:cs="Arial"/>
          <w:b/>
          <w:sz w:val="24"/>
        </w:rPr>
      </w:pPr>
      <w:r w:rsidRPr="00E75FE1">
        <w:rPr>
          <w:rFonts w:ascii="Arial" w:eastAsia="宋体" w:hAnsi="Calibri" w:cs="Arial" w:hint="eastAsia"/>
          <w:b/>
          <w:sz w:val="24"/>
        </w:rPr>
        <w:t>本章教学目的及要求：</w:t>
      </w:r>
      <w:r w:rsidRPr="00E75FE1">
        <w:rPr>
          <w:rFonts w:ascii="Arial" w:eastAsia="宋体" w:hAnsi="Calibri" w:cs="Arial" w:hint="eastAsia"/>
          <w:bCs/>
          <w:sz w:val="24"/>
          <w:szCs w:val="28"/>
        </w:rPr>
        <w:t>让学生了解东西方体育文化的差异。</w:t>
      </w:r>
    </w:p>
    <w:p w14:paraId="5FA4812B" w14:textId="77777777" w:rsidR="00E75FE1" w:rsidRPr="00E75FE1" w:rsidRDefault="00E75FE1" w:rsidP="00E75FE1">
      <w:pPr>
        <w:spacing w:line="360" w:lineRule="auto"/>
        <w:ind w:firstLineChars="196" w:firstLine="472"/>
        <w:rPr>
          <w:rFonts w:ascii="Arial" w:eastAsia="宋体" w:hAnsi="Calibri" w:cs="Arial"/>
          <w:b/>
          <w:sz w:val="24"/>
        </w:rPr>
      </w:pPr>
      <w:r w:rsidRPr="00E75FE1">
        <w:rPr>
          <w:rFonts w:ascii="Arial" w:eastAsia="宋体" w:hAnsi="Calibri" w:cs="Arial" w:hint="eastAsia"/>
          <w:b/>
          <w:sz w:val="24"/>
        </w:rPr>
        <w:t>本章教学重点及难点：</w:t>
      </w:r>
      <w:r w:rsidRPr="00E75FE1">
        <w:rPr>
          <w:rFonts w:ascii="Arial" w:eastAsia="宋体" w:hAnsi="Calibri" w:cs="Arial" w:hint="eastAsia"/>
          <w:sz w:val="24"/>
        </w:rPr>
        <w:t>介绍奥林匹克文化的发展</w:t>
      </w:r>
      <w:r w:rsidRPr="00E75FE1">
        <w:rPr>
          <w:rFonts w:ascii="Arial" w:eastAsia="宋体" w:hAnsi="Calibri" w:cs="Arial" w:hint="eastAsia"/>
          <w:bCs/>
          <w:sz w:val="24"/>
          <w:szCs w:val="28"/>
        </w:rPr>
        <w:t>；介绍校园体育文化的发展与功能。</w:t>
      </w:r>
    </w:p>
    <w:p w14:paraId="44FC33D9" w14:textId="77777777" w:rsidR="00E75FE1" w:rsidRPr="00E75FE1" w:rsidRDefault="00E75FE1" w:rsidP="00E75FE1">
      <w:pPr>
        <w:spacing w:beforeLines="50" w:before="156" w:afterLines="50" w:after="156" w:line="360" w:lineRule="auto"/>
        <w:jc w:val="center"/>
        <w:rPr>
          <w:rFonts w:ascii="Arial" w:eastAsia="宋体" w:hAnsi="Calibri" w:cs="Arial"/>
          <w:b/>
          <w:sz w:val="28"/>
          <w:szCs w:val="28"/>
        </w:rPr>
      </w:pPr>
      <w:r w:rsidRPr="00E75FE1">
        <w:rPr>
          <w:rFonts w:ascii="宋体" w:eastAsia="宋体" w:hAnsi="宋体" w:cs="宋体" w:hint="eastAsia"/>
          <w:b/>
          <w:bCs/>
          <w:sz w:val="28"/>
          <w:szCs w:val="28"/>
        </w:rPr>
        <w:t>第六章 欣赏体育比赛</w:t>
      </w:r>
      <w:r w:rsidRPr="00E75FE1">
        <w:rPr>
          <w:rFonts w:ascii="Arial" w:eastAsia="宋体" w:hAnsi="Calibri" w:cs="Arial" w:hint="eastAsia"/>
          <w:b/>
          <w:sz w:val="28"/>
          <w:szCs w:val="28"/>
        </w:rPr>
        <w:t>（</w:t>
      </w:r>
      <w:r w:rsidRPr="00E75FE1">
        <w:rPr>
          <w:rFonts w:ascii="Arial" w:eastAsia="宋体" w:hAnsi="Arial" w:cs="Arial" w:hint="eastAsia"/>
          <w:b/>
          <w:sz w:val="28"/>
          <w:szCs w:val="28"/>
        </w:rPr>
        <w:t>0.5</w:t>
      </w:r>
      <w:r w:rsidRPr="00E75FE1">
        <w:rPr>
          <w:rFonts w:ascii="Arial" w:eastAsia="宋体" w:hAnsi="Calibri" w:cs="Arial" w:hint="eastAsia"/>
          <w:b/>
          <w:sz w:val="28"/>
          <w:szCs w:val="28"/>
        </w:rPr>
        <w:t>学时）</w:t>
      </w:r>
    </w:p>
    <w:p w14:paraId="1A5DF4E2" w14:textId="77777777" w:rsidR="00E75FE1" w:rsidRPr="00E75FE1" w:rsidRDefault="00E75FE1" w:rsidP="00E75FE1">
      <w:pPr>
        <w:spacing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21884EE8"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6.1体育欣赏的体育美学原理及特点</w:t>
      </w:r>
    </w:p>
    <w:p w14:paraId="0547D4BB"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6.2 体育运动的欣赏内容</w:t>
      </w:r>
    </w:p>
    <w:p w14:paraId="2FB8B11F"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6.3 特定运动项目的欣赏</w:t>
      </w:r>
    </w:p>
    <w:p w14:paraId="5B6FCC06" w14:textId="77777777" w:rsidR="00E75FE1" w:rsidRPr="00E75FE1" w:rsidRDefault="00E75FE1" w:rsidP="00E75FE1">
      <w:pPr>
        <w:spacing w:line="360" w:lineRule="auto"/>
        <w:ind w:firstLineChars="196" w:firstLine="472"/>
        <w:rPr>
          <w:rFonts w:ascii="Arial" w:eastAsia="宋体" w:hAnsi="Calibri" w:cs="Arial"/>
          <w:b/>
          <w:sz w:val="24"/>
        </w:rPr>
      </w:pPr>
      <w:r w:rsidRPr="00E75FE1">
        <w:rPr>
          <w:rFonts w:ascii="Arial" w:eastAsia="宋体" w:hAnsi="Calibri" w:cs="Arial" w:hint="eastAsia"/>
          <w:b/>
          <w:sz w:val="24"/>
        </w:rPr>
        <w:t>本章教学目的及要求：</w:t>
      </w:r>
      <w:r w:rsidRPr="00E75FE1">
        <w:rPr>
          <w:rFonts w:ascii="Arial" w:eastAsia="宋体" w:hAnsi="Calibri" w:cs="Arial" w:hint="eastAsia"/>
          <w:bCs/>
          <w:sz w:val="24"/>
          <w:szCs w:val="28"/>
        </w:rPr>
        <w:t>使学生提高体育文化素质，培养起体育欣赏的兴趣，树立正确的体育审美观念。</w:t>
      </w:r>
    </w:p>
    <w:p w14:paraId="6AF2F33F" w14:textId="77777777" w:rsidR="00E75FE1" w:rsidRPr="00E75FE1" w:rsidRDefault="00E75FE1" w:rsidP="00E75FE1">
      <w:pPr>
        <w:spacing w:line="360" w:lineRule="auto"/>
        <w:ind w:firstLineChars="196" w:firstLine="472"/>
        <w:rPr>
          <w:rFonts w:ascii="Arial" w:eastAsia="宋体" w:hAnsi="Calibri" w:cs="Arial"/>
          <w:b/>
          <w:sz w:val="24"/>
        </w:rPr>
      </w:pPr>
      <w:r w:rsidRPr="00E75FE1">
        <w:rPr>
          <w:rFonts w:ascii="Arial" w:eastAsia="宋体" w:hAnsi="Calibri" w:cs="Arial" w:hint="eastAsia"/>
          <w:b/>
          <w:sz w:val="24"/>
        </w:rPr>
        <w:t>本章教学重点及难点：</w:t>
      </w:r>
      <w:r w:rsidRPr="00E75FE1">
        <w:rPr>
          <w:rFonts w:ascii="Arial" w:eastAsia="宋体" w:hAnsi="Calibri" w:cs="Arial" w:hint="eastAsia"/>
          <w:sz w:val="24"/>
        </w:rPr>
        <w:t>如何欣赏球类比赛</w:t>
      </w:r>
      <w:r w:rsidRPr="00E75FE1">
        <w:rPr>
          <w:rFonts w:ascii="Arial" w:eastAsia="宋体" w:hAnsi="Calibri" w:cs="Arial" w:hint="eastAsia"/>
          <w:bCs/>
          <w:sz w:val="24"/>
          <w:szCs w:val="28"/>
        </w:rPr>
        <w:t>；如何提高体育欣赏水平。</w:t>
      </w:r>
    </w:p>
    <w:p w14:paraId="056A9567" w14:textId="77777777" w:rsidR="00E75FE1" w:rsidRPr="00E75FE1" w:rsidRDefault="00E75FE1" w:rsidP="00E75FE1">
      <w:pPr>
        <w:spacing w:beforeLines="50" w:before="156" w:afterLines="50" w:after="156" w:line="360" w:lineRule="auto"/>
        <w:jc w:val="center"/>
        <w:rPr>
          <w:rFonts w:ascii="Arial" w:eastAsia="宋体" w:hAnsi="Arial" w:cs="Arial"/>
          <w:b/>
          <w:sz w:val="28"/>
          <w:szCs w:val="28"/>
        </w:rPr>
      </w:pPr>
      <w:r w:rsidRPr="00E75FE1">
        <w:rPr>
          <w:rFonts w:ascii="Arial" w:eastAsia="宋体" w:hAnsi="Calibri" w:cs="Arial" w:hint="eastAsia"/>
          <w:b/>
          <w:sz w:val="28"/>
          <w:szCs w:val="28"/>
        </w:rPr>
        <w:t>第七章</w:t>
      </w:r>
      <w:r w:rsidRPr="00E75FE1">
        <w:rPr>
          <w:rFonts w:ascii="Arial" w:eastAsia="宋体" w:hAnsi="Arial" w:cs="Arial"/>
          <w:b/>
          <w:sz w:val="28"/>
          <w:szCs w:val="28"/>
        </w:rPr>
        <w:t xml:space="preserve">   </w:t>
      </w:r>
      <w:r w:rsidRPr="00E75FE1">
        <w:rPr>
          <w:rFonts w:ascii="Arial" w:eastAsia="宋体" w:hAnsi="Arial" w:cs="Arial"/>
          <w:b/>
          <w:sz w:val="28"/>
          <w:szCs w:val="28"/>
        </w:rPr>
        <w:t>大</w:t>
      </w:r>
      <w:r w:rsidRPr="00E75FE1">
        <w:rPr>
          <w:rFonts w:ascii="Arial" w:eastAsia="宋体" w:hAnsi="Calibri" w:cs="Arial" w:hint="eastAsia"/>
          <w:b/>
          <w:sz w:val="28"/>
          <w:szCs w:val="28"/>
        </w:rPr>
        <w:t>学生体质健康测评（</w:t>
      </w:r>
      <w:r w:rsidRPr="00E75FE1">
        <w:rPr>
          <w:rFonts w:ascii="Arial" w:eastAsia="宋体" w:hAnsi="Calibri" w:cs="Arial" w:hint="eastAsia"/>
          <w:b/>
          <w:sz w:val="28"/>
          <w:szCs w:val="28"/>
        </w:rPr>
        <w:t>4</w:t>
      </w:r>
      <w:r w:rsidRPr="00E75FE1">
        <w:rPr>
          <w:rFonts w:ascii="Arial" w:eastAsia="宋体" w:hAnsi="Calibri" w:cs="Arial" w:hint="eastAsia"/>
          <w:b/>
          <w:sz w:val="28"/>
          <w:szCs w:val="28"/>
        </w:rPr>
        <w:t>学时）</w:t>
      </w:r>
    </w:p>
    <w:p w14:paraId="64F237E7" w14:textId="77777777" w:rsidR="00E75FE1" w:rsidRPr="00E75FE1" w:rsidRDefault="00E75FE1" w:rsidP="00E75FE1">
      <w:pPr>
        <w:spacing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3B578E8E"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7.1 《国家学生体质健康标准》实施说明</w:t>
      </w:r>
    </w:p>
    <w:p w14:paraId="2904BE2C" w14:textId="77777777" w:rsidR="00E75FE1" w:rsidRPr="00E75FE1" w:rsidRDefault="00E75FE1" w:rsidP="00E75FE1">
      <w:pPr>
        <w:autoSpaceDE w:val="0"/>
        <w:autoSpaceDN w:val="0"/>
        <w:adjustRightInd w:val="0"/>
        <w:snapToGrid w:val="0"/>
        <w:spacing w:line="500" w:lineRule="exact"/>
        <w:ind w:firstLineChars="200" w:firstLine="500"/>
        <w:jc w:val="left"/>
        <w:rPr>
          <w:rFonts w:ascii="Arial" w:eastAsia="宋体" w:hAnsi="Calibri" w:cs="Arial"/>
          <w:sz w:val="24"/>
        </w:rPr>
      </w:pPr>
      <w:r w:rsidRPr="00E75FE1">
        <w:rPr>
          <w:rFonts w:ascii="宋体" w:eastAsia="宋体" w:hAnsi="Calibri" w:cs="宋体" w:hint="eastAsia"/>
          <w:spacing w:val="5"/>
          <w:kern w:val="0"/>
          <w:sz w:val="24"/>
        </w:rPr>
        <w:t>7.2 《国家学生体质健康标准》测试评分表</w:t>
      </w:r>
    </w:p>
    <w:p w14:paraId="360056A2" w14:textId="77777777" w:rsidR="00E75FE1" w:rsidRPr="00E75FE1" w:rsidRDefault="00E75FE1" w:rsidP="00E75FE1">
      <w:pPr>
        <w:spacing w:line="360" w:lineRule="auto"/>
        <w:ind w:firstLineChars="196" w:firstLine="472"/>
        <w:rPr>
          <w:rFonts w:ascii="Calibri" w:eastAsia="宋体" w:hAnsi="Calibri" w:cs="Times New Roman"/>
          <w:bCs/>
          <w:sz w:val="24"/>
        </w:rPr>
      </w:pPr>
      <w:r w:rsidRPr="00E75FE1">
        <w:rPr>
          <w:rFonts w:ascii="Arial" w:eastAsia="宋体" w:hAnsi="Calibri" w:cs="Arial" w:hint="eastAsia"/>
          <w:b/>
          <w:sz w:val="24"/>
        </w:rPr>
        <w:t>本章教学目的及要求：</w:t>
      </w:r>
      <w:r w:rsidRPr="00E75FE1">
        <w:rPr>
          <w:rFonts w:ascii="Calibri" w:eastAsia="宋体" w:hAnsi="Calibri" w:cs="Times New Roman" w:hint="eastAsia"/>
          <w:bCs/>
          <w:sz w:val="24"/>
        </w:rPr>
        <w:t>使学生了解体质健康的主要内容及要求。</w:t>
      </w:r>
    </w:p>
    <w:p w14:paraId="4608449E" w14:textId="77777777" w:rsidR="00E75FE1" w:rsidRPr="00E75FE1" w:rsidRDefault="00E75FE1" w:rsidP="00E75FE1">
      <w:pPr>
        <w:spacing w:line="360" w:lineRule="auto"/>
        <w:ind w:firstLineChars="196" w:firstLine="472"/>
        <w:rPr>
          <w:rFonts w:ascii="Arial" w:eastAsia="宋体" w:hAnsi="Calibri" w:cs="Arial"/>
          <w:sz w:val="24"/>
        </w:rPr>
      </w:pPr>
      <w:r w:rsidRPr="00E75FE1">
        <w:rPr>
          <w:rFonts w:ascii="Arial" w:eastAsia="宋体" w:hAnsi="Calibri" w:cs="Arial" w:hint="eastAsia"/>
          <w:b/>
          <w:sz w:val="24"/>
        </w:rPr>
        <w:lastRenderedPageBreak/>
        <w:t>本章教学重点及难点：</w:t>
      </w:r>
      <w:r w:rsidRPr="00E75FE1">
        <w:rPr>
          <w:rFonts w:ascii="Arial" w:eastAsia="宋体" w:hAnsi="Calibri" w:cs="Arial" w:hint="eastAsia"/>
          <w:sz w:val="24"/>
        </w:rPr>
        <w:t>学生体质健康标准的重要性；如何激发学生锻炼身体的积极性和自觉性。</w:t>
      </w:r>
    </w:p>
    <w:p w14:paraId="463D2AFA" w14:textId="77777777" w:rsidR="00E75FE1" w:rsidRPr="00E75FE1" w:rsidRDefault="00E75FE1" w:rsidP="00E75FE1">
      <w:pPr>
        <w:spacing w:beforeLines="50" w:before="156" w:afterLines="50" w:after="156" w:line="360" w:lineRule="auto"/>
        <w:jc w:val="center"/>
        <w:rPr>
          <w:rFonts w:ascii="Arial" w:eastAsia="宋体" w:hAnsi="Calibri" w:cs="Arial"/>
          <w:b/>
          <w:sz w:val="28"/>
          <w:szCs w:val="28"/>
        </w:rPr>
      </w:pPr>
      <w:r w:rsidRPr="00E75FE1">
        <w:rPr>
          <w:rFonts w:ascii="Arial" w:eastAsia="宋体" w:hAnsi="Arial" w:cs="Arial" w:hint="eastAsia"/>
          <w:b/>
          <w:sz w:val="28"/>
          <w:szCs w:val="28"/>
        </w:rPr>
        <w:t>第八章</w:t>
      </w:r>
      <w:r w:rsidRPr="00E75FE1">
        <w:rPr>
          <w:rFonts w:ascii="Arial" w:eastAsia="宋体" w:hAnsi="Arial" w:cs="Arial"/>
          <w:b/>
          <w:sz w:val="28"/>
          <w:szCs w:val="28"/>
        </w:rPr>
        <w:t xml:space="preserve">  </w:t>
      </w:r>
      <w:r w:rsidRPr="00E75FE1">
        <w:rPr>
          <w:rFonts w:ascii="宋体" w:eastAsia="宋体" w:hAnsi="宋体" w:cs="Arial" w:hint="eastAsia"/>
          <w:b/>
          <w:bCs/>
          <w:sz w:val="28"/>
          <w:szCs w:val="28"/>
        </w:rPr>
        <w:t>体能训练</w:t>
      </w:r>
      <w:r w:rsidRPr="00E75FE1">
        <w:rPr>
          <w:rFonts w:ascii="Arial" w:eastAsia="宋体" w:hAnsi="Calibri" w:cs="Arial" w:hint="eastAsia"/>
          <w:b/>
          <w:sz w:val="28"/>
          <w:szCs w:val="28"/>
        </w:rPr>
        <w:t>（</w:t>
      </w:r>
      <w:r w:rsidRPr="00E75FE1">
        <w:rPr>
          <w:rFonts w:ascii="Arial" w:eastAsia="宋体" w:hAnsi="Calibri" w:cs="Arial" w:hint="eastAsia"/>
          <w:b/>
          <w:sz w:val="28"/>
          <w:szCs w:val="28"/>
        </w:rPr>
        <w:t>13</w:t>
      </w:r>
      <w:r w:rsidRPr="00E75FE1">
        <w:rPr>
          <w:rFonts w:ascii="Arial" w:eastAsia="宋体" w:hAnsi="Calibri" w:cs="Arial" w:hint="eastAsia"/>
          <w:b/>
          <w:sz w:val="28"/>
          <w:szCs w:val="28"/>
        </w:rPr>
        <w:t>学时）</w:t>
      </w:r>
    </w:p>
    <w:p w14:paraId="33A6A0E6" w14:textId="77777777" w:rsidR="00E75FE1" w:rsidRPr="00E75FE1" w:rsidRDefault="00E75FE1" w:rsidP="00E75FE1">
      <w:pPr>
        <w:autoSpaceDE w:val="0"/>
        <w:autoSpaceDN w:val="0"/>
        <w:adjustRightInd w:val="0"/>
        <w:snapToGrid w:val="0"/>
        <w:spacing w:line="500" w:lineRule="exact"/>
        <w:ind w:firstLineChars="200" w:firstLine="482"/>
        <w:jc w:val="left"/>
        <w:rPr>
          <w:rFonts w:ascii="Arial" w:eastAsia="宋体" w:hAnsi="Calibri" w:cs="Arial"/>
          <w:b/>
          <w:sz w:val="24"/>
        </w:rPr>
      </w:pPr>
      <w:r w:rsidRPr="00E75FE1">
        <w:rPr>
          <w:rFonts w:ascii="Arial" w:eastAsia="宋体" w:hAnsi="Calibri" w:cs="Arial" w:hint="eastAsia"/>
          <w:b/>
          <w:sz w:val="24"/>
        </w:rPr>
        <w:t>本章主要教学内容：</w:t>
      </w:r>
    </w:p>
    <w:p w14:paraId="1A77567F"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8.1体能训练简介</w:t>
      </w:r>
    </w:p>
    <w:p w14:paraId="6F3E0FCA"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8.2加速能力及力量训练2.柔韧能力训练</w:t>
      </w:r>
    </w:p>
    <w:p w14:paraId="3AF0A76D"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8.3弹跳能力及力量训练</w:t>
      </w:r>
    </w:p>
    <w:p w14:paraId="3D53E1EE"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8.4灵敏能力及力量训练</w:t>
      </w:r>
    </w:p>
    <w:p w14:paraId="560F3F6D"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8.5耐力能力及无氧训练</w:t>
      </w:r>
    </w:p>
    <w:p w14:paraId="22011BE1"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8.6弹跳能力及力量测试</w:t>
      </w:r>
    </w:p>
    <w:p w14:paraId="1F975411"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8.7上肢（男）力量训练2.腹肌（女）力量训练</w:t>
      </w:r>
    </w:p>
    <w:p w14:paraId="0B80D50A"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8.8耐力能力及无氧训练</w:t>
      </w:r>
    </w:p>
    <w:p w14:paraId="68799156"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8.9引体向上（男）；一分钟仰卧起坐（女）</w:t>
      </w:r>
    </w:p>
    <w:p w14:paraId="1AC96CA2"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8.10立定跳远测试</w:t>
      </w:r>
    </w:p>
    <w:p w14:paraId="3C5934E7" w14:textId="77777777" w:rsidR="00E75FE1" w:rsidRPr="00E75FE1" w:rsidRDefault="00E75FE1" w:rsidP="00FE4508">
      <w:pPr>
        <w:numPr>
          <w:ilvl w:val="0"/>
          <w:numId w:val="40"/>
        </w:numPr>
        <w:spacing w:beforeLines="50" w:before="156" w:afterLines="50" w:after="156" w:line="360" w:lineRule="auto"/>
        <w:jc w:val="center"/>
        <w:rPr>
          <w:rFonts w:ascii="Arial" w:eastAsia="宋体" w:hAnsi="Calibri" w:cs="Arial"/>
          <w:b/>
          <w:sz w:val="28"/>
          <w:szCs w:val="28"/>
        </w:rPr>
      </w:pPr>
      <w:r w:rsidRPr="00E75FE1">
        <w:rPr>
          <w:rFonts w:ascii="Arial" w:eastAsia="宋体" w:hAnsi="Arial" w:cs="Arial" w:hint="eastAsia"/>
          <w:b/>
          <w:sz w:val="28"/>
          <w:szCs w:val="28"/>
        </w:rPr>
        <w:t xml:space="preserve">   </w:t>
      </w:r>
      <w:r w:rsidRPr="00E75FE1">
        <w:rPr>
          <w:rFonts w:ascii="Arial" w:eastAsia="宋体" w:hAnsi="Arial" w:cs="Arial" w:hint="eastAsia"/>
          <w:b/>
          <w:sz w:val="28"/>
          <w:szCs w:val="28"/>
        </w:rPr>
        <w:t>排球选项</w:t>
      </w:r>
      <w:proofErr w:type="gramStart"/>
      <w:r w:rsidRPr="00E75FE1">
        <w:rPr>
          <w:rFonts w:ascii="Arial" w:eastAsia="宋体" w:hAnsi="Arial" w:cs="Arial" w:hint="eastAsia"/>
          <w:b/>
          <w:sz w:val="28"/>
          <w:szCs w:val="28"/>
        </w:rPr>
        <w:t>课项目</w:t>
      </w:r>
      <w:proofErr w:type="gramEnd"/>
      <w:r w:rsidRPr="00E75FE1">
        <w:rPr>
          <w:rFonts w:ascii="Arial" w:eastAsia="宋体" w:hAnsi="Arial" w:cs="Arial" w:hint="eastAsia"/>
          <w:b/>
          <w:sz w:val="28"/>
          <w:szCs w:val="28"/>
        </w:rPr>
        <w:t>内容</w:t>
      </w:r>
      <w:r w:rsidRPr="00E75FE1">
        <w:rPr>
          <w:rFonts w:ascii="Arial" w:eastAsia="宋体" w:hAnsi="Calibri" w:cs="Arial" w:hint="eastAsia"/>
          <w:b/>
          <w:sz w:val="28"/>
          <w:szCs w:val="28"/>
        </w:rPr>
        <w:t>（</w:t>
      </w:r>
      <w:r w:rsidRPr="00E75FE1">
        <w:rPr>
          <w:rFonts w:ascii="Arial" w:eastAsia="宋体" w:hAnsi="Calibri" w:cs="Arial" w:hint="eastAsia"/>
          <w:b/>
          <w:sz w:val="28"/>
          <w:szCs w:val="28"/>
        </w:rPr>
        <w:t>12</w:t>
      </w:r>
      <w:r w:rsidRPr="00E75FE1">
        <w:rPr>
          <w:rFonts w:ascii="Arial" w:eastAsia="宋体" w:hAnsi="Calibri" w:cs="Arial" w:hint="eastAsia"/>
          <w:b/>
          <w:sz w:val="28"/>
          <w:szCs w:val="28"/>
        </w:rPr>
        <w:t>学时）</w:t>
      </w:r>
    </w:p>
    <w:p w14:paraId="454F68A5" w14:textId="77777777" w:rsidR="00E75FE1" w:rsidRPr="00E75FE1" w:rsidRDefault="00E75FE1" w:rsidP="00E75FE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b/>
          <w:bCs/>
          <w:spacing w:val="1"/>
          <w:kern w:val="0"/>
          <w:sz w:val="24"/>
        </w:rPr>
      </w:pPr>
      <w:r w:rsidRPr="00E75FE1">
        <w:rPr>
          <w:rFonts w:ascii="宋体" w:eastAsia="宋体" w:hAnsi="Calibri" w:cs="宋体" w:hint="eastAsia"/>
          <w:b/>
          <w:bCs/>
          <w:spacing w:val="1"/>
          <w:kern w:val="0"/>
          <w:sz w:val="24"/>
        </w:rPr>
        <w:t xml:space="preserve">教学内容与学时分配 </w:t>
      </w:r>
    </w:p>
    <w:p w14:paraId="126E5CE8" w14:textId="77777777" w:rsidR="00E75FE1" w:rsidRPr="00E75FE1" w:rsidRDefault="00E75FE1" w:rsidP="00E75FE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6136"/>
        <w:gridCol w:w="850"/>
        <w:gridCol w:w="709"/>
        <w:gridCol w:w="1135"/>
      </w:tblGrid>
      <w:tr w:rsidR="00E75FE1" w:rsidRPr="00E75FE1" w14:paraId="684BC117"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EEEF764"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序号 </w:t>
            </w:r>
          </w:p>
        </w:tc>
        <w:tc>
          <w:tcPr>
            <w:tcW w:w="6106" w:type="dxa"/>
            <w:tcBorders>
              <w:top w:val="outset" w:sz="6" w:space="0" w:color="auto"/>
              <w:left w:val="outset" w:sz="6" w:space="0" w:color="auto"/>
              <w:bottom w:val="outset" w:sz="6" w:space="0" w:color="auto"/>
              <w:right w:val="outset" w:sz="6" w:space="0" w:color="auto"/>
            </w:tcBorders>
            <w:vAlign w:val="center"/>
          </w:tcPr>
          <w:p w14:paraId="20957944"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教学内容 </w:t>
            </w:r>
          </w:p>
        </w:tc>
        <w:tc>
          <w:tcPr>
            <w:tcW w:w="820" w:type="dxa"/>
            <w:tcBorders>
              <w:top w:val="outset" w:sz="6" w:space="0" w:color="auto"/>
              <w:left w:val="outset" w:sz="6" w:space="0" w:color="auto"/>
              <w:bottom w:val="outset" w:sz="6" w:space="0" w:color="auto"/>
              <w:right w:val="outset" w:sz="6" w:space="0" w:color="auto"/>
            </w:tcBorders>
            <w:vAlign w:val="center"/>
          </w:tcPr>
          <w:p w14:paraId="2159F98D"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理论时数 </w:t>
            </w: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3C75384"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实践时数 </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0DBB8C1"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备注 </w:t>
            </w:r>
          </w:p>
        </w:tc>
      </w:tr>
      <w:tr w:rsidR="00E75FE1" w:rsidRPr="00E75FE1" w14:paraId="4853BD97"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D3B8EA9"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1 </w:t>
            </w:r>
          </w:p>
        </w:tc>
        <w:tc>
          <w:tcPr>
            <w:tcW w:w="6106" w:type="dxa"/>
            <w:tcBorders>
              <w:top w:val="outset" w:sz="6" w:space="0" w:color="auto"/>
              <w:left w:val="outset" w:sz="6" w:space="0" w:color="auto"/>
              <w:bottom w:val="outset" w:sz="6" w:space="0" w:color="auto"/>
              <w:right w:val="outset" w:sz="6" w:space="0" w:color="auto"/>
            </w:tcBorders>
            <w:vAlign w:val="center"/>
          </w:tcPr>
          <w:p w14:paraId="30DCB42D"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排球</w:t>
            </w:r>
            <w:r w:rsidRPr="00E75FE1">
              <w:rPr>
                <w:rFonts w:ascii="宋体" w:eastAsia="宋体" w:hAnsi="Calibri" w:cs="宋体"/>
                <w:spacing w:val="1"/>
                <w:kern w:val="0"/>
                <w:sz w:val="24"/>
              </w:rPr>
              <w:t>理论</w:t>
            </w:r>
            <w:r w:rsidRPr="00E75FE1">
              <w:rPr>
                <w:rFonts w:ascii="宋体" w:eastAsia="宋体" w:hAnsi="Calibri" w:cs="宋体" w:hint="eastAsia"/>
                <w:spacing w:val="1"/>
                <w:kern w:val="0"/>
                <w:sz w:val="24"/>
              </w:rPr>
              <w:t>与课堂常规，安全要求</w:t>
            </w:r>
          </w:p>
        </w:tc>
        <w:tc>
          <w:tcPr>
            <w:tcW w:w="820" w:type="dxa"/>
            <w:tcBorders>
              <w:top w:val="outset" w:sz="6" w:space="0" w:color="auto"/>
              <w:left w:val="outset" w:sz="6" w:space="0" w:color="auto"/>
              <w:bottom w:val="outset" w:sz="6" w:space="0" w:color="auto"/>
              <w:right w:val="outset" w:sz="6" w:space="0" w:color="auto"/>
            </w:tcBorders>
            <w:vAlign w:val="center"/>
          </w:tcPr>
          <w:p w14:paraId="1DF8E077"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2</w:t>
            </w: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FC7FEF5" w14:textId="77777777" w:rsidR="00E75FE1" w:rsidRPr="00E75FE1" w:rsidRDefault="00E75FE1" w:rsidP="00E75FE1">
            <w:pPr>
              <w:widowControl/>
              <w:jc w:val="left"/>
              <w:rPr>
                <w:rFonts w:ascii="宋体" w:eastAsia="宋体" w:hAnsi="Calibri" w:cs="宋体"/>
                <w:spacing w:val="1"/>
                <w:kern w:val="0"/>
                <w:sz w:val="24"/>
              </w:rPr>
            </w:pP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68CF304"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77E53083"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F9D1B3A"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2 </w:t>
            </w:r>
          </w:p>
        </w:tc>
        <w:tc>
          <w:tcPr>
            <w:tcW w:w="6106" w:type="dxa"/>
            <w:tcBorders>
              <w:top w:val="outset" w:sz="6" w:space="0" w:color="auto"/>
              <w:left w:val="outset" w:sz="6" w:space="0" w:color="auto"/>
              <w:bottom w:val="outset" w:sz="6" w:space="0" w:color="auto"/>
              <w:right w:val="outset" w:sz="6" w:space="0" w:color="auto"/>
            </w:tcBorders>
          </w:tcPr>
          <w:p w14:paraId="592A63F3"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spacing w:val="1"/>
                <w:kern w:val="0"/>
                <w:sz w:val="24"/>
              </w:rPr>
              <w:t>排球的准备姿势与移动</w:t>
            </w:r>
            <w:r w:rsidRPr="00E75FE1">
              <w:rPr>
                <w:rFonts w:ascii="宋体" w:eastAsia="宋体" w:hAnsi="Calibri" w:cs="宋体" w:hint="eastAsia"/>
                <w:spacing w:val="1"/>
                <w:kern w:val="0"/>
                <w:sz w:val="24"/>
              </w:rPr>
              <w:t>学习</w:t>
            </w:r>
          </w:p>
        </w:tc>
        <w:tc>
          <w:tcPr>
            <w:tcW w:w="820" w:type="dxa"/>
            <w:tcBorders>
              <w:top w:val="outset" w:sz="6" w:space="0" w:color="auto"/>
              <w:left w:val="outset" w:sz="6" w:space="0" w:color="auto"/>
              <w:bottom w:val="outset" w:sz="6" w:space="0" w:color="auto"/>
              <w:right w:val="outset" w:sz="6" w:space="0" w:color="auto"/>
            </w:tcBorders>
            <w:vAlign w:val="center"/>
          </w:tcPr>
          <w:p w14:paraId="4A493FFD" w14:textId="77777777" w:rsidR="00E75FE1" w:rsidRPr="00E75FE1" w:rsidRDefault="00E75FE1" w:rsidP="00E75FE1">
            <w:pPr>
              <w:widowControl/>
              <w:jc w:val="center"/>
              <w:rPr>
                <w:rFonts w:ascii="宋体" w:eastAsia="宋体" w:hAnsi="Calibri" w:cs="宋体"/>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7289729"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2</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3C0052"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3A505BBE"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E8312FE"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3 </w:t>
            </w:r>
          </w:p>
        </w:tc>
        <w:tc>
          <w:tcPr>
            <w:tcW w:w="6106" w:type="dxa"/>
            <w:tcBorders>
              <w:top w:val="outset" w:sz="6" w:space="0" w:color="auto"/>
              <w:left w:val="outset" w:sz="6" w:space="0" w:color="auto"/>
              <w:bottom w:val="outset" w:sz="6" w:space="0" w:color="auto"/>
              <w:right w:val="outset" w:sz="6" w:space="0" w:color="auto"/>
            </w:tcBorders>
          </w:tcPr>
          <w:p w14:paraId="757C686C"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复习</w:t>
            </w:r>
            <w:r w:rsidRPr="00E75FE1">
              <w:rPr>
                <w:rFonts w:ascii="宋体" w:eastAsia="宋体" w:hAnsi="Calibri" w:cs="宋体"/>
                <w:spacing w:val="1"/>
                <w:kern w:val="0"/>
                <w:sz w:val="24"/>
              </w:rPr>
              <w:t>排球的准备姿势与移动</w:t>
            </w:r>
            <w:r w:rsidRPr="00E75FE1">
              <w:rPr>
                <w:rFonts w:ascii="宋体" w:eastAsia="宋体" w:hAnsi="Calibri" w:cs="宋体" w:hint="eastAsia"/>
                <w:spacing w:val="1"/>
                <w:kern w:val="0"/>
                <w:sz w:val="24"/>
              </w:rPr>
              <w:t>，初步学习自垫球技术</w:t>
            </w:r>
          </w:p>
        </w:tc>
        <w:tc>
          <w:tcPr>
            <w:tcW w:w="820" w:type="dxa"/>
            <w:tcBorders>
              <w:top w:val="outset" w:sz="6" w:space="0" w:color="auto"/>
              <w:left w:val="outset" w:sz="6" w:space="0" w:color="auto"/>
              <w:bottom w:val="outset" w:sz="6" w:space="0" w:color="auto"/>
              <w:right w:val="outset" w:sz="6" w:space="0" w:color="auto"/>
            </w:tcBorders>
            <w:vAlign w:val="center"/>
          </w:tcPr>
          <w:p w14:paraId="40BEE262" w14:textId="77777777" w:rsidR="00E75FE1" w:rsidRPr="00E75FE1" w:rsidRDefault="00E75FE1" w:rsidP="00E75FE1">
            <w:pPr>
              <w:widowControl/>
              <w:jc w:val="center"/>
              <w:rPr>
                <w:rFonts w:ascii="宋体" w:eastAsia="宋体" w:hAnsi="Calibri" w:cs="宋体"/>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5FF99D9"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2</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BE0846"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1EBA608D"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7DC5A98"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4 </w:t>
            </w:r>
          </w:p>
        </w:tc>
        <w:tc>
          <w:tcPr>
            <w:tcW w:w="6106" w:type="dxa"/>
            <w:tcBorders>
              <w:top w:val="outset" w:sz="6" w:space="0" w:color="auto"/>
              <w:left w:val="outset" w:sz="6" w:space="0" w:color="auto"/>
              <w:bottom w:val="outset" w:sz="6" w:space="0" w:color="auto"/>
              <w:right w:val="outset" w:sz="6" w:space="0" w:color="auto"/>
            </w:tcBorders>
          </w:tcPr>
          <w:p w14:paraId="1B8C5981"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继续学习自垫球技术</w:t>
            </w:r>
          </w:p>
        </w:tc>
        <w:tc>
          <w:tcPr>
            <w:tcW w:w="820" w:type="dxa"/>
            <w:tcBorders>
              <w:top w:val="outset" w:sz="6" w:space="0" w:color="auto"/>
              <w:left w:val="outset" w:sz="6" w:space="0" w:color="auto"/>
              <w:bottom w:val="outset" w:sz="6" w:space="0" w:color="auto"/>
              <w:right w:val="outset" w:sz="6" w:space="0" w:color="auto"/>
            </w:tcBorders>
            <w:vAlign w:val="center"/>
          </w:tcPr>
          <w:p w14:paraId="72526CFF" w14:textId="77777777" w:rsidR="00E75FE1" w:rsidRPr="00E75FE1" w:rsidRDefault="00E75FE1" w:rsidP="00E75FE1">
            <w:pPr>
              <w:widowControl/>
              <w:jc w:val="center"/>
              <w:rPr>
                <w:rFonts w:ascii="宋体" w:eastAsia="宋体" w:hAnsi="Calibri" w:cs="宋体"/>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F2C693F"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2 </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5CE8468"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5C402C70"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F16C1BC"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5 </w:t>
            </w:r>
          </w:p>
        </w:tc>
        <w:tc>
          <w:tcPr>
            <w:tcW w:w="6106" w:type="dxa"/>
            <w:tcBorders>
              <w:top w:val="outset" w:sz="6" w:space="0" w:color="auto"/>
              <w:left w:val="outset" w:sz="6" w:space="0" w:color="auto"/>
              <w:bottom w:val="outset" w:sz="6" w:space="0" w:color="auto"/>
              <w:right w:val="outset" w:sz="6" w:space="0" w:color="auto"/>
            </w:tcBorders>
          </w:tcPr>
          <w:p w14:paraId="57133232" w14:textId="77777777" w:rsidR="00E75FE1" w:rsidRPr="00E75FE1" w:rsidRDefault="00E75FE1" w:rsidP="00E75FE1">
            <w:pPr>
              <w:widowControl/>
              <w:jc w:val="center"/>
              <w:rPr>
                <w:rFonts w:ascii="宋体" w:eastAsia="宋体" w:hAnsi="Calibri" w:cs="宋体"/>
                <w:spacing w:val="1"/>
                <w:kern w:val="0"/>
                <w:sz w:val="24"/>
              </w:rPr>
            </w:pPr>
            <w:proofErr w:type="gramStart"/>
            <w:r w:rsidRPr="00E75FE1">
              <w:rPr>
                <w:rFonts w:ascii="宋体" w:eastAsia="宋体" w:hAnsi="Calibri" w:cs="宋体" w:hint="eastAsia"/>
                <w:spacing w:val="1"/>
                <w:kern w:val="0"/>
                <w:sz w:val="24"/>
              </w:rPr>
              <w:t>复习自</w:t>
            </w:r>
            <w:proofErr w:type="gramEnd"/>
            <w:r w:rsidRPr="00E75FE1">
              <w:rPr>
                <w:rFonts w:ascii="宋体" w:eastAsia="宋体" w:hAnsi="Calibri" w:cs="宋体" w:hint="eastAsia"/>
                <w:spacing w:val="1"/>
                <w:kern w:val="0"/>
                <w:sz w:val="24"/>
              </w:rPr>
              <w:t>垫球技术</w:t>
            </w:r>
          </w:p>
        </w:tc>
        <w:tc>
          <w:tcPr>
            <w:tcW w:w="820" w:type="dxa"/>
            <w:tcBorders>
              <w:top w:val="outset" w:sz="6" w:space="0" w:color="auto"/>
              <w:left w:val="outset" w:sz="6" w:space="0" w:color="auto"/>
              <w:bottom w:val="outset" w:sz="6" w:space="0" w:color="auto"/>
              <w:right w:val="outset" w:sz="6" w:space="0" w:color="auto"/>
            </w:tcBorders>
            <w:vAlign w:val="center"/>
          </w:tcPr>
          <w:p w14:paraId="16798D65" w14:textId="77777777" w:rsidR="00E75FE1" w:rsidRPr="00E75FE1" w:rsidRDefault="00E75FE1" w:rsidP="00E75FE1">
            <w:pPr>
              <w:widowControl/>
              <w:jc w:val="center"/>
              <w:rPr>
                <w:rFonts w:ascii="宋体" w:eastAsia="宋体" w:hAnsi="Calibri" w:cs="宋体"/>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0321E60"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2</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DC43C0B"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6A6219DD"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4F5B89B" w14:textId="77777777" w:rsidR="00E75FE1" w:rsidRPr="00E75FE1" w:rsidRDefault="00E75FE1" w:rsidP="00E75FE1">
            <w:pPr>
              <w:widowControl/>
              <w:jc w:val="center"/>
              <w:rPr>
                <w:rFonts w:ascii="宋体" w:eastAsia="宋体" w:hAnsi="Calibri" w:cs="宋体"/>
                <w:spacing w:val="1"/>
                <w:kern w:val="0"/>
                <w:sz w:val="24"/>
              </w:rPr>
            </w:pPr>
          </w:p>
        </w:tc>
        <w:tc>
          <w:tcPr>
            <w:tcW w:w="6106" w:type="dxa"/>
            <w:tcBorders>
              <w:top w:val="outset" w:sz="6" w:space="0" w:color="auto"/>
              <w:left w:val="outset" w:sz="6" w:space="0" w:color="auto"/>
              <w:bottom w:val="outset" w:sz="6" w:space="0" w:color="auto"/>
              <w:right w:val="outset" w:sz="6" w:space="0" w:color="auto"/>
            </w:tcBorders>
          </w:tcPr>
          <w:p w14:paraId="01B7C5B7"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考试</w:t>
            </w:r>
          </w:p>
        </w:tc>
        <w:tc>
          <w:tcPr>
            <w:tcW w:w="820" w:type="dxa"/>
            <w:tcBorders>
              <w:top w:val="outset" w:sz="6" w:space="0" w:color="auto"/>
              <w:left w:val="outset" w:sz="6" w:space="0" w:color="auto"/>
              <w:bottom w:val="outset" w:sz="6" w:space="0" w:color="auto"/>
              <w:right w:val="outset" w:sz="6" w:space="0" w:color="auto"/>
            </w:tcBorders>
            <w:vAlign w:val="center"/>
          </w:tcPr>
          <w:p w14:paraId="0228A1D3" w14:textId="77777777" w:rsidR="00E75FE1" w:rsidRPr="00E75FE1" w:rsidRDefault="00E75FE1" w:rsidP="00E75FE1">
            <w:pPr>
              <w:widowControl/>
              <w:jc w:val="center"/>
              <w:rPr>
                <w:rFonts w:ascii="宋体" w:eastAsia="宋体" w:hAnsi="Calibri" w:cs="宋体"/>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D4D2CD"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2</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EA7E752" w14:textId="77777777" w:rsidR="00E75FE1" w:rsidRPr="00E75FE1" w:rsidRDefault="00E75FE1" w:rsidP="00E75FE1">
            <w:pPr>
              <w:widowControl/>
              <w:jc w:val="left"/>
              <w:rPr>
                <w:rFonts w:ascii="宋体" w:eastAsia="宋体" w:hAnsi="Calibri" w:cs="宋体"/>
                <w:spacing w:val="1"/>
                <w:kern w:val="0"/>
                <w:sz w:val="24"/>
              </w:rPr>
            </w:pPr>
          </w:p>
        </w:tc>
      </w:tr>
    </w:tbl>
    <w:p w14:paraId="508734C3" w14:textId="77777777" w:rsidR="00E75FE1" w:rsidRPr="00E75FE1" w:rsidRDefault="00E75FE1" w:rsidP="00E75FE1">
      <w:pPr>
        <w:spacing w:beforeLines="50" w:before="156" w:afterLines="50" w:after="156" w:line="440" w:lineRule="exact"/>
        <w:ind w:firstLineChars="200" w:firstLine="560"/>
        <w:jc w:val="center"/>
        <w:rPr>
          <w:rFonts w:ascii="黑体" w:eastAsia="黑体" w:hAnsi="黑体" w:cs="Times New Roman"/>
          <w:sz w:val="28"/>
          <w:szCs w:val="28"/>
        </w:rPr>
      </w:pPr>
      <w:r w:rsidRPr="00E75FE1">
        <w:rPr>
          <w:rFonts w:ascii="黑体" w:eastAsia="黑体" w:hAnsi="黑体" w:cs="Times New Roman" w:hint="eastAsia"/>
          <w:sz w:val="28"/>
          <w:szCs w:val="28"/>
        </w:rPr>
        <w:t>学习内容二 排球 1</w:t>
      </w:r>
    </w:p>
    <w:p w14:paraId="6DFFF1E2"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宋体" w:cs="Times New Roman"/>
          <w:bCs/>
          <w:sz w:val="24"/>
        </w:rPr>
      </w:pPr>
      <w:r w:rsidRPr="00E75FE1">
        <w:rPr>
          <w:rFonts w:ascii="宋体" w:eastAsia="宋体" w:hAnsi="宋体" w:cs="Times New Roman" w:hint="eastAsia"/>
          <w:b/>
          <w:sz w:val="24"/>
        </w:rPr>
        <w:t>【学习目标】</w:t>
      </w:r>
    </w:p>
    <w:p w14:paraId="0EEF4B2A"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lastRenderedPageBreak/>
        <w:t>1.</w:t>
      </w:r>
      <w:r w:rsidRPr="00E75FE1">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E75FE1">
        <w:rPr>
          <w:rFonts w:ascii="宋体" w:eastAsia="宋体" w:hAnsi="Calibri" w:cs="宋体" w:hint="eastAsia"/>
          <w:spacing w:val="5"/>
          <w:kern w:val="0"/>
          <w:sz w:val="24"/>
        </w:rPr>
        <w:t>通过体能教学活动，</w:t>
      </w:r>
      <w:r w:rsidRPr="00E75FE1">
        <w:rPr>
          <w:rFonts w:ascii="宋体" w:eastAsia="宋体" w:hAnsi="宋体" w:cs="仿宋_GB2312" w:hint="eastAsia"/>
          <w:sz w:val="24"/>
        </w:rPr>
        <w:t>了解《大学生体质健康标准测验》项目内容、考核方式、评价标准，掌握考核内容锻炼的方式方法。</w:t>
      </w:r>
      <w:r w:rsidRPr="00E75FE1">
        <w:rPr>
          <w:rFonts w:ascii="宋体" w:eastAsia="宋体" w:hAnsi="Calibri" w:cs="宋体" w:hint="eastAsia"/>
          <w:spacing w:val="5"/>
          <w:kern w:val="0"/>
          <w:sz w:val="24"/>
        </w:rPr>
        <w:t>培养学生努力学习、不断进取、修身立业、顽强奋进的精神与品质。</w:t>
      </w:r>
    </w:p>
    <w:p w14:paraId="0D2338A4"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2.</w:t>
      </w:r>
      <w:r w:rsidRPr="00E75FE1">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E75FE1">
        <w:rPr>
          <w:rFonts w:ascii="宋体" w:eastAsia="宋体" w:hAnsi="Calibri" w:cs="宋体" w:hint="eastAsia"/>
          <w:spacing w:val="5"/>
          <w:kern w:val="0"/>
          <w:sz w:val="24"/>
        </w:rPr>
        <w:t>。</w:t>
      </w:r>
    </w:p>
    <w:p w14:paraId="1B40AFC4"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3.</w:t>
      </w:r>
      <w:r w:rsidRPr="00E75FE1">
        <w:rPr>
          <w:rFonts w:ascii="宋体" w:eastAsia="宋体" w:hAnsi="宋体" w:cs="仿宋_GB2312" w:hint="eastAsia"/>
          <w:sz w:val="24"/>
        </w:rPr>
        <w:t>使学生能够掌握排球运动的一般规律和特点，使学生获得排球运动的基本技术、基本技能和基础理论知识，并了解现代排球的发展趋势。以运动和身体练习为基本手段，对大学生机体进行科学的培育，在提高人的生物潜能、心理潜能的过程中促进德、智、体、美全面发展，达到身心健康、全面发展的教育总目的</w:t>
      </w:r>
      <w:r w:rsidRPr="00E75FE1">
        <w:rPr>
          <w:rFonts w:ascii="宋体" w:eastAsia="宋体" w:hAnsi="Calibri" w:cs="宋体" w:hint="eastAsia"/>
          <w:spacing w:val="5"/>
          <w:kern w:val="0"/>
          <w:sz w:val="24"/>
        </w:rPr>
        <w:t>。</w:t>
      </w:r>
    </w:p>
    <w:p w14:paraId="1BA3B0EC" w14:textId="77777777" w:rsidR="00E75FE1" w:rsidRPr="00E75FE1" w:rsidRDefault="00E75FE1" w:rsidP="00E75FE1">
      <w:pPr>
        <w:spacing w:line="44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4.</w:t>
      </w:r>
      <w:r w:rsidRPr="00E75FE1">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E75FE1">
        <w:rPr>
          <w:rFonts w:ascii="宋体" w:eastAsia="宋体" w:hAnsi="Calibri" w:cs="宋体" w:hint="eastAsia"/>
          <w:spacing w:val="5"/>
          <w:kern w:val="0"/>
          <w:sz w:val="24"/>
        </w:rPr>
        <w:t>。</w:t>
      </w:r>
    </w:p>
    <w:p w14:paraId="71C7027B" w14:textId="77777777" w:rsidR="00E75FE1" w:rsidRPr="00E75FE1" w:rsidRDefault="00E75FE1" w:rsidP="00E75FE1">
      <w:pPr>
        <w:autoSpaceDE w:val="0"/>
        <w:autoSpaceDN w:val="0"/>
        <w:adjustRightInd w:val="0"/>
        <w:snapToGrid w:val="0"/>
        <w:spacing w:line="500" w:lineRule="exact"/>
        <w:ind w:firstLineChars="200" w:firstLine="482"/>
        <w:jc w:val="left"/>
        <w:rPr>
          <w:rFonts w:ascii="Calibri" w:eastAsia="宋体" w:hAnsi="Calibri" w:cs="Times New Roman"/>
          <w:sz w:val="24"/>
        </w:rPr>
      </w:pPr>
      <w:r w:rsidRPr="00E75FE1">
        <w:rPr>
          <w:rFonts w:ascii="Calibri" w:eastAsia="宋体" w:hAnsi="Calibri" w:cs="Times New Roman" w:hint="eastAsia"/>
          <w:b/>
          <w:bCs/>
          <w:sz w:val="24"/>
        </w:rPr>
        <w:t xml:space="preserve"> </w:t>
      </w:r>
      <w:r w:rsidRPr="00E75FE1">
        <w:rPr>
          <w:rFonts w:ascii="Calibri" w:eastAsia="宋体" w:hAnsi="Calibri" w:cs="Times New Roman" w:hint="eastAsia"/>
          <w:b/>
          <w:bCs/>
          <w:sz w:val="24"/>
        </w:rPr>
        <w:t>教学</w:t>
      </w:r>
      <w:r w:rsidRPr="00E75FE1">
        <w:rPr>
          <w:rFonts w:ascii="Calibri" w:eastAsia="宋体" w:hAnsi="Calibri" w:cs="Times New Roman"/>
          <w:b/>
          <w:bCs/>
          <w:sz w:val="24"/>
        </w:rPr>
        <w:t>要求</w:t>
      </w:r>
      <w:r w:rsidRPr="00E75FE1">
        <w:rPr>
          <w:rFonts w:ascii="Calibri" w:eastAsia="宋体" w:hAnsi="Calibri" w:cs="Times New Roman" w:hint="eastAsia"/>
          <w:sz w:val="24"/>
        </w:rPr>
        <w:t>：</w:t>
      </w:r>
    </w:p>
    <w:p w14:paraId="7AB72416"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E75FE1">
        <w:rPr>
          <w:rFonts w:ascii="宋体" w:eastAsia="宋体" w:hAnsi="宋体" w:cs="宋体" w:hint="eastAsia"/>
          <w:spacing w:val="5"/>
          <w:kern w:val="0"/>
          <w:sz w:val="24"/>
        </w:rPr>
        <w:t>1.在教学过程中将针对普通大学生的运动基础、技术水平、体育需求，切实贯彻循序渐进、精讲多练的原则，力求通过系统的排球专项课教学，让学生多体会、多实践，达到技术、技能、身体素质的全面提高。</w:t>
      </w:r>
      <w:r w:rsidRPr="00E75FE1">
        <w:rPr>
          <w:rFonts w:ascii="宋体" w:eastAsia="宋体" w:hAnsi="宋体" w:cs="宋体" w:hint="eastAsia"/>
          <w:spacing w:val="5"/>
          <w:kern w:val="0"/>
          <w:sz w:val="24"/>
        </w:rPr>
        <w:br/>
        <w:t xml:space="preserve">    2.注重实践能力与裁判能力的培养，让学生掌握基本的比赛方法，能正确欣赏排球比赛。</w:t>
      </w:r>
      <w:r w:rsidRPr="00E75FE1">
        <w:rPr>
          <w:rFonts w:ascii="宋体" w:eastAsia="宋体" w:hAnsi="宋体" w:cs="宋体" w:hint="eastAsia"/>
          <w:spacing w:val="5"/>
          <w:kern w:val="0"/>
          <w:sz w:val="24"/>
        </w:rPr>
        <w:br/>
        <w:t xml:space="preserve">    3.注重学生运动习惯的养成，为终身体育奠定基础。</w:t>
      </w:r>
    </w:p>
    <w:p w14:paraId="5EF0667D" w14:textId="77777777" w:rsidR="00E75FE1" w:rsidRPr="00E75FE1" w:rsidRDefault="00E75FE1" w:rsidP="00E75F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482"/>
        <w:jc w:val="left"/>
        <w:rPr>
          <w:rFonts w:ascii="宋体" w:eastAsia="宋体" w:hAnsi="宋体" w:cs="楷体_GB2312"/>
          <w:kern w:val="0"/>
          <w:sz w:val="24"/>
        </w:rPr>
      </w:pPr>
      <w:r w:rsidRPr="00E75FE1">
        <w:rPr>
          <w:rFonts w:ascii="宋体" w:eastAsia="宋体" w:hAnsi="宋体" w:cs="宋体" w:hint="eastAsia"/>
          <w:b/>
          <w:bCs/>
          <w:sz w:val="24"/>
        </w:rPr>
        <w:t>教学重点及难点</w:t>
      </w:r>
    </w:p>
    <w:p w14:paraId="4798A50C" w14:textId="77777777" w:rsidR="00E75FE1" w:rsidRPr="00E75FE1" w:rsidRDefault="00E75FE1" w:rsidP="00E75FE1">
      <w:pPr>
        <w:autoSpaceDE w:val="0"/>
        <w:autoSpaceDN w:val="0"/>
        <w:adjustRightInd w:val="0"/>
        <w:snapToGrid w:val="0"/>
        <w:spacing w:line="500" w:lineRule="exact"/>
        <w:ind w:firstLineChars="200" w:firstLine="502"/>
        <w:jc w:val="left"/>
        <w:rPr>
          <w:rFonts w:ascii="宋体" w:eastAsia="宋体" w:hAnsi="宋体" w:cs="宋体"/>
          <w:spacing w:val="5"/>
          <w:kern w:val="0"/>
          <w:sz w:val="24"/>
        </w:rPr>
      </w:pPr>
      <w:r w:rsidRPr="00E75FE1">
        <w:rPr>
          <w:rFonts w:ascii="宋体" w:eastAsia="宋体" w:hAnsi="宋体" w:cs="宋体" w:hint="eastAsia"/>
          <w:b/>
          <w:bCs/>
          <w:spacing w:val="5"/>
          <w:kern w:val="0"/>
          <w:sz w:val="24"/>
        </w:rPr>
        <w:lastRenderedPageBreak/>
        <w:t>教学重点</w:t>
      </w:r>
      <w:r w:rsidRPr="00E75FE1">
        <w:rPr>
          <w:rFonts w:ascii="宋体" w:eastAsia="宋体" w:hAnsi="宋体" w:cs="宋体" w:hint="eastAsia"/>
          <w:spacing w:val="5"/>
          <w:kern w:val="0"/>
          <w:sz w:val="24"/>
        </w:rPr>
        <w:t>：</w:t>
      </w:r>
    </w:p>
    <w:p w14:paraId="46009CD1"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E75FE1">
        <w:rPr>
          <w:rFonts w:ascii="宋体" w:eastAsia="宋体" w:hAnsi="宋体" w:cs="宋体" w:hint="eastAsia"/>
          <w:spacing w:val="5"/>
          <w:kern w:val="0"/>
          <w:sz w:val="24"/>
        </w:rPr>
        <w:t xml:space="preserve">1.《大学体育教程》理论课程使学生对大学体育有深入理解；了解体  </w:t>
      </w:r>
    </w:p>
    <w:p w14:paraId="208CE781" w14:textId="77777777" w:rsidR="00E75FE1" w:rsidRPr="00E75FE1" w:rsidRDefault="00E75FE1" w:rsidP="00E75FE1">
      <w:pPr>
        <w:autoSpaceDE w:val="0"/>
        <w:autoSpaceDN w:val="0"/>
        <w:adjustRightInd w:val="0"/>
        <w:snapToGrid w:val="0"/>
        <w:spacing w:line="500" w:lineRule="exact"/>
        <w:jc w:val="left"/>
        <w:rPr>
          <w:rFonts w:ascii="宋体" w:eastAsia="宋体" w:hAnsi="宋体" w:cs="宋体"/>
          <w:spacing w:val="5"/>
          <w:kern w:val="0"/>
          <w:sz w:val="24"/>
        </w:rPr>
      </w:pPr>
      <w:proofErr w:type="gramStart"/>
      <w:r w:rsidRPr="00E75FE1">
        <w:rPr>
          <w:rFonts w:ascii="宋体" w:eastAsia="宋体" w:hAnsi="宋体" w:cs="宋体" w:hint="eastAsia"/>
          <w:spacing w:val="5"/>
          <w:kern w:val="0"/>
          <w:sz w:val="24"/>
        </w:rPr>
        <w:t>质健康</w:t>
      </w:r>
      <w:proofErr w:type="gramEnd"/>
      <w:r w:rsidRPr="00E75FE1">
        <w:rPr>
          <w:rFonts w:ascii="宋体" w:eastAsia="宋体" w:hAnsi="宋体" w:cs="宋体" w:hint="eastAsia"/>
          <w:spacing w:val="5"/>
          <w:kern w:val="0"/>
          <w:sz w:val="24"/>
        </w:rPr>
        <w:t>标准的实施与如何评价；学会分析常见运动损伤和运动性疾病的症状。</w:t>
      </w:r>
    </w:p>
    <w:p w14:paraId="5899F0B7" w14:textId="77777777" w:rsidR="00E75FE1" w:rsidRPr="00E75FE1" w:rsidRDefault="00E75FE1" w:rsidP="00E75FE1">
      <w:pPr>
        <w:autoSpaceDE w:val="0"/>
        <w:autoSpaceDN w:val="0"/>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2.基本技术、战术；比赛方法和基本规则。</w:t>
      </w:r>
    </w:p>
    <w:p w14:paraId="24B486CE" w14:textId="77777777" w:rsidR="00E75FE1" w:rsidRPr="00E75FE1" w:rsidRDefault="00E75FE1" w:rsidP="00E75FE1">
      <w:pPr>
        <w:autoSpaceDE w:val="0"/>
        <w:autoSpaceDN w:val="0"/>
        <w:adjustRightInd w:val="0"/>
        <w:snapToGrid w:val="0"/>
        <w:spacing w:line="500" w:lineRule="exact"/>
        <w:ind w:firstLineChars="200" w:firstLine="502"/>
        <w:jc w:val="left"/>
        <w:rPr>
          <w:rFonts w:ascii="宋体" w:eastAsia="宋体" w:hAnsi="宋体" w:cs="宋体"/>
          <w:b/>
          <w:bCs/>
          <w:spacing w:val="5"/>
          <w:kern w:val="0"/>
          <w:sz w:val="24"/>
        </w:rPr>
      </w:pPr>
      <w:r w:rsidRPr="00E75FE1">
        <w:rPr>
          <w:rFonts w:ascii="宋体" w:eastAsia="宋体" w:hAnsi="宋体" w:cs="宋体" w:hint="eastAsia"/>
          <w:b/>
          <w:bCs/>
          <w:spacing w:val="5"/>
          <w:kern w:val="0"/>
          <w:sz w:val="24"/>
        </w:rPr>
        <w:t>教学难点：</w:t>
      </w:r>
    </w:p>
    <w:p w14:paraId="3CA45D02"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E75FE1">
        <w:rPr>
          <w:rFonts w:ascii="宋体" w:eastAsia="宋体" w:hAnsi="宋体" w:cs="宋体" w:hint="eastAsia"/>
          <w:spacing w:val="5"/>
          <w:kern w:val="0"/>
          <w:sz w:val="24"/>
        </w:rPr>
        <w:t>1.体育锻炼与健康的关系；如何根据个人情况制定运动处方；学习和掌握常见运动损伤和运动性疾病的处理方法。</w:t>
      </w:r>
    </w:p>
    <w:p w14:paraId="0890FD35"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宋体" w:cs="宋体"/>
          <w:spacing w:val="5"/>
          <w:kern w:val="0"/>
          <w:sz w:val="24"/>
        </w:rPr>
      </w:pPr>
      <w:r w:rsidRPr="00E75FE1">
        <w:rPr>
          <w:rFonts w:ascii="宋体" w:eastAsia="宋体" w:hAnsi="宋体" w:cs="宋体" w:hint="eastAsia"/>
          <w:spacing w:val="5"/>
          <w:kern w:val="0"/>
          <w:sz w:val="24"/>
        </w:rPr>
        <w:t xml:space="preserve">2.考虑学生原有的理论知识和实践技术，在讲授教材及大纲要求的所有知识和技术的同时，重点讲授足球基本技术、基本战术、裁判规则等部分，以达到理论联系实际，学以致用。 </w:t>
      </w:r>
    </w:p>
    <w:p w14:paraId="3D4E87D0"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3.</w:t>
      </w:r>
      <w:r w:rsidRPr="00E75FE1">
        <w:rPr>
          <w:rFonts w:ascii="Arial" w:eastAsia="宋体" w:hAnsi="Calibri" w:cs="Arial"/>
          <w:sz w:val="24"/>
        </w:rPr>
        <w:t>熟练掌握基本技术、战术，比赛方法</w:t>
      </w:r>
      <w:r w:rsidRPr="00E75FE1">
        <w:rPr>
          <w:rFonts w:ascii="Arial" w:eastAsia="宋体" w:hAnsi="Calibri" w:cs="Arial" w:hint="eastAsia"/>
          <w:sz w:val="24"/>
        </w:rPr>
        <w:t>以及如何更好的调动学生的学习积极性。</w:t>
      </w:r>
    </w:p>
    <w:p w14:paraId="08BCFAD3" w14:textId="77777777" w:rsidR="00E75FE1" w:rsidRPr="00E75FE1" w:rsidRDefault="00E75FE1" w:rsidP="00E75FE1">
      <w:pPr>
        <w:autoSpaceDE w:val="0"/>
        <w:autoSpaceDN w:val="0"/>
        <w:adjustRightInd w:val="0"/>
        <w:snapToGrid w:val="0"/>
        <w:spacing w:beforeLines="50" w:before="156" w:afterLines="50" w:after="156" w:line="500" w:lineRule="exact"/>
        <w:ind w:firstLineChars="200" w:firstLine="562"/>
        <w:rPr>
          <w:rFonts w:ascii="宋体" w:eastAsia="宋体" w:hAnsi="Calibri" w:cs="Times New Roman"/>
          <w:b/>
          <w:bCs/>
          <w:kern w:val="0"/>
          <w:sz w:val="24"/>
        </w:rPr>
      </w:pPr>
      <w:r w:rsidRPr="00E75FE1">
        <w:rPr>
          <w:rFonts w:ascii="Calibri" w:eastAsia="宋体" w:hAnsi="Calibri" w:cs="宋体" w:hint="eastAsia"/>
          <w:b/>
          <w:bCs/>
          <w:sz w:val="28"/>
          <w:szCs w:val="28"/>
        </w:rPr>
        <w:t>与其它课程的关系</w:t>
      </w:r>
    </w:p>
    <w:p w14:paraId="54EF3656" w14:textId="77777777" w:rsidR="00E75FE1" w:rsidRPr="00E75FE1" w:rsidRDefault="00E75FE1" w:rsidP="00E75FE1">
      <w:pPr>
        <w:autoSpaceDE w:val="0"/>
        <w:autoSpaceDN w:val="0"/>
        <w:adjustRightInd w:val="0"/>
        <w:snapToGrid w:val="0"/>
        <w:spacing w:line="500" w:lineRule="exact"/>
        <w:ind w:firstLineChars="200" w:firstLine="484"/>
        <w:jc w:val="left"/>
        <w:rPr>
          <w:rFonts w:ascii="宋体" w:eastAsia="宋体" w:hAnsi="Calibri" w:cs="宋体"/>
          <w:spacing w:val="5"/>
          <w:kern w:val="0"/>
          <w:sz w:val="24"/>
        </w:rPr>
      </w:pPr>
      <w:r w:rsidRPr="00E75FE1">
        <w:rPr>
          <w:rFonts w:ascii="宋体" w:eastAsia="宋体" w:hAnsi="Calibri" w:cs="宋体" w:hint="eastAsia"/>
          <w:spacing w:val="1"/>
          <w:kern w:val="0"/>
          <w:sz w:val="24"/>
        </w:rPr>
        <w:t>本课程是大学体育统领性的课程，通过本课程的学习，使学生从理论层面对大学体育所面临的任务有一个全面的了解，在后续课程的学习中，学生能自觉的将理论课程中所学习的知识运用到体育锻炼的实践中去，使锻炼效果事半功倍。我们将在后续的技术实践课程中根据学生的个人爱好开设专项技能俱乐部，包括15大部分的内容，即篮球、排球、足球、交谊舞、健美操、啦</w:t>
      </w:r>
      <w:proofErr w:type="gramStart"/>
      <w:r w:rsidRPr="00E75FE1">
        <w:rPr>
          <w:rFonts w:ascii="宋体" w:eastAsia="宋体" w:hAnsi="Calibri" w:cs="宋体" w:hint="eastAsia"/>
          <w:spacing w:val="1"/>
          <w:kern w:val="0"/>
          <w:sz w:val="24"/>
        </w:rPr>
        <w:t>啦</w:t>
      </w:r>
      <w:proofErr w:type="gramEnd"/>
      <w:r w:rsidRPr="00E75FE1">
        <w:rPr>
          <w:rFonts w:ascii="宋体" w:eastAsia="宋体" w:hAnsi="Calibri" w:cs="宋体" w:hint="eastAsia"/>
          <w:spacing w:val="1"/>
          <w:kern w:val="0"/>
          <w:sz w:val="24"/>
        </w:rPr>
        <w:t>操、武术、太极拳、初级剑、散打、跆拳道、乒乓球、网球、毽球、养生和轮滑。</w:t>
      </w:r>
    </w:p>
    <w:p w14:paraId="7804583B" w14:textId="77777777" w:rsidR="00E75FE1" w:rsidRPr="00E75FE1" w:rsidRDefault="00E75FE1" w:rsidP="00E75FE1">
      <w:pPr>
        <w:spacing w:line="440" w:lineRule="exact"/>
        <w:ind w:firstLineChars="200" w:firstLine="482"/>
        <w:rPr>
          <w:rFonts w:ascii="宋体" w:eastAsia="宋体" w:hAnsi="宋体" w:cs="Times New Roman"/>
          <w:bCs/>
          <w:sz w:val="24"/>
        </w:rPr>
      </w:pPr>
      <w:r w:rsidRPr="00E75FE1">
        <w:rPr>
          <w:rFonts w:ascii="宋体" w:eastAsia="宋体" w:hAnsi="宋体" w:cs="Times New Roman" w:hint="eastAsia"/>
          <w:b/>
          <w:sz w:val="24"/>
        </w:rPr>
        <w:t>【学习内容】</w:t>
      </w:r>
    </w:p>
    <w:p w14:paraId="59B9CB37" w14:textId="77777777" w:rsidR="00E75FE1" w:rsidRPr="00E75FE1" w:rsidRDefault="00E75FE1" w:rsidP="00E75FE1">
      <w:pPr>
        <w:spacing w:line="360" w:lineRule="auto"/>
        <w:jc w:val="center"/>
        <w:rPr>
          <w:rFonts w:ascii="宋体" w:eastAsia="宋体" w:hAnsi="Calibri" w:cs="宋体"/>
          <w:b/>
          <w:bCs/>
          <w:kern w:val="0"/>
          <w:sz w:val="28"/>
          <w:szCs w:val="28"/>
        </w:rPr>
      </w:pPr>
      <w:r w:rsidRPr="00E75FE1">
        <w:rPr>
          <w:rFonts w:ascii="Calibri" w:eastAsia="宋体" w:hAnsi="Calibri" w:cs="Times New Roman" w:hint="eastAsia"/>
          <w:b/>
          <w:sz w:val="28"/>
          <w:szCs w:val="28"/>
        </w:rPr>
        <w:t>第一章</w:t>
      </w:r>
      <w:r w:rsidRPr="00E75FE1">
        <w:rPr>
          <w:rFonts w:ascii="Calibri" w:eastAsia="宋体" w:hAnsi="Calibri" w:cs="Times New Roman" w:hint="eastAsia"/>
          <w:b/>
          <w:sz w:val="28"/>
          <w:szCs w:val="28"/>
        </w:rPr>
        <w:t xml:space="preserve"> </w:t>
      </w:r>
      <w:r w:rsidRPr="00E75FE1">
        <w:rPr>
          <w:rFonts w:ascii="Calibri" w:eastAsia="宋体" w:hAnsi="Calibri" w:cs="Times New Roman" w:hint="eastAsia"/>
          <w:b/>
          <w:sz w:val="28"/>
          <w:szCs w:val="28"/>
        </w:rPr>
        <w:t>排球</w:t>
      </w:r>
      <w:r w:rsidRPr="00E75FE1">
        <w:rPr>
          <w:rFonts w:ascii="Calibri" w:eastAsia="宋体" w:hAnsi="Calibri" w:cs="Times New Roman"/>
          <w:b/>
          <w:sz w:val="28"/>
          <w:szCs w:val="28"/>
        </w:rPr>
        <w:t>理论</w:t>
      </w:r>
      <w:r w:rsidRPr="00E75FE1">
        <w:rPr>
          <w:rFonts w:ascii="Calibri" w:eastAsia="宋体" w:hAnsi="Calibri" w:cs="Times New Roman" w:hint="eastAsia"/>
          <w:b/>
          <w:sz w:val="28"/>
          <w:szCs w:val="28"/>
        </w:rPr>
        <w:t>（</w:t>
      </w:r>
      <w:r w:rsidRPr="00E75FE1">
        <w:rPr>
          <w:rFonts w:ascii="Calibri" w:eastAsia="宋体" w:hAnsi="Calibri" w:cs="Times New Roman" w:hint="eastAsia"/>
          <w:b/>
          <w:sz w:val="28"/>
          <w:szCs w:val="28"/>
        </w:rPr>
        <w:t>2</w:t>
      </w:r>
      <w:r w:rsidRPr="00E75FE1">
        <w:rPr>
          <w:rFonts w:ascii="Calibri" w:eastAsia="宋体" w:hAnsi="Calibri" w:cs="Times New Roman" w:hint="eastAsia"/>
          <w:b/>
          <w:sz w:val="28"/>
          <w:szCs w:val="28"/>
        </w:rPr>
        <w:t>学时）</w:t>
      </w:r>
    </w:p>
    <w:p w14:paraId="47B5D984" w14:textId="77777777" w:rsidR="00E75FE1" w:rsidRPr="00E75FE1" w:rsidRDefault="00E75FE1" w:rsidP="00E75FE1">
      <w:pPr>
        <w:spacing w:line="360" w:lineRule="auto"/>
        <w:ind w:firstLineChars="200" w:firstLine="480"/>
        <w:rPr>
          <w:rFonts w:ascii="宋体" w:eastAsia="宋体" w:hAnsi="宋体" w:cs="宋体"/>
          <w:sz w:val="24"/>
        </w:rPr>
      </w:pPr>
      <w:r w:rsidRPr="00E75FE1">
        <w:rPr>
          <w:rFonts w:ascii="宋体" w:eastAsia="宋体" w:hAnsi="宋体" w:cs="宋体" w:hint="eastAsia"/>
          <w:sz w:val="24"/>
        </w:rPr>
        <w:t xml:space="preserve">1.1  排球运动简介。 </w:t>
      </w:r>
    </w:p>
    <w:p w14:paraId="2666834F" w14:textId="77777777" w:rsidR="00E75FE1" w:rsidRPr="00E75FE1" w:rsidRDefault="00E75FE1" w:rsidP="00E75FE1">
      <w:pPr>
        <w:spacing w:line="360" w:lineRule="auto"/>
        <w:ind w:firstLineChars="200" w:firstLine="480"/>
        <w:rPr>
          <w:rFonts w:ascii="宋体" w:eastAsia="宋体" w:hAnsi="宋体" w:cs="宋体"/>
          <w:sz w:val="24"/>
        </w:rPr>
      </w:pPr>
      <w:r w:rsidRPr="00E75FE1">
        <w:rPr>
          <w:rFonts w:ascii="宋体" w:eastAsia="宋体" w:hAnsi="宋体" w:cs="宋体" w:hint="eastAsia"/>
          <w:sz w:val="24"/>
        </w:rPr>
        <w:t>1.2  我国排球的推广与发展概况 。</w:t>
      </w:r>
    </w:p>
    <w:p w14:paraId="45C825D2" w14:textId="77777777" w:rsidR="00E75FE1" w:rsidRPr="00E75FE1" w:rsidRDefault="00E75FE1" w:rsidP="00E75FE1">
      <w:pPr>
        <w:spacing w:line="360" w:lineRule="auto"/>
        <w:ind w:firstLineChars="200" w:firstLine="480"/>
        <w:rPr>
          <w:rFonts w:ascii="宋体" w:eastAsia="宋体" w:hAnsi="宋体" w:cs="宋体"/>
          <w:sz w:val="24"/>
        </w:rPr>
      </w:pPr>
      <w:r w:rsidRPr="00E75FE1">
        <w:rPr>
          <w:rFonts w:ascii="宋体" w:eastAsia="宋体" w:hAnsi="宋体" w:cs="宋体" w:hint="eastAsia"/>
          <w:sz w:val="24"/>
        </w:rPr>
        <w:t>1.3  排球运动的锻炼价值及相关知识 。</w:t>
      </w:r>
    </w:p>
    <w:p w14:paraId="2A5FC501" w14:textId="77777777" w:rsidR="00E75FE1" w:rsidRPr="00E75FE1" w:rsidRDefault="00E75FE1" w:rsidP="00E75FE1">
      <w:pPr>
        <w:adjustRightInd w:val="0"/>
        <w:snapToGrid w:val="0"/>
        <w:spacing w:line="500" w:lineRule="exact"/>
        <w:ind w:firstLineChars="196" w:firstLine="472"/>
        <w:rPr>
          <w:rFonts w:ascii="Calibri" w:eastAsia="宋体" w:hAnsi="Calibri" w:cs="Times New Roman"/>
          <w:b/>
          <w:sz w:val="24"/>
        </w:rPr>
      </w:pPr>
      <w:r w:rsidRPr="00E75FE1">
        <w:rPr>
          <w:rFonts w:ascii="Calibri" w:eastAsia="宋体" w:hAnsi="Calibri" w:cs="Times New Roman"/>
          <w:b/>
          <w:sz w:val="24"/>
        </w:rPr>
        <w:t>教学目的及要求：</w:t>
      </w:r>
    </w:p>
    <w:p w14:paraId="3715776E" w14:textId="77777777" w:rsidR="00E75FE1" w:rsidRPr="00E75FE1" w:rsidRDefault="00E75FE1" w:rsidP="00E75FE1">
      <w:pPr>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（1）使学生了解排球运动的起源、传播及在我国的发展；</w:t>
      </w:r>
    </w:p>
    <w:p w14:paraId="4D93760D" w14:textId="77777777" w:rsidR="00E75FE1" w:rsidRPr="00E75FE1" w:rsidRDefault="00E75FE1" w:rsidP="00E75FE1">
      <w:pPr>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（2）了解世界排球运动的发展；</w:t>
      </w:r>
    </w:p>
    <w:p w14:paraId="2D24A851" w14:textId="77777777" w:rsidR="00E75FE1" w:rsidRPr="00E75FE1" w:rsidRDefault="00E75FE1" w:rsidP="00E75FE1">
      <w:pPr>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lastRenderedPageBreak/>
        <w:t>（3）掌握排球运动对身心健康的作用等相关知识。</w:t>
      </w:r>
    </w:p>
    <w:p w14:paraId="7259EBDD" w14:textId="77777777" w:rsidR="00E75FE1" w:rsidRPr="00E75FE1" w:rsidRDefault="00E75FE1" w:rsidP="00E75FE1">
      <w:pPr>
        <w:tabs>
          <w:tab w:val="left" w:pos="180"/>
        </w:tabs>
        <w:autoSpaceDE w:val="0"/>
        <w:autoSpaceDN w:val="0"/>
        <w:adjustRightInd w:val="0"/>
        <w:snapToGrid w:val="0"/>
        <w:spacing w:line="500" w:lineRule="exact"/>
        <w:ind w:firstLineChars="200" w:firstLine="482"/>
        <w:rPr>
          <w:rFonts w:ascii="宋体" w:eastAsia="宋体" w:hAnsi="Calibri" w:cs="宋体"/>
          <w:b/>
          <w:bCs/>
          <w:kern w:val="0"/>
          <w:sz w:val="24"/>
        </w:rPr>
      </w:pPr>
      <w:r w:rsidRPr="00E75FE1">
        <w:rPr>
          <w:rFonts w:ascii="Calibri" w:eastAsia="宋体" w:hAnsi="Calibri" w:cs="Times New Roman"/>
          <w:b/>
          <w:sz w:val="24"/>
        </w:rPr>
        <w:t>教学重点及难点：</w:t>
      </w:r>
      <w:r w:rsidRPr="00E75FE1">
        <w:rPr>
          <w:rFonts w:ascii="Calibri" w:eastAsia="宋体" w:hAnsi="Calibri" w:cs="Times New Roman"/>
          <w:sz w:val="24"/>
        </w:rPr>
        <w:t>排球运动的起源</w:t>
      </w:r>
      <w:r w:rsidRPr="00E75FE1">
        <w:rPr>
          <w:rFonts w:ascii="Calibri" w:eastAsia="宋体" w:hAnsi="Calibri" w:cs="Times New Roman" w:hint="eastAsia"/>
          <w:sz w:val="24"/>
        </w:rPr>
        <w:t>、</w:t>
      </w:r>
      <w:r w:rsidRPr="00E75FE1">
        <w:rPr>
          <w:rFonts w:ascii="Calibri" w:eastAsia="宋体" w:hAnsi="Calibri" w:cs="Times New Roman"/>
          <w:sz w:val="24"/>
        </w:rPr>
        <w:t>特点、发展</w:t>
      </w:r>
      <w:r w:rsidRPr="00E75FE1">
        <w:rPr>
          <w:rFonts w:ascii="Calibri" w:eastAsia="宋体" w:hAnsi="Calibri" w:cs="Times New Roman" w:hint="eastAsia"/>
          <w:sz w:val="24"/>
        </w:rPr>
        <w:t>现状及</w:t>
      </w:r>
      <w:r w:rsidRPr="00E75FE1">
        <w:rPr>
          <w:rFonts w:ascii="Calibri" w:eastAsia="宋体" w:hAnsi="Calibri" w:cs="Times New Roman"/>
          <w:sz w:val="24"/>
        </w:rPr>
        <w:t>趋势。</w:t>
      </w:r>
    </w:p>
    <w:p w14:paraId="7EBA5F37" w14:textId="77777777" w:rsidR="00E75FE1" w:rsidRPr="00E75FE1" w:rsidRDefault="00E75FE1" w:rsidP="00E75FE1">
      <w:pPr>
        <w:adjustRightInd w:val="0"/>
        <w:snapToGrid w:val="0"/>
        <w:spacing w:line="500" w:lineRule="exact"/>
        <w:jc w:val="center"/>
        <w:rPr>
          <w:rFonts w:ascii="Calibri" w:eastAsia="宋体" w:hAnsi="Calibri" w:cs="Times New Roman"/>
          <w:b/>
          <w:sz w:val="28"/>
          <w:szCs w:val="28"/>
        </w:rPr>
      </w:pPr>
      <w:r w:rsidRPr="00E75FE1">
        <w:rPr>
          <w:rFonts w:ascii="Calibri" w:eastAsia="宋体" w:hAnsi="Calibri" w:cs="Times New Roman" w:hint="eastAsia"/>
          <w:b/>
          <w:sz w:val="28"/>
          <w:szCs w:val="28"/>
        </w:rPr>
        <w:t>第二章</w:t>
      </w:r>
      <w:r w:rsidRPr="00E75FE1">
        <w:rPr>
          <w:rFonts w:ascii="Calibri" w:eastAsia="宋体" w:hAnsi="Calibri" w:cs="Times New Roman" w:hint="eastAsia"/>
          <w:b/>
          <w:sz w:val="28"/>
          <w:szCs w:val="28"/>
        </w:rPr>
        <w:t xml:space="preserve"> </w:t>
      </w:r>
      <w:r w:rsidRPr="00E75FE1">
        <w:rPr>
          <w:rFonts w:ascii="Calibri" w:eastAsia="宋体" w:hAnsi="Calibri" w:cs="Times New Roman" w:hint="eastAsia"/>
          <w:b/>
          <w:sz w:val="28"/>
          <w:szCs w:val="28"/>
        </w:rPr>
        <w:t>排球</w:t>
      </w:r>
      <w:r w:rsidRPr="00E75FE1">
        <w:rPr>
          <w:rFonts w:ascii="Calibri" w:eastAsia="宋体" w:hAnsi="Calibri" w:cs="Times New Roman"/>
          <w:b/>
          <w:sz w:val="28"/>
          <w:szCs w:val="28"/>
        </w:rPr>
        <w:t>基本技术</w:t>
      </w:r>
      <w:r w:rsidRPr="00E75FE1">
        <w:rPr>
          <w:rFonts w:ascii="Calibri" w:eastAsia="宋体" w:hAnsi="Calibri" w:cs="Times New Roman" w:hint="eastAsia"/>
          <w:b/>
          <w:sz w:val="28"/>
          <w:szCs w:val="28"/>
        </w:rPr>
        <w:t>（</w:t>
      </w:r>
      <w:r w:rsidRPr="00E75FE1">
        <w:rPr>
          <w:rFonts w:ascii="Calibri" w:eastAsia="宋体" w:hAnsi="Calibri" w:cs="Times New Roman" w:hint="eastAsia"/>
          <w:b/>
          <w:sz w:val="28"/>
          <w:szCs w:val="28"/>
        </w:rPr>
        <w:t>24</w:t>
      </w:r>
      <w:r w:rsidRPr="00E75FE1">
        <w:rPr>
          <w:rFonts w:ascii="Calibri" w:eastAsia="宋体" w:hAnsi="Calibri" w:cs="Times New Roman" w:hint="eastAsia"/>
          <w:b/>
          <w:sz w:val="28"/>
          <w:szCs w:val="28"/>
        </w:rPr>
        <w:t>学时）</w:t>
      </w:r>
    </w:p>
    <w:p w14:paraId="4EE3AA67" w14:textId="77777777" w:rsidR="00E75FE1" w:rsidRPr="00E75FE1" w:rsidRDefault="00E75FE1" w:rsidP="00E75FE1">
      <w:pPr>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 xml:space="preserve">2.1排球的准备姿势与移动 </w:t>
      </w:r>
    </w:p>
    <w:p w14:paraId="0F0D2124" w14:textId="77777777" w:rsidR="00E75FE1" w:rsidRPr="00E75FE1" w:rsidRDefault="00E75FE1" w:rsidP="00E75FE1">
      <w:pPr>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 xml:space="preserve">2.2正面双手垫球技术      </w:t>
      </w:r>
    </w:p>
    <w:p w14:paraId="05BD0EE4" w14:textId="77777777" w:rsidR="00E75FE1" w:rsidRPr="00E75FE1" w:rsidRDefault="00E75FE1" w:rsidP="00E75FE1">
      <w:pPr>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 xml:space="preserve">2.3正面上手传球技术     </w:t>
      </w:r>
    </w:p>
    <w:p w14:paraId="40F0E5C5"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宋体" w:eastAsia="宋体" w:hAnsi="宋体" w:cs="宋体" w:hint="eastAsia"/>
          <w:sz w:val="24"/>
        </w:rPr>
        <w:t xml:space="preserve">2.4正面下手发球技术      </w:t>
      </w:r>
      <w:r w:rsidRPr="00E75FE1">
        <w:rPr>
          <w:rFonts w:ascii="Calibri" w:eastAsia="宋体" w:hAnsi="Calibri" w:cs="Times New Roman" w:hint="eastAsia"/>
          <w:sz w:val="24"/>
        </w:rPr>
        <w:t xml:space="preserve">   </w:t>
      </w:r>
    </w:p>
    <w:p w14:paraId="74AB7F18" w14:textId="77777777" w:rsidR="00E75FE1" w:rsidRPr="00E75FE1" w:rsidRDefault="00E75FE1" w:rsidP="00E75FE1">
      <w:pPr>
        <w:spacing w:line="360" w:lineRule="auto"/>
        <w:ind w:firstLineChars="200" w:firstLine="482"/>
        <w:rPr>
          <w:rFonts w:ascii="Arial" w:eastAsia="宋体" w:hAnsi="Arial" w:cs="Arial"/>
          <w:sz w:val="24"/>
        </w:rPr>
      </w:pPr>
      <w:r w:rsidRPr="00E75FE1">
        <w:rPr>
          <w:rFonts w:ascii="Calibri" w:eastAsia="宋体" w:hAnsi="Calibri" w:cs="Times New Roman"/>
          <w:b/>
          <w:sz w:val="24"/>
        </w:rPr>
        <w:t>教学目的及要求：</w:t>
      </w:r>
      <w:r w:rsidRPr="00E75FE1">
        <w:rPr>
          <w:rFonts w:ascii="Arial" w:eastAsia="宋体" w:hAnsi="Calibri" w:cs="Arial"/>
          <w:sz w:val="24"/>
        </w:rPr>
        <w:t>使学生基本掌握排球基本技术及实际应用；提高学生身体灵活性、协调性及快速反映意识</w:t>
      </w:r>
      <w:r w:rsidRPr="00E75FE1">
        <w:rPr>
          <w:rFonts w:ascii="Arial" w:eastAsia="宋体" w:hAnsi="Calibri" w:cs="Arial" w:hint="eastAsia"/>
          <w:sz w:val="24"/>
        </w:rPr>
        <w:t>。</w:t>
      </w:r>
    </w:p>
    <w:p w14:paraId="7237B553" w14:textId="77777777" w:rsidR="00E75FE1" w:rsidRPr="00E75FE1" w:rsidRDefault="00E75FE1" w:rsidP="00E75FE1">
      <w:pPr>
        <w:spacing w:line="360" w:lineRule="auto"/>
        <w:ind w:firstLineChars="200" w:firstLine="482"/>
        <w:rPr>
          <w:rFonts w:ascii="Calibri" w:eastAsia="宋体" w:hAnsi="Calibri" w:cs="Times New Roman"/>
          <w:sz w:val="24"/>
        </w:rPr>
      </w:pPr>
      <w:r w:rsidRPr="00E75FE1">
        <w:rPr>
          <w:rFonts w:ascii="Calibri" w:eastAsia="宋体" w:hAnsi="Calibri" w:cs="Times New Roman"/>
          <w:b/>
          <w:sz w:val="24"/>
        </w:rPr>
        <w:t>教学重点及难点：</w:t>
      </w:r>
      <w:r w:rsidRPr="00E75FE1">
        <w:rPr>
          <w:rFonts w:ascii="Calibri" w:eastAsia="宋体" w:hAnsi="Calibri" w:cs="Times New Roman"/>
          <w:sz w:val="24"/>
        </w:rPr>
        <w:t>正确掌握排球基本技术并合理使用；培养学生快速反应意识</w:t>
      </w:r>
      <w:r w:rsidRPr="00E75FE1">
        <w:rPr>
          <w:rFonts w:ascii="Calibri" w:eastAsia="宋体" w:hAnsi="Calibri" w:cs="Times New Roman" w:hint="eastAsia"/>
          <w:sz w:val="24"/>
        </w:rPr>
        <w:t>。</w:t>
      </w:r>
    </w:p>
    <w:p w14:paraId="5E3429DC" w14:textId="77777777" w:rsidR="00E75FE1" w:rsidRPr="00E75FE1" w:rsidRDefault="00E75FE1" w:rsidP="00E75FE1">
      <w:pPr>
        <w:adjustRightInd w:val="0"/>
        <w:snapToGrid w:val="0"/>
        <w:spacing w:beforeLines="50" w:before="156" w:afterLines="50" w:after="156" w:line="500" w:lineRule="exact"/>
        <w:jc w:val="center"/>
        <w:rPr>
          <w:rFonts w:ascii="宋体" w:eastAsia="宋体" w:hAnsi="宋体" w:cs="Times New Roman"/>
          <w:b/>
          <w:sz w:val="28"/>
          <w:szCs w:val="28"/>
        </w:rPr>
      </w:pPr>
      <w:r w:rsidRPr="00E75FE1">
        <w:rPr>
          <w:rFonts w:ascii="宋体" w:eastAsia="宋体" w:hAnsi="宋体" w:cs="Times New Roman" w:hint="eastAsia"/>
          <w:b/>
          <w:sz w:val="28"/>
          <w:szCs w:val="28"/>
        </w:rPr>
        <w:t>第二章  身体素质（6学时）</w:t>
      </w:r>
    </w:p>
    <w:p w14:paraId="1236CEBE" w14:textId="77777777" w:rsidR="00E75FE1" w:rsidRPr="00E75FE1" w:rsidRDefault="00E75FE1" w:rsidP="00E75FE1">
      <w:pPr>
        <w:spacing w:line="360" w:lineRule="auto"/>
        <w:ind w:firstLineChars="200" w:firstLine="482"/>
        <w:rPr>
          <w:rFonts w:ascii="Calibri" w:eastAsia="宋体" w:hAnsi="Calibri" w:cs="Times New Roman"/>
          <w:b/>
          <w:sz w:val="24"/>
        </w:rPr>
      </w:pPr>
      <w:r w:rsidRPr="00E75FE1">
        <w:rPr>
          <w:rFonts w:ascii="Calibri" w:eastAsia="宋体" w:hAnsi="Calibri" w:cs="Times New Roman"/>
          <w:b/>
          <w:sz w:val="24"/>
        </w:rPr>
        <w:t>本章主要教学内容：</w:t>
      </w:r>
    </w:p>
    <w:p w14:paraId="5BA5FF20" w14:textId="77777777" w:rsidR="00E75FE1" w:rsidRPr="00E75FE1" w:rsidRDefault="00E75FE1" w:rsidP="00E75FE1">
      <w:pPr>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3.1速度素质、耐力素质、灵敏素质。</w:t>
      </w:r>
    </w:p>
    <w:p w14:paraId="0A395FFF"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宋体" w:eastAsia="宋体" w:hAnsi="宋体" w:cs="宋体" w:hint="eastAsia"/>
          <w:sz w:val="24"/>
        </w:rPr>
        <w:t>3.2教学目的及要求：使学生掌握排球运动需要的基本身体素质。</w:t>
      </w:r>
      <w:r w:rsidRPr="00E75FE1">
        <w:rPr>
          <w:rFonts w:ascii="Calibri" w:eastAsia="宋体" w:hAnsi="Calibri" w:cs="Times New Roman" w:hint="eastAsia"/>
          <w:sz w:val="24"/>
        </w:rPr>
        <w:t xml:space="preserve"> </w:t>
      </w:r>
    </w:p>
    <w:p w14:paraId="5624664B" w14:textId="77777777" w:rsidR="00E75FE1" w:rsidRPr="00E75FE1" w:rsidRDefault="00E75FE1" w:rsidP="00E75FE1">
      <w:pPr>
        <w:adjustRightInd w:val="0"/>
        <w:snapToGrid w:val="0"/>
        <w:spacing w:line="500" w:lineRule="exact"/>
        <w:ind w:firstLineChars="200" w:firstLine="482"/>
        <w:rPr>
          <w:rFonts w:ascii="Calibri" w:eastAsia="宋体" w:hAnsi="Calibri" w:cs="Times New Roman"/>
          <w:sz w:val="24"/>
        </w:rPr>
      </w:pPr>
      <w:r w:rsidRPr="00E75FE1">
        <w:rPr>
          <w:rFonts w:ascii="Calibri" w:eastAsia="宋体" w:hAnsi="Calibri" w:cs="Times New Roman" w:hint="eastAsia"/>
          <w:b/>
          <w:bCs/>
          <w:sz w:val="24"/>
        </w:rPr>
        <w:t>教学重点及难点</w:t>
      </w:r>
      <w:r w:rsidRPr="00E75FE1">
        <w:rPr>
          <w:rFonts w:ascii="Calibri" w:eastAsia="宋体" w:hAnsi="Calibri" w:cs="Times New Roman" w:hint="eastAsia"/>
          <w:sz w:val="24"/>
        </w:rPr>
        <w:t>：身体耐力、肌肉力量、柔韧性。</w:t>
      </w:r>
    </w:p>
    <w:p w14:paraId="4D752EFA" w14:textId="77777777" w:rsidR="00E75FE1" w:rsidRPr="00E75FE1" w:rsidRDefault="00E75FE1" w:rsidP="00E75FE1">
      <w:pPr>
        <w:spacing w:beforeLines="50" w:before="156" w:afterLines="50" w:after="156" w:line="440" w:lineRule="exact"/>
        <w:ind w:firstLineChars="200" w:firstLine="560"/>
        <w:jc w:val="center"/>
        <w:rPr>
          <w:rFonts w:ascii="黑体" w:eastAsia="黑体" w:hAnsi="黑体" w:cs="Times New Roman"/>
          <w:sz w:val="28"/>
          <w:szCs w:val="28"/>
        </w:rPr>
      </w:pPr>
      <w:r w:rsidRPr="00E75FE1">
        <w:rPr>
          <w:rFonts w:ascii="黑体" w:eastAsia="黑体" w:hAnsi="黑体" w:cs="Times New Roman" w:hint="eastAsia"/>
          <w:sz w:val="28"/>
          <w:szCs w:val="28"/>
        </w:rPr>
        <w:t>学习内容三 排球 2</w:t>
      </w:r>
    </w:p>
    <w:p w14:paraId="2397FD98"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宋体" w:cs="Times New Roman"/>
          <w:bCs/>
          <w:sz w:val="24"/>
        </w:rPr>
      </w:pPr>
      <w:r w:rsidRPr="00E75FE1">
        <w:rPr>
          <w:rFonts w:ascii="宋体" w:eastAsia="宋体" w:hAnsi="宋体" w:cs="Times New Roman" w:hint="eastAsia"/>
          <w:b/>
          <w:sz w:val="24"/>
        </w:rPr>
        <w:t>【学习目标】</w:t>
      </w:r>
    </w:p>
    <w:p w14:paraId="18E882B8"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1.</w:t>
      </w:r>
      <w:r w:rsidRPr="00E75FE1">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E75FE1">
        <w:rPr>
          <w:rFonts w:ascii="宋体" w:eastAsia="宋体" w:hAnsi="Calibri" w:cs="宋体" w:hint="eastAsia"/>
          <w:spacing w:val="5"/>
          <w:kern w:val="0"/>
          <w:sz w:val="24"/>
        </w:rPr>
        <w:t>通过体能教学活动，</w:t>
      </w:r>
      <w:r w:rsidRPr="00E75FE1">
        <w:rPr>
          <w:rFonts w:ascii="宋体" w:eastAsia="宋体" w:hAnsi="宋体" w:cs="仿宋_GB2312" w:hint="eastAsia"/>
          <w:sz w:val="24"/>
        </w:rPr>
        <w:t>了解《大学生体质健康标准测验》项目内容、考核方式、评价标准，掌握考核内容锻炼的方式方法。</w:t>
      </w:r>
      <w:r w:rsidRPr="00E75FE1">
        <w:rPr>
          <w:rFonts w:ascii="宋体" w:eastAsia="宋体" w:hAnsi="Calibri" w:cs="宋体" w:hint="eastAsia"/>
          <w:spacing w:val="5"/>
          <w:kern w:val="0"/>
          <w:sz w:val="24"/>
        </w:rPr>
        <w:t>培养学生努力学习、不断进取、修身立业、顽强奋进的精神与品质。</w:t>
      </w:r>
    </w:p>
    <w:p w14:paraId="2AEB7FCC"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2.</w:t>
      </w:r>
      <w:r w:rsidRPr="00E75FE1">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w:t>
      </w:r>
      <w:r w:rsidRPr="00E75FE1">
        <w:rPr>
          <w:rFonts w:ascii="宋体" w:eastAsia="宋体" w:hAnsi="宋体" w:cs="仿宋_GB2312" w:hint="eastAsia"/>
          <w:sz w:val="24"/>
        </w:rPr>
        <w:lastRenderedPageBreak/>
        <w:t>和自我评价</w:t>
      </w:r>
      <w:r w:rsidRPr="00E75FE1">
        <w:rPr>
          <w:rFonts w:ascii="宋体" w:eastAsia="宋体" w:hAnsi="Calibri" w:cs="宋体" w:hint="eastAsia"/>
          <w:spacing w:val="5"/>
          <w:kern w:val="0"/>
          <w:sz w:val="24"/>
        </w:rPr>
        <w:t>。</w:t>
      </w:r>
    </w:p>
    <w:p w14:paraId="27927C5E"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3.</w:t>
      </w:r>
      <w:r w:rsidRPr="00E75FE1">
        <w:rPr>
          <w:rFonts w:ascii="宋体" w:eastAsia="宋体" w:hAnsi="宋体" w:cs="仿宋_GB2312" w:hint="eastAsia"/>
          <w:sz w:val="24"/>
        </w:rPr>
        <w:t>使学生能够掌握排球运动的一般规律和特点，使学生获得排球运动的基本技术、基本技能和基础理论知识，并了解现代排球的发展趋势。以运动和身体练习为基本手段，对大学生机体进行科学的培育，在提高人的生物潜能、心理潜能的过程中促进德、智、体、美全面发展，达到身心健康、全面发展的教育总目的</w:t>
      </w:r>
      <w:r w:rsidRPr="00E75FE1">
        <w:rPr>
          <w:rFonts w:ascii="宋体" w:eastAsia="宋体" w:hAnsi="Calibri" w:cs="宋体" w:hint="eastAsia"/>
          <w:spacing w:val="5"/>
          <w:kern w:val="0"/>
          <w:sz w:val="24"/>
        </w:rPr>
        <w:t>。</w:t>
      </w:r>
    </w:p>
    <w:p w14:paraId="39B9F206" w14:textId="77777777" w:rsidR="00E75FE1" w:rsidRPr="00E75FE1" w:rsidRDefault="00E75FE1" w:rsidP="00E75FE1">
      <w:pPr>
        <w:spacing w:line="44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4.</w:t>
      </w:r>
      <w:r w:rsidRPr="00E75FE1">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E75FE1">
        <w:rPr>
          <w:rFonts w:ascii="宋体" w:eastAsia="宋体" w:hAnsi="Calibri" w:cs="宋体" w:hint="eastAsia"/>
          <w:spacing w:val="5"/>
          <w:kern w:val="0"/>
          <w:sz w:val="24"/>
        </w:rPr>
        <w:t>。</w:t>
      </w:r>
    </w:p>
    <w:p w14:paraId="2D869BC9" w14:textId="77777777" w:rsidR="00E75FE1" w:rsidRPr="00E75FE1" w:rsidRDefault="00E75FE1" w:rsidP="00E75FE1">
      <w:pPr>
        <w:adjustRightInd w:val="0"/>
        <w:snapToGrid w:val="0"/>
        <w:spacing w:line="500" w:lineRule="exact"/>
        <w:ind w:firstLineChars="200" w:firstLine="482"/>
        <w:rPr>
          <w:rFonts w:ascii="Calibri" w:eastAsia="宋体" w:hAnsi="Calibri" w:cs="Times New Roman"/>
          <w:sz w:val="24"/>
        </w:rPr>
      </w:pPr>
      <w:r w:rsidRPr="00E75FE1">
        <w:rPr>
          <w:rFonts w:ascii="Calibri" w:eastAsia="宋体" w:hAnsi="Calibri" w:cs="Times New Roman" w:hint="eastAsia"/>
          <w:b/>
          <w:bCs/>
          <w:sz w:val="24"/>
        </w:rPr>
        <w:t>教学</w:t>
      </w:r>
      <w:r w:rsidRPr="00E75FE1">
        <w:rPr>
          <w:rFonts w:ascii="Calibri" w:eastAsia="宋体" w:hAnsi="Calibri" w:cs="Times New Roman"/>
          <w:b/>
          <w:bCs/>
          <w:sz w:val="24"/>
        </w:rPr>
        <w:t>要求</w:t>
      </w:r>
      <w:r w:rsidRPr="00E75FE1">
        <w:rPr>
          <w:rFonts w:ascii="Calibri" w:eastAsia="宋体" w:hAnsi="Calibri" w:cs="Times New Roman" w:hint="eastAsia"/>
          <w:b/>
          <w:bCs/>
          <w:sz w:val="24"/>
        </w:rPr>
        <w:t>：</w:t>
      </w:r>
    </w:p>
    <w:p w14:paraId="20132C10" w14:textId="77777777" w:rsidR="00E75FE1" w:rsidRPr="00E75FE1" w:rsidRDefault="00E75FE1" w:rsidP="00E75FE1">
      <w:pPr>
        <w:adjustRightInd w:val="0"/>
        <w:snapToGrid w:val="0"/>
        <w:spacing w:line="500" w:lineRule="exact"/>
        <w:ind w:firstLineChars="200" w:firstLine="480"/>
        <w:jc w:val="left"/>
        <w:rPr>
          <w:rFonts w:ascii="Calibri" w:eastAsia="宋体" w:hAnsi="Calibri" w:cs="Times New Roman"/>
          <w:sz w:val="24"/>
        </w:rPr>
      </w:pPr>
      <w:r w:rsidRPr="00E75FE1">
        <w:rPr>
          <w:rFonts w:ascii="Calibri" w:eastAsia="宋体" w:hAnsi="Calibri" w:cs="Times New Roman" w:hint="eastAsia"/>
          <w:sz w:val="24"/>
        </w:rPr>
        <w:t>1.</w:t>
      </w:r>
      <w:r w:rsidRPr="00E75FE1">
        <w:rPr>
          <w:rFonts w:ascii="Calibri" w:eastAsia="宋体" w:hAnsi="Calibri" w:cs="Times New Roman" w:hint="eastAsia"/>
          <w:sz w:val="24"/>
        </w:rPr>
        <w:t>在教学过程中将针对普通大学生的运动基础、技术水平、体育需求，切实贯彻循序渐进、精讲多练的原则，力求通过系统的排球专项课教学，让学生多体会、多实践，达到技术、技能、身体素质的全面提高。</w:t>
      </w:r>
      <w:r w:rsidRPr="00E75FE1">
        <w:rPr>
          <w:rFonts w:ascii="Calibri" w:eastAsia="宋体" w:hAnsi="Calibri" w:cs="Times New Roman" w:hint="eastAsia"/>
          <w:sz w:val="24"/>
        </w:rPr>
        <w:br/>
        <w:t xml:space="preserve">       2.</w:t>
      </w:r>
      <w:r w:rsidRPr="00E75FE1">
        <w:rPr>
          <w:rFonts w:ascii="Calibri" w:eastAsia="宋体" w:hAnsi="Calibri" w:cs="Times New Roman" w:hint="eastAsia"/>
          <w:sz w:val="24"/>
        </w:rPr>
        <w:t>注重实践能力与裁判能力的培养，让学生掌握基本的比赛方法，能正确欣赏排球比赛。</w:t>
      </w:r>
      <w:r w:rsidRPr="00E75FE1">
        <w:rPr>
          <w:rFonts w:ascii="Calibri" w:eastAsia="宋体" w:hAnsi="Calibri" w:cs="Times New Roman" w:hint="eastAsia"/>
          <w:sz w:val="24"/>
        </w:rPr>
        <w:br/>
        <w:t xml:space="preserve">       3.</w:t>
      </w:r>
      <w:r w:rsidRPr="00E75FE1">
        <w:rPr>
          <w:rFonts w:ascii="Calibri" w:eastAsia="宋体" w:hAnsi="Calibri" w:cs="Times New Roman" w:hint="eastAsia"/>
          <w:sz w:val="24"/>
        </w:rPr>
        <w:t>注重学生运动习惯的养成，为终身体育奠定基础。</w:t>
      </w:r>
    </w:p>
    <w:p w14:paraId="1A8E2494" w14:textId="77777777" w:rsidR="00E75FE1" w:rsidRPr="00E75FE1" w:rsidRDefault="00E75FE1" w:rsidP="00E75F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482"/>
        <w:rPr>
          <w:rFonts w:ascii="宋体" w:eastAsia="宋体" w:hAnsi="宋体" w:cs="楷体_GB2312"/>
          <w:kern w:val="0"/>
          <w:sz w:val="24"/>
        </w:rPr>
      </w:pPr>
      <w:r w:rsidRPr="00E75FE1">
        <w:rPr>
          <w:rFonts w:ascii="宋体" w:eastAsia="宋体" w:hAnsi="宋体" w:cs="宋体" w:hint="eastAsia"/>
          <w:b/>
          <w:bCs/>
          <w:sz w:val="24"/>
        </w:rPr>
        <w:t>教学重点及难点</w:t>
      </w:r>
    </w:p>
    <w:p w14:paraId="5A1DEF2C" w14:textId="77777777" w:rsidR="00E75FE1" w:rsidRPr="00E75FE1" w:rsidRDefault="00E75FE1" w:rsidP="00E75FE1">
      <w:pPr>
        <w:autoSpaceDE w:val="0"/>
        <w:autoSpaceDN w:val="0"/>
        <w:adjustRightInd w:val="0"/>
        <w:snapToGrid w:val="0"/>
        <w:spacing w:line="500" w:lineRule="exact"/>
        <w:ind w:firstLineChars="200" w:firstLine="502"/>
        <w:jc w:val="left"/>
        <w:rPr>
          <w:rFonts w:ascii="宋体" w:eastAsia="宋体" w:hAnsi="宋体" w:cs="宋体"/>
          <w:b/>
          <w:bCs/>
          <w:spacing w:val="5"/>
          <w:kern w:val="0"/>
          <w:sz w:val="24"/>
        </w:rPr>
      </w:pPr>
      <w:r w:rsidRPr="00E75FE1">
        <w:rPr>
          <w:rFonts w:ascii="宋体" w:eastAsia="宋体" w:hAnsi="宋体" w:cs="宋体" w:hint="eastAsia"/>
          <w:b/>
          <w:bCs/>
          <w:spacing w:val="5"/>
          <w:kern w:val="0"/>
          <w:sz w:val="24"/>
        </w:rPr>
        <w:t>教学重点：</w:t>
      </w:r>
    </w:p>
    <w:p w14:paraId="496D47AC"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E75FE1">
        <w:rPr>
          <w:rFonts w:ascii="宋体" w:eastAsia="宋体" w:hAnsi="宋体" w:cs="宋体" w:hint="eastAsia"/>
          <w:spacing w:val="5"/>
          <w:kern w:val="0"/>
          <w:sz w:val="24"/>
        </w:rPr>
        <w:t xml:space="preserve">1.《大学体育教程》理论课程使学生对大学体育有深入理解；了解体  </w:t>
      </w:r>
    </w:p>
    <w:p w14:paraId="00635F6A" w14:textId="77777777" w:rsidR="00E75FE1" w:rsidRPr="00E75FE1" w:rsidRDefault="00E75FE1" w:rsidP="00E75FE1">
      <w:pPr>
        <w:autoSpaceDE w:val="0"/>
        <w:autoSpaceDN w:val="0"/>
        <w:adjustRightInd w:val="0"/>
        <w:snapToGrid w:val="0"/>
        <w:spacing w:line="500" w:lineRule="exact"/>
        <w:jc w:val="left"/>
        <w:rPr>
          <w:rFonts w:ascii="宋体" w:eastAsia="宋体" w:hAnsi="宋体" w:cs="宋体"/>
          <w:spacing w:val="5"/>
          <w:kern w:val="0"/>
          <w:sz w:val="24"/>
        </w:rPr>
      </w:pPr>
      <w:proofErr w:type="gramStart"/>
      <w:r w:rsidRPr="00E75FE1">
        <w:rPr>
          <w:rFonts w:ascii="宋体" w:eastAsia="宋体" w:hAnsi="宋体" w:cs="宋体" w:hint="eastAsia"/>
          <w:spacing w:val="5"/>
          <w:kern w:val="0"/>
          <w:sz w:val="24"/>
        </w:rPr>
        <w:t>质健康</w:t>
      </w:r>
      <w:proofErr w:type="gramEnd"/>
      <w:r w:rsidRPr="00E75FE1">
        <w:rPr>
          <w:rFonts w:ascii="宋体" w:eastAsia="宋体" w:hAnsi="宋体" w:cs="宋体" w:hint="eastAsia"/>
          <w:spacing w:val="5"/>
          <w:kern w:val="0"/>
          <w:sz w:val="24"/>
        </w:rPr>
        <w:t>标准的实施与如何评价；学会分析常见运动损伤和运动性疾病的症状。</w:t>
      </w:r>
    </w:p>
    <w:p w14:paraId="7F501562" w14:textId="77777777" w:rsidR="00E75FE1" w:rsidRPr="00E75FE1" w:rsidRDefault="00E75FE1" w:rsidP="00E75FE1">
      <w:pPr>
        <w:autoSpaceDE w:val="0"/>
        <w:autoSpaceDN w:val="0"/>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2.基本技术、战术；比赛方法和基本规则。</w:t>
      </w:r>
    </w:p>
    <w:p w14:paraId="3E51536E" w14:textId="77777777" w:rsidR="00E75FE1" w:rsidRPr="00E75FE1" w:rsidRDefault="00E75FE1" w:rsidP="00E75FE1">
      <w:pPr>
        <w:autoSpaceDE w:val="0"/>
        <w:autoSpaceDN w:val="0"/>
        <w:adjustRightInd w:val="0"/>
        <w:snapToGrid w:val="0"/>
        <w:spacing w:line="500" w:lineRule="exact"/>
        <w:ind w:firstLineChars="200" w:firstLine="502"/>
        <w:jc w:val="left"/>
        <w:rPr>
          <w:rFonts w:ascii="宋体" w:eastAsia="宋体" w:hAnsi="宋体" w:cs="宋体"/>
          <w:b/>
          <w:bCs/>
          <w:spacing w:val="5"/>
          <w:kern w:val="0"/>
          <w:sz w:val="24"/>
        </w:rPr>
      </w:pPr>
      <w:r w:rsidRPr="00E75FE1">
        <w:rPr>
          <w:rFonts w:ascii="宋体" w:eastAsia="宋体" w:hAnsi="宋体" w:cs="宋体" w:hint="eastAsia"/>
          <w:b/>
          <w:bCs/>
          <w:spacing w:val="5"/>
          <w:kern w:val="0"/>
          <w:sz w:val="24"/>
        </w:rPr>
        <w:t>教学难点：</w:t>
      </w:r>
    </w:p>
    <w:p w14:paraId="50FA6A5E"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E75FE1">
        <w:rPr>
          <w:rFonts w:ascii="宋体" w:eastAsia="宋体" w:hAnsi="宋体" w:cs="宋体" w:hint="eastAsia"/>
          <w:spacing w:val="5"/>
          <w:kern w:val="0"/>
          <w:sz w:val="24"/>
        </w:rPr>
        <w:t>1.体育锻炼与健康的关系；如何根据个人情况制定运动处方；学习和掌握常见运动损伤和运动性疾病的处理方法。</w:t>
      </w:r>
    </w:p>
    <w:p w14:paraId="31CF75F6"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宋体" w:cs="宋体"/>
          <w:spacing w:val="5"/>
          <w:kern w:val="0"/>
          <w:sz w:val="24"/>
        </w:rPr>
      </w:pPr>
      <w:r w:rsidRPr="00E75FE1">
        <w:rPr>
          <w:rFonts w:ascii="宋体" w:eastAsia="宋体" w:hAnsi="宋体" w:cs="宋体" w:hint="eastAsia"/>
          <w:spacing w:val="5"/>
          <w:kern w:val="0"/>
          <w:sz w:val="24"/>
        </w:rPr>
        <w:t>2.考虑学生原有的理论知识和实践技术，在讲授教材及大纲要求的所有知识和技术的同时，重点讲授足球基本技术、基本战术、裁判规则等部分，以达到理</w:t>
      </w:r>
      <w:r w:rsidRPr="00E75FE1">
        <w:rPr>
          <w:rFonts w:ascii="宋体" w:eastAsia="宋体" w:hAnsi="宋体" w:cs="宋体" w:hint="eastAsia"/>
          <w:spacing w:val="5"/>
          <w:kern w:val="0"/>
          <w:sz w:val="24"/>
        </w:rPr>
        <w:lastRenderedPageBreak/>
        <w:t xml:space="preserve">论联系实际，学以致用。 </w:t>
      </w:r>
    </w:p>
    <w:p w14:paraId="7EED21B9"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宋体" w:cs="宋体"/>
          <w:spacing w:val="5"/>
          <w:kern w:val="0"/>
          <w:sz w:val="24"/>
        </w:rPr>
      </w:pPr>
      <w:r w:rsidRPr="00E75FE1">
        <w:rPr>
          <w:rFonts w:ascii="宋体" w:eastAsia="宋体" w:hAnsi="宋体" w:cs="宋体" w:hint="eastAsia"/>
          <w:spacing w:val="5"/>
          <w:kern w:val="0"/>
          <w:sz w:val="24"/>
        </w:rPr>
        <w:t>3.</w:t>
      </w:r>
      <w:r w:rsidRPr="00E75FE1">
        <w:rPr>
          <w:rFonts w:ascii="宋体" w:eastAsia="宋体" w:hAnsi="宋体" w:cs="宋体" w:hint="eastAsia"/>
          <w:sz w:val="24"/>
        </w:rPr>
        <w:t>熟练掌握基本技术、战术，比赛方法以及如何更好的调动学生的学习积极性。</w:t>
      </w:r>
    </w:p>
    <w:p w14:paraId="6A33C1B9" w14:textId="77777777" w:rsidR="00E75FE1" w:rsidRPr="00E75FE1" w:rsidRDefault="00E75FE1" w:rsidP="00E75FE1">
      <w:pPr>
        <w:autoSpaceDE w:val="0"/>
        <w:autoSpaceDN w:val="0"/>
        <w:adjustRightInd w:val="0"/>
        <w:snapToGrid w:val="0"/>
        <w:spacing w:beforeLines="50" w:before="156" w:afterLines="50" w:after="156" w:line="500" w:lineRule="exact"/>
        <w:ind w:firstLineChars="200" w:firstLine="562"/>
        <w:rPr>
          <w:rFonts w:ascii="宋体" w:eastAsia="宋体" w:hAnsi="Calibri" w:cs="Times New Roman"/>
          <w:b/>
          <w:bCs/>
          <w:kern w:val="0"/>
          <w:sz w:val="24"/>
        </w:rPr>
      </w:pPr>
      <w:r w:rsidRPr="00E75FE1">
        <w:rPr>
          <w:rFonts w:ascii="Calibri" w:eastAsia="宋体" w:hAnsi="Calibri" w:cs="宋体" w:hint="eastAsia"/>
          <w:b/>
          <w:bCs/>
          <w:sz w:val="28"/>
          <w:szCs w:val="28"/>
        </w:rPr>
        <w:t>与其它课程的关系</w:t>
      </w:r>
    </w:p>
    <w:p w14:paraId="5E9BB870" w14:textId="77777777" w:rsidR="00E75FE1" w:rsidRPr="00E75FE1" w:rsidRDefault="00E75FE1" w:rsidP="00E75FE1">
      <w:pPr>
        <w:spacing w:line="440" w:lineRule="exact"/>
        <w:ind w:firstLineChars="200" w:firstLine="484"/>
        <w:rPr>
          <w:rFonts w:ascii="宋体" w:eastAsia="宋体" w:hAnsi="Calibri" w:cs="宋体"/>
          <w:spacing w:val="5"/>
          <w:kern w:val="0"/>
          <w:sz w:val="24"/>
        </w:rPr>
      </w:pPr>
      <w:r w:rsidRPr="00E75FE1">
        <w:rPr>
          <w:rFonts w:ascii="宋体" w:eastAsia="宋体" w:hAnsi="Calibri" w:cs="宋体" w:hint="eastAsia"/>
          <w:spacing w:val="1"/>
          <w:kern w:val="0"/>
          <w:sz w:val="24"/>
        </w:rPr>
        <w:t>本课程是大学体育统领性的课程，通过本课程的学习，使学生从理论层面对大学体育所面临的任务有一个全面的了解，在后续课程的学习中，学生能自觉的将理论课程中所学习的知识运用到体育锻炼的实践中去，使锻炼效果事半功倍。我们将在后续的技术实践课程中根据学生的个人爱好开设专项技能俱乐部，包括15大部分的内容，即篮球、排球、足球、交谊舞、健美操、啦</w:t>
      </w:r>
      <w:proofErr w:type="gramStart"/>
      <w:r w:rsidRPr="00E75FE1">
        <w:rPr>
          <w:rFonts w:ascii="宋体" w:eastAsia="宋体" w:hAnsi="Calibri" w:cs="宋体" w:hint="eastAsia"/>
          <w:spacing w:val="1"/>
          <w:kern w:val="0"/>
          <w:sz w:val="24"/>
        </w:rPr>
        <w:t>啦</w:t>
      </w:r>
      <w:proofErr w:type="gramEnd"/>
      <w:r w:rsidRPr="00E75FE1">
        <w:rPr>
          <w:rFonts w:ascii="宋体" w:eastAsia="宋体" w:hAnsi="Calibri" w:cs="宋体" w:hint="eastAsia"/>
          <w:spacing w:val="1"/>
          <w:kern w:val="0"/>
          <w:sz w:val="24"/>
        </w:rPr>
        <w:t>操、武术、太极拳、初级剑、散打、跆拳道、乒乓球、网球、毽球、养生和轮滑。</w:t>
      </w:r>
    </w:p>
    <w:p w14:paraId="16FF7F8D" w14:textId="77777777" w:rsidR="00E75FE1" w:rsidRPr="00E75FE1" w:rsidRDefault="00E75FE1" w:rsidP="00E75FE1">
      <w:pPr>
        <w:spacing w:line="440" w:lineRule="exact"/>
        <w:ind w:firstLineChars="200" w:firstLine="482"/>
        <w:rPr>
          <w:rFonts w:ascii="宋体" w:eastAsia="宋体" w:hAnsi="宋体" w:cs="Times New Roman"/>
          <w:b/>
          <w:sz w:val="24"/>
        </w:rPr>
      </w:pPr>
      <w:r w:rsidRPr="00E75FE1">
        <w:rPr>
          <w:rFonts w:ascii="宋体" w:eastAsia="宋体" w:hAnsi="宋体" w:cs="Times New Roman" w:hint="eastAsia"/>
          <w:b/>
          <w:sz w:val="24"/>
        </w:rPr>
        <w:t>【学习内容】</w:t>
      </w:r>
    </w:p>
    <w:p w14:paraId="62CCF60C" w14:textId="77777777" w:rsidR="00E75FE1" w:rsidRPr="00E75FE1" w:rsidRDefault="00E75FE1" w:rsidP="00E75FE1">
      <w:pPr>
        <w:spacing w:line="360" w:lineRule="auto"/>
        <w:jc w:val="center"/>
        <w:rPr>
          <w:rFonts w:ascii="宋体" w:eastAsia="宋体" w:hAnsi="Calibri" w:cs="宋体"/>
          <w:b/>
          <w:bCs/>
          <w:kern w:val="0"/>
          <w:sz w:val="28"/>
          <w:szCs w:val="28"/>
        </w:rPr>
      </w:pPr>
      <w:r w:rsidRPr="00E75FE1">
        <w:rPr>
          <w:rFonts w:ascii="Calibri" w:eastAsia="宋体" w:hAnsi="Calibri" w:cs="Times New Roman" w:hint="eastAsia"/>
          <w:b/>
          <w:sz w:val="28"/>
          <w:szCs w:val="28"/>
        </w:rPr>
        <w:t>第一章</w:t>
      </w:r>
      <w:r w:rsidRPr="00E75FE1">
        <w:rPr>
          <w:rFonts w:ascii="Calibri" w:eastAsia="宋体" w:hAnsi="Calibri" w:cs="Times New Roman" w:hint="eastAsia"/>
          <w:b/>
          <w:sz w:val="28"/>
          <w:szCs w:val="28"/>
        </w:rPr>
        <w:t xml:space="preserve"> </w:t>
      </w:r>
      <w:r w:rsidRPr="00E75FE1">
        <w:rPr>
          <w:rFonts w:ascii="Calibri" w:eastAsia="宋体" w:hAnsi="Calibri" w:cs="Times New Roman" w:hint="eastAsia"/>
          <w:b/>
          <w:sz w:val="28"/>
          <w:szCs w:val="28"/>
        </w:rPr>
        <w:t>排球</w:t>
      </w:r>
      <w:r w:rsidRPr="00E75FE1">
        <w:rPr>
          <w:rFonts w:ascii="Calibri" w:eastAsia="宋体" w:hAnsi="Calibri" w:cs="Times New Roman"/>
          <w:b/>
          <w:sz w:val="28"/>
          <w:szCs w:val="28"/>
        </w:rPr>
        <w:t>理论</w:t>
      </w:r>
      <w:r w:rsidRPr="00E75FE1">
        <w:rPr>
          <w:rFonts w:ascii="Calibri" w:eastAsia="宋体" w:hAnsi="Calibri" w:cs="Times New Roman" w:hint="eastAsia"/>
          <w:b/>
          <w:sz w:val="28"/>
          <w:szCs w:val="28"/>
        </w:rPr>
        <w:t>（</w:t>
      </w:r>
      <w:r w:rsidRPr="00E75FE1">
        <w:rPr>
          <w:rFonts w:ascii="Calibri" w:eastAsia="宋体" w:hAnsi="Calibri" w:cs="Times New Roman" w:hint="eastAsia"/>
          <w:b/>
          <w:sz w:val="28"/>
          <w:szCs w:val="28"/>
        </w:rPr>
        <w:t>2</w:t>
      </w:r>
      <w:r w:rsidRPr="00E75FE1">
        <w:rPr>
          <w:rFonts w:ascii="Calibri" w:eastAsia="宋体" w:hAnsi="Calibri" w:cs="Times New Roman" w:hint="eastAsia"/>
          <w:b/>
          <w:sz w:val="28"/>
          <w:szCs w:val="28"/>
        </w:rPr>
        <w:t>学时）</w:t>
      </w:r>
    </w:p>
    <w:p w14:paraId="6C08228B" w14:textId="77777777" w:rsidR="00E75FE1" w:rsidRPr="00E75FE1" w:rsidRDefault="00E75FE1" w:rsidP="00E75FE1">
      <w:pPr>
        <w:widowControl/>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1.1</w:t>
      </w:r>
      <w:r w:rsidRPr="00E75FE1">
        <w:rPr>
          <w:rFonts w:ascii="Calibri" w:eastAsia="宋体" w:hAnsi="Calibri" w:cs="Times New Roman" w:hint="eastAsia"/>
          <w:sz w:val="24"/>
        </w:rPr>
        <w:t>中国女排鉴赏。</w:t>
      </w:r>
    </w:p>
    <w:p w14:paraId="0F2215D3" w14:textId="77777777" w:rsidR="00E75FE1" w:rsidRPr="00E75FE1" w:rsidRDefault="00E75FE1" w:rsidP="00E75FE1">
      <w:pPr>
        <w:adjustRightInd w:val="0"/>
        <w:snapToGrid w:val="0"/>
        <w:spacing w:line="500" w:lineRule="exact"/>
        <w:ind w:firstLineChars="200" w:firstLine="482"/>
        <w:rPr>
          <w:rFonts w:ascii="Calibri" w:eastAsia="宋体" w:hAnsi="Calibri" w:cs="Times New Roman"/>
          <w:b/>
          <w:sz w:val="24"/>
        </w:rPr>
      </w:pPr>
      <w:r w:rsidRPr="00E75FE1">
        <w:rPr>
          <w:rFonts w:ascii="Calibri" w:eastAsia="宋体" w:hAnsi="Calibri" w:cs="Times New Roman"/>
          <w:b/>
          <w:sz w:val="24"/>
        </w:rPr>
        <w:t>教学目的及要求：</w:t>
      </w:r>
    </w:p>
    <w:p w14:paraId="29AC05B6"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目的：直观感受女排的技战术及场上状态</w:t>
      </w:r>
    </w:p>
    <w:p w14:paraId="4763EA96"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要求：基本能看懂比赛</w:t>
      </w:r>
    </w:p>
    <w:p w14:paraId="5F2B63AB" w14:textId="77777777" w:rsidR="00E75FE1" w:rsidRPr="00E75FE1" w:rsidRDefault="00E75FE1" w:rsidP="00E75FE1">
      <w:pPr>
        <w:tabs>
          <w:tab w:val="left" w:pos="180"/>
        </w:tabs>
        <w:autoSpaceDE w:val="0"/>
        <w:autoSpaceDN w:val="0"/>
        <w:adjustRightInd w:val="0"/>
        <w:snapToGrid w:val="0"/>
        <w:spacing w:line="500" w:lineRule="exact"/>
        <w:ind w:firstLineChars="200" w:firstLine="482"/>
        <w:rPr>
          <w:rFonts w:ascii="宋体" w:eastAsia="宋体" w:hAnsi="Calibri" w:cs="宋体"/>
          <w:b/>
          <w:bCs/>
          <w:kern w:val="0"/>
          <w:sz w:val="24"/>
        </w:rPr>
      </w:pPr>
      <w:r w:rsidRPr="00E75FE1">
        <w:rPr>
          <w:rFonts w:ascii="Calibri" w:eastAsia="宋体" w:hAnsi="Calibri" w:cs="Times New Roman"/>
          <w:b/>
          <w:sz w:val="24"/>
        </w:rPr>
        <w:t>教学重点及难点：</w:t>
      </w:r>
      <w:r w:rsidRPr="00E75FE1">
        <w:rPr>
          <w:rFonts w:ascii="Calibri" w:eastAsia="宋体" w:hAnsi="Calibri" w:cs="Times New Roman" w:hint="eastAsia"/>
          <w:sz w:val="24"/>
        </w:rPr>
        <w:t>重点：</w:t>
      </w:r>
      <w:r w:rsidRPr="00E75FE1">
        <w:rPr>
          <w:rFonts w:ascii="Calibri" w:eastAsia="宋体" w:hAnsi="Calibri" w:cs="Times New Roman"/>
          <w:sz w:val="24"/>
        </w:rPr>
        <w:t>排球运动的</w:t>
      </w:r>
      <w:r w:rsidRPr="00E75FE1">
        <w:rPr>
          <w:rFonts w:ascii="Calibri" w:eastAsia="宋体" w:hAnsi="Calibri" w:cs="Times New Roman" w:hint="eastAsia"/>
          <w:sz w:val="24"/>
        </w:rPr>
        <w:t>观看；难点：基本能了解比赛一般知识。</w:t>
      </w:r>
    </w:p>
    <w:p w14:paraId="1E9B7588" w14:textId="77777777" w:rsidR="00E75FE1" w:rsidRPr="00E75FE1" w:rsidRDefault="00E75FE1" w:rsidP="00E75FE1">
      <w:pPr>
        <w:adjustRightInd w:val="0"/>
        <w:snapToGrid w:val="0"/>
        <w:spacing w:line="500" w:lineRule="exact"/>
        <w:jc w:val="center"/>
        <w:rPr>
          <w:rFonts w:ascii="Calibri" w:eastAsia="宋体" w:hAnsi="Calibri" w:cs="Times New Roman"/>
          <w:b/>
          <w:sz w:val="28"/>
          <w:szCs w:val="28"/>
        </w:rPr>
      </w:pPr>
      <w:r w:rsidRPr="00E75FE1">
        <w:rPr>
          <w:rFonts w:ascii="Calibri" w:eastAsia="宋体" w:hAnsi="Calibri" w:cs="Times New Roman" w:hint="eastAsia"/>
          <w:b/>
          <w:sz w:val="28"/>
          <w:szCs w:val="28"/>
        </w:rPr>
        <w:t>第二章</w:t>
      </w:r>
      <w:r w:rsidRPr="00E75FE1">
        <w:rPr>
          <w:rFonts w:ascii="Calibri" w:eastAsia="宋体" w:hAnsi="Calibri" w:cs="Times New Roman" w:hint="eastAsia"/>
          <w:b/>
          <w:sz w:val="28"/>
          <w:szCs w:val="28"/>
        </w:rPr>
        <w:t xml:space="preserve">  </w:t>
      </w:r>
      <w:r w:rsidRPr="00E75FE1">
        <w:rPr>
          <w:rFonts w:ascii="Calibri" w:eastAsia="宋体" w:hAnsi="Calibri" w:cs="Times New Roman" w:hint="eastAsia"/>
          <w:b/>
          <w:sz w:val="28"/>
          <w:szCs w:val="28"/>
        </w:rPr>
        <w:t>排球</w:t>
      </w:r>
      <w:r w:rsidRPr="00E75FE1">
        <w:rPr>
          <w:rFonts w:ascii="Calibri" w:eastAsia="宋体" w:hAnsi="Calibri" w:cs="Times New Roman"/>
          <w:b/>
          <w:sz w:val="28"/>
          <w:szCs w:val="28"/>
        </w:rPr>
        <w:t>基本技术</w:t>
      </w:r>
      <w:r w:rsidRPr="00E75FE1">
        <w:rPr>
          <w:rFonts w:ascii="Calibri" w:eastAsia="宋体" w:hAnsi="Calibri" w:cs="Times New Roman" w:hint="eastAsia"/>
          <w:b/>
          <w:sz w:val="28"/>
          <w:szCs w:val="28"/>
        </w:rPr>
        <w:t>（</w:t>
      </w:r>
      <w:r w:rsidRPr="00E75FE1">
        <w:rPr>
          <w:rFonts w:ascii="Calibri" w:eastAsia="宋体" w:hAnsi="Calibri" w:cs="Times New Roman" w:hint="eastAsia"/>
          <w:b/>
          <w:sz w:val="28"/>
          <w:szCs w:val="28"/>
        </w:rPr>
        <w:t>14</w:t>
      </w:r>
      <w:r w:rsidRPr="00E75FE1">
        <w:rPr>
          <w:rFonts w:ascii="Calibri" w:eastAsia="宋体" w:hAnsi="Calibri" w:cs="Times New Roman" w:hint="eastAsia"/>
          <w:b/>
          <w:sz w:val="28"/>
          <w:szCs w:val="28"/>
        </w:rPr>
        <w:t>学时）</w:t>
      </w:r>
    </w:p>
    <w:p w14:paraId="4CF8B726"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2.1</w:t>
      </w:r>
      <w:r w:rsidRPr="00E75FE1">
        <w:rPr>
          <w:rFonts w:ascii="Calibri" w:eastAsia="宋体" w:hAnsi="Calibri" w:cs="Times New Roman" w:hint="eastAsia"/>
          <w:sz w:val="24"/>
        </w:rPr>
        <w:t>正面扣球技术</w:t>
      </w:r>
    </w:p>
    <w:p w14:paraId="7C971759"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2.2</w:t>
      </w:r>
      <w:r w:rsidRPr="00E75FE1">
        <w:rPr>
          <w:rFonts w:ascii="Calibri" w:eastAsia="宋体" w:hAnsi="Calibri" w:cs="Times New Roman" w:hint="eastAsia"/>
          <w:sz w:val="24"/>
        </w:rPr>
        <w:t>单人</w:t>
      </w:r>
      <w:r w:rsidRPr="00E75FE1">
        <w:rPr>
          <w:rFonts w:ascii="Calibri" w:eastAsia="宋体" w:hAnsi="Calibri" w:cs="Times New Roman"/>
          <w:sz w:val="24"/>
        </w:rPr>
        <w:t>拦网</w:t>
      </w:r>
      <w:r w:rsidRPr="00E75FE1">
        <w:rPr>
          <w:rFonts w:ascii="Calibri" w:eastAsia="宋体" w:hAnsi="Calibri" w:cs="Times New Roman" w:hint="eastAsia"/>
          <w:sz w:val="24"/>
        </w:rPr>
        <w:t>技术</w:t>
      </w:r>
      <w:r w:rsidRPr="00E75FE1">
        <w:rPr>
          <w:rFonts w:ascii="Calibri" w:eastAsia="宋体" w:hAnsi="Calibri" w:cs="Times New Roman" w:hint="eastAsia"/>
          <w:sz w:val="24"/>
        </w:rPr>
        <w:t xml:space="preserve">     </w:t>
      </w:r>
    </w:p>
    <w:p w14:paraId="4B67BCC6"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2.3</w:t>
      </w:r>
      <w:r w:rsidRPr="00E75FE1">
        <w:rPr>
          <w:rFonts w:ascii="Calibri" w:eastAsia="宋体" w:hAnsi="Calibri" w:cs="Times New Roman" w:hint="eastAsia"/>
          <w:sz w:val="24"/>
        </w:rPr>
        <w:t>集体拦网技术</w:t>
      </w:r>
      <w:r w:rsidRPr="00E75FE1">
        <w:rPr>
          <w:rFonts w:ascii="Calibri" w:eastAsia="宋体" w:hAnsi="Calibri" w:cs="Times New Roman" w:hint="eastAsia"/>
          <w:sz w:val="24"/>
        </w:rPr>
        <w:t xml:space="preserve">        </w:t>
      </w:r>
    </w:p>
    <w:p w14:paraId="65C1D31E" w14:textId="77777777" w:rsidR="00E75FE1" w:rsidRPr="00E75FE1" w:rsidRDefault="00E75FE1" w:rsidP="00E75FE1">
      <w:pPr>
        <w:spacing w:line="360" w:lineRule="auto"/>
        <w:ind w:firstLineChars="200" w:firstLine="482"/>
        <w:rPr>
          <w:rFonts w:ascii="Arial" w:eastAsia="宋体" w:hAnsi="Arial" w:cs="Arial"/>
          <w:sz w:val="24"/>
        </w:rPr>
      </w:pPr>
      <w:r w:rsidRPr="00E75FE1">
        <w:rPr>
          <w:rFonts w:ascii="Calibri" w:eastAsia="宋体" w:hAnsi="Calibri" w:cs="Times New Roman"/>
          <w:b/>
          <w:sz w:val="24"/>
        </w:rPr>
        <w:t>教学目的及要求：</w:t>
      </w:r>
      <w:r w:rsidRPr="00E75FE1">
        <w:rPr>
          <w:rFonts w:ascii="Arial" w:eastAsia="宋体" w:hAnsi="Calibri" w:cs="Arial"/>
          <w:sz w:val="24"/>
        </w:rPr>
        <w:t>使学生基本掌握排球基本技术及实际应用；提高学生身体灵活性、协调性及快速反映意识</w:t>
      </w:r>
    </w:p>
    <w:p w14:paraId="57CD01E9" w14:textId="77777777" w:rsidR="00E75FE1" w:rsidRPr="00E75FE1" w:rsidRDefault="00E75FE1" w:rsidP="00E75FE1">
      <w:pPr>
        <w:spacing w:line="360" w:lineRule="auto"/>
        <w:ind w:leftChars="228" w:left="2382" w:hangingChars="790" w:hanging="1903"/>
        <w:rPr>
          <w:rFonts w:ascii="Arial" w:eastAsia="宋体" w:hAnsi="Calibri" w:cs="Arial"/>
          <w:sz w:val="24"/>
        </w:rPr>
      </w:pPr>
      <w:r w:rsidRPr="00E75FE1">
        <w:rPr>
          <w:rFonts w:ascii="Calibri" w:eastAsia="宋体" w:hAnsi="Calibri" w:cs="Times New Roman"/>
          <w:b/>
          <w:sz w:val="24"/>
        </w:rPr>
        <w:t>教学重点及难点：</w:t>
      </w:r>
      <w:r w:rsidRPr="00E75FE1">
        <w:rPr>
          <w:rFonts w:ascii="Arial" w:eastAsia="宋体" w:hAnsi="Calibri" w:cs="Arial"/>
          <w:sz w:val="24"/>
        </w:rPr>
        <w:t>正确掌握排球基本技术并合理使用；培养学生快速反应意识</w:t>
      </w:r>
    </w:p>
    <w:p w14:paraId="6ECF2394" w14:textId="77777777" w:rsidR="00E75FE1" w:rsidRPr="00E75FE1" w:rsidRDefault="00E75FE1" w:rsidP="00E75FE1">
      <w:pPr>
        <w:adjustRightInd w:val="0"/>
        <w:snapToGrid w:val="0"/>
        <w:spacing w:line="500" w:lineRule="exact"/>
        <w:jc w:val="center"/>
        <w:rPr>
          <w:rFonts w:ascii="Calibri" w:eastAsia="宋体" w:hAnsi="Calibri" w:cs="Times New Roman"/>
          <w:b/>
          <w:sz w:val="28"/>
          <w:szCs w:val="28"/>
        </w:rPr>
      </w:pPr>
      <w:r w:rsidRPr="00E75FE1">
        <w:rPr>
          <w:rFonts w:ascii="Calibri" w:eastAsia="宋体" w:hAnsi="Calibri" w:cs="Times New Roman" w:hint="eastAsia"/>
          <w:b/>
          <w:sz w:val="28"/>
          <w:szCs w:val="28"/>
        </w:rPr>
        <w:t>第三章</w:t>
      </w:r>
      <w:r w:rsidRPr="00E75FE1">
        <w:rPr>
          <w:rFonts w:ascii="Calibri" w:eastAsia="宋体" w:hAnsi="Calibri" w:cs="Times New Roman" w:hint="eastAsia"/>
          <w:b/>
          <w:sz w:val="28"/>
          <w:szCs w:val="28"/>
        </w:rPr>
        <w:t xml:space="preserve">  </w:t>
      </w:r>
      <w:r w:rsidRPr="00E75FE1">
        <w:rPr>
          <w:rFonts w:ascii="Calibri" w:eastAsia="宋体" w:hAnsi="Calibri" w:cs="Times New Roman" w:hint="eastAsia"/>
          <w:b/>
          <w:sz w:val="28"/>
          <w:szCs w:val="28"/>
        </w:rPr>
        <w:t>排球</w:t>
      </w:r>
      <w:r w:rsidRPr="00E75FE1">
        <w:rPr>
          <w:rFonts w:ascii="Calibri" w:eastAsia="宋体" w:hAnsi="Calibri" w:cs="Times New Roman"/>
          <w:b/>
          <w:sz w:val="28"/>
          <w:szCs w:val="28"/>
        </w:rPr>
        <w:t>基本战术</w:t>
      </w:r>
      <w:r w:rsidRPr="00E75FE1">
        <w:rPr>
          <w:rFonts w:ascii="Calibri" w:eastAsia="宋体" w:hAnsi="Calibri" w:cs="Times New Roman" w:hint="eastAsia"/>
          <w:b/>
          <w:sz w:val="28"/>
          <w:szCs w:val="28"/>
        </w:rPr>
        <w:t>（</w:t>
      </w:r>
      <w:r w:rsidRPr="00E75FE1">
        <w:rPr>
          <w:rFonts w:ascii="Calibri" w:eastAsia="宋体" w:hAnsi="Calibri" w:cs="Times New Roman" w:hint="eastAsia"/>
          <w:b/>
          <w:sz w:val="28"/>
          <w:szCs w:val="28"/>
        </w:rPr>
        <w:t>4</w:t>
      </w:r>
      <w:r w:rsidRPr="00E75FE1">
        <w:rPr>
          <w:rFonts w:ascii="Calibri" w:eastAsia="宋体" w:hAnsi="Calibri" w:cs="Times New Roman" w:hint="eastAsia"/>
          <w:b/>
          <w:sz w:val="28"/>
          <w:szCs w:val="28"/>
        </w:rPr>
        <w:t>学时）</w:t>
      </w:r>
    </w:p>
    <w:p w14:paraId="1B94E01A" w14:textId="77777777" w:rsidR="00E75FE1" w:rsidRPr="00E75FE1" w:rsidRDefault="00E75FE1" w:rsidP="00E75FE1">
      <w:pPr>
        <w:widowControl/>
        <w:spacing w:line="360" w:lineRule="auto"/>
        <w:ind w:firstLineChars="200" w:firstLine="480"/>
        <w:jc w:val="left"/>
        <w:rPr>
          <w:rFonts w:ascii="Calibri" w:eastAsia="宋体" w:hAnsi="Calibri" w:cs="Times New Roman"/>
          <w:sz w:val="24"/>
        </w:rPr>
      </w:pPr>
      <w:r w:rsidRPr="00E75FE1">
        <w:rPr>
          <w:rFonts w:ascii="Calibri" w:eastAsia="宋体" w:hAnsi="Calibri" w:cs="Times New Roman" w:hint="eastAsia"/>
          <w:sz w:val="24"/>
        </w:rPr>
        <w:t>3.1</w:t>
      </w:r>
      <w:r w:rsidRPr="00E75FE1">
        <w:rPr>
          <w:rFonts w:ascii="Calibri" w:eastAsia="宋体" w:hAnsi="Calibri" w:cs="Times New Roman" w:hint="eastAsia"/>
          <w:sz w:val="24"/>
        </w:rPr>
        <w:t>排球基本战术</w:t>
      </w:r>
      <w:r w:rsidRPr="00E75FE1">
        <w:rPr>
          <w:rFonts w:ascii="Calibri" w:eastAsia="宋体" w:hAnsi="Calibri" w:cs="Times New Roman" w:hint="eastAsia"/>
          <w:sz w:val="24"/>
        </w:rPr>
        <w:t>(</w:t>
      </w:r>
      <w:r w:rsidRPr="00E75FE1">
        <w:rPr>
          <w:rFonts w:ascii="Calibri" w:eastAsia="宋体" w:hAnsi="Calibri" w:cs="Times New Roman" w:hint="eastAsia"/>
          <w:sz w:val="24"/>
        </w:rPr>
        <w:t>个人战术、集体战术</w:t>
      </w:r>
      <w:r w:rsidRPr="00E75FE1">
        <w:rPr>
          <w:rFonts w:ascii="Calibri" w:eastAsia="宋体" w:hAnsi="Calibri" w:cs="Times New Roman" w:hint="eastAsia"/>
          <w:sz w:val="24"/>
        </w:rPr>
        <w:t>)</w:t>
      </w:r>
    </w:p>
    <w:p w14:paraId="3965F853" w14:textId="77777777" w:rsidR="00E75FE1" w:rsidRPr="00E75FE1" w:rsidRDefault="00E75FE1" w:rsidP="00E75FE1">
      <w:pPr>
        <w:widowControl/>
        <w:spacing w:line="360" w:lineRule="auto"/>
        <w:ind w:firstLineChars="200" w:firstLine="480"/>
        <w:jc w:val="left"/>
        <w:rPr>
          <w:rFonts w:ascii="Calibri" w:eastAsia="宋体" w:hAnsi="Calibri" w:cs="Times New Roman"/>
          <w:sz w:val="24"/>
        </w:rPr>
      </w:pPr>
      <w:r w:rsidRPr="00E75FE1">
        <w:rPr>
          <w:rFonts w:ascii="Calibri" w:eastAsia="宋体" w:hAnsi="Calibri" w:cs="Times New Roman" w:hint="eastAsia"/>
          <w:sz w:val="24"/>
        </w:rPr>
        <w:t>3.2</w:t>
      </w:r>
      <w:r w:rsidRPr="00E75FE1">
        <w:rPr>
          <w:rFonts w:ascii="Calibri" w:eastAsia="宋体" w:hAnsi="Calibri" w:cs="Times New Roman" w:hint="eastAsia"/>
          <w:sz w:val="24"/>
        </w:rPr>
        <w:t>阵容配备</w:t>
      </w:r>
      <w:r w:rsidRPr="00E75FE1">
        <w:rPr>
          <w:rFonts w:ascii="Calibri" w:eastAsia="宋体" w:hAnsi="Calibri" w:cs="Times New Roman"/>
          <w:sz w:val="24"/>
        </w:rPr>
        <w:t>；场上站位</w:t>
      </w:r>
      <w:r w:rsidRPr="00E75FE1">
        <w:rPr>
          <w:rFonts w:ascii="Calibri" w:eastAsia="宋体" w:hAnsi="Calibri" w:cs="Times New Roman" w:hint="eastAsia"/>
          <w:sz w:val="24"/>
        </w:rPr>
        <w:t>、</w:t>
      </w:r>
      <w:r w:rsidRPr="00E75FE1">
        <w:rPr>
          <w:rFonts w:ascii="Calibri" w:eastAsia="宋体" w:hAnsi="Calibri" w:cs="Times New Roman"/>
          <w:sz w:val="24"/>
        </w:rPr>
        <w:t>轮次；任务分工</w:t>
      </w:r>
      <w:r w:rsidRPr="00E75FE1">
        <w:rPr>
          <w:rFonts w:ascii="Calibri" w:eastAsia="宋体" w:hAnsi="Calibri" w:cs="Times New Roman" w:hint="eastAsia"/>
          <w:sz w:val="24"/>
        </w:rPr>
        <w:t xml:space="preserve">  </w:t>
      </w:r>
    </w:p>
    <w:p w14:paraId="17F44872" w14:textId="77777777" w:rsidR="00E75FE1" w:rsidRPr="00E75FE1" w:rsidRDefault="00E75FE1" w:rsidP="00E75FE1">
      <w:pPr>
        <w:widowControl/>
        <w:spacing w:line="360" w:lineRule="auto"/>
        <w:ind w:firstLineChars="200" w:firstLine="480"/>
        <w:jc w:val="left"/>
        <w:rPr>
          <w:rFonts w:ascii="Calibri" w:eastAsia="宋体" w:hAnsi="Calibri" w:cs="Times New Roman"/>
          <w:sz w:val="24"/>
        </w:rPr>
      </w:pPr>
      <w:r w:rsidRPr="00E75FE1">
        <w:rPr>
          <w:rFonts w:ascii="Calibri" w:eastAsia="宋体" w:hAnsi="Calibri" w:cs="Times New Roman" w:hint="eastAsia"/>
          <w:sz w:val="24"/>
        </w:rPr>
        <w:t>3.3</w:t>
      </w:r>
      <w:r w:rsidRPr="00E75FE1">
        <w:rPr>
          <w:rFonts w:ascii="Calibri" w:eastAsia="宋体" w:hAnsi="Calibri" w:cs="Times New Roman"/>
          <w:sz w:val="24"/>
        </w:rPr>
        <w:t>比赛规则与裁判手势</w:t>
      </w:r>
      <w:r w:rsidRPr="00E75FE1">
        <w:rPr>
          <w:rFonts w:ascii="Calibri" w:eastAsia="宋体" w:hAnsi="Calibri" w:cs="Times New Roman" w:hint="eastAsia"/>
          <w:sz w:val="24"/>
        </w:rPr>
        <w:t xml:space="preserve">      </w:t>
      </w:r>
    </w:p>
    <w:p w14:paraId="118BEB0C" w14:textId="77777777" w:rsidR="00E75FE1" w:rsidRPr="00E75FE1" w:rsidRDefault="00E75FE1" w:rsidP="00E75FE1">
      <w:pPr>
        <w:widowControl/>
        <w:spacing w:line="360" w:lineRule="auto"/>
        <w:ind w:firstLineChars="200" w:firstLine="480"/>
        <w:jc w:val="left"/>
        <w:rPr>
          <w:rFonts w:ascii="Calibri" w:eastAsia="宋体" w:hAnsi="Calibri" w:cs="Times New Roman"/>
          <w:sz w:val="24"/>
        </w:rPr>
      </w:pPr>
      <w:r w:rsidRPr="00E75FE1">
        <w:rPr>
          <w:rFonts w:ascii="Calibri" w:eastAsia="宋体" w:hAnsi="Calibri" w:cs="Times New Roman" w:hint="eastAsia"/>
          <w:sz w:val="24"/>
        </w:rPr>
        <w:lastRenderedPageBreak/>
        <w:t>3.4</w:t>
      </w:r>
      <w:r w:rsidRPr="00E75FE1">
        <w:rPr>
          <w:rFonts w:ascii="Calibri" w:eastAsia="宋体" w:hAnsi="Calibri" w:cs="Times New Roman" w:hint="eastAsia"/>
          <w:sz w:val="24"/>
        </w:rPr>
        <w:t>“一三二”接发球站位及其配合。</w:t>
      </w:r>
      <w:r w:rsidRPr="00E75FE1">
        <w:rPr>
          <w:rFonts w:ascii="Calibri" w:eastAsia="宋体" w:hAnsi="Calibri" w:cs="Times New Roman" w:hint="eastAsia"/>
          <w:sz w:val="24"/>
        </w:rPr>
        <w:t xml:space="preserve">  </w:t>
      </w:r>
    </w:p>
    <w:p w14:paraId="3FC4F696" w14:textId="77777777" w:rsidR="00E75FE1" w:rsidRPr="00E75FE1" w:rsidRDefault="00E75FE1" w:rsidP="00E75FE1">
      <w:pPr>
        <w:widowControl/>
        <w:spacing w:line="360" w:lineRule="auto"/>
        <w:ind w:firstLineChars="200" w:firstLine="480"/>
        <w:jc w:val="left"/>
        <w:rPr>
          <w:rFonts w:ascii="Calibri" w:eastAsia="宋体" w:hAnsi="Calibri" w:cs="Times New Roman"/>
          <w:sz w:val="24"/>
        </w:rPr>
      </w:pPr>
      <w:r w:rsidRPr="00E75FE1">
        <w:rPr>
          <w:rFonts w:ascii="Calibri" w:eastAsia="宋体" w:hAnsi="Calibri" w:cs="Times New Roman" w:hint="eastAsia"/>
          <w:sz w:val="24"/>
        </w:rPr>
        <w:t>3.5</w:t>
      </w:r>
      <w:r w:rsidRPr="00E75FE1">
        <w:rPr>
          <w:rFonts w:ascii="Calibri" w:eastAsia="宋体" w:hAnsi="Calibri" w:cs="Times New Roman" w:hint="eastAsia"/>
          <w:sz w:val="24"/>
        </w:rPr>
        <w:t>单人拦网和双人拦网的“心跟进”、“边跟进”保护及反攻战术。</w:t>
      </w:r>
    </w:p>
    <w:p w14:paraId="0234C06C" w14:textId="77777777" w:rsidR="00E75FE1" w:rsidRPr="00E75FE1" w:rsidRDefault="00E75FE1" w:rsidP="00E75FE1">
      <w:pPr>
        <w:adjustRightInd w:val="0"/>
        <w:snapToGrid w:val="0"/>
        <w:spacing w:line="500" w:lineRule="exact"/>
        <w:jc w:val="center"/>
        <w:rPr>
          <w:rFonts w:ascii="宋体" w:eastAsia="宋体" w:hAnsi="宋体" w:cs="宋体"/>
          <w:b/>
          <w:sz w:val="28"/>
          <w:szCs w:val="28"/>
        </w:rPr>
      </w:pPr>
      <w:r w:rsidRPr="00E75FE1">
        <w:rPr>
          <w:rFonts w:ascii="宋体" w:eastAsia="宋体" w:hAnsi="宋体" w:cs="宋体" w:hint="eastAsia"/>
          <w:b/>
          <w:sz w:val="28"/>
          <w:szCs w:val="28"/>
        </w:rPr>
        <w:t>第四章  教学比赛（4学时）</w:t>
      </w:r>
    </w:p>
    <w:p w14:paraId="3CC6A03D" w14:textId="77777777" w:rsidR="00E75FE1" w:rsidRPr="00E75FE1" w:rsidRDefault="00E75FE1" w:rsidP="00E75FE1">
      <w:pPr>
        <w:widowControl/>
        <w:spacing w:line="360" w:lineRule="auto"/>
        <w:ind w:firstLineChars="200" w:firstLine="482"/>
        <w:jc w:val="left"/>
        <w:rPr>
          <w:rFonts w:ascii="Arial" w:eastAsia="宋体" w:hAnsi="Arial" w:cs="Arial"/>
          <w:b/>
          <w:sz w:val="24"/>
        </w:rPr>
      </w:pPr>
      <w:r w:rsidRPr="00E75FE1">
        <w:rPr>
          <w:rFonts w:ascii="Arial" w:eastAsia="宋体" w:hAnsi="Calibri" w:cs="Arial"/>
          <w:b/>
          <w:sz w:val="24"/>
        </w:rPr>
        <w:t>本章教学目的及要求：</w:t>
      </w:r>
    </w:p>
    <w:p w14:paraId="2AFE1610" w14:textId="77777777" w:rsidR="00E75FE1" w:rsidRPr="00E75FE1" w:rsidRDefault="00E75FE1" w:rsidP="00E75FE1">
      <w:pPr>
        <w:spacing w:line="360" w:lineRule="auto"/>
        <w:ind w:left="1" w:firstLineChars="200" w:firstLine="480"/>
        <w:rPr>
          <w:rFonts w:ascii="Arial" w:eastAsia="宋体" w:hAnsi="Arial" w:cs="Arial"/>
          <w:b/>
          <w:sz w:val="28"/>
          <w:szCs w:val="28"/>
        </w:rPr>
      </w:pPr>
      <w:r w:rsidRPr="00E75FE1">
        <w:rPr>
          <w:rFonts w:ascii="Arial" w:eastAsia="宋体" w:hAnsi="Calibri" w:cs="Arial"/>
          <w:sz w:val="24"/>
        </w:rPr>
        <w:t>通过学习使学生初步掌握排球的战术理念；了解排球的阵容配备、位置的交换及个人和集体战术</w:t>
      </w:r>
    </w:p>
    <w:p w14:paraId="70A11C61" w14:textId="77777777" w:rsidR="00E75FE1" w:rsidRPr="00E75FE1" w:rsidRDefault="00E75FE1" w:rsidP="00E75FE1">
      <w:pPr>
        <w:spacing w:line="360" w:lineRule="auto"/>
        <w:ind w:leftChars="232" w:left="2388" w:hangingChars="789" w:hanging="1901"/>
        <w:rPr>
          <w:rFonts w:ascii="Arial" w:eastAsia="宋体" w:hAnsi="Arial" w:cs="Arial"/>
          <w:b/>
          <w:sz w:val="24"/>
        </w:rPr>
      </w:pPr>
      <w:r w:rsidRPr="00E75FE1">
        <w:rPr>
          <w:rFonts w:ascii="Arial" w:eastAsia="宋体" w:hAnsi="Calibri" w:cs="Arial"/>
          <w:b/>
          <w:sz w:val="24"/>
        </w:rPr>
        <w:t>本章教学重点及难点：</w:t>
      </w:r>
    </w:p>
    <w:p w14:paraId="6FCABAC2" w14:textId="77777777" w:rsidR="00E75FE1" w:rsidRPr="00E75FE1" w:rsidRDefault="00E75FE1" w:rsidP="00E75FE1">
      <w:pPr>
        <w:spacing w:line="360" w:lineRule="auto"/>
        <w:ind w:left="2" w:firstLineChars="199" w:firstLine="478"/>
        <w:rPr>
          <w:rFonts w:ascii="Arial" w:eastAsia="宋体" w:hAnsi="Calibri" w:cs="Arial"/>
          <w:sz w:val="24"/>
        </w:rPr>
      </w:pPr>
      <w:r w:rsidRPr="00E75FE1">
        <w:rPr>
          <w:rFonts w:ascii="Arial" w:eastAsia="宋体" w:hAnsi="Calibri" w:cs="Arial"/>
          <w:sz w:val="24"/>
        </w:rPr>
        <w:t>正确理解排球的阵容配备、位置的交换；合理的运用个人战术，集体战术配合</w:t>
      </w:r>
      <w:r w:rsidRPr="00E75FE1">
        <w:rPr>
          <w:rFonts w:ascii="Arial" w:eastAsia="宋体" w:hAnsi="Calibri" w:cs="Arial" w:hint="eastAsia"/>
          <w:sz w:val="24"/>
        </w:rPr>
        <w:t>。</w:t>
      </w:r>
    </w:p>
    <w:p w14:paraId="4F6B98B1" w14:textId="77777777" w:rsidR="00E75FE1" w:rsidRPr="00E75FE1" w:rsidRDefault="00E75FE1" w:rsidP="00E75FE1">
      <w:pPr>
        <w:adjustRightInd w:val="0"/>
        <w:snapToGrid w:val="0"/>
        <w:spacing w:beforeLines="50" w:before="156" w:afterLines="50" w:after="156" w:line="500" w:lineRule="exact"/>
        <w:jc w:val="center"/>
        <w:rPr>
          <w:rFonts w:ascii="Arial" w:eastAsia="宋体" w:hAnsi="Arial" w:cs="Arial"/>
          <w:b/>
          <w:sz w:val="28"/>
          <w:szCs w:val="28"/>
        </w:rPr>
      </w:pPr>
      <w:r w:rsidRPr="00E75FE1">
        <w:rPr>
          <w:rFonts w:ascii="宋体" w:eastAsia="宋体" w:hAnsi="宋体" w:cs="Times New Roman" w:hint="eastAsia"/>
          <w:b/>
          <w:sz w:val="28"/>
          <w:szCs w:val="28"/>
        </w:rPr>
        <w:t xml:space="preserve">第五章   </w:t>
      </w:r>
      <w:r w:rsidRPr="00E75FE1">
        <w:rPr>
          <w:rFonts w:ascii="Arial" w:eastAsia="宋体" w:hAnsi="Arial" w:cs="Arial"/>
          <w:b/>
          <w:sz w:val="28"/>
          <w:szCs w:val="28"/>
        </w:rPr>
        <w:t>大</w:t>
      </w:r>
      <w:r w:rsidRPr="00E75FE1">
        <w:rPr>
          <w:rFonts w:ascii="Arial" w:eastAsia="宋体" w:hAnsi="Calibri" w:cs="Arial" w:hint="eastAsia"/>
          <w:b/>
          <w:sz w:val="28"/>
          <w:szCs w:val="28"/>
        </w:rPr>
        <w:t>学生体质健康测评（</w:t>
      </w:r>
      <w:r w:rsidRPr="00E75FE1">
        <w:rPr>
          <w:rFonts w:ascii="Arial" w:eastAsia="宋体" w:hAnsi="Calibri" w:cs="Arial" w:hint="eastAsia"/>
          <w:b/>
          <w:sz w:val="28"/>
          <w:szCs w:val="28"/>
        </w:rPr>
        <w:t>4</w:t>
      </w:r>
      <w:r w:rsidRPr="00E75FE1">
        <w:rPr>
          <w:rFonts w:ascii="Arial" w:eastAsia="宋体" w:hAnsi="Calibri" w:cs="Arial" w:hint="eastAsia"/>
          <w:b/>
          <w:sz w:val="28"/>
          <w:szCs w:val="28"/>
        </w:rPr>
        <w:t>学时）</w:t>
      </w:r>
    </w:p>
    <w:p w14:paraId="6DCD8DA6" w14:textId="77777777" w:rsidR="00E75FE1" w:rsidRPr="00E75FE1" w:rsidRDefault="00E75FE1" w:rsidP="00E75FE1">
      <w:pPr>
        <w:spacing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01C000DC"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5.1 《国家学生体质健康标准》实施说明</w:t>
      </w:r>
    </w:p>
    <w:p w14:paraId="3DEDAC99"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5.2 《国家学生体质健康标准》测试评分表</w:t>
      </w:r>
    </w:p>
    <w:p w14:paraId="620337A8" w14:textId="77777777" w:rsidR="00E75FE1" w:rsidRPr="00E75FE1" w:rsidRDefault="00E75FE1" w:rsidP="00E75FE1">
      <w:pPr>
        <w:spacing w:line="360" w:lineRule="auto"/>
        <w:ind w:firstLineChars="196" w:firstLine="472"/>
        <w:rPr>
          <w:rFonts w:ascii="Calibri" w:eastAsia="宋体" w:hAnsi="Calibri" w:cs="Times New Roman"/>
          <w:bCs/>
          <w:sz w:val="24"/>
        </w:rPr>
      </w:pPr>
      <w:r w:rsidRPr="00E75FE1">
        <w:rPr>
          <w:rFonts w:ascii="Arial" w:eastAsia="宋体" w:hAnsi="Calibri" w:cs="Arial" w:hint="eastAsia"/>
          <w:b/>
          <w:sz w:val="24"/>
        </w:rPr>
        <w:t>本章教学目的及要求：</w:t>
      </w:r>
      <w:r w:rsidRPr="00E75FE1">
        <w:rPr>
          <w:rFonts w:ascii="Calibri" w:eastAsia="宋体" w:hAnsi="Calibri" w:cs="Times New Roman" w:hint="eastAsia"/>
          <w:bCs/>
          <w:sz w:val="24"/>
        </w:rPr>
        <w:t>使学生了解体质健康的主要内容及要求。</w:t>
      </w:r>
    </w:p>
    <w:p w14:paraId="307B2337" w14:textId="77777777" w:rsidR="00E75FE1" w:rsidRPr="00E75FE1" w:rsidRDefault="00E75FE1" w:rsidP="00E75FE1">
      <w:pPr>
        <w:spacing w:beforeLines="50" w:before="156" w:afterLines="50" w:after="156" w:line="440" w:lineRule="exact"/>
        <w:ind w:firstLineChars="200" w:firstLine="482"/>
        <w:jc w:val="left"/>
        <w:rPr>
          <w:rFonts w:ascii="Arial" w:eastAsia="宋体" w:hAnsi="Calibri" w:cs="Arial"/>
          <w:sz w:val="24"/>
        </w:rPr>
      </w:pPr>
      <w:r w:rsidRPr="00E75FE1">
        <w:rPr>
          <w:rFonts w:ascii="Arial" w:eastAsia="宋体" w:hAnsi="Calibri" w:cs="Arial" w:hint="eastAsia"/>
          <w:b/>
          <w:sz w:val="24"/>
        </w:rPr>
        <w:t>本章教学重点及难点：</w:t>
      </w:r>
      <w:r w:rsidRPr="00E75FE1">
        <w:rPr>
          <w:rFonts w:ascii="Arial" w:eastAsia="宋体" w:hAnsi="Calibri" w:cs="Arial" w:hint="eastAsia"/>
          <w:sz w:val="24"/>
        </w:rPr>
        <w:t>学生体质健康标准的重要性；如何激发学生锻炼身体的积极性和自觉性。</w:t>
      </w:r>
    </w:p>
    <w:p w14:paraId="7F02C021" w14:textId="77777777" w:rsidR="00E75FE1" w:rsidRPr="00E75FE1" w:rsidRDefault="00E75FE1" w:rsidP="00E75FE1">
      <w:pPr>
        <w:spacing w:beforeLines="50" w:before="156" w:afterLines="50" w:after="156" w:line="440" w:lineRule="exact"/>
        <w:ind w:firstLineChars="200" w:firstLine="560"/>
        <w:jc w:val="center"/>
        <w:rPr>
          <w:rFonts w:ascii="黑体" w:eastAsia="黑体" w:hAnsi="黑体" w:cs="Times New Roman"/>
          <w:sz w:val="28"/>
          <w:szCs w:val="28"/>
        </w:rPr>
      </w:pPr>
      <w:r w:rsidRPr="00E75FE1">
        <w:rPr>
          <w:rFonts w:ascii="黑体" w:eastAsia="黑体" w:hAnsi="黑体" w:cs="Times New Roman" w:hint="eastAsia"/>
          <w:sz w:val="28"/>
          <w:szCs w:val="28"/>
        </w:rPr>
        <w:t>学习内容四 排球 3</w:t>
      </w:r>
    </w:p>
    <w:p w14:paraId="2791B950"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宋体" w:cs="Times New Roman"/>
          <w:bCs/>
          <w:sz w:val="24"/>
        </w:rPr>
      </w:pPr>
      <w:r w:rsidRPr="00E75FE1">
        <w:rPr>
          <w:rFonts w:ascii="宋体" w:eastAsia="宋体" w:hAnsi="宋体" w:cs="Times New Roman" w:hint="eastAsia"/>
          <w:b/>
          <w:sz w:val="24"/>
        </w:rPr>
        <w:t>【学习目标】</w:t>
      </w:r>
    </w:p>
    <w:p w14:paraId="1C7EE757"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1.</w:t>
      </w:r>
      <w:r w:rsidRPr="00E75FE1">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E75FE1">
        <w:rPr>
          <w:rFonts w:ascii="宋体" w:eastAsia="宋体" w:hAnsi="Calibri" w:cs="宋体" w:hint="eastAsia"/>
          <w:spacing w:val="5"/>
          <w:kern w:val="0"/>
          <w:sz w:val="24"/>
        </w:rPr>
        <w:t>通过体能教学活动，</w:t>
      </w:r>
      <w:r w:rsidRPr="00E75FE1">
        <w:rPr>
          <w:rFonts w:ascii="宋体" w:eastAsia="宋体" w:hAnsi="宋体" w:cs="仿宋_GB2312" w:hint="eastAsia"/>
          <w:sz w:val="24"/>
        </w:rPr>
        <w:t>了解《大学生体质健康标准测验》项目内容、考核方式、评价标准，掌握考核内容锻炼的方式方法。</w:t>
      </w:r>
      <w:r w:rsidRPr="00E75FE1">
        <w:rPr>
          <w:rFonts w:ascii="宋体" w:eastAsia="宋体" w:hAnsi="Calibri" w:cs="宋体" w:hint="eastAsia"/>
          <w:spacing w:val="5"/>
          <w:kern w:val="0"/>
          <w:sz w:val="24"/>
        </w:rPr>
        <w:t>培养学生努力学习、不断进取、修身立业、顽强奋进的精神与品质。</w:t>
      </w:r>
    </w:p>
    <w:p w14:paraId="4B7DADB3"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2.</w:t>
      </w:r>
      <w:r w:rsidRPr="00E75FE1">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w:t>
      </w:r>
      <w:r w:rsidRPr="00E75FE1">
        <w:rPr>
          <w:rFonts w:ascii="宋体" w:eastAsia="宋体" w:hAnsi="宋体" w:cs="仿宋_GB2312" w:hint="eastAsia"/>
          <w:sz w:val="24"/>
        </w:rPr>
        <w:lastRenderedPageBreak/>
        <w:t>和自我评价</w:t>
      </w:r>
      <w:r w:rsidRPr="00E75FE1">
        <w:rPr>
          <w:rFonts w:ascii="宋体" w:eastAsia="宋体" w:hAnsi="Calibri" w:cs="宋体" w:hint="eastAsia"/>
          <w:spacing w:val="5"/>
          <w:kern w:val="0"/>
          <w:sz w:val="24"/>
        </w:rPr>
        <w:t>。</w:t>
      </w:r>
    </w:p>
    <w:p w14:paraId="2F7D959A"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3.</w:t>
      </w:r>
      <w:r w:rsidRPr="00E75FE1">
        <w:rPr>
          <w:rFonts w:ascii="宋体" w:eastAsia="宋体" w:hAnsi="宋体" w:cs="仿宋_GB2312" w:hint="eastAsia"/>
          <w:sz w:val="24"/>
        </w:rPr>
        <w:t>使学生能够掌握排球运动的一般规律和特点，使学生获得排球运动的基本技术、基本技能和基础理论知识，并了解现代排球的发展趋势。以运动和身体练习为基本手段，对大学生机体进行科学的培育，在提高人的生物潜能、心理潜能的过程中促进德、智、体、美全面发展，达到身心健康、全面发展的教育总目的</w:t>
      </w:r>
      <w:r w:rsidRPr="00E75FE1">
        <w:rPr>
          <w:rFonts w:ascii="宋体" w:eastAsia="宋体" w:hAnsi="Calibri" w:cs="宋体" w:hint="eastAsia"/>
          <w:spacing w:val="5"/>
          <w:kern w:val="0"/>
          <w:sz w:val="24"/>
        </w:rPr>
        <w:t>。</w:t>
      </w:r>
    </w:p>
    <w:p w14:paraId="7FE10C29" w14:textId="77777777" w:rsidR="00E75FE1" w:rsidRPr="00E75FE1" w:rsidRDefault="00E75FE1" w:rsidP="00E75FE1">
      <w:pPr>
        <w:spacing w:line="44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4.</w:t>
      </w:r>
      <w:r w:rsidRPr="00E75FE1">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E75FE1">
        <w:rPr>
          <w:rFonts w:ascii="宋体" w:eastAsia="宋体" w:hAnsi="Calibri" w:cs="宋体" w:hint="eastAsia"/>
          <w:spacing w:val="5"/>
          <w:kern w:val="0"/>
          <w:sz w:val="24"/>
        </w:rPr>
        <w:t>。</w:t>
      </w:r>
    </w:p>
    <w:p w14:paraId="779C6B37" w14:textId="77777777" w:rsidR="00E75FE1" w:rsidRPr="00E75FE1" w:rsidRDefault="00E75FE1" w:rsidP="00E75FE1">
      <w:pPr>
        <w:autoSpaceDE w:val="0"/>
        <w:autoSpaceDN w:val="0"/>
        <w:adjustRightInd w:val="0"/>
        <w:snapToGrid w:val="0"/>
        <w:spacing w:line="500" w:lineRule="exact"/>
        <w:ind w:firstLineChars="200" w:firstLine="482"/>
        <w:jc w:val="left"/>
        <w:rPr>
          <w:rFonts w:ascii="Calibri" w:eastAsia="宋体" w:hAnsi="Calibri" w:cs="Times New Roman"/>
          <w:b/>
          <w:bCs/>
          <w:sz w:val="24"/>
        </w:rPr>
      </w:pPr>
      <w:r w:rsidRPr="00E75FE1">
        <w:rPr>
          <w:rFonts w:ascii="Calibri" w:eastAsia="宋体" w:hAnsi="Calibri" w:cs="Times New Roman" w:hint="eastAsia"/>
          <w:b/>
          <w:bCs/>
          <w:sz w:val="24"/>
        </w:rPr>
        <w:t>教学</w:t>
      </w:r>
      <w:r w:rsidRPr="00E75FE1">
        <w:rPr>
          <w:rFonts w:ascii="Calibri" w:eastAsia="宋体" w:hAnsi="Calibri" w:cs="Times New Roman"/>
          <w:b/>
          <w:bCs/>
          <w:sz w:val="24"/>
        </w:rPr>
        <w:t>要求</w:t>
      </w:r>
      <w:r w:rsidRPr="00E75FE1">
        <w:rPr>
          <w:rFonts w:ascii="Calibri" w:eastAsia="宋体" w:hAnsi="Calibri" w:cs="Times New Roman" w:hint="eastAsia"/>
          <w:b/>
          <w:bCs/>
          <w:sz w:val="24"/>
        </w:rPr>
        <w:t>：</w:t>
      </w:r>
    </w:p>
    <w:p w14:paraId="46CA1398"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E75FE1">
        <w:rPr>
          <w:rFonts w:ascii="宋体" w:eastAsia="宋体" w:hAnsi="宋体" w:cs="宋体" w:hint="eastAsia"/>
          <w:spacing w:val="5"/>
          <w:kern w:val="0"/>
          <w:sz w:val="24"/>
        </w:rPr>
        <w:t>1.在教学过程中将针对普通大学生的运动基础、技术水平、体育需求，切实贯彻循序渐进、精讲多练的原则，力求通过系统的排球专项课教学，让学生多体会、多实践，达到技术、技能、身体素质的全面提高。</w:t>
      </w:r>
      <w:r w:rsidRPr="00E75FE1">
        <w:rPr>
          <w:rFonts w:ascii="宋体" w:eastAsia="宋体" w:hAnsi="宋体" w:cs="宋体" w:hint="eastAsia"/>
          <w:spacing w:val="5"/>
          <w:kern w:val="0"/>
          <w:sz w:val="24"/>
        </w:rPr>
        <w:br/>
        <w:t xml:space="preserve">    2.注重实践能力与裁判能力的培养，让学生掌握基本的比赛方法，能正确欣赏排球比赛。</w:t>
      </w:r>
      <w:r w:rsidRPr="00E75FE1">
        <w:rPr>
          <w:rFonts w:ascii="宋体" w:eastAsia="宋体" w:hAnsi="宋体" w:cs="宋体" w:hint="eastAsia"/>
          <w:spacing w:val="5"/>
          <w:kern w:val="0"/>
          <w:sz w:val="24"/>
        </w:rPr>
        <w:br/>
        <w:t xml:space="preserve">    3.注重学生运动习惯的养成，为终身体育奠定基础。</w:t>
      </w:r>
    </w:p>
    <w:p w14:paraId="515E7660" w14:textId="77777777" w:rsidR="00E75FE1" w:rsidRPr="00E75FE1" w:rsidRDefault="00E75FE1" w:rsidP="00E75F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482"/>
        <w:jc w:val="left"/>
        <w:rPr>
          <w:rFonts w:ascii="宋体" w:eastAsia="宋体" w:hAnsi="宋体" w:cs="楷体_GB2312"/>
          <w:kern w:val="0"/>
          <w:sz w:val="24"/>
        </w:rPr>
      </w:pPr>
      <w:r w:rsidRPr="00E75FE1">
        <w:rPr>
          <w:rFonts w:ascii="宋体" w:eastAsia="宋体" w:hAnsi="宋体" w:cs="宋体" w:hint="eastAsia"/>
          <w:b/>
          <w:bCs/>
          <w:sz w:val="24"/>
        </w:rPr>
        <w:t>教学重点及难点</w:t>
      </w:r>
    </w:p>
    <w:p w14:paraId="2FF017A5" w14:textId="77777777" w:rsidR="00E75FE1" w:rsidRPr="00E75FE1" w:rsidRDefault="00E75FE1" w:rsidP="00E75FE1">
      <w:pPr>
        <w:autoSpaceDE w:val="0"/>
        <w:autoSpaceDN w:val="0"/>
        <w:adjustRightInd w:val="0"/>
        <w:snapToGrid w:val="0"/>
        <w:spacing w:line="500" w:lineRule="exact"/>
        <w:ind w:firstLineChars="200" w:firstLine="502"/>
        <w:jc w:val="left"/>
        <w:rPr>
          <w:rFonts w:ascii="宋体" w:eastAsia="宋体" w:hAnsi="宋体" w:cs="宋体"/>
          <w:b/>
          <w:bCs/>
          <w:spacing w:val="5"/>
          <w:kern w:val="0"/>
          <w:sz w:val="24"/>
        </w:rPr>
      </w:pPr>
      <w:r w:rsidRPr="00E75FE1">
        <w:rPr>
          <w:rFonts w:ascii="宋体" w:eastAsia="宋体" w:hAnsi="宋体" w:cs="宋体" w:hint="eastAsia"/>
          <w:b/>
          <w:bCs/>
          <w:spacing w:val="5"/>
          <w:kern w:val="0"/>
          <w:sz w:val="24"/>
        </w:rPr>
        <w:t>教学重点：</w:t>
      </w:r>
    </w:p>
    <w:p w14:paraId="28C7D575"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E75FE1">
        <w:rPr>
          <w:rFonts w:ascii="宋体" w:eastAsia="宋体" w:hAnsi="宋体" w:cs="宋体" w:hint="eastAsia"/>
          <w:spacing w:val="5"/>
          <w:kern w:val="0"/>
          <w:sz w:val="24"/>
        </w:rPr>
        <w:t xml:space="preserve">1.《大学体育教程》理论课程使学生对大学体育有深入理解；了解体  </w:t>
      </w:r>
    </w:p>
    <w:p w14:paraId="1554AC0B" w14:textId="77777777" w:rsidR="00E75FE1" w:rsidRPr="00E75FE1" w:rsidRDefault="00E75FE1" w:rsidP="00E75FE1">
      <w:pPr>
        <w:autoSpaceDE w:val="0"/>
        <w:autoSpaceDN w:val="0"/>
        <w:adjustRightInd w:val="0"/>
        <w:snapToGrid w:val="0"/>
        <w:spacing w:line="500" w:lineRule="exact"/>
        <w:jc w:val="left"/>
        <w:rPr>
          <w:rFonts w:ascii="宋体" w:eastAsia="宋体" w:hAnsi="宋体" w:cs="宋体"/>
          <w:spacing w:val="5"/>
          <w:kern w:val="0"/>
          <w:sz w:val="24"/>
        </w:rPr>
      </w:pPr>
      <w:proofErr w:type="gramStart"/>
      <w:r w:rsidRPr="00E75FE1">
        <w:rPr>
          <w:rFonts w:ascii="宋体" w:eastAsia="宋体" w:hAnsi="宋体" w:cs="宋体" w:hint="eastAsia"/>
          <w:spacing w:val="5"/>
          <w:kern w:val="0"/>
          <w:sz w:val="24"/>
        </w:rPr>
        <w:t>质健康</w:t>
      </w:r>
      <w:proofErr w:type="gramEnd"/>
      <w:r w:rsidRPr="00E75FE1">
        <w:rPr>
          <w:rFonts w:ascii="宋体" w:eastAsia="宋体" w:hAnsi="宋体" w:cs="宋体" w:hint="eastAsia"/>
          <w:spacing w:val="5"/>
          <w:kern w:val="0"/>
          <w:sz w:val="24"/>
        </w:rPr>
        <w:t>标准的实施与如何评价；学会分析常见运动损伤和运动性疾病的症状。</w:t>
      </w:r>
    </w:p>
    <w:p w14:paraId="6C58E0DC" w14:textId="77777777" w:rsidR="00E75FE1" w:rsidRPr="00E75FE1" w:rsidRDefault="00E75FE1" w:rsidP="00E75FE1">
      <w:pPr>
        <w:autoSpaceDE w:val="0"/>
        <w:autoSpaceDN w:val="0"/>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2.基本技术、战术；比赛方法和基本规则。</w:t>
      </w:r>
    </w:p>
    <w:p w14:paraId="28B740F9" w14:textId="77777777" w:rsidR="00E75FE1" w:rsidRPr="00E75FE1" w:rsidRDefault="00E75FE1" w:rsidP="00E75FE1">
      <w:pPr>
        <w:autoSpaceDE w:val="0"/>
        <w:autoSpaceDN w:val="0"/>
        <w:adjustRightInd w:val="0"/>
        <w:snapToGrid w:val="0"/>
        <w:spacing w:line="500" w:lineRule="exact"/>
        <w:ind w:firstLineChars="200" w:firstLine="502"/>
        <w:jc w:val="left"/>
        <w:rPr>
          <w:rFonts w:ascii="宋体" w:eastAsia="宋体" w:hAnsi="宋体" w:cs="宋体"/>
          <w:b/>
          <w:bCs/>
          <w:spacing w:val="5"/>
          <w:kern w:val="0"/>
          <w:sz w:val="24"/>
        </w:rPr>
      </w:pPr>
      <w:r w:rsidRPr="00E75FE1">
        <w:rPr>
          <w:rFonts w:ascii="宋体" w:eastAsia="宋体" w:hAnsi="宋体" w:cs="宋体" w:hint="eastAsia"/>
          <w:b/>
          <w:bCs/>
          <w:spacing w:val="5"/>
          <w:kern w:val="0"/>
          <w:sz w:val="24"/>
        </w:rPr>
        <w:t>教学难点：</w:t>
      </w:r>
    </w:p>
    <w:p w14:paraId="19445D69"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E75FE1">
        <w:rPr>
          <w:rFonts w:ascii="宋体" w:eastAsia="宋体" w:hAnsi="宋体" w:cs="宋体" w:hint="eastAsia"/>
          <w:spacing w:val="5"/>
          <w:kern w:val="0"/>
          <w:sz w:val="24"/>
        </w:rPr>
        <w:t>1.体育锻炼与健康的关系；如何根据个人情况制定运动处方；学习和掌握常见运动损伤和运动性疾病的处理方法。</w:t>
      </w:r>
    </w:p>
    <w:p w14:paraId="6EC04D86"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宋体" w:cs="宋体"/>
          <w:spacing w:val="5"/>
          <w:kern w:val="0"/>
          <w:sz w:val="24"/>
        </w:rPr>
      </w:pPr>
      <w:r w:rsidRPr="00E75FE1">
        <w:rPr>
          <w:rFonts w:ascii="宋体" w:eastAsia="宋体" w:hAnsi="宋体" w:cs="宋体" w:hint="eastAsia"/>
          <w:spacing w:val="5"/>
          <w:kern w:val="0"/>
          <w:sz w:val="24"/>
        </w:rPr>
        <w:t>2.考虑学生原有的理论知识和实践技术，在讲授教材及大纲要求的所有知识和技术的同时，重点讲授足球基本技术、基本战术、裁判规则等部分，以达到理</w:t>
      </w:r>
      <w:r w:rsidRPr="00E75FE1">
        <w:rPr>
          <w:rFonts w:ascii="宋体" w:eastAsia="宋体" w:hAnsi="宋体" w:cs="宋体" w:hint="eastAsia"/>
          <w:spacing w:val="5"/>
          <w:kern w:val="0"/>
          <w:sz w:val="24"/>
        </w:rPr>
        <w:lastRenderedPageBreak/>
        <w:t xml:space="preserve">论联系实际，学以致用。 </w:t>
      </w:r>
    </w:p>
    <w:p w14:paraId="626AF95A"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3.</w:t>
      </w:r>
      <w:r w:rsidRPr="00E75FE1">
        <w:rPr>
          <w:rFonts w:ascii="Arial" w:eastAsia="宋体" w:hAnsi="Calibri" w:cs="Arial"/>
          <w:sz w:val="24"/>
        </w:rPr>
        <w:t>熟练掌握基本技术、战术，比赛方法</w:t>
      </w:r>
      <w:r w:rsidRPr="00E75FE1">
        <w:rPr>
          <w:rFonts w:ascii="Arial" w:eastAsia="宋体" w:hAnsi="Calibri" w:cs="Arial" w:hint="eastAsia"/>
          <w:sz w:val="24"/>
        </w:rPr>
        <w:t>以及如何更好的调动学生的学习积极性。</w:t>
      </w:r>
    </w:p>
    <w:p w14:paraId="3CECCC49" w14:textId="77777777" w:rsidR="00E75FE1" w:rsidRPr="00E75FE1" w:rsidRDefault="00E75FE1" w:rsidP="00E75FE1">
      <w:pPr>
        <w:autoSpaceDE w:val="0"/>
        <w:autoSpaceDN w:val="0"/>
        <w:adjustRightInd w:val="0"/>
        <w:snapToGrid w:val="0"/>
        <w:spacing w:beforeLines="50" w:before="156" w:afterLines="50" w:after="156" w:line="500" w:lineRule="exact"/>
        <w:ind w:firstLineChars="200" w:firstLine="562"/>
        <w:rPr>
          <w:rFonts w:ascii="宋体" w:eastAsia="宋体" w:hAnsi="Calibri" w:cs="Times New Roman"/>
          <w:b/>
          <w:bCs/>
          <w:kern w:val="0"/>
          <w:sz w:val="24"/>
        </w:rPr>
      </w:pPr>
      <w:r w:rsidRPr="00E75FE1">
        <w:rPr>
          <w:rFonts w:ascii="Calibri" w:eastAsia="宋体" w:hAnsi="Calibri" w:cs="宋体" w:hint="eastAsia"/>
          <w:b/>
          <w:bCs/>
          <w:sz w:val="28"/>
          <w:szCs w:val="28"/>
        </w:rPr>
        <w:t>与其它课程的关系</w:t>
      </w:r>
    </w:p>
    <w:p w14:paraId="6365D725" w14:textId="77777777" w:rsidR="00E75FE1" w:rsidRPr="00E75FE1" w:rsidRDefault="00E75FE1" w:rsidP="00E75FE1">
      <w:pPr>
        <w:spacing w:line="440" w:lineRule="exact"/>
        <w:ind w:firstLineChars="200" w:firstLine="484"/>
        <w:rPr>
          <w:rFonts w:ascii="宋体" w:eastAsia="宋体" w:hAnsi="Calibri" w:cs="宋体"/>
          <w:spacing w:val="5"/>
          <w:kern w:val="0"/>
          <w:sz w:val="24"/>
        </w:rPr>
      </w:pPr>
      <w:r w:rsidRPr="00E75FE1">
        <w:rPr>
          <w:rFonts w:ascii="宋体" w:eastAsia="宋体" w:hAnsi="Calibri" w:cs="宋体" w:hint="eastAsia"/>
          <w:spacing w:val="1"/>
          <w:kern w:val="0"/>
          <w:sz w:val="24"/>
        </w:rPr>
        <w:t>本课程是大学体育统领性的课程，通过本课程的学习，使学生从理论层面对大学体育所面临的任务有一个全面的了解，在后续课程的学习中，学生能自觉的将理论课程中所学习的知识运用到体育锻炼的实践中去，使锻炼效果事半功倍。我们将在后续的技术实践课程中根据学生的个人爱好开设专项技能俱乐部，包括15大部分的内容，即篮球、排球、足球、交谊舞、健美操、啦</w:t>
      </w:r>
      <w:proofErr w:type="gramStart"/>
      <w:r w:rsidRPr="00E75FE1">
        <w:rPr>
          <w:rFonts w:ascii="宋体" w:eastAsia="宋体" w:hAnsi="Calibri" w:cs="宋体" w:hint="eastAsia"/>
          <w:spacing w:val="1"/>
          <w:kern w:val="0"/>
          <w:sz w:val="24"/>
        </w:rPr>
        <w:t>啦</w:t>
      </w:r>
      <w:proofErr w:type="gramEnd"/>
      <w:r w:rsidRPr="00E75FE1">
        <w:rPr>
          <w:rFonts w:ascii="宋体" w:eastAsia="宋体" w:hAnsi="Calibri" w:cs="宋体" w:hint="eastAsia"/>
          <w:spacing w:val="1"/>
          <w:kern w:val="0"/>
          <w:sz w:val="24"/>
        </w:rPr>
        <w:t>操、武术、太极拳、初级剑、散打、跆拳道、乒乓球、网球、毽球、养生和轮滑。</w:t>
      </w:r>
    </w:p>
    <w:p w14:paraId="54FBA359" w14:textId="77777777" w:rsidR="00E75FE1" w:rsidRPr="00E75FE1" w:rsidRDefault="00E75FE1" w:rsidP="00E75FE1">
      <w:pPr>
        <w:spacing w:line="440" w:lineRule="exact"/>
        <w:ind w:firstLineChars="200" w:firstLine="482"/>
        <w:rPr>
          <w:rFonts w:ascii="宋体" w:eastAsia="宋体" w:hAnsi="宋体" w:cs="Times New Roman"/>
          <w:bCs/>
          <w:sz w:val="24"/>
        </w:rPr>
      </w:pPr>
      <w:r w:rsidRPr="00E75FE1">
        <w:rPr>
          <w:rFonts w:ascii="宋体" w:eastAsia="宋体" w:hAnsi="宋体" w:cs="Times New Roman" w:hint="eastAsia"/>
          <w:b/>
          <w:sz w:val="24"/>
        </w:rPr>
        <w:t>【学习内容】</w:t>
      </w:r>
    </w:p>
    <w:p w14:paraId="54B65F4D" w14:textId="77777777" w:rsidR="00E75FE1" w:rsidRPr="00E75FE1" w:rsidRDefault="00E75FE1" w:rsidP="00E75FE1">
      <w:pPr>
        <w:spacing w:line="360" w:lineRule="auto"/>
        <w:jc w:val="center"/>
        <w:rPr>
          <w:rFonts w:ascii="宋体" w:eastAsia="宋体" w:hAnsi="Calibri" w:cs="宋体"/>
          <w:b/>
          <w:bCs/>
          <w:kern w:val="0"/>
          <w:sz w:val="28"/>
          <w:szCs w:val="28"/>
        </w:rPr>
      </w:pPr>
      <w:r w:rsidRPr="00E75FE1">
        <w:rPr>
          <w:rFonts w:ascii="Calibri" w:eastAsia="宋体" w:hAnsi="Calibri" w:cs="Times New Roman" w:hint="eastAsia"/>
          <w:b/>
          <w:sz w:val="28"/>
          <w:szCs w:val="28"/>
        </w:rPr>
        <w:t>第一章</w:t>
      </w:r>
      <w:r w:rsidRPr="00E75FE1">
        <w:rPr>
          <w:rFonts w:ascii="Calibri" w:eastAsia="宋体" w:hAnsi="Calibri" w:cs="Times New Roman" w:hint="eastAsia"/>
          <w:b/>
          <w:sz w:val="28"/>
          <w:szCs w:val="28"/>
        </w:rPr>
        <w:t xml:space="preserve"> </w:t>
      </w:r>
      <w:r w:rsidRPr="00E75FE1">
        <w:rPr>
          <w:rFonts w:ascii="Calibri" w:eastAsia="宋体" w:hAnsi="Calibri" w:cs="Times New Roman" w:hint="eastAsia"/>
          <w:b/>
          <w:sz w:val="28"/>
          <w:szCs w:val="28"/>
        </w:rPr>
        <w:t>排球</w:t>
      </w:r>
      <w:r w:rsidRPr="00E75FE1">
        <w:rPr>
          <w:rFonts w:ascii="Calibri" w:eastAsia="宋体" w:hAnsi="Calibri" w:cs="Times New Roman"/>
          <w:b/>
          <w:sz w:val="28"/>
          <w:szCs w:val="28"/>
        </w:rPr>
        <w:t>理论</w:t>
      </w:r>
      <w:r w:rsidRPr="00E75FE1">
        <w:rPr>
          <w:rFonts w:ascii="Calibri" w:eastAsia="宋体" w:hAnsi="Calibri" w:cs="Times New Roman" w:hint="eastAsia"/>
          <w:b/>
          <w:sz w:val="28"/>
          <w:szCs w:val="28"/>
        </w:rPr>
        <w:t>（</w:t>
      </w:r>
      <w:r w:rsidRPr="00E75FE1">
        <w:rPr>
          <w:rFonts w:ascii="Calibri" w:eastAsia="宋体" w:hAnsi="Calibri" w:cs="Times New Roman" w:hint="eastAsia"/>
          <w:b/>
          <w:sz w:val="28"/>
          <w:szCs w:val="28"/>
        </w:rPr>
        <w:t>2</w:t>
      </w:r>
      <w:r w:rsidRPr="00E75FE1">
        <w:rPr>
          <w:rFonts w:ascii="Calibri" w:eastAsia="宋体" w:hAnsi="Calibri" w:cs="Times New Roman" w:hint="eastAsia"/>
          <w:b/>
          <w:sz w:val="28"/>
          <w:szCs w:val="28"/>
        </w:rPr>
        <w:t>学时）</w:t>
      </w:r>
    </w:p>
    <w:p w14:paraId="7373023C" w14:textId="77777777" w:rsidR="00E75FE1" w:rsidRPr="00E75FE1" w:rsidRDefault="00E75FE1" w:rsidP="00E75FE1">
      <w:pPr>
        <w:spacing w:line="360" w:lineRule="auto"/>
        <w:ind w:firstLineChars="200" w:firstLine="480"/>
        <w:rPr>
          <w:rFonts w:ascii="宋体" w:eastAsia="宋体" w:hAnsi="宋体" w:cs="宋体"/>
          <w:sz w:val="24"/>
        </w:rPr>
      </w:pPr>
      <w:r w:rsidRPr="00E75FE1">
        <w:rPr>
          <w:rFonts w:ascii="宋体" w:eastAsia="宋体" w:hAnsi="宋体" w:cs="宋体" w:hint="eastAsia"/>
          <w:sz w:val="24"/>
        </w:rPr>
        <w:t xml:space="preserve">1.1  排球运动简介。 </w:t>
      </w:r>
    </w:p>
    <w:p w14:paraId="1E299BE7" w14:textId="77777777" w:rsidR="00E75FE1" w:rsidRPr="00E75FE1" w:rsidRDefault="00E75FE1" w:rsidP="00E75FE1">
      <w:pPr>
        <w:spacing w:line="360" w:lineRule="auto"/>
        <w:ind w:firstLineChars="200" w:firstLine="480"/>
        <w:rPr>
          <w:rFonts w:ascii="宋体" w:eastAsia="宋体" w:hAnsi="宋体" w:cs="宋体"/>
          <w:sz w:val="24"/>
        </w:rPr>
      </w:pPr>
      <w:r w:rsidRPr="00E75FE1">
        <w:rPr>
          <w:rFonts w:ascii="宋体" w:eastAsia="宋体" w:hAnsi="宋体" w:cs="宋体" w:hint="eastAsia"/>
          <w:sz w:val="24"/>
        </w:rPr>
        <w:t>1.2  我国排球的推广与发展概况 。</w:t>
      </w:r>
    </w:p>
    <w:p w14:paraId="3D4EBA2B" w14:textId="77777777" w:rsidR="00E75FE1" w:rsidRPr="00E75FE1" w:rsidRDefault="00E75FE1" w:rsidP="00E75FE1">
      <w:pPr>
        <w:spacing w:line="360" w:lineRule="auto"/>
        <w:ind w:firstLineChars="200" w:firstLine="480"/>
        <w:rPr>
          <w:rFonts w:ascii="宋体" w:eastAsia="宋体" w:hAnsi="宋体" w:cs="宋体"/>
          <w:sz w:val="24"/>
        </w:rPr>
      </w:pPr>
      <w:r w:rsidRPr="00E75FE1">
        <w:rPr>
          <w:rFonts w:ascii="宋体" w:eastAsia="宋体" w:hAnsi="宋体" w:cs="宋体" w:hint="eastAsia"/>
          <w:sz w:val="24"/>
        </w:rPr>
        <w:t>1.3  排球运动的锻炼价值及相关知识 。</w:t>
      </w:r>
    </w:p>
    <w:p w14:paraId="1048E7E1" w14:textId="77777777" w:rsidR="00E75FE1" w:rsidRPr="00E75FE1" w:rsidRDefault="00E75FE1" w:rsidP="00E75FE1">
      <w:pPr>
        <w:adjustRightInd w:val="0"/>
        <w:snapToGrid w:val="0"/>
        <w:spacing w:line="500" w:lineRule="exact"/>
        <w:ind w:firstLineChars="196" w:firstLine="472"/>
        <w:rPr>
          <w:rFonts w:ascii="Calibri" w:eastAsia="宋体" w:hAnsi="Calibri" w:cs="Times New Roman"/>
          <w:b/>
          <w:sz w:val="24"/>
        </w:rPr>
      </w:pPr>
      <w:r w:rsidRPr="00E75FE1">
        <w:rPr>
          <w:rFonts w:ascii="Calibri" w:eastAsia="宋体" w:hAnsi="Calibri" w:cs="Times New Roman"/>
          <w:b/>
          <w:sz w:val="24"/>
        </w:rPr>
        <w:t>教学目的及要求：</w:t>
      </w:r>
    </w:p>
    <w:p w14:paraId="57F45790" w14:textId="77777777" w:rsidR="00E75FE1" w:rsidRPr="00E75FE1" w:rsidRDefault="00E75FE1" w:rsidP="00E75FE1">
      <w:pPr>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（1）使学生了解排球运动的起源、传播及在我国的发展；</w:t>
      </w:r>
    </w:p>
    <w:p w14:paraId="53D00B53" w14:textId="77777777" w:rsidR="00E75FE1" w:rsidRPr="00E75FE1" w:rsidRDefault="00E75FE1" w:rsidP="00E75FE1">
      <w:pPr>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（2）了解世界排球运动的发展；</w:t>
      </w:r>
    </w:p>
    <w:p w14:paraId="6F4F4B16" w14:textId="77777777" w:rsidR="00E75FE1" w:rsidRPr="00E75FE1" w:rsidRDefault="00E75FE1" w:rsidP="00E75FE1">
      <w:pPr>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（3）掌握排球运动对身心健康的作用等相关知识。</w:t>
      </w:r>
    </w:p>
    <w:p w14:paraId="50008653" w14:textId="77777777" w:rsidR="00E75FE1" w:rsidRPr="00E75FE1" w:rsidRDefault="00E75FE1" w:rsidP="00E75FE1">
      <w:pPr>
        <w:tabs>
          <w:tab w:val="left" w:pos="180"/>
        </w:tabs>
        <w:autoSpaceDE w:val="0"/>
        <w:autoSpaceDN w:val="0"/>
        <w:adjustRightInd w:val="0"/>
        <w:snapToGrid w:val="0"/>
        <w:spacing w:line="500" w:lineRule="exact"/>
        <w:ind w:firstLineChars="200" w:firstLine="482"/>
        <w:rPr>
          <w:rFonts w:ascii="宋体" w:eastAsia="宋体" w:hAnsi="Calibri" w:cs="宋体"/>
          <w:b/>
          <w:bCs/>
          <w:kern w:val="0"/>
          <w:sz w:val="24"/>
        </w:rPr>
      </w:pPr>
      <w:r w:rsidRPr="00E75FE1">
        <w:rPr>
          <w:rFonts w:ascii="Calibri" w:eastAsia="宋体" w:hAnsi="Calibri" w:cs="Times New Roman"/>
          <w:b/>
          <w:sz w:val="24"/>
        </w:rPr>
        <w:t>教学重点及难点：</w:t>
      </w:r>
      <w:r w:rsidRPr="00E75FE1">
        <w:rPr>
          <w:rFonts w:ascii="Calibri" w:eastAsia="宋体" w:hAnsi="Calibri" w:cs="Times New Roman"/>
          <w:sz w:val="24"/>
        </w:rPr>
        <w:t>排球运动的起源</w:t>
      </w:r>
      <w:r w:rsidRPr="00E75FE1">
        <w:rPr>
          <w:rFonts w:ascii="Calibri" w:eastAsia="宋体" w:hAnsi="Calibri" w:cs="Times New Roman" w:hint="eastAsia"/>
          <w:sz w:val="24"/>
        </w:rPr>
        <w:t>、</w:t>
      </w:r>
      <w:r w:rsidRPr="00E75FE1">
        <w:rPr>
          <w:rFonts w:ascii="Calibri" w:eastAsia="宋体" w:hAnsi="Calibri" w:cs="Times New Roman"/>
          <w:sz w:val="24"/>
        </w:rPr>
        <w:t>特点、发展</w:t>
      </w:r>
      <w:r w:rsidRPr="00E75FE1">
        <w:rPr>
          <w:rFonts w:ascii="Calibri" w:eastAsia="宋体" w:hAnsi="Calibri" w:cs="Times New Roman" w:hint="eastAsia"/>
          <w:sz w:val="24"/>
        </w:rPr>
        <w:t>现状及</w:t>
      </w:r>
      <w:r w:rsidRPr="00E75FE1">
        <w:rPr>
          <w:rFonts w:ascii="Calibri" w:eastAsia="宋体" w:hAnsi="Calibri" w:cs="Times New Roman"/>
          <w:sz w:val="24"/>
        </w:rPr>
        <w:t>趋势。</w:t>
      </w:r>
    </w:p>
    <w:p w14:paraId="3F2DF764" w14:textId="77777777" w:rsidR="00E75FE1" w:rsidRPr="00E75FE1" w:rsidRDefault="00E75FE1" w:rsidP="00E75FE1">
      <w:pPr>
        <w:adjustRightInd w:val="0"/>
        <w:snapToGrid w:val="0"/>
        <w:spacing w:line="500" w:lineRule="exact"/>
        <w:jc w:val="center"/>
        <w:rPr>
          <w:rFonts w:ascii="Calibri" w:eastAsia="宋体" w:hAnsi="Calibri" w:cs="Times New Roman"/>
          <w:b/>
          <w:sz w:val="28"/>
          <w:szCs w:val="28"/>
        </w:rPr>
      </w:pPr>
      <w:r w:rsidRPr="00E75FE1">
        <w:rPr>
          <w:rFonts w:ascii="Calibri" w:eastAsia="宋体" w:hAnsi="Calibri" w:cs="Times New Roman" w:hint="eastAsia"/>
          <w:b/>
          <w:sz w:val="28"/>
          <w:szCs w:val="28"/>
        </w:rPr>
        <w:t>第二章</w:t>
      </w:r>
      <w:r w:rsidRPr="00E75FE1">
        <w:rPr>
          <w:rFonts w:ascii="Calibri" w:eastAsia="宋体" w:hAnsi="Calibri" w:cs="Times New Roman" w:hint="eastAsia"/>
          <w:b/>
          <w:sz w:val="28"/>
          <w:szCs w:val="28"/>
        </w:rPr>
        <w:t xml:space="preserve"> </w:t>
      </w:r>
      <w:r w:rsidRPr="00E75FE1">
        <w:rPr>
          <w:rFonts w:ascii="Calibri" w:eastAsia="宋体" w:hAnsi="Calibri" w:cs="Times New Roman" w:hint="eastAsia"/>
          <w:b/>
          <w:sz w:val="28"/>
          <w:szCs w:val="28"/>
        </w:rPr>
        <w:t>排球</w:t>
      </w:r>
      <w:r w:rsidRPr="00E75FE1">
        <w:rPr>
          <w:rFonts w:ascii="Calibri" w:eastAsia="宋体" w:hAnsi="Calibri" w:cs="Times New Roman"/>
          <w:b/>
          <w:sz w:val="28"/>
          <w:szCs w:val="28"/>
        </w:rPr>
        <w:t>基本技术</w:t>
      </w:r>
      <w:r w:rsidRPr="00E75FE1">
        <w:rPr>
          <w:rFonts w:ascii="Calibri" w:eastAsia="宋体" w:hAnsi="Calibri" w:cs="Times New Roman" w:hint="eastAsia"/>
          <w:b/>
          <w:sz w:val="28"/>
          <w:szCs w:val="28"/>
        </w:rPr>
        <w:t>（</w:t>
      </w:r>
      <w:r w:rsidRPr="00E75FE1">
        <w:rPr>
          <w:rFonts w:ascii="Calibri" w:eastAsia="宋体" w:hAnsi="Calibri" w:cs="Times New Roman" w:hint="eastAsia"/>
          <w:b/>
          <w:sz w:val="28"/>
          <w:szCs w:val="28"/>
        </w:rPr>
        <w:t>24</w:t>
      </w:r>
      <w:r w:rsidRPr="00E75FE1">
        <w:rPr>
          <w:rFonts w:ascii="Calibri" w:eastAsia="宋体" w:hAnsi="Calibri" w:cs="Times New Roman" w:hint="eastAsia"/>
          <w:b/>
          <w:sz w:val="28"/>
          <w:szCs w:val="28"/>
        </w:rPr>
        <w:t>学时）</w:t>
      </w:r>
    </w:p>
    <w:p w14:paraId="61789DFA" w14:textId="77777777" w:rsidR="00E75FE1" w:rsidRPr="00E75FE1" w:rsidRDefault="00E75FE1" w:rsidP="00E75FE1">
      <w:pPr>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 xml:space="preserve">2.1排球的准备姿势与移动 </w:t>
      </w:r>
    </w:p>
    <w:p w14:paraId="6B517A2D" w14:textId="77777777" w:rsidR="00E75FE1" w:rsidRPr="00E75FE1" w:rsidRDefault="00E75FE1" w:rsidP="00E75FE1">
      <w:pPr>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 xml:space="preserve">2.2正面双手垫球技术      </w:t>
      </w:r>
    </w:p>
    <w:p w14:paraId="2FC901F1" w14:textId="77777777" w:rsidR="00E75FE1" w:rsidRPr="00E75FE1" w:rsidRDefault="00E75FE1" w:rsidP="00E75FE1">
      <w:pPr>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 xml:space="preserve">2.3正面上手传球技术     </w:t>
      </w:r>
    </w:p>
    <w:p w14:paraId="4D5C3C1D"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宋体" w:eastAsia="宋体" w:hAnsi="宋体" w:cs="宋体" w:hint="eastAsia"/>
          <w:sz w:val="24"/>
        </w:rPr>
        <w:t xml:space="preserve">2.4正面下手发球技术      </w:t>
      </w:r>
      <w:r w:rsidRPr="00E75FE1">
        <w:rPr>
          <w:rFonts w:ascii="Calibri" w:eastAsia="宋体" w:hAnsi="Calibri" w:cs="Times New Roman" w:hint="eastAsia"/>
          <w:sz w:val="24"/>
        </w:rPr>
        <w:t xml:space="preserve">   </w:t>
      </w:r>
    </w:p>
    <w:p w14:paraId="667AFBE6" w14:textId="77777777" w:rsidR="00E75FE1" w:rsidRPr="00E75FE1" w:rsidRDefault="00E75FE1" w:rsidP="00E75FE1">
      <w:pPr>
        <w:spacing w:line="360" w:lineRule="auto"/>
        <w:ind w:firstLineChars="200" w:firstLine="482"/>
        <w:rPr>
          <w:rFonts w:ascii="Arial" w:eastAsia="宋体" w:hAnsi="Arial" w:cs="Arial"/>
          <w:sz w:val="24"/>
        </w:rPr>
      </w:pPr>
      <w:r w:rsidRPr="00E75FE1">
        <w:rPr>
          <w:rFonts w:ascii="Calibri" w:eastAsia="宋体" w:hAnsi="Calibri" w:cs="Times New Roman"/>
          <w:b/>
          <w:sz w:val="24"/>
        </w:rPr>
        <w:t>教学目的及要求：</w:t>
      </w:r>
      <w:r w:rsidRPr="00E75FE1">
        <w:rPr>
          <w:rFonts w:ascii="Arial" w:eastAsia="宋体" w:hAnsi="Calibri" w:cs="Arial"/>
          <w:sz w:val="24"/>
        </w:rPr>
        <w:t>使学生基本掌握排球基本技术及实际应用；提高学生身体灵活性、协调性及快速反映意识</w:t>
      </w:r>
    </w:p>
    <w:p w14:paraId="171E9ED1" w14:textId="77777777" w:rsidR="00E75FE1" w:rsidRPr="00E75FE1" w:rsidRDefault="00E75FE1" w:rsidP="00E75FE1">
      <w:pPr>
        <w:spacing w:line="360" w:lineRule="auto"/>
        <w:ind w:leftChars="228" w:left="2382" w:hangingChars="790" w:hanging="1903"/>
        <w:rPr>
          <w:rFonts w:ascii="Arial" w:eastAsia="宋体" w:hAnsi="Arial" w:cs="Arial"/>
          <w:sz w:val="24"/>
        </w:rPr>
      </w:pPr>
      <w:r w:rsidRPr="00E75FE1">
        <w:rPr>
          <w:rFonts w:ascii="Calibri" w:eastAsia="宋体" w:hAnsi="Calibri" w:cs="Times New Roman"/>
          <w:b/>
          <w:sz w:val="24"/>
        </w:rPr>
        <w:t>教学重点及难点：</w:t>
      </w:r>
      <w:r w:rsidRPr="00E75FE1">
        <w:rPr>
          <w:rFonts w:ascii="Arial" w:eastAsia="宋体" w:hAnsi="Calibri" w:cs="Arial"/>
          <w:sz w:val="24"/>
        </w:rPr>
        <w:t>正确掌握排球基本技术并合理使用；培养学生快速反应意识</w:t>
      </w:r>
    </w:p>
    <w:p w14:paraId="0CBF7FDC" w14:textId="77777777" w:rsidR="00E75FE1" w:rsidRPr="00E75FE1" w:rsidRDefault="00E75FE1" w:rsidP="00E75FE1">
      <w:pPr>
        <w:adjustRightInd w:val="0"/>
        <w:snapToGrid w:val="0"/>
        <w:spacing w:beforeLines="50" w:before="156" w:afterLines="50" w:after="156" w:line="500" w:lineRule="exact"/>
        <w:jc w:val="center"/>
        <w:rPr>
          <w:rFonts w:ascii="宋体" w:eastAsia="宋体" w:hAnsi="宋体" w:cs="Times New Roman"/>
          <w:b/>
          <w:sz w:val="28"/>
          <w:szCs w:val="28"/>
        </w:rPr>
      </w:pPr>
      <w:r w:rsidRPr="00E75FE1">
        <w:rPr>
          <w:rFonts w:ascii="宋体" w:eastAsia="宋体" w:hAnsi="宋体" w:cs="Times New Roman" w:hint="eastAsia"/>
          <w:b/>
          <w:sz w:val="28"/>
          <w:szCs w:val="28"/>
        </w:rPr>
        <w:lastRenderedPageBreak/>
        <w:t>第三章 身体素质（6学时）</w:t>
      </w:r>
    </w:p>
    <w:p w14:paraId="2998DCC9" w14:textId="77777777" w:rsidR="00E75FE1" w:rsidRPr="00E75FE1" w:rsidRDefault="00E75FE1" w:rsidP="00E75FE1">
      <w:pPr>
        <w:autoSpaceDE w:val="0"/>
        <w:autoSpaceDN w:val="0"/>
        <w:adjustRightInd w:val="0"/>
        <w:snapToGrid w:val="0"/>
        <w:spacing w:line="500" w:lineRule="exact"/>
        <w:ind w:firstLineChars="200" w:firstLine="482"/>
        <w:rPr>
          <w:rFonts w:ascii="Calibri" w:eastAsia="宋体" w:hAnsi="Calibri" w:cs="Times New Roman"/>
          <w:b/>
          <w:sz w:val="24"/>
        </w:rPr>
      </w:pPr>
      <w:r w:rsidRPr="00E75FE1">
        <w:rPr>
          <w:rFonts w:ascii="Calibri" w:eastAsia="宋体" w:hAnsi="Calibri" w:cs="Times New Roman"/>
          <w:b/>
          <w:sz w:val="24"/>
        </w:rPr>
        <w:t>本章主要教学内容：</w:t>
      </w:r>
    </w:p>
    <w:p w14:paraId="685AD7E5" w14:textId="77777777" w:rsidR="00E75FE1" w:rsidRPr="00E75FE1" w:rsidRDefault="00E75FE1" w:rsidP="00E75FE1">
      <w:pPr>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3.1速度素质、耐力素质、灵敏素质。</w:t>
      </w:r>
    </w:p>
    <w:p w14:paraId="001953F9" w14:textId="77777777" w:rsidR="00E75FE1" w:rsidRPr="00E75FE1" w:rsidRDefault="00E75FE1" w:rsidP="00E75FE1">
      <w:pPr>
        <w:adjustRightInd w:val="0"/>
        <w:snapToGrid w:val="0"/>
        <w:spacing w:line="500" w:lineRule="exact"/>
        <w:ind w:firstLineChars="200" w:firstLine="482"/>
        <w:rPr>
          <w:rFonts w:ascii="Calibri" w:eastAsia="宋体" w:hAnsi="Calibri" w:cs="Times New Roman"/>
          <w:sz w:val="24"/>
        </w:rPr>
      </w:pPr>
      <w:r w:rsidRPr="00E75FE1">
        <w:rPr>
          <w:rFonts w:ascii="Calibri" w:eastAsia="宋体" w:hAnsi="Calibri" w:cs="Times New Roman" w:hint="eastAsia"/>
          <w:b/>
          <w:sz w:val="24"/>
        </w:rPr>
        <w:t>教学目的及要求</w:t>
      </w:r>
      <w:r w:rsidRPr="00E75FE1">
        <w:rPr>
          <w:rFonts w:ascii="Calibri" w:eastAsia="宋体" w:hAnsi="Calibri" w:cs="Times New Roman" w:hint="eastAsia"/>
          <w:sz w:val="24"/>
        </w:rPr>
        <w:t>：使学生掌握排球运动需要的基本身体素质。</w:t>
      </w:r>
      <w:r w:rsidRPr="00E75FE1">
        <w:rPr>
          <w:rFonts w:ascii="Calibri" w:eastAsia="宋体" w:hAnsi="Calibri" w:cs="Times New Roman" w:hint="eastAsia"/>
          <w:sz w:val="24"/>
        </w:rPr>
        <w:t xml:space="preserve"> </w:t>
      </w:r>
    </w:p>
    <w:p w14:paraId="66B71A85" w14:textId="77777777" w:rsidR="00E75FE1" w:rsidRPr="00E75FE1" w:rsidRDefault="00E75FE1" w:rsidP="00E75FE1">
      <w:pPr>
        <w:adjustRightInd w:val="0"/>
        <w:snapToGrid w:val="0"/>
        <w:spacing w:line="500" w:lineRule="exact"/>
        <w:ind w:firstLineChars="200" w:firstLine="482"/>
        <w:rPr>
          <w:rFonts w:ascii="宋体" w:eastAsia="宋体" w:hAnsi="宋体" w:cs="Times New Roman"/>
          <w:bCs/>
          <w:sz w:val="24"/>
        </w:rPr>
      </w:pPr>
      <w:r w:rsidRPr="00E75FE1">
        <w:rPr>
          <w:rFonts w:ascii="Calibri" w:eastAsia="宋体" w:hAnsi="Calibri" w:cs="Times New Roman" w:hint="eastAsia"/>
          <w:b/>
          <w:sz w:val="24"/>
        </w:rPr>
        <w:t>教学重点及难点</w:t>
      </w:r>
      <w:r w:rsidRPr="00E75FE1">
        <w:rPr>
          <w:rFonts w:ascii="Calibri" w:eastAsia="宋体" w:hAnsi="Calibri" w:cs="Times New Roman" w:hint="eastAsia"/>
          <w:sz w:val="24"/>
        </w:rPr>
        <w:t>：身体耐力、肌肉力量、柔韧性。</w:t>
      </w:r>
    </w:p>
    <w:p w14:paraId="198160D3" w14:textId="77777777" w:rsidR="00E75FE1" w:rsidRPr="00E75FE1" w:rsidRDefault="00E75FE1" w:rsidP="00E75FE1">
      <w:pPr>
        <w:spacing w:line="440" w:lineRule="exact"/>
        <w:ind w:firstLineChars="200" w:firstLine="482"/>
        <w:rPr>
          <w:rFonts w:ascii="宋体" w:eastAsia="宋体" w:hAnsi="宋体" w:cs="Times New Roman"/>
          <w:b/>
          <w:sz w:val="24"/>
        </w:rPr>
      </w:pPr>
      <w:r w:rsidRPr="00E75FE1">
        <w:rPr>
          <w:rFonts w:ascii="宋体" w:eastAsia="宋体" w:hAnsi="宋体" w:cs="Times New Roman" w:hint="eastAsia"/>
          <w:b/>
          <w:sz w:val="24"/>
        </w:rPr>
        <w:t>【重点】</w:t>
      </w:r>
    </w:p>
    <w:p w14:paraId="136C2D1C"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 xml:space="preserve">1.《大学体育教程》理论课程使学生对大学体育有深入理解；了解体  </w:t>
      </w:r>
    </w:p>
    <w:p w14:paraId="380B5653" w14:textId="77777777" w:rsidR="00E75FE1" w:rsidRPr="00E75FE1" w:rsidRDefault="00E75FE1" w:rsidP="00E75FE1">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E75FE1">
        <w:rPr>
          <w:rFonts w:ascii="宋体" w:eastAsia="宋体" w:hAnsi="Calibri" w:cs="宋体" w:hint="eastAsia"/>
          <w:spacing w:val="5"/>
          <w:kern w:val="0"/>
          <w:sz w:val="24"/>
        </w:rPr>
        <w:t>质健康</w:t>
      </w:r>
      <w:proofErr w:type="gramEnd"/>
      <w:r w:rsidRPr="00E75FE1">
        <w:rPr>
          <w:rFonts w:ascii="宋体" w:eastAsia="宋体" w:hAnsi="Calibri" w:cs="宋体" w:hint="eastAsia"/>
          <w:spacing w:val="5"/>
          <w:kern w:val="0"/>
          <w:sz w:val="24"/>
        </w:rPr>
        <w:t>标准的实施与如何评价；学会分析常见运动损伤和运动性疾病的症状。</w:t>
      </w:r>
    </w:p>
    <w:p w14:paraId="25FB8F1D" w14:textId="77777777" w:rsidR="00E75FE1" w:rsidRPr="00E75FE1" w:rsidRDefault="00E75FE1" w:rsidP="00E75FE1">
      <w:pPr>
        <w:autoSpaceDE w:val="0"/>
        <w:autoSpaceDN w:val="0"/>
        <w:adjustRightInd w:val="0"/>
        <w:snapToGrid w:val="0"/>
        <w:spacing w:line="500" w:lineRule="exact"/>
        <w:ind w:left="490"/>
        <w:rPr>
          <w:rFonts w:ascii="宋体" w:eastAsia="宋体" w:hAnsi="Calibri" w:cs="宋体"/>
          <w:spacing w:val="5"/>
          <w:kern w:val="0"/>
          <w:sz w:val="24"/>
        </w:rPr>
      </w:pPr>
      <w:r w:rsidRPr="00E75FE1">
        <w:rPr>
          <w:rFonts w:ascii="宋体" w:eastAsia="宋体" w:hAnsi="Calibri" w:cs="宋体" w:hint="eastAsia"/>
          <w:spacing w:val="5"/>
          <w:kern w:val="0"/>
          <w:sz w:val="24"/>
        </w:rPr>
        <w:t>2.排球运动的基本理论、基本知识和基本技能。</w:t>
      </w:r>
    </w:p>
    <w:p w14:paraId="3EAE00A9"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宋体" w:cs="Times New Roman"/>
          <w:sz w:val="24"/>
        </w:rPr>
      </w:pPr>
      <w:r w:rsidRPr="00E75FE1">
        <w:rPr>
          <w:rFonts w:ascii="宋体" w:eastAsia="宋体" w:hAnsi="Calibri" w:cs="宋体" w:hint="eastAsia"/>
          <w:spacing w:val="5"/>
          <w:kern w:val="0"/>
          <w:sz w:val="24"/>
        </w:rPr>
        <w:t>3.掌握一定的科学锻炼方法，扎实的理论知识。</w:t>
      </w:r>
    </w:p>
    <w:p w14:paraId="345C24EB" w14:textId="77777777" w:rsidR="00E75FE1" w:rsidRPr="00E75FE1" w:rsidRDefault="00E75FE1" w:rsidP="00E75FE1">
      <w:pPr>
        <w:spacing w:line="440" w:lineRule="exact"/>
        <w:ind w:firstLineChars="200" w:firstLine="482"/>
        <w:rPr>
          <w:rFonts w:ascii="宋体" w:eastAsia="宋体" w:hAnsi="宋体" w:cs="Times New Roman"/>
          <w:b/>
          <w:sz w:val="24"/>
        </w:rPr>
      </w:pPr>
      <w:r w:rsidRPr="00E75FE1">
        <w:rPr>
          <w:rFonts w:ascii="宋体" w:eastAsia="宋体" w:hAnsi="宋体" w:cs="Times New Roman" w:hint="eastAsia"/>
          <w:b/>
          <w:sz w:val="24"/>
        </w:rPr>
        <w:t>【难点】</w:t>
      </w:r>
    </w:p>
    <w:p w14:paraId="4E0116D3"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1AD5731F"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 xml:space="preserve">2.考虑学生原有的理论知识和实践技术，在讲授教材及大纲要求的所有知识和技术的同时，重点讲授排球基本技术、基本战术、裁判规则等部分，以达到理论联系实际，学以致用。 </w:t>
      </w:r>
    </w:p>
    <w:p w14:paraId="09AE3745" w14:textId="77777777" w:rsidR="00E75FE1" w:rsidRPr="00E75FE1" w:rsidRDefault="00E75FE1" w:rsidP="00E75FE1">
      <w:pPr>
        <w:spacing w:line="44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 xml:space="preserve">3.在排球基本技术、基本战术学习的基础上，重点提高学生的排球技术课、理论课的组织能力培养学生研究能力。 </w:t>
      </w:r>
    </w:p>
    <w:p w14:paraId="7B8AFEB8" w14:textId="77777777" w:rsidR="00E75FE1" w:rsidRPr="00E75FE1" w:rsidRDefault="00E75FE1" w:rsidP="00E75FE1">
      <w:pPr>
        <w:spacing w:line="440" w:lineRule="exact"/>
        <w:ind w:firstLineChars="200" w:firstLine="482"/>
        <w:rPr>
          <w:rFonts w:ascii="宋体" w:eastAsia="宋体" w:hAnsi="宋体" w:cs="Times New Roman"/>
          <w:sz w:val="24"/>
        </w:rPr>
      </w:pPr>
      <w:r w:rsidRPr="00E75FE1">
        <w:rPr>
          <w:rFonts w:ascii="宋体" w:eastAsia="宋体" w:hAnsi="宋体" w:cs="Times New Roman" w:hint="eastAsia"/>
          <w:b/>
          <w:bCs/>
          <w:sz w:val="24"/>
        </w:rPr>
        <w:t>【实施方式】</w:t>
      </w:r>
    </w:p>
    <w:p w14:paraId="1E5AE2F0"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室外实践课程</w:t>
      </w:r>
    </w:p>
    <w:p w14:paraId="1FC0E20A" w14:textId="77777777" w:rsidR="00E75FE1" w:rsidRPr="00E75FE1" w:rsidRDefault="00E75FE1" w:rsidP="00E75FE1">
      <w:pPr>
        <w:spacing w:line="440" w:lineRule="exact"/>
        <w:ind w:firstLineChars="200" w:firstLine="482"/>
        <w:rPr>
          <w:rFonts w:ascii="宋体" w:eastAsia="宋体" w:hAnsi="宋体" w:cs="Times New Roman"/>
          <w:bCs/>
          <w:sz w:val="24"/>
        </w:rPr>
      </w:pPr>
      <w:r w:rsidRPr="00E75FE1">
        <w:rPr>
          <w:rFonts w:ascii="宋体" w:eastAsia="宋体" w:hAnsi="宋体" w:cs="Times New Roman" w:hint="eastAsia"/>
          <w:b/>
          <w:sz w:val="24"/>
        </w:rPr>
        <w:t>【学习要求】</w:t>
      </w:r>
    </w:p>
    <w:p w14:paraId="45AC4CBC" w14:textId="77777777" w:rsidR="00E75FE1" w:rsidRPr="00E75FE1" w:rsidRDefault="00E75FE1" w:rsidP="00E75FE1">
      <w:pPr>
        <w:spacing w:line="440" w:lineRule="exact"/>
        <w:ind w:firstLineChars="200" w:firstLine="480"/>
        <w:rPr>
          <w:rFonts w:ascii="宋体" w:eastAsia="宋体" w:hAnsi="宋体" w:cs="Times New Roman"/>
          <w:b/>
          <w:sz w:val="24"/>
        </w:rPr>
      </w:pPr>
      <w:r w:rsidRPr="00E75FE1">
        <w:rPr>
          <w:rFonts w:ascii="宋体" w:eastAsia="宋体" w:hAnsi="宋体" w:cs="Times New Roman" w:hint="eastAsia"/>
          <w:sz w:val="24"/>
        </w:rPr>
        <w:t>1</w:t>
      </w:r>
      <w:r w:rsidRPr="00E75FE1">
        <w:rPr>
          <w:rFonts w:ascii="宋体" w:eastAsia="宋体" w:hAnsi="宋体" w:cs="Times New Roman"/>
          <w:sz w:val="24"/>
        </w:rPr>
        <w:t xml:space="preserve">. </w:t>
      </w:r>
      <w:r w:rsidRPr="00E75FE1">
        <w:rPr>
          <w:rFonts w:ascii="宋体" w:eastAsia="宋体" w:hAnsi="宋体" w:cs="Times New Roman" w:hint="eastAsia"/>
          <w:sz w:val="24"/>
        </w:rPr>
        <w:t>了解大学体育课程的性质和授课方式，学分情况和进行网上选项课，开设的15门选项课程，课堂常识和安全注意事项。</w:t>
      </w:r>
    </w:p>
    <w:p w14:paraId="7E089D7D"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E75FE1">
        <w:rPr>
          <w:rFonts w:ascii="宋体" w:eastAsia="宋体" w:hAnsi="宋体" w:cs="Times New Roman" w:hint="eastAsia"/>
          <w:sz w:val="24"/>
        </w:rPr>
        <w:t>缓测免</w:t>
      </w:r>
      <w:proofErr w:type="gramEnd"/>
      <w:r w:rsidRPr="00E75FE1">
        <w:rPr>
          <w:rFonts w:ascii="宋体" w:eastAsia="宋体" w:hAnsi="宋体" w:cs="Times New Roman" w:hint="eastAsia"/>
          <w:sz w:val="24"/>
        </w:rPr>
        <w:t>测的申请流程以及掌握测验时间。</w:t>
      </w:r>
    </w:p>
    <w:p w14:paraId="2B8EB268"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3</w:t>
      </w:r>
      <w:r w:rsidRPr="00E75FE1">
        <w:rPr>
          <w:rFonts w:ascii="宋体" w:eastAsia="宋体" w:hAnsi="宋体" w:cs="Times New Roman"/>
          <w:sz w:val="24"/>
        </w:rPr>
        <w:t>.</w:t>
      </w:r>
      <w:r w:rsidRPr="00E75FE1">
        <w:rPr>
          <w:rFonts w:ascii="宋体" w:eastAsia="宋体" w:hAnsi="宋体" w:cs="Times New Roman" w:hint="eastAsia"/>
          <w:sz w:val="24"/>
        </w:rPr>
        <w:t>运用排球基础课程</w:t>
      </w:r>
    </w:p>
    <w:p w14:paraId="1C5F0C23" w14:textId="77777777" w:rsidR="00E75FE1" w:rsidRPr="00E75FE1" w:rsidRDefault="00E75FE1" w:rsidP="00E75FE1">
      <w:pPr>
        <w:spacing w:line="440" w:lineRule="exact"/>
        <w:ind w:firstLineChars="200" w:firstLine="482"/>
        <w:rPr>
          <w:rFonts w:ascii="宋体" w:eastAsia="宋体" w:hAnsi="宋体" w:cs="Times New Roman"/>
          <w:sz w:val="24"/>
        </w:rPr>
      </w:pPr>
      <w:r w:rsidRPr="00E75FE1">
        <w:rPr>
          <w:rFonts w:ascii="宋体" w:eastAsia="宋体" w:hAnsi="宋体" w:cs="Times New Roman" w:hint="eastAsia"/>
          <w:b/>
          <w:sz w:val="24"/>
        </w:rPr>
        <w:t>【实践要求】</w:t>
      </w:r>
    </w:p>
    <w:p w14:paraId="056151B7"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1.实践属性：综合训练型</w:t>
      </w:r>
    </w:p>
    <w:p w14:paraId="01889966"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lastRenderedPageBreak/>
        <w:t>2.工作流程：开始部分，准备部分，基本部分，结束部分</w:t>
      </w:r>
    </w:p>
    <w:p w14:paraId="70718F34"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3.分组要求：自然班和选项班，不超过45人。</w:t>
      </w:r>
    </w:p>
    <w:p w14:paraId="4F8FC416"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596271A8"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5.时间安排：每周2学时</w:t>
      </w:r>
    </w:p>
    <w:p w14:paraId="30AF28ED"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6.其他要求：</w:t>
      </w:r>
    </w:p>
    <w:p w14:paraId="4AC1DF58" w14:textId="77777777" w:rsidR="00E75FE1" w:rsidRPr="00E75FE1" w:rsidRDefault="00E75FE1" w:rsidP="00E75FE1">
      <w:pPr>
        <w:spacing w:beforeLines="50" w:before="156" w:afterLines="50" w:after="156" w:line="440" w:lineRule="exact"/>
        <w:ind w:left="561"/>
        <w:rPr>
          <w:rFonts w:ascii="仿宋" w:eastAsia="仿宋" w:hAnsi="仿宋" w:cs="Times New Roman"/>
          <w:sz w:val="24"/>
        </w:rPr>
      </w:pPr>
      <w:r w:rsidRPr="00E75FE1">
        <w:rPr>
          <w:rFonts w:ascii="黑体" w:eastAsia="黑体" w:hAnsi="黑体" w:cs="Times New Roman" w:hint="eastAsia"/>
          <w:sz w:val="28"/>
          <w:szCs w:val="28"/>
        </w:rPr>
        <w:t>（二）课程学习内容与课程学习目标的对应关系</w:t>
      </w:r>
      <w:r w:rsidRPr="00E75FE1">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E75FE1" w:rsidRPr="00E75FE1" w14:paraId="4DB3146D" w14:textId="77777777" w:rsidTr="00375FAF">
        <w:trPr>
          <w:trHeight w:val="660"/>
          <w:jc w:val="center"/>
        </w:trPr>
        <w:tc>
          <w:tcPr>
            <w:tcW w:w="3403" w:type="dxa"/>
            <w:vAlign w:val="center"/>
          </w:tcPr>
          <w:p w14:paraId="0AA2053E" w14:textId="77777777" w:rsidR="00E75FE1" w:rsidRPr="00E75FE1" w:rsidRDefault="00E75FE1" w:rsidP="00E75FE1">
            <w:pPr>
              <w:spacing w:line="440" w:lineRule="exact"/>
              <w:jc w:val="center"/>
              <w:rPr>
                <w:rFonts w:ascii="宋体" w:eastAsia="宋体" w:hAnsi="宋体" w:cs="Times New Roman"/>
                <w:b/>
                <w:bCs/>
                <w:sz w:val="24"/>
              </w:rPr>
            </w:pPr>
            <w:r w:rsidRPr="00E75FE1">
              <w:rPr>
                <w:rFonts w:ascii="宋体" w:eastAsia="宋体" w:hAnsi="宋体" w:cs="Times New Roman" w:hint="eastAsia"/>
                <w:b/>
                <w:bCs/>
                <w:sz w:val="24"/>
              </w:rPr>
              <w:t>实践内容</w:t>
            </w:r>
          </w:p>
        </w:tc>
        <w:tc>
          <w:tcPr>
            <w:tcW w:w="2693" w:type="dxa"/>
            <w:vAlign w:val="center"/>
          </w:tcPr>
          <w:p w14:paraId="04AFDFF0" w14:textId="77777777" w:rsidR="00E75FE1" w:rsidRPr="00E75FE1" w:rsidRDefault="00E75FE1" w:rsidP="00E75FE1">
            <w:pPr>
              <w:spacing w:line="440" w:lineRule="exact"/>
              <w:jc w:val="center"/>
              <w:rPr>
                <w:rFonts w:ascii="宋体" w:eastAsia="宋体" w:hAnsi="宋体" w:cs="Times New Roman"/>
                <w:b/>
                <w:bCs/>
                <w:sz w:val="24"/>
              </w:rPr>
            </w:pPr>
            <w:r w:rsidRPr="00E75FE1">
              <w:rPr>
                <w:rFonts w:ascii="宋体" w:eastAsia="宋体" w:hAnsi="宋体" w:cs="Times New Roman" w:hint="eastAsia"/>
                <w:b/>
                <w:bCs/>
                <w:sz w:val="24"/>
              </w:rPr>
              <w:t>实施方式</w:t>
            </w:r>
          </w:p>
        </w:tc>
        <w:tc>
          <w:tcPr>
            <w:tcW w:w="1985" w:type="dxa"/>
            <w:vAlign w:val="center"/>
          </w:tcPr>
          <w:p w14:paraId="6A2EA771" w14:textId="77777777" w:rsidR="00E75FE1" w:rsidRPr="00E75FE1" w:rsidRDefault="00E75FE1" w:rsidP="00E75FE1">
            <w:pPr>
              <w:spacing w:line="440" w:lineRule="exact"/>
              <w:jc w:val="center"/>
              <w:rPr>
                <w:rFonts w:ascii="宋体" w:eastAsia="宋体" w:hAnsi="宋体" w:cs="Times New Roman"/>
                <w:b/>
                <w:bCs/>
                <w:sz w:val="24"/>
              </w:rPr>
            </w:pPr>
            <w:r w:rsidRPr="00E75FE1">
              <w:rPr>
                <w:rFonts w:ascii="宋体" w:eastAsia="宋体" w:hAnsi="宋体" w:cs="Times New Roman" w:hint="eastAsia"/>
                <w:b/>
                <w:bCs/>
                <w:sz w:val="24"/>
              </w:rPr>
              <w:t>支撑的课程目标</w:t>
            </w:r>
          </w:p>
        </w:tc>
        <w:tc>
          <w:tcPr>
            <w:tcW w:w="1276" w:type="dxa"/>
            <w:vAlign w:val="center"/>
          </w:tcPr>
          <w:p w14:paraId="1ADA8F2B" w14:textId="77777777" w:rsidR="00E75FE1" w:rsidRPr="00E75FE1" w:rsidRDefault="00E75FE1" w:rsidP="00E75FE1">
            <w:pPr>
              <w:spacing w:line="440" w:lineRule="exact"/>
              <w:jc w:val="center"/>
              <w:rPr>
                <w:rFonts w:ascii="宋体" w:eastAsia="宋体" w:hAnsi="宋体" w:cs="Times New Roman"/>
                <w:b/>
                <w:bCs/>
                <w:sz w:val="24"/>
              </w:rPr>
            </w:pPr>
            <w:r w:rsidRPr="00E75FE1">
              <w:rPr>
                <w:rFonts w:ascii="宋体" w:eastAsia="宋体" w:hAnsi="宋体" w:cs="Times New Roman" w:hint="eastAsia"/>
                <w:b/>
                <w:bCs/>
                <w:sz w:val="24"/>
              </w:rPr>
              <w:t>学时安排</w:t>
            </w:r>
          </w:p>
        </w:tc>
      </w:tr>
      <w:tr w:rsidR="00E75FE1" w:rsidRPr="00E75FE1" w14:paraId="162F5503" w14:textId="77777777" w:rsidTr="00375FAF">
        <w:trPr>
          <w:trHeight w:val="514"/>
          <w:jc w:val="center"/>
        </w:trPr>
        <w:tc>
          <w:tcPr>
            <w:tcW w:w="3403" w:type="dxa"/>
            <w:vAlign w:val="center"/>
          </w:tcPr>
          <w:p w14:paraId="6A236F17"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学习内容</w:t>
            </w:r>
            <w:proofErr w:type="gramStart"/>
            <w:r w:rsidRPr="00E75FE1">
              <w:rPr>
                <w:rFonts w:ascii="宋体" w:eastAsia="宋体" w:hAnsi="宋体" w:cs="Times New Roman" w:hint="eastAsia"/>
                <w:sz w:val="24"/>
              </w:rPr>
              <w:t>一</w:t>
            </w:r>
            <w:proofErr w:type="gramEnd"/>
            <w:r w:rsidRPr="00E75FE1">
              <w:rPr>
                <w:rFonts w:ascii="宋体" w:eastAsia="宋体" w:hAnsi="宋体" w:cs="Times New Roman" w:hint="eastAsia"/>
                <w:sz w:val="24"/>
              </w:rPr>
              <w:t xml:space="preserve"> 体能+排球 </w:t>
            </w:r>
          </w:p>
          <w:p w14:paraId="6C69A8DC" w14:textId="77777777" w:rsidR="00E75FE1" w:rsidRPr="00E75FE1" w:rsidRDefault="00E75FE1" w:rsidP="00E75FE1">
            <w:pPr>
              <w:spacing w:line="440" w:lineRule="exact"/>
              <w:jc w:val="center"/>
              <w:rPr>
                <w:rFonts w:ascii="宋体" w:eastAsia="宋体" w:hAnsi="宋体" w:cs="Times New Roman"/>
                <w:sz w:val="24"/>
              </w:rPr>
            </w:pPr>
          </w:p>
        </w:tc>
        <w:tc>
          <w:tcPr>
            <w:tcW w:w="2693" w:type="dxa"/>
            <w:vAlign w:val="center"/>
          </w:tcPr>
          <w:p w14:paraId="2C7FE228"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利用</w:t>
            </w:r>
            <w:proofErr w:type="gramStart"/>
            <w:r w:rsidRPr="00E75FE1">
              <w:rPr>
                <w:rFonts w:ascii="宋体" w:eastAsia="宋体" w:hAnsi="宋体" w:cs="Times New Roman" w:hint="eastAsia"/>
                <w:sz w:val="24"/>
              </w:rPr>
              <w:t>微信平台</w:t>
            </w:r>
            <w:proofErr w:type="gramEnd"/>
            <w:r w:rsidRPr="00E75FE1">
              <w:rPr>
                <w:rFonts w:ascii="宋体" w:eastAsia="宋体" w:hAnsi="宋体" w:cs="Times New Roman" w:hint="eastAsia"/>
                <w:sz w:val="24"/>
              </w:rPr>
              <w:t>；讲解法、示范法；练习法；小组合作学习</w:t>
            </w:r>
          </w:p>
        </w:tc>
        <w:tc>
          <w:tcPr>
            <w:tcW w:w="1985" w:type="dxa"/>
            <w:vAlign w:val="center"/>
          </w:tcPr>
          <w:p w14:paraId="4113D11A"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课程</w:t>
            </w:r>
            <w:r w:rsidRPr="00E75FE1">
              <w:rPr>
                <w:rFonts w:ascii="宋体" w:eastAsia="宋体" w:hAnsi="宋体" w:cs="Times New Roman"/>
                <w:sz w:val="24"/>
              </w:rPr>
              <w:t>目标</w:t>
            </w:r>
            <w:r w:rsidRPr="00E75FE1">
              <w:rPr>
                <w:rFonts w:ascii="宋体" w:eastAsia="宋体" w:hAnsi="宋体" w:cs="Times New Roman" w:hint="eastAsia"/>
                <w:sz w:val="24"/>
              </w:rPr>
              <w:t>1、2、3</w:t>
            </w:r>
          </w:p>
        </w:tc>
        <w:tc>
          <w:tcPr>
            <w:tcW w:w="1276" w:type="dxa"/>
            <w:vAlign w:val="center"/>
          </w:tcPr>
          <w:p w14:paraId="3049B19B"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32</w:t>
            </w:r>
          </w:p>
        </w:tc>
      </w:tr>
      <w:tr w:rsidR="00E75FE1" w:rsidRPr="00E75FE1" w14:paraId="32FECBF0" w14:textId="77777777" w:rsidTr="00375FAF">
        <w:trPr>
          <w:trHeight w:val="90"/>
          <w:jc w:val="center"/>
        </w:trPr>
        <w:tc>
          <w:tcPr>
            <w:tcW w:w="3403" w:type="dxa"/>
            <w:vAlign w:val="center"/>
          </w:tcPr>
          <w:p w14:paraId="30DD156E"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 xml:space="preserve">学习内容二 排球1 </w:t>
            </w:r>
          </w:p>
          <w:p w14:paraId="2C8BDF6D" w14:textId="77777777" w:rsidR="00E75FE1" w:rsidRPr="00E75FE1" w:rsidRDefault="00E75FE1" w:rsidP="00E75FE1">
            <w:pPr>
              <w:spacing w:line="440" w:lineRule="exact"/>
              <w:jc w:val="center"/>
              <w:rPr>
                <w:rFonts w:ascii="宋体" w:eastAsia="宋体" w:hAnsi="宋体" w:cs="Times New Roman"/>
                <w:sz w:val="24"/>
              </w:rPr>
            </w:pPr>
          </w:p>
        </w:tc>
        <w:tc>
          <w:tcPr>
            <w:tcW w:w="2693" w:type="dxa"/>
            <w:vAlign w:val="center"/>
          </w:tcPr>
          <w:p w14:paraId="0D07107F"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利用</w:t>
            </w:r>
            <w:proofErr w:type="gramStart"/>
            <w:r w:rsidRPr="00E75FE1">
              <w:rPr>
                <w:rFonts w:ascii="宋体" w:eastAsia="宋体" w:hAnsi="宋体" w:cs="Times New Roman" w:hint="eastAsia"/>
                <w:sz w:val="24"/>
              </w:rPr>
              <w:t>微信平台</w:t>
            </w:r>
            <w:proofErr w:type="gramEnd"/>
            <w:r w:rsidRPr="00E75FE1">
              <w:rPr>
                <w:rFonts w:ascii="宋体" w:eastAsia="宋体" w:hAnsi="宋体" w:cs="Times New Roman" w:hint="eastAsia"/>
                <w:sz w:val="24"/>
              </w:rPr>
              <w:t>；讲解法、示范法；练习法；小组合作学习</w:t>
            </w:r>
          </w:p>
        </w:tc>
        <w:tc>
          <w:tcPr>
            <w:tcW w:w="1985" w:type="dxa"/>
            <w:vAlign w:val="center"/>
          </w:tcPr>
          <w:p w14:paraId="63109EF1"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课程</w:t>
            </w:r>
            <w:r w:rsidRPr="00E75FE1">
              <w:rPr>
                <w:rFonts w:ascii="宋体" w:eastAsia="宋体" w:hAnsi="宋体" w:cs="Times New Roman"/>
                <w:sz w:val="24"/>
              </w:rPr>
              <w:t>目标</w:t>
            </w:r>
            <w:r w:rsidRPr="00E75FE1">
              <w:rPr>
                <w:rFonts w:ascii="宋体" w:eastAsia="宋体" w:hAnsi="宋体" w:cs="Times New Roman" w:hint="eastAsia"/>
                <w:sz w:val="24"/>
              </w:rPr>
              <w:t>1、2、3</w:t>
            </w:r>
          </w:p>
        </w:tc>
        <w:tc>
          <w:tcPr>
            <w:tcW w:w="1276" w:type="dxa"/>
            <w:vAlign w:val="center"/>
          </w:tcPr>
          <w:p w14:paraId="0FAE7658"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32</w:t>
            </w:r>
          </w:p>
        </w:tc>
      </w:tr>
      <w:tr w:rsidR="00E75FE1" w:rsidRPr="00E75FE1" w14:paraId="4EBFF248" w14:textId="77777777" w:rsidTr="00375FAF">
        <w:trPr>
          <w:jc w:val="center"/>
        </w:trPr>
        <w:tc>
          <w:tcPr>
            <w:tcW w:w="3403" w:type="dxa"/>
            <w:vAlign w:val="center"/>
          </w:tcPr>
          <w:p w14:paraId="73E271FA"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学习内容三 排球 2</w:t>
            </w:r>
          </w:p>
          <w:p w14:paraId="513B8213" w14:textId="77777777" w:rsidR="00E75FE1" w:rsidRPr="00E75FE1" w:rsidRDefault="00E75FE1" w:rsidP="00E75FE1">
            <w:pPr>
              <w:spacing w:line="440" w:lineRule="exact"/>
              <w:jc w:val="center"/>
              <w:rPr>
                <w:rFonts w:ascii="宋体" w:eastAsia="宋体" w:hAnsi="宋体" w:cs="Times New Roman"/>
                <w:sz w:val="24"/>
              </w:rPr>
            </w:pPr>
          </w:p>
        </w:tc>
        <w:tc>
          <w:tcPr>
            <w:tcW w:w="2693" w:type="dxa"/>
            <w:vAlign w:val="center"/>
          </w:tcPr>
          <w:p w14:paraId="72F9EF49"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利用</w:t>
            </w:r>
            <w:proofErr w:type="gramStart"/>
            <w:r w:rsidRPr="00E75FE1">
              <w:rPr>
                <w:rFonts w:ascii="宋体" w:eastAsia="宋体" w:hAnsi="宋体" w:cs="Times New Roman" w:hint="eastAsia"/>
                <w:sz w:val="24"/>
              </w:rPr>
              <w:t>微信平台</w:t>
            </w:r>
            <w:proofErr w:type="gramEnd"/>
            <w:r w:rsidRPr="00E75FE1">
              <w:rPr>
                <w:rFonts w:ascii="宋体" w:eastAsia="宋体" w:hAnsi="宋体" w:cs="Times New Roman" w:hint="eastAsia"/>
                <w:sz w:val="24"/>
              </w:rPr>
              <w:t>；讲解法、示范法；练习法；小组合作学习</w:t>
            </w:r>
          </w:p>
        </w:tc>
        <w:tc>
          <w:tcPr>
            <w:tcW w:w="1985" w:type="dxa"/>
            <w:vAlign w:val="center"/>
          </w:tcPr>
          <w:p w14:paraId="795DC24C"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课程</w:t>
            </w:r>
            <w:r w:rsidRPr="00E75FE1">
              <w:rPr>
                <w:rFonts w:ascii="宋体" w:eastAsia="宋体" w:hAnsi="宋体" w:cs="Times New Roman"/>
                <w:sz w:val="24"/>
              </w:rPr>
              <w:t>目标</w:t>
            </w:r>
            <w:r w:rsidRPr="00E75FE1">
              <w:rPr>
                <w:rFonts w:ascii="宋体" w:eastAsia="宋体" w:hAnsi="宋体" w:cs="Times New Roman" w:hint="eastAsia"/>
                <w:sz w:val="24"/>
              </w:rPr>
              <w:t>1、2、3</w:t>
            </w:r>
          </w:p>
        </w:tc>
        <w:tc>
          <w:tcPr>
            <w:tcW w:w="1276" w:type="dxa"/>
            <w:vAlign w:val="center"/>
          </w:tcPr>
          <w:p w14:paraId="1CF3C457"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32</w:t>
            </w:r>
          </w:p>
        </w:tc>
      </w:tr>
      <w:tr w:rsidR="00E75FE1" w:rsidRPr="00E75FE1" w14:paraId="7DA7A5C4" w14:textId="77777777" w:rsidTr="00375FAF">
        <w:trPr>
          <w:jc w:val="center"/>
        </w:trPr>
        <w:tc>
          <w:tcPr>
            <w:tcW w:w="3403" w:type="dxa"/>
            <w:vAlign w:val="center"/>
          </w:tcPr>
          <w:p w14:paraId="34BE823C"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学习内容四 排球 3</w:t>
            </w:r>
          </w:p>
          <w:p w14:paraId="0B96F59E" w14:textId="77777777" w:rsidR="00E75FE1" w:rsidRPr="00E75FE1" w:rsidRDefault="00E75FE1" w:rsidP="00E75FE1">
            <w:pPr>
              <w:spacing w:line="440" w:lineRule="exact"/>
              <w:jc w:val="center"/>
              <w:rPr>
                <w:rFonts w:ascii="宋体" w:eastAsia="宋体" w:hAnsi="宋体" w:cs="Times New Roman"/>
                <w:sz w:val="24"/>
              </w:rPr>
            </w:pPr>
          </w:p>
        </w:tc>
        <w:tc>
          <w:tcPr>
            <w:tcW w:w="2693" w:type="dxa"/>
            <w:vAlign w:val="center"/>
          </w:tcPr>
          <w:p w14:paraId="39595C41"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利用</w:t>
            </w:r>
            <w:proofErr w:type="gramStart"/>
            <w:r w:rsidRPr="00E75FE1">
              <w:rPr>
                <w:rFonts w:ascii="宋体" w:eastAsia="宋体" w:hAnsi="宋体" w:cs="Times New Roman" w:hint="eastAsia"/>
                <w:sz w:val="24"/>
              </w:rPr>
              <w:t>微信平台</w:t>
            </w:r>
            <w:proofErr w:type="gramEnd"/>
            <w:r w:rsidRPr="00E75FE1">
              <w:rPr>
                <w:rFonts w:ascii="宋体" w:eastAsia="宋体" w:hAnsi="宋体" w:cs="Times New Roman" w:hint="eastAsia"/>
                <w:sz w:val="24"/>
              </w:rPr>
              <w:t>；讲解法、示范法；练习法；小组合作学习</w:t>
            </w:r>
          </w:p>
        </w:tc>
        <w:tc>
          <w:tcPr>
            <w:tcW w:w="1985" w:type="dxa"/>
            <w:vAlign w:val="center"/>
          </w:tcPr>
          <w:p w14:paraId="343509BF"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课程</w:t>
            </w:r>
            <w:r w:rsidRPr="00E75FE1">
              <w:rPr>
                <w:rFonts w:ascii="宋体" w:eastAsia="宋体" w:hAnsi="宋体" w:cs="Times New Roman"/>
                <w:sz w:val="24"/>
              </w:rPr>
              <w:t>目标</w:t>
            </w:r>
            <w:r w:rsidRPr="00E75FE1">
              <w:rPr>
                <w:rFonts w:ascii="宋体" w:eastAsia="宋体" w:hAnsi="宋体" w:cs="Times New Roman" w:hint="eastAsia"/>
                <w:sz w:val="24"/>
              </w:rPr>
              <w:t>1、2、3</w:t>
            </w:r>
          </w:p>
        </w:tc>
        <w:tc>
          <w:tcPr>
            <w:tcW w:w="1276" w:type="dxa"/>
            <w:vAlign w:val="center"/>
          </w:tcPr>
          <w:p w14:paraId="71C3BFF2"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32</w:t>
            </w:r>
          </w:p>
        </w:tc>
      </w:tr>
      <w:tr w:rsidR="00E75FE1" w:rsidRPr="00E75FE1" w14:paraId="1DA8954D" w14:textId="77777777" w:rsidTr="00375FAF">
        <w:trPr>
          <w:jc w:val="center"/>
        </w:trPr>
        <w:tc>
          <w:tcPr>
            <w:tcW w:w="8081" w:type="dxa"/>
            <w:gridSpan w:val="3"/>
            <w:vAlign w:val="center"/>
          </w:tcPr>
          <w:p w14:paraId="238F3DFA" w14:textId="77777777" w:rsidR="00E75FE1" w:rsidRPr="00E75FE1" w:rsidRDefault="00E75FE1" w:rsidP="00E75FE1">
            <w:pPr>
              <w:spacing w:line="440" w:lineRule="exact"/>
              <w:jc w:val="center"/>
              <w:rPr>
                <w:rFonts w:ascii="宋体" w:eastAsia="宋体" w:hAnsi="宋体" w:cs="Times New Roman"/>
                <w:b/>
                <w:sz w:val="24"/>
              </w:rPr>
            </w:pPr>
            <w:r w:rsidRPr="00E75FE1">
              <w:rPr>
                <w:rFonts w:ascii="宋体" w:eastAsia="宋体" w:hAnsi="宋体" w:cs="Times New Roman" w:hint="eastAsia"/>
                <w:b/>
                <w:sz w:val="24"/>
              </w:rPr>
              <w:t>合计</w:t>
            </w:r>
          </w:p>
        </w:tc>
        <w:tc>
          <w:tcPr>
            <w:tcW w:w="1276" w:type="dxa"/>
            <w:vAlign w:val="center"/>
          </w:tcPr>
          <w:p w14:paraId="49495758"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128</w:t>
            </w:r>
          </w:p>
        </w:tc>
      </w:tr>
    </w:tbl>
    <w:p w14:paraId="677465A4" w14:textId="77777777" w:rsidR="00E75FE1" w:rsidRPr="00E75FE1" w:rsidRDefault="00E75FE1" w:rsidP="00E75FE1">
      <w:pPr>
        <w:spacing w:beforeLines="50" w:before="156" w:afterLines="50" w:after="156" w:line="440" w:lineRule="exact"/>
        <w:ind w:firstLineChars="200" w:firstLine="560"/>
        <w:rPr>
          <w:rFonts w:ascii="宋体" w:eastAsia="宋体" w:hAnsi="宋体" w:cs="Times New Roman"/>
          <w:sz w:val="24"/>
        </w:rPr>
      </w:pPr>
      <w:r w:rsidRPr="00E75FE1">
        <w:rPr>
          <w:rFonts w:ascii="黑体" w:eastAsia="黑体" w:hAnsi="黑体" w:cs="Times New Roman" w:hint="eastAsia"/>
          <w:sz w:val="28"/>
          <w:szCs w:val="28"/>
        </w:rPr>
        <w:t>四、课程考核及与课程学习目标的对应关系</w:t>
      </w:r>
    </w:p>
    <w:p w14:paraId="776C2708"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（一）课程考核内容、考核方式与课程学习目标的对应关系</w:t>
      </w:r>
    </w:p>
    <w:p w14:paraId="0B2251AD"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p>
    <w:p w14:paraId="3EA3FF63"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p>
    <w:p w14:paraId="348952E1"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p>
    <w:p w14:paraId="133D5A62"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71"/>
        <w:gridCol w:w="3327"/>
        <w:gridCol w:w="2542"/>
      </w:tblGrid>
      <w:tr w:rsidR="00E75FE1" w:rsidRPr="00E75FE1" w14:paraId="37B7289F" w14:textId="77777777" w:rsidTr="00375FAF">
        <w:trPr>
          <w:trHeight w:val="515"/>
          <w:jc w:val="center"/>
        </w:trPr>
        <w:tc>
          <w:tcPr>
            <w:tcW w:w="3471" w:type="dxa"/>
          </w:tcPr>
          <w:p w14:paraId="33C11082" w14:textId="77777777" w:rsidR="00E75FE1" w:rsidRPr="00E75FE1" w:rsidRDefault="00E75FE1" w:rsidP="00E75FE1">
            <w:pPr>
              <w:spacing w:line="440" w:lineRule="exact"/>
              <w:jc w:val="center"/>
              <w:rPr>
                <w:rFonts w:ascii="宋体" w:eastAsia="宋体" w:hAnsi="宋体" w:cs="Times New Roman"/>
                <w:b/>
                <w:sz w:val="24"/>
              </w:rPr>
            </w:pPr>
            <w:r w:rsidRPr="00E75FE1">
              <w:rPr>
                <w:rFonts w:ascii="宋体" w:eastAsia="宋体" w:hAnsi="宋体" w:cs="Times New Roman" w:hint="eastAsia"/>
                <w:b/>
                <w:sz w:val="24"/>
              </w:rPr>
              <w:t>课程目标</w:t>
            </w:r>
          </w:p>
        </w:tc>
        <w:tc>
          <w:tcPr>
            <w:tcW w:w="3327" w:type="dxa"/>
            <w:vAlign w:val="center"/>
          </w:tcPr>
          <w:p w14:paraId="10A319D4" w14:textId="77777777" w:rsidR="00E75FE1" w:rsidRPr="00E75FE1" w:rsidRDefault="00E75FE1" w:rsidP="00E75FE1">
            <w:pPr>
              <w:spacing w:line="440" w:lineRule="exact"/>
              <w:jc w:val="center"/>
              <w:rPr>
                <w:rFonts w:ascii="宋体" w:eastAsia="宋体" w:hAnsi="宋体" w:cs="Times New Roman"/>
                <w:b/>
                <w:sz w:val="24"/>
              </w:rPr>
            </w:pPr>
            <w:r w:rsidRPr="00E75FE1">
              <w:rPr>
                <w:rFonts w:ascii="宋体" w:eastAsia="宋体" w:hAnsi="宋体" w:cs="Times New Roman" w:hint="eastAsia"/>
                <w:b/>
                <w:sz w:val="24"/>
              </w:rPr>
              <w:t>考核内容</w:t>
            </w:r>
          </w:p>
        </w:tc>
        <w:tc>
          <w:tcPr>
            <w:tcW w:w="2542" w:type="dxa"/>
            <w:vAlign w:val="center"/>
          </w:tcPr>
          <w:p w14:paraId="5C22A23F" w14:textId="77777777" w:rsidR="00E75FE1" w:rsidRPr="00E75FE1" w:rsidRDefault="00E75FE1" w:rsidP="00E75FE1">
            <w:pPr>
              <w:spacing w:line="440" w:lineRule="exact"/>
              <w:jc w:val="center"/>
              <w:rPr>
                <w:rFonts w:ascii="宋体" w:eastAsia="宋体" w:hAnsi="宋体" w:cs="Times New Roman"/>
                <w:b/>
                <w:sz w:val="24"/>
              </w:rPr>
            </w:pPr>
            <w:r w:rsidRPr="00E75FE1">
              <w:rPr>
                <w:rFonts w:ascii="宋体" w:eastAsia="宋体" w:hAnsi="宋体" w:cs="Times New Roman" w:hint="eastAsia"/>
                <w:b/>
                <w:sz w:val="24"/>
              </w:rPr>
              <w:t>考核方式</w:t>
            </w:r>
          </w:p>
        </w:tc>
      </w:tr>
      <w:tr w:rsidR="00E75FE1" w:rsidRPr="00E75FE1" w14:paraId="56132455" w14:textId="77777777" w:rsidTr="00375FAF">
        <w:trPr>
          <w:jc w:val="center"/>
        </w:trPr>
        <w:tc>
          <w:tcPr>
            <w:tcW w:w="3471" w:type="dxa"/>
            <w:vAlign w:val="center"/>
          </w:tcPr>
          <w:p w14:paraId="089E3E85" w14:textId="77777777" w:rsidR="00E75FE1" w:rsidRPr="00E75FE1" w:rsidRDefault="00E75FE1" w:rsidP="00E75FE1">
            <w:pPr>
              <w:spacing w:line="440" w:lineRule="exact"/>
              <w:jc w:val="center"/>
              <w:rPr>
                <w:rFonts w:ascii="宋体" w:eastAsia="宋体" w:hAnsi="宋体" w:cs="Times New Roman"/>
                <w:bCs/>
                <w:sz w:val="24"/>
              </w:rPr>
            </w:pPr>
            <w:r w:rsidRPr="00E75FE1">
              <w:rPr>
                <w:rFonts w:ascii="宋体" w:eastAsia="宋体" w:hAnsi="宋体" w:cs="Times New Roman" w:hint="eastAsia"/>
                <w:bCs/>
                <w:sz w:val="24"/>
              </w:rPr>
              <w:t>课程目标1、2、3（第1学期）</w:t>
            </w:r>
          </w:p>
        </w:tc>
        <w:tc>
          <w:tcPr>
            <w:tcW w:w="3327" w:type="dxa"/>
            <w:vAlign w:val="center"/>
          </w:tcPr>
          <w:p w14:paraId="39D1373A"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大学生体质健康标准测试(立定跳远)；</w:t>
            </w:r>
            <w:r w:rsidRPr="00E75FE1">
              <w:rPr>
                <w:rFonts w:ascii="Calibri" w:eastAsia="宋体" w:hAnsi="Calibri" w:cs="Times New Roman" w:hint="eastAsia"/>
                <w:sz w:val="24"/>
              </w:rPr>
              <w:t>自垫球</w:t>
            </w:r>
          </w:p>
        </w:tc>
        <w:tc>
          <w:tcPr>
            <w:tcW w:w="2542" w:type="dxa"/>
            <w:vAlign w:val="center"/>
          </w:tcPr>
          <w:p w14:paraId="2A408DC7" w14:textId="77777777" w:rsidR="00E75FE1" w:rsidRPr="00E75FE1" w:rsidRDefault="00E75FE1" w:rsidP="00E75FE1">
            <w:pPr>
              <w:widowControl/>
              <w:jc w:val="left"/>
              <w:rPr>
                <w:rFonts w:ascii="宋体" w:eastAsia="宋体" w:hAnsi="宋体" w:cs="Times New Roman"/>
                <w:bCs/>
                <w:sz w:val="24"/>
              </w:rPr>
            </w:pPr>
          </w:p>
          <w:p w14:paraId="098BDFBE"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随堂技术考核</w:t>
            </w:r>
          </w:p>
        </w:tc>
      </w:tr>
      <w:tr w:rsidR="00E75FE1" w:rsidRPr="00E75FE1" w14:paraId="497BFD72" w14:textId="77777777" w:rsidTr="00375FAF">
        <w:trPr>
          <w:jc w:val="center"/>
        </w:trPr>
        <w:tc>
          <w:tcPr>
            <w:tcW w:w="3471" w:type="dxa"/>
            <w:vAlign w:val="center"/>
          </w:tcPr>
          <w:p w14:paraId="3765C671" w14:textId="77777777" w:rsidR="00E75FE1" w:rsidRPr="00E75FE1" w:rsidRDefault="00E75FE1" w:rsidP="00E75FE1">
            <w:pPr>
              <w:spacing w:line="440" w:lineRule="exact"/>
              <w:jc w:val="center"/>
              <w:rPr>
                <w:rFonts w:ascii="宋体" w:eastAsia="宋体" w:hAnsi="宋体" w:cs="Times New Roman"/>
                <w:bCs/>
                <w:sz w:val="24"/>
              </w:rPr>
            </w:pPr>
            <w:r w:rsidRPr="00E75FE1">
              <w:rPr>
                <w:rFonts w:ascii="宋体" w:eastAsia="宋体" w:hAnsi="宋体" w:cs="Times New Roman" w:hint="eastAsia"/>
                <w:bCs/>
                <w:sz w:val="24"/>
              </w:rPr>
              <w:t>课程目标3（第2学期）</w:t>
            </w:r>
          </w:p>
        </w:tc>
        <w:tc>
          <w:tcPr>
            <w:tcW w:w="3327" w:type="dxa"/>
            <w:vAlign w:val="center"/>
          </w:tcPr>
          <w:p w14:paraId="567AB6AA"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自垫球；</w:t>
            </w:r>
            <w:r w:rsidRPr="00E75FE1">
              <w:rPr>
                <w:rFonts w:ascii="Calibri" w:eastAsia="宋体" w:hAnsi="Calibri" w:cs="Times New Roman" w:hint="eastAsia"/>
                <w:sz w:val="24"/>
              </w:rPr>
              <w:t>双人正面双手对垫球</w:t>
            </w:r>
          </w:p>
        </w:tc>
        <w:tc>
          <w:tcPr>
            <w:tcW w:w="2542" w:type="dxa"/>
            <w:vAlign w:val="center"/>
          </w:tcPr>
          <w:p w14:paraId="3CBE7AE3" w14:textId="77777777" w:rsidR="00E75FE1" w:rsidRPr="00E75FE1" w:rsidRDefault="00E75FE1" w:rsidP="00E75FE1">
            <w:pPr>
              <w:widowControl/>
              <w:jc w:val="left"/>
              <w:rPr>
                <w:rFonts w:ascii="宋体" w:eastAsia="宋体" w:hAnsi="宋体" w:cs="Times New Roman"/>
                <w:bCs/>
                <w:sz w:val="24"/>
              </w:rPr>
            </w:pPr>
          </w:p>
          <w:p w14:paraId="727D3C37"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随堂技术考核</w:t>
            </w:r>
          </w:p>
        </w:tc>
      </w:tr>
      <w:tr w:rsidR="00E75FE1" w:rsidRPr="00E75FE1" w14:paraId="4A564FCA" w14:textId="77777777" w:rsidTr="00375FAF">
        <w:trPr>
          <w:jc w:val="center"/>
        </w:trPr>
        <w:tc>
          <w:tcPr>
            <w:tcW w:w="3471" w:type="dxa"/>
            <w:vAlign w:val="center"/>
          </w:tcPr>
          <w:p w14:paraId="34B6D4CF" w14:textId="77777777" w:rsidR="00E75FE1" w:rsidRPr="00E75FE1" w:rsidRDefault="00E75FE1" w:rsidP="00E75FE1">
            <w:pPr>
              <w:spacing w:line="440" w:lineRule="exact"/>
              <w:jc w:val="center"/>
              <w:rPr>
                <w:rFonts w:ascii="宋体" w:eastAsia="宋体" w:hAnsi="宋体" w:cs="Times New Roman"/>
                <w:bCs/>
                <w:sz w:val="24"/>
              </w:rPr>
            </w:pPr>
            <w:r w:rsidRPr="00E75FE1">
              <w:rPr>
                <w:rFonts w:ascii="宋体" w:eastAsia="宋体" w:hAnsi="宋体" w:cs="Times New Roman" w:hint="eastAsia"/>
                <w:bCs/>
                <w:sz w:val="24"/>
              </w:rPr>
              <w:t>课程目标3（第3学期）</w:t>
            </w:r>
          </w:p>
        </w:tc>
        <w:tc>
          <w:tcPr>
            <w:tcW w:w="3327" w:type="dxa"/>
            <w:vAlign w:val="center"/>
          </w:tcPr>
          <w:p w14:paraId="650ECD3B" w14:textId="77777777" w:rsidR="00E75FE1" w:rsidRPr="00E75FE1" w:rsidRDefault="00E75FE1" w:rsidP="00E75FE1">
            <w:pPr>
              <w:spacing w:line="440" w:lineRule="exact"/>
              <w:rPr>
                <w:rFonts w:ascii="宋体" w:eastAsia="宋体" w:hAnsi="宋体" w:cs="Times New Roman"/>
                <w:bCs/>
                <w:sz w:val="24"/>
              </w:rPr>
            </w:pPr>
            <w:r w:rsidRPr="00E75FE1">
              <w:rPr>
                <w:rFonts w:ascii="Calibri" w:eastAsia="宋体" w:hAnsi="Calibri" w:cs="Times New Roman" w:hint="eastAsia"/>
                <w:sz w:val="24"/>
              </w:rPr>
              <w:t>双人正面双手隔网对垫球或者双人正面双手隔网对传球二选</w:t>
            </w:r>
            <w:proofErr w:type="gramStart"/>
            <w:r w:rsidRPr="00E75FE1">
              <w:rPr>
                <w:rFonts w:ascii="Calibri" w:eastAsia="宋体" w:hAnsi="Calibri" w:cs="Times New Roman" w:hint="eastAsia"/>
                <w:sz w:val="24"/>
              </w:rPr>
              <w:t>一</w:t>
            </w:r>
            <w:proofErr w:type="gramEnd"/>
            <w:r w:rsidRPr="00E75FE1">
              <w:rPr>
                <w:rFonts w:ascii="Calibri" w:eastAsia="宋体" w:hAnsi="Calibri" w:cs="Times New Roman" w:hint="eastAsia"/>
                <w:sz w:val="24"/>
              </w:rPr>
              <w:t>；正面下手发球</w:t>
            </w:r>
          </w:p>
        </w:tc>
        <w:tc>
          <w:tcPr>
            <w:tcW w:w="2542" w:type="dxa"/>
            <w:vAlign w:val="center"/>
          </w:tcPr>
          <w:p w14:paraId="03E44DF1" w14:textId="77777777" w:rsidR="00E75FE1" w:rsidRPr="00E75FE1" w:rsidRDefault="00E75FE1" w:rsidP="00E75FE1">
            <w:pPr>
              <w:widowControl/>
              <w:jc w:val="left"/>
              <w:rPr>
                <w:rFonts w:ascii="宋体" w:eastAsia="宋体" w:hAnsi="宋体" w:cs="Times New Roman"/>
                <w:bCs/>
                <w:sz w:val="24"/>
              </w:rPr>
            </w:pPr>
          </w:p>
          <w:p w14:paraId="688ED38A"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随堂技术考核</w:t>
            </w:r>
          </w:p>
        </w:tc>
      </w:tr>
      <w:tr w:rsidR="00E75FE1" w:rsidRPr="00E75FE1" w14:paraId="6D1F306F" w14:textId="77777777" w:rsidTr="00375FAF">
        <w:trPr>
          <w:jc w:val="center"/>
        </w:trPr>
        <w:tc>
          <w:tcPr>
            <w:tcW w:w="3471" w:type="dxa"/>
            <w:vAlign w:val="center"/>
          </w:tcPr>
          <w:p w14:paraId="6C3FDF7B" w14:textId="77777777" w:rsidR="00E75FE1" w:rsidRPr="00E75FE1" w:rsidRDefault="00E75FE1" w:rsidP="00E75FE1">
            <w:pPr>
              <w:spacing w:line="440" w:lineRule="exact"/>
              <w:jc w:val="center"/>
              <w:rPr>
                <w:rFonts w:ascii="宋体" w:eastAsia="宋体" w:hAnsi="宋体" w:cs="Times New Roman"/>
                <w:bCs/>
                <w:sz w:val="24"/>
              </w:rPr>
            </w:pPr>
            <w:r w:rsidRPr="00E75FE1">
              <w:rPr>
                <w:rFonts w:ascii="宋体" w:eastAsia="宋体" w:hAnsi="宋体" w:cs="Times New Roman" w:hint="eastAsia"/>
                <w:bCs/>
                <w:sz w:val="24"/>
              </w:rPr>
              <w:t>课程目标3（第4学期）</w:t>
            </w:r>
          </w:p>
        </w:tc>
        <w:tc>
          <w:tcPr>
            <w:tcW w:w="3327" w:type="dxa"/>
            <w:vAlign w:val="center"/>
          </w:tcPr>
          <w:p w14:paraId="696D6F7C"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自垫球；</w:t>
            </w:r>
            <w:r w:rsidRPr="00E75FE1">
              <w:rPr>
                <w:rFonts w:ascii="Calibri" w:eastAsia="宋体" w:hAnsi="Calibri" w:cs="Times New Roman" w:hint="eastAsia"/>
                <w:sz w:val="24"/>
              </w:rPr>
              <w:t>双人正面双手对垫球</w:t>
            </w:r>
            <w:r w:rsidRPr="00E75FE1">
              <w:rPr>
                <w:rFonts w:ascii="Calibri" w:eastAsia="宋体" w:hAnsi="Calibri" w:cs="Times New Roman" w:hint="eastAsia"/>
                <w:sz w:val="24"/>
              </w:rPr>
              <w:t xml:space="preserve"> </w:t>
            </w:r>
          </w:p>
        </w:tc>
        <w:tc>
          <w:tcPr>
            <w:tcW w:w="2542" w:type="dxa"/>
            <w:vAlign w:val="center"/>
          </w:tcPr>
          <w:p w14:paraId="265AE75A" w14:textId="77777777" w:rsidR="00E75FE1" w:rsidRPr="00E75FE1" w:rsidRDefault="00E75FE1" w:rsidP="00E75FE1">
            <w:pPr>
              <w:widowControl/>
              <w:jc w:val="left"/>
              <w:rPr>
                <w:rFonts w:ascii="宋体" w:eastAsia="宋体" w:hAnsi="宋体" w:cs="Times New Roman"/>
                <w:bCs/>
                <w:sz w:val="24"/>
              </w:rPr>
            </w:pPr>
            <w:r w:rsidRPr="00E75FE1">
              <w:rPr>
                <w:rFonts w:ascii="宋体" w:eastAsia="宋体" w:hAnsi="宋体" w:cs="Times New Roman" w:hint="eastAsia"/>
                <w:bCs/>
                <w:sz w:val="24"/>
              </w:rPr>
              <w:t>随堂技术考核</w:t>
            </w:r>
          </w:p>
          <w:p w14:paraId="086A327A" w14:textId="77777777" w:rsidR="00E75FE1" w:rsidRPr="00E75FE1" w:rsidRDefault="00E75FE1" w:rsidP="00E75FE1">
            <w:pPr>
              <w:spacing w:line="440" w:lineRule="exact"/>
              <w:rPr>
                <w:rFonts w:ascii="宋体" w:eastAsia="宋体" w:hAnsi="宋体" w:cs="Times New Roman"/>
                <w:bCs/>
                <w:sz w:val="24"/>
              </w:rPr>
            </w:pPr>
          </w:p>
        </w:tc>
      </w:tr>
    </w:tbl>
    <w:p w14:paraId="6092026A"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（二）课程目标达成评价方式及考核比例</w:t>
      </w:r>
    </w:p>
    <w:p w14:paraId="5C739285"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排球课程</w:t>
      </w:r>
      <w:proofErr w:type="gramStart"/>
      <w:r w:rsidRPr="00E75FE1">
        <w:rPr>
          <w:rFonts w:ascii="宋体" w:eastAsia="宋体" w:hAnsi="宋体" w:cs="Times New Roman" w:hint="eastAsia"/>
          <w:sz w:val="24"/>
        </w:rPr>
        <w:t>1、2、3、4每</w:t>
      </w:r>
      <w:proofErr w:type="gramEnd"/>
      <w:r w:rsidRPr="00E75FE1">
        <w:rPr>
          <w:rFonts w:ascii="宋体" w:eastAsia="宋体" w:hAnsi="宋体" w:cs="Times New Roman" w:hint="eastAsia"/>
          <w:sz w:val="24"/>
        </w:rPr>
        <w:t>学期考核方式及成绩比例为：课堂表现20%</w:t>
      </w:r>
      <w:r w:rsidRPr="00E75FE1">
        <w:rPr>
          <w:rFonts w:ascii="宋体" w:eastAsia="宋体" w:hAnsi="宋体" w:cs="Times New Roman"/>
          <w:sz w:val="24"/>
        </w:rPr>
        <w:t>+</w:t>
      </w:r>
      <w:r w:rsidRPr="00E75FE1">
        <w:rPr>
          <w:rFonts w:ascii="宋体" w:eastAsia="宋体" w:hAnsi="宋体" w:cs="Times New Roman" w:hint="eastAsia"/>
          <w:sz w:val="24"/>
        </w:rPr>
        <w:t>期中考核30%</w:t>
      </w:r>
      <w:r w:rsidRPr="00E75FE1">
        <w:rPr>
          <w:rFonts w:ascii="宋体" w:eastAsia="宋体" w:hAnsi="宋体" w:cs="Times New Roman"/>
          <w:sz w:val="24"/>
        </w:rPr>
        <w:t>+</w:t>
      </w:r>
      <w:r w:rsidRPr="00E75FE1">
        <w:rPr>
          <w:rFonts w:ascii="宋体" w:eastAsia="宋体" w:hAnsi="宋体" w:cs="Times New Roman" w:hint="eastAsia"/>
          <w:sz w:val="24"/>
        </w:rPr>
        <w:t>课期</w:t>
      </w:r>
      <w:proofErr w:type="gramStart"/>
      <w:r w:rsidRPr="00E75FE1">
        <w:rPr>
          <w:rFonts w:ascii="宋体" w:eastAsia="宋体" w:hAnsi="宋体" w:cs="Times New Roman" w:hint="eastAsia"/>
          <w:sz w:val="24"/>
        </w:rPr>
        <w:t>末考试</w:t>
      </w:r>
      <w:proofErr w:type="gramEnd"/>
      <w:r w:rsidRPr="00E75FE1">
        <w:rPr>
          <w:rFonts w:ascii="宋体" w:eastAsia="宋体" w:hAnsi="宋体" w:cs="Times New Roman" w:hint="eastAsia"/>
          <w:sz w:val="24"/>
        </w:rPr>
        <w:t>5</w:t>
      </w:r>
      <w:r w:rsidRPr="00E75FE1">
        <w:rPr>
          <w:rFonts w:ascii="宋体" w:eastAsia="宋体" w:hAnsi="宋体" w:cs="Times New Roman"/>
          <w:sz w:val="24"/>
        </w:rPr>
        <w:t>0</w:t>
      </w:r>
      <w:r w:rsidRPr="00E75FE1">
        <w:rPr>
          <w:rFonts w:ascii="宋体" w:eastAsia="宋体" w:hAnsi="宋体" w:cs="Times New Roman" w:hint="eastAsia"/>
          <w:sz w:val="24"/>
        </w:rPr>
        <w:t>%；本课程共有三个课程目标，考核方式及成绩比例分别为：</w:t>
      </w:r>
    </w:p>
    <w:p w14:paraId="58C8D560"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课程目标1：课堂表现5%</w:t>
      </w:r>
      <w:r w:rsidRPr="00E75FE1">
        <w:rPr>
          <w:rFonts w:ascii="宋体" w:eastAsia="宋体" w:hAnsi="宋体" w:cs="Times New Roman"/>
          <w:sz w:val="24"/>
        </w:rPr>
        <w:t>+</w:t>
      </w:r>
      <w:r w:rsidRPr="00E75FE1">
        <w:rPr>
          <w:rFonts w:ascii="宋体" w:eastAsia="宋体" w:hAnsi="宋体" w:cs="Times New Roman" w:hint="eastAsia"/>
          <w:sz w:val="24"/>
        </w:rPr>
        <w:t>阶段测试10%</w:t>
      </w:r>
      <w:r w:rsidRPr="00E75FE1">
        <w:rPr>
          <w:rFonts w:ascii="宋体" w:eastAsia="宋体" w:hAnsi="宋体" w:cs="Times New Roman"/>
          <w:sz w:val="24"/>
        </w:rPr>
        <w:t>+</w:t>
      </w:r>
      <w:r w:rsidRPr="00E75FE1">
        <w:rPr>
          <w:rFonts w:ascii="宋体" w:eastAsia="宋体" w:hAnsi="宋体" w:cs="Times New Roman" w:hint="eastAsia"/>
          <w:sz w:val="24"/>
        </w:rPr>
        <w:t>期末考试20%</w:t>
      </w:r>
    </w:p>
    <w:p w14:paraId="2BAEB4A5"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课程目标2：课堂表现10%</w:t>
      </w:r>
      <w:r w:rsidRPr="00E75FE1">
        <w:rPr>
          <w:rFonts w:ascii="宋体" w:eastAsia="宋体" w:hAnsi="宋体" w:cs="Times New Roman"/>
          <w:sz w:val="24"/>
        </w:rPr>
        <w:t>+</w:t>
      </w:r>
      <w:r w:rsidRPr="00E75FE1">
        <w:rPr>
          <w:rFonts w:ascii="宋体" w:eastAsia="宋体" w:hAnsi="宋体" w:cs="Times New Roman" w:hint="eastAsia"/>
          <w:sz w:val="24"/>
        </w:rPr>
        <w:t>阶段测试10%</w:t>
      </w:r>
      <w:r w:rsidRPr="00E75FE1">
        <w:rPr>
          <w:rFonts w:ascii="宋体" w:eastAsia="宋体" w:hAnsi="宋体" w:cs="Times New Roman"/>
          <w:sz w:val="24"/>
        </w:rPr>
        <w:t>+</w:t>
      </w:r>
      <w:r w:rsidRPr="00E75FE1">
        <w:rPr>
          <w:rFonts w:ascii="宋体" w:eastAsia="宋体" w:hAnsi="宋体" w:cs="Times New Roman" w:hint="eastAsia"/>
          <w:sz w:val="24"/>
        </w:rPr>
        <w:t>期末考试20%</w:t>
      </w:r>
    </w:p>
    <w:p w14:paraId="6854DF94"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课程目标3：课堂表现5%</w:t>
      </w:r>
      <w:r w:rsidRPr="00E75FE1">
        <w:rPr>
          <w:rFonts w:ascii="宋体" w:eastAsia="宋体" w:hAnsi="宋体" w:cs="Times New Roman"/>
          <w:sz w:val="24"/>
        </w:rPr>
        <w:t>+</w:t>
      </w:r>
      <w:r w:rsidRPr="00E75FE1">
        <w:rPr>
          <w:rFonts w:ascii="宋体" w:eastAsia="宋体" w:hAnsi="宋体" w:cs="Times New Roman" w:hint="eastAsia"/>
          <w:sz w:val="24"/>
        </w:rPr>
        <w:t>阶段测试10%</w:t>
      </w:r>
      <w:r w:rsidRPr="00E75FE1">
        <w:rPr>
          <w:rFonts w:ascii="宋体" w:eastAsia="宋体" w:hAnsi="宋体" w:cs="Times New Roman"/>
          <w:sz w:val="24"/>
        </w:rPr>
        <w:t>+</w:t>
      </w:r>
      <w:r w:rsidRPr="00E75FE1">
        <w:rPr>
          <w:rFonts w:ascii="宋体" w:eastAsia="宋体" w:hAnsi="宋体" w:cs="Times New Roman" w:hint="eastAsia"/>
          <w:sz w:val="24"/>
        </w:rPr>
        <w:t>期末考试10%</w:t>
      </w:r>
    </w:p>
    <w:p w14:paraId="1B120F1A"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E75FE1" w:rsidRPr="00E75FE1" w14:paraId="32E5CE62" w14:textId="77777777" w:rsidTr="00375FAF">
        <w:trPr>
          <w:trHeight w:val="540"/>
          <w:jc w:val="center"/>
        </w:trPr>
        <w:tc>
          <w:tcPr>
            <w:tcW w:w="1422" w:type="dxa"/>
            <w:vMerge w:val="restart"/>
            <w:vAlign w:val="center"/>
          </w:tcPr>
          <w:p w14:paraId="1EDA2639" w14:textId="77777777" w:rsidR="00E75FE1" w:rsidRPr="00E75FE1" w:rsidRDefault="00E75FE1" w:rsidP="00E75FE1">
            <w:pPr>
              <w:spacing w:line="440" w:lineRule="exact"/>
              <w:rPr>
                <w:rFonts w:ascii="宋体" w:eastAsia="宋体" w:hAnsi="宋体" w:cs="Times New Roman"/>
                <w:b/>
                <w:sz w:val="24"/>
              </w:rPr>
            </w:pPr>
            <w:r w:rsidRPr="00E75FE1">
              <w:rPr>
                <w:rFonts w:ascii="宋体" w:eastAsia="宋体" w:hAnsi="宋体" w:cs="Times New Roman" w:hint="eastAsia"/>
                <w:b/>
                <w:sz w:val="24"/>
              </w:rPr>
              <w:t>课程目标</w:t>
            </w:r>
          </w:p>
        </w:tc>
        <w:tc>
          <w:tcPr>
            <w:tcW w:w="6271" w:type="dxa"/>
            <w:gridSpan w:val="4"/>
            <w:vAlign w:val="center"/>
          </w:tcPr>
          <w:p w14:paraId="31F92104" w14:textId="77777777" w:rsidR="00E75FE1" w:rsidRPr="00E75FE1" w:rsidRDefault="00E75FE1" w:rsidP="00E75FE1">
            <w:pPr>
              <w:spacing w:line="440" w:lineRule="exact"/>
              <w:rPr>
                <w:rFonts w:ascii="宋体" w:eastAsia="宋体" w:hAnsi="宋体" w:cs="Times New Roman"/>
                <w:b/>
                <w:sz w:val="24"/>
              </w:rPr>
            </w:pPr>
            <w:r w:rsidRPr="00E75FE1">
              <w:rPr>
                <w:rFonts w:ascii="宋体" w:eastAsia="宋体" w:hAnsi="宋体" w:cs="Times New Roman" w:hint="eastAsia"/>
                <w:b/>
                <w:sz w:val="24"/>
              </w:rPr>
              <w:t>考核方式及成绩比例（%）</w:t>
            </w:r>
          </w:p>
        </w:tc>
        <w:tc>
          <w:tcPr>
            <w:tcW w:w="1559" w:type="dxa"/>
            <w:vMerge w:val="restart"/>
            <w:vAlign w:val="center"/>
          </w:tcPr>
          <w:p w14:paraId="3D7454CB" w14:textId="77777777" w:rsidR="00E75FE1" w:rsidRPr="00E75FE1" w:rsidRDefault="00E75FE1" w:rsidP="00E75FE1">
            <w:pPr>
              <w:spacing w:line="440" w:lineRule="exact"/>
              <w:rPr>
                <w:rFonts w:ascii="宋体" w:eastAsia="宋体" w:hAnsi="宋体" w:cs="Times New Roman"/>
                <w:b/>
                <w:sz w:val="24"/>
              </w:rPr>
            </w:pPr>
            <w:r w:rsidRPr="00E75FE1">
              <w:rPr>
                <w:rFonts w:ascii="宋体" w:eastAsia="宋体" w:hAnsi="宋体" w:cs="Times New Roman" w:hint="eastAsia"/>
                <w:b/>
                <w:sz w:val="24"/>
              </w:rPr>
              <w:t>合计</w:t>
            </w:r>
          </w:p>
        </w:tc>
      </w:tr>
      <w:tr w:rsidR="00E75FE1" w:rsidRPr="00E75FE1" w14:paraId="04EA3BDE" w14:textId="77777777" w:rsidTr="00375FAF">
        <w:trPr>
          <w:trHeight w:val="578"/>
          <w:jc w:val="center"/>
        </w:trPr>
        <w:tc>
          <w:tcPr>
            <w:tcW w:w="1422" w:type="dxa"/>
            <w:vMerge/>
            <w:vAlign w:val="center"/>
          </w:tcPr>
          <w:p w14:paraId="352B48E3" w14:textId="77777777" w:rsidR="00E75FE1" w:rsidRPr="00E75FE1" w:rsidRDefault="00E75FE1" w:rsidP="00E75FE1">
            <w:pPr>
              <w:spacing w:line="440" w:lineRule="exact"/>
              <w:rPr>
                <w:rFonts w:ascii="宋体" w:eastAsia="宋体" w:hAnsi="宋体" w:cs="Times New Roman"/>
                <w:b/>
                <w:sz w:val="24"/>
              </w:rPr>
            </w:pPr>
          </w:p>
        </w:tc>
        <w:tc>
          <w:tcPr>
            <w:tcW w:w="1452" w:type="dxa"/>
            <w:vAlign w:val="center"/>
          </w:tcPr>
          <w:p w14:paraId="58980AA6" w14:textId="77777777" w:rsidR="00E75FE1" w:rsidRPr="00E75FE1" w:rsidRDefault="00E75FE1" w:rsidP="00E75FE1">
            <w:pPr>
              <w:spacing w:line="440" w:lineRule="exact"/>
              <w:rPr>
                <w:rFonts w:ascii="宋体" w:eastAsia="宋体" w:hAnsi="宋体" w:cs="Times New Roman"/>
                <w:b/>
                <w:sz w:val="24"/>
              </w:rPr>
            </w:pPr>
            <w:r w:rsidRPr="00E75FE1">
              <w:rPr>
                <w:rFonts w:ascii="宋体" w:eastAsia="宋体" w:hAnsi="宋体" w:cs="Times New Roman" w:hint="eastAsia"/>
                <w:b/>
                <w:sz w:val="24"/>
              </w:rPr>
              <w:t>课堂表现</w:t>
            </w:r>
          </w:p>
        </w:tc>
        <w:tc>
          <w:tcPr>
            <w:tcW w:w="1559" w:type="dxa"/>
            <w:vAlign w:val="center"/>
          </w:tcPr>
          <w:p w14:paraId="5BDD6881" w14:textId="77777777" w:rsidR="00E75FE1" w:rsidRPr="00E75FE1" w:rsidRDefault="00E75FE1" w:rsidP="00E75FE1">
            <w:pPr>
              <w:spacing w:line="440" w:lineRule="exact"/>
              <w:rPr>
                <w:rFonts w:ascii="宋体" w:eastAsia="宋体" w:hAnsi="宋体" w:cs="Times New Roman"/>
                <w:b/>
                <w:sz w:val="24"/>
              </w:rPr>
            </w:pPr>
            <w:r w:rsidRPr="00E75FE1">
              <w:rPr>
                <w:rFonts w:ascii="宋体" w:eastAsia="宋体" w:hAnsi="宋体" w:cs="Times New Roman" w:hint="eastAsia"/>
                <w:b/>
                <w:sz w:val="24"/>
              </w:rPr>
              <w:t>阶段测试</w:t>
            </w:r>
          </w:p>
        </w:tc>
        <w:tc>
          <w:tcPr>
            <w:tcW w:w="1701" w:type="dxa"/>
            <w:vAlign w:val="center"/>
          </w:tcPr>
          <w:p w14:paraId="57FF13C6" w14:textId="77777777" w:rsidR="00E75FE1" w:rsidRPr="00E75FE1" w:rsidRDefault="00E75FE1" w:rsidP="00E75FE1">
            <w:pPr>
              <w:spacing w:line="440" w:lineRule="exact"/>
              <w:rPr>
                <w:rFonts w:ascii="宋体" w:eastAsia="宋体" w:hAnsi="宋体" w:cs="Times New Roman"/>
                <w:b/>
                <w:sz w:val="24"/>
              </w:rPr>
            </w:pPr>
            <w:r w:rsidRPr="00E75FE1">
              <w:rPr>
                <w:rFonts w:ascii="宋体" w:eastAsia="宋体" w:hAnsi="宋体" w:cs="Times New Roman" w:hint="eastAsia"/>
                <w:b/>
                <w:sz w:val="24"/>
              </w:rPr>
              <w:t>课程论文</w:t>
            </w:r>
          </w:p>
        </w:tc>
        <w:tc>
          <w:tcPr>
            <w:tcW w:w="1559" w:type="dxa"/>
            <w:vAlign w:val="center"/>
          </w:tcPr>
          <w:p w14:paraId="6FA676E2" w14:textId="77777777" w:rsidR="00E75FE1" w:rsidRPr="00E75FE1" w:rsidRDefault="00E75FE1" w:rsidP="00E75FE1">
            <w:pPr>
              <w:spacing w:line="440" w:lineRule="exact"/>
              <w:rPr>
                <w:rFonts w:ascii="宋体" w:eastAsia="宋体" w:hAnsi="宋体" w:cs="Times New Roman"/>
                <w:b/>
                <w:sz w:val="24"/>
              </w:rPr>
            </w:pPr>
            <w:r w:rsidRPr="00E75FE1">
              <w:rPr>
                <w:rFonts w:ascii="宋体" w:eastAsia="宋体" w:hAnsi="宋体" w:cs="Times New Roman" w:hint="eastAsia"/>
                <w:b/>
                <w:sz w:val="24"/>
              </w:rPr>
              <w:t>期末考试</w:t>
            </w:r>
          </w:p>
        </w:tc>
        <w:tc>
          <w:tcPr>
            <w:tcW w:w="1559" w:type="dxa"/>
            <w:vMerge/>
          </w:tcPr>
          <w:p w14:paraId="602BA1C7" w14:textId="77777777" w:rsidR="00E75FE1" w:rsidRPr="00E75FE1" w:rsidRDefault="00E75FE1" w:rsidP="00E75FE1">
            <w:pPr>
              <w:spacing w:line="440" w:lineRule="exact"/>
              <w:rPr>
                <w:rFonts w:ascii="宋体" w:eastAsia="宋体" w:hAnsi="宋体" w:cs="Times New Roman"/>
                <w:b/>
                <w:sz w:val="24"/>
              </w:rPr>
            </w:pPr>
          </w:p>
        </w:tc>
      </w:tr>
      <w:tr w:rsidR="00E75FE1" w:rsidRPr="00E75FE1" w14:paraId="5425E9F8" w14:textId="77777777" w:rsidTr="00375FAF">
        <w:trPr>
          <w:jc w:val="center"/>
        </w:trPr>
        <w:tc>
          <w:tcPr>
            <w:tcW w:w="1422" w:type="dxa"/>
            <w:vAlign w:val="center"/>
          </w:tcPr>
          <w:p w14:paraId="29076EB2"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课程目标1</w:t>
            </w:r>
          </w:p>
        </w:tc>
        <w:tc>
          <w:tcPr>
            <w:tcW w:w="1452" w:type="dxa"/>
            <w:vAlign w:val="center"/>
          </w:tcPr>
          <w:p w14:paraId="1D2E5B3D"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5</w:t>
            </w:r>
          </w:p>
        </w:tc>
        <w:tc>
          <w:tcPr>
            <w:tcW w:w="1559" w:type="dxa"/>
            <w:vAlign w:val="center"/>
          </w:tcPr>
          <w:p w14:paraId="166EEBF5"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10</w:t>
            </w:r>
          </w:p>
        </w:tc>
        <w:tc>
          <w:tcPr>
            <w:tcW w:w="1701" w:type="dxa"/>
            <w:vAlign w:val="center"/>
          </w:tcPr>
          <w:p w14:paraId="385EE3B5" w14:textId="77777777" w:rsidR="00E75FE1" w:rsidRPr="00E75FE1" w:rsidRDefault="00E75FE1" w:rsidP="00E75FE1">
            <w:pPr>
              <w:spacing w:line="440" w:lineRule="exact"/>
              <w:rPr>
                <w:rFonts w:ascii="宋体" w:eastAsia="宋体" w:hAnsi="宋体" w:cs="Times New Roman"/>
                <w:bCs/>
                <w:sz w:val="24"/>
              </w:rPr>
            </w:pPr>
          </w:p>
        </w:tc>
        <w:tc>
          <w:tcPr>
            <w:tcW w:w="1559" w:type="dxa"/>
            <w:vAlign w:val="center"/>
          </w:tcPr>
          <w:p w14:paraId="2B525818"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20</w:t>
            </w:r>
          </w:p>
        </w:tc>
        <w:tc>
          <w:tcPr>
            <w:tcW w:w="1559" w:type="dxa"/>
          </w:tcPr>
          <w:p w14:paraId="110A532F"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35</w:t>
            </w:r>
          </w:p>
        </w:tc>
      </w:tr>
      <w:tr w:rsidR="00E75FE1" w:rsidRPr="00E75FE1" w14:paraId="1AFF5F70" w14:textId="77777777" w:rsidTr="00375FAF">
        <w:trPr>
          <w:jc w:val="center"/>
        </w:trPr>
        <w:tc>
          <w:tcPr>
            <w:tcW w:w="1422" w:type="dxa"/>
            <w:vAlign w:val="center"/>
          </w:tcPr>
          <w:p w14:paraId="4D8DBC44"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课程目标2</w:t>
            </w:r>
          </w:p>
        </w:tc>
        <w:tc>
          <w:tcPr>
            <w:tcW w:w="1452" w:type="dxa"/>
            <w:vAlign w:val="center"/>
          </w:tcPr>
          <w:p w14:paraId="517C4921"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10</w:t>
            </w:r>
          </w:p>
        </w:tc>
        <w:tc>
          <w:tcPr>
            <w:tcW w:w="1559" w:type="dxa"/>
            <w:vAlign w:val="center"/>
          </w:tcPr>
          <w:p w14:paraId="280E5B52"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10</w:t>
            </w:r>
          </w:p>
        </w:tc>
        <w:tc>
          <w:tcPr>
            <w:tcW w:w="1701" w:type="dxa"/>
            <w:vAlign w:val="center"/>
          </w:tcPr>
          <w:p w14:paraId="49D21495" w14:textId="77777777" w:rsidR="00E75FE1" w:rsidRPr="00E75FE1" w:rsidRDefault="00E75FE1" w:rsidP="00E75FE1">
            <w:pPr>
              <w:spacing w:line="440" w:lineRule="exact"/>
              <w:rPr>
                <w:rFonts w:ascii="宋体" w:eastAsia="宋体" w:hAnsi="宋体" w:cs="Times New Roman"/>
                <w:bCs/>
                <w:sz w:val="24"/>
              </w:rPr>
            </w:pPr>
          </w:p>
        </w:tc>
        <w:tc>
          <w:tcPr>
            <w:tcW w:w="1559" w:type="dxa"/>
            <w:vAlign w:val="center"/>
          </w:tcPr>
          <w:p w14:paraId="1B6C7006"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20</w:t>
            </w:r>
          </w:p>
        </w:tc>
        <w:tc>
          <w:tcPr>
            <w:tcW w:w="1559" w:type="dxa"/>
          </w:tcPr>
          <w:p w14:paraId="2A124C21"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40</w:t>
            </w:r>
          </w:p>
        </w:tc>
      </w:tr>
      <w:tr w:rsidR="00E75FE1" w:rsidRPr="00E75FE1" w14:paraId="5758E04C" w14:textId="77777777" w:rsidTr="00375FAF">
        <w:trPr>
          <w:jc w:val="center"/>
        </w:trPr>
        <w:tc>
          <w:tcPr>
            <w:tcW w:w="1422" w:type="dxa"/>
            <w:vAlign w:val="center"/>
          </w:tcPr>
          <w:p w14:paraId="51FD102C"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课程目标3</w:t>
            </w:r>
          </w:p>
        </w:tc>
        <w:tc>
          <w:tcPr>
            <w:tcW w:w="1452" w:type="dxa"/>
            <w:vAlign w:val="center"/>
          </w:tcPr>
          <w:p w14:paraId="74624292"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5</w:t>
            </w:r>
          </w:p>
        </w:tc>
        <w:tc>
          <w:tcPr>
            <w:tcW w:w="1559" w:type="dxa"/>
            <w:vAlign w:val="center"/>
          </w:tcPr>
          <w:p w14:paraId="78A0CC07"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10</w:t>
            </w:r>
          </w:p>
        </w:tc>
        <w:tc>
          <w:tcPr>
            <w:tcW w:w="1701" w:type="dxa"/>
            <w:vAlign w:val="center"/>
          </w:tcPr>
          <w:p w14:paraId="4BC02573" w14:textId="77777777" w:rsidR="00E75FE1" w:rsidRPr="00E75FE1" w:rsidRDefault="00E75FE1" w:rsidP="00E75FE1">
            <w:pPr>
              <w:spacing w:line="440" w:lineRule="exact"/>
              <w:rPr>
                <w:rFonts w:ascii="宋体" w:eastAsia="宋体" w:hAnsi="宋体" w:cs="Times New Roman"/>
                <w:bCs/>
                <w:sz w:val="24"/>
              </w:rPr>
            </w:pPr>
          </w:p>
        </w:tc>
        <w:tc>
          <w:tcPr>
            <w:tcW w:w="1559" w:type="dxa"/>
            <w:vAlign w:val="center"/>
          </w:tcPr>
          <w:p w14:paraId="25697ED3"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10</w:t>
            </w:r>
          </w:p>
        </w:tc>
        <w:tc>
          <w:tcPr>
            <w:tcW w:w="1559" w:type="dxa"/>
          </w:tcPr>
          <w:p w14:paraId="5B333A85"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25</w:t>
            </w:r>
          </w:p>
        </w:tc>
      </w:tr>
      <w:tr w:rsidR="00E75FE1" w:rsidRPr="00E75FE1" w14:paraId="7691CE61" w14:textId="77777777" w:rsidTr="00375FAF">
        <w:trPr>
          <w:jc w:val="center"/>
        </w:trPr>
        <w:tc>
          <w:tcPr>
            <w:tcW w:w="1422" w:type="dxa"/>
            <w:vAlign w:val="center"/>
          </w:tcPr>
          <w:p w14:paraId="07A1B79A"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合计</w:t>
            </w:r>
          </w:p>
        </w:tc>
        <w:tc>
          <w:tcPr>
            <w:tcW w:w="1452" w:type="dxa"/>
            <w:vAlign w:val="center"/>
          </w:tcPr>
          <w:p w14:paraId="620D4950"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20</w:t>
            </w:r>
          </w:p>
        </w:tc>
        <w:tc>
          <w:tcPr>
            <w:tcW w:w="1559" w:type="dxa"/>
            <w:vAlign w:val="center"/>
          </w:tcPr>
          <w:p w14:paraId="32C26F02"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30</w:t>
            </w:r>
          </w:p>
        </w:tc>
        <w:tc>
          <w:tcPr>
            <w:tcW w:w="1701" w:type="dxa"/>
            <w:vAlign w:val="center"/>
          </w:tcPr>
          <w:p w14:paraId="68297D9C" w14:textId="77777777" w:rsidR="00E75FE1" w:rsidRPr="00E75FE1" w:rsidRDefault="00E75FE1" w:rsidP="00E75FE1">
            <w:pPr>
              <w:spacing w:line="440" w:lineRule="exact"/>
              <w:rPr>
                <w:rFonts w:ascii="宋体" w:eastAsia="宋体" w:hAnsi="宋体" w:cs="Times New Roman"/>
                <w:bCs/>
                <w:sz w:val="24"/>
              </w:rPr>
            </w:pPr>
          </w:p>
        </w:tc>
        <w:tc>
          <w:tcPr>
            <w:tcW w:w="1559" w:type="dxa"/>
            <w:vAlign w:val="center"/>
          </w:tcPr>
          <w:p w14:paraId="1AC4BA5E"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50</w:t>
            </w:r>
          </w:p>
        </w:tc>
        <w:tc>
          <w:tcPr>
            <w:tcW w:w="1559" w:type="dxa"/>
          </w:tcPr>
          <w:p w14:paraId="082E62D2"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1</w:t>
            </w:r>
            <w:r w:rsidRPr="00E75FE1">
              <w:rPr>
                <w:rFonts w:ascii="宋体" w:eastAsia="宋体" w:hAnsi="宋体" w:cs="Times New Roman"/>
                <w:bCs/>
                <w:sz w:val="24"/>
              </w:rPr>
              <w:t>00</w:t>
            </w:r>
          </w:p>
        </w:tc>
      </w:tr>
    </w:tbl>
    <w:p w14:paraId="52A75300" w14:textId="77777777" w:rsidR="00E75FE1" w:rsidRPr="00E75FE1" w:rsidRDefault="00E75FE1" w:rsidP="00E75FE1">
      <w:pPr>
        <w:spacing w:line="440" w:lineRule="exact"/>
        <w:ind w:firstLineChars="200" w:firstLine="480"/>
        <w:rPr>
          <w:rFonts w:ascii="宋体" w:eastAsia="宋体" w:hAnsi="宋体" w:cs="Times New Roman"/>
          <w:sz w:val="24"/>
        </w:rPr>
      </w:pPr>
    </w:p>
    <w:p w14:paraId="78281943" w14:textId="77777777" w:rsidR="00E75FE1" w:rsidRPr="00E75FE1" w:rsidRDefault="00E75FE1" w:rsidP="00C63ECC">
      <w:pPr>
        <w:pStyle w:val="afc"/>
      </w:pPr>
      <w:bookmarkStart w:id="64" w:name="_Toc2948"/>
      <w:r w:rsidRPr="00E75FE1">
        <w:rPr>
          <w:rFonts w:hint="eastAsia"/>
        </w:rPr>
        <w:t>五、成绩评定</w:t>
      </w:r>
      <w:bookmarkEnd w:id="64"/>
    </w:p>
    <w:p w14:paraId="355E1F9E"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（一）总成绩评定</w:t>
      </w:r>
    </w:p>
    <w:p w14:paraId="76EFC909"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总成绩=平时成绩×20%+期中成绩×30%+期末成绩×50%</w:t>
      </w:r>
    </w:p>
    <w:p w14:paraId="680059E6"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lastRenderedPageBreak/>
        <w:t>备注：每学期总成绩</w:t>
      </w:r>
    </w:p>
    <w:p w14:paraId="7085C1AA" w14:textId="77777777" w:rsidR="00E75FE1" w:rsidRPr="00E75FE1" w:rsidRDefault="00E75FE1" w:rsidP="00E75FE1">
      <w:pPr>
        <w:spacing w:beforeLines="50" w:before="156" w:afterLines="50" w:after="156" w:line="440" w:lineRule="exact"/>
        <w:ind w:firstLineChars="200" w:firstLine="560"/>
        <w:rPr>
          <w:rFonts w:ascii="宋体" w:eastAsia="宋体" w:hAnsi="宋体" w:cs="Times New Roman"/>
          <w:sz w:val="24"/>
        </w:rPr>
      </w:pPr>
      <w:r w:rsidRPr="00E75FE1">
        <w:rPr>
          <w:rFonts w:ascii="黑体" w:eastAsia="黑体" w:hAnsi="黑体" w:cs="Times New Roman" w:hint="eastAsia"/>
          <w:sz w:val="28"/>
          <w:szCs w:val="28"/>
        </w:rPr>
        <w:t>（二）平时成绩评定</w:t>
      </w:r>
    </w:p>
    <w:p w14:paraId="5663934A"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（1）课堂表现：通过学生在课堂上的表现情况、发言与主体参与和练习情况，来评价学生相关的能力。</w:t>
      </w:r>
    </w:p>
    <w:p w14:paraId="45165387"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（2）作业完成情况：围绕课程的学习目标进行作业的设计。如让学生简述对知识的认识，建议</w:t>
      </w:r>
      <w:proofErr w:type="gramStart"/>
      <w:r w:rsidRPr="00E75FE1">
        <w:rPr>
          <w:rFonts w:ascii="宋体" w:eastAsia="宋体" w:hAnsi="宋体" w:cs="Times New Roman" w:hint="eastAsia"/>
          <w:sz w:val="24"/>
        </w:rPr>
        <w:t>带准备</w:t>
      </w:r>
      <w:proofErr w:type="gramEnd"/>
      <w:r w:rsidRPr="00E75FE1">
        <w:rPr>
          <w:rFonts w:ascii="宋体" w:eastAsia="宋体" w:hAnsi="宋体" w:cs="Times New Roman" w:hint="eastAsia"/>
          <w:sz w:val="24"/>
        </w:rPr>
        <w:t>部分和基本部分中的复习内容，帮助学生将定义转化为自己的理解。学生在小组合作学习中测验掌握课程的情况</w:t>
      </w:r>
    </w:p>
    <w:p w14:paraId="048F2D20"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（3）课堂考勤：留存辅导员开具的事假条、校医院开具的病假条。缺课达到本学期三分之一课时，按照考试无资格处理。</w:t>
      </w:r>
    </w:p>
    <w:p w14:paraId="03C2D841"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（三）期中、期末成绩评定</w:t>
      </w:r>
    </w:p>
    <w:p w14:paraId="64EEEEDB"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第一学期</w:t>
      </w:r>
    </w:p>
    <w:p w14:paraId="3D4E3F12" w14:textId="77777777" w:rsidR="00E75FE1" w:rsidRPr="00E75FE1" w:rsidRDefault="00E75FE1" w:rsidP="00E75FE1">
      <w:pPr>
        <w:adjustRightInd w:val="0"/>
        <w:snapToGrid w:val="0"/>
        <w:spacing w:line="500" w:lineRule="exact"/>
        <w:jc w:val="center"/>
        <w:rPr>
          <w:rFonts w:ascii="宋体" w:eastAsia="宋体" w:hAnsi="Calibri" w:cs="Times New Roman"/>
          <w:b/>
          <w:bCs/>
          <w:kern w:val="0"/>
          <w:sz w:val="24"/>
        </w:rPr>
      </w:pPr>
      <w:r w:rsidRPr="00E75FE1">
        <w:rPr>
          <w:rFonts w:ascii="宋体" w:eastAsia="宋体" w:hAnsi="Calibri" w:cs="Times New Roman" w:hint="eastAsia"/>
          <w:b/>
          <w:bCs/>
          <w:kern w:val="0"/>
          <w:sz w:val="24"/>
        </w:rPr>
        <w:t>期中考试</w:t>
      </w:r>
    </w:p>
    <w:p w14:paraId="7DD66483" w14:textId="77777777" w:rsidR="00E75FE1" w:rsidRPr="00E75FE1" w:rsidRDefault="00E75FE1" w:rsidP="00E75FE1">
      <w:pPr>
        <w:adjustRightInd w:val="0"/>
        <w:snapToGrid w:val="0"/>
        <w:spacing w:line="500" w:lineRule="exact"/>
        <w:rPr>
          <w:rFonts w:ascii="宋体" w:eastAsia="宋体" w:hAnsi="Calibri" w:cs="Times New Roman"/>
          <w:bCs/>
          <w:kern w:val="0"/>
          <w:sz w:val="24"/>
        </w:rPr>
      </w:pPr>
      <w:r w:rsidRPr="00E75FE1">
        <w:rPr>
          <w:rFonts w:ascii="宋体" w:eastAsia="宋体" w:hAnsi="Calibri" w:cs="Times New Roman" w:hint="eastAsia"/>
          <w:b/>
          <w:kern w:val="0"/>
          <w:sz w:val="24"/>
        </w:rPr>
        <w:t>1.课程考核目标:</w:t>
      </w:r>
      <w:r w:rsidRPr="00E75FE1">
        <w:rPr>
          <w:rFonts w:ascii="宋体" w:eastAsia="宋体" w:hAnsi="Calibri" w:cs="Times New Roman" w:hint="eastAsia"/>
          <w:bCs/>
          <w:kern w:val="0"/>
          <w:sz w:val="24"/>
        </w:rPr>
        <w:t>通过考核检验体能训练教学效果和学生掌握情况，让学生了解体质健康标准测验的重要性。</w:t>
      </w:r>
    </w:p>
    <w:p w14:paraId="24DAE0AA"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2.课程考核的内容：</w:t>
      </w:r>
      <w:r w:rsidRPr="00E75FE1">
        <w:rPr>
          <w:rFonts w:ascii="宋体" w:eastAsia="宋体" w:hAnsi="Calibri" w:cs="Times New Roman" w:hint="eastAsia"/>
          <w:bCs/>
          <w:kern w:val="0"/>
          <w:sz w:val="24"/>
        </w:rPr>
        <w:t>立定跳远。</w:t>
      </w:r>
    </w:p>
    <w:p w14:paraId="7BE9A2F6"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3.课程考核方式：</w:t>
      </w:r>
      <w:r w:rsidRPr="00E75FE1">
        <w:rPr>
          <w:rFonts w:ascii="宋体" w:eastAsia="宋体" w:hAnsi="Calibri" w:cs="Times New Roman" w:hint="eastAsia"/>
          <w:bCs/>
          <w:kern w:val="0"/>
          <w:sz w:val="24"/>
        </w:rPr>
        <w:t>沙坑场地，每人跳两次，取最好成绩。</w:t>
      </w:r>
    </w:p>
    <w:p w14:paraId="4D1DA2F7"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4.成绩构成及分值：</w:t>
      </w:r>
      <w:r w:rsidRPr="00E75FE1">
        <w:rPr>
          <w:rFonts w:ascii="宋体" w:eastAsia="宋体" w:hAnsi="Calibri" w:cs="Times New Roman" w:hint="eastAsia"/>
          <w:bCs/>
          <w:kern w:val="0"/>
          <w:sz w:val="24"/>
        </w:rPr>
        <w:t>数量及技术评定分值各为100分，各占总分值的20%，</w:t>
      </w:r>
    </w:p>
    <w:p w14:paraId="0501B148" w14:textId="77777777" w:rsidR="00E75FE1" w:rsidRPr="002E4147"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Cs/>
          <w:kern w:val="0"/>
          <w:sz w:val="24"/>
        </w:rPr>
        <w:t>总分值为100分。</w:t>
      </w:r>
    </w:p>
    <w:p w14:paraId="2CFAB893" w14:textId="77777777" w:rsidR="00E75FE1" w:rsidRPr="00E75FE1" w:rsidRDefault="00E75FE1" w:rsidP="00E75FE1">
      <w:pPr>
        <w:adjustRightInd w:val="0"/>
        <w:snapToGrid w:val="0"/>
        <w:spacing w:line="500" w:lineRule="exact"/>
        <w:jc w:val="left"/>
        <w:rPr>
          <w:rFonts w:ascii="宋体" w:eastAsia="宋体" w:hAnsi="Calibri" w:cs="Times New Roman"/>
          <w:b/>
          <w:kern w:val="0"/>
          <w:sz w:val="24"/>
        </w:rPr>
      </w:pPr>
    </w:p>
    <w:p w14:paraId="2987B9B1" w14:textId="77777777" w:rsidR="00E75FE1" w:rsidRPr="00E75FE1" w:rsidRDefault="00E75FE1" w:rsidP="00E75FE1">
      <w:pPr>
        <w:adjustRightInd w:val="0"/>
        <w:snapToGrid w:val="0"/>
        <w:spacing w:line="500" w:lineRule="exact"/>
        <w:jc w:val="left"/>
        <w:rPr>
          <w:rFonts w:ascii="宋体" w:eastAsia="宋体" w:hAnsi="Calibri" w:cs="Times New Roman"/>
          <w:b/>
          <w:kern w:val="0"/>
          <w:sz w:val="24"/>
        </w:rPr>
      </w:pPr>
    </w:p>
    <w:p w14:paraId="56EB906B" w14:textId="77777777" w:rsidR="00E75FE1" w:rsidRPr="00E75FE1" w:rsidRDefault="00E75FE1" w:rsidP="00E75FE1">
      <w:pPr>
        <w:adjustRightInd w:val="0"/>
        <w:snapToGrid w:val="0"/>
        <w:spacing w:line="500" w:lineRule="exact"/>
        <w:jc w:val="left"/>
        <w:rPr>
          <w:rFonts w:ascii="宋体" w:eastAsia="宋体" w:hAnsi="Calibri" w:cs="Times New Roman"/>
          <w:b/>
          <w:kern w:val="0"/>
          <w:sz w:val="24"/>
        </w:rPr>
      </w:pPr>
      <w:r w:rsidRPr="00E75FE1">
        <w:rPr>
          <w:rFonts w:ascii="宋体" w:eastAsia="宋体" w:hAnsi="Calibri" w:cs="Times New Roman" w:hint="eastAsia"/>
          <w:b/>
          <w:kern w:val="0"/>
          <w:sz w:val="24"/>
        </w:rPr>
        <w:t>5.评分记分原则：</w:t>
      </w:r>
    </w:p>
    <w:p w14:paraId="26103FE6"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E75FE1" w:rsidRPr="00E75FE1" w14:paraId="739A8F07" w14:textId="77777777" w:rsidTr="00375FAF">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8702B07"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622F8887"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4958CD7"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大</w:t>
            </w:r>
            <w:proofErr w:type="gramStart"/>
            <w:r w:rsidRPr="00E75FE1">
              <w:rPr>
                <w:rFonts w:ascii="宋体" w:eastAsia="宋体" w:hAnsi="宋体" w:cs="宋体" w:hint="eastAsia"/>
                <w:b/>
                <w:kern w:val="0"/>
                <w:sz w:val="24"/>
                <w:lang w:bidi="ar"/>
              </w:rPr>
              <w:t>一</w:t>
            </w:r>
            <w:proofErr w:type="gramEnd"/>
            <w:r w:rsidRPr="00E75FE1">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0849003B"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大</w:t>
            </w:r>
            <w:proofErr w:type="gramStart"/>
            <w:r w:rsidRPr="00E75FE1">
              <w:rPr>
                <w:rFonts w:ascii="宋体" w:eastAsia="宋体" w:hAnsi="宋体" w:cs="宋体" w:hint="eastAsia"/>
                <w:b/>
                <w:kern w:val="0"/>
                <w:sz w:val="24"/>
                <w:lang w:bidi="ar"/>
              </w:rPr>
              <w:t>一</w:t>
            </w:r>
            <w:proofErr w:type="gramEnd"/>
            <w:r w:rsidRPr="00E75FE1">
              <w:rPr>
                <w:rFonts w:ascii="宋体" w:eastAsia="宋体" w:hAnsi="宋体" w:cs="宋体" w:hint="eastAsia"/>
                <w:b/>
                <w:kern w:val="0"/>
                <w:sz w:val="24"/>
                <w:lang w:bidi="ar"/>
              </w:rPr>
              <w:t>女生</w:t>
            </w:r>
          </w:p>
        </w:tc>
      </w:tr>
      <w:tr w:rsidR="00E75FE1" w:rsidRPr="00E75FE1" w14:paraId="06145AD9" w14:textId="77777777" w:rsidTr="00375FAF">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B6DF735"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4B162E1"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742B152C" w14:textId="77777777" w:rsidR="00E75FE1" w:rsidRPr="00E75FE1" w:rsidRDefault="00E75FE1" w:rsidP="00E75FE1">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33D8251B" w14:textId="77777777" w:rsidR="00E75FE1" w:rsidRPr="00E75FE1" w:rsidRDefault="00E75FE1" w:rsidP="00E75FE1">
            <w:pPr>
              <w:jc w:val="center"/>
              <w:rPr>
                <w:rFonts w:ascii="宋体" w:eastAsia="宋体" w:hAnsi="宋体" w:cs="宋体"/>
                <w:b/>
                <w:sz w:val="24"/>
              </w:rPr>
            </w:pPr>
          </w:p>
        </w:tc>
      </w:tr>
      <w:tr w:rsidR="00E75FE1" w:rsidRPr="00E75FE1" w14:paraId="4F04B772"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5EDE8BC"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23064D17"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43C82833"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70BAF2E2"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207</w:t>
            </w:r>
          </w:p>
        </w:tc>
      </w:tr>
      <w:tr w:rsidR="00E75FE1" w:rsidRPr="00E75FE1" w14:paraId="69BA064D"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2FE6743"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4CC1675"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54866B49"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43CEA5C3"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201</w:t>
            </w:r>
          </w:p>
        </w:tc>
      </w:tr>
      <w:tr w:rsidR="00E75FE1" w:rsidRPr="00E75FE1" w14:paraId="6D844AD0"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090975C"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60B60AA"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D883518"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D69C3AB"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195</w:t>
            </w:r>
          </w:p>
        </w:tc>
      </w:tr>
      <w:tr w:rsidR="00E75FE1" w:rsidRPr="00E75FE1" w14:paraId="38C2226B"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73709A6"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6579D0FC"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0D534FC8"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50286547"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188</w:t>
            </w:r>
          </w:p>
        </w:tc>
      </w:tr>
      <w:tr w:rsidR="00E75FE1" w:rsidRPr="00E75FE1" w14:paraId="3E5F8ABC"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AAF439B"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0C157E5"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455A3B7"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4766DD0"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181</w:t>
            </w:r>
          </w:p>
        </w:tc>
      </w:tr>
      <w:tr w:rsidR="00E75FE1" w:rsidRPr="00E75FE1" w14:paraId="03424F1B"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25A1909"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057F626A"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02EF1E9B"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2A75C639"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178</w:t>
            </w:r>
          </w:p>
        </w:tc>
      </w:tr>
      <w:tr w:rsidR="00E75FE1" w:rsidRPr="00E75FE1" w14:paraId="6C7C6DB5"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1E1737C"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1182A1F"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7714E271"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773FFA90"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175</w:t>
            </w:r>
          </w:p>
        </w:tc>
      </w:tr>
      <w:tr w:rsidR="00E75FE1" w:rsidRPr="00E75FE1" w14:paraId="781475D6"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C899B48"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61713F7"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7E65B97A"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1F8979DA"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172</w:t>
            </w:r>
          </w:p>
        </w:tc>
      </w:tr>
      <w:tr w:rsidR="00E75FE1" w:rsidRPr="00E75FE1" w14:paraId="7D47890E"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3F9842F"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50D936"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76A9DA29"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6D234629"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169</w:t>
            </w:r>
          </w:p>
        </w:tc>
      </w:tr>
      <w:tr w:rsidR="00E75FE1" w:rsidRPr="00E75FE1" w14:paraId="6109A142"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C61C929"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E6EF31A"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5170F1AE"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74F473C1"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166</w:t>
            </w:r>
          </w:p>
        </w:tc>
      </w:tr>
      <w:tr w:rsidR="00E75FE1" w:rsidRPr="00E75FE1" w14:paraId="2A112548"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97C3B6A"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E003490"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28ED5719"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34332B4E"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163</w:t>
            </w:r>
          </w:p>
        </w:tc>
      </w:tr>
      <w:tr w:rsidR="00E75FE1" w:rsidRPr="00E75FE1" w14:paraId="0C92F26D"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ECFFBBE"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BF997E4"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7144E702"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7B5F281E"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160</w:t>
            </w:r>
          </w:p>
        </w:tc>
      </w:tr>
      <w:tr w:rsidR="00E75FE1" w:rsidRPr="00E75FE1" w14:paraId="3D4A290C"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C6AE5E2"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C020856"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6506A12F"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4A626F06"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157</w:t>
            </w:r>
          </w:p>
        </w:tc>
      </w:tr>
      <w:tr w:rsidR="00E75FE1" w:rsidRPr="00E75FE1" w14:paraId="58BE1320"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1159277"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3A0C8A8"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1A3E9E50"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6F4C2F43"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154</w:t>
            </w:r>
          </w:p>
        </w:tc>
      </w:tr>
      <w:tr w:rsidR="00E75FE1" w:rsidRPr="00E75FE1" w14:paraId="33030EB2"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EF0A126"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062DF35"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C19DB22"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6F869E3"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151</w:t>
            </w:r>
          </w:p>
        </w:tc>
      </w:tr>
      <w:tr w:rsidR="00E75FE1" w:rsidRPr="00E75FE1" w14:paraId="5DEFDD5D"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757856E"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13A67A5F"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74B144D5"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4FAA93AB"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146</w:t>
            </w:r>
          </w:p>
        </w:tc>
      </w:tr>
      <w:tr w:rsidR="00E75FE1" w:rsidRPr="00E75FE1" w14:paraId="47AB553D"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60C153F"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897F146"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680FC6AB"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40458FD3"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141</w:t>
            </w:r>
          </w:p>
        </w:tc>
      </w:tr>
      <w:tr w:rsidR="00E75FE1" w:rsidRPr="00E75FE1" w14:paraId="28FF6171"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2F1D8DC"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3191F46"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55D1B8D7"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69ACE5F9"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136</w:t>
            </w:r>
          </w:p>
        </w:tc>
      </w:tr>
      <w:tr w:rsidR="00E75FE1" w:rsidRPr="00E75FE1" w14:paraId="633E786F"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849F9AD"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8FC4294"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009314B7"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258E6827"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131</w:t>
            </w:r>
          </w:p>
        </w:tc>
      </w:tr>
      <w:tr w:rsidR="00E75FE1" w:rsidRPr="00E75FE1" w14:paraId="59DC2F10"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E9F1E9D"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9665EED"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17548789"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20E059A7"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126</w:t>
            </w:r>
          </w:p>
        </w:tc>
      </w:tr>
    </w:tbl>
    <w:p w14:paraId="6F065905" w14:textId="77777777" w:rsidR="00E75FE1" w:rsidRDefault="00E75FE1" w:rsidP="00E75FE1">
      <w:pPr>
        <w:adjustRightInd w:val="0"/>
        <w:snapToGrid w:val="0"/>
        <w:spacing w:line="500" w:lineRule="exact"/>
        <w:jc w:val="left"/>
        <w:rPr>
          <w:rFonts w:ascii="宋体" w:eastAsia="宋体" w:hAnsi="Calibri" w:cs="Times New Roman"/>
          <w:bCs/>
          <w:kern w:val="0"/>
          <w:sz w:val="24"/>
        </w:rPr>
      </w:pPr>
    </w:p>
    <w:p w14:paraId="6191F758" w14:textId="77777777" w:rsidR="002E4147" w:rsidRPr="00E75FE1" w:rsidRDefault="002E4147" w:rsidP="00E75FE1">
      <w:pPr>
        <w:adjustRightInd w:val="0"/>
        <w:snapToGrid w:val="0"/>
        <w:spacing w:line="500" w:lineRule="exact"/>
        <w:jc w:val="left"/>
        <w:rPr>
          <w:rFonts w:ascii="宋体" w:eastAsia="宋体" w:hAnsi="Calibri" w:cs="Times New Roman"/>
          <w:bCs/>
          <w:kern w:val="0"/>
          <w:sz w:val="24"/>
        </w:rPr>
      </w:pPr>
    </w:p>
    <w:p w14:paraId="37CAE5C7" w14:textId="77777777" w:rsidR="00E75FE1" w:rsidRPr="00E75FE1" w:rsidRDefault="00E75FE1" w:rsidP="00E75FE1">
      <w:pPr>
        <w:adjustRightInd w:val="0"/>
        <w:snapToGrid w:val="0"/>
        <w:spacing w:line="500" w:lineRule="exact"/>
        <w:jc w:val="center"/>
        <w:rPr>
          <w:rFonts w:ascii="宋体" w:eastAsia="宋体" w:hAnsi="Calibri" w:cs="Times New Roman"/>
          <w:b/>
          <w:bCs/>
          <w:kern w:val="0"/>
          <w:sz w:val="24"/>
        </w:rPr>
      </w:pPr>
      <w:r w:rsidRPr="00E75FE1">
        <w:rPr>
          <w:rFonts w:ascii="宋体" w:eastAsia="宋体" w:hAnsi="Calibri" w:cs="Times New Roman" w:hint="eastAsia"/>
          <w:b/>
          <w:bCs/>
          <w:kern w:val="0"/>
          <w:sz w:val="24"/>
        </w:rPr>
        <w:t>期末考试</w:t>
      </w:r>
    </w:p>
    <w:p w14:paraId="7DDDD1F7" w14:textId="77777777" w:rsidR="00E75FE1" w:rsidRPr="00E75FE1" w:rsidRDefault="00E75FE1" w:rsidP="00E75FE1">
      <w:pPr>
        <w:adjustRightInd w:val="0"/>
        <w:snapToGrid w:val="0"/>
        <w:spacing w:line="500" w:lineRule="exact"/>
        <w:rPr>
          <w:rFonts w:ascii="宋体" w:eastAsia="宋体" w:hAnsi="Calibri" w:cs="Times New Roman"/>
          <w:bCs/>
          <w:kern w:val="0"/>
          <w:sz w:val="24"/>
        </w:rPr>
      </w:pPr>
      <w:r w:rsidRPr="00E75FE1">
        <w:rPr>
          <w:rFonts w:ascii="宋体" w:eastAsia="宋体" w:hAnsi="Calibri" w:cs="Times New Roman" w:hint="eastAsia"/>
          <w:b/>
          <w:kern w:val="0"/>
          <w:sz w:val="24"/>
        </w:rPr>
        <w:t>1.课程考核目标:</w:t>
      </w:r>
      <w:r w:rsidRPr="00E75FE1">
        <w:rPr>
          <w:rFonts w:ascii="宋体" w:eastAsia="宋体" w:hAnsi="Calibri" w:cs="Times New Roman" w:hint="eastAsia"/>
          <w:bCs/>
          <w:kern w:val="0"/>
          <w:sz w:val="24"/>
        </w:rPr>
        <w:t>通过考核</w:t>
      </w:r>
      <w:proofErr w:type="gramStart"/>
      <w:r w:rsidRPr="00E75FE1">
        <w:rPr>
          <w:rFonts w:ascii="宋体" w:eastAsia="宋体" w:hAnsi="Calibri" w:cs="Times New Roman" w:hint="eastAsia"/>
          <w:bCs/>
          <w:kern w:val="0"/>
          <w:sz w:val="24"/>
        </w:rPr>
        <w:t>检验</w:t>
      </w:r>
      <w:r w:rsidRPr="00E75FE1">
        <w:rPr>
          <w:rFonts w:ascii="Calibri" w:eastAsia="宋体" w:hAnsi="Calibri" w:cs="Times New Roman" w:hint="eastAsia"/>
          <w:sz w:val="24"/>
        </w:rPr>
        <w:t>自</w:t>
      </w:r>
      <w:proofErr w:type="gramEnd"/>
      <w:r w:rsidRPr="00E75FE1">
        <w:rPr>
          <w:rFonts w:ascii="Calibri" w:eastAsia="宋体" w:hAnsi="Calibri" w:cs="Times New Roman" w:hint="eastAsia"/>
          <w:sz w:val="24"/>
        </w:rPr>
        <w:t>垫球</w:t>
      </w:r>
      <w:r w:rsidRPr="00E75FE1">
        <w:rPr>
          <w:rFonts w:ascii="宋体" w:eastAsia="宋体" w:hAnsi="Calibri" w:cs="Times New Roman" w:hint="eastAsia"/>
          <w:bCs/>
          <w:kern w:val="0"/>
          <w:sz w:val="24"/>
        </w:rPr>
        <w:t>教学效果和学生掌握情况，让学生了解</w:t>
      </w:r>
      <w:r w:rsidRPr="00E75FE1">
        <w:rPr>
          <w:rFonts w:ascii="Calibri" w:eastAsia="宋体" w:hAnsi="Calibri" w:cs="Times New Roman" w:hint="eastAsia"/>
          <w:sz w:val="24"/>
        </w:rPr>
        <w:t>自垫球</w:t>
      </w:r>
      <w:r w:rsidRPr="00E75FE1">
        <w:rPr>
          <w:rFonts w:ascii="宋体" w:eastAsia="宋体" w:hAnsi="Calibri" w:cs="Times New Roman" w:hint="eastAsia"/>
          <w:bCs/>
          <w:kern w:val="0"/>
          <w:sz w:val="24"/>
        </w:rPr>
        <w:t>的重要性。</w:t>
      </w:r>
    </w:p>
    <w:p w14:paraId="41CCE64B"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2.课程考核的内容：</w:t>
      </w:r>
      <w:r w:rsidRPr="00E75FE1">
        <w:rPr>
          <w:rFonts w:ascii="Calibri" w:eastAsia="宋体" w:hAnsi="Calibri" w:cs="Times New Roman" w:hint="eastAsia"/>
          <w:sz w:val="24"/>
        </w:rPr>
        <w:t>自垫球</w:t>
      </w:r>
      <w:r w:rsidRPr="00E75FE1">
        <w:rPr>
          <w:rFonts w:ascii="宋体" w:eastAsia="宋体" w:hAnsi="Calibri" w:cs="Times New Roman" w:hint="eastAsia"/>
          <w:bCs/>
          <w:kern w:val="0"/>
          <w:sz w:val="24"/>
        </w:rPr>
        <w:t>。</w:t>
      </w:r>
    </w:p>
    <w:p w14:paraId="6CABA4EF"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3.课程考核方式：</w:t>
      </w:r>
      <w:r w:rsidRPr="00E75FE1">
        <w:rPr>
          <w:rFonts w:ascii="宋体" w:eastAsia="宋体" w:hAnsi="Calibri" w:cs="Times New Roman" w:hint="eastAsia"/>
          <w:bCs/>
          <w:kern w:val="0"/>
          <w:sz w:val="24"/>
        </w:rPr>
        <w:t>排球场地，每人连续垫三次，取最好成绩。</w:t>
      </w:r>
    </w:p>
    <w:p w14:paraId="0FE34EED"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4.成绩构成及分值：</w:t>
      </w:r>
      <w:r w:rsidRPr="00E75FE1">
        <w:rPr>
          <w:rFonts w:ascii="宋体" w:eastAsia="宋体" w:hAnsi="Calibri" w:cs="Times New Roman" w:hint="eastAsia"/>
          <w:bCs/>
          <w:kern w:val="0"/>
          <w:sz w:val="24"/>
        </w:rPr>
        <w:t>数量评价和技术评价分别按百分制计算，各占50%。</w:t>
      </w:r>
    </w:p>
    <w:p w14:paraId="1E57955E" w14:textId="77777777" w:rsidR="00E75FE1" w:rsidRPr="00E75FE1" w:rsidRDefault="00E75FE1" w:rsidP="00E75FE1">
      <w:pPr>
        <w:adjustRightInd w:val="0"/>
        <w:snapToGrid w:val="0"/>
        <w:spacing w:line="500" w:lineRule="exact"/>
        <w:jc w:val="left"/>
        <w:rPr>
          <w:rFonts w:ascii="宋体" w:eastAsia="宋体" w:hAnsi="Calibri" w:cs="Times New Roman"/>
          <w:b/>
          <w:kern w:val="0"/>
          <w:sz w:val="24"/>
        </w:rPr>
      </w:pPr>
      <w:r w:rsidRPr="00E75FE1">
        <w:rPr>
          <w:rFonts w:ascii="宋体" w:eastAsia="宋体" w:hAnsi="Calibri" w:cs="Times New Roman" w:hint="eastAsia"/>
          <w:b/>
          <w:kern w:val="0"/>
          <w:sz w:val="24"/>
        </w:rPr>
        <w:t>5.评分记分原则：</w:t>
      </w:r>
    </w:p>
    <w:p w14:paraId="210A04A0"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Cs/>
          <w:kern w:val="0"/>
          <w:sz w:val="24"/>
        </w:rPr>
        <w:t>自垫球</w:t>
      </w:r>
      <w:r w:rsidRPr="00E75FE1">
        <w:rPr>
          <w:rFonts w:ascii="宋体" w:eastAsia="宋体" w:hAnsi="Calibri" w:cs="Times New Roman"/>
          <w:bCs/>
          <w:kern w:val="0"/>
          <w:sz w:val="24"/>
        </w:rPr>
        <w:t>（数量及技术评定按百分制计算，各占总分值一半）</w:t>
      </w:r>
    </w:p>
    <w:p w14:paraId="186040EC"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bCs/>
          <w:kern w:val="0"/>
          <w:sz w:val="24"/>
        </w:rPr>
        <w:t>数量评价：</w:t>
      </w:r>
    </w:p>
    <w:p w14:paraId="3FA76C8F"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Cs/>
          <w:kern w:val="0"/>
          <w:sz w:val="24"/>
        </w:rPr>
        <w:t>1</w:t>
      </w:r>
      <w:r w:rsidRPr="00E75FE1">
        <w:rPr>
          <w:rFonts w:ascii="宋体" w:eastAsia="宋体" w:hAnsi="Calibri" w:cs="Times New Roman"/>
          <w:bCs/>
          <w:kern w:val="0"/>
          <w:sz w:val="24"/>
        </w:rPr>
        <w:t>0</w:t>
      </w:r>
      <w:r w:rsidRPr="00E75FE1">
        <w:rPr>
          <w:rFonts w:ascii="宋体" w:eastAsia="宋体" w:hAnsi="Calibri" w:cs="Times New Roman" w:hint="eastAsia"/>
          <w:bCs/>
          <w:kern w:val="0"/>
          <w:sz w:val="24"/>
        </w:rPr>
        <w:t>个为及格，5</w:t>
      </w:r>
      <w:r w:rsidRPr="00E75FE1">
        <w:rPr>
          <w:rFonts w:ascii="宋体" w:eastAsia="宋体" w:hAnsi="Calibri" w:cs="Times New Roman"/>
          <w:bCs/>
          <w:kern w:val="0"/>
          <w:sz w:val="24"/>
        </w:rPr>
        <w:t>0</w:t>
      </w:r>
      <w:r w:rsidRPr="00E75FE1">
        <w:rPr>
          <w:rFonts w:ascii="宋体" w:eastAsia="宋体" w:hAnsi="Calibri" w:cs="Times New Roman" w:hint="eastAsia"/>
          <w:bCs/>
          <w:kern w:val="0"/>
          <w:sz w:val="24"/>
        </w:rPr>
        <w:t>个为满分</w:t>
      </w:r>
      <w:r w:rsidRPr="00E75FE1">
        <w:rPr>
          <w:rFonts w:ascii="宋体" w:eastAsia="宋体" w:hAnsi="Calibri" w:cs="Times New Roman"/>
          <w:bCs/>
          <w:kern w:val="0"/>
          <w:sz w:val="24"/>
        </w:rPr>
        <w:t>；</w:t>
      </w:r>
      <w:r w:rsidRPr="00E75FE1">
        <w:rPr>
          <w:rFonts w:ascii="宋体" w:eastAsia="宋体" w:hAnsi="Calibri" w:cs="Times New Roman" w:hint="eastAsia"/>
          <w:bCs/>
          <w:kern w:val="0"/>
          <w:sz w:val="24"/>
        </w:rPr>
        <w:t>分值10</w:t>
      </w:r>
      <w:r w:rsidRPr="00E75FE1">
        <w:rPr>
          <w:rFonts w:ascii="宋体" w:eastAsia="宋体" w:hAnsi="Calibri" w:cs="Times New Roman"/>
          <w:bCs/>
          <w:kern w:val="0"/>
          <w:sz w:val="24"/>
        </w:rPr>
        <w:t>0</w:t>
      </w:r>
      <w:r w:rsidRPr="00E75FE1">
        <w:rPr>
          <w:rFonts w:ascii="宋体" w:eastAsia="宋体" w:hAnsi="Calibri" w:cs="Times New Roman" w:hint="eastAsia"/>
          <w:bCs/>
          <w:kern w:val="0"/>
          <w:sz w:val="24"/>
        </w:rPr>
        <w:t>分。</w:t>
      </w:r>
    </w:p>
    <w:p w14:paraId="14FC8717"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bCs/>
          <w:kern w:val="0"/>
          <w:sz w:val="24"/>
        </w:rPr>
        <w:t>技术评价：</w:t>
      </w:r>
    </w:p>
    <w:p w14:paraId="36D7285D" w14:textId="77777777" w:rsidR="00E75FE1" w:rsidRPr="00E75FE1" w:rsidRDefault="00E75FE1" w:rsidP="00E75FE1">
      <w:pPr>
        <w:adjustRightInd w:val="0"/>
        <w:snapToGrid w:val="0"/>
        <w:spacing w:line="500" w:lineRule="exact"/>
        <w:jc w:val="left"/>
        <w:rPr>
          <w:rFonts w:ascii="Calibri" w:eastAsia="宋体" w:hAnsi="Calibri" w:cs="Times New Roman"/>
          <w:sz w:val="24"/>
        </w:rPr>
      </w:pPr>
      <w:r w:rsidRPr="00E75FE1">
        <w:rPr>
          <w:rFonts w:ascii="宋体" w:eastAsia="宋体" w:hAnsi="Calibri" w:cs="Times New Roman" w:hint="eastAsia"/>
          <w:bCs/>
          <w:kern w:val="0"/>
          <w:sz w:val="24"/>
        </w:rPr>
        <w:t>技术分为</w:t>
      </w:r>
      <w:r w:rsidRPr="00E75FE1">
        <w:rPr>
          <w:rFonts w:ascii="宋体" w:eastAsia="宋体" w:hAnsi="Calibri" w:cs="Times New Roman"/>
          <w:bCs/>
          <w:kern w:val="0"/>
          <w:sz w:val="24"/>
        </w:rPr>
        <w:t>ABCDE</w:t>
      </w:r>
      <w:r w:rsidRPr="00E75FE1">
        <w:rPr>
          <w:rFonts w:ascii="宋体" w:eastAsia="宋体" w:hAnsi="Calibri" w:cs="Times New Roman" w:hint="eastAsia"/>
          <w:bCs/>
          <w:kern w:val="0"/>
          <w:sz w:val="24"/>
        </w:rPr>
        <w:t>共5档</w:t>
      </w:r>
      <w:r w:rsidRPr="00E75FE1">
        <w:rPr>
          <w:rFonts w:ascii="Calibri" w:eastAsia="宋体" w:hAnsi="Calibri"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E75FE1" w:rsidRPr="00E75FE1" w14:paraId="7B130DC4" w14:textId="77777777" w:rsidTr="00375FAF">
        <w:trPr>
          <w:jc w:val="center"/>
        </w:trPr>
        <w:tc>
          <w:tcPr>
            <w:tcW w:w="970" w:type="dxa"/>
          </w:tcPr>
          <w:p w14:paraId="77345BA9"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技术分</w:t>
            </w:r>
          </w:p>
        </w:tc>
        <w:tc>
          <w:tcPr>
            <w:tcW w:w="1183" w:type="dxa"/>
          </w:tcPr>
          <w:p w14:paraId="2EAD677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五级制</w:t>
            </w:r>
          </w:p>
        </w:tc>
        <w:tc>
          <w:tcPr>
            <w:tcW w:w="1341" w:type="dxa"/>
          </w:tcPr>
          <w:p w14:paraId="4D6730D9"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分值范围</w:t>
            </w:r>
          </w:p>
        </w:tc>
        <w:tc>
          <w:tcPr>
            <w:tcW w:w="3551" w:type="dxa"/>
          </w:tcPr>
          <w:p w14:paraId="0AC9CEE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备注</w:t>
            </w:r>
          </w:p>
        </w:tc>
      </w:tr>
      <w:tr w:rsidR="00E75FE1" w:rsidRPr="00E75FE1" w14:paraId="120E3783" w14:textId="77777777" w:rsidTr="00375FAF">
        <w:trPr>
          <w:jc w:val="center"/>
        </w:trPr>
        <w:tc>
          <w:tcPr>
            <w:tcW w:w="970" w:type="dxa"/>
          </w:tcPr>
          <w:p w14:paraId="25040B9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lastRenderedPageBreak/>
              <w:t>A</w:t>
            </w:r>
          </w:p>
        </w:tc>
        <w:tc>
          <w:tcPr>
            <w:tcW w:w="1183" w:type="dxa"/>
          </w:tcPr>
          <w:p w14:paraId="273D9592"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优秀</w:t>
            </w:r>
          </w:p>
        </w:tc>
        <w:tc>
          <w:tcPr>
            <w:tcW w:w="1341" w:type="dxa"/>
          </w:tcPr>
          <w:p w14:paraId="009FC33B"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90—99</w:t>
            </w:r>
          </w:p>
        </w:tc>
        <w:tc>
          <w:tcPr>
            <w:tcW w:w="3551" w:type="dxa"/>
          </w:tcPr>
          <w:p w14:paraId="0C1162F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姿势正确，动作优美、协调</w:t>
            </w:r>
          </w:p>
        </w:tc>
      </w:tr>
      <w:tr w:rsidR="00E75FE1" w:rsidRPr="00E75FE1" w14:paraId="0096182E" w14:textId="77777777" w:rsidTr="00375FAF">
        <w:trPr>
          <w:jc w:val="center"/>
        </w:trPr>
        <w:tc>
          <w:tcPr>
            <w:tcW w:w="970" w:type="dxa"/>
          </w:tcPr>
          <w:p w14:paraId="467447C9"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B</w:t>
            </w:r>
          </w:p>
        </w:tc>
        <w:tc>
          <w:tcPr>
            <w:tcW w:w="1183" w:type="dxa"/>
          </w:tcPr>
          <w:p w14:paraId="75F2CC2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良好</w:t>
            </w:r>
          </w:p>
        </w:tc>
        <w:tc>
          <w:tcPr>
            <w:tcW w:w="1341" w:type="dxa"/>
          </w:tcPr>
          <w:p w14:paraId="7E8E424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80—89</w:t>
            </w:r>
          </w:p>
        </w:tc>
        <w:tc>
          <w:tcPr>
            <w:tcW w:w="3551" w:type="dxa"/>
          </w:tcPr>
          <w:p w14:paraId="329105B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姿势较正确，动作自然</w:t>
            </w:r>
          </w:p>
        </w:tc>
      </w:tr>
      <w:tr w:rsidR="00E75FE1" w:rsidRPr="00E75FE1" w14:paraId="28CF2D6B" w14:textId="77777777" w:rsidTr="00375FAF">
        <w:trPr>
          <w:jc w:val="center"/>
        </w:trPr>
        <w:tc>
          <w:tcPr>
            <w:tcW w:w="970" w:type="dxa"/>
          </w:tcPr>
          <w:p w14:paraId="192A3B22"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C</w:t>
            </w:r>
          </w:p>
        </w:tc>
        <w:tc>
          <w:tcPr>
            <w:tcW w:w="1183" w:type="dxa"/>
          </w:tcPr>
          <w:p w14:paraId="042B5774"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中等</w:t>
            </w:r>
          </w:p>
        </w:tc>
        <w:tc>
          <w:tcPr>
            <w:tcW w:w="1341" w:type="dxa"/>
          </w:tcPr>
          <w:p w14:paraId="0DC6C2C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70—79</w:t>
            </w:r>
          </w:p>
        </w:tc>
        <w:tc>
          <w:tcPr>
            <w:tcW w:w="3551" w:type="dxa"/>
          </w:tcPr>
          <w:p w14:paraId="1D2B7FB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姿势一般，动作基本正确</w:t>
            </w:r>
          </w:p>
        </w:tc>
      </w:tr>
      <w:tr w:rsidR="00E75FE1" w:rsidRPr="00E75FE1" w14:paraId="43182A28" w14:textId="77777777" w:rsidTr="00375FAF">
        <w:trPr>
          <w:jc w:val="center"/>
        </w:trPr>
        <w:tc>
          <w:tcPr>
            <w:tcW w:w="970" w:type="dxa"/>
          </w:tcPr>
          <w:p w14:paraId="2F0E17D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D</w:t>
            </w:r>
          </w:p>
        </w:tc>
        <w:tc>
          <w:tcPr>
            <w:tcW w:w="1183" w:type="dxa"/>
          </w:tcPr>
          <w:p w14:paraId="4AB614A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及格</w:t>
            </w:r>
          </w:p>
        </w:tc>
        <w:tc>
          <w:tcPr>
            <w:tcW w:w="1341" w:type="dxa"/>
          </w:tcPr>
          <w:p w14:paraId="4643E017"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60—69</w:t>
            </w:r>
          </w:p>
        </w:tc>
        <w:tc>
          <w:tcPr>
            <w:tcW w:w="3551" w:type="dxa"/>
          </w:tcPr>
          <w:p w14:paraId="34F8AD2B"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动作不协调，有多余动作</w:t>
            </w:r>
          </w:p>
        </w:tc>
      </w:tr>
      <w:tr w:rsidR="00E75FE1" w:rsidRPr="00E75FE1" w14:paraId="720C3B22" w14:textId="77777777" w:rsidTr="00375FAF">
        <w:trPr>
          <w:jc w:val="center"/>
        </w:trPr>
        <w:tc>
          <w:tcPr>
            <w:tcW w:w="970" w:type="dxa"/>
          </w:tcPr>
          <w:p w14:paraId="11160AB7"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E</w:t>
            </w:r>
          </w:p>
        </w:tc>
        <w:tc>
          <w:tcPr>
            <w:tcW w:w="1183" w:type="dxa"/>
          </w:tcPr>
          <w:p w14:paraId="15A5BB37"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不及格</w:t>
            </w:r>
          </w:p>
        </w:tc>
        <w:tc>
          <w:tcPr>
            <w:tcW w:w="1341" w:type="dxa"/>
          </w:tcPr>
          <w:p w14:paraId="120BF151"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60以下</w:t>
            </w:r>
          </w:p>
        </w:tc>
        <w:tc>
          <w:tcPr>
            <w:tcW w:w="3551" w:type="dxa"/>
          </w:tcPr>
          <w:p w14:paraId="6F357D1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动作僵硬，吃力，不协调</w:t>
            </w:r>
          </w:p>
        </w:tc>
      </w:tr>
    </w:tbl>
    <w:p w14:paraId="5A4583A8"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 xml:space="preserve">第二学期                  </w:t>
      </w:r>
      <w:r w:rsidRPr="00E75FE1">
        <w:rPr>
          <w:rFonts w:ascii="宋体" w:eastAsia="宋体" w:hAnsi="Calibri" w:cs="Times New Roman" w:hint="eastAsia"/>
          <w:b/>
          <w:kern w:val="0"/>
          <w:sz w:val="24"/>
        </w:rPr>
        <w:t>期中考试</w:t>
      </w:r>
    </w:p>
    <w:p w14:paraId="37D8AB0F" w14:textId="77777777" w:rsidR="00E75FE1" w:rsidRPr="00E75FE1" w:rsidRDefault="00E75FE1" w:rsidP="00E75FE1">
      <w:pPr>
        <w:adjustRightInd w:val="0"/>
        <w:snapToGrid w:val="0"/>
        <w:spacing w:line="500" w:lineRule="exact"/>
        <w:rPr>
          <w:rFonts w:ascii="宋体" w:eastAsia="宋体" w:hAnsi="Calibri" w:cs="Times New Roman"/>
          <w:bCs/>
          <w:kern w:val="0"/>
          <w:sz w:val="24"/>
        </w:rPr>
      </w:pPr>
      <w:r w:rsidRPr="00E75FE1">
        <w:rPr>
          <w:rFonts w:ascii="宋体" w:eastAsia="宋体" w:hAnsi="Calibri" w:cs="Times New Roman" w:hint="eastAsia"/>
          <w:b/>
          <w:kern w:val="0"/>
          <w:sz w:val="24"/>
        </w:rPr>
        <w:t>1.课程考核目标:</w:t>
      </w:r>
      <w:r w:rsidRPr="00E75FE1">
        <w:rPr>
          <w:rFonts w:ascii="宋体" w:eastAsia="宋体" w:hAnsi="Calibri" w:cs="Times New Roman" w:hint="eastAsia"/>
          <w:bCs/>
          <w:kern w:val="0"/>
          <w:sz w:val="24"/>
        </w:rPr>
        <w:t>通过考核</w:t>
      </w:r>
      <w:proofErr w:type="gramStart"/>
      <w:r w:rsidRPr="00E75FE1">
        <w:rPr>
          <w:rFonts w:ascii="宋体" w:eastAsia="宋体" w:hAnsi="Calibri" w:cs="Times New Roman" w:hint="eastAsia"/>
          <w:bCs/>
          <w:kern w:val="0"/>
          <w:sz w:val="24"/>
        </w:rPr>
        <w:t>检验</w:t>
      </w:r>
      <w:r w:rsidRPr="00E75FE1">
        <w:rPr>
          <w:rFonts w:ascii="Calibri" w:eastAsia="宋体" w:hAnsi="Calibri" w:cs="Times New Roman" w:hint="eastAsia"/>
          <w:sz w:val="24"/>
        </w:rPr>
        <w:t>自</w:t>
      </w:r>
      <w:proofErr w:type="gramEnd"/>
      <w:r w:rsidRPr="00E75FE1">
        <w:rPr>
          <w:rFonts w:ascii="Calibri" w:eastAsia="宋体" w:hAnsi="Calibri" w:cs="Times New Roman" w:hint="eastAsia"/>
          <w:sz w:val="24"/>
        </w:rPr>
        <w:t>垫球</w:t>
      </w:r>
      <w:r w:rsidRPr="00E75FE1">
        <w:rPr>
          <w:rFonts w:ascii="宋体" w:eastAsia="宋体" w:hAnsi="Calibri" w:cs="Times New Roman" w:hint="eastAsia"/>
          <w:bCs/>
          <w:kern w:val="0"/>
          <w:sz w:val="24"/>
        </w:rPr>
        <w:t>教学效果和学生掌握情况，让学生了解</w:t>
      </w:r>
      <w:r w:rsidRPr="00E75FE1">
        <w:rPr>
          <w:rFonts w:ascii="Calibri" w:eastAsia="宋体" w:hAnsi="Calibri" w:cs="Times New Roman" w:hint="eastAsia"/>
          <w:sz w:val="24"/>
        </w:rPr>
        <w:t>自垫球</w:t>
      </w:r>
      <w:r w:rsidRPr="00E75FE1">
        <w:rPr>
          <w:rFonts w:ascii="宋体" w:eastAsia="宋体" w:hAnsi="Calibri" w:cs="Times New Roman" w:hint="eastAsia"/>
          <w:bCs/>
          <w:kern w:val="0"/>
          <w:sz w:val="24"/>
        </w:rPr>
        <w:t>的重要性。</w:t>
      </w:r>
    </w:p>
    <w:p w14:paraId="0E272EED"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2.课程考核的内容：</w:t>
      </w:r>
      <w:r w:rsidRPr="00E75FE1">
        <w:rPr>
          <w:rFonts w:ascii="Calibri" w:eastAsia="宋体" w:hAnsi="Calibri" w:cs="Times New Roman" w:hint="eastAsia"/>
          <w:sz w:val="24"/>
        </w:rPr>
        <w:t>自垫球</w:t>
      </w:r>
      <w:r w:rsidRPr="00E75FE1">
        <w:rPr>
          <w:rFonts w:ascii="宋体" w:eastAsia="宋体" w:hAnsi="Calibri" w:cs="Times New Roman" w:hint="eastAsia"/>
          <w:bCs/>
          <w:kern w:val="0"/>
          <w:sz w:val="24"/>
        </w:rPr>
        <w:t>。</w:t>
      </w:r>
    </w:p>
    <w:p w14:paraId="103FF0B9"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3.课程考核方式：</w:t>
      </w:r>
      <w:r w:rsidRPr="00E75FE1">
        <w:rPr>
          <w:rFonts w:ascii="宋体" w:eastAsia="宋体" w:hAnsi="Calibri" w:cs="Times New Roman" w:hint="eastAsia"/>
          <w:bCs/>
          <w:kern w:val="0"/>
          <w:sz w:val="24"/>
        </w:rPr>
        <w:t>排球场地，每人连续垫三次，取最好成绩。</w:t>
      </w:r>
    </w:p>
    <w:p w14:paraId="0002ACA6"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4.成绩构成及分值：</w:t>
      </w:r>
      <w:r w:rsidRPr="00E75FE1">
        <w:rPr>
          <w:rFonts w:ascii="宋体" w:eastAsia="宋体" w:hAnsi="Calibri" w:cs="Times New Roman" w:hint="eastAsia"/>
          <w:bCs/>
          <w:kern w:val="0"/>
          <w:sz w:val="24"/>
        </w:rPr>
        <w:t>数量评价和技术评价分别按百分制计算，各占50%。</w:t>
      </w:r>
    </w:p>
    <w:p w14:paraId="01A5FBB4" w14:textId="77777777" w:rsidR="00E75FE1" w:rsidRPr="00E75FE1" w:rsidRDefault="00E75FE1" w:rsidP="00E75FE1">
      <w:pPr>
        <w:adjustRightInd w:val="0"/>
        <w:snapToGrid w:val="0"/>
        <w:spacing w:line="500" w:lineRule="exact"/>
        <w:jc w:val="left"/>
        <w:rPr>
          <w:rFonts w:ascii="宋体" w:eastAsia="宋体" w:hAnsi="Calibri" w:cs="Times New Roman"/>
          <w:b/>
          <w:kern w:val="0"/>
          <w:sz w:val="24"/>
        </w:rPr>
      </w:pPr>
      <w:r w:rsidRPr="00E75FE1">
        <w:rPr>
          <w:rFonts w:ascii="宋体" w:eastAsia="宋体" w:hAnsi="Calibri" w:cs="Times New Roman" w:hint="eastAsia"/>
          <w:b/>
          <w:kern w:val="0"/>
          <w:sz w:val="24"/>
        </w:rPr>
        <w:t>5.评分记分原则：</w:t>
      </w:r>
    </w:p>
    <w:p w14:paraId="57B5DFFD"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Cs/>
          <w:kern w:val="0"/>
          <w:sz w:val="24"/>
        </w:rPr>
        <w:t>自垫球</w:t>
      </w:r>
      <w:r w:rsidRPr="00E75FE1">
        <w:rPr>
          <w:rFonts w:ascii="宋体" w:eastAsia="宋体" w:hAnsi="Calibri" w:cs="Times New Roman"/>
          <w:bCs/>
          <w:kern w:val="0"/>
          <w:sz w:val="24"/>
        </w:rPr>
        <w:t>（数量及技术评定按百分制计算，各占总分值一半）</w:t>
      </w:r>
    </w:p>
    <w:p w14:paraId="775ECC0A"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bCs/>
          <w:kern w:val="0"/>
          <w:sz w:val="24"/>
        </w:rPr>
        <w:t>数量评价：</w:t>
      </w:r>
    </w:p>
    <w:p w14:paraId="0AC693D2"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Cs/>
          <w:kern w:val="0"/>
          <w:sz w:val="24"/>
        </w:rPr>
        <w:t>1</w:t>
      </w:r>
      <w:r w:rsidRPr="00E75FE1">
        <w:rPr>
          <w:rFonts w:ascii="宋体" w:eastAsia="宋体" w:hAnsi="Calibri" w:cs="Times New Roman"/>
          <w:bCs/>
          <w:kern w:val="0"/>
          <w:sz w:val="24"/>
        </w:rPr>
        <w:t>0</w:t>
      </w:r>
      <w:r w:rsidRPr="00E75FE1">
        <w:rPr>
          <w:rFonts w:ascii="宋体" w:eastAsia="宋体" w:hAnsi="Calibri" w:cs="Times New Roman" w:hint="eastAsia"/>
          <w:bCs/>
          <w:kern w:val="0"/>
          <w:sz w:val="24"/>
        </w:rPr>
        <w:t>个为及格，5</w:t>
      </w:r>
      <w:r w:rsidRPr="00E75FE1">
        <w:rPr>
          <w:rFonts w:ascii="宋体" w:eastAsia="宋体" w:hAnsi="Calibri" w:cs="Times New Roman"/>
          <w:bCs/>
          <w:kern w:val="0"/>
          <w:sz w:val="24"/>
        </w:rPr>
        <w:t>0</w:t>
      </w:r>
      <w:r w:rsidRPr="00E75FE1">
        <w:rPr>
          <w:rFonts w:ascii="宋体" w:eastAsia="宋体" w:hAnsi="Calibri" w:cs="Times New Roman" w:hint="eastAsia"/>
          <w:bCs/>
          <w:kern w:val="0"/>
          <w:sz w:val="24"/>
        </w:rPr>
        <w:t>个为满分</w:t>
      </w:r>
      <w:r w:rsidRPr="00E75FE1">
        <w:rPr>
          <w:rFonts w:ascii="宋体" w:eastAsia="宋体" w:hAnsi="Calibri" w:cs="Times New Roman"/>
          <w:bCs/>
          <w:kern w:val="0"/>
          <w:sz w:val="24"/>
        </w:rPr>
        <w:t>；</w:t>
      </w:r>
      <w:r w:rsidRPr="00E75FE1">
        <w:rPr>
          <w:rFonts w:ascii="宋体" w:eastAsia="宋体" w:hAnsi="Calibri" w:cs="Times New Roman" w:hint="eastAsia"/>
          <w:bCs/>
          <w:kern w:val="0"/>
          <w:sz w:val="24"/>
        </w:rPr>
        <w:t>分值10</w:t>
      </w:r>
      <w:r w:rsidRPr="00E75FE1">
        <w:rPr>
          <w:rFonts w:ascii="宋体" w:eastAsia="宋体" w:hAnsi="Calibri" w:cs="Times New Roman"/>
          <w:bCs/>
          <w:kern w:val="0"/>
          <w:sz w:val="24"/>
        </w:rPr>
        <w:t>0</w:t>
      </w:r>
      <w:r w:rsidRPr="00E75FE1">
        <w:rPr>
          <w:rFonts w:ascii="宋体" w:eastAsia="宋体" w:hAnsi="Calibri" w:cs="Times New Roman" w:hint="eastAsia"/>
          <w:bCs/>
          <w:kern w:val="0"/>
          <w:sz w:val="24"/>
        </w:rPr>
        <w:t>分。</w:t>
      </w:r>
    </w:p>
    <w:p w14:paraId="7F21A040"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bCs/>
          <w:kern w:val="0"/>
          <w:sz w:val="24"/>
        </w:rPr>
        <w:t>技术评价：</w:t>
      </w:r>
    </w:p>
    <w:p w14:paraId="480DA399" w14:textId="77777777" w:rsidR="00E75FE1" w:rsidRPr="00E75FE1" w:rsidRDefault="00E75FE1" w:rsidP="00E75FE1">
      <w:pPr>
        <w:adjustRightInd w:val="0"/>
        <w:snapToGrid w:val="0"/>
        <w:spacing w:line="500" w:lineRule="exact"/>
        <w:jc w:val="left"/>
        <w:rPr>
          <w:rFonts w:ascii="Calibri" w:eastAsia="宋体" w:hAnsi="Calibri" w:cs="Times New Roman"/>
          <w:sz w:val="24"/>
        </w:rPr>
      </w:pPr>
      <w:r w:rsidRPr="00E75FE1">
        <w:rPr>
          <w:rFonts w:ascii="宋体" w:eastAsia="宋体" w:hAnsi="Calibri" w:cs="Times New Roman" w:hint="eastAsia"/>
          <w:bCs/>
          <w:kern w:val="0"/>
          <w:sz w:val="24"/>
        </w:rPr>
        <w:t>技术分为</w:t>
      </w:r>
      <w:r w:rsidRPr="00E75FE1">
        <w:rPr>
          <w:rFonts w:ascii="宋体" w:eastAsia="宋体" w:hAnsi="Calibri" w:cs="Times New Roman"/>
          <w:bCs/>
          <w:kern w:val="0"/>
          <w:sz w:val="24"/>
        </w:rPr>
        <w:t>ABCDE</w:t>
      </w:r>
      <w:r w:rsidRPr="00E75FE1">
        <w:rPr>
          <w:rFonts w:ascii="宋体" w:eastAsia="宋体" w:hAnsi="Calibri" w:cs="Times New Roman" w:hint="eastAsia"/>
          <w:bCs/>
          <w:kern w:val="0"/>
          <w:sz w:val="24"/>
        </w:rPr>
        <w:t>共5档</w:t>
      </w:r>
      <w:r w:rsidRPr="00E75FE1">
        <w:rPr>
          <w:rFonts w:ascii="Calibri" w:eastAsia="宋体" w:hAnsi="Calibri"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E75FE1" w:rsidRPr="00E75FE1" w14:paraId="650667ED" w14:textId="77777777" w:rsidTr="00375FAF">
        <w:trPr>
          <w:jc w:val="center"/>
        </w:trPr>
        <w:tc>
          <w:tcPr>
            <w:tcW w:w="970" w:type="dxa"/>
          </w:tcPr>
          <w:p w14:paraId="4E49F13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技术分</w:t>
            </w:r>
          </w:p>
        </w:tc>
        <w:tc>
          <w:tcPr>
            <w:tcW w:w="1183" w:type="dxa"/>
          </w:tcPr>
          <w:p w14:paraId="05B85DA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五级制</w:t>
            </w:r>
          </w:p>
        </w:tc>
        <w:tc>
          <w:tcPr>
            <w:tcW w:w="1341" w:type="dxa"/>
          </w:tcPr>
          <w:p w14:paraId="0CEE3EEB"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分值范围</w:t>
            </w:r>
          </w:p>
        </w:tc>
        <w:tc>
          <w:tcPr>
            <w:tcW w:w="3551" w:type="dxa"/>
          </w:tcPr>
          <w:p w14:paraId="2AF0700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备注</w:t>
            </w:r>
          </w:p>
        </w:tc>
      </w:tr>
      <w:tr w:rsidR="00E75FE1" w:rsidRPr="00E75FE1" w14:paraId="7BD71BBD" w14:textId="77777777" w:rsidTr="00375FAF">
        <w:trPr>
          <w:jc w:val="center"/>
        </w:trPr>
        <w:tc>
          <w:tcPr>
            <w:tcW w:w="970" w:type="dxa"/>
          </w:tcPr>
          <w:p w14:paraId="41CDCF75"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A</w:t>
            </w:r>
          </w:p>
        </w:tc>
        <w:tc>
          <w:tcPr>
            <w:tcW w:w="1183" w:type="dxa"/>
          </w:tcPr>
          <w:p w14:paraId="0F9C859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优秀</w:t>
            </w:r>
          </w:p>
        </w:tc>
        <w:tc>
          <w:tcPr>
            <w:tcW w:w="1341" w:type="dxa"/>
          </w:tcPr>
          <w:p w14:paraId="02BE7DC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90—99</w:t>
            </w:r>
          </w:p>
        </w:tc>
        <w:tc>
          <w:tcPr>
            <w:tcW w:w="3551" w:type="dxa"/>
          </w:tcPr>
          <w:p w14:paraId="60ECE9ED"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姿势正确，动作优美、协调</w:t>
            </w:r>
          </w:p>
        </w:tc>
      </w:tr>
      <w:tr w:rsidR="00E75FE1" w:rsidRPr="00E75FE1" w14:paraId="67CCB581" w14:textId="77777777" w:rsidTr="00375FAF">
        <w:trPr>
          <w:jc w:val="center"/>
        </w:trPr>
        <w:tc>
          <w:tcPr>
            <w:tcW w:w="970" w:type="dxa"/>
          </w:tcPr>
          <w:p w14:paraId="06500F0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B</w:t>
            </w:r>
          </w:p>
        </w:tc>
        <w:tc>
          <w:tcPr>
            <w:tcW w:w="1183" w:type="dxa"/>
          </w:tcPr>
          <w:p w14:paraId="485E6D6B"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良好</w:t>
            </w:r>
          </w:p>
        </w:tc>
        <w:tc>
          <w:tcPr>
            <w:tcW w:w="1341" w:type="dxa"/>
          </w:tcPr>
          <w:p w14:paraId="699879D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80—89</w:t>
            </w:r>
          </w:p>
        </w:tc>
        <w:tc>
          <w:tcPr>
            <w:tcW w:w="3551" w:type="dxa"/>
          </w:tcPr>
          <w:p w14:paraId="1986EA0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姿势较正确，动作自然</w:t>
            </w:r>
          </w:p>
        </w:tc>
      </w:tr>
      <w:tr w:rsidR="00E75FE1" w:rsidRPr="00E75FE1" w14:paraId="3E1A7A21" w14:textId="77777777" w:rsidTr="00375FAF">
        <w:trPr>
          <w:jc w:val="center"/>
        </w:trPr>
        <w:tc>
          <w:tcPr>
            <w:tcW w:w="970" w:type="dxa"/>
          </w:tcPr>
          <w:p w14:paraId="335C011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C</w:t>
            </w:r>
          </w:p>
        </w:tc>
        <w:tc>
          <w:tcPr>
            <w:tcW w:w="1183" w:type="dxa"/>
          </w:tcPr>
          <w:p w14:paraId="6BA2800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中等</w:t>
            </w:r>
          </w:p>
        </w:tc>
        <w:tc>
          <w:tcPr>
            <w:tcW w:w="1341" w:type="dxa"/>
          </w:tcPr>
          <w:p w14:paraId="54179BD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70—79</w:t>
            </w:r>
          </w:p>
        </w:tc>
        <w:tc>
          <w:tcPr>
            <w:tcW w:w="3551" w:type="dxa"/>
          </w:tcPr>
          <w:p w14:paraId="28C2393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姿势一般，动作基本正确</w:t>
            </w:r>
          </w:p>
        </w:tc>
      </w:tr>
      <w:tr w:rsidR="00E75FE1" w:rsidRPr="00E75FE1" w14:paraId="7A574E03" w14:textId="77777777" w:rsidTr="00375FAF">
        <w:trPr>
          <w:jc w:val="center"/>
        </w:trPr>
        <w:tc>
          <w:tcPr>
            <w:tcW w:w="970" w:type="dxa"/>
          </w:tcPr>
          <w:p w14:paraId="18CC1AD5"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D</w:t>
            </w:r>
          </w:p>
        </w:tc>
        <w:tc>
          <w:tcPr>
            <w:tcW w:w="1183" w:type="dxa"/>
          </w:tcPr>
          <w:p w14:paraId="692E24D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及格</w:t>
            </w:r>
          </w:p>
        </w:tc>
        <w:tc>
          <w:tcPr>
            <w:tcW w:w="1341" w:type="dxa"/>
          </w:tcPr>
          <w:p w14:paraId="2A48F0B4"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60—69</w:t>
            </w:r>
          </w:p>
        </w:tc>
        <w:tc>
          <w:tcPr>
            <w:tcW w:w="3551" w:type="dxa"/>
          </w:tcPr>
          <w:p w14:paraId="4B46E8A1"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动作不协调，有多余动作</w:t>
            </w:r>
          </w:p>
        </w:tc>
      </w:tr>
      <w:tr w:rsidR="00E75FE1" w:rsidRPr="00E75FE1" w14:paraId="464DEAE1" w14:textId="77777777" w:rsidTr="00375FAF">
        <w:trPr>
          <w:jc w:val="center"/>
        </w:trPr>
        <w:tc>
          <w:tcPr>
            <w:tcW w:w="970" w:type="dxa"/>
          </w:tcPr>
          <w:p w14:paraId="0258CE04"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E</w:t>
            </w:r>
          </w:p>
        </w:tc>
        <w:tc>
          <w:tcPr>
            <w:tcW w:w="1183" w:type="dxa"/>
          </w:tcPr>
          <w:p w14:paraId="23E42BE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不及格</w:t>
            </w:r>
          </w:p>
        </w:tc>
        <w:tc>
          <w:tcPr>
            <w:tcW w:w="1341" w:type="dxa"/>
          </w:tcPr>
          <w:p w14:paraId="0375C69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60以下</w:t>
            </w:r>
          </w:p>
        </w:tc>
        <w:tc>
          <w:tcPr>
            <w:tcW w:w="3551" w:type="dxa"/>
          </w:tcPr>
          <w:p w14:paraId="5851699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动作僵硬，吃力，不协调</w:t>
            </w:r>
          </w:p>
        </w:tc>
      </w:tr>
    </w:tbl>
    <w:p w14:paraId="363885B7" w14:textId="77777777" w:rsidR="00E75FE1" w:rsidRPr="00E75FE1" w:rsidRDefault="00E75FE1" w:rsidP="00E75FE1">
      <w:pPr>
        <w:adjustRightInd w:val="0"/>
        <w:snapToGrid w:val="0"/>
        <w:spacing w:line="500" w:lineRule="exact"/>
        <w:jc w:val="center"/>
        <w:rPr>
          <w:rFonts w:ascii="宋体" w:eastAsia="宋体" w:hAnsi="Calibri" w:cs="Times New Roman"/>
          <w:b/>
          <w:kern w:val="0"/>
          <w:sz w:val="24"/>
        </w:rPr>
      </w:pPr>
      <w:r w:rsidRPr="00E75FE1">
        <w:rPr>
          <w:rFonts w:ascii="宋体" w:eastAsia="宋体" w:hAnsi="Calibri" w:cs="Times New Roman" w:hint="eastAsia"/>
          <w:b/>
          <w:kern w:val="0"/>
          <w:sz w:val="24"/>
        </w:rPr>
        <w:t>期末考试</w:t>
      </w:r>
    </w:p>
    <w:p w14:paraId="316E9E5D" w14:textId="77777777" w:rsidR="00E75FE1" w:rsidRPr="00E75FE1" w:rsidRDefault="00E75FE1" w:rsidP="00E75FE1">
      <w:pPr>
        <w:adjustRightInd w:val="0"/>
        <w:snapToGrid w:val="0"/>
        <w:spacing w:line="500" w:lineRule="exact"/>
        <w:rPr>
          <w:rFonts w:ascii="宋体" w:eastAsia="宋体" w:hAnsi="Calibri" w:cs="Times New Roman"/>
          <w:bCs/>
          <w:kern w:val="0"/>
          <w:sz w:val="24"/>
        </w:rPr>
      </w:pPr>
      <w:r w:rsidRPr="00E75FE1">
        <w:rPr>
          <w:rFonts w:ascii="宋体" w:eastAsia="宋体" w:hAnsi="Calibri" w:cs="Times New Roman" w:hint="eastAsia"/>
          <w:b/>
          <w:kern w:val="0"/>
          <w:sz w:val="24"/>
        </w:rPr>
        <w:t>1.课程考核目标:</w:t>
      </w:r>
      <w:r w:rsidRPr="00E75FE1">
        <w:rPr>
          <w:rFonts w:ascii="宋体" w:eastAsia="宋体" w:hAnsi="Calibri" w:cs="Times New Roman" w:hint="eastAsia"/>
          <w:bCs/>
          <w:kern w:val="0"/>
          <w:sz w:val="24"/>
        </w:rPr>
        <w:t>通过考核检验</w:t>
      </w:r>
      <w:r w:rsidRPr="00E75FE1">
        <w:rPr>
          <w:rFonts w:ascii="Calibri" w:eastAsia="宋体" w:hAnsi="Calibri" w:cs="Times New Roman" w:hint="eastAsia"/>
          <w:sz w:val="24"/>
        </w:rPr>
        <w:t>双人正面双手对垫球</w:t>
      </w:r>
      <w:r w:rsidRPr="00E75FE1">
        <w:rPr>
          <w:rFonts w:ascii="宋体" w:eastAsia="宋体" w:hAnsi="Calibri" w:cs="Times New Roman" w:hint="eastAsia"/>
          <w:bCs/>
          <w:kern w:val="0"/>
          <w:sz w:val="24"/>
        </w:rPr>
        <w:t>教学效果和学生掌握情况，让学生了解</w:t>
      </w:r>
      <w:r w:rsidRPr="00E75FE1">
        <w:rPr>
          <w:rFonts w:ascii="Calibri" w:eastAsia="宋体" w:hAnsi="Calibri" w:cs="Times New Roman" w:hint="eastAsia"/>
          <w:sz w:val="24"/>
        </w:rPr>
        <w:t>双人正面双手对垫球</w:t>
      </w:r>
      <w:r w:rsidRPr="00E75FE1">
        <w:rPr>
          <w:rFonts w:ascii="宋体" w:eastAsia="宋体" w:hAnsi="Calibri" w:cs="Times New Roman" w:hint="eastAsia"/>
          <w:bCs/>
          <w:kern w:val="0"/>
          <w:sz w:val="24"/>
        </w:rPr>
        <w:t>的重要性。</w:t>
      </w:r>
    </w:p>
    <w:p w14:paraId="7BBE2A4D"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lastRenderedPageBreak/>
        <w:t>2.课程考核的内容：</w:t>
      </w:r>
      <w:r w:rsidRPr="00E75FE1">
        <w:rPr>
          <w:rFonts w:ascii="Calibri" w:eastAsia="宋体" w:hAnsi="Calibri" w:cs="Times New Roman" w:hint="eastAsia"/>
          <w:sz w:val="24"/>
        </w:rPr>
        <w:t>双人正面双手对垫球</w:t>
      </w:r>
      <w:r w:rsidRPr="00E75FE1">
        <w:rPr>
          <w:rFonts w:ascii="宋体" w:eastAsia="宋体" w:hAnsi="Calibri" w:cs="Times New Roman" w:hint="eastAsia"/>
          <w:bCs/>
          <w:kern w:val="0"/>
          <w:sz w:val="24"/>
        </w:rPr>
        <w:t>。</w:t>
      </w:r>
    </w:p>
    <w:p w14:paraId="4969C7FB"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3.课程考核方式：</w:t>
      </w:r>
      <w:r w:rsidRPr="00E75FE1">
        <w:rPr>
          <w:rFonts w:ascii="宋体" w:eastAsia="宋体" w:hAnsi="Calibri" w:cs="Times New Roman" w:hint="eastAsia"/>
          <w:bCs/>
          <w:kern w:val="0"/>
          <w:sz w:val="24"/>
        </w:rPr>
        <w:t>排球场地，两人连续垫三次，取最好成绩。</w:t>
      </w:r>
    </w:p>
    <w:p w14:paraId="7A29B355"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4.成绩构成及分值：</w:t>
      </w:r>
      <w:r w:rsidRPr="00E75FE1">
        <w:rPr>
          <w:rFonts w:ascii="宋体" w:eastAsia="宋体" w:hAnsi="Calibri" w:cs="Times New Roman" w:hint="eastAsia"/>
          <w:bCs/>
          <w:kern w:val="0"/>
          <w:sz w:val="24"/>
        </w:rPr>
        <w:t>数量评价和技术评价分别按百分制计算，各占50%。</w:t>
      </w:r>
    </w:p>
    <w:p w14:paraId="2CD1CB33" w14:textId="77777777" w:rsidR="00E75FE1" w:rsidRPr="00E75FE1" w:rsidRDefault="00E75FE1" w:rsidP="00E75FE1">
      <w:pPr>
        <w:adjustRightInd w:val="0"/>
        <w:snapToGrid w:val="0"/>
        <w:spacing w:line="500" w:lineRule="exact"/>
        <w:jc w:val="left"/>
        <w:rPr>
          <w:rFonts w:ascii="宋体" w:eastAsia="宋体" w:hAnsi="Calibri" w:cs="Times New Roman"/>
          <w:b/>
          <w:kern w:val="0"/>
          <w:sz w:val="24"/>
        </w:rPr>
      </w:pPr>
      <w:r w:rsidRPr="00E75FE1">
        <w:rPr>
          <w:rFonts w:ascii="宋体" w:eastAsia="宋体" w:hAnsi="Calibri" w:cs="Times New Roman" w:hint="eastAsia"/>
          <w:b/>
          <w:kern w:val="0"/>
          <w:sz w:val="24"/>
        </w:rPr>
        <w:t>5.评分记分原则：</w:t>
      </w:r>
    </w:p>
    <w:p w14:paraId="076D3F2B" w14:textId="77777777" w:rsidR="00E75FE1" w:rsidRPr="00E75FE1" w:rsidRDefault="00E75FE1" w:rsidP="00E75FE1">
      <w:pPr>
        <w:tabs>
          <w:tab w:val="left" w:pos="687"/>
        </w:tabs>
        <w:adjustRightInd w:val="0"/>
        <w:snapToGrid w:val="0"/>
        <w:spacing w:line="500" w:lineRule="exact"/>
        <w:rPr>
          <w:rFonts w:ascii="Calibri" w:eastAsia="宋体" w:hAnsi="Calibri" w:cs="Times New Roman"/>
          <w:sz w:val="24"/>
        </w:rPr>
      </w:pPr>
      <w:r w:rsidRPr="00E75FE1">
        <w:rPr>
          <w:rFonts w:ascii="Calibri" w:eastAsia="宋体" w:hAnsi="Calibri" w:cs="Times New Roman" w:hint="eastAsia"/>
          <w:sz w:val="24"/>
        </w:rPr>
        <w:t>双人正面双手对垫球（数量及技术评定按百分制计算，各占总分值一半）</w:t>
      </w:r>
    </w:p>
    <w:p w14:paraId="051D0DB8" w14:textId="77777777" w:rsidR="00E75FE1" w:rsidRPr="00E75FE1" w:rsidRDefault="00E75FE1" w:rsidP="00E75FE1">
      <w:pPr>
        <w:adjustRightInd w:val="0"/>
        <w:snapToGrid w:val="0"/>
        <w:spacing w:line="500" w:lineRule="exact"/>
        <w:rPr>
          <w:rFonts w:ascii="Calibri" w:eastAsia="宋体" w:hAnsi="Calibri" w:cs="Times New Roman"/>
          <w:sz w:val="24"/>
        </w:rPr>
      </w:pPr>
      <w:r w:rsidRPr="00E75FE1">
        <w:rPr>
          <w:rFonts w:ascii="Calibri" w:eastAsia="宋体" w:hAnsi="Calibri" w:cs="Times New Roman" w:hint="eastAsia"/>
          <w:sz w:val="24"/>
        </w:rPr>
        <w:t>数量评价：</w:t>
      </w:r>
    </w:p>
    <w:p w14:paraId="46A40F0E"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两人一组，学生相距</w:t>
      </w:r>
      <w:r w:rsidRPr="00E75FE1">
        <w:rPr>
          <w:rFonts w:ascii="Calibri" w:eastAsia="宋体" w:hAnsi="Calibri" w:cs="Times New Roman" w:hint="eastAsia"/>
          <w:sz w:val="24"/>
        </w:rPr>
        <w:t>4</w:t>
      </w:r>
      <w:r w:rsidRPr="00E75FE1">
        <w:rPr>
          <w:rFonts w:ascii="Calibri" w:eastAsia="宋体" w:hAnsi="Calibri" w:cs="Times New Roman" w:hint="eastAsia"/>
          <w:sz w:val="24"/>
        </w:rPr>
        <w:t>米，</w:t>
      </w:r>
      <w:proofErr w:type="gramStart"/>
      <w:r w:rsidRPr="00E75FE1">
        <w:rPr>
          <w:rFonts w:ascii="Calibri" w:eastAsia="宋体" w:hAnsi="Calibri" w:cs="Times New Roman" w:hint="eastAsia"/>
          <w:sz w:val="24"/>
        </w:rPr>
        <w:t>对垫</w:t>
      </w:r>
      <w:r w:rsidRPr="00E75FE1">
        <w:rPr>
          <w:rFonts w:ascii="Calibri" w:eastAsia="宋体" w:hAnsi="Calibri" w:cs="Times New Roman" w:hint="eastAsia"/>
          <w:sz w:val="24"/>
        </w:rPr>
        <w:t>5</w:t>
      </w:r>
      <w:r w:rsidRPr="00E75FE1">
        <w:rPr>
          <w:rFonts w:ascii="Calibri" w:eastAsia="宋体" w:hAnsi="Calibri" w:cs="Times New Roman" w:hint="eastAsia"/>
          <w:sz w:val="24"/>
        </w:rPr>
        <w:t>个</w:t>
      </w:r>
      <w:proofErr w:type="gramEnd"/>
      <w:r w:rsidRPr="00E75FE1">
        <w:rPr>
          <w:rFonts w:ascii="Calibri" w:eastAsia="宋体" w:hAnsi="Calibri" w:cs="Times New Roman" w:hint="eastAsia"/>
          <w:sz w:val="24"/>
        </w:rPr>
        <w:t>回合为及格，</w:t>
      </w:r>
      <w:r w:rsidRPr="00E75FE1">
        <w:rPr>
          <w:rFonts w:ascii="Calibri" w:eastAsia="宋体" w:hAnsi="Calibri" w:cs="Times New Roman" w:hint="eastAsia"/>
          <w:sz w:val="24"/>
        </w:rPr>
        <w:t>25</w:t>
      </w:r>
      <w:r w:rsidRPr="00E75FE1">
        <w:rPr>
          <w:rFonts w:ascii="Calibri" w:eastAsia="宋体" w:hAnsi="Calibri" w:cs="Times New Roman" w:hint="eastAsia"/>
          <w:sz w:val="24"/>
        </w:rPr>
        <w:t>个回合为满分；分值</w:t>
      </w:r>
      <w:r w:rsidRPr="00E75FE1">
        <w:rPr>
          <w:rFonts w:ascii="Calibri" w:eastAsia="宋体" w:hAnsi="Calibri" w:cs="Times New Roman" w:hint="eastAsia"/>
          <w:sz w:val="24"/>
        </w:rPr>
        <w:t>10</w:t>
      </w:r>
      <w:r w:rsidRPr="00E75FE1">
        <w:rPr>
          <w:rFonts w:ascii="Calibri" w:eastAsia="宋体" w:hAnsi="Calibri" w:cs="Times New Roman"/>
          <w:sz w:val="24"/>
        </w:rPr>
        <w:t>0</w:t>
      </w:r>
      <w:r w:rsidRPr="00E75FE1">
        <w:rPr>
          <w:rFonts w:ascii="Calibri" w:eastAsia="宋体" w:hAnsi="Calibri" w:cs="Times New Roman" w:hint="eastAsia"/>
          <w:sz w:val="24"/>
        </w:rPr>
        <w:t>分。</w:t>
      </w:r>
    </w:p>
    <w:p w14:paraId="1EE2634E" w14:textId="77777777" w:rsidR="00E75FE1" w:rsidRPr="00E75FE1" w:rsidRDefault="00E75FE1" w:rsidP="00E75FE1">
      <w:pPr>
        <w:adjustRightInd w:val="0"/>
        <w:snapToGrid w:val="0"/>
        <w:spacing w:line="500" w:lineRule="exact"/>
        <w:rPr>
          <w:rFonts w:ascii="Calibri" w:eastAsia="宋体" w:hAnsi="Calibri" w:cs="Times New Roman"/>
          <w:sz w:val="24"/>
        </w:rPr>
      </w:pPr>
      <w:r w:rsidRPr="00E75FE1">
        <w:rPr>
          <w:rFonts w:ascii="Calibri" w:eastAsia="宋体" w:hAnsi="Calibri" w:cs="Times New Roman" w:hint="eastAsia"/>
          <w:sz w:val="24"/>
        </w:rPr>
        <w:t>技术评价：</w:t>
      </w:r>
    </w:p>
    <w:p w14:paraId="6E086B4B"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技术分为</w:t>
      </w:r>
      <w:r w:rsidRPr="00E75FE1">
        <w:rPr>
          <w:rFonts w:ascii="Calibri" w:eastAsia="宋体" w:hAnsi="Calibri" w:cs="Times New Roman"/>
          <w:sz w:val="24"/>
        </w:rPr>
        <w:t>ABCDE</w:t>
      </w:r>
      <w:r w:rsidRPr="00E75FE1">
        <w:rPr>
          <w:rFonts w:ascii="Calibri" w:eastAsia="宋体" w:hAnsi="Calibri" w:cs="Times New Roman" w:hint="eastAsia"/>
          <w:sz w:val="24"/>
        </w:rPr>
        <w:t>共</w:t>
      </w:r>
      <w:r w:rsidRPr="00E75FE1">
        <w:rPr>
          <w:rFonts w:ascii="Calibri" w:eastAsia="宋体" w:hAnsi="Calibri" w:cs="Times New Roman" w:hint="eastAsia"/>
          <w:sz w:val="24"/>
        </w:rPr>
        <w:t>5</w:t>
      </w:r>
      <w:r w:rsidRPr="00E75FE1">
        <w:rPr>
          <w:rFonts w:ascii="Calibri" w:eastAsia="宋体" w:hAnsi="Calibri" w:cs="Times New Roman" w:hint="eastAsia"/>
          <w:sz w:val="24"/>
        </w:rPr>
        <w:t>档</w:t>
      </w:r>
      <w:r w:rsidRPr="00E75FE1">
        <w:rPr>
          <w:rFonts w:ascii="Calibri" w:eastAsia="宋体" w:hAnsi="Calibri"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E75FE1" w:rsidRPr="00E75FE1" w14:paraId="25A8A735" w14:textId="77777777" w:rsidTr="00375FAF">
        <w:trPr>
          <w:jc w:val="center"/>
        </w:trPr>
        <w:tc>
          <w:tcPr>
            <w:tcW w:w="970" w:type="dxa"/>
          </w:tcPr>
          <w:p w14:paraId="540912C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技术分</w:t>
            </w:r>
          </w:p>
        </w:tc>
        <w:tc>
          <w:tcPr>
            <w:tcW w:w="1183" w:type="dxa"/>
          </w:tcPr>
          <w:p w14:paraId="7B226A47"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五级制</w:t>
            </w:r>
          </w:p>
        </w:tc>
        <w:tc>
          <w:tcPr>
            <w:tcW w:w="1341" w:type="dxa"/>
          </w:tcPr>
          <w:p w14:paraId="72542E0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分值范围</w:t>
            </w:r>
          </w:p>
        </w:tc>
        <w:tc>
          <w:tcPr>
            <w:tcW w:w="3551" w:type="dxa"/>
          </w:tcPr>
          <w:p w14:paraId="22760B9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备注</w:t>
            </w:r>
          </w:p>
        </w:tc>
      </w:tr>
      <w:tr w:rsidR="00E75FE1" w:rsidRPr="00E75FE1" w14:paraId="272E0650" w14:textId="77777777" w:rsidTr="00375FAF">
        <w:trPr>
          <w:jc w:val="center"/>
        </w:trPr>
        <w:tc>
          <w:tcPr>
            <w:tcW w:w="970" w:type="dxa"/>
          </w:tcPr>
          <w:p w14:paraId="52236AE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A</w:t>
            </w:r>
          </w:p>
        </w:tc>
        <w:tc>
          <w:tcPr>
            <w:tcW w:w="1183" w:type="dxa"/>
          </w:tcPr>
          <w:p w14:paraId="33C9FBA9"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优秀</w:t>
            </w:r>
          </w:p>
        </w:tc>
        <w:tc>
          <w:tcPr>
            <w:tcW w:w="1341" w:type="dxa"/>
          </w:tcPr>
          <w:p w14:paraId="66C85C02"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90—99</w:t>
            </w:r>
          </w:p>
        </w:tc>
        <w:tc>
          <w:tcPr>
            <w:tcW w:w="3551" w:type="dxa"/>
          </w:tcPr>
          <w:p w14:paraId="2F7E9BD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姿势正确，动作优美、协调</w:t>
            </w:r>
          </w:p>
        </w:tc>
      </w:tr>
      <w:tr w:rsidR="00E75FE1" w:rsidRPr="00E75FE1" w14:paraId="75A73B8E" w14:textId="77777777" w:rsidTr="00375FAF">
        <w:trPr>
          <w:jc w:val="center"/>
        </w:trPr>
        <w:tc>
          <w:tcPr>
            <w:tcW w:w="970" w:type="dxa"/>
          </w:tcPr>
          <w:p w14:paraId="2BB4F82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B</w:t>
            </w:r>
          </w:p>
        </w:tc>
        <w:tc>
          <w:tcPr>
            <w:tcW w:w="1183" w:type="dxa"/>
          </w:tcPr>
          <w:p w14:paraId="58A1399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良好</w:t>
            </w:r>
          </w:p>
        </w:tc>
        <w:tc>
          <w:tcPr>
            <w:tcW w:w="1341" w:type="dxa"/>
          </w:tcPr>
          <w:p w14:paraId="3C2A9FD5"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80—89</w:t>
            </w:r>
          </w:p>
        </w:tc>
        <w:tc>
          <w:tcPr>
            <w:tcW w:w="3551" w:type="dxa"/>
          </w:tcPr>
          <w:p w14:paraId="4A4289A4"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姿势较正确，动作自然</w:t>
            </w:r>
          </w:p>
        </w:tc>
      </w:tr>
      <w:tr w:rsidR="00E75FE1" w:rsidRPr="00E75FE1" w14:paraId="02A218A7" w14:textId="77777777" w:rsidTr="00375FAF">
        <w:trPr>
          <w:jc w:val="center"/>
        </w:trPr>
        <w:tc>
          <w:tcPr>
            <w:tcW w:w="970" w:type="dxa"/>
          </w:tcPr>
          <w:p w14:paraId="2BA4B4C4"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C</w:t>
            </w:r>
          </w:p>
        </w:tc>
        <w:tc>
          <w:tcPr>
            <w:tcW w:w="1183" w:type="dxa"/>
          </w:tcPr>
          <w:p w14:paraId="68B7988B"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中等</w:t>
            </w:r>
          </w:p>
        </w:tc>
        <w:tc>
          <w:tcPr>
            <w:tcW w:w="1341" w:type="dxa"/>
          </w:tcPr>
          <w:p w14:paraId="6664086D"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70—79</w:t>
            </w:r>
          </w:p>
        </w:tc>
        <w:tc>
          <w:tcPr>
            <w:tcW w:w="3551" w:type="dxa"/>
          </w:tcPr>
          <w:p w14:paraId="26A4281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姿势一般，动作基本正确</w:t>
            </w:r>
          </w:p>
        </w:tc>
      </w:tr>
      <w:tr w:rsidR="00E75FE1" w:rsidRPr="00E75FE1" w14:paraId="2C83F0E8" w14:textId="77777777" w:rsidTr="00375FAF">
        <w:trPr>
          <w:jc w:val="center"/>
        </w:trPr>
        <w:tc>
          <w:tcPr>
            <w:tcW w:w="970" w:type="dxa"/>
          </w:tcPr>
          <w:p w14:paraId="1F98778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D</w:t>
            </w:r>
          </w:p>
        </w:tc>
        <w:tc>
          <w:tcPr>
            <w:tcW w:w="1183" w:type="dxa"/>
          </w:tcPr>
          <w:p w14:paraId="372EBDC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及格</w:t>
            </w:r>
          </w:p>
        </w:tc>
        <w:tc>
          <w:tcPr>
            <w:tcW w:w="1341" w:type="dxa"/>
          </w:tcPr>
          <w:p w14:paraId="17345C0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60—69</w:t>
            </w:r>
          </w:p>
        </w:tc>
        <w:tc>
          <w:tcPr>
            <w:tcW w:w="3551" w:type="dxa"/>
          </w:tcPr>
          <w:p w14:paraId="4EBC653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动作不协调，有多余动作</w:t>
            </w:r>
          </w:p>
        </w:tc>
      </w:tr>
      <w:tr w:rsidR="00E75FE1" w:rsidRPr="00E75FE1" w14:paraId="794BCA4F" w14:textId="77777777" w:rsidTr="00375FAF">
        <w:trPr>
          <w:jc w:val="center"/>
        </w:trPr>
        <w:tc>
          <w:tcPr>
            <w:tcW w:w="970" w:type="dxa"/>
          </w:tcPr>
          <w:p w14:paraId="5CBDCCC5"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E</w:t>
            </w:r>
          </w:p>
        </w:tc>
        <w:tc>
          <w:tcPr>
            <w:tcW w:w="1183" w:type="dxa"/>
          </w:tcPr>
          <w:p w14:paraId="78658F42"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不及格</w:t>
            </w:r>
          </w:p>
        </w:tc>
        <w:tc>
          <w:tcPr>
            <w:tcW w:w="1341" w:type="dxa"/>
          </w:tcPr>
          <w:p w14:paraId="6B35D42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60以下</w:t>
            </w:r>
          </w:p>
        </w:tc>
        <w:tc>
          <w:tcPr>
            <w:tcW w:w="3551" w:type="dxa"/>
          </w:tcPr>
          <w:p w14:paraId="0B19D6A2"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动作僵硬，吃力，不协调</w:t>
            </w:r>
          </w:p>
        </w:tc>
      </w:tr>
    </w:tbl>
    <w:p w14:paraId="6B9D2126" w14:textId="77777777" w:rsidR="00E75FE1" w:rsidRPr="00E75FE1" w:rsidRDefault="00E75FE1" w:rsidP="00E75FE1">
      <w:pPr>
        <w:spacing w:beforeLines="50" w:before="156" w:afterLines="50" w:after="156" w:line="440" w:lineRule="exact"/>
        <w:ind w:firstLineChars="150" w:firstLine="420"/>
        <w:rPr>
          <w:rFonts w:ascii="黑体" w:eastAsia="黑体" w:hAnsi="黑体" w:cs="Times New Roman"/>
          <w:sz w:val="28"/>
          <w:szCs w:val="28"/>
        </w:rPr>
      </w:pPr>
      <w:r w:rsidRPr="00E75FE1">
        <w:rPr>
          <w:rFonts w:ascii="黑体" w:eastAsia="黑体" w:hAnsi="黑体" w:cs="Times New Roman" w:hint="eastAsia"/>
          <w:sz w:val="28"/>
          <w:szCs w:val="28"/>
        </w:rPr>
        <w:t>第三学期</w:t>
      </w:r>
    </w:p>
    <w:p w14:paraId="060D90BD" w14:textId="77777777" w:rsidR="00E75FE1" w:rsidRPr="00E75FE1" w:rsidRDefault="00E75FE1" w:rsidP="00E75FE1">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E75FE1">
        <w:rPr>
          <w:rFonts w:ascii="宋体" w:eastAsia="宋体" w:hAnsi="Calibri" w:cs="Times New Roman" w:hint="eastAsia"/>
          <w:b/>
          <w:kern w:val="0"/>
          <w:sz w:val="24"/>
        </w:rPr>
        <w:t>期中考试</w:t>
      </w:r>
    </w:p>
    <w:p w14:paraId="517665B8" w14:textId="77777777" w:rsidR="00E75FE1" w:rsidRPr="00E75FE1" w:rsidRDefault="00E75FE1" w:rsidP="00E75FE1">
      <w:pPr>
        <w:spacing w:beforeLines="50" w:before="156" w:afterLines="50" w:after="156" w:line="360" w:lineRule="auto"/>
        <w:jc w:val="center"/>
        <w:rPr>
          <w:rFonts w:ascii="宋体" w:eastAsia="宋体" w:hAnsi="宋体" w:cs="宋体"/>
          <w:b/>
          <w:sz w:val="24"/>
        </w:rPr>
      </w:pPr>
      <w:r w:rsidRPr="00E75FE1">
        <w:rPr>
          <w:rFonts w:ascii="宋体" w:eastAsia="宋体" w:hAnsi="宋体" w:cs="宋体" w:hint="eastAsia"/>
          <w:b/>
          <w:sz w:val="24"/>
        </w:rPr>
        <w:t>期中考试(考试内容二选</w:t>
      </w:r>
      <w:proofErr w:type="gramStart"/>
      <w:r w:rsidRPr="00E75FE1">
        <w:rPr>
          <w:rFonts w:ascii="宋体" w:eastAsia="宋体" w:hAnsi="宋体" w:cs="宋体" w:hint="eastAsia"/>
          <w:b/>
          <w:sz w:val="24"/>
        </w:rPr>
        <w:t>一</w:t>
      </w:r>
      <w:proofErr w:type="gramEnd"/>
      <w:r w:rsidRPr="00E75FE1">
        <w:rPr>
          <w:rFonts w:ascii="宋体" w:eastAsia="宋体" w:hAnsi="宋体" w:cs="宋体" w:hint="eastAsia"/>
          <w:b/>
          <w:sz w:val="24"/>
        </w:rPr>
        <w:t xml:space="preserve">) </w:t>
      </w:r>
    </w:p>
    <w:p w14:paraId="4629337D" w14:textId="77777777" w:rsidR="00E75FE1" w:rsidRPr="00E75FE1" w:rsidRDefault="00E75FE1" w:rsidP="00E75FE1">
      <w:pPr>
        <w:adjustRightInd w:val="0"/>
        <w:snapToGrid w:val="0"/>
        <w:spacing w:line="500" w:lineRule="exact"/>
        <w:ind w:firstLineChars="200" w:firstLine="482"/>
        <w:rPr>
          <w:rFonts w:ascii="宋体" w:eastAsia="宋体" w:hAnsi="Calibri" w:cs="Times New Roman"/>
          <w:bCs/>
          <w:kern w:val="0"/>
          <w:sz w:val="24"/>
        </w:rPr>
      </w:pPr>
      <w:r w:rsidRPr="00E75FE1">
        <w:rPr>
          <w:rFonts w:ascii="宋体" w:eastAsia="宋体" w:hAnsi="Calibri" w:cs="Times New Roman" w:hint="eastAsia"/>
          <w:b/>
          <w:kern w:val="0"/>
          <w:sz w:val="24"/>
        </w:rPr>
        <w:t>1.课程考核目标:</w:t>
      </w:r>
      <w:r w:rsidRPr="00E75FE1">
        <w:rPr>
          <w:rFonts w:ascii="宋体" w:eastAsia="宋体" w:hAnsi="Calibri" w:cs="Times New Roman" w:hint="eastAsia"/>
          <w:bCs/>
          <w:kern w:val="0"/>
          <w:sz w:val="24"/>
        </w:rPr>
        <w:t>通过考核检验</w:t>
      </w:r>
      <w:r w:rsidRPr="00E75FE1">
        <w:rPr>
          <w:rFonts w:ascii="Calibri" w:eastAsia="宋体" w:hAnsi="Calibri" w:cs="Times New Roman" w:hint="eastAsia"/>
          <w:sz w:val="24"/>
        </w:rPr>
        <w:t>双人正面双手隔网对垫球</w:t>
      </w:r>
      <w:r w:rsidRPr="00E75FE1">
        <w:rPr>
          <w:rFonts w:ascii="宋体" w:eastAsia="宋体" w:hAnsi="Calibri" w:cs="Times New Roman" w:hint="eastAsia"/>
          <w:bCs/>
          <w:kern w:val="0"/>
          <w:sz w:val="24"/>
        </w:rPr>
        <w:t>和对传球教学效果，让学生了解</w:t>
      </w:r>
      <w:r w:rsidRPr="00E75FE1">
        <w:rPr>
          <w:rFonts w:ascii="Calibri" w:eastAsia="宋体" w:hAnsi="Calibri" w:cs="Times New Roman" w:hint="eastAsia"/>
          <w:sz w:val="24"/>
        </w:rPr>
        <w:t>双人正面双手隔网对垫球</w:t>
      </w:r>
      <w:r w:rsidRPr="00E75FE1">
        <w:rPr>
          <w:rFonts w:ascii="宋体" w:eastAsia="宋体" w:hAnsi="Calibri" w:cs="Times New Roman" w:hint="eastAsia"/>
          <w:bCs/>
          <w:kern w:val="0"/>
          <w:sz w:val="24"/>
        </w:rPr>
        <w:t>的重要性。</w:t>
      </w:r>
    </w:p>
    <w:p w14:paraId="35A90E9D" w14:textId="77777777" w:rsidR="00E75FE1" w:rsidRPr="00E75FE1" w:rsidRDefault="00E75FE1" w:rsidP="00E75FE1">
      <w:pPr>
        <w:adjustRightInd w:val="0"/>
        <w:snapToGrid w:val="0"/>
        <w:spacing w:line="500" w:lineRule="exact"/>
        <w:ind w:firstLineChars="200" w:firstLine="482"/>
        <w:rPr>
          <w:rFonts w:ascii="宋体" w:eastAsia="宋体" w:hAnsi="Calibri" w:cs="Times New Roman"/>
          <w:bCs/>
          <w:kern w:val="0"/>
          <w:sz w:val="24"/>
        </w:rPr>
      </w:pPr>
      <w:r w:rsidRPr="00E75FE1">
        <w:rPr>
          <w:rFonts w:ascii="宋体" w:eastAsia="宋体" w:hAnsi="Calibri" w:cs="Times New Roman" w:hint="eastAsia"/>
          <w:b/>
          <w:kern w:val="0"/>
          <w:sz w:val="24"/>
        </w:rPr>
        <w:t>2.课程考核的内容：</w:t>
      </w:r>
      <w:r w:rsidRPr="00E75FE1">
        <w:rPr>
          <w:rFonts w:ascii="Calibri" w:eastAsia="宋体" w:hAnsi="Calibri" w:cs="Times New Roman" w:hint="eastAsia"/>
          <w:sz w:val="24"/>
        </w:rPr>
        <w:t>双人正面双手隔网对垫球或双人正面双手隔网对传球二选</w:t>
      </w:r>
      <w:proofErr w:type="gramStart"/>
      <w:r w:rsidRPr="00E75FE1">
        <w:rPr>
          <w:rFonts w:ascii="Calibri" w:eastAsia="宋体" w:hAnsi="Calibri" w:cs="Times New Roman" w:hint="eastAsia"/>
          <w:sz w:val="24"/>
        </w:rPr>
        <w:t>一</w:t>
      </w:r>
      <w:proofErr w:type="gramEnd"/>
      <w:r w:rsidRPr="00E75FE1">
        <w:rPr>
          <w:rFonts w:ascii="宋体" w:eastAsia="宋体" w:hAnsi="Calibri" w:cs="Times New Roman" w:hint="eastAsia"/>
          <w:bCs/>
          <w:kern w:val="0"/>
          <w:sz w:val="24"/>
        </w:rPr>
        <w:t>。</w:t>
      </w:r>
    </w:p>
    <w:p w14:paraId="31A26C76" w14:textId="77777777" w:rsidR="00E75FE1" w:rsidRPr="00E75FE1" w:rsidRDefault="00E75FE1" w:rsidP="00E75FE1">
      <w:pPr>
        <w:adjustRightInd w:val="0"/>
        <w:snapToGrid w:val="0"/>
        <w:spacing w:line="500" w:lineRule="exact"/>
        <w:ind w:firstLineChars="200" w:firstLine="482"/>
        <w:rPr>
          <w:rFonts w:ascii="宋体" w:eastAsia="宋体" w:hAnsi="Calibri" w:cs="Times New Roman"/>
          <w:bCs/>
          <w:kern w:val="0"/>
          <w:sz w:val="24"/>
        </w:rPr>
      </w:pPr>
      <w:r w:rsidRPr="00E75FE1">
        <w:rPr>
          <w:rFonts w:ascii="宋体" w:eastAsia="宋体" w:hAnsi="Calibri" w:cs="Times New Roman" w:hint="eastAsia"/>
          <w:b/>
          <w:kern w:val="0"/>
          <w:sz w:val="24"/>
        </w:rPr>
        <w:t>3.课程考核方式：</w:t>
      </w:r>
      <w:r w:rsidRPr="00E75FE1">
        <w:rPr>
          <w:rFonts w:ascii="宋体" w:eastAsia="宋体" w:hAnsi="Calibri" w:cs="Times New Roman" w:hint="eastAsia"/>
          <w:bCs/>
          <w:kern w:val="0"/>
          <w:sz w:val="24"/>
        </w:rPr>
        <w:t>排球场地，两人连续</w:t>
      </w:r>
      <w:proofErr w:type="gramStart"/>
      <w:r w:rsidRPr="00E75FE1">
        <w:rPr>
          <w:rFonts w:ascii="宋体" w:eastAsia="宋体" w:hAnsi="Calibri" w:cs="Times New Roman" w:hint="eastAsia"/>
          <w:bCs/>
          <w:kern w:val="0"/>
          <w:sz w:val="24"/>
        </w:rPr>
        <w:t>垫或者</w:t>
      </w:r>
      <w:proofErr w:type="gramEnd"/>
      <w:r w:rsidRPr="00E75FE1">
        <w:rPr>
          <w:rFonts w:ascii="宋体" w:eastAsia="宋体" w:hAnsi="Calibri" w:cs="Times New Roman" w:hint="eastAsia"/>
          <w:bCs/>
          <w:kern w:val="0"/>
          <w:sz w:val="24"/>
        </w:rPr>
        <w:t>传三次，取最好成绩。</w:t>
      </w:r>
    </w:p>
    <w:p w14:paraId="3F27B306" w14:textId="77777777" w:rsidR="00E75FE1" w:rsidRPr="00E75FE1" w:rsidRDefault="00E75FE1" w:rsidP="00E75FE1">
      <w:pPr>
        <w:adjustRightInd w:val="0"/>
        <w:snapToGrid w:val="0"/>
        <w:spacing w:line="500" w:lineRule="exact"/>
        <w:ind w:firstLineChars="200" w:firstLine="482"/>
        <w:rPr>
          <w:rFonts w:ascii="宋体" w:eastAsia="宋体" w:hAnsi="Calibri" w:cs="Times New Roman"/>
          <w:bCs/>
          <w:kern w:val="0"/>
          <w:sz w:val="24"/>
        </w:rPr>
      </w:pPr>
      <w:r w:rsidRPr="00E75FE1">
        <w:rPr>
          <w:rFonts w:ascii="宋体" w:eastAsia="宋体" w:hAnsi="Calibri" w:cs="Times New Roman" w:hint="eastAsia"/>
          <w:b/>
          <w:kern w:val="0"/>
          <w:sz w:val="24"/>
        </w:rPr>
        <w:t>4.成绩构成及分值：</w:t>
      </w:r>
      <w:r w:rsidRPr="00E75FE1">
        <w:rPr>
          <w:rFonts w:ascii="宋体" w:eastAsia="宋体" w:hAnsi="Calibri" w:cs="Times New Roman" w:hint="eastAsia"/>
          <w:bCs/>
          <w:kern w:val="0"/>
          <w:sz w:val="24"/>
        </w:rPr>
        <w:t>数量评价和技术评价分别按百分制计算，各占50%。</w:t>
      </w:r>
    </w:p>
    <w:p w14:paraId="710BC3F2" w14:textId="77777777" w:rsidR="00E75FE1" w:rsidRPr="00E75FE1" w:rsidRDefault="00E75FE1" w:rsidP="00E75FE1">
      <w:pPr>
        <w:adjustRightInd w:val="0"/>
        <w:snapToGrid w:val="0"/>
        <w:spacing w:line="500" w:lineRule="exact"/>
        <w:ind w:firstLineChars="200" w:firstLine="482"/>
        <w:rPr>
          <w:rFonts w:ascii="宋体" w:eastAsia="宋体" w:hAnsi="Calibri" w:cs="Times New Roman"/>
          <w:b/>
          <w:kern w:val="0"/>
          <w:sz w:val="24"/>
        </w:rPr>
      </w:pPr>
      <w:r w:rsidRPr="00E75FE1">
        <w:rPr>
          <w:rFonts w:ascii="宋体" w:eastAsia="宋体" w:hAnsi="Calibri" w:cs="Times New Roman" w:hint="eastAsia"/>
          <w:b/>
          <w:kern w:val="0"/>
          <w:sz w:val="24"/>
        </w:rPr>
        <w:t>5.评分记分原则：</w:t>
      </w:r>
    </w:p>
    <w:p w14:paraId="6B6901CA"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数量评价：</w:t>
      </w:r>
    </w:p>
    <w:p w14:paraId="36768B5C"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lastRenderedPageBreak/>
        <w:t>两人一组，学生相距</w:t>
      </w:r>
      <w:r w:rsidRPr="00E75FE1">
        <w:rPr>
          <w:rFonts w:ascii="Calibri" w:eastAsia="宋体" w:hAnsi="Calibri" w:cs="Times New Roman" w:hint="eastAsia"/>
          <w:sz w:val="24"/>
        </w:rPr>
        <w:t>4-6</w:t>
      </w:r>
      <w:r w:rsidRPr="00E75FE1">
        <w:rPr>
          <w:rFonts w:ascii="Calibri" w:eastAsia="宋体" w:hAnsi="Calibri" w:cs="Times New Roman" w:hint="eastAsia"/>
          <w:sz w:val="24"/>
        </w:rPr>
        <w:t>米。</w:t>
      </w:r>
      <w:r w:rsidRPr="00E75FE1">
        <w:rPr>
          <w:rFonts w:ascii="Calibri" w:eastAsia="宋体" w:hAnsi="Calibri" w:cs="Times New Roman" w:hint="eastAsia"/>
          <w:sz w:val="24"/>
        </w:rPr>
        <w:t>5</w:t>
      </w:r>
      <w:r w:rsidRPr="00E75FE1">
        <w:rPr>
          <w:rFonts w:ascii="Calibri" w:eastAsia="宋体" w:hAnsi="Calibri" w:cs="Times New Roman" w:hint="eastAsia"/>
          <w:sz w:val="24"/>
        </w:rPr>
        <w:t>个回合为及格，</w:t>
      </w:r>
      <w:r w:rsidRPr="00E75FE1">
        <w:rPr>
          <w:rFonts w:ascii="Calibri" w:eastAsia="宋体" w:hAnsi="Calibri" w:cs="Times New Roman" w:hint="eastAsia"/>
          <w:sz w:val="24"/>
        </w:rPr>
        <w:t>25</w:t>
      </w:r>
      <w:r w:rsidRPr="00E75FE1">
        <w:rPr>
          <w:rFonts w:ascii="Calibri" w:eastAsia="宋体" w:hAnsi="Calibri" w:cs="Times New Roman" w:hint="eastAsia"/>
          <w:sz w:val="24"/>
        </w:rPr>
        <w:t>个回合为满分；分值</w:t>
      </w:r>
      <w:r w:rsidRPr="00E75FE1">
        <w:rPr>
          <w:rFonts w:ascii="Calibri" w:eastAsia="宋体" w:hAnsi="Calibri" w:cs="Times New Roman" w:hint="eastAsia"/>
          <w:sz w:val="24"/>
        </w:rPr>
        <w:t>10</w:t>
      </w:r>
      <w:r w:rsidRPr="00E75FE1">
        <w:rPr>
          <w:rFonts w:ascii="Calibri" w:eastAsia="宋体" w:hAnsi="Calibri" w:cs="Times New Roman"/>
          <w:sz w:val="24"/>
        </w:rPr>
        <w:t>0</w:t>
      </w:r>
      <w:r w:rsidRPr="00E75FE1">
        <w:rPr>
          <w:rFonts w:ascii="Calibri" w:eastAsia="宋体" w:hAnsi="Calibri" w:cs="Times New Roman" w:hint="eastAsia"/>
          <w:sz w:val="24"/>
        </w:rPr>
        <w:t>分。</w:t>
      </w:r>
    </w:p>
    <w:p w14:paraId="7CCD0E54"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技术评价：</w:t>
      </w:r>
    </w:p>
    <w:p w14:paraId="61AB9869"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技术分为</w:t>
      </w:r>
      <w:r w:rsidRPr="00E75FE1">
        <w:rPr>
          <w:rFonts w:ascii="Calibri" w:eastAsia="宋体" w:hAnsi="Calibri" w:cs="Times New Roman" w:hint="eastAsia"/>
          <w:sz w:val="24"/>
        </w:rPr>
        <w:t>ABCDE</w:t>
      </w:r>
      <w:r w:rsidRPr="00E75FE1">
        <w:rPr>
          <w:rFonts w:ascii="Calibri" w:eastAsia="宋体" w:hAnsi="Calibri" w:cs="Times New Roman" w:hint="eastAsia"/>
          <w:sz w:val="24"/>
        </w:rPr>
        <w:t>共</w:t>
      </w:r>
      <w:r w:rsidRPr="00E75FE1">
        <w:rPr>
          <w:rFonts w:ascii="Calibri" w:eastAsia="宋体" w:hAnsi="Calibri" w:cs="Times New Roman" w:hint="eastAsia"/>
          <w:sz w:val="24"/>
        </w:rPr>
        <w:t>5</w:t>
      </w:r>
      <w:r w:rsidRPr="00E75FE1">
        <w:rPr>
          <w:rFonts w:ascii="Calibri" w:eastAsia="宋体" w:hAnsi="Calibri" w:cs="Times New Roman" w:hint="eastAsia"/>
          <w:sz w:val="24"/>
        </w:rPr>
        <w:t>档。</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E75FE1" w:rsidRPr="00E75FE1" w14:paraId="54F40793" w14:textId="77777777" w:rsidTr="00375FAF">
        <w:trPr>
          <w:jc w:val="center"/>
        </w:trPr>
        <w:tc>
          <w:tcPr>
            <w:tcW w:w="970" w:type="dxa"/>
          </w:tcPr>
          <w:p w14:paraId="0F02E391"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技术分</w:t>
            </w:r>
          </w:p>
        </w:tc>
        <w:tc>
          <w:tcPr>
            <w:tcW w:w="1183" w:type="dxa"/>
          </w:tcPr>
          <w:p w14:paraId="7CE0E8F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五级制</w:t>
            </w:r>
          </w:p>
        </w:tc>
        <w:tc>
          <w:tcPr>
            <w:tcW w:w="1341" w:type="dxa"/>
          </w:tcPr>
          <w:p w14:paraId="5B56743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分值范围</w:t>
            </w:r>
          </w:p>
        </w:tc>
        <w:tc>
          <w:tcPr>
            <w:tcW w:w="3551" w:type="dxa"/>
          </w:tcPr>
          <w:p w14:paraId="1EB65BF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备注</w:t>
            </w:r>
          </w:p>
        </w:tc>
      </w:tr>
      <w:tr w:rsidR="00E75FE1" w:rsidRPr="00E75FE1" w14:paraId="71F951CB" w14:textId="77777777" w:rsidTr="00375FAF">
        <w:trPr>
          <w:jc w:val="center"/>
        </w:trPr>
        <w:tc>
          <w:tcPr>
            <w:tcW w:w="970" w:type="dxa"/>
          </w:tcPr>
          <w:p w14:paraId="30D36640"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A</w:t>
            </w:r>
          </w:p>
        </w:tc>
        <w:tc>
          <w:tcPr>
            <w:tcW w:w="1183" w:type="dxa"/>
          </w:tcPr>
          <w:p w14:paraId="3906628B"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优秀</w:t>
            </w:r>
          </w:p>
        </w:tc>
        <w:tc>
          <w:tcPr>
            <w:tcW w:w="1341" w:type="dxa"/>
          </w:tcPr>
          <w:p w14:paraId="44FF384D"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90—99</w:t>
            </w:r>
          </w:p>
        </w:tc>
        <w:tc>
          <w:tcPr>
            <w:tcW w:w="3551" w:type="dxa"/>
          </w:tcPr>
          <w:p w14:paraId="0E1FB89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姿势正确，动作优美、协调</w:t>
            </w:r>
          </w:p>
        </w:tc>
      </w:tr>
      <w:tr w:rsidR="00E75FE1" w:rsidRPr="00E75FE1" w14:paraId="02B1B953" w14:textId="77777777" w:rsidTr="00375FAF">
        <w:trPr>
          <w:jc w:val="center"/>
        </w:trPr>
        <w:tc>
          <w:tcPr>
            <w:tcW w:w="970" w:type="dxa"/>
          </w:tcPr>
          <w:p w14:paraId="04C3C9E4"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B</w:t>
            </w:r>
          </w:p>
        </w:tc>
        <w:tc>
          <w:tcPr>
            <w:tcW w:w="1183" w:type="dxa"/>
          </w:tcPr>
          <w:p w14:paraId="6624EE17"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良好</w:t>
            </w:r>
          </w:p>
        </w:tc>
        <w:tc>
          <w:tcPr>
            <w:tcW w:w="1341" w:type="dxa"/>
          </w:tcPr>
          <w:p w14:paraId="31CEE66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80—89</w:t>
            </w:r>
          </w:p>
        </w:tc>
        <w:tc>
          <w:tcPr>
            <w:tcW w:w="3551" w:type="dxa"/>
          </w:tcPr>
          <w:p w14:paraId="69692B5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姿势较正确，动作自然</w:t>
            </w:r>
          </w:p>
        </w:tc>
      </w:tr>
      <w:tr w:rsidR="00E75FE1" w:rsidRPr="00E75FE1" w14:paraId="241E31B1" w14:textId="77777777" w:rsidTr="00375FAF">
        <w:trPr>
          <w:jc w:val="center"/>
        </w:trPr>
        <w:tc>
          <w:tcPr>
            <w:tcW w:w="970" w:type="dxa"/>
          </w:tcPr>
          <w:p w14:paraId="771F688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C</w:t>
            </w:r>
          </w:p>
        </w:tc>
        <w:tc>
          <w:tcPr>
            <w:tcW w:w="1183" w:type="dxa"/>
          </w:tcPr>
          <w:p w14:paraId="0AF94EC0"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中等</w:t>
            </w:r>
          </w:p>
        </w:tc>
        <w:tc>
          <w:tcPr>
            <w:tcW w:w="1341" w:type="dxa"/>
          </w:tcPr>
          <w:p w14:paraId="194EC82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70—79</w:t>
            </w:r>
          </w:p>
        </w:tc>
        <w:tc>
          <w:tcPr>
            <w:tcW w:w="3551" w:type="dxa"/>
          </w:tcPr>
          <w:p w14:paraId="7E6281E5"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姿势一般，动作基本正确</w:t>
            </w:r>
          </w:p>
        </w:tc>
      </w:tr>
      <w:tr w:rsidR="00E75FE1" w:rsidRPr="00E75FE1" w14:paraId="1D396BC3" w14:textId="77777777" w:rsidTr="00375FAF">
        <w:trPr>
          <w:jc w:val="center"/>
        </w:trPr>
        <w:tc>
          <w:tcPr>
            <w:tcW w:w="970" w:type="dxa"/>
          </w:tcPr>
          <w:p w14:paraId="356524C0"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D</w:t>
            </w:r>
          </w:p>
        </w:tc>
        <w:tc>
          <w:tcPr>
            <w:tcW w:w="1183" w:type="dxa"/>
          </w:tcPr>
          <w:p w14:paraId="043F9E3D"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及格</w:t>
            </w:r>
          </w:p>
        </w:tc>
        <w:tc>
          <w:tcPr>
            <w:tcW w:w="1341" w:type="dxa"/>
          </w:tcPr>
          <w:p w14:paraId="17A63E6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60—69</w:t>
            </w:r>
          </w:p>
        </w:tc>
        <w:tc>
          <w:tcPr>
            <w:tcW w:w="3551" w:type="dxa"/>
          </w:tcPr>
          <w:p w14:paraId="5FB4269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动作不协调，有多余动作</w:t>
            </w:r>
          </w:p>
        </w:tc>
      </w:tr>
      <w:tr w:rsidR="00E75FE1" w:rsidRPr="00E75FE1" w14:paraId="72B54A15" w14:textId="77777777" w:rsidTr="00375FAF">
        <w:trPr>
          <w:jc w:val="center"/>
        </w:trPr>
        <w:tc>
          <w:tcPr>
            <w:tcW w:w="970" w:type="dxa"/>
          </w:tcPr>
          <w:p w14:paraId="3EE7E9D0"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E</w:t>
            </w:r>
          </w:p>
        </w:tc>
        <w:tc>
          <w:tcPr>
            <w:tcW w:w="1183" w:type="dxa"/>
          </w:tcPr>
          <w:p w14:paraId="62019F7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不及格</w:t>
            </w:r>
          </w:p>
        </w:tc>
        <w:tc>
          <w:tcPr>
            <w:tcW w:w="1341" w:type="dxa"/>
          </w:tcPr>
          <w:p w14:paraId="734F55F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60以下</w:t>
            </w:r>
          </w:p>
        </w:tc>
        <w:tc>
          <w:tcPr>
            <w:tcW w:w="3551" w:type="dxa"/>
          </w:tcPr>
          <w:p w14:paraId="45A1FEB5"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动作僵硬，吃力，不协调</w:t>
            </w:r>
          </w:p>
        </w:tc>
      </w:tr>
    </w:tbl>
    <w:p w14:paraId="2FE7E9C9" w14:textId="77777777" w:rsidR="00E75FE1" w:rsidRPr="00E75FE1" w:rsidRDefault="00E75FE1" w:rsidP="00E75FE1">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E75FE1">
        <w:rPr>
          <w:rFonts w:ascii="宋体" w:eastAsia="宋体" w:hAnsi="Calibri" w:cs="Times New Roman" w:hint="eastAsia"/>
          <w:b/>
          <w:kern w:val="0"/>
          <w:sz w:val="24"/>
        </w:rPr>
        <w:t>期末考试</w:t>
      </w:r>
    </w:p>
    <w:p w14:paraId="6F009C0F" w14:textId="77777777" w:rsidR="00E75FE1" w:rsidRPr="00E75FE1" w:rsidRDefault="00E75FE1" w:rsidP="00E75FE1">
      <w:pPr>
        <w:adjustRightInd w:val="0"/>
        <w:snapToGrid w:val="0"/>
        <w:spacing w:line="500" w:lineRule="exact"/>
        <w:ind w:firstLineChars="200" w:firstLine="482"/>
        <w:rPr>
          <w:rFonts w:ascii="宋体" w:eastAsia="宋体" w:hAnsi="Calibri" w:cs="Times New Roman"/>
          <w:bCs/>
          <w:kern w:val="0"/>
          <w:sz w:val="24"/>
        </w:rPr>
      </w:pPr>
      <w:r w:rsidRPr="00E75FE1">
        <w:rPr>
          <w:rFonts w:ascii="宋体" w:eastAsia="宋体" w:hAnsi="Calibri" w:cs="Times New Roman" w:hint="eastAsia"/>
          <w:b/>
          <w:kern w:val="0"/>
          <w:sz w:val="24"/>
        </w:rPr>
        <w:t>1.课程考核目标:</w:t>
      </w:r>
      <w:r w:rsidRPr="00E75FE1">
        <w:rPr>
          <w:rFonts w:ascii="宋体" w:eastAsia="宋体" w:hAnsi="Calibri" w:cs="Times New Roman" w:hint="eastAsia"/>
          <w:bCs/>
          <w:kern w:val="0"/>
          <w:sz w:val="24"/>
        </w:rPr>
        <w:t>通过考核检验</w:t>
      </w:r>
      <w:r w:rsidRPr="00E75FE1">
        <w:rPr>
          <w:rFonts w:ascii="Calibri" w:eastAsia="宋体" w:hAnsi="Calibri" w:cs="Times New Roman" w:hint="eastAsia"/>
          <w:sz w:val="24"/>
        </w:rPr>
        <w:t>正面下手发球</w:t>
      </w:r>
      <w:r w:rsidRPr="00E75FE1">
        <w:rPr>
          <w:rFonts w:ascii="宋体" w:eastAsia="宋体" w:hAnsi="Calibri" w:cs="Times New Roman" w:hint="eastAsia"/>
          <w:bCs/>
          <w:kern w:val="0"/>
          <w:sz w:val="24"/>
        </w:rPr>
        <w:t>教学效果和学生掌握情况，让学生了解</w:t>
      </w:r>
      <w:r w:rsidRPr="00E75FE1">
        <w:rPr>
          <w:rFonts w:ascii="Calibri" w:eastAsia="宋体" w:hAnsi="Calibri" w:cs="Times New Roman" w:hint="eastAsia"/>
          <w:sz w:val="24"/>
        </w:rPr>
        <w:t>正面下手发球</w:t>
      </w:r>
      <w:r w:rsidRPr="00E75FE1">
        <w:rPr>
          <w:rFonts w:ascii="宋体" w:eastAsia="宋体" w:hAnsi="Calibri" w:cs="Times New Roman" w:hint="eastAsia"/>
          <w:bCs/>
          <w:kern w:val="0"/>
          <w:sz w:val="24"/>
        </w:rPr>
        <w:t>的重要性。</w:t>
      </w:r>
    </w:p>
    <w:p w14:paraId="056FD5B4" w14:textId="77777777" w:rsidR="00E75FE1" w:rsidRPr="00E75FE1" w:rsidRDefault="00E75FE1" w:rsidP="00E75FE1">
      <w:pPr>
        <w:adjustRightInd w:val="0"/>
        <w:snapToGrid w:val="0"/>
        <w:spacing w:line="500" w:lineRule="exact"/>
        <w:ind w:firstLineChars="200" w:firstLine="482"/>
        <w:rPr>
          <w:rFonts w:ascii="宋体" w:eastAsia="宋体" w:hAnsi="Calibri" w:cs="Times New Roman"/>
          <w:bCs/>
          <w:kern w:val="0"/>
          <w:sz w:val="24"/>
        </w:rPr>
      </w:pPr>
      <w:r w:rsidRPr="00E75FE1">
        <w:rPr>
          <w:rFonts w:ascii="宋体" w:eastAsia="宋体" w:hAnsi="Calibri" w:cs="Times New Roman" w:hint="eastAsia"/>
          <w:b/>
          <w:kern w:val="0"/>
          <w:sz w:val="24"/>
        </w:rPr>
        <w:t>2.课程考核的内容：</w:t>
      </w:r>
      <w:r w:rsidRPr="00E75FE1">
        <w:rPr>
          <w:rFonts w:ascii="Calibri" w:eastAsia="宋体" w:hAnsi="Calibri" w:cs="Times New Roman" w:hint="eastAsia"/>
          <w:sz w:val="24"/>
        </w:rPr>
        <w:t>正面下手发球</w:t>
      </w:r>
      <w:r w:rsidRPr="00E75FE1">
        <w:rPr>
          <w:rFonts w:ascii="宋体" w:eastAsia="宋体" w:hAnsi="Calibri" w:cs="Times New Roman" w:hint="eastAsia"/>
          <w:bCs/>
          <w:kern w:val="0"/>
          <w:sz w:val="24"/>
        </w:rPr>
        <w:t>。</w:t>
      </w:r>
    </w:p>
    <w:p w14:paraId="2E65FD62" w14:textId="77777777" w:rsidR="00E75FE1" w:rsidRPr="00E75FE1" w:rsidRDefault="00E75FE1" w:rsidP="00E75FE1">
      <w:pPr>
        <w:adjustRightInd w:val="0"/>
        <w:snapToGrid w:val="0"/>
        <w:spacing w:line="500" w:lineRule="exact"/>
        <w:ind w:firstLineChars="200" w:firstLine="482"/>
        <w:rPr>
          <w:rFonts w:ascii="Calibri" w:eastAsia="宋体" w:hAnsi="Calibri" w:cs="Times New Roman"/>
          <w:sz w:val="24"/>
        </w:rPr>
      </w:pPr>
      <w:r w:rsidRPr="00E75FE1">
        <w:rPr>
          <w:rFonts w:ascii="宋体" w:eastAsia="宋体" w:hAnsi="Calibri" w:cs="Times New Roman" w:hint="eastAsia"/>
          <w:b/>
          <w:kern w:val="0"/>
          <w:sz w:val="24"/>
        </w:rPr>
        <w:t>3.课程考核方式：</w:t>
      </w:r>
      <w:r w:rsidRPr="00E75FE1">
        <w:rPr>
          <w:rFonts w:ascii="Calibri" w:eastAsia="宋体" w:hAnsi="Calibri" w:cs="Times New Roman" w:hint="eastAsia"/>
          <w:sz w:val="24"/>
        </w:rPr>
        <w:t>站在端线，正面下手发球技术，每人连发</w:t>
      </w:r>
      <w:r w:rsidRPr="00E75FE1">
        <w:rPr>
          <w:rFonts w:ascii="Calibri" w:eastAsia="宋体" w:hAnsi="Calibri" w:cs="Times New Roman"/>
          <w:sz w:val="24"/>
        </w:rPr>
        <w:t>10</w:t>
      </w:r>
      <w:r w:rsidRPr="00E75FE1">
        <w:rPr>
          <w:rFonts w:ascii="Calibri" w:eastAsia="宋体" w:hAnsi="Calibri" w:cs="Times New Roman" w:hint="eastAsia"/>
          <w:sz w:val="24"/>
        </w:rPr>
        <w:t>球。</w:t>
      </w:r>
    </w:p>
    <w:p w14:paraId="19B66BC6" w14:textId="77777777" w:rsidR="00E75FE1" w:rsidRPr="00E75FE1" w:rsidRDefault="00E75FE1" w:rsidP="00E75FE1">
      <w:pPr>
        <w:adjustRightInd w:val="0"/>
        <w:snapToGrid w:val="0"/>
        <w:spacing w:line="500" w:lineRule="exact"/>
        <w:ind w:firstLineChars="200" w:firstLine="482"/>
        <w:rPr>
          <w:rFonts w:ascii="宋体" w:eastAsia="宋体" w:hAnsi="Calibri" w:cs="Times New Roman"/>
          <w:bCs/>
          <w:kern w:val="0"/>
          <w:sz w:val="24"/>
        </w:rPr>
      </w:pPr>
      <w:r w:rsidRPr="00E75FE1">
        <w:rPr>
          <w:rFonts w:ascii="宋体" w:eastAsia="宋体" w:hAnsi="Calibri" w:cs="Times New Roman" w:hint="eastAsia"/>
          <w:b/>
          <w:kern w:val="0"/>
          <w:sz w:val="24"/>
        </w:rPr>
        <w:t>4.成绩构成及分值：</w:t>
      </w:r>
      <w:r w:rsidRPr="00E75FE1">
        <w:rPr>
          <w:rFonts w:ascii="宋体" w:eastAsia="宋体" w:hAnsi="Calibri" w:cs="Times New Roman" w:hint="eastAsia"/>
          <w:bCs/>
          <w:kern w:val="0"/>
          <w:sz w:val="24"/>
        </w:rPr>
        <w:t>数量评价和技术评价分别按百分制计算，各占50%。</w:t>
      </w:r>
    </w:p>
    <w:p w14:paraId="0651563D" w14:textId="77777777" w:rsidR="00E75FE1" w:rsidRPr="00E75FE1" w:rsidRDefault="00E75FE1" w:rsidP="00E75FE1">
      <w:pPr>
        <w:adjustRightInd w:val="0"/>
        <w:snapToGrid w:val="0"/>
        <w:spacing w:line="500" w:lineRule="exact"/>
        <w:ind w:firstLineChars="200" w:firstLine="482"/>
        <w:rPr>
          <w:rFonts w:ascii="宋体" w:eastAsia="宋体" w:hAnsi="Calibri" w:cs="Times New Roman"/>
          <w:b/>
          <w:kern w:val="0"/>
          <w:sz w:val="24"/>
        </w:rPr>
      </w:pPr>
      <w:r w:rsidRPr="00E75FE1">
        <w:rPr>
          <w:rFonts w:ascii="宋体" w:eastAsia="宋体" w:hAnsi="Calibri" w:cs="Times New Roman" w:hint="eastAsia"/>
          <w:b/>
          <w:kern w:val="0"/>
          <w:sz w:val="24"/>
        </w:rPr>
        <w:t>5.评分记分原则：</w:t>
      </w:r>
    </w:p>
    <w:p w14:paraId="79660453"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数量评价：</w:t>
      </w:r>
    </w:p>
    <w:p w14:paraId="59C0DDC2"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每发过一个球且在界内，即得</w:t>
      </w:r>
      <w:r w:rsidRPr="00E75FE1">
        <w:rPr>
          <w:rFonts w:ascii="Calibri" w:eastAsia="宋体" w:hAnsi="Calibri" w:cs="Times New Roman" w:hint="eastAsia"/>
          <w:sz w:val="24"/>
        </w:rPr>
        <w:t>10</w:t>
      </w:r>
      <w:r w:rsidRPr="00E75FE1">
        <w:rPr>
          <w:rFonts w:ascii="Calibri" w:eastAsia="宋体" w:hAnsi="Calibri" w:cs="Times New Roman" w:hint="eastAsia"/>
          <w:sz w:val="24"/>
        </w:rPr>
        <w:t>分，分值</w:t>
      </w:r>
      <w:r w:rsidRPr="00E75FE1">
        <w:rPr>
          <w:rFonts w:ascii="Calibri" w:eastAsia="宋体" w:hAnsi="Calibri" w:cs="Times New Roman" w:hint="eastAsia"/>
          <w:sz w:val="24"/>
        </w:rPr>
        <w:t>10</w:t>
      </w:r>
      <w:r w:rsidRPr="00E75FE1">
        <w:rPr>
          <w:rFonts w:ascii="Calibri" w:eastAsia="宋体" w:hAnsi="Calibri" w:cs="Times New Roman"/>
          <w:sz w:val="24"/>
        </w:rPr>
        <w:t>0</w:t>
      </w:r>
      <w:r w:rsidRPr="00E75FE1">
        <w:rPr>
          <w:rFonts w:ascii="Calibri" w:eastAsia="宋体" w:hAnsi="Calibri" w:cs="Times New Roman" w:hint="eastAsia"/>
          <w:sz w:val="24"/>
        </w:rPr>
        <w:t>分。</w:t>
      </w:r>
    </w:p>
    <w:p w14:paraId="5708542F"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技术评价：</w:t>
      </w:r>
    </w:p>
    <w:p w14:paraId="759280D0" w14:textId="77777777" w:rsidR="00E75FE1" w:rsidRPr="00E75FE1" w:rsidRDefault="00E75FE1" w:rsidP="00E75FE1">
      <w:pPr>
        <w:adjustRightInd w:val="0"/>
        <w:snapToGrid w:val="0"/>
        <w:spacing w:line="500" w:lineRule="exact"/>
        <w:ind w:firstLineChars="200" w:firstLine="480"/>
        <w:rPr>
          <w:rFonts w:ascii="宋体" w:eastAsia="宋体" w:hAnsi="Calibri" w:cs="Times New Roman"/>
          <w:bCs/>
          <w:kern w:val="0"/>
          <w:sz w:val="28"/>
          <w:szCs w:val="28"/>
        </w:rPr>
      </w:pPr>
      <w:r w:rsidRPr="00E75FE1">
        <w:rPr>
          <w:rFonts w:ascii="Calibri" w:eastAsia="宋体" w:hAnsi="Calibri" w:cs="Times New Roman" w:hint="eastAsia"/>
          <w:sz w:val="24"/>
        </w:rPr>
        <w:t>技术分为</w:t>
      </w:r>
      <w:r w:rsidRPr="00E75FE1">
        <w:rPr>
          <w:rFonts w:ascii="Calibri" w:eastAsia="宋体" w:hAnsi="Calibri" w:cs="Times New Roman" w:hint="eastAsia"/>
          <w:sz w:val="24"/>
        </w:rPr>
        <w:t>ABCDE</w:t>
      </w:r>
      <w:r w:rsidRPr="00E75FE1">
        <w:rPr>
          <w:rFonts w:ascii="Calibri" w:eastAsia="宋体" w:hAnsi="Calibri" w:cs="Times New Roman" w:hint="eastAsia"/>
          <w:sz w:val="24"/>
        </w:rPr>
        <w:t>共</w:t>
      </w:r>
      <w:r w:rsidRPr="00E75FE1">
        <w:rPr>
          <w:rFonts w:ascii="Calibri" w:eastAsia="宋体" w:hAnsi="Calibri" w:cs="Times New Roman" w:hint="eastAsia"/>
          <w:sz w:val="24"/>
        </w:rPr>
        <w:t>5</w:t>
      </w:r>
      <w:r w:rsidRPr="00E75FE1">
        <w:rPr>
          <w:rFonts w:ascii="Calibri" w:eastAsia="宋体" w:hAnsi="Calibri" w:cs="Times New Roman" w:hint="eastAsia"/>
          <w:sz w:val="24"/>
        </w:rPr>
        <w:t>档。</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E75FE1" w:rsidRPr="00E75FE1" w14:paraId="2EB89CFF" w14:textId="77777777" w:rsidTr="00375FAF">
        <w:trPr>
          <w:jc w:val="center"/>
        </w:trPr>
        <w:tc>
          <w:tcPr>
            <w:tcW w:w="970" w:type="dxa"/>
          </w:tcPr>
          <w:p w14:paraId="1064A16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技术分</w:t>
            </w:r>
          </w:p>
        </w:tc>
        <w:tc>
          <w:tcPr>
            <w:tcW w:w="1183" w:type="dxa"/>
          </w:tcPr>
          <w:p w14:paraId="7F91A1CB"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五级制</w:t>
            </w:r>
          </w:p>
        </w:tc>
        <w:tc>
          <w:tcPr>
            <w:tcW w:w="1341" w:type="dxa"/>
          </w:tcPr>
          <w:p w14:paraId="10F8E8B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分值范围</w:t>
            </w:r>
          </w:p>
        </w:tc>
        <w:tc>
          <w:tcPr>
            <w:tcW w:w="3551" w:type="dxa"/>
          </w:tcPr>
          <w:p w14:paraId="3804E457"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备注</w:t>
            </w:r>
          </w:p>
        </w:tc>
      </w:tr>
      <w:tr w:rsidR="00E75FE1" w:rsidRPr="00E75FE1" w14:paraId="11921F72" w14:textId="77777777" w:rsidTr="00375FAF">
        <w:trPr>
          <w:jc w:val="center"/>
        </w:trPr>
        <w:tc>
          <w:tcPr>
            <w:tcW w:w="970" w:type="dxa"/>
          </w:tcPr>
          <w:p w14:paraId="7B6BAFB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A</w:t>
            </w:r>
          </w:p>
        </w:tc>
        <w:tc>
          <w:tcPr>
            <w:tcW w:w="1183" w:type="dxa"/>
          </w:tcPr>
          <w:p w14:paraId="6D41BBF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优秀</w:t>
            </w:r>
          </w:p>
        </w:tc>
        <w:tc>
          <w:tcPr>
            <w:tcW w:w="1341" w:type="dxa"/>
          </w:tcPr>
          <w:p w14:paraId="0DD54941"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90—99</w:t>
            </w:r>
          </w:p>
        </w:tc>
        <w:tc>
          <w:tcPr>
            <w:tcW w:w="3551" w:type="dxa"/>
          </w:tcPr>
          <w:p w14:paraId="4A67F79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姿势正确，动作优美、协调</w:t>
            </w:r>
          </w:p>
        </w:tc>
      </w:tr>
      <w:tr w:rsidR="00E75FE1" w:rsidRPr="00E75FE1" w14:paraId="337EC395" w14:textId="77777777" w:rsidTr="00375FAF">
        <w:trPr>
          <w:jc w:val="center"/>
        </w:trPr>
        <w:tc>
          <w:tcPr>
            <w:tcW w:w="970" w:type="dxa"/>
          </w:tcPr>
          <w:p w14:paraId="2DCD05B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B</w:t>
            </w:r>
          </w:p>
        </w:tc>
        <w:tc>
          <w:tcPr>
            <w:tcW w:w="1183" w:type="dxa"/>
          </w:tcPr>
          <w:p w14:paraId="2D62461B"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良好</w:t>
            </w:r>
          </w:p>
        </w:tc>
        <w:tc>
          <w:tcPr>
            <w:tcW w:w="1341" w:type="dxa"/>
          </w:tcPr>
          <w:p w14:paraId="2E284BDB"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80—89</w:t>
            </w:r>
          </w:p>
        </w:tc>
        <w:tc>
          <w:tcPr>
            <w:tcW w:w="3551" w:type="dxa"/>
          </w:tcPr>
          <w:p w14:paraId="5AF2E66D"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姿势较正确，动作自然</w:t>
            </w:r>
          </w:p>
        </w:tc>
      </w:tr>
      <w:tr w:rsidR="00E75FE1" w:rsidRPr="00E75FE1" w14:paraId="7FB10404" w14:textId="77777777" w:rsidTr="00375FAF">
        <w:trPr>
          <w:jc w:val="center"/>
        </w:trPr>
        <w:tc>
          <w:tcPr>
            <w:tcW w:w="970" w:type="dxa"/>
          </w:tcPr>
          <w:p w14:paraId="2121F8C2"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C</w:t>
            </w:r>
          </w:p>
        </w:tc>
        <w:tc>
          <w:tcPr>
            <w:tcW w:w="1183" w:type="dxa"/>
          </w:tcPr>
          <w:p w14:paraId="2F50E4D9"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中等</w:t>
            </w:r>
          </w:p>
        </w:tc>
        <w:tc>
          <w:tcPr>
            <w:tcW w:w="1341" w:type="dxa"/>
          </w:tcPr>
          <w:p w14:paraId="4D681F6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70—79</w:t>
            </w:r>
          </w:p>
        </w:tc>
        <w:tc>
          <w:tcPr>
            <w:tcW w:w="3551" w:type="dxa"/>
          </w:tcPr>
          <w:p w14:paraId="2E8A0365"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姿势一般，动作基本正确</w:t>
            </w:r>
          </w:p>
        </w:tc>
      </w:tr>
      <w:tr w:rsidR="00E75FE1" w:rsidRPr="00E75FE1" w14:paraId="65AF208E" w14:textId="77777777" w:rsidTr="00375FAF">
        <w:trPr>
          <w:jc w:val="center"/>
        </w:trPr>
        <w:tc>
          <w:tcPr>
            <w:tcW w:w="970" w:type="dxa"/>
          </w:tcPr>
          <w:p w14:paraId="44F414D9"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D</w:t>
            </w:r>
          </w:p>
        </w:tc>
        <w:tc>
          <w:tcPr>
            <w:tcW w:w="1183" w:type="dxa"/>
          </w:tcPr>
          <w:p w14:paraId="62D0AB5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及格</w:t>
            </w:r>
          </w:p>
        </w:tc>
        <w:tc>
          <w:tcPr>
            <w:tcW w:w="1341" w:type="dxa"/>
          </w:tcPr>
          <w:p w14:paraId="7A4AE327"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60—69</w:t>
            </w:r>
          </w:p>
        </w:tc>
        <w:tc>
          <w:tcPr>
            <w:tcW w:w="3551" w:type="dxa"/>
          </w:tcPr>
          <w:p w14:paraId="25F93D3D"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动作不协调，有多余动作</w:t>
            </w:r>
          </w:p>
        </w:tc>
      </w:tr>
      <w:tr w:rsidR="00E75FE1" w:rsidRPr="00E75FE1" w14:paraId="50CC960D" w14:textId="77777777" w:rsidTr="00375FAF">
        <w:trPr>
          <w:jc w:val="center"/>
        </w:trPr>
        <w:tc>
          <w:tcPr>
            <w:tcW w:w="970" w:type="dxa"/>
          </w:tcPr>
          <w:p w14:paraId="0A80C7C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E</w:t>
            </w:r>
          </w:p>
        </w:tc>
        <w:tc>
          <w:tcPr>
            <w:tcW w:w="1183" w:type="dxa"/>
          </w:tcPr>
          <w:p w14:paraId="097D994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不及格</w:t>
            </w:r>
          </w:p>
        </w:tc>
        <w:tc>
          <w:tcPr>
            <w:tcW w:w="1341" w:type="dxa"/>
          </w:tcPr>
          <w:p w14:paraId="326E0D2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60以下</w:t>
            </w:r>
          </w:p>
        </w:tc>
        <w:tc>
          <w:tcPr>
            <w:tcW w:w="3551" w:type="dxa"/>
          </w:tcPr>
          <w:p w14:paraId="42FBCBF7"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动作僵硬，吃力，不协调</w:t>
            </w:r>
          </w:p>
        </w:tc>
      </w:tr>
    </w:tbl>
    <w:p w14:paraId="53A549F6"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lastRenderedPageBreak/>
        <w:t>第四学期</w:t>
      </w:r>
    </w:p>
    <w:p w14:paraId="07134906" w14:textId="77777777" w:rsidR="00E75FE1" w:rsidRPr="00E75FE1" w:rsidRDefault="00E75FE1" w:rsidP="00E75FE1">
      <w:pPr>
        <w:spacing w:beforeLines="50" w:before="156" w:afterLines="50" w:after="156" w:line="440" w:lineRule="exact"/>
        <w:ind w:firstLineChars="200" w:firstLine="482"/>
        <w:jc w:val="center"/>
        <w:rPr>
          <w:rFonts w:ascii="黑体" w:eastAsia="黑体" w:hAnsi="黑体" w:cs="Times New Roman"/>
          <w:sz w:val="28"/>
          <w:szCs w:val="28"/>
        </w:rPr>
      </w:pPr>
      <w:r w:rsidRPr="00E75FE1">
        <w:rPr>
          <w:rFonts w:ascii="宋体" w:eastAsia="宋体" w:hAnsi="Calibri" w:cs="Times New Roman" w:hint="eastAsia"/>
          <w:b/>
          <w:bCs/>
          <w:kern w:val="0"/>
          <w:sz w:val="24"/>
        </w:rPr>
        <w:t>期中考试</w:t>
      </w:r>
    </w:p>
    <w:p w14:paraId="09E518D1" w14:textId="77777777" w:rsidR="00E75FE1" w:rsidRPr="00E75FE1" w:rsidRDefault="00E75FE1" w:rsidP="00E75FE1">
      <w:pPr>
        <w:adjustRightInd w:val="0"/>
        <w:snapToGrid w:val="0"/>
        <w:spacing w:line="500" w:lineRule="exact"/>
        <w:rPr>
          <w:rFonts w:ascii="宋体" w:eastAsia="宋体" w:hAnsi="Calibri" w:cs="Times New Roman"/>
          <w:bCs/>
          <w:kern w:val="0"/>
          <w:sz w:val="24"/>
        </w:rPr>
      </w:pPr>
      <w:r w:rsidRPr="00E75FE1">
        <w:rPr>
          <w:rFonts w:ascii="宋体" w:eastAsia="宋体" w:hAnsi="Calibri" w:cs="Times New Roman" w:hint="eastAsia"/>
          <w:b/>
          <w:kern w:val="0"/>
          <w:sz w:val="24"/>
        </w:rPr>
        <w:t>1.课程考核目标:</w:t>
      </w:r>
      <w:r w:rsidRPr="00E75FE1">
        <w:rPr>
          <w:rFonts w:ascii="宋体" w:eastAsia="宋体" w:hAnsi="Calibri" w:cs="Times New Roman" w:hint="eastAsia"/>
          <w:bCs/>
          <w:kern w:val="0"/>
          <w:sz w:val="24"/>
        </w:rPr>
        <w:t>通过考核</w:t>
      </w:r>
      <w:proofErr w:type="gramStart"/>
      <w:r w:rsidRPr="00E75FE1">
        <w:rPr>
          <w:rFonts w:ascii="宋体" w:eastAsia="宋体" w:hAnsi="Calibri" w:cs="Times New Roman" w:hint="eastAsia"/>
          <w:bCs/>
          <w:kern w:val="0"/>
          <w:sz w:val="24"/>
        </w:rPr>
        <w:t>检验</w:t>
      </w:r>
      <w:r w:rsidRPr="00E75FE1">
        <w:rPr>
          <w:rFonts w:ascii="Calibri" w:eastAsia="宋体" w:hAnsi="Calibri" w:cs="Times New Roman" w:hint="eastAsia"/>
          <w:sz w:val="24"/>
        </w:rPr>
        <w:t>自</w:t>
      </w:r>
      <w:proofErr w:type="gramEnd"/>
      <w:r w:rsidRPr="00E75FE1">
        <w:rPr>
          <w:rFonts w:ascii="Calibri" w:eastAsia="宋体" w:hAnsi="Calibri" w:cs="Times New Roman" w:hint="eastAsia"/>
          <w:sz w:val="24"/>
        </w:rPr>
        <w:t>垫球</w:t>
      </w:r>
      <w:r w:rsidRPr="00E75FE1">
        <w:rPr>
          <w:rFonts w:ascii="宋体" w:eastAsia="宋体" w:hAnsi="Calibri" w:cs="Times New Roman" w:hint="eastAsia"/>
          <w:bCs/>
          <w:kern w:val="0"/>
          <w:sz w:val="24"/>
        </w:rPr>
        <w:t>教学效果和学生掌握情况，让学生了解</w:t>
      </w:r>
      <w:r w:rsidRPr="00E75FE1">
        <w:rPr>
          <w:rFonts w:ascii="Calibri" w:eastAsia="宋体" w:hAnsi="Calibri" w:cs="Times New Roman" w:hint="eastAsia"/>
          <w:sz w:val="24"/>
        </w:rPr>
        <w:t>自垫球</w:t>
      </w:r>
      <w:r w:rsidRPr="00E75FE1">
        <w:rPr>
          <w:rFonts w:ascii="宋体" w:eastAsia="宋体" w:hAnsi="Calibri" w:cs="Times New Roman" w:hint="eastAsia"/>
          <w:bCs/>
          <w:kern w:val="0"/>
          <w:sz w:val="24"/>
        </w:rPr>
        <w:t>的重要性。</w:t>
      </w:r>
    </w:p>
    <w:p w14:paraId="34F5AECB"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2.课程考核的内容：</w:t>
      </w:r>
      <w:r w:rsidRPr="00E75FE1">
        <w:rPr>
          <w:rFonts w:ascii="Calibri" w:eastAsia="宋体" w:hAnsi="Calibri" w:cs="Times New Roman" w:hint="eastAsia"/>
          <w:sz w:val="24"/>
        </w:rPr>
        <w:t>自垫球</w:t>
      </w:r>
      <w:r w:rsidRPr="00E75FE1">
        <w:rPr>
          <w:rFonts w:ascii="宋体" w:eastAsia="宋体" w:hAnsi="Calibri" w:cs="Times New Roman" w:hint="eastAsia"/>
          <w:bCs/>
          <w:kern w:val="0"/>
          <w:sz w:val="24"/>
        </w:rPr>
        <w:t>。</w:t>
      </w:r>
    </w:p>
    <w:p w14:paraId="503F634F"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3.课程考核方式：</w:t>
      </w:r>
      <w:r w:rsidRPr="00E75FE1">
        <w:rPr>
          <w:rFonts w:ascii="宋体" w:eastAsia="宋体" w:hAnsi="Calibri" w:cs="Times New Roman" w:hint="eastAsia"/>
          <w:bCs/>
          <w:kern w:val="0"/>
          <w:sz w:val="24"/>
        </w:rPr>
        <w:t>排球场地，每人连续垫三次，取最好成绩。</w:t>
      </w:r>
    </w:p>
    <w:p w14:paraId="2AD1A511"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4.成绩构成及分值：</w:t>
      </w:r>
      <w:r w:rsidRPr="00E75FE1">
        <w:rPr>
          <w:rFonts w:ascii="宋体" w:eastAsia="宋体" w:hAnsi="Calibri" w:cs="Times New Roman" w:hint="eastAsia"/>
          <w:bCs/>
          <w:kern w:val="0"/>
          <w:sz w:val="24"/>
        </w:rPr>
        <w:t>数量评价和技术评价分别按百分制计算，各占50%。</w:t>
      </w:r>
    </w:p>
    <w:p w14:paraId="47B64F12" w14:textId="77777777" w:rsidR="00E75FE1" w:rsidRPr="00E75FE1" w:rsidRDefault="00E75FE1" w:rsidP="00E75FE1">
      <w:pPr>
        <w:adjustRightInd w:val="0"/>
        <w:snapToGrid w:val="0"/>
        <w:spacing w:line="500" w:lineRule="exact"/>
        <w:jc w:val="left"/>
        <w:rPr>
          <w:rFonts w:ascii="宋体" w:eastAsia="宋体" w:hAnsi="Calibri" w:cs="Times New Roman"/>
          <w:b/>
          <w:kern w:val="0"/>
          <w:sz w:val="24"/>
        </w:rPr>
      </w:pPr>
      <w:r w:rsidRPr="00E75FE1">
        <w:rPr>
          <w:rFonts w:ascii="宋体" w:eastAsia="宋体" w:hAnsi="Calibri" w:cs="Times New Roman" w:hint="eastAsia"/>
          <w:b/>
          <w:kern w:val="0"/>
          <w:sz w:val="24"/>
        </w:rPr>
        <w:t>5.评分记分原则：</w:t>
      </w:r>
    </w:p>
    <w:p w14:paraId="380453D6"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Cs/>
          <w:kern w:val="0"/>
          <w:sz w:val="24"/>
        </w:rPr>
        <w:t>自垫球</w:t>
      </w:r>
      <w:r w:rsidRPr="00E75FE1">
        <w:rPr>
          <w:rFonts w:ascii="宋体" w:eastAsia="宋体" w:hAnsi="Calibri" w:cs="Times New Roman"/>
          <w:bCs/>
          <w:kern w:val="0"/>
          <w:sz w:val="24"/>
        </w:rPr>
        <w:t>（数量及技术评定按百分制计算，各占总分值一半）</w:t>
      </w:r>
    </w:p>
    <w:p w14:paraId="1910FA9B"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bCs/>
          <w:kern w:val="0"/>
          <w:sz w:val="24"/>
        </w:rPr>
        <w:t>数量评价：</w:t>
      </w:r>
    </w:p>
    <w:p w14:paraId="3B6AD930"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Cs/>
          <w:kern w:val="0"/>
          <w:sz w:val="24"/>
        </w:rPr>
        <w:t>1</w:t>
      </w:r>
      <w:r w:rsidRPr="00E75FE1">
        <w:rPr>
          <w:rFonts w:ascii="宋体" w:eastAsia="宋体" w:hAnsi="Calibri" w:cs="Times New Roman"/>
          <w:bCs/>
          <w:kern w:val="0"/>
          <w:sz w:val="24"/>
        </w:rPr>
        <w:t>0</w:t>
      </w:r>
      <w:r w:rsidRPr="00E75FE1">
        <w:rPr>
          <w:rFonts w:ascii="宋体" w:eastAsia="宋体" w:hAnsi="Calibri" w:cs="Times New Roman" w:hint="eastAsia"/>
          <w:bCs/>
          <w:kern w:val="0"/>
          <w:sz w:val="24"/>
        </w:rPr>
        <w:t>个为及格，5</w:t>
      </w:r>
      <w:r w:rsidRPr="00E75FE1">
        <w:rPr>
          <w:rFonts w:ascii="宋体" w:eastAsia="宋体" w:hAnsi="Calibri" w:cs="Times New Roman"/>
          <w:bCs/>
          <w:kern w:val="0"/>
          <w:sz w:val="24"/>
        </w:rPr>
        <w:t>0</w:t>
      </w:r>
      <w:r w:rsidRPr="00E75FE1">
        <w:rPr>
          <w:rFonts w:ascii="宋体" w:eastAsia="宋体" w:hAnsi="Calibri" w:cs="Times New Roman" w:hint="eastAsia"/>
          <w:bCs/>
          <w:kern w:val="0"/>
          <w:sz w:val="24"/>
        </w:rPr>
        <w:t>个为满分</w:t>
      </w:r>
      <w:r w:rsidRPr="00E75FE1">
        <w:rPr>
          <w:rFonts w:ascii="宋体" w:eastAsia="宋体" w:hAnsi="Calibri" w:cs="Times New Roman"/>
          <w:bCs/>
          <w:kern w:val="0"/>
          <w:sz w:val="24"/>
        </w:rPr>
        <w:t>；</w:t>
      </w:r>
      <w:r w:rsidRPr="00E75FE1">
        <w:rPr>
          <w:rFonts w:ascii="宋体" w:eastAsia="宋体" w:hAnsi="Calibri" w:cs="Times New Roman" w:hint="eastAsia"/>
          <w:bCs/>
          <w:kern w:val="0"/>
          <w:sz w:val="24"/>
        </w:rPr>
        <w:t>分值10</w:t>
      </w:r>
      <w:r w:rsidRPr="00E75FE1">
        <w:rPr>
          <w:rFonts w:ascii="宋体" w:eastAsia="宋体" w:hAnsi="Calibri" w:cs="Times New Roman"/>
          <w:bCs/>
          <w:kern w:val="0"/>
          <w:sz w:val="24"/>
        </w:rPr>
        <w:t>0</w:t>
      </w:r>
      <w:r w:rsidRPr="00E75FE1">
        <w:rPr>
          <w:rFonts w:ascii="宋体" w:eastAsia="宋体" w:hAnsi="Calibri" w:cs="Times New Roman" w:hint="eastAsia"/>
          <w:bCs/>
          <w:kern w:val="0"/>
          <w:sz w:val="24"/>
        </w:rPr>
        <w:t>分。</w:t>
      </w:r>
    </w:p>
    <w:p w14:paraId="0D1AC7DA"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bCs/>
          <w:kern w:val="0"/>
          <w:sz w:val="24"/>
        </w:rPr>
        <w:t>技术评价：</w:t>
      </w:r>
    </w:p>
    <w:p w14:paraId="5771BFA0" w14:textId="77777777" w:rsidR="00E75FE1" w:rsidRPr="00E75FE1" w:rsidRDefault="00E75FE1" w:rsidP="00E75FE1">
      <w:pPr>
        <w:adjustRightInd w:val="0"/>
        <w:snapToGrid w:val="0"/>
        <w:spacing w:line="500" w:lineRule="exact"/>
        <w:jc w:val="left"/>
        <w:rPr>
          <w:rFonts w:ascii="Calibri" w:eastAsia="宋体" w:hAnsi="Calibri" w:cs="Times New Roman"/>
          <w:sz w:val="24"/>
        </w:rPr>
      </w:pPr>
      <w:r w:rsidRPr="00E75FE1">
        <w:rPr>
          <w:rFonts w:ascii="宋体" w:eastAsia="宋体" w:hAnsi="Calibri" w:cs="Times New Roman" w:hint="eastAsia"/>
          <w:bCs/>
          <w:kern w:val="0"/>
          <w:sz w:val="24"/>
        </w:rPr>
        <w:t>技术分为</w:t>
      </w:r>
      <w:r w:rsidRPr="00E75FE1">
        <w:rPr>
          <w:rFonts w:ascii="宋体" w:eastAsia="宋体" w:hAnsi="Calibri" w:cs="Times New Roman"/>
          <w:bCs/>
          <w:kern w:val="0"/>
          <w:sz w:val="24"/>
        </w:rPr>
        <w:t>ABCDE</w:t>
      </w:r>
      <w:r w:rsidRPr="00E75FE1">
        <w:rPr>
          <w:rFonts w:ascii="宋体" w:eastAsia="宋体" w:hAnsi="Calibri" w:cs="Times New Roman" w:hint="eastAsia"/>
          <w:bCs/>
          <w:kern w:val="0"/>
          <w:sz w:val="24"/>
        </w:rPr>
        <w:t>共5档</w:t>
      </w:r>
      <w:r w:rsidRPr="00E75FE1">
        <w:rPr>
          <w:rFonts w:ascii="Calibri" w:eastAsia="宋体" w:hAnsi="Calibri"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E75FE1" w:rsidRPr="00E75FE1" w14:paraId="2622ECD4" w14:textId="77777777" w:rsidTr="00375FAF">
        <w:trPr>
          <w:jc w:val="center"/>
        </w:trPr>
        <w:tc>
          <w:tcPr>
            <w:tcW w:w="970" w:type="dxa"/>
          </w:tcPr>
          <w:p w14:paraId="41D13744"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技术分</w:t>
            </w:r>
          </w:p>
        </w:tc>
        <w:tc>
          <w:tcPr>
            <w:tcW w:w="1183" w:type="dxa"/>
          </w:tcPr>
          <w:p w14:paraId="1241F2E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五级制</w:t>
            </w:r>
          </w:p>
        </w:tc>
        <w:tc>
          <w:tcPr>
            <w:tcW w:w="1341" w:type="dxa"/>
          </w:tcPr>
          <w:p w14:paraId="070FB760"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分值范围</w:t>
            </w:r>
          </w:p>
        </w:tc>
        <w:tc>
          <w:tcPr>
            <w:tcW w:w="3551" w:type="dxa"/>
          </w:tcPr>
          <w:p w14:paraId="00FA873D"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备注</w:t>
            </w:r>
          </w:p>
        </w:tc>
      </w:tr>
      <w:tr w:rsidR="00E75FE1" w:rsidRPr="00E75FE1" w14:paraId="6875AC5F" w14:textId="77777777" w:rsidTr="00375FAF">
        <w:trPr>
          <w:jc w:val="center"/>
        </w:trPr>
        <w:tc>
          <w:tcPr>
            <w:tcW w:w="970" w:type="dxa"/>
          </w:tcPr>
          <w:p w14:paraId="24E4474D"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A</w:t>
            </w:r>
          </w:p>
        </w:tc>
        <w:tc>
          <w:tcPr>
            <w:tcW w:w="1183" w:type="dxa"/>
          </w:tcPr>
          <w:p w14:paraId="6490227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优秀</w:t>
            </w:r>
          </w:p>
        </w:tc>
        <w:tc>
          <w:tcPr>
            <w:tcW w:w="1341" w:type="dxa"/>
          </w:tcPr>
          <w:p w14:paraId="0887D88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90—99</w:t>
            </w:r>
          </w:p>
        </w:tc>
        <w:tc>
          <w:tcPr>
            <w:tcW w:w="3551" w:type="dxa"/>
          </w:tcPr>
          <w:p w14:paraId="5E89D322"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姿势正确，动作优美、协调</w:t>
            </w:r>
          </w:p>
        </w:tc>
      </w:tr>
      <w:tr w:rsidR="00E75FE1" w:rsidRPr="00E75FE1" w14:paraId="654BAB6A" w14:textId="77777777" w:rsidTr="00375FAF">
        <w:trPr>
          <w:jc w:val="center"/>
        </w:trPr>
        <w:tc>
          <w:tcPr>
            <w:tcW w:w="970" w:type="dxa"/>
          </w:tcPr>
          <w:p w14:paraId="05629D5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B</w:t>
            </w:r>
          </w:p>
        </w:tc>
        <w:tc>
          <w:tcPr>
            <w:tcW w:w="1183" w:type="dxa"/>
          </w:tcPr>
          <w:p w14:paraId="333BE55B"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良好</w:t>
            </w:r>
          </w:p>
        </w:tc>
        <w:tc>
          <w:tcPr>
            <w:tcW w:w="1341" w:type="dxa"/>
          </w:tcPr>
          <w:p w14:paraId="1BDAB57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80—89</w:t>
            </w:r>
          </w:p>
        </w:tc>
        <w:tc>
          <w:tcPr>
            <w:tcW w:w="3551" w:type="dxa"/>
          </w:tcPr>
          <w:p w14:paraId="3070752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姿势较正确，动作自然</w:t>
            </w:r>
          </w:p>
        </w:tc>
      </w:tr>
      <w:tr w:rsidR="00E75FE1" w:rsidRPr="00E75FE1" w14:paraId="04B9A483" w14:textId="77777777" w:rsidTr="00375FAF">
        <w:trPr>
          <w:jc w:val="center"/>
        </w:trPr>
        <w:tc>
          <w:tcPr>
            <w:tcW w:w="970" w:type="dxa"/>
          </w:tcPr>
          <w:p w14:paraId="22FBF59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C</w:t>
            </w:r>
          </w:p>
        </w:tc>
        <w:tc>
          <w:tcPr>
            <w:tcW w:w="1183" w:type="dxa"/>
          </w:tcPr>
          <w:p w14:paraId="3708C9B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中等</w:t>
            </w:r>
          </w:p>
        </w:tc>
        <w:tc>
          <w:tcPr>
            <w:tcW w:w="1341" w:type="dxa"/>
          </w:tcPr>
          <w:p w14:paraId="6730407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70—79</w:t>
            </w:r>
          </w:p>
        </w:tc>
        <w:tc>
          <w:tcPr>
            <w:tcW w:w="3551" w:type="dxa"/>
          </w:tcPr>
          <w:p w14:paraId="4126B34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姿势一般，动作基本正确</w:t>
            </w:r>
          </w:p>
        </w:tc>
      </w:tr>
      <w:tr w:rsidR="00E75FE1" w:rsidRPr="00E75FE1" w14:paraId="1469D59B" w14:textId="77777777" w:rsidTr="00375FAF">
        <w:trPr>
          <w:jc w:val="center"/>
        </w:trPr>
        <w:tc>
          <w:tcPr>
            <w:tcW w:w="970" w:type="dxa"/>
          </w:tcPr>
          <w:p w14:paraId="60E8DBA7"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D</w:t>
            </w:r>
          </w:p>
        </w:tc>
        <w:tc>
          <w:tcPr>
            <w:tcW w:w="1183" w:type="dxa"/>
          </w:tcPr>
          <w:p w14:paraId="603F79F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及格</w:t>
            </w:r>
          </w:p>
        </w:tc>
        <w:tc>
          <w:tcPr>
            <w:tcW w:w="1341" w:type="dxa"/>
          </w:tcPr>
          <w:p w14:paraId="7E380DC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60—69</w:t>
            </w:r>
          </w:p>
        </w:tc>
        <w:tc>
          <w:tcPr>
            <w:tcW w:w="3551" w:type="dxa"/>
          </w:tcPr>
          <w:p w14:paraId="4775FCA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动作不协调，有多余动作</w:t>
            </w:r>
          </w:p>
        </w:tc>
      </w:tr>
      <w:tr w:rsidR="00E75FE1" w:rsidRPr="00E75FE1" w14:paraId="196B83DD" w14:textId="77777777" w:rsidTr="00375FAF">
        <w:trPr>
          <w:jc w:val="center"/>
        </w:trPr>
        <w:tc>
          <w:tcPr>
            <w:tcW w:w="970" w:type="dxa"/>
          </w:tcPr>
          <w:p w14:paraId="3B344D5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E</w:t>
            </w:r>
          </w:p>
        </w:tc>
        <w:tc>
          <w:tcPr>
            <w:tcW w:w="1183" w:type="dxa"/>
          </w:tcPr>
          <w:p w14:paraId="6088A92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不及格</w:t>
            </w:r>
          </w:p>
        </w:tc>
        <w:tc>
          <w:tcPr>
            <w:tcW w:w="1341" w:type="dxa"/>
          </w:tcPr>
          <w:p w14:paraId="75CDF1C4"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60以下</w:t>
            </w:r>
          </w:p>
        </w:tc>
        <w:tc>
          <w:tcPr>
            <w:tcW w:w="3551" w:type="dxa"/>
          </w:tcPr>
          <w:p w14:paraId="78C0D9A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动作僵硬，吃力，不协调</w:t>
            </w:r>
          </w:p>
        </w:tc>
      </w:tr>
    </w:tbl>
    <w:p w14:paraId="4CAE69CF" w14:textId="77777777" w:rsidR="00E75FE1" w:rsidRPr="00E75FE1" w:rsidRDefault="00E75FE1" w:rsidP="00E75FE1">
      <w:pPr>
        <w:adjustRightInd w:val="0"/>
        <w:snapToGrid w:val="0"/>
        <w:spacing w:line="500" w:lineRule="exact"/>
        <w:jc w:val="center"/>
        <w:rPr>
          <w:rFonts w:ascii="宋体" w:eastAsia="宋体" w:hAnsi="Calibri" w:cs="Times New Roman"/>
          <w:b/>
          <w:bCs/>
          <w:kern w:val="0"/>
          <w:sz w:val="24"/>
        </w:rPr>
      </w:pPr>
      <w:r w:rsidRPr="00E75FE1">
        <w:rPr>
          <w:rFonts w:ascii="宋体" w:eastAsia="宋体" w:hAnsi="Calibri" w:cs="Times New Roman" w:hint="eastAsia"/>
          <w:b/>
          <w:bCs/>
          <w:kern w:val="0"/>
          <w:sz w:val="24"/>
        </w:rPr>
        <w:t>期末考试</w:t>
      </w:r>
    </w:p>
    <w:p w14:paraId="5A1E10B3" w14:textId="77777777" w:rsidR="00E75FE1" w:rsidRPr="00E75FE1" w:rsidRDefault="00E75FE1" w:rsidP="00E75FE1">
      <w:pPr>
        <w:adjustRightInd w:val="0"/>
        <w:snapToGrid w:val="0"/>
        <w:spacing w:line="500" w:lineRule="exact"/>
        <w:rPr>
          <w:rFonts w:ascii="宋体" w:eastAsia="宋体" w:hAnsi="Calibri" w:cs="Times New Roman"/>
          <w:bCs/>
          <w:kern w:val="0"/>
          <w:sz w:val="24"/>
        </w:rPr>
      </w:pPr>
      <w:r w:rsidRPr="00E75FE1">
        <w:rPr>
          <w:rFonts w:ascii="宋体" w:eastAsia="宋体" w:hAnsi="Calibri" w:cs="Times New Roman" w:hint="eastAsia"/>
          <w:b/>
          <w:kern w:val="0"/>
          <w:sz w:val="24"/>
        </w:rPr>
        <w:t>1.课程考核目标:</w:t>
      </w:r>
      <w:r w:rsidRPr="00E75FE1">
        <w:rPr>
          <w:rFonts w:ascii="宋体" w:eastAsia="宋体" w:hAnsi="Calibri" w:cs="Times New Roman" w:hint="eastAsia"/>
          <w:bCs/>
          <w:kern w:val="0"/>
          <w:sz w:val="24"/>
        </w:rPr>
        <w:t>通过考核检验</w:t>
      </w:r>
      <w:r w:rsidRPr="00E75FE1">
        <w:rPr>
          <w:rFonts w:ascii="Calibri" w:eastAsia="宋体" w:hAnsi="Calibri" w:cs="Times New Roman" w:hint="eastAsia"/>
          <w:sz w:val="24"/>
        </w:rPr>
        <w:t>双人正面双手对垫球</w:t>
      </w:r>
      <w:r w:rsidRPr="00E75FE1">
        <w:rPr>
          <w:rFonts w:ascii="宋体" w:eastAsia="宋体" w:hAnsi="Calibri" w:cs="Times New Roman" w:hint="eastAsia"/>
          <w:bCs/>
          <w:kern w:val="0"/>
          <w:sz w:val="24"/>
        </w:rPr>
        <w:t>教学效果和学生掌握情况，让学生了解</w:t>
      </w:r>
      <w:r w:rsidRPr="00E75FE1">
        <w:rPr>
          <w:rFonts w:ascii="Calibri" w:eastAsia="宋体" w:hAnsi="Calibri" w:cs="Times New Roman" w:hint="eastAsia"/>
          <w:sz w:val="24"/>
        </w:rPr>
        <w:t>双人正面双手对垫球</w:t>
      </w:r>
      <w:r w:rsidRPr="00E75FE1">
        <w:rPr>
          <w:rFonts w:ascii="宋体" w:eastAsia="宋体" w:hAnsi="Calibri" w:cs="Times New Roman" w:hint="eastAsia"/>
          <w:bCs/>
          <w:kern w:val="0"/>
          <w:sz w:val="24"/>
        </w:rPr>
        <w:t>的重要性。</w:t>
      </w:r>
    </w:p>
    <w:p w14:paraId="4E738F73"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2.课程考核的内容：</w:t>
      </w:r>
      <w:r w:rsidRPr="00E75FE1">
        <w:rPr>
          <w:rFonts w:ascii="Calibri" w:eastAsia="宋体" w:hAnsi="Calibri" w:cs="Times New Roman" w:hint="eastAsia"/>
          <w:sz w:val="24"/>
        </w:rPr>
        <w:t>双人正面双手对垫球</w:t>
      </w:r>
      <w:r w:rsidRPr="00E75FE1">
        <w:rPr>
          <w:rFonts w:ascii="宋体" w:eastAsia="宋体" w:hAnsi="Calibri" w:cs="Times New Roman" w:hint="eastAsia"/>
          <w:bCs/>
          <w:kern w:val="0"/>
          <w:sz w:val="24"/>
        </w:rPr>
        <w:t>。</w:t>
      </w:r>
    </w:p>
    <w:p w14:paraId="4253023F"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3.课程考核方式：</w:t>
      </w:r>
      <w:r w:rsidRPr="00E75FE1">
        <w:rPr>
          <w:rFonts w:ascii="宋体" w:eastAsia="宋体" w:hAnsi="Calibri" w:cs="Times New Roman" w:hint="eastAsia"/>
          <w:bCs/>
          <w:kern w:val="0"/>
          <w:sz w:val="24"/>
        </w:rPr>
        <w:t>排球场地，两人连续垫三次，取最好成绩。</w:t>
      </w:r>
    </w:p>
    <w:p w14:paraId="058A1211"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4.成绩构成及分值：</w:t>
      </w:r>
      <w:r w:rsidRPr="00E75FE1">
        <w:rPr>
          <w:rFonts w:ascii="宋体" w:eastAsia="宋体" w:hAnsi="Calibri" w:cs="Times New Roman" w:hint="eastAsia"/>
          <w:bCs/>
          <w:kern w:val="0"/>
          <w:sz w:val="24"/>
        </w:rPr>
        <w:t>数量评价和技术评价分别按百分制计算，各占50%。</w:t>
      </w:r>
    </w:p>
    <w:p w14:paraId="1CE3CE3A" w14:textId="77777777" w:rsidR="00E75FE1" w:rsidRPr="00E75FE1" w:rsidRDefault="00E75FE1" w:rsidP="00E75FE1">
      <w:pPr>
        <w:adjustRightInd w:val="0"/>
        <w:snapToGrid w:val="0"/>
        <w:spacing w:line="500" w:lineRule="exact"/>
        <w:jc w:val="left"/>
        <w:rPr>
          <w:rFonts w:ascii="宋体" w:eastAsia="宋体" w:hAnsi="Calibri" w:cs="Times New Roman"/>
          <w:b/>
          <w:kern w:val="0"/>
          <w:sz w:val="24"/>
        </w:rPr>
      </w:pPr>
      <w:r w:rsidRPr="00E75FE1">
        <w:rPr>
          <w:rFonts w:ascii="宋体" w:eastAsia="宋体" w:hAnsi="Calibri" w:cs="Times New Roman" w:hint="eastAsia"/>
          <w:b/>
          <w:kern w:val="0"/>
          <w:sz w:val="24"/>
        </w:rPr>
        <w:t>5.评分记分原则：</w:t>
      </w:r>
    </w:p>
    <w:p w14:paraId="6A6B3573" w14:textId="77777777" w:rsidR="00E75FE1" w:rsidRPr="00E75FE1" w:rsidRDefault="00E75FE1" w:rsidP="00E75FE1">
      <w:pPr>
        <w:tabs>
          <w:tab w:val="left" w:pos="687"/>
        </w:tabs>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lastRenderedPageBreak/>
        <w:t>双人正面双手对垫球（数量及技术评定按百分制计算，各占总分值一半）</w:t>
      </w:r>
    </w:p>
    <w:p w14:paraId="2DEE6754" w14:textId="77777777" w:rsidR="00E75FE1" w:rsidRPr="00E75FE1" w:rsidRDefault="00E75FE1" w:rsidP="00E75FE1">
      <w:pPr>
        <w:adjustRightInd w:val="0"/>
        <w:snapToGrid w:val="0"/>
        <w:spacing w:line="500" w:lineRule="exact"/>
        <w:rPr>
          <w:rFonts w:ascii="Calibri" w:eastAsia="宋体" w:hAnsi="Calibri" w:cs="Times New Roman"/>
          <w:sz w:val="24"/>
        </w:rPr>
      </w:pPr>
      <w:r w:rsidRPr="00E75FE1">
        <w:rPr>
          <w:rFonts w:ascii="Calibri" w:eastAsia="宋体" w:hAnsi="Calibri" w:cs="Times New Roman" w:hint="eastAsia"/>
          <w:sz w:val="24"/>
        </w:rPr>
        <w:t>数量评价：</w:t>
      </w:r>
    </w:p>
    <w:p w14:paraId="2DFEC03B"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两人一组，学生相距</w:t>
      </w:r>
      <w:r w:rsidRPr="00E75FE1">
        <w:rPr>
          <w:rFonts w:ascii="Calibri" w:eastAsia="宋体" w:hAnsi="Calibri" w:cs="Times New Roman" w:hint="eastAsia"/>
          <w:sz w:val="24"/>
        </w:rPr>
        <w:t>4</w:t>
      </w:r>
      <w:r w:rsidRPr="00E75FE1">
        <w:rPr>
          <w:rFonts w:ascii="Calibri" w:eastAsia="宋体" w:hAnsi="Calibri" w:cs="Times New Roman" w:hint="eastAsia"/>
          <w:sz w:val="24"/>
        </w:rPr>
        <w:t>米，</w:t>
      </w:r>
      <w:proofErr w:type="gramStart"/>
      <w:r w:rsidRPr="00E75FE1">
        <w:rPr>
          <w:rFonts w:ascii="Calibri" w:eastAsia="宋体" w:hAnsi="Calibri" w:cs="Times New Roman" w:hint="eastAsia"/>
          <w:sz w:val="24"/>
        </w:rPr>
        <w:t>对垫</w:t>
      </w:r>
      <w:r w:rsidRPr="00E75FE1">
        <w:rPr>
          <w:rFonts w:ascii="Calibri" w:eastAsia="宋体" w:hAnsi="Calibri" w:cs="Times New Roman" w:hint="eastAsia"/>
          <w:sz w:val="24"/>
        </w:rPr>
        <w:t>5</w:t>
      </w:r>
      <w:r w:rsidRPr="00E75FE1">
        <w:rPr>
          <w:rFonts w:ascii="Calibri" w:eastAsia="宋体" w:hAnsi="Calibri" w:cs="Times New Roman" w:hint="eastAsia"/>
          <w:sz w:val="24"/>
        </w:rPr>
        <w:t>个</w:t>
      </w:r>
      <w:proofErr w:type="gramEnd"/>
      <w:r w:rsidRPr="00E75FE1">
        <w:rPr>
          <w:rFonts w:ascii="Calibri" w:eastAsia="宋体" w:hAnsi="Calibri" w:cs="Times New Roman" w:hint="eastAsia"/>
          <w:sz w:val="24"/>
        </w:rPr>
        <w:t>回合为及格，</w:t>
      </w:r>
      <w:r w:rsidRPr="00E75FE1">
        <w:rPr>
          <w:rFonts w:ascii="Calibri" w:eastAsia="宋体" w:hAnsi="Calibri" w:cs="Times New Roman" w:hint="eastAsia"/>
          <w:sz w:val="24"/>
        </w:rPr>
        <w:t>25</w:t>
      </w:r>
      <w:r w:rsidRPr="00E75FE1">
        <w:rPr>
          <w:rFonts w:ascii="Calibri" w:eastAsia="宋体" w:hAnsi="Calibri" w:cs="Times New Roman" w:hint="eastAsia"/>
          <w:sz w:val="24"/>
        </w:rPr>
        <w:t>个回合为满分；分值</w:t>
      </w:r>
      <w:r w:rsidRPr="00E75FE1">
        <w:rPr>
          <w:rFonts w:ascii="Calibri" w:eastAsia="宋体" w:hAnsi="Calibri" w:cs="Times New Roman" w:hint="eastAsia"/>
          <w:sz w:val="24"/>
        </w:rPr>
        <w:t>10</w:t>
      </w:r>
      <w:r w:rsidRPr="00E75FE1">
        <w:rPr>
          <w:rFonts w:ascii="Calibri" w:eastAsia="宋体" w:hAnsi="Calibri" w:cs="Times New Roman"/>
          <w:sz w:val="24"/>
        </w:rPr>
        <w:t>0</w:t>
      </w:r>
      <w:r w:rsidRPr="00E75FE1">
        <w:rPr>
          <w:rFonts w:ascii="Calibri" w:eastAsia="宋体" w:hAnsi="Calibri" w:cs="Times New Roman" w:hint="eastAsia"/>
          <w:sz w:val="24"/>
        </w:rPr>
        <w:t>分。</w:t>
      </w:r>
    </w:p>
    <w:p w14:paraId="2121728C"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技术评价：</w:t>
      </w:r>
    </w:p>
    <w:p w14:paraId="1B3439E8"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Calibri" w:eastAsia="宋体" w:hAnsi="Calibri" w:cs="Times New Roman" w:hint="eastAsia"/>
          <w:sz w:val="24"/>
        </w:rPr>
        <w:t>技术分为</w:t>
      </w:r>
      <w:r w:rsidRPr="00E75FE1">
        <w:rPr>
          <w:rFonts w:ascii="Calibri" w:eastAsia="宋体" w:hAnsi="Calibri" w:cs="Times New Roman"/>
          <w:sz w:val="24"/>
        </w:rPr>
        <w:t>ABCDE</w:t>
      </w:r>
      <w:r w:rsidRPr="00E75FE1">
        <w:rPr>
          <w:rFonts w:ascii="Calibri" w:eastAsia="宋体" w:hAnsi="Calibri" w:cs="Times New Roman" w:hint="eastAsia"/>
          <w:sz w:val="24"/>
        </w:rPr>
        <w:t>共</w:t>
      </w:r>
      <w:r w:rsidRPr="00E75FE1">
        <w:rPr>
          <w:rFonts w:ascii="Calibri" w:eastAsia="宋体" w:hAnsi="Calibri" w:cs="Times New Roman" w:hint="eastAsia"/>
          <w:sz w:val="24"/>
        </w:rPr>
        <w:t>5</w:t>
      </w:r>
      <w:r w:rsidRPr="00E75FE1">
        <w:rPr>
          <w:rFonts w:ascii="Calibri" w:eastAsia="宋体" w:hAnsi="Calibri" w:cs="Times New Roman" w:hint="eastAsia"/>
          <w:sz w:val="24"/>
        </w:rPr>
        <w:t>档</w:t>
      </w:r>
      <w:r w:rsidRPr="00E75FE1">
        <w:rPr>
          <w:rFonts w:ascii="Calibri" w:eastAsia="宋体" w:hAnsi="Calibri"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E75FE1" w:rsidRPr="00E75FE1" w14:paraId="61DEBAC8" w14:textId="77777777" w:rsidTr="00375FAF">
        <w:trPr>
          <w:jc w:val="center"/>
        </w:trPr>
        <w:tc>
          <w:tcPr>
            <w:tcW w:w="970" w:type="dxa"/>
          </w:tcPr>
          <w:p w14:paraId="3D9E32F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技术分</w:t>
            </w:r>
          </w:p>
        </w:tc>
        <w:tc>
          <w:tcPr>
            <w:tcW w:w="1183" w:type="dxa"/>
          </w:tcPr>
          <w:p w14:paraId="79167569"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五级制</w:t>
            </w:r>
          </w:p>
        </w:tc>
        <w:tc>
          <w:tcPr>
            <w:tcW w:w="1341" w:type="dxa"/>
          </w:tcPr>
          <w:p w14:paraId="6DA3401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分值范围</w:t>
            </w:r>
          </w:p>
        </w:tc>
        <w:tc>
          <w:tcPr>
            <w:tcW w:w="3551" w:type="dxa"/>
          </w:tcPr>
          <w:p w14:paraId="2ADFAC3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备注</w:t>
            </w:r>
          </w:p>
        </w:tc>
      </w:tr>
      <w:tr w:rsidR="00E75FE1" w:rsidRPr="00E75FE1" w14:paraId="476CEDC5" w14:textId="77777777" w:rsidTr="00375FAF">
        <w:trPr>
          <w:jc w:val="center"/>
        </w:trPr>
        <w:tc>
          <w:tcPr>
            <w:tcW w:w="970" w:type="dxa"/>
          </w:tcPr>
          <w:p w14:paraId="38B06DB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A</w:t>
            </w:r>
          </w:p>
        </w:tc>
        <w:tc>
          <w:tcPr>
            <w:tcW w:w="1183" w:type="dxa"/>
          </w:tcPr>
          <w:p w14:paraId="636DBDE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优秀</w:t>
            </w:r>
          </w:p>
        </w:tc>
        <w:tc>
          <w:tcPr>
            <w:tcW w:w="1341" w:type="dxa"/>
          </w:tcPr>
          <w:p w14:paraId="041B1825"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90—99</w:t>
            </w:r>
          </w:p>
        </w:tc>
        <w:tc>
          <w:tcPr>
            <w:tcW w:w="3551" w:type="dxa"/>
          </w:tcPr>
          <w:p w14:paraId="1E79F30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姿势正确，动作优美、协调</w:t>
            </w:r>
          </w:p>
        </w:tc>
      </w:tr>
      <w:tr w:rsidR="00E75FE1" w:rsidRPr="00E75FE1" w14:paraId="4A3B0D2A" w14:textId="77777777" w:rsidTr="00375FAF">
        <w:trPr>
          <w:jc w:val="center"/>
        </w:trPr>
        <w:tc>
          <w:tcPr>
            <w:tcW w:w="970" w:type="dxa"/>
          </w:tcPr>
          <w:p w14:paraId="38EA6812"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B</w:t>
            </w:r>
          </w:p>
        </w:tc>
        <w:tc>
          <w:tcPr>
            <w:tcW w:w="1183" w:type="dxa"/>
          </w:tcPr>
          <w:p w14:paraId="13A75BA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良好</w:t>
            </w:r>
          </w:p>
        </w:tc>
        <w:tc>
          <w:tcPr>
            <w:tcW w:w="1341" w:type="dxa"/>
          </w:tcPr>
          <w:p w14:paraId="1673B25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80—89</w:t>
            </w:r>
          </w:p>
        </w:tc>
        <w:tc>
          <w:tcPr>
            <w:tcW w:w="3551" w:type="dxa"/>
          </w:tcPr>
          <w:p w14:paraId="6F8E896D"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姿势较正确，动作自然</w:t>
            </w:r>
          </w:p>
        </w:tc>
      </w:tr>
      <w:tr w:rsidR="00E75FE1" w:rsidRPr="00E75FE1" w14:paraId="50059730" w14:textId="77777777" w:rsidTr="00375FAF">
        <w:trPr>
          <w:jc w:val="center"/>
        </w:trPr>
        <w:tc>
          <w:tcPr>
            <w:tcW w:w="970" w:type="dxa"/>
          </w:tcPr>
          <w:p w14:paraId="5674D3C1"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C</w:t>
            </w:r>
          </w:p>
        </w:tc>
        <w:tc>
          <w:tcPr>
            <w:tcW w:w="1183" w:type="dxa"/>
          </w:tcPr>
          <w:p w14:paraId="5AEC8899"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中等</w:t>
            </w:r>
          </w:p>
        </w:tc>
        <w:tc>
          <w:tcPr>
            <w:tcW w:w="1341" w:type="dxa"/>
          </w:tcPr>
          <w:p w14:paraId="3F414E97"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70—79</w:t>
            </w:r>
          </w:p>
        </w:tc>
        <w:tc>
          <w:tcPr>
            <w:tcW w:w="3551" w:type="dxa"/>
          </w:tcPr>
          <w:p w14:paraId="4770DE1B"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姿势一般，动作基本正确</w:t>
            </w:r>
          </w:p>
        </w:tc>
      </w:tr>
      <w:tr w:rsidR="00E75FE1" w:rsidRPr="00E75FE1" w14:paraId="251DA16D" w14:textId="77777777" w:rsidTr="00375FAF">
        <w:trPr>
          <w:jc w:val="center"/>
        </w:trPr>
        <w:tc>
          <w:tcPr>
            <w:tcW w:w="970" w:type="dxa"/>
          </w:tcPr>
          <w:p w14:paraId="0185DD11"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D</w:t>
            </w:r>
          </w:p>
        </w:tc>
        <w:tc>
          <w:tcPr>
            <w:tcW w:w="1183" w:type="dxa"/>
          </w:tcPr>
          <w:p w14:paraId="077E7360"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及格</w:t>
            </w:r>
          </w:p>
        </w:tc>
        <w:tc>
          <w:tcPr>
            <w:tcW w:w="1341" w:type="dxa"/>
          </w:tcPr>
          <w:p w14:paraId="191CE512"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60—69</w:t>
            </w:r>
          </w:p>
        </w:tc>
        <w:tc>
          <w:tcPr>
            <w:tcW w:w="3551" w:type="dxa"/>
          </w:tcPr>
          <w:p w14:paraId="048CB58D"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动作不协调，有多余动作</w:t>
            </w:r>
          </w:p>
        </w:tc>
      </w:tr>
      <w:tr w:rsidR="00E75FE1" w:rsidRPr="00E75FE1" w14:paraId="2002FB65" w14:textId="77777777" w:rsidTr="00375FAF">
        <w:trPr>
          <w:jc w:val="center"/>
        </w:trPr>
        <w:tc>
          <w:tcPr>
            <w:tcW w:w="970" w:type="dxa"/>
          </w:tcPr>
          <w:p w14:paraId="7CC6A175"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E</w:t>
            </w:r>
          </w:p>
        </w:tc>
        <w:tc>
          <w:tcPr>
            <w:tcW w:w="1183" w:type="dxa"/>
          </w:tcPr>
          <w:p w14:paraId="6B2CF94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不及格</w:t>
            </w:r>
          </w:p>
        </w:tc>
        <w:tc>
          <w:tcPr>
            <w:tcW w:w="1341" w:type="dxa"/>
          </w:tcPr>
          <w:p w14:paraId="376507D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60以下</w:t>
            </w:r>
          </w:p>
        </w:tc>
        <w:tc>
          <w:tcPr>
            <w:tcW w:w="3551" w:type="dxa"/>
          </w:tcPr>
          <w:p w14:paraId="39EBA41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动作僵硬，吃力，不协调</w:t>
            </w:r>
          </w:p>
        </w:tc>
      </w:tr>
    </w:tbl>
    <w:p w14:paraId="2D7320E4"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p>
    <w:p w14:paraId="34C1A472"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六、使用教材、相关推荐书目及课程资源</w:t>
      </w:r>
    </w:p>
    <w:p w14:paraId="03CE662F" w14:textId="77777777" w:rsidR="00E75FE1" w:rsidRPr="00E75FE1" w:rsidRDefault="00E75FE1" w:rsidP="00E75FE1">
      <w:pPr>
        <w:spacing w:line="440" w:lineRule="exact"/>
        <w:ind w:firstLineChars="200" w:firstLine="560"/>
        <w:rPr>
          <w:rFonts w:ascii="宋体" w:eastAsia="宋体" w:hAnsi="宋体" w:cs="Times New Roman"/>
          <w:sz w:val="24"/>
        </w:rPr>
      </w:pPr>
      <w:r w:rsidRPr="00E75FE1">
        <w:rPr>
          <w:rFonts w:ascii="黑体" w:eastAsia="黑体" w:hAnsi="黑体" w:cs="Times New Roman" w:hint="eastAsia"/>
          <w:sz w:val="28"/>
          <w:szCs w:val="28"/>
        </w:rPr>
        <w:t>（一）使用教材</w:t>
      </w:r>
    </w:p>
    <w:p w14:paraId="2032D877" w14:textId="77777777" w:rsidR="00E75FE1" w:rsidRPr="00E75FE1" w:rsidRDefault="00E75FE1" w:rsidP="00E75FE1">
      <w:pPr>
        <w:autoSpaceDE w:val="0"/>
        <w:autoSpaceDN w:val="0"/>
        <w:adjustRightInd w:val="0"/>
        <w:snapToGrid w:val="0"/>
        <w:spacing w:line="500" w:lineRule="exact"/>
        <w:ind w:firstLineChars="300" w:firstLine="720"/>
        <w:rPr>
          <w:rFonts w:ascii="宋体" w:eastAsia="宋体" w:hAnsi="宋体" w:cs="宋体"/>
          <w:kern w:val="0"/>
          <w:sz w:val="24"/>
        </w:rPr>
      </w:pPr>
      <w:r w:rsidRPr="00E75FE1">
        <w:rPr>
          <w:rFonts w:ascii="宋体" w:eastAsia="宋体" w:hAnsi="宋体" w:cs="宋体" w:hint="eastAsia"/>
          <w:kern w:val="0"/>
          <w:sz w:val="24"/>
        </w:rPr>
        <w:t>任晋军主编：《当代大学体育教程》，北京体育大学出版社，2008</w:t>
      </w:r>
    </w:p>
    <w:p w14:paraId="59A71A55" w14:textId="77777777" w:rsidR="00E75FE1" w:rsidRPr="00E75FE1" w:rsidRDefault="00E75FE1" w:rsidP="00E75FE1">
      <w:pPr>
        <w:autoSpaceDE w:val="0"/>
        <w:autoSpaceDN w:val="0"/>
        <w:adjustRightInd w:val="0"/>
        <w:snapToGrid w:val="0"/>
        <w:spacing w:line="500" w:lineRule="exact"/>
        <w:ind w:firstLineChars="300" w:firstLine="750"/>
        <w:rPr>
          <w:rFonts w:ascii="宋体" w:eastAsia="宋体" w:hAnsi="宋体" w:cs="Times New Roman"/>
          <w:color w:val="FF0000"/>
          <w:sz w:val="24"/>
        </w:rPr>
      </w:pPr>
      <w:proofErr w:type="gramStart"/>
      <w:r w:rsidRPr="00E75FE1">
        <w:rPr>
          <w:rFonts w:ascii="宋体" w:eastAsia="宋体" w:hAnsi="Calibri" w:cs="宋体" w:hint="eastAsia"/>
          <w:spacing w:val="5"/>
          <w:kern w:val="0"/>
          <w:sz w:val="24"/>
        </w:rPr>
        <w:t>王崇喜主编</w:t>
      </w:r>
      <w:proofErr w:type="gramEnd"/>
      <w:r w:rsidRPr="00E75FE1">
        <w:rPr>
          <w:rFonts w:ascii="宋体" w:eastAsia="宋体" w:hAnsi="Calibri" w:cs="宋体" w:hint="eastAsia"/>
          <w:spacing w:val="5"/>
          <w:kern w:val="0"/>
          <w:sz w:val="24"/>
        </w:rPr>
        <w:t>：《球类运动—排球》，高等教育出版社，2001年6月</w:t>
      </w:r>
    </w:p>
    <w:p w14:paraId="7AAA0531" w14:textId="77777777" w:rsidR="00E75FE1" w:rsidRPr="00E75FE1" w:rsidRDefault="00E75FE1" w:rsidP="00E75FE1">
      <w:pPr>
        <w:spacing w:line="440" w:lineRule="exact"/>
        <w:ind w:firstLineChars="200" w:firstLine="560"/>
        <w:rPr>
          <w:rFonts w:ascii="宋体" w:eastAsia="宋体" w:hAnsi="宋体" w:cs="Times New Roman"/>
          <w:sz w:val="24"/>
        </w:rPr>
      </w:pPr>
      <w:r w:rsidRPr="00E75FE1">
        <w:rPr>
          <w:rFonts w:ascii="黑体" w:eastAsia="黑体" w:hAnsi="黑体" w:cs="Times New Roman" w:hint="eastAsia"/>
          <w:sz w:val="28"/>
          <w:szCs w:val="28"/>
        </w:rPr>
        <w:t>（二）相关推荐书目</w:t>
      </w:r>
    </w:p>
    <w:p w14:paraId="67963298"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1</w:t>
      </w:r>
      <w:r w:rsidRPr="00E75FE1">
        <w:rPr>
          <w:rFonts w:ascii="宋体" w:eastAsia="宋体" w:hAnsi="宋体" w:cs="Times New Roman"/>
          <w:sz w:val="24"/>
        </w:rPr>
        <w:t xml:space="preserve">. </w:t>
      </w:r>
      <w:r w:rsidRPr="00E75FE1">
        <w:rPr>
          <w:rFonts w:ascii="宋体" w:eastAsia="宋体" w:hAnsi="宋体" w:cs="宋体" w:hint="eastAsia"/>
          <w:kern w:val="0"/>
          <w:sz w:val="24"/>
        </w:rPr>
        <w:t>刘建国主编：《当代大学体育与健身》，高教出版社，2008</w:t>
      </w:r>
    </w:p>
    <w:p w14:paraId="081FCC8F" w14:textId="77777777" w:rsidR="00E75FE1" w:rsidRPr="00E75FE1" w:rsidRDefault="00E75FE1" w:rsidP="00E75FE1">
      <w:pPr>
        <w:autoSpaceDE w:val="0"/>
        <w:autoSpaceDN w:val="0"/>
        <w:adjustRightInd w:val="0"/>
        <w:snapToGrid w:val="0"/>
        <w:spacing w:line="500" w:lineRule="exact"/>
        <w:ind w:firstLineChars="200" w:firstLine="480"/>
        <w:rPr>
          <w:rFonts w:ascii="宋体" w:eastAsia="宋体" w:hAnsi="宋体" w:cs="Times New Roman"/>
          <w:sz w:val="24"/>
        </w:rPr>
      </w:pPr>
      <w:r w:rsidRPr="00E75FE1">
        <w:rPr>
          <w:rFonts w:ascii="宋体" w:eastAsia="宋体" w:hAnsi="宋体" w:cs="Times New Roman" w:hint="eastAsia"/>
          <w:sz w:val="24"/>
        </w:rPr>
        <w:t>2</w:t>
      </w:r>
      <w:r w:rsidRPr="00E75FE1">
        <w:rPr>
          <w:rFonts w:ascii="宋体" w:eastAsia="宋体" w:hAnsi="宋体" w:cs="Times New Roman"/>
          <w:sz w:val="24"/>
        </w:rPr>
        <w:t xml:space="preserve">. </w:t>
      </w:r>
      <w:r w:rsidRPr="00E75FE1">
        <w:rPr>
          <w:rFonts w:ascii="宋体" w:eastAsia="宋体" w:hAnsi="宋体" w:cs="宋体" w:hint="eastAsia"/>
          <w:kern w:val="0"/>
          <w:sz w:val="24"/>
        </w:rPr>
        <w:t>全国体育学院教材委员会审定：《体育与健康理论指导手册》，人民体育出版社，2014</w:t>
      </w:r>
    </w:p>
    <w:p w14:paraId="46F74D89"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（三）课程资源</w:t>
      </w:r>
    </w:p>
    <w:p w14:paraId="18665478" w14:textId="77777777" w:rsidR="00E75FE1" w:rsidRPr="00E75FE1" w:rsidRDefault="00E75FE1" w:rsidP="00E75FE1">
      <w:pPr>
        <w:spacing w:line="44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28C32EF3" w14:textId="77777777" w:rsidR="00E75FE1" w:rsidRPr="00E75FE1" w:rsidRDefault="00E75FE1" w:rsidP="00E75FE1">
      <w:pPr>
        <w:spacing w:line="44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2. 《国家学生体质健康标准》实施说明《国家学生体质健康标准》测试评分</w:t>
      </w:r>
      <w:r w:rsidRPr="00E75FE1">
        <w:rPr>
          <w:rFonts w:ascii="宋体" w:eastAsia="宋体" w:hAnsi="Calibri" w:cs="宋体" w:hint="eastAsia"/>
          <w:spacing w:val="5"/>
          <w:kern w:val="0"/>
          <w:sz w:val="24"/>
        </w:rPr>
        <w:lastRenderedPageBreak/>
        <w:t>表。</w:t>
      </w:r>
    </w:p>
    <w:p w14:paraId="62ECF252"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七、课程大纲制定依据</w:t>
      </w:r>
    </w:p>
    <w:p w14:paraId="37193005"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本课程大纲依据2023年人才培养方案</w:t>
      </w:r>
      <w:r w:rsidR="002E4147">
        <w:rPr>
          <w:rFonts w:ascii="宋体" w:eastAsia="宋体" w:hAnsi="宋体" w:cs="Times New Roman" w:hint="eastAsia"/>
          <w:sz w:val="24"/>
        </w:rPr>
        <w:t>药物分析</w:t>
      </w:r>
      <w:r w:rsidRPr="00E75FE1">
        <w:rPr>
          <w:rFonts w:ascii="宋体" w:eastAsia="宋体" w:hAnsi="宋体" w:cs="Times New Roman" w:hint="eastAsia"/>
          <w:sz w:val="24"/>
        </w:rPr>
        <w:t>专业制定。</w:t>
      </w:r>
    </w:p>
    <w:p w14:paraId="5C540FCC"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p>
    <w:p w14:paraId="1FEEF91A" w14:textId="77777777" w:rsidR="00E75FE1" w:rsidRPr="00E75FE1" w:rsidRDefault="00E75FE1" w:rsidP="00E75FE1">
      <w:pPr>
        <w:spacing w:line="440" w:lineRule="exact"/>
        <w:ind w:firstLineChars="200" w:firstLine="560"/>
        <w:jc w:val="center"/>
        <w:rPr>
          <w:rFonts w:ascii="黑体" w:eastAsia="黑体" w:hAnsi="黑体" w:cs="Times New Roman"/>
          <w:sz w:val="28"/>
          <w:szCs w:val="28"/>
        </w:rPr>
      </w:pPr>
    </w:p>
    <w:p w14:paraId="2DD714D1" w14:textId="77777777" w:rsidR="00E75FE1" w:rsidRPr="00E75FE1" w:rsidRDefault="00E75FE1" w:rsidP="00E75FE1">
      <w:pPr>
        <w:spacing w:line="440" w:lineRule="exact"/>
        <w:ind w:firstLineChars="200" w:firstLine="560"/>
        <w:jc w:val="center"/>
        <w:rPr>
          <w:rFonts w:ascii="黑体" w:eastAsia="黑体" w:hAnsi="黑体" w:cs="Times New Roman"/>
          <w:sz w:val="28"/>
          <w:szCs w:val="28"/>
        </w:rPr>
      </w:pPr>
    </w:p>
    <w:p w14:paraId="2F465C82" w14:textId="77777777" w:rsidR="00E75FE1" w:rsidRPr="00E75FE1" w:rsidRDefault="00E75FE1" w:rsidP="00E75FE1">
      <w:pPr>
        <w:spacing w:line="440" w:lineRule="exact"/>
        <w:ind w:firstLineChars="200" w:firstLine="560"/>
        <w:jc w:val="center"/>
        <w:rPr>
          <w:rFonts w:ascii="黑体" w:eastAsia="黑体" w:hAnsi="黑体" w:cs="Times New Roman"/>
          <w:sz w:val="28"/>
          <w:szCs w:val="28"/>
        </w:rPr>
      </w:pPr>
    </w:p>
    <w:p w14:paraId="3957C51D" w14:textId="77777777" w:rsidR="00E75FE1" w:rsidRPr="00E75FE1" w:rsidRDefault="00E75FE1" w:rsidP="00E75FE1">
      <w:pPr>
        <w:spacing w:line="440" w:lineRule="exact"/>
        <w:ind w:firstLineChars="200" w:firstLine="560"/>
        <w:jc w:val="center"/>
        <w:rPr>
          <w:rFonts w:ascii="黑体" w:eastAsia="黑体" w:hAnsi="黑体" w:cs="Times New Roman"/>
          <w:sz w:val="28"/>
          <w:szCs w:val="28"/>
        </w:rPr>
      </w:pPr>
    </w:p>
    <w:p w14:paraId="7731B3DC" w14:textId="77777777" w:rsidR="00E75FE1" w:rsidRPr="00E75FE1" w:rsidRDefault="00E75FE1" w:rsidP="00E75FE1">
      <w:pPr>
        <w:spacing w:line="440" w:lineRule="exact"/>
        <w:ind w:firstLineChars="200" w:firstLine="560"/>
        <w:jc w:val="center"/>
        <w:rPr>
          <w:rFonts w:ascii="黑体" w:eastAsia="黑体" w:hAnsi="黑体" w:cs="Times New Roman"/>
          <w:sz w:val="28"/>
          <w:szCs w:val="28"/>
        </w:rPr>
      </w:pPr>
    </w:p>
    <w:p w14:paraId="325EB70B" w14:textId="77777777" w:rsidR="00093144" w:rsidRDefault="00093144">
      <w:pPr>
        <w:widowControl/>
        <w:jc w:val="left"/>
        <w:rPr>
          <w:rFonts w:ascii="黑体" w:eastAsia="黑体" w:hAnsi="黑体" w:cs="Times New Roman"/>
          <w:sz w:val="28"/>
          <w:szCs w:val="28"/>
        </w:rPr>
      </w:pPr>
      <w:r>
        <w:rPr>
          <w:rFonts w:ascii="黑体" w:eastAsia="黑体" w:hAnsi="黑体" w:cs="Times New Roman"/>
          <w:sz w:val="28"/>
          <w:szCs w:val="28"/>
        </w:rPr>
        <w:br w:type="page"/>
      </w:r>
    </w:p>
    <w:p w14:paraId="2309441B" w14:textId="4448A7EB" w:rsidR="00E75FE1" w:rsidRPr="00E75FE1" w:rsidRDefault="00E75FE1" w:rsidP="00E75FE1">
      <w:pPr>
        <w:spacing w:beforeLines="100" w:before="312" w:afterLines="100" w:after="312" w:line="440" w:lineRule="exact"/>
        <w:jc w:val="center"/>
        <w:rPr>
          <w:rFonts w:ascii="黑体" w:eastAsia="黑体" w:hAnsi="黑体" w:cs="Times New Roman"/>
          <w:bCs/>
          <w:sz w:val="36"/>
          <w:szCs w:val="36"/>
        </w:rPr>
      </w:pPr>
      <w:r w:rsidRPr="00E75FE1">
        <w:rPr>
          <w:rFonts w:ascii="黑体" w:eastAsia="黑体" w:hAnsi="黑体" w:cs="Times New Roman" w:hint="eastAsia"/>
          <w:bCs/>
          <w:sz w:val="36"/>
          <w:szCs w:val="36"/>
        </w:rPr>
        <w:lastRenderedPageBreak/>
        <w:t>《乒乓球》课程大纲</w:t>
      </w:r>
    </w:p>
    <w:p w14:paraId="358693CE"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E75FE1" w:rsidRPr="00E75FE1" w14:paraId="4979B90E" w14:textId="77777777" w:rsidTr="00375FAF">
        <w:trPr>
          <w:trHeight w:val="886"/>
          <w:jc w:val="center"/>
        </w:trPr>
        <w:tc>
          <w:tcPr>
            <w:tcW w:w="1581" w:type="dxa"/>
            <w:vAlign w:val="center"/>
          </w:tcPr>
          <w:p w14:paraId="06E11111"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课程名称</w:t>
            </w:r>
          </w:p>
        </w:tc>
        <w:tc>
          <w:tcPr>
            <w:tcW w:w="2662" w:type="dxa"/>
            <w:vAlign w:val="center"/>
          </w:tcPr>
          <w:p w14:paraId="03587ABE"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Calibri" w:cs="宋体" w:hint="eastAsia"/>
                <w:kern w:val="0"/>
                <w:sz w:val="24"/>
              </w:rPr>
              <w:t>乒乓球</w:t>
            </w:r>
          </w:p>
        </w:tc>
        <w:tc>
          <w:tcPr>
            <w:tcW w:w="1482" w:type="dxa"/>
            <w:vAlign w:val="center"/>
          </w:tcPr>
          <w:p w14:paraId="74697C06"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课程代码</w:t>
            </w:r>
          </w:p>
        </w:tc>
        <w:tc>
          <w:tcPr>
            <w:tcW w:w="2797" w:type="dxa"/>
            <w:vAlign w:val="center"/>
          </w:tcPr>
          <w:p w14:paraId="0DC7EA71"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Calibri" w:cs="宋体" w:hint="eastAsia"/>
                <w:kern w:val="0"/>
                <w:sz w:val="24"/>
              </w:rPr>
              <w:t>091050</w:t>
            </w:r>
          </w:p>
        </w:tc>
      </w:tr>
      <w:tr w:rsidR="00E75FE1" w:rsidRPr="00E75FE1" w14:paraId="78BA73BF" w14:textId="77777777" w:rsidTr="00375FAF">
        <w:trPr>
          <w:trHeight w:val="829"/>
          <w:jc w:val="center"/>
        </w:trPr>
        <w:tc>
          <w:tcPr>
            <w:tcW w:w="1581" w:type="dxa"/>
            <w:vAlign w:val="center"/>
          </w:tcPr>
          <w:p w14:paraId="5DBD3D47"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课程类别</w:t>
            </w:r>
          </w:p>
        </w:tc>
        <w:tc>
          <w:tcPr>
            <w:tcW w:w="2662" w:type="dxa"/>
            <w:vAlign w:val="center"/>
          </w:tcPr>
          <w:p w14:paraId="3FE4BBE9"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Calibri" w:cs="宋体" w:hint="eastAsia"/>
                <w:kern w:val="0"/>
                <w:sz w:val="24"/>
              </w:rPr>
              <w:t>公共必修课程</w:t>
            </w:r>
          </w:p>
        </w:tc>
        <w:tc>
          <w:tcPr>
            <w:tcW w:w="1482" w:type="dxa"/>
            <w:vAlign w:val="center"/>
          </w:tcPr>
          <w:p w14:paraId="4509C1CB"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学时</w:t>
            </w:r>
          </w:p>
          <w:p w14:paraId="225C7505"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/学分</w:t>
            </w:r>
          </w:p>
        </w:tc>
        <w:tc>
          <w:tcPr>
            <w:tcW w:w="2797" w:type="dxa"/>
            <w:vAlign w:val="center"/>
          </w:tcPr>
          <w:p w14:paraId="50020659"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144/4</w:t>
            </w:r>
          </w:p>
        </w:tc>
      </w:tr>
      <w:tr w:rsidR="00E75FE1" w:rsidRPr="00E75FE1" w14:paraId="26995934" w14:textId="77777777" w:rsidTr="00375FAF">
        <w:trPr>
          <w:trHeight w:val="811"/>
          <w:jc w:val="center"/>
        </w:trPr>
        <w:tc>
          <w:tcPr>
            <w:tcW w:w="1581" w:type="dxa"/>
            <w:vAlign w:val="center"/>
          </w:tcPr>
          <w:p w14:paraId="23F76A6A"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开课单位</w:t>
            </w:r>
          </w:p>
        </w:tc>
        <w:tc>
          <w:tcPr>
            <w:tcW w:w="2662" w:type="dxa"/>
            <w:vAlign w:val="center"/>
          </w:tcPr>
          <w:p w14:paraId="65BA1A14"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sz w:val="24"/>
              </w:rPr>
              <w:t>石家庄学院体育学院</w:t>
            </w:r>
          </w:p>
        </w:tc>
        <w:tc>
          <w:tcPr>
            <w:tcW w:w="1482" w:type="dxa"/>
            <w:vAlign w:val="center"/>
          </w:tcPr>
          <w:p w14:paraId="2F876C99"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适用专业</w:t>
            </w:r>
          </w:p>
        </w:tc>
        <w:tc>
          <w:tcPr>
            <w:tcW w:w="2797" w:type="dxa"/>
            <w:vAlign w:val="center"/>
          </w:tcPr>
          <w:p w14:paraId="795E02AB" w14:textId="77777777" w:rsidR="00E75FE1" w:rsidRPr="00E75FE1" w:rsidRDefault="00233E31" w:rsidP="00E75FE1">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E75FE1" w:rsidRPr="00E75FE1" w14:paraId="0AAD242F" w14:textId="77777777" w:rsidTr="00375FAF">
        <w:trPr>
          <w:trHeight w:val="811"/>
          <w:jc w:val="center"/>
        </w:trPr>
        <w:tc>
          <w:tcPr>
            <w:tcW w:w="1581" w:type="dxa"/>
            <w:vAlign w:val="center"/>
          </w:tcPr>
          <w:p w14:paraId="63FFD5C3"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课程负责人</w:t>
            </w:r>
          </w:p>
        </w:tc>
        <w:tc>
          <w:tcPr>
            <w:tcW w:w="6941" w:type="dxa"/>
            <w:gridSpan w:val="3"/>
            <w:vAlign w:val="center"/>
          </w:tcPr>
          <w:p w14:paraId="68B88AAE"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靳明、柳新海、王</w:t>
            </w:r>
            <w:proofErr w:type="gramStart"/>
            <w:r w:rsidRPr="00E75FE1">
              <w:rPr>
                <w:rFonts w:ascii="宋体" w:eastAsia="宋体" w:hAnsi="宋体" w:cs="Times New Roman" w:hint="eastAsia"/>
                <w:sz w:val="24"/>
              </w:rPr>
              <w:t>戌</w:t>
            </w:r>
            <w:proofErr w:type="gramEnd"/>
            <w:r w:rsidRPr="00E75FE1">
              <w:rPr>
                <w:rFonts w:ascii="宋体" w:eastAsia="宋体" w:hAnsi="宋体" w:cs="Times New Roman" w:hint="eastAsia"/>
                <w:sz w:val="24"/>
              </w:rPr>
              <w:t>楼、李亚辰</w:t>
            </w:r>
          </w:p>
        </w:tc>
      </w:tr>
      <w:tr w:rsidR="00E75FE1" w:rsidRPr="00E75FE1" w14:paraId="1F21E366" w14:textId="77777777" w:rsidTr="00375FAF">
        <w:trPr>
          <w:trHeight w:val="836"/>
          <w:jc w:val="center"/>
        </w:trPr>
        <w:tc>
          <w:tcPr>
            <w:tcW w:w="1581" w:type="dxa"/>
            <w:vAlign w:val="center"/>
          </w:tcPr>
          <w:p w14:paraId="2F51D2ED"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大纲撰写人</w:t>
            </w:r>
          </w:p>
        </w:tc>
        <w:tc>
          <w:tcPr>
            <w:tcW w:w="2662" w:type="dxa"/>
            <w:vAlign w:val="center"/>
          </w:tcPr>
          <w:p w14:paraId="71159C3F"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李亚辰</w:t>
            </w:r>
          </w:p>
        </w:tc>
        <w:tc>
          <w:tcPr>
            <w:tcW w:w="1482" w:type="dxa"/>
            <w:vAlign w:val="center"/>
          </w:tcPr>
          <w:p w14:paraId="65180808"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大纲审核人</w:t>
            </w:r>
          </w:p>
        </w:tc>
        <w:tc>
          <w:tcPr>
            <w:tcW w:w="2797" w:type="dxa"/>
            <w:vAlign w:val="center"/>
          </w:tcPr>
          <w:p w14:paraId="65F91184" w14:textId="77777777" w:rsidR="00E75FE1" w:rsidRPr="00E75FE1" w:rsidRDefault="00E75FE1" w:rsidP="00E75FE1">
            <w:pPr>
              <w:spacing w:line="440" w:lineRule="exact"/>
              <w:jc w:val="center"/>
              <w:rPr>
                <w:rFonts w:ascii="宋体" w:eastAsia="宋体" w:hAnsi="宋体" w:cs="Times New Roman"/>
                <w:sz w:val="24"/>
              </w:rPr>
            </w:pPr>
            <w:proofErr w:type="gramStart"/>
            <w:r w:rsidRPr="00E75FE1">
              <w:rPr>
                <w:rFonts w:ascii="宋体" w:eastAsia="宋体" w:hAnsi="宋体" w:cs="Times New Roman" w:hint="eastAsia"/>
                <w:sz w:val="24"/>
              </w:rPr>
              <w:t>左健</w:t>
            </w:r>
            <w:proofErr w:type="gramEnd"/>
          </w:p>
        </w:tc>
      </w:tr>
      <w:tr w:rsidR="00E75FE1" w:rsidRPr="00E75FE1" w14:paraId="5BB00553" w14:textId="77777777" w:rsidTr="00375FAF">
        <w:trPr>
          <w:trHeight w:val="848"/>
          <w:jc w:val="center"/>
        </w:trPr>
        <w:tc>
          <w:tcPr>
            <w:tcW w:w="1581" w:type="dxa"/>
            <w:vAlign w:val="center"/>
          </w:tcPr>
          <w:p w14:paraId="721D8FDA"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先修课程</w:t>
            </w:r>
          </w:p>
        </w:tc>
        <w:tc>
          <w:tcPr>
            <w:tcW w:w="6941" w:type="dxa"/>
            <w:gridSpan w:val="3"/>
            <w:vAlign w:val="center"/>
          </w:tcPr>
          <w:p w14:paraId="73248931" w14:textId="77777777" w:rsidR="00E75FE1" w:rsidRPr="00E75FE1" w:rsidRDefault="00E75FE1" w:rsidP="00E75FE1">
            <w:pPr>
              <w:spacing w:line="440" w:lineRule="exact"/>
              <w:jc w:val="center"/>
              <w:rPr>
                <w:rFonts w:ascii="宋体" w:eastAsia="宋体" w:hAnsi="宋体" w:cs="Times New Roman"/>
                <w:sz w:val="24"/>
              </w:rPr>
            </w:pPr>
          </w:p>
        </w:tc>
      </w:tr>
      <w:tr w:rsidR="00E75FE1" w:rsidRPr="00E75FE1" w14:paraId="072CFE71" w14:textId="77777777" w:rsidTr="00375FAF">
        <w:trPr>
          <w:trHeight w:val="848"/>
          <w:jc w:val="center"/>
        </w:trPr>
        <w:tc>
          <w:tcPr>
            <w:tcW w:w="1581" w:type="dxa"/>
            <w:vAlign w:val="center"/>
          </w:tcPr>
          <w:p w14:paraId="0AC929FB"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课程网址</w:t>
            </w:r>
          </w:p>
        </w:tc>
        <w:tc>
          <w:tcPr>
            <w:tcW w:w="6941" w:type="dxa"/>
            <w:gridSpan w:val="3"/>
            <w:vAlign w:val="center"/>
          </w:tcPr>
          <w:p w14:paraId="625C3A14" w14:textId="77777777" w:rsidR="00E75FE1" w:rsidRPr="00E75FE1" w:rsidRDefault="00E75FE1" w:rsidP="00E75FE1">
            <w:pPr>
              <w:spacing w:line="440" w:lineRule="exact"/>
              <w:rPr>
                <w:rFonts w:ascii="宋体" w:eastAsia="宋体" w:hAnsi="宋体" w:cs="Times New Roman"/>
                <w:color w:val="FF0000"/>
                <w:sz w:val="24"/>
              </w:rPr>
            </w:pPr>
          </w:p>
        </w:tc>
      </w:tr>
    </w:tbl>
    <w:p w14:paraId="6429DB1D"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二、课程学习目标及与毕业要求的对应关系</w:t>
      </w:r>
    </w:p>
    <w:p w14:paraId="34C7CBDD"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（一）课程学习目标</w:t>
      </w:r>
    </w:p>
    <w:p w14:paraId="6FE4BF70"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通过本课程的学习，使学生达到以下目标：</w:t>
      </w:r>
    </w:p>
    <w:p w14:paraId="359129F1" w14:textId="77777777" w:rsidR="00E75FE1" w:rsidRPr="00E75FE1" w:rsidRDefault="00E75FE1" w:rsidP="00E75FE1">
      <w:pPr>
        <w:adjustRightInd w:val="0"/>
        <w:snapToGrid w:val="0"/>
        <w:spacing w:line="360" w:lineRule="exact"/>
        <w:ind w:firstLineChars="200" w:firstLine="480"/>
        <w:rPr>
          <w:rFonts w:ascii="宋体" w:eastAsia="宋体" w:hAnsi="宋体" w:cs="宋体"/>
          <w:sz w:val="24"/>
        </w:rPr>
      </w:pPr>
      <w:r w:rsidRPr="00E75FE1">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w:t>
      </w:r>
      <w:r w:rsidRPr="00B26124">
        <w:rPr>
          <w:rFonts w:ascii="宋体" w:eastAsia="宋体" w:hAnsi="宋体" w:cs="仿宋_GB2312" w:hint="eastAsia"/>
          <w:b/>
          <w:bCs/>
          <w:sz w:val="24"/>
        </w:rPr>
        <w:t>【毕业要求8/10 职业规范】</w:t>
      </w:r>
    </w:p>
    <w:p w14:paraId="1D02DEF1" w14:textId="77777777" w:rsidR="00E75FE1" w:rsidRPr="00B26124" w:rsidRDefault="00E75FE1" w:rsidP="00E75FE1">
      <w:pPr>
        <w:adjustRightInd w:val="0"/>
        <w:snapToGrid w:val="0"/>
        <w:spacing w:line="360" w:lineRule="exact"/>
        <w:ind w:firstLineChars="200" w:firstLine="480"/>
        <w:rPr>
          <w:rFonts w:ascii="宋体" w:eastAsia="宋体" w:hAnsi="宋体" w:cs="仿宋_GB2312"/>
          <w:b/>
          <w:bCs/>
          <w:sz w:val="24"/>
        </w:rPr>
      </w:pPr>
      <w:r w:rsidRPr="00E75FE1">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w:t>
      </w:r>
      <w:r w:rsidRPr="00B26124">
        <w:rPr>
          <w:rFonts w:ascii="宋体" w:eastAsia="宋体" w:hAnsi="宋体" w:cs="仿宋_GB2312" w:hint="eastAsia"/>
          <w:b/>
          <w:bCs/>
          <w:sz w:val="24"/>
        </w:rPr>
        <w:t>【毕业要求8/10 沟通】</w:t>
      </w:r>
    </w:p>
    <w:p w14:paraId="122F759B" w14:textId="77777777" w:rsidR="00E75FE1" w:rsidRPr="00B26124" w:rsidRDefault="00E75FE1" w:rsidP="00E75FE1">
      <w:pPr>
        <w:adjustRightInd w:val="0"/>
        <w:snapToGrid w:val="0"/>
        <w:spacing w:line="360" w:lineRule="exact"/>
        <w:ind w:firstLineChars="200" w:firstLine="480"/>
        <w:rPr>
          <w:rFonts w:ascii="黑体" w:eastAsia="黑体" w:hAnsi="黑体" w:cs="Times New Roman"/>
          <w:b/>
          <w:bCs/>
          <w:sz w:val="28"/>
          <w:szCs w:val="28"/>
        </w:rPr>
      </w:pPr>
      <w:r w:rsidRPr="00E75FE1">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w:t>
      </w:r>
      <w:r w:rsidRPr="00E75FE1">
        <w:rPr>
          <w:rFonts w:ascii="宋体" w:eastAsia="宋体" w:hAnsi="宋体" w:cs="仿宋_GB2312" w:hint="eastAsia"/>
          <w:sz w:val="24"/>
        </w:rPr>
        <w:lastRenderedPageBreak/>
        <w:t>练习为基本手段，对大学生机体进行科学的培育，在提高人的生物潜能、心理潜能的过程中促进德、智、体、美全面发展，达到身心健康、全面发展的教育总目的。</w:t>
      </w:r>
      <w:r w:rsidRPr="00B26124">
        <w:rPr>
          <w:rFonts w:ascii="宋体" w:eastAsia="宋体" w:hAnsi="宋体" w:cs="仿宋_GB2312" w:hint="eastAsia"/>
          <w:b/>
          <w:bCs/>
          <w:sz w:val="24"/>
        </w:rPr>
        <w:t>【毕业要求8/12 终身学习】</w:t>
      </w:r>
    </w:p>
    <w:p w14:paraId="41BF7BAC"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670"/>
        <w:gridCol w:w="1791"/>
      </w:tblGrid>
      <w:tr w:rsidR="00E75FE1" w:rsidRPr="00E75FE1" w14:paraId="5CE15343" w14:textId="77777777" w:rsidTr="00375FAF">
        <w:trPr>
          <w:trHeight w:val="815"/>
          <w:jc w:val="center"/>
        </w:trPr>
        <w:tc>
          <w:tcPr>
            <w:tcW w:w="1708" w:type="dxa"/>
            <w:vAlign w:val="center"/>
          </w:tcPr>
          <w:p w14:paraId="69F85072" w14:textId="77777777" w:rsidR="00E75FE1" w:rsidRPr="00E75FE1" w:rsidRDefault="00E75FE1" w:rsidP="00E75FE1">
            <w:pPr>
              <w:spacing w:line="440" w:lineRule="exact"/>
              <w:jc w:val="center"/>
              <w:rPr>
                <w:rFonts w:ascii="宋体" w:eastAsia="宋体" w:hAnsi="宋体" w:cs="Times New Roman"/>
                <w:b/>
                <w:sz w:val="24"/>
              </w:rPr>
            </w:pPr>
            <w:r w:rsidRPr="00E75FE1">
              <w:rPr>
                <w:rFonts w:ascii="宋体" w:eastAsia="宋体" w:hAnsi="宋体" w:cs="Times New Roman" w:hint="eastAsia"/>
                <w:b/>
                <w:sz w:val="24"/>
              </w:rPr>
              <w:t>毕业要求</w:t>
            </w:r>
          </w:p>
        </w:tc>
        <w:tc>
          <w:tcPr>
            <w:tcW w:w="5670" w:type="dxa"/>
            <w:vAlign w:val="center"/>
          </w:tcPr>
          <w:p w14:paraId="763312E2" w14:textId="77777777" w:rsidR="00E75FE1" w:rsidRPr="00E75FE1" w:rsidRDefault="00E75FE1" w:rsidP="00E75FE1">
            <w:pPr>
              <w:spacing w:line="440" w:lineRule="exact"/>
              <w:jc w:val="center"/>
              <w:rPr>
                <w:rFonts w:ascii="宋体" w:eastAsia="宋体" w:hAnsi="宋体" w:cs="Times New Roman"/>
                <w:b/>
                <w:sz w:val="24"/>
              </w:rPr>
            </w:pPr>
            <w:r w:rsidRPr="00E75FE1">
              <w:rPr>
                <w:rFonts w:ascii="宋体" w:eastAsia="宋体" w:hAnsi="宋体" w:cs="Times New Roman" w:hint="eastAsia"/>
                <w:b/>
                <w:sz w:val="24"/>
              </w:rPr>
              <w:t>毕业要求指标点</w:t>
            </w:r>
          </w:p>
        </w:tc>
        <w:tc>
          <w:tcPr>
            <w:tcW w:w="1791" w:type="dxa"/>
            <w:vAlign w:val="center"/>
          </w:tcPr>
          <w:p w14:paraId="20685067" w14:textId="77777777" w:rsidR="00E75FE1" w:rsidRPr="00E75FE1" w:rsidRDefault="00E75FE1" w:rsidP="00E75FE1">
            <w:pPr>
              <w:spacing w:line="440" w:lineRule="exact"/>
              <w:jc w:val="center"/>
              <w:rPr>
                <w:rFonts w:ascii="宋体" w:eastAsia="宋体" w:hAnsi="宋体" w:cs="Times New Roman"/>
                <w:b/>
                <w:sz w:val="24"/>
              </w:rPr>
            </w:pPr>
            <w:r w:rsidRPr="00E75FE1">
              <w:rPr>
                <w:rFonts w:ascii="宋体" w:eastAsia="宋体" w:hAnsi="宋体" w:cs="Times New Roman" w:hint="eastAsia"/>
                <w:b/>
                <w:sz w:val="24"/>
              </w:rPr>
              <w:t>课程目标</w:t>
            </w:r>
          </w:p>
        </w:tc>
      </w:tr>
      <w:tr w:rsidR="00E75FE1" w:rsidRPr="00E75FE1" w14:paraId="57285355" w14:textId="77777777" w:rsidTr="00375FAF">
        <w:trPr>
          <w:jc w:val="center"/>
        </w:trPr>
        <w:tc>
          <w:tcPr>
            <w:tcW w:w="1708" w:type="dxa"/>
            <w:vAlign w:val="center"/>
          </w:tcPr>
          <w:p w14:paraId="4B4414FE"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职业规范</w:t>
            </w:r>
            <w:r w:rsidRPr="00E75FE1">
              <w:rPr>
                <w:rFonts w:ascii="宋体" w:eastAsia="宋体" w:hAnsi="宋体" w:cs="Times New Roman"/>
                <w:sz w:val="24"/>
              </w:rPr>
              <w:t>（</w:t>
            </w:r>
            <w:r w:rsidRPr="00E75FE1">
              <w:rPr>
                <w:rFonts w:ascii="宋体" w:eastAsia="宋体" w:hAnsi="宋体" w:cs="Times New Roman" w:hint="eastAsia"/>
                <w:sz w:val="24"/>
              </w:rPr>
              <w:t>M</w:t>
            </w:r>
            <w:r w:rsidRPr="00E75FE1">
              <w:rPr>
                <w:rFonts w:ascii="宋体" w:eastAsia="宋体" w:hAnsi="宋体" w:cs="Times New Roman"/>
                <w:sz w:val="24"/>
              </w:rPr>
              <w:t>）</w:t>
            </w:r>
          </w:p>
        </w:tc>
        <w:tc>
          <w:tcPr>
            <w:tcW w:w="5670" w:type="dxa"/>
            <w:vAlign w:val="center"/>
          </w:tcPr>
          <w:p w14:paraId="0DE64472" w14:textId="77777777" w:rsidR="00E75FE1" w:rsidRPr="00E75FE1" w:rsidRDefault="00E75FE1" w:rsidP="00E75FE1">
            <w:pPr>
              <w:spacing w:line="440" w:lineRule="exact"/>
              <w:rPr>
                <w:rFonts w:ascii="宋体" w:eastAsia="宋体" w:hAnsi="宋体" w:cs="仿宋_GB2312"/>
                <w:sz w:val="24"/>
              </w:rPr>
            </w:pPr>
          </w:p>
          <w:p w14:paraId="55DC79AB" w14:textId="77777777" w:rsidR="00E75FE1" w:rsidRPr="00E75FE1" w:rsidRDefault="00E75FE1" w:rsidP="00E75FE1">
            <w:pPr>
              <w:spacing w:line="440" w:lineRule="exact"/>
              <w:rPr>
                <w:rFonts w:ascii="宋体" w:eastAsia="宋体" w:hAnsi="宋体" w:cs="仿宋_GB2312"/>
                <w:sz w:val="24"/>
              </w:rPr>
            </w:pPr>
          </w:p>
          <w:p w14:paraId="06346E11" w14:textId="77777777" w:rsidR="00E75FE1" w:rsidRPr="00E75FE1" w:rsidRDefault="00E75FE1" w:rsidP="00E75FE1">
            <w:pPr>
              <w:spacing w:line="440" w:lineRule="exact"/>
              <w:rPr>
                <w:rFonts w:ascii="宋体" w:eastAsia="宋体" w:hAnsi="宋体" w:cs="Times New Roman"/>
                <w:sz w:val="24"/>
              </w:rPr>
            </w:pPr>
          </w:p>
        </w:tc>
        <w:tc>
          <w:tcPr>
            <w:tcW w:w="1791" w:type="dxa"/>
            <w:vAlign w:val="center"/>
          </w:tcPr>
          <w:p w14:paraId="246F2698"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课程目标1</w:t>
            </w:r>
          </w:p>
        </w:tc>
      </w:tr>
      <w:tr w:rsidR="00E75FE1" w:rsidRPr="00E75FE1" w14:paraId="4BCF5790" w14:textId="77777777" w:rsidTr="00375FAF">
        <w:trPr>
          <w:jc w:val="center"/>
        </w:trPr>
        <w:tc>
          <w:tcPr>
            <w:tcW w:w="1708" w:type="dxa"/>
            <w:vAlign w:val="center"/>
          </w:tcPr>
          <w:p w14:paraId="4111D3F9"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沟通</w:t>
            </w:r>
            <w:r w:rsidRPr="00E75FE1">
              <w:rPr>
                <w:rFonts w:ascii="宋体" w:eastAsia="宋体" w:hAnsi="宋体" w:cs="Times New Roman"/>
                <w:sz w:val="24"/>
              </w:rPr>
              <w:t>（</w:t>
            </w:r>
            <w:r w:rsidRPr="00E75FE1">
              <w:rPr>
                <w:rFonts w:ascii="宋体" w:eastAsia="宋体" w:hAnsi="宋体" w:cs="Times New Roman" w:hint="eastAsia"/>
                <w:sz w:val="24"/>
              </w:rPr>
              <w:t>M</w:t>
            </w:r>
            <w:r w:rsidRPr="00E75FE1">
              <w:rPr>
                <w:rFonts w:ascii="宋体" w:eastAsia="宋体" w:hAnsi="宋体" w:cs="Times New Roman"/>
                <w:sz w:val="24"/>
              </w:rPr>
              <w:t>）</w:t>
            </w:r>
          </w:p>
        </w:tc>
        <w:tc>
          <w:tcPr>
            <w:tcW w:w="5670" w:type="dxa"/>
            <w:vAlign w:val="center"/>
          </w:tcPr>
          <w:p w14:paraId="63FDC71B" w14:textId="77777777" w:rsidR="00E75FE1" w:rsidRPr="00E75FE1" w:rsidRDefault="00E75FE1" w:rsidP="00E75FE1">
            <w:pPr>
              <w:spacing w:line="440" w:lineRule="exact"/>
              <w:rPr>
                <w:rFonts w:ascii="宋体" w:eastAsia="宋体" w:hAnsi="宋体" w:cs="Times New Roman"/>
                <w:sz w:val="24"/>
              </w:rPr>
            </w:pPr>
          </w:p>
          <w:p w14:paraId="19CC33DF" w14:textId="77777777" w:rsidR="00E75FE1" w:rsidRPr="00E75FE1" w:rsidRDefault="00E75FE1" w:rsidP="00E75FE1">
            <w:pPr>
              <w:spacing w:line="440" w:lineRule="exact"/>
              <w:rPr>
                <w:rFonts w:ascii="宋体" w:eastAsia="宋体" w:hAnsi="宋体" w:cs="Times New Roman"/>
                <w:sz w:val="24"/>
              </w:rPr>
            </w:pPr>
          </w:p>
          <w:p w14:paraId="49EEBC6A" w14:textId="77777777" w:rsidR="00E75FE1" w:rsidRPr="00E75FE1" w:rsidRDefault="00E75FE1" w:rsidP="00E75FE1">
            <w:pPr>
              <w:spacing w:line="440" w:lineRule="exact"/>
              <w:rPr>
                <w:rFonts w:ascii="宋体" w:eastAsia="宋体" w:hAnsi="宋体" w:cs="Times New Roman"/>
                <w:sz w:val="24"/>
              </w:rPr>
            </w:pPr>
          </w:p>
        </w:tc>
        <w:tc>
          <w:tcPr>
            <w:tcW w:w="1791" w:type="dxa"/>
            <w:vAlign w:val="center"/>
          </w:tcPr>
          <w:p w14:paraId="66BF1682" w14:textId="77777777" w:rsidR="00E75FE1" w:rsidRPr="00E75FE1" w:rsidRDefault="00E75FE1" w:rsidP="00E75FE1">
            <w:pPr>
              <w:spacing w:line="440" w:lineRule="exact"/>
              <w:ind w:firstLineChars="100" w:firstLine="240"/>
              <w:rPr>
                <w:rFonts w:ascii="宋体" w:eastAsia="宋体" w:hAnsi="宋体" w:cs="仿宋_GB2312"/>
                <w:sz w:val="24"/>
              </w:rPr>
            </w:pPr>
            <w:r w:rsidRPr="00E75FE1">
              <w:rPr>
                <w:rFonts w:ascii="宋体" w:eastAsia="宋体" w:hAnsi="宋体" w:cs="Times New Roman" w:hint="eastAsia"/>
                <w:sz w:val="24"/>
              </w:rPr>
              <w:t>课程目标</w:t>
            </w:r>
            <w:r w:rsidRPr="00E75FE1">
              <w:rPr>
                <w:rFonts w:ascii="宋体" w:eastAsia="宋体" w:hAnsi="宋体" w:cs="Times New Roman"/>
                <w:sz w:val="24"/>
              </w:rPr>
              <w:t>2</w:t>
            </w:r>
          </w:p>
        </w:tc>
      </w:tr>
      <w:tr w:rsidR="00E75FE1" w:rsidRPr="00E75FE1" w14:paraId="168E4E74" w14:textId="77777777" w:rsidTr="00375FAF">
        <w:trPr>
          <w:jc w:val="center"/>
        </w:trPr>
        <w:tc>
          <w:tcPr>
            <w:tcW w:w="1708" w:type="dxa"/>
            <w:vAlign w:val="center"/>
          </w:tcPr>
          <w:p w14:paraId="6C5EFD16"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终身学习</w:t>
            </w:r>
            <w:r w:rsidRPr="00E75FE1">
              <w:rPr>
                <w:rFonts w:ascii="宋体" w:eastAsia="宋体" w:hAnsi="宋体" w:cs="Times New Roman"/>
                <w:sz w:val="24"/>
              </w:rPr>
              <w:t>（</w:t>
            </w:r>
            <w:r w:rsidRPr="00E75FE1">
              <w:rPr>
                <w:rFonts w:ascii="宋体" w:eastAsia="宋体" w:hAnsi="宋体" w:cs="Times New Roman" w:hint="eastAsia"/>
                <w:sz w:val="24"/>
              </w:rPr>
              <w:t>H</w:t>
            </w:r>
            <w:r w:rsidRPr="00E75FE1">
              <w:rPr>
                <w:rFonts w:ascii="宋体" w:eastAsia="宋体" w:hAnsi="宋体" w:cs="Times New Roman"/>
                <w:sz w:val="24"/>
              </w:rPr>
              <w:t>）</w:t>
            </w:r>
          </w:p>
        </w:tc>
        <w:tc>
          <w:tcPr>
            <w:tcW w:w="5670" w:type="dxa"/>
            <w:vAlign w:val="center"/>
          </w:tcPr>
          <w:p w14:paraId="132023AA" w14:textId="77777777" w:rsidR="00E75FE1" w:rsidRPr="00E75FE1" w:rsidRDefault="00E75FE1" w:rsidP="00E75FE1">
            <w:pPr>
              <w:spacing w:line="440" w:lineRule="exact"/>
              <w:rPr>
                <w:rFonts w:ascii="宋体" w:eastAsia="宋体" w:hAnsi="宋体" w:cs="仿宋_GB2312"/>
                <w:sz w:val="24"/>
              </w:rPr>
            </w:pPr>
          </w:p>
          <w:p w14:paraId="5304EF2C" w14:textId="77777777" w:rsidR="00E75FE1" w:rsidRPr="00E75FE1" w:rsidRDefault="00E75FE1" w:rsidP="00E75FE1">
            <w:pPr>
              <w:spacing w:line="440" w:lineRule="exact"/>
              <w:rPr>
                <w:rFonts w:ascii="宋体" w:eastAsia="宋体" w:hAnsi="宋体" w:cs="仿宋_GB2312"/>
                <w:sz w:val="24"/>
              </w:rPr>
            </w:pPr>
          </w:p>
          <w:p w14:paraId="7F585095" w14:textId="77777777" w:rsidR="00E75FE1" w:rsidRPr="00E75FE1" w:rsidRDefault="00E75FE1" w:rsidP="00E75FE1">
            <w:pPr>
              <w:spacing w:line="440" w:lineRule="exact"/>
              <w:rPr>
                <w:rFonts w:ascii="宋体" w:eastAsia="宋体" w:hAnsi="宋体" w:cs="Times New Roman"/>
                <w:sz w:val="24"/>
              </w:rPr>
            </w:pPr>
          </w:p>
        </w:tc>
        <w:tc>
          <w:tcPr>
            <w:tcW w:w="1791" w:type="dxa"/>
            <w:vAlign w:val="center"/>
          </w:tcPr>
          <w:p w14:paraId="7A187004" w14:textId="77777777" w:rsidR="00E75FE1" w:rsidRPr="00E75FE1" w:rsidRDefault="00E75FE1" w:rsidP="00E75FE1">
            <w:pPr>
              <w:spacing w:line="440" w:lineRule="exact"/>
              <w:ind w:firstLineChars="100" w:firstLine="240"/>
              <w:rPr>
                <w:rFonts w:ascii="宋体" w:eastAsia="宋体" w:hAnsi="宋体" w:cs="Times New Roman"/>
                <w:sz w:val="24"/>
              </w:rPr>
            </w:pPr>
            <w:r w:rsidRPr="00E75FE1">
              <w:rPr>
                <w:rFonts w:ascii="宋体" w:eastAsia="宋体" w:hAnsi="宋体" w:cs="Times New Roman"/>
                <w:sz w:val="24"/>
              </w:rPr>
              <w:t>课程目标3</w:t>
            </w:r>
          </w:p>
        </w:tc>
      </w:tr>
    </w:tbl>
    <w:p w14:paraId="6C647B80" w14:textId="77777777" w:rsidR="00E75FE1" w:rsidRPr="00E75FE1" w:rsidRDefault="00E75FE1" w:rsidP="00E75FE1">
      <w:pPr>
        <w:spacing w:beforeLines="50" w:before="156" w:afterLines="50" w:after="156" w:line="440" w:lineRule="exact"/>
        <w:rPr>
          <w:rFonts w:ascii="黑体" w:eastAsia="黑体" w:hAnsi="黑体" w:cs="Times New Roman"/>
          <w:sz w:val="28"/>
          <w:szCs w:val="28"/>
        </w:rPr>
      </w:pPr>
    </w:p>
    <w:p w14:paraId="65E2C2A7"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三、课程学习内容及与课程学习目标的对应关系</w:t>
      </w:r>
    </w:p>
    <w:p w14:paraId="475262E6" w14:textId="77777777" w:rsidR="00E75FE1" w:rsidRPr="00E75FE1" w:rsidRDefault="00E75FE1" w:rsidP="00E75FE1">
      <w:pPr>
        <w:spacing w:beforeLines="50" w:before="156" w:afterLines="50" w:after="156" w:line="440" w:lineRule="exact"/>
        <w:ind w:firstLineChars="200" w:firstLine="562"/>
        <w:rPr>
          <w:rFonts w:ascii="黑体" w:eastAsia="黑体" w:hAnsi="黑体" w:cs="Times New Roman"/>
          <w:b/>
          <w:sz w:val="28"/>
          <w:szCs w:val="28"/>
        </w:rPr>
      </w:pPr>
      <w:r w:rsidRPr="00E75FE1">
        <w:rPr>
          <w:rFonts w:ascii="黑体" w:eastAsia="黑体" w:hAnsi="黑体" w:cs="Times New Roman" w:hint="eastAsia"/>
          <w:b/>
          <w:sz w:val="28"/>
          <w:szCs w:val="28"/>
        </w:rPr>
        <w:t>（一）课程学习内容</w:t>
      </w:r>
    </w:p>
    <w:p w14:paraId="3EA8F06A" w14:textId="77777777" w:rsidR="00E75FE1" w:rsidRPr="00E75FE1" w:rsidRDefault="00E75FE1" w:rsidP="00E75FE1">
      <w:pPr>
        <w:spacing w:beforeLines="50" w:before="156" w:afterLines="50" w:after="156" w:line="440" w:lineRule="exact"/>
        <w:ind w:firstLineChars="200" w:firstLine="560"/>
        <w:jc w:val="center"/>
        <w:rPr>
          <w:rFonts w:ascii="黑体" w:eastAsia="黑体" w:hAnsi="黑体" w:cs="Times New Roman"/>
          <w:sz w:val="28"/>
          <w:szCs w:val="28"/>
        </w:rPr>
      </w:pPr>
      <w:r w:rsidRPr="00E75FE1">
        <w:rPr>
          <w:rFonts w:ascii="黑体" w:eastAsia="黑体" w:hAnsi="黑体" w:cs="Times New Roman" w:hint="eastAsia"/>
          <w:sz w:val="28"/>
          <w:szCs w:val="28"/>
        </w:rPr>
        <w:t>学习内容</w:t>
      </w:r>
      <w:proofErr w:type="gramStart"/>
      <w:r w:rsidRPr="00E75FE1">
        <w:rPr>
          <w:rFonts w:ascii="黑体" w:eastAsia="黑体" w:hAnsi="黑体" w:cs="Times New Roman" w:hint="eastAsia"/>
          <w:sz w:val="28"/>
          <w:szCs w:val="28"/>
        </w:rPr>
        <w:t>一</w:t>
      </w:r>
      <w:proofErr w:type="gramEnd"/>
      <w:r w:rsidRPr="00E75FE1">
        <w:rPr>
          <w:rFonts w:ascii="黑体" w:eastAsia="黑体" w:hAnsi="黑体" w:cs="Times New Roman" w:hint="eastAsia"/>
          <w:sz w:val="28"/>
          <w:szCs w:val="28"/>
        </w:rPr>
        <w:t xml:space="preserve"> 体能+乒乓球 </w:t>
      </w:r>
    </w:p>
    <w:p w14:paraId="721BEAB2"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E75FE1">
        <w:rPr>
          <w:rFonts w:ascii="宋体" w:eastAsia="宋体" w:hAnsi="宋体" w:cs="Times New Roman" w:hint="eastAsia"/>
          <w:b/>
          <w:sz w:val="24"/>
        </w:rPr>
        <w:t>【学习目标】</w:t>
      </w:r>
    </w:p>
    <w:p w14:paraId="3407A6DA"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1.</w:t>
      </w:r>
      <w:r w:rsidRPr="00E75FE1">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E75FE1">
        <w:rPr>
          <w:rFonts w:ascii="宋体" w:eastAsia="宋体" w:hAnsi="Calibri" w:cs="宋体" w:hint="eastAsia"/>
          <w:spacing w:val="5"/>
          <w:kern w:val="0"/>
          <w:sz w:val="24"/>
        </w:rPr>
        <w:t>通过体能教学活动，</w:t>
      </w:r>
      <w:r w:rsidRPr="00E75FE1">
        <w:rPr>
          <w:rFonts w:ascii="宋体" w:eastAsia="宋体" w:hAnsi="宋体" w:cs="仿宋_GB2312" w:hint="eastAsia"/>
          <w:sz w:val="24"/>
        </w:rPr>
        <w:t>了解《大学生体质健康标准测验》项目内容、考核方式、评价标准，掌握考核内容锻炼的方式方法。</w:t>
      </w:r>
      <w:r w:rsidRPr="00E75FE1">
        <w:rPr>
          <w:rFonts w:ascii="宋体" w:eastAsia="宋体" w:hAnsi="Calibri" w:cs="宋体" w:hint="eastAsia"/>
          <w:spacing w:val="5"/>
          <w:kern w:val="0"/>
          <w:sz w:val="24"/>
        </w:rPr>
        <w:t>培养学生努力学习、不断进取、修身立业、顽强奋进的精神与品质。</w:t>
      </w:r>
    </w:p>
    <w:p w14:paraId="2498BA29"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2.</w:t>
      </w:r>
      <w:r w:rsidRPr="00E75FE1">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w:t>
      </w:r>
      <w:r w:rsidRPr="00E75FE1">
        <w:rPr>
          <w:rFonts w:ascii="宋体" w:eastAsia="宋体" w:hAnsi="宋体" w:cs="仿宋_GB2312" w:hint="eastAsia"/>
          <w:sz w:val="24"/>
        </w:rPr>
        <w:lastRenderedPageBreak/>
        <w:t>进学生能力的发展能够初步运用获得的知识技能锻炼身体，进行自我调控，自我检测和自我评价</w:t>
      </w:r>
      <w:r w:rsidRPr="00E75FE1">
        <w:rPr>
          <w:rFonts w:ascii="宋体" w:eastAsia="宋体" w:hAnsi="Calibri" w:cs="宋体" w:hint="eastAsia"/>
          <w:spacing w:val="5"/>
          <w:kern w:val="0"/>
          <w:sz w:val="24"/>
        </w:rPr>
        <w:t>。</w:t>
      </w:r>
    </w:p>
    <w:p w14:paraId="122A7CE1"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3.</w:t>
      </w:r>
      <w:r w:rsidRPr="00E75FE1">
        <w:rPr>
          <w:rFonts w:ascii="宋体" w:eastAsia="宋体" w:hAnsi="宋体" w:cs="仿宋_GB2312" w:hint="eastAsia"/>
          <w:sz w:val="24"/>
        </w:rPr>
        <w:t>使学生能够掌握乒乓球运动的一般规律和特点，使学生获得乒乓球运动的基本技术、基本技能和基础理论知识，并了解现代乒乓球的发展趋势。以运动和身体练习为基本手段，对大学生机体进行科学的培育，在提高人的生物潜能、心理潜能的过程中促进德、智、体、美全面发展，达到身心健康、全面发展的教育总目的</w:t>
      </w:r>
      <w:r w:rsidRPr="00E75FE1">
        <w:rPr>
          <w:rFonts w:ascii="宋体" w:eastAsia="宋体" w:hAnsi="Calibri" w:cs="宋体" w:hint="eastAsia"/>
          <w:spacing w:val="5"/>
          <w:kern w:val="0"/>
          <w:sz w:val="24"/>
        </w:rPr>
        <w:t>。</w:t>
      </w:r>
    </w:p>
    <w:p w14:paraId="0305903E" w14:textId="77777777" w:rsidR="00E75FE1" w:rsidRPr="00E75FE1" w:rsidRDefault="00E75FE1" w:rsidP="00E75FE1">
      <w:pPr>
        <w:spacing w:line="440" w:lineRule="exact"/>
        <w:ind w:firstLineChars="200" w:firstLine="500"/>
        <w:rPr>
          <w:rFonts w:ascii="Calibri" w:eastAsia="宋体" w:hAnsi="Calibri" w:cs="Times New Roman"/>
        </w:rPr>
      </w:pPr>
      <w:r w:rsidRPr="00E75FE1">
        <w:rPr>
          <w:rFonts w:ascii="宋体" w:eastAsia="宋体" w:hAnsi="Calibri" w:cs="宋体" w:hint="eastAsia"/>
          <w:spacing w:val="5"/>
          <w:kern w:val="0"/>
          <w:sz w:val="24"/>
        </w:rPr>
        <w:t>4.</w:t>
      </w:r>
      <w:r w:rsidRPr="00E75FE1">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E75FE1">
        <w:rPr>
          <w:rFonts w:ascii="宋体" w:eastAsia="宋体" w:hAnsi="Calibri" w:cs="宋体" w:hint="eastAsia"/>
          <w:spacing w:val="5"/>
          <w:kern w:val="0"/>
          <w:sz w:val="24"/>
        </w:rPr>
        <w:t>。</w:t>
      </w:r>
    </w:p>
    <w:p w14:paraId="077B5F76" w14:textId="77777777" w:rsidR="00E75FE1" w:rsidRPr="00E75FE1" w:rsidRDefault="00E75FE1" w:rsidP="00E75FE1">
      <w:pPr>
        <w:spacing w:line="440" w:lineRule="exact"/>
        <w:rPr>
          <w:rFonts w:ascii="宋体" w:eastAsia="宋体" w:hAnsi="宋体" w:cs="Times New Roman"/>
          <w:b/>
          <w:sz w:val="24"/>
        </w:rPr>
      </w:pPr>
    </w:p>
    <w:p w14:paraId="2309E98B" w14:textId="77777777" w:rsidR="00E75FE1" w:rsidRPr="00E75FE1" w:rsidRDefault="00E75FE1" w:rsidP="00E75FE1">
      <w:pPr>
        <w:spacing w:line="440" w:lineRule="exact"/>
        <w:ind w:firstLineChars="200" w:firstLine="482"/>
        <w:rPr>
          <w:rFonts w:ascii="宋体" w:eastAsia="宋体" w:hAnsi="宋体" w:cs="Times New Roman"/>
          <w:bCs/>
          <w:color w:val="FF0000"/>
          <w:sz w:val="24"/>
        </w:rPr>
      </w:pPr>
      <w:r w:rsidRPr="00E75FE1">
        <w:rPr>
          <w:rFonts w:ascii="宋体" w:eastAsia="宋体" w:hAnsi="宋体" w:cs="Times New Roman" w:hint="eastAsia"/>
          <w:b/>
          <w:sz w:val="24"/>
        </w:rPr>
        <w:t>【学习内容】</w:t>
      </w:r>
    </w:p>
    <w:p w14:paraId="4E514264" w14:textId="77777777" w:rsidR="00E75FE1" w:rsidRPr="00E75FE1" w:rsidRDefault="00E75FE1" w:rsidP="00E75FE1">
      <w:pPr>
        <w:spacing w:beforeLines="50" w:before="156" w:afterLines="50" w:after="156" w:line="360" w:lineRule="auto"/>
        <w:jc w:val="center"/>
        <w:rPr>
          <w:rFonts w:ascii="宋体" w:eastAsia="宋体" w:hAnsi="Calibri" w:cs="Arial"/>
          <w:b/>
          <w:sz w:val="28"/>
          <w:szCs w:val="28"/>
        </w:rPr>
      </w:pPr>
      <w:r w:rsidRPr="00E75FE1">
        <w:rPr>
          <w:rFonts w:ascii="宋体" w:eastAsia="宋体" w:hAnsi="宋体" w:cs="Arial" w:hint="eastAsia"/>
          <w:b/>
          <w:sz w:val="28"/>
          <w:szCs w:val="28"/>
        </w:rPr>
        <w:t>第一章</w:t>
      </w:r>
      <w:r w:rsidRPr="00E75FE1">
        <w:rPr>
          <w:rFonts w:ascii="宋体" w:eastAsia="宋体" w:hAnsi="宋体" w:cs="Arial"/>
          <w:b/>
          <w:sz w:val="28"/>
          <w:szCs w:val="28"/>
        </w:rPr>
        <w:t xml:space="preserve">   </w:t>
      </w:r>
      <w:r w:rsidRPr="00E75FE1">
        <w:rPr>
          <w:rFonts w:ascii="宋体" w:eastAsia="宋体" w:hAnsi="宋体" w:cs="Arial" w:hint="eastAsia"/>
          <w:b/>
          <w:sz w:val="28"/>
          <w:szCs w:val="28"/>
        </w:rPr>
        <w:t>认识健康的重要性（0.5学时）</w:t>
      </w:r>
    </w:p>
    <w:p w14:paraId="1E6CDD2B" w14:textId="77777777" w:rsidR="00E75FE1" w:rsidRPr="00E75FE1" w:rsidRDefault="00E75FE1" w:rsidP="00E75FE1">
      <w:pPr>
        <w:spacing w:before="50" w:after="50"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516D8CE4"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1.1 健康的内涵</w:t>
      </w:r>
    </w:p>
    <w:p w14:paraId="72C2F199"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1.2 预防与消除亚健康</w:t>
      </w:r>
    </w:p>
    <w:p w14:paraId="3BBB7491"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1.3 维护健康的法则</w:t>
      </w:r>
    </w:p>
    <w:p w14:paraId="2173AD6D" w14:textId="77777777" w:rsidR="00E75FE1" w:rsidRPr="00E75FE1" w:rsidRDefault="00E75FE1" w:rsidP="00E75FE1">
      <w:pPr>
        <w:spacing w:line="360" w:lineRule="auto"/>
        <w:ind w:leftChars="-29" w:left="-61" w:firstLineChars="219" w:firstLine="528"/>
        <w:rPr>
          <w:rFonts w:ascii="Arial" w:eastAsia="宋体" w:hAnsi="Calibri" w:cs="Arial"/>
          <w:b/>
          <w:sz w:val="24"/>
        </w:rPr>
      </w:pPr>
      <w:r w:rsidRPr="00E75FE1">
        <w:rPr>
          <w:rFonts w:ascii="Arial" w:eastAsia="宋体" w:hAnsi="Calibri" w:cs="Arial" w:hint="eastAsia"/>
          <w:b/>
          <w:sz w:val="24"/>
        </w:rPr>
        <w:t>本章教学目的及要求：</w:t>
      </w:r>
      <w:r w:rsidRPr="00E75FE1">
        <w:rPr>
          <w:rFonts w:ascii="Arial" w:eastAsia="宋体" w:hAnsi="Arial" w:cs="Arial" w:hint="eastAsia"/>
          <w:sz w:val="24"/>
        </w:rPr>
        <w:t>使同学们了解自身健康的重要性及如何维护、促进自身的健康。</w:t>
      </w:r>
    </w:p>
    <w:p w14:paraId="6DD104C3" w14:textId="77777777" w:rsidR="00E75FE1" w:rsidRPr="00E75FE1" w:rsidRDefault="00E75FE1" w:rsidP="00E75FE1">
      <w:pPr>
        <w:adjustRightInd w:val="0"/>
        <w:snapToGrid w:val="0"/>
        <w:spacing w:line="500" w:lineRule="exact"/>
        <w:ind w:firstLineChars="196" w:firstLine="472"/>
        <w:rPr>
          <w:rFonts w:ascii="Arial" w:eastAsia="宋体" w:hAnsi="Arial" w:cs="Arial"/>
          <w:sz w:val="24"/>
        </w:rPr>
      </w:pPr>
      <w:r w:rsidRPr="00E75FE1">
        <w:rPr>
          <w:rFonts w:ascii="Arial" w:eastAsia="宋体" w:hAnsi="Calibri" w:cs="Arial" w:hint="eastAsia"/>
          <w:b/>
          <w:sz w:val="24"/>
        </w:rPr>
        <w:t>本章教学重点及难点：</w:t>
      </w:r>
      <w:r w:rsidRPr="00E75FE1">
        <w:rPr>
          <w:rFonts w:ascii="Arial" w:eastAsia="宋体" w:hAnsi="Arial" w:cs="Arial" w:hint="eastAsia"/>
          <w:sz w:val="24"/>
        </w:rPr>
        <w:t>认识到健康的重要性；如何维护自身的健康。</w:t>
      </w:r>
    </w:p>
    <w:p w14:paraId="06B0A8B3" w14:textId="77777777" w:rsidR="00E75FE1" w:rsidRPr="00E75FE1" w:rsidRDefault="00E75FE1" w:rsidP="00E75FE1">
      <w:pPr>
        <w:spacing w:beforeLines="50" w:before="156" w:afterLines="50" w:after="156" w:line="360" w:lineRule="auto"/>
        <w:jc w:val="center"/>
        <w:rPr>
          <w:rFonts w:ascii="Arial" w:eastAsia="宋体" w:hAnsi="Arial" w:cs="Arial"/>
          <w:b/>
          <w:sz w:val="28"/>
          <w:szCs w:val="28"/>
        </w:rPr>
      </w:pPr>
      <w:r w:rsidRPr="00E75FE1">
        <w:rPr>
          <w:rFonts w:ascii="Arial" w:eastAsia="宋体" w:hAnsi="Calibri" w:cs="Arial" w:hint="eastAsia"/>
          <w:b/>
          <w:sz w:val="28"/>
          <w:szCs w:val="28"/>
        </w:rPr>
        <w:t>第二章</w:t>
      </w:r>
      <w:r w:rsidRPr="00E75FE1">
        <w:rPr>
          <w:rFonts w:ascii="Arial" w:eastAsia="宋体" w:hAnsi="Arial" w:cs="Arial"/>
          <w:b/>
          <w:sz w:val="28"/>
          <w:szCs w:val="28"/>
        </w:rPr>
        <w:t xml:space="preserve">   </w:t>
      </w:r>
      <w:r w:rsidRPr="00E75FE1">
        <w:rPr>
          <w:rFonts w:ascii="Arial" w:eastAsia="宋体" w:hAnsi="Calibri" w:cs="Arial" w:hint="eastAsia"/>
          <w:b/>
          <w:sz w:val="28"/>
          <w:szCs w:val="28"/>
        </w:rPr>
        <w:t>科学健身的理论与方法（</w:t>
      </w:r>
      <w:r w:rsidRPr="00E75FE1">
        <w:rPr>
          <w:rFonts w:ascii="Arial" w:eastAsia="宋体" w:hAnsi="Calibri" w:cs="Arial" w:hint="eastAsia"/>
          <w:b/>
          <w:sz w:val="28"/>
          <w:szCs w:val="28"/>
        </w:rPr>
        <w:t>0.5</w:t>
      </w:r>
      <w:r w:rsidRPr="00E75FE1">
        <w:rPr>
          <w:rFonts w:ascii="Arial" w:eastAsia="宋体" w:hAnsi="Calibri" w:cs="Arial" w:hint="eastAsia"/>
          <w:b/>
          <w:sz w:val="28"/>
          <w:szCs w:val="28"/>
        </w:rPr>
        <w:t>学时）</w:t>
      </w:r>
    </w:p>
    <w:p w14:paraId="4244983E" w14:textId="77777777" w:rsidR="00E75FE1" w:rsidRPr="00E75FE1" w:rsidRDefault="00E75FE1" w:rsidP="00E75FE1">
      <w:pPr>
        <w:spacing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5C916BB9"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2.1 健身新理念</w:t>
      </w:r>
    </w:p>
    <w:p w14:paraId="51DE72F2"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2.2 运动处方</w:t>
      </w:r>
    </w:p>
    <w:p w14:paraId="5DEC867A" w14:textId="77777777" w:rsidR="00E75FE1" w:rsidRPr="00E75FE1" w:rsidRDefault="00E75FE1" w:rsidP="00E75FE1">
      <w:pPr>
        <w:spacing w:line="360" w:lineRule="auto"/>
        <w:ind w:firstLineChars="196" w:firstLine="472"/>
        <w:rPr>
          <w:rFonts w:ascii="Calibri" w:eastAsia="宋体" w:hAnsi="Calibri" w:cs="Times New Roman"/>
          <w:bCs/>
          <w:sz w:val="24"/>
        </w:rPr>
      </w:pPr>
      <w:r w:rsidRPr="00E75FE1">
        <w:rPr>
          <w:rFonts w:ascii="Arial" w:eastAsia="宋体" w:hAnsi="Calibri" w:cs="Arial" w:hint="eastAsia"/>
          <w:b/>
          <w:sz w:val="24"/>
        </w:rPr>
        <w:t>本章教学目的及要求：</w:t>
      </w:r>
      <w:r w:rsidRPr="00E75FE1">
        <w:rPr>
          <w:rFonts w:ascii="Calibri" w:eastAsia="宋体" w:hAnsi="Calibri" w:cs="Times New Roman" w:hint="eastAsia"/>
          <w:bCs/>
          <w:sz w:val="24"/>
        </w:rPr>
        <w:t>使学生了解健身新理念及运动处方如何制定。</w:t>
      </w:r>
    </w:p>
    <w:p w14:paraId="55EFEAFC" w14:textId="77777777" w:rsidR="00E75FE1" w:rsidRPr="00E75FE1" w:rsidRDefault="00E75FE1" w:rsidP="00E75FE1">
      <w:pPr>
        <w:spacing w:line="360" w:lineRule="auto"/>
        <w:ind w:firstLineChars="200" w:firstLine="482"/>
        <w:rPr>
          <w:rFonts w:ascii="Arial" w:eastAsia="宋体" w:hAnsi="Arial" w:cs="Arial"/>
          <w:sz w:val="24"/>
        </w:rPr>
      </w:pPr>
      <w:r w:rsidRPr="00E75FE1">
        <w:rPr>
          <w:rFonts w:ascii="Arial" w:eastAsia="宋体" w:hAnsi="Calibri" w:cs="Arial" w:hint="eastAsia"/>
          <w:b/>
          <w:sz w:val="24"/>
        </w:rPr>
        <w:lastRenderedPageBreak/>
        <w:t>本章教学重点及难点：</w:t>
      </w:r>
      <w:r w:rsidRPr="00E75FE1">
        <w:rPr>
          <w:rFonts w:ascii="Arial" w:eastAsia="宋体" w:hAnsi="Calibri" w:cs="Arial" w:hint="eastAsia"/>
          <w:sz w:val="24"/>
        </w:rPr>
        <w:t>制订运动处方的重要性；如何制订自身的运动处方。</w:t>
      </w:r>
    </w:p>
    <w:p w14:paraId="70169844" w14:textId="77777777" w:rsidR="00E75FE1" w:rsidRPr="00E75FE1" w:rsidRDefault="00E75FE1" w:rsidP="00E75FE1">
      <w:pPr>
        <w:spacing w:beforeLines="50" w:before="156" w:afterLines="50" w:after="156" w:line="360" w:lineRule="auto"/>
        <w:jc w:val="center"/>
        <w:rPr>
          <w:rFonts w:ascii="Arial" w:eastAsia="宋体" w:hAnsi="Arial" w:cs="Arial"/>
          <w:b/>
          <w:sz w:val="28"/>
          <w:szCs w:val="28"/>
        </w:rPr>
      </w:pPr>
      <w:r w:rsidRPr="00E75FE1">
        <w:rPr>
          <w:rFonts w:ascii="Arial" w:eastAsia="宋体" w:hAnsi="Calibri" w:cs="Arial" w:hint="eastAsia"/>
          <w:b/>
          <w:sz w:val="28"/>
          <w:szCs w:val="28"/>
        </w:rPr>
        <w:t>第三章</w:t>
      </w:r>
      <w:r w:rsidRPr="00E75FE1">
        <w:rPr>
          <w:rFonts w:ascii="Arial" w:eastAsia="宋体" w:hAnsi="Arial" w:cs="Arial"/>
          <w:b/>
          <w:sz w:val="28"/>
          <w:szCs w:val="28"/>
        </w:rPr>
        <w:t xml:space="preserve">   </w:t>
      </w:r>
      <w:r w:rsidRPr="00E75FE1">
        <w:rPr>
          <w:rFonts w:ascii="Arial" w:eastAsia="宋体" w:hAnsi="Calibri" w:cs="Arial" w:hint="eastAsia"/>
          <w:b/>
          <w:sz w:val="28"/>
          <w:szCs w:val="28"/>
        </w:rPr>
        <w:t>营养与健康（</w:t>
      </w:r>
      <w:r w:rsidRPr="00E75FE1">
        <w:rPr>
          <w:rFonts w:ascii="Arial" w:eastAsia="宋体" w:hAnsi="Calibri" w:cs="Arial" w:hint="eastAsia"/>
          <w:b/>
          <w:sz w:val="28"/>
          <w:szCs w:val="28"/>
        </w:rPr>
        <w:t>0.5</w:t>
      </w:r>
      <w:r w:rsidRPr="00E75FE1">
        <w:rPr>
          <w:rFonts w:ascii="Arial" w:eastAsia="宋体" w:hAnsi="Calibri" w:cs="Arial" w:hint="eastAsia"/>
          <w:b/>
          <w:sz w:val="28"/>
          <w:szCs w:val="28"/>
        </w:rPr>
        <w:t>学时）</w:t>
      </w:r>
    </w:p>
    <w:p w14:paraId="2DDC56ED" w14:textId="77777777" w:rsidR="00E75FE1" w:rsidRPr="00E75FE1" w:rsidRDefault="00E75FE1" w:rsidP="00E75FE1">
      <w:pPr>
        <w:spacing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78FF7D10"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3.1 营养对健康的影响</w:t>
      </w:r>
    </w:p>
    <w:p w14:paraId="7C6DCD23"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3.2 营养素及人体对营养的需要</w:t>
      </w:r>
    </w:p>
    <w:p w14:paraId="1B63C183"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3.3 平衡膳食</w:t>
      </w:r>
    </w:p>
    <w:p w14:paraId="5D037390"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3.4 运动与营养</w:t>
      </w:r>
    </w:p>
    <w:p w14:paraId="68754542" w14:textId="77777777" w:rsidR="00E75FE1" w:rsidRPr="00E75FE1" w:rsidRDefault="00E75FE1" w:rsidP="00E75FE1">
      <w:pPr>
        <w:spacing w:line="360" w:lineRule="auto"/>
        <w:ind w:firstLineChars="196" w:firstLine="472"/>
        <w:rPr>
          <w:rFonts w:ascii="Calibri" w:eastAsia="宋体" w:hAnsi="Calibri" w:cs="Times New Roman"/>
          <w:bCs/>
          <w:sz w:val="24"/>
        </w:rPr>
      </w:pPr>
      <w:r w:rsidRPr="00E75FE1">
        <w:rPr>
          <w:rFonts w:ascii="Arial" w:eastAsia="宋体" w:hAnsi="Calibri" w:cs="Arial" w:hint="eastAsia"/>
          <w:b/>
          <w:sz w:val="24"/>
        </w:rPr>
        <w:t>本章教学目的及要求：</w:t>
      </w:r>
      <w:r w:rsidRPr="00E75FE1">
        <w:rPr>
          <w:rFonts w:ascii="Calibri" w:eastAsia="宋体" w:hAnsi="Calibri" w:cs="Times New Roman" w:hint="eastAsia"/>
          <w:bCs/>
          <w:sz w:val="24"/>
        </w:rPr>
        <w:t>让学生正确认识科学补充营养可以提高自身免疫力，从而提高生活质量。</w:t>
      </w:r>
    </w:p>
    <w:p w14:paraId="75EEEF08" w14:textId="77777777" w:rsidR="00E75FE1" w:rsidRPr="00E75FE1" w:rsidRDefault="00E75FE1" w:rsidP="00E75FE1">
      <w:pPr>
        <w:spacing w:line="360" w:lineRule="auto"/>
        <w:ind w:firstLineChars="196" w:firstLine="472"/>
        <w:rPr>
          <w:rFonts w:ascii="Arial" w:eastAsia="宋体" w:hAnsi="Arial" w:cs="Arial"/>
          <w:bCs/>
          <w:sz w:val="24"/>
        </w:rPr>
      </w:pPr>
      <w:r w:rsidRPr="00E75FE1">
        <w:rPr>
          <w:rFonts w:ascii="Arial" w:eastAsia="宋体" w:hAnsi="Calibri" w:cs="Arial" w:hint="eastAsia"/>
          <w:b/>
          <w:sz w:val="24"/>
        </w:rPr>
        <w:t>本章教学重点及难点：</w:t>
      </w:r>
      <w:r w:rsidRPr="00E75FE1">
        <w:rPr>
          <w:rFonts w:ascii="Arial" w:eastAsia="宋体" w:hAnsi="Calibri" w:cs="Arial" w:hint="eastAsia"/>
          <w:sz w:val="24"/>
        </w:rPr>
        <w:t>学生阶段的营养过剩与运动不足；补充营养的同时如何提高自身的健康。</w:t>
      </w:r>
    </w:p>
    <w:p w14:paraId="6A5501FC" w14:textId="77777777" w:rsidR="00E75FE1" w:rsidRPr="00E75FE1" w:rsidRDefault="00E75FE1" w:rsidP="00E75FE1">
      <w:pPr>
        <w:spacing w:beforeLines="50" w:before="156" w:afterLines="50" w:after="156" w:line="360" w:lineRule="auto"/>
        <w:jc w:val="center"/>
        <w:rPr>
          <w:rFonts w:ascii="Arial" w:eastAsia="宋体" w:hAnsi="Arial" w:cs="Arial"/>
          <w:b/>
          <w:sz w:val="28"/>
          <w:szCs w:val="28"/>
        </w:rPr>
      </w:pPr>
      <w:r w:rsidRPr="00E75FE1">
        <w:rPr>
          <w:rFonts w:ascii="Arial" w:eastAsia="宋体" w:hAnsi="Calibri" w:cs="Arial" w:hint="eastAsia"/>
          <w:b/>
          <w:sz w:val="28"/>
          <w:szCs w:val="28"/>
        </w:rPr>
        <w:t>第四章</w:t>
      </w:r>
      <w:r w:rsidRPr="00E75FE1">
        <w:rPr>
          <w:rFonts w:ascii="Arial" w:eastAsia="宋体" w:hAnsi="Arial" w:cs="Arial"/>
          <w:b/>
          <w:sz w:val="28"/>
          <w:szCs w:val="28"/>
        </w:rPr>
        <w:t xml:space="preserve">   </w:t>
      </w:r>
      <w:r w:rsidRPr="00E75FE1">
        <w:rPr>
          <w:rFonts w:ascii="Arial" w:eastAsia="宋体" w:hAnsi="Calibri" w:cs="Arial" w:hint="eastAsia"/>
          <w:b/>
          <w:sz w:val="28"/>
          <w:szCs w:val="28"/>
        </w:rPr>
        <w:t>体育保健知识（</w:t>
      </w:r>
      <w:r w:rsidRPr="00E75FE1">
        <w:rPr>
          <w:rFonts w:ascii="Arial" w:eastAsia="宋体" w:hAnsi="Calibri" w:cs="Arial" w:hint="eastAsia"/>
          <w:b/>
          <w:sz w:val="28"/>
          <w:szCs w:val="28"/>
        </w:rPr>
        <w:t>0.5</w:t>
      </w:r>
      <w:r w:rsidRPr="00E75FE1">
        <w:rPr>
          <w:rFonts w:ascii="Arial" w:eastAsia="宋体" w:hAnsi="Calibri" w:cs="Arial" w:hint="eastAsia"/>
          <w:b/>
          <w:sz w:val="28"/>
          <w:szCs w:val="28"/>
        </w:rPr>
        <w:t>学时）</w:t>
      </w:r>
    </w:p>
    <w:p w14:paraId="5A3A18F5" w14:textId="77777777" w:rsidR="00E75FE1" w:rsidRPr="00E75FE1" w:rsidRDefault="00E75FE1" w:rsidP="00E75FE1">
      <w:pPr>
        <w:spacing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01DC44E0"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4.1运动中常见的生理反应与处理方法</w:t>
      </w:r>
    </w:p>
    <w:p w14:paraId="7A4AFEFE"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4.2 运动损伤的处置</w:t>
      </w:r>
    </w:p>
    <w:p w14:paraId="2A254A44"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4.3女子运动保健</w:t>
      </w:r>
    </w:p>
    <w:p w14:paraId="739EE426" w14:textId="77777777" w:rsidR="00E75FE1" w:rsidRPr="00E75FE1" w:rsidRDefault="00E75FE1" w:rsidP="00E75FE1">
      <w:pPr>
        <w:spacing w:line="360" w:lineRule="auto"/>
        <w:ind w:firstLineChars="196" w:firstLine="472"/>
        <w:rPr>
          <w:rFonts w:ascii="Calibri" w:eastAsia="宋体" w:hAnsi="Calibri" w:cs="Times New Roman"/>
          <w:bCs/>
          <w:sz w:val="24"/>
        </w:rPr>
      </w:pPr>
      <w:r w:rsidRPr="00E75FE1">
        <w:rPr>
          <w:rFonts w:ascii="Arial" w:eastAsia="宋体" w:hAnsi="Calibri" w:cs="Arial" w:hint="eastAsia"/>
          <w:b/>
          <w:sz w:val="24"/>
        </w:rPr>
        <w:t>本章教学目的及要求：</w:t>
      </w:r>
      <w:r w:rsidRPr="00E75FE1">
        <w:rPr>
          <w:rFonts w:ascii="Calibri" w:eastAsia="宋体" w:hAnsi="Calibri" w:cs="Times New Roman" w:hint="eastAsia"/>
          <w:bCs/>
          <w:sz w:val="24"/>
        </w:rPr>
        <w:t>使学生了解运动中常见的生理反应及处理方法。</w:t>
      </w:r>
    </w:p>
    <w:p w14:paraId="31A370A7" w14:textId="77777777" w:rsidR="00E75FE1" w:rsidRPr="00E75FE1" w:rsidRDefault="00E75FE1" w:rsidP="00E75FE1">
      <w:pPr>
        <w:spacing w:line="360" w:lineRule="auto"/>
        <w:ind w:firstLineChars="196" w:firstLine="472"/>
        <w:rPr>
          <w:rFonts w:ascii="Arial" w:eastAsia="宋体" w:hAnsi="Calibri" w:cs="Arial"/>
          <w:sz w:val="24"/>
        </w:rPr>
      </w:pPr>
      <w:r w:rsidRPr="00E75FE1">
        <w:rPr>
          <w:rFonts w:ascii="Arial" w:eastAsia="宋体" w:hAnsi="Calibri" w:cs="Arial" w:hint="eastAsia"/>
          <w:b/>
          <w:sz w:val="24"/>
        </w:rPr>
        <w:t>本章教学重点及难点：</w:t>
      </w:r>
      <w:r w:rsidRPr="00E75FE1">
        <w:rPr>
          <w:rFonts w:ascii="Arial" w:eastAsia="宋体" w:hAnsi="Calibri" w:cs="Arial" w:hint="eastAsia"/>
          <w:sz w:val="24"/>
        </w:rPr>
        <w:t>学生如何预防常见的运动损伤；运动损伤如何处置。</w:t>
      </w:r>
    </w:p>
    <w:p w14:paraId="66259167" w14:textId="77777777" w:rsidR="00E75FE1" w:rsidRPr="00E75FE1" w:rsidRDefault="00E75FE1" w:rsidP="00E75FE1">
      <w:pPr>
        <w:tabs>
          <w:tab w:val="left" w:pos="960"/>
        </w:tabs>
        <w:spacing w:beforeLines="50" w:before="156" w:afterLines="50" w:after="156" w:line="360" w:lineRule="auto"/>
        <w:jc w:val="center"/>
        <w:rPr>
          <w:rFonts w:ascii="宋体" w:eastAsia="宋体" w:hAnsi="Calibri" w:cs="Arial"/>
          <w:b/>
          <w:bCs/>
          <w:sz w:val="28"/>
          <w:szCs w:val="28"/>
        </w:rPr>
      </w:pPr>
      <w:r w:rsidRPr="00E75FE1">
        <w:rPr>
          <w:rFonts w:ascii="宋体" w:eastAsia="宋体" w:hAnsi="宋体" w:cs="Arial" w:hint="eastAsia"/>
          <w:b/>
          <w:bCs/>
          <w:sz w:val="28"/>
          <w:szCs w:val="28"/>
        </w:rPr>
        <w:t>第五章 了解体育文化（0.5课时）</w:t>
      </w:r>
    </w:p>
    <w:p w14:paraId="4A481B59" w14:textId="77777777" w:rsidR="00E75FE1" w:rsidRPr="00E75FE1" w:rsidRDefault="00E75FE1" w:rsidP="00E75FE1">
      <w:pPr>
        <w:spacing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4B4DF3A2"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5.1中西方体育文化比较</w:t>
      </w:r>
    </w:p>
    <w:p w14:paraId="08886093"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5.2 奥林匹克体育文化</w:t>
      </w:r>
    </w:p>
    <w:p w14:paraId="72EDAF41"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5.3 校园体育文化</w:t>
      </w:r>
    </w:p>
    <w:p w14:paraId="2369583C" w14:textId="77777777" w:rsidR="00E75FE1" w:rsidRPr="00E75FE1" w:rsidRDefault="00E75FE1" w:rsidP="00E75FE1">
      <w:pPr>
        <w:spacing w:line="360" w:lineRule="auto"/>
        <w:ind w:firstLineChars="196" w:firstLine="472"/>
        <w:rPr>
          <w:rFonts w:ascii="Arial" w:eastAsia="宋体" w:hAnsi="Calibri" w:cs="Arial"/>
          <w:b/>
          <w:sz w:val="24"/>
        </w:rPr>
      </w:pPr>
      <w:r w:rsidRPr="00E75FE1">
        <w:rPr>
          <w:rFonts w:ascii="Arial" w:eastAsia="宋体" w:hAnsi="Calibri" w:cs="Arial" w:hint="eastAsia"/>
          <w:b/>
          <w:sz w:val="24"/>
        </w:rPr>
        <w:t>本章教学目的及要求：</w:t>
      </w:r>
      <w:r w:rsidRPr="00E75FE1">
        <w:rPr>
          <w:rFonts w:ascii="Arial" w:eastAsia="宋体" w:hAnsi="Calibri" w:cs="Arial" w:hint="eastAsia"/>
          <w:bCs/>
          <w:sz w:val="24"/>
          <w:szCs w:val="28"/>
        </w:rPr>
        <w:t>让学生了解东西方体育文化的差异。</w:t>
      </w:r>
    </w:p>
    <w:p w14:paraId="1B6AC6F2" w14:textId="77777777" w:rsidR="00E75FE1" w:rsidRPr="00E75FE1" w:rsidRDefault="00E75FE1" w:rsidP="00E75FE1">
      <w:pPr>
        <w:spacing w:line="360" w:lineRule="auto"/>
        <w:ind w:firstLineChars="196" w:firstLine="472"/>
        <w:rPr>
          <w:rFonts w:ascii="Arial" w:eastAsia="宋体" w:hAnsi="Calibri" w:cs="Arial"/>
          <w:b/>
          <w:sz w:val="24"/>
        </w:rPr>
      </w:pPr>
      <w:r w:rsidRPr="00E75FE1">
        <w:rPr>
          <w:rFonts w:ascii="Arial" w:eastAsia="宋体" w:hAnsi="Calibri" w:cs="Arial" w:hint="eastAsia"/>
          <w:b/>
          <w:sz w:val="24"/>
        </w:rPr>
        <w:t>本章教学重点及难点：</w:t>
      </w:r>
      <w:r w:rsidRPr="00E75FE1">
        <w:rPr>
          <w:rFonts w:ascii="Arial" w:eastAsia="宋体" w:hAnsi="Calibri" w:cs="Arial" w:hint="eastAsia"/>
          <w:sz w:val="24"/>
        </w:rPr>
        <w:t>介绍奥林匹克文化的发展</w:t>
      </w:r>
      <w:r w:rsidRPr="00E75FE1">
        <w:rPr>
          <w:rFonts w:ascii="Arial" w:eastAsia="宋体" w:hAnsi="Calibri" w:cs="Arial" w:hint="eastAsia"/>
          <w:bCs/>
          <w:sz w:val="24"/>
          <w:szCs w:val="28"/>
        </w:rPr>
        <w:t>；介绍校园体育文化的发展与功</w:t>
      </w:r>
      <w:r w:rsidRPr="00E75FE1">
        <w:rPr>
          <w:rFonts w:ascii="Arial" w:eastAsia="宋体" w:hAnsi="Calibri" w:cs="Arial" w:hint="eastAsia"/>
          <w:bCs/>
          <w:sz w:val="24"/>
          <w:szCs w:val="28"/>
        </w:rPr>
        <w:lastRenderedPageBreak/>
        <w:t>能。</w:t>
      </w:r>
    </w:p>
    <w:p w14:paraId="6A5F00E3" w14:textId="77777777" w:rsidR="00E75FE1" w:rsidRPr="00E75FE1" w:rsidRDefault="00E75FE1" w:rsidP="00E75FE1">
      <w:pPr>
        <w:spacing w:beforeLines="50" w:before="156" w:afterLines="50" w:after="156" w:line="360" w:lineRule="auto"/>
        <w:jc w:val="center"/>
        <w:rPr>
          <w:rFonts w:ascii="Arial" w:eastAsia="宋体" w:hAnsi="Calibri" w:cs="Arial"/>
          <w:b/>
          <w:sz w:val="28"/>
          <w:szCs w:val="28"/>
        </w:rPr>
      </w:pPr>
      <w:r w:rsidRPr="00E75FE1">
        <w:rPr>
          <w:rFonts w:ascii="宋体" w:eastAsia="宋体" w:hAnsi="宋体" w:cs="宋体" w:hint="eastAsia"/>
          <w:b/>
          <w:bCs/>
          <w:sz w:val="28"/>
          <w:szCs w:val="28"/>
        </w:rPr>
        <w:t>第六章 欣赏体育比赛</w:t>
      </w:r>
      <w:r w:rsidRPr="00E75FE1">
        <w:rPr>
          <w:rFonts w:ascii="Arial" w:eastAsia="宋体" w:hAnsi="Calibri" w:cs="Arial" w:hint="eastAsia"/>
          <w:b/>
          <w:sz w:val="28"/>
          <w:szCs w:val="28"/>
        </w:rPr>
        <w:t>（</w:t>
      </w:r>
      <w:r w:rsidRPr="00E75FE1">
        <w:rPr>
          <w:rFonts w:ascii="Arial" w:eastAsia="宋体" w:hAnsi="Arial" w:cs="Arial" w:hint="eastAsia"/>
          <w:b/>
          <w:sz w:val="28"/>
          <w:szCs w:val="28"/>
        </w:rPr>
        <w:t>0.5</w:t>
      </w:r>
      <w:r w:rsidRPr="00E75FE1">
        <w:rPr>
          <w:rFonts w:ascii="Arial" w:eastAsia="宋体" w:hAnsi="Calibri" w:cs="Arial" w:hint="eastAsia"/>
          <w:b/>
          <w:sz w:val="28"/>
          <w:szCs w:val="28"/>
        </w:rPr>
        <w:t>学时）</w:t>
      </w:r>
    </w:p>
    <w:p w14:paraId="59B1EF89" w14:textId="77777777" w:rsidR="00E75FE1" w:rsidRPr="00E75FE1" w:rsidRDefault="00E75FE1" w:rsidP="00E75FE1">
      <w:pPr>
        <w:spacing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1A3F4A44"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6.1体育欣赏的体育美学原理及特点</w:t>
      </w:r>
    </w:p>
    <w:p w14:paraId="0910D0F9"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6.2 体育运动的欣赏内容</w:t>
      </w:r>
    </w:p>
    <w:p w14:paraId="652D91C2"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6.3 特定运动项目的欣赏</w:t>
      </w:r>
    </w:p>
    <w:p w14:paraId="203DAD40" w14:textId="77777777" w:rsidR="00E75FE1" w:rsidRPr="00E75FE1" w:rsidRDefault="00E75FE1" w:rsidP="00E75FE1">
      <w:pPr>
        <w:spacing w:line="360" w:lineRule="auto"/>
        <w:ind w:firstLineChars="196" w:firstLine="472"/>
        <w:rPr>
          <w:rFonts w:ascii="Arial" w:eastAsia="宋体" w:hAnsi="Calibri" w:cs="Arial"/>
          <w:b/>
          <w:sz w:val="24"/>
        </w:rPr>
      </w:pPr>
      <w:r w:rsidRPr="00E75FE1">
        <w:rPr>
          <w:rFonts w:ascii="Arial" w:eastAsia="宋体" w:hAnsi="Calibri" w:cs="Arial" w:hint="eastAsia"/>
          <w:b/>
          <w:sz w:val="24"/>
        </w:rPr>
        <w:t>本章教学目的及要求：</w:t>
      </w:r>
      <w:r w:rsidRPr="00E75FE1">
        <w:rPr>
          <w:rFonts w:ascii="Arial" w:eastAsia="宋体" w:hAnsi="Calibri" w:cs="Arial" w:hint="eastAsia"/>
          <w:bCs/>
          <w:sz w:val="24"/>
          <w:szCs w:val="28"/>
        </w:rPr>
        <w:t>使学生提高体育文化素质，培养起体育欣赏的兴趣，树立正确的体育审美观念。</w:t>
      </w:r>
    </w:p>
    <w:p w14:paraId="792C27B2" w14:textId="77777777" w:rsidR="00E75FE1" w:rsidRPr="00E75FE1" w:rsidRDefault="00E75FE1" w:rsidP="00E75FE1">
      <w:pPr>
        <w:spacing w:line="360" w:lineRule="auto"/>
        <w:ind w:firstLineChars="196" w:firstLine="472"/>
        <w:rPr>
          <w:rFonts w:ascii="Arial" w:eastAsia="宋体" w:hAnsi="Calibri" w:cs="Arial"/>
          <w:b/>
          <w:sz w:val="24"/>
        </w:rPr>
      </w:pPr>
      <w:r w:rsidRPr="00E75FE1">
        <w:rPr>
          <w:rFonts w:ascii="Arial" w:eastAsia="宋体" w:hAnsi="Calibri" w:cs="Arial" w:hint="eastAsia"/>
          <w:b/>
          <w:sz w:val="24"/>
        </w:rPr>
        <w:t>本章教学重点及难点：</w:t>
      </w:r>
      <w:r w:rsidRPr="00E75FE1">
        <w:rPr>
          <w:rFonts w:ascii="Arial" w:eastAsia="宋体" w:hAnsi="Calibri" w:cs="Arial" w:hint="eastAsia"/>
          <w:sz w:val="24"/>
        </w:rPr>
        <w:t>如何欣赏球类比赛</w:t>
      </w:r>
      <w:r w:rsidRPr="00E75FE1">
        <w:rPr>
          <w:rFonts w:ascii="Arial" w:eastAsia="宋体" w:hAnsi="Calibri" w:cs="Arial" w:hint="eastAsia"/>
          <w:bCs/>
          <w:sz w:val="24"/>
          <w:szCs w:val="28"/>
        </w:rPr>
        <w:t>；如何提高体育欣赏水平。</w:t>
      </w:r>
    </w:p>
    <w:p w14:paraId="2DFBC164" w14:textId="77777777" w:rsidR="00E75FE1" w:rsidRPr="00E75FE1" w:rsidRDefault="00E75FE1" w:rsidP="00E75FE1">
      <w:pPr>
        <w:spacing w:beforeLines="50" w:before="156" w:afterLines="50" w:after="156" w:line="360" w:lineRule="auto"/>
        <w:jc w:val="center"/>
        <w:rPr>
          <w:rFonts w:ascii="Arial" w:eastAsia="宋体" w:hAnsi="Arial" w:cs="Arial"/>
          <w:b/>
          <w:sz w:val="28"/>
          <w:szCs w:val="28"/>
        </w:rPr>
      </w:pPr>
      <w:r w:rsidRPr="00E75FE1">
        <w:rPr>
          <w:rFonts w:ascii="Arial" w:eastAsia="宋体" w:hAnsi="Calibri" w:cs="Arial" w:hint="eastAsia"/>
          <w:b/>
          <w:sz w:val="28"/>
          <w:szCs w:val="28"/>
        </w:rPr>
        <w:t>第七章</w:t>
      </w:r>
      <w:r w:rsidRPr="00E75FE1">
        <w:rPr>
          <w:rFonts w:ascii="Arial" w:eastAsia="宋体" w:hAnsi="Arial" w:cs="Arial"/>
          <w:b/>
          <w:sz w:val="28"/>
          <w:szCs w:val="28"/>
        </w:rPr>
        <w:t xml:space="preserve">   </w:t>
      </w:r>
      <w:r w:rsidRPr="00E75FE1">
        <w:rPr>
          <w:rFonts w:ascii="Arial" w:eastAsia="宋体" w:hAnsi="Arial" w:cs="Arial"/>
          <w:b/>
          <w:sz w:val="28"/>
          <w:szCs w:val="28"/>
        </w:rPr>
        <w:t>大</w:t>
      </w:r>
      <w:r w:rsidRPr="00E75FE1">
        <w:rPr>
          <w:rFonts w:ascii="Arial" w:eastAsia="宋体" w:hAnsi="Calibri" w:cs="Arial" w:hint="eastAsia"/>
          <w:b/>
          <w:sz w:val="28"/>
          <w:szCs w:val="28"/>
        </w:rPr>
        <w:t>学生体质健康测评（</w:t>
      </w:r>
      <w:r w:rsidRPr="00E75FE1">
        <w:rPr>
          <w:rFonts w:ascii="Arial" w:eastAsia="宋体" w:hAnsi="Calibri" w:cs="Arial" w:hint="eastAsia"/>
          <w:b/>
          <w:sz w:val="28"/>
          <w:szCs w:val="28"/>
        </w:rPr>
        <w:t>4</w:t>
      </w:r>
      <w:r w:rsidRPr="00E75FE1">
        <w:rPr>
          <w:rFonts w:ascii="Arial" w:eastAsia="宋体" w:hAnsi="Calibri" w:cs="Arial" w:hint="eastAsia"/>
          <w:b/>
          <w:sz w:val="28"/>
          <w:szCs w:val="28"/>
        </w:rPr>
        <w:t>学时）</w:t>
      </w:r>
    </w:p>
    <w:p w14:paraId="2E36D832" w14:textId="77777777" w:rsidR="00E75FE1" w:rsidRPr="00E75FE1" w:rsidRDefault="00E75FE1" w:rsidP="00E75FE1">
      <w:pPr>
        <w:spacing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0910B8DB"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7.1 《国家学生体质健康标准》实施说明</w:t>
      </w:r>
    </w:p>
    <w:p w14:paraId="61904FFF" w14:textId="77777777" w:rsidR="00E75FE1" w:rsidRPr="00E75FE1" w:rsidRDefault="00E75FE1" w:rsidP="00E75FE1">
      <w:pPr>
        <w:autoSpaceDE w:val="0"/>
        <w:autoSpaceDN w:val="0"/>
        <w:adjustRightInd w:val="0"/>
        <w:snapToGrid w:val="0"/>
        <w:spacing w:line="500" w:lineRule="exact"/>
        <w:ind w:firstLineChars="200" w:firstLine="500"/>
        <w:jc w:val="left"/>
        <w:rPr>
          <w:rFonts w:ascii="Arial" w:eastAsia="宋体" w:hAnsi="Calibri" w:cs="Arial"/>
          <w:sz w:val="24"/>
        </w:rPr>
      </w:pPr>
      <w:r w:rsidRPr="00E75FE1">
        <w:rPr>
          <w:rFonts w:ascii="宋体" w:eastAsia="宋体" w:hAnsi="Calibri" w:cs="宋体" w:hint="eastAsia"/>
          <w:spacing w:val="5"/>
          <w:kern w:val="0"/>
          <w:sz w:val="24"/>
        </w:rPr>
        <w:t>7.2 《国家学生体质健康标准》测试评分表</w:t>
      </w:r>
    </w:p>
    <w:p w14:paraId="7859CA71" w14:textId="77777777" w:rsidR="00E75FE1" w:rsidRPr="00E75FE1" w:rsidRDefault="00E75FE1" w:rsidP="00E75FE1">
      <w:pPr>
        <w:spacing w:line="360" w:lineRule="auto"/>
        <w:ind w:firstLineChars="196" w:firstLine="472"/>
        <w:rPr>
          <w:rFonts w:ascii="Calibri" w:eastAsia="宋体" w:hAnsi="Calibri" w:cs="Times New Roman"/>
          <w:bCs/>
          <w:sz w:val="24"/>
        </w:rPr>
      </w:pPr>
      <w:r w:rsidRPr="00E75FE1">
        <w:rPr>
          <w:rFonts w:ascii="Arial" w:eastAsia="宋体" w:hAnsi="Calibri" w:cs="Arial" w:hint="eastAsia"/>
          <w:b/>
          <w:sz w:val="24"/>
        </w:rPr>
        <w:t>本章教学目的及要求：</w:t>
      </w:r>
      <w:r w:rsidRPr="00E75FE1">
        <w:rPr>
          <w:rFonts w:ascii="Calibri" w:eastAsia="宋体" w:hAnsi="Calibri" w:cs="Times New Roman" w:hint="eastAsia"/>
          <w:bCs/>
          <w:sz w:val="24"/>
        </w:rPr>
        <w:t>使学生了解体质健康的主要内容及要求。</w:t>
      </w:r>
    </w:p>
    <w:p w14:paraId="27B844F7" w14:textId="77777777" w:rsidR="00E75FE1" w:rsidRPr="00E75FE1" w:rsidRDefault="00E75FE1" w:rsidP="00E75FE1">
      <w:pPr>
        <w:spacing w:line="360" w:lineRule="auto"/>
        <w:ind w:firstLineChars="196" w:firstLine="472"/>
        <w:rPr>
          <w:rFonts w:ascii="Arial" w:eastAsia="宋体" w:hAnsi="Calibri" w:cs="Arial"/>
          <w:sz w:val="24"/>
        </w:rPr>
      </w:pPr>
      <w:r w:rsidRPr="00E75FE1">
        <w:rPr>
          <w:rFonts w:ascii="Arial" w:eastAsia="宋体" w:hAnsi="Calibri" w:cs="Arial" w:hint="eastAsia"/>
          <w:b/>
          <w:sz w:val="24"/>
        </w:rPr>
        <w:t>本章教学重点及难点：</w:t>
      </w:r>
      <w:r w:rsidRPr="00E75FE1">
        <w:rPr>
          <w:rFonts w:ascii="Arial" w:eastAsia="宋体" w:hAnsi="Calibri" w:cs="Arial" w:hint="eastAsia"/>
          <w:sz w:val="24"/>
        </w:rPr>
        <w:t>学生体质健康标准的重要性；如何激发学生锻炼身体的积极性和自觉性。</w:t>
      </w:r>
    </w:p>
    <w:p w14:paraId="633A9191" w14:textId="77777777" w:rsidR="00E75FE1" w:rsidRPr="00E75FE1" w:rsidRDefault="00E75FE1" w:rsidP="00E75FE1">
      <w:pPr>
        <w:spacing w:beforeLines="50" w:before="156" w:afterLines="50" w:after="156" w:line="360" w:lineRule="auto"/>
        <w:jc w:val="center"/>
        <w:rPr>
          <w:rFonts w:ascii="Arial" w:eastAsia="宋体" w:hAnsi="Calibri" w:cs="Arial"/>
          <w:b/>
          <w:sz w:val="28"/>
          <w:szCs w:val="28"/>
        </w:rPr>
      </w:pPr>
      <w:r w:rsidRPr="00E75FE1">
        <w:rPr>
          <w:rFonts w:ascii="Arial" w:eastAsia="宋体" w:hAnsi="Arial" w:cs="Arial" w:hint="eastAsia"/>
          <w:b/>
          <w:sz w:val="28"/>
          <w:szCs w:val="28"/>
        </w:rPr>
        <w:t>第八章</w:t>
      </w:r>
      <w:r w:rsidRPr="00E75FE1">
        <w:rPr>
          <w:rFonts w:ascii="Arial" w:eastAsia="宋体" w:hAnsi="Arial" w:cs="Arial"/>
          <w:b/>
          <w:sz w:val="28"/>
          <w:szCs w:val="28"/>
        </w:rPr>
        <w:t xml:space="preserve">  </w:t>
      </w:r>
      <w:r w:rsidRPr="00E75FE1">
        <w:rPr>
          <w:rFonts w:ascii="宋体" w:eastAsia="宋体" w:hAnsi="宋体" w:cs="Arial" w:hint="eastAsia"/>
          <w:b/>
          <w:bCs/>
          <w:sz w:val="28"/>
          <w:szCs w:val="28"/>
        </w:rPr>
        <w:t>体能训练</w:t>
      </w:r>
      <w:r w:rsidRPr="00E75FE1">
        <w:rPr>
          <w:rFonts w:ascii="Arial" w:eastAsia="宋体" w:hAnsi="Calibri" w:cs="Arial" w:hint="eastAsia"/>
          <w:b/>
          <w:sz w:val="28"/>
          <w:szCs w:val="28"/>
        </w:rPr>
        <w:t>（</w:t>
      </w:r>
      <w:r w:rsidRPr="00E75FE1">
        <w:rPr>
          <w:rFonts w:ascii="Arial" w:eastAsia="宋体" w:hAnsi="Calibri" w:cs="Arial" w:hint="eastAsia"/>
          <w:b/>
          <w:sz w:val="28"/>
          <w:szCs w:val="28"/>
        </w:rPr>
        <w:t>13</w:t>
      </w:r>
      <w:r w:rsidRPr="00E75FE1">
        <w:rPr>
          <w:rFonts w:ascii="Arial" w:eastAsia="宋体" w:hAnsi="Calibri" w:cs="Arial" w:hint="eastAsia"/>
          <w:b/>
          <w:sz w:val="28"/>
          <w:szCs w:val="28"/>
        </w:rPr>
        <w:t>学时）</w:t>
      </w:r>
    </w:p>
    <w:p w14:paraId="58EF5FB6" w14:textId="77777777" w:rsidR="00E75FE1" w:rsidRPr="00E75FE1" w:rsidRDefault="00E75FE1" w:rsidP="00E75FE1">
      <w:pPr>
        <w:spacing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7237A281"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8.1体能训练简介</w:t>
      </w:r>
    </w:p>
    <w:p w14:paraId="5B622373"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8.2加速能力及力量训练2.柔韧能力训练</w:t>
      </w:r>
    </w:p>
    <w:p w14:paraId="5EF6E4E4"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8.3弹跳能力及力量训练</w:t>
      </w:r>
    </w:p>
    <w:p w14:paraId="40B7F12B"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8.4灵敏能力及力量训练</w:t>
      </w:r>
    </w:p>
    <w:p w14:paraId="6BABDF80"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8.5耐力能力及无氧训练</w:t>
      </w:r>
    </w:p>
    <w:p w14:paraId="3BAA2C62"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8.6弹跳能力及力量测试</w:t>
      </w:r>
    </w:p>
    <w:p w14:paraId="0A758140"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8.7上肢（男）力量训练2.腹肌（女）力量训练</w:t>
      </w:r>
    </w:p>
    <w:p w14:paraId="58EC18F7"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lastRenderedPageBreak/>
        <w:t>8.8耐力能力及无氧训练</w:t>
      </w:r>
    </w:p>
    <w:p w14:paraId="748695B7"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8.9引体向上（男）；一分钟仰卧起坐（女）</w:t>
      </w:r>
    </w:p>
    <w:p w14:paraId="6A2A9373"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8.10立定跳远测试</w:t>
      </w:r>
    </w:p>
    <w:p w14:paraId="7E679A49" w14:textId="77777777" w:rsidR="00E75FE1" w:rsidRPr="00E75FE1" w:rsidRDefault="00E75FE1" w:rsidP="00FE4508">
      <w:pPr>
        <w:numPr>
          <w:ilvl w:val="0"/>
          <w:numId w:val="41"/>
        </w:numPr>
        <w:spacing w:beforeLines="50" w:before="156" w:afterLines="50" w:after="156" w:line="360" w:lineRule="auto"/>
        <w:jc w:val="center"/>
        <w:rPr>
          <w:rFonts w:ascii="Arial" w:eastAsia="宋体" w:hAnsi="Calibri" w:cs="Arial"/>
          <w:b/>
          <w:sz w:val="28"/>
          <w:szCs w:val="28"/>
        </w:rPr>
      </w:pPr>
      <w:r w:rsidRPr="00E75FE1">
        <w:rPr>
          <w:rFonts w:ascii="Arial" w:eastAsia="宋体" w:hAnsi="Arial" w:cs="Arial" w:hint="eastAsia"/>
          <w:b/>
          <w:sz w:val="28"/>
          <w:szCs w:val="28"/>
        </w:rPr>
        <w:t xml:space="preserve">   </w:t>
      </w:r>
      <w:r w:rsidRPr="00E75FE1">
        <w:rPr>
          <w:rFonts w:ascii="Arial" w:eastAsia="宋体" w:hAnsi="Arial" w:cs="Arial" w:hint="eastAsia"/>
          <w:b/>
          <w:sz w:val="28"/>
          <w:szCs w:val="28"/>
        </w:rPr>
        <w:t>选项</w:t>
      </w:r>
      <w:proofErr w:type="gramStart"/>
      <w:r w:rsidRPr="00E75FE1">
        <w:rPr>
          <w:rFonts w:ascii="Arial" w:eastAsia="宋体" w:hAnsi="Arial" w:cs="Arial" w:hint="eastAsia"/>
          <w:b/>
          <w:sz w:val="28"/>
          <w:szCs w:val="28"/>
        </w:rPr>
        <w:t>课各项</w:t>
      </w:r>
      <w:proofErr w:type="gramEnd"/>
      <w:r w:rsidRPr="00E75FE1">
        <w:rPr>
          <w:rFonts w:ascii="Arial" w:eastAsia="宋体" w:hAnsi="Arial" w:cs="Arial" w:hint="eastAsia"/>
          <w:b/>
          <w:sz w:val="28"/>
          <w:szCs w:val="28"/>
        </w:rPr>
        <w:t>目内容</w:t>
      </w:r>
      <w:r w:rsidRPr="00E75FE1">
        <w:rPr>
          <w:rFonts w:ascii="Arial" w:eastAsia="宋体" w:hAnsi="Calibri" w:cs="Arial" w:hint="eastAsia"/>
          <w:b/>
          <w:sz w:val="28"/>
          <w:szCs w:val="28"/>
        </w:rPr>
        <w:t>（</w:t>
      </w:r>
      <w:r w:rsidRPr="00E75FE1">
        <w:rPr>
          <w:rFonts w:ascii="Arial" w:eastAsia="宋体" w:hAnsi="Calibri" w:cs="Arial" w:hint="eastAsia"/>
          <w:b/>
          <w:sz w:val="28"/>
          <w:szCs w:val="28"/>
        </w:rPr>
        <w:t>12</w:t>
      </w:r>
      <w:r w:rsidRPr="00E75FE1">
        <w:rPr>
          <w:rFonts w:ascii="Arial" w:eastAsia="宋体" w:hAnsi="Calibri" w:cs="Arial" w:hint="eastAsia"/>
          <w:b/>
          <w:sz w:val="28"/>
          <w:szCs w:val="28"/>
        </w:rPr>
        <w:t>学时）</w:t>
      </w:r>
    </w:p>
    <w:p w14:paraId="6796D7DB" w14:textId="77777777" w:rsidR="00E75FE1" w:rsidRPr="00E75FE1" w:rsidRDefault="00E75FE1" w:rsidP="00E75FE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E75FE1">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E75FE1" w:rsidRPr="00E75FE1" w14:paraId="71EE2BBA"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0E3D7C8"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5FD9EAB9"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460E9798"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8DA7AA3"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09F7F94"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备注 </w:t>
            </w:r>
          </w:p>
        </w:tc>
      </w:tr>
      <w:tr w:rsidR="00E75FE1" w:rsidRPr="00E75FE1" w14:paraId="32123B38"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9106C0A"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660DA402"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乒乓球运动概述 </w:t>
            </w:r>
          </w:p>
        </w:tc>
        <w:tc>
          <w:tcPr>
            <w:tcW w:w="1579" w:type="dxa"/>
            <w:tcBorders>
              <w:top w:val="outset" w:sz="6" w:space="0" w:color="auto"/>
              <w:left w:val="outset" w:sz="6" w:space="0" w:color="auto"/>
              <w:bottom w:val="outset" w:sz="6" w:space="0" w:color="auto"/>
              <w:right w:val="outset" w:sz="6" w:space="0" w:color="auto"/>
            </w:tcBorders>
            <w:vAlign w:val="center"/>
          </w:tcPr>
          <w:p w14:paraId="3459BB8A"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17C7CAA" w14:textId="77777777" w:rsidR="00E75FE1" w:rsidRPr="00E75FE1" w:rsidRDefault="00E75FE1" w:rsidP="00E75FE1">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FC7764D"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6F17B13C"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076A59F"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62BC62CE"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乒乓球运动竞赛规则及裁判法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702772D1"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46CBC81" w14:textId="77777777" w:rsidR="00E75FE1" w:rsidRPr="00E75FE1" w:rsidRDefault="00E75FE1" w:rsidP="00E75FE1">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A886F03"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7DA5FBA1"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AF74141"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7A8F618E"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乒乓球运动专项身体素质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699E8A08" w14:textId="77777777" w:rsidR="00E75FE1" w:rsidRPr="00E75FE1" w:rsidRDefault="00E75FE1" w:rsidP="00E75FE1">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2224215"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74DC5B0"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6547DDE6"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3B348A5"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6FF6D734"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6BAAC9FE" w14:textId="77777777" w:rsidR="00E75FE1" w:rsidRPr="00E75FE1" w:rsidRDefault="00E75FE1" w:rsidP="00E75FE1">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21408E4"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5A5D0CC"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38975ECD"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118BED0"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7D5CE782"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702A5E09" w14:textId="77777777" w:rsidR="00E75FE1" w:rsidRPr="00E75FE1" w:rsidRDefault="00E75FE1" w:rsidP="00E75FE1">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4666A32"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804BB70" w14:textId="77777777" w:rsidR="00E75FE1" w:rsidRPr="00E75FE1" w:rsidRDefault="00E75FE1" w:rsidP="00E75FE1">
            <w:pPr>
              <w:widowControl/>
              <w:jc w:val="left"/>
              <w:rPr>
                <w:rFonts w:ascii="宋体" w:eastAsia="宋体" w:hAnsi="Calibri" w:cs="宋体"/>
                <w:spacing w:val="1"/>
                <w:kern w:val="0"/>
                <w:sz w:val="24"/>
              </w:rPr>
            </w:pPr>
          </w:p>
        </w:tc>
      </w:tr>
    </w:tbl>
    <w:p w14:paraId="221CB145" w14:textId="77777777" w:rsidR="00E75FE1" w:rsidRPr="00E75FE1" w:rsidRDefault="00E75FE1" w:rsidP="00E75FE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E75FE1">
        <w:rPr>
          <w:rFonts w:ascii="宋体" w:eastAsia="宋体" w:hAnsi="Calibri" w:cs="宋体" w:hint="eastAsia"/>
          <w:spacing w:val="1"/>
          <w:kern w:val="0"/>
          <w:sz w:val="24"/>
        </w:rPr>
        <w:t xml:space="preserve"> 9.2理论课学时安排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E75FE1" w:rsidRPr="00E75FE1" w14:paraId="4ADFE353" w14:textId="77777777" w:rsidTr="00375FAF">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41C972E4"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84971F6"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4A5E21A"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备注</w:t>
            </w:r>
          </w:p>
        </w:tc>
      </w:tr>
      <w:tr w:rsidR="00E75FE1" w:rsidRPr="00E75FE1" w14:paraId="304EBF20" w14:textId="77777777" w:rsidTr="00375FAF">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A20C5DE" w14:textId="77777777" w:rsidR="00E75FE1" w:rsidRPr="00E75FE1" w:rsidRDefault="00E75FE1" w:rsidP="00E75FE1">
            <w:pPr>
              <w:widowControl/>
              <w:spacing w:before="100" w:beforeAutospacing="1" w:after="100" w:afterAutospacing="1"/>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乒乓球概述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653798A"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乒乓球运动特点与功能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6A7D32"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F51CDBD"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13F36607" w14:textId="77777777" w:rsidTr="00375FAF">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58070504" w14:textId="77777777" w:rsidR="00E75FE1" w:rsidRPr="00E75FE1" w:rsidRDefault="00E75FE1" w:rsidP="00E75FE1">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05854DB"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世界乒乓球运动概况 </w:t>
            </w:r>
          </w:p>
        </w:tc>
        <w:tc>
          <w:tcPr>
            <w:tcW w:w="2369" w:type="dxa"/>
            <w:vMerge/>
            <w:tcBorders>
              <w:top w:val="outset" w:sz="6" w:space="0" w:color="auto"/>
              <w:left w:val="outset" w:sz="6" w:space="0" w:color="auto"/>
              <w:bottom w:val="outset" w:sz="6" w:space="0" w:color="auto"/>
              <w:right w:val="outset" w:sz="6" w:space="0" w:color="auto"/>
            </w:tcBorders>
            <w:vAlign w:val="center"/>
          </w:tcPr>
          <w:p w14:paraId="77BC0655" w14:textId="77777777" w:rsidR="00E75FE1" w:rsidRPr="00E75FE1" w:rsidRDefault="00E75FE1" w:rsidP="00E75FE1">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034BF49A"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1FC5F4D9" w14:textId="77777777" w:rsidTr="00375FAF">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7B9DE937" w14:textId="77777777" w:rsidR="00E75FE1" w:rsidRPr="00E75FE1" w:rsidRDefault="00E75FE1" w:rsidP="00E75FE1">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408EF8B"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中国乒乓球运动概况</w:t>
            </w:r>
          </w:p>
        </w:tc>
        <w:tc>
          <w:tcPr>
            <w:tcW w:w="2369" w:type="dxa"/>
            <w:vMerge/>
            <w:tcBorders>
              <w:top w:val="outset" w:sz="6" w:space="0" w:color="auto"/>
              <w:left w:val="outset" w:sz="6" w:space="0" w:color="auto"/>
              <w:bottom w:val="outset" w:sz="6" w:space="0" w:color="auto"/>
              <w:right w:val="outset" w:sz="6" w:space="0" w:color="auto"/>
            </w:tcBorders>
            <w:vAlign w:val="center"/>
          </w:tcPr>
          <w:p w14:paraId="15DA9E69" w14:textId="77777777" w:rsidR="00E75FE1" w:rsidRPr="00E75FE1" w:rsidRDefault="00E75FE1" w:rsidP="00E75FE1">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7EFBDFCF"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4FDED884" w14:textId="77777777" w:rsidTr="00375FAF">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84EEAFF" w14:textId="77777777" w:rsidR="00E75FE1" w:rsidRPr="00E75FE1" w:rsidRDefault="00E75FE1" w:rsidP="00E75FE1">
            <w:pPr>
              <w:widowControl/>
              <w:spacing w:before="100" w:beforeAutospacing="1" w:after="100" w:afterAutospacing="1"/>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乒乓球规则与裁判法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99FB06"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发球规则</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C3FEC78"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5FA8E2"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53FD33CC" w14:textId="77777777" w:rsidTr="00375FAF">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332527E1" w14:textId="77777777" w:rsidR="00E75FE1" w:rsidRPr="00E75FE1" w:rsidRDefault="00E75FE1" w:rsidP="00E75FE1">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77BA1B"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单打和双打换发球规则</w:t>
            </w:r>
          </w:p>
        </w:tc>
        <w:tc>
          <w:tcPr>
            <w:tcW w:w="2369" w:type="dxa"/>
            <w:vMerge/>
            <w:tcBorders>
              <w:top w:val="outset" w:sz="6" w:space="0" w:color="auto"/>
              <w:left w:val="outset" w:sz="6" w:space="0" w:color="auto"/>
              <w:bottom w:val="outset" w:sz="6" w:space="0" w:color="auto"/>
              <w:right w:val="outset" w:sz="6" w:space="0" w:color="auto"/>
            </w:tcBorders>
            <w:vAlign w:val="center"/>
          </w:tcPr>
          <w:p w14:paraId="132B6FB5" w14:textId="77777777" w:rsidR="00E75FE1" w:rsidRPr="00E75FE1" w:rsidRDefault="00E75FE1" w:rsidP="00E75FE1">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04693AB0"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2AEF9E2D" w14:textId="77777777" w:rsidTr="00375FAF">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33B90C5A" w14:textId="77777777" w:rsidR="00E75FE1" w:rsidRPr="00E75FE1" w:rsidRDefault="00E75FE1" w:rsidP="00E75FE1">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D1B9A1B"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比赛中的违例</w:t>
            </w:r>
          </w:p>
        </w:tc>
        <w:tc>
          <w:tcPr>
            <w:tcW w:w="2369" w:type="dxa"/>
            <w:vMerge/>
            <w:tcBorders>
              <w:top w:val="outset" w:sz="6" w:space="0" w:color="auto"/>
              <w:left w:val="outset" w:sz="6" w:space="0" w:color="auto"/>
              <w:bottom w:val="outset" w:sz="6" w:space="0" w:color="auto"/>
              <w:right w:val="outset" w:sz="6" w:space="0" w:color="auto"/>
            </w:tcBorders>
            <w:vAlign w:val="center"/>
          </w:tcPr>
          <w:p w14:paraId="06F3ED9B" w14:textId="77777777" w:rsidR="00E75FE1" w:rsidRPr="00E75FE1" w:rsidRDefault="00E75FE1" w:rsidP="00E75FE1">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56EF0715"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7D6E02A4" w14:textId="77777777" w:rsidTr="00375FAF">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4593ED41" w14:textId="77777777" w:rsidR="00E75FE1" w:rsidRPr="00E75FE1" w:rsidRDefault="00E75FE1" w:rsidP="00E75FE1">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701A656"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裁判信号 </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75571545" w14:textId="77777777" w:rsidR="00E75FE1" w:rsidRPr="00E75FE1" w:rsidRDefault="00E75FE1" w:rsidP="00E75FE1">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28D7E4B7" w14:textId="77777777" w:rsidR="00E75FE1" w:rsidRPr="00E75FE1" w:rsidRDefault="00E75FE1" w:rsidP="00E75FE1">
            <w:pPr>
              <w:widowControl/>
              <w:jc w:val="left"/>
              <w:rPr>
                <w:rFonts w:ascii="宋体" w:eastAsia="宋体" w:hAnsi="Calibri" w:cs="宋体"/>
                <w:spacing w:val="1"/>
                <w:kern w:val="0"/>
                <w:sz w:val="24"/>
              </w:rPr>
            </w:pPr>
          </w:p>
        </w:tc>
      </w:tr>
    </w:tbl>
    <w:p w14:paraId="00683655" w14:textId="77777777" w:rsidR="00E75FE1" w:rsidRPr="00E75FE1" w:rsidRDefault="00E75FE1" w:rsidP="00E75FE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E75FE1">
        <w:rPr>
          <w:rFonts w:ascii="宋体" w:eastAsia="宋体" w:hAnsi="Calibri" w:cs="宋体" w:hint="eastAsia"/>
          <w:spacing w:val="1"/>
          <w:kern w:val="0"/>
          <w:sz w:val="24"/>
        </w:rPr>
        <w:t xml:space="preserve">  9.3技术课学时分配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E75FE1" w:rsidRPr="00E75FE1" w14:paraId="37E07C0F" w14:textId="77777777" w:rsidTr="00375FAF">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38F90BF5"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54C8EDF"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511D336"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备注</w:t>
            </w:r>
          </w:p>
        </w:tc>
      </w:tr>
      <w:tr w:rsidR="00E75FE1" w:rsidRPr="00E75FE1" w14:paraId="15B3C826" w14:textId="77777777" w:rsidTr="00375FAF">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A042331"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技术</w:t>
            </w:r>
          </w:p>
          <w:p w14:paraId="4BC6DD2D"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71FE10A"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 xml:space="preserve">推挡技术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D09005F"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正手推挡</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D5FF7C8"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5B18122"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61908583" w14:textId="77777777" w:rsidTr="00375FAF">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2D1228A1" w14:textId="77777777" w:rsidR="00E75FE1" w:rsidRPr="00E75FE1" w:rsidRDefault="00E75FE1" w:rsidP="00E75FE1">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2CAD85A0"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发球技术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7EC1C80"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上旋发球</w:t>
            </w: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580E1804"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2FBC302A" w14:textId="77777777" w:rsidR="00E75FE1" w:rsidRPr="00E75FE1" w:rsidRDefault="00E75FE1" w:rsidP="00E75FE1">
            <w:pPr>
              <w:widowControl/>
              <w:jc w:val="left"/>
              <w:rPr>
                <w:rFonts w:ascii="宋体" w:eastAsia="宋体" w:hAnsi="Calibri" w:cs="宋体"/>
                <w:spacing w:val="1"/>
                <w:kern w:val="0"/>
                <w:sz w:val="24"/>
              </w:rPr>
            </w:pPr>
          </w:p>
        </w:tc>
      </w:tr>
      <w:tr w:rsidR="00E75FE1" w:rsidRPr="00E75FE1" w14:paraId="42063291" w14:textId="77777777" w:rsidTr="00375FAF">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005ECCA8" w14:textId="77777777" w:rsidR="00E75FE1" w:rsidRPr="00E75FE1" w:rsidRDefault="00E75FE1" w:rsidP="00E75FE1">
            <w:pPr>
              <w:widowControl/>
              <w:jc w:val="left"/>
              <w:rPr>
                <w:rFonts w:ascii="宋体" w:eastAsia="宋体" w:hAnsi="Calibri" w:cs="宋体"/>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4FDE093F" w14:textId="77777777" w:rsidR="00E75FE1" w:rsidRPr="00E75FE1" w:rsidRDefault="00E75FE1" w:rsidP="00E75FE1">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41582EB" w14:textId="77777777" w:rsidR="00E75FE1" w:rsidRPr="00E75FE1" w:rsidRDefault="00E75FE1" w:rsidP="00E75FE1">
            <w:pPr>
              <w:widowControl/>
              <w:jc w:val="center"/>
              <w:rPr>
                <w:rFonts w:ascii="宋体" w:eastAsia="宋体" w:hAnsi="Calibri" w:cs="宋体"/>
                <w:spacing w:val="1"/>
                <w:kern w:val="0"/>
                <w:sz w:val="24"/>
              </w:rPr>
            </w:pPr>
            <w:r w:rsidRPr="00E75FE1">
              <w:rPr>
                <w:rFonts w:ascii="宋体" w:eastAsia="宋体" w:hAnsi="Calibri" w:cs="宋体" w:hint="eastAsia"/>
                <w:spacing w:val="1"/>
                <w:kern w:val="0"/>
                <w:sz w:val="24"/>
              </w:rPr>
              <w:t>下选发球</w:t>
            </w: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184C28BF" w14:textId="77777777" w:rsidR="00E75FE1" w:rsidRPr="00E75FE1" w:rsidRDefault="00E75FE1" w:rsidP="00E75FE1">
            <w:pPr>
              <w:widowControl/>
              <w:jc w:val="left"/>
              <w:rPr>
                <w:rFonts w:ascii="宋体" w:eastAsia="宋体" w:hAnsi="Calibri" w:cs="宋体"/>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3CC3E3C8" w14:textId="77777777" w:rsidR="00E75FE1" w:rsidRPr="00E75FE1" w:rsidRDefault="00E75FE1" w:rsidP="00E75FE1">
            <w:pPr>
              <w:widowControl/>
              <w:jc w:val="left"/>
              <w:rPr>
                <w:rFonts w:ascii="宋体" w:eastAsia="宋体" w:hAnsi="Calibri" w:cs="宋体"/>
                <w:spacing w:val="1"/>
                <w:kern w:val="0"/>
                <w:sz w:val="24"/>
              </w:rPr>
            </w:pPr>
          </w:p>
        </w:tc>
      </w:tr>
    </w:tbl>
    <w:p w14:paraId="02CEC663" w14:textId="77777777" w:rsidR="00E75FE1" w:rsidRPr="00E75FE1" w:rsidRDefault="00E75FE1" w:rsidP="00E75FE1">
      <w:pPr>
        <w:spacing w:beforeLines="50" w:before="156" w:afterLines="50" w:after="156" w:line="440" w:lineRule="exact"/>
        <w:ind w:firstLineChars="200" w:firstLine="560"/>
        <w:jc w:val="center"/>
        <w:rPr>
          <w:rFonts w:ascii="黑体" w:eastAsia="黑体" w:hAnsi="黑体" w:cs="Times New Roman"/>
          <w:sz w:val="28"/>
          <w:szCs w:val="28"/>
        </w:rPr>
      </w:pPr>
      <w:r w:rsidRPr="00E75FE1">
        <w:rPr>
          <w:rFonts w:ascii="黑体" w:eastAsia="黑体" w:hAnsi="黑体" w:cs="Times New Roman" w:hint="eastAsia"/>
          <w:sz w:val="28"/>
          <w:szCs w:val="28"/>
        </w:rPr>
        <w:t>学习内容二 乒乓球 1</w:t>
      </w:r>
    </w:p>
    <w:p w14:paraId="519D720C"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E75FE1">
        <w:rPr>
          <w:rFonts w:ascii="宋体" w:eastAsia="宋体" w:hAnsi="宋体" w:cs="Times New Roman" w:hint="eastAsia"/>
          <w:b/>
          <w:sz w:val="24"/>
        </w:rPr>
        <w:t>【学习目标】</w:t>
      </w:r>
    </w:p>
    <w:p w14:paraId="202D050A"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1.</w:t>
      </w:r>
      <w:r w:rsidRPr="00E75FE1">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E75FE1">
        <w:rPr>
          <w:rFonts w:ascii="宋体" w:eastAsia="宋体" w:hAnsi="Calibri" w:cs="宋体" w:hint="eastAsia"/>
          <w:spacing w:val="5"/>
          <w:kern w:val="0"/>
          <w:sz w:val="24"/>
        </w:rPr>
        <w:t>通过体能</w:t>
      </w:r>
      <w:r w:rsidRPr="00E75FE1">
        <w:rPr>
          <w:rFonts w:ascii="宋体" w:eastAsia="宋体" w:hAnsi="Calibri" w:cs="宋体" w:hint="eastAsia"/>
          <w:spacing w:val="5"/>
          <w:kern w:val="0"/>
          <w:sz w:val="24"/>
        </w:rPr>
        <w:lastRenderedPageBreak/>
        <w:t>教学活动，</w:t>
      </w:r>
      <w:r w:rsidRPr="00E75FE1">
        <w:rPr>
          <w:rFonts w:ascii="宋体" w:eastAsia="宋体" w:hAnsi="宋体" w:cs="仿宋_GB2312" w:hint="eastAsia"/>
          <w:sz w:val="24"/>
        </w:rPr>
        <w:t>了解《大学生体质健康标准测验》项目内容、考核方式、评价标准，掌握考核内容锻炼的方式方法。</w:t>
      </w:r>
      <w:r w:rsidRPr="00E75FE1">
        <w:rPr>
          <w:rFonts w:ascii="宋体" w:eastAsia="宋体" w:hAnsi="Calibri" w:cs="宋体" w:hint="eastAsia"/>
          <w:spacing w:val="5"/>
          <w:kern w:val="0"/>
          <w:sz w:val="24"/>
        </w:rPr>
        <w:t>培养学生努力学习、不断进取、修身立业、顽强奋进的精神与品质。</w:t>
      </w:r>
    </w:p>
    <w:p w14:paraId="7A271078"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2.</w:t>
      </w:r>
      <w:r w:rsidRPr="00E75FE1">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E75FE1">
        <w:rPr>
          <w:rFonts w:ascii="宋体" w:eastAsia="宋体" w:hAnsi="Calibri" w:cs="宋体" w:hint="eastAsia"/>
          <w:spacing w:val="5"/>
          <w:kern w:val="0"/>
          <w:sz w:val="24"/>
        </w:rPr>
        <w:t>。</w:t>
      </w:r>
    </w:p>
    <w:p w14:paraId="47AFC281"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3.</w:t>
      </w:r>
      <w:r w:rsidRPr="00E75FE1">
        <w:rPr>
          <w:rFonts w:ascii="宋体" w:eastAsia="宋体" w:hAnsi="宋体" w:cs="仿宋_GB2312" w:hint="eastAsia"/>
          <w:sz w:val="24"/>
        </w:rPr>
        <w:t>使学生能够掌握乒乓球运动的一般规律和特点，使学生获得乒乓球运动的基本技术、基本技能和基础理论知识，并了解现代乒乓球运动的发展趋势。以运动和身体练习为基本手段，对大学生机体进行科学的培育，在提高人的生物潜能、心理潜能的过程中促进德、智、体、美全面发展，达到身心健康、全面发展的教育总目的</w:t>
      </w:r>
      <w:r w:rsidRPr="00E75FE1">
        <w:rPr>
          <w:rFonts w:ascii="宋体" w:eastAsia="宋体" w:hAnsi="Calibri" w:cs="宋体" w:hint="eastAsia"/>
          <w:spacing w:val="5"/>
          <w:kern w:val="0"/>
          <w:sz w:val="24"/>
        </w:rPr>
        <w:t>。</w:t>
      </w:r>
    </w:p>
    <w:p w14:paraId="3CC5B2E5" w14:textId="77777777" w:rsidR="00E75FE1" w:rsidRPr="00E75FE1" w:rsidRDefault="00E75FE1" w:rsidP="00E75FE1">
      <w:pPr>
        <w:spacing w:line="440" w:lineRule="exact"/>
        <w:ind w:firstLineChars="200" w:firstLine="500"/>
        <w:rPr>
          <w:rFonts w:ascii="宋体" w:eastAsia="宋体" w:hAnsi="宋体" w:cs="Times New Roman"/>
          <w:b/>
          <w:sz w:val="24"/>
        </w:rPr>
      </w:pPr>
      <w:r w:rsidRPr="00E75FE1">
        <w:rPr>
          <w:rFonts w:ascii="宋体" w:eastAsia="宋体" w:hAnsi="Calibri" w:cs="宋体" w:hint="eastAsia"/>
          <w:spacing w:val="5"/>
          <w:kern w:val="0"/>
          <w:sz w:val="24"/>
        </w:rPr>
        <w:t>4.</w:t>
      </w:r>
      <w:r w:rsidRPr="00E75FE1">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E75FE1">
        <w:rPr>
          <w:rFonts w:ascii="宋体" w:eastAsia="宋体" w:hAnsi="Calibri" w:cs="宋体" w:hint="eastAsia"/>
          <w:spacing w:val="5"/>
          <w:kern w:val="0"/>
          <w:sz w:val="24"/>
        </w:rPr>
        <w:t>。</w:t>
      </w:r>
    </w:p>
    <w:p w14:paraId="076CC17A" w14:textId="77777777" w:rsidR="00E75FE1" w:rsidRPr="00E75FE1" w:rsidRDefault="00E75FE1" w:rsidP="00E75FE1">
      <w:pPr>
        <w:spacing w:line="440" w:lineRule="exact"/>
        <w:ind w:firstLineChars="200" w:firstLine="482"/>
        <w:rPr>
          <w:rFonts w:ascii="宋体" w:eastAsia="宋体" w:hAnsi="宋体" w:cs="Times New Roman"/>
          <w:bCs/>
          <w:color w:val="FF0000"/>
          <w:sz w:val="24"/>
        </w:rPr>
      </w:pPr>
      <w:r w:rsidRPr="00E75FE1">
        <w:rPr>
          <w:rFonts w:ascii="宋体" w:eastAsia="宋体" w:hAnsi="宋体" w:cs="Times New Roman" w:hint="eastAsia"/>
          <w:b/>
          <w:sz w:val="24"/>
        </w:rPr>
        <w:t>【学习内容】</w:t>
      </w:r>
    </w:p>
    <w:p w14:paraId="72472754" w14:textId="77777777" w:rsidR="00E75FE1" w:rsidRPr="00E75FE1" w:rsidRDefault="00E75FE1" w:rsidP="00E75FE1">
      <w:pPr>
        <w:adjustRightInd w:val="0"/>
        <w:snapToGrid w:val="0"/>
        <w:spacing w:beforeLines="50" w:before="156" w:afterLines="50" w:after="156" w:line="500" w:lineRule="exact"/>
        <w:jc w:val="center"/>
        <w:rPr>
          <w:rFonts w:ascii="宋体" w:eastAsia="宋体" w:hAnsi="宋体" w:cs="Times New Roman"/>
          <w:b/>
          <w:sz w:val="28"/>
          <w:szCs w:val="28"/>
        </w:rPr>
      </w:pPr>
      <w:r w:rsidRPr="00E75FE1">
        <w:rPr>
          <w:rFonts w:ascii="宋体" w:eastAsia="宋体" w:hAnsi="宋体" w:cs="Times New Roman" w:hint="eastAsia"/>
          <w:b/>
          <w:sz w:val="28"/>
          <w:szCs w:val="28"/>
        </w:rPr>
        <w:t>第一章  基本技术(26学时)</w:t>
      </w:r>
    </w:p>
    <w:p w14:paraId="2EBCC2B2" w14:textId="77777777" w:rsidR="00E75FE1" w:rsidRPr="00E75FE1" w:rsidRDefault="00E75FE1" w:rsidP="00E75FE1">
      <w:pPr>
        <w:adjustRightInd w:val="0"/>
        <w:snapToGrid w:val="0"/>
        <w:spacing w:line="500" w:lineRule="exact"/>
        <w:ind w:firstLineChars="200" w:firstLine="482"/>
        <w:rPr>
          <w:rFonts w:ascii="Calibri" w:eastAsia="宋体" w:hAnsi="Calibri" w:cs="Times New Roman"/>
          <w:b/>
          <w:sz w:val="24"/>
        </w:rPr>
      </w:pPr>
      <w:r w:rsidRPr="00E75FE1">
        <w:rPr>
          <w:rFonts w:ascii="Calibri" w:eastAsia="宋体" w:hAnsi="Calibri" w:cs="Times New Roman"/>
          <w:b/>
          <w:sz w:val="24"/>
        </w:rPr>
        <w:t>本章主要教学内容：</w:t>
      </w:r>
    </w:p>
    <w:p w14:paraId="1A85DFD6"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 xml:space="preserve">1.1乒乓球握拍法、基本站位及步法； </w:t>
      </w:r>
    </w:p>
    <w:p w14:paraId="1CE8DEEC"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 xml:space="preserve">1.2乒乓球上旋发球技术； </w:t>
      </w:r>
    </w:p>
    <w:p w14:paraId="2CBCD6D5"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1.3乒乓球下选发球技术；</w:t>
      </w:r>
    </w:p>
    <w:p w14:paraId="638A6DB6"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 xml:space="preserve">1.4乒乓球推挡技术。 </w:t>
      </w:r>
    </w:p>
    <w:p w14:paraId="509FD222" w14:textId="77777777" w:rsidR="00E75FE1" w:rsidRPr="00E75FE1" w:rsidRDefault="00E75FE1" w:rsidP="00E75FE1">
      <w:pPr>
        <w:adjustRightInd w:val="0"/>
        <w:snapToGrid w:val="0"/>
        <w:spacing w:line="500" w:lineRule="exact"/>
        <w:ind w:firstLineChars="200" w:firstLine="482"/>
        <w:rPr>
          <w:rFonts w:ascii="Arial" w:eastAsia="宋体" w:hAnsi="Arial" w:cs="Arial"/>
          <w:color w:val="000000"/>
          <w:sz w:val="24"/>
        </w:rPr>
      </w:pPr>
      <w:r w:rsidRPr="00E75FE1">
        <w:rPr>
          <w:rFonts w:ascii="宋体" w:eastAsia="宋体" w:hAnsi="宋体" w:cs="宋体" w:hint="eastAsia"/>
          <w:b/>
          <w:bCs/>
          <w:sz w:val="24"/>
        </w:rPr>
        <w:t>本章教学目的及要求</w:t>
      </w:r>
      <w:r w:rsidRPr="00E75FE1">
        <w:rPr>
          <w:rFonts w:ascii="宋体" w:eastAsia="宋体" w:hAnsi="宋体" w:cs="宋体" w:hint="eastAsia"/>
          <w:sz w:val="24"/>
        </w:rPr>
        <w:t>：</w:t>
      </w:r>
      <w:r w:rsidRPr="00E75FE1">
        <w:rPr>
          <w:rFonts w:ascii="Arial" w:eastAsia="宋体" w:hAnsi="Arial" w:cs="Arial" w:hint="eastAsia"/>
          <w:color w:val="000000"/>
          <w:sz w:val="24"/>
        </w:rPr>
        <w:t>使学生掌握乒乓球基本技术要领，并能够熟练运用各项技术。</w:t>
      </w:r>
      <w:r w:rsidRPr="00E75FE1">
        <w:rPr>
          <w:rFonts w:ascii="Arial" w:eastAsia="宋体" w:hAnsi="Arial" w:cs="Arial"/>
          <w:color w:val="000000"/>
          <w:sz w:val="24"/>
        </w:rPr>
        <w:t xml:space="preserve"> </w:t>
      </w:r>
    </w:p>
    <w:p w14:paraId="1E4D353A" w14:textId="77777777" w:rsidR="00E75FE1" w:rsidRPr="00E75FE1" w:rsidRDefault="00E75FE1" w:rsidP="00E75FE1">
      <w:pPr>
        <w:adjustRightInd w:val="0"/>
        <w:snapToGrid w:val="0"/>
        <w:spacing w:line="500" w:lineRule="exact"/>
        <w:ind w:firstLineChars="200" w:firstLine="482"/>
        <w:rPr>
          <w:rFonts w:ascii="宋体" w:eastAsia="宋体" w:hAnsi="宋体" w:cs="Times New Roman"/>
          <w:sz w:val="24"/>
        </w:rPr>
      </w:pPr>
      <w:r w:rsidRPr="00E75FE1">
        <w:rPr>
          <w:rFonts w:ascii="宋体" w:eastAsia="宋体" w:hAnsi="宋体" w:cs="宋体" w:hint="eastAsia"/>
          <w:b/>
          <w:bCs/>
          <w:sz w:val="24"/>
        </w:rPr>
        <w:t>本章教学重点及难点</w:t>
      </w:r>
      <w:r w:rsidRPr="00E75FE1">
        <w:rPr>
          <w:rFonts w:ascii="宋体" w:eastAsia="宋体" w:hAnsi="宋体" w:cs="宋体" w:hint="eastAsia"/>
          <w:sz w:val="24"/>
        </w:rPr>
        <w:t>：</w:t>
      </w:r>
      <w:r w:rsidRPr="00E75FE1">
        <w:rPr>
          <w:rFonts w:ascii="Arial" w:eastAsia="宋体" w:hAnsi="Arial" w:cs="Arial"/>
          <w:color w:val="000000"/>
          <w:sz w:val="24"/>
        </w:rPr>
        <w:t>掌握</w:t>
      </w:r>
      <w:r w:rsidRPr="00E75FE1">
        <w:rPr>
          <w:rFonts w:ascii="Arial" w:eastAsia="宋体" w:hAnsi="Arial" w:cs="Arial" w:hint="eastAsia"/>
          <w:color w:val="000000"/>
          <w:sz w:val="24"/>
        </w:rPr>
        <w:t>乒乓球的推挡技术</w:t>
      </w:r>
    </w:p>
    <w:p w14:paraId="12FFA181" w14:textId="77777777" w:rsidR="00E75FE1" w:rsidRPr="00E75FE1" w:rsidRDefault="00E75FE1" w:rsidP="00E75FE1">
      <w:pPr>
        <w:adjustRightInd w:val="0"/>
        <w:snapToGrid w:val="0"/>
        <w:spacing w:beforeLines="50" w:before="156" w:afterLines="50" w:after="156" w:line="500" w:lineRule="exact"/>
        <w:jc w:val="center"/>
        <w:rPr>
          <w:rFonts w:ascii="宋体" w:eastAsia="宋体" w:hAnsi="宋体" w:cs="Times New Roman"/>
          <w:b/>
          <w:sz w:val="28"/>
          <w:szCs w:val="28"/>
        </w:rPr>
      </w:pPr>
      <w:r w:rsidRPr="00E75FE1">
        <w:rPr>
          <w:rFonts w:ascii="宋体" w:eastAsia="宋体" w:hAnsi="宋体" w:cs="Times New Roman" w:hint="eastAsia"/>
          <w:b/>
          <w:sz w:val="28"/>
          <w:szCs w:val="28"/>
        </w:rPr>
        <w:lastRenderedPageBreak/>
        <w:t>第二章  身体素质（6学时）</w:t>
      </w:r>
    </w:p>
    <w:p w14:paraId="73E38483" w14:textId="77777777" w:rsidR="00E75FE1" w:rsidRPr="00E75FE1" w:rsidRDefault="00E75FE1" w:rsidP="00E75FE1">
      <w:pPr>
        <w:spacing w:line="360" w:lineRule="auto"/>
        <w:ind w:firstLineChars="200" w:firstLine="482"/>
        <w:rPr>
          <w:rFonts w:ascii="Calibri" w:eastAsia="宋体" w:hAnsi="Calibri" w:cs="Times New Roman"/>
          <w:b/>
          <w:sz w:val="24"/>
        </w:rPr>
      </w:pPr>
      <w:r w:rsidRPr="00E75FE1">
        <w:rPr>
          <w:rFonts w:ascii="Calibri" w:eastAsia="宋体" w:hAnsi="Calibri" w:cs="Times New Roman"/>
          <w:b/>
          <w:sz w:val="24"/>
        </w:rPr>
        <w:t>本章主要教学内容：</w:t>
      </w:r>
    </w:p>
    <w:p w14:paraId="7A5F8DB2" w14:textId="77777777" w:rsidR="00E75FE1" w:rsidRPr="00E75FE1" w:rsidRDefault="00E75FE1" w:rsidP="00E75FE1">
      <w:pPr>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2.1速度素质、耐力素质、灵敏素质。</w:t>
      </w:r>
    </w:p>
    <w:p w14:paraId="3ECBEC76" w14:textId="77777777" w:rsidR="00E75FE1" w:rsidRPr="00E75FE1" w:rsidRDefault="00E75FE1" w:rsidP="00E75FE1">
      <w:pPr>
        <w:adjustRightInd w:val="0"/>
        <w:snapToGrid w:val="0"/>
        <w:spacing w:line="500" w:lineRule="exact"/>
        <w:ind w:firstLineChars="200" w:firstLine="480"/>
        <w:rPr>
          <w:rFonts w:ascii="Calibri" w:eastAsia="宋体" w:hAnsi="Calibri" w:cs="Times New Roman"/>
          <w:sz w:val="24"/>
        </w:rPr>
      </w:pPr>
      <w:r w:rsidRPr="00E75FE1">
        <w:rPr>
          <w:rFonts w:ascii="宋体" w:eastAsia="宋体" w:hAnsi="宋体" w:cs="宋体" w:hint="eastAsia"/>
          <w:sz w:val="24"/>
        </w:rPr>
        <w:t>2.2教学目的及要求：使学生掌握乒乓球运动需要的基本身体素质。</w:t>
      </w:r>
      <w:r w:rsidRPr="00E75FE1">
        <w:rPr>
          <w:rFonts w:ascii="Calibri" w:eastAsia="宋体" w:hAnsi="Calibri" w:cs="Times New Roman" w:hint="eastAsia"/>
          <w:sz w:val="24"/>
        </w:rPr>
        <w:t xml:space="preserve"> </w:t>
      </w:r>
    </w:p>
    <w:p w14:paraId="303B3C04" w14:textId="77777777" w:rsidR="00E75FE1" w:rsidRPr="00E75FE1" w:rsidRDefault="00E75FE1" w:rsidP="00E75FE1">
      <w:pPr>
        <w:adjustRightInd w:val="0"/>
        <w:snapToGrid w:val="0"/>
        <w:spacing w:line="500" w:lineRule="exact"/>
        <w:ind w:firstLineChars="200" w:firstLine="482"/>
        <w:rPr>
          <w:rFonts w:ascii="Calibri" w:eastAsia="宋体" w:hAnsi="Calibri" w:cs="Times New Roman"/>
          <w:sz w:val="24"/>
        </w:rPr>
      </w:pPr>
      <w:r w:rsidRPr="00E75FE1">
        <w:rPr>
          <w:rFonts w:ascii="Calibri" w:eastAsia="宋体" w:hAnsi="Calibri" w:cs="Times New Roman" w:hint="eastAsia"/>
          <w:b/>
          <w:bCs/>
          <w:sz w:val="24"/>
        </w:rPr>
        <w:t>教学重点及难点</w:t>
      </w:r>
      <w:r w:rsidRPr="00E75FE1">
        <w:rPr>
          <w:rFonts w:ascii="Calibri" w:eastAsia="宋体" w:hAnsi="Calibri" w:cs="Times New Roman" w:hint="eastAsia"/>
          <w:sz w:val="24"/>
        </w:rPr>
        <w:t>：身体耐力、肌肉力量、柔韧性。</w:t>
      </w:r>
    </w:p>
    <w:p w14:paraId="6B7A346D" w14:textId="77777777" w:rsidR="00E75FE1" w:rsidRPr="00E75FE1" w:rsidRDefault="00E75FE1" w:rsidP="00E75FE1">
      <w:pPr>
        <w:spacing w:beforeLines="50" w:before="156" w:afterLines="50" w:after="156" w:line="440" w:lineRule="exact"/>
        <w:ind w:firstLineChars="200" w:firstLine="560"/>
        <w:jc w:val="center"/>
        <w:rPr>
          <w:rFonts w:ascii="黑体" w:eastAsia="黑体" w:hAnsi="黑体" w:cs="Times New Roman"/>
          <w:sz w:val="28"/>
          <w:szCs w:val="28"/>
        </w:rPr>
      </w:pPr>
      <w:r w:rsidRPr="00E75FE1">
        <w:rPr>
          <w:rFonts w:ascii="黑体" w:eastAsia="黑体" w:hAnsi="黑体" w:cs="Times New Roman" w:hint="eastAsia"/>
          <w:sz w:val="28"/>
          <w:szCs w:val="28"/>
        </w:rPr>
        <w:t>学习内容三 乒乓球 2</w:t>
      </w:r>
    </w:p>
    <w:p w14:paraId="4A3A24AB"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E75FE1">
        <w:rPr>
          <w:rFonts w:ascii="宋体" w:eastAsia="宋体" w:hAnsi="宋体" w:cs="Times New Roman" w:hint="eastAsia"/>
          <w:b/>
          <w:sz w:val="24"/>
        </w:rPr>
        <w:t>【学习目标】</w:t>
      </w:r>
    </w:p>
    <w:p w14:paraId="339DA3B1"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1.</w:t>
      </w:r>
      <w:r w:rsidRPr="00E75FE1">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E75FE1">
        <w:rPr>
          <w:rFonts w:ascii="宋体" w:eastAsia="宋体" w:hAnsi="Calibri" w:cs="宋体" w:hint="eastAsia"/>
          <w:spacing w:val="5"/>
          <w:kern w:val="0"/>
          <w:sz w:val="24"/>
        </w:rPr>
        <w:t>通过体能教学活动，</w:t>
      </w:r>
      <w:r w:rsidRPr="00E75FE1">
        <w:rPr>
          <w:rFonts w:ascii="宋体" w:eastAsia="宋体" w:hAnsi="宋体" w:cs="仿宋_GB2312" w:hint="eastAsia"/>
          <w:sz w:val="24"/>
        </w:rPr>
        <w:t>了解《大学生体质健康标准测验》项目内容、考核方式、评价标准，掌握考核内容锻炼的方式方法。</w:t>
      </w:r>
      <w:r w:rsidRPr="00E75FE1">
        <w:rPr>
          <w:rFonts w:ascii="宋体" w:eastAsia="宋体" w:hAnsi="Calibri" w:cs="宋体" w:hint="eastAsia"/>
          <w:spacing w:val="5"/>
          <w:kern w:val="0"/>
          <w:sz w:val="24"/>
        </w:rPr>
        <w:t>培养学生努力学习、不断进取、修身立业、顽强奋进的精神与品质。</w:t>
      </w:r>
    </w:p>
    <w:p w14:paraId="419D8289"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2.</w:t>
      </w:r>
      <w:r w:rsidRPr="00E75FE1">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E75FE1">
        <w:rPr>
          <w:rFonts w:ascii="宋体" w:eastAsia="宋体" w:hAnsi="Calibri" w:cs="宋体" w:hint="eastAsia"/>
          <w:spacing w:val="5"/>
          <w:kern w:val="0"/>
          <w:sz w:val="24"/>
        </w:rPr>
        <w:t>。</w:t>
      </w:r>
    </w:p>
    <w:p w14:paraId="52A59550"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3.</w:t>
      </w:r>
      <w:r w:rsidRPr="00E75FE1">
        <w:rPr>
          <w:rFonts w:ascii="宋体" w:eastAsia="宋体" w:hAnsi="宋体" w:cs="仿宋_GB2312" w:hint="eastAsia"/>
          <w:sz w:val="24"/>
        </w:rPr>
        <w:t>使学生能够掌握乒乓球运动的一般规律和特点，使学生获得乒乓运动的基本技术、基本技能和基础理论知识，并了解现代乒乓的发展趋势。以运动和身体练习为基本手段，对大学生机体进行科学的培育，在提高人的生物潜能、心理潜能的过程中促进德、智、体、美全面发展，达到身心健康、全面发展的教育总目的</w:t>
      </w:r>
      <w:r w:rsidRPr="00E75FE1">
        <w:rPr>
          <w:rFonts w:ascii="宋体" w:eastAsia="宋体" w:hAnsi="Calibri" w:cs="宋体" w:hint="eastAsia"/>
          <w:spacing w:val="5"/>
          <w:kern w:val="0"/>
          <w:sz w:val="24"/>
        </w:rPr>
        <w:t>。</w:t>
      </w:r>
    </w:p>
    <w:p w14:paraId="355E0C35" w14:textId="77777777" w:rsidR="00E75FE1" w:rsidRPr="00E75FE1" w:rsidRDefault="00E75FE1" w:rsidP="00E75FE1">
      <w:pPr>
        <w:spacing w:line="440" w:lineRule="exact"/>
        <w:ind w:firstLineChars="200" w:firstLine="500"/>
        <w:rPr>
          <w:rFonts w:ascii="宋体" w:eastAsia="宋体" w:hAnsi="宋体" w:cs="Times New Roman"/>
          <w:b/>
          <w:sz w:val="24"/>
        </w:rPr>
      </w:pPr>
      <w:r w:rsidRPr="00E75FE1">
        <w:rPr>
          <w:rFonts w:ascii="宋体" w:eastAsia="宋体" w:hAnsi="Calibri" w:cs="宋体" w:hint="eastAsia"/>
          <w:spacing w:val="5"/>
          <w:kern w:val="0"/>
          <w:sz w:val="24"/>
        </w:rPr>
        <w:t>4.</w:t>
      </w:r>
      <w:r w:rsidRPr="00E75FE1">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E75FE1">
        <w:rPr>
          <w:rFonts w:ascii="宋体" w:eastAsia="宋体" w:hAnsi="Calibri" w:cs="宋体" w:hint="eastAsia"/>
          <w:spacing w:val="5"/>
          <w:kern w:val="0"/>
          <w:sz w:val="24"/>
        </w:rPr>
        <w:t>。</w:t>
      </w:r>
    </w:p>
    <w:p w14:paraId="7407278A" w14:textId="77777777" w:rsidR="00E75FE1" w:rsidRPr="00E75FE1" w:rsidRDefault="00E75FE1" w:rsidP="00E75FE1">
      <w:pPr>
        <w:spacing w:line="440" w:lineRule="exact"/>
        <w:ind w:firstLineChars="200" w:firstLine="482"/>
        <w:rPr>
          <w:rFonts w:ascii="宋体" w:eastAsia="宋体" w:hAnsi="宋体" w:cs="Times New Roman"/>
          <w:b/>
          <w:sz w:val="24"/>
        </w:rPr>
      </w:pPr>
      <w:r w:rsidRPr="00E75FE1">
        <w:rPr>
          <w:rFonts w:ascii="宋体" w:eastAsia="宋体" w:hAnsi="宋体" w:cs="Times New Roman" w:hint="eastAsia"/>
          <w:b/>
          <w:sz w:val="24"/>
        </w:rPr>
        <w:t>【学习内容】</w:t>
      </w:r>
    </w:p>
    <w:p w14:paraId="5184D49D" w14:textId="77777777" w:rsidR="00E75FE1" w:rsidRPr="00E75FE1" w:rsidRDefault="00E75FE1" w:rsidP="00E75FE1">
      <w:pPr>
        <w:adjustRightInd w:val="0"/>
        <w:snapToGrid w:val="0"/>
        <w:spacing w:beforeLines="50" w:before="156" w:afterLines="50" w:after="156" w:line="500" w:lineRule="exact"/>
        <w:jc w:val="center"/>
        <w:rPr>
          <w:rFonts w:ascii="宋体" w:eastAsia="宋体" w:hAnsi="宋体" w:cs="Times New Roman"/>
          <w:b/>
          <w:sz w:val="28"/>
          <w:szCs w:val="28"/>
        </w:rPr>
      </w:pPr>
      <w:r w:rsidRPr="00E75FE1">
        <w:rPr>
          <w:rFonts w:ascii="宋体" w:eastAsia="宋体" w:hAnsi="宋体" w:cs="Times New Roman" w:hint="eastAsia"/>
          <w:b/>
          <w:sz w:val="28"/>
          <w:szCs w:val="28"/>
        </w:rPr>
        <w:lastRenderedPageBreak/>
        <w:t>第一章  基本技术(18学时)</w:t>
      </w:r>
    </w:p>
    <w:p w14:paraId="6FDD720F" w14:textId="77777777" w:rsidR="00E75FE1" w:rsidRPr="00E75FE1" w:rsidRDefault="00E75FE1" w:rsidP="00E75FE1">
      <w:pPr>
        <w:adjustRightInd w:val="0"/>
        <w:snapToGrid w:val="0"/>
        <w:spacing w:line="500" w:lineRule="exact"/>
        <w:ind w:firstLineChars="200" w:firstLine="482"/>
        <w:rPr>
          <w:rFonts w:ascii="Calibri" w:eastAsia="宋体" w:hAnsi="Calibri" w:cs="Times New Roman"/>
          <w:b/>
          <w:sz w:val="24"/>
        </w:rPr>
      </w:pPr>
      <w:r w:rsidRPr="00E75FE1">
        <w:rPr>
          <w:rFonts w:ascii="Calibri" w:eastAsia="宋体" w:hAnsi="Calibri" w:cs="Times New Roman"/>
          <w:b/>
          <w:sz w:val="24"/>
        </w:rPr>
        <w:t>本章主要教学内容：</w:t>
      </w:r>
    </w:p>
    <w:p w14:paraId="1D6DA04A"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1.1复习正手上选发球技术；</w:t>
      </w:r>
    </w:p>
    <w:p w14:paraId="11AAEDA9"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1.2复习正手下选发球技术；</w:t>
      </w:r>
    </w:p>
    <w:p w14:paraId="656C1767"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1.3复习推挡发球；</w:t>
      </w:r>
    </w:p>
    <w:p w14:paraId="7ECAAE4B"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1.4学习正手攻球技术；</w:t>
      </w:r>
    </w:p>
    <w:p w14:paraId="408D7852"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1.5学习侧身正手攻球技术；</w:t>
      </w:r>
    </w:p>
    <w:p w14:paraId="0E4DAC0C"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1.6学习反手搓球技术。</w:t>
      </w:r>
    </w:p>
    <w:p w14:paraId="54CDFC0F" w14:textId="77777777" w:rsidR="00E75FE1" w:rsidRPr="00E75FE1" w:rsidRDefault="00E75FE1" w:rsidP="00E75FE1">
      <w:pPr>
        <w:adjustRightInd w:val="0"/>
        <w:snapToGrid w:val="0"/>
        <w:spacing w:line="500" w:lineRule="exact"/>
        <w:ind w:firstLineChars="200" w:firstLine="482"/>
        <w:rPr>
          <w:rFonts w:ascii="Calibri" w:eastAsia="宋体" w:hAnsi="Calibri" w:cs="Times New Roman"/>
          <w:sz w:val="24"/>
        </w:rPr>
      </w:pPr>
      <w:r w:rsidRPr="00E75FE1">
        <w:rPr>
          <w:rFonts w:ascii="Calibri" w:eastAsia="宋体" w:hAnsi="Calibri" w:cs="Times New Roman" w:hint="eastAsia"/>
          <w:b/>
          <w:sz w:val="24"/>
        </w:rPr>
        <w:t>本章教学目的及要求</w:t>
      </w:r>
      <w:r w:rsidRPr="00E75FE1">
        <w:rPr>
          <w:rFonts w:ascii="Calibri" w:eastAsia="宋体" w:hAnsi="Calibri" w:cs="Times New Roman" w:hint="eastAsia"/>
          <w:sz w:val="24"/>
        </w:rPr>
        <w:t>：</w:t>
      </w:r>
      <w:r w:rsidRPr="00E75FE1">
        <w:rPr>
          <w:rFonts w:ascii="Arial" w:eastAsia="宋体" w:hAnsi="Arial" w:cs="Arial" w:hint="eastAsia"/>
          <w:color w:val="000000"/>
          <w:sz w:val="24"/>
        </w:rPr>
        <w:t>使学生掌握乒乓球基本技术要领，并能够熟练运用各项技术。</w:t>
      </w:r>
      <w:r w:rsidRPr="00E75FE1">
        <w:rPr>
          <w:rFonts w:ascii="Arial" w:eastAsia="宋体" w:hAnsi="Arial" w:cs="Arial"/>
          <w:color w:val="000000"/>
          <w:sz w:val="24"/>
        </w:rPr>
        <w:t xml:space="preserve"> </w:t>
      </w:r>
    </w:p>
    <w:p w14:paraId="7D4BB206" w14:textId="77777777" w:rsidR="00E75FE1" w:rsidRPr="00E75FE1" w:rsidRDefault="00E75FE1" w:rsidP="00E75FE1">
      <w:pPr>
        <w:adjustRightInd w:val="0"/>
        <w:snapToGrid w:val="0"/>
        <w:spacing w:line="500" w:lineRule="exact"/>
        <w:ind w:firstLineChars="200" w:firstLine="482"/>
        <w:rPr>
          <w:rFonts w:ascii="宋体" w:eastAsia="宋体" w:hAnsi="宋体" w:cs="Times New Roman"/>
          <w:sz w:val="24"/>
        </w:rPr>
      </w:pPr>
      <w:r w:rsidRPr="00E75FE1">
        <w:rPr>
          <w:rFonts w:ascii="Calibri" w:eastAsia="宋体" w:hAnsi="Calibri" w:cs="Times New Roman" w:hint="eastAsia"/>
          <w:b/>
          <w:sz w:val="24"/>
        </w:rPr>
        <w:t>本章教学重点及难点</w:t>
      </w:r>
      <w:r w:rsidRPr="00E75FE1">
        <w:rPr>
          <w:rFonts w:ascii="Calibri" w:eastAsia="宋体" w:hAnsi="Calibri" w:cs="Times New Roman" w:hint="eastAsia"/>
          <w:sz w:val="24"/>
        </w:rPr>
        <w:t>：</w:t>
      </w:r>
      <w:r w:rsidRPr="00E75FE1">
        <w:rPr>
          <w:rFonts w:ascii="宋体" w:eastAsia="宋体" w:hAnsi="宋体" w:cs="Times New Roman"/>
          <w:sz w:val="24"/>
        </w:rPr>
        <w:t xml:space="preserve"> </w:t>
      </w:r>
      <w:r w:rsidRPr="00E75FE1">
        <w:rPr>
          <w:rFonts w:ascii="Arial" w:eastAsia="宋体" w:hAnsi="Arial" w:cs="Arial"/>
          <w:color w:val="000000"/>
          <w:sz w:val="24"/>
        </w:rPr>
        <w:t>掌握</w:t>
      </w:r>
      <w:r w:rsidRPr="00E75FE1">
        <w:rPr>
          <w:rFonts w:ascii="Arial" w:eastAsia="宋体" w:hAnsi="Arial" w:cs="Arial" w:hint="eastAsia"/>
          <w:color w:val="000000"/>
          <w:sz w:val="24"/>
        </w:rPr>
        <w:t>乒乓球的推挡和正手攻球</w:t>
      </w:r>
      <w:r w:rsidRPr="00E75FE1">
        <w:rPr>
          <w:rFonts w:ascii="Arial" w:eastAsia="宋体" w:hAnsi="Arial" w:cs="Arial"/>
          <w:color w:val="000000"/>
          <w:sz w:val="24"/>
        </w:rPr>
        <w:t>技术</w:t>
      </w:r>
      <w:r w:rsidRPr="00E75FE1">
        <w:rPr>
          <w:rFonts w:ascii="Arial" w:eastAsia="宋体" w:hAnsi="Arial" w:cs="Arial" w:hint="eastAsia"/>
          <w:color w:val="000000"/>
          <w:sz w:val="24"/>
        </w:rPr>
        <w:t>。</w:t>
      </w:r>
    </w:p>
    <w:p w14:paraId="5BF98391" w14:textId="77777777" w:rsidR="00E75FE1" w:rsidRPr="00E75FE1" w:rsidRDefault="00E75FE1" w:rsidP="00E75FE1">
      <w:pPr>
        <w:adjustRightInd w:val="0"/>
        <w:snapToGrid w:val="0"/>
        <w:spacing w:beforeLines="50" w:before="156" w:afterLines="50" w:after="156" w:line="500" w:lineRule="exact"/>
        <w:jc w:val="center"/>
        <w:rPr>
          <w:rFonts w:ascii="宋体" w:eastAsia="宋体" w:hAnsi="宋体" w:cs="Times New Roman"/>
          <w:b/>
          <w:sz w:val="28"/>
          <w:szCs w:val="28"/>
        </w:rPr>
      </w:pPr>
      <w:r w:rsidRPr="00E75FE1">
        <w:rPr>
          <w:rFonts w:ascii="宋体" w:eastAsia="宋体" w:hAnsi="宋体" w:cs="Times New Roman" w:hint="eastAsia"/>
          <w:b/>
          <w:sz w:val="28"/>
          <w:szCs w:val="28"/>
        </w:rPr>
        <w:t>第二章  基本战术（6学时）</w:t>
      </w:r>
    </w:p>
    <w:p w14:paraId="0E394764" w14:textId="77777777" w:rsidR="00E75FE1" w:rsidRPr="00E75FE1" w:rsidRDefault="00E75FE1" w:rsidP="00E75FE1">
      <w:pPr>
        <w:adjustRightInd w:val="0"/>
        <w:snapToGrid w:val="0"/>
        <w:spacing w:line="500" w:lineRule="exact"/>
        <w:ind w:firstLineChars="200" w:firstLine="482"/>
        <w:rPr>
          <w:rFonts w:ascii="Calibri" w:eastAsia="宋体" w:hAnsi="Calibri" w:cs="Times New Roman"/>
          <w:b/>
          <w:sz w:val="24"/>
        </w:rPr>
      </w:pPr>
      <w:r w:rsidRPr="00E75FE1">
        <w:rPr>
          <w:rFonts w:ascii="Calibri" w:eastAsia="宋体" w:hAnsi="Calibri" w:cs="Times New Roman"/>
          <w:b/>
          <w:sz w:val="24"/>
        </w:rPr>
        <w:t>本章主要教学内容：</w:t>
      </w:r>
    </w:p>
    <w:p w14:paraId="46748884"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2.1发球强攻战术；</w:t>
      </w:r>
    </w:p>
    <w:p w14:paraId="7FA60AD6"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 xml:space="preserve">2.2压反手战术； </w:t>
      </w:r>
    </w:p>
    <w:p w14:paraId="1FFAC09C" w14:textId="77777777" w:rsidR="00E75FE1" w:rsidRPr="00E75FE1" w:rsidRDefault="00E75FE1" w:rsidP="00E75FE1">
      <w:pPr>
        <w:spacing w:line="500" w:lineRule="exact"/>
        <w:ind w:firstLineChars="200" w:firstLine="480"/>
        <w:rPr>
          <w:rFonts w:ascii="宋体" w:eastAsia="宋体" w:hAnsi="宋体" w:cs="宋体"/>
          <w:sz w:val="24"/>
        </w:rPr>
      </w:pPr>
      <w:r w:rsidRPr="00E75FE1">
        <w:rPr>
          <w:rFonts w:ascii="宋体" w:eastAsia="宋体" w:hAnsi="宋体" w:cs="宋体" w:hint="eastAsia"/>
          <w:color w:val="000000"/>
          <w:sz w:val="24"/>
        </w:rPr>
        <w:t>2.3左推右攻战术</w:t>
      </w:r>
      <w:r w:rsidRPr="00E75FE1">
        <w:rPr>
          <w:rFonts w:ascii="宋体" w:eastAsia="宋体" w:hAnsi="宋体" w:cs="宋体" w:hint="eastAsia"/>
          <w:sz w:val="24"/>
        </w:rPr>
        <w:t>。</w:t>
      </w:r>
    </w:p>
    <w:p w14:paraId="71BBE6BA" w14:textId="77777777" w:rsidR="00E75FE1" w:rsidRPr="00E75FE1" w:rsidRDefault="00E75FE1" w:rsidP="00E75FE1">
      <w:pPr>
        <w:adjustRightInd w:val="0"/>
        <w:snapToGrid w:val="0"/>
        <w:spacing w:line="500" w:lineRule="exact"/>
        <w:ind w:firstLineChars="200" w:firstLine="482"/>
        <w:rPr>
          <w:rFonts w:ascii="Arial" w:eastAsia="宋体" w:hAnsi="Arial" w:cs="Arial"/>
          <w:color w:val="000000"/>
          <w:sz w:val="24"/>
        </w:rPr>
      </w:pPr>
      <w:r w:rsidRPr="00E75FE1">
        <w:rPr>
          <w:rFonts w:ascii="Calibri" w:eastAsia="宋体" w:hAnsi="Calibri" w:cs="Times New Roman" w:hint="eastAsia"/>
          <w:b/>
          <w:sz w:val="24"/>
        </w:rPr>
        <w:t>教学目的及要求</w:t>
      </w:r>
      <w:r w:rsidRPr="00E75FE1">
        <w:rPr>
          <w:rFonts w:ascii="Calibri" w:eastAsia="宋体" w:hAnsi="Calibri" w:cs="Times New Roman" w:hint="eastAsia"/>
          <w:sz w:val="24"/>
        </w:rPr>
        <w:t>：</w:t>
      </w:r>
      <w:r w:rsidRPr="00E75FE1">
        <w:rPr>
          <w:rFonts w:ascii="Arial" w:eastAsia="宋体" w:hAnsi="Arial" w:cs="Arial" w:hint="eastAsia"/>
          <w:color w:val="000000"/>
          <w:sz w:val="24"/>
        </w:rPr>
        <w:t>使学生掌握乒乓球基本战术，并能够熟练应用得分手段。</w:t>
      </w:r>
      <w:r w:rsidRPr="00E75FE1">
        <w:rPr>
          <w:rFonts w:ascii="Arial" w:eastAsia="宋体" w:hAnsi="Arial" w:cs="Arial"/>
          <w:color w:val="000000"/>
          <w:sz w:val="24"/>
        </w:rPr>
        <w:t xml:space="preserve"> </w:t>
      </w:r>
    </w:p>
    <w:p w14:paraId="508F6767" w14:textId="77777777" w:rsidR="00E75FE1" w:rsidRPr="00E75FE1" w:rsidRDefault="00E75FE1" w:rsidP="00E75FE1">
      <w:pPr>
        <w:adjustRightInd w:val="0"/>
        <w:snapToGrid w:val="0"/>
        <w:spacing w:line="500" w:lineRule="exact"/>
        <w:ind w:firstLineChars="200" w:firstLine="482"/>
        <w:rPr>
          <w:rFonts w:ascii="宋体" w:eastAsia="宋体" w:hAnsi="宋体" w:cs="Times New Roman"/>
          <w:sz w:val="24"/>
        </w:rPr>
      </w:pPr>
      <w:r w:rsidRPr="00E75FE1">
        <w:rPr>
          <w:rFonts w:ascii="Calibri" w:eastAsia="宋体" w:hAnsi="Calibri" w:cs="Times New Roman" w:hint="eastAsia"/>
          <w:b/>
          <w:sz w:val="24"/>
        </w:rPr>
        <w:t>教学重点及难点</w:t>
      </w:r>
      <w:r w:rsidRPr="00E75FE1">
        <w:rPr>
          <w:rFonts w:ascii="Calibri" w:eastAsia="宋体" w:hAnsi="Calibri" w:cs="Times New Roman" w:hint="eastAsia"/>
          <w:sz w:val="24"/>
        </w:rPr>
        <w:t>：</w:t>
      </w:r>
      <w:r w:rsidRPr="00E75FE1">
        <w:rPr>
          <w:rFonts w:ascii="Arial" w:eastAsia="宋体" w:hAnsi="Arial" w:cs="Arial"/>
          <w:color w:val="000000"/>
          <w:sz w:val="24"/>
        </w:rPr>
        <w:t>掌握</w:t>
      </w:r>
      <w:r w:rsidRPr="00E75FE1">
        <w:rPr>
          <w:rFonts w:ascii="Arial" w:eastAsia="宋体" w:hAnsi="Arial" w:cs="Arial" w:hint="eastAsia"/>
          <w:color w:val="000000"/>
          <w:sz w:val="24"/>
        </w:rPr>
        <w:t>乒乓球</w:t>
      </w:r>
      <w:r w:rsidRPr="00E75FE1">
        <w:rPr>
          <w:rFonts w:ascii="Arial" w:eastAsia="宋体" w:hAnsi="Arial" w:cs="Arial"/>
          <w:color w:val="000000"/>
          <w:sz w:val="24"/>
        </w:rPr>
        <w:t>基本</w:t>
      </w:r>
      <w:r w:rsidRPr="00E75FE1">
        <w:rPr>
          <w:rFonts w:ascii="Arial" w:eastAsia="宋体" w:hAnsi="Arial" w:cs="Arial" w:hint="eastAsia"/>
          <w:color w:val="000000"/>
          <w:sz w:val="24"/>
        </w:rPr>
        <w:t>战术的要领</w:t>
      </w:r>
      <w:r w:rsidRPr="00E75FE1">
        <w:rPr>
          <w:rFonts w:ascii="Arial" w:eastAsia="宋体" w:hAnsi="Arial" w:cs="Arial"/>
          <w:color w:val="000000"/>
          <w:sz w:val="24"/>
        </w:rPr>
        <w:t>及应用</w:t>
      </w:r>
      <w:r w:rsidRPr="00E75FE1">
        <w:rPr>
          <w:rFonts w:ascii="Arial" w:eastAsia="宋体" w:hAnsi="Arial" w:cs="Arial" w:hint="eastAsia"/>
          <w:color w:val="000000"/>
          <w:sz w:val="24"/>
        </w:rPr>
        <w:t>时机</w:t>
      </w:r>
      <w:r w:rsidRPr="00E75FE1">
        <w:rPr>
          <w:rFonts w:ascii="Arial" w:eastAsia="宋体" w:hAnsi="Arial" w:cs="Arial"/>
          <w:color w:val="000000"/>
          <w:sz w:val="24"/>
        </w:rPr>
        <w:t>。</w:t>
      </w:r>
      <w:r w:rsidRPr="00E75FE1">
        <w:rPr>
          <w:rFonts w:ascii="Arial" w:eastAsia="宋体" w:hAnsi="Arial" w:cs="Arial"/>
          <w:color w:val="000000"/>
          <w:sz w:val="24"/>
        </w:rPr>
        <w:t xml:space="preserve"> </w:t>
      </w:r>
    </w:p>
    <w:p w14:paraId="287EC1BF" w14:textId="77777777" w:rsidR="00E75FE1" w:rsidRPr="00E75FE1" w:rsidRDefault="00E75FE1" w:rsidP="00E75FE1">
      <w:pPr>
        <w:adjustRightInd w:val="0"/>
        <w:snapToGrid w:val="0"/>
        <w:spacing w:beforeLines="50" w:before="156" w:afterLines="50" w:after="156" w:line="500" w:lineRule="exact"/>
        <w:jc w:val="center"/>
        <w:rPr>
          <w:rFonts w:ascii="宋体" w:eastAsia="宋体" w:hAnsi="宋体" w:cs="Times New Roman"/>
          <w:b/>
          <w:sz w:val="28"/>
          <w:szCs w:val="28"/>
        </w:rPr>
      </w:pPr>
      <w:r w:rsidRPr="00E75FE1">
        <w:rPr>
          <w:rFonts w:ascii="宋体" w:eastAsia="宋体" w:hAnsi="宋体" w:cs="Times New Roman" w:hint="eastAsia"/>
          <w:b/>
          <w:sz w:val="28"/>
          <w:szCs w:val="28"/>
        </w:rPr>
        <w:t>第三章  教学比赛、裁判实习（8学时）</w:t>
      </w:r>
    </w:p>
    <w:p w14:paraId="21DB825F" w14:textId="77777777" w:rsidR="00E75FE1" w:rsidRPr="00E75FE1" w:rsidRDefault="00E75FE1" w:rsidP="00E75FE1">
      <w:pPr>
        <w:spacing w:line="360" w:lineRule="auto"/>
        <w:ind w:firstLineChars="200" w:firstLine="482"/>
        <w:rPr>
          <w:rFonts w:ascii="Calibri" w:eastAsia="宋体" w:hAnsi="Calibri" w:cs="Times New Roman"/>
          <w:b/>
          <w:sz w:val="24"/>
        </w:rPr>
      </w:pPr>
      <w:r w:rsidRPr="00E75FE1">
        <w:rPr>
          <w:rFonts w:ascii="Calibri" w:eastAsia="宋体" w:hAnsi="Calibri" w:cs="Times New Roman"/>
          <w:b/>
          <w:sz w:val="24"/>
        </w:rPr>
        <w:t>本章主要教学内容：</w:t>
      </w:r>
    </w:p>
    <w:p w14:paraId="7D254303"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 xml:space="preserve">3.1乒乓球教学比赛的指导； </w:t>
      </w:r>
    </w:p>
    <w:p w14:paraId="1988B564"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3.2乒乓球运动规则演变、裁判法及裁判实习。</w:t>
      </w:r>
    </w:p>
    <w:p w14:paraId="2CA37500" w14:textId="77777777" w:rsidR="00E75FE1" w:rsidRPr="00E75FE1" w:rsidRDefault="00E75FE1" w:rsidP="00E75FE1">
      <w:pPr>
        <w:adjustRightInd w:val="0"/>
        <w:snapToGrid w:val="0"/>
        <w:spacing w:line="500" w:lineRule="exact"/>
        <w:ind w:firstLineChars="200" w:firstLine="482"/>
        <w:rPr>
          <w:rFonts w:ascii="宋体" w:eastAsia="宋体" w:hAnsi="宋体" w:cs="Times New Roman"/>
          <w:b/>
          <w:sz w:val="28"/>
          <w:szCs w:val="28"/>
        </w:rPr>
      </w:pPr>
      <w:r w:rsidRPr="00E75FE1">
        <w:rPr>
          <w:rFonts w:ascii="Calibri" w:eastAsia="宋体" w:hAnsi="Calibri" w:cs="Times New Roman" w:hint="eastAsia"/>
          <w:b/>
          <w:sz w:val="24"/>
        </w:rPr>
        <w:t>教学重点及难点</w:t>
      </w:r>
      <w:r w:rsidRPr="00E75FE1">
        <w:rPr>
          <w:rFonts w:ascii="Calibri" w:eastAsia="宋体" w:hAnsi="Calibri" w:cs="Times New Roman" w:hint="eastAsia"/>
          <w:sz w:val="24"/>
        </w:rPr>
        <w:t>：</w:t>
      </w:r>
      <w:r w:rsidRPr="00E75FE1">
        <w:rPr>
          <w:rFonts w:ascii="宋体" w:eastAsia="宋体" w:hAnsi="宋体" w:cs="宋体" w:hint="eastAsia"/>
          <w:color w:val="000000"/>
          <w:sz w:val="24"/>
        </w:rPr>
        <w:t>使学生掌握单打、双打比赛规则。</w:t>
      </w:r>
    </w:p>
    <w:p w14:paraId="15CC5945" w14:textId="77777777" w:rsidR="00E75FE1" w:rsidRPr="00E75FE1" w:rsidRDefault="00E75FE1" w:rsidP="00E75FE1">
      <w:pPr>
        <w:adjustRightInd w:val="0"/>
        <w:snapToGrid w:val="0"/>
        <w:spacing w:beforeLines="50" w:before="156" w:afterLines="50" w:after="156" w:line="500" w:lineRule="exact"/>
        <w:jc w:val="center"/>
        <w:rPr>
          <w:rFonts w:ascii="Arial" w:eastAsia="宋体" w:hAnsi="Arial" w:cs="Arial"/>
          <w:b/>
          <w:sz w:val="28"/>
          <w:szCs w:val="28"/>
        </w:rPr>
      </w:pPr>
      <w:r w:rsidRPr="00E75FE1">
        <w:rPr>
          <w:rFonts w:ascii="宋体" w:eastAsia="宋体" w:hAnsi="宋体" w:cs="Times New Roman" w:hint="eastAsia"/>
          <w:b/>
          <w:sz w:val="28"/>
          <w:szCs w:val="28"/>
        </w:rPr>
        <w:t xml:space="preserve">第四章   </w:t>
      </w:r>
      <w:r w:rsidRPr="00E75FE1">
        <w:rPr>
          <w:rFonts w:ascii="Arial" w:eastAsia="宋体" w:hAnsi="Arial" w:cs="Arial"/>
          <w:b/>
          <w:sz w:val="28"/>
          <w:szCs w:val="28"/>
        </w:rPr>
        <w:t>大</w:t>
      </w:r>
      <w:r w:rsidRPr="00E75FE1">
        <w:rPr>
          <w:rFonts w:ascii="Arial" w:eastAsia="宋体" w:hAnsi="Calibri" w:cs="Arial" w:hint="eastAsia"/>
          <w:b/>
          <w:sz w:val="28"/>
          <w:szCs w:val="28"/>
        </w:rPr>
        <w:t>学生体质健康测评（</w:t>
      </w:r>
      <w:r w:rsidRPr="00E75FE1">
        <w:rPr>
          <w:rFonts w:ascii="Arial" w:eastAsia="宋体" w:hAnsi="Calibri" w:cs="Arial" w:hint="eastAsia"/>
          <w:b/>
          <w:sz w:val="28"/>
          <w:szCs w:val="28"/>
        </w:rPr>
        <w:t>4</w:t>
      </w:r>
      <w:r w:rsidRPr="00E75FE1">
        <w:rPr>
          <w:rFonts w:ascii="Arial" w:eastAsia="宋体" w:hAnsi="Calibri" w:cs="Arial" w:hint="eastAsia"/>
          <w:b/>
          <w:sz w:val="28"/>
          <w:szCs w:val="28"/>
        </w:rPr>
        <w:t>学时）</w:t>
      </w:r>
    </w:p>
    <w:p w14:paraId="5B895E7E" w14:textId="77777777" w:rsidR="00E75FE1" w:rsidRPr="00E75FE1" w:rsidRDefault="00E75FE1" w:rsidP="00E75FE1">
      <w:pPr>
        <w:spacing w:line="360" w:lineRule="auto"/>
        <w:ind w:firstLineChars="196" w:firstLine="472"/>
        <w:rPr>
          <w:rFonts w:ascii="Arial" w:eastAsia="宋体" w:hAnsi="Arial" w:cs="Arial"/>
          <w:b/>
          <w:sz w:val="24"/>
        </w:rPr>
      </w:pPr>
      <w:r w:rsidRPr="00E75FE1">
        <w:rPr>
          <w:rFonts w:ascii="Arial" w:eastAsia="宋体" w:hAnsi="Calibri" w:cs="Arial" w:hint="eastAsia"/>
          <w:b/>
          <w:sz w:val="24"/>
        </w:rPr>
        <w:t>本章主要教学内容：</w:t>
      </w:r>
    </w:p>
    <w:p w14:paraId="3FFAEAFB"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lastRenderedPageBreak/>
        <w:t>4.1 《国家学生体质健康标准》实施说明</w:t>
      </w:r>
    </w:p>
    <w:p w14:paraId="1815658B"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4.2 《国家学生体质健康标准》测试评分表</w:t>
      </w:r>
    </w:p>
    <w:p w14:paraId="07E54E7B" w14:textId="77777777" w:rsidR="00E75FE1" w:rsidRPr="00E75FE1" w:rsidRDefault="00E75FE1" w:rsidP="00E75FE1">
      <w:pPr>
        <w:spacing w:line="360" w:lineRule="auto"/>
        <w:ind w:firstLineChars="196" w:firstLine="472"/>
        <w:rPr>
          <w:rFonts w:ascii="Calibri" w:eastAsia="宋体" w:hAnsi="Calibri" w:cs="Times New Roman"/>
          <w:bCs/>
          <w:sz w:val="24"/>
        </w:rPr>
      </w:pPr>
      <w:r w:rsidRPr="00E75FE1">
        <w:rPr>
          <w:rFonts w:ascii="Arial" w:eastAsia="宋体" w:hAnsi="Calibri" w:cs="Arial" w:hint="eastAsia"/>
          <w:b/>
          <w:sz w:val="24"/>
        </w:rPr>
        <w:t>本章教学目的及要求：</w:t>
      </w:r>
      <w:r w:rsidRPr="00E75FE1">
        <w:rPr>
          <w:rFonts w:ascii="Calibri" w:eastAsia="宋体" w:hAnsi="Calibri" w:cs="Times New Roman" w:hint="eastAsia"/>
          <w:bCs/>
          <w:sz w:val="24"/>
        </w:rPr>
        <w:t>使学生了解体质健康的主要内容及要求。</w:t>
      </w:r>
    </w:p>
    <w:p w14:paraId="03007504" w14:textId="77777777" w:rsidR="00E75FE1" w:rsidRPr="00E75FE1" w:rsidRDefault="00E75FE1" w:rsidP="00E75FE1">
      <w:pPr>
        <w:spacing w:line="360" w:lineRule="auto"/>
        <w:ind w:firstLineChars="196" w:firstLine="472"/>
        <w:rPr>
          <w:rFonts w:ascii="宋体" w:eastAsia="宋体" w:hAnsi="宋体" w:cs="宋体"/>
          <w:sz w:val="24"/>
        </w:rPr>
      </w:pPr>
      <w:r w:rsidRPr="00E75FE1">
        <w:rPr>
          <w:rFonts w:ascii="Arial" w:eastAsia="宋体" w:hAnsi="Calibri" w:cs="Arial" w:hint="eastAsia"/>
          <w:b/>
          <w:sz w:val="24"/>
        </w:rPr>
        <w:t>本章教学重点及难点：</w:t>
      </w:r>
      <w:r w:rsidRPr="00E75FE1">
        <w:rPr>
          <w:rFonts w:ascii="Arial" w:eastAsia="宋体" w:hAnsi="Calibri" w:cs="Arial" w:hint="eastAsia"/>
          <w:sz w:val="24"/>
        </w:rPr>
        <w:t>学生体质健康标准的重要性；如何激发学生锻炼身体的积极性和自觉性。</w:t>
      </w:r>
    </w:p>
    <w:p w14:paraId="4395D400" w14:textId="77777777" w:rsidR="00E75FE1" w:rsidRPr="00E75FE1" w:rsidRDefault="00E75FE1" w:rsidP="00E75FE1">
      <w:pPr>
        <w:spacing w:beforeLines="50" w:before="156" w:afterLines="50" w:after="156" w:line="440" w:lineRule="exact"/>
        <w:ind w:firstLineChars="200" w:firstLine="560"/>
        <w:jc w:val="center"/>
        <w:rPr>
          <w:rFonts w:ascii="黑体" w:eastAsia="黑体" w:hAnsi="黑体" w:cs="Times New Roman"/>
          <w:sz w:val="28"/>
          <w:szCs w:val="28"/>
        </w:rPr>
      </w:pPr>
      <w:r w:rsidRPr="00E75FE1">
        <w:rPr>
          <w:rFonts w:ascii="黑体" w:eastAsia="黑体" w:hAnsi="黑体" w:cs="Times New Roman" w:hint="eastAsia"/>
          <w:sz w:val="28"/>
          <w:szCs w:val="28"/>
        </w:rPr>
        <w:t>学习内容四 乒乓球 3</w:t>
      </w:r>
    </w:p>
    <w:p w14:paraId="65F2CAA8"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E75FE1">
        <w:rPr>
          <w:rFonts w:ascii="宋体" w:eastAsia="宋体" w:hAnsi="宋体" w:cs="Times New Roman" w:hint="eastAsia"/>
          <w:b/>
          <w:sz w:val="24"/>
        </w:rPr>
        <w:t>【学习目标】</w:t>
      </w:r>
    </w:p>
    <w:p w14:paraId="2E558AE4"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1.</w:t>
      </w:r>
      <w:r w:rsidRPr="00E75FE1">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E75FE1">
        <w:rPr>
          <w:rFonts w:ascii="宋体" w:eastAsia="宋体" w:hAnsi="Calibri" w:cs="宋体" w:hint="eastAsia"/>
          <w:spacing w:val="5"/>
          <w:kern w:val="0"/>
          <w:sz w:val="24"/>
        </w:rPr>
        <w:t>通过体能教学活动，</w:t>
      </w:r>
      <w:r w:rsidRPr="00E75FE1">
        <w:rPr>
          <w:rFonts w:ascii="宋体" w:eastAsia="宋体" w:hAnsi="宋体" w:cs="仿宋_GB2312" w:hint="eastAsia"/>
          <w:sz w:val="24"/>
        </w:rPr>
        <w:t>了解《大学生体质健康标准测验》项目内容、考核方式、评价标准，掌握考核内容锻炼的方式方法。</w:t>
      </w:r>
      <w:r w:rsidRPr="00E75FE1">
        <w:rPr>
          <w:rFonts w:ascii="宋体" w:eastAsia="宋体" w:hAnsi="Calibri" w:cs="宋体" w:hint="eastAsia"/>
          <w:spacing w:val="5"/>
          <w:kern w:val="0"/>
          <w:sz w:val="24"/>
        </w:rPr>
        <w:t>培养学生努力学习、不断进取、修身立业、顽强奋进的精神与品质。</w:t>
      </w:r>
    </w:p>
    <w:p w14:paraId="22BE09F9"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2.</w:t>
      </w:r>
      <w:r w:rsidRPr="00E75FE1">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E75FE1">
        <w:rPr>
          <w:rFonts w:ascii="宋体" w:eastAsia="宋体" w:hAnsi="Calibri" w:cs="宋体" w:hint="eastAsia"/>
          <w:spacing w:val="5"/>
          <w:kern w:val="0"/>
          <w:sz w:val="24"/>
        </w:rPr>
        <w:t>。</w:t>
      </w:r>
    </w:p>
    <w:p w14:paraId="6F915152"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3.</w:t>
      </w:r>
      <w:r w:rsidRPr="00E75FE1">
        <w:rPr>
          <w:rFonts w:ascii="宋体" w:eastAsia="宋体" w:hAnsi="宋体" w:cs="仿宋_GB2312" w:hint="eastAsia"/>
          <w:sz w:val="24"/>
        </w:rPr>
        <w:t>使学生能够掌握乒乓球运动的一般规律和特点，使学生获得乒乓球运动的基本技术、基本技能和基础理论知识，并了解现代乒乓球的发展趋势。以运动和身体练习为基本手段，对大学生机体进行科学的培育，在提高人的生物潜能、心理潜能的过程中促进德、智、体、美全面发展，达到身心健康、全面发展的教育总目的</w:t>
      </w:r>
      <w:r w:rsidRPr="00E75FE1">
        <w:rPr>
          <w:rFonts w:ascii="宋体" w:eastAsia="宋体" w:hAnsi="Calibri" w:cs="宋体" w:hint="eastAsia"/>
          <w:spacing w:val="5"/>
          <w:kern w:val="0"/>
          <w:sz w:val="24"/>
        </w:rPr>
        <w:t>。</w:t>
      </w:r>
    </w:p>
    <w:p w14:paraId="34E9BC03" w14:textId="77777777" w:rsidR="00E75FE1" w:rsidRPr="00E75FE1" w:rsidRDefault="00E75FE1" w:rsidP="00E75FE1">
      <w:pPr>
        <w:spacing w:line="440" w:lineRule="exact"/>
        <w:ind w:firstLineChars="200" w:firstLine="500"/>
        <w:rPr>
          <w:rFonts w:ascii="宋体" w:eastAsia="宋体" w:hAnsi="宋体" w:cs="Times New Roman"/>
          <w:b/>
          <w:sz w:val="24"/>
        </w:rPr>
      </w:pPr>
      <w:r w:rsidRPr="00E75FE1">
        <w:rPr>
          <w:rFonts w:ascii="宋体" w:eastAsia="宋体" w:hAnsi="Calibri" w:cs="宋体" w:hint="eastAsia"/>
          <w:spacing w:val="5"/>
          <w:kern w:val="0"/>
          <w:sz w:val="24"/>
        </w:rPr>
        <w:t>4.</w:t>
      </w:r>
      <w:r w:rsidRPr="00E75FE1">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E75FE1">
        <w:rPr>
          <w:rFonts w:ascii="宋体" w:eastAsia="宋体" w:hAnsi="Calibri" w:cs="宋体" w:hint="eastAsia"/>
          <w:spacing w:val="5"/>
          <w:kern w:val="0"/>
          <w:sz w:val="24"/>
        </w:rPr>
        <w:t>。</w:t>
      </w:r>
    </w:p>
    <w:p w14:paraId="05DE976F" w14:textId="77777777" w:rsidR="00E75FE1" w:rsidRPr="00E75FE1" w:rsidRDefault="00E75FE1" w:rsidP="00E75FE1">
      <w:pPr>
        <w:spacing w:line="440" w:lineRule="exact"/>
        <w:ind w:firstLineChars="200" w:firstLine="482"/>
        <w:rPr>
          <w:rFonts w:ascii="宋体" w:eastAsia="宋体" w:hAnsi="宋体" w:cs="Times New Roman"/>
          <w:bCs/>
          <w:color w:val="FF0000"/>
          <w:sz w:val="24"/>
        </w:rPr>
      </w:pPr>
      <w:r w:rsidRPr="00E75FE1">
        <w:rPr>
          <w:rFonts w:ascii="宋体" w:eastAsia="宋体" w:hAnsi="宋体" w:cs="Times New Roman" w:hint="eastAsia"/>
          <w:b/>
          <w:sz w:val="24"/>
        </w:rPr>
        <w:t>【学习内容】</w:t>
      </w:r>
    </w:p>
    <w:p w14:paraId="476436B8" w14:textId="77777777" w:rsidR="00E75FE1" w:rsidRPr="00E75FE1" w:rsidRDefault="00E75FE1" w:rsidP="00E75FE1">
      <w:pPr>
        <w:adjustRightInd w:val="0"/>
        <w:snapToGrid w:val="0"/>
        <w:spacing w:beforeLines="50" w:before="156" w:afterLines="50" w:after="156" w:line="500" w:lineRule="exact"/>
        <w:jc w:val="center"/>
        <w:rPr>
          <w:rFonts w:ascii="宋体" w:eastAsia="宋体" w:hAnsi="宋体" w:cs="Times New Roman"/>
          <w:b/>
          <w:sz w:val="28"/>
          <w:szCs w:val="28"/>
        </w:rPr>
      </w:pPr>
      <w:r w:rsidRPr="00E75FE1">
        <w:rPr>
          <w:rFonts w:ascii="宋体" w:eastAsia="宋体" w:hAnsi="宋体" w:cs="Times New Roman" w:hint="eastAsia"/>
          <w:b/>
          <w:sz w:val="28"/>
          <w:szCs w:val="28"/>
        </w:rPr>
        <w:lastRenderedPageBreak/>
        <w:t>第一章  基本技术(26学时)</w:t>
      </w:r>
    </w:p>
    <w:p w14:paraId="6A940FED" w14:textId="77777777" w:rsidR="00E75FE1" w:rsidRPr="00E75FE1" w:rsidRDefault="00E75FE1" w:rsidP="00E75FE1">
      <w:pPr>
        <w:adjustRightInd w:val="0"/>
        <w:snapToGrid w:val="0"/>
        <w:spacing w:line="500" w:lineRule="exact"/>
        <w:ind w:firstLineChars="200" w:firstLine="482"/>
        <w:rPr>
          <w:rFonts w:ascii="Calibri" w:eastAsia="宋体" w:hAnsi="Calibri" w:cs="Times New Roman"/>
          <w:b/>
          <w:sz w:val="24"/>
        </w:rPr>
      </w:pPr>
      <w:r w:rsidRPr="00E75FE1">
        <w:rPr>
          <w:rFonts w:ascii="Calibri" w:eastAsia="宋体" w:hAnsi="Calibri" w:cs="Times New Roman"/>
          <w:b/>
          <w:sz w:val="24"/>
        </w:rPr>
        <w:t>本章主要教学内容：</w:t>
      </w:r>
    </w:p>
    <w:p w14:paraId="4D33E431"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 xml:space="preserve">1.1乒乓球握拍法、基本站位及步法； </w:t>
      </w:r>
    </w:p>
    <w:p w14:paraId="5AC6179F"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 xml:space="preserve">1.2乒乓球上旋发球技术； </w:t>
      </w:r>
    </w:p>
    <w:p w14:paraId="7C851735"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1.3乒乓球下选发球技术；</w:t>
      </w:r>
    </w:p>
    <w:p w14:paraId="18D85467" w14:textId="77777777" w:rsidR="00E75FE1" w:rsidRPr="00E75FE1" w:rsidRDefault="00E75FE1" w:rsidP="00E75FE1">
      <w:pPr>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 xml:space="preserve">1.4乒乓球推挡技术。 </w:t>
      </w:r>
    </w:p>
    <w:p w14:paraId="3E2AA88B" w14:textId="77777777" w:rsidR="00E75FE1" w:rsidRPr="00E75FE1" w:rsidRDefault="00E75FE1" w:rsidP="00E75FE1">
      <w:pPr>
        <w:adjustRightInd w:val="0"/>
        <w:snapToGrid w:val="0"/>
        <w:spacing w:line="500" w:lineRule="exact"/>
        <w:ind w:firstLineChars="200" w:firstLine="482"/>
        <w:rPr>
          <w:rFonts w:ascii="Arial" w:eastAsia="宋体" w:hAnsi="Arial" w:cs="Arial"/>
          <w:color w:val="000000"/>
          <w:sz w:val="24"/>
        </w:rPr>
      </w:pPr>
      <w:r w:rsidRPr="00E75FE1">
        <w:rPr>
          <w:rFonts w:ascii="宋体" w:eastAsia="宋体" w:hAnsi="宋体" w:cs="宋体" w:hint="eastAsia"/>
          <w:b/>
          <w:bCs/>
          <w:sz w:val="24"/>
        </w:rPr>
        <w:t>本章教学目的及要求</w:t>
      </w:r>
      <w:r w:rsidRPr="00E75FE1">
        <w:rPr>
          <w:rFonts w:ascii="宋体" w:eastAsia="宋体" w:hAnsi="宋体" w:cs="宋体" w:hint="eastAsia"/>
          <w:sz w:val="24"/>
        </w:rPr>
        <w:t>：</w:t>
      </w:r>
      <w:r w:rsidRPr="00E75FE1">
        <w:rPr>
          <w:rFonts w:ascii="Arial" w:eastAsia="宋体" w:hAnsi="Arial" w:cs="Arial" w:hint="eastAsia"/>
          <w:color w:val="000000"/>
          <w:sz w:val="24"/>
        </w:rPr>
        <w:t>使学生掌握乒乓球基本技术要领，并能够熟练运用各项技术。</w:t>
      </w:r>
      <w:r w:rsidRPr="00E75FE1">
        <w:rPr>
          <w:rFonts w:ascii="Arial" w:eastAsia="宋体" w:hAnsi="Arial" w:cs="Arial"/>
          <w:color w:val="000000"/>
          <w:sz w:val="24"/>
        </w:rPr>
        <w:t xml:space="preserve"> </w:t>
      </w:r>
    </w:p>
    <w:p w14:paraId="0590AE06" w14:textId="77777777" w:rsidR="00E75FE1" w:rsidRPr="00E75FE1" w:rsidRDefault="00E75FE1" w:rsidP="00E75FE1">
      <w:pPr>
        <w:adjustRightInd w:val="0"/>
        <w:snapToGrid w:val="0"/>
        <w:spacing w:line="500" w:lineRule="exact"/>
        <w:ind w:firstLineChars="200" w:firstLine="482"/>
        <w:rPr>
          <w:rFonts w:ascii="宋体" w:eastAsia="宋体" w:hAnsi="宋体" w:cs="Times New Roman"/>
          <w:sz w:val="24"/>
        </w:rPr>
      </w:pPr>
      <w:r w:rsidRPr="00E75FE1">
        <w:rPr>
          <w:rFonts w:ascii="宋体" w:eastAsia="宋体" w:hAnsi="宋体" w:cs="宋体" w:hint="eastAsia"/>
          <w:b/>
          <w:bCs/>
          <w:sz w:val="24"/>
        </w:rPr>
        <w:t>本章教学重点及难点</w:t>
      </w:r>
      <w:r w:rsidRPr="00E75FE1">
        <w:rPr>
          <w:rFonts w:ascii="宋体" w:eastAsia="宋体" w:hAnsi="宋体" w:cs="宋体" w:hint="eastAsia"/>
          <w:sz w:val="24"/>
        </w:rPr>
        <w:t>：</w:t>
      </w:r>
      <w:r w:rsidRPr="00E75FE1">
        <w:rPr>
          <w:rFonts w:ascii="Arial" w:eastAsia="宋体" w:hAnsi="Arial" w:cs="Arial"/>
          <w:color w:val="000000"/>
          <w:sz w:val="24"/>
        </w:rPr>
        <w:t>掌握</w:t>
      </w:r>
      <w:r w:rsidRPr="00E75FE1">
        <w:rPr>
          <w:rFonts w:ascii="Arial" w:eastAsia="宋体" w:hAnsi="Arial" w:cs="Arial" w:hint="eastAsia"/>
          <w:color w:val="000000"/>
          <w:sz w:val="24"/>
        </w:rPr>
        <w:t>乒乓球的推挡技术</w:t>
      </w:r>
    </w:p>
    <w:p w14:paraId="1A70C146" w14:textId="77777777" w:rsidR="00E75FE1" w:rsidRPr="00E75FE1" w:rsidRDefault="00E75FE1" w:rsidP="00E75FE1">
      <w:pPr>
        <w:adjustRightInd w:val="0"/>
        <w:snapToGrid w:val="0"/>
        <w:spacing w:beforeLines="50" w:before="156" w:afterLines="50" w:after="156" w:line="500" w:lineRule="exact"/>
        <w:jc w:val="center"/>
        <w:rPr>
          <w:rFonts w:ascii="宋体" w:eastAsia="宋体" w:hAnsi="宋体" w:cs="Times New Roman"/>
          <w:b/>
          <w:sz w:val="28"/>
          <w:szCs w:val="28"/>
        </w:rPr>
      </w:pPr>
      <w:r w:rsidRPr="00E75FE1">
        <w:rPr>
          <w:rFonts w:ascii="宋体" w:eastAsia="宋体" w:hAnsi="宋体" w:cs="Times New Roman" w:hint="eastAsia"/>
          <w:b/>
          <w:sz w:val="28"/>
          <w:szCs w:val="28"/>
        </w:rPr>
        <w:t>第二章 身体素质（6学时）</w:t>
      </w:r>
    </w:p>
    <w:p w14:paraId="72B34A88" w14:textId="77777777" w:rsidR="00E75FE1" w:rsidRPr="00E75FE1" w:rsidRDefault="00E75FE1" w:rsidP="00E75FE1">
      <w:pPr>
        <w:autoSpaceDE w:val="0"/>
        <w:autoSpaceDN w:val="0"/>
        <w:adjustRightInd w:val="0"/>
        <w:snapToGrid w:val="0"/>
        <w:spacing w:line="500" w:lineRule="exact"/>
        <w:ind w:firstLineChars="200" w:firstLine="482"/>
        <w:rPr>
          <w:rFonts w:ascii="Calibri" w:eastAsia="宋体" w:hAnsi="Calibri" w:cs="Times New Roman"/>
          <w:b/>
          <w:sz w:val="24"/>
        </w:rPr>
      </w:pPr>
      <w:r w:rsidRPr="00E75FE1">
        <w:rPr>
          <w:rFonts w:ascii="Calibri" w:eastAsia="宋体" w:hAnsi="Calibri" w:cs="Times New Roman"/>
          <w:b/>
          <w:sz w:val="24"/>
        </w:rPr>
        <w:t>本章主要教学内容：</w:t>
      </w:r>
    </w:p>
    <w:p w14:paraId="633F34C5" w14:textId="77777777" w:rsidR="00E75FE1" w:rsidRPr="00E75FE1" w:rsidRDefault="00E75FE1" w:rsidP="00E75FE1">
      <w:pPr>
        <w:adjustRightInd w:val="0"/>
        <w:snapToGrid w:val="0"/>
        <w:spacing w:line="500" w:lineRule="exact"/>
        <w:ind w:firstLineChars="200" w:firstLine="480"/>
        <w:rPr>
          <w:rFonts w:ascii="宋体" w:eastAsia="宋体" w:hAnsi="宋体" w:cs="宋体"/>
          <w:sz w:val="24"/>
        </w:rPr>
      </w:pPr>
      <w:r w:rsidRPr="00E75FE1">
        <w:rPr>
          <w:rFonts w:ascii="宋体" w:eastAsia="宋体" w:hAnsi="宋体" w:cs="宋体" w:hint="eastAsia"/>
          <w:sz w:val="24"/>
        </w:rPr>
        <w:t>2.1速度素质、耐力素质、灵敏素质。</w:t>
      </w:r>
    </w:p>
    <w:p w14:paraId="0AD86307" w14:textId="77777777" w:rsidR="00E75FE1" w:rsidRPr="00E75FE1" w:rsidRDefault="00E75FE1" w:rsidP="00E75FE1">
      <w:pPr>
        <w:adjustRightInd w:val="0"/>
        <w:snapToGrid w:val="0"/>
        <w:spacing w:line="500" w:lineRule="exact"/>
        <w:ind w:firstLineChars="200" w:firstLine="482"/>
        <w:rPr>
          <w:rFonts w:ascii="Calibri" w:eastAsia="宋体" w:hAnsi="Calibri" w:cs="Times New Roman"/>
          <w:sz w:val="24"/>
        </w:rPr>
      </w:pPr>
      <w:r w:rsidRPr="00E75FE1">
        <w:rPr>
          <w:rFonts w:ascii="Calibri" w:eastAsia="宋体" w:hAnsi="Calibri" w:cs="Times New Roman" w:hint="eastAsia"/>
          <w:b/>
          <w:sz w:val="24"/>
        </w:rPr>
        <w:t>教学目的及要求</w:t>
      </w:r>
      <w:r w:rsidRPr="00E75FE1">
        <w:rPr>
          <w:rFonts w:ascii="Calibri" w:eastAsia="宋体" w:hAnsi="Calibri" w:cs="Times New Roman" w:hint="eastAsia"/>
          <w:sz w:val="24"/>
        </w:rPr>
        <w:t>：使学生掌握乒乓球运动需要的基本身体素质。</w:t>
      </w:r>
      <w:r w:rsidRPr="00E75FE1">
        <w:rPr>
          <w:rFonts w:ascii="Calibri" w:eastAsia="宋体" w:hAnsi="Calibri" w:cs="Times New Roman" w:hint="eastAsia"/>
          <w:sz w:val="24"/>
        </w:rPr>
        <w:t xml:space="preserve"> </w:t>
      </w:r>
    </w:p>
    <w:p w14:paraId="2A5BC7E1" w14:textId="77777777" w:rsidR="00E75FE1" w:rsidRPr="00E75FE1" w:rsidRDefault="00E75FE1" w:rsidP="00E75FE1">
      <w:pPr>
        <w:adjustRightInd w:val="0"/>
        <w:snapToGrid w:val="0"/>
        <w:spacing w:line="500" w:lineRule="exact"/>
        <w:ind w:firstLineChars="200" w:firstLine="482"/>
        <w:rPr>
          <w:rFonts w:ascii="宋体" w:eastAsia="宋体" w:hAnsi="宋体" w:cs="Times New Roman"/>
          <w:bCs/>
          <w:color w:val="FF0000"/>
          <w:sz w:val="24"/>
        </w:rPr>
      </w:pPr>
      <w:r w:rsidRPr="00E75FE1">
        <w:rPr>
          <w:rFonts w:ascii="Calibri" w:eastAsia="宋体" w:hAnsi="Calibri" w:cs="Times New Roman" w:hint="eastAsia"/>
          <w:b/>
          <w:sz w:val="24"/>
        </w:rPr>
        <w:t>教学重点及难点</w:t>
      </w:r>
      <w:r w:rsidRPr="00E75FE1">
        <w:rPr>
          <w:rFonts w:ascii="Calibri" w:eastAsia="宋体" w:hAnsi="Calibri" w:cs="Times New Roman" w:hint="eastAsia"/>
          <w:sz w:val="24"/>
        </w:rPr>
        <w:t>：身体耐力、肌肉力量、柔韧性。</w:t>
      </w:r>
    </w:p>
    <w:p w14:paraId="1E0FCF64" w14:textId="77777777" w:rsidR="00E75FE1" w:rsidRPr="00E75FE1" w:rsidRDefault="00E75FE1" w:rsidP="00E75FE1">
      <w:pPr>
        <w:spacing w:line="440" w:lineRule="exact"/>
        <w:ind w:firstLineChars="200" w:firstLine="482"/>
        <w:rPr>
          <w:rFonts w:ascii="宋体" w:eastAsia="宋体" w:hAnsi="宋体" w:cs="Times New Roman"/>
          <w:b/>
          <w:sz w:val="24"/>
        </w:rPr>
      </w:pPr>
      <w:r w:rsidRPr="00E75FE1">
        <w:rPr>
          <w:rFonts w:ascii="宋体" w:eastAsia="宋体" w:hAnsi="宋体" w:cs="Times New Roman" w:hint="eastAsia"/>
          <w:b/>
          <w:sz w:val="24"/>
        </w:rPr>
        <w:t>【重点】</w:t>
      </w:r>
    </w:p>
    <w:p w14:paraId="5F940232"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 xml:space="preserve">1.《大学体育教程》理论课程使学生对大学体育有深入理解；了解体  </w:t>
      </w:r>
    </w:p>
    <w:p w14:paraId="4C253452" w14:textId="77777777" w:rsidR="00E75FE1" w:rsidRPr="00E75FE1" w:rsidRDefault="00E75FE1" w:rsidP="00E75FE1">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E75FE1">
        <w:rPr>
          <w:rFonts w:ascii="宋体" w:eastAsia="宋体" w:hAnsi="Calibri" w:cs="宋体" w:hint="eastAsia"/>
          <w:spacing w:val="5"/>
          <w:kern w:val="0"/>
          <w:sz w:val="24"/>
        </w:rPr>
        <w:t>质健康</w:t>
      </w:r>
      <w:proofErr w:type="gramEnd"/>
      <w:r w:rsidRPr="00E75FE1">
        <w:rPr>
          <w:rFonts w:ascii="宋体" w:eastAsia="宋体" w:hAnsi="Calibri" w:cs="宋体" w:hint="eastAsia"/>
          <w:spacing w:val="5"/>
          <w:kern w:val="0"/>
          <w:sz w:val="24"/>
        </w:rPr>
        <w:t>标准的实施与如何评价；学会分析常见运动损伤和运动性疾病的症状。</w:t>
      </w:r>
    </w:p>
    <w:p w14:paraId="4A5506CE" w14:textId="77777777" w:rsidR="00E75FE1" w:rsidRPr="00E75FE1" w:rsidRDefault="00E75FE1" w:rsidP="00E75FE1">
      <w:pPr>
        <w:autoSpaceDE w:val="0"/>
        <w:autoSpaceDN w:val="0"/>
        <w:adjustRightInd w:val="0"/>
        <w:snapToGrid w:val="0"/>
        <w:spacing w:line="500" w:lineRule="exact"/>
        <w:ind w:left="490"/>
        <w:rPr>
          <w:rFonts w:ascii="宋体" w:eastAsia="宋体" w:hAnsi="Calibri" w:cs="宋体"/>
          <w:spacing w:val="5"/>
          <w:kern w:val="0"/>
          <w:sz w:val="24"/>
        </w:rPr>
      </w:pPr>
      <w:r w:rsidRPr="00E75FE1">
        <w:rPr>
          <w:rFonts w:ascii="宋体" w:eastAsia="宋体" w:hAnsi="Calibri" w:cs="宋体" w:hint="eastAsia"/>
          <w:spacing w:val="5"/>
          <w:kern w:val="0"/>
          <w:sz w:val="24"/>
        </w:rPr>
        <w:t>2.乒乓球运动的基本理论、基本知识和基本技能。</w:t>
      </w:r>
    </w:p>
    <w:p w14:paraId="3AF2DE95"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宋体" w:cs="Times New Roman"/>
          <w:sz w:val="24"/>
        </w:rPr>
      </w:pPr>
      <w:r w:rsidRPr="00E75FE1">
        <w:rPr>
          <w:rFonts w:ascii="宋体" w:eastAsia="宋体" w:hAnsi="Calibri" w:cs="宋体" w:hint="eastAsia"/>
          <w:spacing w:val="5"/>
          <w:kern w:val="0"/>
          <w:sz w:val="24"/>
        </w:rPr>
        <w:t>3.掌握一定的科学锻炼方法，扎实的理论知识。</w:t>
      </w:r>
    </w:p>
    <w:p w14:paraId="1251DA7D" w14:textId="77777777" w:rsidR="00E75FE1" w:rsidRPr="00E75FE1" w:rsidRDefault="00E75FE1" w:rsidP="00E75FE1">
      <w:pPr>
        <w:spacing w:line="440" w:lineRule="exact"/>
        <w:ind w:firstLineChars="200" w:firstLine="482"/>
        <w:rPr>
          <w:rFonts w:ascii="宋体" w:eastAsia="宋体" w:hAnsi="宋体" w:cs="Times New Roman"/>
          <w:b/>
          <w:sz w:val="24"/>
        </w:rPr>
      </w:pPr>
      <w:r w:rsidRPr="00E75FE1">
        <w:rPr>
          <w:rFonts w:ascii="宋体" w:eastAsia="宋体" w:hAnsi="宋体" w:cs="Times New Roman" w:hint="eastAsia"/>
          <w:b/>
          <w:sz w:val="24"/>
        </w:rPr>
        <w:t>【难点】</w:t>
      </w:r>
    </w:p>
    <w:p w14:paraId="6937B783" w14:textId="77777777" w:rsidR="00E75FE1" w:rsidRPr="00E75FE1" w:rsidRDefault="00E75FE1" w:rsidP="00E75FE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E75FE1">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19880F15" w14:textId="77777777" w:rsidR="00E75FE1" w:rsidRPr="00E75FE1" w:rsidRDefault="00E75FE1" w:rsidP="00E75FE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 xml:space="preserve">2.考虑学生原有的理论知识和实践技术，在讲授教材及大纲要求的所有知识和技术的同时，重点讲授乒乓球基本技术、基本战术、裁判规则等部分，以达到理论联系实际，学以致用。 </w:t>
      </w:r>
    </w:p>
    <w:p w14:paraId="13B76116" w14:textId="77777777" w:rsidR="00E75FE1" w:rsidRPr="00E75FE1" w:rsidRDefault="00E75FE1" w:rsidP="00E75FE1">
      <w:pPr>
        <w:spacing w:line="44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3.在乒乓球基本技术、基本战术学习的基础上，重点提高学生的乒乓球技术</w:t>
      </w:r>
      <w:r w:rsidRPr="00E75FE1">
        <w:rPr>
          <w:rFonts w:ascii="宋体" w:eastAsia="宋体" w:hAnsi="Calibri" w:cs="宋体" w:hint="eastAsia"/>
          <w:spacing w:val="5"/>
          <w:kern w:val="0"/>
          <w:sz w:val="24"/>
        </w:rPr>
        <w:lastRenderedPageBreak/>
        <w:t xml:space="preserve">课、理论课的组织能力培养学生研究能力。 </w:t>
      </w:r>
    </w:p>
    <w:p w14:paraId="7D145544" w14:textId="77777777" w:rsidR="00E75FE1" w:rsidRPr="00E75FE1" w:rsidRDefault="00E75FE1" w:rsidP="00E75FE1">
      <w:pPr>
        <w:spacing w:line="440" w:lineRule="exact"/>
        <w:ind w:firstLineChars="200" w:firstLine="482"/>
        <w:rPr>
          <w:rFonts w:ascii="宋体" w:eastAsia="宋体" w:hAnsi="宋体" w:cs="Times New Roman"/>
          <w:color w:val="FF0000"/>
          <w:sz w:val="24"/>
        </w:rPr>
      </w:pPr>
      <w:r w:rsidRPr="00E75FE1">
        <w:rPr>
          <w:rFonts w:ascii="宋体" w:eastAsia="宋体" w:hAnsi="宋体" w:cs="Times New Roman" w:hint="eastAsia"/>
          <w:b/>
          <w:bCs/>
          <w:sz w:val="24"/>
        </w:rPr>
        <w:t>【实施方式】</w:t>
      </w:r>
    </w:p>
    <w:p w14:paraId="10180E76"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室外实践课程</w:t>
      </w:r>
    </w:p>
    <w:p w14:paraId="05EF88FB" w14:textId="77777777" w:rsidR="00E75FE1" w:rsidRPr="00E75FE1" w:rsidRDefault="00E75FE1" w:rsidP="00E75FE1">
      <w:pPr>
        <w:spacing w:line="440" w:lineRule="exact"/>
        <w:ind w:firstLineChars="200" w:firstLine="482"/>
        <w:rPr>
          <w:rFonts w:ascii="宋体" w:eastAsia="宋体" w:hAnsi="宋体" w:cs="Times New Roman"/>
          <w:bCs/>
          <w:color w:val="FF0000"/>
          <w:sz w:val="24"/>
        </w:rPr>
      </w:pPr>
      <w:r w:rsidRPr="00E75FE1">
        <w:rPr>
          <w:rFonts w:ascii="宋体" w:eastAsia="宋体" w:hAnsi="宋体" w:cs="Times New Roman" w:hint="eastAsia"/>
          <w:b/>
          <w:sz w:val="24"/>
        </w:rPr>
        <w:t>【学习要求】</w:t>
      </w:r>
    </w:p>
    <w:p w14:paraId="5166BCEE" w14:textId="77777777" w:rsidR="00E75FE1" w:rsidRPr="00E75FE1" w:rsidRDefault="00E75FE1" w:rsidP="00E75FE1">
      <w:pPr>
        <w:spacing w:line="440" w:lineRule="exact"/>
        <w:ind w:firstLineChars="200" w:firstLine="480"/>
        <w:rPr>
          <w:rFonts w:ascii="宋体" w:eastAsia="宋体" w:hAnsi="宋体" w:cs="Times New Roman"/>
          <w:b/>
          <w:sz w:val="24"/>
        </w:rPr>
      </w:pPr>
      <w:r w:rsidRPr="00E75FE1">
        <w:rPr>
          <w:rFonts w:ascii="宋体" w:eastAsia="宋体" w:hAnsi="宋体" w:cs="Times New Roman" w:hint="eastAsia"/>
          <w:sz w:val="24"/>
        </w:rPr>
        <w:t>1</w:t>
      </w:r>
      <w:r w:rsidRPr="00E75FE1">
        <w:rPr>
          <w:rFonts w:ascii="宋体" w:eastAsia="宋体" w:hAnsi="宋体" w:cs="Times New Roman"/>
          <w:sz w:val="24"/>
        </w:rPr>
        <w:t xml:space="preserve">. </w:t>
      </w:r>
      <w:r w:rsidRPr="00E75FE1">
        <w:rPr>
          <w:rFonts w:ascii="宋体" w:eastAsia="宋体" w:hAnsi="宋体" w:cs="Times New Roman" w:hint="eastAsia"/>
          <w:sz w:val="24"/>
        </w:rPr>
        <w:t>了解大学体育课程的性质和授课方式，学分情况和进行网上选项课，开设的15门选项课程，课堂常识和安全注意事项。</w:t>
      </w:r>
    </w:p>
    <w:p w14:paraId="6D6AD5B1"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E75FE1">
        <w:rPr>
          <w:rFonts w:ascii="宋体" w:eastAsia="宋体" w:hAnsi="宋体" w:cs="Times New Roman" w:hint="eastAsia"/>
          <w:sz w:val="24"/>
        </w:rPr>
        <w:t>缓测免</w:t>
      </w:r>
      <w:proofErr w:type="gramEnd"/>
      <w:r w:rsidRPr="00E75FE1">
        <w:rPr>
          <w:rFonts w:ascii="宋体" w:eastAsia="宋体" w:hAnsi="宋体" w:cs="Times New Roman" w:hint="eastAsia"/>
          <w:sz w:val="24"/>
        </w:rPr>
        <w:t>测的申请流程以及掌握测验时间。</w:t>
      </w:r>
    </w:p>
    <w:p w14:paraId="3694E255"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3</w:t>
      </w:r>
      <w:r w:rsidRPr="00E75FE1">
        <w:rPr>
          <w:rFonts w:ascii="宋体" w:eastAsia="宋体" w:hAnsi="宋体" w:cs="Times New Roman"/>
          <w:sz w:val="24"/>
        </w:rPr>
        <w:t>.</w:t>
      </w:r>
      <w:r w:rsidRPr="00E75FE1">
        <w:rPr>
          <w:rFonts w:ascii="宋体" w:eastAsia="宋体" w:hAnsi="宋体" w:cs="Times New Roman" w:hint="eastAsia"/>
          <w:sz w:val="24"/>
        </w:rPr>
        <w:t>运用乒乓球基础课程</w:t>
      </w:r>
      <w:r w:rsidRPr="00E75FE1">
        <w:rPr>
          <w:rFonts w:ascii="宋体" w:eastAsia="宋体" w:hAnsi="宋体" w:cs="Times New Roman"/>
          <w:sz w:val="24"/>
        </w:rPr>
        <w:t xml:space="preserve"> </w:t>
      </w:r>
    </w:p>
    <w:p w14:paraId="08BBBA9D" w14:textId="77777777" w:rsidR="00E75FE1" w:rsidRPr="00E75FE1" w:rsidRDefault="00E75FE1" w:rsidP="00E75FE1">
      <w:pPr>
        <w:spacing w:line="440" w:lineRule="exact"/>
        <w:ind w:firstLineChars="200" w:firstLine="482"/>
        <w:rPr>
          <w:rFonts w:ascii="宋体" w:eastAsia="宋体" w:hAnsi="宋体" w:cs="Times New Roman"/>
          <w:sz w:val="24"/>
        </w:rPr>
      </w:pPr>
      <w:r w:rsidRPr="00E75FE1">
        <w:rPr>
          <w:rFonts w:ascii="宋体" w:eastAsia="宋体" w:hAnsi="宋体" w:cs="Times New Roman" w:hint="eastAsia"/>
          <w:b/>
          <w:sz w:val="24"/>
        </w:rPr>
        <w:t>【实践要求】</w:t>
      </w:r>
    </w:p>
    <w:p w14:paraId="24F2C372"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1.实践属性：综合训练型</w:t>
      </w:r>
    </w:p>
    <w:p w14:paraId="1040BEEA"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2.工作流程：开始部分，准备部分，基本部分，结束部分</w:t>
      </w:r>
    </w:p>
    <w:p w14:paraId="1EE8C9F6"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3.分组要求：自然班和选项班，不超过45人。</w:t>
      </w:r>
    </w:p>
    <w:p w14:paraId="6398A99F"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72B02EFF"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5.时间安排：每周2学时</w:t>
      </w:r>
    </w:p>
    <w:p w14:paraId="6C07DE9A"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6.其他要求：</w:t>
      </w:r>
    </w:p>
    <w:p w14:paraId="04F39E6E" w14:textId="77777777" w:rsidR="00E75FE1" w:rsidRPr="00E75FE1" w:rsidRDefault="00E75FE1" w:rsidP="00E75FE1">
      <w:pPr>
        <w:spacing w:beforeLines="50" w:before="156" w:afterLines="50" w:after="156" w:line="440" w:lineRule="exact"/>
        <w:ind w:left="561"/>
        <w:rPr>
          <w:rFonts w:ascii="仿宋" w:eastAsia="仿宋" w:hAnsi="仿宋" w:cs="Times New Roman"/>
          <w:sz w:val="24"/>
        </w:rPr>
      </w:pPr>
      <w:r w:rsidRPr="00E75FE1">
        <w:rPr>
          <w:rFonts w:ascii="黑体" w:eastAsia="黑体" w:hAnsi="黑体" w:cs="Times New Roman" w:hint="eastAsia"/>
          <w:sz w:val="28"/>
          <w:szCs w:val="28"/>
        </w:rPr>
        <w:t>（二）课程学习内容与课程学习目标的对应关系</w:t>
      </w:r>
      <w:r w:rsidRPr="00E75FE1">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E75FE1" w:rsidRPr="00E75FE1" w14:paraId="7E5B562B" w14:textId="77777777" w:rsidTr="00375FAF">
        <w:trPr>
          <w:trHeight w:val="660"/>
          <w:jc w:val="center"/>
        </w:trPr>
        <w:tc>
          <w:tcPr>
            <w:tcW w:w="3403" w:type="dxa"/>
            <w:vAlign w:val="center"/>
          </w:tcPr>
          <w:p w14:paraId="11118568" w14:textId="77777777" w:rsidR="00E75FE1" w:rsidRPr="00E75FE1" w:rsidRDefault="00E75FE1" w:rsidP="00E75FE1">
            <w:pPr>
              <w:spacing w:line="440" w:lineRule="exact"/>
              <w:jc w:val="center"/>
              <w:rPr>
                <w:rFonts w:ascii="宋体" w:eastAsia="宋体" w:hAnsi="宋体" w:cs="Times New Roman"/>
                <w:b/>
                <w:bCs/>
                <w:sz w:val="24"/>
              </w:rPr>
            </w:pPr>
            <w:r w:rsidRPr="00E75FE1">
              <w:rPr>
                <w:rFonts w:ascii="宋体" w:eastAsia="宋体" w:hAnsi="宋体" w:cs="Times New Roman" w:hint="eastAsia"/>
                <w:b/>
                <w:bCs/>
                <w:sz w:val="24"/>
              </w:rPr>
              <w:t>实践内容</w:t>
            </w:r>
          </w:p>
        </w:tc>
        <w:tc>
          <w:tcPr>
            <w:tcW w:w="2693" w:type="dxa"/>
            <w:vAlign w:val="center"/>
          </w:tcPr>
          <w:p w14:paraId="68379708" w14:textId="77777777" w:rsidR="00E75FE1" w:rsidRPr="00E75FE1" w:rsidRDefault="00E75FE1" w:rsidP="00E75FE1">
            <w:pPr>
              <w:spacing w:line="440" w:lineRule="exact"/>
              <w:jc w:val="center"/>
              <w:rPr>
                <w:rFonts w:ascii="宋体" w:eastAsia="宋体" w:hAnsi="宋体" w:cs="Times New Roman"/>
                <w:b/>
                <w:bCs/>
                <w:sz w:val="24"/>
              </w:rPr>
            </w:pPr>
            <w:r w:rsidRPr="00E75FE1">
              <w:rPr>
                <w:rFonts w:ascii="宋体" w:eastAsia="宋体" w:hAnsi="宋体" w:cs="Times New Roman" w:hint="eastAsia"/>
                <w:b/>
                <w:bCs/>
                <w:sz w:val="24"/>
              </w:rPr>
              <w:t>实施方式</w:t>
            </w:r>
          </w:p>
        </w:tc>
        <w:tc>
          <w:tcPr>
            <w:tcW w:w="1985" w:type="dxa"/>
            <w:vAlign w:val="center"/>
          </w:tcPr>
          <w:p w14:paraId="37AA0D36" w14:textId="77777777" w:rsidR="00E75FE1" w:rsidRPr="00E75FE1" w:rsidRDefault="00E75FE1" w:rsidP="00E75FE1">
            <w:pPr>
              <w:spacing w:line="440" w:lineRule="exact"/>
              <w:jc w:val="center"/>
              <w:rPr>
                <w:rFonts w:ascii="宋体" w:eastAsia="宋体" w:hAnsi="宋体" w:cs="Times New Roman"/>
                <w:b/>
                <w:bCs/>
                <w:sz w:val="24"/>
              </w:rPr>
            </w:pPr>
            <w:r w:rsidRPr="00E75FE1">
              <w:rPr>
                <w:rFonts w:ascii="宋体" w:eastAsia="宋体" w:hAnsi="宋体" w:cs="Times New Roman" w:hint="eastAsia"/>
                <w:b/>
                <w:bCs/>
                <w:sz w:val="24"/>
              </w:rPr>
              <w:t>支撑的课程目标</w:t>
            </w:r>
          </w:p>
        </w:tc>
        <w:tc>
          <w:tcPr>
            <w:tcW w:w="1276" w:type="dxa"/>
            <w:vAlign w:val="center"/>
          </w:tcPr>
          <w:p w14:paraId="11C99B66" w14:textId="77777777" w:rsidR="00E75FE1" w:rsidRPr="00E75FE1" w:rsidRDefault="00E75FE1" w:rsidP="00E75FE1">
            <w:pPr>
              <w:spacing w:line="440" w:lineRule="exact"/>
              <w:jc w:val="center"/>
              <w:rPr>
                <w:rFonts w:ascii="宋体" w:eastAsia="宋体" w:hAnsi="宋体" w:cs="Times New Roman"/>
                <w:b/>
                <w:bCs/>
                <w:sz w:val="24"/>
              </w:rPr>
            </w:pPr>
            <w:r w:rsidRPr="00E75FE1">
              <w:rPr>
                <w:rFonts w:ascii="宋体" w:eastAsia="宋体" w:hAnsi="宋体" w:cs="Times New Roman" w:hint="eastAsia"/>
                <w:b/>
                <w:bCs/>
                <w:sz w:val="24"/>
              </w:rPr>
              <w:t>学时安排</w:t>
            </w:r>
          </w:p>
        </w:tc>
      </w:tr>
      <w:tr w:rsidR="00E75FE1" w:rsidRPr="00E75FE1" w14:paraId="13467E76" w14:textId="77777777" w:rsidTr="00375FAF">
        <w:trPr>
          <w:trHeight w:val="514"/>
          <w:jc w:val="center"/>
        </w:trPr>
        <w:tc>
          <w:tcPr>
            <w:tcW w:w="3403" w:type="dxa"/>
            <w:vAlign w:val="center"/>
          </w:tcPr>
          <w:p w14:paraId="11059FB8"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学习内容</w:t>
            </w:r>
            <w:proofErr w:type="gramStart"/>
            <w:r w:rsidRPr="00E75FE1">
              <w:rPr>
                <w:rFonts w:ascii="宋体" w:eastAsia="宋体" w:hAnsi="宋体" w:cs="Times New Roman" w:hint="eastAsia"/>
                <w:sz w:val="24"/>
              </w:rPr>
              <w:t>一</w:t>
            </w:r>
            <w:proofErr w:type="gramEnd"/>
            <w:r w:rsidRPr="00E75FE1">
              <w:rPr>
                <w:rFonts w:ascii="宋体" w:eastAsia="宋体" w:hAnsi="宋体" w:cs="Times New Roman" w:hint="eastAsia"/>
                <w:sz w:val="24"/>
              </w:rPr>
              <w:t xml:space="preserve"> 体能+乒乓球 </w:t>
            </w:r>
          </w:p>
          <w:p w14:paraId="1FCCFF22" w14:textId="77777777" w:rsidR="00E75FE1" w:rsidRPr="00E75FE1" w:rsidRDefault="00E75FE1" w:rsidP="00E75FE1">
            <w:pPr>
              <w:spacing w:line="440" w:lineRule="exact"/>
              <w:jc w:val="center"/>
              <w:rPr>
                <w:rFonts w:ascii="宋体" w:eastAsia="宋体" w:hAnsi="宋体" w:cs="Times New Roman"/>
                <w:sz w:val="24"/>
              </w:rPr>
            </w:pPr>
          </w:p>
        </w:tc>
        <w:tc>
          <w:tcPr>
            <w:tcW w:w="2693" w:type="dxa"/>
            <w:vAlign w:val="center"/>
          </w:tcPr>
          <w:p w14:paraId="1664720D" w14:textId="77777777" w:rsidR="00E75FE1" w:rsidRPr="00E75FE1" w:rsidRDefault="00E75FE1" w:rsidP="00E75FE1">
            <w:pPr>
              <w:spacing w:line="440" w:lineRule="exact"/>
              <w:jc w:val="center"/>
              <w:rPr>
                <w:rFonts w:ascii="宋体" w:eastAsia="宋体" w:hAnsi="宋体" w:cs="Times New Roman"/>
                <w:color w:val="FF0000"/>
                <w:sz w:val="24"/>
              </w:rPr>
            </w:pPr>
            <w:r w:rsidRPr="00E75FE1">
              <w:rPr>
                <w:rFonts w:ascii="宋体" w:eastAsia="宋体" w:hAnsi="宋体" w:cs="Times New Roman" w:hint="eastAsia"/>
                <w:sz w:val="24"/>
              </w:rPr>
              <w:t>利用</w:t>
            </w:r>
            <w:proofErr w:type="gramStart"/>
            <w:r w:rsidRPr="00E75FE1">
              <w:rPr>
                <w:rFonts w:ascii="宋体" w:eastAsia="宋体" w:hAnsi="宋体" w:cs="Times New Roman" w:hint="eastAsia"/>
                <w:sz w:val="24"/>
              </w:rPr>
              <w:t>微信平台</w:t>
            </w:r>
            <w:proofErr w:type="gramEnd"/>
            <w:r w:rsidRPr="00E75FE1">
              <w:rPr>
                <w:rFonts w:ascii="宋体" w:eastAsia="宋体" w:hAnsi="宋体" w:cs="Times New Roman" w:hint="eastAsia"/>
                <w:sz w:val="24"/>
              </w:rPr>
              <w:t>；讲解法、示范法；练习法；小组合作学习</w:t>
            </w:r>
          </w:p>
        </w:tc>
        <w:tc>
          <w:tcPr>
            <w:tcW w:w="1985" w:type="dxa"/>
            <w:vAlign w:val="center"/>
          </w:tcPr>
          <w:p w14:paraId="26782721" w14:textId="77777777" w:rsidR="00E75FE1" w:rsidRPr="00E75FE1" w:rsidRDefault="00E75FE1" w:rsidP="00E75FE1">
            <w:pPr>
              <w:spacing w:line="440" w:lineRule="exact"/>
              <w:jc w:val="center"/>
              <w:rPr>
                <w:rFonts w:ascii="宋体" w:eastAsia="宋体" w:hAnsi="宋体" w:cs="Times New Roman"/>
                <w:color w:val="FF0000"/>
                <w:sz w:val="24"/>
              </w:rPr>
            </w:pPr>
            <w:r w:rsidRPr="00E75FE1">
              <w:rPr>
                <w:rFonts w:ascii="宋体" w:eastAsia="宋体" w:hAnsi="宋体" w:cs="Times New Roman" w:hint="eastAsia"/>
                <w:sz w:val="24"/>
              </w:rPr>
              <w:t>课程</w:t>
            </w:r>
            <w:r w:rsidRPr="00E75FE1">
              <w:rPr>
                <w:rFonts w:ascii="宋体" w:eastAsia="宋体" w:hAnsi="宋体" w:cs="Times New Roman"/>
                <w:sz w:val="24"/>
              </w:rPr>
              <w:t>目标</w:t>
            </w:r>
            <w:r w:rsidRPr="00E75FE1">
              <w:rPr>
                <w:rFonts w:ascii="宋体" w:eastAsia="宋体" w:hAnsi="宋体" w:cs="Times New Roman" w:hint="eastAsia"/>
                <w:sz w:val="24"/>
              </w:rPr>
              <w:t>1、2、3</w:t>
            </w:r>
          </w:p>
        </w:tc>
        <w:tc>
          <w:tcPr>
            <w:tcW w:w="1276" w:type="dxa"/>
            <w:vAlign w:val="center"/>
          </w:tcPr>
          <w:p w14:paraId="6A81DEA0"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32</w:t>
            </w:r>
          </w:p>
        </w:tc>
      </w:tr>
      <w:tr w:rsidR="00E75FE1" w:rsidRPr="00E75FE1" w14:paraId="5AFDAAA2" w14:textId="77777777" w:rsidTr="00375FAF">
        <w:trPr>
          <w:trHeight w:val="90"/>
          <w:jc w:val="center"/>
        </w:trPr>
        <w:tc>
          <w:tcPr>
            <w:tcW w:w="3403" w:type="dxa"/>
            <w:vAlign w:val="center"/>
          </w:tcPr>
          <w:p w14:paraId="126E42A5"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 xml:space="preserve">学习内容二 乒乓球1 </w:t>
            </w:r>
          </w:p>
          <w:p w14:paraId="2AFF7C40" w14:textId="77777777" w:rsidR="00E75FE1" w:rsidRPr="00E75FE1" w:rsidRDefault="00E75FE1" w:rsidP="00E75FE1">
            <w:pPr>
              <w:spacing w:line="440" w:lineRule="exact"/>
              <w:jc w:val="center"/>
              <w:rPr>
                <w:rFonts w:ascii="宋体" w:eastAsia="宋体" w:hAnsi="宋体" w:cs="Times New Roman"/>
                <w:sz w:val="24"/>
              </w:rPr>
            </w:pPr>
          </w:p>
        </w:tc>
        <w:tc>
          <w:tcPr>
            <w:tcW w:w="2693" w:type="dxa"/>
            <w:vAlign w:val="center"/>
          </w:tcPr>
          <w:p w14:paraId="264E6198" w14:textId="77777777" w:rsidR="00E75FE1" w:rsidRPr="00E75FE1" w:rsidRDefault="00E75FE1" w:rsidP="00E75FE1">
            <w:pPr>
              <w:spacing w:line="440" w:lineRule="exact"/>
              <w:jc w:val="center"/>
              <w:rPr>
                <w:rFonts w:ascii="宋体" w:eastAsia="宋体" w:hAnsi="宋体" w:cs="Times New Roman"/>
                <w:color w:val="FF0000"/>
                <w:sz w:val="24"/>
              </w:rPr>
            </w:pPr>
            <w:r w:rsidRPr="00E75FE1">
              <w:rPr>
                <w:rFonts w:ascii="宋体" w:eastAsia="宋体" w:hAnsi="宋体" w:cs="Times New Roman" w:hint="eastAsia"/>
                <w:sz w:val="24"/>
              </w:rPr>
              <w:t>利用</w:t>
            </w:r>
            <w:proofErr w:type="gramStart"/>
            <w:r w:rsidRPr="00E75FE1">
              <w:rPr>
                <w:rFonts w:ascii="宋体" w:eastAsia="宋体" w:hAnsi="宋体" w:cs="Times New Roman" w:hint="eastAsia"/>
                <w:sz w:val="24"/>
              </w:rPr>
              <w:t>微信平台</w:t>
            </w:r>
            <w:proofErr w:type="gramEnd"/>
            <w:r w:rsidRPr="00E75FE1">
              <w:rPr>
                <w:rFonts w:ascii="宋体" w:eastAsia="宋体" w:hAnsi="宋体" w:cs="Times New Roman" w:hint="eastAsia"/>
                <w:sz w:val="24"/>
              </w:rPr>
              <w:t>；讲解法、示范法；练习法；小组合作学习</w:t>
            </w:r>
          </w:p>
        </w:tc>
        <w:tc>
          <w:tcPr>
            <w:tcW w:w="1985" w:type="dxa"/>
            <w:vAlign w:val="center"/>
          </w:tcPr>
          <w:p w14:paraId="2802BC7E" w14:textId="77777777" w:rsidR="00E75FE1" w:rsidRPr="00E75FE1" w:rsidRDefault="00E75FE1" w:rsidP="00E75FE1">
            <w:pPr>
              <w:spacing w:line="440" w:lineRule="exact"/>
              <w:jc w:val="center"/>
              <w:rPr>
                <w:rFonts w:ascii="宋体" w:eastAsia="宋体" w:hAnsi="宋体" w:cs="Times New Roman"/>
                <w:color w:val="FF0000"/>
                <w:sz w:val="24"/>
              </w:rPr>
            </w:pPr>
            <w:r w:rsidRPr="00E75FE1">
              <w:rPr>
                <w:rFonts w:ascii="宋体" w:eastAsia="宋体" w:hAnsi="宋体" w:cs="Times New Roman" w:hint="eastAsia"/>
                <w:sz w:val="24"/>
              </w:rPr>
              <w:t>课程</w:t>
            </w:r>
            <w:r w:rsidRPr="00E75FE1">
              <w:rPr>
                <w:rFonts w:ascii="宋体" w:eastAsia="宋体" w:hAnsi="宋体" w:cs="Times New Roman"/>
                <w:sz w:val="24"/>
              </w:rPr>
              <w:t>目标</w:t>
            </w:r>
            <w:r w:rsidRPr="00E75FE1">
              <w:rPr>
                <w:rFonts w:ascii="宋体" w:eastAsia="宋体" w:hAnsi="宋体" w:cs="Times New Roman" w:hint="eastAsia"/>
                <w:sz w:val="24"/>
              </w:rPr>
              <w:t>1、2、3</w:t>
            </w:r>
          </w:p>
        </w:tc>
        <w:tc>
          <w:tcPr>
            <w:tcW w:w="1276" w:type="dxa"/>
            <w:vAlign w:val="center"/>
          </w:tcPr>
          <w:p w14:paraId="0C05F110"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32</w:t>
            </w:r>
          </w:p>
        </w:tc>
      </w:tr>
      <w:tr w:rsidR="00E75FE1" w:rsidRPr="00E75FE1" w14:paraId="64D9EE6E" w14:textId="77777777" w:rsidTr="00375FAF">
        <w:trPr>
          <w:jc w:val="center"/>
        </w:trPr>
        <w:tc>
          <w:tcPr>
            <w:tcW w:w="3403" w:type="dxa"/>
            <w:vAlign w:val="center"/>
          </w:tcPr>
          <w:p w14:paraId="5087EF0E"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学习内容三 乒乓球 2</w:t>
            </w:r>
          </w:p>
          <w:p w14:paraId="09EABCA3" w14:textId="77777777" w:rsidR="00E75FE1" w:rsidRPr="00E75FE1" w:rsidRDefault="00E75FE1" w:rsidP="00E75FE1">
            <w:pPr>
              <w:spacing w:line="440" w:lineRule="exact"/>
              <w:jc w:val="center"/>
              <w:rPr>
                <w:rFonts w:ascii="宋体" w:eastAsia="宋体" w:hAnsi="宋体" w:cs="Times New Roman"/>
                <w:sz w:val="24"/>
              </w:rPr>
            </w:pPr>
          </w:p>
        </w:tc>
        <w:tc>
          <w:tcPr>
            <w:tcW w:w="2693" w:type="dxa"/>
            <w:vAlign w:val="center"/>
          </w:tcPr>
          <w:p w14:paraId="0D5376CF" w14:textId="77777777" w:rsidR="00E75FE1" w:rsidRPr="00E75FE1" w:rsidRDefault="00E75FE1" w:rsidP="00E75FE1">
            <w:pPr>
              <w:spacing w:line="440" w:lineRule="exact"/>
              <w:jc w:val="center"/>
              <w:rPr>
                <w:rFonts w:ascii="宋体" w:eastAsia="宋体" w:hAnsi="宋体" w:cs="Times New Roman"/>
                <w:color w:val="FF0000"/>
                <w:sz w:val="24"/>
              </w:rPr>
            </w:pPr>
            <w:r w:rsidRPr="00E75FE1">
              <w:rPr>
                <w:rFonts w:ascii="宋体" w:eastAsia="宋体" w:hAnsi="宋体" w:cs="Times New Roman" w:hint="eastAsia"/>
                <w:sz w:val="24"/>
              </w:rPr>
              <w:t>利用</w:t>
            </w:r>
            <w:proofErr w:type="gramStart"/>
            <w:r w:rsidRPr="00E75FE1">
              <w:rPr>
                <w:rFonts w:ascii="宋体" w:eastAsia="宋体" w:hAnsi="宋体" w:cs="Times New Roman" w:hint="eastAsia"/>
                <w:sz w:val="24"/>
              </w:rPr>
              <w:t>微信平台</w:t>
            </w:r>
            <w:proofErr w:type="gramEnd"/>
            <w:r w:rsidRPr="00E75FE1">
              <w:rPr>
                <w:rFonts w:ascii="宋体" w:eastAsia="宋体" w:hAnsi="宋体" w:cs="Times New Roman" w:hint="eastAsia"/>
                <w:sz w:val="24"/>
              </w:rPr>
              <w:t>；讲解法、示范法；练习法；小组合作学习</w:t>
            </w:r>
          </w:p>
        </w:tc>
        <w:tc>
          <w:tcPr>
            <w:tcW w:w="1985" w:type="dxa"/>
            <w:vAlign w:val="center"/>
          </w:tcPr>
          <w:p w14:paraId="5601A283" w14:textId="77777777" w:rsidR="00E75FE1" w:rsidRPr="00E75FE1" w:rsidRDefault="00E75FE1" w:rsidP="00E75FE1">
            <w:pPr>
              <w:spacing w:line="440" w:lineRule="exact"/>
              <w:jc w:val="center"/>
              <w:rPr>
                <w:rFonts w:ascii="宋体" w:eastAsia="宋体" w:hAnsi="宋体" w:cs="Times New Roman"/>
                <w:color w:val="FF0000"/>
                <w:sz w:val="24"/>
              </w:rPr>
            </w:pPr>
            <w:r w:rsidRPr="00E75FE1">
              <w:rPr>
                <w:rFonts w:ascii="宋体" w:eastAsia="宋体" w:hAnsi="宋体" w:cs="Times New Roman" w:hint="eastAsia"/>
                <w:sz w:val="24"/>
              </w:rPr>
              <w:t>课程</w:t>
            </w:r>
            <w:r w:rsidRPr="00E75FE1">
              <w:rPr>
                <w:rFonts w:ascii="宋体" w:eastAsia="宋体" w:hAnsi="宋体" w:cs="Times New Roman"/>
                <w:sz w:val="24"/>
              </w:rPr>
              <w:t>目标</w:t>
            </w:r>
            <w:r w:rsidRPr="00E75FE1">
              <w:rPr>
                <w:rFonts w:ascii="宋体" w:eastAsia="宋体" w:hAnsi="宋体" w:cs="Times New Roman" w:hint="eastAsia"/>
                <w:sz w:val="24"/>
              </w:rPr>
              <w:t>1、2、3</w:t>
            </w:r>
          </w:p>
        </w:tc>
        <w:tc>
          <w:tcPr>
            <w:tcW w:w="1276" w:type="dxa"/>
            <w:vAlign w:val="center"/>
          </w:tcPr>
          <w:p w14:paraId="17C46817"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32</w:t>
            </w:r>
          </w:p>
        </w:tc>
      </w:tr>
      <w:tr w:rsidR="00E75FE1" w:rsidRPr="00E75FE1" w14:paraId="3AA7536F" w14:textId="77777777" w:rsidTr="00375FAF">
        <w:trPr>
          <w:jc w:val="center"/>
        </w:trPr>
        <w:tc>
          <w:tcPr>
            <w:tcW w:w="3403" w:type="dxa"/>
            <w:vAlign w:val="center"/>
          </w:tcPr>
          <w:p w14:paraId="179CD505"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lastRenderedPageBreak/>
              <w:t>学习内容四 乒乓球 3</w:t>
            </w:r>
          </w:p>
          <w:p w14:paraId="76A4D93C" w14:textId="77777777" w:rsidR="00E75FE1" w:rsidRPr="00E75FE1" w:rsidRDefault="00E75FE1" w:rsidP="00E75FE1">
            <w:pPr>
              <w:spacing w:line="440" w:lineRule="exact"/>
              <w:jc w:val="center"/>
              <w:rPr>
                <w:rFonts w:ascii="宋体" w:eastAsia="宋体" w:hAnsi="宋体" w:cs="Times New Roman"/>
                <w:sz w:val="24"/>
              </w:rPr>
            </w:pPr>
          </w:p>
        </w:tc>
        <w:tc>
          <w:tcPr>
            <w:tcW w:w="2693" w:type="dxa"/>
            <w:vAlign w:val="center"/>
          </w:tcPr>
          <w:p w14:paraId="2D2ECA62" w14:textId="77777777" w:rsidR="00E75FE1" w:rsidRPr="00E75FE1" w:rsidRDefault="00E75FE1" w:rsidP="00E75FE1">
            <w:pPr>
              <w:spacing w:line="440" w:lineRule="exact"/>
              <w:jc w:val="center"/>
              <w:rPr>
                <w:rFonts w:ascii="宋体" w:eastAsia="宋体" w:hAnsi="宋体" w:cs="Times New Roman"/>
                <w:color w:val="FF0000"/>
                <w:sz w:val="24"/>
              </w:rPr>
            </w:pPr>
            <w:r w:rsidRPr="00E75FE1">
              <w:rPr>
                <w:rFonts w:ascii="宋体" w:eastAsia="宋体" w:hAnsi="宋体" w:cs="Times New Roman" w:hint="eastAsia"/>
                <w:sz w:val="24"/>
              </w:rPr>
              <w:t>利用</w:t>
            </w:r>
            <w:proofErr w:type="gramStart"/>
            <w:r w:rsidRPr="00E75FE1">
              <w:rPr>
                <w:rFonts w:ascii="宋体" w:eastAsia="宋体" w:hAnsi="宋体" w:cs="Times New Roman" w:hint="eastAsia"/>
                <w:sz w:val="24"/>
              </w:rPr>
              <w:t>微信平台</w:t>
            </w:r>
            <w:proofErr w:type="gramEnd"/>
            <w:r w:rsidRPr="00E75FE1">
              <w:rPr>
                <w:rFonts w:ascii="宋体" w:eastAsia="宋体" w:hAnsi="宋体" w:cs="Times New Roman" w:hint="eastAsia"/>
                <w:sz w:val="24"/>
              </w:rPr>
              <w:t>；讲解法、示范法；练习法；小组合作学习</w:t>
            </w:r>
          </w:p>
        </w:tc>
        <w:tc>
          <w:tcPr>
            <w:tcW w:w="1985" w:type="dxa"/>
            <w:vAlign w:val="center"/>
          </w:tcPr>
          <w:p w14:paraId="7716E78B" w14:textId="77777777" w:rsidR="00E75FE1" w:rsidRPr="00E75FE1" w:rsidRDefault="00E75FE1" w:rsidP="00E75FE1">
            <w:pPr>
              <w:spacing w:line="440" w:lineRule="exact"/>
              <w:jc w:val="center"/>
              <w:rPr>
                <w:rFonts w:ascii="宋体" w:eastAsia="宋体" w:hAnsi="宋体" w:cs="Times New Roman"/>
                <w:color w:val="FF0000"/>
                <w:sz w:val="24"/>
              </w:rPr>
            </w:pPr>
            <w:r w:rsidRPr="00E75FE1">
              <w:rPr>
                <w:rFonts w:ascii="宋体" w:eastAsia="宋体" w:hAnsi="宋体" w:cs="Times New Roman" w:hint="eastAsia"/>
                <w:sz w:val="24"/>
              </w:rPr>
              <w:t>课程</w:t>
            </w:r>
            <w:r w:rsidRPr="00E75FE1">
              <w:rPr>
                <w:rFonts w:ascii="宋体" w:eastAsia="宋体" w:hAnsi="宋体" w:cs="Times New Roman"/>
                <w:sz w:val="24"/>
              </w:rPr>
              <w:t>目标</w:t>
            </w:r>
            <w:r w:rsidRPr="00E75FE1">
              <w:rPr>
                <w:rFonts w:ascii="宋体" w:eastAsia="宋体" w:hAnsi="宋体" w:cs="Times New Roman" w:hint="eastAsia"/>
                <w:sz w:val="24"/>
              </w:rPr>
              <w:t>1、2、3</w:t>
            </w:r>
          </w:p>
        </w:tc>
        <w:tc>
          <w:tcPr>
            <w:tcW w:w="1276" w:type="dxa"/>
            <w:vAlign w:val="center"/>
          </w:tcPr>
          <w:p w14:paraId="44BDA673"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32</w:t>
            </w:r>
          </w:p>
        </w:tc>
      </w:tr>
      <w:tr w:rsidR="00E75FE1" w:rsidRPr="00E75FE1" w14:paraId="7C1BF1E3" w14:textId="77777777" w:rsidTr="00375FAF">
        <w:trPr>
          <w:jc w:val="center"/>
        </w:trPr>
        <w:tc>
          <w:tcPr>
            <w:tcW w:w="8081" w:type="dxa"/>
            <w:gridSpan w:val="3"/>
            <w:vAlign w:val="center"/>
          </w:tcPr>
          <w:p w14:paraId="40389201" w14:textId="77777777" w:rsidR="00E75FE1" w:rsidRPr="00E75FE1" w:rsidRDefault="00E75FE1" w:rsidP="00E75FE1">
            <w:pPr>
              <w:spacing w:line="440" w:lineRule="exact"/>
              <w:jc w:val="center"/>
              <w:rPr>
                <w:rFonts w:ascii="宋体" w:eastAsia="宋体" w:hAnsi="宋体" w:cs="Times New Roman"/>
                <w:b/>
                <w:sz w:val="24"/>
              </w:rPr>
            </w:pPr>
            <w:r w:rsidRPr="00E75FE1">
              <w:rPr>
                <w:rFonts w:ascii="宋体" w:eastAsia="宋体" w:hAnsi="宋体" w:cs="Times New Roman" w:hint="eastAsia"/>
                <w:b/>
                <w:sz w:val="24"/>
              </w:rPr>
              <w:t>合计</w:t>
            </w:r>
          </w:p>
        </w:tc>
        <w:tc>
          <w:tcPr>
            <w:tcW w:w="1276" w:type="dxa"/>
            <w:vAlign w:val="center"/>
          </w:tcPr>
          <w:p w14:paraId="5546118B" w14:textId="77777777" w:rsidR="00E75FE1" w:rsidRPr="00E75FE1" w:rsidRDefault="00E75FE1" w:rsidP="00E75FE1">
            <w:pPr>
              <w:spacing w:line="440" w:lineRule="exact"/>
              <w:jc w:val="center"/>
              <w:rPr>
                <w:rFonts w:ascii="宋体" w:eastAsia="宋体" w:hAnsi="宋体" w:cs="Times New Roman"/>
                <w:sz w:val="24"/>
              </w:rPr>
            </w:pPr>
            <w:r w:rsidRPr="00E75FE1">
              <w:rPr>
                <w:rFonts w:ascii="宋体" w:eastAsia="宋体" w:hAnsi="宋体" w:cs="Times New Roman" w:hint="eastAsia"/>
                <w:sz w:val="24"/>
              </w:rPr>
              <w:t>128</w:t>
            </w:r>
          </w:p>
        </w:tc>
      </w:tr>
    </w:tbl>
    <w:p w14:paraId="571B7CFC" w14:textId="77777777" w:rsidR="00E75FE1" w:rsidRPr="00E75FE1" w:rsidRDefault="00E75FE1" w:rsidP="00E75FE1">
      <w:pPr>
        <w:spacing w:beforeLines="50" w:before="156" w:afterLines="50" w:after="156" w:line="440" w:lineRule="exact"/>
        <w:ind w:firstLineChars="200" w:firstLine="560"/>
        <w:rPr>
          <w:rFonts w:ascii="宋体" w:eastAsia="宋体" w:hAnsi="宋体" w:cs="Times New Roman"/>
          <w:sz w:val="24"/>
        </w:rPr>
      </w:pPr>
      <w:r w:rsidRPr="00E75FE1">
        <w:rPr>
          <w:rFonts w:ascii="黑体" w:eastAsia="黑体" w:hAnsi="黑体" w:cs="Times New Roman" w:hint="eastAsia"/>
          <w:sz w:val="28"/>
          <w:szCs w:val="28"/>
        </w:rPr>
        <w:t>四、课程考核及与课程学习目标的对应关系</w:t>
      </w:r>
    </w:p>
    <w:p w14:paraId="5496C290"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E75FE1" w:rsidRPr="00E75FE1" w14:paraId="26761982" w14:textId="77777777" w:rsidTr="00375FAF">
        <w:trPr>
          <w:trHeight w:val="515"/>
          <w:jc w:val="center"/>
        </w:trPr>
        <w:tc>
          <w:tcPr>
            <w:tcW w:w="1422" w:type="dxa"/>
          </w:tcPr>
          <w:p w14:paraId="36B2E12F" w14:textId="77777777" w:rsidR="00E75FE1" w:rsidRPr="00E75FE1" w:rsidRDefault="00E75FE1" w:rsidP="00E75FE1">
            <w:pPr>
              <w:spacing w:line="440" w:lineRule="exact"/>
              <w:jc w:val="center"/>
              <w:rPr>
                <w:rFonts w:ascii="宋体" w:eastAsia="宋体" w:hAnsi="宋体" w:cs="Times New Roman"/>
                <w:b/>
                <w:sz w:val="24"/>
              </w:rPr>
            </w:pPr>
            <w:r w:rsidRPr="00E75FE1">
              <w:rPr>
                <w:rFonts w:ascii="宋体" w:eastAsia="宋体" w:hAnsi="宋体" w:cs="Times New Roman" w:hint="eastAsia"/>
                <w:b/>
                <w:sz w:val="24"/>
              </w:rPr>
              <w:t>课程目标</w:t>
            </w:r>
          </w:p>
        </w:tc>
        <w:tc>
          <w:tcPr>
            <w:tcW w:w="5376" w:type="dxa"/>
            <w:vAlign w:val="center"/>
          </w:tcPr>
          <w:p w14:paraId="07759DDF" w14:textId="77777777" w:rsidR="00E75FE1" w:rsidRPr="00E75FE1" w:rsidRDefault="00E75FE1" w:rsidP="00E75FE1">
            <w:pPr>
              <w:spacing w:line="440" w:lineRule="exact"/>
              <w:jc w:val="center"/>
              <w:rPr>
                <w:rFonts w:ascii="宋体" w:eastAsia="宋体" w:hAnsi="宋体" w:cs="Times New Roman"/>
                <w:b/>
                <w:sz w:val="24"/>
              </w:rPr>
            </w:pPr>
            <w:r w:rsidRPr="00E75FE1">
              <w:rPr>
                <w:rFonts w:ascii="宋体" w:eastAsia="宋体" w:hAnsi="宋体" w:cs="Times New Roman" w:hint="eastAsia"/>
                <w:b/>
                <w:sz w:val="24"/>
              </w:rPr>
              <w:t>考核内容</w:t>
            </w:r>
          </w:p>
        </w:tc>
        <w:tc>
          <w:tcPr>
            <w:tcW w:w="2542" w:type="dxa"/>
            <w:vAlign w:val="center"/>
          </w:tcPr>
          <w:p w14:paraId="463626AA" w14:textId="77777777" w:rsidR="00E75FE1" w:rsidRPr="00E75FE1" w:rsidRDefault="00E75FE1" w:rsidP="00E75FE1">
            <w:pPr>
              <w:spacing w:line="440" w:lineRule="exact"/>
              <w:jc w:val="center"/>
              <w:rPr>
                <w:rFonts w:ascii="宋体" w:eastAsia="宋体" w:hAnsi="宋体" w:cs="Times New Roman"/>
                <w:b/>
                <w:sz w:val="24"/>
              </w:rPr>
            </w:pPr>
            <w:r w:rsidRPr="00E75FE1">
              <w:rPr>
                <w:rFonts w:ascii="宋体" w:eastAsia="宋体" w:hAnsi="宋体" w:cs="Times New Roman" w:hint="eastAsia"/>
                <w:b/>
                <w:sz w:val="24"/>
              </w:rPr>
              <w:t>考核方式</w:t>
            </w:r>
          </w:p>
        </w:tc>
      </w:tr>
      <w:tr w:rsidR="00E75FE1" w:rsidRPr="00E75FE1" w14:paraId="5D3F31C1" w14:textId="77777777" w:rsidTr="00375FAF">
        <w:trPr>
          <w:jc w:val="center"/>
        </w:trPr>
        <w:tc>
          <w:tcPr>
            <w:tcW w:w="1422" w:type="dxa"/>
            <w:vAlign w:val="center"/>
          </w:tcPr>
          <w:p w14:paraId="1BBD4A39" w14:textId="77777777" w:rsidR="00E75FE1" w:rsidRPr="00E75FE1" w:rsidRDefault="00E75FE1" w:rsidP="00E75FE1">
            <w:pPr>
              <w:spacing w:line="440" w:lineRule="exact"/>
              <w:jc w:val="center"/>
              <w:rPr>
                <w:rFonts w:ascii="宋体" w:eastAsia="宋体" w:hAnsi="宋体" w:cs="Times New Roman"/>
                <w:bCs/>
                <w:sz w:val="24"/>
              </w:rPr>
            </w:pPr>
            <w:r w:rsidRPr="00E75FE1">
              <w:rPr>
                <w:rFonts w:ascii="宋体" w:eastAsia="宋体" w:hAnsi="宋体" w:cs="Times New Roman" w:hint="eastAsia"/>
                <w:bCs/>
                <w:sz w:val="24"/>
              </w:rPr>
              <w:t>课程目标1、2、3</w:t>
            </w:r>
          </w:p>
        </w:tc>
        <w:tc>
          <w:tcPr>
            <w:tcW w:w="5376" w:type="dxa"/>
            <w:vAlign w:val="center"/>
          </w:tcPr>
          <w:p w14:paraId="47D536D0"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大学生体质健康标准测试</w:t>
            </w:r>
          </w:p>
        </w:tc>
        <w:tc>
          <w:tcPr>
            <w:tcW w:w="2542" w:type="dxa"/>
            <w:vAlign w:val="center"/>
          </w:tcPr>
          <w:p w14:paraId="59A495B0" w14:textId="77777777" w:rsidR="00E75FE1" w:rsidRPr="00E75FE1" w:rsidRDefault="00E75FE1" w:rsidP="00E75FE1">
            <w:pPr>
              <w:widowControl/>
              <w:jc w:val="left"/>
              <w:rPr>
                <w:rFonts w:ascii="宋体" w:eastAsia="宋体" w:hAnsi="宋体" w:cs="Times New Roman"/>
                <w:bCs/>
                <w:sz w:val="24"/>
              </w:rPr>
            </w:pPr>
          </w:p>
          <w:p w14:paraId="1A0F6FC2"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随堂技术考核</w:t>
            </w:r>
          </w:p>
        </w:tc>
      </w:tr>
      <w:tr w:rsidR="00E75FE1" w:rsidRPr="00E75FE1" w14:paraId="0D29C0EE" w14:textId="77777777" w:rsidTr="00375FAF">
        <w:trPr>
          <w:jc w:val="center"/>
        </w:trPr>
        <w:tc>
          <w:tcPr>
            <w:tcW w:w="1422" w:type="dxa"/>
            <w:vAlign w:val="center"/>
          </w:tcPr>
          <w:p w14:paraId="5C648F81" w14:textId="77777777" w:rsidR="00E75FE1" w:rsidRPr="00E75FE1" w:rsidRDefault="00E75FE1" w:rsidP="00E75FE1">
            <w:pPr>
              <w:spacing w:line="440" w:lineRule="exact"/>
              <w:jc w:val="center"/>
              <w:rPr>
                <w:rFonts w:ascii="宋体" w:eastAsia="宋体" w:hAnsi="宋体" w:cs="Times New Roman"/>
                <w:bCs/>
                <w:sz w:val="24"/>
              </w:rPr>
            </w:pPr>
            <w:r w:rsidRPr="00E75FE1">
              <w:rPr>
                <w:rFonts w:ascii="宋体" w:eastAsia="宋体" w:hAnsi="宋体" w:cs="Times New Roman" w:hint="eastAsia"/>
                <w:bCs/>
                <w:sz w:val="24"/>
              </w:rPr>
              <w:t>课程目标3</w:t>
            </w:r>
          </w:p>
        </w:tc>
        <w:tc>
          <w:tcPr>
            <w:tcW w:w="5376" w:type="dxa"/>
            <w:vAlign w:val="center"/>
          </w:tcPr>
          <w:p w14:paraId="18E23244"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立定跳远</w:t>
            </w:r>
          </w:p>
        </w:tc>
        <w:tc>
          <w:tcPr>
            <w:tcW w:w="2542" w:type="dxa"/>
            <w:vAlign w:val="center"/>
          </w:tcPr>
          <w:p w14:paraId="38AF0B7B" w14:textId="77777777" w:rsidR="00E75FE1" w:rsidRPr="00E75FE1" w:rsidRDefault="00E75FE1" w:rsidP="00E75FE1">
            <w:pPr>
              <w:widowControl/>
              <w:jc w:val="left"/>
              <w:rPr>
                <w:rFonts w:ascii="宋体" w:eastAsia="宋体" w:hAnsi="宋体" w:cs="Times New Roman"/>
                <w:bCs/>
                <w:sz w:val="24"/>
              </w:rPr>
            </w:pPr>
          </w:p>
          <w:p w14:paraId="2E58510A"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随堂技术考核</w:t>
            </w:r>
          </w:p>
        </w:tc>
      </w:tr>
      <w:tr w:rsidR="00E75FE1" w:rsidRPr="00E75FE1" w14:paraId="6C7837F2" w14:textId="77777777" w:rsidTr="00375FAF">
        <w:trPr>
          <w:jc w:val="center"/>
        </w:trPr>
        <w:tc>
          <w:tcPr>
            <w:tcW w:w="1422" w:type="dxa"/>
            <w:vAlign w:val="center"/>
          </w:tcPr>
          <w:p w14:paraId="15DB2B34" w14:textId="77777777" w:rsidR="00E75FE1" w:rsidRPr="00E75FE1" w:rsidRDefault="00E75FE1" w:rsidP="00E75FE1">
            <w:pPr>
              <w:spacing w:line="440" w:lineRule="exact"/>
              <w:jc w:val="center"/>
              <w:rPr>
                <w:rFonts w:ascii="宋体" w:eastAsia="宋体" w:hAnsi="宋体" w:cs="Times New Roman"/>
                <w:bCs/>
                <w:sz w:val="24"/>
              </w:rPr>
            </w:pPr>
            <w:r w:rsidRPr="00E75FE1">
              <w:rPr>
                <w:rFonts w:ascii="宋体" w:eastAsia="宋体" w:hAnsi="宋体" w:cs="Times New Roman" w:hint="eastAsia"/>
                <w:bCs/>
                <w:sz w:val="24"/>
              </w:rPr>
              <w:t>课程目标3</w:t>
            </w:r>
          </w:p>
        </w:tc>
        <w:tc>
          <w:tcPr>
            <w:tcW w:w="5376" w:type="dxa"/>
            <w:vAlign w:val="center"/>
          </w:tcPr>
          <w:p w14:paraId="14151AF9"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一分钟推挡</w:t>
            </w:r>
          </w:p>
        </w:tc>
        <w:tc>
          <w:tcPr>
            <w:tcW w:w="2542" w:type="dxa"/>
            <w:vAlign w:val="center"/>
          </w:tcPr>
          <w:p w14:paraId="08B874F6" w14:textId="77777777" w:rsidR="00E75FE1" w:rsidRPr="00E75FE1" w:rsidRDefault="00E75FE1" w:rsidP="00E75FE1">
            <w:pPr>
              <w:widowControl/>
              <w:jc w:val="left"/>
              <w:rPr>
                <w:rFonts w:ascii="宋体" w:eastAsia="宋体" w:hAnsi="宋体" w:cs="Times New Roman"/>
                <w:bCs/>
                <w:sz w:val="24"/>
              </w:rPr>
            </w:pPr>
          </w:p>
          <w:p w14:paraId="276BC52E"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随堂技术考核</w:t>
            </w:r>
          </w:p>
        </w:tc>
      </w:tr>
      <w:tr w:rsidR="00E75FE1" w:rsidRPr="00E75FE1" w14:paraId="6F772336" w14:textId="77777777" w:rsidTr="00375FAF">
        <w:trPr>
          <w:jc w:val="center"/>
        </w:trPr>
        <w:tc>
          <w:tcPr>
            <w:tcW w:w="1422" w:type="dxa"/>
            <w:vAlign w:val="center"/>
          </w:tcPr>
          <w:p w14:paraId="5B072EA1" w14:textId="77777777" w:rsidR="00E75FE1" w:rsidRPr="00E75FE1" w:rsidRDefault="00E75FE1" w:rsidP="00E75FE1">
            <w:pPr>
              <w:spacing w:line="440" w:lineRule="exact"/>
              <w:jc w:val="center"/>
              <w:rPr>
                <w:rFonts w:ascii="宋体" w:eastAsia="宋体" w:hAnsi="宋体" w:cs="Times New Roman"/>
                <w:bCs/>
                <w:sz w:val="24"/>
              </w:rPr>
            </w:pPr>
            <w:r w:rsidRPr="00E75FE1">
              <w:rPr>
                <w:rFonts w:ascii="宋体" w:eastAsia="宋体" w:hAnsi="宋体" w:cs="Times New Roman" w:hint="eastAsia"/>
                <w:bCs/>
                <w:sz w:val="24"/>
              </w:rPr>
              <w:t>课程目标3</w:t>
            </w:r>
          </w:p>
        </w:tc>
        <w:tc>
          <w:tcPr>
            <w:tcW w:w="5376" w:type="dxa"/>
            <w:vAlign w:val="center"/>
          </w:tcPr>
          <w:p w14:paraId="3D94D019"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连续推挡</w:t>
            </w:r>
          </w:p>
        </w:tc>
        <w:tc>
          <w:tcPr>
            <w:tcW w:w="2542" w:type="dxa"/>
            <w:vAlign w:val="center"/>
          </w:tcPr>
          <w:p w14:paraId="1100215B" w14:textId="77777777" w:rsidR="00E75FE1" w:rsidRPr="00E75FE1" w:rsidRDefault="00E75FE1" w:rsidP="00E75FE1">
            <w:pPr>
              <w:widowControl/>
              <w:jc w:val="left"/>
              <w:rPr>
                <w:rFonts w:ascii="宋体" w:eastAsia="宋体" w:hAnsi="宋体" w:cs="Times New Roman"/>
                <w:bCs/>
                <w:sz w:val="24"/>
              </w:rPr>
            </w:pPr>
            <w:r w:rsidRPr="00E75FE1">
              <w:rPr>
                <w:rFonts w:ascii="宋体" w:eastAsia="宋体" w:hAnsi="宋体" w:cs="Times New Roman" w:hint="eastAsia"/>
                <w:bCs/>
                <w:sz w:val="24"/>
              </w:rPr>
              <w:t>随堂技术考核</w:t>
            </w:r>
          </w:p>
          <w:p w14:paraId="4D0C6478" w14:textId="77777777" w:rsidR="00E75FE1" w:rsidRPr="00E75FE1" w:rsidRDefault="00E75FE1" w:rsidP="00E75FE1">
            <w:pPr>
              <w:spacing w:line="440" w:lineRule="exact"/>
              <w:rPr>
                <w:rFonts w:ascii="宋体" w:eastAsia="宋体" w:hAnsi="宋体" w:cs="Times New Roman"/>
                <w:bCs/>
                <w:sz w:val="24"/>
              </w:rPr>
            </w:pPr>
          </w:p>
        </w:tc>
      </w:tr>
    </w:tbl>
    <w:p w14:paraId="488EC3BB"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（二）课程目标达成评价方式及考核比例</w:t>
      </w:r>
    </w:p>
    <w:p w14:paraId="27F7B32E"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乒乓球课程</w:t>
      </w:r>
      <w:proofErr w:type="gramStart"/>
      <w:r w:rsidRPr="00E75FE1">
        <w:rPr>
          <w:rFonts w:ascii="宋体" w:eastAsia="宋体" w:hAnsi="宋体" w:cs="Times New Roman" w:hint="eastAsia"/>
          <w:sz w:val="24"/>
        </w:rPr>
        <w:t>1、2、3、4每</w:t>
      </w:r>
      <w:proofErr w:type="gramEnd"/>
      <w:r w:rsidRPr="00E75FE1">
        <w:rPr>
          <w:rFonts w:ascii="宋体" w:eastAsia="宋体" w:hAnsi="宋体" w:cs="Times New Roman" w:hint="eastAsia"/>
          <w:sz w:val="24"/>
        </w:rPr>
        <w:t>学期考核方式及成绩比例为：课堂表现20%</w:t>
      </w:r>
      <w:r w:rsidRPr="00E75FE1">
        <w:rPr>
          <w:rFonts w:ascii="宋体" w:eastAsia="宋体" w:hAnsi="宋体" w:cs="Times New Roman"/>
          <w:sz w:val="24"/>
        </w:rPr>
        <w:t>+</w:t>
      </w:r>
      <w:r w:rsidRPr="00E75FE1">
        <w:rPr>
          <w:rFonts w:ascii="宋体" w:eastAsia="宋体" w:hAnsi="宋体" w:cs="Times New Roman" w:hint="eastAsia"/>
          <w:sz w:val="24"/>
        </w:rPr>
        <w:t>期中考核30%</w:t>
      </w:r>
      <w:r w:rsidRPr="00E75FE1">
        <w:rPr>
          <w:rFonts w:ascii="宋体" w:eastAsia="宋体" w:hAnsi="宋体" w:cs="Times New Roman"/>
          <w:sz w:val="24"/>
        </w:rPr>
        <w:t>+</w:t>
      </w:r>
      <w:r w:rsidRPr="00E75FE1">
        <w:rPr>
          <w:rFonts w:ascii="宋体" w:eastAsia="宋体" w:hAnsi="宋体" w:cs="Times New Roman" w:hint="eastAsia"/>
          <w:sz w:val="24"/>
        </w:rPr>
        <w:t>课期</w:t>
      </w:r>
      <w:proofErr w:type="gramStart"/>
      <w:r w:rsidRPr="00E75FE1">
        <w:rPr>
          <w:rFonts w:ascii="宋体" w:eastAsia="宋体" w:hAnsi="宋体" w:cs="Times New Roman" w:hint="eastAsia"/>
          <w:sz w:val="24"/>
        </w:rPr>
        <w:t>末考试</w:t>
      </w:r>
      <w:proofErr w:type="gramEnd"/>
      <w:r w:rsidRPr="00E75FE1">
        <w:rPr>
          <w:rFonts w:ascii="宋体" w:eastAsia="宋体" w:hAnsi="宋体" w:cs="Times New Roman" w:hint="eastAsia"/>
          <w:sz w:val="24"/>
        </w:rPr>
        <w:t>5</w:t>
      </w:r>
      <w:r w:rsidRPr="00E75FE1">
        <w:rPr>
          <w:rFonts w:ascii="宋体" w:eastAsia="宋体" w:hAnsi="宋体" w:cs="Times New Roman"/>
          <w:sz w:val="24"/>
        </w:rPr>
        <w:t>0</w:t>
      </w:r>
      <w:r w:rsidRPr="00E75FE1">
        <w:rPr>
          <w:rFonts w:ascii="宋体" w:eastAsia="宋体" w:hAnsi="宋体" w:cs="Times New Roman" w:hint="eastAsia"/>
          <w:sz w:val="24"/>
        </w:rPr>
        <w:t>%；本课程共有三个课程目标，考核方式及成绩比例分别为：</w:t>
      </w:r>
    </w:p>
    <w:p w14:paraId="64A1A1CF"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课程目标1：课堂表现5%</w:t>
      </w:r>
      <w:r w:rsidRPr="00E75FE1">
        <w:rPr>
          <w:rFonts w:ascii="宋体" w:eastAsia="宋体" w:hAnsi="宋体" w:cs="Times New Roman"/>
          <w:sz w:val="24"/>
        </w:rPr>
        <w:t>+</w:t>
      </w:r>
      <w:r w:rsidRPr="00E75FE1">
        <w:rPr>
          <w:rFonts w:ascii="宋体" w:eastAsia="宋体" w:hAnsi="宋体" w:cs="Times New Roman" w:hint="eastAsia"/>
          <w:sz w:val="24"/>
        </w:rPr>
        <w:t>阶段测试10%</w:t>
      </w:r>
      <w:r w:rsidRPr="00E75FE1">
        <w:rPr>
          <w:rFonts w:ascii="宋体" w:eastAsia="宋体" w:hAnsi="宋体" w:cs="Times New Roman"/>
          <w:sz w:val="24"/>
        </w:rPr>
        <w:t>+</w:t>
      </w:r>
      <w:r w:rsidRPr="00E75FE1">
        <w:rPr>
          <w:rFonts w:ascii="宋体" w:eastAsia="宋体" w:hAnsi="宋体" w:cs="Times New Roman" w:hint="eastAsia"/>
          <w:sz w:val="24"/>
        </w:rPr>
        <w:t>期末考试20%</w:t>
      </w:r>
    </w:p>
    <w:p w14:paraId="27C96196"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课程目标2：课堂表现10%</w:t>
      </w:r>
      <w:r w:rsidRPr="00E75FE1">
        <w:rPr>
          <w:rFonts w:ascii="宋体" w:eastAsia="宋体" w:hAnsi="宋体" w:cs="Times New Roman"/>
          <w:sz w:val="24"/>
        </w:rPr>
        <w:t>+</w:t>
      </w:r>
      <w:r w:rsidRPr="00E75FE1">
        <w:rPr>
          <w:rFonts w:ascii="宋体" w:eastAsia="宋体" w:hAnsi="宋体" w:cs="Times New Roman" w:hint="eastAsia"/>
          <w:sz w:val="24"/>
        </w:rPr>
        <w:t>阶段测试10%</w:t>
      </w:r>
      <w:r w:rsidRPr="00E75FE1">
        <w:rPr>
          <w:rFonts w:ascii="宋体" w:eastAsia="宋体" w:hAnsi="宋体" w:cs="Times New Roman"/>
          <w:sz w:val="24"/>
        </w:rPr>
        <w:t>+</w:t>
      </w:r>
      <w:r w:rsidRPr="00E75FE1">
        <w:rPr>
          <w:rFonts w:ascii="宋体" w:eastAsia="宋体" w:hAnsi="宋体" w:cs="Times New Roman" w:hint="eastAsia"/>
          <w:sz w:val="24"/>
        </w:rPr>
        <w:t>期末考试20%</w:t>
      </w:r>
    </w:p>
    <w:p w14:paraId="73B173BB"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课程目标3：课堂表现5%</w:t>
      </w:r>
      <w:r w:rsidRPr="00E75FE1">
        <w:rPr>
          <w:rFonts w:ascii="宋体" w:eastAsia="宋体" w:hAnsi="宋体" w:cs="Times New Roman"/>
          <w:sz w:val="24"/>
        </w:rPr>
        <w:t>+</w:t>
      </w:r>
      <w:r w:rsidRPr="00E75FE1">
        <w:rPr>
          <w:rFonts w:ascii="宋体" w:eastAsia="宋体" w:hAnsi="宋体" w:cs="Times New Roman" w:hint="eastAsia"/>
          <w:sz w:val="24"/>
        </w:rPr>
        <w:t>阶段测试10%</w:t>
      </w:r>
      <w:r w:rsidRPr="00E75FE1">
        <w:rPr>
          <w:rFonts w:ascii="宋体" w:eastAsia="宋体" w:hAnsi="宋体" w:cs="Times New Roman"/>
          <w:sz w:val="24"/>
        </w:rPr>
        <w:t>+</w:t>
      </w:r>
      <w:r w:rsidRPr="00E75FE1">
        <w:rPr>
          <w:rFonts w:ascii="宋体" w:eastAsia="宋体" w:hAnsi="宋体" w:cs="Times New Roman" w:hint="eastAsia"/>
          <w:sz w:val="24"/>
        </w:rPr>
        <w:t>期末考试10%</w:t>
      </w:r>
    </w:p>
    <w:p w14:paraId="79B1CEA2"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E75FE1" w:rsidRPr="00E75FE1" w14:paraId="78096ABE" w14:textId="77777777" w:rsidTr="00375FAF">
        <w:trPr>
          <w:trHeight w:val="540"/>
          <w:jc w:val="center"/>
        </w:trPr>
        <w:tc>
          <w:tcPr>
            <w:tcW w:w="1422" w:type="dxa"/>
            <w:vMerge w:val="restart"/>
            <w:vAlign w:val="center"/>
          </w:tcPr>
          <w:p w14:paraId="355106E0" w14:textId="77777777" w:rsidR="00E75FE1" w:rsidRPr="00E75FE1" w:rsidRDefault="00E75FE1" w:rsidP="00E75FE1">
            <w:pPr>
              <w:spacing w:line="440" w:lineRule="exact"/>
              <w:rPr>
                <w:rFonts w:ascii="宋体" w:eastAsia="宋体" w:hAnsi="宋体" w:cs="Times New Roman"/>
                <w:b/>
                <w:sz w:val="24"/>
              </w:rPr>
            </w:pPr>
            <w:r w:rsidRPr="00E75FE1">
              <w:rPr>
                <w:rFonts w:ascii="宋体" w:eastAsia="宋体" w:hAnsi="宋体" w:cs="Times New Roman" w:hint="eastAsia"/>
                <w:b/>
                <w:sz w:val="24"/>
              </w:rPr>
              <w:t>课程目标</w:t>
            </w:r>
          </w:p>
        </w:tc>
        <w:tc>
          <w:tcPr>
            <w:tcW w:w="6271" w:type="dxa"/>
            <w:gridSpan w:val="4"/>
            <w:vAlign w:val="center"/>
          </w:tcPr>
          <w:p w14:paraId="00819A1E" w14:textId="77777777" w:rsidR="00E75FE1" w:rsidRPr="00E75FE1" w:rsidRDefault="00E75FE1" w:rsidP="00E75FE1">
            <w:pPr>
              <w:spacing w:line="440" w:lineRule="exact"/>
              <w:rPr>
                <w:rFonts w:ascii="宋体" w:eastAsia="宋体" w:hAnsi="宋体" w:cs="Times New Roman"/>
                <w:b/>
                <w:sz w:val="24"/>
              </w:rPr>
            </w:pPr>
            <w:r w:rsidRPr="00E75FE1">
              <w:rPr>
                <w:rFonts w:ascii="宋体" w:eastAsia="宋体" w:hAnsi="宋体" w:cs="Times New Roman" w:hint="eastAsia"/>
                <w:b/>
                <w:sz w:val="24"/>
              </w:rPr>
              <w:t>考核方式及成绩比例（%）</w:t>
            </w:r>
          </w:p>
        </w:tc>
        <w:tc>
          <w:tcPr>
            <w:tcW w:w="1559" w:type="dxa"/>
            <w:vMerge w:val="restart"/>
            <w:vAlign w:val="center"/>
          </w:tcPr>
          <w:p w14:paraId="0702231B" w14:textId="77777777" w:rsidR="00E75FE1" w:rsidRPr="00E75FE1" w:rsidRDefault="00E75FE1" w:rsidP="00E75FE1">
            <w:pPr>
              <w:spacing w:line="440" w:lineRule="exact"/>
              <w:rPr>
                <w:rFonts w:ascii="宋体" w:eastAsia="宋体" w:hAnsi="宋体" w:cs="Times New Roman"/>
                <w:b/>
                <w:sz w:val="24"/>
              </w:rPr>
            </w:pPr>
            <w:r w:rsidRPr="00E75FE1">
              <w:rPr>
                <w:rFonts w:ascii="宋体" w:eastAsia="宋体" w:hAnsi="宋体" w:cs="Times New Roman" w:hint="eastAsia"/>
                <w:b/>
                <w:sz w:val="24"/>
              </w:rPr>
              <w:t>合计</w:t>
            </w:r>
          </w:p>
        </w:tc>
      </w:tr>
      <w:tr w:rsidR="00E75FE1" w:rsidRPr="00E75FE1" w14:paraId="3D6DBB66" w14:textId="77777777" w:rsidTr="00375FAF">
        <w:trPr>
          <w:trHeight w:val="578"/>
          <w:jc w:val="center"/>
        </w:trPr>
        <w:tc>
          <w:tcPr>
            <w:tcW w:w="1422" w:type="dxa"/>
            <w:vMerge/>
            <w:vAlign w:val="center"/>
          </w:tcPr>
          <w:p w14:paraId="1C50FF9D" w14:textId="77777777" w:rsidR="00E75FE1" w:rsidRPr="00E75FE1" w:rsidRDefault="00E75FE1" w:rsidP="00E75FE1">
            <w:pPr>
              <w:spacing w:line="440" w:lineRule="exact"/>
              <w:rPr>
                <w:rFonts w:ascii="宋体" w:eastAsia="宋体" w:hAnsi="宋体" w:cs="Times New Roman"/>
                <w:b/>
                <w:sz w:val="24"/>
              </w:rPr>
            </w:pPr>
          </w:p>
        </w:tc>
        <w:tc>
          <w:tcPr>
            <w:tcW w:w="1452" w:type="dxa"/>
            <w:vAlign w:val="center"/>
          </w:tcPr>
          <w:p w14:paraId="6A6ADA36" w14:textId="77777777" w:rsidR="00E75FE1" w:rsidRPr="00E75FE1" w:rsidRDefault="00E75FE1" w:rsidP="00E75FE1">
            <w:pPr>
              <w:spacing w:line="440" w:lineRule="exact"/>
              <w:rPr>
                <w:rFonts w:ascii="宋体" w:eastAsia="宋体" w:hAnsi="宋体" w:cs="Times New Roman"/>
                <w:b/>
                <w:sz w:val="24"/>
              </w:rPr>
            </w:pPr>
            <w:r w:rsidRPr="00E75FE1">
              <w:rPr>
                <w:rFonts w:ascii="宋体" w:eastAsia="宋体" w:hAnsi="宋体" w:cs="Times New Roman" w:hint="eastAsia"/>
                <w:b/>
                <w:sz w:val="24"/>
              </w:rPr>
              <w:t>课堂表现</w:t>
            </w:r>
          </w:p>
        </w:tc>
        <w:tc>
          <w:tcPr>
            <w:tcW w:w="1559" w:type="dxa"/>
            <w:vAlign w:val="center"/>
          </w:tcPr>
          <w:p w14:paraId="204241F4" w14:textId="77777777" w:rsidR="00E75FE1" w:rsidRPr="00E75FE1" w:rsidRDefault="00E75FE1" w:rsidP="00E75FE1">
            <w:pPr>
              <w:spacing w:line="440" w:lineRule="exact"/>
              <w:rPr>
                <w:rFonts w:ascii="宋体" w:eastAsia="宋体" w:hAnsi="宋体" w:cs="Times New Roman"/>
                <w:b/>
                <w:sz w:val="24"/>
              </w:rPr>
            </w:pPr>
            <w:r w:rsidRPr="00E75FE1">
              <w:rPr>
                <w:rFonts w:ascii="宋体" w:eastAsia="宋体" w:hAnsi="宋体" w:cs="Times New Roman" w:hint="eastAsia"/>
                <w:b/>
                <w:sz w:val="24"/>
              </w:rPr>
              <w:t>阶段测试</w:t>
            </w:r>
          </w:p>
        </w:tc>
        <w:tc>
          <w:tcPr>
            <w:tcW w:w="1701" w:type="dxa"/>
            <w:vAlign w:val="center"/>
          </w:tcPr>
          <w:p w14:paraId="28E8FC8B" w14:textId="77777777" w:rsidR="00E75FE1" w:rsidRPr="00E75FE1" w:rsidRDefault="00E75FE1" w:rsidP="00E75FE1">
            <w:pPr>
              <w:spacing w:line="440" w:lineRule="exact"/>
              <w:rPr>
                <w:rFonts w:ascii="宋体" w:eastAsia="宋体" w:hAnsi="宋体" w:cs="Times New Roman"/>
                <w:b/>
                <w:sz w:val="24"/>
              </w:rPr>
            </w:pPr>
            <w:r w:rsidRPr="00E75FE1">
              <w:rPr>
                <w:rFonts w:ascii="宋体" w:eastAsia="宋体" w:hAnsi="宋体" w:cs="Times New Roman" w:hint="eastAsia"/>
                <w:b/>
                <w:sz w:val="24"/>
              </w:rPr>
              <w:t>课程论文</w:t>
            </w:r>
          </w:p>
        </w:tc>
        <w:tc>
          <w:tcPr>
            <w:tcW w:w="1559" w:type="dxa"/>
            <w:vAlign w:val="center"/>
          </w:tcPr>
          <w:p w14:paraId="0D2D1E3E" w14:textId="77777777" w:rsidR="00E75FE1" w:rsidRPr="00E75FE1" w:rsidRDefault="00E75FE1" w:rsidP="00E75FE1">
            <w:pPr>
              <w:spacing w:line="440" w:lineRule="exact"/>
              <w:rPr>
                <w:rFonts w:ascii="宋体" w:eastAsia="宋体" w:hAnsi="宋体" w:cs="Times New Roman"/>
                <w:b/>
                <w:sz w:val="24"/>
              </w:rPr>
            </w:pPr>
            <w:r w:rsidRPr="00E75FE1">
              <w:rPr>
                <w:rFonts w:ascii="宋体" w:eastAsia="宋体" w:hAnsi="宋体" w:cs="Times New Roman" w:hint="eastAsia"/>
                <w:b/>
                <w:sz w:val="24"/>
              </w:rPr>
              <w:t>期末考试</w:t>
            </w:r>
          </w:p>
        </w:tc>
        <w:tc>
          <w:tcPr>
            <w:tcW w:w="1559" w:type="dxa"/>
            <w:vMerge/>
          </w:tcPr>
          <w:p w14:paraId="16EDD76A" w14:textId="77777777" w:rsidR="00E75FE1" w:rsidRPr="00E75FE1" w:rsidRDefault="00E75FE1" w:rsidP="00E75FE1">
            <w:pPr>
              <w:spacing w:line="440" w:lineRule="exact"/>
              <w:rPr>
                <w:rFonts w:ascii="宋体" w:eastAsia="宋体" w:hAnsi="宋体" w:cs="Times New Roman"/>
                <w:b/>
                <w:sz w:val="24"/>
              </w:rPr>
            </w:pPr>
          </w:p>
        </w:tc>
      </w:tr>
      <w:tr w:rsidR="00E75FE1" w:rsidRPr="00E75FE1" w14:paraId="59105A63" w14:textId="77777777" w:rsidTr="00375FAF">
        <w:trPr>
          <w:jc w:val="center"/>
        </w:trPr>
        <w:tc>
          <w:tcPr>
            <w:tcW w:w="1422" w:type="dxa"/>
            <w:vAlign w:val="center"/>
          </w:tcPr>
          <w:p w14:paraId="35BB133E"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课程目标1</w:t>
            </w:r>
          </w:p>
        </w:tc>
        <w:tc>
          <w:tcPr>
            <w:tcW w:w="1452" w:type="dxa"/>
            <w:vAlign w:val="center"/>
          </w:tcPr>
          <w:p w14:paraId="64DE0D89"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5</w:t>
            </w:r>
          </w:p>
        </w:tc>
        <w:tc>
          <w:tcPr>
            <w:tcW w:w="1559" w:type="dxa"/>
            <w:vAlign w:val="center"/>
          </w:tcPr>
          <w:p w14:paraId="35BA1CB5"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10</w:t>
            </w:r>
          </w:p>
        </w:tc>
        <w:tc>
          <w:tcPr>
            <w:tcW w:w="1701" w:type="dxa"/>
            <w:vAlign w:val="center"/>
          </w:tcPr>
          <w:p w14:paraId="3FEC20B9" w14:textId="77777777" w:rsidR="00E75FE1" w:rsidRPr="00E75FE1" w:rsidRDefault="00E75FE1" w:rsidP="00E75FE1">
            <w:pPr>
              <w:spacing w:line="440" w:lineRule="exact"/>
              <w:rPr>
                <w:rFonts w:ascii="宋体" w:eastAsia="宋体" w:hAnsi="宋体" w:cs="Times New Roman"/>
                <w:bCs/>
                <w:sz w:val="24"/>
              </w:rPr>
            </w:pPr>
          </w:p>
        </w:tc>
        <w:tc>
          <w:tcPr>
            <w:tcW w:w="1559" w:type="dxa"/>
            <w:vAlign w:val="center"/>
          </w:tcPr>
          <w:p w14:paraId="60B0324C"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20</w:t>
            </w:r>
          </w:p>
        </w:tc>
        <w:tc>
          <w:tcPr>
            <w:tcW w:w="1559" w:type="dxa"/>
          </w:tcPr>
          <w:p w14:paraId="62866653"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35</w:t>
            </w:r>
          </w:p>
        </w:tc>
      </w:tr>
      <w:tr w:rsidR="00E75FE1" w:rsidRPr="00E75FE1" w14:paraId="426464C8" w14:textId="77777777" w:rsidTr="00375FAF">
        <w:trPr>
          <w:jc w:val="center"/>
        </w:trPr>
        <w:tc>
          <w:tcPr>
            <w:tcW w:w="1422" w:type="dxa"/>
            <w:vAlign w:val="center"/>
          </w:tcPr>
          <w:p w14:paraId="636878CE"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课程目标2</w:t>
            </w:r>
          </w:p>
        </w:tc>
        <w:tc>
          <w:tcPr>
            <w:tcW w:w="1452" w:type="dxa"/>
            <w:vAlign w:val="center"/>
          </w:tcPr>
          <w:p w14:paraId="39EF65CE"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10</w:t>
            </w:r>
          </w:p>
        </w:tc>
        <w:tc>
          <w:tcPr>
            <w:tcW w:w="1559" w:type="dxa"/>
            <w:vAlign w:val="center"/>
          </w:tcPr>
          <w:p w14:paraId="30216A0D"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10</w:t>
            </w:r>
          </w:p>
        </w:tc>
        <w:tc>
          <w:tcPr>
            <w:tcW w:w="1701" w:type="dxa"/>
            <w:vAlign w:val="center"/>
          </w:tcPr>
          <w:p w14:paraId="0CEE42E0" w14:textId="77777777" w:rsidR="00E75FE1" w:rsidRPr="00E75FE1" w:rsidRDefault="00E75FE1" w:rsidP="00E75FE1">
            <w:pPr>
              <w:spacing w:line="440" w:lineRule="exact"/>
              <w:rPr>
                <w:rFonts w:ascii="宋体" w:eastAsia="宋体" w:hAnsi="宋体" w:cs="Times New Roman"/>
                <w:bCs/>
                <w:sz w:val="24"/>
              </w:rPr>
            </w:pPr>
          </w:p>
        </w:tc>
        <w:tc>
          <w:tcPr>
            <w:tcW w:w="1559" w:type="dxa"/>
            <w:vAlign w:val="center"/>
          </w:tcPr>
          <w:p w14:paraId="2B885029"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20</w:t>
            </w:r>
          </w:p>
        </w:tc>
        <w:tc>
          <w:tcPr>
            <w:tcW w:w="1559" w:type="dxa"/>
          </w:tcPr>
          <w:p w14:paraId="277804FF"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40</w:t>
            </w:r>
          </w:p>
        </w:tc>
      </w:tr>
      <w:tr w:rsidR="00E75FE1" w:rsidRPr="00E75FE1" w14:paraId="1129F6F2" w14:textId="77777777" w:rsidTr="00375FAF">
        <w:trPr>
          <w:jc w:val="center"/>
        </w:trPr>
        <w:tc>
          <w:tcPr>
            <w:tcW w:w="1422" w:type="dxa"/>
            <w:vAlign w:val="center"/>
          </w:tcPr>
          <w:p w14:paraId="207B24B3"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课程目标3</w:t>
            </w:r>
          </w:p>
        </w:tc>
        <w:tc>
          <w:tcPr>
            <w:tcW w:w="1452" w:type="dxa"/>
            <w:vAlign w:val="center"/>
          </w:tcPr>
          <w:p w14:paraId="2F3BAAEA"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5</w:t>
            </w:r>
          </w:p>
        </w:tc>
        <w:tc>
          <w:tcPr>
            <w:tcW w:w="1559" w:type="dxa"/>
            <w:vAlign w:val="center"/>
          </w:tcPr>
          <w:p w14:paraId="1F189C37"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10</w:t>
            </w:r>
          </w:p>
        </w:tc>
        <w:tc>
          <w:tcPr>
            <w:tcW w:w="1701" w:type="dxa"/>
            <w:vAlign w:val="center"/>
          </w:tcPr>
          <w:p w14:paraId="0E2DAF38" w14:textId="77777777" w:rsidR="00E75FE1" w:rsidRPr="00E75FE1" w:rsidRDefault="00E75FE1" w:rsidP="00E75FE1">
            <w:pPr>
              <w:spacing w:line="440" w:lineRule="exact"/>
              <w:rPr>
                <w:rFonts w:ascii="宋体" w:eastAsia="宋体" w:hAnsi="宋体" w:cs="Times New Roman"/>
                <w:bCs/>
                <w:sz w:val="24"/>
              </w:rPr>
            </w:pPr>
          </w:p>
        </w:tc>
        <w:tc>
          <w:tcPr>
            <w:tcW w:w="1559" w:type="dxa"/>
            <w:vAlign w:val="center"/>
          </w:tcPr>
          <w:p w14:paraId="09A7A487"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10</w:t>
            </w:r>
          </w:p>
        </w:tc>
        <w:tc>
          <w:tcPr>
            <w:tcW w:w="1559" w:type="dxa"/>
          </w:tcPr>
          <w:p w14:paraId="7F5F96D2"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25</w:t>
            </w:r>
          </w:p>
        </w:tc>
      </w:tr>
      <w:tr w:rsidR="00E75FE1" w:rsidRPr="00E75FE1" w14:paraId="5FE5156F" w14:textId="77777777" w:rsidTr="00375FAF">
        <w:trPr>
          <w:jc w:val="center"/>
        </w:trPr>
        <w:tc>
          <w:tcPr>
            <w:tcW w:w="1422" w:type="dxa"/>
            <w:vAlign w:val="center"/>
          </w:tcPr>
          <w:p w14:paraId="11F350BF"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合计</w:t>
            </w:r>
          </w:p>
        </w:tc>
        <w:tc>
          <w:tcPr>
            <w:tcW w:w="1452" w:type="dxa"/>
            <w:vAlign w:val="center"/>
          </w:tcPr>
          <w:p w14:paraId="3E6D7705"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20</w:t>
            </w:r>
          </w:p>
        </w:tc>
        <w:tc>
          <w:tcPr>
            <w:tcW w:w="1559" w:type="dxa"/>
            <w:vAlign w:val="center"/>
          </w:tcPr>
          <w:p w14:paraId="087BC72C"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30</w:t>
            </w:r>
          </w:p>
        </w:tc>
        <w:tc>
          <w:tcPr>
            <w:tcW w:w="1701" w:type="dxa"/>
            <w:vAlign w:val="center"/>
          </w:tcPr>
          <w:p w14:paraId="0F9499FC" w14:textId="77777777" w:rsidR="00E75FE1" w:rsidRPr="00E75FE1" w:rsidRDefault="00E75FE1" w:rsidP="00E75FE1">
            <w:pPr>
              <w:spacing w:line="440" w:lineRule="exact"/>
              <w:rPr>
                <w:rFonts w:ascii="宋体" w:eastAsia="宋体" w:hAnsi="宋体" w:cs="Times New Roman"/>
                <w:bCs/>
                <w:sz w:val="24"/>
              </w:rPr>
            </w:pPr>
          </w:p>
        </w:tc>
        <w:tc>
          <w:tcPr>
            <w:tcW w:w="1559" w:type="dxa"/>
            <w:vAlign w:val="center"/>
          </w:tcPr>
          <w:p w14:paraId="52E41876"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50</w:t>
            </w:r>
          </w:p>
        </w:tc>
        <w:tc>
          <w:tcPr>
            <w:tcW w:w="1559" w:type="dxa"/>
          </w:tcPr>
          <w:p w14:paraId="138B3E63" w14:textId="77777777" w:rsidR="00E75FE1" w:rsidRPr="00E75FE1" w:rsidRDefault="00E75FE1" w:rsidP="00E75FE1">
            <w:pPr>
              <w:spacing w:line="440" w:lineRule="exact"/>
              <w:rPr>
                <w:rFonts w:ascii="宋体" w:eastAsia="宋体" w:hAnsi="宋体" w:cs="Times New Roman"/>
                <w:bCs/>
                <w:sz w:val="24"/>
              </w:rPr>
            </w:pPr>
            <w:r w:rsidRPr="00E75FE1">
              <w:rPr>
                <w:rFonts w:ascii="宋体" w:eastAsia="宋体" w:hAnsi="宋体" w:cs="Times New Roman" w:hint="eastAsia"/>
                <w:bCs/>
                <w:sz w:val="24"/>
              </w:rPr>
              <w:t>1</w:t>
            </w:r>
            <w:r w:rsidRPr="00E75FE1">
              <w:rPr>
                <w:rFonts w:ascii="宋体" w:eastAsia="宋体" w:hAnsi="宋体" w:cs="Times New Roman"/>
                <w:bCs/>
                <w:sz w:val="24"/>
              </w:rPr>
              <w:t>00</w:t>
            </w:r>
          </w:p>
        </w:tc>
      </w:tr>
    </w:tbl>
    <w:p w14:paraId="72742960" w14:textId="77777777" w:rsidR="00E75FE1" w:rsidRPr="00E75FE1" w:rsidRDefault="00E75FE1" w:rsidP="00C63ECC">
      <w:pPr>
        <w:pStyle w:val="afc"/>
      </w:pPr>
      <w:bookmarkStart w:id="65" w:name="_Toc23473"/>
      <w:r w:rsidRPr="00E75FE1">
        <w:rPr>
          <w:rFonts w:hint="eastAsia"/>
        </w:rPr>
        <w:lastRenderedPageBreak/>
        <w:t>五、成绩评定</w:t>
      </w:r>
      <w:bookmarkEnd w:id="65"/>
    </w:p>
    <w:p w14:paraId="6D6430D9"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（一）总成绩评定</w:t>
      </w:r>
    </w:p>
    <w:p w14:paraId="37B2E11B"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总成绩=平时成绩×20%+期中成绩×30%+期末成绩×50%</w:t>
      </w:r>
    </w:p>
    <w:p w14:paraId="64728E6A"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备注：每学期总成绩</w:t>
      </w:r>
    </w:p>
    <w:p w14:paraId="19CE6EE6" w14:textId="77777777" w:rsidR="00E75FE1" w:rsidRPr="00E75FE1" w:rsidRDefault="00E75FE1" w:rsidP="00E75FE1">
      <w:pPr>
        <w:spacing w:beforeLines="50" w:before="156" w:afterLines="50" w:after="156" w:line="440" w:lineRule="exact"/>
        <w:ind w:firstLineChars="200" w:firstLine="560"/>
        <w:rPr>
          <w:rFonts w:ascii="宋体" w:eastAsia="宋体" w:hAnsi="宋体" w:cs="Times New Roman"/>
          <w:color w:val="FF0000"/>
          <w:sz w:val="24"/>
        </w:rPr>
      </w:pPr>
      <w:r w:rsidRPr="00E75FE1">
        <w:rPr>
          <w:rFonts w:ascii="黑体" w:eastAsia="黑体" w:hAnsi="黑体" w:cs="Times New Roman" w:hint="eastAsia"/>
          <w:sz w:val="28"/>
          <w:szCs w:val="28"/>
        </w:rPr>
        <w:t>（二）平时成绩评定</w:t>
      </w:r>
    </w:p>
    <w:p w14:paraId="1F8120BC"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（1）课堂表现：通过学生在课堂上的表现情况、发言与主体参与和练习情况，来评价学生相关的能力。</w:t>
      </w:r>
    </w:p>
    <w:p w14:paraId="37D18219"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（2）作业完成情况：围绕课程的学习目标进行作业的设计。如让学生简述对知识的认识，建议</w:t>
      </w:r>
      <w:proofErr w:type="gramStart"/>
      <w:r w:rsidRPr="00E75FE1">
        <w:rPr>
          <w:rFonts w:ascii="宋体" w:eastAsia="宋体" w:hAnsi="宋体" w:cs="Times New Roman" w:hint="eastAsia"/>
          <w:sz w:val="24"/>
        </w:rPr>
        <w:t>带准备</w:t>
      </w:r>
      <w:proofErr w:type="gramEnd"/>
      <w:r w:rsidRPr="00E75FE1">
        <w:rPr>
          <w:rFonts w:ascii="宋体" w:eastAsia="宋体" w:hAnsi="宋体" w:cs="Times New Roman" w:hint="eastAsia"/>
          <w:sz w:val="24"/>
        </w:rPr>
        <w:t>部分和基本部分中的复习内容，帮助学生将定义转化为自己的理解。学生在小组合作学习中测验掌握课程的情况</w:t>
      </w:r>
    </w:p>
    <w:p w14:paraId="7B78BC97" w14:textId="77777777" w:rsidR="00E75FE1" w:rsidRPr="00E75FE1" w:rsidRDefault="00E75FE1" w:rsidP="00E75FE1">
      <w:pPr>
        <w:spacing w:line="440" w:lineRule="exact"/>
        <w:ind w:firstLineChars="200" w:firstLine="480"/>
        <w:rPr>
          <w:rFonts w:ascii="宋体" w:eastAsia="宋体" w:hAnsi="宋体" w:cs="Times New Roman"/>
          <w:color w:val="FF0000"/>
          <w:sz w:val="24"/>
        </w:rPr>
      </w:pPr>
      <w:r w:rsidRPr="00E75FE1">
        <w:rPr>
          <w:rFonts w:ascii="宋体" w:eastAsia="宋体" w:hAnsi="宋体" w:cs="Times New Roman" w:hint="eastAsia"/>
          <w:sz w:val="24"/>
        </w:rPr>
        <w:t>（3）课堂考勤：留存辅导员开具的事假条、校医院开具的病假条。缺课达到本学期三分之一课时，按照考试无资格处理。</w:t>
      </w:r>
    </w:p>
    <w:p w14:paraId="61E7DFF2"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（三）期中、期末成绩评定</w:t>
      </w:r>
    </w:p>
    <w:p w14:paraId="178720C2"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第一学期</w:t>
      </w:r>
    </w:p>
    <w:p w14:paraId="36005DC9" w14:textId="77777777" w:rsidR="00E75FE1" w:rsidRPr="00E75FE1" w:rsidRDefault="00E75FE1" w:rsidP="00E75FE1">
      <w:pPr>
        <w:adjustRightInd w:val="0"/>
        <w:snapToGrid w:val="0"/>
        <w:spacing w:line="500" w:lineRule="exact"/>
        <w:jc w:val="center"/>
        <w:rPr>
          <w:rFonts w:ascii="宋体" w:eastAsia="宋体" w:hAnsi="Calibri" w:cs="Times New Roman"/>
          <w:b/>
          <w:bCs/>
          <w:kern w:val="0"/>
          <w:sz w:val="24"/>
        </w:rPr>
      </w:pPr>
      <w:r w:rsidRPr="00E75FE1">
        <w:rPr>
          <w:rFonts w:ascii="宋体" w:eastAsia="宋体" w:hAnsi="Calibri" w:cs="Times New Roman" w:hint="eastAsia"/>
          <w:b/>
          <w:bCs/>
          <w:kern w:val="0"/>
          <w:sz w:val="24"/>
        </w:rPr>
        <w:t>期中考试</w:t>
      </w:r>
    </w:p>
    <w:p w14:paraId="471AC169" w14:textId="77777777" w:rsidR="00E75FE1" w:rsidRPr="00E75FE1" w:rsidRDefault="00E75FE1" w:rsidP="00E75FE1">
      <w:pPr>
        <w:adjustRightInd w:val="0"/>
        <w:snapToGrid w:val="0"/>
        <w:spacing w:line="500" w:lineRule="exact"/>
        <w:rPr>
          <w:rFonts w:ascii="宋体" w:eastAsia="宋体" w:hAnsi="Calibri" w:cs="Times New Roman"/>
          <w:bCs/>
          <w:kern w:val="0"/>
          <w:sz w:val="24"/>
        </w:rPr>
      </w:pPr>
      <w:r w:rsidRPr="00E75FE1">
        <w:rPr>
          <w:rFonts w:ascii="宋体" w:eastAsia="宋体" w:hAnsi="Calibri" w:cs="Times New Roman" w:hint="eastAsia"/>
          <w:b/>
          <w:kern w:val="0"/>
          <w:sz w:val="24"/>
        </w:rPr>
        <w:t>1.课程考核目标:</w:t>
      </w:r>
      <w:r w:rsidRPr="00E75FE1">
        <w:rPr>
          <w:rFonts w:ascii="宋体" w:eastAsia="宋体" w:hAnsi="Calibri" w:cs="Times New Roman" w:hint="eastAsia"/>
          <w:bCs/>
          <w:kern w:val="0"/>
          <w:sz w:val="24"/>
        </w:rPr>
        <w:t>通过考核检验体能训练教学效果和学生掌握情况，让学生了解体质健康标准测验的重要性。</w:t>
      </w:r>
    </w:p>
    <w:p w14:paraId="687AA75E"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2.课程考核的内容：</w:t>
      </w:r>
      <w:r w:rsidRPr="00E75FE1">
        <w:rPr>
          <w:rFonts w:ascii="宋体" w:eastAsia="宋体" w:hAnsi="Calibri" w:cs="Times New Roman" w:hint="eastAsia"/>
          <w:bCs/>
          <w:kern w:val="0"/>
          <w:sz w:val="24"/>
        </w:rPr>
        <w:t>立定跳远。</w:t>
      </w:r>
    </w:p>
    <w:p w14:paraId="4473B344"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3.课程考核方式：</w:t>
      </w:r>
      <w:r w:rsidRPr="00E75FE1">
        <w:rPr>
          <w:rFonts w:ascii="宋体" w:eastAsia="宋体" w:hAnsi="Calibri" w:cs="Times New Roman" w:hint="eastAsia"/>
          <w:bCs/>
          <w:kern w:val="0"/>
          <w:sz w:val="24"/>
        </w:rPr>
        <w:t>沙坑场地，每人跳两次，取最好成绩。</w:t>
      </w:r>
    </w:p>
    <w:p w14:paraId="25B103AF"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4.成绩构成及分值：</w:t>
      </w:r>
      <w:r w:rsidRPr="00E75FE1">
        <w:rPr>
          <w:rFonts w:ascii="宋体" w:eastAsia="宋体" w:hAnsi="Calibri" w:cs="Times New Roman" w:hint="eastAsia"/>
          <w:bCs/>
          <w:kern w:val="0"/>
          <w:sz w:val="24"/>
        </w:rPr>
        <w:t>数量及技术评定分值各为100分，各占总分值的20%，</w:t>
      </w:r>
    </w:p>
    <w:p w14:paraId="12E70B19"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Cs/>
          <w:kern w:val="0"/>
          <w:sz w:val="24"/>
        </w:rPr>
        <w:t>总分值为100分。</w:t>
      </w:r>
    </w:p>
    <w:p w14:paraId="44A16C3D" w14:textId="77777777" w:rsidR="00E75FE1" w:rsidRPr="00E75FE1" w:rsidRDefault="00E75FE1" w:rsidP="00E75FE1">
      <w:pPr>
        <w:adjustRightInd w:val="0"/>
        <w:snapToGrid w:val="0"/>
        <w:spacing w:line="500" w:lineRule="exact"/>
        <w:jc w:val="left"/>
        <w:rPr>
          <w:rFonts w:ascii="宋体" w:eastAsia="宋体" w:hAnsi="Calibri" w:cs="Times New Roman"/>
          <w:b/>
          <w:kern w:val="0"/>
          <w:sz w:val="24"/>
        </w:rPr>
      </w:pPr>
      <w:r w:rsidRPr="00E75FE1">
        <w:rPr>
          <w:rFonts w:ascii="宋体" w:eastAsia="宋体" w:hAnsi="Calibri" w:cs="Times New Roman" w:hint="eastAsia"/>
          <w:b/>
          <w:kern w:val="0"/>
          <w:sz w:val="24"/>
        </w:rPr>
        <w:t>5.评分记分原则：</w:t>
      </w:r>
    </w:p>
    <w:p w14:paraId="7FC235CD"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p>
    <w:p w14:paraId="5896EAEA" w14:textId="77777777" w:rsidR="00E75FE1" w:rsidRDefault="00E75FE1" w:rsidP="00E75FE1">
      <w:pPr>
        <w:adjustRightInd w:val="0"/>
        <w:snapToGrid w:val="0"/>
        <w:spacing w:line="500" w:lineRule="exact"/>
        <w:jc w:val="left"/>
        <w:rPr>
          <w:rFonts w:ascii="宋体" w:eastAsia="宋体" w:hAnsi="Calibri" w:cs="Times New Roman"/>
          <w:bCs/>
          <w:kern w:val="0"/>
          <w:sz w:val="24"/>
        </w:rPr>
      </w:pPr>
    </w:p>
    <w:p w14:paraId="30BEED26" w14:textId="77777777" w:rsidR="0065761D" w:rsidRDefault="0065761D" w:rsidP="00E75FE1">
      <w:pPr>
        <w:adjustRightInd w:val="0"/>
        <w:snapToGrid w:val="0"/>
        <w:spacing w:line="500" w:lineRule="exact"/>
        <w:jc w:val="left"/>
        <w:rPr>
          <w:rFonts w:ascii="宋体" w:eastAsia="宋体" w:hAnsi="Calibri" w:cs="Times New Roman"/>
          <w:bCs/>
          <w:kern w:val="0"/>
          <w:sz w:val="24"/>
        </w:rPr>
      </w:pPr>
    </w:p>
    <w:p w14:paraId="279C91FD" w14:textId="77777777" w:rsidR="0065761D" w:rsidRPr="00E75FE1" w:rsidRDefault="0065761D" w:rsidP="00E75FE1">
      <w:pPr>
        <w:adjustRightInd w:val="0"/>
        <w:snapToGrid w:val="0"/>
        <w:spacing w:line="500" w:lineRule="exact"/>
        <w:jc w:val="left"/>
        <w:rPr>
          <w:rFonts w:ascii="宋体" w:eastAsia="宋体" w:hAnsi="Calibri" w:cs="Times New Roman"/>
          <w:bCs/>
          <w:kern w:val="0"/>
          <w:sz w:val="24"/>
        </w:rPr>
      </w:pPr>
    </w:p>
    <w:p w14:paraId="3C995FD1"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E75FE1" w:rsidRPr="00E75FE1" w14:paraId="1E6F45E7" w14:textId="77777777" w:rsidTr="00375FAF">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2FDA4A6"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37A25856"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A23A186"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大</w:t>
            </w:r>
            <w:proofErr w:type="gramStart"/>
            <w:r w:rsidRPr="00E75FE1">
              <w:rPr>
                <w:rFonts w:ascii="宋体" w:eastAsia="宋体" w:hAnsi="宋体" w:cs="宋体" w:hint="eastAsia"/>
                <w:b/>
                <w:kern w:val="0"/>
                <w:sz w:val="24"/>
                <w:lang w:bidi="ar"/>
              </w:rPr>
              <w:t>一</w:t>
            </w:r>
            <w:proofErr w:type="gramEnd"/>
            <w:r w:rsidRPr="00E75FE1">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73F87A0D"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大</w:t>
            </w:r>
            <w:proofErr w:type="gramStart"/>
            <w:r w:rsidRPr="00E75FE1">
              <w:rPr>
                <w:rFonts w:ascii="宋体" w:eastAsia="宋体" w:hAnsi="宋体" w:cs="宋体" w:hint="eastAsia"/>
                <w:b/>
                <w:kern w:val="0"/>
                <w:sz w:val="24"/>
                <w:lang w:bidi="ar"/>
              </w:rPr>
              <w:t>一</w:t>
            </w:r>
            <w:proofErr w:type="gramEnd"/>
            <w:r w:rsidRPr="00E75FE1">
              <w:rPr>
                <w:rFonts w:ascii="宋体" w:eastAsia="宋体" w:hAnsi="宋体" w:cs="宋体" w:hint="eastAsia"/>
                <w:b/>
                <w:kern w:val="0"/>
                <w:sz w:val="24"/>
                <w:lang w:bidi="ar"/>
              </w:rPr>
              <w:t>女生</w:t>
            </w:r>
          </w:p>
        </w:tc>
      </w:tr>
      <w:tr w:rsidR="00E75FE1" w:rsidRPr="00E75FE1" w14:paraId="74443632" w14:textId="77777777" w:rsidTr="00375FAF">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DD96817"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87B048A"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7269CEDD" w14:textId="77777777" w:rsidR="00E75FE1" w:rsidRPr="00E75FE1" w:rsidRDefault="00E75FE1" w:rsidP="00E75FE1">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6031DEFB" w14:textId="77777777" w:rsidR="00E75FE1" w:rsidRPr="00E75FE1" w:rsidRDefault="00E75FE1" w:rsidP="00E75FE1">
            <w:pPr>
              <w:jc w:val="center"/>
              <w:rPr>
                <w:rFonts w:ascii="宋体" w:eastAsia="宋体" w:hAnsi="宋体" w:cs="宋体"/>
                <w:b/>
                <w:sz w:val="24"/>
              </w:rPr>
            </w:pPr>
          </w:p>
        </w:tc>
      </w:tr>
      <w:tr w:rsidR="00E75FE1" w:rsidRPr="00E75FE1" w14:paraId="40E6166B"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7E01565"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6AA1BFFF"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5A4F80A9"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3707CA3B"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207</w:t>
            </w:r>
          </w:p>
        </w:tc>
      </w:tr>
      <w:tr w:rsidR="00E75FE1" w:rsidRPr="00E75FE1" w14:paraId="28E3EE9F"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5F6F0AB"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D7BBC3D"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0EF1747D"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600E8A7E"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201</w:t>
            </w:r>
          </w:p>
        </w:tc>
      </w:tr>
      <w:tr w:rsidR="00E75FE1" w:rsidRPr="00E75FE1" w14:paraId="3F72BF1D"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B46245A"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CED5B53"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8D555B2"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B455FA3"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195</w:t>
            </w:r>
          </w:p>
        </w:tc>
      </w:tr>
      <w:tr w:rsidR="00E75FE1" w:rsidRPr="00E75FE1" w14:paraId="003523A1"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01A9FA4"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086B23D5"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114A6046"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6D5C1240"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188</w:t>
            </w:r>
          </w:p>
        </w:tc>
      </w:tr>
      <w:tr w:rsidR="00E75FE1" w:rsidRPr="00E75FE1" w14:paraId="10C93A30"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1A48D11"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0C473C8"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B9AA71D"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709DF53"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181</w:t>
            </w:r>
          </w:p>
        </w:tc>
      </w:tr>
      <w:tr w:rsidR="00E75FE1" w:rsidRPr="00E75FE1" w14:paraId="12A32AA4"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2C9FE69"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A31B3BF"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0FC989AC"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41B33273"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178</w:t>
            </w:r>
          </w:p>
        </w:tc>
      </w:tr>
      <w:tr w:rsidR="00E75FE1" w:rsidRPr="00E75FE1" w14:paraId="2CC0B48D"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8A78649"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DD7548A"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78D330E9"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5908415F"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175</w:t>
            </w:r>
          </w:p>
        </w:tc>
      </w:tr>
      <w:tr w:rsidR="00E75FE1" w:rsidRPr="00E75FE1" w14:paraId="054EAFBA"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7DB534B"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4176ECA"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02020FAE"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242046F3"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172</w:t>
            </w:r>
          </w:p>
        </w:tc>
      </w:tr>
      <w:tr w:rsidR="00E75FE1" w:rsidRPr="00E75FE1" w14:paraId="2682CC35"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6B815B6"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F25C839"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777F1C21"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62670DA1"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169</w:t>
            </w:r>
          </w:p>
        </w:tc>
      </w:tr>
      <w:tr w:rsidR="00E75FE1" w:rsidRPr="00E75FE1" w14:paraId="1F368AFF"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2E0C441"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3D5B188"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38085F90"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3446E7C7"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166</w:t>
            </w:r>
          </w:p>
        </w:tc>
      </w:tr>
      <w:tr w:rsidR="00E75FE1" w:rsidRPr="00E75FE1" w14:paraId="644880A3"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A7F19FA"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9144E48"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2B0BFE6B"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062C15AF"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163</w:t>
            </w:r>
          </w:p>
        </w:tc>
      </w:tr>
      <w:tr w:rsidR="00E75FE1" w:rsidRPr="00E75FE1" w14:paraId="372E3ACA"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C7BD18B"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522A3A7"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5CED158F"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0E60EB44"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160</w:t>
            </w:r>
          </w:p>
        </w:tc>
      </w:tr>
      <w:tr w:rsidR="00E75FE1" w:rsidRPr="00E75FE1" w14:paraId="170CA912"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3921BDF"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743EE3D"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241764CA"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30826FED"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157</w:t>
            </w:r>
          </w:p>
        </w:tc>
      </w:tr>
      <w:tr w:rsidR="00E75FE1" w:rsidRPr="00E75FE1" w14:paraId="073A922B"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BBEE670"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59B3ACB"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6F2B4AFF"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6AE8FCE3"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154</w:t>
            </w:r>
          </w:p>
        </w:tc>
      </w:tr>
      <w:tr w:rsidR="00E75FE1" w:rsidRPr="00E75FE1" w14:paraId="5B365C97"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D063F47"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3B687D2"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C85550A"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21C1AA1"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151</w:t>
            </w:r>
          </w:p>
        </w:tc>
      </w:tr>
      <w:tr w:rsidR="00E75FE1" w:rsidRPr="00E75FE1" w14:paraId="57810C6B"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F8AFF58"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272C1CA"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27812EA9"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21E7DFCA"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146</w:t>
            </w:r>
          </w:p>
        </w:tc>
      </w:tr>
      <w:tr w:rsidR="00E75FE1" w:rsidRPr="00E75FE1" w14:paraId="248A7200"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CC63C04"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BF92272"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0FAB43B6"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38515DDB"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141</w:t>
            </w:r>
          </w:p>
        </w:tc>
      </w:tr>
      <w:tr w:rsidR="00E75FE1" w:rsidRPr="00E75FE1" w14:paraId="43D6AC52"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E4442DD"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BC60275"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06592B2F"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25DA5409"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136</w:t>
            </w:r>
          </w:p>
        </w:tc>
      </w:tr>
      <w:tr w:rsidR="00E75FE1" w:rsidRPr="00E75FE1" w14:paraId="311E6766"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D9D9178"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0E26D9A"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499391F3"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3D52EB6C"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131</w:t>
            </w:r>
          </w:p>
        </w:tc>
      </w:tr>
      <w:tr w:rsidR="00E75FE1" w:rsidRPr="00E75FE1" w14:paraId="2F44C84F"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67193BC" w14:textId="77777777" w:rsidR="00E75FE1" w:rsidRPr="00E75FE1" w:rsidRDefault="00E75FE1" w:rsidP="00E75FE1">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E3D91C6" w14:textId="77777777" w:rsidR="00E75FE1" w:rsidRPr="00E75FE1" w:rsidRDefault="00E75FE1" w:rsidP="00E75FE1">
            <w:pPr>
              <w:widowControl/>
              <w:jc w:val="center"/>
              <w:textAlignment w:val="center"/>
              <w:rPr>
                <w:rFonts w:ascii="宋体" w:eastAsia="宋体" w:hAnsi="宋体" w:cs="宋体"/>
                <w:b/>
                <w:sz w:val="24"/>
              </w:rPr>
            </w:pPr>
            <w:r w:rsidRPr="00E75FE1">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1B0E4A26"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0E3F58F8" w14:textId="77777777" w:rsidR="00E75FE1" w:rsidRPr="00E75FE1" w:rsidRDefault="00E75FE1" w:rsidP="00E75FE1">
            <w:pPr>
              <w:widowControl/>
              <w:jc w:val="center"/>
              <w:textAlignment w:val="center"/>
              <w:rPr>
                <w:rFonts w:ascii="宋体" w:eastAsia="宋体" w:hAnsi="宋体" w:cs="宋体"/>
                <w:sz w:val="24"/>
              </w:rPr>
            </w:pPr>
            <w:r w:rsidRPr="00E75FE1">
              <w:rPr>
                <w:rFonts w:ascii="宋体" w:eastAsia="宋体" w:hAnsi="宋体" w:cs="宋体" w:hint="eastAsia"/>
                <w:kern w:val="0"/>
                <w:sz w:val="24"/>
                <w:lang w:bidi="ar"/>
              </w:rPr>
              <w:t>126</w:t>
            </w:r>
          </w:p>
        </w:tc>
      </w:tr>
    </w:tbl>
    <w:p w14:paraId="7CC54A99"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p>
    <w:p w14:paraId="37CBCFDC" w14:textId="77777777" w:rsidR="00E75FE1" w:rsidRPr="00E75FE1" w:rsidRDefault="00E75FE1" w:rsidP="00E75FE1">
      <w:pPr>
        <w:adjustRightInd w:val="0"/>
        <w:snapToGrid w:val="0"/>
        <w:spacing w:line="500" w:lineRule="exact"/>
        <w:jc w:val="center"/>
        <w:rPr>
          <w:rFonts w:ascii="宋体" w:eastAsia="宋体" w:hAnsi="Calibri" w:cs="Times New Roman"/>
          <w:b/>
          <w:bCs/>
          <w:kern w:val="0"/>
          <w:sz w:val="24"/>
        </w:rPr>
      </w:pPr>
      <w:r w:rsidRPr="00E75FE1">
        <w:rPr>
          <w:rFonts w:ascii="宋体" w:eastAsia="宋体" w:hAnsi="Calibri" w:cs="Times New Roman" w:hint="eastAsia"/>
          <w:b/>
          <w:bCs/>
          <w:kern w:val="0"/>
          <w:sz w:val="24"/>
        </w:rPr>
        <w:t>期末考试</w:t>
      </w:r>
    </w:p>
    <w:p w14:paraId="20F20390" w14:textId="77777777" w:rsidR="00E75FE1" w:rsidRPr="00E75FE1" w:rsidRDefault="00E75FE1" w:rsidP="00E75FE1">
      <w:pPr>
        <w:adjustRightInd w:val="0"/>
        <w:snapToGrid w:val="0"/>
        <w:spacing w:line="500" w:lineRule="exact"/>
        <w:rPr>
          <w:rFonts w:ascii="宋体" w:eastAsia="宋体" w:hAnsi="Calibri" w:cs="Times New Roman"/>
          <w:bCs/>
          <w:kern w:val="0"/>
          <w:sz w:val="24"/>
        </w:rPr>
      </w:pPr>
      <w:r w:rsidRPr="00E75FE1">
        <w:rPr>
          <w:rFonts w:ascii="宋体" w:eastAsia="宋体" w:hAnsi="Calibri" w:cs="Times New Roman" w:hint="eastAsia"/>
          <w:b/>
          <w:kern w:val="0"/>
          <w:sz w:val="24"/>
        </w:rPr>
        <w:t>1.课程考核目标:</w:t>
      </w:r>
      <w:r w:rsidRPr="00E75FE1">
        <w:rPr>
          <w:rFonts w:ascii="宋体" w:eastAsia="宋体" w:hAnsi="Calibri" w:cs="Times New Roman" w:hint="eastAsia"/>
          <w:bCs/>
          <w:kern w:val="0"/>
          <w:sz w:val="24"/>
        </w:rPr>
        <w:t>通过考核检验乒乓球技术教学效果和学生掌握情况，让学生了解选项课内容和科学体育锻炼方式方法。</w:t>
      </w:r>
    </w:p>
    <w:p w14:paraId="7F7F8094"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2.课程考核的内容：</w:t>
      </w:r>
      <w:r w:rsidRPr="00E75FE1">
        <w:rPr>
          <w:rFonts w:ascii="宋体" w:eastAsia="宋体" w:hAnsi="Calibri" w:cs="Times New Roman" w:hint="eastAsia"/>
          <w:bCs/>
          <w:color w:val="000000"/>
          <w:kern w:val="0"/>
          <w:sz w:val="24"/>
        </w:rPr>
        <w:t>一分钟推挡技术。</w:t>
      </w:r>
    </w:p>
    <w:p w14:paraId="5974A2BA" w14:textId="77777777" w:rsidR="00E75FE1" w:rsidRPr="00E75FE1" w:rsidRDefault="00E75FE1" w:rsidP="00E75FE1">
      <w:pPr>
        <w:adjustRightInd w:val="0"/>
        <w:snapToGrid w:val="0"/>
        <w:spacing w:line="500" w:lineRule="exact"/>
        <w:jc w:val="left"/>
        <w:rPr>
          <w:rFonts w:ascii="宋体" w:eastAsia="宋体" w:hAnsi="Calibri" w:cs="Times New Roman"/>
          <w:bCs/>
          <w:kern w:val="0"/>
          <w:sz w:val="24"/>
        </w:rPr>
      </w:pPr>
      <w:r w:rsidRPr="00E75FE1">
        <w:rPr>
          <w:rFonts w:ascii="宋体" w:eastAsia="宋体" w:hAnsi="Calibri" w:cs="Times New Roman" w:hint="eastAsia"/>
          <w:b/>
          <w:kern w:val="0"/>
          <w:sz w:val="24"/>
        </w:rPr>
        <w:t>3.课程考核方式：</w:t>
      </w:r>
      <w:r w:rsidRPr="00E75FE1">
        <w:rPr>
          <w:rFonts w:ascii="宋体" w:eastAsia="宋体" w:hAnsi="Calibri" w:cs="Times New Roman" w:hint="eastAsia"/>
          <w:bCs/>
          <w:kern w:val="0"/>
          <w:sz w:val="24"/>
        </w:rPr>
        <w:t>进行两轮次测试，取最好成绩。</w:t>
      </w:r>
    </w:p>
    <w:p w14:paraId="6A93A83D" w14:textId="77777777" w:rsidR="00E75FE1" w:rsidRPr="00E75FE1" w:rsidRDefault="00E75FE1" w:rsidP="00E75FE1">
      <w:pPr>
        <w:autoSpaceDE w:val="0"/>
        <w:autoSpaceDN w:val="0"/>
        <w:adjustRightInd w:val="0"/>
        <w:snapToGrid w:val="0"/>
        <w:spacing w:line="500" w:lineRule="exact"/>
        <w:rPr>
          <w:rFonts w:ascii="宋体" w:eastAsia="宋体" w:hAnsi="Calibri" w:cs="Times New Roman"/>
          <w:bCs/>
          <w:kern w:val="0"/>
          <w:sz w:val="24"/>
        </w:rPr>
      </w:pPr>
      <w:r w:rsidRPr="00E75FE1">
        <w:rPr>
          <w:rFonts w:ascii="宋体" w:eastAsia="宋体" w:hAnsi="Calibri" w:cs="Times New Roman" w:hint="eastAsia"/>
          <w:b/>
          <w:kern w:val="0"/>
          <w:sz w:val="24"/>
        </w:rPr>
        <w:t>4.成绩构成及分值：</w:t>
      </w:r>
      <w:r w:rsidRPr="00E75FE1">
        <w:rPr>
          <w:rFonts w:ascii="宋体" w:eastAsia="宋体" w:hAnsi="Calibri" w:cs="Times New Roman" w:hint="eastAsia"/>
          <w:bCs/>
          <w:color w:val="000000"/>
          <w:kern w:val="0"/>
          <w:sz w:val="24"/>
        </w:rPr>
        <w:t>数量及技术评定分值各为100分，各占总分值的50%，总分值为100分。</w:t>
      </w:r>
      <w:r w:rsidRPr="00E75FE1">
        <w:rPr>
          <w:rFonts w:ascii="宋体" w:eastAsia="宋体" w:hAnsi="宋体" w:cs="宋体" w:hint="eastAsia"/>
          <w:color w:val="000000"/>
          <w:sz w:val="24"/>
        </w:rPr>
        <w:t>一分钟20个推挡及格，50次满分。20个之内（含20次），1个3分，20个以上，1个2分。</w:t>
      </w:r>
    </w:p>
    <w:p w14:paraId="3DAA10DD" w14:textId="77777777" w:rsidR="00E75FE1" w:rsidRPr="00E75FE1" w:rsidRDefault="00E75FE1" w:rsidP="00E75FE1">
      <w:pPr>
        <w:adjustRightInd w:val="0"/>
        <w:snapToGrid w:val="0"/>
        <w:spacing w:line="500" w:lineRule="exact"/>
        <w:jc w:val="left"/>
        <w:rPr>
          <w:rFonts w:ascii="宋体" w:eastAsia="宋体" w:hAnsi="Calibri" w:cs="Times New Roman"/>
          <w:b/>
          <w:kern w:val="0"/>
          <w:sz w:val="24"/>
        </w:rPr>
      </w:pPr>
      <w:r w:rsidRPr="00E75FE1">
        <w:rPr>
          <w:rFonts w:ascii="宋体" w:eastAsia="宋体" w:hAnsi="Calibri" w:cs="Times New Roman" w:hint="eastAsia"/>
          <w:b/>
          <w:kern w:val="0"/>
          <w:sz w:val="24"/>
        </w:rPr>
        <w:t>5.评分记分原则：</w:t>
      </w:r>
    </w:p>
    <w:p w14:paraId="4055CCEB" w14:textId="77777777" w:rsidR="00E75FE1" w:rsidRPr="00E75FE1" w:rsidRDefault="00E75FE1" w:rsidP="00E75FE1">
      <w:pPr>
        <w:adjustRightInd w:val="0"/>
        <w:snapToGrid w:val="0"/>
        <w:spacing w:line="500" w:lineRule="exact"/>
        <w:jc w:val="left"/>
        <w:rPr>
          <w:rFonts w:ascii="宋体" w:eastAsia="宋体" w:hAnsi="Calibri" w:cs="Times New Roman"/>
          <w:b/>
          <w:kern w:val="0"/>
          <w:sz w:val="24"/>
        </w:rPr>
      </w:pPr>
    </w:p>
    <w:p w14:paraId="36A33D05"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E75FE1" w:rsidRPr="00E75FE1" w14:paraId="0DA6B31D" w14:textId="77777777" w:rsidTr="00375FAF">
        <w:trPr>
          <w:jc w:val="center"/>
        </w:trPr>
        <w:tc>
          <w:tcPr>
            <w:tcW w:w="970" w:type="dxa"/>
          </w:tcPr>
          <w:p w14:paraId="2F68C701"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技术分</w:t>
            </w:r>
          </w:p>
        </w:tc>
        <w:tc>
          <w:tcPr>
            <w:tcW w:w="1183" w:type="dxa"/>
          </w:tcPr>
          <w:p w14:paraId="61A7313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五级制</w:t>
            </w:r>
          </w:p>
        </w:tc>
        <w:tc>
          <w:tcPr>
            <w:tcW w:w="1341" w:type="dxa"/>
          </w:tcPr>
          <w:p w14:paraId="66176870"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分值范围</w:t>
            </w:r>
          </w:p>
        </w:tc>
        <w:tc>
          <w:tcPr>
            <w:tcW w:w="3039" w:type="dxa"/>
          </w:tcPr>
          <w:p w14:paraId="2B0E74A5"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备注</w:t>
            </w:r>
          </w:p>
        </w:tc>
        <w:tc>
          <w:tcPr>
            <w:tcW w:w="1403" w:type="dxa"/>
          </w:tcPr>
          <w:p w14:paraId="649D9D41"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数目</w:t>
            </w:r>
          </w:p>
        </w:tc>
      </w:tr>
      <w:tr w:rsidR="00E75FE1" w:rsidRPr="00E75FE1" w14:paraId="66E9DA1B" w14:textId="77777777" w:rsidTr="00375FAF">
        <w:trPr>
          <w:jc w:val="center"/>
        </w:trPr>
        <w:tc>
          <w:tcPr>
            <w:tcW w:w="970" w:type="dxa"/>
          </w:tcPr>
          <w:p w14:paraId="4F32139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A</w:t>
            </w:r>
          </w:p>
        </w:tc>
        <w:tc>
          <w:tcPr>
            <w:tcW w:w="1183" w:type="dxa"/>
          </w:tcPr>
          <w:p w14:paraId="4F272AB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优</w:t>
            </w:r>
          </w:p>
        </w:tc>
        <w:tc>
          <w:tcPr>
            <w:tcW w:w="1341" w:type="dxa"/>
          </w:tcPr>
          <w:p w14:paraId="2C9F005B"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90—95</w:t>
            </w:r>
          </w:p>
        </w:tc>
        <w:tc>
          <w:tcPr>
            <w:tcW w:w="3039" w:type="dxa"/>
          </w:tcPr>
          <w:p w14:paraId="6ADD7447"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姿势正确，动作优美、协调，</w:t>
            </w:r>
          </w:p>
        </w:tc>
        <w:tc>
          <w:tcPr>
            <w:tcW w:w="1403" w:type="dxa"/>
          </w:tcPr>
          <w:p w14:paraId="4CC2C419"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10</w:t>
            </w:r>
          </w:p>
        </w:tc>
      </w:tr>
      <w:tr w:rsidR="00E75FE1" w:rsidRPr="00E75FE1" w14:paraId="5407E6A0" w14:textId="77777777" w:rsidTr="00375FAF">
        <w:trPr>
          <w:jc w:val="center"/>
        </w:trPr>
        <w:tc>
          <w:tcPr>
            <w:tcW w:w="970" w:type="dxa"/>
          </w:tcPr>
          <w:p w14:paraId="346134A5"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B</w:t>
            </w:r>
          </w:p>
        </w:tc>
        <w:tc>
          <w:tcPr>
            <w:tcW w:w="1183" w:type="dxa"/>
          </w:tcPr>
          <w:p w14:paraId="102D7AE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良好</w:t>
            </w:r>
          </w:p>
        </w:tc>
        <w:tc>
          <w:tcPr>
            <w:tcW w:w="1341" w:type="dxa"/>
          </w:tcPr>
          <w:p w14:paraId="3BD1BFE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80—89</w:t>
            </w:r>
          </w:p>
        </w:tc>
        <w:tc>
          <w:tcPr>
            <w:tcW w:w="3039" w:type="dxa"/>
          </w:tcPr>
          <w:p w14:paraId="78BBA04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姿势较正确，动作自然，</w:t>
            </w:r>
          </w:p>
        </w:tc>
        <w:tc>
          <w:tcPr>
            <w:tcW w:w="1403" w:type="dxa"/>
          </w:tcPr>
          <w:p w14:paraId="5101FB0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9</w:t>
            </w:r>
          </w:p>
        </w:tc>
      </w:tr>
      <w:tr w:rsidR="00E75FE1" w:rsidRPr="00E75FE1" w14:paraId="23553E4F" w14:textId="77777777" w:rsidTr="00375FAF">
        <w:trPr>
          <w:jc w:val="center"/>
        </w:trPr>
        <w:tc>
          <w:tcPr>
            <w:tcW w:w="970" w:type="dxa"/>
          </w:tcPr>
          <w:p w14:paraId="4E2772F9"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C</w:t>
            </w:r>
          </w:p>
        </w:tc>
        <w:tc>
          <w:tcPr>
            <w:tcW w:w="1183" w:type="dxa"/>
          </w:tcPr>
          <w:p w14:paraId="5A72950B"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良</w:t>
            </w:r>
          </w:p>
        </w:tc>
        <w:tc>
          <w:tcPr>
            <w:tcW w:w="1341" w:type="dxa"/>
          </w:tcPr>
          <w:p w14:paraId="78CCB7F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70—79</w:t>
            </w:r>
          </w:p>
        </w:tc>
        <w:tc>
          <w:tcPr>
            <w:tcW w:w="3039" w:type="dxa"/>
          </w:tcPr>
          <w:p w14:paraId="60BB3B7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姿势一般，动作基本正确，</w:t>
            </w:r>
          </w:p>
        </w:tc>
        <w:tc>
          <w:tcPr>
            <w:tcW w:w="1403" w:type="dxa"/>
          </w:tcPr>
          <w:p w14:paraId="09E4A331"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8</w:t>
            </w:r>
          </w:p>
        </w:tc>
      </w:tr>
      <w:tr w:rsidR="00E75FE1" w:rsidRPr="00E75FE1" w14:paraId="6C976911" w14:textId="77777777" w:rsidTr="00375FAF">
        <w:trPr>
          <w:jc w:val="center"/>
        </w:trPr>
        <w:tc>
          <w:tcPr>
            <w:tcW w:w="970" w:type="dxa"/>
          </w:tcPr>
          <w:p w14:paraId="18441652"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D</w:t>
            </w:r>
          </w:p>
        </w:tc>
        <w:tc>
          <w:tcPr>
            <w:tcW w:w="1183" w:type="dxa"/>
          </w:tcPr>
          <w:p w14:paraId="0719156B"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及格</w:t>
            </w:r>
          </w:p>
        </w:tc>
        <w:tc>
          <w:tcPr>
            <w:tcW w:w="1341" w:type="dxa"/>
          </w:tcPr>
          <w:p w14:paraId="6857643D"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60—69</w:t>
            </w:r>
          </w:p>
        </w:tc>
        <w:tc>
          <w:tcPr>
            <w:tcW w:w="3039" w:type="dxa"/>
          </w:tcPr>
          <w:p w14:paraId="7BAD651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动作不协调，有多余动作，</w:t>
            </w:r>
          </w:p>
        </w:tc>
        <w:tc>
          <w:tcPr>
            <w:tcW w:w="1403" w:type="dxa"/>
          </w:tcPr>
          <w:p w14:paraId="460C9AB2"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7</w:t>
            </w:r>
          </w:p>
        </w:tc>
      </w:tr>
      <w:tr w:rsidR="00E75FE1" w:rsidRPr="00E75FE1" w14:paraId="34D91407" w14:textId="77777777" w:rsidTr="00375FAF">
        <w:trPr>
          <w:jc w:val="center"/>
        </w:trPr>
        <w:tc>
          <w:tcPr>
            <w:tcW w:w="970" w:type="dxa"/>
          </w:tcPr>
          <w:p w14:paraId="07A6992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E</w:t>
            </w:r>
          </w:p>
        </w:tc>
        <w:tc>
          <w:tcPr>
            <w:tcW w:w="1183" w:type="dxa"/>
          </w:tcPr>
          <w:p w14:paraId="1D4F31A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不及格</w:t>
            </w:r>
          </w:p>
        </w:tc>
        <w:tc>
          <w:tcPr>
            <w:tcW w:w="1341" w:type="dxa"/>
          </w:tcPr>
          <w:p w14:paraId="0231D45B"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60以下</w:t>
            </w:r>
          </w:p>
        </w:tc>
        <w:tc>
          <w:tcPr>
            <w:tcW w:w="3039" w:type="dxa"/>
          </w:tcPr>
          <w:p w14:paraId="4CAC4900"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动作僵硬，吃力，不协调</w:t>
            </w:r>
          </w:p>
        </w:tc>
        <w:tc>
          <w:tcPr>
            <w:tcW w:w="1403" w:type="dxa"/>
          </w:tcPr>
          <w:p w14:paraId="087969B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w:t>
            </w:r>
          </w:p>
        </w:tc>
      </w:tr>
    </w:tbl>
    <w:p w14:paraId="06E23121"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p>
    <w:p w14:paraId="2E8377A3"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第二学期</w:t>
      </w:r>
    </w:p>
    <w:p w14:paraId="049167FC" w14:textId="77777777" w:rsidR="00E75FE1" w:rsidRPr="00E75FE1" w:rsidRDefault="00E75FE1" w:rsidP="00E75FE1">
      <w:pPr>
        <w:adjustRightInd w:val="0"/>
        <w:snapToGrid w:val="0"/>
        <w:spacing w:line="500" w:lineRule="exact"/>
        <w:jc w:val="center"/>
        <w:rPr>
          <w:rFonts w:ascii="宋体" w:eastAsia="宋体" w:hAnsi="Calibri" w:cs="Times New Roman"/>
          <w:b/>
          <w:kern w:val="0"/>
          <w:sz w:val="24"/>
        </w:rPr>
      </w:pPr>
      <w:r w:rsidRPr="00E75FE1">
        <w:rPr>
          <w:rFonts w:ascii="宋体" w:eastAsia="宋体" w:hAnsi="Calibri" w:cs="Times New Roman" w:hint="eastAsia"/>
          <w:b/>
          <w:kern w:val="0"/>
          <w:sz w:val="24"/>
        </w:rPr>
        <w:t>期中考试</w:t>
      </w:r>
    </w:p>
    <w:p w14:paraId="594ED1C3"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E75FE1">
        <w:rPr>
          <w:rFonts w:ascii="宋体" w:eastAsia="宋体" w:hAnsi="Calibri" w:cs="Times New Roman" w:hint="eastAsia"/>
          <w:b/>
          <w:color w:val="000000"/>
          <w:kern w:val="0"/>
          <w:sz w:val="24"/>
        </w:rPr>
        <w:t>1.课程考核目标:</w:t>
      </w:r>
      <w:r w:rsidRPr="00E75FE1">
        <w:rPr>
          <w:rFonts w:ascii="宋体" w:eastAsia="宋体" w:hAnsi="Calibri" w:cs="Times New Roman" w:hint="eastAsia"/>
          <w:bCs/>
          <w:color w:val="000000"/>
          <w:kern w:val="0"/>
          <w:sz w:val="24"/>
        </w:rPr>
        <w:t>通过考核乒乓球技术教学效果和学生掌握情况，让学生了解选项课内容和科学体育锻炼方式方法。</w:t>
      </w:r>
    </w:p>
    <w:p w14:paraId="3FD20DEA" w14:textId="77777777" w:rsidR="00E75FE1" w:rsidRPr="00E75FE1" w:rsidRDefault="00E75FE1" w:rsidP="00E75FE1">
      <w:pPr>
        <w:adjustRightInd w:val="0"/>
        <w:snapToGrid w:val="0"/>
        <w:spacing w:line="500" w:lineRule="exact"/>
        <w:ind w:firstLineChars="200" w:firstLine="482"/>
        <w:rPr>
          <w:rFonts w:ascii="宋体" w:eastAsia="宋体" w:hAnsi="Calibri" w:cs="Times New Roman"/>
          <w:bCs/>
          <w:color w:val="000000"/>
          <w:kern w:val="0"/>
          <w:sz w:val="24"/>
        </w:rPr>
      </w:pPr>
      <w:r w:rsidRPr="00E75FE1">
        <w:rPr>
          <w:rFonts w:ascii="宋体" w:eastAsia="宋体" w:hAnsi="Calibri" w:cs="Times New Roman" w:hint="eastAsia"/>
          <w:b/>
          <w:color w:val="000000"/>
          <w:kern w:val="0"/>
          <w:sz w:val="24"/>
        </w:rPr>
        <w:t>2.课程考核的内容：</w:t>
      </w:r>
      <w:r w:rsidRPr="00E75FE1">
        <w:rPr>
          <w:rFonts w:ascii="宋体" w:eastAsia="宋体" w:hAnsi="Calibri" w:cs="Times New Roman" w:hint="eastAsia"/>
          <w:bCs/>
          <w:color w:val="000000"/>
          <w:kern w:val="0"/>
          <w:sz w:val="24"/>
        </w:rPr>
        <w:t>一分钟推挡技术。</w:t>
      </w:r>
    </w:p>
    <w:p w14:paraId="786CAF4F"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E75FE1">
        <w:rPr>
          <w:rFonts w:ascii="宋体" w:eastAsia="宋体" w:hAnsi="宋体" w:cs="宋体" w:hint="eastAsia"/>
          <w:b/>
          <w:bCs/>
          <w:color w:val="000000"/>
          <w:sz w:val="24"/>
        </w:rPr>
        <w:t>3.课程考核方式：</w:t>
      </w:r>
      <w:r w:rsidRPr="00E75FE1">
        <w:rPr>
          <w:rFonts w:ascii="宋体" w:eastAsia="宋体" w:hAnsi="Calibri" w:cs="Times New Roman" w:hint="eastAsia"/>
          <w:bCs/>
          <w:kern w:val="0"/>
          <w:sz w:val="24"/>
        </w:rPr>
        <w:t>进行两轮次测试，取最好成绩。</w:t>
      </w:r>
    </w:p>
    <w:p w14:paraId="7C8E59B7"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宋体" w:cs="宋体"/>
          <w:color w:val="000000"/>
          <w:sz w:val="24"/>
        </w:rPr>
      </w:pPr>
      <w:r w:rsidRPr="00E75FE1">
        <w:rPr>
          <w:rFonts w:ascii="宋体" w:eastAsia="宋体" w:hAnsi="Calibri" w:cs="Times New Roman" w:hint="eastAsia"/>
          <w:b/>
          <w:color w:val="000000"/>
          <w:kern w:val="0"/>
          <w:sz w:val="24"/>
        </w:rPr>
        <w:t>4.成绩构成及分值：</w:t>
      </w:r>
      <w:r w:rsidRPr="00E75FE1">
        <w:rPr>
          <w:rFonts w:ascii="宋体" w:eastAsia="宋体" w:hAnsi="Calibri" w:cs="Times New Roman" w:hint="eastAsia"/>
          <w:bCs/>
          <w:color w:val="000000"/>
          <w:kern w:val="0"/>
          <w:sz w:val="24"/>
        </w:rPr>
        <w:t>数量及技术评定分值各为100分，各占总分值的50%，总分值为100分。</w:t>
      </w:r>
      <w:r w:rsidRPr="00E75FE1">
        <w:rPr>
          <w:rFonts w:ascii="宋体" w:eastAsia="宋体" w:hAnsi="宋体" w:cs="宋体" w:hint="eastAsia"/>
          <w:color w:val="000000"/>
          <w:sz w:val="24"/>
        </w:rPr>
        <w:t>一分钟20个推挡及格，50次满分。20个之内（含20次），1个3分，20个以上，1个2分。</w:t>
      </w:r>
    </w:p>
    <w:p w14:paraId="7C14B099"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Calibri" w:cs="Times New Roman"/>
          <w:b/>
          <w:color w:val="000000"/>
          <w:kern w:val="0"/>
          <w:sz w:val="24"/>
        </w:rPr>
      </w:pPr>
      <w:r w:rsidRPr="00E75FE1">
        <w:rPr>
          <w:rFonts w:ascii="宋体" w:eastAsia="宋体" w:hAnsi="Calibri" w:cs="Times New Roman" w:hint="eastAsia"/>
          <w:b/>
          <w:color w:val="000000"/>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704"/>
        <w:gridCol w:w="1605"/>
        <w:gridCol w:w="3430"/>
      </w:tblGrid>
      <w:tr w:rsidR="00E75FE1" w:rsidRPr="00E75FE1" w14:paraId="1D9B58EC" w14:textId="77777777" w:rsidTr="00375FAF">
        <w:tc>
          <w:tcPr>
            <w:tcW w:w="1704" w:type="dxa"/>
          </w:tcPr>
          <w:p w14:paraId="40C7C5CF"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技术分</w:t>
            </w:r>
          </w:p>
        </w:tc>
        <w:tc>
          <w:tcPr>
            <w:tcW w:w="1704" w:type="dxa"/>
          </w:tcPr>
          <w:p w14:paraId="4AFC6326"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五级制</w:t>
            </w:r>
          </w:p>
        </w:tc>
        <w:tc>
          <w:tcPr>
            <w:tcW w:w="1605" w:type="dxa"/>
          </w:tcPr>
          <w:p w14:paraId="4F74978C"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分值范围</w:t>
            </w:r>
          </w:p>
        </w:tc>
        <w:tc>
          <w:tcPr>
            <w:tcW w:w="3430" w:type="dxa"/>
          </w:tcPr>
          <w:p w14:paraId="46E6C188" w14:textId="77777777" w:rsidR="00E75FE1" w:rsidRPr="00E75FE1" w:rsidRDefault="00E75FE1" w:rsidP="00E75FE1">
            <w:pPr>
              <w:adjustRightInd w:val="0"/>
              <w:snapToGrid w:val="0"/>
              <w:spacing w:line="500" w:lineRule="exact"/>
              <w:ind w:firstLineChars="500" w:firstLine="1200"/>
              <w:rPr>
                <w:rFonts w:ascii="宋体" w:eastAsia="宋体" w:hAnsi="宋体" w:cs="宋体"/>
                <w:color w:val="000000"/>
                <w:sz w:val="24"/>
              </w:rPr>
            </w:pPr>
            <w:r w:rsidRPr="00E75FE1">
              <w:rPr>
                <w:rFonts w:ascii="宋体" w:eastAsia="宋体" w:hAnsi="宋体" w:cs="宋体" w:hint="eastAsia"/>
                <w:color w:val="000000"/>
                <w:sz w:val="24"/>
              </w:rPr>
              <w:t>备注</w:t>
            </w:r>
          </w:p>
        </w:tc>
      </w:tr>
      <w:tr w:rsidR="00E75FE1" w:rsidRPr="00E75FE1" w14:paraId="3CF21945" w14:textId="77777777" w:rsidTr="00375FAF">
        <w:tc>
          <w:tcPr>
            <w:tcW w:w="1704" w:type="dxa"/>
          </w:tcPr>
          <w:p w14:paraId="6BAF1964"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A</w:t>
            </w:r>
          </w:p>
        </w:tc>
        <w:tc>
          <w:tcPr>
            <w:tcW w:w="1704" w:type="dxa"/>
          </w:tcPr>
          <w:p w14:paraId="376E125B"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90-95</w:t>
            </w:r>
          </w:p>
        </w:tc>
        <w:tc>
          <w:tcPr>
            <w:tcW w:w="1605" w:type="dxa"/>
          </w:tcPr>
          <w:p w14:paraId="14C2FECF"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430" w:type="dxa"/>
          </w:tcPr>
          <w:p w14:paraId="17B60532"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姿势正确，动作优美、协调，</w:t>
            </w:r>
          </w:p>
        </w:tc>
      </w:tr>
      <w:tr w:rsidR="00E75FE1" w:rsidRPr="00E75FE1" w14:paraId="5B73C494" w14:textId="77777777" w:rsidTr="00375FAF">
        <w:tc>
          <w:tcPr>
            <w:tcW w:w="1704" w:type="dxa"/>
          </w:tcPr>
          <w:p w14:paraId="2EC03832"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B</w:t>
            </w:r>
          </w:p>
        </w:tc>
        <w:tc>
          <w:tcPr>
            <w:tcW w:w="1704" w:type="dxa"/>
          </w:tcPr>
          <w:p w14:paraId="1F389E9F"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80-89</w:t>
            </w:r>
          </w:p>
        </w:tc>
        <w:tc>
          <w:tcPr>
            <w:tcW w:w="1605" w:type="dxa"/>
          </w:tcPr>
          <w:p w14:paraId="5A2A060A"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430" w:type="dxa"/>
          </w:tcPr>
          <w:p w14:paraId="19368407"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姿势较正确，动作自然，</w:t>
            </w:r>
          </w:p>
        </w:tc>
      </w:tr>
      <w:tr w:rsidR="00E75FE1" w:rsidRPr="00E75FE1" w14:paraId="23CD8455" w14:textId="77777777" w:rsidTr="00375FAF">
        <w:tc>
          <w:tcPr>
            <w:tcW w:w="1704" w:type="dxa"/>
          </w:tcPr>
          <w:p w14:paraId="034938E9"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C</w:t>
            </w:r>
          </w:p>
        </w:tc>
        <w:tc>
          <w:tcPr>
            <w:tcW w:w="1704" w:type="dxa"/>
          </w:tcPr>
          <w:p w14:paraId="2B18FFA3"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70-79</w:t>
            </w:r>
          </w:p>
        </w:tc>
        <w:tc>
          <w:tcPr>
            <w:tcW w:w="1605" w:type="dxa"/>
          </w:tcPr>
          <w:p w14:paraId="7913E482"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430" w:type="dxa"/>
          </w:tcPr>
          <w:p w14:paraId="0B324D56"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姿势一般，动作基本正确，</w:t>
            </w:r>
          </w:p>
        </w:tc>
      </w:tr>
      <w:tr w:rsidR="00E75FE1" w:rsidRPr="00E75FE1" w14:paraId="628D6891" w14:textId="77777777" w:rsidTr="00375FAF">
        <w:tc>
          <w:tcPr>
            <w:tcW w:w="1704" w:type="dxa"/>
          </w:tcPr>
          <w:p w14:paraId="1E5A6B2D"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lastRenderedPageBreak/>
              <w:t>D</w:t>
            </w:r>
          </w:p>
        </w:tc>
        <w:tc>
          <w:tcPr>
            <w:tcW w:w="1704" w:type="dxa"/>
          </w:tcPr>
          <w:p w14:paraId="0DCE5CF7"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60-69</w:t>
            </w:r>
          </w:p>
        </w:tc>
        <w:tc>
          <w:tcPr>
            <w:tcW w:w="1605" w:type="dxa"/>
          </w:tcPr>
          <w:p w14:paraId="40D12B60"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430" w:type="dxa"/>
          </w:tcPr>
          <w:p w14:paraId="3379CBD5"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动作不协调，有多余动作，</w:t>
            </w:r>
          </w:p>
        </w:tc>
      </w:tr>
      <w:tr w:rsidR="00E75FE1" w:rsidRPr="00E75FE1" w14:paraId="4224EC3E" w14:textId="77777777" w:rsidTr="00375FAF">
        <w:tc>
          <w:tcPr>
            <w:tcW w:w="1704" w:type="dxa"/>
          </w:tcPr>
          <w:p w14:paraId="65F179BC"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E</w:t>
            </w:r>
          </w:p>
        </w:tc>
        <w:tc>
          <w:tcPr>
            <w:tcW w:w="1704" w:type="dxa"/>
          </w:tcPr>
          <w:p w14:paraId="7BD8132F"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60以下</w:t>
            </w:r>
          </w:p>
        </w:tc>
        <w:tc>
          <w:tcPr>
            <w:tcW w:w="1605" w:type="dxa"/>
          </w:tcPr>
          <w:p w14:paraId="2B64F5E0"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430" w:type="dxa"/>
          </w:tcPr>
          <w:p w14:paraId="5B395955"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动作僵硬，吃力，不协调</w:t>
            </w:r>
          </w:p>
        </w:tc>
      </w:tr>
    </w:tbl>
    <w:p w14:paraId="1D87E29D" w14:textId="77777777" w:rsidR="00E75FE1" w:rsidRPr="00E75FE1" w:rsidRDefault="00E75FE1" w:rsidP="00E75FE1">
      <w:pPr>
        <w:adjustRightInd w:val="0"/>
        <w:snapToGrid w:val="0"/>
        <w:spacing w:line="500" w:lineRule="exact"/>
        <w:rPr>
          <w:rFonts w:ascii="宋体" w:eastAsia="宋体" w:hAnsi="Calibri" w:cs="Times New Roman"/>
          <w:b/>
          <w:kern w:val="0"/>
          <w:sz w:val="24"/>
        </w:rPr>
      </w:pPr>
    </w:p>
    <w:p w14:paraId="010D5D95" w14:textId="77777777" w:rsidR="00E75FE1" w:rsidRPr="00E75FE1" w:rsidRDefault="00E75FE1" w:rsidP="00E75FE1">
      <w:pPr>
        <w:adjustRightInd w:val="0"/>
        <w:snapToGrid w:val="0"/>
        <w:spacing w:line="500" w:lineRule="exact"/>
        <w:jc w:val="center"/>
        <w:rPr>
          <w:rFonts w:ascii="宋体" w:eastAsia="宋体" w:hAnsi="Calibri" w:cs="Times New Roman"/>
          <w:b/>
          <w:kern w:val="0"/>
          <w:sz w:val="24"/>
        </w:rPr>
      </w:pPr>
      <w:r w:rsidRPr="00E75FE1">
        <w:rPr>
          <w:rFonts w:ascii="宋体" w:eastAsia="宋体" w:hAnsi="Calibri" w:cs="Times New Roman" w:hint="eastAsia"/>
          <w:b/>
          <w:kern w:val="0"/>
          <w:sz w:val="24"/>
        </w:rPr>
        <w:t>期末考试</w:t>
      </w:r>
    </w:p>
    <w:p w14:paraId="78CBC79C"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E75FE1">
        <w:rPr>
          <w:rFonts w:ascii="宋体" w:eastAsia="宋体" w:hAnsi="Calibri" w:cs="Times New Roman" w:hint="eastAsia"/>
          <w:b/>
          <w:color w:val="000000"/>
          <w:kern w:val="0"/>
          <w:sz w:val="24"/>
        </w:rPr>
        <w:t>1.课程考核目标:</w:t>
      </w:r>
      <w:r w:rsidRPr="00E75FE1">
        <w:rPr>
          <w:rFonts w:ascii="宋体" w:eastAsia="宋体" w:hAnsi="Calibri" w:cs="Times New Roman" w:hint="eastAsia"/>
          <w:bCs/>
          <w:color w:val="000000"/>
          <w:kern w:val="0"/>
          <w:sz w:val="24"/>
        </w:rPr>
        <w:t>通过考核乒乓球技术教学效果和学生掌握情况，让学生了解选项课内容和科学体育锻炼方式方法。</w:t>
      </w:r>
    </w:p>
    <w:p w14:paraId="3CB5AB80" w14:textId="77777777" w:rsidR="00E75FE1" w:rsidRPr="00E75FE1" w:rsidRDefault="00E75FE1" w:rsidP="00E75FE1">
      <w:pPr>
        <w:adjustRightInd w:val="0"/>
        <w:snapToGrid w:val="0"/>
        <w:spacing w:line="500" w:lineRule="exact"/>
        <w:ind w:firstLineChars="200" w:firstLine="482"/>
        <w:rPr>
          <w:rFonts w:ascii="宋体" w:eastAsia="宋体" w:hAnsi="Calibri" w:cs="Times New Roman"/>
          <w:bCs/>
          <w:color w:val="000000"/>
          <w:kern w:val="0"/>
          <w:sz w:val="24"/>
        </w:rPr>
      </w:pPr>
      <w:r w:rsidRPr="00E75FE1">
        <w:rPr>
          <w:rFonts w:ascii="宋体" w:eastAsia="宋体" w:hAnsi="Calibri" w:cs="Times New Roman" w:hint="eastAsia"/>
          <w:b/>
          <w:color w:val="000000"/>
          <w:kern w:val="0"/>
          <w:sz w:val="24"/>
        </w:rPr>
        <w:t>2.课程考核的内容：</w:t>
      </w:r>
      <w:r w:rsidRPr="00E75FE1">
        <w:rPr>
          <w:rFonts w:ascii="宋体" w:eastAsia="宋体" w:hAnsi="Calibri" w:cs="Times New Roman" w:hint="eastAsia"/>
          <w:bCs/>
          <w:color w:val="000000"/>
          <w:kern w:val="0"/>
          <w:sz w:val="24"/>
        </w:rPr>
        <w:t>推挡技术</w:t>
      </w:r>
    </w:p>
    <w:p w14:paraId="20812E3C" w14:textId="77777777" w:rsidR="00E75FE1" w:rsidRPr="00E75FE1" w:rsidRDefault="00E75FE1" w:rsidP="00E75FE1">
      <w:pPr>
        <w:adjustRightInd w:val="0"/>
        <w:snapToGrid w:val="0"/>
        <w:spacing w:line="500" w:lineRule="exact"/>
        <w:ind w:firstLineChars="200" w:firstLine="482"/>
        <w:rPr>
          <w:rFonts w:ascii="宋体" w:eastAsia="宋体" w:hAnsi="宋体" w:cs="宋体"/>
          <w:color w:val="000000"/>
          <w:sz w:val="24"/>
        </w:rPr>
      </w:pPr>
      <w:r w:rsidRPr="00E75FE1">
        <w:rPr>
          <w:rFonts w:ascii="宋体" w:eastAsia="宋体" w:hAnsi="宋体" w:cs="宋体" w:hint="eastAsia"/>
          <w:b/>
          <w:bCs/>
          <w:color w:val="000000"/>
          <w:sz w:val="24"/>
        </w:rPr>
        <w:t>3.课程考核方式：</w:t>
      </w:r>
      <w:r w:rsidRPr="00E75FE1">
        <w:rPr>
          <w:rFonts w:ascii="宋体" w:eastAsia="宋体" w:hAnsi="宋体" w:cs="宋体" w:hint="eastAsia"/>
          <w:color w:val="000000"/>
          <w:sz w:val="24"/>
        </w:rPr>
        <w:t>连续20个推挡及格，50次满分。20个之内（含20次），1个3分，20个以上，1个2分。</w:t>
      </w:r>
      <w:proofErr w:type="gramStart"/>
      <w:r w:rsidRPr="00E75FE1">
        <w:rPr>
          <w:rFonts w:ascii="宋体" w:eastAsia="宋体" w:hAnsi="宋体" w:cs="宋体" w:hint="eastAsia"/>
          <w:color w:val="000000"/>
          <w:sz w:val="24"/>
        </w:rPr>
        <w:t>不</w:t>
      </w:r>
      <w:proofErr w:type="gramEnd"/>
      <w:r w:rsidRPr="00E75FE1">
        <w:rPr>
          <w:rFonts w:ascii="宋体" w:eastAsia="宋体" w:hAnsi="宋体" w:cs="宋体" w:hint="eastAsia"/>
          <w:color w:val="000000"/>
          <w:sz w:val="24"/>
        </w:rPr>
        <w:t>限时间，三次机会，取成绩最好一次。</w:t>
      </w:r>
    </w:p>
    <w:p w14:paraId="16D77A62"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E75FE1">
        <w:rPr>
          <w:rFonts w:ascii="宋体" w:eastAsia="宋体" w:hAnsi="Calibri" w:cs="Times New Roman" w:hint="eastAsia"/>
          <w:b/>
          <w:color w:val="000000"/>
          <w:kern w:val="0"/>
          <w:sz w:val="24"/>
        </w:rPr>
        <w:t>4.成绩构成及分值：</w:t>
      </w:r>
      <w:r w:rsidRPr="00E75FE1">
        <w:rPr>
          <w:rFonts w:ascii="宋体" w:eastAsia="宋体" w:hAnsi="Calibri" w:cs="Times New Roman" w:hint="eastAsia"/>
          <w:bCs/>
          <w:color w:val="000000"/>
          <w:kern w:val="0"/>
          <w:sz w:val="24"/>
        </w:rPr>
        <w:t>数量及技术评定分值各为100分，各占总分值的50%，</w:t>
      </w:r>
    </w:p>
    <w:p w14:paraId="637EB91F" w14:textId="77777777" w:rsidR="00E75FE1" w:rsidRPr="00E75FE1" w:rsidRDefault="00E75FE1" w:rsidP="00E75FE1">
      <w:pPr>
        <w:autoSpaceDE w:val="0"/>
        <w:autoSpaceDN w:val="0"/>
        <w:adjustRightInd w:val="0"/>
        <w:snapToGrid w:val="0"/>
        <w:spacing w:line="500" w:lineRule="exact"/>
        <w:rPr>
          <w:rFonts w:ascii="宋体" w:eastAsia="宋体" w:hAnsi="Calibri" w:cs="Times New Roman"/>
          <w:bCs/>
          <w:color w:val="000000"/>
          <w:kern w:val="0"/>
          <w:sz w:val="24"/>
        </w:rPr>
      </w:pPr>
      <w:r w:rsidRPr="00E75FE1">
        <w:rPr>
          <w:rFonts w:ascii="宋体" w:eastAsia="宋体" w:hAnsi="Calibri" w:cs="Times New Roman" w:hint="eastAsia"/>
          <w:bCs/>
          <w:color w:val="000000"/>
          <w:kern w:val="0"/>
          <w:sz w:val="24"/>
        </w:rPr>
        <w:t>总分值为100分。</w:t>
      </w:r>
    </w:p>
    <w:p w14:paraId="0F90CAF5" w14:textId="77777777" w:rsidR="00E75FE1" w:rsidRPr="00E75FE1" w:rsidRDefault="00E75FE1" w:rsidP="00E75FE1">
      <w:pPr>
        <w:adjustRightInd w:val="0"/>
        <w:snapToGrid w:val="0"/>
        <w:spacing w:line="500" w:lineRule="exact"/>
        <w:ind w:firstLineChars="200" w:firstLine="482"/>
        <w:rPr>
          <w:rFonts w:ascii="宋体" w:eastAsia="宋体" w:hAnsi="Calibri" w:cs="Times New Roman"/>
          <w:bCs/>
          <w:kern w:val="0"/>
          <w:sz w:val="24"/>
        </w:rPr>
      </w:pPr>
      <w:r w:rsidRPr="00E75FE1">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E75FE1" w:rsidRPr="00E75FE1" w14:paraId="3084ADF8" w14:textId="77777777" w:rsidTr="00375FAF">
        <w:trPr>
          <w:jc w:val="center"/>
        </w:trPr>
        <w:tc>
          <w:tcPr>
            <w:tcW w:w="970" w:type="dxa"/>
          </w:tcPr>
          <w:p w14:paraId="40C6D3A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技术分</w:t>
            </w:r>
          </w:p>
        </w:tc>
        <w:tc>
          <w:tcPr>
            <w:tcW w:w="1183" w:type="dxa"/>
          </w:tcPr>
          <w:p w14:paraId="26B34FF1"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五级制</w:t>
            </w:r>
          </w:p>
        </w:tc>
        <w:tc>
          <w:tcPr>
            <w:tcW w:w="1341" w:type="dxa"/>
          </w:tcPr>
          <w:p w14:paraId="480E9DF4"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分值范围</w:t>
            </w:r>
          </w:p>
        </w:tc>
        <w:tc>
          <w:tcPr>
            <w:tcW w:w="3039" w:type="dxa"/>
          </w:tcPr>
          <w:p w14:paraId="73CE6577"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备注</w:t>
            </w:r>
          </w:p>
        </w:tc>
        <w:tc>
          <w:tcPr>
            <w:tcW w:w="1403" w:type="dxa"/>
          </w:tcPr>
          <w:p w14:paraId="50177F8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数目</w:t>
            </w:r>
          </w:p>
        </w:tc>
      </w:tr>
      <w:tr w:rsidR="00E75FE1" w:rsidRPr="00E75FE1" w14:paraId="319960F2" w14:textId="77777777" w:rsidTr="00375FAF">
        <w:trPr>
          <w:jc w:val="center"/>
        </w:trPr>
        <w:tc>
          <w:tcPr>
            <w:tcW w:w="970" w:type="dxa"/>
          </w:tcPr>
          <w:p w14:paraId="6D12DEF4"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A</w:t>
            </w:r>
          </w:p>
        </w:tc>
        <w:tc>
          <w:tcPr>
            <w:tcW w:w="1183" w:type="dxa"/>
          </w:tcPr>
          <w:p w14:paraId="08002B02"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优</w:t>
            </w:r>
          </w:p>
        </w:tc>
        <w:tc>
          <w:tcPr>
            <w:tcW w:w="1341" w:type="dxa"/>
          </w:tcPr>
          <w:p w14:paraId="097EA2A7"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90—95</w:t>
            </w:r>
          </w:p>
        </w:tc>
        <w:tc>
          <w:tcPr>
            <w:tcW w:w="3039" w:type="dxa"/>
          </w:tcPr>
          <w:p w14:paraId="5A32999D"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姿势正确，动作优美、协调，</w:t>
            </w:r>
          </w:p>
        </w:tc>
        <w:tc>
          <w:tcPr>
            <w:tcW w:w="1403" w:type="dxa"/>
          </w:tcPr>
          <w:p w14:paraId="623BF7A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10</w:t>
            </w:r>
          </w:p>
        </w:tc>
      </w:tr>
      <w:tr w:rsidR="00E75FE1" w:rsidRPr="00E75FE1" w14:paraId="4333AEEF" w14:textId="77777777" w:rsidTr="00375FAF">
        <w:trPr>
          <w:jc w:val="center"/>
        </w:trPr>
        <w:tc>
          <w:tcPr>
            <w:tcW w:w="970" w:type="dxa"/>
          </w:tcPr>
          <w:p w14:paraId="6428E71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B</w:t>
            </w:r>
          </w:p>
        </w:tc>
        <w:tc>
          <w:tcPr>
            <w:tcW w:w="1183" w:type="dxa"/>
          </w:tcPr>
          <w:p w14:paraId="10378DD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良好</w:t>
            </w:r>
          </w:p>
        </w:tc>
        <w:tc>
          <w:tcPr>
            <w:tcW w:w="1341" w:type="dxa"/>
          </w:tcPr>
          <w:p w14:paraId="3E495B6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80—89</w:t>
            </w:r>
          </w:p>
        </w:tc>
        <w:tc>
          <w:tcPr>
            <w:tcW w:w="3039" w:type="dxa"/>
          </w:tcPr>
          <w:p w14:paraId="1F455B2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姿势较正确，动作自然，</w:t>
            </w:r>
          </w:p>
        </w:tc>
        <w:tc>
          <w:tcPr>
            <w:tcW w:w="1403" w:type="dxa"/>
          </w:tcPr>
          <w:p w14:paraId="42C60ED4"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9</w:t>
            </w:r>
          </w:p>
        </w:tc>
      </w:tr>
      <w:tr w:rsidR="00E75FE1" w:rsidRPr="00E75FE1" w14:paraId="2B77BF53" w14:textId="77777777" w:rsidTr="00375FAF">
        <w:trPr>
          <w:jc w:val="center"/>
        </w:trPr>
        <w:tc>
          <w:tcPr>
            <w:tcW w:w="970" w:type="dxa"/>
          </w:tcPr>
          <w:p w14:paraId="30CAF17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C</w:t>
            </w:r>
          </w:p>
        </w:tc>
        <w:tc>
          <w:tcPr>
            <w:tcW w:w="1183" w:type="dxa"/>
          </w:tcPr>
          <w:p w14:paraId="749D8E75"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良</w:t>
            </w:r>
          </w:p>
        </w:tc>
        <w:tc>
          <w:tcPr>
            <w:tcW w:w="1341" w:type="dxa"/>
          </w:tcPr>
          <w:p w14:paraId="5B6F1BD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70—79</w:t>
            </w:r>
          </w:p>
        </w:tc>
        <w:tc>
          <w:tcPr>
            <w:tcW w:w="3039" w:type="dxa"/>
          </w:tcPr>
          <w:p w14:paraId="508C9C6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姿势一般，动作基本正确，</w:t>
            </w:r>
          </w:p>
        </w:tc>
        <w:tc>
          <w:tcPr>
            <w:tcW w:w="1403" w:type="dxa"/>
          </w:tcPr>
          <w:p w14:paraId="3D59720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8</w:t>
            </w:r>
          </w:p>
        </w:tc>
      </w:tr>
      <w:tr w:rsidR="00E75FE1" w:rsidRPr="00E75FE1" w14:paraId="39DF56CA" w14:textId="77777777" w:rsidTr="00375FAF">
        <w:trPr>
          <w:jc w:val="center"/>
        </w:trPr>
        <w:tc>
          <w:tcPr>
            <w:tcW w:w="970" w:type="dxa"/>
          </w:tcPr>
          <w:p w14:paraId="2BF38BA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D</w:t>
            </w:r>
          </w:p>
        </w:tc>
        <w:tc>
          <w:tcPr>
            <w:tcW w:w="1183" w:type="dxa"/>
          </w:tcPr>
          <w:p w14:paraId="3941377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及格</w:t>
            </w:r>
          </w:p>
        </w:tc>
        <w:tc>
          <w:tcPr>
            <w:tcW w:w="1341" w:type="dxa"/>
          </w:tcPr>
          <w:p w14:paraId="15FAD4F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60—69</w:t>
            </w:r>
          </w:p>
        </w:tc>
        <w:tc>
          <w:tcPr>
            <w:tcW w:w="3039" w:type="dxa"/>
          </w:tcPr>
          <w:p w14:paraId="52C8A254"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动作不协调，有多余动作，</w:t>
            </w:r>
          </w:p>
        </w:tc>
        <w:tc>
          <w:tcPr>
            <w:tcW w:w="1403" w:type="dxa"/>
          </w:tcPr>
          <w:p w14:paraId="76085CDC"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7</w:t>
            </w:r>
          </w:p>
        </w:tc>
      </w:tr>
      <w:tr w:rsidR="00E75FE1" w:rsidRPr="00E75FE1" w14:paraId="0C9676C9" w14:textId="77777777" w:rsidTr="00375FAF">
        <w:trPr>
          <w:jc w:val="center"/>
        </w:trPr>
        <w:tc>
          <w:tcPr>
            <w:tcW w:w="970" w:type="dxa"/>
          </w:tcPr>
          <w:p w14:paraId="48114864"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E</w:t>
            </w:r>
          </w:p>
        </w:tc>
        <w:tc>
          <w:tcPr>
            <w:tcW w:w="1183" w:type="dxa"/>
          </w:tcPr>
          <w:p w14:paraId="5A130955"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不及格</w:t>
            </w:r>
          </w:p>
        </w:tc>
        <w:tc>
          <w:tcPr>
            <w:tcW w:w="1341" w:type="dxa"/>
          </w:tcPr>
          <w:p w14:paraId="2759D60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60以下</w:t>
            </w:r>
          </w:p>
        </w:tc>
        <w:tc>
          <w:tcPr>
            <w:tcW w:w="3039" w:type="dxa"/>
          </w:tcPr>
          <w:p w14:paraId="3C747D5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动作僵硬，吃力，不协调</w:t>
            </w:r>
          </w:p>
        </w:tc>
        <w:tc>
          <w:tcPr>
            <w:tcW w:w="1403" w:type="dxa"/>
          </w:tcPr>
          <w:p w14:paraId="5BF978A7"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w:t>
            </w:r>
          </w:p>
        </w:tc>
      </w:tr>
    </w:tbl>
    <w:p w14:paraId="0357C7E0"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第三学期</w:t>
      </w:r>
    </w:p>
    <w:p w14:paraId="599BA175" w14:textId="77777777" w:rsidR="00E75FE1" w:rsidRPr="00E75FE1" w:rsidRDefault="00E75FE1" w:rsidP="00E75FE1">
      <w:pPr>
        <w:autoSpaceDE w:val="0"/>
        <w:autoSpaceDN w:val="0"/>
        <w:adjustRightInd w:val="0"/>
        <w:snapToGrid w:val="0"/>
        <w:spacing w:line="500" w:lineRule="exact"/>
        <w:ind w:firstLineChars="1300" w:firstLine="3132"/>
        <w:rPr>
          <w:rFonts w:ascii="宋体" w:eastAsia="宋体" w:hAnsi="Calibri" w:cs="Times New Roman"/>
          <w:b/>
          <w:color w:val="000000"/>
          <w:kern w:val="0"/>
          <w:sz w:val="24"/>
        </w:rPr>
      </w:pPr>
      <w:r w:rsidRPr="00E75FE1">
        <w:rPr>
          <w:rFonts w:ascii="宋体" w:eastAsia="宋体" w:hAnsi="Calibri" w:cs="Times New Roman" w:hint="eastAsia"/>
          <w:b/>
          <w:color w:val="000000"/>
          <w:kern w:val="0"/>
          <w:sz w:val="24"/>
        </w:rPr>
        <w:t>期中考试</w:t>
      </w:r>
    </w:p>
    <w:p w14:paraId="428DF17A"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E75FE1">
        <w:rPr>
          <w:rFonts w:ascii="宋体" w:eastAsia="宋体" w:hAnsi="Calibri" w:cs="Times New Roman" w:hint="eastAsia"/>
          <w:b/>
          <w:color w:val="000000"/>
          <w:kern w:val="0"/>
          <w:sz w:val="24"/>
        </w:rPr>
        <w:t>1.课程考核目标:</w:t>
      </w:r>
      <w:r w:rsidRPr="00E75FE1">
        <w:rPr>
          <w:rFonts w:ascii="宋体" w:eastAsia="宋体" w:hAnsi="Calibri" w:cs="Times New Roman" w:hint="eastAsia"/>
          <w:bCs/>
          <w:color w:val="000000"/>
          <w:kern w:val="0"/>
          <w:sz w:val="24"/>
        </w:rPr>
        <w:t>通过考核检验乒乓球技术教学效果和学生掌握情况，让学生了解选项课内容和科学体育锻炼方式方法。</w:t>
      </w:r>
    </w:p>
    <w:p w14:paraId="5A75A558" w14:textId="77777777" w:rsidR="00E75FE1" w:rsidRPr="00E75FE1" w:rsidRDefault="00E75FE1" w:rsidP="00E75FE1">
      <w:pPr>
        <w:adjustRightInd w:val="0"/>
        <w:snapToGrid w:val="0"/>
        <w:spacing w:line="500" w:lineRule="exact"/>
        <w:ind w:firstLineChars="200" w:firstLine="482"/>
        <w:rPr>
          <w:rFonts w:ascii="宋体" w:eastAsia="宋体" w:hAnsi="宋体" w:cs="宋体"/>
          <w:color w:val="000000"/>
          <w:sz w:val="24"/>
        </w:rPr>
      </w:pPr>
      <w:r w:rsidRPr="00E75FE1">
        <w:rPr>
          <w:rFonts w:ascii="宋体" w:eastAsia="宋体" w:hAnsi="Calibri" w:cs="Times New Roman" w:hint="eastAsia"/>
          <w:b/>
          <w:color w:val="000000"/>
          <w:kern w:val="0"/>
          <w:sz w:val="24"/>
        </w:rPr>
        <w:t>2.课程考核的内容：</w:t>
      </w:r>
      <w:r w:rsidRPr="00E75FE1">
        <w:rPr>
          <w:rFonts w:ascii="宋体" w:eastAsia="宋体" w:hAnsi="宋体" w:cs="宋体" w:hint="eastAsia"/>
          <w:color w:val="000000"/>
          <w:sz w:val="24"/>
        </w:rPr>
        <w:t>正手攻球技术。</w:t>
      </w:r>
    </w:p>
    <w:p w14:paraId="6E54FA81"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Calibri" w:cs="Times New Roman"/>
          <w:b/>
          <w:color w:val="000000"/>
          <w:kern w:val="0"/>
          <w:sz w:val="24"/>
        </w:rPr>
      </w:pPr>
      <w:r w:rsidRPr="00E75FE1">
        <w:rPr>
          <w:rFonts w:ascii="宋体" w:eastAsia="宋体" w:hAnsi="Calibri" w:cs="Times New Roman" w:hint="eastAsia"/>
          <w:b/>
          <w:color w:val="000000"/>
          <w:kern w:val="0"/>
          <w:sz w:val="24"/>
        </w:rPr>
        <w:lastRenderedPageBreak/>
        <w:t>3.课程考核方式：</w:t>
      </w:r>
      <w:r w:rsidRPr="00E75FE1">
        <w:rPr>
          <w:rFonts w:ascii="宋体" w:eastAsia="宋体" w:hAnsi="Calibri" w:cs="Times New Roman" w:hint="eastAsia"/>
          <w:bCs/>
          <w:kern w:val="0"/>
          <w:sz w:val="24"/>
        </w:rPr>
        <w:t>进行两轮次测试，取最好成绩。</w:t>
      </w:r>
    </w:p>
    <w:p w14:paraId="4D1B2963"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宋体" w:cs="宋体"/>
          <w:color w:val="000000"/>
          <w:sz w:val="24"/>
        </w:rPr>
      </w:pPr>
      <w:r w:rsidRPr="00E75FE1">
        <w:rPr>
          <w:rFonts w:ascii="宋体" w:eastAsia="宋体" w:hAnsi="Calibri" w:cs="Times New Roman" w:hint="eastAsia"/>
          <w:b/>
          <w:color w:val="000000"/>
          <w:kern w:val="0"/>
          <w:sz w:val="24"/>
        </w:rPr>
        <w:t>4.成绩构成及分值：</w:t>
      </w:r>
      <w:r w:rsidRPr="00E75FE1">
        <w:rPr>
          <w:rFonts w:ascii="宋体" w:eastAsia="宋体" w:hAnsi="Calibri" w:cs="Times New Roman" w:hint="eastAsia"/>
          <w:bCs/>
          <w:color w:val="000000"/>
          <w:kern w:val="0"/>
          <w:sz w:val="24"/>
        </w:rPr>
        <w:t>数量及技术评定分值各为100分，各占总分值的50%，总分值为100分。</w:t>
      </w:r>
      <w:r w:rsidRPr="00E75FE1">
        <w:rPr>
          <w:rFonts w:ascii="宋体" w:eastAsia="宋体" w:hAnsi="宋体" w:cs="宋体" w:hint="eastAsia"/>
          <w:color w:val="000000"/>
          <w:sz w:val="24"/>
        </w:rPr>
        <w:t>连续20个正手攻球及格，40次满分，20个之内（含10次），1个3分，20个以上，1个2分，</w:t>
      </w:r>
      <w:proofErr w:type="gramStart"/>
      <w:r w:rsidRPr="00E75FE1">
        <w:rPr>
          <w:rFonts w:ascii="宋体" w:eastAsia="宋体" w:hAnsi="宋体" w:cs="宋体" w:hint="eastAsia"/>
          <w:color w:val="000000"/>
          <w:sz w:val="24"/>
        </w:rPr>
        <w:t>不</w:t>
      </w:r>
      <w:proofErr w:type="gramEnd"/>
      <w:r w:rsidRPr="00E75FE1">
        <w:rPr>
          <w:rFonts w:ascii="宋体" w:eastAsia="宋体" w:hAnsi="宋体" w:cs="宋体" w:hint="eastAsia"/>
          <w:color w:val="000000"/>
          <w:sz w:val="24"/>
        </w:rPr>
        <w:t>限时间。</w:t>
      </w:r>
    </w:p>
    <w:p w14:paraId="260FA4FE"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Calibri" w:cs="Times New Roman"/>
          <w:b/>
          <w:bCs/>
          <w:color w:val="000000"/>
          <w:kern w:val="0"/>
          <w:sz w:val="24"/>
        </w:rPr>
      </w:pPr>
      <w:r w:rsidRPr="00E75FE1">
        <w:rPr>
          <w:rFonts w:ascii="宋体" w:eastAsia="宋体" w:hAnsi="宋体" w:cs="宋体" w:hint="eastAsia"/>
          <w:b/>
          <w:bCs/>
          <w:color w:val="000000"/>
          <w:sz w:val="24"/>
        </w:rPr>
        <w:t>5</w:t>
      </w:r>
      <w:r w:rsidRPr="00E75FE1">
        <w:rPr>
          <w:rFonts w:ascii="宋体" w:eastAsia="宋体" w:hAnsi="Calibri" w:cs="Times New Roman" w:hint="eastAsia"/>
          <w:b/>
          <w:bCs/>
          <w:color w:val="000000"/>
          <w:kern w:val="0"/>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704"/>
        <w:gridCol w:w="1704"/>
        <w:gridCol w:w="3331"/>
      </w:tblGrid>
      <w:tr w:rsidR="00E75FE1" w:rsidRPr="00E75FE1" w14:paraId="135C7383" w14:textId="77777777" w:rsidTr="00375FAF">
        <w:tc>
          <w:tcPr>
            <w:tcW w:w="1704" w:type="dxa"/>
          </w:tcPr>
          <w:p w14:paraId="41395893"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技术分</w:t>
            </w:r>
          </w:p>
        </w:tc>
        <w:tc>
          <w:tcPr>
            <w:tcW w:w="1704" w:type="dxa"/>
          </w:tcPr>
          <w:p w14:paraId="5007D100"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五级制</w:t>
            </w:r>
          </w:p>
        </w:tc>
        <w:tc>
          <w:tcPr>
            <w:tcW w:w="1704" w:type="dxa"/>
          </w:tcPr>
          <w:p w14:paraId="56E9BF6C"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分值范围</w:t>
            </w:r>
          </w:p>
        </w:tc>
        <w:tc>
          <w:tcPr>
            <w:tcW w:w="3331" w:type="dxa"/>
          </w:tcPr>
          <w:p w14:paraId="60616494" w14:textId="77777777" w:rsidR="00E75FE1" w:rsidRPr="00E75FE1" w:rsidRDefault="00E75FE1" w:rsidP="00E75FE1">
            <w:pPr>
              <w:adjustRightInd w:val="0"/>
              <w:snapToGrid w:val="0"/>
              <w:spacing w:line="500" w:lineRule="exact"/>
              <w:ind w:firstLineChars="500" w:firstLine="1200"/>
              <w:rPr>
                <w:rFonts w:ascii="宋体" w:eastAsia="宋体" w:hAnsi="宋体" w:cs="宋体"/>
                <w:color w:val="000000"/>
                <w:sz w:val="24"/>
              </w:rPr>
            </w:pPr>
            <w:r w:rsidRPr="00E75FE1">
              <w:rPr>
                <w:rFonts w:ascii="宋体" w:eastAsia="宋体" w:hAnsi="宋体" w:cs="宋体" w:hint="eastAsia"/>
                <w:color w:val="000000"/>
                <w:sz w:val="24"/>
              </w:rPr>
              <w:t>备注</w:t>
            </w:r>
          </w:p>
        </w:tc>
      </w:tr>
      <w:tr w:rsidR="00E75FE1" w:rsidRPr="00E75FE1" w14:paraId="72EA0DA8" w14:textId="77777777" w:rsidTr="00375FAF">
        <w:tc>
          <w:tcPr>
            <w:tcW w:w="1704" w:type="dxa"/>
          </w:tcPr>
          <w:p w14:paraId="5CC811B9"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A</w:t>
            </w:r>
          </w:p>
        </w:tc>
        <w:tc>
          <w:tcPr>
            <w:tcW w:w="1704" w:type="dxa"/>
          </w:tcPr>
          <w:p w14:paraId="025CDBB3"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90-95</w:t>
            </w:r>
          </w:p>
        </w:tc>
        <w:tc>
          <w:tcPr>
            <w:tcW w:w="1704" w:type="dxa"/>
          </w:tcPr>
          <w:p w14:paraId="3F650E4F"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331" w:type="dxa"/>
          </w:tcPr>
          <w:p w14:paraId="22E2D3F4"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姿势正确，动作优美、协调，</w:t>
            </w:r>
          </w:p>
        </w:tc>
      </w:tr>
      <w:tr w:rsidR="00E75FE1" w:rsidRPr="00E75FE1" w14:paraId="586B73EC" w14:textId="77777777" w:rsidTr="00375FAF">
        <w:tc>
          <w:tcPr>
            <w:tcW w:w="1704" w:type="dxa"/>
          </w:tcPr>
          <w:p w14:paraId="181AD3F4"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B</w:t>
            </w:r>
          </w:p>
        </w:tc>
        <w:tc>
          <w:tcPr>
            <w:tcW w:w="1704" w:type="dxa"/>
          </w:tcPr>
          <w:p w14:paraId="5841FD19"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80-89</w:t>
            </w:r>
          </w:p>
        </w:tc>
        <w:tc>
          <w:tcPr>
            <w:tcW w:w="1704" w:type="dxa"/>
          </w:tcPr>
          <w:p w14:paraId="76979087"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331" w:type="dxa"/>
          </w:tcPr>
          <w:p w14:paraId="2F909330"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姿势较正确，动作自然，</w:t>
            </w:r>
          </w:p>
        </w:tc>
      </w:tr>
      <w:tr w:rsidR="00E75FE1" w:rsidRPr="00E75FE1" w14:paraId="0CCCA4AE" w14:textId="77777777" w:rsidTr="00375FAF">
        <w:tc>
          <w:tcPr>
            <w:tcW w:w="1704" w:type="dxa"/>
          </w:tcPr>
          <w:p w14:paraId="2D4B1C9F"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C</w:t>
            </w:r>
          </w:p>
        </w:tc>
        <w:tc>
          <w:tcPr>
            <w:tcW w:w="1704" w:type="dxa"/>
          </w:tcPr>
          <w:p w14:paraId="3595CB37"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70-79</w:t>
            </w:r>
          </w:p>
        </w:tc>
        <w:tc>
          <w:tcPr>
            <w:tcW w:w="1704" w:type="dxa"/>
          </w:tcPr>
          <w:p w14:paraId="4EA1D372"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331" w:type="dxa"/>
          </w:tcPr>
          <w:p w14:paraId="3139ADC8"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姿势一般，动作基本正确，</w:t>
            </w:r>
          </w:p>
        </w:tc>
      </w:tr>
      <w:tr w:rsidR="00E75FE1" w:rsidRPr="00E75FE1" w14:paraId="17C03518" w14:textId="77777777" w:rsidTr="00375FAF">
        <w:tc>
          <w:tcPr>
            <w:tcW w:w="1704" w:type="dxa"/>
          </w:tcPr>
          <w:p w14:paraId="21D66494"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D</w:t>
            </w:r>
          </w:p>
        </w:tc>
        <w:tc>
          <w:tcPr>
            <w:tcW w:w="1704" w:type="dxa"/>
          </w:tcPr>
          <w:p w14:paraId="38DD528A"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60-69</w:t>
            </w:r>
          </w:p>
        </w:tc>
        <w:tc>
          <w:tcPr>
            <w:tcW w:w="1704" w:type="dxa"/>
          </w:tcPr>
          <w:p w14:paraId="1DB44AA2"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331" w:type="dxa"/>
          </w:tcPr>
          <w:p w14:paraId="289FDBCE"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动作不协调，有多余动作，</w:t>
            </w:r>
          </w:p>
        </w:tc>
      </w:tr>
      <w:tr w:rsidR="00E75FE1" w:rsidRPr="00E75FE1" w14:paraId="10868B60" w14:textId="77777777" w:rsidTr="00375FAF">
        <w:tc>
          <w:tcPr>
            <w:tcW w:w="1704" w:type="dxa"/>
          </w:tcPr>
          <w:p w14:paraId="43C1A998"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E</w:t>
            </w:r>
          </w:p>
        </w:tc>
        <w:tc>
          <w:tcPr>
            <w:tcW w:w="1704" w:type="dxa"/>
          </w:tcPr>
          <w:p w14:paraId="7793F7D1"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60以下</w:t>
            </w:r>
          </w:p>
        </w:tc>
        <w:tc>
          <w:tcPr>
            <w:tcW w:w="1704" w:type="dxa"/>
          </w:tcPr>
          <w:p w14:paraId="029717B2"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331" w:type="dxa"/>
          </w:tcPr>
          <w:p w14:paraId="7974CA6C"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动作僵硬，吃力，不协调</w:t>
            </w:r>
          </w:p>
        </w:tc>
      </w:tr>
    </w:tbl>
    <w:p w14:paraId="149D88EA" w14:textId="77777777" w:rsidR="00E75FE1" w:rsidRPr="00E75FE1" w:rsidRDefault="00E75FE1" w:rsidP="00E75FE1">
      <w:pPr>
        <w:adjustRightInd w:val="0"/>
        <w:snapToGrid w:val="0"/>
        <w:spacing w:line="500" w:lineRule="exact"/>
        <w:ind w:firstLineChars="1600" w:firstLine="3855"/>
        <w:rPr>
          <w:rFonts w:ascii="宋体" w:eastAsia="宋体" w:hAnsi="宋体" w:cs="宋体"/>
          <w:b/>
          <w:bCs/>
          <w:color w:val="000000"/>
          <w:sz w:val="24"/>
        </w:rPr>
      </w:pPr>
      <w:r w:rsidRPr="00E75FE1">
        <w:rPr>
          <w:rFonts w:ascii="宋体" w:eastAsia="宋体" w:hAnsi="宋体" w:cs="宋体" w:hint="eastAsia"/>
          <w:b/>
          <w:bCs/>
          <w:color w:val="000000"/>
          <w:sz w:val="24"/>
        </w:rPr>
        <w:t>期末考试</w:t>
      </w:r>
    </w:p>
    <w:p w14:paraId="7A9A44D5"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E75FE1">
        <w:rPr>
          <w:rFonts w:ascii="宋体" w:eastAsia="宋体" w:hAnsi="Calibri" w:cs="Times New Roman" w:hint="eastAsia"/>
          <w:b/>
          <w:color w:val="000000"/>
          <w:kern w:val="0"/>
          <w:sz w:val="24"/>
        </w:rPr>
        <w:t>1.课程考核目标:</w:t>
      </w:r>
      <w:r w:rsidRPr="00E75FE1">
        <w:rPr>
          <w:rFonts w:ascii="宋体" w:eastAsia="宋体" w:hAnsi="Calibri" w:cs="Times New Roman" w:hint="eastAsia"/>
          <w:bCs/>
          <w:color w:val="000000"/>
          <w:kern w:val="0"/>
          <w:sz w:val="24"/>
        </w:rPr>
        <w:t>通过考核检验乒乓球技术教学效果和学生掌握情况，让学生了解选项课内容和科学体育锻炼方式方法。</w:t>
      </w:r>
    </w:p>
    <w:p w14:paraId="0B4F98B1" w14:textId="77777777" w:rsidR="00E75FE1" w:rsidRPr="00E75FE1" w:rsidRDefault="00E75FE1" w:rsidP="00E75FE1">
      <w:pPr>
        <w:adjustRightInd w:val="0"/>
        <w:snapToGrid w:val="0"/>
        <w:spacing w:line="500" w:lineRule="exact"/>
        <w:ind w:firstLineChars="200" w:firstLine="482"/>
        <w:rPr>
          <w:rFonts w:ascii="宋体" w:eastAsia="宋体" w:hAnsi="宋体" w:cs="宋体"/>
          <w:color w:val="000000"/>
          <w:sz w:val="24"/>
        </w:rPr>
      </w:pPr>
      <w:r w:rsidRPr="00E75FE1">
        <w:rPr>
          <w:rFonts w:ascii="宋体" w:eastAsia="宋体" w:hAnsi="Calibri" w:cs="Times New Roman" w:hint="eastAsia"/>
          <w:b/>
          <w:color w:val="000000"/>
          <w:kern w:val="0"/>
          <w:sz w:val="24"/>
        </w:rPr>
        <w:t>2.课程考核的内容：</w:t>
      </w:r>
      <w:r w:rsidRPr="00E75FE1">
        <w:rPr>
          <w:rFonts w:ascii="宋体" w:eastAsia="宋体" w:hAnsi="宋体" w:cs="宋体" w:hint="eastAsia"/>
          <w:color w:val="000000"/>
          <w:sz w:val="24"/>
        </w:rPr>
        <w:t>反手搓球技术。</w:t>
      </w:r>
    </w:p>
    <w:p w14:paraId="07A174C7"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Calibri" w:cs="Times New Roman"/>
          <w:b/>
          <w:color w:val="000000"/>
          <w:kern w:val="0"/>
          <w:sz w:val="24"/>
        </w:rPr>
      </w:pPr>
      <w:r w:rsidRPr="00E75FE1">
        <w:rPr>
          <w:rFonts w:ascii="宋体" w:eastAsia="宋体" w:hAnsi="Calibri" w:cs="Times New Roman" w:hint="eastAsia"/>
          <w:b/>
          <w:color w:val="000000"/>
          <w:kern w:val="0"/>
          <w:sz w:val="24"/>
        </w:rPr>
        <w:t>3.课程考核方式：</w:t>
      </w:r>
      <w:r w:rsidRPr="00E75FE1">
        <w:rPr>
          <w:rFonts w:ascii="宋体" w:eastAsia="宋体" w:hAnsi="Calibri" w:cs="Times New Roman" w:hint="eastAsia"/>
          <w:bCs/>
          <w:kern w:val="0"/>
          <w:sz w:val="24"/>
        </w:rPr>
        <w:t>进行两轮次测试，取最好成绩。</w:t>
      </w:r>
    </w:p>
    <w:p w14:paraId="5809ABCA"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宋体" w:cs="宋体"/>
          <w:color w:val="000000"/>
          <w:sz w:val="24"/>
        </w:rPr>
      </w:pPr>
      <w:r w:rsidRPr="00E75FE1">
        <w:rPr>
          <w:rFonts w:ascii="宋体" w:eastAsia="宋体" w:hAnsi="Calibri" w:cs="Times New Roman" w:hint="eastAsia"/>
          <w:b/>
          <w:color w:val="000000"/>
          <w:kern w:val="0"/>
          <w:sz w:val="24"/>
        </w:rPr>
        <w:t>4.成绩构成及分值：</w:t>
      </w:r>
      <w:r w:rsidRPr="00E75FE1">
        <w:rPr>
          <w:rFonts w:ascii="宋体" w:eastAsia="宋体" w:hAnsi="Calibri" w:cs="Times New Roman" w:hint="eastAsia"/>
          <w:bCs/>
          <w:color w:val="000000"/>
          <w:kern w:val="0"/>
          <w:sz w:val="24"/>
        </w:rPr>
        <w:t>数量及技术评定分值各为100分，各占总分值的50%，总分值为100分。</w:t>
      </w:r>
      <w:r w:rsidRPr="00E75FE1">
        <w:rPr>
          <w:rFonts w:ascii="宋体" w:eastAsia="宋体" w:hAnsi="宋体" w:cs="宋体" w:hint="eastAsia"/>
          <w:color w:val="000000"/>
          <w:sz w:val="24"/>
        </w:rPr>
        <w:t>连续搓球30个满分，10个及格，10个之内（含10次），1个6分，10个以上，1个2分，</w:t>
      </w:r>
      <w:proofErr w:type="gramStart"/>
      <w:r w:rsidRPr="00E75FE1">
        <w:rPr>
          <w:rFonts w:ascii="宋体" w:eastAsia="宋体" w:hAnsi="宋体" w:cs="宋体" w:hint="eastAsia"/>
          <w:color w:val="000000"/>
          <w:sz w:val="24"/>
        </w:rPr>
        <w:t>不</w:t>
      </w:r>
      <w:proofErr w:type="gramEnd"/>
      <w:r w:rsidRPr="00E75FE1">
        <w:rPr>
          <w:rFonts w:ascii="宋体" w:eastAsia="宋体" w:hAnsi="宋体" w:cs="宋体" w:hint="eastAsia"/>
          <w:color w:val="000000"/>
          <w:sz w:val="24"/>
        </w:rPr>
        <w:t>限时间。</w:t>
      </w:r>
    </w:p>
    <w:p w14:paraId="061058C0"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宋体" w:cs="宋体"/>
          <w:b/>
          <w:color w:val="000000"/>
          <w:sz w:val="24"/>
        </w:rPr>
      </w:pPr>
      <w:r w:rsidRPr="00E75FE1">
        <w:rPr>
          <w:rFonts w:ascii="宋体" w:eastAsia="宋体" w:hAnsi="Calibri" w:cs="Times New Roman" w:hint="eastAsia"/>
          <w:b/>
          <w:color w:val="000000"/>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704"/>
        <w:gridCol w:w="1704"/>
        <w:gridCol w:w="3331"/>
      </w:tblGrid>
      <w:tr w:rsidR="00E75FE1" w:rsidRPr="00E75FE1" w14:paraId="493DF0A7" w14:textId="77777777" w:rsidTr="00375FAF">
        <w:tc>
          <w:tcPr>
            <w:tcW w:w="1704" w:type="dxa"/>
          </w:tcPr>
          <w:p w14:paraId="3C297499"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技术分</w:t>
            </w:r>
          </w:p>
        </w:tc>
        <w:tc>
          <w:tcPr>
            <w:tcW w:w="1704" w:type="dxa"/>
          </w:tcPr>
          <w:p w14:paraId="1D6AE9ED"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五级制</w:t>
            </w:r>
          </w:p>
        </w:tc>
        <w:tc>
          <w:tcPr>
            <w:tcW w:w="1704" w:type="dxa"/>
          </w:tcPr>
          <w:p w14:paraId="299CE27F"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分值范围</w:t>
            </w:r>
          </w:p>
        </w:tc>
        <w:tc>
          <w:tcPr>
            <w:tcW w:w="3331" w:type="dxa"/>
          </w:tcPr>
          <w:p w14:paraId="02A9DADD" w14:textId="77777777" w:rsidR="00E75FE1" w:rsidRPr="00E75FE1" w:rsidRDefault="00E75FE1" w:rsidP="00E75FE1">
            <w:pPr>
              <w:adjustRightInd w:val="0"/>
              <w:snapToGrid w:val="0"/>
              <w:spacing w:line="500" w:lineRule="exact"/>
              <w:ind w:firstLineChars="500" w:firstLine="1200"/>
              <w:rPr>
                <w:rFonts w:ascii="宋体" w:eastAsia="宋体" w:hAnsi="宋体" w:cs="宋体"/>
                <w:color w:val="000000"/>
                <w:sz w:val="24"/>
              </w:rPr>
            </w:pPr>
            <w:r w:rsidRPr="00E75FE1">
              <w:rPr>
                <w:rFonts w:ascii="宋体" w:eastAsia="宋体" w:hAnsi="宋体" w:cs="宋体" w:hint="eastAsia"/>
                <w:color w:val="000000"/>
                <w:sz w:val="24"/>
              </w:rPr>
              <w:t>备注</w:t>
            </w:r>
          </w:p>
        </w:tc>
      </w:tr>
      <w:tr w:rsidR="00E75FE1" w:rsidRPr="00E75FE1" w14:paraId="1EBA2DA4" w14:textId="77777777" w:rsidTr="00375FAF">
        <w:tc>
          <w:tcPr>
            <w:tcW w:w="1704" w:type="dxa"/>
          </w:tcPr>
          <w:p w14:paraId="6846227D"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A</w:t>
            </w:r>
          </w:p>
        </w:tc>
        <w:tc>
          <w:tcPr>
            <w:tcW w:w="1704" w:type="dxa"/>
          </w:tcPr>
          <w:p w14:paraId="65A614DC"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90-95</w:t>
            </w:r>
          </w:p>
        </w:tc>
        <w:tc>
          <w:tcPr>
            <w:tcW w:w="1704" w:type="dxa"/>
          </w:tcPr>
          <w:p w14:paraId="2F7B3B00"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331" w:type="dxa"/>
          </w:tcPr>
          <w:p w14:paraId="25934B3D"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姿势正确，动作优美、协调，</w:t>
            </w:r>
          </w:p>
        </w:tc>
      </w:tr>
      <w:tr w:rsidR="00E75FE1" w:rsidRPr="00E75FE1" w14:paraId="10AEDA30" w14:textId="77777777" w:rsidTr="00375FAF">
        <w:tc>
          <w:tcPr>
            <w:tcW w:w="1704" w:type="dxa"/>
          </w:tcPr>
          <w:p w14:paraId="6775B52E"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B</w:t>
            </w:r>
          </w:p>
        </w:tc>
        <w:tc>
          <w:tcPr>
            <w:tcW w:w="1704" w:type="dxa"/>
          </w:tcPr>
          <w:p w14:paraId="29B4A64A"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80-89</w:t>
            </w:r>
          </w:p>
        </w:tc>
        <w:tc>
          <w:tcPr>
            <w:tcW w:w="1704" w:type="dxa"/>
          </w:tcPr>
          <w:p w14:paraId="125C3309"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331" w:type="dxa"/>
          </w:tcPr>
          <w:p w14:paraId="761EA50D"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姿势较正确，动作自然，</w:t>
            </w:r>
          </w:p>
        </w:tc>
      </w:tr>
      <w:tr w:rsidR="00E75FE1" w:rsidRPr="00E75FE1" w14:paraId="196FE0F3" w14:textId="77777777" w:rsidTr="00375FAF">
        <w:tc>
          <w:tcPr>
            <w:tcW w:w="1704" w:type="dxa"/>
          </w:tcPr>
          <w:p w14:paraId="1EF51DA9"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C</w:t>
            </w:r>
          </w:p>
        </w:tc>
        <w:tc>
          <w:tcPr>
            <w:tcW w:w="1704" w:type="dxa"/>
          </w:tcPr>
          <w:p w14:paraId="3C7F950A"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70-79</w:t>
            </w:r>
          </w:p>
        </w:tc>
        <w:tc>
          <w:tcPr>
            <w:tcW w:w="1704" w:type="dxa"/>
          </w:tcPr>
          <w:p w14:paraId="058586C4"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331" w:type="dxa"/>
          </w:tcPr>
          <w:p w14:paraId="6E8FB06B"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姿势一般，动作基本正确，</w:t>
            </w:r>
          </w:p>
        </w:tc>
      </w:tr>
      <w:tr w:rsidR="00E75FE1" w:rsidRPr="00E75FE1" w14:paraId="38DD0EF6" w14:textId="77777777" w:rsidTr="00375FAF">
        <w:tc>
          <w:tcPr>
            <w:tcW w:w="1704" w:type="dxa"/>
          </w:tcPr>
          <w:p w14:paraId="7415894A"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D</w:t>
            </w:r>
          </w:p>
        </w:tc>
        <w:tc>
          <w:tcPr>
            <w:tcW w:w="1704" w:type="dxa"/>
          </w:tcPr>
          <w:p w14:paraId="7940D2DE"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60-69</w:t>
            </w:r>
          </w:p>
        </w:tc>
        <w:tc>
          <w:tcPr>
            <w:tcW w:w="1704" w:type="dxa"/>
          </w:tcPr>
          <w:p w14:paraId="46E67992"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331" w:type="dxa"/>
          </w:tcPr>
          <w:p w14:paraId="12D2B7AC"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动作不协调，有多余动作，</w:t>
            </w:r>
          </w:p>
        </w:tc>
      </w:tr>
      <w:tr w:rsidR="00E75FE1" w:rsidRPr="00E75FE1" w14:paraId="5DA0156E" w14:textId="77777777" w:rsidTr="00375FAF">
        <w:tc>
          <w:tcPr>
            <w:tcW w:w="1704" w:type="dxa"/>
          </w:tcPr>
          <w:p w14:paraId="1393C62A"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E</w:t>
            </w:r>
          </w:p>
        </w:tc>
        <w:tc>
          <w:tcPr>
            <w:tcW w:w="1704" w:type="dxa"/>
          </w:tcPr>
          <w:p w14:paraId="27260816"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60以下</w:t>
            </w:r>
          </w:p>
        </w:tc>
        <w:tc>
          <w:tcPr>
            <w:tcW w:w="1704" w:type="dxa"/>
          </w:tcPr>
          <w:p w14:paraId="7910EAC3"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331" w:type="dxa"/>
          </w:tcPr>
          <w:p w14:paraId="190B3294"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动作僵硬，吃力，不协调</w:t>
            </w:r>
          </w:p>
        </w:tc>
      </w:tr>
    </w:tbl>
    <w:p w14:paraId="6163099B"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lastRenderedPageBreak/>
        <w:t>第四学期</w:t>
      </w:r>
    </w:p>
    <w:p w14:paraId="2F7467AF" w14:textId="77777777" w:rsidR="00E75FE1" w:rsidRPr="00E75FE1" w:rsidRDefault="00E75FE1" w:rsidP="00E75FE1">
      <w:pPr>
        <w:adjustRightInd w:val="0"/>
        <w:snapToGrid w:val="0"/>
        <w:spacing w:line="500" w:lineRule="exact"/>
        <w:jc w:val="center"/>
        <w:rPr>
          <w:rFonts w:ascii="宋体" w:eastAsia="宋体" w:hAnsi="Calibri" w:cs="Times New Roman"/>
          <w:b/>
          <w:kern w:val="0"/>
          <w:sz w:val="24"/>
        </w:rPr>
      </w:pPr>
      <w:r w:rsidRPr="00E75FE1">
        <w:rPr>
          <w:rFonts w:ascii="宋体" w:eastAsia="宋体" w:hAnsi="Calibri" w:cs="Times New Roman" w:hint="eastAsia"/>
          <w:b/>
          <w:kern w:val="0"/>
          <w:sz w:val="24"/>
        </w:rPr>
        <w:t>期中考试</w:t>
      </w:r>
    </w:p>
    <w:p w14:paraId="1FBA7F64"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E75FE1">
        <w:rPr>
          <w:rFonts w:ascii="宋体" w:eastAsia="宋体" w:hAnsi="Calibri" w:cs="Times New Roman" w:hint="eastAsia"/>
          <w:b/>
          <w:color w:val="000000"/>
          <w:kern w:val="0"/>
          <w:sz w:val="24"/>
        </w:rPr>
        <w:t>1.课程考核目标:</w:t>
      </w:r>
      <w:r w:rsidRPr="00E75FE1">
        <w:rPr>
          <w:rFonts w:ascii="宋体" w:eastAsia="宋体" w:hAnsi="Calibri" w:cs="Times New Roman" w:hint="eastAsia"/>
          <w:bCs/>
          <w:color w:val="000000"/>
          <w:kern w:val="0"/>
          <w:sz w:val="24"/>
        </w:rPr>
        <w:t>通过考核乒乓球技术教学效果和学生掌握情况，让学生了解选项课内容和科学体育锻炼方式方法。</w:t>
      </w:r>
    </w:p>
    <w:p w14:paraId="50B5D87F" w14:textId="77777777" w:rsidR="00E75FE1" w:rsidRPr="00E75FE1" w:rsidRDefault="00E75FE1" w:rsidP="00E75FE1">
      <w:pPr>
        <w:adjustRightInd w:val="0"/>
        <w:snapToGrid w:val="0"/>
        <w:spacing w:line="500" w:lineRule="exact"/>
        <w:ind w:firstLineChars="200" w:firstLine="482"/>
        <w:rPr>
          <w:rFonts w:ascii="宋体" w:eastAsia="宋体" w:hAnsi="Calibri" w:cs="Times New Roman"/>
          <w:bCs/>
          <w:color w:val="000000"/>
          <w:kern w:val="0"/>
          <w:sz w:val="24"/>
        </w:rPr>
      </w:pPr>
      <w:r w:rsidRPr="00E75FE1">
        <w:rPr>
          <w:rFonts w:ascii="宋体" w:eastAsia="宋体" w:hAnsi="Calibri" w:cs="Times New Roman" w:hint="eastAsia"/>
          <w:b/>
          <w:color w:val="000000"/>
          <w:kern w:val="0"/>
          <w:sz w:val="24"/>
        </w:rPr>
        <w:t>2.课程考核的内容：</w:t>
      </w:r>
      <w:r w:rsidRPr="00E75FE1">
        <w:rPr>
          <w:rFonts w:ascii="宋体" w:eastAsia="宋体" w:hAnsi="Calibri" w:cs="Times New Roman" w:hint="eastAsia"/>
          <w:bCs/>
          <w:color w:val="000000"/>
          <w:kern w:val="0"/>
          <w:sz w:val="24"/>
        </w:rPr>
        <w:t>一分钟推挡技术</w:t>
      </w:r>
    </w:p>
    <w:p w14:paraId="6B3F70AD"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E75FE1">
        <w:rPr>
          <w:rFonts w:ascii="宋体" w:eastAsia="宋体" w:hAnsi="宋体" w:cs="宋体" w:hint="eastAsia"/>
          <w:b/>
          <w:bCs/>
          <w:color w:val="000000"/>
          <w:sz w:val="24"/>
        </w:rPr>
        <w:t>3.课程考核方式：</w:t>
      </w:r>
      <w:r w:rsidRPr="00E75FE1">
        <w:rPr>
          <w:rFonts w:ascii="宋体" w:eastAsia="宋体" w:hAnsi="Calibri" w:cs="Times New Roman" w:hint="eastAsia"/>
          <w:bCs/>
          <w:kern w:val="0"/>
          <w:sz w:val="24"/>
        </w:rPr>
        <w:t>进行两轮次测试，取最好成绩。</w:t>
      </w:r>
    </w:p>
    <w:p w14:paraId="7BD2964E"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宋体" w:cs="宋体"/>
          <w:color w:val="000000"/>
          <w:sz w:val="24"/>
        </w:rPr>
      </w:pPr>
      <w:r w:rsidRPr="00E75FE1">
        <w:rPr>
          <w:rFonts w:ascii="宋体" w:eastAsia="宋体" w:hAnsi="Calibri" w:cs="Times New Roman" w:hint="eastAsia"/>
          <w:b/>
          <w:color w:val="000000"/>
          <w:kern w:val="0"/>
          <w:sz w:val="24"/>
        </w:rPr>
        <w:t>4.成绩构成及分值：</w:t>
      </w:r>
      <w:r w:rsidRPr="00E75FE1">
        <w:rPr>
          <w:rFonts w:ascii="宋体" w:eastAsia="宋体" w:hAnsi="Calibri" w:cs="Times New Roman" w:hint="eastAsia"/>
          <w:bCs/>
          <w:color w:val="000000"/>
          <w:kern w:val="0"/>
          <w:sz w:val="24"/>
        </w:rPr>
        <w:t>数量及技术评定分值各为100分，各占总分值的50%，总分值为100分。</w:t>
      </w:r>
      <w:r w:rsidRPr="00E75FE1">
        <w:rPr>
          <w:rFonts w:ascii="宋体" w:eastAsia="宋体" w:hAnsi="宋体" w:cs="宋体" w:hint="eastAsia"/>
          <w:color w:val="000000"/>
          <w:sz w:val="24"/>
        </w:rPr>
        <w:t>一分钟20个推挡及格，50次满分。20个之内（含20次），1个3分，20个以上，1个2分。</w:t>
      </w:r>
    </w:p>
    <w:p w14:paraId="58DD191C" w14:textId="77777777" w:rsidR="00E75FE1" w:rsidRPr="00E75FE1" w:rsidRDefault="00E75FE1" w:rsidP="00E75FE1">
      <w:pPr>
        <w:autoSpaceDE w:val="0"/>
        <w:autoSpaceDN w:val="0"/>
        <w:adjustRightInd w:val="0"/>
        <w:snapToGrid w:val="0"/>
        <w:spacing w:line="500" w:lineRule="exact"/>
        <w:rPr>
          <w:rFonts w:ascii="宋体" w:eastAsia="宋体" w:hAnsi="Calibri" w:cs="Times New Roman"/>
          <w:bCs/>
          <w:color w:val="000000"/>
          <w:kern w:val="0"/>
          <w:sz w:val="24"/>
        </w:rPr>
      </w:pPr>
    </w:p>
    <w:p w14:paraId="35191ADE"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Calibri" w:cs="Times New Roman"/>
          <w:b/>
          <w:color w:val="000000"/>
          <w:kern w:val="0"/>
          <w:sz w:val="24"/>
        </w:rPr>
      </w:pPr>
      <w:r w:rsidRPr="00E75FE1">
        <w:rPr>
          <w:rFonts w:ascii="宋体" w:eastAsia="宋体" w:hAnsi="Calibri" w:cs="Times New Roman" w:hint="eastAsia"/>
          <w:b/>
          <w:color w:val="000000"/>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704"/>
        <w:gridCol w:w="1605"/>
        <w:gridCol w:w="3430"/>
      </w:tblGrid>
      <w:tr w:rsidR="00E75FE1" w:rsidRPr="00E75FE1" w14:paraId="7C2C0A31" w14:textId="77777777" w:rsidTr="00375FAF">
        <w:tc>
          <w:tcPr>
            <w:tcW w:w="1704" w:type="dxa"/>
          </w:tcPr>
          <w:p w14:paraId="1F288C5E"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技术分</w:t>
            </w:r>
          </w:p>
        </w:tc>
        <w:tc>
          <w:tcPr>
            <w:tcW w:w="1704" w:type="dxa"/>
          </w:tcPr>
          <w:p w14:paraId="719DC431"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五级制</w:t>
            </w:r>
          </w:p>
        </w:tc>
        <w:tc>
          <w:tcPr>
            <w:tcW w:w="1605" w:type="dxa"/>
          </w:tcPr>
          <w:p w14:paraId="4C7C8808"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分值范围</w:t>
            </w:r>
          </w:p>
        </w:tc>
        <w:tc>
          <w:tcPr>
            <w:tcW w:w="3430" w:type="dxa"/>
          </w:tcPr>
          <w:p w14:paraId="607B7B0A" w14:textId="77777777" w:rsidR="00E75FE1" w:rsidRPr="00E75FE1" w:rsidRDefault="00E75FE1" w:rsidP="00E75FE1">
            <w:pPr>
              <w:adjustRightInd w:val="0"/>
              <w:snapToGrid w:val="0"/>
              <w:spacing w:line="500" w:lineRule="exact"/>
              <w:ind w:firstLineChars="500" w:firstLine="1200"/>
              <w:rPr>
                <w:rFonts w:ascii="宋体" w:eastAsia="宋体" w:hAnsi="宋体" w:cs="宋体"/>
                <w:color w:val="000000"/>
                <w:sz w:val="24"/>
              </w:rPr>
            </w:pPr>
            <w:r w:rsidRPr="00E75FE1">
              <w:rPr>
                <w:rFonts w:ascii="宋体" w:eastAsia="宋体" w:hAnsi="宋体" w:cs="宋体" w:hint="eastAsia"/>
                <w:color w:val="000000"/>
                <w:sz w:val="24"/>
              </w:rPr>
              <w:t>备注</w:t>
            </w:r>
          </w:p>
        </w:tc>
      </w:tr>
      <w:tr w:rsidR="00E75FE1" w:rsidRPr="00E75FE1" w14:paraId="2812FC14" w14:textId="77777777" w:rsidTr="00375FAF">
        <w:tc>
          <w:tcPr>
            <w:tcW w:w="1704" w:type="dxa"/>
          </w:tcPr>
          <w:p w14:paraId="408FF8A8"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A</w:t>
            </w:r>
          </w:p>
        </w:tc>
        <w:tc>
          <w:tcPr>
            <w:tcW w:w="1704" w:type="dxa"/>
          </w:tcPr>
          <w:p w14:paraId="6E430C6F"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90-95</w:t>
            </w:r>
          </w:p>
        </w:tc>
        <w:tc>
          <w:tcPr>
            <w:tcW w:w="1605" w:type="dxa"/>
          </w:tcPr>
          <w:p w14:paraId="1D410280"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430" w:type="dxa"/>
          </w:tcPr>
          <w:p w14:paraId="6209ABDC"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姿势正确，动作优美、协调，</w:t>
            </w:r>
          </w:p>
        </w:tc>
      </w:tr>
      <w:tr w:rsidR="00E75FE1" w:rsidRPr="00E75FE1" w14:paraId="3B8F848E" w14:textId="77777777" w:rsidTr="00375FAF">
        <w:tc>
          <w:tcPr>
            <w:tcW w:w="1704" w:type="dxa"/>
          </w:tcPr>
          <w:p w14:paraId="7B5D46FB"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B</w:t>
            </w:r>
          </w:p>
        </w:tc>
        <w:tc>
          <w:tcPr>
            <w:tcW w:w="1704" w:type="dxa"/>
          </w:tcPr>
          <w:p w14:paraId="44790278"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80-89</w:t>
            </w:r>
          </w:p>
        </w:tc>
        <w:tc>
          <w:tcPr>
            <w:tcW w:w="1605" w:type="dxa"/>
          </w:tcPr>
          <w:p w14:paraId="71609606"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430" w:type="dxa"/>
          </w:tcPr>
          <w:p w14:paraId="21685B9E"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姿势较正确，动作自然，</w:t>
            </w:r>
          </w:p>
        </w:tc>
      </w:tr>
      <w:tr w:rsidR="00E75FE1" w:rsidRPr="00E75FE1" w14:paraId="4FCF298E" w14:textId="77777777" w:rsidTr="00375FAF">
        <w:tc>
          <w:tcPr>
            <w:tcW w:w="1704" w:type="dxa"/>
          </w:tcPr>
          <w:p w14:paraId="0BDD125B"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C</w:t>
            </w:r>
          </w:p>
        </w:tc>
        <w:tc>
          <w:tcPr>
            <w:tcW w:w="1704" w:type="dxa"/>
          </w:tcPr>
          <w:p w14:paraId="3B15ED93"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70-79</w:t>
            </w:r>
          </w:p>
        </w:tc>
        <w:tc>
          <w:tcPr>
            <w:tcW w:w="1605" w:type="dxa"/>
          </w:tcPr>
          <w:p w14:paraId="5347E2F0"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430" w:type="dxa"/>
          </w:tcPr>
          <w:p w14:paraId="07D9F66B"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姿势一般，动作基本正确，</w:t>
            </w:r>
          </w:p>
        </w:tc>
      </w:tr>
      <w:tr w:rsidR="00E75FE1" w:rsidRPr="00E75FE1" w14:paraId="4205C368" w14:textId="77777777" w:rsidTr="00375FAF">
        <w:tc>
          <w:tcPr>
            <w:tcW w:w="1704" w:type="dxa"/>
          </w:tcPr>
          <w:p w14:paraId="597A1FC0"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D</w:t>
            </w:r>
          </w:p>
        </w:tc>
        <w:tc>
          <w:tcPr>
            <w:tcW w:w="1704" w:type="dxa"/>
          </w:tcPr>
          <w:p w14:paraId="3D20E98F"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60-69</w:t>
            </w:r>
          </w:p>
        </w:tc>
        <w:tc>
          <w:tcPr>
            <w:tcW w:w="1605" w:type="dxa"/>
          </w:tcPr>
          <w:p w14:paraId="32ACE080"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430" w:type="dxa"/>
          </w:tcPr>
          <w:p w14:paraId="2D2D6844"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动作不协调，有多余动作，</w:t>
            </w:r>
          </w:p>
        </w:tc>
      </w:tr>
      <w:tr w:rsidR="00E75FE1" w:rsidRPr="00E75FE1" w14:paraId="766D927A" w14:textId="77777777" w:rsidTr="00375FAF">
        <w:tc>
          <w:tcPr>
            <w:tcW w:w="1704" w:type="dxa"/>
          </w:tcPr>
          <w:p w14:paraId="72264A4A" w14:textId="77777777" w:rsidR="00E75FE1" w:rsidRPr="00E75FE1" w:rsidRDefault="00E75FE1" w:rsidP="00E75FE1">
            <w:pPr>
              <w:adjustRightInd w:val="0"/>
              <w:snapToGrid w:val="0"/>
              <w:spacing w:line="500" w:lineRule="exact"/>
              <w:ind w:firstLineChars="200" w:firstLine="480"/>
              <w:rPr>
                <w:rFonts w:ascii="宋体" w:eastAsia="宋体" w:hAnsi="宋体" w:cs="宋体"/>
                <w:color w:val="000000"/>
                <w:sz w:val="24"/>
              </w:rPr>
            </w:pPr>
            <w:r w:rsidRPr="00E75FE1">
              <w:rPr>
                <w:rFonts w:ascii="宋体" w:eastAsia="宋体" w:hAnsi="宋体" w:cs="宋体" w:hint="eastAsia"/>
                <w:color w:val="000000"/>
                <w:sz w:val="24"/>
              </w:rPr>
              <w:t>E</w:t>
            </w:r>
          </w:p>
        </w:tc>
        <w:tc>
          <w:tcPr>
            <w:tcW w:w="1704" w:type="dxa"/>
          </w:tcPr>
          <w:p w14:paraId="41FCED19"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60以下</w:t>
            </w:r>
          </w:p>
        </w:tc>
        <w:tc>
          <w:tcPr>
            <w:tcW w:w="1605" w:type="dxa"/>
          </w:tcPr>
          <w:p w14:paraId="1F20A76F" w14:textId="77777777" w:rsidR="00E75FE1" w:rsidRPr="00E75FE1" w:rsidRDefault="00E75FE1" w:rsidP="00E75FE1">
            <w:pPr>
              <w:adjustRightInd w:val="0"/>
              <w:snapToGrid w:val="0"/>
              <w:spacing w:line="500" w:lineRule="exact"/>
              <w:rPr>
                <w:rFonts w:ascii="宋体" w:eastAsia="宋体" w:hAnsi="宋体" w:cs="宋体"/>
                <w:color w:val="000000"/>
                <w:sz w:val="24"/>
              </w:rPr>
            </w:pPr>
          </w:p>
        </w:tc>
        <w:tc>
          <w:tcPr>
            <w:tcW w:w="3430" w:type="dxa"/>
          </w:tcPr>
          <w:p w14:paraId="42C40E83" w14:textId="77777777" w:rsidR="00E75FE1" w:rsidRPr="00E75FE1" w:rsidRDefault="00E75FE1" w:rsidP="00E75FE1">
            <w:pPr>
              <w:adjustRightInd w:val="0"/>
              <w:snapToGrid w:val="0"/>
              <w:spacing w:line="500" w:lineRule="exact"/>
              <w:rPr>
                <w:rFonts w:ascii="宋体" w:eastAsia="宋体" w:hAnsi="宋体" w:cs="宋体"/>
                <w:color w:val="000000"/>
                <w:sz w:val="24"/>
              </w:rPr>
            </w:pPr>
            <w:r w:rsidRPr="00E75FE1">
              <w:rPr>
                <w:rFonts w:ascii="宋体" w:eastAsia="宋体" w:hAnsi="宋体" w:cs="宋体" w:hint="eastAsia"/>
                <w:color w:val="000000"/>
                <w:sz w:val="24"/>
              </w:rPr>
              <w:t>动作僵硬，吃力，不协调</w:t>
            </w:r>
          </w:p>
        </w:tc>
      </w:tr>
    </w:tbl>
    <w:p w14:paraId="649938D2" w14:textId="77777777" w:rsidR="00E75FE1" w:rsidRPr="00E75FE1" w:rsidRDefault="00E75FE1" w:rsidP="00E75FE1">
      <w:pPr>
        <w:adjustRightInd w:val="0"/>
        <w:snapToGrid w:val="0"/>
        <w:spacing w:line="500" w:lineRule="exact"/>
        <w:rPr>
          <w:rFonts w:ascii="宋体" w:eastAsia="宋体" w:hAnsi="宋体" w:cs="宋体"/>
          <w:color w:val="000000"/>
          <w:sz w:val="24"/>
        </w:rPr>
      </w:pPr>
    </w:p>
    <w:p w14:paraId="6525BCB5" w14:textId="77777777" w:rsidR="00E75FE1" w:rsidRPr="00E75FE1" w:rsidRDefault="00E75FE1" w:rsidP="00E75FE1">
      <w:pPr>
        <w:adjustRightInd w:val="0"/>
        <w:snapToGrid w:val="0"/>
        <w:spacing w:line="500" w:lineRule="exact"/>
        <w:jc w:val="center"/>
        <w:rPr>
          <w:rFonts w:ascii="宋体" w:eastAsia="宋体" w:hAnsi="Calibri" w:cs="Times New Roman"/>
          <w:b/>
          <w:kern w:val="0"/>
          <w:sz w:val="24"/>
        </w:rPr>
      </w:pPr>
    </w:p>
    <w:p w14:paraId="73C56596" w14:textId="77777777" w:rsidR="00E75FE1" w:rsidRPr="00E75FE1" w:rsidRDefault="00E75FE1" w:rsidP="00E75FE1">
      <w:pPr>
        <w:adjustRightInd w:val="0"/>
        <w:snapToGrid w:val="0"/>
        <w:spacing w:line="500" w:lineRule="exact"/>
        <w:jc w:val="center"/>
        <w:rPr>
          <w:rFonts w:ascii="宋体" w:eastAsia="宋体" w:hAnsi="Calibri" w:cs="Times New Roman"/>
          <w:b/>
          <w:kern w:val="0"/>
          <w:sz w:val="24"/>
        </w:rPr>
      </w:pPr>
      <w:r w:rsidRPr="00E75FE1">
        <w:rPr>
          <w:rFonts w:ascii="宋体" w:eastAsia="宋体" w:hAnsi="Calibri" w:cs="Times New Roman" w:hint="eastAsia"/>
          <w:b/>
          <w:kern w:val="0"/>
          <w:sz w:val="24"/>
        </w:rPr>
        <w:t>期末考试</w:t>
      </w:r>
    </w:p>
    <w:p w14:paraId="76D712AA"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E75FE1">
        <w:rPr>
          <w:rFonts w:ascii="宋体" w:eastAsia="宋体" w:hAnsi="Calibri" w:cs="Times New Roman" w:hint="eastAsia"/>
          <w:b/>
          <w:color w:val="000000"/>
          <w:kern w:val="0"/>
          <w:sz w:val="24"/>
        </w:rPr>
        <w:t>1.课程考核目标:</w:t>
      </w:r>
      <w:r w:rsidRPr="00E75FE1">
        <w:rPr>
          <w:rFonts w:ascii="宋体" w:eastAsia="宋体" w:hAnsi="Calibri" w:cs="Times New Roman" w:hint="eastAsia"/>
          <w:bCs/>
          <w:color w:val="000000"/>
          <w:kern w:val="0"/>
          <w:sz w:val="24"/>
        </w:rPr>
        <w:t>通过考核乒乓球技术教学效果和学生掌握情况，让学生了解选项课内容和科学体育锻炼方式方法。</w:t>
      </w:r>
    </w:p>
    <w:p w14:paraId="33F4089B" w14:textId="77777777" w:rsidR="00E75FE1" w:rsidRPr="00E75FE1" w:rsidRDefault="00E75FE1" w:rsidP="00E75FE1">
      <w:pPr>
        <w:adjustRightInd w:val="0"/>
        <w:snapToGrid w:val="0"/>
        <w:spacing w:line="500" w:lineRule="exact"/>
        <w:ind w:firstLineChars="200" w:firstLine="482"/>
        <w:rPr>
          <w:rFonts w:ascii="宋体" w:eastAsia="宋体" w:hAnsi="Calibri" w:cs="Times New Roman"/>
          <w:bCs/>
          <w:color w:val="000000"/>
          <w:kern w:val="0"/>
          <w:sz w:val="24"/>
        </w:rPr>
      </w:pPr>
      <w:r w:rsidRPr="00E75FE1">
        <w:rPr>
          <w:rFonts w:ascii="宋体" w:eastAsia="宋体" w:hAnsi="Calibri" w:cs="Times New Roman" w:hint="eastAsia"/>
          <w:b/>
          <w:color w:val="000000"/>
          <w:kern w:val="0"/>
          <w:sz w:val="24"/>
        </w:rPr>
        <w:t>2.课程考核的内容：</w:t>
      </w:r>
      <w:r w:rsidRPr="00E75FE1">
        <w:rPr>
          <w:rFonts w:ascii="宋体" w:eastAsia="宋体" w:hAnsi="Calibri" w:cs="Times New Roman" w:hint="eastAsia"/>
          <w:bCs/>
          <w:color w:val="000000"/>
          <w:kern w:val="0"/>
          <w:sz w:val="24"/>
        </w:rPr>
        <w:t>推挡技术</w:t>
      </w:r>
    </w:p>
    <w:p w14:paraId="33FAFE19" w14:textId="77777777" w:rsidR="00E75FE1" w:rsidRPr="00E75FE1" w:rsidRDefault="00E75FE1" w:rsidP="00E75FE1">
      <w:pPr>
        <w:adjustRightInd w:val="0"/>
        <w:snapToGrid w:val="0"/>
        <w:spacing w:line="500" w:lineRule="exact"/>
        <w:ind w:firstLineChars="200" w:firstLine="482"/>
        <w:rPr>
          <w:rFonts w:ascii="宋体" w:eastAsia="宋体" w:hAnsi="宋体" w:cs="宋体"/>
          <w:color w:val="000000"/>
          <w:sz w:val="24"/>
        </w:rPr>
      </w:pPr>
      <w:r w:rsidRPr="00E75FE1">
        <w:rPr>
          <w:rFonts w:ascii="宋体" w:eastAsia="宋体" w:hAnsi="宋体" w:cs="宋体" w:hint="eastAsia"/>
          <w:b/>
          <w:bCs/>
          <w:color w:val="000000"/>
          <w:sz w:val="24"/>
        </w:rPr>
        <w:t>3.课程考核方式：</w:t>
      </w:r>
      <w:r w:rsidRPr="00E75FE1">
        <w:rPr>
          <w:rFonts w:ascii="宋体" w:eastAsia="宋体" w:hAnsi="宋体" w:cs="宋体" w:hint="eastAsia"/>
          <w:color w:val="000000"/>
          <w:sz w:val="24"/>
        </w:rPr>
        <w:t>连续20个推挡及格，50次满分。20个之内（含20次），1个3分，20个以上，1个2分。</w:t>
      </w:r>
      <w:proofErr w:type="gramStart"/>
      <w:r w:rsidRPr="00E75FE1">
        <w:rPr>
          <w:rFonts w:ascii="宋体" w:eastAsia="宋体" w:hAnsi="宋体" w:cs="宋体" w:hint="eastAsia"/>
          <w:color w:val="000000"/>
          <w:sz w:val="24"/>
        </w:rPr>
        <w:t>不</w:t>
      </w:r>
      <w:proofErr w:type="gramEnd"/>
      <w:r w:rsidRPr="00E75FE1">
        <w:rPr>
          <w:rFonts w:ascii="宋体" w:eastAsia="宋体" w:hAnsi="宋体" w:cs="宋体" w:hint="eastAsia"/>
          <w:color w:val="000000"/>
          <w:sz w:val="24"/>
        </w:rPr>
        <w:t>限时间，三次机会，取成绩最好一次。</w:t>
      </w:r>
    </w:p>
    <w:p w14:paraId="3EF2CC1D" w14:textId="77777777" w:rsidR="00E75FE1" w:rsidRPr="00E75FE1" w:rsidRDefault="00E75FE1" w:rsidP="00E75FE1">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E75FE1">
        <w:rPr>
          <w:rFonts w:ascii="宋体" w:eastAsia="宋体" w:hAnsi="Calibri" w:cs="Times New Roman" w:hint="eastAsia"/>
          <w:b/>
          <w:color w:val="000000"/>
          <w:kern w:val="0"/>
          <w:sz w:val="24"/>
        </w:rPr>
        <w:t>4.成绩构成及分值：</w:t>
      </w:r>
      <w:r w:rsidRPr="00E75FE1">
        <w:rPr>
          <w:rFonts w:ascii="宋体" w:eastAsia="宋体" w:hAnsi="Calibri" w:cs="Times New Roman" w:hint="eastAsia"/>
          <w:bCs/>
          <w:color w:val="000000"/>
          <w:kern w:val="0"/>
          <w:sz w:val="24"/>
        </w:rPr>
        <w:t>数量及技术评定分值各为100分，各占总分值的50%，</w:t>
      </w:r>
    </w:p>
    <w:p w14:paraId="038D55DF" w14:textId="77777777" w:rsidR="00E75FE1" w:rsidRPr="00E75FE1" w:rsidRDefault="00E75FE1" w:rsidP="00E75FE1">
      <w:pPr>
        <w:autoSpaceDE w:val="0"/>
        <w:autoSpaceDN w:val="0"/>
        <w:adjustRightInd w:val="0"/>
        <w:snapToGrid w:val="0"/>
        <w:spacing w:line="500" w:lineRule="exact"/>
        <w:rPr>
          <w:rFonts w:ascii="宋体" w:eastAsia="宋体" w:hAnsi="Calibri" w:cs="Times New Roman"/>
          <w:bCs/>
          <w:color w:val="000000"/>
          <w:kern w:val="0"/>
          <w:sz w:val="24"/>
        </w:rPr>
      </w:pPr>
      <w:r w:rsidRPr="00E75FE1">
        <w:rPr>
          <w:rFonts w:ascii="宋体" w:eastAsia="宋体" w:hAnsi="Calibri" w:cs="Times New Roman" w:hint="eastAsia"/>
          <w:bCs/>
          <w:color w:val="000000"/>
          <w:kern w:val="0"/>
          <w:sz w:val="24"/>
        </w:rPr>
        <w:t>总分值为100分。</w:t>
      </w:r>
    </w:p>
    <w:p w14:paraId="6023FD9D" w14:textId="77777777" w:rsidR="00E75FE1" w:rsidRPr="00E75FE1" w:rsidRDefault="00E75FE1" w:rsidP="00E75FE1">
      <w:pPr>
        <w:adjustRightInd w:val="0"/>
        <w:snapToGrid w:val="0"/>
        <w:spacing w:line="500" w:lineRule="exact"/>
        <w:ind w:firstLineChars="200" w:firstLine="482"/>
        <w:rPr>
          <w:rFonts w:ascii="宋体" w:eastAsia="宋体" w:hAnsi="Calibri" w:cs="Times New Roman"/>
          <w:b/>
          <w:kern w:val="0"/>
          <w:sz w:val="24"/>
        </w:rPr>
      </w:pPr>
      <w:r w:rsidRPr="00E75FE1">
        <w:rPr>
          <w:rFonts w:ascii="宋体" w:eastAsia="宋体" w:hAnsi="Calibri" w:cs="Times New Roman" w:hint="eastAsia"/>
          <w:b/>
          <w:kern w:val="0"/>
          <w:sz w:val="24"/>
        </w:rPr>
        <w:lastRenderedPageBreak/>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E75FE1" w:rsidRPr="00E75FE1" w14:paraId="21DC8756" w14:textId="77777777" w:rsidTr="00375FAF">
        <w:trPr>
          <w:jc w:val="center"/>
        </w:trPr>
        <w:tc>
          <w:tcPr>
            <w:tcW w:w="970" w:type="dxa"/>
          </w:tcPr>
          <w:p w14:paraId="5FC55350"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技术分</w:t>
            </w:r>
          </w:p>
        </w:tc>
        <w:tc>
          <w:tcPr>
            <w:tcW w:w="1183" w:type="dxa"/>
          </w:tcPr>
          <w:p w14:paraId="301A17C1"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五级制</w:t>
            </w:r>
          </w:p>
        </w:tc>
        <w:tc>
          <w:tcPr>
            <w:tcW w:w="1341" w:type="dxa"/>
          </w:tcPr>
          <w:p w14:paraId="740E0BF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分值范围</w:t>
            </w:r>
          </w:p>
        </w:tc>
        <w:tc>
          <w:tcPr>
            <w:tcW w:w="3039" w:type="dxa"/>
          </w:tcPr>
          <w:p w14:paraId="59EE268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备注</w:t>
            </w:r>
          </w:p>
        </w:tc>
        <w:tc>
          <w:tcPr>
            <w:tcW w:w="1403" w:type="dxa"/>
          </w:tcPr>
          <w:p w14:paraId="2048BF3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数目</w:t>
            </w:r>
          </w:p>
        </w:tc>
      </w:tr>
      <w:tr w:rsidR="00E75FE1" w:rsidRPr="00E75FE1" w14:paraId="0FCEC04B" w14:textId="77777777" w:rsidTr="00375FAF">
        <w:trPr>
          <w:jc w:val="center"/>
        </w:trPr>
        <w:tc>
          <w:tcPr>
            <w:tcW w:w="970" w:type="dxa"/>
          </w:tcPr>
          <w:p w14:paraId="2440A65E"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A</w:t>
            </w:r>
          </w:p>
        </w:tc>
        <w:tc>
          <w:tcPr>
            <w:tcW w:w="1183" w:type="dxa"/>
          </w:tcPr>
          <w:p w14:paraId="5F3B197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优</w:t>
            </w:r>
          </w:p>
        </w:tc>
        <w:tc>
          <w:tcPr>
            <w:tcW w:w="1341" w:type="dxa"/>
          </w:tcPr>
          <w:p w14:paraId="794E038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90—95</w:t>
            </w:r>
          </w:p>
        </w:tc>
        <w:tc>
          <w:tcPr>
            <w:tcW w:w="3039" w:type="dxa"/>
          </w:tcPr>
          <w:p w14:paraId="40EB90C4"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姿势正确，动作优美、协调，</w:t>
            </w:r>
          </w:p>
        </w:tc>
        <w:tc>
          <w:tcPr>
            <w:tcW w:w="1403" w:type="dxa"/>
          </w:tcPr>
          <w:p w14:paraId="281D86F2"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10</w:t>
            </w:r>
          </w:p>
        </w:tc>
      </w:tr>
      <w:tr w:rsidR="00E75FE1" w:rsidRPr="00E75FE1" w14:paraId="546FE676" w14:textId="77777777" w:rsidTr="00375FAF">
        <w:trPr>
          <w:jc w:val="center"/>
        </w:trPr>
        <w:tc>
          <w:tcPr>
            <w:tcW w:w="970" w:type="dxa"/>
          </w:tcPr>
          <w:p w14:paraId="09B3B09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B</w:t>
            </w:r>
          </w:p>
        </w:tc>
        <w:tc>
          <w:tcPr>
            <w:tcW w:w="1183" w:type="dxa"/>
          </w:tcPr>
          <w:p w14:paraId="4D89BB23"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良好</w:t>
            </w:r>
          </w:p>
        </w:tc>
        <w:tc>
          <w:tcPr>
            <w:tcW w:w="1341" w:type="dxa"/>
          </w:tcPr>
          <w:p w14:paraId="37DD0F59"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80—89</w:t>
            </w:r>
          </w:p>
        </w:tc>
        <w:tc>
          <w:tcPr>
            <w:tcW w:w="3039" w:type="dxa"/>
          </w:tcPr>
          <w:p w14:paraId="36A296C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姿势较正确，动作自然，</w:t>
            </w:r>
          </w:p>
        </w:tc>
        <w:tc>
          <w:tcPr>
            <w:tcW w:w="1403" w:type="dxa"/>
          </w:tcPr>
          <w:p w14:paraId="168055F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9</w:t>
            </w:r>
          </w:p>
        </w:tc>
      </w:tr>
      <w:tr w:rsidR="00E75FE1" w:rsidRPr="00E75FE1" w14:paraId="602432AA" w14:textId="77777777" w:rsidTr="00375FAF">
        <w:trPr>
          <w:jc w:val="center"/>
        </w:trPr>
        <w:tc>
          <w:tcPr>
            <w:tcW w:w="970" w:type="dxa"/>
          </w:tcPr>
          <w:p w14:paraId="63E91A00"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C</w:t>
            </w:r>
          </w:p>
        </w:tc>
        <w:tc>
          <w:tcPr>
            <w:tcW w:w="1183" w:type="dxa"/>
          </w:tcPr>
          <w:p w14:paraId="009769BD"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良</w:t>
            </w:r>
          </w:p>
        </w:tc>
        <w:tc>
          <w:tcPr>
            <w:tcW w:w="1341" w:type="dxa"/>
          </w:tcPr>
          <w:p w14:paraId="4BC0352D"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70—79</w:t>
            </w:r>
          </w:p>
        </w:tc>
        <w:tc>
          <w:tcPr>
            <w:tcW w:w="3039" w:type="dxa"/>
          </w:tcPr>
          <w:p w14:paraId="27C4DE0F"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姿势一般，动作基本正确，</w:t>
            </w:r>
          </w:p>
        </w:tc>
        <w:tc>
          <w:tcPr>
            <w:tcW w:w="1403" w:type="dxa"/>
          </w:tcPr>
          <w:p w14:paraId="4687BB2B"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8</w:t>
            </w:r>
          </w:p>
        </w:tc>
      </w:tr>
      <w:tr w:rsidR="00E75FE1" w:rsidRPr="00E75FE1" w14:paraId="65BC8DB4" w14:textId="77777777" w:rsidTr="00375FAF">
        <w:trPr>
          <w:jc w:val="center"/>
        </w:trPr>
        <w:tc>
          <w:tcPr>
            <w:tcW w:w="970" w:type="dxa"/>
          </w:tcPr>
          <w:p w14:paraId="67B89FFD"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D</w:t>
            </w:r>
          </w:p>
        </w:tc>
        <w:tc>
          <w:tcPr>
            <w:tcW w:w="1183" w:type="dxa"/>
          </w:tcPr>
          <w:p w14:paraId="30DE8CE5"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及格</w:t>
            </w:r>
          </w:p>
        </w:tc>
        <w:tc>
          <w:tcPr>
            <w:tcW w:w="1341" w:type="dxa"/>
          </w:tcPr>
          <w:p w14:paraId="64CFFAD1"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60—69</w:t>
            </w:r>
          </w:p>
        </w:tc>
        <w:tc>
          <w:tcPr>
            <w:tcW w:w="3039" w:type="dxa"/>
          </w:tcPr>
          <w:p w14:paraId="19D604A9"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动作不协调，有多余动作，</w:t>
            </w:r>
          </w:p>
        </w:tc>
        <w:tc>
          <w:tcPr>
            <w:tcW w:w="1403" w:type="dxa"/>
          </w:tcPr>
          <w:p w14:paraId="427D8DF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7</w:t>
            </w:r>
          </w:p>
        </w:tc>
      </w:tr>
      <w:tr w:rsidR="00E75FE1" w:rsidRPr="00E75FE1" w14:paraId="72435216" w14:textId="77777777" w:rsidTr="00375FAF">
        <w:trPr>
          <w:jc w:val="center"/>
        </w:trPr>
        <w:tc>
          <w:tcPr>
            <w:tcW w:w="970" w:type="dxa"/>
          </w:tcPr>
          <w:p w14:paraId="0D952316"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E</w:t>
            </w:r>
          </w:p>
        </w:tc>
        <w:tc>
          <w:tcPr>
            <w:tcW w:w="1183" w:type="dxa"/>
          </w:tcPr>
          <w:p w14:paraId="2D6FBDA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不及格</w:t>
            </w:r>
          </w:p>
        </w:tc>
        <w:tc>
          <w:tcPr>
            <w:tcW w:w="1341" w:type="dxa"/>
          </w:tcPr>
          <w:p w14:paraId="32CBDEDA"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60以下</w:t>
            </w:r>
          </w:p>
        </w:tc>
        <w:tc>
          <w:tcPr>
            <w:tcW w:w="3039" w:type="dxa"/>
          </w:tcPr>
          <w:p w14:paraId="52311E98"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动作僵硬，吃力，不协调</w:t>
            </w:r>
          </w:p>
        </w:tc>
        <w:tc>
          <w:tcPr>
            <w:tcW w:w="1403" w:type="dxa"/>
          </w:tcPr>
          <w:p w14:paraId="416F9F69" w14:textId="77777777" w:rsidR="00E75FE1" w:rsidRPr="00E75FE1" w:rsidRDefault="00E75FE1" w:rsidP="00E75FE1">
            <w:pPr>
              <w:adjustRightInd w:val="0"/>
              <w:snapToGrid w:val="0"/>
              <w:spacing w:line="500" w:lineRule="exact"/>
              <w:jc w:val="center"/>
              <w:rPr>
                <w:rFonts w:ascii="宋体" w:eastAsia="宋体" w:hAnsi="Calibri" w:cs="Times New Roman"/>
                <w:bCs/>
                <w:kern w:val="0"/>
                <w:sz w:val="24"/>
              </w:rPr>
            </w:pPr>
            <w:r w:rsidRPr="00E75FE1">
              <w:rPr>
                <w:rFonts w:ascii="宋体" w:eastAsia="宋体" w:hAnsi="Calibri" w:cs="Times New Roman" w:hint="eastAsia"/>
                <w:bCs/>
                <w:kern w:val="0"/>
                <w:sz w:val="24"/>
              </w:rPr>
              <w:t>6</w:t>
            </w:r>
          </w:p>
        </w:tc>
      </w:tr>
    </w:tbl>
    <w:p w14:paraId="1BB1191F"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六、使用教材、相关推荐书目及课程资源</w:t>
      </w:r>
    </w:p>
    <w:p w14:paraId="741D68F0" w14:textId="77777777" w:rsidR="00E75FE1" w:rsidRPr="00E75FE1" w:rsidRDefault="00E75FE1" w:rsidP="00E75FE1">
      <w:pPr>
        <w:spacing w:line="440" w:lineRule="exact"/>
        <w:ind w:firstLineChars="200" w:firstLine="560"/>
        <w:rPr>
          <w:rFonts w:ascii="宋体" w:eastAsia="宋体" w:hAnsi="宋体" w:cs="Times New Roman"/>
          <w:sz w:val="24"/>
        </w:rPr>
      </w:pPr>
      <w:r w:rsidRPr="00E75FE1">
        <w:rPr>
          <w:rFonts w:ascii="黑体" w:eastAsia="黑体" w:hAnsi="黑体" w:cs="Times New Roman" w:hint="eastAsia"/>
          <w:sz w:val="28"/>
          <w:szCs w:val="28"/>
        </w:rPr>
        <w:t>（一）使用教材</w:t>
      </w:r>
    </w:p>
    <w:p w14:paraId="274FC59C" w14:textId="77777777" w:rsidR="00E75FE1" w:rsidRPr="00E75FE1" w:rsidRDefault="00E75FE1" w:rsidP="00E75FE1">
      <w:pPr>
        <w:autoSpaceDE w:val="0"/>
        <w:autoSpaceDN w:val="0"/>
        <w:adjustRightInd w:val="0"/>
        <w:snapToGrid w:val="0"/>
        <w:spacing w:line="500" w:lineRule="exact"/>
        <w:ind w:firstLineChars="300" w:firstLine="720"/>
        <w:rPr>
          <w:rFonts w:ascii="宋体" w:eastAsia="宋体" w:hAnsi="宋体" w:cs="宋体"/>
          <w:kern w:val="0"/>
          <w:sz w:val="24"/>
        </w:rPr>
      </w:pPr>
      <w:r w:rsidRPr="00E75FE1">
        <w:rPr>
          <w:rFonts w:ascii="宋体" w:eastAsia="宋体" w:hAnsi="宋体" w:cs="宋体" w:hint="eastAsia"/>
          <w:kern w:val="0"/>
          <w:sz w:val="24"/>
        </w:rPr>
        <w:t>任晋军主编：《当代大学体育教程》，北京体育大学出版社，2008</w:t>
      </w:r>
    </w:p>
    <w:p w14:paraId="3A5CC66B" w14:textId="77777777" w:rsidR="00E75FE1" w:rsidRPr="00E75FE1" w:rsidRDefault="00E75FE1" w:rsidP="00E75FE1">
      <w:pPr>
        <w:spacing w:line="440" w:lineRule="exact"/>
        <w:ind w:firstLineChars="200" w:firstLine="560"/>
        <w:rPr>
          <w:rFonts w:ascii="宋体" w:eastAsia="宋体" w:hAnsi="宋体" w:cs="Times New Roman"/>
          <w:sz w:val="24"/>
        </w:rPr>
      </w:pPr>
      <w:r w:rsidRPr="00E75FE1">
        <w:rPr>
          <w:rFonts w:ascii="黑体" w:eastAsia="黑体" w:hAnsi="黑体" w:cs="Times New Roman" w:hint="eastAsia"/>
          <w:sz w:val="28"/>
          <w:szCs w:val="28"/>
        </w:rPr>
        <w:t>（二）相关推荐书目</w:t>
      </w:r>
    </w:p>
    <w:p w14:paraId="1434BB0F" w14:textId="77777777" w:rsidR="00E75FE1" w:rsidRPr="00E75FE1" w:rsidRDefault="00E75FE1" w:rsidP="00E75FE1">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1</w:t>
      </w:r>
      <w:r w:rsidRPr="00E75FE1">
        <w:rPr>
          <w:rFonts w:ascii="宋体" w:eastAsia="宋体" w:hAnsi="宋体" w:cs="Times New Roman"/>
          <w:sz w:val="24"/>
        </w:rPr>
        <w:t xml:space="preserve">. </w:t>
      </w:r>
      <w:r w:rsidRPr="00E75FE1">
        <w:rPr>
          <w:rFonts w:ascii="宋体" w:eastAsia="宋体" w:hAnsi="宋体" w:cs="宋体" w:hint="eastAsia"/>
          <w:kern w:val="0"/>
          <w:sz w:val="24"/>
        </w:rPr>
        <w:t>刘建国主编：《当代大学体育与健身》，高教出版社，2008</w:t>
      </w:r>
    </w:p>
    <w:p w14:paraId="45F8ED2A" w14:textId="77777777" w:rsidR="00E75FE1" w:rsidRPr="00E75FE1" w:rsidRDefault="00E75FE1" w:rsidP="00E75FE1">
      <w:pPr>
        <w:autoSpaceDE w:val="0"/>
        <w:autoSpaceDN w:val="0"/>
        <w:adjustRightInd w:val="0"/>
        <w:snapToGrid w:val="0"/>
        <w:spacing w:line="500" w:lineRule="exact"/>
        <w:ind w:firstLineChars="200" w:firstLine="480"/>
        <w:rPr>
          <w:rFonts w:ascii="宋体" w:eastAsia="宋体" w:hAnsi="宋体" w:cs="Times New Roman"/>
          <w:sz w:val="24"/>
        </w:rPr>
      </w:pPr>
      <w:r w:rsidRPr="00E75FE1">
        <w:rPr>
          <w:rFonts w:ascii="宋体" w:eastAsia="宋体" w:hAnsi="宋体" w:cs="Times New Roman" w:hint="eastAsia"/>
          <w:sz w:val="24"/>
        </w:rPr>
        <w:t>2</w:t>
      </w:r>
      <w:r w:rsidRPr="00E75FE1">
        <w:rPr>
          <w:rFonts w:ascii="宋体" w:eastAsia="宋体" w:hAnsi="宋体" w:cs="Times New Roman"/>
          <w:sz w:val="24"/>
        </w:rPr>
        <w:t xml:space="preserve">. </w:t>
      </w:r>
      <w:r w:rsidRPr="00E75FE1">
        <w:rPr>
          <w:rFonts w:ascii="宋体" w:eastAsia="宋体" w:hAnsi="宋体" w:cs="宋体" w:hint="eastAsia"/>
          <w:kern w:val="0"/>
          <w:sz w:val="24"/>
        </w:rPr>
        <w:t>全国体育学院教材委员会审定：《体育与健康理论指导手册》，人民体育出版社，2014</w:t>
      </w:r>
    </w:p>
    <w:p w14:paraId="79AF3F5E"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（三）课程资源</w:t>
      </w:r>
    </w:p>
    <w:p w14:paraId="531EF48E" w14:textId="77777777" w:rsidR="00E75FE1" w:rsidRPr="00E75FE1" w:rsidRDefault="00E75FE1" w:rsidP="00E75FE1">
      <w:pPr>
        <w:spacing w:line="44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6598CBB8" w14:textId="77777777" w:rsidR="00E75FE1" w:rsidRPr="00E75FE1" w:rsidRDefault="00E75FE1" w:rsidP="00E75FE1">
      <w:pPr>
        <w:spacing w:line="440" w:lineRule="exact"/>
        <w:ind w:firstLineChars="200" w:firstLine="500"/>
        <w:rPr>
          <w:rFonts w:ascii="宋体" w:eastAsia="宋体" w:hAnsi="Calibri" w:cs="宋体"/>
          <w:spacing w:val="5"/>
          <w:kern w:val="0"/>
          <w:sz w:val="24"/>
        </w:rPr>
      </w:pPr>
      <w:r w:rsidRPr="00E75FE1">
        <w:rPr>
          <w:rFonts w:ascii="宋体" w:eastAsia="宋体" w:hAnsi="Calibri" w:cs="宋体" w:hint="eastAsia"/>
          <w:spacing w:val="5"/>
          <w:kern w:val="0"/>
          <w:sz w:val="24"/>
        </w:rPr>
        <w:t>2. 《国家学生体质健康标准》实施说明《国家学生体质健康标准》测试评分表。</w:t>
      </w:r>
    </w:p>
    <w:p w14:paraId="31CC2D68" w14:textId="77777777" w:rsidR="00E75FE1" w:rsidRPr="00E75FE1" w:rsidRDefault="00E75FE1" w:rsidP="00E75FE1">
      <w:pPr>
        <w:spacing w:beforeLines="50" w:before="156" w:afterLines="50" w:after="156" w:line="440" w:lineRule="exact"/>
        <w:ind w:firstLineChars="200" w:firstLine="560"/>
        <w:rPr>
          <w:rFonts w:ascii="黑体" w:eastAsia="黑体" w:hAnsi="黑体" w:cs="Times New Roman"/>
          <w:sz w:val="28"/>
          <w:szCs w:val="28"/>
        </w:rPr>
      </w:pPr>
      <w:r w:rsidRPr="00E75FE1">
        <w:rPr>
          <w:rFonts w:ascii="黑体" w:eastAsia="黑体" w:hAnsi="黑体" w:cs="Times New Roman" w:hint="eastAsia"/>
          <w:sz w:val="28"/>
          <w:szCs w:val="28"/>
        </w:rPr>
        <w:t>七、课程大纲制定依据</w:t>
      </w:r>
    </w:p>
    <w:p w14:paraId="00F6C747" w14:textId="77777777" w:rsidR="00E75FE1" w:rsidRPr="00E161E0" w:rsidRDefault="00E75FE1" w:rsidP="00E161E0">
      <w:pPr>
        <w:spacing w:line="440" w:lineRule="exact"/>
        <w:ind w:firstLineChars="200" w:firstLine="480"/>
        <w:rPr>
          <w:rFonts w:ascii="宋体" w:eastAsia="宋体" w:hAnsi="宋体" w:cs="Times New Roman"/>
          <w:sz w:val="24"/>
        </w:rPr>
      </w:pPr>
      <w:r w:rsidRPr="00E75FE1">
        <w:rPr>
          <w:rFonts w:ascii="宋体" w:eastAsia="宋体" w:hAnsi="宋体" w:cs="Times New Roman" w:hint="eastAsia"/>
          <w:sz w:val="24"/>
        </w:rPr>
        <w:t>本课程大纲依据2023年人才培养方案</w:t>
      </w:r>
      <w:r w:rsidR="002E4147">
        <w:rPr>
          <w:rFonts w:ascii="宋体" w:eastAsia="宋体" w:hAnsi="宋体" w:cs="Times New Roman" w:hint="eastAsia"/>
          <w:sz w:val="24"/>
        </w:rPr>
        <w:t>药物分析</w:t>
      </w:r>
      <w:r w:rsidRPr="00E75FE1">
        <w:rPr>
          <w:rFonts w:ascii="宋体" w:eastAsia="宋体" w:hAnsi="宋体" w:cs="Times New Roman" w:hint="eastAsia"/>
          <w:sz w:val="24"/>
        </w:rPr>
        <w:t>专业制定。</w:t>
      </w:r>
    </w:p>
    <w:p w14:paraId="16478FC4" w14:textId="77777777" w:rsidR="00E75FE1" w:rsidRPr="00E75FE1" w:rsidRDefault="00E75FE1" w:rsidP="00E75FE1">
      <w:pPr>
        <w:spacing w:line="440" w:lineRule="exact"/>
        <w:ind w:firstLineChars="200" w:firstLine="560"/>
        <w:jc w:val="center"/>
        <w:rPr>
          <w:rFonts w:ascii="黑体" w:eastAsia="黑体" w:hAnsi="黑体" w:cs="Times New Roman"/>
          <w:sz w:val="28"/>
          <w:szCs w:val="28"/>
        </w:rPr>
      </w:pPr>
    </w:p>
    <w:p w14:paraId="526302AF" w14:textId="77777777" w:rsidR="00375FAF" w:rsidRPr="00375FAF" w:rsidRDefault="00375FAF" w:rsidP="00375FAF">
      <w:pPr>
        <w:spacing w:beforeLines="100" w:before="312" w:afterLines="100" w:after="312" w:line="440" w:lineRule="exact"/>
        <w:jc w:val="center"/>
        <w:rPr>
          <w:rFonts w:ascii="黑体" w:eastAsia="黑体" w:hAnsi="黑体" w:cs="Times New Roman"/>
          <w:bCs/>
          <w:sz w:val="36"/>
          <w:szCs w:val="36"/>
        </w:rPr>
      </w:pPr>
      <w:r w:rsidRPr="00375FAF">
        <w:rPr>
          <w:rFonts w:ascii="黑体" w:eastAsia="黑体" w:hAnsi="黑体" w:cs="Times New Roman" w:hint="eastAsia"/>
          <w:bCs/>
          <w:sz w:val="36"/>
          <w:szCs w:val="36"/>
        </w:rPr>
        <w:lastRenderedPageBreak/>
        <w:t>《网球》课程大纲</w:t>
      </w:r>
    </w:p>
    <w:p w14:paraId="3B6AC68F" w14:textId="77777777" w:rsidR="00375FAF" w:rsidRPr="00375FAF" w:rsidRDefault="00375FAF" w:rsidP="00375FAF">
      <w:pPr>
        <w:spacing w:beforeLines="50" w:before="156" w:afterLines="50" w:after="156" w:line="440" w:lineRule="exact"/>
        <w:ind w:firstLineChars="200" w:firstLine="560"/>
        <w:rPr>
          <w:rFonts w:ascii="黑体" w:eastAsia="黑体" w:hAnsi="黑体" w:cs="Times New Roman"/>
          <w:sz w:val="28"/>
          <w:szCs w:val="28"/>
        </w:rPr>
      </w:pPr>
      <w:r w:rsidRPr="00375FAF">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375FAF" w:rsidRPr="00375FAF" w14:paraId="7244A283" w14:textId="77777777" w:rsidTr="00375FAF">
        <w:trPr>
          <w:trHeight w:val="886"/>
          <w:jc w:val="center"/>
        </w:trPr>
        <w:tc>
          <w:tcPr>
            <w:tcW w:w="1581" w:type="dxa"/>
            <w:vAlign w:val="center"/>
          </w:tcPr>
          <w:p w14:paraId="0A5028FB"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课程名称</w:t>
            </w:r>
          </w:p>
        </w:tc>
        <w:tc>
          <w:tcPr>
            <w:tcW w:w="2662" w:type="dxa"/>
            <w:vAlign w:val="center"/>
          </w:tcPr>
          <w:p w14:paraId="4040CE2B"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Calibri" w:cs="宋体" w:hint="eastAsia"/>
                <w:kern w:val="0"/>
                <w:sz w:val="24"/>
              </w:rPr>
              <w:t>网球</w:t>
            </w:r>
          </w:p>
        </w:tc>
        <w:tc>
          <w:tcPr>
            <w:tcW w:w="1482" w:type="dxa"/>
            <w:vAlign w:val="center"/>
          </w:tcPr>
          <w:p w14:paraId="11322F2D"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课程代码</w:t>
            </w:r>
          </w:p>
        </w:tc>
        <w:tc>
          <w:tcPr>
            <w:tcW w:w="2797" w:type="dxa"/>
            <w:vAlign w:val="center"/>
          </w:tcPr>
          <w:p w14:paraId="4D4885DF"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Calibri" w:cs="宋体" w:hint="eastAsia"/>
                <w:kern w:val="0"/>
                <w:sz w:val="24"/>
              </w:rPr>
              <w:t>091050</w:t>
            </w:r>
          </w:p>
        </w:tc>
      </w:tr>
      <w:tr w:rsidR="00375FAF" w:rsidRPr="00375FAF" w14:paraId="67DC7C01" w14:textId="77777777" w:rsidTr="00375FAF">
        <w:trPr>
          <w:trHeight w:val="829"/>
          <w:jc w:val="center"/>
        </w:trPr>
        <w:tc>
          <w:tcPr>
            <w:tcW w:w="1581" w:type="dxa"/>
            <w:vAlign w:val="center"/>
          </w:tcPr>
          <w:p w14:paraId="4E1B6803"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课程类别</w:t>
            </w:r>
          </w:p>
        </w:tc>
        <w:tc>
          <w:tcPr>
            <w:tcW w:w="2662" w:type="dxa"/>
            <w:vAlign w:val="center"/>
          </w:tcPr>
          <w:p w14:paraId="0C720EA3"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Calibri" w:cs="宋体" w:hint="eastAsia"/>
                <w:kern w:val="0"/>
                <w:sz w:val="24"/>
              </w:rPr>
              <w:t>公共必修课程</w:t>
            </w:r>
          </w:p>
        </w:tc>
        <w:tc>
          <w:tcPr>
            <w:tcW w:w="1482" w:type="dxa"/>
            <w:vAlign w:val="center"/>
          </w:tcPr>
          <w:p w14:paraId="0EA84B00"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学时</w:t>
            </w:r>
          </w:p>
          <w:p w14:paraId="6951F2EC"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/学分</w:t>
            </w:r>
          </w:p>
        </w:tc>
        <w:tc>
          <w:tcPr>
            <w:tcW w:w="2797" w:type="dxa"/>
            <w:vAlign w:val="center"/>
          </w:tcPr>
          <w:p w14:paraId="07E14338"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144/4</w:t>
            </w:r>
          </w:p>
        </w:tc>
      </w:tr>
      <w:tr w:rsidR="00375FAF" w:rsidRPr="00375FAF" w14:paraId="50DAC4F4" w14:textId="77777777" w:rsidTr="00375FAF">
        <w:trPr>
          <w:trHeight w:val="811"/>
          <w:jc w:val="center"/>
        </w:trPr>
        <w:tc>
          <w:tcPr>
            <w:tcW w:w="1581" w:type="dxa"/>
            <w:vAlign w:val="center"/>
          </w:tcPr>
          <w:p w14:paraId="108E2934"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开课单位</w:t>
            </w:r>
          </w:p>
        </w:tc>
        <w:tc>
          <w:tcPr>
            <w:tcW w:w="2662" w:type="dxa"/>
            <w:vAlign w:val="center"/>
          </w:tcPr>
          <w:p w14:paraId="38CF6684"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sz w:val="24"/>
              </w:rPr>
              <w:t>石家庄学院体育学院</w:t>
            </w:r>
          </w:p>
        </w:tc>
        <w:tc>
          <w:tcPr>
            <w:tcW w:w="1482" w:type="dxa"/>
            <w:vAlign w:val="center"/>
          </w:tcPr>
          <w:p w14:paraId="079C9964"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适用专业</w:t>
            </w:r>
          </w:p>
        </w:tc>
        <w:tc>
          <w:tcPr>
            <w:tcW w:w="2797" w:type="dxa"/>
            <w:vAlign w:val="center"/>
          </w:tcPr>
          <w:p w14:paraId="1DB55717" w14:textId="77777777" w:rsidR="00375FAF" w:rsidRPr="00375FAF" w:rsidRDefault="00233E31" w:rsidP="00375FAF">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375FAF" w:rsidRPr="00375FAF" w14:paraId="720DA2E9" w14:textId="77777777" w:rsidTr="00375FAF">
        <w:trPr>
          <w:trHeight w:val="811"/>
          <w:jc w:val="center"/>
        </w:trPr>
        <w:tc>
          <w:tcPr>
            <w:tcW w:w="1581" w:type="dxa"/>
            <w:vAlign w:val="center"/>
          </w:tcPr>
          <w:p w14:paraId="73C295EF"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课程负责人</w:t>
            </w:r>
          </w:p>
        </w:tc>
        <w:tc>
          <w:tcPr>
            <w:tcW w:w="6941" w:type="dxa"/>
            <w:gridSpan w:val="3"/>
            <w:vAlign w:val="center"/>
          </w:tcPr>
          <w:p w14:paraId="0AFEF51A"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孙皓、潘乐</w:t>
            </w:r>
          </w:p>
        </w:tc>
      </w:tr>
      <w:tr w:rsidR="00375FAF" w:rsidRPr="00375FAF" w14:paraId="71ECC1AA" w14:textId="77777777" w:rsidTr="00375FAF">
        <w:trPr>
          <w:trHeight w:val="836"/>
          <w:jc w:val="center"/>
        </w:trPr>
        <w:tc>
          <w:tcPr>
            <w:tcW w:w="1581" w:type="dxa"/>
            <w:vAlign w:val="center"/>
          </w:tcPr>
          <w:p w14:paraId="102FB4E4"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大纲撰写人</w:t>
            </w:r>
          </w:p>
        </w:tc>
        <w:tc>
          <w:tcPr>
            <w:tcW w:w="2662" w:type="dxa"/>
            <w:vAlign w:val="center"/>
          </w:tcPr>
          <w:p w14:paraId="113B4634"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孙皓</w:t>
            </w:r>
          </w:p>
        </w:tc>
        <w:tc>
          <w:tcPr>
            <w:tcW w:w="1482" w:type="dxa"/>
            <w:vAlign w:val="center"/>
          </w:tcPr>
          <w:p w14:paraId="2A00F549"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大纲审核人</w:t>
            </w:r>
          </w:p>
        </w:tc>
        <w:tc>
          <w:tcPr>
            <w:tcW w:w="2797" w:type="dxa"/>
            <w:vAlign w:val="center"/>
          </w:tcPr>
          <w:p w14:paraId="01CEB46F" w14:textId="77777777" w:rsidR="00375FAF" w:rsidRPr="00375FAF" w:rsidRDefault="00375FAF" w:rsidP="00375FAF">
            <w:pPr>
              <w:spacing w:line="440" w:lineRule="exact"/>
              <w:jc w:val="center"/>
              <w:rPr>
                <w:rFonts w:ascii="宋体" w:eastAsia="宋体" w:hAnsi="宋体" w:cs="Times New Roman"/>
                <w:sz w:val="24"/>
              </w:rPr>
            </w:pPr>
            <w:proofErr w:type="gramStart"/>
            <w:r w:rsidRPr="00375FAF">
              <w:rPr>
                <w:rFonts w:ascii="宋体" w:eastAsia="宋体" w:hAnsi="宋体" w:cs="Times New Roman" w:hint="eastAsia"/>
                <w:sz w:val="24"/>
              </w:rPr>
              <w:t>左健</w:t>
            </w:r>
            <w:proofErr w:type="gramEnd"/>
          </w:p>
        </w:tc>
      </w:tr>
      <w:tr w:rsidR="00375FAF" w:rsidRPr="00375FAF" w14:paraId="1EAB6232" w14:textId="77777777" w:rsidTr="00375FAF">
        <w:trPr>
          <w:trHeight w:val="848"/>
          <w:jc w:val="center"/>
        </w:trPr>
        <w:tc>
          <w:tcPr>
            <w:tcW w:w="1581" w:type="dxa"/>
            <w:vAlign w:val="center"/>
          </w:tcPr>
          <w:p w14:paraId="22CE9192"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先修课程</w:t>
            </w:r>
          </w:p>
        </w:tc>
        <w:tc>
          <w:tcPr>
            <w:tcW w:w="6941" w:type="dxa"/>
            <w:gridSpan w:val="3"/>
            <w:vAlign w:val="center"/>
          </w:tcPr>
          <w:p w14:paraId="69B34D5A" w14:textId="77777777" w:rsidR="00375FAF" w:rsidRPr="00375FAF" w:rsidRDefault="00375FAF" w:rsidP="00375FAF">
            <w:pPr>
              <w:spacing w:line="440" w:lineRule="exact"/>
              <w:jc w:val="center"/>
              <w:rPr>
                <w:rFonts w:ascii="宋体" w:eastAsia="宋体" w:hAnsi="宋体" w:cs="Times New Roman"/>
                <w:sz w:val="24"/>
              </w:rPr>
            </w:pPr>
          </w:p>
        </w:tc>
      </w:tr>
      <w:tr w:rsidR="00375FAF" w:rsidRPr="00375FAF" w14:paraId="74CDD3C3" w14:textId="77777777" w:rsidTr="00375FAF">
        <w:trPr>
          <w:trHeight w:val="848"/>
          <w:jc w:val="center"/>
        </w:trPr>
        <w:tc>
          <w:tcPr>
            <w:tcW w:w="1581" w:type="dxa"/>
            <w:vAlign w:val="center"/>
          </w:tcPr>
          <w:p w14:paraId="2FE2CC3E"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课程网址</w:t>
            </w:r>
          </w:p>
        </w:tc>
        <w:tc>
          <w:tcPr>
            <w:tcW w:w="6941" w:type="dxa"/>
            <w:gridSpan w:val="3"/>
            <w:vAlign w:val="center"/>
          </w:tcPr>
          <w:p w14:paraId="2AC22338" w14:textId="77777777" w:rsidR="00375FAF" w:rsidRPr="00375FAF" w:rsidRDefault="00375FAF" w:rsidP="00375FAF">
            <w:pPr>
              <w:spacing w:line="440" w:lineRule="exact"/>
              <w:rPr>
                <w:rFonts w:ascii="宋体" w:eastAsia="宋体" w:hAnsi="宋体" w:cs="Times New Roman"/>
                <w:color w:val="FF0000"/>
                <w:sz w:val="24"/>
              </w:rPr>
            </w:pPr>
          </w:p>
        </w:tc>
      </w:tr>
    </w:tbl>
    <w:p w14:paraId="1741D76E" w14:textId="77777777" w:rsidR="00375FAF" w:rsidRPr="00375FAF" w:rsidRDefault="00375FAF" w:rsidP="00375FAF">
      <w:pPr>
        <w:spacing w:beforeLines="50" w:before="156" w:afterLines="50" w:after="156" w:line="440" w:lineRule="exact"/>
        <w:ind w:firstLineChars="200" w:firstLine="560"/>
        <w:rPr>
          <w:rFonts w:ascii="黑体" w:eastAsia="黑体" w:hAnsi="黑体" w:cs="Times New Roman"/>
          <w:sz w:val="28"/>
          <w:szCs w:val="28"/>
        </w:rPr>
      </w:pPr>
      <w:r w:rsidRPr="00375FAF">
        <w:rPr>
          <w:rFonts w:ascii="黑体" w:eastAsia="黑体" w:hAnsi="黑体" w:cs="Times New Roman" w:hint="eastAsia"/>
          <w:sz w:val="28"/>
          <w:szCs w:val="28"/>
        </w:rPr>
        <w:t>二、课程学习目标及与毕业要求的对应关系</w:t>
      </w:r>
    </w:p>
    <w:p w14:paraId="53F2468A" w14:textId="77777777" w:rsidR="00375FAF" w:rsidRPr="00375FAF" w:rsidRDefault="00375FAF" w:rsidP="00375FAF">
      <w:pPr>
        <w:spacing w:beforeLines="50" w:before="156" w:afterLines="50" w:after="156" w:line="440" w:lineRule="exact"/>
        <w:ind w:firstLineChars="200" w:firstLine="560"/>
        <w:rPr>
          <w:rFonts w:ascii="黑体" w:eastAsia="黑体" w:hAnsi="黑体" w:cs="Times New Roman"/>
          <w:sz w:val="28"/>
          <w:szCs w:val="28"/>
        </w:rPr>
      </w:pPr>
      <w:r w:rsidRPr="00375FAF">
        <w:rPr>
          <w:rFonts w:ascii="黑体" w:eastAsia="黑体" w:hAnsi="黑体" w:cs="Times New Roman" w:hint="eastAsia"/>
          <w:sz w:val="28"/>
          <w:szCs w:val="28"/>
        </w:rPr>
        <w:t>（一）课程学习目标</w:t>
      </w:r>
    </w:p>
    <w:p w14:paraId="10890316" w14:textId="77777777" w:rsidR="00375FAF" w:rsidRPr="00375FAF" w:rsidRDefault="00375FAF" w:rsidP="00375FAF">
      <w:pPr>
        <w:spacing w:line="440" w:lineRule="exact"/>
        <w:ind w:firstLineChars="200" w:firstLine="480"/>
        <w:rPr>
          <w:rFonts w:ascii="宋体" w:eastAsia="宋体" w:hAnsi="宋体" w:cs="Times New Roman"/>
          <w:sz w:val="24"/>
        </w:rPr>
      </w:pPr>
      <w:r w:rsidRPr="00375FAF">
        <w:rPr>
          <w:rFonts w:ascii="宋体" w:eastAsia="宋体" w:hAnsi="宋体" w:cs="Times New Roman" w:hint="eastAsia"/>
          <w:sz w:val="24"/>
        </w:rPr>
        <w:t>通过本课程的学习，使学生达到以下目标：</w:t>
      </w:r>
    </w:p>
    <w:p w14:paraId="73482C7E" w14:textId="77777777" w:rsidR="00375FAF" w:rsidRPr="00375FAF" w:rsidRDefault="00375FAF" w:rsidP="00375FAF">
      <w:pPr>
        <w:adjustRightInd w:val="0"/>
        <w:snapToGrid w:val="0"/>
        <w:spacing w:line="360" w:lineRule="exact"/>
        <w:ind w:firstLineChars="200" w:firstLine="480"/>
        <w:rPr>
          <w:rFonts w:ascii="宋体" w:eastAsia="宋体" w:hAnsi="宋体" w:cs="宋体"/>
          <w:sz w:val="24"/>
        </w:rPr>
      </w:pPr>
      <w:r w:rsidRPr="00375FAF">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w:t>
      </w:r>
      <w:r w:rsidRPr="00B26124">
        <w:rPr>
          <w:rFonts w:ascii="宋体" w:eastAsia="宋体" w:hAnsi="宋体" w:cs="仿宋_GB2312" w:hint="eastAsia"/>
          <w:b/>
          <w:bCs/>
          <w:sz w:val="24"/>
        </w:rPr>
        <w:t>【毕业要求8/10 职业规范】</w:t>
      </w:r>
    </w:p>
    <w:p w14:paraId="32DFE53F" w14:textId="77777777" w:rsidR="00375FAF" w:rsidRPr="00B26124" w:rsidRDefault="00375FAF" w:rsidP="00375FAF">
      <w:pPr>
        <w:adjustRightInd w:val="0"/>
        <w:snapToGrid w:val="0"/>
        <w:spacing w:line="360" w:lineRule="exact"/>
        <w:ind w:firstLineChars="200" w:firstLine="480"/>
        <w:rPr>
          <w:rFonts w:ascii="宋体" w:eastAsia="宋体" w:hAnsi="宋体" w:cs="仿宋_GB2312"/>
          <w:b/>
          <w:bCs/>
          <w:sz w:val="24"/>
        </w:rPr>
      </w:pPr>
      <w:r w:rsidRPr="00375FAF">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w:t>
      </w:r>
      <w:r w:rsidRPr="00B26124">
        <w:rPr>
          <w:rFonts w:ascii="宋体" w:eastAsia="宋体" w:hAnsi="宋体" w:cs="仿宋_GB2312" w:hint="eastAsia"/>
          <w:b/>
          <w:bCs/>
          <w:sz w:val="24"/>
        </w:rPr>
        <w:t>【毕业要求8/10 沟通】</w:t>
      </w:r>
    </w:p>
    <w:p w14:paraId="526A64F2" w14:textId="77777777" w:rsidR="00375FAF" w:rsidRPr="00B26124" w:rsidRDefault="00375FAF" w:rsidP="00375FAF">
      <w:pPr>
        <w:adjustRightInd w:val="0"/>
        <w:snapToGrid w:val="0"/>
        <w:spacing w:line="360" w:lineRule="exact"/>
        <w:ind w:firstLineChars="200" w:firstLine="480"/>
        <w:rPr>
          <w:rFonts w:ascii="黑体" w:eastAsia="黑体" w:hAnsi="黑体" w:cs="Times New Roman"/>
          <w:b/>
          <w:bCs/>
          <w:sz w:val="28"/>
          <w:szCs w:val="28"/>
        </w:rPr>
      </w:pPr>
      <w:r w:rsidRPr="00375FAF">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w:t>
      </w:r>
      <w:r w:rsidRPr="00375FAF">
        <w:rPr>
          <w:rFonts w:ascii="宋体" w:eastAsia="宋体" w:hAnsi="宋体" w:cs="仿宋_GB2312" w:hint="eastAsia"/>
          <w:sz w:val="24"/>
        </w:rPr>
        <w:lastRenderedPageBreak/>
        <w:t>练习为基本手段，对大学生机体进行科学的培育，在提高人的生物潜能、心理潜能的过程中促进德、智、体、美全面发展，达到身心健康、全面发展的教育总目的。</w:t>
      </w:r>
      <w:r w:rsidRPr="00B26124">
        <w:rPr>
          <w:rFonts w:ascii="宋体" w:eastAsia="宋体" w:hAnsi="宋体" w:cs="仿宋_GB2312" w:hint="eastAsia"/>
          <w:b/>
          <w:bCs/>
          <w:sz w:val="24"/>
        </w:rPr>
        <w:t>【毕业要求8/12 终身学习】</w:t>
      </w:r>
    </w:p>
    <w:p w14:paraId="56AF878E" w14:textId="77777777" w:rsidR="00375FAF" w:rsidRPr="00375FAF" w:rsidRDefault="00375FAF" w:rsidP="00375FAF">
      <w:pPr>
        <w:spacing w:beforeLines="50" w:before="156" w:afterLines="50" w:after="156" w:line="440" w:lineRule="exact"/>
        <w:ind w:firstLineChars="200" w:firstLine="560"/>
        <w:rPr>
          <w:rFonts w:ascii="黑体" w:eastAsia="黑体" w:hAnsi="黑体" w:cs="Times New Roman"/>
          <w:sz w:val="28"/>
          <w:szCs w:val="28"/>
        </w:rPr>
      </w:pPr>
      <w:r w:rsidRPr="00375FAF">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375FAF" w:rsidRPr="00375FAF" w14:paraId="35C9A4A5" w14:textId="77777777" w:rsidTr="00375FAF">
        <w:trPr>
          <w:trHeight w:val="815"/>
          <w:jc w:val="center"/>
        </w:trPr>
        <w:tc>
          <w:tcPr>
            <w:tcW w:w="1708" w:type="dxa"/>
            <w:vAlign w:val="center"/>
          </w:tcPr>
          <w:p w14:paraId="26F04527" w14:textId="77777777" w:rsidR="00375FAF" w:rsidRPr="00375FAF" w:rsidRDefault="00375FAF" w:rsidP="00375FAF">
            <w:pPr>
              <w:spacing w:line="440" w:lineRule="exact"/>
              <w:jc w:val="center"/>
              <w:rPr>
                <w:rFonts w:ascii="宋体" w:eastAsia="宋体" w:hAnsi="宋体" w:cs="Times New Roman"/>
                <w:b/>
                <w:sz w:val="24"/>
              </w:rPr>
            </w:pPr>
            <w:r w:rsidRPr="00375FAF">
              <w:rPr>
                <w:rFonts w:ascii="宋体" w:eastAsia="宋体" w:hAnsi="宋体" w:cs="Times New Roman" w:hint="eastAsia"/>
                <w:b/>
                <w:sz w:val="24"/>
              </w:rPr>
              <w:t>毕业要求</w:t>
            </w:r>
          </w:p>
        </w:tc>
        <w:tc>
          <w:tcPr>
            <w:tcW w:w="5954" w:type="dxa"/>
            <w:vAlign w:val="center"/>
          </w:tcPr>
          <w:p w14:paraId="6A99B897" w14:textId="77777777" w:rsidR="00375FAF" w:rsidRPr="00375FAF" w:rsidRDefault="00375FAF" w:rsidP="00375FAF">
            <w:pPr>
              <w:spacing w:line="440" w:lineRule="exact"/>
              <w:jc w:val="center"/>
              <w:rPr>
                <w:rFonts w:ascii="宋体" w:eastAsia="宋体" w:hAnsi="宋体" w:cs="Times New Roman"/>
                <w:b/>
                <w:sz w:val="24"/>
              </w:rPr>
            </w:pPr>
            <w:r w:rsidRPr="00375FAF">
              <w:rPr>
                <w:rFonts w:ascii="宋体" w:eastAsia="宋体" w:hAnsi="宋体" w:cs="Times New Roman" w:hint="eastAsia"/>
                <w:b/>
                <w:sz w:val="24"/>
              </w:rPr>
              <w:t>毕业要求指标点</w:t>
            </w:r>
          </w:p>
        </w:tc>
        <w:tc>
          <w:tcPr>
            <w:tcW w:w="1507" w:type="dxa"/>
            <w:vAlign w:val="center"/>
          </w:tcPr>
          <w:p w14:paraId="264B6760" w14:textId="77777777" w:rsidR="00375FAF" w:rsidRPr="00375FAF" w:rsidRDefault="00375FAF" w:rsidP="00375FAF">
            <w:pPr>
              <w:spacing w:line="440" w:lineRule="exact"/>
              <w:jc w:val="center"/>
              <w:rPr>
                <w:rFonts w:ascii="宋体" w:eastAsia="宋体" w:hAnsi="宋体" w:cs="Times New Roman"/>
                <w:b/>
                <w:sz w:val="24"/>
              </w:rPr>
            </w:pPr>
            <w:r w:rsidRPr="00375FAF">
              <w:rPr>
                <w:rFonts w:ascii="宋体" w:eastAsia="宋体" w:hAnsi="宋体" w:cs="Times New Roman" w:hint="eastAsia"/>
                <w:b/>
                <w:sz w:val="24"/>
              </w:rPr>
              <w:t>课程目标</w:t>
            </w:r>
          </w:p>
        </w:tc>
      </w:tr>
      <w:tr w:rsidR="00375FAF" w:rsidRPr="00375FAF" w14:paraId="72CFBCAC" w14:textId="77777777" w:rsidTr="00375FAF">
        <w:trPr>
          <w:jc w:val="center"/>
        </w:trPr>
        <w:tc>
          <w:tcPr>
            <w:tcW w:w="1708" w:type="dxa"/>
            <w:vAlign w:val="center"/>
          </w:tcPr>
          <w:p w14:paraId="13BE0E75"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职业规范</w:t>
            </w:r>
            <w:r w:rsidRPr="00375FAF">
              <w:rPr>
                <w:rFonts w:ascii="宋体" w:eastAsia="宋体" w:hAnsi="宋体" w:cs="Times New Roman"/>
                <w:sz w:val="24"/>
              </w:rPr>
              <w:t>（</w:t>
            </w:r>
            <w:r w:rsidRPr="00375FAF">
              <w:rPr>
                <w:rFonts w:ascii="宋体" w:eastAsia="宋体" w:hAnsi="宋体" w:cs="Times New Roman" w:hint="eastAsia"/>
                <w:sz w:val="24"/>
              </w:rPr>
              <w:t>M</w:t>
            </w:r>
            <w:r w:rsidRPr="00375FAF">
              <w:rPr>
                <w:rFonts w:ascii="宋体" w:eastAsia="宋体" w:hAnsi="宋体" w:cs="Times New Roman"/>
                <w:sz w:val="24"/>
              </w:rPr>
              <w:t>）</w:t>
            </w:r>
          </w:p>
        </w:tc>
        <w:tc>
          <w:tcPr>
            <w:tcW w:w="5954" w:type="dxa"/>
            <w:vAlign w:val="center"/>
          </w:tcPr>
          <w:p w14:paraId="7D3D6109" w14:textId="77777777" w:rsidR="00375FAF" w:rsidRPr="00375FAF" w:rsidRDefault="00375FAF" w:rsidP="00375FAF">
            <w:pPr>
              <w:spacing w:line="440" w:lineRule="exact"/>
              <w:rPr>
                <w:rFonts w:ascii="宋体" w:eastAsia="宋体" w:hAnsi="宋体" w:cs="仿宋_GB2312"/>
                <w:sz w:val="24"/>
              </w:rPr>
            </w:pPr>
          </w:p>
          <w:p w14:paraId="36C0A1DD" w14:textId="77777777" w:rsidR="00375FAF" w:rsidRPr="00375FAF" w:rsidRDefault="00375FAF" w:rsidP="00375FAF">
            <w:pPr>
              <w:spacing w:line="440" w:lineRule="exact"/>
              <w:rPr>
                <w:rFonts w:ascii="宋体" w:eastAsia="宋体" w:hAnsi="宋体" w:cs="仿宋_GB2312"/>
                <w:sz w:val="24"/>
              </w:rPr>
            </w:pPr>
          </w:p>
          <w:p w14:paraId="170E5E0D" w14:textId="77777777" w:rsidR="00375FAF" w:rsidRPr="00375FAF" w:rsidRDefault="00375FAF" w:rsidP="00375FAF">
            <w:pPr>
              <w:spacing w:line="440" w:lineRule="exact"/>
              <w:rPr>
                <w:rFonts w:ascii="宋体" w:eastAsia="宋体" w:hAnsi="宋体" w:cs="Times New Roman"/>
                <w:sz w:val="24"/>
              </w:rPr>
            </w:pPr>
          </w:p>
        </w:tc>
        <w:tc>
          <w:tcPr>
            <w:tcW w:w="1507" w:type="dxa"/>
            <w:vAlign w:val="center"/>
          </w:tcPr>
          <w:p w14:paraId="1D3AC622" w14:textId="77777777" w:rsidR="00375FAF" w:rsidRPr="00375FAF" w:rsidRDefault="00375FAF" w:rsidP="00375FAF">
            <w:pPr>
              <w:spacing w:line="440" w:lineRule="exact"/>
              <w:ind w:firstLineChars="50" w:firstLine="120"/>
              <w:rPr>
                <w:rFonts w:ascii="宋体" w:eastAsia="宋体" w:hAnsi="宋体" w:cs="Times New Roman"/>
                <w:sz w:val="24"/>
              </w:rPr>
            </w:pPr>
            <w:r w:rsidRPr="00375FAF">
              <w:rPr>
                <w:rFonts w:ascii="宋体" w:eastAsia="宋体" w:hAnsi="宋体" w:cs="Times New Roman" w:hint="eastAsia"/>
                <w:sz w:val="24"/>
              </w:rPr>
              <w:t>课程目标1</w:t>
            </w:r>
          </w:p>
        </w:tc>
      </w:tr>
      <w:tr w:rsidR="00375FAF" w:rsidRPr="00375FAF" w14:paraId="45E0A78C" w14:textId="77777777" w:rsidTr="00375FAF">
        <w:trPr>
          <w:jc w:val="center"/>
        </w:trPr>
        <w:tc>
          <w:tcPr>
            <w:tcW w:w="1708" w:type="dxa"/>
            <w:vAlign w:val="center"/>
          </w:tcPr>
          <w:p w14:paraId="268606C6"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沟通</w:t>
            </w:r>
            <w:r w:rsidRPr="00375FAF">
              <w:rPr>
                <w:rFonts w:ascii="宋体" w:eastAsia="宋体" w:hAnsi="宋体" w:cs="Times New Roman"/>
                <w:sz w:val="24"/>
              </w:rPr>
              <w:t>（</w:t>
            </w:r>
            <w:r w:rsidRPr="00375FAF">
              <w:rPr>
                <w:rFonts w:ascii="宋体" w:eastAsia="宋体" w:hAnsi="宋体" w:cs="Times New Roman" w:hint="eastAsia"/>
                <w:sz w:val="24"/>
              </w:rPr>
              <w:t>M</w:t>
            </w:r>
            <w:r w:rsidRPr="00375FAF">
              <w:rPr>
                <w:rFonts w:ascii="宋体" w:eastAsia="宋体" w:hAnsi="宋体" w:cs="Times New Roman"/>
                <w:sz w:val="24"/>
              </w:rPr>
              <w:t>）</w:t>
            </w:r>
          </w:p>
        </w:tc>
        <w:tc>
          <w:tcPr>
            <w:tcW w:w="5954" w:type="dxa"/>
            <w:vAlign w:val="center"/>
          </w:tcPr>
          <w:p w14:paraId="7EBEB02B" w14:textId="77777777" w:rsidR="00375FAF" w:rsidRPr="00375FAF" w:rsidRDefault="00375FAF" w:rsidP="00375FAF">
            <w:pPr>
              <w:spacing w:line="440" w:lineRule="exact"/>
              <w:jc w:val="center"/>
              <w:rPr>
                <w:rFonts w:ascii="宋体" w:eastAsia="宋体" w:hAnsi="宋体" w:cs="Times New Roman"/>
                <w:sz w:val="24"/>
              </w:rPr>
            </w:pPr>
          </w:p>
          <w:p w14:paraId="74796471" w14:textId="77777777" w:rsidR="00375FAF" w:rsidRPr="00375FAF" w:rsidRDefault="00375FAF" w:rsidP="00375FAF">
            <w:pPr>
              <w:spacing w:line="440" w:lineRule="exact"/>
              <w:jc w:val="center"/>
              <w:rPr>
                <w:rFonts w:ascii="宋体" w:eastAsia="宋体" w:hAnsi="宋体" w:cs="Times New Roman"/>
                <w:sz w:val="24"/>
              </w:rPr>
            </w:pPr>
          </w:p>
          <w:p w14:paraId="700F48F2" w14:textId="77777777" w:rsidR="00375FAF" w:rsidRPr="00375FAF" w:rsidRDefault="00375FAF" w:rsidP="00375FAF">
            <w:pPr>
              <w:spacing w:line="440" w:lineRule="exact"/>
              <w:jc w:val="center"/>
              <w:rPr>
                <w:rFonts w:ascii="宋体" w:eastAsia="宋体" w:hAnsi="宋体" w:cs="Times New Roman"/>
                <w:sz w:val="24"/>
              </w:rPr>
            </w:pPr>
          </w:p>
        </w:tc>
        <w:tc>
          <w:tcPr>
            <w:tcW w:w="1507" w:type="dxa"/>
            <w:vAlign w:val="center"/>
          </w:tcPr>
          <w:p w14:paraId="156E5C89" w14:textId="77777777" w:rsidR="00375FAF" w:rsidRPr="00375FAF" w:rsidRDefault="00375FAF" w:rsidP="00375FAF">
            <w:pPr>
              <w:spacing w:line="440" w:lineRule="exact"/>
              <w:ind w:firstLineChars="50" w:firstLine="120"/>
              <w:rPr>
                <w:rFonts w:ascii="宋体" w:eastAsia="宋体" w:hAnsi="宋体" w:cs="仿宋_GB2312"/>
                <w:sz w:val="24"/>
              </w:rPr>
            </w:pPr>
            <w:r w:rsidRPr="00375FAF">
              <w:rPr>
                <w:rFonts w:ascii="宋体" w:eastAsia="宋体" w:hAnsi="宋体" w:cs="Times New Roman" w:hint="eastAsia"/>
                <w:sz w:val="24"/>
              </w:rPr>
              <w:t>课程目标</w:t>
            </w:r>
            <w:r w:rsidRPr="00375FAF">
              <w:rPr>
                <w:rFonts w:ascii="宋体" w:eastAsia="宋体" w:hAnsi="宋体" w:cs="Times New Roman"/>
                <w:sz w:val="24"/>
              </w:rPr>
              <w:t>2</w:t>
            </w:r>
          </w:p>
        </w:tc>
      </w:tr>
      <w:tr w:rsidR="00375FAF" w:rsidRPr="00375FAF" w14:paraId="0AB48E05" w14:textId="77777777" w:rsidTr="00375FAF">
        <w:trPr>
          <w:jc w:val="center"/>
        </w:trPr>
        <w:tc>
          <w:tcPr>
            <w:tcW w:w="1708" w:type="dxa"/>
            <w:vAlign w:val="center"/>
          </w:tcPr>
          <w:p w14:paraId="56886D0A"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终身学习</w:t>
            </w:r>
            <w:r w:rsidRPr="00375FAF">
              <w:rPr>
                <w:rFonts w:ascii="宋体" w:eastAsia="宋体" w:hAnsi="宋体" w:cs="Times New Roman"/>
                <w:sz w:val="24"/>
              </w:rPr>
              <w:t>（</w:t>
            </w:r>
            <w:r w:rsidRPr="00375FAF">
              <w:rPr>
                <w:rFonts w:ascii="宋体" w:eastAsia="宋体" w:hAnsi="宋体" w:cs="Times New Roman" w:hint="eastAsia"/>
                <w:sz w:val="24"/>
              </w:rPr>
              <w:t>H</w:t>
            </w:r>
            <w:r w:rsidRPr="00375FAF">
              <w:rPr>
                <w:rFonts w:ascii="宋体" w:eastAsia="宋体" w:hAnsi="宋体" w:cs="Times New Roman"/>
                <w:sz w:val="24"/>
              </w:rPr>
              <w:t>）</w:t>
            </w:r>
          </w:p>
        </w:tc>
        <w:tc>
          <w:tcPr>
            <w:tcW w:w="5954" w:type="dxa"/>
            <w:vAlign w:val="center"/>
          </w:tcPr>
          <w:p w14:paraId="4ACC07E7" w14:textId="77777777" w:rsidR="00375FAF" w:rsidRPr="00375FAF" w:rsidRDefault="00375FAF" w:rsidP="00375FAF">
            <w:pPr>
              <w:spacing w:line="440" w:lineRule="exact"/>
              <w:rPr>
                <w:rFonts w:ascii="宋体" w:eastAsia="宋体" w:hAnsi="宋体" w:cs="仿宋_GB2312"/>
                <w:sz w:val="24"/>
              </w:rPr>
            </w:pPr>
          </w:p>
          <w:p w14:paraId="1057F8A5" w14:textId="77777777" w:rsidR="00375FAF" w:rsidRPr="00375FAF" w:rsidRDefault="00375FAF" w:rsidP="00375FAF">
            <w:pPr>
              <w:spacing w:line="440" w:lineRule="exact"/>
              <w:rPr>
                <w:rFonts w:ascii="宋体" w:eastAsia="宋体" w:hAnsi="宋体" w:cs="仿宋_GB2312"/>
                <w:sz w:val="24"/>
              </w:rPr>
            </w:pPr>
          </w:p>
          <w:p w14:paraId="19EA8F9C" w14:textId="77777777" w:rsidR="00375FAF" w:rsidRPr="00375FAF" w:rsidRDefault="00375FAF" w:rsidP="00375FAF">
            <w:pPr>
              <w:spacing w:line="440" w:lineRule="exact"/>
              <w:rPr>
                <w:rFonts w:ascii="宋体" w:eastAsia="宋体" w:hAnsi="宋体" w:cs="Times New Roman"/>
                <w:sz w:val="24"/>
              </w:rPr>
            </w:pPr>
          </w:p>
        </w:tc>
        <w:tc>
          <w:tcPr>
            <w:tcW w:w="1507" w:type="dxa"/>
            <w:vAlign w:val="center"/>
          </w:tcPr>
          <w:p w14:paraId="569419F4" w14:textId="77777777" w:rsidR="00375FAF" w:rsidRPr="00375FAF" w:rsidRDefault="00375FAF" w:rsidP="00375FAF">
            <w:pPr>
              <w:spacing w:line="440" w:lineRule="exact"/>
              <w:ind w:firstLineChars="50" w:firstLine="120"/>
              <w:rPr>
                <w:rFonts w:ascii="宋体" w:eastAsia="宋体" w:hAnsi="宋体" w:cs="Times New Roman"/>
                <w:sz w:val="24"/>
              </w:rPr>
            </w:pPr>
            <w:r w:rsidRPr="00375FAF">
              <w:rPr>
                <w:rFonts w:ascii="宋体" w:eastAsia="宋体" w:hAnsi="宋体" w:cs="Times New Roman"/>
                <w:sz w:val="24"/>
              </w:rPr>
              <w:t>课程目标3</w:t>
            </w:r>
          </w:p>
        </w:tc>
      </w:tr>
    </w:tbl>
    <w:p w14:paraId="4BB90A44" w14:textId="77777777" w:rsidR="00375FAF" w:rsidRPr="00375FAF" w:rsidRDefault="00375FAF" w:rsidP="00375FAF">
      <w:pPr>
        <w:spacing w:beforeLines="50" w:before="156" w:afterLines="50" w:after="156" w:line="440" w:lineRule="exact"/>
        <w:ind w:firstLineChars="200" w:firstLine="560"/>
        <w:rPr>
          <w:rFonts w:ascii="黑体" w:eastAsia="黑体" w:hAnsi="黑体" w:cs="Times New Roman"/>
          <w:sz w:val="28"/>
          <w:szCs w:val="28"/>
        </w:rPr>
      </w:pPr>
      <w:r w:rsidRPr="00375FAF">
        <w:rPr>
          <w:rFonts w:ascii="黑体" w:eastAsia="黑体" w:hAnsi="黑体" w:cs="Times New Roman" w:hint="eastAsia"/>
          <w:sz w:val="28"/>
          <w:szCs w:val="28"/>
        </w:rPr>
        <w:t>三、课程学习内容及与课程学习目标的对应关系</w:t>
      </w:r>
    </w:p>
    <w:p w14:paraId="14CBB23D" w14:textId="77777777" w:rsidR="00375FAF" w:rsidRPr="00375FAF" w:rsidRDefault="00375FAF" w:rsidP="00375FAF">
      <w:pPr>
        <w:spacing w:beforeLines="50" w:before="156" w:afterLines="50" w:after="156" w:line="440" w:lineRule="exact"/>
        <w:ind w:firstLineChars="200" w:firstLine="562"/>
        <w:rPr>
          <w:rFonts w:ascii="黑体" w:eastAsia="黑体" w:hAnsi="黑体" w:cs="Times New Roman"/>
          <w:b/>
          <w:sz w:val="28"/>
          <w:szCs w:val="28"/>
        </w:rPr>
      </w:pPr>
      <w:r w:rsidRPr="00375FAF">
        <w:rPr>
          <w:rFonts w:ascii="黑体" w:eastAsia="黑体" w:hAnsi="黑体" w:cs="Times New Roman" w:hint="eastAsia"/>
          <w:b/>
          <w:sz w:val="28"/>
          <w:szCs w:val="28"/>
        </w:rPr>
        <w:t>（一）课程学习内容</w:t>
      </w:r>
    </w:p>
    <w:p w14:paraId="65819856" w14:textId="77777777" w:rsidR="00375FAF" w:rsidRPr="00375FAF" w:rsidRDefault="00375FAF" w:rsidP="00375FAF">
      <w:pPr>
        <w:ind w:firstLineChars="1300" w:firstLine="3640"/>
        <w:rPr>
          <w:rFonts w:ascii="黑体" w:eastAsia="黑体" w:hAnsi="黑体" w:cs="Times New Roman"/>
          <w:sz w:val="28"/>
          <w:szCs w:val="28"/>
        </w:rPr>
      </w:pPr>
      <w:r w:rsidRPr="00375FAF">
        <w:rPr>
          <w:rFonts w:ascii="黑体" w:eastAsia="黑体" w:hAnsi="黑体" w:cs="Times New Roman" w:hint="eastAsia"/>
          <w:sz w:val="28"/>
          <w:szCs w:val="28"/>
        </w:rPr>
        <w:t xml:space="preserve">学习内容一体能+网球 </w:t>
      </w:r>
    </w:p>
    <w:p w14:paraId="37BE14B4" w14:textId="77777777" w:rsidR="00375FAF" w:rsidRPr="00375FAF" w:rsidRDefault="00375FAF" w:rsidP="00375FAF">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375FAF">
        <w:rPr>
          <w:rFonts w:ascii="宋体" w:eastAsia="宋体" w:hAnsi="宋体" w:cs="Times New Roman" w:hint="eastAsia"/>
          <w:b/>
          <w:sz w:val="24"/>
        </w:rPr>
        <w:t>【学习目标】</w:t>
      </w:r>
    </w:p>
    <w:p w14:paraId="122D01BA" w14:textId="77777777" w:rsidR="00375FAF" w:rsidRPr="00375FAF" w:rsidRDefault="00375FAF" w:rsidP="00375FAF">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375FAF">
        <w:rPr>
          <w:rFonts w:ascii="宋体" w:eastAsia="宋体" w:hAnsi="Calibri" w:cs="宋体" w:hint="eastAsia"/>
          <w:spacing w:val="5"/>
          <w:kern w:val="0"/>
          <w:sz w:val="24"/>
        </w:rPr>
        <w:t>1.</w:t>
      </w:r>
      <w:r w:rsidRPr="00375FAF">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375FAF">
        <w:rPr>
          <w:rFonts w:ascii="宋体" w:eastAsia="宋体" w:hAnsi="Calibri" w:cs="宋体" w:hint="eastAsia"/>
          <w:spacing w:val="5"/>
          <w:kern w:val="0"/>
          <w:sz w:val="24"/>
        </w:rPr>
        <w:t>通过体能教学活动，</w:t>
      </w:r>
      <w:r w:rsidRPr="00375FAF">
        <w:rPr>
          <w:rFonts w:ascii="宋体" w:eastAsia="宋体" w:hAnsi="宋体" w:cs="仿宋_GB2312" w:hint="eastAsia"/>
          <w:sz w:val="24"/>
        </w:rPr>
        <w:t>了解《大学生体质健康标准测验》项目内容、考核方式、评价标准，掌握考核内容锻炼的方式方法。</w:t>
      </w:r>
      <w:r w:rsidRPr="00375FAF">
        <w:rPr>
          <w:rFonts w:ascii="宋体" w:eastAsia="宋体" w:hAnsi="Calibri" w:cs="宋体" w:hint="eastAsia"/>
          <w:spacing w:val="5"/>
          <w:kern w:val="0"/>
          <w:sz w:val="24"/>
        </w:rPr>
        <w:t>培养学生努力学习、不断进取、修身立业、顽强奋进的精神与品质。</w:t>
      </w:r>
    </w:p>
    <w:p w14:paraId="63A80938" w14:textId="77777777" w:rsidR="00375FAF" w:rsidRPr="00375FAF" w:rsidRDefault="00375FAF" w:rsidP="00375FAF">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375FAF">
        <w:rPr>
          <w:rFonts w:ascii="宋体" w:eastAsia="宋体" w:hAnsi="Calibri" w:cs="宋体" w:hint="eastAsia"/>
          <w:spacing w:val="5"/>
          <w:kern w:val="0"/>
          <w:sz w:val="24"/>
        </w:rPr>
        <w:t>2.</w:t>
      </w:r>
      <w:r w:rsidRPr="00375FAF">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w:t>
      </w:r>
      <w:r w:rsidRPr="00375FAF">
        <w:rPr>
          <w:rFonts w:ascii="宋体" w:eastAsia="宋体" w:hAnsi="宋体" w:cs="仿宋_GB2312" w:hint="eastAsia"/>
          <w:sz w:val="24"/>
        </w:rPr>
        <w:lastRenderedPageBreak/>
        <w:t>和自我评价</w:t>
      </w:r>
      <w:r w:rsidRPr="00375FAF">
        <w:rPr>
          <w:rFonts w:ascii="宋体" w:eastAsia="宋体" w:hAnsi="Calibri" w:cs="宋体" w:hint="eastAsia"/>
          <w:spacing w:val="5"/>
          <w:kern w:val="0"/>
          <w:sz w:val="24"/>
        </w:rPr>
        <w:t>。</w:t>
      </w:r>
    </w:p>
    <w:p w14:paraId="4076A294" w14:textId="77777777" w:rsidR="00375FAF" w:rsidRPr="00375FAF" w:rsidRDefault="00375FAF" w:rsidP="00375FAF">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375FAF">
        <w:rPr>
          <w:rFonts w:ascii="宋体" w:eastAsia="宋体" w:hAnsi="Calibri" w:cs="宋体" w:hint="eastAsia"/>
          <w:spacing w:val="5"/>
          <w:kern w:val="0"/>
          <w:sz w:val="24"/>
        </w:rPr>
        <w:t>3.</w:t>
      </w:r>
      <w:r w:rsidRPr="00375FAF">
        <w:rPr>
          <w:rFonts w:ascii="宋体" w:eastAsia="宋体" w:hAnsi="宋体" w:cs="仿宋_GB2312" w:hint="eastAsia"/>
          <w:sz w:val="24"/>
        </w:rPr>
        <w:t>使学生能够掌握网球运动的一般规律和特点，使学生获得网球运动的基本技术、基本技能和基础理论知识，并了解现代网球的发展趋势。以运动和身体练习为基本手段，对大学生机体进行科学的培育，在提高人的生物潜能、心理潜能的过程中促进德、智、体、美全面发展，达到身心健康、全面发展的教育总目的</w:t>
      </w:r>
      <w:r w:rsidRPr="00375FAF">
        <w:rPr>
          <w:rFonts w:ascii="宋体" w:eastAsia="宋体" w:hAnsi="Calibri" w:cs="宋体" w:hint="eastAsia"/>
          <w:spacing w:val="5"/>
          <w:kern w:val="0"/>
          <w:sz w:val="24"/>
        </w:rPr>
        <w:t>。</w:t>
      </w:r>
    </w:p>
    <w:p w14:paraId="2247DD90" w14:textId="77777777" w:rsidR="00375FAF" w:rsidRPr="00375FAF" w:rsidRDefault="00375FAF" w:rsidP="00375FAF">
      <w:pPr>
        <w:spacing w:line="440" w:lineRule="exact"/>
        <w:ind w:firstLineChars="200" w:firstLine="500"/>
        <w:rPr>
          <w:rFonts w:ascii="Calibri" w:eastAsia="宋体" w:hAnsi="Calibri" w:cs="Times New Roman"/>
        </w:rPr>
      </w:pPr>
      <w:r w:rsidRPr="00375FAF">
        <w:rPr>
          <w:rFonts w:ascii="宋体" w:eastAsia="宋体" w:hAnsi="Calibri" w:cs="宋体" w:hint="eastAsia"/>
          <w:spacing w:val="5"/>
          <w:kern w:val="0"/>
          <w:sz w:val="24"/>
        </w:rPr>
        <w:t>4.</w:t>
      </w:r>
      <w:r w:rsidRPr="00375FAF">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375FAF">
        <w:rPr>
          <w:rFonts w:ascii="宋体" w:eastAsia="宋体" w:hAnsi="Calibri" w:cs="宋体" w:hint="eastAsia"/>
          <w:spacing w:val="5"/>
          <w:kern w:val="0"/>
          <w:sz w:val="24"/>
        </w:rPr>
        <w:t>。</w:t>
      </w:r>
    </w:p>
    <w:p w14:paraId="3A0B8FF7" w14:textId="77777777" w:rsidR="00375FAF" w:rsidRPr="00375FAF" w:rsidRDefault="00375FAF" w:rsidP="00375FAF">
      <w:pPr>
        <w:rPr>
          <w:rFonts w:ascii="黑体" w:eastAsia="黑体" w:hAnsi="黑体" w:cs="Times New Roman"/>
          <w:sz w:val="28"/>
          <w:szCs w:val="28"/>
        </w:rPr>
      </w:pPr>
    </w:p>
    <w:p w14:paraId="689EC87A" w14:textId="77777777" w:rsidR="00375FAF" w:rsidRPr="00375FAF" w:rsidRDefault="00375FAF" w:rsidP="00375FAF">
      <w:pPr>
        <w:spacing w:line="440" w:lineRule="exact"/>
        <w:ind w:firstLineChars="200" w:firstLine="482"/>
        <w:rPr>
          <w:rFonts w:ascii="宋体" w:eastAsia="宋体" w:hAnsi="宋体" w:cs="Times New Roman"/>
          <w:bCs/>
          <w:color w:val="FF0000"/>
          <w:sz w:val="24"/>
        </w:rPr>
      </w:pPr>
      <w:r w:rsidRPr="00375FAF">
        <w:rPr>
          <w:rFonts w:ascii="宋体" w:eastAsia="宋体" w:hAnsi="宋体" w:cs="Times New Roman" w:hint="eastAsia"/>
          <w:b/>
          <w:sz w:val="24"/>
        </w:rPr>
        <w:t>【学习内容】</w:t>
      </w:r>
    </w:p>
    <w:p w14:paraId="2E7DD0AE" w14:textId="77777777" w:rsidR="00375FAF" w:rsidRPr="00375FAF" w:rsidRDefault="00375FAF" w:rsidP="00375FAF">
      <w:pPr>
        <w:spacing w:beforeLines="50" w:before="156" w:afterLines="50" w:after="156" w:line="360" w:lineRule="auto"/>
        <w:jc w:val="center"/>
        <w:rPr>
          <w:rFonts w:ascii="宋体" w:eastAsia="宋体" w:hAnsi="Calibri" w:cs="Arial"/>
          <w:b/>
          <w:sz w:val="28"/>
          <w:szCs w:val="28"/>
        </w:rPr>
      </w:pPr>
      <w:r w:rsidRPr="00375FAF">
        <w:rPr>
          <w:rFonts w:ascii="宋体" w:eastAsia="宋体" w:hAnsi="宋体" w:cs="Arial" w:hint="eastAsia"/>
          <w:b/>
          <w:sz w:val="28"/>
          <w:szCs w:val="28"/>
        </w:rPr>
        <w:t>第一章</w:t>
      </w:r>
      <w:r w:rsidRPr="00375FAF">
        <w:rPr>
          <w:rFonts w:ascii="宋体" w:eastAsia="宋体" w:hAnsi="宋体" w:cs="Arial"/>
          <w:b/>
          <w:sz w:val="28"/>
          <w:szCs w:val="28"/>
        </w:rPr>
        <w:t xml:space="preserve">   </w:t>
      </w:r>
      <w:r w:rsidRPr="00375FAF">
        <w:rPr>
          <w:rFonts w:ascii="宋体" w:eastAsia="宋体" w:hAnsi="宋体" w:cs="Arial" w:hint="eastAsia"/>
          <w:b/>
          <w:sz w:val="28"/>
          <w:szCs w:val="28"/>
        </w:rPr>
        <w:t>认识健康的重要性（0.5学时）</w:t>
      </w:r>
    </w:p>
    <w:p w14:paraId="2BBB6D51" w14:textId="77777777" w:rsidR="00375FAF" w:rsidRPr="00375FAF" w:rsidRDefault="00375FAF" w:rsidP="00375FAF">
      <w:pPr>
        <w:spacing w:before="50" w:after="50" w:line="360" w:lineRule="auto"/>
        <w:ind w:firstLineChars="196" w:firstLine="472"/>
        <w:rPr>
          <w:rFonts w:ascii="Arial" w:eastAsia="宋体" w:hAnsi="Arial" w:cs="Arial"/>
          <w:b/>
          <w:sz w:val="24"/>
        </w:rPr>
      </w:pPr>
      <w:r w:rsidRPr="00375FAF">
        <w:rPr>
          <w:rFonts w:ascii="Arial" w:eastAsia="宋体" w:hAnsi="Calibri" w:cs="Arial" w:hint="eastAsia"/>
          <w:b/>
          <w:sz w:val="24"/>
        </w:rPr>
        <w:t>本章主要教学内容：</w:t>
      </w:r>
    </w:p>
    <w:p w14:paraId="505D888D"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1.1 健康的内涵</w:t>
      </w:r>
    </w:p>
    <w:p w14:paraId="2F4C780B"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1.2 预防与消除亚健康</w:t>
      </w:r>
    </w:p>
    <w:p w14:paraId="23A60A46"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1.3 维护健康的法则</w:t>
      </w:r>
    </w:p>
    <w:p w14:paraId="33E4F5D3" w14:textId="77777777" w:rsidR="00375FAF" w:rsidRPr="00375FAF" w:rsidRDefault="00375FAF" w:rsidP="00375FAF">
      <w:pPr>
        <w:spacing w:line="360" w:lineRule="auto"/>
        <w:ind w:leftChars="-29" w:left="-61" w:firstLineChars="219" w:firstLine="528"/>
        <w:rPr>
          <w:rFonts w:ascii="Arial" w:eastAsia="宋体" w:hAnsi="Calibri" w:cs="Arial"/>
          <w:b/>
          <w:sz w:val="24"/>
        </w:rPr>
      </w:pPr>
      <w:r w:rsidRPr="00375FAF">
        <w:rPr>
          <w:rFonts w:ascii="Arial" w:eastAsia="宋体" w:hAnsi="Calibri" w:cs="Arial" w:hint="eastAsia"/>
          <w:b/>
          <w:sz w:val="24"/>
        </w:rPr>
        <w:t>本章教学目的及要求：</w:t>
      </w:r>
      <w:r w:rsidRPr="00375FAF">
        <w:rPr>
          <w:rFonts w:ascii="Arial" w:eastAsia="宋体" w:hAnsi="Arial" w:cs="Arial" w:hint="eastAsia"/>
          <w:sz w:val="24"/>
        </w:rPr>
        <w:t>使同学们了解自身健康的重要性及如何维护、促进自身的健康。</w:t>
      </w:r>
    </w:p>
    <w:p w14:paraId="71B763AF" w14:textId="77777777" w:rsidR="00375FAF" w:rsidRPr="00375FAF" w:rsidRDefault="00375FAF" w:rsidP="00375FAF">
      <w:pPr>
        <w:adjustRightInd w:val="0"/>
        <w:snapToGrid w:val="0"/>
        <w:spacing w:line="500" w:lineRule="exact"/>
        <w:ind w:firstLineChars="196" w:firstLine="472"/>
        <w:rPr>
          <w:rFonts w:ascii="Arial" w:eastAsia="宋体" w:hAnsi="Arial" w:cs="Arial"/>
          <w:sz w:val="24"/>
        </w:rPr>
      </w:pPr>
      <w:r w:rsidRPr="00375FAF">
        <w:rPr>
          <w:rFonts w:ascii="Arial" w:eastAsia="宋体" w:hAnsi="Calibri" w:cs="Arial" w:hint="eastAsia"/>
          <w:b/>
          <w:sz w:val="24"/>
        </w:rPr>
        <w:t>本章教学重点及难点：</w:t>
      </w:r>
      <w:r w:rsidRPr="00375FAF">
        <w:rPr>
          <w:rFonts w:ascii="Arial" w:eastAsia="宋体" w:hAnsi="Arial" w:cs="Arial" w:hint="eastAsia"/>
          <w:sz w:val="24"/>
        </w:rPr>
        <w:t>认识到健康的重要性；如何维护自身的健康。</w:t>
      </w:r>
    </w:p>
    <w:p w14:paraId="23782E15" w14:textId="77777777" w:rsidR="00375FAF" w:rsidRPr="00375FAF" w:rsidRDefault="00375FAF" w:rsidP="00375FAF">
      <w:pPr>
        <w:spacing w:beforeLines="50" w:before="156" w:afterLines="50" w:after="156" w:line="360" w:lineRule="auto"/>
        <w:jc w:val="center"/>
        <w:rPr>
          <w:rFonts w:ascii="Arial" w:eastAsia="宋体" w:hAnsi="Arial" w:cs="Arial"/>
          <w:b/>
          <w:sz w:val="28"/>
          <w:szCs w:val="28"/>
        </w:rPr>
      </w:pPr>
      <w:r w:rsidRPr="00375FAF">
        <w:rPr>
          <w:rFonts w:ascii="Arial" w:eastAsia="宋体" w:hAnsi="Calibri" w:cs="Arial" w:hint="eastAsia"/>
          <w:b/>
          <w:sz w:val="28"/>
          <w:szCs w:val="28"/>
        </w:rPr>
        <w:t>第二章</w:t>
      </w:r>
      <w:r w:rsidRPr="00375FAF">
        <w:rPr>
          <w:rFonts w:ascii="Arial" w:eastAsia="宋体" w:hAnsi="Arial" w:cs="Arial"/>
          <w:b/>
          <w:sz w:val="28"/>
          <w:szCs w:val="28"/>
        </w:rPr>
        <w:t xml:space="preserve">   </w:t>
      </w:r>
      <w:r w:rsidRPr="00375FAF">
        <w:rPr>
          <w:rFonts w:ascii="Arial" w:eastAsia="宋体" w:hAnsi="Calibri" w:cs="Arial" w:hint="eastAsia"/>
          <w:b/>
          <w:sz w:val="28"/>
          <w:szCs w:val="28"/>
        </w:rPr>
        <w:t>科学健身的理论与方法（</w:t>
      </w:r>
      <w:r w:rsidRPr="00375FAF">
        <w:rPr>
          <w:rFonts w:ascii="Arial" w:eastAsia="宋体" w:hAnsi="Calibri" w:cs="Arial" w:hint="eastAsia"/>
          <w:b/>
          <w:sz w:val="28"/>
          <w:szCs w:val="28"/>
        </w:rPr>
        <w:t>0.5</w:t>
      </w:r>
      <w:r w:rsidRPr="00375FAF">
        <w:rPr>
          <w:rFonts w:ascii="Arial" w:eastAsia="宋体" w:hAnsi="Calibri" w:cs="Arial" w:hint="eastAsia"/>
          <w:b/>
          <w:sz w:val="28"/>
          <w:szCs w:val="28"/>
        </w:rPr>
        <w:t>学时）</w:t>
      </w:r>
    </w:p>
    <w:p w14:paraId="548C98B2" w14:textId="77777777" w:rsidR="00375FAF" w:rsidRPr="00375FAF" w:rsidRDefault="00375FAF" w:rsidP="00375FAF">
      <w:pPr>
        <w:spacing w:line="360" w:lineRule="auto"/>
        <w:ind w:firstLineChars="196" w:firstLine="472"/>
        <w:rPr>
          <w:rFonts w:ascii="Arial" w:eastAsia="宋体" w:hAnsi="Arial" w:cs="Arial"/>
          <w:b/>
          <w:sz w:val="24"/>
        </w:rPr>
      </w:pPr>
      <w:r w:rsidRPr="00375FAF">
        <w:rPr>
          <w:rFonts w:ascii="Arial" w:eastAsia="宋体" w:hAnsi="Calibri" w:cs="Arial" w:hint="eastAsia"/>
          <w:b/>
          <w:sz w:val="24"/>
        </w:rPr>
        <w:t>本章主要教学内容：</w:t>
      </w:r>
    </w:p>
    <w:p w14:paraId="30CABFEE"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2.1 健身新理念</w:t>
      </w:r>
    </w:p>
    <w:p w14:paraId="6D31CA13"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2.2 运动处方</w:t>
      </w:r>
    </w:p>
    <w:p w14:paraId="2A223915" w14:textId="77777777" w:rsidR="00375FAF" w:rsidRPr="00375FAF" w:rsidRDefault="00375FAF" w:rsidP="00375FAF">
      <w:pPr>
        <w:spacing w:line="360" w:lineRule="auto"/>
        <w:ind w:firstLineChars="196" w:firstLine="472"/>
        <w:rPr>
          <w:rFonts w:ascii="Calibri" w:eastAsia="宋体" w:hAnsi="Calibri" w:cs="Times New Roman"/>
          <w:bCs/>
          <w:sz w:val="24"/>
        </w:rPr>
      </w:pPr>
      <w:r w:rsidRPr="00375FAF">
        <w:rPr>
          <w:rFonts w:ascii="Arial" w:eastAsia="宋体" w:hAnsi="Calibri" w:cs="Arial" w:hint="eastAsia"/>
          <w:b/>
          <w:sz w:val="24"/>
        </w:rPr>
        <w:t>本章教学目的及要求：</w:t>
      </w:r>
      <w:r w:rsidRPr="00375FAF">
        <w:rPr>
          <w:rFonts w:ascii="Calibri" w:eastAsia="宋体" w:hAnsi="Calibri" w:cs="Times New Roman" w:hint="eastAsia"/>
          <w:bCs/>
          <w:sz w:val="24"/>
        </w:rPr>
        <w:t>使学生了解健身新理念及运动处方如何制定。</w:t>
      </w:r>
    </w:p>
    <w:p w14:paraId="7DF4AFF8" w14:textId="77777777" w:rsidR="00375FAF" w:rsidRPr="00375FAF" w:rsidRDefault="00375FAF" w:rsidP="00375FAF">
      <w:pPr>
        <w:spacing w:line="360" w:lineRule="auto"/>
        <w:ind w:firstLineChars="200" w:firstLine="482"/>
        <w:rPr>
          <w:rFonts w:ascii="Arial" w:eastAsia="宋体" w:hAnsi="Arial" w:cs="Arial"/>
          <w:sz w:val="24"/>
        </w:rPr>
      </w:pPr>
      <w:r w:rsidRPr="00375FAF">
        <w:rPr>
          <w:rFonts w:ascii="Arial" w:eastAsia="宋体" w:hAnsi="Calibri" w:cs="Arial" w:hint="eastAsia"/>
          <w:b/>
          <w:sz w:val="24"/>
        </w:rPr>
        <w:t>本章教学重点及难点：</w:t>
      </w:r>
      <w:r w:rsidRPr="00375FAF">
        <w:rPr>
          <w:rFonts w:ascii="Arial" w:eastAsia="宋体" w:hAnsi="Calibri" w:cs="Arial" w:hint="eastAsia"/>
          <w:sz w:val="24"/>
        </w:rPr>
        <w:t>制订运动处方的重要性；如何制订自身的运动处方。</w:t>
      </w:r>
    </w:p>
    <w:p w14:paraId="2F0FB907" w14:textId="77777777" w:rsidR="00375FAF" w:rsidRPr="00375FAF" w:rsidRDefault="00375FAF" w:rsidP="00375FAF">
      <w:pPr>
        <w:spacing w:beforeLines="50" w:before="156" w:afterLines="50" w:after="156" w:line="360" w:lineRule="auto"/>
        <w:jc w:val="center"/>
        <w:rPr>
          <w:rFonts w:ascii="Arial" w:eastAsia="宋体" w:hAnsi="Arial" w:cs="Arial"/>
          <w:b/>
          <w:sz w:val="28"/>
          <w:szCs w:val="28"/>
        </w:rPr>
      </w:pPr>
      <w:r w:rsidRPr="00375FAF">
        <w:rPr>
          <w:rFonts w:ascii="Arial" w:eastAsia="宋体" w:hAnsi="Calibri" w:cs="Arial" w:hint="eastAsia"/>
          <w:b/>
          <w:sz w:val="28"/>
          <w:szCs w:val="28"/>
        </w:rPr>
        <w:lastRenderedPageBreak/>
        <w:t>第三章</w:t>
      </w:r>
      <w:r w:rsidRPr="00375FAF">
        <w:rPr>
          <w:rFonts w:ascii="Arial" w:eastAsia="宋体" w:hAnsi="Arial" w:cs="Arial"/>
          <w:b/>
          <w:sz w:val="28"/>
          <w:szCs w:val="28"/>
        </w:rPr>
        <w:t xml:space="preserve">   </w:t>
      </w:r>
      <w:r w:rsidRPr="00375FAF">
        <w:rPr>
          <w:rFonts w:ascii="Arial" w:eastAsia="宋体" w:hAnsi="Calibri" w:cs="Arial" w:hint="eastAsia"/>
          <w:b/>
          <w:sz w:val="28"/>
          <w:szCs w:val="28"/>
        </w:rPr>
        <w:t>营养与健康（</w:t>
      </w:r>
      <w:r w:rsidRPr="00375FAF">
        <w:rPr>
          <w:rFonts w:ascii="Arial" w:eastAsia="宋体" w:hAnsi="Calibri" w:cs="Arial" w:hint="eastAsia"/>
          <w:b/>
          <w:sz w:val="28"/>
          <w:szCs w:val="28"/>
        </w:rPr>
        <w:t>0.5</w:t>
      </w:r>
      <w:r w:rsidRPr="00375FAF">
        <w:rPr>
          <w:rFonts w:ascii="Arial" w:eastAsia="宋体" w:hAnsi="Calibri" w:cs="Arial" w:hint="eastAsia"/>
          <w:b/>
          <w:sz w:val="28"/>
          <w:szCs w:val="28"/>
        </w:rPr>
        <w:t>学时）</w:t>
      </w:r>
    </w:p>
    <w:p w14:paraId="093A05CE" w14:textId="77777777" w:rsidR="00375FAF" w:rsidRPr="00375FAF" w:rsidRDefault="00375FAF" w:rsidP="00375FAF">
      <w:pPr>
        <w:spacing w:line="360" w:lineRule="auto"/>
        <w:ind w:firstLineChars="196" w:firstLine="472"/>
        <w:rPr>
          <w:rFonts w:ascii="Arial" w:eastAsia="宋体" w:hAnsi="Arial" w:cs="Arial"/>
          <w:b/>
          <w:sz w:val="24"/>
        </w:rPr>
      </w:pPr>
      <w:r w:rsidRPr="00375FAF">
        <w:rPr>
          <w:rFonts w:ascii="Arial" w:eastAsia="宋体" w:hAnsi="Calibri" w:cs="Arial" w:hint="eastAsia"/>
          <w:b/>
          <w:sz w:val="24"/>
        </w:rPr>
        <w:t>本章主要教学内容：</w:t>
      </w:r>
    </w:p>
    <w:p w14:paraId="11FD7586"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3.1 营养对健康的影响</w:t>
      </w:r>
    </w:p>
    <w:p w14:paraId="4392464F"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3.2 营养素及人体对营养的需要</w:t>
      </w:r>
    </w:p>
    <w:p w14:paraId="5DA01A1E"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3.3 平衡膳食</w:t>
      </w:r>
    </w:p>
    <w:p w14:paraId="6216CD6F"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3.4 运动与营养</w:t>
      </w:r>
    </w:p>
    <w:p w14:paraId="1FD401AE" w14:textId="77777777" w:rsidR="00375FAF" w:rsidRPr="00375FAF" w:rsidRDefault="00375FAF" w:rsidP="00375FAF">
      <w:pPr>
        <w:spacing w:line="360" w:lineRule="auto"/>
        <w:ind w:firstLineChars="196" w:firstLine="472"/>
        <w:rPr>
          <w:rFonts w:ascii="Calibri" w:eastAsia="宋体" w:hAnsi="Calibri" w:cs="Times New Roman"/>
          <w:bCs/>
          <w:sz w:val="24"/>
        </w:rPr>
      </w:pPr>
      <w:r w:rsidRPr="00375FAF">
        <w:rPr>
          <w:rFonts w:ascii="Arial" w:eastAsia="宋体" w:hAnsi="Calibri" w:cs="Arial" w:hint="eastAsia"/>
          <w:b/>
          <w:sz w:val="24"/>
        </w:rPr>
        <w:t>本章教学目的及要求：</w:t>
      </w:r>
      <w:r w:rsidRPr="00375FAF">
        <w:rPr>
          <w:rFonts w:ascii="Calibri" w:eastAsia="宋体" w:hAnsi="Calibri" w:cs="Times New Roman" w:hint="eastAsia"/>
          <w:bCs/>
          <w:sz w:val="24"/>
        </w:rPr>
        <w:t>让学生正确认识科学补充营养可以提高自身免疫力，从而提高生活质量。</w:t>
      </w:r>
    </w:p>
    <w:p w14:paraId="23512856" w14:textId="77777777" w:rsidR="00375FAF" w:rsidRPr="00375FAF" w:rsidRDefault="00375FAF" w:rsidP="00375FAF">
      <w:pPr>
        <w:spacing w:line="360" w:lineRule="auto"/>
        <w:ind w:firstLineChars="196" w:firstLine="472"/>
        <w:rPr>
          <w:rFonts w:ascii="Arial" w:eastAsia="宋体" w:hAnsi="Arial" w:cs="Arial"/>
          <w:bCs/>
          <w:sz w:val="24"/>
        </w:rPr>
      </w:pPr>
      <w:r w:rsidRPr="00375FAF">
        <w:rPr>
          <w:rFonts w:ascii="Arial" w:eastAsia="宋体" w:hAnsi="Calibri" w:cs="Arial" w:hint="eastAsia"/>
          <w:b/>
          <w:sz w:val="24"/>
        </w:rPr>
        <w:t>本章教学重点及难点：</w:t>
      </w:r>
      <w:r w:rsidRPr="00375FAF">
        <w:rPr>
          <w:rFonts w:ascii="Arial" w:eastAsia="宋体" w:hAnsi="Calibri" w:cs="Arial" w:hint="eastAsia"/>
          <w:sz w:val="24"/>
        </w:rPr>
        <w:t>学生阶段的营养过剩与运动不足；补充营养的同时如何提高自身的健康。</w:t>
      </w:r>
    </w:p>
    <w:p w14:paraId="7B852096" w14:textId="77777777" w:rsidR="00375FAF" w:rsidRPr="00375FAF" w:rsidRDefault="00375FAF" w:rsidP="00375FAF">
      <w:pPr>
        <w:spacing w:beforeLines="50" w:before="156" w:afterLines="50" w:after="156" w:line="360" w:lineRule="auto"/>
        <w:jc w:val="center"/>
        <w:rPr>
          <w:rFonts w:ascii="Arial" w:eastAsia="宋体" w:hAnsi="Arial" w:cs="Arial"/>
          <w:b/>
          <w:sz w:val="28"/>
          <w:szCs w:val="28"/>
        </w:rPr>
      </w:pPr>
      <w:r w:rsidRPr="00375FAF">
        <w:rPr>
          <w:rFonts w:ascii="Arial" w:eastAsia="宋体" w:hAnsi="Calibri" w:cs="Arial" w:hint="eastAsia"/>
          <w:b/>
          <w:sz w:val="28"/>
          <w:szCs w:val="28"/>
        </w:rPr>
        <w:t>第四章</w:t>
      </w:r>
      <w:r w:rsidRPr="00375FAF">
        <w:rPr>
          <w:rFonts w:ascii="Arial" w:eastAsia="宋体" w:hAnsi="Arial" w:cs="Arial"/>
          <w:b/>
          <w:sz w:val="28"/>
          <w:szCs w:val="28"/>
        </w:rPr>
        <w:t xml:space="preserve">   </w:t>
      </w:r>
      <w:r w:rsidRPr="00375FAF">
        <w:rPr>
          <w:rFonts w:ascii="Arial" w:eastAsia="宋体" w:hAnsi="Calibri" w:cs="Arial" w:hint="eastAsia"/>
          <w:b/>
          <w:sz w:val="28"/>
          <w:szCs w:val="28"/>
        </w:rPr>
        <w:t>体育保健知识（</w:t>
      </w:r>
      <w:r w:rsidRPr="00375FAF">
        <w:rPr>
          <w:rFonts w:ascii="Arial" w:eastAsia="宋体" w:hAnsi="Calibri" w:cs="Arial" w:hint="eastAsia"/>
          <w:b/>
          <w:sz w:val="28"/>
          <w:szCs w:val="28"/>
        </w:rPr>
        <w:t>0.5</w:t>
      </w:r>
      <w:r w:rsidRPr="00375FAF">
        <w:rPr>
          <w:rFonts w:ascii="Arial" w:eastAsia="宋体" w:hAnsi="Calibri" w:cs="Arial" w:hint="eastAsia"/>
          <w:b/>
          <w:sz w:val="28"/>
          <w:szCs w:val="28"/>
        </w:rPr>
        <w:t>学时）</w:t>
      </w:r>
    </w:p>
    <w:p w14:paraId="3D402748" w14:textId="77777777" w:rsidR="00375FAF" w:rsidRPr="00375FAF" w:rsidRDefault="00375FAF" w:rsidP="00375FAF">
      <w:pPr>
        <w:spacing w:line="360" w:lineRule="auto"/>
        <w:ind w:firstLineChars="196" w:firstLine="472"/>
        <w:rPr>
          <w:rFonts w:ascii="Arial" w:eastAsia="宋体" w:hAnsi="Arial" w:cs="Arial"/>
          <w:b/>
          <w:sz w:val="24"/>
        </w:rPr>
      </w:pPr>
      <w:r w:rsidRPr="00375FAF">
        <w:rPr>
          <w:rFonts w:ascii="Arial" w:eastAsia="宋体" w:hAnsi="Calibri" w:cs="Arial" w:hint="eastAsia"/>
          <w:b/>
          <w:sz w:val="24"/>
        </w:rPr>
        <w:t>本章主要教学内容：</w:t>
      </w:r>
    </w:p>
    <w:p w14:paraId="612FDAAF"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4.1运动中常见的生理反应与处理方法</w:t>
      </w:r>
    </w:p>
    <w:p w14:paraId="03E54A23"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4.2 运动损伤的处置</w:t>
      </w:r>
    </w:p>
    <w:p w14:paraId="0E59DD09"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4.3女子运动保健</w:t>
      </w:r>
    </w:p>
    <w:p w14:paraId="28815E37" w14:textId="77777777" w:rsidR="00375FAF" w:rsidRPr="00375FAF" w:rsidRDefault="00375FAF" w:rsidP="00375FAF">
      <w:pPr>
        <w:spacing w:line="360" w:lineRule="auto"/>
        <w:ind w:firstLineChars="196" w:firstLine="472"/>
        <w:rPr>
          <w:rFonts w:ascii="Calibri" w:eastAsia="宋体" w:hAnsi="Calibri" w:cs="Times New Roman"/>
          <w:bCs/>
          <w:sz w:val="24"/>
        </w:rPr>
      </w:pPr>
      <w:r w:rsidRPr="00375FAF">
        <w:rPr>
          <w:rFonts w:ascii="Arial" w:eastAsia="宋体" w:hAnsi="Calibri" w:cs="Arial" w:hint="eastAsia"/>
          <w:b/>
          <w:sz w:val="24"/>
        </w:rPr>
        <w:t>本章教学目的及要求：</w:t>
      </w:r>
      <w:r w:rsidRPr="00375FAF">
        <w:rPr>
          <w:rFonts w:ascii="Calibri" w:eastAsia="宋体" w:hAnsi="Calibri" w:cs="Times New Roman" w:hint="eastAsia"/>
          <w:bCs/>
          <w:sz w:val="24"/>
        </w:rPr>
        <w:t>使学生了解运动中常见的生理反应及处理方法。</w:t>
      </w:r>
    </w:p>
    <w:p w14:paraId="06082373" w14:textId="77777777" w:rsidR="00375FAF" w:rsidRPr="00375FAF" w:rsidRDefault="00375FAF" w:rsidP="00375FAF">
      <w:pPr>
        <w:spacing w:line="360" w:lineRule="auto"/>
        <w:ind w:firstLineChars="196" w:firstLine="472"/>
        <w:rPr>
          <w:rFonts w:ascii="Arial" w:eastAsia="宋体" w:hAnsi="Calibri" w:cs="Arial"/>
          <w:sz w:val="24"/>
        </w:rPr>
      </w:pPr>
      <w:r w:rsidRPr="00375FAF">
        <w:rPr>
          <w:rFonts w:ascii="Arial" w:eastAsia="宋体" w:hAnsi="Calibri" w:cs="Arial" w:hint="eastAsia"/>
          <w:b/>
          <w:sz w:val="24"/>
        </w:rPr>
        <w:t>本章教学重点及难点：</w:t>
      </w:r>
      <w:r w:rsidRPr="00375FAF">
        <w:rPr>
          <w:rFonts w:ascii="Arial" w:eastAsia="宋体" w:hAnsi="Calibri" w:cs="Arial" w:hint="eastAsia"/>
          <w:sz w:val="24"/>
        </w:rPr>
        <w:t>学生如何预防常见的运动损伤；运动损伤如何处置。</w:t>
      </w:r>
    </w:p>
    <w:p w14:paraId="0144A07D" w14:textId="77777777" w:rsidR="00375FAF" w:rsidRPr="00375FAF" w:rsidRDefault="00375FAF" w:rsidP="00375FAF">
      <w:pPr>
        <w:tabs>
          <w:tab w:val="left" w:pos="960"/>
        </w:tabs>
        <w:spacing w:beforeLines="50" w:before="156" w:afterLines="50" w:after="156" w:line="360" w:lineRule="auto"/>
        <w:jc w:val="center"/>
        <w:rPr>
          <w:rFonts w:ascii="宋体" w:eastAsia="宋体" w:hAnsi="Calibri" w:cs="Arial"/>
          <w:b/>
          <w:bCs/>
          <w:sz w:val="28"/>
          <w:szCs w:val="28"/>
        </w:rPr>
      </w:pPr>
      <w:r w:rsidRPr="00375FAF">
        <w:rPr>
          <w:rFonts w:ascii="宋体" w:eastAsia="宋体" w:hAnsi="宋体" w:cs="Arial" w:hint="eastAsia"/>
          <w:b/>
          <w:bCs/>
          <w:sz w:val="28"/>
          <w:szCs w:val="28"/>
        </w:rPr>
        <w:t>第五章 了解体育文化（0.5课时）</w:t>
      </w:r>
    </w:p>
    <w:p w14:paraId="40CD873E" w14:textId="77777777" w:rsidR="00375FAF" w:rsidRPr="00375FAF" w:rsidRDefault="00375FAF" w:rsidP="00375FAF">
      <w:pPr>
        <w:spacing w:line="360" w:lineRule="auto"/>
        <w:ind w:firstLineChars="196" w:firstLine="472"/>
        <w:rPr>
          <w:rFonts w:ascii="Arial" w:eastAsia="宋体" w:hAnsi="Arial" w:cs="Arial"/>
          <w:b/>
          <w:sz w:val="24"/>
        </w:rPr>
      </w:pPr>
      <w:r w:rsidRPr="00375FAF">
        <w:rPr>
          <w:rFonts w:ascii="Arial" w:eastAsia="宋体" w:hAnsi="Calibri" w:cs="Arial" w:hint="eastAsia"/>
          <w:b/>
          <w:sz w:val="24"/>
        </w:rPr>
        <w:t>本章主要教学内容：</w:t>
      </w:r>
    </w:p>
    <w:p w14:paraId="27CA3955"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5.1中西方体育文化比较</w:t>
      </w:r>
    </w:p>
    <w:p w14:paraId="14062EB9"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5.2 奥林匹克体育文化</w:t>
      </w:r>
    </w:p>
    <w:p w14:paraId="4C3B3590"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5.3 校园体育文化</w:t>
      </w:r>
    </w:p>
    <w:p w14:paraId="1682C4A9" w14:textId="77777777" w:rsidR="00375FAF" w:rsidRPr="00375FAF" w:rsidRDefault="00375FAF" w:rsidP="00375FAF">
      <w:pPr>
        <w:spacing w:line="360" w:lineRule="auto"/>
        <w:ind w:firstLineChars="196" w:firstLine="472"/>
        <w:rPr>
          <w:rFonts w:ascii="Arial" w:eastAsia="宋体" w:hAnsi="Calibri" w:cs="Arial"/>
          <w:b/>
          <w:sz w:val="24"/>
        </w:rPr>
      </w:pPr>
      <w:r w:rsidRPr="00375FAF">
        <w:rPr>
          <w:rFonts w:ascii="Arial" w:eastAsia="宋体" w:hAnsi="Calibri" w:cs="Arial" w:hint="eastAsia"/>
          <w:b/>
          <w:sz w:val="24"/>
        </w:rPr>
        <w:t>本章教学目的及要求：</w:t>
      </w:r>
      <w:r w:rsidRPr="00375FAF">
        <w:rPr>
          <w:rFonts w:ascii="Arial" w:eastAsia="宋体" w:hAnsi="Calibri" w:cs="Arial" w:hint="eastAsia"/>
          <w:bCs/>
          <w:sz w:val="24"/>
          <w:szCs w:val="28"/>
        </w:rPr>
        <w:t>让学生了解东西方体育文化的差异。</w:t>
      </w:r>
    </w:p>
    <w:p w14:paraId="31BF37B9" w14:textId="77777777" w:rsidR="00375FAF" w:rsidRPr="00375FAF" w:rsidRDefault="00375FAF" w:rsidP="00375FAF">
      <w:pPr>
        <w:spacing w:line="360" w:lineRule="auto"/>
        <w:ind w:firstLineChars="196" w:firstLine="472"/>
        <w:rPr>
          <w:rFonts w:ascii="Arial" w:eastAsia="宋体" w:hAnsi="Calibri" w:cs="Arial"/>
          <w:b/>
          <w:sz w:val="24"/>
        </w:rPr>
      </w:pPr>
      <w:r w:rsidRPr="00375FAF">
        <w:rPr>
          <w:rFonts w:ascii="Arial" w:eastAsia="宋体" w:hAnsi="Calibri" w:cs="Arial" w:hint="eastAsia"/>
          <w:b/>
          <w:sz w:val="24"/>
        </w:rPr>
        <w:t>本章教学重点及难点：</w:t>
      </w:r>
      <w:r w:rsidRPr="00375FAF">
        <w:rPr>
          <w:rFonts w:ascii="Arial" w:eastAsia="宋体" w:hAnsi="Calibri" w:cs="Arial" w:hint="eastAsia"/>
          <w:sz w:val="24"/>
        </w:rPr>
        <w:t>介绍奥林匹克文化的发展</w:t>
      </w:r>
      <w:r w:rsidRPr="00375FAF">
        <w:rPr>
          <w:rFonts w:ascii="Arial" w:eastAsia="宋体" w:hAnsi="Calibri" w:cs="Arial" w:hint="eastAsia"/>
          <w:bCs/>
          <w:sz w:val="24"/>
          <w:szCs w:val="28"/>
        </w:rPr>
        <w:t>；介绍校园体育文化的发展与功能。</w:t>
      </w:r>
    </w:p>
    <w:p w14:paraId="0FC9941E" w14:textId="77777777" w:rsidR="00375FAF" w:rsidRPr="00375FAF" w:rsidRDefault="00375FAF" w:rsidP="00375FAF">
      <w:pPr>
        <w:spacing w:beforeLines="50" w:before="156" w:afterLines="50" w:after="156" w:line="360" w:lineRule="auto"/>
        <w:jc w:val="center"/>
        <w:rPr>
          <w:rFonts w:ascii="Arial" w:eastAsia="宋体" w:hAnsi="Calibri" w:cs="Arial"/>
          <w:b/>
          <w:sz w:val="28"/>
          <w:szCs w:val="28"/>
        </w:rPr>
      </w:pPr>
      <w:r w:rsidRPr="00375FAF">
        <w:rPr>
          <w:rFonts w:ascii="宋体" w:eastAsia="宋体" w:hAnsi="宋体" w:cs="宋体" w:hint="eastAsia"/>
          <w:b/>
          <w:bCs/>
          <w:sz w:val="28"/>
          <w:szCs w:val="28"/>
        </w:rPr>
        <w:lastRenderedPageBreak/>
        <w:t>第六章 欣赏体育比赛</w:t>
      </w:r>
      <w:r w:rsidRPr="00375FAF">
        <w:rPr>
          <w:rFonts w:ascii="Arial" w:eastAsia="宋体" w:hAnsi="Calibri" w:cs="Arial" w:hint="eastAsia"/>
          <w:b/>
          <w:sz w:val="28"/>
          <w:szCs w:val="28"/>
        </w:rPr>
        <w:t>（</w:t>
      </w:r>
      <w:r w:rsidRPr="00375FAF">
        <w:rPr>
          <w:rFonts w:ascii="Arial" w:eastAsia="宋体" w:hAnsi="Arial" w:cs="Arial" w:hint="eastAsia"/>
          <w:b/>
          <w:sz w:val="28"/>
          <w:szCs w:val="28"/>
        </w:rPr>
        <w:t>0.5</w:t>
      </w:r>
      <w:r w:rsidRPr="00375FAF">
        <w:rPr>
          <w:rFonts w:ascii="Arial" w:eastAsia="宋体" w:hAnsi="Calibri" w:cs="Arial" w:hint="eastAsia"/>
          <w:b/>
          <w:sz w:val="28"/>
          <w:szCs w:val="28"/>
        </w:rPr>
        <w:t>学时）</w:t>
      </w:r>
    </w:p>
    <w:p w14:paraId="4344098E" w14:textId="77777777" w:rsidR="00375FAF" w:rsidRPr="00375FAF" w:rsidRDefault="00375FAF" w:rsidP="00375FAF">
      <w:pPr>
        <w:spacing w:line="360" w:lineRule="auto"/>
        <w:ind w:firstLineChars="196" w:firstLine="472"/>
        <w:rPr>
          <w:rFonts w:ascii="Arial" w:eastAsia="宋体" w:hAnsi="Arial" w:cs="Arial"/>
          <w:b/>
          <w:sz w:val="24"/>
        </w:rPr>
      </w:pPr>
      <w:r w:rsidRPr="00375FAF">
        <w:rPr>
          <w:rFonts w:ascii="Arial" w:eastAsia="宋体" w:hAnsi="Calibri" w:cs="Arial" w:hint="eastAsia"/>
          <w:b/>
          <w:sz w:val="24"/>
        </w:rPr>
        <w:t>本章主要教学内容：</w:t>
      </w:r>
    </w:p>
    <w:p w14:paraId="242F7171"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6.1体育欣赏的体育美学原理及特点</w:t>
      </w:r>
    </w:p>
    <w:p w14:paraId="4B1FC242"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6.2 体育运动的欣赏内容</w:t>
      </w:r>
    </w:p>
    <w:p w14:paraId="1C6C3F63"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6.3 特定运动项目的欣赏</w:t>
      </w:r>
    </w:p>
    <w:p w14:paraId="7FC87188" w14:textId="77777777" w:rsidR="00375FAF" w:rsidRPr="00375FAF" w:rsidRDefault="00375FAF" w:rsidP="00375FAF">
      <w:pPr>
        <w:spacing w:line="360" w:lineRule="auto"/>
        <w:ind w:firstLineChars="196" w:firstLine="472"/>
        <w:rPr>
          <w:rFonts w:ascii="Arial" w:eastAsia="宋体" w:hAnsi="Calibri" w:cs="Arial"/>
          <w:b/>
          <w:sz w:val="24"/>
        </w:rPr>
      </w:pPr>
      <w:r w:rsidRPr="00375FAF">
        <w:rPr>
          <w:rFonts w:ascii="Arial" w:eastAsia="宋体" w:hAnsi="Calibri" w:cs="Arial" w:hint="eastAsia"/>
          <w:b/>
          <w:sz w:val="24"/>
        </w:rPr>
        <w:t>本章教学目的及要求：</w:t>
      </w:r>
      <w:r w:rsidRPr="00375FAF">
        <w:rPr>
          <w:rFonts w:ascii="Arial" w:eastAsia="宋体" w:hAnsi="Calibri" w:cs="Arial" w:hint="eastAsia"/>
          <w:bCs/>
          <w:sz w:val="24"/>
          <w:szCs w:val="28"/>
        </w:rPr>
        <w:t>使学生提高体育文化素质，培养起体育欣赏的兴趣，树立正确的体育审美观念。</w:t>
      </w:r>
    </w:p>
    <w:p w14:paraId="47B873EE" w14:textId="77777777" w:rsidR="00375FAF" w:rsidRPr="00375FAF" w:rsidRDefault="00375FAF" w:rsidP="00375FAF">
      <w:pPr>
        <w:spacing w:line="360" w:lineRule="auto"/>
        <w:ind w:firstLineChars="196" w:firstLine="472"/>
        <w:rPr>
          <w:rFonts w:ascii="Arial" w:eastAsia="宋体" w:hAnsi="Calibri" w:cs="Arial"/>
          <w:b/>
          <w:sz w:val="24"/>
        </w:rPr>
      </w:pPr>
      <w:r w:rsidRPr="00375FAF">
        <w:rPr>
          <w:rFonts w:ascii="Arial" w:eastAsia="宋体" w:hAnsi="Calibri" w:cs="Arial" w:hint="eastAsia"/>
          <w:b/>
          <w:sz w:val="24"/>
        </w:rPr>
        <w:t>本章教学重点及难点：</w:t>
      </w:r>
      <w:r w:rsidRPr="00375FAF">
        <w:rPr>
          <w:rFonts w:ascii="Arial" w:eastAsia="宋体" w:hAnsi="Calibri" w:cs="Arial" w:hint="eastAsia"/>
          <w:sz w:val="24"/>
        </w:rPr>
        <w:t>如何欣赏球类比赛</w:t>
      </w:r>
      <w:r w:rsidRPr="00375FAF">
        <w:rPr>
          <w:rFonts w:ascii="Arial" w:eastAsia="宋体" w:hAnsi="Calibri" w:cs="Arial" w:hint="eastAsia"/>
          <w:bCs/>
          <w:sz w:val="24"/>
          <w:szCs w:val="28"/>
        </w:rPr>
        <w:t>；如何提高体育欣赏水平。</w:t>
      </w:r>
    </w:p>
    <w:p w14:paraId="0A443F51" w14:textId="77777777" w:rsidR="00375FAF" w:rsidRPr="00375FAF" w:rsidRDefault="00375FAF" w:rsidP="00375FAF">
      <w:pPr>
        <w:spacing w:beforeLines="50" w:before="156" w:afterLines="50" w:after="156" w:line="360" w:lineRule="auto"/>
        <w:jc w:val="center"/>
        <w:rPr>
          <w:rFonts w:ascii="Arial" w:eastAsia="宋体" w:hAnsi="Arial" w:cs="Arial"/>
          <w:b/>
          <w:sz w:val="28"/>
          <w:szCs w:val="28"/>
        </w:rPr>
      </w:pPr>
      <w:r w:rsidRPr="00375FAF">
        <w:rPr>
          <w:rFonts w:ascii="Arial" w:eastAsia="宋体" w:hAnsi="Calibri" w:cs="Arial" w:hint="eastAsia"/>
          <w:b/>
          <w:sz w:val="28"/>
          <w:szCs w:val="28"/>
        </w:rPr>
        <w:t>第七章</w:t>
      </w:r>
      <w:r w:rsidRPr="00375FAF">
        <w:rPr>
          <w:rFonts w:ascii="Arial" w:eastAsia="宋体" w:hAnsi="Arial" w:cs="Arial"/>
          <w:b/>
          <w:sz w:val="28"/>
          <w:szCs w:val="28"/>
        </w:rPr>
        <w:t xml:space="preserve">   </w:t>
      </w:r>
      <w:r w:rsidRPr="00375FAF">
        <w:rPr>
          <w:rFonts w:ascii="Arial" w:eastAsia="宋体" w:hAnsi="Arial" w:cs="Arial"/>
          <w:b/>
          <w:sz w:val="28"/>
          <w:szCs w:val="28"/>
        </w:rPr>
        <w:t>大</w:t>
      </w:r>
      <w:r w:rsidRPr="00375FAF">
        <w:rPr>
          <w:rFonts w:ascii="Arial" w:eastAsia="宋体" w:hAnsi="Calibri" w:cs="Arial" w:hint="eastAsia"/>
          <w:b/>
          <w:sz w:val="28"/>
          <w:szCs w:val="28"/>
        </w:rPr>
        <w:t>学生体质健康测评（</w:t>
      </w:r>
      <w:r w:rsidRPr="00375FAF">
        <w:rPr>
          <w:rFonts w:ascii="Arial" w:eastAsia="宋体" w:hAnsi="Calibri" w:cs="Arial" w:hint="eastAsia"/>
          <w:b/>
          <w:sz w:val="28"/>
          <w:szCs w:val="28"/>
        </w:rPr>
        <w:t>4</w:t>
      </w:r>
      <w:r w:rsidRPr="00375FAF">
        <w:rPr>
          <w:rFonts w:ascii="Arial" w:eastAsia="宋体" w:hAnsi="Calibri" w:cs="Arial" w:hint="eastAsia"/>
          <w:b/>
          <w:sz w:val="28"/>
          <w:szCs w:val="28"/>
        </w:rPr>
        <w:t>学时）</w:t>
      </w:r>
    </w:p>
    <w:p w14:paraId="773DAF55" w14:textId="77777777" w:rsidR="00375FAF" w:rsidRPr="00375FAF" w:rsidRDefault="00375FAF" w:rsidP="00375FAF">
      <w:pPr>
        <w:spacing w:line="360" w:lineRule="auto"/>
        <w:ind w:firstLineChars="196" w:firstLine="472"/>
        <w:rPr>
          <w:rFonts w:ascii="Arial" w:eastAsia="宋体" w:hAnsi="Arial" w:cs="Arial"/>
          <w:b/>
          <w:sz w:val="24"/>
        </w:rPr>
      </w:pPr>
      <w:r w:rsidRPr="00375FAF">
        <w:rPr>
          <w:rFonts w:ascii="Arial" w:eastAsia="宋体" w:hAnsi="Calibri" w:cs="Arial" w:hint="eastAsia"/>
          <w:b/>
          <w:sz w:val="24"/>
        </w:rPr>
        <w:t>本章主要教学内容：</w:t>
      </w:r>
    </w:p>
    <w:p w14:paraId="147C56D4"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7.1 《国家学生体质健康标准》实施说明</w:t>
      </w:r>
    </w:p>
    <w:p w14:paraId="011BBBBE" w14:textId="77777777" w:rsidR="00375FAF" w:rsidRPr="00375FAF" w:rsidRDefault="00375FAF" w:rsidP="00375FAF">
      <w:pPr>
        <w:autoSpaceDE w:val="0"/>
        <w:autoSpaceDN w:val="0"/>
        <w:adjustRightInd w:val="0"/>
        <w:snapToGrid w:val="0"/>
        <w:spacing w:line="500" w:lineRule="exact"/>
        <w:ind w:firstLineChars="200" w:firstLine="500"/>
        <w:jc w:val="left"/>
        <w:rPr>
          <w:rFonts w:ascii="Arial" w:eastAsia="宋体" w:hAnsi="Calibri" w:cs="Arial"/>
          <w:sz w:val="24"/>
        </w:rPr>
      </w:pPr>
      <w:r w:rsidRPr="00375FAF">
        <w:rPr>
          <w:rFonts w:ascii="宋体" w:eastAsia="宋体" w:hAnsi="Calibri" w:cs="宋体" w:hint="eastAsia"/>
          <w:spacing w:val="5"/>
          <w:kern w:val="0"/>
          <w:sz w:val="24"/>
        </w:rPr>
        <w:t>7.2 《国家学生体质健康标准》测试评分表</w:t>
      </w:r>
    </w:p>
    <w:p w14:paraId="1FFE0865" w14:textId="77777777" w:rsidR="00375FAF" w:rsidRPr="00375FAF" w:rsidRDefault="00375FAF" w:rsidP="00375FAF">
      <w:pPr>
        <w:spacing w:line="360" w:lineRule="auto"/>
        <w:ind w:firstLineChars="196" w:firstLine="472"/>
        <w:rPr>
          <w:rFonts w:ascii="Calibri" w:eastAsia="宋体" w:hAnsi="Calibri" w:cs="Times New Roman"/>
          <w:bCs/>
          <w:sz w:val="24"/>
        </w:rPr>
      </w:pPr>
      <w:r w:rsidRPr="00375FAF">
        <w:rPr>
          <w:rFonts w:ascii="Arial" w:eastAsia="宋体" w:hAnsi="Calibri" w:cs="Arial" w:hint="eastAsia"/>
          <w:b/>
          <w:sz w:val="24"/>
        </w:rPr>
        <w:t>本章教学目的及要求：</w:t>
      </w:r>
      <w:r w:rsidRPr="00375FAF">
        <w:rPr>
          <w:rFonts w:ascii="Calibri" w:eastAsia="宋体" w:hAnsi="Calibri" w:cs="Times New Roman" w:hint="eastAsia"/>
          <w:bCs/>
          <w:sz w:val="24"/>
        </w:rPr>
        <w:t>使学生了解体质健康的主要内容及要求。</w:t>
      </w:r>
    </w:p>
    <w:p w14:paraId="6F94D026" w14:textId="77777777" w:rsidR="00375FAF" w:rsidRPr="00375FAF" w:rsidRDefault="00375FAF" w:rsidP="00375FAF">
      <w:pPr>
        <w:spacing w:line="360" w:lineRule="auto"/>
        <w:ind w:firstLineChars="196" w:firstLine="472"/>
        <w:rPr>
          <w:rFonts w:ascii="Arial" w:eastAsia="宋体" w:hAnsi="Calibri" w:cs="Arial"/>
          <w:sz w:val="24"/>
        </w:rPr>
      </w:pPr>
      <w:r w:rsidRPr="00375FAF">
        <w:rPr>
          <w:rFonts w:ascii="Arial" w:eastAsia="宋体" w:hAnsi="Calibri" w:cs="Arial" w:hint="eastAsia"/>
          <w:b/>
          <w:sz w:val="24"/>
        </w:rPr>
        <w:t>本章教学重点及难点：</w:t>
      </w:r>
      <w:r w:rsidRPr="00375FAF">
        <w:rPr>
          <w:rFonts w:ascii="Arial" w:eastAsia="宋体" w:hAnsi="Calibri" w:cs="Arial" w:hint="eastAsia"/>
          <w:sz w:val="24"/>
        </w:rPr>
        <w:t>学生体质健康标准的重要性；如何激发学生锻炼身体的积极性和自觉性。</w:t>
      </w:r>
    </w:p>
    <w:p w14:paraId="3B0235C2" w14:textId="77777777" w:rsidR="00375FAF" w:rsidRPr="00375FAF" w:rsidRDefault="00375FAF" w:rsidP="00375FAF">
      <w:pPr>
        <w:spacing w:beforeLines="50" w:before="156" w:afterLines="50" w:after="156" w:line="360" w:lineRule="auto"/>
        <w:jc w:val="center"/>
        <w:rPr>
          <w:rFonts w:ascii="Arial" w:eastAsia="宋体" w:hAnsi="Calibri" w:cs="Arial"/>
          <w:b/>
          <w:sz w:val="28"/>
          <w:szCs w:val="28"/>
        </w:rPr>
      </w:pPr>
      <w:r w:rsidRPr="00375FAF">
        <w:rPr>
          <w:rFonts w:ascii="Arial" w:eastAsia="宋体" w:hAnsi="Arial" w:cs="Arial" w:hint="eastAsia"/>
          <w:b/>
          <w:sz w:val="28"/>
          <w:szCs w:val="28"/>
        </w:rPr>
        <w:t>第八章</w:t>
      </w:r>
      <w:r w:rsidRPr="00375FAF">
        <w:rPr>
          <w:rFonts w:ascii="Arial" w:eastAsia="宋体" w:hAnsi="Arial" w:cs="Arial"/>
          <w:b/>
          <w:sz w:val="28"/>
          <w:szCs w:val="28"/>
        </w:rPr>
        <w:t xml:space="preserve">  </w:t>
      </w:r>
      <w:r w:rsidRPr="00375FAF">
        <w:rPr>
          <w:rFonts w:ascii="宋体" w:eastAsia="宋体" w:hAnsi="宋体" w:cs="Arial" w:hint="eastAsia"/>
          <w:b/>
          <w:bCs/>
          <w:sz w:val="28"/>
          <w:szCs w:val="28"/>
        </w:rPr>
        <w:t>体能训练</w:t>
      </w:r>
      <w:r w:rsidRPr="00375FAF">
        <w:rPr>
          <w:rFonts w:ascii="Arial" w:eastAsia="宋体" w:hAnsi="Calibri" w:cs="Arial" w:hint="eastAsia"/>
          <w:b/>
          <w:sz w:val="28"/>
          <w:szCs w:val="28"/>
        </w:rPr>
        <w:t>（</w:t>
      </w:r>
      <w:r w:rsidRPr="00375FAF">
        <w:rPr>
          <w:rFonts w:ascii="Arial" w:eastAsia="宋体" w:hAnsi="Calibri" w:cs="Arial" w:hint="eastAsia"/>
          <w:b/>
          <w:sz w:val="28"/>
          <w:szCs w:val="28"/>
        </w:rPr>
        <w:t>13</w:t>
      </w:r>
      <w:r w:rsidRPr="00375FAF">
        <w:rPr>
          <w:rFonts w:ascii="Arial" w:eastAsia="宋体" w:hAnsi="Calibri" w:cs="Arial" w:hint="eastAsia"/>
          <w:b/>
          <w:sz w:val="28"/>
          <w:szCs w:val="28"/>
        </w:rPr>
        <w:t>学时）</w:t>
      </w:r>
    </w:p>
    <w:p w14:paraId="5ED51D94" w14:textId="77777777" w:rsidR="00375FAF" w:rsidRPr="00375FAF" w:rsidRDefault="00375FAF" w:rsidP="00375FAF">
      <w:pPr>
        <w:spacing w:line="360" w:lineRule="auto"/>
        <w:ind w:firstLineChars="196" w:firstLine="472"/>
        <w:rPr>
          <w:rFonts w:ascii="Arial" w:eastAsia="宋体" w:hAnsi="Arial" w:cs="Arial"/>
          <w:b/>
          <w:sz w:val="24"/>
        </w:rPr>
      </w:pPr>
      <w:r w:rsidRPr="00375FAF">
        <w:rPr>
          <w:rFonts w:ascii="Arial" w:eastAsia="宋体" w:hAnsi="Calibri" w:cs="Arial" w:hint="eastAsia"/>
          <w:b/>
          <w:sz w:val="24"/>
        </w:rPr>
        <w:t>本章主要教学内容：</w:t>
      </w:r>
    </w:p>
    <w:p w14:paraId="30DCA942"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8.1体能训练简介</w:t>
      </w:r>
    </w:p>
    <w:p w14:paraId="1C56116F"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8.2加速能力及力量训练2.柔韧能力训练</w:t>
      </w:r>
    </w:p>
    <w:p w14:paraId="2CE79B9A"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8.3弹跳能力及力量训练</w:t>
      </w:r>
    </w:p>
    <w:p w14:paraId="4C493956"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8.4灵敏能力及力量训练</w:t>
      </w:r>
    </w:p>
    <w:p w14:paraId="302982A4"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8.5耐力能力及无氧训练</w:t>
      </w:r>
    </w:p>
    <w:p w14:paraId="4385A4B8"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8.6弹跳能力及力量测试</w:t>
      </w:r>
    </w:p>
    <w:p w14:paraId="790D0A32"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8.7上肢（男）力量训练2.腹肌（女）力量训练</w:t>
      </w:r>
    </w:p>
    <w:p w14:paraId="044D1AD3"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8.8耐力能力及无氧训练</w:t>
      </w:r>
    </w:p>
    <w:p w14:paraId="1D0AD178"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lastRenderedPageBreak/>
        <w:t>8.9引体向上（男）；一分钟仰卧起坐（女）</w:t>
      </w:r>
    </w:p>
    <w:p w14:paraId="4312A0A4"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8.10立定跳远测试</w:t>
      </w:r>
    </w:p>
    <w:p w14:paraId="3CA98853" w14:textId="77777777" w:rsidR="00375FAF" w:rsidRPr="00375FAF" w:rsidRDefault="00375FAF" w:rsidP="00FE4508">
      <w:pPr>
        <w:numPr>
          <w:ilvl w:val="0"/>
          <w:numId w:val="42"/>
        </w:numPr>
        <w:spacing w:beforeLines="50" w:before="156" w:afterLines="50" w:after="156" w:line="360" w:lineRule="auto"/>
        <w:jc w:val="center"/>
        <w:rPr>
          <w:rFonts w:ascii="Arial" w:eastAsia="宋体" w:hAnsi="Calibri" w:cs="Arial"/>
          <w:b/>
          <w:sz w:val="28"/>
          <w:szCs w:val="28"/>
        </w:rPr>
      </w:pPr>
      <w:r w:rsidRPr="00375FAF">
        <w:rPr>
          <w:rFonts w:ascii="Arial" w:eastAsia="宋体" w:hAnsi="Arial" w:cs="Arial" w:hint="eastAsia"/>
          <w:b/>
          <w:sz w:val="28"/>
          <w:szCs w:val="28"/>
        </w:rPr>
        <w:t xml:space="preserve">  </w:t>
      </w:r>
      <w:r w:rsidRPr="00375FAF">
        <w:rPr>
          <w:rFonts w:ascii="Arial" w:eastAsia="宋体" w:hAnsi="Arial" w:cs="Arial" w:hint="eastAsia"/>
          <w:b/>
          <w:sz w:val="28"/>
          <w:szCs w:val="28"/>
        </w:rPr>
        <w:t>选项</w:t>
      </w:r>
      <w:proofErr w:type="gramStart"/>
      <w:r w:rsidRPr="00375FAF">
        <w:rPr>
          <w:rFonts w:ascii="Arial" w:eastAsia="宋体" w:hAnsi="Arial" w:cs="Arial" w:hint="eastAsia"/>
          <w:b/>
          <w:sz w:val="28"/>
          <w:szCs w:val="28"/>
        </w:rPr>
        <w:t>课各项</w:t>
      </w:r>
      <w:proofErr w:type="gramEnd"/>
      <w:r w:rsidRPr="00375FAF">
        <w:rPr>
          <w:rFonts w:ascii="Arial" w:eastAsia="宋体" w:hAnsi="Arial" w:cs="Arial" w:hint="eastAsia"/>
          <w:b/>
          <w:sz w:val="28"/>
          <w:szCs w:val="28"/>
        </w:rPr>
        <w:t>目内容</w:t>
      </w:r>
      <w:r w:rsidRPr="00375FAF">
        <w:rPr>
          <w:rFonts w:ascii="Arial" w:eastAsia="宋体" w:hAnsi="Calibri" w:cs="Arial" w:hint="eastAsia"/>
          <w:b/>
          <w:sz w:val="28"/>
          <w:szCs w:val="28"/>
        </w:rPr>
        <w:t>（</w:t>
      </w:r>
      <w:r w:rsidRPr="00375FAF">
        <w:rPr>
          <w:rFonts w:ascii="Arial" w:eastAsia="宋体" w:hAnsi="Calibri" w:cs="Arial" w:hint="eastAsia"/>
          <w:b/>
          <w:sz w:val="28"/>
          <w:szCs w:val="28"/>
        </w:rPr>
        <w:t>12</w:t>
      </w:r>
      <w:r w:rsidRPr="00375FAF">
        <w:rPr>
          <w:rFonts w:ascii="Arial" w:eastAsia="宋体" w:hAnsi="Calibri" w:cs="Arial" w:hint="eastAsia"/>
          <w:b/>
          <w:sz w:val="28"/>
          <w:szCs w:val="28"/>
        </w:rPr>
        <w:t>学时）</w:t>
      </w:r>
    </w:p>
    <w:p w14:paraId="4EDF9C56" w14:textId="77777777" w:rsidR="00375FAF" w:rsidRPr="00375FAF" w:rsidRDefault="00375FAF" w:rsidP="00375FA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375FAF">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375FAF" w:rsidRPr="00375FAF" w14:paraId="0ED2DD6A"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37D7451"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2EE448E7"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06CD9AF7"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8BEAF6E"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65CBD31"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备注 </w:t>
            </w:r>
          </w:p>
        </w:tc>
      </w:tr>
      <w:tr w:rsidR="00375FAF" w:rsidRPr="00375FAF" w14:paraId="014367FB"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A84F277"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69569997"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网球运动概述 </w:t>
            </w:r>
          </w:p>
        </w:tc>
        <w:tc>
          <w:tcPr>
            <w:tcW w:w="1579" w:type="dxa"/>
            <w:tcBorders>
              <w:top w:val="outset" w:sz="6" w:space="0" w:color="auto"/>
              <w:left w:val="outset" w:sz="6" w:space="0" w:color="auto"/>
              <w:bottom w:val="outset" w:sz="6" w:space="0" w:color="auto"/>
              <w:right w:val="outset" w:sz="6" w:space="0" w:color="auto"/>
            </w:tcBorders>
            <w:vAlign w:val="center"/>
          </w:tcPr>
          <w:p w14:paraId="3A4F384E"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C2FEB3F" w14:textId="77777777" w:rsidR="00375FAF" w:rsidRPr="00375FAF" w:rsidRDefault="00375FAF" w:rsidP="00375FAF">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5607A5F" w14:textId="77777777" w:rsidR="00375FAF" w:rsidRPr="00375FAF" w:rsidRDefault="00375FAF" w:rsidP="00375FAF">
            <w:pPr>
              <w:widowControl/>
              <w:jc w:val="left"/>
              <w:rPr>
                <w:rFonts w:ascii="宋体" w:eastAsia="宋体" w:hAnsi="Calibri" w:cs="宋体"/>
                <w:spacing w:val="1"/>
                <w:kern w:val="0"/>
                <w:sz w:val="24"/>
              </w:rPr>
            </w:pPr>
          </w:p>
        </w:tc>
      </w:tr>
      <w:tr w:rsidR="00375FAF" w:rsidRPr="00375FAF" w14:paraId="51CDAF6C"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1F8B704"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0D91DC17"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网球运动竞赛规则及裁判法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2FB50FD9"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02DBD7A" w14:textId="77777777" w:rsidR="00375FAF" w:rsidRPr="00375FAF" w:rsidRDefault="00375FAF" w:rsidP="00375FAF">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5CAD803" w14:textId="77777777" w:rsidR="00375FAF" w:rsidRPr="00375FAF" w:rsidRDefault="00375FAF" w:rsidP="00375FAF">
            <w:pPr>
              <w:widowControl/>
              <w:jc w:val="left"/>
              <w:rPr>
                <w:rFonts w:ascii="宋体" w:eastAsia="宋体" w:hAnsi="Calibri" w:cs="宋体"/>
                <w:spacing w:val="1"/>
                <w:kern w:val="0"/>
                <w:sz w:val="24"/>
              </w:rPr>
            </w:pPr>
          </w:p>
        </w:tc>
      </w:tr>
      <w:tr w:rsidR="00375FAF" w:rsidRPr="00375FAF" w14:paraId="429880EC"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ACFB53F"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6D692B1E"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网球运动专项身体素质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76A81A0D" w14:textId="77777777" w:rsidR="00375FAF" w:rsidRPr="00375FAF" w:rsidRDefault="00375FAF" w:rsidP="00375FAF">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9FC642D"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29BEB23" w14:textId="77777777" w:rsidR="00375FAF" w:rsidRPr="00375FAF" w:rsidRDefault="00375FAF" w:rsidP="00375FAF">
            <w:pPr>
              <w:widowControl/>
              <w:jc w:val="left"/>
              <w:rPr>
                <w:rFonts w:ascii="宋体" w:eastAsia="宋体" w:hAnsi="Calibri" w:cs="宋体"/>
                <w:spacing w:val="1"/>
                <w:kern w:val="0"/>
                <w:sz w:val="24"/>
              </w:rPr>
            </w:pPr>
          </w:p>
        </w:tc>
      </w:tr>
      <w:tr w:rsidR="00375FAF" w:rsidRPr="00375FAF" w14:paraId="7413C4F9"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F96A417"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0121F5B4"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0EDBAADF" w14:textId="77777777" w:rsidR="00375FAF" w:rsidRPr="00375FAF" w:rsidRDefault="00375FAF" w:rsidP="00375FAF">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C36F47F"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34E760F" w14:textId="77777777" w:rsidR="00375FAF" w:rsidRPr="00375FAF" w:rsidRDefault="00375FAF" w:rsidP="00375FAF">
            <w:pPr>
              <w:widowControl/>
              <w:jc w:val="left"/>
              <w:rPr>
                <w:rFonts w:ascii="宋体" w:eastAsia="宋体" w:hAnsi="Calibri" w:cs="宋体"/>
                <w:spacing w:val="1"/>
                <w:kern w:val="0"/>
                <w:sz w:val="24"/>
              </w:rPr>
            </w:pPr>
          </w:p>
        </w:tc>
      </w:tr>
      <w:tr w:rsidR="00375FAF" w:rsidRPr="00375FAF" w14:paraId="4968F8DF" w14:textId="77777777" w:rsidTr="00375FAF">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5786A66"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6796AD6F"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1A88681F" w14:textId="77777777" w:rsidR="00375FAF" w:rsidRPr="00375FAF" w:rsidRDefault="00375FAF" w:rsidP="00375FAF">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E0F3D35"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9AC1331" w14:textId="77777777" w:rsidR="00375FAF" w:rsidRPr="00375FAF" w:rsidRDefault="00375FAF" w:rsidP="00375FAF">
            <w:pPr>
              <w:widowControl/>
              <w:jc w:val="left"/>
              <w:rPr>
                <w:rFonts w:ascii="宋体" w:eastAsia="宋体" w:hAnsi="Calibri" w:cs="宋体"/>
                <w:spacing w:val="1"/>
                <w:kern w:val="0"/>
                <w:sz w:val="24"/>
              </w:rPr>
            </w:pPr>
          </w:p>
        </w:tc>
      </w:tr>
    </w:tbl>
    <w:p w14:paraId="5B205415" w14:textId="77777777" w:rsidR="00375FAF" w:rsidRPr="00375FAF" w:rsidRDefault="00375FAF" w:rsidP="00375FA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375FAF">
        <w:rPr>
          <w:rFonts w:ascii="宋体" w:eastAsia="宋体" w:hAnsi="Calibri" w:cs="宋体" w:hint="eastAsia"/>
          <w:spacing w:val="1"/>
          <w:kern w:val="0"/>
          <w:sz w:val="24"/>
        </w:rPr>
        <w:t xml:space="preserve"> 9.2理论课学时安排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375FAF" w:rsidRPr="00375FAF" w14:paraId="7BD97B80" w14:textId="77777777" w:rsidTr="00375FAF">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02469801"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4200D4"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426B423"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备注</w:t>
            </w:r>
          </w:p>
        </w:tc>
      </w:tr>
      <w:tr w:rsidR="00375FAF" w:rsidRPr="00375FAF" w14:paraId="7E18E3C6" w14:textId="77777777" w:rsidTr="00375FAF">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163E711" w14:textId="77777777" w:rsidR="00375FAF" w:rsidRPr="00375FAF" w:rsidRDefault="00375FAF" w:rsidP="00375FAF">
            <w:pPr>
              <w:widowControl/>
              <w:spacing w:before="100" w:beforeAutospacing="1" w:after="100" w:afterAutospacing="1"/>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网球概述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0A463E5"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网球运动特点与功能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D993789"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9F45977" w14:textId="77777777" w:rsidR="00375FAF" w:rsidRPr="00375FAF" w:rsidRDefault="00375FAF" w:rsidP="00375FAF">
            <w:pPr>
              <w:widowControl/>
              <w:jc w:val="left"/>
              <w:rPr>
                <w:rFonts w:ascii="宋体" w:eastAsia="宋体" w:hAnsi="Calibri" w:cs="宋体"/>
                <w:spacing w:val="1"/>
                <w:kern w:val="0"/>
                <w:sz w:val="24"/>
              </w:rPr>
            </w:pPr>
          </w:p>
        </w:tc>
      </w:tr>
      <w:tr w:rsidR="00375FAF" w:rsidRPr="00375FAF" w14:paraId="6EDF9D45" w14:textId="77777777" w:rsidTr="00375FAF">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1BE70FF4" w14:textId="77777777" w:rsidR="00375FAF" w:rsidRPr="00375FAF" w:rsidRDefault="00375FAF" w:rsidP="00375FAF">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A5BC236"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世界网球概况 </w:t>
            </w:r>
          </w:p>
        </w:tc>
        <w:tc>
          <w:tcPr>
            <w:tcW w:w="2369" w:type="dxa"/>
            <w:vMerge/>
            <w:tcBorders>
              <w:top w:val="outset" w:sz="6" w:space="0" w:color="auto"/>
              <w:left w:val="outset" w:sz="6" w:space="0" w:color="auto"/>
              <w:bottom w:val="outset" w:sz="6" w:space="0" w:color="auto"/>
              <w:right w:val="outset" w:sz="6" w:space="0" w:color="auto"/>
            </w:tcBorders>
            <w:vAlign w:val="center"/>
          </w:tcPr>
          <w:p w14:paraId="7D36386D" w14:textId="77777777" w:rsidR="00375FAF" w:rsidRPr="00375FAF" w:rsidRDefault="00375FAF" w:rsidP="00375FAF">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241FB140" w14:textId="77777777" w:rsidR="00375FAF" w:rsidRPr="00375FAF" w:rsidRDefault="00375FAF" w:rsidP="00375FAF">
            <w:pPr>
              <w:widowControl/>
              <w:jc w:val="left"/>
              <w:rPr>
                <w:rFonts w:ascii="宋体" w:eastAsia="宋体" w:hAnsi="Calibri" w:cs="宋体"/>
                <w:spacing w:val="1"/>
                <w:kern w:val="0"/>
                <w:sz w:val="24"/>
              </w:rPr>
            </w:pPr>
          </w:p>
        </w:tc>
      </w:tr>
      <w:tr w:rsidR="00375FAF" w:rsidRPr="00375FAF" w14:paraId="7DC35B46" w14:textId="77777777" w:rsidTr="00375FAF">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13A142AD" w14:textId="77777777" w:rsidR="00375FAF" w:rsidRPr="00375FAF" w:rsidRDefault="00375FAF" w:rsidP="00375FAF">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C879BD3"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现代网球概况</w:t>
            </w:r>
          </w:p>
        </w:tc>
        <w:tc>
          <w:tcPr>
            <w:tcW w:w="2369" w:type="dxa"/>
            <w:vMerge/>
            <w:tcBorders>
              <w:top w:val="outset" w:sz="6" w:space="0" w:color="auto"/>
              <w:left w:val="outset" w:sz="6" w:space="0" w:color="auto"/>
              <w:bottom w:val="outset" w:sz="6" w:space="0" w:color="auto"/>
              <w:right w:val="outset" w:sz="6" w:space="0" w:color="auto"/>
            </w:tcBorders>
            <w:vAlign w:val="center"/>
          </w:tcPr>
          <w:p w14:paraId="6971B13C" w14:textId="77777777" w:rsidR="00375FAF" w:rsidRPr="00375FAF" w:rsidRDefault="00375FAF" w:rsidP="00375FAF">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49A944DB" w14:textId="77777777" w:rsidR="00375FAF" w:rsidRPr="00375FAF" w:rsidRDefault="00375FAF" w:rsidP="00375FAF">
            <w:pPr>
              <w:widowControl/>
              <w:jc w:val="left"/>
              <w:rPr>
                <w:rFonts w:ascii="宋体" w:eastAsia="宋体" w:hAnsi="Calibri" w:cs="宋体"/>
                <w:spacing w:val="1"/>
                <w:kern w:val="0"/>
                <w:sz w:val="24"/>
              </w:rPr>
            </w:pPr>
          </w:p>
        </w:tc>
      </w:tr>
      <w:tr w:rsidR="00375FAF" w:rsidRPr="00375FAF" w14:paraId="77F21EC8" w14:textId="77777777" w:rsidTr="00375FAF">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A9184D7" w14:textId="77777777" w:rsidR="00375FAF" w:rsidRPr="00375FAF" w:rsidRDefault="00375FAF" w:rsidP="00375FAF">
            <w:pPr>
              <w:widowControl/>
              <w:spacing w:before="100" w:beforeAutospacing="1" w:after="100" w:afterAutospacing="1"/>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网球规则与裁判法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BA2020C"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网场区划及作用</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1356D50"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9AF5F92" w14:textId="77777777" w:rsidR="00375FAF" w:rsidRPr="00375FAF" w:rsidRDefault="00375FAF" w:rsidP="00375FAF">
            <w:pPr>
              <w:widowControl/>
              <w:jc w:val="left"/>
              <w:rPr>
                <w:rFonts w:ascii="宋体" w:eastAsia="宋体" w:hAnsi="Calibri" w:cs="宋体"/>
                <w:spacing w:val="1"/>
                <w:kern w:val="0"/>
                <w:sz w:val="24"/>
              </w:rPr>
            </w:pPr>
          </w:p>
        </w:tc>
      </w:tr>
      <w:tr w:rsidR="00375FAF" w:rsidRPr="00375FAF" w14:paraId="23845456" w14:textId="77777777" w:rsidTr="00375FAF">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1E93C815" w14:textId="77777777" w:rsidR="00375FAF" w:rsidRPr="00375FAF" w:rsidRDefault="00375FAF" w:rsidP="00375FAF">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66F96FC"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计分标准 </w:t>
            </w:r>
          </w:p>
        </w:tc>
        <w:tc>
          <w:tcPr>
            <w:tcW w:w="2369" w:type="dxa"/>
            <w:vMerge/>
            <w:tcBorders>
              <w:top w:val="outset" w:sz="6" w:space="0" w:color="auto"/>
              <w:left w:val="outset" w:sz="6" w:space="0" w:color="auto"/>
              <w:bottom w:val="outset" w:sz="6" w:space="0" w:color="auto"/>
              <w:right w:val="outset" w:sz="6" w:space="0" w:color="auto"/>
            </w:tcBorders>
            <w:vAlign w:val="center"/>
          </w:tcPr>
          <w:p w14:paraId="220014B8" w14:textId="77777777" w:rsidR="00375FAF" w:rsidRPr="00375FAF" w:rsidRDefault="00375FAF" w:rsidP="00375FAF">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7827A225" w14:textId="77777777" w:rsidR="00375FAF" w:rsidRPr="00375FAF" w:rsidRDefault="00375FAF" w:rsidP="00375FAF">
            <w:pPr>
              <w:widowControl/>
              <w:jc w:val="left"/>
              <w:rPr>
                <w:rFonts w:ascii="宋体" w:eastAsia="宋体" w:hAnsi="Calibri" w:cs="宋体"/>
                <w:spacing w:val="1"/>
                <w:kern w:val="0"/>
                <w:sz w:val="24"/>
              </w:rPr>
            </w:pPr>
          </w:p>
        </w:tc>
      </w:tr>
      <w:tr w:rsidR="00375FAF" w:rsidRPr="00375FAF" w14:paraId="2072DB60" w14:textId="77777777" w:rsidTr="00375FAF">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26A43A7D" w14:textId="77777777" w:rsidR="00375FAF" w:rsidRPr="00375FAF" w:rsidRDefault="00375FAF" w:rsidP="00375FAF">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5649FAF"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发球</w:t>
            </w:r>
          </w:p>
        </w:tc>
        <w:tc>
          <w:tcPr>
            <w:tcW w:w="2369" w:type="dxa"/>
            <w:vMerge/>
            <w:tcBorders>
              <w:top w:val="outset" w:sz="6" w:space="0" w:color="auto"/>
              <w:left w:val="outset" w:sz="6" w:space="0" w:color="auto"/>
              <w:bottom w:val="outset" w:sz="6" w:space="0" w:color="auto"/>
              <w:right w:val="outset" w:sz="6" w:space="0" w:color="auto"/>
            </w:tcBorders>
            <w:vAlign w:val="center"/>
          </w:tcPr>
          <w:p w14:paraId="004EC0FD" w14:textId="77777777" w:rsidR="00375FAF" w:rsidRPr="00375FAF" w:rsidRDefault="00375FAF" w:rsidP="00375FAF">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684E572A" w14:textId="77777777" w:rsidR="00375FAF" w:rsidRPr="00375FAF" w:rsidRDefault="00375FAF" w:rsidP="00375FAF">
            <w:pPr>
              <w:widowControl/>
              <w:jc w:val="left"/>
              <w:rPr>
                <w:rFonts w:ascii="宋体" w:eastAsia="宋体" w:hAnsi="Calibri" w:cs="宋体"/>
                <w:spacing w:val="1"/>
                <w:kern w:val="0"/>
                <w:sz w:val="24"/>
              </w:rPr>
            </w:pPr>
          </w:p>
        </w:tc>
      </w:tr>
      <w:tr w:rsidR="00375FAF" w:rsidRPr="00375FAF" w14:paraId="6EF73AD4" w14:textId="77777777" w:rsidTr="00375FAF">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7156B010" w14:textId="77777777" w:rsidR="00375FAF" w:rsidRPr="00375FAF" w:rsidRDefault="00375FAF" w:rsidP="00375FAF">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5AD4CE0"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裁判信号 </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046AF8FB" w14:textId="77777777" w:rsidR="00375FAF" w:rsidRPr="00375FAF" w:rsidRDefault="00375FAF" w:rsidP="00375FAF">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16DE733A" w14:textId="77777777" w:rsidR="00375FAF" w:rsidRPr="00375FAF" w:rsidRDefault="00375FAF" w:rsidP="00375FAF">
            <w:pPr>
              <w:widowControl/>
              <w:jc w:val="left"/>
              <w:rPr>
                <w:rFonts w:ascii="宋体" w:eastAsia="宋体" w:hAnsi="Calibri" w:cs="宋体"/>
                <w:spacing w:val="1"/>
                <w:kern w:val="0"/>
                <w:sz w:val="24"/>
              </w:rPr>
            </w:pPr>
          </w:p>
        </w:tc>
      </w:tr>
    </w:tbl>
    <w:p w14:paraId="1D98D127" w14:textId="77777777" w:rsidR="00375FAF" w:rsidRPr="00375FAF" w:rsidRDefault="00375FAF" w:rsidP="00375FA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375FAF">
        <w:rPr>
          <w:rFonts w:ascii="宋体" w:eastAsia="宋体" w:hAnsi="Calibri" w:cs="宋体" w:hint="eastAsia"/>
          <w:spacing w:val="1"/>
          <w:kern w:val="0"/>
          <w:sz w:val="24"/>
        </w:rPr>
        <w:t xml:space="preserve">  9.3技术课学时分配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375FAF" w:rsidRPr="00375FAF" w14:paraId="796806EE" w14:textId="77777777" w:rsidTr="00375FAF">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0A9C7BA5"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0401E71"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6DCA30E"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备注</w:t>
            </w:r>
          </w:p>
        </w:tc>
      </w:tr>
      <w:tr w:rsidR="00375FAF" w:rsidRPr="00375FAF" w14:paraId="3AB990AA" w14:textId="77777777" w:rsidTr="00375FAF">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6DED72B"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技术</w:t>
            </w:r>
          </w:p>
          <w:p w14:paraId="4DF14617"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C1AC669"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 xml:space="preserve">颠球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A3A6CC1"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颠球</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E6B144F"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CF6FFA1" w14:textId="77777777" w:rsidR="00375FAF" w:rsidRPr="00375FAF" w:rsidRDefault="00375FAF" w:rsidP="00375FAF">
            <w:pPr>
              <w:widowControl/>
              <w:jc w:val="left"/>
              <w:rPr>
                <w:rFonts w:ascii="宋体" w:eastAsia="宋体" w:hAnsi="Calibri" w:cs="宋体"/>
                <w:spacing w:val="1"/>
                <w:kern w:val="0"/>
                <w:sz w:val="24"/>
              </w:rPr>
            </w:pPr>
          </w:p>
        </w:tc>
      </w:tr>
      <w:tr w:rsidR="00375FAF" w:rsidRPr="00375FAF" w14:paraId="23BE8B17" w14:textId="77777777" w:rsidTr="00375FAF">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7BEFA70A" w14:textId="77777777" w:rsidR="00375FAF" w:rsidRPr="00375FAF" w:rsidRDefault="00375FAF" w:rsidP="00375FAF">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33E8304E"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正手打球技术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D91FBF9" w14:textId="77777777" w:rsidR="00375FAF" w:rsidRPr="00375FAF" w:rsidRDefault="00375FAF" w:rsidP="00375FAF">
            <w:pPr>
              <w:widowControl/>
              <w:jc w:val="center"/>
              <w:rPr>
                <w:rFonts w:ascii="宋体" w:eastAsia="宋体" w:hAnsi="Calibri" w:cs="宋体"/>
                <w:spacing w:val="1"/>
                <w:kern w:val="0"/>
                <w:sz w:val="24"/>
              </w:rPr>
            </w:pP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147C5EEB" w14:textId="77777777" w:rsidR="00375FAF" w:rsidRPr="00375FAF" w:rsidRDefault="00375FAF" w:rsidP="00375FAF">
            <w:pPr>
              <w:widowControl/>
              <w:jc w:val="center"/>
              <w:rPr>
                <w:rFonts w:ascii="宋体" w:eastAsia="宋体" w:hAnsi="Calibri" w:cs="宋体"/>
                <w:spacing w:val="1"/>
                <w:kern w:val="0"/>
                <w:sz w:val="24"/>
              </w:rPr>
            </w:pPr>
            <w:r w:rsidRPr="00375FAF">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025220BC" w14:textId="77777777" w:rsidR="00375FAF" w:rsidRPr="00375FAF" w:rsidRDefault="00375FAF" w:rsidP="00375FAF">
            <w:pPr>
              <w:widowControl/>
              <w:jc w:val="left"/>
              <w:rPr>
                <w:rFonts w:ascii="宋体" w:eastAsia="宋体" w:hAnsi="Calibri" w:cs="宋体"/>
                <w:spacing w:val="1"/>
                <w:kern w:val="0"/>
                <w:sz w:val="24"/>
              </w:rPr>
            </w:pPr>
          </w:p>
        </w:tc>
      </w:tr>
      <w:tr w:rsidR="00375FAF" w:rsidRPr="00375FAF" w14:paraId="273C0030" w14:textId="77777777" w:rsidTr="00375FAF">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5FEAAD13" w14:textId="77777777" w:rsidR="00375FAF" w:rsidRPr="00375FAF" w:rsidRDefault="00375FAF" w:rsidP="00375FAF">
            <w:pPr>
              <w:widowControl/>
              <w:jc w:val="left"/>
              <w:rPr>
                <w:rFonts w:ascii="宋体" w:eastAsia="宋体" w:hAnsi="Calibri" w:cs="宋体"/>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48FE99D4" w14:textId="77777777" w:rsidR="00375FAF" w:rsidRPr="00375FAF" w:rsidRDefault="00375FAF" w:rsidP="00375FAF">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A603161" w14:textId="77777777" w:rsidR="00375FAF" w:rsidRPr="00375FAF" w:rsidRDefault="00375FAF" w:rsidP="00375FAF">
            <w:pPr>
              <w:widowControl/>
              <w:jc w:val="center"/>
              <w:rPr>
                <w:rFonts w:ascii="宋体" w:eastAsia="宋体" w:hAnsi="Calibri" w:cs="宋体"/>
                <w:spacing w:val="1"/>
                <w:kern w:val="0"/>
                <w:sz w:val="24"/>
              </w:rPr>
            </w:pP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07534E81" w14:textId="77777777" w:rsidR="00375FAF" w:rsidRPr="00375FAF" w:rsidRDefault="00375FAF" w:rsidP="00375FAF">
            <w:pPr>
              <w:widowControl/>
              <w:jc w:val="left"/>
              <w:rPr>
                <w:rFonts w:ascii="宋体" w:eastAsia="宋体" w:hAnsi="Calibri" w:cs="宋体"/>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21F74C6F" w14:textId="77777777" w:rsidR="00375FAF" w:rsidRPr="00375FAF" w:rsidRDefault="00375FAF" w:rsidP="00375FAF">
            <w:pPr>
              <w:widowControl/>
              <w:jc w:val="left"/>
              <w:rPr>
                <w:rFonts w:ascii="宋体" w:eastAsia="宋体" w:hAnsi="Calibri" w:cs="宋体"/>
                <w:spacing w:val="1"/>
                <w:kern w:val="0"/>
                <w:sz w:val="24"/>
              </w:rPr>
            </w:pPr>
          </w:p>
        </w:tc>
      </w:tr>
    </w:tbl>
    <w:p w14:paraId="43DFFE50" w14:textId="77777777" w:rsidR="00375FAF" w:rsidRPr="00375FAF" w:rsidRDefault="00375FAF" w:rsidP="00375FAF">
      <w:pPr>
        <w:spacing w:beforeLines="50" w:before="156" w:afterLines="50" w:after="156" w:line="440" w:lineRule="exact"/>
        <w:ind w:firstLineChars="200" w:firstLine="560"/>
        <w:jc w:val="center"/>
        <w:rPr>
          <w:rFonts w:ascii="黑体" w:eastAsia="黑体" w:hAnsi="黑体" w:cs="Times New Roman"/>
          <w:sz w:val="28"/>
          <w:szCs w:val="28"/>
        </w:rPr>
      </w:pPr>
      <w:r w:rsidRPr="00375FAF">
        <w:rPr>
          <w:rFonts w:ascii="黑体" w:eastAsia="黑体" w:hAnsi="黑体" w:cs="Times New Roman" w:hint="eastAsia"/>
          <w:sz w:val="28"/>
          <w:szCs w:val="28"/>
        </w:rPr>
        <w:t>学习内容二 网球 1</w:t>
      </w:r>
    </w:p>
    <w:p w14:paraId="032C2AD8" w14:textId="77777777" w:rsidR="00375FAF" w:rsidRPr="00375FAF" w:rsidRDefault="00375FAF" w:rsidP="00375FAF">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375FAF">
        <w:rPr>
          <w:rFonts w:ascii="宋体" w:eastAsia="宋体" w:hAnsi="宋体" w:cs="Times New Roman" w:hint="eastAsia"/>
          <w:b/>
          <w:sz w:val="24"/>
        </w:rPr>
        <w:t>【学习目标】</w:t>
      </w:r>
    </w:p>
    <w:p w14:paraId="50744389" w14:textId="77777777" w:rsidR="00375FAF" w:rsidRPr="00375FAF" w:rsidRDefault="00375FAF" w:rsidP="00375FAF">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375FAF">
        <w:rPr>
          <w:rFonts w:ascii="宋体" w:eastAsia="宋体" w:hAnsi="Calibri" w:cs="宋体" w:hint="eastAsia"/>
          <w:spacing w:val="5"/>
          <w:kern w:val="0"/>
          <w:sz w:val="24"/>
        </w:rPr>
        <w:t>1.</w:t>
      </w:r>
      <w:r w:rsidRPr="00375FAF">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375FAF">
        <w:rPr>
          <w:rFonts w:ascii="宋体" w:eastAsia="宋体" w:hAnsi="Calibri" w:cs="宋体" w:hint="eastAsia"/>
          <w:spacing w:val="5"/>
          <w:kern w:val="0"/>
          <w:sz w:val="24"/>
        </w:rPr>
        <w:t>通过体能教学活动，</w:t>
      </w:r>
      <w:r w:rsidRPr="00375FAF">
        <w:rPr>
          <w:rFonts w:ascii="宋体" w:eastAsia="宋体" w:hAnsi="宋体" w:cs="仿宋_GB2312" w:hint="eastAsia"/>
          <w:sz w:val="24"/>
        </w:rPr>
        <w:t>了解《大学生体质健康标准测验》项目内容、考核方式、评价标准，掌握</w:t>
      </w:r>
      <w:r w:rsidRPr="00375FAF">
        <w:rPr>
          <w:rFonts w:ascii="宋体" w:eastAsia="宋体" w:hAnsi="宋体" w:cs="仿宋_GB2312" w:hint="eastAsia"/>
          <w:sz w:val="24"/>
        </w:rPr>
        <w:lastRenderedPageBreak/>
        <w:t>考核内容锻炼的方式方法。</w:t>
      </w:r>
      <w:r w:rsidRPr="00375FAF">
        <w:rPr>
          <w:rFonts w:ascii="宋体" w:eastAsia="宋体" w:hAnsi="Calibri" w:cs="宋体" w:hint="eastAsia"/>
          <w:spacing w:val="5"/>
          <w:kern w:val="0"/>
          <w:sz w:val="24"/>
        </w:rPr>
        <w:t>培养学生努力学习、不断进取、修身立业、顽强奋进的精神与品质。</w:t>
      </w:r>
    </w:p>
    <w:p w14:paraId="174FB8EA" w14:textId="77777777" w:rsidR="00375FAF" w:rsidRPr="00375FAF" w:rsidRDefault="00375FAF" w:rsidP="00375FAF">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375FAF">
        <w:rPr>
          <w:rFonts w:ascii="宋体" w:eastAsia="宋体" w:hAnsi="Calibri" w:cs="宋体" w:hint="eastAsia"/>
          <w:spacing w:val="5"/>
          <w:kern w:val="0"/>
          <w:sz w:val="24"/>
        </w:rPr>
        <w:t>2.</w:t>
      </w:r>
      <w:r w:rsidRPr="00375FAF">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375FAF">
        <w:rPr>
          <w:rFonts w:ascii="宋体" w:eastAsia="宋体" w:hAnsi="Calibri" w:cs="宋体" w:hint="eastAsia"/>
          <w:spacing w:val="5"/>
          <w:kern w:val="0"/>
          <w:sz w:val="24"/>
        </w:rPr>
        <w:t>。</w:t>
      </w:r>
    </w:p>
    <w:p w14:paraId="6875A0D4" w14:textId="77777777" w:rsidR="00375FAF" w:rsidRPr="00375FAF" w:rsidRDefault="00375FAF" w:rsidP="00375FAF">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375FAF">
        <w:rPr>
          <w:rFonts w:ascii="宋体" w:eastAsia="宋体" w:hAnsi="Calibri" w:cs="宋体" w:hint="eastAsia"/>
          <w:spacing w:val="5"/>
          <w:kern w:val="0"/>
          <w:sz w:val="24"/>
        </w:rPr>
        <w:t>3.</w:t>
      </w:r>
      <w:r w:rsidRPr="00375FAF">
        <w:rPr>
          <w:rFonts w:ascii="宋体" w:eastAsia="宋体" w:hAnsi="宋体" w:cs="仿宋_GB2312" w:hint="eastAsia"/>
          <w:sz w:val="24"/>
        </w:rPr>
        <w:t>使学生能够掌握网球运动的一般规律和特点，使学生获得网球运动的基本技术、基本技能和基础理论知识，并了解现代网球的发展趋势。以运动和身体练习为基本手段，对大学生机体进行科学的培育，在提高人的生物潜能、心理潜能的过程中促进德、智、体、美全面发展，达到身心健康、全面发展的教育总目的</w:t>
      </w:r>
      <w:r w:rsidRPr="00375FAF">
        <w:rPr>
          <w:rFonts w:ascii="宋体" w:eastAsia="宋体" w:hAnsi="Calibri" w:cs="宋体" w:hint="eastAsia"/>
          <w:spacing w:val="5"/>
          <w:kern w:val="0"/>
          <w:sz w:val="24"/>
        </w:rPr>
        <w:t>。</w:t>
      </w:r>
    </w:p>
    <w:p w14:paraId="03A7CB39" w14:textId="77777777" w:rsidR="00375FAF" w:rsidRPr="00375FAF" w:rsidRDefault="00375FAF" w:rsidP="00375FAF">
      <w:pPr>
        <w:spacing w:line="440" w:lineRule="exact"/>
        <w:ind w:firstLineChars="200" w:firstLine="500"/>
        <w:rPr>
          <w:rFonts w:ascii="宋体" w:eastAsia="宋体" w:hAnsi="宋体" w:cs="Times New Roman"/>
          <w:b/>
          <w:sz w:val="24"/>
        </w:rPr>
      </w:pPr>
      <w:r w:rsidRPr="00375FAF">
        <w:rPr>
          <w:rFonts w:ascii="宋体" w:eastAsia="宋体" w:hAnsi="Calibri" w:cs="宋体" w:hint="eastAsia"/>
          <w:spacing w:val="5"/>
          <w:kern w:val="0"/>
          <w:sz w:val="24"/>
        </w:rPr>
        <w:t>4.</w:t>
      </w:r>
      <w:r w:rsidRPr="00375FAF">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375FAF">
        <w:rPr>
          <w:rFonts w:ascii="宋体" w:eastAsia="宋体" w:hAnsi="Calibri" w:cs="宋体" w:hint="eastAsia"/>
          <w:spacing w:val="5"/>
          <w:kern w:val="0"/>
          <w:sz w:val="24"/>
        </w:rPr>
        <w:t>。</w:t>
      </w:r>
    </w:p>
    <w:p w14:paraId="572BF3E4" w14:textId="77777777" w:rsidR="00375FAF" w:rsidRPr="00375FAF" w:rsidRDefault="00375FAF" w:rsidP="00375FAF">
      <w:pPr>
        <w:adjustRightInd w:val="0"/>
        <w:snapToGrid w:val="0"/>
        <w:spacing w:beforeLines="50" w:before="156" w:afterLines="50" w:after="156" w:line="500" w:lineRule="exact"/>
        <w:jc w:val="center"/>
        <w:rPr>
          <w:rFonts w:ascii="宋体" w:eastAsia="宋体" w:hAnsi="宋体" w:cs="Times New Roman"/>
          <w:b/>
          <w:sz w:val="28"/>
          <w:szCs w:val="28"/>
        </w:rPr>
      </w:pPr>
      <w:r w:rsidRPr="00375FAF">
        <w:rPr>
          <w:rFonts w:ascii="宋体" w:eastAsia="宋体" w:hAnsi="宋体" w:cs="Times New Roman" w:hint="eastAsia"/>
          <w:b/>
          <w:sz w:val="28"/>
          <w:szCs w:val="28"/>
        </w:rPr>
        <w:t>第一章  网球理论知识及体育健康（8学时）</w:t>
      </w:r>
    </w:p>
    <w:p w14:paraId="4C3855C8" w14:textId="77777777" w:rsidR="00375FAF" w:rsidRPr="00375FAF" w:rsidRDefault="00375FAF" w:rsidP="00375FAF">
      <w:pPr>
        <w:rPr>
          <w:rFonts w:ascii="Calibri" w:eastAsia="宋体" w:hAnsi="Calibri" w:cs="Times New Roman"/>
        </w:rPr>
      </w:pPr>
    </w:p>
    <w:p w14:paraId="283FBF56" w14:textId="77777777" w:rsidR="00375FAF" w:rsidRPr="00375FAF" w:rsidRDefault="00375FAF" w:rsidP="00375FAF">
      <w:pPr>
        <w:adjustRightInd w:val="0"/>
        <w:snapToGrid w:val="0"/>
        <w:spacing w:line="500" w:lineRule="exact"/>
        <w:ind w:firstLineChars="200" w:firstLine="482"/>
        <w:rPr>
          <w:rFonts w:ascii="Calibri" w:eastAsia="宋体" w:hAnsi="Calibri" w:cs="Times New Roman"/>
          <w:b/>
          <w:sz w:val="24"/>
        </w:rPr>
      </w:pPr>
      <w:r w:rsidRPr="00375FAF">
        <w:rPr>
          <w:rFonts w:ascii="Calibri" w:eastAsia="宋体" w:hAnsi="Calibri" w:cs="Times New Roman"/>
          <w:b/>
          <w:sz w:val="24"/>
        </w:rPr>
        <w:t>本章主要教学内容：</w:t>
      </w:r>
    </w:p>
    <w:p w14:paraId="309C0C60" w14:textId="77777777" w:rsidR="00375FAF" w:rsidRPr="00375FAF" w:rsidRDefault="00375FAF" w:rsidP="00375FAF">
      <w:pPr>
        <w:adjustRightInd w:val="0"/>
        <w:snapToGrid w:val="0"/>
        <w:spacing w:line="500" w:lineRule="exact"/>
        <w:ind w:leftChars="228" w:left="479"/>
        <w:jc w:val="left"/>
        <w:rPr>
          <w:rFonts w:ascii="宋体" w:eastAsia="宋体" w:hAnsi="宋体" w:cs="宋体"/>
          <w:sz w:val="24"/>
        </w:rPr>
      </w:pPr>
      <w:r w:rsidRPr="00375FAF">
        <w:rPr>
          <w:rFonts w:ascii="宋体" w:eastAsia="宋体" w:hAnsi="宋体" w:cs="宋体" w:hint="eastAsia"/>
          <w:sz w:val="24"/>
        </w:rPr>
        <w:t>1.1网球运动概述</w:t>
      </w:r>
    </w:p>
    <w:p w14:paraId="6D939950" w14:textId="77777777" w:rsidR="00375FAF" w:rsidRPr="00375FAF" w:rsidRDefault="00375FAF" w:rsidP="00375FAF">
      <w:pPr>
        <w:adjustRightInd w:val="0"/>
        <w:snapToGrid w:val="0"/>
        <w:spacing w:line="500" w:lineRule="exact"/>
        <w:ind w:firstLineChars="200" w:firstLine="480"/>
        <w:rPr>
          <w:rFonts w:ascii="宋体" w:eastAsia="宋体" w:hAnsi="宋体" w:cs="宋体"/>
          <w:sz w:val="24"/>
        </w:rPr>
      </w:pPr>
      <w:r w:rsidRPr="00375FAF">
        <w:rPr>
          <w:rFonts w:ascii="宋体" w:eastAsia="宋体" w:hAnsi="宋体" w:cs="宋体" w:hint="eastAsia"/>
          <w:sz w:val="24"/>
        </w:rPr>
        <w:t>网球运动起源，现代网球运动发展规律，我国网球运动发展概况，羽毛球运动的锻炼价值。</w:t>
      </w:r>
    </w:p>
    <w:p w14:paraId="526D751E" w14:textId="77777777" w:rsidR="00375FAF" w:rsidRPr="00375FAF" w:rsidRDefault="00375FAF" w:rsidP="00375FAF">
      <w:pPr>
        <w:adjustRightInd w:val="0"/>
        <w:snapToGrid w:val="0"/>
        <w:spacing w:line="500" w:lineRule="exact"/>
        <w:ind w:firstLineChars="200" w:firstLine="480"/>
        <w:rPr>
          <w:rFonts w:ascii="宋体" w:eastAsia="宋体" w:hAnsi="宋体" w:cs="宋体"/>
          <w:sz w:val="24"/>
        </w:rPr>
      </w:pPr>
      <w:r w:rsidRPr="00375FAF">
        <w:rPr>
          <w:rFonts w:ascii="宋体" w:eastAsia="宋体" w:hAnsi="宋体" w:cs="宋体" w:hint="eastAsia"/>
          <w:sz w:val="24"/>
        </w:rPr>
        <w:t>1.2网球竞赛规则，网球裁判法。</w:t>
      </w:r>
    </w:p>
    <w:p w14:paraId="4C32DED5" w14:textId="77777777" w:rsidR="00375FAF" w:rsidRPr="00375FAF" w:rsidRDefault="00375FAF" w:rsidP="00375FAF">
      <w:pPr>
        <w:adjustRightInd w:val="0"/>
        <w:snapToGrid w:val="0"/>
        <w:spacing w:line="500" w:lineRule="exact"/>
        <w:ind w:leftChars="228" w:left="479"/>
        <w:jc w:val="left"/>
        <w:rPr>
          <w:rFonts w:ascii="宋体" w:eastAsia="宋体" w:hAnsi="宋体" w:cs="宋体"/>
          <w:b/>
          <w:bCs/>
          <w:sz w:val="24"/>
        </w:rPr>
      </w:pPr>
      <w:r w:rsidRPr="00375FAF">
        <w:rPr>
          <w:rFonts w:ascii="宋体" w:eastAsia="宋体" w:hAnsi="宋体" w:cs="宋体" w:hint="eastAsia"/>
          <w:sz w:val="24"/>
        </w:rPr>
        <w:t>1.3《体育与健康》健身方法与常识。</w:t>
      </w:r>
      <w:r w:rsidRPr="00375FAF">
        <w:rPr>
          <w:rFonts w:ascii="宋体" w:eastAsia="宋体" w:hAnsi="宋体" w:cs="宋体" w:hint="eastAsia"/>
          <w:sz w:val="24"/>
        </w:rPr>
        <w:br/>
      </w:r>
      <w:r w:rsidRPr="00375FAF">
        <w:rPr>
          <w:rFonts w:ascii="宋体" w:eastAsia="宋体" w:hAnsi="宋体" w:cs="宋体" w:hint="eastAsia"/>
          <w:b/>
          <w:bCs/>
          <w:sz w:val="24"/>
        </w:rPr>
        <w:t>本章教学目的及要求：</w:t>
      </w:r>
    </w:p>
    <w:p w14:paraId="569B7089" w14:textId="77777777" w:rsidR="00375FAF" w:rsidRPr="00375FAF" w:rsidRDefault="00375FAF" w:rsidP="00375FAF">
      <w:pPr>
        <w:adjustRightInd w:val="0"/>
        <w:snapToGrid w:val="0"/>
        <w:spacing w:line="500" w:lineRule="exact"/>
        <w:ind w:firstLineChars="200" w:firstLine="480"/>
        <w:jc w:val="left"/>
        <w:rPr>
          <w:rFonts w:ascii="Calibri" w:eastAsia="宋体" w:hAnsi="Calibri" w:cs="Times New Roman"/>
          <w:sz w:val="24"/>
        </w:rPr>
      </w:pPr>
      <w:r w:rsidRPr="00375FAF">
        <w:rPr>
          <w:rFonts w:ascii="宋体" w:eastAsia="宋体" w:hAnsi="宋体" w:cs="宋体" w:hint="eastAsia"/>
          <w:sz w:val="24"/>
        </w:rPr>
        <w:t>了解网球运动起源，了解现代网球运动发展规律，了解我国网球运动发展概况，明确网球运动的锻炼价值，明确网球竞赛规则，明确网球裁判法。</w:t>
      </w:r>
      <w:r w:rsidRPr="00375FAF">
        <w:rPr>
          <w:rFonts w:ascii="Calibri" w:eastAsia="宋体" w:hAnsi="Calibri" w:cs="Times New Roman" w:hint="eastAsia"/>
          <w:sz w:val="24"/>
        </w:rPr>
        <w:br/>
      </w:r>
      <w:r w:rsidRPr="00375FAF">
        <w:rPr>
          <w:rFonts w:ascii="Calibri" w:eastAsia="宋体" w:hAnsi="Calibri" w:cs="Times New Roman" w:hint="eastAsia"/>
          <w:sz w:val="24"/>
        </w:rPr>
        <w:lastRenderedPageBreak/>
        <w:t xml:space="preserve">   </w:t>
      </w:r>
      <w:r w:rsidRPr="00375FAF">
        <w:rPr>
          <w:rFonts w:ascii="Calibri" w:eastAsia="宋体" w:hAnsi="Calibri" w:cs="Times New Roman" w:hint="eastAsia"/>
          <w:b/>
          <w:bCs/>
          <w:sz w:val="24"/>
        </w:rPr>
        <w:t>本章教学重点及难点：</w:t>
      </w:r>
      <w:r w:rsidRPr="00375FAF">
        <w:rPr>
          <w:rFonts w:ascii="Calibri" w:eastAsia="宋体" w:hAnsi="Calibri" w:cs="Times New Roman" w:hint="eastAsia"/>
          <w:sz w:val="24"/>
        </w:rPr>
        <w:t>我国网球运动发展概况，我国网球运动发展趋势。网球竞赛规则，违例及其罚则。</w:t>
      </w:r>
      <w:r w:rsidRPr="00375FAF">
        <w:rPr>
          <w:rFonts w:ascii="Calibri" w:eastAsia="宋体" w:hAnsi="Calibri" w:cs="Times New Roman" w:hint="eastAsia"/>
          <w:sz w:val="24"/>
        </w:rPr>
        <w:br/>
      </w:r>
    </w:p>
    <w:p w14:paraId="24392BD6" w14:textId="77777777" w:rsidR="00375FAF" w:rsidRPr="00375FAF" w:rsidRDefault="00375FAF" w:rsidP="00375FAF">
      <w:pPr>
        <w:adjustRightInd w:val="0"/>
        <w:snapToGrid w:val="0"/>
        <w:spacing w:beforeLines="50" w:before="156" w:afterLines="50" w:after="156" w:line="500" w:lineRule="exact"/>
        <w:ind w:firstLineChars="200" w:firstLine="562"/>
        <w:jc w:val="center"/>
        <w:rPr>
          <w:rFonts w:ascii="宋体" w:eastAsia="宋体" w:hAnsi="宋体" w:cs="Times New Roman"/>
          <w:b/>
          <w:sz w:val="28"/>
          <w:szCs w:val="28"/>
        </w:rPr>
      </w:pPr>
      <w:r w:rsidRPr="00375FAF">
        <w:rPr>
          <w:rFonts w:ascii="宋体" w:eastAsia="宋体" w:hAnsi="宋体" w:cs="Times New Roman" w:hint="eastAsia"/>
          <w:b/>
          <w:sz w:val="28"/>
          <w:szCs w:val="28"/>
        </w:rPr>
        <w:t>第二章  网球基本技术与战术  （20学时）</w:t>
      </w:r>
    </w:p>
    <w:p w14:paraId="40537214" w14:textId="77777777" w:rsidR="00375FAF" w:rsidRPr="00375FAF" w:rsidRDefault="00375FAF" w:rsidP="00375FAF">
      <w:pPr>
        <w:adjustRightInd w:val="0"/>
        <w:snapToGrid w:val="0"/>
        <w:spacing w:line="500" w:lineRule="exact"/>
        <w:ind w:firstLineChars="200" w:firstLine="482"/>
        <w:rPr>
          <w:rFonts w:ascii="Calibri" w:eastAsia="宋体" w:hAnsi="Calibri" w:cs="Times New Roman"/>
          <w:b/>
          <w:sz w:val="24"/>
        </w:rPr>
      </w:pPr>
      <w:r w:rsidRPr="00375FAF">
        <w:rPr>
          <w:rFonts w:ascii="Calibri" w:eastAsia="宋体" w:hAnsi="Calibri" w:cs="Times New Roman"/>
          <w:b/>
          <w:sz w:val="24"/>
        </w:rPr>
        <w:t>本章主要教学内容：</w:t>
      </w:r>
    </w:p>
    <w:p w14:paraId="5C4C5217" w14:textId="77777777" w:rsidR="00375FAF" w:rsidRPr="00375FAF" w:rsidRDefault="00375FAF" w:rsidP="00375FAF">
      <w:pPr>
        <w:adjustRightInd w:val="0"/>
        <w:snapToGrid w:val="0"/>
        <w:spacing w:line="500" w:lineRule="exact"/>
        <w:ind w:firstLineChars="200" w:firstLine="480"/>
        <w:rPr>
          <w:rFonts w:ascii="Calibri" w:eastAsia="宋体" w:hAnsi="Calibri" w:cs="Times New Roman"/>
          <w:sz w:val="24"/>
        </w:rPr>
      </w:pPr>
      <w:r w:rsidRPr="00375FAF">
        <w:rPr>
          <w:rFonts w:ascii="Calibri" w:eastAsia="宋体" w:hAnsi="Calibri" w:cs="Times New Roman" w:hint="eastAsia"/>
          <w:sz w:val="24"/>
        </w:rPr>
        <w:t>2.1</w:t>
      </w:r>
      <w:r w:rsidRPr="00375FAF">
        <w:rPr>
          <w:rFonts w:ascii="Calibri" w:eastAsia="宋体" w:hAnsi="Calibri" w:cs="Times New Roman" w:hint="eastAsia"/>
          <w:sz w:val="24"/>
        </w:rPr>
        <w:t>网球击球准备姿势与移动。</w:t>
      </w:r>
    </w:p>
    <w:p w14:paraId="76F61A9D" w14:textId="77777777" w:rsidR="00375FAF" w:rsidRPr="00375FAF" w:rsidRDefault="00375FAF" w:rsidP="00375FAF">
      <w:pPr>
        <w:adjustRightInd w:val="0"/>
        <w:snapToGrid w:val="0"/>
        <w:spacing w:line="500" w:lineRule="exact"/>
        <w:ind w:firstLineChars="200" w:firstLine="480"/>
        <w:rPr>
          <w:rFonts w:ascii="Calibri" w:eastAsia="宋体" w:hAnsi="Calibri" w:cs="Times New Roman"/>
          <w:sz w:val="24"/>
        </w:rPr>
      </w:pPr>
      <w:r w:rsidRPr="00375FAF">
        <w:rPr>
          <w:rFonts w:ascii="Calibri" w:eastAsia="宋体" w:hAnsi="Calibri" w:cs="Times New Roman" w:hint="eastAsia"/>
          <w:sz w:val="24"/>
        </w:rPr>
        <w:t>2.2</w:t>
      </w:r>
      <w:r w:rsidRPr="00375FAF">
        <w:rPr>
          <w:rFonts w:ascii="Calibri" w:eastAsia="宋体" w:hAnsi="Calibri" w:cs="Times New Roman"/>
          <w:sz w:val="24"/>
        </w:rPr>
        <w:t>正手击球：</w:t>
      </w:r>
      <w:proofErr w:type="gramStart"/>
      <w:r w:rsidRPr="00375FAF">
        <w:rPr>
          <w:rFonts w:ascii="Calibri" w:eastAsia="宋体" w:hAnsi="Calibri" w:cs="Times New Roman"/>
          <w:sz w:val="24"/>
        </w:rPr>
        <w:t>正手平</w:t>
      </w:r>
      <w:proofErr w:type="gramEnd"/>
      <w:r w:rsidRPr="00375FAF">
        <w:rPr>
          <w:rFonts w:ascii="Calibri" w:eastAsia="宋体" w:hAnsi="Calibri" w:cs="Times New Roman"/>
          <w:sz w:val="24"/>
        </w:rPr>
        <w:t>击球、正手上旋球。</w:t>
      </w:r>
    </w:p>
    <w:p w14:paraId="5A67E634" w14:textId="77777777" w:rsidR="00375FAF" w:rsidRPr="00375FAF" w:rsidRDefault="00375FAF" w:rsidP="00375FAF">
      <w:pPr>
        <w:adjustRightInd w:val="0"/>
        <w:snapToGrid w:val="0"/>
        <w:spacing w:line="500" w:lineRule="exact"/>
        <w:ind w:firstLineChars="200" w:firstLine="480"/>
        <w:rPr>
          <w:rFonts w:ascii="Calibri" w:eastAsia="宋体" w:hAnsi="Calibri" w:cs="Times New Roman"/>
          <w:sz w:val="24"/>
        </w:rPr>
      </w:pPr>
      <w:r w:rsidRPr="00375FAF">
        <w:rPr>
          <w:rFonts w:ascii="Calibri" w:eastAsia="宋体" w:hAnsi="Calibri" w:cs="Times New Roman" w:hint="eastAsia"/>
          <w:sz w:val="24"/>
        </w:rPr>
        <w:t>2.3</w:t>
      </w:r>
      <w:r w:rsidRPr="00375FAF">
        <w:rPr>
          <w:rFonts w:ascii="Calibri" w:eastAsia="宋体" w:hAnsi="Calibri" w:cs="Times New Roman"/>
          <w:sz w:val="24"/>
        </w:rPr>
        <w:t>反手击球：双手反手击球、单手反手击球。</w:t>
      </w:r>
    </w:p>
    <w:p w14:paraId="5EF74BC1" w14:textId="77777777" w:rsidR="00375FAF" w:rsidRPr="00375FAF" w:rsidRDefault="00375FAF" w:rsidP="00375FAF">
      <w:pPr>
        <w:adjustRightInd w:val="0"/>
        <w:snapToGrid w:val="0"/>
        <w:spacing w:line="500" w:lineRule="exact"/>
        <w:ind w:firstLineChars="200" w:firstLine="480"/>
        <w:rPr>
          <w:rFonts w:ascii="Calibri" w:eastAsia="宋体" w:hAnsi="Calibri" w:cs="Times New Roman"/>
          <w:sz w:val="24"/>
        </w:rPr>
      </w:pPr>
      <w:r w:rsidRPr="00375FAF">
        <w:rPr>
          <w:rFonts w:ascii="Calibri" w:eastAsia="宋体" w:hAnsi="Calibri" w:cs="Times New Roman" w:hint="eastAsia"/>
          <w:sz w:val="24"/>
        </w:rPr>
        <w:t>2.4</w:t>
      </w:r>
      <w:r w:rsidRPr="00375FAF">
        <w:rPr>
          <w:rFonts w:ascii="Calibri" w:eastAsia="宋体" w:hAnsi="Calibri" w:cs="Times New Roman"/>
          <w:sz w:val="24"/>
        </w:rPr>
        <w:t>发球：切削发球。</w:t>
      </w:r>
    </w:p>
    <w:p w14:paraId="50221669" w14:textId="77777777" w:rsidR="00375FAF" w:rsidRPr="00375FAF" w:rsidRDefault="00375FAF" w:rsidP="00375FAF">
      <w:pPr>
        <w:adjustRightInd w:val="0"/>
        <w:snapToGrid w:val="0"/>
        <w:spacing w:line="500" w:lineRule="exact"/>
        <w:ind w:firstLineChars="200" w:firstLine="480"/>
        <w:rPr>
          <w:rFonts w:ascii="Calibri" w:eastAsia="宋体" w:hAnsi="Calibri" w:cs="Times New Roman"/>
          <w:sz w:val="24"/>
        </w:rPr>
      </w:pPr>
      <w:r w:rsidRPr="00375FAF">
        <w:rPr>
          <w:rFonts w:ascii="Calibri" w:eastAsia="宋体" w:hAnsi="Calibri" w:cs="Times New Roman" w:hint="eastAsia"/>
          <w:sz w:val="24"/>
        </w:rPr>
        <w:t>2.5</w:t>
      </w:r>
      <w:r w:rsidRPr="00375FAF">
        <w:rPr>
          <w:rFonts w:ascii="Calibri" w:eastAsia="宋体" w:hAnsi="Calibri" w:cs="Times New Roman"/>
          <w:sz w:val="24"/>
        </w:rPr>
        <w:t>截击球：正手截击、反手截击。</w:t>
      </w:r>
    </w:p>
    <w:p w14:paraId="46C2982E" w14:textId="77777777" w:rsidR="00375FAF" w:rsidRPr="00375FAF" w:rsidRDefault="00375FAF" w:rsidP="00375FAF">
      <w:pPr>
        <w:adjustRightInd w:val="0"/>
        <w:snapToGrid w:val="0"/>
        <w:spacing w:line="500" w:lineRule="exact"/>
        <w:ind w:firstLineChars="200" w:firstLine="480"/>
        <w:rPr>
          <w:rFonts w:ascii="Calibri" w:eastAsia="宋体" w:hAnsi="Calibri" w:cs="Times New Roman"/>
          <w:sz w:val="24"/>
        </w:rPr>
      </w:pPr>
      <w:r w:rsidRPr="00375FAF">
        <w:rPr>
          <w:rFonts w:ascii="Calibri" w:eastAsia="宋体" w:hAnsi="Calibri" w:cs="Times New Roman" w:hint="eastAsia"/>
          <w:sz w:val="24"/>
        </w:rPr>
        <w:t>2.6</w:t>
      </w:r>
      <w:r w:rsidRPr="00375FAF">
        <w:rPr>
          <w:rFonts w:ascii="Calibri" w:eastAsia="宋体" w:hAnsi="Calibri" w:cs="Times New Roman"/>
          <w:sz w:val="24"/>
        </w:rPr>
        <w:t>挑高球：防御性挑高球、进攻性挑高球。</w:t>
      </w:r>
    </w:p>
    <w:p w14:paraId="3254F4FA" w14:textId="77777777" w:rsidR="00375FAF" w:rsidRPr="00375FAF" w:rsidRDefault="00375FAF" w:rsidP="00375FAF">
      <w:pPr>
        <w:adjustRightInd w:val="0"/>
        <w:snapToGrid w:val="0"/>
        <w:spacing w:line="500" w:lineRule="exact"/>
        <w:ind w:firstLineChars="200" w:firstLine="480"/>
        <w:rPr>
          <w:rFonts w:ascii="Calibri" w:eastAsia="宋体" w:hAnsi="Calibri" w:cs="Times New Roman"/>
          <w:sz w:val="24"/>
        </w:rPr>
      </w:pPr>
      <w:r w:rsidRPr="00375FAF">
        <w:rPr>
          <w:rFonts w:ascii="Calibri" w:eastAsia="宋体" w:hAnsi="Calibri" w:cs="Times New Roman" w:hint="eastAsia"/>
          <w:sz w:val="24"/>
        </w:rPr>
        <w:t>2.7</w:t>
      </w:r>
      <w:r w:rsidRPr="00375FAF">
        <w:rPr>
          <w:rFonts w:ascii="Calibri" w:eastAsia="宋体" w:hAnsi="Calibri" w:cs="Times New Roman"/>
          <w:sz w:val="24"/>
        </w:rPr>
        <w:t>高压球：凌空高压球、反弹高压球、反手高压球。</w:t>
      </w:r>
    </w:p>
    <w:p w14:paraId="0046F39D" w14:textId="77777777" w:rsidR="00375FAF" w:rsidRPr="00375FAF" w:rsidRDefault="00375FAF" w:rsidP="00375FAF">
      <w:pPr>
        <w:adjustRightInd w:val="0"/>
        <w:snapToGrid w:val="0"/>
        <w:spacing w:line="500" w:lineRule="exact"/>
        <w:ind w:firstLineChars="200" w:firstLine="480"/>
        <w:rPr>
          <w:rFonts w:ascii="Calibri" w:eastAsia="宋体" w:hAnsi="Calibri" w:cs="Times New Roman"/>
          <w:sz w:val="24"/>
        </w:rPr>
      </w:pPr>
      <w:r w:rsidRPr="00375FAF">
        <w:rPr>
          <w:rFonts w:ascii="Calibri" w:eastAsia="宋体" w:hAnsi="Calibri" w:cs="Times New Roman" w:hint="eastAsia"/>
          <w:sz w:val="24"/>
        </w:rPr>
        <w:t>2.8</w:t>
      </w:r>
      <w:r w:rsidRPr="00375FAF">
        <w:rPr>
          <w:rFonts w:ascii="Calibri" w:eastAsia="宋体" w:hAnsi="Calibri" w:cs="Times New Roman" w:hint="eastAsia"/>
          <w:sz w:val="24"/>
        </w:rPr>
        <w:t>单打战术。</w:t>
      </w:r>
    </w:p>
    <w:p w14:paraId="3CFC8AE1" w14:textId="77777777" w:rsidR="00375FAF" w:rsidRPr="00375FAF" w:rsidRDefault="00375FAF" w:rsidP="00375FAF">
      <w:pPr>
        <w:adjustRightInd w:val="0"/>
        <w:snapToGrid w:val="0"/>
        <w:spacing w:line="500" w:lineRule="exact"/>
        <w:ind w:firstLineChars="200" w:firstLine="480"/>
        <w:rPr>
          <w:rFonts w:ascii="Calibri" w:eastAsia="宋体" w:hAnsi="Calibri" w:cs="Times New Roman"/>
          <w:sz w:val="24"/>
        </w:rPr>
      </w:pPr>
      <w:r w:rsidRPr="00375FAF">
        <w:rPr>
          <w:rFonts w:ascii="Calibri" w:eastAsia="宋体" w:hAnsi="Calibri" w:cs="Times New Roman" w:hint="eastAsia"/>
          <w:sz w:val="24"/>
        </w:rPr>
        <w:t>2.9</w:t>
      </w:r>
      <w:r w:rsidRPr="00375FAF">
        <w:rPr>
          <w:rFonts w:ascii="Calibri" w:eastAsia="宋体" w:hAnsi="Calibri" w:cs="Times New Roman" w:hint="eastAsia"/>
          <w:sz w:val="24"/>
        </w:rPr>
        <w:t>双打战术。</w:t>
      </w:r>
    </w:p>
    <w:p w14:paraId="3F68A019" w14:textId="77777777" w:rsidR="00375FAF" w:rsidRPr="00375FAF" w:rsidRDefault="00375FAF" w:rsidP="00375FAF">
      <w:pPr>
        <w:adjustRightInd w:val="0"/>
        <w:snapToGrid w:val="0"/>
        <w:spacing w:line="500" w:lineRule="exact"/>
        <w:ind w:firstLineChars="200" w:firstLine="482"/>
        <w:rPr>
          <w:rFonts w:ascii="Calibri" w:eastAsia="宋体" w:hAnsi="Calibri" w:cs="Times New Roman"/>
          <w:sz w:val="24"/>
        </w:rPr>
      </w:pPr>
      <w:r w:rsidRPr="00375FAF">
        <w:rPr>
          <w:rFonts w:ascii="Calibri" w:eastAsia="宋体" w:hAnsi="Calibri" w:cs="Times New Roman" w:hint="eastAsia"/>
          <w:b/>
          <w:bCs/>
          <w:sz w:val="24"/>
        </w:rPr>
        <w:t>教学目的及要求：</w:t>
      </w:r>
      <w:r w:rsidRPr="00375FAF">
        <w:rPr>
          <w:rFonts w:ascii="Calibri" w:eastAsia="宋体" w:hAnsi="Calibri" w:cs="Times New Roman" w:hint="eastAsia"/>
          <w:sz w:val="24"/>
        </w:rPr>
        <w:t>使学生基本掌握网球基本技术及实际应用；提高学生身体灵活性、协调性及快速反映与移动意识。</w:t>
      </w:r>
    </w:p>
    <w:p w14:paraId="2BD2B673" w14:textId="77777777" w:rsidR="00375FAF" w:rsidRPr="00375FAF" w:rsidRDefault="00375FAF" w:rsidP="00375FAF">
      <w:pPr>
        <w:adjustRightInd w:val="0"/>
        <w:snapToGrid w:val="0"/>
        <w:spacing w:line="500" w:lineRule="exact"/>
        <w:ind w:firstLineChars="200" w:firstLine="482"/>
        <w:rPr>
          <w:rFonts w:ascii="Calibri" w:eastAsia="宋体" w:hAnsi="Calibri" w:cs="Times New Roman"/>
          <w:sz w:val="24"/>
        </w:rPr>
      </w:pPr>
      <w:r w:rsidRPr="00375FAF">
        <w:rPr>
          <w:rFonts w:ascii="Calibri" w:eastAsia="宋体" w:hAnsi="Calibri" w:cs="Times New Roman" w:hint="eastAsia"/>
          <w:b/>
          <w:bCs/>
          <w:sz w:val="24"/>
        </w:rPr>
        <w:t>教学重点及难点：</w:t>
      </w:r>
      <w:r w:rsidRPr="00375FAF">
        <w:rPr>
          <w:rFonts w:ascii="Calibri" w:eastAsia="宋体" w:hAnsi="Calibri" w:cs="Times New Roman" w:hint="eastAsia"/>
          <w:sz w:val="24"/>
        </w:rPr>
        <w:t>正确掌握网球基本技术并合理使用；培养学生快速反应与快速意识。</w:t>
      </w:r>
    </w:p>
    <w:p w14:paraId="4DAE2BAC" w14:textId="77777777" w:rsidR="00375FAF" w:rsidRPr="00375FAF" w:rsidRDefault="00375FAF" w:rsidP="00375FAF">
      <w:pPr>
        <w:adjustRightInd w:val="0"/>
        <w:snapToGrid w:val="0"/>
        <w:spacing w:line="500" w:lineRule="exact"/>
        <w:ind w:firstLineChars="200" w:firstLine="562"/>
        <w:jc w:val="center"/>
        <w:rPr>
          <w:rFonts w:ascii="宋体" w:eastAsia="宋体" w:hAnsi="宋体" w:cs="Times New Roman"/>
          <w:b/>
          <w:sz w:val="28"/>
          <w:szCs w:val="28"/>
        </w:rPr>
      </w:pPr>
      <w:r w:rsidRPr="00375FAF">
        <w:rPr>
          <w:rFonts w:ascii="宋体" w:eastAsia="宋体" w:hAnsi="宋体" w:cs="Times New Roman" w:hint="eastAsia"/>
          <w:b/>
          <w:sz w:val="28"/>
          <w:szCs w:val="28"/>
        </w:rPr>
        <w:t>第三章  网球教学活动的组织与管理 （4学时）</w:t>
      </w:r>
    </w:p>
    <w:p w14:paraId="2DCE53C8" w14:textId="77777777" w:rsidR="00375FAF" w:rsidRPr="00375FAF" w:rsidRDefault="00375FAF" w:rsidP="00375FAF">
      <w:pPr>
        <w:adjustRightInd w:val="0"/>
        <w:snapToGrid w:val="0"/>
        <w:spacing w:line="500" w:lineRule="exact"/>
        <w:ind w:firstLineChars="200" w:firstLine="482"/>
        <w:rPr>
          <w:rFonts w:ascii="Calibri" w:eastAsia="宋体" w:hAnsi="Calibri" w:cs="Times New Roman"/>
          <w:b/>
          <w:sz w:val="24"/>
        </w:rPr>
      </w:pPr>
      <w:r w:rsidRPr="00375FAF">
        <w:rPr>
          <w:rFonts w:ascii="Calibri" w:eastAsia="宋体" w:hAnsi="Calibri" w:cs="Times New Roman"/>
          <w:b/>
          <w:sz w:val="24"/>
        </w:rPr>
        <w:t>本章主要教学内容：</w:t>
      </w:r>
    </w:p>
    <w:p w14:paraId="5F70E184" w14:textId="77777777" w:rsidR="00375FAF" w:rsidRPr="00375FAF" w:rsidRDefault="00375FAF" w:rsidP="00375FAF">
      <w:pPr>
        <w:adjustRightInd w:val="0"/>
        <w:snapToGrid w:val="0"/>
        <w:spacing w:line="500" w:lineRule="exact"/>
        <w:ind w:firstLineChars="200" w:firstLine="480"/>
        <w:rPr>
          <w:rFonts w:ascii="Calibri" w:eastAsia="宋体" w:hAnsi="Calibri" w:cs="Times New Roman"/>
          <w:sz w:val="24"/>
        </w:rPr>
      </w:pPr>
      <w:r w:rsidRPr="00375FAF">
        <w:rPr>
          <w:rFonts w:ascii="Calibri" w:eastAsia="宋体" w:hAnsi="Calibri" w:cs="Times New Roman" w:hint="eastAsia"/>
          <w:sz w:val="24"/>
        </w:rPr>
        <w:t>3.1</w:t>
      </w:r>
      <w:r w:rsidRPr="00375FAF">
        <w:rPr>
          <w:rFonts w:ascii="Calibri" w:eastAsia="宋体" w:hAnsi="Calibri" w:cs="Times New Roman"/>
          <w:sz w:val="24"/>
        </w:rPr>
        <w:t>裁判实习</w:t>
      </w:r>
      <w:r w:rsidRPr="00375FAF">
        <w:rPr>
          <w:rFonts w:ascii="Calibri" w:eastAsia="宋体" w:hAnsi="Calibri" w:cs="Times New Roman" w:hint="eastAsia"/>
          <w:sz w:val="24"/>
        </w:rPr>
        <w:t>及</w:t>
      </w:r>
      <w:r w:rsidRPr="00375FAF">
        <w:rPr>
          <w:rFonts w:ascii="Calibri" w:eastAsia="宋体" w:hAnsi="Calibri" w:cs="Times New Roman"/>
          <w:sz w:val="24"/>
        </w:rPr>
        <w:t>教学比赛</w:t>
      </w:r>
    </w:p>
    <w:p w14:paraId="08887832" w14:textId="77777777" w:rsidR="00375FAF" w:rsidRPr="00375FAF" w:rsidRDefault="00375FAF" w:rsidP="00375FAF">
      <w:pPr>
        <w:adjustRightInd w:val="0"/>
        <w:snapToGrid w:val="0"/>
        <w:spacing w:line="500" w:lineRule="exact"/>
        <w:ind w:firstLineChars="200" w:firstLine="480"/>
        <w:rPr>
          <w:rFonts w:ascii="Calibri" w:eastAsia="宋体" w:hAnsi="Calibri" w:cs="Times New Roman"/>
          <w:sz w:val="24"/>
        </w:rPr>
      </w:pPr>
      <w:r w:rsidRPr="00375FAF">
        <w:rPr>
          <w:rFonts w:ascii="Calibri" w:eastAsia="宋体" w:hAnsi="Calibri" w:cs="Times New Roman" w:hint="eastAsia"/>
          <w:sz w:val="24"/>
        </w:rPr>
        <w:t>3.2</w:t>
      </w:r>
      <w:r w:rsidRPr="00375FAF">
        <w:rPr>
          <w:rFonts w:ascii="Calibri" w:eastAsia="宋体" w:hAnsi="Calibri" w:cs="Times New Roman" w:hint="eastAsia"/>
          <w:sz w:val="24"/>
        </w:rPr>
        <w:t>期末考试</w:t>
      </w:r>
    </w:p>
    <w:p w14:paraId="7677D793" w14:textId="77777777" w:rsidR="00375FAF" w:rsidRPr="00375FAF" w:rsidRDefault="00375FAF" w:rsidP="00375FAF">
      <w:pPr>
        <w:adjustRightInd w:val="0"/>
        <w:snapToGrid w:val="0"/>
        <w:spacing w:line="500" w:lineRule="exact"/>
        <w:ind w:firstLineChars="200" w:firstLine="482"/>
        <w:rPr>
          <w:rFonts w:ascii="Calibri" w:eastAsia="宋体" w:hAnsi="Calibri" w:cs="Times New Roman"/>
          <w:sz w:val="24"/>
        </w:rPr>
      </w:pPr>
      <w:r w:rsidRPr="00375FAF">
        <w:rPr>
          <w:rFonts w:ascii="Calibri" w:eastAsia="宋体" w:hAnsi="Calibri" w:cs="Times New Roman" w:hint="eastAsia"/>
          <w:b/>
          <w:bCs/>
          <w:sz w:val="24"/>
        </w:rPr>
        <w:t>本章教学目的及要求：</w:t>
      </w:r>
      <w:r w:rsidRPr="00375FAF">
        <w:rPr>
          <w:rFonts w:ascii="Calibri" w:eastAsia="宋体" w:hAnsi="Calibri" w:cs="Times New Roman" w:hint="eastAsia"/>
          <w:sz w:val="24"/>
        </w:rPr>
        <w:t>了解与掌握网球竞赛规则与裁判法的主要内容对于开展网球活动，搞好网球竞赛具有重要意义。</w:t>
      </w:r>
    </w:p>
    <w:p w14:paraId="6E961231" w14:textId="77777777" w:rsidR="00375FAF" w:rsidRPr="00375FAF" w:rsidRDefault="00375FAF" w:rsidP="00375FAF">
      <w:pPr>
        <w:adjustRightInd w:val="0"/>
        <w:snapToGrid w:val="0"/>
        <w:spacing w:line="500" w:lineRule="exact"/>
        <w:ind w:firstLineChars="200" w:firstLine="482"/>
        <w:rPr>
          <w:rFonts w:ascii="Calibri" w:eastAsia="宋体" w:hAnsi="Calibri" w:cs="Times New Roman"/>
          <w:sz w:val="24"/>
        </w:rPr>
      </w:pPr>
      <w:r w:rsidRPr="00375FAF">
        <w:rPr>
          <w:rFonts w:ascii="Calibri" w:eastAsia="宋体" w:hAnsi="Calibri" w:cs="Times New Roman" w:hint="eastAsia"/>
          <w:b/>
          <w:bCs/>
          <w:sz w:val="24"/>
        </w:rPr>
        <w:t>本章教学重点及难点：</w:t>
      </w:r>
      <w:r w:rsidRPr="00375FAF">
        <w:rPr>
          <w:rFonts w:ascii="Calibri" w:eastAsia="宋体" w:hAnsi="Calibri" w:cs="Times New Roman" w:hint="eastAsia"/>
          <w:sz w:val="24"/>
        </w:rPr>
        <w:t>提高网球基本技术并合理使用，了解网球裁判规则。</w:t>
      </w:r>
    </w:p>
    <w:p w14:paraId="0E44E24E" w14:textId="77777777" w:rsidR="00375FAF" w:rsidRPr="00375FAF" w:rsidRDefault="00375FAF" w:rsidP="00375FAF">
      <w:pPr>
        <w:spacing w:beforeLines="50" w:before="156" w:afterLines="50" w:after="156" w:line="440" w:lineRule="exact"/>
        <w:ind w:firstLineChars="200" w:firstLine="560"/>
        <w:jc w:val="center"/>
        <w:rPr>
          <w:rFonts w:ascii="黑体" w:eastAsia="黑体" w:hAnsi="黑体" w:cs="Times New Roman"/>
          <w:sz w:val="28"/>
          <w:szCs w:val="28"/>
        </w:rPr>
      </w:pPr>
      <w:r w:rsidRPr="00375FAF">
        <w:rPr>
          <w:rFonts w:ascii="黑体" w:eastAsia="黑体" w:hAnsi="黑体" w:cs="Times New Roman" w:hint="eastAsia"/>
          <w:sz w:val="28"/>
          <w:szCs w:val="28"/>
        </w:rPr>
        <w:t>学习内容三 网球 2</w:t>
      </w:r>
    </w:p>
    <w:p w14:paraId="03AA9199" w14:textId="77777777" w:rsidR="00375FAF" w:rsidRPr="00375FAF" w:rsidRDefault="00375FAF" w:rsidP="00375FAF">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375FAF">
        <w:rPr>
          <w:rFonts w:ascii="宋体" w:eastAsia="宋体" w:hAnsi="宋体" w:cs="Times New Roman" w:hint="eastAsia"/>
          <w:b/>
          <w:sz w:val="24"/>
        </w:rPr>
        <w:lastRenderedPageBreak/>
        <w:t>【学习目标】</w:t>
      </w:r>
    </w:p>
    <w:p w14:paraId="41A04418" w14:textId="77777777" w:rsidR="00375FAF" w:rsidRPr="00375FAF" w:rsidRDefault="00375FAF" w:rsidP="00375FAF">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375FAF">
        <w:rPr>
          <w:rFonts w:ascii="宋体" w:eastAsia="宋体" w:hAnsi="Calibri" w:cs="宋体" w:hint="eastAsia"/>
          <w:spacing w:val="5"/>
          <w:kern w:val="0"/>
          <w:sz w:val="24"/>
        </w:rPr>
        <w:t>1.</w:t>
      </w:r>
      <w:r w:rsidRPr="00375FAF">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375FAF">
        <w:rPr>
          <w:rFonts w:ascii="宋体" w:eastAsia="宋体" w:hAnsi="Calibri" w:cs="宋体" w:hint="eastAsia"/>
          <w:spacing w:val="5"/>
          <w:kern w:val="0"/>
          <w:sz w:val="24"/>
        </w:rPr>
        <w:t>通过体能教学活动，</w:t>
      </w:r>
      <w:r w:rsidRPr="00375FAF">
        <w:rPr>
          <w:rFonts w:ascii="宋体" w:eastAsia="宋体" w:hAnsi="宋体" w:cs="仿宋_GB2312" w:hint="eastAsia"/>
          <w:sz w:val="24"/>
        </w:rPr>
        <w:t>了解《大学生体质健康标准测验》项目内容、考核方式、评价标准，掌握考核内容锻炼的方式方法。</w:t>
      </w:r>
      <w:r w:rsidRPr="00375FAF">
        <w:rPr>
          <w:rFonts w:ascii="宋体" w:eastAsia="宋体" w:hAnsi="Calibri" w:cs="宋体" w:hint="eastAsia"/>
          <w:spacing w:val="5"/>
          <w:kern w:val="0"/>
          <w:sz w:val="24"/>
        </w:rPr>
        <w:t>培养学生努力学习、不断进取、修身立业、顽强奋进的精神与品质。</w:t>
      </w:r>
    </w:p>
    <w:p w14:paraId="3C611852" w14:textId="77777777" w:rsidR="00375FAF" w:rsidRPr="00375FAF" w:rsidRDefault="00375FAF" w:rsidP="00375FAF">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375FAF">
        <w:rPr>
          <w:rFonts w:ascii="宋体" w:eastAsia="宋体" w:hAnsi="Calibri" w:cs="宋体" w:hint="eastAsia"/>
          <w:spacing w:val="5"/>
          <w:kern w:val="0"/>
          <w:sz w:val="24"/>
        </w:rPr>
        <w:t>2.</w:t>
      </w:r>
      <w:r w:rsidRPr="00375FAF">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375FAF">
        <w:rPr>
          <w:rFonts w:ascii="宋体" w:eastAsia="宋体" w:hAnsi="Calibri" w:cs="宋体" w:hint="eastAsia"/>
          <w:spacing w:val="5"/>
          <w:kern w:val="0"/>
          <w:sz w:val="24"/>
        </w:rPr>
        <w:t>。</w:t>
      </w:r>
    </w:p>
    <w:p w14:paraId="73EEE631" w14:textId="77777777" w:rsidR="00375FAF" w:rsidRPr="00375FAF" w:rsidRDefault="00375FAF" w:rsidP="00375FAF">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375FAF">
        <w:rPr>
          <w:rFonts w:ascii="宋体" w:eastAsia="宋体" w:hAnsi="Calibri" w:cs="宋体" w:hint="eastAsia"/>
          <w:spacing w:val="5"/>
          <w:kern w:val="0"/>
          <w:sz w:val="24"/>
        </w:rPr>
        <w:t>3.</w:t>
      </w:r>
      <w:r w:rsidRPr="00375FAF">
        <w:rPr>
          <w:rFonts w:ascii="宋体" w:eastAsia="宋体" w:hAnsi="宋体" w:cs="仿宋_GB2312" w:hint="eastAsia"/>
          <w:sz w:val="24"/>
        </w:rPr>
        <w:t>使学生能够掌握网球运动的一般规律和特点，使学生获得网球运动的基本技术、基本技能和基础理论知识，并了解现代网球的发展趋势。以运动和身体练习为基本手段，对大学生机体进行科学的培育，在提高人的生物潜能、心理潜能的过程中促进德、智、体、美全面发展，达到身心健康、全面发展的教育总目的</w:t>
      </w:r>
      <w:r w:rsidRPr="00375FAF">
        <w:rPr>
          <w:rFonts w:ascii="宋体" w:eastAsia="宋体" w:hAnsi="Calibri" w:cs="宋体" w:hint="eastAsia"/>
          <w:spacing w:val="5"/>
          <w:kern w:val="0"/>
          <w:sz w:val="24"/>
        </w:rPr>
        <w:t>。</w:t>
      </w:r>
    </w:p>
    <w:p w14:paraId="2F01CEED" w14:textId="77777777" w:rsidR="00375FAF" w:rsidRPr="00375FAF" w:rsidRDefault="00375FAF" w:rsidP="00375FAF">
      <w:pPr>
        <w:spacing w:line="440" w:lineRule="exact"/>
        <w:ind w:firstLineChars="200" w:firstLine="500"/>
        <w:rPr>
          <w:rFonts w:ascii="宋体" w:eastAsia="宋体" w:hAnsi="宋体" w:cs="Times New Roman"/>
          <w:b/>
          <w:sz w:val="24"/>
        </w:rPr>
      </w:pPr>
      <w:r w:rsidRPr="00375FAF">
        <w:rPr>
          <w:rFonts w:ascii="宋体" w:eastAsia="宋体" w:hAnsi="Calibri" w:cs="宋体" w:hint="eastAsia"/>
          <w:spacing w:val="5"/>
          <w:kern w:val="0"/>
          <w:sz w:val="24"/>
        </w:rPr>
        <w:t>4.</w:t>
      </w:r>
      <w:r w:rsidRPr="00375FAF">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375FAF">
        <w:rPr>
          <w:rFonts w:ascii="宋体" w:eastAsia="宋体" w:hAnsi="Calibri" w:cs="宋体" w:hint="eastAsia"/>
          <w:spacing w:val="5"/>
          <w:kern w:val="0"/>
          <w:sz w:val="24"/>
        </w:rPr>
        <w:t>。</w:t>
      </w:r>
    </w:p>
    <w:p w14:paraId="736C2DF1" w14:textId="77777777" w:rsidR="00375FAF" w:rsidRPr="00375FAF" w:rsidRDefault="00375FAF" w:rsidP="00375FAF">
      <w:pPr>
        <w:adjustRightInd w:val="0"/>
        <w:snapToGrid w:val="0"/>
        <w:spacing w:beforeLines="50" w:before="156" w:afterLines="50" w:after="156" w:line="500" w:lineRule="exact"/>
        <w:jc w:val="center"/>
        <w:rPr>
          <w:rFonts w:ascii="Calibri" w:eastAsia="宋体" w:hAnsi="Calibri" w:cs="Times New Roman"/>
        </w:rPr>
      </w:pPr>
      <w:r w:rsidRPr="00375FAF">
        <w:rPr>
          <w:rFonts w:ascii="宋体" w:eastAsia="宋体" w:hAnsi="宋体" w:cs="Times New Roman" w:hint="eastAsia"/>
          <w:b/>
          <w:sz w:val="28"/>
          <w:szCs w:val="28"/>
        </w:rPr>
        <w:t>第一章  网球理论知识及体育健康（2学时）</w:t>
      </w:r>
    </w:p>
    <w:p w14:paraId="182B5A35" w14:textId="77777777" w:rsidR="00375FAF" w:rsidRPr="00375FAF" w:rsidRDefault="00375FAF" w:rsidP="00375FAF">
      <w:pPr>
        <w:adjustRightInd w:val="0"/>
        <w:snapToGrid w:val="0"/>
        <w:spacing w:line="500" w:lineRule="exact"/>
        <w:ind w:firstLineChars="200" w:firstLine="482"/>
        <w:rPr>
          <w:rFonts w:ascii="Calibri" w:eastAsia="宋体" w:hAnsi="Calibri" w:cs="Times New Roman"/>
          <w:b/>
          <w:sz w:val="24"/>
        </w:rPr>
      </w:pPr>
      <w:r w:rsidRPr="00375FAF">
        <w:rPr>
          <w:rFonts w:ascii="Calibri" w:eastAsia="宋体" w:hAnsi="Calibri" w:cs="Times New Roman"/>
          <w:b/>
          <w:sz w:val="24"/>
        </w:rPr>
        <w:t>本章主要教学内容：</w:t>
      </w:r>
    </w:p>
    <w:p w14:paraId="52306D35" w14:textId="77777777" w:rsidR="00375FAF" w:rsidRPr="00375FAF" w:rsidRDefault="00375FAF" w:rsidP="00375FAF">
      <w:pPr>
        <w:adjustRightInd w:val="0"/>
        <w:snapToGrid w:val="0"/>
        <w:spacing w:line="500" w:lineRule="exact"/>
        <w:ind w:firstLineChars="200" w:firstLine="480"/>
        <w:jc w:val="left"/>
        <w:rPr>
          <w:rFonts w:ascii="宋体" w:eastAsia="宋体" w:hAnsi="宋体" w:cs="宋体"/>
          <w:sz w:val="24"/>
        </w:rPr>
      </w:pPr>
      <w:r w:rsidRPr="00375FAF">
        <w:rPr>
          <w:rFonts w:ascii="宋体" w:eastAsia="宋体" w:hAnsi="宋体" w:cs="宋体" w:hint="eastAsia"/>
          <w:sz w:val="24"/>
        </w:rPr>
        <w:t xml:space="preserve">1.1网球运动概述 </w:t>
      </w:r>
      <w:r w:rsidRPr="00375FAF">
        <w:rPr>
          <w:rFonts w:ascii="宋体" w:eastAsia="宋体" w:hAnsi="宋体" w:cs="宋体" w:hint="eastAsia"/>
          <w:sz w:val="24"/>
        </w:rPr>
        <w:br/>
        <w:t>网球运动起源，现代网球运动发展规律，我国网球运动发展概况，羽毛球运动的锻炼价值。</w:t>
      </w:r>
    </w:p>
    <w:p w14:paraId="26DA6ECF" w14:textId="77777777" w:rsidR="00375FAF" w:rsidRPr="00375FAF" w:rsidRDefault="00375FAF" w:rsidP="00375FAF">
      <w:pPr>
        <w:adjustRightInd w:val="0"/>
        <w:snapToGrid w:val="0"/>
        <w:spacing w:line="500" w:lineRule="exact"/>
        <w:ind w:firstLineChars="200" w:firstLine="480"/>
        <w:rPr>
          <w:rFonts w:ascii="宋体" w:eastAsia="宋体" w:hAnsi="宋体" w:cs="宋体"/>
          <w:sz w:val="24"/>
        </w:rPr>
      </w:pPr>
      <w:r w:rsidRPr="00375FAF">
        <w:rPr>
          <w:rFonts w:ascii="宋体" w:eastAsia="宋体" w:hAnsi="宋体" w:cs="宋体" w:hint="eastAsia"/>
          <w:sz w:val="24"/>
        </w:rPr>
        <w:t>1.2网球竞赛规则与裁判法</w:t>
      </w:r>
    </w:p>
    <w:p w14:paraId="24D9CBE6" w14:textId="77777777" w:rsidR="00375FAF" w:rsidRPr="00375FAF" w:rsidRDefault="00375FAF" w:rsidP="00375FAF">
      <w:pPr>
        <w:adjustRightInd w:val="0"/>
        <w:snapToGrid w:val="0"/>
        <w:spacing w:line="500" w:lineRule="exact"/>
        <w:ind w:firstLineChars="200" w:firstLine="480"/>
        <w:rPr>
          <w:rFonts w:ascii="宋体" w:eastAsia="宋体" w:hAnsi="宋体" w:cs="宋体"/>
          <w:sz w:val="24"/>
        </w:rPr>
      </w:pPr>
      <w:r w:rsidRPr="00375FAF">
        <w:rPr>
          <w:rFonts w:ascii="宋体" w:eastAsia="宋体" w:hAnsi="宋体" w:cs="宋体" w:hint="eastAsia"/>
          <w:sz w:val="24"/>
        </w:rPr>
        <w:t>网球竞赛规则，网球裁判法。</w:t>
      </w:r>
    </w:p>
    <w:p w14:paraId="52700215" w14:textId="77777777" w:rsidR="00375FAF" w:rsidRPr="00375FAF" w:rsidRDefault="00375FAF" w:rsidP="00375FAF">
      <w:pPr>
        <w:adjustRightInd w:val="0"/>
        <w:snapToGrid w:val="0"/>
        <w:spacing w:line="500" w:lineRule="exact"/>
        <w:ind w:firstLineChars="200" w:firstLine="480"/>
        <w:rPr>
          <w:rFonts w:ascii="宋体" w:eastAsia="宋体" w:hAnsi="宋体" w:cs="宋体"/>
          <w:sz w:val="24"/>
        </w:rPr>
      </w:pPr>
      <w:r w:rsidRPr="00375FAF">
        <w:rPr>
          <w:rFonts w:ascii="宋体" w:eastAsia="宋体" w:hAnsi="宋体" w:cs="宋体" w:hint="eastAsia"/>
          <w:sz w:val="24"/>
        </w:rPr>
        <w:lastRenderedPageBreak/>
        <w:t>1.3《体育与健康》</w:t>
      </w:r>
    </w:p>
    <w:p w14:paraId="2E0CBD11" w14:textId="77777777" w:rsidR="00375FAF" w:rsidRPr="00375FAF" w:rsidRDefault="00375FAF" w:rsidP="00375FAF">
      <w:pPr>
        <w:adjustRightInd w:val="0"/>
        <w:snapToGrid w:val="0"/>
        <w:spacing w:line="500" w:lineRule="exact"/>
        <w:ind w:firstLineChars="200" w:firstLine="480"/>
        <w:jc w:val="left"/>
        <w:rPr>
          <w:rFonts w:ascii="Calibri" w:eastAsia="宋体" w:hAnsi="Calibri" w:cs="Times New Roman"/>
          <w:sz w:val="24"/>
        </w:rPr>
      </w:pPr>
      <w:r w:rsidRPr="00375FAF">
        <w:rPr>
          <w:rFonts w:ascii="宋体" w:eastAsia="宋体" w:hAnsi="宋体" w:cs="宋体" w:hint="eastAsia"/>
          <w:sz w:val="24"/>
        </w:rPr>
        <w:t>健身方法与常识。</w:t>
      </w:r>
      <w:r w:rsidRPr="00375FAF">
        <w:rPr>
          <w:rFonts w:ascii="宋体" w:eastAsia="宋体" w:hAnsi="宋体" w:cs="宋体" w:hint="eastAsia"/>
          <w:sz w:val="24"/>
        </w:rPr>
        <w:br/>
      </w:r>
      <w:r w:rsidRPr="00375FAF">
        <w:rPr>
          <w:rFonts w:ascii="宋体" w:eastAsia="宋体" w:hAnsi="宋体" w:cs="宋体" w:hint="eastAsia"/>
          <w:b/>
          <w:sz w:val="24"/>
        </w:rPr>
        <w:t>本章教学目的及要求</w:t>
      </w:r>
      <w:r w:rsidRPr="00375FAF">
        <w:rPr>
          <w:rFonts w:ascii="宋体" w:eastAsia="宋体" w:hAnsi="宋体" w:cs="宋体" w:hint="eastAsia"/>
          <w:sz w:val="24"/>
        </w:rPr>
        <w:t>：了解网球运动起源，了解现代网球运动发展规律，了解我国网球运动发展概况，明确网球运动的锻炼价值。明确网球竞赛规则，明确网球裁判法。</w:t>
      </w:r>
      <w:r w:rsidRPr="00375FAF">
        <w:rPr>
          <w:rFonts w:ascii="宋体" w:eastAsia="宋体" w:hAnsi="宋体" w:cs="宋体" w:hint="eastAsia"/>
          <w:sz w:val="24"/>
        </w:rPr>
        <w:br/>
      </w:r>
      <w:r w:rsidRPr="00375FAF">
        <w:rPr>
          <w:rFonts w:ascii="宋体" w:eastAsia="宋体" w:hAnsi="宋体" w:cs="宋体" w:hint="eastAsia"/>
          <w:b/>
          <w:sz w:val="24"/>
        </w:rPr>
        <w:t>本章教学重点及难点：</w:t>
      </w:r>
      <w:r w:rsidRPr="00375FAF">
        <w:rPr>
          <w:rFonts w:ascii="宋体" w:eastAsia="宋体" w:hAnsi="宋体" w:cs="宋体" w:hint="eastAsia"/>
          <w:sz w:val="24"/>
        </w:rPr>
        <w:t>我国网球运动发展概况，我国网球运动发展趋势。网球竞赛规则，违例及其罚则。</w:t>
      </w:r>
    </w:p>
    <w:p w14:paraId="39BDFC0F" w14:textId="77777777" w:rsidR="00375FAF" w:rsidRPr="00375FAF" w:rsidRDefault="00375FAF" w:rsidP="00375FAF">
      <w:pPr>
        <w:adjustRightInd w:val="0"/>
        <w:snapToGrid w:val="0"/>
        <w:spacing w:beforeLines="50" w:before="156" w:afterLines="50" w:after="156" w:line="500" w:lineRule="exact"/>
        <w:jc w:val="center"/>
        <w:rPr>
          <w:rFonts w:ascii="宋体" w:eastAsia="宋体" w:hAnsi="宋体" w:cs="Times New Roman"/>
          <w:b/>
          <w:sz w:val="28"/>
          <w:szCs w:val="28"/>
        </w:rPr>
      </w:pPr>
      <w:r w:rsidRPr="00375FAF">
        <w:rPr>
          <w:rFonts w:ascii="宋体" w:eastAsia="宋体" w:hAnsi="宋体" w:cs="Times New Roman" w:hint="eastAsia"/>
          <w:b/>
          <w:sz w:val="28"/>
          <w:szCs w:val="28"/>
        </w:rPr>
        <w:t>第二章  网球基本技术与战术  （20学时）</w:t>
      </w:r>
    </w:p>
    <w:p w14:paraId="487B9ED8" w14:textId="77777777" w:rsidR="00375FAF" w:rsidRPr="00375FAF" w:rsidRDefault="00375FAF" w:rsidP="00375FAF">
      <w:pPr>
        <w:adjustRightInd w:val="0"/>
        <w:snapToGrid w:val="0"/>
        <w:spacing w:line="500" w:lineRule="exact"/>
        <w:ind w:firstLineChars="200" w:firstLine="482"/>
        <w:rPr>
          <w:rFonts w:ascii="Calibri" w:eastAsia="宋体" w:hAnsi="Calibri" w:cs="Times New Roman"/>
          <w:b/>
          <w:sz w:val="24"/>
        </w:rPr>
      </w:pPr>
      <w:r w:rsidRPr="00375FAF">
        <w:rPr>
          <w:rFonts w:ascii="Calibri" w:eastAsia="宋体" w:hAnsi="Calibri" w:cs="Times New Roman"/>
          <w:b/>
          <w:sz w:val="24"/>
        </w:rPr>
        <w:t>本章主要教学内容：</w:t>
      </w:r>
    </w:p>
    <w:p w14:paraId="4989A4AD" w14:textId="77777777" w:rsidR="00375FAF" w:rsidRPr="00375FAF" w:rsidRDefault="00375FAF" w:rsidP="00375FAF">
      <w:pPr>
        <w:adjustRightInd w:val="0"/>
        <w:snapToGrid w:val="0"/>
        <w:spacing w:line="500" w:lineRule="exact"/>
        <w:ind w:firstLineChars="200" w:firstLine="480"/>
        <w:rPr>
          <w:rFonts w:ascii="宋体" w:eastAsia="宋体" w:hAnsi="宋体" w:cs="宋体"/>
          <w:sz w:val="24"/>
        </w:rPr>
      </w:pPr>
      <w:r w:rsidRPr="00375FAF">
        <w:rPr>
          <w:rFonts w:ascii="宋体" w:eastAsia="宋体" w:hAnsi="宋体" w:cs="宋体" w:hint="eastAsia"/>
          <w:sz w:val="24"/>
        </w:rPr>
        <w:t>2.1</w:t>
      </w:r>
      <w:r w:rsidRPr="00375FAF">
        <w:rPr>
          <w:rFonts w:ascii="宋体" w:eastAsia="宋体" w:hAnsi="宋体" w:cs="宋体" w:hint="eastAsia"/>
          <w:kern w:val="0"/>
          <w:sz w:val="24"/>
        </w:rPr>
        <w:t>网球击球准备姿势与移动。</w:t>
      </w:r>
    </w:p>
    <w:p w14:paraId="407F6361" w14:textId="77777777" w:rsidR="00375FAF" w:rsidRPr="00375FAF" w:rsidRDefault="00375FAF" w:rsidP="00375FAF">
      <w:pPr>
        <w:adjustRightInd w:val="0"/>
        <w:snapToGrid w:val="0"/>
        <w:spacing w:line="500" w:lineRule="exact"/>
        <w:ind w:firstLineChars="200" w:firstLine="480"/>
        <w:rPr>
          <w:rFonts w:ascii="宋体" w:eastAsia="宋体" w:hAnsi="宋体" w:cs="宋体"/>
          <w:sz w:val="24"/>
        </w:rPr>
      </w:pPr>
      <w:r w:rsidRPr="00375FAF">
        <w:rPr>
          <w:rFonts w:ascii="宋体" w:eastAsia="宋体" w:hAnsi="宋体" w:cs="宋体" w:hint="eastAsia"/>
          <w:sz w:val="24"/>
        </w:rPr>
        <w:t>2.2</w:t>
      </w:r>
      <w:r w:rsidRPr="00375FAF">
        <w:rPr>
          <w:rFonts w:ascii="宋体" w:eastAsia="宋体" w:hAnsi="宋体" w:cs="宋体" w:hint="eastAsia"/>
          <w:kern w:val="0"/>
          <w:sz w:val="24"/>
        </w:rPr>
        <w:t>正手击球：</w:t>
      </w:r>
      <w:proofErr w:type="gramStart"/>
      <w:r w:rsidRPr="00375FAF">
        <w:rPr>
          <w:rFonts w:ascii="宋体" w:eastAsia="宋体" w:hAnsi="宋体" w:cs="宋体" w:hint="eastAsia"/>
          <w:kern w:val="0"/>
          <w:sz w:val="24"/>
        </w:rPr>
        <w:t>正手平</w:t>
      </w:r>
      <w:proofErr w:type="gramEnd"/>
      <w:r w:rsidRPr="00375FAF">
        <w:rPr>
          <w:rFonts w:ascii="宋体" w:eastAsia="宋体" w:hAnsi="宋体" w:cs="宋体" w:hint="eastAsia"/>
          <w:kern w:val="0"/>
          <w:sz w:val="24"/>
        </w:rPr>
        <w:t>击球、正手上旋球。</w:t>
      </w:r>
    </w:p>
    <w:p w14:paraId="7214549B" w14:textId="77777777" w:rsidR="00375FAF" w:rsidRPr="00375FAF" w:rsidRDefault="00375FAF" w:rsidP="00375FAF">
      <w:pPr>
        <w:adjustRightInd w:val="0"/>
        <w:snapToGrid w:val="0"/>
        <w:spacing w:line="500" w:lineRule="exact"/>
        <w:ind w:firstLineChars="200" w:firstLine="480"/>
        <w:rPr>
          <w:rFonts w:ascii="宋体" w:eastAsia="宋体" w:hAnsi="宋体" w:cs="宋体"/>
          <w:sz w:val="24"/>
        </w:rPr>
      </w:pPr>
      <w:r w:rsidRPr="00375FAF">
        <w:rPr>
          <w:rFonts w:ascii="宋体" w:eastAsia="宋体" w:hAnsi="宋体" w:cs="宋体" w:hint="eastAsia"/>
          <w:sz w:val="24"/>
        </w:rPr>
        <w:t>2.3</w:t>
      </w:r>
      <w:r w:rsidRPr="00375FAF">
        <w:rPr>
          <w:rFonts w:ascii="宋体" w:eastAsia="宋体" w:hAnsi="宋体" w:cs="宋体" w:hint="eastAsia"/>
          <w:kern w:val="0"/>
          <w:sz w:val="24"/>
        </w:rPr>
        <w:t>反手击球：双手反手击球、单手反手击球。</w:t>
      </w:r>
    </w:p>
    <w:p w14:paraId="10FEAC62" w14:textId="77777777" w:rsidR="00375FAF" w:rsidRPr="00375FAF" w:rsidRDefault="00375FAF" w:rsidP="00375FAF">
      <w:pPr>
        <w:adjustRightInd w:val="0"/>
        <w:snapToGrid w:val="0"/>
        <w:spacing w:line="500" w:lineRule="exact"/>
        <w:ind w:firstLineChars="200" w:firstLine="480"/>
        <w:rPr>
          <w:rFonts w:ascii="宋体" w:eastAsia="宋体" w:hAnsi="宋体" w:cs="宋体"/>
          <w:sz w:val="24"/>
        </w:rPr>
      </w:pPr>
      <w:r w:rsidRPr="00375FAF">
        <w:rPr>
          <w:rFonts w:ascii="宋体" w:eastAsia="宋体" w:hAnsi="宋体" w:cs="宋体" w:hint="eastAsia"/>
          <w:sz w:val="24"/>
        </w:rPr>
        <w:t>2.4</w:t>
      </w:r>
      <w:r w:rsidRPr="00375FAF">
        <w:rPr>
          <w:rFonts w:ascii="宋体" w:eastAsia="宋体" w:hAnsi="宋体" w:cs="宋体" w:hint="eastAsia"/>
          <w:kern w:val="0"/>
          <w:sz w:val="24"/>
        </w:rPr>
        <w:t>发球：切削发球。</w:t>
      </w:r>
    </w:p>
    <w:p w14:paraId="1527D8A3" w14:textId="77777777" w:rsidR="00375FAF" w:rsidRPr="00375FAF" w:rsidRDefault="00375FAF" w:rsidP="00375FAF">
      <w:pPr>
        <w:adjustRightInd w:val="0"/>
        <w:snapToGrid w:val="0"/>
        <w:spacing w:line="500" w:lineRule="exact"/>
        <w:ind w:firstLineChars="200" w:firstLine="480"/>
        <w:rPr>
          <w:rFonts w:ascii="宋体" w:eastAsia="宋体" w:hAnsi="宋体" w:cs="宋体"/>
          <w:sz w:val="24"/>
        </w:rPr>
      </w:pPr>
      <w:r w:rsidRPr="00375FAF">
        <w:rPr>
          <w:rFonts w:ascii="宋体" w:eastAsia="宋体" w:hAnsi="宋体" w:cs="宋体" w:hint="eastAsia"/>
          <w:sz w:val="24"/>
        </w:rPr>
        <w:t>2.5</w:t>
      </w:r>
      <w:r w:rsidRPr="00375FAF">
        <w:rPr>
          <w:rFonts w:ascii="宋体" w:eastAsia="宋体" w:hAnsi="宋体" w:cs="宋体" w:hint="eastAsia"/>
          <w:kern w:val="0"/>
          <w:sz w:val="24"/>
        </w:rPr>
        <w:t>截击球：正手截击、反手截击。</w:t>
      </w:r>
    </w:p>
    <w:p w14:paraId="34AE9F0F" w14:textId="77777777" w:rsidR="00375FAF" w:rsidRPr="00375FAF" w:rsidRDefault="00375FAF" w:rsidP="00375FAF">
      <w:pPr>
        <w:adjustRightInd w:val="0"/>
        <w:snapToGrid w:val="0"/>
        <w:spacing w:line="500" w:lineRule="exact"/>
        <w:ind w:firstLineChars="200" w:firstLine="480"/>
        <w:rPr>
          <w:rFonts w:ascii="宋体" w:eastAsia="宋体" w:hAnsi="宋体" w:cs="宋体"/>
          <w:kern w:val="0"/>
          <w:sz w:val="24"/>
        </w:rPr>
      </w:pPr>
      <w:r w:rsidRPr="00375FAF">
        <w:rPr>
          <w:rFonts w:ascii="宋体" w:eastAsia="宋体" w:hAnsi="宋体" w:cs="宋体" w:hint="eastAsia"/>
          <w:sz w:val="24"/>
        </w:rPr>
        <w:t>2.6</w:t>
      </w:r>
      <w:r w:rsidRPr="00375FAF">
        <w:rPr>
          <w:rFonts w:ascii="宋体" w:eastAsia="宋体" w:hAnsi="宋体" w:cs="宋体" w:hint="eastAsia"/>
          <w:kern w:val="0"/>
          <w:sz w:val="24"/>
        </w:rPr>
        <w:t>挑高球：防御性挑高球、进攻性挑高球。</w:t>
      </w:r>
    </w:p>
    <w:p w14:paraId="2A18E4FB" w14:textId="77777777" w:rsidR="00375FAF" w:rsidRPr="00375FAF" w:rsidRDefault="00375FAF" w:rsidP="00375FAF">
      <w:pPr>
        <w:adjustRightInd w:val="0"/>
        <w:snapToGrid w:val="0"/>
        <w:spacing w:line="500" w:lineRule="exact"/>
        <w:ind w:firstLineChars="200" w:firstLine="480"/>
        <w:rPr>
          <w:rFonts w:ascii="宋体" w:eastAsia="宋体" w:hAnsi="宋体" w:cs="宋体"/>
          <w:kern w:val="0"/>
          <w:sz w:val="24"/>
        </w:rPr>
      </w:pPr>
      <w:r w:rsidRPr="00375FAF">
        <w:rPr>
          <w:rFonts w:ascii="宋体" w:eastAsia="宋体" w:hAnsi="宋体" w:cs="宋体" w:hint="eastAsia"/>
          <w:kern w:val="0"/>
          <w:sz w:val="24"/>
        </w:rPr>
        <w:t>2.7高压球：凌空高压球、反弹高压球、反手高压球。</w:t>
      </w:r>
    </w:p>
    <w:p w14:paraId="1815458E" w14:textId="77777777" w:rsidR="00375FAF" w:rsidRPr="00375FAF" w:rsidRDefault="00375FAF" w:rsidP="00375FAF">
      <w:pPr>
        <w:adjustRightInd w:val="0"/>
        <w:snapToGrid w:val="0"/>
        <w:spacing w:line="500" w:lineRule="exact"/>
        <w:ind w:firstLineChars="200" w:firstLine="480"/>
        <w:rPr>
          <w:rFonts w:ascii="宋体" w:eastAsia="宋体" w:hAnsi="宋体" w:cs="宋体"/>
          <w:kern w:val="0"/>
          <w:sz w:val="24"/>
        </w:rPr>
      </w:pPr>
      <w:r w:rsidRPr="00375FAF">
        <w:rPr>
          <w:rFonts w:ascii="宋体" w:eastAsia="宋体" w:hAnsi="宋体" w:cs="宋体" w:hint="eastAsia"/>
          <w:kern w:val="0"/>
          <w:sz w:val="24"/>
        </w:rPr>
        <w:t>2.8单打战术。</w:t>
      </w:r>
    </w:p>
    <w:p w14:paraId="031A204C" w14:textId="77777777" w:rsidR="00375FAF" w:rsidRPr="00375FAF" w:rsidRDefault="00375FAF" w:rsidP="00375FAF">
      <w:pPr>
        <w:adjustRightInd w:val="0"/>
        <w:snapToGrid w:val="0"/>
        <w:spacing w:line="500" w:lineRule="exact"/>
        <w:ind w:firstLineChars="200" w:firstLine="480"/>
        <w:rPr>
          <w:rFonts w:ascii="宋体" w:eastAsia="宋体" w:hAnsi="宋体" w:cs="宋体"/>
          <w:sz w:val="24"/>
        </w:rPr>
      </w:pPr>
      <w:r w:rsidRPr="00375FAF">
        <w:rPr>
          <w:rFonts w:ascii="宋体" w:eastAsia="宋体" w:hAnsi="宋体" w:cs="宋体" w:hint="eastAsia"/>
          <w:kern w:val="0"/>
          <w:sz w:val="24"/>
        </w:rPr>
        <w:t>2.9双打战术。</w:t>
      </w:r>
    </w:p>
    <w:p w14:paraId="1C55B092" w14:textId="77777777" w:rsidR="00375FAF" w:rsidRPr="00375FAF" w:rsidRDefault="00375FAF" w:rsidP="00375FAF">
      <w:pPr>
        <w:adjustRightInd w:val="0"/>
        <w:snapToGrid w:val="0"/>
        <w:spacing w:line="500" w:lineRule="exact"/>
        <w:ind w:firstLineChars="200" w:firstLine="482"/>
        <w:rPr>
          <w:rFonts w:ascii="宋体" w:eastAsia="宋体" w:hAnsi="宋体" w:cs="宋体"/>
          <w:sz w:val="24"/>
        </w:rPr>
      </w:pPr>
      <w:r w:rsidRPr="00375FAF">
        <w:rPr>
          <w:rFonts w:ascii="宋体" w:eastAsia="宋体" w:hAnsi="宋体" w:cs="宋体" w:hint="eastAsia"/>
          <w:b/>
          <w:sz w:val="24"/>
        </w:rPr>
        <w:t>教学目的及要求</w:t>
      </w:r>
      <w:r w:rsidRPr="00375FAF">
        <w:rPr>
          <w:rFonts w:ascii="宋体" w:eastAsia="宋体" w:hAnsi="宋体" w:cs="宋体" w:hint="eastAsia"/>
          <w:sz w:val="24"/>
        </w:rPr>
        <w:t>：使学生基本掌握网球基本技术及实际应用；提高学生身体灵活性、协调性及快速反映与移动意识。</w:t>
      </w:r>
    </w:p>
    <w:p w14:paraId="1E6383EC" w14:textId="77777777" w:rsidR="00375FAF" w:rsidRPr="00375FAF" w:rsidRDefault="00375FAF" w:rsidP="00375FAF">
      <w:pPr>
        <w:adjustRightInd w:val="0"/>
        <w:snapToGrid w:val="0"/>
        <w:spacing w:line="500" w:lineRule="exact"/>
        <w:ind w:firstLineChars="200" w:firstLine="482"/>
        <w:rPr>
          <w:rFonts w:ascii="宋体" w:eastAsia="宋体" w:hAnsi="宋体" w:cs="宋体"/>
          <w:sz w:val="24"/>
        </w:rPr>
      </w:pPr>
      <w:r w:rsidRPr="00375FAF">
        <w:rPr>
          <w:rFonts w:ascii="宋体" w:eastAsia="宋体" w:hAnsi="宋体" w:cs="宋体" w:hint="eastAsia"/>
          <w:b/>
          <w:sz w:val="24"/>
        </w:rPr>
        <w:t>教学重点及难点</w:t>
      </w:r>
      <w:r w:rsidRPr="00375FAF">
        <w:rPr>
          <w:rFonts w:ascii="宋体" w:eastAsia="宋体" w:hAnsi="宋体" w:cs="宋体" w:hint="eastAsia"/>
          <w:sz w:val="24"/>
        </w:rPr>
        <w:t>：正确掌握网球基本技术并合理使用；培养学生快速反应与快速意识。</w:t>
      </w:r>
    </w:p>
    <w:p w14:paraId="6AC8A5A9" w14:textId="77777777" w:rsidR="00375FAF" w:rsidRPr="00375FAF" w:rsidRDefault="00375FAF" w:rsidP="00375FAF">
      <w:pPr>
        <w:adjustRightInd w:val="0"/>
        <w:snapToGrid w:val="0"/>
        <w:spacing w:line="500" w:lineRule="exact"/>
        <w:ind w:firstLineChars="200" w:firstLine="562"/>
        <w:jc w:val="center"/>
        <w:rPr>
          <w:rFonts w:ascii="宋体" w:eastAsia="宋体" w:hAnsi="宋体" w:cs="Times New Roman"/>
          <w:b/>
          <w:sz w:val="28"/>
          <w:szCs w:val="28"/>
        </w:rPr>
      </w:pPr>
      <w:r w:rsidRPr="00375FAF">
        <w:rPr>
          <w:rFonts w:ascii="宋体" w:eastAsia="宋体" w:hAnsi="宋体" w:cs="Times New Roman" w:hint="eastAsia"/>
          <w:b/>
          <w:sz w:val="28"/>
          <w:szCs w:val="28"/>
        </w:rPr>
        <w:t>第三章  网球教学活动的组织与管理 （6学时）</w:t>
      </w:r>
    </w:p>
    <w:p w14:paraId="2E8835B0" w14:textId="77777777" w:rsidR="00375FAF" w:rsidRPr="00375FAF" w:rsidRDefault="00375FAF" w:rsidP="00375FAF">
      <w:pPr>
        <w:adjustRightInd w:val="0"/>
        <w:snapToGrid w:val="0"/>
        <w:spacing w:line="500" w:lineRule="exact"/>
        <w:rPr>
          <w:rFonts w:ascii="Calibri" w:eastAsia="宋体" w:hAnsi="Calibri" w:cs="Times New Roman"/>
          <w:b/>
          <w:sz w:val="24"/>
        </w:rPr>
      </w:pPr>
      <w:r w:rsidRPr="00375FAF">
        <w:rPr>
          <w:rFonts w:ascii="Calibri" w:eastAsia="宋体" w:hAnsi="Calibri" w:cs="Times New Roman"/>
          <w:b/>
          <w:sz w:val="24"/>
        </w:rPr>
        <w:t>本章主要教学内容：</w:t>
      </w:r>
    </w:p>
    <w:p w14:paraId="3A806CFE" w14:textId="77777777" w:rsidR="00375FAF" w:rsidRPr="00375FAF" w:rsidRDefault="00375FAF" w:rsidP="00375FAF">
      <w:pPr>
        <w:adjustRightInd w:val="0"/>
        <w:snapToGrid w:val="0"/>
        <w:spacing w:line="500" w:lineRule="exact"/>
        <w:ind w:firstLineChars="200" w:firstLine="480"/>
        <w:rPr>
          <w:rFonts w:ascii="宋体" w:eastAsia="宋体" w:hAnsi="宋体" w:cs="宋体"/>
          <w:sz w:val="24"/>
        </w:rPr>
      </w:pPr>
      <w:r w:rsidRPr="00375FAF">
        <w:rPr>
          <w:rFonts w:ascii="宋体" w:eastAsia="宋体" w:hAnsi="宋体" w:cs="宋体" w:hint="eastAsia"/>
          <w:sz w:val="24"/>
        </w:rPr>
        <w:t>3.1裁判实习及教学比赛</w:t>
      </w:r>
    </w:p>
    <w:p w14:paraId="6BE20DC2" w14:textId="77777777" w:rsidR="00375FAF" w:rsidRPr="00375FAF" w:rsidRDefault="00375FAF" w:rsidP="00375FAF">
      <w:pPr>
        <w:adjustRightInd w:val="0"/>
        <w:snapToGrid w:val="0"/>
        <w:spacing w:line="500" w:lineRule="exact"/>
        <w:ind w:firstLineChars="200" w:firstLine="480"/>
        <w:rPr>
          <w:rFonts w:ascii="宋体" w:eastAsia="宋体" w:hAnsi="宋体" w:cs="宋体"/>
          <w:sz w:val="24"/>
        </w:rPr>
      </w:pPr>
      <w:r w:rsidRPr="00375FAF">
        <w:rPr>
          <w:rFonts w:ascii="宋体" w:eastAsia="宋体" w:hAnsi="宋体" w:cs="宋体" w:hint="eastAsia"/>
          <w:sz w:val="24"/>
        </w:rPr>
        <w:t>3.2期末考试</w:t>
      </w:r>
    </w:p>
    <w:p w14:paraId="5A36C23D" w14:textId="77777777" w:rsidR="00375FAF" w:rsidRPr="00375FAF" w:rsidRDefault="00375FAF" w:rsidP="00375FAF">
      <w:pPr>
        <w:adjustRightInd w:val="0"/>
        <w:snapToGrid w:val="0"/>
        <w:spacing w:line="500" w:lineRule="exact"/>
        <w:ind w:firstLineChars="200" w:firstLine="480"/>
        <w:rPr>
          <w:rFonts w:ascii="宋体" w:eastAsia="宋体" w:hAnsi="宋体" w:cs="宋体"/>
          <w:sz w:val="24"/>
        </w:rPr>
      </w:pPr>
      <w:r w:rsidRPr="00375FAF">
        <w:rPr>
          <w:rFonts w:ascii="宋体" w:eastAsia="宋体" w:hAnsi="宋体" w:cs="宋体" w:hint="eastAsia"/>
          <w:sz w:val="24"/>
        </w:rPr>
        <w:lastRenderedPageBreak/>
        <w:t>本章教学目的及要求：了解与掌握网球竞赛规则与裁判法的主要内容对于开展网球活动，搞好网球竞赛具有重要意义。</w:t>
      </w:r>
    </w:p>
    <w:p w14:paraId="01C67442" w14:textId="77777777" w:rsidR="00375FAF" w:rsidRPr="00375FAF" w:rsidRDefault="00375FAF" w:rsidP="00375FAF">
      <w:pPr>
        <w:adjustRightInd w:val="0"/>
        <w:snapToGrid w:val="0"/>
        <w:spacing w:line="500" w:lineRule="exact"/>
        <w:ind w:firstLineChars="200" w:firstLine="480"/>
        <w:rPr>
          <w:rFonts w:ascii="宋体" w:eastAsia="宋体" w:hAnsi="宋体" w:cs="宋体"/>
          <w:sz w:val="24"/>
        </w:rPr>
      </w:pPr>
      <w:r w:rsidRPr="00375FAF">
        <w:rPr>
          <w:rFonts w:ascii="宋体" w:eastAsia="宋体" w:hAnsi="宋体" w:cs="宋体" w:hint="eastAsia"/>
          <w:sz w:val="24"/>
        </w:rPr>
        <w:t>本章教学重点及难点：提高网球基本技术并合理使用，了解网球裁判规则。</w:t>
      </w:r>
    </w:p>
    <w:p w14:paraId="3566B024" w14:textId="77777777" w:rsidR="00375FAF" w:rsidRPr="00375FAF" w:rsidRDefault="00375FAF" w:rsidP="00375FAF">
      <w:pPr>
        <w:adjustRightInd w:val="0"/>
        <w:snapToGrid w:val="0"/>
        <w:spacing w:beforeLines="50" w:before="156" w:afterLines="50" w:after="156" w:line="500" w:lineRule="exact"/>
        <w:jc w:val="center"/>
        <w:rPr>
          <w:rFonts w:ascii="Arial" w:eastAsia="宋体" w:hAnsi="Arial" w:cs="Arial"/>
          <w:b/>
          <w:sz w:val="28"/>
          <w:szCs w:val="28"/>
        </w:rPr>
      </w:pPr>
      <w:r w:rsidRPr="00375FAF">
        <w:rPr>
          <w:rFonts w:ascii="Calibri" w:eastAsia="宋体" w:hAnsi="Calibri" w:cs="Times New Roman" w:hint="eastAsia"/>
          <w:b/>
          <w:sz w:val="28"/>
          <w:szCs w:val="28"/>
        </w:rPr>
        <w:t>第四章</w:t>
      </w:r>
      <w:r w:rsidRPr="00375FAF">
        <w:rPr>
          <w:rFonts w:ascii="Calibri" w:eastAsia="宋体" w:hAnsi="Calibri" w:cs="Times New Roman" w:hint="eastAsia"/>
          <w:b/>
          <w:sz w:val="28"/>
          <w:szCs w:val="28"/>
        </w:rPr>
        <w:t xml:space="preserve">  </w:t>
      </w:r>
      <w:r w:rsidRPr="00375FAF">
        <w:rPr>
          <w:rFonts w:ascii="Arial" w:eastAsia="宋体" w:hAnsi="Calibri" w:cs="Arial" w:hint="eastAsia"/>
          <w:b/>
          <w:sz w:val="28"/>
          <w:szCs w:val="28"/>
        </w:rPr>
        <w:t>体质健康测评（</w:t>
      </w:r>
      <w:r w:rsidRPr="00375FAF">
        <w:rPr>
          <w:rFonts w:ascii="Arial" w:eastAsia="宋体" w:hAnsi="Calibri" w:cs="Arial" w:hint="eastAsia"/>
          <w:b/>
          <w:sz w:val="28"/>
          <w:szCs w:val="28"/>
        </w:rPr>
        <w:t>4</w:t>
      </w:r>
      <w:r w:rsidRPr="00375FAF">
        <w:rPr>
          <w:rFonts w:ascii="Arial" w:eastAsia="宋体" w:hAnsi="Calibri" w:cs="Arial" w:hint="eastAsia"/>
          <w:b/>
          <w:sz w:val="28"/>
          <w:szCs w:val="28"/>
        </w:rPr>
        <w:t>学时）</w:t>
      </w:r>
    </w:p>
    <w:p w14:paraId="3F801658" w14:textId="77777777" w:rsidR="00375FAF" w:rsidRPr="00375FAF" w:rsidRDefault="00375FAF" w:rsidP="00375FAF">
      <w:pPr>
        <w:spacing w:line="360" w:lineRule="auto"/>
        <w:ind w:firstLineChars="196" w:firstLine="472"/>
        <w:rPr>
          <w:rFonts w:ascii="Arial" w:eastAsia="宋体" w:hAnsi="Arial" w:cs="Arial"/>
          <w:b/>
          <w:sz w:val="24"/>
        </w:rPr>
      </w:pPr>
      <w:r w:rsidRPr="00375FAF">
        <w:rPr>
          <w:rFonts w:ascii="Arial" w:eastAsia="宋体" w:hAnsi="Calibri" w:cs="Arial" w:hint="eastAsia"/>
          <w:b/>
          <w:sz w:val="24"/>
        </w:rPr>
        <w:t>本章主要教学内容：</w:t>
      </w:r>
    </w:p>
    <w:p w14:paraId="2FE60077"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4.1 《国家学生体质健康标准》实施说明</w:t>
      </w:r>
    </w:p>
    <w:p w14:paraId="25ACAE8C" w14:textId="77777777" w:rsidR="00375FAF" w:rsidRPr="00375FAF" w:rsidRDefault="00375FAF" w:rsidP="00375FAF">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375FAF">
        <w:rPr>
          <w:rFonts w:ascii="宋体" w:eastAsia="宋体" w:hAnsi="Calibri" w:cs="宋体" w:hint="eastAsia"/>
          <w:spacing w:val="5"/>
          <w:kern w:val="0"/>
          <w:sz w:val="24"/>
        </w:rPr>
        <w:t>4.2 《国家学生体质健康标准》测试评分表</w:t>
      </w:r>
    </w:p>
    <w:p w14:paraId="6CB0F81D" w14:textId="77777777" w:rsidR="00375FAF" w:rsidRPr="00375FAF" w:rsidRDefault="00375FAF" w:rsidP="00375FAF">
      <w:pPr>
        <w:spacing w:line="360" w:lineRule="auto"/>
        <w:ind w:firstLineChars="196" w:firstLine="472"/>
        <w:rPr>
          <w:rFonts w:ascii="Calibri" w:eastAsia="宋体" w:hAnsi="Calibri" w:cs="Times New Roman"/>
          <w:bCs/>
          <w:sz w:val="24"/>
        </w:rPr>
      </w:pPr>
      <w:r w:rsidRPr="00375FAF">
        <w:rPr>
          <w:rFonts w:ascii="Arial" w:eastAsia="宋体" w:hAnsi="Calibri" w:cs="Arial" w:hint="eastAsia"/>
          <w:b/>
          <w:sz w:val="24"/>
        </w:rPr>
        <w:t>本章教学目的及要求：</w:t>
      </w:r>
      <w:r w:rsidRPr="00375FAF">
        <w:rPr>
          <w:rFonts w:ascii="Calibri" w:eastAsia="宋体" w:hAnsi="Calibri" w:cs="Times New Roman" w:hint="eastAsia"/>
          <w:bCs/>
          <w:sz w:val="24"/>
        </w:rPr>
        <w:t>使学生了解体质健康的主要内容及要求。</w:t>
      </w:r>
    </w:p>
    <w:p w14:paraId="5C2B66C5" w14:textId="77777777" w:rsidR="00375FAF" w:rsidRPr="00375FAF" w:rsidRDefault="00375FAF" w:rsidP="00375FAF">
      <w:pPr>
        <w:spacing w:line="360" w:lineRule="auto"/>
        <w:ind w:firstLineChars="196" w:firstLine="472"/>
        <w:rPr>
          <w:rFonts w:ascii="宋体" w:eastAsia="宋体" w:hAnsi="宋体" w:cs="宋体"/>
          <w:color w:val="000000"/>
          <w:sz w:val="24"/>
        </w:rPr>
      </w:pPr>
      <w:r w:rsidRPr="00375FAF">
        <w:rPr>
          <w:rFonts w:ascii="Arial" w:eastAsia="宋体" w:hAnsi="Calibri" w:cs="Arial" w:hint="eastAsia"/>
          <w:b/>
          <w:sz w:val="24"/>
        </w:rPr>
        <w:t>本章教学重点及难点：</w:t>
      </w:r>
      <w:r w:rsidRPr="00375FAF">
        <w:rPr>
          <w:rFonts w:ascii="Arial" w:eastAsia="宋体" w:hAnsi="Calibri" w:cs="Arial" w:hint="eastAsia"/>
          <w:sz w:val="24"/>
        </w:rPr>
        <w:t>学生体质健康标准的重要性；如何激发学生锻炼身体的积极性和自觉性。</w:t>
      </w:r>
    </w:p>
    <w:p w14:paraId="081285B0" w14:textId="77777777" w:rsidR="00375FAF" w:rsidRPr="00375FAF" w:rsidRDefault="00375FAF" w:rsidP="00375FAF">
      <w:pPr>
        <w:spacing w:beforeLines="50" w:before="156" w:afterLines="50" w:after="156" w:line="440" w:lineRule="exact"/>
        <w:ind w:firstLineChars="200" w:firstLine="560"/>
        <w:jc w:val="center"/>
        <w:rPr>
          <w:rFonts w:ascii="黑体" w:eastAsia="黑体" w:hAnsi="黑体" w:cs="Times New Roman"/>
          <w:sz w:val="28"/>
          <w:szCs w:val="28"/>
        </w:rPr>
      </w:pPr>
      <w:r w:rsidRPr="00375FAF">
        <w:rPr>
          <w:rFonts w:ascii="黑体" w:eastAsia="黑体" w:hAnsi="黑体" w:cs="Times New Roman" w:hint="eastAsia"/>
          <w:sz w:val="28"/>
          <w:szCs w:val="28"/>
        </w:rPr>
        <w:t>学习内容四 网球 3</w:t>
      </w:r>
    </w:p>
    <w:p w14:paraId="499F568D" w14:textId="77777777" w:rsidR="00375FAF" w:rsidRPr="00375FAF" w:rsidRDefault="00375FAF" w:rsidP="00375FAF">
      <w:pPr>
        <w:spacing w:line="440" w:lineRule="exact"/>
        <w:ind w:firstLineChars="200" w:firstLine="482"/>
        <w:rPr>
          <w:rFonts w:ascii="宋体" w:eastAsia="宋体" w:hAnsi="宋体" w:cs="Times New Roman"/>
          <w:b/>
          <w:sz w:val="24"/>
        </w:rPr>
      </w:pPr>
      <w:r w:rsidRPr="00375FAF">
        <w:rPr>
          <w:rFonts w:ascii="宋体" w:eastAsia="宋体" w:hAnsi="宋体" w:cs="Times New Roman" w:hint="eastAsia"/>
          <w:b/>
          <w:sz w:val="24"/>
        </w:rPr>
        <w:t>【学习目标】</w:t>
      </w:r>
    </w:p>
    <w:p w14:paraId="00C8401C" w14:textId="77777777" w:rsidR="00375FAF" w:rsidRPr="00375FAF" w:rsidRDefault="00375FAF" w:rsidP="00375FAF">
      <w:pPr>
        <w:autoSpaceDE w:val="0"/>
        <w:autoSpaceDN w:val="0"/>
        <w:adjustRightInd w:val="0"/>
        <w:snapToGrid w:val="0"/>
        <w:spacing w:line="500" w:lineRule="exact"/>
        <w:ind w:firstLineChars="200" w:firstLine="480"/>
        <w:rPr>
          <w:rFonts w:ascii="宋体" w:eastAsia="宋体" w:hAnsi="宋体" w:cs="仿宋_GB2312"/>
          <w:sz w:val="24"/>
        </w:rPr>
      </w:pPr>
      <w:r w:rsidRPr="00375FAF">
        <w:rPr>
          <w:rFonts w:ascii="宋体" w:eastAsia="宋体" w:hAnsi="宋体" w:cs="Times New Roman" w:hint="eastAsia"/>
          <w:sz w:val="24"/>
        </w:rPr>
        <w:t>1.认知类目标：了解《大学体育》课程的内容、性质和要求；</w:t>
      </w:r>
      <w:r w:rsidRPr="00375FAF">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p>
    <w:p w14:paraId="1D502055" w14:textId="77777777" w:rsidR="00375FAF" w:rsidRPr="00375FAF" w:rsidRDefault="00375FAF" w:rsidP="00375FAF">
      <w:pPr>
        <w:autoSpaceDE w:val="0"/>
        <w:autoSpaceDN w:val="0"/>
        <w:adjustRightInd w:val="0"/>
        <w:snapToGrid w:val="0"/>
        <w:spacing w:line="500" w:lineRule="exact"/>
        <w:ind w:firstLineChars="200" w:firstLine="480"/>
        <w:rPr>
          <w:rFonts w:ascii="宋体" w:eastAsia="宋体" w:hAnsi="宋体" w:cs="Times New Roman"/>
          <w:sz w:val="24"/>
        </w:rPr>
      </w:pPr>
      <w:r w:rsidRPr="00375FAF">
        <w:rPr>
          <w:rFonts w:ascii="宋体" w:eastAsia="宋体" w:hAnsi="宋体" w:cs="Times New Roman" w:hint="eastAsia"/>
          <w:sz w:val="24"/>
        </w:rPr>
        <w:t>2</w:t>
      </w:r>
      <w:r w:rsidRPr="00375FAF">
        <w:rPr>
          <w:rFonts w:ascii="宋体" w:eastAsia="宋体" w:hAnsi="宋体" w:cs="Times New Roman"/>
          <w:sz w:val="24"/>
        </w:rPr>
        <w:t xml:space="preserve">. </w:t>
      </w:r>
      <w:r w:rsidRPr="00375FAF">
        <w:rPr>
          <w:rFonts w:ascii="宋体" w:eastAsia="宋体" w:hAnsi="宋体" w:cs="Times New Roman" w:hint="eastAsia"/>
          <w:sz w:val="24"/>
        </w:rPr>
        <w:t>过程与方法类目标：</w:t>
      </w:r>
      <w:r w:rsidRPr="00375FAF">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375FAF">
        <w:rPr>
          <w:rFonts w:ascii="宋体" w:eastAsia="宋体" w:hAnsi="Calibri" w:cs="宋体" w:hint="eastAsia"/>
          <w:spacing w:val="5"/>
          <w:kern w:val="0"/>
          <w:sz w:val="24"/>
        </w:rPr>
        <w:t>。</w:t>
      </w:r>
      <w:r w:rsidRPr="00375FAF">
        <w:rPr>
          <w:rFonts w:ascii="宋体" w:eastAsia="宋体" w:hAnsi="宋体" w:cs="仿宋_GB2312" w:hint="eastAsia"/>
          <w:sz w:val="24"/>
        </w:rPr>
        <w:t>使学生能够掌握</w:t>
      </w:r>
      <w:r w:rsidRPr="00375FAF">
        <w:rPr>
          <w:rFonts w:ascii="宋体" w:eastAsia="宋体" w:hAnsi="Calibri" w:cs="宋体" w:hint="eastAsia"/>
          <w:spacing w:val="5"/>
          <w:kern w:val="0"/>
          <w:sz w:val="24"/>
        </w:rPr>
        <w:t>网</w:t>
      </w:r>
      <w:r w:rsidRPr="00375FAF">
        <w:rPr>
          <w:rFonts w:ascii="宋体" w:eastAsia="宋体" w:hAnsi="宋体" w:cs="仿宋_GB2312" w:hint="eastAsia"/>
          <w:sz w:val="24"/>
        </w:rPr>
        <w:t>球运动的一般规律和特点，使学生获得</w:t>
      </w:r>
      <w:r w:rsidRPr="00375FAF">
        <w:rPr>
          <w:rFonts w:ascii="宋体" w:eastAsia="宋体" w:hAnsi="Calibri" w:cs="宋体" w:hint="eastAsia"/>
          <w:spacing w:val="5"/>
          <w:kern w:val="0"/>
          <w:sz w:val="24"/>
        </w:rPr>
        <w:t>网</w:t>
      </w:r>
      <w:r w:rsidRPr="00375FAF">
        <w:rPr>
          <w:rFonts w:ascii="宋体" w:eastAsia="宋体" w:hAnsi="宋体" w:cs="仿宋_GB2312" w:hint="eastAsia"/>
          <w:sz w:val="24"/>
        </w:rPr>
        <w:t>球运动的基本技术、基本技能和基础理论知识，并了解现代</w:t>
      </w:r>
      <w:r w:rsidRPr="00375FAF">
        <w:rPr>
          <w:rFonts w:ascii="宋体" w:eastAsia="宋体" w:hAnsi="Calibri" w:cs="宋体" w:hint="eastAsia"/>
          <w:spacing w:val="5"/>
          <w:kern w:val="0"/>
          <w:sz w:val="24"/>
        </w:rPr>
        <w:t>网</w:t>
      </w:r>
      <w:r w:rsidRPr="00375FAF">
        <w:rPr>
          <w:rFonts w:ascii="宋体" w:eastAsia="宋体" w:hAnsi="宋体" w:cs="仿宋_GB2312" w:hint="eastAsia"/>
          <w:sz w:val="24"/>
        </w:rPr>
        <w:t>球的发展趋势。</w:t>
      </w:r>
    </w:p>
    <w:p w14:paraId="25F50C29" w14:textId="77777777" w:rsidR="00375FAF" w:rsidRPr="00375FAF" w:rsidRDefault="00375FAF" w:rsidP="00375FAF">
      <w:pPr>
        <w:spacing w:line="440" w:lineRule="exact"/>
        <w:ind w:firstLineChars="200" w:firstLine="480"/>
        <w:rPr>
          <w:rFonts w:ascii="宋体" w:eastAsia="宋体" w:hAnsi="宋体" w:cs="Times New Roman"/>
          <w:sz w:val="24"/>
        </w:rPr>
      </w:pPr>
      <w:r w:rsidRPr="00375FAF">
        <w:rPr>
          <w:rFonts w:ascii="宋体" w:eastAsia="宋体" w:hAnsi="宋体" w:cs="Times New Roman"/>
          <w:sz w:val="24"/>
        </w:rPr>
        <w:t xml:space="preserve">3. </w:t>
      </w:r>
      <w:r w:rsidRPr="00375FAF">
        <w:rPr>
          <w:rFonts w:ascii="宋体" w:eastAsia="宋体" w:hAnsi="宋体" w:cs="Times New Roman" w:hint="eastAsia"/>
          <w:sz w:val="24"/>
        </w:rPr>
        <w:t>情感、态度、价值观类目标：</w:t>
      </w:r>
      <w:r w:rsidRPr="00375FAF">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14:paraId="44E05779" w14:textId="77777777" w:rsidR="00375FAF" w:rsidRPr="00375FAF" w:rsidRDefault="00375FAF" w:rsidP="00375FAF">
      <w:pPr>
        <w:adjustRightInd w:val="0"/>
        <w:snapToGrid w:val="0"/>
        <w:spacing w:beforeLines="50" w:before="156" w:afterLines="50" w:after="156" w:line="500" w:lineRule="exact"/>
        <w:jc w:val="center"/>
        <w:rPr>
          <w:rFonts w:ascii="宋体" w:eastAsia="宋体" w:hAnsi="宋体" w:cs="Times New Roman"/>
          <w:b/>
          <w:sz w:val="28"/>
          <w:szCs w:val="28"/>
        </w:rPr>
      </w:pPr>
      <w:r w:rsidRPr="00375FAF">
        <w:rPr>
          <w:rFonts w:ascii="宋体" w:eastAsia="宋体" w:hAnsi="宋体" w:cs="Times New Roman" w:hint="eastAsia"/>
          <w:b/>
          <w:sz w:val="28"/>
          <w:szCs w:val="28"/>
        </w:rPr>
        <w:lastRenderedPageBreak/>
        <w:t>第一章  网球理论知识及体育健康（4学时）</w:t>
      </w:r>
    </w:p>
    <w:p w14:paraId="6D88A598" w14:textId="77777777" w:rsidR="00375FAF" w:rsidRPr="00375FAF" w:rsidRDefault="00375FAF" w:rsidP="00375FAF">
      <w:pPr>
        <w:adjustRightInd w:val="0"/>
        <w:snapToGrid w:val="0"/>
        <w:spacing w:line="500" w:lineRule="exact"/>
        <w:ind w:firstLineChars="200" w:firstLine="482"/>
        <w:rPr>
          <w:rFonts w:ascii="Calibri" w:eastAsia="宋体" w:hAnsi="Calibri" w:cs="Times New Roman"/>
          <w:b/>
          <w:sz w:val="24"/>
        </w:rPr>
      </w:pPr>
      <w:r w:rsidRPr="00375FAF">
        <w:rPr>
          <w:rFonts w:ascii="Calibri" w:eastAsia="宋体" w:hAnsi="Calibri" w:cs="Times New Roman"/>
          <w:b/>
          <w:sz w:val="24"/>
        </w:rPr>
        <w:t>本章主要教学内容：</w:t>
      </w:r>
    </w:p>
    <w:p w14:paraId="2E459847" w14:textId="77777777" w:rsidR="00375FAF" w:rsidRPr="00375FAF" w:rsidRDefault="00375FAF" w:rsidP="00375FAF">
      <w:pPr>
        <w:adjustRightInd w:val="0"/>
        <w:snapToGrid w:val="0"/>
        <w:spacing w:line="500" w:lineRule="exact"/>
        <w:ind w:firstLineChars="200" w:firstLine="480"/>
        <w:jc w:val="left"/>
        <w:rPr>
          <w:rFonts w:ascii="宋体" w:eastAsia="宋体" w:hAnsi="宋体" w:cs="宋体"/>
          <w:sz w:val="24"/>
        </w:rPr>
      </w:pPr>
      <w:r w:rsidRPr="00375FAF">
        <w:rPr>
          <w:rFonts w:ascii="宋体" w:eastAsia="宋体" w:hAnsi="宋体" w:cs="宋体" w:hint="eastAsia"/>
          <w:sz w:val="24"/>
        </w:rPr>
        <w:t xml:space="preserve">1.1网球运动概述 </w:t>
      </w:r>
      <w:r w:rsidRPr="00375FAF">
        <w:rPr>
          <w:rFonts w:ascii="宋体" w:eastAsia="宋体" w:hAnsi="宋体" w:cs="宋体" w:hint="eastAsia"/>
          <w:sz w:val="24"/>
        </w:rPr>
        <w:br/>
        <w:t>网球运动起源，现代网球运动发展规律，我国网球运动发展概况，羽毛球运动的锻炼价值。</w:t>
      </w:r>
    </w:p>
    <w:p w14:paraId="3EEFB08A" w14:textId="77777777" w:rsidR="00375FAF" w:rsidRPr="00375FAF" w:rsidRDefault="00375FAF" w:rsidP="00375FAF">
      <w:pPr>
        <w:adjustRightInd w:val="0"/>
        <w:snapToGrid w:val="0"/>
        <w:spacing w:line="500" w:lineRule="exact"/>
        <w:ind w:firstLineChars="200" w:firstLine="480"/>
        <w:rPr>
          <w:rFonts w:ascii="宋体" w:eastAsia="宋体" w:hAnsi="宋体" w:cs="宋体"/>
          <w:sz w:val="24"/>
        </w:rPr>
      </w:pPr>
      <w:r w:rsidRPr="00375FAF">
        <w:rPr>
          <w:rFonts w:ascii="宋体" w:eastAsia="宋体" w:hAnsi="宋体" w:cs="宋体" w:hint="eastAsia"/>
          <w:sz w:val="24"/>
        </w:rPr>
        <w:t>1.2网球竞赛规则，网球裁判法。</w:t>
      </w:r>
    </w:p>
    <w:p w14:paraId="0C546252" w14:textId="77777777" w:rsidR="00375FAF" w:rsidRPr="00375FAF" w:rsidRDefault="00375FAF" w:rsidP="00375FAF">
      <w:pPr>
        <w:adjustRightInd w:val="0"/>
        <w:snapToGrid w:val="0"/>
        <w:spacing w:line="500" w:lineRule="exact"/>
        <w:ind w:leftChars="57" w:left="120" w:firstLineChars="150" w:firstLine="360"/>
        <w:rPr>
          <w:rFonts w:ascii="Calibri" w:eastAsia="宋体" w:hAnsi="Calibri" w:cs="Times New Roman"/>
          <w:sz w:val="24"/>
        </w:rPr>
      </w:pPr>
      <w:r w:rsidRPr="00375FAF">
        <w:rPr>
          <w:rFonts w:ascii="宋体" w:eastAsia="宋体" w:hAnsi="宋体" w:cs="宋体" w:hint="eastAsia"/>
          <w:sz w:val="24"/>
        </w:rPr>
        <w:t>1.3《体育与健康》健身方法与常识。</w:t>
      </w:r>
      <w:r w:rsidRPr="00375FAF">
        <w:rPr>
          <w:rFonts w:ascii="宋体" w:eastAsia="宋体" w:hAnsi="宋体" w:cs="宋体" w:hint="eastAsia"/>
          <w:sz w:val="24"/>
        </w:rPr>
        <w:br/>
      </w:r>
      <w:r w:rsidRPr="00375FAF">
        <w:rPr>
          <w:rFonts w:ascii="Calibri" w:eastAsia="宋体" w:hAnsi="Calibri" w:cs="Times New Roman" w:hint="eastAsia"/>
          <w:b/>
          <w:bCs/>
          <w:sz w:val="24"/>
        </w:rPr>
        <w:t>本章教学目的及要求：</w:t>
      </w:r>
      <w:r w:rsidRPr="00375FAF">
        <w:rPr>
          <w:rFonts w:ascii="Calibri" w:eastAsia="宋体" w:hAnsi="Calibri" w:cs="Times New Roman" w:hint="eastAsia"/>
          <w:sz w:val="24"/>
        </w:rPr>
        <w:t>了解网球运动起源，了解现代网球运动发展规律，了解我国网球运动发展概况，明确网球运动的锻炼价值。明确网球竞赛规则，明确网球裁判法。</w:t>
      </w:r>
      <w:r w:rsidRPr="00375FAF">
        <w:rPr>
          <w:rFonts w:ascii="Calibri" w:eastAsia="宋体" w:hAnsi="Calibri" w:cs="Times New Roman" w:hint="eastAsia"/>
          <w:sz w:val="24"/>
        </w:rPr>
        <w:br/>
      </w:r>
      <w:r w:rsidRPr="00375FAF">
        <w:rPr>
          <w:rFonts w:ascii="Calibri" w:eastAsia="宋体" w:hAnsi="Calibri" w:cs="Times New Roman" w:hint="eastAsia"/>
          <w:b/>
          <w:bCs/>
          <w:sz w:val="24"/>
        </w:rPr>
        <w:t>本章教学重点及难点：</w:t>
      </w:r>
      <w:r w:rsidRPr="00375FAF">
        <w:rPr>
          <w:rFonts w:ascii="Calibri" w:eastAsia="宋体" w:hAnsi="Calibri" w:cs="Times New Roman" w:hint="eastAsia"/>
          <w:sz w:val="24"/>
        </w:rPr>
        <w:t>我国网球运动发展概况，我国网球运动发展趋势。网球竞赛规则，违例及其罚则。</w:t>
      </w:r>
      <w:r w:rsidRPr="00375FAF">
        <w:rPr>
          <w:rFonts w:ascii="Calibri" w:eastAsia="宋体" w:hAnsi="Calibri" w:cs="Times New Roman" w:hint="eastAsia"/>
          <w:sz w:val="24"/>
        </w:rPr>
        <w:br/>
      </w:r>
    </w:p>
    <w:p w14:paraId="1C4CA282" w14:textId="77777777" w:rsidR="00375FAF" w:rsidRPr="00375FAF" w:rsidRDefault="00375FAF" w:rsidP="00375FAF">
      <w:pPr>
        <w:adjustRightInd w:val="0"/>
        <w:snapToGrid w:val="0"/>
        <w:spacing w:beforeLines="50" w:before="156" w:afterLines="50" w:after="156" w:line="500" w:lineRule="exact"/>
        <w:jc w:val="center"/>
        <w:rPr>
          <w:rFonts w:ascii="宋体" w:eastAsia="宋体" w:hAnsi="宋体" w:cs="Times New Roman"/>
          <w:b/>
          <w:sz w:val="28"/>
          <w:szCs w:val="28"/>
        </w:rPr>
      </w:pPr>
      <w:r w:rsidRPr="00375FAF">
        <w:rPr>
          <w:rFonts w:ascii="宋体" w:eastAsia="宋体" w:hAnsi="宋体" w:cs="Times New Roman" w:hint="eastAsia"/>
          <w:b/>
          <w:sz w:val="28"/>
          <w:szCs w:val="28"/>
        </w:rPr>
        <w:t>第二章  网球基本技术与战术  （24学时）</w:t>
      </w:r>
    </w:p>
    <w:p w14:paraId="430309FA" w14:textId="77777777" w:rsidR="00375FAF" w:rsidRPr="00375FAF" w:rsidRDefault="00375FAF" w:rsidP="00375FAF">
      <w:pPr>
        <w:adjustRightInd w:val="0"/>
        <w:snapToGrid w:val="0"/>
        <w:spacing w:line="500" w:lineRule="exact"/>
        <w:rPr>
          <w:rFonts w:ascii="Calibri" w:eastAsia="宋体" w:hAnsi="Calibri" w:cs="Times New Roman"/>
          <w:b/>
          <w:sz w:val="24"/>
        </w:rPr>
      </w:pPr>
      <w:r w:rsidRPr="00375FAF">
        <w:rPr>
          <w:rFonts w:ascii="Calibri" w:eastAsia="宋体" w:hAnsi="Calibri" w:cs="Times New Roman"/>
          <w:b/>
          <w:sz w:val="24"/>
        </w:rPr>
        <w:t>本章主要教学内容：</w:t>
      </w:r>
    </w:p>
    <w:p w14:paraId="66A290DD" w14:textId="77777777" w:rsidR="00375FAF" w:rsidRPr="00375FAF" w:rsidRDefault="00375FAF" w:rsidP="00375FAF">
      <w:pPr>
        <w:adjustRightInd w:val="0"/>
        <w:snapToGrid w:val="0"/>
        <w:spacing w:line="500" w:lineRule="exact"/>
        <w:rPr>
          <w:rFonts w:ascii="Calibri" w:eastAsia="宋体" w:hAnsi="Calibri" w:cs="Times New Roman"/>
          <w:sz w:val="24"/>
        </w:rPr>
      </w:pPr>
      <w:r w:rsidRPr="00375FAF">
        <w:rPr>
          <w:rFonts w:ascii="Calibri" w:eastAsia="宋体" w:hAnsi="Calibri" w:cs="Times New Roman" w:hint="eastAsia"/>
          <w:sz w:val="24"/>
        </w:rPr>
        <w:t>2.1</w:t>
      </w:r>
      <w:r w:rsidRPr="00375FAF">
        <w:rPr>
          <w:rFonts w:ascii="Calibri" w:eastAsia="宋体" w:hAnsi="Calibri" w:cs="Times New Roman" w:hint="eastAsia"/>
          <w:sz w:val="24"/>
        </w:rPr>
        <w:t>网球击球准备姿势与移动。</w:t>
      </w:r>
    </w:p>
    <w:p w14:paraId="059C4E59" w14:textId="77777777" w:rsidR="00375FAF" w:rsidRPr="00375FAF" w:rsidRDefault="00375FAF" w:rsidP="00375FAF">
      <w:pPr>
        <w:adjustRightInd w:val="0"/>
        <w:snapToGrid w:val="0"/>
        <w:spacing w:line="500" w:lineRule="exact"/>
        <w:rPr>
          <w:rFonts w:ascii="Calibri" w:eastAsia="宋体" w:hAnsi="Calibri" w:cs="Times New Roman"/>
          <w:sz w:val="24"/>
        </w:rPr>
      </w:pPr>
      <w:r w:rsidRPr="00375FAF">
        <w:rPr>
          <w:rFonts w:ascii="Calibri" w:eastAsia="宋体" w:hAnsi="Calibri" w:cs="Times New Roman" w:hint="eastAsia"/>
          <w:sz w:val="24"/>
        </w:rPr>
        <w:t>2.2</w:t>
      </w:r>
      <w:r w:rsidRPr="00375FAF">
        <w:rPr>
          <w:rFonts w:ascii="Calibri" w:eastAsia="宋体" w:hAnsi="Calibri" w:cs="Times New Roman"/>
          <w:sz w:val="24"/>
        </w:rPr>
        <w:t>正手击球：</w:t>
      </w:r>
      <w:proofErr w:type="gramStart"/>
      <w:r w:rsidRPr="00375FAF">
        <w:rPr>
          <w:rFonts w:ascii="Calibri" w:eastAsia="宋体" w:hAnsi="Calibri" w:cs="Times New Roman"/>
          <w:sz w:val="24"/>
        </w:rPr>
        <w:t>正手平</w:t>
      </w:r>
      <w:proofErr w:type="gramEnd"/>
      <w:r w:rsidRPr="00375FAF">
        <w:rPr>
          <w:rFonts w:ascii="Calibri" w:eastAsia="宋体" w:hAnsi="Calibri" w:cs="Times New Roman"/>
          <w:sz w:val="24"/>
        </w:rPr>
        <w:t>击球、正手上旋球。</w:t>
      </w:r>
    </w:p>
    <w:p w14:paraId="58765A90" w14:textId="77777777" w:rsidR="00375FAF" w:rsidRPr="00375FAF" w:rsidRDefault="00375FAF" w:rsidP="00375FAF">
      <w:pPr>
        <w:adjustRightInd w:val="0"/>
        <w:snapToGrid w:val="0"/>
        <w:spacing w:line="500" w:lineRule="exact"/>
        <w:rPr>
          <w:rFonts w:ascii="Calibri" w:eastAsia="宋体" w:hAnsi="Calibri" w:cs="Times New Roman"/>
          <w:sz w:val="24"/>
        </w:rPr>
      </w:pPr>
      <w:r w:rsidRPr="00375FAF">
        <w:rPr>
          <w:rFonts w:ascii="Calibri" w:eastAsia="宋体" w:hAnsi="Calibri" w:cs="Times New Roman" w:hint="eastAsia"/>
          <w:sz w:val="24"/>
        </w:rPr>
        <w:t>2.3</w:t>
      </w:r>
      <w:r w:rsidRPr="00375FAF">
        <w:rPr>
          <w:rFonts w:ascii="Calibri" w:eastAsia="宋体" w:hAnsi="Calibri" w:cs="Times New Roman"/>
          <w:sz w:val="24"/>
        </w:rPr>
        <w:t>反手击球：双手反手击球、单手反手击球。</w:t>
      </w:r>
    </w:p>
    <w:p w14:paraId="4F7D22EC" w14:textId="77777777" w:rsidR="00375FAF" w:rsidRPr="00375FAF" w:rsidRDefault="00375FAF" w:rsidP="00375FAF">
      <w:pPr>
        <w:adjustRightInd w:val="0"/>
        <w:snapToGrid w:val="0"/>
        <w:spacing w:line="500" w:lineRule="exact"/>
        <w:rPr>
          <w:rFonts w:ascii="Calibri" w:eastAsia="宋体" w:hAnsi="Calibri" w:cs="Times New Roman"/>
          <w:sz w:val="24"/>
        </w:rPr>
      </w:pPr>
      <w:r w:rsidRPr="00375FAF">
        <w:rPr>
          <w:rFonts w:ascii="Calibri" w:eastAsia="宋体" w:hAnsi="Calibri" w:cs="Times New Roman" w:hint="eastAsia"/>
          <w:sz w:val="24"/>
        </w:rPr>
        <w:t>2.4</w:t>
      </w:r>
      <w:r w:rsidRPr="00375FAF">
        <w:rPr>
          <w:rFonts w:ascii="Calibri" w:eastAsia="宋体" w:hAnsi="Calibri" w:cs="Times New Roman"/>
          <w:sz w:val="24"/>
        </w:rPr>
        <w:t>发球：切削发球。</w:t>
      </w:r>
    </w:p>
    <w:p w14:paraId="0EB1A50F" w14:textId="77777777" w:rsidR="00375FAF" w:rsidRPr="00375FAF" w:rsidRDefault="00375FAF" w:rsidP="00375FAF">
      <w:pPr>
        <w:adjustRightInd w:val="0"/>
        <w:snapToGrid w:val="0"/>
        <w:spacing w:line="500" w:lineRule="exact"/>
        <w:rPr>
          <w:rFonts w:ascii="Calibri" w:eastAsia="宋体" w:hAnsi="Calibri" w:cs="Times New Roman"/>
          <w:sz w:val="24"/>
        </w:rPr>
      </w:pPr>
      <w:r w:rsidRPr="00375FAF">
        <w:rPr>
          <w:rFonts w:ascii="Calibri" w:eastAsia="宋体" w:hAnsi="Calibri" w:cs="Times New Roman" w:hint="eastAsia"/>
          <w:sz w:val="24"/>
        </w:rPr>
        <w:t>2.5</w:t>
      </w:r>
      <w:r w:rsidRPr="00375FAF">
        <w:rPr>
          <w:rFonts w:ascii="Calibri" w:eastAsia="宋体" w:hAnsi="Calibri" w:cs="Times New Roman"/>
          <w:sz w:val="24"/>
        </w:rPr>
        <w:t>截击球：正手截击、反手截击。</w:t>
      </w:r>
    </w:p>
    <w:p w14:paraId="5015E473" w14:textId="77777777" w:rsidR="00375FAF" w:rsidRPr="00375FAF" w:rsidRDefault="00375FAF" w:rsidP="00375FAF">
      <w:pPr>
        <w:adjustRightInd w:val="0"/>
        <w:snapToGrid w:val="0"/>
        <w:spacing w:line="500" w:lineRule="exact"/>
        <w:rPr>
          <w:rFonts w:ascii="Calibri" w:eastAsia="宋体" w:hAnsi="Calibri" w:cs="Times New Roman"/>
          <w:sz w:val="24"/>
        </w:rPr>
      </w:pPr>
      <w:r w:rsidRPr="00375FAF">
        <w:rPr>
          <w:rFonts w:ascii="Calibri" w:eastAsia="宋体" w:hAnsi="Calibri" w:cs="Times New Roman" w:hint="eastAsia"/>
          <w:sz w:val="24"/>
        </w:rPr>
        <w:t>2.6</w:t>
      </w:r>
      <w:r w:rsidRPr="00375FAF">
        <w:rPr>
          <w:rFonts w:ascii="Calibri" w:eastAsia="宋体" w:hAnsi="Calibri" w:cs="Times New Roman"/>
          <w:sz w:val="24"/>
        </w:rPr>
        <w:t>挑高球：防御性挑高球、进攻性挑高球。</w:t>
      </w:r>
    </w:p>
    <w:p w14:paraId="72E9EBDD" w14:textId="77777777" w:rsidR="00375FAF" w:rsidRPr="00375FAF" w:rsidRDefault="00375FAF" w:rsidP="00375FAF">
      <w:pPr>
        <w:adjustRightInd w:val="0"/>
        <w:snapToGrid w:val="0"/>
        <w:spacing w:line="500" w:lineRule="exact"/>
        <w:rPr>
          <w:rFonts w:ascii="Calibri" w:eastAsia="宋体" w:hAnsi="Calibri" w:cs="Times New Roman"/>
          <w:sz w:val="24"/>
        </w:rPr>
      </w:pPr>
      <w:r w:rsidRPr="00375FAF">
        <w:rPr>
          <w:rFonts w:ascii="Calibri" w:eastAsia="宋体" w:hAnsi="Calibri" w:cs="Times New Roman" w:hint="eastAsia"/>
          <w:sz w:val="24"/>
        </w:rPr>
        <w:t>2.7</w:t>
      </w:r>
      <w:r w:rsidRPr="00375FAF">
        <w:rPr>
          <w:rFonts w:ascii="Calibri" w:eastAsia="宋体" w:hAnsi="Calibri" w:cs="Times New Roman"/>
          <w:sz w:val="24"/>
        </w:rPr>
        <w:t>高压球：凌空高压球、反弹高压球、反手高压球。</w:t>
      </w:r>
    </w:p>
    <w:p w14:paraId="130A6032" w14:textId="77777777" w:rsidR="00375FAF" w:rsidRPr="00375FAF" w:rsidRDefault="00375FAF" w:rsidP="00375FAF">
      <w:pPr>
        <w:adjustRightInd w:val="0"/>
        <w:snapToGrid w:val="0"/>
        <w:spacing w:line="500" w:lineRule="exact"/>
        <w:rPr>
          <w:rFonts w:ascii="Calibri" w:eastAsia="宋体" w:hAnsi="Calibri" w:cs="Times New Roman"/>
          <w:sz w:val="24"/>
        </w:rPr>
      </w:pPr>
      <w:r w:rsidRPr="00375FAF">
        <w:rPr>
          <w:rFonts w:ascii="Calibri" w:eastAsia="宋体" w:hAnsi="Calibri" w:cs="Times New Roman" w:hint="eastAsia"/>
          <w:sz w:val="24"/>
        </w:rPr>
        <w:t>2.8</w:t>
      </w:r>
      <w:r w:rsidRPr="00375FAF">
        <w:rPr>
          <w:rFonts w:ascii="Calibri" w:eastAsia="宋体" w:hAnsi="Calibri" w:cs="Times New Roman" w:hint="eastAsia"/>
          <w:sz w:val="24"/>
        </w:rPr>
        <w:t>单打战术。</w:t>
      </w:r>
    </w:p>
    <w:p w14:paraId="101908A7" w14:textId="77777777" w:rsidR="00375FAF" w:rsidRPr="00375FAF" w:rsidRDefault="00375FAF" w:rsidP="00375FAF">
      <w:pPr>
        <w:adjustRightInd w:val="0"/>
        <w:snapToGrid w:val="0"/>
        <w:spacing w:line="500" w:lineRule="exact"/>
        <w:rPr>
          <w:rFonts w:ascii="Calibri" w:eastAsia="宋体" w:hAnsi="Calibri" w:cs="Times New Roman"/>
          <w:sz w:val="24"/>
        </w:rPr>
      </w:pPr>
      <w:r w:rsidRPr="00375FAF">
        <w:rPr>
          <w:rFonts w:ascii="Calibri" w:eastAsia="宋体" w:hAnsi="Calibri" w:cs="Times New Roman" w:hint="eastAsia"/>
          <w:sz w:val="24"/>
        </w:rPr>
        <w:t>2.9</w:t>
      </w:r>
      <w:r w:rsidRPr="00375FAF">
        <w:rPr>
          <w:rFonts w:ascii="Calibri" w:eastAsia="宋体" w:hAnsi="Calibri" w:cs="Times New Roman" w:hint="eastAsia"/>
          <w:sz w:val="24"/>
        </w:rPr>
        <w:t>双打战术。</w:t>
      </w:r>
    </w:p>
    <w:p w14:paraId="2B6DA1C5" w14:textId="77777777" w:rsidR="00375FAF" w:rsidRPr="00375FAF" w:rsidRDefault="00375FAF" w:rsidP="00375FAF">
      <w:pPr>
        <w:adjustRightInd w:val="0"/>
        <w:snapToGrid w:val="0"/>
        <w:spacing w:line="500" w:lineRule="exact"/>
        <w:rPr>
          <w:rFonts w:ascii="Calibri" w:eastAsia="宋体" w:hAnsi="Calibri" w:cs="Times New Roman"/>
          <w:sz w:val="24"/>
        </w:rPr>
      </w:pPr>
      <w:r w:rsidRPr="00375FAF">
        <w:rPr>
          <w:rFonts w:ascii="Calibri" w:eastAsia="宋体" w:hAnsi="Calibri" w:cs="Times New Roman" w:hint="eastAsia"/>
          <w:b/>
          <w:bCs/>
          <w:sz w:val="24"/>
        </w:rPr>
        <w:t>教学目的及要求：</w:t>
      </w:r>
      <w:r w:rsidRPr="00375FAF">
        <w:rPr>
          <w:rFonts w:ascii="Calibri" w:eastAsia="宋体" w:hAnsi="Calibri" w:cs="Times New Roman" w:hint="eastAsia"/>
          <w:sz w:val="24"/>
        </w:rPr>
        <w:t>使学生基本掌握网球基本技术及实际应用；提高学生身体灵活性、协调性及快速反映与移动意识。</w:t>
      </w:r>
    </w:p>
    <w:p w14:paraId="27E3D7C3" w14:textId="77777777" w:rsidR="00375FAF" w:rsidRPr="00375FAF" w:rsidRDefault="00375FAF" w:rsidP="00375FAF">
      <w:pPr>
        <w:adjustRightInd w:val="0"/>
        <w:snapToGrid w:val="0"/>
        <w:spacing w:line="500" w:lineRule="exact"/>
        <w:rPr>
          <w:rFonts w:ascii="Calibri" w:eastAsia="宋体" w:hAnsi="Calibri" w:cs="Times New Roman"/>
          <w:sz w:val="24"/>
        </w:rPr>
      </w:pPr>
      <w:r w:rsidRPr="00375FAF">
        <w:rPr>
          <w:rFonts w:ascii="Calibri" w:eastAsia="宋体" w:hAnsi="Calibri" w:cs="Times New Roman" w:hint="eastAsia"/>
          <w:b/>
          <w:bCs/>
          <w:sz w:val="24"/>
        </w:rPr>
        <w:lastRenderedPageBreak/>
        <w:t>教学重点及难点：</w:t>
      </w:r>
      <w:r w:rsidRPr="00375FAF">
        <w:rPr>
          <w:rFonts w:ascii="Calibri" w:eastAsia="宋体" w:hAnsi="Calibri" w:cs="Times New Roman" w:hint="eastAsia"/>
          <w:sz w:val="24"/>
        </w:rPr>
        <w:t>正确掌握网球基本技术并合理使用；培养学生快速反应与快速意识。</w:t>
      </w:r>
    </w:p>
    <w:p w14:paraId="6AD91B78" w14:textId="77777777" w:rsidR="00375FAF" w:rsidRPr="00375FAF" w:rsidRDefault="00375FAF" w:rsidP="00375FAF">
      <w:pPr>
        <w:adjustRightInd w:val="0"/>
        <w:snapToGrid w:val="0"/>
        <w:spacing w:line="500" w:lineRule="exact"/>
        <w:ind w:firstLineChars="200" w:firstLine="562"/>
        <w:jc w:val="center"/>
        <w:rPr>
          <w:rFonts w:ascii="宋体" w:eastAsia="宋体" w:hAnsi="宋体" w:cs="Times New Roman"/>
          <w:b/>
          <w:sz w:val="28"/>
          <w:szCs w:val="28"/>
        </w:rPr>
      </w:pPr>
      <w:r w:rsidRPr="00375FAF">
        <w:rPr>
          <w:rFonts w:ascii="宋体" w:eastAsia="宋体" w:hAnsi="宋体" w:cs="Times New Roman" w:hint="eastAsia"/>
          <w:b/>
          <w:sz w:val="28"/>
          <w:szCs w:val="28"/>
        </w:rPr>
        <w:t>第三章  网球教学活动的组织与管理 （4学时）</w:t>
      </w:r>
    </w:p>
    <w:p w14:paraId="25FFBD50" w14:textId="77777777" w:rsidR="00375FAF" w:rsidRPr="00375FAF" w:rsidRDefault="00375FAF" w:rsidP="00375FAF">
      <w:pPr>
        <w:adjustRightInd w:val="0"/>
        <w:snapToGrid w:val="0"/>
        <w:spacing w:line="500" w:lineRule="exact"/>
        <w:rPr>
          <w:rFonts w:ascii="Calibri" w:eastAsia="宋体" w:hAnsi="Calibri" w:cs="Times New Roman"/>
          <w:b/>
          <w:sz w:val="24"/>
        </w:rPr>
      </w:pPr>
      <w:r w:rsidRPr="00375FAF">
        <w:rPr>
          <w:rFonts w:ascii="Calibri" w:eastAsia="宋体" w:hAnsi="Calibri" w:cs="Times New Roman"/>
          <w:b/>
          <w:sz w:val="24"/>
        </w:rPr>
        <w:t>本章主要教学内容：</w:t>
      </w:r>
    </w:p>
    <w:p w14:paraId="5F0E5D22" w14:textId="77777777" w:rsidR="00375FAF" w:rsidRPr="00375FAF" w:rsidRDefault="00375FAF" w:rsidP="00375FAF">
      <w:pPr>
        <w:adjustRightInd w:val="0"/>
        <w:snapToGrid w:val="0"/>
        <w:spacing w:line="500" w:lineRule="exact"/>
        <w:rPr>
          <w:rFonts w:ascii="Calibri" w:eastAsia="宋体" w:hAnsi="Calibri" w:cs="Times New Roman"/>
          <w:sz w:val="24"/>
        </w:rPr>
      </w:pPr>
      <w:r w:rsidRPr="00375FAF">
        <w:rPr>
          <w:rFonts w:ascii="Calibri" w:eastAsia="宋体" w:hAnsi="Calibri" w:cs="Times New Roman" w:hint="eastAsia"/>
          <w:sz w:val="24"/>
        </w:rPr>
        <w:t>3.1</w:t>
      </w:r>
      <w:r w:rsidRPr="00375FAF">
        <w:rPr>
          <w:rFonts w:ascii="Calibri" w:eastAsia="宋体" w:hAnsi="Calibri" w:cs="Times New Roman"/>
          <w:sz w:val="24"/>
        </w:rPr>
        <w:t>裁判实习</w:t>
      </w:r>
      <w:r w:rsidRPr="00375FAF">
        <w:rPr>
          <w:rFonts w:ascii="Calibri" w:eastAsia="宋体" w:hAnsi="Calibri" w:cs="Times New Roman" w:hint="eastAsia"/>
          <w:sz w:val="24"/>
        </w:rPr>
        <w:t>及</w:t>
      </w:r>
      <w:r w:rsidRPr="00375FAF">
        <w:rPr>
          <w:rFonts w:ascii="Calibri" w:eastAsia="宋体" w:hAnsi="Calibri" w:cs="Times New Roman"/>
          <w:sz w:val="24"/>
        </w:rPr>
        <w:t>教学比赛</w:t>
      </w:r>
    </w:p>
    <w:p w14:paraId="4517CE99" w14:textId="77777777" w:rsidR="00375FAF" w:rsidRPr="00375FAF" w:rsidRDefault="00375FAF" w:rsidP="00375FAF">
      <w:pPr>
        <w:adjustRightInd w:val="0"/>
        <w:snapToGrid w:val="0"/>
        <w:spacing w:line="500" w:lineRule="exact"/>
        <w:rPr>
          <w:rFonts w:ascii="Calibri" w:eastAsia="宋体" w:hAnsi="Calibri" w:cs="Times New Roman"/>
          <w:sz w:val="24"/>
        </w:rPr>
      </w:pPr>
      <w:r w:rsidRPr="00375FAF">
        <w:rPr>
          <w:rFonts w:ascii="Calibri" w:eastAsia="宋体" w:hAnsi="Calibri" w:cs="Times New Roman" w:hint="eastAsia"/>
          <w:sz w:val="24"/>
        </w:rPr>
        <w:t>3.2</w:t>
      </w:r>
      <w:r w:rsidRPr="00375FAF">
        <w:rPr>
          <w:rFonts w:ascii="Calibri" w:eastAsia="宋体" w:hAnsi="Calibri" w:cs="Times New Roman" w:hint="eastAsia"/>
          <w:sz w:val="24"/>
        </w:rPr>
        <w:t>期末考试</w:t>
      </w:r>
    </w:p>
    <w:p w14:paraId="3D5D96FA" w14:textId="77777777" w:rsidR="00375FAF" w:rsidRPr="00375FAF" w:rsidRDefault="00375FAF" w:rsidP="00375FAF">
      <w:pPr>
        <w:adjustRightInd w:val="0"/>
        <w:snapToGrid w:val="0"/>
        <w:spacing w:line="500" w:lineRule="exact"/>
        <w:rPr>
          <w:rFonts w:ascii="Calibri" w:eastAsia="宋体" w:hAnsi="Calibri" w:cs="Times New Roman"/>
          <w:sz w:val="24"/>
        </w:rPr>
      </w:pPr>
      <w:r w:rsidRPr="00375FAF">
        <w:rPr>
          <w:rFonts w:ascii="Calibri" w:eastAsia="宋体" w:hAnsi="Calibri" w:cs="Times New Roman" w:hint="eastAsia"/>
          <w:b/>
          <w:bCs/>
          <w:sz w:val="24"/>
        </w:rPr>
        <w:t>本章教学目的及要求：</w:t>
      </w:r>
      <w:r w:rsidRPr="00375FAF">
        <w:rPr>
          <w:rFonts w:ascii="Calibri" w:eastAsia="宋体" w:hAnsi="Calibri" w:cs="Times New Roman" w:hint="eastAsia"/>
          <w:sz w:val="24"/>
        </w:rPr>
        <w:t>了解与掌握网球竞赛规则与裁判法的主要内容对于开展网球活动，搞好网球竞赛具有重要意义。</w:t>
      </w:r>
    </w:p>
    <w:p w14:paraId="4A75D507" w14:textId="77777777" w:rsidR="00375FAF" w:rsidRPr="00375FAF" w:rsidRDefault="00375FAF" w:rsidP="00375FAF">
      <w:pPr>
        <w:adjustRightInd w:val="0"/>
        <w:snapToGrid w:val="0"/>
        <w:spacing w:line="500" w:lineRule="exact"/>
        <w:rPr>
          <w:rFonts w:ascii="Calibri" w:eastAsia="宋体" w:hAnsi="Calibri" w:cs="Times New Roman"/>
          <w:sz w:val="24"/>
        </w:rPr>
      </w:pPr>
      <w:r w:rsidRPr="00375FAF">
        <w:rPr>
          <w:rFonts w:ascii="Calibri" w:eastAsia="宋体" w:hAnsi="Calibri" w:cs="Times New Roman" w:hint="eastAsia"/>
          <w:b/>
          <w:bCs/>
          <w:sz w:val="24"/>
        </w:rPr>
        <w:t>本章教学重点及难点：</w:t>
      </w:r>
      <w:r w:rsidRPr="00375FAF">
        <w:rPr>
          <w:rFonts w:ascii="Calibri" w:eastAsia="宋体" w:hAnsi="Calibri" w:cs="Times New Roman" w:hint="eastAsia"/>
          <w:sz w:val="24"/>
        </w:rPr>
        <w:t>提高网球基本技术并合理使用，了解网球裁判规则。</w:t>
      </w:r>
    </w:p>
    <w:p w14:paraId="257A5013" w14:textId="77777777" w:rsidR="00375FAF" w:rsidRPr="00375FAF" w:rsidRDefault="00375FAF" w:rsidP="00375FAF">
      <w:pPr>
        <w:spacing w:beforeLines="50" w:before="156" w:afterLines="50" w:after="156" w:line="440" w:lineRule="exact"/>
        <w:ind w:left="561"/>
        <w:rPr>
          <w:rFonts w:ascii="仿宋" w:eastAsia="仿宋" w:hAnsi="仿宋" w:cs="Times New Roman"/>
          <w:sz w:val="24"/>
        </w:rPr>
      </w:pPr>
      <w:r w:rsidRPr="00375FAF">
        <w:rPr>
          <w:rFonts w:ascii="黑体" w:eastAsia="黑体" w:hAnsi="黑体" w:cs="Times New Roman" w:hint="eastAsia"/>
          <w:sz w:val="28"/>
          <w:szCs w:val="28"/>
        </w:rPr>
        <w:t>（二）课程学习内容与课程学习目标的对应关系</w:t>
      </w:r>
      <w:r w:rsidRPr="00375FAF">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375FAF" w:rsidRPr="00375FAF" w14:paraId="10EE53E2" w14:textId="77777777" w:rsidTr="00375FAF">
        <w:trPr>
          <w:trHeight w:val="660"/>
          <w:jc w:val="center"/>
        </w:trPr>
        <w:tc>
          <w:tcPr>
            <w:tcW w:w="3403" w:type="dxa"/>
            <w:vAlign w:val="center"/>
          </w:tcPr>
          <w:p w14:paraId="605EBD45" w14:textId="77777777" w:rsidR="00375FAF" w:rsidRPr="00375FAF" w:rsidRDefault="00375FAF" w:rsidP="00375FAF">
            <w:pPr>
              <w:spacing w:line="440" w:lineRule="exact"/>
              <w:jc w:val="center"/>
              <w:rPr>
                <w:rFonts w:ascii="宋体" w:eastAsia="宋体" w:hAnsi="宋体" w:cs="Times New Roman"/>
                <w:b/>
                <w:bCs/>
                <w:sz w:val="24"/>
              </w:rPr>
            </w:pPr>
            <w:r w:rsidRPr="00375FAF">
              <w:rPr>
                <w:rFonts w:ascii="宋体" w:eastAsia="宋体" w:hAnsi="宋体" w:cs="Times New Roman" w:hint="eastAsia"/>
                <w:b/>
                <w:bCs/>
                <w:sz w:val="24"/>
              </w:rPr>
              <w:t>实践内容</w:t>
            </w:r>
          </w:p>
        </w:tc>
        <w:tc>
          <w:tcPr>
            <w:tcW w:w="2693" w:type="dxa"/>
            <w:vAlign w:val="center"/>
          </w:tcPr>
          <w:p w14:paraId="2D8FEE23" w14:textId="77777777" w:rsidR="00375FAF" w:rsidRPr="00375FAF" w:rsidRDefault="00375FAF" w:rsidP="00375FAF">
            <w:pPr>
              <w:spacing w:line="440" w:lineRule="exact"/>
              <w:jc w:val="center"/>
              <w:rPr>
                <w:rFonts w:ascii="宋体" w:eastAsia="宋体" w:hAnsi="宋体" w:cs="Times New Roman"/>
                <w:b/>
                <w:bCs/>
                <w:sz w:val="24"/>
              </w:rPr>
            </w:pPr>
            <w:r w:rsidRPr="00375FAF">
              <w:rPr>
                <w:rFonts w:ascii="宋体" w:eastAsia="宋体" w:hAnsi="宋体" w:cs="Times New Roman" w:hint="eastAsia"/>
                <w:b/>
                <w:bCs/>
                <w:sz w:val="24"/>
              </w:rPr>
              <w:t>实施方式</w:t>
            </w:r>
          </w:p>
        </w:tc>
        <w:tc>
          <w:tcPr>
            <w:tcW w:w="1985" w:type="dxa"/>
            <w:vAlign w:val="center"/>
          </w:tcPr>
          <w:p w14:paraId="05AF880A" w14:textId="77777777" w:rsidR="00375FAF" w:rsidRPr="00375FAF" w:rsidRDefault="00375FAF" w:rsidP="00375FAF">
            <w:pPr>
              <w:spacing w:line="440" w:lineRule="exact"/>
              <w:jc w:val="center"/>
              <w:rPr>
                <w:rFonts w:ascii="宋体" w:eastAsia="宋体" w:hAnsi="宋体" w:cs="Times New Roman"/>
                <w:b/>
                <w:bCs/>
                <w:sz w:val="24"/>
              </w:rPr>
            </w:pPr>
            <w:r w:rsidRPr="00375FAF">
              <w:rPr>
                <w:rFonts w:ascii="宋体" w:eastAsia="宋体" w:hAnsi="宋体" w:cs="Times New Roman" w:hint="eastAsia"/>
                <w:b/>
                <w:bCs/>
                <w:sz w:val="24"/>
              </w:rPr>
              <w:t>支撑的课程目标</w:t>
            </w:r>
          </w:p>
        </w:tc>
        <w:tc>
          <w:tcPr>
            <w:tcW w:w="1276" w:type="dxa"/>
            <w:vAlign w:val="center"/>
          </w:tcPr>
          <w:p w14:paraId="3A029A83" w14:textId="77777777" w:rsidR="00375FAF" w:rsidRPr="00375FAF" w:rsidRDefault="00375FAF" w:rsidP="00375FAF">
            <w:pPr>
              <w:spacing w:line="440" w:lineRule="exact"/>
              <w:jc w:val="center"/>
              <w:rPr>
                <w:rFonts w:ascii="宋体" w:eastAsia="宋体" w:hAnsi="宋体" w:cs="Times New Roman"/>
                <w:b/>
                <w:bCs/>
                <w:sz w:val="24"/>
              </w:rPr>
            </w:pPr>
            <w:r w:rsidRPr="00375FAF">
              <w:rPr>
                <w:rFonts w:ascii="宋体" w:eastAsia="宋体" w:hAnsi="宋体" w:cs="Times New Roman" w:hint="eastAsia"/>
                <w:b/>
                <w:bCs/>
                <w:sz w:val="24"/>
              </w:rPr>
              <w:t>学时安排</w:t>
            </w:r>
          </w:p>
        </w:tc>
      </w:tr>
      <w:tr w:rsidR="00375FAF" w:rsidRPr="00375FAF" w14:paraId="1B872352" w14:textId="77777777" w:rsidTr="00375FAF">
        <w:trPr>
          <w:trHeight w:val="514"/>
          <w:jc w:val="center"/>
        </w:trPr>
        <w:tc>
          <w:tcPr>
            <w:tcW w:w="3403" w:type="dxa"/>
            <w:vAlign w:val="center"/>
          </w:tcPr>
          <w:p w14:paraId="2214B2BC"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学习内容</w:t>
            </w:r>
            <w:proofErr w:type="gramStart"/>
            <w:r w:rsidRPr="00375FAF">
              <w:rPr>
                <w:rFonts w:ascii="宋体" w:eastAsia="宋体" w:hAnsi="宋体" w:cs="Times New Roman" w:hint="eastAsia"/>
                <w:sz w:val="24"/>
              </w:rPr>
              <w:t>一</w:t>
            </w:r>
            <w:proofErr w:type="gramEnd"/>
            <w:r w:rsidRPr="00375FAF">
              <w:rPr>
                <w:rFonts w:ascii="宋体" w:eastAsia="宋体" w:hAnsi="宋体" w:cs="Times New Roman" w:hint="eastAsia"/>
                <w:sz w:val="24"/>
              </w:rPr>
              <w:t xml:space="preserve"> 体能+</w:t>
            </w:r>
            <w:r w:rsidRPr="00375FAF">
              <w:rPr>
                <w:rFonts w:ascii="Calibri" w:eastAsia="宋体" w:hAnsi="Calibri" w:cs="Times New Roman" w:hint="eastAsia"/>
                <w:sz w:val="24"/>
              </w:rPr>
              <w:t>网球</w:t>
            </w:r>
            <w:r w:rsidRPr="00375FAF">
              <w:rPr>
                <w:rFonts w:ascii="宋体" w:eastAsia="宋体" w:hAnsi="宋体" w:cs="Times New Roman" w:hint="eastAsia"/>
                <w:sz w:val="24"/>
              </w:rPr>
              <w:t xml:space="preserve"> </w:t>
            </w:r>
          </w:p>
          <w:p w14:paraId="0F19A187" w14:textId="77777777" w:rsidR="00375FAF" w:rsidRPr="00375FAF" w:rsidRDefault="00375FAF" w:rsidP="00375FAF">
            <w:pPr>
              <w:spacing w:line="440" w:lineRule="exact"/>
              <w:jc w:val="center"/>
              <w:rPr>
                <w:rFonts w:ascii="宋体" w:eastAsia="宋体" w:hAnsi="宋体" w:cs="Times New Roman"/>
                <w:sz w:val="24"/>
              </w:rPr>
            </w:pPr>
          </w:p>
        </w:tc>
        <w:tc>
          <w:tcPr>
            <w:tcW w:w="2693" w:type="dxa"/>
            <w:vAlign w:val="center"/>
          </w:tcPr>
          <w:p w14:paraId="6556799A" w14:textId="77777777" w:rsidR="00375FAF" w:rsidRPr="00375FAF" w:rsidRDefault="00375FAF" w:rsidP="00375FAF">
            <w:pPr>
              <w:spacing w:line="440" w:lineRule="exact"/>
              <w:jc w:val="center"/>
              <w:rPr>
                <w:rFonts w:ascii="宋体" w:eastAsia="宋体" w:hAnsi="宋体" w:cs="Times New Roman"/>
                <w:color w:val="FF0000"/>
                <w:sz w:val="24"/>
              </w:rPr>
            </w:pPr>
            <w:r w:rsidRPr="00375FAF">
              <w:rPr>
                <w:rFonts w:ascii="宋体" w:eastAsia="宋体" w:hAnsi="宋体" w:cs="Times New Roman" w:hint="eastAsia"/>
                <w:sz w:val="24"/>
              </w:rPr>
              <w:t>利用</w:t>
            </w:r>
            <w:proofErr w:type="gramStart"/>
            <w:r w:rsidRPr="00375FAF">
              <w:rPr>
                <w:rFonts w:ascii="宋体" w:eastAsia="宋体" w:hAnsi="宋体" w:cs="Times New Roman" w:hint="eastAsia"/>
                <w:sz w:val="24"/>
              </w:rPr>
              <w:t>微信平台</w:t>
            </w:r>
            <w:proofErr w:type="gramEnd"/>
            <w:r w:rsidRPr="00375FAF">
              <w:rPr>
                <w:rFonts w:ascii="宋体" w:eastAsia="宋体" w:hAnsi="宋体" w:cs="Times New Roman" w:hint="eastAsia"/>
                <w:sz w:val="24"/>
              </w:rPr>
              <w:t>；讲解法、示范法；练习法；小组合作学习</w:t>
            </w:r>
          </w:p>
        </w:tc>
        <w:tc>
          <w:tcPr>
            <w:tcW w:w="1985" w:type="dxa"/>
            <w:vAlign w:val="center"/>
          </w:tcPr>
          <w:p w14:paraId="418406AD" w14:textId="77777777" w:rsidR="00375FAF" w:rsidRPr="00375FAF" w:rsidRDefault="00375FAF" w:rsidP="00375FAF">
            <w:pPr>
              <w:spacing w:line="440" w:lineRule="exact"/>
              <w:jc w:val="center"/>
              <w:rPr>
                <w:rFonts w:ascii="宋体" w:eastAsia="宋体" w:hAnsi="宋体" w:cs="Times New Roman"/>
                <w:color w:val="FF0000"/>
                <w:sz w:val="24"/>
              </w:rPr>
            </w:pPr>
            <w:r w:rsidRPr="00375FAF">
              <w:rPr>
                <w:rFonts w:ascii="宋体" w:eastAsia="宋体" w:hAnsi="宋体" w:cs="Times New Roman" w:hint="eastAsia"/>
                <w:sz w:val="24"/>
              </w:rPr>
              <w:t>课程</w:t>
            </w:r>
            <w:r w:rsidRPr="00375FAF">
              <w:rPr>
                <w:rFonts w:ascii="宋体" w:eastAsia="宋体" w:hAnsi="宋体" w:cs="Times New Roman"/>
                <w:sz w:val="24"/>
              </w:rPr>
              <w:t>目标</w:t>
            </w:r>
            <w:r w:rsidRPr="00375FAF">
              <w:rPr>
                <w:rFonts w:ascii="宋体" w:eastAsia="宋体" w:hAnsi="宋体" w:cs="Times New Roman" w:hint="eastAsia"/>
                <w:sz w:val="24"/>
              </w:rPr>
              <w:t>1、2、3</w:t>
            </w:r>
          </w:p>
        </w:tc>
        <w:tc>
          <w:tcPr>
            <w:tcW w:w="1276" w:type="dxa"/>
            <w:vAlign w:val="center"/>
          </w:tcPr>
          <w:p w14:paraId="0100ECC0"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32</w:t>
            </w:r>
          </w:p>
        </w:tc>
      </w:tr>
      <w:tr w:rsidR="00375FAF" w:rsidRPr="00375FAF" w14:paraId="277A1923" w14:textId="77777777" w:rsidTr="00375FAF">
        <w:trPr>
          <w:trHeight w:val="90"/>
          <w:jc w:val="center"/>
        </w:trPr>
        <w:tc>
          <w:tcPr>
            <w:tcW w:w="3403" w:type="dxa"/>
            <w:vAlign w:val="center"/>
          </w:tcPr>
          <w:p w14:paraId="2A62C2A7"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 xml:space="preserve">学习内容二 </w:t>
            </w:r>
            <w:r w:rsidRPr="00375FAF">
              <w:rPr>
                <w:rFonts w:ascii="Calibri" w:eastAsia="宋体" w:hAnsi="Calibri" w:cs="Times New Roman" w:hint="eastAsia"/>
                <w:sz w:val="24"/>
              </w:rPr>
              <w:t>网球</w:t>
            </w:r>
            <w:r w:rsidRPr="00375FAF">
              <w:rPr>
                <w:rFonts w:ascii="宋体" w:eastAsia="宋体" w:hAnsi="宋体" w:cs="Times New Roman" w:hint="eastAsia"/>
                <w:sz w:val="24"/>
              </w:rPr>
              <w:t xml:space="preserve">1 </w:t>
            </w:r>
          </w:p>
          <w:p w14:paraId="29D2590C" w14:textId="77777777" w:rsidR="00375FAF" w:rsidRPr="00375FAF" w:rsidRDefault="00375FAF" w:rsidP="00375FAF">
            <w:pPr>
              <w:spacing w:line="440" w:lineRule="exact"/>
              <w:jc w:val="center"/>
              <w:rPr>
                <w:rFonts w:ascii="宋体" w:eastAsia="宋体" w:hAnsi="宋体" w:cs="Times New Roman"/>
                <w:sz w:val="24"/>
              </w:rPr>
            </w:pPr>
          </w:p>
        </w:tc>
        <w:tc>
          <w:tcPr>
            <w:tcW w:w="2693" w:type="dxa"/>
            <w:vAlign w:val="center"/>
          </w:tcPr>
          <w:p w14:paraId="05AEF16D" w14:textId="77777777" w:rsidR="00375FAF" w:rsidRPr="00375FAF" w:rsidRDefault="00375FAF" w:rsidP="00375FAF">
            <w:pPr>
              <w:spacing w:line="440" w:lineRule="exact"/>
              <w:jc w:val="center"/>
              <w:rPr>
                <w:rFonts w:ascii="宋体" w:eastAsia="宋体" w:hAnsi="宋体" w:cs="Times New Roman"/>
                <w:color w:val="FF0000"/>
                <w:sz w:val="24"/>
              </w:rPr>
            </w:pPr>
            <w:r w:rsidRPr="00375FAF">
              <w:rPr>
                <w:rFonts w:ascii="宋体" w:eastAsia="宋体" w:hAnsi="宋体" w:cs="Times New Roman" w:hint="eastAsia"/>
                <w:sz w:val="24"/>
              </w:rPr>
              <w:t>利用</w:t>
            </w:r>
            <w:proofErr w:type="gramStart"/>
            <w:r w:rsidRPr="00375FAF">
              <w:rPr>
                <w:rFonts w:ascii="宋体" w:eastAsia="宋体" w:hAnsi="宋体" w:cs="Times New Roman" w:hint="eastAsia"/>
                <w:sz w:val="24"/>
              </w:rPr>
              <w:t>微信平台</w:t>
            </w:r>
            <w:proofErr w:type="gramEnd"/>
            <w:r w:rsidRPr="00375FAF">
              <w:rPr>
                <w:rFonts w:ascii="宋体" w:eastAsia="宋体" w:hAnsi="宋体" w:cs="Times New Roman" w:hint="eastAsia"/>
                <w:sz w:val="24"/>
              </w:rPr>
              <w:t>；讲解法、示范法；练习法；小组合作学习</w:t>
            </w:r>
          </w:p>
        </w:tc>
        <w:tc>
          <w:tcPr>
            <w:tcW w:w="1985" w:type="dxa"/>
            <w:vAlign w:val="center"/>
          </w:tcPr>
          <w:p w14:paraId="23708614" w14:textId="77777777" w:rsidR="00375FAF" w:rsidRPr="00375FAF" w:rsidRDefault="00375FAF" w:rsidP="00375FAF">
            <w:pPr>
              <w:spacing w:line="440" w:lineRule="exact"/>
              <w:jc w:val="center"/>
              <w:rPr>
                <w:rFonts w:ascii="宋体" w:eastAsia="宋体" w:hAnsi="宋体" w:cs="Times New Roman"/>
                <w:color w:val="FF0000"/>
                <w:sz w:val="24"/>
              </w:rPr>
            </w:pPr>
            <w:r w:rsidRPr="00375FAF">
              <w:rPr>
                <w:rFonts w:ascii="宋体" w:eastAsia="宋体" w:hAnsi="宋体" w:cs="Times New Roman" w:hint="eastAsia"/>
                <w:sz w:val="24"/>
              </w:rPr>
              <w:t>课程</w:t>
            </w:r>
            <w:r w:rsidRPr="00375FAF">
              <w:rPr>
                <w:rFonts w:ascii="宋体" w:eastAsia="宋体" w:hAnsi="宋体" w:cs="Times New Roman"/>
                <w:sz w:val="24"/>
              </w:rPr>
              <w:t>目标</w:t>
            </w:r>
            <w:r w:rsidRPr="00375FAF">
              <w:rPr>
                <w:rFonts w:ascii="宋体" w:eastAsia="宋体" w:hAnsi="宋体" w:cs="Times New Roman" w:hint="eastAsia"/>
                <w:sz w:val="24"/>
              </w:rPr>
              <w:t>1、2、3</w:t>
            </w:r>
          </w:p>
        </w:tc>
        <w:tc>
          <w:tcPr>
            <w:tcW w:w="1276" w:type="dxa"/>
            <w:vAlign w:val="center"/>
          </w:tcPr>
          <w:p w14:paraId="2ED47430"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32</w:t>
            </w:r>
          </w:p>
        </w:tc>
      </w:tr>
      <w:tr w:rsidR="00375FAF" w:rsidRPr="00375FAF" w14:paraId="15BDBD7C" w14:textId="77777777" w:rsidTr="00375FAF">
        <w:trPr>
          <w:jc w:val="center"/>
        </w:trPr>
        <w:tc>
          <w:tcPr>
            <w:tcW w:w="3403" w:type="dxa"/>
            <w:vAlign w:val="center"/>
          </w:tcPr>
          <w:p w14:paraId="12231EAF"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 xml:space="preserve">学习内容三 </w:t>
            </w:r>
            <w:r w:rsidRPr="00375FAF">
              <w:rPr>
                <w:rFonts w:ascii="Calibri" w:eastAsia="宋体" w:hAnsi="Calibri" w:cs="Times New Roman" w:hint="eastAsia"/>
                <w:sz w:val="24"/>
              </w:rPr>
              <w:t>网球</w:t>
            </w:r>
            <w:r w:rsidRPr="00375FAF">
              <w:rPr>
                <w:rFonts w:ascii="宋体" w:eastAsia="宋体" w:hAnsi="宋体" w:cs="Times New Roman" w:hint="eastAsia"/>
                <w:sz w:val="24"/>
              </w:rPr>
              <w:t xml:space="preserve"> 2</w:t>
            </w:r>
          </w:p>
          <w:p w14:paraId="685CDBED" w14:textId="77777777" w:rsidR="00375FAF" w:rsidRPr="00375FAF" w:rsidRDefault="00375FAF" w:rsidP="00375FAF">
            <w:pPr>
              <w:spacing w:line="440" w:lineRule="exact"/>
              <w:jc w:val="center"/>
              <w:rPr>
                <w:rFonts w:ascii="宋体" w:eastAsia="宋体" w:hAnsi="宋体" w:cs="Times New Roman"/>
                <w:sz w:val="24"/>
              </w:rPr>
            </w:pPr>
          </w:p>
        </w:tc>
        <w:tc>
          <w:tcPr>
            <w:tcW w:w="2693" w:type="dxa"/>
            <w:vAlign w:val="center"/>
          </w:tcPr>
          <w:p w14:paraId="4D6E0C12" w14:textId="77777777" w:rsidR="00375FAF" w:rsidRPr="00375FAF" w:rsidRDefault="00375FAF" w:rsidP="00375FAF">
            <w:pPr>
              <w:spacing w:line="440" w:lineRule="exact"/>
              <w:jc w:val="center"/>
              <w:rPr>
                <w:rFonts w:ascii="宋体" w:eastAsia="宋体" w:hAnsi="宋体" w:cs="Times New Roman"/>
                <w:color w:val="FF0000"/>
                <w:sz w:val="24"/>
              </w:rPr>
            </w:pPr>
            <w:r w:rsidRPr="00375FAF">
              <w:rPr>
                <w:rFonts w:ascii="宋体" w:eastAsia="宋体" w:hAnsi="宋体" w:cs="Times New Roman" w:hint="eastAsia"/>
                <w:sz w:val="24"/>
              </w:rPr>
              <w:t>利用</w:t>
            </w:r>
            <w:proofErr w:type="gramStart"/>
            <w:r w:rsidRPr="00375FAF">
              <w:rPr>
                <w:rFonts w:ascii="宋体" w:eastAsia="宋体" w:hAnsi="宋体" w:cs="Times New Roman" w:hint="eastAsia"/>
                <w:sz w:val="24"/>
              </w:rPr>
              <w:t>微信平台</w:t>
            </w:r>
            <w:proofErr w:type="gramEnd"/>
            <w:r w:rsidRPr="00375FAF">
              <w:rPr>
                <w:rFonts w:ascii="宋体" w:eastAsia="宋体" w:hAnsi="宋体" w:cs="Times New Roman" w:hint="eastAsia"/>
                <w:sz w:val="24"/>
              </w:rPr>
              <w:t>；讲解法、示范法；练习法；小组合作学习</w:t>
            </w:r>
          </w:p>
        </w:tc>
        <w:tc>
          <w:tcPr>
            <w:tcW w:w="1985" w:type="dxa"/>
            <w:vAlign w:val="center"/>
          </w:tcPr>
          <w:p w14:paraId="11D1DF2A" w14:textId="77777777" w:rsidR="00375FAF" w:rsidRPr="00375FAF" w:rsidRDefault="00375FAF" w:rsidP="00375FAF">
            <w:pPr>
              <w:spacing w:line="440" w:lineRule="exact"/>
              <w:jc w:val="center"/>
              <w:rPr>
                <w:rFonts w:ascii="宋体" w:eastAsia="宋体" w:hAnsi="宋体" w:cs="Times New Roman"/>
                <w:color w:val="FF0000"/>
                <w:sz w:val="24"/>
              </w:rPr>
            </w:pPr>
            <w:r w:rsidRPr="00375FAF">
              <w:rPr>
                <w:rFonts w:ascii="宋体" w:eastAsia="宋体" w:hAnsi="宋体" w:cs="Times New Roman" w:hint="eastAsia"/>
                <w:sz w:val="24"/>
              </w:rPr>
              <w:t>课程</w:t>
            </w:r>
            <w:r w:rsidRPr="00375FAF">
              <w:rPr>
                <w:rFonts w:ascii="宋体" w:eastAsia="宋体" w:hAnsi="宋体" w:cs="Times New Roman"/>
                <w:sz w:val="24"/>
              </w:rPr>
              <w:t>目标</w:t>
            </w:r>
            <w:r w:rsidRPr="00375FAF">
              <w:rPr>
                <w:rFonts w:ascii="宋体" w:eastAsia="宋体" w:hAnsi="宋体" w:cs="Times New Roman" w:hint="eastAsia"/>
                <w:sz w:val="24"/>
              </w:rPr>
              <w:t>1、2、3</w:t>
            </w:r>
          </w:p>
        </w:tc>
        <w:tc>
          <w:tcPr>
            <w:tcW w:w="1276" w:type="dxa"/>
            <w:vAlign w:val="center"/>
          </w:tcPr>
          <w:p w14:paraId="3B6B12D1"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32</w:t>
            </w:r>
          </w:p>
        </w:tc>
      </w:tr>
      <w:tr w:rsidR="00375FAF" w:rsidRPr="00375FAF" w14:paraId="1336584C" w14:textId="77777777" w:rsidTr="00375FAF">
        <w:trPr>
          <w:jc w:val="center"/>
        </w:trPr>
        <w:tc>
          <w:tcPr>
            <w:tcW w:w="3403" w:type="dxa"/>
            <w:vAlign w:val="center"/>
          </w:tcPr>
          <w:p w14:paraId="2B1B048E"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 xml:space="preserve">学习内容四 </w:t>
            </w:r>
            <w:r w:rsidRPr="00375FAF">
              <w:rPr>
                <w:rFonts w:ascii="Calibri" w:eastAsia="宋体" w:hAnsi="Calibri" w:cs="Times New Roman" w:hint="eastAsia"/>
                <w:sz w:val="24"/>
              </w:rPr>
              <w:t>网球</w:t>
            </w:r>
            <w:r w:rsidRPr="00375FAF">
              <w:rPr>
                <w:rFonts w:ascii="宋体" w:eastAsia="宋体" w:hAnsi="宋体" w:cs="Times New Roman" w:hint="eastAsia"/>
                <w:sz w:val="24"/>
              </w:rPr>
              <w:t xml:space="preserve"> 3</w:t>
            </w:r>
          </w:p>
          <w:p w14:paraId="468A9281" w14:textId="77777777" w:rsidR="00375FAF" w:rsidRPr="00375FAF" w:rsidRDefault="00375FAF" w:rsidP="00375FAF">
            <w:pPr>
              <w:spacing w:line="440" w:lineRule="exact"/>
              <w:jc w:val="center"/>
              <w:rPr>
                <w:rFonts w:ascii="宋体" w:eastAsia="宋体" w:hAnsi="宋体" w:cs="Times New Roman"/>
                <w:sz w:val="24"/>
              </w:rPr>
            </w:pPr>
          </w:p>
        </w:tc>
        <w:tc>
          <w:tcPr>
            <w:tcW w:w="2693" w:type="dxa"/>
            <w:vAlign w:val="center"/>
          </w:tcPr>
          <w:p w14:paraId="4D232D50" w14:textId="77777777" w:rsidR="00375FAF" w:rsidRPr="00375FAF" w:rsidRDefault="00375FAF" w:rsidP="00375FAF">
            <w:pPr>
              <w:spacing w:line="440" w:lineRule="exact"/>
              <w:jc w:val="center"/>
              <w:rPr>
                <w:rFonts w:ascii="宋体" w:eastAsia="宋体" w:hAnsi="宋体" w:cs="Times New Roman"/>
                <w:color w:val="FF0000"/>
                <w:sz w:val="24"/>
              </w:rPr>
            </w:pPr>
            <w:r w:rsidRPr="00375FAF">
              <w:rPr>
                <w:rFonts w:ascii="宋体" w:eastAsia="宋体" w:hAnsi="宋体" w:cs="Times New Roman" w:hint="eastAsia"/>
                <w:sz w:val="24"/>
              </w:rPr>
              <w:t>利用</w:t>
            </w:r>
            <w:proofErr w:type="gramStart"/>
            <w:r w:rsidRPr="00375FAF">
              <w:rPr>
                <w:rFonts w:ascii="宋体" w:eastAsia="宋体" w:hAnsi="宋体" w:cs="Times New Roman" w:hint="eastAsia"/>
                <w:sz w:val="24"/>
              </w:rPr>
              <w:t>微信平台</w:t>
            </w:r>
            <w:proofErr w:type="gramEnd"/>
            <w:r w:rsidRPr="00375FAF">
              <w:rPr>
                <w:rFonts w:ascii="宋体" w:eastAsia="宋体" w:hAnsi="宋体" w:cs="Times New Roman" w:hint="eastAsia"/>
                <w:sz w:val="24"/>
              </w:rPr>
              <w:t>；讲解法、示范法；练习法；小组合作学习</w:t>
            </w:r>
          </w:p>
        </w:tc>
        <w:tc>
          <w:tcPr>
            <w:tcW w:w="1985" w:type="dxa"/>
            <w:vAlign w:val="center"/>
          </w:tcPr>
          <w:p w14:paraId="598E36B8" w14:textId="77777777" w:rsidR="00375FAF" w:rsidRPr="00375FAF" w:rsidRDefault="00375FAF" w:rsidP="00375FAF">
            <w:pPr>
              <w:spacing w:line="440" w:lineRule="exact"/>
              <w:jc w:val="center"/>
              <w:rPr>
                <w:rFonts w:ascii="宋体" w:eastAsia="宋体" w:hAnsi="宋体" w:cs="Times New Roman"/>
                <w:color w:val="FF0000"/>
                <w:sz w:val="24"/>
              </w:rPr>
            </w:pPr>
            <w:r w:rsidRPr="00375FAF">
              <w:rPr>
                <w:rFonts w:ascii="宋体" w:eastAsia="宋体" w:hAnsi="宋体" w:cs="Times New Roman" w:hint="eastAsia"/>
                <w:sz w:val="24"/>
              </w:rPr>
              <w:t>课程</w:t>
            </w:r>
            <w:r w:rsidRPr="00375FAF">
              <w:rPr>
                <w:rFonts w:ascii="宋体" w:eastAsia="宋体" w:hAnsi="宋体" w:cs="Times New Roman"/>
                <w:sz w:val="24"/>
              </w:rPr>
              <w:t>目标</w:t>
            </w:r>
            <w:r w:rsidRPr="00375FAF">
              <w:rPr>
                <w:rFonts w:ascii="宋体" w:eastAsia="宋体" w:hAnsi="宋体" w:cs="Times New Roman" w:hint="eastAsia"/>
                <w:sz w:val="24"/>
              </w:rPr>
              <w:t>1、2、3</w:t>
            </w:r>
          </w:p>
        </w:tc>
        <w:tc>
          <w:tcPr>
            <w:tcW w:w="1276" w:type="dxa"/>
            <w:vAlign w:val="center"/>
          </w:tcPr>
          <w:p w14:paraId="3FD616D2"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32</w:t>
            </w:r>
          </w:p>
        </w:tc>
      </w:tr>
      <w:tr w:rsidR="00375FAF" w:rsidRPr="00375FAF" w14:paraId="2387BA59" w14:textId="77777777" w:rsidTr="00375FAF">
        <w:trPr>
          <w:jc w:val="center"/>
        </w:trPr>
        <w:tc>
          <w:tcPr>
            <w:tcW w:w="8081" w:type="dxa"/>
            <w:gridSpan w:val="3"/>
            <w:vAlign w:val="center"/>
          </w:tcPr>
          <w:p w14:paraId="26E62591" w14:textId="77777777" w:rsidR="00375FAF" w:rsidRPr="00375FAF" w:rsidRDefault="00375FAF" w:rsidP="00375FAF">
            <w:pPr>
              <w:spacing w:line="440" w:lineRule="exact"/>
              <w:jc w:val="center"/>
              <w:rPr>
                <w:rFonts w:ascii="宋体" w:eastAsia="宋体" w:hAnsi="宋体" w:cs="Times New Roman"/>
                <w:b/>
                <w:sz w:val="24"/>
              </w:rPr>
            </w:pPr>
            <w:r w:rsidRPr="00375FAF">
              <w:rPr>
                <w:rFonts w:ascii="宋体" w:eastAsia="宋体" w:hAnsi="宋体" w:cs="Times New Roman" w:hint="eastAsia"/>
                <w:b/>
                <w:sz w:val="24"/>
              </w:rPr>
              <w:t>合计</w:t>
            </w:r>
          </w:p>
        </w:tc>
        <w:tc>
          <w:tcPr>
            <w:tcW w:w="1276" w:type="dxa"/>
            <w:vAlign w:val="center"/>
          </w:tcPr>
          <w:p w14:paraId="663BE9DD" w14:textId="77777777" w:rsidR="00375FAF" w:rsidRPr="00375FAF" w:rsidRDefault="00375FAF" w:rsidP="00375FAF">
            <w:pPr>
              <w:spacing w:line="440" w:lineRule="exact"/>
              <w:jc w:val="center"/>
              <w:rPr>
                <w:rFonts w:ascii="宋体" w:eastAsia="宋体" w:hAnsi="宋体" w:cs="Times New Roman"/>
                <w:sz w:val="24"/>
              </w:rPr>
            </w:pPr>
            <w:r w:rsidRPr="00375FAF">
              <w:rPr>
                <w:rFonts w:ascii="宋体" w:eastAsia="宋体" w:hAnsi="宋体" w:cs="Times New Roman" w:hint="eastAsia"/>
                <w:sz w:val="24"/>
              </w:rPr>
              <w:t>128</w:t>
            </w:r>
          </w:p>
        </w:tc>
      </w:tr>
    </w:tbl>
    <w:p w14:paraId="2904B3DD" w14:textId="77777777" w:rsidR="00375FAF" w:rsidRPr="00375FAF" w:rsidRDefault="00375FAF" w:rsidP="00375FAF">
      <w:pPr>
        <w:spacing w:beforeLines="50" w:before="156" w:afterLines="50" w:after="156" w:line="440" w:lineRule="exact"/>
        <w:rPr>
          <w:rFonts w:ascii="黑体" w:eastAsia="黑体" w:hAnsi="黑体" w:cs="Times New Roman"/>
          <w:sz w:val="28"/>
          <w:szCs w:val="28"/>
        </w:rPr>
      </w:pPr>
    </w:p>
    <w:p w14:paraId="3474DC5C" w14:textId="77777777" w:rsidR="00375FAF" w:rsidRPr="00375FAF" w:rsidRDefault="00375FAF" w:rsidP="00375FAF">
      <w:pPr>
        <w:spacing w:beforeLines="50" w:before="156" w:afterLines="50" w:after="156" w:line="440" w:lineRule="exact"/>
        <w:ind w:firstLineChars="200" w:firstLine="560"/>
        <w:rPr>
          <w:rFonts w:ascii="宋体" w:eastAsia="宋体" w:hAnsi="宋体" w:cs="Times New Roman"/>
          <w:sz w:val="24"/>
        </w:rPr>
      </w:pPr>
      <w:r w:rsidRPr="00375FAF">
        <w:rPr>
          <w:rFonts w:ascii="黑体" w:eastAsia="黑体" w:hAnsi="黑体" w:cs="Times New Roman" w:hint="eastAsia"/>
          <w:sz w:val="28"/>
          <w:szCs w:val="28"/>
        </w:rPr>
        <w:t>四、课程考核及与课程学习目标的对应关系</w:t>
      </w:r>
    </w:p>
    <w:p w14:paraId="02367C4F" w14:textId="77777777" w:rsidR="00375FAF" w:rsidRPr="00375FAF" w:rsidRDefault="00375FAF" w:rsidP="00375FAF">
      <w:pPr>
        <w:spacing w:beforeLines="50" w:before="156" w:afterLines="50" w:after="156" w:line="440" w:lineRule="exact"/>
        <w:ind w:firstLineChars="200" w:firstLine="560"/>
        <w:rPr>
          <w:rFonts w:ascii="黑体" w:eastAsia="黑体" w:hAnsi="黑体" w:cs="Times New Roman"/>
          <w:sz w:val="28"/>
          <w:szCs w:val="28"/>
        </w:rPr>
      </w:pPr>
      <w:r w:rsidRPr="00375FAF">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375FAF" w:rsidRPr="00375FAF" w14:paraId="2AE3B936" w14:textId="77777777" w:rsidTr="00375FAF">
        <w:trPr>
          <w:trHeight w:val="515"/>
          <w:jc w:val="center"/>
        </w:trPr>
        <w:tc>
          <w:tcPr>
            <w:tcW w:w="1422" w:type="dxa"/>
          </w:tcPr>
          <w:p w14:paraId="7F4B8FBA" w14:textId="77777777" w:rsidR="00375FAF" w:rsidRPr="00375FAF" w:rsidRDefault="00375FAF" w:rsidP="00375FAF">
            <w:pPr>
              <w:spacing w:line="440" w:lineRule="exact"/>
              <w:jc w:val="center"/>
              <w:rPr>
                <w:rFonts w:ascii="宋体" w:eastAsia="宋体" w:hAnsi="宋体" w:cs="Times New Roman"/>
                <w:b/>
                <w:sz w:val="24"/>
              </w:rPr>
            </w:pPr>
            <w:r w:rsidRPr="00375FAF">
              <w:rPr>
                <w:rFonts w:ascii="宋体" w:eastAsia="宋体" w:hAnsi="宋体" w:cs="Times New Roman" w:hint="eastAsia"/>
                <w:b/>
                <w:sz w:val="24"/>
              </w:rPr>
              <w:t>课程目标</w:t>
            </w:r>
          </w:p>
        </w:tc>
        <w:tc>
          <w:tcPr>
            <w:tcW w:w="5376" w:type="dxa"/>
            <w:vAlign w:val="center"/>
          </w:tcPr>
          <w:p w14:paraId="10D5D926" w14:textId="77777777" w:rsidR="00375FAF" w:rsidRPr="00375FAF" w:rsidRDefault="00375FAF" w:rsidP="00375FAF">
            <w:pPr>
              <w:spacing w:line="440" w:lineRule="exact"/>
              <w:jc w:val="center"/>
              <w:rPr>
                <w:rFonts w:ascii="宋体" w:eastAsia="宋体" w:hAnsi="宋体" w:cs="Times New Roman"/>
                <w:b/>
                <w:sz w:val="24"/>
              </w:rPr>
            </w:pPr>
            <w:r w:rsidRPr="00375FAF">
              <w:rPr>
                <w:rFonts w:ascii="宋体" w:eastAsia="宋体" w:hAnsi="宋体" w:cs="Times New Roman" w:hint="eastAsia"/>
                <w:b/>
                <w:sz w:val="24"/>
              </w:rPr>
              <w:t>考核内容</w:t>
            </w:r>
          </w:p>
        </w:tc>
        <w:tc>
          <w:tcPr>
            <w:tcW w:w="2542" w:type="dxa"/>
            <w:vAlign w:val="center"/>
          </w:tcPr>
          <w:p w14:paraId="76F833AF" w14:textId="77777777" w:rsidR="00375FAF" w:rsidRPr="00375FAF" w:rsidRDefault="00375FAF" w:rsidP="00375FAF">
            <w:pPr>
              <w:spacing w:line="440" w:lineRule="exact"/>
              <w:jc w:val="center"/>
              <w:rPr>
                <w:rFonts w:ascii="宋体" w:eastAsia="宋体" w:hAnsi="宋体" w:cs="Times New Roman"/>
                <w:b/>
                <w:sz w:val="24"/>
              </w:rPr>
            </w:pPr>
            <w:r w:rsidRPr="00375FAF">
              <w:rPr>
                <w:rFonts w:ascii="宋体" w:eastAsia="宋体" w:hAnsi="宋体" w:cs="Times New Roman" w:hint="eastAsia"/>
                <w:b/>
                <w:sz w:val="24"/>
              </w:rPr>
              <w:t>考核方式</w:t>
            </w:r>
          </w:p>
        </w:tc>
      </w:tr>
      <w:tr w:rsidR="00375FAF" w:rsidRPr="00375FAF" w14:paraId="3B7FAE34" w14:textId="77777777" w:rsidTr="00375FAF">
        <w:trPr>
          <w:jc w:val="center"/>
        </w:trPr>
        <w:tc>
          <w:tcPr>
            <w:tcW w:w="1422" w:type="dxa"/>
            <w:vAlign w:val="center"/>
          </w:tcPr>
          <w:p w14:paraId="7D45112C" w14:textId="77777777" w:rsidR="00375FAF" w:rsidRPr="00375FAF" w:rsidRDefault="00375FAF" w:rsidP="00375FAF">
            <w:pPr>
              <w:spacing w:line="440" w:lineRule="exact"/>
              <w:jc w:val="center"/>
              <w:rPr>
                <w:rFonts w:ascii="宋体" w:eastAsia="宋体" w:hAnsi="宋体" w:cs="Times New Roman"/>
                <w:bCs/>
                <w:sz w:val="24"/>
              </w:rPr>
            </w:pPr>
            <w:r w:rsidRPr="00375FAF">
              <w:rPr>
                <w:rFonts w:ascii="宋体" w:eastAsia="宋体" w:hAnsi="宋体" w:cs="Times New Roman" w:hint="eastAsia"/>
                <w:bCs/>
                <w:sz w:val="24"/>
              </w:rPr>
              <w:lastRenderedPageBreak/>
              <w:t>课程目标1、2、3</w:t>
            </w:r>
          </w:p>
        </w:tc>
        <w:tc>
          <w:tcPr>
            <w:tcW w:w="5376" w:type="dxa"/>
            <w:vAlign w:val="center"/>
          </w:tcPr>
          <w:p w14:paraId="5DB0CCE7"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大学生体质健康标准测试</w:t>
            </w:r>
          </w:p>
        </w:tc>
        <w:tc>
          <w:tcPr>
            <w:tcW w:w="2542" w:type="dxa"/>
            <w:vAlign w:val="center"/>
          </w:tcPr>
          <w:p w14:paraId="62B1A6F0" w14:textId="77777777" w:rsidR="00375FAF" w:rsidRPr="00375FAF" w:rsidRDefault="00375FAF" w:rsidP="00375FAF">
            <w:pPr>
              <w:widowControl/>
              <w:jc w:val="left"/>
              <w:rPr>
                <w:rFonts w:ascii="宋体" w:eastAsia="宋体" w:hAnsi="宋体" w:cs="Times New Roman"/>
                <w:bCs/>
                <w:sz w:val="24"/>
              </w:rPr>
            </w:pPr>
          </w:p>
          <w:p w14:paraId="545E2A0A"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随堂技术考核</w:t>
            </w:r>
          </w:p>
        </w:tc>
      </w:tr>
      <w:tr w:rsidR="00375FAF" w:rsidRPr="00375FAF" w14:paraId="41C716A2" w14:textId="77777777" w:rsidTr="00375FAF">
        <w:trPr>
          <w:jc w:val="center"/>
        </w:trPr>
        <w:tc>
          <w:tcPr>
            <w:tcW w:w="1422" w:type="dxa"/>
            <w:vAlign w:val="center"/>
          </w:tcPr>
          <w:p w14:paraId="2C4AE24D" w14:textId="77777777" w:rsidR="00375FAF" w:rsidRPr="00375FAF" w:rsidRDefault="00375FAF" w:rsidP="00375FAF">
            <w:pPr>
              <w:spacing w:line="440" w:lineRule="exact"/>
              <w:jc w:val="center"/>
              <w:rPr>
                <w:rFonts w:ascii="宋体" w:eastAsia="宋体" w:hAnsi="宋体" w:cs="Times New Roman"/>
                <w:bCs/>
                <w:sz w:val="24"/>
              </w:rPr>
            </w:pPr>
            <w:r w:rsidRPr="00375FAF">
              <w:rPr>
                <w:rFonts w:ascii="宋体" w:eastAsia="宋体" w:hAnsi="宋体" w:cs="Times New Roman" w:hint="eastAsia"/>
                <w:bCs/>
                <w:sz w:val="24"/>
              </w:rPr>
              <w:t>课程目标3</w:t>
            </w:r>
          </w:p>
        </w:tc>
        <w:tc>
          <w:tcPr>
            <w:tcW w:w="5376" w:type="dxa"/>
            <w:vAlign w:val="center"/>
          </w:tcPr>
          <w:p w14:paraId="4FD85C8B"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立定跳远</w:t>
            </w:r>
          </w:p>
        </w:tc>
        <w:tc>
          <w:tcPr>
            <w:tcW w:w="2542" w:type="dxa"/>
            <w:vAlign w:val="center"/>
          </w:tcPr>
          <w:p w14:paraId="3A631FA8" w14:textId="77777777" w:rsidR="00375FAF" w:rsidRPr="00375FAF" w:rsidRDefault="00375FAF" w:rsidP="00375FAF">
            <w:pPr>
              <w:widowControl/>
              <w:jc w:val="left"/>
              <w:rPr>
                <w:rFonts w:ascii="宋体" w:eastAsia="宋体" w:hAnsi="宋体" w:cs="Times New Roman"/>
                <w:bCs/>
                <w:sz w:val="24"/>
              </w:rPr>
            </w:pPr>
          </w:p>
          <w:p w14:paraId="07C23DBC"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随堂技术考核</w:t>
            </w:r>
          </w:p>
        </w:tc>
      </w:tr>
      <w:tr w:rsidR="00375FAF" w:rsidRPr="00375FAF" w14:paraId="7B8AD600" w14:textId="77777777" w:rsidTr="00375FAF">
        <w:trPr>
          <w:jc w:val="center"/>
        </w:trPr>
        <w:tc>
          <w:tcPr>
            <w:tcW w:w="1422" w:type="dxa"/>
            <w:vAlign w:val="center"/>
          </w:tcPr>
          <w:p w14:paraId="0DBC2DAE" w14:textId="77777777" w:rsidR="00375FAF" w:rsidRPr="00375FAF" w:rsidRDefault="00375FAF" w:rsidP="00375FAF">
            <w:pPr>
              <w:spacing w:line="440" w:lineRule="exact"/>
              <w:jc w:val="center"/>
              <w:rPr>
                <w:rFonts w:ascii="宋体" w:eastAsia="宋体" w:hAnsi="宋体" w:cs="Times New Roman"/>
                <w:bCs/>
                <w:sz w:val="24"/>
              </w:rPr>
            </w:pPr>
            <w:r w:rsidRPr="00375FAF">
              <w:rPr>
                <w:rFonts w:ascii="宋体" w:eastAsia="宋体" w:hAnsi="宋体" w:cs="Times New Roman" w:hint="eastAsia"/>
                <w:bCs/>
                <w:sz w:val="24"/>
              </w:rPr>
              <w:t>课程目标3</w:t>
            </w:r>
          </w:p>
        </w:tc>
        <w:tc>
          <w:tcPr>
            <w:tcW w:w="5376" w:type="dxa"/>
            <w:vAlign w:val="center"/>
          </w:tcPr>
          <w:p w14:paraId="0731241C" w14:textId="77777777" w:rsidR="00375FAF" w:rsidRPr="00375FAF" w:rsidRDefault="00375FAF" w:rsidP="00375FAF">
            <w:pPr>
              <w:spacing w:line="440" w:lineRule="exact"/>
              <w:rPr>
                <w:rFonts w:ascii="宋体" w:eastAsia="宋体" w:hAnsi="宋体" w:cs="Times New Roman"/>
                <w:bCs/>
                <w:sz w:val="24"/>
              </w:rPr>
            </w:pPr>
            <w:r w:rsidRPr="00375FAF">
              <w:rPr>
                <w:rFonts w:ascii="Calibri" w:eastAsia="宋体" w:hAnsi="Calibri" w:cs="Times New Roman" w:hint="eastAsia"/>
                <w:sz w:val="24"/>
              </w:rPr>
              <w:t>正手击球、反手击球技术</w:t>
            </w:r>
          </w:p>
        </w:tc>
        <w:tc>
          <w:tcPr>
            <w:tcW w:w="2542" w:type="dxa"/>
            <w:vAlign w:val="center"/>
          </w:tcPr>
          <w:p w14:paraId="03430CFC" w14:textId="77777777" w:rsidR="00375FAF" w:rsidRPr="00375FAF" w:rsidRDefault="00375FAF" w:rsidP="00375FAF">
            <w:pPr>
              <w:widowControl/>
              <w:jc w:val="left"/>
              <w:rPr>
                <w:rFonts w:ascii="宋体" w:eastAsia="宋体" w:hAnsi="宋体" w:cs="Times New Roman"/>
                <w:bCs/>
                <w:sz w:val="24"/>
              </w:rPr>
            </w:pPr>
          </w:p>
          <w:p w14:paraId="3E55C59C"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随堂技术考核</w:t>
            </w:r>
          </w:p>
        </w:tc>
      </w:tr>
      <w:tr w:rsidR="00375FAF" w:rsidRPr="00375FAF" w14:paraId="4E73BEAB" w14:textId="77777777" w:rsidTr="00375FAF">
        <w:trPr>
          <w:jc w:val="center"/>
        </w:trPr>
        <w:tc>
          <w:tcPr>
            <w:tcW w:w="1422" w:type="dxa"/>
            <w:vAlign w:val="center"/>
          </w:tcPr>
          <w:p w14:paraId="1840B729" w14:textId="77777777" w:rsidR="00375FAF" w:rsidRPr="00375FAF" w:rsidRDefault="00375FAF" w:rsidP="00375FAF">
            <w:pPr>
              <w:spacing w:line="440" w:lineRule="exact"/>
              <w:jc w:val="center"/>
              <w:rPr>
                <w:rFonts w:ascii="宋体" w:eastAsia="宋体" w:hAnsi="宋体" w:cs="Times New Roman"/>
                <w:bCs/>
                <w:sz w:val="24"/>
              </w:rPr>
            </w:pPr>
            <w:r w:rsidRPr="00375FAF">
              <w:rPr>
                <w:rFonts w:ascii="宋体" w:eastAsia="宋体" w:hAnsi="宋体" w:cs="Times New Roman" w:hint="eastAsia"/>
                <w:bCs/>
                <w:sz w:val="24"/>
              </w:rPr>
              <w:t>课程目标3</w:t>
            </w:r>
          </w:p>
        </w:tc>
        <w:tc>
          <w:tcPr>
            <w:tcW w:w="5376" w:type="dxa"/>
            <w:vAlign w:val="center"/>
          </w:tcPr>
          <w:p w14:paraId="05BF6ECC" w14:textId="77777777" w:rsidR="00375FAF" w:rsidRPr="00375FAF" w:rsidRDefault="00375FAF" w:rsidP="00375FAF">
            <w:pPr>
              <w:spacing w:line="440" w:lineRule="exact"/>
              <w:rPr>
                <w:rFonts w:ascii="宋体" w:eastAsia="宋体" w:hAnsi="宋体" w:cs="Times New Roman"/>
                <w:bCs/>
                <w:sz w:val="24"/>
              </w:rPr>
            </w:pPr>
            <w:r w:rsidRPr="00375FAF">
              <w:rPr>
                <w:rFonts w:ascii="Calibri" w:eastAsia="宋体" w:hAnsi="Calibri" w:cs="Times New Roman" w:hint="eastAsia"/>
                <w:sz w:val="24"/>
              </w:rPr>
              <w:t>下手发球</w:t>
            </w:r>
          </w:p>
        </w:tc>
        <w:tc>
          <w:tcPr>
            <w:tcW w:w="2542" w:type="dxa"/>
            <w:vAlign w:val="center"/>
          </w:tcPr>
          <w:p w14:paraId="1C0A45DA" w14:textId="77777777" w:rsidR="00375FAF" w:rsidRPr="00375FAF" w:rsidRDefault="00375FAF" w:rsidP="00375FAF">
            <w:pPr>
              <w:widowControl/>
              <w:jc w:val="left"/>
              <w:rPr>
                <w:rFonts w:ascii="宋体" w:eastAsia="宋体" w:hAnsi="宋体" w:cs="Times New Roman"/>
                <w:bCs/>
                <w:sz w:val="24"/>
              </w:rPr>
            </w:pPr>
            <w:r w:rsidRPr="00375FAF">
              <w:rPr>
                <w:rFonts w:ascii="宋体" w:eastAsia="宋体" w:hAnsi="宋体" w:cs="Times New Roman" w:hint="eastAsia"/>
                <w:bCs/>
                <w:sz w:val="24"/>
              </w:rPr>
              <w:t>随堂技术考核</w:t>
            </w:r>
          </w:p>
          <w:p w14:paraId="51268972" w14:textId="77777777" w:rsidR="00375FAF" w:rsidRPr="00375FAF" w:rsidRDefault="00375FAF" w:rsidP="00375FAF">
            <w:pPr>
              <w:spacing w:line="440" w:lineRule="exact"/>
              <w:rPr>
                <w:rFonts w:ascii="宋体" w:eastAsia="宋体" w:hAnsi="宋体" w:cs="Times New Roman"/>
                <w:bCs/>
                <w:sz w:val="24"/>
              </w:rPr>
            </w:pPr>
          </w:p>
        </w:tc>
      </w:tr>
    </w:tbl>
    <w:p w14:paraId="4966814F" w14:textId="77777777" w:rsidR="00375FAF" w:rsidRPr="00375FAF" w:rsidRDefault="00375FAF" w:rsidP="00375FAF">
      <w:pPr>
        <w:spacing w:beforeLines="50" w:before="156" w:afterLines="50" w:after="156" w:line="440" w:lineRule="exact"/>
        <w:ind w:firstLineChars="200" w:firstLine="560"/>
        <w:rPr>
          <w:rFonts w:ascii="黑体" w:eastAsia="黑体" w:hAnsi="黑体" w:cs="Times New Roman"/>
          <w:sz w:val="28"/>
          <w:szCs w:val="28"/>
        </w:rPr>
      </w:pPr>
      <w:r w:rsidRPr="00375FAF">
        <w:rPr>
          <w:rFonts w:ascii="黑体" w:eastAsia="黑体" w:hAnsi="黑体" w:cs="Times New Roman" w:hint="eastAsia"/>
          <w:sz w:val="28"/>
          <w:szCs w:val="28"/>
        </w:rPr>
        <w:t>（二）课程目标达成评价方式及考核比例</w:t>
      </w:r>
    </w:p>
    <w:p w14:paraId="7C7B8FB5" w14:textId="77777777" w:rsidR="00375FAF" w:rsidRPr="00375FAF" w:rsidRDefault="00375FAF" w:rsidP="00375FAF">
      <w:pPr>
        <w:spacing w:line="440" w:lineRule="exact"/>
        <w:ind w:firstLineChars="200" w:firstLine="480"/>
        <w:rPr>
          <w:rFonts w:ascii="宋体" w:eastAsia="宋体" w:hAnsi="宋体" w:cs="Times New Roman"/>
          <w:sz w:val="24"/>
        </w:rPr>
      </w:pPr>
      <w:r w:rsidRPr="00375FAF">
        <w:rPr>
          <w:rFonts w:ascii="宋体" w:eastAsia="宋体" w:hAnsi="宋体" w:cs="Times New Roman" w:hint="eastAsia"/>
          <w:sz w:val="24"/>
        </w:rPr>
        <w:t>网球课程</w:t>
      </w:r>
      <w:proofErr w:type="gramStart"/>
      <w:r w:rsidRPr="00375FAF">
        <w:rPr>
          <w:rFonts w:ascii="宋体" w:eastAsia="宋体" w:hAnsi="宋体" w:cs="Times New Roman" w:hint="eastAsia"/>
          <w:sz w:val="24"/>
        </w:rPr>
        <w:t>1、2、3、4每</w:t>
      </w:r>
      <w:proofErr w:type="gramEnd"/>
      <w:r w:rsidRPr="00375FAF">
        <w:rPr>
          <w:rFonts w:ascii="宋体" w:eastAsia="宋体" w:hAnsi="宋体" w:cs="Times New Roman" w:hint="eastAsia"/>
          <w:sz w:val="24"/>
        </w:rPr>
        <w:t>学期考核方式及成绩比例为：课堂表现20%</w:t>
      </w:r>
      <w:r w:rsidRPr="00375FAF">
        <w:rPr>
          <w:rFonts w:ascii="宋体" w:eastAsia="宋体" w:hAnsi="宋体" w:cs="Times New Roman"/>
          <w:sz w:val="24"/>
        </w:rPr>
        <w:t>+</w:t>
      </w:r>
      <w:r w:rsidRPr="00375FAF">
        <w:rPr>
          <w:rFonts w:ascii="宋体" w:eastAsia="宋体" w:hAnsi="宋体" w:cs="Times New Roman" w:hint="eastAsia"/>
          <w:sz w:val="24"/>
        </w:rPr>
        <w:t>期中考核30%</w:t>
      </w:r>
      <w:r w:rsidRPr="00375FAF">
        <w:rPr>
          <w:rFonts w:ascii="宋体" w:eastAsia="宋体" w:hAnsi="宋体" w:cs="Times New Roman"/>
          <w:sz w:val="24"/>
        </w:rPr>
        <w:t>+</w:t>
      </w:r>
      <w:r w:rsidRPr="00375FAF">
        <w:rPr>
          <w:rFonts w:ascii="宋体" w:eastAsia="宋体" w:hAnsi="宋体" w:cs="Times New Roman" w:hint="eastAsia"/>
          <w:sz w:val="24"/>
        </w:rPr>
        <w:t>课期</w:t>
      </w:r>
      <w:proofErr w:type="gramStart"/>
      <w:r w:rsidRPr="00375FAF">
        <w:rPr>
          <w:rFonts w:ascii="宋体" w:eastAsia="宋体" w:hAnsi="宋体" w:cs="Times New Roman" w:hint="eastAsia"/>
          <w:sz w:val="24"/>
        </w:rPr>
        <w:t>末考试</w:t>
      </w:r>
      <w:proofErr w:type="gramEnd"/>
      <w:r w:rsidRPr="00375FAF">
        <w:rPr>
          <w:rFonts w:ascii="宋体" w:eastAsia="宋体" w:hAnsi="宋体" w:cs="Times New Roman" w:hint="eastAsia"/>
          <w:sz w:val="24"/>
        </w:rPr>
        <w:t>5</w:t>
      </w:r>
      <w:r w:rsidRPr="00375FAF">
        <w:rPr>
          <w:rFonts w:ascii="宋体" w:eastAsia="宋体" w:hAnsi="宋体" w:cs="Times New Roman"/>
          <w:sz w:val="24"/>
        </w:rPr>
        <w:t>0</w:t>
      </w:r>
      <w:r w:rsidRPr="00375FAF">
        <w:rPr>
          <w:rFonts w:ascii="宋体" w:eastAsia="宋体" w:hAnsi="宋体" w:cs="Times New Roman" w:hint="eastAsia"/>
          <w:sz w:val="24"/>
        </w:rPr>
        <w:t>%；本课程共有三个课程目标，考核方式及成绩比例分别为：</w:t>
      </w:r>
    </w:p>
    <w:p w14:paraId="2B45150E" w14:textId="77777777" w:rsidR="00375FAF" w:rsidRPr="00375FAF" w:rsidRDefault="00375FAF" w:rsidP="00375FAF">
      <w:pPr>
        <w:spacing w:line="440" w:lineRule="exact"/>
        <w:ind w:firstLineChars="200" w:firstLine="480"/>
        <w:rPr>
          <w:rFonts w:ascii="宋体" w:eastAsia="宋体" w:hAnsi="宋体" w:cs="Times New Roman"/>
          <w:sz w:val="24"/>
        </w:rPr>
      </w:pPr>
      <w:r w:rsidRPr="00375FAF">
        <w:rPr>
          <w:rFonts w:ascii="宋体" w:eastAsia="宋体" w:hAnsi="宋体" w:cs="Times New Roman" w:hint="eastAsia"/>
          <w:sz w:val="24"/>
        </w:rPr>
        <w:t>课程目标1：课堂表现5%</w:t>
      </w:r>
      <w:r w:rsidRPr="00375FAF">
        <w:rPr>
          <w:rFonts w:ascii="宋体" w:eastAsia="宋体" w:hAnsi="宋体" w:cs="Times New Roman"/>
          <w:sz w:val="24"/>
        </w:rPr>
        <w:t>+</w:t>
      </w:r>
      <w:r w:rsidRPr="00375FAF">
        <w:rPr>
          <w:rFonts w:ascii="宋体" w:eastAsia="宋体" w:hAnsi="宋体" w:cs="Times New Roman" w:hint="eastAsia"/>
          <w:sz w:val="24"/>
        </w:rPr>
        <w:t>阶段测试10%</w:t>
      </w:r>
      <w:r w:rsidRPr="00375FAF">
        <w:rPr>
          <w:rFonts w:ascii="宋体" w:eastAsia="宋体" w:hAnsi="宋体" w:cs="Times New Roman"/>
          <w:sz w:val="24"/>
        </w:rPr>
        <w:t>+</w:t>
      </w:r>
      <w:r w:rsidRPr="00375FAF">
        <w:rPr>
          <w:rFonts w:ascii="宋体" w:eastAsia="宋体" w:hAnsi="宋体" w:cs="Times New Roman" w:hint="eastAsia"/>
          <w:sz w:val="24"/>
        </w:rPr>
        <w:t>期末考试20%</w:t>
      </w:r>
    </w:p>
    <w:p w14:paraId="14458F22" w14:textId="77777777" w:rsidR="00375FAF" w:rsidRPr="00375FAF" w:rsidRDefault="00375FAF" w:rsidP="00375FAF">
      <w:pPr>
        <w:spacing w:line="440" w:lineRule="exact"/>
        <w:ind w:firstLineChars="200" w:firstLine="480"/>
        <w:rPr>
          <w:rFonts w:ascii="宋体" w:eastAsia="宋体" w:hAnsi="宋体" w:cs="Times New Roman"/>
          <w:sz w:val="24"/>
        </w:rPr>
      </w:pPr>
      <w:r w:rsidRPr="00375FAF">
        <w:rPr>
          <w:rFonts w:ascii="宋体" w:eastAsia="宋体" w:hAnsi="宋体" w:cs="Times New Roman" w:hint="eastAsia"/>
          <w:sz w:val="24"/>
        </w:rPr>
        <w:t>课程目标2：课堂表现10%</w:t>
      </w:r>
      <w:r w:rsidRPr="00375FAF">
        <w:rPr>
          <w:rFonts w:ascii="宋体" w:eastAsia="宋体" w:hAnsi="宋体" w:cs="Times New Roman"/>
          <w:sz w:val="24"/>
        </w:rPr>
        <w:t>+</w:t>
      </w:r>
      <w:r w:rsidRPr="00375FAF">
        <w:rPr>
          <w:rFonts w:ascii="宋体" w:eastAsia="宋体" w:hAnsi="宋体" w:cs="Times New Roman" w:hint="eastAsia"/>
          <w:sz w:val="24"/>
        </w:rPr>
        <w:t>阶段测试10%</w:t>
      </w:r>
      <w:r w:rsidRPr="00375FAF">
        <w:rPr>
          <w:rFonts w:ascii="宋体" w:eastAsia="宋体" w:hAnsi="宋体" w:cs="Times New Roman"/>
          <w:sz w:val="24"/>
        </w:rPr>
        <w:t>+</w:t>
      </w:r>
      <w:r w:rsidRPr="00375FAF">
        <w:rPr>
          <w:rFonts w:ascii="宋体" w:eastAsia="宋体" w:hAnsi="宋体" w:cs="Times New Roman" w:hint="eastAsia"/>
          <w:sz w:val="24"/>
        </w:rPr>
        <w:t>期末考试20%</w:t>
      </w:r>
    </w:p>
    <w:p w14:paraId="4B90C50C" w14:textId="77777777" w:rsidR="00375FAF" w:rsidRPr="00375FAF" w:rsidRDefault="00375FAF" w:rsidP="00375FAF">
      <w:pPr>
        <w:spacing w:line="440" w:lineRule="exact"/>
        <w:ind w:firstLineChars="200" w:firstLine="480"/>
        <w:rPr>
          <w:rFonts w:ascii="宋体" w:eastAsia="宋体" w:hAnsi="宋体" w:cs="Times New Roman"/>
          <w:sz w:val="24"/>
        </w:rPr>
      </w:pPr>
      <w:r w:rsidRPr="00375FAF">
        <w:rPr>
          <w:rFonts w:ascii="宋体" w:eastAsia="宋体" w:hAnsi="宋体" w:cs="Times New Roman" w:hint="eastAsia"/>
          <w:sz w:val="24"/>
        </w:rPr>
        <w:t>课程目标3：课堂表现5%</w:t>
      </w:r>
      <w:r w:rsidRPr="00375FAF">
        <w:rPr>
          <w:rFonts w:ascii="宋体" w:eastAsia="宋体" w:hAnsi="宋体" w:cs="Times New Roman"/>
          <w:sz w:val="24"/>
        </w:rPr>
        <w:t>+</w:t>
      </w:r>
      <w:r w:rsidRPr="00375FAF">
        <w:rPr>
          <w:rFonts w:ascii="宋体" w:eastAsia="宋体" w:hAnsi="宋体" w:cs="Times New Roman" w:hint="eastAsia"/>
          <w:sz w:val="24"/>
        </w:rPr>
        <w:t>阶段测试10%</w:t>
      </w:r>
      <w:r w:rsidRPr="00375FAF">
        <w:rPr>
          <w:rFonts w:ascii="宋体" w:eastAsia="宋体" w:hAnsi="宋体" w:cs="Times New Roman"/>
          <w:sz w:val="24"/>
        </w:rPr>
        <w:t>+</w:t>
      </w:r>
      <w:r w:rsidRPr="00375FAF">
        <w:rPr>
          <w:rFonts w:ascii="宋体" w:eastAsia="宋体" w:hAnsi="宋体" w:cs="Times New Roman" w:hint="eastAsia"/>
          <w:sz w:val="24"/>
        </w:rPr>
        <w:t>期末考试10%</w:t>
      </w:r>
    </w:p>
    <w:p w14:paraId="0BE431F5" w14:textId="77777777" w:rsidR="00375FAF" w:rsidRPr="00375FAF" w:rsidRDefault="00375FAF" w:rsidP="00375FAF">
      <w:pPr>
        <w:spacing w:line="440" w:lineRule="exact"/>
        <w:ind w:firstLineChars="200" w:firstLine="480"/>
        <w:rPr>
          <w:rFonts w:ascii="宋体" w:eastAsia="宋体" w:hAnsi="宋体" w:cs="Times New Roman"/>
          <w:sz w:val="24"/>
        </w:rPr>
      </w:pPr>
      <w:r w:rsidRPr="00375FAF">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375FAF" w:rsidRPr="00375FAF" w14:paraId="1FC00082" w14:textId="77777777" w:rsidTr="00375FAF">
        <w:trPr>
          <w:trHeight w:val="540"/>
          <w:jc w:val="center"/>
        </w:trPr>
        <w:tc>
          <w:tcPr>
            <w:tcW w:w="1422" w:type="dxa"/>
            <w:vMerge w:val="restart"/>
            <w:vAlign w:val="center"/>
          </w:tcPr>
          <w:p w14:paraId="4C5D3A40" w14:textId="77777777" w:rsidR="00375FAF" w:rsidRPr="00375FAF" w:rsidRDefault="00375FAF" w:rsidP="00375FAF">
            <w:pPr>
              <w:spacing w:line="440" w:lineRule="exact"/>
              <w:rPr>
                <w:rFonts w:ascii="宋体" w:eastAsia="宋体" w:hAnsi="宋体" w:cs="Times New Roman"/>
                <w:b/>
                <w:sz w:val="24"/>
              </w:rPr>
            </w:pPr>
            <w:r w:rsidRPr="00375FAF">
              <w:rPr>
                <w:rFonts w:ascii="宋体" w:eastAsia="宋体" w:hAnsi="宋体" w:cs="Times New Roman" w:hint="eastAsia"/>
                <w:b/>
                <w:sz w:val="24"/>
              </w:rPr>
              <w:t>课程目标</w:t>
            </w:r>
          </w:p>
        </w:tc>
        <w:tc>
          <w:tcPr>
            <w:tcW w:w="6271" w:type="dxa"/>
            <w:gridSpan w:val="4"/>
            <w:vAlign w:val="center"/>
          </w:tcPr>
          <w:p w14:paraId="2F909692" w14:textId="77777777" w:rsidR="00375FAF" w:rsidRPr="00375FAF" w:rsidRDefault="00375FAF" w:rsidP="00375FAF">
            <w:pPr>
              <w:spacing w:line="440" w:lineRule="exact"/>
              <w:rPr>
                <w:rFonts w:ascii="宋体" w:eastAsia="宋体" w:hAnsi="宋体" w:cs="Times New Roman"/>
                <w:b/>
                <w:sz w:val="24"/>
              </w:rPr>
            </w:pPr>
            <w:r w:rsidRPr="00375FAF">
              <w:rPr>
                <w:rFonts w:ascii="宋体" w:eastAsia="宋体" w:hAnsi="宋体" w:cs="Times New Roman" w:hint="eastAsia"/>
                <w:b/>
                <w:sz w:val="24"/>
              </w:rPr>
              <w:t>考核方式及成绩比例（%）</w:t>
            </w:r>
          </w:p>
        </w:tc>
        <w:tc>
          <w:tcPr>
            <w:tcW w:w="1559" w:type="dxa"/>
            <w:vMerge w:val="restart"/>
            <w:vAlign w:val="center"/>
          </w:tcPr>
          <w:p w14:paraId="58ED3967" w14:textId="77777777" w:rsidR="00375FAF" w:rsidRPr="00375FAF" w:rsidRDefault="00375FAF" w:rsidP="00375FAF">
            <w:pPr>
              <w:spacing w:line="440" w:lineRule="exact"/>
              <w:rPr>
                <w:rFonts w:ascii="宋体" w:eastAsia="宋体" w:hAnsi="宋体" w:cs="Times New Roman"/>
                <w:b/>
                <w:sz w:val="24"/>
              </w:rPr>
            </w:pPr>
            <w:r w:rsidRPr="00375FAF">
              <w:rPr>
                <w:rFonts w:ascii="宋体" w:eastAsia="宋体" w:hAnsi="宋体" w:cs="Times New Roman" w:hint="eastAsia"/>
                <w:b/>
                <w:sz w:val="24"/>
              </w:rPr>
              <w:t>合计</w:t>
            </w:r>
          </w:p>
        </w:tc>
      </w:tr>
      <w:tr w:rsidR="00375FAF" w:rsidRPr="00375FAF" w14:paraId="27DBB4D0" w14:textId="77777777" w:rsidTr="00375FAF">
        <w:trPr>
          <w:trHeight w:val="578"/>
          <w:jc w:val="center"/>
        </w:trPr>
        <w:tc>
          <w:tcPr>
            <w:tcW w:w="1422" w:type="dxa"/>
            <w:vMerge/>
            <w:vAlign w:val="center"/>
          </w:tcPr>
          <w:p w14:paraId="23E037C5" w14:textId="77777777" w:rsidR="00375FAF" w:rsidRPr="00375FAF" w:rsidRDefault="00375FAF" w:rsidP="00375FAF">
            <w:pPr>
              <w:spacing w:line="440" w:lineRule="exact"/>
              <w:rPr>
                <w:rFonts w:ascii="宋体" w:eastAsia="宋体" w:hAnsi="宋体" w:cs="Times New Roman"/>
                <w:b/>
                <w:sz w:val="24"/>
              </w:rPr>
            </w:pPr>
          </w:p>
        </w:tc>
        <w:tc>
          <w:tcPr>
            <w:tcW w:w="1452" w:type="dxa"/>
            <w:vAlign w:val="center"/>
          </w:tcPr>
          <w:p w14:paraId="6BC85169" w14:textId="77777777" w:rsidR="00375FAF" w:rsidRPr="00375FAF" w:rsidRDefault="00375FAF" w:rsidP="00375FAF">
            <w:pPr>
              <w:spacing w:line="440" w:lineRule="exact"/>
              <w:rPr>
                <w:rFonts w:ascii="宋体" w:eastAsia="宋体" w:hAnsi="宋体" w:cs="Times New Roman"/>
                <w:b/>
                <w:sz w:val="24"/>
              </w:rPr>
            </w:pPr>
            <w:r w:rsidRPr="00375FAF">
              <w:rPr>
                <w:rFonts w:ascii="宋体" w:eastAsia="宋体" w:hAnsi="宋体" w:cs="Times New Roman" w:hint="eastAsia"/>
                <w:b/>
                <w:sz w:val="24"/>
              </w:rPr>
              <w:t>课堂表现</w:t>
            </w:r>
          </w:p>
        </w:tc>
        <w:tc>
          <w:tcPr>
            <w:tcW w:w="1559" w:type="dxa"/>
            <w:vAlign w:val="center"/>
          </w:tcPr>
          <w:p w14:paraId="7EE828F8" w14:textId="77777777" w:rsidR="00375FAF" w:rsidRPr="00375FAF" w:rsidRDefault="00375FAF" w:rsidP="00375FAF">
            <w:pPr>
              <w:spacing w:line="440" w:lineRule="exact"/>
              <w:rPr>
                <w:rFonts w:ascii="宋体" w:eastAsia="宋体" w:hAnsi="宋体" w:cs="Times New Roman"/>
                <w:b/>
                <w:sz w:val="24"/>
              </w:rPr>
            </w:pPr>
            <w:r w:rsidRPr="00375FAF">
              <w:rPr>
                <w:rFonts w:ascii="宋体" w:eastAsia="宋体" w:hAnsi="宋体" w:cs="Times New Roman" w:hint="eastAsia"/>
                <w:b/>
                <w:sz w:val="24"/>
              </w:rPr>
              <w:t>阶段测试</w:t>
            </w:r>
          </w:p>
        </w:tc>
        <w:tc>
          <w:tcPr>
            <w:tcW w:w="1701" w:type="dxa"/>
            <w:vAlign w:val="center"/>
          </w:tcPr>
          <w:p w14:paraId="2B78ADCD" w14:textId="77777777" w:rsidR="00375FAF" w:rsidRPr="00375FAF" w:rsidRDefault="00375FAF" w:rsidP="00375FAF">
            <w:pPr>
              <w:spacing w:line="440" w:lineRule="exact"/>
              <w:rPr>
                <w:rFonts w:ascii="宋体" w:eastAsia="宋体" w:hAnsi="宋体" w:cs="Times New Roman"/>
                <w:b/>
                <w:sz w:val="24"/>
              </w:rPr>
            </w:pPr>
            <w:r w:rsidRPr="00375FAF">
              <w:rPr>
                <w:rFonts w:ascii="宋体" w:eastAsia="宋体" w:hAnsi="宋体" w:cs="Times New Roman" w:hint="eastAsia"/>
                <w:b/>
                <w:sz w:val="24"/>
              </w:rPr>
              <w:t>课程论文</w:t>
            </w:r>
          </w:p>
        </w:tc>
        <w:tc>
          <w:tcPr>
            <w:tcW w:w="1559" w:type="dxa"/>
            <w:vAlign w:val="center"/>
          </w:tcPr>
          <w:p w14:paraId="4FB0671D" w14:textId="77777777" w:rsidR="00375FAF" w:rsidRPr="00375FAF" w:rsidRDefault="00375FAF" w:rsidP="00375FAF">
            <w:pPr>
              <w:spacing w:line="440" w:lineRule="exact"/>
              <w:rPr>
                <w:rFonts w:ascii="宋体" w:eastAsia="宋体" w:hAnsi="宋体" w:cs="Times New Roman"/>
                <w:b/>
                <w:sz w:val="24"/>
              </w:rPr>
            </w:pPr>
            <w:r w:rsidRPr="00375FAF">
              <w:rPr>
                <w:rFonts w:ascii="宋体" w:eastAsia="宋体" w:hAnsi="宋体" w:cs="Times New Roman" w:hint="eastAsia"/>
                <w:b/>
                <w:sz w:val="24"/>
              </w:rPr>
              <w:t>期末考试</w:t>
            </w:r>
          </w:p>
        </w:tc>
        <w:tc>
          <w:tcPr>
            <w:tcW w:w="1559" w:type="dxa"/>
            <w:vMerge/>
          </w:tcPr>
          <w:p w14:paraId="3D70B4FA" w14:textId="77777777" w:rsidR="00375FAF" w:rsidRPr="00375FAF" w:rsidRDefault="00375FAF" w:rsidP="00375FAF">
            <w:pPr>
              <w:spacing w:line="440" w:lineRule="exact"/>
              <w:rPr>
                <w:rFonts w:ascii="宋体" w:eastAsia="宋体" w:hAnsi="宋体" w:cs="Times New Roman"/>
                <w:b/>
                <w:sz w:val="24"/>
              </w:rPr>
            </w:pPr>
          </w:p>
        </w:tc>
      </w:tr>
      <w:tr w:rsidR="00375FAF" w:rsidRPr="00375FAF" w14:paraId="6755801D" w14:textId="77777777" w:rsidTr="00375FAF">
        <w:trPr>
          <w:jc w:val="center"/>
        </w:trPr>
        <w:tc>
          <w:tcPr>
            <w:tcW w:w="1422" w:type="dxa"/>
            <w:vAlign w:val="center"/>
          </w:tcPr>
          <w:p w14:paraId="32B448CF"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课程目标1</w:t>
            </w:r>
          </w:p>
        </w:tc>
        <w:tc>
          <w:tcPr>
            <w:tcW w:w="1452" w:type="dxa"/>
            <w:vAlign w:val="center"/>
          </w:tcPr>
          <w:p w14:paraId="4959FE59"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5</w:t>
            </w:r>
          </w:p>
        </w:tc>
        <w:tc>
          <w:tcPr>
            <w:tcW w:w="1559" w:type="dxa"/>
            <w:vAlign w:val="center"/>
          </w:tcPr>
          <w:p w14:paraId="1C7F6B4F"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10</w:t>
            </w:r>
          </w:p>
        </w:tc>
        <w:tc>
          <w:tcPr>
            <w:tcW w:w="1701" w:type="dxa"/>
            <w:vAlign w:val="center"/>
          </w:tcPr>
          <w:p w14:paraId="5F447A68" w14:textId="77777777" w:rsidR="00375FAF" w:rsidRPr="00375FAF" w:rsidRDefault="00375FAF" w:rsidP="00375FAF">
            <w:pPr>
              <w:spacing w:line="440" w:lineRule="exact"/>
              <w:rPr>
                <w:rFonts w:ascii="宋体" w:eastAsia="宋体" w:hAnsi="宋体" w:cs="Times New Roman"/>
                <w:bCs/>
                <w:sz w:val="24"/>
              </w:rPr>
            </w:pPr>
          </w:p>
        </w:tc>
        <w:tc>
          <w:tcPr>
            <w:tcW w:w="1559" w:type="dxa"/>
            <w:vAlign w:val="center"/>
          </w:tcPr>
          <w:p w14:paraId="6118D746"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20</w:t>
            </w:r>
          </w:p>
        </w:tc>
        <w:tc>
          <w:tcPr>
            <w:tcW w:w="1559" w:type="dxa"/>
          </w:tcPr>
          <w:p w14:paraId="11077D10"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35</w:t>
            </w:r>
          </w:p>
        </w:tc>
      </w:tr>
      <w:tr w:rsidR="00375FAF" w:rsidRPr="00375FAF" w14:paraId="356233C9" w14:textId="77777777" w:rsidTr="00375FAF">
        <w:trPr>
          <w:jc w:val="center"/>
        </w:trPr>
        <w:tc>
          <w:tcPr>
            <w:tcW w:w="1422" w:type="dxa"/>
            <w:vAlign w:val="center"/>
          </w:tcPr>
          <w:p w14:paraId="5620C64E"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课程目标2</w:t>
            </w:r>
          </w:p>
        </w:tc>
        <w:tc>
          <w:tcPr>
            <w:tcW w:w="1452" w:type="dxa"/>
            <w:vAlign w:val="center"/>
          </w:tcPr>
          <w:p w14:paraId="42647C25"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10</w:t>
            </w:r>
          </w:p>
        </w:tc>
        <w:tc>
          <w:tcPr>
            <w:tcW w:w="1559" w:type="dxa"/>
            <w:vAlign w:val="center"/>
          </w:tcPr>
          <w:p w14:paraId="23FB812B"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10</w:t>
            </w:r>
          </w:p>
        </w:tc>
        <w:tc>
          <w:tcPr>
            <w:tcW w:w="1701" w:type="dxa"/>
            <w:vAlign w:val="center"/>
          </w:tcPr>
          <w:p w14:paraId="02970D6A" w14:textId="77777777" w:rsidR="00375FAF" w:rsidRPr="00375FAF" w:rsidRDefault="00375FAF" w:rsidP="00375FAF">
            <w:pPr>
              <w:spacing w:line="440" w:lineRule="exact"/>
              <w:rPr>
                <w:rFonts w:ascii="宋体" w:eastAsia="宋体" w:hAnsi="宋体" w:cs="Times New Roman"/>
                <w:bCs/>
                <w:sz w:val="24"/>
              </w:rPr>
            </w:pPr>
          </w:p>
        </w:tc>
        <w:tc>
          <w:tcPr>
            <w:tcW w:w="1559" w:type="dxa"/>
            <w:vAlign w:val="center"/>
          </w:tcPr>
          <w:p w14:paraId="77EA5739"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20</w:t>
            </w:r>
          </w:p>
        </w:tc>
        <w:tc>
          <w:tcPr>
            <w:tcW w:w="1559" w:type="dxa"/>
          </w:tcPr>
          <w:p w14:paraId="74211CFE"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40</w:t>
            </w:r>
          </w:p>
        </w:tc>
      </w:tr>
      <w:tr w:rsidR="00375FAF" w:rsidRPr="00375FAF" w14:paraId="4AA60E5C" w14:textId="77777777" w:rsidTr="00375FAF">
        <w:trPr>
          <w:jc w:val="center"/>
        </w:trPr>
        <w:tc>
          <w:tcPr>
            <w:tcW w:w="1422" w:type="dxa"/>
            <w:vAlign w:val="center"/>
          </w:tcPr>
          <w:p w14:paraId="13697512"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课程目标3</w:t>
            </w:r>
          </w:p>
        </w:tc>
        <w:tc>
          <w:tcPr>
            <w:tcW w:w="1452" w:type="dxa"/>
            <w:vAlign w:val="center"/>
          </w:tcPr>
          <w:p w14:paraId="4FBCFF37"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5</w:t>
            </w:r>
          </w:p>
        </w:tc>
        <w:tc>
          <w:tcPr>
            <w:tcW w:w="1559" w:type="dxa"/>
            <w:vAlign w:val="center"/>
          </w:tcPr>
          <w:p w14:paraId="2097CC5B"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10</w:t>
            </w:r>
          </w:p>
        </w:tc>
        <w:tc>
          <w:tcPr>
            <w:tcW w:w="1701" w:type="dxa"/>
            <w:vAlign w:val="center"/>
          </w:tcPr>
          <w:p w14:paraId="7A877DB2" w14:textId="77777777" w:rsidR="00375FAF" w:rsidRPr="00375FAF" w:rsidRDefault="00375FAF" w:rsidP="00375FAF">
            <w:pPr>
              <w:spacing w:line="440" w:lineRule="exact"/>
              <w:rPr>
                <w:rFonts w:ascii="宋体" w:eastAsia="宋体" w:hAnsi="宋体" w:cs="Times New Roman"/>
                <w:bCs/>
                <w:sz w:val="24"/>
              </w:rPr>
            </w:pPr>
          </w:p>
        </w:tc>
        <w:tc>
          <w:tcPr>
            <w:tcW w:w="1559" w:type="dxa"/>
            <w:vAlign w:val="center"/>
          </w:tcPr>
          <w:p w14:paraId="3AEE102C"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10</w:t>
            </w:r>
          </w:p>
        </w:tc>
        <w:tc>
          <w:tcPr>
            <w:tcW w:w="1559" w:type="dxa"/>
          </w:tcPr>
          <w:p w14:paraId="59EF4139"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25</w:t>
            </w:r>
          </w:p>
        </w:tc>
      </w:tr>
      <w:tr w:rsidR="00375FAF" w:rsidRPr="00375FAF" w14:paraId="098103BF" w14:textId="77777777" w:rsidTr="00375FAF">
        <w:trPr>
          <w:jc w:val="center"/>
        </w:trPr>
        <w:tc>
          <w:tcPr>
            <w:tcW w:w="1422" w:type="dxa"/>
            <w:vAlign w:val="center"/>
          </w:tcPr>
          <w:p w14:paraId="5F81B36A"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合计</w:t>
            </w:r>
          </w:p>
        </w:tc>
        <w:tc>
          <w:tcPr>
            <w:tcW w:w="1452" w:type="dxa"/>
            <w:vAlign w:val="center"/>
          </w:tcPr>
          <w:p w14:paraId="0DCCDB1A"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20</w:t>
            </w:r>
          </w:p>
        </w:tc>
        <w:tc>
          <w:tcPr>
            <w:tcW w:w="1559" w:type="dxa"/>
            <w:vAlign w:val="center"/>
          </w:tcPr>
          <w:p w14:paraId="06FE3603"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30</w:t>
            </w:r>
          </w:p>
        </w:tc>
        <w:tc>
          <w:tcPr>
            <w:tcW w:w="1701" w:type="dxa"/>
            <w:vAlign w:val="center"/>
          </w:tcPr>
          <w:p w14:paraId="616AC217" w14:textId="77777777" w:rsidR="00375FAF" w:rsidRPr="00375FAF" w:rsidRDefault="00375FAF" w:rsidP="00375FAF">
            <w:pPr>
              <w:spacing w:line="440" w:lineRule="exact"/>
              <w:rPr>
                <w:rFonts w:ascii="宋体" w:eastAsia="宋体" w:hAnsi="宋体" w:cs="Times New Roman"/>
                <w:bCs/>
                <w:sz w:val="24"/>
              </w:rPr>
            </w:pPr>
          </w:p>
        </w:tc>
        <w:tc>
          <w:tcPr>
            <w:tcW w:w="1559" w:type="dxa"/>
            <w:vAlign w:val="center"/>
          </w:tcPr>
          <w:p w14:paraId="57A4E49D"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50</w:t>
            </w:r>
          </w:p>
        </w:tc>
        <w:tc>
          <w:tcPr>
            <w:tcW w:w="1559" w:type="dxa"/>
          </w:tcPr>
          <w:p w14:paraId="6BE34954" w14:textId="77777777" w:rsidR="00375FAF" w:rsidRPr="00375FAF" w:rsidRDefault="00375FAF" w:rsidP="00375FAF">
            <w:pPr>
              <w:spacing w:line="440" w:lineRule="exact"/>
              <w:rPr>
                <w:rFonts w:ascii="宋体" w:eastAsia="宋体" w:hAnsi="宋体" w:cs="Times New Roman"/>
                <w:bCs/>
                <w:sz w:val="24"/>
              </w:rPr>
            </w:pPr>
            <w:r w:rsidRPr="00375FAF">
              <w:rPr>
                <w:rFonts w:ascii="宋体" w:eastAsia="宋体" w:hAnsi="宋体" w:cs="Times New Roman" w:hint="eastAsia"/>
                <w:bCs/>
                <w:sz w:val="24"/>
              </w:rPr>
              <w:t>1</w:t>
            </w:r>
            <w:r w:rsidRPr="00375FAF">
              <w:rPr>
                <w:rFonts w:ascii="宋体" w:eastAsia="宋体" w:hAnsi="宋体" w:cs="Times New Roman"/>
                <w:bCs/>
                <w:sz w:val="24"/>
              </w:rPr>
              <w:t>00</w:t>
            </w:r>
          </w:p>
        </w:tc>
      </w:tr>
    </w:tbl>
    <w:p w14:paraId="35795CFA" w14:textId="77777777" w:rsidR="00375FAF" w:rsidRPr="00375FAF" w:rsidRDefault="00375FAF" w:rsidP="00375FAF">
      <w:pPr>
        <w:spacing w:line="440" w:lineRule="exact"/>
        <w:ind w:firstLineChars="200" w:firstLine="480"/>
        <w:rPr>
          <w:rFonts w:ascii="宋体" w:eastAsia="宋体" w:hAnsi="宋体" w:cs="Times New Roman"/>
          <w:sz w:val="24"/>
        </w:rPr>
      </w:pPr>
    </w:p>
    <w:p w14:paraId="0BF0AB34" w14:textId="77777777" w:rsidR="00375FAF" w:rsidRPr="00375FAF" w:rsidRDefault="00375FAF" w:rsidP="00C63ECC">
      <w:pPr>
        <w:pStyle w:val="afc"/>
      </w:pPr>
      <w:bookmarkStart w:id="66" w:name="_Toc8283"/>
      <w:r w:rsidRPr="00375FAF">
        <w:rPr>
          <w:rFonts w:hint="eastAsia"/>
        </w:rPr>
        <w:t>五、成绩评定</w:t>
      </w:r>
      <w:bookmarkEnd w:id="66"/>
    </w:p>
    <w:p w14:paraId="2AE4AF33" w14:textId="77777777" w:rsidR="00375FAF" w:rsidRPr="00375FAF" w:rsidRDefault="00375FAF" w:rsidP="00375FAF">
      <w:pPr>
        <w:spacing w:beforeLines="50" w:before="156" w:afterLines="50" w:after="156" w:line="440" w:lineRule="exact"/>
        <w:ind w:firstLineChars="200" w:firstLine="560"/>
        <w:rPr>
          <w:rFonts w:ascii="黑体" w:eastAsia="黑体" w:hAnsi="黑体" w:cs="Times New Roman"/>
          <w:sz w:val="28"/>
          <w:szCs w:val="28"/>
        </w:rPr>
      </w:pPr>
      <w:r w:rsidRPr="00375FAF">
        <w:rPr>
          <w:rFonts w:ascii="黑体" w:eastAsia="黑体" w:hAnsi="黑体" w:cs="Times New Roman" w:hint="eastAsia"/>
          <w:sz w:val="28"/>
          <w:szCs w:val="28"/>
        </w:rPr>
        <w:t>（一）总成绩评定</w:t>
      </w:r>
    </w:p>
    <w:p w14:paraId="2222120B" w14:textId="77777777" w:rsidR="00375FAF" w:rsidRPr="00375FAF" w:rsidRDefault="00375FAF" w:rsidP="00375FAF">
      <w:pPr>
        <w:spacing w:line="440" w:lineRule="exact"/>
        <w:ind w:firstLineChars="200" w:firstLine="480"/>
        <w:rPr>
          <w:rFonts w:ascii="宋体" w:eastAsia="宋体" w:hAnsi="宋体" w:cs="Times New Roman"/>
          <w:sz w:val="24"/>
        </w:rPr>
      </w:pPr>
      <w:r w:rsidRPr="00375FAF">
        <w:rPr>
          <w:rFonts w:ascii="宋体" w:eastAsia="宋体" w:hAnsi="宋体" w:cs="Times New Roman" w:hint="eastAsia"/>
          <w:sz w:val="24"/>
        </w:rPr>
        <w:t>总成绩=平时成绩×20%+期中成绩×30%+期末成绩×50%</w:t>
      </w:r>
    </w:p>
    <w:p w14:paraId="101AF3A9" w14:textId="77777777" w:rsidR="00375FAF" w:rsidRPr="00375FAF" w:rsidRDefault="00375FAF" w:rsidP="00375FAF">
      <w:pPr>
        <w:spacing w:line="440" w:lineRule="exact"/>
        <w:ind w:firstLineChars="200" w:firstLine="480"/>
        <w:rPr>
          <w:rFonts w:ascii="宋体" w:eastAsia="宋体" w:hAnsi="宋体" w:cs="Times New Roman"/>
          <w:sz w:val="24"/>
        </w:rPr>
      </w:pPr>
      <w:r w:rsidRPr="00375FAF">
        <w:rPr>
          <w:rFonts w:ascii="宋体" w:eastAsia="宋体" w:hAnsi="宋体" w:cs="Times New Roman" w:hint="eastAsia"/>
          <w:sz w:val="24"/>
        </w:rPr>
        <w:t>备注：每学期总成绩</w:t>
      </w:r>
    </w:p>
    <w:p w14:paraId="75024EB1" w14:textId="77777777" w:rsidR="00375FAF" w:rsidRPr="00375FAF" w:rsidRDefault="00375FAF" w:rsidP="00375FAF">
      <w:pPr>
        <w:spacing w:beforeLines="50" w:before="156" w:afterLines="50" w:after="156" w:line="440" w:lineRule="exact"/>
        <w:ind w:firstLineChars="200" w:firstLine="560"/>
        <w:rPr>
          <w:rFonts w:ascii="宋体" w:eastAsia="宋体" w:hAnsi="宋体" w:cs="Times New Roman"/>
          <w:color w:val="FF0000"/>
          <w:sz w:val="24"/>
        </w:rPr>
      </w:pPr>
      <w:r w:rsidRPr="00375FAF">
        <w:rPr>
          <w:rFonts w:ascii="黑体" w:eastAsia="黑体" w:hAnsi="黑体" w:cs="Times New Roman" w:hint="eastAsia"/>
          <w:sz w:val="28"/>
          <w:szCs w:val="28"/>
        </w:rPr>
        <w:t>（二）平时成绩评定</w:t>
      </w:r>
    </w:p>
    <w:p w14:paraId="7491D442" w14:textId="77777777" w:rsidR="00375FAF" w:rsidRPr="00375FAF" w:rsidRDefault="00375FAF" w:rsidP="00375FAF">
      <w:pPr>
        <w:spacing w:line="440" w:lineRule="exact"/>
        <w:ind w:firstLineChars="200" w:firstLine="480"/>
        <w:rPr>
          <w:rFonts w:ascii="宋体" w:eastAsia="宋体" w:hAnsi="宋体" w:cs="Times New Roman"/>
          <w:sz w:val="24"/>
        </w:rPr>
      </w:pPr>
      <w:r w:rsidRPr="00375FAF">
        <w:rPr>
          <w:rFonts w:ascii="宋体" w:eastAsia="宋体" w:hAnsi="宋体" w:cs="Times New Roman" w:hint="eastAsia"/>
          <w:sz w:val="24"/>
        </w:rPr>
        <w:t>（1）课堂表现：通过学生在课堂上的表现情况、发言与主体参与和练习情况，</w:t>
      </w:r>
      <w:r w:rsidRPr="00375FAF">
        <w:rPr>
          <w:rFonts w:ascii="宋体" w:eastAsia="宋体" w:hAnsi="宋体" w:cs="Times New Roman" w:hint="eastAsia"/>
          <w:sz w:val="24"/>
        </w:rPr>
        <w:lastRenderedPageBreak/>
        <w:t>来评价学生相关的能力。</w:t>
      </w:r>
    </w:p>
    <w:p w14:paraId="1988E0D7" w14:textId="77777777" w:rsidR="00375FAF" w:rsidRPr="00375FAF" w:rsidRDefault="00375FAF" w:rsidP="00375FAF">
      <w:pPr>
        <w:spacing w:line="440" w:lineRule="exact"/>
        <w:ind w:firstLineChars="200" w:firstLine="480"/>
        <w:rPr>
          <w:rFonts w:ascii="宋体" w:eastAsia="宋体" w:hAnsi="宋体" w:cs="Times New Roman"/>
          <w:sz w:val="24"/>
        </w:rPr>
      </w:pPr>
      <w:r w:rsidRPr="00375FAF">
        <w:rPr>
          <w:rFonts w:ascii="宋体" w:eastAsia="宋体" w:hAnsi="宋体" w:cs="Times New Roman" w:hint="eastAsia"/>
          <w:sz w:val="24"/>
        </w:rPr>
        <w:t>（2）作业完成情况：围绕课程的学习目标进行作业的设计。如让学生简述对知识的认识，建议</w:t>
      </w:r>
      <w:proofErr w:type="gramStart"/>
      <w:r w:rsidRPr="00375FAF">
        <w:rPr>
          <w:rFonts w:ascii="宋体" w:eastAsia="宋体" w:hAnsi="宋体" w:cs="Times New Roman" w:hint="eastAsia"/>
          <w:sz w:val="24"/>
        </w:rPr>
        <w:t>带准备</w:t>
      </w:r>
      <w:proofErr w:type="gramEnd"/>
      <w:r w:rsidRPr="00375FAF">
        <w:rPr>
          <w:rFonts w:ascii="宋体" w:eastAsia="宋体" w:hAnsi="宋体" w:cs="Times New Roman" w:hint="eastAsia"/>
          <w:sz w:val="24"/>
        </w:rPr>
        <w:t>部分和基本部分中的复习内容，帮助学生将定义转化为自己的理解，学生在小组合作学习中测验掌握课程的情况。</w:t>
      </w:r>
    </w:p>
    <w:p w14:paraId="33264B22" w14:textId="77777777" w:rsidR="00375FAF" w:rsidRPr="00375FAF" w:rsidRDefault="00375FAF" w:rsidP="00375FAF">
      <w:pPr>
        <w:spacing w:line="440" w:lineRule="exact"/>
        <w:ind w:firstLineChars="200" w:firstLine="480"/>
        <w:rPr>
          <w:rFonts w:ascii="宋体" w:eastAsia="宋体" w:hAnsi="宋体" w:cs="Times New Roman"/>
          <w:color w:val="FF0000"/>
          <w:sz w:val="24"/>
        </w:rPr>
      </w:pPr>
      <w:r w:rsidRPr="00375FAF">
        <w:rPr>
          <w:rFonts w:ascii="宋体" w:eastAsia="宋体" w:hAnsi="宋体" w:cs="Times New Roman" w:hint="eastAsia"/>
          <w:sz w:val="24"/>
        </w:rPr>
        <w:t>（3）课堂考勤：留存辅导员开具的事假条、校医院开具的病假条。缺课达到本学期三分之一课时，按照考试无资格处理。</w:t>
      </w:r>
    </w:p>
    <w:p w14:paraId="5F1D2593" w14:textId="77777777" w:rsidR="00375FAF" w:rsidRPr="00375FAF" w:rsidRDefault="00375FAF" w:rsidP="00375FAF">
      <w:pPr>
        <w:spacing w:beforeLines="50" w:before="156" w:afterLines="50" w:after="156" w:line="440" w:lineRule="exact"/>
        <w:ind w:firstLineChars="100" w:firstLine="280"/>
        <w:rPr>
          <w:rFonts w:ascii="黑体" w:eastAsia="黑体" w:hAnsi="黑体" w:cs="Times New Roman"/>
          <w:sz w:val="28"/>
          <w:szCs w:val="28"/>
        </w:rPr>
      </w:pPr>
      <w:r w:rsidRPr="00375FAF">
        <w:rPr>
          <w:rFonts w:ascii="黑体" w:eastAsia="黑体" w:hAnsi="黑体" w:cs="Times New Roman" w:hint="eastAsia"/>
          <w:sz w:val="28"/>
          <w:szCs w:val="28"/>
        </w:rPr>
        <w:t>（三）期中、期末成绩评定</w:t>
      </w:r>
    </w:p>
    <w:p w14:paraId="7C376A84" w14:textId="77777777" w:rsidR="00375FAF" w:rsidRPr="00375FAF" w:rsidRDefault="00375FAF" w:rsidP="00375FAF">
      <w:pPr>
        <w:spacing w:beforeLines="50" w:before="156" w:afterLines="50" w:after="156" w:line="440" w:lineRule="exact"/>
        <w:ind w:firstLineChars="200" w:firstLine="560"/>
        <w:rPr>
          <w:rFonts w:ascii="黑体" w:eastAsia="黑体" w:hAnsi="黑体" w:cs="Times New Roman"/>
          <w:sz w:val="28"/>
          <w:szCs w:val="28"/>
        </w:rPr>
      </w:pPr>
      <w:r w:rsidRPr="00375FAF">
        <w:rPr>
          <w:rFonts w:ascii="黑体" w:eastAsia="黑体" w:hAnsi="黑体" w:cs="Times New Roman" w:hint="eastAsia"/>
          <w:sz w:val="28"/>
          <w:szCs w:val="28"/>
        </w:rPr>
        <w:t>第一学期</w:t>
      </w:r>
    </w:p>
    <w:p w14:paraId="74FE3C4A" w14:textId="77777777" w:rsidR="00375FAF" w:rsidRPr="00375FAF" w:rsidRDefault="00375FAF" w:rsidP="00375FAF">
      <w:pPr>
        <w:adjustRightInd w:val="0"/>
        <w:snapToGrid w:val="0"/>
        <w:spacing w:line="500" w:lineRule="exact"/>
        <w:jc w:val="center"/>
        <w:rPr>
          <w:rFonts w:ascii="宋体" w:eastAsia="宋体" w:hAnsi="Calibri" w:cs="Times New Roman"/>
          <w:b/>
          <w:kern w:val="0"/>
          <w:sz w:val="24"/>
        </w:rPr>
      </w:pPr>
      <w:r w:rsidRPr="00375FAF">
        <w:rPr>
          <w:rFonts w:ascii="宋体" w:eastAsia="宋体" w:hAnsi="Calibri" w:cs="Times New Roman" w:hint="eastAsia"/>
          <w:b/>
          <w:kern w:val="0"/>
          <w:sz w:val="24"/>
        </w:rPr>
        <w:t>期中考试</w:t>
      </w:r>
    </w:p>
    <w:p w14:paraId="585BEA47" w14:textId="77777777" w:rsidR="00375FAF" w:rsidRPr="00375FAF" w:rsidRDefault="00375FAF" w:rsidP="00375FAF">
      <w:pPr>
        <w:adjustRightInd w:val="0"/>
        <w:snapToGrid w:val="0"/>
        <w:spacing w:line="500" w:lineRule="exact"/>
        <w:rPr>
          <w:rFonts w:ascii="宋体" w:eastAsia="宋体" w:hAnsi="Calibri" w:cs="Times New Roman"/>
          <w:bCs/>
          <w:kern w:val="0"/>
          <w:sz w:val="24"/>
        </w:rPr>
      </w:pPr>
      <w:r w:rsidRPr="00375FAF">
        <w:rPr>
          <w:rFonts w:ascii="宋体" w:eastAsia="宋体" w:hAnsi="Calibri" w:cs="Times New Roman" w:hint="eastAsia"/>
          <w:b/>
          <w:kern w:val="0"/>
          <w:sz w:val="24"/>
        </w:rPr>
        <w:t>1.课程考核目标:</w:t>
      </w:r>
      <w:r w:rsidRPr="00375FAF">
        <w:rPr>
          <w:rFonts w:ascii="宋体" w:eastAsia="宋体" w:hAnsi="Calibri" w:cs="Times New Roman" w:hint="eastAsia"/>
          <w:bCs/>
          <w:kern w:val="0"/>
          <w:sz w:val="24"/>
        </w:rPr>
        <w:t>通过考核检验体能训练教学效果和学生掌握情况，让学生了解体质健康标准测验的重要性。</w:t>
      </w:r>
    </w:p>
    <w:p w14:paraId="59378853" w14:textId="77777777" w:rsidR="00375FAF" w:rsidRPr="00375FAF" w:rsidRDefault="00375FAF" w:rsidP="00375FAF">
      <w:pPr>
        <w:adjustRightInd w:val="0"/>
        <w:snapToGrid w:val="0"/>
        <w:spacing w:line="500" w:lineRule="exact"/>
        <w:jc w:val="left"/>
        <w:rPr>
          <w:rFonts w:ascii="宋体" w:eastAsia="宋体" w:hAnsi="Calibri" w:cs="Times New Roman"/>
          <w:bCs/>
          <w:kern w:val="0"/>
          <w:sz w:val="24"/>
        </w:rPr>
      </w:pPr>
      <w:r w:rsidRPr="00375FAF">
        <w:rPr>
          <w:rFonts w:ascii="宋体" w:eastAsia="宋体" w:hAnsi="Calibri" w:cs="Times New Roman" w:hint="eastAsia"/>
          <w:b/>
          <w:kern w:val="0"/>
          <w:sz w:val="24"/>
        </w:rPr>
        <w:t>2.课程考核的内容：</w:t>
      </w:r>
      <w:r w:rsidRPr="00375FAF">
        <w:rPr>
          <w:rFonts w:ascii="宋体" w:eastAsia="宋体" w:hAnsi="Calibri" w:cs="Times New Roman" w:hint="eastAsia"/>
          <w:bCs/>
          <w:kern w:val="0"/>
          <w:sz w:val="24"/>
        </w:rPr>
        <w:t>立定跳远。</w:t>
      </w:r>
    </w:p>
    <w:p w14:paraId="4275AC86" w14:textId="77777777" w:rsidR="00375FAF" w:rsidRPr="00375FAF" w:rsidRDefault="00375FAF" w:rsidP="00375FAF">
      <w:pPr>
        <w:adjustRightInd w:val="0"/>
        <w:snapToGrid w:val="0"/>
        <w:spacing w:line="500" w:lineRule="exact"/>
        <w:jc w:val="left"/>
        <w:rPr>
          <w:rFonts w:ascii="宋体" w:eastAsia="宋体" w:hAnsi="Calibri" w:cs="Times New Roman"/>
          <w:bCs/>
          <w:kern w:val="0"/>
          <w:sz w:val="24"/>
        </w:rPr>
      </w:pPr>
      <w:r w:rsidRPr="00375FAF">
        <w:rPr>
          <w:rFonts w:ascii="宋体" w:eastAsia="宋体" w:hAnsi="Calibri" w:cs="Times New Roman" w:hint="eastAsia"/>
          <w:b/>
          <w:kern w:val="0"/>
          <w:sz w:val="24"/>
        </w:rPr>
        <w:t>3.课程考核方式：</w:t>
      </w:r>
      <w:r w:rsidRPr="00375FAF">
        <w:rPr>
          <w:rFonts w:ascii="宋体" w:eastAsia="宋体" w:hAnsi="Calibri" w:cs="Times New Roman" w:hint="eastAsia"/>
          <w:bCs/>
          <w:kern w:val="0"/>
          <w:sz w:val="24"/>
        </w:rPr>
        <w:t>沙坑场地，每人跳两次，取最好成绩。</w:t>
      </w:r>
    </w:p>
    <w:p w14:paraId="37685863" w14:textId="77777777" w:rsidR="00375FAF" w:rsidRPr="00375FAF" w:rsidRDefault="00375FAF" w:rsidP="00375FAF">
      <w:pPr>
        <w:adjustRightInd w:val="0"/>
        <w:snapToGrid w:val="0"/>
        <w:spacing w:line="500" w:lineRule="exact"/>
        <w:jc w:val="left"/>
        <w:rPr>
          <w:rFonts w:ascii="宋体" w:eastAsia="宋体" w:hAnsi="Calibri" w:cs="Times New Roman"/>
          <w:bCs/>
          <w:kern w:val="0"/>
          <w:sz w:val="24"/>
        </w:rPr>
      </w:pPr>
      <w:r w:rsidRPr="00375FAF">
        <w:rPr>
          <w:rFonts w:ascii="宋体" w:eastAsia="宋体" w:hAnsi="Calibri" w:cs="Times New Roman" w:hint="eastAsia"/>
          <w:b/>
          <w:kern w:val="0"/>
          <w:sz w:val="24"/>
        </w:rPr>
        <w:t>4.成绩构成及分值：</w:t>
      </w:r>
      <w:r w:rsidRPr="00375FAF">
        <w:rPr>
          <w:rFonts w:ascii="宋体" w:eastAsia="宋体" w:hAnsi="Calibri" w:cs="Times New Roman" w:hint="eastAsia"/>
          <w:bCs/>
          <w:kern w:val="0"/>
          <w:sz w:val="24"/>
        </w:rPr>
        <w:t>数量及技术评定分值各为100分，各占总分值的20%，</w:t>
      </w:r>
    </w:p>
    <w:p w14:paraId="3913A149" w14:textId="77777777" w:rsidR="00375FAF" w:rsidRPr="00375FAF" w:rsidRDefault="00375FAF" w:rsidP="00375FAF">
      <w:pPr>
        <w:adjustRightInd w:val="0"/>
        <w:snapToGrid w:val="0"/>
        <w:spacing w:line="500" w:lineRule="exact"/>
        <w:jc w:val="left"/>
        <w:rPr>
          <w:rFonts w:ascii="宋体" w:eastAsia="宋体" w:hAnsi="Calibri" w:cs="Times New Roman"/>
          <w:bCs/>
          <w:kern w:val="0"/>
          <w:sz w:val="24"/>
        </w:rPr>
      </w:pPr>
      <w:r w:rsidRPr="00375FAF">
        <w:rPr>
          <w:rFonts w:ascii="宋体" w:eastAsia="宋体" w:hAnsi="Calibri" w:cs="Times New Roman" w:hint="eastAsia"/>
          <w:bCs/>
          <w:kern w:val="0"/>
          <w:sz w:val="24"/>
        </w:rPr>
        <w:t>总分值为100分。</w:t>
      </w:r>
    </w:p>
    <w:p w14:paraId="411F46C2" w14:textId="77777777" w:rsidR="00375FAF" w:rsidRPr="00375FAF" w:rsidRDefault="00375FAF" w:rsidP="00375FAF">
      <w:pPr>
        <w:adjustRightInd w:val="0"/>
        <w:snapToGrid w:val="0"/>
        <w:spacing w:line="500" w:lineRule="exact"/>
        <w:jc w:val="left"/>
        <w:rPr>
          <w:rFonts w:ascii="宋体" w:eastAsia="宋体" w:hAnsi="Calibri" w:cs="Times New Roman"/>
          <w:bCs/>
          <w:kern w:val="0"/>
          <w:sz w:val="24"/>
        </w:rPr>
      </w:pPr>
      <w:r w:rsidRPr="00375FAF">
        <w:rPr>
          <w:rFonts w:ascii="宋体" w:eastAsia="宋体" w:hAnsi="Calibri" w:cs="Times New Roman" w:hint="eastAsia"/>
          <w:b/>
          <w:kern w:val="0"/>
          <w:sz w:val="24"/>
        </w:rPr>
        <w:t>5.评分记分原则：</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375FAF" w:rsidRPr="00375FAF" w14:paraId="390E7DED" w14:textId="77777777" w:rsidTr="00375FAF">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7EA6720"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268330FC"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1FAFEC7"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大</w:t>
            </w:r>
            <w:proofErr w:type="gramStart"/>
            <w:r w:rsidRPr="00375FAF">
              <w:rPr>
                <w:rFonts w:ascii="宋体" w:eastAsia="宋体" w:hAnsi="宋体" w:cs="宋体" w:hint="eastAsia"/>
                <w:b/>
                <w:kern w:val="0"/>
                <w:sz w:val="24"/>
                <w:lang w:bidi="ar"/>
              </w:rPr>
              <w:t>一</w:t>
            </w:r>
            <w:proofErr w:type="gramEnd"/>
            <w:r w:rsidRPr="00375FAF">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650CD9DA"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大</w:t>
            </w:r>
            <w:proofErr w:type="gramStart"/>
            <w:r w:rsidRPr="00375FAF">
              <w:rPr>
                <w:rFonts w:ascii="宋体" w:eastAsia="宋体" w:hAnsi="宋体" w:cs="宋体" w:hint="eastAsia"/>
                <w:b/>
                <w:kern w:val="0"/>
                <w:sz w:val="24"/>
                <w:lang w:bidi="ar"/>
              </w:rPr>
              <w:t>一</w:t>
            </w:r>
            <w:proofErr w:type="gramEnd"/>
            <w:r w:rsidRPr="00375FAF">
              <w:rPr>
                <w:rFonts w:ascii="宋体" w:eastAsia="宋体" w:hAnsi="宋体" w:cs="宋体" w:hint="eastAsia"/>
                <w:b/>
                <w:kern w:val="0"/>
                <w:sz w:val="24"/>
                <w:lang w:bidi="ar"/>
              </w:rPr>
              <w:t>女生</w:t>
            </w:r>
          </w:p>
        </w:tc>
      </w:tr>
      <w:tr w:rsidR="00375FAF" w:rsidRPr="00375FAF" w14:paraId="2C391BAC" w14:textId="77777777" w:rsidTr="00375FAF">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C01BEFE"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A090491"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770116E6" w14:textId="77777777" w:rsidR="00375FAF" w:rsidRPr="00375FAF" w:rsidRDefault="00375FAF" w:rsidP="00375FAF">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7FD868CA" w14:textId="77777777" w:rsidR="00375FAF" w:rsidRPr="00375FAF" w:rsidRDefault="00375FAF" w:rsidP="00375FAF">
            <w:pPr>
              <w:jc w:val="center"/>
              <w:rPr>
                <w:rFonts w:ascii="宋体" w:eastAsia="宋体" w:hAnsi="宋体" w:cs="宋体"/>
                <w:b/>
                <w:sz w:val="24"/>
              </w:rPr>
            </w:pPr>
          </w:p>
        </w:tc>
      </w:tr>
      <w:tr w:rsidR="00375FAF" w:rsidRPr="00375FAF" w14:paraId="37D5AAA7"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5E76CED"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3A4A98F7"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5ADAFF8A"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1E8A39BC"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207</w:t>
            </w:r>
          </w:p>
        </w:tc>
      </w:tr>
      <w:tr w:rsidR="00375FAF" w:rsidRPr="00375FAF" w14:paraId="6090749A"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B009BD7"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167526A"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73D14EAC"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3FC41618"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201</w:t>
            </w:r>
          </w:p>
        </w:tc>
      </w:tr>
      <w:tr w:rsidR="00375FAF" w:rsidRPr="00375FAF" w14:paraId="6B814A56"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0D628A4"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2E1D63F"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CE51158"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AD72A5F"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195</w:t>
            </w:r>
          </w:p>
        </w:tc>
      </w:tr>
      <w:tr w:rsidR="00375FAF" w:rsidRPr="00375FAF" w14:paraId="68C24905"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A0DBE8D"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5C54040F"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1E2C8F50"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2E82BE10"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188</w:t>
            </w:r>
          </w:p>
        </w:tc>
      </w:tr>
      <w:tr w:rsidR="00375FAF" w:rsidRPr="00375FAF" w14:paraId="7E921395"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0784386"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0C32514"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97228FC"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B9B4425"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181</w:t>
            </w:r>
          </w:p>
        </w:tc>
      </w:tr>
      <w:tr w:rsidR="00375FAF" w:rsidRPr="00375FAF" w14:paraId="545B002D"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5063AA8"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1B051EDE"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2E7DEA57"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2F93CE38"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178</w:t>
            </w:r>
          </w:p>
        </w:tc>
      </w:tr>
      <w:tr w:rsidR="00375FAF" w:rsidRPr="00375FAF" w14:paraId="7CCA607E"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222A347"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5DEA7F8"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09DEB262"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3F6E128C"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175</w:t>
            </w:r>
          </w:p>
        </w:tc>
      </w:tr>
      <w:tr w:rsidR="00375FAF" w:rsidRPr="00375FAF" w14:paraId="116064C6"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AE4C798"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5C9FBF2"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20D331C8"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1298857"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172</w:t>
            </w:r>
          </w:p>
        </w:tc>
      </w:tr>
      <w:tr w:rsidR="00375FAF" w:rsidRPr="00375FAF" w14:paraId="7B69DBEB"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A06BA60"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F28C26D"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49B7A95D"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25E91F7E"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169</w:t>
            </w:r>
          </w:p>
        </w:tc>
      </w:tr>
      <w:tr w:rsidR="00375FAF" w:rsidRPr="00375FAF" w14:paraId="738746DF"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726BA96"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3D0DBD8"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4E8EAEA8"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52CF3DEB"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166</w:t>
            </w:r>
          </w:p>
        </w:tc>
      </w:tr>
      <w:tr w:rsidR="00375FAF" w:rsidRPr="00375FAF" w14:paraId="35CEFC77"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7B6C56F"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9C106DF"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6D3160CA"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1A5B260A"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163</w:t>
            </w:r>
          </w:p>
        </w:tc>
      </w:tr>
      <w:tr w:rsidR="00375FAF" w:rsidRPr="00375FAF" w14:paraId="071457BB"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0B828DC"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40472A4"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09AEB494"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0E5251AF"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160</w:t>
            </w:r>
          </w:p>
        </w:tc>
      </w:tr>
      <w:tr w:rsidR="00375FAF" w:rsidRPr="00375FAF" w14:paraId="1AC8D068"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2765A68"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1770779"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4E666F91"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4AD2F9E0"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157</w:t>
            </w:r>
          </w:p>
        </w:tc>
      </w:tr>
      <w:tr w:rsidR="00375FAF" w:rsidRPr="00375FAF" w14:paraId="5E14C6A9"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4EFEAF1"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314EC21"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74B379E3"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2457F9BE"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154</w:t>
            </w:r>
          </w:p>
        </w:tc>
      </w:tr>
      <w:tr w:rsidR="00375FAF" w:rsidRPr="00375FAF" w14:paraId="28311A1A"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E163D06"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300425"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B1BC7AC"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3C7EF39"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151</w:t>
            </w:r>
          </w:p>
        </w:tc>
      </w:tr>
      <w:tr w:rsidR="00375FAF" w:rsidRPr="00375FAF" w14:paraId="5FE27B62" w14:textId="77777777" w:rsidTr="00375FAF">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EC31A5A"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1DD6F6C4"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5AC591A5"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68715BFA"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146</w:t>
            </w:r>
          </w:p>
        </w:tc>
      </w:tr>
      <w:tr w:rsidR="00375FAF" w:rsidRPr="00375FAF" w14:paraId="71D953D8"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EA43838"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D0D791C"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18EC0CED"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32B8AD33"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141</w:t>
            </w:r>
          </w:p>
        </w:tc>
      </w:tr>
      <w:tr w:rsidR="00375FAF" w:rsidRPr="00375FAF" w14:paraId="582AA65E"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97268E6"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52F1AE4"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2B2786C7"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266A5424"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136</w:t>
            </w:r>
          </w:p>
        </w:tc>
      </w:tr>
      <w:tr w:rsidR="00375FAF" w:rsidRPr="00375FAF" w14:paraId="4A9F6936"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73D5450"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6D87E0C"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3A6844F0"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4D2975F7"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131</w:t>
            </w:r>
          </w:p>
        </w:tc>
      </w:tr>
      <w:tr w:rsidR="00375FAF" w:rsidRPr="00375FAF" w14:paraId="7E4ED6F4" w14:textId="77777777" w:rsidTr="00375FAF">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0940658" w14:textId="77777777" w:rsidR="00375FAF" w:rsidRPr="00375FAF" w:rsidRDefault="00375FAF" w:rsidP="00375FAF">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9C453FC" w14:textId="77777777" w:rsidR="00375FAF" w:rsidRPr="00375FAF" w:rsidRDefault="00375FAF" w:rsidP="00375FAF">
            <w:pPr>
              <w:widowControl/>
              <w:jc w:val="center"/>
              <w:textAlignment w:val="center"/>
              <w:rPr>
                <w:rFonts w:ascii="宋体" w:eastAsia="宋体" w:hAnsi="宋体" w:cs="宋体"/>
                <w:b/>
                <w:sz w:val="24"/>
              </w:rPr>
            </w:pPr>
            <w:r w:rsidRPr="00375FAF">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6BD6A13E"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23F4B84B" w14:textId="77777777" w:rsidR="00375FAF" w:rsidRPr="00375FAF" w:rsidRDefault="00375FAF" w:rsidP="00375FAF">
            <w:pPr>
              <w:widowControl/>
              <w:jc w:val="center"/>
              <w:textAlignment w:val="center"/>
              <w:rPr>
                <w:rFonts w:ascii="宋体" w:eastAsia="宋体" w:hAnsi="宋体" w:cs="宋体"/>
                <w:sz w:val="24"/>
              </w:rPr>
            </w:pPr>
            <w:r w:rsidRPr="00375FAF">
              <w:rPr>
                <w:rFonts w:ascii="宋体" w:eastAsia="宋体" w:hAnsi="宋体" w:cs="宋体" w:hint="eastAsia"/>
                <w:kern w:val="0"/>
                <w:sz w:val="24"/>
                <w:lang w:bidi="ar"/>
              </w:rPr>
              <w:t>126</w:t>
            </w:r>
          </w:p>
        </w:tc>
      </w:tr>
    </w:tbl>
    <w:p w14:paraId="31995A4F" w14:textId="77777777" w:rsidR="00375FAF" w:rsidRPr="00375FAF" w:rsidRDefault="00375FAF" w:rsidP="00375FAF">
      <w:pPr>
        <w:adjustRightInd w:val="0"/>
        <w:snapToGrid w:val="0"/>
        <w:spacing w:line="500" w:lineRule="exact"/>
        <w:jc w:val="left"/>
        <w:rPr>
          <w:rFonts w:ascii="宋体" w:eastAsia="宋体" w:hAnsi="Calibri" w:cs="Times New Roman"/>
          <w:bCs/>
          <w:kern w:val="0"/>
          <w:sz w:val="24"/>
        </w:rPr>
      </w:pPr>
    </w:p>
    <w:p w14:paraId="632A525A" w14:textId="77777777" w:rsidR="00375FAF" w:rsidRPr="00375FAF" w:rsidRDefault="00375FAF" w:rsidP="00375FAF">
      <w:pPr>
        <w:adjustRightInd w:val="0"/>
        <w:snapToGrid w:val="0"/>
        <w:spacing w:line="500" w:lineRule="exact"/>
        <w:jc w:val="center"/>
        <w:rPr>
          <w:rFonts w:ascii="宋体" w:eastAsia="宋体" w:hAnsi="Calibri" w:cs="Times New Roman"/>
          <w:b/>
          <w:kern w:val="0"/>
          <w:sz w:val="24"/>
        </w:rPr>
      </w:pPr>
      <w:r w:rsidRPr="00375FAF">
        <w:rPr>
          <w:rFonts w:ascii="宋体" w:eastAsia="宋体" w:hAnsi="Calibri" w:cs="Times New Roman" w:hint="eastAsia"/>
          <w:b/>
          <w:kern w:val="0"/>
          <w:sz w:val="24"/>
        </w:rPr>
        <w:t>期末考试</w:t>
      </w:r>
    </w:p>
    <w:p w14:paraId="69A635BD" w14:textId="77777777" w:rsidR="00375FAF" w:rsidRPr="00375FAF" w:rsidRDefault="00375FAF" w:rsidP="00375FAF">
      <w:pPr>
        <w:adjustRightInd w:val="0"/>
        <w:snapToGrid w:val="0"/>
        <w:spacing w:line="500" w:lineRule="exact"/>
        <w:rPr>
          <w:rFonts w:ascii="宋体" w:eastAsia="宋体" w:hAnsi="Calibri" w:cs="Times New Roman"/>
          <w:bCs/>
          <w:kern w:val="0"/>
          <w:sz w:val="24"/>
        </w:rPr>
      </w:pPr>
      <w:r w:rsidRPr="00375FAF">
        <w:rPr>
          <w:rFonts w:ascii="宋体" w:eastAsia="宋体" w:hAnsi="Calibri" w:cs="Times New Roman" w:hint="eastAsia"/>
          <w:b/>
          <w:kern w:val="0"/>
          <w:sz w:val="24"/>
        </w:rPr>
        <w:t>1.课程考核目标:</w:t>
      </w:r>
      <w:r w:rsidRPr="00375FAF">
        <w:rPr>
          <w:rFonts w:ascii="宋体" w:eastAsia="宋体" w:hAnsi="Calibri" w:cs="Times New Roman" w:hint="eastAsia"/>
          <w:bCs/>
          <w:kern w:val="0"/>
          <w:sz w:val="24"/>
        </w:rPr>
        <w:t>通过考核检验网球</w:t>
      </w:r>
      <w:proofErr w:type="gramStart"/>
      <w:r w:rsidRPr="00375FAF">
        <w:rPr>
          <w:rFonts w:ascii="宋体" w:eastAsia="宋体" w:hAnsi="Calibri" w:cs="Times New Roman" w:hint="eastAsia"/>
          <w:bCs/>
          <w:kern w:val="0"/>
          <w:sz w:val="24"/>
        </w:rPr>
        <w:t>球</w:t>
      </w:r>
      <w:proofErr w:type="gramEnd"/>
      <w:r w:rsidRPr="00375FAF">
        <w:rPr>
          <w:rFonts w:ascii="宋体" w:eastAsia="宋体" w:hAnsi="Calibri" w:cs="Times New Roman" w:hint="eastAsia"/>
          <w:bCs/>
          <w:kern w:val="0"/>
          <w:sz w:val="24"/>
        </w:rPr>
        <w:t>技术教学效果和学生掌握情况，让学生了解选项课内容和科学体育锻炼方式方法。</w:t>
      </w:r>
    </w:p>
    <w:p w14:paraId="286874D8" w14:textId="77777777" w:rsidR="00375FAF" w:rsidRPr="00375FAF" w:rsidRDefault="00375FAF" w:rsidP="00375F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sz w:val="24"/>
        </w:rPr>
      </w:pPr>
      <w:r w:rsidRPr="00375FAF">
        <w:rPr>
          <w:rFonts w:ascii="宋体" w:eastAsia="宋体" w:hAnsi="Calibri" w:cs="Times New Roman" w:hint="eastAsia"/>
          <w:b/>
          <w:kern w:val="0"/>
          <w:sz w:val="24"/>
        </w:rPr>
        <w:t>2.课程考核的内容：</w:t>
      </w:r>
      <w:r w:rsidRPr="00375FAF">
        <w:rPr>
          <w:rFonts w:ascii="Calibri" w:eastAsia="宋体" w:hAnsi="Calibri" w:cs="Times New Roman" w:hint="eastAsia"/>
          <w:color w:val="000000"/>
          <w:sz w:val="24"/>
        </w:rPr>
        <w:t>正手挥拍击球</w:t>
      </w:r>
    </w:p>
    <w:p w14:paraId="4A574C7F" w14:textId="77777777" w:rsidR="00375FAF" w:rsidRPr="00375FAF" w:rsidRDefault="00375FAF" w:rsidP="00375FAF">
      <w:pPr>
        <w:adjustRightInd w:val="0"/>
        <w:snapToGrid w:val="0"/>
        <w:spacing w:line="500" w:lineRule="exact"/>
        <w:jc w:val="left"/>
        <w:rPr>
          <w:rFonts w:ascii="宋体" w:eastAsia="宋体" w:hAnsi="Calibri" w:cs="Times New Roman"/>
          <w:color w:val="000000"/>
          <w:sz w:val="24"/>
        </w:rPr>
      </w:pPr>
      <w:r w:rsidRPr="00375FAF">
        <w:rPr>
          <w:rFonts w:ascii="宋体" w:eastAsia="宋体" w:hAnsi="Calibri" w:cs="Times New Roman" w:hint="eastAsia"/>
          <w:b/>
          <w:kern w:val="0"/>
          <w:sz w:val="24"/>
        </w:rPr>
        <w:t>3.课程考核方式：</w:t>
      </w:r>
      <w:r w:rsidRPr="00375FAF">
        <w:rPr>
          <w:rFonts w:ascii="宋体" w:eastAsia="宋体" w:hAnsi="Calibri" w:cs="Times New Roman" w:hint="eastAsia"/>
          <w:color w:val="000000"/>
          <w:sz w:val="24"/>
        </w:rPr>
        <w:t>由教师隔网向学生喂球，学生正手击球10个（占40%）</w:t>
      </w:r>
    </w:p>
    <w:p w14:paraId="121E8FA9" w14:textId="77777777" w:rsidR="00375FAF" w:rsidRPr="00375FAF" w:rsidRDefault="00375FAF" w:rsidP="00375FAF">
      <w:pPr>
        <w:adjustRightInd w:val="0"/>
        <w:snapToGrid w:val="0"/>
        <w:spacing w:line="500" w:lineRule="exact"/>
        <w:jc w:val="left"/>
        <w:rPr>
          <w:rFonts w:ascii="宋体" w:eastAsia="宋体" w:hAnsi="Calibri" w:cs="Times New Roman"/>
          <w:bCs/>
          <w:kern w:val="0"/>
          <w:sz w:val="24"/>
        </w:rPr>
      </w:pPr>
      <w:r w:rsidRPr="00375FAF">
        <w:rPr>
          <w:rFonts w:ascii="宋体" w:eastAsia="宋体" w:hAnsi="Calibri" w:cs="Times New Roman" w:hint="eastAsia"/>
          <w:b/>
          <w:kern w:val="0"/>
          <w:sz w:val="24"/>
        </w:rPr>
        <w:t>4.成绩构成及分值：</w:t>
      </w:r>
      <w:r w:rsidRPr="00375FAF">
        <w:rPr>
          <w:rFonts w:ascii="宋体" w:eastAsia="宋体" w:hAnsi="Calibri" w:cs="Times New Roman" w:hint="eastAsia"/>
          <w:bCs/>
          <w:kern w:val="0"/>
          <w:sz w:val="24"/>
        </w:rPr>
        <w:t>数量及技术评定分值各为100分，各占总分值的20%，</w:t>
      </w:r>
    </w:p>
    <w:p w14:paraId="397A12F9" w14:textId="77777777" w:rsidR="00375FAF" w:rsidRPr="00375FAF" w:rsidRDefault="00375FAF" w:rsidP="00375FAF">
      <w:pPr>
        <w:adjustRightInd w:val="0"/>
        <w:snapToGrid w:val="0"/>
        <w:spacing w:line="500" w:lineRule="exact"/>
        <w:jc w:val="left"/>
        <w:rPr>
          <w:rFonts w:ascii="宋体" w:eastAsia="宋体" w:hAnsi="Calibri" w:cs="Times New Roman"/>
          <w:bCs/>
          <w:kern w:val="0"/>
          <w:sz w:val="24"/>
        </w:rPr>
      </w:pPr>
      <w:r w:rsidRPr="00375FAF">
        <w:rPr>
          <w:rFonts w:ascii="宋体" w:eastAsia="宋体" w:hAnsi="Calibri" w:cs="Times New Roman" w:hint="eastAsia"/>
          <w:bCs/>
          <w:kern w:val="0"/>
          <w:sz w:val="24"/>
        </w:rPr>
        <w:t>总分值为100分。</w:t>
      </w:r>
    </w:p>
    <w:p w14:paraId="1B36A65D" w14:textId="77777777" w:rsidR="00375FAF" w:rsidRPr="00375FAF" w:rsidRDefault="00375FAF" w:rsidP="00375FAF">
      <w:pPr>
        <w:adjustRightInd w:val="0"/>
        <w:snapToGrid w:val="0"/>
        <w:spacing w:line="500" w:lineRule="exact"/>
        <w:jc w:val="left"/>
        <w:rPr>
          <w:rFonts w:ascii="宋体" w:eastAsia="宋体" w:hAnsi="Calibri" w:cs="Times New Roman"/>
          <w:b/>
          <w:color w:val="000000"/>
          <w:sz w:val="24"/>
        </w:rPr>
      </w:pPr>
      <w:r w:rsidRPr="00375FAF">
        <w:rPr>
          <w:rFonts w:ascii="宋体" w:eastAsia="宋体" w:hAnsi="Calibri" w:cs="Times New Roman" w:hint="eastAsia"/>
          <w:b/>
          <w:kern w:val="0"/>
          <w:sz w:val="24"/>
        </w:rPr>
        <w:t>5.评分记分原则：</w:t>
      </w:r>
    </w:p>
    <w:p w14:paraId="1A98F157" w14:textId="77777777" w:rsidR="00375FAF" w:rsidRPr="00375FAF" w:rsidRDefault="00375FAF" w:rsidP="00375F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宋体" w:eastAsia="宋体" w:hAnsi="Calibri" w:cs="Times New Roman"/>
          <w:bCs/>
          <w:color w:val="000000"/>
          <w:sz w:val="24"/>
        </w:rPr>
      </w:pPr>
    </w:p>
    <w:tbl>
      <w:tblPr>
        <w:tblW w:w="0" w:type="auto"/>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5"/>
        <w:gridCol w:w="780"/>
        <w:gridCol w:w="840"/>
        <w:gridCol w:w="825"/>
        <w:gridCol w:w="795"/>
        <w:gridCol w:w="750"/>
        <w:gridCol w:w="705"/>
        <w:gridCol w:w="720"/>
        <w:gridCol w:w="675"/>
        <w:gridCol w:w="720"/>
        <w:gridCol w:w="780"/>
      </w:tblGrid>
      <w:tr w:rsidR="00375FAF" w:rsidRPr="00375FAF" w14:paraId="333E753E" w14:textId="77777777" w:rsidTr="00375FAF">
        <w:trPr>
          <w:trHeight w:val="765"/>
        </w:trPr>
        <w:tc>
          <w:tcPr>
            <w:tcW w:w="1605" w:type="dxa"/>
            <w:tcBorders>
              <w:top w:val="single" w:sz="4" w:space="0" w:color="auto"/>
              <w:left w:val="single" w:sz="4" w:space="0" w:color="auto"/>
              <w:bottom w:val="single" w:sz="4" w:space="0" w:color="auto"/>
              <w:right w:val="single" w:sz="4" w:space="0" w:color="auto"/>
            </w:tcBorders>
          </w:tcPr>
          <w:p w14:paraId="786F48E1" w14:textId="77777777" w:rsidR="00375FAF" w:rsidRPr="00375FAF" w:rsidRDefault="00375FAF" w:rsidP="00375FAF">
            <w:pPr>
              <w:jc w:val="center"/>
              <w:rPr>
                <w:rFonts w:ascii="宋体" w:eastAsia="宋体" w:hAnsi="Calibri" w:cs="Times New Roman"/>
                <w:color w:val="000000"/>
              </w:rPr>
            </w:pPr>
            <w:r w:rsidRPr="00375FAF">
              <w:rPr>
                <w:rFonts w:ascii="Calibri" w:eastAsia="宋体" w:hAnsi="Calibri" w:cs="Times New Roman"/>
                <w:noProof/>
              </w:rPr>
              <mc:AlternateContent>
                <mc:Choice Requires="wpg">
                  <w:drawing>
                    <wp:anchor distT="0" distB="0" distL="114300" distR="114300" simplePos="0" relativeHeight="251675648" behindDoc="0" locked="0" layoutInCell="1" allowOverlap="1" wp14:anchorId="70E61CCB" wp14:editId="46EB7AA7">
                      <wp:simplePos x="0" y="0"/>
                      <wp:positionH relativeFrom="column">
                        <wp:posOffset>-63500</wp:posOffset>
                      </wp:positionH>
                      <wp:positionV relativeFrom="paragraph">
                        <wp:posOffset>635</wp:posOffset>
                      </wp:positionV>
                      <wp:extent cx="871855" cy="427990"/>
                      <wp:effectExtent l="1905" t="4445" r="2540" b="5715"/>
                      <wp:wrapNone/>
                      <wp:docPr id="25" name="组合 25"/>
                      <wp:cNvGraphicFramePr/>
                      <a:graphic xmlns:a="http://schemas.openxmlformats.org/drawingml/2006/main">
                        <a:graphicData uri="http://schemas.microsoft.com/office/word/2010/wordprocessingGroup">
                          <wpg:wgp>
                            <wpg:cNvGrpSpPr/>
                            <wpg:grpSpPr>
                              <a:xfrm>
                                <a:off x="0" y="0"/>
                                <a:ext cx="871855" cy="427990"/>
                                <a:chOff x="0" y="0"/>
                                <a:chExt cx="1898" cy="755"/>
                              </a:xfrm>
                              <a:effectLst/>
                            </wpg:grpSpPr>
                            <wps:wsp>
                              <wps:cNvPr id="26" name="__TH_L35"/>
                              <wps:cNvCnPr/>
                              <wps:spPr>
                                <a:xfrm>
                                  <a:off x="0" y="0"/>
                                  <a:ext cx="1898" cy="755"/>
                                </a:xfrm>
                                <a:prstGeom prst="line">
                                  <a:avLst/>
                                </a:prstGeom>
                                <a:ln w="6350" cap="flat" cmpd="sng">
                                  <a:solidFill>
                                    <a:srgbClr val="000000"/>
                                  </a:solidFill>
                                  <a:prstDash val="solid"/>
                                  <a:headEnd type="none" w="med" len="med"/>
                                  <a:tailEnd type="none" w="med" len="med"/>
                                </a:ln>
                                <a:effectLst/>
                              </wps:spPr>
                              <wps:bodyPr/>
                            </wps:wsp>
                            <wps:wsp>
                              <wps:cNvPr id="27" name="__TH_B1136"/>
                              <wps:cNvSpPr txBox="1"/>
                              <wps:spPr>
                                <a:xfrm>
                                  <a:off x="982" y="52"/>
                                  <a:ext cx="300" cy="300"/>
                                </a:xfrm>
                                <a:prstGeom prst="rect">
                                  <a:avLst/>
                                </a:prstGeom>
                                <a:noFill/>
                                <a:ln w="9525">
                                  <a:noFill/>
                                </a:ln>
                                <a:effectLst/>
                              </wps:spPr>
                              <wps:txbx>
                                <w:txbxContent>
                                  <w:p w14:paraId="71F9F02D" w14:textId="77777777" w:rsidR="00095B84" w:rsidRDefault="00095B84" w:rsidP="00375FAF">
                                    <w:pPr>
                                      <w:snapToGrid w:val="0"/>
                                      <w:rPr>
                                        <w:sz w:val="24"/>
                                      </w:rPr>
                                    </w:pPr>
                                    <w:r>
                                      <w:rPr>
                                        <w:rFonts w:hint="eastAsia"/>
                                        <w:sz w:val="24"/>
                                      </w:rPr>
                                      <w:t>得</w:t>
                                    </w:r>
                                  </w:p>
                                </w:txbxContent>
                              </wps:txbx>
                              <wps:bodyPr lIns="0" tIns="0" rIns="0" bIns="0" upright="1"/>
                            </wps:wsp>
                            <wps:wsp>
                              <wps:cNvPr id="28" name="__TH_B1237"/>
                              <wps:cNvSpPr txBox="1"/>
                              <wps:spPr>
                                <a:xfrm>
                                  <a:off x="1393" y="215"/>
                                  <a:ext cx="300" cy="300"/>
                                </a:xfrm>
                                <a:prstGeom prst="rect">
                                  <a:avLst/>
                                </a:prstGeom>
                                <a:noFill/>
                                <a:ln w="9525">
                                  <a:noFill/>
                                </a:ln>
                                <a:effectLst/>
                              </wps:spPr>
                              <wps:txbx>
                                <w:txbxContent>
                                  <w:p w14:paraId="737962C2" w14:textId="77777777" w:rsidR="00095B84" w:rsidRDefault="00095B84" w:rsidP="00375FAF">
                                    <w:pPr>
                                      <w:snapToGrid w:val="0"/>
                                      <w:rPr>
                                        <w:sz w:val="24"/>
                                      </w:rPr>
                                    </w:pPr>
                                    <w:r>
                                      <w:rPr>
                                        <w:rFonts w:hint="eastAsia"/>
                                        <w:sz w:val="24"/>
                                      </w:rPr>
                                      <w:t>分</w:t>
                                    </w:r>
                                  </w:p>
                                </w:txbxContent>
                              </wps:txbx>
                              <wps:bodyPr lIns="0" tIns="0" rIns="0" bIns="0" upright="1"/>
                            </wps:wsp>
                            <wps:wsp>
                              <wps:cNvPr id="29" name="__TH_B2138"/>
                              <wps:cNvSpPr txBox="1"/>
                              <wps:spPr>
                                <a:xfrm>
                                  <a:off x="175" y="276"/>
                                  <a:ext cx="300" cy="300"/>
                                </a:xfrm>
                                <a:prstGeom prst="rect">
                                  <a:avLst/>
                                </a:prstGeom>
                                <a:noFill/>
                                <a:ln w="9525">
                                  <a:noFill/>
                                </a:ln>
                                <a:effectLst/>
                              </wps:spPr>
                              <wps:txbx>
                                <w:txbxContent>
                                  <w:p w14:paraId="1DD78021" w14:textId="77777777" w:rsidR="00095B84" w:rsidRDefault="00095B84" w:rsidP="00375FAF">
                                    <w:pPr>
                                      <w:snapToGrid w:val="0"/>
                                      <w:rPr>
                                        <w:sz w:val="24"/>
                                      </w:rPr>
                                    </w:pPr>
                                    <w:r>
                                      <w:rPr>
                                        <w:rFonts w:hint="eastAsia"/>
                                        <w:sz w:val="24"/>
                                      </w:rPr>
                                      <w:t>项</w:t>
                                    </w:r>
                                  </w:p>
                                </w:txbxContent>
                              </wps:txbx>
                              <wps:bodyPr lIns="0" tIns="0" rIns="0" bIns="0" upright="1"/>
                            </wps:wsp>
                            <wps:wsp>
                              <wps:cNvPr id="30" name="__TH_B2239"/>
                              <wps:cNvSpPr txBox="1"/>
                              <wps:spPr>
                                <a:xfrm>
                                  <a:off x="525" y="415"/>
                                  <a:ext cx="300" cy="300"/>
                                </a:xfrm>
                                <a:prstGeom prst="rect">
                                  <a:avLst/>
                                </a:prstGeom>
                                <a:noFill/>
                                <a:ln w="9525">
                                  <a:noFill/>
                                </a:ln>
                                <a:effectLst/>
                              </wps:spPr>
                              <wps:txbx>
                                <w:txbxContent>
                                  <w:p w14:paraId="1A2B9034" w14:textId="77777777" w:rsidR="00095B84" w:rsidRDefault="00095B84" w:rsidP="00375FAF">
                                    <w:pPr>
                                      <w:snapToGrid w:val="0"/>
                                      <w:rPr>
                                        <w:sz w:val="24"/>
                                      </w:rPr>
                                    </w:pPr>
                                    <w:r>
                                      <w:rPr>
                                        <w:rFonts w:hint="eastAsia"/>
                                        <w:sz w:val="24"/>
                                      </w:rPr>
                                      <w:t>目</w:t>
                                    </w:r>
                                  </w:p>
                                </w:txbxContent>
                              </wps:txbx>
                              <wps:bodyPr lIns="0" tIns="0" rIns="0" bIns="0" upright="1"/>
                            </wps:wsp>
                          </wpg:wgp>
                        </a:graphicData>
                      </a:graphic>
                    </wp:anchor>
                  </w:drawing>
                </mc:Choice>
                <mc:Fallback>
                  <w:pict>
                    <v:group w14:anchorId="70E61CCB" id="组合 25" o:spid="_x0000_s1032" style="position:absolute;left:0;text-align:left;margin-left:-5pt;margin-top:.05pt;width:68.65pt;height:33.7pt;z-index:251675648" coordsize="1898,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">
                      <v:line id="__TH_L35" o:spid="_x0000_s1033" style="position:absolute;visibility:visible;mso-wrap-style:square" from="0,0" to="1898,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" strokeweight=".5pt"/>
                      <v:shape id="__TH_B1136" o:spid="_x0000_s1034" type="#_x0000_t202" style="position:absolute;left:982;top:52;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" filled="f" stroked="f">
                        <v:textbox inset="0,0,0,0">
                          <w:txbxContent>
                            <w:p w14:paraId="71F9F02D" w14:textId="77777777" w:rsidR="00095B84" w:rsidRDefault="00095B84" w:rsidP="00375FAF">
                              <w:pPr>
                                <w:snapToGrid w:val="0"/>
                                <w:rPr>
                                  <w:sz w:val="24"/>
                                </w:rPr>
                              </w:pPr>
                              <w:r>
                                <w:rPr>
                                  <w:rFonts w:hint="eastAsia"/>
                                  <w:sz w:val="24"/>
                                </w:rPr>
                                <w:t>得</w:t>
                              </w:r>
                            </w:p>
                          </w:txbxContent>
                        </v:textbox>
                      </v:shape>
                      <v:shape id="__TH_B1237" o:spid="_x0000_s1035" type="#_x0000_t202" style="position:absolute;left:1393;top:2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" filled="f" stroked="f">
                        <v:textbox inset="0,0,0,0">
                          <w:txbxContent>
                            <w:p w14:paraId="737962C2" w14:textId="77777777" w:rsidR="00095B84" w:rsidRDefault="00095B84" w:rsidP="00375FAF">
                              <w:pPr>
                                <w:snapToGrid w:val="0"/>
                                <w:rPr>
                                  <w:sz w:val="24"/>
                                </w:rPr>
                              </w:pPr>
                              <w:r>
                                <w:rPr>
                                  <w:rFonts w:hint="eastAsia"/>
                                  <w:sz w:val="24"/>
                                </w:rPr>
                                <w:t>分</w:t>
                              </w:r>
                            </w:p>
                          </w:txbxContent>
                        </v:textbox>
                      </v:shape>
                      <v:shape id="__TH_B2138" o:spid="_x0000_s1036" type="#_x0000_t202" style="position:absolute;left:175;top:276;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" filled="f" stroked="f">
                        <v:textbox inset="0,0,0,0">
                          <w:txbxContent>
                            <w:p w14:paraId="1DD78021" w14:textId="77777777" w:rsidR="00095B84" w:rsidRDefault="00095B84" w:rsidP="00375FAF">
                              <w:pPr>
                                <w:snapToGrid w:val="0"/>
                                <w:rPr>
                                  <w:sz w:val="24"/>
                                </w:rPr>
                              </w:pPr>
                              <w:r>
                                <w:rPr>
                                  <w:rFonts w:hint="eastAsia"/>
                                  <w:sz w:val="24"/>
                                </w:rPr>
                                <w:t>项</w:t>
                              </w:r>
                            </w:p>
                          </w:txbxContent>
                        </v:textbox>
                      </v:shape>
                      <v:shape id="__TH_B2239" o:spid="_x0000_s1037" type="#_x0000_t202" style="position:absolute;left:525;top:4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P7XwAAAANsAAAAPAAAAZHJzL2Rvd25yZXYueG1sRE9Ni8Iw&#10;EL0v+B/CCN7W1B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Xoz+18AAAADbAAAADwAAAAAA&#10;AAAAAAAAAAAHAgAAZHJzL2Rvd25yZXYueG1sUEsFBgAAAAADAAMAtwAAAPQCAAAAAA==&#10;" filled="f" stroked="f">
                        <v:textbox inset="0,0,0,0">
                          <w:txbxContent>
                            <w:p w14:paraId="1A2B9034" w14:textId="77777777" w:rsidR="00095B84" w:rsidRDefault="00095B84" w:rsidP="00375FAF">
                              <w:pPr>
                                <w:snapToGrid w:val="0"/>
                                <w:rPr>
                                  <w:sz w:val="24"/>
                                </w:rPr>
                              </w:pPr>
                              <w:r>
                                <w:rPr>
                                  <w:rFonts w:hint="eastAsia"/>
                                  <w:sz w:val="24"/>
                                </w:rPr>
                                <w:t>目</w:t>
                              </w:r>
                            </w:p>
                          </w:txbxContent>
                        </v:textbox>
                      </v:shape>
                    </v:group>
                  </w:pict>
                </mc:Fallback>
              </mc:AlternateContent>
            </w:r>
          </w:p>
        </w:tc>
        <w:tc>
          <w:tcPr>
            <w:tcW w:w="780" w:type="dxa"/>
            <w:tcBorders>
              <w:top w:val="single" w:sz="4" w:space="0" w:color="auto"/>
              <w:left w:val="single" w:sz="4" w:space="0" w:color="auto"/>
              <w:bottom w:val="single" w:sz="4" w:space="0" w:color="auto"/>
              <w:right w:val="single" w:sz="4" w:space="0" w:color="auto"/>
            </w:tcBorders>
          </w:tcPr>
          <w:p w14:paraId="604BDB5E" w14:textId="77777777" w:rsidR="00375FAF" w:rsidRPr="00375FAF" w:rsidRDefault="00375FAF" w:rsidP="00375FAF">
            <w:pPr>
              <w:jc w:val="center"/>
              <w:rPr>
                <w:rFonts w:ascii="宋体" w:eastAsia="宋体" w:hAnsi="Calibri" w:cs="Times New Roman"/>
                <w:color w:val="000000"/>
              </w:rPr>
            </w:pPr>
          </w:p>
          <w:p w14:paraId="592B9A43"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100</w:t>
            </w:r>
          </w:p>
        </w:tc>
        <w:tc>
          <w:tcPr>
            <w:tcW w:w="840" w:type="dxa"/>
            <w:tcBorders>
              <w:top w:val="single" w:sz="4" w:space="0" w:color="auto"/>
              <w:left w:val="single" w:sz="4" w:space="0" w:color="auto"/>
              <w:bottom w:val="single" w:sz="4" w:space="0" w:color="auto"/>
              <w:right w:val="single" w:sz="4" w:space="0" w:color="auto"/>
            </w:tcBorders>
          </w:tcPr>
          <w:p w14:paraId="78C9D281" w14:textId="77777777" w:rsidR="00375FAF" w:rsidRPr="00375FAF" w:rsidRDefault="00375FAF" w:rsidP="00375FAF">
            <w:pPr>
              <w:jc w:val="center"/>
              <w:rPr>
                <w:rFonts w:ascii="宋体" w:eastAsia="宋体" w:hAnsi="Calibri" w:cs="Times New Roman"/>
                <w:color w:val="000000"/>
              </w:rPr>
            </w:pPr>
          </w:p>
          <w:p w14:paraId="719D9AB8"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90</w:t>
            </w:r>
          </w:p>
        </w:tc>
        <w:tc>
          <w:tcPr>
            <w:tcW w:w="825" w:type="dxa"/>
            <w:tcBorders>
              <w:top w:val="single" w:sz="4" w:space="0" w:color="auto"/>
              <w:left w:val="single" w:sz="4" w:space="0" w:color="auto"/>
              <w:bottom w:val="single" w:sz="4" w:space="0" w:color="auto"/>
              <w:right w:val="single" w:sz="4" w:space="0" w:color="auto"/>
            </w:tcBorders>
          </w:tcPr>
          <w:p w14:paraId="4645686C" w14:textId="77777777" w:rsidR="00375FAF" w:rsidRPr="00375FAF" w:rsidRDefault="00375FAF" w:rsidP="00375FAF">
            <w:pPr>
              <w:jc w:val="center"/>
              <w:rPr>
                <w:rFonts w:ascii="宋体" w:eastAsia="宋体" w:hAnsi="Calibri" w:cs="Times New Roman"/>
                <w:color w:val="000000"/>
              </w:rPr>
            </w:pPr>
          </w:p>
          <w:p w14:paraId="6FC3E082"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80</w:t>
            </w:r>
          </w:p>
        </w:tc>
        <w:tc>
          <w:tcPr>
            <w:tcW w:w="795" w:type="dxa"/>
            <w:tcBorders>
              <w:top w:val="single" w:sz="4" w:space="0" w:color="auto"/>
              <w:left w:val="single" w:sz="4" w:space="0" w:color="auto"/>
              <w:bottom w:val="single" w:sz="4" w:space="0" w:color="auto"/>
              <w:right w:val="single" w:sz="4" w:space="0" w:color="auto"/>
            </w:tcBorders>
          </w:tcPr>
          <w:p w14:paraId="4888BCEF" w14:textId="77777777" w:rsidR="00375FAF" w:rsidRPr="00375FAF" w:rsidRDefault="00375FAF" w:rsidP="00375FAF">
            <w:pPr>
              <w:jc w:val="center"/>
              <w:rPr>
                <w:rFonts w:ascii="宋体" w:eastAsia="宋体" w:hAnsi="Calibri" w:cs="Times New Roman"/>
                <w:color w:val="000000"/>
              </w:rPr>
            </w:pPr>
          </w:p>
          <w:p w14:paraId="40C4F145"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70</w:t>
            </w:r>
          </w:p>
        </w:tc>
        <w:tc>
          <w:tcPr>
            <w:tcW w:w="750" w:type="dxa"/>
            <w:tcBorders>
              <w:top w:val="single" w:sz="4" w:space="0" w:color="auto"/>
              <w:left w:val="single" w:sz="4" w:space="0" w:color="auto"/>
              <w:bottom w:val="single" w:sz="4" w:space="0" w:color="auto"/>
              <w:right w:val="single" w:sz="4" w:space="0" w:color="auto"/>
            </w:tcBorders>
          </w:tcPr>
          <w:p w14:paraId="5E68B2BD" w14:textId="77777777" w:rsidR="00375FAF" w:rsidRPr="00375FAF" w:rsidRDefault="00375FAF" w:rsidP="00375FAF">
            <w:pPr>
              <w:jc w:val="center"/>
              <w:rPr>
                <w:rFonts w:ascii="宋体" w:eastAsia="宋体" w:hAnsi="Calibri" w:cs="Times New Roman"/>
                <w:color w:val="000000"/>
              </w:rPr>
            </w:pPr>
          </w:p>
          <w:p w14:paraId="719DF238"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60</w:t>
            </w:r>
          </w:p>
        </w:tc>
        <w:tc>
          <w:tcPr>
            <w:tcW w:w="705" w:type="dxa"/>
            <w:tcBorders>
              <w:top w:val="single" w:sz="4" w:space="0" w:color="auto"/>
              <w:left w:val="single" w:sz="4" w:space="0" w:color="auto"/>
              <w:bottom w:val="single" w:sz="4" w:space="0" w:color="auto"/>
              <w:right w:val="single" w:sz="4" w:space="0" w:color="auto"/>
            </w:tcBorders>
          </w:tcPr>
          <w:p w14:paraId="53624E52" w14:textId="77777777" w:rsidR="00375FAF" w:rsidRPr="00375FAF" w:rsidRDefault="00375FAF" w:rsidP="00375FAF">
            <w:pPr>
              <w:jc w:val="center"/>
              <w:rPr>
                <w:rFonts w:ascii="宋体" w:eastAsia="宋体" w:hAnsi="Calibri" w:cs="Times New Roman"/>
                <w:color w:val="000000"/>
              </w:rPr>
            </w:pPr>
          </w:p>
          <w:p w14:paraId="7D6382EA"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50</w:t>
            </w:r>
          </w:p>
        </w:tc>
        <w:tc>
          <w:tcPr>
            <w:tcW w:w="720" w:type="dxa"/>
            <w:tcBorders>
              <w:top w:val="single" w:sz="4" w:space="0" w:color="auto"/>
              <w:left w:val="single" w:sz="4" w:space="0" w:color="auto"/>
              <w:bottom w:val="single" w:sz="4" w:space="0" w:color="auto"/>
              <w:right w:val="single" w:sz="4" w:space="0" w:color="auto"/>
            </w:tcBorders>
          </w:tcPr>
          <w:p w14:paraId="6DA2571F" w14:textId="77777777" w:rsidR="00375FAF" w:rsidRPr="00375FAF" w:rsidRDefault="00375FAF" w:rsidP="00375FAF">
            <w:pPr>
              <w:jc w:val="center"/>
              <w:rPr>
                <w:rFonts w:ascii="宋体" w:eastAsia="宋体" w:hAnsi="Calibri" w:cs="Times New Roman"/>
                <w:color w:val="000000"/>
              </w:rPr>
            </w:pPr>
          </w:p>
          <w:p w14:paraId="07F533E1"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40</w:t>
            </w:r>
          </w:p>
        </w:tc>
        <w:tc>
          <w:tcPr>
            <w:tcW w:w="675" w:type="dxa"/>
            <w:tcBorders>
              <w:top w:val="single" w:sz="4" w:space="0" w:color="auto"/>
              <w:left w:val="single" w:sz="4" w:space="0" w:color="auto"/>
              <w:bottom w:val="single" w:sz="4" w:space="0" w:color="auto"/>
              <w:right w:val="single" w:sz="4" w:space="0" w:color="auto"/>
            </w:tcBorders>
          </w:tcPr>
          <w:p w14:paraId="64D3FCB4" w14:textId="77777777" w:rsidR="00375FAF" w:rsidRPr="00375FAF" w:rsidRDefault="00375FAF" w:rsidP="00375FAF">
            <w:pPr>
              <w:jc w:val="center"/>
              <w:rPr>
                <w:rFonts w:ascii="宋体" w:eastAsia="宋体" w:hAnsi="Calibri" w:cs="Times New Roman"/>
                <w:color w:val="000000"/>
              </w:rPr>
            </w:pPr>
          </w:p>
          <w:p w14:paraId="3392678C"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30</w:t>
            </w:r>
          </w:p>
        </w:tc>
        <w:tc>
          <w:tcPr>
            <w:tcW w:w="720" w:type="dxa"/>
            <w:tcBorders>
              <w:top w:val="single" w:sz="4" w:space="0" w:color="auto"/>
              <w:left w:val="single" w:sz="4" w:space="0" w:color="auto"/>
              <w:bottom w:val="single" w:sz="4" w:space="0" w:color="auto"/>
              <w:right w:val="single" w:sz="4" w:space="0" w:color="auto"/>
            </w:tcBorders>
          </w:tcPr>
          <w:p w14:paraId="129B3DC1" w14:textId="77777777" w:rsidR="00375FAF" w:rsidRPr="00375FAF" w:rsidRDefault="00375FAF" w:rsidP="00375FAF">
            <w:pPr>
              <w:jc w:val="center"/>
              <w:rPr>
                <w:rFonts w:ascii="宋体" w:eastAsia="宋体" w:hAnsi="Calibri" w:cs="Times New Roman"/>
                <w:color w:val="000000"/>
              </w:rPr>
            </w:pPr>
          </w:p>
          <w:p w14:paraId="689CCB0F" w14:textId="77777777" w:rsidR="00375FAF" w:rsidRPr="00375FAF" w:rsidRDefault="00375FAF" w:rsidP="00375FAF">
            <w:pPr>
              <w:jc w:val="center"/>
              <w:rPr>
                <w:rFonts w:ascii="Calibri" w:eastAsia="宋体" w:hAnsi="Calibri" w:cs="Times New Roman"/>
              </w:rPr>
            </w:pPr>
            <w:r w:rsidRPr="00375FAF">
              <w:rPr>
                <w:rFonts w:ascii="宋体" w:eastAsia="宋体" w:hAnsi="Calibri" w:cs="Times New Roman" w:hint="eastAsia"/>
                <w:color w:val="000000"/>
              </w:rPr>
              <w:t>20</w:t>
            </w:r>
          </w:p>
        </w:tc>
        <w:tc>
          <w:tcPr>
            <w:tcW w:w="780" w:type="dxa"/>
            <w:tcBorders>
              <w:top w:val="single" w:sz="4" w:space="0" w:color="auto"/>
              <w:left w:val="single" w:sz="4" w:space="0" w:color="auto"/>
              <w:bottom w:val="single" w:sz="4" w:space="0" w:color="auto"/>
              <w:right w:val="single" w:sz="4" w:space="0" w:color="auto"/>
            </w:tcBorders>
          </w:tcPr>
          <w:p w14:paraId="6226F642" w14:textId="77777777" w:rsidR="00375FAF" w:rsidRPr="00375FAF" w:rsidRDefault="00375FAF" w:rsidP="00375FAF">
            <w:pPr>
              <w:jc w:val="center"/>
              <w:rPr>
                <w:rFonts w:ascii="宋体" w:eastAsia="宋体" w:hAnsi="Calibri" w:cs="Times New Roman"/>
                <w:color w:val="000000"/>
              </w:rPr>
            </w:pPr>
          </w:p>
          <w:p w14:paraId="0BC22CD4"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10</w:t>
            </w:r>
          </w:p>
        </w:tc>
      </w:tr>
      <w:tr w:rsidR="00375FAF" w:rsidRPr="00375FAF" w14:paraId="57262D14" w14:textId="77777777" w:rsidTr="00375FAF">
        <w:trPr>
          <w:trHeight w:val="801"/>
        </w:trPr>
        <w:tc>
          <w:tcPr>
            <w:tcW w:w="1605" w:type="dxa"/>
            <w:tcBorders>
              <w:top w:val="single" w:sz="4" w:space="0" w:color="auto"/>
              <w:left w:val="single" w:sz="4" w:space="0" w:color="auto"/>
              <w:bottom w:val="single" w:sz="4" w:space="0" w:color="auto"/>
              <w:right w:val="single" w:sz="4" w:space="0" w:color="auto"/>
            </w:tcBorders>
          </w:tcPr>
          <w:p w14:paraId="7E249626" w14:textId="77777777" w:rsidR="00375FAF" w:rsidRPr="00375FAF" w:rsidRDefault="00375FAF" w:rsidP="00375FAF">
            <w:pPr>
              <w:jc w:val="center"/>
              <w:rPr>
                <w:rFonts w:ascii="Calibri" w:eastAsia="宋体" w:hAnsi="Calibri" w:cs="Times New Roman"/>
                <w:color w:val="000000"/>
              </w:rPr>
            </w:pPr>
          </w:p>
          <w:p w14:paraId="5CA12CB5" w14:textId="77777777" w:rsidR="00375FAF" w:rsidRPr="00375FAF" w:rsidRDefault="00375FAF" w:rsidP="00375FAF">
            <w:pPr>
              <w:jc w:val="center"/>
              <w:rPr>
                <w:rFonts w:ascii="宋体" w:eastAsia="宋体" w:hAnsi="Calibri" w:cs="Times New Roman"/>
                <w:color w:val="000000"/>
              </w:rPr>
            </w:pPr>
            <w:r w:rsidRPr="00375FAF">
              <w:rPr>
                <w:rFonts w:ascii="Calibri" w:eastAsia="宋体" w:hAnsi="Calibri" w:cs="Times New Roman" w:hint="eastAsia"/>
                <w:color w:val="000000"/>
              </w:rPr>
              <w:t>正手挥拍击球（</w:t>
            </w:r>
            <w:proofErr w:type="gramStart"/>
            <w:r w:rsidRPr="00375FAF">
              <w:rPr>
                <w:rFonts w:ascii="Calibri" w:eastAsia="宋体" w:hAnsi="Calibri" w:cs="Times New Roman" w:hint="eastAsia"/>
                <w:color w:val="000000"/>
              </w:rPr>
              <w:t>个</w:t>
            </w:r>
            <w:proofErr w:type="gramEnd"/>
            <w:r w:rsidRPr="00375FAF">
              <w:rPr>
                <w:rFonts w:ascii="Calibri" w:eastAsia="宋体" w:hAnsi="Calibri" w:cs="Times New Roman" w:hint="eastAsia"/>
                <w:color w:val="000000"/>
              </w:rPr>
              <w:t>）</w:t>
            </w:r>
          </w:p>
        </w:tc>
        <w:tc>
          <w:tcPr>
            <w:tcW w:w="780" w:type="dxa"/>
            <w:tcBorders>
              <w:top w:val="single" w:sz="4" w:space="0" w:color="auto"/>
              <w:left w:val="single" w:sz="4" w:space="0" w:color="auto"/>
              <w:bottom w:val="single" w:sz="4" w:space="0" w:color="auto"/>
              <w:right w:val="single" w:sz="4" w:space="0" w:color="auto"/>
            </w:tcBorders>
          </w:tcPr>
          <w:p w14:paraId="2E3D142A" w14:textId="77777777" w:rsidR="00375FAF" w:rsidRPr="00375FAF" w:rsidRDefault="00375FAF" w:rsidP="00375FAF">
            <w:pPr>
              <w:jc w:val="center"/>
              <w:rPr>
                <w:rFonts w:ascii="宋体" w:eastAsia="宋体" w:hAnsi="Calibri" w:cs="Times New Roman"/>
                <w:color w:val="000000"/>
              </w:rPr>
            </w:pPr>
          </w:p>
          <w:p w14:paraId="783B651F"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10</w:t>
            </w:r>
          </w:p>
        </w:tc>
        <w:tc>
          <w:tcPr>
            <w:tcW w:w="840" w:type="dxa"/>
            <w:tcBorders>
              <w:top w:val="single" w:sz="4" w:space="0" w:color="auto"/>
              <w:left w:val="single" w:sz="4" w:space="0" w:color="auto"/>
              <w:bottom w:val="single" w:sz="4" w:space="0" w:color="auto"/>
              <w:right w:val="single" w:sz="4" w:space="0" w:color="auto"/>
            </w:tcBorders>
          </w:tcPr>
          <w:p w14:paraId="19A35C9C" w14:textId="77777777" w:rsidR="00375FAF" w:rsidRPr="00375FAF" w:rsidRDefault="00375FAF" w:rsidP="00375FAF">
            <w:pPr>
              <w:jc w:val="center"/>
              <w:rPr>
                <w:rFonts w:ascii="宋体" w:eastAsia="宋体" w:hAnsi="Calibri" w:cs="Times New Roman"/>
                <w:color w:val="000000"/>
              </w:rPr>
            </w:pPr>
          </w:p>
          <w:p w14:paraId="2B249A60"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9</w:t>
            </w:r>
          </w:p>
        </w:tc>
        <w:tc>
          <w:tcPr>
            <w:tcW w:w="825" w:type="dxa"/>
            <w:tcBorders>
              <w:top w:val="single" w:sz="4" w:space="0" w:color="auto"/>
              <w:left w:val="single" w:sz="4" w:space="0" w:color="auto"/>
              <w:bottom w:val="single" w:sz="4" w:space="0" w:color="auto"/>
              <w:right w:val="single" w:sz="4" w:space="0" w:color="auto"/>
            </w:tcBorders>
          </w:tcPr>
          <w:p w14:paraId="36431637" w14:textId="77777777" w:rsidR="00375FAF" w:rsidRPr="00375FAF" w:rsidRDefault="00375FAF" w:rsidP="00375FAF">
            <w:pPr>
              <w:jc w:val="center"/>
              <w:rPr>
                <w:rFonts w:ascii="宋体" w:eastAsia="宋体" w:hAnsi="Calibri" w:cs="Times New Roman"/>
                <w:color w:val="000000"/>
              </w:rPr>
            </w:pPr>
          </w:p>
          <w:p w14:paraId="46B7FE71"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8</w:t>
            </w:r>
          </w:p>
        </w:tc>
        <w:tc>
          <w:tcPr>
            <w:tcW w:w="795" w:type="dxa"/>
            <w:tcBorders>
              <w:top w:val="single" w:sz="4" w:space="0" w:color="auto"/>
              <w:left w:val="single" w:sz="4" w:space="0" w:color="auto"/>
              <w:bottom w:val="single" w:sz="4" w:space="0" w:color="auto"/>
              <w:right w:val="single" w:sz="4" w:space="0" w:color="auto"/>
            </w:tcBorders>
          </w:tcPr>
          <w:p w14:paraId="1BA91350" w14:textId="77777777" w:rsidR="00375FAF" w:rsidRPr="00375FAF" w:rsidRDefault="00375FAF" w:rsidP="00375FAF">
            <w:pPr>
              <w:jc w:val="center"/>
              <w:rPr>
                <w:rFonts w:ascii="宋体" w:eastAsia="宋体" w:hAnsi="Calibri" w:cs="Times New Roman"/>
                <w:color w:val="000000"/>
              </w:rPr>
            </w:pPr>
          </w:p>
          <w:p w14:paraId="4056AADF"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7</w:t>
            </w:r>
          </w:p>
        </w:tc>
        <w:tc>
          <w:tcPr>
            <w:tcW w:w="750" w:type="dxa"/>
            <w:tcBorders>
              <w:top w:val="single" w:sz="4" w:space="0" w:color="auto"/>
              <w:left w:val="single" w:sz="4" w:space="0" w:color="auto"/>
              <w:bottom w:val="single" w:sz="4" w:space="0" w:color="auto"/>
              <w:right w:val="single" w:sz="4" w:space="0" w:color="auto"/>
            </w:tcBorders>
          </w:tcPr>
          <w:p w14:paraId="57E5F970" w14:textId="77777777" w:rsidR="00375FAF" w:rsidRPr="00375FAF" w:rsidRDefault="00375FAF" w:rsidP="00375FAF">
            <w:pPr>
              <w:jc w:val="center"/>
              <w:rPr>
                <w:rFonts w:ascii="宋体" w:eastAsia="宋体" w:hAnsi="Calibri" w:cs="Times New Roman"/>
                <w:color w:val="000000"/>
              </w:rPr>
            </w:pPr>
          </w:p>
          <w:p w14:paraId="2C9F2205"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6</w:t>
            </w:r>
          </w:p>
        </w:tc>
        <w:tc>
          <w:tcPr>
            <w:tcW w:w="705" w:type="dxa"/>
            <w:tcBorders>
              <w:top w:val="single" w:sz="4" w:space="0" w:color="auto"/>
              <w:left w:val="single" w:sz="4" w:space="0" w:color="auto"/>
              <w:bottom w:val="single" w:sz="4" w:space="0" w:color="auto"/>
              <w:right w:val="single" w:sz="4" w:space="0" w:color="auto"/>
            </w:tcBorders>
          </w:tcPr>
          <w:p w14:paraId="6FE8D59B" w14:textId="77777777" w:rsidR="00375FAF" w:rsidRPr="00375FAF" w:rsidRDefault="00375FAF" w:rsidP="00375FAF">
            <w:pPr>
              <w:jc w:val="center"/>
              <w:rPr>
                <w:rFonts w:ascii="宋体" w:eastAsia="宋体" w:hAnsi="Calibri" w:cs="Times New Roman"/>
                <w:color w:val="000000"/>
              </w:rPr>
            </w:pPr>
          </w:p>
          <w:p w14:paraId="52579990"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5</w:t>
            </w:r>
          </w:p>
        </w:tc>
        <w:tc>
          <w:tcPr>
            <w:tcW w:w="720" w:type="dxa"/>
            <w:tcBorders>
              <w:top w:val="single" w:sz="4" w:space="0" w:color="auto"/>
              <w:left w:val="single" w:sz="4" w:space="0" w:color="auto"/>
              <w:bottom w:val="single" w:sz="4" w:space="0" w:color="auto"/>
              <w:right w:val="single" w:sz="4" w:space="0" w:color="auto"/>
            </w:tcBorders>
          </w:tcPr>
          <w:p w14:paraId="05AB05B4" w14:textId="77777777" w:rsidR="00375FAF" w:rsidRPr="00375FAF" w:rsidRDefault="00375FAF" w:rsidP="00375FAF">
            <w:pPr>
              <w:jc w:val="center"/>
              <w:rPr>
                <w:rFonts w:ascii="宋体" w:eastAsia="宋体" w:hAnsi="Calibri" w:cs="Times New Roman"/>
                <w:color w:val="000000"/>
              </w:rPr>
            </w:pPr>
          </w:p>
          <w:p w14:paraId="0D067C72"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4</w:t>
            </w:r>
          </w:p>
        </w:tc>
        <w:tc>
          <w:tcPr>
            <w:tcW w:w="675" w:type="dxa"/>
            <w:tcBorders>
              <w:top w:val="single" w:sz="4" w:space="0" w:color="auto"/>
              <w:left w:val="single" w:sz="4" w:space="0" w:color="auto"/>
              <w:bottom w:val="single" w:sz="4" w:space="0" w:color="auto"/>
              <w:right w:val="single" w:sz="4" w:space="0" w:color="auto"/>
            </w:tcBorders>
          </w:tcPr>
          <w:p w14:paraId="4CE0E1C7" w14:textId="77777777" w:rsidR="00375FAF" w:rsidRPr="00375FAF" w:rsidRDefault="00375FAF" w:rsidP="00375FAF">
            <w:pPr>
              <w:jc w:val="center"/>
              <w:rPr>
                <w:rFonts w:ascii="宋体" w:eastAsia="宋体" w:hAnsi="Calibri" w:cs="Times New Roman"/>
                <w:color w:val="000000"/>
              </w:rPr>
            </w:pPr>
          </w:p>
          <w:p w14:paraId="6A426A41"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3</w:t>
            </w:r>
          </w:p>
        </w:tc>
        <w:tc>
          <w:tcPr>
            <w:tcW w:w="720" w:type="dxa"/>
            <w:tcBorders>
              <w:top w:val="single" w:sz="4" w:space="0" w:color="auto"/>
              <w:left w:val="single" w:sz="4" w:space="0" w:color="auto"/>
              <w:bottom w:val="single" w:sz="4" w:space="0" w:color="auto"/>
              <w:right w:val="single" w:sz="4" w:space="0" w:color="auto"/>
            </w:tcBorders>
          </w:tcPr>
          <w:p w14:paraId="10F32D16" w14:textId="77777777" w:rsidR="00375FAF" w:rsidRPr="00375FAF" w:rsidRDefault="00375FAF" w:rsidP="00375FAF">
            <w:pPr>
              <w:jc w:val="center"/>
              <w:rPr>
                <w:rFonts w:ascii="宋体" w:eastAsia="宋体" w:hAnsi="Calibri" w:cs="Times New Roman"/>
                <w:color w:val="000000"/>
              </w:rPr>
            </w:pPr>
          </w:p>
          <w:p w14:paraId="5C1566ED" w14:textId="77777777" w:rsidR="00375FAF" w:rsidRPr="00375FAF" w:rsidRDefault="00375FAF" w:rsidP="00375FAF">
            <w:pPr>
              <w:jc w:val="center"/>
              <w:rPr>
                <w:rFonts w:ascii="Calibri" w:eastAsia="宋体" w:hAnsi="Calibri" w:cs="Times New Roman"/>
              </w:rPr>
            </w:pPr>
            <w:r w:rsidRPr="00375FAF">
              <w:rPr>
                <w:rFonts w:ascii="宋体" w:eastAsia="宋体" w:hAnsi="Calibri" w:cs="Times New Roman" w:hint="eastAsia"/>
                <w:color w:val="000000"/>
              </w:rPr>
              <w:t>2</w:t>
            </w:r>
          </w:p>
        </w:tc>
        <w:tc>
          <w:tcPr>
            <w:tcW w:w="780" w:type="dxa"/>
            <w:tcBorders>
              <w:top w:val="single" w:sz="4" w:space="0" w:color="auto"/>
              <w:left w:val="single" w:sz="4" w:space="0" w:color="auto"/>
              <w:bottom w:val="single" w:sz="4" w:space="0" w:color="auto"/>
              <w:right w:val="single" w:sz="4" w:space="0" w:color="auto"/>
            </w:tcBorders>
          </w:tcPr>
          <w:p w14:paraId="3C1A8C4E" w14:textId="77777777" w:rsidR="00375FAF" w:rsidRPr="00375FAF" w:rsidRDefault="00375FAF" w:rsidP="00375FAF">
            <w:pPr>
              <w:jc w:val="center"/>
              <w:rPr>
                <w:rFonts w:ascii="宋体" w:eastAsia="宋体" w:hAnsi="Calibri" w:cs="Times New Roman"/>
                <w:color w:val="000000"/>
              </w:rPr>
            </w:pPr>
          </w:p>
          <w:p w14:paraId="61856FFD" w14:textId="77777777" w:rsidR="00375FAF" w:rsidRPr="00375FAF" w:rsidRDefault="00375FAF" w:rsidP="00375FAF">
            <w:pPr>
              <w:jc w:val="center"/>
              <w:rPr>
                <w:rFonts w:ascii="宋体" w:eastAsia="宋体" w:hAnsi="Calibri" w:cs="Times New Roman"/>
                <w:color w:val="000000"/>
              </w:rPr>
            </w:pPr>
            <w:r w:rsidRPr="00375FAF">
              <w:rPr>
                <w:rFonts w:ascii="宋体" w:eastAsia="宋体" w:hAnsi="Calibri" w:cs="Times New Roman" w:hint="eastAsia"/>
                <w:color w:val="000000"/>
              </w:rPr>
              <w:t>1</w:t>
            </w:r>
          </w:p>
        </w:tc>
      </w:tr>
    </w:tbl>
    <w:p w14:paraId="6E9C2EE1" w14:textId="77777777" w:rsidR="00375FAF" w:rsidRPr="00375FAF" w:rsidRDefault="00375FAF" w:rsidP="00375F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p>
    <w:p w14:paraId="78BF6D0A" w14:textId="77777777" w:rsidR="00375FAF" w:rsidRPr="00375FAF" w:rsidRDefault="00375FAF" w:rsidP="00375F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r w:rsidRPr="00375FAF">
        <w:rPr>
          <w:rFonts w:ascii="宋体" w:eastAsia="宋体" w:hAnsi="Calibri" w:cs="Times New Roman" w:hint="eastAsia"/>
          <w:color w:val="000000"/>
        </w:rPr>
        <w:t>正手</w:t>
      </w:r>
      <w:proofErr w:type="gramStart"/>
      <w:r w:rsidRPr="00375FAF">
        <w:rPr>
          <w:rFonts w:ascii="宋体" w:eastAsia="宋体" w:hAnsi="Calibri" w:cs="Times New Roman" w:hint="eastAsia"/>
          <w:color w:val="000000"/>
        </w:rPr>
        <w:t>击</w:t>
      </w:r>
      <w:proofErr w:type="gramEnd"/>
      <w:r w:rsidRPr="00375FAF">
        <w:rPr>
          <w:rFonts w:ascii="宋体" w:eastAsia="宋体" w:hAnsi="Calibri" w:cs="Times New Roman" w:hint="eastAsia"/>
          <w:color w:val="000000"/>
        </w:rPr>
        <w:t>球技评：技术评定（占60%）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375FAF" w:rsidRPr="00375FAF" w14:paraId="2A81A91E" w14:textId="77777777" w:rsidTr="00375FAF">
        <w:trPr>
          <w:trHeight w:val="705"/>
          <w:jc w:val="center"/>
        </w:trPr>
        <w:tc>
          <w:tcPr>
            <w:tcW w:w="1368" w:type="dxa"/>
            <w:tcBorders>
              <w:top w:val="single" w:sz="4" w:space="0" w:color="auto"/>
              <w:left w:val="single" w:sz="4" w:space="0" w:color="auto"/>
              <w:bottom w:val="single" w:sz="4" w:space="0" w:color="auto"/>
              <w:right w:val="single" w:sz="4" w:space="0" w:color="auto"/>
            </w:tcBorders>
          </w:tcPr>
          <w:p w14:paraId="62C709D9" w14:textId="77777777" w:rsidR="00375FAF" w:rsidRPr="00375FAF" w:rsidRDefault="00375FAF" w:rsidP="00375FAF">
            <w:pPr>
              <w:rPr>
                <w:rFonts w:ascii="宋体" w:eastAsia="宋体" w:hAnsi="Calibri" w:cs="Times New Roman"/>
                <w:color w:val="000000"/>
              </w:rPr>
            </w:pPr>
          </w:p>
          <w:p w14:paraId="08D1B55C" w14:textId="77777777" w:rsidR="00375FAF" w:rsidRPr="00375FAF" w:rsidRDefault="00375FAF" w:rsidP="00375FAF">
            <w:pPr>
              <w:rPr>
                <w:rFonts w:ascii="宋体" w:eastAsia="宋体" w:hAnsi="Calibri" w:cs="Times New Roman"/>
                <w:color w:val="000000"/>
              </w:rPr>
            </w:pPr>
            <w:r w:rsidRPr="00375FAF">
              <w:rPr>
                <w:rFonts w:ascii="宋体" w:eastAsia="宋体" w:hAnsi="Calibri" w:cs="Times New Roman" w:hint="eastAsia"/>
                <w:color w:val="000000"/>
              </w:rPr>
              <w:t>90分以上</w:t>
            </w:r>
          </w:p>
        </w:tc>
        <w:tc>
          <w:tcPr>
            <w:tcW w:w="7744" w:type="dxa"/>
            <w:tcBorders>
              <w:top w:val="single" w:sz="4" w:space="0" w:color="auto"/>
              <w:left w:val="single" w:sz="4" w:space="0" w:color="auto"/>
              <w:bottom w:val="single" w:sz="4" w:space="0" w:color="auto"/>
              <w:right w:val="single" w:sz="4" w:space="0" w:color="auto"/>
            </w:tcBorders>
          </w:tcPr>
          <w:p w14:paraId="702730A2" w14:textId="77777777" w:rsidR="00375FAF" w:rsidRPr="00375FAF" w:rsidRDefault="00375FAF" w:rsidP="00375FAF">
            <w:pPr>
              <w:rPr>
                <w:rFonts w:ascii="宋体" w:eastAsia="宋体" w:hAnsi="Calibri" w:cs="Times New Roman"/>
                <w:color w:val="000000"/>
              </w:rPr>
            </w:pPr>
            <w:r w:rsidRPr="00375FAF">
              <w:rPr>
                <w:rFonts w:ascii="宋体" w:eastAsia="宋体" w:hAnsi="Calibri" w:cs="Times New Roman" w:hint="eastAsia"/>
                <w:color w:val="000000"/>
              </w:rPr>
              <w:t>击球合法，动作正确协调，挥拍过程连贯流畅，发力充分，球速快，落点好，还原及时，击球效果好</w:t>
            </w:r>
          </w:p>
        </w:tc>
      </w:tr>
      <w:tr w:rsidR="00375FAF" w:rsidRPr="00375FAF" w14:paraId="701138B2" w14:textId="77777777" w:rsidTr="00375FAF">
        <w:trPr>
          <w:trHeight w:val="784"/>
          <w:jc w:val="center"/>
        </w:trPr>
        <w:tc>
          <w:tcPr>
            <w:tcW w:w="1368" w:type="dxa"/>
            <w:tcBorders>
              <w:top w:val="single" w:sz="4" w:space="0" w:color="auto"/>
              <w:left w:val="single" w:sz="4" w:space="0" w:color="auto"/>
              <w:bottom w:val="single" w:sz="4" w:space="0" w:color="auto"/>
              <w:right w:val="single" w:sz="4" w:space="0" w:color="auto"/>
            </w:tcBorders>
          </w:tcPr>
          <w:p w14:paraId="4B41BDE3" w14:textId="77777777" w:rsidR="00375FAF" w:rsidRPr="00375FAF" w:rsidRDefault="00375FAF" w:rsidP="00375FAF">
            <w:pPr>
              <w:rPr>
                <w:rFonts w:ascii="宋体" w:eastAsia="宋体" w:hAnsi="Calibri" w:cs="Times New Roman"/>
                <w:color w:val="000000"/>
              </w:rPr>
            </w:pPr>
          </w:p>
          <w:p w14:paraId="341E8D13" w14:textId="77777777" w:rsidR="00375FAF" w:rsidRPr="00375FAF" w:rsidRDefault="00375FAF" w:rsidP="00375FAF">
            <w:pPr>
              <w:rPr>
                <w:rFonts w:ascii="宋体" w:eastAsia="宋体" w:hAnsi="Calibri" w:cs="Times New Roman"/>
                <w:color w:val="000000"/>
              </w:rPr>
            </w:pPr>
            <w:r w:rsidRPr="00375FAF">
              <w:rPr>
                <w:rFonts w:ascii="宋体" w:eastAsia="宋体" w:hAnsi="Calibri" w:cs="Times New Roman" w:hint="eastAsia"/>
                <w:color w:val="000000"/>
              </w:rPr>
              <w:t>80—89分</w:t>
            </w:r>
          </w:p>
        </w:tc>
        <w:tc>
          <w:tcPr>
            <w:tcW w:w="7744" w:type="dxa"/>
            <w:tcBorders>
              <w:top w:val="single" w:sz="4" w:space="0" w:color="auto"/>
              <w:left w:val="single" w:sz="4" w:space="0" w:color="auto"/>
              <w:bottom w:val="single" w:sz="4" w:space="0" w:color="auto"/>
              <w:right w:val="single" w:sz="4" w:space="0" w:color="auto"/>
            </w:tcBorders>
          </w:tcPr>
          <w:p w14:paraId="1316E30E" w14:textId="77777777" w:rsidR="00375FAF" w:rsidRPr="00375FAF" w:rsidRDefault="00375FAF" w:rsidP="00375FAF">
            <w:pPr>
              <w:rPr>
                <w:rFonts w:ascii="宋体" w:eastAsia="宋体" w:hAnsi="Calibri" w:cs="Times New Roman"/>
                <w:color w:val="000000"/>
              </w:rPr>
            </w:pPr>
            <w:r w:rsidRPr="00375FAF">
              <w:rPr>
                <w:rFonts w:ascii="宋体" w:eastAsia="宋体" w:hAnsi="Calibri" w:cs="Times New Roman" w:hint="eastAsia"/>
                <w:color w:val="000000"/>
              </w:rPr>
              <w:t>动作正确协调，挥拍过程连贯流畅，发力较好，球速较快，落点较好，还原及时，击球效果较好</w:t>
            </w:r>
          </w:p>
        </w:tc>
      </w:tr>
      <w:tr w:rsidR="00375FAF" w:rsidRPr="00375FAF" w14:paraId="14C57FE3" w14:textId="77777777" w:rsidTr="00375FAF">
        <w:trPr>
          <w:trHeight w:val="511"/>
          <w:jc w:val="center"/>
        </w:trPr>
        <w:tc>
          <w:tcPr>
            <w:tcW w:w="1368" w:type="dxa"/>
            <w:tcBorders>
              <w:top w:val="single" w:sz="4" w:space="0" w:color="auto"/>
              <w:left w:val="single" w:sz="4" w:space="0" w:color="auto"/>
              <w:bottom w:val="single" w:sz="4" w:space="0" w:color="auto"/>
              <w:right w:val="single" w:sz="4" w:space="0" w:color="auto"/>
            </w:tcBorders>
          </w:tcPr>
          <w:p w14:paraId="5FB8EFBC" w14:textId="77777777" w:rsidR="00375FAF" w:rsidRPr="00375FAF" w:rsidRDefault="00375FAF" w:rsidP="00375FAF">
            <w:pPr>
              <w:rPr>
                <w:rFonts w:ascii="宋体" w:eastAsia="宋体" w:hAnsi="Calibri" w:cs="Times New Roman"/>
                <w:color w:val="000000"/>
              </w:rPr>
            </w:pPr>
            <w:r w:rsidRPr="00375FAF">
              <w:rPr>
                <w:rFonts w:ascii="宋体" w:eastAsia="宋体" w:hAnsi="Calibri" w:cs="Times New Roman" w:hint="eastAsia"/>
                <w:color w:val="000000"/>
              </w:rPr>
              <w:t>70—79分</w:t>
            </w:r>
          </w:p>
        </w:tc>
        <w:tc>
          <w:tcPr>
            <w:tcW w:w="7744" w:type="dxa"/>
            <w:tcBorders>
              <w:top w:val="single" w:sz="4" w:space="0" w:color="auto"/>
              <w:left w:val="single" w:sz="4" w:space="0" w:color="auto"/>
              <w:bottom w:val="single" w:sz="4" w:space="0" w:color="auto"/>
              <w:right w:val="single" w:sz="4" w:space="0" w:color="auto"/>
            </w:tcBorders>
          </w:tcPr>
          <w:p w14:paraId="54D1EEDD" w14:textId="77777777" w:rsidR="00375FAF" w:rsidRPr="00375FAF" w:rsidRDefault="00375FAF" w:rsidP="00375FAF">
            <w:pPr>
              <w:rPr>
                <w:rFonts w:ascii="宋体" w:eastAsia="宋体" w:hAnsi="Calibri" w:cs="Times New Roman"/>
                <w:color w:val="000000"/>
              </w:rPr>
            </w:pPr>
            <w:r w:rsidRPr="00375FAF">
              <w:rPr>
                <w:rFonts w:ascii="宋体" w:eastAsia="宋体" w:hAnsi="Calibri" w:cs="Times New Roman" w:hint="eastAsia"/>
                <w:color w:val="000000"/>
              </w:rPr>
              <w:t>动作基本正确，发力不充分，球速较慢，</w:t>
            </w:r>
            <w:proofErr w:type="gramStart"/>
            <w:r w:rsidRPr="00375FAF">
              <w:rPr>
                <w:rFonts w:ascii="宋体" w:eastAsia="宋体" w:hAnsi="Calibri" w:cs="Times New Roman" w:hint="eastAsia"/>
                <w:color w:val="000000"/>
              </w:rPr>
              <w:t>还原较</w:t>
            </w:r>
            <w:proofErr w:type="gramEnd"/>
            <w:r w:rsidRPr="00375FAF">
              <w:rPr>
                <w:rFonts w:ascii="宋体" w:eastAsia="宋体" w:hAnsi="Calibri" w:cs="Times New Roman" w:hint="eastAsia"/>
                <w:color w:val="000000"/>
              </w:rPr>
              <w:t>及时，稳定性稍差</w:t>
            </w:r>
          </w:p>
        </w:tc>
      </w:tr>
      <w:tr w:rsidR="00375FAF" w:rsidRPr="00375FAF" w14:paraId="4E17A26E" w14:textId="77777777" w:rsidTr="00375FAF">
        <w:trPr>
          <w:trHeight w:val="472"/>
          <w:jc w:val="center"/>
        </w:trPr>
        <w:tc>
          <w:tcPr>
            <w:tcW w:w="1368" w:type="dxa"/>
            <w:tcBorders>
              <w:top w:val="single" w:sz="4" w:space="0" w:color="auto"/>
              <w:left w:val="single" w:sz="4" w:space="0" w:color="auto"/>
              <w:bottom w:val="single" w:sz="4" w:space="0" w:color="auto"/>
              <w:right w:val="single" w:sz="4" w:space="0" w:color="auto"/>
            </w:tcBorders>
          </w:tcPr>
          <w:p w14:paraId="77C7D4A5" w14:textId="77777777" w:rsidR="00375FAF" w:rsidRPr="00375FAF" w:rsidRDefault="00375FAF" w:rsidP="00375FAF">
            <w:pPr>
              <w:rPr>
                <w:rFonts w:ascii="宋体" w:eastAsia="宋体" w:hAnsi="Calibri" w:cs="Times New Roman"/>
                <w:color w:val="000000"/>
              </w:rPr>
            </w:pPr>
            <w:r w:rsidRPr="00375FAF">
              <w:rPr>
                <w:rFonts w:ascii="宋体" w:eastAsia="宋体" w:hAnsi="Calibri" w:cs="Times New Roman" w:hint="eastAsia"/>
                <w:color w:val="000000"/>
              </w:rPr>
              <w:t>60—69分</w:t>
            </w:r>
          </w:p>
        </w:tc>
        <w:tc>
          <w:tcPr>
            <w:tcW w:w="7744" w:type="dxa"/>
            <w:tcBorders>
              <w:top w:val="single" w:sz="4" w:space="0" w:color="auto"/>
              <w:left w:val="single" w:sz="4" w:space="0" w:color="auto"/>
              <w:bottom w:val="single" w:sz="4" w:space="0" w:color="auto"/>
              <w:right w:val="single" w:sz="4" w:space="0" w:color="auto"/>
            </w:tcBorders>
          </w:tcPr>
          <w:p w14:paraId="4835AC16" w14:textId="77777777" w:rsidR="00375FAF" w:rsidRPr="00375FAF" w:rsidRDefault="00375FAF" w:rsidP="00375FAF">
            <w:pPr>
              <w:rPr>
                <w:rFonts w:ascii="宋体" w:eastAsia="宋体" w:hAnsi="Calibri" w:cs="Times New Roman"/>
                <w:color w:val="000000"/>
              </w:rPr>
            </w:pPr>
            <w:r w:rsidRPr="00375FAF">
              <w:rPr>
                <w:rFonts w:ascii="宋体" w:eastAsia="宋体" w:hAnsi="Calibri" w:cs="Times New Roman" w:hint="eastAsia"/>
                <w:color w:val="000000"/>
              </w:rPr>
              <w:t>动作僵硬，协调性差，动作无根本性错误，击球效果不理想</w:t>
            </w:r>
          </w:p>
        </w:tc>
      </w:tr>
      <w:tr w:rsidR="00375FAF" w:rsidRPr="00375FAF" w14:paraId="4C034E75" w14:textId="77777777" w:rsidTr="00375FAF">
        <w:trPr>
          <w:trHeight w:val="453"/>
          <w:jc w:val="center"/>
        </w:trPr>
        <w:tc>
          <w:tcPr>
            <w:tcW w:w="1368" w:type="dxa"/>
            <w:tcBorders>
              <w:top w:val="single" w:sz="4" w:space="0" w:color="auto"/>
              <w:left w:val="single" w:sz="4" w:space="0" w:color="auto"/>
              <w:bottom w:val="single" w:sz="4" w:space="0" w:color="auto"/>
              <w:right w:val="single" w:sz="4" w:space="0" w:color="auto"/>
            </w:tcBorders>
          </w:tcPr>
          <w:p w14:paraId="7BBF3903" w14:textId="77777777" w:rsidR="00375FAF" w:rsidRPr="00375FAF" w:rsidRDefault="00375FAF" w:rsidP="00375FAF">
            <w:pPr>
              <w:rPr>
                <w:rFonts w:ascii="宋体" w:eastAsia="宋体" w:hAnsi="Calibri" w:cs="Times New Roman"/>
                <w:color w:val="000000"/>
              </w:rPr>
            </w:pPr>
            <w:r w:rsidRPr="00375FAF">
              <w:rPr>
                <w:rFonts w:ascii="宋体" w:eastAsia="宋体" w:hAnsi="Calibri" w:cs="Times New Roman" w:hint="eastAsia"/>
                <w:color w:val="000000"/>
              </w:rPr>
              <w:t>60分以下</w:t>
            </w:r>
          </w:p>
        </w:tc>
        <w:tc>
          <w:tcPr>
            <w:tcW w:w="7744" w:type="dxa"/>
            <w:tcBorders>
              <w:top w:val="single" w:sz="4" w:space="0" w:color="auto"/>
              <w:left w:val="single" w:sz="4" w:space="0" w:color="auto"/>
              <w:bottom w:val="single" w:sz="4" w:space="0" w:color="auto"/>
              <w:right w:val="single" w:sz="4" w:space="0" w:color="auto"/>
            </w:tcBorders>
          </w:tcPr>
          <w:p w14:paraId="71FB2D3C" w14:textId="77777777" w:rsidR="00375FAF" w:rsidRPr="00375FAF" w:rsidRDefault="00375FAF" w:rsidP="00375FAF">
            <w:pPr>
              <w:rPr>
                <w:rFonts w:ascii="宋体" w:eastAsia="宋体" w:hAnsi="Calibri" w:cs="Times New Roman"/>
                <w:color w:val="000000"/>
              </w:rPr>
            </w:pPr>
            <w:r w:rsidRPr="00375FAF">
              <w:rPr>
                <w:rFonts w:ascii="宋体" w:eastAsia="宋体" w:hAnsi="Calibri" w:cs="Times New Roman" w:hint="eastAsia"/>
                <w:color w:val="000000"/>
              </w:rPr>
              <w:t>动作僵硬，不协调，且有严重错误，击球效果差</w:t>
            </w:r>
          </w:p>
        </w:tc>
      </w:tr>
    </w:tbl>
    <w:p w14:paraId="35E5BB7E" w14:textId="77777777" w:rsidR="00375FAF" w:rsidRPr="00375FAF" w:rsidRDefault="00375FAF" w:rsidP="00375F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375FAF" w:rsidRPr="00375FAF" w14:paraId="7AFF389E" w14:textId="77777777" w:rsidTr="00375FAF">
        <w:trPr>
          <w:trHeight w:val="772"/>
          <w:jc w:val="center"/>
        </w:trPr>
        <w:tc>
          <w:tcPr>
            <w:tcW w:w="1368" w:type="dxa"/>
            <w:tcBorders>
              <w:top w:val="single" w:sz="4" w:space="0" w:color="auto"/>
              <w:left w:val="single" w:sz="4" w:space="0" w:color="auto"/>
              <w:bottom w:val="single" w:sz="4" w:space="0" w:color="auto"/>
              <w:right w:val="single" w:sz="4" w:space="0" w:color="auto"/>
            </w:tcBorders>
          </w:tcPr>
          <w:p w14:paraId="49569435" w14:textId="77777777" w:rsidR="00375FAF" w:rsidRPr="00375FAF" w:rsidRDefault="00375FAF" w:rsidP="00375FAF">
            <w:pPr>
              <w:rPr>
                <w:rFonts w:ascii="宋体" w:eastAsia="宋体" w:hAnsi="Calibri" w:cs="Times New Roman"/>
                <w:color w:val="000000"/>
              </w:rPr>
            </w:pPr>
          </w:p>
          <w:p w14:paraId="1980A161" w14:textId="77777777" w:rsidR="00375FAF" w:rsidRPr="00375FAF" w:rsidRDefault="00375FAF" w:rsidP="00375FAF">
            <w:pPr>
              <w:rPr>
                <w:rFonts w:ascii="宋体" w:eastAsia="宋体" w:hAnsi="Calibri" w:cs="Times New Roman"/>
                <w:color w:val="000000"/>
              </w:rPr>
            </w:pPr>
            <w:r w:rsidRPr="00375FAF">
              <w:rPr>
                <w:rFonts w:ascii="宋体" w:eastAsia="宋体" w:hAnsi="Calibri" w:cs="Times New Roman" w:hint="eastAsia"/>
                <w:color w:val="000000"/>
              </w:rPr>
              <w:t>60分以下</w:t>
            </w:r>
          </w:p>
        </w:tc>
        <w:tc>
          <w:tcPr>
            <w:tcW w:w="7744" w:type="dxa"/>
            <w:tcBorders>
              <w:top w:val="single" w:sz="4" w:space="0" w:color="auto"/>
              <w:left w:val="single" w:sz="4" w:space="0" w:color="auto"/>
              <w:bottom w:val="single" w:sz="4" w:space="0" w:color="auto"/>
              <w:right w:val="single" w:sz="4" w:space="0" w:color="auto"/>
            </w:tcBorders>
          </w:tcPr>
          <w:p w14:paraId="76BBBDD5" w14:textId="77777777" w:rsidR="00375FAF" w:rsidRPr="00375FAF" w:rsidRDefault="00375FAF" w:rsidP="00375FAF">
            <w:pPr>
              <w:rPr>
                <w:rFonts w:ascii="宋体" w:eastAsia="宋体" w:hAnsi="Calibri" w:cs="Times New Roman"/>
                <w:color w:val="000000"/>
              </w:rPr>
            </w:pPr>
          </w:p>
          <w:p w14:paraId="1B6E8C0B" w14:textId="77777777" w:rsidR="00375FAF" w:rsidRPr="00375FAF" w:rsidRDefault="00375FAF" w:rsidP="00375FAF">
            <w:pPr>
              <w:rPr>
                <w:rFonts w:ascii="宋体" w:eastAsia="宋体" w:hAnsi="Calibri" w:cs="Times New Roman"/>
                <w:color w:val="000000"/>
              </w:rPr>
            </w:pPr>
            <w:r w:rsidRPr="00375FAF">
              <w:rPr>
                <w:rFonts w:ascii="宋体" w:eastAsia="宋体" w:hAnsi="Calibri" w:cs="Times New Roman" w:hint="eastAsia"/>
                <w:color w:val="000000"/>
              </w:rPr>
              <w:t>动作僵硬，不协调，且有严重错误，击球效果差</w:t>
            </w:r>
          </w:p>
        </w:tc>
      </w:tr>
    </w:tbl>
    <w:p w14:paraId="2C2BEF33" w14:textId="77777777" w:rsidR="00375FAF" w:rsidRPr="00375FAF" w:rsidRDefault="00375FAF" w:rsidP="00375FAF">
      <w:pPr>
        <w:spacing w:beforeLines="50" w:before="156" w:afterLines="50" w:after="156" w:line="440" w:lineRule="exact"/>
        <w:rPr>
          <w:rFonts w:ascii="黑体" w:eastAsia="黑体" w:hAnsi="黑体" w:cs="Times New Roman"/>
          <w:sz w:val="28"/>
          <w:szCs w:val="28"/>
        </w:rPr>
      </w:pPr>
      <w:r w:rsidRPr="00375FAF">
        <w:rPr>
          <w:rFonts w:ascii="黑体" w:eastAsia="黑体" w:hAnsi="黑体" w:cs="Times New Roman" w:hint="eastAsia"/>
          <w:sz w:val="28"/>
          <w:szCs w:val="28"/>
        </w:rPr>
        <w:t>第二学期</w:t>
      </w:r>
    </w:p>
    <w:p w14:paraId="2C843D49" w14:textId="77777777" w:rsidR="00375FAF" w:rsidRPr="00375FAF" w:rsidRDefault="00375FAF" w:rsidP="00375FAF">
      <w:pPr>
        <w:adjustRightInd w:val="0"/>
        <w:snapToGrid w:val="0"/>
        <w:spacing w:line="500" w:lineRule="exact"/>
        <w:jc w:val="center"/>
        <w:rPr>
          <w:rFonts w:ascii="Calibri" w:eastAsia="宋体" w:hAnsi="Calibri" w:cs="Times New Roman"/>
          <w:b/>
          <w:bCs/>
          <w:sz w:val="24"/>
        </w:rPr>
      </w:pPr>
      <w:r w:rsidRPr="00375FAF">
        <w:rPr>
          <w:rFonts w:ascii="Calibri" w:eastAsia="宋体" w:hAnsi="Calibri" w:cs="Times New Roman" w:hint="eastAsia"/>
          <w:b/>
          <w:bCs/>
          <w:sz w:val="24"/>
        </w:rPr>
        <w:t>期中考试</w:t>
      </w:r>
    </w:p>
    <w:p w14:paraId="682FF77A" w14:textId="77777777" w:rsidR="00375FAF" w:rsidRPr="00375FAF" w:rsidRDefault="00375FAF" w:rsidP="00375FAF">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375FAF">
        <w:rPr>
          <w:rFonts w:ascii="宋体" w:eastAsia="宋体" w:hAnsi="Calibri" w:cs="Times New Roman" w:hint="eastAsia"/>
          <w:b/>
          <w:color w:val="000000"/>
          <w:kern w:val="0"/>
          <w:sz w:val="24"/>
        </w:rPr>
        <w:t>1.课程考核目标:</w:t>
      </w:r>
      <w:r w:rsidRPr="00375FAF">
        <w:rPr>
          <w:rFonts w:ascii="宋体" w:eastAsia="宋体" w:hAnsi="Calibri" w:cs="Times New Roman" w:hint="eastAsia"/>
          <w:bCs/>
          <w:color w:val="000000"/>
          <w:kern w:val="0"/>
          <w:sz w:val="24"/>
        </w:rPr>
        <w:t>通过考核网球技术教学效果和学生掌握情况，让学生了解选项课内容和科学体育锻炼方式方法。</w:t>
      </w:r>
    </w:p>
    <w:p w14:paraId="1335FAFC" w14:textId="77777777" w:rsidR="00375FAF" w:rsidRPr="00375FAF" w:rsidRDefault="00375FAF" w:rsidP="00375FAF">
      <w:pPr>
        <w:adjustRightInd w:val="0"/>
        <w:snapToGrid w:val="0"/>
        <w:spacing w:line="500" w:lineRule="exact"/>
        <w:ind w:firstLineChars="200" w:firstLine="482"/>
        <w:rPr>
          <w:rFonts w:ascii="Calibri" w:eastAsia="宋体" w:hAnsi="Calibri" w:cs="Times New Roman"/>
          <w:sz w:val="24"/>
        </w:rPr>
      </w:pPr>
      <w:r w:rsidRPr="00375FAF">
        <w:rPr>
          <w:rFonts w:ascii="宋体" w:eastAsia="宋体" w:hAnsi="Calibri" w:cs="Times New Roman" w:hint="eastAsia"/>
          <w:b/>
          <w:color w:val="000000"/>
          <w:kern w:val="0"/>
          <w:sz w:val="24"/>
        </w:rPr>
        <w:t>2.课程考核的内容：</w:t>
      </w:r>
      <w:r w:rsidRPr="00375FAF">
        <w:rPr>
          <w:rFonts w:ascii="Calibri" w:eastAsia="宋体" w:hAnsi="Calibri" w:cs="Times New Roman" w:hint="eastAsia"/>
          <w:sz w:val="24"/>
        </w:rPr>
        <w:t>对颠球技术</w:t>
      </w:r>
    </w:p>
    <w:p w14:paraId="18EA4C19" w14:textId="77777777" w:rsidR="00375FAF" w:rsidRPr="00375FAF" w:rsidRDefault="00375FAF" w:rsidP="00375FAF">
      <w:pPr>
        <w:adjustRightInd w:val="0"/>
        <w:snapToGrid w:val="0"/>
        <w:spacing w:line="500" w:lineRule="exact"/>
        <w:ind w:firstLineChars="200" w:firstLine="482"/>
        <w:rPr>
          <w:rFonts w:ascii="宋体" w:eastAsia="宋体" w:hAnsi="宋体" w:cs="宋体"/>
          <w:color w:val="000000"/>
          <w:sz w:val="24"/>
        </w:rPr>
      </w:pPr>
      <w:r w:rsidRPr="00375FAF">
        <w:rPr>
          <w:rFonts w:ascii="宋体" w:eastAsia="宋体" w:hAnsi="宋体" w:cs="宋体" w:hint="eastAsia"/>
          <w:b/>
          <w:bCs/>
          <w:color w:val="000000"/>
          <w:sz w:val="24"/>
        </w:rPr>
        <w:t>3.课程考核方式：</w:t>
      </w:r>
      <w:r w:rsidRPr="00375FAF">
        <w:rPr>
          <w:rFonts w:ascii="Calibri" w:eastAsia="宋体" w:hAnsi="Calibri" w:cs="Times New Roman" w:hint="eastAsia"/>
          <w:sz w:val="24"/>
        </w:rPr>
        <w:t>两人隔网站立，运用球拍颠球，中间任何人没接住球清零从新计数，任何人二次触球清零从新计数。</w:t>
      </w:r>
    </w:p>
    <w:p w14:paraId="6F76178C" w14:textId="77777777" w:rsidR="00375FAF" w:rsidRPr="00375FAF" w:rsidRDefault="00375FAF" w:rsidP="00375FAF">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375FAF">
        <w:rPr>
          <w:rFonts w:ascii="宋体" w:eastAsia="宋体" w:hAnsi="Calibri" w:cs="Times New Roman" w:hint="eastAsia"/>
          <w:b/>
          <w:color w:val="000000"/>
          <w:kern w:val="0"/>
          <w:sz w:val="24"/>
        </w:rPr>
        <w:t>4.成绩构成及分值：</w:t>
      </w:r>
      <w:r w:rsidRPr="00375FAF">
        <w:rPr>
          <w:rFonts w:ascii="宋体" w:eastAsia="宋体" w:hAnsi="Calibri" w:cs="Times New Roman" w:hint="eastAsia"/>
          <w:bCs/>
          <w:color w:val="000000"/>
          <w:kern w:val="0"/>
          <w:sz w:val="24"/>
        </w:rPr>
        <w:t>数量及技术评定分值各为100分，各占总分值的20%，</w:t>
      </w:r>
    </w:p>
    <w:p w14:paraId="2072461B" w14:textId="77777777" w:rsidR="00375FAF" w:rsidRPr="00375FAF" w:rsidRDefault="00375FAF" w:rsidP="00375FAF">
      <w:pPr>
        <w:autoSpaceDE w:val="0"/>
        <w:autoSpaceDN w:val="0"/>
        <w:adjustRightInd w:val="0"/>
        <w:snapToGrid w:val="0"/>
        <w:spacing w:line="500" w:lineRule="exact"/>
        <w:rPr>
          <w:rFonts w:ascii="宋体" w:eastAsia="宋体" w:hAnsi="Calibri" w:cs="Times New Roman"/>
          <w:bCs/>
          <w:color w:val="000000"/>
          <w:kern w:val="0"/>
          <w:sz w:val="24"/>
        </w:rPr>
      </w:pPr>
      <w:r w:rsidRPr="00375FAF">
        <w:rPr>
          <w:rFonts w:ascii="宋体" w:eastAsia="宋体" w:hAnsi="Calibri" w:cs="Times New Roman" w:hint="eastAsia"/>
          <w:bCs/>
          <w:color w:val="000000"/>
          <w:kern w:val="0"/>
          <w:sz w:val="24"/>
        </w:rPr>
        <w:t>总分值为100分。</w:t>
      </w:r>
    </w:p>
    <w:p w14:paraId="5AF8312E" w14:textId="77777777" w:rsidR="00375FAF" w:rsidRPr="00375FAF" w:rsidRDefault="00375FAF" w:rsidP="00375FAF">
      <w:pPr>
        <w:autoSpaceDE w:val="0"/>
        <w:autoSpaceDN w:val="0"/>
        <w:adjustRightInd w:val="0"/>
        <w:snapToGrid w:val="0"/>
        <w:spacing w:line="500" w:lineRule="exact"/>
        <w:ind w:firstLineChars="200" w:firstLine="482"/>
        <w:rPr>
          <w:rFonts w:ascii="Calibri" w:eastAsia="宋体" w:hAnsi="Calibri" w:cs="Times New Roman"/>
          <w:b/>
          <w:sz w:val="24"/>
        </w:rPr>
      </w:pPr>
      <w:r w:rsidRPr="00375FAF">
        <w:rPr>
          <w:rFonts w:ascii="宋体" w:eastAsia="宋体" w:hAnsi="Calibri" w:cs="Times New Roman" w:hint="eastAsia"/>
          <w:b/>
          <w:color w:val="000000"/>
          <w:kern w:val="0"/>
          <w:sz w:val="24"/>
        </w:rPr>
        <w:t>5.评分记分原则：</w:t>
      </w:r>
    </w:p>
    <w:p w14:paraId="7E839477" w14:textId="77777777" w:rsidR="00375FAF" w:rsidRPr="00375FAF" w:rsidRDefault="00375FAF" w:rsidP="00375FAF">
      <w:pPr>
        <w:adjustRightInd w:val="0"/>
        <w:snapToGrid w:val="0"/>
        <w:spacing w:line="500" w:lineRule="exact"/>
        <w:jc w:val="center"/>
        <w:rPr>
          <w:rFonts w:ascii="Calibri" w:eastAsia="宋体" w:hAnsi="Calibri" w:cs="Times New Roman"/>
          <w:sz w:val="24"/>
        </w:rPr>
      </w:pPr>
      <w:r w:rsidRPr="00375FAF">
        <w:rPr>
          <w:rFonts w:ascii="Calibri" w:eastAsia="宋体" w:hAnsi="Calibri" w:cs="Times New Roman" w:hint="eastAsia"/>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104"/>
        <w:gridCol w:w="2999"/>
        <w:gridCol w:w="2265"/>
      </w:tblGrid>
      <w:tr w:rsidR="00375FAF" w:rsidRPr="00375FAF" w14:paraId="019562C5" w14:textId="77777777" w:rsidTr="00375FAF">
        <w:tc>
          <w:tcPr>
            <w:tcW w:w="970" w:type="dxa"/>
            <w:vAlign w:val="center"/>
          </w:tcPr>
          <w:p w14:paraId="18E38282"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技术分</w:t>
            </w:r>
          </w:p>
        </w:tc>
        <w:tc>
          <w:tcPr>
            <w:tcW w:w="1183" w:type="dxa"/>
            <w:vAlign w:val="center"/>
          </w:tcPr>
          <w:p w14:paraId="6B1270A4"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五级制</w:t>
            </w:r>
          </w:p>
        </w:tc>
        <w:tc>
          <w:tcPr>
            <w:tcW w:w="1104" w:type="dxa"/>
            <w:vAlign w:val="center"/>
          </w:tcPr>
          <w:p w14:paraId="3D78455B"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分值范围</w:t>
            </w:r>
          </w:p>
        </w:tc>
        <w:tc>
          <w:tcPr>
            <w:tcW w:w="2999" w:type="dxa"/>
            <w:vAlign w:val="center"/>
          </w:tcPr>
          <w:p w14:paraId="4A097E9D"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备注</w:t>
            </w:r>
          </w:p>
        </w:tc>
        <w:tc>
          <w:tcPr>
            <w:tcW w:w="2265" w:type="dxa"/>
            <w:vAlign w:val="center"/>
          </w:tcPr>
          <w:p w14:paraId="694B1C9B"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数目</w:t>
            </w:r>
          </w:p>
        </w:tc>
      </w:tr>
      <w:tr w:rsidR="00375FAF" w:rsidRPr="00375FAF" w14:paraId="4B51E257" w14:textId="77777777" w:rsidTr="00375FAF">
        <w:tc>
          <w:tcPr>
            <w:tcW w:w="970" w:type="dxa"/>
            <w:vAlign w:val="center"/>
          </w:tcPr>
          <w:p w14:paraId="5AFAC7B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A</w:t>
            </w:r>
          </w:p>
        </w:tc>
        <w:tc>
          <w:tcPr>
            <w:tcW w:w="1183" w:type="dxa"/>
            <w:vAlign w:val="center"/>
          </w:tcPr>
          <w:p w14:paraId="61CD1232"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优</w:t>
            </w:r>
          </w:p>
        </w:tc>
        <w:tc>
          <w:tcPr>
            <w:tcW w:w="1104" w:type="dxa"/>
            <w:vAlign w:val="center"/>
          </w:tcPr>
          <w:p w14:paraId="133FF57D"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90—95</w:t>
            </w:r>
          </w:p>
        </w:tc>
        <w:tc>
          <w:tcPr>
            <w:tcW w:w="2999" w:type="dxa"/>
            <w:vAlign w:val="center"/>
          </w:tcPr>
          <w:p w14:paraId="17B9706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姿势正确，动作优美、协调</w:t>
            </w:r>
          </w:p>
        </w:tc>
        <w:tc>
          <w:tcPr>
            <w:tcW w:w="2265" w:type="dxa"/>
            <w:vAlign w:val="center"/>
          </w:tcPr>
          <w:p w14:paraId="401A483B"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50个以上</w:t>
            </w:r>
          </w:p>
        </w:tc>
      </w:tr>
      <w:tr w:rsidR="00375FAF" w:rsidRPr="00375FAF" w14:paraId="4BCD5CA9" w14:textId="77777777" w:rsidTr="00375FAF">
        <w:tc>
          <w:tcPr>
            <w:tcW w:w="970" w:type="dxa"/>
            <w:vAlign w:val="center"/>
          </w:tcPr>
          <w:p w14:paraId="1F64F475"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B</w:t>
            </w:r>
          </w:p>
        </w:tc>
        <w:tc>
          <w:tcPr>
            <w:tcW w:w="1183" w:type="dxa"/>
            <w:vAlign w:val="center"/>
          </w:tcPr>
          <w:p w14:paraId="7F02DF9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良好</w:t>
            </w:r>
          </w:p>
        </w:tc>
        <w:tc>
          <w:tcPr>
            <w:tcW w:w="1104" w:type="dxa"/>
            <w:vAlign w:val="center"/>
          </w:tcPr>
          <w:p w14:paraId="2C491281"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80—89</w:t>
            </w:r>
          </w:p>
        </w:tc>
        <w:tc>
          <w:tcPr>
            <w:tcW w:w="2999" w:type="dxa"/>
            <w:vAlign w:val="center"/>
          </w:tcPr>
          <w:p w14:paraId="0A57A69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姿势较正确，动作自然</w:t>
            </w:r>
          </w:p>
        </w:tc>
        <w:tc>
          <w:tcPr>
            <w:tcW w:w="2265" w:type="dxa"/>
            <w:vAlign w:val="center"/>
          </w:tcPr>
          <w:p w14:paraId="5F9E025C"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40-49个</w:t>
            </w:r>
          </w:p>
        </w:tc>
      </w:tr>
      <w:tr w:rsidR="00375FAF" w:rsidRPr="00375FAF" w14:paraId="6DD0928D" w14:textId="77777777" w:rsidTr="00375FAF">
        <w:tc>
          <w:tcPr>
            <w:tcW w:w="970" w:type="dxa"/>
            <w:vAlign w:val="center"/>
          </w:tcPr>
          <w:p w14:paraId="2068A60C"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C</w:t>
            </w:r>
          </w:p>
        </w:tc>
        <w:tc>
          <w:tcPr>
            <w:tcW w:w="1183" w:type="dxa"/>
            <w:vAlign w:val="center"/>
          </w:tcPr>
          <w:p w14:paraId="69B6EE5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良</w:t>
            </w:r>
          </w:p>
        </w:tc>
        <w:tc>
          <w:tcPr>
            <w:tcW w:w="1104" w:type="dxa"/>
            <w:vAlign w:val="center"/>
          </w:tcPr>
          <w:p w14:paraId="29E2E44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70—79</w:t>
            </w:r>
          </w:p>
        </w:tc>
        <w:tc>
          <w:tcPr>
            <w:tcW w:w="2999" w:type="dxa"/>
            <w:vAlign w:val="center"/>
          </w:tcPr>
          <w:p w14:paraId="005CAC7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姿势一般，动作基本正确</w:t>
            </w:r>
          </w:p>
        </w:tc>
        <w:tc>
          <w:tcPr>
            <w:tcW w:w="2265" w:type="dxa"/>
            <w:vAlign w:val="center"/>
          </w:tcPr>
          <w:p w14:paraId="7E5068C7"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30-39个</w:t>
            </w:r>
          </w:p>
        </w:tc>
      </w:tr>
      <w:tr w:rsidR="00375FAF" w:rsidRPr="00375FAF" w14:paraId="032256CB" w14:textId="77777777" w:rsidTr="00375FAF">
        <w:tc>
          <w:tcPr>
            <w:tcW w:w="970" w:type="dxa"/>
            <w:vAlign w:val="center"/>
          </w:tcPr>
          <w:p w14:paraId="759327F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D</w:t>
            </w:r>
          </w:p>
        </w:tc>
        <w:tc>
          <w:tcPr>
            <w:tcW w:w="1183" w:type="dxa"/>
            <w:vAlign w:val="center"/>
          </w:tcPr>
          <w:p w14:paraId="29718C4C"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及格</w:t>
            </w:r>
          </w:p>
        </w:tc>
        <w:tc>
          <w:tcPr>
            <w:tcW w:w="1104" w:type="dxa"/>
            <w:vAlign w:val="center"/>
          </w:tcPr>
          <w:p w14:paraId="041FF76F"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60—69</w:t>
            </w:r>
          </w:p>
        </w:tc>
        <w:tc>
          <w:tcPr>
            <w:tcW w:w="2999" w:type="dxa"/>
            <w:vAlign w:val="center"/>
          </w:tcPr>
          <w:p w14:paraId="59641D29"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动作不协调，有多余动作</w:t>
            </w:r>
          </w:p>
        </w:tc>
        <w:tc>
          <w:tcPr>
            <w:tcW w:w="2265" w:type="dxa"/>
            <w:vAlign w:val="center"/>
          </w:tcPr>
          <w:p w14:paraId="70BFA4CE"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20-29个</w:t>
            </w:r>
          </w:p>
        </w:tc>
      </w:tr>
      <w:tr w:rsidR="00375FAF" w:rsidRPr="00375FAF" w14:paraId="779C1E0D" w14:textId="77777777" w:rsidTr="00375FAF">
        <w:tc>
          <w:tcPr>
            <w:tcW w:w="970" w:type="dxa"/>
            <w:vAlign w:val="center"/>
          </w:tcPr>
          <w:p w14:paraId="57686936"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E</w:t>
            </w:r>
          </w:p>
        </w:tc>
        <w:tc>
          <w:tcPr>
            <w:tcW w:w="1183" w:type="dxa"/>
            <w:vAlign w:val="center"/>
          </w:tcPr>
          <w:p w14:paraId="5B9910B0"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不及格</w:t>
            </w:r>
          </w:p>
        </w:tc>
        <w:tc>
          <w:tcPr>
            <w:tcW w:w="1104" w:type="dxa"/>
            <w:vAlign w:val="center"/>
          </w:tcPr>
          <w:p w14:paraId="1A221924"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60以下</w:t>
            </w:r>
          </w:p>
        </w:tc>
        <w:tc>
          <w:tcPr>
            <w:tcW w:w="2999" w:type="dxa"/>
            <w:vAlign w:val="center"/>
          </w:tcPr>
          <w:p w14:paraId="292B2E74"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动作僵硬，吃力，不协调</w:t>
            </w:r>
          </w:p>
        </w:tc>
        <w:tc>
          <w:tcPr>
            <w:tcW w:w="2265" w:type="dxa"/>
            <w:vAlign w:val="center"/>
          </w:tcPr>
          <w:p w14:paraId="78A1F0B4"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20以下</w:t>
            </w:r>
          </w:p>
        </w:tc>
      </w:tr>
    </w:tbl>
    <w:p w14:paraId="3B39D1E2" w14:textId="77777777" w:rsidR="00375FAF" w:rsidRPr="00375FAF" w:rsidRDefault="00375FAF" w:rsidP="00375FAF">
      <w:pPr>
        <w:adjustRightInd w:val="0"/>
        <w:snapToGrid w:val="0"/>
        <w:spacing w:line="500" w:lineRule="exact"/>
        <w:rPr>
          <w:rFonts w:ascii="Calibri" w:eastAsia="宋体" w:hAnsi="Calibri" w:cs="Times New Roman"/>
          <w:sz w:val="24"/>
        </w:rPr>
      </w:pPr>
    </w:p>
    <w:p w14:paraId="34359A01" w14:textId="77777777" w:rsidR="00375FAF" w:rsidRPr="00375FAF" w:rsidRDefault="00375FAF" w:rsidP="00375FAF">
      <w:pPr>
        <w:adjustRightInd w:val="0"/>
        <w:snapToGrid w:val="0"/>
        <w:spacing w:line="500" w:lineRule="exact"/>
        <w:jc w:val="center"/>
        <w:rPr>
          <w:rFonts w:ascii="Calibri" w:eastAsia="宋体" w:hAnsi="Calibri" w:cs="Times New Roman"/>
          <w:b/>
          <w:bCs/>
          <w:sz w:val="24"/>
        </w:rPr>
      </w:pPr>
      <w:r w:rsidRPr="00375FAF">
        <w:rPr>
          <w:rFonts w:ascii="Calibri" w:eastAsia="宋体" w:hAnsi="Calibri" w:cs="Times New Roman" w:hint="eastAsia"/>
          <w:b/>
          <w:bCs/>
          <w:sz w:val="24"/>
        </w:rPr>
        <w:t>期末考试</w:t>
      </w:r>
    </w:p>
    <w:p w14:paraId="0761D61C" w14:textId="77777777" w:rsidR="00375FAF" w:rsidRPr="00375FAF" w:rsidRDefault="00375FAF" w:rsidP="00375FAF">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375FAF">
        <w:rPr>
          <w:rFonts w:ascii="宋体" w:eastAsia="宋体" w:hAnsi="Calibri" w:cs="Times New Roman" w:hint="eastAsia"/>
          <w:b/>
          <w:color w:val="000000"/>
          <w:kern w:val="0"/>
          <w:sz w:val="24"/>
        </w:rPr>
        <w:t>1.课程考核目标:</w:t>
      </w:r>
      <w:r w:rsidRPr="00375FAF">
        <w:rPr>
          <w:rFonts w:ascii="宋体" w:eastAsia="宋体" w:hAnsi="Calibri" w:cs="Times New Roman" w:hint="eastAsia"/>
          <w:bCs/>
          <w:color w:val="000000"/>
          <w:kern w:val="0"/>
          <w:sz w:val="24"/>
        </w:rPr>
        <w:t>通过考核网球技术教学效果和学生掌握情况，让学生了解选项课内容和科学体育锻炼方式方法。</w:t>
      </w:r>
    </w:p>
    <w:p w14:paraId="4F5F970F" w14:textId="77777777" w:rsidR="00375FAF" w:rsidRPr="00375FAF" w:rsidRDefault="00375FAF" w:rsidP="00375FAF">
      <w:pPr>
        <w:adjustRightInd w:val="0"/>
        <w:snapToGrid w:val="0"/>
        <w:spacing w:line="500" w:lineRule="exact"/>
        <w:ind w:firstLineChars="200" w:firstLine="482"/>
        <w:rPr>
          <w:rFonts w:ascii="Calibri" w:eastAsia="宋体" w:hAnsi="Calibri" w:cs="Times New Roman"/>
          <w:sz w:val="24"/>
        </w:rPr>
      </w:pPr>
      <w:r w:rsidRPr="00375FAF">
        <w:rPr>
          <w:rFonts w:ascii="宋体" w:eastAsia="宋体" w:hAnsi="Calibri" w:cs="Times New Roman" w:hint="eastAsia"/>
          <w:b/>
          <w:color w:val="000000"/>
          <w:kern w:val="0"/>
          <w:sz w:val="24"/>
        </w:rPr>
        <w:t>2.课程考核的内容：</w:t>
      </w:r>
      <w:r w:rsidRPr="00375FAF">
        <w:rPr>
          <w:rFonts w:ascii="Calibri" w:eastAsia="宋体" w:hAnsi="Calibri" w:cs="Times New Roman" w:hint="eastAsia"/>
          <w:sz w:val="24"/>
        </w:rPr>
        <w:t>下手发球。</w:t>
      </w:r>
    </w:p>
    <w:p w14:paraId="2132FEB5" w14:textId="77777777" w:rsidR="00375FAF" w:rsidRPr="00375FAF" w:rsidRDefault="00375FAF" w:rsidP="00375FAF">
      <w:pPr>
        <w:adjustRightInd w:val="0"/>
        <w:snapToGrid w:val="0"/>
        <w:spacing w:line="500" w:lineRule="exact"/>
        <w:ind w:firstLineChars="200" w:firstLine="482"/>
        <w:rPr>
          <w:rFonts w:ascii="Calibri" w:eastAsia="宋体" w:hAnsi="Calibri" w:cs="Times New Roman"/>
          <w:sz w:val="24"/>
        </w:rPr>
      </w:pPr>
      <w:r w:rsidRPr="00375FAF">
        <w:rPr>
          <w:rFonts w:ascii="宋体" w:eastAsia="宋体" w:hAnsi="宋体" w:cs="宋体" w:hint="eastAsia"/>
          <w:b/>
          <w:bCs/>
          <w:color w:val="000000"/>
          <w:sz w:val="24"/>
        </w:rPr>
        <w:t>3.课程考核方式：</w:t>
      </w:r>
      <w:r w:rsidRPr="00375FAF">
        <w:rPr>
          <w:rFonts w:ascii="Calibri" w:eastAsia="宋体" w:hAnsi="Calibri" w:cs="Times New Roman" w:hint="eastAsia"/>
          <w:sz w:val="24"/>
        </w:rPr>
        <w:t>两人隔网站立，从发球区运用下手发球技术，进行下手发球。</w:t>
      </w:r>
      <w:r w:rsidRPr="00375FAF">
        <w:rPr>
          <w:rFonts w:ascii="Calibri" w:eastAsia="宋体" w:hAnsi="Calibri" w:cs="Times New Roman" w:hint="eastAsia"/>
          <w:sz w:val="24"/>
        </w:rPr>
        <w:lastRenderedPageBreak/>
        <w:t>按照正式比赛规则进行。</w:t>
      </w:r>
    </w:p>
    <w:p w14:paraId="3C621A94" w14:textId="77777777" w:rsidR="00375FAF" w:rsidRPr="00375FAF" w:rsidRDefault="00375FAF" w:rsidP="00375FAF">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375FAF">
        <w:rPr>
          <w:rFonts w:ascii="宋体" w:eastAsia="宋体" w:hAnsi="Calibri" w:cs="Times New Roman" w:hint="eastAsia"/>
          <w:b/>
          <w:color w:val="000000"/>
          <w:kern w:val="0"/>
          <w:sz w:val="24"/>
        </w:rPr>
        <w:t>4.成绩构成及分值：</w:t>
      </w:r>
      <w:r w:rsidRPr="00375FAF">
        <w:rPr>
          <w:rFonts w:ascii="宋体" w:eastAsia="宋体" w:hAnsi="Calibri" w:cs="Times New Roman" w:hint="eastAsia"/>
          <w:bCs/>
          <w:color w:val="000000"/>
          <w:kern w:val="0"/>
          <w:sz w:val="24"/>
        </w:rPr>
        <w:t>数量及技术评定分值各为100分，各占总分值的70%，</w:t>
      </w:r>
    </w:p>
    <w:p w14:paraId="1AA27BC8" w14:textId="77777777" w:rsidR="00375FAF" w:rsidRPr="00375FAF" w:rsidRDefault="00375FAF" w:rsidP="00375FAF">
      <w:pPr>
        <w:autoSpaceDE w:val="0"/>
        <w:autoSpaceDN w:val="0"/>
        <w:adjustRightInd w:val="0"/>
        <w:snapToGrid w:val="0"/>
        <w:spacing w:line="500" w:lineRule="exact"/>
        <w:rPr>
          <w:rFonts w:ascii="宋体" w:eastAsia="宋体" w:hAnsi="Calibri" w:cs="Times New Roman"/>
          <w:bCs/>
          <w:color w:val="000000"/>
          <w:kern w:val="0"/>
          <w:sz w:val="24"/>
        </w:rPr>
      </w:pPr>
      <w:r w:rsidRPr="00375FAF">
        <w:rPr>
          <w:rFonts w:ascii="宋体" w:eastAsia="宋体" w:hAnsi="Calibri" w:cs="Times New Roman" w:hint="eastAsia"/>
          <w:bCs/>
          <w:color w:val="000000"/>
          <w:kern w:val="0"/>
          <w:sz w:val="24"/>
        </w:rPr>
        <w:t>总分值为100分。</w:t>
      </w:r>
    </w:p>
    <w:p w14:paraId="66735D3A" w14:textId="77777777" w:rsidR="00375FAF" w:rsidRPr="00375FAF" w:rsidRDefault="00375FAF" w:rsidP="00375FAF">
      <w:pPr>
        <w:autoSpaceDE w:val="0"/>
        <w:autoSpaceDN w:val="0"/>
        <w:adjustRightInd w:val="0"/>
        <w:snapToGrid w:val="0"/>
        <w:spacing w:line="500" w:lineRule="exact"/>
        <w:ind w:firstLineChars="200" w:firstLine="482"/>
        <w:rPr>
          <w:rFonts w:ascii="Calibri" w:eastAsia="宋体" w:hAnsi="Calibri" w:cs="Times New Roman"/>
          <w:b/>
          <w:sz w:val="24"/>
        </w:rPr>
      </w:pPr>
      <w:r w:rsidRPr="00375FAF">
        <w:rPr>
          <w:rFonts w:ascii="宋体" w:eastAsia="宋体" w:hAnsi="Calibri" w:cs="Times New Roman" w:hint="eastAsia"/>
          <w:b/>
          <w:color w:val="000000"/>
          <w:kern w:val="0"/>
          <w:sz w:val="24"/>
        </w:rPr>
        <w:t>5.评分记分原则：</w:t>
      </w:r>
    </w:p>
    <w:tbl>
      <w:tblPr>
        <w:tblpPr w:leftFromText="180" w:rightFromText="180" w:vertAnchor="text" w:horzAnchor="page" w:tblpX="1837" w:tblpY="2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375FAF" w:rsidRPr="00375FAF" w14:paraId="19DDE66A" w14:textId="77777777" w:rsidTr="00375FAF">
        <w:tc>
          <w:tcPr>
            <w:tcW w:w="1180" w:type="dxa"/>
            <w:vAlign w:val="center"/>
          </w:tcPr>
          <w:p w14:paraId="72CC7566"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男生</w:t>
            </w:r>
          </w:p>
        </w:tc>
        <w:tc>
          <w:tcPr>
            <w:tcW w:w="1170" w:type="dxa"/>
            <w:vAlign w:val="center"/>
          </w:tcPr>
          <w:p w14:paraId="28C0C982"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女生</w:t>
            </w:r>
          </w:p>
        </w:tc>
        <w:tc>
          <w:tcPr>
            <w:tcW w:w="975" w:type="dxa"/>
            <w:vAlign w:val="center"/>
          </w:tcPr>
          <w:p w14:paraId="06FF5905"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技术分</w:t>
            </w:r>
          </w:p>
        </w:tc>
        <w:tc>
          <w:tcPr>
            <w:tcW w:w="1140" w:type="dxa"/>
            <w:vAlign w:val="center"/>
          </w:tcPr>
          <w:p w14:paraId="0D06D1A9"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五级制</w:t>
            </w:r>
          </w:p>
        </w:tc>
        <w:tc>
          <w:tcPr>
            <w:tcW w:w="1215" w:type="dxa"/>
            <w:vAlign w:val="center"/>
          </w:tcPr>
          <w:p w14:paraId="59A606C0"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分值范围</w:t>
            </w:r>
          </w:p>
        </w:tc>
        <w:tc>
          <w:tcPr>
            <w:tcW w:w="3090" w:type="dxa"/>
            <w:vAlign w:val="center"/>
          </w:tcPr>
          <w:p w14:paraId="515DE318"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备注</w:t>
            </w:r>
          </w:p>
        </w:tc>
      </w:tr>
      <w:tr w:rsidR="00375FAF" w:rsidRPr="00375FAF" w14:paraId="5C123FF0" w14:textId="77777777" w:rsidTr="00375FAF">
        <w:tc>
          <w:tcPr>
            <w:tcW w:w="1180" w:type="dxa"/>
            <w:vAlign w:val="center"/>
          </w:tcPr>
          <w:p w14:paraId="70DD2A0D"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10个</w:t>
            </w:r>
          </w:p>
        </w:tc>
        <w:tc>
          <w:tcPr>
            <w:tcW w:w="1170" w:type="dxa"/>
            <w:vAlign w:val="center"/>
          </w:tcPr>
          <w:p w14:paraId="6FA321BE"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10个</w:t>
            </w:r>
          </w:p>
        </w:tc>
        <w:tc>
          <w:tcPr>
            <w:tcW w:w="975" w:type="dxa"/>
            <w:vAlign w:val="center"/>
          </w:tcPr>
          <w:p w14:paraId="60525AF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A</w:t>
            </w:r>
          </w:p>
        </w:tc>
        <w:tc>
          <w:tcPr>
            <w:tcW w:w="1140" w:type="dxa"/>
            <w:vAlign w:val="center"/>
          </w:tcPr>
          <w:p w14:paraId="52780FE4"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优</w:t>
            </w:r>
          </w:p>
        </w:tc>
        <w:tc>
          <w:tcPr>
            <w:tcW w:w="1215" w:type="dxa"/>
            <w:vAlign w:val="center"/>
          </w:tcPr>
          <w:p w14:paraId="63068215"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90—95</w:t>
            </w:r>
          </w:p>
        </w:tc>
        <w:tc>
          <w:tcPr>
            <w:tcW w:w="3090" w:type="dxa"/>
            <w:vAlign w:val="center"/>
          </w:tcPr>
          <w:p w14:paraId="0BB93AD2"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姿势正确，动作优美、协调，</w:t>
            </w:r>
          </w:p>
        </w:tc>
      </w:tr>
      <w:tr w:rsidR="00375FAF" w:rsidRPr="00375FAF" w14:paraId="5291A188" w14:textId="77777777" w:rsidTr="00375FAF">
        <w:tc>
          <w:tcPr>
            <w:tcW w:w="1180" w:type="dxa"/>
            <w:vAlign w:val="center"/>
          </w:tcPr>
          <w:p w14:paraId="432BB620"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9个</w:t>
            </w:r>
          </w:p>
        </w:tc>
        <w:tc>
          <w:tcPr>
            <w:tcW w:w="1170" w:type="dxa"/>
            <w:vAlign w:val="center"/>
          </w:tcPr>
          <w:p w14:paraId="7EF6BE97"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9个</w:t>
            </w:r>
          </w:p>
        </w:tc>
        <w:tc>
          <w:tcPr>
            <w:tcW w:w="975" w:type="dxa"/>
            <w:vAlign w:val="center"/>
          </w:tcPr>
          <w:p w14:paraId="5AFAA64F"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B</w:t>
            </w:r>
          </w:p>
        </w:tc>
        <w:tc>
          <w:tcPr>
            <w:tcW w:w="1140" w:type="dxa"/>
            <w:vAlign w:val="center"/>
          </w:tcPr>
          <w:p w14:paraId="5CCAFD7D"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良好</w:t>
            </w:r>
          </w:p>
        </w:tc>
        <w:tc>
          <w:tcPr>
            <w:tcW w:w="1215" w:type="dxa"/>
            <w:vAlign w:val="center"/>
          </w:tcPr>
          <w:p w14:paraId="726B879D"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80—89</w:t>
            </w:r>
          </w:p>
        </w:tc>
        <w:tc>
          <w:tcPr>
            <w:tcW w:w="3090" w:type="dxa"/>
            <w:vAlign w:val="center"/>
          </w:tcPr>
          <w:p w14:paraId="223E7EC2"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姿势较正确，动作自然，</w:t>
            </w:r>
          </w:p>
        </w:tc>
      </w:tr>
      <w:tr w:rsidR="00375FAF" w:rsidRPr="00375FAF" w14:paraId="09B37E47" w14:textId="77777777" w:rsidTr="00375FAF">
        <w:tc>
          <w:tcPr>
            <w:tcW w:w="1180" w:type="dxa"/>
            <w:vAlign w:val="center"/>
          </w:tcPr>
          <w:p w14:paraId="37EEBC11"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8个</w:t>
            </w:r>
          </w:p>
        </w:tc>
        <w:tc>
          <w:tcPr>
            <w:tcW w:w="1170" w:type="dxa"/>
            <w:vAlign w:val="center"/>
          </w:tcPr>
          <w:p w14:paraId="5CB1B3F6"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8个</w:t>
            </w:r>
          </w:p>
        </w:tc>
        <w:tc>
          <w:tcPr>
            <w:tcW w:w="975" w:type="dxa"/>
            <w:vAlign w:val="center"/>
          </w:tcPr>
          <w:p w14:paraId="2851D1C4"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C</w:t>
            </w:r>
          </w:p>
        </w:tc>
        <w:tc>
          <w:tcPr>
            <w:tcW w:w="1140" w:type="dxa"/>
            <w:vAlign w:val="center"/>
          </w:tcPr>
          <w:p w14:paraId="65E9072B"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良</w:t>
            </w:r>
          </w:p>
        </w:tc>
        <w:tc>
          <w:tcPr>
            <w:tcW w:w="1215" w:type="dxa"/>
            <w:vAlign w:val="center"/>
          </w:tcPr>
          <w:p w14:paraId="37C4FAF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70—79</w:t>
            </w:r>
          </w:p>
        </w:tc>
        <w:tc>
          <w:tcPr>
            <w:tcW w:w="3090" w:type="dxa"/>
            <w:vAlign w:val="center"/>
          </w:tcPr>
          <w:p w14:paraId="1ADC1F8F"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姿势一般，动作基本正确，</w:t>
            </w:r>
          </w:p>
        </w:tc>
      </w:tr>
      <w:tr w:rsidR="00375FAF" w:rsidRPr="00375FAF" w14:paraId="56FE53F7" w14:textId="77777777" w:rsidTr="00375FAF">
        <w:tc>
          <w:tcPr>
            <w:tcW w:w="1180" w:type="dxa"/>
            <w:vAlign w:val="center"/>
          </w:tcPr>
          <w:p w14:paraId="46002EA7"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7个</w:t>
            </w:r>
          </w:p>
        </w:tc>
        <w:tc>
          <w:tcPr>
            <w:tcW w:w="1170" w:type="dxa"/>
            <w:vAlign w:val="center"/>
          </w:tcPr>
          <w:p w14:paraId="100A93BD"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7个</w:t>
            </w:r>
          </w:p>
        </w:tc>
        <w:tc>
          <w:tcPr>
            <w:tcW w:w="975" w:type="dxa"/>
            <w:vAlign w:val="center"/>
          </w:tcPr>
          <w:p w14:paraId="00D26FB0"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D</w:t>
            </w:r>
          </w:p>
        </w:tc>
        <w:tc>
          <w:tcPr>
            <w:tcW w:w="1140" w:type="dxa"/>
            <w:vAlign w:val="center"/>
          </w:tcPr>
          <w:p w14:paraId="241364FE"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及格</w:t>
            </w:r>
          </w:p>
        </w:tc>
        <w:tc>
          <w:tcPr>
            <w:tcW w:w="1215" w:type="dxa"/>
            <w:vAlign w:val="center"/>
          </w:tcPr>
          <w:p w14:paraId="171624A4"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60—69</w:t>
            </w:r>
          </w:p>
        </w:tc>
        <w:tc>
          <w:tcPr>
            <w:tcW w:w="3090" w:type="dxa"/>
            <w:vAlign w:val="center"/>
          </w:tcPr>
          <w:p w14:paraId="478867AE"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动作不协调，有多余动作，</w:t>
            </w:r>
          </w:p>
        </w:tc>
      </w:tr>
      <w:tr w:rsidR="00375FAF" w:rsidRPr="00375FAF" w14:paraId="1ECE509D" w14:textId="77777777" w:rsidTr="00375FAF">
        <w:tc>
          <w:tcPr>
            <w:tcW w:w="1180" w:type="dxa"/>
            <w:vAlign w:val="center"/>
          </w:tcPr>
          <w:p w14:paraId="75E8137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6个以下</w:t>
            </w:r>
          </w:p>
        </w:tc>
        <w:tc>
          <w:tcPr>
            <w:tcW w:w="1170" w:type="dxa"/>
            <w:vAlign w:val="center"/>
          </w:tcPr>
          <w:p w14:paraId="63402CF9"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6个以下</w:t>
            </w:r>
          </w:p>
        </w:tc>
        <w:tc>
          <w:tcPr>
            <w:tcW w:w="975" w:type="dxa"/>
            <w:vAlign w:val="center"/>
          </w:tcPr>
          <w:p w14:paraId="300A3DD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E</w:t>
            </w:r>
          </w:p>
        </w:tc>
        <w:tc>
          <w:tcPr>
            <w:tcW w:w="1140" w:type="dxa"/>
            <w:vAlign w:val="center"/>
          </w:tcPr>
          <w:p w14:paraId="13F29AAD"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不及格</w:t>
            </w:r>
          </w:p>
        </w:tc>
        <w:tc>
          <w:tcPr>
            <w:tcW w:w="1215" w:type="dxa"/>
            <w:vAlign w:val="center"/>
          </w:tcPr>
          <w:p w14:paraId="5D249C36"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60以下</w:t>
            </w:r>
          </w:p>
        </w:tc>
        <w:tc>
          <w:tcPr>
            <w:tcW w:w="3090" w:type="dxa"/>
            <w:vAlign w:val="center"/>
          </w:tcPr>
          <w:p w14:paraId="6089BAC0"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动作僵硬，吃力，不协调</w:t>
            </w:r>
          </w:p>
        </w:tc>
      </w:tr>
    </w:tbl>
    <w:p w14:paraId="6BF749FC" w14:textId="77777777" w:rsidR="00375FAF" w:rsidRPr="00375FAF" w:rsidRDefault="00375FAF" w:rsidP="00375FAF">
      <w:pPr>
        <w:spacing w:beforeLines="50" w:before="156" w:afterLines="50" w:after="156" w:line="440" w:lineRule="exact"/>
        <w:rPr>
          <w:rFonts w:ascii="黑体" w:eastAsia="黑体" w:hAnsi="黑体" w:cs="Times New Roman"/>
          <w:sz w:val="28"/>
          <w:szCs w:val="28"/>
        </w:rPr>
      </w:pPr>
      <w:r w:rsidRPr="00375FAF">
        <w:rPr>
          <w:rFonts w:ascii="黑体" w:eastAsia="黑体" w:hAnsi="黑体" w:cs="Times New Roman" w:hint="eastAsia"/>
          <w:sz w:val="28"/>
          <w:szCs w:val="28"/>
        </w:rPr>
        <w:t>第三学期</w:t>
      </w:r>
    </w:p>
    <w:p w14:paraId="08DE362C" w14:textId="77777777" w:rsidR="00375FAF" w:rsidRPr="00375FAF" w:rsidRDefault="00375FAF" w:rsidP="00375FAF">
      <w:pPr>
        <w:adjustRightInd w:val="0"/>
        <w:snapToGrid w:val="0"/>
        <w:spacing w:line="500" w:lineRule="exact"/>
        <w:jc w:val="center"/>
        <w:rPr>
          <w:rFonts w:ascii="Calibri" w:eastAsia="宋体" w:hAnsi="Calibri" w:cs="Times New Roman"/>
          <w:b/>
          <w:bCs/>
          <w:sz w:val="24"/>
        </w:rPr>
      </w:pPr>
      <w:r w:rsidRPr="00375FAF">
        <w:rPr>
          <w:rFonts w:ascii="Calibri" w:eastAsia="宋体" w:hAnsi="Calibri" w:cs="Times New Roman" w:hint="eastAsia"/>
          <w:b/>
          <w:bCs/>
          <w:sz w:val="24"/>
        </w:rPr>
        <w:t>期中考试</w:t>
      </w:r>
    </w:p>
    <w:p w14:paraId="4FD0DF92" w14:textId="77777777" w:rsidR="00375FAF" w:rsidRPr="00375FAF" w:rsidRDefault="00375FAF" w:rsidP="00375FAF">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375FAF">
        <w:rPr>
          <w:rFonts w:ascii="宋体" w:eastAsia="宋体" w:hAnsi="Calibri" w:cs="Times New Roman" w:hint="eastAsia"/>
          <w:b/>
          <w:color w:val="000000"/>
          <w:kern w:val="0"/>
          <w:sz w:val="24"/>
        </w:rPr>
        <w:t>1.课程考核目标:</w:t>
      </w:r>
      <w:r w:rsidRPr="00375FAF">
        <w:rPr>
          <w:rFonts w:ascii="宋体" w:eastAsia="宋体" w:hAnsi="Calibri" w:cs="Times New Roman" w:hint="eastAsia"/>
          <w:bCs/>
          <w:color w:val="000000"/>
          <w:kern w:val="0"/>
          <w:sz w:val="24"/>
        </w:rPr>
        <w:t>通过考核检验网球技术教学效果和学生掌握情况，让学生了解选项课内容和科学体育锻炼方式方法。</w:t>
      </w:r>
    </w:p>
    <w:p w14:paraId="1B1DB69D" w14:textId="77777777" w:rsidR="00375FAF" w:rsidRPr="00375FAF" w:rsidRDefault="00375FAF" w:rsidP="00375FAF">
      <w:pPr>
        <w:adjustRightInd w:val="0"/>
        <w:snapToGrid w:val="0"/>
        <w:spacing w:line="500" w:lineRule="exact"/>
        <w:ind w:firstLineChars="200" w:firstLine="482"/>
        <w:rPr>
          <w:rFonts w:ascii="宋体" w:eastAsia="宋体" w:hAnsi="宋体" w:cs="宋体"/>
          <w:color w:val="000000"/>
          <w:sz w:val="24"/>
        </w:rPr>
      </w:pPr>
      <w:r w:rsidRPr="00375FAF">
        <w:rPr>
          <w:rFonts w:ascii="宋体" w:eastAsia="宋体" w:hAnsi="Calibri" w:cs="Times New Roman" w:hint="eastAsia"/>
          <w:b/>
          <w:color w:val="000000"/>
          <w:kern w:val="0"/>
          <w:sz w:val="24"/>
        </w:rPr>
        <w:t>2.课程考核的内容：</w:t>
      </w:r>
      <w:r w:rsidRPr="00375FAF">
        <w:rPr>
          <w:rFonts w:ascii="Calibri" w:eastAsia="宋体" w:hAnsi="Calibri" w:cs="Times New Roman" w:hint="eastAsia"/>
          <w:sz w:val="24"/>
        </w:rPr>
        <w:t>正手击球、反手击球技术</w:t>
      </w:r>
      <w:r w:rsidRPr="00375FAF">
        <w:rPr>
          <w:rFonts w:ascii="宋体" w:eastAsia="宋体" w:hAnsi="宋体" w:cs="宋体" w:hint="eastAsia"/>
          <w:color w:val="000000"/>
          <w:sz w:val="24"/>
        </w:rPr>
        <w:t>。</w:t>
      </w:r>
    </w:p>
    <w:p w14:paraId="5DF35EF4" w14:textId="77777777" w:rsidR="00375FAF" w:rsidRPr="00375FAF" w:rsidRDefault="00375FAF" w:rsidP="00375FAF">
      <w:pPr>
        <w:adjustRightInd w:val="0"/>
        <w:snapToGrid w:val="0"/>
        <w:spacing w:line="500" w:lineRule="exact"/>
        <w:ind w:firstLineChars="200" w:firstLine="482"/>
        <w:rPr>
          <w:rFonts w:ascii="宋体" w:eastAsia="宋体" w:hAnsi="Calibri" w:cs="Times New Roman"/>
          <w:bCs/>
          <w:color w:val="000000"/>
          <w:kern w:val="0"/>
          <w:sz w:val="24"/>
        </w:rPr>
      </w:pPr>
      <w:r w:rsidRPr="00375FAF">
        <w:rPr>
          <w:rFonts w:ascii="宋体" w:eastAsia="宋体" w:hAnsi="Calibri" w:cs="Times New Roman" w:hint="eastAsia"/>
          <w:b/>
          <w:color w:val="000000"/>
          <w:kern w:val="0"/>
          <w:sz w:val="24"/>
        </w:rPr>
        <w:t>3.课程考核方式：</w:t>
      </w:r>
      <w:r w:rsidRPr="00375FAF">
        <w:rPr>
          <w:rFonts w:ascii="Calibri" w:eastAsia="宋体" w:hAnsi="Calibri" w:cs="Times New Roman" w:hint="eastAsia"/>
          <w:sz w:val="24"/>
        </w:rPr>
        <w:t>正手击球</w:t>
      </w:r>
      <w:r w:rsidRPr="00375FAF">
        <w:rPr>
          <w:rFonts w:ascii="Calibri" w:eastAsia="宋体" w:hAnsi="Calibri" w:cs="Times New Roman" w:hint="eastAsia"/>
          <w:sz w:val="24"/>
        </w:rPr>
        <w:t>5</w:t>
      </w:r>
      <w:r w:rsidRPr="00375FAF">
        <w:rPr>
          <w:rFonts w:ascii="Calibri" w:eastAsia="宋体" w:hAnsi="Calibri" w:cs="Times New Roman" w:hint="eastAsia"/>
          <w:sz w:val="24"/>
        </w:rPr>
        <w:t>次，反手击球</w:t>
      </w:r>
      <w:r w:rsidRPr="00375FAF">
        <w:rPr>
          <w:rFonts w:ascii="Calibri" w:eastAsia="宋体" w:hAnsi="Calibri" w:cs="Times New Roman" w:hint="eastAsia"/>
          <w:sz w:val="24"/>
        </w:rPr>
        <w:t>5</w:t>
      </w:r>
      <w:r w:rsidRPr="00375FAF">
        <w:rPr>
          <w:rFonts w:ascii="Calibri" w:eastAsia="宋体" w:hAnsi="Calibri" w:cs="Times New Roman" w:hint="eastAsia"/>
          <w:sz w:val="24"/>
        </w:rPr>
        <w:t>次，要</w:t>
      </w:r>
      <w:proofErr w:type="gramStart"/>
      <w:r w:rsidRPr="00375FAF">
        <w:rPr>
          <w:rFonts w:ascii="Calibri" w:eastAsia="宋体" w:hAnsi="Calibri" w:cs="Times New Roman" w:hint="eastAsia"/>
          <w:sz w:val="24"/>
        </w:rPr>
        <w:t>求正</w:t>
      </w:r>
      <w:proofErr w:type="gramEnd"/>
      <w:r w:rsidRPr="00375FAF">
        <w:rPr>
          <w:rFonts w:ascii="Calibri" w:eastAsia="宋体" w:hAnsi="Calibri" w:cs="Times New Roman" w:hint="eastAsia"/>
          <w:sz w:val="24"/>
        </w:rPr>
        <w:t>反手必须击球点落在界内三次方可及格。</w:t>
      </w:r>
    </w:p>
    <w:p w14:paraId="5C8EA023" w14:textId="77777777" w:rsidR="00375FAF" w:rsidRPr="00375FAF" w:rsidRDefault="00375FAF" w:rsidP="00375FAF">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375FAF">
        <w:rPr>
          <w:rFonts w:ascii="宋体" w:eastAsia="宋体" w:hAnsi="Calibri" w:cs="Times New Roman" w:hint="eastAsia"/>
          <w:b/>
          <w:color w:val="000000"/>
          <w:kern w:val="0"/>
          <w:sz w:val="24"/>
        </w:rPr>
        <w:t>4.成绩构成及分值：</w:t>
      </w:r>
      <w:r w:rsidRPr="00375FAF">
        <w:rPr>
          <w:rFonts w:ascii="Calibri" w:eastAsia="宋体" w:hAnsi="Calibri" w:cs="Times New Roman" w:hint="eastAsia"/>
          <w:sz w:val="24"/>
        </w:rPr>
        <w:t>数量及技术评定分值各为</w:t>
      </w:r>
      <w:r w:rsidRPr="00375FAF">
        <w:rPr>
          <w:rFonts w:ascii="Calibri" w:eastAsia="宋体" w:hAnsi="Calibri" w:cs="Times New Roman" w:hint="eastAsia"/>
          <w:sz w:val="24"/>
        </w:rPr>
        <w:t>100</w:t>
      </w:r>
      <w:r w:rsidRPr="00375FAF">
        <w:rPr>
          <w:rFonts w:ascii="Calibri" w:eastAsia="宋体" w:hAnsi="Calibri" w:cs="Times New Roman" w:hint="eastAsia"/>
          <w:sz w:val="24"/>
        </w:rPr>
        <w:t>分，各占总分值的</w:t>
      </w:r>
      <w:r w:rsidRPr="00375FAF">
        <w:rPr>
          <w:rFonts w:ascii="Calibri" w:eastAsia="宋体" w:hAnsi="Calibri" w:cs="Times New Roman" w:hint="eastAsia"/>
          <w:sz w:val="24"/>
        </w:rPr>
        <w:t>50%</w:t>
      </w:r>
      <w:r w:rsidRPr="00375FAF">
        <w:rPr>
          <w:rFonts w:ascii="Calibri" w:eastAsia="宋体" w:hAnsi="Calibri" w:cs="Times New Roman" w:hint="eastAsia"/>
          <w:sz w:val="24"/>
        </w:rPr>
        <w:t>，总分值为</w:t>
      </w:r>
      <w:r w:rsidRPr="00375FAF">
        <w:rPr>
          <w:rFonts w:ascii="Calibri" w:eastAsia="宋体" w:hAnsi="Calibri" w:cs="Times New Roman" w:hint="eastAsia"/>
          <w:sz w:val="24"/>
        </w:rPr>
        <w:t>100</w:t>
      </w:r>
      <w:r w:rsidRPr="00375FAF">
        <w:rPr>
          <w:rFonts w:ascii="Calibri" w:eastAsia="宋体" w:hAnsi="Calibri" w:cs="Times New Roman" w:hint="eastAsia"/>
          <w:sz w:val="24"/>
        </w:rPr>
        <w:t>分。</w:t>
      </w:r>
    </w:p>
    <w:p w14:paraId="66A25553" w14:textId="77777777" w:rsidR="00375FAF" w:rsidRPr="00375FAF" w:rsidRDefault="00375FAF" w:rsidP="00375FAF">
      <w:pPr>
        <w:autoSpaceDE w:val="0"/>
        <w:autoSpaceDN w:val="0"/>
        <w:adjustRightInd w:val="0"/>
        <w:snapToGrid w:val="0"/>
        <w:spacing w:line="500" w:lineRule="exact"/>
        <w:ind w:firstLineChars="200" w:firstLine="482"/>
        <w:rPr>
          <w:rFonts w:ascii="宋体" w:eastAsia="宋体" w:hAnsi="宋体" w:cs="宋体"/>
          <w:b/>
          <w:color w:val="000000"/>
          <w:sz w:val="24"/>
        </w:rPr>
      </w:pPr>
      <w:r w:rsidRPr="00375FAF">
        <w:rPr>
          <w:rFonts w:ascii="宋体" w:eastAsia="宋体" w:hAnsi="Calibri" w:cs="Times New Roman" w:hint="eastAsia"/>
          <w:b/>
          <w:color w:val="000000"/>
          <w:kern w:val="0"/>
          <w:sz w:val="24"/>
        </w:rPr>
        <w:t>5.评分记分原则：</w:t>
      </w:r>
    </w:p>
    <w:tbl>
      <w:tblPr>
        <w:tblpPr w:leftFromText="180" w:rightFromText="180" w:vertAnchor="text" w:horzAnchor="page" w:tblpX="1837" w:tblpY="2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375FAF" w:rsidRPr="00375FAF" w14:paraId="77D6DCE4" w14:textId="77777777" w:rsidTr="00375FAF">
        <w:tc>
          <w:tcPr>
            <w:tcW w:w="1180" w:type="dxa"/>
            <w:vAlign w:val="center"/>
          </w:tcPr>
          <w:p w14:paraId="7CB03F98"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男生</w:t>
            </w:r>
          </w:p>
        </w:tc>
        <w:tc>
          <w:tcPr>
            <w:tcW w:w="1170" w:type="dxa"/>
            <w:vAlign w:val="center"/>
          </w:tcPr>
          <w:p w14:paraId="1084A062"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女生</w:t>
            </w:r>
          </w:p>
        </w:tc>
        <w:tc>
          <w:tcPr>
            <w:tcW w:w="975" w:type="dxa"/>
            <w:vAlign w:val="center"/>
          </w:tcPr>
          <w:p w14:paraId="4B09944F"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技术分</w:t>
            </w:r>
          </w:p>
        </w:tc>
        <w:tc>
          <w:tcPr>
            <w:tcW w:w="1140" w:type="dxa"/>
            <w:vAlign w:val="center"/>
          </w:tcPr>
          <w:p w14:paraId="498B8A31"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五级制</w:t>
            </w:r>
          </w:p>
        </w:tc>
        <w:tc>
          <w:tcPr>
            <w:tcW w:w="1215" w:type="dxa"/>
            <w:vAlign w:val="center"/>
          </w:tcPr>
          <w:p w14:paraId="09415E6F"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分值范围</w:t>
            </w:r>
          </w:p>
        </w:tc>
        <w:tc>
          <w:tcPr>
            <w:tcW w:w="3090" w:type="dxa"/>
            <w:vAlign w:val="center"/>
          </w:tcPr>
          <w:p w14:paraId="2BD079A1"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备注</w:t>
            </w:r>
          </w:p>
        </w:tc>
      </w:tr>
      <w:tr w:rsidR="00375FAF" w:rsidRPr="00375FAF" w14:paraId="7F5C9036" w14:textId="77777777" w:rsidTr="00375FAF">
        <w:tc>
          <w:tcPr>
            <w:tcW w:w="1180" w:type="dxa"/>
            <w:vAlign w:val="center"/>
          </w:tcPr>
          <w:p w14:paraId="08E51B01"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10个</w:t>
            </w:r>
          </w:p>
        </w:tc>
        <w:tc>
          <w:tcPr>
            <w:tcW w:w="1170" w:type="dxa"/>
            <w:vAlign w:val="center"/>
          </w:tcPr>
          <w:p w14:paraId="5849B8B9"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10个</w:t>
            </w:r>
          </w:p>
        </w:tc>
        <w:tc>
          <w:tcPr>
            <w:tcW w:w="975" w:type="dxa"/>
            <w:vAlign w:val="center"/>
          </w:tcPr>
          <w:p w14:paraId="1F40765D"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A</w:t>
            </w:r>
          </w:p>
        </w:tc>
        <w:tc>
          <w:tcPr>
            <w:tcW w:w="1140" w:type="dxa"/>
            <w:vAlign w:val="center"/>
          </w:tcPr>
          <w:p w14:paraId="07098982"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优</w:t>
            </w:r>
          </w:p>
        </w:tc>
        <w:tc>
          <w:tcPr>
            <w:tcW w:w="1215" w:type="dxa"/>
            <w:vAlign w:val="center"/>
          </w:tcPr>
          <w:p w14:paraId="13ECEAC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90—95</w:t>
            </w:r>
          </w:p>
        </w:tc>
        <w:tc>
          <w:tcPr>
            <w:tcW w:w="3090" w:type="dxa"/>
            <w:vAlign w:val="center"/>
          </w:tcPr>
          <w:p w14:paraId="02F80175"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姿势正确，动作优美、协调，</w:t>
            </w:r>
          </w:p>
        </w:tc>
      </w:tr>
      <w:tr w:rsidR="00375FAF" w:rsidRPr="00375FAF" w14:paraId="14B66346" w14:textId="77777777" w:rsidTr="00375FAF">
        <w:tc>
          <w:tcPr>
            <w:tcW w:w="1180" w:type="dxa"/>
            <w:vAlign w:val="center"/>
          </w:tcPr>
          <w:p w14:paraId="1D1555FE"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lastRenderedPageBreak/>
              <w:t>9个</w:t>
            </w:r>
          </w:p>
        </w:tc>
        <w:tc>
          <w:tcPr>
            <w:tcW w:w="1170" w:type="dxa"/>
            <w:vAlign w:val="center"/>
          </w:tcPr>
          <w:p w14:paraId="5690AABE"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9个</w:t>
            </w:r>
          </w:p>
        </w:tc>
        <w:tc>
          <w:tcPr>
            <w:tcW w:w="975" w:type="dxa"/>
            <w:vAlign w:val="center"/>
          </w:tcPr>
          <w:p w14:paraId="06F32114"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B</w:t>
            </w:r>
          </w:p>
        </w:tc>
        <w:tc>
          <w:tcPr>
            <w:tcW w:w="1140" w:type="dxa"/>
            <w:vAlign w:val="center"/>
          </w:tcPr>
          <w:p w14:paraId="3848BEE1"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良好</w:t>
            </w:r>
          </w:p>
        </w:tc>
        <w:tc>
          <w:tcPr>
            <w:tcW w:w="1215" w:type="dxa"/>
            <w:vAlign w:val="center"/>
          </w:tcPr>
          <w:p w14:paraId="59CF8392"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80—89</w:t>
            </w:r>
          </w:p>
        </w:tc>
        <w:tc>
          <w:tcPr>
            <w:tcW w:w="3090" w:type="dxa"/>
            <w:vAlign w:val="center"/>
          </w:tcPr>
          <w:p w14:paraId="08F75CF9"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姿势较正确，动作自然，</w:t>
            </w:r>
          </w:p>
        </w:tc>
      </w:tr>
      <w:tr w:rsidR="00375FAF" w:rsidRPr="00375FAF" w14:paraId="0A9BD4F5" w14:textId="77777777" w:rsidTr="00375FAF">
        <w:tc>
          <w:tcPr>
            <w:tcW w:w="1180" w:type="dxa"/>
            <w:vAlign w:val="center"/>
          </w:tcPr>
          <w:p w14:paraId="340B2B5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8个</w:t>
            </w:r>
          </w:p>
        </w:tc>
        <w:tc>
          <w:tcPr>
            <w:tcW w:w="1170" w:type="dxa"/>
            <w:vAlign w:val="center"/>
          </w:tcPr>
          <w:p w14:paraId="2B8AFB01"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8个</w:t>
            </w:r>
          </w:p>
        </w:tc>
        <w:tc>
          <w:tcPr>
            <w:tcW w:w="975" w:type="dxa"/>
            <w:vAlign w:val="center"/>
          </w:tcPr>
          <w:p w14:paraId="0DCC3101"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C</w:t>
            </w:r>
          </w:p>
        </w:tc>
        <w:tc>
          <w:tcPr>
            <w:tcW w:w="1140" w:type="dxa"/>
            <w:vAlign w:val="center"/>
          </w:tcPr>
          <w:p w14:paraId="6D80AC75"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良</w:t>
            </w:r>
          </w:p>
        </w:tc>
        <w:tc>
          <w:tcPr>
            <w:tcW w:w="1215" w:type="dxa"/>
            <w:vAlign w:val="center"/>
          </w:tcPr>
          <w:p w14:paraId="7C64EE1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70—79</w:t>
            </w:r>
          </w:p>
        </w:tc>
        <w:tc>
          <w:tcPr>
            <w:tcW w:w="3090" w:type="dxa"/>
            <w:vAlign w:val="center"/>
          </w:tcPr>
          <w:p w14:paraId="470E4C8F"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姿势一般，动作基本正确，</w:t>
            </w:r>
          </w:p>
        </w:tc>
      </w:tr>
      <w:tr w:rsidR="00375FAF" w:rsidRPr="00375FAF" w14:paraId="732BDE17" w14:textId="77777777" w:rsidTr="00375FAF">
        <w:tc>
          <w:tcPr>
            <w:tcW w:w="1180" w:type="dxa"/>
            <w:vAlign w:val="center"/>
          </w:tcPr>
          <w:p w14:paraId="174567A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7个</w:t>
            </w:r>
          </w:p>
        </w:tc>
        <w:tc>
          <w:tcPr>
            <w:tcW w:w="1170" w:type="dxa"/>
            <w:vAlign w:val="center"/>
          </w:tcPr>
          <w:p w14:paraId="5CA6A21F"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7个</w:t>
            </w:r>
          </w:p>
        </w:tc>
        <w:tc>
          <w:tcPr>
            <w:tcW w:w="975" w:type="dxa"/>
            <w:vAlign w:val="center"/>
          </w:tcPr>
          <w:p w14:paraId="7FA67665"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D</w:t>
            </w:r>
          </w:p>
        </w:tc>
        <w:tc>
          <w:tcPr>
            <w:tcW w:w="1140" w:type="dxa"/>
            <w:vAlign w:val="center"/>
          </w:tcPr>
          <w:p w14:paraId="3018F98D"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及格</w:t>
            </w:r>
          </w:p>
        </w:tc>
        <w:tc>
          <w:tcPr>
            <w:tcW w:w="1215" w:type="dxa"/>
            <w:vAlign w:val="center"/>
          </w:tcPr>
          <w:p w14:paraId="492A6F9D"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60—69</w:t>
            </w:r>
          </w:p>
        </w:tc>
        <w:tc>
          <w:tcPr>
            <w:tcW w:w="3090" w:type="dxa"/>
            <w:vAlign w:val="center"/>
          </w:tcPr>
          <w:p w14:paraId="7C08A842"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动作不协调，有多余动作，</w:t>
            </w:r>
          </w:p>
        </w:tc>
      </w:tr>
      <w:tr w:rsidR="00375FAF" w:rsidRPr="00375FAF" w14:paraId="7A059C10" w14:textId="77777777" w:rsidTr="00375FAF">
        <w:tc>
          <w:tcPr>
            <w:tcW w:w="1180" w:type="dxa"/>
            <w:vAlign w:val="center"/>
          </w:tcPr>
          <w:p w14:paraId="74F40AC5"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6个以下</w:t>
            </w:r>
          </w:p>
        </w:tc>
        <w:tc>
          <w:tcPr>
            <w:tcW w:w="1170" w:type="dxa"/>
            <w:vAlign w:val="center"/>
          </w:tcPr>
          <w:p w14:paraId="514E0F7E"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6个以下</w:t>
            </w:r>
          </w:p>
        </w:tc>
        <w:tc>
          <w:tcPr>
            <w:tcW w:w="975" w:type="dxa"/>
            <w:vAlign w:val="center"/>
          </w:tcPr>
          <w:p w14:paraId="3AB52C37"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E</w:t>
            </w:r>
          </w:p>
        </w:tc>
        <w:tc>
          <w:tcPr>
            <w:tcW w:w="1140" w:type="dxa"/>
            <w:vAlign w:val="center"/>
          </w:tcPr>
          <w:p w14:paraId="536E12D8"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不及格</w:t>
            </w:r>
          </w:p>
        </w:tc>
        <w:tc>
          <w:tcPr>
            <w:tcW w:w="1215" w:type="dxa"/>
            <w:vAlign w:val="center"/>
          </w:tcPr>
          <w:p w14:paraId="40D5D2A4"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60以下</w:t>
            </w:r>
          </w:p>
        </w:tc>
        <w:tc>
          <w:tcPr>
            <w:tcW w:w="3090" w:type="dxa"/>
            <w:vAlign w:val="center"/>
          </w:tcPr>
          <w:p w14:paraId="65FEC62D"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动作僵硬，吃力，不协调</w:t>
            </w:r>
          </w:p>
        </w:tc>
      </w:tr>
    </w:tbl>
    <w:p w14:paraId="44410B59" w14:textId="77777777" w:rsidR="00375FAF" w:rsidRPr="00375FAF" w:rsidRDefault="00375FAF" w:rsidP="00375FAF">
      <w:pPr>
        <w:adjustRightInd w:val="0"/>
        <w:snapToGrid w:val="0"/>
        <w:spacing w:line="500" w:lineRule="exact"/>
        <w:jc w:val="center"/>
        <w:rPr>
          <w:rFonts w:ascii="Calibri" w:eastAsia="宋体" w:hAnsi="Calibri" w:cs="Times New Roman"/>
          <w:b/>
          <w:bCs/>
          <w:sz w:val="24"/>
        </w:rPr>
      </w:pPr>
      <w:r w:rsidRPr="00375FAF">
        <w:rPr>
          <w:rFonts w:ascii="Calibri" w:eastAsia="宋体" w:hAnsi="Calibri" w:cs="Times New Roman" w:hint="eastAsia"/>
          <w:b/>
          <w:bCs/>
          <w:sz w:val="24"/>
        </w:rPr>
        <w:t>期末考试</w:t>
      </w:r>
    </w:p>
    <w:p w14:paraId="0E5D20CA" w14:textId="77777777" w:rsidR="00375FAF" w:rsidRPr="00375FAF" w:rsidRDefault="00375FAF" w:rsidP="00375FAF">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375FAF">
        <w:rPr>
          <w:rFonts w:ascii="宋体" w:eastAsia="宋体" w:hAnsi="Calibri" w:cs="Times New Roman" w:hint="eastAsia"/>
          <w:b/>
          <w:color w:val="000000"/>
          <w:kern w:val="0"/>
          <w:sz w:val="24"/>
        </w:rPr>
        <w:t>1.课程考核目标:</w:t>
      </w:r>
      <w:r w:rsidRPr="00375FAF">
        <w:rPr>
          <w:rFonts w:ascii="宋体" w:eastAsia="宋体" w:hAnsi="Calibri" w:cs="Times New Roman" w:hint="eastAsia"/>
          <w:bCs/>
          <w:color w:val="000000"/>
          <w:kern w:val="0"/>
          <w:sz w:val="24"/>
        </w:rPr>
        <w:t>通过考核检验网球技术教学效果和学生掌握情况，让学生了解选项课内容和科学体育锻炼方式方法。</w:t>
      </w:r>
    </w:p>
    <w:p w14:paraId="25BF957D" w14:textId="77777777" w:rsidR="00375FAF" w:rsidRPr="00375FAF" w:rsidRDefault="00375FAF" w:rsidP="00375FAF">
      <w:pPr>
        <w:adjustRightInd w:val="0"/>
        <w:snapToGrid w:val="0"/>
        <w:spacing w:line="500" w:lineRule="exact"/>
        <w:ind w:firstLineChars="200" w:firstLine="482"/>
        <w:rPr>
          <w:rFonts w:ascii="宋体" w:eastAsia="宋体" w:hAnsi="宋体" w:cs="宋体"/>
          <w:color w:val="000000"/>
          <w:sz w:val="24"/>
        </w:rPr>
      </w:pPr>
      <w:r w:rsidRPr="00375FAF">
        <w:rPr>
          <w:rFonts w:ascii="宋体" w:eastAsia="宋体" w:hAnsi="Calibri" w:cs="Times New Roman" w:hint="eastAsia"/>
          <w:b/>
          <w:color w:val="000000"/>
          <w:kern w:val="0"/>
          <w:sz w:val="24"/>
        </w:rPr>
        <w:t>2.课程考核的内容：</w:t>
      </w:r>
      <w:r w:rsidRPr="00375FAF">
        <w:rPr>
          <w:rFonts w:ascii="Calibri" w:eastAsia="宋体" w:hAnsi="Calibri" w:cs="Times New Roman" w:hint="eastAsia"/>
          <w:sz w:val="24"/>
        </w:rPr>
        <w:t>上手发球技术</w:t>
      </w:r>
      <w:r w:rsidRPr="00375FAF">
        <w:rPr>
          <w:rFonts w:ascii="宋体" w:eastAsia="宋体" w:hAnsi="宋体" w:cs="宋体" w:hint="eastAsia"/>
          <w:color w:val="000000"/>
          <w:sz w:val="24"/>
        </w:rPr>
        <w:t>。</w:t>
      </w:r>
    </w:p>
    <w:p w14:paraId="41D6A76A" w14:textId="77777777" w:rsidR="00375FAF" w:rsidRPr="00375FAF" w:rsidRDefault="00375FAF" w:rsidP="00375FAF">
      <w:pPr>
        <w:adjustRightInd w:val="0"/>
        <w:snapToGrid w:val="0"/>
        <w:spacing w:line="500" w:lineRule="exact"/>
        <w:ind w:firstLineChars="200" w:firstLine="482"/>
        <w:rPr>
          <w:rFonts w:ascii="宋体" w:eastAsia="宋体" w:hAnsi="Calibri" w:cs="Times New Roman"/>
          <w:bCs/>
          <w:color w:val="000000"/>
          <w:kern w:val="0"/>
          <w:sz w:val="24"/>
        </w:rPr>
      </w:pPr>
      <w:r w:rsidRPr="00375FAF">
        <w:rPr>
          <w:rFonts w:ascii="宋体" w:eastAsia="宋体" w:hAnsi="Calibri" w:cs="Times New Roman" w:hint="eastAsia"/>
          <w:b/>
          <w:color w:val="000000"/>
          <w:kern w:val="0"/>
          <w:sz w:val="24"/>
        </w:rPr>
        <w:t>3.课程考核方式：</w:t>
      </w:r>
      <w:r w:rsidRPr="00375FAF">
        <w:rPr>
          <w:rFonts w:ascii="Calibri" w:eastAsia="宋体" w:hAnsi="Calibri" w:cs="Times New Roman" w:hint="eastAsia"/>
          <w:sz w:val="24"/>
        </w:rPr>
        <w:t>从发球区运用下手发球技术，进行下手发球。按照正式比赛规则进行。</w:t>
      </w:r>
    </w:p>
    <w:p w14:paraId="62E16087" w14:textId="77777777" w:rsidR="00375FAF" w:rsidRPr="00375FAF" w:rsidRDefault="00375FAF" w:rsidP="00375FAF">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375FAF">
        <w:rPr>
          <w:rFonts w:ascii="宋体" w:eastAsia="宋体" w:hAnsi="Calibri" w:cs="Times New Roman" w:hint="eastAsia"/>
          <w:b/>
          <w:color w:val="000000"/>
          <w:kern w:val="0"/>
          <w:sz w:val="24"/>
        </w:rPr>
        <w:t>4.成绩构成及分值：</w:t>
      </w:r>
      <w:r w:rsidRPr="00375FAF">
        <w:rPr>
          <w:rFonts w:ascii="Calibri" w:eastAsia="宋体" w:hAnsi="Calibri" w:cs="Times New Roman" w:hint="eastAsia"/>
          <w:sz w:val="24"/>
        </w:rPr>
        <w:t>数量及技术评定分值各为</w:t>
      </w:r>
      <w:r w:rsidRPr="00375FAF">
        <w:rPr>
          <w:rFonts w:ascii="Calibri" w:eastAsia="宋体" w:hAnsi="Calibri" w:cs="Times New Roman" w:hint="eastAsia"/>
          <w:sz w:val="24"/>
        </w:rPr>
        <w:t>100</w:t>
      </w:r>
      <w:r w:rsidRPr="00375FAF">
        <w:rPr>
          <w:rFonts w:ascii="Calibri" w:eastAsia="宋体" w:hAnsi="Calibri" w:cs="Times New Roman" w:hint="eastAsia"/>
          <w:sz w:val="24"/>
        </w:rPr>
        <w:t>分，各占总分值的</w:t>
      </w:r>
      <w:r w:rsidRPr="00375FAF">
        <w:rPr>
          <w:rFonts w:ascii="Calibri" w:eastAsia="宋体" w:hAnsi="Calibri" w:cs="Times New Roman" w:hint="eastAsia"/>
          <w:sz w:val="24"/>
        </w:rPr>
        <w:t>50%</w:t>
      </w:r>
      <w:r w:rsidRPr="00375FAF">
        <w:rPr>
          <w:rFonts w:ascii="Calibri" w:eastAsia="宋体" w:hAnsi="Calibri" w:cs="Times New Roman" w:hint="eastAsia"/>
          <w:sz w:val="24"/>
        </w:rPr>
        <w:t>，总分值为</w:t>
      </w:r>
      <w:r w:rsidRPr="00375FAF">
        <w:rPr>
          <w:rFonts w:ascii="Calibri" w:eastAsia="宋体" w:hAnsi="Calibri" w:cs="Times New Roman" w:hint="eastAsia"/>
          <w:sz w:val="24"/>
        </w:rPr>
        <w:t>100</w:t>
      </w:r>
      <w:r w:rsidRPr="00375FAF">
        <w:rPr>
          <w:rFonts w:ascii="Calibri" w:eastAsia="宋体" w:hAnsi="Calibri" w:cs="Times New Roman" w:hint="eastAsia"/>
          <w:sz w:val="24"/>
        </w:rPr>
        <w:t>分。</w:t>
      </w:r>
    </w:p>
    <w:p w14:paraId="7B40FEC5" w14:textId="77777777" w:rsidR="00375FAF" w:rsidRPr="00375FAF" w:rsidRDefault="00375FAF" w:rsidP="00375FAF">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375FAF">
        <w:rPr>
          <w:rFonts w:ascii="宋体" w:eastAsia="宋体" w:hAnsi="Calibri" w:cs="Times New Roman" w:hint="eastAsia"/>
          <w:b/>
          <w:color w:val="000000"/>
          <w:kern w:val="0"/>
          <w:sz w:val="24"/>
        </w:rPr>
        <w:t>5.评分记分原则：</w:t>
      </w:r>
    </w:p>
    <w:tbl>
      <w:tblPr>
        <w:tblpPr w:leftFromText="180" w:rightFromText="180" w:vertAnchor="text" w:horzAnchor="page" w:tblpX="2437" w:tblpY="25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5"/>
        <w:gridCol w:w="900"/>
        <w:gridCol w:w="930"/>
        <w:gridCol w:w="1215"/>
        <w:gridCol w:w="3090"/>
      </w:tblGrid>
      <w:tr w:rsidR="00375FAF" w:rsidRPr="00375FAF" w14:paraId="51815571" w14:textId="77777777" w:rsidTr="00375FAF">
        <w:tc>
          <w:tcPr>
            <w:tcW w:w="1275" w:type="dxa"/>
            <w:vAlign w:val="center"/>
          </w:tcPr>
          <w:p w14:paraId="077AC2B5"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男女生发球</w:t>
            </w:r>
          </w:p>
        </w:tc>
        <w:tc>
          <w:tcPr>
            <w:tcW w:w="900" w:type="dxa"/>
            <w:vAlign w:val="center"/>
          </w:tcPr>
          <w:p w14:paraId="0B8C460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技术分</w:t>
            </w:r>
          </w:p>
        </w:tc>
        <w:tc>
          <w:tcPr>
            <w:tcW w:w="930" w:type="dxa"/>
            <w:vAlign w:val="center"/>
          </w:tcPr>
          <w:p w14:paraId="1F67AE86"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五级制</w:t>
            </w:r>
          </w:p>
        </w:tc>
        <w:tc>
          <w:tcPr>
            <w:tcW w:w="1215" w:type="dxa"/>
            <w:vAlign w:val="center"/>
          </w:tcPr>
          <w:p w14:paraId="679F09B1"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分值范围</w:t>
            </w:r>
          </w:p>
        </w:tc>
        <w:tc>
          <w:tcPr>
            <w:tcW w:w="3090" w:type="dxa"/>
            <w:vAlign w:val="center"/>
          </w:tcPr>
          <w:p w14:paraId="5B43C249"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备注</w:t>
            </w:r>
          </w:p>
        </w:tc>
      </w:tr>
      <w:tr w:rsidR="00375FAF" w:rsidRPr="00375FAF" w14:paraId="1B44AF87" w14:textId="77777777" w:rsidTr="00375FAF">
        <w:tc>
          <w:tcPr>
            <w:tcW w:w="1275" w:type="dxa"/>
            <w:vAlign w:val="center"/>
          </w:tcPr>
          <w:p w14:paraId="69B7B19B"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10</w:t>
            </w:r>
          </w:p>
        </w:tc>
        <w:tc>
          <w:tcPr>
            <w:tcW w:w="900" w:type="dxa"/>
            <w:vAlign w:val="center"/>
          </w:tcPr>
          <w:p w14:paraId="4725742E"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A</w:t>
            </w:r>
          </w:p>
        </w:tc>
        <w:tc>
          <w:tcPr>
            <w:tcW w:w="930" w:type="dxa"/>
            <w:vAlign w:val="center"/>
          </w:tcPr>
          <w:p w14:paraId="02E6DFA2"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优</w:t>
            </w:r>
          </w:p>
        </w:tc>
        <w:tc>
          <w:tcPr>
            <w:tcW w:w="1215" w:type="dxa"/>
            <w:vAlign w:val="center"/>
          </w:tcPr>
          <w:p w14:paraId="6E1DF1F0"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90—95</w:t>
            </w:r>
          </w:p>
        </w:tc>
        <w:tc>
          <w:tcPr>
            <w:tcW w:w="3090" w:type="dxa"/>
            <w:vAlign w:val="center"/>
          </w:tcPr>
          <w:p w14:paraId="0DD764D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姿势正确，动作优美、协调，</w:t>
            </w:r>
          </w:p>
        </w:tc>
      </w:tr>
      <w:tr w:rsidR="00375FAF" w:rsidRPr="00375FAF" w14:paraId="58A8B48E" w14:textId="77777777" w:rsidTr="00375FAF">
        <w:tc>
          <w:tcPr>
            <w:tcW w:w="1275" w:type="dxa"/>
            <w:vAlign w:val="center"/>
          </w:tcPr>
          <w:p w14:paraId="350E8797"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9</w:t>
            </w:r>
          </w:p>
        </w:tc>
        <w:tc>
          <w:tcPr>
            <w:tcW w:w="900" w:type="dxa"/>
            <w:vAlign w:val="center"/>
          </w:tcPr>
          <w:p w14:paraId="09747284"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B</w:t>
            </w:r>
          </w:p>
        </w:tc>
        <w:tc>
          <w:tcPr>
            <w:tcW w:w="930" w:type="dxa"/>
            <w:vAlign w:val="center"/>
          </w:tcPr>
          <w:p w14:paraId="5359F071"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良好</w:t>
            </w:r>
          </w:p>
        </w:tc>
        <w:tc>
          <w:tcPr>
            <w:tcW w:w="1215" w:type="dxa"/>
            <w:vAlign w:val="center"/>
          </w:tcPr>
          <w:p w14:paraId="3C6A0B9F"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80—89</w:t>
            </w:r>
          </w:p>
        </w:tc>
        <w:tc>
          <w:tcPr>
            <w:tcW w:w="3090" w:type="dxa"/>
            <w:vAlign w:val="center"/>
          </w:tcPr>
          <w:p w14:paraId="4B4CB42B"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姿势较正确，动作自然，</w:t>
            </w:r>
          </w:p>
        </w:tc>
      </w:tr>
      <w:tr w:rsidR="00375FAF" w:rsidRPr="00375FAF" w14:paraId="44AD1546" w14:textId="77777777" w:rsidTr="00375FAF">
        <w:tc>
          <w:tcPr>
            <w:tcW w:w="1275" w:type="dxa"/>
            <w:vAlign w:val="center"/>
          </w:tcPr>
          <w:p w14:paraId="5B238ABE"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8</w:t>
            </w:r>
          </w:p>
        </w:tc>
        <w:tc>
          <w:tcPr>
            <w:tcW w:w="900" w:type="dxa"/>
            <w:vAlign w:val="center"/>
          </w:tcPr>
          <w:p w14:paraId="7D8E8F15"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C</w:t>
            </w:r>
          </w:p>
        </w:tc>
        <w:tc>
          <w:tcPr>
            <w:tcW w:w="930" w:type="dxa"/>
            <w:vAlign w:val="center"/>
          </w:tcPr>
          <w:p w14:paraId="611426B1"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良</w:t>
            </w:r>
          </w:p>
        </w:tc>
        <w:tc>
          <w:tcPr>
            <w:tcW w:w="1215" w:type="dxa"/>
            <w:vAlign w:val="center"/>
          </w:tcPr>
          <w:p w14:paraId="5D1D3D20"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70—79</w:t>
            </w:r>
          </w:p>
        </w:tc>
        <w:tc>
          <w:tcPr>
            <w:tcW w:w="3090" w:type="dxa"/>
            <w:vAlign w:val="center"/>
          </w:tcPr>
          <w:p w14:paraId="45BED2E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姿势一般，动作基本正确，</w:t>
            </w:r>
          </w:p>
        </w:tc>
      </w:tr>
      <w:tr w:rsidR="00375FAF" w:rsidRPr="00375FAF" w14:paraId="0B6AB0A2" w14:textId="77777777" w:rsidTr="00375FAF">
        <w:tc>
          <w:tcPr>
            <w:tcW w:w="1275" w:type="dxa"/>
            <w:vAlign w:val="center"/>
          </w:tcPr>
          <w:p w14:paraId="3F15EADB"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7</w:t>
            </w:r>
          </w:p>
        </w:tc>
        <w:tc>
          <w:tcPr>
            <w:tcW w:w="900" w:type="dxa"/>
            <w:vAlign w:val="center"/>
          </w:tcPr>
          <w:p w14:paraId="46DFB7E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D</w:t>
            </w:r>
          </w:p>
        </w:tc>
        <w:tc>
          <w:tcPr>
            <w:tcW w:w="930" w:type="dxa"/>
            <w:vAlign w:val="center"/>
          </w:tcPr>
          <w:p w14:paraId="0F9E61A0"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及格</w:t>
            </w:r>
          </w:p>
        </w:tc>
        <w:tc>
          <w:tcPr>
            <w:tcW w:w="1215" w:type="dxa"/>
            <w:vAlign w:val="center"/>
          </w:tcPr>
          <w:p w14:paraId="4A13E8A7"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60—69</w:t>
            </w:r>
          </w:p>
        </w:tc>
        <w:tc>
          <w:tcPr>
            <w:tcW w:w="3090" w:type="dxa"/>
            <w:vAlign w:val="center"/>
          </w:tcPr>
          <w:p w14:paraId="78D12AF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动作不协调，有多余动作，</w:t>
            </w:r>
          </w:p>
        </w:tc>
      </w:tr>
      <w:tr w:rsidR="00375FAF" w:rsidRPr="00375FAF" w14:paraId="5A76A3BC" w14:textId="77777777" w:rsidTr="00375FAF">
        <w:tc>
          <w:tcPr>
            <w:tcW w:w="1275" w:type="dxa"/>
            <w:vAlign w:val="center"/>
          </w:tcPr>
          <w:p w14:paraId="1706FB6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w:t>
            </w:r>
          </w:p>
        </w:tc>
        <w:tc>
          <w:tcPr>
            <w:tcW w:w="900" w:type="dxa"/>
            <w:vAlign w:val="center"/>
          </w:tcPr>
          <w:p w14:paraId="01E7CCB5"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E</w:t>
            </w:r>
          </w:p>
        </w:tc>
        <w:tc>
          <w:tcPr>
            <w:tcW w:w="930" w:type="dxa"/>
            <w:vAlign w:val="center"/>
          </w:tcPr>
          <w:p w14:paraId="34A4DBE6"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不及格</w:t>
            </w:r>
          </w:p>
        </w:tc>
        <w:tc>
          <w:tcPr>
            <w:tcW w:w="1215" w:type="dxa"/>
            <w:vAlign w:val="center"/>
          </w:tcPr>
          <w:p w14:paraId="3394DD7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60以下</w:t>
            </w:r>
          </w:p>
        </w:tc>
        <w:tc>
          <w:tcPr>
            <w:tcW w:w="3090" w:type="dxa"/>
            <w:vAlign w:val="center"/>
          </w:tcPr>
          <w:p w14:paraId="71015068"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动作僵硬，吃力，不协调</w:t>
            </w:r>
          </w:p>
        </w:tc>
      </w:tr>
    </w:tbl>
    <w:p w14:paraId="14744A2D" w14:textId="77777777" w:rsidR="00375FAF" w:rsidRPr="00375FAF" w:rsidRDefault="00375FAF" w:rsidP="00375FAF">
      <w:pPr>
        <w:spacing w:beforeLines="50" w:before="156" w:afterLines="50" w:after="156" w:line="440" w:lineRule="exact"/>
        <w:rPr>
          <w:rFonts w:ascii="黑体" w:eastAsia="黑体" w:hAnsi="黑体" w:cs="Times New Roman"/>
          <w:sz w:val="28"/>
          <w:szCs w:val="28"/>
        </w:rPr>
      </w:pPr>
      <w:r w:rsidRPr="00375FAF">
        <w:rPr>
          <w:rFonts w:ascii="黑体" w:eastAsia="黑体" w:hAnsi="黑体" w:cs="Times New Roman" w:hint="eastAsia"/>
          <w:sz w:val="28"/>
          <w:szCs w:val="28"/>
        </w:rPr>
        <w:t>第四学期</w:t>
      </w:r>
    </w:p>
    <w:p w14:paraId="4C4E62E2" w14:textId="77777777" w:rsidR="00375FAF" w:rsidRPr="00375FAF" w:rsidRDefault="00375FAF" w:rsidP="00375FAF">
      <w:pPr>
        <w:adjustRightInd w:val="0"/>
        <w:snapToGrid w:val="0"/>
        <w:spacing w:line="500" w:lineRule="exact"/>
        <w:jc w:val="center"/>
        <w:rPr>
          <w:rFonts w:ascii="Calibri" w:eastAsia="宋体" w:hAnsi="Calibri" w:cs="Times New Roman"/>
          <w:b/>
          <w:bCs/>
          <w:sz w:val="24"/>
        </w:rPr>
      </w:pPr>
      <w:r w:rsidRPr="00375FAF">
        <w:rPr>
          <w:rFonts w:ascii="Calibri" w:eastAsia="宋体" w:hAnsi="Calibri" w:cs="Times New Roman" w:hint="eastAsia"/>
          <w:b/>
          <w:bCs/>
          <w:sz w:val="24"/>
        </w:rPr>
        <w:t>期中考试</w:t>
      </w:r>
    </w:p>
    <w:p w14:paraId="76345D54" w14:textId="77777777" w:rsidR="00375FAF" w:rsidRPr="00375FAF" w:rsidRDefault="00375FAF" w:rsidP="00375FAF">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375FAF">
        <w:rPr>
          <w:rFonts w:ascii="宋体" w:eastAsia="宋体" w:hAnsi="Calibri" w:cs="Times New Roman" w:hint="eastAsia"/>
          <w:b/>
          <w:color w:val="000000"/>
          <w:kern w:val="0"/>
          <w:sz w:val="24"/>
        </w:rPr>
        <w:lastRenderedPageBreak/>
        <w:t>1.课程考核目标:</w:t>
      </w:r>
      <w:r w:rsidRPr="00375FAF">
        <w:rPr>
          <w:rFonts w:ascii="宋体" w:eastAsia="宋体" w:hAnsi="Calibri" w:cs="Times New Roman" w:hint="eastAsia"/>
          <w:bCs/>
          <w:color w:val="000000"/>
          <w:kern w:val="0"/>
          <w:sz w:val="24"/>
        </w:rPr>
        <w:t>通过考核网球技术教学效果和学生掌握情况，让学生了解选项课内容和科学体育锻炼方式方法。</w:t>
      </w:r>
    </w:p>
    <w:p w14:paraId="51ED4890" w14:textId="77777777" w:rsidR="00375FAF" w:rsidRPr="00375FAF" w:rsidRDefault="00375FAF" w:rsidP="00375FAF">
      <w:pPr>
        <w:adjustRightInd w:val="0"/>
        <w:snapToGrid w:val="0"/>
        <w:spacing w:line="500" w:lineRule="exact"/>
        <w:ind w:firstLineChars="200" w:firstLine="482"/>
        <w:rPr>
          <w:rFonts w:ascii="Calibri" w:eastAsia="宋体" w:hAnsi="Calibri" w:cs="Times New Roman"/>
          <w:sz w:val="24"/>
        </w:rPr>
      </w:pPr>
      <w:r w:rsidRPr="00375FAF">
        <w:rPr>
          <w:rFonts w:ascii="宋体" w:eastAsia="宋体" w:hAnsi="Calibri" w:cs="Times New Roman" w:hint="eastAsia"/>
          <w:b/>
          <w:color w:val="000000"/>
          <w:kern w:val="0"/>
          <w:sz w:val="24"/>
        </w:rPr>
        <w:t>2.课程考核的内容：</w:t>
      </w:r>
      <w:r w:rsidRPr="00375FAF">
        <w:rPr>
          <w:rFonts w:ascii="Calibri" w:eastAsia="宋体" w:hAnsi="Calibri" w:cs="Times New Roman" w:hint="eastAsia"/>
          <w:sz w:val="24"/>
        </w:rPr>
        <w:t>对颠球技术</w:t>
      </w:r>
    </w:p>
    <w:p w14:paraId="1705AFA1" w14:textId="77777777" w:rsidR="00375FAF" w:rsidRPr="00375FAF" w:rsidRDefault="00375FAF" w:rsidP="00375FAF">
      <w:pPr>
        <w:adjustRightInd w:val="0"/>
        <w:snapToGrid w:val="0"/>
        <w:spacing w:line="500" w:lineRule="exact"/>
        <w:ind w:firstLineChars="200" w:firstLine="482"/>
        <w:rPr>
          <w:rFonts w:ascii="宋体" w:eastAsia="宋体" w:hAnsi="宋体" w:cs="宋体"/>
          <w:color w:val="000000"/>
          <w:sz w:val="24"/>
        </w:rPr>
      </w:pPr>
      <w:r w:rsidRPr="00375FAF">
        <w:rPr>
          <w:rFonts w:ascii="宋体" w:eastAsia="宋体" w:hAnsi="宋体" w:cs="宋体" w:hint="eastAsia"/>
          <w:b/>
          <w:bCs/>
          <w:color w:val="000000"/>
          <w:sz w:val="24"/>
        </w:rPr>
        <w:t>3.课程考核方式：</w:t>
      </w:r>
      <w:r w:rsidRPr="00375FAF">
        <w:rPr>
          <w:rFonts w:ascii="Calibri" w:eastAsia="宋体" w:hAnsi="Calibri" w:cs="Times New Roman" w:hint="eastAsia"/>
          <w:sz w:val="24"/>
        </w:rPr>
        <w:t>两人隔网站立，运用球拍颠球，中间任何人没接住球清零从新计数，任何人二次触球清零从新计数。</w:t>
      </w:r>
    </w:p>
    <w:p w14:paraId="502F7BDE" w14:textId="77777777" w:rsidR="00375FAF" w:rsidRPr="00375FAF" w:rsidRDefault="00375FAF" w:rsidP="00375FAF">
      <w:pPr>
        <w:autoSpaceDE w:val="0"/>
        <w:autoSpaceDN w:val="0"/>
        <w:adjustRightInd w:val="0"/>
        <w:snapToGrid w:val="0"/>
        <w:spacing w:line="500" w:lineRule="exact"/>
        <w:ind w:firstLineChars="196" w:firstLine="472"/>
        <w:rPr>
          <w:rFonts w:ascii="宋体" w:eastAsia="宋体" w:hAnsi="Calibri" w:cs="Times New Roman"/>
          <w:bCs/>
          <w:color w:val="000000"/>
          <w:kern w:val="0"/>
          <w:sz w:val="24"/>
        </w:rPr>
      </w:pPr>
      <w:r w:rsidRPr="00375FAF">
        <w:rPr>
          <w:rFonts w:ascii="宋体" w:eastAsia="宋体" w:hAnsi="Calibri" w:cs="Times New Roman" w:hint="eastAsia"/>
          <w:b/>
          <w:color w:val="000000"/>
          <w:kern w:val="0"/>
          <w:sz w:val="24"/>
        </w:rPr>
        <w:t>4.成绩构成及分值：</w:t>
      </w:r>
      <w:r w:rsidRPr="00375FAF">
        <w:rPr>
          <w:rFonts w:ascii="宋体" w:eastAsia="宋体" w:hAnsi="Calibri" w:cs="Times New Roman" w:hint="eastAsia"/>
          <w:bCs/>
          <w:color w:val="000000"/>
          <w:kern w:val="0"/>
          <w:sz w:val="24"/>
        </w:rPr>
        <w:t>数量及技术评定分值各为100分，各占总分值的20%，</w:t>
      </w:r>
    </w:p>
    <w:p w14:paraId="48AFDF52" w14:textId="77777777" w:rsidR="00375FAF" w:rsidRPr="00375FAF" w:rsidRDefault="00375FAF" w:rsidP="00375FAF">
      <w:pPr>
        <w:autoSpaceDE w:val="0"/>
        <w:autoSpaceDN w:val="0"/>
        <w:adjustRightInd w:val="0"/>
        <w:snapToGrid w:val="0"/>
        <w:spacing w:line="500" w:lineRule="exact"/>
        <w:rPr>
          <w:rFonts w:ascii="宋体" w:eastAsia="宋体" w:hAnsi="Calibri" w:cs="Times New Roman"/>
          <w:bCs/>
          <w:color w:val="000000"/>
          <w:kern w:val="0"/>
          <w:sz w:val="24"/>
        </w:rPr>
      </w:pPr>
      <w:r w:rsidRPr="00375FAF">
        <w:rPr>
          <w:rFonts w:ascii="宋体" w:eastAsia="宋体" w:hAnsi="Calibri" w:cs="Times New Roman" w:hint="eastAsia"/>
          <w:bCs/>
          <w:color w:val="000000"/>
          <w:kern w:val="0"/>
          <w:sz w:val="24"/>
        </w:rPr>
        <w:t>总分值为100分。</w:t>
      </w:r>
    </w:p>
    <w:p w14:paraId="1E17274E" w14:textId="77777777" w:rsidR="00375FAF" w:rsidRPr="00375FAF" w:rsidRDefault="00375FAF" w:rsidP="00375FAF">
      <w:pPr>
        <w:autoSpaceDE w:val="0"/>
        <w:autoSpaceDN w:val="0"/>
        <w:adjustRightInd w:val="0"/>
        <w:snapToGrid w:val="0"/>
        <w:spacing w:line="500" w:lineRule="exact"/>
        <w:ind w:firstLineChars="200" w:firstLine="482"/>
        <w:rPr>
          <w:rFonts w:ascii="Calibri" w:eastAsia="宋体" w:hAnsi="Calibri" w:cs="Times New Roman"/>
          <w:b/>
          <w:sz w:val="24"/>
        </w:rPr>
      </w:pPr>
      <w:r w:rsidRPr="00375FAF">
        <w:rPr>
          <w:rFonts w:ascii="宋体" w:eastAsia="宋体" w:hAnsi="Calibri" w:cs="Times New Roman" w:hint="eastAsia"/>
          <w:b/>
          <w:color w:val="000000"/>
          <w:kern w:val="0"/>
          <w:sz w:val="24"/>
        </w:rPr>
        <w:t>5.评分记分原则：</w:t>
      </w:r>
    </w:p>
    <w:p w14:paraId="794B9EFE" w14:textId="77777777" w:rsidR="00375FAF" w:rsidRPr="00375FAF" w:rsidRDefault="00375FAF" w:rsidP="00375FAF">
      <w:pPr>
        <w:adjustRightInd w:val="0"/>
        <w:snapToGrid w:val="0"/>
        <w:spacing w:line="500" w:lineRule="exact"/>
        <w:jc w:val="center"/>
        <w:rPr>
          <w:rFonts w:ascii="Calibri" w:eastAsia="宋体" w:hAnsi="Calibri" w:cs="Times New Roman"/>
          <w:sz w:val="24"/>
        </w:rPr>
      </w:pPr>
      <w:r w:rsidRPr="00375FAF">
        <w:rPr>
          <w:rFonts w:ascii="Calibri" w:eastAsia="宋体" w:hAnsi="Calibri" w:cs="Times New Roman" w:hint="eastAsia"/>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104"/>
        <w:gridCol w:w="2999"/>
        <w:gridCol w:w="2265"/>
      </w:tblGrid>
      <w:tr w:rsidR="00375FAF" w:rsidRPr="00375FAF" w14:paraId="448342F5" w14:textId="77777777" w:rsidTr="00375FAF">
        <w:tc>
          <w:tcPr>
            <w:tcW w:w="970" w:type="dxa"/>
            <w:vAlign w:val="center"/>
          </w:tcPr>
          <w:p w14:paraId="651F774C"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技术分</w:t>
            </w:r>
          </w:p>
        </w:tc>
        <w:tc>
          <w:tcPr>
            <w:tcW w:w="1183" w:type="dxa"/>
            <w:vAlign w:val="center"/>
          </w:tcPr>
          <w:p w14:paraId="033096B9"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五级制</w:t>
            </w:r>
          </w:p>
        </w:tc>
        <w:tc>
          <w:tcPr>
            <w:tcW w:w="1104" w:type="dxa"/>
            <w:vAlign w:val="center"/>
          </w:tcPr>
          <w:p w14:paraId="7A12F13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分值范围</w:t>
            </w:r>
          </w:p>
        </w:tc>
        <w:tc>
          <w:tcPr>
            <w:tcW w:w="2999" w:type="dxa"/>
            <w:vAlign w:val="center"/>
          </w:tcPr>
          <w:p w14:paraId="43BC21FF"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备注</w:t>
            </w:r>
          </w:p>
        </w:tc>
        <w:tc>
          <w:tcPr>
            <w:tcW w:w="2265" w:type="dxa"/>
            <w:vAlign w:val="center"/>
          </w:tcPr>
          <w:p w14:paraId="237116C5"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数目</w:t>
            </w:r>
          </w:p>
        </w:tc>
      </w:tr>
      <w:tr w:rsidR="00375FAF" w:rsidRPr="00375FAF" w14:paraId="47F6B0E1" w14:textId="77777777" w:rsidTr="00375FAF">
        <w:tc>
          <w:tcPr>
            <w:tcW w:w="970" w:type="dxa"/>
            <w:vAlign w:val="center"/>
          </w:tcPr>
          <w:p w14:paraId="7AAC7E1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A</w:t>
            </w:r>
          </w:p>
        </w:tc>
        <w:tc>
          <w:tcPr>
            <w:tcW w:w="1183" w:type="dxa"/>
            <w:vAlign w:val="center"/>
          </w:tcPr>
          <w:p w14:paraId="466EA820"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优</w:t>
            </w:r>
          </w:p>
        </w:tc>
        <w:tc>
          <w:tcPr>
            <w:tcW w:w="1104" w:type="dxa"/>
            <w:vAlign w:val="center"/>
          </w:tcPr>
          <w:p w14:paraId="1E34B70F"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90—95</w:t>
            </w:r>
          </w:p>
        </w:tc>
        <w:tc>
          <w:tcPr>
            <w:tcW w:w="2999" w:type="dxa"/>
            <w:vAlign w:val="center"/>
          </w:tcPr>
          <w:p w14:paraId="675F6F59"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姿势正确，动作优美、协调</w:t>
            </w:r>
          </w:p>
        </w:tc>
        <w:tc>
          <w:tcPr>
            <w:tcW w:w="2265" w:type="dxa"/>
            <w:vAlign w:val="center"/>
          </w:tcPr>
          <w:p w14:paraId="533F8C50"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50个以上</w:t>
            </w:r>
          </w:p>
        </w:tc>
      </w:tr>
      <w:tr w:rsidR="00375FAF" w:rsidRPr="00375FAF" w14:paraId="2F18ECA3" w14:textId="77777777" w:rsidTr="00375FAF">
        <w:tc>
          <w:tcPr>
            <w:tcW w:w="970" w:type="dxa"/>
            <w:vAlign w:val="center"/>
          </w:tcPr>
          <w:p w14:paraId="5DEC7D15"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B</w:t>
            </w:r>
          </w:p>
        </w:tc>
        <w:tc>
          <w:tcPr>
            <w:tcW w:w="1183" w:type="dxa"/>
            <w:vAlign w:val="center"/>
          </w:tcPr>
          <w:p w14:paraId="54876432"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良好</w:t>
            </w:r>
          </w:p>
        </w:tc>
        <w:tc>
          <w:tcPr>
            <w:tcW w:w="1104" w:type="dxa"/>
            <w:vAlign w:val="center"/>
          </w:tcPr>
          <w:p w14:paraId="691BBCA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80—89</w:t>
            </w:r>
          </w:p>
        </w:tc>
        <w:tc>
          <w:tcPr>
            <w:tcW w:w="2999" w:type="dxa"/>
            <w:vAlign w:val="center"/>
          </w:tcPr>
          <w:p w14:paraId="6820975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姿势较正确，动作自然</w:t>
            </w:r>
          </w:p>
        </w:tc>
        <w:tc>
          <w:tcPr>
            <w:tcW w:w="2265" w:type="dxa"/>
            <w:vAlign w:val="center"/>
          </w:tcPr>
          <w:p w14:paraId="455A2A6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40-49个</w:t>
            </w:r>
          </w:p>
        </w:tc>
      </w:tr>
      <w:tr w:rsidR="00375FAF" w:rsidRPr="00375FAF" w14:paraId="136EA499" w14:textId="77777777" w:rsidTr="00375FAF">
        <w:tc>
          <w:tcPr>
            <w:tcW w:w="970" w:type="dxa"/>
            <w:vAlign w:val="center"/>
          </w:tcPr>
          <w:p w14:paraId="6A3AE66E"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C</w:t>
            </w:r>
          </w:p>
        </w:tc>
        <w:tc>
          <w:tcPr>
            <w:tcW w:w="1183" w:type="dxa"/>
            <w:vAlign w:val="center"/>
          </w:tcPr>
          <w:p w14:paraId="70A6F328"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良</w:t>
            </w:r>
          </w:p>
        </w:tc>
        <w:tc>
          <w:tcPr>
            <w:tcW w:w="1104" w:type="dxa"/>
            <w:vAlign w:val="center"/>
          </w:tcPr>
          <w:p w14:paraId="4FCB46A2"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70—79</w:t>
            </w:r>
          </w:p>
        </w:tc>
        <w:tc>
          <w:tcPr>
            <w:tcW w:w="2999" w:type="dxa"/>
            <w:vAlign w:val="center"/>
          </w:tcPr>
          <w:p w14:paraId="44618D7E"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姿势一般，动作基本正确</w:t>
            </w:r>
          </w:p>
        </w:tc>
        <w:tc>
          <w:tcPr>
            <w:tcW w:w="2265" w:type="dxa"/>
            <w:vAlign w:val="center"/>
          </w:tcPr>
          <w:p w14:paraId="6D7DF00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30-39个</w:t>
            </w:r>
          </w:p>
        </w:tc>
      </w:tr>
      <w:tr w:rsidR="00375FAF" w:rsidRPr="00375FAF" w14:paraId="0CEBBFE3" w14:textId="77777777" w:rsidTr="00375FAF">
        <w:tc>
          <w:tcPr>
            <w:tcW w:w="970" w:type="dxa"/>
            <w:vAlign w:val="center"/>
          </w:tcPr>
          <w:p w14:paraId="16AD49E4"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D</w:t>
            </w:r>
          </w:p>
        </w:tc>
        <w:tc>
          <w:tcPr>
            <w:tcW w:w="1183" w:type="dxa"/>
            <w:vAlign w:val="center"/>
          </w:tcPr>
          <w:p w14:paraId="10F86E2C"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及格</w:t>
            </w:r>
          </w:p>
        </w:tc>
        <w:tc>
          <w:tcPr>
            <w:tcW w:w="1104" w:type="dxa"/>
            <w:vAlign w:val="center"/>
          </w:tcPr>
          <w:p w14:paraId="25A74642"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60—69</w:t>
            </w:r>
          </w:p>
        </w:tc>
        <w:tc>
          <w:tcPr>
            <w:tcW w:w="2999" w:type="dxa"/>
            <w:vAlign w:val="center"/>
          </w:tcPr>
          <w:p w14:paraId="1D3F1544"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动作不协调，有多余动作</w:t>
            </w:r>
          </w:p>
        </w:tc>
        <w:tc>
          <w:tcPr>
            <w:tcW w:w="2265" w:type="dxa"/>
            <w:vAlign w:val="center"/>
          </w:tcPr>
          <w:p w14:paraId="181F8987"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20-29个</w:t>
            </w:r>
          </w:p>
        </w:tc>
      </w:tr>
      <w:tr w:rsidR="00375FAF" w:rsidRPr="00375FAF" w14:paraId="052C79CC" w14:textId="77777777" w:rsidTr="00375FAF">
        <w:tc>
          <w:tcPr>
            <w:tcW w:w="970" w:type="dxa"/>
            <w:vAlign w:val="center"/>
          </w:tcPr>
          <w:p w14:paraId="4B2D11A6"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E</w:t>
            </w:r>
          </w:p>
        </w:tc>
        <w:tc>
          <w:tcPr>
            <w:tcW w:w="1183" w:type="dxa"/>
            <w:vAlign w:val="center"/>
          </w:tcPr>
          <w:p w14:paraId="1B0AF14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不及格</w:t>
            </w:r>
          </w:p>
        </w:tc>
        <w:tc>
          <w:tcPr>
            <w:tcW w:w="1104" w:type="dxa"/>
            <w:vAlign w:val="center"/>
          </w:tcPr>
          <w:p w14:paraId="0DD656A8"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60以下</w:t>
            </w:r>
          </w:p>
        </w:tc>
        <w:tc>
          <w:tcPr>
            <w:tcW w:w="2999" w:type="dxa"/>
            <w:vAlign w:val="center"/>
          </w:tcPr>
          <w:p w14:paraId="72C73129"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动作僵硬，吃力，不协调</w:t>
            </w:r>
          </w:p>
        </w:tc>
        <w:tc>
          <w:tcPr>
            <w:tcW w:w="2265" w:type="dxa"/>
            <w:vAlign w:val="center"/>
          </w:tcPr>
          <w:p w14:paraId="5EB5F2B2"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20以下</w:t>
            </w:r>
          </w:p>
        </w:tc>
      </w:tr>
    </w:tbl>
    <w:p w14:paraId="16494680" w14:textId="77777777" w:rsidR="00375FAF" w:rsidRPr="00375FAF" w:rsidRDefault="00375FAF" w:rsidP="00375FAF">
      <w:pPr>
        <w:adjustRightInd w:val="0"/>
        <w:snapToGrid w:val="0"/>
        <w:spacing w:line="500" w:lineRule="exact"/>
        <w:rPr>
          <w:rFonts w:ascii="Calibri" w:eastAsia="宋体" w:hAnsi="Calibri" w:cs="Times New Roman"/>
          <w:sz w:val="24"/>
        </w:rPr>
      </w:pPr>
    </w:p>
    <w:p w14:paraId="1422699B" w14:textId="77777777" w:rsidR="00375FAF" w:rsidRPr="00375FAF" w:rsidRDefault="00375FAF" w:rsidP="00375FAF">
      <w:pPr>
        <w:adjustRightInd w:val="0"/>
        <w:snapToGrid w:val="0"/>
        <w:spacing w:line="500" w:lineRule="exact"/>
        <w:jc w:val="center"/>
        <w:rPr>
          <w:rFonts w:ascii="Calibri" w:eastAsia="宋体" w:hAnsi="Calibri" w:cs="Times New Roman"/>
          <w:b/>
          <w:bCs/>
          <w:sz w:val="24"/>
        </w:rPr>
      </w:pPr>
      <w:r w:rsidRPr="00375FAF">
        <w:rPr>
          <w:rFonts w:ascii="Calibri" w:eastAsia="宋体" w:hAnsi="Calibri" w:cs="Times New Roman" w:hint="eastAsia"/>
          <w:b/>
          <w:bCs/>
          <w:sz w:val="24"/>
        </w:rPr>
        <w:t>期末考试</w:t>
      </w:r>
    </w:p>
    <w:p w14:paraId="073A0F44" w14:textId="77777777" w:rsidR="00375FAF" w:rsidRPr="00375FAF" w:rsidRDefault="00375FAF" w:rsidP="00375FAF">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375FAF">
        <w:rPr>
          <w:rFonts w:ascii="宋体" w:eastAsia="宋体" w:hAnsi="Calibri" w:cs="Times New Roman" w:hint="eastAsia"/>
          <w:b/>
          <w:color w:val="000000"/>
          <w:kern w:val="0"/>
          <w:sz w:val="24"/>
        </w:rPr>
        <w:t>1.考核目标:</w:t>
      </w:r>
      <w:r w:rsidRPr="00375FAF">
        <w:rPr>
          <w:rFonts w:ascii="宋体" w:eastAsia="宋体" w:hAnsi="Calibri" w:cs="Times New Roman" w:hint="eastAsia"/>
          <w:bCs/>
          <w:color w:val="000000"/>
          <w:kern w:val="0"/>
          <w:sz w:val="24"/>
        </w:rPr>
        <w:t>通过考核网球技术教学效果和学生掌握情况，让学生了解选项课内容和科学体育锻炼方式方法。</w:t>
      </w:r>
    </w:p>
    <w:p w14:paraId="596860C5" w14:textId="77777777" w:rsidR="00375FAF" w:rsidRPr="00375FAF" w:rsidRDefault="00375FAF" w:rsidP="00375FAF">
      <w:pPr>
        <w:adjustRightInd w:val="0"/>
        <w:snapToGrid w:val="0"/>
        <w:spacing w:line="500" w:lineRule="exact"/>
        <w:ind w:firstLineChars="200" w:firstLine="482"/>
        <w:rPr>
          <w:rFonts w:ascii="Calibri" w:eastAsia="宋体" w:hAnsi="Calibri" w:cs="Times New Roman"/>
          <w:sz w:val="24"/>
        </w:rPr>
      </w:pPr>
      <w:r w:rsidRPr="00375FAF">
        <w:rPr>
          <w:rFonts w:ascii="宋体" w:eastAsia="宋体" w:hAnsi="Calibri" w:cs="Times New Roman" w:hint="eastAsia"/>
          <w:b/>
          <w:color w:val="000000"/>
          <w:kern w:val="0"/>
          <w:sz w:val="24"/>
        </w:rPr>
        <w:t>2.考核的内容：</w:t>
      </w:r>
      <w:r w:rsidRPr="00375FAF">
        <w:rPr>
          <w:rFonts w:ascii="Calibri" w:eastAsia="宋体" w:hAnsi="Calibri" w:cs="Times New Roman" w:hint="eastAsia"/>
          <w:sz w:val="24"/>
        </w:rPr>
        <w:t>下手发球。</w:t>
      </w:r>
    </w:p>
    <w:p w14:paraId="145540D5" w14:textId="77777777" w:rsidR="00375FAF" w:rsidRPr="00375FAF" w:rsidRDefault="00375FAF" w:rsidP="00375FAF">
      <w:pPr>
        <w:adjustRightInd w:val="0"/>
        <w:snapToGrid w:val="0"/>
        <w:spacing w:line="500" w:lineRule="exact"/>
        <w:ind w:firstLineChars="200" w:firstLine="482"/>
        <w:rPr>
          <w:rFonts w:ascii="Calibri" w:eastAsia="宋体" w:hAnsi="Calibri" w:cs="Times New Roman"/>
          <w:sz w:val="24"/>
        </w:rPr>
      </w:pPr>
      <w:r w:rsidRPr="00375FAF">
        <w:rPr>
          <w:rFonts w:ascii="宋体" w:eastAsia="宋体" w:hAnsi="宋体" w:cs="宋体" w:hint="eastAsia"/>
          <w:b/>
          <w:bCs/>
          <w:color w:val="000000"/>
          <w:sz w:val="24"/>
        </w:rPr>
        <w:t>3.考核方式：</w:t>
      </w:r>
      <w:r w:rsidRPr="00375FAF">
        <w:rPr>
          <w:rFonts w:ascii="Calibri" w:eastAsia="宋体" w:hAnsi="Calibri" w:cs="Times New Roman" w:hint="eastAsia"/>
          <w:sz w:val="24"/>
        </w:rPr>
        <w:t>两人隔网站立，从发球区运用下手发球技术，进行下手发球。按照正式比赛规则进行。</w:t>
      </w:r>
    </w:p>
    <w:p w14:paraId="25A4E7FF" w14:textId="77777777" w:rsidR="00375FAF" w:rsidRPr="00375FAF" w:rsidRDefault="00375FAF" w:rsidP="00375FAF">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375FAF">
        <w:rPr>
          <w:rFonts w:ascii="宋体" w:eastAsia="宋体" w:hAnsi="Calibri" w:cs="Times New Roman" w:hint="eastAsia"/>
          <w:b/>
          <w:color w:val="000000"/>
          <w:kern w:val="0"/>
          <w:sz w:val="24"/>
        </w:rPr>
        <w:t>4.成绩构成及分值：</w:t>
      </w:r>
      <w:r w:rsidRPr="00375FAF">
        <w:rPr>
          <w:rFonts w:ascii="宋体" w:eastAsia="宋体" w:hAnsi="Calibri" w:cs="Times New Roman" w:hint="eastAsia"/>
          <w:bCs/>
          <w:color w:val="000000"/>
          <w:kern w:val="0"/>
          <w:sz w:val="24"/>
        </w:rPr>
        <w:t>数量及技术评定分值各为100分，各占总分值的70%，</w:t>
      </w:r>
    </w:p>
    <w:p w14:paraId="4264F974" w14:textId="77777777" w:rsidR="00375FAF" w:rsidRPr="00375FAF" w:rsidRDefault="00375FAF" w:rsidP="00375FAF">
      <w:pPr>
        <w:autoSpaceDE w:val="0"/>
        <w:autoSpaceDN w:val="0"/>
        <w:adjustRightInd w:val="0"/>
        <w:snapToGrid w:val="0"/>
        <w:spacing w:line="500" w:lineRule="exact"/>
        <w:ind w:firstLineChars="200" w:firstLine="480"/>
        <w:rPr>
          <w:rFonts w:ascii="宋体" w:eastAsia="宋体" w:hAnsi="Calibri" w:cs="Times New Roman"/>
          <w:bCs/>
          <w:color w:val="000000"/>
          <w:kern w:val="0"/>
          <w:sz w:val="24"/>
        </w:rPr>
      </w:pPr>
      <w:r w:rsidRPr="00375FAF">
        <w:rPr>
          <w:rFonts w:ascii="宋体" w:eastAsia="宋体" w:hAnsi="Calibri" w:cs="Times New Roman" w:hint="eastAsia"/>
          <w:bCs/>
          <w:color w:val="000000"/>
          <w:kern w:val="0"/>
          <w:sz w:val="24"/>
        </w:rPr>
        <w:t>总分值为100分。</w:t>
      </w:r>
    </w:p>
    <w:p w14:paraId="36C2AC7C" w14:textId="77777777" w:rsidR="00375FAF" w:rsidRPr="00375FAF" w:rsidRDefault="00375FAF" w:rsidP="00375FAF">
      <w:pPr>
        <w:autoSpaceDE w:val="0"/>
        <w:autoSpaceDN w:val="0"/>
        <w:adjustRightInd w:val="0"/>
        <w:snapToGrid w:val="0"/>
        <w:spacing w:line="500" w:lineRule="exact"/>
        <w:ind w:firstLineChars="200" w:firstLine="482"/>
        <w:rPr>
          <w:rFonts w:ascii="Calibri" w:eastAsia="宋体" w:hAnsi="Calibri" w:cs="Times New Roman"/>
          <w:b/>
          <w:sz w:val="24"/>
        </w:rPr>
      </w:pPr>
      <w:r w:rsidRPr="00375FAF">
        <w:rPr>
          <w:rFonts w:ascii="宋体" w:eastAsia="宋体" w:hAnsi="Calibri" w:cs="Times New Roman" w:hint="eastAsia"/>
          <w:b/>
          <w:color w:val="000000"/>
          <w:kern w:val="0"/>
          <w:sz w:val="24"/>
        </w:rPr>
        <w:t>5.评分记分原则：</w:t>
      </w:r>
    </w:p>
    <w:tbl>
      <w:tblPr>
        <w:tblpPr w:leftFromText="180" w:rightFromText="180" w:vertAnchor="text" w:horzAnchor="page" w:tblpX="1837" w:tblpY="26"/>
        <w:tblOverlap w:val="never"/>
        <w:tblW w:w="8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375FAF" w:rsidRPr="00375FAF" w14:paraId="05599F9D" w14:textId="77777777" w:rsidTr="00375FAF">
        <w:tc>
          <w:tcPr>
            <w:tcW w:w="1180" w:type="dxa"/>
            <w:vAlign w:val="center"/>
          </w:tcPr>
          <w:p w14:paraId="655FE69D"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lastRenderedPageBreak/>
              <w:t>男生</w:t>
            </w:r>
          </w:p>
        </w:tc>
        <w:tc>
          <w:tcPr>
            <w:tcW w:w="1170" w:type="dxa"/>
            <w:vAlign w:val="center"/>
          </w:tcPr>
          <w:p w14:paraId="2B1EFF8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女生</w:t>
            </w:r>
          </w:p>
        </w:tc>
        <w:tc>
          <w:tcPr>
            <w:tcW w:w="975" w:type="dxa"/>
            <w:vAlign w:val="center"/>
          </w:tcPr>
          <w:p w14:paraId="5F3CFC56"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技术分</w:t>
            </w:r>
          </w:p>
        </w:tc>
        <w:tc>
          <w:tcPr>
            <w:tcW w:w="1140" w:type="dxa"/>
            <w:vAlign w:val="center"/>
          </w:tcPr>
          <w:p w14:paraId="41A94E7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五级制</w:t>
            </w:r>
          </w:p>
        </w:tc>
        <w:tc>
          <w:tcPr>
            <w:tcW w:w="1215" w:type="dxa"/>
            <w:vAlign w:val="center"/>
          </w:tcPr>
          <w:p w14:paraId="173472FE"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分值范围</w:t>
            </w:r>
          </w:p>
        </w:tc>
        <w:tc>
          <w:tcPr>
            <w:tcW w:w="3090" w:type="dxa"/>
            <w:vAlign w:val="center"/>
          </w:tcPr>
          <w:p w14:paraId="522C377D"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备注</w:t>
            </w:r>
          </w:p>
        </w:tc>
      </w:tr>
      <w:tr w:rsidR="00375FAF" w:rsidRPr="00375FAF" w14:paraId="695D1BC3" w14:textId="77777777" w:rsidTr="00375FAF">
        <w:tc>
          <w:tcPr>
            <w:tcW w:w="1180" w:type="dxa"/>
            <w:vAlign w:val="center"/>
          </w:tcPr>
          <w:p w14:paraId="5A4CFE69"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10个</w:t>
            </w:r>
          </w:p>
        </w:tc>
        <w:tc>
          <w:tcPr>
            <w:tcW w:w="1170" w:type="dxa"/>
            <w:vAlign w:val="center"/>
          </w:tcPr>
          <w:p w14:paraId="56C8DAB5"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10个</w:t>
            </w:r>
          </w:p>
        </w:tc>
        <w:tc>
          <w:tcPr>
            <w:tcW w:w="975" w:type="dxa"/>
            <w:vAlign w:val="center"/>
          </w:tcPr>
          <w:p w14:paraId="727B466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A</w:t>
            </w:r>
          </w:p>
        </w:tc>
        <w:tc>
          <w:tcPr>
            <w:tcW w:w="1140" w:type="dxa"/>
            <w:vAlign w:val="center"/>
          </w:tcPr>
          <w:p w14:paraId="7E494997"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优</w:t>
            </w:r>
          </w:p>
        </w:tc>
        <w:tc>
          <w:tcPr>
            <w:tcW w:w="1215" w:type="dxa"/>
            <w:vAlign w:val="center"/>
          </w:tcPr>
          <w:p w14:paraId="5C99141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90—95</w:t>
            </w:r>
          </w:p>
        </w:tc>
        <w:tc>
          <w:tcPr>
            <w:tcW w:w="3090" w:type="dxa"/>
            <w:vAlign w:val="center"/>
          </w:tcPr>
          <w:p w14:paraId="77A3FE3B"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姿势正确，动作优美、协调，</w:t>
            </w:r>
          </w:p>
        </w:tc>
      </w:tr>
      <w:tr w:rsidR="00375FAF" w:rsidRPr="00375FAF" w14:paraId="48DA8602" w14:textId="77777777" w:rsidTr="00375FAF">
        <w:tc>
          <w:tcPr>
            <w:tcW w:w="1180" w:type="dxa"/>
            <w:vAlign w:val="center"/>
          </w:tcPr>
          <w:p w14:paraId="33FEEB45"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9个</w:t>
            </w:r>
          </w:p>
        </w:tc>
        <w:tc>
          <w:tcPr>
            <w:tcW w:w="1170" w:type="dxa"/>
            <w:vAlign w:val="center"/>
          </w:tcPr>
          <w:p w14:paraId="55949154"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9个</w:t>
            </w:r>
          </w:p>
        </w:tc>
        <w:tc>
          <w:tcPr>
            <w:tcW w:w="975" w:type="dxa"/>
            <w:vAlign w:val="center"/>
          </w:tcPr>
          <w:p w14:paraId="3F98267F"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B</w:t>
            </w:r>
          </w:p>
        </w:tc>
        <w:tc>
          <w:tcPr>
            <w:tcW w:w="1140" w:type="dxa"/>
            <w:vAlign w:val="center"/>
          </w:tcPr>
          <w:p w14:paraId="4B09ADF4"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良好</w:t>
            </w:r>
          </w:p>
        </w:tc>
        <w:tc>
          <w:tcPr>
            <w:tcW w:w="1215" w:type="dxa"/>
            <w:vAlign w:val="center"/>
          </w:tcPr>
          <w:p w14:paraId="4D633EFC"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80—89</w:t>
            </w:r>
          </w:p>
        </w:tc>
        <w:tc>
          <w:tcPr>
            <w:tcW w:w="3090" w:type="dxa"/>
            <w:vAlign w:val="center"/>
          </w:tcPr>
          <w:p w14:paraId="73741F1D"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姿势较正确，动作自然，</w:t>
            </w:r>
          </w:p>
        </w:tc>
      </w:tr>
      <w:tr w:rsidR="00375FAF" w:rsidRPr="00375FAF" w14:paraId="438BBB81" w14:textId="77777777" w:rsidTr="00375FAF">
        <w:tc>
          <w:tcPr>
            <w:tcW w:w="1180" w:type="dxa"/>
            <w:vAlign w:val="center"/>
          </w:tcPr>
          <w:p w14:paraId="0253D8E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8个</w:t>
            </w:r>
          </w:p>
        </w:tc>
        <w:tc>
          <w:tcPr>
            <w:tcW w:w="1170" w:type="dxa"/>
            <w:vAlign w:val="center"/>
          </w:tcPr>
          <w:p w14:paraId="65B548D8"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8个</w:t>
            </w:r>
          </w:p>
        </w:tc>
        <w:tc>
          <w:tcPr>
            <w:tcW w:w="975" w:type="dxa"/>
            <w:vAlign w:val="center"/>
          </w:tcPr>
          <w:p w14:paraId="76B87D61"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C</w:t>
            </w:r>
          </w:p>
        </w:tc>
        <w:tc>
          <w:tcPr>
            <w:tcW w:w="1140" w:type="dxa"/>
            <w:vAlign w:val="center"/>
          </w:tcPr>
          <w:p w14:paraId="1EAEED3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良</w:t>
            </w:r>
          </w:p>
        </w:tc>
        <w:tc>
          <w:tcPr>
            <w:tcW w:w="1215" w:type="dxa"/>
            <w:vAlign w:val="center"/>
          </w:tcPr>
          <w:p w14:paraId="37CE73DA"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70—79</w:t>
            </w:r>
          </w:p>
        </w:tc>
        <w:tc>
          <w:tcPr>
            <w:tcW w:w="3090" w:type="dxa"/>
            <w:vAlign w:val="center"/>
          </w:tcPr>
          <w:p w14:paraId="063F4020"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姿势一般，动作基本正确，</w:t>
            </w:r>
          </w:p>
        </w:tc>
      </w:tr>
      <w:tr w:rsidR="00375FAF" w:rsidRPr="00375FAF" w14:paraId="16B5DE46" w14:textId="77777777" w:rsidTr="00375FAF">
        <w:tc>
          <w:tcPr>
            <w:tcW w:w="1180" w:type="dxa"/>
            <w:vAlign w:val="center"/>
          </w:tcPr>
          <w:p w14:paraId="62A5205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7个</w:t>
            </w:r>
          </w:p>
        </w:tc>
        <w:tc>
          <w:tcPr>
            <w:tcW w:w="1170" w:type="dxa"/>
            <w:vAlign w:val="center"/>
          </w:tcPr>
          <w:p w14:paraId="73D5EF89"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7个</w:t>
            </w:r>
          </w:p>
        </w:tc>
        <w:tc>
          <w:tcPr>
            <w:tcW w:w="975" w:type="dxa"/>
            <w:vAlign w:val="center"/>
          </w:tcPr>
          <w:p w14:paraId="71533D5F"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D</w:t>
            </w:r>
          </w:p>
        </w:tc>
        <w:tc>
          <w:tcPr>
            <w:tcW w:w="1140" w:type="dxa"/>
            <w:vAlign w:val="center"/>
          </w:tcPr>
          <w:p w14:paraId="21666737"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及格</w:t>
            </w:r>
          </w:p>
        </w:tc>
        <w:tc>
          <w:tcPr>
            <w:tcW w:w="1215" w:type="dxa"/>
            <w:vAlign w:val="center"/>
          </w:tcPr>
          <w:p w14:paraId="70926CA3"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60—69</w:t>
            </w:r>
          </w:p>
        </w:tc>
        <w:tc>
          <w:tcPr>
            <w:tcW w:w="3090" w:type="dxa"/>
            <w:vAlign w:val="center"/>
          </w:tcPr>
          <w:p w14:paraId="3C5EAA3E"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动作不协调，有多余动作，</w:t>
            </w:r>
          </w:p>
        </w:tc>
      </w:tr>
      <w:tr w:rsidR="00375FAF" w:rsidRPr="00375FAF" w14:paraId="41D5D257" w14:textId="77777777" w:rsidTr="00375FAF">
        <w:tc>
          <w:tcPr>
            <w:tcW w:w="1180" w:type="dxa"/>
            <w:vAlign w:val="center"/>
          </w:tcPr>
          <w:p w14:paraId="5A1CDD6C"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6个以下</w:t>
            </w:r>
          </w:p>
        </w:tc>
        <w:tc>
          <w:tcPr>
            <w:tcW w:w="1170" w:type="dxa"/>
            <w:vAlign w:val="center"/>
          </w:tcPr>
          <w:p w14:paraId="206768B4"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6个以下</w:t>
            </w:r>
          </w:p>
        </w:tc>
        <w:tc>
          <w:tcPr>
            <w:tcW w:w="975" w:type="dxa"/>
            <w:vAlign w:val="center"/>
          </w:tcPr>
          <w:p w14:paraId="3A288D85"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E</w:t>
            </w:r>
          </w:p>
        </w:tc>
        <w:tc>
          <w:tcPr>
            <w:tcW w:w="1140" w:type="dxa"/>
            <w:vAlign w:val="center"/>
          </w:tcPr>
          <w:p w14:paraId="40C9EFC6"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不及格</w:t>
            </w:r>
          </w:p>
        </w:tc>
        <w:tc>
          <w:tcPr>
            <w:tcW w:w="1215" w:type="dxa"/>
            <w:vAlign w:val="center"/>
          </w:tcPr>
          <w:p w14:paraId="1E004B36"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60以下</w:t>
            </w:r>
          </w:p>
        </w:tc>
        <w:tc>
          <w:tcPr>
            <w:tcW w:w="3090" w:type="dxa"/>
            <w:vAlign w:val="center"/>
          </w:tcPr>
          <w:p w14:paraId="0C5206A6" w14:textId="77777777" w:rsidR="00375FAF" w:rsidRPr="00375FAF" w:rsidRDefault="00375FAF" w:rsidP="00375FAF">
            <w:pPr>
              <w:adjustRightInd w:val="0"/>
              <w:snapToGrid w:val="0"/>
              <w:spacing w:line="500" w:lineRule="exact"/>
              <w:jc w:val="center"/>
              <w:rPr>
                <w:rFonts w:ascii="宋体" w:eastAsia="宋体" w:hAnsi="宋体" w:cs="宋体"/>
                <w:sz w:val="24"/>
              </w:rPr>
            </w:pPr>
            <w:r w:rsidRPr="00375FAF">
              <w:rPr>
                <w:rFonts w:ascii="宋体" w:eastAsia="宋体" w:hAnsi="宋体" w:cs="宋体" w:hint="eastAsia"/>
                <w:sz w:val="24"/>
              </w:rPr>
              <w:t>动作僵硬，吃力，不协调</w:t>
            </w:r>
          </w:p>
        </w:tc>
      </w:tr>
    </w:tbl>
    <w:p w14:paraId="42F32ABF" w14:textId="77777777" w:rsidR="00375FAF" w:rsidRPr="00375FAF" w:rsidRDefault="00375FAF" w:rsidP="00375FAF">
      <w:pPr>
        <w:spacing w:beforeLines="50" w:before="156" w:afterLines="50" w:after="156" w:line="440" w:lineRule="exact"/>
        <w:ind w:firstLineChars="200" w:firstLine="560"/>
        <w:rPr>
          <w:rFonts w:ascii="宋体" w:eastAsia="宋体" w:hAnsi="宋体" w:cs="Times New Roman"/>
          <w:sz w:val="24"/>
        </w:rPr>
      </w:pPr>
      <w:r w:rsidRPr="00375FAF">
        <w:rPr>
          <w:rFonts w:ascii="黑体" w:eastAsia="黑体" w:hAnsi="黑体" w:cs="Times New Roman" w:hint="eastAsia"/>
          <w:sz w:val="28"/>
          <w:szCs w:val="28"/>
        </w:rPr>
        <w:t>六、使用教材、相关推荐书目及课程资源</w:t>
      </w:r>
    </w:p>
    <w:p w14:paraId="05BBC4BF" w14:textId="77777777" w:rsidR="00375FAF" w:rsidRPr="00375FAF" w:rsidRDefault="00375FAF" w:rsidP="00375FAF">
      <w:pPr>
        <w:spacing w:line="440" w:lineRule="exact"/>
        <w:ind w:firstLineChars="200" w:firstLine="560"/>
        <w:rPr>
          <w:rFonts w:ascii="宋体" w:eastAsia="宋体" w:hAnsi="宋体" w:cs="Times New Roman"/>
          <w:sz w:val="24"/>
        </w:rPr>
      </w:pPr>
      <w:r w:rsidRPr="00375FAF">
        <w:rPr>
          <w:rFonts w:ascii="黑体" w:eastAsia="黑体" w:hAnsi="黑体" w:cs="Times New Roman" w:hint="eastAsia"/>
          <w:sz w:val="28"/>
          <w:szCs w:val="28"/>
        </w:rPr>
        <w:t>（一）使用教材</w:t>
      </w:r>
    </w:p>
    <w:p w14:paraId="0F778152" w14:textId="77777777" w:rsidR="00375FAF" w:rsidRPr="00375FAF" w:rsidRDefault="00375FAF" w:rsidP="00375FAF">
      <w:pPr>
        <w:autoSpaceDE w:val="0"/>
        <w:autoSpaceDN w:val="0"/>
        <w:adjustRightInd w:val="0"/>
        <w:snapToGrid w:val="0"/>
        <w:spacing w:line="500" w:lineRule="exact"/>
        <w:ind w:firstLineChars="300" w:firstLine="720"/>
        <w:rPr>
          <w:rFonts w:ascii="宋体" w:eastAsia="宋体" w:hAnsi="宋体" w:cs="宋体"/>
          <w:kern w:val="0"/>
          <w:sz w:val="24"/>
        </w:rPr>
      </w:pPr>
      <w:r w:rsidRPr="00375FAF">
        <w:rPr>
          <w:rFonts w:ascii="宋体" w:eastAsia="宋体" w:hAnsi="宋体" w:cs="宋体" w:hint="eastAsia"/>
          <w:kern w:val="0"/>
          <w:sz w:val="24"/>
        </w:rPr>
        <w:t>任晋军主编：《当代大学体育教程》，北京体育大学出版社，2008</w:t>
      </w:r>
    </w:p>
    <w:p w14:paraId="76A8E786" w14:textId="77777777" w:rsidR="00375FAF" w:rsidRPr="00375FAF" w:rsidRDefault="00375FAF" w:rsidP="00375FAF">
      <w:pPr>
        <w:spacing w:line="440" w:lineRule="exact"/>
        <w:ind w:firstLineChars="200" w:firstLine="560"/>
        <w:rPr>
          <w:rFonts w:ascii="宋体" w:eastAsia="宋体" w:hAnsi="宋体" w:cs="Times New Roman"/>
          <w:sz w:val="24"/>
        </w:rPr>
      </w:pPr>
      <w:r w:rsidRPr="00375FAF">
        <w:rPr>
          <w:rFonts w:ascii="黑体" w:eastAsia="黑体" w:hAnsi="黑体" w:cs="Times New Roman" w:hint="eastAsia"/>
          <w:sz w:val="28"/>
          <w:szCs w:val="28"/>
        </w:rPr>
        <w:t>（二）相关推荐书目</w:t>
      </w:r>
    </w:p>
    <w:p w14:paraId="48C6FD7C" w14:textId="77777777" w:rsidR="00375FAF" w:rsidRPr="00375FAF" w:rsidRDefault="00375FAF" w:rsidP="00375FAF">
      <w:pPr>
        <w:spacing w:line="440" w:lineRule="exact"/>
        <w:ind w:firstLineChars="200" w:firstLine="480"/>
        <w:rPr>
          <w:rFonts w:ascii="宋体" w:eastAsia="宋体" w:hAnsi="宋体" w:cs="Times New Roman"/>
          <w:sz w:val="24"/>
        </w:rPr>
      </w:pPr>
      <w:r w:rsidRPr="00375FAF">
        <w:rPr>
          <w:rFonts w:ascii="宋体" w:eastAsia="宋体" w:hAnsi="宋体" w:cs="Times New Roman" w:hint="eastAsia"/>
          <w:sz w:val="24"/>
        </w:rPr>
        <w:t>1</w:t>
      </w:r>
      <w:r w:rsidRPr="00375FAF">
        <w:rPr>
          <w:rFonts w:ascii="宋体" w:eastAsia="宋体" w:hAnsi="宋体" w:cs="Times New Roman"/>
          <w:sz w:val="24"/>
        </w:rPr>
        <w:t xml:space="preserve">. </w:t>
      </w:r>
      <w:r w:rsidRPr="00375FAF">
        <w:rPr>
          <w:rFonts w:ascii="宋体" w:eastAsia="宋体" w:hAnsi="宋体" w:cs="宋体" w:hint="eastAsia"/>
          <w:kern w:val="0"/>
          <w:sz w:val="24"/>
        </w:rPr>
        <w:t>刘建国主编：《当代大学体育与健身》，高教出版社，2008</w:t>
      </w:r>
    </w:p>
    <w:p w14:paraId="14F756FD" w14:textId="77777777" w:rsidR="00375FAF" w:rsidRPr="00375FAF" w:rsidRDefault="00375FAF" w:rsidP="00375FAF">
      <w:pPr>
        <w:autoSpaceDE w:val="0"/>
        <w:autoSpaceDN w:val="0"/>
        <w:adjustRightInd w:val="0"/>
        <w:snapToGrid w:val="0"/>
        <w:spacing w:line="500" w:lineRule="exact"/>
        <w:ind w:firstLineChars="200" w:firstLine="480"/>
        <w:rPr>
          <w:rFonts w:ascii="宋体" w:eastAsia="宋体" w:hAnsi="宋体" w:cs="Times New Roman"/>
          <w:sz w:val="24"/>
        </w:rPr>
      </w:pPr>
      <w:r w:rsidRPr="00375FAF">
        <w:rPr>
          <w:rFonts w:ascii="宋体" w:eastAsia="宋体" w:hAnsi="宋体" w:cs="Times New Roman" w:hint="eastAsia"/>
          <w:sz w:val="24"/>
        </w:rPr>
        <w:t>2</w:t>
      </w:r>
      <w:r w:rsidRPr="00375FAF">
        <w:rPr>
          <w:rFonts w:ascii="宋体" w:eastAsia="宋体" w:hAnsi="宋体" w:cs="Times New Roman"/>
          <w:sz w:val="24"/>
        </w:rPr>
        <w:t xml:space="preserve">. </w:t>
      </w:r>
      <w:r w:rsidRPr="00375FAF">
        <w:rPr>
          <w:rFonts w:ascii="宋体" w:eastAsia="宋体" w:hAnsi="宋体" w:cs="宋体" w:hint="eastAsia"/>
          <w:kern w:val="0"/>
          <w:sz w:val="24"/>
        </w:rPr>
        <w:t>全国体育学院教材委员会审定：《体育与健康理论指导手册》，人民体育出版社，2014</w:t>
      </w:r>
    </w:p>
    <w:p w14:paraId="6FD0F2B0" w14:textId="77777777" w:rsidR="00375FAF" w:rsidRPr="00375FAF" w:rsidRDefault="00375FAF" w:rsidP="00375FAF">
      <w:pPr>
        <w:spacing w:beforeLines="50" w:before="156" w:afterLines="50" w:after="156" w:line="440" w:lineRule="exact"/>
        <w:ind w:firstLineChars="200" w:firstLine="560"/>
        <w:rPr>
          <w:rFonts w:ascii="黑体" w:eastAsia="黑体" w:hAnsi="黑体" w:cs="Times New Roman"/>
          <w:sz w:val="28"/>
          <w:szCs w:val="28"/>
        </w:rPr>
      </w:pPr>
      <w:r w:rsidRPr="00375FAF">
        <w:rPr>
          <w:rFonts w:ascii="黑体" w:eastAsia="黑体" w:hAnsi="黑体" w:cs="Times New Roman" w:hint="eastAsia"/>
          <w:sz w:val="28"/>
          <w:szCs w:val="28"/>
        </w:rPr>
        <w:t>（三）课程资源</w:t>
      </w:r>
    </w:p>
    <w:p w14:paraId="3DFB2E6B" w14:textId="77777777" w:rsidR="00375FAF" w:rsidRPr="00375FAF" w:rsidRDefault="00375FAF" w:rsidP="00375FAF">
      <w:pPr>
        <w:spacing w:line="440" w:lineRule="exact"/>
        <w:ind w:firstLineChars="200" w:firstLine="500"/>
        <w:rPr>
          <w:rFonts w:ascii="宋体" w:eastAsia="宋体" w:hAnsi="Calibri" w:cs="宋体"/>
          <w:spacing w:val="5"/>
          <w:kern w:val="0"/>
          <w:sz w:val="24"/>
        </w:rPr>
      </w:pPr>
      <w:r w:rsidRPr="00375FAF">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683088AC" w14:textId="77777777" w:rsidR="00375FAF" w:rsidRPr="00375FAF" w:rsidRDefault="00375FAF" w:rsidP="00375FAF">
      <w:pPr>
        <w:spacing w:line="440" w:lineRule="exact"/>
        <w:ind w:firstLineChars="200" w:firstLine="500"/>
        <w:rPr>
          <w:rFonts w:ascii="宋体" w:eastAsia="宋体" w:hAnsi="Calibri" w:cs="宋体"/>
          <w:spacing w:val="5"/>
          <w:kern w:val="0"/>
          <w:sz w:val="24"/>
        </w:rPr>
      </w:pPr>
      <w:r w:rsidRPr="00375FAF">
        <w:rPr>
          <w:rFonts w:ascii="宋体" w:eastAsia="宋体" w:hAnsi="Calibri" w:cs="宋体" w:hint="eastAsia"/>
          <w:spacing w:val="5"/>
          <w:kern w:val="0"/>
          <w:sz w:val="24"/>
        </w:rPr>
        <w:t>2. 《国家学生体质健康标准》实施说明</w:t>
      </w:r>
    </w:p>
    <w:p w14:paraId="28F82B77" w14:textId="77777777" w:rsidR="00375FAF" w:rsidRPr="00375FAF" w:rsidRDefault="00375FAF" w:rsidP="00375FAF">
      <w:pPr>
        <w:spacing w:line="440" w:lineRule="exact"/>
        <w:ind w:firstLineChars="200" w:firstLine="500"/>
        <w:rPr>
          <w:rFonts w:ascii="宋体" w:eastAsia="宋体" w:hAnsi="Calibri" w:cs="宋体"/>
          <w:spacing w:val="5"/>
          <w:kern w:val="0"/>
          <w:sz w:val="24"/>
        </w:rPr>
      </w:pPr>
      <w:r w:rsidRPr="00375FAF">
        <w:rPr>
          <w:rFonts w:ascii="宋体" w:eastAsia="宋体" w:hAnsi="Calibri" w:cs="宋体" w:hint="eastAsia"/>
          <w:spacing w:val="5"/>
          <w:kern w:val="0"/>
          <w:sz w:val="24"/>
        </w:rPr>
        <w:t>3. 《国家学生体质健康标准》测试评分表</w:t>
      </w:r>
    </w:p>
    <w:p w14:paraId="53A84D2B" w14:textId="77777777" w:rsidR="00375FAF" w:rsidRPr="00375FAF" w:rsidRDefault="00375FAF" w:rsidP="00375FAF">
      <w:pPr>
        <w:spacing w:line="500" w:lineRule="exact"/>
        <w:ind w:leftChars="1" w:left="2" w:firstLineChars="150" w:firstLine="480"/>
        <w:rPr>
          <w:rFonts w:ascii="仿宋_GB2312" w:eastAsia="仿宋_GB2312" w:hAnsi="仿宋" w:cs="仿宋"/>
          <w:sz w:val="32"/>
          <w:szCs w:val="32"/>
        </w:rPr>
      </w:pPr>
    </w:p>
    <w:p w14:paraId="7AA55BC2" w14:textId="77777777" w:rsidR="00375FAF" w:rsidRPr="00375FAF" w:rsidRDefault="00375FAF" w:rsidP="00375FAF">
      <w:pPr>
        <w:spacing w:beforeLines="50" w:before="156" w:afterLines="50" w:after="156" w:line="440" w:lineRule="exact"/>
        <w:ind w:firstLineChars="200" w:firstLine="560"/>
        <w:rPr>
          <w:rFonts w:ascii="黑体" w:eastAsia="黑体" w:hAnsi="黑体" w:cs="Times New Roman"/>
          <w:sz w:val="28"/>
          <w:szCs w:val="28"/>
        </w:rPr>
      </w:pPr>
      <w:r w:rsidRPr="00375FAF">
        <w:rPr>
          <w:rFonts w:ascii="黑体" w:eastAsia="黑体" w:hAnsi="黑体" w:cs="Times New Roman" w:hint="eastAsia"/>
          <w:sz w:val="28"/>
          <w:szCs w:val="28"/>
        </w:rPr>
        <w:t>七、课程大纲制定依据</w:t>
      </w:r>
    </w:p>
    <w:p w14:paraId="34BE2C52" w14:textId="77777777" w:rsidR="00E75FE1" w:rsidRPr="00EC6E8D" w:rsidRDefault="00375FAF" w:rsidP="00EC6E8D">
      <w:pPr>
        <w:spacing w:line="440" w:lineRule="exact"/>
        <w:ind w:firstLineChars="200" w:firstLine="480"/>
        <w:rPr>
          <w:rFonts w:ascii="宋体" w:eastAsia="宋体" w:hAnsi="宋体" w:cs="Times New Roman"/>
          <w:sz w:val="24"/>
        </w:rPr>
      </w:pPr>
      <w:r w:rsidRPr="00375FAF">
        <w:rPr>
          <w:rFonts w:ascii="宋体" w:eastAsia="宋体" w:hAnsi="宋体" w:cs="Times New Roman" w:hint="eastAsia"/>
          <w:sz w:val="24"/>
        </w:rPr>
        <w:t>本课程大纲依据2023年人才培养方案</w:t>
      </w:r>
      <w:r w:rsidR="002E4147">
        <w:rPr>
          <w:rFonts w:ascii="宋体" w:eastAsia="宋体" w:hAnsi="宋体" w:cs="Times New Roman" w:hint="eastAsia"/>
          <w:sz w:val="24"/>
        </w:rPr>
        <w:t>药物分析</w:t>
      </w:r>
      <w:r w:rsidR="00E161E0">
        <w:rPr>
          <w:rFonts w:ascii="宋体" w:eastAsia="宋体" w:hAnsi="宋体" w:cs="Times New Roman" w:hint="eastAsia"/>
          <w:sz w:val="24"/>
        </w:rPr>
        <w:t>专业</w:t>
      </w:r>
      <w:r w:rsidRPr="00375FAF">
        <w:rPr>
          <w:rFonts w:ascii="宋体" w:eastAsia="宋体" w:hAnsi="宋体" w:cs="Times New Roman" w:hint="eastAsia"/>
          <w:sz w:val="24"/>
        </w:rPr>
        <w:t>制定。</w:t>
      </w:r>
    </w:p>
    <w:p w14:paraId="7EB70F97" w14:textId="77777777" w:rsidR="00D554C2" w:rsidRPr="00D554C2" w:rsidRDefault="00D554C2" w:rsidP="00D554C2">
      <w:pPr>
        <w:spacing w:beforeLines="100" w:before="312" w:afterLines="100" w:after="312" w:line="440" w:lineRule="exact"/>
        <w:jc w:val="center"/>
        <w:rPr>
          <w:rFonts w:ascii="黑体" w:eastAsia="黑体" w:hAnsi="黑体" w:cs="Times New Roman"/>
          <w:bCs/>
          <w:sz w:val="36"/>
          <w:szCs w:val="36"/>
        </w:rPr>
      </w:pPr>
      <w:r w:rsidRPr="00D554C2">
        <w:rPr>
          <w:rFonts w:ascii="黑体" w:eastAsia="黑体" w:hAnsi="黑体" w:cs="Times New Roman" w:hint="eastAsia"/>
          <w:bCs/>
          <w:sz w:val="36"/>
          <w:szCs w:val="36"/>
        </w:rPr>
        <w:lastRenderedPageBreak/>
        <w:t>《毽球》课程大纲</w:t>
      </w:r>
    </w:p>
    <w:p w14:paraId="4FDE10D6"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D554C2" w:rsidRPr="00D554C2" w14:paraId="2CB44DEA" w14:textId="77777777" w:rsidTr="009B4CAE">
        <w:trPr>
          <w:trHeight w:val="886"/>
          <w:jc w:val="center"/>
        </w:trPr>
        <w:tc>
          <w:tcPr>
            <w:tcW w:w="1581" w:type="dxa"/>
            <w:vAlign w:val="center"/>
          </w:tcPr>
          <w:p w14:paraId="1538BAAF"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课程名称</w:t>
            </w:r>
          </w:p>
        </w:tc>
        <w:tc>
          <w:tcPr>
            <w:tcW w:w="2662" w:type="dxa"/>
            <w:vAlign w:val="center"/>
          </w:tcPr>
          <w:p w14:paraId="3C5E965A"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Calibri" w:cs="宋体" w:hint="eastAsia"/>
                <w:kern w:val="0"/>
                <w:sz w:val="24"/>
              </w:rPr>
              <w:t>毽球</w:t>
            </w:r>
          </w:p>
        </w:tc>
        <w:tc>
          <w:tcPr>
            <w:tcW w:w="1482" w:type="dxa"/>
            <w:vAlign w:val="center"/>
          </w:tcPr>
          <w:p w14:paraId="13BADF2D"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课程代码</w:t>
            </w:r>
          </w:p>
        </w:tc>
        <w:tc>
          <w:tcPr>
            <w:tcW w:w="2797" w:type="dxa"/>
            <w:vAlign w:val="center"/>
          </w:tcPr>
          <w:p w14:paraId="03108B15"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Calibri" w:cs="宋体" w:hint="eastAsia"/>
                <w:kern w:val="0"/>
                <w:sz w:val="24"/>
              </w:rPr>
              <w:t>091050</w:t>
            </w:r>
          </w:p>
        </w:tc>
      </w:tr>
      <w:tr w:rsidR="00D554C2" w:rsidRPr="00D554C2" w14:paraId="6AE8C428" w14:textId="77777777" w:rsidTr="009B4CAE">
        <w:trPr>
          <w:trHeight w:val="829"/>
          <w:jc w:val="center"/>
        </w:trPr>
        <w:tc>
          <w:tcPr>
            <w:tcW w:w="1581" w:type="dxa"/>
            <w:vAlign w:val="center"/>
          </w:tcPr>
          <w:p w14:paraId="1C1DE713"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课程类别</w:t>
            </w:r>
          </w:p>
        </w:tc>
        <w:tc>
          <w:tcPr>
            <w:tcW w:w="2662" w:type="dxa"/>
            <w:vAlign w:val="center"/>
          </w:tcPr>
          <w:p w14:paraId="42367EF2"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Calibri" w:cs="宋体" w:hint="eastAsia"/>
                <w:kern w:val="0"/>
                <w:sz w:val="24"/>
              </w:rPr>
              <w:t>公共必修课程</w:t>
            </w:r>
          </w:p>
        </w:tc>
        <w:tc>
          <w:tcPr>
            <w:tcW w:w="1482" w:type="dxa"/>
            <w:vAlign w:val="center"/>
          </w:tcPr>
          <w:p w14:paraId="3FB0E8D9"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学时</w:t>
            </w:r>
          </w:p>
          <w:p w14:paraId="00E1ABFF"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/学分</w:t>
            </w:r>
          </w:p>
        </w:tc>
        <w:tc>
          <w:tcPr>
            <w:tcW w:w="2797" w:type="dxa"/>
            <w:vAlign w:val="center"/>
          </w:tcPr>
          <w:p w14:paraId="6C8FFCF9"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144/4</w:t>
            </w:r>
          </w:p>
        </w:tc>
      </w:tr>
      <w:tr w:rsidR="00D554C2" w:rsidRPr="00D554C2" w14:paraId="308F2BFA" w14:textId="77777777" w:rsidTr="009B4CAE">
        <w:trPr>
          <w:trHeight w:val="811"/>
          <w:jc w:val="center"/>
        </w:trPr>
        <w:tc>
          <w:tcPr>
            <w:tcW w:w="1581" w:type="dxa"/>
            <w:vAlign w:val="center"/>
          </w:tcPr>
          <w:p w14:paraId="7EBA26E4"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开课单位</w:t>
            </w:r>
          </w:p>
        </w:tc>
        <w:tc>
          <w:tcPr>
            <w:tcW w:w="2662" w:type="dxa"/>
            <w:vAlign w:val="center"/>
          </w:tcPr>
          <w:p w14:paraId="4672FC7A"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sz w:val="24"/>
              </w:rPr>
              <w:t>石家庄学院体育学院</w:t>
            </w:r>
          </w:p>
        </w:tc>
        <w:tc>
          <w:tcPr>
            <w:tcW w:w="1482" w:type="dxa"/>
            <w:vAlign w:val="center"/>
          </w:tcPr>
          <w:p w14:paraId="444CB3B4"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适用专业</w:t>
            </w:r>
          </w:p>
        </w:tc>
        <w:tc>
          <w:tcPr>
            <w:tcW w:w="2797" w:type="dxa"/>
            <w:vAlign w:val="center"/>
          </w:tcPr>
          <w:p w14:paraId="4D96E2FF" w14:textId="77777777" w:rsidR="00D554C2" w:rsidRPr="00D554C2" w:rsidRDefault="00E161E0" w:rsidP="00D554C2">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D554C2" w:rsidRPr="00D554C2" w14:paraId="1EACA41E" w14:textId="77777777" w:rsidTr="009B4CAE">
        <w:trPr>
          <w:trHeight w:val="811"/>
          <w:jc w:val="center"/>
        </w:trPr>
        <w:tc>
          <w:tcPr>
            <w:tcW w:w="1581" w:type="dxa"/>
            <w:vAlign w:val="center"/>
          </w:tcPr>
          <w:p w14:paraId="7F96D967"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课程负责人</w:t>
            </w:r>
          </w:p>
        </w:tc>
        <w:tc>
          <w:tcPr>
            <w:tcW w:w="6941" w:type="dxa"/>
            <w:gridSpan w:val="3"/>
            <w:vAlign w:val="center"/>
          </w:tcPr>
          <w:p w14:paraId="591F3E7A"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王建勇、董美寅、张腾宇、王丽霞</w:t>
            </w:r>
          </w:p>
        </w:tc>
      </w:tr>
      <w:tr w:rsidR="00D554C2" w:rsidRPr="00D554C2" w14:paraId="7DFDA203" w14:textId="77777777" w:rsidTr="009B4CAE">
        <w:trPr>
          <w:trHeight w:val="836"/>
          <w:jc w:val="center"/>
        </w:trPr>
        <w:tc>
          <w:tcPr>
            <w:tcW w:w="1581" w:type="dxa"/>
            <w:vAlign w:val="center"/>
          </w:tcPr>
          <w:p w14:paraId="6020C58C"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大纲撰写人</w:t>
            </w:r>
          </w:p>
        </w:tc>
        <w:tc>
          <w:tcPr>
            <w:tcW w:w="2662" w:type="dxa"/>
            <w:vAlign w:val="center"/>
          </w:tcPr>
          <w:p w14:paraId="644783F8"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潘乐</w:t>
            </w:r>
          </w:p>
        </w:tc>
        <w:tc>
          <w:tcPr>
            <w:tcW w:w="1482" w:type="dxa"/>
            <w:vAlign w:val="center"/>
          </w:tcPr>
          <w:p w14:paraId="269EA174"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大纲审核人</w:t>
            </w:r>
          </w:p>
        </w:tc>
        <w:tc>
          <w:tcPr>
            <w:tcW w:w="2797" w:type="dxa"/>
            <w:vAlign w:val="center"/>
          </w:tcPr>
          <w:p w14:paraId="2EA4A93F" w14:textId="77777777" w:rsidR="00D554C2" w:rsidRPr="00D554C2" w:rsidRDefault="00D554C2" w:rsidP="00D554C2">
            <w:pPr>
              <w:spacing w:line="440" w:lineRule="exact"/>
              <w:jc w:val="center"/>
              <w:rPr>
                <w:rFonts w:ascii="宋体" w:eastAsia="宋体" w:hAnsi="宋体" w:cs="Times New Roman"/>
                <w:sz w:val="24"/>
              </w:rPr>
            </w:pPr>
            <w:proofErr w:type="gramStart"/>
            <w:r w:rsidRPr="00D554C2">
              <w:rPr>
                <w:rFonts w:ascii="宋体" w:eastAsia="宋体" w:hAnsi="宋体" w:cs="Times New Roman" w:hint="eastAsia"/>
                <w:sz w:val="24"/>
              </w:rPr>
              <w:t>左健</w:t>
            </w:r>
            <w:proofErr w:type="gramEnd"/>
          </w:p>
        </w:tc>
      </w:tr>
      <w:tr w:rsidR="00D554C2" w:rsidRPr="00D554C2" w14:paraId="302E8500" w14:textId="77777777" w:rsidTr="009B4CAE">
        <w:trPr>
          <w:trHeight w:val="848"/>
          <w:jc w:val="center"/>
        </w:trPr>
        <w:tc>
          <w:tcPr>
            <w:tcW w:w="1581" w:type="dxa"/>
            <w:vAlign w:val="center"/>
          </w:tcPr>
          <w:p w14:paraId="063D3BEA"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先修课程</w:t>
            </w:r>
          </w:p>
        </w:tc>
        <w:tc>
          <w:tcPr>
            <w:tcW w:w="6941" w:type="dxa"/>
            <w:gridSpan w:val="3"/>
            <w:vAlign w:val="center"/>
          </w:tcPr>
          <w:p w14:paraId="763025FE" w14:textId="77777777" w:rsidR="00D554C2" w:rsidRPr="00D554C2" w:rsidRDefault="00D554C2" w:rsidP="00D554C2">
            <w:pPr>
              <w:spacing w:line="440" w:lineRule="exact"/>
              <w:jc w:val="center"/>
              <w:rPr>
                <w:rFonts w:ascii="宋体" w:eastAsia="宋体" w:hAnsi="宋体" w:cs="Times New Roman"/>
                <w:sz w:val="24"/>
              </w:rPr>
            </w:pPr>
          </w:p>
        </w:tc>
      </w:tr>
      <w:tr w:rsidR="00D554C2" w:rsidRPr="00D554C2" w14:paraId="035AA04C" w14:textId="77777777" w:rsidTr="009B4CAE">
        <w:trPr>
          <w:trHeight w:val="848"/>
          <w:jc w:val="center"/>
        </w:trPr>
        <w:tc>
          <w:tcPr>
            <w:tcW w:w="1581" w:type="dxa"/>
            <w:vAlign w:val="center"/>
          </w:tcPr>
          <w:p w14:paraId="03B11111"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课程网址</w:t>
            </w:r>
          </w:p>
        </w:tc>
        <w:tc>
          <w:tcPr>
            <w:tcW w:w="6941" w:type="dxa"/>
            <w:gridSpan w:val="3"/>
            <w:vAlign w:val="center"/>
          </w:tcPr>
          <w:p w14:paraId="3AE87844" w14:textId="77777777" w:rsidR="00D554C2" w:rsidRPr="00D554C2" w:rsidRDefault="00D554C2" w:rsidP="00D554C2">
            <w:pPr>
              <w:spacing w:line="440" w:lineRule="exact"/>
              <w:rPr>
                <w:rFonts w:ascii="宋体" w:eastAsia="宋体" w:hAnsi="宋体" w:cs="Times New Roman"/>
                <w:color w:val="FF0000"/>
                <w:sz w:val="24"/>
              </w:rPr>
            </w:pPr>
          </w:p>
        </w:tc>
      </w:tr>
    </w:tbl>
    <w:p w14:paraId="46C4440C"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二、课程学习目标及与毕业要求的对应关系</w:t>
      </w:r>
    </w:p>
    <w:p w14:paraId="7273624A"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（一）课程学习目标</w:t>
      </w:r>
    </w:p>
    <w:p w14:paraId="4F8E9A3B"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通过本课程的学习，使学生达到以下目标：</w:t>
      </w:r>
    </w:p>
    <w:p w14:paraId="2CBFB243" w14:textId="77777777" w:rsidR="00D554C2" w:rsidRPr="00B26124" w:rsidRDefault="00D554C2" w:rsidP="00D554C2">
      <w:pPr>
        <w:adjustRightInd w:val="0"/>
        <w:snapToGrid w:val="0"/>
        <w:spacing w:line="360" w:lineRule="exact"/>
        <w:ind w:firstLineChars="200" w:firstLine="480"/>
        <w:rPr>
          <w:rFonts w:ascii="宋体" w:eastAsia="宋体" w:hAnsi="宋体" w:cs="宋体"/>
          <w:b/>
          <w:bCs/>
          <w:sz w:val="24"/>
        </w:rPr>
      </w:pPr>
      <w:r w:rsidRPr="00D554C2">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w:t>
      </w:r>
      <w:r w:rsidRPr="00B26124">
        <w:rPr>
          <w:rFonts w:ascii="宋体" w:eastAsia="宋体" w:hAnsi="宋体" w:cs="仿宋_GB2312" w:hint="eastAsia"/>
          <w:b/>
          <w:bCs/>
          <w:sz w:val="24"/>
        </w:rPr>
        <w:t>【毕业要求8/10 职业规范】</w:t>
      </w:r>
    </w:p>
    <w:p w14:paraId="51266C3C" w14:textId="77777777" w:rsidR="00D554C2" w:rsidRPr="00D554C2" w:rsidRDefault="00D554C2" w:rsidP="00D554C2">
      <w:pPr>
        <w:adjustRightInd w:val="0"/>
        <w:snapToGrid w:val="0"/>
        <w:spacing w:line="360" w:lineRule="exact"/>
        <w:ind w:firstLineChars="200" w:firstLine="480"/>
        <w:rPr>
          <w:rFonts w:ascii="宋体" w:eastAsia="宋体" w:hAnsi="宋体" w:cs="仿宋_GB2312"/>
          <w:sz w:val="24"/>
        </w:rPr>
      </w:pPr>
      <w:r w:rsidRPr="00D554C2">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w:t>
      </w:r>
      <w:r w:rsidRPr="00B26124">
        <w:rPr>
          <w:rFonts w:ascii="宋体" w:eastAsia="宋体" w:hAnsi="宋体" w:cs="仿宋_GB2312" w:hint="eastAsia"/>
          <w:b/>
          <w:bCs/>
          <w:sz w:val="24"/>
        </w:rPr>
        <w:t>【毕业要求8/10 沟通】</w:t>
      </w:r>
    </w:p>
    <w:p w14:paraId="4A1326F8" w14:textId="77777777" w:rsidR="00D554C2" w:rsidRPr="00B26124" w:rsidRDefault="00D554C2" w:rsidP="00D554C2">
      <w:pPr>
        <w:adjustRightInd w:val="0"/>
        <w:snapToGrid w:val="0"/>
        <w:spacing w:line="360" w:lineRule="exact"/>
        <w:ind w:firstLineChars="200" w:firstLine="480"/>
        <w:rPr>
          <w:rFonts w:ascii="黑体" w:eastAsia="黑体" w:hAnsi="黑体" w:cs="Times New Roman"/>
          <w:b/>
          <w:bCs/>
          <w:sz w:val="28"/>
          <w:szCs w:val="28"/>
        </w:rPr>
      </w:pPr>
      <w:r w:rsidRPr="00D554C2">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w:t>
      </w:r>
      <w:r w:rsidRPr="00D554C2">
        <w:rPr>
          <w:rFonts w:ascii="宋体" w:eastAsia="宋体" w:hAnsi="宋体" w:cs="仿宋_GB2312" w:hint="eastAsia"/>
          <w:sz w:val="24"/>
        </w:rPr>
        <w:lastRenderedPageBreak/>
        <w:t>练习为基本手段，对大学生机体进行科学的培育，在提高人的生物潜能、心理潜能的过程中促进德、智、体、美全面发展，达到身心健康、全面发展的教育总目的。</w:t>
      </w:r>
      <w:r w:rsidRPr="00B26124">
        <w:rPr>
          <w:rFonts w:ascii="宋体" w:eastAsia="宋体" w:hAnsi="宋体" w:cs="仿宋_GB2312" w:hint="eastAsia"/>
          <w:b/>
          <w:bCs/>
          <w:sz w:val="24"/>
        </w:rPr>
        <w:t>【毕业要求8/12 终身学习】</w:t>
      </w:r>
    </w:p>
    <w:p w14:paraId="5BCAC485"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D554C2" w:rsidRPr="00D554C2" w14:paraId="264A44C5" w14:textId="77777777" w:rsidTr="009B4CAE">
        <w:trPr>
          <w:trHeight w:val="815"/>
          <w:jc w:val="center"/>
        </w:trPr>
        <w:tc>
          <w:tcPr>
            <w:tcW w:w="1708" w:type="dxa"/>
            <w:vAlign w:val="center"/>
          </w:tcPr>
          <w:p w14:paraId="0CE206A6"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毕业要求</w:t>
            </w:r>
          </w:p>
        </w:tc>
        <w:tc>
          <w:tcPr>
            <w:tcW w:w="5954" w:type="dxa"/>
            <w:vAlign w:val="center"/>
          </w:tcPr>
          <w:p w14:paraId="5625CA19"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毕业要求指标点</w:t>
            </w:r>
          </w:p>
        </w:tc>
        <w:tc>
          <w:tcPr>
            <w:tcW w:w="1507" w:type="dxa"/>
            <w:vAlign w:val="center"/>
          </w:tcPr>
          <w:p w14:paraId="02C6F8FA"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课程目标</w:t>
            </w:r>
          </w:p>
        </w:tc>
      </w:tr>
      <w:tr w:rsidR="00D554C2" w:rsidRPr="00D554C2" w14:paraId="10FC4D33" w14:textId="77777777" w:rsidTr="009B4CAE">
        <w:trPr>
          <w:jc w:val="center"/>
        </w:trPr>
        <w:tc>
          <w:tcPr>
            <w:tcW w:w="1708" w:type="dxa"/>
            <w:vAlign w:val="center"/>
          </w:tcPr>
          <w:p w14:paraId="0A3D0B05"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职业规范</w:t>
            </w:r>
            <w:r w:rsidRPr="00D554C2">
              <w:rPr>
                <w:rFonts w:ascii="宋体" w:eastAsia="宋体" w:hAnsi="宋体" w:cs="Times New Roman"/>
                <w:sz w:val="24"/>
              </w:rPr>
              <w:t>（</w:t>
            </w:r>
            <w:r w:rsidRPr="00D554C2">
              <w:rPr>
                <w:rFonts w:ascii="宋体" w:eastAsia="宋体" w:hAnsi="宋体" w:cs="Times New Roman" w:hint="eastAsia"/>
                <w:sz w:val="24"/>
              </w:rPr>
              <w:t>M</w:t>
            </w:r>
            <w:r w:rsidRPr="00D554C2">
              <w:rPr>
                <w:rFonts w:ascii="宋体" w:eastAsia="宋体" w:hAnsi="宋体" w:cs="Times New Roman"/>
                <w:sz w:val="24"/>
              </w:rPr>
              <w:t>）</w:t>
            </w:r>
          </w:p>
        </w:tc>
        <w:tc>
          <w:tcPr>
            <w:tcW w:w="5954" w:type="dxa"/>
            <w:vAlign w:val="center"/>
          </w:tcPr>
          <w:p w14:paraId="62DC73F0" w14:textId="77777777" w:rsidR="00D554C2" w:rsidRPr="00D554C2" w:rsidRDefault="00D554C2" w:rsidP="00D554C2">
            <w:pPr>
              <w:spacing w:line="440" w:lineRule="exact"/>
              <w:rPr>
                <w:rFonts w:ascii="宋体" w:eastAsia="宋体" w:hAnsi="宋体" w:cs="仿宋_GB2312"/>
                <w:sz w:val="24"/>
              </w:rPr>
            </w:pPr>
          </w:p>
          <w:p w14:paraId="3E58B613" w14:textId="77777777" w:rsidR="00D554C2" w:rsidRPr="00D554C2" w:rsidRDefault="00D554C2" w:rsidP="00D554C2">
            <w:pPr>
              <w:spacing w:line="440" w:lineRule="exact"/>
              <w:rPr>
                <w:rFonts w:ascii="宋体" w:eastAsia="宋体" w:hAnsi="宋体" w:cs="仿宋_GB2312"/>
                <w:sz w:val="24"/>
              </w:rPr>
            </w:pPr>
          </w:p>
          <w:p w14:paraId="6C4DC25A" w14:textId="77777777" w:rsidR="00D554C2" w:rsidRPr="00D554C2" w:rsidRDefault="00D554C2" w:rsidP="00D554C2">
            <w:pPr>
              <w:spacing w:line="440" w:lineRule="exact"/>
              <w:rPr>
                <w:rFonts w:ascii="宋体" w:eastAsia="宋体" w:hAnsi="宋体" w:cs="Times New Roman"/>
                <w:sz w:val="24"/>
              </w:rPr>
            </w:pPr>
          </w:p>
        </w:tc>
        <w:tc>
          <w:tcPr>
            <w:tcW w:w="1507" w:type="dxa"/>
            <w:vAlign w:val="center"/>
          </w:tcPr>
          <w:p w14:paraId="7E25F386" w14:textId="77777777" w:rsidR="00D554C2" w:rsidRPr="00D554C2" w:rsidRDefault="00D554C2" w:rsidP="00D554C2">
            <w:pPr>
              <w:spacing w:line="440" w:lineRule="exact"/>
              <w:rPr>
                <w:rFonts w:ascii="宋体" w:eastAsia="宋体" w:hAnsi="宋体" w:cs="Times New Roman"/>
                <w:sz w:val="24"/>
              </w:rPr>
            </w:pPr>
            <w:r w:rsidRPr="00D554C2">
              <w:rPr>
                <w:rFonts w:ascii="宋体" w:eastAsia="宋体" w:hAnsi="宋体" w:cs="Times New Roman" w:hint="eastAsia"/>
                <w:sz w:val="24"/>
              </w:rPr>
              <w:t>课程目标1</w:t>
            </w:r>
          </w:p>
        </w:tc>
      </w:tr>
      <w:tr w:rsidR="00D554C2" w:rsidRPr="00D554C2" w14:paraId="400CC5F3" w14:textId="77777777" w:rsidTr="009B4CAE">
        <w:trPr>
          <w:jc w:val="center"/>
        </w:trPr>
        <w:tc>
          <w:tcPr>
            <w:tcW w:w="1708" w:type="dxa"/>
            <w:vAlign w:val="center"/>
          </w:tcPr>
          <w:p w14:paraId="3A2A5832"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沟通</w:t>
            </w:r>
            <w:r w:rsidRPr="00D554C2">
              <w:rPr>
                <w:rFonts w:ascii="宋体" w:eastAsia="宋体" w:hAnsi="宋体" w:cs="Times New Roman"/>
                <w:sz w:val="24"/>
              </w:rPr>
              <w:t>（</w:t>
            </w:r>
            <w:r w:rsidRPr="00D554C2">
              <w:rPr>
                <w:rFonts w:ascii="宋体" w:eastAsia="宋体" w:hAnsi="宋体" w:cs="Times New Roman" w:hint="eastAsia"/>
                <w:sz w:val="24"/>
              </w:rPr>
              <w:t>M</w:t>
            </w:r>
            <w:r w:rsidRPr="00D554C2">
              <w:rPr>
                <w:rFonts w:ascii="宋体" w:eastAsia="宋体" w:hAnsi="宋体" w:cs="Times New Roman"/>
                <w:sz w:val="24"/>
              </w:rPr>
              <w:t>）</w:t>
            </w:r>
          </w:p>
        </w:tc>
        <w:tc>
          <w:tcPr>
            <w:tcW w:w="5954" w:type="dxa"/>
            <w:vAlign w:val="center"/>
          </w:tcPr>
          <w:p w14:paraId="058658A0" w14:textId="77777777" w:rsidR="00D554C2" w:rsidRPr="00D554C2" w:rsidRDefault="00D554C2" w:rsidP="00D554C2">
            <w:pPr>
              <w:spacing w:line="440" w:lineRule="exact"/>
              <w:rPr>
                <w:rFonts w:ascii="宋体" w:eastAsia="宋体" w:hAnsi="宋体" w:cs="Times New Roman"/>
                <w:sz w:val="24"/>
              </w:rPr>
            </w:pPr>
          </w:p>
          <w:p w14:paraId="0E02992B" w14:textId="77777777" w:rsidR="00D554C2" w:rsidRPr="00D554C2" w:rsidRDefault="00D554C2" w:rsidP="00D554C2">
            <w:pPr>
              <w:spacing w:line="440" w:lineRule="exact"/>
              <w:rPr>
                <w:rFonts w:ascii="宋体" w:eastAsia="宋体" w:hAnsi="宋体" w:cs="Times New Roman"/>
                <w:sz w:val="24"/>
              </w:rPr>
            </w:pPr>
          </w:p>
          <w:p w14:paraId="14BAAC17" w14:textId="77777777" w:rsidR="00D554C2" w:rsidRPr="00D554C2" w:rsidRDefault="00D554C2" w:rsidP="00D554C2">
            <w:pPr>
              <w:spacing w:line="440" w:lineRule="exact"/>
              <w:rPr>
                <w:rFonts w:ascii="宋体" w:eastAsia="宋体" w:hAnsi="宋体" w:cs="Times New Roman"/>
                <w:sz w:val="24"/>
              </w:rPr>
            </w:pPr>
          </w:p>
        </w:tc>
        <w:tc>
          <w:tcPr>
            <w:tcW w:w="1507" w:type="dxa"/>
            <w:vAlign w:val="center"/>
          </w:tcPr>
          <w:p w14:paraId="58689AF0" w14:textId="77777777" w:rsidR="00D554C2" w:rsidRPr="00D554C2" w:rsidRDefault="00D554C2" w:rsidP="00D554C2">
            <w:pPr>
              <w:spacing w:line="440" w:lineRule="exact"/>
              <w:rPr>
                <w:rFonts w:ascii="宋体" w:eastAsia="宋体" w:hAnsi="宋体" w:cs="仿宋_GB2312"/>
                <w:sz w:val="24"/>
              </w:rPr>
            </w:pPr>
            <w:r w:rsidRPr="00D554C2">
              <w:rPr>
                <w:rFonts w:ascii="宋体" w:eastAsia="宋体" w:hAnsi="宋体" w:cs="Times New Roman" w:hint="eastAsia"/>
                <w:sz w:val="24"/>
              </w:rPr>
              <w:t>课程目标</w:t>
            </w:r>
            <w:r w:rsidRPr="00D554C2">
              <w:rPr>
                <w:rFonts w:ascii="宋体" w:eastAsia="宋体" w:hAnsi="宋体" w:cs="Times New Roman"/>
                <w:sz w:val="24"/>
              </w:rPr>
              <w:t>2</w:t>
            </w:r>
          </w:p>
        </w:tc>
      </w:tr>
      <w:tr w:rsidR="00D554C2" w:rsidRPr="00D554C2" w14:paraId="609A73D8" w14:textId="77777777" w:rsidTr="009B4CAE">
        <w:trPr>
          <w:jc w:val="center"/>
        </w:trPr>
        <w:tc>
          <w:tcPr>
            <w:tcW w:w="1708" w:type="dxa"/>
            <w:vAlign w:val="center"/>
          </w:tcPr>
          <w:p w14:paraId="4512D02C"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终身学习</w:t>
            </w:r>
            <w:r w:rsidRPr="00D554C2">
              <w:rPr>
                <w:rFonts w:ascii="宋体" w:eastAsia="宋体" w:hAnsi="宋体" w:cs="Times New Roman"/>
                <w:sz w:val="24"/>
              </w:rPr>
              <w:t>（</w:t>
            </w:r>
            <w:r w:rsidRPr="00D554C2">
              <w:rPr>
                <w:rFonts w:ascii="宋体" w:eastAsia="宋体" w:hAnsi="宋体" w:cs="Times New Roman" w:hint="eastAsia"/>
                <w:sz w:val="24"/>
              </w:rPr>
              <w:t>H</w:t>
            </w:r>
            <w:r w:rsidRPr="00D554C2">
              <w:rPr>
                <w:rFonts w:ascii="宋体" w:eastAsia="宋体" w:hAnsi="宋体" w:cs="Times New Roman"/>
                <w:sz w:val="24"/>
              </w:rPr>
              <w:t>）</w:t>
            </w:r>
          </w:p>
        </w:tc>
        <w:tc>
          <w:tcPr>
            <w:tcW w:w="5954" w:type="dxa"/>
            <w:vAlign w:val="center"/>
          </w:tcPr>
          <w:p w14:paraId="7DC8FA1A" w14:textId="77777777" w:rsidR="00D554C2" w:rsidRPr="00D554C2" w:rsidRDefault="00D554C2" w:rsidP="00D554C2">
            <w:pPr>
              <w:spacing w:line="440" w:lineRule="exact"/>
              <w:rPr>
                <w:rFonts w:ascii="宋体" w:eastAsia="宋体" w:hAnsi="宋体" w:cs="仿宋_GB2312"/>
                <w:sz w:val="24"/>
              </w:rPr>
            </w:pPr>
          </w:p>
          <w:p w14:paraId="222FBAA6" w14:textId="77777777" w:rsidR="00D554C2" w:rsidRPr="00D554C2" w:rsidRDefault="00D554C2" w:rsidP="00D554C2">
            <w:pPr>
              <w:spacing w:line="440" w:lineRule="exact"/>
              <w:rPr>
                <w:rFonts w:ascii="宋体" w:eastAsia="宋体" w:hAnsi="宋体" w:cs="仿宋_GB2312"/>
                <w:sz w:val="24"/>
              </w:rPr>
            </w:pPr>
          </w:p>
          <w:p w14:paraId="1C1827E2" w14:textId="77777777" w:rsidR="00D554C2" w:rsidRPr="00D554C2" w:rsidRDefault="00D554C2" w:rsidP="00D554C2">
            <w:pPr>
              <w:spacing w:line="440" w:lineRule="exact"/>
              <w:rPr>
                <w:rFonts w:ascii="宋体" w:eastAsia="宋体" w:hAnsi="宋体" w:cs="Times New Roman"/>
                <w:sz w:val="24"/>
              </w:rPr>
            </w:pPr>
          </w:p>
        </w:tc>
        <w:tc>
          <w:tcPr>
            <w:tcW w:w="1507" w:type="dxa"/>
            <w:vAlign w:val="center"/>
          </w:tcPr>
          <w:p w14:paraId="65BEB7B4" w14:textId="77777777" w:rsidR="00D554C2" w:rsidRPr="00D554C2" w:rsidRDefault="00D554C2" w:rsidP="00D554C2">
            <w:pPr>
              <w:spacing w:line="440" w:lineRule="exact"/>
              <w:rPr>
                <w:rFonts w:ascii="宋体" w:eastAsia="宋体" w:hAnsi="宋体" w:cs="Times New Roman"/>
                <w:sz w:val="24"/>
              </w:rPr>
            </w:pPr>
            <w:r w:rsidRPr="00D554C2">
              <w:rPr>
                <w:rFonts w:ascii="宋体" w:eastAsia="宋体" w:hAnsi="宋体" w:cs="Times New Roman"/>
                <w:sz w:val="24"/>
              </w:rPr>
              <w:t>课程目标3</w:t>
            </w:r>
          </w:p>
        </w:tc>
      </w:tr>
    </w:tbl>
    <w:p w14:paraId="205AFE30"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三、课程学习内容及与课程学习目标的对应关系</w:t>
      </w:r>
    </w:p>
    <w:p w14:paraId="5DD62D4F" w14:textId="77777777" w:rsidR="00D554C2" w:rsidRPr="00D554C2" w:rsidRDefault="00D554C2" w:rsidP="00D554C2">
      <w:pPr>
        <w:spacing w:beforeLines="50" w:before="156" w:afterLines="50" w:after="156" w:line="440" w:lineRule="exact"/>
        <w:ind w:firstLineChars="200" w:firstLine="562"/>
        <w:rPr>
          <w:rFonts w:ascii="黑体" w:eastAsia="黑体" w:hAnsi="黑体" w:cs="Times New Roman"/>
          <w:b/>
          <w:sz w:val="28"/>
          <w:szCs w:val="28"/>
        </w:rPr>
      </w:pPr>
      <w:r w:rsidRPr="00D554C2">
        <w:rPr>
          <w:rFonts w:ascii="黑体" w:eastAsia="黑体" w:hAnsi="黑体" w:cs="Times New Roman" w:hint="eastAsia"/>
          <w:b/>
          <w:sz w:val="28"/>
          <w:szCs w:val="28"/>
        </w:rPr>
        <w:t>（一）课程学习内容</w:t>
      </w:r>
    </w:p>
    <w:p w14:paraId="7C95208A" w14:textId="77777777" w:rsidR="00D554C2" w:rsidRPr="00D554C2" w:rsidRDefault="00D554C2" w:rsidP="00D554C2">
      <w:pPr>
        <w:spacing w:beforeLines="50" w:before="156" w:afterLines="50" w:after="156" w:line="440" w:lineRule="exact"/>
        <w:ind w:firstLineChars="200" w:firstLine="560"/>
        <w:jc w:val="center"/>
        <w:rPr>
          <w:rFonts w:ascii="黑体" w:eastAsia="黑体" w:hAnsi="黑体" w:cs="Times New Roman"/>
          <w:sz w:val="28"/>
          <w:szCs w:val="28"/>
        </w:rPr>
      </w:pPr>
      <w:r w:rsidRPr="00D554C2">
        <w:rPr>
          <w:rFonts w:ascii="黑体" w:eastAsia="黑体" w:hAnsi="黑体" w:cs="Times New Roman" w:hint="eastAsia"/>
          <w:sz w:val="28"/>
          <w:szCs w:val="28"/>
        </w:rPr>
        <w:t>学习内容</w:t>
      </w:r>
      <w:proofErr w:type="gramStart"/>
      <w:r w:rsidRPr="00D554C2">
        <w:rPr>
          <w:rFonts w:ascii="黑体" w:eastAsia="黑体" w:hAnsi="黑体" w:cs="Times New Roman" w:hint="eastAsia"/>
          <w:sz w:val="28"/>
          <w:szCs w:val="28"/>
        </w:rPr>
        <w:t>一</w:t>
      </w:r>
      <w:proofErr w:type="gramEnd"/>
      <w:r w:rsidRPr="00D554C2">
        <w:rPr>
          <w:rFonts w:ascii="黑体" w:eastAsia="黑体" w:hAnsi="黑体" w:cs="Times New Roman" w:hint="eastAsia"/>
          <w:sz w:val="28"/>
          <w:szCs w:val="28"/>
        </w:rPr>
        <w:t xml:space="preserve"> 体能+毽球 </w:t>
      </w:r>
    </w:p>
    <w:p w14:paraId="000E3D1B" w14:textId="77777777" w:rsidR="00D554C2" w:rsidRPr="00D554C2" w:rsidRDefault="00D554C2" w:rsidP="00D554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【学习目标】</w:t>
      </w:r>
    </w:p>
    <w:p w14:paraId="3D4AE8BC"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1.</w:t>
      </w:r>
      <w:r w:rsidRPr="00D554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D554C2">
        <w:rPr>
          <w:rFonts w:ascii="宋体" w:eastAsia="宋体" w:hAnsi="Calibri" w:cs="宋体" w:hint="eastAsia"/>
          <w:spacing w:val="5"/>
          <w:kern w:val="0"/>
          <w:sz w:val="24"/>
        </w:rPr>
        <w:t>通过体能教学活动，</w:t>
      </w:r>
      <w:r w:rsidRPr="00D554C2">
        <w:rPr>
          <w:rFonts w:ascii="宋体" w:eastAsia="宋体" w:hAnsi="宋体" w:cs="仿宋_GB2312" w:hint="eastAsia"/>
          <w:sz w:val="24"/>
        </w:rPr>
        <w:t>了解《大学生体质健康标准测验》项目内容、考核方式、评价标准，掌握考核内容锻炼的方式方法。</w:t>
      </w:r>
      <w:r w:rsidRPr="00D554C2">
        <w:rPr>
          <w:rFonts w:ascii="宋体" w:eastAsia="宋体" w:hAnsi="Calibri" w:cs="宋体" w:hint="eastAsia"/>
          <w:spacing w:val="5"/>
          <w:kern w:val="0"/>
          <w:sz w:val="24"/>
        </w:rPr>
        <w:t>培养学生努力学习、不断进取、修身立业、顽强奋进的精神与品质。</w:t>
      </w:r>
    </w:p>
    <w:p w14:paraId="7DCF496A"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2.</w:t>
      </w:r>
      <w:r w:rsidRPr="00D554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w:t>
      </w:r>
      <w:r w:rsidRPr="00D554C2">
        <w:rPr>
          <w:rFonts w:ascii="宋体" w:eastAsia="宋体" w:hAnsi="宋体" w:cs="仿宋_GB2312" w:hint="eastAsia"/>
          <w:sz w:val="24"/>
        </w:rPr>
        <w:lastRenderedPageBreak/>
        <w:t>和自我评价</w:t>
      </w:r>
      <w:r w:rsidRPr="00D554C2">
        <w:rPr>
          <w:rFonts w:ascii="宋体" w:eastAsia="宋体" w:hAnsi="Calibri" w:cs="宋体" w:hint="eastAsia"/>
          <w:spacing w:val="5"/>
          <w:kern w:val="0"/>
          <w:sz w:val="24"/>
        </w:rPr>
        <w:t>。</w:t>
      </w:r>
    </w:p>
    <w:p w14:paraId="14405C2D"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3.</w:t>
      </w:r>
      <w:r w:rsidRPr="00D554C2">
        <w:rPr>
          <w:rFonts w:ascii="宋体" w:eastAsia="宋体" w:hAnsi="宋体" w:cs="仿宋_GB2312" w:hint="eastAsia"/>
          <w:sz w:val="24"/>
        </w:rPr>
        <w:t>使学生能够掌握毽球运动的一般规律和特点，使学生获得毽球运动的基本技术、基本技能和基础理论知识，并了解现代毽球的发展趋势。以运动和身体练习为基本手段，对大学生机体进行科学的培育，在提高人的生物潜能、心理潜能的过程中促进德、智、体、美全面发展，达到身心健康、全面发展的教育总目的</w:t>
      </w:r>
      <w:r w:rsidRPr="00D554C2">
        <w:rPr>
          <w:rFonts w:ascii="宋体" w:eastAsia="宋体" w:hAnsi="Calibri" w:cs="宋体" w:hint="eastAsia"/>
          <w:spacing w:val="5"/>
          <w:kern w:val="0"/>
          <w:sz w:val="24"/>
        </w:rPr>
        <w:t>。</w:t>
      </w:r>
    </w:p>
    <w:p w14:paraId="041CD6C9" w14:textId="77777777" w:rsidR="00D554C2" w:rsidRPr="00D554C2" w:rsidRDefault="00D554C2" w:rsidP="00D554C2">
      <w:pPr>
        <w:spacing w:line="440" w:lineRule="exact"/>
        <w:ind w:firstLineChars="200" w:firstLine="500"/>
        <w:rPr>
          <w:rFonts w:ascii="Calibri" w:eastAsia="宋体" w:hAnsi="Calibri" w:cs="Times New Roman"/>
        </w:rPr>
      </w:pPr>
      <w:r w:rsidRPr="00D554C2">
        <w:rPr>
          <w:rFonts w:ascii="宋体" w:eastAsia="宋体" w:hAnsi="Calibri" w:cs="宋体" w:hint="eastAsia"/>
          <w:spacing w:val="5"/>
          <w:kern w:val="0"/>
          <w:sz w:val="24"/>
        </w:rPr>
        <w:t>4.</w:t>
      </w:r>
      <w:r w:rsidRPr="00D554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D554C2">
        <w:rPr>
          <w:rFonts w:ascii="宋体" w:eastAsia="宋体" w:hAnsi="Calibri" w:cs="宋体" w:hint="eastAsia"/>
          <w:spacing w:val="5"/>
          <w:kern w:val="0"/>
          <w:sz w:val="24"/>
        </w:rPr>
        <w:t>。</w:t>
      </w:r>
    </w:p>
    <w:p w14:paraId="6168857B" w14:textId="77777777" w:rsidR="00D554C2" w:rsidRPr="00D554C2" w:rsidRDefault="00D554C2" w:rsidP="00D554C2">
      <w:pPr>
        <w:spacing w:line="440" w:lineRule="exact"/>
        <w:rPr>
          <w:rFonts w:ascii="宋体" w:eastAsia="宋体" w:hAnsi="宋体" w:cs="Times New Roman"/>
          <w:b/>
          <w:sz w:val="24"/>
        </w:rPr>
      </w:pPr>
    </w:p>
    <w:p w14:paraId="01D59CD3" w14:textId="77777777" w:rsidR="00D554C2" w:rsidRPr="00D554C2" w:rsidRDefault="00D554C2" w:rsidP="00D554C2">
      <w:pPr>
        <w:spacing w:line="44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【学习内容】</w:t>
      </w:r>
    </w:p>
    <w:p w14:paraId="7AEDF5A8" w14:textId="77777777" w:rsidR="00D554C2" w:rsidRPr="00D554C2" w:rsidRDefault="00D554C2" w:rsidP="00D554C2">
      <w:pPr>
        <w:spacing w:beforeLines="50" w:before="156" w:afterLines="50" w:after="156" w:line="360" w:lineRule="auto"/>
        <w:jc w:val="center"/>
        <w:rPr>
          <w:rFonts w:ascii="宋体" w:eastAsia="宋体" w:hAnsi="Calibri" w:cs="Arial"/>
          <w:b/>
          <w:sz w:val="28"/>
          <w:szCs w:val="28"/>
        </w:rPr>
      </w:pPr>
      <w:r w:rsidRPr="00D554C2">
        <w:rPr>
          <w:rFonts w:ascii="宋体" w:eastAsia="宋体" w:hAnsi="宋体" w:cs="Arial" w:hint="eastAsia"/>
          <w:b/>
          <w:sz w:val="28"/>
          <w:szCs w:val="28"/>
        </w:rPr>
        <w:t>第一章</w:t>
      </w:r>
      <w:r w:rsidRPr="00D554C2">
        <w:rPr>
          <w:rFonts w:ascii="宋体" w:eastAsia="宋体" w:hAnsi="宋体" w:cs="Arial"/>
          <w:b/>
          <w:sz w:val="28"/>
          <w:szCs w:val="28"/>
        </w:rPr>
        <w:t xml:space="preserve">   </w:t>
      </w:r>
      <w:r w:rsidRPr="00D554C2">
        <w:rPr>
          <w:rFonts w:ascii="宋体" w:eastAsia="宋体" w:hAnsi="宋体" w:cs="Arial" w:hint="eastAsia"/>
          <w:b/>
          <w:sz w:val="28"/>
          <w:szCs w:val="28"/>
        </w:rPr>
        <w:t>认识健康的重要性（0.5学时）</w:t>
      </w:r>
    </w:p>
    <w:p w14:paraId="15F63847" w14:textId="77777777" w:rsidR="00D554C2" w:rsidRPr="00D554C2" w:rsidRDefault="00D554C2" w:rsidP="00D554C2">
      <w:pPr>
        <w:spacing w:before="50" w:after="50"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21D9CB25"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1.1 健康的内涵</w:t>
      </w:r>
    </w:p>
    <w:p w14:paraId="3B530BA1"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1.2 预防与消除亚健康</w:t>
      </w:r>
    </w:p>
    <w:p w14:paraId="7BF1FA5F"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1.3 维护健康的法则</w:t>
      </w:r>
    </w:p>
    <w:p w14:paraId="0D1F1B61" w14:textId="77777777" w:rsidR="00D554C2" w:rsidRPr="00D554C2" w:rsidRDefault="00D554C2" w:rsidP="00D554C2">
      <w:pPr>
        <w:spacing w:line="360" w:lineRule="auto"/>
        <w:ind w:leftChars="-29" w:left="-61" w:firstLineChars="219" w:firstLine="528"/>
        <w:rPr>
          <w:rFonts w:ascii="Arial" w:eastAsia="宋体" w:hAnsi="Calibri" w:cs="Arial"/>
          <w:b/>
          <w:sz w:val="24"/>
        </w:rPr>
      </w:pPr>
      <w:r w:rsidRPr="00D554C2">
        <w:rPr>
          <w:rFonts w:ascii="Arial" w:eastAsia="宋体" w:hAnsi="Calibri" w:cs="Arial" w:hint="eastAsia"/>
          <w:b/>
          <w:sz w:val="24"/>
        </w:rPr>
        <w:t>本章教学目的及要求：</w:t>
      </w:r>
      <w:r w:rsidRPr="00D554C2">
        <w:rPr>
          <w:rFonts w:ascii="Arial" w:eastAsia="宋体" w:hAnsi="Arial" w:cs="Arial" w:hint="eastAsia"/>
          <w:sz w:val="24"/>
        </w:rPr>
        <w:t>使同学们了解自身健康的重要性及如何维护、促进自身的健康。</w:t>
      </w:r>
    </w:p>
    <w:p w14:paraId="7D6A1E4B" w14:textId="77777777" w:rsidR="00D554C2" w:rsidRPr="00D554C2" w:rsidRDefault="00D554C2" w:rsidP="00D554C2">
      <w:pPr>
        <w:adjustRightInd w:val="0"/>
        <w:snapToGrid w:val="0"/>
        <w:spacing w:line="500" w:lineRule="exact"/>
        <w:ind w:firstLineChars="196" w:firstLine="472"/>
        <w:rPr>
          <w:rFonts w:ascii="Arial" w:eastAsia="宋体" w:hAnsi="Arial" w:cs="Arial"/>
          <w:sz w:val="24"/>
        </w:rPr>
      </w:pPr>
      <w:r w:rsidRPr="00D554C2">
        <w:rPr>
          <w:rFonts w:ascii="Arial" w:eastAsia="宋体" w:hAnsi="Calibri" w:cs="Arial" w:hint="eastAsia"/>
          <w:b/>
          <w:sz w:val="24"/>
        </w:rPr>
        <w:t>本章教学重点及难点：</w:t>
      </w:r>
      <w:r w:rsidRPr="00D554C2">
        <w:rPr>
          <w:rFonts w:ascii="Arial" w:eastAsia="宋体" w:hAnsi="Arial" w:cs="Arial" w:hint="eastAsia"/>
          <w:sz w:val="24"/>
        </w:rPr>
        <w:t>认识到健康的重要性；如何维护自身的健康。</w:t>
      </w:r>
    </w:p>
    <w:p w14:paraId="6B191D14" w14:textId="77777777" w:rsidR="00D554C2" w:rsidRPr="00D554C2" w:rsidRDefault="00D554C2" w:rsidP="00D554C2">
      <w:pPr>
        <w:spacing w:beforeLines="50" w:before="156" w:afterLines="50" w:after="156" w:line="360" w:lineRule="auto"/>
        <w:jc w:val="center"/>
        <w:rPr>
          <w:rFonts w:ascii="Arial" w:eastAsia="宋体" w:hAnsi="Arial" w:cs="Arial"/>
          <w:b/>
          <w:sz w:val="28"/>
          <w:szCs w:val="28"/>
        </w:rPr>
      </w:pPr>
      <w:r w:rsidRPr="00D554C2">
        <w:rPr>
          <w:rFonts w:ascii="Arial" w:eastAsia="宋体" w:hAnsi="Calibri" w:cs="Arial" w:hint="eastAsia"/>
          <w:b/>
          <w:sz w:val="28"/>
          <w:szCs w:val="28"/>
        </w:rPr>
        <w:t>第二章</w:t>
      </w:r>
      <w:r w:rsidRPr="00D554C2">
        <w:rPr>
          <w:rFonts w:ascii="Arial" w:eastAsia="宋体" w:hAnsi="Arial" w:cs="Arial"/>
          <w:b/>
          <w:sz w:val="28"/>
          <w:szCs w:val="28"/>
        </w:rPr>
        <w:t xml:space="preserve">   </w:t>
      </w:r>
      <w:r w:rsidRPr="00D554C2">
        <w:rPr>
          <w:rFonts w:ascii="Arial" w:eastAsia="宋体" w:hAnsi="Calibri" w:cs="Arial" w:hint="eastAsia"/>
          <w:b/>
          <w:sz w:val="28"/>
          <w:szCs w:val="28"/>
        </w:rPr>
        <w:t>科学健身的理论与方法（</w:t>
      </w:r>
      <w:r w:rsidRPr="00D554C2">
        <w:rPr>
          <w:rFonts w:ascii="Arial" w:eastAsia="宋体" w:hAnsi="Calibri" w:cs="Arial" w:hint="eastAsia"/>
          <w:b/>
          <w:sz w:val="28"/>
          <w:szCs w:val="28"/>
        </w:rPr>
        <w:t>0.5</w:t>
      </w:r>
      <w:r w:rsidRPr="00D554C2">
        <w:rPr>
          <w:rFonts w:ascii="Arial" w:eastAsia="宋体" w:hAnsi="Calibri" w:cs="Arial" w:hint="eastAsia"/>
          <w:b/>
          <w:sz w:val="28"/>
          <w:szCs w:val="28"/>
        </w:rPr>
        <w:t>学时）</w:t>
      </w:r>
    </w:p>
    <w:p w14:paraId="3D7D6F98"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102EE048"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2.1 健身新理念</w:t>
      </w:r>
    </w:p>
    <w:p w14:paraId="715ED743"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2.2 运动处方</w:t>
      </w:r>
    </w:p>
    <w:p w14:paraId="5E750C84" w14:textId="77777777" w:rsidR="00D554C2" w:rsidRPr="00D554C2" w:rsidRDefault="00D554C2" w:rsidP="00D554C2">
      <w:pPr>
        <w:spacing w:line="360" w:lineRule="auto"/>
        <w:ind w:firstLineChars="196" w:firstLine="472"/>
        <w:rPr>
          <w:rFonts w:ascii="Calibri" w:eastAsia="宋体" w:hAnsi="Calibri" w:cs="Times New Roman"/>
          <w:bCs/>
          <w:sz w:val="24"/>
        </w:rPr>
      </w:pPr>
      <w:r w:rsidRPr="00D554C2">
        <w:rPr>
          <w:rFonts w:ascii="Arial" w:eastAsia="宋体" w:hAnsi="Calibri" w:cs="Arial" w:hint="eastAsia"/>
          <w:b/>
          <w:sz w:val="24"/>
        </w:rPr>
        <w:t>本章教学目的及要求：</w:t>
      </w:r>
      <w:r w:rsidRPr="00D554C2">
        <w:rPr>
          <w:rFonts w:ascii="Calibri" w:eastAsia="宋体" w:hAnsi="Calibri" w:cs="Times New Roman" w:hint="eastAsia"/>
          <w:bCs/>
          <w:sz w:val="24"/>
        </w:rPr>
        <w:t>使学生了解健身新理念及运动处方如何制定。</w:t>
      </w:r>
    </w:p>
    <w:p w14:paraId="4B6E0270" w14:textId="77777777" w:rsidR="00D554C2" w:rsidRPr="00D554C2" w:rsidRDefault="00D554C2" w:rsidP="00D554C2">
      <w:pPr>
        <w:spacing w:line="360" w:lineRule="auto"/>
        <w:ind w:firstLineChars="200" w:firstLine="482"/>
        <w:rPr>
          <w:rFonts w:ascii="Arial" w:eastAsia="宋体" w:hAnsi="Arial" w:cs="Arial"/>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制订运动处方的重要性；如何制订自身的运动处方。</w:t>
      </w:r>
    </w:p>
    <w:p w14:paraId="56605E66" w14:textId="77777777" w:rsidR="00D554C2" w:rsidRPr="00D554C2" w:rsidRDefault="00D554C2" w:rsidP="00D554C2">
      <w:pPr>
        <w:spacing w:beforeLines="50" w:before="156" w:afterLines="50" w:after="156" w:line="360" w:lineRule="auto"/>
        <w:jc w:val="center"/>
        <w:rPr>
          <w:rFonts w:ascii="Arial" w:eastAsia="宋体" w:hAnsi="Arial" w:cs="Arial"/>
          <w:b/>
          <w:sz w:val="28"/>
          <w:szCs w:val="28"/>
        </w:rPr>
      </w:pPr>
      <w:r w:rsidRPr="00D554C2">
        <w:rPr>
          <w:rFonts w:ascii="Arial" w:eastAsia="宋体" w:hAnsi="Calibri" w:cs="Arial" w:hint="eastAsia"/>
          <w:b/>
          <w:sz w:val="28"/>
          <w:szCs w:val="28"/>
        </w:rPr>
        <w:lastRenderedPageBreak/>
        <w:t>第三章</w:t>
      </w:r>
      <w:r w:rsidRPr="00D554C2">
        <w:rPr>
          <w:rFonts w:ascii="Arial" w:eastAsia="宋体" w:hAnsi="Arial" w:cs="Arial"/>
          <w:b/>
          <w:sz w:val="28"/>
          <w:szCs w:val="28"/>
        </w:rPr>
        <w:t xml:space="preserve">   </w:t>
      </w:r>
      <w:r w:rsidRPr="00D554C2">
        <w:rPr>
          <w:rFonts w:ascii="Arial" w:eastAsia="宋体" w:hAnsi="Calibri" w:cs="Arial" w:hint="eastAsia"/>
          <w:b/>
          <w:sz w:val="28"/>
          <w:szCs w:val="28"/>
        </w:rPr>
        <w:t>营养与健康（</w:t>
      </w:r>
      <w:r w:rsidRPr="00D554C2">
        <w:rPr>
          <w:rFonts w:ascii="Arial" w:eastAsia="宋体" w:hAnsi="Calibri" w:cs="Arial" w:hint="eastAsia"/>
          <w:b/>
          <w:sz w:val="28"/>
          <w:szCs w:val="28"/>
        </w:rPr>
        <w:t>0.5</w:t>
      </w:r>
      <w:r w:rsidRPr="00D554C2">
        <w:rPr>
          <w:rFonts w:ascii="Arial" w:eastAsia="宋体" w:hAnsi="Calibri" w:cs="Arial" w:hint="eastAsia"/>
          <w:b/>
          <w:sz w:val="28"/>
          <w:szCs w:val="28"/>
        </w:rPr>
        <w:t>学时）</w:t>
      </w:r>
    </w:p>
    <w:p w14:paraId="4A12557B"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3C663523"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3.1 营养对健康的影响</w:t>
      </w:r>
    </w:p>
    <w:p w14:paraId="3811574F"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3.2 营养素及人体对营养的需要</w:t>
      </w:r>
    </w:p>
    <w:p w14:paraId="0C4F3224"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3.3 平衡膳食</w:t>
      </w:r>
    </w:p>
    <w:p w14:paraId="55434AA5"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3.4 运动与营养</w:t>
      </w:r>
    </w:p>
    <w:p w14:paraId="1193854B" w14:textId="77777777" w:rsidR="00D554C2" w:rsidRPr="00D554C2" w:rsidRDefault="00D554C2" w:rsidP="00D554C2">
      <w:pPr>
        <w:spacing w:line="360" w:lineRule="auto"/>
        <w:ind w:firstLineChars="196" w:firstLine="472"/>
        <w:rPr>
          <w:rFonts w:ascii="Calibri" w:eastAsia="宋体" w:hAnsi="Calibri" w:cs="Times New Roman"/>
          <w:bCs/>
          <w:sz w:val="24"/>
        </w:rPr>
      </w:pPr>
      <w:r w:rsidRPr="00D554C2">
        <w:rPr>
          <w:rFonts w:ascii="Arial" w:eastAsia="宋体" w:hAnsi="Calibri" w:cs="Arial" w:hint="eastAsia"/>
          <w:b/>
          <w:sz w:val="24"/>
        </w:rPr>
        <w:t>本章教学目的及要求：</w:t>
      </w:r>
      <w:r w:rsidRPr="00D554C2">
        <w:rPr>
          <w:rFonts w:ascii="Calibri" w:eastAsia="宋体" w:hAnsi="Calibri" w:cs="Times New Roman" w:hint="eastAsia"/>
          <w:bCs/>
          <w:sz w:val="24"/>
        </w:rPr>
        <w:t>让学生正确认识科学补充营养可以提高自身免疫力，从而提高生活质量。</w:t>
      </w:r>
    </w:p>
    <w:p w14:paraId="636D508E" w14:textId="77777777" w:rsidR="00D554C2" w:rsidRPr="00D554C2" w:rsidRDefault="00D554C2" w:rsidP="00D554C2">
      <w:pPr>
        <w:spacing w:line="360" w:lineRule="auto"/>
        <w:ind w:firstLineChars="196" w:firstLine="472"/>
        <w:rPr>
          <w:rFonts w:ascii="Arial" w:eastAsia="宋体" w:hAnsi="Arial" w:cs="Arial"/>
          <w:bCs/>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学生阶段的营养过剩与运动不足；补充营养的同时如何提高自身的健康。</w:t>
      </w:r>
    </w:p>
    <w:p w14:paraId="73B84E45" w14:textId="77777777" w:rsidR="00D554C2" w:rsidRPr="00D554C2" w:rsidRDefault="00D554C2" w:rsidP="00D554C2">
      <w:pPr>
        <w:spacing w:beforeLines="50" w:before="156" w:afterLines="50" w:after="156" w:line="360" w:lineRule="auto"/>
        <w:jc w:val="center"/>
        <w:rPr>
          <w:rFonts w:ascii="Arial" w:eastAsia="宋体" w:hAnsi="Arial" w:cs="Arial"/>
          <w:b/>
          <w:sz w:val="28"/>
          <w:szCs w:val="28"/>
        </w:rPr>
      </w:pPr>
      <w:r w:rsidRPr="00D554C2">
        <w:rPr>
          <w:rFonts w:ascii="Arial" w:eastAsia="宋体" w:hAnsi="Calibri" w:cs="Arial" w:hint="eastAsia"/>
          <w:b/>
          <w:sz w:val="28"/>
          <w:szCs w:val="28"/>
        </w:rPr>
        <w:t>第四章</w:t>
      </w:r>
      <w:r w:rsidRPr="00D554C2">
        <w:rPr>
          <w:rFonts w:ascii="Arial" w:eastAsia="宋体" w:hAnsi="Arial" w:cs="Arial"/>
          <w:b/>
          <w:sz w:val="28"/>
          <w:szCs w:val="28"/>
        </w:rPr>
        <w:t xml:space="preserve">   </w:t>
      </w:r>
      <w:r w:rsidRPr="00D554C2">
        <w:rPr>
          <w:rFonts w:ascii="Arial" w:eastAsia="宋体" w:hAnsi="Calibri" w:cs="Arial" w:hint="eastAsia"/>
          <w:b/>
          <w:sz w:val="28"/>
          <w:szCs w:val="28"/>
        </w:rPr>
        <w:t>体育保健知识（</w:t>
      </w:r>
      <w:r w:rsidRPr="00D554C2">
        <w:rPr>
          <w:rFonts w:ascii="Arial" w:eastAsia="宋体" w:hAnsi="Calibri" w:cs="Arial" w:hint="eastAsia"/>
          <w:b/>
          <w:sz w:val="28"/>
          <w:szCs w:val="28"/>
        </w:rPr>
        <w:t>0.5</w:t>
      </w:r>
      <w:r w:rsidRPr="00D554C2">
        <w:rPr>
          <w:rFonts w:ascii="Arial" w:eastAsia="宋体" w:hAnsi="Calibri" w:cs="Arial" w:hint="eastAsia"/>
          <w:b/>
          <w:sz w:val="28"/>
          <w:szCs w:val="28"/>
        </w:rPr>
        <w:t>学时）</w:t>
      </w:r>
    </w:p>
    <w:p w14:paraId="009FA27C"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07291471"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4.1运动中常见的生理反应与处理方法</w:t>
      </w:r>
    </w:p>
    <w:p w14:paraId="4E01D8AA"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4.2 运动损伤的处置</w:t>
      </w:r>
    </w:p>
    <w:p w14:paraId="37E1DE24"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4.3女子运动保健</w:t>
      </w:r>
    </w:p>
    <w:p w14:paraId="6F13EE48" w14:textId="77777777" w:rsidR="00D554C2" w:rsidRPr="00D554C2" w:rsidRDefault="00D554C2" w:rsidP="00D554C2">
      <w:pPr>
        <w:spacing w:line="360" w:lineRule="auto"/>
        <w:ind w:firstLineChars="196" w:firstLine="472"/>
        <w:rPr>
          <w:rFonts w:ascii="Calibri" w:eastAsia="宋体" w:hAnsi="Calibri" w:cs="Times New Roman"/>
          <w:bCs/>
          <w:sz w:val="24"/>
        </w:rPr>
      </w:pPr>
      <w:r w:rsidRPr="00D554C2">
        <w:rPr>
          <w:rFonts w:ascii="Arial" w:eastAsia="宋体" w:hAnsi="Calibri" w:cs="Arial" w:hint="eastAsia"/>
          <w:b/>
          <w:sz w:val="24"/>
        </w:rPr>
        <w:t>本章教学目的及要求：</w:t>
      </w:r>
      <w:r w:rsidRPr="00D554C2">
        <w:rPr>
          <w:rFonts w:ascii="Calibri" w:eastAsia="宋体" w:hAnsi="Calibri" w:cs="Times New Roman" w:hint="eastAsia"/>
          <w:bCs/>
          <w:sz w:val="24"/>
        </w:rPr>
        <w:t>使学生了解运动中常见的生理反应及处理方法。</w:t>
      </w:r>
    </w:p>
    <w:p w14:paraId="6AA92CE0" w14:textId="77777777" w:rsidR="00D554C2" w:rsidRPr="00D554C2" w:rsidRDefault="00D554C2" w:rsidP="00D554C2">
      <w:pPr>
        <w:spacing w:line="360" w:lineRule="auto"/>
        <w:ind w:firstLineChars="196" w:firstLine="472"/>
        <w:rPr>
          <w:rFonts w:ascii="Arial" w:eastAsia="宋体" w:hAnsi="Calibri" w:cs="Arial"/>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学生如何预防常见的运动损伤；运动损伤如何处置。</w:t>
      </w:r>
    </w:p>
    <w:p w14:paraId="772B7CCA" w14:textId="77777777" w:rsidR="00D554C2" w:rsidRPr="00D554C2" w:rsidRDefault="00D554C2" w:rsidP="00D554C2">
      <w:pPr>
        <w:tabs>
          <w:tab w:val="left" w:pos="960"/>
        </w:tabs>
        <w:spacing w:beforeLines="50" w:before="156" w:afterLines="50" w:after="156" w:line="360" w:lineRule="auto"/>
        <w:jc w:val="center"/>
        <w:rPr>
          <w:rFonts w:ascii="宋体" w:eastAsia="宋体" w:hAnsi="Calibri" w:cs="Arial"/>
          <w:b/>
          <w:bCs/>
          <w:sz w:val="28"/>
          <w:szCs w:val="28"/>
        </w:rPr>
      </w:pPr>
      <w:r w:rsidRPr="00D554C2">
        <w:rPr>
          <w:rFonts w:ascii="宋体" w:eastAsia="宋体" w:hAnsi="宋体" w:cs="Arial" w:hint="eastAsia"/>
          <w:b/>
          <w:bCs/>
          <w:sz w:val="28"/>
          <w:szCs w:val="28"/>
        </w:rPr>
        <w:t>第五章 了解体育文化（0.5课时）</w:t>
      </w:r>
    </w:p>
    <w:p w14:paraId="5A5F5568"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165C52B9"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5.1中西方体育文化比较</w:t>
      </w:r>
    </w:p>
    <w:p w14:paraId="6EDE31CF"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5.2 奥林匹克体育文化</w:t>
      </w:r>
    </w:p>
    <w:p w14:paraId="5D29D1A7"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5.3 校园体育文化</w:t>
      </w:r>
    </w:p>
    <w:p w14:paraId="285CCC76" w14:textId="77777777" w:rsidR="00D554C2" w:rsidRPr="00D554C2" w:rsidRDefault="00D554C2" w:rsidP="00D554C2">
      <w:pPr>
        <w:spacing w:line="360" w:lineRule="auto"/>
        <w:ind w:firstLineChars="196" w:firstLine="472"/>
        <w:rPr>
          <w:rFonts w:ascii="Arial" w:eastAsia="宋体" w:hAnsi="Calibri" w:cs="Arial"/>
          <w:b/>
          <w:sz w:val="24"/>
        </w:rPr>
      </w:pPr>
      <w:r w:rsidRPr="00D554C2">
        <w:rPr>
          <w:rFonts w:ascii="Arial" w:eastAsia="宋体" w:hAnsi="Calibri" w:cs="Arial" w:hint="eastAsia"/>
          <w:b/>
          <w:sz w:val="24"/>
        </w:rPr>
        <w:t>本章教学目的及要求：</w:t>
      </w:r>
      <w:r w:rsidRPr="00D554C2">
        <w:rPr>
          <w:rFonts w:ascii="Arial" w:eastAsia="宋体" w:hAnsi="Calibri" w:cs="Arial" w:hint="eastAsia"/>
          <w:bCs/>
          <w:sz w:val="24"/>
          <w:szCs w:val="28"/>
        </w:rPr>
        <w:t>让学生了解东西方体育文化的差异。</w:t>
      </w:r>
    </w:p>
    <w:p w14:paraId="0B1C87B6" w14:textId="77777777" w:rsidR="00D554C2" w:rsidRPr="00D554C2" w:rsidRDefault="00D554C2" w:rsidP="00D554C2">
      <w:pPr>
        <w:spacing w:line="360" w:lineRule="auto"/>
        <w:ind w:firstLineChars="196" w:firstLine="472"/>
        <w:rPr>
          <w:rFonts w:ascii="Arial" w:eastAsia="宋体" w:hAnsi="Calibri" w:cs="Arial"/>
          <w:b/>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介绍奥林匹克文化的发展</w:t>
      </w:r>
      <w:r w:rsidRPr="00D554C2">
        <w:rPr>
          <w:rFonts w:ascii="Arial" w:eastAsia="宋体" w:hAnsi="Calibri" w:cs="Arial" w:hint="eastAsia"/>
          <w:bCs/>
          <w:sz w:val="24"/>
          <w:szCs w:val="28"/>
        </w:rPr>
        <w:t>；介绍校园体育文化的发展与功能。</w:t>
      </w:r>
    </w:p>
    <w:p w14:paraId="608F1779" w14:textId="77777777" w:rsidR="00D554C2" w:rsidRPr="00D554C2" w:rsidRDefault="00D554C2" w:rsidP="00D554C2">
      <w:pPr>
        <w:spacing w:beforeLines="50" w:before="156" w:afterLines="50" w:after="156" w:line="360" w:lineRule="auto"/>
        <w:jc w:val="center"/>
        <w:rPr>
          <w:rFonts w:ascii="Arial" w:eastAsia="宋体" w:hAnsi="Calibri" w:cs="Arial"/>
          <w:b/>
          <w:sz w:val="28"/>
          <w:szCs w:val="28"/>
        </w:rPr>
      </w:pPr>
      <w:r w:rsidRPr="00D554C2">
        <w:rPr>
          <w:rFonts w:ascii="宋体" w:eastAsia="宋体" w:hAnsi="宋体" w:cs="宋体" w:hint="eastAsia"/>
          <w:b/>
          <w:bCs/>
          <w:sz w:val="28"/>
          <w:szCs w:val="28"/>
        </w:rPr>
        <w:lastRenderedPageBreak/>
        <w:t>第六章 欣赏体育比赛</w:t>
      </w:r>
      <w:r w:rsidRPr="00D554C2">
        <w:rPr>
          <w:rFonts w:ascii="Arial" w:eastAsia="宋体" w:hAnsi="Calibri" w:cs="Arial" w:hint="eastAsia"/>
          <w:b/>
          <w:sz w:val="28"/>
          <w:szCs w:val="28"/>
        </w:rPr>
        <w:t>（</w:t>
      </w:r>
      <w:r w:rsidRPr="00D554C2">
        <w:rPr>
          <w:rFonts w:ascii="Arial" w:eastAsia="宋体" w:hAnsi="Arial" w:cs="Arial" w:hint="eastAsia"/>
          <w:b/>
          <w:sz w:val="28"/>
          <w:szCs w:val="28"/>
        </w:rPr>
        <w:t>0.5</w:t>
      </w:r>
      <w:r w:rsidRPr="00D554C2">
        <w:rPr>
          <w:rFonts w:ascii="Arial" w:eastAsia="宋体" w:hAnsi="Calibri" w:cs="Arial" w:hint="eastAsia"/>
          <w:b/>
          <w:sz w:val="28"/>
          <w:szCs w:val="28"/>
        </w:rPr>
        <w:t>学时）</w:t>
      </w:r>
    </w:p>
    <w:p w14:paraId="6C846C4C"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2F3B9CAB"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6.1体育欣赏的体育美学原理及特点</w:t>
      </w:r>
    </w:p>
    <w:p w14:paraId="1CF605BE"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6.2 体育运动的欣赏内容</w:t>
      </w:r>
    </w:p>
    <w:p w14:paraId="254717A7"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6.3 特定运动项目的欣赏</w:t>
      </w:r>
    </w:p>
    <w:p w14:paraId="33631C0A" w14:textId="77777777" w:rsidR="00D554C2" w:rsidRPr="00D554C2" w:rsidRDefault="00D554C2" w:rsidP="00D554C2">
      <w:pPr>
        <w:spacing w:line="360" w:lineRule="auto"/>
        <w:ind w:firstLineChars="196" w:firstLine="472"/>
        <w:rPr>
          <w:rFonts w:ascii="Arial" w:eastAsia="宋体" w:hAnsi="Calibri" w:cs="Arial"/>
          <w:b/>
          <w:sz w:val="24"/>
        </w:rPr>
      </w:pPr>
      <w:r w:rsidRPr="00D554C2">
        <w:rPr>
          <w:rFonts w:ascii="Arial" w:eastAsia="宋体" w:hAnsi="Calibri" w:cs="Arial" w:hint="eastAsia"/>
          <w:b/>
          <w:sz w:val="24"/>
        </w:rPr>
        <w:t>本章教学目的及要求：</w:t>
      </w:r>
      <w:r w:rsidRPr="00D554C2">
        <w:rPr>
          <w:rFonts w:ascii="Arial" w:eastAsia="宋体" w:hAnsi="Calibri" w:cs="Arial" w:hint="eastAsia"/>
          <w:bCs/>
          <w:sz w:val="24"/>
          <w:szCs w:val="28"/>
        </w:rPr>
        <w:t>使学生提高体育文化素质，培养起体育欣赏的兴趣，树立正确的体育审美观念。</w:t>
      </w:r>
    </w:p>
    <w:p w14:paraId="7C377236" w14:textId="77777777" w:rsidR="00D554C2" w:rsidRPr="00D554C2" w:rsidRDefault="00D554C2" w:rsidP="00D554C2">
      <w:pPr>
        <w:spacing w:line="360" w:lineRule="auto"/>
        <w:ind w:firstLineChars="196" w:firstLine="472"/>
        <w:rPr>
          <w:rFonts w:ascii="Arial" w:eastAsia="宋体" w:hAnsi="Calibri" w:cs="Arial"/>
          <w:b/>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如何欣赏球类比赛</w:t>
      </w:r>
      <w:r w:rsidRPr="00D554C2">
        <w:rPr>
          <w:rFonts w:ascii="Arial" w:eastAsia="宋体" w:hAnsi="Calibri" w:cs="Arial" w:hint="eastAsia"/>
          <w:bCs/>
          <w:sz w:val="24"/>
          <w:szCs w:val="28"/>
        </w:rPr>
        <w:t>；如何提高体育欣赏水平。</w:t>
      </w:r>
    </w:p>
    <w:p w14:paraId="762585DD" w14:textId="77777777" w:rsidR="00D554C2" w:rsidRPr="00D554C2" w:rsidRDefault="00D554C2" w:rsidP="00D554C2">
      <w:pPr>
        <w:spacing w:beforeLines="50" w:before="156" w:afterLines="50" w:after="156" w:line="360" w:lineRule="auto"/>
        <w:jc w:val="center"/>
        <w:rPr>
          <w:rFonts w:ascii="Arial" w:eastAsia="宋体" w:hAnsi="Arial" w:cs="Arial"/>
          <w:b/>
          <w:sz w:val="28"/>
          <w:szCs w:val="28"/>
        </w:rPr>
      </w:pPr>
      <w:r w:rsidRPr="00D554C2">
        <w:rPr>
          <w:rFonts w:ascii="Arial" w:eastAsia="宋体" w:hAnsi="Calibri" w:cs="Arial" w:hint="eastAsia"/>
          <w:b/>
          <w:sz w:val="28"/>
          <w:szCs w:val="28"/>
        </w:rPr>
        <w:t>第七章</w:t>
      </w:r>
      <w:r w:rsidRPr="00D554C2">
        <w:rPr>
          <w:rFonts w:ascii="Arial" w:eastAsia="宋体" w:hAnsi="Arial" w:cs="Arial"/>
          <w:b/>
          <w:sz w:val="28"/>
          <w:szCs w:val="28"/>
        </w:rPr>
        <w:t xml:space="preserve">   </w:t>
      </w:r>
      <w:r w:rsidRPr="00D554C2">
        <w:rPr>
          <w:rFonts w:ascii="Arial" w:eastAsia="宋体" w:hAnsi="Arial" w:cs="Arial"/>
          <w:b/>
          <w:sz w:val="28"/>
          <w:szCs w:val="28"/>
        </w:rPr>
        <w:t>大</w:t>
      </w:r>
      <w:r w:rsidRPr="00D554C2">
        <w:rPr>
          <w:rFonts w:ascii="Arial" w:eastAsia="宋体" w:hAnsi="Calibri" w:cs="Arial" w:hint="eastAsia"/>
          <w:b/>
          <w:sz w:val="28"/>
          <w:szCs w:val="28"/>
        </w:rPr>
        <w:t>学生体质健康测评（</w:t>
      </w:r>
      <w:r w:rsidRPr="00D554C2">
        <w:rPr>
          <w:rFonts w:ascii="Arial" w:eastAsia="宋体" w:hAnsi="Calibri" w:cs="Arial" w:hint="eastAsia"/>
          <w:b/>
          <w:sz w:val="28"/>
          <w:szCs w:val="28"/>
        </w:rPr>
        <w:t>4</w:t>
      </w:r>
      <w:r w:rsidRPr="00D554C2">
        <w:rPr>
          <w:rFonts w:ascii="Arial" w:eastAsia="宋体" w:hAnsi="Calibri" w:cs="Arial" w:hint="eastAsia"/>
          <w:b/>
          <w:sz w:val="28"/>
          <w:szCs w:val="28"/>
        </w:rPr>
        <w:t>学时）</w:t>
      </w:r>
    </w:p>
    <w:p w14:paraId="188D600E"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02AABACD"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7.1 《国家学生体质健康标准》实施说明</w:t>
      </w:r>
    </w:p>
    <w:p w14:paraId="6ACD0969" w14:textId="77777777" w:rsidR="00D554C2" w:rsidRPr="00D554C2" w:rsidRDefault="00D554C2" w:rsidP="00D554C2">
      <w:pPr>
        <w:autoSpaceDE w:val="0"/>
        <w:autoSpaceDN w:val="0"/>
        <w:adjustRightInd w:val="0"/>
        <w:snapToGrid w:val="0"/>
        <w:spacing w:line="500" w:lineRule="exact"/>
        <w:ind w:firstLineChars="200" w:firstLine="500"/>
        <w:jc w:val="left"/>
        <w:rPr>
          <w:rFonts w:ascii="Arial" w:eastAsia="宋体" w:hAnsi="Calibri" w:cs="Arial"/>
          <w:sz w:val="24"/>
        </w:rPr>
      </w:pPr>
      <w:r w:rsidRPr="00D554C2">
        <w:rPr>
          <w:rFonts w:ascii="宋体" w:eastAsia="宋体" w:hAnsi="Calibri" w:cs="宋体" w:hint="eastAsia"/>
          <w:spacing w:val="5"/>
          <w:kern w:val="0"/>
          <w:sz w:val="24"/>
        </w:rPr>
        <w:t>7.2 《国家学生体质健康标准》测试评分表</w:t>
      </w:r>
    </w:p>
    <w:p w14:paraId="56EEF12A" w14:textId="77777777" w:rsidR="00D554C2" w:rsidRPr="00D554C2" w:rsidRDefault="00D554C2" w:rsidP="00D554C2">
      <w:pPr>
        <w:spacing w:line="360" w:lineRule="auto"/>
        <w:ind w:firstLineChars="196" w:firstLine="472"/>
        <w:rPr>
          <w:rFonts w:ascii="Calibri" w:eastAsia="宋体" w:hAnsi="Calibri" w:cs="Times New Roman"/>
          <w:bCs/>
          <w:sz w:val="24"/>
        </w:rPr>
      </w:pPr>
      <w:r w:rsidRPr="00D554C2">
        <w:rPr>
          <w:rFonts w:ascii="Arial" w:eastAsia="宋体" w:hAnsi="Calibri" w:cs="Arial" w:hint="eastAsia"/>
          <w:b/>
          <w:sz w:val="24"/>
        </w:rPr>
        <w:t>本章教学目的及要求：</w:t>
      </w:r>
      <w:r w:rsidRPr="00D554C2">
        <w:rPr>
          <w:rFonts w:ascii="Calibri" w:eastAsia="宋体" w:hAnsi="Calibri" w:cs="Times New Roman" w:hint="eastAsia"/>
          <w:bCs/>
          <w:sz w:val="24"/>
        </w:rPr>
        <w:t>使学生了解体质健康的主要内容及要求。</w:t>
      </w:r>
    </w:p>
    <w:p w14:paraId="27A6B7F1" w14:textId="77777777" w:rsidR="00D554C2" w:rsidRPr="00D554C2" w:rsidRDefault="00D554C2" w:rsidP="00D554C2">
      <w:pPr>
        <w:spacing w:line="360" w:lineRule="auto"/>
        <w:ind w:firstLineChars="196" w:firstLine="472"/>
        <w:rPr>
          <w:rFonts w:ascii="Arial" w:eastAsia="宋体" w:hAnsi="Calibri" w:cs="Arial"/>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学生体质健康标准的重要性；如何激发学生锻炼身体的积极性和自觉性。</w:t>
      </w:r>
    </w:p>
    <w:p w14:paraId="41EB70AB" w14:textId="77777777" w:rsidR="00D554C2" w:rsidRPr="00D554C2" w:rsidRDefault="00D554C2" w:rsidP="00D554C2">
      <w:pPr>
        <w:spacing w:beforeLines="50" w:before="156" w:afterLines="50" w:after="156" w:line="360" w:lineRule="auto"/>
        <w:jc w:val="center"/>
        <w:rPr>
          <w:rFonts w:ascii="Arial" w:eastAsia="宋体" w:hAnsi="Calibri" w:cs="Arial"/>
          <w:b/>
          <w:sz w:val="28"/>
          <w:szCs w:val="28"/>
        </w:rPr>
      </w:pPr>
      <w:r w:rsidRPr="00D554C2">
        <w:rPr>
          <w:rFonts w:ascii="Arial" w:eastAsia="宋体" w:hAnsi="Arial" w:cs="Arial" w:hint="eastAsia"/>
          <w:b/>
          <w:sz w:val="28"/>
          <w:szCs w:val="28"/>
        </w:rPr>
        <w:t>第八章</w:t>
      </w:r>
      <w:r w:rsidRPr="00D554C2">
        <w:rPr>
          <w:rFonts w:ascii="Arial" w:eastAsia="宋体" w:hAnsi="Arial" w:cs="Arial"/>
          <w:b/>
          <w:sz w:val="28"/>
          <w:szCs w:val="28"/>
        </w:rPr>
        <w:t xml:space="preserve">  </w:t>
      </w:r>
      <w:r w:rsidRPr="00D554C2">
        <w:rPr>
          <w:rFonts w:ascii="宋体" w:eastAsia="宋体" w:hAnsi="宋体" w:cs="Arial" w:hint="eastAsia"/>
          <w:b/>
          <w:bCs/>
          <w:sz w:val="28"/>
          <w:szCs w:val="28"/>
        </w:rPr>
        <w:t>体能训练</w:t>
      </w:r>
      <w:r w:rsidRPr="00D554C2">
        <w:rPr>
          <w:rFonts w:ascii="Arial" w:eastAsia="宋体" w:hAnsi="Calibri" w:cs="Arial" w:hint="eastAsia"/>
          <w:b/>
          <w:sz w:val="28"/>
          <w:szCs w:val="28"/>
        </w:rPr>
        <w:t>（</w:t>
      </w:r>
      <w:r w:rsidRPr="00D554C2">
        <w:rPr>
          <w:rFonts w:ascii="Arial" w:eastAsia="宋体" w:hAnsi="Calibri" w:cs="Arial" w:hint="eastAsia"/>
          <w:b/>
          <w:sz w:val="28"/>
          <w:szCs w:val="28"/>
        </w:rPr>
        <w:t>13</w:t>
      </w:r>
      <w:r w:rsidRPr="00D554C2">
        <w:rPr>
          <w:rFonts w:ascii="Arial" w:eastAsia="宋体" w:hAnsi="Calibri" w:cs="Arial" w:hint="eastAsia"/>
          <w:b/>
          <w:sz w:val="28"/>
          <w:szCs w:val="28"/>
        </w:rPr>
        <w:t>学时）</w:t>
      </w:r>
    </w:p>
    <w:p w14:paraId="004E1AFB"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4F6DADE7"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8.1体能训练简介</w:t>
      </w:r>
    </w:p>
    <w:p w14:paraId="3DB562E4"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8.2加速能力及力量训练2.柔韧能力训练</w:t>
      </w:r>
    </w:p>
    <w:p w14:paraId="729FA33C"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8.3弹跳能力及力量训练</w:t>
      </w:r>
    </w:p>
    <w:p w14:paraId="71462FE7"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8.4灵敏能力及力量训练</w:t>
      </w:r>
    </w:p>
    <w:p w14:paraId="2CA89B8B"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8.5耐力能力及无氧训练</w:t>
      </w:r>
    </w:p>
    <w:p w14:paraId="5B63E941"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8.6弹跳能力及力量测试</w:t>
      </w:r>
    </w:p>
    <w:p w14:paraId="22F84093"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8.7上肢（男）力量训练2.腹肌（女）力量训练</w:t>
      </w:r>
    </w:p>
    <w:p w14:paraId="28D218B4"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8.8耐力能力及无氧训练</w:t>
      </w:r>
    </w:p>
    <w:p w14:paraId="1F0A67F1"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lastRenderedPageBreak/>
        <w:t>8.9引体向上（男）；一分钟仰卧起坐（女）</w:t>
      </w:r>
    </w:p>
    <w:p w14:paraId="6D424504"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8.10立定跳远测试</w:t>
      </w:r>
    </w:p>
    <w:p w14:paraId="225E9AB3" w14:textId="77777777" w:rsidR="00D554C2" w:rsidRPr="00D554C2" w:rsidRDefault="00D554C2" w:rsidP="00FE4508">
      <w:pPr>
        <w:numPr>
          <w:ilvl w:val="0"/>
          <w:numId w:val="43"/>
        </w:numPr>
        <w:spacing w:beforeLines="50" w:before="156" w:afterLines="50" w:after="156" w:line="360" w:lineRule="auto"/>
        <w:jc w:val="center"/>
        <w:rPr>
          <w:rFonts w:ascii="Arial" w:eastAsia="宋体" w:hAnsi="Calibri" w:cs="Arial"/>
          <w:b/>
          <w:sz w:val="28"/>
          <w:szCs w:val="28"/>
        </w:rPr>
      </w:pPr>
      <w:r w:rsidRPr="00D554C2">
        <w:rPr>
          <w:rFonts w:ascii="Arial" w:eastAsia="宋体" w:hAnsi="Arial" w:cs="Arial" w:hint="eastAsia"/>
          <w:b/>
          <w:sz w:val="28"/>
          <w:szCs w:val="28"/>
        </w:rPr>
        <w:t xml:space="preserve">   </w:t>
      </w:r>
      <w:r w:rsidRPr="00D554C2">
        <w:rPr>
          <w:rFonts w:ascii="Arial" w:eastAsia="宋体" w:hAnsi="Arial" w:cs="Arial" w:hint="eastAsia"/>
          <w:b/>
          <w:sz w:val="28"/>
          <w:szCs w:val="28"/>
        </w:rPr>
        <w:t>选项</w:t>
      </w:r>
      <w:proofErr w:type="gramStart"/>
      <w:r w:rsidRPr="00D554C2">
        <w:rPr>
          <w:rFonts w:ascii="Arial" w:eastAsia="宋体" w:hAnsi="Arial" w:cs="Arial" w:hint="eastAsia"/>
          <w:b/>
          <w:sz w:val="28"/>
          <w:szCs w:val="28"/>
        </w:rPr>
        <w:t>课各项</w:t>
      </w:r>
      <w:proofErr w:type="gramEnd"/>
      <w:r w:rsidRPr="00D554C2">
        <w:rPr>
          <w:rFonts w:ascii="Arial" w:eastAsia="宋体" w:hAnsi="Arial" w:cs="Arial" w:hint="eastAsia"/>
          <w:b/>
          <w:sz w:val="28"/>
          <w:szCs w:val="28"/>
        </w:rPr>
        <w:t>目内容</w:t>
      </w:r>
      <w:r w:rsidRPr="00D554C2">
        <w:rPr>
          <w:rFonts w:ascii="Arial" w:eastAsia="宋体" w:hAnsi="Calibri" w:cs="Arial" w:hint="eastAsia"/>
          <w:b/>
          <w:sz w:val="28"/>
          <w:szCs w:val="28"/>
        </w:rPr>
        <w:t>（</w:t>
      </w:r>
      <w:r w:rsidRPr="00D554C2">
        <w:rPr>
          <w:rFonts w:ascii="Arial" w:eastAsia="宋体" w:hAnsi="Calibri" w:cs="Arial" w:hint="eastAsia"/>
          <w:b/>
          <w:sz w:val="28"/>
          <w:szCs w:val="28"/>
        </w:rPr>
        <w:t>12</w:t>
      </w:r>
      <w:r w:rsidRPr="00D554C2">
        <w:rPr>
          <w:rFonts w:ascii="Arial" w:eastAsia="宋体" w:hAnsi="Calibri" w:cs="Arial" w:hint="eastAsia"/>
          <w:b/>
          <w:sz w:val="28"/>
          <w:szCs w:val="28"/>
        </w:rPr>
        <w:t>学时）</w:t>
      </w:r>
    </w:p>
    <w:p w14:paraId="22617C67" w14:textId="77777777" w:rsidR="00D554C2" w:rsidRPr="00D554C2" w:rsidRDefault="00D554C2" w:rsidP="00D554C2">
      <w:pPr>
        <w:spacing w:beforeLines="50" w:before="156" w:afterLines="50" w:after="156" w:line="500" w:lineRule="exact"/>
        <w:ind w:firstLineChars="147" w:firstLine="413"/>
        <w:rPr>
          <w:rFonts w:ascii="宋体" w:eastAsia="宋体" w:hAnsi="宋体" w:cs="宋体"/>
          <w:b/>
          <w:sz w:val="28"/>
          <w:szCs w:val="28"/>
        </w:rPr>
      </w:pPr>
      <w:r w:rsidRPr="00D554C2">
        <w:rPr>
          <w:rFonts w:ascii="宋体" w:eastAsia="宋体" w:hAnsi="宋体" w:cs="宋体" w:hint="eastAsia"/>
          <w:b/>
          <w:sz w:val="28"/>
          <w:szCs w:val="28"/>
        </w:rPr>
        <w:t>9.1  毽球运动概述（2学时）</w:t>
      </w:r>
    </w:p>
    <w:p w14:paraId="10EE37D0" w14:textId="77777777" w:rsidR="00D554C2" w:rsidRPr="00D554C2" w:rsidRDefault="00D554C2" w:rsidP="00D554C2">
      <w:pPr>
        <w:spacing w:line="500" w:lineRule="exact"/>
        <w:rPr>
          <w:rFonts w:ascii="Arial" w:eastAsia="宋体" w:hAnsi="Arial" w:cs="Arial"/>
          <w:b/>
          <w:sz w:val="24"/>
        </w:rPr>
      </w:pPr>
      <w:r w:rsidRPr="00D554C2">
        <w:rPr>
          <w:rFonts w:ascii="Arial" w:eastAsia="宋体" w:hAnsi="Calibri" w:cs="Arial" w:hint="eastAsia"/>
          <w:b/>
          <w:sz w:val="24"/>
        </w:rPr>
        <w:t xml:space="preserve">    </w:t>
      </w:r>
      <w:r w:rsidRPr="00D554C2">
        <w:rPr>
          <w:rFonts w:ascii="Arial" w:eastAsia="宋体" w:hAnsi="Calibri" w:cs="Arial" w:hint="eastAsia"/>
          <w:b/>
          <w:sz w:val="24"/>
        </w:rPr>
        <w:t>本章主要教学内容：</w:t>
      </w:r>
    </w:p>
    <w:p w14:paraId="1DDFE97A"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D554C2">
        <w:rPr>
          <w:rFonts w:ascii="宋体" w:eastAsia="宋体" w:hAnsi="宋体" w:cs="宋体" w:hint="eastAsia"/>
          <w:sz w:val="24"/>
        </w:rPr>
        <w:t xml:space="preserve">    9.1.1古代毽子运动的起源与发展</w:t>
      </w:r>
    </w:p>
    <w:p w14:paraId="320CA8AA"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0"/>
        <w:rPr>
          <w:rFonts w:ascii="宋体" w:eastAsia="宋体" w:hAnsi="宋体" w:cs="宋体"/>
          <w:sz w:val="24"/>
        </w:rPr>
      </w:pPr>
      <w:r w:rsidRPr="00D554C2">
        <w:rPr>
          <w:rFonts w:ascii="宋体" w:eastAsia="宋体" w:hAnsi="宋体" w:cs="宋体" w:hint="eastAsia"/>
          <w:sz w:val="24"/>
        </w:rPr>
        <w:t>9.1.2现代毽球运动的诞生与发展</w:t>
      </w:r>
    </w:p>
    <w:p w14:paraId="2AAF5634"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0"/>
        <w:rPr>
          <w:rFonts w:ascii="宋体" w:eastAsia="宋体" w:hAnsi="宋体" w:cs="宋体"/>
          <w:sz w:val="24"/>
        </w:rPr>
      </w:pPr>
      <w:r w:rsidRPr="00D554C2">
        <w:rPr>
          <w:rFonts w:ascii="宋体" w:eastAsia="宋体" w:hAnsi="宋体" w:cs="宋体" w:hint="eastAsia"/>
          <w:sz w:val="24"/>
        </w:rPr>
        <w:t>9.1.3毽球运动的锻炼价值</w:t>
      </w:r>
    </w:p>
    <w:p w14:paraId="238AD791"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D554C2">
        <w:rPr>
          <w:rFonts w:ascii="宋体" w:eastAsia="宋体" w:hAnsi="宋体" w:cs="宋体" w:hint="eastAsia"/>
          <w:sz w:val="24"/>
        </w:rPr>
        <w:t xml:space="preserve">    9.1.4毽球运动竞赛规则与裁判法</w:t>
      </w:r>
    </w:p>
    <w:p w14:paraId="207CA4E1"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D554C2">
        <w:rPr>
          <w:rFonts w:ascii="宋体" w:eastAsia="宋体" w:hAnsi="宋体" w:cs="宋体" w:hint="eastAsia"/>
          <w:sz w:val="24"/>
        </w:rPr>
        <w:t xml:space="preserve">    9.1.5毽球运动损伤及其预防</w:t>
      </w:r>
    </w:p>
    <w:p w14:paraId="68CDFEFD"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Calibri" w:eastAsia="宋体" w:hAnsi="Calibri" w:cs="Times New Roman"/>
          <w:sz w:val="24"/>
        </w:rPr>
      </w:pPr>
      <w:r w:rsidRPr="00D554C2">
        <w:rPr>
          <w:rFonts w:ascii="宋体" w:eastAsia="宋体" w:hAnsi="宋体" w:cs="宋体" w:hint="eastAsia"/>
          <w:sz w:val="24"/>
        </w:rPr>
        <w:t xml:space="preserve">    </w:t>
      </w:r>
      <w:r w:rsidRPr="00D554C2">
        <w:rPr>
          <w:rFonts w:ascii="Calibri" w:eastAsia="宋体" w:hAnsi="Calibri" w:cs="Times New Roman" w:hint="eastAsia"/>
          <w:b/>
          <w:color w:val="000000"/>
          <w:sz w:val="24"/>
        </w:rPr>
        <w:t>本章教学目的及要求：</w:t>
      </w:r>
      <w:r w:rsidRPr="00D554C2">
        <w:rPr>
          <w:rFonts w:ascii="Calibri" w:eastAsia="宋体" w:hAnsi="Calibri" w:cs="Times New Roman" w:hint="eastAsia"/>
          <w:sz w:val="24"/>
        </w:rPr>
        <w:t>使学生基本了解毽球运动的起源与发展，世界毽球运动的传播与推广，毽球技、战术发展趋势。</w:t>
      </w:r>
    </w:p>
    <w:p w14:paraId="41BC130A"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Calibri" w:eastAsia="宋体" w:hAnsi="Calibri" w:cs="Times New Roman"/>
          <w:color w:val="000000"/>
          <w:sz w:val="24"/>
        </w:rPr>
      </w:pPr>
      <w:r w:rsidRPr="00D554C2">
        <w:rPr>
          <w:rFonts w:ascii="Calibri" w:eastAsia="宋体" w:hAnsi="Calibri" w:cs="Times New Roman" w:hint="eastAsia"/>
          <w:b/>
          <w:color w:val="000000"/>
          <w:sz w:val="24"/>
        </w:rPr>
        <w:t xml:space="preserve">    </w:t>
      </w:r>
      <w:r w:rsidRPr="00D554C2">
        <w:rPr>
          <w:rFonts w:ascii="Calibri" w:eastAsia="宋体" w:hAnsi="Calibri" w:cs="Times New Roman" w:hint="eastAsia"/>
          <w:b/>
          <w:color w:val="000000"/>
          <w:sz w:val="24"/>
        </w:rPr>
        <w:t>教学重点及难点：</w:t>
      </w:r>
      <w:r w:rsidRPr="00D554C2">
        <w:rPr>
          <w:rFonts w:ascii="Calibri" w:eastAsia="宋体" w:hAnsi="Calibri" w:cs="Times New Roman" w:hint="eastAsia"/>
          <w:color w:val="000000"/>
          <w:sz w:val="24"/>
        </w:rPr>
        <w:t>毽球运动起源和发展趋势。</w:t>
      </w:r>
    </w:p>
    <w:p w14:paraId="67334C62"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beforeLines="50" w:before="156" w:afterLines="50" w:after="156" w:line="500" w:lineRule="exact"/>
        <w:ind w:firstLineChars="147" w:firstLine="413"/>
        <w:rPr>
          <w:rFonts w:ascii="Calibri" w:eastAsia="宋体" w:hAnsi="Calibri" w:cs="Times New Roman"/>
          <w:b/>
          <w:bCs/>
          <w:color w:val="000000"/>
          <w:sz w:val="28"/>
          <w:szCs w:val="28"/>
        </w:rPr>
      </w:pPr>
      <w:r w:rsidRPr="00D554C2">
        <w:rPr>
          <w:rFonts w:ascii="宋体" w:eastAsia="宋体" w:hAnsi="宋体" w:cs="宋体" w:hint="eastAsia"/>
          <w:b/>
          <w:bCs/>
          <w:color w:val="000000"/>
          <w:sz w:val="28"/>
          <w:szCs w:val="28"/>
        </w:rPr>
        <w:t>9.2 毽球基本运动技术（10学时）</w:t>
      </w:r>
    </w:p>
    <w:p w14:paraId="36063F11" w14:textId="77777777" w:rsidR="00D554C2" w:rsidRPr="00D554C2" w:rsidRDefault="00D554C2" w:rsidP="00D554C2">
      <w:pPr>
        <w:spacing w:line="500" w:lineRule="exact"/>
        <w:rPr>
          <w:rFonts w:ascii="宋体" w:eastAsia="宋体" w:hAnsi="宋体" w:cs="宋体"/>
          <w:b/>
          <w:sz w:val="24"/>
        </w:rPr>
      </w:pPr>
      <w:r w:rsidRPr="00D554C2">
        <w:rPr>
          <w:rFonts w:ascii="Arial" w:eastAsia="宋体" w:hAnsi="Calibri" w:cs="Arial" w:hint="eastAsia"/>
          <w:b/>
          <w:sz w:val="24"/>
        </w:rPr>
        <w:t xml:space="preserve">  </w:t>
      </w:r>
      <w:r w:rsidRPr="00D554C2">
        <w:rPr>
          <w:rFonts w:ascii="宋体" w:eastAsia="宋体" w:hAnsi="宋体" w:cs="宋体" w:hint="eastAsia"/>
          <w:b/>
          <w:sz w:val="24"/>
        </w:rPr>
        <w:t xml:space="preserve">  本章主要教学内容：</w:t>
      </w:r>
    </w:p>
    <w:p w14:paraId="28AE457F" w14:textId="77777777" w:rsidR="00D554C2" w:rsidRPr="00D554C2" w:rsidRDefault="00D554C2" w:rsidP="00D554C2">
      <w:pPr>
        <w:spacing w:line="500" w:lineRule="exact"/>
        <w:rPr>
          <w:rFonts w:ascii="宋体" w:eastAsia="宋体" w:hAnsi="宋体" w:cs="宋体"/>
          <w:sz w:val="24"/>
        </w:rPr>
      </w:pPr>
      <w:r w:rsidRPr="00D554C2">
        <w:rPr>
          <w:rFonts w:ascii="宋体" w:eastAsia="宋体" w:hAnsi="宋体" w:cs="宋体" w:hint="eastAsia"/>
          <w:color w:val="000000"/>
          <w:sz w:val="24"/>
        </w:rPr>
        <w:t xml:space="preserve">    9.2.1</w:t>
      </w:r>
      <w:r w:rsidRPr="00D554C2">
        <w:rPr>
          <w:rFonts w:ascii="宋体" w:eastAsia="宋体" w:hAnsi="宋体" w:cs="宋体" w:hint="eastAsia"/>
          <w:sz w:val="24"/>
        </w:rPr>
        <w:t>准备姿势与移动步法</w:t>
      </w:r>
    </w:p>
    <w:p w14:paraId="40ACD634"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color w:val="000000"/>
          <w:sz w:val="24"/>
        </w:rPr>
      </w:pPr>
      <w:r w:rsidRPr="00D554C2">
        <w:rPr>
          <w:rFonts w:ascii="宋体" w:eastAsia="宋体" w:hAnsi="宋体" w:cs="宋体" w:hint="eastAsia"/>
          <w:sz w:val="24"/>
        </w:rPr>
        <w:t xml:space="preserve">    9.2.2起球技术</w:t>
      </w:r>
    </w:p>
    <w:p w14:paraId="41A26427"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宋体" w:eastAsia="宋体" w:hAnsi="宋体" w:cs="宋体"/>
          <w:sz w:val="24"/>
        </w:rPr>
      </w:pPr>
      <w:r w:rsidRPr="00D554C2">
        <w:rPr>
          <w:rFonts w:ascii="宋体" w:eastAsia="宋体" w:hAnsi="宋体" w:cs="宋体" w:hint="eastAsia"/>
          <w:sz w:val="24"/>
        </w:rPr>
        <w:t xml:space="preserve">    9.2.2.1脚内侧和脚外侧起球技术</w:t>
      </w:r>
    </w:p>
    <w:p w14:paraId="0DE90F27"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宋体" w:eastAsia="宋体" w:hAnsi="宋体" w:cs="宋体"/>
          <w:sz w:val="24"/>
        </w:rPr>
      </w:pPr>
      <w:r w:rsidRPr="00D554C2">
        <w:rPr>
          <w:rFonts w:ascii="宋体" w:eastAsia="宋体" w:hAnsi="宋体" w:cs="宋体" w:hint="eastAsia"/>
          <w:sz w:val="24"/>
        </w:rPr>
        <w:t xml:space="preserve">    9.2.2.2脚背起球技术</w:t>
      </w:r>
    </w:p>
    <w:p w14:paraId="40F6FC9F"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宋体" w:eastAsia="宋体" w:hAnsi="宋体" w:cs="宋体"/>
          <w:sz w:val="24"/>
        </w:rPr>
      </w:pPr>
      <w:r w:rsidRPr="00D554C2">
        <w:rPr>
          <w:rFonts w:ascii="宋体" w:eastAsia="宋体" w:hAnsi="宋体" w:cs="宋体" w:hint="eastAsia"/>
          <w:sz w:val="24"/>
        </w:rPr>
        <w:t xml:space="preserve">    9.2.2.3腿部垫球技术</w:t>
      </w:r>
    </w:p>
    <w:p w14:paraId="5E46351B"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宋体" w:eastAsia="宋体" w:hAnsi="宋体" w:cs="宋体"/>
          <w:sz w:val="24"/>
        </w:rPr>
      </w:pPr>
      <w:r w:rsidRPr="00D554C2">
        <w:rPr>
          <w:rFonts w:ascii="宋体" w:eastAsia="宋体" w:hAnsi="宋体" w:cs="宋体" w:hint="eastAsia"/>
          <w:sz w:val="24"/>
        </w:rPr>
        <w:t xml:space="preserve">    9.2.2.4胸垫球技术</w:t>
      </w:r>
    </w:p>
    <w:p w14:paraId="46702260"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D554C2">
        <w:rPr>
          <w:rFonts w:ascii="宋体" w:eastAsia="宋体" w:hAnsi="宋体" w:cs="宋体" w:hint="eastAsia"/>
          <w:sz w:val="24"/>
        </w:rPr>
        <w:t xml:space="preserve">    9.2.3发球技术</w:t>
      </w:r>
    </w:p>
    <w:p w14:paraId="56E3A759"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D554C2">
        <w:rPr>
          <w:rFonts w:ascii="宋体" w:eastAsia="宋体" w:hAnsi="宋体" w:cs="宋体" w:hint="eastAsia"/>
          <w:sz w:val="24"/>
        </w:rPr>
        <w:t xml:space="preserve">    9.2.3.1正脚背发球技术</w:t>
      </w:r>
    </w:p>
    <w:p w14:paraId="7697DF70"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D554C2">
        <w:rPr>
          <w:rFonts w:ascii="宋体" w:eastAsia="宋体" w:hAnsi="宋体" w:cs="宋体" w:hint="eastAsia"/>
          <w:sz w:val="24"/>
        </w:rPr>
        <w:t xml:space="preserve">    9.2.3.2侧身脚内侧发球技术</w:t>
      </w:r>
    </w:p>
    <w:p w14:paraId="3B63D149"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sz w:val="24"/>
        </w:rPr>
      </w:pPr>
      <w:r w:rsidRPr="00D554C2">
        <w:rPr>
          <w:rFonts w:ascii="宋体" w:eastAsia="宋体" w:hAnsi="宋体" w:cs="宋体" w:hint="eastAsia"/>
          <w:b/>
          <w:color w:val="000000"/>
          <w:sz w:val="24"/>
        </w:rPr>
        <w:t>本章教学目的及要求：</w:t>
      </w:r>
      <w:r w:rsidRPr="00D554C2">
        <w:rPr>
          <w:rFonts w:ascii="宋体" w:eastAsia="宋体" w:hAnsi="宋体" w:cs="宋体" w:hint="eastAsia"/>
          <w:sz w:val="24"/>
        </w:rPr>
        <w:t>使学生基本掌握毽球运动的基本技术动作，并能熟练运用。</w:t>
      </w:r>
    </w:p>
    <w:p w14:paraId="7F60B243"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b/>
          <w:color w:val="000000"/>
          <w:sz w:val="24"/>
        </w:rPr>
      </w:pPr>
      <w:r w:rsidRPr="00D554C2">
        <w:rPr>
          <w:rFonts w:ascii="宋体" w:eastAsia="宋体" w:hAnsi="宋体" w:cs="宋体" w:hint="eastAsia"/>
          <w:b/>
          <w:color w:val="000000"/>
          <w:sz w:val="24"/>
        </w:rPr>
        <w:lastRenderedPageBreak/>
        <w:t>教学重点及难点：</w:t>
      </w:r>
    </w:p>
    <w:p w14:paraId="3BA39EE3"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sz w:val="24"/>
        </w:rPr>
      </w:pPr>
      <w:r w:rsidRPr="00D554C2">
        <w:rPr>
          <w:rFonts w:ascii="宋体" w:eastAsia="宋体" w:hAnsi="宋体" w:cs="宋体" w:hint="eastAsia"/>
          <w:b/>
          <w:bCs/>
          <w:sz w:val="24"/>
        </w:rPr>
        <w:t>重点：</w:t>
      </w:r>
      <w:r w:rsidRPr="00D554C2">
        <w:rPr>
          <w:rFonts w:ascii="宋体" w:eastAsia="宋体" w:hAnsi="宋体" w:cs="宋体" w:hint="eastAsia"/>
          <w:sz w:val="24"/>
        </w:rPr>
        <w:t>掌握基本的起球和发球技术动作；</w:t>
      </w:r>
    </w:p>
    <w:p w14:paraId="0F134FB2"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Arial" w:eastAsia="宋体" w:hAnsi="Calibri" w:cs="Arial"/>
          <w:b/>
          <w:color w:val="FF0000"/>
          <w:sz w:val="28"/>
          <w:szCs w:val="28"/>
        </w:rPr>
      </w:pPr>
      <w:r w:rsidRPr="00D554C2">
        <w:rPr>
          <w:rFonts w:ascii="宋体" w:eastAsia="宋体" w:hAnsi="宋体" w:cs="宋体" w:hint="eastAsia"/>
          <w:b/>
          <w:color w:val="000000"/>
          <w:sz w:val="24"/>
        </w:rPr>
        <w:t>难点：</w:t>
      </w:r>
      <w:proofErr w:type="gramStart"/>
      <w:r w:rsidRPr="00D554C2">
        <w:rPr>
          <w:rFonts w:ascii="宋体" w:eastAsia="宋体" w:hAnsi="宋体" w:cs="宋体" w:hint="eastAsia"/>
          <w:bCs/>
          <w:color w:val="000000"/>
          <w:sz w:val="24"/>
        </w:rPr>
        <w:t>腿部</w:t>
      </w:r>
      <w:r w:rsidRPr="00D554C2">
        <w:rPr>
          <w:rFonts w:ascii="宋体" w:eastAsia="宋体" w:hAnsi="宋体" w:cs="宋体" w:hint="eastAsia"/>
          <w:sz w:val="24"/>
        </w:rPr>
        <w:t>拱球和胸垫球</w:t>
      </w:r>
      <w:proofErr w:type="gramEnd"/>
      <w:r w:rsidRPr="00D554C2">
        <w:rPr>
          <w:rFonts w:ascii="宋体" w:eastAsia="宋体" w:hAnsi="宋体" w:cs="宋体" w:hint="eastAsia"/>
          <w:sz w:val="24"/>
        </w:rPr>
        <w:t>技术；</w:t>
      </w:r>
    </w:p>
    <w:p w14:paraId="72E52259" w14:textId="77777777" w:rsidR="00D554C2" w:rsidRPr="00D554C2" w:rsidRDefault="00D554C2" w:rsidP="00D554C2">
      <w:pPr>
        <w:spacing w:beforeLines="50" w:before="156" w:afterLines="50" w:after="156" w:line="440" w:lineRule="exact"/>
        <w:ind w:firstLineChars="200" w:firstLine="560"/>
        <w:jc w:val="center"/>
        <w:rPr>
          <w:rFonts w:ascii="黑体" w:eastAsia="黑体" w:hAnsi="黑体" w:cs="Times New Roman"/>
          <w:sz w:val="28"/>
          <w:szCs w:val="28"/>
        </w:rPr>
      </w:pPr>
      <w:r w:rsidRPr="00D554C2">
        <w:rPr>
          <w:rFonts w:ascii="黑体" w:eastAsia="黑体" w:hAnsi="黑体" w:cs="Times New Roman" w:hint="eastAsia"/>
          <w:sz w:val="28"/>
          <w:szCs w:val="28"/>
        </w:rPr>
        <w:t>学习内容二 毽球 1</w:t>
      </w:r>
    </w:p>
    <w:p w14:paraId="5B63A37F" w14:textId="77777777" w:rsidR="00D554C2" w:rsidRPr="00D554C2" w:rsidRDefault="00D554C2" w:rsidP="00D554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【学习目标】</w:t>
      </w:r>
    </w:p>
    <w:p w14:paraId="18842006"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1.</w:t>
      </w:r>
      <w:r w:rsidRPr="00D554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D554C2">
        <w:rPr>
          <w:rFonts w:ascii="宋体" w:eastAsia="宋体" w:hAnsi="Calibri" w:cs="宋体" w:hint="eastAsia"/>
          <w:spacing w:val="5"/>
          <w:kern w:val="0"/>
          <w:sz w:val="24"/>
        </w:rPr>
        <w:t>通过体能教学活动，</w:t>
      </w:r>
      <w:r w:rsidRPr="00D554C2">
        <w:rPr>
          <w:rFonts w:ascii="宋体" w:eastAsia="宋体" w:hAnsi="宋体" w:cs="仿宋_GB2312" w:hint="eastAsia"/>
          <w:sz w:val="24"/>
        </w:rPr>
        <w:t>了解《大学生体质健康标准测验》项目内容、考核方式、评价标准，掌握考核内容锻炼的方式方法。</w:t>
      </w:r>
      <w:r w:rsidRPr="00D554C2">
        <w:rPr>
          <w:rFonts w:ascii="宋体" w:eastAsia="宋体" w:hAnsi="Calibri" w:cs="宋体" w:hint="eastAsia"/>
          <w:spacing w:val="5"/>
          <w:kern w:val="0"/>
          <w:sz w:val="24"/>
        </w:rPr>
        <w:t>培养学生努力学习、不断进取、修身立业、顽强奋进的精神与品质。</w:t>
      </w:r>
    </w:p>
    <w:p w14:paraId="1FCD3456"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2.</w:t>
      </w:r>
      <w:r w:rsidRPr="00D554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D554C2">
        <w:rPr>
          <w:rFonts w:ascii="宋体" w:eastAsia="宋体" w:hAnsi="Calibri" w:cs="宋体" w:hint="eastAsia"/>
          <w:spacing w:val="5"/>
          <w:kern w:val="0"/>
          <w:sz w:val="24"/>
        </w:rPr>
        <w:t>。</w:t>
      </w:r>
    </w:p>
    <w:p w14:paraId="1E5D9CE3"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3.</w:t>
      </w:r>
      <w:r w:rsidRPr="00D554C2">
        <w:rPr>
          <w:rFonts w:ascii="宋体" w:eastAsia="宋体" w:hAnsi="宋体" w:cs="仿宋_GB2312" w:hint="eastAsia"/>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D554C2">
        <w:rPr>
          <w:rFonts w:ascii="宋体" w:eastAsia="宋体" w:hAnsi="Calibri" w:cs="宋体" w:hint="eastAsia"/>
          <w:spacing w:val="5"/>
          <w:kern w:val="0"/>
          <w:sz w:val="24"/>
        </w:rPr>
        <w:t>。</w:t>
      </w:r>
    </w:p>
    <w:p w14:paraId="08587B8C" w14:textId="77777777" w:rsidR="00D554C2" w:rsidRPr="00D554C2" w:rsidRDefault="00D554C2" w:rsidP="00D554C2">
      <w:pPr>
        <w:spacing w:line="440" w:lineRule="exact"/>
        <w:ind w:firstLineChars="200" w:firstLine="500"/>
        <w:rPr>
          <w:rFonts w:ascii="宋体" w:eastAsia="宋体" w:hAnsi="宋体" w:cs="Times New Roman"/>
          <w:b/>
          <w:sz w:val="24"/>
        </w:rPr>
      </w:pPr>
      <w:r w:rsidRPr="00D554C2">
        <w:rPr>
          <w:rFonts w:ascii="宋体" w:eastAsia="宋体" w:hAnsi="Calibri" w:cs="宋体" w:hint="eastAsia"/>
          <w:spacing w:val="5"/>
          <w:kern w:val="0"/>
          <w:sz w:val="24"/>
        </w:rPr>
        <w:t>4.</w:t>
      </w:r>
      <w:r w:rsidRPr="00D554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D554C2">
        <w:rPr>
          <w:rFonts w:ascii="宋体" w:eastAsia="宋体" w:hAnsi="Calibri" w:cs="宋体" w:hint="eastAsia"/>
          <w:spacing w:val="5"/>
          <w:kern w:val="0"/>
          <w:sz w:val="24"/>
        </w:rPr>
        <w:t>。</w:t>
      </w:r>
    </w:p>
    <w:p w14:paraId="45885D7C" w14:textId="77777777" w:rsidR="00D554C2" w:rsidRPr="00D554C2" w:rsidRDefault="00D554C2" w:rsidP="00D554C2">
      <w:pPr>
        <w:spacing w:line="44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【学习内容】</w:t>
      </w:r>
    </w:p>
    <w:p w14:paraId="1B773DA8" w14:textId="77777777" w:rsidR="00D554C2" w:rsidRPr="00D554C2" w:rsidRDefault="00D554C2" w:rsidP="00D554C2">
      <w:pPr>
        <w:autoSpaceDE w:val="0"/>
        <w:autoSpaceDN w:val="0"/>
        <w:adjustRightInd w:val="0"/>
        <w:snapToGrid w:val="0"/>
        <w:spacing w:beforeLines="50" w:before="156" w:afterLines="50" w:after="156" w:line="500" w:lineRule="exact"/>
        <w:ind w:firstLineChars="200" w:firstLine="562"/>
        <w:jc w:val="center"/>
        <w:rPr>
          <w:rFonts w:ascii="宋体" w:eastAsia="宋体" w:hAnsi="宋体" w:cs="Times New Roman"/>
          <w:b/>
          <w:sz w:val="28"/>
          <w:szCs w:val="28"/>
        </w:rPr>
      </w:pPr>
      <w:r w:rsidRPr="00D554C2">
        <w:rPr>
          <w:rFonts w:ascii="宋体" w:eastAsia="宋体" w:hAnsi="宋体" w:cs="Times New Roman" w:hint="eastAsia"/>
          <w:b/>
          <w:sz w:val="28"/>
          <w:szCs w:val="28"/>
        </w:rPr>
        <w:t>第一章 毽球运动简介（2学时）</w:t>
      </w:r>
    </w:p>
    <w:p w14:paraId="4885272E"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b/>
          <w:sz w:val="24"/>
        </w:rPr>
        <w:lastRenderedPageBreak/>
        <w:t>本章主要教学内容：</w:t>
      </w:r>
    </w:p>
    <w:p w14:paraId="373CDEB0"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Calibri" w:eastAsia="宋体" w:hAnsi="Calibri" w:cs="Times New Roman" w:hint="eastAsia"/>
          <w:sz w:val="24"/>
        </w:rPr>
        <w:t xml:space="preserve">    </w:t>
      </w:r>
      <w:r w:rsidRPr="00D554C2">
        <w:rPr>
          <w:rFonts w:ascii="宋体" w:eastAsia="宋体" w:hAnsi="宋体" w:cs="宋体" w:hint="eastAsia"/>
          <w:sz w:val="24"/>
        </w:rPr>
        <w:t>1.1古代毽子的起源与发展</w:t>
      </w:r>
    </w:p>
    <w:p w14:paraId="3537CAA6"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 xml:space="preserve">    1.2 现代毽球运动的诞生与发展</w:t>
      </w:r>
    </w:p>
    <w:p w14:paraId="38660B6F"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 xml:space="preserve">    1.3 毽球运动的比赛方法和特点</w:t>
      </w:r>
    </w:p>
    <w:p w14:paraId="3DD185F4"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 xml:space="preserve">    1.4毽球运动发展的趋势</w:t>
      </w:r>
    </w:p>
    <w:p w14:paraId="2A0CB94F" w14:textId="77777777" w:rsidR="00D554C2" w:rsidRPr="00D554C2" w:rsidRDefault="00D554C2" w:rsidP="00D554C2">
      <w:pPr>
        <w:spacing w:line="500" w:lineRule="exact"/>
        <w:ind w:firstLineChars="200" w:firstLine="482"/>
        <w:rPr>
          <w:rFonts w:ascii="Calibri" w:eastAsia="宋体" w:hAnsi="Calibri" w:cs="Times New Roman"/>
          <w:sz w:val="24"/>
        </w:rPr>
      </w:pPr>
      <w:r w:rsidRPr="00D554C2">
        <w:rPr>
          <w:rFonts w:ascii="Calibri" w:eastAsia="宋体" w:hAnsi="Calibri" w:cs="Times New Roman"/>
          <w:b/>
          <w:sz w:val="24"/>
        </w:rPr>
        <w:t>本章教学目的及要求：</w:t>
      </w:r>
      <w:r w:rsidRPr="00D554C2">
        <w:rPr>
          <w:rFonts w:ascii="宋体" w:eastAsia="宋体" w:hAnsi="宋体" w:cs="宋体" w:hint="eastAsia"/>
          <w:sz w:val="24"/>
        </w:rPr>
        <w:t xml:space="preserve"> </w:t>
      </w:r>
      <w:r w:rsidRPr="00D554C2">
        <w:rPr>
          <w:rFonts w:ascii="Calibri" w:eastAsia="宋体" w:hAnsi="Calibri" w:cs="Times New Roman" w:hint="eastAsia"/>
          <w:sz w:val="24"/>
        </w:rPr>
        <w:t>使学生基本了解毽球运动的起源与发展，毽球运动的定义、比赛形式、比赛的基本规律及其特点，中国毽球普及与提高的发展趋势，世界毽球运动的传播与推广，毽球技、战术发展趋势。</w:t>
      </w:r>
    </w:p>
    <w:p w14:paraId="452DD31B"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ind w:firstLineChars="200" w:firstLine="482"/>
        <w:rPr>
          <w:rFonts w:ascii="宋体" w:eastAsia="宋体" w:hAnsi="宋体" w:cs="Times New Roman"/>
          <w:b/>
          <w:sz w:val="28"/>
          <w:szCs w:val="28"/>
        </w:rPr>
      </w:pPr>
      <w:r w:rsidRPr="00D554C2">
        <w:rPr>
          <w:rFonts w:ascii="Calibri" w:eastAsia="宋体" w:hAnsi="Calibri" w:cs="Times New Roman" w:hint="eastAsia"/>
          <w:b/>
          <w:color w:val="000000"/>
          <w:sz w:val="24"/>
        </w:rPr>
        <w:t>教学重点及难点：</w:t>
      </w:r>
      <w:r w:rsidRPr="00D554C2">
        <w:rPr>
          <w:rFonts w:ascii="Calibri" w:eastAsia="宋体" w:hAnsi="Calibri" w:cs="Times New Roman" w:hint="eastAsia"/>
          <w:color w:val="000000"/>
          <w:sz w:val="24"/>
        </w:rPr>
        <w:t>毽球运动起源和发展趋势。</w:t>
      </w:r>
    </w:p>
    <w:p w14:paraId="0A08909F" w14:textId="77777777" w:rsidR="00D554C2" w:rsidRPr="00D554C2" w:rsidRDefault="00D554C2" w:rsidP="00FE4508">
      <w:pPr>
        <w:numPr>
          <w:ilvl w:val="0"/>
          <w:numId w:val="44"/>
        </w:numPr>
        <w:autoSpaceDE w:val="0"/>
        <w:autoSpaceDN w:val="0"/>
        <w:adjustRightInd w:val="0"/>
        <w:snapToGrid w:val="0"/>
        <w:spacing w:beforeLines="50" w:before="156" w:afterLines="50" w:after="156" w:line="500" w:lineRule="exact"/>
        <w:ind w:firstLineChars="200" w:firstLine="562"/>
        <w:jc w:val="center"/>
        <w:rPr>
          <w:rFonts w:ascii="宋体" w:eastAsia="宋体" w:hAnsi="宋体" w:cs="Times New Roman"/>
          <w:b/>
          <w:sz w:val="28"/>
          <w:szCs w:val="28"/>
        </w:rPr>
      </w:pPr>
      <w:r w:rsidRPr="00D554C2">
        <w:rPr>
          <w:rFonts w:ascii="宋体" w:eastAsia="宋体" w:hAnsi="宋体" w:cs="Times New Roman" w:hint="eastAsia"/>
          <w:b/>
          <w:sz w:val="28"/>
          <w:szCs w:val="28"/>
        </w:rPr>
        <w:t>毽球基本技术（18学时）</w:t>
      </w:r>
    </w:p>
    <w:p w14:paraId="05A0E720"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sz w:val="24"/>
        </w:rPr>
      </w:pPr>
      <w:r w:rsidRPr="00D554C2">
        <w:rPr>
          <w:rFonts w:ascii="Calibri" w:eastAsia="宋体" w:hAnsi="Calibri" w:cs="Times New Roman"/>
          <w:b/>
          <w:sz w:val="24"/>
        </w:rPr>
        <w:t>本章主要教学内容：</w:t>
      </w:r>
    </w:p>
    <w:p w14:paraId="08CF756B"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2.1 准备姿势和移动步伐</w:t>
      </w:r>
    </w:p>
    <w:p w14:paraId="19D84597"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2.2起球技术</w:t>
      </w:r>
    </w:p>
    <w:p w14:paraId="18F282C8"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2.2.1脚内侧起球技术</w:t>
      </w:r>
    </w:p>
    <w:p w14:paraId="2A8FECBA"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2.2.2 脚外侧起球技术</w:t>
      </w:r>
    </w:p>
    <w:p w14:paraId="6E796CA4"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2.2.3脚背起球技术</w:t>
      </w:r>
    </w:p>
    <w:p w14:paraId="4349BDF3"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2.2.4腿部垫球技术</w:t>
      </w:r>
    </w:p>
    <w:p w14:paraId="7F08DC2E"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2.2.5胸部垫球技术</w:t>
      </w:r>
    </w:p>
    <w:p w14:paraId="11F3C6CD"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2.2.6肩部垫球技术</w:t>
      </w:r>
    </w:p>
    <w:p w14:paraId="501E6423"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2.3进攻技术</w:t>
      </w:r>
    </w:p>
    <w:p w14:paraId="38F47F5D"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2.4发球技术</w:t>
      </w:r>
    </w:p>
    <w:p w14:paraId="16C6D4CD"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2.5封网技术</w:t>
      </w:r>
    </w:p>
    <w:p w14:paraId="64DE70EC"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sz w:val="24"/>
        </w:rPr>
      </w:pPr>
      <w:r w:rsidRPr="00D554C2">
        <w:rPr>
          <w:rFonts w:ascii="宋体" w:eastAsia="宋体" w:hAnsi="宋体" w:cs="宋体" w:hint="eastAsia"/>
          <w:b/>
          <w:color w:val="000000"/>
          <w:sz w:val="24"/>
        </w:rPr>
        <w:t>本章教学目的及要求：</w:t>
      </w:r>
      <w:r w:rsidRPr="00D554C2">
        <w:rPr>
          <w:rFonts w:ascii="宋体" w:eastAsia="宋体" w:hAnsi="宋体" w:cs="宋体" w:hint="eastAsia"/>
          <w:sz w:val="24"/>
        </w:rPr>
        <w:t>使学生基本掌握毽球运动脚内侧起球技术、脚外侧起球技术，腿部和胸部垫球技术，发球技术并能熟练运用，初步了解进攻和封网技术。</w:t>
      </w:r>
    </w:p>
    <w:p w14:paraId="449EED45"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Times New Roman"/>
          <w:b/>
          <w:sz w:val="28"/>
          <w:szCs w:val="28"/>
        </w:rPr>
      </w:pPr>
      <w:r w:rsidRPr="00D554C2">
        <w:rPr>
          <w:rFonts w:ascii="宋体" w:eastAsia="宋体" w:hAnsi="宋体" w:cs="宋体" w:hint="eastAsia"/>
          <w:b/>
          <w:color w:val="000000"/>
          <w:sz w:val="24"/>
        </w:rPr>
        <w:t>教学重点及难点：</w:t>
      </w:r>
      <w:r w:rsidRPr="00D554C2">
        <w:rPr>
          <w:rFonts w:ascii="宋体" w:eastAsia="宋体" w:hAnsi="宋体" w:cs="宋体" w:hint="eastAsia"/>
          <w:sz w:val="24"/>
        </w:rPr>
        <w:t>脚内侧、脚外侧起球技术、正脚背发球技术动作，</w:t>
      </w:r>
      <w:proofErr w:type="gramStart"/>
      <w:r w:rsidRPr="00D554C2">
        <w:rPr>
          <w:rFonts w:ascii="宋体" w:eastAsia="宋体" w:hAnsi="宋体" w:cs="宋体" w:hint="eastAsia"/>
          <w:bCs/>
          <w:color w:val="000000"/>
          <w:sz w:val="24"/>
        </w:rPr>
        <w:t>腿部</w:t>
      </w:r>
      <w:r w:rsidRPr="00D554C2">
        <w:rPr>
          <w:rFonts w:ascii="宋体" w:eastAsia="宋体" w:hAnsi="宋体" w:cs="宋体" w:hint="eastAsia"/>
          <w:sz w:val="24"/>
        </w:rPr>
        <w:t>拱球和胸垫球</w:t>
      </w:r>
      <w:proofErr w:type="gramEnd"/>
      <w:r w:rsidRPr="00D554C2">
        <w:rPr>
          <w:rFonts w:ascii="宋体" w:eastAsia="宋体" w:hAnsi="宋体" w:cs="宋体" w:hint="eastAsia"/>
          <w:sz w:val="24"/>
        </w:rPr>
        <w:t>技术；</w:t>
      </w:r>
    </w:p>
    <w:p w14:paraId="20013A3F" w14:textId="77777777" w:rsidR="00D554C2" w:rsidRPr="00D554C2" w:rsidRDefault="00D554C2" w:rsidP="00D554C2">
      <w:pPr>
        <w:adjustRightInd w:val="0"/>
        <w:snapToGrid w:val="0"/>
        <w:spacing w:beforeLines="50" w:before="156" w:afterLines="50" w:after="156" w:line="500" w:lineRule="exact"/>
        <w:ind w:firstLineChars="200" w:firstLine="562"/>
        <w:jc w:val="center"/>
        <w:rPr>
          <w:rFonts w:ascii="宋体" w:eastAsia="宋体" w:hAnsi="宋体" w:cs="Times New Roman"/>
          <w:b/>
          <w:sz w:val="28"/>
          <w:szCs w:val="28"/>
        </w:rPr>
      </w:pPr>
      <w:r w:rsidRPr="00D554C2">
        <w:rPr>
          <w:rFonts w:ascii="宋体" w:eastAsia="宋体" w:hAnsi="宋体" w:cs="Times New Roman"/>
          <w:b/>
          <w:sz w:val="28"/>
          <w:szCs w:val="28"/>
        </w:rPr>
        <w:lastRenderedPageBreak/>
        <w:t>第</w:t>
      </w:r>
      <w:r w:rsidRPr="00D554C2">
        <w:rPr>
          <w:rFonts w:ascii="宋体" w:eastAsia="宋体" w:hAnsi="宋体" w:cs="Times New Roman" w:hint="eastAsia"/>
          <w:b/>
          <w:sz w:val="28"/>
          <w:szCs w:val="28"/>
        </w:rPr>
        <w:t>三</w:t>
      </w:r>
      <w:r w:rsidRPr="00D554C2">
        <w:rPr>
          <w:rFonts w:ascii="宋体" w:eastAsia="宋体" w:hAnsi="宋体" w:cs="Times New Roman"/>
          <w:b/>
          <w:sz w:val="28"/>
          <w:szCs w:val="28"/>
        </w:rPr>
        <w:t xml:space="preserve">章 </w:t>
      </w:r>
      <w:r w:rsidRPr="00D554C2">
        <w:rPr>
          <w:rFonts w:ascii="宋体" w:eastAsia="宋体" w:hAnsi="宋体" w:cs="Times New Roman" w:hint="eastAsia"/>
          <w:b/>
          <w:sz w:val="28"/>
          <w:szCs w:val="28"/>
        </w:rPr>
        <w:t>毽球基本战术</w:t>
      </w:r>
      <w:r w:rsidRPr="00D554C2">
        <w:rPr>
          <w:rFonts w:ascii="宋体" w:eastAsia="宋体" w:hAnsi="宋体" w:cs="Times New Roman"/>
          <w:b/>
          <w:sz w:val="28"/>
          <w:szCs w:val="28"/>
        </w:rPr>
        <w:t xml:space="preserve"> （</w:t>
      </w:r>
      <w:r w:rsidRPr="00D554C2">
        <w:rPr>
          <w:rFonts w:ascii="宋体" w:eastAsia="宋体" w:hAnsi="宋体" w:cs="Times New Roman" w:hint="eastAsia"/>
          <w:b/>
          <w:sz w:val="28"/>
          <w:szCs w:val="28"/>
        </w:rPr>
        <w:t>6</w:t>
      </w:r>
      <w:r w:rsidRPr="00D554C2">
        <w:rPr>
          <w:rFonts w:ascii="宋体" w:eastAsia="宋体" w:hAnsi="宋体" w:cs="Times New Roman"/>
          <w:b/>
          <w:sz w:val="28"/>
          <w:szCs w:val="28"/>
        </w:rPr>
        <w:t>学时）</w:t>
      </w:r>
    </w:p>
    <w:p w14:paraId="6A2455FB"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b/>
          <w:sz w:val="24"/>
        </w:rPr>
        <w:t>本章主要教学内容：</w:t>
      </w:r>
    </w:p>
    <w:p w14:paraId="0F0368E3"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3.1 阵容配备</w:t>
      </w:r>
    </w:p>
    <w:p w14:paraId="10DB72C2" w14:textId="77777777" w:rsidR="00D554C2" w:rsidRPr="00D554C2" w:rsidRDefault="00D554C2" w:rsidP="00D554C2">
      <w:pPr>
        <w:spacing w:line="500" w:lineRule="exact"/>
        <w:ind w:firstLineChars="150" w:firstLine="360"/>
        <w:rPr>
          <w:rFonts w:ascii="宋体" w:eastAsia="宋体" w:hAnsi="宋体" w:cs="宋体"/>
          <w:sz w:val="24"/>
        </w:rPr>
      </w:pPr>
      <w:r w:rsidRPr="00D554C2">
        <w:rPr>
          <w:rFonts w:ascii="宋体" w:eastAsia="宋体" w:hAnsi="宋体" w:cs="宋体" w:hint="eastAsia"/>
          <w:sz w:val="24"/>
        </w:rPr>
        <w:t xml:space="preserve"> 3.2 进攻战术的组织形式</w:t>
      </w:r>
    </w:p>
    <w:p w14:paraId="4DCE28FC" w14:textId="77777777" w:rsidR="00D554C2" w:rsidRPr="00D554C2" w:rsidRDefault="00D554C2" w:rsidP="00D554C2">
      <w:pPr>
        <w:spacing w:line="500" w:lineRule="exact"/>
        <w:ind w:firstLineChars="150" w:firstLine="360"/>
        <w:rPr>
          <w:rFonts w:ascii="宋体" w:eastAsia="宋体" w:hAnsi="宋体" w:cs="宋体"/>
          <w:sz w:val="24"/>
        </w:rPr>
      </w:pPr>
      <w:r w:rsidRPr="00D554C2">
        <w:rPr>
          <w:rFonts w:ascii="宋体" w:eastAsia="宋体" w:hAnsi="宋体" w:cs="宋体" w:hint="eastAsia"/>
          <w:sz w:val="24"/>
        </w:rPr>
        <w:t xml:space="preserve"> 3.3接发球站位阵形</w:t>
      </w:r>
    </w:p>
    <w:p w14:paraId="79072156" w14:textId="77777777" w:rsidR="00D554C2" w:rsidRPr="00D554C2" w:rsidRDefault="00D554C2" w:rsidP="00D554C2">
      <w:pPr>
        <w:spacing w:line="500" w:lineRule="exact"/>
        <w:ind w:firstLineChars="150" w:firstLine="360"/>
        <w:rPr>
          <w:rFonts w:ascii="宋体" w:eastAsia="宋体" w:hAnsi="宋体" w:cs="宋体"/>
          <w:sz w:val="24"/>
        </w:rPr>
      </w:pPr>
      <w:r w:rsidRPr="00D554C2">
        <w:rPr>
          <w:rFonts w:ascii="宋体" w:eastAsia="宋体" w:hAnsi="宋体" w:cs="宋体" w:hint="eastAsia"/>
          <w:sz w:val="24"/>
        </w:rPr>
        <w:t xml:space="preserve"> 3.4防守进攻球的站位与配备</w:t>
      </w:r>
    </w:p>
    <w:p w14:paraId="2196DF9F" w14:textId="77777777" w:rsidR="00D554C2" w:rsidRPr="00D554C2" w:rsidRDefault="00D554C2" w:rsidP="00D554C2">
      <w:pPr>
        <w:spacing w:line="500" w:lineRule="exact"/>
        <w:ind w:firstLineChars="200" w:firstLine="482"/>
        <w:rPr>
          <w:rFonts w:ascii="Calibri" w:eastAsia="宋体" w:hAnsi="Calibri" w:cs="Times New Roman"/>
          <w:sz w:val="24"/>
        </w:rPr>
      </w:pPr>
      <w:r w:rsidRPr="00D554C2">
        <w:rPr>
          <w:rFonts w:ascii="Calibri" w:eastAsia="宋体" w:hAnsi="Calibri" w:cs="Times New Roman"/>
          <w:b/>
          <w:sz w:val="24"/>
        </w:rPr>
        <w:t>本章教学目的及要求：</w:t>
      </w:r>
      <w:r w:rsidRPr="00D554C2">
        <w:rPr>
          <w:rFonts w:ascii="Calibri" w:eastAsia="宋体" w:hAnsi="Calibri" w:cs="Times New Roman" w:hint="eastAsia"/>
          <w:sz w:val="24"/>
        </w:rPr>
        <w:t>使学生基本了解阵容配备的意义、要求和形式，了解“主攻型”配备和“二传助攻型”配备的特点；初步了解“四种组织形式”的作用与特点以及接发球“二·一”三角站位，边“一·二”站位的方法与配备、不封网防守阵形的站位与配备，</w:t>
      </w:r>
      <w:proofErr w:type="gramStart"/>
      <w:r w:rsidRPr="00D554C2">
        <w:rPr>
          <w:rFonts w:ascii="Calibri" w:eastAsia="宋体" w:hAnsi="Calibri" w:cs="Times New Roman" w:hint="eastAsia"/>
          <w:sz w:val="24"/>
        </w:rPr>
        <w:t>一</w:t>
      </w:r>
      <w:proofErr w:type="gramEnd"/>
      <w:r w:rsidRPr="00D554C2">
        <w:rPr>
          <w:rFonts w:ascii="Calibri" w:eastAsia="宋体" w:hAnsi="Calibri" w:cs="Times New Roman" w:hint="eastAsia"/>
          <w:sz w:val="24"/>
        </w:rPr>
        <w:t>封二防守阵形的站位与略备等。</w:t>
      </w:r>
    </w:p>
    <w:p w14:paraId="340DA882"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sz w:val="24"/>
        </w:rPr>
      </w:pPr>
      <w:r w:rsidRPr="00D554C2">
        <w:rPr>
          <w:rFonts w:ascii="Calibri" w:eastAsia="宋体" w:hAnsi="Calibri" w:cs="Times New Roman"/>
          <w:b/>
          <w:sz w:val="24"/>
        </w:rPr>
        <w:t>本章教学重点及难点：</w:t>
      </w:r>
      <w:r w:rsidRPr="00D554C2">
        <w:rPr>
          <w:rFonts w:ascii="Calibri" w:eastAsia="宋体" w:hAnsi="Calibri" w:cs="Times New Roman" w:hint="eastAsia"/>
          <w:sz w:val="24"/>
        </w:rPr>
        <w:t>阵容配备的意义和形式，“主攻型”配备和“二传助攻型”配备的特点；接发球站位方法与配备。</w:t>
      </w:r>
    </w:p>
    <w:p w14:paraId="0B066397" w14:textId="77777777" w:rsidR="00D554C2" w:rsidRPr="00D554C2" w:rsidRDefault="00D554C2" w:rsidP="00FE4508">
      <w:pPr>
        <w:numPr>
          <w:ilvl w:val="0"/>
          <w:numId w:val="45"/>
        </w:numPr>
        <w:spacing w:beforeLines="50" w:before="156" w:afterLines="50" w:after="156" w:line="500" w:lineRule="exact"/>
        <w:ind w:firstLineChars="200" w:firstLine="562"/>
        <w:jc w:val="center"/>
        <w:rPr>
          <w:rFonts w:ascii="宋体" w:eastAsia="宋体" w:hAnsi="宋体" w:cs="Times New Roman"/>
          <w:b/>
          <w:sz w:val="28"/>
          <w:szCs w:val="28"/>
        </w:rPr>
      </w:pPr>
      <w:r w:rsidRPr="00D554C2">
        <w:rPr>
          <w:rFonts w:ascii="宋体" w:eastAsia="宋体" w:hAnsi="宋体" w:cs="Times New Roman" w:hint="eastAsia"/>
          <w:b/>
          <w:sz w:val="28"/>
          <w:szCs w:val="28"/>
        </w:rPr>
        <w:t>毽球教学与训练、方法（2学时）</w:t>
      </w:r>
    </w:p>
    <w:p w14:paraId="0F273B99" w14:textId="77777777" w:rsidR="00D554C2" w:rsidRPr="00D554C2" w:rsidRDefault="00D554C2" w:rsidP="00D554C2">
      <w:pPr>
        <w:spacing w:line="360" w:lineRule="auto"/>
        <w:ind w:firstLineChars="147" w:firstLine="354"/>
        <w:rPr>
          <w:rFonts w:ascii="Arial" w:eastAsia="宋体" w:hAnsi="Arial" w:cs="Arial"/>
          <w:b/>
          <w:sz w:val="24"/>
        </w:rPr>
      </w:pPr>
      <w:r w:rsidRPr="00D554C2">
        <w:rPr>
          <w:rFonts w:ascii="Arial" w:eastAsia="宋体" w:hAnsi="Calibri" w:cs="Arial" w:hint="eastAsia"/>
          <w:b/>
          <w:sz w:val="24"/>
        </w:rPr>
        <w:t>本章主要教学内容：</w:t>
      </w:r>
    </w:p>
    <w:p w14:paraId="6F2628B5"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 xml:space="preserve">4.1  </w:t>
      </w:r>
      <w:r w:rsidRPr="00D554C2">
        <w:rPr>
          <w:rFonts w:ascii="Calibri" w:eastAsia="宋体" w:hAnsi="Calibri" w:cs="Times New Roman" w:hint="eastAsia"/>
          <w:sz w:val="24"/>
        </w:rPr>
        <w:t>教学与训练手抛球方法</w:t>
      </w:r>
    </w:p>
    <w:p w14:paraId="25F49693"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 xml:space="preserve">4.2  </w:t>
      </w:r>
      <w:r w:rsidRPr="00D554C2">
        <w:rPr>
          <w:rFonts w:ascii="Calibri" w:eastAsia="宋体" w:hAnsi="Calibri" w:cs="Times New Roman" w:hint="eastAsia"/>
          <w:sz w:val="24"/>
        </w:rPr>
        <w:t>教学与训练模拟课</w:t>
      </w:r>
    </w:p>
    <w:p w14:paraId="334151C1" w14:textId="77777777" w:rsidR="00D554C2" w:rsidRPr="00D554C2" w:rsidRDefault="00D554C2" w:rsidP="00D554C2">
      <w:pPr>
        <w:spacing w:line="500" w:lineRule="exact"/>
        <w:ind w:firstLineChars="200" w:firstLine="482"/>
        <w:rPr>
          <w:rFonts w:ascii="Calibri" w:eastAsia="宋体" w:hAnsi="Calibri" w:cs="Times New Roman"/>
          <w:sz w:val="24"/>
        </w:rPr>
      </w:pPr>
      <w:r w:rsidRPr="00D554C2">
        <w:rPr>
          <w:rFonts w:ascii="Calibri" w:eastAsia="宋体" w:hAnsi="Calibri" w:cs="Times New Roman"/>
          <w:b/>
          <w:sz w:val="24"/>
        </w:rPr>
        <w:t>本章教学目的及要求：</w:t>
      </w:r>
      <w:r w:rsidRPr="00D554C2">
        <w:rPr>
          <w:rFonts w:ascii="Calibri" w:eastAsia="宋体" w:hAnsi="Calibri" w:cs="Times New Roman" w:hint="eastAsia"/>
          <w:sz w:val="24"/>
        </w:rPr>
        <w:t>通过手</w:t>
      </w:r>
      <w:proofErr w:type="gramStart"/>
      <w:r w:rsidRPr="00D554C2">
        <w:rPr>
          <w:rFonts w:ascii="Calibri" w:eastAsia="宋体" w:hAnsi="Calibri" w:cs="Times New Roman" w:hint="eastAsia"/>
          <w:sz w:val="24"/>
        </w:rPr>
        <w:t>抛各类接</w:t>
      </w:r>
      <w:proofErr w:type="gramEnd"/>
      <w:r w:rsidRPr="00D554C2">
        <w:rPr>
          <w:rFonts w:ascii="Calibri" w:eastAsia="宋体" w:hAnsi="Calibri" w:cs="Times New Roman" w:hint="eastAsia"/>
          <w:sz w:val="24"/>
        </w:rPr>
        <w:t>起球、</w:t>
      </w:r>
      <w:proofErr w:type="gramStart"/>
      <w:r w:rsidRPr="00D554C2">
        <w:rPr>
          <w:rFonts w:ascii="Calibri" w:eastAsia="宋体" w:hAnsi="Calibri" w:cs="Times New Roman" w:hint="eastAsia"/>
          <w:sz w:val="24"/>
        </w:rPr>
        <w:t>手抛二传球</w:t>
      </w:r>
      <w:proofErr w:type="gramEnd"/>
      <w:r w:rsidRPr="00D554C2">
        <w:rPr>
          <w:rFonts w:ascii="Calibri" w:eastAsia="宋体" w:hAnsi="Calibri" w:cs="Times New Roman" w:hint="eastAsia"/>
          <w:sz w:val="24"/>
        </w:rPr>
        <w:t>、手扣防守球练习，使学生熟练球性，掌握练习方法。</w:t>
      </w:r>
    </w:p>
    <w:p w14:paraId="6BEA3679" w14:textId="77777777" w:rsidR="00D554C2" w:rsidRPr="00D554C2" w:rsidRDefault="00D554C2" w:rsidP="00D554C2">
      <w:pPr>
        <w:spacing w:line="500" w:lineRule="exact"/>
        <w:ind w:firstLineChars="200" w:firstLine="482"/>
        <w:rPr>
          <w:rFonts w:ascii="Calibri" w:eastAsia="宋体" w:hAnsi="Calibri" w:cs="Times New Roman"/>
          <w:sz w:val="24"/>
        </w:rPr>
      </w:pPr>
      <w:r w:rsidRPr="00D554C2">
        <w:rPr>
          <w:rFonts w:ascii="Calibri" w:eastAsia="宋体" w:hAnsi="Calibri" w:cs="Times New Roman" w:hint="eastAsia"/>
          <w:b/>
          <w:sz w:val="24"/>
        </w:rPr>
        <w:t>本章教学重点及难点</w:t>
      </w:r>
      <w:r w:rsidRPr="00D554C2">
        <w:rPr>
          <w:rFonts w:ascii="Calibri" w:eastAsia="宋体" w:hAnsi="Calibri" w:cs="Times New Roman" w:hint="eastAsia"/>
          <w:sz w:val="24"/>
        </w:rPr>
        <w:t>：手抛接球练习。</w:t>
      </w:r>
    </w:p>
    <w:p w14:paraId="1338A63D" w14:textId="77777777" w:rsidR="00D554C2" w:rsidRPr="00D554C2" w:rsidRDefault="00D554C2" w:rsidP="00FE4508">
      <w:pPr>
        <w:numPr>
          <w:ilvl w:val="0"/>
          <w:numId w:val="45"/>
        </w:numPr>
        <w:spacing w:beforeLines="50" w:before="156" w:afterLines="50" w:after="156" w:line="500" w:lineRule="exact"/>
        <w:ind w:firstLineChars="200" w:firstLine="562"/>
        <w:jc w:val="center"/>
        <w:rPr>
          <w:rFonts w:ascii="宋体" w:eastAsia="宋体" w:hAnsi="宋体" w:cs="Times New Roman"/>
          <w:b/>
          <w:sz w:val="28"/>
          <w:szCs w:val="28"/>
        </w:rPr>
      </w:pPr>
      <w:r w:rsidRPr="00D554C2">
        <w:rPr>
          <w:rFonts w:ascii="宋体" w:eastAsia="宋体" w:hAnsi="宋体" w:cs="Times New Roman" w:hint="eastAsia"/>
          <w:b/>
          <w:sz w:val="28"/>
          <w:szCs w:val="28"/>
        </w:rPr>
        <w:t>毽球运动员的体能训练（2学时）</w:t>
      </w:r>
    </w:p>
    <w:p w14:paraId="7F4E2362"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b/>
          <w:sz w:val="24"/>
        </w:rPr>
        <w:t>本章主要教学内容：</w:t>
      </w:r>
    </w:p>
    <w:p w14:paraId="73B073C3" w14:textId="77777777" w:rsidR="00D554C2" w:rsidRPr="00D554C2" w:rsidRDefault="00D554C2" w:rsidP="00D554C2">
      <w:pPr>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 xml:space="preserve"> 5.1  </w:t>
      </w:r>
      <w:r w:rsidRPr="00D554C2">
        <w:rPr>
          <w:rFonts w:ascii="Calibri" w:eastAsia="宋体" w:hAnsi="Calibri" w:cs="Times New Roman" w:hint="eastAsia"/>
          <w:sz w:val="24"/>
        </w:rPr>
        <w:t>柔韧性训练</w:t>
      </w:r>
    </w:p>
    <w:p w14:paraId="53560822" w14:textId="77777777" w:rsidR="00D554C2" w:rsidRPr="00D554C2" w:rsidRDefault="00D554C2" w:rsidP="00D554C2">
      <w:pPr>
        <w:spacing w:line="500" w:lineRule="exact"/>
        <w:ind w:firstLineChars="250" w:firstLine="600"/>
        <w:rPr>
          <w:rFonts w:ascii="Calibri" w:eastAsia="宋体" w:hAnsi="Calibri" w:cs="Times New Roman"/>
          <w:sz w:val="24"/>
        </w:rPr>
      </w:pPr>
      <w:r w:rsidRPr="00D554C2">
        <w:rPr>
          <w:rFonts w:ascii="Calibri" w:eastAsia="宋体" w:hAnsi="Calibri" w:cs="Times New Roman" w:hint="eastAsia"/>
          <w:sz w:val="24"/>
        </w:rPr>
        <w:t>5.2</w:t>
      </w:r>
      <w:r w:rsidRPr="00D554C2">
        <w:rPr>
          <w:rFonts w:ascii="Calibri" w:eastAsia="宋体" w:hAnsi="Calibri" w:cs="Times New Roman" w:hint="eastAsia"/>
          <w:sz w:val="24"/>
        </w:rPr>
        <w:t>动作速度</w:t>
      </w:r>
    </w:p>
    <w:p w14:paraId="2682E9C7" w14:textId="77777777" w:rsidR="00D554C2" w:rsidRPr="00D554C2" w:rsidRDefault="00D554C2" w:rsidP="00D554C2">
      <w:pPr>
        <w:spacing w:line="500" w:lineRule="exact"/>
        <w:ind w:firstLineChars="200" w:firstLine="482"/>
        <w:rPr>
          <w:rFonts w:ascii="Calibri" w:eastAsia="宋体" w:hAnsi="Calibri" w:cs="Times New Roman"/>
          <w:sz w:val="24"/>
        </w:rPr>
      </w:pPr>
      <w:r w:rsidRPr="00D554C2">
        <w:rPr>
          <w:rFonts w:ascii="Calibri" w:eastAsia="宋体" w:hAnsi="Calibri" w:cs="Times New Roman"/>
          <w:b/>
          <w:sz w:val="24"/>
        </w:rPr>
        <w:t>本章教学目的及要求：</w:t>
      </w:r>
      <w:r w:rsidRPr="00D554C2">
        <w:rPr>
          <w:rFonts w:ascii="Calibri" w:eastAsia="宋体" w:hAnsi="Calibri" w:cs="Times New Roman" w:hint="eastAsia"/>
          <w:sz w:val="24"/>
        </w:rPr>
        <w:t>通过练习提高学生毽球运动基本运动能力，掌握提高柔韧性和动作速度的练习方法。</w:t>
      </w:r>
    </w:p>
    <w:p w14:paraId="074F4094" w14:textId="77777777" w:rsidR="00D554C2" w:rsidRPr="00D554C2" w:rsidRDefault="00D554C2" w:rsidP="00D554C2">
      <w:pPr>
        <w:spacing w:line="500" w:lineRule="exact"/>
        <w:ind w:firstLineChars="200" w:firstLine="482"/>
        <w:rPr>
          <w:rFonts w:ascii="宋体" w:eastAsia="宋体" w:hAnsi="宋体" w:cs="Times New Roman"/>
          <w:b/>
          <w:sz w:val="28"/>
          <w:szCs w:val="28"/>
        </w:rPr>
      </w:pPr>
      <w:r w:rsidRPr="00D554C2">
        <w:rPr>
          <w:rFonts w:ascii="Calibri" w:eastAsia="宋体" w:hAnsi="Calibri" w:cs="Times New Roman" w:hint="eastAsia"/>
          <w:b/>
          <w:sz w:val="24"/>
        </w:rPr>
        <w:lastRenderedPageBreak/>
        <w:t>本章教学重点及难点</w:t>
      </w:r>
      <w:r w:rsidRPr="00D554C2">
        <w:rPr>
          <w:rFonts w:ascii="Calibri" w:eastAsia="宋体" w:hAnsi="Calibri" w:cs="Times New Roman" w:hint="eastAsia"/>
          <w:sz w:val="24"/>
        </w:rPr>
        <w:t>：摆腿动作速度、移动速度</w:t>
      </w:r>
    </w:p>
    <w:p w14:paraId="066D139C" w14:textId="77777777" w:rsidR="00D554C2" w:rsidRPr="00D554C2" w:rsidRDefault="00D554C2" w:rsidP="00D554C2">
      <w:pPr>
        <w:spacing w:line="500" w:lineRule="exact"/>
        <w:ind w:firstLineChars="200" w:firstLine="562"/>
        <w:rPr>
          <w:rFonts w:ascii="Calibri" w:eastAsia="宋体" w:hAnsi="Calibri" w:cs="Times New Roman"/>
          <w:b/>
          <w:sz w:val="28"/>
          <w:szCs w:val="28"/>
        </w:rPr>
      </w:pPr>
      <w:r w:rsidRPr="00D554C2">
        <w:rPr>
          <w:rFonts w:ascii="宋体" w:eastAsia="宋体" w:hAnsi="宋体" w:cs="Times New Roman" w:hint="eastAsia"/>
          <w:b/>
          <w:sz w:val="28"/>
          <w:szCs w:val="28"/>
        </w:rPr>
        <w:t xml:space="preserve">           第六章  </w:t>
      </w:r>
      <w:r w:rsidRPr="00D554C2">
        <w:rPr>
          <w:rFonts w:ascii="Calibri" w:eastAsia="宋体" w:hAnsi="Calibri" w:cs="Times New Roman" w:hint="eastAsia"/>
          <w:b/>
          <w:sz w:val="28"/>
          <w:szCs w:val="28"/>
        </w:rPr>
        <w:t xml:space="preserve"> </w:t>
      </w:r>
      <w:r w:rsidRPr="00D554C2">
        <w:rPr>
          <w:rFonts w:ascii="Calibri" w:eastAsia="宋体" w:hAnsi="Calibri" w:cs="Times New Roman" w:hint="eastAsia"/>
          <w:b/>
          <w:sz w:val="28"/>
          <w:szCs w:val="28"/>
        </w:rPr>
        <w:t>毽球的竞赛及裁判工作（</w:t>
      </w:r>
      <w:r w:rsidRPr="00D554C2">
        <w:rPr>
          <w:rFonts w:ascii="Calibri" w:eastAsia="宋体" w:hAnsi="Calibri" w:cs="Times New Roman" w:hint="eastAsia"/>
          <w:b/>
          <w:sz w:val="28"/>
          <w:szCs w:val="28"/>
        </w:rPr>
        <w:t>2</w:t>
      </w:r>
      <w:r w:rsidRPr="00D554C2">
        <w:rPr>
          <w:rFonts w:ascii="Calibri" w:eastAsia="宋体" w:hAnsi="Calibri" w:cs="Times New Roman" w:hint="eastAsia"/>
          <w:b/>
          <w:sz w:val="28"/>
          <w:szCs w:val="28"/>
        </w:rPr>
        <w:t>学时）</w:t>
      </w:r>
    </w:p>
    <w:p w14:paraId="2195F0BC"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10412475" w14:textId="77777777" w:rsidR="00D554C2" w:rsidRPr="00D554C2" w:rsidRDefault="00D554C2" w:rsidP="00D554C2">
      <w:pPr>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 xml:space="preserve"> 6.1  </w:t>
      </w:r>
      <w:r w:rsidRPr="00D554C2">
        <w:rPr>
          <w:rFonts w:ascii="Calibri" w:eastAsia="宋体" w:hAnsi="Calibri" w:cs="Times New Roman" w:hint="eastAsia"/>
          <w:sz w:val="24"/>
        </w:rPr>
        <w:t>毽球的竞赛工作</w:t>
      </w:r>
    </w:p>
    <w:p w14:paraId="2E204CE9" w14:textId="77777777" w:rsidR="00D554C2" w:rsidRPr="00D554C2" w:rsidRDefault="00D554C2" w:rsidP="00D554C2">
      <w:pPr>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 xml:space="preserve"> 6.2  </w:t>
      </w:r>
      <w:r w:rsidRPr="00D554C2">
        <w:rPr>
          <w:rFonts w:ascii="Calibri" w:eastAsia="宋体" w:hAnsi="Calibri" w:cs="Times New Roman" w:hint="eastAsia"/>
          <w:sz w:val="24"/>
        </w:rPr>
        <w:t>毽球的裁判工作</w:t>
      </w:r>
    </w:p>
    <w:p w14:paraId="28334729" w14:textId="77777777" w:rsidR="00D554C2" w:rsidRPr="00D554C2" w:rsidRDefault="00D554C2" w:rsidP="00D554C2">
      <w:pPr>
        <w:spacing w:line="500" w:lineRule="exact"/>
        <w:ind w:firstLineChars="200" w:firstLine="482"/>
        <w:rPr>
          <w:rFonts w:ascii="Calibri" w:eastAsia="宋体" w:hAnsi="Calibri" w:cs="Times New Roman"/>
          <w:sz w:val="24"/>
        </w:rPr>
      </w:pPr>
      <w:r w:rsidRPr="00D554C2">
        <w:rPr>
          <w:rFonts w:ascii="Calibri" w:eastAsia="宋体" w:hAnsi="Calibri" w:cs="Times New Roman"/>
          <w:b/>
          <w:sz w:val="24"/>
        </w:rPr>
        <w:t>本章教学目的及要求：</w:t>
      </w:r>
      <w:r w:rsidRPr="00D554C2">
        <w:rPr>
          <w:rFonts w:ascii="Calibri" w:eastAsia="宋体" w:hAnsi="Calibri" w:cs="Times New Roman" w:hint="eastAsia"/>
          <w:sz w:val="24"/>
        </w:rPr>
        <w:t>通过学习使学生基本掌握毽球竞赛制度、编排方法及成绩计算方法，了解主要竞赛规则、裁判员的哨言和手势，裁判员之间的配合。</w:t>
      </w:r>
    </w:p>
    <w:p w14:paraId="523DB26E" w14:textId="77777777" w:rsidR="00D554C2" w:rsidRPr="00D554C2" w:rsidRDefault="00D554C2" w:rsidP="00D554C2">
      <w:pPr>
        <w:spacing w:line="500" w:lineRule="exact"/>
        <w:ind w:firstLineChars="200" w:firstLine="482"/>
        <w:rPr>
          <w:rFonts w:ascii="Calibri" w:eastAsia="宋体" w:hAnsi="Calibri" w:cs="Times New Roman"/>
          <w:sz w:val="24"/>
        </w:rPr>
      </w:pPr>
      <w:r w:rsidRPr="00D554C2">
        <w:rPr>
          <w:rFonts w:ascii="Calibri" w:eastAsia="宋体" w:hAnsi="Calibri" w:cs="Times New Roman"/>
          <w:b/>
          <w:sz w:val="24"/>
        </w:rPr>
        <w:t>本章教学重点及难点：</w:t>
      </w:r>
      <w:r w:rsidRPr="00D554C2">
        <w:rPr>
          <w:rFonts w:ascii="Calibri" w:eastAsia="宋体" w:hAnsi="Calibri" w:cs="Times New Roman" w:hint="eastAsia"/>
          <w:sz w:val="24"/>
        </w:rPr>
        <w:t>毽球竞赛规则和成绩计算方法裁判员的哨言和手势。</w:t>
      </w:r>
    </w:p>
    <w:p w14:paraId="23F30B31" w14:textId="77777777" w:rsidR="00D554C2" w:rsidRPr="00D554C2" w:rsidRDefault="00D554C2" w:rsidP="00D554C2">
      <w:pPr>
        <w:spacing w:beforeLines="50" w:before="156" w:afterLines="50" w:after="156" w:line="440" w:lineRule="exact"/>
        <w:ind w:firstLineChars="200" w:firstLine="560"/>
        <w:jc w:val="center"/>
        <w:rPr>
          <w:rFonts w:ascii="黑体" w:eastAsia="黑体" w:hAnsi="黑体" w:cs="Times New Roman"/>
          <w:sz w:val="28"/>
          <w:szCs w:val="28"/>
        </w:rPr>
      </w:pPr>
      <w:r w:rsidRPr="00D554C2">
        <w:rPr>
          <w:rFonts w:ascii="黑体" w:eastAsia="黑体" w:hAnsi="黑体" w:cs="Times New Roman" w:hint="eastAsia"/>
          <w:sz w:val="28"/>
          <w:szCs w:val="28"/>
        </w:rPr>
        <w:t>学习内容三 毽球 2</w:t>
      </w:r>
    </w:p>
    <w:p w14:paraId="3E01197D" w14:textId="77777777" w:rsidR="00D554C2" w:rsidRPr="00D554C2" w:rsidRDefault="00D554C2" w:rsidP="00D554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【学习目标】</w:t>
      </w:r>
    </w:p>
    <w:p w14:paraId="4B3B9D36"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1.</w:t>
      </w:r>
      <w:r w:rsidRPr="00D554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D554C2">
        <w:rPr>
          <w:rFonts w:ascii="宋体" w:eastAsia="宋体" w:hAnsi="Calibri" w:cs="宋体" w:hint="eastAsia"/>
          <w:spacing w:val="5"/>
          <w:kern w:val="0"/>
          <w:sz w:val="24"/>
        </w:rPr>
        <w:t>通过体能教学活动，</w:t>
      </w:r>
      <w:r w:rsidRPr="00D554C2">
        <w:rPr>
          <w:rFonts w:ascii="宋体" w:eastAsia="宋体" w:hAnsi="宋体" w:cs="仿宋_GB2312" w:hint="eastAsia"/>
          <w:sz w:val="24"/>
        </w:rPr>
        <w:t>了解《大学生体质健康标准测验》项目内容、考核方式、评价标准，掌握考核内容锻炼的方式方法。</w:t>
      </w:r>
      <w:r w:rsidRPr="00D554C2">
        <w:rPr>
          <w:rFonts w:ascii="宋体" w:eastAsia="宋体" w:hAnsi="Calibri" w:cs="宋体" w:hint="eastAsia"/>
          <w:spacing w:val="5"/>
          <w:kern w:val="0"/>
          <w:sz w:val="24"/>
        </w:rPr>
        <w:t>培养学生努力学习、不断进取、修身立业、顽强奋进的精神与品质。</w:t>
      </w:r>
    </w:p>
    <w:p w14:paraId="490B016D"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2.</w:t>
      </w:r>
      <w:r w:rsidRPr="00D554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D554C2">
        <w:rPr>
          <w:rFonts w:ascii="宋体" w:eastAsia="宋体" w:hAnsi="Calibri" w:cs="宋体" w:hint="eastAsia"/>
          <w:spacing w:val="5"/>
          <w:kern w:val="0"/>
          <w:sz w:val="24"/>
        </w:rPr>
        <w:t>。</w:t>
      </w:r>
    </w:p>
    <w:p w14:paraId="46428026"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3.</w:t>
      </w:r>
      <w:r w:rsidRPr="00D554C2">
        <w:rPr>
          <w:rFonts w:ascii="宋体" w:eastAsia="宋体" w:hAnsi="宋体" w:cs="仿宋_GB2312" w:hint="eastAsia"/>
          <w:sz w:val="24"/>
        </w:rPr>
        <w:t>使学生能够掌握毽球运动的一般规律和特点，使学生获得毽球运动的基本技术、基本技能和基础理论知识，并了解现代毽球的发展趋势。以运动和身体练习为基本手段，对大学生机体进行科学的培育，在提高人的生物潜能、心理潜能的过程中促进德、智、体、美全面发展，达到身心健康、全面发展的教育总目的</w:t>
      </w:r>
      <w:r w:rsidRPr="00D554C2">
        <w:rPr>
          <w:rFonts w:ascii="宋体" w:eastAsia="宋体" w:hAnsi="Calibri" w:cs="宋体" w:hint="eastAsia"/>
          <w:spacing w:val="5"/>
          <w:kern w:val="0"/>
          <w:sz w:val="24"/>
        </w:rPr>
        <w:t>。</w:t>
      </w:r>
    </w:p>
    <w:p w14:paraId="003B0B93" w14:textId="77777777" w:rsidR="00D554C2" w:rsidRPr="00D554C2" w:rsidRDefault="00D554C2" w:rsidP="00D554C2">
      <w:pPr>
        <w:spacing w:line="440" w:lineRule="exact"/>
        <w:ind w:firstLineChars="200" w:firstLine="500"/>
        <w:rPr>
          <w:rFonts w:ascii="宋体" w:eastAsia="宋体" w:hAnsi="宋体" w:cs="Times New Roman"/>
          <w:b/>
          <w:sz w:val="24"/>
        </w:rPr>
      </w:pPr>
      <w:r w:rsidRPr="00D554C2">
        <w:rPr>
          <w:rFonts w:ascii="宋体" w:eastAsia="宋体" w:hAnsi="Calibri" w:cs="宋体" w:hint="eastAsia"/>
          <w:spacing w:val="5"/>
          <w:kern w:val="0"/>
          <w:sz w:val="24"/>
        </w:rPr>
        <w:t>4.</w:t>
      </w:r>
      <w:r w:rsidRPr="00D554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w:t>
      </w:r>
      <w:r w:rsidRPr="00D554C2">
        <w:rPr>
          <w:rFonts w:ascii="宋体" w:eastAsia="宋体" w:hAnsi="宋体" w:cs="仿宋_GB2312" w:hint="eastAsia"/>
          <w:sz w:val="24"/>
        </w:rPr>
        <w:lastRenderedPageBreak/>
        <w:t>败不馁，锲而不舍的意志和作风，具备沟通交流能力与团队合作精神，能够养成认真、求实、勤奋良好科研精神与学风</w:t>
      </w:r>
      <w:r w:rsidRPr="00D554C2">
        <w:rPr>
          <w:rFonts w:ascii="宋体" w:eastAsia="宋体" w:hAnsi="Calibri" w:cs="宋体" w:hint="eastAsia"/>
          <w:spacing w:val="5"/>
          <w:kern w:val="0"/>
          <w:sz w:val="24"/>
        </w:rPr>
        <w:t>。</w:t>
      </w:r>
    </w:p>
    <w:p w14:paraId="7437AABD" w14:textId="77777777" w:rsidR="00D554C2" w:rsidRPr="00D554C2" w:rsidRDefault="00D554C2" w:rsidP="00D554C2">
      <w:pPr>
        <w:spacing w:line="440" w:lineRule="exact"/>
        <w:ind w:firstLineChars="200" w:firstLine="482"/>
        <w:rPr>
          <w:rFonts w:ascii="宋体" w:eastAsia="宋体" w:hAnsi="宋体" w:cs="Times New Roman"/>
          <w:b/>
          <w:sz w:val="24"/>
        </w:rPr>
      </w:pPr>
      <w:r w:rsidRPr="00D554C2">
        <w:rPr>
          <w:rFonts w:ascii="宋体" w:eastAsia="宋体" w:hAnsi="宋体" w:cs="Times New Roman" w:hint="eastAsia"/>
          <w:b/>
          <w:sz w:val="24"/>
        </w:rPr>
        <w:t>【学习内容】</w:t>
      </w:r>
    </w:p>
    <w:p w14:paraId="169E188A" w14:textId="77777777" w:rsidR="00D554C2" w:rsidRPr="00D554C2" w:rsidRDefault="00D554C2" w:rsidP="00D554C2">
      <w:pPr>
        <w:autoSpaceDE w:val="0"/>
        <w:autoSpaceDN w:val="0"/>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第一章 毽球运动简介（2学时）</w:t>
      </w:r>
    </w:p>
    <w:p w14:paraId="4A201C02" w14:textId="77777777" w:rsidR="00D554C2" w:rsidRPr="00D554C2" w:rsidRDefault="00D554C2" w:rsidP="00D554C2">
      <w:pPr>
        <w:adjustRightInd w:val="0"/>
        <w:snapToGrid w:val="0"/>
        <w:spacing w:line="500" w:lineRule="exact"/>
        <w:rPr>
          <w:rFonts w:ascii="Calibri" w:eastAsia="宋体" w:hAnsi="Calibri" w:cs="Times New Roman"/>
          <w:b/>
          <w:sz w:val="24"/>
        </w:rPr>
      </w:pPr>
      <w:r w:rsidRPr="00D554C2">
        <w:rPr>
          <w:rFonts w:ascii="Calibri" w:eastAsia="宋体" w:hAnsi="Calibri" w:cs="Times New Roman" w:hint="eastAsia"/>
          <w:b/>
          <w:sz w:val="24"/>
        </w:rPr>
        <w:t xml:space="preserve">   </w:t>
      </w:r>
      <w:r w:rsidRPr="00D554C2">
        <w:rPr>
          <w:rFonts w:ascii="Calibri" w:eastAsia="宋体" w:hAnsi="Calibri" w:cs="Times New Roman"/>
          <w:b/>
          <w:sz w:val="24"/>
        </w:rPr>
        <w:t>本章主要教学内容：</w:t>
      </w:r>
    </w:p>
    <w:p w14:paraId="4CDF4334" w14:textId="77777777" w:rsidR="00D554C2" w:rsidRPr="00D554C2" w:rsidRDefault="00D554C2" w:rsidP="00D554C2">
      <w:pPr>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1.1古代毽子的起源与发展</w:t>
      </w:r>
    </w:p>
    <w:p w14:paraId="2C2210DC" w14:textId="77777777" w:rsidR="00D554C2" w:rsidRPr="00D554C2" w:rsidRDefault="00D554C2" w:rsidP="00D554C2">
      <w:pPr>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1.2 现代毽球运动的诞生与发展</w:t>
      </w:r>
    </w:p>
    <w:p w14:paraId="31EDA223" w14:textId="77777777" w:rsidR="00D554C2" w:rsidRPr="00D554C2" w:rsidRDefault="00D554C2" w:rsidP="00D554C2">
      <w:pPr>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1.3 毽球运动的比赛方法和特点</w:t>
      </w:r>
    </w:p>
    <w:p w14:paraId="0471E6DE" w14:textId="77777777" w:rsidR="00D554C2" w:rsidRPr="00D554C2" w:rsidRDefault="00D554C2" w:rsidP="00D554C2">
      <w:pPr>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1.4毽球运动发展的趋势</w:t>
      </w:r>
    </w:p>
    <w:p w14:paraId="20B2976F" w14:textId="77777777" w:rsidR="00D554C2" w:rsidRPr="00D554C2" w:rsidRDefault="00D554C2" w:rsidP="00D554C2">
      <w:pPr>
        <w:spacing w:line="360" w:lineRule="auto"/>
        <w:rPr>
          <w:rFonts w:ascii="Calibri" w:eastAsia="宋体" w:hAnsi="Calibri" w:cs="Times New Roman"/>
          <w:sz w:val="24"/>
        </w:rPr>
      </w:pPr>
      <w:r w:rsidRPr="00D554C2">
        <w:rPr>
          <w:rFonts w:ascii="Calibri" w:eastAsia="宋体" w:hAnsi="Calibri" w:cs="Times New Roman" w:hint="eastAsia"/>
          <w:sz w:val="24"/>
        </w:rPr>
        <w:t xml:space="preserve">    </w:t>
      </w:r>
      <w:r w:rsidRPr="00D554C2">
        <w:rPr>
          <w:rFonts w:ascii="Calibri" w:eastAsia="宋体" w:hAnsi="Calibri" w:cs="Times New Roman"/>
          <w:b/>
          <w:sz w:val="24"/>
        </w:rPr>
        <w:t>本章教学目的及要求：</w:t>
      </w:r>
      <w:r w:rsidRPr="00D554C2">
        <w:rPr>
          <w:rFonts w:ascii="宋体" w:eastAsia="宋体" w:hAnsi="宋体" w:cs="宋体" w:hint="eastAsia"/>
          <w:sz w:val="24"/>
        </w:rPr>
        <w:t xml:space="preserve"> </w:t>
      </w:r>
      <w:r w:rsidRPr="00D554C2">
        <w:rPr>
          <w:rFonts w:ascii="Calibri" w:eastAsia="宋体" w:hAnsi="Calibri" w:cs="Times New Roman" w:hint="eastAsia"/>
          <w:sz w:val="24"/>
        </w:rPr>
        <w:t>使学生基本了解毽球运动的起源与发展，毽球运动的定义、比赛形式、比赛的基本规律及其特点，中国毽球普及与提高的发展趋势，世界毽球运动的传播与推广，毽球技、战术发展趋势。</w:t>
      </w:r>
    </w:p>
    <w:p w14:paraId="7E684D6B"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宋体" w:eastAsia="宋体" w:hAnsi="宋体" w:cs="Times New Roman"/>
          <w:b/>
          <w:sz w:val="28"/>
          <w:szCs w:val="28"/>
        </w:rPr>
      </w:pPr>
      <w:r w:rsidRPr="00D554C2">
        <w:rPr>
          <w:rFonts w:ascii="Calibri" w:eastAsia="宋体" w:hAnsi="Calibri" w:cs="Times New Roman" w:hint="eastAsia"/>
          <w:b/>
          <w:color w:val="000000"/>
          <w:sz w:val="24"/>
        </w:rPr>
        <w:t xml:space="preserve">     </w:t>
      </w:r>
      <w:r w:rsidRPr="00D554C2">
        <w:rPr>
          <w:rFonts w:ascii="Calibri" w:eastAsia="宋体" w:hAnsi="Calibri" w:cs="Times New Roman" w:hint="eastAsia"/>
          <w:b/>
          <w:color w:val="000000"/>
          <w:sz w:val="24"/>
        </w:rPr>
        <w:t>教学重点及难点：</w:t>
      </w:r>
      <w:r w:rsidRPr="00D554C2">
        <w:rPr>
          <w:rFonts w:ascii="Calibri" w:eastAsia="宋体" w:hAnsi="Calibri" w:cs="Times New Roman" w:hint="eastAsia"/>
          <w:color w:val="000000"/>
          <w:sz w:val="24"/>
        </w:rPr>
        <w:t>毽球运动起源和发展趋势。</w:t>
      </w:r>
    </w:p>
    <w:p w14:paraId="026F08BF" w14:textId="77777777" w:rsidR="00D554C2" w:rsidRPr="00D554C2" w:rsidRDefault="00D554C2" w:rsidP="00D554C2">
      <w:pPr>
        <w:tabs>
          <w:tab w:val="left" w:pos="2505"/>
          <w:tab w:val="center" w:pos="4701"/>
        </w:tabs>
        <w:autoSpaceDE w:val="0"/>
        <w:autoSpaceDN w:val="0"/>
        <w:adjustRightInd w:val="0"/>
        <w:snapToGrid w:val="0"/>
        <w:spacing w:beforeLines="50" w:before="156" w:afterLines="50" w:after="156" w:line="500" w:lineRule="exact"/>
        <w:ind w:firstLineChars="600" w:firstLine="1687"/>
        <w:rPr>
          <w:rFonts w:ascii="宋体" w:eastAsia="宋体" w:hAnsi="宋体" w:cs="Times New Roman"/>
          <w:b/>
          <w:sz w:val="28"/>
          <w:szCs w:val="28"/>
        </w:rPr>
      </w:pPr>
      <w:r w:rsidRPr="00D554C2">
        <w:rPr>
          <w:rFonts w:ascii="宋体" w:eastAsia="宋体" w:hAnsi="宋体" w:cs="Times New Roman" w:hint="eastAsia"/>
          <w:b/>
          <w:sz w:val="28"/>
          <w:szCs w:val="28"/>
        </w:rPr>
        <w:t>第二章 毽球基本技术（14学时）</w:t>
      </w:r>
    </w:p>
    <w:p w14:paraId="78AF3910"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sz w:val="24"/>
        </w:rPr>
      </w:pPr>
      <w:r w:rsidRPr="00D554C2">
        <w:rPr>
          <w:rFonts w:ascii="Calibri" w:eastAsia="宋体" w:hAnsi="Calibri" w:cs="Times New Roman"/>
          <w:b/>
          <w:sz w:val="24"/>
        </w:rPr>
        <w:t>本章主要教学内容：</w:t>
      </w:r>
    </w:p>
    <w:p w14:paraId="752D050F"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2.1 准备姿势和移动步伐</w:t>
      </w:r>
    </w:p>
    <w:p w14:paraId="5B281718" w14:textId="77777777" w:rsidR="00D554C2" w:rsidRPr="00D554C2" w:rsidRDefault="00D554C2" w:rsidP="00D554C2">
      <w:pPr>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2.2起球技术</w:t>
      </w:r>
    </w:p>
    <w:p w14:paraId="2C0ADD4B"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2.2.1脚内侧起球技术</w:t>
      </w:r>
    </w:p>
    <w:p w14:paraId="37D85D77"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2.2.2 脚外侧起球技术</w:t>
      </w:r>
    </w:p>
    <w:p w14:paraId="02866232"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2.2.3脚背起球技术</w:t>
      </w:r>
    </w:p>
    <w:p w14:paraId="7871C1F9"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2.2.4腿部垫球技术</w:t>
      </w:r>
    </w:p>
    <w:p w14:paraId="3F2B54F0"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2.2.5胸部垫球技术</w:t>
      </w:r>
    </w:p>
    <w:p w14:paraId="7C663FBE"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2.2.6肩部垫球技术</w:t>
      </w:r>
    </w:p>
    <w:p w14:paraId="79A863F1"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2.3进攻技术</w:t>
      </w:r>
    </w:p>
    <w:p w14:paraId="4C0F0192"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2.4发球技术</w:t>
      </w:r>
    </w:p>
    <w:p w14:paraId="76BC22F7"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2.5封网技术</w:t>
      </w:r>
    </w:p>
    <w:p w14:paraId="2A965146"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sz w:val="24"/>
        </w:rPr>
      </w:pPr>
      <w:r w:rsidRPr="00D554C2">
        <w:rPr>
          <w:rFonts w:ascii="宋体" w:eastAsia="宋体" w:hAnsi="宋体" w:cs="宋体" w:hint="eastAsia"/>
          <w:b/>
          <w:color w:val="000000"/>
          <w:sz w:val="24"/>
        </w:rPr>
        <w:lastRenderedPageBreak/>
        <w:t>本章教学目的及要求：</w:t>
      </w:r>
      <w:r w:rsidRPr="00D554C2">
        <w:rPr>
          <w:rFonts w:ascii="宋体" w:eastAsia="宋体" w:hAnsi="宋体" w:cs="宋体" w:hint="eastAsia"/>
          <w:sz w:val="24"/>
        </w:rPr>
        <w:t>使学生基本掌握毽球运动脚内侧起球技术、脚外侧起球技术，腿部和胸部垫球技术，发球技术并能熟练运用，初步了解进攻和封网技术。</w:t>
      </w:r>
    </w:p>
    <w:p w14:paraId="63B8A180"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Times New Roman"/>
          <w:b/>
          <w:sz w:val="28"/>
          <w:szCs w:val="28"/>
        </w:rPr>
      </w:pPr>
      <w:r w:rsidRPr="00D554C2">
        <w:rPr>
          <w:rFonts w:ascii="宋体" w:eastAsia="宋体" w:hAnsi="宋体" w:cs="宋体" w:hint="eastAsia"/>
          <w:b/>
          <w:color w:val="000000"/>
          <w:sz w:val="24"/>
        </w:rPr>
        <w:t>教学重点及难点：</w:t>
      </w:r>
      <w:r w:rsidRPr="00D554C2">
        <w:rPr>
          <w:rFonts w:ascii="宋体" w:eastAsia="宋体" w:hAnsi="宋体" w:cs="宋体" w:hint="eastAsia"/>
          <w:sz w:val="24"/>
        </w:rPr>
        <w:t>脚内侧、脚外侧起球技术、正脚背发球技术动作，</w:t>
      </w:r>
      <w:proofErr w:type="gramStart"/>
      <w:r w:rsidRPr="00D554C2">
        <w:rPr>
          <w:rFonts w:ascii="宋体" w:eastAsia="宋体" w:hAnsi="宋体" w:cs="宋体" w:hint="eastAsia"/>
          <w:bCs/>
          <w:color w:val="000000"/>
          <w:sz w:val="24"/>
        </w:rPr>
        <w:t>腿部</w:t>
      </w:r>
      <w:r w:rsidRPr="00D554C2">
        <w:rPr>
          <w:rFonts w:ascii="宋体" w:eastAsia="宋体" w:hAnsi="宋体" w:cs="宋体" w:hint="eastAsia"/>
          <w:sz w:val="24"/>
        </w:rPr>
        <w:t>拱球和胸垫球</w:t>
      </w:r>
      <w:proofErr w:type="gramEnd"/>
      <w:r w:rsidRPr="00D554C2">
        <w:rPr>
          <w:rFonts w:ascii="宋体" w:eastAsia="宋体" w:hAnsi="宋体" w:cs="宋体" w:hint="eastAsia"/>
          <w:sz w:val="24"/>
        </w:rPr>
        <w:t>技术；</w:t>
      </w:r>
    </w:p>
    <w:p w14:paraId="3D1898BF"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b/>
          <w:sz w:val="28"/>
          <w:szCs w:val="28"/>
        </w:rPr>
        <w:t>第</w:t>
      </w:r>
      <w:r w:rsidRPr="00D554C2">
        <w:rPr>
          <w:rFonts w:ascii="宋体" w:eastAsia="宋体" w:hAnsi="宋体" w:cs="Times New Roman" w:hint="eastAsia"/>
          <w:b/>
          <w:sz w:val="28"/>
          <w:szCs w:val="28"/>
        </w:rPr>
        <w:t>三</w:t>
      </w:r>
      <w:r w:rsidRPr="00D554C2">
        <w:rPr>
          <w:rFonts w:ascii="宋体" w:eastAsia="宋体" w:hAnsi="宋体" w:cs="Times New Roman"/>
          <w:b/>
          <w:sz w:val="28"/>
          <w:szCs w:val="28"/>
        </w:rPr>
        <w:t xml:space="preserve">章 </w:t>
      </w:r>
      <w:r w:rsidRPr="00D554C2">
        <w:rPr>
          <w:rFonts w:ascii="宋体" w:eastAsia="宋体" w:hAnsi="宋体" w:cs="Times New Roman" w:hint="eastAsia"/>
          <w:b/>
          <w:sz w:val="28"/>
          <w:szCs w:val="28"/>
        </w:rPr>
        <w:t>毽球基本战术</w:t>
      </w:r>
      <w:r w:rsidRPr="00D554C2">
        <w:rPr>
          <w:rFonts w:ascii="宋体" w:eastAsia="宋体" w:hAnsi="宋体" w:cs="Times New Roman"/>
          <w:b/>
          <w:sz w:val="28"/>
          <w:szCs w:val="28"/>
        </w:rPr>
        <w:t xml:space="preserve"> （</w:t>
      </w:r>
      <w:r w:rsidRPr="00D554C2">
        <w:rPr>
          <w:rFonts w:ascii="宋体" w:eastAsia="宋体" w:hAnsi="宋体" w:cs="Times New Roman" w:hint="eastAsia"/>
          <w:b/>
          <w:sz w:val="28"/>
          <w:szCs w:val="28"/>
        </w:rPr>
        <w:t>6</w:t>
      </w:r>
      <w:r w:rsidRPr="00D554C2">
        <w:rPr>
          <w:rFonts w:ascii="宋体" w:eastAsia="宋体" w:hAnsi="宋体" w:cs="Times New Roman"/>
          <w:b/>
          <w:sz w:val="28"/>
          <w:szCs w:val="28"/>
        </w:rPr>
        <w:t>学时）</w:t>
      </w:r>
    </w:p>
    <w:p w14:paraId="73A8AAC7" w14:textId="77777777" w:rsidR="00D554C2" w:rsidRPr="00D554C2" w:rsidRDefault="00D554C2" w:rsidP="00D554C2">
      <w:pPr>
        <w:adjustRightInd w:val="0"/>
        <w:snapToGrid w:val="0"/>
        <w:spacing w:line="500" w:lineRule="exact"/>
        <w:rPr>
          <w:rFonts w:ascii="Calibri" w:eastAsia="宋体" w:hAnsi="Calibri" w:cs="Times New Roman"/>
          <w:b/>
          <w:sz w:val="24"/>
        </w:rPr>
      </w:pPr>
      <w:r w:rsidRPr="00D554C2">
        <w:rPr>
          <w:rFonts w:ascii="Calibri" w:eastAsia="宋体" w:hAnsi="Calibri" w:cs="Times New Roman" w:hint="eastAsia"/>
          <w:b/>
          <w:sz w:val="24"/>
        </w:rPr>
        <w:t xml:space="preserve">     </w:t>
      </w:r>
      <w:r w:rsidRPr="00D554C2">
        <w:rPr>
          <w:rFonts w:ascii="Calibri" w:eastAsia="宋体" w:hAnsi="Calibri" w:cs="Times New Roman"/>
          <w:b/>
          <w:sz w:val="24"/>
        </w:rPr>
        <w:t>本章主要教学内容：</w:t>
      </w:r>
    </w:p>
    <w:p w14:paraId="28AC9ADE" w14:textId="77777777" w:rsidR="00D554C2" w:rsidRPr="00D554C2" w:rsidRDefault="00D554C2" w:rsidP="00D554C2">
      <w:pPr>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3.1 阵容配备</w:t>
      </w:r>
    </w:p>
    <w:p w14:paraId="00BDF2D2" w14:textId="77777777" w:rsidR="00D554C2" w:rsidRPr="00D554C2" w:rsidRDefault="00D554C2" w:rsidP="00D554C2">
      <w:pPr>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3.2 进攻战术的组织形式</w:t>
      </w:r>
    </w:p>
    <w:p w14:paraId="1219104C" w14:textId="77777777" w:rsidR="00D554C2" w:rsidRPr="00D554C2" w:rsidRDefault="00D554C2" w:rsidP="00D554C2">
      <w:pPr>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3.3接发球站位阵形</w:t>
      </w:r>
    </w:p>
    <w:p w14:paraId="6692FB51" w14:textId="77777777" w:rsidR="00D554C2" w:rsidRPr="00D554C2" w:rsidRDefault="00D554C2" w:rsidP="00D554C2">
      <w:pPr>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3.4防守进攻球的站位与配备</w:t>
      </w:r>
    </w:p>
    <w:p w14:paraId="2FC03140" w14:textId="77777777" w:rsidR="00D554C2" w:rsidRPr="00D554C2" w:rsidRDefault="00D554C2" w:rsidP="00D554C2">
      <w:pPr>
        <w:spacing w:line="360" w:lineRule="auto"/>
        <w:rPr>
          <w:rFonts w:ascii="Calibri" w:eastAsia="宋体" w:hAnsi="Calibri" w:cs="Times New Roman"/>
          <w:sz w:val="24"/>
        </w:rPr>
      </w:pPr>
      <w:r w:rsidRPr="00D554C2">
        <w:rPr>
          <w:rFonts w:ascii="Calibri" w:eastAsia="宋体" w:hAnsi="Calibri" w:cs="Times New Roman" w:hint="eastAsia"/>
          <w:sz w:val="24"/>
        </w:rPr>
        <w:t xml:space="preserve">     </w:t>
      </w:r>
      <w:r w:rsidRPr="00D554C2">
        <w:rPr>
          <w:rFonts w:ascii="Calibri" w:eastAsia="宋体" w:hAnsi="Calibri" w:cs="Times New Roman"/>
          <w:b/>
          <w:sz w:val="24"/>
        </w:rPr>
        <w:t>本章教学目的及要求：</w:t>
      </w:r>
      <w:r w:rsidRPr="00D554C2">
        <w:rPr>
          <w:rFonts w:ascii="Calibri" w:eastAsia="宋体" w:hAnsi="Calibri" w:cs="Times New Roman" w:hint="eastAsia"/>
          <w:sz w:val="24"/>
        </w:rPr>
        <w:t>使学生基本了解阵容配备的意义、要求和形式，了解“主攻型”配备和“二传助攻型”配备的特点；初步了解“四种组织形式”的作用与特点以及接发球“二·一”三角站位，边“一·二”站位的方法与配备、不封网防守阵形的站位与配备，</w:t>
      </w:r>
      <w:proofErr w:type="gramStart"/>
      <w:r w:rsidRPr="00D554C2">
        <w:rPr>
          <w:rFonts w:ascii="Calibri" w:eastAsia="宋体" w:hAnsi="Calibri" w:cs="Times New Roman" w:hint="eastAsia"/>
          <w:sz w:val="24"/>
        </w:rPr>
        <w:t>一</w:t>
      </w:r>
      <w:proofErr w:type="gramEnd"/>
      <w:r w:rsidRPr="00D554C2">
        <w:rPr>
          <w:rFonts w:ascii="Calibri" w:eastAsia="宋体" w:hAnsi="Calibri" w:cs="Times New Roman" w:hint="eastAsia"/>
          <w:sz w:val="24"/>
        </w:rPr>
        <w:t>封二防守阵形的站位与略备等。</w:t>
      </w:r>
    </w:p>
    <w:p w14:paraId="7B2E25BC" w14:textId="77777777" w:rsidR="00D554C2" w:rsidRPr="00D554C2" w:rsidRDefault="00D554C2" w:rsidP="00D554C2">
      <w:pPr>
        <w:adjustRightInd w:val="0"/>
        <w:snapToGrid w:val="0"/>
        <w:spacing w:line="440" w:lineRule="exact"/>
        <w:ind w:firstLineChars="200" w:firstLine="482"/>
        <w:rPr>
          <w:rFonts w:ascii="Calibri" w:eastAsia="宋体" w:hAnsi="Calibri" w:cs="Times New Roman"/>
          <w:sz w:val="24"/>
        </w:rPr>
      </w:pPr>
      <w:r w:rsidRPr="00D554C2">
        <w:rPr>
          <w:rFonts w:ascii="Calibri" w:eastAsia="宋体" w:hAnsi="Calibri" w:cs="Times New Roman"/>
          <w:b/>
          <w:sz w:val="24"/>
        </w:rPr>
        <w:t>本章教学重点及难点：</w:t>
      </w:r>
      <w:r w:rsidRPr="00D554C2">
        <w:rPr>
          <w:rFonts w:ascii="Calibri" w:eastAsia="宋体" w:hAnsi="Calibri" w:cs="Times New Roman" w:hint="eastAsia"/>
          <w:sz w:val="24"/>
        </w:rPr>
        <w:t>阵容配备的意义和形式，“主攻型”配备和“二传助攻型”配备的特点；接发球站位方法与配备。</w:t>
      </w:r>
    </w:p>
    <w:p w14:paraId="346A940F" w14:textId="77777777" w:rsidR="00D554C2" w:rsidRPr="00D554C2" w:rsidRDefault="00D554C2" w:rsidP="00D554C2">
      <w:pPr>
        <w:adjustRightInd w:val="0"/>
        <w:snapToGrid w:val="0"/>
        <w:spacing w:line="440" w:lineRule="exact"/>
        <w:ind w:firstLineChars="200" w:firstLine="562"/>
        <w:jc w:val="center"/>
        <w:rPr>
          <w:rFonts w:ascii="宋体" w:eastAsia="宋体" w:hAnsi="宋体" w:cs="Times New Roman"/>
          <w:b/>
          <w:sz w:val="28"/>
          <w:szCs w:val="28"/>
        </w:rPr>
      </w:pPr>
      <w:r w:rsidRPr="00D554C2">
        <w:rPr>
          <w:rFonts w:ascii="宋体" w:eastAsia="宋体" w:hAnsi="宋体" w:cs="Times New Roman" w:hint="eastAsia"/>
          <w:b/>
          <w:sz w:val="28"/>
          <w:szCs w:val="28"/>
        </w:rPr>
        <w:t>第四章 毽球教学与训练、方法（2）</w:t>
      </w:r>
    </w:p>
    <w:p w14:paraId="77BED98A"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6FAC7805" w14:textId="77777777" w:rsidR="00D554C2" w:rsidRPr="00D554C2" w:rsidRDefault="00D554C2" w:rsidP="00D554C2">
      <w:pPr>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4.1教学与训练手抛球方法</w:t>
      </w:r>
    </w:p>
    <w:p w14:paraId="46853F71" w14:textId="77777777" w:rsidR="00D554C2" w:rsidRPr="00D554C2" w:rsidRDefault="00D554C2" w:rsidP="00D554C2">
      <w:pPr>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4.2  教学与训练模拟课</w:t>
      </w:r>
    </w:p>
    <w:p w14:paraId="00DFB3FC" w14:textId="77777777" w:rsidR="00D554C2" w:rsidRPr="00D554C2" w:rsidRDefault="00D554C2" w:rsidP="00D554C2">
      <w:pPr>
        <w:spacing w:line="360" w:lineRule="auto"/>
        <w:rPr>
          <w:rFonts w:ascii="Calibri" w:eastAsia="宋体" w:hAnsi="Calibri" w:cs="Times New Roman"/>
          <w:sz w:val="24"/>
        </w:rPr>
      </w:pPr>
      <w:r w:rsidRPr="00D554C2">
        <w:rPr>
          <w:rFonts w:ascii="Calibri" w:eastAsia="宋体" w:hAnsi="Calibri" w:cs="Times New Roman" w:hint="eastAsia"/>
          <w:sz w:val="24"/>
        </w:rPr>
        <w:t xml:space="preserve">    </w:t>
      </w:r>
      <w:r w:rsidRPr="00D554C2">
        <w:rPr>
          <w:rFonts w:ascii="Calibri" w:eastAsia="宋体" w:hAnsi="Calibri" w:cs="Times New Roman"/>
          <w:b/>
          <w:sz w:val="24"/>
        </w:rPr>
        <w:t>本章教学目的及要求：</w:t>
      </w:r>
      <w:r w:rsidRPr="00D554C2">
        <w:rPr>
          <w:rFonts w:ascii="Calibri" w:eastAsia="宋体" w:hAnsi="Calibri" w:cs="Times New Roman" w:hint="eastAsia"/>
          <w:sz w:val="24"/>
        </w:rPr>
        <w:t>通过手</w:t>
      </w:r>
      <w:proofErr w:type="gramStart"/>
      <w:r w:rsidRPr="00D554C2">
        <w:rPr>
          <w:rFonts w:ascii="Calibri" w:eastAsia="宋体" w:hAnsi="Calibri" w:cs="Times New Roman" w:hint="eastAsia"/>
          <w:sz w:val="24"/>
        </w:rPr>
        <w:t>抛各类接</w:t>
      </w:r>
      <w:proofErr w:type="gramEnd"/>
      <w:r w:rsidRPr="00D554C2">
        <w:rPr>
          <w:rFonts w:ascii="Calibri" w:eastAsia="宋体" w:hAnsi="Calibri" w:cs="Times New Roman" w:hint="eastAsia"/>
          <w:sz w:val="24"/>
        </w:rPr>
        <w:t>起球、</w:t>
      </w:r>
      <w:proofErr w:type="gramStart"/>
      <w:r w:rsidRPr="00D554C2">
        <w:rPr>
          <w:rFonts w:ascii="Calibri" w:eastAsia="宋体" w:hAnsi="Calibri" w:cs="Times New Roman" w:hint="eastAsia"/>
          <w:sz w:val="24"/>
        </w:rPr>
        <w:t>手抛二传球</w:t>
      </w:r>
      <w:proofErr w:type="gramEnd"/>
      <w:r w:rsidRPr="00D554C2">
        <w:rPr>
          <w:rFonts w:ascii="Calibri" w:eastAsia="宋体" w:hAnsi="Calibri" w:cs="Times New Roman" w:hint="eastAsia"/>
          <w:sz w:val="24"/>
        </w:rPr>
        <w:t>、手扣防守球练习，使学生熟练球性，掌握练习方法。</w:t>
      </w:r>
    </w:p>
    <w:p w14:paraId="21088D89" w14:textId="77777777" w:rsidR="00D554C2" w:rsidRPr="00D554C2" w:rsidRDefault="00D554C2" w:rsidP="00D554C2">
      <w:pPr>
        <w:spacing w:line="360" w:lineRule="auto"/>
        <w:rPr>
          <w:rFonts w:ascii="Calibri" w:eastAsia="宋体" w:hAnsi="Calibri" w:cs="Times New Roman"/>
          <w:sz w:val="24"/>
        </w:rPr>
      </w:pPr>
      <w:r w:rsidRPr="00D554C2">
        <w:rPr>
          <w:rFonts w:ascii="Calibri" w:eastAsia="宋体" w:hAnsi="Calibri" w:cs="Times New Roman" w:hint="eastAsia"/>
          <w:b/>
          <w:sz w:val="24"/>
        </w:rPr>
        <w:t xml:space="preserve">    </w:t>
      </w:r>
      <w:r w:rsidRPr="00D554C2">
        <w:rPr>
          <w:rFonts w:ascii="Calibri" w:eastAsia="宋体" w:hAnsi="Calibri" w:cs="Times New Roman" w:hint="eastAsia"/>
          <w:b/>
          <w:sz w:val="24"/>
        </w:rPr>
        <w:t>本章教学重点及难点</w:t>
      </w:r>
      <w:r w:rsidRPr="00D554C2">
        <w:rPr>
          <w:rFonts w:ascii="Calibri" w:eastAsia="宋体" w:hAnsi="Calibri" w:cs="Times New Roman" w:hint="eastAsia"/>
          <w:sz w:val="24"/>
        </w:rPr>
        <w:t>：手抛接球练习。</w:t>
      </w:r>
    </w:p>
    <w:p w14:paraId="602A8315" w14:textId="77777777" w:rsidR="00D554C2" w:rsidRPr="00D554C2" w:rsidRDefault="00D554C2" w:rsidP="00D554C2">
      <w:pPr>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第五章 毽球运动员的体能训练（2学时）</w:t>
      </w:r>
    </w:p>
    <w:p w14:paraId="59F39874" w14:textId="77777777" w:rsidR="00D554C2" w:rsidRPr="00D554C2" w:rsidRDefault="00D554C2" w:rsidP="00D554C2">
      <w:pPr>
        <w:adjustRightInd w:val="0"/>
        <w:snapToGrid w:val="0"/>
        <w:spacing w:line="500" w:lineRule="exact"/>
        <w:rPr>
          <w:rFonts w:ascii="Calibri" w:eastAsia="宋体" w:hAnsi="Calibri" w:cs="Times New Roman"/>
          <w:b/>
          <w:sz w:val="24"/>
        </w:rPr>
      </w:pPr>
      <w:r w:rsidRPr="00D554C2">
        <w:rPr>
          <w:rFonts w:ascii="Calibri" w:eastAsia="宋体" w:hAnsi="Calibri" w:cs="Times New Roman" w:hint="eastAsia"/>
          <w:b/>
          <w:sz w:val="24"/>
        </w:rPr>
        <w:t xml:space="preserve">    </w:t>
      </w:r>
      <w:r w:rsidRPr="00D554C2">
        <w:rPr>
          <w:rFonts w:ascii="Calibri" w:eastAsia="宋体" w:hAnsi="Calibri" w:cs="Times New Roman"/>
          <w:b/>
          <w:sz w:val="24"/>
        </w:rPr>
        <w:t>本章主要教学内容：</w:t>
      </w:r>
    </w:p>
    <w:p w14:paraId="712C77CC" w14:textId="77777777" w:rsidR="00D554C2" w:rsidRPr="00D554C2" w:rsidRDefault="00D554C2" w:rsidP="00D554C2">
      <w:pPr>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5.1  柔韧性训练</w:t>
      </w:r>
    </w:p>
    <w:p w14:paraId="51FCCF42" w14:textId="77777777" w:rsidR="00D554C2" w:rsidRPr="00D554C2" w:rsidRDefault="00D554C2" w:rsidP="00D554C2">
      <w:pPr>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5.2动作速度</w:t>
      </w:r>
    </w:p>
    <w:p w14:paraId="6AA80472" w14:textId="77777777" w:rsidR="00D554C2" w:rsidRPr="00D554C2" w:rsidRDefault="00D554C2" w:rsidP="00D554C2">
      <w:pPr>
        <w:spacing w:line="360" w:lineRule="auto"/>
        <w:rPr>
          <w:rFonts w:ascii="Calibri" w:eastAsia="宋体" w:hAnsi="Calibri" w:cs="Times New Roman"/>
          <w:sz w:val="24"/>
        </w:rPr>
      </w:pPr>
      <w:r w:rsidRPr="00D554C2">
        <w:rPr>
          <w:rFonts w:ascii="Calibri" w:eastAsia="宋体" w:hAnsi="Calibri" w:cs="Times New Roman" w:hint="eastAsia"/>
          <w:sz w:val="24"/>
        </w:rPr>
        <w:lastRenderedPageBreak/>
        <w:t xml:space="preserve">    </w:t>
      </w:r>
      <w:r w:rsidRPr="00D554C2">
        <w:rPr>
          <w:rFonts w:ascii="Calibri" w:eastAsia="宋体" w:hAnsi="Calibri" w:cs="Times New Roman"/>
          <w:b/>
          <w:sz w:val="24"/>
        </w:rPr>
        <w:t>本章教学目的及要求：</w:t>
      </w:r>
      <w:r w:rsidRPr="00D554C2">
        <w:rPr>
          <w:rFonts w:ascii="Calibri" w:eastAsia="宋体" w:hAnsi="Calibri" w:cs="Times New Roman" w:hint="eastAsia"/>
          <w:sz w:val="24"/>
        </w:rPr>
        <w:t>通过练习提高学生毽球运动基本运动能力，掌握提高柔韧性和动作速度的练习方法。</w:t>
      </w:r>
    </w:p>
    <w:p w14:paraId="4ABF71B7" w14:textId="77777777" w:rsidR="00D554C2" w:rsidRPr="00D554C2" w:rsidRDefault="00D554C2" w:rsidP="00D554C2">
      <w:pPr>
        <w:spacing w:line="360" w:lineRule="auto"/>
        <w:rPr>
          <w:rFonts w:ascii="宋体" w:eastAsia="宋体" w:hAnsi="宋体" w:cs="Times New Roman"/>
          <w:b/>
          <w:sz w:val="28"/>
          <w:szCs w:val="28"/>
        </w:rPr>
      </w:pPr>
      <w:r w:rsidRPr="00D554C2">
        <w:rPr>
          <w:rFonts w:ascii="Calibri" w:eastAsia="宋体" w:hAnsi="Calibri" w:cs="Times New Roman" w:hint="eastAsia"/>
          <w:b/>
          <w:sz w:val="24"/>
        </w:rPr>
        <w:t xml:space="preserve">    </w:t>
      </w:r>
      <w:r w:rsidRPr="00D554C2">
        <w:rPr>
          <w:rFonts w:ascii="Calibri" w:eastAsia="宋体" w:hAnsi="Calibri" w:cs="Times New Roman" w:hint="eastAsia"/>
          <w:b/>
          <w:sz w:val="24"/>
        </w:rPr>
        <w:t>本章教学重点及难点</w:t>
      </w:r>
      <w:r w:rsidRPr="00D554C2">
        <w:rPr>
          <w:rFonts w:ascii="Calibri" w:eastAsia="宋体" w:hAnsi="Calibri" w:cs="Times New Roman" w:hint="eastAsia"/>
          <w:sz w:val="24"/>
        </w:rPr>
        <w:t>：摆腿动作速度、移动速度</w:t>
      </w:r>
    </w:p>
    <w:p w14:paraId="2D7A4D54" w14:textId="77777777" w:rsidR="00D554C2" w:rsidRPr="00D554C2" w:rsidRDefault="00D554C2" w:rsidP="00D554C2">
      <w:pPr>
        <w:spacing w:line="360" w:lineRule="auto"/>
        <w:rPr>
          <w:rFonts w:ascii="Calibri" w:eastAsia="宋体" w:hAnsi="Calibri" w:cs="Times New Roman"/>
          <w:b/>
          <w:sz w:val="28"/>
          <w:szCs w:val="28"/>
        </w:rPr>
      </w:pPr>
      <w:r w:rsidRPr="00D554C2">
        <w:rPr>
          <w:rFonts w:ascii="宋体" w:eastAsia="宋体" w:hAnsi="宋体" w:cs="Times New Roman" w:hint="eastAsia"/>
          <w:b/>
          <w:sz w:val="28"/>
          <w:szCs w:val="28"/>
        </w:rPr>
        <w:t xml:space="preserve">           第六章  </w:t>
      </w:r>
      <w:r w:rsidRPr="00D554C2">
        <w:rPr>
          <w:rFonts w:ascii="Calibri" w:eastAsia="宋体" w:hAnsi="Calibri" w:cs="Times New Roman" w:hint="eastAsia"/>
          <w:b/>
          <w:sz w:val="28"/>
          <w:szCs w:val="28"/>
        </w:rPr>
        <w:t xml:space="preserve"> </w:t>
      </w:r>
      <w:r w:rsidRPr="00D554C2">
        <w:rPr>
          <w:rFonts w:ascii="Calibri" w:eastAsia="宋体" w:hAnsi="Calibri" w:cs="Times New Roman" w:hint="eastAsia"/>
          <w:b/>
          <w:sz w:val="28"/>
          <w:szCs w:val="28"/>
        </w:rPr>
        <w:t>毽球的竞赛及裁判工作（</w:t>
      </w:r>
      <w:r w:rsidRPr="00D554C2">
        <w:rPr>
          <w:rFonts w:ascii="Calibri" w:eastAsia="宋体" w:hAnsi="Calibri" w:cs="Times New Roman" w:hint="eastAsia"/>
          <w:b/>
          <w:sz w:val="28"/>
          <w:szCs w:val="28"/>
        </w:rPr>
        <w:t>2</w:t>
      </w:r>
      <w:r w:rsidRPr="00D554C2">
        <w:rPr>
          <w:rFonts w:ascii="Calibri" w:eastAsia="宋体" w:hAnsi="Calibri" w:cs="Times New Roman" w:hint="eastAsia"/>
          <w:b/>
          <w:sz w:val="28"/>
          <w:szCs w:val="28"/>
        </w:rPr>
        <w:t>学时）</w:t>
      </w:r>
    </w:p>
    <w:p w14:paraId="47F54CCF"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28906B01" w14:textId="77777777" w:rsidR="00D554C2" w:rsidRPr="00D554C2" w:rsidRDefault="00D554C2" w:rsidP="00D554C2">
      <w:pPr>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6.1  毽球的竞赛工作</w:t>
      </w:r>
    </w:p>
    <w:p w14:paraId="4765DBFB" w14:textId="77777777" w:rsidR="00D554C2" w:rsidRPr="00D554C2" w:rsidRDefault="00D554C2" w:rsidP="00D554C2">
      <w:pPr>
        <w:spacing w:line="500" w:lineRule="exact"/>
        <w:ind w:firstLineChars="200" w:firstLine="480"/>
        <w:jc w:val="left"/>
        <w:rPr>
          <w:rFonts w:ascii="宋体" w:eastAsia="宋体" w:hAnsi="宋体" w:cs="宋体"/>
          <w:sz w:val="24"/>
        </w:rPr>
      </w:pPr>
      <w:r w:rsidRPr="00D554C2">
        <w:rPr>
          <w:rFonts w:ascii="宋体" w:eastAsia="宋体" w:hAnsi="宋体" w:cs="宋体" w:hint="eastAsia"/>
          <w:sz w:val="24"/>
        </w:rPr>
        <w:t>6.2  毽球的裁判工作</w:t>
      </w:r>
    </w:p>
    <w:p w14:paraId="29B50520" w14:textId="77777777" w:rsidR="00D554C2" w:rsidRPr="00D554C2" w:rsidRDefault="00D554C2" w:rsidP="00D554C2">
      <w:pPr>
        <w:spacing w:line="360" w:lineRule="auto"/>
        <w:rPr>
          <w:rFonts w:ascii="Calibri" w:eastAsia="宋体" w:hAnsi="Calibri" w:cs="Times New Roman"/>
          <w:sz w:val="24"/>
        </w:rPr>
      </w:pPr>
      <w:r w:rsidRPr="00D554C2">
        <w:rPr>
          <w:rFonts w:ascii="Calibri" w:eastAsia="宋体" w:hAnsi="Calibri" w:cs="Times New Roman" w:hint="eastAsia"/>
          <w:b/>
          <w:sz w:val="24"/>
        </w:rPr>
        <w:t xml:space="preserve">    </w:t>
      </w:r>
      <w:r w:rsidRPr="00D554C2">
        <w:rPr>
          <w:rFonts w:ascii="Calibri" w:eastAsia="宋体" w:hAnsi="Calibri" w:cs="Times New Roman"/>
          <w:b/>
          <w:sz w:val="24"/>
        </w:rPr>
        <w:t>本章教学目的及要求：</w:t>
      </w:r>
      <w:r w:rsidRPr="00D554C2">
        <w:rPr>
          <w:rFonts w:ascii="Calibri" w:eastAsia="宋体" w:hAnsi="Calibri" w:cs="Times New Roman" w:hint="eastAsia"/>
          <w:sz w:val="24"/>
        </w:rPr>
        <w:t>通过学习使学生基本掌握毽球竞赛制度、编排方法及成绩计算方法，了解主要竞赛规则、裁判员的哨言和手势，裁判员之间的配合。</w:t>
      </w:r>
    </w:p>
    <w:p w14:paraId="20926768" w14:textId="77777777" w:rsidR="00D554C2" w:rsidRPr="00D554C2" w:rsidRDefault="00D554C2" w:rsidP="00D554C2">
      <w:pPr>
        <w:spacing w:line="360" w:lineRule="auto"/>
        <w:rPr>
          <w:rFonts w:ascii="Calibri" w:eastAsia="宋体" w:hAnsi="Calibri" w:cs="Times New Roman"/>
          <w:sz w:val="24"/>
        </w:rPr>
      </w:pPr>
      <w:r w:rsidRPr="00D554C2">
        <w:rPr>
          <w:rFonts w:ascii="Calibri" w:eastAsia="宋体" w:hAnsi="Calibri" w:cs="Times New Roman" w:hint="eastAsia"/>
          <w:sz w:val="24"/>
        </w:rPr>
        <w:t xml:space="preserve">    </w:t>
      </w:r>
      <w:r w:rsidRPr="00D554C2">
        <w:rPr>
          <w:rFonts w:ascii="Calibri" w:eastAsia="宋体" w:hAnsi="Calibri" w:cs="Times New Roman"/>
          <w:b/>
          <w:sz w:val="24"/>
        </w:rPr>
        <w:t>本章教学重点及难点：</w:t>
      </w:r>
      <w:r w:rsidRPr="00D554C2">
        <w:rPr>
          <w:rFonts w:ascii="Calibri" w:eastAsia="宋体" w:hAnsi="Calibri" w:cs="Times New Roman" w:hint="eastAsia"/>
          <w:sz w:val="24"/>
        </w:rPr>
        <w:t>毽球竞赛规则和成绩计算方法裁判员的哨言和手势。</w:t>
      </w:r>
    </w:p>
    <w:p w14:paraId="2B95BEE6" w14:textId="77777777" w:rsidR="00D554C2" w:rsidRPr="00D554C2" w:rsidRDefault="00D554C2" w:rsidP="00D554C2">
      <w:pPr>
        <w:adjustRightInd w:val="0"/>
        <w:snapToGrid w:val="0"/>
        <w:spacing w:beforeLines="50" w:before="156" w:afterLines="50" w:after="156" w:line="500" w:lineRule="exact"/>
        <w:jc w:val="center"/>
        <w:rPr>
          <w:rFonts w:ascii="Arial" w:eastAsia="宋体" w:hAnsi="Arial" w:cs="Arial"/>
          <w:b/>
          <w:sz w:val="28"/>
          <w:szCs w:val="28"/>
        </w:rPr>
      </w:pPr>
      <w:r w:rsidRPr="00D554C2">
        <w:rPr>
          <w:rFonts w:ascii="Calibri" w:eastAsia="宋体" w:hAnsi="Calibri" w:cs="Times New Roman" w:hint="eastAsia"/>
          <w:b/>
          <w:sz w:val="28"/>
          <w:szCs w:val="28"/>
        </w:rPr>
        <w:t>第七章</w:t>
      </w:r>
      <w:r w:rsidRPr="00D554C2">
        <w:rPr>
          <w:rFonts w:ascii="Calibri" w:eastAsia="宋体" w:hAnsi="Calibri" w:cs="Times New Roman" w:hint="eastAsia"/>
          <w:b/>
          <w:sz w:val="28"/>
          <w:szCs w:val="28"/>
        </w:rPr>
        <w:t xml:space="preserve">  </w:t>
      </w:r>
      <w:r w:rsidRPr="00D554C2">
        <w:rPr>
          <w:rFonts w:ascii="Arial" w:eastAsia="宋体" w:hAnsi="Calibri" w:cs="Arial" w:hint="eastAsia"/>
          <w:b/>
          <w:sz w:val="28"/>
          <w:szCs w:val="28"/>
        </w:rPr>
        <w:t>体质健康测评（</w:t>
      </w:r>
      <w:r w:rsidRPr="00D554C2">
        <w:rPr>
          <w:rFonts w:ascii="Arial" w:eastAsia="宋体" w:hAnsi="Calibri" w:cs="Arial" w:hint="eastAsia"/>
          <w:b/>
          <w:sz w:val="28"/>
          <w:szCs w:val="28"/>
        </w:rPr>
        <w:t>4</w:t>
      </w:r>
      <w:r w:rsidRPr="00D554C2">
        <w:rPr>
          <w:rFonts w:ascii="Arial" w:eastAsia="宋体" w:hAnsi="Calibri" w:cs="Arial" w:hint="eastAsia"/>
          <w:b/>
          <w:sz w:val="28"/>
          <w:szCs w:val="28"/>
        </w:rPr>
        <w:t>学时）</w:t>
      </w:r>
    </w:p>
    <w:p w14:paraId="2AC94749"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06C08B2C"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7.1 《国家学生体质健康标准》实施说明</w:t>
      </w:r>
    </w:p>
    <w:p w14:paraId="23A7CDAF"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7.2 《国家学生体质健康标准》测试评分表</w:t>
      </w:r>
    </w:p>
    <w:p w14:paraId="778A7CFA" w14:textId="77777777" w:rsidR="00D554C2" w:rsidRPr="00D554C2" w:rsidRDefault="00D554C2" w:rsidP="00D554C2">
      <w:pPr>
        <w:spacing w:line="360" w:lineRule="auto"/>
        <w:ind w:firstLineChars="196" w:firstLine="472"/>
        <w:rPr>
          <w:rFonts w:ascii="Calibri" w:eastAsia="宋体" w:hAnsi="Calibri" w:cs="Times New Roman"/>
          <w:bCs/>
          <w:sz w:val="24"/>
        </w:rPr>
      </w:pPr>
      <w:r w:rsidRPr="00D554C2">
        <w:rPr>
          <w:rFonts w:ascii="Arial" w:eastAsia="宋体" w:hAnsi="Calibri" w:cs="Arial" w:hint="eastAsia"/>
          <w:b/>
          <w:sz w:val="24"/>
        </w:rPr>
        <w:t>本章教学目的及要求：</w:t>
      </w:r>
      <w:r w:rsidRPr="00D554C2">
        <w:rPr>
          <w:rFonts w:ascii="Calibri" w:eastAsia="宋体" w:hAnsi="Calibri" w:cs="Times New Roman" w:hint="eastAsia"/>
          <w:bCs/>
          <w:sz w:val="24"/>
        </w:rPr>
        <w:t>使学生了解体质健康的主要内容及要求。</w:t>
      </w:r>
    </w:p>
    <w:p w14:paraId="16E96AD3" w14:textId="77777777" w:rsidR="00D554C2" w:rsidRPr="00D554C2" w:rsidRDefault="00D554C2" w:rsidP="00D554C2">
      <w:pPr>
        <w:spacing w:line="360" w:lineRule="auto"/>
        <w:ind w:firstLineChars="196" w:firstLine="472"/>
        <w:rPr>
          <w:rFonts w:ascii="宋体" w:eastAsia="宋体" w:hAnsi="宋体" w:cs="宋体"/>
          <w:color w:val="000000"/>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学生体质健康标准的重要性；如何激发学生锻炼身体的积极性和自觉性。</w:t>
      </w:r>
    </w:p>
    <w:p w14:paraId="13B3D8A0" w14:textId="77777777" w:rsidR="00D554C2" w:rsidRPr="00D554C2" w:rsidRDefault="00D554C2" w:rsidP="00D554C2">
      <w:pPr>
        <w:spacing w:beforeLines="50" w:before="156" w:afterLines="50" w:after="156" w:line="440" w:lineRule="exact"/>
        <w:ind w:firstLineChars="200" w:firstLine="562"/>
        <w:jc w:val="center"/>
        <w:rPr>
          <w:rFonts w:ascii="Arial" w:eastAsia="宋体" w:hAnsi="Calibri" w:cs="Arial"/>
          <w:b/>
          <w:sz w:val="28"/>
          <w:szCs w:val="28"/>
        </w:rPr>
      </w:pPr>
      <w:r w:rsidRPr="00D554C2">
        <w:rPr>
          <w:rFonts w:ascii="Arial" w:eastAsia="宋体" w:hAnsi="Calibri" w:cs="Arial" w:hint="eastAsia"/>
          <w:b/>
          <w:sz w:val="28"/>
          <w:szCs w:val="28"/>
        </w:rPr>
        <w:t>学习内容四</w:t>
      </w:r>
      <w:r w:rsidRPr="00D554C2">
        <w:rPr>
          <w:rFonts w:ascii="Arial" w:eastAsia="宋体" w:hAnsi="Calibri" w:cs="Arial" w:hint="eastAsia"/>
          <w:b/>
          <w:sz w:val="28"/>
          <w:szCs w:val="28"/>
        </w:rPr>
        <w:t xml:space="preserve"> </w:t>
      </w:r>
      <w:r w:rsidRPr="00D554C2">
        <w:rPr>
          <w:rFonts w:ascii="Arial" w:eastAsia="宋体" w:hAnsi="Calibri" w:cs="Arial" w:hint="eastAsia"/>
          <w:b/>
          <w:sz w:val="28"/>
          <w:szCs w:val="28"/>
        </w:rPr>
        <w:t>毽球</w:t>
      </w:r>
      <w:r w:rsidRPr="00D554C2">
        <w:rPr>
          <w:rFonts w:ascii="Arial" w:eastAsia="宋体" w:hAnsi="Calibri" w:cs="Arial" w:hint="eastAsia"/>
          <w:b/>
          <w:sz w:val="28"/>
          <w:szCs w:val="28"/>
        </w:rPr>
        <w:t xml:space="preserve"> 3</w:t>
      </w:r>
    </w:p>
    <w:p w14:paraId="758A3FE6" w14:textId="77777777" w:rsidR="00D554C2" w:rsidRPr="00D554C2" w:rsidRDefault="00D554C2" w:rsidP="00D554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【学习目标】</w:t>
      </w:r>
    </w:p>
    <w:p w14:paraId="53C24939"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1.</w:t>
      </w:r>
      <w:r w:rsidRPr="00D554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D554C2">
        <w:rPr>
          <w:rFonts w:ascii="宋体" w:eastAsia="宋体" w:hAnsi="Calibri" w:cs="宋体" w:hint="eastAsia"/>
          <w:spacing w:val="5"/>
          <w:kern w:val="0"/>
          <w:sz w:val="24"/>
        </w:rPr>
        <w:t>通过体能教学活动，</w:t>
      </w:r>
      <w:r w:rsidRPr="00D554C2">
        <w:rPr>
          <w:rFonts w:ascii="宋体" w:eastAsia="宋体" w:hAnsi="宋体" w:cs="仿宋_GB2312" w:hint="eastAsia"/>
          <w:sz w:val="24"/>
        </w:rPr>
        <w:t>了解《大学生体质健康标准测验》项目内容、考核方式、评价标准，掌握考核内容锻炼的方式方法。</w:t>
      </w:r>
      <w:r w:rsidRPr="00D554C2">
        <w:rPr>
          <w:rFonts w:ascii="宋体" w:eastAsia="宋体" w:hAnsi="Calibri" w:cs="宋体" w:hint="eastAsia"/>
          <w:spacing w:val="5"/>
          <w:kern w:val="0"/>
          <w:sz w:val="24"/>
        </w:rPr>
        <w:t>培养学生努力学习、不断进取、修身立业、顽强奋进的精神与品质。</w:t>
      </w:r>
    </w:p>
    <w:p w14:paraId="5F7FF47C"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2.</w:t>
      </w:r>
      <w:r w:rsidRPr="00D554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w:t>
      </w:r>
      <w:r w:rsidRPr="00D554C2">
        <w:rPr>
          <w:rFonts w:ascii="宋体" w:eastAsia="宋体" w:hAnsi="宋体" w:cs="仿宋_GB2312" w:hint="eastAsia"/>
          <w:sz w:val="24"/>
        </w:rPr>
        <w:lastRenderedPageBreak/>
        <w:t>的技能与方法，掌握部分体育项目的基本技术初步学会运用科学的方法锻炼身体，促进学生能力的发展能够初步运用获得的知识技能锻炼身体，进行自我调控，自我检测和自我评价</w:t>
      </w:r>
      <w:r w:rsidRPr="00D554C2">
        <w:rPr>
          <w:rFonts w:ascii="宋体" w:eastAsia="宋体" w:hAnsi="Calibri" w:cs="宋体" w:hint="eastAsia"/>
          <w:spacing w:val="5"/>
          <w:kern w:val="0"/>
          <w:sz w:val="24"/>
        </w:rPr>
        <w:t>。</w:t>
      </w:r>
    </w:p>
    <w:p w14:paraId="4AD31EA6"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3.</w:t>
      </w:r>
      <w:r w:rsidRPr="00D554C2">
        <w:rPr>
          <w:rFonts w:ascii="宋体" w:eastAsia="宋体" w:hAnsi="宋体" w:cs="仿宋_GB2312" w:hint="eastAsia"/>
          <w:sz w:val="24"/>
        </w:rPr>
        <w:t>使学生能够掌握毽球运动的一般规律和特点，使学生获得毽球运动的基本技术、基本技能和基础理论知识，并了解现代毽球的发展趋势。以运动和身体练习为基本手段，对大学生机体进行科学的培育，在提高人的生物潜能、心理潜能的过程中促进德、智、体、美全面发展，达到身心健康、全面发展的教育总目的</w:t>
      </w:r>
      <w:r w:rsidRPr="00D554C2">
        <w:rPr>
          <w:rFonts w:ascii="宋体" w:eastAsia="宋体" w:hAnsi="Calibri" w:cs="宋体" w:hint="eastAsia"/>
          <w:spacing w:val="5"/>
          <w:kern w:val="0"/>
          <w:sz w:val="24"/>
        </w:rPr>
        <w:t>。</w:t>
      </w:r>
    </w:p>
    <w:p w14:paraId="204BABD6" w14:textId="77777777" w:rsidR="00D554C2" w:rsidRPr="00D554C2" w:rsidRDefault="00D554C2" w:rsidP="00D554C2">
      <w:pPr>
        <w:spacing w:line="440" w:lineRule="exact"/>
        <w:ind w:firstLineChars="200" w:firstLine="500"/>
        <w:rPr>
          <w:rFonts w:ascii="宋体" w:eastAsia="宋体" w:hAnsi="宋体" w:cs="Times New Roman"/>
          <w:b/>
          <w:sz w:val="24"/>
        </w:rPr>
      </w:pPr>
      <w:r w:rsidRPr="00D554C2">
        <w:rPr>
          <w:rFonts w:ascii="宋体" w:eastAsia="宋体" w:hAnsi="Calibri" w:cs="宋体" w:hint="eastAsia"/>
          <w:spacing w:val="5"/>
          <w:kern w:val="0"/>
          <w:sz w:val="24"/>
        </w:rPr>
        <w:t>4.</w:t>
      </w:r>
      <w:r w:rsidRPr="00D554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D554C2">
        <w:rPr>
          <w:rFonts w:ascii="宋体" w:eastAsia="宋体" w:hAnsi="Calibri" w:cs="宋体" w:hint="eastAsia"/>
          <w:spacing w:val="5"/>
          <w:kern w:val="0"/>
          <w:sz w:val="24"/>
        </w:rPr>
        <w:t>。</w:t>
      </w:r>
    </w:p>
    <w:p w14:paraId="120BE8F1" w14:textId="77777777" w:rsidR="00D554C2" w:rsidRPr="00D554C2" w:rsidRDefault="00D554C2" w:rsidP="00D554C2">
      <w:pPr>
        <w:spacing w:line="44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【学习内容】</w:t>
      </w:r>
    </w:p>
    <w:p w14:paraId="6DF421DE" w14:textId="77777777" w:rsidR="00D554C2" w:rsidRPr="00D554C2" w:rsidRDefault="00D554C2" w:rsidP="00D554C2">
      <w:pPr>
        <w:autoSpaceDE w:val="0"/>
        <w:autoSpaceDN w:val="0"/>
        <w:adjustRightInd w:val="0"/>
        <w:snapToGrid w:val="0"/>
        <w:spacing w:before="180" w:after="180" w:line="500" w:lineRule="exact"/>
        <w:ind w:firstLineChars="200" w:firstLine="562"/>
        <w:jc w:val="center"/>
        <w:rPr>
          <w:rFonts w:ascii="宋体" w:eastAsia="宋体" w:hAnsi="宋体" w:cs="Times New Roman"/>
          <w:b/>
          <w:sz w:val="28"/>
          <w:szCs w:val="28"/>
        </w:rPr>
      </w:pPr>
      <w:r w:rsidRPr="00D554C2">
        <w:rPr>
          <w:rFonts w:ascii="宋体" w:eastAsia="宋体" w:hAnsi="宋体" w:cs="Times New Roman" w:hint="eastAsia"/>
          <w:b/>
          <w:sz w:val="28"/>
          <w:szCs w:val="28"/>
        </w:rPr>
        <w:t>第一章 毽球运动简介（2学时）</w:t>
      </w:r>
    </w:p>
    <w:p w14:paraId="49C423F4" w14:textId="77777777" w:rsidR="00D554C2" w:rsidRPr="00D554C2" w:rsidRDefault="00D554C2" w:rsidP="00D554C2">
      <w:pPr>
        <w:adjustRightInd w:val="0"/>
        <w:snapToGrid w:val="0"/>
        <w:spacing w:line="500" w:lineRule="exact"/>
        <w:ind w:firstLineChars="196" w:firstLine="472"/>
        <w:rPr>
          <w:rFonts w:ascii="Calibri" w:eastAsia="宋体" w:hAnsi="Calibri" w:cs="Times New Roman"/>
          <w:b/>
          <w:sz w:val="24"/>
        </w:rPr>
      </w:pPr>
      <w:r w:rsidRPr="00D554C2">
        <w:rPr>
          <w:rFonts w:ascii="Calibri" w:eastAsia="宋体" w:hAnsi="Calibri" w:cs="Times New Roman"/>
          <w:b/>
          <w:sz w:val="24"/>
        </w:rPr>
        <w:t>本章主要教学内容：</w:t>
      </w:r>
    </w:p>
    <w:p w14:paraId="04A42D79"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1.1古代毽子的起源与发展</w:t>
      </w:r>
    </w:p>
    <w:p w14:paraId="297128AA"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1.2 现代毽球运动的诞生与发展</w:t>
      </w:r>
    </w:p>
    <w:p w14:paraId="7531D3F4"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1.3 毽球运动的比赛方法和特点</w:t>
      </w:r>
    </w:p>
    <w:p w14:paraId="139D1B73"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1.4毽球运动发展的趋势</w:t>
      </w:r>
    </w:p>
    <w:p w14:paraId="0D32BC29" w14:textId="77777777" w:rsidR="00D554C2" w:rsidRPr="00D554C2" w:rsidRDefault="00D554C2" w:rsidP="00D554C2">
      <w:pPr>
        <w:spacing w:line="500" w:lineRule="exact"/>
        <w:ind w:firstLineChars="200" w:firstLine="482"/>
        <w:rPr>
          <w:rFonts w:ascii="Calibri" w:eastAsia="宋体" w:hAnsi="Calibri" w:cs="Times New Roman"/>
          <w:sz w:val="24"/>
        </w:rPr>
      </w:pPr>
      <w:r w:rsidRPr="00D554C2">
        <w:rPr>
          <w:rFonts w:ascii="Calibri" w:eastAsia="宋体" w:hAnsi="Calibri" w:cs="Times New Roman"/>
          <w:b/>
          <w:sz w:val="24"/>
        </w:rPr>
        <w:t>本章教学目的及要求：</w:t>
      </w:r>
      <w:r w:rsidRPr="00D554C2">
        <w:rPr>
          <w:rFonts w:ascii="宋体" w:eastAsia="宋体" w:hAnsi="宋体" w:cs="宋体" w:hint="eastAsia"/>
          <w:sz w:val="24"/>
        </w:rPr>
        <w:t xml:space="preserve"> </w:t>
      </w:r>
      <w:r w:rsidRPr="00D554C2">
        <w:rPr>
          <w:rFonts w:ascii="Calibri" w:eastAsia="宋体" w:hAnsi="Calibri" w:cs="Times New Roman" w:hint="eastAsia"/>
          <w:sz w:val="24"/>
        </w:rPr>
        <w:t>使学生基本了解毽球运动的起源与发展，毽球运动的定义、比赛形式、比赛的基本规律及其特点，中国毽球普及与提高的发展趋势，世界毽球运动的传播与推广，毽球技、战术发展趋势。</w:t>
      </w:r>
    </w:p>
    <w:p w14:paraId="6E6918E7"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ind w:firstLineChars="200" w:firstLine="482"/>
        <w:rPr>
          <w:rFonts w:ascii="宋体" w:eastAsia="宋体" w:hAnsi="宋体" w:cs="Times New Roman"/>
          <w:b/>
          <w:sz w:val="28"/>
          <w:szCs w:val="28"/>
        </w:rPr>
      </w:pPr>
      <w:r w:rsidRPr="00D554C2">
        <w:rPr>
          <w:rFonts w:ascii="Calibri" w:eastAsia="宋体" w:hAnsi="Calibri" w:cs="Times New Roman" w:hint="eastAsia"/>
          <w:b/>
          <w:color w:val="000000"/>
          <w:sz w:val="24"/>
        </w:rPr>
        <w:t>教学重点及难点：</w:t>
      </w:r>
      <w:r w:rsidRPr="00D554C2">
        <w:rPr>
          <w:rFonts w:ascii="Calibri" w:eastAsia="宋体" w:hAnsi="Calibri" w:cs="Times New Roman" w:hint="eastAsia"/>
          <w:color w:val="000000"/>
          <w:sz w:val="24"/>
        </w:rPr>
        <w:t>毽球运动起源和发展趋势。</w:t>
      </w:r>
    </w:p>
    <w:p w14:paraId="50ED55F8" w14:textId="77777777" w:rsidR="00D554C2" w:rsidRPr="00D554C2" w:rsidRDefault="00D554C2" w:rsidP="00D554C2">
      <w:pPr>
        <w:autoSpaceDE w:val="0"/>
        <w:autoSpaceDN w:val="0"/>
        <w:adjustRightInd w:val="0"/>
        <w:snapToGrid w:val="0"/>
        <w:spacing w:before="180" w:after="180"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第二章 毽球基本技术（16学时）</w:t>
      </w:r>
    </w:p>
    <w:p w14:paraId="3C07F545"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sz w:val="24"/>
        </w:rPr>
      </w:pPr>
      <w:r w:rsidRPr="00D554C2">
        <w:rPr>
          <w:rFonts w:ascii="Calibri" w:eastAsia="宋体" w:hAnsi="Calibri" w:cs="Times New Roman"/>
          <w:b/>
          <w:sz w:val="24"/>
        </w:rPr>
        <w:t>本章主要教学内容：</w:t>
      </w:r>
    </w:p>
    <w:p w14:paraId="18591A4E"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2.1 准备姿势和移动步伐</w:t>
      </w:r>
    </w:p>
    <w:p w14:paraId="2D52EBB1"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lastRenderedPageBreak/>
        <w:t>2.2起球技术</w:t>
      </w:r>
    </w:p>
    <w:p w14:paraId="6128B878"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2.2.1脚内侧起球技术</w:t>
      </w:r>
    </w:p>
    <w:p w14:paraId="7239C542"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2.2.2 脚外侧起球技术</w:t>
      </w:r>
    </w:p>
    <w:p w14:paraId="2D5163DF"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2.2.3脚背起球技术</w:t>
      </w:r>
    </w:p>
    <w:p w14:paraId="26713542"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2.2.4腿部垫球技术</w:t>
      </w:r>
    </w:p>
    <w:p w14:paraId="6014F73F"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2.2.5胸部垫球技术</w:t>
      </w:r>
    </w:p>
    <w:p w14:paraId="1F5E16A9"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2.2.6肩部垫球技术</w:t>
      </w:r>
    </w:p>
    <w:p w14:paraId="77982503"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2.3进攻技术</w:t>
      </w:r>
    </w:p>
    <w:p w14:paraId="22D0D934"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2.4发球技术</w:t>
      </w:r>
    </w:p>
    <w:p w14:paraId="41297622"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2.5封网技术</w:t>
      </w:r>
    </w:p>
    <w:p w14:paraId="6EA5D2D0"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sz w:val="24"/>
        </w:rPr>
      </w:pPr>
      <w:r w:rsidRPr="00D554C2">
        <w:rPr>
          <w:rFonts w:ascii="宋体" w:eastAsia="宋体" w:hAnsi="宋体" w:cs="宋体" w:hint="eastAsia"/>
          <w:b/>
          <w:color w:val="000000"/>
          <w:sz w:val="24"/>
        </w:rPr>
        <w:t>本章教学目的及要求：</w:t>
      </w:r>
      <w:r w:rsidRPr="00D554C2">
        <w:rPr>
          <w:rFonts w:ascii="宋体" w:eastAsia="宋体" w:hAnsi="宋体" w:cs="宋体" w:hint="eastAsia"/>
          <w:sz w:val="24"/>
        </w:rPr>
        <w:t>使学生基本掌握毽球运动脚内侧起球技术、脚外侧起球技术，腿部和胸部垫球技术，发球技术并能熟练运用，初步了解进攻和封网技术。</w:t>
      </w:r>
    </w:p>
    <w:p w14:paraId="6A9554F2"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Times New Roman"/>
          <w:b/>
          <w:sz w:val="28"/>
          <w:szCs w:val="28"/>
        </w:rPr>
      </w:pPr>
      <w:r w:rsidRPr="00D554C2">
        <w:rPr>
          <w:rFonts w:ascii="宋体" w:eastAsia="宋体" w:hAnsi="宋体" w:cs="宋体" w:hint="eastAsia"/>
          <w:b/>
          <w:color w:val="000000"/>
          <w:sz w:val="24"/>
        </w:rPr>
        <w:t>教学重点及难点：</w:t>
      </w:r>
      <w:r w:rsidRPr="00D554C2">
        <w:rPr>
          <w:rFonts w:ascii="宋体" w:eastAsia="宋体" w:hAnsi="宋体" w:cs="宋体" w:hint="eastAsia"/>
          <w:sz w:val="24"/>
        </w:rPr>
        <w:t>脚内侧、脚外侧起球技术、正脚背发球技术动作，</w:t>
      </w:r>
      <w:proofErr w:type="gramStart"/>
      <w:r w:rsidRPr="00D554C2">
        <w:rPr>
          <w:rFonts w:ascii="宋体" w:eastAsia="宋体" w:hAnsi="宋体" w:cs="宋体" w:hint="eastAsia"/>
          <w:bCs/>
          <w:color w:val="000000"/>
          <w:sz w:val="24"/>
        </w:rPr>
        <w:t>腿部</w:t>
      </w:r>
      <w:r w:rsidRPr="00D554C2">
        <w:rPr>
          <w:rFonts w:ascii="宋体" w:eastAsia="宋体" w:hAnsi="宋体" w:cs="宋体" w:hint="eastAsia"/>
          <w:sz w:val="24"/>
        </w:rPr>
        <w:t>拱球和胸垫球</w:t>
      </w:r>
      <w:proofErr w:type="gramEnd"/>
      <w:r w:rsidRPr="00D554C2">
        <w:rPr>
          <w:rFonts w:ascii="宋体" w:eastAsia="宋体" w:hAnsi="宋体" w:cs="宋体" w:hint="eastAsia"/>
          <w:sz w:val="24"/>
        </w:rPr>
        <w:t>技术；</w:t>
      </w:r>
    </w:p>
    <w:p w14:paraId="7DE8AA97" w14:textId="77777777" w:rsidR="00D554C2" w:rsidRPr="00D554C2" w:rsidRDefault="00D554C2" w:rsidP="00D554C2">
      <w:pPr>
        <w:adjustRightInd w:val="0"/>
        <w:snapToGrid w:val="0"/>
        <w:spacing w:before="180" w:after="180" w:line="500" w:lineRule="exact"/>
        <w:ind w:firstLineChars="200" w:firstLine="562"/>
        <w:jc w:val="center"/>
        <w:rPr>
          <w:rFonts w:ascii="宋体" w:eastAsia="宋体" w:hAnsi="宋体" w:cs="Times New Roman"/>
          <w:b/>
          <w:sz w:val="28"/>
          <w:szCs w:val="28"/>
        </w:rPr>
      </w:pPr>
      <w:r w:rsidRPr="00D554C2">
        <w:rPr>
          <w:rFonts w:ascii="宋体" w:eastAsia="宋体" w:hAnsi="宋体" w:cs="Times New Roman"/>
          <w:b/>
          <w:sz w:val="28"/>
          <w:szCs w:val="28"/>
        </w:rPr>
        <w:t>第</w:t>
      </w:r>
      <w:r w:rsidRPr="00D554C2">
        <w:rPr>
          <w:rFonts w:ascii="宋体" w:eastAsia="宋体" w:hAnsi="宋体" w:cs="Times New Roman" w:hint="eastAsia"/>
          <w:b/>
          <w:sz w:val="28"/>
          <w:szCs w:val="28"/>
        </w:rPr>
        <w:t>三</w:t>
      </w:r>
      <w:r w:rsidRPr="00D554C2">
        <w:rPr>
          <w:rFonts w:ascii="宋体" w:eastAsia="宋体" w:hAnsi="宋体" w:cs="Times New Roman"/>
          <w:b/>
          <w:sz w:val="28"/>
          <w:szCs w:val="28"/>
        </w:rPr>
        <w:t xml:space="preserve">章 </w:t>
      </w:r>
      <w:r w:rsidRPr="00D554C2">
        <w:rPr>
          <w:rFonts w:ascii="宋体" w:eastAsia="宋体" w:hAnsi="宋体" w:cs="Times New Roman" w:hint="eastAsia"/>
          <w:b/>
          <w:sz w:val="28"/>
          <w:szCs w:val="28"/>
        </w:rPr>
        <w:t>毽球基本战术</w:t>
      </w:r>
      <w:r w:rsidRPr="00D554C2">
        <w:rPr>
          <w:rFonts w:ascii="宋体" w:eastAsia="宋体" w:hAnsi="宋体" w:cs="Times New Roman"/>
          <w:b/>
          <w:sz w:val="28"/>
          <w:szCs w:val="28"/>
        </w:rPr>
        <w:t xml:space="preserve"> （</w:t>
      </w:r>
      <w:r w:rsidRPr="00D554C2">
        <w:rPr>
          <w:rFonts w:ascii="宋体" w:eastAsia="宋体" w:hAnsi="宋体" w:cs="Times New Roman" w:hint="eastAsia"/>
          <w:b/>
          <w:sz w:val="28"/>
          <w:szCs w:val="28"/>
        </w:rPr>
        <w:t>8</w:t>
      </w:r>
      <w:r w:rsidRPr="00D554C2">
        <w:rPr>
          <w:rFonts w:ascii="宋体" w:eastAsia="宋体" w:hAnsi="宋体" w:cs="Times New Roman"/>
          <w:b/>
          <w:sz w:val="28"/>
          <w:szCs w:val="28"/>
        </w:rPr>
        <w:t>学时）</w:t>
      </w:r>
    </w:p>
    <w:p w14:paraId="61E56B86"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b/>
          <w:sz w:val="24"/>
        </w:rPr>
        <w:t>本章主要教学内容：</w:t>
      </w:r>
    </w:p>
    <w:p w14:paraId="395AD982"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Calibri" w:eastAsia="宋体" w:hAnsi="Calibri" w:cs="Times New Roman" w:hint="eastAsia"/>
          <w:sz w:val="24"/>
        </w:rPr>
        <w:t xml:space="preserve"> </w:t>
      </w:r>
      <w:r w:rsidRPr="00D554C2">
        <w:rPr>
          <w:rFonts w:ascii="宋体" w:eastAsia="宋体" w:hAnsi="宋体" w:cs="宋体" w:hint="eastAsia"/>
          <w:sz w:val="24"/>
        </w:rPr>
        <w:t>3.1 阵容配备</w:t>
      </w:r>
    </w:p>
    <w:p w14:paraId="6D57244B"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 xml:space="preserve"> 3.2 进攻战术的组织形式</w:t>
      </w:r>
    </w:p>
    <w:p w14:paraId="431849CE"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 xml:space="preserve"> 3.3接发球站位阵形</w:t>
      </w:r>
    </w:p>
    <w:p w14:paraId="15D447B8"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 xml:space="preserve"> 3.4防守进攻球的站位与配备</w:t>
      </w:r>
    </w:p>
    <w:p w14:paraId="0BD01631" w14:textId="77777777" w:rsidR="00D554C2" w:rsidRPr="00D554C2" w:rsidRDefault="00D554C2" w:rsidP="00D554C2">
      <w:pPr>
        <w:spacing w:line="500" w:lineRule="exact"/>
        <w:ind w:firstLineChars="200" w:firstLine="482"/>
        <w:rPr>
          <w:rFonts w:ascii="Calibri" w:eastAsia="宋体" w:hAnsi="Calibri" w:cs="Times New Roman"/>
          <w:sz w:val="24"/>
        </w:rPr>
      </w:pPr>
      <w:r w:rsidRPr="00D554C2">
        <w:rPr>
          <w:rFonts w:ascii="Calibri" w:eastAsia="宋体" w:hAnsi="Calibri" w:cs="Times New Roman"/>
          <w:b/>
          <w:sz w:val="24"/>
        </w:rPr>
        <w:t>本章教学目的及要求：</w:t>
      </w:r>
      <w:r w:rsidRPr="00D554C2">
        <w:rPr>
          <w:rFonts w:ascii="Calibri" w:eastAsia="宋体" w:hAnsi="Calibri" w:cs="Times New Roman" w:hint="eastAsia"/>
          <w:sz w:val="24"/>
        </w:rPr>
        <w:t>使学生基本了解阵容配备的意义、要求和形式，了解“主攻型”配备和“二传助攻型”配备的特点；初步了解“四种组织形式”的作用与特点以及接发球“二·一”三角站位，边“一·二”站位的方法与配备、不封网防守阵形的站位与配备，</w:t>
      </w:r>
      <w:proofErr w:type="gramStart"/>
      <w:r w:rsidRPr="00D554C2">
        <w:rPr>
          <w:rFonts w:ascii="Calibri" w:eastAsia="宋体" w:hAnsi="Calibri" w:cs="Times New Roman" w:hint="eastAsia"/>
          <w:sz w:val="24"/>
        </w:rPr>
        <w:t>一</w:t>
      </w:r>
      <w:proofErr w:type="gramEnd"/>
      <w:r w:rsidRPr="00D554C2">
        <w:rPr>
          <w:rFonts w:ascii="Calibri" w:eastAsia="宋体" w:hAnsi="Calibri" w:cs="Times New Roman" w:hint="eastAsia"/>
          <w:sz w:val="24"/>
        </w:rPr>
        <w:t>封二防守阵形的站位与略备等。</w:t>
      </w:r>
    </w:p>
    <w:p w14:paraId="48F0200E"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sz w:val="24"/>
        </w:rPr>
      </w:pPr>
      <w:r w:rsidRPr="00D554C2">
        <w:rPr>
          <w:rFonts w:ascii="Calibri" w:eastAsia="宋体" w:hAnsi="Calibri" w:cs="Times New Roman"/>
          <w:b/>
          <w:sz w:val="24"/>
        </w:rPr>
        <w:t>本章教学重点及难点：</w:t>
      </w:r>
      <w:r w:rsidRPr="00D554C2">
        <w:rPr>
          <w:rFonts w:ascii="Calibri" w:eastAsia="宋体" w:hAnsi="Calibri" w:cs="Times New Roman" w:hint="eastAsia"/>
          <w:sz w:val="24"/>
        </w:rPr>
        <w:t>阵容配备的意义和形式，“主攻型”配备和“二传助攻型”配备的特点；接发球站位方法与配备。</w:t>
      </w:r>
    </w:p>
    <w:p w14:paraId="3F0A9326" w14:textId="77777777" w:rsidR="00D554C2" w:rsidRPr="00D554C2" w:rsidRDefault="00D554C2" w:rsidP="00D554C2">
      <w:pPr>
        <w:spacing w:before="180" w:after="180"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lastRenderedPageBreak/>
        <w:t>第四章 毽球教学与训练、方法（2）</w:t>
      </w:r>
    </w:p>
    <w:p w14:paraId="13BBFF62"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2E411FA1"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4.1</w:t>
      </w:r>
      <w:r w:rsidRPr="00D554C2">
        <w:rPr>
          <w:rFonts w:ascii="Calibri" w:eastAsia="宋体" w:hAnsi="Calibri" w:cs="Times New Roman" w:hint="eastAsia"/>
          <w:sz w:val="24"/>
        </w:rPr>
        <w:t>教学与训练手抛球方法</w:t>
      </w:r>
    </w:p>
    <w:p w14:paraId="136732D7"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 xml:space="preserve">4.2  </w:t>
      </w:r>
      <w:r w:rsidRPr="00D554C2">
        <w:rPr>
          <w:rFonts w:ascii="Calibri" w:eastAsia="宋体" w:hAnsi="Calibri" w:cs="Times New Roman" w:hint="eastAsia"/>
          <w:sz w:val="24"/>
        </w:rPr>
        <w:t>教学与训练模拟课</w:t>
      </w:r>
    </w:p>
    <w:p w14:paraId="7916234A" w14:textId="77777777" w:rsidR="00D554C2" w:rsidRPr="00D554C2" w:rsidRDefault="00D554C2" w:rsidP="00D554C2">
      <w:pPr>
        <w:spacing w:line="500" w:lineRule="exact"/>
        <w:ind w:firstLineChars="200" w:firstLine="482"/>
        <w:rPr>
          <w:rFonts w:ascii="Calibri" w:eastAsia="宋体" w:hAnsi="Calibri" w:cs="Times New Roman"/>
          <w:sz w:val="24"/>
        </w:rPr>
      </w:pPr>
      <w:r w:rsidRPr="00D554C2">
        <w:rPr>
          <w:rFonts w:ascii="Calibri" w:eastAsia="宋体" w:hAnsi="Calibri" w:cs="Times New Roman"/>
          <w:b/>
          <w:sz w:val="24"/>
        </w:rPr>
        <w:t>本章教学目的及要求：</w:t>
      </w:r>
      <w:r w:rsidRPr="00D554C2">
        <w:rPr>
          <w:rFonts w:ascii="Calibri" w:eastAsia="宋体" w:hAnsi="Calibri" w:cs="Times New Roman" w:hint="eastAsia"/>
          <w:sz w:val="24"/>
        </w:rPr>
        <w:t>通过手</w:t>
      </w:r>
      <w:proofErr w:type="gramStart"/>
      <w:r w:rsidRPr="00D554C2">
        <w:rPr>
          <w:rFonts w:ascii="Calibri" w:eastAsia="宋体" w:hAnsi="Calibri" w:cs="Times New Roman" w:hint="eastAsia"/>
          <w:sz w:val="24"/>
        </w:rPr>
        <w:t>抛各类接</w:t>
      </w:r>
      <w:proofErr w:type="gramEnd"/>
      <w:r w:rsidRPr="00D554C2">
        <w:rPr>
          <w:rFonts w:ascii="Calibri" w:eastAsia="宋体" w:hAnsi="Calibri" w:cs="Times New Roman" w:hint="eastAsia"/>
          <w:sz w:val="24"/>
        </w:rPr>
        <w:t>起球、</w:t>
      </w:r>
      <w:proofErr w:type="gramStart"/>
      <w:r w:rsidRPr="00D554C2">
        <w:rPr>
          <w:rFonts w:ascii="Calibri" w:eastAsia="宋体" w:hAnsi="Calibri" w:cs="Times New Roman" w:hint="eastAsia"/>
          <w:sz w:val="24"/>
        </w:rPr>
        <w:t>手抛二传球</w:t>
      </w:r>
      <w:proofErr w:type="gramEnd"/>
      <w:r w:rsidRPr="00D554C2">
        <w:rPr>
          <w:rFonts w:ascii="Calibri" w:eastAsia="宋体" w:hAnsi="Calibri" w:cs="Times New Roman" w:hint="eastAsia"/>
          <w:sz w:val="24"/>
        </w:rPr>
        <w:t>、手扣防守球练习，使学生熟练球性，掌握练习方法。</w:t>
      </w:r>
    </w:p>
    <w:p w14:paraId="6154CF22" w14:textId="77777777" w:rsidR="00D554C2" w:rsidRPr="00D554C2" w:rsidRDefault="00D554C2" w:rsidP="00D554C2">
      <w:pPr>
        <w:spacing w:line="500" w:lineRule="exact"/>
        <w:ind w:firstLineChars="200" w:firstLine="482"/>
        <w:rPr>
          <w:rFonts w:ascii="Calibri" w:eastAsia="宋体" w:hAnsi="Calibri" w:cs="Times New Roman"/>
          <w:sz w:val="24"/>
        </w:rPr>
      </w:pPr>
      <w:r w:rsidRPr="00D554C2">
        <w:rPr>
          <w:rFonts w:ascii="Calibri" w:eastAsia="宋体" w:hAnsi="Calibri" w:cs="Times New Roman" w:hint="eastAsia"/>
          <w:b/>
          <w:sz w:val="24"/>
        </w:rPr>
        <w:t>本章教学重点及难点</w:t>
      </w:r>
      <w:r w:rsidRPr="00D554C2">
        <w:rPr>
          <w:rFonts w:ascii="Calibri" w:eastAsia="宋体" w:hAnsi="Calibri" w:cs="Times New Roman" w:hint="eastAsia"/>
          <w:sz w:val="24"/>
        </w:rPr>
        <w:t>：手抛接球练习。</w:t>
      </w:r>
    </w:p>
    <w:p w14:paraId="0D9B31EF" w14:textId="77777777" w:rsidR="00D554C2" w:rsidRPr="00D554C2" w:rsidRDefault="00D554C2" w:rsidP="00D554C2">
      <w:pPr>
        <w:spacing w:before="180" w:after="180"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第五章 毽球运动员的体能训练（2学时）</w:t>
      </w:r>
    </w:p>
    <w:p w14:paraId="15D7447D"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b/>
          <w:sz w:val="24"/>
        </w:rPr>
        <w:t>本章主要教学内容：</w:t>
      </w:r>
    </w:p>
    <w:p w14:paraId="7E6B3EC1" w14:textId="77777777" w:rsidR="00D554C2" w:rsidRPr="00D554C2" w:rsidRDefault="00D554C2" w:rsidP="00D554C2">
      <w:pPr>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 xml:space="preserve"> 5.1  </w:t>
      </w:r>
      <w:r w:rsidRPr="00D554C2">
        <w:rPr>
          <w:rFonts w:ascii="Calibri" w:eastAsia="宋体" w:hAnsi="Calibri" w:cs="Times New Roman" w:hint="eastAsia"/>
          <w:sz w:val="24"/>
        </w:rPr>
        <w:t>柔韧性训练</w:t>
      </w:r>
    </w:p>
    <w:p w14:paraId="73538006" w14:textId="77777777" w:rsidR="00D554C2" w:rsidRPr="00D554C2" w:rsidRDefault="00D554C2" w:rsidP="00D554C2">
      <w:pPr>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 xml:space="preserve"> 5.2</w:t>
      </w:r>
      <w:r w:rsidRPr="00D554C2">
        <w:rPr>
          <w:rFonts w:ascii="Calibri" w:eastAsia="宋体" w:hAnsi="Calibri" w:cs="Times New Roman" w:hint="eastAsia"/>
          <w:sz w:val="24"/>
        </w:rPr>
        <w:t>动作速度</w:t>
      </w:r>
    </w:p>
    <w:p w14:paraId="65636794" w14:textId="77777777" w:rsidR="00D554C2" w:rsidRPr="00D554C2" w:rsidRDefault="00D554C2" w:rsidP="00D554C2">
      <w:pPr>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 xml:space="preserve"> </w:t>
      </w:r>
      <w:r w:rsidRPr="00D554C2">
        <w:rPr>
          <w:rFonts w:ascii="Calibri" w:eastAsia="宋体" w:hAnsi="Calibri" w:cs="Times New Roman"/>
          <w:b/>
          <w:sz w:val="24"/>
        </w:rPr>
        <w:t>本章教学目的及要求：</w:t>
      </w:r>
      <w:r w:rsidRPr="00D554C2">
        <w:rPr>
          <w:rFonts w:ascii="Calibri" w:eastAsia="宋体" w:hAnsi="Calibri" w:cs="Times New Roman" w:hint="eastAsia"/>
          <w:sz w:val="24"/>
        </w:rPr>
        <w:t>通过练习提高学生毽球运动基本运动能力，掌握提高柔韧性和动作速度的练习方法。</w:t>
      </w:r>
    </w:p>
    <w:p w14:paraId="31898D48" w14:textId="77777777" w:rsidR="00D554C2" w:rsidRPr="00D554C2" w:rsidRDefault="00D554C2" w:rsidP="00D554C2">
      <w:pPr>
        <w:spacing w:line="500" w:lineRule="exact"/>
        <w:ind w:firstLineChars="200" w:firstLine="482"/>
        <w:rPr>
          <w:rFonts w:ascii="宋体" w:eastAsia="宋体" w:hAnsi="宋体" w:cs="Times New Roman"/>
          <w:b/>
          <w:sz w:val="28"/>
          <w:szCs w:val="28"/>
        </w:rPr>
      </w:pPr>
      <w:r w:rsidRPr="00D554C2">
        <w:rPr>
          <w:rFonts w:ascii="Calibri" w:eastAsia="宋体" w:hAnsi="Calibri" w:cs="Times New Roman" w:hint="eastAsia"/>
          <w:b/>
          <w:sz w:val="24"/>
        </w:rPr>
        <w:t xml:space="preserve"> </w:t>
      </w:r>
      <w:r w:rsidRPr="00D554C2">
        <w:rPr>
          <w:rFonts w:ascii="Calibri" w:eastAsia="宋体" w:hAnsi="Calibri" w:cs="Times New Roman" w:hint="eastAsia"/>
          <w:b/>
          <w:sz w:val="24"/>
        </w:rPr>
        <w:t>本章教学重点及难点</w:t>
      </w:r>
      <w:r w:rsidRPr="00D554C2">
        <w:rPr>
          <w:rFonts w:ascii="Calibri" w:eastAsia="宋体" w:hAnsi="Calibri" w:cs="Times New Roman" w:hint="eastAsia"/>
          <w:sz w:val="24"/>
        </w:rPr>
        <w:t>：摆腿动作速度、移动速度</w:t>
      </w:r>
    </w:p>
    <w:p w14:paraId="04FDC7F2" w14:textId="77777777" w:rsidR="00D554C2" w:rsidRPr="00D554C2" w:rsidRDefault="00D554C2" w:rsidP="00D554C2">
      <w:pPr>
        <w:spacing w:line="500" w:lineRule="exact"/>
        <w:ind w:firstLineChars="200" w:firstLine="562"/>
        <w:rPr>
          <w:rFonts w:ascii="Calibri" w:eastAsia="宋体" w:hAnsi="Calibri" w:cs="Times New Roman"/>
          <w:b/>
          <w:sz w:val="28"/>
          <w:szCs w:val="28"/>
        </w:rPr>
      </w:pPr>
      <w:r w:rsidRPr="00D554C2">
        <w:rPr>
          <w:rFonts w:ascii="宋体" w:eastAsia="宋体" w:hAnsi="宋体" w:cs="Times New Roman" w:hint="eastAsia"/>
          <w:b/>
          <w:sz w:val="28"/>
          <w:szCs w:val="28"/>
        </w:rPr>
        <w:t xml:space="preserve">           第六章  </w:t>
      </w:r>
      <w:r w:rsidRPr="00D554C2">
        <w:rPr>
          <w:rFonts w:ascii="Calibri" w:eastAsia="宋体" w:hAnsi="Calibri" w:cs="Times New Roman" w:hint="eastAsia"/>
          <w:b/>
          <w:sz w:val="28"/>
          <w:szCs w:val="28"/>
        </w:rPr>
        <w:t xml:space="preserve"> </w:t>
      </w:r>
      <w:r w:rsidRPr="00D554C2">
        <w:rPr>
          <w:rFonts w:ascii="Calibri" w:eastAsia="宋体" w:hAnsi="Calibri" w:cs="Times New Roman" w:hint="eastAsia"/>
          <w:b/>
          <w:sz w:val="28"/>
          <w:szCs w:val="28"/>
        </w:rPr>
        <w:t>毽球的竞赛及裁判工作（</w:t>
      </w:r>
      <w:r w:rsidRPr="00D554C2">
        <w:rPr>
          <w:rFonts w:ascii="Calibri" w:eastAsia="宋体" w:hAnsi="Calibri" w:cs="Times New Roman" w:hint="eastAsia"/>
          <w:b/>
          <w:sz w:val="28"/>
          <w:szCs w:val="28"/>
        </w:rPr>
        <w:t>2</w:t>
      </w:r>
      <w:r w:rsidRPr="00D554C2">
        <w:rPr>
          <w:rFonts w:ascii="Calibri" w:eastAsia="宋体" w:hAnsi="Calibri" w:cs="Times New Roman" w:hint="eastAsia"/>
          <w:b/>
          <w:sz w:val="28"/>
          <w:szCs w:val="28"/>
        </w:rPr>
        <w:t>学时）</w:t>
      </w:r>
    </w:p>
    <w:p w14:paraId="16EC38A7"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7F4618CF" w14:textId="77777777" w:rsidR="00D554C2" w:rsidRPr="00D554C2" w:rsidRDefault="00D554C2" w:rsidP="00D554C2">
      <w:pPr>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 xml:space="preserve"> 6.1  </w:t>
      </w:r>
      <w:r w:rsidRPr="00D554C2">
        <w:rPr>
          <w:rFonts w:ascii="Calibri" w:eastAsia="宋体" w:hAnsi="Calibri" w:cs="Times New Roman" w:hint="eastAsia"/>
          <w:sz w:val="24"/>
        </w:rPr>
        <w:t>毽球的竞赛工作</w:t>
      </w:r>
    </w:p>
    <w:p w14:paraId="3F32BB9B" w14:textId="77777777" w:rsidR="00D554C2" w:rsidRPr="00D554C2" w:rsidRDefault="00D554C2" w:rsidP="00D554C2">
      <w:pPr>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 xml:space="preserve"> 6.2  </w:t>
      </w:r>
      <w:r w:rsidRPr="00D554C2">
        <w:rPr>
          <w:rFonts w:ascii="Calibri" w:eastAsia="宋体" w:hAnsi="Calibri" w:cs="Times New Roman" w:hint="eastAsia"/>
          <w:sz w:val="24"/>
        </w:rPr>
        <w:t>毽球的裁判工作</w:t>
      </w:r>
    </w:p>
    <w:p w14:paraId="1853ED45" w14:textId="77777777" w:rsidR="00D554C2" w:rsidRPr="00D554C2" w:rsidRDefault="00D554C2" w:rsidP="00D554C2">
      <w:pPr>
        <w:spacing w:line="500" w:lineRule="exact"/>
        <w:ind w:firstLineChars="200" w:firstLine="482"/>
        <w:rPr>
          <w:rFonts w:ascii="Calibri" w:eastAsia="宋体" w:hAnsi="Calibri" w:cs="Times New Roman"/>
          <w:sz w:val="24"/>
        </w:rPr>
      </w:pPr>
      <w:r w:rsidRPr="00D554C2">
        <w:rPr>
          <w:rFonts w:ascii="Calibri" w:eastAsia="宋体" w:hAnsi="Calibri" w:cs="Times New Roman" w:hint="eastAsia"/>
          <w:b/>
          <w:sz w:val="24"/>
        </w:rPr>
        <w:t xml:space="preserve"> </w:t>
      </w:r>
      <w:r w:rsidRPr="00D554C2">
        <w:rPr>
          <w:rFonts w:ascii="Calibri" w:eastAsia="宋体" w:hAnsi="Calibri" w:cs="Times New Roman"/>
          <w:b/>
          <w:sz w:val="24"/>
        </w:rPr>
        <w:t>本章教学目的及要求：</w:t>
      </w:r>
      <w:r w:rsidRPr="00D554C2">
        <w:rPr>
          <w:rFonts w:ascii="Calibri" w:eastAsia="宋体" w:hAnsi="Calibri" w:cs="Times New Roman" w:hint="eastAsia"/>
          <w:sz w:val="24"/>
        </w:rPr>
        <w:t>通过学习使学生基本掌握毽球竞赛制度、编排方法及成绩计算方法，了解主要竞赛规则、裁判员的哨言和手势，裁判员之间的配合。</w:t>
      </w:r>
    </w:p>
    <w:p w14:paraId="66C2403D" w14:textId="77777777" w:rsidR="00D554C2" w:rsidRPr="00D554C2" w:rsidRDefault="00D554C2" w:rsidP="00D554C2">
      <w:pPr>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 xml:space="preserve"> </w:t>
      </w:r>
      <w:r w:rsidRPr="00D554C2">
        <w:rPr>
          <w:rFonts w:ascii="Calibri" w:eastAsia="宋体" w:hAnsi="Calibri" w:cs="Times New Roman"/>
          <w:b/>
          <w:sz w:val="24"/>
        </w:rPr>
        <w:t>本章教学重点及难点：</w:t>
      </w:r>
      <w:r w:rsidRPr="00D554C2">
        <w:rPr>
          <w:rFonts w:ascii="Calibri" w:eastAsia="宋体" w:hAnsi="Calibri" w:cs="Times New Roman" w:hint="eastAsia"/>
          <w:sz w:val="24"/>
        </w:rPr>
        <w:t>毽球竞赛规则和成绩计算方法裁判员的哨言和手势。</w:t>
      </w:r>
    </w:p>
    <w:p w14:paraId="45274BA3" w14:textId="77777777" w:rsidR="00D554C2" w:rsidRPr="00D554C2" w:rsidRDefault="00D554C2" w:rsidP="00D554C2">
      <w:pPr>
        <w:spacing w:line="440" w:lineRule="exact"/>
        <w:ind w:firstLineChars="200" w:firstLine="482"/>
        <w:rPr>
          <w:rFonts w:ascii="宋体" w:eastAsia="宋体" w:hAnsi="宋体" w:cs="Times New Roman"/>
          <w:color w:val="FF0000"/>
          <w:sz w:val="24"/>
        </w:rPr>
      </w:pPr>
      <w:r w:rsidRPr="00D554C2">
        <w:rPr>
          <w:rFonts w:ascii="宋体" w:eastAsia="宋体" w:hAnsi="宋体" w:cs="Times New Roman" w:hint="eastAsia"/>
          <w:b/>
          <w:bCs/>
          <w:sz w:val="24"/>
        </w:rPr>
        <w:t>【实施方式】</w:t>
      </w:r>
    </w:p>
    <w:p w14:paraId="0F8D8023"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室外实践课程</w:t>
      </w:r>
    </w:p>
    <w:p w14:paraId="427982FA" w14:textId="77777777" w:rsidR="00D554C2" w:rsidRPr="00D554C2" w:rsidRDefault="00D554C2" w:rsidP="00D554C2">
      <w:pPr>
        <w:spacing w:line="44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【学习要求】</w:t>
      </w:r>
    </w:p>
    <w:p w14:paraId="4AA27681" w14:textId="77777777" w:rsidR="00D554C2" w:rsidRPr="00D554C2" w:rsidRDefault="00D554C2" w:rsidP="00D554C2">
      <w:pPr>
        <w:spacing w:line="440" w:lineRule="exact"/>
        <w:ind w:firstLineChars="200" w:firstLine="480"/>
        <w:rPr>
          <w:rFonts w:ascii="宋体" w:eastAsia="宋体" w:hAnsi="宋体" w:cs="Times New Roman"/>
          <w:b/>
          <w:sz w:val="24"/>
        </w:rPr>
      </w:pPr>
      <w:r w:rsidRPr="00D554C2">
        <w:rPr>
          <w:rFonts w:ascii="宋体" w:eastAsia="宋体" w:hAnsi="宋体" w:cs="Times New Roman" w:hint="eastAsia"/>
          <w:sz w:val="24"/>
        </w:rPr>
        <w:t>1</w:t>
      </w:r>
      <w:r w:rsidRPr="00D554C2">
        <w:rPr>
          <w:rFonts w:ascii="宋体" w:eastAsia="宋体" w:hAnsi="宋体" w:cs="Times New Roman"/>
          <w:sz w:val="24"/>
        </w:rPr>
        <w:t xml:space="preserve">. </w:t>
      </w:r>
      <w:r w:rsidRPr="00D554C2">
        <w:rPr>
          <w:rFonts w:ascii="宋体" w:eastAsia="宋体" w:hAnsi="宋体" w:cs="Times New Roman" w:hint="eastAsia"/>
          <w:sz w:val="24"/>
        </w:rPr>
        <w:t>了解大学体育课程的性质和授课方式，学分情况和进行网上选项课，开设的15门选项课程，课堂常识和安全注意事项。</w:t>
      </w:r>
    </w:p>
    <w:p w14:paraId="55A909DB"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2.掌握《大学生体质健康标准测试》 项目内容，评分标准和平时练习和如何提</w:t>
      </w:r>
      <w:r w:rsidRPr="00D554C2">
        <w:rPr>
          <w:rFonts w:ascii="宋体" w:eastAsia="宋体" w:hAnsi="宋体" w:cs="Times New Roman" w:hint="eastAsia"/>
          <w:sz w:val="24"/>
        </w:rPr>
        <w:lastRenderedPageBreak/>
        <w:t>高成绩的科学锻炼方式方法。理解申请</w:t>
      </w:r>
      <w:proofErr w:type="gramStart"/>
      <w:r w:rsidRPr="00D554C2">
        <w:rPr>
          <w:rFonts w:ascii="宋体" w:eastAsia="宋体" w:hAnsi="宋体" w:cs="Times New Roman" w:hint="eastAsia"/>
          <w:sz w:val="24"/>
        </w:rPr>
        <w:t>缓测免</w:t>
      </w:r>
      <w:proofErr w:type="gramEnd"/>
      <w:r w:rsidRPr="00D554C2">
        <w:rPr>
          <w:rFonts w:ascii="宋体" w:eastAsia="宋体" w:hAnsi="宋体" w:cs="Times New Roman" w:hint="eastAsia"/>
          <w:sz w:val="24"/>
        </w:rPr>
        <w:t>测的申请流程以及掌握测验时间。</w:t>
      </w:r>
    </w:p>
    <w:p w14:paraId="50EBEBFA"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3</w:t>
      </w:r>
      <w:r w:rsidRPr="00D554C2">
        <w:rPr>
          <w:rFonts w:ascii="宋体" w:eastAsia="宋体" w:hAnsi="宋体" w:cs="Times New Roman"/>
          <w:sz w:val="24"/>
        </w:rPr>
        <w:t>.</w:t>
      </w:r>
      <w:r w:rsidRPr="00D554C2">
        <w:rPr>
          <w:rFonts w:ascii="宋体" w:eastAsia="宋体" w:hAnsi="宋体" w:cs="Times New Roman" w:hint="eastAsia"/>
          <w:sz w:val="24"/>
        </w:rPr>
        <w:t>运用毽球基础课程</w:t>
      </w:r>
    </w:p>
    <w:p w14:paraId="05C8B25C" w14:textId="77777777" w:rsidR="00D554C2" w:rsidRPr="00D554C2" w:rsidRDefault="00D554C2" w:rsidP="00D554C2">
      <w:pPr>
        <w:spacing w:line="440" w:lineRule="exact"/>
        <w:ind w:firstLineChars="200" w:firstLine="482"/>
        <w:rPr>
          <w:rFonts w:ascii="宋体" w:eastAsia="宋体" w:hAnsi="宋体" w:cs="Times New Roman"/>
          <w:sz w:val="24"/>
        </w:rPr>
      </w:pPr>
      <w:r w:rsidRPr="00D554C2">
        <w:rPr>
          <w:rFonts w:ascii="宋体" w:eastAsia="宋体" w:hAnsi="宋体" w:cs="Times New Roman" w:hint="eastAsia"/>
          <w:b/>
          <w:sz w:val="24"/>
        </w:rPr>
        <w:t>【实践要求】</w:t>
      </w:r>
    </w:p>
    <w:p w14:paraId="7F6F3368"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1.实践属性：综合训练型</w:t>
      </w:r>
    </w:p>
    <w:p w14:paraId="681421A1"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2.工作流程：开始部分，准备部分，基本部分，结束部分</w:t>
      </w:r>
    </w:p>
    <w:p w14:paraId="675AF946"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3.分组要求：自然班和选项班，不超过45人。</w:t>
      </w:r>
    </w:p>
    <w:p w14:paraId="2819DFD4"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03AC82FD"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5.时间安排：每周2学时</w:t>
      </w:r>
    </w:p>
    <w:p w14:paraId="0C29D584"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6.其他要求：</w:t>
      </w:r>
    </w:p>
    <w:p w14:paraId="3BF0E5DF" w14:textId="77777777" w:rsidR="00D554C2" w:rsidRPr="00D554C2" w:rsidRDefault="00D554C2" w:rsidP="00D554C2">
      <w:pPr>
        <w:spacing w:beforeLines="50" w:before="156" w:afterLines="50" w:after="156" w:line="440" w:lineRule="exact"/>
        <w:ind w:left="561"/>
        <w:rPr>
          <w:rFonts w:ascii="仿宋" w:eastAsia="仿宋" w:hAnsi="仿宋" w:cs="Times New Roman"/>
          <w:sz w:val="24"/>
        </w:rPr>
      </w:pPr>
      <w:r w:rsidRPr="00D554C2">
        <w:rPr>
          <w:rFonts w:ascii="黑体" w:eastAsia="黑体" w:hAnsi="黑体" w:cs="Times New Roman" w:hint="eastAsia"/>
          <w:sz w:val="28"/>
          <w:szCs w:val="28"/>
        </w:rPr>
        <w:t>（二）课程学习内容与课程学习目标的对应关系</w:t>
      </w:r>
      <w:r w:rsidRPr="00D554C2">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D554C2" w:rsidRPr="00D554C2" w14:paraId="2051BD0E" w14:textId="77777777" w:rsidTr="009B4CAE">
        <w:trPr>
          <w:trHeight w:val="660"/>
          <w:jc w:val="center"/>
        </w:trPr>
        <w:tc>
          <w:tcPr>
            <w:tcW w:w="3403" w:type="dxa"/>
            <w:vAlign w:val="center"/>
          </w:tcPr>
          <w:p w14:paraId="23AF6957" w14:textId="77777777" w:rsidR="00D554C2" w:rsidRPr="00D554C2" w:rsidRDefault="00D554C2" w:rsidP="00D554C2">
            <w:pPr>
              <w:spacing w:line="440" w:lineRule="exact"/>
              <w:jc w:val="center"/>
              <w:rPr>
                <w:rFonts w:ascii="宋体" w:eastAsia="宋体" w:hAnsi="宋体" w:cs="Times New Roman"/>
                <w:b/>
                <w:bCs/>
                <w:sz w:val="24"/>
              </w:rPr>
            </w:pPr>
            <w:r w:rsidRPr="00D554C2">
              <w:rPr>
                <w:rFonts w:ascii="宋体" w:eastAsia="宋体" w:hAnsi="宋体" w:cs="Times New Roman" w:hint="eastAsia"/>
                <w:b/>
                <w:bCs/>
                <w:sz w:val="24"/>
              </w:rPr>
              <w:t>实践内容</w:t>
            </w:r>
          </w:p>
        </w:tc>
        <w:tc>
          <w:tcPr>
            <w:tcW w:w="2693" w:type="dxa"/>
            <w:vAlign w:val="center"/>
          </w:tcPr>
          <w:p w14:paraId="1B68F378" w14:textId="77777777" w:rsidR="00D554C2" w:rsidRPr="00D554C2" w:rsidRDefault="00D554C2" w:rsidP="00D554C2">
            <w:pPr>
              <w:spacing w:line="440" w:lineRule="exact"/>
              <w:jc w:val="center"/>
              <w:rPr>
                <w:rFonts w:ascii="宋体" w:eastAsia="宋体" w:hAnsi="宋体" w:cs="Times New Roman"/>
                <w:b/>
                <w:bCs/>
                <w:sz w:val="24"/>
              </w:rPr>
            </w:pPr>
            <w:r w:rsidRPr="00D554C2">
              <w:rPr>
                <w:rFonts w:ascii="宋体" w:eastAsia="宋体" w:hAnsi="宋体" w:cs="Times New Roman" w:hint="eastAsia"/>
                <w:b/>
                <w:bCs/>
                <w:sz w:val="24"/>
              </w:rPr>
              <w:t>实施方式</w:t>
            </w:r>
          </w:p>
        </w:tc>
        <w:tc>
          <w:tcPr>
            <w:tcW w:w="1985" w:type="dxa"/>
            <w:vAlign w:val="center"/>
          </w:tcPr>
          <w:p w14:paraId="2450F34D" w14:textId="77777777" w:rsidR="00D554C2" w:rsidRPr="00D554C2" w:rsidRDefault="00D554C2" w:rsidP="00D554C2">
            <w:pPr>
              <w:spacing w:line="440" w:lineRule="exact"/>
              <w:jc w:val="center"/>
              <w:rPr>
                <w:rFonts w:ascii="宋体" w:eastAsia="宋体" w:hAnsi="宋体" w:cs="Times New Roman"/>
                <w:b/>
                <w:bCs/>
                <w:sz w:val="24"/>
              </w:rPr>
            </w:pPr>
            <w:r w:rsidRPr="00D554C2">
              <w:rPr>
                <w:rFonts w:ascii="宋体" w:eastAsia="宋体" w:hAnsi="宋体" w:cs="Times New Roman" w:hint="eastAsia"/>
                <w:b/>
                <w:bCs/>
                <w:sz w:val="24"/>
              </w:rPr>
              <w:t>支撑的课程目标</w:t>
            </w:r>
          </w:p>
        </w:tc>
        <w:tc>
          <w:tcPr>
            <w:tcW w:w="1276" w:type="dxa"/>
            <w:vAlign w:val="center"/>
          </w:tcPr>
          <w:p w14:paraId="509286FF" w14:textId="77777777" w:rsidR="00D554C2" w:rsidRPr="00D554C2" w:rsidRDefault="00D554C2" w:rsidP="00D554C2">
            <w:pPr>
              <w:spacing w:line="440" w:lineRule="exact"/>
              <w:jc w:val="center"/>
              <w:rPr>
                <w:rFonts w:ascii="宋体" w:eastAsia="宋体" w:hAnsi="宋体" w:cs="Times New Roman"/>
                <w:b/>
                <w:bCs/>
                <w:sz w:val="24"/>
              </w:rPr>
            </w:pPr>
            <w:r w:rsidRPr="00D554C2">
              <w:rPr>
                <w:rFonts w:ascii="宋体" w:eastAsia="宋体" w:hAnsi="宋体" w:cs="Times New Roman" w:hint="eastAsia"/>
                <w:b/>
                <w:bCs/>
                <w:sz w:val="24"/>
              </w:rPr>
              <w:t>学时安排</w:t>
            </w:r>
          </w:p>
        </w:tc>
      </w:tr>
      <w:tr w:rsidR="00D554C2" w:rsidRPr="00D554C2" w14:paraId="50021FA1" w14:textId="77777777" w:rsidTr="009B4CAE">
        <w:trPr>
          <w:trHeight w:val="514"/>
          <w:jc w:val="center"/>
        </w:trPr>
        <w:tc>
          <w:tcPr>
            <w:tcW w:w="3403" w:type="dxa"/>
            <w:vAlign w:val="center"/>
          </w:tcPr>
          <w:p w14:paraId="7ACE8272"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学习内容</w:t>
            </w:r>
            <w:proofErr w:type="gramStart"/>
            <w:r w:rsidRPr="00D554C2">
              <w:rPr>
                <w:rFonts w:ascii="宋体" w:eastAsia="宋体" w:hAnsi="宋体" w:cs="Times New Roman" w:hint="eastAsia"/>
                <w:sz w:val="24"/>
              </w:rPr>
              <w:t>一</w:t>
            </w:r>
            <w:proofErr w:type="gramEnd"/>
            <w:r w:rsidRPr="00D554C2">
              <w:rPr>
                <w:rFonts w:ascii="宋体" w:eastAsia="宋体" w:hAnsi="宋体" w:cs="Times New Roman" w:hint="eastAsia"/>
                <w:sz w:val="24"/>
              </w:rPr>
              <w:t xml:space="preserve"> 体能+</w:t>
            </w:r>
            <w:r w:rsidRPr="00D554C2">
              <w:rPr>
                <w:rFonts w:ascii="宋体" w:eastAsia="宋体" w:hAnsi="宋体" w:cs="仿宋_GB2312" w:hint="eastAsia"/>
                <w:sz w:val="24"/>
              </w:rPr>
              <w:t>毽球</w:t>
            </w:r>
            <w:r w:rsidRPr="00D554C2">
              <w:rPr>
                <w:rFonts w:ascii="宋体" w:eastAsia="宋体" w:hAnsi="宋体" w:cs="Times New Roman" w:hint="eastAsia"/>
                <w:sz w:val="24"/>
              </w:rPr>
              <w:t xml:space="preserve"> </w:t>
            </w:r>
          </w:p>
          <w:p w14:paraId="5F6F50BD" w14:textId="77777777" w:rsidR="00D554C2" w:rsidRPr="00D554C2" w:rsidRDefault="00D554C2" w:rsidP="00D554C2">
            <w:pPr>
              <w:spacing w:line="440" w:lineRule="exact"/>
              <w:jc w:val="center"/>
              <w:rPr>
                <w:rFonts w:ascii="宋体" w:eastAsia="宋体" w:hAnsi="宋体" w:cs="Times New Roman"/>
                <w:sz w:val="24"/>
              </w:rPr>
            </w:pPr>
          </w:p>
        </w:tc>
        <w:tc>
          <w:tcPr>
            <w:tcW w:w="2693" w:type="dxa"/>
            <w:vAlign w:val="center"/>
          </w:tcPr>
          <w:p w14:paraId="4C795048"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利用</w:t>
            </w:r>
            <w:proofErr w:type="gramStart"/>
            <w:r w:rsidRPr="00D554C2">
              <w:rPr>
                <w:rFonts w:ascii="宋体" w:eastAsia="宋体" w:hAnsi="宋体" w:cs="Times New Roman" w:hint="eastAsia"/>
                <w:sz w:val="24"/>
              </w:rPr>
              <w:t>微信平台</w:t>
            </w:r>
            <w:proofErr w:type="gramEnd"/>
            <w:r w:rsidRPr="00D554C2">
              <w:rPr>
                <w:rFonts w:ascii="宋体" w:eastAsia="宋体" w:hAnsi="宋体" w:cs="Times New Roman" w:hint="eastAsia"/>
                <w:sz w:val="24"/>
              </w:rPr>
              <w:t>；讲解法、示范法；练习法；小组合作学习</w:t>
            </w:r>
          </w:p>
        </w:tc>
        <w:tc>
          <w:tcPr>
            <w:tcW w:w="1985" w:type="dxa"/>
            <w:vAlign w:val="center"/>
          </w:tcPr>
          <w:p w14:paraId="6509AA07"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课程</w:t>
            </w:r>
            <w:r w:rsidRPr="00D554C2">
              <w:rPr>
                <w:rFonts w:ascii="宋体" w:eastAsia="宋体" w:hAnsi="宋体" w:cs="Times New Roman"/>
                <w:sz w:val="24"/>
              </w:rPr>
              <w:t>目标</w:t>
            </w:r>
            <w:r w:rsidRPr="00D554C2">
              <w:rPr>
                <w:rFonts w:ascii="宋体" w:eastAsia="宋体" w:hAnsi="宋体" w:cs="Times New Roman" w:hint="eastAsia"/>
                <w:sz w:val="24"/>
              </w:rPr>
              <w:t>1、2、3</w:t>
            </w:r>
          </w:p>
        </w:tc>
        <w:tc>
          <w:tcPr>
            <w:tcW w:w="1276" w:type="dxa"/>
            <w:vAlign w:val="center"/>
          </w:tcPr>
          <w:p w14:paraId="3ECCC082"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32</w:t>
            </w:r>
          </w:p>
        </w:tc>
      </w:tr>
      <w:tr w:rsidR="00D554C2" w:rsidRPr="00D554C2" w14:paraId="6A46D27B" w14:textId="77777777" w:rsidTr="009B4CAE">
        <w:trPr>
          <w:trHeight w:val="90"/>
          <w:jc w:val="center"/>
        </w:trPr>
        <w:tc>
          <w:tcPr>
            <w:tcW w:w="3403" w:type="dxa"/>
            <w:vAlign w:val="center"/>
          </w:tcPr>
          <w:p w14:paraId="7C844C9C"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 xml:space="preserve">学习内容二 </w:t>
            </w:r>
            <w:r w:rsidRPr="00D554C2">
              <w:rPr>
                <w:rFonts w:ascii="宋体" w:eastAsia="宋体" w:hAnsi="宋体" w:cs="仿宋_GB2312" w:hint="eastAsia"/>
                <w:sz w:val="24"/>
              </w:rPr>
              <w:t>毽球</w:t>
            </w:r>
            <w:r w:rsidRPr="00D554C2">
              <w:rPr>
                <w:rFonts w:ascii="宋体" w:eastAsia="宋体" w:hAnsi="宋体" w:cs="Times New Roman" w:hint="eastAsia"/>
                <w:sz w:val="24"/>
              </w:rPr>
              <w:t xml:space="preserve">1 </w:t>
            </w:r>
          </w:p>
          <w:p w14:paraId="7A7BF6CD" w14:textId="77777777" w:rsidR="00D554C2" w:rsidRPr="00D554C2" w:rsidRDefault="00D554C2" w:rsidP="00D554C2">
            <w:pPr>
              <w:spacing w:line="440" w:lineRule="exact"/>
              <w:jc w:val="center"/>
              <w:rPr>
                <w:rFonts w:ascii="宋体" w:eastAsia="宋体" w:hAnsi="宋体" w:cs="Times New Roman"/>
                <w:sz w:val="24"/>
              </w:rPr>
            </w:pPr>
          </w:p>
        </w:tc>
        <w:tc>
          <w:tcPr>
            <w:tcW w:w="2693" w:type="dxa"/>
            <w:vAlign w:val="center"/>
          </w:tcPr>
          <w:p w14:paraId="00B819AD"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利用</w:t>
            </w:r>
            <w:proofErr w:type="gramStart"/>
            <w:r w:rsidRPr="00D554C2">
              <w:rPr>
                <w:rFonts w:ascii="宋体" w:eastAsia="宋体" w:hAnsi="宋体" w:cs="Times New Roman" w:hint="eastAsia"/>
                <w:sz w:val="24"/>
              </w:rPr>
              <w:t>微信平台</w:t>
            </w:r>
            <w:proofErr w:type="gramEnd"/>
            <w:r w:rsidRPr="00D554C2">
              <w:rPr>
                <w:rFonts w:ascii="宋体" w:eastAsia="宋体" w:hAnsi="宋体" w:cs="Times New Roman" w:hint="eastAsia"/>
                <w:sz w:val="24"/>
              </w:rPr>
              <w:t>；讲解法、示范法；练习法；小组合作学习</w:t>
            </w:r>
          </w:p>
        </w:tc>
        <w:tc>
          <w:tcPr>
            <w:tcW w:w="1985" w:type="dxa"/>
            <w:vAlign w:val="center"/>
          </w:tcPr>
          <w:p w14:paraId="31BDB76C"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课程</w:t>
            </w:r>
            <w:r w:rsidRPr="00D554C2">
              <w:rPr>
                <w:rFonts w:ascii="宋体" w:eastAsia="宋体" w:hAnsi="宋体" w:cs="Times New Roman"/>
                <w:sz w:val="24"/>
              </w:rPr>
              <w:t>目标</w:t>
            </w:r>
            <w:r w:rsidRPr="00D554C2">
              <w:rPr>
                <w:rFonts w:ascii="宋体" w:eastAsia="宋体" w:hAnsi="宋体" w:cs="Times New Roman" w:hint="eastAsia"/>
                <w:sz w:val="24"/>
              </w:rPr>
              <w:t>1、2、3</w:t>
            </w:r>
          </w:p>
        </w:tc>
        <w:tc>
          <w:tcPr>
            <w:tcW w:w="1276" w:type="dxa"/>
            <w:vAlign w:val="center"/>
          </w:tcPr>
          <w:p w14:paraId="56327F34"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32</w:t>
            </w:r>
          </w:p>
        </w:tc>
      </w:tr>
      <w:tr w:rsidR="00D554C2" w:rsidRPr="00D554C2" w14:paraId="7980511F" w14:textId="77777777" w:rsidTr="009B4CAE">
        <w:trPr>
          <w:jc w:val="center"/>
        </w:trPr>
        <w:tc>
          <w:tcPr>
            <w:tcW w:w="3403" w:type="dxa"/>
            <w:vAlign w:val="center"/>
          </w:tcPr>
          <w:p w14:paraId="3A05A016"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 xml:space="preserve">学习内容三 </w:t>
            </w:r>
            <w:r w:rsidRPr="00D554C2">
              <w:rPr>
                <w:rFonts w:ascii="宋体" w:eastAsia="宋体" w:hAnsi="宋体" w:cs="仿宋_GB2312" w:hint="eastAsia"/>
                <w:sz w:val="24"/>
              </w:rPr>
              <w:t>毽球</w:t>
            </w:r>
            <w:r w:rsidRPr="00D554C2">
              <w:rPr>
                <w:rFonts w:ascii="宋体" w:eastAsia="宋体" w:hAnsi="宋体" w:cs="Times New Roman" w:hint="eastAsia"/>
                <w:sz w:val="24"/>
              </w:rPr>
              <w:t xml:space="preserve"> 2</w:t>
            </w:r>
          </w:p>
          <w:p w14:paraId="04DB38F3" w14:textId="77777777" w:rsidR="00D554C2" w:rsidRPr="00D554C2" w:rsidRDefault="00D554C2" w:rsidP="00D554C2">
            <w:pPr>
              <w:spacing w:line="440" w:lineRule="exact"/>
              <w:jc w:val="center"/>
              <w:rPr>
                <w:rFonts w:ascii="宋体" w:eastAsia="宋体" w:hAnsi="宋体" w:cs="Times New Roman"/>
                <w:sz w:val="24"/>
              </w:rPr>
            </w:pPr>
          </w:p>
        </w:tc>
        <w:tc>
          <w:tcPr>
            <w:tcW w:w="2693" w:type="dxa"/>
            <w:vAlign w:val="center"/>
          </w:tcPr>
          <w:p w14:paraId="6924644B"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利用</w:t>
            </w:r>
            <w:proofErr w:type="gramStart"/>
            <w:r w:rsidRPr="00D554C2">
              <w:rPr>
                <w:rFonts w:ascii="宋体" w:eastAsia="宋体" w:hAnsi="宋体" w:cs="Times New Roman" w:hint="eastAsia"/>
                <w:sz w:val="24"/>
              </w:rPr>
              <w:t>微信平台</w:t>
            </w:r>
            <w:proofErr w:type="gramEnd"/>
            <w:r w:rsidRPr="00D554C2">
              <w:rPr>
                <w:rFonts w:ascii="宋体" w:eastAsia="宋体" w:hAnsi="宋体" w:cs="Times New Roman" w:hint="eastAsia"/>
                <w:sz w:val="24"/>
              </w:rPr>
              <w:t>；讲解法、示范法；练习法；小组合作学习</w:t>
            </w:r>
          </w:p>
        </w:tc>
        <w:tc>
          <w:tcPr>
            <w:tcW w:w="1985" w:type="dxa"/>
            <w:vAlign w:val="center"/>
          </w:tcPr>
          <w:p w14:paraId="34287CEB"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课程</w:t>
            </w:r>
            <w:r w:rsidRPr="00D554C2">
              <w:rPr>
                <w:rFonts w:ascii="宋体" w:eastAsia="宋体" w:hAnsi="宋体" w:cs="Times New Roman"/>
                <w:sz w:val="24"/>
              </w:rPr>
              <w:t>目标</w:t>
            </w:r>
            <w:r w:rsidRPr="00D554C2">
              <w:rPr>
                <w:rFonts w:ascii="宋体" w:eastAsia="宋体" w:hAnsi="宋体" w:cs="Times New Roman" w:hint="eastAsia"/>
                <w:sz w:val="24"/>
              </w:rPr>
              <w:t>1、2、3</w:t>
            </w:r>
          </w:p>
        </w:tc>
        <w:tc>
          <w:tcPr>
            <w:tcW w:w="1276" w:type="dxa"/>
            <w:vAlign w:val="center"/>
          </w:tcPr>
          <w:p w14:paraId="104D1DE3"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32</w:t>
            </w:r>
          </w:p>
        </w:tc>
      </w:tr>
      <w:tr w:rsidR="00D554C2" w:rsidRPr="00D554C2" w14:paraId="6E15FFE1" w14:textId="77777777" w:rsidTr="009B4CAE">
        <w:trPr>
          <w:jc w:val="center"/>
        </w:trPr>
        <w:tc>
          <w:tcPr>
            <w:tcW w:w="3403" w:type="dxa"/>
            <w:vAlign w:val="center"/>
          </w:tcPr>
          <w:p w14:paraId="4AB5134A"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 xml:space="preserve">学习内容四 </w:t>
            </w:r>
            <w:r w:rsidRPr="00D554C2">
              <w:rPr>
                <w:rFonts w:ascii="宋体" w:eastAsia="宋体" w:hAnsi="宋体" w:cs="仿宋_GB2312" w:hint="eastAsia"/>
                <w:sz w:val="24"/>
              </w:rPr>
              <w:t>毽球</w:t>
            </w:r>
            <w:r w:rsidRPr="00D554C2">
              <w:rPr>
                <w:rFonts w:ascii="宋体" w:eastAsia="宋体" w:hAnsi="宋体" w:cs="Times New Roman" w:hint="eastAsia"/>
                <w:sz w:val="24"/>
              </w:rPr>
              <w:t xml:space="preserve"> 3</w:t>
            </w:r>
          </w:p>
          <w:p w14:paraId="1FB1CFA2" w14:textId="77777777" w:rsidR="00D554C2" w:rsidRPr="00D554C2" w:rsidRDefault="00D554C2" w:rsidP="00D554C2">
            <w:pPr>
              <w:spacing w:line="440" w:lineRule="exact"/>
              <w:jc w:val="center"/>
              <w:rPr>
                <w:rFonts w:ascii="宋体" w:eastAsia="宋体" w:hAnsi="宋体" w:cs="Times New Roman"/>
                <w:sz w:val="24"/>
              </w:rPr>
            </w:pPr>
          </w:p>
        </w:tc>
        <w:tc>
          <w:tcPr>
            <w:tcW w:w="2693" w:type="dxa"/>
            <w:vAlign w:val="center"/>
          </w:tcPr>
          <w:p w14:paraId="037733DA"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利用</w:t>
            </w:r>
            <w:proofErr w:type="gramStart"/>
            <w:r w:rsidRPr="00D554C2">
              <w:rPr>
                <w:rFonts w:ascii="宋体" w:eastAsia="宋体" w:hAnsi="宋体" w:cs="Times New Roman" w:hint="eastAsia"/>
                <w:sz w:val="24"/>
              </w:rPr>
              <w:t>微信平台</w:t>
            </w:r>
            <w:proofErr w:type="gramEnd"/>
            <w:r w:rsidRPr="00D554C2">
              <w:rPr>
                <w:rFonts w:ascii="宋体" w:eastAsia="宋体" w:hAnsi="宋体" w:cs="Times New Roman" w:hint="eastAsia"/>
                <w:sz w:val="24"/>
              </w:rPr>
              <w:t>；讲解法、示范法；练习法；小组合作学习</w:t>
            </w:r>
          </w:p>
        </w:tc>
        <w:tc>
          <w:tcPr>
            <w:tcW w:w="1985" w:type="dxa"/>
            <w:vAlign w:val="center"/>
          </w:tcPr>
          <w:p w14:paraId="0F0CD5F0"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课程</w:t>
            </w:r>
            <w:r w:rsidRPr="00D554C2">
              <w:rPr>
                <w:rFonts w:ascii="宋体" w:eastAsia="宋体" w:hAnsi="宋体" w:cs="Times New Roman"/>
                <w:sz w:val="24"/>
              </w:rPr>
              <w:t>目标</w:t>
            </w:r>
            <w:r w:rsidRPr="00D554C2">
              <w:rPr>
                <w:rFonts w:ascii="宋体" w:eastAsia="宋体" w:hAnsi="宋体" w:cs="Times New Roman" w:hint="eastAsia"/>
                <w:sz w:val="24"/>
              </w:rPr>
              <w:t>1、2、3</w:t>
            </w:r>
          </w:p>
        </w:tc>
        <w:tc>
          <w:tcPr>
            <w:tcW w:w="1276" w:type="dxa"/>
            <w:vAlign w:val="center"/>
          </w:tcPr>
          <w:p w14:paraId="7A782450"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32</w:t>
            </w:r>
          </w:p>
        </w:tc>
      </w:tr>
      <w:tr w:rsidR="00D554C2" w:rsidRPr="00D554C2" w14:paraId="16454CA7" w14:textId="77777777" w:rsidTr="009B4CAE">
        <w:trPr>
          <w:jc w:val="center"/>
        </w:trPr>
        <w:tc>
          <w:tcPr>
            <w:tcW w:w="8081" w:type="dxa"/>
            <w:gridSpan w:val="3"/>
            <w:vAlign w:val="center"/>
          </w:tcPr>
          <w:p w14:paraId="5D064D74"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合计</w:t>
            </w:r>
          </w:p>
        </w:tc>
        <w:tc>
          <w:tcPr>
            <w:tcW w:w="1276" w:type="dxa"/>
            <w:vAlign w:val="center"/>
          </w:tcPr>
          <w:p w14:paraId="55D63893"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128</w:t>
            </w:r>
          </w:p>
        </w:tc>
      </w:tr>
    </w:tbl>
    <w:p w14:paraId="7B9A4FB2" w14:textId="77777777" w:rsidR="00D554C2" w:rsidRPr="00D554C2" w:rsidRDefault="00D554C2" w:rsidP="00D554C2">
      <w:pPr>
        <w:spacing w:beforeLines="50" w:before="156" w:afterLines="50" w:after="156" w:line="440" w:lineRule="exact"/>
        <w:ind w:firstLineChars="200" w:firstLine="560"/>
        <w:rPr>
          <w:rFonts w:ascii="宋体" w:eastAsia="宋体" w:hAnsi="宋体" w:cs="Times New Roman"/>
          <w:sz w:val="24"/>
        </w:rPr>
      </w:pPr>
      <w:r w:rsidRPr="00D554C2">
        <w:rPr>
          <w:rFonts w:ascii="黑体" w:eastAsia="黑体" w:hAnsi="黑体" w:cs="Times New Roman" w:hint="eastAsia"/>
          <w:sz w:val="28"/>
          <w:szCs w:val="28"/>
        </w:rPr>
        <w:t>四、课程考核及与课程学习目标的对应关系</w:t>
      </w:r>
    </w:p>
    <w:p w14:paraId="69F0663C"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D554C2" w:rsidRPr="00D554C2" w14:paraId="424C6761" w14:textId="77777777" w:rsidTr="009B4CAE">
        <w:trPr>
          <w:trHeight w:val="515"/>
          <w:jc w:val="center"/>
        </w:trPr>
        <w:tc>
          <w:tcPr>
            <w:tcW w:w="1422" w:type="dxa"/>
          </w:tcPr>
          <w:p w14:paraId="468EEE54"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lastRenderedPageBreak/>
              <w:t>课程目标</w:t>
            </w:r>
          </w:p>
        </w:tc>
        <w:tc>
          <w:tcPr>
            <w:tcW w:w="5376" w:type="dxa"/>
            <w:vAlign w:val="center"/>
          </w:tcPr>
          <w:p w14:paraId="7459E0E2"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考核内容</w:t>
            </w:r>
          </w:p>
        </w:tc>
        <w:tc>
          <w:tcPr>
            <w:tcW w:w="2542" w:type="dxa"/>
            <w:vAlign w:val="center"/>
          </w:tcPr>
          <w:p w14:paraId="37152C2C"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考核方式</w:t>
            </w:r>
          </w:p>
        </w:tc>
      </w:tr>
      <w:tr w:rsidR="00D554C2" w:rsidRPr="00D554C2" w14:paraId="44D41B64" w14:textId="77777777" w:rsidTr="009B4CAE">
        <w:trPr>
          <w:jc w:val="center"/>
        </w:trPr>
        <w:tc>
          <w:tcPr>
            <w:tcW w:w="1422" w:type="dxa"/>
            <w:vAlign w:val="center"/>
          </w:tcPr>
          <w:p w14:paraId="0826D473" w14:textId="77777777" w:rsidR="00D554C2" w:rsidRPr="00D554C2" w:rsidRDefault="00D554C2" w:rsidP="00D554C2">
            <w:pPr>
              <w:spacing w:line="440" w:lineRule="exact"/>
              <w:jc w:val="center"/>
              <w:rPr>
                <w:rFonts w:ascii="宋体" w:eastAsia="宋体" w:hAnsi="宋体" w:cs="Times New Roman"/>
                <w:bCs/>
                <w:sz w:val="24"/>
              </w:rPr>
            </w:pPr>
            <w:r w:rsidRPr="00D554C2">
              <w:rPr>
                <w:rFonts w:ascii="宋体" w:eastAsia="宋体" w:hAnsi="宋体" w:cs="Times New Roman" w:hint="eastAsia"/>
                <w:bCs/>
                <w:sz w:val="24"/>
              </w:rPr>
              <w:t>课程目标1、2、3</w:t>
            </w:r>
          </w:p>
        </w:tc>
        <w:tc>
          <w:tcPr>
            <w:tcW w:w="5376" w:type="dxa"/>
            <w:vAlign w:val="center"/>
          </w:tcPr>
          <w:p w14:paraId="54B0FBF2"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大学生体质健康标准测试</w:t>
            </w:r>
          </w:p>
        </w:tc>
        <w:tc>
          <w:tcPr>
            <w:tcW w:w="2542" w:type="dxa"/>
            <w:vAlign w:val="center"/>
          </w:tcPr>
          <w:p w14:paraId="24BE4749" w14:textId="77777777" w:rsidR="00D554C2" w:rsidRPr="00D554C2" w:rsidRDefault="00D554C2" w:rsidP="00D554C2">
            <w:pPr>
              <w:widowControl/>
              <w:jc w:val="left"/>
              <w:rPr>
                <w:rFonts w:ascii="宋体" w:eastAsia="宋体" w:hAnsi="宋体" w:cs="Times New Roman"/>
                <w:bCs/>
                <w:sz w:val="24"/>
              </w:rPr>
            </w:pPr>
          </w:p>
          <w:p w14:paraId="32C1833A"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随堂技术考核</w:t>
            </w:r>
          </w:p>
        </w:tc>
      </w:tr>
      <w:tr w:rsidR="00D554C2" w:rsidRPr="00D554C2" w14:paraId="7943B8D9" w14:textId="77777777" w:rsidTr="009B4CAE">
        <w:trPr>
          <w:jc w:val="center"/>
        </w:trPr>
        <w:tc>
          <w:tcPr>
            <w:tcW w:w="1422" w:type="dxa"/>
            <w:vAlign w:val="center"/>
          </w:tcPr>
          <w:p w14:paraId="182BA492" w14:textId="77777777" w:rsidR="00D554C2" w:rsidRPr="00D554C2" w:rsidRDefault="00D554C2" w:rsidP="00D554C2">
            <w:pPr>
              <w:spacing w:line="440" w:lineRule="exact"/>
              <w:jc w:val="center"/>
              <w:rPr>
                <w:rFonts w:ascii="宋体" w:eastAsia="宋体" w:hAnsi="宋体" w:cs="Times New Roman"/>
                <w:bCs/>
                <w:sz w:val="24"/>
              </w:rPr>
            </w:pPr>
            <w:r w:rsidRPr="00D554C2">
              <w:rPr>
                <w:rFonts w:ascii="宋体" w:eastAsia="宋体" w:hAnsi="宋体" w:cs="Times New Roman" w:hint="eastAsia"/>
                <w:bCs/>
                <w:sz w:val="24"/>
              </w:rPr>
              <w:t>课程目标3</w:t>
            </w:r>
          </w:p>
        </w:tc>
        <w:tc>
          <w:tcPr>
            <w:tcW w:w="5376" w:type="dxa"/>
            <w:vAlign w:val="center"/>
          </w:tcPr>
          <w:p w14:paraId="5D553553"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立定跳远</w:t>
            </w:r>
          </w:p>
        </w:tc>
        <w:tc>
          <w:tcPr>
            <w:tcW w:w="2542" w:type="dxa"/>
            <w:vAlign w:val="center"/>
          </w:tcPr>
          <w:p w14:paraId="28EBAB83" w14:textId="77777777" w:rsidR="00D554C2" w:rsidRPr="00D554C2" w:rsidRDefault="00D554C2" w:rsidP="00D554C2">
            <w:pPr>
              <w:widowControl/>
              <w:jc w:val="left"/>
              <w:rPr>
                <w:rFonts w:ascii="宋体" w:eastAsia="宋体" w:hAnsi="宋体" w:cs="Times New Roman"/>
                <w:bCs/>
                <w:sz w:val="24"/>
              </w:rPr>
            </w:pPr>
          </w:p>
          <w:p w14:paraId="741F8BD1"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随堂技术考核</w:t>
            </w:r>
          </w:p>
        </w:tc>
      </w:tr>
      <w:tr w:rsidR="00D554C2" w:rsidRPr="00D554C2" w14:paraId="5CA74670" w14:textId="77777777" w:rsidTr="009B4CAE">
        <w:trPr>
          <w:jc w:val="center"/>
        </w:trPr>
        <w:tc>
          <w:tcPr>
            <w:tcW w:w="1422" w:type="dxa"/>
            <w:vAlign w:val="center"/>
          </w:tcPr>
          <w:p w14:paraId="36175AA3" w14:textId="77777777" w:rsidR="00D554C2" w:rsidRPr="00D554C2" w:rsidRDefault="00D554C2" w:rsidP="00D554C2">
            <w:pPr>
              <w:spacing w:line="440" w:lineRule="exact"/>
              <w:jc w:val="center"/>
              <w:rPr>
                <w:rFonts w:ascii="宋体" w:eastAsia="宋体" w:hAnsi="宋体" w:cs="Times New Roman"/>
                <w:bCs/>
                <w:sz w:val="24"/>
              </w:rPr>
            </w:pPr>
            <w:r w:rsidRPr="00D554C2">
              <w:rPr>
                <w:rFonts w:ascii="宋体" w:eastAsia="宋体" w:hAnsi="宋体" w:cs="Times New Roman" w:hint="eastAsia"/>
                <w:bCs/>
                <w:sz w:val="24"/>
              </w:rPr>
              <w:t>课程目标3</w:t>
            </w:r>
          </w:p>
        </w:tc>
        <w:tc>
          <w:tcPr>
            <w:tcW w:w="5376" w:type="dxa"/>
            <w:vAlign w:val="center"/>
          </w:tcPr>
          <w:p w14:paraId="38FCF828" w14:textId="77777777" w:rsidR="00D554C2" w:rsidRPr="00D554C2" w:rsidRDefault="00D554C2" w:rsidP="00D554C2">
            <w:pPr>
              <w:spacing w:line="500" w:lineRule="exact"/>
              <w:rPr>
                <w:rFonts w:ascii="宋体" w:eastAsia="宋体" w:hAnsi="宋体" w:cs="Times New Roman"/>
                <w:bCs/>
                <w:sz w:val="24"/>
              </w:rPr>
            </w:pPr>
            <w:r w:rsidRPr="00D554C2">
              <w:rPr>
                <w:rFonts w:ascii="宋体" w:eastAsia="宋体" w:hAnsi="宋体" w:cs="宋体" w:hint="eastAsia"/>
                <w:sz w:val="24"/>
              </w:rPr>
              <w:t>脚内侧踢球技术、两人对踢球技术、发球和接发球技术。</w:t>
            </w:r>
          </w:p>
        </w:tc>
        <w:tc>
          <w:tcPr>
            <w:tcW w:w="2542" w:type="dxa"/>
            <w:vAlign w:val="center"/>
          </w:tcPr>
          <w:p w14:paraId="5BC8E14F" w14:textId="77777777" w:rsidR="00D554C2" w:rsidRPr="00D554C2" w:rsidRDefault="00D554C2" w:rsidP="00D554C2">
            <w:pPr>
              <w:widowControl/>
              <w:jc w:val="left"/>
              <w:rPr>
                <w:rFonts w:ascii="宋体" w:eastAsia="宋体" w:hAnsi="宋体" w:cs="Times New Roman"/>
                <w:bCs/>
                <w:sz w:val="24"/>
              </w:rPr>
            </w:pPr>
          </w:p>
          <w:p w14:paraId="4478782E"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随堂技术考核</w:t>
            </w:r>
          </w:p>
        </w:tc>
      </w:tr>
      <w:tr w:rsidR="00D554C2" w:rsidRPr="00D554C2" w14:paraId="5ACA70A7" w14:textId="77777777" w:rsidTr="009B4CAE">
        <w:trPr>
          <w:jc w:val="center"/>
        </w:trPr>
        <w:tc>
          <w:tcPr>
            <w:tcW w:w="1422" w:type="dxa"/>
            <w:vAlign w:val="center"/>
          </w:tcPr>
          <w:p w14:paraId="18462CB4" w14:textId="77777777" w:rsidR="00D554C2" w:rsidRPr="00D554C2" w:rsidRDefault="00D554C2" w:rsidP="00D554C2">
            <w:pPr>
              <w:spacing w:line="440" w:lineRule="exact"/>
              <w:jc w:val="center"/>
              <w:rPr>
                <w:rFonts w:ascii="宋体" w:eastAsia="宋体" w:hAnsi="宋体" w:cs="Times New Roman"/>
                <w:bCs/>
                <w:sz w:val="24"/>
              </w:rPr>
            </w:pPr>
            <w:r w:rsidRPr="00D554C2">
              <w:rPr>
                <w:rFonts w:ascii="宋体" w:eastAsia="宋体" w:hAnsi="宋体" w:cs="Times New Roman" w:hint="eastAsia"/>
                <w:bCs/>
                <w:sz w:val="24"/>
              </w:rPr>
              <w:t>课程目标3</w:t>
            </w:r>
          </w:p>
        </w:tc>
        <w:tc>
          <w:tcPr>
            <w:tcW w:w="5376" w:type="dxa"/>
            <w:vAlign w:val="center"/>
          </w:tcPr>
          <w:p w14:paraId="572DAC16"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仿宋_GB2312" w:hint="eastAsia"/>
                <w:sz w:val="24"/>
              </w:rPr>
              <w:t>毽球技术和技能拓展以及延伸</w:t>
            </w:r>
          </w:p>
        </w:tc>
        <w:tc>
          <w:tcPr>
            <w:tcW w:w="2542" w:type="dxa"/>
            <w:vAlign w:val="center"/>
          </w:tcPr>
          <w:p w14:paraId="0E2FB8C3" w14:textId="77777777" w:rsidR="00D554C2" w:rsidRPr="00D554C2" w:rsidRDefault="00D554C2" w:rsidP="00D554C2">
            <w:pPr>
              <w:widowControl/>
              <w:jc w:val="left"/>
              <w:rPr>
                <w:rFonts w:ascii="宋体" w:eastAsia="宋体" w:hAnsi="宋体" w:cs="Times New Roman"/>
                <w:bCs/>
                <w:sz w:val="24"/>
              </w:rPr>
            </w:pPr>
            <w:r w:rsidRPr="00D554C2">
              <w:rPr>
                <w:rFonts w:ascii="宋体" w:eastAsia="宋体" w:hAnsi="宋体" w:cs="Times New Roman" w:hint="eastAsia"/>
                <w:bCs/>
                <w:sz w:val="24"/>
              </w:rPr>
              <w:t>随堂技术考核</w:t>
            </w:r>
          </w:p>
          <w:p w14:paraId="57CFD27A" w14:textId="77777777" w:rsidR="00D554C2" w:rsidRPr="00D554C2" w:rsidRDefault="00D554C2" w:rsidP="00D554C2">
            <w:pPr>
              <w:spacing w:line="440" w:lineRule="exact"/>
              <w:rPr>
                <w:rFonts w:ascii="宋体" w:eastAsia="宋体" w:hAnsi="宋体" w:cs="Times New Roman"/>
                <w:bCs/>
                <w:sz w:val="24"/>
              </w:rPr>
            </w:pPr>
          </w:p>
        </w:tc>
      </w:tr>
    </w:tbl>
    <w:p w14:paraId="2350AACF"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（二）课程目标达成评价方式及考核比例</w:t>
      </w:r>
    </w:p>
    <w:p w14:paraId="68B58F81"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毽球课程</w:t>
      </w:r>
      <w:proofErr w:type="gramStart"/>
      <w:r w:rsidRPr="00D554C2">
        <w:rPr>
          <w:rFonts w:ascii="宋体" w:eastAsia="宋体" w:hAnsi="宋体" w:cs="Times New Roman" w:hint="eastAsia"/>
          <w:sz w:val="24"/>
        </w:rPr>
        <w:t>1、2、3、4每</w:t>
      </w:r>
      <w:proofErr w:type="gramEnd"/>
      <w:r w:rsidRPr="00D554C2">
        <w:rPr>
          <w:rFonts w:ascii="宋体" w:eastAsia="宋体" w:hAnsi="宋体" w:cs="Times New Roman" w:hint="eastAsia"/>
          <w:sz w:val="24"/>
        </w:rPr>
        <w:t>学期考核方式及成绩比例为：课堂表现20%</w:t>
      </w:r>
      <w:r w:rsidRPr="00D554C2">
        <w:rPr>
          <w:rFonts w:ascii="宋体" w:eastAsia="宋体" w:hAnsi="宋体" w:cs="Times New Roman"/>
          <w:sz w:val="24"/>
        </w:rPr>
        <w:t>+</w:t>
      </w:r>
      <w:r w:rsidRPr="00D554C2">
        <w:rPr>
          <w:rFonts w:ascii="宋体" w:eastAsia="宋体" w:hAnsi="宋体" w:cs="Times New Roman" w:hint="eastAsia"/>
          <w:sz w:val="24"/>
        </w:rPr>
        <w:t>期中考核30%</w:t>
      </w:r>
      <w:r w:rsidRPr="00D554C2">
        <w:rPr>
          <w:rFonts w:ascii="宋体" w:eastAsia="宋体" w:hAnsi="宋体" w:cs="Times New Roman"/>
          <w:sz w:val="24"/>
        </w:rPr>
        <w:t>+</w:t>
      </w:r>
      <w:r w:rsidRPr="00D554C2">
        <w:rPr>
          <w:rFonts w:ascii="宋体" w:eastAsia="宋体" w:hAnsi="宋体" w:cs="Times New Roman" w:hint="eastAsia"/>
          <w:sz w:val="24"/>
        </w:rPr>
        <w:t>课期</w:t>
      </w:r>
      <w:proofErr w:type="gramStart"/>
      <w:r w:rsidRPr="00D554C2">
        <w:rPr>
          <w:rFonts w:ascii="宋体" w:eastAsia="宋体" w:hAnsi="宋体" w:cs="Times New Roman" w:hint="eastAsia"/>
          <w:sz w:val="24"/>
        </w:rPr>
        <w:t>末考试</w:t>
      </w:r>
      <w:proofErr w:type="gramEnd"/>
      <w:r w:rsidRPr="00D554C2">
        <w:rPr>
          <w:rFonts w:ascii="宋体" w:eastAsia="宋体" w:hAnsi="宋体" w:cs="Times New Roman" w:hint="eastAsia"/>
          <w:sz w:val="24"/>
        </w:rPr>
        <w:t>5</w:t>
      </w:r>
      <w:r w:rsidRPr="00D554C2">
        <w:rPr>
          <w:rFonts w:ascii="宋体" w:eastAsia="宋体" w:hAnsi="宋体" w:cs="Times New Roman"/>
          <w:sz w:val="24"/>
        </w:rPr>
        <w:t>0</w:t>
      </w:r>
      <w:r w:rsidRPr="00D554C2">
        <w:rPr>
          <w:rFonts w:ascii="宋体" w:eastAsia="宋体" w:hAnsi="宋体" w:cs="Times New Roman" w:hint="eastAsia"/>
          <w:sz w:val="24"/>
        </w:rPr>
        <w:t>%；本课程共有三个课程目标，考核方式及成绩比例分别为：</w:t>
      </w:r>
    </w:p>
    <w:p w14:paraId="184F2C92"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课程目标1：课堂表现5%</w:t>
      </w:r>
      <w:r w:rsidRPr="00D554C2">
        <w:rPr>
          <w:rFonts w:ascii="宋体" w:eastAsia="宋体" w:hAnsi="宋体" w:cs="Times New Roman"/>
          <w:sz w:val="24"/>
        </w:rPr>
        <w:t>+</w:t>
      </w:r>
      <w:r w:rsidRPr="00D554C2">
        <w:rPr>
          <w:rFonts w:ascii="宋体" w:eastAsia="宋体" w:hAnsi="宋体" w:cs="Times New Roman" w:hint="eastAsia"/>
          <w:sz w:val="24"/>
        </w:rPr>
        <w:t>阶段测试10%</w:t>
      </w:r>
      <w:r w:rsidRPr="00D554C2">
        <w:rPr>
          <w:rFonts w:ascii="宋体" w:eastAsia="宋体" w:hAnsi="宋体" w:cs="Times New Roman"/>
          <w:sz w:val="24"/>
        </w:rPr>
        <w:t>+</w:t>
      </w:r>
      <w:r w:rsidRPr="00D554C2">
        <w:rPr>
          <w:rFonts w:ascii="宋体" w:eastAsia="宋体" w:hAnsi="宋体" w:cs="Times New Roman" w:hint="eastAsia"/>
          <w:sz w:val="24"/>
        </w:rPr>
        <w:t>期末考试20%</w:t>
      </w:r>
    </w:p>
    <w:p w14:paraId="306D9550"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课程目标2：课堂表现10%</w:t>
      </w:r>
      <w:r w:rsidRPr="00D554C2">
        <w:rPr>
          <w:rFonts w:ascii="宋体" w:eastAsia="宋体" w:hAnsi="宋体" w:cs="Times New Roman"/>
          <w:sz w:val="24"/>
        </w:rPr>
        <w:t>+</w:t>
      </w:r>
      <w:r w:rsidRPr="00D554C2">
        <w:rPr>
          <w:rFonts w:ascii="宋体" w:eastAsia="宋体" w:hAnsi="宋体" w:cs="Times New Roman" w:hint="eastAsia"/>
          <w:sz w:val="24"/>
        </w:rPr>
        <w:t>阶段测试10%</w:t>
      </w:r>
      <w:r w:rsidRPr="00D554C2">
        <w:rPr>
          <w:rFonts w:ascii="宋体" w:eastAsia="宋体" w:hAnsi="宋体" w:cs="Times New Roman"/>
          <w:sz w:val="24"/>
        </w:rPr>
        <w:t>+</w:t>
      </w:r>
      <w:r w:rsidRPr="00D554C2">
        <w:rPr>
          <w:rFonts w:ascii="宋体" w:eastAsia="宋体" w:hAnsi="宋体" w:cs="Times New Roman" w:hint="eastAsia"/>
          <w:sz w:val="24"/>
        </w:rPr>
        <w:t>期末考试20%</w:t>
      </w:r>
    </w:p>
    <w:p w14:paraId="7705E158"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课程目标3：课堂表现5%</w:t>
      </w:r>
      <w:r w:rsidRPr="00D554C2">
        <w:rPr>
          <w:rFonts w:ascii="宋体" w:eastAsia="宋体" w:hAnsi="宋体" w:cs="Times New Roman"/>
          <w:sz w:val="24"/>
        </w:rPr>
        <w:t>+</w:t>
      </w:r>
      <w:r w:rsidRPr="00D554C2">
        <w:rPr>
          <w:rFonts w:ascii="宋体" w:eastAsia="宋体" w:hAnsi="宋体" w:cs="Times New Roman" w:hint="eastAsia"/>
          <w:sz w:val="24"/>
        </w:rPr>
        <w:t>阶段测试10%</w:t>
      </w:r>
      <w:r w:rsidRPr="00D554C2">
        <w:rPr>
          <w:rFonts w:ascii="宋体" w:eastAsia="宋体" w:hAnsi="宋体" w:cs="Times New Roman"/>
          <w:sz w:val="24"/>
        </w:rPr>
        <w:t>+</w:t>
      </w:r>
      <w:r w:rsidRPr="00D554C2">
        <w:rPr>
          <w:rFonts w:ascii="宋体" w:eastAsia="宋体" w:hAnsi="宋体" w:cs="Times New Roman" w:hint="eastAsia"/>
          <w:sz w:val="24"/>
        </w:rPr>
        <w:t>期末考试10%</w:t>
      </w:r>
    </w:p>
    <w:p w14:paraId="37A2F185"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D554C2" w:rsidRPr="00D554C2" w14:paraId="7901CAB9" w14:textId="77777777" w:rsidTr="009B4CAE">
        <w:trPr>
          <w:trHeight w:val="540"/>
          <w:jc w:val="center"/>
        </w:trPr>
        <w:tc>
          <w:tcPr>
            <w:tcW w:w="1422" w:type="dxa"/>
            <w:vMerge w:val="restart"/>
            <w:vAlign w:val="center"/>
          </w:tcPr>
          <w:p w14:paraId="01183B3C"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课程目标</w:t>
            </w:r>
          </w:p>
        </w:tc>
        <w:tc>
          <w:tcPr>
            <w:tcW w:w="6271" w:type="dxa"/>
            <w:gridSpan w:val="4"/>
            <w:vAlign w:val="center"/>
          </w:tcPr>
          <w:p w14:paraId="19A51DF4"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考核方式及成绩比例（%）</w:t>
            </w:r>
          </w:p>
        </w:tc>
        <w:tc>
          <w:tcPr>
            <w:tcW w:w="1559" w:type="dxa"/>
            <w:vMerge w:val="restart"/>
            <w:vAlign w:val="center"/>
          </w:tcPr>
          <w:p w14:paraId="6E7AD31C"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合计</w:t>
            </w:r>
          </w:p>
        </w:tc>
      </w:tr>
      <w:tr w:rsidR="00D554C2" w:rsidRPr="00D554C2" w14:paraId="5CA3B6CC" w14:textId="77777777" w:rsidTr="009B4CAE">
        <w:trPr>
          <w:trHeight w:val="578"/>
          <w:jc w:val="center"/>
        </w:trPr>
        <w:tc>
          <w:tcPr>
            <w:tcW w:w="1422" w:type="dxa"/>
            <w:vMerge/>
            <w:vAlign w:val="center"/>
          </w:tcPr>
          <w:p w14:paraId="54CB12DE" w14:textId="77777777" w:rsidR="00D554C2" w:rsidRPr="00D554C2" w:rsidRDefault="00D554C2" w:rsidP="00D554C2">
            <w:pPr>
              <w:spacing w:line="440" w:lineRule="exact"/>
              <w:rPr>
                <w:rFonts w:ascii="宋体" w:eastAsia="宋体" w:hAnsi="宋体" w:cs="Times New Roman"/>
                <w:b/>
                <w:sz w:val="24"/>
              </w:rPr>
            </w:pPr>
          </w:p>
        </w:tc>
        <w:tc>
          <w:tcPr>
            <w:tcW w:w="1452" w:type="dxa"/>
            <w:vAlign w:val="center"/>
          </w:tcPr>
          <w:p w14:paraId="0D9FABA3"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课堂表现</w:t>
            </w:r>
          </w:p>
        </w:tc>
        <w:tc>
          <w:tcPr>
            <w:tcW w:w="1559" w:type="dxa"/>
            <w:vAlign w:val="center"/>
          </w:tcPr>
          <w:p w14:paraId="41884FA7"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阶段测试</w:t>
            </w:r>
          </w:p>
        </w:tc>
        <w:tc>
          <w:tcPr>
            <w:tcW w:w="1701" w:type="dxa"/>
            <w:vAlign w:val="center"/>
          </w:tcPr>
          <w:p w14:paraId="25647F6E"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课程论文</w:t>
            </w:r>
          </w:p>
        </w:tc>
        <w:tc>
          <w:tcPr>
            <w:tcW w:w="1559" w:type="dxa"/>
            <w:vAlign w:val="center"/>
          </w:tcPr>
          <w:p w14:paraId="1B79568F"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期末考试</w:t>
            </w:r>
          </w:p>
        </w:tc>
        <w:tc>
          <w:tcPr>
            <w:tcW w:w="1559" w:type="dxa"/>
            <w:vMerge/>
          </w:tcPr>
          <w:p w14:paraId="18FA7D40" w14:textId="77777777" w:rsidR="00D554C2" w:rsidRPr="00D554C2" w:rsidRDefault="00D554C2" w:rsidP="00D554C2">
            <w:pPr>
              <w:spacing w:line="440" w:lineRule="exact"/>
              <w:rPr>
                <w:rFonts w:ascii="宋体" w:eastAsia="宋体" w:hAnsi="宋体" w:cs="Times New Roman"/>
                <w:b/>
                <w:sz w:val="24"/>
              </w:rPr>
            </w:pPr>
          </w:p>
        </w:tc>
      </w:tr>
      <w:tr w:rsidR="00D554C2" w:rsidRPr="00D554C2" w14:paraId="2459E362" w14:textId="77777777" w:rsidTr="009B4CAE">
        <w:trPr>
          <w:jc w:val="center"/>
        </w:trPr>
        <w:tc>
          <w:tcPr>
            <w:tcW w:w="1422" w:type="dxa"/>
            <w:vAlign w:val="center"/>
          </w:tcPr>
          <w:p w14:paraId="0FA892F1"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课程目标1</w:t>
            </w:r>
          </w:p>
        </w:tc>
        <w:tc>
          <w:tcPr>
            <w:tcW w:w="1452" w:type="dxa"/>
            <w:vAlign w:val="center"/>
          </w:tcPr>
          <w:p w14:paraId="5119F16E"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5</w:t>
            </w:r>
          </w:p>
        </w:tc>
        <w:tc>
          <w:tcPr>
            <w:tcW w:w="1559" w:type="dxa"/>
            <w:vAlign w:val="center"/>
          </w:tcPr>
          <w:p w14:paraId="6B4FE68B"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10</w:t>
            </w:r>
          </w:p>
        </w:tc>
        <w:tc>
          <w:tcPr>
            <w:tcW w:w="1701" w:type="dxa"/>
            <w:vAlign w:val="center"/>
          </w:tcPr>
          <w:p w14:paraId="734C5DAD" w14:textId="77777777" w:rsidR="00D554C2" w:rsidRPr="00D554C2" w:rsidRDefault="00D554C2" w:rsidP="00D554C2">
            <w:pPr>
              <w:spacing w:line="440" w:lineRule="exact"/>
              <w:rPr>
                <w:rFonts w:ascii="宋体" w:eastAsia="宋体" w:hAnsi="宋体" w:cs="Times New Roman"/>
                <w:bCs/>
                <w:sz w:val="24"/>
              </w:rPr>
            </w:pPr>
          </w:p>
        </w:tc>
        <w:tc>
          <w:tcPr>
            <w:tcW w:w="1559" w:type="dxa"/>
            <w:vAlign w:val="center"/>
          </w:tcPr>
          <w:p w14:paraId="53B2A75D"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20</w:t>
            </w:r>
          </w:p>
        </w:tc>
        <w:tc>
          <w:tcPr>
            <w:tcW w:w="1559" w:type="dxa"/>
          </w:tcPr>
          <w:p w14:paraId="07CB7BD2"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35</w:t>
            </w:r>
          </w:p>
        </w:tc>
      </w:tr>
      <w:tr w:rsidR="00D554C2" w:rsidRPr="00D554C2" w14:paraId="0DDC49A5" w14:textId="77777777" w:rsidTr="009B4CAE">
        <w:trPr>
          <w:jc w:val="center"/>
        </w:trPr>
        <w:tc>
          <w:tcPr>
            <w:tcW w:w="1422" w:type="dxa"/>
            <w:vAlign w:val="center"/>
          </w:tcPr>
          <w:p w14:paraId="2774F401"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课程目标2</w:t>
            </w:r>
          </w:p>
        </w:tc>
        <w:tc>
          <w:tcPr>
            <w:tcW w:w="1452" w:type="dxa"/>
            <w:vAlign w:val="center"/>
          </w:tcPr>
          <w:p w14:paraId="4CC19631"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10</w:t>
            </w:r>
          </w:p>
        </w:tc>
        <w:tc>
          <w:tcPr>
            <w:tcW w:w="1559" w:type="dxa"/>
            <w:vAlign w:val="center"/>
          </w:tcPr>
          <w:p w14:paraId="39ABA8BF"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10</w:t>
            </w:r>
          </w:p>
        </w:tc>
        <w:tc>
          <w:tcPr>
            <w:tcW w:w="1701" w:type="dxa"/>
            <w:vAlign w:val="center"/>
          </w:tcPr>
          <w:p w14:paraId="09758427" w14:textId="77777777" w:rsidR="00D554C2" w:rsidRPr="00D554C2" w:rsidRDefault="00D554C2" w:rsidP="00D554C2">
            <w:pPr>
              <w:spacing w:line="440" w:lineRule="exact"/>
              <w:rPr>
                <w:rFonts w:ascii="宋体" w:eastAsia="宋体" w:hAnsi="宋体" w:cs="Times New Roman"/>
                <w:bCs/>
                <w:sz w:val="24"/>
              </w:rPr>
            </w:pPr>
          </w:p>
        </w:tc>
        <w:tc>
          <w:tcPr>
            <w:tcW w:w="1559" w:type="dxa"/>
            <w:vAlign w:val="center"/>
          </w:tcPr>
          <w:p w14:paraId="7C5B7AB2"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20</w:t>
            </w:r>
          </w:p>
        </w:tc>
        <w:tc>
          <w:tcPr>
            <w:tcW w:w="1559" w:type="dxa"/>
          </w:tcPr>
          <w:p w14:paraId="5C7EF726"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40</w:t>
            </w:r>
          </w:p>
        </w:tc>
      </w:tr>
      <w:tr w:rsidR="00D554C2" w:rsidRPr="00D554C2" w14:paraId="0FF8F726" w14:textId="77777777" w:rsidTr="009B4CAE">
        <w:trPr>
          <w:jc w:val="center"/>
        </w:trPr>
        <w:tc>
          <w:tcPr>
            <w:tcW w:w="1422" w:type="dxa"/>
            <w:vAlign w:val="center"/>
          </w:tcPr>
          <w:p w14:paraId="5701F470"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课程目标3</w:t>
            </w:r>
          </w:p>
        </w:tc>
        <w:tc>
          <w:tcPr>
            <w:tcW w:w="1452" w:type="dxa"/>
            <w:vAlign w:val="center"/>
          </w:tcPr>
          <w:p w14:paraId="010B610E"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5</w:t>
            </w:r>
          </w:p>
        </w:tc>
        <w:tc>
          <w:tcPr>
            <w:tcW w:w="1559" w:type="dxa"/>
            <w:vAlign w:val="center"/>
          </w:tcPr>
          <w:p w14:paraId="2C970CEF"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10</w:t>
            </w:r>
          </w:p>
        </w:tc>
        <w:tc>
          <w:tcPr>
            <w:tcW w:w="1701" w:type="dxa"/>
            <w:vAlign w:val="center"/>
          </w:tcPr>
          <w:p w14:paraId="39D8052B" w14:textId="77777777" w:rsidR="00D554C2" w:rsidRPr="00D554C2" w:rsidRDefault="00D554C2" w:rsidP="00D554C2">
            <w:pPr>
              <w:spacing w:line="440" w:lineRule="exact"/>
              <w:rPr>
                <w:rFonts w:ascii="宋体" w:eastAsia="宋体" w:hAnsi="宋体" w:cs="Times New Roman"/>
                <w:bCs/>
                <w:sz w:val="24"/>
              </w:rPr>
            </w:pPr>
          </w:p>
        </w:tc>
        <w:tc>
          <w:tcPr>
            <w:tcW w:w="1559" w:type="dxa"/>
            <w:vAlign w:val="center"/>
          </w:tcPr>
          <w:p w14:paraId="2F4B0785"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10</w:t>
            </w:r>
          </w:p>
        </w:tc>
        <w:tc>
          <w:tcPr>
            <w:tcW w:w="1559" w:type="dxa"/>
          </w:tcPr>
          <w:p w14:paraId="6C6C40A5"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25</w:t>
            </w:r>
          </w:p>
        </w:tc>
      </w:tr>
      <w:tr w:rsidR="00D554C2" w:rsidRPr="00D554C2" w14:paraId="3EAFD8AC" w14:textId="77777777" w:rsidTr="009B4CAE">
        <w:trPr>
          <w:jc w:val="center"/>
        </w:trPr>
        <w:tc>
          <w:tcPr>
            <w:tcW w:w="1422" w:type="dxa"/>
            <w:vAlign w:val="center"/>
          </w:tcPr>
          <w:p w14:paraId="5D2E345C"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合计</w:t>
            </w:r>
          </w:p>
        </w:tc>
        <w:tc>
          <w:tcPr>
            <w:tcW w:w="1452" w:type="dxa"/>
            <w:vAlign w:val="center"/>
          </w:tcPr>
          <w:p w14:paraId="509B992B"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20</w:t>
            </w:r>
          </w:p>
        </w:tc>
        <w:tc>
          <w:tcPr>
            <w:tcW w:w="1559" w:type="dxa"/>
            <w:vAlign w:val="center"/>
          </w:tcPr>
          <w:p w14:paraId="7C4FE819"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30</w:t>
            </w:r>
          </w:p>
        </w:tc>
        <w:tc>
          <w:tcPr>
            <w:tcW w:w="1701" w:type="dxa"/>
            <w:vAlign w:val="center"/>
          </w:tcPr>
          <w:p w14:paraId="2088135A" w14:textId="77777777" w:rsidR="00D554C2" w:rsidRPr="00D554C2" w:rsidRDefault="00D554C2" w:rsidP="00D554C2">
            <w:pPr>
              <w:spacing w:line="440" w:lineRule="exact"/>
              <w:rPr>
                <w:rFonts w:ascii="宋体" w:eastAsia="宋体" w:hAnsi="宋体" w:cs="Times New Roman"/>
                <w:bCs/>
                <w:sz w:val="24"/>
              </w:rPr>
            </w:pPr>
          </w:p>
        </w:tc>
        <w:tc>
          <w:tcPr>
            <w:tcW w:w="1559" w:type="dxa"/>
            <w:vAlign w:val="center"/>
          </w:tcPr>
          <w:p w14:paraId="1F5B185F"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50</w:t>
            </w:r>
          </w:p>
        </w:tc>
        <w:tc>
          <w:tcPr>
            <w:tcW w:w="1559" w:type="dxa"/>
          </w:tcPr>
          <w:p w14:paraId="04C2C297"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w:t>
            </w:r>
            <w:r w:rsidRPr="00D554C2">
              <w:rPr>
                <w:rFonts w:ascii="宋体" w:eastAsia="宋体" w:hAnsi="宋体" w:cs="Times New Roman"/>
                <w:bCs/>
                <w:sz w:val="24"/>
              </w:rPr>
              <w:t>00</w:t>
            </w:r>
          </w:p>
        </w:tc>
      </w:tr>
    </w:tbl>
    <w:p w14:paraId="7B1812B3" w14:textId="77777777" w:rsidR="00D554C2" w:rsidRPr="00D554C2" w:rsidRDefault="00D554C2" w:rsidP="00D554C2">
      <w:pPr>
        <w:spacing w:line="440" w:lineRule="exact"/>
        <w:ind w:firstLineChars="200" w:firstLine="480"/>
        <w:rPr>
          <w:rFonts w:ascii="宋体" w:eastAsia="宋体" w:hAnsi="宋体" w:cs="Times New Roman"/>
          <w:sz w:val="24"/>
        </w:rPr>
      </w:pPr>
    </w:p>
    <w:p w14:paraId="65926386" w14:textId="77777777" w:rsidR="00D554C2" w:rsidRPr="00D554C2" w:rsidRDefault="00D554C2" w:rsidP="00C63ECC">
      <w:pPr>
        <w:pStyle w:val="afc"/>
      </w:pPr>
      <w:bookmarkStart w:id="67" w:name="_Toc24700"/>
      <w:r w:rsidRPr="00D554C2">
        <w:rPr>
          <w:rFonts w:hint="eastAsia"/>
        </w:rPr>
        <w:t>五、成绩评定</w:t>
      </w:r>
      <w:bookmarkEnd w:id="67"/>
    </w:p>
    <w:p w14:paraId="3C00E751"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（一）总成绩评定</w:t>
      </w:r>
    </w:p>
    <w:p w14:paraId="09B6EDE3"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总成绩=平时成绩×20%+期中成绩×30%+期末成绩×50%</w:t>
      </w:r>
    </w:p>
    <w:p w14:paraId="49D0E0AD"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备注：每学期总成绩</w:t>
      </w:r>
    </w:p>
    <w:p w14:paraId="6D482410" w14:textId="77777777" w:rsidR="00D554C2" w:rsidRPr="00D554C2" w:rsidRDefault="00D554C2" w:rsidP="00D554C2">
      <w:pPr>
        <w:spacing w:beforeLines="50" w:before="156" w:afterLines="50" w:after="156" w:line="440" w:lineRule="exact"/>
        <w:ind w:firstLineChars="200" w:firstLine="560"/>
        <w:rPr>
          <w:rFonts w:ascii="宋体" w:eastAsia="宋体" w:hAnsi="宋体" w:cs="Times New Roman"/>
          <w:color w:val="FF0000"/>
          <w:sz w:val="24"/>
        </w:rPr>
      </w:pPr>
      <w:r w:rsidRPr="00D554C2">
        <w:rPr>
          <w:rFonts w:ascii="黑体" w:eastAsia="黑体" w:hAnsi="黑体" w:cs="Times New Roman" w:hint="eastAsia"/>
          <w:sz w:val="28"/>
          <w:szCs w:val="28"/>
        </w:rPr>
        <w:t>（二）平时成绩评定</w:t>
      </w:r>
    </w:p>
    <w:p w14:paraId="039C6424"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lastRenderedPageBreak/>
        <w:t>（1）课堂表现：通过学生在课堂上的表现情况、发言与主体参与和练习情况，来评价学生相关的能力。</w:t>
      </w:r>
    </w:p>
    <w:p w14:paraId="21BA62F7"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（2）作业完成情况：围绕课程的学习目标进行作业的设计。如让学生简述对知识的认识，建议</w:t>
      </w:r>
      <w:proofErr w:type="gramStart"/>
      <w:r w:rsidRPr="00D554C2">
        <w:rPr>
          <w:rFonts w:ascii="宋体" w:eastAsia="宋体" w:hAnsi="宋体" w:cs="Times New Roman" w:hint="eastAsia"/>
          <w:sz w:val="24"/>
        </w:rPr>
        <w:t>带准备</w:t>
      </w:r>
      <w:proofErr w:type="gramEnd"/>
      <w:r w:rsidRPr="00D554C2">
        <w:rPr>
          <w:rFonts w:ascii="宋体" w:eastAsia="宋体" w:hAnsi="宋体" w:cs="Times New Roman" w:hint="eastAsia"/>
          <w:sz w:val="24"/>
        </w:rPr>
        <w:t>部分和基本部分中的复习内容，帮助学生将定义转化为自己的理解。学生在小组合作学习中测验掌握课程的情况</w:t>
      </w:r>
    </w:p>
    <w:p w14:paraId="067365D1" w14:textId="77777777" w:rsidR="00D554C2" w:rsidRPr="00D554C2" w:rsidRDefault="00D554C2" w:rsidP="00D554C2">
      <w:pPr>
        <w:spacing w:line="440" w:lineRule="exact"/>
        <w:ind w:firstLineChars="200" w:firstLine="480"/>
        <w:rPr>
          <w:rFonts w:ascii="宋体" w:eastAsia="宋体" w:hAnsi="宋体" w:cs="Times New Roman"/>
          <w:color w:val="FF0000"/>
          <w:sz w:val="24"/>
        </w:rPr>
      </w:pPr>
      <w:r w:rsidRPr="00D554C2">
        <w:rPr>
          <w:rFonts w:ascii="宋体" w:eastAsia="宋体" w:hAnsi="宋体" w:cs="Times New Roman" w:hint="eastAsia"/>
          <w:sz w:val="24"/>
        </w:rPr>
        <w:t>（3）课堂考勤：留存辅导员开具的事假条、校医院开具的病假条。缺课达到本学期三分之一课时，按照考试无资格处理。</w:t>
      </w:r>
    </w:p>
    <w:p w14:paraId="1415AC5D"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（三）期中、期末成绩评定</w:t>
      </w:r>
    </w:p>
    <w:p w14:paraId="1E82306C" w14:textId="77777777" w:rsidR="00D554C2" w:rsidRPr="00D554C2" w:rsidRDefault="00D554C2" w:rsidP="00D554C2">
      <w:pPr>
        <w:spacing w:beforeLines="50" w:before="156" w:afterLines="50" w:after="156" w:line="440" w:lineRule="exact"/>
        <w:ind w:firstLineChars="1400" w:firstLine="3920"/>
        <w:rPr>
          <w:rFonts w:ascii="黑体" w:eastAsia="黑体" w:hAnsi="黑体" w:cs="Times New Roman"/>
          <w:sz w:val="28"/>
          <w:szCs w:val="28"/>
        </w:rPr>
      </w:pPr>
      <w:r w:rsidRPr="00D554C2">
        <w:rPr>
          <w:rFonts w:ascii="黑体" w:eastAsia="黑体" w:hAnsi="黑体" w:cs="Times New Roman" w:hint="eastAsia"/>
          <w:sz w:val="28"/>
          <w:szCs w:val="28"/>
        </w:rPr>
        <w:t>第一学期</w:t>
      </w:r>
    </w:p>
    <w:p w14:paraId="03886166" w14:textId="77777777" w:rsidR="00D554C2" w:rsidRPr="00D554C2" w:rsidRDefault="00D554C2" w:rsidP="00D554C2">
      <w:pPr>
        <w:adjustRightInd w:val="0"/>
        <w:snapToGrid w:val="0"/>
        <w:spacing w:line="500" w:lineRule="exact"/>
        <w:jc w:val="center"/>
        <w:rPr>
          <w:rFonts w:ascii="宋体" w:eastAsia="宋体" w:hAnsi="Calibri" w:cs="Times New Roman"/>
          <w:b/>
          <w:bCs/>
          <w:kern w:val="0"/>
          <w:sz w:val="24"/>
        </w:rPr>
      </w:pPr>
      <w:r w:rsidRPr="00D554C2">
        <w:rPr>
          <w:rFonts w:ascii="宋体" w:eastAsia="宋体" w:hAnsi="Calibri" w:cs="Times New Roman" w:hint="eastAsia"/>
          <w:b/>
          <w:bCs/>
          <w:kern w:val="0"/>
          <w:sz w:val="24"/>
        </w:rPr>
        <w:t>期中考试</w:t>
      </w:r>
    </w:p>
    <w:p w14:paraId="220D4871" w14:textId="77777777" w:rsidR="00D554C2" w:rsidRPr="00D554C2" w:rsidRDefault="00D554C2" w:rsidP="00D554C2">
      <w:pPr>
        <w:adjustRightInd w:val="0"/>
        <w:snapToGrid w:val="0"/>
        <w:spacing w:line="500" w:lineRule="exact"/>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通过考核检验体能训练教学效果和学生掌握情况，让学生了解体质健康标准测验的重要性。</w:t>
      </w:r>
    </w:p>
    <w:p w14:paraId="72A0EE57"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r w:rsidRPr="00D554C2">
        <w:rPr>
          <w:rFonts w:ascii="宋体" w:eastAsia="宋体" w:hAnsi="Calibri" w:cs="Times New Roman" w:hint="eastAsia"/>
          <w:b/>
          <w:kern w:val="0"/>
          <w:sz w:val="24"/>
        </w:rPr>
        <w:t>2.课程考核的内容：</w:t>
      </w:r>
      <w:r w:rsidRPr="00D554C2">
        <w:rPr>
          <w:rFonts w:ascii="宋体" w:eastAsia="宋体" w:hAnsi="Calibri" w:cs="Times New Roman" w:hint="eastAsia"/>
          <w:bCs/>
          <w:kern w:val="0"/>
          <w:sz w:val="24"/>
        </w:rPr>
        <w:t>立定跳远。</w:t>
      </w:r>
    </w:p>
    <w:p w14:paraId="22E470E6"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r w:rsidRPr="00D554C2">
        <w:rPr>
          <w:rFonts w:ascii="宋体" w:eastAsia="宋体" w:hAnsi="Calibri" w:cs="Times New Roman" w:hint="eastAsia"/>
          <w:b/>
          <w:kern w:val="0"/>
          <w:sz w:val="24"/>
        </w:rPr>
        <w:t>3.课程考核方式：</w:t>
      </w:r>
      <w:r w:rsidRPr="00D554C2">
        <w:rPr>
          <w:rFonts w:ascii="宋体" w:eastAsia="宋体" w:hAnsi="Calibri" w:cs="Times New Roman" w:hint="eastAsia"/>
          <w:bCs/>
          <w:kern w:val="0"/>
          <w:sz w:val="24"/>
        </w:rPr>
        <w:t>沙坑场地，每人跳两次，取最好成绩。</w:t>
      </w:r>
    </w:p>
    <w:p w14:paraId="30CBF39C"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r w:rsidRPr="00D554C2">
        <w:rPr>
          <w:rFonts w:ascii="宋体" w:eastAsia="宋体" w:hAnsi="Calibri" w:cs="Times New Roman" w:hint="eastAsia"/>
          <w:b/>
          <w:kern w:val="0"/>
          <w:sz w:val="24"/>
        </w:rPr>
        <w:t>4.成绩构成及分值：</w:t>
      </w:r>
      <w:r w:rsidRPr="00D554C2">
        <w:rPr>
          <w:rFonts w:ascii="宋体" w:eastAsia="宋体" w:hAnsi="Calibri" w:cs="Times New Roman" w:hint="eastAsia"/>
          <w:bCs/>
          <w:kern w:val="0"/>
          <w:sz w:val="24"/>
        </w:rPr>
        <w:t>数量及技术评定分值各为100分，各占总分值的20%，</w:t>
      </w:r>
    </w:p>
    <w:p w14:paraId="1B4D6929"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r w:rsidRPr="00D554C2">
        <w:rPr>
          <w:rFonts w:ascii="宋体" w:eastAsia="宋体" w:hAnsi="Calibri" w:cs="Times New Roman" w:hint="eastAsia"/>
          <w:bCs/>
          <w:kern w:val="0"/>
          <w:sz w:val="24"/>
        </w:rPr>
        <w:t>总分值为100分。</w:t>
      </w:r>
    </w:p>
    <w:p w14:paraId="03C81A4C" w14:textId="77777777" w:rsidR="00D554C2" w:rsidRPr="00D554C2" w:rsidRDefault="00D554C2" w:rsidP="00D554C2">
      <w:pPr>
        <w:adjustRightInd w:val="0"/>
        <w:snapToGrid w:val="0"/>
        <w:spacing w:line="500" w:lineRule="exact"/>
        <w:jc w:val="left"/>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p w14:paraId="2EA58544"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p w14:paraId="1EF64943"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p w14:paraId="696554B9"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p w14:paraId="6F701EB0"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p w14:paraId="3B562BD7"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p w14:paraId="73DCB224"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p w14:paraId="74AB0384"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p w14:paraId="5FB2C348"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p w14:paraId="67FA8363"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p w14:paraId="108F4BD4"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p w14:paraId="645CB5D7"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D554C2" w:rsidRPr="00D554C2" w14:paraId="5AD25C74" w14:textId="77777777" w:rsidTr="009B4CAE">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3B8F14A"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790D8B35"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7A25C9A"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大</w:t>
            </w:r>
            <w:proofErr w:type="gramStart"/>
            <w:r w:rsidRPr="00D554C2">
              <w:rPr>
                <w:rFonts w:ascii="宋体" w:eastAsia="宋体" w:hAnsi="宋体" w:cs="宋体" w:hint="eastAsia"/>
                <w:b/>
                <w:kern w:val="0"/>
                <w:sz w:val="24"/>
                <w:lang w:bidi="ar"/>
              </w:rPr>
              <w:t>一</w:t>
            </w:r>
            <w:proofErr w:type="gramEnd"/>
            <w:r w:rsidRPr="00D554C2">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4AC74C99"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大</w:t>
            </w:r>
            <w:proofErr w:type="gramStart"/>
            <w:r w:rsidRPr="00D554C2">
              <w:rPr>
                <w:rFonts w:ascii="宋体" w:eastAsia="宋体" w:hAnsi="宋体" w:cs="宋体" w:hint="eastAsia"/>
                <w:b/>
                <w:kern w:val="0"/>
                <w:sz w:val="24"/>
                <w:lang w:bidi="ar"/>
              </w:rPr>
              <w:t>一</w:t>
            </w:r>
            <w:proofErr w:type="gramEnd"/>
            <w:r w:rsidRPr="00D554C2">
              <w:rPr>
                <w:rFonts w:ascii="宋体" w:eastAsia="宋体" w:hAnsi="宋体" w:cs="宋体" w:hint="eastAsia"/>
                <w:b/>
                <w:kern w:val="0"/>
                <w:sz w:val="24"/>
                <w:lang w:bidi="ar"/>
              </w:rPr>
              <w:t>女生</w:t>
            </w:r>
          </w:p>
        </w:tc>
      </w:tr>
      <w:tr w:rsidR="00D554C2" w:rsidRPr="00D554C2" w14:paraId="256701B1" w14:textId="77777777" w:rsidTr="009B4CAE">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331A3EF"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26AE0D7"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494069DA" w14:textId="77777777" w:rsidR="00D554C2" w:rsidRPr="00D554C2" w:rsidRDefault="00D554C2" w:rsidP="00D554C2">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4729B08E" w14:textId="77777777" w:rsidR="00D554C2" w:rsidRPr="00D554C2" w:rsidRDefault="00D554C2" w:rsidP="00D554C2">
            <w:pPr>
              <w:jc w:val="center"/>
              <w:rPr>
                <w:rFonts w:ascii="宋体" w:eastAsia="宋体" w:hAnsi="宋体" w:cs="宋体"/>
                <w:b/>
                <w:sz w:val="24"/>
              </w:rPr>
            </w:pPr>
          </w:p>
        </w:tc>
      </w:tr>
      <w:tr w:rsidR="00D554C2" w:rsidRPr="00D554C2" w14:paraId="3E0F8A53" w14:textId="77777777" w:rsidTr="009B4CAE">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BB8AF6D"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772ED76A"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5B0AF039"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4DAE9824"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207</w:t>
            </w:r>
          </w:p>
        </w:tc>
      </w:tr>
      <w:tr w:rsidR="00D554C2" w:rsidRPr="00D554C2" w14:paraId="6B31517B"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53A658B"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C568C11"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7F484AB4"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1366D620"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201</w:t>
            </w:r>
          </w:p>
        </w:tc>
      </w:tr>
      <w:tr w:rsidR="00D554C2" w:rsidRPr="00D554C2" w14:paraId="57BC551B"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E0FBCF0"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CD03AB3"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B68B400"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ACE4F12"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195</w:t>
            </w:r>
          </w:p>
        </w:tc>
      </w:tr>
      <w:tr w:rsidR="00D554C2" w:rsidRPr="00D554C2" w14:paraId="1494800C" w14:textId="77777777" w:rsidTr="009B4CAE">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F19D87A"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D92C132"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120A8531"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38A45D1A"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188</w:t>
            </w:r>
          </w:p>
        </w:tc>
      </w:tr>
      <w:tr w:rsidR="00D554C2" w:rsidRPr="00D554C2" w14:paraId="0DA0FCE2"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000F86B"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046F337"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CED76B9"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CF066B4"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181</w:t>
            </w:r>
          </w:p>
        </w:tc>
      </w:tr>
      <w:tr w:rsidR="00D554C2" w:rsidRPr="00D554C2" w14:paraId="69C3F0D4" w14:textId="77777777" w:rsidTr="009B4CAE">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4121662"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74F194DA"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72E854B8"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56071BD7"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178</w:t>
            </w:r>
          </w:p>
        </w:tc>
      </w:tr>
      <w:tr w:rsidR="00D554C2" w:rsidRPr="00D554C2" w14:paraId="6C105535"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CFADA2C"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E9085B3"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69661B50"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0D32AC80"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175</w:t>
            </w:r>
          </w:p>
        </w:tc>
      </w:tr>
      <w:tr w:rsidR="00D554C2" w:rsidRPr="00D554C2" w14:paraId="3402499A"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9A1C09F"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D678307"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671A99A1"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02849986"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172</w:t>
            </w:r>
          </w:p>
        </w:tc>
      </w:tr>
      <w:tr w:rsidR="00D554C2" w:rsidRPr="00D554C2" w14:paraId="5D678AB4"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6CE5AF5"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5845AD2"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019D00C3"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7F32DD7A"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169</w:t>
            </w:r>
          </w:p>
        </w:tc>
      </w:tr>
      <w:tr w:rsidR="00D554C2" w:rsidRPr="00D554C2" w14:paraId="1497DC8D"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8410AA8"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242C51F"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7690F3ED"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31EAB7BF"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166</w:t>
            </w:r>
          </w:p>
        </w:tc>
      </w:tr>
      <w:tr w:rsidR="00D554C2" w:rsidRPr="00D554C2" w14:paraId="60951043"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0F4CF9D"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ACD6AF6"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658D50A8"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795C2F72"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163</w:t>
            </w:r>
          </w:p>
        </w:tc>
      </w:tr>
      <w:tr w:rsidR="00D554C2" w:rsidRPr="00D554C2" w14:paraId="2E19556D"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19DD140"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E716835"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4FB77891"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4C993F2C"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160</w:t>
            </w:r>
          </w:p>
        </w:tc>
      </w:tr>
      <w:tr w:rsidR="00D554C2" w:rsidRPr="00D554C2" w14:paraId="22B687AC"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CEEF34B"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5F83CAC"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6F3C3D57"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750A2EE9"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157</w:t>
            </w:r>
          </w:p>
        </w:tc>
      </w:tr>
      <w:tr w:rsidR="00D554C2" w:rsidRPr="00D554C2" w14:paraId="0B782094"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F7FA208"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E77F0DC"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0A600D9A"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21F69328"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154</w:t>
            </w:r>
          </w:p>
        </w:tc>
      </w:tr>
      <w:tr w:rsidR="00D554C2" w:rsidRPr="00D554C2" w14:paraId="3F9CF968"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A868657"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5DC7067"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4D0ED1E"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E257F9A"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151</w:t>
            </w:r>
          </w:p>
        </w:tc>
      </w:tr>
      <w:tr w:rsidR="00D554C2" w:rsidRPr="00D554C2" w14:paraId="4F149047" w14:textId="77777777" w:rsidTr="009B4CAE">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418E90C"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AB111CE"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0604D844"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02E966AC"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146</w:t>
            </w:r>
          </w:p>
        </w:tc>
      </w:tr>
      <w:tr w:rsidR="00D554C2" w:rsidRPr="00D554C2" w14:paraId="5F45ACAF"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2EFCBAF"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465EBE4"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75175235"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1AB9A6EE"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141</w:t>
            </w:r>
          </w:p>
        </w:tc>
      </w:tr>
      <w:tr w:rsidR="00D554C2" w:rsidRPr="00D554C2" w14:paraId="5C3EFF41"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EFEA692"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A48DF37"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8A83951"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28ABA754"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136</w:t>
            </w:r>
          </w:p>
        </w:tc>
      </w:tr>
      <w:tr w:rsidR="00D554C2" w:rsidRPr="00D554C2" w14:paraId="1D79F9A8"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7D35439"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1531954"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6BFF607D"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3F25855C"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131</w:t>
            </w:r>
          </w:p>
        </w:tc>
      </w:tr>
      <w:tr w:rsidR="00D554C2" w:rsidRPr="00D554C2" w14:paraId="0A378631"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B6B76B3"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4B5949C"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1512E796"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114B20D7"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126</w:t>
            </w:r>
          </w:p>
        </w:tc>
      </w:tr>
    </w:tbl>
    <w:p w14:paraId="0F23AE1E"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p w14:paraId="66DB5DBB" w14:textId="77777777" w:rsidR="00D554C2" w:rsidRPr="00D554C2" w:rsidRDefault="00D554C2" w:rsidP="00D554C2">
      <w:pPr>
        <w:adjustRightInd w:val="0"/>
        <w:snapToGrid w:val="0"/>
        <w:spacing w:line="500" w:lineRule="exact"/>
        <w:jc w:val="center"/>
        <w:rPr>
          <w:rFonts w:ascii="宋体" w:eastAsia="宋体" w:hAnsi="Calibri" w:cs="Times New Roman"/>
          <w:b/>
          <w:bCs/>
          <w:kern w:val="0"/>
          <w:sz w:val="24"/>
        </w:rPr>
      </w:pPr>
      <w:r w:rsidRPr="00D554C2">
        <w:rPr>
          <w:rFonts w:ascii="宋体" w:eastAsia="宋体" w:hAnsi="Calibri" w:cs="Times New Roman" w:hint="eastAsia"/>
          <w:b/>
          <w:bCs/>
          <w:kern w:val="0"/>
          <w:sz w:val="24"/>
        </w:rPr>
        <w:t>期末考试</w:t>
      </w:r>
    </w:p>
    <w:p w14:paraId="08A7CEEA" w14:textId="77777777" w:rsidR="00D554C2" w:rsidRPr="00D554C2" w:rsidRDefault="00D554C2" w:rsidP="00D554C2">
      <w:pPr>
        <w:adjustRightInd w:val="0"/>
        <w:snapToGrid w:val="0"/>
        <w:spacing w:line="500" w:lineRule="exact"/>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通过考核检验毽球技术教学效果和学生掌握情况，让学生了解选项课内容和科学体育锻炼方式方法。</w:t>
      </w:r>
    </w:p>
    <w:p w14:paraId="28B9A3C7" w14:textId="77777777" w:rsidR="00D554C2" w:rsidRPr="00D554C2" w:rsidRDefault="00D554C2" w:rsidP="00D554C2">
      <w:pPr>
        <w:spacing w:line="500" w:lineRule="exact"/>
        <w:rPr>
          <w:rFonts w:ascii="宋体" w:eastAsia="宋体" w:hAnsi="宋体" w:cs="宋体"/>
          <w:sz w:val="24"/>
        </w:rPr>
      </w:pPr>
      <w:r w:rsidRPr="00D554C2">
        <w:rPr>
          <w:rFonts w:ascii="宋体" w:eastAsia="宋体" w:hAnsi="Calibri" w:cs="Times New Roman" w:hint="eastAsia"/>
          <w:b/>
          <w:kern w:val="0"/>
          <w:sz w:val="24"/>
        </w:rPr>
        <w:t>2.课程考核的内容：</w:t>
      </w:r>
      <w:r w:rsidRPr="00D554C2">
        <w:rPr>
          <w:rFonts w:ascii="宋体" w:eastAsia="宋体" w:hAnsi="宋体" w:cs="宋体" w:hint="eastAsia"/>
          <w:sz w:val="24"/>
        </w:rPr>
        <w:t>脚内侧踢球技术、两人对踢球技术、发球和接发球技术。</w:t>
      </w:r>
    </w:p>
    <w:p w14:paraId="74CCC8AE"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r w:rsidRPr="00D554C2">
        <w:rPr>
          <w:rFonts w:ascii="宋体" w:eastAsia="宋体" w:hAnsi="Calibri" w:cs="Times New Roman" w:hint="eastAsia"/>
          <w:b/>
          <w:kern w:val="0"/>
          <w:sz w:val="24"/>
        </w:rPr>
        <w:t>3.课程考核方式：</w:t>
      </w:r>
      <w:r w:rsidRPr="00D554C2">
        <w:rPr>
          <w:rFonts w:ascii="宋体" w:eastAsia="宋体" w:hAnsi="Calibri" w:cs="Times New Roman" w:hint="eastAsia"/>
          <w:bCs/>
          <w:kern w:val="0"/>
          <w:sz w:val="24"/>
        </w:rPr>
        <w:t>毽球场地结合球网进行两轮次测试，取最好成绩。</w:t>
      </w:r>
    </w:p>
    <w:p w14:paraId="6F3BAEAC"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r w:rsidRPr="00D554C2">
        <w:rPr>
          <w:rFonts w:ascii="宋体" w:eastAsia="宋体" w:hAnsi="Calibri" w:cs="Times New Roman" w:hint="eastAsia"/>
          <w:b/>
          <w:kern w:val="0"/>
          <w:sz w:val="24"/>
        </w:rPr>
        <w:t>4.成绩构成及分值：</w:t>
      </w:r>
      <w:r w:rsidRPr="00D554C2">
        <w:rPr>
          <w:rFonts w:ascii="宋体" w:eastAsia="宋体" w:hAnsi="Calibri" w:cs="Times New Roman" w:hint="eastAsia"/>
          <w:bCs/>
          <w:kern w:val="0"/>
          <w:sz w:val="24"/>
        </w:rPr>
        <w:t>数量及技术评定分值各为100分，各占总分值的20%，</w:t>
      </w:r>
    </w:p>
    <w:p w14:paraId="5FA8F93D"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r w:rsidRPr="00D554C2">
        <w:rPr>
          <w:rFonts w:ascii="宋体" w:eastAsia="宋体" w:hAnsi="Calibri" w:cs="Times New Roman" w:hint="eastAsia"/>
          <w:bCs/>
          <w:kern w:val="0"/>
          <w:sz w:val="24"/>
        </w:rPr>
        <w:t>总分值为100分。进6球为及格，10球为满分100分；分值100分。</w:t>
      </w:r>
    </w:p>
    <w:p w14:paraId="706E83A1" w14:textId="77777777" w:rsidR="00D554C2" w:rsidRPr="00D554C2" w:rsidRDefault="00D554C2" w:rsidP="00D554C2">
      <w:pPr>
        <w:adjustRightInd w:val="0"/>
        <w:snapToGrid w:val="0"/>
        <w:spacing w:line="500" w:lineRule="exact"/>
        <w:jc w:val="left"/>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p w14:paraId="5ABCBBF6"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p>
    <w:p w14:paraId="1583AB9B"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p>
    <w:p w14:paraId="775B079C"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D554C2" w:rsidRPr="00D554C2" w14:paraId="7F4F6D15" w14:textId="77777777" w:rsidTr="009B4CAE">
        <w:trPr>
          <w:jc w:val="center"/>
        </w:trPr>
        <w:tc>
          <w:tcPr>
            <w:tcW w:w="970" w:type="dxa"/>
          </w:tcPr>
          <w:p w14:paraId="7A3FF59D"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技术分</w:t>
            </w:r>
          </w:p>
        </w:tc>
        <w:tc>
          <w:tcPr>
            <w:tcW w:w="1183" w:type="dxa"/>
          </w:tcPr>
          <w:p w14:paraId="02BE7150"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五级制</w:t>
            </w:r>
          </w:p>
        </w:tc>
        <w:tc>
          <w:tcPr>
            <w:tcW w:w="1341" w:type="dxa"/>
          </w:tcPr>
          <w:p w14:paraId="5F0DC57B"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分值范围</w:t>
            </w:r>
          </w:p>
        </w:tc>
        <w:tc>
          <w:tcPr>
            <w:tcW w:w="3039" w:type="dxa"/>
          </w:tcPr>
          <w:p w14:paraId="2E5DDB1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备注</w:t>
            </w:r>
          </w:p>
        </w:tc>
        <w:tc>
          <w:tcPr>
            <w:tcW w:w="1403" w:type="dxa"/>
          </w:tcPr>
          <w:p w14:paraId="61AB2FA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数目</w:t>
            </w:r>
          </w:p>
        </w:tc>
      </w:tr>
      <w:tr w:rsidR="00D554C2" w:rsidRPr="00D554C2" w14:paraId="239DBAB8" w14:textId="77777777" w:rsidTr="009B4CAE">
        <w:trPr>
          <w:jc w:val="center"/>
        </w:trPr>
        <w:tc>
          <w:tcPr>
            <w:tcW w:w="970" w:type="dxa"/>
          </w:tcPr>
          <w:p w14:paraId="2518BBE9"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A</w:t>
            </w:r>
          </w:p>
        </w:tc>
        <w:tc>
          <w:tcPr>
            <w:tcW w:w="1183" w:type="dxa"/>
          </w:tcPr>
          <w:p w14:paraId="40EDA818"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优</w:t>
            </w:r>
          </w:p>
        </w:tc>
        <w:tc>
          <w:tcPr>
            <w:tcW w:w="1341" w:type="dxa"/>
          </w:tcPr>
          <w:p w14:paraId="78568160"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90—95</w:t>
            </w:r>
          </w:p>
        </w:tc>
        <w:tc>
          <w:tcPr>
            <w:tcW w:w="3039" w:type="dxa"/>
          </w:tcPr>
          <w:p w14:paraId="29AE25DB"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姿势正确，动作优美、协调，</w:t>
            </w:r>
          </w:p>
        </w:tc>
        <w:tc>
          <w:tcPr>
            <w:tcW w:w="1403" w:type="dxa"/>
          </w:tcPr>
          <w:p w14:paraId="18EEFE47"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10</w:t>
            </w:r>
          </w:p>
        </w:tc>
      </w:tr>
      <w:tr w:rsidR="00D554C2" w:rsidRPr="00D554C2" w14:paraId="604C1117" w14:textId="77777777" w:rsidTr="009B4CAE">
        <w:trPr>
          <w:jc w:val="center"/>
        </w:trPr>
        <w:tc>
          <w:tcPr>
            <w:tcW w:w="970" w:type="dxa"/>
          </w:tcPr>
          <w:p w14:paraId="7510DEE9"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B</w:t>
            </w:r>
          </w:p>
        </w:tc>
        <w:tc>
          <w:tcPr>
            <w:tcW w:w="1183" w:type="dxa"/>
          </w:tcPr>
          <w:p w14:paraId="23448815"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良好</w:t>
            </w:r>
          </w:p>
        </w:tc>
        <w:tc>
          <w:tcPr>
            <w:tcW w:w="1341" w:type="dxa"/>
          </w:tcPr>
          <w:p w14:paraId="172555C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80—89</w:t>
            </w:r>
          </w:p>
        </w:tc>
        <w:tc>
          <w:tcPr>
            <w:tcW w:w="3039" w:type="dxa"/>
          </w:tcPr>
          <w:p w14:paraId="0E58D6C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姿势较正确，动作自然，</w:t>
            </w:r>
          </w:p>
        </w:tc>
        <w:tc>
          <w:tcPr>
            <w:tcW w:w="1403" w:type="dxa"/>
          </w:tcPr>
          <w:p w14:paraId="0134C3E6"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9</w:t>
            </w:r>
          </w:p>
        </w:tc>
      </w:tr>
      <w:tr w:rsidR="00D554C2" w:rsidRPr="00D554C2" w14:paraId="5C795187" w14:textId="77777777" w:rsidTr="009B4CAE">
        <w:trPr>
          <w:jc w:val="center"/>
        </w:trPr>
        <w:tc>
          <w:tcPr>
            <w:tcW w:w="970" w:type="dxa"/>
          </w:tcPr>
          <w:p w14:paraId="61388495"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C</w:t>
            </w:r>
          </w:p>
        </w:tc>
        <w:tc>
          <w:tcPr>
            <w:tcW w:w="1183" w:type="dxa"/>
          </w:tcPr>
          <w:p w14:paraId="50433CA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良</w:t>
            </w:r>
          </w:p>
        </w:tc>
        <w:tc>
          <w:tcPr>
            <w:tcW w:w="1341" w:type="dxa"/>
          </w:tcPr>
          <w:p w14:paraId="3E7A4AB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70—79</w:t>
            </w:r>
          </w:p>
        </w:tc>
        <w:tc>
          <w:tcPr>
            <w:tcW w:w="3039" w:type="dxa"/>
          </w:tcPr>
          <w:p w14:paraId="749191A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姿势一般，动作基本正确，</w:t>
            </w:r>
          </w:p>
        </w:tc>
        <w:tc>
          <w:tcPr>
            <w:tcW w:w="1403" w:type="dxa"/>
          </w:tcPr>
          <w:p w14:paraId="0F8E2DA2"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8</w:t>
            </w:r>
          </w:p>
        </w:tc>
      </w:tr>
      <w:tr w:rsidR="00D554C2" w:rsidRPr="00D554C2" w14:paraId="781267BD" w14:textId="77777777" w:rsidTr="009B4CAE">
        <w:trPr>
          <w:jc w:val="center"/>
        </w:trPr>
        <w:tc>
          <w:tcPr>
            <w:tcW w:w="970" w:type="dxa"/>
          </w:tcPr>
          <w:p w14:paraId="3539924B"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D</w:t>
            </w:r>
          </w:p>
        </w:tc>
        <w:tc>
          <w:tcPr>
            <w:tcW w:w="1183" w:type="dxa"/>
          </w:tcPr>
          <w:p w14:paraId="7CAE107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及格</w:t>
            </w:r>
          </w:p>
        </w:tc>
        <w:tc>
          <w:tcPr>
            <w:tcW w:w="1341" w:type="dxa"/>
          </w:tcPr>
          <w:p w14:paraId="3CB9F760"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60—69</w:t>
            </w:r>
          </w:p>
        </w:tc>
        <w:tc>
          <w:tcPr>
            <w:tcW w:w="3039" w:type="dxa"/>
          </w:tcPr>
          <w:p w14:paraId="4553F16C"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动作不协调，有多余动作，</w:t>
            </w:r>
          </w:p>
        </w:tc>
        <w:tc>
          <w:tcPr>
            <w:tcW w:w="1403" w:type="dxa"/>
          </w:tcPr>
          <w:p w14:paraId="4061840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7</w:t>
            </w:r>
          </w:p>
        </w:tc>
      </w:tr>
      <w:tr w:rsidR="00D554C2" w:rsidRPr="00D554C2" w14:paraId="2D4BDFB3" w14:textId="77777777" w:rsidTr="009B4CAE">
        <w:trPr>
          <w:jc w:val="center"/>
        </w:trPr>
        <w:tc>
          <w:tcPr>
            <w:tcW w:w="970" w:type="dxa"/>
          </w:tcPr>
          <w:p w14:paraId="7522B92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E</w:t>
            </w:r>
          </w:p>
        </w:tc>
        <w:tc>
          <w:tcPr>
            <w:tcW w:w="1183" w:type="dxa"/>
          </w:tcPr>
          <w:p w14:paraId="5025811B"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不及格</w:t>
            </w:r>
          </w:p>
        </w:tc>
        <w:tc>
          <w:tcPr>
            <w:tcW w:w="1341" w:type="dxa"/>
          </w:tcPr>
          <w:p w14:paraId="49D6B95B"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60以下</w:t>
            </w:r>
          </w:p>
        </w:tc>
        <w:tc>
          <w:tcPr>
            <w:tcW w:w="3039" w:type="dxa"/>
          </w:tcPr>
          <w:p w14:paraId="4D91BC0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动作僵硬，吃力，不协调</w:t>
            </w:r>
          </w:p>
        </w:tc>
        <w:tc>
          <w:tcPr>
            <w:tcW w:w="1403" w:type="dxa"/>
          </w:tcPr>
          <w:p w14:paraId="6AE6A4C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w:t>
            </w:r>
          </w:p>
        </w:tc>
      </w:tr>
    </w:tbl>
    <w:p w14:paraId="52D1B077"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p>
    <w:p w14:paraId="516BA849"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第二学期</w:t>
      </w:r>
    </w:p>
    <w:p w14:paraId="2A23D74E" w14:textId="77777777" w:rsidR="00D554C2" w:rsidRPr="00D554C2" w:rsidRDefault="00D554C2" w:rsidP="00D554C2">
      <w:pPr>
        <w:adjustRightInd w:val="0"/>
        <w:snapToGrid w:val="0"/>
        <w:spacing w:line="500" w:lineRule="exact"/>
        <w:jc w:val="center"/>
        <w:rPr>
          <w:rFonts w:ascii="宋体" w:eastAsia="宋体" w:hAnsi="Calibri" w:cs="Times New Roman"/>
          <w:b/>
          <w:kern w:val="0"/>
          <w:sz w:val="24"/>
        </w:rPr>
      </w:pPr>
      <w:r w:rsidRPr="00D554C2">
        <w:rPr>
          <w:rFonts w:ascii="宋体" w:eastAsia="宋体" w:hAnsi="Calibri" w:cs="Times New Roman" w:hint="eastAsia"/>
          <w:b/>
          <w:kern w:val="0"/>
          <w:sz w:val="24"/>
        </w:rPr>
        <w:t>期中考试</w:t>
      </w:r>
    </w:p>
    <w:p w14:paraId="3C079C8F"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通过考核检验毽球技术教学效果和学生掌握情况，让学生了解选项课内容和科学体育锻炼方式方法。</w:t>
      </w:r>
    </w:p>
    <w:p w14:paraId="0B0DEFE5" w14:textId="77777777" w:rsidR="00D554C2" w:rsidRPr="00D554C2" w:rsidRDefault="00D554C2" w:rsidP="00D554C2">
      <w:pPr>
        <w:spacing w:line="500" w:lineRule="exact"/>
        <w:ind w:firstLineChars="200" w:firstLine="482"/>
        <w:rPr>
          <w:rFonts w:ascii="宋体" w:eastAsia="宋体" w:hAnsi="宋体" w:cs="宋体"/>
          <w:sz w:val="24"/>
        </w:rPr>
      </w:pPr>
      <w:r w:rsidRPr="00D554C2">
        <w:rPr>
          <w:rFonts w:ascii="宋体" w:eastAsia="宋体" w:hAnsi="Calibri" w:cs="Times New Roman" w:hint="eastAsia"/>
          <w:b/>
          <w:kern w:val="0"/>
          <w:sz w:val="24"/>
        </w:rPr>
        <w:t>2.课程考核的内容：</w:t>
      </w:r>
      <w:r w:rsidRPr="00D554C2">
        <w:rPr>
          <w:rFonts w:ascii="宋体" w:eastAsia="宋体" w:hAnsi="宋体" w:cs="宋体" w:hint="eastAsia"/>
          <w:sz w:val="24"/>
        </w:rPr>
        <w:t>脚内侧踢球技术、两人对踢球技术、发球和接发球技术。</w:t>
      </w:r>
    </w:p>
    <w:p w14:paraId="30B8E4C8"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3.课程考核方式：</w:t>
      </w:r>
      <w:r w:rsidRPr="00D554C2">
        <w:rPr>
          <w:rFonts w:ascii="宋体" w:eastAsia="宋体" w:hAnsi="Calibri" w:cs="Times New Roman" w:hint="eastAsia"/>
          <w:bCs/>
          <w:kern w:val="0"/>
          <w:sz w:val="24"/>
        </w:rPr>
        <w:t>毽球场地结合球网进行两轮次测试，取最好成绩。</w:t>
      </w:r>
    </w:p>
    <w:p w14:paraId="402D9629"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4.成绩构成及分值：</w:t>
      </w:r>
      <w:r w:rsidRPr="00D554C2">
        <w:rPr>
          <w:rFonts w:ascii="宋体" w:eastAsia="宋体" w:hAnsi="Calibri" w:cs="Times New Roman" w:hint="eastAsia"/>
          <w:bCs/>
          <w:kern w:val="0"/>
          <w:sz w:val="24"/>
        </w:rPr>
        <w:t>数量及技术评定分值各为100分，各占总分值的20%，总分值为100分。进6球为及格，10球为满分100分；分值100分。</w:t>
      </w:r>
    </w:p>
    <w:p w14:paraId="2FE68401"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D554C2" w:rsidRPr="00D554C2" w14:paraId="5F36C596" w14:textId="77777777" w:rsidTr="009B4CAE">
        <w:trPr>
          <w:jc w:val="center"/>
        </w:trPr>
        <w:tc>
          <w:tcPr>
            <w:tcW w:w="970" w:type="dxa"/>
          </w:tcPr>
          <w:p w14:paraId="3962DD6D"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技术分</w:t>
            </w:r>
          </w:p>
        </w:tc>
        <w:tc>
          <w:tcPr>
            <w:tcW w:w="1183" w:type="dxa"/>
          </w:tcPr>
          <w:p w14:paraId="20D567E1"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五级制</w:t>
            </w:r>
          </w:p>
        </w:tc>
        <w:tc>
          <w:tcPr>
            <w:tcW w:w="1341" w:type="dxa"/>
          </w:tcPr>
          <w:p w14:paraId="35FEEEF1"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分值范围</w:t>
            </w:r>
          </w:p>
        </w:tc>
        <w:tc>
          <w:tcPr>
            <w:tcW w:w="3039" w:type="dxa"/>
          </w:tcPr>
          <w:p w14:paraId="102162F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备注</w:t>
            </w:r>
          </w:p>
        </w:tc>
        <w:tc>
          <w:tcPr>
            <w:tcW w:w="1403" w:type="dxa"/>
          </w:tcPr>
          <w:p w14:paraId="6BDED8F9"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数目</w:t>
            </w:r>
          </w:p>
        </w:tc>
      </w:tr>
      <w:tr w:rsidR="00D554C2" w:rsidRPr="00D554C2" w14:paraId="417CB03B" w14:textId="77777777" w:rsidTr="009B4CAE">
        <w:trPr>
          <w:jc w:val="center"/>
        </w:trPr>
        <w:tc>
          <w:tcPr>
            <w:tcW w:w="970" w:type="dxa"/>
          </w:tcPr>
          <w:p w14:paraId="5346F285"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A</w:t>
            </w:r>
          </w:p>
        </w:tc>
        <w:tc>
          <w:tcPr>
            <w:tcW w:w="1183" w:type="dxa"/>
          </w:tcPr>
          <w:p w14:paraId="63D2A8C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优</w:t>
            </w:r>
          </w:p>
        </w:tc>
        <w:tc>
          <w:tcPr>
            <w:tcW w:w="1341" w:type="dxa"/>
          </w:tcPr>
          <w:p w14:paraId="23A22A5F"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90—95</w:t>
            </w:r>
          </w:p>
        </w:tc>
        <w:tc>
          <w:tcPr>
            <w:tcW w:w="3039" w:type="dxa"/>
          </w:tcPr>
          <w:p w14:paraId="1F4041F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姿势正确，动作优美、协调，</w:t>
            </w:r>
          </w:p>
        </w:tc>
        <w:tc>
          <w:tcPr>
            <w:tcW w:w="1403" w:type="dxa"/>
          </w:tcPr>
          <w:p w14:paraId="7F2ECD08"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10</w:t>
            </w:r>
          </w:p>
        </w:tc>
      </w:tr>
      <w:tr w:rsidR="00D554C2" w:rsidRPr="00D554C2" w14:paraId="07EACF2F" w14:textId="77777777" w:rsidTr="009B4CAE">
        <w:trPr>
          <w:jc w:val="center"/>
        </w:trPr>
        <w:tc>
          <w:tcPr>
            <w:tcW w:w="970" w:type="dxa"/>
          </w:tcPr>
          <w:p w14:paraId="678198E1"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B</w:t>
            </w:r>
          </w:p>
        </w:tc>
        <w:tc>
          <w:tcPr>
            <w:tcW w:w="1183" w:type="dxa"/>
          </w:tcPr>
          <w:p w14:paraId="71D2DA95"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良好</w:t>
            </w:r>
          </w:p>
        </w:tc>
        <w:tc>
          <w:tcPr>
            <w:tcW w:w="1341" w:type="dxa"/>
          </w:tcPr>
          <w:p w14:paraId="41188715"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80—89</w:t>
            </w:r>
          </w:p>
        </w:tc>
        <w:tc>
          <w:tcPr>
            <w:tcW w:w="3039" w:type="dxa"/>
          </w:tcPr>
          <w:p w14:paraId="6502FB55"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姿势较正确，动作自然，</w:t>
            </w:r>
          </w:p>
        </w:tc>
        <w:tc>
          <w:tcPr>
            <w:tcW w:w="1403" w:type="dxa"/>
          </w:tcPr>
          <w:p w14:paraId="3E70C96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9</w:t>
            </w:r>
          </w:p>
        </w:tc>
      </w:tr>
      <w:tr w:rsidR="00D554C2" w:rsidRPr="00D554C2" w14:paraId="783446E1" w14:textId="77777777" w:rsidTr="009B4CAE">
        <w:trPr>
          <w:jc w:val="center"/>
        </w:trPr>
        <w:tc>
          <w:tcPr>
            <w:tcW w:w="970" w:type="dxa"/>
          </w:tcPr>
          <w:p w14:paraId="561AE6FC"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C</w:t>
            </w:r>
          </w:p>
        </w:tc>
        <w:tc>
          <w:tcPr>
            <w:tcW w:w="1183" w:type="dxa"/>
          </w:tcPr>
          <w:p w14:paraId="611C3221"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良</w:t>
            </w:r>
          </w:p>
        </w:tc>
        <w:tc>
          <w:tcPr>
            <w:tcW w:w="1341" w:type="dxa"/>
          </w:tcPr>
          <w:p w14:paraId="11BBFB00"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70—79</w:t>
            </w:r>
          </w:p>
        </w:tc>
        <w:tc>
          <w:tcPr>
            <w:tcW w:w="3039" w:type="dxa"/>
          </w:tcPr>
          <w:p w14:paraId="7398EEC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姿势一般，动作基本正</w:t>
            </w:r>
            <w:r w:rsidRPr="00D554C2">
              <w:rPr>
                <w:rFonts w:ascii="宋体" w:eastAsia="宋体" w:hAnsi="Calibri" w:cs="Times New Roman" w:hint="eastAsia"/>
                <w:bCs/>
                <w:kern w:val="0"/>
                <w:sz w:val="24"/>
              </w:rPr>
              <w:lastRenderedPageBreak/>
              <w:t>确，</w:t>
            </w:r>
          </w:p>
        </w:tc>
        <w:tc>
          <w:tcPr>
            <w:tcW w:w="1403" w:type="dxa"/>
          </w:tcPr>
          <w:p w14:paraId="4D0C9EC8"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lastRenderedPageBreak/>
              <w:t>8</w:t>
            </w:r>
          </w:p>
        </w:tc>
      </w:tr>
      <w:tr w:rsidR="00D554C2" w:rsidRPr="00D554C2" w14:paraId="41A368EA" w14:textId="77777777" w:rsidTr="009B4CAE">
        <w:trPr>
          <w:jc w:val="center"/>
        </w:trPr>
        <w:tc>
          <w:tcPr>
            <w:tcW w:w="970" w:type="dxa"/>
          </w:tcPr>
          <w:p w14:paraId="089018FB"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D</w:t>
            </w:r>
          </w:p>
        </w:tc>
        <w:tc>
          <w:tcPr>
            <w:tcW w:w="1183" w:type="dxa"/>
          </w:tcPr>
          <w:p w14:paraId="1B1B16C0"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及格</w:t>
            </w:r>
          </w:p>
        </w:tc>
        <w:tc>
          <w:tcPr>
            <w:tcW w:w="1341" w:type="dxa"/>
          </w:tcPr>
          <w:p w14:paraId="794474C0"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60—69</w:t>
            </w:r>
          </w:p>
        </w:tc>
        <w:tc>
          <w:tcPr>
            <w:tcW w:w="3039" w:type="dxa"/>
          </w:tcPr>
          <w:p w14:paraId="523FE202"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动作不协调，有多余动作，</w:t>
            </w:r>
          </w:p>
        </w:tc>
        <w:tc>
          <w:tcPr>
            <w:tcW w:w="1403" w:type="dxa"/>
          </w:tcPr>
          <w:p w14:paraId="77CE5518"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7</w:t>
            </w:r>
          </w:p>
        </w:tc>
      </w:tr>
      <w:tr w:rsidR="00D554C2" w:rsidRPr="00D554C2" w14:paraId="2C0F4D4F" w14:textId="77777777" w:rsidTr="009B4CAE">
        <w:trPr>
          <w:jc w:val="center"/>
        </w:trPr>
        <w:tc>
          <w:tcPr>
            <w:tcW w:w="970" w:type="dxa"/>
          </w:tcPr>
          <w:p w14:paraId="34FCA1C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E</w:t>
            </w:r>
          </w:p>
        </w:tc>
        <w:tc>
          <w:tcPr>
            <w:tcW w:w="1183" w:type="dxa"/>
          </w:tcPr>
          <w:p w14:paraId="5AD69DFD"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不及格</w:t>
            </w:r>
          </w:p>
        </w:tc>
        <w:tc>
          <w:tcPr>
            <w:tcW w:w="1341" w:type="dxa"/>
          </w:tcPr>
          <w:p w14:paraId="7677DF2E"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60以下</w:t>
            </w:r>
          </w:p>
        </w:tc>
        <w:tc>
          <w:tcPr>
            <w:tcW w:w="3039" w:type="dxa"/>
          </w:tcPr>
          <w:p w14:paraId="6FB9D39B"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动作僵硬，吃力，不协调</w:t>
            </w:r>
          </w:p>
        </w:tc>
        <w:tc>
          <w:tcPr>
            <w:tcW w:w="1403" w:type="dxa"/>
          </w:tcPr>
          <w:p w14:paraId="46F7D0B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w:t>
            </w:r>
          </w:p>
        </w:tc>
      </w:tr>
    </w:tbl>
    <w:p w14:paraId="62158C17" w14:textId="77777777" w:rsidR="00D554C2" w:rsidRPr="00D554C2" w:rsidRDefault="00D554C2" w:rsidP="00D554C2">
      <w:pPr>
        <w:adjustRightInd w:val="0"/>
        <w:snapToGrid w:val="0"/>
        <w:spacing w:line="500" w:lineRule="exact"/>
        <w:rPr>
          <w:rFonts w:ascii="宋体" w:eastAsia="宋体" w:hAnsi="Calibri" w:cs="Times New Roman"/>
          <w:bCs/>
          <w:kern w:val="0"/>
          <w:sz w:val="24"/>
        </w:rPr>
      </w:pPr>
    </w:p>
    <w:p w14:paraId="6FAC37A1" w14:textId="77777777" w:rsidR="00D554C2" w:rsidRPr="00D554C2" w:rsidRDefault="00D554C2" w:rsidP="00D554C2">
      <w:pPr>
        <w:adjustRightInd w:val="0"/>
        <w:snapToGrid w:val="0"/>
        <w:spacing w:line="500" w:lineRule="exact"/>
        <w:jc w:val="center"/>
        <w:rPr>
          <w:rFonts w:ascii="宋体" w:eastAsia="宋体" w:hAnsi="Calibri" w:cs="Times New Roman"/>
          <w:b/>
          <w:kern w:val="0"/>
          <w:sz w:val="24"/>
        </w:rPr>
      </w:pPr>
      <w:r w:rsidRPr="00D554C2">
        <w:rPr>
          <w:rFonts w:ascii="宋体" w:eastAsia="宋体" w:hAnsi="Calibri" w:cs="Times New Roman" w:hint="eastAsia"/>
          <w:b/>
          <w:kern w:val="0"/>
          <w:sz w:val="24"/>
        </w:rPr>
        <w:t>期末考试</w:t>
      </w:r>
    </w:p>
    <w:p w14:paraId="3CDEFD32"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通过考核检验毽球技术教学效果和学生掌握情况，让学生了解选项课内容和科学体育锻炼方式方法。</w:t>
      </w:r>
    </w:p>
    <w:p w14:paraId="51A43B9C" w14:textId="77777777" w:rsidR="00D554C2" w:rsidRPr="00D554C2" w:rsidRDefault="00D554C2" w:rsidP="00D554C2">
      <w:pPr>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2.课程考核的内容：</w:t>
      </w:r>
      <w:r w:rsidRPr="00D554C2">
        <w:rPr>
          <w:rFonts w:ascii="宋体" w:eastAsia="宋体" w:hAnsi="宋体" w:cs="宋体" w:hint="eastAsia"/>
          <w:sz w:val="24"/>
        </w:rPr>
        <w:t>脚内侧踢球技术、两人对踢球技术、发球和接发球技术。</w:t>
      </w:r>
    </w:p>
    <w:p w14:paraId="248F9E59"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3.课程考核方式：</w:t>
      </w:r>
      <w:r w:rsidRPr="00D554C2">
        <w:rPr>
          <w:rFonts w:ascii="宋体" w:eastAsia="宋体" w:hAnsi="Calibri" w:cs="Times New Roman" w:hint="eastAsia"/>
          <w:bCs/>
          <w:kern w:val="0"/>
          <w:sz w:val="24"/>
        </w:rPr>
        <w:t>毽球场地结合球网进行两轮次测试，取最好成绩。</w:t>
      </w:r>
    </w:p>
    <w:p w14:paraId="34BA8B88"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4.成绩构成及分值：</w:t>
      </w:r>
      <w:r w:rsidRPr="00D554C2">
        <w:rPr>
          <w:rFonts w:ascii="宋体" w:eastAsia="宋体" w:hAnsi="Calibri" w:cs="Times New Roman" w:hint="eastAsia"/>
          <w:bCs/>
          <w:kern w:val="0"/>
          <w:sz w:val="24"/>
        </w:rPr>
        <w:t>数量及技术评定分值各为100分，各占总分值的20%，总分值为100分。进6球为及格，10球为满分100分；分值100分。</w:t>
      </w:r>
    </w:p>
    <w:p w14:paraId="7387BA05"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D554C2" w:rsidRPr="00D554C2" w14:paraId="4784FF4E" w14:textId="77777777" w:rsidTr="009B4CAE">
        <w:trPr>
          <w:jc w:val="center"/>
        </w:trPr>
        <w:tc>
          <w:tcPr>
            <w:tcW w:w="970" w:type="dxa"/>
          </w:tcPr>
          <w:p w14:paraId="38F834F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技术分</w:t>
            </w:r>
          </w:p>
        </w:tc>
        <w:tc>
          <w:tcPr>
            <w:tcW w:w="1183" w:type="dxa"/>
          </w:tcPr>
          <w:p w14:paraId="25140DBE"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五级制</w:t>
            </w:r>
          </w:p>
        </w:tc>
        <w:tc>
          <w:tcPr>
            <w:tcW w:w="1341" w:type="dxa"/>
          </w:tcPr>
          <w:p w14:paraId="0D600619"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分值范围</w:t>
            </w:r>
          </w:p>
        </w:tc>
        <w:tc>
          <w:tcPr>
            <w:tcW w:w="3039" w:type="dxa"/>
          </w:tcPr>
          <w:p w14:paraId="37D698E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备注</w:t>
            </w:r>
          </w:p>
        </w:tc>
        <w:tc>
          <w:tcPr>
            <w:tcW w:w="1403" w:type="dxa"/>
          </w:tcPr>
          <w:p w14:paraId="3EB52CD0"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数目</w:t>
            </w:r>
          </w:p>
        </w:tc>
      </w:tr>
      <w:tr w:rsidR="00D554C2" w:rsidRPr="00D554C2" w14:paraId="1131D6FC" w14:textId="77777777" w:rsidTr="009B4CAE">
        <w:trPr>
          <w:jc w:val="center"/>
        </w:trPr>
        <w:tc>
          <w:tcPr>
            <w:tcW w:w="970" w:type="dxa"/>
          </w:tcPr>
          <w:p w14:paraId="544321B6"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A</w:t>
            </w:r>
          </w:p>
        </w:tc>
        <w:tc>
          <w:tcPr>
            <w:tcW w:w="1183" w:type="dxa"/>
          </w:tcPr>
          <w:p w14:paraId="2E711CCF"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优</w:t>
            </w:r>
          </w:p>
        </w:tc>
        <w:tc>
          <w:tcPr>
            <w:tcW w:w="1341" w:type="dxa"/>
          </w:tcPr>
          <w:p w14:paraId="446AF4EF"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90—95</w:t>
            </w:r>
          </w:p>
        </w:tc>
        <w:tc>
          <w:tcPr>
            <w:tcW w:w="3039" w:type="dxa"/>
          </w:tcPr>
          <w:p w14:paraId="5643567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姿势正确，动作优美、协调，</w:t>
            </w:r>
          </w:p>
        </w:tc>
        <w:tc>
          <w:tcPr>
            <w:tcW w:w="1403" w:type="dxa"/>
          </w:tcPr>
          <w:p w14:paraId="705893F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10</w:t>
            </w:r>
          </w:p>
        </w:tc>
      </w:tr>
      <w:tr w:rsidR="00D554C2" w:rsidRPr="00D554C2" w14:paraId="0442B51D" w14:textId="77777777" w:rsidTr="009B4CAE">
        <w:trPr>
          <w:jc w:val="center"/>
        </w:trPr>
        <w:tc>
          <w:tcPr>
            <w:tcW w:w="970" w:type="dxa"/>
          </w:tcPr>
          <w:p w14:paraId="40112A15"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B</w:t>
            </w:r>
          </w:p>
        </w:tc>
        <w:tc>
          <w:tcPr>
            <w:tcW w:w="1183" w:type="dxa"/>
          </w:tcPr>
          <w:p w14:paraId="6D884BBB"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良好</w:t>
            </w:r>
          </w:p>
        </w:tc>
        <w:tc>
          <w:tcPr>
            <w:tcW w:w="1341" w:type="dxa"/>
          </w:tcPr>
          <w:p w14:paraId="20CE388D"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80—89</w:t>
            </w:r>
          </w:p>
        </w:tc>
        <w:tc>
          <w:tcPr>
            <w:tcW w:w="3039" w:type="dxa"/>
          </w:tcPr>
          <w:p w14:paraId="225C3731"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姿势较正确，动作自然，</w:t>
            </w:r>
          </w:p>
        </w:tc>
        <w:tc>
          <w:tcPr>
            <w:tcW w:w="1403" w:type="dxa"/>
          </w:tcPr>
          <w:p w14:paraId="46BE0E98"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9</w:t>
            </w:r>
          </w:p>
        </w:tc>
      </w:tr>
      <w:tr w:rsidR="00D554C2" w:rsidRPr="00D554C2" w14:paraId="59C294B1" w14:textId="77777777" w:rsidTr="009B4CAE">
        <w:trPr>
          <w:jc w:val="center"/>
        </w:trPr>
        <w:tc>
          <w:tcPr>
            <w:tcW w:w="970" w:type="dxa"/>
          </w:tcPr>
          <w:p w14:paraId="0E2ACF7D"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C</w:t>
            </w:r>
          </w:p>
        </w:tc>
        <w:tc>
          <w:tcPr>
            <w:tcW w:w="1183" w:type="dxa"/>
          </w:tcPr>
          <w:p w14:paraId="1B66997F"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良</w:t>
            </w:r>
          </w:p>
        </w:tc>
        <w:tc>
          <w:tcPr>
            <w:tcW w:w="1341" w:type="dxa"/>
          </w:tcPr>
          <w:p w14:paraId="4A1B619F"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70—79</w:t>
            </w:r>
          </w:p>
        </w:tc>
        <w:tc>
          <w:tcPr>
            <w:tcW w:w="3039" w:type="dxa"/>
          </w:tcPr>
          <w:p w14:paraId="177CEB5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姿势一般，动作基本正确，</w:t>
            </w:r>
          </w:p>
        </w:tc>
        <w:tc>
          <w:tcPr>
            <w:tcW w:w="1403" w:type="dxa"/>
          </w:tcPr>
          <w:p w14:paraId="2E5DA65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8</w:t>
            </w:r>
          </w:p>
        </w:tc>
      </w:tr>
      <w:tr w:rsidR="00D554C2" w:rsidRPr="00D554C2" w14:paraId="42B73941" w14:textId="77777777" w:rsidTr="009B4CAE">
        <w:trPr>
          <w:jc w:val="center"/>
        </w:trPr>
        <w:tc>
          <w:tcPr>
            <w:tcW w:w="970" w:type="dxa"/>
          </w:tcPr>
          <w:p w14:paraId="18CF42A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D</w:t>
            </w:r>
          </w:p>
        </w:tc>
        <w:tc>
          <w:tcPr>
            <w:tcW w:w="1183" w:type="dxa"/>
          </w:tcPr>
          <w:p w14:paraId="623C361D"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及格</w:t>
            </w:r>
          </w:p>
        </w:tc>
        <w:tc>
          <w:tcPr>
            <w:tcW w:w="1341" w:type="dxa"/>
          </w:tcPr>
          <w:p w14:paraId="3AF4DAA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60—69</w:t>
            </w:r>
          </w:p>
        </w:tc>
        <w:tc>
          <w:tcPr>
            <w:tcW w:w="3039" w:type="dxa"/>
          </w:tcPr>
          <w:p w14:paraId="5E7492D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动作不协调，有多余动作，</w:t>
            </w:r>
          </w:p>
        </w:tc>
        <w:tc>
          <w:tcPr>
            <w:tcW w:w="1403" w:type="dxa"/>
          </w:tcPr>
          <w:p w14:paraId="3931B345"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7</w:t>
            </w:r>
          </w:p>
        </w:tc>
      </w:tr>
      <w:tr w:rsidR="00D554C2" w:rsidRPr="00D554C2" w14:paraId="7CB13468" w14:textId="77777777" w:rsidTr="009B4CAE">
        <w:trPr>
          <w:jc w:val="center"/>
        </w:trPr>
        <w:tc>
          <w:tcPr>
            <w:tcW w:w="970" w:type="dxa"/>
          </w:tcPr>
          <w:p w14:paraId="0A1C4EA1"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E</w:t>
            </w:r>
          </w:p>
        </w:tc>
        <w:tc>
          <w:tcPr>
            <w:tcW w:w="1183" w:type="dxa"/>
          </w:tcPr>
          <w:p w14:paraId="7B012C0F"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不及格</w:t>
            </w:r>
          </w:p>
        </w:tc>
        <w:tc>
          <w:tcPr>
            <w:tcW w:w="1341" w:type="dxa"/>
          </w:tcPr>
          <w:p w14:paraId="770436C7"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60以下</w:t>
            </w:r>
          </w:p>
        </w:tc>
        <w:tc>
          <w:tcPr>
            <w:tcW w:w="3039" w:type="dxa"/>
          </w:tcPr>
          <w:p w14:paraId="77B66FE5"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动作僵硬，吃力，不协调</w:t>
            </w:r>
          </w:p>
        </w:tc>
        <w:tc>
          <w:tcPr>
            <w:tcW w:w="1403" w:type="dxa"/>
          </w:tcPr>
          <w:p w14:paraId="2CEF8AEB"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w:t>
            </w:r>
          </w:p>
        </w:tc>
      </w:tr>
    </w:tbl>
    <w:p w14:paraId="35346E39" w14:textId="77777777" w:rsidR="00D554C2" w:rsidRPr="00D554C2" w:rsidRDefault="00D554C2" w:rsidP="00D554C2">
      <w:pPr>
        <w:adjustRightInd w:val="0"/>
        <w:snapToGrid w:val="0"/>
        <w:spacing w:line="500" w:lineRule="exact"/>
        <w:rPr>
          <w:rFonts w:ascii="黑体" w:eastAsia="黑体" w:hAnsi="黑体" w:cs="Times New Roman"/>
          <w:sz w:val="28"/>
          <w:szCs w:val="28"/>
        </w:rPr>
      </w:pPr>
      <w:r w:rsidRPr="00D554C2">
        <w:rPr>
          <w:rFonts w:ascii="宋体" w:eastAsia="宋体" w:hAnsi="Calibri" w:cs="Times New Roman" w:hint="eastAsia"/>
          <w:bCs/>
          <w:kern w:val="0"/>
          <w:sz w:val="24"/>
        </w:rPr>
        <w:t xml:space="preserve">    </w:t>
      </w:r>
      <w:r w:rsidRPr="00D554C2">
        <w:rPr>
          <w:rFonts w:ascii="黑体" w:eastAsia="黑体" w:hAnsi="黑体" w:cs="Times New Roman" w:hint="eastAsia"/>
          <w:sz w:val="28"/>
          <w:szCs w:val="28"/>
        </w:rPr>
        <w:t>第三学期</w:t>
      </w:r>
    </w:p>
    <w:p w14:paraId="37753EAC" w14:textId="77777777" w:rsidR="00D554C2" w:rsidRPr="00D554C2" w:rsidRDefault="00D554C2" w:rsidP="00D554C2">
      <w:pPr>
        <w:adjustRightInd w:val="0"/>
        <w:snapToGrid w:val="0"/>
        <w:spacing w:line="500" w:lineRule="exact"/>
        <w:jc w:val="center"/>
        <w:rPr>
          <w:rFonts w:ascii="宋体" w:eastAsia="宋体" w:hAnsi="Calibri" w:cs="Times New Roman"/>
          <w:b/>
          <w:kern w:val="0"/>
          <w:sz w:val="24"/>
        </w:rPr>
      </w:pPr>
      <w:r w:rsidRPr="00D554C2">
        <w:rPr>
          <w:rFonts w:ascii="宋体" w:eastAsia="宋体" w:hAnsi="Calibri" w:cs="Times New Roman" w:hint="eastAsia"/>
          <w:b/>
          <w:kern w:val="0"/>
          <w:sz w:val="24"/>
        </w:rPr>
        <w:t>期中考试</w:t>
      </w:r>
    </w:p>
    <w:p w14:paraId="27F22EA4"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通过考核检验毽球技术教学效果和学生掌握情况，让学生了解选项课内容和科学体育锻炼方式方法。</w:t>
      </w:r>
    </w:p>
    <w:p w14:paraId="10F42179" w14:textId="77777777" w:rsidR="00D554C2" w:rsidRPr="00D554C2" w:rsidRDefault="00D554C2" w:rsidP="00D554C2">
      <w:pPr>
        <w:spacing w:line="500" w:lineRule="exact"/>
        <w:ind w:firstLineChars="200" w:firstLine="482"/>
        <w:rPr>
          <w:rFonts w:ascii="宋体" w:eastAsia="宋体" w:hAnsi="宋体" w:cs="宋体"/>
          <w:sz w:val="24"/>
        </w:rPr>
      </w:pPr>
      <w:r w:rsidRPr="00D554C2">
        <w:rPr>
          <w:rFonts w:ascii="宋体" w:eastAsia="宋体" w:hAnsi="Calibri" w:cs="Times New Roman" w:hint="eastAsia"/>
          <w:b/>
          <w:kern w:val="0"/>
          <w:sz w:val="24"/>
        </w:rPr>
        <w:t>2.课程考核的内容：</w:t>
      </w:r>
      <w:r w:rsidRPr="00D554C2">
        <w:rPr>
          <w:rFonts w:ascii="宋体" w:eastAsia="宋体" w:hAnsi="宋体" w:cs="宋体" w:hint="eastAsia"/>
          <w:sz w:val="24"/>
        </w:rPr>
        <w:t>脚内侧踢球技术、两人对踢球技术、发球和接发球技术。</w:t>
      </w:r>
    </w:p>
    <w:p w14:paraId="00B4D4E9"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lastRenderedPageBreak/>
        <w:t>3.课程考核方式：</w:t>
      </w:r>
      <w:r w:rsidRPr="00D554C2">
        <w:rPr>
          <w:rFonts w:ascii="宋体" w:eastAsia="宋体" w:hAnsi="Calibri" w:cs="Times New Roman" w:hint="eastAsia"/>
          <w:bCs/>
          <w:kern w:val="0"/>
          <w:sz w:val="24"/>
        </w:rPr>
        <w:t>毽球场地结合球网进行两轮次测试，取最好成绩。</w:t>
      </w:r>
    </w:p>
    <w:p w14:paraId="345899BB"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4.成绩构成及分值：</w:t>
      </w:r>
      <w:r w:rsidRPr="00D554C2">
        <w:rPr>
          <w:rFonts w:ascii="宋体" w:eastAsia="宋体" w:hAnsi="Calibri" w:cs="Times New Roman" w:hint="eastAsia"/>
          <w:bCs/>
          <w:kern w:val="0"/>
          <w:sz w:val="24"/>
        </w:rPr>
        <w:t>数量及技术评定分值各为100分，各占总分值的20%，总分值为100分。进6球为及格，10球为满分100分；分值100分。</w:t>
      </w:r>
    </w:p>
    <w:p w14:paraId="460E5F6B"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D554C2" w:rsidRPr="00D554C2" w14:paraId="1B88AD21" w14:textId="77777777" w:rsidTr="009B4CAE">
        <w:trPr>
          <w:jc w:val="center"/>
        </w:trPr>
        <w:tc>
          <w:tcPr>
            <w:tcW w:w="970" w:type="dxa"/>
          </w:tcPr>
          <w:p w14:paraId="306F71F6"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技术分</w:t>
            </w:r>
          </w:p>
        </w:tc>
        <w:tc>
          <w:tcPr>
            <w:tcW w:w="1183" w:type="dxa"/>
          </w:tcPr>
          <w:p w14:paraId="3E73C3AF"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五级制</w:t>
            </w:r>
          </w:p>
        </w:tc>
        <w:tc>
          <w:tcPr>
            <w:tcW w:w="1341" w:type="dxa"/>
          </w:tcPr>
          <w:p w14:paraId="7A26D7D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分值范围</w:t>
            </w:r>
          </w:p>
        </w:tc>
        <w:tc>
          <w:tcPr>
            <w:tcW w:w="3039" w:type="dxa"/>
          </w:tcPr>
          <w:p w14:paraId="3F32D641"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备注</w:t>
            </w:r>
          </w:p>
        </w:tc>
        <w:tc>
          <w:tcPr>
            <w:tcW w:w="1403" w:type="dxa"/>
          </w:tcPr>
          <w:p w14:paraId="1C52475E"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数目</w:t>
            </w:r>
          </w:p>
        </w:tc>
      </w:tr>
      <w:tr w:rsidR="00D554C2" w:rsidRPr="00D554C2" w14:paraId="438CFE61" w14:textId="77777777" w:rsidTr="009B4CAE">
        <w:trPr>
          <w:jc w:val="center"/>
        </w:trPr>
        <w:tc>
          <w:tcPr>
            <w:tcW w:w="970" w:type="dxa"/>
          </w:tcPr>
          <w:p w14:paraId="65668581"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A</w:t>
            </w:r>
          </w:p>
        </w:tc>
        <w:tc>
          <w:tcPr>
            <w:tcW w:w="1183" w:type="dxa"/>
          </w:tcPr>
          <w:p w14:paraId="291CA0BF"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优</w:t>
            </w:r>
          </w:p>
        </w:tc>
        <w:tc>
          <w:tcPr>
            <w:tcW w:w="1341" w:type="dxa"/>
          </w:tcPr>
          <w:p w14:paraId="4A4F9508"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90—95</w:t>
            </w:r>
          </w:p>
        </w:tc>
        <w:tc>
          <w:tcPr>
            <w:tcW w:w="3039" w:type="dxa"/>
          </w:tcPr>
          <w:p w14:paraId="6A151EFB"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姿势正确，动作优美、协调，</w:t>
            </w:r>
          </w:p>
        </w:tc>
        <w:tc>
          <w:tcPr>
            <w:tcW w:w="1403" w:type="dxa"/>
          </w:tcPr>
          <w:p w14:paraId="47528389"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10</w:t>
            </w:r>
          </w:p>
        </w:tc>
      </w:tr>
      <w:tr w:rsidR="00D554C2" w:rsidRPr="00D554C2" w14:paraId="4CDFE6FD" w14:textId="77777777" w:rsidTr="009B4CAE">
        <w:trPr>
          <w:jc w:val="center"/>
        </w:trPr>
        <w:tc>
          <w:tcPr>
            <w:tcW w:w="970" w:type="dxa"/>
          </w:tcPr>
          <w:p w14:paraId="1307A06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B</w:t>
            </w:r>
          </w:p>
        </w:tc>
        <w:tc>
          <w:tcPr>
            <w:tcW w:w="1183" w:type="dxa"/>
          </w:tcPr>
          <w:p w14:paraId="26A0C4F1"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良好</w:t>
            </w:r>
          </w:p>
        </w:tc>
        <w:tc>
          <w:tcPr>
            <w:tcW w:w="1341" w:type="dxa"/>
          </w:tcPr>
          <w:p w14:paraId="00B0164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80—89</w:t>
            </w:r>
          </w:p>
        </w:tc>
        <w:tc>
          <w:tcPr>
            <w:tcW w:w="3039" w:type="dxa"/>
          </w:tcPr>
          <w:p w14:paraId="7E52D177"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姿势较正确，动作自然，</w:t>
            </w:r>
          </w:p>
        </w:tc>
        <w:tc>
          <w:tcPr>
            <w:tcW w:w="1403" w:type="dxa"/>
          </w:tcPr>
          <w:p w14:paraId="4A3ACD39"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9</w:t>
            </w:r>
          </w:p>
        </w:tc>
      </w:tr>
      <w:tr w:rsidR="00D554C2" w:rsidRPr="00D554C2" w14:paraId="4FA3FE61" w14:textId="77777777" w:rsidTr="009B4CAE">
        <w:trPr>
          <w:jc w:val="center"/>
        </w:trPr>
        <w:tc>
          <w:tcPr>
            <w:tcW w:w="970" w:type="dxa"/>
          </w:tcPr>
          <w:p w14:paraId="44AD453C"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C</w:t>
            </w:r>
          </w:p>
        </w:tc>
        <w:tc>
          <w:tcPr>
            <w:tcW w:w="1183" w:type="dxa"/>
          </w:tcPr>
          <w:p w14:paraId="4645FA05"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良</w:t>
            </w:r>
          </w:p>
        </w:tc>
        <w:tc>
          <w:tcPr>
            <w:tcW w:w="1341" w:type="dxa"/>
          </w:tcPr>
          <w:p w14:paraId="059568E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70—79</w:t>
            </w:r>
          </w:p>
        </w:tc>
        <w:tc>
          <w:tcPr>
            <w:tcW w:w="3039" w:type="dxa"/>
          </w:tcPr>
          <w:p w14:paraId="4FE5827D"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姿势一般，动作基本正确，</w:t>
            </w:r>
          </w:p>
        </w:tc>
        <w:tc>
          <w:tcPr>
            <w:tcW w:w="1403" w:type="dxa"/>
          </w:tcPr>
          <w:p w14:paraId="32CBCDD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8</w:t>
            </w:r>
          </w:p>
        </w:tc>
      </w:tr>
      <w:tr w:rsidR="00D554C2" w:rsidRPr="00D554C2" w14:paraId="3773181E" w14:textId="77777777" w:rsidTr="009B4CAE">
        <w:trPr>
          <w:jc w:val="center"/>
        </w:trPr>
        <w:tc>
          <w:tcPr>
            <w:tcW w:w="970" w:type="dxa"/>
          </w:tcPr>
          <w:p w14:paraId="6162AA3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D</w:t>
            </w:r>
          </w:p>
        </w:tc>
        <w:tc>
          <w:tcPr>
            <w:tcW w:w="1183" w:type="dxa"/>
          </w:tcPr>
          <w:p w14:paraId="21285400"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及格</w:t>
            </w:r>
          </w:p>
        </w:tc>
        <w:tc>
          <w:tcPr>
            <w:tcW w:w="1341" w:type="dxa"/>
          </w:tcPr>
          <w:p w14:paraId="232B45F0"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60—69</w:t>
            </w:r>
          </w:p>
        </w:tc>
        <w:tc>
          <w:tcPr>
            <w:tcW w:w="3039" w:type="dxa"/>
          </w:tcPr>
          <w:p w14:paraId="4E26DC08"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动作不协调，有多余动作，</w:t>
            </w:r>
          </w:p>
        </w:tc>
        <w:tc>
          <w:tcPr>
            <w:tcW w:w="1403" w:type="dxa"/>
          </w:tcPr>
          <w:p w14:paraId="43D40290"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7</w:t>
            </w:r>
          </w:p>
        </w:tc>
      </w:tr>
      <w:tr w:rsidR="00D554C2" w:rsidRPr="00D554C2" w14:paraId="1028D6EF" w14:textId="77777777" w:rsidTr="009B4CAE">
        <w:trPr>
          <w:jc w:val="center"/>
        </w:trPr>
        <w:tc>
          <w:tcPr>
            <w:tcW w:w="970" w:type="dxa"/>
          </w:tcPr>
          <w:p w14:paraId="55710D8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E</w:t>
            </w:r>
          </w:p>
        </w:tc>
        <w:tc>
          <w:tcPr>
            <w:tcW w:w="1183" w:type="dxa"/>
          </w:tcPr>
          <w:p w14:paraId="6D2059E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不及格</w:t>
            </w:r>
          </w:p>
        </w:tc>
        <w:tc>
          <w:tcPr>
            <w:tcW w:w="1341" w:type="dxa"/>
          </w:tcPr>
          <w:p w14:paraId="0D2570F9"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60以下</w:t>
            </w:r>
          </w:p>
        </w:tc>
        <w:tc>
          <w:tcPr>
            <w:tcW w:w="3039" w:type="dxa"/>
          </w:tcPr>
          <w:p w14:paraId="706BBEB8"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动作僵硬，吃力，不协调</w:t>
            </w:r>
          </w:p>
        </w:tc>
        <w:tc>
          <w:tcPr>
            <w:tcW w:w="1403" w:type="dxa"/>
          </w:tcPr>
          <w:p w14:paraId="708096DF"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w:t>
            </w:r>
          </w:p>
        </w:tc>
      </w:tr>
    </w:tbl>
    <w:p w14:paraId="09CA5449" w14:textId="77777777" w:rsidR="00D554C2" w:rsidRPr="00D554C2" w:rsidRDefault="00D554C2" w:rsidP="00D554C2">
      <w:pPr>
        <w:adjustRightInd w:val="0"/>
        <w:snapToGrid w:val="0"/>
        <w:spacing w:line="500" w:lineRule="exact"/>
        <w:rPr>
          <w:rFonts w:ascii="宋体" w:eastAsia="宋体" w:hAnsi="Calibri" w:cs="Times New Roman"/>
          <w:bCs/>
          <w:kern w:val="0"/>
          <w:sz w:val="24"/>
        </w:rPr>
      </w:pPr>
    </w:p>
    <w:p w14:paraId="3210369C" w14:textId="77777777" w:rsidR="00D554C2" w:rsidRPr="00D554C2" w:rsidRDefault="00D554C2" w:rsidP="00D554C2">
      <w:pPr>
        <w:adjustRightInd w:val="0"/>
        <w:snapToGrid w:val="0"/>
        <w:spacing w:line="500" w:lineRule="exact"/>
        <w:jc w:val="center"/>
        <w:rPr>
          <w:rFonts w:ascii="宋体" w:eastAsia="宋体" w:hAnsi="Calibri" w:cs="Times New Roman"/>
          <w:b/>
          <w:kern w:val="0"/>
          <w:sz w:val="24"/>
        </w:rPr>
      </w:pPr>
      <w:r w:rsidRPr="00D554C2">
        <w:rPr>
          <w:rFonts w:ascii="宋体" w:eastAsia="宋体" w:hAnsi="Calibri" w:cs="Times New Roman" w:hint="eastAsia"/>
          <w:b/>
          <w:kern w:val="0"/>
          <w:sz w:val="24"/>
        </w:rPr>
        <w:t>期末考试</w:t>
      </w:r>
    </w:p>
    <w:p w14:paraId="330BBA17"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通过考核检验毽球技术教学效果和学生掌握情况，让学生了解选项课内容和科学体育锻炼方式方法。</w:t>
      </w:r>
    </w:p>
    <w:p w14:paraId="63EEDFC4" w14:textId="77777777" w:rsidR="00D554C2" w:rsidRPr="00D554C2" w:rsidRDefault="00D554C2" w:rsidP="00D554C2">
      <w:pPr>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2.课程考核的内容：</w:t>
      </w:r>
      <w:r w:rsidRPr="00D554C2">
        <w:rPr>
          <w:rFonts w:ascii="宋体" w:eastAsia="宋体" w:hAnsi="宋体" w:cs="宋体" w:hint="eastAsia"/>
          <w:sz w:val="24"/>
        </w:rPr>
        <w:t>脚内侧踢球技术、两人对踢球技术、发球和接发球技术。</w:t>
      </w:r>
    </w:p>
    <w:p w14:paraId="5E0B531E"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3.课程考核方式：</w:t>
      </w:r>
      <w:r w:rsidRPr="00D554C2">
        <w:rPr>
          <w:rFonts w:ascii="宋体" w:eastAsia="宋体" w:hAnsi="Calibri" w:cs="Times New Roman" w:hint="eastAsia"/>
          <w:bCs/>
          <w:kern w:val="0"/>
          <w:sz w:val="24"/>
        </w:rPr>
        <w:t>毽球场地结合球网进行两轮次测试，取最好成绩。</w:t>
      </w:r>
    </w:p>
    <w:p w14:paraId="73809BD5"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4.成绩构成及分值：</w:t>
      </w:r>
      <w:r w:rsidRPr="00D554C2">
        <w:rPr>
          <w:rFonts w:ascii="宋体" w:eastAsia="宋体" w:hAnsi="Calibri" w:cs="Times New Roman" w:hint="eastAsia"/>
          <w:bCs/>
          <w:kern w:val="0"/>
          <w:sz w:val="24"/>
        </w:rPr>
        <w:t>数量及技术评定分值各为100分，各占总分值的20%，总分值为100分。进6球为及格，10球为满分100分；分值100分。</w:t>
      </w:r>
    </w:p>
    <w:p w14:paraId="27E736D6"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D554C2" w:rsidRPr="00D554C2" w14:paraId="4908F5DF" w14:textId="77777777" w:rsidTr="009B4CAE">
        <w:trPr>
          <w:jc w:val="center"/>
        </w:trPr>
        <w:tc>
          <w:tcPr>
            <w:tcW w:w="970" w:type="dxa"/>
          </w:tcPr>
          <w:p w14:paraId="6C2F7E57"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技术分</w:t>
            </w:r>
          </w:p>
        </w:tc>
        <w:tc>
          <w:tcPr>
            <w:tcW w:w="1183" w:type="dxa"/>
          </w:tcPr>
          <w:p w14:paraId="750EBE32"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五级制</w:t>
            </w:r>
          </w:p>
        </w:tc>
        <w:tc>
          <w:tcPr>
            <w:tcW w:w="1341" w:type="dxa"/>
          </w:tcPr>
          <w:p w14:paraId="51A3884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分值范围</w:t>
            </w:r>
          </w:p>
        </w:tc>
        <w:tc>
          <w:tcPr>
            <w:tcW w:w="3039" w:type="dxa"/>
          </w:tcPr>
          <w:p w14:paraId="09AF552D"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备注</w:t>
            </w:r>
          </w:p>
        </w:tc>
        <w:tc>
          <w:tcPr>
            <w:tcW w:w="1403" w:type="dxa"/>
          </w:tcPr>
          <w:p w14:paraId="266342DE"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数目</w:t>
            </w:r>
          </w:p>
        </w:tc>
      </w:tr>
      <w:tr w:rsidR="00D554C2" w:rsidRPr="00D554C2" w14:paraId="6A6C451C" w14:textId="77777777" w:rsidTr="009B4CAE">
        <w:trPr>
          <w:jc w:val="center"/>
        </w:trPr>
        <w:tc>
          <w:tcPr>
            <w:tcW w:w="970" w:type="dxa"/>
          </w:tcPr>
          <w:p w14:paraId="77CD40D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A</w:t>
            </w:r>
          </w:p>
        </w:tc>
        <w:tc>
          <w:tcPr>
            <w:tcW w:w="1183" w:type="dxa"/>
          </w:tcPr>
          <w:p w14:paraId="183CF689"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优</w:t>
            </w:r>
          </w:p>
        </w:tc>
        <w:tc>
          <w:tcPr>
            <w:tcW w:w="1341" w:type="dxa"/>
          </w:tcPr>
          <w:p w14:paraId="75CAA06F"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90—95</w:t>
            </w:r>
          </w:p>
        </w:tc>
        <w:tc>
          <w:tcPr>
            <w:tcW w:w="3039" w:type="dxa"/>
          </w:tcPr>
          <w:p w14:paraId="7979CB2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姿势正确，动作优美、协调，</w:t>
            </w:r>
          </w:p>
        </w:tc>
        <w:tc>
          <w:tcPr>
            <w:tcW w:w="1403" w:type="dxa"/>
          </w:tcPr>
          <w:p w14:paraId="507317FE"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10</w:t>
            </w:r>
          </w:p>
        </w:tc>
      </w:tr>
      <w:tr w:rsidR="00D554C2" w:rsidRPr="00D554C2" w14:paraId="0C9E583B" w14:textId="77777777" w:rsidTr="009B4CAE">
        <w:trPr>
          <w:jc w:val="center"/>
        </w:trPr>
        <w:tc>
          <w:tcPr>
            <w:tcW w:w="970" w:type="dxa"/>
          </w:tcPr>
          <w:p w14:paraId="56A43B35"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B</w:t>
            </w:r>
          </w:p>
        </w:tc>
        <w:tc>
          <w:tcPr>
            <w:tcW w:w="1183" w:type="dxa"/>
          </w:tcPr>
          <w:p w14:paraId="758039A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良好</w:t>
            </w:r>
          </w:p>
        </w:tc>
        <w:tc>
          <w:tcPr>
            <w:tcW w:w="1341" w:type="dxa"/>
          </w:tcPr>
          <w:p w14:paraId="53303D2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80—89</w:t>
            </w:r>
          </w:p>
        </w:tc>
        <w:tc>
          <w:tcPr>
            <w:tcW w:w="3039" w:type="dxa"/>
          </w:tcPr>
          <w:p w14:paraId="7CA7665F"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姿势较正确，动作自然，</w:t>
            </w:r>
          </w:p>
        </w:tc>
        <w:tc>
          <w:tcPr>
            <w:tcW w:w="1403" w:type="dxa"/>
          </w:tcPr>
          <w:p w14:paraId="3D0F3CD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9</w:t>
            </w:r>
          </w:p>
        </w:tc>
      </w:tr>
      <w:tr w:rsidR="00D554C2" w:rsidRPr="00D554C2" w14:paraId="769550F3" w14:textId="77777777" w:rsidTr="009B4CAE">
        <w:trPr>
          <w:jc w:val="center"/>
        </w:trPr>
        <w:tc>
          <w:tcPr>
            <w:tcW w:w="970" w:type="dxa"/>
          </w:tcPr>
          <w:p w14:paraId="31AB8B87"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C</w:t>
            </w:r>
          </w:p>
        </w:tc>
        <w:tc>
          <w:tcPr>
            <w:tcW w:w="1183" w:type="dxa"/>
          </w:tcPr>
          <w:p w14:paraId="1D148772"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良</w:t>
            </w:r>
          </w:p>
        </w:tc>
        <w:tc>
          <w:tcPr>
            <w:tcW w:w="1341" w:type="dxa"/>
          </w:tcPr>
          <w:p w14:paraId="379CEC3E"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70—79</w:t>
            </w:r>
          </w:p>
        </w:tc>
        <w:tc>
          <w:tcPr>
            <w:tcW w:w="3039" w:type="dxa"/>
          </w:tcPr>
          <w:p w14:paraId="1A1FD979"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姿势一般，动作基本正</w:t>
            </w:r>
            <w:r w:rsidRPr="00D554C2">
              <w:rPr>
                <w:rFonts w:ascii="宋体" w:eastAsia="宋体" w:hAnsi="Calibri" w:cs="Times New Roman" w:hint="eastAsia"/>
                <w:bCs/>
                <w:kern w:val="0"/>
                <w:sz w:val="24"/>
              </w:rPr>
              <w:lastRenderedPageBreak/>
              <w:t>确，</w:t>
            </w:r>
          </w:p>
        </w:tc>
        <w:tc>
          <w:tcPr>
            <w:tcW w:w="1403" w:type="dxa"/>
          </w:tcPr>
          <w:p w14:paraId="52E6AD5B"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lastRenderedPageBreak/>
              <w:t>8</w:t>
            </w:r>
          </w:p>
        </w:tc>
      </w:tr>
      <w:tr w:rsidR="00D554C2" w:rsidRPr="00D554C2" w14:paraId="4357C183" w14:textId="77777777" w:rsidTr="009B4CAE">
        <w:trPr>
          <w:jc w:val="center"/>
        </w:trPr>
        <w:tc>
          <w:tcPr>
            <w:tcW w:w="970" w:type="dxa"/>
          </w:tcPr>
          <w:p w14:paraId="594F72C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D</w:t>
            </w:r>
          </w:p>
        </w:tc>
        <w:tc>
          <w:tcPr>
            <w:tcW w:w="1183" w:type="dxa"/>
          </w:tcPr>
          <w:p w14:paraId="57F27FAD"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及格</w:t>
            </w:r>
          </w:p>
        </w:tc>
        <w:tc>
          <w:tcPr>
            <w:tcW w:w="1341" w:type="dxa"/>
          </w:tcPr>
          <w:p w14:paraId="0D18EBB7"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60—69</w:t>
            </w:r>
          </w:p>
        </w:tc>
        <w:tc>
          <w:tcPr>
            <w:tcW w:w="3039" w:type="dxa"/>
          </w:tcPr>
          <w:p w14:paraId="1017731F"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动作不协调，有多余动作，</w:t>
            </w:r>
          </w:p>
        </w:tc>
        <w:tc>
          <w:tcPr>
            <w:tcW w:w="1403" w:type="dxa"/>
          </w:tcPr>
          <w:p w14:paraId="6EA8231B"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7</w:t>
            </w:r>
          </w:p>
        </w:tc>
      </w:tr>
      <w:tr w:rsidR="00D554C2" w:rsidRPr="00D554C2" w14:paraId="5B742D3F" w14:textId="77777777" w:rsidTr="009B4CAE">
        <w:trPr>
          <w:jc w:val="center"/>
        </w:trPr>
        <w:tc>
          <w:tcPr>
            <w:tcW w:w="970" w:type="dxa"/>
          </w:tcPr>
          <w:p w14:paraId="18A79E6D"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E</w:t>
            </w:r>
          </w:p>
        </w:tc>
        <w:tc>
          <w:tcPr>
            <w:tcW w:w="1183" w:type="dxa"/>
          </w:tcPr>
          <w:p w14:paraId="71757B49"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不及格</w:t>
            </w:r>
          </w:p>
        </w:tc>
        <w:tc>
          <w:tcPr>
            <w:tcW w:w="1341" w:type="dxa"/>
          </w:tcPr>
          <w:p w14:paraId="4307887F"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60以下</w:t>
            </w:r>
          </w:p>
        </w:tc>
        <w:tc>
          <w:tcPr>
            <w:tcW w:w="3039" w:type="dxa"/>
          </w:tcPr>
          <w:p w14:paraId="130C360C"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动作僵硬，吃力，不协调</w:t>
            </w:r>
          </w:p>
        </w:tc>
        <w:tc>
          <w:tcPr>
            <w:tcW w:w="1403" w:type="dxa"/>
          </w:tcPr>
          <w:p w14:paraId="56822FE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w:t>
            </w:r>
          </w:p>
        </w:tc>
      </w:tr>
    </w:tbl>
    <w:p w14:paraId="12F8A78D" w14:textId="77777777" w:rsidR="00D554C2" w:rsidRPr="00D554C2" w:rsidRDefault="00D554C2" w:rsidP="00D554C2">
      <w:pPr>
        <w:adjustRightInd w:val="0"/>
        <w:snapToGrid w:val="0"/>
        <w:spacing w:line="500" w:lineRule="exact"/>
        <w:rPr>
          <w:rFonts w:ascii="黑体" w:eastAsia="黑体" w:hAnsi="黑体" w:cs="Times New Roman"/>
          <w:sz w:val="28"/>
          <w:szCs w:val="28"/>
        </w:rPr>
      </w:pPr>
      <w:r w:rsidRPr="00D554C2">
        <w:rPr>
          <w:rFonts w:ascii="宋体" w:eastAsia="宋体" w:hAnsi="Calibri" w:cs="Times New Roman" w:hint="eastAsia"/>
          <w:bCs/>
          <w:kern w:val="0"/>
          <w:sz w:val="24"/>
        </w:rPr>
        <w:t xml:space="preserve">      </w:t>
      </w:r>
      <w:r w:rsidRPr="00D554C2">
        <w:rPr>
          <w:rFonts w:ascii="黑体" w:eastAsia="黑体" w:hAnsi="黑体" w:cs="Times New Roman" w:hint="eastAsia"/>
          <w:sz w:val="28"/>
          <w:szCs w:val="28"/>
        </w:rPr>
        <w:t>第四学期</w:t>
      </w:r>
    </w:p>
    <w:p w14:paraId="684081A5" w14:textId="77777777" w:rsidR="00D554C2" w:rsidRPr="00D554C2" w:rsidRDefault="00D554C2" w:rsidP="00D554C2">
      <w:pPr>
        <w:adjustRightInd w:val="0"/>
        <w:snapToGrid w:val="0"/>
        <w:spacing w:line="500" w:lineRule="exact"/>
        <w:jc w:val="center"/>
        <w:rPr>
          <w:rFonts w:ascii="宋体" w:eastAsia="宋体" w:hAnsi="Calibri" w:cs="Times New Roman"/>
          <w:b/>
          <w:kern w:val="0"/>
          <w:sz w:val="24"/>
        </w:rPr>
      </w:pPr>
      <w:r w:rsidRPr="00D554C2">
        <w:rPr>
          <w:rFonts w:ascii="宋体" w:eastAsia="宋体" w:hAnsi="Calibri" w:cs="Times New Roman" w:hint="eastAsia"/>
          <w:b/>
          <w:kern w:val="0"/>
          <w:sz w:val="24"/>
        </w:rPr>
        <w:t>期中考试</w:t>
      </w:r>
    </w:p>
    <w:p w14:paraId="0DBA8457"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通过考核检验毽球技术教学效果和学生掌握情况，让学生了解选项课内容和科学体育锻炼方式方法。</w:t>
      </w:r>
    </w:p>
    <w:p w14:paraId="4773B893" w14:textId="77777777" w:rsidR="00D554C2" w:rsidRPr="00D554C2" w:rsidRDefault="00D554C2" w:rsidP="00D554C2">
      <w:pPr>
        <w:spacing w:line="500" w:lineRule="exact"/>
        <w:ind w:firstLineChars="200" w:firstLine="482"/>
        <w:rPr>
          <w:rFonts w:ascii="宋体" w:eastAsia="宋体" w:hAnsi="宋体" w:cs="宋体"/>
          <w:sz w:val="24"/>
        </w:rPr>
      </w:pPr>
      <w:r w:rsidRPr="00D554C2">
        <w:rPr>
          <w:rFonts w:ascii="宋体" w:eastAsia="宋体" w:hAnsi="Calibri" w:cs="Times New Roman" w:hint="eastAsia"/>
          <w:b/>
          <w:kern w:val="0"/>
          <w:sz w:val="24"/>
        </w:rPr>
        <w:t>2.课程考核的内容：</w:t>
      </w:r>
      <w:r w:rsidRPr="00D554C2">
        <w:rPr>
          <w:rFonts w:ascii="宋体" w:eastAsia="宋体" w:hAnsi="宋体" w:cs="宋体" w:hint="eastAsia"/>
          <w:sz w:val="24"/>
        </w:rPr>
        <w:t>脚内侧踢球技术、两人对踢球技术、发球和接发球技术。</w:t>
      </w:r>
    </w:p>
    <w:p w14:paraId="3D7CB75E"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3.课程考核方式：</w:t>
      </w:r>
      <w:r w:rsidRPr="00D554C2">
        <w:rPr>
          <w:rFonts w:ascii="宋体" w:eastAsia="宋体" w:hAnsi="Calibri" w:cs="Times New Roman" w:hint="eastAsia"/>
          <w:bCs/>
          <w:kern w:val="0"/>
          <w:sz w:val="24"/>
        </w:rPr>
        <w:t>毽球场地结合球网进行两轮次测试，取最好成绩。</w:t>
      </w:r>
    </w:p>
    <w:p w14:paraId="7493746D"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4.成绩构成及分值：</w:t>
      </w:r>
      <w:r w:rsidRPr="00D554C2">
        <w:rPr>
          <w:rFonts w:ascii="宋体" w:eastAsia="宋体" w:hAnsi="Calibri" w:cs="Times New Roman" w:hint="eastAsia"/>
          <w:bCs/>
          <w:kern w:val="0"/>
          <w:sz w:val="24"/>
        </w:rPr>
        <w:t>数量及技术评定分值各为100分，各占总分值的20%，总分值为100分。进6球为及格，10球为满分100分；分值100分。</w:t>
      </w:r>
    </w:p>
    <w:p w14:paraId="57E66D49"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D554C2" w:rsidRPr="00D554C2" w14:paraId="4B8C6D3B" w14:textId="77777777" w:rsidTr="009B4CAE">
        <w:trPr>
          <w:jc w:val="center"/>
        </w:trPr>
        <w:tc>
          <w:tcPr>
            <w:tcW w:w="970" w:type="dxa"/>
          </w:tcPr>
          <w:p w14:paraId="3DFB74BE"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技术分</w:t>
            </w:r>
          </w:p>
        </w:tc>
        <w:tc>
          <w:tcPr>
            <w:tcW w:w="1183" w:type="dxa"/>
          </w:tcPr>
          <w:p w14:paraId="72BA7416"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五级制</w:t>
            </w:r>
          </w:p>
        </w:tc>
        <w:tc>
          <w:tcPr>
            <w:tcW w:w="1341" w:type="dxa"/>
          </w:tcPr>
          <w:p w14:paraId="760472BD"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分值范围</w:t>
            </w:r>
          </w:p>
        </w:tc>
        <w:tc>
          <w:tcPr>
            <w:tcW w:w="3039" w:type="dxa"/>
          </w:tcPr>
          <w:p w14:paraId="23B2BB8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备注</w:t>
            </w:r>
          </w:p>
        </w:tc>
        <w:tc>
          <w:tcPr>
            <w:tcW w:w="1403" w:type="dxa"/>
          </w:tcPr>
          <w:p w14:paraId="1AD07E5D"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数目</w:t>
            </w:r>
          </w:p>
        </w:tc>
      </w:tr>
      <w:tr w:rsidR="00D554C2" w:rsidRPr="00D554C2" w14:paraId="1F70F1DE" w14:textId="77777777" w:rsidTr="009B4CAE">
        <w:trPr>
          <w:jc w:val="center"/>
        </w:trPr>
        <w:tc>
          <w:tcPr>
            <w:tcW w:w="970" w:type="dxa"/>
          </w:tcPr>
          <w:p w14:paraId="65475A28"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A</w:t>
            </w:r>
          </w:p>
        </w:tc>
        <w:tc>
          <w:tcPr>
            <w:tcW w:w="1183" w:type="dxa"/>
          </w:tcPr>
          <w:p w14:paraId="7D5A95AE"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优</w:t>
            </w:r>
          </w:p>
        </w:tc>
        <w:tc>
          <w:tcPr>
            <w:tcW w:w="1341" w:type="dxa"/>
          </w:tcPr>
          <w:p w14:paraId="172D3CA8"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90—95</w:t>
            </w:r>
          </w:p>
        </w:tc>
        <w:tc>
          <w:tcPr>
            <w:tcW w:w="3039" w:type="dxa"/>
          </w:tcPr>
          <w:p w14:paraId="3D7CCA07"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姿势正确，动作优美、协调，</w:t>
            </w:r>
          </w:p>
        </w:tc>
        <w:tc>
          <w:tcPr>
            <w:tcW w:w="1403" w:type="dxa"/>
          </w:tcPr>
          <w:p w14:paraId="775F55F1"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10</w:t>
            </w:r>
          </w:p>
        </w:tc>
      </w:tr>
      <w:tr w:rsidR="00D554C2" w:rsidRPr="00D554C2" w14:paraId="4992E16F" w14:textId="77777777" w:rsidTr="009B4CAE">
        <w:trPr>
          <w:jc w:val="center"/>
        </w:trPr>
        <w:tc>
          <w:tcPr>
            <w:tcW w:w="970" w:type="dxa"/>
          </w:tcPr>
          <w:p w14:paraId="4AFB9A1B"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B</w:t>
            </w:r>
          </w:p>
        </w:tc>
        <w:tc>
          <w:tcPr>
            <w:tcW w:w="1183" w:type="dxa"/>
          </w:tcPr>
          <w:p w14:paraId="3153CA16"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良好</w:t>
            </w:r>
          </w:p>
        </w:tc>
        <w:tc>
          <w:tcPr>
            <w:tcW w:w="1341" w:type="dxa"/>
          </w:tcPr>
          <w:p w14:paraId="767C8462"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80—89</w:t>
            </w:r>
          </w:p>
        </w:tc>
        <w:tc>
          <w:tcPr>
            <w:tcW w:w="3039" w:type="dxa"/>
          </w:tcPr>
          <w:p w14:paraId="21EF8E00"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姿势较正确，动作自然，</w:t>
            </w:r>
          </w:p>
        </w:tc>
        <w:tc>
          <w:tcPr>
            <w:tcW w:w="1403" w:type="dxa"/>
          </w:tcPr>
          <w:p w14:paraId="7E276D2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9</w:t>
            </w:r>
          </w:p>
        </w:tc>
      </w:tr>
      <w:tr w:rsidR="00D554C2" w:rsidRPr="00D554C2" w14:paraId="3BC7E7A0" w14:textId="77777777" w:rsidTr="009B4CAE">
        <w:trPr>
          <w:jc w:val="center"/>
        </w:trPr>
        <w:tc>
          <w:tcPr>
            <w:tcW w:w="970" w:type="dxa"/>
          </w:tcPr>
          <w:p w14:paraId="22DF33C5"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C</w:t>
            </w:r>
          </w:p>
        </w:tc>
        <w:tc>
          <w:tcPr>
            <w:tcW w:w="1183" w:type="dxa"/>
          </w:tcPr>
          <w:p w14:paraId="67D1DB3D"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良</w:t>
            </w:r>
          </w:p>
        </w:tc>
        <w:tc>
          <w:tcPr>
            <w:tcW w:w="1341" w:type="dxa"/>
          </w:tcPr>
          <w:p w14:paraId="78D4A8B8"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70—79</w:t>
            </w:r>
          </w:p>
        </w:tc>
        <w:tc>
          <w:tcPr>
            <w:tcW w:w="3039" w:type="dxa"/>
          </w:tcPr>
          <w:p w14:paraId="11599AD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姿势一般，动作基本正确，</w:t>
            </w:r>
          </w:p>
        </w:tc>
        <w:tc>
          <w:tcPr>
            <w:tcW w:w="1403" w:type="dxa"/>
          </w:tcPr>
          <w:p w14:paraId="35954D6C"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8</w:t>
            </w:r>
          </w:p>
        </w:tc>
      </w:tr>
      <w:tr w:rsidR="00D554C2" w:rsidRPr="00D554C2" w14:paraId="044CB595" w14:textId="77777777" w:rsidTr="009B4CAE">
        <w:trPr>
          <w:jc w:val="center"/>
        </w:trPr>
        <w:tc>
          <w:tcPr>
            <w:tcW w:w="970" w:type="dxa"/>
          </w:tcPr>
          <w:p w14:paraId="7F0DB239"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D</w:t>
            </w:r>
          </w:p>
        </w:tc>
        <w:tc>
          <w:tcPr>
            <w:tcW w:w="1183" w:type="dxa"/>
          </w:tcPr>
          <w:p w14:paraId="4B7B316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及格</w:t>
            </w:r>
          </w:p>
        </w:tc>
        <w:tc>
          <w:tcPr>
            <w:tcW w:w="1341" w:type="dxa"/>
          </w:tcPr>
          <w:p w14:paraId="50228665"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60—69</w:t>
            </w:r>
          </w:p>
        </w:tc>
        <w:tc>
          <w:tcPr>
            <w:tcW w:w="3039" w:type="dxa"/>
          </w:tcPr>
          <w:p w14:paraId="578AABF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动作不协调，有多余动作，</w:t>
            </w:r>
          </w:p>
        </w:tc>
        <w:tc>
          <w:tcPr>
            <w:tcW w:w="1403" w:type="dxa"/>
          </w:tcPr>
          <w:p w14:paraId="7DF3929E"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7</w:t>
            </w:r>
          </w:p>
        </w:tc>
      </w:tr>
      <w:tr w:rsidR="00D554C2" w:rsidRPr="00D554C2" w14:paraId="0C4FD231" w14:textId="77777777" w:rsidTr="009B4CAE">
        <w:trPr>
          <w:jc w:val="center"/>
        </w:trPr>
        <w:tc>
          <w:tcPr>
            <w:tcW w:w="970" w:type="dxa"/>
          </w:tcPr>
          <w:p w14:paraId="0DDEC41D"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E</w:t>
            </w:r>
          </w:p>
        </w:tc>
        <w:tc>
          <w:tcPr>
            <w:tcW w:w="1183" w:type="dxa"/>
          </w:tcPr>
          <w:p w14:paraId="36163BBE"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不及格</w:t>
            </w:r>
          </w:p>
        </w:tc>
        <w:tc>
          <w:tcPr>
            <w:tcW w:w="1341" w:type="dxa"/>
          </w:tcPr>
          <w:p w14:paraId="0DFEAC2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60以下</w:t>
            </w:r>
          </w:p>
        </w:tc>
        <w:tc>
          <w:tcPr>
            <w:tcW w:w="3039" w:type="dxa"/>
          </w:tcPr>
          <w:p w14:paraId="7E1E7275"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动作僵硬，吃力，不协调</w:t>
            </w:r>
          </w:p>
        </w:tc>
        <w:tc>
          <w:tcPr>
            <w:tcW w:w="1403" w:type="dxa"/>
          </w:tcPr>
          <w:p w14:paraId="7119F819"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w:t>
            </w:r>
          </w:p>
        </w:tc>
      </w:tr>
    </w:tbl>
    <w:p w14:paraId="6D3F660F" w14:textId="77777777" w:rsidR="00D554C2" w:rsidRPr="00D554C2" w:rsidRDefault="00D554C2" w:rsidP="00D554C2">
      <w:pPr>
        <w:adjustRightInd w:val="0"/>
        <w:snapToGrid w:val="0"/>
        <w:spacing w:line="500" w:lineRule="exact"/>
        <w:rPr>
          <w:rFonts w:ascii="宋体" w:eastAsia="宋体" w:hAnsi="Calibri" w:cs="Times New Roman"/>
          <w:bCs/>
          <w:kern w:val="0"/>
          <w:sz w:val="24"/>
        </w:rPr>
      </w:pPr>
    </w:p>
    <w:p w14:paraId="343B397F" w14:textId="77777777" w:rsidR="00D554C2" w:rsidRPr="00D554C2" w:rsidRDefault="00D554C2" w:rsidP="00D554C2">
      <w:pPr>
        <w:adjustRightInd w:val="0"/>
        <w:snapToGrid w:val="0"/>
        <w:spacing w:line="500" w:lineRule="exact"/>
        <w:jc w:val="center"/>
        <w:rPr>
          <w:rFonts w:ascii="宋体" w:eastAsia="宋体" w:hAnsi="Calibri" w:cs="Times New Roman"/>
          <w:b/>
          <w:kern w:val="0"/>
          <w:sz w:val="24"/>
        </w:rPr>
      </w:pPr>
      <w:r w:rsidRPr="00D554C2">
        <w:rPr>
          <w:rFonts w:ascii="宋体" w:eastAsia="宋体" w:hAnsi="Calibri" w:cs="Times New Roman" w:hint="eastAsia"/>
          <w:b/>
          <w:kern w:val="0"/>
          <w:sz w:val="24"/>
        </w:rPr>
        <w:t>期末考试</w:t>
      </w:r>
    </w:p>
    <w:p w14:paraId="5F199447"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通过考核检验毽球技术教学效果和学生掌握情况，让学生了解选项课内容和科学体育锻炼方式方法。</w:t>
      </w:r>
    </w:p>
    <w:p w14:paraId="735A4B25" w14:textId="77777777" w:rsidR="00D554C2" w:rsidRPr="00D554C2" w:rsidRDefault="00D554C2" w:rsidP="00D554C2">
      <w:pPr>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2.课程考核的内容：</w:t>
      </w:r>
      <w:r w:rsidRPr="00D554C2">
        <w:rPr>
          <w:rFonts w:ascii="宋体" w:eastAsia="宋体" w:hAnsi="宋体" w:cs="宋体" w:hint="eastAsia"/>
          <w:sz w:val="24"/>
        </w:rPr>
        <w:t>脚内侧踢球技术、两人对踢球技术、发球和接发球技术。</w:t>
      </w:r>
    </w:p>
    <w:p w14:paraId="6A01C519"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lastRenderedPageBreak/>
        <w:t>3.课程考核方式：</w:t>
      </w:r>
      <w:r w:rsidRPr="00D554C2">
        <w:rPr>
          <w:rFonts w:ascii="宋体" w:eastAsia="宋体" w:hAnsi="Calibri" w:cs="Times New Roman" w:hint="eastAsia"/>
          <w:bCs/>
          <w:kern w:val="0"/>
          <w:sz w:val="24"/>
        </w:rPr>
        <w:t>毽球场地结合球网进行两轮次测试，取最好成绩。</w:t>
      </w:r>
    </w:p>
    <w:p w14:paraId="60F33742"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4.成绩构成及分值：</w:t>
      </w:r>
      <w:r w:rsidRPr="00D554C2">
        <w:rPr>
          <w:rFonts w:ascii="宋体" w:eastAsia="宋体" w:hAnsi="Calibri" w:cs="Times New Roman" w:hint="eastAsia"/>
          <w:bCs/>
          <w:kern w:val="0"/>
          <w:sz w:val="24"/>
        </w:rPr>
        <w:t>数量及技术评定分值各为100分，各占总分值的20%，总分值为100分。进6球为及格，10球为满分100分；分值100分。</w:t>
      </w:r>
    </w:p>
    <w:p w14:paraId="6D9BBD62"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p w14:paraId="0ABD53B6"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r w:rsidRPr="00D554C2">
        <w:rPr>
          <w:rFonts w:ascii="宋体" w:eastAsia="宋体" w:hAnsi="Calibri" w:cs="Times New Roman" w:hint="eastAsia"/>
          <w:bCs/>
          <w:kern w:val="0"/>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D554C2" w:rsidRPr="00D554C2" w14:paraId="72614CC3" w14:textId="77777777" w:rsidTr="009B4CAE">
        <w:trPr>
          <w:jc w:val="center"/>
        </w:trPr>
        <w:tc>
          <w:tcPr>
            <w:tcW w:w="970" w:type="dxa"/>
          </w:tcPr>
          <w:p w14:paraId="1C413161"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技术分</w:t>
            </w:r>
          </w:p>
        </w:tc>
        <w:tc>
          <w:tcPr>
            <w:tcW w:w="1183" w:type="dxa"/>
          </w:tcPr>
          <w:p w14:paraId="0C101BED"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五级制</w:t>
            </w:r>
          </w:p>
        </w:tc>
        <w:tc>
          <w:tcPr>
            <w:tcW w:w="1341" w:type="dxa"/>
          </w:tcPr>
          <w:p w14:paraId="610C03B9"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分值范围</w:t>
            </w:r>
          </w:p>
        </w:tc>
        <w:tc>
          <w:tcPr>
            <w:tcW w:w="3039" w:type="dxa"/>
          </w:tcPr>
          <w:p w14:paraId="24F7CBFE"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备注</w:t>
            </w:r>
          </w:p>
        </w:tc>
        <w:tc>
          <w:tcPr>
            <w:tcW w:w="1403" w:type="dxa"/>
          </w:tcPr>
          <w:p w14:paraId="51598572"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数目</w:t>
            </w:r>
          </w:p>
        </w:tc>
      </w:tr>
      <w:tr w:rsidR="00D554C2" w:rsidRPr="00D554C2" w14:paraId="5A764FC1" w14:textId="77777777" w:rsidTr="009B4CAE">
        <w:trPr>
          <w:jc w:val="center"/>
        </w:trPr>
        <w:tc>
          <w:tcPr>
            <w:tcW w:w="970" w:type="dxa"/>
          </w:tcPr>
          <w:p w14:paraId="19CAD9B1"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A</w:t>
            </w:r>
          </w:p>
        </w:tc>
        <w:tc>
          <w:tcPr>
            <w:tcW w:w="1183" w:type="dxa"/>
          </w:tcPr>
          <w:p w14:paraId="160E10B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优</w:t>
            </w:r>
          </w:p>
        </w:tc>
        <w:tc>
          <w:tcPr>
            <w:tcW w:w="1341" w:type="dxa"/>
          </w:tcPr>
          <w:p w14:paraId="34A4769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90—95</w:t>
            </w:r>
          </w:p>
        </w:tc>
        <w:tc>
          <w:tcPr>
            <w:tcW w:w="3039" w:type="dxa"/>
          </w:tcPr>
          <w:p w14:paraId="2466D347"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姿势正确，动作优美、协调，</w:t>
            </w:r>
          </w:p>
        </w:tc>
        <w:tc>
          <w:tcPr>
            <w:tcW w:w="1403" w:type="dxa"/>
          </w:tcPr>
          <w:p w14:paraId="17C422C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10</w:t>
            </w:r>
          </w:p>
        </w:tc>
      </w:tr>
      <w:tr w:rsidR="00D554C2" w:rsidRPr="00D554C2" w14:paraId="448515D5" w14:textId="77777777" w:rsidTr="009B4CAE">
        <w:trPr>
          <w:jc w:val="center"/>
        </w:trPr>
        <w:tc>
          <w:tcPr>
            <w:tcW w:w="970" w:type="dxa"/>
          </w:tcPr>
          <w:p w14:paraId="07DE92CE"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B</w:t>
            </w:r>
          </w:p>
        </w:tc>
        <w:tc>
          <w:tcPr>
            <w:tcW w:w="1183" w:type="dxa"/>
          </w:tcPr>
          <w:p w14:paraId="00B2ADB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良好</w:t>
            </w:r>
          </w:p>
        </w:tc>
        <w:tc>
          <w:tcPr>
            <w:tcW w:w="1341" w:type="dxa"/>
          </w:tcPr>
          <w:p w14:paraId="61BE5CBB"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80—89</w:t>
            </w:r>
          </w:p>
        </w:tc>
        <w:tc>
          <w:tcPr>
            <w:tcW w:w="3039" w:type="dxa"/>
          </w:tcPr>
          <w:p w14:paraId="5EF84E52"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姿势较正确，动作自然，</w:t>
            </w:r>
          </w:p>
        </w:tc>
        <w:tc>
          <w:tcPr>
            <w:tcW w:w="1403" w:type="dxa"/>
          </w:tcPr>
          <w:p w14:paraId="76E183A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9</w:t>
            </w:r>
          </w:p>
        </w:tc>
      </w:tr>
      <w:tr w:rsidR="00D554C2" w:rsidRPr="00D554C2" w14:paraId="12AC5A63" w14:textId="77777777" w:rsidTr="009B4CAE">
        <w:trPr>
          <w:jc w:val="center"/>
        </w:trPr>
        <w:tc>
          <w:tcPr>
            <w:tcW w:w="970" w:type="dxa"/>
          </w:tcPr>
          <w:p w14:paraId="40A356A2"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C</w:t>
            </w:r>
          </w:p>
        </w:tc>
        <w:tc>
          <w:tcPr>
            <w:tcW w:w="1183" w:type="dxa"/>
          </w:tcPr>
          <w:p w14:paraId="553F5EE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良</w:t>
            </w:r>
          </w:p>
        </w:tc>
        <w:tc>
          <w:tcPr>
            <w:tcW w:w="1341" w:type="dxa"/>
          </w:tcPr>
          <w:p w14:paraId="7B291D95"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70—79</w:t>
            </w:r>
          </w:p>
        </w:tc>
        <w:tc>
          <w:tcPr>
            <w:tcW w:w="3039" w:type="dxa"/>
          </w:tcPr>
          <w:p w14:paraId="7360D08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姿势一般，动作基本正确，</w:t>
            </w:r>
          </w:p>
        </w:tc>
        <w:tc>
          <w:tcPr>
            <w:tcW w:w="1403" w:type="dxa"/>
          </w:tcPr>
          <w:p w14:paraId="642C4DAA"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8</w:t>
            </w:r>
          </w:p>
        </w:tc>
      </w:tr>
      <w:tr w:rsidR="00D554C2" w:rsidRPr="00D554C2" w14:paraId="2E963FD0" w14:textId="77777777" w:rsidTr="009B4CAE">
        <w:trPr>
          <w:jc w:val="center"/>
        </w:trPr>
        <w:tc>
          <w:tcPr>
            <w:tcW w:w="970" w:type="dxa"/>
          </w:tcPr>
          <w:p w14:paraId="7914437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D</w:t>
            </w:r>
          </w:p>
        </w:tc>
        <w:tc>
          <w:tcPr>
            <w:tcW w:w="1183" w:type="dxa"/>
          </w:tcPr>
          <w:p w14:paraId="196CC1E3"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及格</w:t>
            </w:r>
          </w:p>
        </w:tc>
        <w:tc>
          <w:tcPr>
            <w:tcW w:w="1341" w:type="dxa"/>
          </w:tcPr>
          <w:p w14:paraId="7C56E7F8"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60—69</w:t>
            </w:r>
          </w:p>
        </w:tc>
        <w:tc>
          <w:tcPr>
            <w:tcW w:w="3039" w:type="dxa"/>
          </w:tcPr>
          <w:p w14:paraId="2D0E1260"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动作不协调，有多余动作，</w:t>
            </w:r>
          </w:p>
        </w:tc>
        <w:tc>
          <w:tcPr>
            <w:tcW w:w="1403" w:type="dxa"/>
          </w:tcPr>
          <w:p w14:paraId="0FE3BB5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7</w:t>
            </w:r>
          </w:p>
        </w:tc>
      </w:tr>
      <w:tr w:rsidR="00D554C2" w:rsidRPr="00D554C2" w14:paraId="0D4B2E47" w14:textId="77777777" w:rsidTr="009B4CAE">
        <w:trPr>
          <w:jc w:val="center"/>
        </w:trPr>
        <w:tc>
          <w:tcPr>
            <w:tcW w:w="970" w:type="dxa"/>
          </w:tcPr>
          <w:p w14:paraId="551ACE2D"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E</w:t>
            </w:r>
          </w:p>
        </w:tc>
        <w:tc>
          <w:tcPr>
            <w:tcW w:w="1183" w:type="dxa"/>
          </w:tcPr>
          <w:p w14:paraId="0064765C"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不及格</w:t>
            </w:r>
          </w:p>
        </w:tc>
        <w:tc>
          <w:tcPr>
            <w:tcW w:w="1341" w:type="dxa"/>
          </w:tcPr>
          <w:p w14:paraId="291D4B0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60以下</w:t>
            </w:r>
          </w:p>
        </w:tc>
        <w:tc>
          <w:tcPr>
            <w:tcW w:w="3039" w:type="dxa"/>
          </w:tcPr>
          <w:p w14:paraId="63D396A5"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动作僵硬，吃力，不协调</w:t>
            </w:r>
          </w:p>
        </w:tc>
        <w:tc>
          <w:tcPr>
            <w:tcW w:w="1403" w:type="dxa"/>
          </w:tcPr>
          <w:p w14:paraId="47471706"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6</w:t>
            </w:r>
          </w:p>
        </w:tc>
      </w:tr>
    </w:tbl>
    <w:p w14:paraId="183B1F41" w14:textId="77777777" w:rsidR="00D554C2" w:rsidRPr="00D554C2" w:rsidRDefault="00D554C2" w:rsidP="00D554C2">
      <w:pPr>
        <w:spacing w:beforeLines="50" w:before="156" w:afterLines="50" w:after="156" w:line="440" w:lineRule="exact"/>
        <w:ind w:firstLineChars="200" w:firstLine="560"/>
        <w:rPr>
          <w:rFonts w:ascii="宋体" w:eastAsia="宋体" w:hAnsi="宋体" w:cs="Times New Roman"/>
          <w:sz w:val="24"/>
        </w:rPr>
      </w:pPr>
      <w:r w:rsidRPr="00D554C2">
        <w:rPr>
          <w:rFonts w:ascii="黑体" w:eastAsia="黑体" w:hAnsi="黑体" w:cs="Times New Roman" w:hint="eastAsia"/>
          <w:sz w:val="28"/>
          <w:szCs w:val="28"/>
        </w:rPr>
        <w:t>六、使用教材、相关推荐书目及课程资源</w:t>
      </w:r>
    </w:p>
    <w:p w14:paraId="2F2AC2B4" w14:textId="77777777" w:rsidR="00D554C2" w:rsidRPr="00D554C2" w:rsidRDefault="00D554C2" w:rsidP="00D554C2">
      <w:pPr>
        <w:spacing w:line="440" w:lineRule="exact"/>
        <w:ind w:firstLineChars="200" w:firstLine="560"/>
        <w:rPr>
          <w:rFonts w:ascii="宋体" w:eastAsia="宋体" w:hAnsi="宋体" w:cs="Times New Roman"/>
          <w:sz w:val="24"/>
        </w:rPr>
      </w:pPr>
      <w:r w:rsidRPr="00D554C2">
        <w:rPr>
          <w:rFonts w:ascii="黑体" w:eastAsia="黑体" w:hAnsi="黑体" w:cs="Times New Roman" w:hint="eastAsia"/>
          <w:sz w:val="28"/>
          <w:szCs w:val="28"/>
        </w:rPr>
        <w:t>（一）使用教材</w:t>
      </w:r>
    </w:p>
    <w:p w14:paraId="167C2ED0" w14:textId="77777777" w:rsidR="00D554C2" w:rsidRPr="00D554C2" w:rsidRDefault="00D554C2" w:rsidP="00D554C2">
      <w:pPr>
        <w:autoSpaceDE w:val="0"/>
        <w:autoSpaceDN w:val="0"/>
        <w:adjustRightInd w:val="0"/>
        <w:snapToGrid w:val="0"/>
        <w:spacing w:line="500" w:lineRule="exact"/>
        <w:ind w:firstLineChars="200" w:firstLine="480"/>
        <w:rPr>
          <w:rFonts w:ascii="宋体" w:eastAsia="宋体" w:hAnsi="宋体" w:cs="宋体"/>
          <w:kern w:val="0"/>
          <w:sz w:val="24"/>
        </w:rPr>
      </w:pPr>
      <w:r w:rsidRPr="00D554C2">
        <w:rPr>
          <w:rFonts w:ascii="宋体" w:eastAsia="宋体" w:hAnsi="宋体" w:cs="宋体" w:hint="eastAsia"/>
          <w:kern w:val="0"/>
          <w:sz w:val="24"/>
        </w:rPr>
        <w:t>任晋军主编：《当代大学体育教程》，北京体育大学出版社，2008</w:t>
      </w:r>
    </w:p>
    <w:p w14:paraId="351C969D" w14:textId="77777777" w:rsidR="00D554C2" w:rsidRPr="00D554C2" w:rsidRDefault="00D554C2" w:rsidP="00D55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张林泉等主编</w:t>
      </w:r>
      <w:r w:rsidRPr="00D554C2">
        <w:rPr>
          <w:rFonts w:ascii="宋体" w:eastAsia="宋体" w:hAnsi="宋体" w:cs="宋体" w:hint="eastAsia"/>
          <w:kern w:val="0"/>
          <w:sz w:val="24"/>
        </w:rPr>
        <w:t>：</w:t>
      </w:r>
      <w:r w:rsidRPr="00D554C2">
        <w:rPr>
          <w:rFonts w:ascii="宋体" w:eastAsia="宋体" w:hAnsi="宋体" w:cs="宋体" w:hint="eastAsia"/>
          <w:color w:val="000000"/>
          <w:kern w:val="0"/>
          <w:sz w:val="24"/>
        </w:rPr>
        <w:t>《</w:t>
      </w:r>
      <w:r w:rsidRPr="00D554C2">
        <w:rPr>
          <w:rFonts w:ascii="宋体" w:eastAsia="宋体" w:hAnsi="宋体" w:cs="宋体" w:hint="eastAsia"/>
          <w:sz w:val="24"/>
        </w:rPr>
        <w:t>怎样踢好毽球</w:t>
      </w:r>
      <w:r w:rsidRPr="00D554C2">
        <w:rPr>
          <w:rFonts w:ascii="宋体" w:eastAsia="宋体" w:hAnsi="宋体" w:cs="宋体" w:hint="eastAsia"/>
          <w:color w:val="000000"/>
          <w:kern w:val="0"/>
          <w:sz w:val="24"/>
        </w:rPr>
        <w:t>》</w:t>
      </w:r>
      <w:r w:rsidRPr="00D554C2">
        <w:rPr>
          <w:rFonts w:ascii="宋体" w:eastAsia="宋体" w:hAnsi="宋体" w:cs="宋体" w:hint="eastAsia"/>
          <w:sz w:val="24"/>
        </w:rPr>
        <w:t>，中国地质大学出版社，1999</w:t>
      </w:r>
    </w:p>
    <w:p w14:paraId="24CACF97" w14:textId="77777777" w:rsidR="00D554C2" w:rsidRPr="00D554C2" w:rsidRDefault="00D554C2" w:rsidP="00D554C2">
      <w:pPr>
        <w:autoSpaceDE w:val="0"/>
        <w:autoSpaceDN w:val="0"/>
        <w:adjustRightInd w:val="0"/>
        <w:snapToGrid w:val="0"/>
        <w:spacing w:line="500" w:lineRule="exact"/>
        <w:ind w:firstLineChars="200" w:firstLine="480"/>
        <w:rPr>
          <w:rFonts w:ascii="宋体" w:eastAsia="宋体" w:hAnsi="宋体" w:cs="Times New Roman"/>
          <w:color w:val="FF0000"/>
          <w:sz w:val="24"/>
        </w:rPr>
      </w:pPr>
      <w:proofErr w:type="gramStart"/>
      <w:r w:rsidRPr="00D554C2">
        <w:rPr>
          <w:rFonts w:ascii="宋体" w:eastAsia="宋体" w:hAnsi="宋体" w:cs="宋体" w:hint="eastAsia"/>
          <w:color w:val="000000"/>
          <w:sz w:val="24"/>
        </w:rPr>
        <w:t>舒玉何</w:t>
      </w:r>
      <w:proofErr w:type="gramEnd"/>
      <w:r w:rsidRPr="00D554C2">
        <w:rPr>
          <w:rFonts w:ascii="宋体" w:eastAsia="宋体" w:hAnsi="宋体" w:cs="宋体" w:hint="eastAsia"/>
          <w:color w:val="000000"/>
          <w:sz w:val="24"/>
        </w:rPr>
        <w:t>编著：</w:t>
      </w:r>
      <w:r w:rsidRPr="00D554C2">
        <w:rPr>
          <w:rFonts w:ascii="宋体" w:eastAsia="宋体" w:hAnsi="宋体" w:cs="宋体" w:hint="eastAsia"/>
          <w:color w:val="000000"/>
          <w:kern w:val="0"/>
          <w:sz w:val="24"/>
        </w:rPr>
        <w:t>《</w:t>
      </w:r>
      <w:r w:rsidRPr="00D554C2">
        <w:rPr>
          <w:rFonts w:ascii="宋体" w:eastAsia="宋体" w:hAnsi="宋体" w:cs="宋体" w:hint="eastAsia"/>
          <w:color w:val="000000"/>
          <w:sz w:val="24"/>
        </w:rPr>
        <w:t>毽球运动与裁判</w:t>
      </w:r>
      <w:r w:rsidRPr="00D554C2">
        <w:rPr>
          <w:rFonts w:ascii="宋体" w:eastAsia="宋体" w:hAnsi="宋体" w:cs="宋体" w:hint="eastAsia"/>
          <w:color w:val="000000"/>
          <w:kern w:val="0"/>
          <w:sz w:val="24"/>
        </w:rPr>
        <w:t>》</w:t>
      </w:r>
      <w:r w:rsidRPr="00D554C2">
        <w:rPr>
          <w:rFonts w:ascii="宋体" w:eastAsia="宋体" w:hAnsi="宋体" w:cs="宋体" w:hint="eastAsia"/>
          <w:color w:val="000000"/>
          <w:sz w:val="24"/>
        </w:rPr>
        <w:t>，陕西科学技术出版社，2008</w:t>
      </w:r>
    </w:p>
    <w:p w14:paraId="138AA36F" w14:textId="77777777" w:rsidR="00D554C2" w:rsidRPr="00D554C2" w:rsidRDefault="00D554C2" w:rsidP="00D554C2">
      <w:pPr>
        <w:spacing w:line="440" w:lineRule="exact"/>
        <w:ind w:firstLineChars="200" w:firstLine="560"/>
        <w:rPr>
          <w:rFonts w:ascii="宋体" w:eastAsia="宋体" w:hAnsi="宋体" w:cs="Times New Roman"/>
          <w:sz w:val="24"/>
        </w:rPr>
      </w:pPr>
      <w:r w:rsidRPr="00D554C2">
        <w:rPr>
          <w:rFonts w:ascii="黑体" w:eastAsia="黑体" w:hAnsi="黑体" w:cs="Times New Roman" w:hint="eastAsia"/>
          <w:sz w:val="28"/>
          <w:szCs w:val="28"/>
        </w:rPr>
        <w:t>（二）相关推荐书目</w:t>
      </w:r>
    </w:p>
    <w:p w14:paraId="48AC890E"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1</w:t>
      </w:r>
      <w:r w:rsidRPr="00D554C2">
        <w:rPr>
          <w:rFonts w:ascii="宋体" w:eastAsia="宋体" w:hAnsi="宋体" w:cs="Times New Roman"/>
          <w:sz w:val="24"/>
        </w:rPr>
        <w:t xml:space="preserve">. </w:t>
      </w:r>
      <w:r w:rsidRPr="00D554C2">
        <w:rPr>
          <w:rFonts w:ascii="宋体" w:eastAsia="宋体" w:hAnsi="宋体" w:cs="宋体" w:hint="eastAsia"/>
          <w:kern w:val="0"/>
          <w:sz w:val="24"/>
        </w:rPr>
        <w:t>刘建国主编：《当代大学体育与健身》，高教出版社，2008</w:t>
      </w:r>
    </w:p>
    <w:p w14:paraId="1E12AC9D" w14:textId="77777777" w:rsidR="00D554C2" w:rsidRPr="00D554C2" w:rsidRDefault="00D554C2" w:rsidP="00D554C2">
      <w:pPr>
        <w:autoSpaceDE w:val="0"/>
        <w:autoSpaceDN w:val="0"/>
        <w:adjustRightInd w:val="0"/>
        <w:snapToGrid w:val="0"/>
        <w:spacing w:line="500" w:lineRule="exact"/>
        <w:ind w:firstLineChars="200" w:firstLine="480"/>
        <w:rPr>
          <w:rFonts w:ascii="宋体" w:eastAsia="宋体" w:hAnsi="宋体" w:cs="Times New Roman"/>
          <w:sz w:val="24"/>
        </w:rPr>
      </w:pPr>
      <w:r w:rsidRPr="00D554C2">
        <w:rPr>
          <w:rFonts w:ascii="宋体" w:eastAsia="宋体" w:hAnsi="宋体" w:cs="Times New Roman" w:hint="eastAsia"/>
          <w:sz w:val="24"/>
        </w:rPr>
        <w:t>2</w:t>
      </w:r>
      <w:r w:rsidRPr="00D554C2">
        <w:rPr>
          <w:rFonts w:ascii="宋体" w:eastAsia="宋体" w:hAnsi="宋体" w:cs="Times New Roman"/>
          <w:sz w:val="24"/>
        </w:rPr>
        <w:t xml:space="preserve">. </w:t>
      </w:r>
      <w:r w:rsidRPr="00D554C2">
        <w:rPr>
          <w:rFonts w:ascii="宋体" w:eastAsia="宋体" w:hAnsi="宋体" w:cs="宋体" w:hint="eastAsia"/>
          <w:kern w:val="0"/>
          <w:sz w:val="24"/>
        </w:rPr>
        <w:t>全国体育学院教材委员会审定：《体育与健康理论指导手册》，人民体育出版社，2014</w:t>
      </w:r>
    </w:p>
    <w:p w14:paraId="4D74C44C"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（三）课程资源</w:t>
      </w:r>
    </w:p>
    <w:p w14:paraId="139B7978" w14:textId="77777777" w:rsidR="00D554C2" w:rsidRPr="00D554C2" w:rsidRDefault="00D554C2" w:rsidP="00D554C2">
      <w:pPr>
        <w:spacing w:line="44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w:t>
      </w:r>
      <w:r w:rsidRPr="00D554C2">
        <w:rPr>
          <w:rFonts w:ascii="宋体" w:eastAsia="宋体" w:hAnsi="Calibri" w:cs="宋体" w:hint="eastAsia"/>
          <w:spacing w:val="5"/>
          <w:kern w:val="0"/>
          <w:sz w:val="24"/>
        </w:rPr>
        <w:lastRenderedPageBreak/>
        <w:t>立足课堂，用好微信、学习通等信息平台。第二，培养自主练习，养成科学锻炼的意识，掌握科学锻炼的方式方法，第三，关注生活，紧跟时代，培养服务地方经济社会的重要人才。</w:t>
      </w:r>
    </w:p>
    <w:p w14:paraId="4E8FAC9C" w14:textId="77777777" w:rsidR="00D554C2" w:rsidRPr="00D554C2" w:rsidRDefault="00D554C2" w:rsidP="00D554C2">
      <w:pPr>
        <w:spacing w:line="44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2. 《国家学生体质健康标准》实施说明</w:t>
      </w:r>
    </w:p>
    <w:p w14:paraId="78DDC977" w14:textId="77777777" w:rsidR="00D554C2" w:rsidRPr="00D554C2" w:rsidRDefault="00D554C2" w:rsidP="00D554C2">
      <w:pPr>
        <w:spacing w:line="44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3. 《国家学生体质健康标准》测试评分表</w:t>
      </w:r>
    </w:p>
    <w:p w14:paraId="6F86D08A" w14:textId="77777777" w:rsidR="00D554C2" w:rsidRPr="00D554C2" w:rsidRDefault="00D554C2" w:rsidP="00D554C2">
      <w:pPr>
        <w:spacing w:line="440" w:lineRule="exact"/>
        <w:ind w:firstLineChars="200" w:firstLine="500"/>
        <w:rPr>
          <w:rFonts w:ascii="宋体" w:eastAsia="宋体" w:hAnsi="Calibri" w:cs="宋体"/>
          <w:spacing w:val="5"/>
          <w:kern w:val="0"/>
          <w:sz w:val="24"/>
        </w:rPr>
      </w:pPr>
    </w:p>
    <w:p w14:paraId="21FB3725"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七、课程大纲制定依据</w:t>
      </w:r>
    </w:p>
    <w:p w14:paraId="3D7F4768"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本课程大纲依据2023年人才培养方案</w:t>
      </w:r>
      <w:r w:rsidR="002E4147">
        <w:rPr>
          <w:rFonts w:ascii="宋体" w:eastAsia="宋体" w:hAnsi="宋体" w:cs="Times New Roman" w:hint="eastAsia"/>
          <w:sz w:val="24"/>
        </w:rPr>
        <w:t>药物分析</w:t>
      </w:r>
      <w:r w:rsidR="000A1143">
        <w:rPr>
          <w:rFonts w:ascii="宋体" w:eastAsia="宋体" w:hAnsi="宋体" w:cs="Times New Roman" w:hint="eastAsia"/>
          <w:sz w:val="24"/>
        </w:rPr>
        <w:t>专业</w:t>
      </w:r>
      <w:r w:rsidRPr="00D554C2">
        <w:rPr>
          <w:rFonts w:ascii="宋体" w:eastAsia="宋体" w:hAnsi="宋体" w:cs="Times New Roman" w:hint="eastAsia"/>
          <w:sz w:val="24"/>
        </w:rPr>
        <w:t>制定。</w:t>
      </w:r>
    </w:p>
    <w:p w14:paraId="56E326C3" w14:textId="77777777" w:rsidR="00D554C2" w:rsidRPr="00D554C2" w:rsidRDefault="00D554C2" w:rsidP="00D554C2">
      <w:pPr>
        <w:spacing w:line="440" w:lineRule="exact"/>
        <w:ind w:firstLineChars="200" w:firstLine="480"/>
        <w:rPr>
          <w:rFonts w:ascii="宋体" w:eastAsia="宋体" w:hAnsi="宋体" w:cs="Times New Roman"/>
          <w:sz w:val="24"/>
        </w:rPr>
      </w:pPr>
    </w:p>
    <w:p w14:paraId="6352F9B4" w14:textId="77777777" w:rsidR="00D554C2" w:rsidRPr="00D554C2" w:rsidRDefault="00D554C2" w:rsidP="00D554C2">
      <w:pPr>
        <w:spacing w:beforeLines="50" w:before="156" w:afterLines="50" w:after="156" w:line="440" w:lineRule="exact"/>
        <w:ind w:firstLineChars="150" w:firstLine="420"/>
        <w:rPr>
          <w:rFonts w:ascii="黑体" w:eastAsia="黑体" w:hAnsi="黑体" w:cs="Times New Roman"/>
          <w:sz w:val="28"/>
          <w:szCs w:val="28"/>
        </w:rPr>
      </w:pPr>
    </w:p>
    <w:p w14:paraId="68E5C7F9" w14:textId="77777777" w:rsidR="00895319" w:rsidRDefault="00895319">
      <w:pPr>
        <w:widowControl/>
        <w:jc w:val="left"/>
        <w:rPr>
          <w:rFonts w:ascii="黑体" w:eastAsia="黑体" w:hAnsi="黑体" w:cs="Times New Roman"/>
          <w:bCs/>
          <w:sz w:val="36"/>
          <w:szCs w:val="36"/>
        </w:rPr>
      </w:pPr>
      <w:r>
        <w:rPr>
          <w:rFonts w:ascii="黑体" w:eastAsia="黑体" w:hAnsi="黑体" w:cs="Times New Roman"/>
          <w:bCs/>
          <w:sz w:val="36"/>
          <w:szCs w:val="36"/>
        </w:rPr>
        <w:br w:type="page"/>
      </w:r>
    </w:p>
    <w:p w14:paraId="014259B1" w14:textId="30EC00C1" w:rsidR="00D554C2" w:rsidRPr="00D554C2" w:rsidRDefault="00D554C2" w:rsidP="00D554C2">
      <w:pPr>
        <w:spacing w:beforeLines="100" w:before="312" w:afterLines="100" w:after="312" w:line="440" w:lineRule="exact"/>
        <w:jc w:val="center"/>
        <w:rPr>
          <w:rFonts w:ascii="黑体" w:eastAsia="黑体" w:hAnsi="黑体" w:cs="Times New Roman"/>
          <w:bCs/>
          <w:sz w:val="36"/>
          <w:szCs w:val="36"/>
        </w:rPr>
      </w:pPr>
      <w:r w:rsidRPr="00D554C2">
        <w:rPr>
          <w:rFonts w:ascii="黑体" w:eastAsia="黑体" w:hAnsi="黑体" w:cs="Times New Roman" w:hint="eastAsia"/>
          <w:bCs/>
          <w:sz w:val="36"/>
          <w:szCs w:val="36"/>
        </w:rPr>
        <w:lastRenderedPageBreak/>
        <w:t>《健美操》课程大纲</w:t>
      </w:r>
    </w:p>
    <w:p w14:paraId="697792F8"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D554C2" w:rsidRPr="00D554C2" w14:paraId="2F24B8E4" w14:textId="77777777" w:rsidTr="009B4CAE">
        <w:trPr>
          <w:trHeight w:val="886"/>
          <w:jc w:val="center"/>
        </w:trPr>
        <w:tc>
          <w:tcPr>
            <w:tcW w:w="1581" w:type="dxa"/>
            <w:vAlign w:val="center"/>
          </w:tcPr>
          <w:p w14:paraId="2B4E32BA"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课程名称</w:t>
            </w:r>
          </w:p>
        </w:tc>
        <w:tc>
          <w:tcPr>
            <w:tcW w:w="2662" w:type="dxa"/>
            <w:vAlign w:val="center"/>
          </w:tcPr>
          <w:p w14:paraId="71FCC775"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Calibri" w:cs="宋体" w:hint="eastAsia"/>
                <w:kern w:val="0"/>
                <w:sz w:val="24"/>
              </w:rPr>
              <w:t>健美操</w:t>
            </w:r>
          </w:p>
        </w:tc>
        <w:tc>
          <w:tcPr>
            <w:tcW w:w="1482" w:type="dxa"/>
            <w:vAlign w:val="center"/>
          </w:tcPr>
          <w:p w14:paraId="097CD50F"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课程代码</w:t>
            </w:r>
          </w:p>
        </w:tc>
        <w:tc>
          <w:tcPr>
            <w:tcW w:w="2797" w:type="dxa"/>
            <w:vAlign w:val="center"/>
          </w:tcPr>
          <w:p w14:paraId="1506562D"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Calibri" w:cs="宋体" w:hint="eastAsia"/>
                <w:kern w:val="0"/>
                <w:sz w:val="24"/>
              </w:rPr>
              <w:t>091050</w:t>
            </w:r>
          </w:p>
        </w:tc>
      </w:tr>
      <w:tr w:rsidR="00D554C2" w:rsidRPr="00D554C2" w14:paraId="3EB1768A" w14:textId="77777777" w:rsidTr="009B4CAE">
        <w:trPr>
          <w:trHeight w:val="829"/>
          <w:jc w:val="center"/>
        </w:trPr>
        <w:tc>
          <w:tcPr>
            <w:tcW w:w="1581" w:type="dxa"/>
            <w:vAlign w:val="center"/>
          </w:tcPr>
          <w:p w14:paraId="2ED5D3AD"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课程类别</w:t>
            </w:r>
          </w:p>
        </w:tc>
        <w:tc>
          <w:tcPr>
            <w:tcW w:w="2662" w:type="dxa"/>
            <w:vAlign w:val="center"/>
          </w:tcPr>
          <w:p w14:paraId="5C266D50"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Calibri" w:cs="宋体" w:hint="eastAsia"/>
                <w:kern w:val="0"/>
                <w:sz w:val="24"/>
              </w:rPr>
              <w:t>公共必修课程</w:t>
            </w:r>
          </w:p>
        </w:tc>
        <w:tc>
          <w:tcPr>
            <w:tcW w:w="1482" w:type="dxa"/>
            <w:vAlign w:val="center"/>
          </w:tcPr>
          <w:p w14:paraId="493C6B41"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学时</w:t>
            </w:r>
          </w:p>
          <w:p w14:paraId="2DEB8A9C"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/学分</w:t>
            </w:r>
          </w:p>
        </w:tc>
        <w:tc>
          <w:tcPr>
            <w:tcW w:w="2797" w:type="dxa"/>
            <w:vAlign w:val="center"/>
          </w:tcPr>
          <w:p w14:paraId="40314F06"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144/4</w:t>
            </w:r>
          </w:p>
        </w:tc>
      </w:tr>
      <w:tr w:rsidR="00D554C2" w:rsidRPr="00D554C2" w14:paraId="7547653C" w14:textId="77777777" w:rsidTr="009B4CAE">
        <w:trPr>
          <w:trHeight w:val="811"/>
          <w:jc w:val="center"/>
        </w:trPr>
        <w:tc>
          <w:tcPr>
            <w:tcW w:w="1581" w:type="dxa"/>
            <w:vAlign w:val="center"/>
          </w:tcPr>
          <w:p w14:paraId="391D7269"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开课单位</w:t>
            </w:r>
          </w:p>
        </w:tc>
        <w:tc>
          <w:tcPr>
            <w:tcW w:w="2662" w:type="dxa"/>
            <w:vAlign w:val="center"/>
          </w:tcPr>
          <w:p w14:paraId="39BAFDA9"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sz w:val="24"/>
              </w:rPr>
              <w:t>石家庄学院体育学院</w:t>
            </w:r>
          </w:p>
        </w:tc>
        <w:tc>
          <w:tcPr>
            <w:tcW w:w="1482" w:type="dxa"/>
            <w:vAlign w:val="center"/>
          </w:tcPr>
          <w:p w14:paraId="55A21C3A"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适用专业</w:t>
            </w:r>
          </w:p>
        </w:tc>
        <w:tc>
          <w:tcPr>
            <w:tcW w:w="2797" w:type="dxa"/>
            <w:vAlign w:val="center"/>
          </w:tcPr>
          <w:p w14:paraId="4721C31F" w14:textId="77777777" w:rsidR="00D554C2" w:rsidRPr="00D554C2" w:rsidRDefault="000A1143" w:rsidP="00D554C2">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D554C2" w:rsidRPr="00D554C2" w14:paraId="257B8312" w14:textId="77777777" w:rsidTr="009B4CAE">
        <w:trPr>
          <w:trHeight w:val="811"/>
          <w:jc w:val="center"/>
        </w:trPr>
        <w:tc>
          <w:tcPr>
            <w:tcW w:w="1581" w:type="dxa"/>
            <w:vAlign w:val="center"/>
          </w:tcPr>
          <w:p w14:paraId="4F039AFE"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课程负责人</w:t>
            </w:r>
          </w:p>
        </w:tc>
        <w:tc>
          <w:tcPr>
            <w:tcW w:w="6941" w:type="dxa"/>
            <w:gridSpan w:val="3"/>
            <w:vAlign w:val="center"/>
          </w:tcPr>
          <w:p w14:paraId="585DE733"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李敏、及化</w:t>
            </w:r>
            <w:proofErr w:type="gramStart"/>
            <w:r w:rsidRPr="00D554C2">
              <w:rPr>
                <w:rFonts w:ascii="宋体" w:eastAsia="宋体" w:hAnsi="宋体" w:cs="Times New Roman" w:hint="eastAsia"/>
                <w:sz w:val="24"/>
              </w:rPr>
              <w:t>娟</w:t>
            </w:r>
            <w:proofErr w:type="gramEnd"/>
            <w:r w:rsidRPr="00D554C2">
              <w:rPr>
                <w:rFonts w:ascii="宋体" w:eastAsia="宋体" w:hAnsi="宋体" w:cs="Times New Roman" w:hint="eastAsia"/>
                <w:sz w:val="24"/>
              </w:rPr>
              <w:t>、王春雨、冯蕾</w:t>
            </w:r>
          </w:p>
        </w:tc>
      </w:tr>
      <w:tr w:rsidR="00D554C2" w:rsidRPr="00D554C2" w14:paraId="2EE52DF0" w14:textId="77777777" w:rsidTr="009B4CAE">
        <w:trPr>
          <w:trHeight w:val="836"/>
          <w:jc w:val="center"/>
        </w:trPr>
        <w:tc>
          <w:tcPr>
            <w:tcW w:w="1581" w:type="dxa"/>
            <w:vAlign w:val="center"/>
          </w:tcPr>
          <w:p w14:paraId="0E600077"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大纲撰写人</w:t>
            </w:r>
          </w:p>
        </w:tc>
        <w:tc>
          <w:tcPr>
            <w:tcW w:w="2662" w:type="dxa"/>
            <w:vAlign w:val="center"/>
          </w:tcPr>
          <w:p w14:paraId="13FE8E2E"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李敏</w:t>
            </w:r>
          </w:p>
        </w:tc>
        <w:tc>
          <w:tcPr>
            <w:tcW w:w="1482" w:type="dxa"/>
            <w:vAlign w:val="center"/>
          </w:tcPr>
          <w:p w14:paraId="27A12FFD"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大纲审核人</w:t>
            </w:r>
          </w:p>
        </w:tc>
        <w:tc>
          <w:tcPr>
            <w:tcW w:w="2797" w:type="dxa"/>
            <w:vAlign w:val="center"/>
          </w:tcPr>
          <w:p w14:paraId="6DBAB601" w14:textId="77777777" w:rsidR="00D554C2" w:rsidRPr="00D554C2" w:rsidRDefault="00D554C2" w:rsidP="00D554C2">
            <w:pPr>
              <w:spacing w:line="440" w:lineRule="exact"/>
              <w:jc w:val="center"/>
              <w:rPr>
                <w:rFonts w:ascii="宋体" w:eastAsia="宋体" w:hAnsi="宋体" w:cs="Times New Roman"/>
                <w:sz w:val="24"/>
              </w:rPr>
            </w:pPr>
            <w:proofErr w:type="gramStart"/>
            <w:r w:rsidRPr="00D554C2">
              <w:rPr>
                <w:rFonts w:ascii="宋体" w:eastAsia="宋体" w:hAnsi="宋体" w:cs="Times New Roman" w:hint="eastAsia"/>
                <w:sz w:val="24"/>
              </w:rPr>
              <w:t>左健</w:t>
            </w:r>
            <w:proofErr w:type="gramEnd"/>
          </w:p>
        </w:tc>
      </w:tr>
      <w:tr w:rsidR="00D554C2" w:rsidRPr="00D554C2" w14:paraId="37FBA717" w14:textId="77777777" w:rsidTr="009B4CAE">
        <w:trPr>
          <w:trHeight w:val="848"/>
          <w:jc w:val="center"/>
        </w:trPr>
        <w:tc>
          <w:tcPr>
            <w:tcW w:w="1581" w:type="dxa"/>
            <w:vAlign w:val="center"/>
          </w:tcPr>
          <w:p w14:paraId="2920277B"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先修课程</w:t>
            </w:r>
          </w:p>
        </w:tc>
        <w:tc>
          <w:tcPr>
            <w:tcW w:w="6941" w:type="dxa"/>
            <w:gridSpan w:val="3"/>
            <w:vAlign w:val="center"/>
          </w:tcPr>
          <w:p w14:paraId="5197649C" w14:textId="77777777" w:rsidR="00D554C2" w:rsidRPr="00D554C2" w:rsidRDefault="00D554C2" w:rsidP="00D554C2">
            <w:pPr>
              <w:spacing w:line="440" w:lineRule="exact"/>
              <w:jc w:val="center"/>
              <w:rPr>
                <w:rFonts w:ascii="宋体" w:eastAsia="宋体" w:hAnsi="宋体" w:cs="Times New Roman"/>
                <w:sz w:val="24"/>
              </w:rPr>
            </w:pPr>
          </w:p>
        </w:tc>
      </w:tr>
      <w:tr w:rsidR="00D554C2" w:rsidRPr="00D554C2" w14:paraId="492D1EAA" w14:textId="77777777" w:rsidTr="009B4CAE">
        <w:trPr>
          <w:trHeight w:val="848"/>
          <w:jc w:val="center"/>
        </w:trPr>
        <w:tc>
          <w:tcPr>
            <w:tcW w:w="1581" w:type="dxa"/>
            <w:vAlign w:val="center"/>
          </w:tcPr>
          <w:p w14:paraId="4C45DED8"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课程网址</w:t>
            </w:r>
          </w:p>
        </w:tc>
        <w:tc>
          <w:tcPr>
            <w:tcW w:w="6941" w:type="dxa"/>
            <w:gridSpan w:val="3"/>
            <w:vAlign w:val="center"/>
          </w:tcPr>
          <w:p w14:paraId="2F82D4DE" w14:textId="77777777" w:rsidR="00D554C2" w:rsidRPr="00D554C2" w:rsidRDefault="00D554C2" w:rsidP="00D554C2">
            <w:pPr>
              <w:spacing w:line="440" w:lineRule="exact"/>
              <w:rPr>
                <w:rFonts w:ascii="宋体" w:eastAsia="宋体" w:hAnsi="宋体" w:cs="Times New Roman"/>
                <w:color w:val="FF0000"/>
                <w:sz w:val="24"/>
              </w:rPr>
            </w:pPr>
          </w:p>
        </w:tc>
      </w:tr>
    </w:tbl>
    <w:p w14:paraId="62FE4DAD"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二、课程学习目标及与毕业要求的对应关系</w:t>
      </w:r>
    </w:p>
    <w:p w14:paraId="50F6D198"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（一）课程学习目标</w:t>
      </w:r>
    </w:p>
    <w:p w14:paraId="27D395B4" w14:textId="77777777" w:rsidR="00D554C2" w:rsidRPr="00D554C2" w:rsidRDefault="00D554C2" w:rsidP="00D554C2">
      <w:pPr>
        <w:spacing w:line="500" w:lineRule="exact"/>
        <w:ind w:firstLineChars="200" w:firstLine="480"/>
        <w:rPr>
          <w:rFonts w:ascii="宋体" w:eastAsia="宋体" w:hAnsi="宋体" w:cs="Times New Roman"/>
          <w:sz w:val="24"/>
        </w:rPr>
      </w:pPr>
      <w:r w:rsidRPr="00D554C2">
        <w:rPr>
          <w:rFonts w:ascii="宋体" w:eastAsia="宋体" w:hAnsi="宋体" w:cs="Times New Roman" w:hint="eastAsia"/>
          <w:sz w:val="24"/>
        </w:rPr>
        <w:t>通过本课程的学习，使学生达到以下目标：</w:t>
      </w:r>
    </w:p>
    <w:p w14:paraId="7B22D9ED"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w:t>
      </w:r>
      <w:r w:rsidRPr="00B26124">
        <w:rPr>
          <w:rFonts w:ascii="宋体" w:eastAsia="宋体" w:hAnsi="宋体" w:cs="仿宋_GB2312" w:hint="eastAsia"/>
          <w:b/>
          <w:bCs/>
          <w:sz w:val="24"/>
        </w:rPr>
        <w:t>【毕业要求8/10 职业规范】</w:t>
      </w:r>
    </w:p>
    <w:p w14:paraId="030F5A81" w14:textId="77777777" w:rsidR="00D554C2" w:rsidRPr="00D554C2" w:rsidRDefault="00D554C2" w:rsidP="00D554C2">
      <w:pPr>
        <w:adjustRightInd w:val="0"/>
        <w:snapToGrid w:val="0"/>
        <w:spacing w:line="500" w:lineRule="exact"/>
        <w:ind w:firstLineChars="200" w:firstLine="480"/>
        <w:rPr>
          <w:rFonts w:ascii="宋体" w:eastAsia="宋体" w:hAnsi="宋体" w:cs="仿宋_GB2312"/>
          <w:sz w:val="24"/>
        </w:rPr>
      </w:pPr>
      <w:r w:rsidRPr="00D554C2">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w:t>
      </w:r>
      <w:r w:rsidRPr="00D554C2">
        <w:rPr>
          <w:rFonts w:ascii="宋体" w:eastAsia="宋体" w:hAnsi="宋体" w:cs="仿宋_GB2312" w:hint="eastAsia"/>
          <w:sz w:val="24"/>
        </w:rPr>
        <w:lastRenderedPageBreak/>
        <w:t>方式、评价标准；掌握考核内容锻炼的方式方法。</w:t>
      </w:r>
      <w:r w:rsidRPr="00B26124">
        <w:rPr>
          <w:rFonts w:ascii="宋体" w:eastAsia="宋体" w:hAnsi="宋体" w:cs="仿宋_GB2312" w:hint="eastAsia"/>
          <w:b/>
          <w:bCs/>
          <w:sz w:val="24"/>
        </w:rPr>
        <w:t>【毕业要求8/10 沟通】</w:t>
      </w:r>
    </w:p>
    <w:p w14:paraId="7F0FAEA6" w14:textId="77777777" w:rsidR="00D554C2" w:rsidRPr="00B26124" w:rsidRDefault="00D554C2" w:rsidP="00D554C2">
      <w:pPr>
        <w:adjustRightInd w:val="0"/>
        <w:snapToGrid w:val="0"/>
        <w:spacing w:line="500" w:lineRule="exact"/>
        <w:ind w:firstLineChars="200" w:firstLine="480"/>
        <w:rPr>
          <w:rFonts w:ascii="黑体" w:eastAsia="黑体" w:hAnsi="黑体" w:cs="Times New Roman"/>
          <w:b/>
          <w:bCs/>
          <w:sz w:val="28"/>
          <w:szCs w:val="28"/>
        </w:rPr>
      </w:pPr>
      <w:r w:rsidRPr="00D554C2">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w:t>
      </w:r>
      <w:r w:rsidRPr="00B26124">
        <w:rPr>
          <w:rFonts w:ascii="宋体" w:eastAsia="宋体" w:hAnsi="宋体" w:cs="仿宋_GB2312" w:hint="eastAsia"/>
          <w:b/>
          <w:bCs/>
          <w:sz w:val="24"/>
        </w:rPr>
        <w:t>【毕业要求8/12 终身学习】</w:t>
      </w:r>
    </w:p>
    <w:p w14:paraId="17AC0175"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096"/>
        <w:gridCol w:w="1507"/>
      </w:tblGrid>
      <w:tr w:rsidR="00D554C2" w:rsidRPr="00D554C2" w14:paraId="23651499" w14:textId="77777777" w:rsidTr="009B4CAE">
        <w:trPr>
          <w:trHeight w:val="815"/>
          <w:jc w:val="center"/>
        </w:trPr>
        <w:tc>
          <w:tcPr>
            <w:tcW w:w="1566" w:type="dxa"/>
            <w:vAlign w:val="center"/>
          </w:tcPr>
          <w:p w14:paraId="3CC0A651"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毕业要求</w:t>
            </w:r>
          </w:p>
        </w:tc>
        <w:tc>
          <w:tcPr>
            <w:tcW w:w="6096" w:type="dxa"/>
            <w:vAlign w:val="center"/>
          </w:tcPr>
          <w:p w14:paraId="45B94FD6"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毕业要求指标点</w:t>
            </w:r>
          </w:p>
        </w:tc>
        <w:tc>
          <w:tcPr>
            <w:tcW w:w="1507" w:type="dxa"/>
            <w:vAlign w:val="center"/>
          </w:tcPr>
          <w:p w14:paraId="7138997C"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课程目标</w:t>
            </w:r>
          </w:p>
        </w:tc>
      </w:tr>
      <w:tr w:rsidR="00D554C2" w:rsidRPr="00D554C2" w14:paraId="6B406213" w14:textId="77777777" w:rsidTr="009B4CAE">
        <w:trPr>
          <w:jc w:val="center"/>
        </w:trPr>
        <w:tc>
          <w:tcPr>
            <w:tcW w:w="1566" w:type="dxa"/>
            <w:vAlign w:val="center"/>
          </w:tcPr>
          <w:p w14:paraId="77D3F072"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职业规范</w:t>
            </w:r>
            <w:r w:rsidRPr="00D554C2">
              <w:rPr>
                <w:rFonts w:ascii="宋体" w:eastAsia="宋体" w:hAnsi="宋体" w:cs="Times New Roman"/>
                <w:sz w:val="24"/>
              </w:rPr>
              <w:t>（</w:t>
            </w:r>
            <w:r w:rsidRPr="00D554C2">
              <w:rPr>
                <w:rFonts w:ascii="宋体" w:eastAsia="宋体" w:hAnsi="宋体" w:cs="Times New Roman" w:hint="eastAsia"/>
                <w:sz w:val="24"/>
              </w:rPr>
              <w:t>M</w:t>
            </w:r>
            <w:r w:rsidRPr="00D554C2">
              <w:rPr>
                <w:rFonts w:ascii="宋体" w:eastAsia="宋体" w:hAnsi="宋体" w:cs="Times New Roman"/>
                <w:sz w:val="24"/>
              </w:rPr>
              <w:t>）</w:t>
            </w:r>
          </w:p>
        </w:tc>
        <w:tc>
          <w:tcPr>
            <w:tcW w:w="6096" w:type="dxa"/>
            <w:vAlign w:val="center"/>
          </w:tcPr>
          <w:p w14:paraId="18BC2E77" w14:textId="77777777" w:rsidR="00D554C2" w:rsidRPr="00D554C2" w:rsidRDefault="00D554C2" w:rsidP="00D554C2">
            <w:pPr>
              <w:spacing w:line="440" w:lineRule="exact"/>
              <w:rPr>
                <w:rFonts w:ascii="宋体" w:eastAsia="宋体" w:hAnsi="宋体" w:cs="仿宋_GB2312"/>
                <w:sz w:val="24"/>
              </w:rPr>
            </w:pPr>
          </w:p>
          <w:p w14:paraId="064F5830" w14:textId="77777777" w:rsidR="00D554C2" w:rsidRPr="00D554C2" w:rsidRDefault="00D554C2" w:rsidP="00D554C2">
            <w:pPr>
              <w:spacing w:line="440" w:lineRule="exact"/>
              <w:rPr>
                <w:rFonts w:ascii="宋体" w:eastAsia="宋体" w:hAnsi="宋体" w:cs="仿宋_GB2312"/>
                <w:sz w:val="24"/>
              </w:rPr>
            </w:pPr>
          </w:p>
          <w:p w14:paraId="2CF6CB75" w14:textId="77777777" w:rsidR="00D554C2" w:rsidRPr="00D554C2" w:rsidRDefault="00D554C2" w:rsidP="00D554C2">
            <w:pPr>
              <w:spacing w:line="440" w:lineRule="exact"/>
              <w:rPr>
                <w:rFonts w:ascii="宋体" w:eastAsia="宋体" w:hAnsi="宋体" w:cs="Times New Roman"/>
                <w:sz w:val="24"/>
              </w:rPr>
            </w:pPr>
          </w:p>
        </w:tc>
        <w:tc>
          <w:tcPr>
            <w:tcW w:w="1507" w:type="dxa"/>
            <w:vAlign w:val="center"/>
          </w:tcPr>
          <w:p w14:paraId="12E80CD1" w14:textId="77777777" w:rsidR="00D554C2" w:rsidRPr="00D554C2" w:rsidRDefault="00D554C2" w:rsidP="00D554C2">
            <w:pPr>
              <w:spacing w:line="440" w:lineRule="exact"/>
              <w:rPr>
                <w:rFonts w:ascii="宋体" w:eastAsia="宋体" w:hAnsi="宋体" w:cs="Times New Roman"/>
                <w:sz w:val="24"/>
              </w:rPr>
            </w:pPr>
            <w:r w:rsidRPr="00D554C2">
              <w:rPr>
                <w:rFonts w:ascii="宋体" w:eastAsia="宋体" w:hAnsi="宋体" w:cs="Times New Roman" w:hint="eastAsia"/>
                <w:sz w:val="24"/>
              </w:rPr>
              <w:t>课程目标1</w:t>
            </w:r>
          </w:p>
        </w:tc>
      </w:tr>
      <w:tr w:rsidR="00D554C2" w:rsidRPr="00D554C2" w14:paraId="7D21B3EE" w14:textId="77777777" w:rsidTr="009B4CAE">
        <w:trPr>
          <w:jc w:val="center"/>
        </w:trPr>
        <w:tc>
          <w:tcPr>
            <w:tcW w:w="1566" w:type="dxa"/>
            <w:vAlign w:val="center"/>
          </w:tcPr>
          <w:p w14:paraId="1FFF5CEE"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沟通</w:t>
            </w:r>
            <w:r w:rsidRPr="00D554C2">
              <w:rPr>
                <w:rFonts w:ascii="宋体" w:eastAsia="宋体" w:hAnsi="宋体" w:cs="Times New Roman"/>
                <w:sz w:val="24"/>
              </w:rPr>
              <w:t>（</w:t>
            </w:r>
            <w:r w:rsidRPr="00D554C2">
              <w:rPr>
                <w:rFonts w:ascii="宋体" w:eastAsia="宋体" w:hAnsi="宋体" w:cs="Times New Roman" w:hint="eastAsia"/>
                <w:sz w:val="24"/>
              </w:rPr>
              <w:t>M</w:t>
            </w:r>
            <w:r w:rsidRPr="00D554C2">
              <w:rPr>
                <w:rFonts w:ascii="宋体" w:eastAsia="宋体" w:hAnsi="宋体" w:cs="Times New Roman"/>
                <w:sz w:val="24"/>
              </w:rPr>
              <w:t>）</w:t>
            </w:r>
          </w:p>
        </w:tc>
        <w:tc>
          <w:tcPr>
            <w:tcW w:w="6096" w:type="dxa"/>
            <w:vAlign w:val="center"/>
          </w:tcPr>
          <w:p w14:paraId="229CCAD7" w14:textId="77777777" w:rsidR="00D554C2" w:rsidRPr="00D554C2" w:rsidRDefault="00D554C2" w:rsidP="00D554C2">
            <w:pPr>
              <w:spacing w:line="440" w:lineRule="exact"/>
              <w:rPr>
                <w:rFonts w:ascii="宋体" w:eastAsia="宋体" w:hAnsi="宋体" w:cs="Times New Roman"/>
                <w:sz w:val="24"/>
              </w:rPr>
            </w:pPr>
          </w:p>
          <w:p w14:paraId="741E4C4E" w14:textId="77777777" w:rsidR="00D554C2" w:rsidRPr="00D554C2" w:rsidRDefault="00D554C2" w:rsidP="00D554C2">
            <w:pPr>
              <w:spacing w:line="440" w:lineRule="exact"/>
              <w:rPr>
                <w:rFonts w:ascii="宋体" w:eastAsia="宋体" w:hAnsi="宋体" w:cs="Times New Roman"/>
                <w:sz w:val="24"/>
              </w:rPr>
            </w:pPr>
          </w:p>
          <w:p w14:paraId="49624100" w14:textId="77777777" w:rsidR="00D554C2" w:rsidRPr="00D554C2" w:rsidRDefault="00D554C2" w:rsidP="00D554C2">
            <w:pPr>
              <w:spacing w:line="440" w:lineRule="exact"/>
              <w:rPr>
                <w:rFonts w:ascii="宋体" w:eastAsia="宋体" w:hAnsi="宋体" w:cs="Times New Roman"/>
                <w:sz w:val="24"/>
              </w:rPr>
            </w:pPr>
          </w:p>
        </w:tc>
        <w:tc>
          <w:tcPr>
            <w:tcW w:w="1507" w:type="dxa"/>
            <w:vAlign w:val="center"/>
          </w:tcPr>
          <w:p w14:paraId="59646FCB" w14:textId="77777777" w:rsidR="00D554C2" w:rsidRPr="00D554C2" w:rsidRDefault="00D554C2" w:rsidP="00D554C2">
            <w:pPr>
              <w:spacing w:line="440" w:lineRule="exact"/>
              <w:rPr>
                <w:rFonts w:ascii="宋体" w:eastAsia="宋体" w:hAnsi="宋体" w:cs="仿宋_GB2312"/>
                <w:sz w:val="24"/>
              </w:rPr>
            </w:pPr>
            <w:r w:rsidRPr="00D554C2">
              <w:rPr>
                <w:rFonts w:ascii="宋体" w:eastAsia="宋体" w:hAnsi="宋体" w:cs="Times New Roman" w:hint="eastAsia"/>
                <w:sz w:val="24"/>
              </w:rPr>
              <w:t>课程目标</w:t>
            </w:r>
            <w:r w:rsidRPr="00D554C2">
              <w:rPr>
                <w:rFonts w:ascii="宋体" w:eastAsia="宋体" w:hAnsi="宋体" w:cs="Times New Roman"/>
                <w:sz w:val="24"/>
              </w:rPr>
              <w:t>2</w:t>
            </w:r>
          </w:p>
        </w:tc>
      </w:tr>
      <w:tr w:rsidR="00D554C2" w:rsidRPr="00D554C2" w14:paraId="01399EA5" w14:textId="77777777" w:rsidTr="009B4CAE">
        <w:trPr>
          <w:jc w:val="center"/>
        </w:trPr>
        <w:tc>
          <w:tcPr>
            <w:tcW w:w="1566" w:type="dxa"/>
            <w:vAlign w:val="center"/>
          </w:tcPr>
          <w:p w14:paraId="1100B4F7"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终身学习</w:t>
            </w:r>
            <w:r w:rsidRPr="00D554C2">
              <w:rPr>
                <w:rFonts w:ascii="宋体" w:eastAsia="宋体" w:hAnsi="宋体" w:cs="Times New Roman"/>
                <w:sz w:val="24"/>
              </w:rPr>
              <w:t>（</w:t>
            </w:r>
            <w:r w:rsidRPr="00D554C2">
              <w:rPr>
                <w:rFonts w:ascii="宋体" w:eastAsia="宋体" w:hAnsi="宋体" w:cs="Times New Roman" w:hint="eastAsia"/>
                <w:sz w:val="24"/>
              </w:rPr>
              <w:t>H</w:t>
            </w:r>
            <w:r w:rsidRPr="00D554C2">
              <w:rPr>
                <w:rFonts w:ascii="宋体" w:eastAsia="宋体" w:hAnsi="宋体" w:cs="Times New Roman"/>
                <w:sz w:val="24"/>
              </w:rPr>
              <w:t>）</w:t>
            </w:r>
          </w:p>
        </w:tc>
        <w:tc>
          <w:tcPr>
            <w:tcW w:w="6096" w:type="dxa"/>
            <w:vAlign w:val="center"/>
          </w:tcPr>
          <w:p w14:paraId="632B12D0" w14:textId="77777777" w:rsidR="00D554C2" w:rsidRPr="00D554C2" w:rsidRDefault="00D554C2" w:rsidP="00D554C2">
            <w:pPr>
              <w:spacing w:line="440" w:lineRule="exact"/>
              <w:rPr>
                <w:rFonts w:ascii="宋体" w:eastAsia="宋体" w:hAnsi="宋体" w:cs="仿宋_GB2312"/>
                <w:sz w:val="24"/>
              </w:rPr>
            </w:pPr>
          </w:p>
          <w:p w14:paraId="067DA06A" w14:textId="77777777" w:rsidR="00D554C2" w:rsidRPr="00D554C2" w:rsidRDefault="00D554C2" w:rsidP="00D554C2">
            <w:pPr>
              <w:spacing w:line="440" w:lineRule="exact"/>
              <w:rPr>
                <w:rFonts w:ascii="宋体" w:eastAsia="宋体" w:hAnsi="宋体" w:cs="仿宋_GB2312"/>
                <w:sz w:val="24"/>
              </w:rPr>
            </w:pPr>
          </w:p>
          <w:p w14:paraId="1C7FB6BC" w14:textId="77777777" w:rsidR="00D554C2" w:rsidRPr="00D554C2" w:rsidRDefault="00D554C2" w:rsidP="00D554C2">
            <w:pPr>
              <w:spacing w:line="440" w:lineRule="exact"/>
              <w:rPr>
                <w:rFonts w:ascii="宋体" w:eastAsia="宋体" w:hAnsi="宋体" w:cs="Times New Roman"/>
                <w:sz w:val="24"/>
              </w:rPr>
            </w:pPr>
          </w:p>
        </w:tc>
        <w:tc>
          <w:tcPr>
            <w:tcW w:w="1507" w:type="dxa"/>
            <w:vAlign w:val="center"/>
          </w:tcPr>
          <w:p w14:paraId="6A9214EC" w14:textId="77777777" w:rsidR="00D554C2" w:rsidRPr="00D554C2" w:rsidRDefault="00D554C2" w:rsidP="00D554C2">
            <w:pPr>
              <w:spacing w:line="440" w:lineRule="exact"/>
              <w:rPr>
                <w:rFonts w:ascii="宋体" w:eastAsia="宋体" w:hAnsi="宋体" w:cs="Times New Roman"/>
                <w:sz w:val="24"/>
              </w:rPr>
            </w:pPr>
            <w:r w:rsidRPr="00D554C2">
              <w:rPr>
                <w:rFonts w:ascii="宋体" w:eastAsia="宋体" w:hAnsi="宋体" w:cs="Times New Roman"/>
                <w:sz w:val="24"/>
              </w:rPr>
              <w:t>课程目标3</w:t>
            </w:r>
          </w:p>
        </w:tc>
      </w:tr>
    </w:tbl>
    <w:p w14:paraId="1A87CB8D"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三、课程学习内容及与课程学习目标的对应关系</w:t>
      </w:r>
    </w:p>
    <w:p w14:paraId="6698AF1F" w14:textId="77777777" w:rsidR="00D554C2" w:rsidRPr="00D554C2" w:rsidRDefault="00D554C2" w:rsidP="00D554C2">
      <w:pPr>
        <w:spacing w:beforeLines="50" w:before="156" w:afterLines="50" w:after="156" w:line="440" w:lineRule="exact"/>
        <w:ind w:firstLineChars="200" w:firstLine="562"/>
        <w:rPr>
          <w:rFonts w:ascii="黑体" w:eastAsia="黑体" w:hAnsi="黑体" w:cs="Times New Roman"/>
          <w:b/>
          <w:sz w:val="28"/>
          <w:szCs w:val="28"/>
        </w:rPr>
      </w:pPr>
      <w:r w:rsidRPr="00D554C2">
        <w:rPr>
          <w:rFonts w:ascii="黑体" w:eastAsia="黑体" w:hAnsi="黑体" w:cs="Times New Roman" w:hint="eastAsia"/>
          <w:b/>
          <w:sz w:val="28"/>
          <w:szCs w:val="28"/>
        </w:rPr>
        <w:t>（一）课程学习内容</w:t>
      </w:r>
    </w:p>
    <w:p w14:paraId="0A8327DF" w14:textId="77777777" w:rsidR="00D554C2" w:rsidRPr="00D554C2" w:rsidRDefault="00D554C2" w:rsidP="00D554C2">
      <w:pPr>
        <w:spacing w:beforeLines="50" w:before="156" w:afterLines="50" w:after="156" w:line="500" w:lineRule="exact"/>
        <w:jc w:val="center"/>
        <w:rPr>
          <w:rFonts w:ascii="黑体" w:eastAsia="黑体" w:hAnsi="黑体" w:cs="Times New Roman"/>
          <w:sz w:val="28"/>
          <w:szCs w:val="28"/>
        </w:rPr>
      </w:pPr>
      <w:r w:rsidRPr="00D554C2">
        <w:rPr>
          <w:rFonts w:ascii="黑体" w:eastAsia="黑体" w:hAnsi="黑体" w:cs="Times New Roman" w:hint="eastAsia"/>
          <w:sz w:val="28"/>
          <w:szCs w:val="28"/>
        </w:rPr>
        <w:t>学习内容</w:t>
      </w:r>
      <w:proofErr w:type="gramStart"/>
      <w:r w:rsidRPr="00D554C2">
        <w:rPr>
          <w:rFonts w:ascii="黑体" w:eastAsia="黑体" w:hAnsi="黑体" w:cs="Times New Roman" w:hint="eastAsia"/>
          <w:sz w:val="28"/>
          <w:szCs w:val="28"/>
        </w:rPr>
        <w:t>一</w:t>
      </w:r>
      <w:proofErr w:type="gramEnd"/>
      <w:r w:rsidRPr="00D554C2">
        <w:rPr>
          <w:rFonts w:ascii="黑体" w:eastAsia="黑体" w:hAnsi="黑体" w:cs="Times New Roman" w:hint="eastAsia"/>
          <w:sz w:val="28"/>
          <w:szCs w:val="28"/>
        </w:rPr>
        <w:t xml:space="preserve">  体能+健美操</w:t>
      </w:r>
    </w:p>
    <w:p w14:paraId="649D4B82" w14:textId="77777777" w:rsidR="00D554C2" w:rsidRPr="00D554C2" w:rsidRDefault="00D554C2" w:rsidP="00D554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【学习目标】</w:t>
      </w:r>
    </w:p>
    <w:p w14:paraId="0166AE98"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1.</w:t>
      </w:r>
      <w:r w:rsidRPr="00D554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D554C2">
        <w:rPr>
          <w:rFonts w:ascii="宋体" w:eastAsia="宋体" w:hAnsi="Calibri" w:cs="宋体" w:hint="eastAsia"/>
          <w:spacing w:val="5"/>
          <w:kern w:val="0"/>
          <w:sz w:val="24"/>
        </w:rPr>
        <w:t>通过体能教学活动，</w:t>
      </w:r>
      <w:r w:rsidRPr="00D554C2">
        <w:rPr>
          <w:rFonts w:ascii="宋体" w:eastAsia="宋体" w:hAnsi="宋体" w:cs="仿宋_GB2312" w:hint="eastAsia"/>
          <w:sz w:val="24"/>
        </w:rPr>
        <w:t>了解《大学生体质健康标准测验》项目内容、考核方式、评价标准，掌握考核内容锻炼的方式方法。</w:t>
      </w:r>
      <w:r w:rsidRPr="00D554C2">
        <w:rPr>
          <w:rFonts w:ascii="宋体" w:eastAsia="宋体" w:hAnsi="Calibri" w:cs="宋体" w:hint="eastAsia"/>
          <w:spacing w:val="5"/>
          <w:kern w:val="0"/>
          <w:sz w:val="24"/>
        </w:rPr>
        <w:t>培养学生努力学习、不断进取、修身立业、顽强奋进的精神与品质。</w:t>
      </w:r>
    </w:p>
    <w:p w14:paraId="5B44B411"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lastRenderedPageBreak/>
        <w:t>2.</w:t>
      </w:r>
      <w:r w:rsidRPr="00D554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D554C2">
        <w:rPr>
          <w:rFonts w:ascii="宋体" w:eastAsia="宋体" w:hAnsi="Calibri" w:cs="宋体" w:hint="eastAsia"/>
          <w:spacing w:val="5"/>
          <w:kern w:val="0"/>
          <w:sz w:val="24"/>
        </w:rPr>
        <w:t>。</w:t>
      </w:r>
    </w:p>
    <w:p w14:paraId="75BCC884"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w:t>
      </w:r>
      <w:r w:rsidRPr="00D554C2">
        <w:rPr>
          <w:rFonts w:ascii="宋体" w:eastAsia="宋体" w:hAnsi="Calibri" w:cs="宋体" w:hint="eastAsia"/>
          <w:color w:val="000000"/>
          <w:spacing w:val="7"/>
          <w:sz w:val="24"/>
        </w:rPr>
        <w:t>通过健美操教学活动使学生获得健美操运动的基本理论、基本知识和基本技能，</w:t>
      </w:r>
      <w:r w:rsidRPr="00D554C2">
        <w:rPr>
          <w:rFonts w:ascii="宋体" w:eastAsia="宋体" w:hAnsi="宋体" w:cs="宋体" w:hint="eastAsia"/>
          <w:color w:val="000000"/>
          <w:sz w:val="24"/>
        </w:rPr>
        <w:t>培养学生良好的节奏感、韵律感、美感和表现力，</w:t>
      </w:r>
      <w:r w:rsidRPr="00D554C2">
        <w:rPr>
          <w:rFonts w:ascii="宋体" w:eastAsia="宋体" w:hAnsi="Calibri" w:cs="宋体" w:hint="eastAsia"/>
          <w:color w:val="000000"/>
          <w:spacing w:val="7"/>
          <w:sz w:val="24"/>
        </w:rPr>
        <w:t>增进健康，</w:t>
      </w:r>
      <w:r w:rsidRPr="00D554C2">
        <w:rPr>
          <w:rFonts w:ascii="宋体" w:eastAsia="宋体" w:hAnsi="宋体" w:cs="宋体" w:hint="eastAsia"/>
          <w:color w:val="000000"/>
          <w:sz w:val="24"/>
        </w:rPr>
        <w:t>提高体育素养，使学生掌握自我锻炼的方法并养成自觉锻炼的习惯，为终身体育锻炼打下良好的基础。</w:t>
      </w:r>
      <w:r w:rsidRPr="00D554C2">
        <w:rPr>
          <w:rFonts w:ascii="宋体" w:eastAsia="宋体" w:hAnsi="宋体" w:cs="仿宋_GB2312" w:hint="eastAsia"/>
          <w:sz w:val="24"/>
        </w:rPr>
        <w:t>在提高人的生物潜能、心理潜能的过程中促进德、智、体、美全面发展，达到身心健康、全面发展的教育总目的</w:t>
      </w:r>
      <w:r w:rsidRPr="00D554C2">
        <w:rPr>
          <w:rFonts w:ascii="宋体" w:eastAsia="宋体" w:hAnsi="Calibri" w:cs="宋体" w:hint="eastAsia"/>
          <w:spacing w:val="5"/>
          <w:kern w:val="0"/>
          <w:sz w:val="24"/>
        </w:rPr>
        <w:t>。</w:t>
      </w:r>
    </w:p>
    <w:p w14:paraId="66655B2C" w14:textId="77777777" w:rsidR="00D554C2" w:rsidRPr="00D554C2" w:rsidRDefault="00D554C2" w:rsidP="00D554C2">
      <w:pPr>
        <w:spacing w:line="500" w:lineRule="exact"/>
        <w:ind w:firstLineChars="200" w:firstLine="500"/>
        <w:rPr>
          <w:rFonts w:ascii="宋体" w:eastAsia="宋体" w:hAnsi="宋体" w:cs="Times New Roman"/>
          <w:b/>
          <w:sz w:val="24"/>
        </w:rPr>
      </w:pPr>
      <w:r w:rsidRPr="00D554C2">
        <w:rPr>
          <w:rFonts w:ascii="宋体" w:eastAsia="宋体" w:hAnsi="Calibri" w:cs="宋体" w:hint="eastAsia"/>
          <w:spacing w:val="5"/>
          <w:kern w:val="0"/>
          <w:sz w:val="24"/>
        </w:rPr>
        <w:t>4.</w:t>
      </w:r>
      <w:r w:rsidRPr="00D554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D554C2">
        <w:rPr>
          <w:rFonts w:ascii="宋体" w:eastAsia="宋体" w:hAnsi="Calibri" w:cs="宋体" w:hint="eastAsia"/>
          <w:spacing w:val="5"/>
          <w:kern w:val="0"/>
          <w:sz w:val="24"/>
        </w:rPr>
        <w:t>。</w:t>
      </w:r>
    </w:p>
    <w:p w14:paraId="5967A47D" w14:textId="77777777" w:rsidR="00D554C2" w:rsidRPr="00D554C2" w:rsidRDefault="00D554C2" w:rsidP="00D554C2">
      <w:pPr>
        <w:spacing w:line="440" w:lineRule="exact"/>
        <w:rPr>
          <w:rFonts w:ascii="宋体" w:eastAsia="宋体" w:hAnsi="宋体" w:cs="Times New Roman"/>
          <w:b/>
          <w:sz w:val="24"/>
        </w:rPr>
      </w:pPr>
    </w:p>
    <w:p w14:paraId="781E32C3" w14:textId="77777777" w:rsidR="00D554C2" w:rsidRPr="00D554C2" w:rsidRDefault="00D554C2" w:rsidP="00D554C2">
      <w:pPr>
        <w:spacing w:line="44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【学习内容】</w:t>
      </w:r>
    </w:p>
    <w:p w14:paraId="398E5D80" w14:textId="77777777" w:rsidR="00D554C2" w:rsidRPr="00D554C2" w:rsidRDefault="00D554C2" w:rsidP="00D554C2">
      <w:pPr>
        <w:spacing w:beforeLines="50" w:before="156" w:afterLines="50" w:after="156" w:line="500" w:lineRule="exact"/>
        <w:jc w:val="center"/>
        <w:rPr>
          <w:rFonts w:ascii="宋体" w:eastAsia="宋体" w:hAnsi="Calibri" w:cs="Arial"/>
          <w:b/>
          <w:sz w:val="28"/>
          <w:szCs w:val="28"/>
        </w:rPr>
      </w:pPr>
      <w:r w:rsidRPr="00D554C2">
        <w:rPr>
          <w:rFonts w:ascii="宋体" w:eastAsia="宋体" w:hAnsi="宋体" w:cs="Arial" w:hint="eastAsia"/>
          <w:b/>
          <w:sz w:val="28"/>
          <w:szCs w:val="28"/>
        </w:rPr>
        <w:t>第一章</w:t>
      </w:r>
      <w:r w:rsidRPr="00D554C2">
        <w:rPr>
          <w:rFonts w:ascii="宋体" w:eastAsia="宋体" w:hAnsi="宋体" w:cs="Arial"/>
          <w:b/>
          <w:sz w:val="28"/>
          <w:szCs w:val="28"/>
        </w:rPr>
        <w:t xml:space="preserve">   </w:t>
      </w:r>
      <w:r w:rsidRPr="00D554C2">
        <w:rPr>
          <w:rFonts w:ascii="宋体" w:eastAsia="宋体" w:hAnsi="宋体" w:cs="Arial" w:hint="eastAsia"/>
          <w:b/>
          <w:sz w:val="28"/>
          <w:szCs w:val="28"/>
        </w:rPr>
        <w:t>认识健康的重要性（0.5学时）</w:t>
      </w:r>
    </w:p>
    <w:p w14:paraId="25A5B851" w14:textId="77777777" w:rsidR="00D554C2" w:rsidRPr="00D554C2" w:rsidRDefault="00D554C2" w:rsidP="00D554C2">
      <w:pPr>
        <w:spacing w:before="50" w:after="50"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619CB378"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1.1 健康的内涵</w:t>
      </w:r>
    </w:p>
    <w:p w14:paraId="539DFDB3"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1.2 预防与消除亚健康</w:t>
      </w:r>
    </w:p>
    <w:p w14:paraId="6F1AA693"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1.3 维护健康的法则</w:t>
      </w:r>
    </w:p>
    <w:p w14:paraId="6C753A7A" w14:textId="77777777" w:rsidR="00D554C2" w:rsidRPr="00D554C2" w:rsidRDefault="00D554C2" w:rsidP="00D554C2">
      <w:pPr>
        <w:spacing w:line="500" w:lineRule="exact"/>
        <w:ind w:leftChars="-29" w:left="-61" w:firstLineChars="219" w:firstLine="528"/>
        <w:rPr>
          <w:rFonts w:ascii="Arial" w:eastAsia="宋体" w:hAnsi="Calibri" w:cs="Arial"/>
          <w:b/>
          <w:sz w:val="24"/>
        </w:rPr>
      </w:pPr>
      <w:r w:rsidRPr="00D554C2">
        <w:rPr>
          <w:rFonts w:ascii="Arial" w:eastAsia="宋体" w:hAnsi="Calibri" w:cs="Arial" w:hint="eastAsia"/>
          <w:b/>
          <w:sz w:val="24"/>
        </w:rPr>
        <w:t>本章教学目的及要求：</w:t>
      </w:r>
      <w:r w:rsidRPr="00D554C2">
        <w:rPr>
          <w:rFonts w:ascii="Arial" w:eastAsia="宋体" w:hAnsi="Arial" w:cs="Arial" w:hint="eastAsia"/>
          <w:sz w:val="24"/>
        </w:rPr>
        <w:t>使同学们了解自身健康的重要性及如何维护、促进自身的健康。</w:t>
      </w:r>
    </w:p>
    <w:p w14:paraId="68515BDF" w14:textId="77777777" w:rsidR="00D554C2" w:rsidRPr="00D554C2" w:rsidRDefault="00D554C2" w:rsidP="00D554C2">
      <w:pPr>
        <w:adjustRightInd w:val="0"/>
        <w:snapToGrid w:val="0"/>
        <w:spacing w:line="500" w:lineRule="exact"/>
        <w:ind w:firstLineChars="196" w:firstLine="472"/>
        <w:rPr>
          <w:rFonts w:ascii="Arial" w:eastAsia="宋体" w:hAnsi="Arial" w:cs="Arial"/>
          <w:sz w:val="24"/>
        </w:rPr>
      </w:pPr>
      <w:r w:rsidRPr="00D554C2">
        <w:rPr>
          <w:rFonts w:ascii="Arial" w:eastAsia="宋体" w:hAnsi="Calibri" w:cs="Arial" w:hint="eastAsia"/>
          <w:b/>
          <w:sz w:val="24"/>
        </w:rPr>
        <w:t>本章教学重点及难点：</w:t>
      </w:r>
      <w:r w:rsidRPr="00D554C2">
        <w:rPr>
          <w:rFonts w:ascii="Arial" w:eastAsia="宋体" w:hAnsi="Arial" w:cs="Arial" w:hint="eastAsia"/>
          <w:sz w:val="24"/>
        </w:rPr>
        <w:t>认识到健康的重要性；如何维护自身的健康。</w:t>
      </w:r>
    </w:p>
    <w:p w14:paraId="143E561A" w14:textId="77777777" w:rsidR="00D554C2" w:rsidRPr="00D554C2" w:rsidRDefault="00D554C2" w:rsidP="00D554C2">
      <w:pPr>
        <w:spacing w:beforeLines="50" w:before="156" w:afterLines="50" w:after="156" w:line="500" w:lineRule="exact"/>
        <w:jc w:val="center"/>
        <w:rPr>
          <w:rFonts w:ascii="Arial" w:eastAsia="宋体" w:hAnsi="Arial" w:cs="Arial"/>
          <w:b/>
          <w:sz w:val="28"/>
          <w:szCs w:val="28"/>
        </w:rPr>
      </w:pPr>
      <w:r w:rsidRPr="00D554C2">
        <w:rPr>
          <w:rFonts w:ascii="Arial" w:eastAsia="宋体" w:hAnsi="Calibri" w:cs="Arial" w:hint="eastAsia"/>
          <w:b/>
          <w:sz w:val="28"/>
          <w:szCs w:val="28"/>
        </w:rPr>
        <w:t>第二章</w:t>
      </w:r>
      <w:r w:rsidRPr="00D554C2">
        <w:rPr>
          <w:rFonts w:ascii="Arial" w:eastAsia="宋体" w:hAnsi="Arial" w:cs="Arial"/>
          <w:b/>
          <w:sz w:val="28"/>
          <w:szCs w:val="28"/>
        </w:rPr>
        <w:t xml:space="preserve">   </w:t>
      </w:r>
      <w:r w:rsidRPr="00D554C2">
        <w:rPr>
          <w:rFonts w:ascii="Arial" w:eastAsia="宋体" w:hAnsi="Calibri" w:cs="Arial" w:hint="eastAsia"/>
          <w:b/>
          <w:sz w:val="28"/>
          <w:szCs w:val="28"/>
        </w:rPr>
        <w:t>科学健身的理论与方法（</w:t>
      </w:r>
      <w:r w:rsidRPr="00D554C2">
        <w:rPr>
          <w:rFonts w:ascii="宋体" w:eastAsia="宋体" w:hAnsi="宋体" w:cs="Arial" w:hint="eastAsia"/>
          <w:b/>
          <w:sz w:val="28"/>
          <w:szCs w:val="28"/>
        </w:rPr>
        <w:t>0.5学时</w:t>
      </w:r>
      <w:r w:rsidRPr="00D554C2">
        <w:rPr>
          <w:rFonts w:ascii="Arial" w:eastAsia="宋体" w:hAnsi="Calibri" w:cs="Arial" w:hint="eastAsia"/>
          <w:b/>
          <w:sz w:val="28"/>
          <w:szCs w:val="28"/>
        </w:rPr>
        <w:t>）</w:t>
      </w:r>
    </w:p>
    <w:p w14:paraId="3679DFFD" w14:textId="77777777" w:rsidR="00D554C2" w:rsidRPr="00D554C2" w:rsidRDefault="00D554C2" w:rsidP="00D554C2">
      <w:pPr>
        <w:spacing w:line="500" w:lineRule="exact"/>
        <w:ind w:firstLineChars="196" w:firstLine="472"/>
        <w:rPr>
          <w:rFonts w:ascii="Arial" w:eastAsia="宋体" w:hAnsi="Arial" w:cs="Arial"/>
          <w:b/>
          <w:sz w:val="24"/>
        </w:rPr>
      </w:pPr>
      <w:r w:rsidRPr="00D554C2">
        <w:rPr>
          <w:rFonts w:ascii="Arial" w:eastAsia="宋体" w:hAnsi="Calibri" w:cs="Arial" w:hint="eastAsia"/>
          <w:b/>
          <w:sz w:val="24"/>
        </w:rPr>
        <w:lastRenderedPageBreak/>
        <w:t>本章主要教学内容：</w:t>
      </w:r>
    </w:p>
    <w:p w14:paraId="7C92BDC1"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2.1 健身新理念</w:t>
      </w:r>
    </w:p>
    <w:p w14:paraId="248694F1"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2.2 运动处方</w:t>
      </w:r>
    </w:p>
    <w:p w14:paraId="5A0CB6E5" w14:textId="77777777" w:rsidR="00D554C2" w:rsidRPr="00D554C2" w:rsidRDefault="00D554C2" w:rsidP="00D554C2">
      <w:pPr>
        <w:spacing w:line="500" w:lineRule="exact"/>
        <w:ind w:firstLineChars="196" w:firstLine="472"/>
        <w:rPr>
          <w:rFonts w:ascii="Calibri" w:eastAsia="宋体" w:hAnsi="Calibri" w:cs="Times New Roman"/>
          <w:bCs/>
          <w:sz w:val="24"/>
        </w:rPr>
      </w:pPr>
      <w:r w:rsidRPr="00D554C2">
        <w:rPr>
          <w:rFonts w:ascii="Arial" w:eastAsia="宋体" w:hAnsi="Calibri" w:cs="Arial" w:hint="eastAsia"/>
          <w:b/>
          <w:sz w:val="24"/>
        </w:rPr>
        <w:t>本章教学目的及要求：</w:t>
      </w:r>
      <w:r w:rsidRPr="00D554C2">
        <w:rPr>
          <w:rFonts w:ascii="Calibri" w:eastAsia="宋体" w:hAnsi="Calibri" w:cs="Times New Roman" w:hint="eastAsia"/>
          <w:bCs/>
          <w:sz w:val="24"/>
        </w:rPr>
        <w:t>使学生了解健身新理念及运动处方如何制定。</w:t>
      </w:r>
    </w:p>
    <w:p w14:paraId="34D144C3" w14:textId="77777777" w:rsidR="00D554C2" w:rsidRPr="00D554C2" w:rsidRDefault="00D554C2" w:rsidP="00D554C2">
      <w:pPr>
        <w:spacing w:line="500" w:lineRule="exact"/>
        <w:ind w:firstLineChars="200" w:firstLine="482"/>
        <w:rPr>
          <w:rFonts w:ascii="Arial" w:eastAsia="宋体" w:hAnsi="Arial" w:cs="Arial"/>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制订运动处方的重要性；如何制订自身的运动处方。</w:t>
      </w:r>
    </w:p>
    <w:p w14:paraId="5B47B0F3" w14:textId="77777777" w:rsidR="00D554C2" w:rsidRPr="00D554C2" w:rsidRDefault="00D554C2" w:rsidP="00D554C2">
      <w:pPr>
        <w:spacing w:beforeLines="50" w:before="156" w:afterLines="50" w:after="156" w:line="500" w:lineRule="exact"/>
        <w:jc w:val="center"/>
        <w:rPr>
          <w:rFonts w:ascii="Arial" w:eastAsia="宋体" w:hAnsi="Arial" w:cs="Arial"/>
          <w:b/>
          <w:sz w:val="28"/>
          <w:szCs w:val="28"/>
        </w:rPr>
      </w:pPr>
      <w:r w:rsidRPr="00D554C2">
        <w:rPr>
          <w:rFonts w:ascii="Arial" w:eastAsia="宋体" w:hAnsi="Calibri" w:cs="Arial" w:hint="eastAsia"/>
          <w:b/>
          <w:sz w:val="28"/>
          <w:szCs w:val="28"/>
        </w:rPr>
        <w:t>第三章</w:t>
      </w:r>
      <w:r w:rsidRPr="00D554C2">
        <w:rPr>
          <w:rFonts w:ascii="Arial" w:eastAsia="宋体" w:hAnsi="Arial" w:cs="Arial"/>
          <w:b/>
          <w:sz w:val="28"/>
          <w:szCs w:val="28"/>
        </w:rPr>
        <w:t xml:space="preserve">   </w:t>
      </w:r>
      <w:r w:rsidRPr="00D554C2">
        <w:rPr>
          <w:rFonts w:ascii="Arial" w:eastAsia="宋体" w:hAnsi="Calibri" w:cs="Arial" w:hint="eastAsia"/>
          <w:b/>
          <w:sz w:val="28"/>
          <w:szCs w:val="28"/>
        </w:rPr>
        <w:t>营养与健康（</w:t>
      </w:r>
      <w:r w:rsidRPr="00D554C2">
        <w:rPr>
          <w:rFonts w:ascii="宋体" w:eastAsia="宋体" w:hAnsi="宋体" w:cs="Arial" w:hint="eastAsia"/>
          <w:b/>
          <w:sz w:val="28"/>
          <w:szCs w:val="28"/>
        </w:rPr>
        <w:t>0.5学时</w:t>
      </w:r>
      <w:r w:rsidRPr="00D554C2">
        <w:rPr>
          <w:rFonts w:ascii="Arial" w:eastAsia="宋体" w:hAnsi="Calibri" w:cs="Arial" w:hint="eastAsia"/>
          <w:b/>
          <w:sz w:val="28"/>
          <w:szCs w:val="28"/>
        </w:rPr>
        <w:t>）</w:t>
      </w:r>
    </w:p>
    <w:p w14:paraId="685C3863" w14:textId="77777777" w:rsidR="00D554C2" w:rsidRPr="00D554C2" w:rsidRDefault="00D554C2" w:rsidP="00D554C2">
      <w:pPr>
        <w:spacing w:line="500" w:lineRule="exact"/>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34EC0D33"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3.1 营养对健康的影响</w:t>
      </w:r>
    </w:p>
    <w:p w14:paraId="5EC33232"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3.2 营养素及人体对营养的需要</w:t>
      </w:r>
    </w:p>
    <w:p w14:paraId="01698BBF"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3.3 平衡膳食</w:t>
      </w:r>
    </w:p>
    <w:p w14:paraId="4922E139"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3.4 运动与营养</w:t>
      </w:r>
    </w:p>
    <w:p w14:paraId="5A272272" w14:textId="77777777" w:rsidR="00D554C2" w:rsidRPr="00D554C2" w:rsidRDefault="00D554C2" w:rsidP="00D554C2">
      <w:pPr>
        <w:spacing w:line="500" w:lineRule="exact"/>
        <w:ind w:firstLineChars="196" w:firstLine="472"/>
        <w:rPr>
          <w:rFonts w:ascii="Calibri" w:eastAsia="宋体" w:hAnsi="Calibri" w:cs="Times New Roman"/>
          <w:bCs/>
          <w:sz w:val="24"/>
        </w:rPr>
      </w:pPr>
      <w:r w:rsidRPr="00D554C2">
        <w:rPr>
          <w:rFonts w:ascii="Arial" w:eastAsia="宋体" w:hAnsi="Calibri" w:cs="Arial" w:hint="eastAsia"/>
          <w:b/>
          <w:sz w:val="24"/>
        </w:rPr>
        <w:t>本章教学目的及要求：</w:t>
      </w:r>
      <w:r w:rsidRPr="00D554C2">
        <w:rPr>
          <w:rFonts w:ascii="Calibri" w:eastAsia="宋体" w:hAnsi="Calibri" w:cs="Times New Roman" w:hint="eastAsia"/>
          <w:bCs/>
          <w:sz w:val="24"/>
        </w:rPr>
        <w:t>让学生正确认识科学补充营养可以提高自身免疫力，从而提高生活质量。</w:t>
      </w:r>
    </w:p>
    <w:p w14:paraId="2A615372" w14:textId="77777777" w:rsidR="00D554C2" w:rsidRPr="00D554C2" w:rsidRDefault="00D554C2" w:rsidP="00D554C2">
      <w:pPr>
        <w:spacing w:line="500" w:lineRule="exact"/>
        <w:ind w:firstLineChars="196" w:firstLine="472"/>
        <w:rPr>
          <w:rFonts w:ascii="Arial" w:eastAsia="宋体" w:hAnsi="Arial" w:cs="Arial"/>
          <w:bCs/>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学生阶段的营养过剩与运动不足；补充营养的同时如何提高自身的健康。</w:t>
      </w:r>
    </w:p>
    <w:p w14:paraId="72CB02B2" w14:textId="77777777" w:rsidR="00D554C2" w:rsidRPr="00D554C2" w:rsidRDefault="00D554C2" w:rsidP="00D554C2">
      <w:pPr>
        <w:spacing w:beforeLines="50" w:before="156" w:afterLines="50" w:after="156" w:line="500" w:lineRule="exact"/>
        <w:jc w:val="center"/>
        <w:rPr>
          <w:rFonts w:ascii="Arial" w:eastAsia="宋体" w:hAnsi="Arial" w:cs="Arial"/>
          <w:b/>
          <w:sz w:val="28"/>
          <w:szCs w:val="28"/>
        </w:rPr>
      </w:pPr>
      <w:r w:rsidRPr="00D554C2">
        <w:rPr>
          <w:rFonts w:ascii="Arial" w:eastAsia="宋体" w:hAnsi="Calibri" w:cs="Arial" w:hint="eastAsia"/>
          <w:b/>
          <w:sz w:val="28"/>
          <w:szCs w:val="28"/>
        </w:rPr>
        <w:t>第四章</w:t>
      </w:r>
      <w:r w:rsidRPr="00D554C2">
        <w:rPr>
          <w:rFonts w:ascii="Arial" w:eastAsia="宋体" w:hAnsi="Arial" w:cs="Arial"/>
          <w:b/>
          <w:sz w:val="28"/>
          <w:szCs w:val="28"/>
        </w:rPr>
        <w:t xml:space="preserve">   </w:t>
      </w:r>
      <w:r w:rsidRPr="00D554C2">
        <w:rPr>
          <w:rFonts w:ascii="Arial" w:eastAsia="宋体" w:hAnsi="Calibri" w:cs="Arial" w:hint="eastAsia"/>
          <w:b/>
          <w:sz w:val="28"/>
          <w:szCs w:val="28"/>
        </w:rPr>
        <w:t>体育保健知识（</w:t>
      </w:r>
      <w:r w:rsidRPr="00D554C2">
        <w:rPr>
          <w:rFonts w:ascii="宋体" w:eastAsia="宋体" w:hAnsi="宋体" w:cs="Arial" w:hint="eastAsia"/>
          <w:b/>
          <w:sz w:val="28"/>
          <w:szCs w:val="28"/>
        </w:rPr>
        <w:t>0.5学时</w:t>
      </w:r>
      <w:r w:rsidRPr="00D554C2">
        <w:rPr>
          <w:rFonts w:ascii="Arial" w:eastAsia="宋体" w:hAnsi="Calibri" w:cs="Arial" w:hint="eastAsia"/>
          <w:b/>
          <w:sz w:val="28"/>
          <w:szCs w:val="28"/>
        </w:rPr>
        <w:t>）</w:t>
      </w:r>
    </w:p>
    <w:p w14:paraId="71334F09" w14:textId="77777777" w:rsidR="00D554C2" w:rsidRPr="00D554C2" w:rsidRDefault="00D554C2" w:rsidP="00D554C2">
      <w:pPr>
        <w:spacing w:line="500" w:lineRule="exact"/>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586C0D85"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4.1运动中常见的生理反应与处理方法</w:t>
      </w:r>
    </w:p>
    <w:p w14:paraId="444F8DE5"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4.2 运动损伤的处置</w:t>
      </w:r>
    </w:p>
    <w:p w14:paraId="3B035738"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4.3女子运动保健</w:t>
      </w:r>
    </w:p>
    <w:p w14:paraId="0A35CEB2" w14:textId="77777777" w:rsidR="00D554C2" w:rsidRPr="00D554C2" w:rsidRDefault="00D554C2" w:rsidP="00D554C2">
      <w:pPr>
        <w:spacing w:line="500" w:lineRule="exact"/>
        <w:ind w:firstLineChars="196" w:firstLine="472"/>
        <w:rPr>
          <w:rFonts w:ascii="Calibri" w:eastAsia="宋体" w:hAnsi="Calibri" w:cs="Times New Roman"/>
          <w:bCs/>
          <w:sz w:val="24"/>
        </w:rPr>
      </w:pPr>
      <w:r w:rsidRPr="00D554C2">
        <w:rPr>
          <w:rFonts w:ascii="Arial" w:eastAsia="宋体" w:hAnsi="Calibri" w:cs="Arial" w:hint="eastAsia"/>
          <w:b/>
          <w:sz w:val="24"/>
        </w:rPr>
        <w:t>本章教学目的及要求：</w:t>
      </w:r>
      <w:r w:rsidRPr="00D554C2">
        <w:rPr>
          <w:rFonts w:ascii="Calibri" w:eastAsia="宋体" w:hAnsi="Calibri" w:cs="Times New Roman" w:hint="eastAsia"/>
          <w:bCs/>
          <w:sz w:val="24"/>
        </w:rPr>
        <w:t>使学生了解运动中常见的生理反应及处理方法。</w:t>
      </w:r>
    </w:p>
    <w:p w14:paraId="4D4743DA" w14:textId="77777777" w:rsidR="00D554C2" w:rsidRPr="00D554C2" w:rsidRDefault="00D554C2" w:rsidP="00D554C2">
      <w:pPr>
        <w:spacing w:line="500" w:lineRule="exact"/>
        <w:ind w:firstLineChars="196" w:firstLine="472"/>
        <w:rPr>
          <w:rFonts w:ascii="Arial" w:eastAsia="宋体" w:hAnsi="Calibri" w:cs="Arial"/>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学生如何预防常见的运动损伤；运动损伤如何处置。</w:t>
      </w:r>
    </w:p>
    <w:p w14:paraId="4202DD15" w14:textId="77777777" w:rsidR="00D554C2" w:rsidRPr="00D554C2" w:rsidRDefault="00D554C2" w:rsidP="00D554C2">
      <w:pPr>
        <w:tabs>
          <w:tab w:val="left" w:pos="960"/>
        </w:tabs>
        <w:spacing w:beforeLines="50" w:before="156" w:afterLines="50" w:after="156" w:line="500" w:lineRule="exact"/>
        <w:jc w:val="center"/>
        <w:rPr>
          <w:rFonts w:ascii="宋体" w:eastAsia="宋体" w:hAnsi="Calibri" w:cs="Arial"/>
          <w:b/>
          <w:bCs/>
          <w:sz w:val="28"/>
          <w:szCs w:val="28"/>
        </w:rPr>
      </w:pPr>
      <w:r w:rsidRPr="00D554C2">
        <w:rPr>
          <w:rFonts w:ascii="宋体" w:eastAsia="宋体" w:hAnsi="宋体" w:cs="Arial" w:hint="eastAsia"/>
          <w:b/>
          <w:bCs/>
          <w:sz w:val="28"/>
          <w:szCs w:val="28"/>
        </w:rPr>
        <w:t>第五章 了解体育文化（0.5课时）</w:t>
      </w:r>
    </w:p>
    <w:p w14:paraId="02E85523" w14:textId="77777777" w:rsidR="00D554C2" w:rsidRPr="00D554C2" w:rsidRDefault="00D554C2" w:rsidP="00D554C2">
      <w:pPr>
        <w:spacing w:line="500" w:lineRule="exact"/>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2616BF69"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5.1中西方体育文化比较</w:t>
      </w:r>
    </w:p>
    <w:p w14:paraId="51B9F29E"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lastRenderedPageBreak/>
        <w:t>5.2 奥林匹克体育文化</w:t>
      </w:r>
    </w:p>
    <w:p w14:paraId="659D6F36"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5.3 校园体育文化</w:t>
      </w:r>
    </w:p>
    <w:p w14:paraId="63C06652" w14:textId="77777777" w:rsidR="00D554C2" w:rsidRPr="00D554C2" w:rsidRDefault="00D554C2" w:rsidP="00D554C2">
      <w:pPr>
        <w:spacing w:line="500" w:lineRule="exact"/>
        <w:ind w:firstLineChars="196" w:firstLine="472"/>
        <w:rPr>
          <w:rFonts w:ascii="Arial" w:eastAsia="宋体" w:hAnsi="Calibri" w:cs="Arial"/>
          <w:b/>
          <w:sz w:val="24"/>
        </w:rPr>
      </w:pPr>
      <w:r w:rsidRPr="00D554C2">
        <w:rPr>
          <w:rFonts w:ascii="Arial" w:eastAsia="宋体" w:hAnsi="Calibri" w:cs="Arial" w:hint="eastAsia"/>
          <w:b/>
          <w:sz w:val="24"/>
        </w:rPr>
        <w:t>本章教学目的及要求：</w:t>
      </w:r>
      <w:r w:rsidRPr="00D554C2">
        <w:rPr>
          <w:rFonts w:ascii="Arial" w:eastAsia="宋体" w:hAnsi="Calibri" w:cs="Arial" w:hint="eastAsia"/>
          <w:bCs/>
          <w:sz w:val="24"/>
          <w:szCs w:val="28"/>
        </w:rPr>
        <w:t>让学生了解东西方体育文化的差异。</w:t>
      </w:r>
    </w:p>
    <w:p w14:paraId="672253B8" w14:textId="77777777" w:rsidR="00D554C2" w:rsidRPr="00D554C2" w:rsidRDefault="00D554C2" w:rsidP="00D554C2">
      <w:pPr>
        <w:spacing w:line="500" w:lineRule="exact"/>
        <w:ind w:firstLineChars="196" w:firstLine="472"/>
        <w:rPr>
          <w:rFonts w:ascii="Arial" w:eastAsia="宋体" w:hAnsi="Calibri" w:cs="Arial"/>
          <w:b/>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介绍奥林匹克文化的发展</w:t>
      </w:r>
      <w:r w:rsidRPr="00D554C2">
        <w:rPr>
          <w:rFonts w:ascii="Arial" w:eastAsia="宋体" w:hAnsi="Calibri" w:cs="Arial" w:hint="eastAsia"/>
          <w:bCs/>
          <w:sz w:val="24"/>
          <w:szCs w:val="28"/>
        </w:rPr>
        <w:t>；校园体育文化的发展与功能。</w:t>
      </w:r>
    </w:p>
    <w:p w14:paraId="2AF2A452" w14:textId="77777777" w:rsidR="00D554C2" w:rsidRPr="00D554C2" w:rsidRDefault="00D554C2" w:rsidP="00D554C2">
      <w:pPr>
        <w:spacing w:beforeLines="50" w:before="156" w:afterLines="50" w:after="156" w:line="500" w:lineRule="exact"/>
        <w:jc w:val="center"/>
        <w:rPr>
          <w:rFonts w:ascii="Arial" w:eastAsia="宋体" w:hAnsi="Calibri" w:cs="Arial"/>
          <w:b/>
          <w:sz w:val="28"/>
          <w:szCs w:val="28"/>
        </w:rPr>
      </w:pPr>
      <w:r w:rsidRPr="00D554C2">
        <w:rPr>
          <w:rFonts w:ascii="宋体" w:eastAsia="宋体" w:hAnsi="宋体" w:cs="宋体" w:hint="eastAsia"/>
          <w:b/>
          <w:bCs/>
          <w:sz w:val="28"/>
          <w:szCs w:val="28"/>
        </w:rPr>
        <w:t>第六章  欣赏体育比赛</w:t>
      </w:r>
      <w:r w:rsidRPr="00D554C2">
        <w:rPr>
          <w:rFonts w:ascii="Arial" w:eastAsia="宋体" w:hAnsi="Calibri" w:cs="Arial" w:hint="eastAsia"/>
          <w:b/>
          <w:sz w:val="28"/>
          <w:szCs w:val="28"/>
        </w:rPr>
        <w:t>（</w:t>
      </w:r>
      <w:r w:rsidRPr="00D554C2">
        <w:rPr>
          <w:rFonts w:ascii="宋体" w:eastAsia="宋体" w:hAnsi="宋体" w:cs="Arial" w:hint="eastAsia"/>
          <w:b/>
          <w:sz w:val="28"/>
          <w:szCs w:val="28"/>
        </w:rPr>
        <w:t>0.5学时</w:t>
      </w:r>
      <w:r w:rsidRPr="00D554C2">
        <w:rPr>
          <w:rFonts w:ascii="Arial" w:eastAsia="宋体" w:hAnsi="Calibri" w:cs="Arial" w:hint="eastAsia"/>
          <w:b/>
          <w:sz w:val="28"/>
          <w:szCs w:val="28"/>
        </w:rPr>
        <w:t>）</w:t>
      </w:r>
    </w:p>
    <w:p w14:paraId="39969589" w14:textId="77777777" w:rsidR="00D554C2" w:rsidRPr="00D554C2" w:rsidRDefault="00D554C2" w:rsidP="00D554C2">
      <w:pPr>
        <w:spacing w:line="500" w:lineRule="exact"/>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60F38800"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6.1体育欣赏的体育美学原理及特点</w:t>
      </w:r>
    </w:p>
    <w:p w14:paraId="79B56307"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6.2 体育运动的欣赏内容</w:t>
      </w:r>
    </w:p>
    <w:p w14:paraId="3EA50D7D"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6.3 特定运动项目的欣赏</w:t>
      </w:r>
    </w:p>
    <w:p w14:paraId="5D033752" w14:textId="77777777" w:rsidR="00D554C2" w:rsidRPr="00D554C2" w:rsidRDefault="00D554C2" w:rsidP="00D554C2">
      <w:pPr>
        <w:spacing w:line="500" w:lineRule="exact"/>
        <w:ind w:firstLineChars="196" w:firstLine="472"/>
        <w:rPr>
          <w:rFonts w:ascii="Arial" w:eastAsia="宋体" w:hAnsi="Calibri" w:cs="Arial"/>
          <w:b/>
          <w:sz w:val="24"/>
        </w:rPr>
      </w:pPr>
      <w:r w:rsidRPr="00D554C2">
        <w:rPr>
          <w:rFonts w:ascii="Arial" w:eastAsia="宋体" w:hAnsi="Calibri" w:cs="Arial" w:hint="eastAsia"/>
          <w:b/>
          <w:sz w:val="24"/>
        </w:rPr>
        <w:t>本章教学目的及要求：</w:t>
      </w:r>
      <w:r w:rsidRPr="00D554C2">
        <w:rPr>
          <w:rFonts w:ascii="Arial" w:eastAsia="宋体" w:hAnsi="Calibri" w:cs="Arial" w:hint="eastAsia"/>
          <w:bCs/>
          <w:sz w:val="24"/>
          <w:szCs w:val="28"/>
        </w:rPr>
        <w:t>使学生提高体育文化素质，培养起体育欣赏的兴趣，树立正确的体育审美观念。</w:t>
      </w:r>
    </w:p>
    <w:p w14:paraId="5F6E267E" w14:textId="77777777" w:rsidR="00D554C2" w:rsidRPr="00D554C2" w:rsidRDefault="00D554C2" w:rsidP="00D554C2">
      <w:pPr>
        <w:spacing w:line="500" w:lineRule="exact"/>
        <w:ind w:firstLineChars="196" w:firstLine="472"/>
        <w:rPr>
          <w:rFonts w:ascii="Arial" w:eastAsia="宋体" w:hAnsi="Calibri" w:cs="Arial"/>
          <w:b/>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如何欣赏健美操比赛</w:t>
      </w:r>
      <w:r w:rsidRPr="00D554C2">
        <w:rPr>
          <w:rFonts w:ascii="Arial" w:eastAsia="宋体" w:hAnsi="Calibri" w:cs="Arial" w:hint="eastAsia"/>
          <w:bCs/>
          <w:sz w:val="24"/>
          <w:szCs w:val="28"/>
        </w:rPr>
        <w:t>；如何提高体育欣赏水平。</w:t>
      </w:r>
    </w:p>
    <w:p w14:paraId="1FC7AA95" w14:textId="77777777" w:rsidR="00D554C2" w:rsidRPr="00D554C2" w:rsidRDefault="00D554C2" w:rsidP="00D554C2">
      <w:pPr>
        <w:spacing w:beforeLines="50" w:before="156" w:afterLines="50" w:after="156" w:line="500" w:lineRule="exact"/>
        <w:jc w:val="center"/>
        <w:rPr>
          <w:rFonts w:ascii="Arial" w:eastAsia="宋体" w:hAnsi="Arial" w:cs="Arial"/>
          <w:b/>
          <w:sz w:val="28"/>
          <w:szCs w:val="28"/>
        </w:rPr>
      </w:pPr>
      <w:r w:rsidRPr="00D554C2">
        <w:rPr>
          <w:rFonts w:ascii="Arial" w:eastAsia="宋体" w:hAnsi="Calibri" w:cs="Arial" w:hint="eastAsia"/>
          <w:b/>
          <w:sz w:val="28"/>
          <w:szCs w:val="28"/>
        </w:rPr>
        <w:t>第七章</w:t>
      </w:r>
      <w:r w:rsidRPr="00D554C2">
        <w:rPr>
          <w:rFonts w:ascii="Arial" w:eastAsia="宋体" w:hAnsi="Calibri" w:cs="Arial" w:hint="eastAsia"/>
          <w:b/>
          <w:sz w:val="28"/>
          <w:szCs w:val="28"/>
        </w:rPr>
        <w:t xml:space="preserve">  </w:t>
      </w:r>
      <w:r w:rsidRPr="00D554C2">
        <w:rPr>
          <w:rFonts w:ascii="Arial" w:eastAsia="宋体" w:hAnsi="Arial" w:cs="Arial"/>
          <w:b/>
          <w:sz w:val="28"/>
          <w:szCs w:val="28"/>
        </w:rPr>
        <w:t>大</w:t>
      </w:r>
      <w:r w:rsidRPr="00D554C2">
        <w:rPr>
          <w:rFonts w:ascii="Arial" w:eastAsia="宋体" w:hAnsi="Calibri" w:cs="Arial" w:hint="eastAsia"/>
          <w:b/>
          <w:sz w:val="28"/>
          <w:szCs w:val="28"/>
        </w:rPr>
        <w:t>学生体质健康测评（</w:t>
      </w:r>
      <w:r w:rsidRPr="00D554C2">
        <w:rPr>
          <w:rFonts w:ascii="宋体" w:eastAsia="宋体" w:hAnsi="宋体" w:cs="宋体" w:hint="eastAsia"/>
          <w:b/>
          <w:sz w:val="28"/>
          <w:szCs w:val="28"/>
        </w:rPr>
        <w:t>4</w:t>
      </w:r>
      <w:r w:rsidRPr="00D554C2">
        <w:rPr>
          <w:rFonts w:ascii="Arial" w:eastAsia="宋体" w:hAnsi="Calibri" w:cs="Arial" w:hint="eastAsia"/>
          <w:b/>
          <w:sz w:val="28"/>
          <w:szCs w:val="28"/>
        </w:rPr>
        <w:t>学时）</w:t>
      </w:r>
    </w:p>
    <w:p w14:paraId="49E7E4CE" w14:textId="77777777" w:rsidR="00D554C2" w:rsidRPr="00D554C2" w:rsidRDefault="00D554C2" w:rsidP="00D554C2">
      <w:pPr>
        <w:spacing w:line="500" w:lineRule="exact"/>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60418209"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7.1 《国家学生体质健康标准》实施说明</w:t>
      </w:r>
    </w:p>
    <w:p w14:paraId="4C266CE2" w14:textId="77777777" w:rsidR="00D554C2" w:rsidRPr="00D554C2" w:rsidRDefault="00D554C2" w:rsidP="00D554C2">
      <w:pPr>
        <w:autoSpaceDE w:val="0"/>
        <w:autoSpaceDN w:val="0"/>
        <w:adjustRightInd w:val="0"/>
        <w:snapToGrid w:val="0"/>
        <w:spacing w:line="500" w:lineRule="exact"/>
        <w:ind w:firstLineChars="200" w:firstLine="500"/>
        <w:jc w:val="left"/>
        <w:rPr>
          <w:rFonts w:ascii="Arial" w:eastAsia="宋体" w:hAnsi="Calibri" w:cs="Arial"/>
          <w:sz w:val="24"/>
        </w:rPr>
      </w:pPr>
      <w:r w:rsidRPr="00D554C2">
        <w:rPr>
          <w:rFonts w:ascii="宋体" w:eastAsia="宋体" w:hAnsi="Calibri" w:cs="宋体" w:hint="eastAsia"/>
          <w:spacing w:val="5"/>
          <w:kern w:val="0"/>
          <w:sz w:val="24"/>
        </w:rPr>
        <w:t>7.2 《国家学生体质健康标准》测试评分表</w:t>
      </w:r>
    </w:p>
    <w:p w14:paraId="792BFD3B" w14:textId="77777777" w:rsidR="00D554C2" w:rsidRPr="00D554C2" w:rsidRDefault="00D554C2" w:rsidP="00D554C2">
      <w:pPr>
        <w:spacing w:line="500" w:lineRule="exact"/>
        <w:ind w:firstLineChars="196" w:firstLine="472"/>
        <w:rPr>
          <w:rFonts w:ascii="Calibri" w:eastAsia="宋体" w:hAnsi="Calibri" w:cs="Times New Roman"/>
          <w:bCs/>
          <w:sz w:val="24"/>
        </w:rPr>
      </w:pPr>
      <w:r w:rsidRPr="00D554C2">
        <w:rPr>
          <w:rFonts w:ascii="Arial" w:eastAsia="宋体" w:hAnsi="Calibri" w:cs="Arial" w:hint="eastAsia"/>
          <w:b/>
          <w:sz w:val="24"/>
        </w:rPr>
        <w:t>本章教学目的及要求：</w:t>
      </w:r>
      <w:r w:rsidRPr="00D554C2">
        <w:rPr>
          <w:rFonts w:ascii="Calibri" w:eastAsia="宋体" w:hAnsi="Calibri" w:cs="Times New Roman" w:hint="eastAsia"/>
          <w:bCs/>
          <w:sz w:val="24"/>
        </w:rPr>
        <w:t>使学生了解体质健康的主要内容及要求。</w:t>
      </w:r>
    </w:p>
    <w:p w14:paraId="279EA630" w14:textId="77777777" w:rsidR="00D554C2" w:rsidRPr="00D554C2" w:rsidRDefault="00D554C2" w:rsidP="00D554C2">
      <w:pPr>
        <w:spacing w:line="500" w:lineRule="exact"/>
        <w:ind w:firstLineChars="196" w:firstLine="472"/>
        <w:rPr>
          <w:rFonts w:ascii="Arial" w:eastAsia="宋体" w:hAnsi="Calibri" w:cs="Arial"/>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学生体质健康标准的重要性；如何激发学生锻炼身体的积极性和自觉性。</w:t>
      </w:r>
    </w:p>
    <w:p w14:paraId="0C5A4CB1" w14:textId="77777777" w:rsidR="00D554C2" w:rsidRPr="00D554C2" w:rsidRDefault="00D554C2" w:rsidP="00D554C2">
      <w:pPr>
        <w:spacing w:beforeLines="50" w:before="156" w:afterLines="50" w:after="156" w:line="500" w:lineRule="exact"/>
        <w:jc w:val="center"/>
        <w:rPr>
          <w:rFonts w:ascii="Arial" w:eastAsia="宋体" w:hAnsi="Calibri" w:cs="Arial"/>
          <w:b/>
          <w:sz w:val="28"/>
          <w:szCs w:val="28"/>
        </w:rPr>
      </w:pPr>
      <w:r w:rsidRPr="00D554C2">
        <w:rPr>
          <w:rFonts w:ascii="Arial" w:eastAsia="宋体" w:hAnsi="Arial" w:cs="Arial" w:hint="eastAsia"/>
          <w:b/>
          <w:sz w:val="28"/>
          <w:szCs w:val="28"/>
        </w:rPr>
        <w:t>第八章</w:t>
      </w:r>
      <w:r w:rsidRPr="00D554C2">
        <w:rPr>
          <w:rFonts w:ascii="Arial" w:eastAsia="宋体" w:hAnsi="Arial" w:cs="Arial"/>
          <w:b/>
          <w:sz w:val="28"/>
          <w:szCs w:val="28"/>
        </w:rPr>
        <w:t xml:space="preserve">  </w:t>
      </w:r>
      <w:r w:rsidRPr="00D554C2">
        <w:rPr>
          <w:rFonts w:ascii="宋体" w:eastAsia="宋体" w:hAnsi="宋体" w:cs="Arial" w:hint="eastAsia"/>
          <w:b/>
          <w:bCs/>
          <w:sz w:val="28"/>
          <w:szCs w:val="28"/>
        </w:rPr>
        <w:t>体能训练</w:t>
      </w:r>
      <w:r w:rsidRPr="00D554C2">
        <w:rPr>
          <w:rFonts w:ascii="Arial" w:eastAsia="宋体" w:hAnsi="Calibri" w:cs="Arial" w:hint="eastAsia"/>
          <w:b/>
          <w:sz w:val="28"/>
          <w:szCs w:val="28"/>
        </w:rPr>
        <w:t>（</w:t>
      </w:r>
      <w:r w:rsidRPr="00D554C2">
        <w:rPr>
          <w:rFonts w:ascii="宋体" w:eastAsia="宋体" w:hAnsi="宋体" w:cs="宋体" w:hint="eastAsia"/>
          <w:b/>
          <w:sz w:val="28"/>
          <w:szCs w:val="28"/>
        </w:rPr>
        <w:t>13</w:t>
      </w:r>
      <w:r w:rsidRPr="00D554C2">
        <w:rPr>
          <w:rFonts w:ascii="Arial" w:eastAsia="宋体" w:hAnsi="Calibri" w:cs="Arial" w:hint="eastAsia"/>
          <w:b/>
          <w:sz w:val="28"/>
          <w:szCs w:val="28"/>
        </w:rPr>
        <w:t>学时）</w:t>
      </w:r>
    </w:p>
    <w:p w14:paraId="7F3CE030" w14:textId="77777777" w:rsidR="00D554C2" w:rsidRPr="00D554C2" w:rsidRDefault="00D554C2" w:rsidP="00D554C2">
      <w:pPr>
        <w:spacing w:line="500" w:lineRule="exact"/>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5D7192FD"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8.1体能训练简介</w:t>
      </w:r>
    </w:p>
    <w:p w14:paraId="6920CFFF"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8.2加速能力及力量训练；柔韧能力训练</w:t>
      </w:r>
    </w:p>
    <w:p w14:paraId="2AD84C8B"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8.3弹跳能力及力量训练</w:t>
      </w:r>
    </w:p>
    <w:p w14:paraId="46FD4158"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8.4灵敏能力及力量训练</w:t>
      </w:r>
    </w:p>
    <w:p w14:paraId="7CC0A66E"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lastRenderedPageBreak/>
        <w:t>8.5耐力能力及无氧训练</w:t>
      </w:r>
    </w:p>
    <w:p w14:paraId="05BDC586"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8.6弹跳能力及力量测试</w:t>
      </w:r>
    </w:p>
    <w:p w14:paraId="5C4F4705"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8.7上肢（男）力量训练；腹肌（女）力量训练</w:t>
      </w:r>
    </w:p>
    <w:p w14:paraId="6864847F"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8.8耐力能力及无氧训练</w:t>
      </w:r>
    </w:p>
    <w:p w14:paraId="733BFBBD"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8.9引体向上（男）；一分钟仰卧起坐（女）</w:t>
      </w:r>
    </w:p>
    <w:p w14:paraId="5F35684F"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8.10立定跳远测试</w:t>
      </w:r>
    </w:p>
    <w:p w14:paraId="1EEF9936"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 xml:space="preserve">第九章 </w:t>
      </w:r>
      <w:r w:rsidRPr="00D554C2">
        <w:rPr>
          <w:rFonts w:ascii="宋体" w:eastAsia="宋体" w:hAnsi="宋体" w:cs="Times New Roman"/>
          <w:b/>
          <w:sz w:val="28"/>
          <w:szCs w:val="28"/>
        </w:rPr>
        <w:t xml:space="preserve"> </w:t>
      </w:r>
      <w:r w:rsidRPr="00D554C2">
        <w:rPr>
          <w:rFonts w:ascii="宋体" w:eastAsia="宋体" w:hAnsi="宋体" w:cs="Times New Roman" w:hint="eastAsia"/>
          <w:b/>
          <w:sz w:val="28"/>
          <w:szCs w:val="28"/>
        </w:rPr>
        <w:t>健美操概述与基本功练习（2学时）</w:t>
      </w:r>
    </w:p>
    <w:p w14:paraId="68D55F6B"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hint="eastAsia"/>
          <w:b/>
          <w:sz w:val="24"/>
        </w:rPr>
        <w:t>本章主要教学内容：</w:t>
      </w:r>
    </w:p>
    <w:p w14:paraId="5CBA6B8E" w14:textId="77777777" w:rsidR="00D554C2" w:rsidRPr="00D554C2" w:rsidRDefault="00D554C2" w:rsidP="00D554C2">
      <w:pPr>
        <w:spacing w:line="500" w:lineRule="exact"/>
        <w:ind w:firstLineChars="200" w:firstLine="508"/>
        <w:rPr>
          <w:rFonts w:ascii="宋体" w:eastAsia="宋体" w:hAnsi="Calibri" w:cs="宋体"/>
          <w:color w:val="000000"/>
          <w:spacing w:val="7"/>
          <w:sz w:val="24"/>
        </w:rPr>
      </w:pPr>
      <w:r w:rsidRPr="00D554C2">
        <w:rPr>
          <w:rFonts w:ascii="宋体" w:eastAsia="宋体" w:hAnsi="Calibri" w:cs="宋体" w:hint="eastAsia"/>
          <w:color w:val="000000"/>
          <w:spacing w:val="7"/>
          <w:sz w:val="24"/>
        </w:rPr>
        <w:t>9</w:t>
      </w:r>
      <w:r w:rsidRPr="00D554C2">
        <w:rPr>
          <w:rFonts w:ascii="宋体" w:eastAsia="宋体" w:hAnsi="Calibri" w:cs="宋体"/>
          <w:color w:val="000000"/>
          <w:spacing w:val="7"/>
          <w:sz w:val="24"/>
        </w:rPr>
        <w:t>.1</w:t>
      </w:r>
      <w:r w:rsidRPr="00D554C2">
        <w:rPr>
          <w:rFonts w:ascii="宋体" w:eastAsia="宋体" w:hAnsi="Calibri" w:cs="宋体" w:hint="eastAsia"/>
          <w:color w:val="000000"/>
          <w:spacing w:val="7"/>
          <w:sz w:val="24"/>
        </w:rPr>
        <w:t>健美操发展概况</w:t>
      </w:r>
    </w:p>
    <w:p w14:paraId="76BCFEB3" w14:textId="77777777" w:rsidR="00D554C2" w:rsidRPr="00D554C2" w:rsidRDefault="00D554C2" w:rsidP="00D554C2">
      <w:pPr>
        <w:spacing w:line="500" w:lineRule="exact"/>
        <w:ind w:firstLineChars="200" w:firstLine="508"/>
        <w:rPr>
          <w:rFonts w:ascii="宋体" w:eastAsia="宋体" w:hAnsi="Calibri" w:cs="宋体"/>
          <w:color w:val="000000"/>
          <w:spacing w:val="7"/>
          <w:sz w:val="24"/>
        </w:rPr>
      </w:pPr>
      <w:r w:rsidRPr="00D554C2">
        <w:rPr>
          <w:rFonts w:ascii="宋体" w:eastAsia="宋体" w:hAnsi="Calibri" w:cs="宋体" w:hint="eastAsia"/>
          <w:color w:val="000000"/>
          <w:spacing w:val="7"/>
          <w:sz w:val="24"/>
        </w:rPr>
        <w:t>9</w:t>
      </w:r>
      <w:r w:rsidRPr="00D554C2">
        <w:rPr>
          <w:rFonts w:ascii="宋体" w:eastAsia="宋体" w:hAnsi="Calibri" w:cs="宋体"/>
          <w:color w:val="000000"/>
          <w:spacing w:val="7"/>
          <w:sz w:val="24"/>
        </w:rPr>
        <w:t>.2</w:t>
      </w:r>
      <w:r w:rsidRPr="00D554C2">
        <w:rPr>
          <w:rFonts w:ascii="宋体" w:eastAsia="宋体" w:hAnsi="Calibri" w:cs="宋体" w:hint="eastAsia"/>
          <w:color w:val="000000"/>
          <w:spacing w:val="7"/>
          <w:sz w:val="24"/>
        </w:rPr>
        <w:t>健美操运动概念、特点和分类</w:t>
      </w:r>
    </w:p>
    <w:p w14:paraId="4B840A3E" w14:textId="77777777" w:rsidR="00D554C2" w:rsidRPr="00D554C2" w:rsidRDefault="00D554C2" w:rsidP="00D554C2">
      <w:pPr>
        <w:spacing w:line="500" w:lineRule="exact"/>
        <w:ind w:left="2" w:firstLineChars="200" w:firstLine="508"/>
        <w:rPr>
          <w:rFonts w:ascii="宋体" w:eastAsia="宋体" w:hAnsi="Calibri" w:cs="宋体"/>
          <w:color w:val="000000"/>
          <w:spacing w:val="7"/>
          <w:sz w:val="24"/>
        </w:rPr>
      </w:pPr>
      <w:r w:rsidRPr="00D554C2">
        <w:rPr>
          <w:rFonts w:ascii="宋体" w:eastAsia="宋体" w:hAnsi="Calibri" w:cs="宋体" w:hint="eastAsia"/>
          <w:color w:val="000000"/>
          <w:spacing w:val="7"/>
          <w:sz w:val="24"/>
        </w:rPr>
        <w:t>9</w:t>
      </w:r>
      <w:r w:rsidRPr="00D554C2">
        <w:rPr>
          <w:rFonts w:ascii="宋体" w:eastAsia="宋体" w:hAnsi="Calibri" w:cs="宋体"/>
          <w:color w:val="000000"/>
          <w:spacing w:val="7"/>
          <w:sz w:val="24"/>
        </w:rPr>
        <w:t>.3</w:t>
      </w:r>
      <w:r w:rsidRPr="00D554C2">
        <w:rPr>
          <w:rFonts w:ascii="宋体" w:eastAsia="宋体" w:hAnsi="Calibri" w:cs="宋体" w:hint="eastAsia"/>
          <w:color w:val="000000"/>
          <w:spacing w:val="7"/>
          <w:sz w:val="24"/>
        </w:rPr>
        <w:t>姿态与节奏练习：基本姿态练习；听音乐，数节奏</w:t>
      </w:r>
    </w:p>
    <w:p w14:paraId="2389D80C" w14:textId="77777777" w:rsidR="00D554C2" w:rsidRPr="00D554C2" w:rsidRDefault="00D554C2" w:rsidP="00D554C2">
      <w:pPr>
        <w:spacing w:line="500" w:lineRule="exact"/>
        <w:ind w:firstLineChars="200" w:firstLine="508"/>
        <w:rPr>
          <w:rFonts w:ascii="宋体" w:eastAsia="宋体" w:hAnsi="Calibri" w:cs="宋体"/>
          <w:color w:val="000000"/>
          <w:spacing w:val="7"/>
          <w:sz w:val="24"/>
        </w:rPr>
      </w:pPr>
      <w:r w:rsidRPr="00D554C2">
        <w:rPr>
          <w:rFonts w:ascii="宋体" w:eastAsia="宋体" w:hAnsi="Calibri" w:cs="宋体" w:hint="eastAsia"/>
          <w:color w:val="000000"/>
          <w:spacing w:val="7"/>
          <w:sz w:val="24"/>
        </w:rPr>
        <w:t>9</w:t>
      </w:r>
      <w:r w:rsidRPr="00D554C2">
        <w:rPr>
          <w:rFonts w:ascii="宋体" w:eastAsia="宋体" w:hAnsi="Calibri" w:cs="宋体"/>
          <w:color w:val="000000"/>
          <w:spacing w:val="7"/>
          <w:sz w:val="24"/>
        </w:rPr>
        <w:t>.4</w:t>
      </w:r>
      <w:r w:rsidRPr="00D554C2">
        <w:rPr>
          <w:rFonts w:ascii="宋体" w:eastAsia="宋体" w:hAnsi="Calibri" w:cs="宋体" w:hint="eastAsia"/>
          <w:color w:val="000000"/>
          <w:spacing w:val="7"/>
          <w:sz w:val="24"/>
        </w:rPr>
        <w:t>柔韧性练习：①肩部柔韧练习</w:t>
      </w:r>
      <w:r w:rsidRPr="00D554C2">
        <w:rPr>
          <w:rFonts w:ascii="宋体" w:eastAsia="宋体" w:hAnsi="Calibri" w:cs="宋体"/>
          <w:color w:val="000000"/>
          <w:spacing w:val="7"/>
          <w:sz w:val="24"/>
        </w:rPr>
        <w:t xml:space="preserve"> </w:t>
      </w:r>
      <w:r w:rsidRPr="00D554C2">
        <w:rPr>
          <w:rFonts w:ascii="宋体" w:eastAsia="宋体" w:hAnsi="Calibri" w:cs="宋体" w:hint="eastAsia"/>
          <w:color w:val="000000"/>
          <w:spacing w:val="7"/>
          <w:sz w:val="24"/>
        </w:rPr>
        <w:t>②胸部柔韧练习</w:t>
      </w:r>
      <w:r w:rsidRPr="00D554C2">
        <w:rPr>
          <w:rFonts w:ascii="宋体" w:eastAsia="宋体" w:hAnsi="Calibri" w:cs="宋体"/>
          <w:color w:val="000000"/>
          <w:spacing w:val="7"/>
          <w:sz w:val="24"/>
        </w:rPr>
        <w:t xml:space="preserve"> </w:t>
      </w:r>
      <w:r w:rsidRPr="00D554C2">
        <w:rPr>
          <w:rFonts w:ascii="宋体" w:eastAsia="宋体" w:hAnsi="Calibri" w:cs="宋体" w:hint="eastAsia"/>
          <w:color w:val="000000"/>
          <w:spacing w:val="7"/>
          <w:sz w:val="24"/>
        </w:rPr>
        <w:t>③髋部柔韧练习</w:t>
      </w:r>
      <w:r w:rsidRPr="00D554C2">
        <w:rPr>
          <w:rFonts w:ascii="宋体" w:eastAsia="宋体" w:hAnsi="Calibri" w:cs="宋体"/>
          <w:color w:val="000000"/>
          <w:spacing w:val="7"/>
          <w:sz w:val="24"/>
        </w:rPr>
        <w:t xml:space="preserve"> </w:t>
      </w:r>
      <w:r w:rsidRPr="00D554C2">
        <w:rPr>
          <w:rFonts w:ascii="宋体" w:eastAsia="宋体" w:hAnsi="Calibri" w:cs="宋体" w:hint="eastAsia"/>
          <w:color w:val="000000"/>
          <w:spacing w:val="7"/>
          <w:sz w:val="24"/>
        </w:rPr>
        <w:t>④腿部柔韧练习</w:t>
      </w:r>
    </w:p>
    <w:p w14:paraId="7A3210EF" w14:textId="77777777" w:rsidR="00D554C2" w:rsidRPr="00D554C2" w:rsidRDefault="00D554C2" w:rsidP="00D554C2">
      <w:pPr>
        <w:spacing w:line="500" w:lineRule="exact"/>
        <w:ind w:firstLineChars="200" w:firstLine="482"/>
        <w:rPr>
          <w:rFonts w:ascii="宋体" w:eastAsia="宋体" w:hAnsi="Calibri" w:cs="宋体"/>
          <w:color w:val="000000"/>
          <w:spacing w:val="7"/>
          <w:sz w:val="24"/>
        </w:rPr>
      </w:pPr>
      <w:r w:rsidRPr="00D554C2">
        <w:rPr>
          <w:rFonts w:ascii="Calibri" w:eastAsia="宋体" w:hAnsi="Calibri" w:cs="Times New Roman" w:hint="eastAsia"/>
          <w:b/>
          <w:sz w:val="24"/>
        </w:rPr>
        <w:t>本章教学目的及要求：</w:t>
      </w:r>
      <w:r w:rsidRPr="00D554C2">
        <w:rPr>
          <w:rFonts w:ascii="Calibri" w:eastAsia="宋体" w:hAnsi="Calibri" w:cs="Times New Roman" w:hint="eastAsia"/>
          <w:bCs/>
          <w:sz w:val="24"/>
        </w:rPr>
        <w:t>让</w:t>
      </w:r>
      <w:r w:rsidRPr="00D554C2">
        <w:rPr>
          <w:rFonts w:ascii="宋体" w:eastAsia="宋体" w:hAnsi="Calibri" w:cs="宋体" w:hint="eastAsia"/>
          <w:color w:val="000000"/>
          <w:spacing w:val="7"/>
          <w:sz w:val="24"/>
        </w:rPr>
        <w:t>学生了解健美操运动分类、特点及发展动态和趋势，培养学生在这项运动上的兴趣，培养正确体态、塑造美的形体，初步了解健美操项目。</w:t>
      </w:r>
    </w:p>
    <w:p w14:paraId="6DC09316" w14:textId="77777777" w:rsidR="00D554C2" w:rsidRPr="00D554C2" w:rsidRDefault="00D554C2" w:rsidP="00D554C2">
      <w:pPr>
        <w:spacing w:line="500" w:lineRule="exact"/>
        <w:ind w:firstLineChars="200" w:firstLine="482"/>
        <w:rPr>
          <w:rFonts w:ascii="宋体" w:eastAsia="宋体" w:hAnsi="Calibri" w:cs="宋体"/>
          <w:color w:val="000000"/>
          <w:spacing w:val="7"/>
          <w:sz w:val="24"/>
        </w:rPr>
      </w:pPr>
      <w:r w:rsidRPr="00D554C2">
        <w:rPr>
          <w:rFonts w:ascii="Calibri" w:eastAsia="宋体" w:hAnsi="Calibri" w:cs="Times New Roman" w:hint="eastAsia"/>
          <w:b/>
          <w:sz w:val="24"/>
        </w:rPr>
        <w:t>本章教学重点及难点：</w:t>
      </w:r>
      <w:r w:rsidRPr="00D554C2">
        <w:rPr>
          <w:rFonts w:ascii="宋体" w:eastAsia="宋体" w:hAnsi="Calibri" w:cs="宋体" w:hint="eastAsia"/>
          <w:color w:val="000000"/>
          <w:spacing w:val="7"/>
          <w:sz w:val="24"/>
        </w:rPr>
        <w:t>了解健美操项目的特点；姿态的控制，乐感的培养。</w:t>
      </w:r>
    </w:p>
    <w:p w14:paraId="0FD7B359"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第十章</w:t>
      </w:r>
      <w:r w:rsidRPr="00D554C2">
        <w:rPr>
          <w:rFonts w:ascii="宋体" w:eastAsia="宋体" w:hAnsi="宋体" w:cs="Times New Roman"/>
          <w:b/>
          <w:sz w:val="28"/>
          <w:szCs w:val="28"/>
        </w:rPr>
        <w:t xml:space="preserve">  </w:t>
      </w:r>
      <w:r w:rsidRPr="00D554C2">
        <w:rPr>
          <w:rFonts w:ascii="宋体" w:eastAsia="宋体" w:hAnsi="宋体" w:cs="Times New Roman" w:hint="eastAsia"/>
          <w:b/>
          <w:sz w:val="28"/>
          <w:szCs w:val="28"/>
        </w:rPr>
        <w:t>健美操基本动作和基本素质练习（6学时）</w:t>
      </w:r>
    </w:p>
    <w:p w14:paraId="610816A7" w14:textId="77777777" w:rsidR="00D554C2" w:rsidRPr="00D554C2" w:rsidRDefault="00D554C2" w:rsidP="00D554C2">
      <w:pPr>
        <w:spacing w:line="500" w:lineRule="exact"/>
        <w:ind w:firstLineChars="200" w:firstLine="482"/>
        <w:rPr>
          <w:rFonts w:ascii="宋体" w:eastAsia="宋体" w:hAnsi="宋体" w:cs="Times New Roman"/>
          <w:b/>
          <w:color w:val="000000"/>
          <w:sz w:val="24"/>
        </w:rPr>
      </w:pPr>
      <w:r w:rsidRPr="00D554C2">
        <w:rPr>
          <w:rFonts w:ascii="宋体" w:eastAsia="宋体" w:hAnsi="宋体" w:cs="Times New Roman" w:hint="eastAsia"/>
          <w:b/>
          <w:color w:val="000000"/>
          <w:sz w:val="24"/>
        </w:rPr>
        <w:t>本章主要教学内容：</w:t>
      </w:r>
    </w:p>
    <w:p w14:paraId="0E59DCC9" w14:textId="77777777" w:rsidR="00D554C2" w:rsidRPr="00D554C2" w:rsidRDefault="00D554C2" w:rsidP="00D554C2">
      <w:pPr>
        <w:spacing w:line="500" w:lineRule="exact"/>
        <w:ind w:firstLineChars="200" w:firstLine="480"/>
        <w:rPr>
          <w:rFonts w:ascii="宋体" w:eastAsia="宋体" w:hAnsi="宋体" w:cs="Times New Roman"/>
          <w:color w:val="000000"/>
          <w:sz w:val="24"/>
        </w:rPr>
      </w:pPr>
      <w:r w:rsidRPr="00D554C2">
        <w:rPr>
          <w:rFonts w:ascii="宋体" w:eastAsia="宋体" w:hAnsi="宋体" w:cs="Arial" w:hint="eastAsia"/>
          <w:color w:val="000000"/>
          <w:sz w:val="24"/>
        </w:rPr>
        <w:t>10</w:t>
      </w:r>
      <w:r w:rsidRPr="00D554C2">
        <w:rPr>
          <w:rFonts w:ascii="宋体" w:eastAsia="宋体" w:hAnsi="宋体" w:cs="Arial"/>
          <w:color w:val="000000"/>
          <w:sz w:val="24"/>
        </w:rPr>
        <w:t>.1</w:t>
      </w:r>
      <w:r w:rsidRPr="00D554C2">
        <w:rPr>
          <w:rFonts w:ascii="宋体" w:eastAsia="宋体" w:hAnsi="宋体" w:cs="Times New Roman" w:hint="eastAsia"/>
          <w:color w:val="000000"/>
          <w:sz w:val="24"/>
        </w:rPr>
        <w:t>健美操手型：掌（并掌、开掌、花掌、立掌）、拳（握拳和半握拳）、剑指、响指等。</w:t>
      </w:r>
    </w:p>
    <w:p w14:paraId="2877D5E0" w14:textId="77777777" w:rsidR="00D554C2" w:rsidRPr="00D554C2" w:rsidRDefault="00D554C2" w:rsidP="00D554C2">
      <w:pPr>
        <w:spacing w:line="500" w:lineRule="exact"/>
        <w:ind w:firstLineChars="200" w:firstLine="480"/>
        <w:rPr>
          <w:rFonts w:ascii="宋体" w:eastAsia="宋体" w:hAnsi="宋体" w:cs="Arial"/>
          <w:color w:val="000000"/>
          <w:sz w:val="24"/>
        </w:rPr>
      </w:pPr>
      <w:r w:rsidRPr="00D554C2">
        <w:rPr>
          <w:rFonts w:ascii="宋体" w:eastAsia="宋体" w:hAnsi="宋体" w:cs="Arial" w:hint="eastAsia"/>
          <w:color w:val="000000"/>
          <w:sz w:val="24"/>
        </w:rPr>
        <w:t>10.2健美操上肢动作：前平举、侧平举、上举、斜上举、斜下举、胸前平屈等常用上肢动作控制练习。</w:t>
      </w:r>
    </w:p>
    <w:p w14:paraId="1854B776" w14:textId="77777777" w:rsidR="00D554C2" w:rsidRPr="00D554C2" w:rsidRDefault="00D554C2" w:rsidP="00D554C2">
      <w:pPr>
        <w:spacing w:line="500" w:lineRule="exact"/>
        <w:ind w:firstLineChars="200" w:firstLine="480"/>
        <w:rPr>
          <w:rFonts w:ascii="宋体" w:eastAsia="宋体" w:hAnsi="宋体" w:cs="Arial"/>
          <w:color w:val="000000"/>
          <w:sz w:val="24"/>
        </w:rPr>
      </w:pPr>
      <w:r w:rsidRPr="00D554C2">
        <w:rPr>
          <w:rFonts w:ascii="宋体" w:eastAsia="宋体" w:hAnsi="宋体" w:cs="Arial" w:hint="eastAsia"/>
          <w:color w:val="000000"/>
          <w:sz w:val="24"/>
        </w:rPr>
        <w:t>10</w:t>
      </w:r>
      <w:r w:rsidRPr="00D554C2">
        <w:rPr>
          <w:rFonts w:ascii="宋体" w:eastAsia="宋体" w:hAnsi="宋体" w:cs="Arial"/>
          <w:color w:val="000000"/>
          <w:sz w:val="24"/>
        </w:rPr>
        <w:t>.</w:t>
      </w:r>
      <w:r w:rsidRPr="00D554C2">
        <w:rPr>
          <w:rFonts w:ascii="宋体" w:eastAsia="宋体" w:hAnsi="宋体" w:cs="Arial" w:hint="eastAsia"/>
          <w:color w:val="000000"/>
          <w:sz w:val="24"/>
        </w:rPr>
        <w:t>3</w:t>
      </w:r>
      <w:r w:rsidRPr="00D554C2">
        <w:rPr>
          <w:rFonts w:ascii="宋体" w:eastAsia="宋体" w:hAnsi="宋体" w:cs="Arial"/>
          <w:color w:val="000000"/>
          <w:sz w:val="24"/>
        </w:rPr>
        <w:t xml:space="preserve"> </w:t>
      </w:r>
      <w:hyperlink r:id="rId11" w:tgtFrame="_blank" w:history="1">
        <w:r w:rsidRPr="00D554C2">
          <w:rPr>
            <w:rFonts w:ascii="宋体" w:eastAsia="宋体" w:hAnsi="宋体" w:cs="Arial" w:hint="eastAsia"/>
            <w:sz w:val="24"/>
          </w:rPr>
          <w:t>健美操</w:t>
        </w:r>
      </w:hyperlink>
      <w:r w:rsidRPr="00D554C2">
        <w:rPr>
          <w:rFonts w:ascii="宋体" w:eastAsia="宋体" w:hAnsi="宋体" w:cs="Arial" w:hint="eastAsia"/>
          <w:color w:val="000000"/>
          <w:sz w:val="24"/>
        </w:rPr>
        <w:t>步伐</w:t>
      </w:r>
    </w:p>
    <w:p w14:paraId="050EEF7B" w14:textId="77777777" w:rsidR="00D554C2" w:rsidRPr="00D554C2" w:rsidRDefault="00D554C2" w:rsidP="00D554C2">
      <w:pPr>
        <w:spacing w:line="500" w:lineRule="exact"/>
        <w:ind w:firstLineChars="200" w:firstLine="480"/>
        <w:rPr>
          <w:rFonts w:ascii="宋体" w:eastAsia="宋体" w:hAnsi="宋体" w:cs="Arial"/>
          <w:color w:val="000000"/>
          <w:sz w:val="24"/>
        </w:rPr>
      </w:pPr>
      <w:r w:rsidRPr="00D554C2">
        <w:rPr>
          <w:rFonts w:ascii="宋体" w:eastAsia="宋体" w:hAnsi="宋体" w:cs="Arial" w:hint="eastAsia"/>
          <w:color w:val="000000"/>
          <w:sz w:val="24"/>
        </w:rPr>
        <w:t>①交替类：踏步</w:t>
      </w:r>
      <w:r w:rsidRPr="00D554C2">
        <w:rPr>
          <w:rFonts w:ascii="宋体" w:eastAsia="宋体" w:hAnsi="宋体" w:cs="Arial"/>
          <w:color w:val="000000"/>
          <w:sz w:val="24"/>
        </w:rPr>
        <w:t xml:space="preserve"> </w:t>
      </w:r>
      <w:hyperlink r:id="rId12" w:tgtFrame="_blank" w:history="1">
        <w:r w:rsidRPr="00D554C2">
          <w:rPr>
            <w:rFonts w:ascii="宋体" w:eastAsia="宋体" w:hAnsi="宋体" w:cs="Arial" w:hint="eastAsia"/>
            <w:sz w:val="24"/>
          </w:rPr>
          <w:t>走步</w:t>
        </w:r>
      </w:hyperlink>
      <w:r w:rsidRPr="00D554C2">
        <w:rPr>
          <w:rFonts w:ascii="宋体" w:eastAsia="宋体" w:hAnsi="宋体" w:cs="Arial" w:hint="eastAsia"/>
          <w:color w:val="000000"/>
          <w:sz w:val="24"/>
        </w:rPr>
        <w:t xml:space="preserve"> </w:t>
      </w:r>
      <w:proofErr w:type="gramStart"/>
      <w:r w:rsidRPr="00D554C2">
        <w:rPr>
          <w:rFonts w:ascii="宋体" w:eastAsia="宋体" w:hAnsi="宋体" w:cs="Arial" w:hint="eastAsia"/>
          <w:color w:val="000000"/>
          <w:sz w:val="24"/>
        </w:rPr>
        <w:t>一字步</w:t>
      </w:r>
      <w:proofErr w:type="gramEnd"/>
      <w:r w:rsidRPr="00D554C2">
        <w:rPr>
          <w:rFonts w:ascii="宋体" w:eastAsia="宋体" w:hAnsi="宋体" w:cs="Arial"/>
          <w:color w:val="000000"/>
          <w:sz w:val="24"/>
        </w:rPr>
        <w:t xml:space="preserve"> V</w:t>
      </w:r>
      <w:proofErr w:type="gramStart"/>
      <w:r w:rsidRPr="00D554C2">
        <w:rPr>
          <w:rFonts w:ascii="宋体" w:eastAsia="宋体" w:hAnsi="宋体" w:cs="Arial" w:hint="eastAsia"/>
          <w:color w:val="000000"/>
          <w:sz w:val="24"/>
        </w:rPr>
        <w:t>字步</w:t>
      </w:r>
      <w:proofErr w:type="gramEnd"/>
      <w:r w:rsidRPr="00D554C2">
        <w:rPr>
          <w:rFonts w:ascii="宋体" w:eastAsia="宋体" w:hAnsi="宋体" w:cs="Arial"/>
          <w:color w:val="000000"/>
          <w:sz w:val="24"/>
        </w:rPr>
        <w:t xml:space="preserve"> </w:t>
      </w:r>
      <w:r w:rsidRPr="00D554C2">
        <w:rPr>
          <w:rFonts w:ascii="宋体" w:eastAsia="宋体" w:hAnsi="宋体" w:cs="Arial" w:hint="eastAsia"/>
          <w:color w:val="000000"/>
          <w:sz w:val="24"/>
        </w:rPr>
        <w:t>漫步 十字步 交叉步</w:t>
      </w:r>
    </w:p>
    <w:p w14:paraId="2905EB58" w14:textId="77777777" w:rsidR="00D554C2" w:rsidRPr="00D554C2" w:rsidRDefault="00D554C2" w:rsidP="00D554C2">
      <w:pPr>
        <w:spacing w:line="500" w:lineRule="exact"/>
        <w:ind w:firstLineChars="200" w:firstLine="480"/>
        <w:rPr>
          <w:rFonts w:ascii="宋体" w:eastAsia="宋体" w:hAnsi="宋体" w:cs="Arial"/>
          <w:color w:val="000000"/>
          <w:sz w:val="24"/>
        </w:rPr>
      </w:pPr>
      <w:r w:rsidRPr="00D554C2">
        <w:rPr>
          <w:rFonts w:ascii="宋体" w:eastAsia="宋体" w:hAnsi="宋体" w:cs="Arial" w:hint="eastAsia"/>
          <w:color w:val="000000"/>
          <w:sz w:val="24"/>
        </w:rPr>
        <w:t>②点地类：脚尖前点地</w:t>
      </w:r>
      <w:r w:rsidRPr="00D554C2">
        <w:rPr>
          <w:rFonts w:ascii="宋体" w:eastAsia="宋体" w:hAnsi="宋体" w:cs="Arial"/>
          <w:color w:val="000000"/>
          <w:sz w:val="24"/>
        </w:rPr>
        <w:t xml:space="preserve"> </w:t>
      </w:r>
      <w:r w:rsidRPr="00D554C2">
        <w:rPr>
          <w:rFonts w:ascii="宋体" w:eastAsia="宋体" w:hAnsi="宋体" w:cs="Arial" w:hint="eastAsia"/>
          <w:color w:val="000000"/>
          <w:sz w:val="24"/>
        </w:rPr>
        <w:t>脚尖后点地</w:t>
      </w:r>
      <w:r w:rsidRPr="00D554C2">
        <w:rPr>
          <w:rFonts w:ascii="宋体" w:eastAsia="宋体" w:hAnsi="宋体" w:cs="Arial"/>
          <w:color w:val="000000"/>
          <w:sz w:val="24"/>
        </w:rPr>
        <w:t xml:space="preserve"> </w:t>
      </w:r>
      <w:proofErr w:type="gramStart"/>
      <w:r w:rsidRPr="00D554C2">
        <w:rPr>
          <w:rFonts w:ascii="宋体" w:eastAsia="宋体" w:hAnsi="宋体" w:cs="Arial" w:hint="eastAsia"/>
          <w:color w:val="000000"/>
          <w:sz w:val="24"/>
        </w:rPr>
        <w:t>脚尖侧点地</w:t>
      </w:r>
      <w:proofErr w:type="gramEnd"/>
      <w:r w:rsidRPr="00D554C2">
        <w:rPr>
          <w:rFonts w:ascii="宋体" w:eastAsia="宋体" w:hAnsi="宋体" w:cs="Arial"/>
          <w:color w:val="000000"/>
          <w:sz w:val="24"/>
        </w:rPr>
        <w:t xml:space="preserve"> </w:t>
      </w:r>
      <w:r w:rsidRPr="00D554C2">
        <w:rPr>
          <w:rFonts w:ascii="宋体" w:eastAsia="宋体" w:hAnsi="宋体" w:cs="Arial" w:hint="eastAsia"/>
          <w:color w:val="000000"/>
          <w:sz w:val="24"/>
        </w:rPr>
        <w:t>脚跟前点地</w:t>
      </w:r>
    </w:p>
    <w:p w14:paraId="63226882" w14:textId="77777777" w:rsidR="00D554C2" w:rsidRPr="00D554C2" w:rsidRDefault="00D554C2" w:rsidP="00D554C2">
      <w:pPr>
        <w:spacing w:line="500" w:lineRule="exact"/>
        <w:ind w:firstLineChars="200" w:firstLine="480"/>
        <w:rPr>
          <w:rFonts w:ascii="宋体" w:eastAsia="宋体" w:hAnsi="宋体" w:cs="Arial"/>
          <w:color w:val="000000"/>
          <w:sz w:val="24"/>
        </w:rPr>
      </w:pPr>
      <w:r w:rsidRPr="00D554C2">
        <w:rPr>
          <w:rFonts w:ascii="宋体" w:eastAsia="宋体" w:hAnsi="宋体" w:cs="Arial" w:hint="eastAsia"/>
          <w:color w:val="000000"/>
          <w:sz w:val="24"/>
        </w:rPr>
        <w:lastRenderedPageBreak/>
        <w:t>③迈步类：并步</w:t>
      </w:r>
      <w:r w:rsidRPr="00D554C2">
        <w:rPr>
          <w:rFonts w:ascii="宋体" w:eastAsia="宋体" w:hAnsi="宋体" w:cs="Arial"/>
          <w:color w:val="000000"/>
          <w:sz w:val="24"/>
        </w:rPr>
        <w:t xml:space="preserve"> </w:t>
      </w:r>
      <w:r w:rsidRPr="00D554C2">
        <w:rPr>
          <w:rFonts w:ascii="宋体" w:eastAsia="宋体" w:hAnsi="宋体" w:cs="Arial" w:hint="eastAsia"/>
          <w:color w:val="000000"/>
          <w:sz w:val="24"/>
        </w:rPr>
        <w:t>迈步点地</w:t>
      </w:r>
      <w:r w:rsidRPr="00D554C2">
        <w:rPr>
          <w:rFonts w:ascii="宋体" w:eastAsia="宋体" w:hAnsi="宋体" w:cs="Arial"/>
          <w:color w:val="000000"/>
          <w:sz w:val="24"/>
        </w:rPr>
        <w:t xml:space="preserve"> </w:t>
      </w:r>
      <w:r w:rsidRPr="00D554C2">
        <w:rPr>
          <w:rFonts w:ascii="宋体" w:eastAsia="宋体" w:hAnsi="宋体" w:cs="Arial" w:hint="eastAsia"/>
          <w:color w:val="000000"/>
          <w:sz w:val="24"/>
        </w:rPr>
        <w:t>迈步屈腿</w:t>
      </w:r>
      <w:r w:rsidRPr="00D554C2">
        <w:rPr>
          <w:rFonts w:ascii="宋体" w:eastAsia="宋体" w:hAnsi="宋体" w:cs="Arial"/>
          <w:color w:val="000000"/>
          <w:sz w:val="24"/>
        </w:rPr>
        <w:t xml:space="preserve"> </w:t>
      </w:r>
      <w:r w:rsidRPr="00D554C2">
        <w:rPr>
          <w:rFonts w:ascii="宋体" w:eastAsia="宋体" w:hAnsi="宋体" w:cs="Arial" w:hint="eastAsia"/>
          <w:color w:val="000000"/>
          <w:sz w:val="24"/>
        </w:rPr>
        <w:t>迈步吸腿</w:t>
      </w:r>
      <w:r w:rsidRPr="00D554C2">
        <w:rPr>
          <w:rFonts w:ascii="宋体" w:eastAsia="宋体" w:hAnsi="宋体" w:cs="Arial"/>
          <w:color w:val="000000"/>
          <w:sz w:val="24"/>
        </w:rPr>
        <w:t xml:space="preserve"> </w:t>
      </w:r>
      <w:r w:rsidRPr="00D554C2">
        <w:rPr>
          <w:rFonts w:ascii="宋体" w:eastAsia="宋体" w:hAnsi="宋体" w:cs="Arial" w:hint="eastAsia"/>
          <w:color w:val="000000"/>
          <w:sz w:val="24"/>
        </w:rPr>
        <w:t>迈步</w:t>
      </w:r>
      <w:r>
        <w:fldChar w:fldCharType="begin"/>
      </w:r>
      <w:r>
        <w:instrText>HYPERLINK "http://zhidao.baidu.com/search?word=%E5%BC%B9%E8%85%BF&amp;fr=qb_search_exp&amp;ie=utf8" \t "_blank"</w:instrText>
      </w:r>
      <w:r>
        <w:fldChar w:fldCharType="separate"/>
      </w:r>
      <w:r w:rsidRPr="00D554C2">
        <w:rPr>
          <w:rFonts w:ascii="宋体" w:eastAsia="宋体" w:hAnsi="宋体" w:cs="Arial" w:hint="eastAsia"/>
          <w:sz w:val="24"/>
        </w:rPr>
        <w:t>弹腿</w:t>
      </w:r>
      <w:r>
        <w:rPr>
          <w:rFonts w:ascii="宋体" w:eastAsia="宋体" w:hAnsi="宋体" w:cs="Arial"/>
          <w:sz w:val="24"/>
        </w:rPr>
        <w:fldChar w:fldCharType="end"/>
      </w:r>
      <w:r w:rsidRPr="00D554C2">
        <w:rPr>
          <w:rFonts w:ascii="宋体" w:eastAsia="宋体" w:hAnsi="宋体" w:cs="Arial"/>
          <w:color w:val="000000"/>
          <w:sz w:val="24"/>
        </w:rPr>
        <w:t xml:space="preserve"> </w:t>
      </w:r>
      <w:proofErr w:type="gramStart"/>
      <w:r w:rsidRPr="00D554C2">
        <w:rPr>
          <w:rFonts w:ascii="宋体" w:eastAsia="宋体" w:hAnsi="宋体" w:cs="Arial" w:hint="eastAsia"/>
          <w:color w:val="000000"/>
          <w:sz w:val="24"/>
        </w:rPr>
        <w:t>侧步交叉</w:t>
      </w:r>
      <w:proofErr w:type="gramEnd"/>
      <w:r w:rsidRPr="00D554C2">
        <w:rPr>
          <w:rFonts w:ascii="宋体" w:eastAsia="宋体" w:hAnsi="宋体" w:cs="Arial"/>
          <w:color w:val="000000"/>
          <w:sz w:val="24"/>
        </w:rPr>
        <w:t xml:space="preserve"> </w:t>
      </w:r>
      <w:r w:rsidRPr="00D554C2">
        <w:rPr>
          <w:rFonts w:ascii="宋体" w:eastAsia="宋体" w:hAnsi="宋体" w:cs="Arial" w:hint="eastAsia"/>
          <w:color w:val="000000"/>
          <w:sz w:val="24"/>
        </w:rPr>
        <w:t>并步跳</w:t>
      </w:r>
      <w:r w:rsidRPr="00D554C2">
        <w:rPr>
          <w:rFonts w:ascii="宋体" w:eastAsia="宋体" w:hAnsi="宋体" w:cs="Arial"/>
          <w:color w:val="000000"/>
          <w:sz w:val="24"/>
        </w:rPr>
        <w:t xml:space="preserve"> </w:t>
      </w:r>
      <w:r w:rsidRPr="00D554C2">
        <w:rPr>
          <w:rFonts w:ascii="宋体" w:eastAsia="宋体" w:hAnsi="宋体" w:cs="Arial" w:hint="eastAsia"/>
          <w:color w:val="000000"/>
          <w:sz w:val="24"/>
        </w:rPr>
        <w:t>小马跳</w:t>
      </w:r>
    </w:p>
    <w:p w14:paraId="3A101F64" w14:textId="77777777" w:rsidR="00D554C2" w:rsidRPr="00D554C2" w:rsidRDefault="00D554C2" w:rsidP="00D554C2">
      <w:pPr>
        <w:spacing w:line="500" w:lineRule="exact"/>
        <w:ind w:firstLineChars="200" w:firstLine="480"/>
        <w:rPr>
          <w:rFonts w:ascii="宋体" w:eastAsia="宋体" w:hAnsi="宋体" w:cs="Arial"/>
          <w:color w:val="000000"/>
          <w:sz w:val="24"/>
        </w:rPr>
      </w:pPr>
      <w:r w:rsidRPr="00D554C2">
        <w:rPr>
          <w:rFonts w:ascii="宋体" w:eastAsia="宋体" w:hAnsi="宋体" w:cs="Arial" w:hint="eastAsia"/>
          <w:color w:val="000000"/>
          <w:sz w:val="24"/>
        </w:rPr>
        <w:t>④吸腿类：吸腿</w:t>
      </w:r>
      <w:r w:rsidRPr="00D554C2">
        <w:rPr>
          <w:rFonts w:ascii="宋体" w:eastAsia="宋体" w:hAnsi="宋体" w:cs="Arial"/>
          <w:color w:val="000000"/>
          <w:sz w:val="24"/>
        </w:rPr>
        <w:t xml:space="preserve"> </w:t>
      </w:r>
      <w:r w:rsidRPr="00D554C2">
        <w:rPr>
          <w:rFonts w:ascii="宋体" w:eastAsia="宋体" w:hAnsi="宋体" w:cs="Arial" w:hint="eastAsia"/>
          <w:color w:val="000000"/>
          <w:sz w:val="24"/>
        </w:rPr>
        <w:t>踢腿</w:t>
      </w:r>
      <w:r w:rsidRPr="00D554C2">
        <w:rPr>
          <w:rFonts w:ascii="宋体" w:eastAsia="宋体" w:hAnsi="宋体" w:cs="Arial"/>
          <w:color w:val="000000"/>
          <w:sz w:val="24"/>
        </w:rPr>
        <w:t xml:space="preserve"> </w:t>
      </w:r>
      <w:hyperlink r:id="rId13" w:tgtFrame="_blank" w:history="1">
        <w:r w:rsidRPr="00D554C2">
          <w:rPr>
            <w:rFonts w:ascii="宋体" w:eastAsia="宋体" w:hAnsi="宋体" w:cs="Arial" w:hint="eastAsia"/>
            <w:sz w:val="24"/>
          </w:rPr>
          <w:t>弹腿</w:t>
        </w:r>
      </w:hyperlink>
      <w:r w:rsidRPr="00D554C2">
        <w:rPr>
          <w:rFonts w:ascii="宋体" w:eastAsia="宋体" w:hAnsi="宋体" w:cs="Arial"/>
          <w:color w:val="000000"/>
          <w:sz w:val="24"/>
        </w:rPr>
        <w:t xml:space="preserve"> </w:t>
      </w:r>
      <w:r w:rsidRPr="00D554C2">
        <w:rPr>
          <w:rFonts w:ascii="宋体" w:eastAsia="宋体" w:hAnsi="宋体" w:cs="Arial" w:hint="eastAsia"/>
          <w:color w:val="000000"/>
          <w:sz w:val="24"/>
        </w:rPr>
        <w:t>后屈腿</w:t>
      </w:r>
    </w:p>
    <w:p w14:paraId="179102D7" w14:textId="77777777" w:rsidR="00D554C2" w:rsidRPr="00D554C2" w:rsidRDefault="00D554C2" w:rsidP="00D554C2">
      <w:pPr>
        <w:spacing w:line="500" w:lineRule="exact"/>
        <w:ind w:firstLineChars="200" w:firstLine="480"/>
        <w:rPr>
          <w:rFonts w:ascii="宋体" w:eastAsia="宋体" w:hAnsi="宋体" w:cs="Arial"/>
          <w:color w:val="000000"/>
          <w:sz w:val="24"/>
        </w:rPr>
      </w:pPr>
      <w:r w:rsidRPr="00D554C2">
        <w:rPr>
          <w:rFonts w:ascii="宋体" w:eastAsia="宋体" w:hAnsi="宋体" w:cs="Arial" w:hint="eastAsia"/>
          <w:color w:val="000000"/>
          <w:sz w:val="24"/>
        </w:rPr>
        <w:t xml:space="preserve">⑤双腿类：开合跳 </w:t>
      </w:r>
      <w:hyperlink r:id="rId14" w:tgtFrame="_blank" w:history="1">
        <w:r w:rsidRPr="00D554C2">
          <w:rPr>
            <w:rFonts w:ascii="宋体" w:eastAsia="宋体" w:hAnsi="宋体" w:cs="Arial" w:hint="eastAsia"/>
            <w:sz w:val="24"/>
          </w:rPr>
          <w:t>弓步</w:t>
        </w:r>
      </w:hyperlink>
      <w:r w:rsidRPr="00D554C2">
        <w:rPr>
          <w:rFonts w:ascii="宋体" w:eastAsia="宋体" w:hAnsi="宋体" w:cs="Arial" w:hint="eastAsia"/>
          <w:color w:val="000000"/>
          <w:sz w:val="24"/>
        </w:rPr>
        <w:t>跳等步伐。</w:t>
      </w:r>
    </w:p>
    <w:p w14:paraId="3126BED5" w14:textId="77777777" w:rsidR="00D554C2" w:rsidRPr="00D554C2" w:rsidRDefault="00D554C2" w:rsidP="00D554C2">
      <w:pPr>
        <w:spacing w:line="500" w:lineRule="exact"/>
        <w:ind w:firstLineChars="200" w:firstLine="480"/>
        <w:rPr>
          <w:rFonts w:ascii="宋体" w:eastAsia="宋体" w:hAnsi="宋体" w:cs="Arial"/>
          <w:color w:val="000000"/>
          <w:sz w:val="24"/>
        </w:rPr>
      </w:pPr>
      <w:r w:rsidRPr="00D554C2">
        <w:rPr>
          <w:rFonts w:ascii="宋体" w:eastAsia="宋体" w:hAnsi="宋体" w:cs="Arial" w:hint="eastAsia"/>
          <w:color w:val="000000"/>
          <w:sz w:val="24"/>
        </w:rPr>
        <w:t>⑥舞蹈步：柔软步，提踵步（足尖前）并步，垫步，弹簧步，滚动步</w:t>
      </w:r>
      <w:r w:rsidRPr="00D554C2">
        <w:rPr>
          <w:rFonts w:ascii="宋体" w:eastAsia="宋体" w:hAnsi="宋体" w:cs="Arial"/>
          <w:color w:val="000000"/>
          <w:sz w:val="24"/>
        </w:rPr>
        <w:t xml:space="preserve"> </w:t>
      </w:r>
    </w:p>
    <w:p w14:paraId="3673CB38" w14:textId="77777777" w:rsidR="00D554C2" w:rsidRPr="00D554C2" w:rsidRDefault="00D554C2" w:rsidP="00D554C2">
      <w:pPr>
        <w:spacing w:line="500" w:lineRule="exact"/>
        <w:ind w:firstLineChars="200" w:firstLine="480"/>
        <w:rPr>
          <w:rFonts w:ascii="宋体" w:eastAsia="宋体" w:hAnsi="宋体" w:cs="Arial"/>
          <w:color w:val="000000"/>
          <w:sz w:val="24"/>
        </w:rPr>
      </w:pPr>
      <w:r w:rsidRPr="00D554C2">
        <w:rPr>
          <w:rFonts w:ascii="宋体" w:eastAsia="宋体" w:hAnsi="宋体" w:cs="Arial" w:hint="eastAsia"/>
          <w:color w:val="000000"/>
          <w:sz w:val="24"/>
        </w:rPr>
        <w:t>10</w:t>
      </w:r>
      <w:r w:rsidRPr="00D554C2">
        <w:rPr>
          <w:rFonts w:ascii="宋体" w:eastAsia="宋体" w:hAnsi="宋体" w:cs="Arial"/>
          <w:color w:val="000000"/>
          <w:sz w:val="24"/>
        </w:rPr>
        <w:t>.</w:t>
      </w:r>
      <w:r w:rsidRPr="00D554C2">
        <w:rPr>
          <w:rFonts w:ascii="宋体" w:eastAsia="宋体" w:hAnsi="宋体" w:cs="Arial" w:hint="eastAsia"/>
          <w:color w:val="000000"/>
          <w:sz w:val="24"/>
        </w:rPr>
        <w:t>4 素质练习</w:t>
      </w:r>
    </w:p>
    <w:p w14:paraId="1347F505" w14:textId="77777777" w:rsidR="00D554C2" w:rsidRPr="00D554C2" w:rsidRDefault="00D554C2" w:rsidP="00D554C2">
      <w:pPr>
        <w:spacing w:line="500" w:lineRule="exact"/>
        <w:ind w:firstLineChars="200" w:firstLine="480"/>
        <w:rPr>
          <w:rFonts w:ascii="宋体" w:eastAsia="宋体" w:hAnsi="宋体" w:cs="Arial"/>
          <w:color w:val="000000"/>
          <w:sz w:val="24"/>
        </w:rPr>
      </w:pPr>
      <w:r w:rsidRPr="00D554C2">
        <w:rPr>
          <w:rFonts w:ascii="宋体" w:eastAsia="宋体" w:hAnsi="宋体" w:cs="Arial" w:hint="eastAsia"/>
          <w:color w:val="000000"/>
          <w:sz w:val="24"/>
        </w:rPr>
        <w:t>①柔韧拉伸练习：肩部、胸部、髋部、腿部等柔韧练习</w:t>
      </w:r>
    </w:p>
    <w:p w14:paraId="4A8F73D8" w14:textId="77777777" w:rsidR="00D554C2" w:rsidRPr="00D554C2" w:rsidRDefault="00D554C2" w:rsidP="00D554C2">
      <w:pPr>
        <w:spacing w:line="500" w:lineRule="exact"/>
        <w:ind w:firstLineChars="200" w:firstLine="480"/>
        <w:rPr>
          <w:rFonts w:ascii="宋体" w:eastAsia="宋体" w:hAnsi="宋体" w:cs="Arial"/>
          <w:color w:val="000000"/>
          <w:sz w:val="24"/>
        </w:rPr>
      </w:pPr>
      <w:r w:rsidRPr="00D554C2">
        <w:rPr>
          <w:rFonts w:ascii="宋体" w:eastAsia="宋体" w:hAnsi="宋体" w:cs="Arial" w:hint="eastAsia"/>
          <w:color w:val="000000"/>
          <w:sz w:val="24"/>
        </w:rPr>
        <w:t>②力量练习：上肢、腰腹、腿部力量练习</w:t>
      </w:r>
    </w:p>
    <w:p w14:paraId="7C5BF3B1" w14:textId="77777777" w:rsidR="00D554C2" w:rsidRPr="00D554C2" w:rsidRDefault="00D554C2" w:rsidP="00D554C2">
      <w:pPr>
        <w:spacing w:line="500" w:lineRule="exact"/>
        <w:ind w:firstLineChars="200" w:firstLine="480"/>
        <w:rPr>
          <w:rFonts w:ascii="宋体" w:eastAsia="宋体" w:hAnsi="宋体" w:cs="Arial"/>
          <w:color w:val="000000"/>
          <w:sz w:val="24"/>
        </w:rPr>
      </w:pPr>
      <w:r w:rsidRPr="00D554C2">
        <w:rPr>
          <w:rFonts w:ascii="宋体" w:eastAsia="宋体" w:hAnsi="宋体" w:cs="Arial" w:hint="eastAsia"/>
          <w:color w:val="000000"/>
          <w:sz w:val="24"/>
        </w:rPr>
        <w:t>③姿态与节奏练习：舞蹈基本姿态组合练习；动感组合练习等。</w:t>
      </w:r>
    </w:p>
    <w:p w14:paraId="6EA0BF6A" w14:textId="77777777" w:rsidR="00D554C2" w:rsidRPr="00D554C2" w:rsidRDefault="00D554C2" w:rsidP="00D554C2">
      <w:pPr>
        <w:spacing w:line="500" w:lineRule="exact"/>
        <w:ind w:firstLineChars="200" w:firstLine="482"/>
        <w:rPr>
          <w:rFonts w:ascii="宋体" w:eastAsia="宋体" w:hAnsi="宋体" w:cs="Times New Roman"/>
          <w:color w:val="000000"/>
          <w:sz w:val="24"/>
        </w:rPr>
      </w:pPr>
      <w:r w:rsidRPr="00D554C2">
        <w:rPr>
          <w:rFonts w:ascii="宋体" w:eastAsia="宋体" w:hAnsi="宋体" w:cs="Times New Roman" w:hint="eastAsia"/>
          <w:b/>
          <w:color w:val="000000"/>
          <w:sz w:val="24"/>
        </w:rPr>
        <w:t>本章教学目的及要求：</w:t>
      </w:r>
      <w:r w:rsidRPr="00D554C2">
        <w:rPr>
          <w:rFonts w:ascii="宋体" w:eastAsia="宋体" w:hAnsi="宋体" w:cs="Times New Roman" w:hint="eastAsia"/>
          <w:color w:val="000000"/>
          <w:sz w:val="24"/>
        </w:rPr>
        <w:t>掌握健美操的基本步伐和常用上肢动作的规范和控制，提高身体素质。</w:t>
      </w:r>
    </w:p>
    <w:p w14:paraId="27DC37ED" w14:textId="77777777" w:rsidR="00D554C2" w:rsidRPr="00D554C2" w:rsidRDefault="00D554C2" w:rsidP="00D554C2">
      <w:pPr>
        <w:spacing w:line="500" w:lineRule="exact"/>
        <w:ind w:firstLineChars="200" w:firstLine="482"/>
        <w:rPr>
          <w:rFonts w:ascii="宋体" w:eastAsia="宋体" w:hAnsi="宋体" w:cs="Times New Roman"/>
          <w:color w:val="000000"/>
          <w:sz w:val="24"/>
        </w:rPr>
      </w:pPr>
      <w:r w:rsidRPr="00D554C2">
        <w:rPr>
          <w:rFonts w:ascii="宋体" w:eastAsia="宋体" w:hAnsi="宋体" w:cs="Times New Roman" w:hint="eastAsia"/>
          <w:b/>
          <w:color w:val="000000"/>
          <w:sz w:val="24"/>
        </w:rPr>
        <w:t>本章教学重点及难点：</w:t>
      </w:r>
      <w:r w:rsidRPr="00D554C2">
        <w:rPr>
          <w:rFonts w:ascii="宋体" w:eastAsia="宋体" w:hAnsi="宋体" w:cs="Times New Roman" w:hint="eastAsia"/>
          <w:color w:val="000000"/>
          <w:sz w:val="24"/>
        </w:rPr>
        <w:t>膝、踝关节的缓冲；上下肢协调性。</w:t>
      </w:r>
    </w:p>
    <w:p w14:paraId="465A40A9"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第十一章</w:t>
      </w:r>
      <w:r w:rsidRPr="00D554C2">
        <w:rPr>
          <w:rFonts w:ascii="宋体" w:eastAsia="宋体" w:hAnsi="宋体" w:cs="Times New Roman"/>
          <w:b/>
          <w:sz w:val="28"/>
          <w:szCs w:val="28"/>
        </w:rPr>
        <w:t xml:space="preserve">  </w:t>
      </w:r>
      <w:r w:rsidRPr="00D554C2">
        <w:rPr>
          <w:rFonts w:ascii="宋体" w:eastAsia="宋体" w:hAnsi="宋体" w:cs="Times New Roman" w:hint="eastAsia"/>
          <w:b/>
          <w:sz w:val="28"/>
          <w:szCs w:val="28"/>
        </w:rPr>
        <w:t>健美操组合训练及考核项目（4学时）</w:t>
      </w:r>
    </w:p>
    <w:p w14:paraId="0F6F6AC4" w14:textId="77777777" w:rsidR="00D554C2" w:rsidRPr="00D554C2" w:rsidRDefault="00D554C2" w:rsidP="00D554C2">
      <w:pPr>
        <w:adjustRightInd w:val="0"/>
        <w:snapToGrid w:val="0"/>
        <w:spacing w:line="500" w:lineRule="exact"/>
        <w:ind w:firstLineChars="200" w:firstLine="482"/>
        <w:rPr>
          <w:rFonts w:ascii="宋体" w:eastAsia="宋体" w:hAnsi="宋体" w:cs="Times New Roman"/>
          <w:b/>
          <w:sz w:val="28"/>
          <w:szCs w:val="28"/>
        </w:rPr>
      </w:pPr>
      <w:r w:rsidRPr="00D554C2">
        <w:rPr>
          <w:rFonts w:ascii="宋体" w:eastAsia="宋体" w:hAnsi="宋体" w:cs="Times New Roman" w:hint="eastAsia"/>
          <w:b/>
          <w:color w:val="000000"/>
          <w:sz w:val="24"/>
        </w:rPr>
        <w:t>本章主要教学内容：</w:t>
      </w:r>
    </w:p>
    <w:p w14:paraId="405F8CBD" w14:textId="77777777" w:rsidR="00D554C2" w:rsidRPr="00D554C2" w:rsidRDefault="00D554C2" w:rsidP="00D554C2">
      <w:pPr>
        <w:spacing w:line="500" w:lineRule="exact"/>
        <w:ind w:firstLineChars="200" w:firstLine="508"/>
        <w:rPr>
          <w:rFonts w:ascii="宋体" w:eastAsia="宋体" w:hAnsi="Calibri" w:cs="宋体"/>
          <w:color w:val="000000"/>
          <w:spacing w:val="7"/>
          <w:sz w:val="24"/>
        </w:rPr>
      </w:pPr>
      <w:r w:rsidRPr="00D554C2">
        <w:rPr>
          <w:rFonts w:ascii="宋体" w:eastAsia="宋体" w:hAnsi="Calibri" w:cs="宋体" w:hint="eastAsia"/>
          <w:color w:val="000000"/>
          <w:spacing w:val="7"/>
          <w:sz w:val="24"/>
        </w:rPr>
        <w:t>11.1步伐组合1：包含踏步、侧并步、交叉步、一字步、漫步，充分体现</w:t>
      </w:r>
      <w:proofErr w:type="gramStart"/>
      <w:r w:rsidRPr="00D554C2">
        <w:rPr>
          <w:rFonts w:ascii="宋体" w:eastAsia="宋体" w:hAnsi="Calibri" w:cs="宋体" w:hint="eastAsia"/>
          <w:color w:val="000000"/>
          <w:spacing w:val="7"/>
          <w:sz w:val="24"/>
        </w:rPr>
        <w:t>出步伐</w:t>
      </w:r>
      <w:proofErr w:type="gramEnd"/>
      <w:r w:rsidRPr="00D554C2">
        <w:rPr>
          <w:rFonts w:ascii="宋体" w:eastAsia="宋体" w:hAnsi="Calibri" w:cs="宋体" w:hint="eastAsia"/>
          <w:color w:val="000000"/>
          <w:spacing w:val="7"/>
          <w:sz w:val="24"/>
        </w:rPr>
        <w:t>的弹动性</w:t>
      </w:r>
      <w:r w:rsidRPr="00D554C2">
        <w:rPr>
          <w:rFonts w:ascii="宋体" w:eastAsia="宋体" w:hAnsi="Calibri" w:cs="宋体"/>
          <w:color w:val="000000"/>
          <w:spacing w:val="7"/>
          <w:sz w:val="24"/>
        </w:rPr>
        <w:t>,</w:t>
      </w:r>
      <w:r w:rsidRPr="00D554C2">
        <w:rPr>
          <w:rFonts w:ascii="宋体" w:eastAsia="宋体" w:hAnsi="Calibri" w:cs="宋体" w:hint="eastAsia"/>
          <w:color w:val="000000"/>
          <w:spacing w:val="7"/>
          <w:sz w:val="24"/>
        </w:rPr>
        <w:t>落地技术</w:t>
      </w:r>
      <w:r w:rsidRPr="00D554C2">
        <w:rPr>
          <w:rFonts w:ascii="宋体" w:eastAsia="宋体" w:hAnsi="Calibri" w:cs="宋体"/>
          <w:color w:val="000000"/>
          <w:spacing w:val="7"/>
          <w:sz w:val="24"/>
        </w:rPr>
        <w:t>,</w:t>
      </w:r>
      <w:r w:rsidRPr="00D554C2">
        <w:rPr>
          <w:rFonts w:ascii="宋体" w:eastAsia="宋体" w:hAnsi="Calibri" w:cs="宋体" w:hint="eastAsia"/>
          <w:color w:val="000000"/>
          <w:spacing w:val="7"/>
          <w:sz w:val="24"/>
        </w:rPr>
        <w:t>核心部位控制技术与半蹲技术的基本特征。</w:t>
      </w:r>
    </w:p>
    <w:p w14:paraId="2CA6F698" w14:textId="77777777" w:rsidR="00D554C2" w:rsidRPr="00D554C2" w:rsidRDefault="00D554C2" w:rsidP="00D554C2">
      <w:pPr>
        <w:spacing w:line="500" w:lineRule="exact"/>
        <w:ind w:firstLineChars="200" w:firstLine="508"/>
        <w:rPr>
          <w:rFonts w:ascii="宋体" w:eastAsia="宋体" w:hAnsi="Calibri" w:cs="宋体"/>
          <w:color w:val="000000"/>
          <w:spacing w:val="7"/>
          <w:sz w:val="24"/>
        </w:rPr>
      </w:pPr>
      <w:r w:rsidRPr="00D554C2">
        <w:rPr>
          <w:rFonts w:ascii="宋体" w:eastAsia="宋体" w:hAnsi="Calibri" w:cs="宋体" w:hint="eastAsia"/>
          <w:color w:val="000000"/>
          <w:spacing w:val="7"/>
          <w:sz w:val="24"/>
        </w:rPr>
        <w:t>11.2步伐组合2：包含开合跳、弓步跳、后踢腿、弹踢腿、吸腿跳，充分体现</w:t>
      </w:r>
      <w:proofErr w:type="gramStart"/>
      <w:r w:rsidRPr="00D554C2">
        <w:rPr>
          <w:rFonts w:ascii="宋体" w:eastAsia="宋体" w:hAnsi="Calibri" w:cs="宋体" w:hint="eastAsia"/>
          <w:color w:val="000000"/>
          <w:spacing w:val="7"/>
          <w:sz w:val="24"/>
        </w:rPr>
        <w:t>出步伐</w:t>
      </w:r>
      <w:proofErr w:type="gramEnd"/>
      <w:r w:rsidRPr="00D554C2">
        <w:rPr>
          <w:rFonts w:ascii="宋体" w:eastAsia="宋体" w:hAnsi="Calibri" w:cs="宋体" w:hint="eastAsia"/>
          <w:color w:val="000000"/>
          <w:spacing w:val="7"/>
          <w:sz w:val="24"/>
        </w:rPr>
        <w:t>的弹动性</w:t>
      </w:r>
      <w:r w:rsidRPr="00D554C2">
        <w:rPr>
          <w:rFonts w:ascii="宋体" w:eastAsia="宋体" w:hAnsi="Calibri" w:cs="宋体"/>
          <w:color w:val="000000"/>
          <w:spacing w:val="7"/>
          <w:sz w:val="24"/>
        </w:rPr>
        <w:t>,</w:t>
      </w:r>
      <w:r w:rsidRPr="00D554C2">
        <w:rPr>
          <w:rFonts w:ascii="宋体" w:eastAsia="宋体" w:hAnsi="Calibri" w:cs="宋体" w:hint="eastAsia"/>
          <w:color w:val="000000"/>
          <w:spacing w:val="7"/>
          <w:sz w:val="24"/>
        </w:rPr>
        <w:t>落地技术</w:t>
      </w:r>
      <w:r w:rsidRPr="00D554C2">
        <w:rPr>
          <w:rFonts w:ascii="宋体" w:eastAsia="宋体" w:hAnsi="Calibri" w:cs="宋体"/>
          <w:color w:val="000000"/>
          <w:spacing w:val="7"/>
          <w:sz w:val="24"/>
        </w:rPr>
        <w:t>,</w:t>
      </w:r>
      <w:r w:rsidRPr="00D554C2">
        <w:rPr>
          <w:rFonts w:ascii="宋体" w:eastAsia="宋体" w:hAnsi="Calibri" w:cs="宋体" w:hint="eastAsia"/>
          <w:color w:val="000000"/>
          <w:spacing w:val="7"/>
          <w:sz w:val="24"/>
        </w:rPr>
        <w:t>核心部位控制技术与半蹲技术的基本特征。</w:t>
      </w:r>
    </w:p>
    <w:p w14:paraId="1C4EE715" w14:textId="77777777" w:rsidR="00D554C2" w:rsidRPr="00D554C2" w:rsidRDefault="00D554C2" w:rsidP="00D554C2">
      <w:pPr>
        <w:spacing w:line="500" w:lineRule="exact"/>
        <w:ind w:firstLineChars="200" w:firstLine="508"/>
        <w:rPr>
          <w:rFonts w:ascii="宋体" w:eastAsia="宋体" w:hAnsi="Calibri" w:cs="宋体"/>
          <w:color w:val="000000"/>
          <w:spacing w:val="7"/>
          <w:sz w:val="24"/>
        </w:rPr>
      </w:pPr>
      <w:r w:rsidRPr="00D554C2">
        <w:rPr>
          <w:rFonts w:ascii="宋体" w:eastAsia="宋体" w:hAnsi="Calibri" w:cs="宋体" w:hint="eastAsia"/>
          <w:color w:val="000000"/>
          <w:spacing w:val="7"/>
          <w:sz w:val="24"/>
        </w:rPr>
        <w:t>11.3自编4X8拍正反自选动作：动作与音乐吻合，正反方向合理换脚，手脚配合协调，空间转换合理，组合创编新颖，综合评判。</w:t>
      </w:r>
    </w:p>
    <w:p w14:paraId="1A03DD82" w14:textId="77777777" w:rsidR="00D554C2" w:rsidRPr="00D554C2" w:rsidRDefault="00D554C2" w:rsidP="00D554C2">
      <w:pPr>
        <w:spacing w:line="500" w:lineRule="exact"/>
        <w:ind w:firstLineChars="200" w:firstLine="482"/>
        <w:rPr>
          <w:rFonts w:ascii="宋体" w:eastAsia="宋体" w:hAnsi="宋体" w:cs="Times New Roman"/>
          <w:color w:val="000000"/>
          <w:sz w:val="24"/>
        </w:rPr>
      </w:pPr>
      <w:r w:rsidRPr="00D554C2">
        <w:rPr>
          <w:rFonts w:ascii="宋体" w:eastAsia="宋体" w:hAnsi="宋体" w:cs="Times New Roman" w:hint="eastAsia"/>
          <w:b/>
          <w:color w:val="000000"/>
          <w:sz w:val="24"/>
        </w:rPr>
        <w:t>本章教学目的及要求：</w:t>
      </w:r>
      <w:r w:rsidRPr="00D554C2">
        <w:rPr>
          <w:rFonts w:ascii="宋体" w:eastAsia="宋体" w:hAnsi="宋体" w:cs="Times New Roman" w:hint="eastAsia"/>
          <w:color w:val="000000"/>
          <w:sz w:val="24"/>
        </w:rPr>
        <w:t>培养正确体态、塑造美的形体，改善中枢神经系统及内脏器官的机能，达到健身、健心、提高运动能力的目的。</w:t>
      </w:r>
    </w:p>
    <w:p w14:paraId="215585A4" w14:textId="77777777" w:rsidR="00D554C2" w:rsidRPr="00D554C2" w:rsidRDefault="00D554C2" w:rsidP="00D554C2">
      <w:pPr>
        <w:autoSpaceDE w:val="0"/>
        <w:autoSpaceDN w:val="0"/>
        <w:spacing w:line="500" w:lineRule="exact"/>
        <w:ind w:firstLineChars="200" w:firstLine="482"/>
        <w:rPr>
          <w:rFonts w:ascii="宋体" w:eastAsia="宋体" w:hAnsi="Calibri" w:cs="宋体"/>
          <w:spacing w:val="5"/>
          <w:kern w:val="0"/>
          <w:sz w:val="24"/>
        </w:rPr>
      </w:pPr>
      <w:r w:rsidRPr="00D554C2">
        <w:rPr>
          <w:rFonts w:ascii="宋体" w:eastAsia="宋体" w:hAnsi="宋体" w:cs="Times New Roman" w:hint="eastAsia"/>
          <w:b/>
          <w:color w:val="000000"/>
          <w:sz w:val="24"/>
        </w:rPr>
        <w:t>本章教学重点及难点：</w:t>
      </w:r>
      <w:r w:rsidRPr="00D554C2">
        <w:rPr>
          <w:rFonts w:ascii="宋体" w:eastAsia="宋体" w:hAnsi="宋体" w:cs="楷体_GB2312" w:hint="eastAsia"/>
          <w:color w:val="000000"/>
          <w:sz w:val="24"/>
        </w:rPr>
        <w:t>掌握健美操基本动作的正确性，塑造学生形体美。乐感和协调性是难点。</w:t>
      </w:r>
    </w:p>
    <w:p w14:paraId="68F4AE01" w14:textId="77777777" w:rsidR="00D554C2" w:rsidRPr="00D554C2" w:rsidRDefault="00D554C2" w:rsidP="00D554C2">
      <w:pPr>
        <w:spacing w:beforeLines="50" w:before="156" w:afterLines="50" w:after="156" w:line="500" w:lineRule="exact"/>
        <w:jc w:val="center"/>
        <w:rPr>
          <w:rFonts w:ascii="黑体" w:eastAsia="黑体" w:hAnsi="黑体" w:cs="Times New Roman"/>
          <w:sz w:val="28"/>
          <w:szCs w:val="28"/>
        </w:rPr>
      </w:pPr>
      <w:r w:rsidRPr="00D554C2">
        <w:rPr>
          <w:rFonts w:ascii="黑体" w:eastAsia="黑体" w:hAnsi="黑体" w:cs="Times New Roman" w:hint="eastAsia"/>
          <w:sz w:val="28"/>
          <w:szCs w:val="28"/>
        </w:rPr>
        <w:t>学习内容二  健美操 1</w:t>
      </w:r>
    </w:p>
    <w:p w14:paraId="0DC45CDE" w14:textId="77777777" w:rsidR="00D554C2" w:rsidRPr="00D554C2" w:rsidRDefault="00D554C2" w:rsidP="00D554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【学习目标】</w:t>
      </w:r>
    </w:p>
    <w:p w14:paraId="412B77D5"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lastRenderedPageBreak/>
        <w:t>1.</w:t>
      </w:r>
      <w:r w:rsidRPr="00D554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D554C2">
        <w:rPr>
          <w:rFonts w:ascii="宋体" w:eastAsia="宋体" w:hAnsi="Calibri" w:cs="宋体" w:hint="eastAsia"/>
          <w:spacing w:val="5"/>
          <w:kern w:val="0"/>
          <w:sz w:val="24"/>
        </w:rPr>
        <w:t>通过体能教学活动，</w:t>
      </w:r>
      <w:r w:rsidRPr="00D554C2">
        <w:rPr>
          <w:rFonts w:ascii="宋体" w:eastAsia="宋体" w:hAnsi="宋体" w:cs="仿宋_GB2312" w:hint="eastAsia"/>
          <w:sz w:val="24"/>
        </w:rPr>
        <w:t>了解《大学生体质健康标准测验》项目内容、考核方式、评价标准，掌握考核内容锻炼的方式方法。</w:t>
      </w:r>
      <w:r w:rsidRPr="00D554C2">
        <w:rPr>
          <w:rFonts w:ascii="宋体" w:eastAsia="宋体" w:hAnsi="Calibri" w:cs="宋体" w:hint="eastAsia"/>
          <w:spacing w:val="5"/>
          <w:kern w:val="0"/>
          <w:sz w:val="24"/>
        </w:rPr>
        <w:t>培养学生努力学习、不断进取、修身立业、顽强奋进的精神与品质。</w:t>
      </w:r>
    </w:p>
    <w:p w14:paraId="3BA0EF49"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2.</w:t>
      </w:r>
      <w:r w:rsidRPr="00D554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D554C2">
        <w:rPr>
          <w:rFonts w:ascii="宋体" w:eastAsia="宋体" w:hAnsi="Calibri" w:cs="宋体" w:hint="eastAsia"/>
          <w:spacing w:val="5"/>
          <w:kern w:val="0"/>
          <w:sz w:val="24"/>
        </w:rPr>
        <w:t>。</w:t>
      </w:r>
    </w:p>
    <w:p w14:paraId="2808933F"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w:t>
      </w:r>
      <w:r w:rsidRPr="00D554C2">
        <w:rPr>
          <w:rFonts w:ascii="宋体" w:eastAsia="宋体" w:hAnsi="Calibri" w:cs="宋体" w:hint="eastAsia"/>
          <w:color w:val="000000"/>
          <w:spacing w:val="7"/>
          <w:sz w:val="24"/>
        </w:rPr>
        <w:t>通过健美操教学活动使学生获得健美操运动的基本理论、基本知识和基本技能，</w:t>
      </w:r>
      <w:r w:rsidRPr="00D554C2">
        <w:rPr>
          <w:rFonts w:ascii="宋体" w:eastAsia="宋体" w:hAnsi="宋体" w:cs="宋体" w:hint="eastAsia"/>
          <w:color w:val="000000"/>
          <w:sz w:val="24"/>
        </w:rPr>
        <w:t>培养学生良好的节奏感、韵律感、美感和表现力，</w:t>
      </w:r>
      <w:r w:rsidRPr="00D554C2">
        <w:rPr>
          <w:rFonts w:ascii="宋体" w:eastAsia="宋体" w:hAnsi="Calibri" w:cs="宋体" w:hint="eastAsia"/>
          <w:color w:val="000000"/>
          <w:spacing w:val="7"/>
          <w:sz w:val="24"/>
        </w:rPr>
        <w:t>增进健康，</w:t>
      </w:r>
      <w:r w:rsidRPr="00D554C2">
        <w:rPr>
          <w:rFonts w:ascii="宋体" w:eastAsia="宋体" w:hAnsi="宋体" w:cs="宋体" w:hint="eastAsia"/>
          <w:color w:val="000000"/>
          <w:sz w:val="24"/>
        </w:rPr>
        <w:t>提高体育素养，使学生掌握自我锻炼的方法并养成自觉锻炼的习惯，为终身体育锻炼打下良好的基础。</w:t>
      </w:r>
      <w:r w:rsidRPr="00D554C2">
        <w:rPr>
          <w:rFonts w:ascii="宋体" w:eastAsia="宋体" w:hAnsi="宋体" w:cs="仿宋_GB2312" w:hint="eastAsia"/>
          <w:sz w:val="24"/>
        </w:rPr>
        <w:t>在提高人的生物潜能、心理潜能的过程中促进德、智、体、美全面发展，达到身心健康、全面发展的教育总目的</w:t>
      </w:r>
      <w:r w:rsidRPr="00D554C2">
        <w:rPr>
          <w:rFonts w:ascii="宋体" w:eastAsia="宋体" w:hAnsi="Calibri" w:cs="宋体" w:hint="eastAsia"/>
          <w:spacing w:val="5"/>
          <w:kern w:val="0"/>
          <w:sz w:val="24"/>
        </w:rPr>
        <w:t>。</w:t>
      </w:r>
    </w:p>
    <w:p w14:paraId="6C05958D" w14:textId="77777777" w:rsidR="00D554C2" w:rsidRPr="00D554C2" w:rsidRDefault="00D554C2" w:rsidP="00D554C2">
      <w:pPr>
        <w:spacing w:line="500" w:lineRule="exact"/>
        <w:ind w:firstLineChars="200" w:firstLine="500"/>
        <w:rPr>
          <w:rFonts w:ascii="宋体" w:eastAsia="宋体" w:hAnsi="宋体" w:cs="Times New Roman"/>
          <w:b/>
          <w:sz w:val="24"/>
        </w:rPr>
      </w:pPr>
      <w:r w:rsidRPr="00D554C2">
        <w:rPr>
          <w:rFonts w:ascii="宋体" w:eastAsia="宋体" w:hAnsi="Calibri" w:cs="宋体" w:hint="eastAsia"/>
          <w:spacing w:val="5"/>
          <w:kern w:val="0"/>
          <w:sz w:val="24"/>
        </w:rPr>
        <w:t>4.</w:t>
      </w:r>
      <w:r w:rsidRPr="00D554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D554C2">
        <w:rPr>
          <w:rFonts w:ascii="宋体" w:eastAsia="宋体" w:hAnsi="Calibri" w:cs="宋体" w:hint="eastAsia"/>
          <w:spacing w:val="5"/>
          <w:kern w:val="0"/>
          <w:sz w:val="24"/>
        </w:rPr>
        <w:t>。</w:t>
      </w:r>
    </w:p>
    <w:p w14:paraId="2D472EDF" w14:textId="77777777" w:rsidR="00D554C2" w:rsidRPr="00D554C2" w:rsidRDefault="00D554C2" w:rsidP="00D554C2">
      <w:pPr>
        <w:spacing w:line="44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【学习内容】</w:t>
      </w:r>
    </w:p>
    <w:p w14:paraId="1EDDE32D"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宋体"/>
          <w:b/>
          <w:color w:val="000000"/>
          <w:sz w:val="28"/>
          <w:szCs w:val="28"/>
        </w:rPr>
      </w:pPr>
      <w:r w:rsidRPr="00D554C2">
        <w:rPr>
          <w:rFonts w:ascii="宋体" w:eastAsia="宋体" w:hAnsi="宋体" w:cs="宋体" w:hint="eastAsia"/>
          <w:b/>
          <w:sz w:val="28"/>
          <w:szCs w:val="28"/>
        </w:rPr>
        <w:t xml:space="preserve">第一章  </w:t>
      </w:r>
      <w:r w:rsidRPr="00D554C2">
        <w:rPr>
          <w:rFonts w:ascii="宋体" w:eastAsia="宋体" w:hAnsi="宋体" w:cs="宋体" w:hint="eastAsia"/>
          <w:b/>
          <w:color w:val="000000"/>
          <w:sz w:val="28"/>
          <w:szCs w:val="28"/>
        </w:rPr>
        <w:t>理论部分（2学时）</w:t>
      </w:r>
    </w:p>
    <w:p w14:paraId="4160F7BC"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b/>
          <w:sz w:val="24"/>
        </w:rPr>
        <w:t>本章主要教学内容：</w:t>
      </w:r>
    </w:p>
    <w:p w14:paraId="400CBE97"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color w:val="000000"/>
          <w:sz w:val="24"/>
        </w:rPr>
      </w:pPr>
      <w:r w:rsidRPr="00D554C2">
        <w:rPr>
          <w:rFonts w:ascii="Calibri" w:eastAsia="宋体" w:hAnsi="Calibri" w:cs="Times New Roman" w:hint="eastAsia"/>
          <w:color w:val="000000"/>
          <w:sz w:val="24"/>
        </w:rPr>
        <w:t>1.1</w:t>
      </w:r>
      <w:r w:rsidRPr="00D554C2">
        <w:rPr>
          <w:rFonts w:ascii="Calibri" w:eastAsia="宋体" w:hAnsi="Calibri" w:cs="Times New Roman" w:hint="eastAsia"/>
          <w:color w:val="000000"/>
          <w:sz w:val="24"/>
        </w:rPr>
        <w:t>健美操的发展概况</w:t>
      </w:r>
    </w:p>
    <w:p w14:paraId="43F871C9" w14:textId="77777777" w:rsidR="00D554C2" w:rsidRPr="00D554C2" w:rsidRDefault="00D554C2" w:rsidP="00D554C2">
      <w:pPr>
        <w:adjustRightInd w:val="0"/>
        <w:snapToGrid w:val="0"/>
        <w:spacing w:line="500" w:lineRule="exact"/>
        <w:ind w:firstLineChars="200" w:firstLine="480"/>
        <w:rPr>
          <w:rFonts w:ascii="Arial" w:eastAsia="宋体" w:hAnsi="Arial" w:cs="Arial"/>
          <w:color w:val="000000"/>
          <w:sz w:val="24"/>
        </w:rPr>
      </w:pPr>
      <w:r w:rsidRPr="00D554C2">
        <w:rPr>
          <w:rFonts w:ascii="Calibri" w:eastAsia="宋体" w:hAnsi="Calibri" w:cs="Times New Roman" w:hint="eastAsia"/>
          <w:color w:val="000000"/>
          <w:sz w:val="24"/>
        </w:rPr>
        <w:t>1.2</w:t>
      </w:r>
      <w:r w:rsidRPr="00D554C2">
        <w:rPr>
          <w:rFonts w:ascii="Arial" w:eastAsia="宋体" w:hAnsi="Calibri" w:cs="Arial" w:hint="eastAsia"/>
          <w:color w:val="000000"/>
          <w:sz w:val="24"/>
        </w:rPr>
        <w:t>健美操运动的概念、特点和分类</w:t>
      </w:r>
    </w:p>
    <w:p w14:paraId="2D31F813" w14:textId="77777777" w:rsidR="00D554C2" w:rsidRPr="00D554C2" w:rsidRDefault="00D554C2" w:rsidP="00D554C2">
      <w:pPr>
        <w:adjustRightInd w:val="0"/>
        <w:snapToGrid w:val="0"/>
        <w:spacing w:line="500" w:lineRule="exact"/>
        <w:ind w:firstLineChars="200" w:firstLine="480"/>
        <w:rPr>
          <w:rFonts w:ascii="Arial" w:eastAsia="宋体" w:hAnsi="Calibri" w:cs="Arial"/>
          <w:color w:val="000000"/>
          <w:sz w:val="24"/>
        </w:rPr>
      </w:pPr>
      <w:r w:rsidRPr="00D554C2">
        <w:rPr>
          <w:rFonts w:ascii="Calibri" w:eastAsia="宋体" w:hAnsi="Calibri" w:cs="Times New Roman" w:hint="eastAsia"/>
          <w:color w:val="000000"/>
          <w:sz w:val="24"/>
        </w:rPr>
        <w:t>1.3</w:t>
      </w:r>
      <w:r w:rsidRPr="00D554C2">
        <w:rPr>
          <w:rFonts w:ascii="Arial" w:eastAsia="宋体" w:hAnsi="Arial" w:cs="Arial" w:hint="eastAsia"/>
          <w:color w:val="000000"/>
          <w:sz w:val="24"/>
        </w:rPr>
        <w:t>节奏与</w:t>
      </w:r>
      <w:r w:rsidRPr="00D554C2">
        <w:rPr>
          <w:rFonts w:ascii="Arial" w:eastAsia="宋体" w:hAnsi="Calibri" w:cs="Arial" w:hint="eastAsia"/>
          <w:color w:val="000000"/>
          <w:sz w:val="24"/>
        </w:rPr>
        <w:t>健美操基本动作：介绍基本步伐及身体各部位基本动作，结合录像资</w:t>
      </w:r>
      <w:r w:rsidRPr="00D554C2">
        <w:rPr>
          <w:rFonts w:ascii="Arial" w:eastAsia="宋体" w:hAnsi="Calibri" w:cs="Arial" w:hint="eastAsia"/>
          <w:color w:val="000000"/>
          <w:sz w:val="24"/>
        </w:rPr>
        <w:lastRenderedPageBreak/>
        <w:t>料观摩。</w:t>
      </w:r>
    </w:p>
    <w:p w14:paraId="7106B263"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color w:val="000000"/>
          <w:sz w:val="24"/>
        </w:rPr>
      </w:pPr>
      <w:r w:rsidRPr="00D554C2">
        <w:rPr>
          <w:rFonts w:ascii="Calibri" w:eastAsia="宋体" w:hAnsi="Calibri" w:cs="Times New Roman" w:hint="eastAsia"/>
          <w:b/>
          <w:sz w:val="24"/>
        </w:rPr>
        <w:t>本章教学目的及要求：</w:t>
      </w:r>
      <w:r w:rsidRPr="00D554C2">
        <w:rPr>
          <w:rFonts w:ascii="Calibri" w:eastAsia="宋体" w:hAnsi="Calibri" w:cs="Times New Roman" w:hint="eastAsia"/>
          <w:color w:val="000000"/>
          <w:sz w:val="24"/>
        </w:rPr>
        <w:t>让学生了解健美操运动分类、特点及发展动态和趋势，培养学生在这项运动上的兴趣，会欣赏健美操比赛。</w:t>
      </w:r>
    </w:p>
    <w:p w14:paraId="28F676BA"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color w:val="000000"/>
          <w:sz w:val="24"/>
        </w:rPr>
      </w:pPr>
      <w:r w:rsidRPr="00D554C2">
        <w:rPr>
          <w:rFonts w:ascii="Calibri" w:eastAsia="宋体" w:hAnsi="Calibri" w:cs="Times New Roman"/>
          <w:b/>
          <w:sz w:val="24"/>
        </w:rPr>
        <w:t>本章教学重点及难点：</w:t>
      </w:r>
      <w:r w:rsidRPr="00D554C2">
        <w:rPr>
          <w:rFonts w:ascii="Calibri" w:eastAsia="宋体" w:hAnsi="Calibri" w:cs="Times New Roman" w:hint="eastAsia"/>
          <w:color w:val="000000"/>
          <w:sz w:val="24"/>
        </w:rPr>
        <w:t>掌握创编原则及方法；理论知识的应用。</w:t>
      </w:r>
    </w:p>
    <w:p w14:paraId="123593AB"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第二章</w:t>
      </w:r>
      <w:r w:rsidRPr="00D554C2">
        <w:rPr>
          <w:rFonts w:ascii="宋体" w:eastAsia="宋体" w:hAnsi="宋体" w:cs="Times New Roman"/>
          <w:b/>
          <w:sz w:val="28"/>
          <w:szCs w:val="28"/>
        </w:rPr>
        <w:t xml:space="preserve">  </w:t>
      </w:r>
      <w:r w:rsidRPr="00D554C2">
        <w:rPr>
          <w:rFonts w:ascii="宋体" w:eastAsia="宋体" w:hAnsi="宋体" w:cs="Times New Roman" w:hint="eastAsia"/>
          <w:b/>
          <w:sz w:val="28"/>
          <w:szCs w:val="28"/>
        </w:rPr>
        <w:t>健美操基本素质练习（6学时）</w:t>
      </w:r>
    </w:p>
    <w:p w14:paraId="2C6EAF49" w14:textId="77777777" w:rsidR="00D554C2" w:rsidRPr="00D554C2" w:rsidRDefault="00D554C2" w:rsidP="00D554C2">
      <w:pPr>
        <w:adjustRightInd w:val="0"/>
        <w:snapToGrid w:val="0"/>
        <w:spacing w:line="500" w:lineRule="exact"/>
        <w:ind w:firstLineChars="150" w:firstLine="361"/>
        <w:rPr>
          <w:rFonts w:ascii="宋体" w:eastAsia="宋体" w:hAnsi="宋体" w:cs="宋体"/>
          <w:b/>
          <w:sz w:val="24"/>
        </w:rPr>
      </w:pPr>
      <w:r w:rsidRPr="00D554C2">
        <w:rPr>
          <w:rFonts w:ascii="宋体" w:eastAsia="宋体" w:hAnsi="宋体" w:cs="宋体" w:hint="eastAsia"/>
          <w:b/>
          <w:sz w:val="24"/>
        </w:rPr>
        <w:t>本章主要教学内容：</w:t>
      </w:r>
    </w:p>
    <w:p w14:paraId="2D4744C9" w14:textId="77777777" w:rsidR="00D554C2" w:rsidRPr="00D554C2" w:rsidRDefault="00D554C2" w:rsidP="00D554C2">
      <w:pPr>
        <w:adjustRightInd w:val="0"/>
        <w:snapToGrid w:val="0"/>
        <w:spacing w:line="500" w:lineRule="exact"/>
        <w:ind w:left="2" w:firstLineChars="150" w:firstLine="360"/>
        <w:rPr>
          <w:rFonts w:ascii="宋体" w:eastAsia="宋体" w:hAnsi="宋体" w:cs="宋体"/>
          <w:color w:val="000000"/>
          <w:sz w:val="24"/>
        </w:rPr>
      </w:pPr>
      <w:r w:rsidRPr="00D554C2">
        <w:rPr>
          <w:rFonts w:ascii="Calibri" w:eastAsia="宋体" w:hAnsi="Calibri" w:cs="Times New Roman" w:hint="eastAsia"/>
          <w:color w:val="000000"/>
          <w:sz w:val="24"/>
        </w:rPr>
        <w:t>2.1</w:t>
      </w:r>
      <w:r w:rsidRPr="00D554C2">
        <w:rPr>
          <w:rFonts w:ascii="宋体" w:eastAsia="宋体" w:hAnsi="宋体" w:cs="宋体" w:hint="eastAsia"/>
          <w:color w:val="000000"/>
          <w:sz w:val="24"/>
        </w:rPr>
        <w:t>柔韧拉伸练习：包括肩部、胸部、腰部、髋部、腿部等柔韧的训练。</w:t>
      </w:r>
    </w:p>
    <w:p w14:paraId="22268E84" w14:textId="77777777" w:rsidR="00D554C2" w:rsidRPr="00D554C2" w:rsidRDefault="00D554C2" w:rsidP="00D554C2">
      <w:pPr>
        <w:adjustRightInd w:val="0"/>
        <w:snapToGrid w:val="0"/>
        <w:spacing w:line="500" w:lineRule="exact"/>
        <w:ind w:left="2" w:firstLineChars="150" w:firstLine="360"/>
        <w:rPr>
          <w:rFonts w:ascii="宋体" w:eastAsia="宋体" w:hAnsi="宋体" w:cs="宋体"/>
          <w:color w:val="000000"/>
          <w:sz w:val="24"/>
        </w:rPr>
      </w:pPr>
      <w:r w:rsidRPr="00D554C2">
        <w:rPr>
          <w:rFonts w:ascii="Calibri" w:eastAsia="宋体" w:hAnsi="Calibri" w:cs="Times New Roman" w:hint="eastAsia"/>
          <w:color w:val="000000"/>
          <w:sz w:val="24"/>
        </w:rPr>
        <w:t>2.2</w:t>
      </w:r>
      <w:r w:rsidRPr="00D554C2">
        <w:rPr>
          <w:rFonts w:ascii="宋体" w:eastAsia="宋体" w:hAnsi="宋体" w:cs="宋体" w:hint="eastAsia"/>
          <w:color w:val="000000"/>
          <w:sz w:val="24"/>
        </w:rPr>
        <w:t>力量练习：包括上肢、腰腹（如仰卧起坐、平板支撑练习）、腿部力量的训练以及弹跳力量的练习（如踝关节——跳绳练习）。</w:t>
      </w:r>
    </w:p>
    <w:p w14:paraId="3C3619F9" w14:textId="77777777" w:rsidR="00D554C2" w:rsidRPr="00D554C2" w:rsidRDefault="00D554C2" w:rsidP="00D554C2">
      <w:pPr>
        <w:adjustRightInd w:val="0"/>
        <w:snapToGrid w:val="0"/>
        <w:spacing w:line="500" w:lineRule="exact"/>
        <w:ind w:left="2" w:firstLineChars="150" w:firstLine="360"/>
        <w:rPr>
          <w:rFonts w:ascii="宋体" w:eastAsia="宋体" w:hAnsi="宋体" w:cs="宋体"/>
          <w:color w:val="000000"/>
          <w:sz w:val="24"/>
        </w:rPr>
      </w:pPr>
      <w:r w:rsidRPr="00D554C2">
        <w:rPr>
          <w:rFonts w:ascii="Calibri" w:eastAsia="宋体" w:hAnsi="Calibri" w:cs="Times New Roman" w:hint="eastAsia"/>
          <w:color w:val="000000"/>
          <w:sz w:val="24"/>
        </w:rPr>
        <w:t>2.3</w:t>
      </w:r>
      <w:r w:rsidRPr="00D554C2">
        <w:rPr>
          <w:rFonts w:ascii="宋体" w:eastAsia="宋体" w:hAnsi="宋体" w:cs="宋体" w:hint="eastAsia"/>
          <w:color w:val="000000"/>
          <w:sz w:val="24"/>
        </w:rPr>
        <w:t xml:space="preserve">姿态与节奏练习：舞蹈基本姿态组合练习等 </w:t>
      </w:r>
    </w:p>
    <w:p w14:paraId="028F2BE5" w14:textId="77777777" w:rsidR="00D554C2" w:rsidRPr="00D554C2" w:rsidRDefault="00D554C2" w:rsidP="00D554C2">
      <w:pPr>
        <w:spacing w:line="500" w:lineRule="exact"/>
        <w:ind w:firstLineChars="200" w:firstLine="482"/>
        <w:rPr>
          <w:rFonts w:ascii="宋体" w:eastAsia="宋体" w:hAnsi="宋体" w:cs="宋体"/>
          <w:color w:val="000000"/>
          <w:sz w:val="24"/>
        </w:rPr>
      </w:pPr>
      <w:r w:rsidRPr="00D554C2">
        <w:rPr>
          <w:rFonts w:ascii="宋体" w:eastAsia="宋体" w:hAnsi="宋体" w:cs="宋体" w:hint="eastAsia"/>
          <w:b/>
          <w:color w:val="000000"/>
          <w:sz w:val="24"/>
        </w:rPr>
        <w:t>本章教学目的及要求：</w:t>
      </w:r>
      <w:r w:rsidRPr="00D554C2">
        <w:rPr>
          <w:rFonts w:ascii="宋体" w:eastAsia="宋体" w:hAnsi="宋体" w:cs="宋体" w:hint="eastAsia"/>
          <w:color w:val="000000"/>
          <w:sz w:val="24"/>
        </w:rPr>
        <w:t>培养正确体态、塑造美的形体，改善中枢神经系统及内脏器官的机能，预防运动损伤，达到健身、健心、提高运动能力，发展身体素质。</w:t>
      </w:r>
    </w:p>
    <w:p w14:paraId="499399C7" w14:textId="77777777" w:rsidR="00D554C2" w:rsidRPr="00D554C2" w:rsidRDefault="00D554C2" w:rsidP="00D554C2">
      <w:pPr>
        <w:spacing w:line="500" w:lineRule="exact"/>
        <w:ind w:firstLineChars="200" w:firstLine="482"/>
        <w:rPr>
          <w:rFonts w:ascii="宋体" w:eastAsia="宋体" w:hAnsi="宋体" w:cs="宋体"/>
          <w:color w:val="000000"/>
          <w:sz w:val="24"/>
        </w:rPr>
      </w:pPr>
      <w:r w:rsidRPr="00D554C2">
        <w:rPr>
          <w:rFonts w:ascii="宋体" w:eastAsia="宋体" w:hAnsi="宋体" w:cs="宋体" w:hint="eastAsia"/>
          <w:b/>
          <w:sz w:val="24"/>
        </w:rPr>
        <w:t>本章教学重点及难点：</w:t>
      </w:r>
      <w:r w:rsidRPr="00D554C2">
        <w:rPr>
          <w:rFonts w:ascii="宋体" w:eastAsia="宋体" w:hAnsi="宋体" w:cs="宋体" w:hint="eastAsia"/>
          <w:color w:val="000000"/>
          <w:sz w:val="24"/>
        </w:rPr>
        <w:t>拉伸练习和姿态的控制，掌握发展身体素质的正确方法，培养吃苦耐劳的品质。</w:t>
      </w:r>
    </w:p>
    <w:p w14:paraId="3E7F39DE"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第三章</w:t>
      </w:r>
      <w:r w:rsidRPr="00D554C2">
        <w:rPr>
          <w:rFonts w:ascii="宋体" w:eastAsia="宋体" w:hAnsi="宋体" w:cs="Times New Roman"/>
          <w:b/>
          <w:sz w:val="28"/>
          <w:szCs w:val="28"/>
        </w:rPr>
        <w:t xml:space="preserve">  </w:t>
      </w:r>
      <w:r w:rsidRPr="00D554C2">
        <w:rPr>
          <w:rFonts w:ascii="宋体" w:eastAsia="宋体" w:hAnsi="宋体" w:cs="Times New Roman" w:hint="eastAsia"/>
          <w:b/>
          <w:sz w:val="28"/>
          <w:szCs w:val="28"/>
        </w:rPr>
        <w:t>健美操基本动作（8学时）</w:t>
      </w:r>
    </w:p>
    <w:p w14:paraId="31DBCA92"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b/>
          <w:sz w:val="24"/>
        </w:rPr>
        <w:t>本章主要教学内容：</w:t>
      </w:r>
    </w:p>
    <w:p w14:paraId="57F72378"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color w:val="000000"/>
          <w:sz w:val="24"/>
        </w:rPr>
      </w:pPr>
      <w:r w:rsidRPr="00D554C2">
        <w:rPr>
          <w:rFonts w:ascii="宋体" w:eastAsia="宋体" w:hAnsi="宋体" w:cs="宋体" w:hint="eastAsia"/>
          <w:color w:val="000000"/>
          <w:sz w:val="24"/>
        </w:rPr>
        <w:t>3.1手</w:t>
      </w:r>
      <w:proofErr w:type="gramStart"/>
      <w:r w:rsidRPr="00D554C2">
        <w:rPr>
          <w:rFonts w:ascii="宋体" w:eastAsia="宋体" w:hAnsi="宋体" w:cs="宋体" w:hint="eastAsia"/>
          <w:color w:val="000000"/>
          <w:sz w:val="24"/>
        </w:rPr>
        <w:t>型基本</w:t>
      </w:r>
      <w:proofErr w:type="gramEnd"/>
      <w:r w:rsidRPr="00D554C2">
        <w:rPr>
          <w:rFonts w:ascii="宋体" w:eastAsia="宋体" w:hAnsi="宋体" w:cs="宋体" w:hint="eastAsia"/>
          <w:color w:val="000000"/>
          <w:sz w:val="24"/>
        </w:rPr>
        <w:t>动作和音乐节奏训练</w:t>
      </w:r>
    </w:p>
    <w:p w14:paraId="3F18AA08"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color w:val="000000"/>
          <w:sz w:val="24"/>
        </w:rPr>
      </w:pPr>
      <w:r w:rsidRPr="00D554C2">
        <w:rPr>
          <w:rFonts w:ascii="宋体" w:eastAsia="宋体" w:hAnsi="宋体" w:cs="宋体" w:hint="eastAsia"/>
          <w:color w:val="000000"/>
          <w:sz w:val="24"/>
        </w:rPr>
        <w:t>①手型：掌（并掌、开掌、花掌、立掌）拳（握拳和半握拳）、剑指、响指、造型手等。</w:t>
      </w:r>
    </w:p>
    <w:p w14:paraId="303FBCEA"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color w:val="000000"/>
          <w:sz w:val="24"/>
        </w:rPr>
      </w:pPr>
      <w:r w:rsidRPr="00D554C2">
        <w:rPr>
          <w:rFonts w:ascii="宋体" w:eastAsia="宋体" w:hAnsi="宋体" w:cs="宋体" w:hint="eastAsia"/>
          <w:color w:val="000000"/>
          <w:sz w:val="24"/>
        </w:rPr>
        <w:t>②听音乐，数节奏。</w:t>
      </w:r>
    </w:p>
    <w:p w14:paraId="183F25D7"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color w:val="000000"/>
          <w:sz w:val="24"/>
        </w:rPr>
      </w:pPr>
      <w:r w:rsidRPr="00D554C2">
        <w:rPr>
          <w:rFonts w:ascii="宋体" w:eastAsia="宋体" w:hAnsi="宋体" w:cs="宋体" w:hint="eastAsia"/>
          <w:color w:val="000000"/>
          <w:sz w:val="24"/>
        </w:rPr>
        <w:t>3.2姿态、手臂基本位置和基本动作训练</w:t>
      </w:r>
    </w:p>
    <w:p w14:paraId="499B71DC"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color w:val="000000"/>
          <w:sz w:val="24"/>
        </w:rPr>
      </w:pPr>
      <w:r w:rsidRPr="00D554C2">
        <w:rPr>
          <w:rFonts w:ascii="宋体" w:eastAsia="宋体" w:hAnsi="宋体" w:cs="宋体" w:hint="eastAsia"/>
          <w:color w:val="000000"/>
          <w:sz w:val="24"/>
        </w:rPr>
        <w:t xml:space="preserve">①站立姿态训练 </w:t>
      </w:r>
    </w:p>
    <w:p w14:paraId="6B6BED12"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color w:val="000000"/>
          <w:sz w:val="24"/>
        </w:rPr>
      </w:pPr>
      <w:r w:rsidRPr="00D554C2">
        <w:rPr>
          <w:rFonts w:ascii="宋体" w:eastAsia="宋体" w:hAnsi="宋体" w:cs="宋体" w:hint="eastAsia"/>
          <w:color w:val="000000"/>
          <w:sz w:val="24"/>
        </w:rPr>
        <w:t>②手臂的前、上、后、下、侧方向。</w:t>
      </w:r>
    </w:p>
    <w:p w14:paraId="2672B7D0"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color w:val="000000"/>
          <w:sz w:val="24"/>
        </w:rPr>
      </w:pPr>
      <w:r w:rsidRPr="00D554C2">
        <w:rPr>
          <w:rFonts w:ascii="宋体" w:eastAsia="宋体" w:hAnsi="宋体" w:cs="宋体" w:hint="eastAsia"/>
          <w:color w:val="000000"/>
          <w:sz w:val="24"/>
        </w:rPr>
        <w:t>③举、屈、伸、</w:t>
      </w:r>
      <w:proofErr w:type="gramStart"/>
      <w:r w:rsidRPr="00D554C2">
        <w:rPr>
          <w:rFonts w:ascii="宋体" w:eastAsia="宋体" w:hAnsi="宋体" w:cs="宋体" w:hint="eastAsia"/>
          <w:color w:val="000000"/>
          <w:sz w:val="24"/>
        </w:rPr>
        <w:t>绕等绕</w:t>
      </w:r>
      <w:proofErr w:type="gramEnd"/>
      <w:r w:rsidRPr="00D554C2">
        <w:rPr>
          <w:rFonts w:ascii="宋体" w:eastAsia="宋体" w:hAnsi="宋体" w:cs="宋体" w:hint="eastAsia"/>
          <w:color w:val="000000"/>
          <w:sz w:val="24"/>
        </w:rPr>
        <w:t>环等。</w:t>
      </w:r>
    </w:p>
    <w:p w14:paraId="1A026C2C"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color w:val="000000"/>
          <w:sz w:val="24"/>
        </w:rPr>
      </w:pPr>
      <w:r w:rsidRPr="00D554C2">
        <w:rPr>
          <w:rFonts w:ascii="宋体" w:eastAsia="宋体" w:hAnsi="宋体" w:cs="宋体" w:hint="eastAsia"/>
          <w:color w:val="000000"/>
          <w:sz w:val="24"/>
        </w:rPr>
        <w:t>3.3下肢的基本站位和</w:t>
      </w:r>
      <w:r>
        <w:fldChar w:fldCharType="begin"/>
      </w:r>
      <w:r>
        <w:instrText>HYPERLINK "http://zhidao.baidu.com/search?word=%E5%81%A5%E7%BE%8E%E6%93%8D&amp;fr=qb_search_exp&amp;ie=utf8" \t "_blank"</w:instrText>
      </w:r>
      <w:r>
        <w:fldChar w:fldCharType="separate"/>
      </w:r>
      <w:r w:rsidRPr="00D554C2">
        <w:rPr>
          <w:rFonts w:ascii="宋体" w:eastAsia="宋体" w:hAnsi="宋体" w:cs="宋体" w:hint="eastAsia"/>
          <w:color w:val="000000"/>
          <w:sz w:val="24"/>
        </w:rPr>
        <w:t>健美操</w:t>
      </w:r>
      <w:r>
        <w:rPr>
          <w:rFonts w:ascii="宋体" w:eastAsia="宋体" w:hAnsi="宋体" w:cs="宋体"/>
          <w:color w:val="000000"/>
          <w:sz w:val="24"/>
        </w:rPr>
        <w:fldChar w:fldCharType="end"/>
      </w:r>
      <w:r w:rsidRPr="00D554C2">
        <w:rPr>
          <w:rFonts w:ascii="宋体" w:eastAsia="宋体" w:hAnsi="宋体" w:cs="宋体" w:hint="eastAsia"/>
          <w:color w:val="000000"/>
          <w:sz w:val="24"/>
        </w:rPr>
        <w:t>基本步伐</w:t>
      </w:r>
    </w:p>
    <w:p w14:paraId="69FCA401"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color w:val="000000"/>
          <w:sz w:val="24"/>
        </w:rPr>
      </w:pPr>
      <w:r w:rsidRPr="00D554C2">
        <w:rPr>
          <w:rFonts w:ascii="宋体" w:eastAsia="宋体" w:hAnsi="宋体" w:cs="宋体" w:hint="eastAsia"/>
          <w:color w:val="000000"/>
          <w:sz w:val="24"/>
        </w:rPr>
        <w:t>下肢的基本站位：直立、开立、提踵立、蹲、半蹲等</w:t>
      </w:r>
    </w:p>
    <w:p w14:paraId="1C2CBA45" w14:textId="77777777" w:rsidR="00D554C2" w:rsidRPr="00D554C2" w:rsidRDefault="00D554C2" w:rsidP="00D554C2">
      <w:pPr>
        <w:adjustRightInd w:val="0"/>
        <w:snapToGrid w:val="0"/>
        <w:spacing w:line="500" w:lineRule="exact"/>
        <w:ind w:firstLineChars="200" w:firstLine="480"/>
        <w:jc w:val="left"/>
        <w:rPr>
          <w:rFonts w:ascii="宋体" w:eastAsia="宋体" w:hAnsi="宋体" w:cs="宋体"/>
          <w:color w:val="000000"/>
          <w:sz w:val="24"/>
        </w:rPr>
      </w:pPr>
      <w:r w:rsidRPr="00D554C2">
        <w:rPr>
          <w:rFonts w:ascii="宋体" w:eastAsia="宋体" w:hAnsi="宋体" w:cs="宋体" w:hint="eastAsia"/>
          <w:color w:val="000000"/>
          <w:sz w:val="24"/>
        </w:rPr>
        <w:lastRenderedPageBreak/>
        <w:t>健美操基本步法：</w:t>
      </w:r>
    </w:p>
    <w:p w14:paraId="7AF29EDD" w14:textId="77777777" w:rsidR="00D554C2" w:rsidRPr="00D554C2" w:rsidRDefault="00D554C2" w:rsidP="00D554C2">
      <w:pPr>
        <w:adjustRightInd w:val="0"/>
        <w:snapToGrid w:val="0"/>
        <w:spacing w:line="500" w:lineRule="exact"/>
        <w:ind w:leftChars="228" w:left="479"/>
        <w:jc w:val="left"/>
        <w:rPr>
          <w:rFonts w:ascii="宋体" w:eastAsia="宋体" w:hAnsi="宋体" w:cs="宋体"/>
          <w:color w:val="000000"/>
          <w:sz w:val="24"/>
        </w:rPr>
      </w:pPr>
      <w:r w:rsidRPr="00D554C2">
        <w:rPr>
          <w:rFonts w:ascii="宋体" w:eastAsia="宋体" w:hAnsi="宋体" w:cs="宋体" w:hint="eastAsia"/>
          <w:color w:val="000000"/>
          <w:sz w:val="24"/>
        </w:rPr>
        <w:t xml:space="preserve">①交替类：踏步 </w:t>
      </w:r>
      <w:hyperlink r:id="rId15" w:tgtFrame="_blank" w:history="1">
        <w:r w:rsidRPr="00D554C2">
          <w:rPr>
            <w:rFonts w:ascii="宋体" w:eastAsia="宋体" w:hAnsi="宋体" w:cs="宋体" w:hint="eastAsia"/>
            <w:color w:val="000000"/>
            <w:sz w:val="24"/>
          </w:rPr>
          <w:t>走步</w:t>
        </w:r>
      </w:hyperlink>
      <w:proofErr w:type="gramStart"/>
      <w:r w:rsidRPr="00D554C2">
        <w:rPr>
          <w:rFonts w:ascii="宋体" w:eastAsia="宋体" w:hAnsi="宋体" w:cs="宋体" w:hint="eastAsia"/>
          <w:color w:val="000000"/>
          <w:sz w:val="24"/>
        </w:rPr>
        <w:t>一字步</w:t>
      </w:r>
      <w:proofErr w:type="gramEnd"/>
      <w:r w:rsidRPr="00D554C2">
        <w:rPr>
          <w:rFonts w:ascii="宋体" w:eastAsia="宋体" w:hAnsi="宋体" w:cs="宋体" w:hint="eastAsia"/>
          <w:color w:val="000000"/>
          <w:sz w:val="24"/>
        </w:rPr>
        <w:t xml:space="preserve"> V</w:t>
      </w:r>
      <w:proofErr w:type="gramStart"/>
      <w:r w:rsidRPr="00D554C2">
        <w:rPr>
          <w:rFonts w:ascii="宋体" w:eastAsia="宋体" w:hAnsi="宋体" w:cs="宋体" w:hint="eastAsia"/>
          <w:color w:val="000000"/>
          <w:sz w:val="24"/>
        </w:rPr>
        <w:t>字步</w:t>
      </w:r>
      <w:proofErr w:type="gramEnd"/>
      <w:r w:rsidRPr="00D554C2">
        <w:rPr>
          <w:rFonts w:ascii="宋体" w:eastAsia="宋体" w:hAnsi="宋体" w:cs="宋体" w:hint="eastAsia"/>
          <w:color w:val="000000"/>
          <w:sz w:val="24"/>
        </w:rPr>
        <w:t xml:space="preserve"> 漫步</w:t>
      </w:r>
      <w:r w:rsidRPr="00D554C2">
        <w:rPr>
          <w:rFonts w:ascii="宋体" w:eastAsia="宋体" w:hAnsi="宋体" w:cs="宋体" w:hint="eastAsia"/>
          <w:color w:val="000000"/>
          <w:sz w:val="24"/>
        </w:rPr>
        <w:br/>
        <w:t xml:space="preserve">②点地类：脚尖前点地 脚尖后点地 </w:t>
      </w:r>
      <w:proofErr w:type="gramStart"/>
      <w:r w:rsidRPr="00D554C2">
        <w:rPr>
          <w:rFonts w:ascii="宋体" w:eastAsia="宋体" w:hAnsi="宋体" w:cs="宋体" w:hint="eastAsia"/>
          <w:color w:val="000000"/>
          <w:sz w:val="24"/>
        </w:rPr>
        <w:t>脚尖侧点地</w:t>
      </w:r>
      <w:proofErr w:type="gramEnd"/>
      <w:r w:rsidRPr="00D554C2">
        <w:rPr>
          <w:rFonts w:ascii="宋体" w:eastAsia="宋体" w:hAnsi="宋体" w:cs="宋体" w:hint="eastAsia"/>
          <w:color w:val="000000"/>
          <w:sz w:val="24"/>
        </w:rPr>
        <w:t xml:space="preserve"> 脚跟前点地</w:t>
      </w:r>
      <w:r w:rsidRPr="00D554C2">
        <w:rPr>
          <w:rFonts w:ascii="宋体" w:eastAsia="宋体" w:hAnsi="宋体" w:cs="宋体" w:hint="eastAsia"/>
          <w:color w:val="000000"/>
          <w:sz w:val="24"/>
        </w:rPr>
        <w:br/>
        <w:t>③迈步类：并步 迈步点地 迈步屈腿 迈步吸腿 迈步</w:t>
      </w:r>
      <w:r>
        <w:fldChar w:fldCharType="begin"/>
      </w:r>
      <w:r>
        <w:instrText>HYPERLINK "http://zhidao.baidu.com/search?word=%E5%BC%B9%E8%85%BF&amp;fr=qb_search_exp&amp;ie=utf8" \t "_blank"</w:instrText>
      </w:r>
      <w:r>
        <w:fldChar w:fldCharType="separate"/>
      </w:r>
      <w:r w:rsidRPr="00D554C2">
        <w:rPr>
          <w:rFonts w:ascii="宋体" w:eastAsia="宋体" w:hAnsi="宋体" w:cs="宋体" w:hint="eastAsia"/>
          <w:color w:val="000000"/>
          <w:sz w:val="24"/>
        </w:rPr>
        <w:t>弹腿</w:t>
      </w:r>
      <w:r>
        <w:rPr>
          <w:rFonts w:ascii="宋体" w:eastAsia="宋体" w:hAnsi="宋体" w:cs="宋体"/>
          <w:color w:val="000000"/>
          <w:sz w:val="24"/>
        </w:rPr>
        <w:fldChar w:fldCharType="end"/>
      </w:r>
      <w:r w:rsidRPr="00D554C2">
        <w:rPr>
          <w:rFonts w:ascii="宋体" w:eastAsia="宋体" w:hAnsi="宋体" w:cs="宋体" w:hint="eastAsia"/>
          <w:color w:val="000000"/>
          <w:sz w:val="24"/>
        </w:rPr>
        <w:t xml:space="preserve"> </w:t>
      </w:r>
      <w:proofErr w:type="gramStart"/>
      <w:r w:rsidRPr="00D554C2">
        <w:rPr>
          <w:rFonts w:ascii="宋体" w:eastAsia="宋体" w:hAnsi="宋体" w:cs="宋体" w:hint="eastAsia"/>
          <w:color w:val="000000"/>
          <w:sz w:val="24"/>
        </w:rPr>
        <w:t>侧步交叉</w:t>
      </w:r>
      <w:proofErr w:type="gramEnd"/>
      <w:r w:rsidRPr="00D554C2">
        <w:rPr>
          <w:rFonts w:ascii="宋体" w:eastAsia="宋体" w:hAnsi="宋体" w:cs="宋体" w:hint="eastAsia"/>
          <w:color w:val="000000"/>
          <w:sz w:val="24"/>
        </w:rPr>
        <w:t xml:space="preserve"> 并步</w:t>
      </w:r>
    </w:p>
    <w:p w14:paraId="48C56E29" w14:textId="77777777" w:rsidR="00D554C2" w:rsidRPr="00D554C2" w:rsidRDefault="00D554C2" w:rsidP="00D554C2">
      <w:pPr>
        <w:adjustRightInd w:val="0"/>
        <w:snapToGrid w:val="0"/>
        <w:spacing w:line="500" w:lineRule="exact"/>
        <w:ind w:left="480" w:hangingChars="200" w:hanging="480"/>
        <w:jc w:val="left"/>
        <w:rPr>
          <w:rFonts w:ascii="宋体" w:eastAsia="宋体" w:hAnsi="宋体" w:cs="宋体"/>
          <w:color w:val="000000"/>
          <w:sz w:val="24"/>
        </w:rPr>
      </w:pPr>
      <w:r w:rsidRPr="00D554C2">
        <w:rPr>
          <w:rFonts w:ascii="宋体" w:eastAsia="宋体" w:hAnsi="宋体" w:cs="宋体" w:hint="eastAsia"/>
          <w:color w:val="000000"/>
          <w:sz w:val="24"/>
        </w:rPr>
        <w:t>跳 小马跳等</w:t>
      </w:r>
      <w:r w:rsidRPr="00D554C2">
        <w:rPr>
          <w:rFonts w:ascii="宋体" w:eastAsia="宋体" w:hAnsi="宋体" w:cs="宋体" w:hint="eastAsia"/>
          <w:color w:val="000000"/>
          <w:sz w:val="24"/>
        </w:rPr>
        <w:br/>
        <w:t xml:space="preserve">④吸腿类：吸腿 踢腿 </w:t>
      </w:r>
      <w:hyperlink r:id="rId16" w:tgtFrame="_blank" w:history="1">
        <w:r w:rsidRPr="00D554C2">
          <w:rPr>
            <w:rFonts w:ascii="宋体" w:eastAsia="宋体" w:hAnsi="宋体" w:cs="宋体" w:hint="eastAsia"/>
            <w:color w:val="000000"/>
            <w:sz w:val="24"/>
          </w:rPr>
          <w:t>弹腿</w:t>
        </w:r>
      </w:hyperlink>
      <w:r w:rsidRPr="00D554C2">
        <w:rPr>
          <w:rFonts w:ascii="宋体" w:eastAsia="宋体" w:hAnsi="宋体" w:cs="宋体" w:hint="eastAsia"/>
          <w:color w:val="000000"/>
          <w:sz w:val="24"/>
        </w:rPr>
        <w:t xml:space="preserve"> 后屈腿</w:t>
      </w:r>
      <w:r w:rsidRPr="00D554C2">
        <w:rPr>
          <w:rFonts w:ascii="宋体" w:eastAsia="宋体" w:hAnsi="宋体" w:cs="宋体" w:hint="eastAsia"/>
          <w:color w:val="000000"/>
          <w:sz w:val="24"/>
        </w:rPr>
        <w:br/>
        <w:t>⑤双腿类：开合跳，</w:t>
      </w:r>
      <w:r>
        <w:fldChar w:fldCharType="begin"/>
      </w:r>
      <w:r>
        <w:instrText>HYPERLINK "http://zhidao.baidu.com/search?word=%E5%BC%93%E6%AD%A5&amp;fr=qb_search_exp&amp;ie=utf8" \t "_blank"</w:instrText>
      </w:r>
      <w:r>
        <w:fldChar w:fldCharType="separate"/>
      </w:r>
      <w:r w:rsidRPr="00D554C2">
        <w:rPr>
          <w:rFonts w:ascii="宋体" w:eastAsia="宋体" w:hAnsi="宋体" w:cs="宋体" w:hint="eastAsia"/>
          <w:color w:val="000000"/>
          <w:sz w:val="24"/>
        </w:rPr>
        <w:t>弓步</w:t>
      </w:r>
      <w:r>
        <w:rPr>
          <w:rFonts w:ascii="宋体" w:eastAsia="宋体" w:hAnsi="宋体" w:cs="宋体"/>
          <w:color w:val="000000"/>
          <w:sz w:val="24"/>
        </w:rPr>
        <w:fldChar w:fldCharType="end"/>
      </w:r>
      <w:r w:rsidRPr="00D554C2">
        <w:rPr>
          <w:rFonts w:ascii="宋体" w:eastAsia="宋体" w:hAnsi="宋体" w:cs="宋体" w:hint="eastAsia"/>
          <w:color w:val="000000"/>
          <w:sz w:val="24"/>
        </w:rPr>
        <w:t>跳等步伐</w:t>
      </w:r>
    </w:p>
    <w:p w14:paraId="591FE7B2" w14:textId="77777777" w:rsidR="00D554C2" w:rsidRPr="00D554C2" w:rsidRDefault="00D554C2" w:rsidP="00D554C2">
      <w:pPr>
        <w:spacing w:line="500" w:lineRule="exact"/>
        <w:ind w:firstLineChars="200" w:firstLine="482"/>
        <w:rPr>
          <w:rFonts w:ascii="宋体" w:eastAsia="宋体" w:hAnsi="宋体" w:cs="宋体"/>
          <w:color w:val="000000"/>
          <w:sz w:val="24"/>
        </w:rPr>
      </w:pPr>
      <w:r w:rsidRPr="00D554C2">
        <w:rPr>
          <w:rFonts w:ascii="宋体" w:eastAsia="宋体" w:hAnsi="宋体" w:cs="宋体" w:hint="eastAsia"/>
          <w:b/>
          <w:color w:val="000000"/>
          <w:sz w:val="24"/>
        </w:rPr>
        <w:t>本章教学目的及要求：</w:t>
      </w:r>
      <w:r w:rsidRPr="00D554C2">
        <w:rPr>
          <w:rFonts w:ascii="宋体" w:eastAsia="宋体" w:hAnsi="宋体" w:cs="宋体" w:hint="eastAsia"/>
          <w:color w:val="000000"/>
          <w:sz w:val="24"/>
        </w:rPr>
        <w:t>初步学习健美操项目，培养乐感，建立学生运动感觉，培养正确体态，掌握健美操的基本步伐。</w:t>
      </w:r>
    </w:p>
    <w:p w14:paraId="38087879" w14:textId="77777777" w:rsidR="00D554C2" w:rsidRPr="00D554C2" w:rsidRDefault="00D554C2" w:rsidP="00D554C2">
      <w:pPr>
        <w:spacing w:line="500" w:lineRule="exact"/>
        <w:ind w:firstLineChars="200" w:firstLine="482"/>
        <w:rPr>
          <w:rFonts w:ascii="宋体" w:eastAsia="宋体" w:hAnsi="宋体" w:cs="宋体"/>
          <w:color w:val="000000"/>
          <w:sz w:val="24"/>
        </w:rPr>
      </w:pPr>
      <w:r w:rsidRPr="00D554C2">
        <w:rPr>
          <w:rFonts w:ascii="宋体" w:eastAsia="宋体" w:hAnsi="宋体" w:cs="宋体" w:hint="eastAsia"/>
          <w:b/>
          <w:sz w:val="24"/>
        </w:rPr>
        <w:t>本章教学重点及难点：</w:t>
      </w:r>
      <w:r w:rsidRPr="00D554C2">
        <w:rPr>
          <w:rFonts w:ascii="宋体" w:eastAsia="宋体" w:hAnsi="宋体" w:cs="宋体" w:hint="eastAsia"/>
          <w:color w:val="000000"/>
          <w:spacing w:val="7"/>
          <w:sz w:val="24"/>
        </w:rPr>
        <w:t>了解健美操项目的特点；姿态的控制，乐感的培养，健美操基本步法的正确要领；体会</w:t>
      </w:r>
      <w:r w:rsidRPr="00D554C2">
        <w:rPr>
          <w:rFonts w:ascii="宋体" w:eastAsia="宋体" w:hAnsi="宋体" w:cs="宋体" w:hint="eastAsia"/>
          <w:color w:val="000000"/>
          <w:sz w:val="24"/>
        </w:rPr>
        <w:t>膝、踝关节的缓冲以及上下肢协调性配合。</w:t>
      </w:r>
    </w:p>
    <w:p w14:paraId="38028782"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宋体"/>
          <w:b/>
          <w:sz w:val="28"/>
          <w:szCs w:val="28"/>
        </w:rPr>
      </w:pPr>
      <w:r w:rsidRPr="00D554C2">
        <w:rPr>
          <w:rFonts w:ascii="宋体" w:eastAsia="宋体" w:hAnsi="宋体" w:cs="宋体" w:hint="eastAsia"/>
          <w:b/>
          <w:sz w:val="28"/>
          <w:szCs w:val="28"/>
        </w:rPr>
        <w:t>第四章  健美操套路动作（16学时）</w:t>
      </w:r>
    </w:p>
    <w:p w14:paraId="54155FFD" w14:textId="77777777" w:rsidR="00D554C2" w:rsidRPr="00D554C2" w:rsidRDefault="00D554C2" w:rsidP="00D554C2">
      <w:pPr>
        <w:adjustRightInd w:val="0"/>
        <w:snapToGrid w:val="0"/>
        <w:spacing w:line="500" w:lineRule="exact"/>
        <w:ind w:firstLineChars="200" w:firstLine="482"/>
        <w:rPr>
          <w:rFonts w:ascii="宋体" w:eastAsia="宋体" w:hAnsi="宋体" w:cs="宋体"/>
          <w:b/>
          <w:sz w:val="24"/>
        </w:rPr>
      </w:pPr>
      <w:r w:rsidRPr="00D554C2">
        <w:rPr>
          <w:rFonts w:ascii="宋体" w:eastAsia="宋体" w:hAnsi="宋体" w:cs="宋体" w:hint="eastAsia"/>
          <w:b/>
          <w:sz w:val="24"/>
        </w:rPr>
        <w:t>本章主要教学内容：</w:t>
      </w:r>
    </w:p>
    <w:p w14:paraId="53105DFA" w14:textId="77777777" w:rsidR="00D554C2" w:rsidRPr="00D554C2" w:rsidRDefault="00D554C2" w:rsidP="00D554C2">
      <w:pPr>
        <w:spacing w:line="500" w:lineRule="exact"/>
        <w:ind w:firstLineChars="200" w:firstLine="480"/>
        <w:rPr>
          <w:rFonts w:ascii="宋体" w:eastAsia="宋体" w:hAnsi="宋体" w:cs="宋体"/>
          <w:color w:val="000000"/>
          <w:sz w:val="24"/>
        </w:rPr>
      </w:pPr>
      <w:r w:rsidRPr="00D554C2">
        <w:rPr>
          <w:rFonts w:ascii="Calibri" w:eastAsia="宋体" w:hAnsi="Calibri" w:cs="Times New Roman" w:hint="eastAsia"/>
          <w:color w:val="000000"/>
          <w:sz w:val="24"/>
        </w:rPr>
        <w:t>4.1</w:t>
      </w:r>
      <w:r w:rsidRPr="00D554C2">
        <w:rPr>
          <w:rFonts w:ascii="宋体" w:eastAsia="宋体" w:hAnsi="宋体" w:cs="宋体" w:hint="eastAsia"/>
          <w:color w:val="000000"/>
          <w:sz w:val="24"/>
        </w:rPr>
        <w:t>健身舞1套。健身舞</w:t>
      </w:r>
      <w:proofErr w:type="gramStart"/>
      <w:r w:rsidRPr="00D554C2">
        <w:rPr>
          <w:rFonts w:ascii="宋体" w:eastAsia="宋体" w:hAnsi="宋体" w:cs="宋体" w:hint="eastAsia"/>
          <w:color w:val="000000"/>
          <w:sz w:val="24"/>
        </w:rPr>
        <w:t>舞</w:t>
      </w:r>
      <w:proofErr w:type="gramEnd"/>
      <w:r w:rsidRPr="00D554C2">
        <w:rPr>
          <w:rFonts w:ascii="宋体" w:eastAsia="宋体" w:hAnsi="宋体" w:cs="宋体" w:hint="eastAsia"/>
          <w:color w:val="000000"/>
          <w:sz w:val="24"/>
        </w:rPr>
        <w:t>是融自娱性与表演性为一体，以特殊的表演形式、热情欢快的表演内容、以集体舞为主体的，在公共场所多人参与的，以娱乐身心和锻炼身体为目的的，非专业性的舞蹈艺术表演活动。</w:t>
      </w:r>
    </w:p>
    <w:p w14:paraId="35F21D55" w14:textId="77777777" w:rsidR="00D554C2" w:rsidRPr="00D554C2" w:rsidRDefault="00D554C2" w:rsidP="00D554C2">
      <w:pPr>
        <w:spacing w:line="500" w:lineRule="exact"/>
        <w:ind w:firstLineChars="200" w:firstLine="480"/>
        <w:rPr>
          <w:rFonts w:ascii="宋体" w:eastAsia="宋体" w:hAnsi="宋体" w:cs="宋体"/>
          <w:color w:val="000000"/>
          <w:sz w:val="24"/>
        </w:rPr>
      </w:pPr>
      <w:r w:rsidRPr="00D554C2">
        <w:rPr>
          <w:rFonts w:ascii="Calibri" w:eastAsia="宋体" w:hAnsi="Calibri" w:cs="Times New Roman" w:hint="eastAsia"/>
          <w:color w:val="000000"/>
          <w:sz w:val="24"/>
        </w:rPr>
        <w:t>4.2</w:t>
      </w:r>
      <w:r w:rsidRPr="00D554C2">
        <w:rPr>
          <w:rFonts w:ascii="宋体" w:eastAsia="宋体" w:hAnsi="宋体" w:cs="宋体" w:hint="eastAsia"/>
          <w:color w:val="000000"/>
          <w:sz w:val="24"/>
        </w:rPr>
        <w:t>大众锻炼标准成套动作1套，每个组合有4-5个最常见的健美操基本步伐组成，并增加了90度—180度方向变化和简单的图形变化。每次</w:t>
      </w:r>
      <w:proofErr w:type="gramStart"/>
      <w:r w:rsidRPr="00D554C2">
        <w:rPr>
          <w:rFonts w:ascii="宋体" w:eastAsia="宋体" w:hAnsi="宋体" w:cs="宋体" w:hint="eastAsia"/>
          <w:color w:val="000000"/>
          <w:sz w:val="24"/>
        </w:rPr>
        <w:t>课完成</w:t>
      </w:r>
      <w:proofErr w:type="gramEnd"/>
      <w:r w:rsidRPr="00D554C2">
        <w:rPr>
          <w:rFonts w:ascii="宋体" w:eastAsia="宋体" w:hAnsi="宋体" w:cs="宋体" w:hint="eastAsia"/>
          <w:color w:val="000000"/>
          <w:sz w:val="24"/>
        </w:rPr>
        <w:t>一个组合动作，根据学生学习和掌握情况灵活调整和控制。每节课还增加形体训练，培养学生正确的身体姿态。</w:t>
      </w:r>
    </w:p>
    <w:p w14:paraId="245C13BB" w14:textId="77777777" w:rsidR="00D554C2" w:rsidRPr="00D554C2" w:rsidRDefault="00D554C2" w:rsidP="00D554C2">
      <w:pPr>
        <w:adjustRightInd w:val="0"/>
        <w:snapToGrid w:val="0"/>
        <w:spacing w:line="500" w:lineRule="exact"/>
        <w:ind w:firstLineChars="196" w:firstLine="472"/>
        <w:rPr>
          <w:rFonts w:ascii="宋体" w:eastAsia="宋体" w:hAnsi="宋体" w:cs="宋体"/>
          <w:color w:val="000000"/>
          <w:sz w:val="24"/>
        </w:rPr>
      </w:pPr>
      <w:r w:rsidRPr="00D554C2">
        <w:rPr>
          <w:rFonts w:ascii="宋体" w:eastAsia="宋体" w:hAnsi="宋体" w:cs="宋体" w:hint="eastAsia"/>
          <w:b/>
          <w:sz w:val="24"/>
        </w:rPr>
        <w:t>本章教学目的及要求：</w:t>
      </w:r>
      <w:r w:rsidRPr="00D554C2">
        <w:rPr>
          <w:rFonts w:ascii="宋体" w:eastAsia="宋体" w:hAnsi="宋体" w:cs="宋体" w:hint="eastAsia"/>
          <w:color w:val="000000"/>
          <w:sz w:val="24"/>
        </w:rPr>
        <w:t>在音乐的伴奏下能熟练掌握健美操动作。通过套路教学提高学生自身的协调性和灵敏性，掌握健美操的练习方法，达到增进健康、改善形体的目的。</w:t>
      </w:r>
    </w:p>
    <w:p w14:paraId="7B6DBC34" w14:textId="77777777" w:rsidR="00D554C2" w:rsidRPr="00D554C2" w:rsidRDefault="00D554C2" w:rsidP="00D554C2">
      <w:pPr>
        <w:adjustRightInd w:val="0"/>
        <w:snapToGrid w:val="0"/>
        <w:spacing w:line="500" w:lineRule="exact"/>
        <w:ind w:firstLineChars="196" w:firstLine="472"/>
        <w:rPr>
          <w:rFonts w:ascii="宋体" w:eastAsia="宋体" w:hAnsi="宋体" w:cs="宋体"/>
          <w:color w:val="000000"/>
          <w:sz w:val="24"/>
        </w:rPr>
      </w:pPr>
      <w:r w:rsidRPr="00D554C2">
        <w:rPr>
          <w:rFonts w:ascii="宋体" w:eastAsia="宋体" w:hAnsi="宋体" w:cs="宋体" w:hint="eastAsia"/>
          <w:b/>
          <w:sz w:val="24"/>
        </w:rPr>
        <w:t>本章教学重点及难点：</w:t>
      </w:r>
      <w:r w:rsidRPr="00D554C2">
        <w:rPr>
          <w:rFonts w:ascii="宋体" w:eastAsia="宋体" w:hAnsi="宋体" w:cs="宋体" w:hint="eastAsia"/>
          <w:color w:val="000000"/>
          <w:sz w:val="24"/>
        </w:rPr>
        <w:t>掌握乐感与节拍；方向的变化、姿态的控制与动作力度的掌握。</w:t>
      </w:r>
    </w:p>
    <w:p w14:paraId="3BDA1DD6" w14:textId="77777777" w:rsidR="00D554C2" w:rsidRPr="00D554C2" w:rsidRDefault="00D554C2" w:rsidP="00D554C2">
      <w:pPr>
        <w:adjustRightInd w:val="0"/>
        <w:snapToGrid w:val="0"/>
        <w:spacing w:line="500" w:lineRule="exact"/>
        <w:ind w:firstLineChars="200" w:firstLine="480"/>
        <w:rPr>
          <w:rFonts w:ascii="宋体" w:eastAsia="宋体" w:hAnsi="宋体" w:cs="宋体"/>
          <w:color w:val="000000"/>
          <w:sz w:val="24"/>
        </w:rPr>
      </w:pPr>
    </w:p>
    <w:p w14:paraId="39B779D4" w14:textId="77777777" w:rsidR="00D554C2" w:rsidRPr="00D554C2" w:rsidRDefault="00D554C2" w:rsidP="00D554C2">
      <w:pPr>
        <w:spacing w:beforeLines="50" w:before="156" w:afterLines="50" w:after="156" w:line="440" w:lineRule="exact"/>
        <w:jc w:val="center"/>
        <w:rPr>
          <w:rFonts w:ascii="黑体" w:eastAsia="黑体" w:hAnsi="黑体" w:cs="Times New Roman"/>
          <w:sz w:val="28"/>
          <w:szCs w:val="28"/>
        </w:rPr>
      </w:pPr>
      <w:r w:rsidRPr="00D554C2">
        <w:rPr>
          <w:rFonts w:ascii="黑体" w:eastAsia="黑体" w:hAnsi="黑体" w:cs="Times New Roman" w:hint="eastAsia"/>
          <w:sz w:val="28"/>
          <w:szCs w:val="28"/>
        </w:rPr>
        <w:lastRenderedPageBreak/>
        <w:t>学习内容三  健美操 2</w:t>
      </w:r>
    </w:p>
    <w:p w14:paraId="4EC980BF" w14:textId="77777777" w:rsidR="00D554C2" w:rsidRPr="00D554C2" w:rsidRDefault="00D554C2" w:rsidP="00D554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【学习目标】</w:t>
      </w:r>
    </w:p>
    <w:p w14:paraId="235D0B36"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1.</w:t>
      </w:r>
      <w:r w:rsidRPr="00D554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D554C2">
        <w:rPr>
          <w:rFonts w:ascii="宋体" w:eastAsia="宋体" w:hAnsi="Calibri" w:cs="宋体" w:hint="eastAsia"/>
          <w:spacing w:val="5"/>
          <w:kern w:val="0"/>
          <w:sz w:val="24"/>
        </w:rPr>
        <w:t>通过体能教学活动，</w:t>
      </w:r>
      <w:r w:rsidRPr="00D554C2">
        <w:rPr>
          <w:rFonts w:ascii="宋体" w:eastAsia="宋体" w:hAnsi="宋体" w:cs="仿宋_GB2312" w:hint="eastAsia"/>
          <w:sz w:val="24"/>
        </w:rPr>
        <w:t>了解《大学生体质健康标准测验》项目内容、考核方式、评价标准，掌握考核内容锻炼的方式方法。</w:t>
      </w:r>
      <w:r w:rsidRPr="00D554C2">
        <w:rPr>
          <w:rFonts w:ascii="宋体" w:eastAsia="宋体" w:hAnsi="Calibri" w:cs="宋体" w:hint="eastAsia"/>
          <w:spacing w:val="5"/>
          <w:kern w:val="0"/>
          <w:sz w:val="24"/>
        </w:rPr>
        <w:t>培养学生努力学习、不断进取、修身立业、顽强奋进的精神与品质。</w:t>
      </w:r>
    </w:p>
    <w:p w14:paraId="4383D8B4"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2.</w:t>
      </w:r>
      <w:r w:rsidRPr="00D554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D554C2">
        <w:rPr>
          <w:rFonts w:ascii="宋体" w:eastAsia="宋体" w:hAnsi="Calibri" w:cs="宋体" w:hint="eastAsia"/>
          <w:spacing w:val="5"/>
          <w:kern w:val="0"/>
          <w:sz w:val="24"/>
        </w:rPr>
        <w:t>。</w:t>
      </w:r>
    </w:p>
    <w:p w14:paraId="341D532C"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w:t>
      </w:r>
      <w:r w:rsidRPr="00D554C2">
        <w:rPr>
          <w:rFonts w:ascii="宋体" w:eastAsia="宋体" w:hAnsi="Calibri" w:cs="宋体" w:hint="eastAsia"/>
          <w:color w:val="000000"/>
          <w:spacing w:val="7"/>
          <w:sz w:val="24"/>
        </w:rPr>
        <w:t>通过健美操教学活动使学生获得健美操运动的基本理论、基本知识和基本技能，</w:t>
      </w:r>
      <w:r w:rsidRPr="00D554C2">
        <w:rPr>
          <w:rFonts w:ascii="宋体" w:eastAsia="宋体" w:hAnsi="宋体" w:cs="宋体" w:hint="eastAsia"/>
          <w:color w:val="000000"/>
          <w:sz w:val="24"/>
        </w:rPr>
        <w:t>培养学生良好的节奏感、韵律感、美感和表现力，</w:t>
      </w:r>
      <w:r w:rsidRPr="00D554C2">
        <w:rPr>
          <w:rFonts w:ascii="宋体" w:eastAsia="宋体" w:hAnsi="Calibri" w:cs="宋体" w:hint="eastAsia"/>
          <w:color w:val="000000"/>
          <w:spacing w:val="7"/>
          <w:sz w:val="24"/>
        </w:rPr>
        <w:t>增进健康，</w:t>
      </w:r>
      <w:r w:rsidRPr="00D554C2">
        <w:rPr>
          <w:rFonts w:ascii="宋体" w:eastAsia="宋体" w:hAnsi="宋体" w:cs="宋体" w:hint="eastAsia"/>
          <w:color w:val="000000"/>
          <w:sz w:val="24"/>
        </w:rPr>
        <w:t>提高体育素养，使学生掌握自我锻炼的方法并养成自觉锻炼的习惯，为终身体育锻炼打下良好的基础。</w:t>
      </w:r>
      <w:r w:rsidRPr="00D554C2">
        <w:rPr>
          <w:rFonts w:ascii="宋体" w:eastAsia="宋体" w:hAnsi="宋体" w:cs="仿宋_GB2312" w:hint="eastAsia"/>
          <w:sz w:val="24"/>
        </w:rPr>
        <w:t>在提高人的生物潜能、心理潜能的过程中促进德、智、体、美全面发展，达到身心健康、全面发展的教育总目的</w:t>
      </w:r>
      <w:r w:rsidRPr="00D554C2">
        <w:rPr>
          <w:rFonts w:ascii="宋体" w:eastAsia="宋体" w:hAnsi="Calibri" w:cs="宋体" w:hint="eastAsia"/>
          <w:spacing w:val="5"/>
          <w:kern w:val="0"/>
          <w:sz w:val="24"/>
        </w:rPr>
        <w:t>。</w:t>
      </w:r>
    </w:p>
    <w:p w14:paraId="640C9A65" w14:textId="77777777" w:rsidR="00D554C2" w:rsidRPr="00D554C2" w:rsidRDefault="00D554C2" w:rsidP="00D554C2">
      <w:pPr>
        <w:spacing w:line="500" w:lineRule="exact"/>
        <w:ind w:firstLineChars="200" w:firstLine="500"/>
        <w:rPr>
          <w:rFonts w:ascii="宋体" w:eastAsia="宋体" w:hAnsi="宋体" w:cs="Times New Roman"/>
          <w:b/>
          <w:sz w:val="24"/>
        </w:rPr>
      </w:pPr>
      <w:r w:rsidRPr="00D554C2">
        <w:rPr>
          <w:rFonts w:ascii="宋体" w:eastAsia="宋体" w:hAnsi="Calibri" w:cs="宋体" w:hint="eastAsia"/>
          <w:spacing w:val="5"/>
          <w:kern w:val="0"/>
          <w:sz w:val="24"/>
        </w:rPr>
        <w:t>4.</w:t>
      </w:r>
      <w:r w:rsidRPr="00D554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D554C2">
        <w:rPr>
          <w:rFonts w:ascii="宋体" w:eastAsia="宋体" w:hAnsi="Calibri" w:cs="宋体" w:hint="eastAsia"/>
          <w:spacing w:val="5"/>
          <w:kern w:val="0"/>
          <w:sz w:val="24"/>
        </w:rPr>
        <w:t>。</w:t>
      </w:r>
    </w:p>
    <w:p w14:paraId="528C059C" w14:textId="77777777" w:rsidR="00D554C2" w:rsidRPr="00D554C2" w:rsidRDefault="00D554C2" w:rsidP="00D554C2">
      <w:pPr>
        <w:spacing w:line="440" w:lineRule="exact"/>
        <w:ind w:firstLineChars="200" w:firstLine="482"/>
        <w:rPr>
          <w:rFonts w:ascii="宋体" w:eastAsia="宋体" w:hAnsi="宋体" w:cs="Times New Roman"/>
          <w:b/>
          <w:sz w:val="24"/>
        </w:rPr>
      </w:pPr>
      <w:r w:rsidRPr="00D554C2">
        <w:rPr>
          <w:rFonts w:ascii="宋体" w:eastAsia="宋体" w:hAnsi="宋体" w:cs="Times New Roman" w:hint="eastAsia"/>
          <w:b/>
          <w:sz w:val="24"/>
        </w:rPr>
        <w:t>【学习内容】</w:t>
      </w:r>
    </w:p>
    <w:p w14:paraId="60C0013E"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宋体"/>
          <w:b/>
          <w:color w:val="000000"/>
          <w:sz w:val="28"/>
          <w:szCs w:val="28"/>
        </w:rPr>
      </w:pPr>
      <w:r w:rsidRPr="00D554C2">
        <w:rPr>
          <w:rFonts w:ascii="宋体" w:eastAsia="宋体" w:hAnsi="宋体" w:cs="宋体" w:hint="eastAsia"/>
          <w:b/>
          <w:sz w:val="28"/>
          <w:szCs w:val="28"/>
        </w:rPr>
        <w:t xml:space="preserve">第一章  </w:t>
      </w:r>
      <w:r w:rsidRPr="00D554C2">
        <w:rPr>
          <w:rFonts w:ascii="宋体" w:eastAsia="宋体" w:hAnsi="宋体" w:cs="宋体" w:hint="eastAsia"/>
          <w:b/>
          <w:color w:val="000000"/>
          <w:sz w:val="28"/>
          <w:szCs w:val="28"/>
        </w:rPr>
        <w:t>理论部分（2学时）</w:t>
      </w:r>
    </w:p>
    <w:p w14:paraId="40FCA3FB"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hint="eastAsia"/>
          <w:b/>
          <w:sz w:val="24"/>
        </w:rPr>
        <w:t>本章主要教学内容：</w:t>
      </w:r>
    </w:p>
    <w:p w14:paraId="372BA2B6"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color w:val="000000"/>
          <w:sz w:val="24"/>
        </w:rPr>
      </w:pPr>
      <w:r w:rsidRPr="00D554C2">
        <w:rPr>
          <w:rFonts w:ascii="Calibri" w:eastAsia="宋体" w:hAnsi="Calibri" w:cs="Times New Roman"/>
          <w:color w:val="000000"/>
          <w:sz w:val="24"/>
        </w:rPr>
        <w:t>1.1</w:t>
      </w:r>
      <w:r w:rsidRPr="00D554C2">
        <w:rPr>
          <w:rFonts w:ascii="Calibri" w:eastAsia="宋体" w:hAnsi="Calibri" w:cs="Times New Roman" w:hint="eastAsia"/>
          <w:color w:val="000000"/>
          <w:sz w:val="24"/>
        </w:rPr>
        <w:t>健美操的音乐、创编原则及方法</w:t>
      </w:r>
    </w:p>
    <w:p w14:paraId="200DE162" w14:textId="77777777" w:rsidR="00D554C2" w:rsidRPr="00D554C2" w:rsidRDefault="00D554C2" w:rsidP="00D554C2">
      <w:pPr>
        <w:adjustRightInd w:val="0"/>
        <w:snapToGrid w:val="0"/>
        <w:spacing w:line="500" w:lineRule="exact"/>
        <w:ind w:firstLineChars="200" w:firstLine="480"/>
        <w:rPr>
          <w:rFonts w:ascii="Arial" w:eastAsia="宋体" w:hAnsi="Calibri" w:cs="Arial"/>
          <w:color w:val="000000"/>
          <w:sz w:val="24"/>
        </w:rPr>
      </w:pPr>
      <w:r w:rsidRPr="00D554C2">
        <w:rPr>
          <w:rFonts w:ascii="Calibri" w:eastAsia="宋体" w:hAnsi="Calibri" w:cs="Times New Roman"/>
          <w:color w:val="000000"/>
          <w:sz w:val="24"/>
        </w:rPr>
        <w:lastRenderedPageBreak/>
        <w:t>1.2</w:t>
      </w:r>
      <w:r w:rsidRPr="00D554C2">
        <w:rPr>
          <w:rFonts w:ascii="Arial" w:eastAsia="宋体" w:hAnsi="Calibri" w:cs="Arial" w:hint="eastAsia"/>
          <w:color w:val="000000"/>
          <w:sz w:val="24"/>
        </w:rPr>
        <w:t>健美操比赛的组织与竞赛规则简介</w:t>
      </w:r>
    </w:p>
    <w:p w14:paraId="4F8C2818"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color w:val="000000"/>
          <w:sz w:val="24"/>
        </w:rPr>
      </w:pPr>
      <w:r w:rsidRPr="00D554C2">
        <w:rPr>
          <w:rFonts w:ascii="Calibri" w:eastAsia="宋体" w:hAnsi="Calibri" w:cs="Times New Roman" w:hint="eastAsia"/>
          <w:b/>
          <w:sz w:val="24"/>
        </w:rPr>
        <w:t>本章教学目的及要求：</w:t>
      </w:r>
      <w:r w:rsidRPr="00D554C2">
        <w:rPr>
          <w:rFonts w:ascii="Calibri" w:eastAsia="宋体" w:hAnsi="Calibri" w:cs="Times New Roman" w:hint="eastAsia"/>
          <w:color w:val="000000"/>
          <w:sz w:val="24"/>
        </w:rPr>
        <w:t>让学生了解健美操运动分类、特点及发展动态和趋势，培养学生在这项运动上的兴趣，初步了解健美操比赛的组织方法、竞赛规则，掌握创编原则。</w:t>
      </w:r>
    </w:p>
    <w:p w14:paraId="4EEB0319"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color w:val="000000"/>
          <w:sz w:val="24"/>
        </w:rPr>
      </w:pPr>
      <w:r w:rsidRPr="00D554C2">
        <w:rPr>
          <w:rFonts w:ascii="Calibri" w:eastAsia="宋体" w:hAnsi="Calibri" w:cs="Times New Roman" w:hint="eastAsia"/>
          <w:b/>
          <w:sz w:val="24"/>
        </w:rPr>
        <w:t>本章教学重点及难点：</w:t>
      </w:r>
      <w:r w:rsidRPr="00D554C2">
        <w:rPr>
          <w:rFonts w:ascii="Calibri" w:eastAsia="宋体" w:hAnsi="Calibri" w:cs="Times New Roman" w:hint="eastAsia"/>
          <w:color w:val="000000"/>
          <w:sz w:val="24"/>
        </w:rPr>
        <w:t>掌握创编原则及方法；理论知识的应用。</w:t>
      </w:r>
    </w:p>
    <w:p w14:paraId="28E2C2E1"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第二章  健美操基本动作（6学时）</w:t>
      </w:r>
    </w:p>
    <w:p w14:paraId="1E5B01B0"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hint="eastAsia"/>
          <w:b/>
          <w:sz w:val="24"/>
        </w:rPr>
        <w:t>本章主要教学内容：</w:t>
      </w:r>
    </w:p>
    <w:p w14:paraId="245C8F83"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color w:val="000000"/>
          <w:sz w:val="24"/>
        </w:rPr>
      </w:pPr>
      <w:r w:rsidRPr="00D554C2">
        <w:rPr>
          <w:rFonts w:ascii="Calibri" w:eastAsia="宋体" w:hAnsi="Calibri" w:cs="Times New Roman"/>
          <w:color w:val="000000"/>
          <w:sz w:val="24"/>
        </w:rPr>
        <w:t xml:space="preserve">2.1 </w:t>
      </w:r>
      <w:r w:rsidRPr="00D554C2">
        <w:rPr>
          <w:rFonts w:ascii="Calibri" w:eastAsia="宋体" w:hAnsi="Calibri" w:cs="Times New Roman" w:hint="eastAsia"/>
          <w:color w:val="000000"/>
          <w:sz w:val="24"/>
        </w:rPr>
        <w:t>姿态、手臂基本位置和基本动作训练</w:t>
      </w:r>
    </w:p>
    <w:p w14:paraId="0DFA4E83"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color w:val="000000"/>
          <w:sz w:val="24"/>
        </w:rPr>
      </w:pPr>
      <w:r w:rsidRPr="00D554C2">
        <w:rPr>
          <w:rFonts w:ascii="Calibri" w:eastAsia="宋体" w:hAnsi="Calibri" w:cs="Times New Roman"/>
          <w:color w:val="000000"/>
          <w:sz w:val="24"/>
        </w:rPr>
        <w:t xml:space="preserve">2.2 </w:t>
      </w:r>
      <w:r w:rsidRPr="00D554C2">
        <w:rPr>
          <w:rFonts w:ascii="Calibri" w:eastAsia="宋体" w:hAnsi="Calibri" w:cs="Times New Roman" w:hint="eastAsia"/>
          <w:color w:val="000000"/>
          <w:sz w:val="24"/>
        </w:rPr>
        <w:t>健美操基本步伐的规范</w:t>
      </w:r>
    </w:p>
    <w:p w14:paraId="56A2BAB9" w14:textId="77777777" w:rsidR="00D554C2" w:rsidRPr="00D554C2" w:rsidRDefault="00D554C2" w:rsidP="00D554C2">
      <w:pPr>
        <w:spacing w:line="500" w:lineRule="exact"/>
        <w:ind w:firstLineChars="200" w:firstLine="482"/>
        <w:rPr>
          <w:rFonts w:ascii="宋体" w:eastAsia="宋体" w:hAnsi="宋体" w:cs="宋体"/>
          <w:color w:val="000000"/>
          <w:sz w:val="24"/>
        </w:rPr>
      </w:pPr>
      <w:r w:rsidRPr="00D554C2">
        <w:rPr>
          <w:rFonts w:ascii="宋体" w:eastAsia="宋体" w:hAnsi="宋体" w:cs="宋体" w:hint="eastAsia"/>
          <w:b/>
          <w:color w:val="000000"/>
          <w:sz w:val="24"/>
        </w:rPr>
        <w:t>本章教学目的及要求：进一步巩固</w:t>
      </w:r>
      <w:r w:rsidRPr="00D554C2">
        <w:rPr>
          <w:rFonts w:ascii="宋体" w:eastAsia="宋体" w:hAnsi="宋体" w:cs="宋体" w:hint="eastAsia"/>
          <w:color w:val="000000"/>
          <w:sz w:val="24"/>
        </w:rPr>
        <w:t>健美操项目的基本功，培养乐感，体验健美操带了的快乐。</w:t>
      </w:r>
    </w:p>
    <w:p w14:paraId="3BE241D2" w14:textId="77777777" w:rsidR="00D554C2" w:rsidRPr="00D554C2" w:rsidRDefault="00D554C2" w:rsidP="00D554C2">
      <w:pPr>
        <w:spacing w:line="500" w:lineRule="exact"/>
        <w:ind w:firstLineChars="200" w:firstLine="482"/>
        <w:rPr>
          <w:rFonts w:ascii="宋体" w:eastAsia="宋体" w:hAnsi="宋体" w:cs="宋体"/>
          <w:color w:val="000000"/>
          <w:sz w:val="24"/>
        </w:rPr>
      </w:pPr>
      <w:r w:rsidRPr="00D554C2">
        <w:rPr>
          <w:rFonts w:ascii="宋体" w:eastAsia="宋体" w:hAnsi="宋体" w:cs="宋体" w:hint="eastAsia"/>
          <w:b/>
          <w:sz w:val="24"/>
        </w:rPr>
        <w:t>本章教学重点及难点：</w:t>
      </w:r>
      <w:r w:rsidRPr="00D554C2">
        <w:rPr>
          <w:rFonts w:ascii="宋体" w:eastAsia="宋体" w:hAnsi="宋体" w:cs="宋体" w:hint="eastAsia"/>
          <w:color w:val="000000"/>
          <w:spacing w:val="7"/>
          <w:sz w:val="24"/>
        </w:rPr>
        <w:t>体会</w:t>
      </w:r>
      <w:r w:rsidRPr="00D554C2">
        <w:rPr>
          <w:rFonts w:ascii="宋体" w:eastAsia="宋体" w:hAnsi="宋体" w:cs="宋体" w:hint="eastAsia"/>
          <w:color w:val="000000"/>
          <w:sz w:val="24"/>
        </w:rPr>
        <w:t>膝、踝关节的缓冲以及上下肢协调性配合，以及幅度和力度。</w:t>
      </w:r>
    </w:p>
    <w:p w14:paraId="7203DD5E"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第三章  健美操基本素质练习（6学时）</w:t>
      </w:r>
    </w:p>
    <w:p w14:paraId="19505550" w14:textId="77777777" w:rsidR="00D554C2" w:rsidRPr="00D554C2" w:rsidRDefault="00D554C2" w:rsidP="00D554C2">
      <w:pPr>
        <w:adjustRightInd w:val="0"/>
        <w:snapToGrid w:val="0"/>
        <w:spacing w:line="500" w:lineRule="exact"/>
        <w:ind w:firstLineChars="150" w:firstLine="361"/>
        <w:rPr>
          <w:rFonts w:ascii="宋体" w:eastAsia="宋体" w:hAnsi="宋体" w:cs="宋体"/>
          <w:b/>
          <w:sz w:val="24"/>
        </w:rPr>
      </w:pPr>
      <w:r w:rsidRPr="00D554C2">
        <w:rPr>
          <w:rFonts w:ascii="宋体" w:eastAsia="宋体" w:hAnsi="宋体" w:cs="宋体" w:hint="eastAsia"/>
          <w:b/>
          <w:sz w:val="24"/>
        </w:rPr>
        <w:t>本章主要教学内容：</w:t>
      </w:r>
    </w:p>
    <w:p w14:paraId="39E5A2C6" w14:textId="77777777" w:rsidR="00D554C2" w:rsidRPr="00D554C2" w:rsidRDefault="00D554C2" w:rsidP="00D554C2">
      <w:pPr>
        <w:adjustRightInd w:val="0"/>
        <w:snapToGrid w:val="0"/>
        <w:spacing w:line="500" w:lineRule="exact"/>
        <w:ind w:left="2" w:firstLineChars="150" w:firstLine="360"/>
        <w:rPr>
          <w:rFonts w:ascii="宋体" w:eastAsia="宋体" w:hAnsi="宋体" w:cs="宋体"/>
          <w:color w:val="000000"/>
          <w:sz w:val="24"/>
        </w:rPr>
      </w:pPr>
      <w:r w:rsidRPr="00D554C2">
        <w:rPr>
          <w:rFonts w:ascii="Calibri" w:eastAsia="宋体" w:hAnsi="Calibri" w:cs="Times New Roman"/>
          <w:color w:val="000000"/>
          <w:sz w:val="24"/>
        </w:rPr>
        <w:t>3.1</w:t>
      </w:r>
      <w:r w:rsidRPr="00D554C2">
        <w:rPr>
          <w:rFonts w:ascii="宋体" w:eastAsia="宋体" w:hAnsi="宋体" w:cs="宋体" w:hint="eastAsia"/>
          <w:color w:val="000000"/>
          <w:sz w:val="24"/>
        </w:rPr>
        <w:t>柔韧拉伸练习：包括肩部、胸部、腰部、髋部、腿部等柔韧的训练。</w:t>
      </w:r>
    </w:p>
    <w:p w14:paraId="39A24F0F" w14:textId="77777777" w:rsidR="00D554C2" w:rsidRPr="00D554C2" w:rsidRDefault="00D554C2" w:rsidP="00D554C2">
      <w:pPr>
        <w:adjustRightInd w:val="0"/>
        <w:snapToGrid w:val="0"/>
        <w:spacing w:line="500" w:lineRule="exact"/>
        <w:ind w:left="2" w:firstLineChars="150" w:firstLine="360"/>
        <w:rPr>
          <w:rFonts w:ascii="宋体" w:eastAsia="宋体" w:hAnsi="宋体" w:cs="宋体"/>
          <w:color w:val="000000"/>
          <w:sz w:val="24"/>
        </w:rPr>
      </w:pPr>
      <w:r w:rsidRPr="00D554C2">
        <w:rPr>
          <w:rFonts w:ascii="Calibri" w:eastAsia="宋体" w:hAnsi="Calibri" w:cs="Times New Roman"/>
          <w:color w:val="000000"/>
          <w:sz w:val="24"/>
        </w:rPr>
        <w:t>3.2</w:t>
      </w:r>
      <w:r w:rsidRPr="00D554C2">
        <w:rPr>
          <w:rFonts w:ascii="宋体" w:eastAsia="宋体" w:hAnsi="宋体" w:cs="宋体" w:hint="eastAsia"/>
          <w:color w:val="000000"/>
          <w:sz w:val="24"/>
        </w:rPr>
        <w:t>力量练习：包括上肢、腰腹（如仰卧起坐、平板支撑练习）、腿部力量的训练以及弹跳力量的练习。</w:t>
      </w:r>
    </w:p>
    <w:p w14:paraId="22BFD714" w14:textId="77777777" w:rsidR="00D554C2" w:rsidRPr="00D554C2" w:rsidRDefault="00D554C2" w:rsidP="00D554C2">
      <w:pPr>
        <w:spacing w:line="500" w:lineRule="exact"/>
        <w:ind w:firstLineChars="200" w:firstLine="482"/>
        <w:rPr>
          <w:rFonts w:ascii="宋体" w:eastAsia="宋体" w:hAnsi="宋体" w:cs="宋体"/>
          <w:color w:val="000000"/>
          <w:sz w:val="24"/>
        </w:rPr>
      </w:pPr>
      <w:r w:rsidRPr="00D554C2">
        <w:rPr>
          <w:rFonts w:ascii="宋体" w:eastAsia="宋体" w:hAnsi="宋体" w:cs="宋体" w:hint="eastAsia"/>
          <w:b/>
          <w:color w:val="000000"/>
          <w:sz w:val="24"/>
        </w:rPr>
        <w:t>本章教学目的及要求：</w:t>
      </w:r>
      <w:r w:rsidRPr="00D554C2">
        <w:rPr>
          <w:rFonts w:ascii="宋体" w:eastAsia="宋体" w:hAnsi="宋体" w:cs="宋体" w:hint="eastAsia"/>
          <w:color w:val="000000"/>
          <w:sz w:val="24"/>
        </w:rPr>
        <w:t>培养正确体态、塑造美的形体，改善中枢神经系统及内脏器官的机能，预防运动损伤，达到健身、健心、提高运动能力，发展身体素质。</w:t>
      </w:r>
    </w:p>
    <w:p w14:paraId="34AAF1EF" w14:textId="77777777" w:rsidR="00D554C2" w:rsidRPr="00D554C2" w:rsidRDefault="00D554C2" w:rsidP="00D554C2">
      <w:pPr>
        <w:spacing w:line="500" w:lineRule="exact"/>
        <w:ind w:firstLineChars="200" w:firstLine="482"/>
        <w:rPr>
          <w:rFonts w:ascii="宋体" w:eastAsia="宋体" w:hAnsi="宋体" w:cs="宋体"/>
          <w:color w:val="000000"/>
          <w:sz w:val="24"/>
        </w:rPr>
      </w:pPr>
      <w:r w:rsidRPr="00D554C2">
        <w:rPr>
          <w:rFonts w:ascii="宋体" w:eastAsia="宋体" w:hAnsi="宋体" w:cs="宋体" w:hint="eastAsia"/>
          <w:b/>
          <w:sz w:val="24"/>
        </w:rPr>
        <w:t>本章教学重点及难点：</w:t>
      </w:r>
      <w:r w:rsidRPr="00D554C2">
        <w:rPr>
          <w:rFonts w:ascii="宋体" w:eastAsia="宋体" w:hAnsi="宋体" w:cs="宋体" w:hint="eastAsia"/>
          <w:color w:val="000000"/>
          <w:sz w:val="24"/>
        </w:rPr>
        <w:t>拉伸练习和姿态的控制，掌握发展身体素质的正确方法，培养吃苦耐劳的品质。</w:t>
      </w:r>
    </w:p>
    <w:p w14:paraId="1D10253C"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宋体"/>
          <w:b/>
          <w:sz w:val="28"/>
          <w:szCs w:val="28"/>
        </w:rPr>
      </w:pPr>
      <w:r w:rsidRPr="00D554C2">
        <w:rPr>
          <w:rFonts w:ascii="宋体" w:eastAsia="宋体" w:hAnsi="宋体" w:cs="宋体" w:hint="eastAsia"/>
          <w:b/>
          <w:sz w:val="28"/>
          <w:szCs w:val="28"/>
        </w:rPr>
        <w:t>第四章  健美操套路动作（10学时）</w:t>
      </w:r>
    </w:p>
    <w:p w14:paraId="0F71263F" w14:textId="77777777" w:rsidR="00D554C2" w:rsidRPr="00D554C2" w:rsidRDefault="00D554C2" w:rsidP="00D554C2">
      <w:pPr>
        <w:adjustRightInd w:val="0"/>
        <w:snapToGrid w:val="0"/>
        <w:spacing w:line="500" w:lineRule="exact"/>
        <w:ind w:firstLineChars="200" w:firstLine="482"/>
        <w:rPr>
          <w:rFonts w:ascii="宋体" w:eastAsia="宋体" w:hAnsi="宋体" w:cs="宋体"/>
          <w:b/>
          <w:sz w:val="24"/>
        </w:rPr>
      </w:pPr>
      <w:r w:rsidRPr="00D554C2">
        <w:rPr>
          <w:rFonts w:ascii="宋体" w:eastAsia="宋体" w:hAnsi="宋体" w:cs="宋体" w:hint="eastAsia"/>
          <w:b/>
          <w:sz w:val="24"/>
        </w:rPr>
        <w:t>本章主要教学内容：</w:t>
      </w:r>
    </w:p>
    <w:p w14:paraId="02D50240" w14:textId="77777777" w:rsidR="00D554C2" w:rsidRPr="00D554C2" w:rsidRDefault="00D554C2" w:rsidP="00D554C2">
      <w:pPr>
        <w:spacing w:line="500" w:lineRule="exact"/>
        <w:ind w:firstLineChars="200" w:firstLine="480"/>
        <w:rPr>
          <w:rFonts w:ascii="宋体" w:eastAsia="宋体" w:hAnsi="宋体" w:cs="宋体"/>
          <w:color w:val="000000"/>
          <w:sz w:val="24"/>
        </w:rPr>
      </w:pPr>
      <w:r w:rsidRPr="00D554C2">
        <w:rPr>
          <w:rFonts w:ascii="Calibri" w:eastAsia="宋体" w:hAnsi="Calibri" w:cs="Times New Roman"/>
          <w:color w:val="000000"/>
          <w:sz w:val="24"/>
        </w:rPr>
        <w:t>4.</w:t>
      </w:r>
      <w:r w:rsidRPr="00D554C2">
        <w:rPr>
          <w:rFonts w:ascii="Calibri" w:eastAsia="宋体" w:hAnsi="Calibri" w:cs="Times New Roman" w:hint="eastAsia"/>
          <w:color w:val="000000"/>
          <w:sz w:val="24"/>
        </w:rPr>
        <w:t>1</w:t>
      </w:r>
      <w:r w:rsidRPr="00D554C2">
        <w:rPr>
          <w:rFonts w:ascii="宋体" w:eastAsia="宋体" w:hAnsi="宋体" w:cs="宋体" w:hint="eastAsia"/>
          <w:color w:val="000000"/>
          <w:sz w:val="24"/>
        </w:rPr>
        <w:t>大众健美操成套动作1套，每个组合有4-5个最常见的健美操基本步伐组成，</w:t>
      </w:r>
      <w:r w:rsidRPr="00D554C2">
        <w:rPr>
          <w:rFonts w:ascii="宋体" w:eastAsia="宋体" w:hAnsi="宋体" w:cs="宋体" w:hint="eastAsia"/>
          <w:color w:val="000000"/>
          <w:sz w:val="24"/>
        </w:rPr>
        <w:lastRenderedPageBreak/>
        <w:t>并增加了90度—180度方向变化和简单的图形变化。每次</w:t>
      </w:r>
      <w:proofErr w:type="gramStart"/>
      <w:r w:rsidRPr="00D554C2">
        <w:rPr>
          <w:rFonts w:ascii="宋体" w:eastAsia="宋体" w:hAnsi="宋体" w:cs="宋体" w:hint="eastAsia"/>
          <w:color w:val="000000"/>
          <w:sz w:val="24"/>
        </w:rPr>
        <w:t>课完成</w:t>
      </w:r>
      <w:proofErr w:type="gramEnd"/>
      <w:r w:rsidRPr="00D554C2">
        <w:rPr>
          <w:rFonts w:ascii="宋体" w:eastAsia="宋体" w:hAnsi="宋体" w:cs="宋体" w:hint="eastAsia"/>
          <w:color w:val="000000"/>
          <w:sz w:val="24"/>
        </w:rPr>
        <w:t>一个组合动作，根据学生学习和掌握情况灵活调整和控制。每节课还增加形体训练，培养学生正确的身体姿态。</w:t>
      </w:r>
    </w:p>
    <w:p w14:paraId="40C4100A" w14:textId="77777777" w:rsidR="00D554C2" w:rsidRPr="00D554C2" w:rsidRDefault="00D554C2" w:rsidP="00D554C2">
      <w:pPr>
        <w:adjustRightInd w:val="0"/>
        <w:snapToGrid w:val="0"/>
        <w:spacing w:line="500" w:lineRule="exact"/>
        <w:ind w:firstLineChars="196" w:firstLine="472"/>
        <w:rPr>
          <w:rFonts w:ascii="宋体" w:eastAsia="宋体" w:hAnsi="宋体" w:cs="宋体"/>
          <w:color w:val="000000"/>
          <w:sz w:val="24"/>
        </w:rPr>
      </w:pPr>
      <w:r w:rsidRPr="00D554C2">
        <w:rPr>
          <w:rFonts w:ascii="宋体" w:eastAsia="宋体" w:hAnsi="宋体" w:cs="宋体" w:hint="eastAsia"/>
          <w:b/>
          <w:sz w:val="24"/>
        </w:rPr>
        <w:t>本章教学目的及要求：</w:t>
      </w:r>
      <w:r w:rsidRPr="00D554C2">
        <w:rPr>
          <w:rFonts w:ascii="宋体" w:eastAsia="宋体" w:hAnsi="宋体" w:cs="宋体" w:hint="eastAsia"/>
          <w:color w:val="000000"/>
          <w:sz w:val="24"/>
        </w:rPr>
        <w:t>通过套路教学使学生体会不同风格的健美操，提高学生自身的协调性和灵敏性健美操的练习方法，达到增进健康、改善形体、提高韵律及身体协调性的目的，在音乐的伴奏下能熟练掌握三套不同风格的健美操动作。</w:t>
      </w:r>
    </w:p>
    <w:p w14:paraId="3CA831B8" w14:textId="77777777" w:rsidR="00D554C2" w:rsidRPr="00D554C2" w:rsidRDefault="00D554C2" w:rsidP="00D554C2">
      <w:pPr>
        <w:adjustRightInd w:val="0"/>
        <w:snapToGrid w:val="0"/>
        <w:spacing w:line="500" w:lineRule="exact"/>
        <w:ind w:firstLineChars="196" w:firstLine="472"/>
        <w:rPr>
          <w:rFonts w:ascii="宋体" w:eastAsia="宋体" w:hAnsi="宋体" w:cs="宋体"/>
          <w:color w:val="000000"/>
          <w:sz w:val="24"/>
        </w:rPr>
      </w:pPr>
      <w:r w:rsidRPr="00D554C2">
        <w:rPr>
          <w:rFonts w:ascii="宋体" w:eastAsia="宋体" w:hAnsi="宋体" w:cs="宋体" w:hint="eastAsia"/>
          <w:b/>
          <w:sz w:val="24"/>
        </w:rPr>
        <w:t>本章教学重点及难点：熟练</w:t>
      </w:r>
      <w:r w:rsidRPr="00D554C2">
        <w:rPr>
          <w:rFonts w:ascii="宋体" w:eastAsia="宋体" w:hAnsi="宋体" w:cs="宋体" w:hint="eastAsia"/>
          <w:color w:val="000000"/>
          <w:sz w:val="24"/>
        </w:rPr>
        <w:t>掌握动作套路；姿态的控制与动作力度的掌握，表现力的训练。</w:t>
      </w:r>
    </w:p>
    <w:p w14:paraId="1B882169"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宋体"/>
          <w:b/>
          <w:sz w:val="28"/>
          <w:szCs w:val="28"/>
        </w:rPr>
      </w:pPr>
      <w:r w:rsidRPr="00D554C2">
        <w:rPr>
          <w:rFonts w:ascii="宋体" w:eastAsia="宋体" w:hAnsi="宋体" w:cs="宋体" w:hint="eastAsia"/>
          <w:b/>
          <w:sz w:val="28"/>
          <w:szCs w:val="28"/>
        </w:rPr>
        <w:t>第五章  健美操拓展练习（4学时）</w:t>
      </w:r>
    </w:p>
    <w:p w14:paraId="50766A26" w14:textId="77777777" w:rsidR="00D554C2" w:rsidRPr="00D554C2" w:rsidRDefault="00D554C2" w:rsidP="00D554C2">
      <w:pPr>
        <w:adjustRightInd w:val="0"/>
        <w:snapToGrid w:val="0"/>
        <w:spacing w:line="500" w:lineRule="exact"/>
        <w:ind w:firstLineChars="200" w:firstLine="482"/>
        <w:rPr>
          <w:rFonts w:ascii="宋体" w:eastAsia="宋体" w:hAnsi="宋体" w:cs="宋体"/>
          <w:b/>
          <w:sz w:val="24"/>
        </w:rPr>
      </w:pPr>
      <w:r w:rsidRPr="00D554C2">
        <w:rPr>
          <w:rFonts w:ascii="宋体" w:eastAsia="宋体" w:hAnsi="宋体" w:cs="宋体" w:hint="eastAsia"/>
          <w:b/>
          <w:sz w:val="24"/>
        </w:rPr>
        <w:t>本章主要教学内容：</w:t>
      </w:r>
    </w:p>
    <w:p w14:paraId="69D305B3" w14:textId="77777777" w:rsidR="00D554C2" w:rsidRPr="00D554C2" w:rsidRDefault="00D554C2" w:rsidP="00D554C2">
      <w:pPr>
        <w:spacing w:line="500" w:lineRule="exact"/>
        <w:ind w:firstLineChars="200" w:firstLine="480"/>
        <w:rPr>
          <w:rFonts w:ascii="宋体" w:eastAsia="宋体" w:hAnsi="宋体" w:cs="宋体"/>
          <w:b/>
          <w:color w:val="000000"/>
          <w:sz w:val="24"/>
        </w:rPr>
      </w:pPr>
      <w:r w:rsidRPr="00D554C2">
        <w:rPr>
          <w:rFonts w:ascii="宋体" w:eastAsia="宋体" w:hAnsi="宋体" w:cs="宋体" w:hint="eastAsia"/>
          <w:color w:val="000000"/>
          <w:sz w:val="24"/>
        </w:rPr>
        <w:t>设计并实施健美操套路表演队形变化方案，</w:t>
      </w:r>
      <w:r w:rsidRPr="00D554C2">
        <w:rPr>
          <w:rFonts w:ascii="宋体" w:eastAsia="宋体" w:hAnsi="宋体" w:cs="宋体" w:hint="eastAsia"/>
          <w:bCs/>
          <w:color w:val="000000"/>
          <w:sz w:val="24"/>
        </w:rPr>
        <w:t>通过自编健美操的实践和训练，发展学生开拓创新能力，能参与各种文体活动的演出，</w:t>
      </w:r>
      <w:r w:rsidRPr="00D554C2">
        <w:rPr>
          <w:rFonts w:ascii="宋体" w:eastAsia="宋体" w:hAnsi="宋体" w:cs="宋体" w:hint="eastAsia"/>
          <w:color w:val="000000"/>
          <w:sz w:val="24"/>
        </w:rPr>
        <w:t>理论与实践相结合。</w:t>
      </w:r>
    </w:p>
    <w:p w14:paraId="5F8E9252" w14:textId="77777777" w:rsidR="00D554C2" w:rsidRPr="00D554C2" w:rsidRDefault="00D554C2" w:rsidP="00D554C2">
      <w:pPr>
        <w:adjustRightInd w:val="0"/>
        <w:snapToGrid w:val="0"/>
        <w:spacing w:line="500" w:lineRule="exact"/>
        <w:ind w:firstLineChars="196" w:firstLine="472"/>
        <w:rPr>
          <w:rFonts w:ascii="宋体" w:eastAsia="宋体" w:hAnsi="宋体" w:cs="宋体"/>
          <w:color w:val="000000"/>
          <w:sz w:val="24"/>
        </w:rPr>
      </w:pPr>
      <w:r w:rsidRPr="00D554C2">
        <w:rPr>
          <w:rFonts w:ascii="宋体" w:eastAsia="宋体" w:hAnsi="宋体" w:cs="宋体" w:hint="eastAsia"/>
          <w:b/>
          <w:sz w:val="24"/>
        </w:rPr>
        <w:t>本章教学目的及要求：</w:t>
      </w:r>
      <w:r w:rsidRPr="00D554C2">
        <w:rPr>
          <w:rFonts w:ascii="宋体" w:eastAsia="宋体" w:hAnsi="宋体" w:cs="宋体" w:hint="eastAsia"/>
          <w:color w:val="000000"/>
          <w:sz w:val="24"/>
        </w:rPr>
        <w:t>培养学生的创新能力和协作能力，发挥学生的想象力，通过学习能简单的完成动作的编排和队形变化。培养学生团队协作精神，树立终身体育意识，锻炼学生沟通交流、自我学习的能力。</w:t>
      </w:r>
    </w:p>
    <w:p w14:paraId="7B903C03" w14:textId="77777777" w:rsidR="00D554C2" w:rsidRPr="00D554C2" w:rsidRDefault="00D554C2" w:rsidP="00D554C2">
      <w:pPr>
        <w:spacing w:line="500" w:lineRule="exact"/>
        <w:ind w:firstLineChars="196" w:firstLine="472"/>
        <w:rPr>
          <w:rFonts w:ascii="宋体" w:eastAsia="宋体" w:hAnsi="宋体" w:cs="宋体"/>
          <w:color w:val="000000"/>
          <w:sz w:val="24"/>
        </w:rPr>
      </w:pPr>
      <w:r w:rsidRPr="00D554C2">
        <w:rPr>
          <w:rFonts w:ascii="宋体" w:eastAsia="宋体" w:hAnsi="宋体" w:cs="宋体" w:hint="eastAsia"/>
          <w:b/>
          <w:sz w:val="24"/>
        </w:rPr>
        <w:t>本章教学重点及难点：</w:t>
      </w:r>
      <w:r w:rsidRPr="00D554C2">
        <w:rPr>
          <w:rFonts w:ascii="宋体" w:eastAsia="宋体" w:hAnsi="宋体" w:cs="宋体" w:hint="eastAsia"/>
          <w:color w:val="000000"/>
          <w:sz w:val="24"/>
        </w:rPr>
        <w:t>编排方法及原则；创编实践能力。</w:t>
      </w:r>
    </w:p>
    <w:p w14:paraId="675B3254" w14:textId="77777777" w:rsidR="00D554C2" w:rsidRPr="00D554C2" w:rsidRDefault="00D554C2" w:rsidP="00D554C2">
      <w:pPr>
        <w:adjustRightInd w:val="0"/>
        <w:snapToGrid w:val="0"/>
        <w:spacing w:beforeLines="50" w:before="156" w:afterLines="50" w:after="156" w:line="500" w:lineRule="exact"/>
        <w:jc w:val="center"/>
        <w:rPr>
          <w:rFonts w:ascii="Arial" w:eastAsia="宋体" w:hAnsi="Arial" w:cs="Arial"/>
          <w:b/>
          <w:sz w:val="28"/>
          <w:szCs w:val="28"/>
        </w:rPr>
      </w:pPr>
      <w:r w:rsidRPr="00D554C2">
        <w:rPr>
          <w:rFonts w:ascii="Calibri" w:eastAsia="宋体" w:hAnsi="Calibri" w:cs="Times New Roman" w:hint="eastAsia"/>
          <w:b/>
          <w:sz w:val="28"/>
          <w:szCs w:val="28"/>
        </w:rPr>
        <w:t>第六章</w:t>
      </w:r>
      <w:r w:rsidRPr="00D554C2">
        <w:rPr>
          <w:rFonts w:ascii="Calibri" w:eastAsia="宋体" w:hAnsi="Calibri" w:cs="Times New Roman" w:hint="eastAsia"/>
          <w:b/>
          <w:sz w:val="28"/>
          <w:szCs w:val="28"/>
        </w:rPr>
        <w:t xml:space="preserve">  </w:t>
      </w:r>
      <w:r w:rsidRPr="00D554C2">
        <w:rPr>
          <w:rFonts w:ascii="Arial" w:eastAsia="宋体" w:hAnsi="Calibri" w:cs="Arial" w:hint="eastAsia"/>
          <w:b/>
          <w:sz w:val="28"/>
          <w:szCs w:val="28"/>
        </w:rPr>
        <w:t>体质健康测评</w:t>
      </w:r>
      <w:r w:rsidRPr="00D554C2">
        <w:rPr>
          <w:rFonts w:ascii="宋体" w:eastAsia="宋体" w:hAnsi="宋体" w:cs="宋体" w:hint="eastAsia"/>
          <w:b/>
          <w:sz w:val="28"/>
          <w:szCs w:val="28"/>
        </w:rPr>
        <w:t>（4学时）</w:t>
      </w:r>
    </w:p>
    <w:p w14:paraId="30A6A871" w14:textId="77777777" w:rsidR="00D554C2" w:rsidRPr="00D554C2" w:rsidRDefault="00D554C2" w:rsidP="00D554C2">
      <w:pPr>
        <w:spacing w:line="500" w:lineRule="exact"/>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0498CE6C"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6.1 《国家学生体质健康标准》实施说明</w:t>
      </w:r>
    </w:p>
    <w:p w14:paraId="7533B0C4"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6.2 《国家学生体质健康标准》测试评分表</w:t>
      </w:r>
    </w:p>
    <w:p w14:paraId="5B113D7F" w14:textId="77777777" w:rsidR="00D554C2" w:rsidRPr="00D554C2" w:rsidRDefault="00D554C2" w:rsidP="00D554C2">
      <w:pPr>
        <w:spacing w:line="500" w:lineRule="exact"/>
        <w:ind w:firstLineChars="196" w:firstLine="472"/>
        <w:rPr>
          <w:rFonts w:ascii="Calibri" w:eastAsia="宋体" w:hAnsi="Calibri" w:cs="Times New Roman"/>
          <w:bCs/>
          <w:sz w:val="24"/>
        </w:rPr>
      </w:pPr>
      <w:r w:rsidRPr="00D554C2">
        <w:rPr>
          <w:rFonts w:ascii="Arial" w:eastAsia="宋体" w:hAnsi="Calibri" w:cs="Arial" w:hint="eastAsia"/>
          <w:b/>
          <w:sz w:val="24"/>
        </w:rPr>
        <w:t>本章教学目的及要求：</w:t>
      </w:r>
      <w:r w:rsidRPr="00D554C2">
        <w:rPr>
          <w:rFonts w:ascii="Calibri" w:eastAsia="宋体" w:hAnsi="Calibri" w:cs="Times New Roman" w:hint="eastAsia"/>
          <w:bCs/>
          <w:sz w:val="24"/>
        </w:rPr>
        <w:t>使学生了解体质健康的主要内容及要求。</w:t>
      </w:r>
    </w:p>
    <w:p w14:paraId="3F71195D" w14:textId="77777777" w:rsidR="00D554C2" w:rsidRPr="00D554C2" w:rsidRDefault="00D554C2" w:rsidP="00D554C2">
      <w:pPr>
        <w:spacing w:line="500" w:lineRule="exact"/>
        <w:ind w:firstLineChars="196" w:firstLine="472"/>
        <w:rPr>
          <w:rFonts w:ascii="宋体" w:eastAsia="宋体" w:hAnsi="宋体" w:cs="宋体"/>
          <w:color w:val="000000"/>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学生体质健康标准的重要性；如何激发学生锻炼身体的积极性和自觉性。</w:t>
      </w:r>
    </w:p>
    <w:p w14:paraId="70E6D1A9" w14:textId="77777777" w:rsidR="00D554C2" w:rsidRPr="00D554C2" w:rsidRDefault="00D554C2" w:rsidP="00D554C2">
      <w:pPr>
        <w:spacing w:beforeLines="50" w:before="156" w:afterLines="50" w:after="156" w:line="440" w:lineRule="exact"/>
        <w:ind w:firstLineChars="1200" w:firstLine="3360"/>
        <w:rPr>
          <w:rFonts w:ascii="黑体" w:eastAsia="黑体" w:hAnsi="黑体" w:cs="Times New Roman"/>
          <w:sz w:val="28"/>
          <w:szCs w:val="28"/>
        </w:rPr>
      </w:pPr>
      <w:r w:rsidRPr="00D554C2">
        <w:rPr>
          <w:rFonts w:ascii="黑体" w:eastAsia="黑体" w:hAnsi="黑体" w:cs="Times New Roman" w:hint="eastAsia"/>
          <w:sz w:val="28"/>
          <w:szCs w:val="28"/>
        </w:rPr>
        <w:t>学习内容四  健美操 3</w:t>
      </w:r>
    </w:p>
    <w:p w14:paraId="6206282B" w14:textId="77777777" w:rsidR="00D554C2" w:rsidRPr="00D554C2" w:rsidRDefault="00D554C2" w:rsidP="00D554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【学习目标】</w:t>
      </w:r>
    </w:p>
    <w:p w14:paraId="213FE97E"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lastRenderedPageBreak/>
        <w:t>1.</w:t>
      </w:r>
      <w:r w:rsidRPr="00D554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D554C2">
        <w:rPr>
          <w:rFonts w:ascii="宋体" w:eastAsia="宋体" w:hAnsi="Calibri" w:cs="宋体" w:hint="eastAsia"/>
          <w:spacing w:val="5"/>
          <w:kern w:val="0"/>
          <w:sz w:val="24"/>
        </w:rPr>
        <w:t>通过体能教学活动，</w:t>
      </w:r>
      <w:r w:rsidRPr="00D554C2">
        <w:rPr>
          <w:rFonts w:ascii="宋体" w:eastAsia="宋体" w:hAnsi="宋体" w:cs="仿宋_GB2312" w:hint="eastAsia"/>
          <w:sz w:val="24"/>
        </w:rPr>
        <w:t>了解《大学生体质健康标准测验》项目内容、考核方式、评价标准，掌握考核内容锻炼的方式方法。</w:t>
      </w:r>
      <w:r w:rsidRPr="00D554C2">
        <w:rPr>
          <w:rFonts w:ascii="宋体" w:eastAsia="宋体" w:hAnsi="Calibri" w:cs="宋体" w:hint="eastAsia"/>
          <w:spacing w:val="5"/>
          <w:kern w:val="0"/>
          <w:sz w:val="24"/>
        </w:rPr>
        <w:t>培养学生努力学习、不断进取、修身立业、顽强奋进的精神与品质。</w:t>
      </w:r>
    </w:p>
    <w:p w14:paraId="2BED4185"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2.</w:t>
      </w:r>
      <w:r w:rsidRPr="00D554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D554C2">
        <w:rPr>
          <w:rFonts w:ascii="宋体" w:eastAsia="宋体" w:hAnsi="Calibri" w:cs="宋体" w:hint="eastAsia"/>
          <w:spacing w:val="5"/>
          <w:kern w:val="0"/>
          <w:sz w:val="24"/>
        </w:rPr>
        <w:t>。</w:t>
      </w:r>
    </w:p>
    <w:p w14:paraId="47F74E61"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w:t>
      </w:r>
      <w:r w:rsidRPr="00D554C2">
        <w:rPr>
          <w:rFonts w:ascii="宋体" w:eastAsia="宋体" w:hAnsi="Calibri" w:cs="宋体" w:hint="eastAsia"/>
          <w:color w:val="000000"/>
          <w:spacing w:val="7"/>
          <w:sz w:val="24"/>
        </w:rPr>
        <w:t>通过健美操教学活动使学生获得健美操运动的基本理论、基本知识和基本技能，</w:t>
      </w:r>
      <w:r w:rsidRPr="00D554C2">
        <w:rPr>
          <w:rFonts w:ascii="宋体" w:eastAsia="宋体" w:hAnsi="宋体" w:cs="宋体" w:hint="eastAsia"/>
          <w:color w:val="000000"/>
          <w:sz w:val="24"/>
        </w:rPr>
        <w:t>培养学生良好的节奏感、韵律感、美感和表现力，</w:t>
      </w:r>
      <w:r w:rsidRPr="00D554C2">
        <w:rPr>
          <w:rFonts w:ascii="宋体" w:eastAsia="宋体" w:hAnsi="Calibri" w:cs="宋体" w:hint="eastAsia"/>
          <w:color w:val="000000"/>
          <w:spacing w:val="7"/>
          <w:sz w:val="24"/>
        </w:rPr>
        <w:t>增进健康，</w:t>
      </w:r>
      <w:r w:rsidRPr="00D554C2">
        <w:rPr>
          <w:rFonts w:ascii="宋体" w:eastAsia="宋体" w:hAnsi="宋体" w:cs="宋体" w:hint="eastAsia"/>
          <w:color w:val="000000"/>
          <w:sz w:val="24"/>
        </w:rPr>
        <w:t>提高体育素养，使学生掌握自我锻炼的方法并养成自觉锻炼的习惯，为终身体育锻炼打下良好的基础。</w:t>
      </w:r>
      <w:r w:rsidRPr="00D554C2">
        <w:rPr>
          <w:rFonts w:ascii="宋体" w:eastAsia="宋体" w:hAnsi="宋体" w:cs="仿宋_GB2312" w:hint="eastAsia"/>
          <w:sz w:val="24"/>
        </w:rPr>
        <w:t>在提高人的生物潜能、心理潜能的过程中促进德、智、体、美全面发展，达到身心健康、全面发展的教育总目的</w:t>
      </w:r>
      <w:r w:rsidRPr="00D554C2">
        <w:rPr>
          <w:rFonts w:ascii="宋体" w:eastAsia="宋体" w:hAnsi="Calibri" w:cs="宋体" w:hint="eastAsia"/>
          <w:spacing w:val="5"/>
          <w:kern w:val="0"/>
          <w:sz w:val="24"/>
        </w:rPr>
        <w:t>。</w:t>
      </w:r>
    </w:p>
    <w:p w14:paraId="7586A884" w14:textId="77777777" w:rsidR="00D554C2" w:rsidRPr="00D554C2" w:rsidRDefault="00D554C2" w:rsidP="00D554C2">
      <w:pPr>
        <w:spacing w:line="500" w:lineRule="exact"/>
        <w:ind w:firstLineChars="200" w:firstLine="500"/>
        <w:rPr>
          <w:rFonts w:ascii="宋体" w:eastAsia="宋体" w:hAnsi="宋体" w:cs="Times New Roman"/>
          <w:b/>
          <w:sz w:val="24"/>
        </w:rPr>
      </w:pPr>
      <w:r w:rsidRPr="00D554C2">
        <w:rPr>
          <w:rFonts w:ascii="宋体" w:eastAsia="宋体" w:hAnsi="Calibri" w:cs="宋体" w:hint="eastAsia"/>
          <w:spacing w:val="5"/>
          <w:kern w:val="0"/>
          <w:sz w:val="24"/>
        </w:rPr>
        <w:t>4.</w:t>
      </w:r>
      <w:r w:rsidRPr="00D554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D554C2">
        <w:rPr>
          <w:rFonts w:ascii="宋体" w:eastAsia="宋体" w:hAnsi="Calibri" w:cs="宋体" w:hint="eastAsia"/>
          <w:spacing w:val="5"/>
          <w:kern w:val="0"/>
          <w:sz w:val="24"/>
        </w:rPr>
        <w:t>。</w:t>
      </w:r>
    </w:p>
    <w:p w14:paraId="49FBC285" w14:textId="77777777" w:rsidR="00D554C2" w:rsidRPr="00D554C2" w:rsidRDefault="00D554C2" w:rsidP="00D554C2">
      <w:pPr>
        <w:spacing w:line="44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【学习内容】</w:t>
      </w:r>
    </w:p>
    <w:p w14:paraId="5A6237D0"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宋体"/>
          <w:b/>
          <w:color w:val="000000"/>
          <w:sz w:val="28"/>
          <w:szCs w:val="28"/>
        </w:rPr>
      </w:pPr>
      <w:r w:rsidRPr="00D554C2">
        <w:rPr>
          <w:rFonts w:ascii="宋体" w:eastAsia="宋体" w:hAnsi="宋体" w:cs="宋体" w:hint="eastAsia"/>
          <w:b/>
          <w:sz w:val="28"/>
          <w:szCs w:val="28"/>
        </w:rPr>
        <w:t xml:space="preserve">第一章  </w:t>
      </w:r>
      <w:r w:rsidRPr="00D554C2">
        <w:rPr>
          <w:rFonts w:ascii="宋体" w:eastAsia="宋体" w:hAnsi="宋体" w:cs="宋体" w:hint="eastAsia"/>
          <w:b/>
          <w:color w:val="000000"/>
          <w:sz w:val="28"/>
          <w:szCs w:val="28"/>
        </w:rPr>
        <w:t>理论部分（2学时）</w:t>
      </w:r>
    </w:p>
    <w:p w14:paraId="05041C0E"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b/>
          <w:sz w:val="24"/>
        </w:rPr>
        <w:t>本章主要教学内容：</w:t>
      </w:r>
    </w:p>
    <w:p w14:paraId="09B4F15F"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color w:val="000000"/>
          <w:sz w:val="24"/>
        </w:rPr>
      </w:pPr>
      <w:r w:rsidRPr="00D554C2">
        <w:rPr>
          <w:rFonts w:ascii="Calibri" w:eastAsia="宋体" w:hAnsi="Calibri" w:cs="Times New Roman" w:hint="eastAsia"/>
          <w:color w:val="000000"/>
          <w:sz w:val="24"/>
        </w:rPr>
        <w:t>1.1</w:t>
      </w:r>
      <w:r w:rsidRPr="00D554C2">
        <w:rPr>
          <w:rFonts w:ascii="Calibri" w:eastAsia="宋体" w:hAnsi="Calibri" w:cs="Times New Roman" w:hint="eastAsia"/>
          <w:color w:val="000000"/>
          <w:sz w:val="24"/>
        </w:rPr>
        <w:t>健美操的发展概况</w:t>
      </w:r>
    </w:p>
    <w:p w14:paraId="7D9C8A65" w14:textId="77777777" w:rsidR="00D554C2" w:rsidRPr="00D554C2" w:rsidRDefault="00D554C2" w:rsidP="00D554C2">
      <w:pPr>
        <w:adjustRightInd w:val="0"/>
        <w:snapToGrid w:val="0"/>
        <w:spacing w:line="500" w:lineRule="exact"/>
        <w:ind w:firstLineChars="200" w:firstLine="480"/>
        <w:rPr>
          <w:rFonts w:ascii="Arial" w:eastAsia="宋体" w:hAnsi="Arial" w:cs="Arial"/>
          <w:color w:val="000000"/>
          <w:sz w:val="24"/>
        </w:rPr>
      </w:pPr>
      <w:r w:rsidRPr="00D554C2">
        <w:rPr>
          <w:rFonts w:ascii="Calibri" w:eastAsia="宋体" w:hAnsi="Calibri" w:cs="Times New Roman" w:hint="eastAsia"/>
          <w:color w:val="000000"/>
          <w:sz w:val="24"/>
        </w:rPr>
        <w:t>1.2</w:t>
      </w:r>
      <w:r w:rsidRPr="00D554C2">
        <w:rPr>
          <w:rFonts w:ascii="Arial" w:eastAsia="宋体" w:hAnsi="Calibri" w:cs="Arial" w:hint="eastAsia"/>
          <w:color w:val="000000"/>
          <w:sz w:val="24"/>
        </w:rPr>
        <w:t>健美操运动的概念、特点和分类</w:t>
      </w:r>
    </w:p>
    <w:p w14:paraId="7976506E" w14:textId="77777777" w:rsidR="00D554C2" w:rsidRPr="00D554C2" w:rsidRDefault="00D554C2" w:rsidP="00D554C2">
      <w:pPr>
        <w:adjustRightInd w:val="0"/>
        <w:snapToGrid w:val="0"/>
        <w:spacing w:line="500" w:lineRule="exact"/>
        <w:ind w:firstLineChars="200" w:firstLine="480"/>
        <w:rPr>
          <w:rFonts w:ascii="Arial" w:eastAsia="宋体" w:hAnsi="Calibri" w:cs="Arial"/>
          <w:color w:val="000000"/>
          <w:sz w:val="24"/>
        </w:rPr>
      </w:pPr>
      <w:r w:rsidRPr="00D554C2">
        <w:rPr>
          <w:rFonts w:ascii="Calibri" w:eastAsia="宋体" w:hAnsi="Calibri" w:cs="Times New Roman" w:hint="eastAsia"/>
          <w:color w:val="000000"/>
          <w:sz w:val="24"/>
        </w:rPr>
        <w:t>1.3</w:t>
      </w:r>
      <w:r w:rsidRPr="00D554C2">
        <w:rPr>
          <w:rFonts w:ascii="Arial" w:eastAsia="宋体" w:hAnsi="Arial" w:cs="Arial" w:hint="eastAsia"/>
          <w:color w:val="000000"/>
          <w:sz w:val="24"/>
        </w:rPr>
        <w:t>节奏与</w:t>
      </w:r>
      <w:r w:rsidRPr="00D554C2">
        <w:rPr>
          <w:rFonts w:ascii="Arial" w:eastAsia="宋体" w:hAnsi="Calibri" w:cs="Arial" w:hint="eastAsia"/>
          <w:color w:val="000000"/>
          <w:sz w:val="24"/>
        </w:rPr>
        <w:t>健美操基本动作：介绍基本步伐及身体各部位基本动作，结合录像资</w:t>
      </w:r>
      <w:r w:rsidRPr="00D554C2">
        <w:rPr>
          <w:rFonts w:ascii="Arial" w:eastAsia="宋体" w:hAnsi="Calibri" w:cs="Arial" w:hint="eastAsia"/>
          <w:color w:val="000000"/>
          <w:sz w:val="24"/>
        </w:rPr>
        <w:lastRenderedPageBreak/>
        <w:t>料观摩。</w:t>
      </w:r>
    </w:p>
    <w:p w14:paraId="4AF88306"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color w:val="000000"/>
          <w:sz w:val="24"/>
        </w:rPr>
      </w:pPr>
      <w:r w:rsidRPr="00D554C2">
        <w:rPr>
          <w:rFonts w:ascii="Calibri" w:eastAsia="宋体" w:hAnsi="Calibri" w:cs="Times New Roman" w:hint="eastAsia"/>
          <w:b/>
          <w:sz w:val="24"/>
        </w:rPr>
        <w:t>本章教学目的及要求：</w:t>
      </w:r>
      <w:r w:rsidRPr="00D554C2">
        <w:rPr>
          <w:rFonts w:ascii="Calibri" w:eastAsia="宋体" w:hAnsi="Calibri" w:cs="Times New Roman" w:hint="eastAsia"/>
          <w:color w:val="000000"/>
          <w:sz w:val="24"/>
        </w:rPr>
        <w:t>让学生了解健美操运动分类、特点及发展动态和趋势，培养学生在这项运动上的兴趣，会欣赏健美操比赛。</w:t>
      </w:r>
    </w:p>
    <w:p w14:paraId="3AC748C8"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color w:val="000000"/>
          <w:sz w:val="24"/>
        </w:rPr>
      </w:pPr>
      <w:r w:rsidRPr="00D554C2">
        <w:rPr>
          <w:rFonts w:ascii="Calibri" w:eastAsia="宋体" w:hAnsi="Calibri" w:cs="Times New Roman"/>
          <w:b/>
          <w:sz w:val="24"/>
        </w:rPr>
        <w:t>本章教学重点及难点：</w:t>
      </w:r>
      <w:r w:rsidRPr="00D554C2">
        <w:rPr>
          <w:rFonts w:ascii="Calibri" w:eastAsia="宋体" w:hAnsi="Calibri" w:cs="Times New Roman" w:hint="eastAsia"/>
          <w:color w:val="000000"/>
          <w:sz w:val="24"/>
        </w:rPr>
        <w:t>掌握创编原则及方法；理论知识的应用。</w:t>
      </w:r>
    </w:p>
    <w:p w14:paraId="0A400510"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第二章</w:t>
      </w:r>
      <w:r w:rsidRPr="00D554C2">
        <w:rPr>
          <w:rFonts w:ascii="宋体" w:eastAsia="宋体" w:hAnsi="宋体" w:cs="Times New Roman"/>
          <w:b/>
          <w:sz w:val="28"/>
          <w:szCs w:val="28"/>
        </w:rPr>
        <w:t xml:space="preserve">  </w:t>
      </w:r>
      <w:r w:rsidRPr="00D554C2">
        <w:rPr>
          <w:rFonts w:ascii="宋体" w:eastAsia="宋体" w:hAnsi="宋体" w:cs="Times New Roman" w:hint="eastAsia"/>
          <w:b/>
          <w:sz w:val="28"/>
          <w:szCs w:val="28"/>
        </w:rPr>
        <w:t>健美操基本素质练习（6学时）</w:t>
      </w:r>
    </w:p>
    <w:p w14:paraId="550EF993" w14:textId="77777777" w:rsidR="00D554C2" w:rsidRPr="00D554C2" w:rsidRDefault="00D554C2" w:rsidP="00D554C2">
      <w:pPr>
        <w:adjustRightInd w:val="0"/>
        <w:snapToGrid w:val="0"/>
        <w:spacing w:line="500" w:lineRule="exact"/>
        <w:ind w:firstLineChars="150" w:firstLine="361"/>
        <w:rPr>
          <w:rFonts w:ascii="宋体" w:eastAsia="宋体" w:hAnsi="宋体" w:cs="宋体"/>
          <w:b/>
          <w:sz w:val="24"/>
        </w:rPr>
      </w:pPr>
      <w:r w:rsidRPr="00D554C2">
        <w:rPr>
          <w:rFonts w:ascii="宋体" w:eastAsia="宋体" w:hAnsi="宋体" w:cs="宋体" w:hint="eastAsia"/>
          <w:b/>
          <w:sz w:val="24"/>
        </w:rPr>
        <w:t>本章主要教学内容：</w:t>
      </w:r>
    </w:p>
    <w:p w14:paraId="3A89502C" w14:textId="77777777" w:rsidR="00D554C2" w:rsidRPr="00D554C2" w:rsidRDefault="00D554C2" w:rsidP="00D554C2">
      <w:pPr>
        <w:adjustRightInd w:val="0"/>
        <w:snapToGrid w:val="0"/>
        <w:spacing w:line="500" w:lineRule="exact"/>
        <w:ind w:left="2" w:firstLineChars="150" w:firstLine="360"/>
        <w:rPr>
          <w:rFonts w:ascii="宋体" w:eastAsia="宋体" w:hAnsi="宋体" w:cs="宋体"/>
          <w:color w:val="000000"/>
          <w:sz w:val="24"/>
        </w:rPr>
      </w:pPr>
      <w:r w:rsidRPr="00D554C2">
        <w:rPr>
          <w:rFonts w:ascii="Calibri" w:eastAsia="宋体" w:hAnsi="Calibri" w:cs="Times New Roman" w:hint="eastAsia"/>
          <w:color w:val="000000"/>
          <w:sz w:val="24"/>
        </w:rPr>
        <w:t>2.1</w:t>
      </w:r>
      <w:r w:rsidRPr="00D554C2">
        <w:rPr>
          <w:rFonts w:ascii="宋体" w:eastAsia="宋体" w:hAnsi="宋体" w:cs="宋体" w:hint="eastAsia"/>
          <w:color w:val="000000"/>
          <w:sz w:val="24"/>
        </w:rPr>
        <w:t>柔韧拉伸练习：包括肩部、胸部、腰部、髋部、腿部等柔韧的训练。</w:t>
      </w:r>
    </w:p>
    <w:p w14:paraId="40D584AC" w14:textId="77777777" w:rsidR="00D554C2" w:rsidRPr="00D554C2" w:rsidRDefault="00D554C2" w:rsidP="00D554C2">
      <w:pPr>
        <w:adjustRightInd w:val="0"/>
        <w:snapToGrid w:val="0"/>
        <w:spacing w:line="500" w:lineRule="exact"/>
        <w:ind w:left="2" w:firstLineChars="150" w:firstLine="360"/>
        <w:rPr>
          <w:rFonts w:ascii="宋体" w:eastAsia="宋体" w:hAnsi="宋体" w:cs="宋体"/>
          <w:color w:val="000000"/>
          <w:sz w:val="24"/>
        </w:rPr>
      </w:pPr>
      <w:r w:rsidRPr="00D554C2">
        <w:rPr>
          <w:rFonts w:ascii="Calibri" w:eastAsia="宋体" w:hAnsi="Calibri" w:cs="Times New Roman" w:hint="eastAsia"/>
          <w:color w:val="000000"/>
          <w:sz w:val="24"/>
        </w:rPr>
        <w:t>2.2</w:t>
      </w:r>
      <w:r w:rsidRPr="00D554C2">
        <w:rPr>
          <w:rFonts w:ascii="宋体" w:eastAsia="宋体" w:hAnsi="宋体" w:cs="宋体" w:hint="eastAsia"/>
          <w:color w:val="000000"/>
          <w:sz w:val="24"/>
        </w:rPr>
        <w:t>力量练习：包括上肢、腰腹（如仰卧起坐、平板支撑练习）、腿部力量的训练以及弹跳力量的练习（如踝关节——跳绳练习）。</w:t>
      </w:r>
    </w:p>
    <w:p w14:paraId="5A4F8869" w14:textId="77777777" w:rsidR="00D554C2" w:rsidRPr="00D554C2" w:rsidRDefault="00D554C2" w:rsidP="00D554C2">
      <w:pPr>
        <w:adjustRightInd w:val="0"/>
        <w:snapToGrid w:val="0"/>
        <w:spacing w:line="500" w:lineRule="exact"/>
        <w:ind w:left="2" w:firstLineChars="150" w:firstLine="360"/>
        <w:rPr>
          <w:rFonts w:ascii="宋体" w:eastAsia="宋体" w:hAnsi="宋体" w:cs="宋体"/>
          <w:color w:val="000000"/>
          <w:sz w:val="24"/>
        </w:rPr>
      </w:pPr>
      <w:r w:rsidRPr="00D554C2">
        <w:rPr>
          <w:rFonts w:ascii="Calibri" w:eastAsia="宋体" w:hAnsi="Calibri" w:cs="Times New Roman" w:hint="eastAsia"/>
          <w:color w:val="000000"/>
          <w:sz w:val="24"/>
        </w:rPr>
        <w:t>2.3</w:t>
      </w:r>
      <w:r w:rsidRPr="00D554C2">
        <w:rPr>
          <w:rFonts w:ascii="宋体" w:eastAsia="宋体" w:hAnsi="宋体" w:cs="宋体" w:hint="eastAsia"/>
          <w:color w:val="000000"/>
          <w:sz w:val="24"/>
        </w:rPr>
        <w:t xml:space="preserve">姿态与节奏练习：舞蹈基本姿态组合练习等 </w:t>
      </w:r>
    </w:p>
    <w:p w14:paraId="3830FA63" w14:textId="77777777" w:rsidR="00D554C2" w:rsidRPr="00D554C2" w:rsidRDefault="00D554C2" w:rsidP="00D554C2">
      <w:pPr>
        <w:spacing w:line="500" w:lineRule="exact"/>
        <w:ind w:firstLineChars="200" w:firstLine="482"/>
        <w:rPr>
          <w:rFonts w:ascii="宋体" w:eastAsia="宋体" w:hAnsi="宋体" w:cs="宋体"/>
          <w:color w:val="000000"/>
          <w:sz w:val="24"/>
        </w:rPr>
      </w:pPr>
      <w:r w:rsidRPr="00D554C2">
        <w:rPr>
          <w:rFonts w:ascii="宋体" w:eastAsia="宋体" w:hAnsi="宋体" w:cs="宋体" w:hint="eastAsia"/>
          <w:b/>
          <w:color w:val="000000"/>
          <w:sz w:val="24"/>
        </w:rPr>
        <w:t>本章教学目的及要求：</w:t>
      </w:r>
      <w:r w:rsidRPr="00D554C2">
        <w:rPr>
          <w:rFonts w:ascii="宋体" w:eastAsia="宋体" w:hAnsi="宋体" w:cs="宋体" w:hint="eastAsia"/>
          <w:color w:val="000000"/>
          <w:sz w:val="24"/>
        </w:rPr>
        <w:t>培养正确体态、塑造美的形体，改善中枢神经系统及内脏器官的机能，预防运动损伤，达到健身、健心、提高运动能力，发展身体素质。</w:t>
      </w:r>
    </w:p>
    <w:p w14:paraId="4A02846D" w14:textId="77777777" w:rsidR="00D554C2" w:rsidRPr="00D554C2" w:rsidRDefault="00D554C2" w:rsidP="00D554C2">
      <w:pPr>
        <w:spacing w:line="500" w:lineRule="exact"/>
        <w:ind w:firstLineChars="200" w:firstLine="482"/>
        <w:rPr>
          <w:rFonts w:ascii="宋体" w:eastAsia="宋体" w:hAnsi="宋体" w:cs="宋体"/>
          <w:color w:val="000000"/>
          <w:sz w:val="24"/>
        </w:rPr>
      </w:pPr>
      <w:r w:rsidRPr="00D554C2">
        <w:rPr>
          <w:rFonts w:ascii="宋体" w:eastAsia="宋体" w:hAnsi="宋体" w:cs="宋体" w:hint="eastAsia"/>
          <w:b/>
          <w:sz w:val="24"/>
        </w:rPr>
        <w:t>本章教学重点及难点：</w:t>
      </w:r>
      <w:r w:rsidRPr="00D554C2">
        <w:rPr>
          <w:rFonts w:ascii="宋体" w:eastAsia="宋体" w:hAnsi="宋体" w:cs="宋体" w:hint="eastAsia"/>
          <w:color w:val="000000"/>
          <w:sz w:val="24"/>
        </w:rPr>
        <w:t>拉伸练习和姿态的控制，掌握发展身体素质的正确方法，培养吃苦耐劳的品质。</w:t>
      </w:r>
    </w:p>
    <w:p w14:paraId="5D9F28FB"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第三章</w:t>
      </w:r>
      <w:r w:rsidRPr="00D554C2">
        <w:rPr>
          <w:rFonts w:ascii="宋体" w:eastAsia="宋体" w:hAnsi="宋体" w:cs="Times New Roman"/>
          <w:b/>
          <w:sz w:val="28"/>
          <w:szCs w:val="28"/>
        </w:rPr>
        <w:t xml:space="preserve">  </w:t>
      </w:r>
      <w:r w:rsidRPr="00D554C2">
        <w:rPr>
          <w:rFonts w:ascii="宋体" w:eastAsia="宋体" w:hAnsi="宋体" w:cs="Times New Roman" w:hint="eastAsia"/>
          <w:b/>
          <w:sz w:val="28"/>
          <w:szCs w:val="28"/>
        </w:rPr>
        <w:t>健美操基本动作（8学时）</w:t>
      </w:r>
    </w:p>
    <w:p w14:paraId="3DF407CA"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b/>
          <w:sz w:val="24"/>
        </w:rPr>
        <w:t>本章主要教学内容：</w:t>
      </w:r>
    </w:p>
    <w:p w14:paraId="55DBABB8"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color w:val="000000"/>
          <w:sz w:val="24"/>
        </w:rPr>
      </w:pPr>
      <w:r w:rsidRPr="00D554C2">
        <w:rPr>
          <w:rFonts w:ascii="Calibri" w:eastAsia="宋体" w:hAnsi="Calibri" w:cs="Times New Roman" w:hint="eastAsia"/>
          <w:color w:val="000000"/>
          <w:sz w:val="24"/>
        </w:rPr>
        <w:t>3.1</w:t>
      </w:r>
      <w:r w:rsidRPr="00D554C2">
        <w:rPr>
          <w:rFonts w:ascii="Calibri" w:eastAsia="宋体" w:hAnsi="Calibri" w:cs="Times New Roman" w:hint="eastAsia"/>
          <w:color w:val="000000"/>
          <w:sz w:val="24"/>
        </w:rPr>
        <w:t>手</w:t>
      </w:r>
      <w:proofErr w:type="gramStart"/>
      <w:r w:rsidRPr="00D554C2">
        <w:rPr>
          <w:rFonts w:ascii="Calibri" w:eastAsia="宋体" w:hAnsi="Calibri" w:cs="Times New Roman" w:hint="eastAsia"/>
          <w:color w:val="000000"/>
          <w:sz w:val="24"/>
        </w:rPr>
        <w:t>型基本</w:t>
      </w:r>
      <w:proofErr w:type="gramEnd"/>
      <w:r w:rsidRPr="00D554C2">
        <w:rPr>
          <w:rFonts w:ascii="Calibri" w:eastAsia="宋体" w:hAnsi="Calibri" w:cs="Times New Roman" w:hint="eastAsia"/>
          <w:color w:val="000000"/>
          <w:sz w:val="24"/>
        </w:rPr>
        <w:t>动作和音乐节奏训练</w:t>
      </w:r>
    </w:p>
    <w:p w14:paraId="67579BCA"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color w:val="000000"/>
          <w:sz w:val="24"/>
        </w:rPr>
      </w:pPr>
      <w:r w:rsidRPr="00D554C2">
        <w:rPr>
          <w:rFonts w:ascii="Calibri" w:eastAsia="宋体" w:hAnsi="Calibri" w:cs="Times New Roman" w:hint="eastAsia"/>
          <w:color w:val="000000"/>
          <w:sz w:val="24"/>
        </w:rPr>
        <w:t>①手型：掌（并掌、开掌、花掌、立掌）拳（握拳和半握拳）、剑指、响指、造型手等。</w:t>
      </w:r>
    </w:p>
    <w:p w14:paraId="27008E71"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color w:val="000000"/>
          <w:sz w:val="24"/>
        </w:rPr>
      </w:pPr>
      <w:r w:rsidRPr="00D554C2">
        <w:rPr>
          <w:rFonts w:ascii="Calibri" w:eastAsia="宋体" w:hAnsi="Calibri" w:cs="Times New Roman" w:hint="eastAsia"/>
          <w:color w:val="000000"/>
          <w:sz w:val="24"/>
        </w:rPr>
        <w:t>②听音乐，数节奏。</w:t>
      </w:r>
    </w:p>
    <w:p w14:paraId="5B655AC4"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color w:val="000000"/>
          <w:sz w:val="24"/>
        </w:rPr>
      </w:pPr>
      <w:r w:rsidRPr="00D554C2">
        <w:rPr>
          <w:rFonts w:ascii="Calibri" w:eastAsia="宋体" w:hAnsi="Calibri" w:cs="Times New Roman" w:hint="eastAsia"/>
          <w:color w:val="000000"/>
          <w:sz w:val="24"/>
        </w:rPr>
        <w:t>3.2</w:t>
      </w:r>
      <w:r w:rsidRPr="00D554C2">
        <w:rPr>
          <w:rFonts w:ascii="Calibri" w:eastAsia="宋体" w:hAnsi="Calibri" w:cs="Times New Roman" w:hint="eastAsia"/>
          <w:color w:val="000000"/>
          <w:sz w:val="24"/>
        </w:rPr>
        <w:t>姿态、手臂基本位置和基本动作训练</w:t>
      </w:r>
    </w:p>
    <w:p w14:paraId="5A58099D"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color w:val="000000"/>
          <w:sz w:val="24"/>
        </w:rPr>
      </w:pPr>
      <w:r w:rsidRPr="00D554C2">
        <w:rPr>
          <w:rFonts w:ascii="Calibri" w:eastAsia="宋体" w:hAnsi="Calibri" w:cs="Times New Roman" w:hint="eastAsia"/>
          <w:color w:val="000000"/>
          <w:sz w:val="24"/>
        </w:rPr>
        <w:t>①站立姿态训练</w:t>
      </w:r>
      <w:r w:rsidRPr="00D554C2">
        <w:rPr>
          <w:rFonts w:ascii="Calibri" w:eastAsia="宋体" w:hAnsi="Calibri" w:cs="Times New Roman" w:hint="eastAsia"/>
          <w:color w:val="000000"/>
          <w:sz w:val="24"/>
        </w:rPr>
        <w:t xml:space="preserve"> </w:t>
      </w:r>
    </w:p>
    <w:p w14:paraId="7E75A1E6"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color w:val="000000"/>
          <w:sz w:val="24"/>
        </w:rPr>
      </w:pPr>
      <w:r w:rsidRPr="00D554C2">
        <w:rPr>
          <w:rFonts w:ascii="Calibri" w:eastAsia="宋体" w:hAnsi="Calibri" w:cs="Times New Roman" w:hint="eastAsia"/>
          <w:color w:val="000000"/>
          <w:sz w:val="24"/>
        </w:rPr>
        <w:t>②手臂的前、上、后、下、侧方向。</w:t>
      </w:r>
    </w:p>
    <w:p w14:paraId="01D0FAE8"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color w:val="000000"/>
          <w:sz w:val="24"/>
        </w:rPr>
      </w:pPr>
      <w:r w:rsidRPr="00D554C2">
        <w:rPr>
          <w:rFonts w:ascii="Calibri" w:eastAsia="宋体" w:hAnsi="Calibri" w:cs="Times New Roman" w:hint="eastAsia"/>
          <w:color w:val="000000"/>
          <w:sz w:val="24"/>
        </w:rPr>
        <w:t>③举、屈、伸、</w:t>
      </w:r>
      <w:proofErr w:type="gramStart"/>
      <w:r w:rsidRPr="00D554C2">
        <w:rPr>
          <w:rFonts w:ascii="Calibri" w:eastAsia="宋体" w:hAnsi="Calibri" w:cs="Times New Roman" w:hint="eastAsia"/>
          <w:color w:val="000000"/>
          <w:sz w:val="24"/>
        </w:rPr>
        <w:t>绕等绕</w:t>
      </w:r>
      <w:proofErr w:type="gramEnd"/>
      <w:r w:rsidRPr="00D554C2">
        <w:rPr>
          <w:rFonts w:ascii="Calibri" w:eastAsia="宋体" w:hAnsi="Calibri" w:cs="Times New Roman" w:hint="eastAsia"/>
          <w:color w:val="000000"/>
          <w:sz w:val="24"/>
        </w:rPr>
        <w:t>环等。</w:t>
      </w:r>
    </w:p>
    <w:p w14:paraId="49363D9E"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color w:val="000000"/>
          <w:sz w:val="24"/>
        </w:rPr>
      </w:pPr>
      <w:r w:rsidRPr="00D554C2">
        <w:rPr>
          <w:rFonts w:ascii="Calibri" w:eastAsia="宋体" w:hAnsi="Calibri" w:cs="Times New Roman" w:hint="eastAsia"/>
          <w:color w:val="000000"/>
          <w:sz w:val="24"/>
        </w:rPr>
        <w:t>3.3</w:t>
      </w:r>
      <w:r w:rsidRPr="00D554C2">
        <w:rPr>
          <w:rFonts w:ascii="Calibri" w:eastAsia="宋体" w:hAnsi="Calibri" w:cs="Times New Roman" w:hint="eastAsia"/>
          <w:color w:val="000000"/>
          <w:sz w:val="24"/>
        </w:rPr>
        <w:t>下肢的基本站位和</w:t>
      </w:r>
      <w:r>
        <w:fldChar w:fldCharType="begin"/>
      </w:r>
      <w:r>
        <w:instrText>HYPERLINK "http://zhidao.baidu.com/search?word=%E5%81%A5%E7%BE%8E%E6%93%8D&amp;fr=qb_search_exp&amp;ie=utf8" \t "_blank"</w:instrText>
      </w:r>
      <w:r>
        <w:fldChar w:fldCharType="separate"/>
      </w:r>
      <w:r w:rsidRPr="00D554C2">
        <w:rPr>
          <w:rFonts w:ascii="Calibri" w:eastAsia="宋体" w:hAnsi="Calibri" w:cs="Times New Roman" w:hint="eastAsia"/>
          <w:color w:val="000000"/>
          <w:sz w:val="24"/>
        </w:rPr>
        <w:t>健美操</w:t>
      </w:r>
      <w:r>
        <w:rPr>
          <w:rFonts w:ascii="Calibri" w:eastAsia="宋体" w:hAnsi="Calibri" w:cs="Times New Roman"/>
          <w:color w:val="000000"/>
          <w:sz w:val="24"/>
        </w:rPr>
        <w:fldChar w:fldCharType="end"/>
      </w:r>
      <w:r w:rsidRPr="00D554C2">
        <w:rPr>
          <w:rFonts w:ascii="Calibri" w:eastAsia="宋体" w:hAnsi="Calibri" w:cs="Times New Roman" w:hint="eastAsia"/>
          <w:color w:val="000000"/>
          <w:sz w:val="24"/>
        </w:rPr>
        <w:t>基本步伐</w:t>
      </w:r>
    </w:p>
    <w:p w14:paraId="40E6BE1A"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color w:val="000000"/>
          <w:sz w:val="24"/>
        </w:rPr>
      </w:pPr>
      <w:r w:rsidRPr="00D554C2">
        <w:rPr>
          <w:rFonts w:ascii="Calibri" w:eastAsia="宋体" w:hAnsi="Calibri" w:cs="Times New Roman" w:hint="eastAsia"/>
          <w:color w:val="000000"/>
          <w:sz w:val="24"/>
        </w:rPr>
        <w:t>下肢的基本站位：直立、开立、提踵立、蹲、半蹲等</w:t>
      </w:r>
    </w:p>
    <w:p w14:paraId="6F17C4E8"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color w:val="000000"/>
          <w:sz w:val="24"/>
        </w:rPr>
      </w:pPr>
      <w:r w:rsidRPr="00D554C2">
        <w:rPr>
          <w:rFonts w:ascii="Calibri" w:eastAsia="宋体" w:hAnsi="Calibri" w:cs="Times New Roman" w:hint="eastAsia"/>
          <w:color w:val="000000"/>
          <w:sz w:val="24"/>
        </w:rPr>
        <w:lastRenderedPageBreak/>
        <w:t>健美操基本步法：</w:t>
      </w:r>
    </w:p>
    <w:p w14:paraId="7DE9F3D6" w14:textId="77777777" w:rsidR="00D554C2" w:rsidRPr="00D554C2" w:rsidRDefault="00D554C2" w:rsidP="00D554C2">
      <w:pPr>
        <w:adjustRightInd w:val="0"/>
        <w:snapToGrid w:val="0"/>
        <w:spacing w:line="500" w:lineRule="exact"/>
        <w:ind w:leftChars="228" w:left="479"/>
        <w:jc w:val="left"/>
        <w:rPr>
          <w:rFonts w:ascii="Calibri" w:eastAsia="宋体" w:hAnsi="Calibri" w:cs="Times New Roman"/>
          <w:color w:val="000000"/>
          <w:sz w:val="24"/>
        </w:rPr>
      </w:pPr>
      <w:r w:rsidRPr="00D554C2">
        <w:rPr>
          <w:rFonts w:ascii="Calibri" w:eastAsia="宋体" w:hAnsi="Calibri" w:cs="Times New Roman" w:hint="eastAsia"/>
          <w:color w:val="000000"/>
          <w:sz w:val="24"/>
        </w:rPr>
        <w:t>①交替类：踏步</w:t>
      </w:r>
      <w:r w:rsidRPr="00D554C2">
        <w:rPr>
          <w:rFonts w:ascii="Calibri" w:eastAsia="宋体" w:hAnsi="Calibri" w:cs="Times New Roman" w:hint="eastAsia"/>
          <w:color w:val="000000"/>
          <w:sz w:val="24"/>
        </w:rPr>
        <w:t xml:space="preserve"> </w:t>
      </w:r>
      <w:hyperlink r:id="rId17" w:tgtFrame="_blank" w:history="1">
        <w:r w:rsidRPr="00D554C2">
          <w:rPr>
            <w:rFonts w:ascii="Calibri" w:eastAsia="宋体" w:hAnsi="Calibri" w:cs="Times New Roman" w:hint="eastAsia"/>
            <w:color w:val="000000"/>
            <w:sz w:val="24"/>
          </w:rPr>
          <w:t>走步</w:t>
        </w:r>
      </w:hyperlink>
      <w:proofErr w:type="gramStart"/>
      <w:r w:rsidRPr="00D554C2">
        <w:rPr>
          <w:rFonts w:ascii="Calibri" w:eastAsia="宋体" w:hAnsi="Calibri" w:cs="Times New Roman" w:hint="eastAsia"/>
          <w:color w:val="000000"/>
          <w:sz w:val="24"/>
        </w:rPr>
        <w:t>一字步</w:t>
      </w:r>
      <w:proofErr w:type="gramEnd"/>
      <w:r w:rsidRPr="00D554C2">
        <w:rPr>
          <w:rFonts w:ascii="Calibri" w:eastAsia="宋体" w:hAnsi="Calibri" w:cs="Times New Roman" w:hint="eastAsia"/>
          <w:color w:val="000000"/>
          <w:sz w:val="24"/>
        </w:rPr>
        <w:t xml:space="preserve"> V</w:t>
      </w:r>
      <w:proofErr w:type="gramStart"/>
      <w:r w:rsidRPr="00D554C2">
        <w:rPr>
          <w:rFonts w:ascii="Calibri" w:eastAsia="宋体" w:hAnsi="Calibri" w:cs="Times New Roman" w:hint="eastAsia"/>
          <w:color w:val="000000"/>
          <w:sz w:val="24"/>
        </w:rPr>
        <w:t>字步</w:t>
      </w:r>
      <w:proofErr w:type="gramEnd"/>
      <w:r w:rsidRPr="00D554C2">
        <w:rPr>
          <w:rFonts w:ascii="Calibri" w:eastAsia="宋体" w:hAnsi="Calibri" w:cs="Times New Roman" w:hint="eastAsia"/>
          <w:color w:val="000000"/>
          <w:sz w:val="24"/>
        </w:rPr>
        <w:t xml:space="preserve"> </w:t>
      </w:r>
      <w:r w:rsidRPr="00D554C2">
        <w:rPr>
          <w:rFonts w:ascii="Calibri" w:eastAsia="宋体" w:hAnsi="Calibri" w:cs="Times New Roman" w:hint="eastAsia"/>
          <w:color w:val="000000"/>
          <w:sz w:val="24"/>
        </w:rPr>
        <w:t>漫步</w:t>
      </w:r>
      <w:r w:rsidRPr="00D554C2">
        <w:rPr>
          <w:rFonts w:ascii="Calibri" w:eastAsia="宋体" w:hAnsi="Calibri" w:cs="Times New Roman" w:hint="eastAsia"/>
          <w:color w:val="000000"/>
          <w:sz w:val="24"/>
        </w:rPr>
        <w:br/>
      </w:r>
      <w:r w:rsidRPr="00D554C2">
        <w:rPr>
          <w:rFonts w:ascii="Calibri" w:eastAsia="宋体" w:hAnsi="Calibri" w:cs="Times New Roman" w:hint="eastAsia"/>
          <w:color w:val="000000"/>
          <w:sz w:val="24"/>
        </w:rPr>
        <w:t>②点地类：脚尖前点地</w:t>
      </w:r>
      <w:r w:rsidRPr="00D554C2">
        <w:rPr>
          <w:rFonts w:ascii="Calibri" w:eastAsia="宋体" w:hAnsi="Calibri" w:cs="Times New Roman" w:hint="eastAsia"/>
          <w:color w:val="000000"/>
          <w:sz w:val="24"/>
        </w:rPr>
        <w:t xml:space="preserve"> </w:t>
      </w:r>
      <w:r w:rsidRPr="00D554C2">
        <w:rPr>
          <w:rFonts w:ascii="Calibri" w:eastAsia="宋体" w:hAnsi="Calibri" w:cs="Times New Roman" w:hint="eastAsia"/>
          <w:color w:val="000000"/>
          <w:sz w:val="24"/>
        </w:rPr>
        <w:t>脚尖后点地</w:t>
      </w:r>
      <w:r w:rsidRPr="00D554C2">
        <w:rPr>
          <w:rFonts w:ascii="Calibri" w:eastAsia="宋体" w:hAnsi="Calibri" w:cs="Times New Roman" w:hint="eastAsia"/>
          <w:color w:val="000000"/>
          <w:sz w:val="24"/>
        </w:rPr>
        <w:t xml:space="preserve"> </w:t>
      </w:r>
      <w:proofErr w:type="gramStart"/>
      <w:r w:rsidRPr="00D554C2">
        <w:rPr>
          <w:rFonts w:ascii="Calibri" w:eastAsia="宋体" w:hAnsi="Calibri" w:cs="Times New Roman" w:hint="eastAsia"/>
          <w:color w:val="000000"/>
          <w:sz w:val="24"/>
        </w:rPr>
        <w:t>脚尖侧点地</w:t>
      </w:r>
      <w:proofErr w:type="gramEnd"/>
      <w:r w:rsidRPr="00D554C2">
        <w:rPr>
          <w:rFonts w:ascii="Calibri" w:eastAsia="宋体" w:hAnsi="Calibri" w:cs="Times New Roman" w:hint="eastAsia"/>
          <w:color w:val="000000"/>
          <w:sz w:val="24"/>
        </w:rPr>
        <w:t xml:space="preserve"> </w:t>
      </w:r>
      <w:r w:rsidRPr="00D554C2">
        <w:rPr>
          <w:rFonts w:ascii="Calibri" w:eastAsia="宋体" w:hAnsi="Calibri" w:cs="Times New Roman" w:hint="eastAsia"/>
          <w:color w:val="000000"/>
          <w:sz w:val="24"/>
        </w:rPr>
        <w:t>脚跟前点地</w:t>
      </w:r>
      <w:r w:rsidRPr="00D554C2">
        <w:rPr>
          <w:rFonts w:ascii="Calibri" w:eastAsia="宋体" w:hAnsi="Calibri" w:cs="Times New Roman" w:hint="eastAsia"/>
          <w:color w:val="000000"/>
          <w:sz w:val="24"/>
        </w:rPr>
        <w:br/>
      </w:r>
      <w:r w:rsidRPr="00D554C2">
        <w:rPr>
          <w:rFonts w:ascii="Calibri" w:eastAsia="宋体" w:hAnsi="Calibri" w:cs="Times New Roman" w:hint="eastAsia"/>
          <w:color w:val="000000"/>
          <w:sz w:val="24"/>
        </w:rPr>
        <w:t>③迈步类：并步</w:t>
      </w:r>
      <w:r w:rsidRPr="00D554C2">
        <w:rPr>
          <w:rFonts w:ascii="Calibri" w:eastAsia="宋体" w:hAnsi="Calibri" w:cs="Times New Roman" w:hint="eastAsia"/>
          <w:color w:val="000000"/>
          <w:sz w:val="24"/>
        </w:rPr>
        <w:t xml:space="preserve"> </w:t>
      </w:r>
      <w:r w:rsidRPr="00D554C2">
        <w:rPr>
          <w:rFonts w:ascii="Calibri" w:eastAsia="宋体" w:hAnsi="Calibri" w:cs="Times New Roman" w:hint="eastAsia"/>
          <w:color w:val="000000"/>
          <w:sz w:val="24"/>
        </w:rPr>
        <w:t>迈步点地</w:t>
      </w:r>
      <w:r w:rsidRPr="00D554C2">
        <w:rPr>
          <w:rFonts w:ascii="Calibri" w:eastAsia="宋体" w:hAnsi="Calibri" w:cs="Times New Roman" w:hint="eastAsia"/>
          <w:color w:val="000000"/>
          <w:sz w:val="24"/>
        </w:rPr>
        <w:t xml:space="preserve"> </w:t>
      </w:r>
      <w:r w:rsidRPr="00D554C2">
        <w:rPr>
          <w:rFonts w:ascii="Calibri" w:eastAsia="宋体" w:hAnsi="Calibri" w:cs="Times New Roman" w:hint="eastAsia"/>
          <w:color w:val="000000"/>
          <w:sz w:val="24"/>
        </w:rPr>
        <w:t>迈步屈腿</w:t>
      </w:r>
      <w:r w:rsidRPr="00D554C2">
        <w:rPr>
          <w:rFonts w:ascii="Calibri" w:eastAsia="宋体" w:hAnsi="Calibri" w:cs="Times New Roman" w:hint="eastAsia"/>
          <w:color w:val="000000"/>
          <w:sz w:val="24"/>
        </w:rPr>
        <w:t xml:space="preserve"> </w:t>
      </w:r>
      <w:r w:rsidRPr="00D554C2">
        <w:rPr>
          <w:rFonts w:ascii="Calibri" w:eastAsia="宋体" w:hAnsi="Calibri" w:cs="Times New Roman" w:hint="eastAsia"/>
          <w:color w:val="000000"/>
          <w:sz w:val="24"/>
        </w:rPr>
        <w:t>迈步吸腿</w:t>
      </w:r>
      <w:r w:rsidRPr="00D554C2">
        <w:rPr>
          <w:rFonts w:ascii="Calibri" w:eastAsia="宋体" w:hAnsi="Calibri" w:cs="Times New Roman" w:hint="eastAsia"/>
          <w:color w:val="000000"/>
          <w:sz w:val="24"/>
        </w:rPr>
        <w:t xml:space="preserve"> </w:t>
      </w:r>
      <w:r w:rsidRPr="00D554C2">
        <w:rPr>
          <w:rFonts w:ascii="Calibri" w:eastAsia="宋体" w:hAnsi="Calibri" w:cs="Times New Roman" w:hint="eastAsia"/>
          <w:color w:val="000000"/>
          <w:sz w:val="24"/>
        </w:rPr>
        <w:t>迈步</w:t>
      </w:r>
      <w:r>
        <w:fldChar w:fldCharType="begin"/>
      </w:r>
      <w:r>
        <w:instrText>HYPERLINK "http://zhidao.baidu.com/search?word=%E5%BC%B9%E8%85%BF&amp;fr=qb_search_exp&amp;ie=utf8" \t "_blank"</w:instrText>
      </w:r>
      <w:r>
        <w:fldChar w:fldCharType="separate"/>
      </w:r>
      <w:r w:rsidRPr="00D554C2">
        <w:rPr>
          <w:rFonts w:ascii="Calibri" w:eastAsia="宋体" w:hAnsi="Calibri" w:cs="Times New Roman" w:hint="eastAsia"/>
          <w:color w:val="000000"/>
          <w:sz w:val="24"/>
        </w:rPr>
        <w:t>弹腿</w:t>
      </w:r>
      <w:r>
        <w:rPr>
          <w:rFonts w:ascii="Calibri" w:eastAsia="宋体" w:hAnsi="Calibri" w:cs="Times New Roman"/>
          <w:color w:val="000000"/>
          <w:sz w:val="24"/>
        </w:rPr>
        <w:fldChar w:fldCharType="end"/>
      </w:r>
      <w:r w:rsidRPr="00D554C2">
        <w:rPr>
          <w:rFonts w:ascii="Calibri" w:eastAsia="宋体" w:hAnsi="Calibri" w:cs="Times New Roman" w:hint="eastAsia"/>
          <w:color w:val="000000"/>
          <w:sz w:val="24"/>
        </w:rPr>
        <w:t xml:space="preserve"> </w:t>
      </w:r>
      <w:proofErr w:type="gramStart"/>
      <w:r w:rsidRPr="00D554C2">
        <w:rPr>
          <w:rFonts w:ascii="Calibri" w:eastAsia="宋体" w:hAnsi="Calibri" w:cs="Times New Roman" w:hint="eastAsia"/>
          <w:color w:val="000000"/>
          <w:sz w:val="24"/>
        </w:rPr>
        <w:t>侧步交叉</w:t>
      </w:r>
      <w:proofErr w:type="gramEnd"/>
      <w:r w:rsidRPr="00D554C2">
        <w:rPr>
          <w:rFonts w:ascii="Calibri" w:eastAsia="宋体" w:hAnsi="Calibri" w:cs="Times New Roman" w:hint="eastAsia"/>
          <w:color w:val="000000"/>
          <w:sz w:val="24"/>
        </w:rPr>
        <w:t xml:space="preserve"> </w:t>
      </w:r>
      <w:r w:rsidRPr="00D554C2">
        <w:rPr>
          <w:rFonts w:ascii="Calibri" w:eastAsia="宋体" w:hAnsi="Calibri" w:cs="Times New Roman" w:hint="eastAsia"/>
          <w:color w:val="000000"/>
          <w:sz w:val="24"/>
        </w:rPr>
        <w:t>并步</w:t>
      </w:r>
    </w:p>
    <w:p w14:paraId="133C46D1" w14:textId="77777777" w:rsidR="00D554C2" w:rsidRPr="00D554C2" w:rsidRDefault="00D554C2" w:rsidP="00D554C2">
      <w:pPr>
        <w:adjustRightInd w:val="0"/>
        <w:snapToGrid w:val="0"/>
        <w:spacing w:line="500" w:lineRule="exact"/>
        <w:ind w:left="480" w:hangingChars="200" w:hanging="480"/>
        <w:jc w:val="left"/>
        <w:rPr>
          <w:rFonts w:ascii="Calibri" w:eastAsia="宋体" w:hAnsi="Calibri" w:cs="Times New Roman"/>
          <w:color w:val="000000"/>
          <w:sz w:val="24"/>
        </w:rPr>
      </w:pPr>
      <w:r w:rsidRPr="00D554C2">
        <w:rPr>
          <w:rFonts w:ascii="Calibri" w:eastAsia="宋体" w:hAnsi="Calibri" w:cs="Times New Roman" w:hint="eastAsia"/>
          <w:color w:val="000000"/>
          <w:sz w:val="24"/>
        </w:rPr>
        <w:t>跳</w:t>
      </w:r>
      <w:r w:rsidRPr="00D554C2">
        <w:rPr>
          <w:rFonts w:ascii="Calibri" w:eastAsia="宋体" w:hAnsi="Calibri" w:cs="Times New Roman" w:hint="eastAsia"/>
          <w:color w:val="000000"/>
          <w:sz w:val="24"/>
        </w:rPr>
        <w:t xml:space="preserve"> </w:t>
      </w:r>
      <w:r w:rsidRPr="00D554C2">
        <w:rPr>
          <w:rFonts w:ascii="Calibri" w:eastAsia="宋体" w:hAnsi="Calibri" w:cs="Times New Roman" w:hint="eastAsia"/>
          <w:color w:val="000000"/>
          <w:sz w:val="24"/>
        </w:rPr>
        <w:t>小马跳等</w:t>
      </w:r>
      <w:r w:rsidRPr="00D554C2">
        <w:rPr>
          <w:rFonts w:ascii="Calibri" w:eastAsia="宋体" w:hAnsi="Calibri" w:cs="Times New Roman" w:hint="eastAsia"/>
          <w:color w:val="000000"/>
          <w:sz w:val="24"/>
        </w:rPr>
        <w:br/>
      </w:r>
      <w:r w:rsidRPr="00D554C2">
        <w:rPr>
          <w:rFonts w:ascii="Calibri" w:eastAsia="宋体" w:hAnsi="Calibri" w:cs="Times New Roman" w:hint="eastAsia"/>
          <w:color w:val="000000"/>
          <w:sz w:val="24"/>
        </w:rPr>
        <w:t>④吸腿类：吸腿</w:t>
      </w:r>
      <w:r w:rsidRPr="00D554C2">
        <w:rPr>
          <w:rFonts w:ascii="Calibri" w:eastAsia="宋体" w:hAnsi="Calibri" w:cs="Times New Roman" w:hint="eastAsia"/>
          <w:color w:val="000000"/>
          <w:sz w:val="24"/>
        </w:rPr>
        <w:t xml:space="preserve"> </w:t>
      </w:r>
      <w:r w:rsidRPr="00D554C2">
        <w:rPr>
          <w:rFonts w:ascii="Calibri" w:eastAsia="宋体" w:hAnsi="Calibri" w:cs="Times New Roman" w:hint="eastAsia"/>
          <w:color w:val="000000"/>
          <w:sz w:val="24"/>
        </w:rPr>
        <w:t>踢腿</w:t>
      </w:r>
      <w:r w:rsidRPr="00D554C2">
        <w:rPr>
          <w:rFonts w:ascii="Calibri" w:eastAsia="宋体" w:hAnsi="Calibri" w:cs="Times New Roman" w:hint="eastAsia"/>
          <w:color w:val="000000"/>
          <w:sz w:val="24"/>
        </w:rPr>
        <w:t xml:space="preserve"> </w:t>
      </w:r>
      <w:hyperlink r:id="rId18" w:tgtFrame="_blank" w:history="1">
        <w:r w:rsidRPr="00D554C2">
          <w:rPr>
            <w:rFonts w:ascii="Calibri" w:eastAsia="宋体" w:hAnsi="Calibri" w:cs="Times New Roman" w:hint="eastAsia"/>
            <w:color w:val="000000"/>
            <w:sz w:val="24"/>
          </w:rPr>
          <w:t>弹腿</w:t>
        </w:r>
      </w:hyperlink>
      <w:r w:rsidRPr="00D554C2">
        <w:rPr>
          <w:rFonts w:ascii="Calibri" w:eastAsia="宋体" w:hAnsi="Calibri" w:cs="Times New Roman" w:hint="eastAsia"/>
          <w:color w:val="000000"/>
          <w:sz w:val="24"/>
        </w:rPr>
        <w:t xml:space="preserve"> </w:t>
      </w:r>
      <w:r w:rsidRPr="00D554C2">
        <w:rPr>
          <w:rFonts w:ascii="Calibri" w:eastAsia="宋体" w:hAnsi="Calibri" w:cs="Times New Roman" w:hint="eastAsia"/>
          <w:color w:val="000000"/>
          <w:sz w:val="24"/>
        </w:rPr>
        <w:t>后屈腿</w:t>
      </w:r>
      <w:r w:rsidRPr="00D554C2">
        <w:rPr>
          <w:rFonts w:ascii="Calibri" w:eastAsia="宋体" w:hAnsi="Calibri" w:cs="Times New Roman" w:hint="eastAsia"/>
          <w:color w:val="000000"/>
          <w:sz w:val="24"/>
        </w:rPr>
        <w:br/>
      </w:r>
      <w:r w:rsidRPr="00D554C2">
        <w:rPr>
          <w:rFonts w:ascii="Calibri" w:eastAsia="宋体" w:hAnsi="Calibri" w:cs="Times New Roman" w:hint="eastAsia"/>
          <w:color w:val="000000"/>
          <w:sz w:val="24"/>
        </w:rPr>
        <w:t>⑤双腿类：开合跳，</w:t>
      </w:r>
      <w:r>
        <w:fldChar w:fldCharType="begin"/>
      </w:r>
      <w:r>
        <w:instrText>HYPERLINK "http://zhidao.baidu.com/search?word=%E5%BC%93%E6%AD%A5&amp;fr=qb_search_exp&amp;ie=utf8" \t "_blank"</w:instrText>
      </w:r>
      <w:r>
        <w:fldChar w:fldCharType="separate"/>
      </w:r>
      <w:r w:rsidRPr="00D554C2">
        <w:rPr>
          <w:rFonts w:ascii="Calibri" w:eastAsia="宋体" w:hAnsi="Calibri" w:cs="Times New Roman" w:hint="eastAsia"/>
          <w:color w:val="000000"/>
          <w:sz w:val="24"/>
        </w:rPr>
        <w:t>弓步</w:t>
      </w:r>
      <w:r>
        <w:rPr>
          <w:rFonts w:ascii="Calibri" w:eastAsia="宋体" w:hAnsi="Calibri" w:cs="Times New Roman"/>
          <w:color w:val="000000"/>
          <w:sz w:val="24"/>
        </w:rPr>
        <w:fldChar w:fldCharType="end"/>
      </w:r>
      <w:r w:rsidRPr="00D554C2">
        <w:rPr>
          <w:rFonts w:ascii="Calibri" w:eastAsia="宋体" w:hAnsi="Calibri" w:cs="Times New Roman" w:hint="eastAsia"/>
          <w:color w:val="000000"/>
          <w:sz w:val="24"/>
        </w:rPr>
        <w:t>跳等步伐</w:t>
      </w:r>
    </w:p>
    <w:p w14:paraId="0A756CF6" w14:textId="77777777" w:rsidR="00D554C2" w:rsidRPr="00D554C2" w:rsidRDefault="00D554C2" w:rsidP="00D554C2">
      <w:pPr>
        <w:spacing w:line="500" w:lineRule="exact"/>
        <w:ind w:firstLineChars="200" w:firstLine="482"/>
        <w:rPr>
          <w:rFonts w:ascii="宋体" w:eastAsia="宋体" w:hAnsi="宋体" w:cs="宋体"/>
          <w:color w:val="000000"/>
          <w:sz w:val="24"/>
        </w:rPr>
      </w:pPr>
      <w:r w:rsidRPr="00D554C2">
        <w:rPr>
          <w:rFonts w:ascii="宋体" w:eastAsia="宋体" w:hAnsi="宋体" w:cs="宋体" w:hint="eastAsia"/>
          <w:b/>
          <w:color w:val="000000"/>
          <w:sz w:val="24"/>
        </w:rPr>
        <w:t>本章教学目的及要求：</w:t>
      </w:r>
      <w:r w:rsidRPr="00D554C2">
        <w:rPr>
          <w:rFonts w:ascii="宋体" w:eastAsia="宋体" w:hAnsi="宋体" w:cs="宋体" w:hint="eastAsia"/>
          <w:color w:val="000000"/>
          <w:sz w:val="24"/>
        </w:rPr>
        <w:t>初步学习健美操项目，培养乐感，建立学生运动感觉，培养正确体态，掌握健美操的基本步伐。</w:t>
      </w:r>
    </w:p>
    <w:p w14:paraId="55E1D336" w14:textId="77777777" w:rsidR="00D554C2" w:rsidRPr="00D554C2" w:rsidRDefault="00D554C2" w:rsidP="00D554C2">
      <w:pPr>
        <w:spacing w:line="500" w:lineRule="exact"/>
        <w:ind w:firstLineChars="200" w:firstLine="482"/>
        <w:rPr>
          <w:rFonts w:ascii="宋体" w:eastAsia="宋体" w:hAnsi="宋体" w:cs="宋体"/>
          <w:color w:val="000000"/>
          <w:sz w:val="24"/>
        </w:rPr>
      </w:pPr>
      <w:r w:rsidRPr="00D554C2">
        <w:rPr>
          <w:rFonts w:ascii="宋体" w:eastAsia="宋体" w:hAnsi="宋体" w:cs="宋体" w:hint="eastAsia"/>
          <w:b/>
          <w:sz w:val="24"/>
        </w:rPr>
        <w:t>本章教学重点及难点：</w:t>
      </w:r>
      <w:r w:rsidRPr="00D554C2">
        <w:rPr>
          <w:rFonts w:ascii="宋体" w:eastAsia="宋体" w:hAnsi="宋体" w:cs="宋体" w:hint="eastAsia"/>
          <w:color w:val="000000"/>
          <w:spacing w:val="7"/>
          <w:sz w:val="24"/>
        </w:rPr>
        <w:t>了解健美操项目的特点；姿态的控制，乐感的培养，健美操基本步法的正确要领；体会</w:t>
      </w:r>
      <w:r w:rsidRPr="00D554C2">
        <w:rPr>
          <w:rFonts w:ascii="宋体" w:eastAsia="宋体" w:hAnsi="宋体" w:cs="宋体" w:hint="eastAsia"/>
          <w:color w:val="000000"/>
          <w:sz w:val="24"/>
        </w:rPr>
        <w:t>膝、踝关节的缓冲以及上下肢协调性配合。</w:t>
      </w:r>
    </w:p>
    <w:p w14:paraId="5370A126"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宋体"/>
          <w:b/>
          <w:sz w:val="28"/>
          <w:szCs w:val="28"/>
        </w:rPr>
      </w:pPr>
      <w:r w:rsidRPr="00D554C2">
        <w:rPr>
          <w:rFonts w:ascii="宋体" w:eastAsia="宋体" w:hAnsi="宋体" w:cs="宋体" w:hint="eastAsia"/>
          <w:b/>
          <w:sz w:val="28"/>
          <w:szCs w:val="28"/>
        </w:rPr>
        <w:t>第四章  健美操套路动作（16学时）</w:t>
      </w:r>
    </w:p>
    <w:p w14:paraId="22E3032D" w14:textId="77777777" w:rsidR="00D554C2" w:rsidRPr="00D554C2" w:rsidRDefault="00D554C2" w:rsidP="00D554C2">
      <w:pPr>
        <w:adjustRightInd w:val="0"/>
        <w:snapToGrid w:val="0"/>
        <w:spacing w:line="500" w:lineRule="exact"/>
        <w:ind w:firstLineChars="200" w:firstLine="482"/>
        <w:rPr>
          <w:rFonts w:ascii="宋体" w:eastAsia="宋体" w:hAnsi="宋体" w:cs="宋体"/>
          <w:b/>
          <w:sz w:val="24"/>
        </w:rPr>
      </w:pPr>
      <w:r w:rsidRPr="00D554C2">
        <w:rPr>
          <w:rFonts w:ascii="宋体" w:eastAsia="宋体" w:hAnsi="宋体" w:cs="宋体" w:hint="eastAsia"/>
          <w:b/>
          <w:sz w:val="24"/>
        </w:rPr>
        <w:t>本章主要教学内容：</w:t>
      </w:r>
    </w:p>
    <w:p w14:paraId="79FD9D0D" w14:textId="77777777" w:rsidR="00D554C2" w:rsidRPr="00D554C2" w:rsidRDefault="00D554C2" w:rsidP="00D554C2">
      <w:pPr>
        <w:spacing w:line="500" w:lineRule="exact"/>
        <w:ind w:firstLineChars="200" w:firstLine="480"/>
        <w:rPr>
          <w:rFonts w:ascii="宋体" w:eastAsia="宋体" w:hAnsi="宋体" w:cs="宋体"/>
          <w:color w:val="000000"/>
          <w:sz w:val="24"/>
        </w:rPr>
      </w:pPr>
      <w:r w:rsidRPr="00D554C2">
        <w:rPr>
          <w:rFonts w:ascii="Calibri" w:eastAsia="宋体" w:hAnsi="Calibri" w:cs="Times New Roman" w:hint="eastAsia"/>
          <w:color w:val="000000"/>
          <w:sz w:val="24"/>
        </w:rPr>
        <w:t>4.1</w:t>
      </w:r>
      <w:r w:rsidRPr="00D554C2">
        <w:rPr>
          <w:rFonts w:ascii="宋体" w:eastAsia="宋体" w:hAnsi="宋体" w:cs="宋体" w:hint="eastAsia"/>
          <w:color w:val="000000"/>
          <w:sz w:val="24"/>
        </w:rPr>
        <w:t>健身舞1套。健身舞</w:t>
      </w:r>
      <w:proofErr w:type="gramStart"/>
      <w:r w:rsidRPr="00D554C2">
        <w:rPr>
          <w:rFonts w:ascii="宋体" w:eastAsia="宋体" w:hAnsi="宋体" w:cs="宋体" w:hint="eastAsia"/>
          <w:color w:val="000000"/>
          <w:sz w:val="24"/>
        </w:rPr>
        <w:t>舞</w:t>
      </w:r>
      <w:proofErr w:type="gramEnd"/>
      <w:r w:rsidRPr="00D554C2">
        <w:rPr>
          <w:rFonts w:ascii="宋体" w:eastAsia="宋体" w:hAnsi="宋体" w:cs="宋体" w:hint="eastAsia"/>
          <w:color w:val="000000"/>
          <w:sz w:val="24"/>
        </w:rPr>
        <w:t>是融自娱性与表演性为一体，以特殊的表演形式、热情欢快的表演内容、以集体舞为主体的，在公共场所多人参与的，以娱乐身心和锻炼身体为目的的，非专业性的舞蹈艺术表演活动。</w:t>
      </w:r>
    </w:p>
    <w:p w14:paraId="117EF569" w14:textId="77777777" w:rsidR="00D554C2" w:rsidRPr="00D554C2" w:rsidRDefault="00D554C2" w:rsidP="00D554C2">
      <w:pPr>
        <w:spacing w:line="500" w:lineRule="exact"/>
        <w:ind w:firstLineChars="200" w:firstLine="480"/>
        <w:rPr>
          <w:rFonts w:ascii="宋体" w:eastAsia="宋体" w:hAnsi="宋体" w:cs="宋体"/>
          <w:color w:val="000000"/>
          <w:sz w:val="24"/>
        </w:rPr>
      </w:pPr>
      <w:r w:rsidRPr="00D554C2">
        <w:rPr>
          <w:rFonts w:ascii="Calibri" w:eastAsia="宋体" w:hAnsi="Calibri" w:cs="Times New Roman" w:hint="eastAsia"/>
          <w:color w:val="000000"/>
          <w:sz w:val="24"/>
        </w:rPr>
        <w:t>4.2</w:t>
      </w:r>
      <w:r w:rsidRPr="00D554C2">
        <w:rPr>
          <w:rFonts w:ascii="宋体" w:eastAsia="宋体" w:hAnsi="宋体" w:cs="宋体" w:hint="eastAsia"/>
          <w:color w:val="000000"/>
          <w:sz w:val="24"/>
        </w:rPr>
        <w:t>大众锻炼标准成套动作1套，每个组合有4-5个最常见的健美操基本步伐组成，并增加了90度—180度方向变化和简单的图形变化。每次</w:t>
      </w:r>
      <w:proofErr w:type="gramStart"/>
      <w:r w:rsidRPr="00D554C2">
        <w:rPr>
          <w:rFonts w:ascii="宋体" w:eastAsia="宋体" w:hAnsi="宋体" w:cs="宋体" w:hint="eastAsia"/>
          <w:color w:val="000000"/>
          <w:sz w:val="24"/>
        </w:rPr>
        <w:t>课完成</w:t>
      </w:r>
      <w:proofErr w:type="gramEnd"/>
      <w:r w:rsidRPr="00D554C2">
        <w:rPr>
          <w:rFonts w:ascii="宋体" w:eastAsia="宋体" w:hAnsi="宋体" w:cs="宋体" w:hint="eastAsia"/>
          <w:color w:val="000000"/>
          <w:sz w:val="24"/>
        </w:rPr>
        <w:t>一个组合动作，根据学生学习和掌握情况灵活调整和控制。每节课还增加形体训练，培养学生正确的身体姿态。</w:t>
      </w:r>
    </w:p>
    <w:p w14:paraId="4E997005" w14:textId="77777777" w:rsidR="00D554C2" w:rsidRPr="00D554C2" w:rsidRDefault="00D554C2" w:rsidP="00D554C2">
      <w:pPr>
        <w:adjustRightInd w:val="0"/>
        <w:snapToGrid w:val="0"/>
        <w:spacing w:line="500" w:lineRule="exact"/>
        <w:ind w:firstLineChars="196" w:firstLine="472"/>
        <w:rPr>
          <w:rFonts w:ascii="宋体" w:eastAsia="宋体" w:hAnsi="宋体" w:cs="宋体"/>
          <w:color w:val="000000"/>
          <w:sz w:val="24"/>
        </w:rPr>
      </w:pPr>
      <w:r w:rsidRPr="00D554C2">
        <w:rPr>
          <w:rFonts w:ascii="宋体" w:eastAsia="宋体" w:hAnsi="宋体" w:cs="宋体" w:hint="eastAsia"/>
          <w:b/>
          <w:sz w:val="24"/>
        </w:rPr>
        <w:t>本章教学目的及要求：</w:t>
      </w:r>
      <w:r w:rsidRPr="00D554C2">
        <w:rPr>
          <w:rFonts w:ascii="宋体" w:eastAsia="宋体" w:hAnsi="宋体" w:cs="宋体" w:hint="eastAsia"/>
          <w:color w:val="000000"/>
          <w:sz w:val="24"/>
        </w:rPr>
        <w:t>在音乐的伴奏下能熟练掌握健美操动作。通过套路教学提高学生自身的协调性和灵敏性，掌握健美操的练习方法，达到增进健康、改善形体的目的。</w:t>
      </w:r>
    </w:p>
    <w:p w14:paraId="6F6B5677" w14:textId="77777777" w:rsidR="00D554C2" w:rsidRPr="00D554C2" w:rsidRDefault="00D554C2" w:rsidP="00D554C2">
      <w:pPr>
        <w:adjustRightInd w:val="0"/>
        <w:snapToGrid w:val="0"/>
        <w:spacing w:line="500" w:lineRule="exact"/>
        <w:ind w:firstLineChars="196" w:firstLine="472"/>
        <w:rPr>
          <w:rFonts w:ascii="宋体" w:eastAsia="宋体" w:hAnsi="宋体" w:cs="宋体"/>
          <w:color w:val="000000"/>
          <w:sz w:val="24"/>
        </w:rPr>
      </w:pPr>
      <w:r w:rsidRPr="00D554C2">
        <w:rPr>
          <w:rFonts w:ascii="宋体" w:eastAsia="宋体" w:hAnsi="宋体" w:cs="宋体" w:hint="eastAsia"/>
          <w:b/>
          <w:sz w:val="24"/>
        </w:rPr>
        <w:t>本章教学重点及难点：</w:t>
      </w:r>
      <w:r w:rsidRPr="00D554C2">
        <w:rPr>
          <w:rFonts w:ascii="宋体" w:eastAsia="宋体" w:hAnsi="宋体" w:cs="宋体" w:hint="eastAsia"/>
          <w:color w:val="000000"/>
          <w:sz w:val="24"/>
        </w:rPr>
        <w:t>掌握乐感与节拍；方向的变化、姿态的控制与动作力度的掌握。</w:t>
      </w:r>
    </w:p>
    <w:p w14:paraId="03E10D98" w14:textId="77777777" w:rsidR="00D554C2" w:rsidRPr="00D554C2" w:rsidRDefault="00D554C2" w:rsidP="00D554C2">
      <w:pPr>
        <w:spacing w:line="440" w:lineRule="exact"/>
        <w:ind w:firstLineChars="200" w:firstLine="482"/>
        <w:rPr>
          <w:rFonts w:ascii="宋体" w:eastAsia="宋体" w:hAnsi="宋体" w:cs="Times New Roman"/>
          <w:b/>
          <w:sz w:val="24"/>
        </w:rPr>
      </w:pPr>
      <w:r w:rsidRPr="00D554C2">
        <w:rPr>
          <w:rFonts w:ascii="宋体" w:eastAsia="宋体" w:hAnsi="宋体" w:cs="Times New Roman" w:hint="eastAsia"/>
          <w:b/>
          <w:sz w:val="24"/>
        </w:rPr>
        <w:t>【重点】</w:t>
      </w:r>
    </w:p>
    <w:p w14:paraId="6BD32528"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lastRenderedPageBreak/>
        <w:t>1.《大学体育教程》理论课程使学生对大学体育有深入理解；了解体质健康标准的实施与如何评价；学会分析常见运动损伤和运动性疾病的症状。</w:t>
      </w:r>
    </w:p>
    <w:p w14:paraId="1E455E6D" w14:textId="77777777" w:rsidR="00D554C2" w:rsidRPr="00D554C2" w:rsidRDefault="00D554C2" w:rsidP="00D554C2">
      <w:pPr>
        <w:autoSpaceDE w:val="0"/>
        <w:autoSpaceDN w:val="0"/>
        <w:adjustRightInd w:val="0"/>
        <w:snapToGrid w:val="0"/>
        <w:spacing w:line="500" w:lineRule="exact"/>
        <w:ind w:left="490"/>
        <w:rPr>
          <w:rFonts w:ascii="宋体" w:eastAsia="宋体" w:hAnsi="Calibri" w:cs="宋体"/>
          <w:spacing w:val="5"/>
          <w:kern w:val="0"/>
          <w:sz w:val="24"/>
        </w:rPr>
      </w:pPr>
      <w:r w:rsidRPr="00D554C2">
        <w:rPr>
          <w:rFonts w:ascii="宋体" w:eastAsia="宋体" w:hAnsi="Calibri" w:cs="宋体" w:hint="eastAsia"/>
          <w:spacing w:val="5"/>
          <w:kern w:val="0"/>
          <w:sz w:val="24"/>
        </w:rPr>
        <w:t>2.健美操运动的基本理论、基本知识和基本技能。</w:t>
      </w:r>
    </w:p>
    <w:p w14:paraId="66444ED7"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宋体" w:cs="Times New Roman"/>
          <w:sz w:val="24"/>
        </w:rPr>
      </w:pPr>
      <w:r w:rsidRPr="00D554C2">
        <w:rPr>
          <w:rFonts w:ascii="宋体" w:eastAsia="宋体" w:hAnsi="Calibri" w:cs="宋体" w:hint="eastAsia"/>
          <w:spacing w:val="5"/>
          <w:kern w:val="0"/>
          <w:sz w:val="24"/>
        </w:rPr>
        <w:t>3.掌握一定的科学锻炼方法，扎实的理论知识。</w:t>
      </w:r>
    </w:p>
    <w:p w14:paraId="659186BD" w14:textId="77777777" w:rsidR="00D554C2" w:rsidRPr="00D554C2" w:rsidRDefault="00D554C2" w:rsidP="00D554C2">
      <w:pPr>
        <w:spacing w:line="440" w:lineRule="exact"/>
        <w:ind w:firstLineChars="200" w:firstLine="482"/>
        <w:rPr>
          <w:rFonts w:ascii="宋体" w:eastAsia="宋体" w:hAnsi="宋体" w:cs="Times New Roman"/>
          <w:b/>
          <w:sz w:val="24"/>
        </w:rPr>
      </w:pPr>
      <w:r w:rsidRPr="00D554C2">
        <w:rPr>
          <w:rFonts w:ascii="宋体" w:eastAsia="宋体" w:hAnsi="宋体" w:cs="Times New Roman" w:hint="eastAsia"/>
          <w:b/>
          <w:sz w:val="24"/>
        </w:rPr>
        <w:t>【难点】</w:t>
      </w:r>
    </w:p>
    <w:p w14:paraId="1AEAEB70"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4156D4F2"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 xml:space="preserve">2.考虑学生原有的理论知识和实践技术，在讲授教材及大纲要求的所有知识和技术的同时，重点讲授健美操基本技术、基本战术、拓展编排和健美操欣赏等部分，以达到理论联系实际，学以致用。 </w:t>
      </w:r>
    </w:p>
    <w:p w14:paraId="3B3416AA" w14:textId="77777777" w:rsidR="00D554C2" w:rsidRPr="00D554C2" w:rsidRDefault="00D554C2" w:rsidP="00D554C2">
      <w:pPr>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 xml:space="preserve">3.在健美操基本技术、基本战术学习的基础上，重点提高学生的健美操技术课、理论课的组织能力，培养学生自学能力和研究能力。 </w:t>
      </w:r>
    </w:p>
    <w:p w14:paraId="58564DED" w14:textId="77777777" w:rsidR="00D554C2" w:rsidRPr="00D554C2" w:rsidRDefault="00D554C2" w:rsidP="00D554C2">
      <w:pPr>
        <w:spacing w:line="440" w:lineRule="exact"/>
        <w:ind w:firstLineChars="200" w:firstLine="482"/>
        <w:rPr>
          <w:rFonts w:ascii="宋体" w:eastAsia="宋体" w:hAnsi="宋体" w:cs="Times New Roman"/>
          <w:color w:val="FF0000"/>
          <w:sz w:val="24"/>
        </w:rPr>
      </w:pPr>
      <w:r w:rsidRPr="00D554C2">
        <w:rPr>
          <w:rFonts w:ascii="宋体" w:eastAsia="宋体" w:hAnsi="宋体" w:cs="Times New Roman" w:hint="eastAsia"/>
          <w:b/>
          <w:bCs/>
          <w:sz w:val="24"/>
        </w:rPr>
        <w:t>【实施方式】</w:t>
      </w:r>
    </w:p>
    <w:p w14:paraId="01F85298"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室外实践课程</w:t>
      </w:r>
    </w:p>
    <w:p w14:paraId="2E854E5D" w14:textId="77777777" w:rsidR="00D554C2" w:rsidRPr="00D554C2" w:rsidRDefault="00D554C2" w:rsidP="00D554C2">
      <w:pPr>
        <w:spacing w:line="44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【学习要求】</w:t>
      </w:r>
    </w:p>
    <w:p w14:paraId="4B1C01A8" w14:textId="77777777" w:rsidR="00D554C2" w:rsidRPr="00D554C2" w:rsidRDefault="00D554C2" w:rsidP="00D554C2">
      <w:pPr>
        <w:spacing w:line="500" w:lineRule="exact"/>
        <w:ind w:firstLineChars="200" w:firstLine="480"/>
        <w:rPr>
          <w:rFonts w:ascii="宋体" w:eastAsia="宋体" w:hAnsi="宋体" w:cs="Times New Roman"/>
          <w:b/>
          <w:sz w:val="24"/>
        </w:rPr>
      </w:pPr>
      <w:r w:rsidRPr="00D554C2">
        <w:rPr>
          <w:rFonts w:ascii="宋体" w:eastAsia="宋体" w:hAnsi="宋体" w:cs="Times New Roman" w:hint="eastAsia"/>
          <w:sz w:val="24"/>
        </w:rPr>
        <w:t>1</w:t>
      </w:r>
      <w:r w:rsidRPr="00D554C2">
        <w:rPr>
          <w:rFonts w:ascii="宋体" w:eastAsia="宋体" w:hAnsi="宋体" w:cs="Times New Roman"/>
          <w:sz w:val="24"/>
        </w:rPr>
        <w:t>.</w:t>
      </w:r>
      <w:r w:rsidRPr="00D554C2">
        <w:rPr>
          <w:rFonts w:ascii="宋体" w:eastAsia="宋体" w:hAnsi="宋体" w:cs="Times New Roman" w:hint="eastAsia"/>
          <w:sz w:val="24"/>
        </w:rPr>
        <w:t>了解大学体育课程的性质和授课方式，学分情况和进行网上选项课，开设的15门选项课程，课堂常识和安全注意事项。</w:t>
      </w:r>
    </w:p>
    <w:p w14:paraId="0C785989" w14:textId="77777777" w:rsidR="00D554C2" w:rsidRPr="00D554C2" w:rsidRDefault="00D554C2" w:rsidP="00D554C2">
      <w:pPr>
        <w:spacing w:line="500" w:lineRule="exact"/>
        <w:ind w:firstLineChars="200" w:firstLine="480"/>
        <w:rPr>
          <w:rFonts w:ascii="宋体" w:eastAsia="宋体" w:hAnsi="宋体" w:cs="Times New Roman"/>
          <w:sz w:val="24"/>
        </w:rPr>
      </w:pPr>
      <w:r w:rsidRPr="00D554C2">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D554C2">
        <w:rPr>
          <w:rFonts w:ascii="宋体" w:eastAsia="宋体" w:hAnsi="宋体" w:cs="Times New Roman" w:hint="eastAsia"/>
          <w:sz w:val="24"/>
        </w:rPr>
        <w:t>缓测免</w:t>
      </w:r>
      <w:proofErr w:type="gramEnd"/>
      <w:r w:rsidRPr="00D554C2">
        <w:rPr>
          <w:rFonts w:ascii="宋体" w:eastAsia="宋体" w:hAnsi="宋体" w:cs="Times New Roman" w:hint="eastAsia"/>
          <w:sz w:val="24"/>
        </w:rPr>
        <w:t>测的申请流程以及掌握测验时间。</w:t>
      </w:r>
    </w:p>
    <w:p w14:paraId="000F8589" w14:textId="77777777" w:rsidR="00D554C2" w:rsidRPr="00D554C2" w:rsidRDefault="00D554C2" w:rsidP="00D554C2">
      <w:pPr>
        <w:spacing w:line="500" w:lineRule="exact"/>
        <w:ind w:firstLineChars="200" w:firstLine="480"/>
        <w:rPr>
          <w:rFonts w:ascii="宋体" w:eastAsia="宋体" w:hAnsi="宋体" w:cs="Times New Roman"/>
          <w:sz w:val="24"/>
        </w:rPr>
      </w:pPr>
      <w:r w:rsidRPr="00D554C2">
        <w:rPr>
          <w:rFonts w:ascii="宋体" w:eastAsia="宋体" w:hAnsi="宋体" w:cs="Times New Roman" w:hint="eastAsia"/>
          <w:sz w:val="24"/>
        </w:rPr>
        <w:t>3</w:t>
      </w:r>
      <w:r w:rsidRPr="00D554C2">
        <w:rPr>
          <w:rFonts w:ascii="宋体" w:eastAsia="宋体" w:hAnsi="宋体" w:cs="Times New Roman"/>
          <w:sz w:val="24"/>
        </w:rPr>
        <w:t>.</w:t>
      </w:r>
      <w:r w:rsidRPr="00D554C2">
        <w:rPr>
          <w:rFonts w:ascii="宋体" w:eastAsia="宋体" w:hAnsi="Calibri" w:cs="宋体" w:hint="eastAsia"/>
          <w:color w:val="000000"/>
          <w:spacing w:val="7"/>
          <w:sz w:val="24"/>
        </w:rPr>
        <w:t>通过健美操项目的学习，让学生了解健美操运动的基本知识、技术和技能。提高音乐素养，陶冶情操，塑造形体和提高气质。</w:t>
      </w:r>
      <w:r w:rsidRPr="00D554C2">
        <w:rPr>
          <w:rFonts w:ascii="宋体" w:eastAsia="宋体" w:hAnsi="宋体" w:cs="宋体" w:hint="eastAsia"/>
          <w:sz w:val="24"/>
        </w:rPr>
        <w:t>了解健美操运动的编排原则与方法并进行实践，有团结协作精神和创新精神。</w:t>
      </w:r>
      <w:r w:rsidRPr="00D554C2">
        <w:rPr>
          <w:rFonts w:ascii="宋体" w:eastAsia="宋体" w:hAnsi="宋体" w:cs="Times New Roman"/>
          <w:sz w:val="24"/>
        </w:rPr>
        <w:t xml:space="preserve"> </w:t>
      </w:r>
    </w:p>
    <w:p w14:paraId="6E82850D" w14:textId="77777777" w:rsidR="00D554C2" w:rsidRPr="00D554C2" w:rsidRDefault="00D554C2" w:rsidP="00D554C2">
      <w:pPr>
        <w:spacing w:line="440" w:lineRule="exact"/>
        <w:ind w:firstLineChars="200" w:firstLine="482"/>
        <w:rPr>
          <w:rFonts w:ascii="宋体" w:eastAsia="宋体" w:hAnsi="宋体" w:cs="Times New Roman"/>
          <w:sz w:val="24"/>
        </w:rPr>
      </w:pPr>
      <w:r w:rsidRPr="00D554C2">
        <w:rPr>
          <w:rFonts w:ascii="宋体" w:eastAsia="宋体" w:hAnsi="宋体" w:cs="Times New Roman" w:hint="eastAsia"/>
          <w:b/>
          <w:sz w:val="24"/>
        </w:rPr>
        <w:t>【实践要求】</w:t>
      </w:r>
    </w:p>
    <w:p w14:paraId="20372AFA"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1.实践属性：综合训练型</w:t>
      </w:r>
    </w:p>
    <w:p w14:paraId="7F78859E"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2.工作流程：开始部分，准备部分，基本部分，结束部分</w:t>
      </w:r>
    </w:p>
    <w:p w14:paraId="4DAB0592"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3.分组要求：自然班和选项班，不超过45人。</w:t>
      </w:r>
    </w:p>
    <w:p w14:paraId="35017F97"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w:t>
      </w:r>
      <w:r w:rsidRPr="00D554C2">
        <w:rPr>
          <w:rFonts w:ascii="宋体" w:eastAsia="宋体" w:hAnsi="宋体" w:cs="Times New Roman" w:hint="eastAsia"/>
          <w:sz w:val="24"/>
        </w:rPr>
        <w:lastRenderedPageBreak/>
        <w:t>内容，拓宽劳动实践渠道，注重新知识、新方法、新技术的学习和应用</w:t>
      </w:r>
    </w:p>
    <w:p w14:paraId="15889D9F"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5.时间安排：每周2学时</w:t>
      </w:r>
    </w:p>
    <w:p w14:paraId="3513A777"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6.其他要求：</w:t>
      </w:r>
    </w:p>
    <w:p w14:paraId="4E0C5DBE" w14:textId="77777777" w:rsidR="00D554C2" w:rsidRPr="00D554C2" w:rsidRDefault="00D554C2" w:rsidP="00D554C2">
      <w:pPr>
        <w:spacing w:beforeLines="50" w:before="156" w:afterLines="50" w:after="156" w:line="440" w:lineRule="exact"/>
        <w:ind w:left="561"/>
        <w:rPr>
          <w:rFonts w:ascii="仿宋" w:eastAsia="仿宋" w:hAnsi="仿宋" w:cs="Times New Roman"/>
          <w:sz w:val="24"/>
        </w:rPr>
      </w:pPr>
      <w:r w:rsidRPr="00D554C2">
        <w:rPr>
          <w:rFonts w:ascii="黑体" w:eastAsia="黑体" w:hAnsi="黑体" w:cs="Times New Roman" w:hint="eastAsia"/>
          <w:sz w:val="28"/>
          <w:szCs w:val="28"/>
        </w:rPr>
        <w:t>（二）课程学习内容与课程学习目标的对应关系</w:t>
      </w:r>
      <w:r w:rsidRPr="00D554C2">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D554C2" w:rsidRPr="00D554C2" w14:paraId="56BF5E15" w14:textId="77777777" w:rsidTr="009B4CAE">
        <w:trPr>
          <w:trHeight w:val="660"/>
          <w:jc w:val="center"/>
        </w:trPr>
        <w:tc>
          <w:tcPr>
            <w:tcW w:w="3403" w:type="dxa"/>
            <w:vAlign w:val="center"/>
          </w:tcPr>
          <w:p w14:paraId="4B750FE0" w14:textId="77777777" w:rsidR="00D554C2" w:rsidRPr="00D554C2" w:rsidRDefault="00D554C2" w:rsidP="00D554C2">
            <w:pPr>
              <w:spacing w:line="440" w:lineRule="exact"/>
              <w:jc w:val="center"/>
              <w:rPr>
                <w:rFonts w:ascii="宋体" w:eastAsia="宋体" w:hAnsi="宋体" w:cs="Times New Roman"/>
                <w:b/>
                <w:bCs/>
                <w:sz w:val="24"/>
              </w:rPr>
            </w:pPr>
            <w:r w:rsidRPr="00D554C2">
              <w:rPr>
                <w:rFonts w:ascii="宋体" w:eastAsia="宋体" w:hAnsi="宋体" w:cs="Times New Roman" w:hint="eastAsia"/>
                <w:b/>
                <w:bCs/>
                <w:sz w:val="24"/>
              </w:rPr>
              <w:t>实践内容</w:t>
            </w:r>
          </w:p>
        </w:tc>
        <w:tc>
          <w:tcPr>
            <w:tcW w:w="2693" w:type="dxa"/>
            <w:vAlign w:val="center"/>
          </w:tcPr>
          <w:p w14:paraId="64EED3A6" w14:textId="77777777" w:rsidR="00D554C2" w:rsidRPr="00D554C2" w:rsidRDefault="00D554C2" w:rsidP="00D554C2">
            <w:pPr>
              <w:spacing w:line="440" w:lineRule="exact"/>
              <w:jc w:val="center"/>
              <w:rPr>
                <w:rFonts w:ascii="宋体" w:eastAsia="宋体" w:hAnsi="宋体" w:cs="Times New Roman"/>
                <w:b/>
                <w:bCs/>
                <w:sz w:val="24"/>
              </w:rPr>
            </w:pPr>
            <w:r w:rsidRPr="00D554C2">
              <w:rPr>
                <w:rFonts w:ascii="宋体" w:eastAsia="宋体" w:hAnsi="宋体" w:cs="Times New Roman" w:hint="eastAsia"/>
                <w:b/>
                <w:bCs/>
                <w:sz w:val="24"/>
              </w:rPr>
              <w:t>实施方式</w:t>
            </w:r>
          </w:p>
        </w:tc>
        <w:tc>
          <w:tcPr>
            <w:tcW w:w="1985" w:type="dxa"/>
            <w:vAlign w:val="center"/>
          </w:tcPr>
          <w:p w14:paraId="393A67E3" w14:textId="77777777" w:rsidR="00D554C2" w:rsidRPr="00D554C2" w:rsidRDefault="00D554C2" w:rsidP="00D554C2">
            <w:pPr>
              <w:spacing w:line="440" w:lineRule="exact"/>
              <w:jc w:val="center"/>
              <w:rPr>
                <w:rFonts w:ascii="宋体" w:eastAsia="宋体" w:hAnsi="宋体" w:cs="Times New Roman"/>
                <w:b/>
                <w:bCs/>
                <w:sz w:val="24"/>
              </w:rPr>
            </w:pPr>
            <w:r w:rsidRPr="00D554C2">
              <w:rPr>
                <w:rFonts w:ascii="宋体" w:eastAsia="宋体" w:hAnsi="宋体" w:cs="Times New Roman" w:hint="eastAsia"/>
                <w:b/>
                <w:bCs/>
                <w:sz w:val="24"/>
              </w:rPr>
              <w:t>支撑的课程目标</w:t>
            </w:r>
          </w:p>
        </w:tc>
        <w:tc>
          <w:tcPr>
            <w:tcW w:w="1276" w:type="dxa"/>
            <w:vAlign w:val="center"/>
          </w:tcPr>
          <w:p w14:paraId="10B04E7A" w14:textId="77777777" w:rsidR="00D554C2" w:rsidRPr="00D554C2" w:rsidRDefault="00D554C2" w:rsidP="00D554C2">
            <w:pPr>
              <w:spacing w:line="440" w:lineRule="exact"/>
              <w:jc w:val="center"/>
              <w:rPr>
                <w:rFonts w:ascii="宋体" w:eastAsia="宋体" w:hAnsi="宋体" w:cs="Times New Roman"/>
                <w:b/>
                <w:bCs/>
                <w:sz w:val="24"/>
              </w:rPr>
            </w:pPr>
            <w:r w:rsidRPr="00D554C2">
              <w:rPr>
                <w:rFonts w:ascii="宋体" w:eastAsia="宋体" w:hAnsi="宋体" w:cs="Times New Roman" w:hint="eastAsia"/>
                <w:b/>
                <w:bCs/>
                <w:sz w:val="24"/>
              </w:rPr>
              <w:t>学时安排</w:t>
            </w:r>
          </w:p>
        </w:tc>
      </w:tr>
      <w:tr w:rsidR="00D554C2" w:rsidRPr="00D554C2" w14:paraId="29F05E59" w14:textId="77777777" w:rsidTr="009B4CAE">
        <w:trPr>
          <w:trHeight w:val="514"/>
          <w:jc w:val="center"/>
        </w:trPr>
        <w:tc>
          <w:tcPr>
            <w:tcW w:w="3403" w:type="dxa"/>
            <w:vAlign w:val="center"/>
          </w:tcPr>
          <w:p w14:paraId="06893B93"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学习内容</w:t>
            </w:r>
            <w:proofErr w:type="gramStart"/>
            <w:r w:rsidRPr="00D554C2">
              <w:rPr>
                <w:rFonts w:ascii="宋体" w:eastAsia="宋体" w:hAnsi="宋体" w:cs="Times New Roman" w:hint="eastAsia"/>
                <w:sz w:val="24"/>
              </w:rPr>
              <w:t>一</w:t>
            </w:r>
            <w:proofErr w:type="gramEnd"/>
            <w:r w:rsidRPr="00D554C2">
              <w:rPr>
                <w:rFonts w:ascii="宋体" w:eastAsia="宋体" w:hAnsi="宋体" w:cs="Times New Roman" w:hint="eastAsia"/>
                <w:sz w:val="24"/>
              </w:rPr>
              <w:t xml:space="preserve"> 体能+健美操</w:t>
            </w:r>
          </w:p>
          <w:p w14:paraId="59BF381D" w14:textId="77777777" w:rsidR="00D554C2" w:rsidRPr="00D554C2" w:rsidRDefault="00D554C2" w:rsidP="00D554C2">
            <w:pPr>
              <w:spacing w:line="440" w:lineRule="exact"/>
              <w:jc w:val="center"/>
              <w:rPr>
                <w:rFonts w:ascii="宋体" w:eastAsia="宋体" w:hAnsi="宋体" w:cs="Times New Roman"/>
                <w:sz w:val="24"/>
              </w:rPr>
            </w:pPr>
          </w:p>
        </w:tc>
        <w:tc>
          <w:tcPr>
            <w:tcW w:w="2693" w:type="dxa"/>
            <w:vAlign w:val="center"/>
          </w:tcPr>
          <w:p w14:paraId="17D895D7"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利用</w:t>
            </w:r>
            <w:proofErr w:type="gramStart"/>
            <w:r w:rsidRPr="00D554C2">
              <w:rPr>
                <w:rFonts w:ascii="宋体" w:eastAsia="宋体" w:hAnsi="宋体" w:cs="Times New Roman" w:hint="eastAsia"/>
                <w:sz w:val="24"/>
              </w:rPr>
              <w:t>微信平台</w:t>
            </w:r>
            <w:proofErr w:type="gramEnd"/>
            <w:r w:rsidRPr="00D554C2">
              <w:rPr>
                <w:rFonts w:ascii="宋体" w:eastAsia="宋体" w:hAnsi="宋体" w:cs="Times New Roman" w:hint="eastAsia"/>
                <w:sz w:val="24"/>
              </w:rPr>
              <w:t>；讲解法；示范法；练习法；</w:t>
            </w:r>
          </w:p>
          <w:p w14:paraId="6AF922C2"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小组合作学习；比赛法</w:t>
            </w:r>
          </w:p>
        </w:tc>
        <w:tc>
          <w:tcPr>
            <w:tcW w:w="1985" w:type="dxa"/>
            <w:vAlign w:val="center"/>
          </w:tcPr>
          <w:p w14:paraId="72B75B84"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课程</w:t>
            </w:r>
            <w:r w:rsidRPr="00D554C2">
              <w:rPr>
                <w:rFonts w:ascii="宋体" w:eastAsia="宋体" w:hAnsi="宋体" w:cs="Times New Roman"/>
                <w:sz w:val="24"/>
              </w:rPr>
              <w:t>目标</w:t>
            </w:r>
            <w:r w:rsidRPr="00D554C2">
              <w:rPr>
                <w:rFonts w:ascii="宋体" w:eastAsia="宋体" w:hAnsi="宋体" w:cs="Times New Roman" w:hint="eastAsia"/>
                <w:sz w:val="24"/>
              </w:rPr>
              <w:t>1、2、3</w:t>
            </w:r>
          </w:p>
        </w:tc>
        <w:tc>
          <w:tcPr>
            <w:tcW w:w="1276" w:type="dxa"/>
            <w:vAlign w:val="center"/>
          </w:tcPr>
          <w:p w14:paraId="7F3EDEA5"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32</w:t>
            </w:r>
          </w:p>
        </w:tc>
      </w:tr>
      <w:tr w:rsidR="00D554C2" w:rsidRPr="00D554C2" w14:paraId="69700570" w14:textId="77777777" w:rsidTr="009B4CAE">
        <w:trPr>
          <w:trHeight w:val="90"/>
          <w:jc w:val="center"/>
        </w:trPr>
        <w:tc>
          <w:tcPr>
            <w:tcW w:w="3403" w:type="dxa"/>
            <w:vAlign w:val="center"/>
          </w:tcPr>
          <w:p w14:paraId="0560404C"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 xml:space="preserve">学习内容二 健美操1 </w:t>
            </w:r>
          </w:p>
          <w:p w14:paraId="588F4D6B" w14:textId="77777777" w:rsidR="00D554C2" w:rsidRPr="00D554C2" w:rsidRDefault="00D554C2" w:rsidP="00D554C2">
            <w:pPr>
              <w:spacing w:line="440" w:lineRule="exact"/>
              <w:jc w:val="center"/>
              <w:rPr>
                <w:rFonts w:ascii="宋体" w:eastAsia="宋体" w:hAnsi="宋体" w:cs="Times New Roman"/>
                <w:sz w:val="24"/>
              </w:rPr>
            </w:pPr>
          </w:p>
        </w:tc>
        <w:tc>
          <w:tcPr>
            <w:tcW w:w="2693" w:type="dxa"/>
            <w:vAlign w:val="center"/>
          </w:tcPr>
          <w:p w14:paraId="0C99E95A"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利用</w:t>
            </w:r>
            <w:proofErr w:type="gramStart"/>
            <w:r w:rsidRPr="00D554C2">
              <w:rPr>
                <w:rFonts w:ascii="宋体" w:eastAsia="宋体" w:hAnsi="宋体" w:cs="Times New Roman" w:hint="eastAsia"/>
                <w:sz w:val="24"/>
              </w:rPr>
              <w:t>微信平台</w:t>
            </w:r>
            <w:proofErr w:type="gramEnd"/>
            <w:r w:rsidRPr="00D554C2">
              <w:rPr>
                <w:rFonts w:ascii="宋体" w:eastAsia="宋体" w:hAnsi="宋体" w:cs="Times New Roman" w:hint="eastAsia"/>
                <w:sz w:val="24"/>
              </w:rPr>
              <w:t>；讲解法；示范法；练习法；</w:t>
            </w:r>
          </w:p>
          <w:p w14:paraId="0799CF41"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小组合作学习；比赛法</w:t>
            </w:r>
          </w:p>
        </w:tc>
        <w:tc>
          <w:tcPr>
            <w:tcW w:w="1985" w:type="dxa"/>
            <w:vAlign w:val="center"/>
          </w:tcPr>
          <w:p w14:paraId="32B0B4E0"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课程</w:t>
            </w:r>
            <w:r w:rsidRPr="00D554C2">
              <w:rPr>
                <w:rFonts w:ascii="宋体" w:eastAsia="宋体" w:hAnsi="宋体" w:cs="Times New Roman"/>
                <w:sz w:val="24"/>
              </w:rPr>
              <w:t>目标</w:t>
            </w:r>
            <w:r w:rsidRPr="00D554C2">
              <w:rPr>
                <w:rFonts w:ascii="宋体" w:eastAsia="宋体" w:hAnsi="宋体" w:cs="Times New Roman" w:hint="eastAsia"/>
                <w:sz w:val="24"/>
              </w:rPr>
              <w:t>1、2、3</w:t>
            </w:r>
          </w:p>
        </w:tc>
        <w:tc>
          <w:tcPr>
            <w:tcW w:w="1276" w:type="dxa"/>
            <w:vAlign w:val="center"/>
          </w:tcPr>
          <w:p w14:paraId="4017BB0F"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32</w:t>
            </w:r>
          </w:p>
        </w:tc>
      </w:tr>
      <w:tr w:rsidR="00D554C2" w:rsidRPr="00D554C2" w14:paraId="6D5C0679" w14:textId="77777777" w:rsidTr="009B4CAE">
        <w:trPr>
          <w:jc w:val="center"/>
        </w:trPr>
        <w:tc>
          <w:tcPr>
            <w:tcW w:w="3403" w:type="dxa"/>
            <w:vAlign w:val="center"/>
          </w:tcPr>
          <w:p w14:paraId="098D9579"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学习内容三 健美操 2</w:t>
            </w:r>
          </w:p>
          <w:p w14:paraId="17ABF922" w14:textId="77777777" w:rsidR="00D554C2" w:rsidRPr="00D554C2" w:rsidRDefault="00D554C2" w:rsidP="00D554C2">
            <w:pPr>
              <w:spacing w:line="440" w:lineRule="exact"/>
              <w:jc w:val="center"/>
              <w:rPr>
                <w:rFonts w:ascii="宋体" w:eastAsia="宋体" w:hAnsi="宋体" w:cs="Times New Roman"/>
                <w:sz w:val="24"/>
              </w:rPr>
            </w:pPr>
          </w:p>
        </w:tc>
        <w:tc>
          <w:tcPr>
            <w:tcW w:w="2693" w:type="dxa"/>
            <w:vAlign w:val="center"/>
          </w:tcPr>
          <w:p w14:paraId="3B814D57"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利用</w:t>
            </w:r>
            <w:proofErr w:type="gramStart"/>
            <w:r w:rsidRPr="00D554C2">
              <w:rPr>
                <w:rFonts w:ascii="宋体" w:eastAsia="宋体" w:hAnsi="宋体" w:cs="Times New Roman" w:hint="eastAsia"/>
                <w:sz w:val="24"/>
              </w:rPr>
              <w:t>微信平台</w:t>
            </w:r>
            <w:proofErr w:type="gramEnd"/>
            <w:r w:rsidRPr="00D554C2">
              <w:rPr>
                <w:rFonts w:ascii="宋体" w:eastAsia="宋体" w:hAnsi="宋体" w:cs="Times New Roman" w:hint="eastAsia"/>
                <w:sz w:val="24"/>
              </w:rPr>
              <w:t>；讲解法；示范法；练习法；</w:t>
            </w:r>
          </w:p>
          <w:p w14:paraId="6A80E116"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小组合作学习；比赛法</w:t>
            </w:r>
          </w:p>
        </w:tc>
        <w:tc>
          <w:tcPr>
            <w:tcW w:w="1985" w:type="dxa"/>
            <w:vAlign w:val="center"/>
          </w:tcPr>
          <w:p w14:paraId="6D480B11"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课程</w:t>
            </w:r>
            <w:r w:rsidRPr="00D554C2">
              <w:rPr>
                <w:rFonts w:ascii="宋体" w:eastAsia="宋体" w:hAnsi="宋体" w:cs="Times New Roman"/>
                <w:sz w:val="24"/>
              </w:rPr>
              <w:t>目标</w:t>
            </w:r>
            <w:r w:rsidRPr="00D554C2">
              <w:rPr>
                <w:rFonts w:ascii="宋体" w:eastAsia="宋体" w:hAnsi="宋体" w:cs="Times New Roman" w:hint="eastAsia"/>
                <w:sz w:val="24"/>
              </w:rPr>
              <w:t>1、2、3</w:t>
            </w:r>
          </w:p>
        </w:tc>
        <w:tc>
          <w:tcPr>
            <w:tcW w:w="1276" w:type="dxa"/>
            <w:vAlign w:val="center"/>
          </w:tcPr>
          <w:p w14:paraId="7FDD7199"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32</w:t>
            </w:r>
          </w:p>
        </w:tc>
      </w:tr>
      <w:tr w:rsidR="00D554C2" w:rsidRPr="00D554C2" w14:paraId="520BE133" w14:textId="77777777" w:rsidTr="009B4CAE">
        <w:trPr>
          <w:jc w:val="center"/>
        </w:trPr>
        <w:tc>
          <w:tcPr>
            <w:tcW w:w="3403" w:type="dxa"/>
            <w:vAlign w:val="center"/>
          </w:tcPr>
          <w:p w14:paraId="7E712E97"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学习内容四 健美操 3</w:t>
            </w:r>
          </w:p>
          <w:p w14:paraId="57154094" w14:textId="77777777" w:rsidR="00D554C2" w:rsidRPr="00D554C2" w:rsidRDefault="00D554C2" w:rsidP="00D554C2">
            <w:pPr>
              <w:spacing w:line="440" w:lineRule="exact"/>
              <w:jc w:val="center"/>
              <w:rPr>
                <w:rFonts w:ascii="宋体" w:eastAsia="宋体" w:hAnsi="宋体" w:cs="Times New Roman"/>
                <w:sz w:val="24"/>
              </w:rPr>
            </w:pPr>
          </w:p>
        </w:tc>
        <w:tc>
          <w:tcPr>
            <w:tcW w:w="2693" w:type="dxa"/>
            <w:vAlign w:val="center"/>
          </w:tcPr>
          <w:p w14:paraId="655B52FE"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利用</w:t>
            </w:r>
            <w:proofErr w:type="gramStart"/>
            <w:r w:rsidRPr="00D554C2">
              <w:rPr>
                <w:rFonts w:ascii="宋体" w:eastAsia="宋体" w:hAnsi="宋体" w:cs="Times New Roman" w:hint="eastAsia"/>
                <w:sz w:val="24"/>
              </w:rPr>
              <w:t>微信平台</w:t>
            </w:r>
            <w:proofErr w:type="gramEnd"/>
            <w:r w:rsidRPr="00D554C2">
              <w:rPr>
                <w:rFonts w:ascii="宋体" w:eastAsia="宋体" w:hAnsi="宋体" w:cs="Times New Roman" w:hint="eastAsia"/>
                <w:sz w:val="24"/>
              </w:rPr>
              <w:t>；讲解法；示范法；练习法；</w:t>
            </w:r>
          </w:p>
          <w:p w14:paraId="7B8BC352"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小组合作学习；比赛法</w:t>
            </w:r>
          </w:p>
        </w:tc>
        <w:tc>
          <w:tcPr>
            <w:tcW w:w="1985" w:type="dxa"/>
            <w:vAlign w:val="center"/>
          </w:tcPr>
          <w:p w14:paraId="3BD113F4"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课程</w:t>
            </w:r>
            <w:r w:rsidRPr="00D554C2">
              <w:rPr>
                <w:rFonts w:ascii="宋体" w:eastAsia="宋体" w:hAnsi="宋体" w:cs="Times New Roman"/>
                <w:sz w:val="24"/>
              </w:rPr>
              <w:t>目标</w:t>
            </w:r>
            <w:r w:rsidRPr="00D554C2">
              <w:rPr>
                <w:rFonts w:ascii="宋体" w:eastAsia="宋体" w:hAnsi="宋体" w:cs="Times New Roman" w:hint="eastAsia"/>
                <w:sz w:val="24"/>
              </w:rPr>
              <w:t>1、2、3</w:t>
            </w:r>
          </w:p>
        </w:tc>
        <w:tc>
          <w:tcPr>
            <w:tcW w:w="1276" w:type="dxa"/>
            <w:vAlign w:val="center"/>
          </w:tcPr>
          <w:p w14:paraId="5EF75885"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32</w:t>
            </w:r>
          </w:p>
        </w:tc>
      </w:tr>
      <w:tr w:rsidR="00D554C2" w:rsidRPr="00D554C2" w14:paraId="0DF565CE" w14:textId="77777777" w:rsidTr="009B4CAE">
        <w:trPr>
          <w:jc w:val="center"/>
        </w:trPr>
        <w:tc>
          <w:tcPr>
            <w:tcW w:w="8081" w:type="dxa"/>
            <w:gridSpan w:val="3"/>
            <w:vAlign w:val="center"/>
          </w:tcPr>
          <w:p w14:paraId="2CCB372C"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合计</w:t>
            </w:r>
          </w:p>
        </w:tc>
        <w:tc>
          <w:tcPr>
            <w:tcW w:w="1276" w:type="dxa"/>
            <w:vAlign w:val="center"/>
          </w:tcPr>
          <w:p w14:paraId="0B105E11"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128</w:t>
            </w:r>
          </w:p>
        </w:tc>
      </w:tr>
    </w:tbl>
    <w:p w14:paraId="1A4F4915" w14:textId="77777777" w:rsidR="00D554C2" w:rsidRPr="00D554C2" w:rsidRDefault="00D554C2" w:rsidP="00D554C2">
      <w:pPr>
        <w:spacing w:beforeLines="50" w:before="156" w:afterLines="50" w:after="156" w:line="440" w:lineRule="exact"/>
        <w:ind w:firstLineChars="200" w:firstLine="560"/>
        <w:rPr>
          <w:rFonts w:ascii="宋体" w:eastAsia="宋体" w:hAnsi="宋体" w:cs="Times New Roman"/>
          <w:sz w:val="24"/>
        </w:rPr>
      </w:pPr>
      <w:r w:rsidRPr="00D554C2">
        <w:rPr>
          <w:rFonts w:ascii="黑体" w:eastAsia="黑体" w:hAnsi="黑体" w:cs="Times New Roman" w:hint="eastAsia"/>
          <w:sz w:val="28"/>
          <w:szCs w:val="28"/>
        </w:rPr>
        <w:t>四、课程考核及与课程学习目标的对应关系</w:t>
      </w:r>
    </w:p>
    <w:p w14:paraId="6EB37BC6"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（一）课程考核内容、考核方式与课程学习目标的对应关系</w:t>
      </w:r>
    </w:p>
    <w:p w14:paraId="76A05044"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D554C2" w:rsidRPr="00D554C2" w14:paraId="56F1511E" w14:textId="77777777" w:rsidTr="009B4CAE">
        <w:trPr>
          <w:trHeight w:val="515"/>
          <w:jc w:val="center"/>
        </w:trPr>
        <w:tc>
          <w:tcPr>
            <w:tcW w:w="1422" w:type="dxa"/>
          </w:tcPr>
          <w:p w14:paraId="7F342BEC"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课程目标</w:t>
            </w:r>
          </w:p>
        </w:tc>
        <w:tc>
          <w:tcPr>
            <w:tcW w:w="5376" w:type="dxa"/>
            <w:vAlign w:val="center"/>
          </w:tcPr>
          <w:p w14:paraId="0F85FA3E"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考核内容</w:t>
            </w:r>
          </w:p>
        </w:tc>
        <w:tc>
          <w:tcPr>
            <w:tcW w:w="2542" w:type="dxa"/>
            <w:vAlign w:val="center"/>
          </w:tcPr>
          <w:p w14:paraId="21DDD998"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考核方式</w:t>
            </w:r>
          </w:p>
        </w:tc>
      </w:tr>
      <w:tr w:rsidR="00D554C2" w:rsidRPr="00D554C2" w14:paraId="514EE450" w14:textId="77777777" w:rsidTr="009B4CAE">
        <w:trPr>
          <w:jc w:val="center"/>
        </w:trPr>
        <w:tc>
          <w:tcPr>
            <w:tcW w:w="1422" w:type="dxa"/>
            <w:vAlign w:val="center"/>
          </w:tcPr>
          <w:p w14:paraId="02C1CEE2" w14:textId="77777777" w:rsidR="00D554C2" w:rsidRPr="00D554C2" w:rsidRDefault="00D554C2" w:rsidP="00D554C2">
            <w:pPr>
              <w:spacing w:line="440" w:lineRule="exact"/>
              <w:jc w:val="center"/>
              <w:rPr>
                <w:rFonts w:ascii="宋体" w:eastAsia="宋体" w:hAnsi="宋体" w:cs="Times New Roman"/>
                <w:bCs/>
                <w:sz w:val="24"/>
              </w:rPr>
            </w:pPr>
            <w:r w:rsidRPr="00D554C2">
              <w:rPr>
                <w:rFonts w:ascii="宋体" w:eastAsia="宋体" w:hAnsi="宋体" w:cs="Times New Roman" w:hint="eastAsia"/>
                <w:bCs/>
                <w:sz w:val="24"/>
              </w:rPr>
              <w:t>课程目标1、2、3</w:t>
            </w:r>
          </w:p>
        </w:tc>
        <w:tc>
          <w:tcPr>
            <w:tcW w:w="5376" w:type="dxa"/>
            <w:vAlign w:val="center"/>
          </w:tcPr>
          <w:p w14:paraId="602A658D"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大学生体质健康标准测试</w:t>
            </w:r>
          </w:p>
        </w:tc>
        <w:tc>
          <w:tcPr>
            <w:tcW w:w="2542" w:type="dxa"/>
            <w:vAlign w:val="center"/>
          </w:tcPr>
          <w:p w14:paraId="5586CDEE" w14:textId="77777777" w:rsidR="00D554C2" w:rsidRPr="00D554C2" w:rsidRDefault="00D554C2" w:rsidP="00D554C2">
            <w:pPr>
              <w:widowControl/>
              <w:jc w:val="left"/>
              <w:rPr>
                <w:rFonts w:ascii="宋体" w:eastAsia="宋体" w:hAnsi="宋体" w:cs="Times New Roman"/>
                <w:bCs/>
                <w:sz w:val="24"/>
              </w:rPr>
            </w:pPr>
          </w:p>
          <w:p w14:paraId="2F971009"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随堂技术考核</w:t>
            </w:r>
          </w:p>
        </w:tc>
      </w:tr>
      <w:tr w:rsidR="00D554C2" w:rsidRPr="00D554C2" w14:paraId="26A4FB62" w14:textId="77777777" w:rsidTr="009B4CAE">
        <w:trPr>
          <w:jc w:val="center"/>
        </w:trPr>
        <w:tc>
          <w:tcPr>
            <w:tcW w:w="1422" w:type="dxa"/>
            <w:vAlign w:val="center"/>
          </w:tcPr>
          <w:p w14:paraId="5A99AFFF" w14:textId="77777777" w:rsidR="00D554C2" w:rsidRPr="00D554C2" w:rsidRDefault="00D554C2" w:rsidP="00D554C2">
            <w:pPr>
              <w:spacing w:line="440" w:lineRule="exact"/>
              <w:jc w:val="center"/>
              <w:rPr>
                <w:rFonts w:ascii="宋体" w:eastAsia="宋体" w:hAnsi="宋体" w:cs="Times New Roman"/>
                <w:bCs/>
                <w:sz w:val="24"/>
              </w:rPr>
            </w:pPr>
            <w:r w:rsidRPr="00D554C2">
              <w:rPr>
                <w:rFonts w:ascii="宋体" w:eastAsia="宋体" w:hAnsi="宋体" w:cs="Times New Roman" w:hint="eastAsia"/>
                <w:bCs/>
                <w:sz w:val="24"/>
              </w:rPr>
              <w:t>课程目标3</w:t>
            </w:r>
          </w:p>
        </w:tc>
        <w:tc>
          <w:tcPr>
            <w:tcW w:w="5376" w:type="dxa"/>
            <w:vAlign w:val="center"/>
          </w:tcPr>
          <w:p w14:paraId="5501A8CB"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立定跳远</w:t>
            </w:r>
          </w:p>
        </w:tc>
        <w:tc>
          <w:tcPr>
            <w:tcW w:w="2542" w:type="dxa"/>
            <w:vAlign w:val="center"/>
          </w:tcPr>
          <w:p w14:paraId="3BB567D0" w14:textId="77777777" w:rsidR="00D554C2" w:rsidRPr="00D554C2" w:rsidRDefault="00D554C2" w:rsidP="00D554C2">
            <w:pPr>
              <w:widowControl/>
              <w:jc w:val="left"/>
              <w:rPr>
                <w:rFonts w:ascii="宋体" w:eastAsia="宋体" w:hAnsi="宋体" w:cs="Times New Roman"/>
                <w:bCs/>
                <w:sz w:val="24"/>
              </w:rPr>
            </w:pPr>
          </w:p>
          <w:p w14:paraId="395C57E7"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随堂技术考核</w:t>
            </w:r>
          </w:p>
        </w:tc>
      </w:tr>
      <w:tr w:rsidR="00D554C2" w:rsidRPr="00D554C2" w14:paraId="232F3FCC" w14:textId="77777777" w:rsidTr="009B4CAE">
        <w:trPr>
          <w:jc w:val="center"/>
        </w:trPr>
        <w:tc>
          <w:tcPr>
            <w:tcW w:w="1422" w:type="dxa"/>
            <w:vAlign w:val="center"/>
          </w:tcPr>
          <w:p w14:paraId="224C9680" w14:textId="77777777" w:rsidR="00D554C2" w:rsidRPr="00D554C2" w:rsidRDefault="00D554C2" w:rsidP="00D554C2">
            <w:pPr>
              <w:spacing w:line="440" w:lineRule="exact"/>
              <w:jc w:val="center"/>
              <w:rPr>
                <w:rFonts w:ascii="宋体" w:eastAsia="宋体" w:hAnsi="宋体" w:cs="Times New Roman"/>
                <w:bCs/>
                <w:sz w:val="24"/>
              </w:rPr>
            </w:pPr>
            <w:r w:rsidRPr="00D554C2">
              <w:rPr>
                <w:rFonts w:ascii="宋体" w:eastAsia="宋体" w:hAnsi="宋体" w:cs="Times New Roman" w:hint="eastAsia"/>
                <w:bCs/>
                <w:sz w:val="24"/>
              </w:rPr>
              <w:t>课程目标3</w:t>
            </w:r>
          </w:p>
        </w:tc>
        <w:tc>
          <w:tcPr>
            <w:tcW w:w="5376" w:type="dxa"/>
            <w:vAlign w:val="center"/>
          </w:tcPr>
          <w:p w14:paraId="6F36734E"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Calibri" w:cs="Times New Roman" w:hint="eastAsia"/>
                <w:bCs/>
                <w:kern w:val="0"/>
                <w:sz w:val="24"/>
              </w:rPr>
              <w:t>健美操套路</w:t>
            </w:r>
            <w:proofErr w:type="gramStart"/>
            <w:r w:rsidRPr="00D554C2">
              <w:rPr>
                <w:rFonts w:ascii="宋体" w:eastAsia="宋体" w:hAnsi="Calibri" w:cs="Times New Roman" w:hint="eastAsia"/>
                <w:bCs/>
                <w:kern w:val="0"/>
                <w:sz w:val="24"/>
              </w:rPr>
              <w:t>一</w:t>
            </w:r>
            <w:proofErr w:type="gramEnd"/>
            <w:r w:rsidRPr="00D554C2">
              <w:rPr>
                <w:rFonts w:ascii="宋体" w:eastAsia="宋体" w:hAnsi="Calibri" w:cs="Times New Roman" w:hint="eastAsia"/>
                <w:bCs/>
                <w:kern w:val="0"/>
                <w:sz w:val="24"/>
              </w:rPr>
              <w:t>技术评定</w:t>
            </w:r>
          </w:p>
        </w:tc>
        <w:tc>
          <w:tcPr>
            <w:tcW w:w="2542" w:type="dxa"/>
            <w:vAlign w:val="center"/>
          </w:tcPr>
          <w:p w14:paraId="16F26A21" w14:textId="77777777" w:rsidR="00D554C2" w:rsidRPr="00D554C2" w:rsidRDefault="00D554C2" w:rsidP="00D554C2">
            <w:pPr>
              <w:widowControl/>
              <w:jc w:val="left"/>
              <w:rPr>
                <w:rFonts w:ascii="宋体" w:eastAsia="宋体" w:hAnsi="宋体" w:cs="Times New Roman"/>
                <w:bCs/>
                <w:sz w:val="24"/>
              </w:rPr>
            </w:pPr>
          </w:p>
          <w:p w14:paraId="6CDE31F4"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随堂技术考核</w:t>
            </w:r>
          </w:p>
        </w:tc>
      </w:tr>
      <w:tr w:rsidR="00D554C2" w:rsidRPr="00D554C2" w14:paraId="7469198D" w14:textId="77777777" w:rsidTr="009B4CAE">
        <w:trPr>
          <w:jc w:val="center"/>
        </w:trPr>
        <w:tc>
          <w:tcPr>
            <w:tcW w:w="1422" w:type="dxa"/>
            <w:vAlign w:val="center"/>
          </w:tcPr>
          <w:p w14:paraId="66AF4D26" w14:textId="77777777" w:rsidR="00D554C2" w:rsidRPr="00D554C2" w:rsidRDefault="00D554C2" w:rsidP="00D554C2">
            <w:pPr>
              <w:spacing w:line="440" w:lineRule="exact"/>
              <w:jc w:val="center"/>
              <w:rPr>
                <w:rFonts w:ascii="宋体" w:eastAsia="宋体" w:hAnsi="宋体" w:cs="Times New Roman"/>
                <w:bCs/>
                <w:sz w:val="24"/>
              </w:rPr>
            </w:pPr>
            <w:r w:rsidRPr="00D554C2">
              <w:rPr>
                <w:rFonts w:ascii="宋体" w:eastAsia="宋体" w:hAnsi="宋体" w:cs="Times New Roman" w:hint="eastAsia"/>
                <w:bCs/>
                <w:sz w:val="24"/>
              </w:rPr>
              <w:lastRenderedPageBreak/>
              <w:t>课程目标3</w:t>
            </w:r>
          </w:p>
        </w:tc>
        <w:tc>
          <w:tcPr>
            <w:tcW w:w="5376" w:type="dxa"/>
            <w:vAlign w:val="center"/>
          </w:tcPr>
          <w:p w14:paraId="6E2F950D"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Calibri" w:cs="Times New Roman" w:hint="eastAsia"/>
                <w:bCs/>
                <w:kern w:val="0"/>
                <w:sz w:val="24"/>
              </w:rPr>
              <w:t>健美操套路二技术评定</w:t>
            </w:r>
          </w:p>
        </w:tc>
        <w:tc>
          <w:tcPr>
            <w:tcW w:w="2542" w:type="dxa"/>
            <w:vAlign w:val="center"/>
          </w:tcPr>
          <w:p w14:paraId="3276034B" w14:textId="77777777" w:rsidR="00D554C2" w:rsidRPr="00D554C2" w:rsidRDefault="00D554C2" w:rsidP="00D554C2">
            <w:pPr>
              <w:widowControl/>
              <w:jc w:val="left"/>
              <w:rPr>
                <w:rFonts w:ascii="宋体" w:eastAsia="宋体" w:hAnsi="宋体" w:cs="Times New Roman"/>
                <w:bCs/>
                <w:sz w:val="24"/>
              </w:rPr>
            </w:pPr>
            <w:r w:rsidRPr="00D554C2">
              <w:rPr>
                <w:rFonts w:ascii="宋体" w:eastAsia="宋体" w:hAnsi="宋体" w:cs="Times New Roman" w:hint="eastAsia"/>
                <w:bCs/>
                <w:sz w:val="24"/>
              </w:rPr>
              <w:t>随堂技术考核</w:t>
            </w:r>
          </w:p>
        </w:tc>
      </w:tr>
    </w:tbl>
    <w:p w14:paraId="7F063719"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（二）课程目标达成评价方式及考核比例</w:t>
      </w:r>
    </w:p>
    <w:p w14:paraId="2C7CA41B"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健美操课程</w:t>
      </w:r>
      <w:proofErr w:type="gramStart"/>
      <w:r w:rsidRPr="00D554C2">
        <w:rPr>
          <w:rFonts w:ascii="宋体" w:eastAsia="宋体" w:hAnsi="宋体" w:cs="Times New Roman" w:hint="eastAsia"/>
          <w:sz w:val="24"/>
        </w:rPr>
        <w:t>1、2、3、4每</w:t>
      </w:r>
      <w:proofErr w:type="gramEnd"/>
      <w:r w:rsidRPr="00D554C2">
        <w:rPr>
          <w:rFonts w:ascii="宋体" w:eastAsia="宋体" w:hAnsi="宋体" w:cs="Times New Roman" w:hint="eastAsia"/>
          <w:sz w:val="24"/>
        </w:rPr>
        <w:t>学期考核方式及成绩比例为：课堂表现20%</w:t>
      </w:r>
      <w:r w:rsidRPr="00D554C2">
        <w:rPr>
          <w:rFonts w:ascii="宋体" w:eastAsia="宋体" w:hAnsi="宋体" w:cs="Times New Roman"/>
          <w:sz w:val="24"/>
        </w:rPr>
        <w:t>+</w:t>
      </w:r>
      <w:r w:rsidRPr="00D554C2">
        <w:rPr>
          <w:rFonts w:ascii="宋体" w:eastAsia="宋体" w:hAnsi="宋体" w:cs="Times New Roman" w:hint="eastAsia"/>
          <w:sz w:val="24"/>
        </w:rPr>
        <w:t>期中考核30%</w:t>
      </w:r>
      <w:r w:rsidRPr="00D554C2">
        <w:rPr>
          <w:rFonts w:ascii="宋体" w:eastAsia="宋体" w:hAnsi="宋体" w:cs="Times New Roman"/>
          <w:sz w:val="24"/>
        </w:rPr>
        <w:t>+</w:t>
      </w:r>
      <w:r w:rsidRPr="00D554C2">
        <w:rPr>
          <w:rFonts w:ascii="宋体" w:eastAsia="宋体" w:hAnsi="宋体" w:cs="Times New Roman" w:hint="eastAsia"/>
          <w:sz w:val="24"/>
        </w:rPr>
        <w:t>课期</w:t>
      </w:r>
      <w:proofErr w:type="gramStart"/>
      <w:r w:rsidRPr="00D554C2">
        <w:rPr>
          <w:rFonts w:ascii="宋体" w:eastAsia="宋体" w:hAnsi="宋体" w:cs="Times New Roman" w:hint="eastAsia"/>
          <w:sz w:val="24"/>
        </w:rPr>
        <w:t>末考试</w:t>
      </w:r>
      <w:proofErr w:type="gramEnd"/>
      <w:r w:rsidRPr="00D554C2">
        <w:rPr>
          <w:rFonts w:ascii="宋体" w:eastAsia="宋体" w:hAnsi="宋体" w:cs="Times New Roman" w:hint="eastAsia"/>
          <w:sz w:val="24"/>
        </w:rPr>
        <w:t>5</w:t>
      </w:r>
      <w:r w:rsidRPr="00D554C2">
        <w:rPr>
          <w:rFonts w:ascii="宋体" w:eastAsia="宋体" w:hAnsi="宋体" w:cs="Times New Roman"/>
          <w:sz w:val="24"/>
        </w:rPr>
        <w:t>0</w:t>
      </w:r>
      <w:r w:rsidRPr="00D554C2">
        <w:rPr>
          <w:rFonts w:ascii="宋体" w:eastAsia="宋体" w:hAnsi="宋体" w:cs="Times New Roman" w:hint="eastAsia"/>
          <w:sz w:val="24"/>
        </w:rPr>
        <w:t>%；本课程共有三个课程目标，考核方式及成绩比例分别为：</w:t>
      </w:r>
    </w:p>
    <w:p w14:paraId="44B07A8C"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课程目标1：课堂表现5%</w:t>
      </w:r>
      <w:r w:rsidRPr="00D554C2">
        <w:rPr>
          <w:rFonts w:ascii="宋体" w:eastAsia="宋体" w:hAnsi="宋体" w:cs="Times New Roman"/>
          <w:sz w:val="24"/>
        </w:rPr>
        <w:t>+</w:t>
      </w:r>
      <w:r w:rsidRPr="00D554C2">
        <w:rPr>
          <w:rFonts w:ascii="宋体" w:eastAsia="宋体" w:hAnsi="宋体" w:cs="Times New Roman" w:hint="eastAsia"/>
          <w:sz w:val="24"/>
        </w:rPr>
        <w:t>阶段测试10%</w:t>
      </w:r>
      <w:r w:rsidRPr="00D554C2">
        <w:rPr>
          <w:rFonts w:ascii="宋体" w:eastAsia="宋体" w:hAnsi="宋体" w:cs="Times New Roman"/>
          <w:sz w:val="24"/>
        </w:rPr>
        <w:t>+</w:t>
      </w:r>
      <w:r w:rsidRPr="00D554C2">
        <w:rPr>
          <w:rFonts w:ascii="宋体" w:eastAsia="宋体" w:hAnsi="宋体" w:cs="Times New Roman" w:hint="eastAsia"/>
          <w:sz w:val="24"/>
        </w:rPr>
        <w:t>期末考试20%</w:t>
      </w:r>
    </w:p>
    <w:p w14:paraId="415A256D"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课程目标2：课堂表现10%</w:t>
      </w:r>
      <w:r w:rsidRPr="00D554C2">
        <w:rPr>
          <w:rFonts w:ascii="宋体" w:eastAsia="宋体" w:hAnsi="宋体" w:cs="Times New Roman"/>
          <w:sz w:val="24"/>
        </w:rPr>
        <w:t>+</w:t>
      </w:r>
      <w:r w:rsidRPr="00D554C2">
        <w:rPr>
          <w:rFonts w:ascii="宋体" w:eastAsia="宋体" w:hAnsi="宋体" w:cs="Times New Roman" w:hint="eastAsia"/>
          <w:sz w:val="24"/>
        </w:rPr>
        <w:t>阶段测试10%</w:t>
      </w:r>
      <w:r w:rsidRPr="00D554C2">
        <w:rPr>
          <w:rFonts w:ascii="宋体" w:eastAsia="宋体" w:hAnsi="宋体" w:cs="Times New Roman"/>
          <w:sz w:val="24"/>
        </w:rPr>
        <w:t>+</w:t>
      </w:r>
      <w:r w:rsidRPr="00D554C2">
        <w:rPr>
          <w:rFonts w:ascii="宋体" w:eastAsia="宋体" w:hAnsi="宋体" w:cs="Times New Roman" w:hint="eastAsia"/>
          <w:sz w:val="24"/>
        </w:rPr>
        <w:t>期末考试20%</w:t>
      </w:r>
    </w:p>
    <w:p w14:paraId="3A5A94E6"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课程目标3：课堂表现5%</w:t>
      </w:r>
      <w:r w:rsidRPr="00D554C2">
        <w:rPr>
          <w:rFonts w:ascii="宋体" w:eastAsia="宋体" w:hAnsi="宋体" w:cs="Times New Roman"/>
          <w:sz w:val="24"/>
        </w:rPr>
        <w:t>+</w:t>
      </w:r>
      <w:r w:rsidRPr="00D554C2">
        <w:rPr>
          <w:rFonts w:ascii="宋体" w:eastAsia="宋体" w:hAnsi="宋体" w:cs="Times New Roman" w:hint="eastAsia"/>
          <w:sz w:val="24"/>
        </w:rPr>
        <w:t>阶段测试10%</w:t>
      </w:r>
      <w:r w:rsidRPr="00D554C2">
        <w:rPr>
          <w:rFonts w:ascii="宋体" w:eastAsia="宋体" w:hAnsi="宋体" w:cs="Times New Roman"/>
          <w:sz w:val="24"/>
        </w:rPr>
        <w:t>+</w:t>
      </w:r>
      <w:r w:rsidRPr="00D554C2">
        <w:rPr>
          <w:rFonts w:ascii="宋体" w:eastAsia="宋体" w:hAnsi="宋体" w:cs="Times New Roman" w:hint="eastAsia"/>
          <w:sz w:val="24"/>
        </w:rPr>
        <w:t>期末考试10%</w:t>
      </w:r>
    </w:p>
    <w:p w14:paraId="400F0E47"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D554C2" w:rsidRPr="00D554C2" w14:paraId="5FB07D19" w14:textId="77777777" w:rsidTr="009B4CAE">
        <w:trPr>
          <w:trHeight w:val="540"/>
          <w:jc w:val="center"/>
        </w:trPr>
        <w:tc>
          <w:tcPr>
            <w:tcW w:w="1422" w:type="dxa"/>
            <w:vMerge w:val="restart"/>
            <w:vAlign w:val="center"/>
          </w:tcPr>
          <w:p w14:paraId="1CA381A7"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课程目标</w:t>
            </w:r>
          </w:p>
        </w:tc>
        <w:tc>
          <w:tcPr>
            <w:tcW w:w="6271" w:type="dxa"/>
            <w:gridSpan w:val="4"/>
            <w:vAlign w:val="center"/>
          </w:tcPr>
          <w:p w14:paraId="47B19E90"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考核方式及成绩比例（%）</w:t>
            </w:r>
          </w:p>
        </w:tc>
        <w:tc>
          <w:tcPr>
            <w:tcW w:w="1559" w:type="dxa"/>
            <w:vMerge w:val="restart"/>
            <w:vAlign w:val="center"/>
          </w:tcPr>
          <w:p w14:paraId="041CCB50"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合计</w:t>
            </w:r>
          </w:p>
        </w:tc>
      </w:tr>
      <w:tr w:rsidR="00D554C2" w:rsidRPr="00D554C2" w14:paraId="16EA2CD0" w14:textId="77777777" w:rsidTr="009B4CAE">
        <w:trPr>
          <w:trHeight w:val="578"/>
          <w:jc w:val="center"/>
        </w:trPr>
        <w:tc>
          <w:tcPr>
            <w:tcW w:w="1422" w:type="dxa"/>
            <w:vMerge/>
            <w:vAlign w:val="center"/>
          </w:tcPr>
          <w:p w14:paraId="10BC1B66" w14:textId="77777777" w:rsidR="00D554C2" w:rsidRPr="00D554C2" w:rsidRDefault="00D554C2" w:rsidP="00D554C2">
            <w:pPr>
              <w:spacing w:line="440" w:lineRule="exact"/>
              <w:rPr>
                <w:rFonts w:ascii="宋体" w:eastAsia="宋体" w:hAnsi="宋体" w:cs="Times New Roman"/>
                <w:b/>
                <w:sz w:val="24"/>
              </w:rPr>
            </w:pPr>
          </w:p>
        </w:tc>
        <w:tc>
          <w:tcPr>
            <w:tcW w:w="1452" w:type="dxa"/>
            <w:vAlign w:val="center"/>
          </w:tcPr>
          <w:p w14:paraId="1B73E070"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课堂表现</w:t>
            </w:r>
          </w:p>
        </w:tc>
        <w:tc>
          <w:tcPr>
            <w:tcW w:w="1559" w:type="dxa"/>
            <w:vAlign w:val="center"/>
          </w:tcPr>
          <w:p w14:paraId="4775EDFF"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阶段测试</w:t>
            </w:r>
          </w:p>
        </w:tc>
        <w:tc>
          <w:tcPr>
            <w:tcW w:w="1701" w:type="dxa"/>
            <w:vAlign w:val="center"/>
          </w:tcPr>
          <w:p w14:paraId="12382A27"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课程论文</w:t>
            </w:r>
          </w:p>
        </w:tc>
        <w:tc>
          <w:tcPr>
            <w:tcW w:w="1559" w:type="dxa"/>
            <w:vAlign w:val="center"/>
          </w:tcPr>
          <w:p w14:paraId="0FB5DDD5"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期末考试</w:t>
            </w:r>
          </w:p>
        </w:tc>
        <w:tc>
          <w:tcPr>
            <w:tcW w:w="1559" w:type="dxa"/>
            <w:vMerge/>
          </w:tcPr>
          <w:p w14:paraId="4F0BE8AE" w14:textId="77777777" w:rsidR="00D554C2" w:rsidRPr="00D554C2" w:rsidRDefault="00D554C2" w:rsidP="00D554C2">
            <w:pPr>
              <w:spacing w:line="440" w:lineRule="exact"/>
              <w:rPr>
                <w:rFonts w:ascii="宋体" w:eastAsia="宋体" w:hAnsi="宋体" w:cs="Times New Roman"/>
                <w:b/>
                <w:sz w:val="24"/>
              </w:rPr>
            </w:pPr>
          </w:p>
        </w:tc>
      </w:tr>
      <w:tr w:rsidR="00D554C2" w:rsidRPr="00D554C2" w14:paraId="5C493CEE" w14:textId="77777777" w:rsidTr="009B4CAE">
        <w:trPr>
          <w:jc w:val="center"/>
        </w:trPr>
        <w:tc>
          <w:tcPr>
            <w:tcW w:w="1422" w:type="dxa"/>
            <w:vAlign w:val="center"/>
          </w:tcPr>
          <w:p w14:paraId="30C5D39F"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课程目标1</w:t>
            </w:r>
          </w:p>
        </w:tc>
        <w:tc>
          <w:tcPr>
            <w:tcW w:w="1452" w:type="dxa"/>
            <w:vAlign w:val="center"/>
          </w:tcPr>
          <w:p w14:paraId="30544D1C"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5</w:t>
            </w:r>
          </w:p>
        </w:tc>
        <w:tc>
          <w:tcPr>
            <w:tcW w:w="1559" w:type="dxa"/>
            <w:vAlign w:val="center"/>
          </w:tcPr>
          <w:p w14:paraId="2D1EF68D"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10</w:t>
            </w:r>
          </w:p>
        </w:tc>
        <w:tc>
          <w:tcPr>
            <w:tcW w:w="1701" w:type="dxa"/>
            <w:vAlign w:val="center"/>
          </w:tcPr>
          <w:p w14:paraId="17E54EB9" w14:textId="77777777" w:rsidR="00D554C2" w:rsidRPr="00D554C2" w:rsidRDefault="00D554C2" w:rsidP="00D554C2">
            <w:pPr>
              <w:spacing w:line="440" w:lineRule="exact"/>
              <w:rPr>
                <w:rFonts w:ascii="宋体" w:eastAsia="宋体" w:hAnsi="宋体" w:cs="Times New Roman"/>
                <w:bCs/>
                <w:sz w:val="24"/>
              </w:rPr>
            </w:pPr>
          </w:p>
        </w:tc>
        <w:tc>
          <w:tcPr>
            <w:tcW w:w="1559" w:type="dxa"/>
            <w:vAlign w:val="center"/>
          </w:tcPr>
          <w:p w14:paraId="5309DE55"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20</w:t>
            </w:r>
          </w:p>
        </w:tc>
        <w:tc>
          <w:tcPr>
            <w:tcW w:w="1559" w:type="dxa"/>
          </w:tcPr>
          <w:p w14:paraId="3CA33586"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35</w:t>
            </w:r>
          </w:p>
        </w:tc>
      </w:tr>
      <w:tr w:rsidR="00D554C2" w:rsidRPr="00D554C2" w14:paraId="0C4596FC" w14:textId="77777777" w:rsidTr="009B4CAE">
        <w:trPr>
          <w:jc w:val="center"/>
        </w:trPr>
        <w:tc>
          <w:tcPr>
            <w:tcW w:w="1422" w:type="dxa"/>
            <w:vAlign w:val="center"/>
          </w:tcPr>
          <w:p w14:paraId="00B35BD8"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课程目标2</w:t>
            </w:r>
          </w:p>
        </w:tc>
        <w:tc>
          <w:tcPr>
            <w:tcW w:w="1452" w:type="dxa"/>
            <w:vAlign w:val="center"/>
          </w:tcPr>
          <w:p w14:paraId="7BD717BA"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10</w:t>
            </w:r>
          </w:p>
        </w:tc>
        <w:tc>
          <w:tcPr>
            <w:tcW w:w="1559" w:type="dxa"/>
            <w:vAlign w:val="center"/>
          </w:tcPr>
          <w:p w14:paraId="05B62580"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10</w:t>
            </w:r>
          </w:p>
        </w:tc>
        <w:tc>
          <w:tcPr>
            <w:tcW w:w="1701" w:type="dxa"/>
            <w:vAlign w:val="center"/>
          </w:tcPr>
          <w:p w14:paraId="37C93FF2" w14:textId="77777777" w:rsidR="00D554C2" w:rsidRPr="00D554C2" w:rsidRDefault="00D554C2" w:rsidP="00D554C2">
            <w:pPr>
              <w:spacing w:line="440" w:lineRule="exact"/>
              <w:rPr>
                <w:rFonts w:ascii="宋体" w:eastAsia="宋体" w:hAnsi="宋体" w:cs="Times New Roman"/>
                <w:bCs/>
                <w:sz w:val="24"/>
              </w:rPr>
            </w:pPr>
          </w:p>
        </w:tc>
        <w:tc>
          <w:tcPr>
            <w:tcW w:w="1559" w:type="dxa"/>
            <w:vAlign w:val="center"/>
          </w:tcPr>
          <w:p w14:paraId="3EA6F357"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20</w:t>
            </w:r>
          </w:p>
        </w:tc>
        <w:tc>
          <w:tcPr>
            <w:tcW w:w="1559" w:type="dxa"/>
          </w:tcPr>
          <w:p w14:paraId="25D234F0"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40</w:t>
            </w:r>
          </w:p>
        </w:tc>
      </w:tr>
      <w:tr w:rsidR="00D554C2" w:rsidRPr="00D554C2" w14:paraId="6D7751D0" w14:textId="77777777" w:rsidTr="009B4CAE">
        <w:trPr>
          <w:jc w:val="center"/>
        </w:trPr>
        <w:tc>
          <w:tcPr>
            <w:tcW w:w="1422" w:type="dxa"/>
            <w:vAlign w:val="center"/>
          </w:tcPr>
          <w:p w14:paraId="64BDF313"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课程目标3</w:t>
            </w:r>
          </w:p>
        </w:tc>
        <w:tc>
          <w:tcPr>
            <w:tcW w:w="1452" w:type="dxa"/>
            <w:vAlign w:val="center"/>
          </w:tcPr>
          <w:p w14:paraId="6622FC36"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5</w:t>
            </w:r>
          </w:p>
        </w:tc>
        <w:tc>
          <w:tcPr>
            <w:tcW w:w="1559" w:type="dxa"/>
            <w:vAlign w:val="center"/>
          </w:tcPr>
          <w:p w14:paraId="67329B6D"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10</w:t>
            </w:r>
          </w:p>
        </w:tc>
        <w:tc>
          <w:tcPr>
            <w:tcW w:w="1701" w:type="dxa"/>
            <w:vAlign w:val="center"/>
          </w:tcPr>
          <w:p w14:paraId="1B818F73" w14:textId="77777777" w:rsidR="00D554C2" w:rsidRPr="00D554C2" w:rsidRDefault="00D554C2" w:rsidP="00D554C2">
            <w:pPr>
              <w:spacing w:line="440" w:lineRule="exact"/>
              <w:rPr>
                <w:rFonts w:ascii="宋体" w:eastAsia="宋体" w:hAnsi="宋体" w:cs="Times New Roman"/>
                <w:bCs/>
                <w:sz w:val="24"/>
              </w:rPr>
            </w:pPr>
          </w:p>
        </w:tc>
        <w:tc>
          <w:tcPr>
            <w:tcW w:w="1559" w:type="dxa"/>
            <w:vAlign w:val="center"/>
          </w:tcPr>
          <w:p w14:paraId="5468E300"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10</w:t>
            </w:r>
          </w:p>
        </w:tc>
        <w:tc>
          <w:tcPr>
            <w:tcW w:w="1559" w:type="dxa"/>
          </w:tcPr>
          <w:p w14:paraId="56D967FE"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25</w:t>
            </w:r>
          </w:p>
        </w:tc>
      </w:tr>
      <w:tr w:rsidR="00D554C2" w:rsidRPr="00D554C2" w14:paraId="0C318964" w14:textId="77777777" w:rsidTr="009B4CAE">
        <w:trPr>
          <w:jc w:val="center"/>
        </w:trPr>
        <w:tc>
          <w:tcPr>
            <w:tcW w:w="1422" w:type="dxa"/>
            <w:vAlign w:val="center"/>
          </w:tcPr>
          <w:p w14:paraId="158A90E6"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合计</w:t>
            </w:r>
          </w:p>
        </w:tc>
        <w:tc>
          <w:tcPr>
            <w:tcW w:w="1452" w:type="dxa"/>
            <w:vAlign w:val="center"/>
          </w:tcPr>
          <w:p w14:paraId="7FE5969A"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20</w:t>
            </w:r>
          </w:p>
        </w:tc>
        <w:tc>
          <w:tcPr>
            <w:tcW w:w="1559" w:type="dxa"/>
            <w:vAlign w:val="center"/>
          </w:tcPr>
          <w:p w14:paraId="25CF83FD"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30</w:t>
            </w:r>
          </w:p>
        </w:tc>
        <w:tc>
          <w:tcPr>
            <w:tcW w:w="1701" w:type="dxa"/>
            <w:vAlign w:val="center"/>
          </w:tcPr>
          <w:p w14:paraId="25074612" w14:textId="77777777" w:rsidR="00D554C2" w:rsidRPr="00D554C2" w:rsidRDefault="00D554C2" w:rsidP="00D554C2">
            <w:pPr>
              <w:spacing w:line="440" w:lineRule="exact"/>
              <w:rPr>
                <w:rFonts w:ascii="宋体" w:eastAsia="宋体" w:hAnsi="宋体" w:cs="Times New Roman"/>
                <w:bCs/>
                <w:sz w:val="24"/>
              </w:rPr>
            </w:pPr>
          </w:p>
        </w:tc>
        <w:tc>
          <w:tcPr>
            <w:tcW w:w="1559" w:type="dxa"/>
            <w:vAlign w:val="center"/>
          </w:tcPr>
          <w:p w14:paraId="2317ED1E"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50</w:t>
            </w:r>
          </w:p>
        </w:tc>
        <w:tc>
          <w:tcPr>
            <w:tcW w:w="1559" w:type="dxa"/>
          </w:tcPr>
          <w:p w14:paraId="67F063CC"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w:t>
            </w:r>
            <w:r w:rsidRPr="00D554C2">
              <w:rPr>
                <w:rFonts w:ascii="宋体" w:eastAsia="宋体" w:hAnsi="宋体" w:cs="Times New Roman"/>
                <w:bCs/>
                <w:sz w:val="24"/>
              </w:rPr>
              <w:t>00</w:t>
            </w:r>
          </w:p>
        </w:tc>
      </w:tr>
    </w:tbl>
    <w:p w14:paraId="6370739A" w14:textId="77777777" w:rsidR="00D554C2" w:rsidRPr="00D554C2" w:rsidRDefault="00D554C2" w:rsidP="00D554C2">
      <w:pPr>
        <w:spacing w:line="440" w:lineRule="exact"/>
        <w:ind w:firstLineChars="200" w:firstLine="480"/>
        <w:rPr>
          <w:rFonts w:ascii="宋体" w:eastAsia="宋体" w:hAnsi="宋体" w:cs="Times New Roman"/>
          <w:sz w:val="24"/>
        </w:rPr>
      </w:pPr>
    </w:p>
    <w:p w14:paraId="6C0FD693" w14:textId="77777777" w:rsidR="00D554C2" w:rsidRPr="00D554C2" w:rsidRDefault="00D554C2" w:rsidP="00C63ECC">
      <w:pPr>
        <w:pStyle w:val="afc"/>
      </w:pPr>
      <w:bookmarkStart w:id="68" w:name="_Toc11431"/>
      <w:r w:rsidRPr="00D554C2">
        <w:rPr>
          <w:rFonts w:hint="eastAsia"/>
        </w:rPr>
        <w:t>五、成绩评定</w:t>
      </w:r>
      <w:bookmarkEnd w:id="68"/>
    </w:p>
    <w:p w14:paraId="36A7BA5E"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（一）总成绩评定</w:t>
      </w:r>
    </w:p>
    <w:p w14:paraId="5BA57074"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总成绩=平时成绩×20%+期中成绩×30%+期末成绩×50%</w:t>
      </w:r>
    </w:p>
    <w:p w14:paraId="74D7F6D7"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备注：每学期总成绩</w:t>
      </w:r>
    </w:p>
    <w:p w14:paraId="1C259B1B" w14:textId="77777777" w:rsidR="00D554C2" w:rsidRPr="00D554C2" w:rsidRDefault="00D554C2" w:rsidP="00D554C2">
      <w:pPr>
        <w:spacing w:beforeLines="50" w:before="156" w:afterLines="50" w:after="156" w:line="440" w:lineRule="exact"/>
        <w:ind w:firstLineChars="200" w:firstLine="560"/>
        <w:rPr>
          <w:rFonts w:ascii="宋体" w:eastAsia="宋体" w:hAnsi="宋体" w:cs="Times New Roman"/>
          <w:color w:val="FF0000"/>
          <w:sz w:val="24"/>
        </w:rPr>
      </w:pPr>
      <w:r w:rsidRPr="00D554C2">
        <w:rPr>
          <w:rFonts w:ascii="黑体" w:eastAsia="黑体" w:hAnsi="黑体" w:cs="Times New Roman" w:hint="eastAsia"/>
          <w:sz w:val="28"/>
          <w:szCs w:val="28"/>
        </w:rPr>
        <w:t>（二）平时成绩评定</w:t>
      </w:r>
    </w:p>
    <w:p w14:paraId="69BC1E2B"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（1）课堂表现：通过学生在课堂上的表现情况、发言与主体参与和练习情况，来评价学生相关的能力。</w:t>
      </w:r>
    </w:p>
    <w:p w14:paraId="70DE3CC6"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（2）作业完成情况：围绕课程的学习目标进行作业的设计。如让学生简述对知识的认识，建议</w:t>
      </w:r>
      <w:proofErr w:type="gramStart"/>
      <w:r w:rsidRPr="00D554C2">
        <w:rPr>
          <w:rFonts w:ascii="宋体" w:eastAsia="宋体" w:hAnsi="宋体" w:cs="Times New Roman" w:hint="eastAsia"/>
          <w:sz w:val="24"/>
        </w:rPr>
        <w:t>带准备</w:t>
      </w:r>
      <w:proofErr w:type="gramEnd"/>
      <w:r w:rsidRPr="00D554C2">
        <w:rPr>
          <w:rFonts w:ascii="宋体" w:eastAsia="宋体" w:hAnsi="宋体" w:cs="Times New Roman" w:hint="eastAsia"/>
          <w:sz w:val="24"/>
        </w:rPr>
        <w:t>部分和基本部分中的复习内容，帮助学生将定义转化为自己的理解。学生在小组合作学习中测验掌握课程的情况</w:t>
      </w:r>
    </w:p>
    <w:p w14:paraId="18CE5A03" w14:textId="77777777" w:rsidR="00D554C2" w:rsidRPr="00D554C2" w:rsidRDefault="00D554C2" w:rsidP="00D554C2">
      <w:pPr>
        <w:spacing w:line="440" w:lineRule="exact"/>
        <w:ind w:firstLineChars="200" w:firstLine="480"/>
        <w:rPr>
          <w:rFonts w:ascii="宋体" w:eastAsia="宋体" w:hAnsi="宋体" w:cs="Times New Roman"/>
          <w:color w:val="FF0000"/>
          <w:sz w:val="24"/>
        </w:rPr>
      </w:pPr>
      <w:r w:rsidRPr="00D554C2">
        <w:rPr>
          <w:rFonts w:ascii="宋体" w:eastAsia="宋体" w:hAnsi="宋体" w:cs="Times New Roman" w:hint="eastAsia"/>
          <w:sz w:val="24"/>
        </w:rPr>
        <w:t>（3）课堂考勤：留存辅导员开具的事假条、校医院开具的病假条。缺课达到本学期三分之一课时，按照考试无资格处理。</w:t>
      </w:r>
    </w:p>
    <w:p w14:paraId="3F5FF616"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lastRenderedPageBreak/>
        <w:t>（三）期中、期末成绩评定</w:t>
      </w:r>
    </w:p>
    <w:p w14:paraId="5F709164"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第一学期</w:t>
      </w:r>
    </w:p>
    <w:p w14:paraId="7C869CA4" w14:textId="77777777" w:rsidR="00D554C2" w:rsidRPr="00D554C2" w:rsidRDefault="00D554C2" w:rsidP="00D554C2">
      <w:pPr>
        <w:autoSpaceDE w:val="0"/>
        <w:autoSpaceDN w:val="0"/>
        <w:adjustRightInd w:val="0"/>
        <w:snapToGrid w:val="0"/>
        <w:spacing w:beforeLines="50" w:before="156" w:afterLines="50" w:after="156" w:line="500" w:lineRule="exact"/>
        <w:jc w:val="center"/>
        <w:rPr>
          <w:rFonts w:ascii="宋体" w:eastAsia="宋体" w:hAnsi="Calibri" w:cs="Times New Roman"/>
          <w:b/>
          <w:kern w:val="0"/>
          <w:sz w:val="24"/>
        </w:rPr>
      </w:pPr>
      <w:r w:rsidRPr="00D554C2">
        <w:rPr>
          <w:rFonts w:ascii="宋体" w:eastAsia="宋体" w:hAnsi="Calibri" w:cs="Times New Roman" w:hint="eastAsia"/>
          <w:b/>
          <w:kern w:val="0"/>
          <w:sz w:val="24"/>
        </w:rPr>
        <w:t>期中考试</w:t>
      </w:r>
    </w:p>
    <w:p w14:paraId="53342E52"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通过考核检验体能训练教学效果和学生掌握情况，让学生了解体质健康标准测验的重要性。</w:t>
      </w:r>
    </w:p>
    <w:p w14:paraId="13E1EB9D"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Cs/>
          <w:kern w:val="0"/>
          <w:sz w:val="24"/>
        </w:rPr>
      </w:pPr>
      <w:r w:rsidRPr="00D554C2">
        <w:rPr>
          <w:rFonts w:ascii="宋体" w:eastAsia="宋体" w:hAnsi="Calibri" w:cs="Times New Roman" w:hint="eastAsia"/>
          <w:b/>
          <w:kern w:val="0"/>
          <w:sz w:val="24"/>
        </w:rPr>
        <w:t>2.课程考核的内容：</w:t>
      </w:r>
      <w:r w:rsidRPr="00D554C2">
        <w:rPr>
          <w:rFonts w:ascii="宋体" w:eastAsia="宋体" w:hAnsi="Calibri" w:cs="Times New Roman" w:hint="eastAsia"/>
          <w:bCs/>
          <w:kern w:val="0"/>
          <w:sz w:val="24"/>
        </w:rPr>
        <w:t>立定跳远。</w:t>
      </w:r>
    </w:p>
    <w:p w14:paraId="5D18A81F"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Cs/>
          <w:kern w:val="0"/>
          <w:sz w:val="24"/>
        </w:rPr>
      </w:pPr>
      <w:r w:rsidRPr="00D554C2">
        <w:rPr>
          <w:rFonts w:ascii="宋体" w:eastAsia="宋体" w:hAnsi="Calibri" w:cs="Times New Roman" w:hint="eastAsia"/>
          <w:b/>
          <w:kern w:val="0"/>
          <w:sz w:val="24"/>
        </w:rPr>
        <w:t>3.课程考核的方式：</w:t>
      </w:r>
      <w:r w:rsidRPr="00D554C2">
        <w:rPr>
          <w:rFonts w:ascii="宋体" w:eastAsia="宋体" w:hAnsi="Calibri" w:cs="Times New Roman" w:hint="eastAsia"/>
          <w:bCs/>
          <w:kern w:val="0"/>
          <w:sz w:val="24"/>
        </w:rPr>
        <w:t>沙坑场地，每人跳两次，取最好成绩。</w:t>
      </w:r>
    </w:p>
    <w:p w14:paraId="15F68F0C"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Cs/>
          <w:kern w:val="0"/>
          <w:sz w:val="24"/>
        </w:rPr>
      </w:pPr>
      <w:r w:rsidRPr="00D554C2">
        <w:rPr>
          <w:rFonts w:ascii="宋体" w:eastAsia="宋体" w:hAnsi="Calibri" w:cs="Times New Roman" w:hint="eastAsia"/>
          <w:b/>
          <w:kern w:val="0"/>
          <w:sz w:val="24"/>
        </w:rPr>
        <w:t>4.成绩构成及分值：</w:t>
      </w:r>
      <w:r w:rsidRPr="00D554C2">
        <w:rPr>
          <w:rFonts w:ascii="宋体" w:eastAsia="宋体" w:hAnsi="Calibri" w:cs="Times New Roman" w:hint="eastAsia"/>
          <w:bCs/>
          <w:kern w:val="0"/>
          <w:sz w:val="24"/>
        </w:rPr>
        <w:t>总分值为100分，期中考试占总分值的20%。立定跳远成绩按百分制记录成绩。</w:t>
      </w:r>
    </w:p>
    <w:p w14:paraId="2EDA7469" w14:textId="77777777" w:rsidR="00D554C2" w:rsidRPr="00D554C2" w:rsidRDefault="00D554C2" w:rsidP="00D554C2">
      <w:pPr>
        <w:adjustRightInd w:val="0"/>
        <w:snapToGrid w:val="0"/>
        <w:spacing w:line="500" w:lineRule="exact"/>
        <w:ind w:firstLineChars="200" w:firstLine="482"/>
        <w:jc w:val="left"/>
        <w:rPr>
          <w:rFonts w:ascii="宋体" w:eastAsia="宋体" w:hAnsi="宋体" w:cs="Times New Roman"/>
          <w:sz w:val="24"/>
        </w:rPr>
      </w:pPr>
      <w:r w:rsidRPr="00D554C2">
        <w:rPr>
          <w:rFonts w:ascii="宋体" w:eastAsia="宋体" w:hAnsi="宋体" w:cs="Times New Roman" w:hint="eastAsia"/>
          <w:b/>
          <w:kern w:val="0"/>
          <w:sz w:val="24"/>
        </w:rPr>
        <w:t>5.评分记分原则</w:t>
      </w:r>
    </w:p>
    <w:p w14:paraId="0DB0AAB4" w14:textId="77777777" w:rsidR="00D554C2" w:rsidRPr="00D554C2" w:rsidRDefault="00D554C2" w:rsidP="00D554C2">
      <w:pPr>
        <w:adjustRightInd w:val="0"/>
        <w:snapToGrid w:val="0"/>
        <w:spacing w:line="500" w:lineRule="exact"/>
        <w:jc w:val="center"/>
        <w:rPr>
          <w:rFonts w:ascii="宋体" w:eastAsia="宋体" w:hAnsi="宋体" w:cs="Times New Roman"/>
          <w:bCs/>
          <w:kern w:val="0"/>
          <w:sz w:val="24"/>
        </w:rPr>
      </w:pPr>
      <w:r w:rsidRPr="00D554C2">
        <w:rPr>
          <w:rFonts w:ascii="宋体" w:eastAsia="宋体" w:hAnsi="宋体" w:cs="Times New Roman" w:hint="eastAsia"/>
          <w:bCs/>
          <w:kern w:val="0"/>
          <w:sz w:val="24"/>
        </w:rPr>
        <w:t>表1  大学生立定跳远评价标准</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D554C2" w:rsidRPr="00D554C2" w14:paraId="0657E264" w14:textId="77777777" w:rsidTr="009B4CAE">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D91649A"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5DCD3E09"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5D1D429"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大</w:t>
            </w:r>
            <w:proofErr w:type="gramStart"/>
            <w:r w:rsidRPr="00D554C2">
              <w:rPr>
                <w:rFonts w:ascii="宋体" w:eastAsia="宋体" w:hAnsi="宋体" w:cs="宋体" w:hint="eastAsia"/>
                <w:b/>
                <w:kern w:val="0"/>
                <w:sz w:val="24"/>
                <w:lang w:bidi="ar"/>
              </w:rPr>
              <w:t>一</w:t>
            </w:r>
            <w:proofErr w:type="gramEnd"/>
            <w:r w:rsidRPr="00D554C2">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7DC4EA27"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大</w:t>
            </w:r>
            <w:proofErr w:type="gramStart"/>
            <w:r w:rsidRPr="00D554C2">
              <w:rPr>
                <w:rFonts w:ascii="宋体" w:eastAsia="宋体" w:hAnsi="宋体" w:cs="宋体" w:hint="eastAsia"/>
                <w:b/>
                <w:kern w:val="0"/>
                <w:sz w:val="24"/>
                <w:lang w:bidi="ar"/>
              </w:rPr>
              <w:t>一</w:t>
            </w:r>
            <w:proofErr w:type="gramEnd"/>
            <w:r w:rsidRPr="00D554C2">
              <w:rPr>
                <w:rFonts w:ascii="宋体" w:eastAsia="宋体" w:hAnsi="宋体" w:cs="宋体" w:hint="eastAsia"/>
                <w:b/>
                <w:kern w:val="0"/>
                <w:sz w:val="24"/>
                <w:lang w:bidi="ar"/>
              </w:rPr>
              <w:t>女生</w:t>
            </w:r>
          </w:p>
        </w:tc>
      </w:tr>
      <w:tr w:rsidR="00D554C2" w:rsidRPr="00D554C2" w14:paraId="792D5C76" w14:textId="77777777" w:rsidTr="009B4CAE">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494D27E"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C5C2682"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463E1115" w14:textId="77777777" w:rsidR="00D554C2" w:rsidRPr="00D554C2" w:rsidRDefault="00D554C2" w:rsidP="00D554C2">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562233E3" w14:textId="77777777" w:rsidR="00D554C2" w:rsidRPr="00D554C2" w:rsidRDefault="00D554C2" w:rsidP="00D554C2">
            <w:pPr>
              <w:jc w:val="center"/>
              <w:rPr>
                <w:rFonts w:ascii="宋体" w:eastAsia="宋体" w:hAnsi="宋体" w:cs="宋体"/>
                <w:b/>
                <w:sz w:val="24"/>
              </w:rPr>
            </w:pPr>
          </w:p>
        </w:tc>
      </w:tr>
      <w:tr w:rsidR="00D554C2" w:rsidRPr="00D554C2" w14:paraId="2CA92F42" w14:textId="77777777" w:rsidTr="009B4CAE">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C410244"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4500DE05"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4D522E32"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64C31FD6"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207</w:t>
            </w:r>
          </w:p>
        </w:tc>
      </w:tr>
      <w:tr w:rsidR="00D554C2" w:rsidRPr="00D554C2" w14:paraId="5A9CAEE2"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186BAA2"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8B2D9E0"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605D5E7C"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78FE9B67"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201</w:t>
            </w:r>
          </w:p>
        </w:tc>
      </w:tr>
      <w:tr w:rsidR="00D554C2" w:rsidRPr="00D554C2" w14:paraId="6E452738"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7EE06AB"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1829D8C"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AE2CC04"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9B98C38"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195</w:t>
            </w:r>
          </w:p>
        </w:tc>
      </w:tr>
      <w:tr w:rsidR="00D554C2" w:rsidRPr="00D554C2" w14:paraId="11499A22" w14:textId="77777777" w:rsidTr="009B4CAE">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DFE783E"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5657C7C0"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0096F9E1"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3AFCDA25"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188</w:t>
            </w:r>
          </w:p>
        </w:tc>
      </w:tr>
      <w:tr w:rsidR="00D554C2" w:rsidRPr="00D554C2" w14:paraId="39D48890"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FAABD61"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4300076"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08EA0FC"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AC2AF87"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181</w:t>
            </w:r>
          </w:p>
        </w:tc>
      </w:tr>
      <w:tr w:rsidR="00D554C2" w:rsidRPr="00D554C2" w14:paraId="59281A56" w14:textId="77777777" w:rsidTr="009B4CAE">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987D0D5"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5A635105"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2F281E42"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311DA3F7"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178</w:t>
            </w:r>
          </w:p>
        </w:tc>
      </w:tr>
      <w:tr w:rsidR="00D554C2" w:rsidRPr="00D554C2" w14:paraId="071D2BC0"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2874CC0"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B985716"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2E51D237"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13FA5F0D"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175</w:t>
            </w:r>
          </w:p>
        </w:tc>
      </w:tr>
      <w:tr w:rsidR="00D554C2" w:rsidRPr="00D554C2" w14:paraId="6EDB7009"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52416CE"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48B9D33"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0B1A887E"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13F310E2"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172</w:t>
            </w:r>
          </w:p>
        </w:tc>
      </w:tr>
      <w:tr w:rsidR="00D554C2" w:rsidRPr="00D554C2" w14:paraId="0761260F"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366037A"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BA0430D"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3E391A92"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2FBD2C81"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169</w:t>
            </w:r>
          </w:p>
        </w:tc>
      </w:tr>
      <w:tr w:rsidR="00D554C2" w:rsidRPr="00D554C2" w14:paraId="3F407972"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4FDD515"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8E452FC"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3A50448B"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34626EC6"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166</w:t>
            </w:r>
          </w:p>
        </w:tc>
      </w:tr>
      <w:tr w:rsidR="00D554C2" w:rsidRPr="00D554C2" w14:paraId="2779FC28"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77FEA40"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14A58F0"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4C42D829"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3B6B892B"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163</w:t>
            </w:r>
          </w:p>
        </w:tc>
      </w:tr>
      <w:tr w:rsidR="00D554C2" w:rsidRPr="00D554C2" w14:paraId="0F67069B"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DCB5397"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C527F27"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13E4D6F5"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4D173C09"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160</w:t>
            </w:r>
          </w:p>
        </w:tc>
      </w:tr>
      <w:tr w:rsidR="00D554C2" w:rsidRPr="00D554C2" w14:paraId="7A521E67"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E7519E8"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D6FE2EC"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78616B7F"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4C65D967"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157</w:t>
            </w:r>
          </w:p>
        </w:tc>
      </w:tr>
      <w:tr w:rsidR="00D554C2" w:rsidRPr="00D554C2" w14:paraId="4D42F5FE"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B655B64"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A6FDC7A"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706A034B"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2E0D3F52"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154</w:t>
            </w:r>
          </w:p>
        </w:tc>
      </w:tr>
      <w:tr w:rsidR="00D554C2" w:rsidRPr="00D554C2" w14:paraId="370D0E91"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CE3FCDF"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168CA8E"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C2F97BB"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8DCBB60"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151</w:t>
            </w:r>
          </w:p>
        </w:tc>
      </w:tr>
      <w:tr w:rsidR="00D554C2" w:rsidRPr="00D554C2" w14:paraId="2AA626D2" w14:textId="77777777" w:rsidTr="009B4CAE">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AF4AF77"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7FC1316"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4C752F4C"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46A45D90"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146</w:t>
            </w:r>
          </w:p>
        </w:tc>
      </w:tr>
      <w:tr w:rsidR="00D554C2" w:rsidRPr="00D554C2" w14:paraId="262AAE82"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32C0108"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A307955"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00AB7B2A"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4DA0A019"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141</w:t>
            </w:r>
          </w:p>
        </w:tc>
      </w:tr>
      <w:tr w:rsidR="00D554C2" w:rsidRPr="00D554C2" w14:paraId="55B8DAF3"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E7584D9"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D764796"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0DA4F54D"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0C633A1B"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136</w:t>
            </w:r>
          </w:p>
        </w:tc>
      </w:tr>
      <w:tr w:rsidR="00D554C2" w:rsidRPr="00D554C2" w14:paraId="374D0885"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FB47E82"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A662016"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7AE9C42E"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751810E5"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131</w:t>
            </w:r>
          </w:p>
        </w:tc>
      </w:tr>
      <w:tr w:rsidR="00D554C2" w:rsidRPr="00D554C2" w14:paraId="2DF21DF1"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14C9C60"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317E259"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16533126"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109136DB"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126</w:t>
            </w:r>
          </w:p>
        </w:tc>
      </w:tr>
    </w:tbl>
    <w:p w14:paraId="3C736ABC" w14:textId="77777777" w:rsidR="00D554C2" w:rsidRPr="00D554C2" w:rsidRDefault="00D554C2" w:rsidP="00D554C2">
      <w:pPr>
        <w:adjustRightInd w:val="0"/>
        <w:snapToGrid w:val="0"/>
        <w:spacing w:beforeLines="50" w:before="156" w:afterLines="50" w:after="156" w:line="500" w:lineRule="exact"/>
        <w:jc w:val="center"/>
        <w:rPr>
          <w:rFonts w:ascii="宋体" w:eastAsia="宋体" w:hAnsi="Calibri" w:cs="Times New Roman"/>
          <w:b/>
          <w:kern w:val="0"/>
          <w:sz w:val="24"/>
        </w:rPr>
      </w:pPr>
    </w:p>
    <w:p w14:paraId="32D29360" w14:textId="77777777" w:rsidR="00D554C2" w:rsidRPr="00D554C2" w:rsidRDefault="00D554C2" w:rsidP="00D554C2">
      <w:pPr>
        <w:adjustRightInd w:val="0"/>
        <w:snapToGrid w:val="0"/>
        <w:spacing w:beforeLines="50" w:before="156" w:afterLines="50" w:after="156" w:line="500" w:lineRule="exact"/>
        <w:jc w:val="center"/>
        <w:rPr>
          <w:rFonts w:ascii="宋体" w:eastAsia="宋体" w:hAnsi="Calibri" w:cs="Times New Roman"/>
          <w:b/>
          <w:kern w:val="0"/>
          <w:sz w:val="24"/>
        </w:rPr>
      </w:pPr>
      <w:r w:rsidRPr="00D554C2">
        <w:rPr>
          <w:rFonts w:ascii="宋体" w:eastAsia="宋体" w:hAnsi="Calibri" w:cs="Times New Roman" w:hint="eastAsia"/>
          <w:b/>
          <w:kern w:val="0"/>
          <w:sz w:val="24"/>
        </w:rPr>
        <w:t>期末考试</w:t>
      </w:r>
    </w:p>
    <w:p w14:paraId="536CA4FD"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通过考核检验健美操技术教学效果和学生掌握情况，让学生了解选项课内容和科学体育锻炼的方式和方法。</w:t>
      </w:r>
    </w:p>
    <w:p w14:paraId="0A0252F5"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Cs/>
          <w:kern w:val="0"/>
          <w:sz w:val="24"/>
        </w:rPr>
      </w:pPr>
      <w:r w:rsidRPr="00D554C2">
        <w:rPr>
          <w:rFonts w:ascii="宋体" w:eastAsia="宋体" w:hAnsi="Calibri" w:cs="Times New Roman" w:hint="eastAsia"/>
          <w:b/>
          <w:kern w:val="0"/>
          <w:sz w:val="24"/>
        </w:rPr>
        <w:t>2.课程考核的内容：</w:t>
      </w:r>
      <w:r w:rsidRPr="00D554C2">
        <w:rPr>
          <w:rFonts w:ascii="宋体" w:eastAsia="宋体" w:hAnsi="Calibri" w:cs="Times New Roman" w:hint="eastAsia"/>
          <w:bCs/>
          <w:kern w:val="0"/>
          <w:sz w:val="24"/>
        </w:rPr>
        <w:t>健美操步伐小组合</w:t>
      </w:r>
    </w:p>
    <w:p w14:paraId="16353AB4"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Cs/>
          <w:kern w:val="0"/>
          <w:sz w:val="24"/>
        </w:rPr>
      </w:pPr>
      <w:r w:rsidRPr="00D554C2">
        <w:rPr>
          <w:rFonts w:ascii="宋体" w:eastAsia="宋体" w:hAnsi="Calibri" w:cs="Times New Roman" w:hint="eastAsia"/>
          <w:b/>
          <w:kern w:val="0"/>
          <w:sz w:val="24"/>
        </w:rPr>
        <w:t>3.课程考核的方式：</w:t>
      </w:r>
      <w:r w:rsidRPr="00D554C2">
        <w:rPr>
          <w:rFonts w:ascii="宋体" w:eastAsia="宋体" w:hAnsi="Calibri" w:cs="Times New Roman" w:hint="eastAsia"/>
          <w:bCs/>
          <w:kern w:val="0"/>
          <w:sz w:val="24"/>
        </w:rPr>
        <w:t>四人为一组进行考核，</w:t>
      </w:r>
      <w:proofErr w:type="gramStart"/>
      <w:r w:rsidRPr="00D554C2">
        <w:rPr>
          <w:rFonts w:ascii="宋体" w:eastAsia="宋体" w:hAnsi="Calibri" w:cs="Times New Roman" w:hint="eastAsia"/>
          <w:bCs/>
          <w:kern w:val="0"/>
          <w:sz w:val="24"/>
        </w:rPr>
        <w:t>计个人</w:t>
      </w:r>
      <w:proofErr w:type="gramEnd"/>
      <w:r w:rsidRPr="00D554C2">
        <w:rPr>
          <w:rFonts w:ascii="宋体" w:eastAsia="宋体" w:hAnsi="Calibri" w:cs="Times New Roman" w:hint="eastAsia"/>
          <w:bCs/>
          <w:kern w:val="0"/>
          <w:sz w:val="24"/>
        </w:rPr>
        <w:t>成绩。</w:t>
      </w:r>
    </w:p>
    <w:p w14:paraId="1319B9A0"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Cs/>
          <w:kern w:val="0"/>
          <w:sz w:val="24"/>
        </w:rPr>
      </w:pPr>
      <w:r w:rsidRPr="00D554C2">
        <w:rPr>
          <w:rFonts w:ascii="宋体" w:eastAsia="宋体" w:hAnsi="Calibri" w:cs="Times New Roman" w:hint="eastAsia"/>
          <w:b/>
          <w:kern w:val="0"/>
          <w:sz w:val="24"/>
        </w:rPr>
        <w:t>4.成绩构成及分值：</w:t>
      </w:r>
      <w:r w:rsidRPr="00D554C2">
        <w:rPr>
          <w:rFonts w:ascii="宋体" w:eastAsia="宋体" w:hAnsi="Calibri" w:cs="Times New Roman" w:hint="eastAsia"/>
          <w:bCs/>
          <w:kern w:val="0"/>
          <w:sz w:val="24"/>
        </w:rPr>
        <w:t>技术评定分值为100分。</w:t>
      </w:r>
    </w:p>
    <w:p w14:paraId="5CF2E55F"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p w14:paraId="6D565AD4"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Calibri" w:cs="Times New Roman" w:hint="eastAsia"/>
          <w:bCs/>
          <w:kern w:val="0"/>
          <w:sz w:val="24"/>
        </w:rPr>
        <w:t>表2</w:t>
      </w:r>
      <w:r w:rsidRPr="00D554C2">
        <w:rPr>
          <w:rFonts w:ascii="宋体" w:eastAsia="宋体" w:hAnsi="Calibri" w:cs="Times New Roman"/>
          <w:bCs/>
          <w:kern w:val="0"/>
          <w:sz w:val="24"/>
        </w:rPr>
        <w:t xml:space="preserve">  </w:t>
      </w:r>
      <w:r w:rsidRPr="00D554C2">
        <w:rPr>
          <w:rFonts w:ascii="宋体" w:eastAsia="宋体" w:hAnsi="Calibri" w:cs="Times New Roman" w:hint="eastAsia"/>
          <w:bCs/>
          <w:kern w:val="0"/>
          <w:sz w:val="24"/>
        </w:rPr>
        <w:t>健美操技术评定标准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6389"/>
      </w:tblGrid>
      <w:tr w:rsidR="00D554C2" w:rsidRPr="00D554C2" w14:paraId="415024D2" w14:textId="77777777" w:rsidTr="009B4CAE">
        <w:trPr>
          <w:trHeight w:val="459"/>
        </w:trPr>
        <w:tc>
          <w:tcPr>
            <w:tcW w:w="1975" w:type="dxa"/>
            <w:tcBorders>
              <w:top w:val="single" w:sz="4" w:space="0" w:color="auto"/>
              <w:left w:val="single" w:sz="4" w:space="0" w:color="auto"/>
              <w:bottom w:val="single" w:sz="4" w:space="0" w:color="auto"/>
              <w:right w:val="single" w:sz="4" w:space="0" w:color="auto"/>
            </w:tcBorders>
            <w:vAlign w:val="center"/>
          </w:tcPr>
          <w:p w14:paraId="24E777BF" w14:textId="77777777" w:rsidR="00D554C2" w:rsidRPr="00D554C2" w:rsidRDefault="00D554C2" w:rsidP="00D554C2">
            <w:pPr>
              <w:spacing w:line="240" w:lineRule="atLeast"/>
              <w:jc w:val="center"/>
              <w:rPr>
                <w:rFonts w:ascii="Calibri" w:eastAsia="宋体" w:hAnsi="Calibri" w:cs="Times New Roman"/>
                <w:szCs w:val="21"/>
              </w:rPr>
            </w:pPr>
            <w:r w:rsidRPr="00D554C2">
              <w:rPr>
                <w:rFonts w:ascii="宋体" w:eastAsia="宋体" w:hAnsi="宋体" w:cs="宋体" w:hint="eastAsia"/>
                <w:color w:val="000000"/>
                <w:szCs w:val="21"/>
                <w:lang w:val="zh-CN"/>
              </w:rPr>
              <w:t>分  值</w:t>
            </w:r>
          </w:p>
        </w:tc>
        <w:tc>
          <w:tcPr>
            <w:tcW w:w="6389" w:type="dxa"/>
            <w:tcBorders>
              <w:top w:val="single" w:sz="4" w:space="0" w:color="auto"/>
              <w:left w:val="single" w:sz="4" w:space="0" w:color="auto"/>
              <w:bottom w:val="single" w:sz="4" w:space="0" w:color="auto"/>
              <w:right w:val="single" w:sz="4" w:space="0" w:color="auto"/>
            </w:tcBorders>
            <w:vAlign w:val="center"/>
          </w:tcPr>
          <w:p w14:paraId="5EE99042" w14:textId="77777777" w:rsidR="00D554C2" w:rsidRPr="00D554C2" w:rsidRDefault="00D554C2" w:rsidP="00D554C2">
            <w:pPr>
              <w:spacing w:line="240" w:lineRule="atLeast"/>
              <w:ind w:left="1587"/>
              <w:rPr>
                <w:rFonts w:ascii="Calibri" w:eastAsia="宋体" w:hAnsi="Calibri" w:cs="Times New Roman"/>
                <w:szCs w:val="21"/>
              </w:rPr>
            </w:pPr>
            <w:r w:rsidRPr="00D554C2">
              <w:rPr>
                <w:rFonts w:ascii="宋体" w:eastAsia="宋体" w:hAnsi="宋体" w:cs="宋体" w:hint="eastAsia"/>
                <w:color w:val="000000"/>
                <w:szCs w:val="21"/>
                <w:lang w:val="zh-CN"/>
              </w:rPr>
              <w:t>技 评 标 准</w:t>
            </w:r>
          </w:p>
        </w:tc>
      </w:tr>
      <w:tr w:rsidR="00D554C2" w:rsidRPr="00D554C2" w14:paraId="4B4FF6EE" w14:textId="77777777" w:rsidTr="009B4CAE">
        <w:trPr>
          <w:trHeight w:val="630"/>
        </w:trPr>
        <w:tc>
          <w:tcPr>
            <w:tcW w:w="1975" w:type="dxa"/>
            <w:tcBorders>
              <w:top w:val="single" w:sz="4" w:space="0" w:color="auto"/>
              <w:left w:val="single" w:sz="4" w:space="0" w:color="auto"/>
              <w:bottom w:val="single" w:sz="4" w:space="0" w:color="auto"/>
              <w:right w:val="single" w:sz="4" w:space="0" w:color="auto"/>
            </w:tcBorders>
            <w:vAlign w:val="center"/>
          </w:tcPr>
          <w:p w14:paraId="3AA154E5" w14:textId="77777777" w:rsidR="00D554C2" w:rsidRPr="00D554C2" w:rsidRDefault="00D554C2" w:rsidP="00D554C2">
            <w:pPr>
              <w:spacing w:line="240" w:lineRule="atLeast"/>
              <w:ind w:left="1575" w:hangingChars="750" w:hanging="1575"/>
              <w:jc w:val="center"/>
              <w:rPr>
                <w:rFonts w:ascii="Calibri" w:eastAsia="宋体" w:hAnsi="Calibri" w:cs="Times New Roman"/>
                <w:szCs w:val="21"/>
              </w:rPr>
            </w:pPr>
            <w:r w:rsidRPr="00D554C2">
              <w:rPr>
                <w:rFonts w:ascii="宋体" w:eastAsia="宋体" w:hAnsi="宋体" w:cs="宋体" w:hint="eastAsia"/>
                <w:color w:val="000000"/>
                <w:szCs w:val="21"/>
                <w:lang w:val="zh-CN"/>
              </w:rPr>
              <w:t>90</w:t>
            </w:r>
            <w:r w:rsidRPr="00D554C2">
              <w:rPr>
                <w:rFonts w:ascii="宋体" w:eastAsia="宋体" w:hAnsi="宋体" w:cs="Times New Roman" w:hint="eastAsia"/>
                <w:color w:val="000000"/>
                <w:szCs w:val="21"/>
                <w:lang w:val="zh-CN"/>
              </w:rPr>
              <w:t>—</w:t>
            </w:r>
            <w:r w:rsidRPr="00D554C2">
              <w:rPr>
                <w:rFonts w:ascii="宋体" w:eastAsia="宋体" w:hAnsi="宋体" w:cs="宋体" w:hint="eastAsia"/>
                <w:color w:val="000000"/>
                <w:szCs w:val="21"/>
                <w:lang w:val="zh-CN"/>
              </w:rPr>
              <w:t>100分</w:t>
            </w:r>
          </w:p>
        </w:tc>
        <w:tc>
          <w:tcPr>
            <w:tcW w:w="6389" w:type="dxa"/>
            <w:tcBorders>
              <w:top w:val="single" w:sz="4" w:space="0" w:color="auto"/>
              <w:left w:val="single" w:sz="4" w:space="0" w:color="auto"/>
              <w:bottom w:val="single" w:sz="4" w:space="0" w:color="auto"/>
              <w:right w:val="single" w:sz="4" w:space="0" w:color="auto"/>
            </w:tcBorders>
            <w:vAlign w:val="center"/>
          </w:tcPr>
          <w:p w14:paraId="5A42AF67" w14:textId="77777777" w:rsidR="00D554C2" w:rsidRPr="00D554C2" w:rsidRDefault="00D554C2" w:rsidP="00D554C2">
            <w:pPr>
              <w:spacing w:line="240" w:lineRule="atLeast"/>
              <w:rPr>
                <w:rFonts w:ascii="Calibri" w:eastAsia="宋体" w:hAnsi="Calibri" w:cs="Times New Roman"/>
                <w:szCs w:val="21"/>
              </w:rPr>
            </w:pPr>
            <w:r w:rsidRPr="00D554C2">
              <w:rPr>
                <w:rFonts w:ascii="宋体" w:eastAsia="宋体" w:hAnsi="宋体" w:cs="宋体" w:hint="eastAsia"/>
                <w:color w:val="000000"/>
                <w:szCs w:val="21"/>
                <w:lang w:val="zh-CN"/>
              </w:rPr>
              <w:t>能独立完成基本步伐组合，动作熟练、准确、有力度、节奏感强；动作与音乐配合协调，具有较强表现力。</w:t>
            </w:r>
          </w:p>
        </w:tc>
      </w:tr>
      <w:tr w:rsidR="00D554C2" w:rsidRPr="00D554C2" w14:paraId="6B55A112" w14:textId="77777777" w:rsidTr="009B4CAE">
        <w:trPr>
          <w:trHeight w:val="675"/>
        </w:trPr>
        <w:tc>
          <w:tcPr>
            <w:tcW w:w="1975" w:type="dxa"/>
            <w:tcBorders>
              <w:top w:val="single" w:sz="4" w:space="0" w:color="auto"/>
              <w:left w:val="single" w:sz="4" w:space="0" w:color="auto"/>
              <w:bottom w:val="single" w:sz="4" w:space="0" w:color="auto"/>
              <w:right w:val="single" w:sz="4" w:space="0" w:color="auto"/>
            </w:tcBorders>
            <w:vAlign w:val="center"/>
          </w:tcPr>
          <w:p w14:paraId="55C0F39B" w14:textId="77777777" w:rsidR="00D554C2" w:rsidRPr="00D554C2" w:rsidRDefault="00D554C2" w:rsidP="00D554C2">
            <w:pPr>
              <w:spacing w:line="240" w:lineRule="atLeast"/>
              <w:ind w:left="1575" w:hangingChars="750" w:hanging="1575"/>
              <w:jc w:val="center"/>
              <w:rPr>
                <w:rFonts w:ascii="Calibri" w:eastAsia="宋体" w:hAnsi="Calibri" w:cs="Times New Roman"/>
                <w:szCs w:val="21"/>
              </w:rPr>
            </w:pPr>
            <w:r w:rsidRPr="00D554C2">
              <w:rPr>
                <w:rFonts w:ascii="宋体" w:eastAsia="宋体" w:hAnsi="宋体" w:cs="宋体" w:hint="eastAsia"/>
                <w:color w:val="000000"/>
                <w:szCs w:val="21"/>
                <w:lang w:val="zh-CN"/>
              </w:rPr>
              <w:t>80</w:t>
            </w:r>
            <w:r w:rsidRPr="00D554C2">
              <w:rPr>
                <w:rFonts w:ascii="宋体" w:eastAsia="宋体" w:hAnsi="宋体" w:cs="Times New Roman" w:hint="eastAsia"/>
                <w:color w:val="000000"/>
                <w:szCs w:val="21"/>
                <w:lang w:val="zh-CN"/>
              </w:rPr>
              <w:t>—</w:t>
            </w:r>
            <w:r w:rsidRPr="00D554C2">
              <w:rPr>
                <w:rFonts w:ascii="宋体" w:eastAsia="宋体" w:hAnsi="宋体" w:cs="宋体" w:hint="eastAsia"/>
                <w:color w:val="000000"/>
                <w:szCs w:val="21"/>
                <w:lang w:val="zh-CN"/>
              </w:rPr>
              <w:t>89分</w:t>
            </w:r>
          </w:p>
        </w:tc>
        <w:tc>
          <w:tcPr>
            <w:tcW w:w="6389" w:type="dxa"/>
            <w:tcBorders>
              <w:top w:val="single" w:sz="4" w:space="0" w:color="auto"/>
              <w:left w:val="single" w:sz="4" w:space="0" w:color="auto"/>
              <w:bottom w:val="single" w:sz="4" w:space="0" w:color="auto"/>
              <w:right w:val="single" w:sz="4" w:space="0" w:color="auto"/>
            </w:tcBorders>
            <w:vAlign w:val="center"/>
          </w:tcPr>
          <w:p w14:paraId="664E77C5" w14:textId="77777777" w:rsidR="00D554C2" w:rsidRPr="00D554C2" w:rsidRDefault="00D554C2" w:rsidP="00D554C2">
            <w:pPr>
              <w:spacing w:line="240" w:lineRule="atLeast"/>
              <w:rPr>
                <w:rFonts w:ascii="Calibri" w:eastAsia="宋体" w:hAnsi="Calibri" w:cs="Times New Roman"/>
                <w:szCs w:val="21"/>
              </w:rPr>
            </w:pPr>
            <w:r w:rsidRPr="00D554C2">
              <w:rPr>
                <w:rFonts w:ascii="宋体" w:eastAsia="宋体" w:hAnsi="宋体" w:cs="宋体" w:hint="eastAsia"/>
                <w:color w:val="000000"/>
                <w:szCs w:val="21"/>
                <w:lang w:val="zh-CN"/>
              </w:rPr>
              <w:t>能独立完成基本步伐组合，动作熟练，动作较准确、较有力度、有节奏感；动作与音乐配合协调，具有一定表现力。</w:t>
            </w:r>
          </w:p>
        </w:tc>
      </w:tr>
      <w:tr w:rsidR="00D554C2" w:rsidRPr="00D554C2" w14:paraId="18BD418D" w14:textId="77777777" w:rsidTr="009B4CAE">
        <w:trPr>
          <w:trHeight w:val="590"/>
        </w:trPr>
        <w:tc>
          <w:tcPr>
            <w:tcW w:w="1975" w:type="dxa"/>
            <w:tcBorders>
              <w:top w:val="single" w:sz="4" w:space="0" w:color="auto"/>
              <w:left w:val="single" w:sz="4" w:space="0" w:color="auto"/>
              <w:bottom w:val="single" w:sz="4" w:space="0" w:color="auto"/>
              <w:right w:val="single" w:sz="4" w:space="0" w:color="auto"/>
            </w:tcBorders>
            <w:vAlign w:val="center"/>
          </w:tcPr>
          <w:p w14:paraId="4F112DF1" w14:textId="77777777" w:rsidR="00D554C2" w:rsidRPr="00D554C2" w:rsidRDefault="00D554C2" w:rsidP="00D554C2">
            <w:pPr>
              <w:spacing w:line="240" w:lineRule="atLeast"/>
              <w:ind w:left="1575" w:hangingChars="750" w:hanging="1575"/>
              <w:jc w:val="center"/>
              <w:rPr>
                <w:rFonts w:ascii="Calibri" w:eastAsia="宋体" w:hAnsi="Calibri" w:cs="Times New Roman"/>
                <w:szCs w:val="21"/>
              </w:rPr>
            </w:pPr>
            <w:r w:rsidRPr="00D554C2">
              <w:rPr>
                <w:rFonts w:ascii="宋体" w:eastAsia="宋体" w:hAnsi="宋体" w:cs="宋体" w:hint="eastAsia"/>
                <w:color w:val="000000"/>
                <w:szCs w:val="21"/>
                <w:lang w:val="zh-CN"/>
              </w:rPr>
              <w:t>70</w:t>
            </w:r>
            <w:r w:rsidRPr="00D554C2">
              <w:rPr>
                <w:rFonts w:ascii="宋体" w:eastAsia="宋体" w:hAnsi="宋体" w:cs="Times New Roman" w:hint="eastAsia"/>
                <w:color w:val="000000"/>
                <w:szCs w:val="21"/>
                <w:lang w:val="zh-CN"/>
              </w:rPr>
              <w:t>—</w:t>
            </w:r>
            <w:r w:rsidRPr="00D554C2">
              <w:rPr>
                <w:rFonts w:ascii="宋体" w:eastAsia="宋体" w:hAnsi="宋体" w:cs="宋体" w:hint="eastAsia"/>
                <w:color w:val="000000"/>
                <w:szCs w:val="21"/>
                <w:lang w:val="zh-CN"/>
              </w:rPr>
              <w:t>79分</w:t>
            </w:r>
          </w:p>
        </w:tc>
        <w:tc>
          <w:tcPr>
            <w:tcW w:w="6389" w:type="dxa"/>
            <w:tcBorders>
              <w:top w:val="single" w:sz="4" w:space="0" w:color="auto"/>
              <w:left w:val="single" w:sz="4" w:space="0" w:color="auto"/>
              <w:bottom w:val="single" w:sz="4" w:space="0" w:color="auto"/>
              <w:right w:val="single" w:sz="4" w:space="0" w:color="auto"/>
            </w:tcBorders>
            <w:vAlign w:val="center"/>
          </w:tcPr>
          <w:p w14:paraId="611C60DF" w14:textId="77777777" w:rsidR="00D554C2" w:rsidRPr="00D554C2" w:rsidRDefault="00D554C2" w:rsidP="00D554C2">
            <w:pPr>
              <w:spacing w:line="240" w:lineRule="atLeast"/>
              <w:rPr>
                <w:rFonts w:ascii="Calibri" w:eastAsia="宋体" w:hAnsi="Calibri" w:cs="Times New Roman"/>
                <w:szCs w:val="21"/>
              </w:rPr>
            </w:pPr>
            <w:r w:rsidRPr="00D554C2">
              <w:rPr>
                <w:rFonts w:ascii="宋体" w:eastAsia="宋体" w:hAnsi="宋体" w:cs="宋体" w:hint="eastAsia"/>
                <w:color w:val="000000"/>
                <w:szCs w:val="21"/>
                <w:lang w:val="zh-CN"/>
              </w:rPr>
              <w:t>能独立完成基本步伐组合，动作基本准确、协调，节奏感较强，表现力一般。</w:t>
            </w:r>
          </w:p>
        </w:tc>
      </w:tr>
      <w:tr w:rsidR="00D554C2" w:rsidRPr="00D554C2" w14:paraId="1D834185" w14:textId="77777777" w:rsidTr="009B4CAE">
        <w:trPr>
          <w:trHeight w:val="395"/>
        </w:trPr>
        <w:tc>
          <w:tcPr>
            <w:tcW w:w="1975" w:type="dxa"/>
            <w:tcBorders>
              <w:top w:val="single" w:sz="4" w:space="0" w:color="auto"/>
              <w:left w:val="single" w:sz="4" w:space="0" w:color="auto"/>
              <w:bottom w:val="single" w:sz="4" w:space="0" w:color="auto"/>
              <w:right w:val="single" w:sz="4" w:space="0" w:color="auto"/>
            </w:tcBorders>
            <w:vAlign w:val="center"/>
          </w:tcPr>
          <w:p w14:paraId="2F887F56" w14:textId="77777777" w:rsidR="00D554C2" w:rsidRPr="00D554C2" w:rsidRDefault="00D554C2" w:rsidP="00D554C2">
            <w:pPr>
              <w:spacing w:line="240" w:lineRule="atLeast"/>
              <w:ind w:left="1575" w:hangingChars="750" w:hanging="1575"/>
              <w:jc w:val="center"/>
              <w:rPr>
                <w:rFonts w:ascii="Calibri" w:eastAsia="宋体" w:hAnsi="Calibri" w:cs="Times New Roman"/>
                <w:szCs w:val="21"/>
              </w:rPr>
            </w:pPr>
            <w:r w:rsidRPr="00D554C2">
              <w:rPr>
                <w:rFonts w:ascii="宋体" w:eastAsia="宋体" w:hAnsi="宋体" w:cs="宋体" w:hint="eastAsia"/>
                <w:color w:val="000000"/>
                <w:szCs w:val="21"/>
                <w:lang w:val="zh-CN"/>
              </w:rPr>
              <w:t>60</w:t>
            </w:r>
            <w:r w:rsidRPr="00D554C2">
              <w:rPr>
                <w:rFonts w:ascii="宋体" w:eastAsia="宋体" w:hAnsi="宋体" w:cs="Times New Roman" w:hint="eastAsia"/>
                <w:color w:val="000000"/>
                <w:szCs w:val="21"/>
                <w:lang w:val="zh-CN"/>
              </w:rPr>
              <w:t>—</w:t>
            </w:r>
            <w:r w:rsidRPr="00D554C2">
              <w:rPr>
                <w:rFonts w:ascii="宋体" w:eastAsia="宋体" w:hAnsi="宋体" w:cs="宋体" w:hint="eastAsia"/>
                <w:color w:val="000000"/>
                <w:szCs w:val="21"/>
                <w:lang w:val="zh-CN"/>
              </w:rPr>
              <w:t>69分</w:t>
            </w:r>
          </w:p>
        </w:tc>
        <w:tc>
          <w:tcPr>
            <w:tcW w:w="6389" w:type="dxa"/>
            <w:tcBorders>
              <w:top w:val="single" w:sz="4" w:space="0" w:color="auto"/>
              <w:left w:val="single" w:sz="4" w:space="0" w:color="auto"/>
              <w:bottom w:val="single" w:sz="4" w:space="0" w:color="auto"/>
              <w:right w:val="single" w:sz="4" w:space="0" w:color="auto"/>
            </w:tcBorders>
            <w:vAlign w:val="center"/>
          </w:tcPr>
          <w:p w14:paraId="2289DA2A" w14:textId="77777777" w:rsidR="00D554C2" w:rsidRPr="00D554C2" w:rsidRDefault="00D554C2" w:rsidP="00D554C2">
            <w:pPr>
              <w:spacing w:line="240" w:lineRule="atLeast"/>
              <w:rPr>
                <w:rFonts w:ascii="Calibri" w:eastAsia="宋体" w:hAnsi="Calibri" w:cs="Times New Roman"/>
                <w:szCs w:val="21"/>
              </w:rPr>
            </w:pPr>
            <w:r w:rsidRPr="00D554C2">
              <w:rPr>
                <w:rFonts w:ascii="宋体" w:eastAsia="宋体" w:hAnsi="宋体" w:cs="宋体" w:hint="eastAsia"/>
                <w:color w:val="000000"/>
                <w:szCs w:val="21"/>
                <w:lang w:val="zh-CN"/>
              </w:rPr>
              <w:t>动作基本正确，动作独立完成，与音乐基本合拍。</w:t>
            </w:r>
          </w:p>
        </w:tc>
      </w:tr>
      <w:tr w:rsidR="00D554C2" w:rsidRPr="00D554C2" w14:paraId="458A3CB1" w14:textId="77777777" w:rsidTr="009B4CAE">
        <w:trPr>
          <w:trHeight w:val="491"/>
        </w:trPr>
        <w:tc>
          <w:tcPr>
            <w:tcW w:w="1975" w:type="dxa"/>
            <w:tcBorders>
              <w:top w:val="single" w:sz="4" w:space="0" w:color="auto"/>
              <w:left w:val="single" w:sz="4" w:space="0" w:color="auto"/>
              <w:bottom w:val="single" w:sz="4" w:space="0" w:color="auto"/>
              <w:right w:val="single" w:sz="4" w:space="0" w:color="auto"/>
            </w:tcBorders>
            <w:vAlign w:val="center"/>
          </w:tcPr>
          <w:p w14:paraId="4F755100" w14:textId="77777777" w:rsidR="00D554C2" w:rsidRPr="00D554C2" w:rsidRDefault="00D554C2" w:rsidP="00D554C2">
            <w:pPr>
              <w:spacing w:line="240" w:lineRule="atLeast"/>
              <w:jc w:val="center"/>
              <w:rPr>
                <w:rFonts w:ascii="Calibri" w:eastAsia="宋体" w:hAnsi="Calibri" w:cs="Times New Roman"/>
                <w:szCs w:val="21"/>
              </w:rPr>
            </w:pPr>
            <w:r w:rsidRPr="00D554C2">
              <w:rPr>
                <w:rFonts w:ascii="宋体" w:eastAsia="宋体" w:hAnsi="宋体" w:cs="宋体" w:hint="eastAsia"/>
                <w:color w:val="000000"/>
                <w:szCs w:val="21"/>
                <w:lang w:val="zh-CN"/>
              </w:rPr>
              <w:t>60以下</w:t>
            </w:r>
          </w:p>
        </w:tc>
        <w:tc>
          <w:tcPr>
            <w:tcW w:w="6389" w:type="dxa"/>
            <w:tcBorders>
              <w:top w:val="single" w:sz="4" w:space="0" w:color="auto"/>
              <w:left w:val="single" w:sz="4" w:space="0" w:color="auto"/>
              <w:bottom w:val="single" w:sz="4" w:space="0" w:color="auto"/>
              <w:right w:val="single" w:sz="4" w:space="0" w:color="auto"/>
            </w:tcBorders>
            <w:vAlign w:val="center"/>
          </w:tcPr>
          <w:p w14:paraId="62B143FD" w14:textId="77777777" w:rsidR="00D554C2" w:rsidRPr="00D554C2" w:rsidRDefault="00D554C2" w:rsidP="00D554C2">
            <w:pPr>
              <w:spacing w:line="240" w:lineRule="atLeast"/>
              <w:rPr>
                <w:rFonts w:ascii="Calibri" w:eastAsia="宋体" w:hAnsi="Calibri" w:cs="Times New Roman"/>
                <w:szCs w:val="21"/>
              </w:rPr>
            </w:pPr>
            <w:r w:rsidRPr="00D554C2">
              <w:rPr>
                <w:rFonts w:ascii="宋体" w:eastAsia="宋体" w:hAnsi="宋体" w:cs="宋体" w:hint="eastAsia"/>
                <w:color w:val="000000"/>
                <w:szCs w:val="21"/>
                <w:lang w:val="zh-CN"/>
              </w:rPr>
              <w:t>动作不熟练，不能完成动作，与音乐不合拍。</w:t>
            </w:r>
          </w:p>
        </w:tc>
      </w:tr>
    </w:tbl>
    <w:p w14:paraId="63472ED6" w14:textId="77777777" w:rsidR="00D554C2" w:rsidRPr="00D554C2" w:rsidRDefault="00D554C2" w:rsidP="00D554C2">
      <w:pPr>
        <w:spacing w:beforeLines="50" w:before="156" w:afterLines="50" w:after="156" w:line="440" w:lineRule="exact"/>
        <w:ind w:firstLineChars="200" w:firstLine="560"/>
        <w:rPr>
          <w:rFonts w:ascii="宋体" w:eastAsia="宋体" w:hAnsi="宋体" w:cs="宋体"/>
          <w:color w:val="000000"/>
          <w:sz w:val="24"/>
        </w:rPr>
      </w:pPr>
      <w:r w:rsidRPr="00D554C2">
        <w:rPr>
          <w:rFonts w:ascii="黑体" w:eastAsia="黑体" w:hAnsi="黑体" w:cs="Times New Roman" w:hint="eastAsia"/>
          <w:sz w:val="28"/>
          <w:szCs w:val="28"/>
        </w:rPr>
        <w:t>第二学期</w:t>
      </w:r>
    </w:p>
    <w:p w14:paraId="3CDCAE18" w14:textId="77777777" w:rsidR="00D554C2" w:rsidRPr="00D554C2" w:rsidRDefault="00D554C2" w:rsidP="00D554C2">
      <w:pPr>
        <w:adjustRightInd w:val="0"/>
        <w:snapToGrid w:val="0"/>
        <w:spacing w:line="500" w:lineRule="exact"/>
        <w:ind w:firstLineChars="200" w:firstLine="482"/>
        <w:rPr>
          <w:rFonts w:ascii="宋体" w:eastAsia="宋体" w:hAnsi="宋体" w:cs="宋体"/>
          <w:sz w:val="24"/>
        </w:rPr>
      </w:pPr>
      <w:r w:rsidRPr="00D554C2">
        <w:rPr>
          <w:rFonts w:ascii="宋体" w:eastAsia="宋体" w:hAnsi="宋体" w:cs="宋体" w:hint="eastAsia"/>
          <w:b/>
          <w:bCs/>
          <w:color w:val="000000"/>
          <w:sz w:val="24"/>
        </w:rPr>
        <w:t>1.课程考核目标：</w:t>
      </w:r>
      <w:r w:rsidRPr="00D554C2">
        <w:rPr>
          <w:rFonts w:ascii="宋体" w:eastAsia="宋体" w:hAnsi="宋体" w:cs="宋体" w:hint="eastAsia"/>
          <w:color w:val="000000"/>
          <w:sz w:val="24"/>
        </w:rPr>
        <w:t>本课程主要考核学生对健美操基本技术、基本知识的掌握情况，</w:t>
      </w:r>
      <w:r w:rsidRPr="00D554C2">
        <w:rPr>
          <w:rFonts w:ascii="宋体" w:eastAsia="宋体" w:hAnsi="宋体" w:cs="宋体"/>
          <w:sz w:val="24"/>
        </w:rPr>
        <w:t>提高运动能力</w:t>
      </w:r>
      <w:r w:rsidRPr="00D554C2">
        <w:rPr>
          <w:rFonts w:ascii="宋体" w:eastAsia="宋体" w:hAnsi="宋体" w:cs="宋体" w:hint="eastAsia"/>
          <w:sz w:val="24"/>
        </w:rPr>
        <w:t>；对身体素质的考核，发展弹跳。</w:t>
      </w:r>
    </w:p>
    <w:p w14:paraId="790FAD33" w14:textId="77777777" w:rsidR="00D554C2" w:rsidRPr="00D554C2" w:rsidRDefault="00D554C2" w:rsidP="00D554C2">
      <w:pPr>
        <w:adjustRightInd w:val="0"/>
        <w:snapToGrid w:val="0"/>
        <w:spacing w:line="500" w:lineRule="exact"/>
        <w:ind w:firstLineChars="200" w:firstLine="482"/>
        <w:rPr>
          <w:rFonts w:ascii="宋体" w:eastAsia="宋体" w:hAnsi="宋体" w:cs="宋体"/>
          <w:b/>
          <w:bCs/>
          <w:color w:val="000000"/>
          <w:sz w:val="24"/>
        </w:rPr>
      </w:pPr>
      <w:r w:rsidRPr="00D554C2">
        <w:rPr>
          <w:rFonts w:ascii="宋体" w:eastAsia="宋体" w:hAnsi="宋体" w:cs="宋体" w:hint="eastAsia"/>
          <w:b/>
          <w:bCs/>
          <w:color w:val="000000"/>
          <w:sz w:val="24"/>
        </w:rPr>
        <w:t>2.课程考核的方式:</w:t>
      </w:r>
    </w:p>
    <w:p w14:paraId="69747F9A" w14:textId="77777777" w:rsidR="00D554C2" w:rsidRPr="00D554C2" w:rsidRDefault="00D554C2" w:rsidP="00D554C2">
      <w:pPr>
        <w:adjustRightInd w:val="0"/>
        <w:snapToGrid w:val="0"/>
        <w:spacing w:line="500" w:lineRule="exact"/>
        <w:ind w:firstLineChars="200" w:firstLine="480"/>
        <w:rPr>
          <w:rFonts w:ascii="宋体" w:eastAsia="宋体" w:hAnsi="宋体" w:cs="宋体"/>
          <w:color w:val="000000"/>
          <w:sz w:val="24"/>
        </w:rPr>
      </w:pPr>
      <w:r w:rsidRPr="00D554C2">
        <w:rPr>
          <w:rFonts w:ascii="宋体" w:eastAsia="宋体" w:hAnsi="宋体" w:cs="宋体" w:hint="eastAsia"/>
          <w:color w:val="000000"/>
          <w:sz w:val="24"/>
        </w:rPr>
        <w:t>①健美操套路的技术评定：分组完成考核动作。</w:t>
      </w:r>
    </w:p>
    <w:p w14:paraId="35501D60" w14:textId="77777777" w:rsidR="00D554C2" w:rsidRPr="00D554C2" w:rsidRDefault="00D554C2" w:rsidP="00D554C2">
      <w:pPr>
        <w:adjustRightInd w:val="0"/>
        <w:snapToGrid w:val="0"/>
        <w:spacing w:line="500" w:lineRule="exact"/>
        <w:ind w:firstLineChars="200" w:firstLine="480"/>
        <w:rPr>
          <w:rFonts w:ascii="宋体" w:eastAsia="宋体" w:hAnsi="宋体" w:cs="宋体"/>
          <w:color w:val="000000"/>
          <w:sz w:val="24"/>
        </w:rPr>
      </w:pPr>
      <w:r w:rsidRPr="00D554C2">
        <w:rPr>
          <w:rFonts w:ascii="宋体" w:eastAsia="宋体" w:hAnsi="宋体" w:cs="宋体" w:hint="eastAsia"/>
          <w:color w:val="000000"/>
          <w:sz w:val="24"/>
        </w:rPr>
        <w:t>②身体素质的测试：两人一组，一人测试，一人计数，计算1分钟的次数。</w:t>
      </w:r>
    </w:p>
    <w:p w14:paraId="5D83AAF7" w14:textId="77777777" w:rsidR="00D554C2" w:rsidRPr="00D554C2" w:rsidRDefault="00D554C2" w:rsidP="00D554C2">
      <w:pPr>
        <w:spacing w:line="500" w:lineRule="exact"/>
        <w:ind w:leftChars="200" w:left="420"/>
        <w:rPr>
          <w:rFonts w:ascii="宋体" w:eastAsia="宋体" w:hAnsi="宋体" w:cs="宋体"/>
          <w:b/>
          <w:bCs/>
          <w:color w:val="000000"/>
          <w:sz w:val="24"/>
        </w:rPr>
      </w:pPr>
      <w:r w:rsidRPr="00D554C2">
        <w:rPr>
          <w:rFonts w:ascii="宋体" w:eastAsia="宋体" w:hAnsi="宋体" w:cs="宋体" w:hint="eastAsia"/>
          <w:b/>
          <w:bCs/>
          <w:color w:val="000000"/>
          <w:sz w:val="24"/>
        </w:rPr>
        <w:t>3.课程考核的内容和成绩构成及分值：</w:t>
      </w:r>
    </w:p>
    <w:p w14:paraId="1F429D53"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《健美操1》课程成绩由期末考试成绩、期中考试成绩和平时成绩三部分构成，具体考核内容和分值比例情况见（见表3）</w:t>
      </w:r>
    </w:p>
    <w:tbl>
      <w:tblPr>
        <w:tblpPr w:leftFromText="180" w:rightFromText="180" w:vertAnchor="text" w:horzAnchor="page" w:tblpX="1915" w:tblpY="62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7"/>
        <w:gridCol w:w="1221"/>
        <w:gridCol w:w="1960"/>
        <w:gridCol w:w="1880"/>
        <w:gridCol w:w="1734"/>
      </w:tblGrid>
      <w:tr w:rsidR="00D554C2" w:rsidRPr="00D554C2" w14:paraId="47157894" w14:textId="77777777" w:rsidTr="009B4CAE">
        <w:trPr>
          <w:trHeight w:val="464"/>
        </w:trPr>
        <w:tc>
          <w:tcPr>
            <w:tcW w:w="1677" w:type="dxa"/>
            <w:vMerge w:val="restart"/>
            <w:tcBorders>
              <w:tl2br w:val="single" w:sz="4" w:space="0" w:color="auto"/>
            </w:tcBorders>
          </w:tcPr>
          <w:p w14:paraId="599A3997" w14:textId="77777777" w:rsidR="00D554C2" w:rsidRPr="00D554C2" w:rsidRDefault="00D554C2" w:rsidP="00D554C2">
            <w:pPr>
              <w:snapToGrid w:val="0"/>
              <w:spacing w:line="240" w:lineRule="atLeast"/>
              <w:jc w:val="center"/>
              <w:rPr>
                <w:rFonts w:ascii="宋体" w:eastAsia="宋体" w:hAnsi="宋体" w:cs="宋体"/>
                <w:szCs w:val="21"/>
              </w:rPr>
            </w:pPr>
            <w:r w:rsidRPr="00D554C2">
              <w:rPr>
                <w:rFonts w:ascii="宋体" w:eastAsia="宋体" w:hAnsi="宋体" w:cs="宋体" w:hint="eastAsia"/>
                <w:szCs w:val="21"/>
              </w:rPr>
              <w:lastRenderedPageBreak/>
              <w:t xml:space="preserve">    成绩构成</w:t>
            </w:r>
          </w:p>
          <w:p w14:paraId="0CA037CA" w14:textId="77777777" w:rsidR="00D554C2" w:rsidRPr="00D554C2" w:rsidRDefault="00D554C2" w:rsidP="00D554C2">
            <w:pPr>
              <w:spacing w:line="240" w:lineRule="atLeast"/>
              <w:jc w:val="center"/>
              <w:rPr>
                <w:rFonts w:ascii="宋体" w:eastAsia="宋体" w:hAnsi="宋体" w:cs="宋体"/>
                <w:szCs w:val="21"/>
              </w:rPr>
            </w:pPr>
          </w:p>
          <w:p w14:paraId="7989035E" w14:textId="77777777" w:rsidR="00D554C2" w:rsidRPr="00D554C2" w:rsidRDefault="00D554C2" w:rsidP="00D554C2">
            <w:pPr>
              <w:spacing w:line="240" w:lineRule="atLeast"/>
              <w:ind w:firstLine="233"/>
              <w:rPr>
                <w:rFonts w:ascii="宋体" w:eastAsia="宋体" w:hAnsi="宋体" w:cs="宋体"/>
                <w:szCs w:val="21"/>
              </w:rPr>
            </w:pPr>
            <w:r w:rsidRPr="00D554C2">
              <w:rPr>
                <w:rFonts w:ascii="宋体" w:eastAsia="宋体" w:hAnsi="宋体" w:cs="宋体" w:hint="eastAsia"/>
                <w:szCs w:val="21"/>
              </w:rPr>
              <w:t>内容</w:t>
            </w:r>
          </w:p>
        </w:tc>
        <w:tc>
          <w:tcPr>
            <w:tcW w:w="1221" w:type="dxa"/>
            <w:vMerge w:val="restart"/>
            <w:vAlign w:val="center"/>
          </w:tcPr>
          <w:p w14:paraId="185315D3"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期中成绩（20%）</w:t>
            </w:r>
          </w:p>
        </w:tc>
        <w:tc>
          <w:tcPr>
            <w:tcW w:w="3840" w:type="dxa"/>
            <w:gridSpan w:val="2"/>
          </w:tcPr>
          <w:p w14:paraId="4679100D" w14:textId="77777777" w:rsidR="00D554C2" w:rsidRPr="00D554C2" w:rsidRDefault="00D554C2" w:rsidP="00D554C2">
            <w:pPr>
              <w:spacing w:line="240" w:lineRule="atLeast"/>
              <w:ind w:firstLineChars="500" w:firstLine="1050"/>
              <w:rPr>
                <w:rFonts w:ascii="宋体" w:eastAsia="宋体" w:hAnsi="宋体" w:cs="宋体"/>
                <w:szCs w:val="21"/>
              </w:rPr>
            </w:pPr>
            <w:r w:rsidRPr="00D554C2">
              <w:rPr>
                <w:rFonts w:ascii="宋体" w:eastAsia="宋体" w:hAnsi="宋体" w:cs="宋体" w:hint="eastAsia"/>
                <w:szCs w:val="21"/>
              </w:rPr>
              <w:t>期末成绩（70%）</w:t>
            </w:r>
          </w:p>
        </w:tc>
        <w:tc>
          <w:tcPr>
            <w:tcW w:w="1734" w:type="dxa"/>
            <w:vMerge w:val="restart"/>
            <w:vAlign w:val="center"/>
          </w:tcPr>
          <w:p w14:paraId="2D6998BE"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平时成绩（10%）</w:t>
            </w:r>
          </w:p>
        </w:tc>
      </w:tr>
      <w:tr w:rsidR="00D554C2" w:rsidRPr="00D554C2" w14:paraId="0ECB0225" w14:textId="77777777" w:rsidTr="009B4CAE">
        <w:trPr>
          <w:trHeight w:val="370"/>
        </w:trPr>
        <w:tc>
          <w:tcPr>
            <w:tcW w:w="1677" w:type="dxa"/>
            <w:vMerge/>
          </w:tcPr>
          <w:p w14:paraId="1DBFB184" w14:textId="77777777" w:rsidR="00D554C2" w:rsidRPr="00D554C2" w:rsidRDefault="00D554C2" w:rsidP="00D554C2">
            <w:pPr>
              <w:spacing w:line="240" w:lineRule="atLeast"/>
              <w:rPr>
                <w:rFonts w:ascii="宋体" w:eastAsia="宋体" w:hAnsi="宋体" w:cs="宋体"/>
                <w:szCs w:val="21"/>
              </w:rPr>
            </w:pPr>
          </w:p>
        </w:tc>
        <w:tc>
          <w:tcPr>
            <w:tcW w:w="1221" w:type="dxa"/>
            <w:vMerge/>
          </w:tcPr>
          <w:p w14:paraId="5E09D012" w14:textId="77777777" w:rsidR="00D554C2" w:rsidRPr="00D554C2" w:rsidRDefault="00D554C2" w:rsidP="00D554C2">
            <w:pPr>
              <w:spacing w:line="240" w:lineRule="atLeast"/>
              <w:rPr>
                <w:rFonts w:ascii="宋体" w:eastAsia="宋体" w:hAnsi="宋体" w:cs="宋体"/>
                <w:szCs w:val="21"/>
              </w:rPr>
            </w:pPr>
          </w:p>
        </w:tc>
        <w:tc>
          <w:tcPr>
            <w:tcW w:w="1960" w:type="dxa"/>
          </w:tcPr>
          <w:p w14:paraId="39802871" w14:textId="77777777" w:rsidR="00D554C2" w:rsidRPr="00D554C2" w:rsidRDefault="00D554C2" w:rsidP="00D554C2">
            <w:pPr>
              <w:spacing w:line="240" w:lineRule="atLeast"/>
              <w:rPr>
                <w:rFonts w:ascii="宋体" w:eastAsia="宋体" w:hAnsi="宋体" w:cs="宋体"/>
                <w:szCs w:val="21"/>
              </w:rPr>
            </w:pPr>
            <w:r w:rsidRPr="00D554C2">
              <w:rPr>
                <w:rFonts w:ascii="宋体" w:eastAsia="宋体" w:hAnsi="宋体" w:cs="宋体" w:hint="eastAsia"/>
                <w:szCs w:val="21"/>
              </w:rPr>
              <w:t>健美操套路（60%）</w:t>
            </w:r>
          </w:p>
        </w:tc>
        <w:tc>
          <w:tcPr>
            <w:tcW w:w="1880" w:type="dxa"/>
          </w:tcPr>
          <w:p w14:paraId="049C5218" w14:textId="77777777" w:rsidR="00D554C2" w:rsidRPr="00D554C2" w:rsidRDefault="00D554C2" w:rsidP="00D554C2">
            <w:pPr>
              <w:spacing w:line="240" w:lineRule="atLeast"/>
              <w:rPr>
                <w:rFonts w:ascii="宋体" w:eastAsia="宋体" w:hAnsi="宋体" w:cs="宋体"/>
                <w:szCs w:val="21"/>
              </w:rPr>
            </w:pPr>
            <w:r w:rsidRPr="00D554C2">
              <w:rPr>
                <w:rFonts w:ascii="宋体" w:eastAsia="宋体" w:hAnsi="宋体" w:cs="宋体" w:hint="eastAsia"/>
                <w:szCs w:val="21"/>
              </w:rPr>
              <w:t>身体素质（10%）</w:t>
            </w:r>
          </w:p>
        </w:tc>
        <w:tc>
          <w:tcPr>
            <w:tcW w:w="1734" w:type="dxa"/>
            <w:vMerge/>
          </w:tcPr>
          <w:p w14:paraId="7C060A6D" w14:textId="77777777" w:rsidR="00D554C2" w:rsidRPr="00D554C2" w:rsidRDefault="00D554C2" w:rsidP="00D554C2">
            <w:pPr>
              <w:spacing w:line="240" w:lineRule="atLeast"/>
              <w:rPr>
                <w:rFonts w:ascii="宋体" w:eastAsia="宋体" w:hAnsi="宋体" w:cs="宋体"/>
                <w:szCs w:val="21"/>
              </w:rPr>
            </w:pPr>
          </w:p>
        </w:tc>
      </w:tr>
      <w:tr w:rsidR="00D554C2" w:rsidRPr="00D554C2" w14:paraId="4212A37D" w14:textId="77777777" w:rsidTr="009B4CAE">
        <w:trPr>
          <w:trHeight w:val="800"/>
        </w:trPr>
        <w:tc>
          <w:tcPr>
            <w:tcW w:w="1677" w:type="dxa"/>
            <w:vAlign w:val="center"/>
          </w:tcPr>
          <w:p w14:paraId="1D1DF360"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健美操1</w:t>
            </w:r>
          </w:p>
        </w:tc>
        <w:tc>
          <w:tcPr>
            <w:tcW w:w="1221" w:type="dxa"/>
            <w:vAlign w:val="center"/>
          </w:tcPr>
          <w:p w14:paraId="210E6A9E"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健美操套路评定</w:t>
            </w:r>
          </w:p>
        </w:tc>
        <w:tc>
          <w:tcPr>
            <w:tcW w:w="1960" w:type="dxa"/>
            <w:vAlign w:val="center"/>
          </w:tcPr>
          <w:p w14:paraId="411CE07A"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大众锻炼标准套路</w:t>
            </w:r>
            <w:proofErr w:type="gramStart"/>
            <w:r w:rsidRPr="00D554C2">
              <w:rPr>
                <w:rFonts w:ascii="宋体" w:eastAsia="宋体" w:hAnsi="宋体" w:cs="宋体" w:hint="eastAsia"/>
                <w:szCs w:val="21"/>
              </w:rPr>
              <w:t>一</w:t>
            </w:r>
            <w:proofErr w:type="gramEnd"/>
            <w:r w:rsidRPr="00D554C2">
              <w:rPr>
                <w:rFonts w:ascii="宋体" w:eastAsia="宋体" w:hAnsi="宋体" w:cs="宋体" w:hint="eastAsia"/>
                <w:szCs w:val="21"/>
              </w:rPr>
              <w:t>评定</w:t>
            </w:r>
          </w:p>
        </w:tc>
        <w:tc>
          <w:tcPr>
            <w:tcW w:w="1880" w:type="dxa"/>
            <w:vAlign w:val="center"/>
          </w:tcPr>
          <w:p w14:paraId="0BDC8130"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一分钟跳绳</w:t>
            </w:r>
          </w:p>
        </w:tc>
        <w:tc>
          <w:tcPr>
            <w:tcW w:w="1734" w:type="dxa"/>
            <w:vAlign w:val="center"/>
          </w:tcPr>
          <w:p w14:paraId="2554D240" w14:textId="77777777" w:rsidR="00D554C2" w:rsidRPr="00D554C2" w:rsidRDefault="00D554C2" w:rsidP="00D554C2">
            <w:pPr>
              <w:spacing w:line="240" w:lineRule="atLeast"/>
              <w:rPr>
                <w:rFonts w:ascii="宋体" w:eastAsia="宋体" w:hAnsi="宋体" w:cs="宋体"/>
                <w:szCs w:val="21"/>
              </w:rPr>
            </w:pPr>
            <w:r w:rsidRPr="00D554C2">
              <w:rPr>
                <w:rFonts w:ascii="宋体" w:eastAsia="宋体" w:hAnsi="宋体" w:cs="宋体" w:hint="eastAsia"/>
                <w:bCs/>
                <w:color w:val="000000"/>
                <w:szCs w:val="21"/>
              </w:rPr>
              <w:t>根据学生平时作业准备活动、上课学习态度、考勤等情况给分。</w:t>
            </w:r>
          </w:p>
        </w:tc>
      </w:tr>
    </w:tbl>
    <w:p w14:paraId="6016BBC3" w14:textId="77777777" w:rsidR="00D554C2" w:rsidRPr="00D554C2" w:rsidRDefault="00D554C2" w:rsidP="00D554C2">
      <w:pPr>
        <w:spacing w:line="500" w:lineRule="exact"/>
        <w:jc w:val="center"/>
        <w:rPr>
          <w:rFonts w:ascii="宋体" w:eastAsia="宋体" w:hAnsi="宋体" w:cs="宋体"/>
          <w:sz w:val="24"/>
        </w:rPr>
      </w:pPr>
      <w:r w:rsidRPr="00D554C2">
        <w:rPr>
          <w:rFonts w:ascii="宋体" w:eastAsia="宋体" w:hAnsi="宋体" w:cs="宋体" w:hint="eastAsia"/>
          <w:sz w:val="24"/>
        </w:rPr>
        <w:t>表3 《健美操1》课程考核内容和成绩构成</w:t>
      </w:r>
    </w:p>
    <w:p w14:paraId="632E215F" w14:textId="77777777" w:rsidR="00D554C2" w:rsidRPr="00D554C2" w:rsidRDefault="00D554C2" w:rsidP="00D554C2">
      <w:pPr>
        <w:spacing w:line="500" w:lineRule="exact"/>
        <w:ind w:firstLineChars="200" w:firstLine="482"/>
        <w:jc w:val="left"/>
        <w:rPr>
          <w:rFonts w:ascii="宋体" w:eastAsia="宋体" w:hAnsi="宋体" w:cs="宋体"/>
          <w:bCs/>
          <w:color w:val="000000"/>
          <w:sz w:val="24"/>
        </w:rPr>
      </w:pPr>
      <w:r w:rsidRPr="00D554C2">
        <w:rPr>
          <w:rFonts w:ascii="宋体" w:eastAsia="宋体" w:hAnsi="宋体" w:cs="宋体" w:hint="eastAsia"/>
          <w:b/>
          <w:bCs/>
          <w:color w:val="000000"/>
          <w:sz w:val="24"/>
        </w:rPr>
        <w:t>4.评分记分原则::</w:t>
      </w:r>
      <w:r w:rsidRPr="00D554C2">
        <w:rPr>
          <w:rFonts w:ascii="宋体" w:eastAsia="宋体" w:hAnsi="宋体" w:cs="宋体" w:hint="eastAsia"/>
          <w:color w:val="000000"/>
          <w:sz w:val="24"/>
        </w:rPr>
        <w:t>（见表4—表5）</w:t>
      </w:r>
    </w:p>
    <w:p w14:paraId="7BC32B2D" w14:textId="77777777" w:rsidR="00D554C2" w:rsidRPr="00D554C2" w:rsidRDefault="00D554C2" w:rsidP="00D554C2">
      <w:pPr>
        <w:spacing w:line="500" w:lineRule="exact"/>
        <w:jc w:val="center"/>
        <w:rPr>
          <w:rFonts w:ascii="宋体" w:eastAsia="宋体" w:hAnsi="宋体" w:cs="宋体"/>
          <w:bCs/>
          <w:color w:val="000000"/>
          <w:sz w:val="24"/>
        </w:rPr>
      </w:pPr>
      <w:r w:rsidRPr="00D554C2">
        <w:rPr>
          <w:rFonts w:ascii="宋体" w:eastAsia="宋体" w:hAnsi="宋体" w:cs="宋体" w:hint="eastAsia"/>
          <w:bCs/>
          <w:color w:val="000000"/>
          <w:sz w:val="24"/>
        </w:rPr>
        <w:t>表4  健美操技术评分标准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3"/>
        <w:gridCol w:w="10"/>
        <w:gridCol w:w="7042"/>
      </w:tblGrid>
      <w:tr w:rsidR="00D554C2" w:rsidRPr="00D554C2" w14:paraId="6C148CD6" w14:textId="77777777" w:rsidTr="009B4CAE">
        <w:trPr>
          <w:trHeight w:val="453"/>
        </w:trPr>
        <w:tc>
          <w:tcPr>
            <w:tcW w:w="1463" w:type="dxa"/>
            <w:gridSpan w:val="2"/>
            <w:tcBorders>
              <w:top w:val="single" w:sz="4" w:space="0" w:color="auto"/>
              <w:left w:val="single" w:sz="4" w:space="0" w:color="auto"/>
              <w:bottom w:val="single" w:sz="4" w:space="0" w:color="auto"/>
              <w:right w:val="single" w:sz="4" w:space="0" w:color="auto"/>
            </w:tcBorders>
            <w:vAlign w:val="center"/>
          </w:tcPr>
          <w:p w14:paraId="095C4C3F" w14:textId="77777777" w:rsidR="00D554C2" w:rsidRPr="00D554C2" w:rsidRDefault="00D554C2" w:rsidP="00D554C2">
            <w:pPr>
              <w:adjustRightInd w:val="0"/>
              <w:spacing w:line="240" w:lineRule="atLeast"/>
              <w:jc w:val="center"/>
              <w:rPr>
                <w:rFonts w:ascii="宋体" w:eastAsia="宋体" w:hAnsi="宋体" w:cs="宋体"/>
                <w:szCs w:val="21"/>
              </w:rPr>
            </w:pPr>
            <w:r w:rsidRPr="00D554C2">
              <w:rPr>
                <w:rFonts w:ascii="宋体" w:eastAsia="宋体" w:hAnsi="宋体" w:cs="宋体" w:hint="eastAsia"/>
                <w:color w:val="000000"/>
                <w:kern w:val="0"/>
                <w:szCs w:val="21"/>
                <w:lang w:val="zh-CN"/>
              </w:rPr>
              <w:t>分  值</w:t>
            </w:r>
          </w:p>
        </w:tc>
        <w:tc>
          <w:tcPr>
            <w:tcW w:w="7042" w:type="dxa"/>
            <w:tcBorders>
              <w:top w:val="single" w:sz="4" w:space="0" w:color="auto"/>
              <w:left w:val="single" w:sz="4" w:space="0" w:color="auto"/>
              <w:bottom w:val="single" w:sz="4" w:space="0" w:color="auto"/>
              <w:right w:val="single" w:sz="4" w:space="0" w:color="auto"/>
            </w:tcBorders>
            <w:vAlign w:val="center"/>
          </w:tcPr>
          <w:p w14:paraId="34E5B9C5" w14:textId="77777777" w:rsidR="00D554C2" w:rsidRPr="00D554C2" w:rsidRDefault="00D554C2" w:rsidP="00D554C2">
            <w:pPr>
              <w:adjustRightInd w:val="0"/>
              <w:spacing w:line="240" w:lineRule="atLeast"/>
              <w:jc w:val="center"/>
              <w:rPr>
                <w:rFonts w:ascii="宋体" w:eastAsia="宋体" w:hAnsi="宋体" w:cs="宋体"/>
                <w:szCs w:val="21"/>
              </w:rPr>
            </w:pPr>
            <w:r w:rsidRPr="00D554C2">
              <w:rPr>
                <w:rFonts w:ascii="宋体" w:eastAsia="宋体" w:hAnsi="宋体" w:cs="宋体" w:hint="eastAsia"/>
                <w:color w:val="000000"/>
                <w:kern w:val="0"/>
                <w:szCs w:val="21"/>
                <w:lang w:val="zh-CN"/>
              </w:rPr>
              <w:t>技 评 标 准</w:t>
            </w:r>
          </w:p>
        </w:tc>
      </w:tr>
      <w:tr w:rsidR="00D554C2" w:rsidRPr="00D554C2" w14:paraId="6B249D18" w14:textId="77777777" w:rsidTr="009B4CAE">
        <w:trPr>
          <w:trHeight w:val="80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6B6BD883" w14:textId="77777777" w:rsidR="00D554C2" w:rsidRPr="00D554C2" w:rsidRDefault="00D554C2" w:rsidP="00D554C2">
            <w:pPr>
              <w:adjustRightInd w:val="0"/>
              <w:spacing w:line="240" w:lineRule="atLeast"/>
              <w:ind w:left="1575" w:hangingChars="750" w:hanging="1575"/>
              <w:jc w:val="center"/>
              <w:rPr>
                <w:rFonts w:ascii="宋体" w:eastAsia="宋体" w:hAnsi="宋体" w:cs="宋体"/>
                <w:szCs w:val="21"/>
              </w:rPr>
            </w:pPr>
            <w:r w:rsidRPr="00D554C2">
              <w:rPr>
                <w:rFonts w:ascii="宋体" w:eastAsia="宋体" w:hAnsi="宋体" w:cs="宋体" w:hint="eastAsia"/>
                <w:color w:val="000000"/>
                <w:kern w:val="0"/>
                <w:szCs w:val="21"/>
                <w:lang w:val="zh-CN"/>
              </w:rPr>
              <w:t>90—100分</w:t>
            </w:r>
          </w:p>
        </w:tc>
        <w:tc>
          <w:tcPr>
            <w:tcW w:w="7042" w:type="dxa"/>
            <w:tcBorders>
              <w:top w:val="single" w:sz="4" w:space="0" w:color="auto"/>
              <w:left w:val="single" w:sz="4" w:space="0" w:color="auto"/>
              <w:bottom w:val="single" w:sz="4" w:space="0" w:color="auto"/>
              <w:right w:val="single" w:sz="4" w:space="0" w:color="auto"/>
            </w:tcBorders>
            <w:vAlign w:val="center"/>
          </w:tcPr>
          <w:p w14:paraId="235E13A6"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能独立完成</w:t>
            </w:r>
            <w:r w:rsidRPr="00D554C2">
              <w:rPr>
                <w:rFonts w:ascii="宋体" w:eastAsia="宋体" w:hAnsi="宋体" w:cs="宋体" w:hint="eastAsia"/>
                <w:color w:val="000000"/>
                <w:kern w:val="0"/>
                <w:szCs w:val="21"/>
              </w:rPr>
              <w:t>整套动作</w:t>
            </w:r>
            <w:r w:rsidRPr="00D554C2">
              <w:rPr>
                <w:rFonts w:ascii="宋体" w:eastAsia="宋体" w:hAnsi="宋体" w:cs="宋体" w:hint="eastAsia"/>
                <w:color w:val="000000"/>
                <w:kern w:val="0"/>
                <w:szCs w:val="21"/>
                <w:lang w:val="zh-CN"/>
              </w:rPr>
              <w:t>，动作熟练、准确、有力度、节奏感强；动作与音乐配合协调，具有较强表现力。</w:t>
            </w:r>
          </w:p>
        </w:tc>
      </w:tr>
      <w:tr w:rsidR="00D554C2" w:rsidRPr="00D554C2" w14:paraId="672F5E72" w14:textId="77777777" w:rsidTr="009B4CAE">
        <w:trPr>
          <w:trHeight w:val="80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76ABA118" w14:textId="77777777" w:rsidR="00D554C2" w:rsidRPr="00D554C2" w:rsidRDefault="00D554C2" w:rsidP="00D554C2">
            <w:pPr>
              <w:adjustRightInd w:val="0"/>
              <w:spacing w:line="240" w:lineRule="atLeast"/>
              <w:ind w:left="1575" w:hangingChars="750" w:hanging="1575"/>
              <w:jc w:val="center"/>
              <w:rPr>
                <w:rFonts w:ascii="宋体" w:eastAsia="宋体" w:hAnsi="宋体" w:cs="宋体"/>
                <w:szCs w:val="21"/>
              </w:rPr>
            </w:pPr>
            <w:r w:rsidRPr="00D554C2">
              <w:rPr>
                <w:rFonts w:ascii="宋体" w:eastAsia="宋体" w:hAnsi="宋体" w:cs="宋体" w:hint="eastAsia"/>
                <w:color w:val="000000"/>
                <w:kern w:val="0"/>
                <w:szCs w:val="21"/>
                <w:lang w:val="zh-CN"/>
              </w:rPr>
              <w:t>80—89分</w:t>
            </w:r>
          </w:p>
        </w:tc>
        <w:tc>
          <w:tcPr>
            <w:tcW w:w="7042" w:type="dxa"/>
            <w:tcBorders>
              <w:top w:val="single" w:sz="4" w:space="0" w:color="auto"/>
              <w:left w:val="single" w:sz="4" w:space="0" w:color="auto"/>
              <w:bottom w:val="single" w:sz="4" w:space="0" w:color="auto"/>
              <w:right w:val="single" w:sz="4" w:space="0" w:color="auto"/>
            </w:tcBorders>
            <w:vAlign w:val="center"/>
          </w:tcPr>
          <w:p w14:paraId="31500DD4"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能独立完成</w:t>
            </w:r>
            <w:r w:rsidRPr="00D554C2">
              <w:rPr>
                <w:rFonts w:ascii="宋体" w:eastAsia="宋体" w:hAnsi="宋体" w:cs="宋体" w:hint="eastAsia"/>
                <w:color w:val="000000"/>
                <w:kern w:val="0"/>
                <w:szCs w:val="21"/>
              </w:rPr>
              <w:t>成套动作</w:t>
            </w:r>
            <w:r w:rsidRPr="00D554C2">
              <w:rPr>
                <w:rFonts w:ascii="宋体" w:eastAsia="宋体" w:hAnsi="宋体" w:cs="宋体" w:hint="eastAsia"/>
                <w:color w:val="000000"/>
                <w:kern w:val="0"/>
                <w:szCs w:val="21"/>
                <w:lang w:val="zh-CN"/>
              </w:rPr>
              <w:t>，动作熟练，动作较准确、较有力度、有节奏感；动作与音乐配合协调，具有一定表现力。</w:t>
            </w:r>
          </w:p>
        </w:tc>
      </w:tr>
      <w:tr w:rsidR="00D554C2" w:rsidRPr="00D554C2" w14:paraId="26799CB9" w14:textId="77777777" w:rsidTr="009B4CAE">
        <w:trPr>
          <w:trHeight w:val="47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1F4732DA" w14:textId="77777777" w:rsidR="00D554C2" w:rsidRPr="00D554C2" w:rsidRDefault="00D554C2" w:rsidP="00D554C2">
            <w:pPr>
              <w:adjustRightInd w:val="0"/>
              <w:spacing w:line="240" w:lineRule="atLeast"/>
              <w:ind w:left="1575" w:hangingChars="750" w:hanging="1575"/>
              <w:jc w:val="center"/>
              <w:rPr>
                <w:rFonts w:ascii="宋体" w:eastAsia="宋体" w:hAnsi="宋体" w:cs="宋体"/>
                <w:szCs w:val="21"/>
              </w:rPr>
            </w:pPr>
            <w:r w:rsidRPr="00D554C2">
              <w:rPr>
                <w:rFonts w:ascii="宋体" w:eastAsia="宋体" w:hAnsi="宋体" w:cs="宋体" w:hint="eastAsia"/>
                <w:color w:val="000000"/>
                <w:kern w:val="0"/>
                <w:szCs w:val="21"/>
                <w:lang w:val="zh-CN"/>
              </w:rPr>
              <w:t>70—79分</w:t>
            </w:r>
          </w:p>
        </w:tc>
        <w:tc>
          <w:tcPr>
            <w:tcW w:w="7042" w:type="dxa"/>
            <w:tcBorders>
              <w:top w:val="single" w:sz="4" w:space="0" w:color="auto"/>
              <w:left w:val="single" w:sz="4" w:space="0" w:color="auto"/>
              <w:bottom w:val="single" w:sz="4" w:space="0" w:color="auto"/>
              <w:right w:val="single" w:sz="4" w:space="0" w:color="auto"/>
            </w:tcBorders>
            <w:vAlign w:val="center"/>
          </w:tcPr>
          <w:p w14:paraId="09769D34"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能独立完成</w:t>
            </w:r>
            <w:r w:rsidRPr="00D554C2">
              <w:rPr>
                <w:rFonts w:ascii="宋体" w:eastAsia="宋体" w:hAnsi="宋体" w:cs="宋体" w:hint="eastAsia"/>
                <w:color w:val="000000"/>
                <w:kern w:val="0"/>
                <w:szCs w:val="21"/>
              </w:rPr>
              <w:t>整套动作</w:t>
            </w:r>
            <w:r w:rsidRPr="00D554C2">
              <w:rPr>
                <w:rFonts w:ascii="宋体" w:eastAsia="宋体" w:hAnsi="宋体" w:cs="宋体" w:hint="eastAsia"/>
                <w:color w:val="000000"/>
                <w:kern w:val="0"/>
                <w:szCs w:val="21"/>
                <w:lang w:val="zh-CN"/>
              </w:rPr>
              <w:t>，动作基本准确、协调，节奏感较强，表现力一般。</w:t>
            </w:r>
          </w:p>
        </w:tc>
      </w:tr>
      <w:tr w:rsidR="00D554C2" w:rsidRPr="00D554C2" w14:paraId="2EBD9A3A" w14:textId="77777777" w:rsidTr="009B4CAE">
        <w:trPr>
          <w:trHeight w:val="47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227E2DF7" w14:textId="77777777" w:rsidR="00D554C2" w:rsidRPr="00D554C2" w:rsidRDefault="00D554C2" w:rsidP="00D554C2">
            <w:pPr>
              <w:adjustRightInd w:val="0"/>
              <w:spacing w:line="240" w:lineRule="atLeast"/>
              <w:ind w:left="1575" w:hangingChars="750" w:hanging="1575"/>
              <w:jc w:val="center"/>
              <w:rPr>
                <w:rFonts w:ascii="宋体" w:eastAsia="宋体" w:hAnsi="宋体" w:cs="宋体"/>
                <w:szCs w:val="21"/>
              </w:rPr>
            </w:pPr>
            <w:r w:rsidRPr="00D554C2">
              <w:rPr>
                <w:rFonts w:ascii="宋体" w:eastAsia="宋体" w:hAnsi="宋体" w:cs="宋体" w:hint="eastAsia"/>
                <w:color w:val="000000"/>
                <w:kern w:val="0"/>
                <w:szCs w:val="21"/>
                <w:lang w:val="zh-CN"/>
              </w:rPr>
              <w:t>60—69分</w:t>
            </w:r>
          </w:p>
        </w:tc>
        <w:tc>
          <w:tcPr>
            <w:tcW w:w="7042" w:type="dxa"/>
            <w:tcBorders>
              <w:top w:val="single" w:sz="4" w:space="0" w:color="auto"/>
              <w:left w:val="single" w:sz="4" w:space="0" w:color="auto"/>
              <w:bottom w:val="single" w:sz="4" w:space="0" w:color="auto"/>
              <w:right w:val="single" w:sz="4" w:space="0" w:color="auto"/>
            </w:tcBorders>
            <w:vAlign w:val="center"/>
          </w:tcPr>
          <w:p w14:paraId="5DB61E84"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动作基本正确，动作独立完成，与音乐基本合拍。</w:t>
            </w:r>
          </w:p>
        </w:tc>
      </w:tr>
      <w:tr w:rsidR="00D554C2" w:rsidRPr="00D554C2" w14:paraId="6D9D8C71" w14:textId="77777777" w:rsidTr="009B4CAE">
        <w:trPr>
          <w:trHeight w:val="47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3AD2689B" w14:textId="77777777" w:rsidR="00D554C2" w:rsidRPr="00D554C2" w:rsidRDefault="00D554C2" w:rsidP="00D554C2">
            <w:pPr>
              <w:adjustRightInd w:val="0"/>
              <w:spacing w:line="240" w:lineRule="atLeast"/>
              <w:jc w:val="center"/>
              <w:rPr>
                <w:rFonts w:ascii="宋体" w:eastAsia="宋体" w:hAnsi="宋体" w:cs="宋体"/>
                <w:szCs w:val="21"/>
              </w:rPr>
            </w:pPr>
            <w:r w:rsidRPr="00D554C2">
              <w:rPr>
                <w:rFonts w:ascii="宋体" w:eastAsia="宋体" w:hAnsi="宋体" w:cs="宋体" w:hint="eastAsia"/>
                <w:color w:val="000000"/>
                <w:kern w:val="0"/>
                <w:szCs w:val="21"/>
                <w:lang w:val="zh-CN"/>
              </w:rPr>
              <w:t>60以下</w:t>
            </w:r>
          </w:p>
        </w:tc>
        <w:tc>
          <w:tcPr>
            <w:tcW w:w="7042" w:type="dxa"/>
            <w:tcBorders>
              <w:top w:val="single" w:sz="4" w:space="0" w:color="auto"/>
              <w:left w:val="single" w:sz="4" w:space="0" w:color="auto"/>
              <w:bottom w:val="single" w:sz="4" w:space="0" w:color="auto"/>
              <w:right w:val="single" w:sz="4" w:space="0" w:color="auto"/>
            </w:tcBorders>
            <w:vAlign w:val="center"/>
          </w:tcPr>
          <w:p w14:paraId="3503CB5D"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动作不熟练，不能完成动作，与音乐不合拍。</w:t>
            </w:r>
          </w:p>
        </w:tc>
      </w:tr>
      <w:tr w:rsidR="00D554C2" w:rsidRPr="00D554C2" w14:paraId="5114C0F0" w14:textId="77777777" w:rsidTr="009B4CAE">
        <w:trPr>
          <w:trHeight w:val="540"/>
        </w:trPr>
        <w:tc>
          <w:tcPr>
            <w:tcW w:w="1453" w:type="dxa"/>
            <w:tcBorders>
              <w:top w:val="single" w:sz="4" w:space="0" w:color="auto"/>
              <w:left w:val="single" w:sz="4" w:space="0" w:color="auto"/>
              <w:bottom w:val="single" w:sz="4" w:space="0" w:color="auto"/>
              <w:right w:val="single" w:sz="4" w:space="0" w:color="auto"/>
            </w:tcBorders>
            <w:vAlign w:val="center"/>
          </w:tcPr>
          <w:p w14:paraId="5021CD33" w14:textId="77777777" w:rsidR="00D554C2" w:rsidRPr="00D554C2" w:rsidRDefault="00D554C2" w:rsidP="00D554C2">
            <w:pPr>
              <w:adjustRightInd w:val="0"/>
              <w:spacing w:line="240" w:lineRule="atLeast"/>
              <w:jc w:val="center"/>
              <w:rPr>
                <w:rFonts w:ascii="宋体" w:eastAsia="宋体" w:hAnsi="宋体" w:cs="宋体"/>
                <w:szCs w:val="21"/>
              </w:rPr>
            </w:pPr>
            <w:r w:rsidRPr="00D554C2">
              <w:rPr>
                <w:rFonts w:ascii="宋体" w:eastAsia="宋体" w:hAnsi="宋体" w:cs="宋体" w:hint="eastAsia"/>
                <w:color w:val="000000"/>
                <w:kern w:val="0"/>
                <w:szCs w:val="21"/>
                <w:lang w:val="zh-CN"/>
              </w:rPr>
              <w:t>60以下</w:t>
            </w:r>
          </w:p>
        </w:tc>
        <w:tc>
          <w:tcPr>
            <w:tcW w:w="7052" w:type="dxa"/>
            <w:gridSpan w:val="2"/>
            <w:tcBorders>
              <w:top w:val="single" w:sz="4" w:space="0" w:color="auto"/>
              <w:left w:val="single" w:sz="4" w:space="0" w:color="auto"/>
              <w:bottom w:val="single" w:sz="4" w:space="0" w:color="auto"/>
              <w:right w:val="single" w:sz="4" w:space="0" w:color="auto"/>
            </w:tcBorders>
            <w:vAlign w:val="center"/>
          </w:tcPr>
          <w:p w14:paraId="3BCA0B00"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动作不熟练，不能完成动作，与音乐不合拍，</w:t>
            </w:r>
            <w:r w:rsidRPr="00D554C2">
              <w:rPr>
                <w:rFonts w:ascii="宋体" w:eastAsia="宋体" w:hAnsi="宋体" w:cs="宋体" w:hint="eastAsia"/>
                <w:color w:val="000000"/>
                <w:kern w:val="0"/>
                <w:szCs w:val="21"/>
              </w:rPr>
              <w:t>队形数量不符合规定。</w:t>
            </w:r>
          </w:p>
        </w:tc>
      </w:tr>
    </w:tbl>
    <w:p w14:paraId="243A8B09" w14:textId="77777777" w:rsidR="00D554C2" w:rsidRPr="00D554C2" w:rsidRDefault="00D554C2" w:rsidP="00D554C2">
      <w:pPr>
        <w:rPr>
          <w:rFonts w:ascii="Calibri" w:eastAsia="宋体" w:hAnsi="Calibri" w:cs="Times New Roman"/>
          <w:vanish/>
        </w:rPr>
      </w:pPr>
    </w:p>
    <w:tbl>
      <w:tblPr>
        <w:tblpPr w:leftFromText="180" w:rightFromText="180" w:vertAnchor="text" w:horzAnchor="margin" w:tblpY="834"/>
        <w:tblOverlap w:val="never"/>
        <w:tblW w:w="0" w:type="auto"/>
        <w:tblCellSpacing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1910"/>
        <w:gridCol w:w="849"/>
        <w:gridCol w:w="639"/>
        <w:gridCol w:w="639"/>
        <w:gridCol w:w="639"/>
        <w:gridCol w:w="639"/>
        <w:gridCol w:w="639"/>
        <w:gridCol w:w="639"/>
        <w:gridCol w:w="639"/>
        <w:gridCol w:w="639"/>
        <w:gridCol w:w="529"/>
      </w:tblGrid>
      <w:tr w:rsidR="00D554C2" w:rsidRPr="00D554C2" w14:paraId="2D990C18" w14:textId="77777777" w:rsidTr="009B4CAE">
        <w:trPr>
          <w:trHeight w:val="389"/>
          <w:tblCellSpacing w:w="0" w:type="dxa"/>
        </w:trPr>
        <w:tc>
          <w:tcPr>
            <w:tcW w:w="1910" w:type="dxa"/>
            <w:vAlign w:val="center"/>
          </w:tcPr>
          <w:p w14:paraId="74F4958F"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1分钟跳绳（次）</w:t>
            </w:r>
          </w:p>
        </w:tc>
        <w:tc>
          <w:tcPr>
            <w:tcW w:w="849" w:type="dxa"/>
            <w:vAlign w:val="center"/>
          </w:tcPr>
          <w:p w14:paraId="661A7F1D"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166</w:t>
            </w:r>
          </w:p>
        </w:tc>
        <w:tc>
          <w:tcPr>
            <w:tcW w:w="639" w:type="dxa"/>
            <w:vAlign w:val="center"/>
          </w:tcPr>
          <w:p w14:paraId="218B7898"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152</w:t>
            </w:r>
          </w:p>
        </w:tc>
        <w:tc>
          <w:tcPr>
            <w:tcW w:w="639" w:type="dxa"/>
            <w:vAlign w:val="center"/>
          </w:tcPr>
          <w:p w14:paraId="7E9E18C3"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136</w:t>
            </w:r>
          </w:p>
        </w:tc>
        <w:tc>
          <w:tcPr>
            <w:tcW w:w="639" w:type="dxa"/>
            <w:vAlign w:val="center"/>
          </w:tcPr>
          <w:p w14:paraId="1228DDDD"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124</w:t>
            </w:r>
          </w:p>
        </w:tc>
        <w:tc>
          <w:tcPr>
            <w:tcW w:w="639" w:type="dxa"/>
            <w:vAlign w:val="center"/>
          </w:tcPr>
          <w:p w14:paraId="44D425DA"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112</w:t>
            </w:r>
          </w:p>
        </w:tc>
        <w:tc>
          <w:tcPr>
            <w:tcW w:w="639" w:type="dxa"/>
            <w:vAlign w:val="center"/>
          </w:tcPr>
          <w:p w14:paraId="19BCE960"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100</w:t>
            </w:r>
          </w:p>
        </w:tc>
        <w:tc>
          <w:tcPr>
            <w:tcW w:w="639" w:type="dxa"/>
            <w:vAlign w:val="center"/>
          </w:tcPr>
          <w:p w14:paraId="7F51BECB"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88</w:t>
            </w:r>
          </w:p>
        </w:tc>
        <w:tc>
          <w:tcPr>
            <w:tcW w:w="639" w:type="dxa"/>
            <w:vAlign w:val="center"/>
          </w:tcPr>
          <w:p w14:paraId="7E11776A"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76</w:t>
            </w:r>
          </w:p>
        </w:tc>
        <w:tc>
          <w:tcPr>
            <w:tcW w:w="639" w:type="dxa"/>
            <w:vAlign w:val="center"/>
          </w:tcPr>
          <w:p w14:paraId="7F1F1F81"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70</w:t>
            </w:r>
          </w:p>
        </w:tc>
        <w:tc>
          <w:tcPr>
            <w:tcW w:w="529" w:type="dxa"/>
            <w:vAlign w:val="center"/>
          </w:tcPr>
          <w:p w14:paraId="68089DC2"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64</w:t>
            </w:r>
          </w:p>
        </w:tc>
      </w:tr>
      <w:tr w:rsidR="00D554C2" w:rsidRPr="00D554C2" w14:paraId="64600EF8" w14:textId="77777777" w:rsidTr="009B4CAE">
        <w:trPr>
          <w:trHeight w:val="389"/>
          <w:tblCellSpacing w:w="0" w:type="dxa"/>
        </w:trPr>
        <w:tc>
          <w:tcPr>
            <w:tcW w:w="1910" w:type="dxa"/>
            <w:vAlign w:val="center"/>
          </w:tcPr>
          <w:p w14:paraId="6371CEC8"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得   分</w:t>
            </w:r>
          </w:p>
        </w:tc>
        <w:tc>
          <w:tcPr>
            <w:tcW w:w="849" w:type="dxa"/>
            <w:vAlign w:val="center"/>
          </w:tcPr>
          <w:p w14:paraId="2016B53C"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10</w:t>
            </w:r>
          </w:p>
        </w:tc>
        <w:tc>
          <w:tcPr>
            <w:tcW w:w="639" w:type="dxa"/>
            <w:vAlign w:val="center"/>
          </w:tcPr>
          <w:p w14:paraId="22338BD3"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9</w:t>
            </w:r>
          </w:p>
        </w:tc>
        <w:tc>
          <w:tcPr>
            <w:tcW w:w="639" w:type="dxa"/>
            <w:vAlign w:val="center"/>
          </w:tcPr>
          <w:p w14:paraId="2E87ED01"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8</w:t>
            </w:r>
          </w:p>
        </w:tc>
        <w:tc>
          <w:tcPr>
            <w:tcW w:w="639" w:type="dxa"/>
            <w:vAlign w:val="center"/>
          </w:tcPr>
          <w:p w14:paraId="2F9C008D"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7</w:t>
            </w:r>
          </w:p>
        </w:tc>
        <w:tc>
          <w:tcPr>
            <w:tcW w:w="639" w:type="dxa"/>
            <w:vAlign w:val="center"/>
          </w:tcPr>
          <w:p w14:paraId="0ECDFC1D"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6</w:t>
            </w:r>
          </w:p>
        </w:tc>
        <w:tc>
          <w:tcPr>
            <w:tcW w:w="639" w:type="dxa"/>
            <w:vAlign w:val="center"/>
          </w:tcPr>
          <w:p w14:paraId="0F4DA4AD"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5</w:t>
            </w:r>
          </w:p>
        </w:tc>
        <w:tc>
          <w:tcPr>
            <w:tcW w:w="639" w:type="dxa"/>
            <w:vAlign w:val="center"/>
          </w:tcPr>
          <w:p w14:paraId="30B346E8"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4</w:t>
            </w:r>
          </w:p>
        </w:tc>
        <w:tc>
          <w:tcPr>
            <w:tcW w:w="639" w:type="dxa"/>
            <w:vAlign w:val="center"/>
          </w:tcPr>
          <w:p w14:paraId="68B405C0"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3</w:t>
            </w:r>
          </w:p>
        </w:tc>
        <w:tc>
          <w:tcPr>
            <w:tcW w:w="639" w:type="dxa"/>
            <w:vAlign w:val="center"/>
          </w:tcPr>
          <w:p w14:paraId="5D4D7DED"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2</w:t>
            </w:r>
          </w:p>
        </w:tc>
        <w:tc>
          <w:tcPr>
            <w:tcW w:w="529" w:type="dxa"/>
            <w:vAlign w:val="center"/>
          </w:tcPr>
          <w:p w14:paraId="00E4CB83"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w:t>
            </w:r>
          </w:p>
        </w:tc>
      </w:tr>
    </w:tbl>
    <w:p w14:paraId="542B2AA4" w14:textId="77777777" w:rsidR="00D554C2" w:rsidRPr="00D554C2" w:rsidRDefault="00D554C2" w:rsidP="00D554C2">
      <w:pPr>
        <w:rPr>
          <w:rFonts w:ascii="宋体" w:eastAsia="宋体" w:hAnsi="宋体" w:cs="Times New Roman"/>
          <w:bCs/>
          <w:kern w:val="0"/>
          <w:sz w:val="18"/>
          <w:szCs w:val="18"/>
          <w:lang w:bidi="ar"/>
        </w:rPr>
      </w:pPr>
    </w:p>
    <w:p w14:paraId="170FC620" w14:textId="77777777" w:rsidR="00D554C2" w:rsidRPr="00D554C2" w:rsidRDefault="00D554C2" w:rsidP="00D554C2">
      <w:pPr>
        <w:spacing w:line="500" w:lineRule="exact"/>
        <w:jc w:val="center"/>
        <w:rPr>
          <w:rFonts w:ascii="宋体" w:eastAsia="宋体" w:hAnsi="宋体" w:cs="宋体"/>
          <w:kern w:val="0"/>
          <w:sz w:val="24"/>
          <w:lang w:bidi="ar"/>
        </w:rPr>
      </w:pPr>
      <w:r w:rsidRPr="00D554C2">
        <w:rPr>
          <w:rFonts w:ascii="宋体" w:eastAsia="宋体" w:hAnsi="宋体" w:cs="宋体" w:hint="eastAsia"/>
          <w:kern w:val="0"/>
          <w:sz w:val="24"/>
          <w:lang w:bidi="ar"/>
        </w:rPr>
        <w:t>表5  一分钟跳绳评分标准</w:t>
      </w:r>
    </w:p>
    <w:p w14:paraId="5330665B" w14:textId="77777777" w:rsidR="00D554C2" w:rsidRPr="00D554C2" w:rsidRDefault="00D554C2" w:rsidP="00D554C2">
      <w:pPr>
        <w:adjustRightInd w:val="0"/>
        <w:snapToGrid w:val="0"/>
        <w:spacing w:line="500" w:lineRule="exact"/>
        <w:rPr>
          <w:rFonts w:ascii="宋体" w:eastAsia="宋体" w:hAnsi="Calibri" w:cs="Times New Roman"/>
          <w:bCs/>
          <w:kern w:val="0"/>
          <w:sz w:val="24"/>
        </w:rPr>
      </w:pPr>
    </w:p>
    <w:p w14:paraId="02D39BC3" w14:textId="77777777" w:rsidR="00D554C2" w:rsidRPr="00D554C2" w:rsidRDefault="00D554C2" w:rsidP="00D554C2">
      <w:pPr>
        <w:spacing w:beforeLines="50" w:before="156" w:afterLines="50" w:after="156" w:line="440" w:lineRule="exact"/>
        <w:ind w:firstLineChars="200" w:firstLine="560"/>
        <w:rPr>
          <w:rFonts w:ascii="宋体" w:eastAsia="宋体" w:hAnsi="宋体" w:cs="宋体"/>
          <w:color w:val="000000"/>
          <w:sz w:val="28"/>
          <w:szCs w:val="28"/>
        </w:rPr>
      </w:pPr>
      <w:r w:rsidRPr="00D554C2">
        <w:rPr>
          <w:rFonts w:ascii="黑体" w:eastAsia="黑体" w:hAnsi="黑体" w:cs="Times New Roman" w:hint="eastAsia"/>
          <w:sz w:val="28"/>
          <w:szCs w:val="28"/>
        </w:rPr>
        <w:t>第三学期</w:t>
      </w:r>
    </w:p>
    <w:p w14:paraId="0B0B2E22" w14:textId="77777777" w:rsidR="00D554C2" w:rsidRPr="00D554C2" w:rsidRDefault="00D554C2" w:rsidP="00D554C2">
      <w:pPr>
        <w:adjustRightInd w:val="0"/>
        <w:snapToGrid w:val="0"/>
        <w:spacing w:line="500" w:lineRule="exact"/>
        <w:ind w:firstLineChars="200" w:firstLine="482"/>
        <w:rPr>
          <w:rFonts w:ascii="宋体" w:eastAsia="宋体" w:hAnsi="宋体" w:cs="宋体"/>
          <w:color w:val="FF0000"/>
          <w:sz w:val="24"/>
        </w:rPr>
      </w:pPr>
      <w:r w:rsidRPr="00D554C2">
        <w:rPr>
          <w:rFonts w:ascii="宋体" w:eastAsia="宋体" w:hAnsi="宋体" w:cs="宋体" w:hint="eastAsia"/>
          <w:b/>
          <w:bCs/>
          <w:color w:val="000000"/>
          <w:sz w:val="24"/>
        </w:rPr>
        <w:t>1.课程考核目标：</w:t>
      </w:r>
      <w:r w:rsidRPr="00D554C2">
        <w:rPr>
          <w:rFonts w:ascii="宋体" w:eastAsia="宋体" w:hAnsi="宋体" w:cs="宋体" w:hint="eastAsia"/>
          <w:color w:val="000000"/>
          <w:sz w:val="24"/>
        </w:rPr>
        <w:t>本课程主要考核学生对健美操基本技术、基本知识的掌握情况，</w:t>
      </w:r>
      <w:r w:rsidRPr="00D554C2">
        <w:rPr>
          <w:rFonts w:ascii="宋体" w:eastAsia="宋体" w:hAnsi="宋体" w:cs="宋体" w:hint="eastAsia"/>
          <w:sz w:val="24"/>
        </w:rPr>
        <w:t>提高运动能力；对身体素质的考核，发展力量；考核健美操的创编能力和团队合作意识能力等。</w:t>
      </w:r>
    </w:p>
    <w:p w14:paraId="46F57ADC" w14:textId="77777777" w:rsidR="00D554C2" w:rsidRPr="00D554C2" w:rsidRDefault="00D554C2" w:rsidP="00D554C2">
      <w:pPr>
        <w:adjustRightInd w:val="0"/>
        <w:snapToGrid w:val="0"/>
        <w:spacing w:line="500" w:lineRule="exact"/>
        <w:ind w:firstLineChars="200" w:firstLine="482"/>
        <w:rPr>
          <w:rFonts w:ascii="宋体" w:eastAsia="宋体" w:hAnsi="宋体" w:cs="宋体"/>
          <w:b/>
          <w:bCs/>
          <w:color w:val="000000"/>
          <w:sz w:val="24"/>
        </w:rPr>
      </w:pPr>
      <w:r w:rsidRPr="00D554C2">
        <w:rPr>
          <w:rFonts w:ascii="宋体" w:eastAsia="宋体" w:hAnsi="宋体" w:cs="宋体" w:hint="eastAsia"/>
          <w:b/>
          <w:bCs/>
          <w:color w:val="000000"/>
          <w:sz w:val="24"/>
        </w:rPr>
        <w:t>2.课程考核的方式:</w:t>
      </w:r>
    </w:p>
    <w:p w14:paraId="527736B5" w14:textId="77777777" w:rsidR="00D554C2" w:rsidRPr="00D554C2" w:rsidRDefault="00D554C2" w:rsidP="00D554C2">
      <w:pPr>
        <w:adjustRightInd w:val="0"/>
        <w:snapToGrid w:val="0"/>
        <w:spacing w:line="500" w:lineRule="exact"/>
        <w:ind w:firstLineChars="200" w:firstLine="480"/>
        <w:rPr>
          <w:rFonts w:ascii="宋体" w:eastAsia="宋体" w:hAnsi="宋体" w:cs="宋体"/>
          <w:color w:val="000000"/>
          <w:sz w:val="24"/>
        </w:rPr>
      </w:pPr>
      <w:r w:rsidRPr="00D554C2">
        <w:rPr>
          <w:rFonts w:ascii="宋体" w:eastAsia="宋体" w:hAnsi="宋体" w:cs="宋体" w:hint="eastAsia"/>
          <w:color w:val="000000"/>
          <w:sz w:val="24"/>
        </w:rPr>
        <w:t>①健美操套路二的技术评定：分组、听音乐完成套路动作。</w:t>
      </w:r>
    </w:p>
    <w:p w14:paraId="427AA4C8" w14:textId="77777777" w:rsidR="00D554C2" w:rsidRPr="00D554C2" w:rsidRDefault="00D554C2" w:rsidP="00D554C2">
      <w:pPr>
        <w:adjustRightInd w:val="0"/>
        <w:snapToGrid w:val="0"/>
        <w:spacing w:line="500" w:lineRule="exact"/>
        <w:ind w:firstLineChars="200" w:firstLine="480"/>
        <w:rPr>
          <w:rFonts w:ascii="宋体" w:eastAsia="宋体" w:hAnsi="宋体" w:cs="宋体"/>
          <w:color w:val="000000"/>
          <w:sz w:val="24"/>
        </w:rPr>
      </w:pPr>
      <w:r w:rsidRPr="00D554C2">
        <w:rPr>
          <w:rFonts w:ascii="宋体" w:eastAsia="宋体" w:hAnsi="宋体" w:cs="宋体" w:hint="eastAsia"/>
          <w:color w:val="000000"/>
          <w:sz w:val="24"/>
        </w:rPr>
        <w:lastRenderedPageBreak/>
        <w:t>②创编（团体）；每队由5—8人组成；按抽签进行教学比赛考试。</w:t>
      </w:r>
    </w:p>
    <w:p w14:paraId="76105D20" w14:textId="77777777" w:rsidR="00D554C2" w:rsidRPr="00D554C2" w:rsidRDefault="00D554C2" w:rsidP="00D554C2">
      <w:pPr>
        <w:adjustRightInd w:val="0"/>
        <w:snapToGrid w:val="0"/>
        <w:spacing w:line="500" w:lineRule="exact"/>
        <w:ind w:firstLineChars="200" w:firstLine="480"/>
        <w:rPr>
          <w:rFonts w:ascii="宋体" w:eastAsia="宋体" w:hAnsi="宋体" w:cs="宋体"/>
          <w:color w:val="000000"/>
          <w:sz w:val="24"/>
        </w:rPr>
      </w:pPr>
      <w:r w:rsidRPr="00D554C2">
        <w:rPr>
          <w:rFonts w:ascii="宋体" w:eastAsia="宋体" w:hAnsi="宋体" w:cs="宋体" w:hint="eastAsia"/>
          <w:color w:val="000000"/>
          <w:sz w:val="24"/>
        </w:rPr>
        <w:t>③身体素质的测试：测试仰卧起坐项目。</w:t>
      </w:r>
    </w:p>
    <w:p w14:paraId="6CD197F9" w14:textId="77777777" w:rsidR="00D554C2" w:rsidRPr="00D554C2" w:rsidRDefault="00D554C2" w:rsidP="00D554C2">
      <w:pPr>
        <w:adjustRightInd w:val="0"/>
        <w:snapToGrid w:val="0"/>
        <w:spacing w:line="500" w:lineRule="exact"/>
        <w:ind w:firstLineChars="200" w:firstLine="480"/>
        <w:rPr>
          <w:rFonts w:ascii="宋体" w:eastAsia="宋体" w:hAnsi="宋体" w:cs="宋体"/>
          <w:color w:val="000000"/>
          <w:sz w:val="24"/>
        </w:rPr>
      </w:pPr>
      <w:r w:rsidRPr="00D554C2">
        <w:rPr>
          <w:rFonts w:ascii="宋体" w:eastAsia="宋体" w:hAnsi="宋体" w:cs="宋体" w:hint="eastAsia"/>
          <w:color w:val="000000"/>
          <w:sz w:val="24"/>
        </w:rPr>
        <w:t>测试方法：两人一组，一人测试，一人帮助</w:t>
      </w:r>
      <w:proofErr w:type="gramStart"/>
      <w:r w:rsidRPr="00D554C2">
        <w:rPr>
          <w:rFonts w:ascii="宋体" w:eastAsia="宋体" w:hAnsi="宋体" w:cs="宋体" w:hint="eastAsia"/>
          <w:color w:val="000000"/>
          <w:sz w:val="24"/>
        </w:rPr>
        <w:t>压脚并计数</w:t>
      </w:r>
      <w:proofErr w:type="gramEnd"/>
      <w:r w:rsidRPr="00D554C2">
        <w:rPr>
          <w:rFonts w:ascii="宋体" w:eastAsia="宋体" w:hAnsi="宋体" w:cs="宋体" w:hint="eastAsia"/>
          <w:color w:val="000000"/>
          <w:sz w:val="24"/>
        </w:rPr>
        <w:t>，计算1分钟完成的次数。要求认真不弄虚作假。</w:t>
      </w:r>
    </w:p>
    <w:p w14:paraId="3FC01555" w14:textId="77777777" w:rsidR="00D554C2" w:rsidRPr="00D554C2" w:rsidRDefault="00D554C2" w:rsidP="00D554C2">
      <w:pPr>
        <w:spacing w:line="500" w:lineRule="exact"/>
        <w:ind w:leftChars="200" w:left="420"/>
        <w:rPr>
          <w:rFonts w:ascii="宋体" w:eastAsia="宋体" w:hAnsi="宋体" w:cs="宋体"/>
          <w:b/>
          <w:bCs/>
          <w:color w:val="000000"/>
          <w:sz w:val="24"/>
        </w:rPr>
      </w:pPr>
      <w:r w:rsidRPr="00D554C2">
        <w:rPr>
          <w:rFonts w:ascii="宋体" w:eastAsia="宋体" w:hAnsi="宋体" w:cs="宋体" w:hint="eastAsia"/>
          <w:b/>
          <w:bCs/>
          <w:color w:val="000000"/>
          <w:sz w:val="24"/>
        </w:rPr>
        <w:t>3.课程考核的内容和成绩构成及分值：</w:t>
      </w:r>
    </w:p>
    <w:p w14:paraId="46FF2AAE"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健美操课程成绩由期末考试成绩、期中考试成绩和平时成绩三部分构成，具体考核内容和分值比例情况见（见表6）</w:t>
      </w:r>
    </w:p>
    <w:tbl>
      <w:tblPr>
        <w:tblpPr w:leftFromText="180" w:rightFromText="180" w:vertAnchor="text" w:horzAnchor="page" w:tblpX="1807" w:tblpY="62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6"/>
        <w:gridCol w:w="1310"/>
        <w:gridCol w:w="2080"/>
        <w:gridCol w:w="1610"/>
        <w:gridCol w:w="2175"/>
      </w:tblGrid>
      <w:tr w:rsidR="00D554C2" w:rsidRPr="00D554C2" w14:paraId="2CB068C6" w14:textId="77777777" w:rsidTr="009B4CAE">
        <w:trPr>
          <w:trHeight w:val="264"/>
        </w:trPr>
        <w:tc>
          <w:tcPr>
            <w:tcW w:w="1706" w:type="dxa"/>
            <w:vMerge w:val="restart"/>
            <w:tcBorders>
              <w:top w:val="single" w:sz="4" w:space="0" w:color="auto"/>
              <w:left w:val="single" w:sz="4" w:space="0" w:color="auto"/>
              <w:bottom w:val="single" w:sz="4" w:space="0" w:color="auto"/>
              <w:right w:val="single" w:sz="4" w:space="0" w:color="auto"/>
              <w:tl2br w:val="single" w:sz="4" w:space="0" w:color="auto"/>
            </w:tcBorders>
          </w:tcPr>
          <w:p w14:paraId="46153605" w14:textId="77777777" w:rsidR="00D554C2" w:rsidRPr="00D554C2" w:rsidRDefault="00D554C2" w:rsidP="00D554C2">
            <w:pPr>
              <w:snapToGrid w:val="0"/>
              <w:spacing w:line="240" w:lineRule="atLeast"/>
              <w:jc w:val="center"/>
              <w:rPr>
                <w:rFonts w:ascii="宋体" w:eastAsia="宋体" w:hAnsi="宋体" w:cs="宋体"/>
                <w:szCs w:val="21"/>
              </w:rPr>
            </w:pPr>
            <w:r w:rsidRPr="00D554C2">
              <w:rPr>
                <w:rFonts w:ascii="宋体" w:eastAsia="宋体" w:hAnsi="宋体" w:cs="宋体" w:hint="eastAsia"/>
                <w:szCs w:val="21"/>
              </w:rPr>
              <w:t xml:space="preserve">    成绩构成</w:t>
            </w:r>
          </w:p>
          <w:p w14:paraId="36C62B5E" w14:textId="77777777" w:rsidR="00D554C2" w:rsidRPr="00D554C2" w:rsidRDefault="00D554C2" w:rsidP="00D554C2">
            <w:pPr>
              <w:spacing w:line="240" w:lineRule="atLeast"/>
              <w:jc w:val="center"/>
              <w:rPr>
                <w:rFonts w:ascii="宋体" w:eastAsia="宋体" w:hAnsi="宋体" w:cs="宋体"/>
                <w:szCs w:val="21"/>
              </w:rPr>
            </w:pPr>
          </w:p>
          <w:p w14:paraId="6B7A8EE9" w14:textId="77777777" w:rsidR="00D554C2" w:rsidRPr="00D554C2" w:rsidRDefault="00D554C2" w:rsidP="00D554C2">
            <w:pPr>
              <w:spacing w:line="240" w:lineRule="atLeast"/>
              <w:ind w:firstLine="233"/>
              <w:rPr>
                <w:rFonts w:ascii="宋体" w:eastAsia="宋体" w:hAnsi="宋体" w:cs="宋体"/>
                <w:szCs w:val="21"/>
              </w:rPr>
            </w:pPr>
            <w:r w:rsidRPr="00D554C2">
              <w:rPr>
                <w:rFonts w:ascii="宋体" w:eastAsia="宋体" w:hAnsi="宋体" w:cs="宋体" w:hint="eastAsia"/>
                <w:szCs w:val="21"/>
              </w:rPr>
              <w:t>内容</w:t>
            </w:r>
          </w:p>
        </w:tc>
        <w:tc>
          <w:tcPr>
            <w:tcW w:w="1310" w:type="dxa"/>
            <w:vMerge w:val="restart"/>
            <w:tcBorders>
              <w:top w:val="single" w:sz="4" w:space="0" w:color="auto"/>
              <w:left w:val="single" w:sz="4" w:space="0" w:color="auto"/>
              <w:bottom w:val="single" w:sz="4" w:space="0" w:color="auto"/>
              <w:right w:val="single" w:sz="4" w:space="0" w:color="auto"/>
            </w:tcBorders>
            <w:vAlign w:val="center"/>
          </w:tcPr>
          <w:p w14:paraId="57C971B6"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期中成绩（20%）</w:t>
            </w:r>
          </w:p>
        </w:tc>
        <w:tc>
          <w:tcPr>
            <w:tcW w:w="3690" w:type="dxa"/>
            <w:gridSpan w:val="2"/>
            <w:tcBorders>
              <w:top w:val="single" w:sz="4" w:space="0" w:color="auto"/>
              <w:left w:val="single" w:sz="4" w:space="0" w:color="auto"/>
              <w:bottom w:val="single" w:sz="4" w:space="0" w:color="auto"/>
              <w:right w:val="single" w:sz="4" w:space="0" w:color="auto"/>
            </w:tcBorders>
          </w:tcPr>
          <w:p w14:paraId="661C30B3" w14:textId="77777777" w:rsidR="00D554C2" w:rsidRPr="00D554C2" w:rsidRDefault="00D554C2" w:rsidP="00D554C2">
            <w:pPr>
              <w:spacing w:line="240" w:lineRule="atLeast"/>
              <w:ind w:firstLineChars="500" w:firstLine="1050"/>
              <w:rPr>
                <w:rFonts w:ascii="宋体" w:eastAsia="宋体" w:hAnsi="宋体" w:cs="宋体"/>
                <w:szCs w:val="21"/>
              </w:rPr>
            </w:pPr>
            <w:r w:rsidRPr="00D554C2">
              <w:rPr>
                <w:rFonts w:ascii="宋体" w:eastAsia="宋体" w:hAnsi="宋体" w:cs="宋体" w:hint="eastAsia"/>
                <w:szCs w:val="21"/>
              </w:rPr>
              <w:t>期末成绩（70%）</w:t>
            </w:r>
          </w:p>
        </w:tc>
        <w:tc>
          <w:tcPr>
            <w:tcW w:w="2175" w:type="dxa"/>
            <w:vMerge w:val="restart"/>
            <w:tcBorders>
              <w:top w:val="single" w:sz="4" w:space="0" w:color="auto"/>
              <w:left w:val="single" w:sz="4" w:space="0" w:color="auto"/>
              <w:bottom w:val="single" w:sz="4" w:space="0" w:color="auto"/>
              <w:right w:val="single" w:sz="4" w:space="0" w:color="auto"/>
            </w:tcBorders>
            <w:vAlign w:val="center"/>
          </w:tcPr>
          <w:p w14:paraId="62853E35"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平时成绩（10%）</w:t>
            </w:r>
          </w:p>
        </w:tc>
      </w:tr>
      <w:tr w:rsidR="00D554C2" w:rsidRPr="00D554C2" w14:paraId="7A068444" w14:textId="77777777" w:rsidTr="009B4CAE">
        <w:trPr>
          <w:trHeight w:val="460"/>
        </w:trPr>
        <w:tc>
          <w:tcPr>
            <w:tcW w:w="1706" w:type="dxa"/>
            <w:vMerge/>
            <w:tcBorders>
              <w:top w:val="single" w:sz="4" w:space="0" w:color="auto"/>
              <w:left w:val="single" w:sz="4" w:space="0" w:color="auto"/>
              <w:bottom w:val="single" w:sz="4" w:space="0" w:color="auto"/>
              <w:right w:val="single" w:sz="4" w:space="0" w:color="auto"/>
            </w:tcBorders>
            <w:vAlign w:val="center"/>
          </w:tcPr>
          <w:p w14:paraId="06B02E87" w14:textId="77777777" w:rsidR="00D554C2" w:rsidRPr="00D554C2" w:rsidRDefault="00D554C2" w:rsidP="00D554C2">
            <w:pPr>
              <w:widowControl/>
              <w:spacing w:line="240" w:lineRule="atLeast"/>
              <w:jc w:val="left"/>
              <w:rPr>
                <w:rFonts w:ascii="宋体" w:eastAsia="宋体" w:hAnsi="宋体" w:cs="宋体"/>
                <w:szCs w:val="21"/>
              </w:rPr>
            </w:pPr>
          </w:p>
        </w:tc>
        <w:tc>
          <w:tcPr>
            <w:tcW w:w="1310" w:type="dxa"/>
            <w:vMerge/>
            <w:tcBorders>
              <w:top w:val="single" w:sz="4" w:space="0" w:color="auto"/>
              <w:left w:val="single" w:sz="4" w:space="0" w:color="auto"/>
              <w:bottom w:val="single" w:sz="4" w:space="0" w:color="auto"/>
              <w:right w:val="single" w:sz="4" w:space="0" w:color="auto"/>
            </w:tcBorders>
            <w:vAlign w:val="center"/>
          </w:tcPr>
          <w:p w14:paraId="2FF5A62B" w14:textId="77777777" w:rsidR="00D554C2" w:rsidRPr="00D554C2" w:rsidRDefault="00D554C2" w:rsidP="00D554C2">
            <w:pPr>
              <w:widowControl/>
              <w:spacing w:line="240" w:lineRule="atLeast"/>
              <w:jc w:val="left"/>
              <w:rPr>
                <w:rFonts w:ascii="宋体" w:eastAsia="宋体" w:hAnsi="宋体" w:cs="宋体"/>
                <w:szCs w:val="21"/>
              </w:rPr>
            </w:pPr>
          </w:p>
        </w:tc>
        <w:tc>
          <w:tcPr>
            <w:tcW w:w="2080" w:type="dxa"/>
            <w:tcBorders>
              <w:top w:val="single" w:sz="4" w:space="0" w:color="auto"/>
              <w:left w:val="single" w:sz="4" w:space="0" w:color="auto"/>
              <w:bottom w:val="single" w:sz="4" w:space="0" w:color="auto"/>
              <w:right w:val="single" w:sz="4" w:space="0" w:color="auto"/>
            </w:tcBorders>
          </w:tcPr>
          <w:p w14:paraId="7DF49124" w14:textId="77777777" w:rsidR="00D554C2" w:rsidRPr="00D554C2" w:rsidRDefault="00D554C2" w:rsidP="00D554C2">
            <w:pPr>
              <w:spacing w:line="240" w:lineRule="atLeast"/>
              <w:rPr>
                <w:rFonts w:ascii="宋体" w:eastAsia="宋体" w:hAnsi="宋体" w:cs="宋体"/>
                <w:szCs w:val="21"/>
              </w:rPr>
            </w:pPr>
            <w:r w:rsidRPr="00D554C2">
              <w:rPr>
                <w:rFonts w:ascii="宋体" w:eastAsia="宋体" w:hAnsi="宋体" w:cs="宋体" w:hint="eastAsia"/>
                <w:szCs w:val="21"/>
              </w:rPr>
              <w:t>健美操套路（60%）</w:t>
            </w:r>
          </w:p>
        </w:tc>
        <w:tc>
          <w:tcPr>
            <w:tcW w:w="1610" w:type="dxa"/>
            <w:tcBorders>
              <w:top w:val="single" w:sz="4" w:space="0" w:color="auto"/>
              <w:left w:val="single" w:sz="4" w:space="0" w:color="auto"/>
              <w:bottom w:val="single" w:sz="4" w:space="0" w:color="auto"/>
              <w:right w:val="single" w:sz="4" w:space="0" w:color="auto"/>
            </w:tcBorders>
          </w:tcPr>
          <w:p w14:paraId="2A7103E5" w14:textId="77777777" w:rsidR="00D554C2" w:rsidRPr="00D554C2" w:rsidRDefault="00D554C2" w:rsidP="00D554C2">
            <w:pPr>
              <w:spacing w:line="240" w:lineRule="atLeast"/>
              <w:rPr>
                <w:rFonts w:ascii="宋体" w:eastAsia="宋体" w:hAnsi="宋体" w:cs="宋体"/>
                <w:szCs w:val="21"/>
              </w:rPr>
            </w:pPr>
            <w:r w:rsidRPr="00D554C2">
              <w:rPr>
                <w:rFonts w:ascii="宋体" w:eastAsia="宋体" w:hAnsi="宋体" w:cs="宋体" w:hint="eastAsia"/>
                <w:szCs w:val="21"/>
              </w:rPr>
              <w:t>身体素质（10%）</w:t>
            </w:r>
          </w:p>
        </w:tc>
        <w:tc>
          <w:tcPr>
            <w:tcW w:w="2175" w:type="dxa"/>
            <w:vMerge/>
            <w:tcBorders>
              <w:top w:val="single" w:sz="4" w:space="0" w:color="auto"/>
              <w:left w:val="single" w:sz="4" w:space="0" w:color="auto"/>
              <w:bottom w:val="single" w:sz="4" w:space="0" w:color="auto"/>
              <w:right w:val="single" w:sz="4" w:space="0" w:color="auto"/>
            </w:tcBorders>
            <w:vAlign w:val="center"/>
          </w:tcPr>
          <w:p w14:paraId="4CAF3EBC" w14:textId="77777777" w:rsidR="00D554C2" w:rsidRPr="00D554C2" w:rsidRDefault="00D554C2" w:rsidP="00D554C2">
            <w:pPr>
              <w:widowControl/>
              <w:spacing w:line="240" w:lineRule="atLeast"/>
              <w:jc w:val="left"/>
              <w:rPr>
                <w:rFonts w:ascii="宋体" w:eastAsia="宋体" w:hAnsi="宋体" w:cs="宋体"/>
                <w:szCs w:val="21"/>
              </w:rPr>
            </w:pPr>
          </w:p>
        </w:tc>
      </w:tr>
      <w:tr w:rsidR="00D554C2" w:rsidRPr="00D554C2" w14:paraId="0D368F01" w14:textId="77777777" w:rsidTr="009B4CAE">
        <w:trPr>
          <w:trHeight w:val="227"/>
        </w:trPr>
        <w:tc>
          <w:tcPr>
            <w:tcW w:w="1706" w:type="dxa"/>
            <w:vMerge w:val="restart"/>
            <w:tcBorders>
              <w:top w:val="single" w:sz="4" w:space="0" w:color="auto"/>
              <w:left w:val="single" w:sz="4" w:space="0" w:color="auto"/>
              <w:bottom w:val="single" w:sz="4" w:space="0" w:color="auto"/>
              <w:right w:val="single" w:sz="4" w:space="0" w:color="auto"/>
            </w:tcBorders>
            <w:vAlign w:val="center"/>
          </w:tcPr>
          <w:p w14:paraId="670D19F7"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健美操2</w:t>
            </w:r>
          </w:p>
        </w:tc>
        <w:tc>
          <w:tcPr>
            <w:tcW w:w="1310" w:type="dxa"/>
            <w:vMerge w:val="restart"/>
            <w:tcBorders>
              <w:top w:val="single" w:sz="4" w:space="0" w:color="auto"/>
              <w:left w:val="single" w:sz="4" w:space="0" w:color="auto"/>
              <w:bottom w:val="single" w:sz="4" w:space="0" w:color="auto"/>
              <w:right w:val="single" w:sz="4" w:space="0" w:color="auto"/>
            </w:tcBorders>
            <w:vAlign w:val="center"/>
          </w:tcPr>
          <w:p w14:paraId="7CA9FCE8"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套路二所学动作评定</w:t>
            </w:r>
          </w:p>
        </w:tc>
        <w:tc>
          <w:tcPr>
            <w:tcW w:w="2080" w:type="dxa"/>
            <w:tcBorders>
              <w:top w:val="single" w:sz="4" w:space="0" w:color="auto"/>
              <w:left w:val="single" w:sz="4" w:space="0" w:color="auto"/>
              <w:bottom w:val="single" w:sz="4" w:space="0" w:color="auto"/>
              <w:right w:val="single" w:sz="4" w:space="0" w:color="auto"/>
            </w:tcBorders>
            <w:vAlign w:val="center"/>
          </w:tcPr>
          <w:p w14:paraId="20584ADE" w14:textId="77777777" w:rsidR="00D554C2" w:rsidRPr="00D554C2" w:rsidRDefault="00D554C2" w:rsidP="00D554C2">
            <w:pPr>
              <w:spacing w:line="240" w:lineRule="atLeast"/>
              <w:rPr>
                <w:rFonts w:ascii="宋体" w:eastAsia="宋体" w:hAnsi="宋体" w:cs="宋体"/>
                <w:szCs w:val="21"/>
              </w:rPr>
            </w:pPr>
            <w:r w:rsidRPr="00D554C2">
              <w:rPr>
                <w:rFonts w:ascii="宋体" w:eastAsia="宋体" w:hAnsi="宋体" w:cs="宋体" w:hint="eastAsia"/>
                <w:szCs w:val="21"/>
              </w:rPr>
              <w:t>套路二成套动作评定（40%）</w:t>
            </w:r>
          </w:p>
        </w:tc>
        <w:tc>
          <w:tcPr>
            <w:tcW w:w="1610" w:type="dxa"/>
            <w:vMerge w:val="restart"/>
            <w:tcBorders>
              <w:top w:val="single" w:sz="4" w:space="0" w:color="auto"/>
              <w:left w:val="single" w:sz="4" w:space="0" w:color="auto"/>
              <w:bottom w:val="single" w:sz="4" w:space="0" w:color="auto"/>
              <w:right w:val="single" w:sz="4" w:space="0" w:color="auto"/>
            </w:tcBorders>
            <w:vAlign w:val="center"/>
          </w:tcPr>
          <w:p w14:paraId="763CE06A"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一分钟仰卧</w:t>
            </w:r>
          </w:p>
          <w:p w14:paraId="187A4470"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起坐</w:t>
            </w:r>
          </w:p>
        </w:tc>
        <w:tc>
          <w:tcPr>
            <w:tcW w:w="2175" w:type="dxa"/>
            <w:vMerge w:val="restart"/>
            <w:tcBorders>
              <w:top w:val="single" w:sz="4" w:space="0" w:color="auto"/>
              <w:left w:val="single" w:sz="4" w:space="0" w:color="auto"/>
              <w:bottom w:val="single" w:sz="4" w:space="0" w:color="auto"/>
              <w:right w:val="single" w:sz="4" w:space="0" w:color="auto"/>
            </w:tcBorders>
            <w:vAlign w:val="center"/>
          </w:tcPr>
          <w:p w14:paraId="25A02EF7" w14:textId="77777777" w:rsidR="00D554C2" w:rsidRPr="00D554C2" w:rsidRDefault="00D554C2" w:rsidP="00D554C2">
            <w:pPr>
              <w:widowControl/>
              <w:spacing w:line="240" w:lineRule="atLeast"/>
              <w:jc w:val="left"/>
              <w:rPr>
                <w:rFonts w:ascii="宋体" w:eastAsia="宋体" w:hAnsi="宋体" w:cs="宋体"/>
                <w:szCs w:val="21"/>
              </w:rPr>
            </w:pPr>
            <w:r w:rsidRPr="00D554C2">
              <w:rPr>
                <w:rFonts w:ascii="宋体" w:eastAsia="宋体" w:hAnsi="宋体" w:cs="宋体" w:hint="eastAsia"/>
                <w:bCs/>
                <w:color w:val="000000"/>
                <w:szCs w:val="21"/>
              </w:rPr>
              <w:t>根据学生平时作业准备活动、上课学习态度、考勤等情况给分</w:t>
            </w:r>
          </w:p>
        </w:tc>
      </w:tr>
      <w:tr w:rsidR="00D554C2" w:rsidRPr="00D554C2" w14:paraId="1C30363C" w14:textId="77777777" w:rsidTr="009B4CAE">
        <w:trPr>
          <w:trHeight w:val="227"/>
        </w:trPr>
        <w:tc>
          <w:tcPr>
            <w:tcW w:w="1706" w:type="dxa"/>
            <w:vMerge/>
            <w:tcBorders>
              <w:top w:val="single" w:sz="4" w:space="0" w:color="auto"/>
              <w:left w:val="single" w:sz="4" w:space="0" w:color="auto"/>
              <w:bottom w:val="single" w:sz="4" w:space="0" w:color="auto"/>
              <w:right w:val="single" w:sz="4" w:space="0" w:color="auto"/>
            </w:tcBorders>
            <w:vAlign w:val="center"/>
          </w:tcPr>
          <w:p w14:paraId="0118C19B" w14:textId="77777777" w:rsidR="00D554C2" w:rsidRPr="00D554C2" w:rsidRDefault="00D554C2" w:rsidP="00D554C2">
            <w:pPr>
              <w:widowControl/>
              <w:spacing w:line="240" w:lineRule="atLeast"/>
              <w:jc w:val="left"/>
              <w:rPr>
                <w:rFonts w:ascii="宋体" w:eastAsia="宋体" w:hAnsi="宋体" w:cs="宋体"/>
                <w:szCs w:val="21"/>
              </w:rPr>
            </w:pPr>
          </w:p>
        </w:tc>
        <w:tc>
          <w:tcPr>
            <w:tcW w:w="1310" w:type="dxa"/>
            <w:vMerge/>
            <w:tcBorders>
              <w:top w:val="single" w:sz="4" w:space="0" w:color="auto"/>
              <w:left w:val="single" w:sz="4" w:space="0" w:color="auto"/>
              <w:bottom w:val="single" w:sz="4" w:space="0" w:color="auto"/>
              <w:right w:val="single" w:sz="4" w:space="0" w:color="auto"/>
            </w:tcBorders>
            <w:vAlign w:val="center"/>
          </w:tcPr>
          <w:p w14:paraId="2DC7F92D" w14:textId="77777777" w:rsidR="00D554C2" w:rsidRPr="00D554C2" w:rsidRDefault="00D554C2" w:rsidP="00D554C2">
            <w:pPr>
              <w:widowControl/>
              <w:spacing w:line="240" w:lineRule="atLeast"/>
              <w:jc w:val="left"/>
              <w:rPr>
                <w:rFonts w:ascii="宋体" w:eastAsia="宋体" w:hAnsi="宋体" w:cs="宋体"/>
                <w:szCs w:val="21"/>
              </w:rPr>
            </w:pPr>
          </w:p>
        </w:tc>
        <w:tc>
          <w:tcPr>
            <w:tcW w:w="2080" w:type="dxa"/>
            <w:tcBorders>
              <w:top w:val="single" w:sz="4" w:space="0" w:color="auto"/>
              <w:left w:val="single" w:sz="4" w:space="0" w:color="auto"/>
              <w:bottom w:val="single" w:sz="4" w:space="0" w:color="auto"/>
              <w:right w:val="single" w:sz="4" w:space="0" w:color="auto"/>
            </w:tcBorders>
            <w:vAlign w:val="center"/>
          </w:tcPr>
          <w:p w14:paraId="6BAF1115" w14:textId="77777777" w:rsidR="00D554C2" w:rsidRPr="00D554C2" w:rsidRDefault="00D554C2" w:rsidP="00D554C2">
            <w:pPr>
              <w:spacing w:line="240" w:lineRule="atLeast"/>
              <w:rPr>
                <w:rFonts w:ascii="宋体" w:eastAsia="宋体" w:hAnsi="宋体" w:cs="宋体"/>
                <w:szCs w:val="21"/>
              </w:rPr>
            </w:pPr>
            <w:r w:rsidRPr="00D554C2">
              <w:rPr>
                <w:rFonts w:ascii="宋体" w:eastAsia="宋体" w:hAnsi="宋体" w:cs="宋体" w:hint="eastAsia"/>
                <w:szCs w:val="21"/>
              </w:rPr>
              <w:t>套路</w:t>
            </w:r>
            <w:proofErr w:type="gramStart"/>
            <w:r w:rsidRPr="00D554C2">
              <w:rPr>
                <w:rFonts w:ascii="宋体" w:eastAsia="宋体" w:hAnsi="宋体" w:cs="宋体" w:hint="eastAsia"/>
                <w:szCs w:val="21"/>
              </w:rPr>
              <w:t>二动作</w:t>
            </w:r>
            <w:proofErr w:type="gramEnd"/>
            <w:r w:rsidRPr="00D554C2">
              <w:rPr>
                <w:rFonts w:ascii="宋体" w:eastAsia="宋体" w:hAnsi="宋体" w:cs="宋体" w:hint="eastAsia"/>
                <w:szCs w:val="21"/>
              </w:rPr>
              <w:t>编排（20%）</w:t>
            </w:r>
          </w:p>
        </w:tc>
        <w:tc>
          <w:tcPr>
            <w:tcW w:w="1610" w:type="dxa"/>
            <w:vMerge/>
            <w:tcBorders>
              <w:top w:val="single" w:sz="4" w:space="0" w:color="auto"/>
              <w:left w:val="single" w:sz="4" w:space="0" w:color="auto"/>
              <w:bottom w:val="single" w:sz="4" w:space="0" w:color="auto"/>
              <w:right w:val="single" w:sz="4" w:space="0" w:color="auto"/>
            </w:tcBorders>
            <w:vAlign w:val="center"/>
          </w:tcPr>
          <w:p w14:paraId="362F40E3" w14:textId="77777777" w:rsidR="00D554C2" w:rsidRPr="00D554C2" w:rsidRDefault="00D554C2" w:rsidP="00D554C2">
            <w:pPr>
              <w:widowControl/>
              <w:spacing w:line="240" w:lineRule="atLeast"/>
              <w:jc w:val="left"/>
              <w:rPr>
                <w:rFonts w:ascii="宋体" w:eastAsia="宋体" w:hAnsi="宋体" w:cs="宋体"/>
                <w:szCs w:val="21"/>
              </w:rPr>
            </w:pPr>
          </w:p>
        </w:tc>
        <w:tc>
          <w:tcPr>
            <w:tcW w:w="2175" w:type="dxa"/>
            <w:vMerge/>
            <w:tcBorders>
              <w:top w:val="single" w:sz="4" w:space="0" w:color="auto"/>
              <w:left w:val="single" w:sz="4" w:space="0" w:color="auto"/>
              <w:bottom w:val="single" w:sz="4" w:space="0" w:color="auto"/>
              <w:right w:val="single" w:sz="4" w:space="0" w:color="auto"/>
            </w:tcBorders>
            <w:vAlign w:val="center"/>
          </w:tcPr>
          <w:p w14:paraId="4DD91610" w14:textId="77777777" w:rsidR="00D554C2" w:rsidRPr="00D554C2" w:rsidRDefault="00D554C2" w:rsidP="00D554C2">
            <w:pPr>
              <w:widowControl/>
              <w:spacing w:line="240" w:lineRule="atLeast"/>
              <w:jc w:val="left"/>
              <w:rPr>
                <w:rFonts w:ascii="宋体" w:eastAsia="宋体" w:hAnsi="宋体" w:cs="宋体"/>
                <w:szCs w:val="21"/>
              </w:rPr>
            </w:pPr>
          </w:p>
        </w:tc>
      </w:tr>
    </w:tbl>
    <w:p w14:paraId="009D6E26" w14:textId="77777777" w:rsidR="00D554C2" w:rsidRPr="00D554C2" w:rsidRDefault="00D554C2" w:rsidP="00D554C2">
      <w:pPr>
        <w:spacing w:line="500" w:lineRule="exact"/>
        <w:jc w:val="center"/>
        <w:rPr>
          <w:rFonts w:ascii="宋体" w:eastAsia="宋体" w:hAnsi="宋体" w:cs="宋体"/>
          <w:sz w:val="24"/>
        </w:rPr>
      </w:pPr>
      <w:r w:rsidRPr="00D554C2">
        <w:rPr>
          <w:rFonts w:ascii="宋体" w:eastAsia="宋体" w:hAnsi="宋体" w:cs="宋体" w:hint="eastAsia"/>
          <w:sz w:val="24"/>
        </w:rPr>
        <w:t>表6 《健美操2》课程考核内容和成绩构成</w:t>
      </w:r>
    </w:p>
    <w:p w14:paraId="32974CD2" w14:textId="77777777" w:rsidR="00D554C2" w:rsidRPr="00D554C2" w:rsidRDefault="00D554C2" w:rsidP="00D554C2">
      <w:pPr>
        <w:spacing w:line="400" w:lineRule="exact"/>
        <w:ind w:firstLineChars="200" w:firstLine="480"/>
        <w:jc w:val="left"/>
        <w:rPr>
          <w:rFonts w:ascii="宋体" w:eastAsia="宋体" w:hAnsi="宋体" w:cs="宋体"/>
          <w:color w:val="000000"/>
          <w:sz w:val="24"/>
        </w:rPr>
      </w:pPr>
    </w:p>
    <w:p w14:paraId="716AE3C9" w14:textId="77777777" w:rsidR="00D554C2" w:rsidRPr="00D554C2" w:rsidRDefault="00D554C2" w:rsidP="00D554C2">
      <w:pPr>
        <w:spacing w:line="400" w:lineRule="exact"/>
        <w:ind w:firstLineChars="200" w:firstLine="482"/>
        <w:jc w:val="left"/>
        <w:rPr>
          <w:rFonts w:ascii="宋体" w:eastAsia="宋体" w:hAnsi="宋体" w:cs="宋体"/>
          <w:color w:val="000000"/>
          <w:sz w:val="24"/>
        </w:rPr>
      </w:pPr>
      <w:r w:rsidRPr="00D554C2">
        <w:rPr>
          <w:rFonts w:ascii="宋体" w:eastAsia="宋体" w:hAnsi="宋体" w:cs="宋体" w:hint="eastAsia"/>
          <w:b/>
          <w:bCs/>
          <w:color w:val="000000"/>
          <w:sz w:val="24"/>
        </w:rPr>
        <w:t>4.评分记分原则:</w:t>
      </w:r>
      <w:r w:rsidRPr="00D554C2">
        <w:rPr>
          <w:rFonts w:ascii="宋体" w:eastAsia="宋体" w:hAnsi="宋体" w:cs="宋体" w:hint="eastAsia"/>
          <w:color w:val="000000"/>
          <w:sz w:val="24"/>
        </w:rPr>
        <w:t>（见表7—表9）</w:t>
      </w:r>
    </w:p>
    <w:p w14:paraId="2CB19703" w14:textId="77777777" w:rsidR="00D554C2" w:rsidRPr="00D554C2" w:rsidRDefault="00D554C2" w:rsidP="00D554C2">
      <w:pPr>
        <w:spacing w:line="500" w:lineRule="exact"/>
        <w:jc w:val="center"/>
        <w:rPr>
          <w:rFonts w:ascii="宋体" w:eastAsia="宋体" w:hAnsi="宋体" w:cs="宋体"/>
          <w:bCs/>
          <w:color w:val="000000"/>
          <w:sz w:val="24"/>
        </w:rPr>
      </w:pPr>
      <w:r w:rsidRPr="00D554C2">
        <w:rPr>
          <w:rFonts w:ascii="宋体" w:eastAsia="宋体" w:hAnsi="宋体" w:cs="宋体" w:hint="eastAsia"/>
          <w:bCs/>
          <w:color w:val="000000"/>
          <w:sz w:val="24"/>
        </w:rPr>
        <w:t>表7  健美操技术评分标准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3"/>
        <w:gridCol w:w="6870"/>
      </w:tblGrid>
      <w:tr w:rsidR="00D554C2" w:rsidRPr="00D554C2" w14:paraId="09C131CB" w14:textId="77777777" w:rsidTr="009B4CAE">
        <w:trPr>
          <w:trHeight w:val="363"/>
        </w:trPr>
        <w:tc>
          <w:tcPr>
            <w:tcW w:w="1463" w:type="dxa"/>
            <w:tcBorders>
              <w:top w:val="single" w:sz="4" w:space="0" w:color="auto"/>
              <w:left w:val="single" w:sz="4" w:space="0" w:color="auto"/>
              <w:bottom w:val="single" w:sz="4" w:space="0" w:color="auto"/>
              <w:right w:val="single" w:sz="4" w:space="0" w:color="auto"/>
            </w:tcBorders>
            <w:vAlign w:val="center"/>
          </w:tcPr>
          <w:p w14:paraId="33FB090F" w14:textId="77777777" w:rsidR="00D554C2" w:rsidRPr="00D554C2" w:rsidRDefault="00D554C2" w:rsidP="00D554C2">
            <w:pPr>
              <w:adjustRightInd w:val="0"/>
              <w:spacing w:line="240" w:lineRule="atLeast"/>
              <w:jc w:val="center"/>
              <w:rPr>
                <w:rFonts w:ascii="宋体" w:eastAsia="宋体" w:hAnsi="宋体" w:cs="宋体"/>
                <w:szCs w:val="21"/>
              </w:rPr>
            </w:pPr>
            <w:r w:rsidRPr="00D554C2">
              <w:rPr>
                <w:rFonts w:ascii="宋体" w:eastAsia="宋体" w:hAnsi="宋体" w:cs="宋体" w:hint="eastAsia"/>
                <w:color w:val="000000"/>
                <w:kern w:val="0"/>
                <w:szCs w:val="21"/>
                <w:lang w:val="zh-CN"/>
              </w:rPr>
              <w:t>分  值</w:t>
            </w:r>
          </w:p>
        </w:tc>
        <w:tc>
          <w:tcPr>
            <w:tcW w:w="6870" w:type="dxa"/>
            <w:tcBorders>
              <w:top w:val="single" w:sz="4" w:space="0" w:color="auto"/>
              <w:left w:val="single" w:sz="4" w:space="0" w:color="auto"/>
              <w:bottom w:val="single" w:sz="4" w:space="0" w:color="auto"/>
              <w:right w:val="single" w:sz="4" w:space="0" w:color="auto"/>
            </w:tcBorders>
            <w:vAlign w:val="center"/>
          </w:tcPr>
          <w:p w14:paraId="40975C6A" w14:textId="77777777" w:rsidR="00D554C2" w:rsidRPr="00D554C2" w:rsidRDefault="00D554C2" w:rsidP="00D554C2">
            <w:pPr>
              <w:adjustRightInd w:val="0"/>
              <w:spacing w:line="240" w:lineRule="atLeast"/>
              <w:jc w:val="center"/>
              <w:rPr>
                <w:rFonts w:ascii="宋体" w:eastAsia="宋体" w:hAnsi="宋体" w:cs="宋体"/>
                <w:szCs w:val="21"/>
              </w:rPr>
            </w:pPr>
            <w:r w:rsidRPr="00D554C2">
              <w:rPr>
                <w:rFonts w:ascii="宋体" w:eastAsia="宋体" w:hAnsi="宋体" w:cs="宋体" w:hint="eastAsia"/>
                <w:color w:val="000000"/>
                <w:kern w:val="0"/>
                <w:szCs w:val="21"/>
                <w:lang w:val="zh-CN"/>
              </w:rPr>
              <w:t>技 评 标 准</w:t>
            </w:r>
          </w:p>
        </w:tc>
      </w:tr>
      <w:tr w:rsidR="00D554C2" w:rsidRPr="00D554C2" w14:paraId="7B6306E2" w14:textId="77777777" w:rsidTr="009B4CAE">
        <w:trPr>
          <w:trHeight w:val="670"/>
        </w:trPr>
        <w:tc>
          <w:tcPr>
            <w:tcW w:w="1463" w:type="dxa"/>
            <w:tcBorders>
              <w:top w:val="single" w:sz="4" w:space="0" w:color="auto"/>
              <w:left w:val="single" w:sz="4" w:space="0" w:color="auto"/>
              <w:bottom w:val="single" w:sz="4" w:space="0" w:color="auto"/>
              <w:right w:val="single" w:sz="4" w:space="0" w:color="auto"/>
            </w:tcBorders>
            <w:vAlign w:val="center"/>
          </w:tcPr>
          <w:p w14:paraId="539FDFB5" w14:textId="77777777" w:rsidR="00D554C2" w:rsidRPr="00D554C2" w:rsidRDefault="00D554C2" w:rsidP="00D554C2">
            <w:pPr>
              <w:adjustRightInd w:val="0"/>
              <w:spacing w:line="240" w:lineRule="atLeast"/>
              <w:ind w:left="1575" w:hangingChars="750" w:hanging="1575"/>
              <w:jc w:val="center"/>
              <w:rPr>
                <w:rFonts w:ascii="宋体" w:eastAsia="宋体" w:hAnsi="宋体" w:cs="宋体"/>
                <w:szCs w:val="21"/>
              </w:rPr>
            </w:pPr>
            <w:r w:rsidRPr="00D554C2">
              <w:rPr>
                <w:rFonts w:ascii="宋体" w:eastAsia="宋体" w:hAnsi="宋体" w:cs="宋体" w:hint="eastAsia"/>
                <w:color w:val="000000"/>
                <w:kern w:val="0"/>
                <w:szCs w:val="21"/>
                <w:lang w:val="zh-CN"/>
              </w:rPr>
              <w:t>90—100分</w:t>
            </w:r>
          </w:p>
        </w:tc>
        <w:tc>
          <w:tcPr>
            <w:tcW w:w="6870" w:type="dxa"/>
            <w:tcBorders>
              <w:top w:val="single" w:sz="4" w:space="0" w:color="auto"/>
              <w:left w:val="single" w:sz="4" w:space="0" w:color="auto"/>
              <w:bottom w:val="single" w:sz="4" w:space="0" w:color="auto"/>
              <w:right w:val="single" w:sz="4" w:space="0" w:color="auto"/>
            </w:tcBorders>
            <w:vAlign w:val="center"/>
          </w:tcPr>
          <w:p w14:paraId="37560DFA"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能独立完成</w:t>
            </w:r>
            <w:r w:rsidRPr="00D554C2">
              <w:rPr>
                <w:rFonts w:ascii="宋体" w:eastAsia="宋体" w:hAnsi="宋体" w:cs="宋体" w:hint="eastAsia"/>
                <w:color w:val="000000"/>
                <w:kern w:val="0"/>
                <w:szCs w:val="21"/>
              </w:rPr>
              <w:t>整套动作</w:t>
            </w:r>
            <w:r w:rsidRPr="00D554C2">
              <w:rPr>
                <w:rFonts w:ascii="宋体" w:eastAsia="宋体" w:hAnsi="宋体" w:cs="宋体" w:hint="eastAsia"/>
                <w:color w:val="000000"/>
                <w:kern w:val="0"/>
                <w:szCs w:val="21"/>
                <w:lang w:val="zh-CN"/>
              </w:rPr>
              <w:t>，动作熟练、准确、有力度、节奏感强；动作与音乐配合协调，具有较强表现力。</w:t>
            </w:r>
          </w:p>
        </w:tc>
      </w:tr>
      <w:tr w:rsidR="00D554C2" w:rsidRPr="00D554C2" w14:paraId="06EEBC46" w14:textId="77777777" w:rsidTr="009B4CAE">
        <w:trPr>
          <w:trHeight w:val="680"/>
        </w:trPr>
        <w:tc>
          <w:tcPr>
            <w:tcW w:w="1463" w:type="dxa"/>
            <w:tcBorders>
              <w:top w:val="single" w:sz="4" w:space="0" w:color="auto"/>
              <w:left w:val="single" w:sz="4" w:space="0" w:color="auto"/>
              <w:bottom w:val="single" w:sz="4" w:space="0" w:color="auto"/>
              <w:right w:val="single" w:sz="4" w:space="0" w:color="auto"/>
            </w:tcBorders>
            <w:vAlign w:val="center"/>
          </w:tcPr>
          <w:p w14:paraId="210C0EDB" w14:textId="77777777" w:rsidR="00D554C2" w:rsidRPr="00D554C2" w:rsidRDefault="00D554C2" w:rsidP="00D554C2">
            <w:pPr>
              <w:adjustRightInd w:val="0"/>
              <w:spacing w:line="240" w:lineRule="atLeast"/>
              <w:ind w:left="1575" w:hangingChars="750" w:hanging="1575"/>
              <w:jc w:val="center"/>
              <w:rPr>
                <w:rFonts w:ascii="宋体" w:eastAsia="宋体" w:hAnsi="宋体" w:cs="宋体"/>
                <w:szCs w:val="21"/>
              </w:rPr>
            </w:pPr>
            <w:r w:rsidRPr="00D554C2">
              <w:rPr>
                <w:rFonts w:ascii="宋体" w:eastAsia="宋体" w:hAnsi="宋体" w:cs="宋体" w:hint="eastAsia"/>
                <w:color w:val="000000"/>
                <w:kern w:val="0"/>
                <w:szCs w:val="21"/>
                <w:lang w:val="zh-CN"/>
              </w:rPr>
              <w:t>80—89分</w:t>
            </w:r>
          </w:p>
        </w:tc>
        <w:tc>
          <w:tcPr>
            <w:tcW w:w="6870" w:type="dxa"/>
            <w:tcBorders>
              <w:top w:val="single" w:sz="4" w:space="0" w:color="auto"/>
              <w:left w:val="single" w:sz="4" w:space="0" w:color="auto"/>
              <w:bottom w:val="single" w:sz="4" w:space="0" w:color="auto"/>
              <w:right w:val="single" w:sz="4" w:space="0" w:color="auto"/>
            </w:tcBorders>
            <w:vAlign w:val="center"/>
          </w:tcPr>
          <w:p w14:paraId="66A299AF"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能独立完成</w:t>
            </w:r>
            <w:r w:rsidRPr="00D554C2">
              <w:rPr>
                <w:rFonts w:ascii="宋体" w:eastAsia="宋体" w:hAnsi="宋体" w:cs="宋体" w:hint="eastAsia"/>
                <w:color w:val="000000"/>
                <w:kern w:val="0"/>
                <w:szCs w:val="21"/>
              </w:rPr>
              <w:t>成套动作</w:t>
            </w:r>
            <w:r w:rsidRPr="00D554C2">
              <w:rPr>
                <w:rFonts w:ascii="宋体" w:eastAsia="宋体" w:hAnsi="宋体" w:cs="宋体" w:hint="eastAsia"/>
                <w:color w:val="000000"/>
                <w:kern w:val="0"/>
                <w:szCs w:val="21"/>
                <w:lang w:val="zh-CN"/>
              </w:rPr>
              <w:t>，动作熟练，动作较准确、较有力度、有节奏感；动作与音乐配合协调，具有一定表现力。</w:t>
            </w:r>
          </w:p>
        </w:tc>
      </w:tr>
      <w:tr w:rsidR="00D554C2" w:rsidRPr="00D554C2" w14:paraId="1DC65B68" w14:textId="77777777" w:rsidTr="009B4CAE">
        <w:trPr>
          <w:trHeight w:val="380"/>
        </w:trPr>
        <w:tc>
          <w:tcPr>
            <w:tcW w:w="1463" w:type="dxa"/>
            <w:tcBorders>
              <w:top w:val="single" w:sz="4" w:space="0" w:color="auto"/>
              <w:left w:val="single" w:sz="4" w:space="0" w:color="auto"/>
              <w:bottom w:val="single" w:sz="4" w:space="0" w:color="auto"/>
              <w:right w:val="single" w:sz="4" w:space="0" w:color="auto"/>
            </w:tcBorders>
            <w:vAlign w:val="center"/>
          </w:tcPr>
          <w:p w14:paraId="0FB979E9" w14:textId="77777777" w:rsidR="00D554C2" w:rsidRPr="00D554C2" w:rsidRDefault="00D554C2" w:rsidP="00D554C2">
            <w:pPr>
              <w:adjustRightInd w:val="0"/>
              <w:spacing w:line="240" w:lineRule="atLeast"/>
              <w:ind w:left="1575" w:hangingChars="750" w:hanging="1575"/>
              <w:jc w:val="center"/>
              <w:rPr>
                <w:rFonts w:ascii="宋体" w:eastAsia="宋体" w:hAnsi="宋体" w:cs="宋体"/>
                <w:szCs w:val="21"/>
              </w:rPr>
            </w:pPr>
            <w:r w:rsidRPr="00D554C2">
              <w:rPr>
                <w:rFonts w:ascii="宋体" w:eastAsia="宋体" w:hAnsi="宋体" w:cs="宋体" w:hint="eastAsia"/>
                <w:color w:val="000000"/>
                <w:kern w:val="0"/>
                <w:szCs w:val="21"/>
                <w:lang w:val="zh-CN"/>
              </w:rPr>
              <w:t>70—79分</w:t>
            </w:r>
          </w:p>
        </w:tc>
        <w:tc>
          <w:tcPr>
            <w:tcW w:w="6870" w:type="dxa"/>
            <w:tcBorders>
              <w:top w:val="single" w:sz="4" w:space="0" w:color="auto"/>
              <w:left w:val="single" w:sz="4" w:space="0" w:color="auto"/>
              <w:bottom w:val="single" w:sz="4" w:space="0" w:color="auto"/>
              <w:right w:val="single" w:sz="4" w:space="0" w:color="auto"/>
            </w:tcBorders>
            <w:vAlign w:val="center"/>
          </w:tcPr>
          <w:p w14:paraId="5986A720"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能独立完成</w:t>
            </w:r>
            <w:r w:rsidRPr="00D554C2">
              <w:rPr>
                <w:rFonts w:ascii="宋体" w:eastAsia="宋体" w:hAnsi="宋体" w:cs="宋体" w:hint="eastAsia"/>
                <w:color w:val="000000"/>
                <w:kern w:val="0"/>
                <w:szCs w:val="21"/>
              </w:rPr>
              <w:t>整套动作</w:t>
            </w:r>
            <w:r w:rsidRPr="00D554C2">
              <w:rPr>
                <w:rFonts w:ascii="宋体" w:eastAsia="宋体" w:hAnsi="宋体" w:cs="宋体" w:hint="eastAsia"/>
                <w:color w:val="000000"/>
                <w:kern w:val="0"/>
                <w:szCs w:val="21"/>
                <w:lang w:val="zh-CN"/>
              </w:rPr>
              <w:t>，动作基本准确、协调，节奏感较强，表现力一般。</w:t>
            </w:r>
          </w:p>
        </w:tc>
      </w:tr>
      <w:tr w:rsidR="00D554C2" w:rsidRPr="00D554C2" w14:paraId="21848388" w14:textId="77777777" w:rsidTr="009B4CAE">
        <w:trPr>
          <w:trHeight w:val="390"/>
        </w:trPr>
        <w:tc>
          <w:tcPr>
            <w:tcW w:w="1463" w:type="dxa"/>
            <w:tcBorders>
              <w:top w:val="single" w:sz="4" w:space="0" w:color="auto"/>
              <w:left w:val="single" w:sz="4" w:space="0" w:color="auto"/>
              <w:bottom w:val="single" w:sz="4" w:space="0" w:color="auto"/>
              <w:right w:val="single" w:sz="4" w:space="0" w:color="auto"/>
            </w:tcBorders>
            <w:vAlign w:val="center"/>
          </w:tcPr>
          <w:p w14:paraId="5DAD6405" w14:textId="77777777" w:rsidR="00D554C2" w:rsidRPr="00D554C2" w:rsidRDefault="00D554C2" w:rsidP="00D554C2">
            <w:pPr>
              <w:adjustRightInd w:val="0"/>
              <w:spacing w:line="240" w:lineRule="atLeast"/>
              <w:ind w:left="1575" w:hangingChars="750" w:hanging="1575"/>
              <w:jc w:val="center"/>
              <w:rPr>
                <w:rFonts w:ascii="宋体" w:eastAsia="宋体" w:hAnsi="宋体" w:cs="宋体"/>
                <w:szCs w:val="21"/>
              </w:rPr>
            </w:pPr>
            <w:r w:rsidRPr="00D554C2">
              <w:rPr>
                <w:rFonts w:ascii="宋体" w:eastAsia="宋体" w:hAnsi="宋体" w:cs="宋体" w:hint="eastAsia"/>
                <w:color w:val="000000"/>
                <w:kern w:val="0"/>
                <w:szCs w:val="21"/>
                <w:lang w:val="zh-CN"/>
              </w:rPr>
              <w:t>60—69分</w:t>
            </w:r>
          </w:p>
        </w:tc>
        <w:tc>
          <w:tcPr>
            <w:tcW w:w="6870" w:type="dxa"/>
            <w:tcBorders>
              <w:top w:val="single" w:sz="4" w:space="0" w:color="auto"/>
              <w:left w:val="single" w:sz="4" w:space="0" w:color="auto"/>
              <w:bottom w:val="single" w:sz="4" w:space="0" w:color="auto"/>
              <w:right w:val="single" w:sz="4" w:space="0" w:color="auto"/>
            </w:tcBorders>
            <w:vAlign w:val="center"/>
          </w:tcPr>
          <w:p w14:paraId="5FE2F958"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动作基本正确，动作独立完成，与音乐基本合拍。</w:t>
            </w:r>
          </w:p>
        </w:tc>
      </w:tr>
      <w:tr w:rsidR="00D554C2" w:rsidRPr="00D554C2" w14:paraId="093A2A6C" w14:textId="77777777" w:rsidTr="009B4CAE">
        <w:trPr>
          <w:trHeight w:val="390"/>
        </w:trPr>
        <w:tc>
          <w:tcPr>
            <w:tcW w:w="1463" w:type="dxa"/>
            <w:tcBorders>
              <w:top w:val="single" w:sz="4" w:space="0" w:color="auto"/>
              <w:left w:val="single" w:sz="4" w:space="0" w:color="auto"/>
              <w:bottom w:val="single" w:sz="4" w:space="0" w:color="auto"/>
              <w:right w:val="single" w:sz="4" w:space="0" w:color="auto"/>
            </w:tcBorders>
            <w:vAlign w:val="center"/>
          </w:tcPr>
          <w:p w14:paraId="73B6B4B8" w14:textId="77777777" w:rsidR="00D554C2" w:rsidRPr="00D554C2" w:rsidRDefault="00D554C2" w:rsidP="00D554C2">
            <w:pPr>
              <w:adjustRightInd w:val="0"/>
              <w:spacing w:line="240" w:lineRule="atLeast"/>
              <w:jc w:val="center"/>
              <w:rPr>
                <w:rFonts w:ascii="宋体" w:eastAsia="宋体" w:hAnsi="宋体" w:cs="宋体"/>
                <w:szCs w:val="21"/>
              </w:rPr>
            </w:pPr>
            <w:r w:rsidRPr="00D554C2">
              <w:rPr>
                <w:rFonts w:ascii="宋体" w:eastAsia="宋体" w:hAnsi="宋体" w:cs="宋体" w:hint="eastAsia"/>
                <w:color w:val="000000"/>
                <w:kern w:val="0"/>
                <w:szCs w:val="21"/>
                <w:lang w:val="zh-CN"/>
              </w:rPr>
              <w:t>60以下</w:t>
            </w:r>
          </w:p>
        </w:tc>
        <w:tc>
          <w:tcPr>
            <w:tcW w:w="6870" w:type="dxa"/>
            <w:tcBorders>
              <w:top w:val="single" w:sz="4" w:space="0" w:color="auto"/>
              <w:left w:val="single" w:sz="4" w:space="0" w:color="auto"/>
              <w:bottom w:val="single" w:sz="4" w:space="0" w:color="auto"/>
              <w:right w:val="single" w:sz="4" w:space="0" w:color="auto"/>
            </w:tcBorders>
            <w:vAlign w:val="center"/>
          </w:tcPr>
          <w:p w14:paraId="433FFF83"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动作不熟练，不能完成动作，与音乐不合拍。</w:t>
            </w:r>
          </w:p>
        </w:tc>
      </w:tr>
    </w:tbl>
    <w:p w14:paraId="177A1EF2" w14:textId="77777777" w:rsidR="00D554C2" w:rsidRPr="00D554C2" w:rsidRDefault="00D554C2" w:rsidP="00D554C2">
      <w:pPr>
        <w:spacing w:line="500" w:lineRule="exact"/>
        <w:jc w:val="center"/>
        <w:rPr>
          <w:rFonts w:ascii="宋体" w:eastAsia="宋体" w:hAnsi="宋体" w:cs="宋体"/>
          <w:bCs/>
          <w:color w:val="000000"/>
          <w:szCs w:val="21"/>
        </w:rPr>
      </w:pPr>
    </w:p>
    <w:p w14:paraId="4301D5BF" w14:textId="77777777" w:rsidR="00D554C2" w:rsidRPr="00D554C2" w:rsidRDefault="00D554C2" w:rsidP="00D554C2">
      <w:pPr>
        <w:spacing w:line="500" w:lineRule="exact"/>
        <w:jc w:val="center"/>
        <w:rPr>
          <w:rFonts w:ascii="宋体" w:eastAsia="宋体" w:hAnsi="宋体" w:cs="宋体"/>
          <w:bCs/>
          <w:color w:val="000000"/>
          <w:sz w:val="24"/>
        </w:rPr>
      </w:pPr>
      <w:r w:rsidRPr="00D554C2">
        <w:rPr>
          <w:rFonts w:ascii="宋体" w:eastAsia="宋体" w:hAnsi="宋体" w:cs="宋体" w:hint="eastAsia"/>
          <w:bCs/>
          <w:color w:val="000000"/>
          <w:sz w:val="24"/>
        </w:rPr>
        <w:t>表8  健美操创编评分标准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3"/>
        <w:gridCol w:w="6930"/>
      </w:tblGrid>
      <w:tr w:rsidR="00D554C2" w:rsidRPr="00D554C2" w14:paraId="7330B9DE" w14:textId="77777777" w:rsidTr="009B4CAE">
        <w:trPr>
          <w:trHeight w:val="453"/>
        </w:trPr>
        <w:tc>
          <w:tcPr>
            <w:tcW w:w="1453" w:type="dxa"/>
            <w:tcBorders>
              <w:top w:val="single" w:sz="4" w:space="0" w:color="auto"/>
              <w:left w:val="single" w:sz="4" w:space="0" w:color="auto"/>
              <w:bottom w:val="single" w:sz="4" w:space="0" w:color="auto"/>
              <w:right w:val="single" w:sz="4" w:space="0" w:color="auto"/>
            </w:tcBorders>
            <w:vAlign w:val="center"/>
          </w:tcPr>
          <w:p w14:paraId="3871E431" w14:textId="77777777" w:rsidR="00D554C2" w:rsidRPr="00D554C2" w:rsidRDefault="00D554C2" w:rsidP="00D554C2">
            <w:pPr>
              <w:adjustRightInd w:val="0"/>
              <w:spacing w:line="240" w:lineRule="atLeast"/>
              <w:jc w:val="center"/>
              <w:rPr>
                <w:rFonts w:ascii="宋体" w:eastAsia="宋体" w:hAnsi="宋体" w:cs="宋体"/>
                <w:szCs w:val="21"/>
              </w:rPr>
            </w:pPr>
            <w:r w:rsidRPr="00D554C2">
              <w:rPr>
                <w:rFonts w:ascii="宋体" w:eastAsia="宋体" w:hAnsi="宋体" w:cs="宋体" w:hint="eastAsia"/>
                <w:color w:val="000000"/>
                <w:kern w:val="0"/>
                <w:szCs w:val="21"/>
                <w:lang w:val="zh-CN"/>
              </w:rPr>
              <w:t>分  值</w:t>
            </w:r>
          </w:p>
        </w:tc>
        <w:tc>
          <w:tcPr>
            <w:tcW w:w="6930" w:type="dxa"/>
            <w:tcBorders>
              <w:top w:val="single" w:sz="4" w:space="0" w:color="auto"/>
              <w:left w:val="single" w:sz="4" w:space="0" w:color="auto"/>
              <w:bottom w:val="single" w:sz="4" w:space="0" w:color="auto"/>
              <w:right w:val="single" w:sz="4" w:space="0" w:color="auto"/>
            </w:tcBorders>
            <w:vAlign w:val="center"/>
          </w:tcPr>
          <w:p w14:paraId="044C038C" w14:textId="77777777" w:rsidR="00D554C2" w:rsidRPr="00D554C2" w:rsidRDefault="00D554C2" w:rsidP="00D554C2">
            <w:pPr>
              <w:adjustRightInd w:val="0"/>
              <w:spacing w:line="240" w:lineRule="atLeast"/>
              <w:jc w:val="center"/>
              <w:rPr>
                <w:rFonts w:ascii="宋体" w:eastAsia="宋体" w:hAnsi="宋体" w:cs="宋体"/>
                <w:szCs w:val="21"/>
              </w:rPr>
            </w:pPr>
            <w:r w:rsidRPr="00D554C2">
              <w:rPr>
                <w:rFonts w:ascii="宋体" w:eastAsia="宋体" w:hAnsi="宋体" w:cs="宋体" w:hint="eastAsia"/>
                <w:color w:val="000000"/>
                <w:kern w:val="0"/>
                <w:szCs w:val="21"/>
                <w:lang w:val="zh-CN"/>
              </w:rPr>
              <w:t>技 评 标 准</w:t>
            </w:r>
          </w:p>
        </w:tc>
      </w:tr>
      <w:tr w:rsidR="00D554C2" w:rsidRPr="00D554C2" w14:paraId="65953720" w14:textId="77777777" w:rsidTr="009B4CAE">
        <w:trPr>
          <w:trHeight w:val="800"/>
        </w:trPr>
        <w:tc>
          <w:tcPr>
            <w:tcW w:w="1453" w:type="dxa"/>
            <w:tcBorders>
              <w:top w:val="single" w:sz="4" w:space="0" w:color="auto"/>
              <w:left w:val="single" w:sz="4" w:space="0" w:color="auto"/>
              <w:bottom w:val="single" w:sz="4" w:space="0" w:color="auto"/>
              <w:right w:val="single" w:sz="4" w:space="0" w:color="auto"/>
            </w:tcBorders>
            <w:vAlign w:val="center"/>
          </w:tcPr>
          <w:p w14:paraId="2F5779B4" w14:textId="77777777" w:rsidR="00D554C2" w:rsidRPr="00D554C2" w:rsidRDefault="00D554C2" w:rsidP="00D554C2">
            <w:pPr>
              <w:adjustRightInd w:val="0"/>
              <w:spacing w:line="240" w:lineRule="atLeast"/>
              <w:ind w:left="1575" w:hangingChars="750" w:hanging="1575"/>
              <w:jc w:val="center"/>
              <w:rPr>
                <w:rFonts w:ascii="宋体" w:eastAsia="宋体" w:hAnsi="宋体" w:cs="宋体"/>
                <w:szCs w:val="21"/>
              </w:rPr>
            </w:pPr>
            <w:r w:rsidRPr="00D554C2">
              <w:rPr>
                <w:rFonts w:ascii="宋体" w:eastAsia="宋体" w:hAnsi="宋体" w:cs="宋体" w:hint="eastAsia"/>
                <w:color w:val="000000"/>
                <w:kern w:val="0"/>
                <w:szCs w:val="21"/>
                <w:lang w:val="zh-CN"/>
              </w:rPr>
              <w:t>90—100分</w:t>
            </w:r>
          </w:p>
        </w:tc>
        <w:tc>
          <w:tcPr>
            <w:tcW w:w="6930" w:type="dxa"/>
            <w:tcBorders>
              <w:top w:val="single" w:sz="4" w:space="0" w:color="auto"/>
              <w:left w:val="single" w:sz="4" w:space="0" w:color="auto"/>
              <w:bottom w:val="single" w:sz="4" w:space="0" w:color="auto"/>
              <w:right w:val="single" w:sz="4" w:space="0" w:color="auto"/>
            </w:tcBorders>
            <w:vAlign w:val="center"/>
          </w:tcPr>
          <w:p w14:paraId="49E4B233"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rPr>
              <w:t>编排合理；</w:t>
            </w:r>
            <w:r w:rsidRPr="00D554C2">
              <w:rPr>
                <w:rFonts w:ascii="宋体" w:eastAsia="宋体" w:hAnsi="宋体" w:cs="宋体" w:hint="eastAsia"/>
                <w:color w:val="000000"/>
                <w:kern w:val="0"/>
                <w:szCs w:val="21"/>
                <w:lang w:val="zh-CN"/>
              </w:rPr>
              <w:t>动作与音乐配合协调；</w:t>
            </w:r>
            <w:r w:rsidRPr="00D554C2">
              <w:rPr>
                <w:rFonts w:ascii="宋体" w:eastAsia="宋体" w:hAnsi="宋体" w:cs="宋体" w:hint="eastAsia"/>
                <w:color w:val="000000"/>
                <w:kern w:val="0"/>
                <w:szCs w:val="21"/>
              </w:rPr>
              <w:t>队形变化自然流畅；</w:t>
            </w:r>
            <w:r w:rsidRPr="00D554C2">
              <w:rPr>
                <w:rFonts w:ascii="宋体" w:eastAsia="宋体" w:hAnsi="宋体" w:cs="宋体" w:hint="eastAsia"/>
                <w:color w:val="000000"/>
                <w:kern w:val="0"/>
                <w:szCs w:val="21"/>
                <w:lang w:val="zh-CN"/>
              </w:rPr>
              <w:t>动作</w:t>
            </w:r>
            <w:r w:rsidRPr="00D554C2">
              <w:rPr>
                <w:rFonts w:ascii="宋体" w:eastAsia="宋体" w:hAnsi="宋体" w:cs="宋体" w:hint="eastAsia"/>
                <w:color w:val="000000"/>
                <w:kern w:val="0"/>
                <w:szCs w:val="21"/>
              </w:rPr>
              <w:t>姿态优美、舒展</w:t>
            </w:r>
            <w:r w:rsidRPr="00D554C2">
              <w:rPr>
                <w:rFonts w:ascii="宋体" w:eastAsia="宋体" w:hAnsi="宋体" w:cs="宋体" w:hint="eastAsia"/>
                <w:color w:val="000000"/>
                <w:kern w:val="0"/>
                <w:szCs w:val="21"/>
                <w:lang w:val="zh-CN"/>
              </w:rPr>
              <w:t>、准确、有力度、节奏感强；具有较强表现力，</w:t>
            </w:r>
            <w:r w:rsidRPr="00D554C2">
              <w:rPr>
                <w:rFonts w:ascii="宋体" w:eastAsia="宋体" w:hAnsi="宋体" w:cs="宋体" w:hint="eastAsia"/>
                <w:color w:val="000000"/>
                <w:kern w:val="0"/>
                <w:szCs w:val="21"/>
              </w:rPr>
              <w:t>整个团队表演效果好。</w:t>
            </w:r>
          </w:p>
        </w:tc>
      </w:tr>
      <w:tr w:rsidR="00D554C2" w:rsidRPr="00D554C2" w14:paraId="10D42D62" w14:textId="77777777" w:rsidTr="009B4CAE">
        <w:trPr>
          <w:trHeight w:val="800"/>
        </w:trPr>
        <w:tc>
          <w:tcPr>
            <w:tcW w:w="1453" w:type="dxa"/>
            <w:tcBorders>
              <w:top w:val="single" w:sz="4" w:space="0" w:color="auto"/>
              <w:left w:val="single" w:sz="4" w:space="0" w:color="auto"/>
              <w:bottom w:val="single" w:sz="4" w:space="0" w:color="auto"/>
              <w:right w:val="single" w:sz="4" w:space="0" w:color="auto"/>
            </w:tcBorders>
            <w:vAlign w:val="center"/>
          </w:tcPr>
          <w:p w14:paraId="2870B658" w14:textId="77777777" w:rsidR="00D554C2" w:rsidRPr="00D554C2" w:rsidRDefault="00D554C2" w:rsidP="00D554C2">
            <w:pPr>
              <w:adjustRightInd w:val="0"/>
              <w:spacing w:line="240" w:lineRule="atLeast"/>
              <w:ind w:left="1575" w:hangingChars="750" w:hanging="1575"/>
              <w:jc w:val="center"/>
              <w:rPr>
                <w:rFonts w:ascii="宋体" w:eastAsia="宋体" w:hAnsi="宋体" w:cs="宋体"/>
                <w:szCs w:val="21"/>
              </w:rPr>
            </w:pPr>
            <w:r w:rsidRPr="00D554C2">
              <w:rPr>
                <w:rFonts w:ascii="宋体" w:eastAsia="宋体" w:hAnsi="宋体" w:cs="宋体" w:hint="eastAsia"/>
                <w:color w:val="000000"/>
                <w:kern w:val="0"/>
                <w:szCs w:val="21"/>
                <w:lang w:val="zh-CN"/>
              </w:rPr>
              <w:t>80—89分</w:t>
            </w:r>
          </w:p>
        </w:tc>
        <w:tc>
          <w:tcPr>
            <w:tcW w:w="6930" w:type="dxa"/>
            <w:tcBorders>
              <w:top w:val="single" w:sz="4" w:space="0" w:color="auto"/>
              <w:left w:val="single" w:sz="4" w:space="0" w:color="auto"/>
              <w:bottom w:val="single" w:sz="4" w:space="0" w:color="auto"/>
              <w:right w:val="single" w:sz="4" w:space="0" w:color="auto"/>
            </w:tcBorders>
            <w:vAlign w:val="center"/>
          </w:tcPr>
          <w:p w14:paraId="07102125"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动作与音乐配合</w:t>
            </w:r>
            <w:r w:rsidRPr="00D554C2">
              <w:rPr>
                <w:rFonts w:ascii="宋体" w:eastAsia="宋体" w:hAnsi="宋体" w:cs="宋体" w:hint="eastAsia"/>
                <w:color w:val="000000"/>
                <w:kern w:val="0"/>
                <w:szCs w:val="21"/>
              </w:rPr>
              <w:t>较</w:t>
            </w:r>
            <w:r w:rsidRPr="00D554C2">
              <w:rPr>
                <w:rFonts w:ascii="宋体" w:eastAsia="宋体" w:hAnsi="宋体" w:cs="宋体" w:hint="eastAsia"/>
                <w:color w:val="000000"/>
                <w:kern w:val="0"/>
                <w:szCs w:val="21"/>
                <w:lang w:val="zh-CN"/>
              </w:rPr>
              <w:t>协调；</w:t>
            </w:r>
            <w:r w:rsidRPr="00D554C2">
              <w:rPr>
                <w:rFonts w:ascii="宋体" w:eastAsia="宋体" w:hAnsi="宋体" w:cs="宋体" w:hint="eastAsia"/>
                <w:color w:val="000000"/>
                <w:kern w:val="0"/>
                <w:szCs w:val="21"/>
              </w:rPr>
              <w:t>队形变化较流畅；</w:t>
            </w:r>
            <w:r w:rsidRPr="00D554C2">
              <w:rPr>
                <w:rFonts w:ascii="宋体" w:eastAsia="宋体" w:hAnsi="宋体" w:cs="宋体" w:hint="eastAsia"/>
                <w:color w:val="000000"/>
                <w:kern w:val="0"/>
                <w:szCs w:val="21"/>
                <w:lang w:val="zh-CN"/>
              </w:rPr>
              <w:t>动作</w:t>
            </w:r>
            <w:r w:rsidRPr="00D554C2">
              <w:rPr>
                <w:rFonts w:ascii="宋体" w:eastAsia="宋体" w:hAnsi="宋体" w:cs="宋体" w:hint="eastAsia"/>
                <w:color w:val="000000"/>
                <w:kern w:val="0"/>
                <w:szCs w:val="21"/>
              </w:rPr>
              <w:t>姿态较优美、舒展</w:t>
            </w:r>
            <w:r w:rsidRPr="00D554C2">
              <w:rPr>
                <w:rFonts w:ascii="宋体" w:eastAsia="宋体" w:hAnsi="宋体" w:cs="宋体" w:hint="eastAsia"/>
                <w:color w:val="000000"/>
                <w:kern w:val="0"/>
                <w:szCs w:val="21"/>
                <w:lang w:val="zh-CN"/>
              </w:rPr>
              <w:t>、准确、节奏感</w:t>
            </w:r>
            <w:r w:rsidRPr="00D554C2">
              <w:rPr>
                <w:rFonts w:ascii="宋体" w:eastAsia="宋体" w:hAnsi="宋体" w:cs="宋体" w:hint="eastAsia"/>
                <w:color w:val="000000"/>
                <w:kern w:val="0"/>
                <w:szCs w:val="21"/>
              </w:rPr>
              <w:t>较</w:t>
            </w:r>
            <w:r w:rsidRPr="00D554C2">
              <w:rPr>
                <w:rFonts w:ascii="宋体" w:eastAsia="宋体" w:hAnsi="宋体" w:cs="宋体" w:hint="eastAsia"/>
                <w:color w:val="000000"/>
                <w:kern w:val="0"/>
                <w:szCs w:val="21"/>
                <w:lang w:val="zh-CN"/>
              </w:rPr>
              <w:t>强；具有</w:t>
            </w:r>
            <w:r w:rsidRPr="00D554C2">
              <w:rPr>
                <w:rFonts w:ascii="宋体" w:eastAsia="宋体" w:hAnsi="宋体" w:cs="宋体" w:hint="eastAsia"/>
                <w:color w:val="000000"/>
                <w:kern w:val="0"/>
                <w:szCs w:val="21"/>
              </w:rPr>
              <w:t>一定</w:t>
            </w:r>
            <w:r w:rsidRPr="00D554C2">
              <w:rPr>
                <w:rFonts w:ascii="宋体" w:eastAsia="宋体" w:hAnsi="宋体" w:cs="宋体" w:hint="eastAsia"/>
                <w:color w:val="000000"/>
                <w:kern w:val="0"/>
                <w:szCs w:val="21"/>
                <w:lang w:val="zh-CN"/>
              </w:rPr>
              <w:t>表现力，</w:t>
            </w:r>
            <w:r w:rsidRPr="00D554C2">
              <w:rPr>
                <w:rFonts w:ascii="宋体" w:eastAsia="宋体" w:hAnsi="宋体" w:cs="宋体" w:hint="eastAsia"/>
                <w:color w:val="000000"/>
                <w:kern w:val="0"/>
                <w:szCs w:val="21"/>
              </w:rPr>
              <w:t>整个团队表演效果较好。</w:t>
            </w:r>
          </w:p>
        </w:tc>
      </w:tr>
      <w:tr w:rsidR="00D554C2" w:rsidRPr="00D554C2" w14:paraId="5FFE37DA" w14:textId="77777777" w:rsidTr="009B4CAE">
        <w:trPr>
          <w:trHeight w:val="800"/>
        </w:trPr>
        <w:tc>
          <w:tcPr>
            <w:tcW w:w="1453" w:type="dxa"/>
            <w:tcBorders>
              <w:top w:val="single" w:sz="4" w:space="0" w:color="auto"/>
              <w:left w:val="single" w:sz="4" w:space="0" w:color="auto"/>
              <w:bottom w:val="single" w:sz="4" w:space="0" w:color="auto"/>
              <w:right w:val="single" w:sz="4" w:space="0" w:color="auto"/>
            </w:tcBorders>
            <w:vAlign w:val="center"/>
          </w:tcPr>
          <w:p w14:paraId="36DDD122" w14:textId="77777777" w:rsidR="00D554C2" w:rsidRPr="00D554C2" w:rsidRDefault="00D554C2" w:rsidP="00D554C2">
            <w:pPr>
              <w:adjustRightInd w:val="0"/>
              <w:spacing w:line="240" w:lineRule="atLeast"/>
              <w:ind w:left="1575" w:hangingChars="750" w:hanging="1575"/>
              <w:jc w:val="center"/>
              <w:rPr>
                <w:rFonts w:ascii="宋体" w:eastAsia="宋体" w:hAnsi="宋体" w:cs="宋体"/>
                <w:szCs w:val="21"/>
              </w:rPr>
            </w:pPr>
            <w:r w:rsidRPr="00D554C2">
              <w:rPr>
                <w:rFonts w:ascii="宋体" w:eastAsia="宋体" w:hAnsi="宋体" w:cs="宋体" w:hint="eastAsia"/>
                <w:color w:val="000000"/>
                <w:kern w:val="0"/>
                <w:szCs w:val="21"/>
                <w:lang w:val="zh-CN"/>
              </w:rPr>
              <w:lastRenderedPageBreak/>
              <w:t>70—79分</w:t>
            </w:r>
          </w:p>
        </w:tc>
        <w:tc>
          <w:tcPr>
            <w:tcW w:w="6930" w:type="dxa"/>
            <w:tcBorders>
              <w:top w:val="single" w:sz="4" w:space="0" w:color="auto"/>
              <w:left w:val="single" w:sz="4" w:space="0" w:color="auto"/>
              <w:bottom w:val="single" w:sz="4" w:space="0" w:color="auto"/>
              <w:right w:val="single" w:sz="4" w:space="0" w:color="auto"/>
            </w:tcBorders>
            <w:vAlign w:val="center"/>
          </w:tcPr>
          <w:p w14:paraId="76ACD898"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动作与音乐配合</w:t>
            </w:r>
            <w:r w:rsidRPr="00D554C2">
              <w:rPr>
                <w:rFonts w:ascii="宋体" w:eastAsia="宋体" w:hAnsi="宋体" w:cs="宋体" w:hint="eastAsia"/>
                <w:color w:val="000000"/>
                <w:kern w:val="0"/>
                <w:szCs w:val="21"/>
              </w:rPr>
              <w:t>基本</w:t>
            </w:r>
            <w:r w:rsidRPr="00D554C2">
              <w:rPr>
                <w:rFonts w:ascii="宋体" w:eastAsia="宋体" w:hAnsi="宋体" w:cs="宋体" w:hint="eastAsia"/>
                <w:color w:val="000000"/>
                <w:kern w:val="0"/>
                <w:szCs w:val="21"/>
                <w:lang w:val="zh-CN"/>
              </w:rPr>
              <w:t>协调；</w:t>
            </w:r>
            <w:r w:rsidRPr="00D554C2">
              <w:rPr>
                <w:rFonts w:ascii="宋体" w:eastAsia="宋体" w:hAnsi="宋体" w:cs="宋体" w:hint="eastAsia"/>
                <w:color w:val="000000"/>
                <w:kern w:val="0"/>
                <w:szCs w:val="21"/>
              </w:rPr>
              <w:t>队形变化较自然；整套动作较连贯</w:t>
            </w:r>
            <w:r w:rsidRPr="00D554C2">
              <w:rPr>
                <w:rFonts w:ascii="宋体" w:eastAsia="宋体" w:hAnsi="宋体" w:cs="宋体" w:hint="eastAsia"/>
                <w:color w:val="000000"/>
                <w:kern w:val="0"/>
                <w:szCs w:val="21"/>
                <w:lang w:val="zh-CN"/>
              </w:rPr>
              <w:t>；表现力</w:t>
            </w:r>
            <w:r w:rsidRPr="00D554C2">
              <w:rPr>
                <w:rFonts w:ascii="宋体" w:eastAsia="宋体" w:hAnsi="宋体" w:cs="宋体" w:hint="eastAsia"/>
                <w:color w:val="000000"/>
                <w:kern w:val="0"/>
                <w:szCs w:val="21"/>
              </w:rPr>
              <w:t>一般，缺少激情</w:t>
            </w:r>
            <w:r w:rsidRPr="00D554C2">
              <w:rPr>
                <w:rFonts w:ascii="宋体" w:eastAsia="宋体" w:hAnsi="宋体" w:cs="宋体" w:hint="eastAsia"/>
                <w:color w:val="000000"/>
                <w:kern w:val="0"/>
                <w:szCs w:val="21"/>
                <w:lang w:val="zh-CN"/>
              </w:rPr>
              <w:t>，</w:t>
            </w:r>
            <w:r w:rsidRPr="00D554C2">
              <w:rPr>
                <w:rFonts w:ascii="宋体" w:eastAsia="宋体" w:hAnsi="宋体" w:cs="宋体" w:hint="eastAsia"/>
                <w:color w:val="000000"/>
                <w:kern w:val="0"/>
                <w:szCs w:val="21"/>
              </w:rPr>
              <w:t>整个团队表演效果一般。</w:t>
            </w:r>
          </w:p>
        </w:tc>
      </w:tr>
      <w:tr w:rsidR="00D554C2" w:rsidRPr="00D554C2" w14:paraId="3D260803" w14:textId="77777777" w:rsidTr="009B4CAE">
        <w:trPr>
          <w:trHeight w:val="780"/>
        </w:trPr>
        <w:tc>
          <w:tcPr>
            <w:tcW w:w="1453" w:type="dxa"/>
            <w:tcBorders>
              <w:top w:val="single" w:sz="4" w:space="0" w:color="auto"/>
              <w:left w:val="single" w:sz="4" w:space="0" w:color="auto"/>
              <w:bottom w:val="single" w:sz="4" w:space="0" w:color="auto"/>
              <w:right w:val="single" w:sz="4" w:space="0" w:color="auto"/>
            </w:tcBorders>
            <w:vAlign w:val="center"/>
          </w:tcPr>
          <w:p w14:paraId="36B1911E" w14:textId="77777777" w:rsidR="00D554C2" w:rsidRPr="00D554C2" w:rsidRDefault="00D554C2" w:rsidP="00D554C2">
            <w:pPr>
              <w:adjustRightInd w:val="0"/>
              <w:spacing w:line="240" w:lineRule="atLeast"/>
              <w:ind w:left="1575" w:hangingChars="750" w:hanging="1575"/>
              <w:jc w:val="center"/>
              <w:rPr>
                <w:rFonts w:ascii="宋体" w:eastAsia="宋体" w:hAnsi="宋体" w:cs="宋体"/>
                <w:szCs w:val="21"/>
              </w:rPr>
            </w:pPr>
            <w:r w:rsidRPr="00D554C2">
              <w:rPr>
                <w:rFonts w:ascii="宋体" w:eastAsia="宋体" w:hAnsi="宋体" w:cs="宋体" w:hint="eastAsia"/>
                <w:color w:val="000000"/>
                <w:kern w:val="0"/>
                <w:szCs w:val="21"/>
                <w:lang w:val="zh-CN"/>
              </w:rPr>
              <w:t>60—69分</w:t>
            </w:r>
          </w:p>
        </w:tc>
        <w:tc>
          <w:tcPr>
            <w:tcW w:w="6930" w:type="dxa"/>
            <w:tcBorders>
              <w:top w:val="single" w:sz="4" w:space="0" w:color="auto"/>
              <w:left w:val="single" w:sz="4" w:space="0" w:color="auto"/>
              <w:bottom w:val="single" w:sz="4" w:space="0" w:color="auto"/>
              <w:right w:val="single" w:sz="4" w:space="0" w:color="auto"/>
            </w:tcBorders>
            <w:vAlign w:val="center"/>
          </w:tcPr>
          <w:p w14:paraId="55190D74"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动作与音乐配合</w:t>
            </w:r>
            <w:r w:rsidRPr="00D554C2">
              <w:rPr>
                <w:rFonts w:ascii="宋体" w:eastAsia="宋体" w:hAnsi="宋体" w:cs="宋体" w:hint="eastAsia"/>
                <w:color w:val="000000"/>
                <w:kern w:val="0"/>
                <w:szCs w:val="21"/>
              </w:rPr>
              <w:t>欠</w:t>
            </w:r>
            <w:r w:rsidRPr="00D554C2">
              <w:rPr>
                <w:rFonts w:ascii="宋体" w:eastAsia="宋体" w:hAnsi="宋体" w:cs="宋体" w:hint="eastAsia"/>
                <w:color w:val="000000"/>
                <w:kern w:val="0"/>
                <w:szCs w:val="21"/>
                <w:lang w:val="zh-CN"/>
              </w:rPr>
              <w:t>协调；</w:t>
            </w:r>
            <w:r w:rsidRPr="00D554C2">
              <w:rPr>
                <w:rFonts w:ascii="宋体" w:eastAsia="宋体" w:hAnsi="宋体" w:cs="宋体" w:hint="eastAsia"/>
                <w:color w:val="000000"/>
                <w:kern w:val="0"/>
                <w:szCs w:val="21"/>
              </w:rPr>
              <w:t>队形变化欠流畅；整套动作不够规范，缺少力度</w:t>
            </w:r>
            <w:r w:rsidRPr="00D554C2">
              <w:rPr>
                <w:rFonts w:ascii="宋体" w:eastAsia="宋体" w:hAnsi="宋体" w:cs="宋体" w:hint="eastAsia"/>
                <w:color w:val="000000"/>
                <w:kern w:val="0"/>
                <w:szCs w:val="21"/>
                <w:lang w:val="zh-CN"/>
              </w:rPr>
              <w:t>；</w:t>
            </w:r>
            <w:r w:rsidRPr="00D554C2">
              <w:rPr>
                <w:rFonts w:ascii="宋体" w:eastAsia="宋体" w:hAnsi="宋体" w:cs="宋体" w:hint="eastAsia"/>
                <w:color w:val="000000"/>
                <w:kern w:val="0"/>
                <w:szCs w:val="21"/>
              </w:rPr>
              <w:t>整个团队</w:t>
            </w:r>
            <w:r w:rsidRPr="00D554C2">
              <w:rPr>
                <w:rFonts w:ascii="宋体" w:eastAsia="宋体" w:hAnsi="宋体" w:cs="宋体" w:hint="eastAsia"/>
                <w:color w:val="000000"/>
                <w:kern w:val="0"/>
                <w:szCs w:val="21"/>
                <w:lang w:val="zh-CN"/>
              </w:rPr>
              <w:t>表现力</w:t>
            </w:r>
            <w:r w:rsidRPr="00D554C2">
              <w:rPr>
                <w:rFonts w:ascii="宋体" w:eastAsia="宋体" w:hAnsi="宋体" w:cs="宋体" w:hint="eastAsia"/>
                <w:color w:val="000000"/>
                <w:kern w:val="0"/>
                <w:szCs w:val="21"/>
              </w:rPr>
              <w:t>欠缺，缺少激情</w:t>
            </w:r>
            <w:r w:rsidRPr="00D554C2">
              <w:rPr>
                <w:rFonts w:ascii="宋体" w:eastAsia="宋体" w:hAnsi="宋体" w:cs="宋体" w:hint="eastAsia"/>
                <w:color w:val="000000"/>
                <w:kern w:val="0"/>
                <w:szCs w:val="21"/>
                <w:lang w:val="zh-CN"/>
              </w:rPr>
              <w:t>。</w:t>
            </w:r>
          </w:p>
        </w:tc>
      </w:tr>
      <w:tr w:rsidR="00D554C2" w:rsidRPr="00D554C2" w14:paraId="23E7B015" w14:textId="77777777" w:rsidTr="009B4CAE">
        <w:trPr>
          <w:trHeight w:val="540"/>
        </w:trPr>
        <w:tc>
          <w:tcPr>
            <w:tcW w:w="1453" w:type="dxa"/>
            <w:tcBorders>
              <w:top w:val="single" w:sz="4" w:space="0" w:color="auto"/>
              <w:left w:val="single" w:sz="4" w:space="0" w:color="auto"/>
              <w:bottom w:val="single" w:sz="4" w:space="0" w:color="auto"/>
              <w:right w:val="single" w:sz="4" w:space="0" w:color="auto"/>
            </w:tcBorders>
            <w:vAlign w:val="center"/>
          </w:tcPr>
          <w:p w14:paraId="770E3201" w14:textId="77777777" w:rsidR="00D554C2" w:rsidRPr="00D554C2" w:rsidRDefault="00D554C2" w:rsidP="00D554C2">
            <w:pPr>
              <w:adjustRightInd w:val="0"/>
              <w:spacing w:line="240" w:lineRule="atLeast"/>
              <w:jc w:val="center"/>
              <w:rPr>
                <w:rFonts w:ascii="宋体" w:eastAsia="宋体" w:hAnsi="宋体" w:cs="宋体"/>
                <w:szCs w:val="21"/>
              </w:rPr>
            </w:pPr>
            <w:r w:rsidRPr="00D554C2">
              <w:rPr>
                <w:rFonts w:ascii="宋体" w:eastAsia="宋体" w:hAnsi="宋体" w:cs="宋体" w:hint="eastAsia"/>
                <w:color w:val="000000"/>
                <w:kern w:val="0"/>
                <w:szCs w:val="21"/>
                <w:lang w:val="zh-CN"/>
              </w:rPr>
              <w:t>60以下</w:t>
            </w:r>
          </w:p>
        </w:tc>
        <w:tc>
          <w:tcPr>
            <w:tcW w:w="6930" w:type="dxa"/>
            <w:tcBorders>
              <w:top w:val="single" w:sz="4" w:space="0" w:color="auto"/>
              <w:left w:val="single" w:sz="4" w:space="0" w:color="auto"/>
              <w:bottom w:val="single" w:sz="4" w:space="0" w:color="auto"/>
              <w:right w:val="single" w:sz="4" w:space="0" w:color="auto"/>
            </w:tcBorders>
            <w:vAlign w:val="center"/>
          </w:tcPr>
          <w:p w14:paraId="76A1452C"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动作不熟练，不能完成动作，与音乐不合拍，</w:t>
            </w:r>
            <w:r w:rsidRPr="00D554C2">
              <w:rPr>
                <w:rFonts w:ascii="宋体" w:eastAsia="宋体" w:hAnsi="宋体" w:cs="宋体" w:hint="eastAsia"/>
                <w:color w:val="000000"/>
                <w:kern w:val="0"/>
                <w:szCs w:val="21"/>
              </w:rPr>
              <w:t>队形数量不符合规定。</w:t>
            </w:r>
          </w:p>
        </w:tc>
      </w:tr>
    </w:tbl>
    <w:p w14:paraId="0A5ADC4A" w14:textId="77777777" w:rsidR="00D554C2" w:rsidRPr="00D554C2" w:rsidRDefault="00D554C2" w:rsidP="00D554C2">
      <w:pPr>
        <w:widowControl/>
        <w:jc w:val="center"/>
        <w:rPr>
          <w:rFonts w:ascii="宋体" w:eastAsia="宋体" w:hAnsi="宋体" w:cs="宋体"/>
          <w:kern w:val="0"/>
          <w:szCs w:val="21"/>
          <w:lang w:bidi="ar"/>
        </w:rPr>
      </w:pPr>
    </w:p>
    <w:p w14:paraId="5AC1C15F" w14:textId="77777777" w:rsidR="00D554C2" w:rsidRPr="00D554C2" w:rsidRDefault="00D554C2" w:rsidP="00D554C2">
      <w:pPr>
        <w:widowControl/>
        <w:spacing w:line="500" w:lineRule="exact"/>
        <w:jc w:val="center"/>
        <w:rPr>
          <w:rFonts w:ascii="宋体" w:eastAsia="宋体" w:hAnsi="宋体" w:cs="宋体"/>
          <w:kern w:val="0"/>
          <w:sz w:val="24"/>
          <w:lang w:bidi="ar"/>
        </w:rPr>
      </w:pPr>
    </w:p>
    <w:p w14:paraId="56244615" w14:textId="77777777" w:rsidR="00D554C2" w:rsidRPr="00D554C2" w:rsidRDefault="00D554C2" w:rsidP="00D554C2">
      <w:pPr>
        <w:widowControl/>
        <w:spacing w:line="500" w:lineRule="exact"/>
        <w:jc w:val="center"/>
        <w:rPr>
          <w:rFonts w:ascii="宋体" w:eastAsia="宋体" w:hAnsi="宋体" w:cs="宋体"/>
          <w:sz w:val="24"/>
        </w:rPr>
      </w:pPr>
      <w:r w:rsidRPr="00D554C2">
        <w:rPr>
          <w:rFonts w:ascii="宋体" w:eastAsia="宋体" w:hAnsi="宋体" w:cs="宋体" w:hint="eastAsia"/>
          <w:kern w:val="0"/>
          <w:sz w:val="24"/>
          <w:lang w:bidi="ar"/>
        </w:rPr>
        <w:t>表9   一分钟仰卧起坐（女）分标准</w:t>
      </w:r>
    </w:p>
    <w:tbl>
      <w:tblPr>
        <w:tblpPr w:leftFromText="180" w:rightFromText="180" w:vertAnchor="text" w:horzAnchor="page" w:tblpX="1843" w:tblpY="108"/>
        <w:tblOverlap w:val="never"/>
        <w:tblW w:w="0" w:type="auto"/>
        <w:tblCellSpacing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2570"/>
        <w:gridCol w:w="783"/>
        <w:gridCol w:w="563"/>
        <w:gridCol w:w="563"/>
        <w:gridCol w:w="563"/>
        <w:gridCol w:w="563"/>
        <w:gridCol w:w="563"/>
        <w:gridCol w:w="563"/>
        <w:gridCol w:w="563"/>
        <w:gridCol w:w="563"/>
        <w:gridCol w:w="543"/>
      </w:tblGrid>
      <w:tr w:rsidR="00D554C2" w:rsidRPr="00D554C2" w14:paraId="0CC1779C" w14:textId="77777777" w:rsidTr="009B4CAE">
        <w:trPr>
          <w:trHeight w:val="357"/>
          <w:tblCellSpacing w:w="0" w:type="dxa"/>
        </w:trPr>
        <w:tc>
          <w:tcPr>
            <w:tcW w:w="2570" w:type="dxa"/>
            <w:tcBorders>
              <w:top w:val="outset" w:sz="6" w:space="0" w:color="auto"/>
              <w:left w:val="outset" w:sz="6" w:space="0" w:color="auto"/>
              <w:bottom w:val="outset" w:sz="6" w:space="0" w:color="auto"/>
              <w:right w:val="outset" w:sz="6" w:space="0" w:color="auto"/>
            </w:tcBorders>
            <w:vAlign w:val="center"/>
          </w:tcPr>
          <w:p w14:paraId="48A17509"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1分钟仰卧起坐（次）</w:t>
            </w:r>
          </w:p>
        </w:tc>
        <w:tc>
          <w:tcPr>
            <w:tcW w:w="783" w:type="dxa"/>
            <w:tcBorders>
              <w:top w:val="outset" w:sz="6" w:space="0" w:color="auto"/>
              <w:left w:val="outset" w:sz="6" w:space="0" w:color="auto"/>
              <w:bottom w:val="outset" w:sz="6" w:space="0" w:color="auto"/>
              <w:right w:val="outset" w:sz="6" w:space="0" w:color="auto"/>
            </w:tcBorders>
            <w:vAlign w:val="center"/>
          </w:tcPr>
          <w:p w14:paraId="7513B933"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56</w:t>
            </w:r>
          </w:p>
        </w:tc>
        <w:tc>
          <w:tcPr>
            <w:tcW w:w="563" w:type="dxa"/>
            <w:tcBorders>
              <w:top w:val="outset" w:sz="6" w:space="0" w:color="auto"/>
              <w:left w:val="outset" w:sz="6" w:space="0" w:color="auto"/>
              <w:bottom w:val="outset" w:sz="6" w:space="0" w:color="auto"/>
              <w:right w:val="outset" w:sz="6" w:space="0" w:color="auto"/>
            </w:tcBorders>
            <w:vAlign w:val="center"/>
          </w:tcPr>
          <w:p w14:paraId="10B4DF0E"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52</w:t>
            </w:r>
          </w:p>
        </w:tc>
        <w:tc>
          <w:tcPr>
            <w:tcW w:w="563" w:type="dxa"/>
            <w:tcBorders>
              <w:top w:val="outset" w:sz="6" w:space="0" w:color="auto"/>
              <w:left w:val="outset" w:sz="6" w:space="0" w:color="auto"/>
              <w:bottom w:val="outset" w:sz="6" w:space="0" w:color="auto"/>
              <w:right w:val="outset" w:sz="6" w:space="0" w:color="auto"/>
            </w:tcBorders>
            <w:vAlign w:val="center"/>
          </w:tcPr>
          <w:p w14:paraId="05DDC394"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48</w:t>
            </w:r>
          </w:p>
        </w:tc>
        <w:tc>
          <w:tcPr>
            <w:tcW w:w="563" w:type="dxa"/>
            <w:tcBorders>
              <w:top w:val="outset" w:sz="6" w:space="0" w:color="auto"/>
              <w:left w:val="outset" w:sz="6" w:space="0" w:color="auto"/>
              <w:bottom w:val="outset" w:sz="6" w:space="0" w:color="auto"/>
              <w:right w:val="outset" w:sz="6" w:space="0" w:color="auto"/>
            </w:tcBorders>
            <w:vAlign w:val="center"/>
          </w:tcPr>
          <w:p w14:paraId="27A4ADAE"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36</w:t>
            </w:r>
          </w:p>
        </w:tc>
        <w:tc>
          <w:tcPr>
            <w:tcW w:w="563" w:type="dxa"/>
            <w:tcBorders>
              <w:top w:val="outset" w:sz="6" w:space="0" w:color="auto"/>
              <w:left w:val="outset" w:sz="6" w:space="0" w:color="auto"/>
              <w:bottom w:val="outset" w:sz="6" w:space="0" w:color="auto"/>
              <w:right w:val="outset" w:sz="6" w:space="0" w:color="auto"/>
            </w:tcBorders>
            <w:vAlign w:val="center"/>
          </w:tcPr>
          <w:p w14:paraId="73A7A66D"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26</w:t>
            </w:r>
          </w:p>
        </w:tc>
        <w:tc>
          <w:tcPr>
            <w:tcW w:w="563" w:type="dxa"/>
            <w:tcBorders>
              <w:top w:val="outset" w:sz="6" w:space="0" w:color="auto"/>
              <w:left w:val="outset" w:sz="6" w:space="0" w:color="auto"/>
              <w:bottom w:val="outset" w:sz="6" w:space="0" w:color="auto"/>
              <w:right w:val="outset" w:sz="6" w:space="0" w:color="auto"/>
            </w:tcBorders>
            <w:vAlign w:val="center"/>
          </w:tcPr>
          <w:p w14:paraId="01A8A8F9"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24</w:t>
            </w:r>
          </w:p>
        </w:tc>
        <w:tc>
          <w:tcPr>
            <w:tcW w:w="563" w:type="dxa"/>
            <w:tcBorders>
              <w:top w:val="outset" w:sz="6" w:space="0" w:color="auto"/>
              <w:left w:val="outset" w:sz="6" w:space="0" w:color="auto"/>
              <w:bottom w:val="outset" w:sz="6" w:space="0" w:color="auto"/>
              <w:right w:val="outset" w:sz="6" w:space="0" w:color="auto"/>
            </w:tcBorders>
            <w:vAlign w:val="center"/>
          </w:tcPr>
          <w:p w14:paraId="3E671839"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22</w:t>
            </w:r>
          </w:p>
        </w:tc>
        <w:tc>
          <w:tcPr>
            <w:tcW w:w="563" w:type="dxa"/>
            <w:tcBorders>
              <w:top w:val="outset" w:sz="6" w:space="0" w:color="auto"/>
              <w:left w:val="outset" w:sz="6" w:space="0" w:color="auto"/>
              <w:bottom w:val="outset" w:sz="6" w:space="0" w:color="auto"/>
              <w:right w:val="outset" w:sz="6" w:space="0" w:color="auto"/>
            </w:tcBorders>
            <w:vAlign w:val="center"/>
          </w:tcPr>
          <w:p w14:paraId="14190C4A"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20</w:t>
            </w:r>
          </w:p>
        </w:tc>
        <w:tc>
          <w:tcPr>
            <w:tcW w:w="563" w:type="dxa"/>
            <w:tcBorders>
              <w:top w:val="outset" w:sz="6" w:space="0" w:color="auto"/>
              <w:left w:val="outset" w:sz="6" w:space="0" w:color="auto"/>
              <w:bottom w:val="outset" w:sz="6" w:space="0" w:color="auto"/>
              <w:right w:val="outset" w:sz="6" w:space="0" w:color="auto"/>
            </w:tcBorders>
            <w:vAlign w:val="center"/>
          </w:tcPr>
          <w:p w14:paraId="1FF94010"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16</w:t>
            </w:r>
          </w:p>
        </w:tc>
        <w:tc>
          <w:tcPr>
            <w:tcW w:w="543" w:type="dxa"/>
            <w:tcBorders>
              <w:top w:val="outset" w:sz="6" w:space="0" w:color="auto"/>
              <w:left w:val="outset" w:sz="6" w:space="0" w:color="auto"/>
              <w:bottom w:val="outset" w:sz="6" w:space="0" w:color="auto"/>
              <w:right w:val="outset" w:sz="6" w:space="0" w:color="auto"/>
            </w:tcBorders>
            <w:vAlign w:val="center"/>
          </w:tcPr>
          <w:p w14:paraId="381B5CBC"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15</w:t>
            </w:r>
          </w:p>
        </w:tc>
      </w:tr>
      <w:tr w:rsidR="00D554C2" w:rsidRPr="00D554C2" w14:paraId="6FE7D434" w14:textId="77777777" w:rsidTr="009B4CAE">
        <w:trPr>
          <w:trHeight w:val="357"/>
          <w:tblCellSpacing w:w="0" w:type="dxa"/>
        </w:trPr>
        <w:tc>
          <w:tcPr>
            <w:tcW w:w="2570" w:type="dxa"/>
            <w:tcBorders>
              <w:top w:val="outset" w:sz="6" w:space="0" w:color="auto"/>
              <w:left w:val="outset" w:sz="6" w:space="0" w:color="auto"/>
              <w:bottom w:val="outset" w:sz="6" w:space="0" w:color="auto"/>
              <w:right w:val="outset" w:sz="6" w:space="0" w:color="auto"/>
            </w:tcBorders>
            <w:vAlign w:val="center"/>
          </w:tcPr>
          <w:p w14:paraId="751650F1"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得   分</w:t>
            </w:r>
          </w:p>
        </w:tc>
        <w:tc>
          <w:tcPr>
            <w:tcW w:w="783" w:type="dxa"/>
            <w:tcBorders>
              <w:top w:val="outset" w:sz="6" w:space="0" w:color="auto"/>
              <w:left w:val="outset" w:sz="6" w:space="0" w:color="auto"/>
              <w:bottom w:val="outset" w:sz="6" w:space="0" w:color="auto"/>
              <w:right w:val="outset" w:sz="6" w:space="0" w:color="auto"/>
            </w:tcBorders>
            <w:vAlign w:val="center"/>
          </w:tcPr>
          <w:p w14:paraId="742C335F"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10</w:t>
            </w:r>
          </w:p>
        </w:tc>
        <w:tc>
          <w:tcPr>
            <w:tcW w:w="563" w:type="dxa"/>
            <w:tcBorders>
              <w:top w:val="outset" w:sz="6" w:space="0" w:color="auto"/>
              <w:left w:val="outset" w:sz="6" w:space="0" w:color="auto"/>
              <w:bottom w:val="outset" w:sz="6" w:space="0" w:color="auto"/>
              <w:right w:val="outset" w:sz="6" w:space="0" w:color="auto"/>
            </w:tcBorders>
            <w:vAlign w:val="center"/>
          </w:tcPr>
          <w:p w14:paraId="5EBBAD3C"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9</w:t>
            </w:r>
          </w:p>
        </w:tc>
        <w:tc>
          <w:tcPr>
            <w:tcW w:w="563" w:type="dxa"/>
            <w:tcBorders>
              <w:top w:val="outset" w:sz="6" w:space="0" w:color="auto"/>
              <w:left w:val="outset" w:sz="6" w:space="0" w:color="auto"/>
              <w:bottom w:val="outset" w:sz="6" w:space="0" w:color="auto"/>
              <w:right w:val="outset" w:sz="6" w:space="0" w:color="auto"/>
            </w:tcBorders>
            <w:vAlign w:val="center"/>
          </w:tcPr>
          <w:p w14:paraId="60F1BC06"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8</w:t>
            </w:r>
          </w:p>
        </w:tc>
        <w:tc>
          <w:tcPr>
            <w:tcW w:w="563" w:type="dxa"/>
            <w:tcBorders>
              <w:top w:val="outset" w:sz="6" w:space="0" w:color="auto"/>
              <w:left w:val="outset" w:sz="6" w:space="0" w:color="auto"/>
              <w:bottom w:val="outset" w:sz="6" w:space="0" w:color="auto"/>
              <w:right w:val="outset" w:sz="6" w:space="0" w:color="auto"/>
            </w:tcBorders>
            <w:vAlign w:val="center"/>
          </w:tcPr>
          <w:p w14:paraId="34C71B3B"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7</w:t>
            </w:r>
          </w:p>
        </w:tc>
        <w:tc>
          <w:tcPr>
            <w:tcW w:w="563" w:type="dxa"/>
            <w:tcBorders>
              <w:top w:val="outset" w:sz="6" w:space="0" w:color="auto"/>
              <w:left w:val="outset" w:sz="6" w:space="0" w:color="auto"/>
              <w:bottom w:val="outset" w:sz="6" w:space="0" w:color="auto"/>
              <w:right w:val="outset" w:sz="6" w:space="0" w:color="auto"/>
            </w:tcBorders>
            <w:vAlign w:val="center"/>
          </w:tcPr>
          <w:p w14:paraId="556C733C"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6</w:t>
            </w:r>
          </w:p>
        </w:tc>
        <w:tc>
          <w:tcPr>
            <w:tcW w:w="563" w:type="dxa"/>
            <w:tcBorders>
              <w:top w:val="outset" w:sz="6" w:space="0" w:color="auto"/>
              <w:left w:val="outset" w:sz="6" w:space="0" w:color="auto"/>
              <w:bottom w:val="outset" w:sz="6" w:space="0" w:color="auto"/>
              <w:right w:val="outset" w:sz="6" w:space="0" w:color="auto"/>
            </w:tcBorders>
            <w:vAlign w:val="center"/>
          </w:tcPr>
          <w:p w14:paraId="3C8DA59B"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5</w:t>
            </w:r>
          </w:p>
        </w:tc>
        <w:tc>
          <w:tcPr>
            <w:tcW w:w="563" w:type="dxa"/>
            <w:tcBorders>
              <w:top w:val="outset" w:sz="6" w:space="0" w:color="auto"/>
              <w:left w:val="outset" w:sz="6" w:space="0" w:color="auto"/>
              <w:bottom w:val="outset" w:sz="6" w:space="0" w:color="auto"/>
              <w:right w:val="outset" w:sz="6" w:space="0" w:color="auto"/>
            </w:tcBorders>
            <w:vAlign w:val="center"/>
          </w:tcPr>
          <w:p w14:paraId="2116F8DD"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4</w:t>
            </w:r>
          </w:p>
        </w:tc>
        <w:tc>
          <w:tcPr>
            <w:tcW w:w="563" w:type="dxa"/>
            <w:tcBorders>
              <w:top w:val="outset" w:sz="6" w:space="0" w:color="auto"/>
              <w:left w:val="outset" w:sz="6" w:space="0" w:color="auto"/>
              <w:bottom w:val="outset" w:sz="6" w:space="0" w:color="auto"/>
              <w:right w:val="outset" w:sz="6" w:space="0" w:color="auto"/>
            </w:tcBorders>
            <w:vAlign w:val="center"/>
          </w:tcPr>
          <w:p w14:paraId="0955E9B1"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3</w:t>
            </w:r>
          </w:p>
        </w:tc>
        <w:tc>
          <w:tcPr>
            <w:tcW w:w="563" w:type="dxa"/>
            <w:tcBorders>
              <w:top w:val="outset" w:sz="6" w:space="0" w:color="auto"/>
              <w:left w:val="outset" w:sz="6" w:space="0" w:color="auto"/>
              <w:bottom w:val="outset" w:sz="6" w:space="0" w:color="auto"/>
              <w:right w:val="outset" w:sz="6" w:space="0" w:color="auto"/>
            </w:tcBorders>
            <w:vAlign w:val="center"/>
          </w:tcPr>
          <w:p w14:paraId="3FF2CFA4"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2</w:t>
            </w:r>
          </w:p>
        </w:tc>
        <w:tc>
          <w:tcPr>
            <w:tcW w:w="543" w:type="dxa"/>
            <w:tcBorders>
              <w:top w:val="outset" w:sz="6" w:space="0" w:color="auto"/>
              <w:left w:val="outset" w:sz="6" w:space="0" w:color="auto"/>
              <w:bottom w:val="outset" w:sz="6" w:space="0" w:color="auto"/>
              <w:right w:val="outset" w:sz="6" w:space="0" w:color="auto"/>
            </w:tcBorders>
            <w:vAlign w:val="center"/>
          </w:tcPr>
          <w:p w14:paraId="6114A416" w14:textId="77777777" w:rsidR="00D554C2" w:rsidRPr="00D554C2" w:rsidRDefault="00D554C2" w:rsidP="00D554C2">
            <w:pPr>
              <w:widowControl/>
              <w:jc w:val="center"/>
              <w:rPr>
                <w:rFonts w:ascii="宋体" w:eastAsia="宋体" w:hAnsi="宋体" w:cs="宋体"/>
                <w:szCs w:val="21"/>
              </w:rPr>
            </w:pPr>
            <w:r w:rsidRPr="00D554C2">
              <w:rPr>
                <w:rFonts w:ascii="宋体" w:eastAsia="宋体" w:hAnsi="宋体" w:cs="宋体" w:hint="eastAsia"/>
                <w:kern w:val="0"/>
                <w:szCs w:val="21"/>
                <w:lang w:bidi="ar"/>
              </w:rPr>
              <w:t>1</w:t>
            </w:r>
          </w:p>
        </w:tc>
      </w:tr>
    </w:tbl>
    <w:p w14:paraId="2BC4C488" w14:textId="77777777" w:rsidR="00D554C2" w:rsidRPr="00D554C2" w:rsidRDefault="00D554C2" w:rsidP="00D554C2">
      <w:pPr>
        <w:ind w:firstLineChars="100" w:firstLine="181"/>
        <w:rPr>
          <w:rFonts w:ascii="宋体" w:eastAsia="宋体" w:hAnsi="宋体" w:cs="宋体"/>
          <w:b/>
          <w:bCs/>
          <w:sz w:val="18"/>
          <w:szCs w:val="18"/>
        </w:rPr>
      </w:pPr>
      <w:bookmarkStart w:id="69" w:name="_Toc4314401"/>
      <w:r w:rsidRPr="00D554C2">
        <w:rPr>
          <w:rFonts w:ascii="宋体" w:eastAsia="宋体" w:hAnsi="宋体" w:cs="宋体" w:hint="eastAsia"/>
          <w:b/>
          <w:bCs/>
          <w:kern w:val="0"/>
          <w:sz w:val="18"/>
          <w:szCs w:val="18"/>
          <w:lang w:bidi="ar"/>
        </w:rPr>
        <w:t>注：依据</w:t>
      </w:r>
      <w:r w:rsidRPr="00D554C2">
        <w:rPr>
          <w:rFonts w:ascii="宋体" w:eastAsia="宋体" w:hAnsi="宋体" w:cs="宋体" w:hint="eastAsia"/>
          <w:b/>
          <w:bCs/>
          <w:sz w:val="18"/>
          <w:szCs w:val="18"/>
        </w:rPr>
        <w:t>2017年《国家学生体质健康标准》大一、大二（女生）评分标准；男生在每个标准上增加5次。</w:t>
      </w:r>
      <w:bookmarkEnd w:id="69"/>
    </w:p>
    <w:p w14:paraId="36B44FC7"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第四学期</w:t>
      </w:r>
    </w:p>
    <w:p w14:paraId="3E654BE0" w14:textId="77777777" w:rsidR="00D554C2" w:rsidRPr="00D554C2" w:rsidRDefault="00D554C2" w:rsidP="00D554C2">
      <w:pPr>
        <w:adjustRightInd w:val="0"/>
        <w:snapToGrid w:val="0"/>
        <w:spacing w:line="500" w:lineRule="exact"/>
        <w:ind w:firstLineChars="200" w:firstLine="482"/>
        <w:rPr>
          <w:rFonts w:ascii="宋体" w:eastAsia="宋体" w:hAnsi="宋体" w:cs="宋体"/>
          <w:sz w:val="24"/>
        </w:rPr>
      </w:pPr>
      <w:r w:rsidRPr="00D554C2">
        <w:rPr>
          <w:rFonts w:ascii="宋体" w:eastAsia="宋体" w:hAnsi="宋体" w:cs="宋体" w:hint="eastAsia"/>
          <w:b/>
          <w:bCs/>
          <w:color w:val="000000"/>
          <w:sz w:val="24"/>
        </w:rPr>
        <w:t>1.课程考核目标：</w:t>
      </w:r>
      <w:r w:rsidRPr="00D554C2">
        <w:rPr>
          <w:rFonts w:ascii="宋体" w:eastAsia="宋体" w:hAnsi="宋体" w:cs="宋体" w:hint="eastAsia"/>
          <w:color w:val="000000"/>
          <w:sz w:val="24"/>
        </w:rPr>
        <w:t>本课程主要考核学生对健美操基本技术、基本知识的掌握情况，</w:t>
      </w:r>
      <w:r w:rsidRPr="00D554C2">
        <w:rPr>
          <w:rFonts w:ascii="宋体" w:eastAsia="宋体" w:hAnsi="宋体" w:cs="宋体"/>
          <w:sz w:val="24"/>
        </w:rPr>
        <w:t>提高运动能力</w:t>
      </w:r>
      <w:r w:rsidRPr="00D554C2">
        <w:rPr>
          <w:rFonts w:ascii="宋体" w:eastAsia="宋体" w:hAnsi="宋体" w:cs="宋体" w:hint="eastAsia"/>
          <w:sz w:val="24"/>
        </w:rPr>
        <w:t>；对身体素质的考核，发展弹跳。</w:t>
      </w:r>
    </w:p>
    <w:p w14:paraId="4F1CAE42" w14:textId="77777777" w:rsidR="00D554C2" w:rsidRPr="00D554C2" w:rsidRDefault="00D554C2" w:rsidP="00D554C2">
      <w:pPr>
        <w:adjustRightInd w:val="0"/>
        <w:snapToGrid w:val="0"/>
        <w:spacing w:line="500" w:lineRule="exact"/>
        <w:ind w:firstLineChars="200" w:firstLine="482"/>
        <w:rPr>
          <w:rFonts w:ascii="宋体" w:eastAsia="宋体" w:hAnsi="宋体" w:cs="宋体"/>
          <w:b/>
          <w:bCs/>
          <w:color w:val="000000"/>
          <w:sz w:val="24"/>
        </w:rPr>
      </w:pPr>
      <w:r w:rsidRPr="00D554C2">
        <w:rPr>
          <w:rFonts w:ascii="宋体" w:eastAsia="宋体" w:hAnsi="宋体" w:cs="宋体" w:hint="eastAsia"/>
          <w:b/>
          <w:bCs/>
          <w:color w:val="000000"/>
          <w:sz w:val="24"/>
        </w:rPr>
        <w:t>2.课程考核的方式:</w:t>
      </w:r>
    </w:p>
    <w:p w14:paraId="1A560AAC" w14:textId="77777777" w:rsidR="00D554C2" w:rsidRPr="00D554C2" w:rsidRDefault="00D554C2" w:rsidP="00D554C2">
      <w:pPr>
        <w:adjustRightInd w:val="0"/>
        <w:snapToGrid w:val="0"/>
        <w:spacing w:line="500" w:lineRule="exact"/>
        <w:ind w:firstLineChars="200" w:firstLine="480"/>
        <w:rPr>
          <w:rFonts w:ascii="宋体" w:eastAsia="宋体" w:hAnsi="宋体" w:cs="宋体"/>
          <w:color w:val="000000"/>
          <w:sz w:val="24"/>
        </w:rPr>
      </w:pPr>
      <w:r w:rsidRPr="00D554C2">
        <w:rPr>
          <w:rFonts w:ascii="宋体" w:eastAsia="宋体" w:hAnsi="宋体" w:cs="宋体" w:hint="eastAsia"/>
          <w:color w:val="000000"/>
          <w:sz w:val="24"/>
        </w:rPr>
        <w:t>①健美操套路的技术评定：分组、跟音乐完成考核动作。</w:t>
      </w:r>
    </w:p>
    <w:p w14:paraId="71E42327" w14:textId="77777777" w:rsidR="00D554C2" w:rsidRPr="00D554C2" w:rsidRDefault="00D554C2" w:rsidP="00D554C2">
      <w:pPr>
        <w:adjustRightInd w:val="0"/>
        <w:snapToGrid w:val="0"/>
        <w:spacing w:line="500" w:lineRule="exact"/>
        <w:ind w:firstLineChars="200" w:firstLine="480"/>
        <w:rPr>
          <w:rFonts w:ascii="宋体" w:eastAsia="宋体" w:hAnsi="宋体" w:cs="宋体"/>
          <w:color w:val="000000"/>
          <w:sz w:val="24"/>
        </w:rPr>
      </w:pPr>
      <w:r w:rsidRPr="00D554C2">
        <w:rPr>
          <w:rFonts w:ascii="宋体" w:eastAsia="宋体" w:hAnsi="宋体" w:cs="宋体" w:hint="eastAsia"/>
          <w:color w:val="000000"/>
          <w:sz w:val="24"/>
        </w:rPr>
        <w:t>②身体素质的测试：两人一组，一人测试，一人计数，计算1分钟的次数。</w:t>
      </w:r>
    </w:p>
    <w:p w14:paraId="5825719F" w14:textId="77777777" w:rsidR="00D554C2" w:rsidRPr="00D554C2" w:rsidRDefault="00D554C2" w:rsidP="00D554C2">
      <w:pPr>
        <w:spacing w:line="500" w:lineRule="exact"/>
        <w:ind w:leftChars="200" w:left="420"/>
        <w:rPr>
          <w:rFonts w:ascii="宋体" w:eastAsia="宋体" w:hAnsi="宋体" w:cs="宋体"/>
          <w:b/>
          <w:bCs/>
          <w:color w:val="000000"/>
          <w:sz w:val="24"/>
        </w:rPr>
      </w:pPr>
      <w:r w:rsidRPr="00D554C2">
        <w:rPr>
          <w:rFonts w:ascii="宋体" w:eastAsia="宋体" w:hAnsi="宋体" w:cs="宋体" w:hint="eastAsia"/>
          <w:b/>
          <w:bCs/>
          <w:color w:val="000000"/>
          <w:sz w:val="24"/>
        </w:rPr>
        <w:t>3.课程考核的内容和成绩构成及分值：</w:t>
      </w:r>
    </w:p>
    <w:p w14:paraId="2F84D4AD" w14:textId="77777777" w:rsidR="00D554C2" w:rsidRPr="00D554C2" w:rsidRDefault="00D554C2" w:rsidP="00D554C2">
      <w:pPr>
        <w:spacing w:line="500" w:lineRule="exact"/>
        <w:ind w:firstLineChars="200" w:firstLine="480"/>
        <w:rPr>
          <w:rFonts w:ascii="宋体" w:eastAsia="宋体" w:hAnsi="宋体" w:cs="宋体"/>
          <w:sz w:val="24"/>
        </w:rPr>
      </w:pPr>
      <w:r w:rsidRPr="00D554C2">
        <w:rPr>
          <w:rFonts w:ascii="宋体" w:eastAsia="宋体" w:hAnsi="宋体" w:cs="宋体" w:hint="eastAsia"/>
          <w:sz w:val="24"/>
        </w:rPr>
        <w:t>《健美操3》课程成绩由期末考试成绩、期中考试成绩和平时成绩三部分构成，具体考核内容和分值比例情况见（见表2）</w:t>
      </w:r>
    </w:p>
    <w:tbl>
      <w:tblPr>
        <w:tblpPr w:leftFromText="180" w:rightFromText="180" w:vertAnchor="text" w:horzAnchor="page" w:tblpX="1915" w:tblpY="62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7"/>
        <w:gridCol w:w="1221"/>
        <w:gridCol w:w="1960"/>
        <w:gridCol w:w="1880"/>
        <w:gridCol w:w="1734"/>
      </w:tblGrid>
      <w:tr w:rsidR="00D554C2" w:rsidRPr="00D554C2" w14:paraId="23FE7D2C" w14:textId="77777777" w:rsidTr="009B4CAE">
        <w:trPr>
          <w:trHeight w:val="464"/>
        </w:trPr>
        <w:tc>
          <w:tcPr>
            <w:tcW w:w="1677" w:type="dxa"/>
            <w:vMerge w:val="restart"/>
            <w:tcBorders>
              <w:tl2br w:val="single" w:sz="4" w:space="0" w:color="auto"/>
            </w:tcBorders>
          </w:tcPr>
          <w:p w14:paraId="15DFCA9D" w14:textId="77777777" w:rsidR="00D554C2" w:rsidRPr="00D554C2" w:rsidRDefault="00D554C2" w:rsidP="00D554C2">
            <w:pPr>
              <w:snapToGrid w:val="0"/>
              <w:spacing w:line="240" w:lineRule="atLeast"/>
              <w:jc w:val="center"/>
              <w:rPr>
                <w:rFonts w:ascii="宋体" w:eastAsia="宋体" w:hAnsi="宋体" w:cs="宋体"/>
                <w:szCs w:val="21"/>
              </w:rPr>
            </w:pPr>
            <w:r w:rsidRPr="00D554C2">
              <w:rPr>
                <w:rFonts w:ascii="宋体" w:eastAsia="宋体" w:hAnsi="宋体" w:cs="宋体" w:hint="eastAsia"/>
                <w:szCs w:val="21"/>
              </w:rPr>
              <w:t xml:space="preserve">    成绩构成</w:t>
            </w:r>
          </w:p>
          <w:p w14:paraId="456CB3BD" w14:textId="77777777" w:rsidR="00D554C2" w:rsidRPr="00D554C2" w:rsidRDefault="00D554C2" w:rsidP="00D554C2">
            <w:pPr>
              <w:spacing w:line="240" w:lineRule="atLeast"/>
              <w:jc w:val="center"/>
              <w:rPr>
                <w:rFonts w:ascii="宋体" w:eastAsia="宋体" w:hAnsi="宋体" w:cs="宋体"/>
                <w:szCs w:val="21"/>
              </w:rPr>
            </w:pPr>
          </w:p>
          <w:p w14:paraId="7638372B" w14:textId="77777777" w:rsidR="00D554C2" w:rsidRPr="00D554C2" w:rsidRDefault="00D554C2" w:rsidP="00D554C2">
            <w:pPr>
              <w:spacing w:line="240" w:lineRule="atLeast"/>
              <w:ind w:firstLine="233"/>
              <w:rPr>
                <w:rFonts w:ascii="宋体" w:eastAsia="宋体" w:hAnsi="宋体" w:cs="宋体"/>
                <w:szCs w:val="21"/>
              </w:rPr>
            </w:pPr>
            <w:r w:rsidRPr="00D554C2">
              <w:rPr>
                <w:rFonts w:ascii="宋体" w:eastAsia="宋体" w:hAnsi="宋体" w:cs="宋体" w:hint="eastAsia"/>
                <w:szCs w:val="21"/>
              </w:rPr>
              <w:t>内容</w:t>
            </w:r>
          </w:p>
        </w:tc>
        <w:tc>
          <w:tcPr>
            <w:tcW w:w="1221" w:type="dxa"/>
            <w:vMerge w:val="restart"/>
            <w:vAlign w:val="center"/>
          </w:tcPr>
          <w:p w14:paraId="65A960D5"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期中成绩（20%）</w:t>
            </w:r>
          </w:p>
        </w:tc>
        <w:tc>
          <w:tcPr>
            <w:tcW w:w="3840" w:type="dxa"/>
            <w:gridSpan w:val="2"/>
          </w:tcPr>
          <w:p w14:paraId="2DF4C118" w14:textId="77777777" w:rsidR="00D554C2" w:rsidRPr="00D554C2" w:rsidRDefault="00D554C2" w:rsidP="00D554C2">
            <w:pPr>
              <w:spacing w:line="240" w:lineRule="atLeast"/>
              <w:ind w:firstLineChars="500" w:firstLine="1050"/>
              <w:rPr>
                <w:rFonts w:ascii="宋体" w:eastAsia="宋体" w:hAnsi="宋体" w:cs="宋体"/>
                <w:szCs w:val="21"/>
              </w:rPr>
            </w:pPr>
            <w:r w:rsidRPr="00D554C2">
              <w:rPr>
                <w:rFonts w:ascii="宋体" w:eastAsia="宋体" w:hAnsi="宋体" w:cs="宋体" w:hint="eastAsia"/>
                <w:szCs w:val="21"/>
              </w:rPr>
              <w:t>期末成绩（70%）</w:t>
            </w:r>
          </w:p>
        </w:tc>
        <w:tc>
          <w:tcPr>
            <w:tcW w:w="1734" w:type="dxa"/>
            <w:vMerge w:val="restart"/>
            <w:vAlign w:val="center"/>
          </w:tcPr>
          <w:p w14:paraId="21A076E9"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平时成绩（10%）</w:t>
            </w:r>
          </w:p>
        </w:tc>
      </w:tr>
      <w:tr w:rsidR="00D554C2" w:rsidRPr="00D554C2" w14:paraId="631029A3" w14:textId="77777777" w:rsidTr="009B4CAE">
        <w:trPr>
          <w:trHeight w:val="370"/>
        </w:trPr>
        <w:tc>
          <w:tcPr>
            <w:tcW w:w="1677" w:type="dxa"/>
            <w:vMerge/>
          </w:tcPr>
          <w:p w14:paraId="7514C11F" w14:textId="77777777" w:rsidR="00D554C2" w:rsidRPr="00D554C2" w:rsidRDefault="00D554C2" w:rsidP="00D554C2">
            <w:pPr>
              <w:spacing w:line="240" w:lineRule="atLeast"/>
              <w:rPr>
                <w:rFonts w:ascii="宋体" w:eastAsia="宋体" w:hAnsi="宋体" w:cs="宋体"/>
                <w:szCs w:val="21"/>
              </w:rPr>
            </w:pPr>
          </w:p>
        </w:tc>
        <w:tc>
          <w:tcPr>
            <w:tcW w:w="1221" w:type="dxa"/>
            <w:vMerge/>
          </w:tcPr>
          <w:p w14:paraId="3841AEAF" w14:textId="77777777" w:rsidR="00D554C2" w:rsidRPr="00D554C2" w:rsidRDefault="00D554C2" w:rsidP="00D554C2">
            <w:pPr>
              <w:spacing w:line="240" w:lineRule="atLeast"/>
              <w:rPr>
                <w:rFonts w:ascii="宋体" w:eastAsia="宋体" w:hAnsi="宋体" w:cs="宋体"/>
                <w:szCs w:val="21"/>
              </w:rPr>
            </w:pPr>
          </w:p>
        </w:tc>
        <w:tc>
          <w:tcPr>
            <w:tcW w:w="1960" w:type="dxa"/>
          </w:tcPr>
          <w:p w14:paraId="4AD7431E" w14:textId="77777777" w:rsidR="00D554C2" w:rsidRPr="00D554C2" w:rsidRDefault="00D554C2" w:rsidP="00D554C2">
            <w:pPr>
              <w:spacing w:line="240" w:lineRule="atLeast"/>
              <w:rPr>
                <w:rFonts w:ascii="宋体" w:eastAsia="宋体" w:hAnsi="宋体" w:cs="宋体"/>
                <w:szCs w:val="21"/>
              </w:rPr>
            </w:pPr>
            <w:r w:rsidRPr="00D554C2">
              <w:rPr>
                <w:rFonts w:ascii="宋体" w:eastAsia="宋体" w:hAnsi="宋体" w:cs="宋体" w:hint="eastAsia"/>
                <w:szCs w:val="21"/>
              </w:rPr>
              <w:t>健美操套路（60%）</w:t>
            </w:r>
          </w:p>
        </w:tc>
        <w:tc>
          <w:tcPr>
            <w:tcW w:w="1880" w:type="dxa"/>
          </w:tcPr>
          <w:p w14:paraId="3F36C40B" w14:textId="77777777" w:rsidR="00D554C2" w:rsidRPr="00D554C2" w:rsidRDefault="00D554C2" w:rsidP="00D554C2">
            <w:pPr>
              <w:spacing w:line="240" w:lineRule="atLeast"/>
              <w:rPr>
                <w:rFonts w:ascii="宋体" w:eastAsia="宋体" w:hAnsi="宋体" w:cs="宋体"/>
                <w:szCs w:val="21"/>
              </w:rPr>
            </w:pPr>
            <w:r w:rsidRPr="00D554C2">
              <w:rPr>
                <w:rFonts w:ascii="宋体" w:eastAsia="宋体" w:hAnsi="宋体" w:cs="宋体" w:hint="eastAsia"/>
                <w:szCs w:val="21"/>
              </w:rPr>
              <w:t>身体素质（10%）</w:t>
            </w:r>
          </w:p>
        </w:tc>
        <w:tc>
          <w:tcPr>
            <w:tcW w:w="1734" w:type="dxa"/>
            <w:vMerge/>
          </w:tcPr>
          <w:p w14:paraId="330BB449" w14:textId="77777777" w:rsidR="00D554C2" w:rsidRPr="00D554C2" w:rsidRDefault="00D554C2" w:rsidP="00D554C2">
            <w:pPr>
              <w:spacing w:line="240" w:lineRule="atLeast"/>
              <w:rPr>
                <w:rFonts w:ascii="宋体" w:eastAsia="宋体" w:hAnsi="宋体" w:cs="宋体"/>
                <w:szCs w:val="21"/>
              </w:rPr>
            </w:pPr>
          </w:p>
        </w:tc>
      </w:tr>
      <w:tr w:rsidR="00D554C2" w:rsidRPr="00D554C2" w14:paraId="205BA5FB" w14:textId="77777777" w:rsidTr="009B4CAE">
        <w:trPr>
          <w:trHeight w:val="800"/>
        </w:trPr>
        <w:tc>
          <w:tcPr>
            <w:tcW w:w="1677" w:type="dxa"/>
            <w:vAlign w:val="center"/>
          </w:tcPr>
          <w:p w14:paraId="7E1A393D"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健美操3</w:t>
            </w:r>
          </w:p>
        </w:tc>
        <w:tc>
          <w:tcPr>
            <w:tcW w:w="1221" w:type="dxa"/>
            <w:vAlign w:val="center"/>
          </w:tcPr>
          <w:p w14:paraId="4F12CFFF"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健美操套路评定</w:t>
            </w:r>
          </w:p>
        </w:tc>
        <w:tc>
          <w:tcPr>
            <w:tcW w:w="1960" w:type="dxa"/>
            <w:vAlign w:val="center"/>
          </w:tcPr>
          <w:p w14:paraId="1FC246C6"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大众锻炼标准套路</w:t>
            </w:r>
            <w:proofErr w:type="gramStart"/>
            <w:r w:rsidRPr="00D554C2">
              <w:rPr>
                <w:rFonts w:ascii="宋体" w:eastAsia="宋体" w:hAnsi="宋体" w:cs="宋体" w:hint="eastAsia"/>
                <w:szCs w:val="21"/>
              </w:rPr>
              <w:t>一</w:t>
            </w:r>
            <w:proofErr w:type="gramEnd"/>
            <w:r w:rsidRPr="00D554C2">
              <w:rPr>
                <w:rFonts w:ascii="宋体" w:eastAsia="宋体" w:hAnsi="宋体" w:cs="宋体" w:hint="eastAsia"/>
                <w:szCs w:val="21"/>
              </w:rPr>
              <w:t>评定</w:t>
            </w:r>
          </w:p>
        </w:tc>
        <w:tc>
          <w:tcPr>
            <w:tcW w:w="1880" w:type="dxa"/>
            <w:vAlign w:val="center"/>
          </w:tcPr>
          <w:p w14:paraId="7B21EB4C" w14:textId="77777777" w:rsidR="00D554C2" w:rsidRPr="00D554C2" w:rsidRDefault="00D554C2" w:rsidP="00D554C2">
            <w:pPr>
              <w:spacing w:line="240" w:lineRule="atLeast"/>
              <w:jc w:val="center"/>
              <w:rPr>
                <w:rFonts w:ascii="宋体" w:eastAsia="宋体" w:hAnsi="宋体" w:cs="宋体"/>
                <w:szCs w:val="21"/>
              </w:rPr>
            </w:pPr>
            <w:r w:rsidRPr="00D554C2">
              <w:rPr>
                <w:rFonts w:ascii="宋体" w:eastAsia="宋体" w:hAnsi="宋体" w:cs="宋体" w:hint="eastAsia"/>
                <w:szCs w:val="21"/>
              </w:rPr>
              <w:t>一分钟跳绳</w:t>
            </w:r>
          </w:p>
        </w:tc>
        <w:tc>
          <w:tcPr>
            <w:tcW w:w="1734" w:type="dxa"/>
            <w:vAlign w:val="center"/>
          </w:tcPr>
          <w:p w14:paraId="5F4CCCDA" w14:textId="77777777" w:rsidR="00D554C2" w:rsidRPr="00D554C2" w:rsidRDefault="00D554C2" w:rsidP="00D554C2">
            <w:pPr>
              <w:spacing w:line="240" w:lineRule="atLeast"/>
              <w:rPr>
                <w:rFonts w:ascii="宋体" w:eastAsia="宋体" w:hAnsi="宋体" w:cs="宋体"/>
                <w:szCs w:val="21"/>
              </w:rPr>
            </w:pPr>
            <w:r w:rsidRPr="00D554C2">
              <w:rPr>
                <w:rFonts w:ascii="宋体" w:eastAsia="宋体" w:hAnsi="宋体" w:cs="宋体" w:hint="eastAsia"/>
                <w:bCs/>
                <w:color w:val="000000"/>
                <w:szCs w:val="21"/>
              </w:rPr>
              <w:t>根据学生平时作业准备活动、上课学习态度、考勤等情况给分。</w:t>
            </w:r>
          </w:p>
        </w:tc>
      </w:tr>
    </w:tbl>
    <w:p w14:paraId="76FB5F67" w14:textId="77777777" w:rsidR="00D554C2" w:rsidRPr="00D554C2" w:rsidRDefault="00D554C2" w:rsidP="00D554C2">
      <w:pPr>
        <w:spacing w:line="500" w:lineRule="exact"/>
        <w:jc w:val="center"/>
        <w:rPr>
          <w:rFonts w:ascii="宋体" w:eastAsia="宋体" w:hAnsi="宋体" w:cs="宋体"/>
          <w:sz w:val="24"/>
        </w:rPr>
      </w:pPr>
      <w:r w:rsidRPr="00D554C2">
        <w:rPr>
          <w:rFonts w:ascii="宋体" w:eastAsia="宋体" w:hAnsi="宋体" w:cs="宋体" w:hint="eastAsia"/>
          <w:sz w:val="24"/>
        </w:rPr>
        <w:t>表10 《健美操3》课程考核内容和成绩构成</w:t>
      </w:r>
    </w:p>
    <w:p w14:paraId="2487EEBA" w14:textId="77777777" w:rsidR="00D554C2" w:rsidRPr="00D554C2" w:rsidRDefault="00D554C2" w:rsidP="00D554C2">
      <w:pPr>
        <w:spacing w:line="500" w:lineRule="exact"/>
        <w:ind w:firstLineChars="200" w:firstLine="482"/>
        <w:jc w:val="left"/>
        <w:rPr>
          <w:rFonts w:ascii="宋体" w:eastAsia="宋体" w:hAnsi="宋体" w:cs="宋体"/>
          <w:bCs/>
          <w:color w:val="000000"/>
          <w:sz w:val="24"/>
        </w:rPr>
      </w:pPr>
      <w:r w:rsidRPr="00D554C2">
        <w:rPr>
          <w:rFonts w:ascii="宋体" w:eastAsia="宋体" w:hAnsi="宋体" w:cs="宋体" w:hint="eastAsia"/>
          <w:b/>
          <w:bCs/>
          <w:color w:val="000000"/>
          <w:sz w:val="24"/>
        </w:rPr>
        <w:t>4.评分记分原则::</w:t>
      </w:r>
      <w:r w:rsidRPr="00D554C2">
        <w:rPr>
          <w:rFonts w:ascii="宋体" w:eastAsia="宋体" w:hAnsi="宋体" w:cs="宋体" w:hint="eastAsia"/>
          <w:color w:val="000000"/>
          <w:sz w:val="24"/>
        </w:rPr>
        <w:t>（见表11—表12）</w:t>
      </w:r>
    </w:p>
    <w:p w14:paraId="0DDE163D" w14:textId="77777777" w:rsidR="00D554C2" w:rsidRPr="00D554C2" w:rsidRDefault="00D554C2" w:rsidP="00D554C2">
      <w:pPr>
        <w:spacing w:line="500" w:lineRule="exact"/>
        <w:jc w:val="center"/>
        <w:rPr>
          <w:rFonts w:ascii="宋体" w:eastAsia="宋体" w:hAnsi="宋体" w:cs="宋体"/>
          <w:bCs/>
          <w:color w:val="000000"/>
          <w:sz w:val="24"/>
        </w:rPr>
      </w:pPr>
      <w:r w:rsidRPr="00D554C2">
        <w:rPr>
          <w:rFonts w:ascii="宋体" w:eastAsia="宋体" w:hAnsi="宋体" w:cs="宋体" w:hint="eastAsia"/>
          <w:bCs/>
          <w:color w:val="000000"/>
          <w:sz w:val="24"/>
        </w:rPr>
        <w:t>表11  健美操技术评分标准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3"/>
        <w:gridCol w:w="10"/>
        <w:gridCol w:w="7042"/>
      </w:tblGrid>
      <w:tr w:rsidR="00D554C2" w:rsidRPr="00D554C2" w14:paraId="5BEFEC85" w14:textId="77777777" w:rsidTr="009B4CAE">
        <w:trPr>
          <w:trHeight w:val="453"/>
        </w:trPr>
        <w:tc>
          <w:tcPr>
            <w:tcW w:w="1463" w:type="dxa"/>
            <w:gridSpan w:val="2"/>
            <w:tcBorders>
              <w:top w:val="single" w:sz="4" w:space="0" w:color="auto"/>
              <w:left w:val="single" w:sz="4" w:space="0" w:color="auto"/>
              <w:bottom w:val="single" w:sz="4" w:space="0" w:color="auto"/>
              <w:right w:val="single" w:sz="4" w:space="0" w:color="auto"/>
            </w:tcBorders>
            <w:vAlign w:val="center"/>
          </w:tcPr>
          <w:p w14:paraId="1C07CC46" w14:textId="77777777" w:rsidR="00D554C2" w:rsidRPr="00D554C2" w:rsidRDefault="00D554C2" w:rsidP="00D554C2">
            <w:pPr>
              <w:adjustRightInd w:val="0"/>
              <w:spacing w:line="240" w:lineRule="atLeast"/>
              <w:jc w:val="center"/>
              <w:rPr>
                <w:rFonts w:ascii="宋体" w:eastAsia="宋体" w:hAnsi="宋体" w:cs="宋体"/>
                <w:szCs w:val="21"/>
              </w:rPr>
            </w:pPr>
            <w:r w:rsidRPr="00D554C2">
              <w:rPr>
                <w:rFonts w:ascii="宋体" w:eastAsia="宋体" w:hAnsi="宋体" w:cs="宋体" w:hint="eastAsia"/>
                <w:color w:val="000000"/>
                <w:kern w:val="0"/>
                <w:szCs w:val="21"/>
                <w:lang w:val="zh-CN"/>
              </w:rPr>
              <w:lastRenderedPageBreak/>
              <w:t>分  值</w:t>
            </w:r>
          </w:p>
        </w:tc>
        <w:tc>
          <w:tcPr>
            <w:tcW w:w="7042" w:type="dxa"/>
            <w:tcBorders>
              <w:top w:val="single" w:sz="4" w:space="0" w:color="auto"/>
              <w:left w:val="single" w:sz="4" w:space="0" w:color="auto"/>
              <w:bottom w:val="single" w:sz="4" w:space="0" w:color="auto"/>
              <w:right w:val="single" w:sz="4" w:space="0" w:color="auto"/>
            </w:tcBorders>
            <w:vAlign w:val="center"/>
          </w:tcPr>
          <w:p w14:paraId="7234500D" w14:textId="77777777" w:rsidR="00D554C2" w:rsidRPr="00D554C2" w:rsidRDefault="00D554C2" w:rsidP="00D554C2">
            <w:pPr>
              <w:adjustRightInd w:val="0"/>
              <w:spacing w:line="240" w:lineRule="atLeast"/>
              <w:jc w:val="center"/>
              <w:rPr>
                <w:rFonts w:ascii="宋体" w:eastAsia="宋体" w:hAnsi="宋体" w:cs="宋体"/>
                <w:szCs w:val="21"/>
              </w:rPr>
            </w:pPr>
            <w:r w:rsidRPr="00D554C2">
              <w:rPr>
                <w:rFonts w:ascii="宋体" w:eastAsia="宋体" w:hAnsi="宋体" w:cs="宋体" w:hint="eastAsia"/>
                <w:color w:val="000000"/>
                <w:kern w:val="0"/>
                <w:szCs w:val="21"/>
                <w:lang w:val="zh-CN"/>
              </w:rPr>
              <w:t>技 评 标 准</w:t>
            </w:r>
          </w:p>
        </w:tc>
      </w:tr>
      <w:tr w:rsidR="00D554C2" w:rsidRPr="00D554C2" w14:paraId="4F5BC59A" w14:textId="77777777" w:rsidTr="009B4CAE">
        <w:trPr>
          <w:trHeight w:val="80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1E519671" w14:textId="77777777" w:rsidR="00D554C2" w:rsidRPr="00D554C2" w:rsidRDefault="00D554C2" w:rsidP="00D554C2">
            <w:pPr>
              <w:adjustRightInd w:val="0"/>
              <w:spacing w:line="240" w:lineRule="atLeast"/>
              <w:ind w:left="1575" w:hangingChars="750" w:hanging="1575"/>
              <w:jc w:val="center"/>
              <w:rPr>
                <w:rFonts w:ascii="宋体" w:eastAsia="宋体" w:hAnsi="宋体" w:cs="宋体"/>
                <w:szCs w:val="21"/>
              </w:rPr>
            </w:pPr>
            <w:r w:rsidRPr="00D554C2">
              <w:rPr>
                <w:rFonts w:ascii="宋体" w:eastAsia="宋体" w:hAnsi="宋体" w:cs="宋体" w:hint="eastAsia"/>
                <w:color w:val="000000"/>
                <w:kern w:val="0"/>
                <w:szCs w:val="21"/>
                <w:lang w:val="zh-CN"/>
              </w:rPr>
              <w:t>90—100分</w:t>
            </w:r>
          </w:p>
        </w:tc>
        <w:tc>
          <w:tcPr>
            <w:tcW w:w="7042" w:type="dxa"/>
            <w:tcBorders>
              <w:top w:val="single" w:sz="4" w:space="0" w:color="auto"/>
              <w:left w:val="single" w:sz="4" w:space="0" w:color="auto"/>
              <w:bottom w:val="single" w:sz="4" w:space="0" w:color="auto"/>
              <w:right w:val="single" w:sz="4" w:space="0" w:color="auto"/>
            </w:tcBorders>
            <w:vAlign w:val="center"/>
          </w:tcPr>
          <w:p w14:paraId="3B0524A6"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能独立完成</w:t>
            </w:r>
            <w:r w:rsidRPr="00D554C2">
              <w:rPr>
                <w:rFonts w:ascii="宋体" w:eastAsia="宋体" w:hAnsi="宋体" w:cs="宋体" w:hint="eastAsia"/>
                <w:color w:val="000000"/>
                <w:kern w:val="0"/>
                <w:szCs w:val="21"/>
              </w:rPr>
              <w:t>整套动作</w:t>
            </w:r>
            <w:r w:rsidRPr="00D554C2">
              <w:rPr>
                <w:rFonts w:ascii="宋体" w:eastAsia="宋体" w:hAnsi="宋体" w:cs="宋体" w:hint="eastAsia"/>
                <w:color w:val="000000"/>
                <w:kern w:val="0"/>
                <w:szCs w:val="21"/>
                <w:lang w:val="zh-CN"/>
              </w:rPr>
              <w:t>，动作熟练、准确、有力度、节奏感强；动作与音乐配合协调，具有较强表现力。</w:t>
            </w:r>
          </w:p>
        </w:tc>
      </w:tr>
      <w:tr w:rsidR="00D554C2" w:rsidRPr="00D554C2" w14:paraId="48887335" w14:textId="77777777" w:rsidTr="009B4CAE">
        <w:trPr>
          <w:trHeight w:val="80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0EB881DC" w14:textId="77777777" w:rsidR="00D554C2" w:rsidRPr="00D554C2" w:rsidRDefault="00D554C2" w:rsidP="00D554C2">
            <w:pPr>
              <w:adjustRightInd w:val="0"/>
              <w:spacing w:line="240" w:lineRule="atLeast"/>
              <w:ind w:left="1575" w:hangingChars="750" w:hanging="1575"/>
              <w:jc w:val="center"/>
              <w:rPr>
                <w:rFonts w:ascii="宋体" w:eastAsia="宋体" w:hAnsi="宋体" w:cs="宋体"/>
                <w:szCs w:val="21"/>
              </w:rPr>
            </w:pPr>
            <w:r w:rsidRPr="00D554C2">
              <w:rPr>
                <w:rFonts w:ascii="宋体" w:eastAsia="宋体" w:hAnsi="宋体" w:cs="宋体" w:hint="eastAsia"/>
                <w:color w:val="000000"/>
                <w:kern w:val="0"/>
                <w:szCs w:val="21"/>
                <w:lang w:val="zh-CN"/>
              </w:rPr>
              <w:t>80—89分</w:t>
            </w:r>
          </w:p>
        </w:tc>
        <w:tc>
          <w:tcPr>
            <w:tcW w:w="7042" w:type="dxa"/>
            <w:tcBorders>
              <w:top w:val="single" w:sz="4" w:space="0" w:color="auto"/>
              <w:left w:val="single" w:sz="4" w:space="0" w:color="auto"/>
              <w:bottom w:val="single" w:sz="4" w:space="0" w:color="auto"/>
              <w:right w:val="single" w:sz="4" w:space="0" w:color="auto"/>
            </w:tcBorders>
            <w:vAlign w:val="center"/>
          </w:tcPr>
          <w:p w14:paraId="575A9163"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能独立完成</w:t>
            </w:r>
            <w:r w:rsidRPr="00D554C2">
              <w:rPr>
                <w:rFonts w:ascii="宋体" w:eastAsia="宋体" w:hAnsi="宋体" w:cs="宋体" w:hint="eastAsia"/>
                <w:color w:val="000000"/>
                <w:kern w:val="0"/>
                <w:szCs w:val="21"/>
              </w:rPr>
              <w:t>成套动作</w:t>
            </w:r>
            <w:r w:rsidRPr="00D554C2">
              <w:rPr>
                <w:rFonts w:ascii="宋体" w:eastAsia="宋体" w:hAnsi="宋体" w:cs="宋体" w:hint="eastAsia"/>
                <w:color w:val="000000"/>
                <w:kern w:val="0"/>
                <w:szCs w:val="21"/>
                <w:lang w:val="zh-CN"/>
              </w:rPr>
              <w:t>，动作熟练，动作较准确、较有力度、有节奏感；动作与音乐配合协调，具有一定表现力。</w:t>
            </w:r>
          </w:p>
        </w:tc>
      </w:tr>
      <w:tr w:rsidR="00D554C2" w:rsidRPr="00D554C2" w14:paraId="4943A840" w14:textId="77777777" w:rsidTr="009B4CAE">
        <w:trPr>
          <w:trHeight w:val="47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35B895D7" w14:textId="77777777" w:rsidR="00D554C2" w:rsidRPr="00D554C2" w:rsidRDefault="00D554C2" w:rsidP="00D554C2">
            <w:pPr>
              <w:adjustRightInd w:val="0"/>
              <w:spacing w:line="240" w:lineRule="atLeast"/>
              <w:ind w:left="1575" w:hangingChars="750" w:hanging="1575"/>
              <w:jc w:val="center"/>
              <w:rPr>
                <w:rFonts w:ascii="宋体" w:eastAsia="宋体" w:hAnsi="宋体" w:cs="宋体"/>
                <w:szCs w:val="21"/>
              </w:rPr>
            </w:pPr>
            <w:r w:rsidRPr="00D554C2">
              <w:rPr>
                <w:rFonts w:ascii="宋体" w:eastAsia="宋体" w:hAnsi="宋体" w:cs="宋体" w:hint="eastAsia"/>
                <w:color w:val="000000"/>
                <w:kern w:val="0"/>
                <w:szCs w:val="21"/>
                <w:lang w:val="zh-CN"/>
              </w:rPr>
              <w:t>70—79分</w:t>
            </w:r>
          </w:p>
        </w:tc>
        <w:tc>
          <w:tcPr>
            <w:tcW w:w="7042" w:type="dxa"/>
            <w:tcBorders>
              <w:top w:val="single" w:sz="4" w:space="0" w:color="auto"/>
              <w:left w:val="single" w:sz="4" w:space="0" w:color="auto"/>
              <w:bottom w:val="single" w:sz="4" w:space="0" w:color="auto"/>
              <w:right w:val="single" w:sz="4" w:space="0" w:color="auto"/>
            </w:tcBorders>
            <w:vAlign w:val="center"/>
          </w:tcPr>
          <w:p w14:paraId="05592DEE"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能独立完成</w:t>
            </w:r>
            <w:r w:rsidRPr="00D554C2">
              <w:rPr>
                <w:rFonts w:ascii="宋体" w:eastAsia="宋体" w:hAnsi="宋体" w:cs="宋体" w:hint="eastAsia"/>
                <w:color w:val="000000"/>
                <w:kern w:val="0"/>
                <w:szCs w:val="21"/>
              </w:rPr>
              <w:t>整套动作</w:t>
            </w:r>
            <w:r w:rsidRPr="00D554C2">
              <w:rPr>
                <w:rFonts w:ascii="宋体" w:eastAsia="宋体" w:hAnsi="宋体" w:cs="宋体" w:hint="eastAsia"/>
                <w:color w:val="000000"/>
                <w:kern w:val="0"/>
                <w:szCs w:val="21"/>
                <w:lang w:val="zh-CN"/>
              </w:rPr>
              <w:t>，动作基本准确、协调，节奏感较强，表现力一般。</w:t>
            </w:r>
          </w:p>
        </w:tc>
      </w:tr>
      <w:tr w:rsidR="00D554C2" w:rsidRPr="00D554C2" w14:paraId="2CCDE68C" w14:textId="77777777" w:rsidTr="009B4CAE">
        <w:trPr>
          <w:trHeight w:val="47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439A8035" w14:textId="77777777" w:rsidR="00D554C2" w:rsidRPr="00D554C2" w:rsidRDefault="00D554C2" w:rsidP="00D554C2">
            <w:pPr>
              <w:adjustRightInd w:val="0"/>
              <w:spacing w:line="240" w:lineRule="atLeast"/>
              <w:ind w:left="1575" w:hangingChars="750" w:hanging="1575"/>
              <w:jc w:val="center"/>
              <w:rPr>
                <w:rFonts w:ascii="宋体" w:eastAsia="宋体" w:hAnsi="宋体" w:cs="宋体"/>
                <w:szCs w:val="21"/>
              </w:rPr>
            </w:pPr>
            <w:r w:rsidRPr="00D554C2">
              <w:rPr>
                <w:rFonts w:ascii="宋体" w:eastAsia="宋体" w:hAnsi="宋体" w:cs="宋体" w:hint="eastAsia"/>
                <w:color w:val="000000"/>
                <w:kern w:val="0"/>
                <w:szCs w:val="21"/>
                <w:lang w:val="zh-CN"/>
              </w:rPr>
              <w:t>60—69分</w:t>
            </w:r>
          </w:p>
        </w:tc>
        <w:tc>
          <w:tcPr>
            <w:tcW w:w="7042" w:type="dxa"/>
            <w:tcBorders>
              <w:top w:val="single" w:sz="4" w:space="0" w:color="auto"/>
              <w:left w:val="single" w:sz="4" w:space="0" w:color="auto"/>
              <w:bottom w:val="single" w:sz="4" w:space="0" w:color="auto"/>
              <w:right w:val="single" w:sz="4" w:space="0" w:color="auto"/>
            </w:tcBorders>
            <w:vAlign w:val="center"/>
          </w:tcPr>
          <w:p w14:paraId="19354CBE"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动作基本正确，动作独立完成，与音乐基本合拍。</w:t>
            </w:r>
          </w:p>
        </w:tc>
      </w:tr>
      <w:tr w:rsidR="00D554C2" w:rsidRPr="00D554C2" w14:paraId="66DFC78F" w14:textId="77777777" w:rsidTr="009B4CAE">
        <w:trPr>
          <w:trHeight w:val="47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7212544F" w14:textId="77777777" w:rsidR="00D554C2" w:rsidRPr="00D554C2" w:rsidRDefault="00D554C2" w:rsidP="00D554C2">
            <w:pPr>
              <w:adjustRightInd w:val="0"/>
              <w:spacing w:line="240" w:lineRule="atLeast"/>
              <w:jc w:val="center"/>
              <w:rPr>
                <w:rFonts w:ascii="宋体" w:eastAsia="宋体" w:hAnsi="宋体" w:cs="宋体"/>
                <w:szCs w:val="21"/>
              </w:rPr>
            </w:pPr>
            <w:r w:rsidRPr="00D554C2">
              <w:rPr>
                <w:rFonts w:ascii="宋体" w:eastAsia="宋体" w:hAnsi="宋体" w:cs="宋体" w:hint="eastAsia"/>
                <w:color w:val="000000"/>
                <w:kern w:val="0"/>
                <w:szCs w:val="21"/>
                <w:lang w:val="zh-CN"/>
              </w:rPr>
              <w:t>60以下</w:t>
            </w:r>
          </w:p>
        </w:tc>
        <w:tc>
          <w:tcPr>
            <w:tcW w:w="7042" w:type="dxa"/>
            <w:tcBorders>
              <w:top w:val="single" w:sz="4" w:space="0" w:color="auto"/>
              <w:left w:val="single" w:sz="4" w:space="0" w:color="auto"/>
              <w:bottom w:val="single" w:sz="4" w:space="0" w:color="auto"/>
              <w:right w:val="single" w:sz="4" w:space="0" w:color="auto"/>
            </w:tcBorders>
            <w:vAlign w:val="center"/>
          </w:tcPr>
          <w:p w14:paraId="44395788"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动作不熟练，不能完成动作，与音乐不合拍。</w:t>
            </w:r>
          </w:p>
        </w:tc>
      </w:tr>
      <w:tr w:rsidR="00D554C2" w:rsidRPr="00D554C2" w14:paraId="3B6D3B17" w14:textId="77777777" w:rsidTr="009B4CAE">
        <w:trPr>
          <w:trHeight w:val="540"/>
        </w:trPr>
        <w:tc>
          <w:tcPr>
            <w:tcW w:w="1453" w:type="dxa"/>
            <w:tcBorders>
              <w:top w:val="single" w:sz="4" w:space="0" w:color="auto"/>
              <w:left w:val="single" w:sz="4" w:space="0" w:color="auto"/>
              <w:bottom w:val="single" w:sz="4" w:space="0" w:color="auto"/>
              <w:right w:val="single" w:sz="4" w:space="0" w:color="auto"/>
            </w:tcBorders>
            <w:vAlign w:val="center"/>
          </w:tcPr>
          <w:p w14:paraId="31F799E8" w14:textId="77777777" w:rsidR="00D554C2" w:rsidRPr="00D554C2" w:rsidRDefault="00D554C2" w:rsidP="00D554C2">
            <w:pPr>
              <w:adjustRightInd w:val="0"/>
              <w:spacing w:line="240" w:lineRule="atLeast"/>
              <w:jc w:val="center"/>
              <w:rPr>
                <w:rFonts w:ascii="宋体" w:eastAsia="宋体" w:hAnsi="宋体" w:cs="宋体"/>
                <w:szCs w:val="21"/>
              </w:rPr>
            </w:pPr>
            <w:r w:rsidRPr="00D554C2">
              <w:rPr>
                <w:rFonts w:ascii="宋体" w:eastAsia="宋体" w:hAnsi="宋体" w:cs="宋体" w:hint="eastAsia"/>
                <w:color w:val="000000"/>
                <w:kern w:val="0"/>
                <w:szCs w:val="21"/>
                <w:lang w:val="zh-CN"/>
              </w:rPr>
              <w:t>60以下</w:t>
            </w:r>
          </w:p>
        </w:tc>
        <w:tc>
          <w:tcPr>
            <w:tcW w:w="7052" w:type="dxa"/>
            <w:gridSpan w:val="2"/>
            <w:tcBorders>
              <w:top w:val="single" w:sz="4" w:space="0" w:color="auto"/>
              <w:left w:val="single" w:sz="4" w:space="0" w:color="auto"/>
              <w:bottom w:val="single" w:sz="4" w:space="0" w:color="auto"/>
              <w:right w:val="single" w:sz="4" w:space="0" w:color="auto"/>
            </w:tcBorders>
            <w:vAlign w:val="center"/>
          </w:tcPr>
          <w:p w14:paraId="02D834C6" w14:textId="77777777" w:rsidR="00D554C2" w:rsidRPr="00D554C2" w:rsidRDefault="00D554C2" w:rsidP="00D554C2">
            <w:pPr>
              <w:adjustRightInd w:val="0"/>
              <w:spacing w:line="240" w:lineRule="atLeast"/>
              <w:rPr>
                <w:rFonts w:ascii="宋体" w:eastAsia="宋体" w:hAnsi="宋体" w:cs="宋体"/>
                <w:szCs w:val="21"/>
              </w:rPr>
            </w:pPr>
            <w:r w:rsidRPr="00D554C2">
              <w:rPr>
                <w:rFonts w:ascii="宋体" w:eastAsia="宋体" w:hAnsi="宋体" w:cs="宋体" w:hint="eastAsia"/>
                <w:color w:val="000000"/>
                <w:kern w:val="0"/>
                <w:szCs w:val="21"/>
                <w:lang w:val="zh-CN"/>
              </w:rPr>
              <w:t>动作不熟练，不能完成动作，与音乐不合拍，</w:t>
            </w:r>
            <w:r w:rsidRPr="00D554C2">
              <w:rPr>
                <w:rFonts w:ascii="宋体" w:eastAsia="宋体" w:hAnsi="宋体" w:cs="宋体" w:hint="eastAsia"/>
                <w:color w:val="000000"/>
                <w:kern w:val="0"/>
                <w:szCs w:val="21"/>
              </w:rPr>
              <w:t>队形数量不符合规定。</w:t>
            </w:r>
          </w:p>
        </w:tc>
      </w:tr>
    </w:tbl>
    <w:p w14:paraId="6880ACCF" w14:textId="77777777" w:rsidR="00D554C2" w:rsidRPr="00D554C2" w:rsidRDefault="00D554C2" w:rsidP="00D554C2">
      <w:pPr>
        <w:rPr>
          <w:rFonts w:ascii="Calibri" w:eastAsia="宋体" w:hAnsi="Calibri" w:cs="Times New Roman"/>
          <w:vanish/>
        </w:rPr>
      </w:pPr>
    </w:p>
    <w:tbl>
      <w:tblPr>
        <w:tblpPr w:leftFromText="180" w:rightFromText="180" w:vertAnchor="text" w:horzAnchor="margin" w:tblpY="834"/>
        <w:tblOverlap w:val="never"/>
        <w:tblW w:w="0" w:type="auto"/>
        <w:tblCellSpacing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1910"/>
        <w:gridCol w:w="849"/>
        <w:gridCol w:w="639"/>
        <w:gridCol w:w="639"/>
        <w:gridCol w:w="639"/>
        <w:gridCol w:w="639"/>
        <w:gridCol w:w="639"/>
        <w:gridCol w:w="639"/>
        <w:gridCol w:w="639"/>
        <w:gridCol w:w="639"/>
        <w:gridCol w:w="529"/>
      </w:tblGrid>
      <w:tr w:rsidR="00D554C2" w:rsidRPr="00D554C2" w14:paraId="71C9D2EB" w14:textId="77777777" w:rsidTr="009B4CAE">
        <w:trPr>
          <w:trHeight w:val="389"/>
          <w:tblCellSpacing w:w="0" w:type="dxa"/>
        </w:trPr>
        <w:tc>
          <w:tcPr>
            <w:tcW w:w="1910" w:type="dxa"/>
            <w:vAlign w:val="center"/>
          </w:tcPr>
          <w:p w14:paraId="2B726EAC"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1分钟跳绳（次）</w:t>
            </w:r>
          </w:p>
        </w:tc>
        <w:tc>
          <w:tcPr>
            <w:tcW w:w="849" w:type="dxa"/>
            <w:vAlign w:val="center"/>
          </w:tcPr>
          <w:p w14:paraId="600C7E6B"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166</w:t>
            </w:r>
          </w:p>
        </w:tc>
        <w:tc>
          <w:tcPr>
            <w:tcW w:w="639" w:type="dxa"/>
            <w:vAlign w:val="center"/>
          </w:tcPr>
          <w:p w14:paraId="5A5AC914"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152</w:t>
            </w:r>
          </w:p>
        </w:tc>
        <w:tc>
          <w:tcPr>
            <w:tcW w:w="639" w:type="dxa"/>
            <w:vAlign w:val="center"/>
          </w:tcPr>
          <w:p w14:paraId="67E0E7EB"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136</w:t>
            </w:r>
          </w:p>
        </w:tc>
        <w:tc>
          <w:tcPr>
            <w:tcW w:w="639" w:type="dxa"/>
            <w:vAlign w:val="center"/>
          </w:tcPr>
          <w:p w14:paraId="3A2E128A"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124</w:t>
            </w:r>
          </w:p>
        </w:tc>
        <w:tc>
          <w:tcPr>
            <w:tcW w:w="639" w:type="dxa"/>
            <w:vAlign w:val="center"/>
          </w:tcPr>
          <w:p w14:paraId="148A0EC1"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112</w:t>
            </w:r>
          </w:p>
        </w:tc>
        <w:tc>
          <w:tcPr>
            <w:tcW w:w="639" w:type="dxa"/>
            <w:vAlign w:val="center"/>
          </w:tcPr>
          <w:p w14:paraId="0F64B4B1"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100</w:t>
            </w:r>
          </w:p>
        </w:tc>
        <w:tc>
          <w:tcPr>
            <w:tcW w:w="639" w:type="dxa"/>
            <w:vAlign w:val="center"/>
          </w:tcPr>
          <w:p w14:paraId="2574B515"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88</w:t>
            </w:r>
          </w:p>
        </w:tc>
        <w:tc>
          <w:tcPr>
            <w:tcW w:w="639" w:type="dxa"/>
            <w:vAlign w:val="center"/>
          </w:tcPr>
          <w:p w14:paraId="0953A4C0"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76</w:t>
            </w:r>
          </w:p>
        </w:tc>
        <w:tc>
          <w:tcPr>
            <w:tcW w:w="639" w:type="dxa"/>
            <w:vAlign w:val="center"/>
          </w:tcPr>
          <w:p w14:paraId="68E3FD1D"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70</w:t>
            </w:r>
          </w:p>
        </w:tc>
        <w:tc>
          <w:tcPr>
            <w:tcW w:w="529" w:type="dxa"/>
            <w:vAlign w:val="center"/>
          </w:tcPr>
          <w:p w14:paraId="0D72378D"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64</w:t>
            </w:r>
          </w:p>
        </w:tc>
      </w:tr>
      <w:tr w:rsidR="00D554C2" w:rsidRPr="00D554C2" w14:paraId="6F70B70B" w14:textId="77777777" w:rsidTr="009B4CAE">
        <w:trPr>
          <w:trHeight w:val="389"/>
          <w:tblCellSpacing w:w="0" w:type="dxa"/>
        </w:trPr>
        <w:tc>
          <w:tcPr>
            <w:tcW w:w="1910" w:type="dxa"/>
            <w:vAlign w:val="center"/>
          </w:tcPr>
          <w:p w14:paraId="66AD7223"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得   分</w:t>
            </w:r>
          </w:p>
        </w:tc>
        <w:tc>
          <w:tcPr>
            <w:tcW w:w="849" w:type="dxa"/>
            <w:vAlign w:val="center"/>
          </w:tcPr>
          <w:p w14:paraId="270090CB"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10</w:t>
            </w:r>
          </w:p>
        </w:tc>
        <w:tc>
          <w:tcPr>
            <w:tcW w:w="639" w:type="dxa"/>
            <w:vAlign w:val="center"/>
          </w:tcPr>
          <w:p w14:paraId="5BBF7AAF"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9</w:t>
            </w:r>
          </w:p>
        </w:tc>
        <w:tc>
          <w:tcPr>
            <w:tcW w:w="639" w:type="dxa"/>
            <w:vAlign w:val="center"/>
          </w:tcPr>
          <w:p w14:paraId="5BD27B97"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8</w:t>
            </w:r>
          </w:p>
        </w:tc>
        <w:tc>
          <w:tcPr>
            <w:tcW w:w="639" w:type="dxa"/>
            <w:vAlign w:val="center"/>
          </w:tcPr>
          <w:p w14:paraId="34DC3EE6"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7</w:t>
            </w:r>
          </w:p>
        </w:tc>
        <w:tc>
          <w:tcPr>
            <w:tcW w:w="639" w:type="dxa"/>
            <w:vAlign w:val="center"/>
          </w:tcPr>
          <w:p w14:paraId="0065DEBE"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6</w:t>
            </w:r>
          </w:p>
        </w:tc>
        <w:tc>
          <w:tcPr>
            <w:tcW w:w="639" w:type="dxa"/>
            <w:vAlign w:val="center"/>
          </w:tcPr>
          <w:p w14:paraId="5F1EC2B0"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5</w:t>
            </w:r>
          </w:p>
        </w:tc>
        <w:tc>
          <w:tcPr>
            <w:tcW w:w="639" w:type="dxa"/>
            <w:vAlign w:val="center"/>
          </w:tcPr>
          <w:p w14:paraId="3A1FC576"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4</w:t>
            </w:r>
          </w:p>
        </w:tc>
        <w:tc>
          <w:tcPr>
            <w:tcW w:w="639" w:type="dxa"/>
            <w:vAlign w:val="center"/>
          </w:tcPr>
          <w:p w14:paraId="6FE71AD4"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3</w:t>
            </w:r>
          </w:p>
        </w:tc>
        <w:tc>
          <w:tcPr>
            <w:tcW w:w="639" w:type="dxa"/>
            <w:vAlign w:val="center"/>
          </w:tcPr>
          <w:p w14:paraId="0FFD247D"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2</w:t>
            </w:r>
          </w:p>
        </w:tc>
        <w:tc>
          <w:tcPr>
            <w:tcW w:w="529" w:type="dxa"/>
            <w:vAlign w:val="center"/>
          </w:tcPr>
          <w:p w14:paraId="7D6D916B" w14:textId="77777777" w:rsidR="00D554C2" w:rsidRPr="00D554C2" w:rsidRDefault="00D554C2" w:rsidP="00D554C2">
            <w:pPr>
              <w:widowControl/>
              <w:spacing w:line="240" w:lineRule="atLeast"/>
              <w:jc w:val="center"/>
              <w:rPr>
                <w:rFonts w:ascii="宋体" w:eastAsia="宋体" w:hAnsi="宋体" w:cs="宋体"/>
                <w:szCs w:val="21"/>
              </w:rPr>
            </w:pPr>
            <w:r w:rsidRPr="00D554C2">
              <w:rPr>
                <w:rFonts w:ascii="宋体" w:eastAsia="宋体" w:hAnsi="宋体" w:cs="宋体" w:hint="eastAsia"/>
                <w:kern w:val="0"/>
                <w:szCs w:val="21"/>
                <w:lang w:bidi="ar"/>
              </w:rPr>
              <w:t>1</w:t>
            </w:r>
          </w:p>
        </w:tc>
      </w:tr>
    </w:tbl>
    <w:p w14:paraId="522B26E4" w14:textId="77777777" w:rsidR="00D554C2" w:rsidRPr="00D554C2" w:rsidRDefault="00D554C2" w:rsidP="00D554C2">
      <w:pPr>
        <w:rPr>
          <w:rFonts w:ascii="宋体" w:eastAsia="宋体" w:hAnsi="宋体" w:cs="Times New Roman"/>
          <w:bCs/>
          <w:kern w:val="0"/>
          <w:sz w:val="18"/>
          <w:szCs w:val="18"/>
          <w:lang w:bidi="ar"/>
        </w:rPr>
      </w:pPr>
    </w:p>
    <w:p w14:paraId="5C7FE972" w14:textId="77777777" w:rsidR="00D554C2" w:rsidRPr="00D554C2" w:rsidRDefault="00D554C2" w:rsidP="00D554C2">
      <w:pPr>
        <w:adjustRightInd w:val="0"/>
        <w:snapToGrid w:val="0"/>
        <w:spacing w:line="500" w:lineRule="exact"/>
        <w:jc w:val="center"/>
        <w:rPr>
          <w:rFonts w:ascii="宋体" w:eastAsia="宋体" w:hAnsi="Calibri" w:cs="Times New Roman"/>
          <w:bCs/>
          <w:kern w:val="0"/>
          <w:sz w:val="24"/>
        </w:rPr>
      </w:pPr>
      <w:r w:rsidRPr="00D554C2">
        <w:rPr>
          <w:rFonts w:ascii="宋体" w:eastAsia="宋体" w:hAnsi="宋体" w:cs="宋体" w:hint="eastAsia"/>
          <w:kern w:val="0"/>
          <w:sz w:val="24"/>
          <w:lang w:bidi="ar"/>
        </w:rPr>
        <w:t>表12  一分钟跳绳评分标准</w:t>
      </w:r>
      <w:r w:rsidRPr="00D554C2">
        <w:rPr>
          <w:rFonts w:ascii="宋体" w:eastAsia="宋体" w:hAnsi="Calibri" w:cs="Times New Roman" w:hint="eastAsia"/>
          <w:bCs/>
          <w:kern w:val="0"/>
          <w:sz w:val="24"/>
        </w:rPr>
        <w:t xml:space="preserve">                          </w:t>
      </w:r>
    </w:p>
    <w:p w14:paraId="322B947B" w14:textId="77777777" w:rsidR="00D554C2" w:rsidRPr="00D554C2" w:rsidRDefault="00D554C2" w:rsidP="00D554C2">
      <w:pPr>
        <w:spacing w:beforeLines="50" w:before="156" w:afterLines="50" w:after="156" w:line="440" w:lineRule="exact"/>
        <w:ind w:firstLineChars="200" w:firstLine="560"/>
        <w:rPr>
          <w:rFonts w:ascii="宋体" w:eastAsia="宋体" w:hAnsi="宋体" w:cs="Times New Roman"/>
          <w:sz w:val="24"/>
        </w:rPr>
      </w:pPr>
      <w:r w:rsidRPr="00D554C2">
        <w:rPr>
          <w:rFonts w:ascii="黑体" w:eastAsia="黑体" w:hAnsi="黑体" w:cs="Times New Roman" w:hint="eastAsia"/>
          <w:sz w:val="28"/>
          <w:szCs w:val="28"/>
        </w:rPr>
        <w:t>六、使用教材、相关推荐书目及课程资源</w:t>
      </w:r>
    </w:p>
    <w:p w14:paraId="4CEBF2E6" w14:textId="77777777" w:rsidR="00D554C2" w:rsidRPr="00D554C2" w:rsidRDefault="00D554C2" w:rsidP="00D554C2">
      <w:pPr>
        <w:spacing w:line="500" w:lineRule="exact"/>
        <w:ind w:firstLineChars="200" w:firstLine="560"/>
        <w:rPr>
          <w:rFonts w:ascii="宋体" w:eastAsia="宋体" w:hAnsi="宋体" w:cs="Times New Roman"/>
          <w:sz w:val="24"/>
        </w:rPr>
      </w:pPr>
      <w:r w:rsidRPr="00D554C2">
        <w:rPr>
          <w:rFonts w:ascii="黑体" w:eastAsia="黑体" w:hAnsi="黑体" w:cs="Times New Roman" w:hint="eastAsia"/>
          <w:sz w:val="28"/>
          <w:szCs w:val="28"/>
        </w:rPr>
        <w:t>（一）使用教材</w:t>
      </w:r>
    </w:p>
    <w:p w14:paraId="12D22E96" w14:textId="77777777" w:rsidR="00D554C2" w:rsidRPr="00D554C2" w:rsidRDefault="00D554C2" w:rsidP="00D554C2">
      <w:pPr>
        <w:autoSpaceDE w:val="0"/>
        <w:autoSpaceDN w:val="0"/>
        <w:adjustRightInd w:val="0"/>
        <w:snapToGrid w:val="0"/>
        <w:spacing w:line="500" w:lineRule="exact"/>
        <w:ind w:firstLineChars="300" w:firstLine="720"/>
        <w:rPr>
          <w:rFonts w:ascii="宋体" w:eastAsia="宋体" w:hAnsi="宋体" w:cs="宋体"/>
          <w:kern w:val="0"/>
          <w:sz w:val="24"/>
        </w:rPr>
      </w:pPr>
      <w:r w:rsidRPr="00D554C2">
        <w:rPr>
          <w:rFonts w:ascii="宋体" w:eastAsia="宋体" w:hAnsi="宋体" w:cs="宋体" w:hint="eastAsia"/>
          <w:kern w:val="0"/>
          <w:sz w:val="24"/>
        </w:rPr>
        <w:t>任晋军主编：《当代大学体育教程》，北京体育大学出版社，2008</w:t>
      </w:r>
    </w:p>
    <w:p w14:paraId="2451D97B" w14:textId="77777777" w:rsidR="00D554C2" w:rsidRPr="00D554C2" w:rsidRDefault="00D554C2" w:rsidP="00D554C2">
      <w:pPr>
        <w:autoSpaceDE w:val="0"/>
        <w:autoSpaceDN w:val="0"/>
        <w:adjustRightInd w:val="0"/>
        <w:snapToGrid w:val="0"/>
        <w:spacing w:line="500" w:lineRule="exact"/>
        <w:ind w:firstLineChars="300" w:firstLine="720"/>
        <w:rPr>
          <w:rFonts w:ascii="宋体" w:eastAsia="宋体" w:hAnsi="Calibri" w:cs="宋体"/>
          <w:spacing w:val="5"/>
          <w:kern w:val="0"/>
          <w:sz w:val="24"/>
        </w:rPr>
      </w:pPr>
      <w:proofErr w:type="gramStart"/>
      <w:r w:rsidRPr="00D554C2">
        <w:rPr>
          <w:rFonts w:ascii="宋体" w:eastAsia="宋体" w:hAnsi="宋体" w:cs="Arial" w:hint="eastAsia"/>
          <w:color w:val="000000"/>
          <w:sz w:val="24"/>
        </w:rPr>
        <w:t>黄宽柔</w:t>
      </w:r>
      <w:proofErr w:type="gramEnd"/>
      <w:r w:rsidRPr="00D554C2">
        <w:rPr>
          <w:rFonts w:ascii="宋体" w:eastAsia="宋体" w:hAnsi="Calibri" w:cs="宋体" w:hint="eastAsia"/>
          <w:spacing w:val="5"/>
          <w:kern w:val="0"/>
          <w:sz w:val="24"/>
        </w:rPr>
        <w:t>主编：《</w:t>
      </w:r>
      <w:r w:rsidRPr="00D554C2">
        <w:rPr>
          <w:rFonts w:ascii="宋体" w:eastAsia="宋体" w:hAnsi="宋体" w:cs="Arial"/>
          <w:color w:val="000000"/>
          <w:sz w:val="24"/>
        </w:rPr>
        <w:t>健美操 体育舞蹈</w:t>
      </w:r>
      <w:r w:rsidRPr="00D554C2">
        <w:rPr>
          <w:rFonts w:ascii="宋体" w:eastAsia="宋体" w:hAnsi="Calibri" w:cs="宋体" w:hint="eastAsia"/>
          <w:spacing w:val="5"/>
          <w:kern w:val="0"/>
          <w:sz w:val="24"/>
        </w:rPr>
        <w:t>》，高等教育出版社，2006年7月</w:t>
      </w:r>
    </w:p>
    <w:p w14:paraId="731104DE" w14:textId="77777777" w:rsidR="00D554C2" w:rsidRPr="00D554C2" w:rsidRDefault="00D554C2" w:rsidP="00D554C2">
      <w:pPr>
        <w:spacing w:line="500" w:lineRule="exact"/>
        <w:ind w:firstLineChars="200" w:firstLine="560"/>
        <w:rPr>
          <w:rFonts w:ascii="宋体" w:eastAsia="宋体" w:hAnsi="宋体" w:cs="Times New Roman"/>
          <w:sz w:val="24"/>
        </w:rPr>
      </w:pPr>
      <w:r w:rsidRPr="00D554C2">
        <w:rPr>
          <w:rFonts w:ascii="黑体" w:eastAsia="黑体" w:hAnsi="黑体" w:cs="Times New Roman" w:hint="eastAsia"/>
          <w:sz w:val="28"/>
          <w:szCs w:val="28"/>
        </w:rPr>
        <w:t>（二）相关推荐书目</w:t>
      </w:r>
    </w:p>
    <w:p w14:paraId="6EF4B9E6" w14:textId="77777777" w:rsidR="00D554C2" w:rsidRPr="00D554C2" w:rsidRDefault="00D554C2" w:rsidP="00D554C2">
      <w:pPr>
        <w:spacing w:line="500" w:lineRule="exact"/>
        <w:ind w:firstLineChars="200" w:firstLine="480"/>
        <w:rPr>
          <w:rFonts w:ascii="宋体" w:eastAsia="宋体" w:hAnsi="宋体" w:cs="Times New Roman"/>
          <w:sz w:val="24"/>
        </w:rPr>
      </w:pPr>
      <w:r w:rsidRPr="00D554C2">
        <w:rPr>
          <w:rFonts w:ascii="宋体" w:eastAsia="宋体" w:hAnsi="宋体" w:cs="Times New Roman" w:hint="eastAsia"/>
          <w:sz w:val="24"/>
        </w:rPr>
        <w:t>1</w:t>
      </w:r>
      <w:r w:rsidRPr="00D554C2">
        <w:rPr>
          <w:rFonts w:ascii="宋体" w:eastAsia="宋体" w:hAnsi="宋体" w:cs="Times New Roman"/>
          <w:sz w:val="24"/>
        </w:rPr>
        <w:t xml:space="preserve">. </w:t>
      </w:r>
      <w:r w:rsidRPr="00D554C2">
        <w:rPr>
          <w:rFonts w:ascii="宋体" w:eastAsia="宋体" w:hAnsi="宋体" w:cs="宋体" w:hint="eastAsia"/>
          <w:kern w:val="0"/>
          <w:sz w:val="24"/>
        </w:rPr>
        <w:t>刘建国主编：《当代大学体育与健身》，高教出版社，2008</w:t>
      </w:r>
    </w:p>
    <w:p w14:paraId="3D8C9322" w14:textId="77777777" w:rsidR="00D554C2" w:rsidRPr="00D554C2" w:rsidRDefault="00D554C2" w:rsidP="00D554C2">
      <w:pPr>
        <w:autoSpaceDE w:val="0"/>
        <w:autoSpaceDN w:val="0"/>
        <w:adjustRightInd w:val="0"/>
        <w:snapToGrid w:val="0"/>
        <w:spacing w:line="500" w:lineRule="exact"/>
        <w:ind w:firstLineChars="200" w:firstLine="480"/>
        <w:rPr>
          <w:rFonts w:ascii="宋体" w:eastAsia="宋体" w:hAnsi="宋体" w:cs="宋体"/>
          <w:kern w:val="0"/>
          <w:sz w:val="24"/>
        </w:rPr>
      </w:pPr>
      <w:r w:rsidRPr="00D554C2">
        <w:rPr>
          <w:rFonts w:ascii="宋体" w:eastAsia="宋体" w:hAnsi="宋体" w:cs="Times New Roman" w:hint="eastAsia"/>
          <w:sz w:val="24"/>
        </w:rPr>
        <w:t>2</w:t>
      </w:r>
      <w:r w:rsidRPr="00D554C2">
        <w:rPr>
          <w:rFonts w:ascii="宋体" w:eastAsia="宋体" w:hAnsi="宋体" w:cs="Times New Roman"/>
          <w:sz w:val="24"/>
        </w:rPr>
        <w:t xml:space="preserve">. </w:t>
      </w:r>
      <w:r w:rsidRPr="00D554C2">
        <w:rPr>
          <w:rFonts w:ascii="宋体" w:eastAsia="宋体" w:hAnsi="宋体" w:cs="宋体" w:hint="eastAsia"/>
          <w:kern w:val="0"/>
          <w:sz w:val="24"/>
        </w:rPr>
        <w:t>全国体育学院教材委员会审定：《体育与健康理论指导手册》，人民体育出版社，2014</w:t>
      </w:r>
    </w:p>
    <w:p w14:paraId="54F54C74" w14:textId="77777777" w:rsidR="00D554C2" w:rsidRPr="00D554C2" w:rsidRDefault="00D554C2" w:rsidP="00D554C2">
      <w:pPr>
        <w:autoSpaceDE w:val="0"/>
        <w:autoSpaceDN w:val="0"/>
        <w:adjustRightInd w:val="0"/>
        <w:snapToGrid w:val="0"/>
        <w:spacing w:line="500" w:lineRule="exact"/>
        <w:ind w:firstLineChars="200" w:firstLine="480"/>
        <w:rPr>
          <w:rFonts w:ascii="宋体" w:eastAsia="宋体" w:hAnsi="宋体" w:cs="Times New Roman"/>
          <w:sz w:val="24"/>
        </w:rPr>
      </w:pPr>
      <w:r w:rsidRPr="00D554C2">
        <w:rPr>
          <w:rFonts w:ascii="宋体" w:eastAsia="宋体" w:hAnsi="宋体" w:cs="宋体" w:hint="eastAsia"/>
          <w:kern w:val="0"/>
          <w:sz w:val="24"/>
        </w:rPr>
        <w:t>3.</w:t>
      </w:r>
      <w:r w:rsidRPr="00D554C2">
        <w:rPr>
          <w:rFonts w:ascii="宋体" w:eastAsia="宋体" w:hAnsi="宋体" w:cs="Times New Roman" w:hint="eastAsia"/>
          <w:color w:val="000000"/>
          <w:sz w:val="24"/>
        </w:rPr>
        <w:t>《全国健美操大众锻炼标准》第三套规定动作中国健美操协会审定</w:t>
      </w:r>
      <w:r w:rsidRPr="00D554C2">
        <w:rPr>
          <w:rFonts w:ascii="宋体" w:eastAsia="宋体" w:hAnsi="宋体" w:cs="Times New Roman"/>
          <w:color w:val="000000"/>
          <w:sz w:val="24"/>
        </w:rPr>
        <w:t>,2009</w:t>
      </w:r>
      <w:r w:rsidRPr="00D554C2">
        <w:rPr>
          <w:rFonts w:ascii="宋体" w:eastAsia="宋体" w:hAnsi="宋体" w:cs="Times New Roman" w:hint="eastAsia"/>
          <w:color w:val="000000"/>
          <w:sz w:val="24"/>
        </w:rPr>
        <w:t>年</w:t>
      </w:r>
      <w:r w:rsidRPr="00D554C2">
        <w:rPr>
          <w:rFonts w:ascii="宋体" w:eastAsia="宋体" w:hAnsi="宋体" w:cs="Times New Roman"/>
          <w:color w:val="000000"/>
          <w:sz w:val="24"/>
        </w:rPr>
        <w:t>8</w:t>
      </w:r>
      <w:r w:rsidRPr="00D554C2">
        <w:rPr>
          <w:rFonts w:ascii="宋体" w:eastAsia="宋体" w:hAnsi="宋体" w:cs="Times New Roman" w:hint="eastAsia"/>
          <w:color w:val="000000"/>
          <w:sz w:val="24"/>
        </w:rPr>
        <w:t>月，动作图解。</w:t>
      </w:r>
    </w:p>
    <w:p w14:paraId="6182D475"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（三）课程资源</w:t>
      </w:r>
    </w:p>
    <w:p w14:paraId="731D6FEE" w14:textId="77777777" w:rsidR="00D554C2" w:rsidRPr="00D554C2" w:rsidRDefault="00D554C2" w:rsidP="00D554C2">
      <w:pPr>
        <w:spacing w:line="44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w:t>
      </w:r>
      <w:r w:rsidRPr="00D554C2">
        <w:rPr>
          <w:rFonts w:ascii="宋体" w:eastAsia="宋体" w:hAnsi="Calibri" w:cs="宋体" w:hint="eastAsia"/>
          <w:spacing w:val="5"/>
          <w:kern w:val="0"/>
          <w:sz w:val="24"/>
        </w:rPr>
        <w:lastRenderedPageBreak/>
        <w:t>的意识，掌握科学锻炼的方式方法，第三，关注生活，紧跟时代，培养服务地方经济社会的重要人才。</w:t>
      </w:r>
    </w:p>
    <w:p w14:paraId="4B5BFF16" w14:textId="77777777" w:rsidR="00D554C2" w:rsidRPr="00D554C2" w:rsidRDefault="00D554C2" w:rsidP="00D554C2">
      <w:pPr>
        <w:spacing w:line="44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2. 《国家学生体质健康标准》实施说明</w:t>
      </w:r>
    </w:p>
    <w:p w14:paraId="2355D220" w14:textId="77777777" w:rsidR="00D554C2" w:rsidRPr="00D554C2" w:rsidRDefault="00D554C2" w:rsidP="00D554C2">
      <w:pPr>
        <w:spacing w:line="44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3. 《国家学生体质健康标准》测试评分表</w:t>
      </w:r>
    </w:p>
    <w:p w14:paraId="2E6AD504" w14:textId="77777777" w:rsidR="00D554C2" w:rsidRPr="00D554C2" w:rsidRDefault="00D554C2" w:rsidP="00D554C2">
      <w:pPr>
        <w:spacing w:line="440" w:lineRule="exact"/>
        <w:ind w:firstLineChars="200" w:firstLine="500"/>
        <w:rPr>
          <w:rFonts w:ascii="宋体" w:eastAsia="宋体" w:hAnsi="Calibri" w:cs="宋体"/>
          <w:spacing w:val="5"/>
          <w:kern w:val="0"/>
          <w:sz w:val="24"/>
        </w:rPr>
      </w:pPr>
    </w:p>
    <w:p w14:paraId="537AC78E"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七、课程大纲制定依据</w:t>
      </w:r>
    </w:p>
    <w:p w14:paraId="284668E8"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本课程大纲依据2023年人才培养方案</w:t>
      </w:r>
      <w:r w:rsidR="002E4147">
        <w:rPr>
          <w:rFonts w:ascii="宋体" w:eastAsia="宋体" w:hAnsi="宋体" w:cs="Times New Roman" w:hint="eastAsia"/>
          <w:sz w:val="24"/>
        </w:rPr>
        <w:t>药物分析</w:t>
      </w:r>
      <w:r w:rsidR="006B29CA">
        <w:rPr>
          <w:rFonts w:ascii="宋体" w:eastAsia="宋体" w:hAnsi="宋体" w:cs="Times New Roman" w:hint="eastAsia"/>
          <w:sz w:val="24"/>
        </w:rPr>
        <w:t>专业</w:t>
      </w:r>
      <w:r w:rsidRPr="00D554C2">
        <w:rPr>
          <w:rFonts w:ascii="宋体" w:eastAsia="宋体" w:hAnsi="宋体" w:cs="Times New Roman" w:hint="eastAsia"/>
          <w:sz w:val="24"/>
        </w:rPr>
        <w:t>制定。</w:t>
      </w:r>
    </w:p>
    <w:p w14:paraId="30334959" w14:textId="77777777" w:rsidR="00D554C2" w:rsidRPr="00D554C2" w:rsidRDefault="00D554C2" w:rsidP="00D554C2">
      <w:pPr>
        <w:spacing w:line="440" w:lineRule="exact"/>
        <w:ind w:firstLineChars="200" w:firstLine="480"/>
        <w:rPr>
          <w:rFonts w:ascii="宋体" w:eastAsia="宋体" w:hAnsi="宋体" w:cs="Times New Roman"/>
          <w:sz w:val="24"/>
        </w:rPr>
      </w:pPr>
    </w:p>
    <w:p w14:paraId="3A91B698"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p>
    <w:p w14:paraId="0316C834"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1C0B2459"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727E1950"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6A9DFEA2"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4A3E6E55"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581B98C8" w14:textId="77777777" w:rsidR="00D554C2" w:rsidRPr="00D554C2" w:rsidRDefault="00D554C2" w:rsidP="00D554C2">
      <w:pPr>
        <w:rPr>
          <w:rFonts w:ascii="Calibri" w:eastAsia="宋体" w:hAnsi="Calibri" w:cs="Times New Roman"/>
          <w:bCs/>
          <w:lang w:val="zh-CN"/>
        </w:rPr>
      </w:pPr>
    </w:p>
    <w:p w14:paraId="35C10BB2" w14:textId="77777777" w:rsidR="00D554C2" w:rsidRPr="00D554C2" w:rsidRDefault="00D554C2" w:rsidP="00D554C2">
      <w:pPr>
        <w:rPr>
          <w:rFonts w:ascii="Calibri" w:eastAsia="宋体" w:hAnsi="Calibri" w:cs="Times New Roman"/>
          <w:bCs/>
          <w:lang w:val="zh-CN"/>
        </w:rPr>
      </w:pPr>
    </w:p>
    <w:p w14:paraId="6BDB487F" w14:textId="77777777" w:rsidR="00895319" w:rsidRDefault="00895319">
      <w:pPr>
        <w:widowControl/>
        <w:jc w:val="left"/>
        <w:rPr>
          <w:rFonts w:ascii="黑体" w:eastAsia="黑体" w:hAnsi="黑体" w:cs="Times New Roman"/>
          <w:bCs/>
          <w:sz w:val="36"/>
          <w:szCs w:val="36"/>
        </w:rPr>
      </w:pPr>
      <w:r>
        <w:rPr>
          <w:rFonts w:ascii="黑体" w:eastAsia="黑体" w:hAnsi="黑体" w:cs="Times New Roman"/>
          <w:bCs/>
          <w:sz w:val="36"/>
          <w:szCs w:val="36"/>
        </w:rPr>
        <w:br w:type="page"/>
      </w:r>
    </w:p>
    <w:p w14:paraId="49EA79BD" w14:textId="52358FD2" w:rsidR="00D554C2" w:rsidRPr="00D554C2" w:rsidRDefault="00D554C2" w:rsidP="00D554C2">
      <w:pPr>
        <w:spacing w:beforeLines="100" w:before="312" w:afterLines="100" w:after="312" w:line="440" w:lineRule="exact"/>
        <w:jc w:val="center"/>
        <w:rPr>
          <w:rFonts w:ascii="黑体" w:eastAsia="黑体" w:hAnsi="黑体" w:cs="Times New Roman"/>
          <w:bCs/>
          <w:sz w:val="36"/>
          <w:szCs w:val="36"/>
        </w:rPr>
      </w:pPr>
      <w:r w:rsidRPr="00D554C2">
        <w:rPr>
          <w:rFonts w:ascii="黑体" w:eastAsia="黑体" w:hAnsi="黑体" w:cs="Times New Roman" w:hint="eastAsia"/>
          <w:bCs/>
          <w:sz w:val="36"/>
          <w:szCs w:val="36"/>
        </w:rPr>
        <w:lastRenderedPageBreak/>
        <w:t>《啦啦操》课程大纲</w:t>
      </w:r>
    </w:p>
    <w:p w14:paraId="434D2BD7"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D554C2" w:rsidRPr="00D554C2" w14:paraId="1FF081E5" w14:textId="77777777" w:rsidTr="009B4CAE">
        <w:trPr>
          <w:trHeight w:val="886"/>
          <w:jc w:val="center"/>
        </w:trPr>
        <w:tc>
          <w:tcPr>
            <w:tcW w:w="1581" w:type="dxa"/>
            <w:vAlign w:val="center"/>
          </w:tcPr>
          <w:p w14:paraId="0297AB54"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课程名称</w:t>
            </w:r>
          </w:p>
        </w:tc>
        <w:tc>
          <w:tcPr>
            <w:tcW w:w="2662" w:type="dxa"/>
            <w:vAlign w:val="center"/>
          </w:tcPr>
          <w:p w14:paraId="0F946F4A"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Calibri" w:cs="宋体" w:hint="eastAsia"/>
                <w:kern w:val="0"/>
                <w:sz w:val="24"/>
              </w:rPr>
              <w:t>大学体育</w:t>
            </w:r>
          </w:p>
        </w:tc>
        <w:tc>
          <w:tcPr>
            <w:tcW w:w="1482" w:type="dxa"/>
            <w:vAlign w:val="center"/>
          </w:tcPr>
          <w:p w14:paraId="4C7E1F15"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课程代码</w:t>
            </w:r>
          </w:p>
        </w:tc>
        <w:tc>
          <w:tcPr>
            <w:tcW w:w="2797" w:type="dxa"/>
            <w:vAlign w:val="center"/>
          </w:tcPr>
          <w:p w14:paraId="1D7B5820"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Calibri" w:cs="宋体" w:hint="eastAsia"/>
                <w:kern w:val="0"/>
                <w:sz w:val="24"/>
              </w:rPr>
              <w:t>091050</w:t>
            </w:r>
          </w:p>
        </w:tc>
      </w:tr>
      <w:tr w:rsidR="00D554C2" w:rsidRPr="00D554C2" w14:paraId="7F41E006" w14:textId="77777777" w:rsidTr="009B4CAE">
        <w:trPr>
          <w:trHeight w:val="829"/>
          <w:jc w:val="center"/>
        </w:trPr>
        <w:tc>
          <w:tcPr>
            <w:tcW w:w="1581" w:type="dxa"/>
            <w:vAlign w:val="center"/>
          </w:tcPr>
          <w:p w14:paraId="68B3DF7E"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课程类别</w:t>
            </w:r>
          </w:p>
        </w:tc>
        <w:tc>
          <w:tcPr>
            <w:tcW w:w="2662" w:type="dxa"/>
            <w:vAlign w:val="center"/>
          </w:tcPr>
          <w:p w14:paraId="5791D28B"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Calibri" w:cs="宋体" w:hint="eastAsia"/>
                <w:kern w:val="0"/>
                <w:sz w:val="24"/>
              </w:rPr>
              <w:t>公共必修课程</w:t>
            </w:r>
          </w:p>
        </w:tc>
        <w:tc>
          <w:tcPr>
            <w:tcW w:w="1482" w:type="dxa"/>
            <w:vAlign w:val="center"/>
          </w:tcPr>
          <w:p w14:paraId="1046FC4F"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学时</w:t>
            </w:r>
          </w:p>
          <w:p w14:paraId="0E4A2610"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/学分</w:t>
            </w:r>
          </w:p>
        </w:tc>
        <w:tc>
          <w:tcPr>
            <w:tcW w:w="2797" w:type="dxa"/>
            <w:vAlign w:val="center"/>
          </w:tcPr>
          <w:p w14:paraId="4DA2F29A"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144/4</w:t>
            </w:r>
          </w:p>
        </w:tc>
      </w:tr>
      <w:tr w:rsidR="00D554C2" w:rsidRPr="00D554C2" w14:paraId="575715DE" w14:textId="77777777" w:rsidTr="009B4CAE">
        <w:trPr>
          <w:trHeight w:val="811"/>
          <w:jc w:val="center"/>
        </w:trPr>
        <w:tc>
          <w:tcPr>
            <w:tcW w:w="1581" w:type="dxa"/>
            <w:vAlign w:val="center"/>
          </w:tcPr>
          <w:p w14:paraId="1D3C3D78"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开课单位</w:t>
            </w:r>
          </w:p>
        </w:tc>
        <w:tc>
          <w:tcPr>
            <w:tcW w:w="2662" w:type="dxa"/>
            <w:vAlign w:val="center"/>
          </w:tcPr>
          <w:p w14:paraId="2B0EDEAA"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sz w:val="24"/>
              </w:rPr>
              <w:t>石家庄学院体育学院</w:t>
            </w:r>
          </w:p>
        </w:tc>
        <w:tc>
          <w:tcPr>
            <w:tcW w:w="1482" w:type="dxa"/>
            <w:vAlign w:val="center"/>
          </w:tcPr>
          <w:p w14:paraId="7480F0D4"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适用专业</w:t>
            </w:r>
          </w:p>
        </w:tc>
        <w:tc>
          <w:tcPr>
            <w:tcW w:w="2797" w:type="dxa"/>
            <w:vAlign w:val="center"/>
          </w:tcPr>
          <w:p w14:paraId="11A3E363" w14:textId="77777777" w:rsidR="00D554C2" w:rsidRPr="00D554C2" w:rsidRDefault="006D6C0A" w:rsidP="00D554C2">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D554C2" w:rsidRPr="00D554C2" w14:paraId="5B9D1FCC" w14:textId="77777777" w:rsidTr="009B4CAE">
        <w:trPr>
          <w:trHeight w:val="811"/>
          <w:jc w:val="center"/>
        </w:trPr>
        <w:tc>
          <w:tcPr>
            <w:tcW w:w="1581" w:type="dxa"/>
            <w:vAlign w:val="center"/>
          </w:tcPr>
          <w:p w14:paraId="42EEDBBC"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课程负责人</w:t>
            </w:r>
          </w:p>
        </w:tc>
        <w:tc>
          <w:tcPr>
            <w:tcW w:w="6941" w:type="dxa"/>
            <w:gridSpan w:val="3"/>
            <w:vAlign w:val="center"/>
          </w:tcPr>
          <w:p w14:paraId="60709F53"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苏菁、李佩、冯蕾、王春雨、王晶</w:t>
            </w:r>
          </w:p>
        </w:tc>
      </w:tr>
      <w:tr w:rsidR="00D554C2" w:rsidRPr="00D554C2" w14:paraId="5235FD8A" w14:textId="77777777" w:rsidTr="009B4CAE">
        <w:trPr>
          <w:trHeight w:val="836"/>
          <w:jc w:val="center"/>
        </w:trPr>
        <w:tc>
          <w:tcPr>
            <w:tcW w:w="1581" w:type="dxa"/>
            <w:vAlign w:val="center"/>
          </w:tcPr>
          <w:p w14:paraId="35D9BD7C"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大纲撰写人</w:t>
            </w:r>
          </w:p>
        </w:tc>
        <w:tc>
          <w:tcPr>
            <w:tcW w:w="2662" w:type="dxa"/>
            <w:vAlign w:val="center"/>
          </w:tcPr>
          <w:p w14:paraId="7D4718DB"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苏菁</w:t>
            </w:r>
          </w:p>
        </w:tc>
        <w:tc>
          <w:tcPr>
            <w:tcW w:w="1482" w:type="dxa"/>
            <w:vAlign w:val="center"/>
          </w:tcPr>
          <w:p w14:paraId="2B918F75"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大纲审核人</w:t>
            </w:r>
          </w:p>
        </w:tc>
        <w:tc>
          <w:tcPr>
            <w:tcW w:w="2797" w:type="dxa"/>
            <w:vAlign w:val="center"/>
          </w:tcPr>
          <w:p w14:paraId="0A3945C3" w14:textId="77777777" w:rsidR="00D554C2" w:rsidRPr="00D554C2" w:rsidRDefault="00D554C2" w:rsidP="00D554C2">
            <w:pPr>
              <w:spacing w:line="440" w:lineRule="exact"/>
              <w:jc w:val="center"/>
              <w:rPr>
                <w:rFonts w:ascii="宋体" w:eastAsia="宋体" w:hAnsi="宋体" w:cs="Times New Roman"/>
                <w:sz w:val="24"/>
              </w:rPr>
            </w:pPr>
            <w:proofErr w:type="gramStart"/>
            <w:r w:rsidRPr="00D554C2">
              <w:rPr>
                <w:rFonts w:ascii="宋体" w:eastAsia="宋体" w:hAnsi="宋体" w:cs="Times New Roman" w:hint="eastAsia"/>
                <w:sz w:val="24"/>
              </w:rPr>
              <w:t>左健</w:t>
            </w:r>
            <w:proofErr w:type="gramEnd"/>
          </w:p>
        </w:tc>
      </w:tr>
      <w:tr w:rsidR="00D554C2" w:rsidRPr="00D554C2" w14:paraId="3ECA66CA" w14:textId="77777777" w:rsidTr="009B4CAE">
        <w:trPr>
          <w:trHeight w:val="848"/>
          <w:jc w:val="center"/>
        </w:trPr>
        <w:tc>
          <w:tcPr>
            <w:tcW w:w="1581" w:type="dxa"/>
            <w:vAlign w:val="center"/>
          </w:tcPr>
          <w:p w14:paraId="7C4C7DB5"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先修课程</w:t>
            </w:r>
          </w:p>
        </w:tc>
        <w:tc>
          <w:tcPr>
            <w:tcW w:w="6941" w:type="dxa"/>
            <w:gridSpan w:val="3"/>
            <w:vAlign w:val="center"/>
          </w:tcPr>
          <w:p w14:paraId="1D7F7C25" w14:textId="77777777" w:rsidR="00D554C2" w:rsidRPr="00D554C2" w:rsidRDefault="00D554C2" w:rsidP="00D554C2">
            <w:pPr>
              <w:spacing w:line="440" w:lineRule="exact"/>
              <w:jc w:val="center"/>
              <w:rPr>
                <w:rFonts w:ascii="宋体" w:eastAsia="宋体" w:hAnsi="宋体" w:cs="Times New Roman"/>
                <w:sz w:val="24"/>
              </w:rPr>
            </w:pPr>
          </w:p>
        </w:tc>
      </w:tr>
      <w:tr w:rsidR="00D554C2" w:rsidRPr="00D554C2" w14:paraId="293DD5B2" w14:textId="77777777" w:rsidTr="009B4CAE">
        <w:trPr>
          <w:trHeight w:val="848"/>
          <w:jc w:val="center"/>
        </w:trPr>
        <w:tc>
          <w:tcPr>
            <w:tcW w:w="1581" w:type="dxa"/>
            <w:vAlign w:val="center"/>
          </w:tcPr>
          <w:p w14:paraId="75D63AEE"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课程网址</w:t>
            </w:r>
          </w:p>
        </w:tc>
        <w:tc>
          <w:tcPr>
            <w:tcW w:w="6941" w:type="dxa"/>
            <w:gridSpan w:val="3"/>
            <w:vAlign w:val="center"/>
          </w:tcPr>
          <w:p w14:paraId="369FBDB7" w14:textId="77777777" w:rsidR="00D554C2" w:rsidRPr="00D554C2" w:rsidRDefault="00D554C2" w:rsidP="00D554C2">
            <w:pPr>
              <w:spacing w:line="440" w:lineRule="exact"/>
              <w:rPr>
                <w:rFonts w:ascii="宋体" w:eastAsia="宋体" w:hAnsi="宋体" w:cs="Times New Roman"/>
                <w:color w:val="FF0000"/>
                <w:sz w:val="24"/>
              </w:rPr>
            </w:pPr>
          </w:p>
        </w:tc>
      </w:tr>
    </w:tbl>
    <w:p w14:paraId="443BDAB1"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二、课程学习目标及与毕业要求的对应关系</w:t>
      </w:r>
    </w:p>
    <w:p w14:paraId="474187A6"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（一）课程学习目标</w:t>
      </w:r>
    </w:p>
    <w:p w14:paraId="37FDD2DB"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通过本课程的学习，使学生达到以下目标：</w:t>
      </w:r>
    </w:p>
    <w:p w14:paraId="1F8EF673"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4A9159EA"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4533526E" w14:textId="77777777" w:rsidR="00D554C2" w:rsidRPr="006D5349" w:rsidRDefault="00D554C2" w:rsidP="00D554C2">
      <w:pPr>
        <w:spacing w:line="440" w:lineRule="exact"/>
        <w:ind w:firstLineChars="200" w:firstLine="480"/>
        <w:rPr>
          <w:rFonts w:ascii="宋体" w:eastAsia="宋体" w:hAnsi="宋体" w:cs="Times New Roman"/>
          <w:b/>
          <w:bCs/>
          <w:sz w:val="24"/>
        </w:rPr>
      </w:pPr>
      <w:r w:rsidRPr="00D554C2">
        <w:rPr>
          <w:rFonts w:ascii="宋体" w:eastAsia="宋体" w:hAnsi="宋体" w:cs="仿宋_GB2312" w:hint="eastAsia"/>
          <w:sz w:val="24"/>
        </w:rPr>
        <w:lastRenderedPageBreak/>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w:t>
      </w:r>
      <w:r w:rsidRPr="006D5349">
        <w:rPr>
          <w:rFonts w:ascii="宋体" w:eastAsia="宋体" w:hAnsi="宋体" w:cs="仿宋_GB2312" w:hint="eastAsia"/>
          <w:b/>
          <w:bCs/>
          <w:sz w:val="24"/>
        </w:rPr>
        <w:t>【毕业要求8/12 终身学习】</w:t>
      </w:r>
    </w:p>
    <w:p w14:paraId="5CEE196E"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D554C2" w:rsidRPr="00D554C2" w14:paraId="32403DB3" w14:textId="77777777" w:rsidTr="009B4CAE">
        <w:trPr>
          <w:trHeight w:val="815"/>
          <w:jc w:val="center"/>
        </w:trPr>
        <w:tc>
          <w:tcPr>
            <w:tcW w:w="1566" w:type="dxa"/>
            <w:vAlign w:val="center"/>
          </w:tcPr>
          <w:p w14:paraId="35527823"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毕业要求</w:t>
            </w:r>
          </w:p>
        </w:tc>
        <w:tc>
          <w:tcPr>
            <w:tcW w:w="6237" w:type="dxa"/>
            <w:vAlign w:val="center"/>
          </w:tcPr>
          <w:p w14:paraId="37D7B520"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毕业要求指标点</w:t>
            </w:r>
          </w:p>
        </w:tc>
        <w:tc>
          <w:tcPr>
            <w:tcW w:w="1366" w:type="dxa"/>
            <w:vAlign w:val="center"/>
          </w:tcPr>
          <w:p w14:paraId="694C615E"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课程目标</w:t>
            </w:r>
          </w:p>
        </w:tc>
      </w:tr>
      <w:tr w:rsidR="00D554C2" w:rsidRPr="00D554C2" w14:paraId="6B295F65" w14:textId="77777777" w:rsidTr="009B4CAE">
        <w:trPr>
          <w:jc w:val="center"/>
        </w:trPr>
        <w:tc>
          <w:tcPr>
            <w:tcW w:w="1566" w:type="dxa"/>
            <w:vAlign w:val="center"/>
          </w:tcPr>
          <w:p w14:paraId="658BBABE"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职业规范</w:t>
            </w:r>
            <w:r w:rsidRPr="00D554C2">
              <w:rPr>
                <w:rFonts w:ascii="宋体" w:eastAsia="宋体" w:hAnsi="宋体" w:cs="Times New Roman"/>
                <w:sz w:val="24"/>
              </w:rPr>
              <w:t>（</w:t>
            </w:r>
            <w:r w:rsidRPr="00D554C2">
              <w:rPr>
                <w:rFonts w:ascii="宋体" w:eastAsia="宋体" w:hAnsi="宋体" w:cs="Times New Roman" w:hint="eastAsia"/>
                <w:sz w:val="24"/>
              </w:rPr>
              <w:t>M</w:t>
            </w:r>
            <w:r w:rsidRPr="00D554C2">
              <w:rPr>
                <w:rFonts w:ascii="宋体" w:eastAsia="宋体" w:hAnsi="宋体" w:cs="Times New Roman"/>
                <w:sz w:val="24"/>
              </w:rPr>
              <w:t>）</w:t>
            </w:r>
          </w:p>
        </w:tc>
        <w:tc>
          <w:tcPr>
            <w:tcW w:w="6237" w:type="dxa"/>
            <w:vAlign w:val="center"/>
          </w:tcPr>
          <w:p w14:paraId="3C87E623" w14:textId="77777777" w:rsidR="00D554C2" w:rsidRPr="00D554C2" w:rsidRDefault="00D554C2" w:rsidP="00D554C2">
            <w:pPr>
              <w:spacing w:line="440" w:lineRule="exact"/>
              <w:rPr>
                <w:rFonts w:ascii="宋体" w:eastAsia="宋体" w:hAnsi="宋体" w:cs="仿宋_GB2312"/>
                <w:sz w:val="24"/>
              </w:rPr>
            </w:pPr>
          </w:p>
          <w:p w14:paraId="4494A1C2" w14:textId="77777777" w:rsidR="00D554C2" w:rsidRPr="00D554C2" w:rsidRDefault="00D554C2" w:rsidP="00D554C2">
            <w:pPr>
              <w:spacing w:line="440" w:lineRule="exact"/>
              <w:rPr>
                <w:rFonts w:ascii="宋体" w:eastAsia="宋体" w:hAnsi="宋体" w:cs="仿宋_GB2312"/>
                <w:sz w:val="24"/>
              </w:rPr>
            </w:pPr>
          </w:p>
          <w:p w14:paraId="150E6F8A" w14:textId="77777777" w:rsidR="00D554C2" w:rsidRPr="00D554C2" w:rsidRDefault="00D554C2" w:rsidP="00D554C2">
            <w:pPr>
              <w:spacing w:line="440" w:lineRule="exact"/>
              <w:rPr>
                <w:rFonts w:ascii="宋体" w:eastAsia="宋体" w:hAnsi="宋体" w:cs="Times New Roman"/>
                <w:sz w:val="24"/>
              </w:rPr>
            </w:pPr>
          </w:p>
        </w:tc>
        <w:tc>
          <w:tcPr>
            <w:tcW w:w="1366" w:type="dxa"/>
            <w:vAlign w:val="center"/>
          </w:tcPr>
          <w:p w14:paraId="65D9AF5D" w14:textId="77777777" w:rsidR="00D554C2" w:rsidRPr="00D554C2" w:rsidRDefault="00D554C2" w:rsidP="00D554C2">
            <w:pPr>
              <w:spacing w:line="440" w:lineRule="exact"/>
              <w:rPr>
                <w:rFonts w:ascii="宋体" w:eastAsia="宋体" w:hAnsi="宋体" w:cs="Times New Roman"/>
                <w:sz w:val="24"/>
              </w:rPr>
            </w:pPr>
            <w:r w:rsidRPr="00D554C2">
              <w:rPr>
                <w:rFonts w:ascii="宋体" w:eastAsia="宋体" w:hAnsi="宋体" w:cs="Times New Roman" w:hint="eastAsia"/>
                <w:sz w:val="24"/>
              </w:rPr>
              <w:t>课程目标1</w:t>
            </w:r>
          </w:p>
        </w:tc>
      </w:tr>
      <w:tr w:rsidR="00D554C2" w:rsidRPr="00D554C2" w14:paraId="2DDFB0F5" w14:textId="77777777" w:rsidTr="009B4CAE">
        <w:trPr>
          <w:jc w:val="center"/>
        </w:trPr>
        <w:tc>
          <w:tcPr>
            <w:tcW w:w="1566" w:type="dxa"/>
            <w:vAlign w:val="center"/>
          </w:tcPr>
          <w:p w14:paraId="2D3D9303"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沟通</w:t>
            </w:r>
            <w:r w:rsidRPr="00D554C2">
              <w:rPr>
                <w:rFonts w:ascii="宋体" w:eastAsia="宋体" w:hAnsi="宋体" w:cs="Times New Roman"/>
                <w:sz w:val="24"/>
              </w:rPr>
              <w:t>（</w:t>
            </w:r>
            <w:r w:rsidRPr="00D554C2">
              <w:rPr>
                <w:rFonts w:ascii="宋体" w:eastAsia="宋体" w:hAnsi="宋体" w:cs="Times New Roman" w:hint="eastAsia"/>
                <w:sz w:val="24"/>
              </w:rPr>
              <w:t>M</w:t>
            </w:r>
            <w:r w:rsidRPr="00D554C2">
              <w:rPr>
                <w:rFonts w:ascii="宋体" w:eastAsia="宋体" w:hAnsi="宋体" w:cs="Times New Roman"/>
                <w:sz w:val="24"/>
              </w:rPr>
              <w:t>）</w:t>
            </w:r>
          </w:p>
        </w:tc>
        <w:tc>
          <w:tcPr>
            <w:tcW w:w="6237" w:type="dxa"/>
            <w:vAlign w:val="center"/>
          </w:tcPr>
          <w:p w14:paraId="2E3DB488" w14:textId="77777777" w:rsidR="00D554C2" w:rsidRPr="00D554C2" w:rsidRDefault="00D554C2" w:rsidP="00D554C2">
            <w:pPr>
              <w:spacing w:line="440" w:lineRule="exact"/>
              <w:rPr>
                <w:rFonts w:ascii="宋体" w:eastAsia="宋体" w:hAnsi="宋体" w:cs="Times New Roman"/>
                <w:sz w:val="24"/>
              </w:rPr>
            </w:pPr>
          </w:p>
          <w:p w14:paraId="1043821A" w14:textId="77777777" w:rsidR="00D554C2" w:rsidRPr="00D554C2" w:rsidRDefault="00D554C2" w:rsidP="00D554C2">
            <w:pPr>
              <w:spacing w:line="440" w:lineRule="exact"/>
              <w:rPr>
                <w:rFonts w:ascii="宋体" w:eastAsia="宋体" w:hAnsi="宋体" w:cs="Times New Roman"/>
                <w:sz w:val="24"/>
              </w:rPr>
            </w:pPr>
          </w:p>
          <w:p w14:paraId="08E2D7DF" w14:textId="77777777" w:rsidR="00D554C2" w:rsidRPr="00D554C2" w:rsidRDefault="00D554C2" w:rsidP="00D554C2">
            <w:pPr>
              <w:spacing w:line="440" w:lineRule="exact"/>
              <w:rPr>
                <w:rFonts w:ascii="宋体" w:eastAsia="宋体" w:hAnsi="宋体" w:cs="Times New Roman"/>
                <w:sz w:val="24"/>
              </w:rPr>
            </w:pPr>
          </w:p>
        </w:tc>
        <w:tc>
          <w:tcPr>
            <w:tcW w:w="1366" w:type="dxa"/>
            <w:vAlign w:val="center"/>
          </w:tcPr>
          <w:p w14:paraId="018030E0" w14:textId="77777777" w:rsidR="00D554C2" w:rsidRPr="00D554C2" w:rsidRDefault="00D554C2" w:rsidP="00D554C2">
            <w:pPr>
              <w:spacing w:line="440" w:lineRule="exact"/>
              <w:rPr>
                <w:rFonts w:ascii="宋体" w:eastAsia="宋体" w:hAnsi="宋体" w:cs="仿宋_GB2312"/>
                <w:sz w:val="24"/>
              </w:rPr>
            </w:pPr>
            <w:r w:rsidRPr="00D554C2">
              <w:rPr>
                <w:rFonts w:ascii="宋体" w:eastAsia="宋体" w:hAnsi="宋体" w:cs="Times New Roman" w:hint="eastAsia"/>
                <w:sz w:val="24"/>
              </w:rPr>
              <w:t>课程目标</w:t>
            </w:r>
            <w:r w:rsidRPr="00D554C2">
              <w:rPr>
                <w:rFonts w:ascii="宋体" w:eastAsia="宋体" w:hAnsi="宋体" w:cs="Times New Roman"/>
                <w:sz w:val="24"/>
              </w:rPr>
              <w:t>2</w:t>
            </w:r>
          </w:p>
        </w:tc>
      </w:tr>
      <w:tr w:rsidR="00D554C2" w:rsidRPr="00D554C2" w14:paraId="550B64F2" w14:textId="77777777" w:rsidTr="009B4CAE">
        <w:trPr>
          <w:jc w:val="center"/>
        </w:trPr>
        <w:tc>
          <w:tcPr>
            <w:tcW w:w="1566" w:type="dxa"/>
            <w:vAlign w:val="center"/>
          </w:tcPr>
          <w:p w14:paraId="79946797"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终身学习</w:t>
            </w:r>
            <w:r w:rsidRPr="00D554C2">
              <w:rPr>
                <w:rFonts w:ascii="宋体" w:eastAsia="宋体" w:hAnsi="宋体" w:cs="Times New Roman"/>
                <w:sz w:val="24"/>
              </w:rPr>
              <w:t>（</w:t>
            </w:r>
            <w:r w:rsidRPr="00D554C2">
              <w:rPr>
                <w:rFonts w:ascii="宋体" w:eastAsia="宋体" w:hAnsi="宋体" w:cs="Times New Roman" w:hint="eastAsia"/>
                <w:sz w:val="24"/>
              </w:rPr>
              <w:t>H</w:t>
            </w:r>
            <w:r w:rsidRPr="00D554C2">
              <w:rPr>
                <w:rFonts w:ascii="宋体" w:eastAsia="宋体" w:hAnsi="宋体" w:cs="Times New Roman"/>
                <w:sz w:val="24"/>
              </w:rPr>
              <w:t>）</w:t>
            </w:r>
          </w:p>
        </w:tc>
        <w:tc>
          <w:tcPr>
            <w:tcW w:w="6237" w:type="dxa"/>
            <w:vAlign w:val="center"/>
          </w:tcPr>
          <w:p w14:paraId="4D570739" w14:textId="77777777" w:rsidR="00D554C2" w:rsidRPr="00D554C2" w:rsidRDefault="00D554C2" w:rsidP="00D554C2">
            <w:pPr>
              <w:spacing w:line="440" w:lineRule="exact"/>
              <w:rPr>
                <w:rFonts w:ascii="宋体" w:eastAsia="宋体" w:hAnsi="宋体" w:cs="仿宋_GB2312"/>
                <w:sz w:val="24"/>
              </w:rPr>
            </w:pPr>
          </w:p>
          <w:p w14:paraId="1EBD0594" w14:textId="77777777" w:rsidR="00D554C2" w:rsidRPr="00D554C2" w:rsidRDefault="00D554C2" w:rsidP="00D554C2">
            <w:pPr>
              <w:spacing w:line="440" w:lineRule="exact"/>
              <w:rPr>
                <w:rFonts w:ascii="宋体" w:eastAsia="宋体" w:hAnsi="宋体" w:cs="仿宋_GB2312"/>
                <w:sz w:val="24"/>
              </w:rPr>
            </w:pPr>
          </w:p>
          <w:p w14:paraId="548BB982" w14:textId="77777777" w:rsidR="00D554C2" w:rsidRPr="00D554C2" w:rsidRDefault="00D554C2" w:rsidP="00D554C2">
            <w:pPr>
              <w:spacing w:line="440" w:lineRule="exact"/>
              <w:rPr>
                <w:rFonts w:ascii="宋体" w:eastAsia="宋体" w:hAnsi="宋体" w:cs="Times New Roman"/>
                <w:sz w:val="24"/>
              </w:rPr>
            </w:pPr>
          </w:p>
        </w:tc>
        <w:tc>
          <w:tcPr>
            <w:tcW w:w="1366" w:type="dxa"/>
            <w:vAlign w:val="center"/>
          </w:tcPr>
          <w:p w14:paraId="0F5899A7" w14:textId="77777777" w:rsidR="00D554C2" w:rsidRPr="00D554C2" w:rsidRDefault="00D554C2" w:rsidP="00D554C2">
            <w:pPr>
              <w:spacing w:line="440" w:lineRule="exact"/>
              <w:rPr>
                <w:rFonts w:ascii="宋体" w:eastAsia="宋体" w:hAnsi="宋体" w:cs="Times New Roman"/>
                <w:sz w:val="24"/>
              </w:rPr>
            </w:pPr>
            <w:r w:rsidRPr="00D554C2">
              <w:rPr>
                <w:rFonts w:ascii="宋体" w:eastAsia="宋体" w:hAnsi="宋体" w:cs="Times New Roman"/>
                <w:sz w:val="24"/>
              </w:rPr>
              <w:t>课程目标3</w:t>
            </w:r>
          </w:p>
        </w:tc>
      </w:tr>
    </w:tbl>
    <w:p w14:paraId="312C8A7B"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三、课程学习内容及与课程学习目标的对应关系</w:t>
      </w:r>
    </w:p>
    <w:p w14:paraId="14C9601C" w14:textId="77777777" w:rsidR="00D554C2" w:rsidRPr="00D554C2" w:rsidRDefault="00D554C2" w:rsidP="00D554C2">
      <w:pPr>
        <w:spacing w:beforeLines="50" w:before="156" w:afterLines="50" w:after="156" w:line="440" w:lineRule="exact"/>
        <w:ind w:firstLineChars="200" w:firstLine="562"/>
        <w:rPr>
          <w:rFonts w:ascii="黑体" w:eastAsia="黑体" w:hAnsi="黑体" w:cs="Times New Roman"/>
          <w:b/>
          <w:sz w:val="28"/>
          <w:szCs w:val="28"/>
        </w:rPr>
      </w:pPr>
      <w:r w:rsidRPr="00D554C2">
        <w:rPr>
          <w:rFonts w:ascii="黑体" w:eastAsia="黑体" w:hAnsi="黑体" w:cs="Times New Roman" w:hint="eastAsia"/>
          <w:b/>
          <w:sz w:val="28"/>
          <w:szCs w:val="28"/>
        </w:rPr>
        <w:t>（一）课程学习内容</w:t>
      </w:r>
    </w:p>
    <w:p w14:paraId="0C78DA55" w14:textId="77777777" w:rsidR="00D554C2" w:rsidRPr="00D554C2" w:rsidRDefault="00D554C2" w:rsidP="00D554C2">
      <w:pPr>
        <w:spacing w:beforeLines="50" w:before="156" w:afterLines="50" w:after="156" w:line="440" w:lineRule="exact"/>
        <w:ind w:firstLineChars="200" w:firstLine="560"/>
        <w:jc w:val="center"/>
        <w:rPr>
          <w:rFonts w:ascii="黑体" w:eastAsia="黑体" w:hAnsi="黑体" w:cs="Times New Roman"/>
          <w:sz w:val="28"/>
          <w:szCs w:val="28"/>
        </w:rPr>
      </w:pPr>
      <w:r w:rsidRPr="00D554C2">
        <w:rPr>
          <w:rFonts w:ascii="黑体" w:eastAsia="黑体" w:hAnsi="黑体" w:cs="Times New Roman" w:hint="eastAsia"/>
          <w:sz w:val="28"/>
          <w:szCs w:val="28"/>
        </w:rPr>
        <w:t>学习内容</w:t>
      </w:r>
      <w:proofErr w:type="gramStart"/>
      <w:r w:rsidRPr="00D554C2">
        <w:rPr>
          <w:rFonts w:ascii="黑体" w:eastAsia="黑体" w:hAnsi="黑体" w:cs="Times New Roman" w:hint="eastAsia"/>
          <w:sz w:val="28"/>
          <w:szCs w:val="28"/>
        </w:rPr>
        <w:t>一</w:t>
      </w:r>
      <w:proofErr w:type="gramEnd"/>
      <w:r w:rsidRPr="00D554C2">
        <w:rPr>
          <w:rFonts w:ascii="黑体" w:eastAsia="黑体" w:hAnsi="黑体" w:cs="Times New Roman" w:hint="eastAsia"/>
          <w:sz w:val="28"/>
          <w:szCs w:val="28"/>
        </w:rPr>
        <w:t xml:space="preserve"> 体能+啦</w:t>
      </w:r>
      <w:proofErr w:type="gramStart"/>
      <w:r w:rsidRPr="00D554C2">
        <w:rPr>
          <w:rFonts w:ascii="黑体" w:eastAsia="黑体" w:hAnsi="黑体" w:cs="Times New Roman" w:hint="eastAsia"/>
          <w:sz w:val="28"/>
          <w:szCs w:val="28"/>
        </w:rPr>
        <w:t>啦</w:t>
      </w:r>
      <w:proofErr w:type="gramEnd"/>
      <w:r w:rsidRPr="00D554C2">
        <w:rPr>
          <w:rFonts w:ascii="黑体" w:eastAsia="黑体" w:hAnsi="黑体" w:cs="Times New Roman" w:hint="eastAsia"/>
          <w:sz w:val="28"/>
          <w:szCs w:val="28"/>
        </w:rPr>
        <w:t xml:space="preserve">操 </w:t>
      </w:r>
    </w:p>
    <w:p w14:paraId="135C9F49" w14:textId="77777777" w:rsidR="00D554C2" w:rsidRPr="00D554C2" w:rsidRDefault="00D554C2" w:rsidP="00D554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【学习目标】</w:t>
      </w:r>
    </w:p>
    <w:p w14:paraId="63577408"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1.</w:t>
      </w:r>
      <w:r w:rsidRPr="00D554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D554C2">
        <w:rPr>
          <w:rFonts w:ascii="宋体" w:eastAsia="宋体" w:hAnsi="Calibri" w:cs="宋体" w:hint="eastAsia"/>
          <w:spacing w:val="5"/>
          <w:kern w:val="0"/>
          <w:sz w:val="24"/>
        </w:rPr>
        <w:t>通过体能教学活动，</w:t>
      </w:r>
      <w:r w:rsidRPr="00D554C2">
        <w:rPr>
          <w:rFonts w:ascii="宋体" w:eastAsia="宋体" w:hAnsi="宋体" w:cs="仿宋_GB2312" w:hint="eastAsia"/>
          <w:sz w:val="24"/>
        </w:rPr>
        <w:t>了解《大学生体质健康标准测验》项目内容、考核方式、评价标准，掌握考核内容锻炼的方式方法。</w:t>
      </w:r>
      <w:r w:rsidRPr="00D554C2">
        <w:rPr>
          <w:rFonts w:ascii="宋体" w:eastAsia="宋体" w:hAnsi="Calibri" w:cs="宋体" w:hint="eastAsia"/>
          <w:spacing w:val="5"/>
          <w:kern w:val="0"/>
          <w:sz w:val="24"/>
        </w:rPr>
        <w:t>培养学生努力学习、不断进取、修身立业、顽强奋进的精神与品质。</w:t>
      </w:r>
    </w:p>
    <w:p w14:paraId="2D0B3FCF"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2.</w:t>
      </w:r>
      <w:r w:rsidRPr="00D554C2">
        <w:rPr>
          <w:rFonts w:ascii="宋体" w:eastAsia="宋体" w:hAnsi="宋体" w:cs="仿宋_GB2312" w:hint="eastAsia"/>
          <w:sz w:val="24"/>
        </w:rPr>
        <w:t>使学生学习和掌握体育与健康的基础知识、技能与方法。使学生了解体育与健</w:t>
      </w:r>
      <w:r w:rsidRPr="00D554C2">
        <w:rPr>
          <w:rFonts w:ascii="宋体" w:eastAsia="宋体" w:hAnsi="宋体" w:cs="仿宋_GB2312" w:hint="eastAsia"/>
          <w:sz w:val="24"/>
        </w:rPr>
        <w:lastRenderedPageBreak/>
        <w:t>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D554C2">
        <w:rPr>
          <w:rFonts w:ascii="宋体" w:eastAsia="宋体" w:hAnsi="Calibri" w:cs="宋体" w:hint="eastAsia"/>
          <w:spacing w:val="5"/>
          <w:kern w:val="0"/>
          <w:sz w:val="24"/>
        </w:rPr>
        <w:t>。</w:t>
      </w:r>
    </w:p>
    <w:p w14:paraId="239BA711"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3.通过啦</w:t>
      </w:r>
      <w:proofErr w:type="gramStart"/>
      <w:r w:rsidRPr="00D554C2">
        <w:rPr>
          <w:rFonts w:ascii="宋体" w:eastAsia="宋体" w:hAnsi="Calibri" w:cs="宋体" w:hint="eastAsia"/>
          <w:spacing w:val="5"/>
          <w:kern w:val="0"/>
          <w:sz w:val="24"/>
        </w:rPr>
        <w:t>啦</w:t>
      </w:r>
      <w:proofErr w:type="gramEnd"/>
      <w:r w:rsidRPr="00D554C2">
        <w:rPr>
          <w:rFonts w:ascii="宋体" w:eastAsia="宋体" w:hAnsi="Calibri" w:cs="宋体" w:hint="eastAsia"/>
          <w:spacing w:val="5"/>
          <w:kern w:val="0"/>
          <w:sz w:val="24"/>
        </w:rPr>
        <w:t>操课程的学习，</w:t>
      </w:r>
      <w:r w:rsidRPr="00D554C2">
        <w:rPr>
          <w:rFonts w:ascii="宋体" w:eastAsia="宋体" w:hAnsi="宋体" w:cs="仿宋_GB2312" w:hint="eastAsia"/>
          <w:sz w:val="24"/>
        </w:rPr>
        <w:t>使学生能够了解啦</w:t>
      </w:r>
      <w:proofErr w:type="gramStart"/>
      <w:r w:rsidRPr="00D554C2">
        <w:rPr>
          <w:rFonts w:ascii="宋体" w:eastAsia="宋体" w:hAnsi="宋体" w:cs="仿宋_GB2312" w:hint="eastAsia"/>
          <w:sz w:val="24"/>
        </w:rPr>
        <w:t>啦</w:t>
      </w:r>
      <w:proofErr w:type="gramEnd"/>
      <w:r w:rsidRPr="00D554C2">
        <w:rPr>
          <w:rFonts w:ascii="宋体" w:eastAsia="宋体" w:hAnsi="宋体" w:cs="仿宋_GB2312" w:hint="eastAsia"/>
          <w:sz w:val="24"/>
        </w:rPr>
        <w:t>操文化，掌握啦</w:t>
      </w:r>
      <w:proofErr w:type="gramStart"/>
      <w:r w:rsidRPr="00D554C2">
        <w:rPr>
          <w:rFonts w:ascii="宋体" w:eastAsia="宋体" w:hAnsi="宋体" w:cs="仿宋_GB2312" w:hint="eastAsia"/>
          <w:sz w:val="24"/>
        </w:rPr>
        <w:t>啦操运动</w:t>
      </w:r>
      <w:proofErr w:type="gramEnd"/>
      <w:r w:rsidRPr="00D554C2">
        <w:rPr>
          <w:rFonts w:ascii="宋体" w:eastAsia="宋体" w:hAnsi="宋体" w:cs="仿宋_GB2312" w:hint="eastAsia"/>
          <w:sz w:val="24"/>
        </w:rPr>
        <w:t>的基本理论知识和技术特点。以运动和身体练习为基本手段，对大学生机体进行科学的培育，在提高人的生物潜能、心理潜能的过程中促进德、智、体、美全面发展，达到身心健康、全面发展的教育总目的</w:t>
      </w:r>
      <w:r w:rsidRPr="00D554C2">
        <w:rPr>
          <w:rFonts w:ascii="宋体" w:eastAsia="宋体" w:hAnsi="Calibri" w:cs="宋体" w:hint="eastAsia"/>
          <w:spacing w:val="5"/>
          <w:kern w:val="0"/>
          <w:sz w:val="24"/>
        </w:rPr>
        <w:t>。</w:t>
      </w:r>
    </w:p>
    <w:p w14:paraId="2564F9DD" w14:textId="77777777" w:rsidR="00D554C2" w:rsidRPr="00D554C2" w:rsidRDefault="00D554C2" w:rsidP="00D554C2">
      <w:pPr>
        <w:spacing w:line="440" w:lineRule="exact"/>
        <w:ind w:firstLineChars="200" w:firstLine="500"/>
        <w:rPr>
          <w:rFonts w:ascii="Calibri" w:eastAsia="宋体" w:hAnsi="Calibri" w:cs="Times New Roman"/>
        </w:rPr>
      </w:pPr>
      <w:r w:rsidRPr="00D554C2">
        <w:rPr>
          <w:rFonts w:ascii="宋体" w:eastAsia="宋体" w:hAnsi="Calibri" w:cs="宋体" w:hint="eastAsia"/>
          <w:spacing w:val="5"/>
          <w:kern w:val="0"/>
          <w:sz w:val="24"/>
        </w:rPr>
        <w:t>4.</w:t>
      </w:r>
      <w:r w:rsidRPr="00D554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D554C2">
        <w:rPr>
          <w:rFonts w:ascii="宋体" w:eastAsia="宋体" w:hAnsi="Calibri" w:cs="宋体" w:hint="eastAsia"/>
          <w:spacing w:val="5"/>
          <w:kern w:val="0"/>
          <w:sz w:val="24"/>
        </w:rPr>
        <w:t>。</w:t>
      </w:r>
    </w:p>
    <w:p w14:paraId="2DD26017" w14:textId="77777777" w:rsidR="00D554C2" w:rsidRPr="00D554C2" w:rsidRDefault="00D554C2" w:rsidP="00D554C2">
      <w:pPr>
        <w:spacing w:line="440" w:lineRule="exact"/>
        <w:rPr>
          <w:rFonts w:ascii="宋体" w:eastAsia="宋体" w:hAnsi="宋体" w:cs="Times New Roman"/>
          <w:b/>
          <w:sz w:val="24"/>
        </w:rPr>
      </w:pPr>
    </w:p>
    <w:p w14:paraId="7ABD0CCC" w14:textId="77777777" w:rsidR="00D554C2" w:rsidRPr="00D554C2" w:rsidRDefault="00D554C2" w:rsidP="00D554C2">
      <w:pPr>
        <w:spacing w:line="44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【学习内容】</w:t>
      </w:r>
    </w:p>
    <w:p w14:paraId="41A0E206" w14:textId="77777777" w:rsidR="00D554C2" w:rsidRPr="00D554C2" w:rsidRDefault="00D554C2" w:rsidP="00D554C2">
      <w:pPr>
        <w:spacing w:beforeLines="50" w:before="156" w:afterLines="50" w:after="156" w:line="360" w:lineRule="auto"/>
        <w:jc w:val="center"/>
        <w:rPr>
          <w:rFonts w:ascii="宋体" w:eastAsia="宋体" w:hAnsi="Calibri" w:cs="Arial"/>
          <w:b/>
          <w:sz w:val="28"/>
          <w:szCs w:val="28"/>
        </w:rPr>
      </w:pPr>
      <w:r w:rsidRPr="00D554C2">
        <w:rPr>
          <w:rFonts w:ascii="宋体" w:eastAsia="宋体" w:hAnsi="宋体" w:cs="Arial" w:hint="eastAsia"/>
          <w:b/>
          <w:sz w:val="28"/>
          <w:szCs w:val="28"/>
        </w:rPr>
        <w:t>第一章</w:t>
      </w:r>
      <w:r w:rsidRPr="00D554C2">
        <w:rPr>
          <w:rFonts w:ascii="宋体" w:eastAsia="宋体" w:hAnsi="宋体" w:cs="Arial"/>
          <w:b/>
          <w:sz w:val="28"/>
          <w:szCs w:val="28"/>
        </w:rPr>
        <w:t xml:space="preserve">   </w:t>
      </w:r>
      <w:r w:rsidRPr="00D554C2">
        <w:rPr>
          <w:rFonts w:ascii="宋体" w:eastAsia="宋体" w:hAnsi="宋体" w:cs="Arial" w:hint="eastAsia"/>
          <w:b/>
          <w:sz w:val="28"/>
          <w:szCs w:val="28"/>
        </w:rPr>
        <w:t>认识健康的重要性（0.5学时）</w:t>
      </w:r>
    </w:p>
    <w:p w14:paraId="540BDA05" w14:textId="77777777" w:rsidR="00D554C2" w:rsidRPr="00D554C2" w:rsidRDefault="00D554C2" w:rsidP="00D554C2">
      <w:pPr>
        <w:spacing w:before="50" w:after="50"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65B7C37C"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1.1 健康的内涵</w:t>
      </w:r>
    </w:p>
    <w:p w14:paraId="55D36BCC"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1.2 预防与消除亚健康</w:t>
      </w:r>
    </w:p>
    <w:p w14:paraId="2ADB65B3"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1.3 维护健康的法则</w:t>
      </w:r>
    </w:p>
    <w:p w14:paraId="3DD94FC8" w14:textId="77777777" w:rsidR="00D554C2" w:rsidRPr="00D554C2" w:rsidRDefault="00D554C2" w:rsidP="00D554C2">
      <w:pPr>
        <w:spacing w:line="360" w:lineRule="auto"/>
        <w:ind w:leftChars="-29" w:left="-61" w:firstLineChars="219" w:firstLine="528"/>
        <w:rPr>
          <w:rFonts w:ascii="Arial" w:eastAsia="宋体" w:hAnsi="Calibri" w:cs="Arial"/>
          <w:b/>
          <w:sz w:val="24"/>
        </w:rPr>
      </w:pPr>
      <w:r w:rsidRPr="00D554C2">
        <w:rPr>
          <w:rFonts w:ascii="Arial" w:eastAsia="宋体" w:hAnsi="Calibri" w:cs="Arial" w:hint="eastAsia"/>
          <w:b/>
          <w:sz w:val="24"/>
        </w:rPr>
        <w:t>本章教学目的及要求：</w:t>
      </w:r>
      <w:r w:rsidRPr="00D554C2">
        <w:rPr>
          <w:rFonts w:ascii="Arial" w:eastAsia="宋体" w:hAnsi="Arial" w:cs="Arial" w:hint="eastAsia"/>
          <w:sz w:val="24"/>
        </w:rPr>
        <w:t>使同学们了解自身健康的重要性及如何维护、促进自身的健康。</w:t>
      </w:r>
    </w:p>
    <w:p w14:paraId="54D677A2" w14:textId="77777777" w:rsidR="00D554C2" w:rsidRPr="00D554C2" w:rsidRDefault="00D554C2" w:rsidP="00D554C2">
      <w:pPr>
        <w:adjustRightInd w:val="0"/>
        <w:snapToGrid w:val="0"/>
        <w:spacing w:line="500" w:lineRule="exact"/>
        <w:ind w:firstLineChars="196" w:firstLine="472"/>
        <w:rPr>
          <w:rFonts w:ascii="Arial" w:eastAsia="宋体" w:hAnsi="Arial" w:cs="Arial"/>
          <w:sz w:val="24"/>
        </w:rPr>
      </w:pPr>
      <w:r w:rsidRPr="00D554C2">
        <w:rPr>
          <w:rFonts w:ascii="Arial" w:eastAsia="宋体" w:hAnsi="Calibri" w:cs="Arial" w:hint="eastAsia"/>
          <w:b/>
          <w:sz w:val="24"/>
        </w:rPr>
        <w:t>本章教学重点及难点：</w:t>
      </w:r>
      <w:r w:rsidRPr="00D554C2">
        <w:rPr>
          <w:rFonts w:ascii="Arial" w:eastAsia="宋体" w:hAnsi="Arial" w:cs="Arial" w:hint="eastAsia"/>
          <w:sz w:val="24"/>
        </w:rPr>
        <w:t>认识到健康的重要性；如何维护自身的健康。</w:t>
      </w:r>
    </w:p>
    <w:p w14:paraId="42B862BC" w14:textId="77777777" w:rsidR="00D554C2" w:rsidRPr="00D554C2" w:rsidRDefault="00D554C2" w:rsidP="00D554C2">
      <w:pPr>
        <w:spacing w:beforeLines="50" w:before="156" w:afterLines="50" w:after="156" w:line="360" w:lineRule="auto"/>
        <w:jc w:val="center"/>
        <w:rPr>
          <w:rFonts w:ascii="Arial" w:eastAsia="宋体" w:hAnsi="Arial" w:cs="Arial"/>
          <w:b/>
          <w:sz w:val="28"/>
          <w:szCs w:val="28"/>
        </w:rPr>
      </w:pPr>
      <w:r w:rsidRPr="00D554C2">
        <w:rPr>
          <w:rFonts w:ascii="Arial" w:eastAsia="宋体" w:hAnsi="Calibri" w:cs="Arial" w:hint="eastAsia"/>
          <w:b/>
          <w:sz w:val="28"/>
          <w:szCs w:val="28"/>
        </w:rPr>
        <w:t>第二章</w:t>
      </w:r>
      <w:r w:rsidRPr="00D554C2">
        <w:rPr>
          <w:rFonts w:ascii="Arial" w:eastAsia="宋体" w:hAnsi="Arial" w:cs="Arial"/>
          <w:b/>
          <w:sz w:val="28"/>
          <w:szCs w:val="28"/>
        </w:rPr>
        <w:t xml:space="preserve">   </w:t>
      </w:r>
      <w:r w:rsidRPr="00D554C2">
        <w:rPr>
          <w:rFonts w:ascii="Arial" w:eastAsia="宋体" w:hAnsi="Calibri" w:cs="Arial" w:hint="eastAsia"/>
          <w:b/>
          <w:sz w:val="28"/>
          <w:szCs w:val="28"/>
        </w:rPr>
        <w:t>科学健身的理论与方法（</w:t>
      </w:r>
      <w:r w:rsidRPr="00D554C2">
        <w:rPr>
          <w:rFonts w:ascii="Arial" w:eastAsia="宋体" w:hAnsi="Calibri" w:cs="Arial" w:hint="eastAsia"/>
          <w:b/>
          <w:sz w:val="28"/>
          <w:szCs w:val="28"/>
        </w:rPr>
        <w:t>0.5</w:t>
      </w:r>
      <w:r w:rsidRPr="00D554C2">
        <w:rPr>
          <w:rFonts w:ascii="Arial" w:eastAsia="宋体" w:hAnsi="Calibri" w:cs="Arial" w:hint="eastAsia"/>
          <w:b/>
          <w:sz w:val="28"/>
          <w:szCs w:val="28"/>
        </w:rPr>
        <w:t>学时）</w:t>
      </w:r>
    </w:p>
    <w:p w14:paraId="36B09AD1"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30301992"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2.1 健身新理念</w:t>
      </w:r>
    </w:p>
    <w:p w14:paraId="4051C11E"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lastRenderedPageBreak/>
        <w:t>2.2 运动处方</w:t>
      </w:r>
    </w:p>
    <w:p w14:paraId="1B6A75E4" w14:textId="77777777" w:rsidR="00D554C2" w:rsidRPr="00D554C2" w:rsidRDefault="00D554C2" w:rsidP="00D554C2">
      <w:pPr>
        <w:spacing w:line="360" w:lineRule="auto"/>
        <w:ind w:firstLineChars="196" w:firstLine="472"/>
        <w:rPr>
          <w:rFonts w:ascii="Calibri" w:eastAsia="宋体" w:hAnsi="Calibri" w:cs="Times New Roman"/>
          <w:bCs/>
          <w:sz w:val="24"/>
        </w:rPr>
      </w:pPr>
      <w:r w:rsidRPr="00D554C2">
        <w:rPr>
          <w:rFonts w:ascii="Arial" w:eastAsia="宋体" w:hAnsi="Calibri" w:cs="Arial" w:hint="eastAsia"/>
          <w:b/>
          <w:sz w:val="24"/>
        </w:rPr>
        <w:t>本章教学目的及要求：</w:t>
      </w:r>
      <w:r w:rsidRPr="00D554C2">
        <w:rPr>
          <w:rFonts w:ascii="Calibri" w:eastAsia="宋体" w:hAnsi="Calibri" w:cs="Times New Roman" w:hint="eastAsia"/>
          <w:bCs/>
          <w:sz w:val="24"/>
        </w:rPr>
        <w:t>使学生了解健身新理念及运动处方如何制定。</w:t>
      </w:r>
    </w:p>
    <w:p w14:paraId="5E396512" w14:textId="77777777" w:rsidR="00D554C2" w:rsidRPr="00D554C2" w:rsidRDefault="00D554C2" w:rsidP="00D554C2">
      <w:pPr>
        <w:spacing w:line="360" w:lineRule="auto"/>
        <w:ind w:firstLineChars="200" w:firstLine="482"/>
        <w:rPr>
          <w:rFonts w:ascii="Arial" w:eastAsia="宋体" w:hAnsi="Arial" w:cs="Arial"/>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制订运动处方的重要性；如何制订自身的运动处方。</w:t>
      </w:r>
    </w:p>
    <w:p w14:paraId="5AE75B0C" w14:textId="77777777" w:rsidR="00D554C2" w:rsidRPr="00D554C2" w:rsidRDefault="00D554C2" w:rsidP="00D554C2">
      <w:pPr>
        <w:spacing w:beforeLines="50" w:before="156" w:afterLines="50" w:after="156" w:line="360" w:lineRule="auto"/>
        <w:jc w:val="center"/>
        <w:rPr>
          <w:rFonts w:ascii="Arial" w:eastAsia="宋体" w:hAnsi="Arial" w:cs="Arial"/>
          <w:b/>
          <w:sz w:val="28"/>
          <w:szCs w:val="28"/>
        </w:rPr>
      </w:pPr>
      <w:r w:rsidRPr="00D554C2">
        <w:rPr>
          <w:rFonts w:ascii="Arial" w:eastAsia="宋体" w:hAnsi="Calibri" w:cs="Arial" w:hint="eastAsia"/>
          <w:b/>
          <w:sz w:val="28"/>
          <w:szCs w:val="28"/>
        </w:rPr>
        <w:t>第三章</w:t>
      </w:r>
      <w:r w:rsidRPr="00D554C2">
        <w:rPr>
          <w:rFonts w:ascii="Arial" w:eastAsia="宋体" w:hAnsi="Arial" w:cs="Arial"/>
          <w:b/>
          <w:sz w:val="28"/>
          <w:szCs w:val="28"/>
        </w:rPr>
        <w:t xml:space="preserve">   </w:t>
      </w:r>
      <w:r w:rsidRPr="00D554C2">
        <w:rPr>
          <w:rFonts w:ascii="Arial" w:eastAsia="宋体" w:hAnsi="Calibri" w:cs="Arial" w:hint="eastAsia"/>
          <w:b/>
          <w:sz w:val="28"/>
          <w:szCs w:val="28"/>
        </w:rPr>
        <w:t>营养与健康（</w:t>
      </w:r>
      <w:r w:rsidRPr="00D554C2">
        <w:rPr>
          <w:rFonts w:ascii="Arial" w:eastAsia="宋体" w:hAnsi="Calibri" w:cs="Arial" w:hint="eastAsia"/>
          <w:b/>
          <w:sz w:val="28"/>
          <w:szCs w:val="28"/>
        </w:rPr>
        <w:t>0.5</w:t>
      </w:r>
      <w:r w:rsidRPr="00D554C2">
        <w:rPr>
          <w:rFonts w:ascii="Arial" w:eastAsia="宋体" w:hAnsi="Calibri" w:cs="Arial" w:hint="eastAsia"/>
          <w:b/>
          <w:sz w:val="28"/>
          <w:szCs w:val="28"/>
        </w:rPr>
        <w:t>学时）</w:t>
      </w:r>
    </w:p>
    <w:p w14:paraId="789CD0B2"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32FF27BD"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3.1 营养对健康的影响</w:t>
      </w:r>
    </w:p>
    <w:p w14:paraId="01A446DF"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3.2 营养素及人体对营养的需要</w:t>
      </w:r>
    </w:p>
    <w:p w14:paraId="163F77E3"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3.3 平衡膳食</w:t>
      </w:r>
    </w:p>
    <w:p w14:paraId="1BE6ECA6"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3.4 运动与营养</w:t>
      </w:r>
    </w:p>
    <w:p w14:paraId="05116F97" w14:textId="77777777" w:rsidR="00D554C2" w:rsidRPr="00D554C2" w:rsidRDefault="00D554C2" w:rsidP="00D554C2">
      <w:pPr>
        <w:spacing w:line="360" w:lineRule="auto"/>
        <w:ind w:firstLineChars="196" w:firstLine="472"/>
        <w:rPr>
          <w:rFonts w:ascii="Calibri" w:eastAsia="宋体" w:hAnsi="Calibri" w:cs="Times New Roman"/>
          <w:bCs/>
          <w:sz w:val="24"/>
        </w:rPr>
      </w:pPr>
      <w:r w:rsidRPr="00D554C2">
        <w:rPr>
          <w:rFonts w:ascii="Arial" w:eastAsia="宋体" w:hAnsi="Calibri" w:cs="Arial" w:hint="eastAsia"/>
          <w:b/>
          <w:sz w:val="24"/>
        </w:rPr>
        <w:t>本章教学目的及要求：</w:t>
      </w:r>
      <w:r w:rsidRPr="00D554C2">
        <w:rPr>
          <w:rFonts w:ascii="Calibri" w:eastAsia="宋体" w:hAnsi="Calibri" w:cs="Times New Roman" w:hint="eastAsia"/>
          <w:bCs/>
          <w:sz w:val="24"/>
        </w:rPr>
        <w:t>让学生正确认识科学补充营养可以提高自身免疫力，从而提高生活质量。</w:t>
      </w:r>
    </w:p>
    <w:p w14:paraId="08F2B66F" w14:textId="77777777" w:rsidR="00D554C2" w:rsidRPr="00D554C2" w:rsidRDefault="00D554C2" w:rsidP="00D554C2">
      <w:pPr>
        <w:spacing w:line="360" w:lineRule="auto"/>
        <w:ind w:firstLineChars="196" w:firstLine="472"/>
        <w:rPr>
          <w:rFonts w:ascii="Arial" w:eastAsia="宋体" w:hAnsi="Arial" w:cs="Arial"/>
          <w:bCs/>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学生阶段的营养过剩与运动不足；补充营养的同时如何提高自身的健康。</w:t>
      </w:r>
    </w:p>
    <w:p w14:paraId="624D6F7D" w14:textId="77777777" w:rsidR="00D554C2" w:rsidRPr="00D554C2" w:rsidRDefault="00D554C2" w:rsidP="00D554C2">
      <w:pPr>
        <w:spacing w:beforeLines="50" w:before="156" w:afterLines="50" w:after="156" w:line="360" w:lineRule="auto"/>
        <w:jc w:val="center"/>
        <w:rPr>
          <w:rFonts w:ascii="Arial" w:eastAsia="宋体" w:hAnsi="Arial" w:cs="Arial"/>
          <w:b/>
          <w:sz w:val="28"/>
          <w:szCs w:val="28"/>
        </w:rPr>
      </w:pPr>
      <w:r w:rsidRPr="00D554C2">
        <w:rPr>
          <w:rFonts w:ascii="Arial" w:eastAsia="宋体" w:hAnsi="Calibri" w:cs="Arial" w:hint="eastAsia"/>
          <w:b/>
          <w:sz w:val="28"/>
          <w:szCs w:val="28"/>
        </w:rPr>
        <w:t>第四章</w:t>
      </w:r>
      <w:r w:rsidRPr="00D554C2">
        <w:rPr>
          <w:rFonts w:ascii="Arial" w:eastAsia="宋体" w:hAnsi="Arial" w:cs="Arial"/>
          <w:b/>
          <w:sz w:val="28"/>
          <w:szCs w:val="28"/>
        </w:rPr>
        <w:t xml:space="preserve">   </w:t>
      </w:r>
      <w:r w:rsidRPr="00D554C2">
        <w:rPr>
          <w:rFonts w:ascii="Arial" w:eastAsia="宋体" w:hAnsi="Calibri" w:cs="Arial" w:hint="eastAsia"/>
          <w:b/>
          <w:sz w:val="28"/>
          <w:szCs w:val="28"/>
        </w:rPr>
        <w:t>体育保健知识（</w:t>
      </w:r>
      <w:r w:rsidRPr="00D554C2">
        <w:rPr>
          <w:rFonts w:ascii="Arial" w:eastAsia="宋体" w:hAnsi="Calibri" w:cs="Arial" w:hint="eastAsia"/>
          <w:b/>
          <w:sz w:val="28"/>
          <w:szCs w:val="28"/>
        </w:rPr>
        <w:t>0.5</w:t>
      </w:r>
      <w:r w:rsidRPr="00D554C2">
        <w:rPr>
          <w:rFonts w:ascii="Arial" w:eastAsia="宋体" w:hAnsi="Calibri" w:cs="Arial" w:hint="eastAsia"/>
          <w:b/>
          <w:sz w:val="28"/>
          <w:szCs w:val="28"/>
        </w:rPr>
        <w:t>学时）</w:t>
      </w:r>
    </w:p>
    <w:p w14:paraId="4FBB0895"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55450927"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4.1运动中常见的生理反应与处理方法</w:t>
      </w:r>
    </w:p>
    <w:p w14:paraId="547D12E1"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4.2 运动损伤的处置</w:t>
      </w:r>
    </w:p>
    <w:p w14:paraId="5D4A294A"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4.3女子运动保健</w:t>
      </w:r>
    </w:p>
    <w:p w14:paraId="011ED6C6" w14:textId="77777777" w:rsidR="00D554C2" w:rsidRPr="00D554C2" w:rsidRDefault="00D554C2" w:rsidP="00D554C2">
      <w:pPr>
        <w:spacing w:line="360" w:lineRule="auto"/>
        <w:ind w:firstLineChars="196" w:firstLine="472"/>
        <w:rPr>
          <w:rFonts w:ascii="Calibri" w:eastAsia="宋体" w:hAnsi="Calibri" w:cs="Times New Roman"/>
          <w:bCs/>
          <w:sz w:val="24"/>
        </w:rPr>
      </w:pPr>
      <w:r w:rsidRPr="00D554C2">
        <w:rPr>
          <w:rFonts w:ascii="Arial" w:eastAsia="宋体" w:hAnsi="Calibri" w:cs="Arial" w:hint="eastAsia"/>
          <w:b/>
          <w:sz w:val="24"/>
        </w:rPr>
        <w:t>本章教学目的及要求：</w:t>
      </w:r>
      <w:r w:rsidRPr="00D554C2">
        <w:rPr>
          <w:rFonts w:ascii="Calibri" w:eastAsia="宋体" w:hAnsi="Calibri" w:cs="Times New Roman" w:hint="eastAsia"/>
          <w:bCs/>
          <w:sz w:val="24"/>
        </w:rPr>
        <w:t>使学生了解运动中常见的生理反应及处理方法。</w:t>
      </w:r>
    </w:p>
    <w:p w14:paraId="17222A12" w14:textId="77777777" w:rsidR="00D554C2" w:rsidRPr="00D554C2" w:rsidRDefault="00D554C2" w:rsidP="00D554C2">
      <w:pPr>
        <w:spacing w:line="360" w:lineRule="auto"/>
        <w:ind w:firstLineChars="196" w:firstLine="472"/>
        <w:rPr>
          <w:rFonts w:ascii="Arial" w:eastAsia="宋体" w:hAnsi="Calibri" w:cs="Arial"/>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学生如何预防常见的运动损伤；运动损伤如何处置。</w:t>
      </w:r>
    </w:p>
    <w:p w14:paraId="14B4BA9A" w14:textId="77777777" w:rsidR="00D554C2" w:rsidRPr="00D554C2" w:rsidRDefault="00D554C2" w:rsidP="00D554C2">
      <w:pPr>
        <w:tabs>
          <w:tab w:val="left" w:pos="960"/>
        </w:tabs>
        <w:spacing w:beforeLines="50" w:before="156" w:afterLines="50" w:after="156" w:line="360" w:lineRule="auto"/>
        <w:jc w:val="center"/>
        <w:rPr>
          <w:rFonts w:ascii="宋体" w:eastAsia="宋体" w:hAnsi="Calibri" w:cs="Arial"/>
          <w:b/>
          <w:bCs/>
          <w:sz w:val="28"/>
          <w:szCs w:val="28"/>
        </w:rPr>
      </w:pPr>
      <w:r w:rsidRPr="00D554C2">
        <w:rPr>
          <w:rFonts w:ascii="宋体" w:eastAsia="宋体" w:hAnsi="宋体" w:cs="Arial" w:hint="eastAsia"/>
          <w:b/>
          <w:bCs/>
          <w:sz w:val="28"/>
          <w:szCs w:val="28"/>
        </w:rPr>
        <w:t>第五章 了解体育文化（0.5课时）</w:t>
      </w:r>
    </w:p>
    <w:p w14:paraId="74675E8D"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3CA33D0C"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5.1中西方体育文化比较</w:t>
      </w:r>
    </w:p>
    <w:p w14:paraId="5D69D44B"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5.2 奥林匹克体育文化</w:t>
      </w:r>
    </w:p>
    <w:p w14:paraId="40022068"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5.3 校园体育文化</w:t>
      </w:r>
    </w:p>
    <w:p w14:paraId="2CA2037C" w14:textId="77777777" w:rsidR="00D554C2" w:rsidRPr="00D554C2" w:rsidRDefault="00D554C2" w:rsidP="00D554C2">
      <w:pPr>
        <w:spacing w:line="360" w:lineRule="auto"/>
        <w:ind w:firstLineChars="196" w:firstLine="472"/>
        <w:rPr>
          <w:rFonts w:ascii="Arial" w:eastAsia="宋体" w:hAnsi="Calibri" w:cs="Arial"/>
          <w:b/>
          <w:sz w:val="24"/>
        </w:rPr>
      </w:pPr>
      <w:r w:rsidRPr="00D554C2">
        <w:rPr>
          <w:rFonts w:ascii="Arial" w:eastAsia="宋体" w:hAnsi="Calibri" w:cs="Arial" w:hint="eastAsia"/>
          <w:b/>
          <w:sz w:val="24"/>
        </w:rPr>
        <w:lastRenderedPageBreak/>
        <w:t>本章教学目的及要求：</w:t>
      </w:r>
      <w:r w:rsidRPr="00D554C2">
        <w:rPr>
          <w:rFonts w:ascii="Arial" w:eastAsia="宋体" w:hAnsi="Calibri" w:cs="Arial" w:hint="eastAsia"/>
          <w:bCs/>
          <w:sz w:val="24"/>
          <w:szCs w:val="28"/>
        </w:rPr>
        <w:t>让学生了解东西方体育文化的差异。</w:t>
      </w:r>
    </w:p>
    <w:p w14:paraId="5E6C6D62" w14:textId="77777777" w:rsidR="00D554C2" w:rsidRPr="00D554C2" w:rsidRDefault="00D554C2" w:rsidP="00D554C2">
      <w:pPr>
        <w:spacing w:line="360" w:lineRule="auto"/>
        <w:ind w:firstLineChars="196" w:firstLine="472"/>
        <w:rPr>
          <w:rFonts w:ascii="Arial" w:eastAsia="宋体" w:hAnsi="Calibri" w:cs="Arial"/>
          <w:b/>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介绍奥林匹克文化的发展</w:t>
      </w:r>
      <w:r w:rsidRPr="00D554C2">
        <w:rPr>
          <w:rFonts w:ascii="Arial" w:eastAsia="宋体" w:hAnsi="Calibri" w:cs="Arial" w:hint="eastAsia"/>
          <w:bCs/>
          <w:sz w:val="24"/>
          <w:szCs w:val="28"/>
        </w:rPr>
        <w:t>；介绍校园体育文化的发展与功能。</w:t>
      </w:r>
    </w:p>
    <w:p w14:paraId="00AD316E" w14:textId="77777777" w:rsidR="00D554C2" w:rsidRPr="00D554C2" w:rsidRDefault="00D554C2" w:rsidP="00D554C2">
      <w:pPr>
        <w:spacing w:beforeLines="50" w:before="156" w:afterLines="50" w:after="156" w:line="360" w:lineRule="auto"/>
        <w:jc w:val="center"/>
        <w:rPr>
          <w:rFonts w:ascii="Arial" w:eastAsia="宋体" w:hAnsi="Calibri" w:cs="Arial"/>
          <w:b/>
          <w:sz w:val="28"/>
          <w:szCs w:val="28"/>
        </w:rPr>
      </w:pPr>
      <w:r w:rsidRPr="00D554C2">
        <w:rPr>
          <w:rFonts w:ascii="宋体" w:eastAsia="宋体" w:hAnsi="宋体" w:cs="宋体" w:hint="eastAsia"/>
          <w:b/>
          <w:bCs/>
          <w:sz w:val="28"/>
          <w:szCs w:val="28"/>
        </w:rPr>
        <w:t>第六章 欣赏体育比赛</w:t>
      </w:r>
      <w:r w:rsidRPr="00D554C2">
        <w:rPr>
          <w:rFonts w:ascii="Arial" w:eastAsia="宋体" w:hAnsi="Calibri" w:cs="Arial" w:hint="eastAsia"/>
          <w:b/>
          <w:sz w:val="28"/>
          <w:szCs w:val="28"/>
        </w:rPr>
        <w:t>（</w:t>
      </w:r>
      <w:r w:rsidRPr="00D554C2">
        <w:rPr>
          <w:rFonts w:ascii="Arial" w:eastAsia="宋体" w:hAnsi="Arial" w:cs="Arial" w:hint="eastAsia"/>
          <w:b/>
          <w:sz w:val="28"/>
          <w:szCs w:val="28"/>
        </w:rPr>
        <w:t>0.5</w:t>
      </w:r>
      <w:r w:rsidRPr="00D554C2">
        <w:rPr>
          <w:rFonts w:ascii="Arial" w:eastAsia="宋体" w:hAnsi="Calibri" w:cs="Arial" w:hint="eastAsia"/>
          <w:b/>
          <w:sz w:val="28"/>
          <w:szCs w:val="28"/>
        </w:rPr>
        <w:t>学时）</w:t>
      </w:r>
    </w:p>
    <w:p w14:paraId="0F4E00DC"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3E83BEBB"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6.1体育欣赏的体育美学原理及特点</w:t>
      </w:r>
    </w:p>
    <w:p w14:paraId="5F38E3DC"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6.2 体育运动的欣赏内容</w:t>
      </w:r>
    </w:p>
    <w:p w14:paraId="248A61DD"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6.3 特定运动项目的欣赏</w:t>
      </w:r>
    </w:p>
    <w:p w14:paraId="6BD9272F" w14:textId="77777777" w:rsidR="00D554C2" w:rsidRPr="00D554C2" w:rsidRDefault="00D554C2" w:rsidP="00D554C2">
      <w:pPr>
        <w:spacing w:line="360" w:lineRule="auto"/>
        <w:ind w:firstLineChars="196" w:firstLine="472"/>
        <w:rPr>
          <w:rFonts w:ascii="Arial" w:eastAsia="宋体" w:hAnsi="Calibri" w:cs="Arial"/>
          <w:b/>
          <w:sz w:val="24"/>
        </w:rPr>
      </w:pPr>
      <w:r w:rsidRPr="00D554C2">
        <w:rPr>
          <w:rFonts w:ascii="Arial" w:eastAsia="宋体" w:hAnsi="Calibri" w:cs="Arial" w:hint="eastAsia"/>
          <w:b/>
          <w:sz w:val="24"/>
        </w:rPr>
        <w:t>本章教学目的及要求：</w:t>
      </w:r>
      <w:r w:rsidRPr="00D554C2">
        <w:rPr>
          <w:rFonts w:ascii="Arial" w:eastAsia="宋体" w:hAnsi="Calibri" w:cs="Arial" w:hint="eastAsia"/>
          <w:bCs/>
          <w:sz w:val="24"/>
          <w:szCs w:val="28"/>
        </w:rPr>
        <w:t>使学生提高体育文化素质，培养起体育欣赏的兴趣，树立正确的体育审美观念。</w:t>
      </w:r>
    </w:p>
    <w:p w14:paraId="04C1365B" w14:textId="77777777" w:rsidR="00D554C2" w:rsidRPr="00D554C2" w:rsidRDefault="00D554C2" w:rsidP="00D554C2">
      <w:pPr>
        <w:spacing w:line="360" w:lineRule="auto"/>
        <w:ind w:firstLineChars="196" w:firstLine="472"/>
        <w:rPr>
          <w:rFonts w:ascii="Arial" w:eastAsia="宋体" w:hAnsi="Calibri" w:cs="Arial"/>
          <w:b/>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如何</w:t>
      </w:r>
      <w:proofErr w:type="gramStart"/>
      <w:r w:rsidRPr="00D554C2">
        <w:rPr>
          <w:rFonts w:ascii="Arial" w:eastAsia="宋体" w:hAnsi="Calibri" w:cs="Arial" w:hint="eastAsia"/>
          <w:sz w:val="24"/>
        </w:rPr>
        <w:t>欣赏操类比赛</w:t>
      </w:r>
      <w:proofErr w:type="gramEnd"/>
      <w:r w:rsidRPr="00D554C2">
        <w:rPr>
          <w:rFonts w:ascii="Arial" w:eastAsia="宋体" w:hAnsi="Calibri" w:cs="Arial" w:hint="eastAsia"/>
          <w:bCs/>
          <w:sz w:val="24"/>
          <w:szCs w:val="28"/>
        </w:rPr>
        <w:t>；如何提高体育欣赏水平。</w:t>
      </w:r>
    </w:p>
    <w:p w14:paraId="034EF357" w14:textId="77777777" w:rsidR="00D554C2" w:rsidRPr="00D554C2" w:rsidRDefault="00D554C2" w:rsidP="00D554C2">
      <w:pPr>
        <w:spacing w:beforeLines="50" w:before="156" w:afterLines="50" w:after="156" w:line="360" w:lineRule="auto"/>
        <w:jc w:val="center"/>
        <w:rPr>
          <w:rFonts w:ascii="Arial" w:eastAsia="宋体" w:hAnsi="Arial" w:cs="Arial"/>
          <w:b/>
          <w:sz w:val="28"/>
          <w:szCs w:val="28"/>
        </w:rPr>
      </w:pPr>
      <w:r w:rsidRPr="00D554C2">
        <w:rPr>
          <w:rFonts w:ascii="Arial" w:eastAsia="宋体" w:hAnsi="Calibri" w:cs="Arial" w:hint="eastAsia"/>
          <w:b/>
          <w:sz w:val="28"/>
          <w:szCs w:val="28"/>
        </w:rPr>
        <w:t>第七章</w:t>
      </w:r>
      <w:r w:rsidRPr="00D554C2">
        <w:rPr>
          <w:rFonts w:ascii="Arial" w:eastAsia="宋体" w:hAnsi="Arial" w:cs="Arial"/>
          <w:b/>
          <w:sz w:val="28"/>
          <w:szCs w:val="28"/>
        </w:rPr>
        <w:t xml:space="preserve">   </w:t>
      </w:r>
      <w:r w:rsidRPr="00D554C2">
        <w:rPr>
          <w:rFonts w:ascii="Arial" w:eastAsia="宋体" w:hAnsi="Arial" w:cs="Arial"/>
          <w:b/>
          <w:sz w:val="28"/>
          <w:szCs w:val="28"/>
        </w:rPr>
        <w:t>大</w:t>
      </w:r>
      <w:r w:rsidRPr="00D554C2">
        <w:rPr>
          <w:rFonts w:ascii="Arial" w:eastAsia="宋体" w:hAnsi="Calibri" w:cs="Arial" w:hint="eastAsia"/>
          <w:b/>
          <w:sz w:val="28"/>
          <w:szCs w:val="28"/>
        </w:rPr>
        <w:t>学生体质健康测评（</w:t>
      </w:r>
      <w:r w:rsidRPr="00D554C2">
        <w:rPr>
          <w:rFonts w:ascii="Arial" w:eastAsia="宋体" w:hAnsi="Calibri" w:cs="Arial" w:hint="eastAsia"/>
          <w:b/>
          <w:sz w:val="28"/>
          <w:szCs w:val="28"/>
        </w:rPr>
        <w:t>4</w:t>
      </w:r>
      <w:r w:rsidRPr="00D554C2">
        <w:rPr>
          <w:rFonts w:ascii="Arial" w:eastAsia="宋体" w:hAnsi="Calibri" w:cs="Arial" w:hint="eastAsia"/>
          <w:b/>
          <w:sz w:val="28"/>
          <w:szCs w:val="28"/>
        </w:rPr>
        <w:t>学时）</w:t>
      </w:r>
    </w:p>
    <w:p w14:paraId="06D9FF84"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742C1330"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7.1 《国家学生体质健康标准》实施说明</w:t>
      </w:r>
    </w:p>
    <w:p w14:paraId="59E91E06" w14:textId="77777777" w:rsidR="00D554C2" w:rsidRPr="00D554C2" w:rsidRDefault="00D554C2" w:rsidP="00D554C2">
      <w:pPr>
        <w:autoSpaceDE w:val="0"/>
        <w:autoSpaceDN w:val="0"/>
        <w:adjustRightInd w:val="0"/>
        <w:snapToGrid w:val="0"/>
        <w:spacing w:line="500" w:lineRule="exact"/>
        <w:ind w:firstLineChars="200" w:firstLine="500"/>
        <w:jc w:val="left"/>
        <w:rPr>
          <w:rFonts w:ascii="Arial" w:eastAsia="宋体" w:hAnsi="Calibri" w:cs="Arial"/>
          <w:sz w:val="24"/>
        </w:rPr>
      </w:pPr>
      <w:r w:rsidRPr="00D554C2">
        <w:rPr>
          <w:rFonts w:ascii="宋体" w:eastAsia="宋体" w:hAnsi="Calibri" w:cs="宋体" w:hint="eastAsia"/>
          <w:spacing w:val="5"/>
          <w:kern w:val="0"/>
          <w:sz w:val="24"/>
        </w:rPr>
        <w:t>7.2 《国家学生体质健康标准》测试评分表</w:t>
      </w:r>
    </w:p>
    <w:p w14:paraId="5F31B800" w14:textId="77777777" w:rsidR="00D554C2" w:rsidRPr="00D554C2" w:rsidRDefault="00D554C2" w:rsidP="00D554C2">
      <w:pPr>
        <w:spacing w:line="360" w:lineRule="auto"/>
        <w:ind w:firstLineChars="196" w:firstLine="472"/>
        <w:rPr>
          <w:rFonts w:ascii="Calibri" w:eastAsia="宋体" w:hAnsi="Calibri" w:cs="Times New Roman"/>
          <w:bCs/>
          <w:sz w:val="24"/>
        </w:rPr>
      </w:pPr>
      <w:r w:rsidRPr="00D554C2">
        <w:rPr>
          <w:rFonts w:ascii="Arial" w:eastAsia="宋体" w:hAnsi="Calibri" w:cs="Arial" w:hint="eastAsia"/>
          <w:b/>
          <w:sz w:val="24"/>
        </w:rPr>
        <w:t>本章教学目的及要求：</w:t>
      </w:r>
      <w:r w:rsidRPr="00D554C2">
        <w:rPr>
          <w:rFonts w:ascii="Calibri" w:eastAsia="宋体" w:hAnsi="Calibri" w:cs="Times New Roman" w:hint="eastAsia"/>
          <w:bCs/>
          <w:sz w:val="24"/>
        </w:rPr>
        <w:t>使学生了解体质健康的主要内容及要求。</w:t>
      </w:r>
    </w:p>
    <w:p w14:paraId="116CC074" w14:textId="77777777" w:rsidR="00D554C2" w:rsidRPr="00D554C2" w:rsidRDefault="00D554C2" w:rsidP="00D554C2">
      <w:pPr>
        <w:spacing w:line="360" w:lineRule="auto"/>
        <w:ind w:firstLineChars="196" w:firstLine="472"/>
        <w:rPr>
          <w:rFonts w:ascii="Arial" w:eastAsia="宋体" w:hAnsi="Calibri" w:cs="Arial"/>
          <w:sz w:val="24"/>
        </w:rPr>
      </w:pPr>
      <w:r w:rsidRPr="00D554C2">
        <w:rPr>
          <w:rFonts w:ascii="Arial" w:eastAsia="宋体" w:hAnsi="Calibri" w:cs="Arial" w:hint="eastAsia"/>
          <w:b/>
          <w:sz w:val="24"/>
        </w:rPr>
        <w:t>本章教学重点及难点：</w:t>
      </w:r>
      <w:r w:rsidRPr="00D554C2">
        <w:rPr>
          <w:rFonts w:ascii="Arial" w:eastAsia="宋体" w:hAnsi="Calibri" w:cs="Arial" w:hint="eastAsia"/>
          <w:sz w:val="24"/>
        </w:rPr>
        <w:t>学生体质健康标准的重要性；如何激发学生锻炼身体的积极性和自觉性。</w:t>
      </w:r>
    </w:p>
    <w:p w14:paraId="141FDD90" w14:textId="77777777" w:rsidR="00D554C2" w:rsidRPr="00D554C2" w:rsidRDefault="00D554C2" w:rsidP="00D554C2">
      <w:pPr>
        <w:spacing w:beforeLines="50" w:before="156" w:afterLines="50" w:after="156" w:line="360" w:lineRule="auto"/>
        <w:jc w:val="center"/>
        <w:rPr>
          <w:rFonts w:ascii="Arial" w:eastAsia="宋体" w:hAnsi="Calibri" w:cs="Arial"/>
          <w:b/>
          <w:sz w:val="28"/>
          <w:szCs w:val="28"/>
        </w:rPr>
      </w:pPr>
      <w:r w:rsidRPr="00D554C2">
        <w:rPr>
          <w:rFonts w:ascii="Arial" w:eastAsia="宋体" w:hAnsi="Arial" w:cs="Arial" w:hint="eastAsia"/>
          <w:b/>
          <w:sz w:val="28"/>
          <w:szCs w:val="28"/>
        </w:rPr>
        <w:t>第八章</w:t>
      </w:r>
      <w:r w:rsidRPr="00D554C2">
        <w:rPr>
          <w:rFonts w:ascii="Arial" w:eastAsia="宋体" w:hAnsi="Arial" w:cs="Arial"/>
          <w:b/>
          <w:sz w:val="28"/>
          <w:szCs w:val="28"/>
        </w:rPr>
        <w:t xml:space="preserve">  </w:t>
      </w:r>
      <w:r w:rsidRPr="00D554C2">
        <w:rPr>
          <w:rFonts w:ascii="宋体" w:eastAsia="宋体" w:hAnsi="宋体" w:cs="Arial" w:hint="eastAsia"/>
          <w:b/>
          <w:bCs/>
          <w:sz w:val="28"/>
          <w:szCs w:val="28"/>
        </w:rPr>
        <w:t>体能训练</w:t>
      </w:r>
      <w:r w:rsidRPr="00D554C2">
        <w:rPr>
          <w:rFonts w:ascii="Arial" w:eastAsia="宋体" w:hAnsi="Calibri" w:cs="Arial" w:hint="eastAsia"/>
          <w:b/>
          <w:sz w:val="28"/>
          <w:szCs w:val="28"/>
        </w:rPr>
        <w:t>（</w:t>
      </w:r>
      <w:r w:rsidRPr="00D554C2">
        <w:rPr>
          <w:rFonts w:ascii="Arial" w:eastAsia="宋体" w:hAnsi="Calibri" w:cs="Arial" w:hint="eastAsia"/>
          <w:b/>
          <w:sz w:val="28"/>
          <w:szCs w:val="28"/>
        </w:rPr>
        <w:t>13</w:t>
      </w:r>
      <w:r w:rsidRPr="00D554C2">
        <w:rPr>
          <w:rFonts w:ascii="Arial" w:eastAsia="宋体" w:hAnsi="Calibri" w:cs="Arial" w:hint="eastAsia"/>
          <w:b/>
          <w:sz w:val="28"/>
          <w:szCs w:val="28"/>
        </w:rPr>
        <w:t>学时）</w:t>
      </w:r>
    </w:p>
    <w:p w14:paraId="2583925D"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4392C457"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8.1体能训练简介</w:t>
      </w:r>
    </w:p>
    <w:p w14:paraId="70830D2D"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8.2加速能力及力量训练2.柔韧能力训练</w:t>
      </w:r>
    </w:p>
    <w:p w14:paraId="6E9D73CD"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8.3弹跳能力及力量训练</w:t>
      </w:r>
    </w:p>
    <w:p w14:paraId="29707470"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8.4灵敏能力及力量训练</w:t>
      </w:r>
    </w:p>
    <w:p w14:paraId="5A2FB4FE"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8.5耐力能力及无氧训练</w:t>
      </w:r>
    </w:p>
    <w:p w14:paraId="733F58F9"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lastRenderedPageBreak/>
        <w:t>8.6弹跳能力及力量测试</w:t>
      </w:r>
    </w:p>
    <w:p w14:paraId="60454D74"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8.7上肢（男）力量训练2.腹肌（女）力量训练</w:t>
      </w:r>
    </w:p>
    <w:p w14:paraId="5DB944DD"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8.8耐力能力及无氧训练</w:t>
      </w:r>
    </w:p>
    <w:p w14:paraId="2793B771"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8.9引体向上（男）；一分钟仰卧起坐（女）</w:t>
      </w:r>
    </w:p>
    <w:p w14:paraId="68F125C4"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8.10立定跳远测试</w:t>
      </w:r>
    </w:p>
    <w:p w14:paraId="0642C77E" w14:textId="77777777" w:rsidR="00D554C2" w:rsidRPr="00D554C2" w:rsidRDefault="00D554C2" w:rsidP="00D554C2">
      <w:pPr>
        <w:spacing w:beforeLines="50" w:before="156" w:afterLines="50" w:after="156" w:line="360" w:lineRule="auto"/>
        <w:jc w:val="center"/>
        <w:rPr>
          <w:rFonts w:ascii="Arial" w:eastAsia="宋体" w:hAnsi="Calibri" w:cs="Arial"/>
          <w:b/>
          <w:sz w:val="28"/>
          <w:szCs w:val="28"/>
        </w:rPr>
      </w:pPr>
      <w:r w:rsidRPr="00D554C2">
        <w:rPr>
          <w:rFonts w:ascii="Arial" w:eastAsia="宋体" w:hAnsi="Arial" w:cs="Arial" w:hint="eastAsia"/>
          <w:b/>
          <w:sz w:val="28"/>
          <w:szCs w:val="28"/>
        </w:rPr>
        <w:t>第九章</w:t>
      </w:r>
      <w:r w:rsidRPr="00D554C2">
        <w:rPr>
          <w:rFonts w:ascii="Arial" w:eastAsia="宋体" w:hAnsi="Arial" w:cs="Arial" w:hint="eastAsia"/>
          <w:b/>
          <w:sz w:val="28"/>
          <w:szCs w:val="28"/>
        </w:rPr>
        <w:t xml:space="preserve">   </w:t>
      </w:r>
      <w:r w:rsidRPr="00D554C2">
        <w:rPr>
          <w:rFonts w:ascii="Arial" w:eastAsia="宋体" w:hAnsi="Arial" w:cs="Arial" w:hint="eastAsia"/>
          <w:b/>
          <w:sz w:val="28"/>
          <w:szCs w:val="28"/>
        </w:rPr>
        <w:t>选项</w:t>
      </w:r>
      <w:proofErr w:type="gramStart"/>
      <w:r w:rsidRPr="00D554C2">
        <w:rPr>
          <w:rFonts w:ascii="Arial" w:eastAsia="宋体" w:hAnsi="Arial" w:cs="Arial" w:hint="eastAsia"/>
          <w:b/>
          <w:sz w:val="28"/>
          <w:szCs w:val="28"/>
        </w:rPr>
        <w:t>课各项</w:t>
      </w:r>
      <w:proofErr w:type="gramEnd"/>
      <w:r w:rsidRPr="00D554C2">
        <w:rPr>
          <w:rFonts w:ascii="Arial" w:eastAsia="宋体" w:hAnsi="Arial" w:cs="Arial" w:hint="eastAsia"/>
          <w:b/>
          <w:sz w:val="28"/>
          <w:szCs w:val="28"/>
        </w:rPr>
        <w:t>目内容</w:t>
      </w:r>
      <w:r w:rsidRPr="00D554C2">
        <w:rPr>
          <w:rFonts w:ascii="Arial" w:eastAsia="宋体" w:hAnsi="Calibri" w:cs="Arial" w:hint="eastAsia"/>
          <w:b/>
          <w:sz w:val="28"/>
          <w:szCs w:val="28"/>
        </w:rPr>
        <w:t>（</w:t>
      </w:r>
      <w:r w:rsidRPr="00D554C2">
        <w:rPr>
          <w:rFonts w:ascii="Arial" w:eastAsia="宋体" w:hAnsi="Calibri" w:cs="Arial" w:hint="eastAsia"/>
          <w:b/>
          <w:sz w:val="28"/>
          <w:szCs w:val="28"/>
        </w:rPr>
        <w:t>12</w:t>
      </w:r>
      <w:r w:rsidRPr="00D554C2">
        <w:rPr>
          <w:rFonts w:ascii="Arial" w:eastAsia="宋体" w:hAnsi="Calibri" w:cs="Arial" w:hint="eastAsia"/>
          <w:b/>
          <w:sz w:val="28"/>
          <w:szCs w:val="28"/>
        </w:rPr>
        <w:t>学时）</w:t>
      </w:r>
    </w:p>
    <w:p w14:paraId="4AEBE6D8" w14:textId="77777777" w:rsidR="00D554C2" w:rsidRPr="00D554C2" w:rsidRDefault="00D554C2" w:rsidP="00D554C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D554C2">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D554C2" w:rsidRPr="00D554C2" w14:paraId="7371FC16" w14:textId="77777777" w:rsidTr="009B4CAE">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703BD8A"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458B4581"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0AF62EB2"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16A2B6C"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1109007"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 xml:space="preserve">备注 </w:t>
            </w:r>
          </w:p>
        </w:tc>
      </w:tr>
      <w:tr w:rsidR="00D554C2" w:rsidRPr="00D554C2" w14:paraId="0A11DEAE" w14:textId="77777777" w:rsidTr="009B4CAE">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6E0C3E3"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27C7D66D"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啦</w:t>
            </w:r>
            <w:proofErr w:type="gramStart"/>
            <w:r w:rsidRPr="00D554C2">
              <w:rPr>
                <w:rFonts w:ascii="宋体" w:eastAsia="宋体" w:hAnsi="Calibri" w:cs="宋体" w:hint="eastAsia"/>
                <w:spacing w:val="1"/>
                <w:kern w:val="0"/>
                <w:sz w:val="24"/>
              </w:rPr>
              <w:t>啦操运动</w:t>
            </w:r>
            <w:proofErr w:type="gramEnd"/>
            <w:r w:rsidRPr="00D554C2">
              <w:rPr>
                <w:rFonts w:ascii="宋体" w:eastAsia="宋体" w:hAnsi="Calibri" w:cs="宋体" w:hint="eastAsia"/>
                <w:spacing w:val="1"/>
                <w:kern w:val="0"/>
                <w:sz w:val="24"/>
              </w:rPr>
              <w:t>文化概述</w:t>
            </w:r>
          </w:p>
        </w:tc>
        <w:tc>
          <w:tcPr>
            <w:tcW w:w="1579" w:type="dxa"/>
            <w:tcBorders>
              <w:top w:val="outset" w:sz="6" w:space="0" w:color="auto"/>
              <w:left w:val="outset" w:sz="6" w:space="0" w:color="auto"/>
              <w:bottom w:val="outset" w:sz="6" w:space="0" w:color="auto"/>
              <w:right w:val="outset" w:sz="6" w:space="0" w:color="auto"/>
            </w:tcBorders>
            <w:vAlign w:val="center"/>
          </w:tcPr>
          <w:p w14:paraId="3879C9EC"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4430A9" w14:textId="77777777" w:rsidR="00D554C2" w:rsidRPr="00D554C2" w:rsidRDefault="00D554C2" w:rsidP="00D554C2">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A0B99A3" w14:textId="77777777" w:rsidR="00D554C2" w:rsidRPr="00D554C2" w:rsidRDefault="00D554C2" w:rsidP="00D554C2">
            <w:pPr>
              <w:widowControl/>
              <w:jc w:val="left"/>
              <w:rPr>
                <w:rFonts w:ascii="宋体" w:eastAsia="宋体" w:hAnsi="Calibri" w:cs="宋体"/>
                <w:spacing w:val="1"/>
                <w:kern w:val="0"/>
                <w:sz w:val="24"/>
              </w:rPr>
            </w:pPr>
          </w:p>
        </w:tc>
      </w:tr>
      <w:tr w:rsidR="00D554C2" w:rsidRPr="00D554C2" w14:paraId="67C274C7" w14:textId="77777777" w:rsidTr="009B4CAE">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A98723B"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75632409"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啦</w:t>
            </w:r>
            <w:proofErr w:type="gramStart"/>
            <w:r w:rsidRPr="00D554C2">
              <w:rPr>
                <w:rFonts w:ascii="宋体" w:eastAsia="宋体" w:hAnsi="Calibri" w:cs="宋体" w:hint="eastAsia"/>
                <w:spacing w:val="1"/>
                <w:kern w:val="0"/>
                <w:sz w:val="24"/>
              </w:rPr>
              <w:t>啦操手</w:t>
            </w:r>
            <w:proofErr w:type="gramEnd"/>
            <w:r w:rsidRPr="00D554C2">
              <w:rPr>
                <w:rFonts w:ascii="宋体" w:eastAsia="宋体" w:hAnsi="Calibri" w:cs="宋体" w:hint="eastAsia"/>
                <w:spacing w:val="1"/>
                <w:kern w:val="0"/>
                <w:sz w:val="24"/>
              </w:rPr>
              <w:t>位与律动</w:t>
            </w:r>
          </w:p>
        </w:tc>
        <w:tc>
          <w:tcPr>
            <w:tcW w:w="1579" w:type="dxa"/>
            <w:tcBorders>
              <w:top w:val="outset" w:sz="6" w:space="0" w:color="auto"/>
              <w:left w:val="outset" w:sz="6" w:space="0" w:color="auto"/>
              <w:bottom w:val="outset" w:sz="6" w:space="0" w:color="auto"/>
              <w:right w:val="outset" w:sz="6" w:space="0" w:color="auto"/>
            </w:tcBorders>
            <w:vAlign w:val="center"/>
          </w:tcPr>
          <w:p w14:paraId="776A6EF8" w14:textId="77777777" w:rsidR="00D554C2" w:rsidRPr="00D554C2" w:rsidRDefault="00D554C2" w:rsidP="00D554C2">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9300A1E"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1</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300FBA3" w14:textId="77777777" w:rsidR="00D554C2" w:rsidRPr="00D554C2" w:rsidRDefault="00D554C2" w:rsidP="00D554C2">
            <w:pPr>
              <w:widowControl/>
              <w:jc w:val="left"/>
              <w:rPr>
                <w:rFonts w:ascii="宋体" w:eastAsia="宋体" w:hAnsi="Calibri" w:cs="宋体"/>
                <w:spacing w:val="1"/>
                <w:kern w:val="0"/>
                <w:sz w:val="24"/>
              </w:rPr>
            </w:pPr>
          </w:p>
        </w:tc>
      </w:tr>
      <w:tr w:rsidR="00D554C2" w:rsidRPr="00D554C2" w14:paraId="1EA12CFD" w14:textId="77777777" w:rsidTr="009B4CAE">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A06EAF5"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66708BB9"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啦</w:t>
            </w:r>
            <w:proofErr w:type="gramStart"/>
            <w:r w:rsidRPr="00D554C2">
              <w:rPr>
                <w:rFonts w:ascii="宋体" w:eastAsia="宋体" w:hAnsi="Calibri" w:cs="宋体" w:hint="eastAsia"/>
                <w:spacing w:val="1"/>
                <w:kern w:val="0"/>
                <w:sz w:val="24"/>
              </w:rPr>
              <w:t>啦操小</w:t>
            </w:r>
            <w:proofErr w:type="gramEnd"/>
            <w:r w:rsidRPr="00D554C2">
              <w:rPr>
                <w:rFonts w:ascii="宋体" w:eastAsia="宋体" w:hAnsi="Calibri" w:cs="宋体" w:hint="eastAsia"/>
                <w:spacing w:val="1"/>
                <w:kern w:val="0"/>
                <w:sz w:val="24"/>
              </w:rPr>
              <w:t>组合</w:t>
            </w:r>
          </w:p>
        </w:tc>
        <w:tc>
          <w:tcPr>
            <w:tcW w:w="1579" w:type="dxa"/>
            <w:tcBorders>
              <w:top w:val="outset" w:sz="6" w:space="0" w:color="auto"/>
              <w:left w:val="outset" w:sz="6" w:space="0" w:color="auto"/>
              <w:bottom w:val="outset" w:sz="6" w:space="0" w:color="auto"/>
              <w:right w:val="outset" w:sz="6" w:space="0" w:color="auto"/>
            </w:tcBorders>
            <w:vAlign w:val="center"/>
          </w:tcPr>
          <w:p w14:paraId="06AD266E" w14:textId="77777777" w:rsidR="00D554C2" w:rsidRPr="00D554C2" w:rsidRDefault="00D554C2" w:rsidP="00D554C2">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BA804DB"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7CF168F" w14:textId="77777777" w:rsidR="00D554C2" w:rsidRPr="00D554C2" w:rsidRDefault="00D554C2" w:rsidP="00D554C2">
            <w:pPr>
              <w:widowControl/>
              <w:jc w:val="left"/>
              <w:rPr>
                <w:rFonts w:ascii="宋体" w:eastAsia="宋体" w:hAnsi="Calibri" w:cs="宋体"/>
                <w:spacing w:val="1"/>
                <w:kern w:val="0"/>
                <w:sz w:val="24"/>
              </w:rPr>
            </w:pPr>
          </w:p>
        </w:tc>
      </w:tr>
      <w:tr w:rsidR="00D554C2" w:rsidRPr="00D554C2" w14:paraId="486485D9" w14:textId="77777777" w:rsidTr="009B4CAE">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847B2DD"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61A590AA"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27ABB56E" w14:textId="77777777" w:rsidR="00D554C2" w:rsidRPr="00D554C2" w:rsidRDefault="00D554C2" w:rsidP="00D554C2">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15C177A"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4FD66FB" w14:textId="77777777" w:rsidR="00D554C2" w:rsidRPr="00D554C2" w:rsidRDefault="00D554C2" w:rsidP="00D554C2">
            <w:pPr>
              <w:widowControl/>
              <w:jc w:val="left"/>
              <w:rPr>
                <w:rFonts w:ascii="宋体" w:eastAsia="宋体" w:hAnsi="Calibri" w:cs="宋体"/>
                <w:spacing w:val="1"/>
                <w:kern w:val="0"/>
                <w:sz w:val="24"/>
              </w:rPr>
            </w:pPr>
          </w:p>
        </w:tc>
      </w:tr>
      <w:tr w:rsidR="00D554C2" w:rsidRPr="00D554C2" w14:paraId="5CD92437" w14:textId="77777777" w:rsidTr="009B4CAE">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36FB2E4"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7F2EC597"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405F4038" w14:textId="77777777" w:rsidR="00D554C2" w:rsidRPr="00D554C2" w:rsidRDefault="00D554C2" w:rsidP="00D554C2">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12F82AE"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6B51AFD" w14:textId="77777777" w:rsidR="00D554C2" w:rsidRPr="00D554C2" w:rsidRDefault="00D554C2" w:rsidP="00D554C2">
            <w:pPr>
              <w:widowControl/>
              <w:jc w:val="left"/>
              <w:rPr>
                <w:rFonts w:ascii="宋体" w:eastAsia="宋体" w:hAnsi="Calibri" w:cs="宋体"/>
                <w:spacing w:val="1"/>
                <w:kern w:val="0"/>
                <w:sz w:val="24"/>
              </w:rPr>
            </w:pPr>
          </w:p>
        </w:tc>
      </w:tr>
    </w:tbl>
    <w:p w14:paraId="114F36B0" w14:textId="77777777" w:rsidR="00D554C2" w:rsidRPr="00D554C2" w:rsidRDefault="00D554C2" w:rsidP="00D554C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D554C2">
        <w:rPr>
          <w:rFonts w:ascii="宋体" w:eastAsia="宋体" w:hAnsi="Calibri" w:cs="宋体" w:hint="eastAsia"/>
          <w:spacing w:val="1"/>
          <w:kern w:val="0"/>
          <w:sz w:val="24"/>
        </w:rPr>
        <w:t xml:space="preserve"> 9.2理论课学时安排 </w:t>
      </w:r>
    </w:p>
    <w:tbl>
      <w:tblPr>
        <w:tblW w:w="9451"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D554C2" w:rsidRPr="00D554C2" w14:paraId="70F28FA5" w14:textId="77777777" w:rsidTr="009B4CAE">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26F1B636"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1E7F8E8"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B44941A"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备注</w:t>
            </w:r>
          </w:p>
        </w:tc>
      </w:tr>
      <w:tr w:rsidR="00D554C2" w:rsidRPr="00D554C2" w14:paraId="781CA25A" w14:textId="77777777" w:rsidTr="009B4CAE">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47DA3DB" w14:textId="77777777" w:rsidR="00D554C2" w:rsidRPr="00D554C2" w:rsidRDefault="00D554C2" w:rsidP="00D554C2">
            <w:pPr>
              <w:widowControl/>
              <w:spacing w:before="100" w:beforeAutospacing="1" w:after="100" w:afterAutospacing="1"/>
              <w:jc w:val="center"/>
              <w:rPr>
                <w:rFonts w:ascii="宋体" w:eastAsia="宋体" w:hAnsi="Calibri" w:cs="宋体"/>
                <w:spacing w:val="1"/>
                <w:kern w:val="0"/>
                <w:sz w:val="24"/>
              </w:rPr>
            </w:pPr>
            <w:r w:rsidRPr="00D554C2">
              <w:rPr>
                <w:rFonts w:ascii="宋体" w:eastAsia="宋体" w:hAnsi="Calibri" w:cs="宋体" w:hint="eastAsia"/>
                <w:spacing w:val="1"/>
                <w:kern w:val="0"/>
                <w:sz w:val="24"/>
              </w:rPr>
              <w:t>啦</w:t>
            </w:r>
            <w:proofErr w:type="gramStart"/>
            <w:r w:rsidRPr="00D554C2">
              <w:rPr>
                <w:rFonts w:ascii="宋体" w:eastAsia="宋体" w:hAnsi="Calibri" w:cs="宋体" w:hint="eastAsia"/>
                <w:spacing w:val="1"/>
                <w:kern w:val="0"/>
                <w:sz w:val="24"/>
              </w:rPr>
              <w:t>啦操运动</w:t>
            </w:r>
            <w:proofErr w:type="gramEnd"/>
            <w:r w:rsidRPr="00D554C2">
              <w:rPr>
                <w:rFonts w:ascii="宋体" w:eastAsia="宋体" w:hAnsi="Calibri" w:cs="宋体" w:hint="eastAsia"/>
                <w:spacing w:val="1"/>
                <w:kern w:val="0"/>
                <w:sz w:val="24"/>
              </w:rPr>
              <w:t>概述</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303C63B"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起源于发展</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2D8655A"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2B51614" w14:textId="77777777" w:rsidR="00D554C2" w:rsidRPr="00D554C2" w:rsidRDefault="00D554C2" w:rsidP="00D554C2">
            <w:pPr>
              <w:widowControl/>
              <w:jc w:val="left"/>
              <w:rPr>
                <w:rFonts w:ascii="宋体" w:eastAsia="宋体" w:hAnsi="Calibri" w:cs="宋体"/>
                <w:spacing w:val="1"/>
                <w:kern w:val="0"/>
                <w:sz w:val="24"/>
              </w:rPr>
            </w:pPr>
          </w:p>
        </w:tc>
      </w:tr>
      <w:tr w:rsidR="00D554C2" w:rsidRPr="00D554C2" w14:paraId="1A3FD736" w14:textId="77777777" w:rsidTr="009B4CAE">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7D8D5386" w14:textId="77777777" w:rsidR="00D554C2" w:rsidRPr="00D554C2" w:rsidRDefault="00D554C2" w:rsidP="00D554C2">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1CA4420"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啦</w:t>
            </w:r>
            <w:proofErr w:type="gramStart"/>
            <w:r w:rsidRPr="00D554C2">
              <w:rPr>
                <w:rFonts w:ascii="宋体" w:eastAsia="宋体" w:hAnsi="Calibri" w:cs="宋体" w:hint="eastAsia"/>
                <w:spacing w:val="1"/>
                <w:kern w:val="0"/>
                <w:sz w:val="24"/>
              </w:rPr>
              <w:t>啦</w:t>
            </w:r>
            <w:proofErr w:type="gramEnd"/>
            <w:r w:rsidRPr="00D554C2">
              <w:rPr>
                <w:rFonts w:ascii="宋体" w:eastAsia="宋体" w:hAnsi="Calibri" w:cs="宋体" w:hint="eastAsia"/>
                <w:spacing w:val="1"/>
                <w:kern w:val="0"/>
                <w:sz w:val="24"/>
              </w:rPr>
              <w:t>操的分类</w:t>
            </w:r>
          </w:p>
        </w:tc>
        <w:tc>
          <w:tcPr>
            <w:tcW w:w="2339" w:type="dxa"/>
            <w:vMerge/>
            <w:tcBorders>
              <w:top w:val="outset" w:sz="6" w:space="0" w:color="auto"/>
              <w:left w:val="outset" w:sz="6" w:space="0" w:color="auto"/>
              <w:bottom w:val="outset" w:sz="6" w:space="0" w:color="auto"/>
              <w:right w:val="outset" w:sz="6" w:space="0" w:color="auto"/>
            </w:tcBorders>
            <w:vAlign w:val="center"/>
          </w:tcPr>
          <w:p w14:paraId="37A450A0" w14:textId="77777777" w:rsidR="00D554C2" w:rsidRPr="00D554C2" w:rsidRDefault="00D554C2" w:rsidP="00D554C2">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35B5CB2A" w14:textId="77777777" w:rsidR="00D554C2" w:rsidRPr="00D554C2" w:rsidRDefault="00D554C2" w:rsidP="00D554C2">
            <w:pPr>
              <w:widowControl/>
              <w:jc w:val="left"/>
              <w:rPr>
                <w:rFonts w:ascii="宋体" w:eastAsia="宋体" w:hAnsi="Calibri" w:cs="宋体"/>
                <w:spacing w:val="1"/>
                <w:kern w:val="0"/>
                <w:sz w:val="24"/>
              </w:rPr>
            </w:pPr>
          </w:p>
        </w:tc>
      </w:tr>
    </w:tbl>
    <w:p w14:paraId="1E2FFB00" w14:textId="77777777" w:rsidR="00D554C2" w:rsidRPr="00D554C2" w:rsidRDefault="00D554C2" w:rsidP="00D554C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D554C2">
        <w:rPr>
          <w:rFonts w:ascii="宋体" w:eastAsia="宋体" w:hAnsi="Calibri" w:cs="宋体" w:hint="eastAsia"/>
          <w:spacing w:val="1"/>
          <w:kern w:val="0"/>
          <w:sz w:val="24"/>
        </w:rPr>
        <w:t xml:space="preserve">  9.3技术课学时分配 </w:t>
      </w:r>
    </w:p>
    <w:tbl>
      <w:tblPr>
        <w:tblW w:w="9652"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D554C2" w:rsidRPr="00D554C2" w14:paraId="534D883E" w14:textId="77777777" w:rsidTr="009B4CAE">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31BCF44F"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8F55537"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6D2E2A4"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备注</w:t>
            </w:r>
          </w:p>
        </w:tc>
      </w:tr>
      <w:tr w:rsidR="00D554C2" w:rsidRPr="00D554C2" w14:paraId="2E42BC57" w14:textId="77777777" w:rsidTr="009B4CAE">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070841E"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技术</w:t>
            </w:r>
          </w:p>
          <w:p w14:paraId="57896BAF"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DF4EAEB"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 xml:space="preserve">手位与律动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7E52B1D"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32个基本手位、律动</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DB3C709"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1学时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4E77365" w14:textId="77777777" w:rsidR="00D554C2" w:rsidRPr="00D554C2" w:rsidRDefault="00D554C2" w:rsidP="00D554C2">
            <w:pPr>
              <w:widowControl/>
              <w:jc w:val="left"/>
              <w:rPr>
                <w:rFonts w:ascii="宋体" w:eastAsia="宋体" w:hAnsi="Calibri" w:cs="宋体"/>
                <w:spacing w:val="1"/>
                <w:kern w:val="0"/>
                <w:sz w:val="24"/>
              </w:rPr>
            </w:pPr>
          </w:p>
        </w:tc>
      </w:tr>
      <w:tr w:rsidR="00D554C2" w:rsidRPr="00D554C2" w14:paraId="3D1691B3" w14:textId="77777777" w:rsidTr="009B4CAE">
        <w:trPr>
          <w:tblCellSpacing w:w="15" w:type="dxa"/>
          <w:jc w:val="center"/>
        </w:trPr>
        <w:tc>
          <w:tcPr>
            <w:tcW w:w="959" w:type="dxa"/>
            <w:vMerge/>
            <w:tcBorders>
              <w:top w:val="outset" w:sz="6" w:space="0" w:color="auto"/>
              <w:left w:val="outset" w:sz="6" w:space="0" w:color="auto"/>
              <w:bottom w:val="outset" w:sz="6" w:space="0" w:color="auto"/>
              <w:right w:val="outset" w:sz="6" w:space="0" w:color="auto"/>
            </w:tcBorders>
            <w:vAlign w:val="center"/>
          </w:tcPr>
          <w:p w14:paraId="5140167E" w14:textId="77777777" w:rsidR="00D554C2" w:rsidRPr="00D554C2" w:rsidRDefault="00D554C2" w:rsidP="00D554C2">
            <w:pPr>
              <w:widowControl/>
              <w:jc w:val="left"/>
              <w:rPr>
                <w:rFonts w:ascii="宋体" w:eastAsia="宋体" w:hAnsi="Calibri" w:cs="宋体"/>
                <w:spacing w:val="1"/>
                <w:kern w:val="0"/>
                <w:sz w:val="24"/>
              </w:rPr>
            </w:pPr>
          </w:p>
        </w:tc>
        <w:tc>
          <w:tcPr>
            <w:tcW w:w="2317" w:type="dxa"/>
            <w:tcBorders>
              <w:top w:val="outset" w:sz="6" w:space="0" w:color="auto"/>
              <w:left w:val="outset" w:sz="6" w:space="0" w:color="auto"/>
              <w:bottom w:val="outset" w:sz="6" w:space="0" w:color="auto"/>
              <w:right w:val="outset" w:sz="6" w:space="0" w:color="auto"/>
            </w:tcBorders>
            <w:vAlign w:val="center"/>
          </w:tcPr>
          <w:p w14:paraId="22ABC527"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基本技术组合</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2B739CB"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自编操</w:t>
            </w:r>
          </w:p>
        </w:tc>
        <w:tc>
          <w:tcPr>
            <w:tcW w:w="2295" w:type="dxa"/>
            <w:gridSpan w:val="2"/>
            <w:tcBorders>
              <w:top w:val="outset" w:sz="6" w:space="0" w:color="auto"/>
              <w:left w:val="outset" w:sz="6" w:space="0" w:color="auto"/>
              <w:bottom w:val="outset" w:sz="6" w:space="0" w:color="auto"/>
              <w:right w:val="outset" w:sz="6" w:space="0" w:color="auto"/>
            </w:tcBorders>
            <w:vAlign w:val="center"/>
          </w:tcPr>
          <w:p w14:paraId="3A30E54E" w14:textId="77777777" w:rsidR="00D554C2" w:rsidRPr="00D554C2" w:rsidRDefault="00D554C2" w:rsidP="00D554C2">
            <w:pPr>
              <w:widowControl/>
              <w:jc w:val="center"/>
              <w:rPr>
                <w:rFonts w:ascii="宋体" w:eastAsia="宋体" w:hAnsi="Calibri" w:cs="宋体"/>
                <w:spacing w:val="1"/>
                <w:kern w:val="0"/>
                <w:sz w:val="24"/>
              </w:rPr>
            </w:pPr>
            <w:r w:rsidRPr="00D554C2">
              <w:rPr>
                <w:rFonts w:ascii="宋体" w:eastAsia="宋体" w:hAnsi="Calibri" w:cs="宋体" w:hint="eastAsia"/>
                <w:spacing w:val="1"/>
                <w:kern w:val="0"/>
                <w:sz w:val="24"/>
              </w:rPr>
              <w:t>8学时</w:t>
            </w:r>
          </w:p>
        </w:tc>
        <w:tc>
          <w:tcPr>
            <w:tcW w:w="1651" w:type="dxa"/>
            <w:tcBorders>
              <w:top w:val="outset" w:sz="6" w:space="0" w:color="auto"/>
              <w:left w:val="outset" w:sz="6" w:space="0" w:color="auto"/>
              <w:bottom w:val="outset" w:sz="6" w:space="0" w:color="auto"/>
              <w:right w:val="outset" w:sz="6" w:space="0" w:color="auto"/>
            </w:tcBorders>
            <w:vAlign w:val="center"/>
          </w:tcPr>
          <w:p w14:paraId="00D9C2E6" w14:textId="77777777" w:rsidR="00D554C2" w:rsidRPr="00D554C2" w:rsidRDefault="00D554C2" w:rsidP="00D554C2">
            <w:pPr>
              <w:widowControl/>
              <w:jc w:val="left"/>
              <w:rPr>
                <w:rFonts w:ascii="宋体" w:eastAsia="宋体" w:hAnsi="Calibri" w:cs="宋体"/>
                <w:spacing w:val="1"/>
                <w:kern w:val="0"/>
                <w:sz w:val="24"/>
              </w:rPr>
            </w:pPr>
          </w:p>
        </w:tc>
      </w:tr>
    </w:tbl>
    <w:p w14:paraId="25E056F2" w14:textId="77777777" w:rsidR="00D554C2" w:rsidRPr="00D554C2" w:rsidRDefault="00D554C2" w:rsidP="00D554C2">
      <w:pPr>
        <w:spacing w:beforeLines="50" w:before="156" w:afterLines="50" w:after="156" w:line="440" w:lineRule="exact"/>
        <w:ind w:firstLineChars="200" w:firstLine="560"/>
        <w:jc w:val="center"/>
        <w:rPr>
          <w:rFonts w:ascii="黑体" w:eastAsia="黑体" w:hAnsi="黑体" w:cs="Times New Roman"/>
          <w:sz w:val="28"/>
          <w:szCs w:val="28"/>
        </w:rPr>
      </w:pPr>
      <w:r w:rsidRPr="00D554C2">
        <w:rPr>
          <w:rFonts w:ascii="黑体" w:eastAsia="黑体" w:hAnsi="黑体" w:cs="Times New Roman" w:hint="eastAsia"/>
          <w:sz w:val="28"/>
          <w:szCs w:val="28"/>
        </w:rPr>
        <w:t>学习内容二 啦</w:t>
      </w:r>
      <w:proofErr w:type="gramStart"/>
      <w:r w:rsidRPr="00D554C2">
        <w:rPr>
          <w:rFonts w:ascii="黑体" w:eastAsia="黑体" w:hAnsi="黑体" w:cs="Times New Roman" w:hint="eastAsia"/>
          <w:sz w:val="28"/>
          <w:szCs w:val="28"/>
        </w:rPr>
        <w:t>啦</w:t>
      </w:r>
      <w:proofErr w:type="gramEnd"/>
      <w:r w:rsidRPr="00D554C2">
        <w:rPr>
          <w:rFonts w:ascii="黑体" w:eastAsia="黑体" w:hAnsi="黑体" w:cs="Times New Roman" w:hint="eastAsia"/>
          <w:sz w:val="28"/>
          <w:szCs w:val="28"/>
        </w:rPr>
        <w:t>操 1</w:t>
      </w:r>
    </w:p>
    <w:p w14:paraId="2A745BD4" w14:textId="77777777" w:rsidR="00D554C2" w:rsidRPr="00D554C2" w:rsidRDefault="00D554C2" w:rsidP="00D554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【学习目标】</w:t>
      </w:r>
    </w:p>
    <w:p w14:paraId="4CF3ACA8"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1.</w:t>
      </w:r>
      <w:r w:rsidRPr="00D554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D554C2">
        <w:rPr>
          <w:rFonts w:ascii="宋体" w:eastAsia="宋体" w:hAnsi="Calibri" w:cs="宋体" w:hint="eastAsia"/>
          <w:spacing w:val="5"/>
          <w:kern w:val="0"/>
          <w:sz w:val="24"/>
        </w:rPr>
        <w:t>通过体能教学活动，</w:t>
      </w:r>
      <w:r w:rsidRPr="00D554C2">
        <w:rPr>
          <w:rFonts w:ascii="宋体" w:eastAsia="宋体" w:hAnsi="宋体" w:cs="仿宋_GB2312" w:hint="eastAsia"/>
          <w:sz w:val="24"/>
        </w:rPr>
        <w:t>了解《大学生体质健康标准测验》项目内容、考核方式、评价标准，掌握考核内容锻炼的方式方法。</w:t>
      </w:r>
      <w:r w:rsidRPr="00D554C2">
        <w:rPr>
          <w:rFonts w:ascii="宋体" w:eastAsia="宋体" w:hAnsi="Calibri" w:cs="宋体" w:hint="eastAsia"/>
          <w:spacing w:val="5"/>
          <w:kern w:val="0"/>
          <w:sz w:val="24"/>
        </w:rPr>
        <w:t>培养学生努力学习、不断进取、修身立业、顽强奋进的</w:t>
      </w:r>
      <w:r w:rsidRPr="00D554C2">
        <w:rPr>
          <w:rFonts w:ascii="宋体" w:eastAsia="宋体" w:hAnsi="Calibri" w:cs="宋体" w:hint="eastAsia"/>
          <w:spacing w:val="5"/>
          <w:kern w:val="0"/>
          <w:sz w:val="24"/>
        </w:rPr>
        <w:lastRenderedPageBreak/>
        <w:t>精神与品质。</w:t>
      </w:r>
    </w:p>
    <w:p w14:paraId="3B337E4D"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2.</w:t>
      </w:r>
      <w:r w:rsidRPr="00D554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D554C2">
        <w:rPr>
          <w:rFonts w:ascii="宋体" w:eastAsia="宋体" w:hAnsi="Calibri" w:cs="宋体" w:hint="eastAsia"/>
          <w:spacing w:val="5"/>
          <w:kern w:val="0"/>
          <w:sz w:val="24"/>
        </w:rPr>
        <w:t>。</w:t>
      </w:r>
    </w:p>
    <w:p w14:paraId="41811E93"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3. 通过啦</w:t>
      </w:r>
      <w:proofErr w:type="gramStart"/>
      <w:r w:rsidRPr="00D554C2">
        <w:rPr>
          <w:rFonts w:ascii="宋体" w:eastAsia="宋体" w:hAnsi="Calibri" w:cs="宋体" w:hint="eastAsia"/>
          <w:spacing w:val="5"/>
          <w:kern w:val="0"/>
          <w:sz w:val="24"/>
        </w:rPr>
        <w:t>啦</w:t>
      </w:r>
      <w:proofErr w:type="gramEnd"/>
      <w:r w:rsidRPr="00D554C2">
        <w:rPr>
          <w:rFonts w:ascii="宋体" w:eastAsia="宋体" w:hAnsi="Calibri" w:cs="宋体" w:hint="eastAsia"/>
          <w:spacing w:val="5"/>
          <w:kern w:val="0"/>
          <w:sz w:val="24"/>
        </w:rPr>
        <w:t>操课程的学习，</w:t>
      </w:r>
      <w:r w:rsidRPr="00D554C2">
        <w:rPr>
          <w:rFonts w:ascii="宋体" w:eastAsia="宋体" w:hAnsi="宋体" w:cs="仿宋_GB2312" w:hint="eastAsia"/>
          <w:sz w:val="24"/>
        </w:rPr>
        <w:t>使学生能够了解啦</w:t>
      </w:r>
      <w:proofErr w:type="gramStart"/>
      <w:r w:rsidRPr="00D554C2">
        <w:rPr>
          <w:rFonts w:ascii="宋体" w:eastAsia="宋体" w:hAnsi="宋体" w:cs="仿宋_GB2312" w:hint="eastAsia"/>
          <w:sz w:val="24"/>
        </w:rPr>
        <w:t>啦</w:t>
      </w:r>
      <w:proofErr w:type="gramEnd"/>
      <w:r w:rsidRPr="00D554C2">
        <w:rPr>
          <w:rFonts w:ascii="宋体" w:eastAsia="宋体" w:hAnsi="宋体" w:cs="仿宋_GB2312" w:hint="eastAsia"/>
          <w:sz w:val="24"/>
        </w:rPr>
        <w:t>操文化，掌握啦</w:t>
      </w:r>
      <w:proofErr w:type="gramStart"/>
      <w:r w:rsidRPr="00D554C2">
        <w:rPr>
          <w:rFonts w:ascii="宋体" w:eastAsia="宋体" w:hAnsi="宋体" w:cs="仿宋_GB2312" w:hint="eastAsia"/>
          <w:sz w:val="24"/>
        </w:rPr>
        <w:t>啦操运动</w:t>
      </w:r>
      <w:proofErr w:type="gramEnd"/>
      <w:r w:rsidRPr="00D554C2">
        <w:rPr>
          <w:rFonts w:ascii="宋体" w:eastAsia="宋体" w:hAnsi="宋体" w:cs="仿宋_GB2312" w:hint="eastAsia"/>
          <w:sz w:val="24"/>
        </w:rPr>
        <w:t>的基本理论知识和技术特点。以运动和身体练习为基本手段，对大学生机体进行科学的培育，在提高人的生物潜能、心理潜能的过程中促进德、智、体、美全面发展，达到身心健康、全面发展的教育总目的</w:t>
      </w:r>
      <w:r w:rsidRPr="00D554C2">
        <w:rPr>
          <w:rFonts w:ascii="宋体" w:eastAsia="宋体" w:hAnsi="Calibri" w:cs="宋体" w:hint="eastAsia"/>
          <w:spacing w:val="5"/>
          <w:kern w:val="0"/>
          <w:sz w:val="24"/>
        </w:rPr>
        <w:t>。</w:t>
      </w:r>
    </w:p>
    <w:p w14:paraId="117EB5A3" w14:textId="77777777" w:rsidR="00D554C2" w:rsidRPr="00D554C2" w:rsidRDefault="00D554C2" w:rsidP="00D554C2">
      <w:pPr>
        <w:spacing w:line="440" w:lineRule="exact"/>
        <w:ind w:firstLineChars="200" w:firstLine="500"/>
        <w:rPr>
          <w:rFonts w:ascii="宋体" w:eastAsia="宋体" w:hAnsi="宋体" w:cs="Times New Roman"/>
          <w:b/>
          <w:sz w:val="24"/>
        </w:rPr>
      </w:pPr>
      <w:r w:rsidRPr="00D554C2">
        <w:rPr>
          <w:rFonts w:ascii="宋体" w:eastAsia="宋体" w:hAnsi="Calibri" w:cs="宋体" w:hint="eastAsia"/>
          <w:spacing w:val="5"/>
          <w:kern w:val="0"/>
          <w:sz w:val="24"/>
        </w:rPr>
        <w:t>4.</w:t>
      </w:r>
      <w:r w:rsidRPr="00D554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D554C2">
        <w:rPr>
          <w:rFonts w:ascii="宋体" w:eastAsia="宋体" w:hAnsi="Calibri" w:cs="宋体" w:hint="eastAsia"/>
          <w:spacing w:val="5"/>
          <w:kern w:val="0"/>
          <w:sz w:val="24"/>
        </w:rPr>
        <w:t>。</w:t>
      </w:r>
    </w:p>
    <w:p w14:paraId="450AE596" w14:textId="77777777" w:rsidR="00D554C2" w:rsidRPr="00D554C2" w:rsidRDefault="00D554C2" w:rsidP="00D554C2">
      <w:pPr>
        <w:spacing w:line="44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【学习内容】</w:t>
      </w:r>
    </w:p>
    <w:p w14:paraId="4E168E3F"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第一章  基本技术(26学时)</w:t>
      </w:r>
    </w:p>
    <w:p w14:paraId="525BF029"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b/>
          <w:sz w:val="24"/>
        </w:rPr>
        <w:t>本章主要教学内容：</w:t>
      </w:r>
    </w:p>
    <w:p w14:paraId="2C19369A"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1.1基本手位、步伐。</w:t>
      </w:r>
    </w:p>
    <w:p w14:paraId="5E508663"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1.2身体姿态，表现力。</w:t>
      </w:r>
    </w:p>
    <w:p w14:paraId="52407901"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1.3节拍与律动。</w:t>
      </w:r>
    </w:p>
    <w:p w14:paraId="0E6EEA91"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1.4手臂发力与控制。</w:t>
      </w:r>
    </w:p>
    <w:p w14:paraId="50296FED"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1.5踢腿。</w:t>
      </w:r>
    </w:p>
    <w:p w14:paraId="60B7BA3A"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1.6</w:t>
      </w:r>
      <w:proofErr w:type="gramStart"/>
      <w:r w:rsidRPr="00D554C2">
        <w:rPr>
          <w:rFonts w:ascii="宋体" w:eastAsia="宋体" w:hAnsi="宋体" w:cs="宋体" w:hint="eastAsia"/>
          <w:sz w:val="24"/>
        </w:rPr>
        <w:t>两</w:t>
      </w:r>
      <w:proofErr w:type="gramEnd"/>
      <w:r w:rsidRPr="00D554C2">
        <w:rPr>
          <w:rFonts w:ascii="宋体" w:eastAsia="宋体" w:hAnsi="宋体" w:cs="宋体" w:hint="eastAsia"/>
          <w:sz w:val="24"/>
        </w:rPr>
        <w:t>人配合</w:t>
      </w:r>
    </w:p>
    <w:p w14:paraId="037028D4"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1.7啦</w:t>
      </w:r>
      <w:proofErr w:type="gramStart"/>
      <w:r w:rsidRPr="00D554C2">
        <w:rPr>
          <w:rFonts w:ascii="宋体" w:eastAsia="宋体" w:hAnsi="宋体" w:cs="宋体" w:hint="eastAsia"/>
          <w:sz w:val="24"/>
        </w:rPr>
        <w:t>啦</w:t>
      </w:r>
      <w:proofErr w:type="gramEnd"/>
      <w:r w:rsidRPr="00D554C2">
        <w:rPr>
          <w:rFonts w:ascii="宋体" w:eastAsia="宋体" w:hAnsi="宋体" w:cs="宋体" w:hint="eastAsia"/>
          <w:sz w:val="24"/>
        </w:rPr>
        <w:t>操套路（一）。</w:t>
      </w:r>
    </w:p>
    <w:p w14:paraId="00DAF3C2" w14:textId="77777777" w:rsidR="00D554C2" w:rsidRPr="00D554C2" w:rsidRDefault="00D554C2" w:rsidP="00D554C2">
      <w:pPr>
        <w:adjustRightInd w:val="0"/>
        <w:snapToGrid w:val="0"/>
        <w:spacing w:line="500" w:lineRule="exact"/>
        <w:ind w:firstLineChars="200" w:firstLine="482"/>
        <w:rPr>
          <w:rFonts w:ascii="宋体" w:eastAsia="宋体" w:hAnsi="宋体" w:cs="宋体"/>
          <w:sz w:val="24"/>
        </w:rPr>
      </w:pPr>
      <w:r w:rsidRPr="00D554C2">
        <w:rPr>
          <w:rFonts w:ascii="宋体" w:eastAsia="宋体" w:hAnsi="宋体" w:cs="宋体" w:hint="eastAsia"/>
          <w:b/>
          <w:bCs/>
          <w:sz w:val="24"/>
        </w:rPr>
        <w:t>本章教学目的及要求</w:t>
      </w:r>
      <w:r w:rsidRPr="00D554C2">
        <w:rPr>
          <w:rFonts w:ascii="宋体" w:eastAsia="宋体" w:hAnsi="宋体" w:cs="宋体" w:hint="eastAsia"/>
          <w:sz w:val="24"/>
        </w:rPr>
        <w:t>：使学生掌握啦</w:t>
      </w:r>
      <w:proofErr w:type="gramStart"/>
      <w:r w:rsidRPr="00D554C2">
        <w:rPr>
          <w:rFonts w:ascii="宋体" w:eastAsia="宋体" w:hAnsi="宋体" w:cs="宋体" w:hint="eastAsia"/>
          <w:sz w:val="24"/>
        </w:rPr>
        <w:t>啦操基本</w:t>
      </w:r>
      <w:proofErr w:type="gramEnd"/>
      <w:r w:rsidRPr="00D554C2">
        <w:rPr>
          <w:rFonts w:ascii="宋体" w:eastAsia="宋体" w:hAnsi="宋体" w:cs="宋体" w:hint="eastAsia"/>
          <w:sz w:val="24"/>
        </w:rPr>
        <w:t xml:space="preserve">技术要领，并能够熟练完成套路动作。 </w:t>
      </w:r>
    </w:p>
    <w:p w14:paraId="6AC6096E" w14:textId="77777777" w:rsidR="00D554C2" w:rsidRPr="00D554C2" w:rsidRDefault="00D554C2" w:rsidP="00D554C2">
      <w:pPr>
        <w:adjustRightInd w:val="0"/>
        <w:snapToGrid w:val="0"/>
        <w:spacing w:line="500" w:lineRule="exact"/>
        <w:ind w:firstLineChars="200" w:firstLine="482"/>
        <w:rPr>
          <w:rFonts w:ascii="宋体" w:eastAsia="宋体" w:hAnsi="宋体" w:cs="宋体"/>
          <w:sz w:val="24"/>
        </w:rPr>
      </w:pPr>
      <w:r w:rsidRPr="00D554C2">
        <w:rPr>
          <w:rFonts w:ascii="宋体" w:eastAsia="宋体" w:hAnsi="宋体" w:cs="宋体" w:hint="eastAsia"/>
          <w:b/>
          <w:bCs/>
          <w:sz w:val="24"/>
        </w:rPr>
        <w:lastRenderedPageBreak/>
        <w:t>本章教学重点及难点</w:t>
      </w:r>
      <w:r w:rsidRPr="00D554C2">
        <w:rPr>
          <w:rFonts w:ascii="宋体" w:eastAsia="宋体" w:hAnsi="宋体" w:cs="宋体" w:hint="eastAsia"/>
          <w:sz w:val="24"/>
        </w:rPr>
        <w:t xml:space="preserve">：发力与控制。 </w:t>
      </w:r>
    </w:p>
    <w:p w14:paraId="4A64A464"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第二章  身体素质（6学时）</w:t>
      </w:r>
    </w:p>
    <w:p w14:paraId="12037735" w14:textId="77777777" w:rsidR="00D554C2" w:rsidRPr="00D554C2" w:rsidRDefault="00D554C2" w:rsidP="00D554C2">
      <w:pPr>
        <w:spacing w:line="360" w:lineRule="auto"/>
        <w:ind w:firstLineChars="200" w:firstLine="482"/>
        <w:rPr>
          <w:rFonts w:ascii="Calibri" w:eastAsia="宋体" w:hAnsi="Calibri" w:cs="Times New Roman"/>
          <w:b/>
          <w:sz w:val="24"/>
        </w:rPr>
      </w:pPr>
      <w:r w:rsidRPr="00D554C2">
        <w:rPr>
          <w:rFonts w:ascii="Calibri" w:eastAsia="宋体" w:hAnsi="Calibri" w:cs="Times New Roman"/>
          <w:b/>
          <w:sz w:val="24"/>
        </w:rPr>
        <w:t>本章主要教学内容：</w:t>
      </w:r>
    </w:p>
    <w:p w14:paraId="2A00EECB"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速度素质、耐力素质、灵敏素质。</w:t>
      </w:r>
    </w:p>
    <w:p w14:paraId="00D5A09D" w14:textId="77777777" w:rsidR="00D554C2" w:rsidRPr="00D554C2" w:rsidRDefault="00D554C2" w:rsidP="00D554C2">
      <w:pPr>
        <w:adjustRightInd w:val="0"/>
        <w:snapToGrid w:val="0"/>
        <w:spacing w:line="500" w:lineRule="exact"/>
        <w:ind w:firstLineChars="200" w:firstLine="482"/>
        <w:rPr>
          <w:rFonts w:ascii="宋体" w:eastAsia="宋体" w:hAnsi="宋体" w:cs="宋体"/>
          <w:b/>
          <w:bCs/>
          <w:sz w:val="24"/>
        </w:rPr>
      </w:pPr>
      <w:r w:rsidRPr="00D554C2">
        <w:rPr>
          <w:rFonts w:ascii="宋体" w:eastAsia="宋体" w:hAnsi="宋体" w:cs="宋体" w:hint="eastAsia"/>
          <w:b/>
          <w:bCs/>
          <w:sz w:val="24"/>
        </w:rPr>
        <w:t>教学目的及要求：</w:t>
      </w:r>
      <w:r w:rsidRPr="00D554C2">
        <w:rPr>
          <w:rFonts w:ascii="宋体" w:eastAsia="宋体" w:hAnsi="宋体" w:cs="宋体" w:hint="eastAsia"/>
          <w:sz w:val="24"/>
        </w:rPr>
        <w:t>使学生掌握啦</w:t>
      </w:r>
      <w:proofErr w:type="gramStart"/>
      <w:r w:rsidRPr="00D554C2">
        <w:rPr>
          <w:rFonts w:ascii="宋体" w:eastAsia="宋体" w:hAnsi="宋体" w:cs="宋体" w:hint="eastAsia"/>
          <w:sz w:val="24"/>
        </w:rPr>
        <w:t>啦操运动</w:t>
      </w:r>
      <w:proofErr w:type="gramEnd"/>
      <w:r w:rsidRPr="00D554C2">
        <w:rPr>
          <w:rFonts w:ascii="宋体" w:eastAsia="宋体" w:hAnsi="宋体" w:cs="宋体" w:hint="eastAsia"/>
          <w:sz w:val="24"/>
        </w:rPr>
        <w:t xml:space="preserve">需要的基本身体素质。 </w:t>
      </w:r>
    </w:p>
    <w:p w14:paraId="1E7F69B9"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sz w:val="24"/>
        </w:rPr>
      </w:pPr>
      <w:r w:rsidRPr="00D554C2">
        <w:rPr>
          <w:rFonts w:ascii="Calibri" w:eastAsia="宋体" w:hAnsi="Calibri" w:cs="Times New Roman" w:hint="eastAsia"/>
          <w:b/>
          <w:bCs/>
          <w:sz w:val="24"/>
        </w:rPr>
        <w:t>教学重点及难点</w:t>
      </w:r>
      <w:r w:rsidRPr="00D554C2">
        <w:rPr>
          <w:rFonts w:ascii="Calibri" w:eastAsia="宋体" w:hAnsi="Calibri" w:cs="Times New Roman" w:hint="eastAsia"/>
          <w:sz w:val="24"/>
        </w:rPr>
        <w:t>：身体耐力、肌肉力量、柔韧性。</w:t>
      </w:r>
    </w:p>
    <w:p w14:paraId="1907AB03"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p>
    <w:p w14:paraId="56385809" w14:textId="77777777" w:rsidR="00D554C2" w:rsidRPr="00D554C2" w:rsidRDefault="00D554C2" w:rsidP="00D554C2">
      <w:pPr>
        <w:spacing w:beforeLines="50" w:before="156" w:afterLines="50" w:after="156" w:line="440" w:lineRule="exact"/>
        <w:ind w:firstLineChars="200" w:firstLine="560"/>
        <w:jc w:val="center"/>
        <w:rPr>
          <w:rFonts w:ascii="黑体" w:eastAsia="黑体" w:hAnsi="黑体" w:cs="Times New Roman"/>
          <w:sz w:val="28"/>
          <w:szCs w:val="28"/>
        </w:rPr>
      </w:pPr>
      <w:r w:rsidRPr="00D554C2">
        <w:rPr>
          <w:rFonts w:ascii="黑体" w:eastAsia="黑体" w:hAnsi="黑体" w:cs="Times New Roman" w:hint="eastAsia"/>
          <w:sz w:val="28"/>
          <w:szCs w:val="28"/>
        </w:rPr>
        <w:t>学习内容三 啦</w:t>
      </w:r>
      <w:proofErr w:type="gramStart"/>
      <w:r w:rsidRPr="00D554C2">
        <w:rPr>
          <w:rFonts w:ascii="黑体" w:eastAsia="黑体" w:hAnsi="黑体" w:cs="Times New Roman" w:hint="eastAsia"/>
          <w:sz w:val="28"/>
          <w:szCs w:val="28"/>
        </w:rPr>
        <w:t>啦</w:t>
      </w:r>
      <w:proofErr w:type="gramEnd"/>
      <w:r w:rsidRPr="00D554C2">
        <w:rPr>
          <w:rFonts w:ascii="黑体" w:eastAsia="黑体" w:hAnsi="黑体" w:cs="Times New Roman" w:hint="eastAsia"/>
          <w:sz w:val="28"/>
          <w:szCs w:val="28"/>
        </w:rPr>
        <w:t>操 2</w:t>
      </w:r>
    </w:p>
    <w:p w14:paraId="4A962D78" w14:textId="77777777" w:rsidR="00D554C2" w:rsidRPr="00D554C2" w:rsidRDefault="00D554C2" w:rsidP="00D554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【学习目标】</w:t>
      </w:r>
    </w:p>
    <w:p w14:paraId="7E5B2ECE"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1.</w:t>
      </w:r>
      <w:r w:rsidRPr="00D554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D554C2">
        <w:rPr>
          <w:rFonts w:ascii="宋体" w:eastAsia="宋体" w:hAnsi="Calibri" w:cs="宋体" w:hint="eastAsia"/>
          <w:spacing w:val="5"/>
          <w:kern w:val="0"/>
          <w:sz w:val="24"/>
        </w:rPr>
        <w:t>通过体能教学活动，</w:t>
      </w:r>
      <w:r w:rsidRPr="00D554C2">
        <w:rPr>
          <w:rFonts w:ascii="宋体" w:eastAsia="宋体" w:hAnsi="宋体" w:cs="仿宋_GB2312" w:hint="eastAsia"/>
          <w:sz w:val="24"/>
        </w:rPr>
        <w:t>了解《大学生体质健康标准测验》项目内容、考核方式、评价标准，掌握考核内容锻炼的方式方法。</w:t>
      </w:r>
      <w:r w:rsidRPr="00D554C2">
        <w:rPr>
          <w:rFonts w:ascii="宋体" w:eastAsia="宋体" w:hAnsi="Calibri" w:cs="宋体" w:hint="eastAsia"/>
          <w:spacing w:val="5"/>
          <w:kern w:val="0"/>
          <w:sz w:val="24"/>
        </w:rPr>
        <w:t>培养学生努力学习、不断进取、修身立业、顽强奋进的精神与品质。</w:t>
      </w:r>
    </w:p>
    <w:p w14:paraId="0B1F895A"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2.</w:t>
      </w:r>
      <w:r w:rsidRPr="00D554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D554C2">
        <w:rPr>
          <w:rFonts w:ascii="宋体" w:eastAsia="宋体" w:hAnsi="Calibri" w:cs="宋体" w:hint="eastAsia"/>
          <w:spacing w:val="5"/>
          <w:kern w:val="0"/>
          <w:sz w:val="24"/>
        </w:rPr>
        <w:t>。</w:t>
      </w:r>
    </w:p>
    <w:p w14:paraId="53E5068E"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3．通过啦</w:t>
      </w:r>
      <w:proofErr w:type="gramStart"/>
      <w:r w:rsidRPr="00D554C2">
        <w:rPr>
          <w:rFonts w:ascii="宋体" w:eastAsia="宋体" w:hAnsi="Calibri" w:cs="宋体" w:hint="eastAsia"/>
          <w:spacing w:val="5"/>
          <w:kern w:val="0"/>
          <w:sz w:val="24"/>
        </w:rPr>
        <w:t>啦</w:t>
      </w:r>
      <w:proofErr w:type="gramEnd"/>
      <w:r w:rsidRPr="00D554C2">
        <w:rPr>
          <w:rFonts w:ascii="宋体" w:eastAsia="宋体" w:hAnsi="Calibri" w:cs="宋体" w:hint="eastAsia"/>
          <w:spacing w:val="5"/>
          <w:kern w:val="0"/>
          <w:sz w:val="24"/>
        </w:rPr>
        <w:t>操课程的学习，</w:t>
      </w:r>
      <w:r w:rsidRPr="00D554C2">
        <w:rPr>
          <w:rFonts w:ascii="宋体" w:eastAsia="宋体" w:hAnsi="宋体" w:cs="仿宋_GB2312" w:hint="eastAsia"/>
          <w:sz w:val="24"/>
        </w:rPr>
        <w:t>使学生能够了解啦</w:t>
      </w:r>
      <w:proofErr w:type="gramStart"/>
      <w:r w:rsidRPr="00D554C2">
        <w:rPr>
          <w:rFonts w:ascii="宋体" w:eastAsia="宋体" w:hAnsi="宋体" w:cs="仿宋_GB2312" w:hint="eastAsia"/>
          <w:sz w:val="24"/>
        </w:rPr>
        <w:t>啦</w:t>
      </w:r>
      <w:proofErr w:type="gramEnd"/>
      <w:r w:rsidRPr="00D554C2">
        <w:rPr>
          <w:rFonts w:ascii="宋体" w:eastAsia="宋体" w:hAnsi="宋体" w:cs="仿宋_GB2312" w:hint="eastAsia"/>
          <w:sz w:val="24"/>
        </w:rPr>
        <w:t>操文化，掌握啦</w:t>
      </w:r>
      <w:proofErr w:type="gramStart"/>
      <w:r w:rsidRPr="00D554C2">
        <w:rPr>
          <w:rFonts w:ascii="宋体" w:eastAsia="宋体" w:hAnsi="宋体" w:cs="仿宋_GB2312" w:hint="eastAsia"/>
          <w:sz w:val="24"/>
        </w:rPr>
        <w:t>啦操运动</w:t>
      </w:r>
      <w:proofErr w:type="gramEnd"/>
      <w:r w:rsidRPr="00D554C2">
        <w:rPr>
          <w:rFonts w:ascii="宋体" w:eastAsia="宋体" w:hAnsi="宋体" w:cs="仿宋_GB2312" w:hint="eastAsia"/>
          <w:sz w:val="24"/>
        </w:rPr>
        <w:t>的基本理论知识和技术特点。以运动和身体练习为基本手段，对大学生机体进行科学的培育，在提高人的生物潜能、心理潜能的过程中促进德、智、体、美全面发展，达到身心健康、全面发展的教育总目的</w:t>
      </w:r>
      <w:r w:rsidRPr="00D554C2">
        <w:rPr>
          <w:rFonts w:ascii="宋体" w:eastAsia="宋体" w:hAnsi="Calibri" w:cs="宋体" w:hint="eastAsia"/>
          <w:spacing w:val="5"/>
          <w:kern w:val="0"/>
          <w:sz w:val="24"/>
        </w:rPr>
        <w:t>。</w:t>
      </w:r>
    </w:p>
    <w:p w14:paraId="14394CA8" w14:textId="77777777" w:rsidR="00D554C2" w:rsidRPr="00D554C2" w:rsidRDefault="00D554C2" w:rsidP="00D554C2">
      <w:pPr>
        <w:spacing w:line="440" w:lineRule="exact"/>
        <w:ind w:firstLineChars="200" w:firstLine="500"/>
        <w:rPr>
          <w:rFonts w:ascii="宋体" w:eastAsia="宋体" w:hAnsi="宋体" w:cs="Times New Roman"/>
          <w:b/>
          <w:sz w:val="24"/>
        </w:rPr>
      </w:pPr>
      <w:r w:rsidRPr="00D554C2">
        <w:rPr>
          <w:rFonts w:ascii="宋体" w:eastAsia="宋体" w:hAnsi="Calibri" w:cs="宋体" w:hint="eastAsia"/>
          <w:spacing w:val="5"/>
          <w:kern w:val="0"/>
          <w:sz w:val="24"/>
        </w:rPr>
        <w:t>4.</w:t>
      </w:r>
      <w:r w:rsidRPr="00D554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w:t>
      </w:r>
      <w:r w:rsidRPr="00D554C2">
        <w:rPr>
          <w:rFonts w:ascii="宋体" w:eastAsia="宋体" w:hAnsi="宋体" w:cs="仿宋_GB2312" w:hint="eastAsia"/>
          <w:sz w:val="24"/>
        </w:rPr>
        <w:lastRenderedPageBreak/>
        <w:t>败不馁，锲而不舍的意志和作风，具备沟通交流能力与团队合作精神，能够养成认真、求实、勤奋良好科研精神与学风</w:t>
      </w:r>
      <w:r w:rsidRPr="00D554C2">
        <w:rPr>
          <w:rFonts w:ascii="宋体" w:eastAsia="宋体" w:hAnsi="Calibri" w:cs="宋体" w:hint="eastAsia"/>
          <w:spacing w:val="5"/>
          <w:kern w:val="0"/>
          <w:sz w:val="24"/>
        </w:rPr>
        <w:t>。</w:t>
      </w:r>
    </w:p>
    <w:p w14:paraId="753E7F0D" w14:textId="77777777" w:rsidR="00D554C2" w:rsidRPr="00D554C2" w:rsidRDefault="00D554C2" w:rsidP="00D554C2">
      <w:pPr>
        <w:spacing w:line="440" w:lineRule="exact"/>
        <w:ind w:firstLineChars="200" w:firstLine="482"/>
        <w:rPr>
          <w:rFonts w:ascii="宋体" w:eastAsia="宋体" w:hAnsi="宋体" w:cs="Times New Roman"/>
          <w:b/>
          <w:sz w:val="24"/>
        </w:rPr>
      </w:pPr>
      <w:r w:rsidRPr="00D554C2">
        <w:rPr>
          <w:rFonts w:ascii="宋体" w:eastAsia="宋体" w:hAnsi="宋体" w:cs="Times New Roman" w:hint="eastAsia"/>
          <w:b/>
          <w:sz w:val="24"/>
        </w:rPr>
        <w:t>【学习内容】</w:t>
      </w:r>
    </w:p>
    <w:p w14:paraId="799D1480"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第一章  基本技术(24学时)</w:t>
      </w:r>
    </w:p>
    <w:p w14:paraId="1A28593B"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b/>
          <w:sz w:val="24"/>
        </w:rPr>
        <w:t>本章主要教学内容：</w:t>
      </w:r>
    </w:p>
    <w:p w14:paraId="18F3E11C"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1.1基本手位、步伐。</w:t>
      </w:r>
    </w:p>
    <w:p w14:paraId="5F0FBD3F"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1.2身体姿态，表现力。</w:t>
      </w:r>
    </w:p>
    <w:p w14:paraId="79DBFE10"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1.3节拍与律动。</w:t>
      </w:r>
    </w:p>
    <w:p w14:paraId="07AEA666"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1.4手臂发力与控制。</w:t>
      </w:r>
    </w:p>
    <w:p w14:paraId="523250D3"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1.5踢腿。</w:t>
      </w:r>
    </w:p>
    <w:p w14:paraId="6F538A36"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1.6胸腰练习。</w:t>
      </w:r>
    </w:p>
    <w:p w14:paraId="72EA3878"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1.7团队配合。</w:t>
      </w:r>
    </w:p>
    <w:p w14:paraId="1E85415E"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1.8啦</w:t>
      </w:r>
      <w:proofErr w:type="gramStart"/>
      <w:r w:rsidRPr="00D554C2">
        <w:rPr>
          <w:rFonts w:ascii="宋体" w:eastAsia="宋体" w:hAnsi="宋体" w:cs="宋体" w:hint="eastAsia"/>
          <w:sz w:val="24"/>
        </w:rPr>
        <w:t>啦</w:t>
      </w:r>
      <w:proofErr w:type="gramEnd"/>
      <w:r w:rsidRPr="00D554C2">
        <w:rPr>
          <w:rFonts w:ascii="宋体" w:eastAsia="宋体" w:hAnsi="宋体" w:cs="宋体" w:hint="eastAsia"/>
          <w:sz w:val="24"/>
        </w:rPr>
        <w:t>操套路（二）。</w:t>
      </w:r>
    </w:p>
    <w:p w14:paraId="79296AAB" w14:textId="77777777" w:rsidR="00D554C2" w:rsidRPr="00D554C2" w:rsidRDefault="00D554C2" w:rsidP="00D554C2">
      <w:pPr>
        <w:adjustRightInd w:val="0"/>
        <w:snapToGrid w:val="0"/>
        <w:spacing w:line="500" w:lineRule="exact"/>
        <w:ind w:firstLineChars="200" w:firstLine="482"/>
        <w:rPr>
          <w:rFonts w:ascii="宋体" w:eastAsia="宋体" w:hAnsi="宋体" w:cs="宋体"/>
          <w:sz w:val="24"/>
        </w:rPr>
      </w:pPr>
      <w:r w:rsidRPr="00D554C2">
        <w:rPr>
          <w:rFonts w:ascii="宋体" w:eastAsia="宋体" w:hAnsi="宋体" w:cs="宋体" w:hint="eastAsia"/>
          <w:b/>
          <w:bCs/>
          <w:sz w:val="24"/>
        </w:rPr>
        <w:t>本章教学目的及要求</w:t>
      </w:r>
      <w:r w:rsidRPr="00D554C2">
        <w:rPr>
          <w:rFonts w:ascii="宋体" w:eastAsia="宋体" w:hAnsi="宋体" w:cs="宋体" w:hint="eastAsia"/>
          <w:sz w:val="24"/>
        </w:rPr>
        <w:t>：使学生掌握啦</w:t>
      </w:r>
      <w:proofErr w:type="gramStart"/>
      <w:r w:rsidRPr="00D554C2">
        <w:rPr>
          <w:rFonts w:ascii="宋体" w:eastAsia="宋体" w:hAnsi="宋体" w:cs="宋体" w:hint="eastAsia"/>
          <w:sz w:val="24"/>
        </w:rPr>
        <w:t>啦操基本</w:t>
      </w:r>
      <w:proofErr w:type="gramEnd"/>
      <w:r w:rsidRPr="00D554C2">
        <w:rPr>
          <w:rFonts w:ascii="宋体" w:eastAsia="宋体" w:hAnsi="宋体" w:cs="宋体" w:hint="eastAsia"/>
          <w:sz w:val="24"/>
        </w:rPr>
        <w:t xml:space="preserve">技术要领，并能够熟练完成套路动作。 </w:t>
      </w:r>
    </w:p>
    <w:p w14:paraId="44EE12D0" w14:textId="77777777" w:rsidR="00D554C2" w:rsidRPr="00D554C2" w:rsidRDefault="00D554C2" w:rsidP="00D554C2">
      <w:pPr>
        <w:adjustRightInd w:val="0"/>
        <w:snapToGrid w:val="0"/>
        <w:spacing w:line="500" w:lineRule="exact"/>
        <w:ind w:firstLineChars="200" w:firstLine="482"/>
        <w:rPr>
          <w:rFonts w:ascii="宋体" w:eastAsia="宋体" w:hAnsi="宋体" w:cs="宋体"/>
          <w:sz w:val="24"/>
        </w:rPr>
      </w:pPr>
      <w:r w:rsidRPr="00D554C2">
        <w:rPr>
          <w:rFonts w:ascii="宋体" w:eastAsia="宋体" w:hAnsi="宋体" w:cs="宋体" w:hint="eastAsia"/>
          <w:b/>
          <w:bCs/>
          <w:sz w:val="24"/>
        </w:rPr>
        <w:t>本章教学重点及难点</w:t>
      </w:r>
      <w:r w:rsidRPr="00D554C2">
        <w:rPr>
          <w:rFonts w:ascii="宋体" w:eastAsia="宋体" w:hAnsi="宋体" w:cs="宋体" w:hint="eastAsia"/>
          <w:sz w:val="24"/>
        </w:rPr>
        <w:t>：发力与控制，表现力。</w:t>
      </w:r>
    </w:p>
    <w:p w14:paraId="7C549697"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第二章  编排实践（4学时）</w:t>
      </w:r>
    </w:p>
    <w:p w14:paraId="542227AC"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b/>
          <w:sz w:val="24"/>
        </w:rPr>
        <w:t>本章主要教学内容：</w:t>
      </w:r>
    </w:p>
    <w:p w14:paraId="3D58E566"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队形编排。</w:t>
      </w:r>
    </w:p>
    <w:p w14:paraId="166553D2"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sz w:val="24"/>
        </w:rPr>
      </w:pPr>
      <w:r w:rsidRPr="00D554C2">
        <w:rPr>
          <w:rFonts w:ascii="Calibri" w:eastAsia="宋体" w:hAnsi="Calibri" w:cs="Times New Roman" w:hint="eastAsia"/>
          <w:b/>
          <w:sz w:val="24"/>
        </w:rPr>
        <w:t>教学目的及要求</w:t>
      </w:r>
      <w:r w:rsidRPr="00D554C2">
        <w:rPr>
          <w:rFonts w:ascii="Calibri" w:eastAsia="宋体" w:hAnsi="Calibri" w:cs="Times New Roman" w:hint="eastAsia"/>
          <w:sz w:val="24"/>
        </w:rPr>
        <w:t>：使学生掌握啦</w:t>
      </w:r>
      <w:proofErr w:type="gramStart"/>
      <w:r w:rsidRPr="00D554C2">
        <w:rPr>
          <w:rFonts w:ascii="Calibri" w:eastAsia="宋体" w:hAnsi="Calibri" w:cs="Times New Roman" w:hint="eastAsia"/>
          <w:sz w:val="24"/>
        </w:rPr>
        <w:t>啦</w:t>
      </w:r>
      <w:proofErr w:type="gramEnd"/>
      <w:r w:rsidRPr="00D554C2">
        <w:rPr>
          <w:rFonts w:ascii="Calibri" w:eastAsia="宋体" w:hAnsi="Calibri" w:cs="Times New Roman" w:hint="eastAsia"/>
          <w:sz w:val="24"/>
        </w:rPr>
        <w:t>操的基本方法。</w:t>
      </w:r>
      <w:r w:rsidRPr="00D554C2">
        <w:rPr>
          <w:rFonts w:ascii="Calibri" w:eastAsia="宋体" w:hAnsi="Calibri" w:cs="Times New Roman" w:hint="eastAsia"/>
          <w:sz w:val="24"/>
        </w:rPr>
        <w:t xml:space="preserve"> </w:t>
      </w:r>
    </w:p>
    <w:p w14:paraId="484D69FE" w14:textId="77777777" w:rsidR="00D554C2" w:rsidRPr="00D554C2" w:rsidRDefault="00D554C2" w:rsidP="00D554C2">
      <w:pPr>
        <w:adjustRightInd w:val="0"/>
        <w:snapToGrid w:val="0"/>
        <w:spacing w:line="500" w:lineRule="exact"/>
        <w:ind w:firstLineChars="200" w:firstLine="482"/>
        <w:rPr>
          <w:rFonts w:ascii="宋体" w:eastAsia="宋体" w:hAnsi="宋体" w:cs="Times New Roman"/>
          <w:sz w:val="24"/>
        </w:rPr>
      </w:pPr>
      <w:r w:rsidRPr="00D554C2">
        <w:rPr>
          <w:rFonts w:ascii="Calibri" w:eastAsia="宋体" w:hAnsi="Calibri" w:cs="Times New Roman" w:hint="eastAsia"/>
          <w:b/>
          <w:sz w:val="24"/>
        </w:rPr>
        <w:t>教学重点及难点</w:t>
      </w:r>
      <w:r w:rsidRPr="00D554C2">
        <w:rPr>
          <w:rFonts w:ascii="Calibri" w:eastAsia="宋体" w:hAnsi="Calibri" w:cs="Times New Roman" w:hint="eastAsia"/>
          <w:sz w:val="24"/>
        </w:rPr>
        <w:t>：队形编排的灵活性、观赏性。</w:t>
      </w:r>
    </w:p>
    <w:p w14:paraId="5CE812C8" w14:textId="77777777" w:rsidR="00D554C2" w:rsidRPr="00D554C2" w:rsidRDefault="00D554C2" w:rsidP="00D554C2">
      <w:pPr>
        <w:adjustRightInd w:val="0"/>
        <w:snapToGrid w:val="0"/>
        <w:spacing w:beforeLines="50" w:before="156" w:afterLines="50" w:after="156" w:line="500" w:lineRule="exact"/>
        <w:jc w:val="center"/>
        <w:rPr>
          <w:rFonts w:ascii="Arial" w:eastAsia="宋体" w:hAnsi="Arial" w:cs="Arial"/>
          <w:b/>
          <w:sz w:val="28"/>
          <w:szCs w:val="28"/>
        </w:rPr>
      </w:pPr>
      <w:r w:rsidRPr="00D554C2">
        <w:rPr>
          <w:rFonts w:ascii="宋体" w:eastAsia="宋体" w:hAnsi="宋体" w:cs="Times New Roman" w:hint="eastAsia"/>
          <w:b/>
          <w:sz w:val="28"/>
          <w:szCs w:val="28"/>
        </w:rPr>
        <w:t xml:space="preserve">第三章   </w:t>
      </w:r>
      <w:r w:rsidRPr="00D554C2">
        <w:rPr>
          <w:rFonts w:ascii="Arial" w:eastAsia="宋体" w:hAnsi="Arial" w:cs="Arial"/>
          <w:b/>
          <w:sz w:val="28"/>
          <w:szCs w:val="28"/>
        </w:rPr>
        <w:t>大</w:t>
      </w:r>
      <w:r w:rsidRPr="00D554C2">
        <w:rPr>
          <w:rFonts w:ascii="Arial" w:eastAsia="宋体" w:hAnsi="Calibri" w:cs="Arial" w:hint="eastAsia"/>
          <w:b/>
          <w:sz w:val="28"/>
          <w:szCs w:val="28"/>
        </w:rPr>
        <w:t>学生体质健康测评（</w:t>
      </w:r>
      <w:r w:rsidRPr="00D554C2">
        <w:rPr>
          <w:rFonts w:ascii="Arial" w:eastAsia="宋体" w:hAnsi="Calibri" w:cs="Arial" w:hint="eastAsia"/>
          <w:b/>
          <w:sz w:val="28"/>
          <w:szCs w:val="28"/>
        </w:rPr>
        <w:t>4</w:t>
      </w:r>
      <w:r w:rsidRPr="00D554C2">
        <w:rPr>
          <w:rFonts w:ascii="Arial" w:eastAsia="宋体" w:hAnsi="Calibri" w:cs="Arial" w:hint="eastAsia"/>
          <w:b/>
          <w:sz w:val="28"/>
          <w:szCs w:val="28"/>
        </w:rPr>
        <w:t>学时）</w:t>
      </w:r>
    </w:p>
    <w:p w14:paraId="4E2576DF" w14:textId="77777777" w:rsidR="00D554C2" w:rsidRPr="00D554C2" w:rsidRDefault="00D554C2" w:rsidP="00D554C2">
      <w:pPr>
        <w:spacing w:line="360" w:lineRule="auto"/>
        <w:ind w:firstLineChars="196" w:firstLine="472"/>
        <w:rPr>
          <w:rFonts w:ascii="Arial" w:eastAsia="宋体" w:hAnsi="Arial" w:cs="Arial"/>
          <w:b/>
          <w:sz w:val="24"/>
        </w:rPr>
      </w:pPr>
      <w:r w:rsidRPr="00D554C2">
        <w:rPr>
          <w:rFonts w:ascii="Arial" w:eastAsia="宋体" w:hAnsi="Calibri" w:cs="Arial" w:hint="eastAsia"/>
          <w:b/>
          <w:sz w:val="24"/>
        </w:rPr>
        <w:t>本章主要教学内容：</w:t>
      </w:r>
    </w:p>
    <w:p w14:paraId="0E4E184A"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3.1 《国家学生体质健康标准》实施说明</w:t>
      </w:r>
    </w:p>
    <w:p w14:paraId="6506891A"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3.2 《国家学生体质健康标准》测试评分表</w:t>
      </w:r>
    </w:p>
    <w:p w14:paraId="46C68974" w14:textId="77777777" w:rsidR="00D554C2" w:rsidRPr="00D554C2" w:rsidRDefault="00D554C2" w:rsidP="00D554C2">
      <w:pPr>
        <w:spacing w:line="360" w:lineRule="auto"/>
        <w:ind w:firstLineChars="196" w:firstLine="472"/>
        <w:rPr>
          <w:rFonts w:ascii="Calibri" w:eastAsia="宋体" w:hAnsi="Calibri" w:cs="Times New Roman"/>
          <w:bCs/>
          <w:sz w:val="24"/>
        </w:rPr>
      </w:pPr>
      <w:r w:rsidRPr="00D554C2">
        <w:rPr>
          <w:rFonts w:ascii="Arial" w:eastAsia="宋体" w:hAnsi="Calibri" w:cs="Arial" w:hint="eastAsia"/>
          <w:b/>
          <w:sz w:val="24"/>
        </w:rPr>
        <w:t>本章教学目的及要求：</w:t>
      </w:r>
      <w:r w:rsidRPr="00D554C2">
        <w:rPr>
          <w:rFonts w:ascii="Calibri" w:eastAsia="宋体" w:hAnsi="Calibri" w:cs="Times New Roman" w:hint="eastAsia"/>
          <w:bCs/>
          <w:sz w:val="24"/>
        </w:rPr>
        <w:t>使学生了解体质健康的主要内容及要求。</w:t>
      </w:r>
    </w:p>
    <w:p w14:paraId="49940D45" w14:textId="77777777" w:rsidR="00D554C2" w:rsidRPr="00D554C2" w:rsidRDefault="00D554C2" w:rsidP="00D554C2">
      <w:pPr>
        <w:spacing w:line="360" w:lineRule="auto"/>
        <w:ind w:firstLineChars="196" w:firstLine="472"/>
        <w:rPr>
          <w:rFonts w:ascii="宋体" w:eastAsia="宋体" w:hAnsi="宋体" w:cs="宋体"/>
          <w:sz w:val="24"/>
        </w:rPr>
      </w:pPr>
      <w:r w:rsidRPr="00D554C2">
        <w:rPr>
          <w:rFonts w:ascii="Arial" w:eastAsia="宋体" w:hAnsi="Calibri" w:cs="Arial" w:hint="eastAsia"/>
          <w:b/>
          <w:sz w:val="24"/>
        </w:rPr>
        <w:lastRenderedPageBreak/>
        <w:t>本章教学重点及难点：</w:t>
      </w:r>
      <w:r w:rsidRPr="00D554C2">
        <w:rPr>
          <w:rFonts w:ascii="Arial" w:eastAsia="宋体" w:hAnsi="Calibri" w:cs="Arial" w:hint="eastAsia"/>
          <w:sz w:val="24"/>
        </w:rPr>
        <w:t>学生体质健康标准的重要性；如何激发学生锻炼身体的积极性和自觉性。</w:t>
      </w:r>
    </w:p>
    <w:p w14:paraId="4FCDD9A5" w14:textId="77777777" w:rsidR="00D554C2" w:rsidRPr="00D554C2" w:rsidRDefault="00D554C2" w:rsidP="00D554C2">
      <w:pPr>
        <w:spacing w:beforeLines="50" w:before="156" w:afterLines="50" w:after="156" w:line="440" w:lineRule="exact"/>
        <w:ind w:firstLineChars="200" w:firstLine="560"/>
        <w:jc w:val="center"/>
        <w:rPr>
          <w:rFonts w:ascii="黑体" w:eastAsia="黑体" w:hAnsi="黑体" w:cs="Times New Roman"/>
          <w:sz w:val="28"/>
          <w:szCs w:val="28"/>
        </w:rPr>
      </w:pPr>
      <w:r w:rsidRPr="00D554C2">
        <w:rPr>
          <w:rFonts w:ascii="黑体" w:eastAsia="黑体" w:hAnsi="黑体" w:cs="Times New Roman" w:hint="eastAsia"/>
          <w:sz w:val="28"/>
          <w:szCs w:val="28"/>
        </w:rPr>
        <w:t>学习内容四 啦</w:t>
      </w:r>
      <w:proofErr w:type="gramStart"/>
      <w:r w:rsidRPr="00D554C2">
        <w:rPr>
          <w:rFonts w:ascii="黑体" w:eastAsia="黑体" w:hAnsi="黑体" w:cs="Times New Roman" w:hint="eastAsia"/>
          <w:sz w:val="28"/>
          <w:szCs w:val="28"/>
        </w:rPr>
        <w:t>啦</w:t>
      </w:r>
      <w:proofErr w:type="gramEnd"/>
      <w:r w:rsidRPr="00D554C2">
        <w:rPr>
          <w:rFonts w:ascii="黑体" w:eastAsia="黑体" w:hAnsi="黑体" w:cs="Times New Roman" w:hint="eastAsia"/>
          <w:sz w:val="28"/>
          <w:szCs w:val="28"/>
        </w:rPr>
        <w:t>操 3</w:t>
      </w:r>
    </w:p>
    <w:p w14:paraId="27237705" w14:textId="77777777" w:rsidR="00D554C2" w:rsidRPr="00D554C2" w:rsidRDefault="00D554C2" w:rsidP="00D554C2">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【学习目标】</w:t>
      </w:r>
    </w:p>
    <w:p w14:paraId="1699B9C2"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1.</w:t>
      </w:r>
      <w:r w:rsidRPr="00D554C2">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D554C2">
        <w:rPr>
          <w:rFonts w:ascii="宋体" w:eastAsia="宋体" w:hAnsi="Calibri" w:cs="宋体" w:hint="eastAsia"/>
          <w:spacing w:val="5"/>
          <w:kern w:val="0"/>
          <w:sz w:val="24"/>
        </w:rPr>
        <w:t>通过体能教学活动，</w:t>
      </w:r>
      <w:r w:rsidRPr="00D554C2">
        <w:rPr>
          <w:rFonts w:ascii="宋体" w:eastAsia="宋体" w:hAnsi="宋体" w:cs="仿宋_GB2312" w:hint="eastAsia"/>
          <w:sz w:val="24"/>
        </w:rPr>
        <w:t>了解《大学生体质健康标准测验》项目内容、考核方式、评价标准，掌握考核内容锻炼的方式方法。</w:t>
      </w:r>
      <w:r w:rsidRPr="00D554C2">
        <w:rPr>
          <w:rFonts w:ascii="宋体" w:eastAsia="宋体" w:hAnsi="Calibri" w:cs="宋体" w:hint="eastAsia"/>
          <w:spacing w:val="5"/>
          <w:kern w:val="0"/>
          <w:sz w:val="24"/>
        </w:rPr>
        <w:t>培养学生努力学习、不断进取、修身立业、顽强奋进的精神与品质。</w:t>
      </w:r>
    </w:p>
    <w:p w14:paraId="22781122"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2.</w:t>
      </w:r>
      <w:r w:rsidRPr="00D554C2">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D554C2">
        <w:rPr>
          <w:rFonts w:ascii="宋体" w:eastAsia="宋体" w:hAnsi="Calibri" w:cs="宋体" w:hint="eastAsia"/>
          <w:spacing w:val="5"/>
          <w:kern w:val="0"/>
          <w:sz w:val="24"/>
        </w:rPr>
        <w:t>。</w:t>
      </w:r>
    </w:p>
    <w:p w14:paraId="73360E07"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3．通过啦</w:t>
      </w:r>
      <w:proofErr w:type="gramStart"/>
      <w:r w:rsidRPr="00D554C2">
        <w:rPr>
          <w:rFonts w:ascii="宋体" w:eastAsia="宋体" w:hAnsi="Calibri" w:cs="宋体" w:hint="eastAsia"/>
          <w:spacing w:val="5"/>
          <w:kern w:val="0"/>
          <w:sz w:val="24"/>
        </w:rPr>
        <w:t>啦</w:t>
      </w:r>
      <w:proofErr w:type="gramEnd"/>
      <w:r w:rsidRPr="00D554C2">
        <w:rPr>
          <w:rFonts w:ascii="宋体" w:eastAsia="宋体" w:hAnsi="Calibri" w:cs="宋体" w:hint="eastAsia"/>
          <w:spacing w:val="5"/>
          <w:kern w:val="0"/>
          <w:sz w:val="24"/>
        </w:rPr>
        <w:t>操课程的学习，</w:t>
      </w:r>
      <w:r w:rsidRPr="00D554C2">
        <w:rPr>
          <w:rFonts w:ascii="宋体" w:eastAsia="宋体" w:hAnsi="宋体" w:cs="仿宋_GB2312" w:hint="eastAsia"/>
          <w:sz w:val="24"/>
        </w:rPr>
        <w:t>使学生能够了解啦</w:t>
      </w:r>
      <w:proofErr w:type="gramStart"/>
      <w:r w:rsidRPr="00D554C2">
        <w:rPr>
          <w:rFonts w:ascii="宋体" w:eastAsia="宋体" w:hAnsi="宋体" w:cs="仿宋_GB2312" w:hint="eastAsia"/>
          <w:sz w:val="24"/>
        </w:rPr>
        <w:t>啦</w:t>
      </w:r>
      <w:proofErr w:type="gramEnd"/>
      <w:r w:rsidRPr="00D554C2">
        <w:rPr>
          <w:rFonts w:ascii="宋体" w:eastAsia="宋体" w:hAnsi="宋体" w:cs="仿宋_GB2312" w:hint="eastAsia"/>
          <w:sz w:val="24"/>
        </w:rPr>
        <w:t>操文化，掌握啦</w:t>
      </w:r>
      <w:proofErr w:type="gramStart"/>
      <w:r w:rsidRPr="00D554C2">
        <w:rPr>
          <w:rFonts w:ascii="宋体" w:eastAsia="宋体" w:hAnsi="宋体" w:cs="仿宋_GB2312" w:hint="eastAsia"/>
          <w:sz w:val="24"/>
        </w:rPr>
        <w:t>啦操运动</w:t>
      </w:r>
      <w:proofErr w:type="gramEnd"/>
      <w:r w:rsidRPr="00D554C2">
        <w:rPr>
          <w:rFonts w:ascii="宋体" w:eastAsia="宋体" w:hAnsi="宋体" w:cs="仿宋_GB2312" w:hint="eastAsia"/>
          <w:sz w:val="24"/>
        </w:rPr>
        <w:t>的基本理论知识和技术特点。以运动和身体练习为基本手段，对大学生机体进行科学的培育，在提高人的生物潜能、心理潜能的过程中促进德、智、体、美全面发展，达到身心健康、全面发展的教育总目的</w:t>
      </w:r>
      <w:r w:rsidRPr="00D554C2">
        <w:rPr>
          <w:rFonts w:ascii="宋体" w:eastAsia="宋体" w:hAnsi="Calibri" w:cs="宋体" w:hint="eastAsia"/>
          <w:spacing w:val="5"/>
          <w:kern w:val="0"/>
          <w:sz w:val="24"/>
        </w:rPr>
        <w:t>。</w:t>
      </w:r>
    </w:p>
    <w:p w14:paraId="7BC52A16" w14:textId="77777777" w:rsidR="00D554C2" w:rsidRPr="00D554C2" w:rsidRDefault="00D554C2" w:rsidP="00D554C2">
      <w:pPr>
        <w:spacing w:line="440" w:lineRule="exact"/>
        <w:ind w:firstLineChars="200" w:firstLine="500"/>
        <w:rPr>
          <w:rFonts w:ascii="宋体" w:eastAsia="宋体" w:hAnsi="宋体" w:cs="Times New Roman"/>
          <w:b/>
          <w:sz w:val="24"/>
        </w:rPr>
      </w:pPr>
      <w:r w:rsidRPr="00D554C2">
        <w:rPr>
          <w:rFonts w:ascii="宋体" w:eastAsia="宋体" w:hAnsi="Calibri" w:cs="宋体" w:hint="eastAsia"/>
          <w:spacing w:val="5"/>
          <w:kern w:val="0"/>
          <w:sz w:val="24"/>
        </w:rPr>
        <w:t>4.</w:t>
      </w:r>
      <w:r w:rsidRPr="00D554C2">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D554C2">
        <w:rPr>
          <w:rFonts w:ascii="宋体" w:eastAsia="宋体" w:hAnsi="Calibri" w:cs="宋体" w:hint="eastAsia"/>
          <w:spacing w:val="5"/>
          <w:kern w:val="0"/>
          <w:sz w:val="24"/>
        </w:rPr>
        <w:t>。</w:t>
      </w:r>
    </w:p>
    <w:p w14:paraId="55EC7E75" w14:textId="77777777" w:rsidR="00D554C2" w:rsidRPr="00D554C2" w:rsidRDefault="00D554C2" w:rsidP="00D554C2">
      <w:pPr>
        <w:spacing w:line="44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【学习内容】</w:t>
      </w:r>
    </w:p>
    <w:p w14:paraId="6CBC4111"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第一章  基本技术(22学时)</w:t>
      </w:r>
    </w:p>
    <w:p w14:paraId="0D191EF7"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b/>
          <w:sz w:val="24"/>
        </w:rPr>
        <w:t>本章主要教学内容：</w:t>
      </w:r>
    </w:p>
    <w:p w14:paraId="17C5B1E4"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1.1基本手位、步伐。</w:t>
      </w:r>
    </w:p>
    <w:p w14:paraId="1646283C"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lastRenderedPageBreak/>
        <w:t>1.2身体姿态，表现力。</w:t>
      </w:r>
    </w:p>
    <w:p w14:paraId="1C824650"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1.3节拍与律动。</w:t>
      </w:r>
    </w:p>
    <w:p w14:paraId="4CD02D99"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1.4手臂发力与控制。</w:t>
      </w:r>
    </w:p>
    <w:p w14:paraId="69722BCF"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1.5踢腿。</w:t>
      </w:r>
    </w:p>
    <w:p w14:paraId="5C078D3F"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1.6胸腰练习。</w:t>
      </w:r>
    </w:p>
    <w:p w14:paraId="28C29D0E"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1.7团队配合。</w:t>
      </w:r>
    </w:p>
    <w:p w14:paraId="4D0FDC88"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1.8啦</w:t>
      </w:r>
      <w:proofErr w:type="gramStart"/>
      <w:r w:rsidRPr="00D554C2">
        <w:rPr>
          <w:rFonts w:ascii="宋体" w:eastAsia="宋体" w:hAnsi="宋体" w:cs="宋体" w:hint="eastAsia"/>
          <w:sz w:val="24"/>
        </w:rPr>
        <w:t>啦</w:t>
      </w:r>
      <w:proofErr w:type="gramEnd"/>
      <w:r w:rsidRPr="00D554C2">
        <w:rPr>
          <w:rFonts w:ascii="宋体" w:eastAsia="宋体" w:hAnsi="宋体" w:cs="宋体" w:hint="eastAsia"/>
          <w:sz w:val="24"/>
        </w:rPr>
        <w:t>操套路（三）。</w:t>
      </w:r>
    </w:p>
    <w:p w14:paraId="748C1AF4"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1.9拓展练习。</w:t>
      </w:r>
    </w:p>
    <w:p w14:paraId="3DF302C5" w14:textId="77777777" w:rsidR="00D554C2" w:rsidRPr="00D554C2" w:rsidRDefault="00D554C2" w:rsidP="00D554C2">
      <w:pPr>
        <w:adjustRightInd w:val="0"/>
        <w:snapToGrid w:val="0"/>
        <w:spacing w:line="500" w:lineRule="exact"/>
        <w:ind w:firstLineChars="200" w:firstLine="482"/>
        <w:rPr>
          <w:rFonts w:ascii="宋体" w:eastAsia="宋体" w:hAnsi="宋体" w:cs="宋体"/>
          <w:sz w:val="24"/>
        </w:rPr>
      </w:pPr>
      <w:r w:rsidRPr="00D554C2">
        <w:rPr>
          <w:rFonts w:ascii="宋体" w:eastAsia="宋体" w:hAnsi="宋体" w:cs="宋体" w:hint="eastAsia"/>
          <w:b/>
          <w:bCs/>
          <w:sz w:val="24"/>
        </w:rPr>
        <w:t>本章教学目的及要求</w:t>
      </w:r>
      <w:r w:rsidRPr="00D554C2">
        <w:rPr>
          <w:rFonts w:ascii="宋体" w:eastAsia="宋体" w:hAnsi="宋体" w:cs="宋体" w:hint="eastAsia"/>
          <w:sz w:val="24"/>
        </w:rPr>
        <w:t>：使学生掌握啦</w:t>
      </w:r>
      <w:proofErr w:type="gramStart"/>
      <w:r w:rsidRPr="00D554C2">
        <w:rPr>
          <w:rFonts w:ascii="宋体" w:eastAsia="宋体" w:hAnsi="宋体" w:cs="宋体" w:hint="eastAsia"/>
          <w:sz w:val="24"/>
        </w:rPr>
        <w:t>啦操基本</w:t>
      </w:r>
      <w:proofErr w:type="gramEnd"/>
      <w:r w:rsidRPr="00D554C2">
        <w:rPr>
          <w:rFonts w:ascii="宋体" w:eastAsia="宋体" w:hAnsi="宋体" w:cs="宋体" w:hint="eastAsia"/>
          <w:sz w:val="24"/>
        </w:rPr>
        <w:t xml:space="preserve">技术要领，并能够熟练完成套路动作。 </w:t>
      </w:r>
    </w:p>
    <w:p w14:paraId="2EBE0A6C" w14:textId="77777777" w:rsidR="00D554C2" w:rsidRPr="00D554C2" w:rsidRDefault="00D554C2" w:rsidP="00D554C2">
      <w:pPr>
        <w:adjustRightInd w:val="0"/>
        <w:snapToGrid w:val="0"/>
        <w:spacing w:line="500" w:lineRule="exact"/>
        <w:ind w:firstLineChars="200" w:firstLine="482"/>
        <w:rPr>
          <w:rFonts w:ascii="宋体" w:eastAsia="宋体" w:hAnsi="宋体" w:cs="宋体"/>
          <w:sz w:val="24"/>
        </w:rPr>
      </w:pPr>
      <w:r w:rsidRPr="00D554C2">
        <w:rPr>
          <w:rFonts w:ascii="宋体" w:eastAsia="宋体" w:hAnsi="宋体" w:cs="宋体" w:hint="eastAsia"/>
          <w:b/>
          <w:bCs/>
          <w:sz w:val="24"/>
        </w:rPr>
        <w:t>本章教学重点及难点</w:t>
      </w:r>
      <w:r w:rsidRPr="00D554C2">
        <w:rPr>
          <w:rFonts w:ascii="宋体" w:eastAsia="宋体" w:hAnsi="宋体" w:cs="宋体" w:hint="eastAsia"/>
          <w:sz w:val="24"/>
        </w:rPr>
        <w:t>：发力与控制，表现力与编排能力。</w:t>
      </w:r>
    </w:p>
    <w:p w14:paraId="4BA29651"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第二章  编排实践（4学时）</w:t>
      </w:r>
    </w:p>
    <w:p w14:paraId="376D8D66"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b/>
          <w:sz w:val="24"/>
        </w:rPr>
        <w:t>本章主要教学内容：</w:t>
      </w:r>
    </w:p>
    <w:p w14:paraId="00D65215"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动作与队形编排。</w:t>
      </w:r>
    </w:p>
    <w:p w14:paraId="3917A2CE"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sz w:val="24"/>
        </w:rPr>
      </w:pPr>
      <w:r w:rsidRPr="00D554C2">
        <w:rPr>
          <w:rFonts w:ascii="Calibri" w:eastAsia="宋体" w:hAnsi="Calibri" w:cs="Times New Roman" w:hint="eastAsia"/>
          <w:b/>
          <w:sz w:val="24"/>
        </w:rPr>
        <w:t>教学目的及要求</w:t>
      </w:r>
      <w:r w:rsidRPr="00D554C2">
        <w:rPr>
          <w:rFonts w:ascii="Calibri" w:eastAsia="宋体" w:hAnsi="Calibri" w:cs="Times New Roman" w:hint="eastAsia"/>
          <w:sz w:val="24"/>
        </w:rPr>
        <w:t>：使学生掌握啦</w:t>
      </w:r>
      <w:proofErr w:type="gramStart"/>
      <w:r w:rsidRPr="00D554C2">
        <w:rPr>
          <w:rFonts w:ascii="Calibri" w:eastAsia="宋体" w:hAnsi="Calibri" w:cs="Times New Roman" w:hint="eastAsia"/>
          <w:sz w:val="24"/>
        </w:rPr>
        <w:t>啦</w:t>
      </w:r>
      <w:proofErr w:type="gramEnd"/>
      <w:r w:rsidRPr="00D554C2">
        <w:rPr>
          <w:rFonts w:ascii="Calibri" w:eastAsia="宋体" w:hAnsi="Calibri" w:cs="Times New Roman" w:hint="eastAsia"/>
          <w:sz w:val="24"/>
        </w:rPr>
        <w:t>操创编的基本方法。</w:t>
      </w:r>
      <w:r w:rsidRPr="00D554C2">
        <w:rPr>
          <w:rFonts w:ascii="Calibri" w:eastAsia="宋体" w:hAnsi="Calibri" w:cs="Times New Roman" w:hint="eastAsia"/>
          <w:sz w:val="24"/>
        </w:rPr>
        <w:t xml:space="preserve"> </w:t>
      </w:r>
    </w:p>
    <w:p w14:paraId="5ACD94FF" w14:textId="77777777" w:rsidR="00D554C2" w:rsidRPr="00D554C2" w:rsidRDefault="00D554C2" w:rsidP="00D554C2">
      <w:pPr>
        <w:adjustRightInd w:val="0"/>
        <w:snapToGrid w:val="0"/>
        <w:spacing w:line="500" w:lineRule="exact"/>
        <w:ind w:firstLineChars="200" w:firstLine="482"/>
        <w:rPr>
          <w:rFonts w:ascii="宋体" w:eastAsia="宋体" w:hAnsi="宋体" w:cs="Times New Roman"/>
          <w:sz w:val="24"/>
        </w:rPr>
      </w:pPr>
      <w:r w:rsidRPr="00D554C2">
        <w:rPr>
          <w:rFonts w:ascii="Calibri" w:eastAsia="宋体" w:hAnsi="Calibri" w:cs="Times New Roman" w:hint="eastAsia"/>
          <w:b/>
          <w:sz w:val="24"/>
        </w:rPr>
        <w:t>教学重点及难点</w:t>
      </w:r>
      <w:r w:rsidRPr="00D554C2">
        <w:rPr>
          <w:rFonts w:ascii="Calibri" w:eastAsia="宋体" w:hAnsi="Calibri" w:cs="Times New Roman" w:hint="eastAsia"/>
          <w:sz w:val="24"/>
        </w:rPr>
        <w:t>：动作与队形编排的创造性、观赏性。</w:t>
      </w:r>
    </w:p>
    <w:p w14:paraId="1BD9EFFA" w14:textId="77777777" w:rsidR="00D554C2" w:rsidRPr="00D554C2" w:rsidRDefault="00D554C2" w:rsidP="00D554C2">
      <w:pPr>
        <w:adjustRightInd w:val="0"/>
        <w:snapToGrid w:val="0"/>
        <w:spacing w:beforeLines="50" w:before="156" w:afterLines="50" w:after="156" w:line="500" w:lineRule="exact"/>
        <w:jc w:val="center"/>
        <w:rPr>
          <w:rFonts w:ascii="宋体" w:eastAsia="宋体" w:hAnsi="宋体" w:cs="Times New Roman"/>
          <w:b/>
          <w:sz w:val="28"/>
          <w:szCs w:val="28"/>
        </w:rPr>
      </w:pPr>
      <w:r w:rsidRPr="00D554C2">
        <w:rPr>
          <w:rFonts w:ascii="宋体" w:eastAsia="宋体" w:hAnsi="宋体" w:cs="Times New Roman" w:hint="eastAsia"/>
          <w:b/>
          <w:sz w:val="28"/>
          <w:szCs w:val="28"/>
        </w:rPr>
        <w:t>第三章 身体素质（6学时）</w:t>
      </w:r>
    </w:p>
    <w:p w14:paraId="12D80E88" w14:textId="77777777" w:rsidR="00D554C2" w:rsidRPr="00D554C2" w:rsidRDefault="00D554C2" w:rsidP="00D554C2">
      <w:pPr>
        <w:autoSpaceDE w:val="0"/>
        <w:autoSpaceDN w:val="0"/>
        <w:adjustRightInd w:val="0"/>
        <w:snapToGrid w:val="0"/>
        <w:spacing w:line="500" w:lineRule="exact"/>
        <w:ind w:firstLineChars="200" w:firstLine="482"/>
        <w:rPr>
          <w:rFonts w:ascii="Calibri" w:eastAsia="宋体" w:hAnsi="Calibri" w:cs="Times New Roman"/>
          <w:b/>
          <w:sz w:val="24"/>
        </w:rPr>
      </w:pPr>
      <w:r w:rsidRPr="00D554C2">
        <w:rPr>
          <w:rFonts w:ascii="Calibri" w:eastAsia="宋体" w:hAnsi="Calibri" w:cs="Times New Roman"/>
          <w:b/>
          <w:sz w:val="24"/>
        </w:rPr>
        <w:t>本章主要教学内容：</w:t>
      </w:r>
    </w:p>
    <w:p w14:paraId="05B2408A" w14:textId="77777777" w:rsidR="00D554C2" w:rsidRPr="00D554C2" w:rsidRDefault="00D554C2" w:rsidP="00D554C2">
      <w:pPr>
        <w:adjustRightInd w:val="0"/>
        <w:snapToGrid w:val="0"/>
        <w:spacing w:line="500" w:lineRule="exact"/>
        <w:ind w:firstLineChars="200" w:firstLine="480"/>
        <w:rPr>
          <w:rFonts w:ascii="宋体" w:eastAsia="宋体" w:hAnsi="宋体" w:cs="宋体"/>
          <w:sz w:val="24"/>
        </w:rPr>
      </w:pPr>
      <w:r w:rsidRPr="00D554C2">
        <w:rPr>
          <w:rFonts w:ascii="宋体" w:eastAsia="宋体" w:hAnsi="宋体" w:cs="宋体" w:hint="eastAsia"/>
          <w:sz w:val="24"/>
        </w:rPr>
        <w:t>3.1速度素质、耐力素质、灵敏素质。</w:t>
      </w:r>
    </w:p>
    <w:p w14:paraId="2262AC66" w14:textId="77777777" w:rsidR="00D554C2" w:rsidRPr="00D554C2" w:rsidRDefault="00D554C2" w:rsidP="00D554C2">
      <w:pPr>
        <w:adjustRightInd w:val="0"/>
        <w:snapToGrid w:val="0"/>
        <w:spacing w:line="500" w:lineRule="exact"/>
        <w:ind w:firstLineChars="200" w:firstLine="482"/>
        <w:rPr>
          <w:rFonts w:ascii="Calibri" w:eastAsia="宋体" w:hAnsi="Calibri" w:cs="Times New Roman"/>
          <w:sz w:val="24"/>
        </w:rPr>
      </w:pPr>
      <w:r w:rsidRPr="00D554C2">
        <w:rPr>
          <w:rFonts w:ascii="Calibri" w:eastAsia="宋体" w:hAnsi="Calibri" w:cs="Times New Roman" w:hint="eastAsia"/>
          <w:b/>
          <w:sz w:val="24"/>
        </w:rPr>
        <w:t>教学目的及要求</w:t>
      </w:r>
      <w:r w:rsidRPr="00D554C2">
        <w:rPr>
          <w:rFonts w:ascii="Calibri" w:eastAsia="宋体" w:hAnsi="Calibri" w:cs="Times New Roman" w:hint="eastAsia"/>
          <w:sz w:val="24"/>
        </w:rPr>
        <w:t>：使学生掌握啦</w:t>
      </w:r>
      <w:proofErr w:type="gramStart"/>
      <w:r w:rsidRPr="00D554C2">
        <w:rPr>
          <w:rFonts w:ascii="Calibri" w:eastAsia="宋体" w:hAnsi="Calibri" w:cs="Times New Roman" w:hint="eastAsia"/>
          <w:sz w:val="24"/>
        </w:rPr>
        <w:t>啦操运动</w:t>
      </w:r>
      <w:proofErr w:type="gramEnd"/>
      <w:r w:rsidRPr="00D554C2">
        <w:rPr>
          <w:rFonts w:ascii="Calibri" w:eastAsia="宋体" w:hAnsi="Calibri" w:cs="Times New Roman" w:hint="eastAsia"/>
          <w:sz w:val="24"/>
        </w:rPr>
        <w:t>需要的基本身体素质。</w:t>
      </w:r>
      <w:r w:rsidRPr="00D554C2">
        <w:rPr>
          <w:rFonts w:ascii="Calibri" w:eastAsia="宋体" w:hAnsi="Calibri" w:cs="Times New Roman" w:hint="eastAsia"/>
          <w:sz w:val="24"/>
        </w:rPr>
        <w:t xml:space="preserve"> </w:t>
      </w:r>
    </w:p>
    <w:p w14:paraId="3E7C9CB9" w14:textId="77777777" w:rsidR="00D554C2" w:rsidRPr="00D554C2" w:rsidRDefault="00D554C2" w:rsidP="00D554C2">
      <w:pPr>
        <w:adjustRightInd w:val="0"/>
        <w:snapToGrid w:val="0"/>
        <w:spacing w:line="500" w:lineRule="exact"/>
        <w:ind w:firstLineChars="200" w:firstLine="482"/>
        <w:rPr>
          <w:rFonts w:ascii="宋体" w:eastAsia="宋体" w:hAnsi="宋体" w:cs="Times New Roman"/>
          <w:bCs/>
          <w:color w:val="FF0000"/>
          <w:sz w:val="24"/>
        </w:rPr>
      </w:pPr>
      <w:r w:rsidRPr="00D554C2">
        <w:rPr>
          <w:rFonts w:ascii="Calibri" w:eastAsia="宋体" w:hAnsi="Calibri" w:cs="Times New Roman" w:hint="eastAsia"/>
          <w:b/>
          <w:sz w:val="24"/>
        </w:rPr>
        <w:t>教学重点及难点</w:t>
      </w:r>
      <w:r w:rsidRPr="00D554C2">
        <w:rPr>
          <w:rFonts w:ascii="Calibri" w:eastAsia="宋体" w:hAnsi="Calibri" w:cs="Times New Roman" w:hint="eastAsia"/>
          <w:sz w:val="24"/>
        </w:rPr>
        <w:t>：身体耐力、肌肉力量、柔韧性。</w:t>
      </w:r>
    </w:p>
    <w:p w14:paraId="4D952C9D" w14:textId="77777777" w:rsidR="00D554C2" w:rsidRPr="00D554C2" w:rsidRDefault="00D554C2" w:rsidP="00D554C2">
      <w:pPr>
        <w:spacing w:line="440" w:lineRule="exact"/>
        <w:ind w:firstLineChars="200" w:firstLine="482"/>
        <w:rPr>
          <w:rFonts w:ascii="宋体" w:eastAsia="宋体" w:hAnsi="宋体" w:cs="Times New Roman"/>
          <w:b/>
          <w:sz w:val="24"/>
        </w:rPr>
      </w:pPr>
      <w:r w:rsidRPr="00D554C2">
        <w:rPr>
          <w:rFonts w:ascii="宋体" w:eastAsia="宋体" w:hAnsi="宋体" w:cs="Times New Roman" w:hint="eastAsia"/>
          <w:b/>
          <w:sz w:val="24"/>
        </w:rPr>
        <w:t>【重点】</w:t>
      </w:r>
    </w:p>
    <w:p w14:paraId="6EDD60D8"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 xml:space="preserve">1.《大学体育教程》理论课程使学生对大学体育有深入理解；了解体  </w:t>
      </w:r>
    </w:p>
    <w:p w14:paraId="3DD92831" w14:textId="77777777" w:rsidR="00D554C2" w:rsidRPr="00D554C2" w:rsidRDefault="00D554C2" w:rsidP="00D554C2">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D554C2">
        <w:rPr>
          <w:rFonts w:ascii="宋体" w:eastAsia="宋体" w:hAnsi="Calibri" w:cs="宋体" w:hint="eastAsia"/>
          <w:spacing w:val="5"/>
          <w:kern w:val="0"/>
          <w:sz w:val="24"/>
        </w:rPr>
        <w:t>质健康</w:t>
      </w:r>
      <w:proofErr w:type="gramEnd"/>
      <w:r w:rsidRPr="00D554C2">
        <w:rPr>
          <w:rFonts w:ascii="宋体" w:eastAsia="宋体" w:hAnsi="Calibri" w:cs="宋体" w:hint="eastAsia"/>
          <w:spacing w:val="5"/>
          <w:kern w:val="0"/>
          <w:sz w:val="24"/>
        </w:rPr>
        <w:t>标准的实施与如何评价；学会分析常见运动损伤和运动性疾病的症状。</w:t>
      </w:r>
    </w:p>
    <w:p w14:paraId="4EE7C507" w14:textId="77777777" w:rsidR="00D554C2" w:rsidRPr="00D554C2" w:rsidRDefault="00D554C2" w:rsidP="00D554C2">
      <w:pPr>
        <w:autoSpaceDE w:val="0"/>
        <w:autoSpaceDN w:val="0"/>
        <w:adjustRightInd w:val="0"/>
        <w:snapToGrid w:val="0"/>
        <w:spacing w:line="500" w:lineRule="exact"/>
        <w:ind w:left="490"/>
        <w:rPr>
          <w:rFonts w:ascii="宋体" w:eastAsia="宋体" w:hAnsi="Calibri" w:cs="宋体"/>
          <w:spacing w:val="5"/>
          <w:kern w:val="0"/>
          <w:sz w:val="24"/>
        </w:rPr>
      </w:pPr>
      <w:r w:rsidRPr="00D554C2">
        <w:rPr>
          <w:rFonts w:ascii="宋体" w:eastAsia="宋体" w:hAnsi="Calibri" w:cs="宋体" w:hint="eastAsia"/>
          <w:spacing w:val="5"/>
          <w:kern w:val="0"/>
          <w:sz w:val="24"/>
        </w:rPr>
        <w:t>2.啦</w:t>
      </w:r>
      <w:proofErr w:type="gramStart"/>
      <w:r w:rsidRPr="00D554C2">
        <w:rPr>
          <w:rFonts w:ascii="宋体" w:eastAsia="宋体" w:hAnsi="Calibri" w:cs="宋体" w:hint="eastAsia"/>
          <w:spacing w:val="5"/>
          <w:kern w:val="0"/>
          <w:sz w:val="24"/>
        </w:rPr>
        <w:t>啦操运动</w:t>
      </w:r>
      <w:proofErr w:type="gramEnd"/>
      <w:r w:rsidRPr="00D554C2">
        <w:rPr>
          <w:rFonts w:ascii="宋体" w:eastAsia="宋体" w:hAnsi="Calibri" w:cs="宋体" w:hint="eastAsia"/>
          <w:spacing w:val="5"/>
          <w:kern w:val="0"/>
          <w:sz w:val="24"/>
        </w:rPr>
        <w:t>的基本理论、基本知识和基本技能。</w:t>
      </w:r>
    </w:p>
    <w:p w14:paraId="2C7E8698"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宋体" w:cs="Times New Roman"/>
          <w:sz w:val="24"/>
        </w:rPr>
      </w:pPr>
      <w:r w:rsidRPr="00D554C2">
        <w:rPr>
          <w:rFonts w:ascii="宋体" w:eastAsia="宋体" w:hAnsi="Calibri" w:cs="宋体" w:hint="eastAsia"/>
          <w:spacing w:val="5"/>
          <w:kern w:val="0"/>
          <w:sz w:val="24"/>
        </w:rPr>
        <w:t>3.掌握一定的科学锻炼方法，扎实的理论知识。</w:t>
      </w:r>
    </w:p>
    <w:p w14:paraId="0CFE4206" w14:textId="77777777" w:rsidR="00D554C2" w:rsidRPr="00D554C2" w:rsidRDefault="00D554C2" w:rsidP="00D554C2">
      <w:pPr>
        <w:spacing w:line="440" w:lineRule="exact"/>
        <w:ind w:firstLineChars="200" w:firstLine="482"/>
        <w:rPr>
          <w:rFonts w:ascii="宋体" w:eastAsia="宋体" w:hAnsi="宋体" w:cs="Times New Roman"/>
          <w:b/>
          <w:sz w:val="24"/>
        </w:rPr>
      </w:pPr>
      <w:r w:rsidRPr="00D554C2">
        <w:rPr>
          <w:rFonts w:ascii="宋体" w:eastAsia="宋体" w:hAnsi="宋体" w:cs="Times New Roman" w:hint="eastAsia"/>
          <w:b/>
          <w:sz w:val="24"/>
        </w:rPr>
        <w:lastRenderedPageBreak/>
        <w:t>【难点】</w:t>
      </w:r>
    </w:p>
    <w:p w14:paraId="11379AA0" w14:textId="77777777" w:rsidR="00D554C2" w:rsidRPr="00D554C2" w:rsidRDefault="00D554C2" w:rsidP="00D554C2">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D554C2">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1D33B9AE" w14:textId="77777777" w:rsidR="00D554C2" w:rsidRPr="00D554C2" w:rsidRDefault="00D554C2" w:rsidP="00D554C2">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2.考虑学生原有的理论知识和实践技术，在讲授教材及大纲要求的所有知识和技术的同时，重点讲授啦</w:t>
      </w:r>
      <w:proofErr w:type="gramStart"/>
      <w:r w:rsidRPr="00D554C2">
        <w:rPr>
          <w:rFonts w:ascii="宋体" w:eastAsia="宋体" w:hAnsi="Calibri" w:cs="宋体" w:hint="eastAsia"/>
          <w:spacing w:val="5"/>
          <w:kern w:val="0"/>
          <w:sz w:val="24"/>
        </w:rPr>
        <w:t>啦操基本</w:t>
      </w:r>
      <w:proofErr w:type="gramEnd"/>
      <w:r w:rsidRPr="00D554C2">
        <w:rPr>
          <w:rFonts w:ascii="宋体" w:eastAsia="宋体" w:hAnsi="Calibri" w:cs="宋体" w:hint="eastAsia"/>
          <w:spacing w:val="5"/>
          <w:kern w:val="0"/>
          <w:sz w:val="24"/>
        </w:rPr>
        <w:t xml:space="preserve">技术、基本创编等部分，以达到理论联系实际，学以致用。 </w:t>
      </w:r>
    </w:p>
    <w:p w14:paraId="6466FB9C" w14:textId="77777777" w:rsidR="00D554C2" w:rsidRPr="00D554C2" w:rsidRDefault="00D554C2" w:rsidP="00D554C2">
      <w:pPr>
        <w:spacing w:line="44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3.在啦</w:t>
      </w:r>
      <w:proofErr w:type="gramStart"/>
      <w:r w:rsidRPr="00D554C2">
        <w:rPr>
          <w:rFonts w:ascii="宋体" w:eastAsia="宋体" w:hAnsi="Calibri" w:cs="宋体" w:hint="eastAsia"/>
          <w:spacing w:val="5"/>
          <w:kern w:val="0"/>
          <w:sz w:val="24"/>
        </w:rPr>
        <w:t>啦操基本</w:t>
      </w:r>
      <w:proofErr w:type="gramEnd"/>
      <w:r w:rsidRPr="00D554C2">
        <w:rPr>
          <w:rFonts w:ascii="宋体" w:eastAsia="宋体" w:hAnsi="Calibri" w:cs="宋体" w:hint="eastAsia"/>
          <w:spacing w:val="5"/>
          <w:kern w:val="0"/>
          <w:sz w:val="24"/>
        </w:rPr>
        <w:t xml:space="preserve">技术学习的基础上，培养学生的组织能力。 </w:t>
      </w:r>
    </w:p>
    <w:p w14:paraId="5DCF80BD" w14:textId="77777777" w:rsidR="00D554C2" w:rsidRPr="00D554C2" w:rsidRDefault="00D554C2" w:rsidP="00D554C2">
      <w:pPr>
        <w:spacing w:line="440" w:lineRule="exact"/>
        <w:ind w:firstLineChars="200" w:firstLine="482"/>
        <w:rPr>
          <w:rFonts w:ascii="宋体" w:eastAsia="宋体" w:hAnsi="宋体" w:cs="Times New Roman"/>
          <w:color w:val="FF0000"/>
          <w:sz w:val="24"/>
        </w:rPr>
      </w:pPr>
      <w:r w:rsidRPr="00D554C2">
        <w:rPr>
          <w:rFonts w:ascii="宋体" w:eastAsia="宋体" w:hAnsi="宋体" w:cs="Times New Roman" w:hint="eastAsia"/>
          <w:b/>
          <w:bCs/>
          <w:sz w:val="24"/>
        </w:rPr>
        <w:t>【实施方式】</w:t>
      </w:r>
    </w:p>
    <w:p w14:paraId="7C8AB02B"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室外实践课程</w:t>
      </w:r>
    </w:p>
    <w:p w14:paraId="6F9555D5" w14:textId="77777777" w:rsidR="00D554C2" w:rsidRPr="00D554C2" w:rsidRDefault="00D554C2" w:rsidP="00D554C2">
      <w:pPr>
        <w:spacing w:line="440" w:lineRule="exact"/>
        <w:ind w:firstLineChars="200" w:firstLine="482"/>
        <w:rPr>
          <w:rFonts w:ascii="宋体" w:eastAsia="宋体" w:hAnsi="宋体" w:cs="Times New Roman"/>
          <w:bCs/>
          <w:color w:val="FF0000"/>
          <w:sz w:val="24"/>
        </w:rPr>
      </w:pPr>
      <w:r w:rsidRPr="00D554C2">
        <w:rPr>
          <w:rFonts w:ascii="宋体" w:eastAsia="宋体" w:hAnsi="宋体" w:cs="Times New Roman" w:hint="eastAsia"/>
          <w:b/>
          <w:sz w:val="24"/>
        </w:rPr>
        <w:t>【学习要求】</w:t>
      </w:r>
    </w:p>
    <w:p w14:paraId="4F0AC217" w14:textId="77777777" w:rsidR="00D554C2" w:rsidRPr="00D554C2" w:rsidRDefault="00D554C2" w:rsidP="00D554C2">
      <w:pPr>
        <w:spacing w:line="440" w:lineRule="exact"/>
        <w:ind w:firstLineChars="200" w:firstLine="480"/>
        <w:rPr>
          <w:rFonts w:ascii="宋体" w:eastAsia="宋体" w:hAnsi="宋体" w:cs="Times New Roman"/>
          <w:b/>
          <w:sz w:val="24"/>
        </w:rPr>
      </w:pPr>
      <w:r w:rsidRPr="00D554C2">
        <w:rPr>
          <w:rFonts w:ascii="宋体" w:eastAsia="宋体" w:hAnsi="宋体" w:cs="Times New Roman" w:hint="eastAsia"/>
          <w:sz w:val="24"/>
        </w:rPr>
        <w:t>1</w:t>
      </w:r>
      <w:r w:rsidRPr="00D554C2">
        <w:rPr>
          <w:rFonts w:ascii="宋体" w:eastAsia="宋体" w:hAnsi="宋体" w:cs="Times New Roman"/>
          <w:sz w:val="24"/>
        </w:rPr>
        <w:t xml:space="preserve">. </w:t>
      </w:r>
      <w:r w:rsidRPr="00D554C2">
        <w:rPr>
          <w:rFonts w:ascii="宋体" w:eastAsia="宋体" w:hAnsi="宋体" w:cs="Times New Roman" w:hint="eastAsia"/>
          <w:sz w:val="24"/>
        </w:rPr>
        <w:t>了解大学体育课程的性质和授课方式，学分情况和进行网上选项课，开设的15门选项课程，课堂常识和安全注意事项。</w:t>
      </w:r>
    </w:p>
    <w:p w14:paraId="6AC4D3FB"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D554C2">
        <w:rPr>
          <w:rFonts w:ascii="宋体" w:eastAsia="宋体" w:hAnsi="宋体" w:cs="Times New Roman" w:hint="eastAsia"/>
          <w:sz w:val="24"/>
        </w:rPr>
        <w:t>缓测免</w:t>
      </w:r>
      <w:proofErr w:type="gramEnd"/>
      <w:r w:rsidRPr="00D554C2">
        <w:rPr>
          <w:rFonts w:ascii="宋体" w:eastAsia="宋体" w:hAnsi="宋体" w:cs="Times New Roman" w:hint="eastAsia"/>
          <w:sz w:val="24"/>
        </w:rPr>
        <w:t>测的申请流程以及掌握测验时间。</w:t>
      </w:r>
    </w:p>
    <w:p w14:paraId="1C05260B"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3</w:t>
      </w:r>
      <w:r w:rsidRPr="00D554C2">
        <w:rPr>
          <w:rFonts w:ascii="宋体" w:eastAsia="宋体" w:hAnsi="宋体" w:cs="Times New Roman"/>
          <w:sz w:val="24"/>
        </w:rPr>
        <w:t>.</w:t>
      </w:r>
      <w:r w:rsidRPr="00D554C2">
        <w:rPr>
          <w:rFonts w:ascii="宋体" w:eastAsia="宋体" w:hAnsi="宋体" w:cs="Times New Roman" w:hint="eastAsia"/>
          <w:sz w:val="24"/>
        </w:rPr>
        <w:t>运用啦</w:t>
      </w:r>
      <w:proofErr w:type="gramStart"/>
      <w:r w:rsidRPr="00D554C2">
        <w:rPr>
          <w:rFonts w:ascii="宋体" w:eastAsia="宋体" w:hAnsi="宋体" w:cs="Times New Roman" w:hint="eastAsia"/>
          <w:sz w:val="24"/>
        </w:rPr>
        <w:t>啦操基础</w:t>
      </w:r>
      <w:proofErr w:type="gramEnd"/>
      <w:r w:rsidRPr="00D554C2">
        <w:rPr>
          <w:rFonts w:ascii="宋体" w:eastAsia="宋体" w:hAnsi="宋体" w:cs="Times New Roman" w:hint="eastAsia"/>
          <w:sz w:val="24"/>
        </w:rPr>
        <w:t>课程</w:t>
      </w:r>
    </w:p>
    <w:p w14:paraId="0C91302B" w14:textId="77777777" w:rsidR="00D554C2" w:rsidRPr="00D554C2" w:rsidRDefault="00D554C2" w:rsidP="00D554C2">
      <w:pPr>
        <w:spacing w:line="440" w:lineRule="exact"/>
        <w:ind w:firstLineChars="200" w:firstLine="482"/>
        <w:rPr>
          <w:rFonts w:ascii="宋体" w:eastAsia="宋体" w:hAnsi="宋体" w:cs="Times New Roman"/>
          <w:sz w:val="24"/>
        </w:rPr>
      </w:pPr>
      <w:r w:rsidRPr="00D554C2">
        <w:rPr>
          <w:rFonts w:ascii="宋体" w:eastAsia="宋体" w:hAnsi="宋体" w:cs="Times New Roman" w:hint="eastAsia"/>
          <w:b/>
          <w:sz w:val="24"/>
        </w:rPr>
        <w:t>【实践要求】</w:t>
      </w:r>
    </w:p>
    <w:p w14:paraId="38F18FA1"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1.实践属性：综合训练型</w:t>
      </w:r>
    </w:p>
    <w:p w14:paraId="261FDB32"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2.工作流程：开始部分，准备部分，基本部分，结束部分</w:t>
      </w:r>
    </w:p>
    <w:p w14:paraId="2F28E07C"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3.分组要求：自然班和选项班，不超过45人。</w:t>
      </w:r>
    </w:p>
    <w:p w14:paraId="4E38CE49"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744EAD2B"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5.时间安排：每周2学时</w:t>
      </w:r>
    </w:p>
    <w:p w14:paraId="095644FC"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6.其他要求：</w:t>
      </w:r>
    </w:p>
    <w:p w14:paraId="4DA11C7C" w14:textId="77777777" w:rsidR="00D554C2" w:rsidRPr="00D554C2" w:rsidRDefault="00D554C2" w:rsidP="00D554C2">
      <w:pPr>
        <w:spacing w:beforeLines="50" w:before="156" w:afterLines="50" w:after="156" w:line="440" w:lineRule="exact"/>
        <w:ind w:left="561"/>
        <w:rPr>
          <w:rFonts w:ascii="仿宋" w:eastAsia="仿宋" w:hAnsi="仿宋" w:cs="Times New Roman"/>
          <w:sz w:val="24"/>
        </w:rPr>
      </w:pPr>
      <w:r w:rsidRPr="00D554C2">
        <w:rPr>
          <w:rFonts w:ascii="黑体" w:eastAsia="黑体" w:hAnsi="黑体" w:cs="Times New Roman" w:hint="eastAsia"/>
          <w:sz w:val="28"/>
          <w:szCs w:val="28"/>
        </w:rPr>
        <w:t>（二）课程学习内容与课程学习目标的对应关系</w:t>
      </w:r>
      <w:r w:rsidRPr="00D554C2">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D554C2" w:rsidRPr="00D554C2" w14:paraId="7DC43D73" w14:textId="77777777" w:rsidTr="009B4CAE">
        <w:trPr>
          <w:trHeight w:val="660"/>
          <w:jc w:val="center"/>
        </w:trPr>
        <w:tc>
          <w:tcPr>
            <w:tcW w:w="3403" w:type="dxa"/>
            <w:vAlign w:val="center"/>
          </w:tcPr>
          <w:p w14:paraId="38CEAFF1" w14:textId="77777777" w:rsidR="00D554C2" w:rsidRPr="00D554C2" w:rsidRDefault="00D554C2" w:rsidP="00D554C2">
            <w:pPr>
              <w:spacing w:line="440" w:lineRule="exact"/>
              <w:jc w:val="center"/>
              <w:rPr>
                <w:rFonts w:ascii="宋体" w:eastAsia="宋体" w:hAnsi="宋体" w:cs="Times New Roman"/>
                <w:b/>
                <w:bCs/>
                <w:sz w:val="24"/>
              </w:rPr>
            </w:pPr>
            <w:r w:rsidRPr="00D554C2">
              <w:rPr>
                <w:rFonts w:ascii="宋体" w:eastAsia="宋体" w:hAnsi="宋体" w:cs="Times New Roman" w:hint="eastAsia"/>
                <w:b/>
                <w:bCs/>
                <w:sz w:val="24"/>
              </w:rPr>
              <w:t>实践内容</w:t>
            </w:r>
          </w:p>
        </w:tc>
        <w:tc>
          <w:tcPr>
            <w:tcW w:w="2693" w:type="dxa"/>
            <w:vAlign w:val="center"/>
          </w:tcPr>
          <w:p w14:paraId="6C4083CB" w14:textId="77777777" w:rsidR="00D554C2" w:rsidRPr="00D554C2" w:rsidRDefault="00D554C2" w:rsidP="00D554C2">
            <w:pPr>
              <w:spacing w:line="440" w:lineRule="exact"/>
              <w:jc w:val="center"/>
              <w:rPr>
                <w:rFonts w:ascii="宋体" w:eastAsia="宋体" w:hAnsi="宋体" w:cs="Times New Roman"/>
                <w:b/>
                <w:bCs/>
                <w:sz w:val="24"/>
              </w:rPr>
            </w:pPr>
            <w:r w:rsidRPr="00D554C2">
              <w:rPr>
                <w:rFonts w:ascii="宋体" w:eastAsia="宋体" w:hAnsi="宋体" w:cs="Times New Roman" w:hint="eastAsia"/>
                <w:b/>
                <w:bCs/>
                <w:sz w:val="24"/>
              </w:rPr>
              <w:t>实施方式</w:t>
            </w:r>
          </w:p>
        </w:tc>
        <w:tc>
          <w:tcPr>
            <w:tcW w:w="1985" w:type="dxa"/>
            <w:vAlign w:val="center"/>
          </w:tcPr>
          <w:p w14:paraId="020CFB62" w14:textId="77777777" w:rsidR="00D554C2" w:rsidRPr="00D554C2" w:rsidRDefault="00D554C2" w:rsidP="00D554C2">
            <w:pPr>
              <w:spacing w:line="440" w:lineRule="exact"/>
              <w:jc w:val="center"/>
              <w:rPr>
                <w:rFonts w:ascii="宋体" w:eastAsia="宋体" w:hAnsi="宋体" w:cs="Times New Roman"/>
                <w:b/>
                <w:bCs/>
                <w:sz w:val="24"/>
              </w:rPr>
            </w:pPr>
            <w:r w:rsidRPr="00D554C2">
              <w:rPr>
                <w:rFonts w:ascii="宋体" w:eastAsia="宋体" w:hAnsi="宋体" w:cs="Times New Roman" w:hint="eastAsia"/>
                <w:b/>
                <w:bCs/>
                <w:sz w:val="24"/>
              </w:rPr>
              <w:t>支撑的课程目标</w:t>
            </w:r>
          </w:p>
        </w:tc>
        <w:tc>
          <w:tcPr>
            <w:tcW w:w="1276" w:type="dxa"/>
            <w:vAlign w:val="center"/>
          </w:tcPr>
          <w:p w14:paraId="4714A329" w14:textId="77777777" w:rsidR="00D554C2" w:rsidRPr="00D554C2" w:rsidRDefault="00D554C2" w:rsidP="00D554C2">
            <w:pPr>
              <w:spacing w:line="440" w:lineRule="exact"/>
              <w:jc w:val="center"/>
              <w:rPr>
                <w:rFonts w:ascii="宋体" w:eastAsia="宋体" w:hAnsi="宋体" w:cs="Times New Roman"/>
                <w:b/>
                <w:bCs/>
                <w:sz w:val="24"/>
              </w:rPr>
            </w:pPr>
            <w:r w:rsidRPr="00D554C2">
              <w:rPr>
                <w:rFonts w:ascii="宋体" w:eastAsia="宋体" w:hAnsi="宋体" w:cs="Times New Roman" w:hint="eastAsia"/>
                <w:b/>
                <w:bCs/>
                <w:sz w:val="24"/>
              </w:rPr>
              <w:t>学时安排</w:t>
            </w:r>
          </w:p>
        </w:tc>
      </w:tr>
      <w:tr w:rsidR="00D554C2" w:rsidRPr="00D554C2" w14:paraId="7598E3FE" w14:textId="77777777" w:rsidTr="009B4CAE">
        <w:trPr>
          <w:trHeight w:val="514"/>
          <w:jc w:val="center"/>
        </w:trPr>
        <w:tc>
          <w:tcPr>
            <w:tcW w:w="3403" w:type="dxa"/>
            <w:vAlign w:val="center"/>
          </w:tcPr>
          <w:p w14:paraId="6C7668A6"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学习内容</w:t>
            </w:r>
            <w:proofErr w:type="gramStart"/>
            <w:r w:rsidRPr="00D554C2">
              <w:rPr>
                <w:rFonts w:ascii="宋体" w:eastAsia="宋体" w:hAnsi="宋体" w:cs="Times New Roman" w:hint="eastAsia"/>
                <w:sz w:val="24"/>
              </w:rPr>
              <w:t>一</w:t>
            </w:r>
            <w:proofErr w:type="gramEnd"/>
            <w:r w:rsidRPr="00D554C2">
              <w:rPr>
                <w:rFonts w:ascii="宋体" w:eastAsia="宋体" w:hAnsi="宋体" w:cs="Times New Roman" w:hint="eastAsia"/>
                <w:sz w:val="24"/>
              </w:rPr>
              <w:t xml:space="preserve"> 体能+啦</w:t>
            </w:r>
            <w:proofErr w:type="gramStart"/>
            <w:r w:rsidRPr="00D554C2">
              <w:rPr>
                <w:rFonts w:ascii="宋体" w:eastAsia="宋体" w:hAnsi="宋体" w:cs="Times New Roman" w:hint="eastAsia"/>
                <w:sz w:val="24"/>
              </w:rPr>
              <w:t>啦</w:t>
            </w:r>
            <w:proofErr w:type="gramEnd"/>
            <w:r w:rsidRPr="00D554C2">
              <w:rPr>
                <w:rFonts w:ascii="宋体" w:eastAsia="宋体" w:hAnsi="宋体" w:cs="Times New Roman" w:hint="eastAsia"/>
                <w:sz w:val="24"/>
              </w:rPr>
              <w:t xml:space="preserve">操 </w:t>
            </w:r>
          </w:p>
          <w:p w14:paraId="15999C85" w14:textId="77777777" w:rsidR="00D554C2" w:rsidRPr="00D554C2" w:rsidRDefault="00D554C2" w:rsidP="00D554C2">
            <w:pPr>
              <w:spacing w:line="440" w:lineRule="exact"/>
              <w:jc w:val="center"/>
              <w:rPr>
                <w:rFonts w:ascii="宋体" w:eastAsia="宋体" w:hAnsi="宋体" w:cs="Times New Roman"/>
                <w:sz w:val="24"/>
              </w:rPr>
            </w:pPr>
          </w:p>
        </w:tc>
        <w:tc>
          <w:tcPr>
            <w:tcW w:w="2693" w:type="dxa"/>
            <w:vAlign w:val="center"/>
          </w:tcPr>
          <w:p w14:paraId="411669AA"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利用</w:t>
            </w:r>
            <w:proofErr w:type="gramStart"/>
            <w:r w:rsidRPr="00D554C2">
              <w:rPr>
                <w:rFonts w:ascii="宋体" w:eastAsia="宋体" w:hAnsi="宋体" w:cs="Times New Roman" w:hint="eastAsia"/>
                <w:sz w:val="24"/>
              </w:rPr>
              <w:t>微信平台</w:t>
            </w:r>
            <w:proofErr w:type="gramEnd"/>
            <w:r w:rsidRPr="00D554C2">
              <w:rPr>
                <w:rFonts w:ascii="宋体" w:eastAsia="宋体" w:hAnsi="宋体" w:cs="Times New Roman" w:hint="eastAsia"/>
                <w:sz w:val="24"/>
              </w:rPr>
              <w:t>；讲解法、示范法；练习法；小组合作学习</w:t>
            </w:r>
          </w:p>
        </w:tc>
        <w:tc>
          <w:tcPr>
            <w:tcW w:w="1985" w:type="dxa"/>
            <w:vAlign w:val="center"/>
          </w:tcPr>
          <w:p w14:paraId="13E08650"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课程</w:t>
            </w:r>
            <w:r w:rsidRPr="00D554C2">
              <w:rPr>
                <w:rFonts w:ascii="宋体" w:eastAsia="宋体" w:hAnsi="宋体" w:cs="Times New Roman"/>
                <w:sz w:val="24"/>
              </w:rPr>
              <w:t>目标</w:t>
            </w:r>
            <w:r w:rsidRPr="00D554C2">
              <w:rPr>
                <w:rFonts w:ascii="宋体" w:eastAsia="宋体" w:hAnsi="宋体" w:cs="Times New Roman" w:hint="eastAsia"/>
                <w:sz w:val="24"/>
              </w:rPr>
              <w:t>1、2、3</w:t>
            </w:r>
          </w:p>
        </w:tc>
        <w:tc>
          <w:tcPr>
            <w:tcW w:w="1276" w:type="dxa"/>
            <w:vAlign w:val="center"/>
          </w:tcPr>
          <w:p w14:paraId="278D5F97"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32</w:t>
            </w:r>
          </w:p>
        </w:tc>
      </w:tr>
      <w:tr w:rsidR="00D554C2" w:rsidRPr="00D554C2" w14:paraId="3931D105" w14:textId="77777777" w:rsidTr="009B4CAE">
        <w:trPr>
          <w:trHeight w:val="90"/>
          <w:jc w:val="center"/>
        </w:trPr>
        <w:tc>
          <w:tcPr>
            <w:tcW w:w="3403" w:type="dxa"/>
            <w:vAlign w:val="center"/>
          </w:tcPr>
          <w:p w14:paraId="056F73B3"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lastRenderedPageBreak/>
              <w:t>学习内容二 啦</w:t>
            </w:r>
            <w:proofErr w:type="gramStart"/>
            <w:r w:rsidRPr="00D554C2">
              <w:rPr>
                <w:rFonts w:ascii="宋体" w:eastAsia="宋体" w:hAnsi="宋体" w:cs="Times New Roman" w:hint="eastAsia"/>
                <w:sz w:val="24"/>
              </w:rPr>
              <w:t>啦</w:t>
            </w:r>
            <w:proofErr w:type="gramEnd"/>
            <w:r w:rsidRPr="00D554C2">
              <w:rPr>
                <w:rFonts w:ascii="宋体" w:eastAsia="宋体" w:hAnsi="宋体" w:cs="Times New Roman" w:hint="eastAsia"/>
                <w:sz w:val="24"/>
              </w:rPr>
              <w:t xml:space="preserve">操1 </w:t>
            </w:r>
          </w:p>
          <w:p w14:paraId="1FB64736" w14:textId="77777777" w:rsidR="00D554C2" w:rsidRPr="00D554C2" w:rsidRDefault="00D554C2" w:rsidP="00D554C2">
            <w:pPr>
              <w:spacing w:line="440" w:lineRule="exact"/>
              <w:jc w:val="center"/>
              <w:rPr>
                <w:rFonts w:ascii="宋体" w:eastAsia="宋体" w:hAnsi="宋体" w:cs="Times New Roman"/>
                <w:sz w:val="24"/>
              </w:rPr>
            </w:pPr>
          </w:p>
        </w:tc>
        <w:tc>
          <w:tcPr>
            <w:tcW w:w="2693" w:type="dxa"/>
            <w:vAlign w:val="center"/>
          </w:tcPr>
          <w:p w14:paraId="2ED6AA66"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利用</w:t>
            </w:r>
            <w:proofErr w:type="gramStart"/>
            <w:r w:rsidRPr="00D554C2">
              <w:rPr>
                <w:rFonts w:ascii="宋体" w:eastAsia="宋体" w:hAnsi="宋体" w:cs="Times New Roman" w:hint="eastAsia"/>
                <w:sz w:val="24"/>
              </w:rPr>
              <w:t>微信平台</w:t>
            </w:r>
            <w:proofErr w:type="gramEnd"/>
            <w:r w:rsidRPr="00D554C2">
              <w:rPr>
                <w:rFonts w:ascii="宋体" w:eastAsia="宋体" w:hAnsi="宋体" w:cs="Times New Roman" w:hint="eastAsia"/>
                <w:sz w:val="24"/>
              </w:rPr>
              <w:t>；讲解法、示范法；练习法；小组合作学习</w:t>
            </w:r>
          </w:p>
        </w:tc>
        <w:tc>
          <w:tcPr>
            <w:tcW w:w="1985" w:type="dxa"/>
            <w:vAlign w:val="center"/>
          </w:tcPr>
          <w:p w14:paraId="7C53E557"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课程</w:t>
            </w:r>
            <w:r w:rsidRPr="00D554C2">
              <w:rPr>
                <w:rFonts w:ascii="宋体" w:eastAsia="宋体" w:hAnsi="宋体" w:cs="Times New Roman"/>
                <w:sz w:val="24"/>
              </w:rPr>
              <w:t>目标</w:t>
            </w:r>
            <w:r w:rsidRPr="00D554C2">
              <w:rPr>
                <w:rFonts w:ascii="宋体" w:eastAsia="宋体" w:hAnsi="宋体" w:cs="Times New Roman" w:hint="eastAsia"/>
                <w:sz w:val="24"/>
              </w:rPr>
              <w:t>1、2、3</w:t>
            </w:r>
          </w:p>
        </w:tc>
        <w:tc>
          <w:tcPr>
            <w:tcW w:w="1276" w:type="dxa"/>
            <w:vAlign w:val="center"/>
          </w:tcPr>
          <w:p w14:paraId="39923617"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32</w:t>
            </w:r>
          </w:p>
        </w:tc>
      </w:tr>
      <w:tr w:rsidR="00D554C2" w:rsidRPr="00D554C2" w14:paraId="48BC331A" w14:textId="77777777" w:rsidTr="009B4CAE">
        <w:trPr>
          <w:jc w:val="center"/>
        </w:trPr>
        <w:tc>
          <w:tcPr>
            <w:tcW w:w="3403" w:type="dxa"/>
            <w:vAlign w:val="center"/>
          </w:tcPr>
          <w:p w14:paraId="472C7D4A"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学习内容三 啦</w:t>
            </w:r>
            <w:proofErr w:type="gramStart"/>
            <w:r w:rsidRPr="00D554C2">
              <w:rPr>
                <w:rFonts w:ascii="宋体" w:eastAsia="宋体" w:hAnsi="宋体" w:cs="Times New Roman" w:hint="eastAsia"/>
                <w:sz w:val="24"/>
              </w:rPr>
              <w:t>啦</w:t>
            </w:r>
            <w:proofErr w:type="gramEnd"/>
            <w:r w:rsidRPr="00D554C2">
              <w:rPr>
                <w:rFonts w:ascii="宋体" w:eastAsia="宋体" w:hAnsi="宋体" w:cs="Times New Roman" w:hint="eastAsia"/>
                <w:sz w:val="24"/>
              </w:rPr>
              <w:t>操 2</w:t>
            </w:r>
          </w:p>
          <w:p w14:paraId="10CF5CDF" w14:textId="77777777" w:rsidR="00D554C2" w:rsidRPr="00D554C2" w:rsidRDefault="00D554C2" w:rsidP="00D554C2">
            <w:pPr>
              <w:spacing w:line="440" w:lineRule="exact"/>
              <w:jc w:val="center"/>
              <w:rPr>
                <w:rFonts w:ascii="宋体" w:eastAsia="宋体" w:hAnsi="宋体" w:cs="Times New Roman"/>
                <w:sz w:val="24"/>
              </w:rPr>
            </w:pPr>
          </w:p>
        </w:tc>
        <w:tc>
          <w:tcPr>
            <w:tcW w:w="2693" w:type="dxa"/>
            <w:vAlign w:val="center"/>
          </w:tcPr>
          <w:p w14:paraId="7E2A9A72"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利用</w:t>
            </w:r>
            <w:proofErr w:type="gramStart"/>
            <w:r w:rsidRPr="00D554C2">
              <w:rPr>
                <w:rFonts w:ascii="宋体" w:eastAsia="宋体" w:hAnsi="宋体" w:cs="Times New Roman" w:hint="eastAsia"/>
                <w:sz w:val="24"/>
              </w:rPr>
              <w:t>微信平台</w:t>
            </w:r>
            <w:proofErr w:type="gramEnd"/>
            <w:r w:rsidRPr="00D554C2">
              <w:rPr>
                <w:rFonts w:ascii="宋体" w:eastAsia="宋体" w:hAnsi="宋体" w:cs="Times New Roman" w:hint="eastAsia"/>
                <w:sz w:val="24"/>
              </w:rPr>
              <w:t>；讲解法、示范法；练习法；小组合作学习</w:t>
            </w:r>
          </w:p>
        </w:tc>
        <w:tc>
          <w:tcPr>
            <w:tcW w:w="1985" w:type="dxa"/>
            <w:vAlign w:val="center"/>
          </w:tcPr>
          <w:p w14:paraId="4373F389"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课程</w:t>
            </w:r>
            <w:r w:rsidRPr="00D554C2">
              <w:rPr>
                <w:rFonts w:ascii="宋体" w:eastAsia="宋体" w:hAnsi="宋体" w:cs="Times New Roman"/>
                <w:sz w:val="24"/>
              </w:rPr>
              <w:t>目标</w:t>
            </w:r>
            <w:r w:rsidRPr="00D554C2">
              <w:rPr>
                <w:rFonts w:ascii="宋体" w:eastAsia="宋体" w:hAnsi="宋体" w:cs="Times New Roman" w:hint="eastAsia"/>
                <w:sz w:val="24"/>
              </w:rPr>
              <w:t>1、2、3</w:t>
            </w:r>
          </w:p>
        </w:tc>
        <w:tc>
          <w:tcPr>
            <w:tcW w:w="1276" w:type="dxa"/>
            <w:vAlign w:val="center"/>
          </w:tcPr>
          <w:p w14:paraId="5252ACCE"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32</w:t>
            </w:r>
          </w:p>
        </w:tc>
      </w:tr>
      <w:tr w:rsidR="00D554C2" w:rsidRPr="00D554C2" w14:paraId="522DF9E5" w14:textId="77777777" w:rsidTr="009B4CAE">
        <w:trPr>
          <w:jc w:val="center"/>
        </w:trPr>
        <w:tc>
          <w:tcPr>
            <w:tcW w:w="3403" w:type="dxa"/>
            <w:vAlign w:val="center"/>
          </w:tcPr>
          <w:p w14:paraId="7701453B"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学习内容四 啦</w:t>
            </w:r>
            <w:proofErr w:type="gramStart"/>
            <w:r w:rsidRPr="00D554C2">
              <w:rPr>
                <w:rFonts w:ascii="宋体" w:eastAsia="宋体" w:hAnsi="宋体" w:cs="Times New Roman" w:hint="eastAsia"/>
                <w:sz w:val="24"/>
              </w:rPr>
              <w:t>啦</w:t>
            </w:r>
            <w:proofErr w:type="gramEnd"/>
            <w:r w:rsidRPr="00D554C2">
              <w:rPr>
                <w:rFonts w:ascii="宋体" w:eastAsia="宋体" w:hAnsi="宋体" w:cs="Times New Roman" w:hint="eastAsia"/>
                <w:sz w:val="24"/>
              </w:rPr>
              <w:t>操 3</w:t>
            </w:r>
          </w:p>
          <w:p w14:paraId="06C9F201" w14:textId="77777777" w:rsidR="00D554C2" w:rsidRPr="00D554C2" w:rsidRDefault="00D554C2" w:rsidP="00D554C2">
            <w:pPr>
              <w:spacing w:line="440" w:lineRule="exact"/>
              <w:jc w:val="center"/>
              <w:rPr>
                <w:rFonts w:ascii="宋体" w:eastAsia="宋体" w:hAnsi="宋体" w:cs="Times New Roman"/>
                <w:sz w:val="24"/>
              </w:rPr>
            </w:pPr>
          </w:p>
        </w:tc>
        <w:tc>
          <w:tcPr>
            <w:tcW w:w="2693" w:type="dxa"/>
            <w:vAlign w:val="center"/>
          </w:tcPr>
          <w:p w14:paraId="0C55D6B9"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利用</w:t>
            </w:r>
            <w:proofErr w:type="gramStart"/>
            <w:r w:rsidRPr="00D554C2">
              <w:rPr>
                <w:rFonts w:ascii="宋体" w:eastAsia="宋体" w:hAnsi="宋体" w:cs="Times New Roman" w:hint="eastAsia"/>
                <w:sz w:val="24"/>
              </w:rPr>
              <w:t>微信平台</w:t>
            </w:r>
            <w:proofErr w:type="gramEnd"/>
            <w:r w:rsidRPr="00D554C2">
              <w:rPr>
                <w:rFonts w:ascii="宋体" w:eastAsia="宋体" w:hAnsi="宋体" w:cs="Times New Roman" w:hint="eastAsia"/>
                <w:sz w:val="24"/>
              </w:rPr>
              <w:t>；讲解法、示范法；练习法；小组合作学习</w:t>
            </w:r>
          </w:p>
        </w:tc>
        <w:tc>
          <w:tcPr>
            <w:tcW w:w="1985" w:type="dxa"/>
            <w:vAlign w:val="center"/>
          </w:tcPr>
          <w:p w14:paraId="541B4030" w14:textId="77777777" w:rsidR="00D554C2" w:rsidRPr="00D554C2" w:rsidRDefault="00D554C2" w:rsidP="00D554C2">
            <w:pPr>
              <w:spacing w:line="440" w:lineRule="exact"/>
              <w:jc w:val="center"/>
              <w:rPr>
                <w:rFonts w:ascii="宋体" w:eastAsia="宋体" w:hAnsi="宋体" w:cs="Times New Roman"/>
                <w:color w:val="FF0000"/>
                <w:sz w:val="24"/>
              </w:rPr>
            </w:pPr>
            <w:r w:rsidRPr="00D554C2">
              <w:rPr>
                <w:rFonts w:ascii="宋体" w:eastAsia="宋体" w:hAnsi="宋体" w:cs="Times New Roman" w:hint="eastAsia"/>
                <w:sz w:val="24"/>
              </w:rPr>
              <w:t>课程</w:t>
            </w:r>
            <w:r w:rsidRPr="00D554C2">
              <w:rPr>
                <w:rFonts w:ascii="宋体" w:eastAsia="宋体" w:hAnsi="宋体" w:cs="Times New Roman"/>
                <w:sz w:val="24"/>
              </w:rPr>
              <w:t>目标</w:t>
            </w:r>
            <w:r w:rsidRPr="00D554C2">
              <w:rPr>
                <w:rFonts w:ascii="宋体" w:eastAsia="宋体" w:hAnsi="宋体" w:cs="Times New Roman" w:hint="eastAsia"/>
                <w:sz w:val="24"/>
              </w:rPr>
              <w:t>1、2、3</w:t>
            </w:r>
          </w:p>
        </w:tc>
        <w:tc>
          <w:tcPr>
            <w:tcW w:w="1276" w:type="dxa"/>
            <w:vAlign w:val="center"/>
          </w:tcPr>
          <w:p w14:paraId="347A4821"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32</w:t>
            </w:r>
          </w:p>
        </w:tc>
      </w:tr>
      <w:tr w:rsidR="00D554C2" w:rsidRPr="00D554C2" w14:paraId="4A71FF2A" w14:textId="77777777" w:rsidTr="009B4CAE">
        <w:trPr>
          <w:jc w:val="center"/>
        </w:trPr>
        <w:tc>
          <w:tcPr>
            <w:tcW w:w="8081" w:type="dxa"/>
            <w:gridSpan w:val="3"/>
            <w:vAlign w:val="center"/>
          </w:tcPr>
          <w:p w14:paraId="48D8B336"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合计</w:t>
            </w:r>
          </w:p>
        </w:tc>
        <w:tc>
          <w:tcPr>
            <w:tcW w:w="1276" w:type="dxa"/>
            <w:vAlign w:val="center"/>
          </w:tcPr>
          <w:p w14:paraId="3C600379" w14:textId="77777777" w:rsidR="00D554C2" w:rsidRPr="00D554C2" w:rsidRDefault="00D554C2" w:rsidP="00D554C2">
            <w:pPr>
              <w:spacing w:line="440" w:lineRule="exact"/>
              <w:jc w:val="center"/>
              <w:rPr>
                <w:rFonts w:ascii="宋体" w:eastAsia="宋体" w:hAnsi="宋体" w:cs="Times New Roman"/>
                <w:sz w:val="24"/>
              </w:rPr>
            </w:pPr>
            <w:r w:rsidRPr="00D554C2">
              <w:rPr>
                <w:rFonts w:ascii="宋体" w:eastAsia="宋体" w:hAnsi="宋体" w:cs="Times New Roman" w:hint="eastAsia"/>
                <w:sz w:val="24"/>
              </w:rPr>
              <w:t>128</w:t>
            </w:r>
          </w:p>
        </w:tc>
      </w:tr>
    </w:tbl>
    <w:p w14:paraId="1256CFAB" w14:textId="77777777" w:rsidR="00D554C2" w:rsidRPr="00D554C2" w:rsidRDefault="00D554C2" w:rsidP="00D554C2">
      <w:pPr>
        <w:spacing w:beforeLines="50" w:before="156" w:afterLines="50" w:after="156" w:line="440" w:lineRule="exact"/>
        <w:ind w:firstLineChars="200" w:firstLine="560"/>
        <w:rPr>
          <w:rFonts w:ascii="宋体" w:eastAsia="宋体" w:hAnsi="宋体" w:cs="Times New Roman"/>
          <w:sz w:val="24"/>
        </w:rPr>
      </w:pPr>
      <w:r w:rsidRPr="00D554C2">
        <w:rPr>
          <w:rFonts w:ascii="黑体" w:eastAsia="黑体" w:hAnsi="黑体" w:cs="Times New Roman" w:hint="eastAsia"/>
          <w:sz w:val="28"/>
          <w:szCs w:val="28"/>
        </w:rPr>
        <w:t>四、课程考核及与课程学习目标的对应关系</w:t>
      </w:r>
    </w:p>
    <w:p w14:paraId="27698BB2"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D554C2" w:rsidRPr="00D554C2" w14:paraId="7CFBF5B2" w14:textId="77777777" w:rsidTr="009B4CAE">
        <w:trPr>
          <w:trHeight w:val="515"/>
          <w:jc w:val="center"/>
        </w:trPr>
        <w:tc>
          <w:tcPr>
            <w:tcW w:w="1422" w:type="dxa"/>
          </w:tcPr>
          <w:p w14:paraId="1720E476"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课程目标</w:t>
            </w:r>
          </w:p>
        </w:tc>
        <w:tc>
          <w:tcPr>
            <w:tcW w:w="5376" w:type="dxa"/>
            <w:vAlign w:val="center"/>
          </w:tcPr>
          <w:p w14:paraId="63E95091"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考核内容</w:t>
            </w:r>
          </w:p>
        </w:tc>
        <w:tc>
          <w:tcPr>
            <w:tcW w:w="2542" w:type="dxa"/>
            <w:vAlign w:val="center"/>
          </w:tcPr>
          <w:p w14:paraId="08C4B261" w14:textId="77777777" w:rsidR="00D554C2" w:rsidRPr="00D554C2" w:rsidRDefault="00D554C2" w:rsidP="00D554C2">
            <w:pPr>
              <w:spacing w:line="440" w:lineRule="exact"/>
              <w:jc w:val="center"/>
              <w:rPr>
                <w:rFonts w:ascii="宋体" w:eastAsia="宋体" w:hAnsi="宋体" w:cs="Times New Roman"/>
                <w:b/>
                <w:sz w:val="24"/>
              </w:rPr>
            </w:pPr>
            <w:r w:rsidRPr="00D554C2">
              <w:rPr>
                <w:rFonts w:ascii="宋体" w:eastAsia="宋体" w:hAnsi="宋体" w:cs="Times New Roman" w:hint="eastAsia"/>
                <w:b/>
                <w:sz w:val="24"/>
              </w:rPr>
              <w:t>考核方式</w:t>
            </w:r>
          </w:p>
        </w:tc>
      </w:tr>
      <w:tr w:rsidR="00D554C2" w:rsidRPr="00D554C2" w14:paraId="6DDDD61D" w14:textId="77777777" w:rsidTr="009B4CAE">
        <w:trPr>
          <w:jc w:val="center"/>
        </w:trPr>
        <w:tc>
          <w:tcPr>
            <w:tcW w:w="1422" w:type="dxa"/>
            <w:vAlign w:val="center"/>
          </w:tcPr>
          <w:p w14:paraId="690DB249" w14:textId="77777777" w:rsidR="00D554C2" w:rsidRPr="00D554C2" w:rsidRDefault="00D554C2" w:rsidP="00D554C2">
            <w:pPr>
              <w:spacing w:line="440" w:lineRule="exact"/>
              <w:jc w:val="center"/>
              <w:rPr>
                <w:rFonts w:ascii="宋体" w:eastAsia="宋体" w:hAnsi="宋体" w:cs="Times New Roman"/>
                <w:bCs/>
                <w:sz w:val="24"/>
              </w:rPr>
            </w:pPr>
            <w:r w:rsidRPr="00D554C2">
              <w:rPr>
                <w:rFonts w:ascii="宋体" w:eastAsia="宋体" w:hAnsi="宋体" w:cs="Times New Roman" w:hint="eastAsia"/>
                <w:bCs/>
                <w:sz w:val="24"/>
              </w:rPr>
              <w:t>课程目标1、2、3</w:t>
            </w:r>
          </w:p>
        </w:tc>
        <w:tc>
          <w:tcPr>
            <w:tcW w:w="5376" w:type="dxa"/>
            <w:vAlign w:val="center"/>
          </w:tcPr>
          <w:p w14:paraId="4D7D87D7"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大学生体质健康标准测试</w:t>
            </w:r>
          </w:p>
        </w:tc>
        <w:tc>
          <w:tcPr>
            <w:tcW w:w="2542" w:type="dxa"/>
            <w:vAlign w:val="center"/>
          </w:tcPr>
          <w:p w14:paraId="63D11D78" w14:textId="77777777" w:rsidR="00D554C2" w:rsidRPr="00D554C2" w:rsidRDefault="00D554C2" w:rsidP="00D554C2">
            <w:pPr>
              <w:widowControl/>
              <w:jc w:val="left"/>
              <w:rPr>
                <w:rFonts w:ascii="宋体" w:eastAsia="宋体" w:hAnsi="宋体" w:cs="Times New Roman"/>
                <w:bCs/>
                <w:sz w:val="24"/>
              </w:rPr>
            </w:pPr>
          </w:p>
          <w:p w14:paraId="686460AE"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随堂技术考核</w:t>
            </w:r>
          </w:p>
        </w:tc>
      </w:tr>
      <w:tr w:rsidR="00D554C2" w:rsidRPr="00D554C2" w14:paraId="4C06AFF6" w14:textId="77777777" w:rsidTr="009B4CAE">
        <w:trPr>
          <w:jc w:val="center"/>
        </w:trPr>
        <w:tc>
          <w:tcPr>
            <w:tcW w:w="1422" w:type="dxa"/>
            <w:vAlign w:val="center"/>
          </w:tcPr>
          <w:p w14:paraId="726C0DBE" w14:textId="77777777" w:rsidR="00D554C2" w:rsidRPr="00D554C2" w:rsidRDefault="00D554C2" w:rsidP="00D554C2">
            <w:pPr>
              <w:spacing w:line="440" w:lineRule="exact"/>
              <w:jc w:val="center"/>
              <w:rPr>
                <w:rFonts w:ascii="宋体" w:eastAsia="宋体" w:hAnsi="宋体" w:cs="Times New Roman"/>
                <w:bCs/>
                <w:sz w:val="24"/>
              </w:rPr>
            </w:pPr>
            <w:r w:rsidRPr="00D554C2">
              <w:rPr>
                <w:rFonts w:ascii="宋体" w:eastAsia="宋体" w:hAnsi="宋体" w:cs="Times New Roman" w:hint="eastAsia"/>
                <w:bCs/>
                <w:sz w:val="24"/>
              </w:rPr>
              <w:t>课程目标3</w:t>
            </w:r>
          </w:p>
        </w:tc>
        <w:tc>
          <w:tcPr>
            <w:tcW w:w="5376" w:type="dxa"/>
            <w:vAlign w:val="center"/>
          </w:tcPr>
          <w:p w14:paraId="365831ED"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立定跳远</w:t>
            </w:r>
          </w:p>
        </w:tc>
        <w:tc>
          <w:tcPr>
            <w:tcW w:w="2542" w:type="dxa"/>
            <w:vAlign w:val="center"/>
          </w:tcPr>
          <w:p w14:paraId="70802D55" w14:textId="77777777" w:rsidR="00D554C2" w:rsidRPr="00D554C2" w:rsidRDefault="00D554C2" w:rsidP="00D554C2">
            <w:pPr>
              <w:widowControl/>
              <w:jc w:val="left"/>
              <w:rPr>
                <w:rFonts w:ascii="宋体" w:eastAsia="宋体" w:hAnsi="宋体" w:cs="Times New Roman"/>
                <w:bCs/>
                <w:sz w:val="24"/>
              </w:rPr>
            </w:pPr>
          </w:p>
          <w:p w14:paraId="005806BA"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随堂技术考核</w:t>
            </w:r>
          </w:p>
        </w:tc>
      </w:tr>
      <w:tr w:rsidR="00D554C2" w:rsidRPr="00D554C2" w14:paraId="75B20D60" w14:textId="77777777" w:rsidTr="009B4CAE">
        <w:trPr>
          <w:jc w:val="center"/>
        </w:trPr>
        <w:tc>
          <w:tcPr>
            <w:tcW w:w="1422" w:type="dxa"/>
            <w:vAlign w:val="center"/>
          </w:tcPr>
          <w:p w14:paraId="37995885" w14:textId="77777777" w:rsidR="00D554C2" w:rsidRPr="00D554C2" w:rsidRDefault="00D554C2" w:rsidP="00D554C2">
            <w:pPr>
              <w:spacing w:line="440" w:lineRule="exact"/>
              <w:jc w:val="center"/>
              <w:rPr>
                <w:rFonts w:ascii="宋体" w:eastAsia="宋体" w:hAnsi="宋体" w:cs="Times New Roman"/>
                <w:bCs/>
                <w:sz w:val="24"/>
              </w:rPr>
            </w:pPr>
            <w:r w:rsidRPr="00D554C2">
              <w:rPr>
                <w:rFonts w:ascii="宋体" w:eastAsia="宋体" w:hAnsi="宋体" w:cs="Times New Roman" w:hint="eastAsia"/>
                <w:bCs/>
                <w:sz w:val="24"/>
              </w:rPr>
              <w:t>课程目标3</w:t>
            </w:r>
          </w:p>
        </w:tc>
        <w:tc>
          <w:tcPr>
            <w:tcW w:w="5376" w:type="dxa"/>
            <w:vAlign w:val="center"/>
          </w:tcPr>
          <w:p w14:paraId="10E5BA9D"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Calibri" w:cs="Times New Roman" w:hint="eastAsia"/>
                <w:bCs/>
                <w:kern w:val="0"/>
                <w:sz w:val="24"/>
              </w:rPr>
              <w:t>啦</w:t>
            </w:r>
            <w:proofErr w:type="gramStart"/>
            <w:r w:rsidRPr="00D554C2">
              <w:rPr>
                <w:rFonts w:ascii="宋体" w:eastAsia="宋体" w:hAnsi="Calibri" w:cs="Times New Roman" w:hint="eastAsia"/>
                <w:bCs/>
                <w:kern w:val="0"/>
                <w:sz w:val="24"/>
              </w:rPr>
              <w:t>啦</w:t>
            </w:r>
            <w:proofErr w:type="gramEnd"/>
            <w:r w:rsidRPr="00D554C2">
              <w:rPr>
                <w:rFonts w:ascii="宋体" w:eastAsia="宋体" w:hAnsi="Calibri" w:cs="Times New Roman" w:hint="eastAsia"/>
                <w:bCs/>
                <w:kern w:val="0"/>
                <w:sz w:val="24"/>
              </w:rPr>
              <w:t>操套路（一）</w:t>
            </w:r>
          </w:p>
        </w:tc>
        <w:tc>
          <w:tcPr>
            <w:tcW w:w="2542" w:type="dxa"/>
            <w:vAlign w:val="center"/>
          </w:tcPr>
          <w:p w14:paraId="5834D9C6" w14:textId="77777777" w:rsidR="00D554C2" w:rsidRPr="00D554C2" w:rsidRDefault="00D554C2" w:rsidP="00D554C2">
            <w:pPr>
              <w:widowControl/>
              <w:jc w:val="left"/>
              <w:rPr>
                <w:rFonts w:ascii="宋体" w:eastAsia="宋体" w:hAnsi="宋体" w:cs="Times New Roman"/>
                <w:bCs/>
                <w:sz w:val="24"/>
              </w:rPr>
            </w:pPr>
          </w:p>
          <w:p w14:paraId="7E93585E"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随堂技术考核</w:t>
            </w:r>
          </w:p>
        </w:tc>
      </w:tr>
      <w:tr w:rsidR="00D554C2" w:rsidRPr="00D554C2" w14:paraId="1445EF8F" w14:textId="77777777" w:rsidTr="009B4CAE">
        <w:trPr>
          <w:jc w:val="center"/>
        </w:trPr>
        <w:tc>
          <w:tcPr>
            <w:tcW w:w="1422" w:type="dxa"/>
            <w:vAlign w:val="center"/>
          </w:tcPr>
          <w:p w14:paraId="4AB80633" w14:textId="77777777" w:rsidR="00D554C2" w:rsidRPr="00D554C2" w:rsidRDefault="00D554C2" w:rsidP="00D554C2">
            <w:pPr>
              <w:spacing w:line="440" w:lineRule="exact"/>
              <w:jc w:val="center"/>
              <w:rPr>
                <w:rFonts w:ascii="宋体" w:eastAsia="宋体" w:hAnsi="宋体" w:cs="Times New Roman"/>
                <w:bCs/>
                <w:sz w:val="24"/>
              </w:rPr>
            </w:pPr>
            <w:r w:rsidRPr="00D554C2">
              <w:rPr>
                <w:rFonts w:ascii="宋体" w:eastAsia="宋体" w:hAnsi="宋体" w:cs="Times New Roman" w:hint="eastAsia"/>
                <w:bCs/>
                <w:sz w:val="24"/>
              </w:rPr>
              <w:t>课程目标3</w:t>
            </w:r>
          </w:p>
        </w:tc>
        <w:tc>
          <w:tcPr>
            <w:tcW w:w="5376" w:type="dxa"/>
            <w:vAlign w:val="center"/>
          </w:tcPr>
          <w:p w14:paraId="10D2A2C7"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Calibri" w:cs="Times New Roman" w:hint="eastAsia"/>
                <w:bCs/>
                <w:kern w:val="0"/>
                <w:sz w:val="24"/>
              </w:rPr>
              <w:t>啦</w:t>
            </w:r>
            <w:proofErr w:type="gramStart"/>
            <w:r w:rsidRPr="00D554C2">
              <w:rPr>
                <w:rFonts w:ascii="宋体" w:eastAsia="宋体" w:hAnsi="Calibri" w:cs="Times New Roman" w:hint="eastAsia"/>
                <w:bCs/>
                <w:kern w:val="0"/>
                <w:sz w:val="24"/>
              </w:rPr>
              <w:t>啦</w:t>
            </w:r>
            <w:proofErr w:type="gramEnd"/>
            <w:r w:rsidRPr="00D554C2">
              <w:rPr>
                <w:rFonts w:ascii="宋体" w:eastAsia="宋体" w:hAnsi="Calibri" w:cs="Times New Roman" w:hint="eastAsia"/>
                <w:bCs/>
                <w:kern w:val="0"/>
                <w:sz w:val="24"/>
              </w:rPr>
              <w:t>操套路（二）</w:t>
            </w:r>
          </w:p>
        </w:tc>
        <w:tc>
          <w:tcPr>
            <w:tcW w:w="2542" w:type="dxa"/>
            <w:vAlign w:val="center"/>
          </w:tcPr>
          <w:p w14:paraId="7BBB745F" w14:textId="77777777" w:rsidR="00D554C2" w:rsidRPr="00D554C2" w:rsidRDefault="00D554C2" w:rsidP="00D554C2">
            <w:pPr>
              <w:widowControl/>
              <w:jc w:val="left"/>
              <w:rPr>
                <w:rFonts w:ascii="宋体" w:eastAsia="宋体" w:hAnsi="宋体" w:cs="Times New Roman"/>
                <w:bCs/>
                <w:sz w:val="24"/>
              </w:rPr>
            </w:pPr>
            <w:r w:rsidRPr="00D554C2">
              <w:rPr>
                <w:rFonts w:ascii="宋体" w:eastAsia="宋体" w:hAnsi="宋体" w:cs="Times New Roman" w:hint="eastAsia"/>
                <w:bCs/>
                <w:sz w:val="24"/>
              </w:rPr>
              <w:t>随堂技术考核</w:t>
            </w:r>
          </w:p>
          <w:p w14:paraId="616C56AC" w14:textId="77777777" w:rsidR="00D554C2" w:rsidRPr="00D554C2" w:rsidRDefault="00D554C2" w:rsidP="00D554C2">
            <w:pPr>
              <w:spacing w:line="440" w:lineRule="exact"/>
              <w:rPr>
                <w:rFonts w:ascii="宋体" w:eastAsia="宋体" w:hAnsi="宋体" w:cs="Times New Roman"/>
                <w:bCs/>
                <w:sz w:val="24"/>
              </w:rPr>
            </w:pPr>
          </w:p>
        </w:tc>
      </w:tr>
    </w:tbl>
    <w:p w14:paraId="5A040A14"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（二）课程目标达成评价方式及考核比例</w:t>
      </w:r>
    </w:p>
    <w:p w14:paraId="680385E4"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啦</w:t>
      </w:r>
      <w:proofErr w:type="gramStart"/>
      <w:r w:rsidRPr="00D554C2">
        <w:rPr>
          <w:rFonts w:ascii="宋体" w:eastAsia="宋体" w:hAnsi="宋体" w:cs="Times New Roman" w:hint="eastAsia"/>
          <w:sz w:val="24"/>
        </w:rPr>
        <w:t>啦</w:t>
      </w:r>
      <w:proofErr w:type="gramEnd"/>
      <w:r w:rsidRPr="00D554C2">
        <w:rPr>
          <w:rFonts w:ascii="宋体" w:eastAsia="宋体" w:hAnsi="宋体" w:cs="Times New Roman" w:hint="eastAsia"/>
          <w:sz w:val="24"/>
        </w:rPr>
        <w:t>操课程</w:t>
      </w:r>
      <w:proofErr w:type="gramStart"/>
      <w:r w:rsidRPr="00D554C2">
        <w:rPr>
          <w:rFonts w:ascii="宋体" w:eastAsia="宋体" w:hAnsi="宋体" w:cs="Times New Roman" w:hint="eastAsia"/>
          <w:sz w:val="24"/>
        </w:rPr>
        <w:t>1、2、3、4每</w:t>
      </w:r>
      <w:proofErr w:type="gramEnd"/>
      <w:r w:rsidRPr="00D554C2">
        <w:rPr>
          <w:rFonts w:ascii="宋体" w:eastAsia="宋体" w:hAnsi="宋体" w:cs="Times New Roman" w:hint="eastAsia"/>
          <w:sz w:val="24"/>
        </w:rPr>
        <w:t>学期考核方式及成绩比例为：课堂表现20%</w:t>
      </w:r>
      <w:r w:rsidRPr="00D554C2">
        <w:rPr>
          <w:rFonts w:ascii="宋体" w:eastAsia="宋体" w:hAnsi="宋体" w:cs="Times New Roman"/>
          <w:sz w:val="24"/>
        </w:rPr>
        <w:t>+</w:t>
      </w:r>
      <w:r w:rsidRPr="00D554C2">
        <w:rPr>
          <w:rFonts w:ascii="宋体" w:eastAsia="宋体" w:hAnsi="宋体" w:cs="Times New Roman" w:hint="eastAsia"/>
          <w:sz w:val="24"/>
        </w:rPr>
        <w:t>期中考核30%</w:t>
      </w:r>
      <w:r w:rsidRPr="00D554C2">
        <w:rPr>
          <w:rFonts w:ascii="宋体" w:eastAsia="宋体" w:hAnsi="宋体" w:cs="Times New Roman"/>
          <w:sz w:val="24"/>
        </w:rPr>
        <w:t>+</w:t>
      </w:r>
      <w:r w:rsidRPr="00D554C2">
        <w:rPr>
          <w:rFonts w:ascii="宋体" w:eastAsia="宋体" w:hAnsi="宋体" w:cs="Times New Roman" w:hint="eastAsia"/>
          <w:sz w:val="24"/>
        </w:rPr>
        <w:t>课期</w:t>
      </w:r>
      <w:proofErr w:type="gramStart"/>
      <w:r w:rsidRPr="00D554C2">
        <w:rPr>
          <w:rFonts w:ascii="宋体" w:eastAsia="宋体" w:hAnsi="宋体" w:cs="Times New Roman" w:hint="eastAsia"/>
          <w:sz w:val="24"/>
        </w:rPr>
        <w:t>末考试</w:t>
      </w:r>
      <w:proofErr w:type="gramEnd"/>
      <w:r w:rsidRPr="00D554C2">
        <w:rPr>
          <w:rFonts w:ascii="宋体" w:eastAsia="宋体" w:hAnsi="宋体" w:cs="Times New Roman" w:hint="eastAsia"/>
          <w:sz w:val="24"/>
        </w:rPr>
        <w:t>5</w:t>
      </w:r>
      <w:r w:rsidRPr="00D554C2">
        <w:rPr>
          <w:rFonts w:ascii="宋体" w:eastAsia="宋体" w:hAnsi="宋体" w:cs="Times New Roman"/>
          <w:sz w:val="24"/>
        </w:rPr>
        <w:t>0</w:t>
      </w:r>
      <w:r w:rsidRPr="00D554C2">
        <w:rPr>
          <w:rFonts w:ascii="宋体" w:eastAsia="宋体" w:hAnsi="宋体" w:cs="Times New Roman" w:hint="eastAsia"/>
          <w:sz w:val="24"/>
        </w:rPr>
        <w:t>%；本课程共有三个课程目标，考核方式及成绩比例分别为：</w:t>
      </w:r>
    </w:p>
    <w:p w14:paraId="6A3479DB"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课程目标1：课堂表现5%</w:t>
      </w:r>
      <w:r w:rsidRPr="00D554C2">
        <w:rPr>
          <w:rFonts w:ascii="宋体" w:eastAsia="宋体" w:hAnsi="宋体" w:cs="Times New Roman"/>
          <w:sz w:val="24"/>
        </w:rPr>
        <w:t>+</w:t>
      </w:r>
      <w:r w:rsidRPr="00D554C2">
        <w:rPr>
          <w:rFonts w:ascii="宋体" w:eastAsia="宋体" w:hAnsi="宋体" w:cs="Times New Roman" w:hint="eastAsia"/>
          <w:sz w:val="24"/>
        </w:rPr>
        <w:t>阶段测试10%</w:t>
      </w:r>
      <w:r w:rsidRPr="00D554C2">
        <w:rPr>
          <w:rFonts w:ascii="宋体" w:eastAsia="宋体" w:hAnsi="宋体" w:cs="Times New Roman"/>
          <w:sz w:val="24"/>
        </w:rPr>
        <w:t>+</w:t>
      </w:r>
      <w:r w:rsidRPr="00D554C2">
        <w:rPr>
          <w:rFonts w:ascii="宋体" w:eastAsia="宋体" w:hAnsi="宋体" w:cs="Times New Roman" w:hint="eastAsia"/>
          <w:sz w:val="24"/>
        </w:rPr>
        <w:t>期末考试20%</w:t>
      </w:r>
    </w:p>
    <w:p w14:paraId="7A33B453"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课程目标2：课堂表现10%</w:t>
      </w:r>
      <w:r w:rsidRPr="00D554C2">
        <w:rPr>
          <w:rFonts w:ascii="宋体" w:eastAsia="宋体" w:hAnsi="宋体" w:cs="Times New Roman"/>
          <w:sz w:val="24"/>
        </w:rPr>
        <w:t>+</w:t>
      </w:r>
      <w:r w:rsidRPr="00D554C2">
        <w:rPr>
          <w:rFonts w:ascii="宋体" w:eastAsia="宋体" w:hAnsi="宋体" w:cs="Times New Roman" w:hint="eastAsia"/>
          <w:sz w:val="24"/>
        </w:rPr>
        <w:t>阶段测试10%</w:t>
      </w:r>
      <w:r w:rsidRPr="00D554C2">
        <w:rPr>
          <w:rFonts w:ascii="宋体" w:eastAsia="宋体" w:hAnsi="宋体" w:cs="Times New Roman"/>
          <w:sz w:val="24"/>
        </w:rPr>
        <w:t>+</w:t>
      </w:r>
      <w:r w:rsidRPr="00D554C2">
        <w:rPr>
          <w:rFonts w:ascii="宋体" w:eastAsia="宋体" w:hAnsi="宋体" w:cs="Times New Roman" w:hint="eastAsia"/>
          <w:sz w:val="24"/>
        </w:rPr>
        <w:t>期末考试20%</w:t>
      </w:r>
    </w:p>
    <w:p w14:paraId="2C99D854"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课程目标3：课堂表现5%</w:t>
      </w:r>
      <w:r w:rsidRPr="00D554C2">
        <w:rPr>
          <w:rFonts w:ascii="宋体" w:eastAsia="宋体" w:hAnsi="宋体" w:cs="Times New Roman"/>
          <w:sz w:val="24"/>
        </w:rPr>
        <w:t>+</w:t>
      </w:r>
      <w:r w:rsidRPr="00D554C2">
        <w:rPr>
          <w:rFonts w:ascii="宋体" w:eastAsia="宋体" w:hAnsi="宋体" w:cs="Times New Roman" w:hint="eastAsia"/>
          <w:sz w:val="24"/>
        </w:rPr>
        <w:t>阶段测试10%</w:t>
      </w:r>
      <w:r w:rsidRPr="00D554C2">
        <w:rPr>
          <w:rFonts w:ascii="宋体" w:eastAsia="宋体" w:hAnsi="宋体" w:cs="Times New Roman"/>
          <w:sz w:val="24"/>
        </w:rPr>
        <w:t>+</w:t>
      </w:r>
      <w:r w:rsidRPr="00D554C2">
        <w:rPr>
          <w:rFonts w:ascii="宋体" w:eastAsia="宋体" w:hAnsi="宋体" w:cs="Times New Roman" w:hint="eastAsia"/>
          <w:sz w:val="24"/>
        </w:rPr>
        <w:t>期末考试10%如下表：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D554C2" w:rsidRPr="00D554C2" w14:paraId="0E87E0A0" w14:textId="77777777" w:rsidTr="009B4CAE">
        <w:trPr>
          <w:trHeight w:val="540"/>
          <w:jc w:val="center"/>
        </w:trPr>
        <w:tc>
          <w:tcPr>
            <w:tcW w:w="1422" w:type="dxa"/>
            <w:vMerge w:val="restart"/>
            <w:vAlign w:val="center"/>
          </w:tcPr>
          <w:p w14:paraId="250CD1E1"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课程目标</w:t>
            </w:r>
          </w:p>
        </w:tc>
        <w:tc>
          <w:tcPr>
            <w:tcW w:w="6271" w:type="dxa"/>
            <w:gridSpan w:val="4"/>
            <w:vAlign w:val="center"/>
          </w:tcPr>
          <w:p w14:paraId="77DC6386"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考核方式及成绩比例（%）</w:t>
            </w:r>
          </w:p>
        </w:tc>
        <w:tc>
          <w:tcPr>
            <w:tcW w:w="1559" w:type="dxa"/>
            <w:vMerge w:val="restart"/>
            <w:vAlign w:val="center"/>
          </w:tcPr>
          <w:p w14:paraId="5CE3141F"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合计</w:t>
            </w:r>
          </w:p>
        </w:tc>
      </w:tr>
      <w:tr w:rsidR="00D554C2" w:rsidRPr="00D554C2" w14:paraId="2D68583E" w14:textId="77777777" w:rsidTr="009B4CAE">
        <w:trPr>
          <w:trHeight w:val="578"/>
          <w:jc w:val="center"/>
        </w:trPr>
        <w:tc>
          <w:tcPr>
            <w:tcW w:w="1422" w:type="dxa"/>
            <w:vMerge/>
            <w:vAlign w:val="center"/>
          </w:tcPr>
          <w:p w14:paraId="0DC11B2B" w14:textId="77777777" w:rsidR="00D554C2" w:rsidRPr="00D554C2" w:rsidRDefault="00D554C2" w:rsidP="00D554C2">
            <w:pPr>
              <w:spacing w:line="440" w:lineRule="exact"/>
              <w:rPr>
                <w:rFonts w:ascii="宋体" w:eastAsia="宋体" w:hAnsi="宋体" w:cs="Times New Roman"/>
                <w:b/>
                <w:sz w:val="24"/>
              </w:rPr>
            </w:pPr>
          </w:p>
        </w:tc>
        <w:tc>
          <w:tcPr>
            <w:tcW w:w="1452" w:type="dxa"/>
            <w:vAlign w:val="center"/>
          </w:tcPr>
          <w:p w14:paraId="443BE736"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课堂表现</w:t>
            </w:r>
          </w:p>
        </w:tc>
        <w:tc>
          <w:tcPr>
            <w:tcW w:w="1559" w:type="dxa"/>
            <w:vAlign w:val="center"/>
          </w:tcPr>
          <w:p w14:paraId="4921CAFF"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阶段测试</w:t>
            </w:r>
          </w:p>
        </w:tc>
        <w:tc>
          <w:tcPr>
            <w:tcW w:w="1701" w:type="dxa"/>
            <w:vAlign w:val="center"/>
          </w:tcPr>
          <w:p w14:paraId="3075844F"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课程论文</w:t>
            </w:r>
          </w:p>
        </w:tc>
        <w:tc>
          <w:tcPr>
            <w:tcW w:w="1559" w:type="dxa"/>
            <w:vAlign w:val="center"/>
          </w:tcPr>
          <w:p w14:paraId="2761A537" w14:textId="77777777" w:rsidR="00D554C2" w:rsidRPr="00D554C2" w:rsidRDefault="00D554C2" w:rsidP="00D554C2">
            <w:pPr>
              <w:spacing w:line="440" w:lineRule="exact"/>
              <w:rPr>
                <w:rFonts w:ascii="宋体" w:eastAsia="宋体" w:hAnsi="宋体" w:cs="Times New Roman"/>
                <w:b/>
                <w:sz w:val="24"/>
              </w:rPr>
            </w:pPr>
            <w:r w:rsidRPr="00D554C2">
              <w:rPr>
                <w:rFonts w:ascii="宋体" w:eastAsia="宋体" w:hAnsi="宋体" w:cs="Times New Roman" w:hint="eastAsia"/>
                <w:b/>
                <w:sz w:val="24"/>
              </w:rPr>
              <w:t>期末考试</w:t>
            </w:r>
          </w:p>
        </w:tc>
        <w:tc>
          <w:tcPr>
            <w:tcW w:w="1559" w:type="dxa"/>
            <w:vMerge/>
          </w:tcPr>
          <w:p w14:paraId="680BF2A3" w14:textId="77777777" w:rsidR="00D554C2" w:rsidRPr="00D554C2" w:rsidRDefault="00D554C2" w:rsidP="00D554C2">
            <w:pPr>
              <w:spacing w:line="440" w:lineRule="exact"/>
              <w:rPr>
                <w:rFonts w:ascii="宋体" w:eastAsia="宋体" w:hAnsi="宋体" w:cs="Times New Roman"/>
                <w:b/>
                <w:sz w:val="24"/>
              </w:rPr>
            </w:pPr>
          </w:p>
        </w:tc>
      </w:tr>
      <w:tr w:rsidR="00D554C2" w:rsidRPr="00D554C2" w14:paraId="3532A01F" w14:textId="77777777" w:rsidTr="009B4CAE">
        <w:trPr>
          <w:jc w:val="center"/>
        </w:trPr>
        <w:tc>
          <w:tcPr>
            <w:tcW w:w="1422" w:type="dxa"/>
            <w:vAlign w:val="center"/>
          </w:tcPr>
          <w:p w14:paraId="170E1420"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lastRenderedPageBreak/>
              <w:t>课程目标1</w:t>
            </w:r>
          </w:p>
        </w:tc>
        <w:tc>
          <w:tcPr>
            <w:tcW w:w="1452" w:type="dxa"/>
            <w:vAlign w:val="center"/>
          </w:tcPr>
          <w:p w14:paraId="1226BBB0"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5</w:t>
            </w:r>
          </w:p>
        </w:tc>
        <w:tc>
          <w:tcPr>
            <w:tcW w:w="1559" w:type="dxa"/>
            <w:vAlign w:val="center"/>
          </w:tcPr>
          <w:p w14:paraId="72FAFAEB"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10</w:t>
            </w:r>
          </w:p>
        </w:tc>
        <w:tc>
          <w:tcPr>
            <w:tcW w:w="1701" w:type="dxa"/>
            <w:vAlign w:val="center"/>
          </w:tcPr>
          <w:p w14:paraId="2178FB1D" w14:textId="77777777" w:rsidR="00D554C2" w:rsidRPr="00D554C2" w:rsidRDefault="00D554C2" w:rsidP="00D554C2">
            <w:pPr>
              <w:spacing w:line="440" w:lineRule="exact"/>
              <w:rPr>
                <w:rFonts w:ascii="宋体" w:eastAsia="宋体" w:hAnsi="宋体" w:cs="Times New Roman"/>
                <w:bCs/>
                <w:sz w:val="24"/>
              </w:rPr>
            </w:pPr>
          </w:p>
        </w:tc>
        <w:tc>
          <w:tcPr>
            <w:tcW w:w="1559" w:type="dxa"/>
            <w:vAlign w:val="center"/>
          </w:tcPr>
          <w:p w14:paraId="3946572F"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20</w:t>
            </w:r>
          </w:p>
        </w:tc>
        <w:tc>
          <w:tcPr>
            <w:tcW w:w="1559" w:type="dxa"/>
          </w:tcPr>
          <w:p w14:paraId="5A8B8322"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35</w:t>
            </w:r>
          </w:p>
        </w:tc>
      </w:tr>
      <w:tr w:rsidR="00D554C2" w:rsidRPr="00D554C2" w14:paraId="00491745" w14:textId="77777777" w:rsidTr="009B4CAE">
        <w:trPr>
          <w:jc w:val="center"/>
        </w:trPr>
        <w:tc>
          <w:tcPr>
            <w:tcW w:w="1422" w:type="dxa"/>
            <w:vAlign w:val="center"/>
          </w:tcPr>
          <w:p w14:paraId="723586E5"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课程目标2</w:t>
            </w:r>
          </w:p>
        </w:tc>
        <w:tc>
          <w:tcPr>
            <w:tcW w:w="1452" w:type="dxa"/>
            <w:vAlign w:val="center"/>
          </w:tcPr>
          <w:p w14:paraId="0A8503E5"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10</w:t>
            </w:r>
          </w:p>
        </w:tc>
        <w:tc>
          <w:tcPr>
            <w:tcW w:w="1559" w:type="dxa"/>
            <w:vAlign w:val="center"/>
          </w:tcPr>
          <w:p w14:paraId="2BF30FAE"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10</w:t>
            </w:r>
          </w:p>
        </w:tc>
        <w:tc>
          <w:tcPr>
            <w:tcW w:w="1701" w:type="dxa"/>
            <w:vAlign w:val="center"/>
          </w:tcPr>
          <w:p w14:paraId="26AD557D" w14:textId="77777777" w:rsidR="00D554C2" w:rsidRPr="00D554C2" w:rsidRDefault="00D554C2" w:rsidP="00D554C2">
            <w:pPr>
              <w:spacing w:line="440" w:lineRule="exact"/>
              <w:rPr>
                <w:rFonts w:ascii="宋体" w:eastAsia="宋体" w:hAnsi="宋体" w:cs="Times New Roman"/>
                <w:bCs/>
                <w:sz w:val="24"/>
              </w:rPr>
            </w:pPr>
          </w:p>
        </w:tc>
        <w:tc>
          <w:tcPr>
            <w:tcW w:w="1559" w:type="dxa"/>
            <w:vAlign w:val="center"/>
          </w:tcPr>
          <w:p w14:paraId="62B556A1"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20</w:t>
            </w:r>
          </w:p>
        </w:tc>
        <w:tc>
          <w:tcPr>
            <w:tcW w:w="1559" w:type="dxa"/>
          </w:tcPr>
          <w:p w14:paraId="61C93D7F"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40</w:t>
            </w:r>
          </w:p>
        </w:tc>
      </w:tr>
      <w:tr w:rsidR="00D554C2" w:rsidRPr="00D554C2" w14:paraId="5F28665B" w14:textId="77777777" w:rsidTr="009B4CAE">
        <w:trPr>
          <w:jc w:val="center"/>
        </w:trPr>
        <w:tc>
          <w:tcPr>
            <w:tcW w:w="1422" w:type="dxa"/>
            <w:vAlign w:val="center"/>
          </w:tcPr>
          <w:p w14:paraId="0F0E5549"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课程目标3</w:t>
            </w:r>
          </w:p>
        </w:tc>
        <w:tc>
          <w:tcPr>
            <w:tcW w:w="1452" w:type="dxa"/>
            <w:vAlign w:val="center"/>
          </w:tcPr>
          <w:p w14:paraId="33EA933C"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5</w:t>
            </w:r>
          </w:p>
        </w:tc>
        <w:tc>
          <w:tcPr>
            <w:tcW w:w="1559" w:type="dxa"/>
            <w:vAlign w:val="center"/>
          </w:tcPr>
          <w:p w14:paraId="491F321B"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10</w:t>
            </w:r>
          </w:p>
        </w:tc>
        <w:tc>
          <w:tcPr>
            <w:tcW w:w="1701" w:type="dxa"/>
            <w:vAlign w:val="center"/>
          </w:tcPr>
          <w:p w14:paraId="4CD20289" w14:textId="77777777" w:rsidR="00D554C2" w:rsidRPr="00D554C2" w:rsidRDefault="00D554C2" w:rsidP="00D554C2">
            <w:pPr>
              <w:spacing w:line="440" w:lineRule="exact"/>
              <w:rPr>
                <w:rFonts w:ascii="宋体" w:eastAsia="宋体" w:hAnsi="宋体" w:cs="Times New Roman"/>
                <w:bCs/>
                <w:sz w:val="24"/>
              </w:rPr>
            </w:pPr>
          </w:p>
        </w:tc>
        <w:tc>
          <w:tcPr>
            <w:tcW w:w="1559" w:type="dxa"/>
            <w:vAlign w:val="center"/>
          </w:tcPr>
          <w:p w14:paraId="2FB81B9C"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10</w:t>
            </w:r>
          </w:p>
        </w:tc>
        <w:tc>
          <w:tcPr>
            <w:tcW w:w="1559" w:type="dxa"/>
          </w:tcPr>
          <w:p w14:paraId="45080158"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25</w:t>
            </w:r>
          </w:p>
        </w:tc>
      </w:tr>
      <w:tr w:rsidR="00D554C2" w:rsidRPr="00D554C2" w14:paraId="6C1C6FD8" w14:textId="77777777" w:rsidTr="009B4CAE">
        <w:trPr>
          <w:jc w:val="center"/>
        </w:trPr>
        <w:tc>
          <w:tcPr>
            <w:tcW w:w="1422" w:type="dxa"/>
            <w:vAlign w:val="center"/>
          </w:tcPr>
          <w:p w14:paraId="2BEBA5A6"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合计</w:t>
            </w:r>
          </w:p>
        </w:tc>
        <w:tc>
          <w:tcPr>
            <w:tcW w:w="1452" w:type="dxa"/>
            <w:vAlign w:val="center"/>
          </w:tcPr>
          <w:p w14:paraId="0A3E9D10"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20</w:t>
            </w:r>
          </w:p>
        </w:tc>
        <w:tc>
          <w:tcPr>
            <w:tcW w:w="1559" w:type="dxa"/>
            <w:vAlign w:val="center"/>
          </w:tcPr>
          <w:p w14:paraId="1F1C146E"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30</w:t>
            </w:r>
          </w:p>
        </w:tc>
        <w:tc>
          <w:tcPr>
            <w:tcW w:w="1701" w:type="dxa"/>
            <w:vAlign w:val="center"/>
          </w:tcPr>
          <w:p w14:paraId="13487A7C" w14:textId="77777777" w:rsidR="00D554C2" w:rsidRPr="00D554C2" w:rsidRDefault="00D554C2" w:rsidP="00D554C2">
            <w:pPr>
              <w:spacing w:line="440" w:lineRule="exact"/>
              <w:rPr>
                <w:rFonts w:ascii="宋体" w:eastAsia="宋体" w:hAnsi="宋体" w:cs="Times New Roman"/>
                <w:bCs/>
                <w:sz w:val="24"/>
              </w:rPr>
            </w:pPr>
          </w:p>
        </w:tc>
        <w:tc>
          <w:tcPr>
            <w:tcW w:w="1559" w:type="dxa"/>
            <w:vAlign w:val="center"/>
          </w:tcPr>
          <w:p w14:paraId="5E8F9533"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50</w:t>
            </w:r>
          </w:p>
        </w:tc>
        <w:tc>
          <w:tcPr>
            <w:tcW w:w="1559" w:type="dxa"/>
          </w:tcPr>
          <w:p w14:paraId="455BC189" w14:textId="77777777" w:rsidR="00D554C2" w:rsidRPr="00D554C2" w:rsidRDefault="00D554C2" w:rsidP="00D554C2">
            <w:pPr>
              <w:spacing w:line="440" w:lineRule="exact"/>
              <w:rPr>
                <w:rFonts w:ascii="宋体" w:eastAsia="宋体" w:hAnsi="宋体" w:cs="Times New Roman"/>
                <w:bCs/>
                <w:sz w:val="24"/>
              </w:rPr>
            </w:pPr>
            <w:r w:rsidRPr="00D554C2">
              <w:rPr>
                <w:rFonts w:ascii="宋体" w:eastAsia="宋体" w:hAnsi="宋体" w:cs="Times New Roman" w:hint="eastAsia"/>
                <w:bCs/>
                <w:sz w:val="24"/>
              </w:rPr>
              <w:t>1</w:t>
            </w:r>
            <w:r w:rsidRPr="00D554C2">
              <w:rPr>
                <w:rFonts w:ascii="宋体" w:eastAsia="宋体" w:hAnsi="宋体" w:cs="Times New Roman"/>
                <w:bCs/>
                <w:sz w:val="24"/>
              </w:rPr>
              <w:t>00</w:t>
            </w:r>
          </w:p>
        </w:tc>
      </w:tr>
    </w:tbl>
    <w:p w14:paraId="19FBB1D3" w14:textId="77777777" w:rsidR="00D554C2" w:rsidRPr="00D554C2" w:rsidRDefault="00D554C2" w:rsidP="00D554C2">
      <w:pPr>
        <w:spacing w:line="440" w:lineRule="exact"/>
        <w:rPr>
          <w:rFonts w:ascii="宋体" w:eastAsia="宋体" w:hAnsi="宋体" w:cs="Times New Roman"/>
          <w:sz w:val="24"/>
        </w:rPr>
      </w:pPr>
    </w:p>
    <w:p w14:paraId="67E1A4F8" w14:textId="77777777" w:rsidR="00D554C2" w:rsidRPr="00D554C2" w:rsidRDefault="00D554C2" w:rsidP="00C63ECC">
      <w:pPr>
        <w:pStyle w:val="afc"/>
      </w:pPr>
      <w:bookmarkStart w:id="70" w:name="_Toc15792"/>
      <w:r w:rsidRPr="00D554C2">
        <w:rPr>
          <w:rFonts w:hint="eastAsia"/>
        </w:rPr>
        <w:t>五、成绩评定</w:t>
      </w:r>
      <w:bookmarkEnd w:id="70"/>
    </w:p>
    <w:p w14:paraId="5682BC92"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（一）总成绩评定</w:t>
      </w:r>
    </w:p>
    <w:p w14:paraId="70891E41"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总成绩=平时成绩×20%+期中成绩×30%+期末成绩×50%</w:t>
      </w:r>
    </w:p>
    <w:p w14:paraId="575A8F0F"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备注：每学期总成绩</w:t>
      </w:r>
    </w:p>
    <w:p w14:paraId="482F1E92" w14:textId="77777777" w:rsidR="00D554C2" w:rsidRPr="00D554C2" w:rsidRDefault="00D554C2" w:rsidP="00D554C2">
      <w:pPr>
        <w:spacing w:beforeLines="50" w:before="156" w:afterLines="50" w:after="156" w:line="440" w:lineRule="exact"/>
        <w:ind w:firstLineChars="200" w:firstLine="560"/>
        <w:rPr>
          <w:rFonts w:ascii="宋体" w:eastAsia="宋体" w:hAnsi="宋体" w:cs="Times New Roman"/>
          <w:color w:val="FF0000"/>
          <w:sz w:val="24"/>
        </w:rPr>
      </w:pPr>
      <w:r w:rsidRPr="00D554C2">
        <w:rPr>
          <w:rFonts w:ascii="黑体" w:eastAsia="黑体" w:hAnsi="黑体" w:cs="Times New Roman" w:hint="eastAsia"/>
          <w:sz w:val="28"/>
          <w:szCs w:val="28"/>
        </w:rPr>
        <w:t>（二）平时成绩评定</w:t>
      </w:r>
    </w:p>
    <w:p w14:paraId="52B4A500"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（1）课堂表现：通过学生在课堂上的表现情况、发言与主体参与和练习情况，来评价学生相关的能力。</w:t>
      </w:r>
    </w:p>
    <w:p w14:paraId="772AC24B"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（2）作业完成情况：围绕课程的学习目标进行作业的设计。如让学生简述对知识的认识，建议</w:t>
      </w:r>
      <w:proofErr w:type="gramStart"/>
      <w:r w:rsidRPr="00D554C2">
        <w:rPr>
          <w:rFonts w:ascii="宋体" w:eastAsia="宋体" w:hAnsi="宋体" w:cs="Times New Roman" w:hint="eastAsia"/>
          <w:sz w:val="24"/>
        </w:rPr>
        <w:t>带准备</w:t>
      </w:r>
      <w:proofErr w:type="gramEnd"/>
      <w:r w:rsidRPr="00D554C2">
        <w:rPr>
          <w:rFonts w:ascii="宋体" w:eastAsia="宋体" w:hAnsi="宋体" w:cs="Times New Roman" w:hint="eastAsia"/>
          <w:sz w:val="24"/>
        </w:rPr>
        <w:t>部分和基本部分中的复习内容，帮助学生将定义转化为自己的理解。学生在小组合作学习中测验掌握课程的情况</w:t>
      </w:r>
    </w:p>
    <w:p w14:paraId="3E6CBA85" w14:textId="77777777" w:rsidR="00D554C2" w:rsidRPr="00D554C2" w:rsidRDefault="00D554C2" w:rsidP="00D554C2">
      <w:pPr>
        <w:spacing w:line="440" w:lineRule="exact"/>
        <w:ind w:firstLineChars="200" w:firstLine="480"/>
        <w:rPr>
          <w:rFonts w:ascii="宋体" w:eastAsia="宋体" w:hAnsi="宋体" w:cs="Times New Roman"/>
          <w:color w:val="FF0000"/>
          <w:sz w:val="24"/>
        </w:rPr>
      </w:pPr>
      <w:r w:rsidRPr="00D554C2">
        <w:rPr>
          <w:rFonts w:ascii="宋体" w:eastAsia="宋体" w:hAnsi="宋体" w:cs="Times New Roman" w:hint="eastAsia"/>
          <w:sz w:val="24"/>
        </w:rPr>
        <w:t>（3）课堂考勤：留存辅导员开具的事假条、校医院开具的病假条。缺课达到本学期三分之一课时，按照考试无资格处理。</w:t>
      </w:r>
    </w:p>
    <w:p w14:paraId="6C3C6325"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（三）期中、期末成绩评定</w:t>
      </w:r>
    </w:p>
    <w:p w14:paraId="63B472AF"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第一学期</w:t>
      </w:r>
    </w:p>
    <w:p w14:paraId="1CA08150" w14:textId="77777777" w:rsidR="00D554C2" w:rsidRPr="00D554C2" w:rsidRDefault="00D554C2" w:rsidP="00D554C2">
      <w:pPr>
        <w:adjustRightInd w:val="0"/>
        <w:snapToGrid w:val="0"/>
        <w:spacing w:line="500" w:lineRule="exact"/>
        <w:jc w:val="center"/>
        <w:rPr>
          <w:rFonts w:ascii="宋体" w:eastAsia="宋体" w:hAnsi="Calibri" w:cs="Times New Roman"/>
          <w:b/>
          <w:bCs/>
          <w:kern w:val="0"/>
          <w:sz w:val="24"/>
        </w:rPr>
      </w:pPr>
      <w:r w:rsidRPr="00D554C2">
        <w:rPr>
          <w:rFonts w:ascii="宋体" w:eastAsia="宋体" w:hAnsi="Calibri" w:cs="Times New Roman" w:hint="eastAsia"/>
          <w:b/>
          <w:bCs/>
          <w:kern w:val="0"/>
          <w:sz w:val="24"/>
        </w:rPr>
        <w:t>期中考试</w:t>
      </w:r>
    </w:p>
    <w:p w14:paraId="548D9674" w14:textId="77777777" w:rsidR="00D554C2" w:rsidRPr="00D554C2" w:rsidRDefault="00D554C2" w:rsidP="00D554C2">
      <w:pPr>
        <w:adjustRightInd w:val="0"/>
        <w:snapToGrid w:val="0"/>
        <w:spacing w:line="500" w:lineRule="exact"/>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通过考核检验体能训练教学效果和学生掌握情况，让学生了解体质健康标准测验的重要性。</w:t>
      </w:r>
    </w:p>
    <w:p w14:paraId="56D1C96A"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r w:rsidRPr="00D554C2">
        <w:rPr>
          <w:rFonts w:ascii="宋体" w:eastAsia="宋体" w:hAnsi="Calibri" w:cs="Times New Roman" w:hint="eastAsia"/>
          <w:b/>
          <w:kern w:val="0"/>
          <w:sz w:val="24"/>
        </w:rPr>
        <w:t>2.课程考核的内容：</w:t>
      </w:r>
      <w:r w:rsidRPr="00D554C2">
        <w:rPr>
          <w:rFonts w:ascii="宋体" w:eastAsia="宋体" w:hAnsi="Calibri" w:cs="Times New Roman" w:hint="eastAsia"/>
          <w:bCs/>
          <w:kern w:val="0"/>
          <w:sz w:val="24"/>
        </w:rPr>
        <w:t>立定跳远。</w:t>
      </w:r>
    </w:p>
    <w:p w14:paraId="4928C937"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r w:rsidRPr="00D554C2">
        <w:rPr>
          <w:rFonts w:ascii="宋体" w:eastAsia="宋体" w:hAnsi="Calibri" w:cs="Times New Roman" w:hint="eastAsia"/>
          <w:b/>
          <w:kern w:val="0"/>
          <w:sz w:val="24"/>
        </w:rPr>
        <w:t>3.课程考核方式：</w:t>
      </w:r>
      <w:r w:rsidRPr="00D554C2">
        <w:rPr>
          <w:rFonts w:ascii="宋体" w:eastAsia="宋体" w:hAnsi="Calibri" w:cs="Times New Roman" w:hint="eastAsia"/>
          <w:bCs/>
          <w:kern w:val="0"/>
          <w:sz w:val="24"/>
        </w:rPr>
        <w:t>沙坑场地，每人跳两次，取最好成绩。</w:t>
      </w:r>
    </w:p>
    <w:p w14:paraId="3CBC176D"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r w:rsidRPr="00D554C2">
        <w:rPr>
          <w:rFonts w:ascii="宋体" w:eastAsia="宋体" w:hAnsi="Calibri" w:cs="Times New Roman" w:hint="eastAsia"/>
          <w:b/>
          <w:kern w:val="0"/>
          <w:sz w:val="24"/>
        </w:rPr>
        <w:t>4.成绩构成及分值：</w:t>
      </w:r>
      <w:r w:rsidRPr="00D554C2">
        <w:rPr>
          <w:rFonts w:ascii="宋体" w:eastAsia="宋体" w:hAnsi="Calibri" w:cs="Times New Roman" w:hint="eastAsia"/>
          <w:bCs/>
          <w:kern w:val="0"/>
          <w:sz w:val="24"/>
        </w:rPr>
        <w:t>数量及技术评定分值各为100分，各占总分值的20%，</w:t>
      </w:r>
    </w:p>
    <w:p w14:paraId="16DB7F46"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r w:rsidRPr="00D554C2">
        <w:rPr>
          <w:rFonts w:ascii="宋体" w:eastAsia="宋体" w:hAnsi="Calibri" w:cs="Times New Roman" w:hint="eastAsia"/>
          <w:bCs/>
          <w:kern w:val="0"/>
          <w:sz w:val="24"/>
        </w:rPr>
        <w:t>总分值为100分。</w:t>
      </w:r>
    </w:p>
    <w:p w14:paraId="7DAE6FA0" w14:textId="77777777" w:rsidR="00D554C2" w:rsidRPr="00D554C2" w:rsidRDefault="00D554C2" w:rsidP="00D554C2">
      <w:pPr>
        <w:adjustRightInd w:val="0"/>
        <w:snapToGrid w:val="0"/>
        <w:spacing w:line="500" w:lineRule="exact"/>
        <w:jc w:val="left"/>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p w14:paraId="27FD4D1B"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p w14:paraId="3B83C193"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p w14:paraId="48A60A28"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p w14:paraId="24E06DA2"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D554C2" w:rsidRPr="00D554C2" w14:paraId="12BA549A" w14:textId="77777777" w:rsidTr="009B4CAE">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0DAB62B"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718B730C"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DC994FD"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大</w:t>
            </w:r>
            <w:proofErr w:type="gramStart"/>
            <w:r w:rsidRPr="00D554C2">
              <w:rPr>
                <w:rFonts w:ascii="宋体" w:eastAsia="宋体" w:hAnsi="宋体" w:cs="宋体" w:hint="eastAsia"/>
                <w:b/>
                <w:kern w:val="0"/>
                <w:sz w:val="24"/>
                <w:lang w:bidi="ar"/>
              </w:rPr>
              <w:t>一</w:t>
            </w:r>
            <w:proofErr w:type="gramEnd"/>
            <w:r w:rsidRPr="00D554C2">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09656AAE"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大</w:t>
            </w:r>
            <w:proofErr w:type="gramStart"/>
            <w:r w:rsidRPr="00D554C2">
              <w:rPr>
                <w:rFonts w:ascii="宋体" w:eastAsia="宋体" w:hAnsi="宋体" w:cs="宋体" w:hint="eastAsia"/>
                <w:b/>
                <w:kern w:val="0"/>
                <w:sz w:val="24"/>
                <w:lang w:bidi="ar"/>
              </w:rPr>
              <w:t>一</w:t>
            </w:r>
            <w:proofErr w:type="gramEnd"/>
            <w:r w:rsidRPr="00D554C2">
              <w:rPr>
                <w:rFonts w:ascii="宋体" w:eastAsia="宋体" w:hAnsi="宋体" w:cs="宋体" w:hint="eastAsia"/>
                <w:b/>
                <w:kern w:val="0"/>
                <w:sz w:val="24"/>
                <w:lang w:bidi="ar"/>
              </w:rPr>
              <w:t>女生</w:t>
            </w:r>
          </w:p>
        </w:tc>
      </w:tr>
      <w:tr w:rsidR="00D554C2" w:rsidRPr="00D554C2" w14:paraId="10560E38" w14:textId="77777777" w:rsidTr="009B4CAE">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14C650D"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ACD53AD"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720FF746" w14:textId="77777777" w:rsidR="00D554C2" w:rsidRPr="00D554C2" w:rsidRDefault="00D554C2" w:rsidP="00D554C2">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698E3A0E" w14:textId="77777777" w:rsidR="00D554C2" w:rsidRPr="00D554C2" w:rsidRDefault="00D554C2" w:rsidP="00D554C2">
            <w:pPr>
              <w:jc w:val="center"/>
              <w:rPr>
                <w:rFonts w:ascii="宋体" w:eastAsia="宋体" w:hAnsi="宋体" w:cs="宋体"/>
                <w:b/>
                <w:sz w:val="24"/>
              </w:rPr>
            </w:pPr>
          </w:p>
        </w:tc>
      </w:tr>
      <w:tr w:rsidR="00D554C2" w:rsidRPr="00D554C2" w14:paraId="403AF8D0" w14:textId="77777777" w:rsidTr="009B4CAE">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06C39BB"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62EFAE65"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20025560"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149200F2"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207</w:t>
            </w:r>
          </w:p>
        </w:tc>
      </w:tr>
      <w:tr w:rsidR="00D554C2" w:rsidRPr="00D554C2" w14:paraId="0B2F63F5"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168268B"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39B7A51"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7EB02467"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46717F59"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201</w:t>
            </w:r>
          </w:p>
        </w:tc>
      </w:tr>
      <w:tr w:rsidR="00D554C2" w:rsidRPr="00D554C2" w14:paraId="06A2CFC9"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41A73B0"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5D4FDED"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71E68E2"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4AA5C47"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195</w:t>
            </w:r>
          </w:p>
        </w:tc>
      </w:tr>
      <w:tr w:rsidR="00D554C2" w:rsidRPr="00D554C2" w14:paraId="020D0D6A" w14:textId="77777777" w:rsidTr="009B4CAE">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F0A0A24"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2F33E2CB"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749045CF"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5DD2FBA7"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188</w:t>
            </w:r>
          </w:p>
        </w:tc>
      </w:tr>
      <w:tr w:rsidR="00D554C2" w:rsidRPr="00D554C2" w14:paraId="3A747369"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9C84385"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2D31F03"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8596A78"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9562FCC"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181</w:t>
            </w:r>
          </w:p>
        </w:tc>
      </w:tr>
      <w:tr w:rsidR="00D554C2" w:rsidRPr="00D554C2" w14:paraId="7715B060" w14:textId="77777777" w:rsidTr="009B4CAE">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07C55DE"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5CF6ED81"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08024F20"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5BA22942"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178</w:t>
            </w:r>
          </w:p>
        </w:tc>
      </w:tr>
      <w:tr w:rsidR="00D554C2" w:rsidRPr="00D554C2" w14:paraId="6E9CCAC2"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61C4631"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5BD8E41"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64074640"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061F0202"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175</w:t>
            </w:r>
          </w:p>
        </w:tc>
      </w:tr>
      <w:tr w:rsidR="00D554C2" w:rsidRPr="00D554C2" w14:paraId="241E99AC"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01B71FC"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7F08D9E"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32759B4D"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4D39596"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172</w:t>
            </w:r>
          </w:p>
        </w:tc>
      </w:tr>
      <w:tr w:rsidR="00D554C2" w:rsidRPr="00D554C2" w14:paraId="2A3BC252"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4FA30D4"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D300A95"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4712E09A"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3A3F520E"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169</w:t>
            </w:r>
          </w:p>
        </w:tc>
      </w:tr>
      <w:tr w:rsidR="00D554C2" w:rsidRPr="00D554C2" w14:paraId="4840B9AE"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19A9875"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2D7A416"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15BEA2D5"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4D7979C1"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166</w:t>
            </w:r>
          </w:p>
        </w:tc>
      </w:tr>
      <w:tr w:rsidR="00D554C2" w:rsidRPr="00D554C2" w14:paraId="01A1C77D"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6201682"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80C724F"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208A2EEC"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7036CEA0"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163</w:t>
            </w:r>
          </w:p>
        </w:tc>
      </w:tr>
      <w:tr w:rsidR="00D554C2" w:rsidRPr="00D554C2" w14:paraId="31D2CC74"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66EC786"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2E9339A"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576D6AAB"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1BA20627"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160</w:t>
            </w:r>
          </w:p>
        </w:tc>
      </w:tr>
      <w:tr w:rsidR="00D554C2" w:rsidRPr="00D554C2" w14:paraId="4D30986D"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EFA4026"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17BF2FB"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6B2566B7"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14E26B07"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157</w:t>
            </w:r>
          </w:p>
        </w:tc>
      </w:tr>
      <w:tr w:rsidR="00D554C2" w:rsidRPr="00D554C2" w14:paraId="7F65D8F0"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C545FDE"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BEEB26C"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7F3FACDA"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48D71C4F"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154</w:t>
            </w:r>
          </w:p>
        </w:tc>
      </w:tr>
      <w:tr w:rsidR="00D554C2" w:rsidRPr="00D554C2" w14:paraId="018FC9D0"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1407204"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062BCA0"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6EB104F"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2DD5EF0"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151</w:t>
            </w:r>
          </w:p>
        </w:tc>
      </w:tr>
      <w:tr w:rsidR="00D554C2" w:rsidRPr="00D554C2" w14:paraId="7DB6AA1D" w14:textId="77777777" w:rsidTr="009B4CAE">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43DD745"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5378225A"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42CAB32D"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75489CDC"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146</w:t>
            </w:r>
          </w:p>
        </w:tc>
      </w:tr>
      <w:tr w:rsidR="00D554C2" w:rsidRPr="00D554C2" w14:paraId="37A13675"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3A92706"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B4B0132"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3779CA35"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564F3496"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141</w:t>
            </w:r>
          </w:p>
        </w:tc>
      </w:tr>
      <w:tr w:rsidR="00D554C2" w:rsidRPr="00D554C2" w14:paraId="0FC7DEFC"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EB309C9"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58B3158"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77F0E830"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700876F1"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136</w:t>
            </w:r>
          </w:p>
        </w:tc>
      </w:tr>
      <w:tr w:rsidR="00D554C2" w:rsidRPr="00D554C2" w14:paraId="653EB645"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1C21E86"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F19BE45"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69A50A66"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7B8CD7C6"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131</w:t>
            </w:r>
          </w:p>
        </w:tc>
      </w:tr>
      <w:tr w:rsidR="00D554C2" w:rsidRPr="00D554C2" w14:paraId="19370825"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1E37246" w14:textId="77777777" w:rsidR="00D554C2" w:rsidRPr="00D554C2" w:rsidRDefault="00D554C2" w:rsidP="00D554C2">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DA3AEE8" w14:textId="77777777" w:rsidR="00D554C2" w:rsidRPr="00D554C2" w:rsidRDefault="00D554C2" w:rsidP="00D554C2">
            <w:pPr>
              <w:widowControl/>
              <w:jc w:val="center"/>
              <w:textAlignment w:val="center"/>
              <w:rPr>
                <w:rFonts w:ascii="宋体" w:eastAsia="宋体" w:hAnsi="宋体" w:cs="宋体"/>
                <w:b/>
                <w:sz w:val="24"/>
              </w:rPr>
            </w:pPr>
            <w:r w:rsidRPr="00D554C2">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0B7A056D"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632EE5E9" w14:textId="77777777" w:rsidR="00D554C2" w:rsidRPr="00D554C2" w:rsidRDefault="00D554C2" w:rsidP="00D554C2">
            <w:pPr>
              <w:widowControl/>
              <w:jc w:val="center"/>
              <w:textAlignment w:val="center"/>
              <w:rPr>
                <w:rFonts w:ascii="宋体" w:eastAsia="宋体" w:hAnsi="宋体" w:cs="宋体"/>
                <w:sz w:val="24"/>
              </w:rPr>
            </w:pPr>
            <w:r w:rsidRPr="00D554C2">
              <w:rPr>
                <w:rFonts w:ascii="宋体" w:eastAsia="宋体" w:hAnsi="宋体" w:cs="宋体" w:hint="eastAsia"/>
                <w:kern w:val="0"/>
                <w:sz w:val="24"/>
                <w:lang w:bidi="ar"/>
              </w:rPr>
              <w:t>126</w:t>
            </w:r>
          </w:p>
        </w:tc>
      </w:tr>
    </w:tbl>
    <w:p w14:paraId="6F402784" w14:textId="77777777" w:rsidR="00D554C2" w:rsidRPr="00D554C2" w:rsidRDefault="00D554C2" w:rsidP="00D554C2">
      <w:pPr>
        <w:adjustRightInd w:val="0"/>
        <w:snapToGrid w:val="0"/>
        <w:spacing w:line="500" w:lineRule="exact"/>
        <w:jc w:val="left"/>
        <w:rPr>
          <w:rFonts w:ascii="宋体" w:eastAsia="宋体" w:hAnsi="Calibri" w:cs="Times New Roman"/>
          <w:bCs/>
          <w:kern w:val="0"/>
          <w:sz w:val="24"/>
        </w:rPr>
      </w:pPr>
    </w:p>
    <w:p w14:paraId="0B38D603" w14:textId="77777777" w:rsidR="00D554C2" w:rsidRPr="00D554C2" w:rsidRDefault="00D554C2" w:rsidP="00D554C2">
      <w:pPr>
        <w:adjustRightInd w:val="0"/>
        <w:snapToGrid w:val="0"/>
        <w:spacing w:line="500" w:lineRule="exact"/>
        <w:jc w:val="center"/>
        <w:rPr>
          <w:rFonts w:ascii="宋体" w:eastAsia="宋体" w:hAnsi="Calibri" w:cs="Times New Roman"/>
          <w:b/>
          <w:bCs/>
          <w:kern w:val="0"/>
          <w:sz w:val="24"/>
        </w:rPr>
      </w:pPr>
      <w:r w:rsidRPr="00D554C2">
        <w:rPr>
          <w:rFonts w:ascii="宋体" w:eastAsia="宋体" w:hAnsi="Calibri" w:cs="Times New Roman" w:hint="eastAsia"/>
          <w:b/>
          <w:bCs/>
          <w:kern w:val="0"/>
          <w:sz w:val="24"/>
        </w:rPr>
        <w:t>期末考试</w:t>
      </w:r>
    </w:p>
    <w:p w14:paraId="1E76E9AA"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通过考核检验啦</w:t>
      </w:r>
      <w:proofErr w:type="gramStart"/>
      <w:r w:rsidRPr="00D554C2">
        <w:rPr>
          <w:rFonts w:ascii="宋体" w:eastAsia="宋体" w:hAnsi="Calibri" w:cs="Times New Roman" w:hint="eastAsia"/>
          <w:bCs/>
          <w:kern w:val="0"/>
          <w:sz w:val="24"/>
        </w:rPr>
        <w:t>啦操教学</w:t>
      </w:r>
      <w:proofErr w:type="gramEnd"/>
      <w:r w:rsidRPr="00D554C2">
        <w:rPr>
          <w:rFonts w:ascii="宋体" w:eastAsia="宋体" w:hAnsi="Calibri" w:cs="Times New Roman" w:hint="eastAsia"/>
          <w:bCs/>
          <w:kern w:val="0"/>
          <w:sz w:val="24"/>
        </w:rPr>
        <w:t>效果和学生掌握情况，让学生了解选项课内容和科学体育锻炼方式方法。</w:t>
      </w:r>
    </w:p>
    <w:p w14:paraId="52EED78D" w14:textId="77777777" w:rsidR="00D554C2" w:rsidRPr="00D554C2" w:rsidRDefault="00D554C2" w:rsidP="00D554C2">
      <w:pPr>
        <w:tabs>
          <w:tab w:val="center" w:pos="4153"/>
        </w:tabs>
        <w:adjustRightInd w:val="0"/>
        <w:snapToGrid w:val="0"/>
        <w:spacing w:line="500" w:lineRule="exact"/>
        <w:ind w:firstLineChars="200" w:firstLine="482"/>
        <w:jc w:val="left"/>
        <w:rPr>
          <w:rFonts w:ascii="宋体" w:eastAsia="宋体" w:hAnsi="Calibri" w:cs="Times New Roman"/>
          <w:bCs/>
          <w:kern w:val="0"/>
          <w:sz w:val="24"/>
        </w:rPr>
      </w:pPr>
      <w:r w:rsidRPr="00D554C2">
        <w:rPr>
          <w:rFonts w:ascii="宋体" w:eastAsia="宋体" w:hAnsi="Calibri" w:cs="Times New Roman" w:hint="eastAsia"/>
          <w:b/>
          <w:kern w:val="0"/>
          <w:sz w:val="24"/>
        </w:rPr>
        <w:t>2.课程考核的内容：</w:t>
      </w:r>
      <w:r w:rsidRPr="00D554C2">
        <w:rPr>
          <w:rFonts w:ascii="宋体" w:eastAsia="宋体" w:hAnsi="Calibri" w:cs="Times New Roman" w:hint="eastAsia"/>
          <w:bCs/>
          <w:kern w:val="0"/>
          <w:sz w:val="24"/>
        </w:rPr>
        <w:t>啦</w:t>
      </w:r>
      <w:proofErr w:type="gramStart"/>
      <w:r w:rsidRPr="00D554C2">
        <w:rPr>
          <w:rFonts w:ascii="宋体" w:eastAsia="宋体" w:hAnsi="Calibri" w:cs="Times New Roman" w:hint="eastAsia"/>
          <w:bCs/>
          <w:kern w:val="0"/>
          <w:sz w:val="24"/>
        </w:rPr>
        <w:t>啦</w:t>
      </w:r>
      <w:proofErr w:type="gramEnd"/>
      <w:r w:rsidRPr="00D554C2">
        <w:rPr>
          <w:rFonts w:ascii="宋体" w:eastAsia="宋体" w:hAnsi="Calibri" w:cs="Times New Roman" w:hint="eastAsia"/>
          <w:bCs/>
          <w:kern w:val="0"/>
          <w:sz w:val="24"/>
        </w:rPr>
        <w:t>操自编小组合</w:t>
      </w:r>
    </w:p>
    <w:p w14:paraId="2FD0304A"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Cs/>
          <w:kern w:val="0"/>
          <w:sz w:val="24"/>
        </w:rPr>
      </w:pPr>
      <w:r w:rsidRPr="00D554C2">
        <w:rPr>
          <w:rFonts w:ascii="宋体" w:eastAsia="宋体" w:hAnsi="Calibri" w:cs="Times New Roman" w:hint="eastAsia"/>
          <w:b/>
          <w:kern w:val="0"/>
          <w:sz w:val="24"/>
        </w:rPr>
        <w:t>3.课程考核方式：</w:t>
      </w:r>
      <w:r w:rsidRPr="00D554C2">
        <w:rPr>
          <w:rFonts w:ascii="宋体" w:eastAsia="宋体" w:hAnsi="Calibri" w:cs="Times New Roman" w:hint="eastAsia"/>
          <w:bCs/>
          <w:kern w:val="0"/>
          <w:sz w:val="24"/>
        </w:rPr>
        <w:t>在音乐伴奏下，以小组形式进行测试</w:t>
      </w:r>
    </w:p>
    <w:p w14:paraId="60D94838"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
          <w:kern w:val="0"/>
          <w:sz w:val="24"/>
        </w:rPr>
      </w:pPr>
      <w:r w:rsidRPr="00D554C2">
        <w:rPr>
          <w:rFonts w:ascii="宋体" w:eastAsia="宋体" w:hAnsi="Calibri" w:cs="Times New Roman" w:hint="eastAsia"/>
          <w:b/>
          <w:kern w:val="0"/>
          <w:sz w:val="24"/>
        </w:rPr>
        <w:t>4.成绩构成及分值：</w:t>
      </w:r>
    </w:p>
    <w:p w14:paraId="0AB4752C"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宋体" w:eastAsia="宋体" w:hAnsi="Calibri" w:cs="Times New Roman" w:hint="eastAsia"/>
          <w:bCs/>
          <w:kern w:val="0"/>
          <w:sz w:val="24"/>
        </w:rPr>
        <w:lastRenderedPageBreak/>
        <w:t>4.1</w:t>
      </w:r>
      <w:r w:rsidRPr="00D554C2">
        <w:rPr>
          <w:rFonts w:ascii="Calibri" w:eastAsia="宋体" w:hAnsi="Calibri" w:cs="Times New Roman" w:hint="eastAsia"/>
        </w:rPr>
        <w:t>.</w:t>
      </w:r>
      <w:r w:rsidRPr="00D554C2">
        <w:rPr>
          <w:rFonts w:ascii="Calibri" w:eastAsia="宋体" w:hAnsi="Calibri" w:cs="Times New Roman" w:hint="eastAsia"/>
          <w:sz w:val="24"/>
        </w:rPr>
        <w:t>套路完成情况（</w:t>
      </w:r>
      <w:r w:rsidRPr="00D554C2">
        <w:rPr>
          <w:rFonts w:ascii="Calibri" w:eastAsia="宋体" w:hAnsi="Calibri" w:cs="Times New Roman" w:hint="eastAsia"/>
        </w:rPr>
        <w:t>60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4.2</w:t>
      </w:r>
      <w:r w:rsidRPr="00D554C2">
        <w:rPr>
          <w:rFonts w:ascii="Calibri" w:eastAsia="宋体" w:hAnsi="Calibri" w:cs="Times New Roman" w:hint="eastAsia"/>
          <w:sz w:val="24"/>
        </w:rPr>
        <w:t>基本形态（</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4.3</w:t>
      </w:r>
      <w:r w:rsidRPr="00D554C2">
        <w:rPr>
          <w:rFonts w:ascii="Calibri" w:eastAsia="宋体" w:hAnsi="Calibri" w:cs="Times New Roman" w:hint="eastAsia"/>
          <w:sz w:val="24"/>
        </w:rPr>
        <w:t>表现力（</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4.4</w:t>
      </w:r>
      <w:r w:rsidRPr="00D554C2">
        <w:rPr>
          <w:rFonts w:ascii="Calibri" w:eastAsia="宋体" w:hAnsi="Calibri" w:cs="Times New Roman" w:hint="eastAsia"/>
          <w:sz w:val="24"/>
        </w:rPr>
        <w:t>乐感（</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4.5</w:t>
      </w:r>
      <w:r w:rsidRPr="00D554C2">
        <w:rPr>
          <w:rFonts w:ascii="Calibri" w:eastAsia="宋体" w:hAnsi="Calibri" w:cs="Times New Roman" w:hint="eastAsia"/>
          <w:sz w:val="24"/>
        </w:rPr>
        <w:t>控制力（</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），总分值为</w:t>
      </w:r>
      <w:r w:rsidRPr="00D554C2">
        <w:rPr>
          <w:rFonts w:ascii="Calibri" w:eastAsia="宋体" w:hAnsi="Calibri" w:cs="Times New Roman" w:hint="eastAsia"/>
        </w:rPr>
        <w:t>100</w:t>
      </w:r>
      <w:r w:rsidRPr="00D554C2">
        <w:rPr>
          <w:rFonts w:ascii="Calibri" w:eastAsia="宋体" w:hAnsi="Calibri" w:cs="Times New Roman" w:hint="eastAsia"/>
          <w:sz w:val="24"/>
        </w:rPr>
        <w:t>分。</w:t>
      </w:r>
    </w:p>
    <w:p w14:paraId="47FFD0E1"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p w14:paraId="3BFD34E9"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技术分为</w:t>
      </w:r>
      <w:r w:rsidRPr="00D554C2">
        <w:rPr>
          <w:rFonts w:ascii="Calibri" w:eastAsia="宋体" w:hAnsi="Calibri" w:cs="Times New Roman" w:hint="eastAsia"/>
          <w:sz w:val="24"/>
        </w:rPr>
        <w:t>ABCDE</w:t>
      </w:r>
      <w:r w:rsidRPr="00D554C2">
        <w:rPr>
          <w:rFonts w:ascii="Calibri" w:eastAsia="宋体" w:hAnsi="Calibri" w:cs="Times New Roman" w:hint="eastAsia"/>
          <w:sz w:val="24"/>
        </w:rPr>
        <w:t>共</w:t>
      </w:r>
      <w:r w:rsidRPr="00D554C2">
        <w:rPr>
          <w:rFonts w:ascii="Calibri" w:eastAsia="宋体" w:hAnsi="Calibri" w:cs="Times New Roman" w:hint="eastAsia"/>
        </w:rPr>
        <w:t>6</w:t>
      </w:r>
      <w:r w:rsidRPr="00D554C2">
        <w:rPr>
          <w:rFonts w:ascii="Calibri" w:eastAsia="宋体" w:hAnsi="Calibri" w:cs="Times New Roman" w:hint="eastAsia"/>
          <w:sz w:val="24"/>
        </w:rPr>
        <w:t>档，分别为优、良、中、可、差。例：最高档</w:t>
      </w:r>
      <w:r w:rsidRPr="00D554C2">
        <w:rPr>
          <w:rFonts w:ascii="Calibri" w:eastAsia="宋体" w:hAnsi="Calibri" w:cs="Times New Roman" w:hint="eastAsia"/>
          <w:sz w:val="24"/>
        </w:rPr>
        <w:t>A</w:t>
      </w:r>
      <w:r w:rsidRPr="00D554C2">
        <w:rPr>
          <w:rFonts w:ascii="Calibri" w:eastAsia="宋体" w:hAnsi="Calibri" w:cs="Times New Roman" w:hint="eastAsia"/>
          <w:sz w:val="24"/>
        </w:rPr>
        <w:t>档分值打分范围为</w:t>
      </w:r>
      <w:r w:rsidRPr="00D554C2">
        <w:rPr>
          <w:rFonts w:ascii="Calibri" w:eastAsia="宋体" w:hAnsi="Calibri" w:cs="Times New Roman" w:hint="eastAsia"/>
          <w:sz w:val="24"/>
        </w:rPr>
        <w:t>90-100</w:t>
      </w:r>
      <w:r w:rsidRPr="00D554C2">
        <w:rPr>
          <w:rFonts w:ascii="Calibri" w:eastAsia="宋体" w:hAnsi="Calibri" w:cs="Times New Roman" w:hint="eastAsia"/>
          <w:sz w:val="24"/>
        </w:rPr>
        <w:t>。以此类推，</w:t>
      </w:r>
      <w:r w:rsidRPr="00D554C2">
        <w:rPr>
          <w:rFonts w:ascii="Calibri" w:eastAsia="宋体" w:hAnsi="Calibri" w:cs="Times New Roman" w:hint="eastAsia"/>
          <w:sz w:val="24"/>
        </w:rPr>
        <w:t>E</w:t>
      </w:r>
      <w:r w:rsidRPr="00D554C2">
        <w:rPr>
          <w:rFonts w:ascii="Calibri" w:eastAsia="宋体" w:hAnsi="Calibri" w:cs="Times New Roman" w:hint="eastAsia"/>
          <w:sz w:val="24"/>
        </w:rPr>
        <w:t>档打分范围</w:t>
      </w:r>
      <w:r w:rsidRPr="00D554C2">
        <w:rPr>
          <w:rFonts w:ascii="Calibri" w:eastAsia="宋体" w:hAnsi="Calibri" w:cs="Times New Roman" w:hint="eastAsia"/>
          <w:sz w:val="24"/>
        </w:rPr>
        <w:t>0-59</w:t>
      </w:r>
      <w:r w:rsidRPr="00D554C2">
        <w:rPr>
          <w:rFonts w:ascii="Calibri" w:eastAsia="宋体" w:hAnsi="Calibri" w:cs="Times New Roman" w:hint="eastAsia"/>
          <w:sz w:val="24"/>
        </w:rPr>
        <w:t>分，此项分值</w:t>
      </w:r>
      <w:r w:rsidRPr="00D554C2">
        <w:rPr>
          <w:rFonts w:ascii="Calibri" w:eastAsia="宋体" w:hAnsi="Calibri" w:cs="Times New Roman" w:hint="eastAsia"/>
          <w:sz w:val="24"/>
        </w:rPr>
        <w:t>100</w:t>
      </w:r>
      <w:r w:rsidRPr="00D554C2">
        <w:rPr>
          <w:rFonts w:ascii="Calibri" w:eastAsia="宋体" w:hAnsi="Calibri" w:cs="Times New Roman" w:hint="eastAsia"/>
          <w:sz w:val="24"/>
        </w:rPr>
        <w:t>分</w:t>
      </w:r>
      <w:r w:rsidRPr="00D554C2">
        <w:rPr>
          <w:rFonts w:ascii="Calibri" w:eastAsia="宋体" w:hAnsi="Calibri" w:cs="Times New Roman"/>
          <w:sz w:val="24"/>
        </w:rPr>
        <w:t>。</w:t>
      </w:r>
      <w:r w:rsidRPr="00D554C2">
        <w:rPr>
          <w:rFonts w:ascii="Calibri" w:eastAsia="宋体" w:hAnsi="Calibri" w:cs="Times New Roman" w:hint="eastAsia"/>
          <w:sz w:val="24"/>
        </w:rPr>
        <w:t>（见表</w:t>
      </w:r>
      <w:r w:rsidRPr="00D554C2">
        <w:rPr>
          <w:rFonts w:ascii="Calibri" w:eastAsia="宋体" w:hAnsi="Calibri" w:cs="Times New Roman" w:hint="eastAsia"/>
          <w:sz w:val="24"/>
        </w:rPr>
        <w:t>1</w:t>
      </w:r>
      <w:r w:rsidRPr="00D554C2">
        <w:rPr>
          <w:rFonts w:ascii="Calibri" w:eastAsia="宋体" w:hAnsi="Calibri" w:cs="Times New Roman" w:hint="eastAsia"/>
          <w:sz w:val="24"/>
        </w:rPr>
        <w:t>）</w:t>
      </w:r>
    </w:p>
    <w:p w14:paraId="7BE39B11" w14:textId="77777777" w:rsidR="00D554C2" w:rsidRPr="00D554C2" w:rsidRDefault="00D554C2" w:rsidP="00D554C2">
      <w:pPr>
        <w:adjustRightInd w:val="0"/>
        <w:snapToGrid w:val="0"/>
        <w:spacing w:line="500" w:lineRule="exact"/>
        <w:ind w:firstLineChars="200" w:firstLine="482"/>
        <w:jc w:val="center"/>
        <w:rPr>
          <w:rFonts w:ascii="Calibri" w:eastAsia="宋体" w:hAnsi="Calibri" w:cs="Times New Roman"/>
          <w:b/>
          <w:sz w:val="24"/>
        </w:rPr>
      </w:pPr>
      <w:r w:rsidRPr="00D554C2">
        <w:rPr>
          <w:rFonts w:ascii="Calibri" w:eastAsia="宋体" w:hAnsi="Calibri" w:cs="Times New Roman" w:hint="eastAsia"/>
          <w:b/>
          <w:sz w:val="24"/>
        </w:rPr>
        <w:t>表</w:t>
      </w:r>
      <w:r w:rsidRPr="00D554C2">
        <w:rPr>
          <w:rFonts w:ascii="Calibri" w:eastAsia="宋体" w:hAnsi="Calibri" w:cs="Times New Roman" w:hint="eastAsia"/>
          <w:b/>
          <w:sz w:val="24"/>
        </w:rPr>
        <w:t>1</w:t>
      </w:r>
      <w:r w:rsidRPr="00D554C2">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D554C2" w:rsidRPr="00D554C2" w14:paraId="174A92C7" w14:textId="77777777" w:rsidTr="009B4CAE">
        <w:trPr>
          <w:trHeight w:val="655"/>
        </w:trPr>
        <w:tc>
          <w:tcPr>
            <w:tcW w:w="2268" w:type="dxa"/>
            <w:tcBorders>
              <w:top w:val="single" w:sz="4" w:space="0" w:color="auto"/>
              <w:left w:val="single" w:sz="4" w:space="0" w:color="auto"/>
              <w:bottom w:val="single" w:sz="4" w:space="0" w:color="auto"/>
              <w:right w:val="single" w:sz="4" w:space="0" w:color="auto"/>
            </w:tcBorders>
          </w:tcPr>
          <w:p w14:paraId="65C0E5DE" w14:textId="77777777" w:rsidR="00D554C2" w:rsidRPr="00D554C2" w:rsidRDefault="00D554C2" w:rsidP="00D554C2">
            <w:pPr>
              <w:widowControl/>
              <w:spacing w:line="432" w:lineRule="auto"/>
              <w:jc w:val="center"/>
              <w:rPr>
                <w:rFonts w:ascii="宋体" w:eastAsia="宋体" w:hAnsi="宋体" w:cs="宋体"/>
                <w:color w:val="FFFFFF"/>
                <w:kern w:val="0"/>
                <w:sz w:val="18"/>
                <w:szCs w:val="18"/>
              </w:rPr>
            </w:pPr>
            <w:r w:rsidRPr="00D554C2">
              <w:rPr>
                <w:rFonts w:ascii="宋体" w:eastAsia="宋体" w:hAnsi="宋体" w:cs="宋体"/>
                <w:noProof/>
                <w:kern w:val="0"/>
                <w:sz w:val="18"/>
                <w:szCs w:val="18"/>
              </w:rPr>
              <mc:AlternateContent>
                <mc:Choice Requires="wps">
                  <w:drawing>
                    <wp:anchor distT="0" distB="0" distL="114300" distR="114300" simplePos="0" relativeHeight="251677696" behindDoc="0" locked="0" layoutInCell="1" allowOverlap="1" wp14:anchorId="52CD2984" wp14:editId="23BE866B">
                      <wp:simplePos x="0" y="0"/>
                      <wp:positionH relativeFrom="column">
                        <wp:posOffset>-97790</wp:posOffset>
                      </wp:positionH>
                      <wp:positionV relativeFrom="paragraph">
                        <wp:posOffset>31750</wp:posOffset>
                      </wp:positionV>
                      <wp:extent cx="1432560" cy="638175"/>
                      <wp:effectExtent l="1905" t="4445" r="13335" b="5080"/>
                      <wp:wrapNone/>
                      <wp:docPr id="43" name="直接连接符 43"/>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w14:anchorId="3E18E716" id="直接连接符 43"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" strokeweight=".5pt"/>
                  </w:pict>
                </mc:Fallback>
              </mc:AlternateContent>
            </w:r>
            <w:r w:rsidRPr="00D554C2">
              <w:rPr>
                <w:rFonts w:ascii="宋体" w:eastAsia="宋体" w:hAnsi="宋体" w:cs="宋体"/>
                <w:kern w:val="0"/>
                <w:sz w:val="18"/>
                <w:szCs w:val="18"/>
              </w:rPr>
              <w:t xml:space="preserve">     </w:t>
            </w:r>
            <w:r w:rsidRPr="00D554C2">
              <w:rPr>
                <w:rFonts w:ascii="Calibri" w:eastAsia="宋体" w:hAnsi="Calibri" w:cs="Times New Roman" w:hint="eastAsia"/>
              </w:rPr>
              <w:t xml:space="preserve">   </w:t>
            </w:r>
            <w:r w:rsidRPr="00D554C2">
              <w:rPr>
                <w:rFonts w:ascii="宋体" w:eastAsia="宋体" w:hAnsi="宋体" w:cs="宋体"/>
                <w:kern w:val="0"/>
                <w:sz w:val="18"/>
                <w:szCs w:val="18"/>
              </w:rPr>
              <w:t xml:space="preserve"> 标准</w:t>
            </w:r>
            <w:r w:rsidRPr="00D554C2">
              <w:rPr>
                <w:rFonts w:ascii="Calibri" w:eastAsia="宋体" w:hAnsi="Calibri" w:cs="Times New Roman" w:hint="eastAsia"/>
                <w:color w:val="FFFFFF"/>
                <w:sz w:val="24"/>
              </w:rPr>
              <w:t>容</w:t>
            </w:r>
          </w:p>
          <w:p w14:paraId="343F57E1" w14:textId="77777777" w:rsidR="00D554C2" w:rsidRPr="00D554C2" w:rsidRDefault="00D554C2" w:rsidP="00D554C2">
            <w:pPr>
              <w:widowControl/>
              <w:spacing w:line="432" w:lineRule="auto"/>
              <w:rPr>
                <w:rFonts w:ascii="宋体" w:eastAsia="宋体" w:hAnsi="宋体" w:cs="宋体"/>
                <w:kern w:val="0"/>
                <w:sz w:val="18"/>
                <w:szCs w:val="18"/>
              </w:rPr>
            </w:pPr>
            <w:r w:rsidRPr="00D554C2">
              <w:rPr>
                <w:rFonts w:ascii="Calibri" w:eastAsia="宋体" w:hAnsi="Calibri" w:cs="Times New Roman" w:hint="eastAsia"/>
                <w:sz w:val="24"/>
              </w:rPr>
              <w:t>分</w:t>
            </w:r>
            <w:r w:rsidRPr="00D554C2">
              <w:rPr>
                <w:rFonts w:ascii="Calibri" w:eastAsia="宋体" w:hAnsi="Calibri" w:cs="Times New Roman"/>
                <w:sz w:val="24"/>
              </w:rPr>
              <w:t xml:space="preserve">  </w:t>
            </w:r>
            <w:r w:rsidRPr="00D554C2">
              <w:rPr>
                <w:rFonts w:ascii="Calibri" w:eastAsia="宋体" w:hAnsi="Calibri" w:cs="Times New Roman" w:hint="eastAsia"/>
                <w:sz w:val="24"/>
              </w:rPr>
              <w:t>值</w:t>
            </w:r>
            <w:r w:rsidRPr="00D554C2">
              <w:rPr>
                <w:rFonts w:ascii="Calibri" w:eastAsia="宋体" w:hAnsi="Calibri" w:cs="Times New Roman"/>
                <w:sz w:val="24"/>
              </w:rPr>
              <w:t xml:space="preserve"> </w:t>
            </w:r>
            <w:r w:rsidRPr="00D554C2">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7D1B3198" w14:textId="77777777" w:rsidR="00D554C2" w:rsidRPr="00D554C2" w:rsidRDefault="00D554C2" w:rsidP="00D554C2">
            <w:pPr>
              <w:widowControl/>
              <w:spacing w:line="432" w:lineRule="auto"/>
              <w:jc w:val="center"/>
              <w:rPr>
                <w:rFonts w:ascii="宋体" w:eastAsia="宋体" w:hAnsi="宋体" w:cs="宋体"/>
                <w:kern w:val="0"/>
                <w:sz w:val="18"/>
                <w:szCs w:val="18"/>
              </w:rPr>
            </w:pPr>
          </w:p>
        </w:tc>
      </w:tr>
      <w:tr w:rsidR="00D554C2" w:rsidRPr="00D554C2" w14:paraId="5013939B" w14:textId="77777777" w:rsidTr="009B4CAE">
        <w:trPr>
          <w:cantSplit/>
        </w:trPr>
        <w:tc>
          <w:tcPr>
            <w:tcW w:w="2268" w:type="dxa"/>
            <w:vMerge w:val="restart"/>
            <w:tcBorders>
              <w:top w:val="single" w:sz="4" w:space="0" w:color="auto"/>
              <w:left w:val="single" w:sz="4" w:space="0" w:color="auto"/>
              <w:right w:val="single" w:sz="4" w:space="0" w:color="auto"/>
            </w:tcBorders>
            <w:vAlign w:val="center"/>
          </w:tcPr>
          <w:p w14:paraId="22ED87D4" w14:textId="77777777" w:rsidR="00D554C2" w:rsidRPr="00D554C2" w:rsidRDefault="00D554C2" w:rsidP="00D554C2">
            <w:pPr>
              <w:widowControl/>
              <w:spacing w:line="432" w:lineRule="auto"/>
              <w:ind w:firstLineChars="300" w:firstLine="720"/>
              <w:rPr>
                <w:rFonts w:ascii="Calibri" w:eastAsia="宋体" w:hAnsi="Calibri" w:cs="Times New Roman"/>
              </w:rPr>
            </w:pPr>
            <w:r w:rsidRPr="00D554C2">
              <w:rPr>
                <w:rFonts w:ascii="Calibri" w:eastAsia="宋体" w:hAnsi="Calibri" w:cs="Times New Roman"/>
                <w:sz w:val="24"/>
              </w:rPr>
              <w:t>9</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10</w:t>
            </w:r>
            <w:r w:rsidRPr="00D554C2">
              <w:rPr>
                <w:rFonts w:ascii="Calibri" w:eastAsia="宋体" w:hAnsi="Calibri" w:cs="Times New Roman" w:hint="eastAsia"/>
                <w:sz w:val="24"/>
              </w:rPr>
              <w:t>0</w:t>
            </w:r>
          </w:p>
          <w:p w14:paraId="0D8097F3" w14:textId="77777777" w:rsidR="00D554C2" w:rsidRPr="00D554C2" w:rsidRDefault="00D554C2" w:rsidP="00D554C2">
            <w:pPr>
              <w:widowControl/>
              <w:spacing w:line="432" w:lineRule="auto"/>
              <w:ind w:firstLineChars="300" w:firstLine="630"/>
              <w:rPr>
                <w:rFonts w:ascii="Calibri" w:eastAsia="宋体" w:hAnsi="Calibri" w:cs="Times New Roman"/>
              </w:rPr>
            </w:pPr>
          </w:p>
          <w:p w14:paraId="19520724"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8</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89</w:t>
            </w:r>
          </w:p>
          <w:p w14:paraId="7AE8BCF4"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7</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79</w:t>
            </w:r>
          </w:p>
          <w:p w14:paraId="4DA5C46A"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6</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69</w:t>
            </w:r>
          </w:p>
          <w:p w14:paraId="6B6D0660" w14:textId="77777777" w:rsidR="00D554C2" w:rsidRPr="00D554C2" w:rsidRDefault="00D554C2" w:rsidP="00D554C2">
            <w:pPr>
              <w:widowControl/>
              <w:spacing w:line="432" w:lineRule="auto"/>
              <w:jc w:val="center"/>
              <w:rPr>
                <w:rFonts w:ascii="宋体" w:eastAsia="宋体" w:hAnsi="宋体" w:cs="宋体"/>
                <w:kern w:val="0"/>
                <w:sz w:val="18"/>
                <w:szCs w:val="18"/>
              </w:rPr>
            </w:pPr>
            <w:r w:rsidRPr="00D554C2">
              <w:rPr>
                <w:rFonts w:ascii="Calibri" w:eastAsia="宋体" w:hAnsi="Calibri" w:cs="Times New Roman"/>
                <w:sz w:val="24"/>
              </w:rPr>
              <w:t>6</w:t>
            </w:r>
            <w:r w:rsidRPr="00D554C2">
              <w:rPr>
                <w:rFonts w:ascii="Calibri" w:eastAsia="宋体" w:hAnsi="Calibri" w:cs="Times New Roman" w:hint="eastAsia"/>
                <w:sz w:val="24"/>
              </w:rPr>
              <w:t>0</w:t>
            </w:r>
            <w:r w:rsidRPr="00D554C2">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509A71FB" w14:textId="77777777" w:rsidR="00D554C2" w:rsidRPr="00D554C2" w:rsidRDefault="00D554C2" w:rsidP="00D554C2">
            <w:pPr>
              <w:widowControl/>
              <w:spacing w:line="432" w:lineRule="auto"/>
              <w:jc w:val="center"/>
              <w:rPr>
                <w:rFonts w:ascii="宋体" w:eastAsia="宋体" w:hAnsi="宋体" w:cs="宋体"/>
                <w:kern w:val="0"/>
                <w:sz w:val="18"/>
                <w:szCs w:val="18"/>
              </w:rPr>
            </w:pPr>
            <w:r w:rsidRPr="00D554C2">
              <w:rPr>
                <w:rFonts w:ascii="Calibri" w:eastAsia="宋体" w:hAnsi="Calibri" w:cs="Times New Roman" w:hint="eastAsia"/>
                <w:sz w:val="24"/>
              </w:rPr>
              <w:t>动作标准，张弛有力，体态优美，富有感染力，节奏准确流畅的完成套路</w:t>
            </w:r>
          </w:p>
        </w:tc>
      </w:tr>
      <w:tr w:rsidR="00D554C2" w:rsidRPr="00D554C2" w14:paraId="6CA6A9E4" w14:textId="77777777" w:rsidTr="009B4CAE">
        <w:trPr>
          <w:cantSplit/>
        </w:trPr>
        <w:tc>
          <w:tcPr>
            <w:tcW w:w="2268" w:type="dxa"/>
            <w:vMerge/>
            <w:tcBorders>
              <w:left w:val="single" w:sz="4" w:space="0" w:color="auto"/>
              <w:right w:val="single" w:sz="4" w:space="0" w:color="auto"/>
            </w:tcBorders>
            <w:vAlign w:val="center"/>
          </w:tcPr>
          <w:p w14:paraId="1A1290F4"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54FACD7"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能跟上节奏，较好的完成套路，</w:t>
            </w:r>
          </w:p>
        </w:tc>
      </w:tr>
      <w:tr w:rsidR="00D554C2" w:rsidRPr="00D554C2" w14:paraId="38FCCCD4" w14:textId="77777777" w:rsidTr="009B4CAE">
        <w:trPr>
          <w:cantSplit/>
        </w:trPr>
        <w:tc>
          <w:tcPr>
            <w:tcW w:w="2268" w:type="dxa"/>
            <w:vMerge/>
            <w:tcBorders>
              <w:left w:val="single" w:sz="4" w:space="0" w:color="auto"/>
              <w:right w:val="single" w:sz="4" w:space="0" w:color="auto"/>
            </w:tcBorders>
            <w:vAlign w:val="center"/>
          </w:tcPr>
          <w:p w14:paraId="50D07E59"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698BF32C"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姿势一般，动作基本正确，节奏基本正确</w:t>
            </w:r>
          </w:p>
        </w:tc>
      </w:tr>
      <w:tr w:rsidR="00D554C2" w:rsidRPr="00D554C2" w14:paraId="0E0255DD" w14:textId="77777777" w:rsidTr="009B4CAE">
        <w:trPr>
          <w:cantSplit/>
        </w:trPr>
        <w:tc>
          <w:tcPr>
            <w:tcW w:w="2268" w:type="dxa"/>
            <w:vMerge/>
            <w:tcBorders>
              <w:left w:val="single" w:sz="4" w:space="0" w:color="auto"/>
              <w:right w:val="single" w:sz="4" w:space="0" w:color="auto"/>
            </w:tcBorders>
            <w:vAlign w:val="center"/>
          </w:tcPr>
          <w:p w14:paraId="554AC5CB"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3092E25A"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完成动作较吃力</w:t>
            </w:r>
          </w:p>
        </w:tc>
      </w:tr>
      <w:tr w:rsidR="00D554C2" w:rsidRPr="00D554C2" w14:paraId="1AEFEE18" w14:textId="77777777" w:rsidTr="009B4CAE">
        <w:trPr>
          <w:cantSplit/>
        </w:trPr>
        <w:tc>
          <w:tcPr>
            <w:tcW w:w="2268" w:type="dxa"/>
            <w:vMerge/>
            <w:tcBorders>
              <w:left w:val="single" w:sz="4" w:space="0" w:color="auto"/>
              <w:bottom w:val="single" w:sz="4" w:space="0" w:color="auto"/>
              <w:right w:val="single" w:sz="4" w:space="0" w:color="auto"/>
            </w:tcBorders>
            <w:vAlign w:val="center"/>
          </w:tcPr>
          <w:p w14:paraId="0AA4B77C" w14:textId="77777777" w:rsidR="00D554C2" w:rsidRPr="00D554C2" w:rsidRDefault="00D554C2" w:rsidP="00D554C2">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6C1FCC5D"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动作僵硬，不协调，乐感差</w:t>
            </w:r>
          </w:p>
        </w:tc>
      </w:tr>
    </w:tbl>
    <w:p w14:paraId="018DCE30"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第二学期</w:t>
      </w:r>
    </w:p>
    <w:p w14:paraId="382BB525" w14:textId="77777777" w:rsidR="00D554C2" w:rsidRPr="00D554C2" w:rsidRDefault="00D554C2" w:rsidP="00D554C2">
      <w:pPr>
        <w:adjustRightInd w:val="0"/>
        <w:snapToGrid w:val="0"/>
        <w:spacing w:line="500" w:lineRule="exact"/>
        <w:jc w:val="center"/>
        <w:rPr>
          <w:rFonts w:ascii="宋体" w:eastAsia="宋体" w:hAnsi="Calibri" w:cs="Times New Roman"/>
          <w:b/>
          <w:kern w:val="0"/>
          <w:sz w:val="24"/>
        </w:rPr>
      </w:pPr>
      <w:r w:rsidRPr="00D554C2">
        <w:rPr>
          <w:rFonts w:ascii="宋体" w:eastAsia="宋体" w:hAnsi="Calibri" w:cs="Times New Roman" w:hint="eastAsia"/>
          <w:b/>
          <w:kern w:val="0"/>
          <w:sz w:val="24"/>
        </w:rPr>
        <w:t>期中考试</w:t>
      </w:r>
    </w:p>
    <w:p w14:paraId="7FD11EA3"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通过考核检验啦</w:t>
      </w:r>
      <w:proofErr w:type="gramStart"/>
      <w:r w:rsidRPr="00D554C2">
        <w:rPr>
          <w:rFonts w:ascii="宋体" w:eastAsia="宋体" w:hAnsi="Calibri" w:cs="Times New Roman" w:hint="eastAsia"/>
          <w:bCs/>
          <w:kern w:val="0"/>
          <w:sz w:val="24"/>
        </w:rPr>
        <w:t>啦操技术</w:t>
      </w:r>
      <w:proofErr w:type="gramEnd"/>
      <w:r w:rsidRPr="00D554C2">
        <w:rPr>
          <w:rFonts w:ascii="宋体" w:eastAsia="宋体" w:hAnsi="Calibri" w:cs="Times New Roman" w:hint="eastAsia"/>
          <w:bCs/>
          <w:kern w:val="0"/>
          <w:sz w:val="24"/>
        </w:rPr>
        <w:t>教学效果和学生掌握情况，让学生了解选项课内容和科学体育锻炼方式方法。</w:t>
      </w:r>
    </w:p>
    <w:p w14:paraId="1491427D"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2.课程考核的内容：</w:t>
      </w:r>
      <w:r w:rsidRPr="00D554C2">
        <w:rPr>
          <w:rFonts w:ascii="宋体" w:eastAsia="宋体" w:hAnsi="Calibri" w:cs="Times New Roman" w:hint="eastAsia"/>
          <w:bCs/>
          <w:kern w:val="0"/>
          <w:sz w:val="24"/>
        </w:rPr>
        <w:t>啦</w:t>
      </w:r>
      <w:proofErr w:type="gramStart"/>
      <w:r w:rsidRPr="00D554C2">
        <w:rPr>
          <w:rFonts w:ascii="宋体" w:eastAsia="宋体" w:hAnsi="Calibri" w:cs="Times New Roman" w:hint="eastAsia"/>
          <w:bCs/>
          <w:kern w:val="0"/>
          <w:sz w:val="24"/>
        </w:rPr>
        <w:t>啦</w:t>
      </w:r>
      <w:proofErr w:type="gramEnd"/>
      <w:r w:rsidRPr="00D554C2">
        <w:rPr>
          <w:rFonts w:ascii="宋体" w:eastAsia="宋体" w:hAnsi="Calibri" w:cs="Times New Roman" w:hint="eastAsia"/>
          <w:bCs/>
          <w:kern w:val="0"/>
          <w:sz w:val="24"/>
        </w:rPr>
        <w:t>操套路（一）组合一</w:t>
      </w:r>
    </w:p>
    <w:p w14:paraId="23B05ED9"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Cs/>
          <w:kern w:val="0"/>
          <w:sz w:val="24"/>
        </w:rPr>
      </w:pPr>
      <w:r w:rsidRPr="00D554C2">
        <w:rPr>
          <w:rFonts w:ascii="宋体" w:eastAsia="宋体" w:hAnsi="Calibri" w:cs="Times New Roman" w:hint="eastAsia"/>
          <w:b/>
          <w:kern w:val="0"/>
          <w:sz w:val="24"/>
        </w:rPr>
        <w:t>3.课程考核方式：</w:t>
      </w:r>
      <w:r w:rsidRPr="00D554C2">
        <w:rPr>
          <w:rFonts w:ascii="宋体" w:eastAsia="宋体" w:hAnsi="Calibri" w:cs="Times New Roman" w:hint="eastAsia"/>
          <w:bCs/>
          <w:kern w:val="0"/>
          <w:sz w:val="24"/>
        </w:rPr>
        <w:t>在音乐伴奏下，以小组形式进行测试</w:t>
      </w:r>
    </w:p>
    <w:p w14:paraId="40336F77"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
          <w:kern w:val="0"/>
          <w:sz w:val="24"/>
        </w:rPr>
      </w:pPr>
      <w:r w:rsidRPr="00D554C2">
        <w:rPr>
          <w:rFonts w:ascii="宋体" w:eastAsia="宋体" w:hAnsi="Calibri" w:cs="Times New Roman" w:hint="eastAsia"/>
          <w:b/>
          <w:kern w:val="0"/>
          <w:sz w:val="24"/>
        </w:rPr>
        <w:t>4.成绩构成及分值：</w:t>
      </w:r>
    </w:p>
    <w:p w14:paraId="104810C2"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宋体" w:eastAsia="宋体" w:hAnsi="Calibri" w:cs="Times New Roman" w:hint="eastAsia"/>
          <w:bCs/>
          <w:kern w:val="0"/>
          <w:sz w:val="24"/>
        </w:rPr>
        <w:t>4.1</w:t>
      </w:r>
      <w:r w:rsidRPr="00D554C2">
        <w:rPr>
          <w:rFonts w:ascii="Calibri" w:eastAsia="宋体" w:hAnsi="Calibri" w:cs="Times New Roman" w:hint="eastAsia"/>
        </w:rPr>
        <w:t>.</w:t>
      </w:r>
      <w:r w:rsidRPr="00D554C2">
        <w:rPr>
          <w:rFonts w:ascii="Calibri" w:eastAsia="宋体" w:hAnsi="Calibri" w:cs="Times New Roman" w:hint="eastAsia"/>
          <w:sz w:val="24"/>
        </w:rPr>
        <w:t>套路完成情况（</w:t>
      </w:r>
      <w:r w:rsidRPr="00D554C2">
        <w:rPr>
          <w:rFonts w:ascii="Calibri" w:eastAsia="宋体" w:hAnsi="Calibri" w:cs="Times New Roman" w:hint="eastAsia"/>
        </w:rPr>
        <w:t>60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4.2</w:t>
      </w:r>
      <w:r w:rsidRPr="00D554C2">
        <w:rPr>
          <w:rFonts w:ascii="Calibri" w:eastAsia="宋体" w:hAnsi="Calibri" w:cs="Times New Roman" w:hint="eastAsia"/>
          <w:sz w:val="24"/>
        </w:rPr>
        <w:t>基本形态（</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4.3</w:t>
      </w:r>
      <w:r w:rsidRPr="00D554C2">
        <w:rPr>
          <w:rFonts w:ascii="Calibri" w:eastAsia="宋体" w:hAnsi="Calibri" w:cs="Times New Roman" w:hint="eastAsia"/>
          <w:sz w:val="24"/>
        </w:rPr>
        <w:t>表现力（</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4.4</w:t>
      </w:r>
      <w:r w:rsidRPr="00D554C2">
        <w:rPr>
          <w:rFonts w:ascii="Calibri" w:eastAsia="宋体" w:hAnsi="Calibri" w:cs="Times New Roman" w:hint="eastAsia"/>
          <w:sz w:val="24"/>
        </w:rPr>
        <w:t>乐感（</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4.5</w:t>
      </w:r>
      <w:r w:rsidRPr="00D554C2">
        <w:rPr>
          <w:rFonts w:ascii="Calibri" w:eastAsia="宋体" w:hAnsi="Calibri" w:cs="Times New Roman" w:hint="eastAsia"/>
          <w:sz w:val="24"/>
        </w:rPr>
        <w:t>控制力（</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），总分值为</w:t>
      </w:r>
      <w:r w:rsidRPr="00D554C2">
        <w:rPr>
          <w:rFonts w:ascii="Calibri" w:eastAsia="宋体" w:hAnsi="Calibri" w:cs="Times New Roman" w:hint="eastAsia"/>
        </w:rPr>
        <w:t>100</w:t>
      </w:r>
      <w:r w:rsidRPr="00D554C2">
        <w:rPr>
          <w:rFonts w:ascii="Calibri" w:eastAsia="宋体" w:hAnsi="Calibri" w:cs="Times New Roman" w:hint="eastAsia"/>
          <w:sz w:val="24"/>
        </w:rPr>
        <w:t>分。</w:t>
      </w:r>
    </w:p>
    <w:p w14:paraId="37B7A4DD"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p w14:paraId="1B3C8994"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技术分为</w:t>
      </w:r>
      <w:r w:rsidRPr="00D554C2">
        <w:rPr>
          <w:rFonts w:ascii="Calibri" w:eastAsia="宋体" w:hAnsi="Calibri" w:cs="Times New Roman" w:hint="eastAsia"/>
          <w:sz w:val="24"/>
        </w:rPr>
        <w:t>ABCDE</w:t>
      </w:r>
      <w:r w:rsidRPr="00D554C2">
        <w:rPr>
          <w:rFonts w:ascii="Calibri" w:eastAsia="宋体" w:hAnsi="Calibri" w:cs="Times New Roman" w:hint="eastAsia"/>
          <w:sz w:val="24"/>
        </w:rPr>
        <w:t>共</w:t>
      </w:r>
      <w:r w:rsidRPr="00D554C2">
        <w:rPr>
          <w:rFonts w:ascii="Calibri" w:eastAsia="宋体" w:hAnsi="Calibri" w:cs="Times New Roman" w:hint="eastAsia"/>
        </w:rPr>
        <w:t>6</w:t>
      </w:r>
      <w:r w:rsidRPr="00D554C2">
        <w:rPr>
          <w:rFonts w:ascii="Calibri" w:eastAsia="宋体" w:hAnsi="Calibri" w:cs="Times New Roman" w:hint="eastAsia"/>
          <w:sz w:val="24"/>
        </w:rPr>
        <w:t>档，分别为优、良、中、可、差。例：最高档</w:t>
      </w:r>
      <w:r w:rsidRPr="00D554C2">
        <w:rPr>
          <w:rFonts w:ascii="Calibri" w:eastAsia="宋体" w:hAnsi="Calibri" w:cs="Times New Roman" w:hint="eastAsia"/>
          <w:sz w:val="24"/>
        </w:rPr>
        <w:t>A</w:t>
      </w:r>
      <w:r w:rsidRPr="00D554C2">
        <w:rPr>
          <w:rFonts w:ascii="Calibri" w:eastAsia="宋体" w:hAnsi="Calibri" w:cs="Times New Roman" w:hint="eastAsia"/>
          <w:sz w:val="24"/>
        </w:rPr>
        <w:t>档分值打分</w:t>
      </w:r>
      <w:r w:rsidRPr="00D554C2">
        <w:rPr>
          <w:rFonts w:ascii="Calibri" w:eastAsia="宋体" w:hAnsi="Calibri" w:cs="Times New Roman" w:hint="eastAsia"/>
          <w:sz w:val="24"/>
        </w:rPr>
        <w:lastRenderedPageBreak/>
        <w:t>范围为</w:t>
      </w:r>
      <w:r w:rsidRPr="00D554C2">
        <w:rPr>
          <w:rFonts w:ascii="Calibri" w:eastAsia="宋体" w:hAnsi="Calibri" w:cs="Times New Roman" w:hint="eastAsia"/>
          <w:sz w:val="24"/>
        </w:rPr>
        <w:t>90-100</w:t>
      </w:r>
      <w:r w:rsidRPr="00D554C2">
        <w:rPr>
          <w:rFonts w:ascii="Calibri" w:eastAsia="宋体" w:hAnsi="Calibri" w:cs="Times New Roman" w:hint="eastAsia"/>
          <w:sz w:val="24"/>
        </w:rPr>
        <w:t>。以此类推，</w:t>
      </w:r>
      <w:r w:rsidRPr="00D554C2">
        <w:rPr>
          <w:rFonts w:ascii="Calibri" w:eastAsia="宋体" w:hAnsi="Calibri" w:cs="Times New Roman" w:hint="eastAsia"/>
          <w:sz w:val="24"/>
        </w:rPr>
        <w:t>E</w:t>
      </w:r>
      <w:r w:rsidRPr="00D554C2">
        <w:rPr>
          <w:rFonts w:ascii="Calibri" w:eastAsia="宋体" w:hAnsi="Calibri" w:cs="Times New Roman" w:hint="eastAsia"/>
          <w:sz w:val="24"/>
        </w:rPr>
        <w:t>档打分范围</w:t>
      </w:r>
      <w:r w:rsidRPr="00D554C2">
        <w:rPr>
          <w:rFonts w:ascii="Calibri" w:eastAsia="宋体" w:hAnsi="Calibri" w:cs="Times New Roman" w:hint="eastAsia"/>
          <w:sz w:val="24"/>
        </w:rPr>
        <w:t>0-59</w:t>
      </w:r>
      <w:r w:rsidRPr="00D554C2">
        <w:rPr>
          <w:rFonts w:ascii="Calibri" w:eastAsia="宋体" w:hAnsi="Calibri" w:cs="Times New Roman" w:hint="eastAsia"/>
          <w:sz w:val="24"/>
        </w:rPr>
        <w:t>分，此项分值</w:t>
      </w:r>
      <w:r w:rsidRPr="00D554C2">
        <w:rPr>
          <w:rFonts w:ascii="Calibri" w:eastAsia="宋体" w:hAnsi="Calibri" w:cs="Times New Roman" w:hint="eastAsia"/>
          <w:sz w:val="24"/>
        </w:rPr>
        <w:t>100</w:t>
      </w:r>
      <w:r w:rsidRPr="00D554C2">
        <w:rPr>
          <w:rFonts w:ascii="Calibri" w:eastAsia="宋体" w:hAnsi="Calibri" w:cs="Times New Roman" w:hint="eastAsia"/>
          <w:sz w:val="24"/>
        </w:rPr>
        <w:t>分</w:t>
      </w:r>
      <w:r w:rsidRPr="00D554C2">
        <w:rPr>
          <w:rFonts w:ascii="Calibri" w:eastAsia="宋体" w:hAnsi="Calibri" w:cs="Times New Roman"/>
          <w:sz w:val="24"/>
        </w:rPr>
        <w:t>。</w:t>
      </w:r>
      <w:r w:rsidRPr="00D554C2">
        <w:rPr>
          <w:rFonts w:ascii="Calibri" w:eastAsia="宋体" w:hAnsi="Calibri" w:cs="Times New Roman" w:hint="eastAsia"/>
          <w:sz w:val="24"/>
        </w:rPr>
        <w:t>（见表</w:t>
      </w:r>
      <w:r w:rsidRPr="00D554C2">
        <w:rPr>
          <w:rFonts w:ascii="Calibri" w:eastAsia="宋体" w:hAnsi="Calibri" w:cs="Times New Roman" w:hint="eastAsia"/>
          <w:sz w:val="24"/>
        </w:rPr>
        <w:t>1</w:t>
      </w:r>
      <w:r w:rsidRPr="00D554C2">
        <w:rPr>
          <w:rFonts w:ascii="Calibri" w:eastAsia="宋体" w:hAnsi="Calibri" w:cs="Times New Roman" w:hint="eastAsia"/>
          <w:sz w:val="24"/>
        </w:rPr>
        <w:t>）</w:t>
      </w:r>
    </w:p>
    <w:p w14:paraId="7C76BDB1" w14:textId="77777777" w:rsidR="00D554C2" w:rsidRPr="00D554C2" w:rsidRDefault="00D554C2" w:rsidP="00D554C2">
      <w:pPr>
        <w:tabs>
          <w:tab w:val="left" w:pos="1332"/>
        </w:tabs>
        <w:adjustRightInd w:val="0"/>
        <w:snapToGrid w:val="0"/>
        <w:spacing w:line="500" w:lineRule="exact"/>
        <w:rPr>
          <w:rFonts w:ascii="Calibri" w:eastAsia="宋体" w:hAnsi="Calibri" w:cs="Times New Roman"/>
          <w:b/>
          <w:sz w:val="32"/>
          <w:szCs w:val="32"/>
        </w:rPr>
      </w:pPr>
    </w:p>
    <w:p w14:paraId="725821B7" w14:textId="77777777" w:rsidR="00D554C2" w:rsidRPr="00D554C2" w:rsidRDefault="00D554C2" w:rsidP="00D554C2">
      <w:pPr>
        <w:tabs>
          <w:tab w:val="left" w:pos="1332"/>
        </w:tabs>
        <w:adjustRightInd w:val="0"/>
        <w:snapToGrid w:val="0"/>
        <w:spacing w:line="500" w:lineRule="exact"/>
        <w:rPr>
          <w:rFonts w:ascii="Calibri" w:eastAsia="宋体" w:hAnsi="Calibri" w:cs="Times New Roman"/>
          <w:b/>
          <w:sz w:val="32"/>
          <w:szCs w:val="32"/>
        </w:rPr>
      </w:pPr>
    </w:p>
    <w:p w14:paraId="3A125168" w14:textId="77777777" w:rsidR="00D554C2" w:rsidRPr="00D554C2" w:rsidRDefault="00D554C2" w:rsidP="00D554C2">
      <w:pPr>
        <w:tabs>
          <w:tab w:val="left" w:pos="1332"/>
        </w:tabs>
        <w:adjustRightInd w:val="0"/>
        <w:snapToGrid w:val="0"/>
        <w:spacing w:line="500" w:lineRule="exact"/>
        <w:rPr>
          <w:rFonts w:ascii="Calibri" w:eastAsia="宋体" w:hAnsi="Calibri" w:cs="Times New Roman"/>
          <w:b/>
          <w:sz w:val="32"/>
          <w:szCs w:val="32"/>
        </w:rPr>
      </w:pPr>
    </w:p>
    <w:p w14:paraId="6BC9DA38" w14:textId="77777777" w:rsidR="00D554C2" w:rsidRPr="00D554C2" w:rsidRDefault="00D554C2" w:rsidP="00D554C2">
      <w:pPr>
        <w:adjustRightInd w:val="0"/>
        <w:snapToGrid w:val="0"/>
        <w:spacing w:line="500" w:lineRule="exact"/>
        <w:ind w:firstLineChars="200" w:firstLine="482"/>
        <w:jc w:val="center"/>
        <w:rPr>
          <w:rFonts w:ascii="Calibri" w:eastAsia="宋体" w:hAnsi="Calibri" w:cs="Times New Roman"/>
          <w:b/>
          <w:sz w:val="24"/>
        </w:rPr>
      </w:pPr>
      <w:r w:rsidRPr="00D554C2">
        <w:rPr>
          <w:rFonts w:ascii="Calibri" w:eastAsia="宋体" w:hAnsi="Calibri" w:cs="Times New Roman" w:hint="eastAsia"/>
          <w:b/>
          <w:sz w:val="24"/>
        </w:rPr>
        <w:t>表</w:t>
      </w:r>
      <w:r w:rsidRPr="00D554C2">
        <w:rPr>
          <w:rFonts w:ascii="Calibri" w:eastAsia="宋体" w:hAnsi="Calibri" w:cs="Times New Roman" w:hint="eastAsia"/>
          <w:b/>
          <w:sz w:val="24"/>
        </w:rPr>
        <w:t>1</w:t>
      </w:r>
      <w:r w:rsidRPr="00D554C2">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D554C2" w:rsidRPr="00D554C2" w14:paraId="2BB74DA2" w14:textId="77777777" w:rsidTr="009B4CAE">
        <w:trPr>
          <w:trHeight w:val="655"/>
        </w:trPr>
        <w:tc>
          <w:tcPr>
            <w:tcW w:w="2268" w:type="dxa"/>
            <w:tcBorders>
              <w:top w:val="single" w:sz="4" w:space="0" w:color="auto"/>
              <w:left w:val="single" w:sz="4" w:space="0" w:color="auto"/>
              <w:bottom w:val="single" w:sz="4" w:space="0" w:color="auto"/>
              <w:right w:val="single" w:sz="4" w:space="0" w:color="auto"/>
            </w:tcBorders>
          </w:tcPr>
          <w:p w14:paraId="39C59593" w14:textId="77777777" w:rsidR="00D554C2" w:rsidRPr="00D554C2" w:rsidRDefault="00D554C2" w:rsidP="00D554C2">
            <w:pPr>
              <w:widowControl/>
              <w:spacing w:line="432" w:lineRule="auto"/>
              <w:jc w:val="center"/>
              <w:rPr>
                <w:rFonts w:ascii="宋体" w:eastAsia="宋体" w:hAnsi="宋体" w:cs="宋体"/>
                <w:color w:val="FFFFFF"/>
                <w:kern w:val="0"/>
                <w:sz w:val="18"/>
                <w:szCs w:val="18"/>
              </w:rPr>
            </w:pPr>
            <w:r w:rsidRPr="00D554C2">
              <w:rPr>
                <w:rFonts w:ascii="宋体" w:eastAsia="宋体" w:hAnsi="宋体" w:cs="宋体"/>
                <w:noProof/>
                <w:kern w:val="0"/>
                <w:sz w:val="18"/>
                <w:szCs w:val="18"/>
              </w:rPr>
              <mc:AlternateContent>
                <mc:Choice Requires="wps">
                  <w:drawing>
                    <wp:anchor distT="0" distB="0" distL="114300" distR="114300" simplePos="0" relativeHeight="251678720" behindDoc="0" locked="0" layoutInCell="1" allowOverlap="1" wp14:anchorId="5F378C10" wp14:editId="71052FCE">
                      <wp:simplePos x="0" y="0"/>
                      <wp:positionH relativeFrom="column">
                        <wp:posOffset>-97790</wp:posOffset>
                      </wp:positionH>
                      <wp:positionV relativeFrom="paragraph">
                        <wp:posOffset>31750</wp:posOffset>
                      </wp:positionV>
                      <wp:extent cx="1432560" cy="638175"/>
                      <wp:effectExtent l="1905" t="4445" r="13335" b="5080"/>
                      <wp:wrapNone/>
                      <wp:docPr id="24" name="直接连接符 24"/>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w14:anchorId="14617984" id="直接连接符 24"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" strokeweight=".5pt"/>
                  </w:pict>
                </mc:Fallback>
              </mc:AlternateContent>
            </w:r>
            <w:r w:rsidRPr="00D554C2">
              <w:rPr>
                <w:rFonts w:ascii="宋体" w:eastAsia="宋体" w:hAnsi="宋体" w:cs="宋体"/>
                <w:kern w:val="0"/>
                <w:sz w:val="18"/>
                <w:szCs w:val="18"/>
              </w:rPr>
              <w:t xml:space="preserve">     </w:t>
            </w:r>
            <w:r w:rsidRPr="00D554C2">
              <w:rPr>
                <w:rFonts w:ascii="Calibri" w:eastAsia="宋体" w:hAnsi="Calibri" w:cs="Times New Roman" w:hint="eastAsia"/>
              </w:rPr>
              <w:t xml:space="preserve">   </w:t>
            </w:r>
            <w:r w:rsidRPr="00D554C2">
              <w:rPr>
                <w:rFonts w:ascii="宋体" w:eastAsia="宋体" w:hAnsi="宋体" w:cs="宋体"/>
                <w:kern w:val="0"/>
                <w:sz w:val="18"/>
                <w:szCs w:val="18"/>
              </w:rPr>
              <w:t xml:space="preserve"> 标准</w:t>
            </w:r>
            <w:r w:rsidRPr="00D554C2">
              <w:rPr>
                <w:rFonts w:ascii="Calibri" w:eastAsia="宋体" w:hAnsi="Calibri" w:cs="Times New Roman" w:hint="eastAsia"/>
                <w:color w:val="FFFFFF"/>
                <w:sz w:val="24"/>
              </w:rPr>
              <w:t>容</w:t>
            </w:r>
          </w:p>
          <w:p w14:paraId="6C07EC5C" w14:textId="77777777" w:rsidR="00D554C2" w:rsidRPr="00D554C2" w:rsidRDefault="00D554C2" w:rsidP="00D554C2">
            <w:pPr>
              <w:widowControl/>
              <w:spacing w:line="432" w:lineRule="auto"/>
              <w:rPr>
                <w:rFonts w:ascii="宋体" w:eastAsia="宋体" w:hAnsi="宋体" w:cs="宋体"/>
                <w:kern w:val="0"/>
                <w:sz w:val="18"/>
                <w:szCs w:val="18"/>
              </w:rPr>
            </w:pPr>
            <w:r w:rsidRPr="00D554C2">
              <w:rPr>
                <w:rFonts w:ascii="Calibri" w:eastAsia="宋体" w:hAnsi="Calibri" w:cs="Times New Roman" w:hint="eastAsia"/>
                <w:sz w:val="24"/>
              </w:rPr>
              <w:t>分</w:t>
            </w:r>
            <w:r w:rsidRPr="00D554C2">
              <w:rPr>
                <w:rFonts w:ascii="Calibri" w:eastAsia="宋体" w:hAnsi="Calibri" w:cs="Times New Roman"/>
                <w:sz w:val="24"/>
              </w:rPr>
              <w:t xml:space="preserve">  </w:t>
            </w:r>
            <w:r w:rsidRPr="00D554C2">
              <w:rPr>
                <w:rFonts w:ascii="Calibri" w:eastAsia="宋体" w:hAnsi="Calibri" w:cs="Times New Roman" w:hint="eastAsia"/>
                <w:sz w:val="24"/>
              </w:rPr>
              <w:t>值</w:t>
            </w:r>
            <w:r w:rsidRPr="00D554C2">
              <w:rPr>
                <w:rFonts w:ascii="Calibri" w:eastAsia="宋体" w:hAnsi="Calibri" w:cs="Times New Roman"/>
                <w:sz w:val="24"/>
              </w:rPr>
              <w:t xml:space="preserve"> </w:t>
            </w:r>
            <w:r w:rsidRPr="00D554C2">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07037BF6" w14:textId="77777777" w:rsidR="00D554C2" w:rsidRPr="00D554C2" w:rsidRDefault="00D554C2" w:rsidP="00D554C2">
            <w:pPr>
              <w:widowControl/>
              <w:spacing w:line="432" w:lineRule="auto"/>
              <w:jc w:val="center"/>
              <w:rPr>
                <w:rFonts w:ascii="宋体" w:eastAsia="宋体" w:hAnsi="宋体" w:cs="宋体"/>
                <w:kern w:val="0"/>
                <w:sz w:val="18"/>
                <w:szCs w:val="18"/>
              </w:rPr>
            </w:pPr>
          </w:p>
        </w:tc>
      </w:tr>
      <w:tr w:rsidR="00D554C2" w:rsidRPr="00D554C2" w14:paraId="58981029" w14:textId="77777777" w:rsidTr="009B4CAE">
        <w:trPr>
          <w:cantSplit/>
        </w:trPr>
        <w:tc>
          <w:tcPr>
            <w:tcW w:w="2268" w:type="dxa"/>
            <w:vMerge w:val="restart"/>
            <w:tcBorders>
              <w:top w:val="single" w:sz="4" w:space="0" w:color="auto"/>
              <w:left w:val="single" w:sz="4" w:space="0" w:color="auto"/>
              <w:right w:val="single" w:sz="4" w:space="0" w:color="auto"/>
            </w:tcBorders>
            <w:vAlign w:val="center"/>
          </w:tcPr>
          <w:p w14:paraId="3229FB59" w14:textId="77777777" w:rsidR="00D554C2" w:rsidRPr="00D554C2" w:rsidRDefault="00D554C2" w:rsidP="00D554C2">
            <w:pPr>
              <w:widowControl/>
              <w:spacing w:line="432" w:lineRule="auto"/>
              <w:ind w:firstLineChars="300" w:firstLine="720"/>
              <w:rPr>
                <w:rFonts w:ascii="Calibri" w:eastAsia="宋体" w:hAnsi="Calibri" w:cs="Times New Roman"/>
              </w:rPr>
            </w:pPr>
            <w:r w:rsidRPr="00D554C2">
              <w:rPr>
                <w:rFonts w:ascii="Calibri" w:eastAsia="宋体" w:hAnsi="Calibri" w:cs="Times New Roman"/>
                <w:sz w:val="24"/>
              </w:rPr>
              <w:t>9</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10</w:t>
            </w:r>
            <w:r w:rsidRPr="00D554C2">
              <w:rPr>
                <w:rFonts w:ascii="Calibri" w:eastAsia="宋体" w:hAnsi="Calibri" w:cs="Times New Roman" w:hint="eastAsia"/>
                <w:sz w:val="24"/>
              </w:rPr>
              <w:t>0</w:t>
            </w:r>
          </w:p>
          <w:p w14:paraId="0F9C415A" w14:textId="77777777" w:rsidR="00D554C2" w:rsidRPr="00D554C2" w:rsidRDefault="00D554C2" w:rsidP="00D554C2">
            <w:pPr>
              <w:widowControl/>
              <w:spacing w:line="432" w:lineRule="auto"/>
              <w:ind w:firstLineChars="300" w:firstLine="630"/>
              <w:rPr>
                <w:rFonts w:ascii="Calibri" w:eastAsia="宋体" w:hAnsi="Calibri" w:cs="Times New Roman"/>
              </w:rPr>
            </w:pPr>
          </w:p>
          <w:p w14:paraId="7883E020"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8</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89</w:t>
            </w:r>
          </w:p>
          <w:p w14:paraId="763A21EF"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7</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79</w:t>
            </w:r>
          </w:p>
          <w:p w14:paraId="2F34C6D6"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6</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69</w:t>
            </w:r>
          </w:p>
          <w:p w14:paraId="16BCC0B5" w14:textId="77777777" w:rsidR="00D554C2" w:rsidRPr="00D554C2" w:rsidRDefault="00D554C2" w:rsidP="00D554C2">
            <w:pPr>
              <w:widowControl/>
              <w:spacing w:line="432" w:lineRule="auto"/>
              <w:jc w:val="center"/>
              <w:rPr>
                <w:rFonts w:ascii="宋体" w:eastAsia="宋体" w:hAnsi="宋体" w:cs="宋体"/>
                <w:kern w:val="0"/>
                <w:sz w:val="18"/>
                <w:szCs w:val="18"/>
              </w:rPr>
            </w:pPr>
            <w:r w:rsidRPr="00D554C2">
              <w:rPr>
                <w:rFonts w:ascii="Calibri" w:eastAsia="宋体" w:hAnsi="Calibri" w:cs="Times New Roman"/>
                <w:sz w:val="24"/>
              </w:rPr>
              <w:t>6</w:t>
            </w:r>
            <w:r w:rsidRPr="00D554C2">
              <w:rPr>
                <w:rFonts w:ascii="Calibri" w:eastAsia="宋体" w:hAnsi="Calibri" w:cs="Times New Roman" w:hint="eastAsia"/>
                <w:sz w:val="24"/>
              </w:rPr>
              <w:t>0</w:t>
            </w:r>
            <w:r w:rsidRPr="00D554C2">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6239A5BC" w14:textId="77777777" w:rsidR="00D554C2" w:rsidRPr="00D554C2" w:rsidRDefault="00D554C2" w:rsidP="00D554C2">
            <w:pPr>
              <w:widowControl/>
              <w:spacing w:line="432" w:lineRule="auto"/>
              <w:jc w:val="center"/>
              <w:rPr>
                <w:rFonts w:ascii="宋体" w:eastAsia="宋体" w:hAnsi="宋体" w:cs="宋体"/>
                <w:kern w:val="0"/>
                <w:sz w:val="18"/>
                <w:szCs w:val="18"/>
              </w:rPr>
            </w:pPr>
            <w:r w:rsidRPr="00D554C2">
              <w:rPr>
                <w:rFonts w:ascii="Calibri" w:eastAsia="宋体" w:hAnsi="Calibri" w:cs="Times New Roman" w:hint="eastAsia"/>
                <w:sz w:val="24"/>
              </w:rPr>
              <w:t>动作标准，张弛有力，体态优美，富有感染力，节奏准确流畅的完成套路</w:t>
            </w:r>
          </w:p>
        </w:tc>
      </w:tr>
      <w:tr w:rsidR="00D554C2" w:rsidRPr="00D554C2" w14:paraId="6DA20B01" w14:textId="77777777" w:rsidTr="009B4CAE">
        <w:trPr>
          <w:cantSplit/>
        </w:trPr>
        <w:tc>
          <w:tcPr>
            <w:tcW w:w="2268" w:type="dxa"/>
            <w:vMerge/>
            <w:tcBorders>
              <w:left w:val="single" w:sz="4" w:space="0" w:color="auto"/>
              <w:right w:val="single" w:sz="4" w:space="0" w:color="auto"/>
            </w:tcBorders>
            <w:vAlign w:val="center"/>
          </w:tcPr>
          <w:p w14:paraId="5CB0E031"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089595D7"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能跟上节奏，较好的完成套路，</w:t>
            </w:r>
          </w:p>
        </w:tc>
      </w:tr>
      <w:tr w:rsidR="00D554C2" w:rsidRPr="00D554C2" w14:paraId="29BB2E33" w14:textId="77777777" w:rsidTr="009B4CAE">
        <w:trPr>
          <w:cantSplit/>
        </w:trPr>
        <w:tc>
          <w:tcPr>
            <w:tcW w:w="2268" w:type="dxa"/>
            <w:vMerge/>
            <w:tcBorders>
              <w:left w:val="single" w:sz="4" w:space="0" w:color="auto"/>
              <w:right w:val="single" w:sz="4" w:space="0" w:color="auto"/>
            </w:tcBorders>
            <w:vAlign w:val="center"/>
          </w:tcPr>
          <w:p w14:paraId="7C8D2483"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4DBEBF3C"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姿势一般，动作基本正确，节奏基本正确</w:t>
            </w:r>
          </w:p>
        </w:tc>
      </w:tr>
      <w:tr w:rsidR="00D554C2" w:rsidRPr="00D554C2" w14:paraId="4181B720" w14:textId="77777777" w:rsidTr="009B4CAE">
        <w:trPr>
          <w:cantSplit/>
        </w:trPr>
        <w:tc>
          <w:tcPr>
            <w:tcW w:w="2268" w:type="dxa"/>
            <w:vMerge/>
            <w:tcBorders>
              <w:left w:val="single" w:sz="4" w:space="0" w:color="auto"/>
              <w:right w:val="single" w:sz="4" w:space="0" w:color="auto"/>
            </w:tcBorders>
            <w:vAlign w:val="center"/>
          </w:tcPr>
          <w:p w14:paraId="0CE8265C"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41144401"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完成动作较吃力</w:t>
            </w:r>
          </w:p>
        </w:tc>
      </w:tr>
      <w:tr w:rsidR="00D554C2" w:rsidRPr="00D554C2" w14:paraId="69FA9885" w14:textId="77777777" w:rsidTr="009B4CAE">
        <w:trPr>
          <w:cantSplit/>
        </w:trPr>
        <w:tc>
          <w:tcPr>
            <w:tcW w:w="2268" w:type="dxa"/>
            <w:vMerge/>
            <w:tcBorders>
              <w:left w:val="single" w:sz="4" w:space="0" w:color="auto"/>
              <w:bottom w:val="single" w:sz="4" w:space="0" w:color="auto"/>
              <w:right w:val="single" w:sz="4" w:space="0" w:color="auto"/>
            </w:tcBorders>
            <w:vAlign w:val="center"/>
          </w:tcPr>
          <w:p w14:paraId="285B1B85" w14:textId="77777777" w:rsidR="00D554C2" w:rsidRPr="00D554C2" w:rsidRDefault="00D554C2" w:rsidP="00D554C2">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4A3B8F70"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动作僵硬，不协调，乐感差</w:t>
            </w:r>
          </w:p>
        </w:tc>
      </w:tr>
    </w:tbl>
    <w:p w14:paraId="4DBA288B" w14:textId="77777777" w:rsidR="00D554C2" w:rsidRPr="00D554C2" w:rsidRDefault="00D554C2" w:rsidP="00D554C2">
      <w:pPr>
        <w:adjustRightInd w:val="0"/>
        <w:snapToGrid w:val="0"/>
        <w:spacing w:line="500" w:lineRule="exact"/>
        <w:jc w:val="center"/>
        <w:rPr>
          <w:rFonts w:ascii="宋体" w:eastAsia="宋体" w:hAnsi="Calibri" w:cs="Times New Roman"/>
          <w:b/>
          <w:kern w:val="0"/>
          <w:sz w:val="24"/>
        </w:rPr>
      </w:pPr>
      <w:r w:rsidRPr="00D554C2">
        <w:rPr>
          <w:rFonts w:ascii="宋体" w:eastAsia="宋体" w:hAnsi="Calibri" w:cs="Times New Roman" w:hint="eastAsia"/>
          <w:b/>
          <w:kern w:val="0"/>
          <w:sz w:val="24"/>
        </w:rPr>
        <w:t>期末考试</w:t>
      </w:r>
    </w:p>
    <w:p w14:paraId="79B22A7E"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通过考核检验啦</w:t>
      </w:r>
      <w:proofErr w:type="gramStart"/>
      <w:r w:rsidRPr="00D554C2">
        <w:rPr>
          <w:rFonts w:ascii="宋体" w:eastAsia="宋体" w:hAnsi="Calibri" w:cs="Times New Roman" w:hint="eastAsia"/>
          <w:bCs/>
          <w:kern w:val="0"/>
          <w:sz w:val="24"/>
        </w:rPr>
        <w:t>啦操技术</w:t>
      </w:r>
      <w:proofErr w:type="gramEnd"/>
      <w:r w:rsidRPr="00D554C2">
        <w:rPr>
          <w:rFonts w:ascii="宋体" w:eastAsia="宋体" w:hAnsi="Calibri" w:cs="Times New Roman" w:hint="eastAsia"/>
          <w:bCs/>
          <w:kern w:val="0"/>
          <w:sz w:val="24"/>
        </w:rPr>
        <w:t>教学效果和学生掌握情况，让学生了解选项课内容和科学体育锻炼方式方法。</w:t>
      </w:r>
    </w:p>
    <w:p w14:paraId="43152759"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2.课程考核的内容：</w:t>
      </w:r>
      <w:r w:rsidRPr="00D554C2">
        <w:rPr>
          <w:rFonts w:ascii="宋体" w:eastAsia="宋体" w:hAnsi="Calibri" w:cs="Times New Roman" w:hint="eastAsia"/>
          <w:bCs/>
          <w:kern w:val="0"/>
          <w:sz w:val="24"/>
        </w:rPr>
        <w:t>啦</w:t>
      </w:r>
      <w:proofErr w:type="gramStart"/>
      <w:r w:rsidRPr="00D554C2">
        <w:rPr>
          <w:rFonts w:ascii="宋体" w:eastAsia="宋体" w:hAnsi="Calibri" w:cs="Times New Roman" w:hint="eastAsia"/>
          <w:bCs/>
          <w:kern w:val="0"/>
          <w:sz w:val="24"/>
        </w:rPr>
        <w:t>啦</w:t>
      </w:r>
      <w:proofErr w:type="gramEnd"/>
      <w:r w:rsidRPr="00D554C2">
        <w:rPr>
          <w:rFonts w:ascii="宋体" w:eastAsia="宋体" w:hAnsi="Calibri" w:cs="Times New Roman" w:hint="eastAsia"/>
          <w:bCs/>
          <w:kern w:val="0"/>
          <w:sz w:val="24"/>
        </w:rPr>
        <w:t>操套路（一）</w:t>
      </w:r>
    </w:p>
    <w:p w14:paraId="1D9359AD"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Cs/>
          <w:kern w:val="0"/>
          <w:sz w:val="24"/>
        </w:rPr>
      </w:pPr>
      <w:r w:rsidRPr="00D554C2">
        <w:rPr>
          <w:rFonts w:ascii="宋体" w:eastAsia="宋体" w:hAnsi="Calibri" w:cs="Times New Roman" w:hint="eastAsia"/>
          <w:b/>
          <w:kern w:val="0"/>
          <w:sz w:val="24"/>
        </w:rPr>
        <w:t>3.课程考核方式：</w:t>
      </w:r>
      <w:r w:rsidRPr="00D554C2">
        <w:rPr>
          <w:rFonts w:ascii="宋体" w:eastAsia="宋体" w:hAnsi="Calibri" w:cs="Times New Roman" w:hint="eastAsia"/>
          <w:bCs/>
          <w:kern w:val="0"/>
          <w:sz w:val="24"/>
        </w:rPr>
        <w:t>在音乐伴奏下，以小组形式进行测试</w:t>
      </w:r>
    </w:p>
    <w:p w14:paraId="38E3FB3E"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
          <w:kern w:val="0"/>
          <w:sz w:val="24"/>
        </w:rPr>
      </w:pPr>
      <w:r w:rsidRPr="00D554C2">
        <w:rPr>
          <w:rFonts w:ascii="宋体" w:eastAsia="宋体" w:hAnsi="Calibri" w:cs="Times New Roman" w:hint="eastAsia"/>
          <w:b/>
          <w:kern w:val="0"/>
          <w:sz w:val="24"/>
        </w:rPr>
        <w:t>4.成绩构成及分值：</w:t>
      </w:r>
    </w:p>
    <w:p w14:paraId="1D2A589C"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宋体" w:eastAsia="宋体" w:hAnsi="Calibri" w:cs="Times New Roman" w:hint="eastAsia"/>
          <w:bCs/>
          <w:kern w:val="0"/>
          <w:sz w:val="24"/>
        </w:rPr>
        <w:t>4.1</w:t>
      </w:r>
      <w:r w:rsidRPr="00D554C2">
        <w:rPr>
          <w:rFonts w:ascii="Calibri" w:eastAsia="宋体" w:hAnsi="Calibri" w:cs="Times New Roman" w:hint="eastAsia"/>
        </w:rPr>
        <w:t>.</w:t>
      </w:r>
      <w:r w:rsidRPr="00D554C2">
        <w:rPr>
          <w:rFonts w:ascii="Calibri" w:eastAsia="宋体" w:hAnsi="Calibri" w:cs="Times New Roman" w:hint="eastAsia"/>
          <w:sz w:val="24"/>
        </w:rPr>
        <w:t>套路完成情况（</w:t>
      </w:r>
      <w:r w:rsidRPr="00D554C2">
        <w:rPr>
          <w:rFonts w:ascii="Calibri" w:eastAsia="宋体" w:hAnsi="Calibri" w:cs="Times New Roman" w:hint="eastAsia"/>
        </w:rPr>
        <w:t>60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4.2</w:t>
      </w:r>
      <w:r w:rsidRPr="00D554C2">
        <w:rPr>
          <w:rFonts w:ascii="Calibri" w:eastAsia="宋体" w:hAnsi="Calibri" w:cs="Times New Roman" w:hint="eastAsia"/>
          <w:sz w:val="24"/>
        </w:rPr>
        <w:t>基本形态（</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4.3</w:t>
      </w:r>
      <w:r w:rsidRPr="00D554C2">
        <w:rPr>
          <w:rFonts w:ascii="Calibri" w:eastAsia="宋体" w:hAnsi="Calibri" w:cs="Times New Roman" w:hint="eastAsia"/>
          <w:sz w:val="24"/>
        </w:rPr>
        <w:t>表现力（</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4.4</w:t>
      </w:r>
      <w:r w:rsidRPr="00D554C2">
        <w:rPr>
          <w:rFonts w:ascii="Calibri" w:eastAsia="宋体" w:hAnsi="Calibri" w:cs="Times New Roman" w:hint="eastAsia"/>
          <w:sz w:val="24"/>
        </w:rPr>
        <w:t>乐感（</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4.5</w:t>
      </w:r>
      <w:r w:rsidRPr="00D554C2">
        <w:rPr>
          <w:rFonts w:ascii="Calibri" w:eastAsia="宋体" w:hAnsi="Calibri" w:cs="Times New Roman" w:hint="eastAsia"/>
          <w:sz w:val="24"/>
        </w:rPr>
        <w:t>控制力（</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），总分值为</w:t>
      </w:r>
      <w:r w:rsidRPr="00D554C2">
        <w:rPr>
          <w:rFonts w:ascii="Calibri" w:eastAsia="宋体" w:hAnsi="Calibri" w:cs="Times New Roman" w:hint="eastAsia"/>
        </w:rPr>
        <w:t>100</w:t>
      </w:r>
      <w:r w:rsidRPr="00D554C2">
        <w:rPr>
          <w:rFonts w:ascii="Calibri" w:eastAsia="宋体" w:hAnsi="Calibri" w:cs="Times New Roman" w:hint="eastAsia"/>
          <w:sz w:val="24"/>
        </w:rPr>
        <w:t>分。</w:t>
      </w:r>
    </w:p>
    <w:p w14:paraId="7C961F67"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p w14:paraId="263F9E3E"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技术分为</w:t>
      </w:r>
      <w:r w:rsidRPr="00D554C2">
        <w:rPr>
          <w:rFonts w:ascii="Calibri" w:eastAsia="宋体" w:hAnsi="Calibri" w:cs="Times New Roman" w:hint="eastAsia"/>
          <w:sz w:val="24"/>
        </w:rPr>
        <w:t>ABCDE</w:t>
      </w:r>
      <w:r w:rsidRPr="00D554C2">
        <w:rPr>
          <w:rFonts w:ascii="Calibri" w:eastAsia="宋体" w:hAnsi="Calibri" w:cs="Times New Roman" w:hint="eastAsia"/>
          <w:sz w:val="24"/>
        </w:rPr>
        <w:t>共</w:t>
      </w:r>
      <w:r w:rsidRPr="00D554C2">
        <w:rPr>
          <w:rFonts w:ascii="Calibri" w:eastAsia="宋体" w:hAnsi="Calibri" w:cs="Times New Roman" w:hint="eastAsia"/>
        </w:rPr>
        <w:t>6</w:t>
      </w:r>
      <w:r w:rsidRPr="00D554C2">
        <w:rPr>
          <w:rFonts w:ascii="Calibri" w:eastAsia="宋体" w:hAnsi="Calibri" w:cs="Times New Roman" w:hint="eastAsia"/>
          <w:sz w:val="24"/>
        </w:rPr>
        <w:t>档，分别为优、良、中、可、差。例：最高档</w:t>
      </w:r>
      <w:r w:rsidRPr="00D554C2">
        <w:rPr>
          <w:rFonts w:ascii="Calibri" w:eastAsia="宋体" w:hAnsi="Calibri" w:cs="Times New Roman" w:hint="eastAsia"/>
          <w:sz w:val="24"/>
        </w:rPr>
        <w:t>A</w:t>
      </w:r>
      <w:r w:rsidRPr="00D554C2">
        <w:rPr>
          <w:rFonts w:ascii="Calibri" w:eastAsia="宋体" w:hAnsi="Calibri" w:cs="Times New Roman" w:hint="eastAsia"/>
          <w:sz w:val="24"/>
        </w:rPr>
        <w:t>档分值打分范围为</w:t>
      </w:r>
      <w:r w:rsidRPr="00D554C2">
        <w:rPr>
          <w:rFonts w:ascii="Calibri" w:eastAsia="宋体" w:hAnsi="Calibri" w:cs="Times New Roman" w:hint="eastAsia"/>
          <w:sz w:val="24"/>
        </w:rPr>
        <w:t>90-100</w:t>
      </w:r>
      <w:r w:rsidRPr="00D554C2">
        <w:rPr>
          <w:rFonts w:ascii="Calibri" w:eastAsia="宋体" w:hAnsi="Calibri" w:cs="Times New Roman" w:hint="eastAsia"/>
          <w:sz w:val="24"/>
        </w:rPr>
        <w:t>。以此类推，</w:t>
      </w:r>
      <w:r w:rsidRPr="00D554C2">
        <w:rPr>
          <w:rFonts w:ascii="Calibri" w:eastAsia="宋体" w:hAnsi="Calibri" w:cs="Times New Roman" w:hint="eastAsia"/>
          <w:sz w:val="24"/>
        </w:rPr>
        <w:t>E</w:t>
      </w:r>
      <w:r w:rsidRPr="00D554C2">
        <w:rPr>
          <w:rFonts w:ascii="Calibri" w:eastAsia="宋体" w:hAnsi="Calibri" w:cs="Times New Roman" w:hint="eastAsia"/>
          <w:sz w:val="24"/>
        </w:rPr>
        <w:t>档打分范围</w:t>
      </w:r>
      <w:r w:rsidRPr="00D554C2">
        <w:rPr>
          <w:rFonts w:ascii="Calibri" w:eastAsia="宋体" w:hAnsi="Calibri" w:cs="Times New Roman" w:hint="eastAsia"/>
          <w:sz w:val="24"/>
        </w:rPr>
        <w:t>0-59</w:t>
      </w:r>
      <w:r w:rsidRPr="00D554C2">
        <w:rPr>
          <w:rFonts w:ascii="Calibri" w:eastAsia="宋体" w:hAnsi="Calibri" w:cs="Times New Roman" w:hint="eastAsia"/>
          <w:sz w:val="24"/>
        </w:rPr>
        <w:t>分，此项分值</w:t>
      </w:r>
      <w:r w:rsidRPr="00D554C2">
        <w:rPr>
          <w:rFonts w:ascii="Calibri" w:eastAsia="宋体" w:hAnsi="Calibri" w:cs="Times New Roman" w:hint="eastAsia"/>
          <w:sz w:val="24"/>
        </w:rPr>
        <w:t>100</w:t>
      </w:r>
      <w:r w:rsidRPr="00D554C2">
        <w:rPr>
          <w:rFonts w:ascii="Calibri" w:eastAsia="宋体" w:hAnsi="Calibri" w:cs="Times New Roman" w:hint="eastAsia"/>
          <w:sz w:val="24"/>
        </w:rPr>
        <w:t>分</w:t>
      </w:r>
      <w:r w:rsidRPr="00D554C2">
        <w:rPr>
          <w:rFonts w:ascii="Calibri" w:eastAsia="宋体" w:hAnsi="Calibri" w:cs="Times New Roman"/>
          <w:sz w:val="24"/>
        </w:rPr>
        <w:t>。</w:t>
      </w:r>
      <w:r w:rsidRPr="00D554C2">
        <w:rPr>
          <w:rFonts w:ascii="Calibri" w:eastAsia="宋体" w:hAnsi="Calibri" w:cs="Times New Roman" w:hint="eastAsia"/>
          <w:sz w:val="24"/>
        </w:rPr>
        <w:t>（见表</w:t>
      </w:r>
      <w:r w:rsidRPr="00D554C2">
        <w:rPr>
          <w:rFonts w:ascii="Calibri" w:eastAsia="宋体" w:hAnsi="Calibri" w:cs="Times New Roman" w:hint="eastAsia"/>
          <w:sz w:val="24"/>
        </w:rPr>
        <w:t>1</w:t>
      </w:r>
      <w:r w:rsidRPr="00D554C2">
        <w:rPr>
          <w:rFonts w:ascii="Calibri" w:eastAsia="宋体" w:hAnsi="Calibri" w:cs="Times New Roman" w:hint="eastAsia"/>
          <w:sz w:val="24"/>
        </w:rPr>
        <w:t>）</w:t>
      </w:r>
    </w:p>
    <w:p w14:paraId="71A672AF" w14:textId="77777777" w:rsidR="00D554C2" w:rsidRPr="00D554C2" w:rsidRDefault="00D554C2" w:rsidP="00D554C2">
      <w:pPr>
        <w:adjustRightInd w:val="0"/>
        <w:snapToGrid w:val="0"/>
        <w:spacing w:line="500" w:lineRule="exact"/>
        <w:ind w:firstLineChars="1045" w:firstLine="2518"/>
        <w:rPr>
          <w:rFonts w:ascii="Calibri" w:eastAsia="宋体" w:hAnsi="Calibri" w:cs="Times New Roman"/>
          <w:b/>
          <w:sz w:val="24"/>
        </w:rPr>
      </w:pPr>
      <w:r w:rsidRPr="00D554C2">
        <w:rPr>
          <w:rFonts w:ascii="Calibri" w:eastAsia="宋体" w:hAnsi="Calibri" w:cs="Times New Roman" w:hint="eastAsia"/>
          <w:b/>
          <w:sz w:val="24"/>
        </w:rPr>
        <w:t>表</w:t>
      </w:r>
      <w:r w:rsidRPr="00D554C2">
        <w:rPr>
          <w:rFonts w:ascii="Calibri" w:eastAsia="宋体" w:hAnsi="Calibri" w:cs="Times New Roman" w:hint="eastAsia"/>
          <w:b/>
          <w:sz w:val="24"/>
        </w:rPr>
        <w:t>1</w:t>
      </w:r>
      <w:r w:rsidRPr="00D554C2">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D554C2" w:rsidRPr="00D554C2" w14:paraId="4B19AAF4" w14:textId="77777777" w:rsidTr="009B4CAE">
        <w:trPr>
          <w:trHeight w:val="655"/>
        </w:trPr>
        <w:tc>
          <w:tcPr>
            <w:tcW w:w="2268" w:type="dxa"/>
            <w:tcBorders>
              <w:top w:val="single" w:sz="4" w:space="0" w:color="auto"/>
              <w:left w:val="single" w:sz="4" w:space="0" w:color="auto"/>
              <w:bottom w:val="single" w:sz="4" w:space="0" w:color="auto"/>
              <w:right w:val="single" w:sz="4" w:space="0" w:color="auto"/>
            </w:tcBorders>
          </w:tcPr>
          <w:p w14:paraId="198A8C54" w14:textId="77777777" w:rsidR="00D554C2" w:rsidRPr="00D554C2" w:rsidRDefault="00D554C2" w:rsidP="00D554C2">
            <w:pPr>
              <w:widowControl/>
              <w:spacing w:line="432" w:lineRule="auto"/>
              <w:jc w:val="center"/>
              <w:rPr>
                <w:rFonts w:ascii="宋体" w:eastAsia="宋体" w:hAnsi="宋体" w:cs="宋体"/>
                <w:color w:val="FFFFFF"/>
                <w:kern w:val="0"/>
                <w:sz w:val="18"/>
                <w:szCs w:val="18"/>
              </w:rPr>
            </w:pPr>
            <w:r w:rsidRPr="00D554C2">
              <w:rPr>
                <w:rFonts w:ascii="宋体" w:eastAsia="宋体" w:hAnsi="宋体" w:cs="宋体"/>
                <w:noProof/>
                <w:kern w:val="0"/>
                <w:sz w:val="18"/>
                <w:szCs w:val="18"/>
              </w:rPr>
              <w:lastRenderedPageBreak/>
              <mc:AlternateContent>
                <mc:Choice Requires="wps">
                  <w:drawing>
                    <wp:anchor distT="0" distB="0" distL="114300" distR="114300" simplePos="0" relativeHeight="251679744" behindDoc="0" locked="0" layoutInCell="1" allowOverlap="1" wp14:anchorId="6F07E48C" wp14:editId="1CD7D2A9">
                      <wp:simplePos x="0" y="0"/>
                      <wp:positionH relativeFrom="column">
                        <wp:posOffset>-97790</wp:posOffset>
                      </wp:positionH>
                      <wp:positionV relativeFrom="paragraph">
                        <wp:posOffset>31750</wp:posOffset>
                      </wp:positionV>
                      <wp:extent cx="1432560" cy="638175"/>
                      <wp:effectExtent l="1905" t="4445" r="13335" b="5080"/>
                      <wp:wrapNone/>
                      <wp:docPr id="53" name="直接连接符 53"/>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w14:anchorId="54C3F660" id="直接连接符 53" o:spid="_x0000_s1026" style="position:absolute;z-index:251679744;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" strokeweight=".5pt"/>
                  </w:pict>
                </mc:Fallback>
              </mc:AlternateContent>
            </w:r>
            <w:r w:rsidRPr="00D554C2">
              <w:rPr>
                <w:rFonts w:ascii="宋体" w:eastAsia="宋体" w:hAnsi="宋体" w:cs="宋体"/>
                <w:kern w:val="0"/>
                <w:sz w:val="18"/>
                <w:szCs w:val="18"/>
              </w:rPr>
              <w:t xml:space="preserve">     </w:t>
            </w:r>
            <w:r w:rsidRPr="00D554C2">
              <w:rPr>
                <w:rFonts w:ascii="Calibri" w:eastAsia="宋体" w:hAnsi="Calibri" w:cs="Times New Roman" w:hint="eastAsia"/>
              </w:rPr>
              <w:t xml:space="preserve">   </w:t>
            </w:r>
            <w:r w:rsidRPr="00D554C2">
              <w:rPr>
                <w:rFonts w:ascii="宋体" w:eastAsia="宋体" w:hAnsi="宋体" w:cs="宋体"/>
                <w:kern w:val="0"/>
                <w:sz w:val="18"/>
                <w:szCs w:val="18"/>
              </w:rPr>
              <w:t xml:space="preserve"> 标准</w:t>
            </w:r>
            <w:r w:rsidRPr="00D554C2">
              <w:rPr>
                <w:rFonts w:ascii="Calibri" w:eastAsia="宋体" w:hAnsi="Calibri" w:cs="Times New Roman" w:hint="eastAsia"/>
                <w:color w:val="FFFFFF"/>
                <w:sz w:val="24"/>
              </w:rPr>
              <w:t>容</w:t>
            </w:r>
          </w:p>
          <w:p w14:paraId="73362397" w14:textId="77777777" w:rsidR="00D554C2" w:rsidRPr="00D554C2" w:rsidRDefault="00D554C2" w:rsidP="00D554C2">
            <w:pPr>
              <w:widowControl/>
              <w:spacing w:line="432" w:lineRule="auto"/>
              <w:rPr>
                <w:rFonts w:ascii="宋体" w:eastAsia="宋体" w:hAnsi="宋体" w:cs="宋体"/>
                <w:kern w:val="0"/>
                <w:sz w:val="18"/>
                <w:szCs w:val="18"/>
              </w:rPr>
            </w:pPr>
            <w:r w:rsidRPr="00D554C2">
              <w:rPr>
                <w:rFonts w:ascii="Calibri" w:eastAsia="宋体" w:hAnsi="Calibri" w:cs="Times New Roman" w:hint="eastAsia"/>
                <w:sz w:val="24"/>
              </w:rPr>
              <w:t>分</w:t>
            </w:r>
            <w:r w:rsidRPr="00D554C2">
              <w:rPr>
                <w:rFonts w:ascii="Calibri" w:eastAsia="宋体" w:hAnsi="Calibri" w:cs="Times New Roman"/>
                <w:sz w:val="24"/>
              </w:rPr>
              <w:t xml:space="preserve">  </w:t>
            </w:r>
            <w:r w:rsidRPr="00D554C2">
              <w:rPr>
                <w:rFonts w:ascii="Calibri" w:eastAsia="宋体" w:hAnsi="Calibri" w:cs="Times New Roman" w:hint="eastAsia"/>
                <w:sz w:val="24"/>
              </w:rPr>
              <w:t>值</w:t>
            </w:r>
            <w:r w:rsidRPr="00D554C2">
              <w:rPr>
                <w:rFonts w:ascii="Calibri" w:eastAsia="宋体" w:hAnsi="Calibri" w:cs="Times New Roman"/>
                <w:sz w:val="24"/>
              </w:rPr>
              <w:t xml:space="preserve"> </w:t>
            </w:r>
            <w:r w:rsidRPr="00D554C2">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7F005715" w14:textId="77777777" w:rsidR="00D554C2" w:rsidRPr="00D554C2" w:rsidRDefault="00D554C2" w:rsidP="00D554C2">
            <w:pPr>
              <w:widowControl/>
              <w:spacing w:line="432" w:lineRule="auto"/>
              <w:jc w:val="center"/>
              <w:rPr>
                <w:rFonts w:ascii="宋体" w:eastAsia="宋体" w:hAnsi="宋体" w:cs="宋体"/>
                <w:kern w:val="0"/>
                <w:sz w:val="18"/>
                <w:szCs w:val="18"/>
              </w:rPr>
            </w:pPr>
          </w:p>
        </w:tc>
      </w:tr>
      <w:tr w:rsidR="00D554C2" w:rsidRPr="00D554C2" w14:paraId="78884EC5" w14:textId="77777777" w:rsidTr="009B4CAE">
        <w:trPr>
          <w:cantSplit/>
        </w:trPr>
        <w:tc>
          <w:tcPr>
            <w:tcW w:w="2268" w:type="dxa"/>
            <w:vMerge w:val="restart"/>
            <w:tcBorders>
              <w:top w:val="single" w:sz="4" w:space="0" w:color="auto"/>
              <w:left w:val="single" w:sz="4" w:space="0" w:color="auto"/>
              <w:right w:val="single" w:sz="4" w:space="0" w:color="auto"/>
            </w:tcBorders>
            <w:vAlign w:val="center"/>
          </w:tcPr>
          <w:p w14:paraId="32C022E4" w14:textId="77777777" w:rsidR="00D554C2" w:rsidRPr="00D554C2" w:rsidRDefault="00D554C2" w:rsidP="00D554C2">
            <w:pPr>
              <w:widowControl/>
              <w:spacing w:line="432" w:lineRule="auto"/>
              <w:ind w:firstLineChars="300" w:firstLine="720"/>
              <w:rPr>
                <w:rFonts w:ascii="Calibri" w:eastAsia="宋体" w:hAnsi="Calibri" w:cs="Times New Roman"/>
              </w:rPr>
            </w:pPr>
            <w:r w:rsidRPr="00D554C2">
              <w:rPr>
                <w:rFonts w:ascii="Calibri" w:eastAsia="宋体" w:hAnsi="Calibri" w:cs="Times New Roman"/>
                <w:sz w:val="24"/>
              </w:rPr>
              <w:t>9</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10</w:t>
            </w:r>
            <w:r w:rsidRPr="00D554C2">
              <w:rPr>
                <w:rFonts w:ascii="Calibri" w:eastAsia="宋体" w:hAnsi="Calibri" w:cs="Times New Roman" w:hint="eastAsia"/>
                <w:sz w:val="24"/>
              </w:rPr>
              <w:t>0</w:t>
            </w:r>
          </w:p>
          <w:p w14:paraId="10074CEA" w14:textId="77777777" w:rsidR="00D554C2" w:rsidRPr="00D554C2" w:rsidRDefault="00D554C2" w:rsidP="00D554C2">
            <w:pPr>
              <w:widowControl/>
              <w:spacing w:line="432" w:lineRule="auto"/>
              <w:ind w:firstLineChars="300" w:firstLine="630"/>
              <w:rPr>
                <w:rFonts w:ascii="Calibri" w:eastAsia="宋体" w:hAnsi="Calibri" w:cs="Times New Roman"/>
              </w:rPr>
            </w:pPr>
          </w:p>
          <w:p w14:paraId="031E5672"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8</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89</w:t>
            </w:r>
          </w:p>
          <w:p w14:paraId="3DE7180D"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7</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79</w:t>
            </w:r>
          </w:p>
          <w:p w14:paraId="65926CE2"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6</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69</w:t>
            </w:r>
          </w:p>
          <w:p w14:paraId="3D6819DB" w14:textId="77777777" w:rsidR="00D554C2" w:rsidRPr="00D554C2" w:rsidRDefault="00D554C2" w:rsidP="00D554C2">
            <w:pPr>
              <w:widowControl/>
              <w:spacing w:line="432" w:lineRule="auto"/>
              <w:jc w:val="center"/>
              <w:rPr>
                <w:rFonts w:ascii="宋体" w:eastAsia="宋体" w:hAnsi="宋体" w:cs="宋体"/>
                <w:kern w:val="0"/>
                <w:sz w:val="18"/>
                <w:szCs w:val="18"/>
              </w:rPr>
            </w:pPr>
            <w:r w:rsidRPr="00D554C2">
              <w:rPr>
                <w:rFonts w:ascii="Calibri" w:eastAsia="宋体" w:hAnsi="Calibri" w:cs="Times New Roman"/>
                <w:sz w:val="24"/>
              </w:rPr>
              <w:t>6</w:t>
            </w:r>
            <w:r w:rsidRPr="00D554C2">
              <w:rPr>
                <w:rFonts w:ascii="Calibri" w:eastAsia="宋体" w:hAnsi="Calibri" w:cs="Times New Roman" w:hint="eastAsia"/>
                <w:sz w:val="24"/>
              </w:rPr>
              <w:t>0</w:t>
            </w:r>
            <w:r w:rsidRPr="00D554C2">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5DB4B4C8" w14:textId="77777777" w:rsidR="00D554C2" w:rsidRPr="00D554C2" w:rsidRDefault="00D554C2" w:rsidP="00D554C2">
            <w:pPr>
              <w:widowControl/>
              <w:spacing w:line="432" w:lineRule="auto"/>
              <w:jc w:val="center"/>
              <w:rPr>
                <w:rFonts w:ascii="宋体" w:eastAsia="宋体" w:hAnsi="宋体" w:cs="宋体"/>
                <w:kern w:val="0"/>
                <w:sz w:val="18"/>
                <w:szCs w:val="18"/>
              </w:rPr>
            </w:pPr>
            <w:r w:rsidRPr="00D554C2">
              <w:rPr>
                <w:rFonts w:ascii="Calibri" w:eastAsia="宋体" w:hAnsi="Calibri" w:cs="Times New Roman" w:hint="eastAsia"/>
                <w:sz w:val="24"/>
              </w:rPr>
              <w:t>动作标准，张弛有力，体态优美，富有感染力，节奏准确流畅的完成套路</w:t>
            </w:r>
          </w:p>
        </w:tc>
      </w:tr>
      <w:tr w:rsidR="00D554C2" w:rsidRPr="00D554C2" w14:paraId="26B1C585" w14:textId="77777777" w:rsidTr="009B4CAE">
        <w:trPr>
          <w:cantSplit/>
        </w:trPr>
        <w:tc>
          <w:tcPr>
            <w:tcW w:w="2268" w:type="dxa"/>
            <w:vMerge/>
            <w:tcBorders>
              <w:left w:val="single" w:sz="4" w:space="0" w:color="auto"/>
              <w:right w:val="single" w:sz="4" w:space="0" w:color="auto"/>
            </w:tcBorders>
            <w:vAlign w:val="center"/>
          </w:tcPr>
          <w:p w14:paraId="2042CDE9"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3DE21E50"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能跟上节奏，较好的完成套路，</w:t>
            </w:r>
          </w:p>
        </w:tc>
      </w:tr>
      <w:tr w:rsidR="00D554C2" w:rsidRPr="00D554C2" w14:paraId="74E76B6D" w14:textId="77777777" w:rsidTr="009B4CAE">
        <w:trPr>
          <w:cantSplit/>
        </w:trPr>
        <w:tc>
          <w:tcPr>
            <w:tcW w:w="2268" w:type="dxa"/>
            <w:vMerge/>
            <w:tcBorders>
              <w:left w:val="single" w:sz="4" w:space="0" w:color="auto"/>
              <w:right w:val="single" w:sz="4" w:space="0" w:color="auto"/>
            </w:tcBorders>
            <w:vAlign w:val="center"/>
          </w:tcPr>
          <w:p w14:paraId="0CF34CB9"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6CD2FAAB"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姿势一般，动作基本正确，节奏基本正确</w:t>
            </w:r>
          </w:p>
        </w:tc>
      </w:tr>
      <w:tr w:rsidR="00D554C2" w:rsidRPr="00D554C2" w14:paraId="4D48C667" w14:textId="77777777" w:rsidTr="009B4CAE">
        <w:trPr>
          <w:cantSplit/>
        </w:trPr>
        <w:tc>
          <w:tcPr>
            <w:tcW w:w="2268" w:type="dxa"/>
            <w:vMerge/>
            <w:tcBorders>
              <w:left w:val="single" w:sz="4" w:space="0" w:color="auto"/>
              <w:right w:val="single" w:sz="4" w:space="0" w:color="auto"/>
            </w:tcBorders>
            <w:vAlign w:val="center"/>
          </w:tcPr>
          <w:p w14:paraId="6D1137CB"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4896690C"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完成动作较吃力</w:t>
            </w:r>
          </w:p>
        </w:tc>
      </w:tr>
      <w:tr w:rsidR="00D554C2" w:rsidRPr="00D554C2" w14:paraId="434DFEB2" w14:textId="77777777" w:rsidTr="009B4CAE">
        <w:trPr>
          <w:cantSplit/>
        </w:trPr>
        <w:tc>
          <w:tcPr>
            <w:tcW w:w="2268" w:type="dxa"/>
            <w:vMerge/>
            <w:tcBorders>
              <w:left w:val="single" w:sz="4" w:space="0" w:color="auto"/>
              <w:bottom w:val="single" w:sz="4" w:space="0" w:color="auto"/>
              <w:right w:val="single" w:sz="4" w:space="0" w:color="auto"/>
            </w:tcBorders>
            <w:vAlign w:val="center"/>
          </w:tcPr>
          <w:p w14:paraId="7BF03D79" w14:textId="77777777" w:rsidR="00D554C2" w:rsidRPr="00D554C2" w:rsidRDefault="00D554C2" w:rsidP="00D554C2">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4A7345EA"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动作僵硬，不协调，乐感差</w:t>
            </w:r>
          </w:p>
        </w:tc>
      </w:tr>
    </w:tbl>
    <w:p w14:paraId="2230C097" w14:textId="77777777" w:rsidR="00D554C2" w:rsidRPr="00D554C2" w:rsidRDefault="00D554C2" w:rsidP="00D554C2">
      <w:pPr>
        <w:spacing w:beforeLines="50" w:before="156" w:afterLines="50" w:after="156" w:line="440" w:lineRule="exact"/>
        <w:ind w:firstLineChars="150" w:firstLine="420"/>
        <w:rPr>
          <w:rFonts w:ascii="黑体" w:eastAsia="黑体" w:hAnsi="黑体" w:cs="Times New Roman"/>
          <w:sz w:val="28"/>
          <w:szCs w:val="28"/>
        </w:rPr>
      </w:pPr>
      <w:r w:rsidRPr="00D554C2">
        <w:rPr>
          <w:rFonts w:ascii="黑体" w:eastAsia="黑体" w:hAnsi="黑体" w:cs="Times New Roman" w:hint="eastAsia"/>
          <w:sz w:val="28"/>
          <w:szCs w:val="28"/>
        </w:rPr>
        <w:t>第三学期</w:t>
      </w:r>
    </w:p>
    <w:p w14:paraId="43593719" w14:textId="77777777" w:rsidR="00D554C2" w:rsidRPr="00D554C2" w:rsidRDefault="00D554C2" w:rsidP="00D554C2">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D554C2">
        <w:rPr>
          <w:rFonts w:ascii="宋体" w:eastAsia="宋体" w:hAnsi="Calibri" w:cs="Times New Roman" w:hint="eastAsia"/>
          <w:b/>
          <w:kern w:val="0"/>
          <w:sz w:val="24"/>
        </w:rPr>
        <w:t>期中考试</w:t>
      </w:r>
    </w:p>
    <w:p w14:paraId="50A3968B" w14:textId="77777777" w:rsidR="00D554C2" w:rsidRPr="00D554C2" w:rsidRDefault="00D554C2" w:rsidP="00D554C2">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通过考核检验啦</w:t>
      </w:r>
      <w:proofErr w:type="gramStart"/>
      <w:r w:rsidRPr="00D554C2">
        <w:rPr>
          <w:rFonts w:ascii="宋体" w:eastAsia="宋体" w:hAnsi="Calibri" w:cs="Times New Roman" w:hint="eastAsia"/>
          <w:bCs/>
          <w:kern w:val="0"/>
          <w:sz w:val="24"/>
        </w:rPr>
        <w:t>啦操技术</w:t>
      </w:r>
      <w:proofErr w:type="gramEnd"/>
      <w:r w:rsidRPr="00D554C2">
        <w:rPr>
          <w:rFonts w:ascii="宋体" w:eastAsia="宋体" w:hAnsi="Calibri" w:cs="Times New Roman" w:hint="eastAsia"/>
          <w:bCs/>
          <w:kern w:val="0"/>
          <w:sz w:val="24"/>
        </w:rPr>
        <w:t>教学效果和学生掌握情况，让学生了解选项课内容和科学体育锻炼方式方法。</w:t>
      </w:r>
    </w:p>
    <w:p w14:paraId="2ED331E2" w14:textId="77777777" w:rsidR="00D554C2" w:rsidRPr="00D554C2" w:rsidRDefault="00D554C2" w:rsidP="00D554C2">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2.课程考核的内容：</w:t>
      </w:r>
      <w:r w:rsidRPr="00D554C2">
        <w:rPr>
          <w:rFonts w:ascii="宋体" w:eastAsia="宋体" w:hAnsi="Calibri" w:cs="Times New Roman" w:hint="eastAsia"/>
          <w:bCs/>
          <w:kern w:val="0"/>
          <w:sz w:val="24"/>
        </w:rPr>
        <w:t>啦</w:t>
      </w:r>
      <w:proofErr w:type="gramStart"/>
      <w:r w:rsidRPr="00D554C2">
        <w:rPr>
          <w:rFonts w:ascii="宋体" w:eastAsia="宋体" w:hAnsi="Calibri" w:cs="Times New Roman" w:hint="eastAsia"/>
          <w:bCs/>
          <w:kern w:val="0"/>
          <w:sz w:val="24"/>
        </w:rPr>
        <w:t>啦</w:t>
      </w:r>
      <w:proofErr w:type="gramEnd"/>
      <w:r w:rsidRPr="00D554C2">
        <w:rPr>
          <w:rFonts w:ascii="宋体" w:eastAsia="宋体" w:hAnsi="Calibri" w:cs="Times New Roman" w:hint="eastAsia"/>
          <w:bCs/>
          <w:kern w:val="0"/>
          <w:sz w:val="24"/>
        </w:rPr>
        <w:t>操套路（二）组合一</w:t>
      </w:r>
    </w:p>
    <w:p w14:paraId="772D6757"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Cs/>
          <w:kern w:val="0"/>
          <w:sz w:val="24"/>
        </w:rPr>
      </w:pPr>
      <w:r w:rsidRPr="00D554C2">
        <w:rPr>
          <w:rFonts w:ascii="宋体" w:eastAsia="宋体" w:hAnsi="Calibri" w:cs="Times New Roman" w:hint="eastAsia"/>
          <w:b/>
          <w:kern w:val="0"/>
          <w:sz w:val="24"/>
        </w:rPr>
        <w:t>3.课程考核方式：</w:t>
      </w:r>
      <w:r w:rsidRPr="00D554C2">
        <w:rPr>
          <w:rFonts w:ascii="宋体" w:eastAsia="宋体" w:hAnsi="Calibri" w:cs="Times New Roman" w:hint="eastAsia"/>
          <w:bCs/>
          <w:kern w:val="0"/>
          <w:sz w:val="24"/>
        </w:rPr>
        <w:t>在音乐伴奏下，以小组形式进行测试</w:t>
      </w:r>
    </w:p>
    <w:p w14:paraId="23E2764F"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
          <w:kern w:val="0"/>
          <w:sz w:val="24"/>
        </w:rPr>
      </w:pPr>
      <w:r w:rsidRPr="00D554C2">
        <w:rPr>
          <w:rFonts w:ascii="宋体" w:eastAsia="宋体" w:hAnsi="Calibri" w:cs="Times New Roman" w:hint="eastAsia"/>
          <w:b/>
          <w:kern w:val="0"/>
          <w:sz w:val="24"/>
        </w:rPr>
        <w:t>4.成绩构成及分值：</w:t>
      </w:r>
    </w:p>
    <w:p w14:paraId="41E1785C"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宋体" w:eastAsia="宋体" w:hAnsi="Calibri" w:cs="Times New Roman" w:hint="eastAsia"/>
          <w:bCs/>
          <w:kern w:val="0"/>
          <w:sz w:val="24"/>
        </w:rPr>
        <w:t>4.1</w:t>
      </w:r>
      <w:r w:rsidRPr="00D554C2">
        <w:rPr>
          <w:rFonts w:ascii="Calibri" w:eastAsia="宋体" w:hAnsi="Calibri" w:cs="Times New Roman" w:hint="eastAsia"/>
        </w:rPr>
        <w:t>.</w:t>
      </w:r>
      <w:r w:rsidRPr="00D554C2">
        <w:rPr>
          <w:rFonts w:ascii="Calibri" w:eastAsia="宋体" w:hAnsi="Calibri" w:cs="Times New Roman" w:hint="eastAsia"/>
          <w:sz w:val="24"/>
        </w:rPr>
        <w:t>套路完成情况（</w:t>
      </w:r>
      <w:r w:rsidRPr="00D554C2">
        <w:rPr>
          <w:rFonts w:ascii="Calibri" w:eastAsia="宋体" w:hAnsi="Calibri" w:cs="Times New Roman" w:hint="eastAsia"/>
        </w:rPr>
        <w:t>60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4.2</w:t>
      </w:r>
      <w:r w:rsidRPr="00D554C2">
        <w:rPr>
          <w:rFonts w:ascii="Calibri" w:eastAsia="宋体" w:hAnsi="Calibri" w:cs="Times New Roman" w:hint="eastAsia"/>
          <w:sz w:val="24"/>
        </w:rPr>
        <w:t>基本形态（</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4.3</w:t>
      </w:r>
      <w:r w:rsidRPr="00D554C2">
        <w:rPr>
          <w:rFonts w:ascii="Calibri" w:eastAsia="宋体" w:hAnsi="Calibri" w:cs="Times New Roman" w:hint="eastAsia"/>
          <w:sz w:val="24"/>
        </w:rPr>
        <w:t>表现力（</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4.4</w:t>
      </w:r>
      <w:r w:rsidRPr="00D554C2">
        <w:rPr>
          <w:rFonts w:ascii="Calibri" w:eastAsia="宋体" w:hAnsi="Calibri" w:cs="Times New Roman" w:hint="eastAsia"/>
          <w:sz w:val="24"/>
        </w:rPr>
        <w:t>乐感（</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4.5</w:t>
      </w:r>
      <w:r w:rsidRPr="00D554C2">
        <w:rPr>
          <w:rFonts w:ascii="Calibri" w:eastAsia="宋体" w:hAnsi="Calibri" w:cs="Times New Roman" w:hint="eastAsia"/>
          <w:sz w:val="24"/>
        </w:rPr>
        <w:t>控制力（</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），总分值为</w:t>
      </w:r>
      <w:r w:rsidRPr="00D554C2">
        <w:rPr>
          <w:rFonts w:ascii="Calibri" w:eastAsia="宋体" w:hAnsi="Calibri" w:cs="Times New Roman" w:hint="eastAsia"/>
        </w:rPr>
        <w:t>100</w:t>
      </w:r>
      <w:r w:rsidRPr="00D554C2">
        <w:rPr>
          <w:rFonts w:ascii="Calibri" w:eastAsia="宋体" w:hAnsi="Calibri" w:cs="Times New Roman" w:hint="eastAsia"/>
          <w:sz w:val="24"/>
        </w:rPr>
        <w:t>分。</w:t>
      </w:r>
    </w:p>
    <w:p w14:paraId="01D33C17"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p w14:paraId="1FB4E997"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技术分为</w:t>
      </w:r>
      <w:r w:rsidRPr="00D554C2">
        <w:rPr>
          <w:rFonts w:ascii="Calibri" w:eastAsia="宋体" w:hAnsi="Calibri" w:cs="Times New Roman" w:hint="eastAsia"/>
          <w:sz w:val="24"/>
        </w:rPr>
        <w:t>ABCDE</w:t>
      </w:r>
      <w:r w:rsidRPr="00D554C2">
        <w:rPr>
          <w:rFonts w:ascii="Calibri" w:eastAsia="宋体" w:hAnsi="Calibri" w:cs="Times New Roman" w:hint="eastAsia"/>
          <w:sz w:val="24"/>
        </w:rPr>
        <w:t>共</w:t>
      </w:r>
      <w:r w:rsidRPr="00D554C2">
        <w:rPr>
          <w:rFonts w:ascii="Calibri" w:eastAsia="宋体" w:hAnsi="Calibri" w:cs="Times New Roman" w:hint="eastAsia"/>
        </w:rPr>
        <w:t>6</w:t>
      </w:r>
      <w:r w:rsidRPr="00D554C2">
        <w:rPr>
          <w:rFonts w:ascii="Calibri" w:eastAsia="宋体" w:hAnsi="Calibri" w:cs="Times New Roman" w:hint="eastAsia"/>
          <w:sz w:val="24"/>
        </w:rPr>
        <w:t>档，分别为优、良、中、可、差。例：最高档</w:t>
      </w:r>
      <w:r w:rsidRPr="00D554C2">
        <w:rPr>
          <w:rFonts w:ascii="Calibri" w:eastAsia="宋体" w:hAnsi="Calibri" w:cs="Times New Roman" w:hint="eastAsia"/>
          <w:sz w:val="24"/>
        </w:rPr>
        <w:t>A</w:t>
      </w:r>
      <w:r w:rsidRPr="00D554C2">
        <w:rPr>
          <w:rFonts w:ascii="Calibri" w:eastAsia="宋体" w:hAnsi="Calibri" w:cs="Times New Roman" w:hint="eastAsia"/>
          <w:sz w:val="24"/>
        </w:rPr>
        <w:t>档分值打分范围为</w:t>
      </w:r>
      <w:r w:rsidRPr="00D554C2">
        <w:rPr>
          <w:rFonts w:ascii="Calibri" w:eastAsia="宋体" w:hAnsi="Calibri" w:cs="Times New Roman" w:hint="eastAsia"/>
          <w:sz w:val="24"/>
        </w:rPr>
        <w:t>90-100</w:t>
      </w:r>
      <w:r w:rsidRPr="00D554C2">
        <w:rPr>
          <w:rFonts w:ascii="Calibri" w:eastAsia="宋体" w:hAnsi="Calibri" w:cs="Times New Roman" w:hint="eastAsia"/>
          <w:sz w:val="24"/>
        </w:rPr>
        <w:t>。以此类推，</w:t>
      </w:r>
      <w:r w:rsidRPr="00D554C2">
        <w:rPr>
          <w:rFonts w:ascii="Calibri" w:eastAsia="宋体" w:hAnsi="Calibri" w:cs="Times New Roman" w:hint="eastAsia"/>
          <w:sz w:val="24"/>
        </w:rPr>
        <w:t>E</w:t>
      </w:r>
      <w:r w:rsidRPr="00D554C2">
        <w:rPr>
          <w:rFonts w:ascii="Calibri" w:eastAsia="宋体" w:hAnsi="Calibri" w:cs="Times New Roman" w:hint="eastAsia"/>
          <w:sz w:val="24"/>
        </w:rPr>
        <w:t>档打分范围</w:t>
      </w:r>
      <w:r w:rsidRPr="00D554C2">
        <w:rPr>
          <w:rFonts w:ascii="Calibri" w:eastAsia="宋体" w:hAnsi="Calibri" w:cs="Times New Roman" w:hint="eastAsia"/>
          <w:sz w:val="24"/>
        </w:rPr>
        <w:t>0-59</w:t>
      </w:r>
      <w:r w:rsidRPr="00D554C2">
        <w:rPr>
          <w:rFonts w:ascii="Calibri" w:eastAsia="宋体" w:hAnsi="Calibri" w:cs="Times New Roman" w:hint="eastAsia"/>
          <w:sz w:val="24"/>
        </w:rPr>
        <w:t>分，此项分值</w:t>
      </w:r>
      <w:r w:rsidRPr="00D554C2">
        <w:rPr>
          <w:rFonts w:ascii="Calibri" w:eastAsia="宋体" w:hAnsi="Calibri" w:cs="Times New Roman" w:hint="eastAsia"/>
          <w:sz w:val="24"/>
        </w:rPr>
        <w:t>100</w:t>
      </w:r>
      <w:r w:rsidRPr="00D554C2">
        <w:rPr>
          <w:rFonts w:ascii="Calibri" w:eastAsia="宋体" w:hAnsi="Calibri" w:cs="Times New Roman" w:hint="eastAsia"/>
          <w:sz w:val="24"/>
        </w:rPr>
        <w:t>分</w:t>
      </w:r>
      <w:r w:rsidRPr="00D554C2">
        <w:rPr>
          <w:rFonts w:ascii="Calibri" w:eastAsia="宋体" w:hAnsi="Calibri" w:cs="Times New Roman"/>
          <w:sz w:val="24"/>
        </w:rPr>
        <w:t>。</w:t>
      </w:r>
      <w:r w:rsidRPr="00D554C2">
        <w:rPr>
          <w:rFonts w:ascii="Calibri" w:eastAsia="宋体" w:hAnsi="Calibri" w:cs="Times New Roman" w:hint="eastAsia"/>
          <w:sz w:val="24"/>
        </w:rPr>
        <w:t>（见表</w:t>
      </w:r>
      <w:r w:rsidRPr="00D554C2">
        <w:rPr>
          <w:rFonts w:ascii="Calibri" w:eastAsia="宋体" w:hAnsi="Calibri" w:cs="Times New Roman" w:hint="eastAsia"/>
          <w:sz w:val="24"/>
        </w:rPr>
        <w:t>1</w:t>
      </w:r>
      <w:r w:rsidRPr="00D554C2">
        <w:rPr>
          <w:rFonts w:ascii="Calibri" w:eastAsia="宋体" w:hAnsi="Calibri" w:cs="Times New Roman" w:hint="eastAsia"/>
          <w:sz w:val="24"/>
        </w:rPr>
        <w:t>）</w:t>
      </w:r>
    </w:p>
    <w:p w14:paraId="7A721847" w14:textId="77777777" w:rsidR="00D554C2" w:rsidRPr="00D554C2" w:rsidRDefault="00D554C2" w:rsidP="00D554C2">
      <w:pPr>
        <w:adjustRightInd w:val="0"/>
        <w:snapToGrid w:val="0"/>
        <w:spacing w:line="500" w:lineRule="exact"/>
        <w:ind w:firstLineChars="200" w:firstLine="482"/>
        <w:jc w:val="center"/>
        <w:rPr>
          <w:rFonts w:ascii="Calibri" w:eastAsia="宋体" w:hAnsi="Calibri" w:cs="Times New Roman"/>
          <w:b/>
          <w:sz w:val="24"/>
        </w:rPr>
      </w:pPr>
      <w:r w:rsidRPr="00D554C2">
        <w:rPr>
          <w:rFonts w:ascii="Calibri" w:eastAsia="宋体" w:hAnsi="Calibri" w:cs="Times New Roman" w:hint="eastAsia"/>
          <w:b/>
          <w:sz w:val="24"/>
        </w:rPr>
        <w:t>表</w:t>
      </w:r>
      <w:r w:rsidRPr="00D554C2">
        <w:rPr>
          <w:rFonts w:ascii="Calibri" w:eastAsia="宋体" w:hAnsi="Calibri" w:cs="Times New Roman" w:hint="eastAsia"/>
          <w:b/>
          <w:sz w:val="24"/>
        </w:rPr>
        <w:t>1</w:t>
      </w:r>
      <w:r w:rsidRPr="00D554C2">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D554C2" w:rsidRPr="00D554C2" w14:paraId="425E8585" w14:textId="77777777" w:rsidTr="009B4CAE">
        <w:trPr>
          <w:trHeight w:val="655"/>
        </w:trPr>
        <w:tc>
          <w:tcPr>
            <w:tcW w:w="2268" w:type="dxa"/>
            <w:tcBorders>
              <w:top w:val="single" w:sz="4" w:space="0" w:color="auto"/>
              <w:left w:val="single" w:sz="4" w:space="0" w:color="auto"/>
              <w:bottom w:val="single" w:sz="4" w:space="0" w:color="auto"/>
              <w:right w:val="single" w:sz="4" w:space="0" w:color="auto"/>
            </w:tcBorders>
          </w:tcPr>
          <w:p w14:paraId="061A4525" w14:textId="77777777" w:rsidR="00D554C2" w:rsidRPr="00D554C2" w:rsidRDefault="00D554C2" w:rsidP="00D554C2">
            <w:pPr>
              <w:widowControl/>
              <w:spacing w:line="432" w:lineRule="auto"/>
              <w:jc w:val="center"/>
              <w:rPr>
                <w:rFonts w:ascii="宋体" w:eastAsia="宋体" w:hAnsi="宋体" w:cs="宋体"/>
                <w:color w:val="FFFFFF"/>
                <w:kern w:val="0"/>
                <w:sz w:val="18"/>
                <w:szCs w:val="18"/>
              </w:rPr>
            </w:pPr>
            <w:r w:rsidRPr="00D554C2">
              <w:rPr>
                <w:rFonts w:ascii="宋体" w:eastAsia="宋体" w:hAnsi="宋体" w:cs="宋体"/>
                <w:noProof/>
                <w:kern w:val="0"/>
                <w:sz w:val="18"/>
                <w:szCs w:val="18"/>
              </w:rPr>
              <mc:AlternateContent>
                <mc:Choice Requires="wps">
                  <w:drawing>
                    <wp:anchor distT="0" distB="0" distL="114300" distR="114300" simplePos="0" relativeHeight="251680768" behindDoc="0" locked="0" layoutInCell="1" allowOverlap="1" wp14:anchorId="1EB9645B" wp14:editId="494BAB0F">
                      <wp:simplePos x="0" y="0"/>
                      <wp:positionH relativeFrom="column">
                        <wp:posOffset>-97790</wp:posOffset>
                      </wp:positionH>
                      <wp:positionV relativeFrom="paragraph">
                        <wp:posOffset>31750</wp:posOffset>
                      </wp:positionV>
                      <wp:extent cx="1432560" cy="638175"/>
                      <wp:effectExtent l="1905" t="4445" r="13335" b="5080"/>
                      <wp:wrapNone/>
                      <wp:docPr id="34" name="直接连接符 34"/>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w14:anchorId="5E0D8796" id="直接连接符 34" o:spid="_x0000_s1026" style="position:absolute;z-index:251680768;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" strokeweight=".5pt"/>
                  </w:pict>
                </mc:Fallback>
              </mc:AlternateContent>
            </w:r>
            <w:r w:rsidRPr="00D554C2">
              <w:rPr>
                <w:rFonts w:ascii="宋体" w:eastAsia="宋体" w:hAnsi="宋体" w:cs="宋体"/>
                <w:kern w:val="0"/>
                <w:sz w:val="18"/>
                <w:szCs w:val="18"/>
              </w:rPr>
              <w:t xml:space="preserve">     </w:t>
            </w:r>
            <w:r w:rsidRPr="00D554C2">
              <w:rPr>
                <w:rFonts w:ascii="Calibri" w:eastAsia="宋体" w:hAnsi="Calibri" w:cs="Times New Roman" w:hint="eastAsia"/>
              </w:rPr>
              <w:t xml:space="preserve">   </w:t>
            </w:r>
            <w:r w:rsidRPr="00D554C2">
              <w:rPr>
                <w:rFonts w:ascii="宋体" w:eastAsia="宋体" w:hAnsi="宋体" w:cs="宋体"/>
                <w:kern w:val="0"/>
                <w:sz w:val="18"/>
                <w:szCs w:val="18"/>
              </w:rPr>
              <w:t xml:space="preserve"> 标准</w:t>
            </w:r>
            <w:r w:rsidRPr="00D554C2">
              <w:rPr>
                <w:rFonts w:ascii="Calibri" w:eastAsia="宋体" w:hAnsi="Calibri" w:cs="Times New Roman" w:hint="eastAsia"/>
                <w:color w:val="FFFFFF"/>
                <w:sz w:val="24"/>
              </w:rPr>
              <w:t>容</w:t>
            </w:r>
          </w:p>
          <w:p w14:paraId="38DB5EE7" w14:textId="77777777" w:rsidR="00D554C2" w:rsidRPr="00D554C2" w:rsidRDefault="00D554C2" w:rsidP="00D554C2">
            <w:pPr>
              <w:widowControl/>
              <w:spacing w:line="432" w:lineRule="auto"/>
              <w:rPr>
                <w:rFonts w:ascii="宋体" w:eastAsia="宋体" w:hAnsi="宋体" w:cs="宋体"/>
                <w:kern w:val="0"/>
                <w:sz w:val="18"/>
                <w:szCs w:val="18"/>
              </w:rPr>
            </w:pPr>
            <w:r w:rsidRPr="00D554C2">
              <w:rPr>
                <w:rFonts w:ascii="Calibri" w:eastAsia="宋体" w:hAnsi="Calibri" w:cs="Times New Roman" w:hint="eastAsia"/>
                <w:sz w:val="24"/>
              </w:rPr>
              <w:t>分</w:t>
            </w:r>
            <w:r w:rsidRPr="00D554C2">
              <w:rPr>
                <w:rFonts w:ascii="Calibri" w:eastAsia="宋体" w:hAnsi="Calibri" w:cs="Times New Roman"/>
                <w:sz w:val="24"/>
              </w:rPr>
              <w:t xml:space="preserve">  </w:t>
            </w:r>
            <w:r w:rsidRPr="00D554C2">
              <w:rPr>
                <w:rFonts w:ascii="Calibri" w:eastAsia="宋体" w:hAnsi="Calibri" w:cs="Times New Roman" w:hint="eastAsia"/>
                <w:sz w:val="24"/>
              </w:rPr>
              <w:t>值</w:t>
            </w:r>
            <w:r w:rsidRPr="00D554C2">
              <w:rPr>
                <w:rFonts w:ascii="Calibri" w:eastAsia="宋体" w:hAnsi="Calibri" w:cs="Times New Roman"/>
                <w:sz w:val="24"/>
              </w:rPr>
              <w:t xml:space="preserve"> </w:t>
            </w:r>
            <w:r w:rsidRPr="00D554C2">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52D4A22D" w14:textId="77777777" w:rsidR="00D554C2" w:rsidRPr="00D554C2" w:rsidRDefault="00D554C2" w:rsidP="00D554C2">
            <w:pPr>
              <w:widowControl/>
              <w:spacing w:line="432" w:lineRule="auto"/>
              <w:jc w:val="center"/>
              <w:rPr>
                <w:rFonts w:ascii="宋体" w:eastAsia="宋体" w:hAnsi="宋体" w:cs="宋体"/>
                <w:kern w:val="0"/>
                <w:sz w:val="18"/>
                <w:szCs w:val="18"/>
              </w:rPr>
            </w:pPr>
          </w:p>
        </w:tc>
      </w:tr>
      <w:tr w:rsidR="00D554C2" w:rsidRPr="00D554C2" w14:paraId="795D3B0F" w14:textId="77777777" w:rsidTr="009B4CAE">
        <w:trPr>
          <w:cantSplit/>
        </w:trPr>
        <w:tc>
          <w:tcPr>
            <w:tcW w:w="2268" w:type="dxa"/>
            <w:vMerge w:val="restart"/>
            <w:tcBorders>
              <w:top w:val="single" w:sz="4" w:space="0" w:color="auto"/>
              <w:left w:val="single" w:sz="4" w:space="0" w:color="auto"/>
              <w:right w:val="single" w:sz="4" w:space="0" w:color="auto"/>
            </w:tcBorders>
            <w:vAlign w:val="center"/>
          </w:tcPr>
          <w:p w14:paraId="3F350BBE" w14:textId="77777777" w:rsidR="00D554C2" w:rsidRPr="00D554C2" w:rsidRDefault="00D554C2" w:rsidP="00D554C2">
            <w:pPr>
              <w:widowControl/>
              <w:spacing w:line="432" w:lineRule="auto"/>
              <w:ind w:firstLineChars="300" w:firstLine="720"/>
              <w:rPr>
                <w:rFonts w:ascii="Calibri" w:eastAsia="宋体" w:hAnsi="Calibri" w:cs="Times New Roman"/>
              </w:rPr>
            </w:pPr>
            <w:r w:rsidRPr="00D554C2">
              <w:rPr>
                <w:rFonts w:ascii="Calibri" w:eastAsia="宋体" w:hAnsi="Calibri" w:cs="Times New Roman"/>
                <w:sz w:val="24"/>
              </w:rPr>
              <w:t>9</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10</w:t>
            </w:r>
            <w:r w:rsidRPr="00D554C2">
              <w:rPr>
                <w:rFonts w:ascii="Calibri" w:eastAsia="宋体" w:hAnsi="Calibri" w:cs="Times New Roman" w:hint="eastAsia"/>
                <w:sz w:val="24"/>
              </w:rPr>
              <w:t>0</w:t>
            </w:r>
          </w:p>
          <w:p w14:paraId="71105C5A" w14:textId="77777777" w:rsidR="00D554C2" w:rsidRPr="00D554C2" w:rsidRDefault="00D554C2" w:rsidP="00D554C2">
            <w:pPr>
              <w:widowControl/>
              <w:spacing w:line="432" w:lineRule="auto"/>
              <w:ind w:firstLineChars="300" w:firstLine="630"/>
              <w:rPr>
                <w:rFonts w:ascii="Calibri" w:eastAsia="宋体" w:hAnsi="Calibri" w:cs="Times New Roman"/>
              </w:rPr>
            </w:pPr>
          </w:p>
          <w:p w14:paraId="1BB3CADB"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lastRenderedPageBreak/>
              <w:t>8</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89</w:t>
            </w:r>
          </w:p>
          <w:p w14:paraId="5B79E53C"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7</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79</w:t>
            </w:r>
          </w:p>
          <w:p w14:paraId="6E5C190B"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6</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69</w:t>
            </w:r>
          </w:p>
          <w:p w14:paraId="5E39AA90" w14:textId="77777777" w:rsidR="00D554C2" w:rsidRPr="00D554C2" w:rsidRDefault="00D554C2" w:rsidP="00D554C2">
            <w:pPr>
              <w:widowControl/>
              <w:spacing w:line="432" w:lineRule="auto"/>
              <w:jc w:val="center"/>
              <w:rPr>
                <w:rFonts w:ascii="宋体" w:eastAsia="宋体" w:hAnsi="宋体" w:cs="宋体"/>
                <w:kern w:val="0"/>
                <w:sz w:val="18"/>
                <w:szCs w:val="18"/>
              </w:rPr>
            </w:pPr>
            <w:r w:rsidRPr="00D554C2">
              <w:rPr>
                <w:rFonts w:ascii="Calibri" w:eastAsia="宋体" w:hAnsi="Calibri" w:cs="Times New Roman"/>
                <w:sz w:val="24"/>
              </w:rPr>
              <w:t>6</w:t>
            </w:r>
            <w:r w:rsidRPr="00D554C2">
              <w:rPr>
                <w:rFonts w:ascii="Calibri" w:eastAsia="宋体" w:hAnsi="Calibri" w:cs="Times New Roman" w:hint="eastAsia"/>
                <w:sz w:val="24"/>
              </w:rPr>
              <w:t>0</w:t>
            </w:r>
            <w:r w:rsidRPr="00D554C2">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655141FC" w14:textId="77777777" w:rsidR="00D554C2" w:rsidRPr="00D554C2" w:rsidRDefault="00D554C2" w:rsidP="00D554C2">
            <w:pPr>
              <w:widowControl/>
              <w:spacing w:line="432" w:lineRule="auto"/>
              <w:jc w:val="center"/>
              <w:rPr>
                <w:rFonts w:ascii="宋体" w:eastAsia="宋体" w:hAnsi="宋体" w:cs="宋体"/>
                <w:kern w:val="0"/>
                <w:sz w:val="18"/>
                <w:szCs w:val="18"/>
              </w:rPr>
            </w:pPr>
            <w:r w:rsidRPr="00D554C2">
              <w:rPr>
                <w:rFonts w:ascii="Calibri" w:eastAsia="宋体" w:hAnsi="Calibri" w:cs="Times New Roman" w:hint="eastAsia"/>
                <w:sz w:val="24"/>
              </w:rPr>
              <w:lastRenderedPageBreak/>
              <w:t>动作标准，张弛有力，体态优美，富有感染力，节奏准确流畅的完成套路</w:t>
            </w:r>
          </w:p>
        </w:tc>
      </w:tr>
      <w:tr w:rsidR="00D554C2" w:rsidRPr="00D554C2" w14:paraId="6BE7693A" w14:textId="77777777" w:rsidTr="009B4CAE">
        <w:trPr>
          <w:cantSplit/>
        </w:trPr>
        <w:tc>
          <w:tcPr>
            <w:tcW w:w="2268" w:type="dxa"/>
            <w:vMerge/>
            <w:tcBorders>
              <w:left w:val="single" w:sz="4" w:space="0" w:color="auto"/>
              <w:right w:val="single" w:sz="4" w:space="0" w:color="auto"/>
            </w:tcBorders>
            <w:vAlign w:val="center"/>
          </w:tcPr>
          <w:p w14:paraId="08AF987A"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37934B2"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能跟上节奏，较好的完成套路，</w:t>
            </w:r>
          </w:p>
        </w:tc>
      </w:tr>
      <w:tr w:rsidR="00D554C2" w:rsidRPr="00D554C2" w14:paraId="592BA48B" w14:textId="77777777" w:rsidTr="009B4CAE">
        <w:trPr>
          <w:cantSplit/>
        </w:trPr>
        <w:tc>
          <w:tcPr>
            <w:tcW w:w="2268" w:type="dxa"/>
            <w:vMerge/>
            <w:tcBorders>
              <w:left w:val="single" w:sz="4" w:space="0" w:color="auto"/>
              <w:right w:val="single" w:sz="4" w:space="0" w:color="auto"/>
            </w:tcBorders>
            <w:vAlign w:val="center"/>
          </w:tcPr>
          <w:p w14:paraId="27BCCABC"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10BA6119"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姿势一般，动作基本正确，节奏基本正确</w:t>
            </w:r>
          </w:p>
        </w:tc>
      </w:tr>
      <w:tr w:rsidR="00D554C2" w:rsidRPr="00D554C2" w14:paraId="373A53BD" w14:textId="77777777" w:rsidTr="009B4CAE">
        <w:trPr>
          <w:cantSplit/>
        </w:trPr>
        <w:tc>
          <w:tcPr>
            <w:tcW w:w="2268" w:type="dxa"/>
            <w:vMerge/>
            <w:tcBorders>
              <w:left w:val="single" w:sz="4" w:space="0" w:color="auto"/>
              <w:right w:val="single" w:sz="4" w:space="0" w:color="auto"/>
            </w:tcBorders>
            <w:vAlign w:val="center"/>
          </w:tcPr>
          <w:p w14:paraId="7A5445A1"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0E00293A"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完成动作较吃力</w:t>
            </w:r>
          </w:p>
        </w:tc>
      </w:tr>
      <w:tr w:rsidR="00D554C2" w:rsidRPr="00D554C2" w14:paraId="62B4A6E9" w14:textId="77777777" w:rsidTr="009B4CAE">
        <w:trPr>
          <w:cantSplit/>
        </w:trPr>
        <w:tc>
          <w:tcPr>
            <w:tcW w:w="2268" w:type="dxa"/>
            <w:vMerge/>
            <w:tcBorders>
              <w:left w:val="single" w:sz="4" w:space="0" w:color="auto"/>
              <w:bottom w:val="single" w:sz="4" w:space="0" w:color="auto"/>
              <w:right w:val="single" w:sz="4" w:space="0" w:color="auto"/>
            </w:tcBorders>
            <w:vAlign w:val="center"/>
          </w:tcPr>
          <w:p w14:paraId="53AB3FF1" w14:textId="77777777" w:rsidR="00D554C2" w:rsidRPr="00D554C2" w:rsidRDefault="00D554C2" w:rsidP="00D554C2">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6BC0E8EC"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动作僵硬，不协调，乐感差</w:t>
            </w:r>
          </w:p>
        </w:tc>
      </w:tr>
    </w:tbl>
    <w:p w14:paraId="4774182E" w14:textId="77777777" w:rsidR="00D554C2" w:rsidRPr="00D554C2" w:rsidRDefault="00D554C2" w:rsidP="00D554C2">
      <w:pPr>
        <w:autoSpaceDE w:val="0"/>
        <w:autoSpaceDN w:val="0"/>
        <w:adjustRightInd w:val="0"/>
        <w:snapToGrid w:val="0"/>
        <w:spacing w:line="500" w:lineRule="exact"/>
        <w:ind w:firstLineChars="1664" w:firstLine="4009"/>
        <w:rPr>
          <w:rFonts w:ascii="宋体" w:eastAsia="宋体" w:hAnsi="Calibri" w:cs="Times New Roman"/>
          <w:b/>
          <w:kern w:val="0"/>
          <w:sz w:val="24"/>
        </w:rPr>
      </w:pPr>
      <w:r w:rsidRPr="00D554C2">
        <w:rPr>
          <w:rFonts w:ascii="宋体" w:eastAsia="宋体" w:hAnsi="Calibri" w:cs="Times New Roman" w:hint="eastAsia"/>
          <w:b/>
          <w:kern w:val="0"/>
          <w:sz w:val="24"/>
        </w:rPr>
        <w:t>期末考试</w:t>
      </w:r>
    </w:p>
    <w:p w14:paraId="4BD066E4" w14:textId="77777777" w:rsidR="00D554C2" w:rsidRPr="00D554C2" w:rsidRDefault="00D554C2" w:rsidP="00D554C2">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通过考核检验啦</w:t>
      </w:r>
      <w:proofErr w:type="gramStart"/>
      <w:r w:rsidRPr="00D554C2">
        <w:rPr>
          <w:rFonts w:ascii="宋体" w:eastAsia="宋体" w:hAnsi="Calibri" w:cs="Times New Roman" w:hint="eastAsia"/>
          <w:bCs/>
          <w:kern w:val="0"/>
          <w:sz w:val="24"/>
        </w:rPr>
        <w:t>啦操技术</w:t>
      </w:r>
      <w:proofErr w:type="gramEnd"/>
      <w:r w:rsidRPr="00D554C2">
        <w:rPr>
          <w:rFonts w:ascii="宋体" w:eastAsia="宋体" w:hAnsi="Calibri" w:cs="Times New Roman" w:hint="eastAsia"/>
          <w:bCs/>
          <w:kern w:val="0"/>
          <w:sz w:val="24"/>
        </w:rPr>
        <w:t>教学效果和学生掌握情况，让学生了解选项课内容和科学体育锻炼方式方法。</w:t>
      </w:r>
    </w:p>
    <w:p w14:paraId="15080BED" w14:textId="77777777" w:rsidR="00D554C2" w:rsidRPr="00D554C2" w:rsidRDefault="00D554C2" w:rsidP="00D554C2">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2.课程考核的内容：</w:t>
      </w:r>
      <w:r w:rsidRPr="00D554C2">
        <w:rPr>
          <w:rFonts w:ascii="宋体" w:eastAsia="宋体" w:hAnsi="Calibri" w:cs="Times New Roman" w:hint="eastAsia"/>
          <w:bCs/>
          <w:kern w:val="0"/>
          <w:sz w:val="24"/>
        </w:rPr>
        <w:t>啦</w:t>
      </w:r>
      <w:proofErr w:type="gramStart"/>
      <w:r w:rsidRPr="00D554C2">
        <w:rPr>
          <w:rFonts w:ascii="宋体" w:eastAsia="宋体" w:hAnsi="Calibri" w:cs="Times New Roman" w:hint="eastAsia"/>
          <w:bCs/>
          <w:kern w:val="0"/>
          <w:sz w:val="24"/>
        </w:rPr>
        <w:t>啦</w:t>
      </w:r>
      <w:proofErr w:type="gramEnd"/>
      <w:r w:rsidRPr="00D554C2">
        <w:rPr>
          <w:rFonts w:ascii="宋体" w:eastAsia="宋体" w:hAnsi="Calibri" w:cs="Times New Roman" w:hint="eastAsia"/>
          <w:bCs/>
          <w:kern w:val="0"/>
          <w:sz w:val="24"/>
        </w:rPr>
        <w:t>操套路（二）。</w:t>
      </w:r>
    </w:p>
    <w:p w14:paraId="70BE476E"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Cs/>
          <w:kern w:val="0"/>
          <w:sz w:val="24"/>
        </w:rPr>
      </w:pPr>
      <w:r w:rsidRPr="00D554C2">
        <w:rPr>
          <w:rFonts w:ascii="宋体" w:eastAsia="宋体" w:hAnsi="Calibri" w:cs="Times New Roman" w:hint="eastAsia"/>
          <w:b/>
          <w:kern w:val="0"/>
          <w:sz w:val="24"/>
        </w:rPr>
        <w:t>3.课程考核方式：</w:t>
      </w:r>
      <w:r w:rsidRPr="00D554C2">
        <w:rPr>
          <w:rFonts w:ascii="宋体" w:eastAsia="宋体" w:hAnsi="Calibri" w:cs="Times New Roman" w:hint="eastAsia"/>
          <w:bCs/>
          <w:kern w:val="0"/>
          <w:sz w:val="24"/>
        </w:rPr>
        <w:t>在音乐伴奏下，以小组形式进行测试</w:t>
      </w:r>
    </w:p>
    <w:p w14:paraId="4EC739FA"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
          <w:kern w:val="0"/>
          <w:sz w:val="24"/>
        </w:rPr>
      </w:pPr>
      <w:r w:rsidRPr="00D554C2">
        <w:rPr>
          <w:rFonts w:ascii="宋体" w:eastAsia="宋体" w:hAnsi="Calibri" w:cs="Times New Roman" w:hint="eastAsia"/>
          <w:b/>
          <w:kern w:val="0"/>
          <w:sz w:val="24"/>
        </w:rPr>
        <w:t>4.成绩构成及分值：</w:t>
      </w:r>
    </w:p>
    <w:p w14:paraId="4C07FEC4"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宋体" w:eastAsia="宋体" w:hAnsi="Calibri" w:cs="Times New Roman" w:hint="eastAsia"/>
          <w:bCs/>
          <w:kern w:val="0"/>
          <w:sz w:val="24"/>
        </w:rPr>
        <w:t>4.1</w:t>
      </w:r>
      <w:r w:rsidRPr="00D554C2">
        <w:rPr>
          <w:rFonts w:ascii="Calibri" w:eastAsia="宋体" w:hAnsi="Calibri" w:cs="Times New Roman" w:hint="eastAsia"/>
        </w:rPr>
        <w:t>.</w:t>
      </w:r>
      <w:r w:rsidRPr="00D554C2">
        <w:rPr>
          <w:rFonts w:ascii="Calibri" w:eastAsia="宋体" w:hAnsi="Calibri" w:cs="Times New Roman" w:hint="eastAsia"/>
          <w:sz w:val="24"/>
        </w:rPr>
        <w:t>套路完成情况（</w:t>
      </w:r>
      <w:r w:rsidRPr="00D554C2">
        <w:rPr>
          <w:rFonts w:ascii="Calibri" w:eastAsia="宋体" w:hAnsi="Calibri" w:cs="Times New Roman" w:hint="eastAsia"/>
        </w:rPr>
        <w:t>60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4.2</w:t>
      </w:r>
      <w:r w:rsidRPr="00D554C2">
        <w:rPr>
          <w:rFonts w:ascii="Calibri" w:eastAsia="宋体" w:hAnsi="Calibri" w:cs="Times New Roman" w:hint="eastAsia"/>
          <w:sz w:val="24"/>
        </w:rPr>
        <w:t>基本形态（</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4.3</w:t>
      </w:r>
      <w:r w:rsidRPr="00D554C2">
        <w:rPr>
          <w:rFonts w:ascii="Calibri" w:eastAsia="宋体" w:hAnsi="Calibri" w:cs="Times New Roman" w:hint="eastAsia"/>
          <w:sz w:val="24"/>
        </w:rPr>
        <w:t>表现力（</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4.4</w:t>
      </w:r>
      <w:r w:rsidRPr="00D554C2">
        <w:rPr>
          <w:rFonts w:ascii="Calibri" w:eastAsia="宋体" w:hAnsi="Calibri" w:cs="Times New Roman" w:hint="eastAsia"/>
          <w:sz w:val="24"/>
        </w:rPr>
        <w:t>乐感（</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4.5</w:t>
      </w:r>
      <w:r w:rsidRPr="00D554C2">
        <w:rPr>
          <w:rFonts w:ascii="Calibri" w:eastAsia="宋体" w:hAnsi="Calibri" w:cs="Times New Roman" w:hint="eastAsia"/>
          <w:sz w:val="24"/>
        </w:rPr>
        <w:t>控制力（</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），总分值为</w:t>
      </w:r>
      <w:r w:rsidRPr="00D554C2">
        <w:rPr>
          <w:rFonts w:ascii="Calibri" w:eastAsia="宋体" w:hAnsi="Calibri" w:cs="Times New Roman" w:hint="eastAsia"/>
        </w:rPr>
        <w:t>100</w:t>
      </w:r>
      <w:r w:rsidRPr="00D554C2">
        <w:rPr>
          <w:rFonts w:ascii="Calibri" w:eastAsia="宋体" w:hAnsi="Calibri" w:cs="Times New Roman" w:hint="eastAsia"/>
          <w:sz w:val="24"/>
        </w:rPr>
        <w:t>分。</w:t>
      </w:r>
    </w:p>
    <w:p w14:paraId="69C581F6"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p w14:paraId="5917B59F"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技术分为</w:t>
      </w:r>
      <w:r w:rsidRPr="00D554C2">
        <w:rPr>
          <w:rFonts w:ascii="Calibri" w:eastAsia="宋体" w:hAnsi="Calibri" w:cs="Times New Roman" w:hint="eastAsia"/>
          <w:sz w:val="24"/>
        </w:rPr>
        <w:t>ABCDE</w:t>
      </w:r>
      <w:r w:rsidRPr="00D554C2">
        <w:rPr>
          <w:rFonts w:ascii="Calibri" w:eastAsia="宋体" w:hAnsi="Calibri" w:cs="Times New Roman" w:hint="eastAsia"/>
          <w:sz w:val="24"/>
        </w:rPr>
        <w:t>共</w:t>
      </w:r>
      <w:r w:rsidRPr="00D554C2">
        <w:rPr>
          <w:rFonts w:ascii="Calibri" w:eastAsia="宋体" w:hAnsi="Calibri" w:cs="Times New Roman" w:hint="eastAsia"/>
        </w:rPr>
        <w:t>6</w:t>
      </w:r>
      <w:r w:rsidRPr="00D554C2">
        <w:rPr>
          <w:rFonts w:ascii="Calibri" w:eastAsia="宋体" w:hAnsi="Calibri" w:cs="Times New Roman" w:hint="eastAsia"/>
          <w:sz w:val="24"/>
        </w:rPr>
        <w:t>档，分别为优、良、中、可、差。例：最高档</w:t>
      </w:r>
      <w:r w:rsidRPr="00D554C2">
        <w:rPr>
          <w:rFonts w:ascii="Calibri" w:eastAsia="宋体" w:hAnsi="Calibri" w:cs="Times New Roman" w:hint="eastAsia"/>
          <w:sz w:val="24"/>
        </w:rPr>
        <w:t>A</w:t>
      </w:r>
      <w:r w:rsidRPr="00D554C2">
        <w:rPr>
          <w:rFonts w:ascii="Calibri" w:eastAsia="宋体" w:hAnsi="Calibri" w:cs="Times New Roman" w:hint="eastAsia"/>
          <w:sz w:val="24"/>
        </w:rPr>
        <w:t>档分值打分范围为</w:t>
      </w:r>
      <w:r w:rsidRPr="00D554C2">
        <w:rPr>
          <w:rFonts w:ascii="Calibri" w:eastAsia="宋体" w:hAnsi="Calibri" w:cs="Times New Roman" w:hint="eastAsia"/>
          <w:sz w:val="24"/>
        </w:rPr>
        <w:t>90-100</w:t>
      </w:r>
      <w:r w:rsidRPr="00D554C2">
        <w:rPr>
          <w:rFonts w:ascii="Calibri" w:eastAsia="宋体" w:hAnsi="Calibri" w:cs="Times New Roman" w:hint="eastAsia"/>
          <w:sz w:val="24"/>
        </w:rPr>
        <w:t>。以此类推，</w:t>
      </w:r>
      <w:r w:rsidRPr="00D554C2">
        <w:rPr>
          <w:rFonts w:ascii="Calibri" w:eastAsia="宋体" w:hAnsi="Calibri" w:cs="Times New Roman" w:hint="eastAsia"/>
          <w:sz w:val="24"/>
        </w:rPr>
        <w:t>E</w:t>
      </w:r>
      <w:r w:rsidRPr="00D554C2">
        <w:rPr>
          <w:rFonts w:ascii="Calibri" w:eastAsia="宋体" w:hAnsi="Calibri" w:cs="Times New Roman" w:hint="eastAsia"/>
          <w:sz w:val="24"/>
        </w:rPr>
        <w:t>档打分范围</w:t>
      </w:r>
      <w:r w:rsidRPr="00D554C2">
        <w:rPr>
          <w:rFonts w:ascii="Calibri" w:eastAsia="宋体" w:hAnsi="Calibri" w:cs="Times New Roman" w:hint="eastAsia"/>
          <w:sz w:val="24"/>
        </w:rPr>
        <w:t>0-59</w:t>
      </w:r>
      <w:r w:rsidRPr="00D554C2">
        <w:rPr>
          <w:rFonts w:ascii="Calibri" w:eastAsia="宋体" w:hAnsi="Calibri" w:cs="Times New Roman" w:hint="eastAsia"/>
          <w:sz w:val="24"/>
        </w:rPr>
        <w:t>分，此项分值</w:t>
      </w:r>
      <w:r w:rsidRPr="00D554C2">
        <w:rPr>
          <w:rFonts w:ascii="Calibri" w:eastAsia="宋体" w:hAnsi="Calibri" w:cs="Times New Roman" w:hint="eastAsia"/>
          <w:sz w:val="24"/>
        </w:rPr>
        <w:t>100</w:t>
      </w:r>
      <w:r w:rsidRPr="00D554C2">
        <w:rPr>
          <w:rFonts w:ascii="Calibri" w:eastAsia="宋体" w:hAnsi="Calibri" w:cs="Times New Roman" w:hint="eastAsia"/>
          <w:sz w:val="24"/>
        </w:rPr>
        <w:t>分</w:t>
      </w:r>
      <w:r w:rsidRPr="00D554C2">
        <w:rPr>
          <w:rFonts w:ascii="Calibri" w:eastAsia="宋体" w:hAnsi="Calibri" w:cs="Times New Roman"/>
          <w:sz w:val="24"/>
        </w:rPr>
        <w:t>。</w:t>
      </w:r>
      <w:r w:rsidRPr="00D554C2">
        <w:rPr>
          <w:rFonts w:ascii="Calibri" w:eastAsia="宋体" w:hAnsi="Calibri" w:cs="Times New Roman" w:hint="eastAsia"/>
          <w:sz w:val="24"/>
        </w:rPr>
        <w:t>（见表</w:t>
      </w:r>
      <w:r w:rsidRPr="00D554C2">
        <w:rPr>
          <w:rFonts w:ascii="Calibri" w:eastAsia="宋体" w:hAnsi="Calibri" w:cs="Times New Roman" w:hint="eastAsia"/>
          <w:sz w:val="24"/>
        </w:rPr>
        <w:t>1</w:t>
      </w:r>
      <w:r w:rsidRPr="00D554C2">
        <w:rPr>
          <w:rFonts w:ascii="Calibri" w:eastAsia="宋体" w:hAnsi="Calibri" w:cs="Times New Roman" w:hint="eastAsia"/>
          <w:sz w:val="24"/>
        </w:rPr>
        <w:t>）</w:t>
      </w:r>
    </w:p>
    <w:p w14:paraId="7D9F8D3E" w14:textId="77777777" w:rsidR="00D554C2" w:rsidRPr="00D554C2" w:rsidRDefault="00D554C2" w:rsidP="00D554C2">
      <w:pPr>
        <w:adjustRightInd w:val="0"/>
        <w:snapToGrid w:val="0"/>
        <w:spacing w:line="500" w:lineRule="exact"/>
        <w:ind w:firstLineChars="200" w:firstLine="482"/>
        <w:jc w:val="center"/>
        <w:rPr>
          <w:rFonts w:ascii="Calibri" w:eastAsia="宋体" w:hAnsi="Calibri" w:cs="Times New Roman"/>
          <w:b/>
          <w:sz w:val="24"/>
        </w:rPr>
      </w:pPr>
      <w:r w:rsidRPr="00D554C2">
        <w:rPr>
          <w:rFonts w:ascii="Calibri" w:eastAsia="宋体" w:hAnsi="Calibri" w:cs="Times New Roman" w:hint="eastAsia"/>
          <w:b/>
          <w:sz w:val="24"/>
        </w:rPr>
        <w:t>表</w:t>
      </w:r>
      <w:r w:rsidRPr="00D554C2">
        <w:rPr>
          <w:rFonts w:ascii="Calibri" w:eastAsia="宋体" w:hAnsi="Calibri" w:cs="Times New Roman" w:hint="eastAsia"/>
          <w:b/>
          <w:sz w:val="24"/>
        </w:rPr>
        <w:t>1</w:t>
      </w:r>
      <w:r w:rsidRPr="00D554C2">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D554C2" w:rsidRPr="00D554C2" w14:paraId="6A7EF01A" w14:textId="77777777" w:rsidTr="009B4CAE">
        <w:trPr>
          <w:trHeight w:val="655"/>
        </w:trPr>
        <w:tc>
          <w:tcPr>
            <w:tcW w:w="2268" w:type="dxa"/>
            <w:tcBorders>
              <w:top w:val="single" w:sz="4" w:space="0" w:color="auto"/>
              <w:left w:val="single" w:sz="4" w:space="0" w:color="auto"/>
              <w:bottom w:val="single" w:sz="4" w:space="0" w:color="auto"/>
              <w:right w:val="single" w:sz="4" w:space="0" w:color="auto"/>
            </w:tcBorders>
          </w:tcPr>
          <w:p w14:paraId="6CFA86B8" w14:textId="77777777" w:rsidR="00D554C2" w:rsidRPr="00D554C2" w:rsidRDefault="00D554C2" w:rsidP="00D554C2">
            <w:pPr>
              <w:widowControl/>
              <w:spacing w:line="432" w:lineRule="auto"/>
              <w:jc w:val="center"/>
              <w:rPr>
                <w:rFonts w:ascii="宋体" w:eastAsia="宋体" w:hAnsi="宋体" w:cs="宋体"/>
                <w:color w:val="FFFFFF"/>
                <w:kern w:val="0"/>
                <w:sz w:val="18"/>
                <w:szCs w:val="18"/>
              </w:rPr>
            </w:pPr>
            <w:r w:rsidRPr="00D554C2">
              <w:rPr>
                <w:rFonts w:ascii="宋体" w:eastAsia="宋体" w:hAnsi="宋体" w:cs="宋体"/>
                <w:noProof/>
                <w:kern w:val="0"/>
                <w:sz w:val="18"/>
                <w:szCs w:val="18"/>
              </w:rPr>
              <mc:AlternateContent>
                <mc:Choice Requires="wps">
                  <w:drawing>
                    <wp:anchor distT="0" distB="0" distL="114300" distR="114300" simplePos="0" relativeHeight="251681792" behindDoc="0" locked="0" layoutInCell="1" allowOverlap="1" wp14:anchorId="76EE3A88" wp14:editId="2C487CAD">
                      <wp:simplePos x="0" y="0"/>
                      <wp:positionH relativeFrom="column">
                        <wp:posOffset>-97790</wp:posOffset>
                      </wp:positionH>
                      <wp:positionV relativeFrom="paragraph">
                        <wp:posOffset>31750</wp:posOffset>
                      </wp:positionV>
                      <wp:extent cx="1432560" cy="638175"/>
                      <wp:effectExtent l="1905" t="4445" r="13335" b="5080"/>
                      <wp:wrapNone/>
                      <wp:docPr id="35" name="直接连接符 35"/>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w14:anchorId="6A20F90A" id="直接连接符 35"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" strokeweight=".5pt"/>
                  </w:pict>
                </mc:Fallback>
              </mc:AlternateContent>
            </w:r>
            <w:r w:rsidRPr="00D554C2">
              <w:rPr>
                <w:rFonts w:ascii="宋体" w:eastAsia="宋体" w:hAnsi="宋体" w:cs="宋体"/>
                <w:kern w:val="0"/>
                <w:sz w:val="18"/>
                <w:szCs w:val="18"/>
              </w:rPr>
              <w:t xml:space="preserve">     </w:t>
            </w:r>
            <w:r w:rsidRPr="00D554C2">
              <w:rPr>
                <w:rFonts w:ascii="Calibri" w:eastAsia="宋体" w:hAnsi="Calibri" w:cs="Times New Roman" w:hint="eastAsia"/>
              </w:rPr>
              <w:t xml:space="preserve">   </w:t>
            </w:r>
            <w:r w:rsidRPr="00D554C2">
              <w:rPr>
                <w:rFonts w:ascii="宋体" w:eastAsia="宋体" w:hAnsi="宋体" w:cs="宋体"/>
                <w:kern w:val="0"/>
                <w:sz w:val="18"/>
                <w:szCs w:val="18"/>
              </w:rPr>
              <w:t xml:space="preserve"> 标准</w:t>
            </w:r>
            <w:r w:rsidRPr="00D554C2">
              <w:rPr>
                <w:rFonts w:ascii="Calibri" w:eastAsia="宋体" w:hAnsi="Calibri" w:cs="Times New Roman" w:hint="eastAsia"/>
                <w:color w:val="FFFFFF"/>
                <w:sz w:val="24"/>
              </w:rPr>
              <w:t>容</w:t>
            </w:r>
          </w:p>
          <w:p w14:paraId="620F4324" w14:textId="77777777" w:rsidR="00D554C2" w:rsidRPr="00D554C2" w:rsidRDefault="00D554C2" w:rsidP="00D554C2">
            <w:pPr>
              <w:widowControl/>
              <w:spacing w:line="432" w:lineRule="auto"/>
              <w:rPr>
                <w:rFonts w:ascii="宋体" w:eastAsia="宋体" w:hAnsi="宋体" w:cs="宋体"/>
                <w:kern w:val="0"/>
                <w:sz w:val="18"/>
                <w:szCs w:val="18"/>
              </w:rPr>
            </w:pPr>
            <w:r w:rsidRPr="00D554C2">
              <w:rPr>
                <w:rFonts w:ascii="Calibri" w:eastAsia="宋体" w:hAnsi="Calibri" w:cs="Times New Roman" w:hint="eastAsia"/>
                <w:sz w:val="24"/>
              </w:rPr>
              <w:t>分</w:t>
            </w:r>
            <w:r w:rsidRPr="00D554C2">
              <w:rPr>
                <w:rFonts w:ascii="Calibri" w:eastAsia="宋体" w:hAnsi="Calibri" w:cs="Times New Roman"/>
                <w:sz w:val="24"/>
              </w:rPr>
              <w:t xml:space="preserve">  </w:t>
            </w:r>
            <w:r w:rsidRPr="00D554C2">
              <w:rPr>
                <w:rFonts w:ascii="Calibri" w:eastAsia="宋体" w:hAnsi="Calibri" w:cs="Times New Roman" w:hint="eastAsia"/>
                <w:sz w:val="24"/>
              </w:rPr>
              <w:t>值</w:t>
            </w:r>
            <w:r w:rsidRPr="00D554C2">
              <w:rPr>
                <w:rFonts w:ascii="Calibri" w:eastAsia="宋体" w:hAnsi="Calibri" w:cs="Times New Roman"/>
                <w:sz w:val="24"/>
              </w:rPr>
              <w:t xml:space="preserve"> </w:t>
            </w:r>
            <w:r w:rsidRPr="00D554C2">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7E8FB77B" w14:textId="77777777" w:rsidR="00D554C2" w:rsidRPr="00D554C2" w:rsidRDefault="00D554C2" w:rsidP="00D554C2">
            <w:pPr>
              <w:widowControl/>
              <w:spacing w:line="432" w:lineRule="auto"/>
              <w:jc w:val="center"/>
              <w:rPr>
                <w:rFonts w:ascii="宋体" w:eastAsia="宋体" w:hAnsi="宋体" w:cs="宋体"/>
                <w:kern w:val="0"/>
                <w:sz w:val="18"/>
                <w:szCs w:val="18"/>
              </w:rPr>
            </w:pPr>
          </w:p>
        </w:tc>
      </w:tr>
      <w:tr w:rsidR="00D554C2" w:rsidRPr="00D554C2" w14:paraId="465C3F40" w14:textId="77777777" w:rsidTr="009B4CAE">
        <w:trPr>
          <w:cantSplit/>
        </w:trPr>
        <w:tc>
          <w:tcPr>
            <w:tcW w:w="2268" w:type="dxa"/>
            <w:vMerge w:val="restart"/>
            <w:tcBorders>
              <w:top w:val="single" w:sz="4" w:space="0" w:color="auto"/>
              <w:left w:val="single" w:sz="4" w:space="0" w:color="auto"/>
              <w:right w:val="single" w:sz="4" w:space="0" w:color="auto"/>
            </w:tcBorders>
            <w:vAlign w:val="center"/>
          </w:tcPr>
          <w:p w14:paraId="22CE108E" w14:textId="77777777" w:rsidR="00D554C2" w:rsidRPr="00D554C2" w:rsidRDefault="00D554C2" w:rsidP="00D554C2">
            <w:pPr>
              <w:widowControl/>
              <w:spacing w:line="432" w:lineRule="auto"/>
              <w:ind w:firstLineChars="300" w:firstLine="720"/>
              <w:rPr>
                <w:rFonts w:ascii="Calibri" w:eastAsia="宋体" w:hAnsi="Calibri" w:cs="Times New Roman"/>
              </w:rPr>
            </w:pPr>
            <w:r w:rsidRPr="00D554C2">
              <w:rPr>
                <w:rFonts w:ascii="Calibri" w:eastAsia="宋体" w:hAnsi="Calibri" w:cs="Times New Roman"/>
                <w:sz w:val="24"/>
              </w:rPr>
              <w:t>9</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10</w:t>
            </w:r>
            <w:r w:rsidRPr="00D554C2">
              <w:rPr>
                <w:rFonts w:ascii="Calibri" w:eastAsia="宋体" w:hAnsi="Calibri" w:cs="Times New Roman" w:hint="eastAsia"/>
                <w:sz w:val="24"/>
              </w:rPr>
              <w:t>0</w:t>
            </w:r>
          </w:p>
          <w:p w14:paraId="565DDBC5" w14:textId="77777777" w:rsidR="00D554C2" w:rsidRPr="00D554C2" w:rsidRDefault="00D554C2" w:rsidP="00D554C2">
            <w:pPr>
              <w:widowControl/>
              <w:spacing w:line="432" w:lineRule="auto"/>
              <w:ind w:firstLineChars="300" w:firstLine="630"/>
              <w:rPr>
                <w:rFonts w:ascii="Calibri" w:eastAsia="宋体" w:hAnsi="Calibri" w:cs="Times New Roman"/>
              </w:rPr>
            </w:pPr>
          </w:p>
          <w:p w14:paraId="69C4F9A4"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8</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89</w:t>
            </w:r>
          </w:p>
          <w:p w14:paraId="44AA0A0E"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7</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79</w:t>
            </w:r>
          </w:p>
          <w:p w14:paraId="4A509021"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6</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69</w:t>
            </w:r>
          </w:p>
          <w:p w14:paraId="0FB6220D" w14:textId="77777777" w:rsidR="00D554C2" w:rsidRPr="00D554C2" w:rsidRDefault="00D554C2" w:rsidP="00D554C2">
            <w:pPr>
              <w:widowControl/>
              <w:spacing w:line="432" w:lineRule="auto"/>
              <w:jc w:val="center"/>
              <w:rPr>
                <w:rFonts w:ascii="宋体" w:eastAsia="宋体" w:hAnsi="宋体" w:cs="宋体"/>
                <w:kern w:val="0"/>
                <w:sz w:val="18"/>
                <w:szCs w:val="18"/>
              </w:rPr>
            </w:pPr>
            <w:r w:rsidRPr="00D554C2">
              <w:rPr>
                <w:rFonts w:ascii="Calibri" w:eastAsia="宋体" w:hAnsi="Calibri" w:cs="Times New Roman"/>
                <w:sz w:val="24"/>
              </w:rPr>
              <w:t>6</w:t>
            </w:r>
            <w:r w:rsidRPr="00D554C2">
              <w:rPr>
                <w:rFonts w:ascii="Calibri" w:eastAsia="宋体" w:hAnsi="Calibri" w:cs="Times New Roman" w:hint="eastAsia"/>
                <w:sz w:val="24"/>
              </w:rPr>
              <w:t>0</w:t>
            </w:r>
            <w:r w:rsidRPr="00D554C2">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5944FAF4" w14:textId="77777777" w:rsidR="00D554C2" w:rsidRPr="00D554C2" w:rsidRDefault="00D554C2" w:rsidP="00D554C2">
            <w:pPr>
              <w:widowControl/>
              <w:spacing w:line="432" w:lineRule="auto"/>
              <w:jc w:val="center"/>
              <w:rPr>
                <w:rFonts w:ascii="宋体" w:eastAsia="宋体" w:hAnsi="宋体" w:cs="宋体"/>
                <w:kern w:val="0"/>
                <w:sz w:val="18"/>
                <w:szCs w:val="18"/>
              </w:rPr>
            </w:pPr>
            <w:r w:rsidRPr="00D554C2">
              <w:rPr>
                <w:rFonts w:ascii="Calibri" w:eastAsia="宋体" w:hAnsi="Calibri" w:cs="Times New Roman" w:hint="eastAsia"/>
                <w:sz w:val="24"/>
              </w:rPr>
              <w:t>动作标准，张弛有力，体态优美，富有感染力，节奏准确流畅的完成套路</w:t>
            </w:r>
          </w:p>
        </w:tc>
      </w:tr>
      <w:tr w:rsidR="00D554C2" w:rsidRPr="00D554C2" w14:paraId="5CA31981" w14:textId="77777777" w:rsidTr="009B4CAE">
        <w:trPr>
          <w:cantSplit/>
        </w:trPr>
        <w:tc>
          <w:tcPr>
            <w:tcW w:w="2268" w:type="dxa"/>
            <w:vMerge/>
            <w:tcBorders>
              <w:left w:val="single" w:sz="4" w:space="0" w:color="auto"/>
              <w:right w:val="single" w:sz="4" w:space="0" w:color="auto"/>
            </w:tcBorders>
            <w:vAlign w:val="center"/>
          </w:tcPr>
          <w:p w14:paraId="5BF36792"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23D92668"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能跟上节奏，较好的完成套路，</w:t>
            </w:r>
          </w:p>
        </w:tc>
      </w:tr>
      <w:tr w:rsidR="00D554C2" w:rsidRPr="00D554C2" w14:paraId="35DFA60C" w14:textId="77777777" w:rsidTr="009B4CAE">
        <w:trPr>
          <w:cantSplit/>
        </w:trPr>
        <w:tc>
          <w:tcPr>
            <w:tcW w:w="2268" w:type="dxa"/>
            <w:vMerge/>
            <w:tcBorders>
              <w:left w:val="single" w:sz="4" w:space="0" w:color="auto"/>
              <w:right w:val="single" w:sz="4" w:space="0" w:color="auto"/>
            </w:tcBorders>
            <w:vAlign w:val="center"/>
          </w:tcPr>
          <w:p w14:paraId="78164CC4"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0A8BF26B"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姿势一般，动作基本正确，节奏基本正确</w:t>
            </w:r>
          </w:p>
        </w:tc>
      </w:tr>
      <w:tr w:rsidR="00D554C2" w:rsidRPr="00D554C2" w14:paraId="57AAC287" w14:textId="77777777" w:rsidTr="009B4CAE">
        <w:trPr>
          <w:cantSplit/>
        </w:trPr>
        <w:tc>
          <w:tcPr>
            <w:tcW w:w="2268" w:type="dxa"/>
            <w:vMerge/>
            <w:tcBorders>
              <w:left w:val="single" w:sz="4" w:space="0" w:color="auto"/>
              <w:right w:val="single" w:sz="4" w:space="0" w:color="auto"/>
            </w:tcBorders>
            <w:vAlign w:val="center"/>
          </w:tcPr>
          <w:p w14:paraId="5FF1F685"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608B3630"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完成动作较吃力</w:t>
            </w:r>
          </w:p>
        </w:tc>
      </w:tr>
      <w:tr w:rsidR="00D554C2" w:rsidRPr="00D554C2" w14:paraId="11BC9653" w14:textId="77777777" w:rsidTr="009B4CAE">
        <w:trPr>
          <w:cantSplit/>
        </w:trPr>
        <w:tc>
          <w:tcPr>
            <w:tcW w:w="2268" w:type="dxa"/>
            <w:vMerge/>
            <w:tcBorders>
              <w:left w:val="single" w:sz="4" w:space="0" w:color="auto"/>
              <w:bottom w:val="single" w:sz="4" w:space="0" w:color="auto"/>
              <w:right w:val="single" w:sz="4" w:space="0" w:color="auto"/>
            </w:tcBorders>
            <w:vAlign w:val="center"/>
          </w:tcPr>
          <w:p w14:paraId="4CF58EE2" w14:textId="77777777" w:rsidR="00D554C2" w:rsidRPr="00D554C2" w:rsidRDefault="00D554C2" w:rsidP="00D554C2">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037745C7"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动作僵硬，不协调，乐感差</w:t>
            </w:r>
          </w:p>
        </w:tc>
      </w:tr>
    </w:tbl>
    <w:p w14:paraId="0ADF9605"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第四学期</w:t>
      </w:r>
    </w:p>
    <w:p w14:paraId="3E8AE335" w14:textId="77777777" w:rsidR="00D554C2" w:rsidRPr="00D554C2" w:rsidRDefault="00D554C2" w:rsidP="00D554C2">
      <w:pPr>
        <w:adjustRightInd w:val="0"/>
        <w:snapToGrid w:val="0"/>
        <w:spacing w:line="500" w:lineRule="exact"/>
        <w:jc w:val="center"/>
        <w:rPr>
          <w:rFonts w:ascii="宋体" w:eastAsia="宋体" w:hAnsi="Calibri" w:cs="Times New Roman"/>
          <w:b/>
          <w:kern w:val="0"/>
          <w:sz w:val="24"/>
        </w:rPr>
      </w:pPr>
      <w:r w:rsidRPr="00D554C2">
        <w:rPr>
          <w:rFonts w:ascii="宋体" w:eastAsia="宋体" w:hAnsi="Calibri" w:cs="Times New Roman" w:hint="eastAsia"/>
          <w:b/>
          <w:kern w:val="0"/>
          <w:sz w:val="24"/>
        </w:rPr>
        <w:lastRenderedPageBreak/>
        <w:t>期中考试</w:t>
      </w:r>
    </w:p>
    <w:p w14:paraId="713B343B"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通过考核检验技术啦</w:t>
      </w:r>
      <w:proofErr w:type="gramStart"/>
      <w:r w:rsidRPr="00D554C2">
        <w:rPr>
          <w:rFonts w:ascii="宋体" w:eastAsia="宋体" w:hAnsi="Calibri" w:cs="Times New Roman" w:hint="eastAsia"/>
          <w:bCs/>
          <w:kern w:val="0"/>
          <w:sz w:val="24"/>
        </w:rPr>
        <w:t>啦操教学</w:t>
      </w:r>
      <w:proofErr w:type="gramEnd"/>
      <w:r w:rsidRPr="00D554C2">
        <w:rPr>
          <w:rFonts w:ascii="宋体" w:eastAsia="宋体" w:hAnsi="Calibri" w:cs="Times New Roman" w:hint="eastAsia"/>
          <w:bCs/>
          <w:kern w:val="0"/>
          <w:sz w:val="24"/>
        </w:rPr>
        <w:t>效果和学生掌握情况，让学生了解选项课内容和科学体育锻炼方式方法。</w:t>
      </w:r>
    </w:p>
    <w:p w14:paraId="074F9C52"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2.课程考核的内容：</w:t>
      </w:r>
      <w:r w:rsidRPr="00D554C2">
        <w:rPr>
          <w:rFonts w:ascii="宋体" w:eastAsia="宋体" w:hAnsi="Calibri" w:cs="Times New Roman" w:hint="eastAsia"/>
          <w:bCs/>
          <w:kern w:val="0"/>
          <w:sz w:val="24"/>
        </w:rPr>
        <w:t>啦</w:t>
      </w:r>
      <w:proofErr w:type="gramStart"/>
      <w:r w:rsidRPr="00D554C2">
        <w:rPr>
          <w:rFonts w:ascii="宋体" w:eastAsia="宋体" w:hAnsi="Calibri" w:cs="Times New Roman" w:hint="eastAsia"/>
          <w:bCs/>
          <w:kern w:val="0"/>
          <w:sz w:val="24"/>
        </w:rPr>
        <w:t>啦</w:t>
      </w:r>
      <w:proofErr w:type="gramEnd"/>
      <w:r w:rsidRPr="00D554C2">
        <w:rPr>
          <w:rFonts w:ascii="宋体" w:eastAsia="宋体" w:hAnsi="Calibri" w:cs="Times New Roman" w:hint="eastAsia"/>
          <w:bCs/>
          <w:kern w:val="0"/>
          <w:sz w:val="24"/>
        </w:rPr>
        <w:t>操套路（三）组合一</w:t>
      </w:r>
    </w:p>
    <w:p w14:paraId="142CA406"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Cs/>
          <w:kern w:val="0"/>
          <w:sz w:val="24"/>
        </w:rPr>
      </w:pPr>
      <w:r w:rsidRPr="00D554C2">
        <w:rPr>
          <w:rFonts w:ascii="宋体" w:eastAsia="宋体" w:hAnsi="Calibri" w:cs="Times New Roman" w:hint="eastAsia"/>
          <w:b/>
          <w:kern w:val="0"/>
          <w:sz w:val="24"/>
        </w:rPr>
        <w:t>3.课程考核方式：</w:t>
      </w:r>
      <w:r w:rsidRPr="00D554C2">
        <w:rPr>
          <w:rFonts w:ascii="宋体" w:eastAsia="宋体" w:hAnsi="Calibri" w:cs="Times New Roman" w:hint="eastAsia"/>
          <w:bCs/>
          <w:kern w:val="0"/>
          <w:sz w:val="24"/>
        </w:rPr>
        <w:t>在音乐伴奏下，以小组形式进行测试</w:t>
      </w:r>
    </w:p>
    <w:p w14:paraId="0F9D306E"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
          <w:kern w:val="0"/>
          <w:sz w:val="24"/>
        </w:rPr>
      </w:pPr>
      <w:r w:rsidRPr="00D554C2">
        <w:rPr>
          <w:rFonts w:ascii="宋体" w:eastAsia="宋体" w:hAnsi="Calibri" w:cs="Times New Roman" w:hint="eastAsia"/>
          <w:b/>
          <w:kern w:val="0"/>
          <w:sz w:val="24"/>
        </w:rPr>
        <w:t>4.成绩构成及分值：</w:t>
      </w:r>
    </w:p>
    <w:p w14:paraId="1C57B2EC"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宋体" w:eastAsia="宋体" w:hAnsi="Calibri" w:cs="Times New Roman" w:hint="eastAsia"/>
          <w:bCs/>
          <w:kern w:val="0"/>
          <w:sz w:val="24"/>
        </w:rPr>
        <w:t>4.1</w:t>
      </w:r>
      <w:r w:rsidRPr="00D554C2">
        <w:rPr>
          <w:rFonts w:ascii="Calibri" w:eastAsia="宋体" w:hAnsi="Calibri" w:cs="Times New Roman" w:hint="eastAsia"/>
        </w:rPr>
        <w:t>.</w:t>
      </w:r>
      <w:r w:rsidRPr="00D554C2">
        <w:rPr>
          <w:rFonts w:ascii="Calibri" w:eastAsia="宋体" w:hAnsi="Calibri" w:cs="Times New Roman" w:hint="eastAsia"/>
          <w:sz w:val="24"/>
        </w:rPr>
        <w:t>套路完成情况（</w:t>
      </w:r>
      <w:r w:rsidRPr="00D554C2">
        <w:rPr>
          <w:rFonts w:ascii="Calibri" w:eastAsia="宋体" w:hAnsi="Calibri" w:cs="Times New Roman" w:hint="eastAsia"/>
        </w:rPr>
        <w:t>60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4.2</w:t>
      </w:r>
      <w:r w:rsidRPr="00D554C2">
        <w:rPr>
          <w:rFonts w:ascii="Calibri" w:eastAsia="宋体" w:hAnsi="Calibri" w:cs="Times New Roman" w:hint="eastAsia"/>
          <w:sz w:val="24"/>
        </w:rPr>
        <w:t>基本形态（</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4.3</w:t>
      </w:r>
      <w:r w:rsidRPr="00D554C2">
        <w:rPr>
          <w:rFonts w:ascii="Calibri" w:eastAsia="宋体" w:hAnsi="Calibri" w:cs="Times New Roman" w:hint="eastAsia"/>
          <w:sz w:val="24"/>
        </w:rPr>
        <w:t>表现力（</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4.4</w:t>
      </w:r>
      <w:r w:rsidRPr="00D554C2">
        <w:rPr>
          <w:rFonts w:ascii="Calibri" w:eastAsia="宋体" w:hAnsi="Calibri" w:cs="Times New Roman" w:hint="eastAsia"/>
          <w:sz w:val="24"/>
        </w:rPr>
        <w:t>乐感（</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4.5</w:t>
      </w:r>
      <w:r w:rsidRPr="00D554C2">
        <w:rPr>
          <w:rFonts w:ascii="Calibri" w:eastAsia="宋体" w:hAnsi="Calibri" w:cs="Times New Roman" w:hint="eastAsia"/>
          <w:sz w:val="24"/>
        </w:rPr>
        <w:t>控制力（</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），总分值为</w:t>
      </w:r>
      <w:r w:rsidRPr="00D554C2">
        <w:rPr>
          <w:rFonts w:ascii="Calibri" w:eastAsia="宋体" w:hAnsi="Calibri" w:cs="Times New Roman" w:hint="eastAsia"/>
        </w:rPr>
        <w:t>100</w:t>
      </w:r>
      <w:r w:rsidRPr="00D554C2">
        <w:rPr>
          <w:rFonts w:ascii="Calibri" w:eastAsia="宋体" w:hAnsi="Calibri" w:cs="Times New Roman" w:hint="eastAsia"/>
          <w:sz w:val="24"/>
        </w:rPr>
        <w:t>分。</w:t>
      </w:r>
    </w:p>
    <w:p w14:paraId="6B77BBBB"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p w14:paraId="6B69F762"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技术分为</w:t>
      </w:r>
      <w:r w:rsidRPr="00D554C2">
        <w:rPr>
          <w:rFonts w:ascii="Calibri" w:eastAsia="宋体" w:hAnsi="Calibri" w:cs="Times New Roman" w:hint="eastAsia"/>
          <w:sz w:val="24"/>
        </w:rPr>
        <w:t>ABCDE</w:t>
      </w:r>
      <w:r w:rsidRPr="00D554C2">
        <w:rPr>
          <w:rFonts w:ascii="Calibri" w:eastAsia="宋体" w:hAnsi="Calibri" w:cs="Times New Roman" w:hint="eastAsia"/>
          <w:sz w:val="24"/>
        </w:rPr>
        <w:t>共</w:t>
      </w:r>
      <w:r w:rsidRPr="00D554C2">
        <w:rPr>
          <w:rFonts w:ascii="Calibri" w:eastAsia="宋体" w:hAnsi="Calibri" w:cs="Times New Roman" w:hint="eastAsia"/>
        </w:rPr>
        <w:t>6</w:t>
      </w:r>
      <w:r w:rsidRPr="00D554C2">
        <w:rPr>
          <w:rFonts w:ascii="Calibri" w:eastAsia="宋体" w:hAnsi="Calibri" w:cs="Times New Roman" w:hint="eastAsia"/>
          <w:sz w:val="24"/>
        </w:rPr>
        <w:t>档，分别为优、良、中、可、差。例：最高档</w:t>
      </w:r>
      <w:r w:rsidRPr="00D554C2">
        <w:rPr>
          <w:rFonts w:ascii="Calibri" w:eastAsia="宋体" w:hAnsi="Calibri" w:cs="Times New Roman" w:hint="eastAsia"/>
          <w:sz w:val="24"/>
        </w:rPr>
        <w:t>A</w:t>
      </w:r>
      <w:r w:rsidRPr="00D554C2">
        <w:rPr>
          <w:rFonts w:ascii="Calibri" w:eastAsia="宋体" w:hAnsi="Calibri" w:cs="Times New Roman" w:hint="eastAsia"/>
          <w:sz w:val="24"/>
        </w:rPr>
        <w:t>档分值打分范围为</w:t>
      </w:r>
      <w:r w:rsidRPr="00D554C2">
        <w:rPr>
          <w:rFonts w:ascii="Calibri" w:eastAsia="宋体" w:hAnsi="Calibri" w:cs="Times New Roman" w:hint="eastAsia"/>
          <w:sz w:val="24"/>
        </w:rPr>
        <w:t>90-100</w:t>
      </w:r>
      <w:r w:rsidRPr="00D554C2">
        <w:rPr>
          <w:rFonts w:ascii="Calibri" w:eastAsia="宋体" w:hAnsi="Calibri" w:cs="Times New Roman" w:hint="eastAsia"/>
          <w:sz w:val="24"/>
        </w:rPr>
        <w:t>。以此类推，</w:t>
      </w:r>
      <w:r w:rsidRPr="00D554C2">
        <w:rPr>
          <w:rFonts w:ascii="Calibri" w:eastAsia="宋体" w:hAnsi="Calibri" w:cs="Times New Roman" w:hint="eastAsia"/>
          <w:sz w:val="24"/>
        </w:rPr>
        <w:t>E</w:t>
      </w:r>
      <w:r w:rsidRPr="00D554C2">
        <w:rPr>
          <w:rFonts w:ascii="Calibri" w:eastAsia="宋体" w:hAnsi="Calibri" w:cs="Times New Roman" w:hint="eastAsia"/>
          <w:sz w:val="24"/>
        </w:rPr>
        <w:t>档打分范围</w:t>
      </w:r>
      <w:r w:rsidRPr="00D554C2">
        <w:rPr>
          <w:rFonts w:ascii="Calibri" w:eastAsia="宋体" w:hAnsi="Calibri" w:cs="Times New Roman" w:hint="eastAsia"/>
          <w:sz w:val="24"/>
        </w:rPr>
        <w:t>0-59</w:t>
      </w:r>
      <w:r w:rsidRPr="00D554C2">
        <w:rPr>
          <w:rFonts w:ascii="Calibri" w:eastAsia="宋体" w:hAnsi="Calibri" w:cs="Times New Roman" w:hint="eastAsia"/>
          <w:sz w:val="24"/>
        </w:rPr>
        <w:t>分，此项分值</w:t>
      </w:r>
      <w:r w:rsidRPr="00D554C2">
        <w:rPr>
          <w:rFonts w:ascii="Calibri" w:eastAsia="宋体" w:hAnsi="Calibri" w:cs="Times New Roman" w:hint="eastAsia"/>
          <w:sz w:val="24"/>
        </w:rPr>
        <w:t>100</w:t>
      </w:r>
      <w:r w:rsidRPr="00D554C2">
        <w:rPr>
          <w:rFonts w:ascii="Calibri" w:eastAsia="宋体" w:hAnsi="Calibri" w:cs="Times New Roman" w:hint="eastAsia"/>
          <w:sz w:val="24"/>
        </w:rPr>
        <w:t>分</w:t>
      </w:r>
      <w:r w:rsidRPr="00D554C2">
        <w:rPr>
          <w:rFonts w:ascii="Calibri" w:eastAsia="宋体" w:hAnsi="Calibri" w:cs="Times New Roman"/>
          <w:sz w:val="24"/>
        </w:rPr>
        <w:t>。</w:t>
      </w:r>
      <w:r w:rsidRPr="00D554C2">
        <w:rPr>
          <w:rFonts w:ascii="Calibri" w:eastAsia="宋体" w:hAnsi="Calibri" w:cs="Times New Roman" w:hint="eastAsia"/>
          <w:sz w:val="24"/>
        </w:rPr>
        <w:t>（见表</w:t>
      </w:r>
      <w:r w:rsidRPr="00D554C2">
        <w:rPr>
          <w:rFonts w:ascii="Calibri" w:eastAsia="宋体" w:hAnsi="Calibri" w:cs="Times New Roman" w:hint="eastAsia"/>
          <w:sz w:val="24"/>
        </w:rPr>
        <w:t>1</w:t>
      </w:r>
      <w:r w:rsidRPr="00D554C2">
        <w:rPr>
          <w:rFonts w:ascii="Calibri" w:eastAsia="宋体" w:hAnsi="Calibri" w:cs="Times New Roman" w:hint="eastAsia"/>
          <w:sz w:val="24"/>
        </w:rPr>
        <w:t>）</w:t>
      </w:r>
    </w:p>
    <w:p w14:paraId="5B444D95" w14:textId="77777777" w:rsidR="00D554C2" w:rsidRPr="00D554C2" w:rsidRDefault="00D554C2" w:rsidP="00D554C2">
      <w:pPr>
        <w:adjustRightInd w:val="0"/>
        <w:snapToGrid w:val="0"/>
        <w:spacing w:line="500" w:lineRule="exact"/>
        <w:ind w:firstLineChars="200" w:firstLine="482"/>
        <w:jc w:val="center"/>
        <w:rPr>
          <w:rFonts w:ascii="Calibri" w:eastAsia="宋体" w:hAnsi="Calibri" w:cs="Times New Roman"/>
          <w:b/>
          <w:sz w:val="24"/>
        </w:rPr>
      </w:pPr>
      <w:r w:rsidRPr="00D554C2">
        <w:rPr>
          <w:rFonts w:ascii="Calibri" w:eastAsia="宋体" w:hAnsi="Calibri" w:cs="Times New Roman" w:hint="eastAsia"/>
          <w:b/>
          <w:sz w:val="24"/>
        </w:rPr>
        <w:t>表</w:t>
      </w:r>
      <w:r w:rsidRPr="00D554C2">
        <w:rPr>
          <w:rFonts w:ascii="Calibri" w:eastAsia="宋体" w:hAnsi="Calibri" w:cs="Times New Roman" w:hint="eastAsia"/>
          <w:b/>
          <w:sz w:val="24"/>
        </w:rPr>
        <w:t>1</w:t>
      </w:r>
      <w:r w:rsidRPr="00D554C2">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D554C2" w:rsidRPr="00D554C2" w14:paraId="252C992D" w14:textId="77777777" w:rsidTr="009B4CAE">
        <w:trPr>
          <w:trHeight w:val="655"/>
        </w:trPr>
        <w:tc>
          <w:tcPr>
            <w:tcW w:w="2268" w:type="dxa"/>
            <w:tcBorders>
              <w:top w:val="single" w:sz="4" w:space="0" w:color="auto"/>
              <w:left w:val="single" w:sz="4" w:space="0" w:color="auto"/>
              <w:bottom w:val="single" w:sz="4" w:space="0" w:color="auto"/>
              <w:right w:val="single" w:sz="4" w:space="0" w:color="auto"/>
            </w:tcBorders>
          </w:tcPr>
          <w:p w14:paraId="66612505" w14:textId="77777777" w:rsidR="00D554C2" w:rsidRPr="00D554C2" w:rsidRDefault="00D554C2" w:rsidP="00D554C2">
            <w:pPr>
              <w:widowControl/>
              <w:spacing w:line="432" w:lineRule="auto"/>
              <w:jc w:val="center"/>
              <w:rPr>
                <w:rFonts w:ascii="宋体" w:eastAsia="宋体" w:hAnsi="宋体" w:cs="宋体"/>
                <w:color w:val="FFFFFF"/>
                <w:kern w:val="0"/>
                <w:sz w:val="18"/>
                <w:szCs w:val="18"/>
              </w:rPr>
            </w:pPr>
            <w:r w:rsidRPr="00D554C2">
              <w:rPr>
                <w:rFonts w:ascii="宋体" w:eastAsia="宋体" w:hAnsi="宋体" w:cs="宋体"/>
                <w:noProof/>
                <w:kern w:val="0"/>
                <w:sz w:val="18"/>
                <w:szCs w:val="18"/>
              </w:rPr>
              <mc:AlternateContent>
                <mc:Choice Requires="wps">
                  <w:drawing>
                    <wp:anchor distT="0" distB="0" distL="114300" distR="114300" simplePos="0" relativeHeight="251682816" behindDoc="0" locked="0" layoutInCell="1" allowOverlap="1" wp14:anchorId="73E3C9B1" wp14:editId="04BD8B22">
                      <wp:simplePos x="0" y="0"/>
                      <wp:positionH relativeFrom="column">
                        <wp:posOffset>-97790</wp:posOffset>
                      </wp:positionH>
                      <wp:positionV relativeFrom="paragraph">
                        <wp:posOffset>31750</wp:posOffset>
                      </wp:positionV>
                      <wp:extent cx="1432560" cy="638175"/>
                      <wp:effectExtent l="1905" t="4445" r="13335" b="5080"/>
                      <wp:wrapNone/>
                      <wp:docPr id="45" name="直接连接符 45"/>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w14:anchorId="46695A62" id="直接连接符 45" o:spid="_x0000_s1026" style="position:absolute;z-index:251682816;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" strokeweight=".5pt"/>
                  </w:pict>
                </mc:Fallback>
              </mc:AlternateContent>
            </w:r>
            <w:r w:rsidRPr="00D554C2">
              <w:rPr>
                <w:rFonts w:ascii="宋体" w:eastAsia="宋体" w:hAnsi="宋体" w:cs="宋体"/>
                <w:kern w:val="0"/>
                <w:sz w:val="18"/>
                <w:szCs w:val="18"/>
              </w:rPr>
              <w:t xml:space="preserve">     </w:t>
            </w:r>
            <w:r w:rsidRPr="00D554C2">
              <w:rPr>
                <w:rFonts w:ascii="Calibri" w:eastAsia="宋体" w:hAnsi="Calibri" w:cs="Times New Roman" w:hint="eastAsia"/>
              </w:rPr>
              <w:t xml:space="preserve">   </w:t>
            </w:r>
            <w:r w:rsidRPr="00D554C2">
              <w:rPr>
                <w:rFonts w:ascii="宋体" w:eastAsia="宋体" w:hAnsi="宋体" w:cs="宋体"/>
                <w:kern w:val="0"/>
                <w:sz w:val="18"/>
                <w:szCs w:val="18"/>
              </w:rPr>
              <w:t xml:space="preserve"> 标准</w:t>
            </w:r>
            <w:r w:rsidRPr="00D554C2">
              <w:rPr>
                <w:rFonts w:ascii="Calibri" w:eastAsia="宋体" w:hAnsi="Calibri" w:cs="Times New Roman" w:hint="eastAsia"/>
                <w:color w:val="FFFFFF"/>
                <w:sz w:val="24"/>
              </w:rPr>
              <w:t>容</w:t>
            </w:r>
          </w:p>
          <w:p w14:paraId="37D60D21" w14:textId="77777777" w:rsidR="00D554C2" w:rsidRPr="00D554C2" w:rsidRDefault="00D554C2" w:rsidP="00D554C2">
            <w:pPr>
              <w:widowControl/>
              <w:spacing w:line="432" w:lineRule="auto"/>
              <w:rPr>
                <w:rFonts w:ascii="宋体" w:eastAsia="宋体" w:hAnsi="宋体" w:cs="宋体"/>
                <w:kern w:val="0"/>
                <w:sz w:val="18"/>
                <w:szCs w:val="18"/>
              </w:rPr>
            </w:pPr>
            <w:r w:rsidRPr="00D554C2">
              <w:rPr>
                <w:rFonts w:ascii="Calibri" w:eastAsia="宋体" w:hAnsi="Calibri" w:cs="Times New Roman" w:hint="eastAsia"/>
                <w:sz w:val="24"/>
              </w:rPr>
              <w:t>分</w:t>
            </w:r>
            <w:r w:rsidRPr="00D554C2">
              <w:rPr>
                <w:rFonts w:ascii="Calibri" w:eastAsia="宋体" w:hAnsi="Calibri" w:cs="Times New Roman"/>
                <w:sz w:val="24"/>
              </w:rPr>
              <w:t xml:space="preserve">  </w:t>
            </w:r>
            <w:r w:rsidRPr="00D554C2">
              <w:rPr>
                <w:rFonts w:ascii="Calibri" w:eastAsia="宋体" w:hAnsi="Calibri" w:cs="Times New Roman" w:hint="eastAsia"/>
                <w:sz w:val="24"/>
              </w:rPr>
              <w:t>值</w:t>
            </w:r>
            <w:r w:rsidRPr="00D554C2">
              <w:rPr>
                <w:rFonts w:ascii="Calibri" w:eastAsia="宋体" w:hAnsi="Calibri" w:cs="Times New Roman"/>
                <w:sz w:val="24"/>
              </w:rPr>
              <w:t xml:space="preserve"> </w:t>
            </w:r>
            <w:r w:rsidRPr="00D554C2">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29C27C70" w14:textId="77777777" w:rsidR="00D554C2" w:rsidRPr="00D554C2" w:rsidRDefault="00D554C2" w:rsidP="00D554C2">
            <w:pPr>
              <w:widowControl/>
              <w:spacing w:line="432" w:lineRule="auto"/>
              <w:jc w:val="center"/>
              <w:rPr>
                <w:rFonts w:ascii="宋体" w:eastAsia="宋体" w:hAnsi="宋体" w:cs="宋体"/>
                <w:kern w:val="0"/>
                <w:sz w:val="18"/>
                <w:szCs w:val="18"/>
              </w:rPr>
            </w:pPr>
          </w:p>
        </w:tc>
      </w:tr>
      <w:tr w:rsidR="00D554C2" w:rsidRPr="00D554C2" w14:paraId="6F823B59" w14:textId="77777777" w:rsidTr="009B4CAE">
        <w:trPr>
          <w:cantSplit/>
        </w:trPr>
        <w:tc>
          <w:tcPr>
            <w:tcW w:w="2268" w:type="dxa"/>
            <w:vMerge w:val="restart"/>
            <w:tcBorders>
              <w:top w:val="single" w:sz="4" w:space="0" w:color="auto"/>
              <w:left w:val="single" w:sz="4" w:space="0" w:color="auto"/>
              <w:right w:val="single" w:sz="4" w:space="0" w:color="auto"/>
            </w:tcBorders>
            <w:vAlign w:val="center"/>
          </w:tcPr>
          <w:p w14:paraId="3AFD0793" w14:textId="77777777" w:rsidR="00D554C2" w:rsidRPr="00D554C2" w:rsidRDefault="00D554C2" w:rsidP="00D554C2">
            <w:pPr>
              <w:widowControl/>
              <w:spacing w:line="432" w:lineRule="auto"/>
              <w:ind w:firstLineChars="300" w:firstLine="720"/>
              <w:rPr>
                <w:rFonts w:ascii="Calibri" w:eastAsia="宋体" w:hAnsi="Calibri" w:cs="Times New Roman"/>
              </w:rPr>
            </w:pPr>
            <w:r w:rsidRPr="00D554C2">
              <w:rPr>
                <w:rFonts w:ascii="Calibri" w:eastAsia="宋体" w:hAnsi="Calibri" w:cs="Times New Roman"/>
                <w:sz w:val="24"/>
              </w:rPr>
              <w:t>9</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10</w:t>
            </w:r>
            <w:r w:rsidRPr="00D554C2">
              <w:rPr>
                <w:rFonts w:ascii="Calibri" w:eastAsia="宋体" w:hAnsi="Calibri" w:cs="Times New Roman" w:hint="eastAsia"/>
                <w:sz w:val="24"/>
              </w:rPr>
              <w:t>0</w:t>
            </w:r>
          </w:p>
          <w:p w14:paraId="18185D09" w14:textId="77777777" w:rsidR="00D554C2" w:rsidRPr="00D554C2" w:rsidRDefault="00D554C2" w:rsidP="00D554C2">
            <w:pPr>
              <w:widowControl/>
              <w:spacing w:line="432" w:lineRule="auto"/>
              <w:ind w:firstLineChars="300" w:firstLine="630"/>
              <w:rPr>
                <w:rFonts w:ascii="Calibri" w:eastAsia="宋体" w:hAnsi="Calibri" w:cs="Times New Roman"/>
              </w:rPr>
            </w:pPr>
          </w:p>
          <w:p w14:paraId="79B5D272"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8</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89</w:t>
            </w:r>
          </w:p>
          <w:p w14:paraId="4F5757C0"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7</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79</w:t>
            </w:r>
          </w:p>
          <w:p w14:paraId="64CE2FCC"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6</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69</w:t>
            </w:r>
          </w:p>
          <w:p w14:paraId="550C9726" w14:textId="77777777" w:rsidR="00D554C2" w:rsidRPr="00D554C2" w:rsidRDefault="00D554C2" w:rsidP="00D554C2">
            <w:pPr>
              <w:widowControl/>
              <w:spacing w:line="432" w:lineRule="auto"/>
              <w:jc w:val="center"/>
              <w:rPr>
                <w:rFonts w:ascii="宋体" w:eastAsia="宋体" w:hAnsi="宋体" w:cs="宋体"/>
                <w:kern w:val="0"/>
                <w:sz w:val="18"/>
                <w:szCs w:val="18"/>
              </w:rPr>
            </w:pPr>
            <w:r w:rsidRPr="00D554C2">
              <w:rPr>
                <w:rFonts w:ascii="Calibri" w:eastAsia="宋体" w:hAnsi="Calibri" w:cs="Times New Roman"/>
                <w:sz w:val="24"/>
              </w:rPr>
              <w:t>6</w:t>
            </w:r>
            <w:r w:rsidRPr="00D554C2">
              <w:rPr>
                <w:rFonts w:ascii="Calibri" w:eastAsia="宋体" w:hAnsi="Calibri" w:cs="Times New Roman" w:hint="eastAsia"/>
                <w:sz w:val="24"/>
              </w:rPr>
              <w:t>0</w:t>
            </w:r>
            <w:r w:rsidRPr="00D554C2">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5F0F782D" w14:textId="77777777" w:rsidR="00D554C2" w:rsidRPr="00D554C2" w:rsidRDefault="00D554C2" w:rsidP="00D554C2">
            <w:pPr>
              <w:widowControl/>
              <w:spacing w:line="432" w:lineRule="auto"/>
              <w:jc w:val="center"/>
              <w:rPr>
                <w:rFonts w:ascii="宋体" w:eastAsia="宋体" w:hAnsi="宋体" w:cs="宋体"/>
                <w:kern w:val="0"/>
                <w:sz w:val="18"/>
                <w:szCs w:val="18"/>
              </w:rPr>
            </w:pPr>
            <w:r w:rsidRPr="00D554C2">
              <w:rPr>
                <w:rFonts w:ascii="Calibri" w:eastAsia="宋体" w:hAnsi="Calibri" w:cs="Times New Roman" w:hint="eastAsia"/>
                <w:sz w:val="24"/>
              </w:rPr>
              <w:t>动作标准，张弛有力，体态优美，富有感染力，节奏准确流畅的完成套路</w:t>
            </w:r>
          </w:p>
        </w:tc>
      </w:tr>
      <w:tr w:rsidR="00D554C2" w:rsidRPr="00D554C2" w14:paraId="1C5B3AB3" w14:textId="77777777" w:rsidTr="009B4CAE">
        <w:trPr>
          <w:cantSplit/>
        </w:trPr>
        <w:tc>
          <w:tcPr>
            <w:tcW w:w="2268" w:type="dxa"/>
            <w:vMerge/>
            <w:tcBorders>
              <w:left w:val="single" w:sz="4" w:space="0" w:color="auto"/>
              <w:right w:val="single" w:sz="4" w:space="0" w:color="auto"/>
            </w:tcBorders>
            <w:vAlign w:val="center"/>
          </w:tcPr>
          <w:p w14:paraId="722BBFD6"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136B7459"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能跟上节奏，较好的完成套路，</w:t>
            </w:r>
          </w:p>
        </w:tc>
      </w:tr>
      <w:tr w:rsidR="00D554C2" w:rsidRPr="00D554C2" w14:paraId="4CA1BB98" w14:textId="77777777" w:rsidTr="009B4CAE">
        <w:trPr>
          <w:cantSplit/>
        </w:trPr>
        <w:tc>
          <w:tcPr>
            <w:tcW w:w="2268" w:type="dxa"/>
            <w:vMerge/>
            <w:tcBorders>
              <w:left w:val="single" w:sz="4" w:space="0" w:color="auto"/>
              <w:right w:val="single" w:sz="4" w:space="0" w:color="auto"/>
            </w:tcBorders>
            <w:vAlign w:val="center"/>
          </w:tcPr>
          <w:p w14:paraId="72E799A0"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39FD7C99"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姿势一般，动作基本正确，节奏基本正确</w:t>
            </w:r>
          </w:p>
        </w:tc>
      </w:tr>
      <w:tr w:rsidR="00D554C2" w:rsidRPr="00D554C2" w14:paraId="7BBB1C4D" w14:textId="77777777" w:rsidTr="009B4CAE">
        <w:trPr>
          <w:cantSplit/>
        </w:trPr>
        <w:tc>
          <w:tcPr>
            <w:tcW w:w="2268" w:type="dxa"/>
            <w:vMerge/>
            <w:tcBorders>
              <w:left w:val="single" w:sz="4" w:space="0" w:color="auto"/>
              <w:right w:val="single" w:sz="4" w:space="0" w:color="auto"/>
            </w:tcBorders>
            <w:vAlign w:val="center"/>
          </w:tcPr>
          <w:p w14:paraId="73A69107"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816BF70"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完成动作较吃力</w:t>
            </w:r>
          </w:p>
        </w:tc>
      </w:tr>
      <w:tr w:rsidR="00D554C2" w:rsidRPr="00D554C2" w14:paraId="2A0FCC9F" w14:textId="77777777" w:rsidTr="009B4CAE">
        <w:trPr>
          <w:cantSplit/>
        </w:trPr>
        <w:tc>
          <w:tcPr>
            <w:tcW w:w="2268" w:type="dxa"/>
            <w:vMerge/>
            <w:tcBorders>
              <w:left w:val="single" w:sz="4" w:space="0" w:color="auto"/>
              <w:bottom w:val="single" w:sz="4" w:space="0" w:color="auto"/>
              <w:right w:val="single" w:sz="4" w:space="0" w:color="auto"/>
            </w:tcBorders>
            <w:vAlign w:val="center"/>
          </w:tcPr>
          <w:p w14:paraId="5439B666" w14:textId="77777777" w:rsidR="00D554C2" w:rsidRPr="00D554C2" w:rsidRDefault="00D554C2" w:rsidP="00D554C2">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45174DC8"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动作僵硬，不协调，乐感差</w:t>
            </w:r>
          </w:p>
        </w:tc>
      </w:tr>
    </w:tbl>
    <w:p w14:paraId="3B29B6DF" w14:textId="77777777" w:rsidR="00D554C2" w:rsidRPr="00D554C2" w:rsidRDefault="00D554C2" w:rsidP="00D554C2">
      <w:pPr>
        <w:adjustRightInd w:val="0"/>
        <w:snapToGrid w:val="0"/>
        <w:spacing w:line="500" w:lineRule="exact"/>
        <w:rPr>
          <w:rFonts w:ascii="宋体" w:eastAsia="宋体" w:hAnsi="Calibri" w:cs="Times New Roman"/>
          <w:bCs/>
          <w:kern w:val="0"/>
          <w:sz w:val="24"/>
        </w:rPr>
      </w:pPr>
    </w:p>
    <w:p w14:paraId="4A594AF3" w14:textId="77777777" w:rsidR="00D554C2" w:rsidRPr="00D554C2" w:rsidRDefault="00D554C2" w:rsidP="00D554C2">
      <w:pPr>
        <w:adjustRightInd w:val="0"/>
        <w:snapToGrid w:val="0"/>
        <w:spacing w:line="500" w:lineRule="exact"/>
        <w:jc w:val="center"/>
        <w:rPr>
          <w:rFonts w:ascii="宋体" w:eastAsia="宋体" w:hAnsi="Calibri" w:cs="Times New Roman"/>
          <w:b/>
          <w:kern w:val="0"/>
          <w:sz w:val="24"/>
        </w:rPr>
      </w:pPr>
      <w:r w:rsidRPr="00D554C2">
        <w:rPr>
          <w:rFonts w:ascii="宋体" w:eastAsia="宋体" w:hAnsi="Calibri" w:cs="Times New Roman" w:hint="eastAsia"/>
          <w:b/>
          <w:kern w:val="0"/>
          <w:sz w:val="24"/>
        </w:rPr>
        <w:t>期末考试</w:t>
      </w:r>
    </w:p>
    <w:p w14:paraId="5E9D201F"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1.课程考核目标:</w:t>
      </w:r>
      <w:r w:rsidRPr="00D554C2">
        <w:rPr>
          <w:rFonts w:ascii="宋体" w:eastAsia="宋体" w:hAnsi="Calibri" w:cs="Times New Roman" w:hint="eastAsia"/>
          <w:bCs/>
          <w:kern w:val="0"/>
          <w:sz w:val="24"/>
        </w:rPr>
        <w:t>通过考核检验啦</w:t>
      </w:r>
      <w:proofErr w:type="gramStart"/>
      <w:r w:rsidRPr="00D554C2">
        <w:rPr>
          <w:rFonts w:ascii="宋体" w:eastAsia="宋体" w:hAnsi="Calibri" w:cs="Times New Roman" w:hint="eastAsia"/>
          <w:bCs/>
          <w:kern w:val="0"/>
          <w:sz w:val="24"/>
        </w:rPr>
        <w:t>啦操技术</w:t>
      </w:r>
      <w:proofErr w:type="gramEnd"/>
      <w:r w:rsidRPr="00D554C2">
        <w:rPr>
          <w:rFonts w:ascii="宋体" w:eastAsia="宋体" w:hAnsi="Calibri" w:cs="Times New Roman" w:hint="eastAsia"/>
          <w:bCs/>
          <w:kern w:val="0"/>
          <w:sz w:val="24"/>
        </w:rPr>
        <w:t>教学效果和学生掌握情况，让学生了解选项课内容和科学体育锻炼方式方法。</w:t>
      </w:r>
    </w:p>
    <w:p w14:paraId="4CE628EA"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Cs/>
          <w:kern w:val="0"/>
          <w:sz w:val="24"/>
        </w:rPr>
      </w:pPr>
      <w:r w:rsidRPr="00D554C2">
        <w:rPr>
          <w:rFonts w:ascii="宋体" w:eastAsia="宋体" w:hAnsi="Calibri" w:cs="Times New Roman" w:hint="eastAsia"/>
          <w:b/>
          <w:kern w:val="0"/>
          <w:sz w:val="24"/>
        </w:rPr>
        <w:t>2.课程考核的内容：</w:t>
      </w:r>
      <w:r w:rsidRPr="00D554C2">
        <w:rPr>
          <w:rFonts w:ascii="宋体" w:eastAsia="宋体" w:hAnsi="Calibri" w:cs="Times New Roman" w:hint="eastAsia"/>
          <w:bCs/>
          <w:kern w:val="0"/>
          <w:sz w:val="24"/>
        </w:rPr>
        <w:t>啦</w:t>
      </w:r>
      <w:proofErr w:type="gramStart"/>
      <w:r w:rsidRPr="00D554C2">
        <w:rPr>
          <w:rFonts w:ascii="宋体" w:eastAsia="宋体" w:hAnsi="Calibri" w:cs="Times New Roman" w:hint="eastAsia"/>
          <w:bCs/>
          <w:kern w:val="0"/>
          <w:sz w:val="24"/>
        </w:rPr>
        <w:t>啦</w:t>
      </w:r>
      <w:proofErr w:type="gramEnd"/>
      <w:r w:rsidRPr="00D554C2">
        <w:rPr>
          <w:rFonts w:ascii="宋体" w:eastAsia="宋体" w:hAnsi="Calibri" w:cs="Times New Roman" w:hint="eastAsia"/>
          <w:bCs/>
          <w:kern w:val="0"/>
          <w:sz w:val="24"/>
        </w:rPr>
        <w:t>操套路（三）</w:t>
      </w:r>
    </w:p>
    <w:p w14:paraId="34BC892D"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Cs/>
          <w:kern w:val="0"/>
          <w:sz w:val="24"/>
        </w:rPr>
      </w:pPr>
      <w:r w:rsidRPr="00D554C2">
        <w:rPr>
          <w:rFonts w:ascii="宋体" w:eastAsia="宋体" w:hAnsi="Calibri" w:cs="Times New Roman" w:hint="eastAsia"/>
          <w:b/>
          <w:kern w:val="0"/>
          <w:sz w:val="24"/>
        </w:rPr>
        <w:t>3.课程考核方式：</w:t>
      </w:r>
      <w:r w:rsidRPr="00D554C2">
        <w:rPr>
          <w:rFonts w:ascii="宋体" w:eastAsia="宋体" w:hAnsi="Calibri" w:cs="Times New Roman" w:hint="eastAsia"/>
          <w:bCs/>
          <w:kern w:val="0"/>
          <w:sz w:val="24"/>
        </w:rPr>
        <w:t>在音乐伴奏下，以小组形式进行测试</w:t>
      </w:r>
    </w:p>
    <w:p w14:paraId="3FE759F7" w14:textId="77777777" w:rsidR="00D554C2" w:rsidRPr="00D554C2" w:rsidRDefault="00D554C2" w:rsidP="00D554C2">
      <w:pPr>
        <w:adjustRightInd w:val="0"/>
        <w:snapToGrid w:val="0"/>
        <w:spacing w:line="500" w:lineRule="exact"/>
        <w:ind w:firstLineChars="200" w:firstLine="482"/>
        <w:rPr>
          <w:rFonts w:ascii="宋体" w:eastAsia="宋体" w:hAnsi="Calibri" w:cs="Times New Roman"/>
          <w:b/>
          <w:kern w:val="0"/>
          <w:sz w:val="24"/>
        </w:rPr>
      </w:pPr>
      <w:r w:rsidRPr="00D554C2">
        <w:rPr>
          <w:rFonts w:ascii="宋体" w:eastAsia="宋体" w:hAnsi="Calibri" w:cs="Times New Roman" w:hint="eastAsia"/>
          <w:b/>
          <w:kern w:val="0"/>
          <w:sz w:val="24"/>
        </w:rPr>
        <w:lastRenderedPageBreak/>
        <w:t>4.成绩构成及分值：</w:t>
      </w:r>
    </w:p>
    <w:p w14:paraId="297331AC"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宋体" w:eastAsia="宋体" w:hAnsi="Calibri" w:cs="Times New Roman" w:hint="eastAsia"/>
          <w:bCs/>
          <w:kern w:val="0"/>
          <w:sz w:val="24"/>
        </w:rPr>
        <w:t>4.1</w:t>
      </w:r>
      <w:r w:rsidRPr="00D554C2">
        <w:rPr>
          <w:rFonts w:ascii="Calibri" w:eastAsia="宋体" w:hAnsi="Calibri" w:cs="Times New Roman" w:hint="eastAsia"/>
        </w:rPr>
        <w:t>.</w:t>
      </w:r>
      <w:r w:rsidRPr="00D554C2">
        <w:rPr>
          <w:rFonts w:ascii="Calibri" w:eastAsia="宋体" w:hAnsi="Calibri" w:cs="Times New Roman" w:hint="eastAsia"/>
          <w:sz w:val="24"/>
        </w:rPr>
        <w:t>套路完成情况（</w:t>
      </w:r>
      <w:r w:rsidRPr="00D554C2">
        <w:rPr>
          <w:rFonts w:ascii="Calibri" w:eastAsia="宋体" w:hAnsi="Calibri" w:cs="Times New Roman" w:hint="eastAsia"/>
        </w:rPr>
        <w:t>60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4.2</w:t>
      </w:r>
      <w:r w:rsidRPr="00D554C2">
        <w:rPr>
          <w:rFonts w:ascii="Calibri" w:eastAsia="宋体" w:hAnsi="Calibri" w:cs="Times New Roman" w:hint="eastAsia"/>
          <w:sz w:val="24"/>
        </w:rPr>
        <w:t>基本形态（</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4.3</w:t>
      </w:r>
      <w:r w:rsidRPr="00D554C2">
        <w:rPr>
          <w:rFonts w:ascii="Calibri" w:eastAsia="宋体" w:hAnsi="Calibri" w:cs="Times New Roman" w:hint="eastAsia"/>
          <w:sz w:val="24"/>
        </w:rPr>
        <w:t>表现力（</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4.4</w:t>
      </w:r>
      <w:r w:rsidRPr="00D554C2">
        <w:rPr>
          <w:rFonts w:ascii="Calibri" w:eastAsia="宋体" w:hAnsi="Calibri" w:cs="Times New Roman" w:hint="eastAsia"/>
          <w:sz w:val="24"/>
        </w:rPr>
        <w:t>乐感（</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w:t>
      </w:r>
      <w:r w:rsidRPr="00D554C2">
        <w:rPr>
          <w:rFonts w:ascii="Calibri" w:eastAsia="宋体" w:hAnsi="Calibri" w:cs="Times New Roman" w:hint="eastAsia"/>
          <w:sz w:val="24"/>
        </w:rPr>
        <w:t>4.5</w:t>
      </w:r>
      <w:r w:rsidRPr="00D554C2">
        <w:rPr>
          <w:rFonts w:ascii="Calibri" w:eastAsia="宋体" w:hAnsi="Calibri" w:cs="Times New Roman" w:hint="eastAsia"/>
          <w:sz w:val="24"/>
        </w:rPr>
        <w:t>控制力（</w:t>
      </w:r>
      <w:r w:rsidRPr="00D554C2">
        <w:rPr>
          <w:rFonts w:ascii="Calibri" w:eastAsia="宋体" w:hAnsi="Calibri" w:cs="Times New Roman" w:hint="eastAsia"/>
        </w:rPr>
        <w:t>10</w:t>
      </w:r>
      <w:r w:rsidRPr="00D554C2">
        <w:rPr>
          <w:rFonts w:ascii="Calibri" w:eastAsia="宋体" w:hAnsi="Calibri" w:cs="Times New Roman" w:hint="eastAsia"/>
          <w:sz w:val="24"/>
        </w:rPr>
        <w:t>%</w:t>
      </w:r>
      <w:r w:rsidRPr="00D554C2">
        <w:rPr>
          <w:rFonts w:ascii="Calibri" w:eastAsia="宋体" w:hAnsi="Calibri" w:cs="Times New Roman" w:hint="eastAsia"/>
          <w:sz w:val="24"/>
        </w:rPr>
        <w:t>），总分值为</w:t>
      </w:r>
      <w:r w:rsidRPr="00D554C2">
        <w:rPr>
          <w:rFonts w:ascii="Calibri" w:eastAsia="宋体" w:hAnsi="Calibri" w:cs="Times New Roman" w:hint="eastAsia"/>
        </w:rPr>
        <w:t>100</w:t>
      </w:r>
      <w:r w:rsidRPr="00D554C2">
        <w:rPr>
          <w:rFonts w:ascii="Calibri" w:eastAsia="宋体" w:hAnsi="Calibri" w:cs="Times New Roman" w:hint="eastAsia"/>
          <w:sz w:val="24"/>
        </w:rPr>
        <w:t>分。</w:t>
      </w:r>
    </w:p>
    <w:p w14:paraId="43455E43" w14:textId="77777777" w:rsidR="00D554C2" w:rsidRPr="00D554C2" w:rsidRDefault="00D554C2" w:rsidP="00D554C2">
      <w:pPr>
        <w:adjustRightInd w:val="0"/>
        <w:snapToGrid w:val="0"/>
        <w:spacing w:line="500" w:lineRule="exact"/>
        <w:ind w:firstLineChars="200" w:firstLine="482"/>
        <w:jc w:val="left"/>
        <w:rPr>
          <w:rFonts w:ascii="宋体" w:eastAsia="宋体" w:hAnsi="Calibri" w:cs="Times New Roman"/>
          <w:b/>
          <w:kern w:val="0"/>
          <w:sz w:val="24"/>
        </w:rPr>
      </w:pPr>
      <w:r w:rsidRPr="00D554C2">
        <w:rPr>
          <w:rFonts w:ascii="宋体" w:eastAsia="宋体" w:hAnsi="Calibri" w:cs="Times New Roman" w:hint="eastAsia"/>
          <w:b/>
          <w:kern w:val="0"/>
          <w:sz w:val="24"/>
        </w:rPr>
        <w:t>5.评分记分原则：</w:t>
      </w:r>
    </w:p>
    <w:p w14:paraId="573E14D1" w14:textId="77777777" w:rsidR="00D554C2" w:rsidRPr="00D554C2" w:rsidRDefault="00D554C2" w:rsidP="00D554C2">
      <w:pPr>
        <w:adjustRightInd w:val="0"/>
        <w:snapToGrid w:val="0"/>
        <w:spacing w:line="500" w:lineRule="exact"/>
        <w:ind w:firstLineChars="200" w:firstLine="480"/>
        <w:rPr>
          <w:rFonts w:ascii="Calibri" w:eastAsia="宋体" w:hAnsi="Calibri" w:cs="Times New Roman"/>
          <w:sz w:val="24"/>
        </w:rPr>
      </w:pPr>
      <w:r w:rsidRPr="00D554C2">
        <w:rPr>
          <w:rFonts w:ascii="Calibri" w:eastAsia="宋体" w:hAnsi="Calibri" w:cs="Times New Roman" w:hint="eastAsia"/>
          <w:sz w:val="24"/>
        </w:rPr>
        <w:t>技术分为</w:t>
      </w:r>
      <w:r w:rsidRPr="00D554C2">
        <w:rPr>
          <w:rFonts w:ascii="Calibri" w:eastAsia="宋体" w:hAnsi="Calibri" w:cs="Times New Roman" w:hint="eastAsia"/>
          <w:sz w:val="24"/>
        </w:rPr>
        <w:t>ABCDE</w:t>
      </w:r>
      <w:r w:rsidRPr="00D554C2">
        <w:rPr>
          <w:rFonts w:ascii="Calibri" w:eastAsia="宋体" w:hAnsi="Calibri" w:cs="Times New Roman" w:hint="eastAsia"/>
          <w:sz w:val="24"/>
        </w:rPr>
        <w:t>共</w:t>
      </w:r>
      <w:r w:rsidRPr="00D554C2">
        <w:rPr>
          <w:rFonts w:ascii="Calibri" w:eastAsia="宋体" w:hAnsi="Calibri" w:cs="Times New Roman" w:hint="eastAsia"/>
        </w:rPr>
        <w:t>6</w:t>
      </w:r>
      <w:r w:rsidRPr="00D554C2">
        <w:rPr>
          <w:rFonts w:ascii="Calibri" w:eastAsia="宋体" w:hAnsi="Calibri" w:cs="Times New Roman" w:hint="eastAsia"/>
          <w:sz w:val="24"/>
        </w:rPr>
        <w:t>档，分别为优、良、中、可、差。例：最高档</w:t>
      </w:r>
      <w:r w:rsidRPr="00D554C2">
        <w:rPr>
          <w:rFonts w:ascii="Calibri" w:eastAsia="宋体" w:hAnsi="Calibri" w:cs="Times New Roman" w:hint="eastAsia"/>
          <w:sz w:val="24"/>
        </w:rPr>
        <w:t>A</w:t>
      </w:r>
      <w:r w:rsidRPr="00D554C2">
        <w:rPr>
          <w:rFonts w:ascii="Calibri" w:eastAsia="宋体" w:hAnsi="Calibri" w:cs="Times New Roman" w:hint="eastAsia"/>
          <w:sz w:val="24"/>
        </w:rPr>
        <w:t>档分值打分范围为</w:t>
      </w:r>
      <w:r w:rsidRPr="00D554C2">
        <w:rPr>
          <w:rFonts w:ascii="Calibri" w:eastAsia="宋体" w:hAnsi="Calibri" w:cs="Times New Roman" w:hint="eastAsia"/>
          <w:sz w:val="24"/>
        </w:rPr>
        <w:t>90-100</w:t>
      </w:r>
      <w:r w:rsidRPr="00D554C2">
        <w:rPr>
          <w:rFonts w:ascii="Calibri" w:eastAsia="宋体" w:hAnsi="Calibri" w:cs="Times New Roman" w:hint="eastAsia"/>
          <w:sz w:val="24"/>
        </w:rPr>
        <w:t>。以此类推，</w:t>
      </w:r>
      <w:r w:rsidRPr="00D554C2">
        <w:rPr>
          <w:rFonts w:ascii="Calibri" w:eastAsia="宋体" w:hAnsi="Calibri" w:cs="Times New Roman" w:hint="eastAsia"/>
          <w:sz w:val="24"/>
        </w:rPr>
        <w:t>E</w:t>
      </w:r>
      <w:r w:rsidRPr="00D554C2">
        <w:rPr>
          <w:rFonts w:ascii="Calibri" w:eastAsia="宋体" w:hAnsi="Calibri" w:cs="Times New Roman" w:hint="eastAsia"/>
          <w:sz w:val="24"/>
        </w:rPr>
        <w:t>档打分范围</w:t>
      </w:r>
      <w:r w:rsidRPr="00D554C2">
        <w:rPr>
          <w:rFonts w:ascii="Calibri" w:eastAsia="宋体" w:hAnsi="Calibri" w:cs="Times New Roman" w:hint="eastAsia"/>
          <w:sz w:val="24"/>
        </w:rPr>
        <w:t>0-59</w:t>
      </w:r>
      <w:r w:rsidRPr="00D554C2">
        <w:rPr>
          <w:rFonts w:ascii="Calibri" w:eastAsia="宋体" w:hAnsi="Calibri" w:cs="Times New Roman" w:hint="eastAsia"/>
          <w:sz w:val="24"/>
        </w:rPr>
        <w:t>分，此项分值</w:t>
      </w:r>
      <w:r w:rsidRPr="00D554C2">
        <w:rPr>
          <w:rFonts w:ascii="Calibri" w:eastAsia="宋体" w:hAnsi="Calibri" w:cs="Times New Roman" w:hint="eastAsia"/>
          <w:sz w:val="24"/>
        </w:rPr>
        <w:t>100</w:t>
      </w:r>
      <w:r w:rsidRPr="00D554C2">
        <w:rPr>
          <w:rFonts w:ascii="Calibri" w:eastAsia="宋体" w:hAnsi="Calibri" w:cs="Times New Roman" w:hint="eastAsia"/>
          <w:sz w:val="24"/>
        </w:rPr>
        <w:t>分</w:t>
      </w:r>
      <w:r w:rsidRPr="00D554C2">
        <w:rPr>
          <w:rFonts w:ascii="Calibri" w:eastAsia="宋体" w:hAnsi="Calibri" w:cs="Times New Roman"/>
          <w:sz w:val="24"/>
        </w:rPr>
        <w:t>。</w:t>
      </w:r>
      <w:r w:rsidRPr="00D554C2">
        <w:rPr>
          <w:rFonts w:ascii="Calibri" w:eastAsia="宋体" w:hAnsi="Calibri" w:cs="Times New Roman" w:hint="eastAsia"/>
          <w:sz w:val="24"/>
        </w:rPr>
        <w:t>（见表</w:t>
      </w:r>
      <w:r w:rsidRPr="00D554C2">
        <w:rPr>
          <w:rFonts w:ascii="Calibri" w:eastAsia="宋体" w:hAnsi="Calibri" w:cs="Times New Roman" w:hint="eastAsia"/>
          <w:sz w:val="24"/>
        </w:rPr>
        <w:t>1</w:t>
      </w:r>
      <w:r w:rsidRPr="00D554C2">
        <w:rPr>
          <w:rFonts w:ascii="Calibri" w:eastAsia="宋体" w:hAnsi="Calibri" w:cs="Times New Roman" w:hint="eastAsia"/>
          <w:sz w:val="24"/>
        </w:rPr>
        <w:t>）</w:t>
      </w:r>
    </w:p>
    <w:p w14:paraId="03B18606" w14:textId="77777777" w:rsidR="00D554C2" w:rsidRPr="00D554C2" w:rsidRDefault="00D554C2" w:rsidP="00D554C2">
      <w:pPr>
        <w:adjustRightInd w:val="0"/>
        <w:snapToGrid w:val="0"/>
        <w:spacing w:line="500" w:lineRule="exact"/>
        <w:ind w:firstLineChars="200" w:firstLine="482"/>
        <w:jc w:val="center"/>
        <w:rPr>
          <w:rFonts w:ascii="Calibri" w:eastAsia="宋体" w:hAnsi="Calibri" w:cs="Times New Roman"/>
          <w:b/>
          <w:sz w:val="24"/>
        </w:rPr>
      </w:pPr>
      <w:r w:rsidRPr="00D554C2">
        <w:rPr>
          <w:rFonts w:ascii="Calibri" w:eastAsia="宋体" w:hAnsi="Calibri" w:cs="Times New Roman" w:hint="eastAsia"/>
          <w:b/>
          <w:sz w:val="24"/>
        </w:rPr>
        <w:t>表</w:t>
      </w:r>
      <w:r w:rsidRPr="00D554C2">
        <w:rPr>
          <w:rFonts w:ascii="Calibri" w:eastAsia="宋体" w:hAnsi="Calibri" w:cs="Times New Roman" w:hint="eastAsia"/>
          <w:b/>
          <w:sz w:val="24"/>
        </w:rPr>
        <w:t>1</w:t>
      </w:r>
      <w:r w:rsidRPr="00D554C2">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D554C2" w:rsidRPr="00D554C2" w14:paraId="7342464D" w14:textId="77777777" w:rsidTr="009B4CAE">
        <w:trPr>
          <w:trHeight w:val="655"/>
        </w:trPr>
        <w:tc>
          <w:tcPr>
            <w:tcW w:w="2268" w:type="dxa"/>
            <w:tcBorders>
              <w:top w:val="single" w:sz="4" w:space="0" w:color="auto"/>
              <w:left w:val="single" w:sz="4" w:space="0" w:color="auto"/>
              <w:bottom w:val="single" w:sz="4" w:space="0" w:color="auto"/>
              <w:right w:val="single" w:sz="4" w:space="0" w:color="auto"/>
            </w:tcBorders>
          </w:tcPr>
          <w:p w14:paraId="4C6F3D77" w14:textId="77777777" w:rsidR="00D554C2" w:rsidRPr="00D554C2" w:rsidRDefault="00D554C2" w:rsidP="00D554C2">
            <w:pPr>
              <w:widowControl/>
              <w:spacing w:line="432" w:lineRule="auto"/>
              <w:jc w:val="center"/>
              <w:rPr>
                <w:rFonts w:ascii="宋体" w:eastAsia="宋体" w:hAnsi="宋体" w:cs="宋体"/>
                <w:color w:val="FFFFFF"/>
                <w:kern w:val="0"/>
                <w:sz w:val="18"/>
                <w:szCs w:val="18"/>
              </w:rPr>
            </w:pPr>
            <w:r w:rsidRPr="00D554C2">
              <w:rPr>
                <w:rFonts w:ascii="宋体" w:eastAsia="宋体" w:hAnsi="宋体" w:cs="宋体"/>
                <w:noProof/>
                <w:kern w:val="0"/>
                <w:sz w:val="18"/>
                <w:szCs w:val="18"/>
              </w:rPr>
              <mc:AlternateContent>
                <mc:Choice Requires="wps">
                  <w:drawing>
                    <wp:anchor distT="0" distB="0" distL="114300" distR="114300" simplePos="0" relativeHeight="251683840" behindDoc="0" locked="0" layoutInCell="1" allowOverlap="1" wp14:anchorId="768F4654" wp14:editId="718A0072">
                      <wp:simplePos x="0" y="0"/>
                      <wp:positionH relativeFrom="column">
                        <wp:posOffset>-97790</wp:posOffset>
                      </wp:positionH>
                      <wp:positionV relativeFrom="paragraph">
                        <wp:posOffset>31750</wp:posOffset>
                      </wp:positionV>
                      <wp:extent cx="1432560" cy="638175"/>
                      <wp:effectExtent l="1905" t="4445" r="13335" b="5080"/>
                      <wp:wrapNone/>
                      <wp:docPr id="32" name="直接连接符 32"/>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w14:anchorId="50205A64" id="直接连接符 32" o:spid="_x0000_s1026" style="position:absolute;z-index:251683840;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" strokeweight=".5pt"/>
                  </w:pict>
                </mc:Fallback>
              </mc:AlternateContent>
            </w:r>
            <w:r w:rsidRPr="00D554C2">
              <w:rPr>
                <w:rFonts w:ascii="宋体" w:eastAsia="宋体" w:hAnsi="宋体" w:cs="宋体"/>
                <w:kern w:val="0"/>
                <w:sz w:val="18"/>
                <w:szCs w:val="18"/>
              </w:rPr>
              <w:t xml:space="preserve">     </w:t>
            </w:r>
            <w:r w:rsidRPr="00D554C2">
              <w:rPr>
                <w:rFonts w:ascii="Calibri" w:eastAsia="宋体" w:hAnsi="Calibri" w:cs="Times New Roman" w:hint="eastAsia"/>
              </w:rPr>
              <w:t xml:space="preserve">   </w:t>
            </w:r>
            <w:r w:rsidRPr="00D554C2">
              <w:rPr>
                <w:rFonts w:ascii="宋体" w:eastAsia="宋体" w:hAnsi="宋体" w:cs="宋体"/>
                <w:kern w:val="0"/>
                <w:sz w:val="18"/>
                <w:szCs w:val="18"/>
              </w:rPr>
              <w:t xml:space="preserve"> 标准</w:t>
            </w:r>
            <w:r w:rsidRPr="00D554C2">
              <w:rPr>
                <w:rFonts w:ascii="Calibri" w:eastAsia="宋体" w:hAnsi="Calibri" w:cs="Times New Roman" w:hint="eastAsia"/>
                <w:color w:val="FFFFFF"/>
                <w:sz w:val="24"/>
              </w:rPr>
              <w:t>容</w:t>
            </w:r>
          </w:p>
          <w:p w14:paraId="6295DB4A" w14:textId="77777777" w:rsidR="00D554C2" w:rsidRPr="00D554C2" w:rsidRDefault="00D554C2" w:rsidP="00D554C2">
            <w:pPr>
              <w:widowControl/>
              <w:spacing w:line="432" w:lineRule="auto"/>
              <w:rPr>
                <w:rFonts w:ascii="宋体" w:eastAsia="宋体" w:hAnsi="宋体" w:cs="宋体"/>
                <w:kern w:val="0"/>
                <w:sz w:val="18"/>
                <w:szCs w:val="18"/>
              </w:rPr>
            </w:pPr>
            <w:r w:rsidRPr="00D554C2">
              <w:rPr>
                <w:rFonts w:ascii="Calibri" w:eastAsia="宋体" w:hAnsi="Calibri" w:cs="Times New Roman" w:hint="eastAsia"/>
                <w:sz w:val="24"/>
              </w:rPr>
              <w:t>分</w:t>
            </w:r>
            <w:r w:rsidRPr="00D554C2">
              <w:rPr>
                <w:rFonts w:ascii="Calibri" w:eastAsia="宋体" w:hAnsi="Calibri" w:cs="Times New Roman"/>
                <w:sz w:val="24"/>
              </w:rPr>
              <w:t xml:space="preserve">  </w:t>
            </w:r>
            <w:r w:rsidRPr="00D554C2">
              <w:rPr>
                <w:rFonts w:ascii="Calibri" w:eastAsia="宋体" w:hAnsi="Calibri" w:cs="Times New Roman" w:hint="eastAsia"/>
                <w:sz w:val="24"/>
              </w:rPr>
              <w:t>值</w:t>
            </w:r>
            <w:r w:rsidRPr="00D554C2">
              <w:rPr>
                <w:rFonts w:ascii="Calibri" w:eastAsia="宋体" w:hAnsi="Calibri" w:cs="Times New Roman"/>
                <w:sz w:val="24"/>
              </w:rPr>
              <w:t xml:space="preserve"> </w:t>
            </w:r>
            <w:r w:rsidRPr="00D554C2">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2A0A96A7" w14:textId="77777777" w:rsidR="00D554C2" w:rsidRPr="00D554C2" w:rsidRDefault="00D554C2" w:rsidP="00D554C2">
            <w:pPr>
              <w:widowControl/>
              <w:spacing w:line="432" w:lineRule="auto"/>
              <w:jc w:val="center"/>
              <w:rPr>
                <w:rFonts w:ascii="宋体" w:eastAsia="宋体" w:hAnsi="宋体" w:cs="宋体"/>
                <w:kern w:val="0"/>
                <w:sz w:val="18"/>
                <w:szCs w:val="18"/>
              </w:rPr>
            </w:pPr>
          </w:p>
        </w:tc>
      </w:tr>
      <w:tr w:rsidR="00D554C2" w:rsidRPr="00D554C2" w14:paraId="4196B3A3" w14:textId="77777777" w:rsidTr="009B4CAE">
        <w:trPr>
          <w:cantSplit/>
        </w:trPr>
        <w:tc>
          <w:tcPr>
            <w:tcW w:w="2268" w:type="dxa"/>
            <w:vMerge w:val="restart"/>
            <w:tcBorders>
              <w:top w:val="single" w:sz="4" w:space="0" w:color="auto"/>
              <w:left w:val="single" w:sz="4" w:space="0" w:color="auto"/>
              <w:right w:val="single" w:sz="4" w:space="0" w:color="auto"/>
            </w:tcBorders>
            <w:vAlign w:val="center"/>
          </w:tcPr>
          <w:p w14:paraId="508FFCAC" w14:textId="77777777" w:rsidR="00D554C2" w:rsidRPr="00D554C2" w:rsidRDefault="00D554C2" w:rsidP="00D554C2">
            <w:pPr>
              <w:widowControl/>
              <w:spacing w:line="432" w:lineRule="auto"/>
              <w:ind w:firstLineChars="300" w:firstLine="720"/>
              <w:rPr>
                <w:rFonts w:ascii="Calibri" w:eastAsia="宋体" w:hAnsi="Calibri" w:cs="Times New Roman"/>
              </w:rPr>
            </w:pPr>
            <w:r w:rsidRPr="00D554C2">
              <w:rPr>
                <w:rFonts w:ascii="Calibri" w:eastAsia="宋体" w:hAnsi="Calibri" w:cs="Times New Roman"/>
                <w:sz w:val="24"/>
              </w:rPr>
              <w:t>9</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10</w:t>
            </w:r>
            <w:r w:rsidRPr="00D554C2">
              <w:rPr>
                <w:rFonts w:ascii="Calibri" w:eastAsia="宋体" w:hAnsi="Calibri" w:cs="Times New Roman" w:hint="eastAsia"/>
                <w:sz w:val="24"/>
              </w:rPr>
              <w:t>0</w:t>
            </w:r>
          </w:p>
          <w:p w14:paraId="3EDD2056" w14:textId="77777777" w:rsidR="00D554C2" w:rsidRPr="00D554C2" w:rsidRDefault="00D554C2" w:rsidP="00D554C2">
            <w:pPr>
              <w:widowControl/>
              <w:spacing w:line="432" w:lineRule="auto"/>
              <w:ind w:firstLineChars="300" w:firstLine="630"/>
              <w:rPr>
                <w:rFonts w:ascii="Calibri" w:eastAsia="宋体" w:hAnsi="Calibri" w:cs="Times New Roman"/>
              </w:rPr>
            </w:pPr>
          </w:p>
          <w:p w14:paraId="442E5284"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8</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89</w:t>
            </w:r>
          </w:p>
          <w:p w14:paraId="40207289"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7</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79</w:t>
            </w:r>
          </w:p>
          <w:p w14:paraId="37D6D0C8"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sz w:val="24"/>
              </w:rPr>
              <w:t>6</w:t>
            </w:r>
            <w:r w:rsidRPr="00D554C2">
              <w:rPr>
                <w:rFonts w:ascii="Calibri" w:eastAsia="宋体" w:hAnsi="Calibri" w:cs="Times New Roman" w:hint="eastAsia"/>
                <w:sz w:val="24"/>
              </w:rPr>
              <w:t>0</w:t>
            </w:r>
            <w:r w:rsidRPr="00D554C2">
              <w:rPr>
                <w:rFonts w:ascii="Calibri" w:eastAsia="宋体" w:hAnsi="Calibri" w:cs="Times New Roman" w:hint="eastAsia"/>
                <w:sz w:val="24"/>
              </w:rPr>
              <w:t>—</w:t>
            </w:r>
            <w:r w:rsidRPr="00D554C2">
              <w:rPr>
                <w:rFonts w:ascii="Calibri" w:eastAsia="宋体" w:hAnsi="Calibri" w:cs="Times New Roman"/>
                <w:sz w:val="24"/>
              </w:rPr>
              <w:t>69</w:t>
            </w:r>
          </w:p>
          <w:p w14:paraId="4714486C" w14:textId="77777777" w:rsidR="00D554C2" w:rsidRPr="00D554C2" w:rsidRDefault="00D554C2" w:rsidP="00D554C2">
            <w:pPr>
              <w:widowControl/>
              <w:spacing w:line="432" w:lineRule="auto"/>
              <w:jc w:val="center"/>
              <w:rPr>
                <w:rFonts w:ascii="宋体" w:eastAsia="宋体" w:hAnsi="宋体" w:cs="宋体"/>
                <w:kern w:val="0"/>
                <w:sz w:val="18"/>
                <w:szCs w:val="18"/>
              </w:rPr>
            </w:pPr>
            <w:r w:rsidRPr="00D554C2">
              <w:rPr>
                <w:rFonts w:ascii="Calibri" w:eastAsia="宋体" w:hAnsi="Calibri" w:cs="Times New Roman"/>
                <w:sz w:val="24"/>
              </w:rPr>
              <w:t>6</w:t>
            </w:r>
            <w:r w:rsidRPr="00D554C2">
              <w:rPr>
                <w:rFonts w:ascii="Calibri" w:eastAsia="宋体" w:hAnsi="Calibri" w:cs="Times New Roman" w:hint="eastAsia"/>
                <w:sz w:val="24"/>
              </w:rPr>
              <w:t>0</w:t>
            </w:r>
            <w:r w:rsidRPr="00D554C2">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702B20D0" w14:textId="77777777" w:rsidR="00D554C2" w:rsidRPr="00D554C2" w:rsidRDefault="00D554C2" w:rsidP="00D554C2">
            <w:pPr>
              <w:widowControl/>
              <w:spacing w:line="432" w:lineRule="auto"/>
              <w:jc w:val="center"/>
              <w:rPr>
                <w:rFonts w:ascii="宋体" w:eastAsia="宋体" w:hAnsi="宋体" w:cs="宋体"/>
                <w:kern w:val="0"/>
                <w:sz w:val="18"/>
                <w:szCs w:val="18"/>
              </w:rPr>
            </w:pPr>
            <w:r w:rsidRPr="00D554C2">
              <w:rPr>
                <w:rFonts w:ascii="Calibri" w:eastAsia="宋体" w:hAnsi="Calibri" w:cs="Times New Roman" w:hint="eastAsia"/>
                <w:sz w:val="24"/>
              </w:rPr>
              <w:t>动作标准，张弛有力，体态优美，富有感染力，节奏准确流畅的完成套路</w:t>
            </w:r>
          </w:p>
        </w:tc>
      </w:tr>
      <w:tr w:rsidR="00D554C2" w:rsidRPr="00D554C2" w14:paraId="5825DF07" w14:textId="77777777" w:rsidTr="009B4CAE">
        <w:trPr>
          <w:cantSplit/>
        </w:trPr>
        <w:tc>
          <w:tcPr>
            <w:tcW w:w="2268" w:type="dxa"/>
            <w:vMerge/>
            <w:tcBorders>
              <w:left w:val="single" w:sz="4" w:space="0" w:color="auto"/>
              <w:right w:val="single" w:sz="4" w:space="0" w:color="auto"/>
            </w:tcBorders>
            <w:vAlign w:val="center"/>
          </w:tcPr>
          <w:p w14:paraId="4D765998"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057ECD7"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能跟上节奏，较好的完成套路</w:t>
            </w:r>
          </w:p>
        </w:tc>
      </w:tr>
      <w:tr w:rsidR="00D554C2" w:rsidRPr="00D554C2" w14:paraId="1E3CBF8F" w14:textId="77777777" w:rsidTr="009B4CAE">
        <w:trPr>
          <w:cantSplit/>
        </w:trPr>
        <w:tc>
          <w:tcPr>
            <w:tcW w:w="2268" w:type="dxa"/>
            <w:vMerge/>
            <w:tcBorders>
              <w:left w:val="single" w:sz="4" w:space="0" w:color="auto"/>
              <w:right w:val="single" w:sz="4" w:space="0" w:color="auto"/>
            </w:tcBorders>
            <w:vAlign w:val="center"/>
          </w:tcPr>
          <w:p w14:paraId="3FE9F11A"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0CD338F5"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姿势一般，动作基本正确，节奏基本正确</w:t>
            </w:r>
          </w:p>
        </w:tc>
      </w:tr>
      <w:tr w:rsidR="00D554C2" w:rsidRPr="00D554C2" w14:paraId="740DE817" w14:textId="77777777" w:rsidTr="009B4CAE">
        <w:trPr>
          <w:cantSplit/>
        </w:trPr>
        <w:tc>
          <w:tcPr>
            <w:tcW w:w="2268" w:type="dxa"/>
            <w:vMerge/>
            <w:tcBorders>
              <w:left w:val="single" w:sz="4" w:space="0" w:color="auto"/>
              <w:right w:val="single" w:sz="4" w:space="0" w:color="auto"/>
            </w:tcBorders>
            <w:vAlign w:val="center"/>
          </w:tcPr>
          <w:p w14:paraId="1B8D9F67" w14:textId="77777777" w:rsidR="00D554C2" w:rsidRPr="00D554C2" w:rsidRDefault="00D554C2" w:rsidP="00D554C2">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2328ECB7"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完成动作较吃力</w:t>
            </w:r>
          </w:p>
        </w:tc>
      </w:tr>
      <w:tr w:rsidR="00D554C2" w:rsidRPr="00D554C2" w14:paraId="4B83B03C" w14:textId="77777777" w:rsidTr="009B4CAE">
        <w:trPr>
          <w:cantSplit/>
        </w:trPr>
        <w:tc>
          <w:tcPr>
            <w:tcW w:w="2268" w:type="dxa"/>
            <w:vMerge/>
            <w:tcBorders>
              <w:left w:val="single" w:sz="4" w:space="0" w:color="auto"/>
              <w:bottom w:val="single" w:sz="4" w:space="0" w:color="auto"/>
              <w:right w:val="single" w:sz="4" w:space="0" w:color="auto"/>
            </w:tcBorders>
            <w:vAlign w:val="center"/>
          </w:tcPr>
          <w:p w14:paraId="548DC2B9" w14:textId="77777777" w:rsidR="00D554C2" w:rsidRPr="00D554C2" w:rsidRDefault="00D554C2" w:rsidP="00D554C2">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D742386" w14:textId="77777777" w:rsidR="00D554C2" w:rsidRPr="00D554C2" w:rsidRDefault="00D554C2" w:rsidP="00D554C2">
            <w:pPr>
              <w:widowControl/>
              <w:spacing w:line="432" w:lineRule="auto"/>
              <w:jc w:val="center"/>
              <w:rPr>
                <w:rFonts w:ascii="Calibri" w:eastAsia="宋体" w:hAnsi="Calibri" w:cs="Times New Roman"/>
                <w:sz w:val="24"/>
              </w:rPr>
            </w:pPr>
            <w:r w:rsidRPr="00D554C2">
              <w:rPr>
                <w:rFonts w:ascii="Calibri" w:eastAsia="宋体" w:hAnsi="Calibri" w:cs="Times New Roman" w:hint="eastAsia"/>
                <w:sz w:val="24"/>
              </w:rPr>
              <w:t>动作僵硬，不协调，乐感差</w:t>
            </w:r>
          </w:p>
        </w:tc>
      </w:tr>
    </w:tbl>
    <w:p w14:paraId="160CBE7F" w14:textId="77777777" w:rsidR="00D554C2" w:rsidRPr="00D554C2" w:rsidRDefault="00D554C2" w:rsidP="00D554C2">
      <w:pPr>
        <w:spacing w:beforeLines="50" w:before="156" w:afterLines="50" w:after="156" w:line="440" w:lineRule="exact"/>
        <w:rPr>
          <w:rFonts w:ascii="黑体" w:eastAsia="黑体" w:hAnsi="黑体" w:cs="Times New Roman"/>
          <w:sz w:val="28"/>
          <w:szCs w:val="28"/>
        </w:rPr>
      </w:pPr>
    </w:p>
    <w:p w14:paraId="01F4D9AB" w14:textId="77777777" w:rsidR="00D554C2" w:rsidRPr="00D554C2" w:rsidRDefault="00D554C2" w:rsidP="00D554C2">
      <w:pPr>
        <w:spacing w:beforeLines="50" w:before="156" w:afterLines="50" w:after="156" w:line="440" w:lineRule="exact"/>
        <w:ind w:firstLineChars="200" w:firstLine="560"/>
        <w:rPr>
          <w:rFonts w:ascii="宋体" w:eastAsia="宋体" w:hAnsi="宋体" w:cs="Times New Roman"/>
          <w:sz w:val="24"/>
        </w:rPr>
      </w:pPr>
      <w:r w:rsidRPr="00D554C2">
        <w:rPr>
          <w:rFonts w:ascii="黑体" w:eastAsia="黑体" w:hAnsi="黑体" w:cs="Times New Roman" w:hint="eastAsia"/>
          <w:sz w:val="28"/>
          <w:szCs w:val="28"/>
        </w:rPr>
        <w:t>六、使用教材、相关推荐书目及课程资源</w:t>
      </w:r>
    </w:p>
    <w:p w14:paraId="294F2C32" w14:textId="77777777" w:rsidR="00D554C2" w:rsidRPr="00D554C2" w:rsidRDefault="00D554C2" w:rsidP="00D554C2">
      <w:pPr>
        <w:spacing w:line="440" w:lineRule="exact"/>
        <w:ind w:firstLineChars="200" w:firstLine="560"/>
        <w:rPr>
          <w:rFonts w:ascii="宋体" w:eastAsia="宋体" w:hAnsi="宋体" w:cs="Times New Roman"/>
          <w:sz w:val="24"/>
        </w:rPr>
      </w:pPr>
      <w:r w:rsidRPr="00D554C2">
        <w:rPr>
          <w:rFonts w:ascii="黑体" w:eastAsia="黑体" w:hAnsi="黑体" w:cs="Times New Roman" w:hint="eastAsia"/>
          <w:sz w:val="28"/>
          <w:szCs w:val="28"/>
        </w:rPr>
        <w:t>（一）使用教材</w:t>
      </w:r>
    </w:p>
    <w:p w14:paraId="5D5F410C" w14:textId="77777777" w:rsidR="00D554C2" w:rsidRPr="00D554C2" w:rsidRDefault="00D554C2" w:rsidP="00D554C2">
      <w:pPr>
        <w:autoSpaceDE w:val="0"/>
        <w:autoSpaceDN w:val="0"/>
        <w:adjustRightInd w:val="0"/>
        <w:snapToGrid w:val="0"/>
        <w:spacing w:line="500" w:lineRule="exact"/>
        <w:ind w:firstLineChars="300" w:firstLine="720"/>
        <w:rPr>
          <w:rFonts w:ascii="宋体" w:eastAsia="宋体" w:hAnsi="宋体" w:cs="宋体"/>
          <w:kern w:val="0"/>
          <w:sz w:val="24"/>
        </w:rPr>
      </w:pPr>
      <w:r w:rsidRPr="00D554C2">
        <w:rPr>
          <w:rFonts w:ascii="宋体" w:eastAsia="宋体" w:hAnsi="宋体" w:cs="宋体" w:hint="eastAsia"/>
          <w:kern w:val="0"/>
          <w:sz w:val="24"/>
        </w:rPr>
        <w:t>任晋军主编：《当代大学体育教程》，北京体育大学出版社，2008</w:t>
      </w:r>
    </w:p>
    <w:p w14:paraId="2A4F53C2" w14:textId="77777777" w:rsidR="00D554C2" w:rsidRPr="00D554C2" w:rsidRDefault="00D554C2" w:rsidP="00D554C2">
      <w:pPr>
        <w:autoSpaceDE w:val="0"/>
        <w:autoSpaceDN w:val="0"/>
        <w:adjustRightInd w:val="0"/>
        <w:snapToGrid w:val="0"/>
        <w:spacing w:line="500" w:lineRule="exact"/>
        <w:ind w:firstLineChars="300" w:firstLine="720"/>
        <w:rPr>
          <w:rFonts w:ascii="宋体" w:eastAsia="宋体" w:hAnsi="宋体" w:cs="宋体"/>
          <w:color w:val="000000"/>
          <w:kern w:val="0"/>
          <w:sz w:val="24"/>
        </w:rPr>
      </w:pPr>
      <w:r w:rsidRPr="00D554C2">
        <w:rPr>
          <w:rFonts w:ascii="宋体" w:eastAsia="宋体" w:hAnsi="宋体" w:cs="楷体_GB2312" w:hint="eastAsia"/>
          <w:color w:val="000000"/>
          <w:kern w:val="0"/>
          <w:sz w:val="24"/>
        </w:rPr>
        <w:t>马鸿韬</w:t>
      </w:r>
      <w:r w:rsidRPr="00D554C2">
        <w:rPr>
          <w:rFonts w:ascii="宋体" w:eastAsia="宋体" w:hAnsi="Calibri" w:cs="宋体" w:hint="eastAsia"/>
          <w:spacing w:val="5"/>
          <w:kern w:val="0"/>
          <w:sz w:val="24"/>
        </w:rPr>
        <w:t>主编：《啦啦操运动》，高等教育出版社，2009年1月</w:t>
      </w:r>
    </w:p>
    <w:p w14:paraId="404D109E" w14:textId="77777777" w:rsidR="00D554C2" w:rsidRPr="00D554C2" w:rsidRDefault="00D554C2" w:rsidP="00D554C2">
      <w:pPr>
        <w:spacing w:line="440" w:lineRule="exact"/>
        <w:ind w:firstLineChars="200" w:firstLine="560"/>
        <w:rPr>
          <w:rFonts w:ascii="宋体" w:eastAsia="宋体" w:hAnsi="宋体" w:cs="Times New Roman"/>
          <w:sz w:val="24"/>
        </w:rPr>
      </w:pPr>
      <w:r w:rsidRPr="00D554C2">
        <w:rPr>
          <w:rFonts w:ascii="黑体" w:eastAsia="黑体" w:hAnsi="黑体" w:cs="Times New Roman" w:hint="eastAsia"/>
          <w:sz w:val="28"/>
          <w:szCs w:val="28"/>
        </w:rPr>
        <w:t>（二）相关推荐书目</w:t>
      </w:r>
    </w:p>
    <w:p w14:paraId="678360C0" w14:textId="77777777"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1</w:t>
      </w:r>
      <w:r w:rsidRPr="00D554C2">
        <w:rPr>
          <w:rFonts w:ascii="宋体" w:eastAsia="宋体" w:hAnsi="宋体" w:cs="Times New Roman"/>
          <w:sz w:val="24"/>
        </w:rPr>
        <w:t xml:space="preserve">. </w:t>
      </w:r>
      <w:r w:rsidRPr="00D554C2">
        <w:rPr>
          <w:rFonts w:ascii="宋体" w:eastAsia="宋体" w:hAnsi="宋体" w:cs="宋体" w:hint="eastAsia"/>
          <w:kern w:val="0"/>
          <w:sz w:val="24"/>
        </w:rPr>
        <w:t>刘建国主编：《当代大学体育与健身》，高教出版社，2008</w:t>
      </w:r>
    </w:p>
    <w:p w14:paraId="3623A069" w14:textId="77777777" w:rsidR="00D554C2" w:rsidRPr="00D554C2" w:rsidRDefault="00D554C2" w:rsidP="00D554C2">
      <w:pPr>
        <w:autoSpaceDE w:val="0"/>
        <w:autoSpaceDN w:val="0"/>
        <w:adjustRightInd w:val="0"/>
        <w:snapToGrid w:val="0"/>
        <w:spacing w:line="500" w:lineRule="exact"/>
        <w:ind w:firstLineChars="200" w:firstLine="480"/>
        <w:rPr>
          <w:rFonts w:ascii="宋体" w:eastAsia="宋体" w:hAnsi="宋体" w:cs="Times New Roman"/>
          <w:sz w:val="24"/>
        </w:rPr>
      </w:pPr>
      <w:r w:rsidRPr="00D554C2">
        <w:rPr>
          <w:rFonts w:ascii="宋体" w:eastAsia="宋体" w:hAnsi="宋体" w:cs="Times New Roman" w:hint="eastAsia"/>
          <w:sz w:val="24"/>
        </w:rPr>
        <w:t>2</w:t>
      </w:r>
      <w:r w:rsidRPr="00D554C2">
        <w:rPr>
          <w:rFonts w:ascii="宋体" w:eastAsia="宋体" w:hAnsi="宋体" w:cs="Times New Roman"/>
          <w:sz w:val="24"/>
        </w:rPr>
        <w:t xml:space="preserve">. </w:t>
      </w:r>
      <w:r w:rsidRPr="00D554C2">
        <w:rPr>
          <w:rFonts w:ascii="宋体" w:eastAsia="宋体" w:hAnsi="宋体" w:cs="宋体" w:hint="eastAsia"/>
          <w:kern w:val="0"/>
          <w:sz w:val="24"/>
        </w:rPr>
        <w:t>全国体育学院教材委员会审定：《体育与健康理论指导手册》，人民体育出版社，2014</w:t>
      </w:r>
    </w:p>
    <w:p w14:paraId="0FCD9CE3"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（三）课程资源</w:t>
      </w:r>
    </w:p>
    <w:p w14:paraId="5E08618B" w14:textId="77777777" w:rsidR="00D554C2" w:rsidRPr="00D554C2" w:rsidRDefault="00D554C2" w:rsidP="00D554C2">
      <w:pPr>
        <w:spacing w:line="44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lastRenderedPageBreak/>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0292EA5D" w14:textId="77777777" w:rsidR="00D554C2" w:rsidRPr="00D554C2" w:rsidRDefault="00D554C2" w:rsidP="00D554C2">
      <w:pPr>
        <w:spacing w:line="44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2. 《国家学生体质健康标准》实施说明</w:t>
      </w:r>
    </w:p>
    <w:p w14:paraId="5935B598" w14:textId="77777777" w:rsidR="00D554C2" w:rsidRPr="00D554C2" w:rsidRDefault="00D554C2" w:rsidP="00D554C2">
      <w:pPr>
        <w:spacing w:line="440" w:lineRule="exact"/>
        <w:ind w:firstLineChars="200" w:firstLine="500"/>
        <w:rPr>
          <w:rFonts w:ascii="宋体" w:eastAsia="宋体" w:hAnsi="Calibri" w:cs="宋体"/>
          <w:spacing w:val="5"/>
          <w:kern w:val="0"/>
          <w:sz w:val="24"/>
        </w:rPr>
      </w:pPr>
      <w:r w:rsidRPr="00D554C2">
        <w:rPr>
          <w:rFonts w:ascii="宋体" w:eastAsia="宋体" w:hAnsi="Calibri" w:cs="宋体" w:hint="eastAsia"/>
          <w:spacing w:val="5"/>
          <w:kern w:val="0"/>
          <w:sz w:val="24"/>
        </w:rPr>
        <w:t>3. 《国家学生体质健康标准》测试评分表</w:t>
      </w:r>
    </w:p>
    <w:p w14:paraId="7C8470D1" w14:textId="77777777" w:rsidR="00D554C2" w:rsidRPr="00D554C2" w:rsidRDefault="00D554C2" w:rsidP="00D554C2">
      <w:pPr>
        <w:spacing w:beforeLines="50" w:before="156" w:afterLines="50" w:after="156" w:line="440" w:lineRule="exact"/>
        <w:ind w:firstLineChars="200" w:firstLine="560"/>
        <w:rPr>
          <w:rFonts w:ascii="黑体" w:eastAsia="黑体" w:hAnsi="黑体" w:cs="Times New Roman"/>
          <w:sz w:val="28"/>
          <w:szCs w:val="28"/>
        </w:rPr>
      </w:pPr>
      <w:r w:rsidRPr="00D554C2">
        <w:rPr>
          <w:rFonts w:ascii="黑体" w:eastAsia="黑体" w:hAnsi="黑体" w:cs="Times New Roman" w:hint="eastAsia"/>
          <w:sz w:val="28"/>
          <w:szCs w:val="28"/>
        </w:rPr>
        <w:t>七、课程大纲制定依据</w:t>
      </w:r>
    </w:p>
    <w:p w14:paraId="7FE908A5" w14:textId="45CBA453" w:rsidR="00D554C2" w:rsidRPr="00D554C2" w:rsidRDefault="00D554C2" w:rsidP="00D554C2">
      <w:pPr>
        <w:spacing w:line="440" w:lineRule="exact"/>
        <w:ind w:firstLineChars="200" w:firstLine="480"/>
        <w:rPr>
          <w:rFonts w:ascii="宋体" w:eastAsia="宋体" w:hAnsi="宋体" w:cs="Times New Roman"/>
          <w:sz w:val="24"/>
        </w:rPr>
      </w:pPr>
      <w:r w:rsidRPr="00D554C2">
        <w:rPr>
          <w:rFonts w:ascii="宋体" w:eastAsia="宋体" w:hAnsi="宋体" w:cs="Times New Roman" w:hint="eastAsia"/>
          <w:sz w:val="24"/>
        </w:rPr>
        <w:t>本课程大纲依据2023年人才培养方案</w:t>
      </w:r>
      <w:r w:rsidR="002E4147">
        <w:rPr>
          <w:rFonts w:ascii="宋体" w:eastAsia="宋体" w:hAnsi="宋体" w:cs="Times New Roman" w:hint="eastAsia"/>
          <w:sz w:val="24"/>
        </w:rPr>
        <w:t>药物分析专业</w:t>
      </w:r>
      <w:r w:rsidRPr="00D554C2">
        <w:rPr>
          <w:rFonts w:ascii="宋体" w:eastAsia="宋体" w:hAnsi="宋体" w:cs="Times New Roman" w:hint="eastAsia"/>
          <w:sz w:val="24"/>
        </w:rPr>
        <w:t>制定。</w:t>
      </w:r>
    </w:p>
    <w:p w14:paraId="29FD928F" w14:textId="77777777" w:rsidR="00D554C2" w:rsidRPr="00D554C2" w:rsidRDefault="00D554C2" w:rsidP="00D554C2">
      <w:pPr>
        <w:spacing w:beforeLines="50" w:before="156" w:afterLines="50" w:after="156" w:line="440" w:lineRule="exact"/>
        <w:rPr>
          <w:rFonts w:ascii="黑体" w:eastAsia="黑体" w:hAnsi="黑体" w:cs="Times New Roman"/>
          <w:sz w:val="28"/>
          <w:szCs w:val="28"/>
        </w:rPr>
      </w:pPr>
    </w:p>
    <w:p w14:paraId="7FEC5216"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2816038A"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6F928E2F"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6465A519"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2A7B8C05"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60B770C9"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786EA81B"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483412E3"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10C56AB4"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009B45E0"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5FD4449E"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6D593B9C"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1350CFA7"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1E3AF670" w14:textId="77777777" w:rsidR="00D554C2" w:rsidRPr="00D554C2" w:rsidRDefault="00D554C2" w:rsidP="00D554C2">
      <w:pPr>
        <w:spacing w:line="440" w:lineRule="exact"/>
        <w:ind w:firstLineChars="200" w:firstLine="560"/>
        <w:jc w:val="center"/>
        <w:rPr>
          <w:rFonts w:ascii="黑体" w:eastAsia="黑体" w:hAnsi="黑体" w:cs="Times New Roman"/>
          <w:sz w:val="28"/>
          <w:szCs w:val="28"/>
        </w:rPr>
      </w:pPr>
    </w:p>
    <w:p w14:paraId="570CE613" w14:textId="77777777" w:rsidR="00663D35" w:rsidRDefault="00663D35" w:rsidP="00D554C2">
      <w:pPr>
        <w:rPr>
          <w:rFonts w:ascii="黑体" w:eastAsia="黑体" w:hAnsi="黑体" w:cs="Times New Roman"/>
          <w:sz w:val="28"/>
          <w:szCs w:val="28"/>
        </w:rPr>
      </w:pPr>
    </w:p>
    <w:p w14:paraId="24E35A5E" w14:textId="77777777" w:rsidR="00663D35" w:rsidRDefault="00663D35" w:rsidP="00D554C2">
      <w:pPr>
        <w:rPr>
          <w:rFonts w:ascii="黑体" w:eastAsia="黑体" w:hAnsi="黑体" w:cs="Times New Roman"/>
          <w:sz w:val="28"/>
          <w:szCs w:val="28"/>
        </w:rPr>
      </w:pPr>
    </w:p>
    <w:p w14:paraId="410E9E77" w14:textId="77777777" w:rsidR="00D554C2" w:rsidRPr="00D554C2" w:rsidRDefault="00D554C2" w:rsidP="00D554C2">
      <w:pPr>
        <w:rPr>
          <w:rFonts w:ascii="Calibri" w:eastAsia="宋体" w:hAnsi="Calibri" w:cs="Times New Roman"/>
          <w:bCs/>
          <w:lang w:val="zh-CN"/>
        </w:rPr>
      </w:pPr>
    </w:p>
    <w:p w14:paraId="68E21EA8" w14:textId="77777777" w:rsidR="00D554C2" w:rsidRPr="00D554C2" w:rsidRDefault="00D554C2" w:rsidP="00D554C2">
      <w:pPr>
        <w:rPr>
          <w:rFonts w:ascii="Calibri" w:eastAsia="宋体" w:hAnsi="Calibri" w:cs="Times New Roman"/>
          <w:bCs/>
          <w:lang w:val="zh-CN"/>
        </w:rPr>
      </w:pPr>
    </w:p>
    <w:p w14:paraId="45BF14A8" w14:textId="77777777" w:rsidR="00D554C2" w:rsidRPr="00D554C2" w:rsidRDefault="00D554C2" w:rsidP="00D554C2">
      <w:pPr>
        <w:rPr>
          <w:rFonts w:ascii="Calibri" w:eastAsia="宋体" w:hAnsi="Calibri" w:cs="Times New Roman"/>
          <w:bCs/>
          <w:lang w:val="zh-CN"/>
        </w:rPr>
      </w:pPr>
    </w:p>
    <w:p w14:paraId="4E885403" w14:textId="77777777" w:rsidR="009B4CAE" w:rsidRPr="009B4CAE" w:rsidRDefault="009B4CAE" w:rsidP="009B4CAE">
      <w:pPr>
        <w:spacing w:beforeLines="100" w:before="312" w:afterLines="100" w:after="312" w:line="440" w:lineRule="exact"/>
        <w:jc w:val="center"/>
        <w:rPr>
          <w:rFonts w:ascii="黑体" w:eastAsia="黑体" w:hAnsi="黑体" w:cs="Times New Roman"/>
          <w:bCs/>
          <w:sz w:val="36"/>
          <w:szCs w:val="36"/>
        </w:rPr>
      </w:pPr>
      <w:r w:rsidRPr="009B4CAE">
        <w:rPr>
          <w:rFonts w:ascii="黑体" w:eastAsia="黑体" w:hAnsi="黑体" w:cs="Times New Roman" w:hint="eastAsia"/>
          <w:bCs/>
          <w:sz w:val="36"/>
          <w:szCs w:val="36"/>
        </w:rPr>
        <w:lastRenderedPageBreak/>
        <w:t>《交谊舞》课程大纲</w:t>
      </w:r>
    </w:p>
    <w:p w14:paraId="5F0BCEE7" w14:textId="77777777" w:rsidR="009B4CAE" w:rsidRPr="009B4CAE" w:rsidRDefault="009B4CAE" w:rsidP="009B4CAE">
      <w:pPr>
        <w:spacing w:beforeLines="50" w:before="156" w:afterLines="50" w:after="156" w:line="440" w:lineRule="exact"/>
        <w:ind w:firstLineChars="200" w:firstLine="560"/>
        <w:rPr>
          <w:rFonts w:ascii="黑体" w:eastAsia="黑体" w:hAnsi="黑体" w:cs="Times New Roman"/>
          <w:sz w:val="28"/>
          <w:szCs w:val="28"/>
        </w:rPr>
      </w:pPr>
      <w:r w:rsidRPr="009B4CAE">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9B4CAE" w:rsidRPr="009B4CAE" w14:paraId="55B61ADE" w14:textId="77777777" w:rsidTr="009B4CAE">
        <w:trPr>
          <w:trHeight w:val="886"/>
          <w:jc w:val="center"/>
        </w:trPr>
        <w:tc>
          <w:tcPr>
            <w:tcW w:w="1581" w:type="dxa"/>
            <w:vAlign w:val="center"/>
          </w:tcPr>
          <w:p w14:paraId="630D6F9F"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课程名称</w:t>
            </w:r>
          </w:p>
        </w:tc>
        <w:tc>
          <w:tcPr>
            <w:tcW w:w="2662" w:type="dxa"/>
            <w:vAlign w:val="center"/>
          </w:tcPr>
          <w:p w14:paraId="158022B2"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交谊舞</w:t>
            </w:r>
          </w:p>
        </w:tc>
        <w:tc>
          <w:tcPr>
            <w:tcW w:w="1482" w:type="dxa"/>
            <w:vAlign w:val="center"/>
          </w:tcPr>
          <w:p w14:paraId="6FBFCAC5"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课程代码</w:t>
            </w:r>
          </w:p>
        </w:tc>
        <w:tc>
          <w:tcPr>
            <w:tcW w:w="2797" w:type="dxa"/>
            <w:vAlign w:val="center"/>
          </w:tcPr>
          <w:p w14:paraId="2BD2EC0B"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Calibri" w:cs="宋体" w:hint="eastAsia"/>
                <w:kern w:val="0"/>
                <w:sz w:val="24"/>
              </w:rPr>
              <w:t>091050</w:t>
            </w:r>
          </w:p>
        </w:tc>
      </w:tr>
      <w:tr w:rsidR="009B4CAE" w:rsidRPr="009B4CAE" w14:paraId="2DC07C56" w14:textId="77777777" w:rsidTr="009B4CAE">
        <w:trPr>
          <w:trHeight w:val="829"/>
          <w:jc w:val="center"/>
        </w:trPr>
        <w:tc>
          <w:tcPr>
            <w:tcW w:w="1581" w:type="dxa"/>
            <w:vAlign w:val="center"/>
          </w:tcPr>
          <w:p w14:paraId="46318B51"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课程类别</w:t>
            </w:r>
          </w:p>
        </w:tc>
        <w:tc>
          <w:tcPr>
            <w:tcW w:w="2662" w:type="dxa"/>
            <w:vAlign w:val="center"/>
          </w:tcPr>
          <w:p w14:paraId="75BA8601"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Calibri" w:cs="宋体" w:hint="eastAsia"/>
                <w:kern w:val="0"/>
                <w:sz w:val="24"/>
              </w:rPr>
              <w:t>公共必修课程</w:t>
            </w:r>
          </w:p>
        </w:tc>
        <w:tc>
          <w:tcPr>
            <w:tcW w:w="1482" w:type="dxa"/>
            <w:vAlign w:val="center"/>
          </w:tcPr>
          <w:p w14:paraId="0FB3BD91"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学时</w:t>
            </w:r>
          </w:p>
          <w:p w14:paraId="7D7C180C"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/学分</w:t>
            </w:r>
          </w:p>
        </w:tc>
        <w:tc>
          <w:tcPr>
            <w:tcW w:w="2797" w:type="dxa"/>
            <w:vAlign w:val="center"/>
          </w:tcPr>
          <w:p w14:paraId="1CB3834A"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144/4</w:t>
            </w:r>
          </w:p>
        </w:tc>
      </w:tr>
      <w:tr w:rsidR="009B4CAE" w:rsidRPr="009B4CAE" w14:paraId="584BBD7E" w14:textId="77777777" w:rsidTr="009B4CAE">
        <w:trPr>
          <w:trHeight w:val="811"/>
          <w:jc w:val="center"/>
        </w:trPr>
        <w:tc>
          <w:tcPr>
            <w:tcW w:w="1581" w:type="dxa"/>
            <w:vAlign w:val="center"/>
          </w:tcPr>
          <w:p w14:paraId="4C6EA989"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开课单位</w:t>
            </w:r>
          </w:p>
        </w:tc>
        <w:tc>
          <w:tcPr>
            <w:tcW w:w="2662" w:type="dxa"/>
            <w:vAlign w:val="center"/>
          </w:tcPr>
          <w:p w14:paraId="4C6AD2BF"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sz w:val="24"/>
              </w:rPr>
              <w:t>石家庄学院体育学院</w:t>
            </w:r>
          </w:p>
        </w:tc>
        <w:tc>
          <w:tcPr>
            <w:tcW w:w="1482" w:type="dxa"/>
            <w:vAlign w:val="center"/>
          </w:tcPr>
          <w:p w14:paraId="3923CB65"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适用专业</w:t>
            </w:r>
          </w:p>
        </w:tc>
        <w:tc>
          <w:tcPr>
            <w:tcW w:w="2797" w:type="dxa"/>
            <w:vAlign w:val="center"/>
          </w:tcPr>
          <w:p w14:paraId="2D3EABA6" w14:textId="77777777" w:rsidR="009B4CAE" w:rsidRPr="009B4CAE" w:rsidRDefault="006D6C0A" w:rsidP="009B4CAE">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9B4CAE" w:rsidRPr="009B4CAE" w14:paraId="45CCC681" w14:textId="77777777" w:rsidTr="009B4CAE">
        <w:trPr>
          <w:trHeight w:val="811"/>
          <w:jc w:val="center"/>
        </w:trPr>
        <w:tc>
          <w:tcPr>
            <w:tcW w:w="1581" w:type="dxa"/>
            <w:vAlign w:val="center"/>
          </w:tcPr>
          <w:p w14:paraId="6CB181D5"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课程负责人</w:t>
            </w:r>
          </w:p>
        </w:tc>
        <w:tc>
          <w:tcPr>
            <w:tcW w:w="6941" w:type="dxa"/>
            <w:gridSpan w:val="3"/>
            <w:vAlign w:val="center"/>
          </w:tcPr>
          <w:p w14:paraId="70CEBA44"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任秋君、梁丹青、王</w:t>
            </w:r>
            <w:proofErr w:type="gramStart"/>
            <w:r w:rsidRPr="009B4CAE">
              <w:rPr>
                <w:rFonts w:ascii="宋体" w:eastAsia="宋体" w:hAnsi="宋体" w:cs="Times New Roman" w:hint="eastAsia"/>
                <w:sz w:val="24"/>
              </w:rPr>
              <w:t>戌</w:t>
            </w:r>
            <w:proofErr w:type="gramEnd"/>
            <w:r w:rsidRPr="009B4CAE">
              <w:rPr>
                <w:rFonts w:ascii="宋体" w:eastAsia="宋体" w:hAnsi="宋体" w:cs="Times New Roman" w:hint="eastAsia"/>
                <w:sz w:val="24"/>
              </w:rPr>
              <w:t>楼</w:t>
            </w:r>
          </w:p>
        </w:tc>
      </w:tr>
      <w:tr w:rsidR="009B4CAE" w:rsidRPr="009B4CAE" w14:paraId="568F0889" w14:textId="77777777" w:rsidTr="009B4CAE">
        <w:trPr>
          <w:trHeight w:val="836"/>
          <w:jc w:val="center"/>
        </w:trPr>
        <w:tc>
          <w:tcPr>
            <w:tcW w:w="1581" w:type="dxa"/>
            <w:vAlign w:val="center"/>
          </w:tcPr>
          <w:p w14:paraId="5BE809D2"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大纲撰写人</w:t>
            </w:r>
          </w:p>
        </w:tc>
        <w:tc>
          <w:tcPr>
            <w:tcW w:w="2662" w:type="dxa"/>
            <w:vAlign w:val="center"/>
          </w:tcPr>
          <w:p w14:paraId="6FCD97A6"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任秋君</w:t>
            </w:r>
          </w:p>
        </w:tc>
        <w:tc>
          <w:tcPr>
            <w:tcW w:w="1482" w:type="dxa"/>
            <w:vAlign w:val="center"/>
          </w:tcPr>
          <w:p w14:paraId="3D3FBDC1"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大纲审核人</w:t>
            </w:r>
          </w:p>
        </w:tc>
        <w:tc>
          <w:tcPr>
            <w:tcW w:w="2797" w:type="dxa"/>
            <w:vAlign w:val="center"/>
          </w:tcPr>
          <w:p w14:paraId="515F7818" w14:textId="77777777" w:rsidR="009B4CAE" w:rsidRPr="009B4CAE" w:rsidRDefault="009B4CAE" w:rsidP="009B4CAE">
            <w:pPr>
              <w:spacing w:line="440" w:lineRule="exact"/>
              <w:jc w:val="center"/>
              <w:rPr>
                <w:rFonts w:ascii="宋体" w:eastAsia="宋体" w:hAnsi="宋体" w:cs="Times New Roman"/>
                <w:sz w:val="24"/>
              </w:rPr>
            </w:pPr>
            <w:proofErr w:type="gramStart"/>
            <w:r w:rsidRPr="009B4CAE">
              <w:rPr>
                <w:rFonts w:ascii="宋体" w:eastAsia="宋体" w:hAnsi="宋体" w:cs="Times New Roman" w:hint="eastAsia"/>
                <w:sz w:val="24"/>
              </w:rPr>
              <w:t>左健</w:t>
            </w:r>
            <w:proofErr w:type="gramEnd"/>
          </w:p>
        </w:tc>
      </w:tr>
      <w:tr w:rsidR="009B4CAE" w:rsidRPr="009B4CAE" w14:paraId="5608B2EB" w14:textId="77777777" w:rsidTr="009B4CAE">
        <w:trPr>
          <w:trHeight w:val="848"/>
          <w:jc w:val="center"/>
        </w:trPr>
        <w:tc>
          <w:tcPr>
            <w:tcW w:w="1581" w:type="dxa"/>
            <w:vAlign w:val="center"/>
          </w:tcPr>
          <w:p w14:paraId="4847451D"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先修课程</w:t>
            </w:r>
          </w:p>
        </w:tc>
        <w:tc>
          <w:tcPr>
            <w:tcW w:w="6941" w:type="dxa"/>
            <w:gridSpan w:val="3"/>
            <w:vAlign w:val="center"/>
          </w:tcPr>
          <w:p w14:paraId="71333F1A" w14:textId="77777777" w:rsidR="009B4CAE" w:rsidRPr="009B4CAE" w:rsidRDefault="009B4CAE" w:rsidP="009B4CAE">
            <w:pPr>
              <w:spacing w:line="440" w:lineRule="exact"/>
              <w:jc w:val="center"/>
              <w:rPr>
                <w:rFonts w:ascii="宋体" w:eastAsia="宋体" w:hAnsi="宋体" w:cs="Times New Roman"/>
                <w:sz w:val="24"/>
              </w:rPr>
            </w:pPr>
          </w:p>
        </w:tc>
      </w:tr>
      <w:tr w:rsidR="009B4CAE" w:rsidRPr="009B4CAE" w14:paraId="3BC065EE" w14:textId="77777777" w:rsidTr="009B4CAE">
        <w:trPr>
          <w:trHeight w:val="848"/>
          <w:jc w:val="center"/>
        </w:trPr>
        <w:tc>
          <w:tcPr>
            <w:tcW w:w="1581" w:type="dxa"/>
            <w:vAlign w:val="center"/>
          </w:tcPr>
          <w:p w14:paraId="26C4BF8F"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课程网址</w:t>
            </w:r>
          </w:p>
        </w:tc>
        <w:tc>
          <w:tcPr>
            <w:tcW w:w="6941" w:type="dxa"/>
            <w:gridSpan w:val="3"/>
            <w:vAlign w:val="center"/>
          </w:tcPr>
          <w:p w14:paraId="64F590C9" w14:textId="77777777" w:rsidR="009B4CAE" w:rsidRPr="009B4CAE" w:rsidRDefault="009B4CAE" w:rsidP="009B4CAE">
            <w:pPr>
              <w:spacing w:line="440" w:lineRule="exact"/>
              <w:rPr>
                <w:rFonts w:ascii="宋体" w:eastAsia="宋体" w:hAnsi="宋体" w:cs="Times New Roman"/>
                <w:color w:val="FF0000"/>
                <w:sz w:val="24"/>
              </w:rPr>
            </w:pPr>
          </w:p>
        </w:tc>
      </w:tr>
    </w:tbl>
    <w:p w14:paraId="5F133F6A" w14:textId="77777777" w:rsidR="009B4CAE" w:rsidRPr="009B4CAE" w:rsidRDefault="009B4CAE" w:rsidP="009B4CAE">
      <w:pPr>
        <w:spacing w:beforeLines="50" w:before="156" w:afterLines="50" w:after="156" w:line="440" w:lineRule="exact"/>
        <w:ind w:firstLineChars="200" w:firstLine="560"/>
        <w:rPr>
          <w:rFonts w:ascii="黑体" w:eastAsia="黑体" w:hAnsi="黑体" w:cs="Times New Roman"/>
          <w:sz w:val="28"/>
          <w:szCs w:val="28"/>
        </w:rPr>
      </w:pPr>
      <w:r w:rsidRPr="009B4CAE">
        <w:rPr>
          <w:rFonts w:ascii="黑体" w:eastAsia="黑体" w:hAnsi="黑体" w:cs="Times New Roman" w:hint="eastAsia"/>
          <w:sz w:val="28"/>
          <w:szCs w:val="28"/>
        </w:rPr>
        <w:t>二、课程学习目标及与毕业要求的对应关系</w:t>
      </w:r>
    </w:p>
    <w:p w14:paraId="0074AB31" w14:textId="77777777" w:rsidR="009B4CAE" w:rsidRPr="009B4CAE" w:rsidRDefault="009B4CAE" w:rsidP="009B4CAE">
      <w:pPr>
        <w:spacing w:beforeLines="50" w:before="156" w:afterLines="50" w:after="156" w:line="440" w:lineRule="exact"/>
        <w:ind w:firstLineChars="200" w:firstLine="560"/>
        <w:rPr>
          <w:rFonts w:ascii="黑体" w:eastAsia="黑体" w:hAnsi="黑体" w:cs="Times New Roman"/>
          <w:sz w:val="28"/>
          <w:szCs w:val="28"/>
        </w:rPr>
      </w:pPr>
      <w:r w:rsidRPr="009B4CAE">
        <w:rPr>
          <w:rFonts w:ascii="黑体" w:eastAsia="黑体" w:hAnsi="黑体" w:cs="Times New Roman" w:hint="eastAsia"/>
          <w:sz w:val="28"/>
          <w:szCs w:val="28"/>
        </w:rPr>
        <w:t>（一）课程学习目标</w:t>
      </w:r>
    </w:p>
    <w:p w14:paraId="16D81693"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通过本课程的学习，使学生达到以下目标：</w:t>
      </w:r>
    </w:p>
    <w:p w14:paraId="7AE6B97A"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w:t>
      </w:r>
      <w:r w:rsidRPr="006D5349">
        <w:rPr>
          <w:rFonts w:ascii="宋体" w:eastAsia="宋体" w:hAnsi="宋体" w:cs="仿宋_GB2312" w:hint="eastAsia"/>
          <w:b/>
          <w:bCs/>
          <w:sz w:val="24"/>
        </w:rPr>
        <w:t>【毕业要求8/10 职业规范】</w:t>
      </w:r>
    </w:p>
    <w:p w14:paraId="00666BE2"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w:t>
      </w:r>
      <w:r w:rsidRPr="006D5349">
        <w:rPr>
          <w:rFonts w:ascii="宋体" w:eastAsia="宋体" w:hAnsi="宋体" w:cs="仿宋_GB2312" w:hint="eastAsia"/>
          <w:b/>
          <w:bCs/>
          <w:sz w:val="24"/>
        </w:rPr>
        <w:t>【毕业要求8/10 沟通】</w:t>
      </w:r>
    </w:p>
    <w:p w14:paraId="74455DD8" w14:textId="77777777" w:rsidR="009B4CAE" w:rsidRPr="006D5349" w:rsidRDefault="009B4CAE" w:rsidP="009B4CAE">
      <w:pPr>
        <w:spacing w:line="440" w:lineRule="exact"/>
        <w:ind w:firstLineChars="200" w:firstLine="480"/>
        <w:rPr>
          <w:rFonts w:ascii="宋体" w:eastAsia="宋体" w:hAnsi="宋体" w:cs="Times New Roman"/>
          <w:b/>
          <w:bCs/>
          <w:sz w:val="24"/>
        </w:rPr>
      </w:pPr>
      <w:r w:rsidRPr="009B4CAE">
        <w:rPr>
          <w:rFonts w:ascii="宋体" w:eastAsia="宋体" w:hAnsi="宋体" w:cs="仿宋_GB2312" w:hint="eastAsia"/>
          <w:sz w:val="24"/>
        </w:rPr>
        <w:lastRenderedPageBreak/>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w:t>
      </w:r>
      <w:r w:rsidRPr="006D5349">
        <w:rPr>
          <w:rFonts w:ascii="宋体" w:eastAsia="宋体" w:hAnsi="宋体" w:cs="仿宋_GB2312" w:hint="eastAsia"/>
          <w:b/>
          <w:bCs/>
          <w:sz w:val="24"/>
        </w:rPr>
        <w:t>【毕业要求8/12 终身学习】</w:t>
      </w:r>
    </w:p>
    <w:p w14:paraId="242E0FC6" w14:textId="77777777" w:rsidR="009B4CAE" w:rsidRPr="009B4CAE" w:rsidRDefault="009B4CAE" w:rsidP="009B4CAE">
      <w:pPr>
        <w:spacing w:beforeLines="50" w:before="156" w:afterLines="50" w:after="156" w:line="440" w:lineRule="exact"/>
        <w:ind w:firstLineChars="200" w:firstLine="560"/>
        <w:rPr>
          <w:rFonts w:ascii="黑体" w:eastAsia="黑体" w:hAnsi="黑体" w:cs="Times New Roman"/>
          <w:sz w:val="28"/>
          <w:szCs w:val="28"/>
        </w:rPr>
      </w:pPr>
      <w:r w:rsidRPr="009B4CAE">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9B4CAE" w:rsidRPr="009B4CAE" w14:paraId="5E48AE57" w14:textId="77777777" w:rsidTr="009B4CAE">
        <w:trPr>
          <w:trHeight w:val="815"/>
          <w:jc w:val="center"/>
        </w:trPr>
        <w:tc>
          <w:tcPr>
            <w:tcW w:w="1566" w:type="dxa"/>
            <w:vAlign w:val="center"/>
          </w:tcPr>
          <w:p w14:paraId="161FDACD" w14:textId="77777777" w:rsidR="009B4CAE" w:rsidRPr="009B4CAE" w:rsidRDefault="009B4CAE" w:rsidP="009B4CAE">
            <w:pPr>
              <w:spacing w:line="440" w:lineRule="exact"/>
              <w:jc w:val="center"/>
              <w:rPr>
                <w:rFonts w:ascii="宋体" w:eastAsia="宋体" w:hAnsi="宋体" w:cs="Times New Roman"/>
                <w:b/>
                <w:sz w:val="24"/>
              </w:rPr>
            </w:pPr>
            <w:r w:rsidRPr="009B4CAE">
              <w:rPr>
                <w:rFonts w:ascii="宋体" w:eastAsia="宋体" w:hAnsi="宋体" w:cs="Times New Roman" w:hint="eastAsia"/>
                <w:b/>
                <w:sz w:val="24"/>
              </w:rPr>
              <w:t>毕业要求</w:t>
            </w:r>
          </w:p>
        </w:tc>
        <w:tc>
          <w:tcPr>
            <w:tcW w:w="6237" w:type="dxa"/>
            <w:vAlign w:val="center"/>
          </w:tcPr>
          <w:p w14:paraId="5F19A2F8" w14:textId="77777777" w:rsidR="009B4CAE" w:rsidRPr="009B4CAE" w:rsidRDefault="009B4CAE" w:rsidP="009B4CAE">
            <w:pPr>
              <w:spacing w:line="440" w:lineRule="exact"/>
              <w:jc w:val="center"/>
              <w:rPr>
                <w:rFonts w:ascii="宋体" w:eastAsia="宋体" w:hAnsi="宋体" w:cs="Times New Roman"/>
                <w:b/>
                <w:sz w:val="24"/>
              </w:rPr>
            </w:pPr>
            <w:r w:rsidRPr="009B4CAE">
              <w:rPr>
                <w:rFonts w:ascii="宋体" w:eastAsia="宋体" w:hAnsi="宋体" w:cs="Times New Roman" w:hint="eastAsia"/>
                <w:b/>
                <w:sz w:val="24"/>
              </w:rPr>
              <w:t>毕业要求指标点</w:t>
            </w:r>
          </w:p>
        </w:tc>
        <w:tc>
          <w:tcPr>
            <w:tcW w:w="1366" w:type="dxa"/>
            <w:vAlign w:val="center"/>
          </w:tcPr>
          <w:p w14:paraId="758DDC48" w14:textId="77777777" w:rsidR="009B4CAE" w:rsidRPr="009B4CAE" w:rsidRDefault="009B4CAE" w:rsidP="009B4CAE">
            <w:pPr>
              <w:spacing w:line="440" w:lineRule="exact"/>
              <w:jc w:val="center"/>
              <w:rPr>
                <w:rFonts w:ascii="宋体" w:eastAsia="宋体" w:hAnsi="宋体" w:cs="Times New Roman"/>
                <w:b/>
                <w:sz w:val="24"/>
              </w:rPr>
            </w:pPr>
            <w:r w:rsidRPr="009B4CAE">
              <w:rPr>
                <w:rFonts w:ascii="宋体" w:eastAsia="宋体" w:hAnsi="宋体" w:cs="Times New Roman" w:hint="eastAsia"/>
                <w:b/>
                <w:sz w:val="24"/>
              </w:rPr>
              <w:t>课程目标</w:t>
            </w:r>
          </w:p>
        </w:tc>
      </w:tr>
      <w:tr w:rsidR="009B4CAE" w:rsidRPr="009B4CAE" w14:paraId="113746B5" w14:textId="77777777" w:rsidTr="009B4CAE">
        <w:trPr>
          <w:jc w:val="center"/>
        </w:trPr>
        <w:tc>
          <w:tcPr>
            <w:tcW w:w="1566" w:type="dxa"/>
            <w:vAlign w:val="center"/>
          </w:tcPr>
          <w:p w14:paraId="255526EF"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职业规范</w:t>
            </w:r>
            <w:r w:rsidRPr="009B4CAE">
              <w:rPr>
                <w:rFonts w:ascii="宋体" w:eastAsia="宋体" w:hAnsi="宋体" w:cs="Times New Roman"/>
                <w:sz w:val="24"/>
              </w:rPr>
              <w:t>（</w:t>
            </w:r>
            <w:r w:rsidRPr="009B4CAE">
              <w:rPr>
                <w:rFonts w:ascii="宋体" w:eastAsia="宋体" w:hAnsi="宋体" w:cs="Times New Roman" w:hint="eastAsia"/>
                <w:sz w:val="24"/>
              </w:rPr>
              <w:t>M</w:t>
            </w:r>
            <w:r w:rsidRPr="009B4CAE">
              <w:rPr>
                <w:rFonts w:ascii="宋体" w:eastAsia="宋体" w:hAnsi="宋体" w:cs="Times New Roman"/>
                <w:sz w:val="24"/>
              </w:rPr>
              <w:t>）</w:t>
            </w:r>
          </w:p>
        </w:tc>
        <w:tc>
          <w:tcPr>
            <w:tcW w:w="6237" w:type="dxa"/>
            <w:vAlign w:val="center"/>
          </w:tcPr>
          <w:p w14:paraId="4EC364CF" w14:textId="77777777" w:rsidR="009B4CAE" w:rsidRPr="009B4CAE" w:rsidRDefault="009B4CAE" w:rsidP="009B4CAE">
            <w:pPr>
              <w:spacing w:line="440" w:lineRule="exact"/>
              <w:rPr>
                <w:rFonts w:ascii="宋体" w:eastAsia="宋体" w:hAnsi="宋体" w:cs="仿宋_GB2312"/>
                <w:sz w:val="24"/>
              </w:rPr>
            </w:pPr>
          </w:p>
          <w:p w14:paraId="38FF25B4" w14:textId="77777777" w:rsidR="009B4CAE" w:rsidRPr="009B4CAE" w:rsidRDefault="009B4CAE" w:rsidP="009B4CAE">
            <w:pPr>
              <w:spacing w:line="440" w:lineRule="exact"/>
              <w:rPr>
                <w:rFonts w:ascii="宋体" w:eastAsia="宋体" w:hAnsi="宋体" w:cs="仿宋_GB2312"/>
                <w:sz w:val="24"/>
              </w:rPr>
            </w:pPr>
          </w:p>
          <w:p w14:paraId="2F562F53" w14:textId="77777777" w:rsidR="009B4CAE" w:rsidRPr="009B4CAE" w:rsidRDefault="009B4CAE" w:rsidP="009B4CAE">
            <w:pPr>
              <w:spacing w:line="440" w:lineRule="exact"/>
              <w:rPr>
                <w:rFonts w:ascii="宋体" w:eastAsia="宋体" w:hAnsi="宋体" w:cs="Times New Roman"/>
                <w:sz w:val="24"/>
              </w:rPr>
            </w:pPr>
          </w:p>
        </w:tc>
        <w:tc>
          <w:tcPr>
            <w:tcW w:w="1366" w:type="dxa"/>
            <w:vAlign w:val="center"/>
          </w:tcPr>
          <w:p w14:paraId="18626131" w14:textId="77777777" w:rsidR="009B4CAE" w:rsidRPr="009B4CAE" w:rsidRDefault="009B4CAE" w:rsidP="009B4CAE">
            <w:pPr>
              <w:spacing w:line="440" w:lineRule="exact"/>
              <w:rPr>
                <w:rFonts w:ascii="宋体" w:eastAsia="宋体" w:hAnsi="宋体" w:cs="Times New Roman"/>
                <w:sz w:val="24"/>
              </w:rPr>
            </w:pPr>
            <w:r w:rsidRPr="009B4CAE">
              <w:rPr>
                <w:rFonts w:ascii="宋体" w:eastAsia="宋体" w:hAnsi="宋体" w:cs="Times New Roman" w:hint="eastAsia"/>
                <w:sz w:val="24"/>
              </w:rPr>
              <w:t>课程目标1</w:t>
            </w:r>
          </w:p>
        </w:tc>
      </w:tr>
      <w:tr w:rsidR="009B4CAE" w:rsidRPr="009B4CAE" w14:paraId="3B6B4DB3" w14:textId="77777777" w:rsidTr="009B4CAE">
        <w:trPr>
          <w:jc w:val="center"/>
        </w:trPr>
        <w:tc>
          <w:tcPr>
            <w:tcW w:w="1566" w:type="dxa"/>
            <w:vAlign w:val="center"/>
          </w:tcPr>
          <w:p w14:paraId="10A0402F"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沟通</w:t>
            </w:r>
            <w:r w:rsidRPr="009B4CAE">
              <w:rPr>
                <w:rFonts w:ascii="宋体" w:eastAsia="宋体" w:hAnsi="宋体" w:cs="Times New Roman"/>
                <w:sz w:val="24"/>
              </w:rPr>
              <w:t>（</w:t>
            </w:r>
            <w:r w:rsidRPr="009B4CAE">
              <w:rPr>
                <w:rFonts w:ascii="宋体" w:eastAsia="宋体" w:hAnsi="宋体" w:cs="Times New Roman" w:hint="eastAsia"/>
                <w:sz w:val="24"/>
              </w:rPr>
              <w:t>M</w:t>
            </w:r>
            <w:r w:rsidRPr="009B4CAE">
              <w:rPr>
                <w:rFonts w:ascii="宋体" w:eastAsia="宋体" w:hAnsi="宋体" w:cs="Times New Roman"/>
                <w:sz w:val="24"/>
              </w:rPr>
              <w:t>）</w:t>
            </w:r>
          </w:p>
        </w:tc>
        <w:tc>
          <w:tcPr>
            <w:tcW w:w="6237" w:type="dxa"/>
            <w:vAlign w:val="center"/>
          </w:tcPr>
          <w:p w14:paraId="6ECB07EA" w14:textId="77777777" w:rsidR="009B4CAE" w:rsidRPr="009B4CAE" w:rsidRDefault="009B4CAE" w:rsidP="009B4CAE">
            <w:pPr>
              <w:spacing w:line="440" w:lineRule="exact"/>
              <w:rPr>
                <w:rFonts w:ascii="宋体" w:eastAsia="宋体" w:hAnsi="宋体" w:cs="仿宋_GB2312"/>
                <w:sz w:val="24"/>
              </w:rPr>
            </w:pPr>
          </w:p>
          <w:p w14:paraId="7DFB88BA" w14:textId="77777777" w:rsidR="009B4CAE" w:rsidRPr="009B4CAE" w:rsidRDefault="009B4CAE" w:rsidP="009B4CAE">
            <w:pPr>
              <w:spacing w:line="440" w:lineRule="exact"/>
              <w:rPr>
                <w:rFonts w:ascii="宋体" w:eastAsia="宋体" w:hAnsi="宋体" w:cs="仿宋_GB2312"/>
                <w:sz w:val="24"/>
              </w:rPr>
            </w:pPr>
          </w:p>
          <w:p w14:paraId="35B936FD" w14:textId="77777777" w:rsidR="009B4CAE" w:rsidRPr="009B4CAE" w:rsidRDefault="009B4CAE" w:rsidP="009B4CAE">
            <w:pPr>
              <w:spacing w:line="440" w:lineRule="exact"/>
              <w:rPr>
                <w:rFonts w:ascii="宋体" w:eastAsia="宋体" w:hAnsi="宋体" w:cs="Times New Roman"/>
                <w:sz w:val="24"/>
              </w:rPr>
            </w:pPr>
          </w:p>
        </w:tc>
        <w:tc>
          <w:tcPr>
            <w:tcW w:w="1366" w:type="dxa"/>
            <w:vAlign w:val="center"/>
          </w:tcPr>
          <w:p w14:paraId="1D7F65A6" w14:textId="77777777" w:rsidR="009B4CAE" w:rsidRPr="009B4CAE" w:rsidRDefault="009B4CAE" w:rsidP="009B4CAE">
            <w:pPr>
              <w:spacing w:line="440" w:lineRule="exact"/>
              <w:rPr>
                <w:rFonts w:ascii="宋体" w:eastAsia="宋体" w:hAnsi="宋体" w:cs="仿宋_GB2312"/>
                <w:sz w:val="24"/>
              </w:rPr>
            </w:pPr>
            <w:r w:rsidRPr="009B4CAE">
              <w:rPr>
                <w:rFonts w:ascii="宋体" w:eastAsia="宋体" w:hAnsi="宋体" w:cs="Times New Roman" w:hint="eastAsia"/>
                <w:sz w:val="24"/>
              </w:rPr>
              <w:t>课程目标</w:t>
            </w:r>
            <w:r w:rsidRPr="009B4CAE">
              <w:rPr>
                <w:rFonts w:ascii="宋体" w:eastAsia="宋体" w:hAnsi="宋体" w:cs="Times New Roman"/>
                <w:sz w:val="24"/>
              </w:rPr>
              <w:t>2</w:t>
            </w:r>
          </w:p>
        </w:tc>
      </w:tr>
      <w:tr w:rsidR="009B4CAE" w:rsidRPr="009B4CAE" w14:paraId="73BC9228" w14:textId="77777777" w:rsidTr="009B4CAE">
        <w:trPr>
          <w:jc w:val="center"/>
        </w:trPr>
        <w:tc>
          <w:tcPr>
            <w:tcW w:w="1566" w:type="dxa"/>
            <w:vAlign w:val="center"/>
          </w:tcPr>
          <w:p w14:paraId="1E908EF1"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终身学习</w:t>
            </w:r>
            <w:r w:rsidRPr="009B4CAE">
              <w:rPr>
                <w:rFonts w:ascii="宋体" w:eastAsia="宋体" w:hAnsi="宋体" w:cs="Times New Roman"/>
                <w:sz w:val="24"/>
              </w:rPr>
              <w:t>（</w:t>
            </w:r>
            <w:r w:rsidRPr="009B4CAE">
              <w:rPr>
                <w:rFonts w:ascii="宋体" w:eastAsia="宋体" w:hAnsi="宋体" w:cs="Times New Roman" w:hint="eastAsia"/>
                <w:sz w:val="24"/>
              </w:rPr>
              <w:t>H</w:t>
            </w:r>
            <w:r w:rsidRPr="009B4CAE">
              <w:rPr>
                <w:rFonts w:ascii="宋体" w:eastAsia="宋体" w:hAnsi="宋体" w:cs="Times New Roman"/>
                <w:sz w:val="24"/>
              </w:rPr>
              <w:t>）</w:t>
            </w:r>
          </w:p>
        </w:tc>
        <w:tc>
          <w:tcPr>
            <w:tcW w:w="6237" w:type="dxa"/>
            <w:vAlign w:val="center"/>
          </w:tcPr>
          <w:p w14:paraId="2AC86EE5" w14:textId="77777777" w:rsidR="009B4CAE" w:rsidRPr="009B4CAE" w:rsidRDefault="009B4CAE" w:rsidP="009B4CAE">
            <w:pPr>
              <w:spacing w:line="440" w:lineRule="exact"/>
              <w:rPr>
                <w:rFonts w:ascii="宋体" w:eastAsia="宋体" w:hAnsi="宋体" w:cs="仿宋_GB2312"/>
                <w:sz w:val="24"/>
              </w:rPr>
            </w:pPr>
          </w:p>
          <w:p w14:paraId="66531BA2" w14:textId="77777777" w:rsidR="009B4CAE" w:rsidRPr="009B4CAE" w:rsidRDefault="009B4CAE" w:rsidP="009B4CAE">
            <w:pPr>
              <w:spacing w:line="440" w:lineRule="exact"/>
              <w:rPr>
                <w:rFonts w:ascii="宋体" w:eastAsia="宋体" w:hAnsi="宋体" w:cs="仿宋_GB2312"/>
                <w:sz w:val="24"/>
              </w:rPr>
            </w:pPr>
          </w:p>
          <w:p w14:paraId="1D580AE4" w14:textId="77777777" w:rsidR="009B4CAE" w:rsidRPr="009B4CAE" w:rsidRDefault="009B4CAE" w:rsidP="009B4CAE">
            <w:pPr>
              <w:spacing w:line="440" w:lineRule="exact"/>
              <w:rPr>
                <w:rFonts w:ascii="宋体" w:eastAsia="宋体" w:hAnsi="宋体" w:cs="Times New Roman"/>
                <w:sz w:val="24"/>
              </w:rPr>
            </w:pPr>
          </w:p>
        </w:tc>
        <w:tc>
          <w:tcPr>
            <w:tcW w:w="1366" w:type="dxa"/>
            <w:vAlign w:val="center"/>
          </w:tcPr>
          <w:p w14:paraId="55A69C07" w14:textId="77777777" w:rsidR="009B4CAE" w:rsidRPr="009B4CAE" w:rsidRDefault="009B4CAE" w:rsidP="009B4CAE">
            <w:pPr>
              <w:spacing w:line="440" w:lineRule="exact"/>
              <w:rPr>
                <w:rFonts w:ascii="宋体" w:eastAsia="宋体" w:hAnsi="宋体" w:cs="Times New Roman"/>
                <w:sz w:val="24"/>
              </w:rPr>
            </w:pPr>
            <w:r w:rsidRPr="009B4CAE">
              <w:rPr>
                <w:rFonts w:ascii="宋体" w:eastAsia="宋体" w:hAnsi="宋体" w:cs="Times New Roman"/>
                <w:sz w:val="24"/>
              </w:rPr>
              <w:t>课程目标3</w:t>
            </w:r>
          </w:p>
        </w:tc>
      </w:tr>
    </w:tbl>
    <w:p w14:paraId="243FEBAA" w14:textId="77777777" w:rsidR="009B4CAE" w:rsidRPr="009B4CAE" w:rsidRDefault="009B4CAE" w:rsidP="009B4CAE">
      <w:pPr>
        <w:spacing w:beforeLines="50" w:before="156" w:afterLines="50" w:after="156" w:line="440" w:lineRule="exact"/>
        <w:ind w:firstLineChars="200" w:firstLine="560"/>
        <w:rPr>
          <w:rFonts w:ascii="黑体" w:eastAsia="黑体" w:hAnsi="黑体" w:cs="Times New Roman"/>
          <w:sz w:val="28"/>
          <w:szCs w:val="28"/>
        </w:rPr>
      </w:pPr>
      <w:r w:rsidRPr="009B4CAE">
        <w:rPr>
          <w:rFonts w:ascii="黑体" w:eastAsia="黑体" w:hAnsi="黑体" w:cs="Times New Roman" w:hint="eastAsia"/>
          <w:sz w:val="28"/>
          <w:szCs w:val="28"/>
        </w:rPr>
        <w:t>三、课程学习内容及与课程学习目标的对应关系</w:t>
      </w:r>
    </w:p>
    <w:p w14:paraId="43409839" w14:textId="77777777" w:rsidR="009B4CAE" w:rsidRPr="009B4CAE" w:rsidRDefault="009B4CAE" w:rsidP="009B4CAE">
      <w:pPr>
        <w:spacing w:beforeLines="50" w:before="156" w:afterLines="50" w:after="156" w:line="440" w:lineRule="exact"/>
        <w:ind w:firstLineChars="200" w:firstLine="562"/>
        <w:rPr>
          <w:rFonts w:ascii="黑体" w:eastAsia="黑体" w:hAnsi="黑体" w:cs="Times New Roman"/>
          <w:b/>
          <w:sz w:val="28"/>
          <w:szCs w:val="28"/>
        </w:rPr>
      </w:pPr>
      <w:r w:rsidRPr="009B4CAE">
        <w:rPr>
          <w:rFonts w:ascii="黑体" w:eastAsia="黑体" w:hAnsi="黑体" w:cs="Times New Roman" w:hint="eastAsia"/>
          <w:b/>
          <w:sz w:val="28"/>
          <w:szCs w:val="28"/>
        </w:rPr>
        <w:t>（一）课程学习内容</w:t>
      </w:r>
    </w:p>
    <w:p w14:paraId="201C96C7" w14:textId="77777777" w:rsidR="009B4CAE" w:rsidRPr="009B4CAE" w:rsidRDefault="009B4CAE" w:rsidP="009B4CAE">
      <w:pPr>
        <w:spacing w:beforeLines="50" w:before="156" w:afterLines="50" w:after="156" w:line="440" w:lineRule="exact"/>
        <w:ind w:firstLineChars="200" w:firstLine="560"/>
        <w:jc w:val="center"/>
        <w:rPr>
          <w:rFonts w:ascii="黑体" w:eastAsia="黑体" w:hAnsi="黑体" w:cs="Times New Roman"/>
          <w:sz w:val="28"/>
          <w:szCs w:val="28"/>
        </w:rPr>
      </w:pPr>
      <w:r w:rsidRPr="009B4CAE">
        <w:rPr>
          <w:rFonts w:ascii="黑体" w:eastAsia="黑体" w:hAnsi="黑体" w:cs="Times New Roman" w:hint="eastAsia"/>
          <w:sz w:val="28"/>
          <w:szCs w:val="28"/>
        </w:rPr>
        <w:t>学习内容</w:t>
      </w:r>
      <w:proofErr w:type="gramStart"/>
      <w:r w:rsidRPr="009B4CAE">
        <w:rPr>
          <w:rFonts w:ascii="黑体" w:eastAsia="黑体" w:hAnsi="黑体" w:cs="Times New Roman" w:hint="eastAsia"/>
          <w:sz w:val="28"/>
          <w:szCs w:val="28"/>
        </w:rPr>
        <w:t>一</w:t>
      </w:r>
      <w:proofErr w:type="gramEnd"/>
      <w:r w:rsidRPr="009B4CAE">
        <w:rPr>
          <w:rFonts w:ascii="黑体" w:eastAsia="黑体" w:hAnsi="黑体" w:cs="Times New Roman" w:hint="eastAsia"/>
          <w:sz w:val="28"/>
          <w:szCs w:val="28"/>
        </w:rPr>
        <w:t xml:space="preserve"> 体能+交谊舞</w:t>
      </w:r>
    </w:p>
    <w:p w14:paraId="03D1227E" w14:textId="77777777" w:rsidR="009B4CAE" w:rsidRPr="009B4CAE" w:rsidRDefault="009B4CAE" w:rsidP="009B4CAE">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9B4CAE">
        <w:rPr>
          <w:rFonts w:ascii="宋体" w:eastAsia="宋体" w:hAnsi="宋体" w:cs="Times New Roman" w:hint="eastAsia"/>
          <w:b/>
          <w:sz w:val="24"/>
        </w:rPr>
        <w:t>【学习目标】</w:t>
      </w:r>
    </w:p>
    <w:p w14:paraId="0924F938" w14:textId="77777777" w:rsidR="009B4CAE" w:rsidRPr="009B4CAE" w:rsidRDefault="009B4CAE" w:rsidP="009B4CAE">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9B4CAE">
        <w:rPr>
          <w:rFonts w:ascii="宋体" w:eastAsia="宋体" w:hAnsi="Calibri" w:cs="宋体" w:hint="eastAsia"/>
          <w:spacing w:val="5"/>
          <w:kern w:val="0"/>
          <w:sz w:val="24"/>
        </w:rPr>
        <w:t>1.</w:t>
      </w:r>
      <w:r w:rsidRPr="009B4CAE">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9B4CAE">
        <w:rPr>
          <w:rFonts w:ascii="宋体" w:eastAsia="宋体" w:hAnsi="Calibri" w:cs="宋体" w:hint="eastAsia"/>
          <w:spacing w:val="5"/>
          <w:kern w:val="0"/>
          <w:sz w:val="24"/>
        </w:rPr>
        <w:t>通过体能教学活动，</w:t>
      </w:r>
      <w:r w:rsidRPr="009B4CAE">
        <w:rPr>
          <w:rFonts w:ascii="宋体" w:eastAsia="宋体" w:hAnsi="宋体" w:cs="仿宋_GB2312" w:hint="eastAsia"/>
          <w:sz w:val="24"/>
        </w:rPr>
        <w:t>了解《大学生体质健康标准测验》项目内容、考核方式、评价标准，掌握考核内容锻炼的方式方法。</w:t>
      </w:r>
      <w:r w:rsidRPr="009B4CAE">
        <w:rPr>
          <w:rFonts w:ascii="宋体" w:eastAsia="宋体" w:hAnsi="Calibri" w:cs="宋体" w:hint="eastAsia"/>
          <w:spacing w:val="5"/>
          <w:kern w:val="0"/>
          <w:sz w:val="24"/>
        </w:rPr>
        <w:t>培养学生努力学习、不断进取、修身立业、顽强奋进的精神与品质。</w:t>
      </w:r>
    </w:p>
    <w:p w14:paraId="6A798AB8" w14:textId="77777777" w:rsidR="009B4CAE" w:rsidRPr="009B4CAE" w:rsidRDefault="009B4CAE" w:rsidP="009B4CAE">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9B4CAE">
        <w:rPr>
          <w:rFonts w:ascii="宋体" w:eastAsia="宋体" w:hAnsi="Calibri" w:cs="宋体" w:hint="eastAsia"/>
          <w:spacing w:val="5"/>
          <w:kern w:val="0"/>
          <w:sz w:val="24"/>
        </w:rPr>
        <w:t>2.</w:t>
      </w:r>
      <w:r w:rsidRPr="009B4CAE">
        <w:rPr>
          <w:rFonts w:ascii="宋体" w:eastAsia="宋体" w:hAnsi="宋体" w:cs="仿宋_GB2312" w:hint="eastAsia"/>
          <w:sz w:val="24"/>
        </w:rPr>
        <w:t>使学生学习和掌握体育与健康的基础知识、技能与方法。使学生了解体育与健</w:t>
      </w:r>
      <w:r w:rsidRPr="009B4CAE">
        <w:rPr>
          <w:rFonts w:ascii="宋体" w:eastAsia="宋体" w:hAnsi="宋体" w:cs="仿宋_GB2312" w:hint="eastAsia"/>
          <w:sz w:val="24"/>
        </w:rPr>
        <w:lastRenderedPageBreak/>
        <w:t>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9B4CAE">
        <w:rPr>
          <w:rFonts w:ascii="宋体" w:eastAsia="宋体" w:hAnsi="Calibri" w:cs="宋体" w:hint="eastAsia"/>
          <w:spacing w:val="5"/>
          <w:kern w:val="0"/>
          <w:sz w:val="24"/>
        </w:rPr>
        <w:t>。</w:t>
      </w:r>
    </w:p>
    <w:p w14:paraId="53CBA995" w14:textId="77777777" w:rsidR="009B4CAE" w:rsidRPr="009B4CAE" w:rsidRDefault="009B4CAE" w:rsidP="009B4CAE">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9B4CAE">
        <w:rPr>
          <w:rFonts w:ascii="宋体" w:eastAsia="宋体" w:hAnsi="Calibri" w:cs="宋体" w:hint="eastAsia"/>
          <w:spacing w:val="5"/>
          <w:kern w:val="0"/>
          <w:sz w:val="24"/>
        </w:rPr>
        <w:t>3.</w:t>
      </w:r>
      <w:r w:rsidRPr="009B4CAE">
        <w:rPr>
          <w:rFonts w:ascii="Calibri" w:eastAsia="宋体" w:hAnsi="Calibri" w:cs="Times New Roman" w:hint="eastAsia"/>
          <w:kern w:val="0"/>
          <w:sz w:val="24"/>
        </w:rPr>
        <w:t>通过体育舞蹈的学习和实践，掌握体育舞蹈的基本知识、基本技术、基本技法和方法。掌握基本的练习方法，进一步培养音乐感，进行自我的审美教育；培养学生具有一定表演比赛能力和欣赏比赛能力。</w:t>
      </w:r>
      <w:r w:rsidRPr="009B4CAE">
        <w:rPr>
          <w:rFonts w:ascii="宋体" w:eastAsia="宋体" w:hAnsi="宋体" w:cs="仿宋_GB2312" w:hint="eastAsia"/>
          <w:sz w:val="24"/>
        </w:rPr>
        <w:t>以运动和身体练习为基本手段，对大学生机体进行科学的培育，在提高人的生物潜能、心理潜能的过程中促进德、智、体、美全面发展，达到身心健康、全面发展的教育总目的</w:t>
      </w:r>
      <w:r w:rsidRPr="009B4CAE">
        <w:rPr>
          <w:rFonts w:ascii="宋体" w:eastAsia="宋体" w:hAnsi="Calibri" w:cs="宋体" w:hint="eastAsia"/>
          <w:spacing w:val="5"/>
          <w:kern w:val="0"/>
          <w:sz w:val="24"/>
        </w:rPr>
        <w:t>。</w:t>
      </w:r>
    </w:p>
    <w:p w14:paraId="473592D1" w14:textId="77777777" w:rsidR="009B4CAE" w:rsidRPr="009B4CAE" w:rsidRDefault="009B4CAE" w:rsidP="009B4CAE">
      <w:pPr>
        <w:spacing w:line="440" w:lineRule="exact"/>
        <w:ind w:firstLineChars="200" w:firstLine="500"/>
        <w:rPr>
          <w:rFonts w:ascii="Calibri" w:eastAsia="宋体" w:hAnsi="Calibri" w:cs="Times New Roman"/>
        </w:rPr>
      </w:pPr>
      <w:r w:rsidRPr="009B4CAE">
        <w:rPr>
          <w:rFonts w:ascii="宋体" w:eastAsia="宋体" w:hAnsi="Calibri" w:cs="宋体" w:hint="eastAsia"/>
          <w:spacing w:val="5"/>
          <w:kern w:val="0"/>
          <w:sz w:val="24"/>
        </w:rPr>
        <w:t>4.</w:t>
      </w:r>
      <w:r w:rsidRPr="009B4CAE">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9B4CAE">
        <w:rPr>
          <w:rFonts w:ascii="宋体" w:eastAsia="宋体" w:hAnsi="Calibri" w:cs="宋体" w:hint="eastAsia"/>
          <w:spacing w:val="5"/>
          <w:kern w:val="0"/>
          <w:sz w:val="24"/>
        </w:rPr>
        <w:t>。</w:t>
      </w:r>
    </w:p>
    <w:p w14:paraId="6D4E4606" w14:textId="77777777" w:rsidR="009B4CAE" w:rsidRPr="009B4CAE" w:rsidRDefault="009B4CAE" w:rsidP="009B4CAE">
      <w:pPr>
        <w:spacing w:line="440" w:lineRule="exact"/>
        <w:ind w:firstLineChars="200" w:firstLine="482"/>
        <w:rPr>
          <w:rFonts w:ascii="宋体" w:eastAsia="宋体" w:hAnsi="宋体" w:cs="Times New Roman"/>
          <w:bCs/>
          <w:color w:val="FF0000"/>
          <w:sz w:val="24"/>
        </w:rPr>
      </w:pPr>
      <w:r w:rsidRPr="009B4CAE">
        <w:rPr>
          <w:rFonts w:ascii="宋体" w:eastAsia="宋体" w:hAnsi="宋体" w:cs="Times New Roman" w:hint="eastAsia"/>
          <w:b/>
          <w:sz w:val="24"/>
        </w:rPr>
        <w:t>【学习内容】</w:t>
      </w:r>
    </w:p>
    <w:p w14:paraId="6EE135CF" w14:textId="77777777" w:rsidR="009B4CAE" w:rsidRPr="009B4CAE" w:rsidRDefault="009B4CAE" w:rsidP="009B4CAE">
      <w:pPr>
        <w:spacing w:beforeLines="50" w:before="156" w:afterLines="50" w:after="156" w:line="360" w:lineRule="auto"/>
        <w:jc w:val="center"/>
        <w:rPr>
          <w:rFonts w:ascii="宋体" w:eastAsia="宋体" w:hAnsi="Calibri" w:cs="Arial"/>
          <w:b/>
          <w:sz w:val="28"/>
          <w:szCs w:val="28"/>
        </w:rPr>
      </w:pPr>
      <w:r w:rsidRPr="009B4CAE">
        <w:rPr>
          <w:rFonts w:ascii="宋体" w:eastAsia="宋体" w:hAnsi="宋体" w:cs="Arial" w:hint="eastAsia"/>
          <w:b/>
          <w:sz w:val="28"/>
          <w:szCs w:val="28"/>
        </w:rPr>
        <w:t>第一章</w:t>
      </w:r>
      <w:r w:rsidRPr="009B4CAE">
        <w:rPr>
          <w:rFonts w:ascii="宋体" w:eastAsia="宋体" w:hAnsi="宋体" w:cs="Arial"/>
          <w:b/>
          <w:sz w:val="28"/>
          <w:szCs w:val="28"/>
        </w:rPr>
        <w:t xml:space="preserve">   </w:t>
      </w:r>
      <w:r w:rsidRPr="009B4CAE">
        <w:rPr>
          <w:rFonts w:ascii="宋体" w:eastAsia="宋体" w:hAnsi="宋体" w:cs="Arial" w:hint="eastAsia"/>
          <w:b/>
          <w:sz w:val="28"/>
          <w:szCs w:val="28"/>
        </w:rPr>
        <w:t>认识健康的重要性（0.5学时）</w:t>
      </w:r>
    </w:p>
    <w:p w14:paraId="50DA3A1D" w14:textId="77777777" w:rsidR="009B4CAE" w:rsidRPr="009B4CAE" w:rsidRDefault="009B4CAE" w:rsidP="009B4CAE">
      <w:pPr>
        <w:spacing w:before="50" w:after="50" w:line="360" w:lineRule="auto"/>
        <w:ind w:firstLineChars="196" w:firstLine="472"/>
        <w:rPr>
          <w:rFonts w:ascii="Arial" w:eastAsia="宋体" w:hAnsi="Arial" w:cs="Arial"/>
          <w:b/>
          <w:sz w:val="24"/>
        </w:rPr>
      </w:pPr>
      <w:r w:rsidRPr="009B4CAE">
        <w:rPr>
          <w:rFonts w:ascii="Arial" w:eastAsia="宋体" w:hAnsi="Calibri" w:cs="Arial" w:hint="eastAsia"/>
          <w:b/>
          <w:sz w:val="24"/>
        </w:rPr>
        <w:t>本章主要教学内容：</w:t>
      </w:r>
    </w:p>
    <w:p w14:paraId="5EF4445F"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1.1 健康的内涵</w:t>
      </w:r>
    </w:p>
    <w:p w14:paraId="5BEFE88C"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1.2 预防与消除亚健康</w:t>
      </w:r>
    </w:p>
    <w:p w14:paraId="1DB91C40"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1.3 维护健康的法则</w:t>
      </w:r>
    </w:p>
    <w:p w14:paraId="617D9179" w14:textId="77777777" w:rsidR="009B4CAE" w:rsidRPr="009B4CAE" w:rsidRDefault="009B4CAE" w:rsidP="009B4CAE">
      <w:pPr>
        <w:spacing w:line="360" w:lineRule="auto"/>
        <w:ind w:leftChars="-29" w:left="-61" w:firstLineChars="219" w:firstLine="528"/>
        <w:rPr>
          <w:rFonts w:ascii="Arial" w:eastAsia="宋体" w:hAnsi="Calibri" w:cs="Arial"/>
          <w:b/>
          <w:sz w:val="24"/>
        </w:rPr>
      </w:pPr>
      <w:r w:rsidRPr="009B4CAE">
        <w:rPr>
          <w:rFonts w:ascii="Arial" w:eastAsia="宋体" w:hAnsi="Calibri" w:cs="Arial" w:hint="eastAsia"/>
          <w:b/>
          <w:sz w:val="24"/>
        </w:rPr>
        <w:t>本章教学目的及要求：</w:t>
      </w:r>
      <w:r w:rsidRPr="009B4CAE">
        <w:rPr>
          <w:rFonts w:ascii="Arial" w:eastAsia="宋体" w:hAnsi="Arial" w:cs="Arial" w:hint="eastAsia"/>
          <w:sz w:val="24"/>
        </w:rPr>
        <w:t>使同学们了解自身健康的重要性及如何维护、促进自身的健康。</w:t>
      </w:r>
    </w:p>
    <w:p w14:paraId="2942C113" w14:textId="77777777" w:rsidR="009B4CAE" w:rsidRPr="009B4CAE" w:rsidRDefault="009B4CAE" w:rsidP="009B4CAE">
      <w:pPr>
        <w:adjustRightInd w:val="0"/>
        <w:snapToGrid w:val="0"/>
        <w:spacing w:line="500" w:lineRule="exact"/>
        <w:ind w:firstLineChars="196" w:firstLine="472"/>
        <w:rPr>
          <w:rFonts w:ascii="Arial" w:eastAsia="宋体" w:hAnsi="Arial" w:cs="Arial"/>
          <w:sz w:val="24"/>
        </w:rPr>
      </w:pPr>
      <w:r w:rsidRPr="009B4CAE">
        <w:rPr>
          <w:rFonts w:ascii="Arial" w:eastAsia="宋体" w:hAnsi="Calibri" w:cs="Arial" w:hint="eastAsia"/>
          <w:b/>
          <w:sz w:val="24"/>
        </w:rPr>
        <w:t>本章教学重点及难点：</w:t>
      </w:r>
      <w:r w:rsidRPr="009B4CAE">
        <w:rPr>
          <w:rFonts w:ascii="Arial" w:eastAsia="宋体" w:hAnsi="Arial" w:cs="Arial" w:hint="eastAsia"/>
          <w:sz w:val="24"/>
        </w:rPr>
        <w:t>认识到健康的重要性；如何维护自身的健康。</w:t>
      </w:r>
    </w:p>
    <w:p w14:paraId="00F5C1E2" w14:textId="77777777" w:rsidR="009B4CAE" w:rsidRPr="009B4CAE" w:rsidRDefault="009B4CAE" w:rsidP="009B4CAE">
      <w:pPr>
        <w:spacing w:beforeLines="50" w:before="156" w:afterLines="50" w:after="156" w:line="360" w:lineRule="auto"/>
        <w:jc w:val="center"/>
        <w:rPr>
          <w:rFonts w:ascii="Arial" w:eastAsia="宋体" w:hAnsi="Arial" w:cs="Arial"/>
          <w:b/>
          <w:sz w:val="28"/>
          <w:szCs w:val="28"/>
        </w:rPr>
      </w:pPr>
      <w:r w:rsidRPr="009B4CAE">
        <w:rPr>
          <w:rFonts w:ascii="Arial" w:eastAsia="宋体" w:hAnsi="Calibri" w:cs="Arial" w:hint="eastAsia"/>
          <w:b/>
          <w:sz w:val="28"/>
          <w:szCs w:val="28"/>
        </w:rPr>
        <w:t>第二章</w:t>
      </w:r>
      <w:r w:rsidRPr="009B4CAE">
        <w:rPr>
          <w:rFonts w:ascii="Arial" w:eastAsia="宋体" w:hAnsi="Arial" w:cs="Arial"/>
          <w:b/>
          <w:sz w:val="28"/>
          <w:szCs w:val="28"/>
        </w:rPr>
        <w:t xml:space="preserve">   </w:t>
      </w:r>
      <w:r w:rsidRPr="009B4CAE">
        <w:rPr>
          <w:rFonts w:ascii="Arial" w:eastAsia="宋体" w:hAnsi="Calibri" w:cs="Arial" w:hint="eastAsia"/>
          <w:b/>
          <w:sz w:val="28"/>
          <w:szCs w:val="28"/>
        </w:rPr>
        <w:t>科学健身的理论与方法（</w:t>
      </w:r>
      <w:r w:rsidRPr="009B4CAE">
        <w:rPr>
          <w:rFonts w:ascii="Arial" w:eastAsia="宋体" w:hAnsi="Calibri" w:cs="Arial" w:hint="eastAsia"/>
          <w:b/>
          <w:sz w:val="28"/>
          <w:szCs w:val="28"/>
        </w:rPr>
        <w:t>0.5</w:t>
      </w:r>
      <w:r w:rsidRPr="009B4CAE">
        <w:rPr>
          <w:rFonts w:ascii="Arial" w:eastAsia="宋体" w:hAnsi="Calibri" w:cs="Arial" w:hint="eastAsia"/>
          <w:b/>
          <w:sz w:val="28"/>
          <w:szCs w:val="28"/>
        </w:rPr>
        <w:t>学时）</w:t>
      </w:r>
    </w:p>
    <w:p w14:paraId="6F1BB59E" w14:textId="77777777" w:rsidR="009B4CAE" w:rsidRPr="009B4CAE" w:rsidRDefault="009B4CAE" w:rsidP="009B4CAE">
      <w:pPr>
        <w:spacing w:line="360" w:lineRule="auto"/>
        <w:ind w:firstLineChars="196" w:firstLine="472"/>
        <w:rPr>
          <w:rFonts w:ascii="Arial" w:eastAsia="宋体" w:hAnsi="Arial" w:cs="Arial"/>
          <w:b/>
          <w:sz w:val="24"/>
        </w:rPr>
      </w:pPr>
      <w:r w:rsidRPr="009B4CAE">
        <w:rPr>
          <w:rFonts w:ascii="Arial" w:eastAsia="宋体" w:hAnsi="Calibri" w:cs="Arial" w:hint="eastAsia"/>
          <w:b/>
          <w:sz w:val="24"/>
        </w:rPr>
        <w:t>本章主要教学内容：</w:t>
      </w:r>
    </w:p>
    <w:p w14:paraId="15136949"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2.1 健身新理念</w:t>
      </w:r>
    </w:p>
    <w:p w14:paraId="24BAD057"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lastRenderedPageBreak/>
        <w:t>2.2 运动处方</w:t>
      </w:r>
    </w:p>
    <w:p w14:paraId="2DD763A3" w14:textId="77777777" w:rsidR="009B4CAE" w:rsidRPr="009B4CAE" w:rsidRDefault="009B4CAE" w:rsidP="009B4CAE">
      <w:pPr>
        <w:spacing w:line="360" w:lineRule="auto"/>
        <w:ind w:firstLineChars="196" w:firstLine="472"/>
        <w:rPr>
          <w:rFonts w:ascii="Calibri" w:eastAsia="宋体" w:hAnsi="Calibri" w:cs="Times New Roman"/>
          <w:bCs/>
          <w:sz w:val="24"/>
        </w:rPr>
      </w:pPr>
      <w:r w:rsidRPr="009B4CAE">
        <w:rPr>
          <w:rFonts w:ascii="Arial" w:eastAsia="宋体" w:hAnsi="Calibri" w:cs="Arial" w:hint="eastAsia"/>
          <w:b/>
          <w:sz w:val="24"/>
        </w:rPr>
        <w:t>本章教学目的及要求：</w:t>
      </w:r>
      <w:r w:rsidRPr="009B4CAE">
        <w:rPr>
          <w:rFonts w:ascii="Calibri" w:eastAsia="宋体" w:hAnsi="Calibri" w:cs="Times New Roman" w:hint="eastAsia"/>
          <w:bCs/>
          <w:sz w:val="24"/>
        </w:rPr>
        <w:t>使学生了解健身新理念及运动处方如何制定。</w:t>
      </w:r>
    </w:p>
    <w:p w14:paraId="3B162960" w14:textId="77777777" w:rsidR="009B4CAE" w:rsidRPr="009B4CAE" w:rsidRDefault="009B4CAE" w:rsidP="009B4CAE">
      <w:pPr>
        <w:spacing w:line="360" w:lineRule="auto"/>
        <w:ind w:firstLineChars="200" w:firstLine="482"/>
        <w:rPr>
          <w:rFonts w:ascii="Arial" w:eastAsia="宋体" w:hAnsi="Arial" w:cs="Arial"/>
          <w:sz w:val="24"/>
        </w:rPr>
      </w:pPr>
      <w:r w:rsidRPr="009B4CAE">
        <w:rPr>
          <w:rFonts w:ascii="Arial" w:eastAsia="宋体" w:hAnsi="Calibri" w:cs="Arial" w:hint="eastAsia"/>
          <w:b/>
          <w:sz w:val="24"/>
        </w:rPr>
        <w:t>本章教学重点及难点：</w:t>
      </w:r>
      <w:r w:rsidRPr="009B4CAE">
        <w:rPr>
          <w:rFonts w:ascii="Arial" w:eastAsia="宋体" w:hAnsi="Calibri" w:cs="Arial" w:hint="eastAsia"/>
          <w:sz w:val="24"/>
        </w:rPr>
        <w:t>制订运动处方的重要性；如何制订自身的运动处方。</w:t>
      </w:r>
    </w:p>
    <w:p w14:paraId="5C3E1473" w14:textId="77777777" w:rsidR="009B4CAE" w:rsidRPr="009B4CAE" w:rsidRDefault="009B4CAE" w:rsidP="009B4CAE">
      <w:pPr>
        <w:spacing w:beforeLines="50" w:before="156" w:afterLines="50" w:after="156" w:line="360" w:lineRule="auto"/>
        <w:jc w:val="center"/>
        <w:rPr>
          <w:rFonts w:ascii="Arial" w:eastAsia="宋体" w:hAnsi="Arial" w:cs="Arial"/>
          <w:b/>
          <w:sz w:val="28"/>
          <w:szCs w:val="28"/>
        </w:rPr>
      </w:pPr>
      <w:r w:rsidRPr="009B4CAE">
        <w:rPr>
          <w:rFonts w:ascii="Arial" w:eastAsia="宋体" w:hAnsi="Calibri" w:cs="Arial" w:hint="eastAsia"/>
          <w:b/>
          <w:sz w:val="28"/>
          <w:szCs w:val="28"/>
        </w:rPr>
        <w:t>第三章</w:t>
      </w:r>
      <w:r w:rsidRPr="009B4CAE">
        <w:rPr>
          <w:rFonts w:ascii="Arial" w:eastAsia="宋体" w:hAnsi="Arial" w:cs="Arial"/>
          <w:b/>
          <w:sz w:val="28"/>
          <w:szCs w:val="28"/>
        </w:rPr>
        <w:t xml:space="preserve">   </w:t>
      </w:r>
      <w:r w:rsidRPr="009B4CAE">
        <w:rPr>
          <w:rFonts w:ascii="Arial" w:eastAsia="宋体" w:hAnsi="Calibri" w:cs="Arial" w:hint="eastAsia"/>
          <w:b/>
          <w:sz w:val="28"/>
          <w:szCs w:val="28"/>
        </w:rPr>
        <w:t>营养与健康（</w:t>
      </w:r>
      <w:r w:rsidRPr="009B4CAE">
        <w:rPr>
          <w:rFonts w:ascii="Arial" w:eastAsia="宋体" w:hAnsi="Calibri" w:cs="Arial" w:hint="eastAsia"/>
          <w:b/>
          <w:sz w:val="28"/>
          <w:szCs w:val="28"/>
        </w:rPr>
        <w:t>0.5</w:t>
      </w:r>
      <w:r w:rsidRPr="009B4CAE">
        <w:rPr>
          <w:rFonts w:ascii="Arial" w:eastAsia="宋体" w:hAnsi="Calibri" w:cs="Arial" w:hint="eastAsia"/>
          <w:b/>
          <w:sz w:val="28"/>
          <w:szCs w:val="28"/>
        </w:rPr>
        <w:t>学时）</w:t>
      </w:r>
    </w:p>
    <w:p w14:paraId="54A3720B" w14:textId="77777777" w:rsidR="009B4CAE" w:rsidRPr="009B4CAE" w:rsidRDefault="009B4CAE" w:rsidP="009B4CAE">
      <w:pPr>
        <w:spacing w:line="360" w:lineRule="auto"/>
        <w:ind w:firstLineChars="196" w:firstLine="472"/>
        <w:rPr>
          <w:rFonts w:ascii="Arial" w:eastAsia="宋体" w:hAnsi="Arial" w:cs="Arial"/>
          <w:b/>
          <w:sz w:val="24"/>
        </w:rPr>
      </w:pPr>
      <w:r w:rsidRPr="009B4CAE">
        <w:rPr>
          <w:rFonts w:ascii="Arial" w:eastAsia="宋体" w:hAnsi="Calibri" w:cs="Arial" w:hint="eastAsia"/>
          <w:b/>
          <w:sz w:val="24"/>
        </w:rPr>
        <w:t>本章主要教学内容：</w:t>
      </w:r>
    </w:p>
    <w:p w14:paraId="1D5AE9EA"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3.1 营养对健康的影响</w:t>
      </w:r>
    </w:p>
    <w:p w14:paraId="43CC6849"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3.2 营养素及人体对营养的需要</w:t>
      </w:r>
    </w:p>
    <w:p w14:paraId="13C98DCA"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3.3 平衡膳食</w:t>
      </w:r>
    </w:p>
    <w:p w14:paraId="36514CFC"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3.4 运动与营养</w:t>
      </w:r>
    </w:p>
    <w:p w14:paraId="680327C7" w14:textId="77777777" w:rsidR="009B4CAE" w:rsidRPr="009B4CAE" w:rsidRDefault="009B4CAE" w:rsidP="009B4CAE">
      <w:pPr>
        <w:spacing w:line="360" w:lineRule="auto"/>
        <w:ind w:firstLineChars="196" w:firstLine="472"/>
        <w:rPr>
          <w:rFonts w:ascii="Calibri" w:eastAsia="宋体" w:hAnsi="Calibri" w:cs="Times New Roman"/>
          <w:bCs/>
          <w:sz w:val="24"/>
        </w:rPr>
      </w:pPr>
      <w:r w:rsidRPr="009B4CAE">
        <w:rPr>
          <w:rFonts w:ascii="Arial" w:eastAsia="宋体" w:hAnsi="Calibri" w:cs="Arial" w:hint="eastAsia"/>
          <w:b/>
          <w:sz w:val="24"/>
        </w:rPr>
        <w:t>本章教学目的及要求：</w:t>
      </w:r>
      <w:r w:rsidRPr="009B4CAE">
        <w:rPr>
          <w:rFonts w:ascii="Calibri" w:eastAsia="宋体" w:hAnsi="Calibri" w:cs="Times New Roman" w:hint="eastAsia"/>
          <w:bCs/>
          <w:sz w:val="24"/>
        </w:rPr>
        <w:t>让学生正确认识科学补充营养可以提高自身免疫力，从而提高生活质量。</w:t>
      </w:r>
    </w:p>
    <w:p w14:paraId="5C19DB07" w14:textId="77777777" w:rsidR="009B4CAE" w:rsidRPr="009B4CAE" w:rsidRDefault="009B4CAE" w:rsidP="009B4CAE">
      <w:pPr>
        <w:spacing w:line="360" w:lineRule="auto"/>
        <w:ind w:firstLineChars="196" w:firstLine="472"/>
        <w:rPr>
          <w:rFonts w:ascii="Arial" w:eastAsia="宋体" w:hAnsi="Arial" w:cs="Arial"/>
          <w:bCs/>
          <w:sz w:val="24"/>
        </w:rPr>
      </w:pPr>
      <w:r w:rsidRPr="009B4CAE">
        <w:rPr>
          <w:rFonts w:ascii="Arial" w:eastAsia="宋体" w:hAnsi="Calibri" w:cs="Arial" w:hint="eastAsia"/>
          <w:b/>
          <w:sz w:val="24"/>
        </w:rPr>
        <w:t>本章教学重点及难点：</w:t>
      </w:r>
      <w:r w:rsidRPr="009B4CAE">
        <w:rPr>
          <w:rFonts w:ascii="Arial" w:eastAsia="宋体" w:hAnsi="Calibri" w:cs="Arial" w:hint="eastAsia"/>
          <w:sz w:val="24"/>
        </w:rPr>
        <w:t>学生阶段的营养过剩与运动不足；补充营养的同时如何提高自身的健康。</w:t>
      </w:r>
    </w:p>
    <w:p w14:paraId="66F47E4C" w14:textId="77777777" w:rsidR="009B4CAE" w:rsidRPr="009B4CAE" w:rsidRDefault="009B4CAE" w:rsidP="009B4CAE">
      <w:pPr>
        <w:spacing w:beforeLines="50" w:before="156" w:afterLines="50" w:after="156" w:line="360" w:lineRule="auto"/>
        <w:jc w:val="center"/>
        <w:rPr>
          <w:rFonts w:ascii="Arial" w:eastAsia="宋体" w:hAnsi="Arial" w:cs="Arial"/>
          <w:b/>
          <w:sz w:val="28"/>
          <w:szCs w:val="28"/>
        </w:rPr>
      </w:pPr>
      <w:r w:rsidRPr="009B4CAE">
        <w:rPr>
          <w:rFonts w:ascii="Arial" w:eastAsia="宋体" w:hAnsi="Calibri" w:cs="Arial" w:hint="eastAsia"/>
          <w:b/>
          <w:sz w:val="28"/>
          <w:szCs w:val="28"/>
        </w:rPr>
        <w:t>第四章</w:t>
      </w:r>
      <w:r w:rsidRPr="009B4CAE">
        <w:rPr>
          <w:rFonts w:ascii="Arial" w:eastAsia="宋体" w:hAnsi="Arial" w:cs="Arial"/>
          <w:b/>
          <w:sz w:val="28"/>
          <w:szCs w:val="28"/>
        </w:rPr>
        <w:t xml:space="preserve">   </w:t>
      </w:r>
      <w:r w:rsidRPr="009B4CAE">
        <w:rPr>
          <w:rFonts w:ascii="Arial" w:eastAsia="宋体" w:hAnsi="Calibri" w:cs="Arial" w:hint="eastAsia"/>
          <w:b/>
          <w:sz w:val="28"/>
          <w:szCs w:val="28"/>
        </w:rPr>
        <w:t>体育保健知识（</w:t>
      </w:r>
      <w:r w:rsidRPr="009B4CAE">
        <w:rPr>
          <w:rFonts w:ascii="Arial" w:eastAsia="宋体" w:hAnsi="Calibri" w:cs="Arial" w:hint="eastAsia"/>
          <w:b/>
          <w:sz w:val="28"/>
          <w:szCs w:val="28"/>
        </w:rPr>
        <w:t>0.5</w:t>
      </w:r>
      <w:r w:rsidRPr="009B4CAE">
        <w:rPr>
          <w:rFonts w:ascii="Arial" w:eastAsia="宋体" w:hAnsi="Calibri" w:cs="Arial" w:hint="eastAsia"/>
          <w:b/>
          <w:sz w:val="28"/>
          <w:szCs w:val="28"/>
        </w:rPr>
        <w:t>学时）</w:t>
      </w:r>
    </w:p>
    <w:p w14:paraId="4C9E12E2" w14:textId="77777777" w:rsidR="009B4CAE" w:rsidRPr="009B4CAE" w:rsidRDefault="009B4CAE" w:rsidP="009B4CAE">
      <w:pPr>
        <w:spacing w:line="360" w:lineRule="auto"/>
        <w:ind w:firstLineChars="196" w:firstLine="472"/>
        <w:rPr>
          <w:rFonts w:ascii="Arial" w:eastAsia="宋体" w:hAnsi="Arial" w:cs="Arial"/>
          <w:b/>
          <w:sz w:val="24"/>
        </w:rPr>
      </w:pPr>
      <w:r w:rsidRPr="009B4CAE">
        <w:rPr>
          <w:rFonts w:ascii="Arial" w:eastAsia="宋体" w:hAnsi="Calibri" w:cs="Arial" w:hint="eastAsia"/>
          <w:b/>
          <w:sz w:val="24"/>
        </w:rPr>
        <w:t>本章主要教学内容：</w:t>
      </w:r>
    </w:p>
    <w:p w14:paraId="674749CE"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4.1运动中常见的生理反应与处理方法</w:t>
      </w:r>
    </w:p>
    <w:p w14:paraId="34E75EA5"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4.2 运动损伤的处置</w:t>
      </w:r>
    </w:p>
    <w:p w14:paraId="2B26AE9E"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4.3女子运动保健</w:t>
      </w:r>
    </w:p>
    <w:p w14:paraId="0605B29A" w14:textId="77777777" w:rsidR="009B4CAE" w:rsidRPr="009B4CAE" w:rsidRDefault="009B4CAE" w:rsidP="009B4CAE">
      <w:pPr>
        <w:spacing w:line="360" w:lineRule="auto"/>
        <w:ind w:firstLineChars="196" w:firstLine="472"/>
        <w:rPr>
          <w:rFonts w:ascii="Calibri" w:eastAsia="宋体" w:hAnsi="Calibri" w:cs="Times New Roman"/>
          <w:bCs/>
          <w:sz w:val="24"/>
        </w:rPr>
      </w:pPr>
      <w:r w:rsidRPr="009B4CAE">
        <w:rPr>
          <w:rFonts w:ascii="Arial" w:eastAsia="宋体" w:hAnsi="Calibri" w:cs="Arial" w:hint="eastAsia"/>
          <w:b/>
          <w:sz w:val="24"/>
        </w:rPr>
        <w:t>本章教学目的及要求：</w:t>
      </w:r>
      <w:r w:rsidRPr="009B4CAE">
        <w:rPr>
          <w:rFonts w:ascii="Calibri" w:eastAsia="宋体" w:hAnsi="Calibri" w:cs="Times New Roman" w:hint="eastAsia"/>
          <w:bCs/>
          <w:sz w:val="24"/>
        </w:rPr>
        <w:t>使学生了解运动中常见的生理反应及处理方法。</w:t>
      </w:r>
    </w:p>
    <w:p w14:paraId="23A17133" w14:textId="77777777" w:rsidR="009B4CAE" w:rsidRPr="009B4CAE" w:rsidRDefault="009B4CAE" w:rsidP="009B4CAE">
      <w:pPr>
        <w:spacing w:line="360" w:lineRule="auto"/>
        <w:ind w:firstLineChars="196" w:firstLine="472"/>
        <w:rPr>
          <w:rFonts w:ascii="Arial" w:eastAsia="宋体" w:hAnsi="Calibri" w:cs="Arial"/>
          <w:sz w:val="24"/>
        </w:rPr>
      </w:pPr>
      <w:r w:rsidRPr="009B4CAE">
        <w:rPr>
          <w:rFonts w:ascii="Arial" w:eastAsia="宋体" w:hAnsi="Calibri" w:cs="Arial" w:hint="eastAsia"/>
          <w:b/>
          <w:sz w:val="24"/>
        </w:rPr>
        <w:t>本章教学重点及难点：</w:t>
      </w:r>
      <w:r w:rsidRPr="009B4CAE">
        <w:rPr>
          <w:rFonts w:ascii="Arial" w:eastAsia="宋体" w:hAnsi="Calibri" w:cs="Arial" w:hint="eastAsia"/>
          <w:sz w:val="24"/>
        </w:rPr>
        <w:t>学生如何预防常见的运动损伤；运动损伤如何处置。</w:t>
      </w:r>
    </w:p>
    <w:p w14:paraId="03806E4C" w14:textId="77777777" w:rsidR="009B4CAE" w:rsidRPr="009B4CAE" w:rsidRDefault="009B4CAE" w:rsidP="009B4CAE">
      <w:pPr>
        <w:tabs>
          <w:tab w:val="left" w:pos="960"/>
        </w:tabs>
        <w:spacing w:beforeLines="50" w:before="156" w:afterLines="50" w:after="156" w:line="360" w:lineRule="auto"/>
        <w:jc w:val="center"/>
        <w:rPr>
          <w:rFonts w:ascii="宋体" w:eastAsia="宋体" w:hAnsi="Calibri" w:cs="Arial"/>
          <w:b/>
          <w:bCs/>
          <w:sz w:val="28"/>
          <w:szCs w:val="28"/>
        </w:rPr>
      </w:pPr>
      <w:r w:rsidRPr="009B4CAE">
        <w:rPr>
          <w:rFonts w:ascii="宋体" w:eastAsia="宋体" w:hAnsi="宋体" w:cs="Arial" w:hint="eastAsia"/>
          <w:b/>
          <w:bCs/>
          <w:sz w:val="28"/>
          <w:szCs w:val="28"/>
        </w:rPr>
        <w:t>第五章 了解体育文化（0.5课时）</w:t>
      </w:r>
    </w:p>
    <w:p w14:paraId="711418FF" w14:textId="77777777" w:rsidR="009B4CAE" w:rsidRPr="009B4CAE" w:rsidRDefault="009B4CAE" w:rsidP="009B4CAE">
      <w:pPr>
        <w:spacing w:line="360" w:lineRule="auto"/>
        <w:ind w:firstLineChars="196" w:firstLine="472"/>
        <w:rPr>
          <w:rFonts w:ascii="Arial" w:eastAsia="宋体" w:hAnsi="Arial" w:cs="Arial"/>
          <w:b/>
          <w:sz w:val="24"/>
        </w:rPr>
      </w:pPr>
      <w:r w:rsidRPr="009B4CAE">
        <w:rPr>
          <w:rFonts w:ascii="Arial" w:eastAsia="宋体" w:hAnsi="Calibri" w:cs="Arial" w:hint="eastAsia"/>
          <w:b/>
          <w:sz w:val="24"/>
        </w:rPr>
        <w:t>本章主要教学内容：</w:t>
      </w:r>
    </w:p>
    <w:p w14:paraId="2B0FE21A"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5.1中西方体育文化比较</w:t>
      </w:r>
    </w:p>
    <w:p w14:paraId="1B61D5D7"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5.2 奥林匹克体育文化</w:t>
      </w:r>
    </w:p>
    <w:p w14:paraId="13555D25"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5.3 校园体育文化</w:t>
      </w:r>
    </w:p>
    <w:p w14:paraId="4CE30538" w14:textId="77777777" w:rsidR="009B4CAE" w:rsidRPr="009B4CAE" w:rsidRDefault="009B4CAE" w:rsidP="009B4CAE">
      <w:pPr>
        <w:spacing w:line="360" w:lineRule="auto"/>
        <w:ind w:firstLineChars="196" w:firstLine="472"/>
        <w:rPr>
          <w:rFonts w:ascii="Arial" w:eastAsia="宋体" w:hAnsi="Calibri" w:cs="Arial"/>
          <w:b/>
          <w:sz w:val="24"/>
        </w:rPr>
      </w:pPr>
      <w:r w:rsidRPr="009B4CAE">
        <w:rPr>
          <w:rFonts w:ascii="Arial" w:eastAsia="宋体" w:hAnsi="Calibri" w:cs="Arial" w:hint="eastAsia"/>
          <w:b/>
          <w:sz w:val="24"/>
        </w:rPr>
        <w:lastRenderedPageBreak/>
        <w:t>本章教学目的及要求：</w:t>
      </w:r>
      <w:r w:rsidRPr="009B4CAE">
        <w:rPr>
          <w:rFonts w:ascii="Arial" w:eastAsia="宋体" w:hAnsi="Calibri" w:cs="Arial" w:hint="eastAsia"/>
          <w:bCs/>
          <w:sz w:val="24"/>
          <w:szCs w:val="28"/>
        </w:rPr>
        <w:t>让学生了解东西方体育文化的差异。</w:t>
      </w:r>
    </w:p>
    <w:p w14:paraId="3C4C18B3" w14:textId="77777777" w:rsidR="009B4CAE" w:rsidRPr="009B4CAE" w:rsidRDefault="009B4CAE" w:rsidP="009B4CAE">
      <w:pPr>
        <w:spacing w:line="360" w:lineRule="auto"/>
        <w:ind w:firstLineChars="196" w:firstLine="472"/>
        <w:rPr>
          <w:rFonts w:ascii="Arial" w:eastAsia="宋体" w:hAnsi="Calibri" w:cs="Arial"/>
          <w:b/>
          <w:sz w:val="24"/>
        </w:rPr>
      </w:pPr>
      <w:r w:rsidRPr="009B4CAE">
        <w:rPr>
          <w:rFonts w:ascii="Arial" w:eastAsia="宋体" w:hAnsi="Calibri" w:cs="Arial" w:hint="eastAsia"/>
          <w:b/>
          <w:sz w:val="24"/>
        </w:rPr>
        <w:t>本章教学重点及难点：</w:t>
      </w:r>
      <w:r w:rsidRPr="009B4CAE">
        <w:rPr>
          <w:rFonts w:ascii="Arial" w:eastAsia="宋体" w:hAnsi="Calibri" w:cs="Arial" w:hint="eastAsia"/>
          <w:sz w:val="24"/>
        </w:rPr>
        <w:t>介绍奥林匹克文化的发展</w:t>
      </w:r>
      <w:r w:rsidRPr="009B4CAE">
        <w:rPr>
          <w:rFonts w:ascii="Arial" w:eastAsia="宋体" w:hAnsi="Calibri" w:cs="Arial" w:hint="eastAsia"/>
          <w:bCs/>
          <w:sz w:val="24"/>
          <w:szCs w:val="28"/>
        </w:rPr>
        <w:t>；介绍校园体育文化的发展与功能。</w:t>
      </w:r>
    </w:p>
    <w:p w14:paraId="4E5C5F52" w14:textId="77777777" w:rsidR="009B4CAE" w:rsidRPr="009B4CAE" w:rsidRDefault="009B4CAE" w:rsidP="009B4CAE">
      <w:pPr>
        <w:spacing w:beforeLines="50" w:before="156" w:afterLines="50" w:after="156" w:line="360" w:lineRule="auto"/>
        <w:jc w:val="center"/>
        <w:rPr>
          <w:rFonts w:ascii="Arial" w:eastAsia="宋体" w:hAnsi="Calibri" w:cs="Arial"/>
          <w:b/>
          <w:sz w:val="28"/>
          <w:szCs w:val="28"/>
        </w:rPr>
      </w:pPr>
      <w:r w:rsidRPr="009B4CAE">
        <w:rPr>
          <w:rFonts w:ascii="宋体" w:eastAsia="宋体" w:hAnsi="宋体" w:cs="宋体" w:hint="eastAsia"/>
          <w:b/>
          <w:bCs/>
          <w:sz w:val="28"/>
          <w:szCs w:val="28"/>
        </w:rPr>
        <w:t>第六章 欣赏体育比赛</w:t>
      </w:r>
      <w:r w:rsidRPr="009B4CAE">
        <w:rPr>
          <w:rFonts w:ascii="Arial" w:eastAsia="宋体" w:hAnsi="Calibri" w:cs="Arial" w:hint="eastAsia"/>
          <w:b/>
          <w:sz w:val="28"/>
          <w:szCs w:val="28"/>
        </w:rPr>
        <w:t>（</w:t>
      </w:r>
      <w:r w:rsidRPr="009B4CAE">
        <w:rPr>
          <w:rFonts w:ascii="Arial" w:eastAsia="宋体" w:hAnsi="Arial" w:cs="Arial" w:hint="eastAsia"/>
          <w:b/>
          <w:sz w:val="28"/>
          <w:szCs w:val="28"/>
        </w:rPr>
        <w:t>0.5</w:t>
      </w:r>
      <w:r w:rsidRPr="009B4CAE">
        <w:rPr>
          <w:rFonts w:ascii="Arial" w:eastAsia="宋体" w:hAnsi="Calibri" w:cs="Arial" w:hint="eastAsia"/>
          <w:b/>
          <w:sz w:val="28"/>
          <w:szCs w:val="28"/>
        </w:rPr>
        <w:t>学时）</w:t>
      </w:r>
    </w:p>
    <w:p w14:paraId="48C1B3E4" w14:textId="77777777" w:rsidR="009B4CAE" w:rsidRPr="009B4CAE" w:rsidRDefault="009B4CAE" w:rsidP="009B4CAE">
      <w:pPr>
        <w:spacing w:line="360" w:lineRule="auto"/>
        <w:ind w:firstLineChars="196" w:firstLine="472"/>
        <w:rPr>
          <w:rFonts w:ascii="Arial" w:eastAsia="宋体" w:hAnsi="Arial" w:cs="Arial"/>
          <w:b/>
          <w:sz w:val="24"/>
        </w:rPr>
      </w:pPr>
      <w:r w:rsidRPr="009B4CAE">
        <w:rPr>
          <w:rFonts w:ascii="Arial" w:eastAsia="宋体" w:hAnsi="Calibri" w:cs="Arial" w:hint="eastAsia"/>
          <w:b/>
          <w:sz w:val="24"/>
        </w:rPr>
        <w:t>本章主要教学内容：</w:t>
      </w:r>
    </w:p>
    <w:p w14:paraId="4A1F0945"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6.1体育欣赏的体育美学原理及特点</w:t>
      </w:r>
    </w:p>
    <w:p w14:paraId="23B374EF"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6.2 体育运动的欣赏内容</w:t>
      </w:r>
    </w:p>
    <w:p w14:paraId="3699B8A3"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6.3 特定运动项目的欣赏</w:t>
      </w:r>
    </w:p>
    <w:p w14:paraId="424D0774" w14:textId="77777777" w:rsidR="009B4CAE" w:rsidRPr="009B4CAE" w:rsidRDefault="009B4CAE" w:rsidP="009B4CAE">
      <w:pPr>
        <w:spacing w:line="360" w:lineRule="auto"/>
        <w:ind w:firstLineChars="196" w:firstLine="472"/>
        <w:rPr>
          <w:rFonts w:ascii="Arial" w:eastAsia="宋体" w:hAnsi="Calibri" w:cs="Arial"/>
          <w:b/>
          <w:sz w:val="24"/>
        </w:rPr>
      </w:pPr>
      <w:r w:rsidRPr="009B4CAE">
        <w:rPr>
          <w:rFonts w:ascii="Arial" w:eastAsia="宋体" w:hAnsi="Calibri" w:cs="Arial" w:hint="eastAsia"/>
          <w:b/>
          <w:sz w:val="24"/>
        </w:rPr>
        <w:t>本章教学目的及要求：</w:t>
      </w:r>
      <w:r w:rsidRPr="009B4CAE">
        <w:rPr>
          <w:rFonts w:ascii="Arial" w:eastAsia="宋体" w:hAnsi="Calibri" w:cs="Arial" w:hint="eastAsia"/>
          <w:bCs/>
          <w:sz w:val="24"/>
          <w:szCs w:val="28"/>
        </w:rPr>
        <w:t>使学生提高体育文化素质，培养起体育欣赏的兴趣，树立正确的体育审美观念。</w:t>
      </w:r>
    </w:p>
    <w:p w14:paraId="2023B67F" w14:textId="77777777" w:rsidR="009B4CAE" w:rsidRPr="009B4CAE" w:rsidRDefault="009B4CAE" w:rsidP="009B4CAE">
      <w:pPr>
        <w:spacing w:line="360" w:lineRule="auto"/>
        <w:ind w:firstLineChars="196" w:firstLine="472"/>
        <w:rPr>
          <w:rFonts w:ascii="Arial" w:eastAsia="宋体" w:hAnsi="Calibri" w:cs="Arial"/>
          <w:b/>
          <w:sz w:val="24"/>
        </w:rPr>
      </w:pPr>
      <w:r w:rsidRPr="009B4CAE">
        <w:rPr>
          <w:rFonts w:ascii="Arial" w:eastAsia="宋体" w:hAnsi="Calibri" w:cs="Arial" w:hint="eastAsia"/>
          <w:b/>
          <w:sz w:val="24"/>
        </w:rPr>
        <w:t>本章教学重点及难点：</w:t>
      </w:r>
      <w:r w:rsidRPr="009B4CAE">
        <w:rPr>
          <w:rFonts w:ascii="Arial" w:eastAsia="宋体" w:hAnsi="Calibri" w:cs="Arial" w:hint="eastAsia"/>
          <w:sz w:val="24"/>
        </w:rPr>
        <w:t>如何欣赏球类比赛</w:t>
      </w:r>
      <w:r w:rsidRPr="009B4CAE">
        <w:rPr>
          <w:rFonts w:ascii="Arial" w:eastAsia="宋体" w:hAnsi="Calibri" w:cs="Arial" w:hint="eastAsia"/>
          <w:bCs/>
          <w:sz w:val="24"/>
          <w:szCs w:val="28"/>
        </w:rPr>
        <w:t>；如何提高体育欣赏水平。</w:t>
      </w:r>
    </w:p>
    <w:p w14:paraId="151CF94F" w14:textId="77777777" w:rsidR="009B4CAE" w:rsidRPr="009B4CAE" w:rsidRDefault="009B4CAE" w:rsidP="009B4CAE">
      <w:pPr>
        <w:spacing w:beforeLines="50" w:before="156" w:afterLines="50" w:after="156" w:line="360" w:lineRule="auto"/>
        <w:jc w:val="center"/>
        <w:rPr>
          <w:rFonts w:ascii="Arial" w:eastAsia="宋体" w:hAnsi="Arial" w:cs="Arial"/>
          <w:b/>
          <w:sz w:val="28"/>
          <w:szCs w:val="28"/>
        </w:rPr>
      </w:pPr>
      <w:r w:rsidRPr="009B4CAE">
        <w:rPr>
          <w:rFonts w:ascii="Arial" w:eastAsia="宋体" w:hAnsi="Calibri" w:cs="Arial" w:hint="eastAsia"/>
          <w:b/>
          <w:sz w:val="28"/>
          <w:szCs w:val="28"/>
        </w:rPr>
        <w:t>第七章</w:t>
      </w:r>
      <w:r w:rsidRPr="009B4CAE">
        <w:rPr>
          <w:rFonts w:ascii="Arial" w:eastAsia="宋体" w:hAnsi="Arial" w:cs="Arial"/>
          <w:b/>
          <w:sz w:val="28"/>
          <w:szCs w:val="28"/>
        </w:rPr>
        <w:t xml:space="preserve">   </w:t>
      </w:r>
      <w:r w:rsidRPr="009B4CAE">
        <w:rPr>
          <w:rFonts w:ascii="Arial" w:eastAsia="宋体" w:hAnsi="Arial" w:cs="Arial"/>
          <w:b/>
          <w:sz w:val="28"/>
          <w:szCs w:val="28"/>
        </w:rPr>
        <w:t>大</w:t>
      </w:r>
      <w:r w:rsidRPr="009B4CAE">
        <w:rPr>
          <w:rFonts w:ascii="Arial" w:eastAsia="宋体" w:hAnsi="Calibri" w:cs="Arial" w:hint="eastAsia"/>
          <w:b/>
          <w:sz w:val="28"/>
          <w:szCs w:val="28"/>
        </w:rPr>
        <w:t>学生体质健康测评（</w:t>
      </w:r>
      <w:r w:rsidRPr="009B4CAE">
        <w:rPr>
          <w:rFonts w:ascii="Arial" w:eastAsia="宋体" w:hAnsi="Calibri" w:cs="Arial" w:hint="eastAsia"/>
          <w:b/>
          <w:sz w:val="28"/>
          <w:szCs w:val="28"/>
        </w:rPr>
        <w:t>4</w:t>
      </w:r>
      <w:r w:rsidRPr="009B4CAE">
        <w:rPr>
          <w:rFonts w:ascii="Arial" w:eastAsia="宋体" w:hAnsi="Calibri" w:cs="Arial" w:hint="eastAsia"/>
          <w:b/>
          <w:sz w:val="28"/>
          <w:szCs w:val="28"/>
        </w:rPr>
        <w:t>学时）</w:t>
      </w:r>
    </w:p>
    <w:p w14:paraId="13951701" w14:textId="77777777" w:rsidR="009B4CAE" w:rsidRPr="009B4CAE" w:rsidRDefault="009B4CAE" w:rsidP="009B4CAE">
      <w:pPr>
        <w:spacing w:line="360" w:lineRule="auto"/>
        <w:ind w:firstLineChars="196" w:firstLine="472"/>
        <w:rPr>
          <w:rFonts w:ascii="Arial" w:eastAsia="宋体" w:hAnsi="Arial" w:cs="Arial"/>
          <w:b/>
          <w:sz w:val="24"/>
        </w:rPr>
      </w:pPr>
      <w:r w:rsidRPr="009B4CAE">
        <w:rPr>
          <w:rFonts w:ascii="Arial" w:eastAsia="宋体" w:hAnsi="Calibri" w:cs="Arial" w:hint="eastAsia"/>
          <w:b/>
          <w:sz w:val="24"/>
        </w:rPr>
        <w:t>本章主要教学内容：</w:t>
      </w:r>
    </w:p>
    <w:p w14:paraId="59A049E5"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7.1 《国家学生体质健康标准》实施说明</w:t>
      </w:r>
    </w:p>
    <w:p w14:paraId="753FA96F" w14:textId="77777777" w:rsidR="009B4CAE" w:rsidRPr="009B4CAE" w:rsidRDefault="009B4CAE" w:rsidP="009B4CAE">
      <w:pPr>
        <w:autoSpaceDE w:val="0"/>
        <w:autoSpaceDN w:val="0"/>
        <w:adjustRightInd w:val="0"/>
        <w:snapToGrid w:val="0"/>
        <w:spacing w:line="500" w:lineRule="exact"/>
        <w:ind w:firstLineChars="200" w:firstLine="500"/>
        <w:jc w:val="left"/>
        <w:rPr>
          <w:rFonts w:ascii="Arial" w:eastAsia="宋体" w:hAnsi="Calibri" w:cs="Arial"/>
          <w:sz w:val="24"/>
        </w:rPr>
      </w:pPr>
      <w:r w:rsidRPr="009B4CAE">
        <w:rPr>
          <w:rFonts w:ascii="宋体" w:eastAsia="宋体" w:hAnsi="Calibri" w:cs="宋体" w:hint="eastAsia"/>
          <w:spacing w:val="5"/>
          <w:kern w:val="0"/>
          <w:sz w:val="24"/>
        </w:rPr>
        <w:t>7.2 《国家学生体质健康标准》测试评分表</w:t>
      </w:r>
    </w:p>
    <w:p w14:paraId="2653FFF6" w14:textId="77777777" w:rsidR="009B4CAE" w:rsidRPr="009B4CAE" w:rsidRDefault="009B4CAE" w:rsidP="009B4CAE">
      <w:pPr>
        <w:spacing w:line="360" w:lineRule="auto"/>
        <w:ind w:firstLineChars="196" w:firstLine="472"/>
        <w:rPr>
          <w:rFonts w:ascii="Calibri" w:eastAsia="宋体" w:hAnsi="Calibri" w:cs="Times New Roman"/>
          <w:bCs/>
          <w:sz w:val="24"/>
        </w:rPr>
      </w:pPr>
      <w:r w:rsidRPr="009B4CAE">
        <w:rPr>
          <w:rFonts w:ascii="Arial" w:eastAsia="宋体" w:hAnsi="Calibri" w:cs="Arial" w:hint="eastAsia"/>
          <w:b/>
          <w:sz w:val="24"/>
        </w:rPr>
        <w:t>本章教学目的及要求：</w:t>
      </w:r>
      <w:r w:rsidRPr="009B4CAE">
        <w:rPr>
          <w:rFonts w:ascii="Calibri" w:eastAsia="宋体" w:hAnsi="Calibri" w:cs="Times New Roman" w:hint="eastAsia"/>
          <w:bCs/>
          <w:sz w:val="24"/>
        </w:rPr>
        <w:t>使学生了解体质健康的主要内容及要求。</w:t>
      </w:r>
    </w:p>
    <w:p w14:paraId="7F8F44EC" w14:textId="77777777" w:rsidR="009B4CAE" w:rsidRPr="009B4CAE" w:rsidRDefault="009B4CAE" w:rsidP="009B4CAE">
      <w:pPr>
        <w:spacing w:line="360" w:lineRule="auto"/>
        <w:ind w:firstLineChars="196" w:firstLine="472"/>
        <w:rPr>
          <w:rFonts w:ascii="Arial" w:eastAsia="宋体" w:hAnsi="Calibri" w:cs="Arial"/>
          <w:sz w:val="24"/>
        </w:rPr>
      </w:pPr>
      <w:r w:rsidRPr="009B4CAE">
        <w:rPr>
          <w:rFonts w:ascii="Arial" w:eastAsia="宋体" w:hAnsi="Calibri" w:cs="Arial" w:hint="eastAsia"/>
          <w:b/>
          <w:sz w:val="24"/>
        </w:rPr>
        <w:t>本章教学重点及难点：</w:t>
      </w:r>
      <w:r w:rsidRPr="009B4CAE">
        <w:rPr>
          <w:rFonts w:ascii="Arial" w:eastAsia="宋体" w:hAnsi="Calibri" w:cs="Arial" w:hint="eastAsia"/>
          <w:sz w:val="24"/>
        </w:rPr>
        <w:t>学生体质健康标准的重要性；如何激发学生锻炼身体的积极性和自觉性。</w:t>
      </w:r>
    </w:p>
    <w:p w14:paraId="365419A8" w14:textId="77777777" w:rsidR="009B4CAE" w:rsidRPr="009B4CAE" w:rsidRDefault="009B4CAE" w:rsidP="009B4CAE">
      <w:pPr>
        <w:spacing w:beforeLines="50" w:before="156" w:afterLines="50" w:after="156" w:line="360" w:lineRule="auto"/>
        <w:jc w:val="center"/>
        <w:rPr>
          <w:rFonts w:ascii="Arial" w:eastAsia="宋体" w:hAnsi="Calibri" w:cs="Arial"/>
          <w:b/>
          <w:sz w:val="28"/>
          <w:szCs w:val="28"/>
        </w:rPr>
      </w:pPr>
      <w:r w:rsidRPr="009B4CAE">
        <w:rPr>
          <w:rFonts w:ascii="Arial" w:eastAsia="宋体" w:hAnsi="Arial" w:cs="Arial" w:hint="eastAsia"/>
          <w:b/>
          <w:sz w:val="28"/>
          <w:szCs w:val="28"/>
        </w:rPr>
        <w:t>第八章</w:t>
      </w:r>
      <w:r w:rsidRPr="009B4CAE">
        <w:rPr>
          <w:rFonts w:ascii="Arial" w:eastAsia="宋体" w:hAnsi="Arial" w:cs="Arial"/>
          <w:b/>
          <w:sz w:val="28"/>
          <w:szCs w:val="28"/>
        </w:rPr>
        <w:t xml:space="preserve">  </w:t>
      </w:r>
      <w:r w:rsidRPr="009B4CAE">
        <w:rPr>
          <w:rFonts w:ascii="宋体" w:eastAsia="宋体" w:hAnsi="宋体" w:cs="Arial" w:hint="eastAsia"/>
          <w:b/>
          <w:bCs/>
          <w:sz w:val="28"/>
          <w:szCs w:val="28"/>
        </w:rPr>
        <w:t>体能训练</w:t>
      </w:r>
      <w:r w:rsidRPr="009B4CAE">
        <w:rPr>
          <w:rFonts w:ascii="Arial" w:eastAsia="宋体" w:hAnsi="Calibri" w:cs="Arial" w:hint="eastAsia"/>
          <w:b/>
          <w:sz w:val="28"/>
          <w:szCs w:val="28"/>
        </w:rPr>
        <w:t>（</w:t>
      </w:r>
      <w:r w:rsidRPr="009B4CAE">
        <w:rPr>
          <w:rFonts w:ascii="Arial" w:eastAsia="宋体" w:hAnsi="Calibri" w:cs="Arial" w:hint="eastAsia"/>
          <w:b/>
          <w:sz w:val="28"/>
          <w:szCs w:val="28"/>
        </w:rPr>
        <w:t>13</w:t>
      </w:r>
      <w:r w:rsidRPr="009B4CAE">
        <w:rPr>
          <w:rFonts w:ascii="Arial" w:eastAsia="宋体" w:hAnsi="Calibri" w:cs="Arial" w:hint="eastAsia"/>
          <w:b/>
          <w:sz w:val="28"/>
          <w:szCs w:val="28"/>
        </w:rPr>
        <w:t>学时）</w:t>
      </w:r>
    </w:p>
    <w:p w14:paraId="536908B0" w14:textId="77777777" w:rsidR="009B4CAE" w:rsidRPr="009B4CAE" w:rsidRDefault="009B4CAE" w:rsidP="009B4CAE">
      <w:pPr>
        <w:spacing w:line="360" w:lineRule="auto"/>
        <w:ind w:firstLineChars="196" w:firstLine="472"/>
        <w:rPr>
          <w:rFonts w:ascii="Arial" w:eastAsia="宋体" w:hAnsi="Arial" w:cs="Arial"/>
          <w:b/>
          <w:sz w:val="24"/>
        </w:rPr>
      </w:pPr>
      <w:r w:rsidRPr="009B4CAE">
        <w:rPr>
          <w:rFonts w:ascii="Arial" w:eastAsia="宋体" w:hAnsi="Calibri" w:cs="Arial" w:hint="eastAsia"/>
          <w:b/>
          <w:sz w:val="24"/>
        </w:rPr>
        <w:t>本章主要教学内容：</w:t>
      </w:r>
    </w:p>
    <w:p w14:paraId="7F7F2CCA"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8.1体能训练简介</w:t>
      </w:r>
    </w:p>
    <w:p w14:paraId="4CE62DF4"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8.2加速能力及力量训练2.柔韧能力训练</w:t>
      </w:r>
    </w:p>
    <w:p w14:paraId="357DCB20"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8.3弹跳能力及力量训练</w:t>
      </w:r>
    </w:p>
    <w:p w14:paraId="35E64A2A"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8.4灵敏能力及力量训练</w:t>
      </w:r>
    </w:p>
    <w:p w14:paraId="5EB8084B"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8.5耐力能力及无氧训练</w:t>
      </w:r>
    </w:p>
    <w:p w14:paraId="552319AF"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lastRenderedPageBreak/>
        <w:t>8.6弹跳能力及力量测试</w:t>
      </w:r>
    </w:p>
    <w:p w14:paraId="3E9D32C1"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8.7上肢（男）力量训练2.腹肌（女）力量训练</w:t>
      </w:r>
    </w:p>
    <w:p w14:paraId="2FB0EA56"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8.8耐力能力及无氧训练</w:t>
      </w:r>
    </w:p>
    <w:p w14:paraId="311A9F03"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8.9引体向上（男）；一分钟仰卧起坐（女）</w:t>
      </w:r>
    </w:p>
    <w:p w14:paraId="655311A6"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8.10立定跳远测试</w:t>
      </w:r>
    </w:p>
    <w:p w14:paraId="3ED90C29" w14:textId="77777777" w:rsidR="009B4CAE" w:rsidRPr="009B4CAE" w:rsidRDefault="009B4CAE" w:rsidP="009B4CAE">
      <w:pPr>
        <w:spacing w:beforeLines="50" w:before="156" w:afterLines="50" w:after="156" w:line="360" w:lineRule="auto"/>
        <w:jc w:val="center"/>
        <w:rPr>
          <w:rFonts w:ascii="Arial" w:eastAsia="宋体" w:hAnsi="Calibri" w:cs="Arial"/>
          <w:b/>
          <w:sz w:val="28"/>
          <w:szCs w:val="28"/>
        </w:rPr>
      </w:pPr>
      <w:r w:rsidRPr="009B4CAE">
        <w:rPr>
          <w:rFonts w:ascii="Arial" w:eastAsia="宋体" w:hAnsi="Arial" w:cs="Arial" w:hint="eastAsia"/>
          <w:b/>
          <w:sz w:val="28"/>
          <w:szCs w:val="28"/>
        </w:rPr>
        <w:t>第九章</w:t>
      </w:r>
      <w:r w:rsidRPr="009B4CAE">
        <w:rPr>
          <w:rFonts w:ascii="Arial" w:eastAsia="宋体" w:hAnsi="Arial" w:cs="Arial" w:hint="eastAsia"/>
          <w:b/>
          <w:sz w:val="28"/>
          <w:szCs w:val="28"/>
        </w:rPr>
        <w:t xml:space="preserve">   </w:t>
      </w:r>
      <w:r w:rsidRPr="009B4CAE">
        <w:rPr>
          <w:rFonts w:ascii="Arial" w:eastAsia="宋体" w:hAnsi="Arial" w:cs="Arial" w:hint="eastAsia"/>
          <w:b/>
          <w:sz w:val="28"/>
          <w:szCs w:val="28"/>
        </w:rPr>
        <w:t>选项</w:t>
      </w:r>
      <w:proofErr w:type="gramStart"/>
      <w:r w:rsidRPr="009B4CAE">
        <w:rPr>
          <w:rFonts w:ascii="Arial" w:eastAsia="宋体" w:hAnsi="Arial" w:cs="Arial" w:hint="eastAsia"/>
          <w:b/>
          <w:sz w:val="28"/>
          <w:szCs w:val="28"/>
        </w:rPr>
        <w:t>课各项</w:t>
      </w:r>
      <w:proofErr w:type="gramEnd"/>
      <w:r w:rsidRPr="009B4CAE">
        <w:rPr>
          <w:rFonts w:ascii="Arial" w:eastAsia="宋体" w:hAnsi="Arial" w:cs="Arial" w:hint="eastAsia"/>
          <w:b/>
          <w:sz w:val="28"/>
          <w:szCs w:val="28"/>
        </w:rPr>
        <w:t>目内容</w:t>
      </w:r>
      <w:r w:rsidRPr="009B4CAE">
        <w:rPr>
          <w:rFonts w:ascii="Arial" w:eastAsia="宋体" w:hAnsi="Calibri" w:cs="Arial" w:hint="eastAsia"/>
          <w:b/>
          <w:sz w:val="28"/>
          <w:szCs w:val="28"/>
        </w:rPr>
        <w:t>（</w:t>
      </w:r>
      <w:r w:rsidRPr="009B4CAE">
        <w:rPr>
          <w:rFonts w:ascii="Arial" w:eastAsia="宋体" w:hAnsi="Calibri" w:cs="Arial" w:hint="eastAsia"/>
          <w:b/>
          <w:sz w:val="28"/>
          <w:szCs w:val="28"/>
        </w:rPr>
        <w:t>12</w:t>
      </w:r>
      <w:r w:rsidRPr="009B4CAE">
        <w:rPr>
          <w:rFonts w:ascii="Arial" w:eastAsia="宋体" w:hAnsi="Calibri" w:cs="Arial" w:hint="eastAsia"/>
          <w:b/>
          <w:sz w:val="28"/>
          <w:szCs w:val="28"/>
        </w:rPr>
        <w:t>学时）</w:t>
      </w:r>
    </w:p>
    <w:p w14:paraId="27B4483A" w14:textId="77777777" w:rsidR="009B4CAE" w:rsidRPr="009B4CAE" w:rsidRDefault="009B4CAE" w:rsidP="009B4CA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9B4CAE">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9B4CAE" w:rsidRPr="009B4CAE" w14:paraId="48CF3E74" w14:textId="77777777" w:rsidTr="009B4CAE">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A43AFE9"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21C06B7E"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6DE87F30"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B643A0B"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F13772A"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备注 </w:t>
            </w:r>
          </w:p>
        </w:tc>
      </w:tr>
      <w:tr w:rsidR="009B4CAE" w:rsidRPr="009B4CAE" w14:paraId="3FBFB556" w14:textId="77777777" w:rsidTr="009B4CAE">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19BCAD2"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60C0BC98"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体育舞蹈概述 </w:t>
            </w:r>
          </w:p>
        </w:tc>
        <w:tc>
          <w:tcPr>
            <w:tcW w:w="1579" w:type="dxa"/>
            <w:tcBorders>
              <w:top w:val="outset" w:sz="6" w:space="0" w:color="auto"/>
              <w:left w:val="outset" w:sz="6" w:space="0" w:color="auto"/>
              <w:bottom w:val="outset" w:sz="6" w:space="0" w:color="auto"/>
              <w:right w:val="outset" w:sz="6" w:space="0" w:color="auto"/>
            </w:tcBorders>
            <w:vAlign w:val="center"/>
          </w:tcPr>
          <w:p w14:paraId="5D0FF90B"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8D2156E" w14:textId="77777777" w:rsidR="009B4CAE" w:rsidRPr="009B4CAE" w:rsidRDefault="009B4CAE" w:rsidP="009B4CAE">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E8CEF28" w14:textId="77777777" w:rsidR="009B4CAE" w:rsidRPr="009B4CAE" w:rsidRDefault="009B4CAE" w:rsidP="009B4CAE">
            <w:pPr>
              <w:widowControl/>
              <w:jc w:val="left"/>
              <w:rPr>
                <w:rFonts w:ascii="宋体" w:eastAsia="宋体" w:hAnsi="Calibri" w:cs="宋体"/>
                <w:spacing w:val="1"/>
                <w:kern w:val="0"/>
                <w:sz w:val="24"/>
              </w:rPr>
            </w:pPr>
          </w:p>
        </w:tc>
      </w:tr>
      <w:tr w:rsidR="009B4CAE" w:rsidRPr="009B4CAE" w14:paraId="4EEAC911" w14:textId="77777777" w:rsidTr="009B4CAE">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89C7BFC"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664D40EB"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体育舞蹈编排</w:t>
            </w:r>
          </w:p>
        </w:tc>
        <w:tc>
          <w:tcPr>
            <w:tcW w:w="1579" w:type="dxa"/>
            <w:tcBorders>
              <w:top w:val="outset" w:sz="6" w:space="0" w:color="auto"/>
              <w:left w:val="outset" w:sz="6" w:space="0" w:color="auto"/>
              <w:bottom w:val="outset" w:sz="6" w:space="0" w:color="auto"/>
              <w:right w:val="outset" w:sz="6" w:space="0" w:color="auto"/>
            </w:tcBorders>
            <w:vAlign w:val="center"/>
          </w:tcPr>
          <w:p w14:paraId="3CC0776D"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EB25455" w14:textId="77777777" w:rsidR="009B4CAE" w:rsidRPr="009B4CAE" w:rsidRDefault="009B4CAE" w:rsidP="009B4CAE">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A5A2282" w14:textId="77777777" w:rsidR="009B4CAE" w:rsidRPr="009B4CAE" w:rsidRDefault="009B4CAE" w:rsidP="009B4CAE">
            <w:pPr>
              <w:widowControl/>
              <w:jc w:val="left"/>
              <w:rPr>
                <w:rFonts w:ascii="宋体" w:eastAsia="宋体" w:hAnsi="Calibri" w:cs="宋体"/>
                <w:spacing w:val="1"/>
                <w:kern w:val="0"/>
                <w:sz w:val="24"/>
              </w:rPr>
            </w:pPr>
          </w:p>
        </w:tc>
      </w:tr>
      <w:tr w:rsidR="009B4CAE" w:rsidRPr="009B4CAE" w14:paraId="5237D08B" w14:textId="77777777" w:rsidTr="009B4CAE">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03063F9"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7B781647"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交谊舞专项身体素质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48FBA54B" w14:textId="77777777" w:rsidR="009B4CAE" w:rsidRPr="009B4CAE" w:rsidRDefault="009B4CAE" w:rsidP="009B4CAE">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900FFB1"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65E1426" w14:textId="77777777" w:rsidR="009B4CAE" w:rsidRPr="009B4CAE" w:rsidRDefault="009B4CAE" w:rsidP="009B4CAE">
            <w:pPr>
              <w:widowControl/>
              <w:jc w:val="left"/>
              <w:rPr>
                <w:rFonts w:ascii="宋体" w:eastAsia="宋体" w:hAnsi="Calibri" w:cs="宋体"/>
                <w:spacing w:val="1"/>
                <w:kern w:val="0"/>
                <w:sz w:val="24"/>
              </w:rPr>
            </w:pPr>
          </w:p>
        </w:tc>
      </w:tr>
      <w:tr w:rsidR="009B4CAE" w:rsidRPr="009B4CAE" w14:paraId="2DAE6137" w14:textId="77777777" w:rsidTr="009B4CAE">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2483D10"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685B5D1C"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140FF442" w14:textId="77777777" w:rsidR="009B4CAE" w:rsidRPr="009B4CAE" w:rsidRDefault="009B4CAE" w:rsidP="009B4CAE">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31A4FD5"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3757FA2" w14:textId="77777777" w:rsidR="009B4CAE" w:rsidRPr="009B4CAE" w:rsidRDefault="009B4CAE" w:rsidP="009B4CAE">
            <w:pPr>
              <w:widowControl/>
              <w:jc w:val="left"/>
              <w:rPr>
                <w:rFonts w:ascii="宋体" w:eastAsia="宋体" w:hAnsi="Calibri" w:cs="宋体"/>
                <w:spacing w:val="1"/>
                <w:kern w:val="0"/>
                <w:sz w:val="24"/>
              </w:rPr>
            </w:pPr>
          </w:p>
        </w:tc>
      </w:tr>
      <w:tr w:rsidR="009B4CAE" w:rsidRPr="009B4CAE" w14:paraId="5DBC3163" w14:textId="77777777" w:rsidTr="009B4CAE">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5D43C05"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0A0F58C5"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09CD45F3" w14:textId="77777777" w:rsidR="009B4CAE" w:rsidRPr="009B4CAE" w:rsidRDefault="009B4CAE" w:rsidP="009B4CAE">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3014097"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2179502" w14:textId="77777777" w:rsidR="009B4CAE" w:rsidRPr="009B4CAE" w:rsidRDefault="009B4CAE" w:rsidP="009B4CAE">
            <w:pPr>
              <w:widowControl/>
              <w:jc w:val="left"/>
              <w:rPr>
                <w:rFonts w:ascii="宋体" w:eastAsia="宋体" w:hAnsi="Calibri" w:cs="宋体"/>
                <w:spacing w:val="1"/>
                <w:kern w:val="0"/>
                <w:sz w:val="24"/>
              </w:rPr>
            </w:pPr>
          </w:p>
        </w:tc>
      </w:tr>
    </w:tbl>
    <w:p w14:paraId="17BF7DA2" w14:textId="77777777" w:rsidR="009B4CAE" w:rsidRPr="009B4CAE" w:rsidRDefault="009B4CAE" w:rsidP="009B4CA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p>
    <w:p w14:paraId="28437217" w14:textId="77777777" w:rsidR="009B4CAE" w:rsidRPr="009B4CAE" w:rsidRDefault="009B4CAE" w:rsidP="009B4CA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9B4CAE">
        <w:rPr>
          <w:rFonts w:ascii="宋体" w:eastAsia="宋体" w:hAnsi="Calibri" w:cs="宋体" w:hint="eastAsia"/>
          <w:spacing w:val="1"/>
          <w:kern w:val="0"/>
          <w:sz w:val="24"/>
        </w:rPr>
        <w:t xml:space="preserve"> 9.2理论课学时安排 </w:t>
      </w:r>
    </w:p>
    <w:tbl>
      <w:tblPr>
        <w:tblW w:w="9451"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11"/>
        <w:gridCol w:w="2399"/>
        <w:gridCol w:w="61"/>
        <w:gridCol w:w="1702"/>
      </w:tblGrid>
      <w:tr w:rsidR="009B4CAE" w:rsidRPr="009B4CAE" w14:paraId="2A94EDF8" w14:textId="77777777" w:rsidTr="009B4CAE">
        <w:trPr>
          <w:tblCellSpacing w:w="15" w:type="dxa"/>
          <w:jc w:val="center"/>
        </w:trPr>
        <w:tc>
          <w:tcPr>
            <w:tcW w:w="5244" w:type="dxa"/>
            <w:gridSpan w:val="2"/>
            <w:tcBorders>
              <w:top w:val="outset" w:sz="6" w:space="0" w:color="auto"/>
              <w:left w:val="outset" w:sz="6" w:space="0" w:color="auto"/>
              <w:bottom w:val="outset" w:sz="6" w:space="0" w:color="auto"/>
              <w:right w:val="outset" w:sz="6" w:space="0" w:color="auto"/>
            </w:tcBorders>
            <w:vAlign w:val="center"/>
          </w:tcPr>
          <w:p w14:paraId="3E7CA5B6"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内容安排</w:t>
            </w:r>
          </w:p>
        </w:tc>
        <w:tc>
          <w:tcPr>
            <w:tcW w:w="243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EEE0A49"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D0D8430"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备注</w:t>
            </w:r>
          </w:p>
        </w:tc>
      </w:tr>
      <w:tr w:rsidR="009B4CAE" w:rsidRPr="009B4CAE" w14:paraId="69C00E58" w14:textId="77777777" w:rsidTr="009B4CAE">
        <w:trPr>
          <w:trHeight w:val="485"/>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E7A1657" w14:textId="77777777" w:rsidR="009B4CAE" w:rsidRPr="009B4CAE" w:rsidRDefault="009B4CAE" w:rsidP="009B4CAE">
            <w:pPr>
              <w:widowControl/>
              <w:spacing w:before="100" w:beforeAutospacing="1" w:after="100" w:afterAutospacing="1"/>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交谊舞概述 </w:t>
            </w: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CB7D9E1" w14:textId="77777777" w:rsidR="009B4CAE" w:rsidRPr="009B4CAE" w:rsidRDefault="009B4CAE" w:rsidP="009B4CAE">
            <w:pPr>
              <w:adjustRightInd w:val="0"/>
              <w:snapToGrid w:val="0"/>
              <w:spacing w:line="500" w:lineRule="exact"/>
              <w:rPr>
                <w:rFonts w:ascii="宋体" w:eastAsia="宋体" w:hAnsi="Calibri" w:cs="宋体"/>
                <w:spacing w:val="1"/>
                <w:kern w:val="0"/>
                <w:sz w:val="24"/>
              </w:rPr>
            </w:pPr>
            <w:r w:rsidRPr="009B4CAE">
              <w:rPr>
                <w:rFonts w:ascii="宋体" w:eastAsia="宋体" w:hAnsi="宋体" w:cs="宋体" w:hint="eastAsia"/>
                <w:color w:val="000000"/>
                <w:sz w:val="24"/>
              </w:rPr>
              <w:t xml:space="preserve"> 体育舞蹈的发展概况</w:t>
            </w:r>
            <w:r w:rsidRPr="009B4CAE">
              <w:rPr>
                <w:rFonts w:ascii="宋体" w:eastAsia="宋体" w:hAnsi="宋体" w:cs="宋体" w:hint="eastAsia"/>
                <w:color w:val="000000"/>
                <w:spacing w:val="1"/>
                <w:kern w:val="0"/>
                <w:sz w:val="24"/>
              </w:rPr>
              <w:t xml:space="preserve"> </w:t>
            </w:r>
          </w:p>
        </w:tc>
        <w:tc>
          <w:tcPr>
            <w:tcW w:w="2369" w:type="dxa"/>
            <w:vMerge w:val="restart"/>
            <w:tcBorders>
              <w:top w:val="outset" w:sz="6" w:space="0" w:color="auto"/>
              <w:left w:val="outset" w:sz="6" w:space="0" w:color="auto"/>
              <w:right w:val="outset" w:sz="6" w:space="0" w:color="auto"/>
            </w:tcBorders>
            <w:tcMar>
              <w:top w:w="15" w:type="dxa"/>
              <w:left w:w="15" w:type="dxa"/>
              <w:bottom w:w="15" w:type="dxa"/>
              <w:right w:w="15" w:type="dxa"/>
            </w:tcMar>
            <w:vAlign w:val="center"/>
          </w:tcPr>
          <w:p w14:paraId="542E5126"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FEBF26E" w14:textId="77777777" w:rsidR="009B4CAE" w:rsidRPr="009B4CAE" w:rsidRDefault="009B4CAE" w:rsidP="009B4CAE">
            <w:pPr>
              <w:widowControl/>
              <w:jc w:val="left"/>
              <w:rPr>
                <w:rFonts w:ascii="宋体" w:eastAsia="宋体" w:hAnsi="Calibri" w:cs="宋体"/>
                <w:spacing w:val="1"/>
                <w:kern w:val="0"/>
                <w:sz w:val="24"/>
              </w:rPr>
            </w:pPr>
          </w:p>
        </w:tc>
      </w:tr>
      <w:tr w:rsidR="009B4CAE" w:rsidRPr="009B4CAE" w14:paraId="35E3138A" w14:textId="77777777" w:rsidTr="009B4CAE">
        <w:trPr>
          <w:trHeight w:val="287"/>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07F34281" w14:textId="77777777" w:rsidR="009B4CAE" w:rsidRPr="009B4CAE" w:rsidRDefault="009B4CAE" w:rsidP="009B4CAE">
            <w:pPr>
              <w:widowControl/>
              <w:jc w:val="left"/>
              <w:rPr>
                <w:rFonts w:ascii="宋体" w:eastAsia="宋体" w:hAnsi="Calibri" w:cs="宋体"/>
                <w:spacing w:val="1"/>
                <w:kern w:val="0"/>
                <w:sz w:val="24"/>
              </w:rPr>
            </w:pP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A4AFDFF" w14:textId="77777777" w:rsidR="009B4CAE" w:rsidRPr="009B4CAE" w:rsidRDefault="009B4CAE" w:rsidP="009B4CAE">
            <w:pPr>
              <w:adjustRightInd w:val="0"/>
              <w:snapToGrid w:val="0"/>
              <w:spacing w:line="500" w:lineRule="exact"/>
              <w:ind w:firstLineChars="100" w:firstLine="240"/>
              <w:rPr>
                <w:rFonts w:ascii="宋体" w:eastAsia="宋体" w:hAnsi="宋体" w:cs="宋体"/>
                <w:color w:val="000000"/>
                <w:sz w:val="24"/>
              </w:rPr>
            </w:pPr>
            <w:r w:rsidRPr="009B4CAE">
              <w:rPr>
                <w:rFonts w:ascii="宋体" w:eastAsia="宋体" w:hAnsi="宋体" w:cs="宋体" w:hint="eastAsia"/>
                <w:color w:val="000000"/>
                <w:sz w:val="24"/>
              </w:rPr>
              <w:t>体育舞蹈的特点和分类</w:t>
            </w:r>
            <w:r w:rsidRPr="009B4CAE">
              <w:rPr>
                <w:rFonts w:ascii="宋体" w:eastAsia="宋体" w:hAnsi="宋体" w:cs="宋体" w:hint="eastAsia"/>
                <w:color w:val="000000"/>
                <w:spacing w:val="1"/>
                <w:kern w:val="0"/>
                <w:sz w:val="24"/>
              </w:rPr>
              <w:t xml:space="preserve"> </w:t>
            </w:r>
          </w:p>
        </w:tc>
        <w:tc>
          <w:tcPr>
            <w:tcW w:w="2369" w:type="dxa"/>
            <w:vMerge/>
            <w:tcBorders>
              <w:left w:val="outset" w:sz="6" w:space="0" w:color="auto"/>
              <w:right w:val="outset" w:sz="6" w:space="0" w:color="auto"/>
            </w:tcBorders>
            <w:vAlign w:val="center"/>
          </w:tcPr>
          <w:p w14:paraId="49FEDCC7" w14:textId="77777777" w:rsidR="009B4CAE" w:rsidRPr="009B4CAE" w:rsidRDefault="009B4CAE" w:rsidP="009B4CAE">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5168A086" w14:textId="77777777" w:rsidR="009B4CAE" w:rsidRPr="009B4CAE" w:rsidRDefault="009B4CAE" w:rsidP="009B4CAE">
            <w:pPr>
              <w:widowControl/>
              <w:jc w:val="left"/>
              <w:rPr>
                <w:rFonts w:ascii="宋体" w:eastAsia="宋体" w:hAnsi="Calibri" w:cs="宋体"/>
                <w:spacing w:val="1"/>
                <w:kern w:val="0"/>
                <w:sz w:val="24"/>
              </w:rPr>
            </w:pPr>
          </w:p>
        </w:tc>
      </w:tr>
      <w:tr w:rsidR="009B4CAE" w:rsidRPr="009B4CAE" w14:paraId="156394DE" w14:textId="77777777" w:rsidTr="009B4CAE">
        <w:trPr>
          <w:trHeight w:val="287"/>
          <w:tblCellSpacing w:w="15" w:type="dxa"/>
          <w:jc w:val="center"/>
        </w:trPr>
        <w:tc>
          <w:tcPr>
            <w:tcW w:w="2033" w:type="dxa"/>
            <w:vMerge/>
            <w:tcBorders>
              <w:left w:val="outset" w:sz="6" w:space="0" w:color="auto"/>
              <w:bottom w:val="outset" w:sz="6" w:space="0" w:color="auto"/>
              <w:right w:val="outset" w:sz="6" w:space="0" w:color="auto"/>
            </w:tcBorders>
            <w:vAlign w:val="center"/>
          </w:tcPr>
          <w:p w14:paraId="63716D52" w14:textId="77777777" w:rsidR="009B4CAE" w:rsidRPr="009B4CAE" w:rsidRDefault="009B4CAE" w:rsidP="009B4CAE">
            <w:pPr>
              <w:adjustRightInd w:val="0"/>
              <w:snapToGrid w:val="0"/>
              <w:spacing w:line="500" w:lineRule="exact"/>
              <w:ind w:firstLineChars="100" w:firstLine="210"/>
              <w:rPr>
                <w:rFonts w:ascii="Calibri" w:eastAsia="宋体" w:hAnsi="Calibri" w:cs="Times New Roman"/>
              </w:rPr>
            </w:pP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17BDAFA" w14:textId="77777777" w:rsidR="009B4CAE" w:rsidRPr="009B4CAE" w:rsidRDefault="009B4CAE" w:rsidP="009B4CAE">
            <w:pPr>
              <w:adjustRightInd w:val="0"/>
              <w:snapToGrid w:val="0"/>
              <w:spacing w:line="500" w:lineRule="exact"/>
              <w:ind w:firstLineChars="100" w:firstLine="240"/>
              <w:rPr>
                <w:rFonts w:ascii="宋体" w:eastAsia="宋体" w:hAnsi="宋体" w:cs="宋体"/>
                <w:color w:val="000000"/>
                <w:sz w:val="24"/>
              </w:rPr>
            </w:pPr>
            <w:r w:rsidRPr="009B4CAE">
              <w:rPr>
                <w:rFonts w:ascii="宋体" w:eastAsia="宋体" w:hAnsi="宋体" w:cs="宋体" w:hint="eastAsia"/>
                <w:color w:val="000000"/>
                <w:sz w:val="24"/>
              </w:rPr>
              <w:t>社交中基本礼仪和常识</w:t>
            </w:r>
          </w:p>
        </w:tc>
        <w:tc>
          <w:tcPr>
            <w:tcW w:w="2369" w:type="dxa"/>
            <w:vMerge/>
            <w:tcBorders>
              <w:left w:val="outset" w:sz="6" w:space="0" w:color="auto"/>
              <w:right w:val="outset" w:sz="6" w:space="0" w:color="auto"/>
            </w:tcBorders>
            <w:vAlign w:val="center"/>
          </w:tcPr>
          <w:p w14:paraId="578C69C8" w14:textId="77777777" w:rsidR="009B4CAE" w:rsidRPr="009B4CAE" w:rsidRDefault="009B4CAE" w:rsidP="009B4CAE">
            <w:pPr>
              <w:adjustRightInd w:val="0"/>
              <w:snapToGrid w:val="0"/>
              <w:spacing w:line="500" w:lineRule="exact"/>
              <w:ind w:firstLineChars="100" w:firstLine="240"/>
              <w:rPr>
                <w:rFonts w:ascii="宋体" w:eastAsia="宋体" w:hAnsi="宋体" w:cs="宋体"/>
                <w:color w:val="000000"/>
                <w:sz w:val="24"/>
              </w:rPr>
            </w:pPr>
          </w:p>
        </w:tc>
        <w:tc>
          <w:tcPr>
            <w:tcW w:w="1718" w:type="dxa"/>
            <w:gridSpan w:val="2"/>
            <w:vMerge/>
            <w:tcBorders>
              <w:left w:val="outset" w:sz="6" w:space="0" w:color="auto"/>
              <w:bottom w:val="outset" w:sz="6" w:space="0" w:color="auto"/>
              <w:right w:val="outset" w:sz="6" w:space="0" w:color="auto"/>
            </w:tcBorders>
            <w:vAlign w:val="center"/>
          </w:tcPr>
          <w:p w14:paraId="40C30A01" w14:textId="77777777" w:rsidR="009B4CAE" w:rsidRPr="009B4CAE" w:rsidRDefault="009B4CAE" w:rsidP="009B4CAE">
            <w:pPr>
              <w:adjustRightInd w:val="0"/>
              <w:snapToGrid w:val="0"/>
              <w:spacing w:line="500" w:lineRule="exact"/>
              <w:ind w:firstLineChars="100" w:firstLine="240"/>
              <w:rPr>
                <w:rFonts w:ascii="宋体" w:eastAsia="宋体" w:hAnsi="宋体" w:cs="宋体"/>
                <w:color w:val="000000"/>
                <w:sz w:val="24"/>
              </w:rPr>
            </w:pPr>
          </w:p>
        </w:tc>
      </w:tr>
      <w:tr w:rsidR="009B4CAE" w:rsidRPr="009B4CAE" w14:paraId="5198E778" w14:textId="77777777" w:rsidTr="009B4CAE">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852CD96" w14:textId="77777777" w:rsidR="009B4CAE" w:rsidRPr="009B4CAE" w:rsidRDefault="009B4CAE" w:rsidP="009B4CAE">
            <w:pPr>
              <w:widowControl/>
              <w:spacing w:before="100" w:beforeAutospacing="1" w:after="100" w:afterAutospacing="1"/>
              <w:jc w:val="center"/>
              <w:rPr>
                <w:rFonts w:ascii="宋体" w:eastAsia="宋体" w:hAnsi="Calibri" w:cs="宋体"/>
                <w:spacing w:val="1"/>
                <w:kern w:val="0"/>
                <w:sz w:val="24"/>
              </w:rPr>
            </w:pPr>
            <w:r w:rsidRPr="009B4CAE">
              <w:rPr>
                <w:rFonts w:ascii="宋体" w:eastAsia="宋体" w:hAnsi="Calibri" w:cs="宋体" w:hint="eastAsia"/>
                <w:color w:val="000000"/>
                <w:spacing w:val="1"/>
                <w:kern w:val="0"/>
                <w:sz w:val="24"/>
              </w:rPr>
              <w:t xml:space="preserve">体育舞蹈编排 </w:t>
            </w: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BA5AB2B"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color w:val="000000"/>
                <w:spacing w:val="1"/>
                <w:kern w:val="0"/>
                <w:sz w:val="24"/>
              </w:rPr>
              <w:t>体育舞蹈的编排依据</w:t>
            </w:r>
          </w:p>
        </w:tc>
        <w:tc>
          <w:tcPr>
            <w:tcW w:w="4117" w:type="dxa"/>
            <w:gridSpan w:val="3"/>
            <w:vMerge w:val="restart"/>
            <w:tcBorders>
              <w:top w:val="outset" w:sz="6" w:space="0" w:color="auto"/>
              <w:left w:val="outset" w:sz="6" w:space="0" w:color="auto"/>
              <w:right w:val="outset" w:sz="6" w:space="0" w:color="auto"/>
            </w:tcBorders>
            <w:tcMar>
              <w:top w:w="15" w:type="dxa"/>
              <w:left w:w="15" w:type="dxa"/>
              <w:bottom w:w="15" w:type="dxa"/>
              <w:right w:w="15" w:type="dxa"/>
            </w:tcMar>
            <w:vAlign w:val="center"/>
          </w:tcPr>
          <w:p w14:paraId="6DA44285" w14:textId="77777777" w:rsidR="009B4CAE" w:rsidRPr="009B4CAE" w:rsidRDefault="009B4CAE" w:rsidP="009B4CAE">
            <w:pPr>
              <w:widowControl/>
              <w:ind w:firstLineChars="300" w:firstLine="726"/>
              <w:jc w:val="left"/>
              <w:rPr>
                <w:rFonts w:ascii="宋体" w:eastAsia="宋体" w:hAnsi="Calibri" w:cs="宋体"/>
                <w:spacing w:val="1"/>
                <w:kern w:val="0"/>
                <w:sz w:val="24"/>
              </w:rPr>
            </w:pPr>
            <w:r w:rsidRPr="009B4CAE">
              <w:rPr>
                <w:rFonts w:ascii="宋体" w:eastAsia="宋体" w:hAnsi="Calibri" w:cs="宋体" w:hint="eastAsia"/>
                <w:spacing w:val="1"/>
                <w:kern w:val="0"/>
                <w:sz w:val="24"/>
              </w:rPr>
              <w:t xml:space="preserve">1学时 </w:t>
            </w:r>
          </w:p>
        </w:tc>
      </w:tr>
      <w:tr w:rsidR="009B4CAE" w:rsidRPr="009B4CAE" w14:paraId="35582F51" w14:textId="77777777" w:rsidTr="009B4CAE">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71F4C9DF" w14:textId="77777777" w:rsidR="009B4CAE" w:rsidRPr="009B4CAE" w:rsidRDefault="009B4CAE" w:rsidP="009B4CAE">
            <w:pPr>
              <w:widowControl/>
              <w:jc w:val="left"/>
              <w:rPr>
                <w:rFonts w:ascii="宋体" w:eastAsia="宋体" w:hAnsi="Calibri" w:cs="宋体"/>
                <w:spacing w:val="1"/>
                <w:kern w:val="0"/>
                <w:sz w:val="24"/>
              </w:rPr>
            </w:pP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F163B3"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个人套路</w:t>
            </w:r>
          </w:p>
        </w:tc>
        <w:tc>
          <w:tcPr>
            <w:tcW w:w="4117" w:type="dxa"/>
            <w:gridSpan w:val="3"/>
            <w:vMerge/>
            <w:tcBorders>
              <w:left w:val="outset" w:sz="6" w:space="0" w:color="auto"/>
              <w:right w:val="outset" w:sz="6" w:space="0" w:color="auto"/>
            </w:tcBorders>
            <w:vAlign w:val="center"/>
          </w:tcPr>
          <w:p w14:paraId="058AB541" w14:textId="77777777" w:rsidR="009B4CAE" w:rsidRPr="009B4CAE" w:rsidRDefault="009B4CAE" w:rsidP="009B4CAE">
            <w:pPr>
              <w:widowControl/>
              <w:jc w:val="left"/>
              <w:rPr>
                <w:rFonts w:ascii="宋体" w:eastAsia="宋体" w:hAnsi="Calibri" w:cs="宋体"/>
                <w:spacing w:val="1"/>
                <w:kern w:val="0"/>
                <w:sz w:val="24"/>
              </w:rPr>
            </w:pPr>
          </w:p>
        </w:tc>
      </w:tr>
      <w:tr w:rsidR="009B4CAE" w:rsidRPr="009B4CAE" w14:paraId="2A9D53D3" w14:textId="77777777" w:rsidTr="009B4CAE">
        <w:trPr>
          <w:trHeight w:val="312"/>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131C12D1" w14:textId="77777777" w:rsidR="009B4CAE" w:rsidRPr="009B4CAE" w:rsidRDefault="009B4CAE" w:rsidP="009B4CAE">
            <w:pPr>
              <w:widowControl/>
              <w:jc w:val="left"/>
              <w:rPr>
                <w:rFonts w:ascii="宋体" w:eastAsia="宋体" w:hAnsi="Calibri" w:cs="宋体"/>
                <w:spacing w:val="1"/>
                <w:kern w:val="0"/>
                <w:sz w:val="24"/>
              </w:rPr>
            </w:pPr>
          </w:p>
        </w:tc>
        <w:tc>
          <w:tcPr>
            <w:tcW w:w="3181" w:type="dxa"/>
            <w:tcBorders>
              <w:top w:val="outset" w:sz="6" w:space="0" w:color="auto"/>
              <w:left w:val="outset" w:sz="6" w:space="0" w:color="auto"/>
              <w:right w:val="outset" w:sz="6" w:space="0" w:color="auto"/>
            </w:tcBorders>
            <w:tcMar>
              <w:top w:w="15" w:type="dxa"/>
              <w:left w:w="15" w:type="dxa"/>
              <w:bottom w:w="15" w:type="dxa"/>
              <w:right w:w="15" w:type="dxa"/>
            </w:tcMar>
            <w:vAlign w:val="center"/>
          </w:tcPr>
          <w:p w14:paraId="370A8DFB"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团体套路 </w:t>
            </w:r>
          </w:p>
        </w:tc>
        <w:tc>
          <w:tcPr>
            <w:tcW w:w="4117" w:type="dxa"/>
            <w:gridSpan w:val="3"/>
            <w:vMerge/>
            <w:tcBorders>
              <w:left w:val="outset" w:sz="6" w:space="0" w:color="auto"/>
              <w:right w:val="outset" w:sz="6" w:space="0" w:color="auto"/>
            </w:tcBorders>
            <w:vAlign w:val="center"/>
          </w:tcPr>
          <w:p w14:paraId="2AF5968C" w14:textId="77777777" w:rsidR="009B4CAE" w:rsidRPr="009B4CAE" w:rsidRDefault="009B4CAE" w:rsidP="009B4CAE">
            <w:pPr>
              <w:widowControl/>
              <w:jc w:val="left"/>
              <w:rPr>
                <w:rFonts w:ascii="宋体" w:eastAsia="宋体" w:hAnsi="Calibri" w:cs="宋体"/>
                <w:spacing w:val="1"/>
                <w:kern w:val="0"/>
                <w:sz w:val="24"/>
              </w:rPr>
            </w:pPr>
          </w:p>
        </w:tc>
      </w:tr>
    </w:tbl>
    <w:p w14:paraId="70A58CC2" w14:textId="77777777" w:rsidR="009B4CAE" w:rsidRPr="009B4CAE" w:rsidRDefault="009B4CAE" w:rsidP="009B4CA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9B4CAE">
        <w:rPr>
          <w:rFonts w:ascii="宋体" w:eastAsia="宋体" w:hAnsi="Calibri" w:cs="宋体" w:hint="eastAsia"/>
          <w:spacing w:val="1"/>
          <w:kern w:val="0"/>
          <w:sz w:val="24"/>
        </w:rPr>
        <w:t xml:space="preserve">  9.3技术课学时分配 </w:t>
      </w:r>
    </w:p>
    <w:tbl>
      <w:tblPr>
        <w:tblW w:w="9652"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9B4CAE" w:rsidRPr="009B4CAE" w14:paraId="4064E451" w14:textId="77777777" w:rsidTr="009B4CAE">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1A15D6C8"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2DD6423"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257765F"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备注</w:t>
            </w:r>
          </w:p>
        </w:tc>
      </w:tr>
      <w:tr w:rsidR="009B4CAE" w:rsidRPr="009B4CAE" w14:paraId="28292890" w14:textId="77777777" w:rsidTr="009B4CAE">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997CE0A"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技术</w:t>
            </w:r>
          </w:p>
          <w:p w14:paraId="4FC854EF"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36F460A"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专项形体训练</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EDED914"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color w:val="000000"/>
                <w:spacing w:val="1"/>
                <w:kern w:val="0"/>
                <w:sz w:val="24"/>
              </w:rPr>
              <w:t>形体专项组合练习</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63AC03C"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6EDB442" w14:textId="77777777" w:rsidR="009B4CAE" w:rsidRPr="009B4CAE" w:rsidRDefault="009B4CAE" w:rsidP="009B4CAE">
            <w:pPr>
              <w:widowControl/>
              <w:jc w:val="left"/>
              <w:rPr>
                <w:rFonts w:ascii="宋体" w:eastAsia="宋体" w:hAnsi="Calibri" w:cs="宋体"/>
                <w:spacing w:val="1"/>
                <w:kern w:val="0"/>
                <w:sz w:val="24"/>
              </w:rPr>
            </w:pPr>
          </w:p>
        </w:tc>
      </w:tr>
      <w:tr w:rsidR="009B4CAE" w:rsidRPr="009B4CAE" w14:paraId="6631B38E" w14:textId="77777777" w:rsidTr="009B4CAE">
        <w:trPr>
          <w:tblCellSpacing w:w="15" w:type="dxa"/>
          <w:jc w:val="center"/>
        </w:trPr>
        <w:tc>
          <w:tcPr>
            <w:tcW w:w="959" w:type="dxa"/>
            <w:vMerge/>
            <w:tcBorders>
              <w:top w:val="outset" w:sz="6" w:space="0" w:color="auto"/>
              <w:left w:val="outset" w:sz="6" w:space="0" w:color="auto"/>
              <w:bottom w:val="outset" w:sz="6" w:space="0" w:color="auto"/>
              <w:right w:val="outset" w:sz="6" w:space="0" w:color="auto"/>
            </w:tcBorders>
            <w:vAlign w:val="center"/>
          </w:tcPr>
          <w:p w14:paraId="4E05D4F5" w14:textId="77777777" w:rsidR="009B4CAE" w:rsidRPr="009B4CAE" w:rsidRDefault="009B4CAE" w:rsidP="009B4CAE">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50C7A121"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交谊舞技术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57D5EEF"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宋体" w:cs="Arial" w:hint="eastAsia"/>
                <w:sz w:val="24"/>
              </w:rPr>
              <w:t>平</w:t>
            </w:r>
            <w:proofErr w:type="gramStart"/>
            <w:r w:rsidRPr="009B4CAE">
              <w:rPr>
                <w:rFonts w:ascii="宋体" w:eastAsia="宋体" w:hAnsi="宋体" w:cs="Arial" w:hint="eastAsia"/>
                <w:sz w:val="24"/>
              </w:rPr>
              <w:t>四基本步</w:t>
            </w:r>
            <w:proofErr w:type="gramEnd"/>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05AFB88A"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41474513" w14:textId="77777777" w:rsidR="009B4CAE" w:rsidRPr="009B4CAE" w:rsidRDefault="009B4CAE" w:rsidP="009B4CAE">
            <w:pPr>
              <w:widowControl/>
              <w:jc w:val="left"/>
              <w:rPr>
                <w:rFonts w:ascii="宋体" w:eastAsia="宋体" w:hAnsi="Calibri" w:cs="宋体"/>
                <w:spacing w:val="1"/>
                <w:kern w:val="0"/>
                <w:sz w:val="24"/>
              </w:rPr>
            </w:pPr>
          </w:p>
        </w:tc>
      </w:tr>
      <w:tr w:rsidR="009B4CAE" w:rsidRPr="009B4CAE" w14:paraId="55ED6470" w14:textId="77777777" w:rsidTr="009B4CAE">
        <w:trPr>
          <w:trHeight w:val="549"/>
          <w:tblCellSpacing w:w="15" w:type="dxa"/>
          <w:jc w:val="center"/>
        </w:trPr>
        <w:tc>
          <w:tcPr>
            <w:tcW w:w="959" w:type="dxa"/>
            <w:vMerge/>
            <w:tcBorders>
              <w:top w:val="outset" w:sz="6" w:space="0" w:color="auto"/>
              <w:left w:val="outset" w:sz="6" w:space="0" w:color="auto"/>
              <w:bottom w:val="outset" w:sz="6" w:space="0" w:color="auto"/>
              <w:right w:val="outset" w:sz="6" w:space="0" w:color="auto"/>
            </w:tcBorders>
            <w:vAlign w:val="center"/>
          </w:tcPr>
          <w:p w14:paraId="1BC23DA2" w14:textId="77777777" w:rsidR="009B4CAE" w:rsidRPr="009B4CAE" w:rsidRDefault="009B4CAE" w:rsidP="009B4CAE">
            <w:pPr>
              <w:widowControl/>
              <w:jc w:val="left"/>
              <w:rPr>
                <w:rFonts w:ascii="宋体" w:eastAsia="宋体" w:hAnsi="Calibri" w:cs="宋体"/>
                <w:spacing w:val="1"/>
                <w:kern w:val="0"/>
                <w:sz w:val="24"/>
              </w:rPr>
            </w:pPr>
          </w:p>
        </w:tc>
        <w:tc>
          <w:tcPr>
            <w:tcW w:w="2317" w:type="dxa"/>
            <w:vMerge/>
            <w:tcBorders>
              <w:top w:val="outset" w:sz="6" w:space="0" w:color="auto"/>
              <w:left w:val="outset" w:sz="6" w:space="0" w:color="auto"/>
              <w:bottom w:val="outset" w:sz="6" w:space="0" w:color="auto"/>
              <w:right w:val="outset" w:sz="6" w:space="0" w:color="auto"/>
            </w:tcBorders>
            <w:vAlign w:val="center"/>
          </w:tcPr>
          <w:p w14:paraId="05C32AAD" w14:textId="77777777" w:rsidR="009B4CAE" w:rsidRPr="009B4CAE" w:rsidRDefault="009B4CAE" w:rsidP="009B4CAE">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B48D284" w14:textId="77777777" w:rsidR="009B4CAE" w:rsidRPr="009B4CAE" w:rsidRDefault="009B4CAE" w:rsidP="009B4CAE">
            <w:pPr>
              <w:widowControl/>
              <w:jc w:val="center"/>
              <w:rPr>
                <w:rFonts w:ascii="宋体" w:eastAsia="宋体" w:hAnsi="Calibri" w:cs="宋体"/>
                <w:spacing w:val="1"/>
                <w:kern w:val="0"/>
                <w:sz w:val="24"/>
              </w:rPr>
            </w:pPr>
            <w:r w:rsidRPr="009B4CAE">
              <w:rPr>
                <w:rFonts w:ascii="宋体" w:eastAsia="宋体" w:hAnsi="宋体" w:cs="Arial" w:hint="eastAsia"/>
                <w:sz w:val="24"/>
              </w:rPr>
              <w:t>单手花样</w:t>
            </w:r>
          </w:p>
        </w:tc>
        <w:tc>
          <w:tcPr>
            <w:tcW w:w="2295" w:type="dxa"/>
            <w:gridSpan w:val="2"/>
            <w:vMerge/>
            <w:tcBorders>
              <w:top w:val="outset" w:sz="6" w:space="0" w:color="auto"/>
              <w:left w:val="outset" w:sz="6" w:space="0" w:color="auto"/>
              <w:bottom w:val="outset" w:sz="6" w:space="0" w:color="auto"/>
              <w:right w:val="outset" w:sz="6" w:space="0" w:color="auto"/>
            </w:tcBorders>
            <w:vAlign w:val="center"/>
          </w:tcPr>
          <w:p w14:paraId="23C0D71D" w14:textId="77777777" w:rsidR="009B4CAE" w:rsidRPr="009B4CAE" w:rsidRDefault="009B4CAE" w:rsidP="009B4CAE">
            <w:pPr>
              <w:widowControl/>
              <w:jc w:val="left"/>
              <w:rPr>
                <w:rFonts w:ascii="宋体" w:eastAsia="宋体" w:hAnsi="Calibri" w:cs="宋体"/>
                <w:spacing w:val="1"/>
                <w:kern w:val="0"/>
                <w:sz w:val="24"/>
              </w:rPr>
            </w:pPr>
          </w:p>
        </w:tc>
        <w:tc>
          <w:tcPr>
            <w:tcW w:w="1651" w:type="dxa"/>
            <w:vMerge/>
            <w:tcBorders>
              <w:top w:val="outset" w:sz="6" w:space="0" w:color="auto"/>
              <w:left w:val="outset" w:sz="6" w:space="0" w:color="auto"/>
              <w:bottom w:val="outset" w:sz="6" w:space="0" w:color="auto"/>
              <w:right w:val="outset" w:sz="6" w:space="0" w:color="auto"/>
            </w:tcBorders>
            <w:vAlign w:val="center"/>
          </w:tcPr>
          <w:p w14:paraId="3809401D" w14:textId="77777777" w:rsidR="009B4CAE" w:rsidRPr="009B4CAE" w:rsidRDefault="009B4CAE" w:rsidP="009B4CAE">
            <w:pPr>
              <w:widowControl/>
              <w:jc w:val="left"/>
              <w:rPr>
                <w:rFonts w:ascii="宋体" w:eastAsia="宋体" w:hAnsi="Calibri" w:cs="宋体"/>
                <w:spacing w:val="1"/>
                <w:kern w:val="0"/>
                <w:sz w:val="24"/>
              </w:rPr>
            </w:pPr>
          </w:p>
        </w:tc>
      </w:tr>
    </w:tbl>
    <w:p w14:paraId="0F32F69B" w14:textId="77777777" w:rsidR="009B4CAE" w:rsidRPr="009B4CAE" w:rsidRDefault="009B4CAE" w:rsidP="009B4CAE">
      <w:pPr>
        <w:spacing w:beforeLines="50" w:before="156" w:afterLines="50" w:after="156" w:line="440" w:lineRule="exact"/>
        <w:ind w:firstLineChars="200" w:firstLine="560"/>
        <w:jc w:val="center"/>
        <w:rPr>
          <w:rFonts w:ascii="黑体" w:eastAsia="黑体" w:hAnsi="黑体" w:cs="Times New Roman"/>
          <w:sz w:val="28"/>
          <w:szCs w:val="28"/>
        </w:rPr>
      </w:pPr>
      <w:r w:rsidRPr="009B4CAE">
        <w:rPr>
          <w:rFonts w:ascii="黑体" w:eastAsia="黑体" w:hAnsi="黑体" w:cs="Times New Roman" w:hint="eastAsia"/>
          <w:sz w:val="28"/>
          <w:szCs w:val="28"/>
        </w:rPr>
        <w:t>学习内容二 交谊舞 1</w:t>
      </w:r>
    </w:p>
    <w:p w14:paraId="312B4A96" w14:textId="77777777" w:rsidR="009B4CAE" w:rsidRPr="009B4CAE" w:rsidRDefault="009B4CAE" w:rsidP="009B4CAE">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9B4CAE">
        <w:rPr>
          <w:rFonts w:ascii="宋体" w:eastAsia="宋体" w:hAnsi="宋体" w:cs="Times New Roman" w:hint="eastAsia"/>
          <w:b/>
          <w:sz w:val="24"/>
        </w:rPr>
        <w:lastRenderedPageBreak/>
        <w:t>【学习目标】</w:t>
      </w:r>
    </w:p>
    <w:p w14:paraId="64D931C2" w14:textId="77777777" w:rsidR="009B4CAE" w:rsidRPr="009B4CAE" w:rsidRDefault="009B4CAE" w:rsidP="009B4CAE">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9B4CAE">
        <w:rPr>
          <w:rFonts w:ascii="宋体" w:eastAsia="宋体" w:hAnsi="Calibri" w:cs="宋体" w:hint="eastAsia"/>
          <w:spacing w:val="5"/>
          <w:kern w:val="0"/>
          <w:sz w:val="24"/>
        </w:rPr>
        <w:t>1.</w:t>
      </w:r>
      <w:r w:rsidRPr="009B4CAE">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9B4CAE">
        <w:rPr>
          <w:rFonts w:ascii="宋体" w:eastAsia="宋体" w:hAnsi="Calibri" w:cs="宋体" w:hint="eastAsia"/>
          <w:spacing w:val="5"/>
          <w:kern w:val="0"/>
          <w:sz w:val="24"/>
        </w:rPr>
        <w:t>通过体能教学活动，</w:t>
      </w:r>
      <w:r w:rsidRPr="009B4CAE">
        <w:rPr>
          <w:rFonts w:ascii="宋体" w:eastAsia="宋体" w:hAnsi="宋体" w:cs="仿宋_GB2312" w:hint="eastAsia"/>
          <w:sz w:val="24"/>
        </w:rPr>
        <w:t>了解《大学生体质健康标准测验》项目内容、考核方式、评价标准，掌握考核内容锻炼的方式方法。</w:t>
      </w:r>
      <w:r w:rsidRPr="009B4CAE">
        <w:rPr>
          <w:rFonts w:ascii="宋体" w:eastAsia="宋体" w:hAnsi="Calibri" w:cs="宋体" w:hint="eastAsia"/>
          <w:spacing w:val="5"/>
          <w:kern w:val="0"/>
          <w:sz w:val="24"/>
        </w:rPr>
        <w:t>培养学生努力学习、不断进取、修身立业、顽强奋进的精神与品质。</w:t>
      </w:r>
    </w:p>
    <w:p w14:paraId="7B56D470" w14:textId="77777777" w:rsidR="009B4CAE" w:rsidRPr="009B4CAE" w:rsidRDefault="009B4CAE" w:rsidP="009B4CAE">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9B4CAE">
        <w:rPr>
          <w:rFonts w:ascii="宋体" w:eastAsia="宋体" w:hAnsi="Calibri" w:cs="宋体" w:hint="eastAsia"/>
          <w:spacing w:val="5"/>
          <w:kern w:val="0"/>
          <w:sz w:val="24"/>
        </w:rPr>
        <w:t>2.</w:t>
      </w:r>
      <w:r w:rsidRPr="009B4CAE">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9B4CAE">
        <w:rPr>
          <w:rFonts w:ascii="宋体" w:eastAsia="宋体" w:hAnsi="Calibri" w:cs="宋体" w:hint="eastAsia"/>
          <w:spacing w:val="5"/>
          <w:kern w:val="0"/>
          <w:sz w:val="24"/>
        </w:rPr>
        <w:t>。</w:t>
      </w:r>
    </w:p>
    <w:p w14:paraId="4D20BB48" w14:textId="77777777" w:rsidR="009B4CAE" w:rsidRPr="009B4CAE" w:rsidRDefault="009B4CAE" w:rsidP="009B4CAE">
      <w:pPr>
        <w:spacing w:line="440" w:lineRule="exact"/>
        <w:ind w:firstLineChars="200" w:firstLine="500"/>
        <w:rPr>
          <w:rFonts w:ascii="宋体" w:eastAsia="宋体" w:hAnsi="宋体" w:cs="宋体"/>
          <w:spacing w:val="5"/>
          <w:kern w:val="0"/>
          <w:sz w:val="24"/>
        </w:rPr>
      </w:pPr>
      <w:r w:rsidRPr="009B4CAE">
        <w:rPr>
          <w:rFonts w:ascii="宋体" w:eastAsia="宋体" w:hAnsi="Calibri" w:cs="宋体" w:hint="eastAsia"/>
          <w:spacing w:val="5"/>
          <w:kern w:val="0"/>
          <w:sz w:val="24"/>
        </w:rPr>
        <w:t>3.</w:t>
      </w:r>
      <w:r w:rsidRPr="009B4CAE">
        <w:rPr>
          <w:rFonts w:ascii="宋体" w:eastAsia="宋体" w:hAnsi="宋体" w:cs="宋体" w:hint="eastAsia"/>
          <w:spacing w:val="5"/>
          <w:kern w:val="0"/>
          <w:sz w:val="24"/>
        </w:rPr>
        <w:t>通过体育舞蹈的学习和实践，掌握体育舞蹈的基本知识、基本技术、基本技法和方法。掌握基本的练习方法，进一步培养音乐感，进行自我的审美教育；培养学生具有一定表演比赛能力和欣赏比赛能力。以运动和身体练习为基本手段，对大学生机体进行科学的培育，在提高人的生物潜能、心理潜能的过程中促进德、智、体、美全面发展，达到身心健康、全面发展的教育总目的。</w:t>
      </w:r>
    </w:p>
    <w:p w14:paraId="7BBD96E3" w14:textId="77777777" w:rsidR="009B4CAE" w:rsidRPr="009B4CAE" w:rsidRDefault="009B4CAE" w:rsidP="009B4CAE">
      <w:pPr>
        <w:spacing w:line="440" w:lineRule="exact"/>
        <w:ind w:firstLineChars="200" w:firstLine="500"/>
        <w:rPr>
          <w:rFonts w:ascii="宋体" w:eastAsia="宋体" w:hAnsi="宋体" w:cs="宋体"/>
          <w:sz w:val="24"/>
        </w:rPr>
      </w:pPr>
      <w:r w:rsidRPr="009B4CAE">
        <w:rPr>
          <w:rFonts w:ascii="微软雅黑" w:eastAsia="微软雅黑" w:hAnsi="微软雅黑" w:cs="微软雅黑" w:hint="eastAsia"/>
          <w:spacing w:val="5"/>
          <w:kern w:val="0"/>
          <w:sz w:val="24"/>
        </w:rPr>
        <w:t>4.</w:t>
      </w:r>
      <w:r w:rsidRPr="009B4CAE">
        <w:rPr>
          <w:rFonts w:ascii="宋体" w:eastAsia="宋体" w:hAnsi="宋体" w:cs="宋体"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9B4CAE">
        <w:rPr>
          <w:rFonts w:ascii="宋体" w:eastAsia="宋体" w:hAnsi="宋体" w:cs="宋体" w:hint="eastAsia"/>
          <w:spacing w:val="5"/>
          <w:kern w:val="0"/>
          <w:sz w:val="24"/>
        </w:rPr>
        <w:t>。</w:t>
      </w:r>
    </w:p>
    <w:p w14:paraId="33528B96" w14:textId="77777777" w:rsidR="009B4CAE" w:rsidRPr="009B4CAE" w:rsidRDefault="009B4CAE" w:rsidP="009B4CAE">
      <w:pPr>
        <w:spacing w:line="440" w:lineRule="exact"/>
        <w:ind w:firstLineChars="200" w:firstLine="482"/>
        <w:rPr>
          <w:rFonts w:ascii="宋体" w:eastAsia="宋体" w:hAnsi="宋体" w:cs="楷体_GB2312"/>
          <w:kern w:val="0"/>
        </w:rPr>
      </w:pPr>
      <w:r w:rsidRPr="009B4CAE">
        <w:rPr>
          <w:rFonts w:ascii="宋体" w:eastAsia="宋体" w:hAnsi="宋体" w:cs="Times New Roman" w:hint="eastAsia"/>
          <w:b/>
          <w:sz w:val="24"/>
        </w:rPr>
        <w:t>【学习内容】</w:t>
      </w:r>
    </w:p>
    <w:p w14:paraId="00C1BC8F" w14:textId="77777777" w:rsidR="009B4CAE" w:rsidRPr="009B4CAE" w:rsidRDefault="009B4CAE" w:rsidP="009B4CAE">
      <w:pPr>
        <w:adjustRightInd w:val="0"/>
        <w:snapToGrid w:val="0"/>
        <w:spacing w:beforeLines="50" w:before="156" w:afterLines="50" w:after="156" w:line="500" w:lineRule="exact"/>
        <w:jc w:val="center"/>
        <w:rPr>
          <w:rFonts w:ascii="宋体" w:eastAsia="宋体" w:hAnsi="宋体" w:cs="Times New Roman"/>
          <w:b/>
          <w:sz w:val="28"/>
          <w:szCs w:val="28"/>
        </w:rPr>
      </w:pPr>
      <w:r w:rsidRPr="009B4CAE">
        <w:rPr>
          <w:rFonts w:ascii="宋体" w:eastAsia="宋体" w:hAnsi="宋体" w:cs="Times New Roman" w:hint="eastAsia"/>
          <w:b/>
          <w:sz w:val="28"/>
          <w:szCs w:val="28"/>
        </w:rPr>
        <w:t>第一章  理论部分(2学时)</w:t>
      </w:r>
    </w:p>
    <w:p w14:paraId="236B5CDE" w14:textId="77777777" w:rsidR="009B4CAE" w:rsidRPr="009B4CAE" w:rsidRDefault="009B4CAE" w:rsidP="009B4CAE">
      <w:pPr>
        <w:adjustRightInd w:val="0"/>
        <w:snapToGrid w:val="0"/>
        <w:spacing w:beforeLines="50" w:before="156" w:afterLines="50" w:after="156" w:line="500" w:lineRule="exact"/>
        <w:ind w:firstLineChars="200" w:firstLine="482"/>
        <w:rPr>
          <w:rFonts w:ascii="Calibri" w:eastAsia="宋体" w:hAnsi="Calibri" w:cs="Times New Roman"/>
          <w:b/>
          <w:sz w:val="24"/>
        </w:rPr>
      </w:pPr>
      <w:r w:rsidRPr="009B4CAE">
        <w:rPr>
          <w:rFonts w:ascii="Calibri" w:eastAsia="宋体" w:hAnsi="Calibri" w:cs="Times New Roman"/>
          <w:b/>
          <w:sz w:val="24"/>
        </w:rPr>
        <w:t>本章主要教学内容：</w:t>
      </w:r>
    </w:p>
    <w:p w14:paraId="68D67CD9" w14:textId="77777777" w:rsidR="009B4CAE" w:rsidRPr="009B4CAE" w:rsidRDefault="009B4CAE" w:rsidP="009B4CAE">
      <w:pPr>
        <w:adjustRightInd w:val="0"/>
        <w:snapToGrid w:val="0"/>
        <w:spacing w:line="500" w:lineRule="exact"/>
        <w:ind w:firstLineChars="200" w:firstLine="480"/>
        <w:rPr>
          <w:rFonts w:ascii="宋体" w:eastAsia="宋体" w:hAnsi="宋体" w:cs="宋体"/>
          <w:sz w:val="24"/>
        </w:rPr>
      </w:pPr>
      <w:r w:rsidRPr="009B4CAE">
        <w:rPr>
          <w:rFonts w:ascii="宋体" w:eastAsia="宋体" w:hAnsi="宋体" w:cs="宋体" w:hint="eastAsia"/>
          <w:sz w:val="24"/>
        </w:rPr>
        <w:t>1.1体育舞蹈的发展概况</w:t>
      </w:r>
    </w:p>
    <w:p w14:paraId="07809220" w14:textId="77777777" w:rsidR="009B4CAE" w:rsidRPr="009B4CAE" w:rsidRDefault="009B4CAE" w:rsidP="009B4CAE">
      <w:pPr>
        <w:adjustRightInd w:val="0"/>
        <w:snapToGrid w:val="0"/>
        <w:spacing w:line="500" w:lineRule="exact"/>
        <w:ind w:firstLineChars="200" w:firstLine="480"/>
        <w:rPr>
          <w:rFonts w:ascii="宋体" w:eastAsia="宋体" w:hAnsi="宋体" w:cs="宋体"/>
          <w:sz w:val="24"/>
        </w:rPr>
      </w:pPr>
      <w:r w:rsidRPr="009B4CAE">
        <w:rPr>
          <w:rFonts w:ascii="宋体" w:eastAsia="宋体" w:hAnsi="宋体" w:cs="宋体" w:hint="eastAsia"/>
          <w:sz w:val="24"/>
        </w:rPr>
        <w:t>1.2 体育舞蹈的特点和分类</w:t>
      </w:r>
    </w:p>
    <w:p w14:paraId="6A728607" w14:textId="77777777" w:rsidR="009B4CAE" w:rsidRPr="009B4CAE" w:rsidRDefault="009B4CAE" w:rsidP="009B4CAE">
      <w:pPr>
        <w:adjustRightInd w:val="0"/>
        <w:snapToGrid w:val="0"/>
        <w:spacing w:line="500" w:lineRule="exact"/>
        <w:ind w:firstLineChars="200" w:firstLine="480"/>
        <w:rPr>
          <w:rFonts w:ascii="宋体" w:eastAsia="宋体" w:hAnsi="宋体" w:cs="宋体"/>
          <w:sz w:val="24"/>
        </w:rPr>
      </w:pPr>
      <w:r w:rsidRPr="009B4CAE">
        <w:rPr>
          <w:rFonts w:ascii="宋体" w:eastAsia="宋体" w:hAnsi="宋体" w:cs="宋体" w:hint="eastAsia"/>
          <w:sz w:val="24"/>
        </w:rPr>
        <w:t>1.3社交中基本礼仪和常识</w:t>
      </w:r>
    </w:p>
    <w:p w14:paraId="468CA16B" w14:textId="77777777" w:rsidR="009B4CAE" w:rsidRPr="009B4CAE" w:rsidRDefault="009B4CAE" w:rsidP="009B4CAE">
      <w:pPr>
        <w:adjustRightInd w:val="0"/>
        <w:snapToGrid w:val="0"/>
        <w:spacing w:beforeLines="50" w:before="156" w:afterLines="50" w:after="156" w:line="500" w:lineRule="exact"/>
        <w:ind w:firstLineChars="200" w:firstLine="482"/>
        <w:rPr>
          <w:rFonts w:ascii="Calibri" w:eastAsia="宋体" w:hAnsi="Calibri" w:cs="Times New Roman"/>
          <w:b/>
          <w:sz w:val="24"/>
        </w:rPr>
      </w:pPr>
      <w:r w:rsidRPr="009B4CAE">
        <w:rPr>
          <w:rFonts w:ascii="Calibri" w:eastAsia="宋体" w:hAnsi="Calibri" w:cs="Times New Roman"/>
          <w:b/>
          <w:sz w:val="24"/>
        </w:rPr>
        <w:lastRenderedPageBreak/>
        <w:t>本章教学目的及要求：</w:t>
      </w:r>
      <w:r w:rsidRPr="009B4CAE">
        <w:rPr>
          <w:rFonts w:ascii="Calibri" w:eastAsia="宋体" w:hAnsi="Calibri" w:cs="Times New Roman" w:hint="eastAsia"/>
          <w:color w:val="000000"/>
          <w:sz w:val="24"/>
        </w:rPr>
        <w:t>初步了解体育舞蹈的基本特点，了解社交基本礼仪，增强学生社交能力。</w:t>
      </w:r>
    </w:p>
    <w:p w14:paraId="1C196EC6" w14:textId="77777777" w:rsidR="009B4CAE" w:rsidRPr="009B4CAE" w:rsidRDefault="009B4CAE" w:rsidP="009B4CAE">
      <w:pPr>
        <w:adjustRightInd w:val="0"/>
        <w:snapToGrid w:val="0"/>
        <w:spacing w:beforeLines="50" w:before="156" w:afterLines="50" w:after="156" w:line="500" w:lineRule="exact"/>
        <w:ind w:firstLineChars="200" w:firstLine="482"/>
        <w:rPr>
          <w:rFonts w:ascii="宋体" w:eastAsia="宋体" w:hAnsi="宋体" w:cs="Times New Roman"/>
          <w:sz w:val="24"/>
        </w:rPr>
      </w:pPr>
      <w:r w:rsidRPr="009B4CAE">
        <w:rPr>
          <w:rFonts w:ascii="Calibri" w:eastAsia="宋体" w:hAnsi="Calibri" w:cs="Times New Roman"/>
          <w:b/>
          <w:sz w:val="24"/>
        </w:rPr>
        <w:t>本章教学重点及难点：</w:t>
      </w:r>
      <w:r w:rsidRPr="009B4CAE">
        <w:rPr>
          <w:rFonts w:ascii="Calibri" w:eastAsia="宋体" w:hAnsi="Calibri" w:cs="Times New Roman" w:hint="eastAsia"/>
          <w:color w:val="000000"/>
          <w:sz w:val="24"/>
        </w:rPr>
        <w:t>体育舞蹈的发展概况；难点是交谊舞的特点和分类。</w:t>
      </w:r>
    </w:p>
    <w:p w14:paraId="16BB60CC" w14:textId="77777777" w:rsidR="009B4CAE" w:rsidRPr="009B4CAE" w:rsidRDefault="009B4CAE" w:rsidP="009B4CAE">
      <w:pPr>
        <w:adjustRightInd w:val="0"/>
        <w:snapToGrid w:val="0"/>
        <w:spacing w:beforeLines="50" w:before="156" w:afterLines="50" w:after="156" w:line="500" w:lineRule="exact"/>
        <w:ind w:firstLineChars="900" w:firstLine="2530"/>
        <w:rPr>
          <w:rFonts w:ascii="宋体" w:eastAsia="宋体" w:hAnsi="宋体" w:cs="Times New Roman"/>
          <w:b/>
          <w:sz w:val="28"/>
          <w:szCs w:val="28"/>
        </w:rPr>
      </w:pPr>
      <w:r w:rsidRPr="009B4CAE">
        <w:rPr>
          <w:rFonts w:ascii="宋体" w:eastAsia="宋体" w:hAnsi="宋体" w:cs="Times New Roman" w:hint="eastAsia"/>
          <w:b/>
          <w:sz w:val="28"/>
          <w:szCs w:val="28"/>
        </w:rPr>
        <w:t xml:space="preserve">第二章  </w:t>
      </w:r>
      <w:r w:rsidRPr="009B4CAE">
        <w:rPr>
          <w:rFonts w:ascii="宋体" w:eastAsia="宋体" w:hAnsi="宋体" w:cs="Arial"/>
          <w:b/>
          <w:sz w:val="28"/>
          <w:szCs w:val="28"/>
        </w:rPr>
        <w:t xml:space="preserve"> </w:t>
      </w:r>
      <w:r w:rsidRPr="009B4CAE">
        <w:rPr>
          <w:rFonts w:ascii="宋体" w:eastAsia="宋体" w:hAnsi="宋体" w:cs="Arial" w:hint="eastAsia"/>
          <w:b/>
          <w:sz w:val="28"/>
          <w:szCs w:val="28"/>
        </w:rPr>
        <w:t>实践部分</w:t>
      </w:r>
      <w:r w:rsidRPr="009B4CAE">
        <w:rPr>
          <w:rFonts w:ascii="宋体" w:eastAsia="宋体" w:hAnsi="宋体" w:cs="Times New Roman" w:hint="eastAsia"/>
          <w:b/>
          <w:sz w:val="28"/>
          <w:szCs w:val="28"/>
        </w:rPr>
        <w:t>（24学时）</w:t>
      </w:r>
    </w:p>
    <w:p w14:paraId="2D7D34CC" w14:textId="77777777" w:rsidR="009B4CAE" w:rsidRPr="009B4CAE" w:rsidRDefault="009B4CAE" w:rsidP="009B4CAE">
      <w:pPr>
        <w:adjustRightInd w:val="0"/>
        <w:snapToGrid w:val="0"/>
        <w:spacing w:line="500" w:lineRule="exact"/>
        <w:ind w:firstLineChars="200" w:firstLine="482"/>
        <w:rPr>
          <w:rFonts w:ascii="Calibri" w:eastAsia="宋体" w:hAnsi="Calibri" w:cs="Times New Roman"/>
          <w:b/>
          <w:sz w:val="24"/>
        </w:rPr>
      </w:pPr>
      <w:r w:rsidRPr="009B4CAE">
        <w:rPr>
          <w:rFonts w:ascii="Calibri" w:eastAsia="宋体" w:hAnsi="Calibri" w:cs="Times New Roman"/>
          <w:b/>
          <w:sz w:val="24"/>
        </w:rPr>
        <w:t>本章主要教学内容：</w:t>
      </w:r>
    </w:p>
    <w:p w14:paraId="375F42E9" w14:textId="77777777" w:rsidR="009B4CAE" w:rsidRPr="009B4CAE" w:rsidRDefault="009B4CAE" w:rsidP="009B4CAE">
      <w:pPr>
        <w:adjustRightInd w:val="0"/>
        <w:snapToGrid w:val="0"/>
        <w:spacing w:line="500" w:lineRule="exact"/>
        <w:ind w:firstLineChars="200" w:firstLine="480"/>
        <w:rPr>
          <w:rFonts w:ascii="宋体" w:eastAsia="宋体" w:hAnsi="宋体" w:cs="宋体"/>
          <w:b/>
          <w:color w:val="000000"/>
          <w:sz w:val="24"/>
        </w:rPr>
      </w:pPr>
      <w:r w:rsidRPr="009B4CAE">
        <w:rPr>
          <w:rFonts w:ascii="宋体" w:eastAsia="宋体" w:hAnsi="宋体" w:cs="宋体" w:hint="eastAsia"/>
          <w:color w:val="000000"/>
          <w:sz w:val="24"/>
        </w:rPr>
        <w:t>2.1.专项形体训练</w:t>
      </w:r>
      <w:r w:rsidRPr="009B4CAE">
        <w:rPr>
          <w:rFonts w:ascii="宋体" w:eastAsia="宋体" w:hAnsi="宋体" w:cs="宋体" w:hint="eastAsia"/>
          <w:b/>
          <w:color w:val="000000"/>
          <w:sz w:val="24"/>
        </w:rPr>
        <w:t>：</w:t>
      </w:r>
      <w:r w:rsidRPr="009B4CAE">
        <w:rPr>
          <w:rFonts w:ascii="宋体" w:eastAsia="宋体" w:hAnsi="宋体" w:cs="宋体" w:hint="eastAsia"/>
          <w:color w:val="000000"/>
          <w:sz w:val="24"/>
        </w:rPr>
        <w:t>立；蹲</w:t>
      </w:r>
      <w:r w:rsidRPr="009B4CAE">
        <w:rPr>
          <w:rFonts w:ascii="宋体" w:eastAsia="宋体" w:hAnsi="宋体" w:cs="宋体" w:hint="eastAsia"/>
          <w:b/>
          <w:color w:val="000000"/>
          <w:sz w:val="24"/>
        </w:rPr>
        <w:t>；</w:t>
      </w:r>
      <w:r w:rsidRPr="009B4CAE">
        <w:rPr>
          <w:rFonts w:ascii="宋体" w:eastAsia="宋体" w:hAnsi="宋体" w:cs="宋体" w:hint="eastAsia"/>
          <w:color w:val="000000"/>
          <w:sz w:val="24"/>
        </w:rPr>
        <w:t>擦地</w:t>
      </w:r>
      <w:r w:rsidRPr="009B4CAE">
        <w:rPr>
          <w:rFonts w:ascii="宋体" w:eastAsia="宋体" w:hAnsi="宋体" w:cs="宋体" w:hint="eastAsia"/>
          <w:b/>
          <w:color w:val="000000"/>
          <w:sz w:val="24"/>
        </w:rPr>
        <w:t>、</w:t>
      </w:r>
      <w:r w:rsidRPr="009B4CAE">
        <w:rPr>
          <w:rFonts w:ascii="宋体" w:eastAsia="宋体" w:hAnsi="宋体" w:cs="宋体" w:hint="eastAsia"/>
          <w:color w:val="000000"/>
          <w:sz w:val="24"/>
        </w:rPr>
        <w:t>向侧、后移动练习；形体姿态练习组合。</w:t>
      </w:r>
    </w:p>
    <w:p w14:paraId="5C96C573" w14:textId="77777777" w:rsidR="009B4CAE" w:rsidRPr="009B4CAE" w:rsidRDefault="009B4CAE" w:rsidP="009B4CAE">
      <w:pPr>
        <w:spacing w:line="500" w:lineRule="exact"/>
        <w:ind w:firstLineChars="200" w:firstLine="480"/>
        <w:rPr>
          <w:rFonts w:ascii="宋体" w:eastAsia="宋体" w:hAnsi="宋体" w:cs="宋体"/>
          <w:sz w:val="24"/>
        </w:rPr>
      </w:pPr>
      <w:r w:rsidRPr="009B4CAE">
        <w:rPr>
          <w:rFonts w:ascii="宋体" w:eastAsia="宋体" w:hAnsi="宋体" w:cs="宋体" w:hint="eastAsia"/>
          <w:sz w:val="24"/>
        </w:rPr>
        <w:t>2.2 学习北京平</w:t>
      </w:r>
      <w:proofErr w:type="gramStart"/>
      <w:r w:rsidRPr="009B4CAE">
        <w:rPr>
          <w:rFonts w:ascii="宋体" w:eastAsia="宋体" w:hAnsi="宋体" w:cs="宋体" w:hint="eastAsia"/>
          <w:sz w:val="24"/>
        </w:rPr>
        <w:t>四基本步</w:t>
      </w:r>
      <w:proofErr w:type="gramEnd"/>
      <w:r w:rsidRPr="009B4CAE">
        <w:rPr>
          <w:rFonts w:ascii="宋体" w:eastAsia="宋体" w:hAnsi="宋体" w:cs="宋体" w:hint="eastAsia"/>
          <w:sz w:val="24"/>
        </w:rPr>
        <w:t>（</w:t>
      </w:r>
      <w:proofErr w:type="gramStart"/>
      <w:r w:rsidRPr="009B4CAE">
        <w:rPr>
          <w:rFonts w:ascii="宋体" w:eastAsia="宋体" w:hAnsi="宋体" w:cs="宋体" w:hint="eastAsia"/>
          <w:sz w:val="24"/>
        </w:rPr>
        <w:t>一</w:t>
      </w:r>
      <w:proofErr w:type="gramEnd"/>
      <w:r w:rsidRPr="009B4CAE">
        <w:rPr>
          <w:rFonts w:ascii="宋体" w:eastAsia="宋体" w:hAnsi="宋体" w:cs="宋体" w:hint="eastAsia"/>
          <w:sz w:val="24"/>
        </w:rPr>
        <w:t>）（二）（三）并听音乐练习。</w:t>
      </w:r>
    </w:p>
    <w:p w14:paraId="1F21C0B2" w14:textId="77777777" w:rsidR="009B4CAE" w:rsidRPr="009B4CAE" w:rsidRDefault="009B4CAE" w:rsidP="009B4CAE">
      <w:pPr>
        <w:spacing w:line="500" w:lineRule="exact"/>
        <w:ind w:firstLineChars="200" w:firstLine="480"/>
        <w:rPr>
          <w:rFonts w:ascii="宋体" w:eastAsia="宋体" w:hAnsi="宋体" w:cs="宋体"/>
          <w:sz w:val="24"/>
        </w:rPr>
      </w:pPr>
      <w:r w:rsidRPr="009B4CAE">
        <w:rPr>
          <w:rFonts w:ascii="宋体" w:eastAsia="宋体" w:hAnsi="宋体" w:cs="宋体" w:hint="eastAsia"/>
          <w:sz w:val="24"/>
        </w:rPr>
        <w:t>2.3.学习北京平四单手花样、双手花样、组合花样和基本握持，并跟音乐组合练习。</w:t>
      </w:r>
    </w:p>
    <w:p w14:paraId="6CEA2010" w14:textId="77777777" w:rsidR="009B4CAE" w:rsidRPr="009B4CAE" w:rsidRDefault="009B4CAE" w:rsidP="009B4CAE">
      <w:pPr>
        <w:spacing w:line="440" w:lineRule="exact"/>
        <w:ind w:firstLineChars="200" w:firstLine="482"/>
        <w:rPr>
          <w:rFonts w:ascii="Arial" w:eastAsia="宋体" w:hAnsi="Calibri" w:cs="Arial"/>
          <w:sz w:val="24"/>
        </w:rPr>
      </w:pPr>
      <w:r w:rsidRPr="009B4CAE">
        <w:rPr>
          <w:rFonts w:ascii="Arial" w:eastAsia="宋体" w:hAnsi="Calibri" w:cs="Arial" w:hint="eastAsia"/>
          <w:b/>
          <w:sz w:val="24"/>
        </w:rPr>
        <w:t>本章教学目的及要求</w:t>
      </w:r>
      <w:r w:rsidRPr="009B4CAE">
        <w:rPr>
          <w:rFonts w:ascii="Arial" w:eastAsia="宋体" w:hAnsi="Calibri" w:cs="Arial" w:hint="eastAsia"/>
          <w:bCs/>
          <w:sz w:val="28"/>
          <w:szCs w:val="28"/>
        </w:rPr>
        <w:t>：</w:t>
      </w:r>
      <w:r w:rsidRPr="009B4CAE">
        <w:rPr>
          <w:rFonts w:ascii="Arial" w:eastAsia="宋体" w:hAnsi="Calibri" w:cs="Arial" w:hint="eastAsia"/>
          <w:sz w:val="24"/>
        </w:rPr>
        <w:t>使学生掌握交谊舞的基本舞姿和北京平四舞蹈的基本技法和步法。</w:t>
      </w:r>
    </w:p>
    <w:p w14:paraId="6CDCF6E0" w14:textId="77777777" w:rsidR="009B4CAE" w:rsidRPr="009B4CAE" w:rsidRDefault="009B4CAE" w:rsidP="009B4CAE">
      <w:pPr>
        <w:spacing w:line="440" w:lineRule="exact"/>
        <w:ind w:firstLineChars="200" w:firstLine="482"/>
        <w:rPr>
          <w:rFonts w:ascii="宋体" w:eastAsia="宋体" w:hAnsi="宋体" w:cs="Times New Roman"/>
          <w:sz w:val="24"/>
        </w:rPr>
      </w:pPr>
      <w:r w:rsidRPr="009B4CAE">
        <w:rPr>
          <w:rFonts w:ascii="Arial" w:eastAsia="宋体" w:hAnsi="Calibri" w:cs="Arial" w:hint="eastAsia"/>
          <w:b/>
          <w:sz w:val="24"/>
        </w:rPr>
        <w:t>本章教学重点及难点</w:t>
      </w:r>
      <w:r w:rsidRPr="009B4CAE">
        <w:rPr>
          <w:rFonts w:ascii="Arial" w:eastAsia="宋体" w:hAnsi="Calibri" w:cs="Arial" w:hint="eastAsia"/>
          <w:bCs/>
          <w:sz w:val="24"/>
        </w:rPr>
        <w:t>：</w:t>
      </w:r>
      <w:r w:rsidRPr="009B4CAE">
        <w:rPr>
          <w:rFonts w:ascii="Arial" w:eastAsia="宋体" w:hAnsi="Calibri" w:cs="Arial" w:hint="eastAsia"/>
          <w:sz w:val="24"/>
        </w:rPr>
        <w:t>基本舞步的组合方法是教学重点；教学难点：舞步、形体姿态和音乐的协调统一。</w:t>
      </w:r>
    </w:p>
    <w:p w14:paraId="73F7F352" w14:textId="77777777" w:rsidR="009B4CAE" w:rsidRPr="009B4CAE" w:rsidRDefault="009B4CAE" w:rsidP="009B4CAE">
      <w:pPr>
        <w:adjustRightInd w:val="0"/>
        <w:snapToGrid w:val="0"/>
        <w:spacing w:beforeLines="50" w:before="156" w:afterLines="50" w:after="156" w:line="500" w:lineRule="exact"/>
        <w:jc w:val="center"/>
        <w:rPr>
          <w:rFonts w:ascii="宋体" w:eastAsia="宋体" w:hAnsi="宋体" w:cs="Times New Roman"/>
          <w:b/>
          <w:sz w:val="28"/>
          <w:szCs w:val="28"/>
        </w:rPr>
      </w:pPr>
      <w:r w:rsidRPr="009B4CAE">
        <w:rPr>
          <w:rFonts w:ascii="宋体" w:eastAsia="宋体" w:hAnsi="宋体" w:cs="Times New Roman" w:hint="eastAsia"/>
          <w:b/>
          <w:sz w:val="28"/>
          <w:szCs w:val="28"/>
        </w:rPr>
        <w:t>第三章  身体素质（6学时）</w:t>
      </w:r>
    </w:p>
    <w:p w14:paraId="0A3E8C0D" w14:textId="77777777" w:rsidR="009B4CAE" w:rsidRPr="009B4CAE" w:rsidRDefault="009B4CAE" w:rsidP="009B4CAE">
      <w:pPr>
        <w:spacing w:line="360" w:lineRule="auto"/>
        <w:ind w:firstLineChars="200" w:firstLine="482"/>
        <w:rPr>
          <w:rFonts w:ascii="Calibri" w:eastAsia="宋体" w:hAnsi="Calibri" w:cs="Times New Roman"/>
          <w:b/>
          <w:sz w:val="24"/>
        </w:rPr>
      </w:pPr>
      <w:r w:rsidRPr="009B4CAE">
        <w:rPr>
          <w:rFonts w:ascii="Calibri" w:eastAsia="宋体" w:hAnsi="Calibri" w:cs="Times New Roman"/>
          <w:b/>
          <w:sz w:val="24"/>
        </w:rPr>
        <w:t>本章主要教学内容：</w:t>
      </w:r>
    </w:p>
    <w:p w14:paraId="1C8F7A8F" w14:textId="77777777" w:rsidR="009B4CAE" w:rsidRPr="009B4CAE" w:rsidRDefault="009B4CAE" w:rsidP="009B4CAE">
      <w:pPr>
        <w:adjustRightInd w:val="0"/>
        <w:snapToGrid w:val="0"/>
        <w:spacing w:line="440" w:lineRule="exact"/>
        <w:ind w:firstLineChars="200" w:firstLine="480"/>
        <w:rPr>
          <w:rFonts w:ascii="宋体" w:eastAsia="宋体" w:hAnsi="宋体" w:cs="宋体"/>
          <w:sz w:val="24"/>
        </w:rPr>
      </w:pPr>
      <w:r w:rsidRPr="009B4CAE">
        <w:rPr>
          <w:rFonts w:ascii="宋体" w:eastAsia="宋体" w:hAnsi="宋体" w:cs="宋体" w:hint="eastAsia"/>
          <w:sz w:val="24"/>
        </w:rPr>
        <w:t>3.1柔韧素质、力量素质、灵敏素质。</w:t>
      </w:r>
    </w:p>
    <w:p w14:paraId="475D7D64" w14:textId="77777777" w:rsidR="009B4CAE" w:rsidRPr="009B4CAE" w:rsidRDefault="009B4CAE" w:rsidP="009B4CAE">
      <w:pPr>
        <w:adjustRightInd w:val="0"/>
        <w:snapToGrid w:val="0"/>
        <w:spacing w:line="440" w:lineRule="exact"/>
        <w:ind w:firstLineChars="200" w:firstLine="480"/>
        <w:rPr>
          <w:rFonts w:ascii="宋体" w:eastAsia="宋体" w:hAnsi="宋体" w:cs="宋体"/>
          <w:sz w:val="24"/>
        </w:rPr>
      </w:pPr>
      <w:r w:rsidRPr="009B4CAE">
        <w:rPr>
          <w:rFonts w:ascii="宋体" w:eastAsia="宋体" w:hAnsi="宋体" w:cs="宋体" w:hint="eastAsia"/>
          <w:sz w:val="24"/>
        </w:rPr>
        <w:t xml:space="preserve">3.2教学目的及要求：使学生掌握交谊舞运动需要的基本身体素质。 </w:t>
      </w:r>
    </w:p>
    <w:p w14:paraId="68A03D11" w14:textId="77777777" w:rsidR="009B4CAE" w:rsidRPr="009B4CAE" w:rsidRDefault="009B4CAE" w:rsidP="009B4CAE">
      <w:pPr>
        <w:adjustRightInd w:val="0"/>
        <w:snapToGrid w:val="0"/>
        <w:spacing w:line="440" w:lineRule="exact"/>
        <w:ind w:firstLineChars="200" w:firstLine="480"/>
        <w:rPr>
          <w:rFonts w:ascii="宋体" w:eastAsia="宋体" w:hAnsi="宋体" w:cs="宋体"/>
          <w:sz w:val="24"/>
        </w:rPr>
      </w:pPr>
      <w:r w:rsidRPr="009B4CAE">
        <w:rPr>
          <w:rFonts w:ascii="宋体" w:eastAsia="宋体" w:hAnsi="宋体" w:cs="宋体" w:hint="eastAsia"/>
          <w:sz w:val="24"/>
        </w:rPr>
        <w:t>教学重点及难点：身体柔韧性和灵敏素质。</w:t>
      </w:r>
    </w:p>
    <w:p w14:paraId="6653A9E9" w14:textId="77777777" w:rsidR="009B4CAE" w:rsidRPr="009B4CAE" w:rsidRDefault="009B4CAE" w:rsidP="009B4CAE">
      <w:pPr>
        <w:spacing w:beforeLines="50" w:before="156" w:afterLines="50" w:after="156" w:line="440" w:lineRule="exact"/>
        <w:ind w:firstLineChars="200" w:firstLine="560"/>
        <w:jc w:val="center"/>
        <w:rPr>
          <w:rFonts w:ascii="黑体" w:eastAsia="黑体" w:hAnsi="黑体" w:cs="Times New Roman"/>
          <w:sz w:val="28"/>
          <w:szCs w:val="28"/>
        </w:rPr>
      </w:pPr>
      <w:r w:rsidRPr="009B4CAE">
        <w:rPr>
          <w:rFonts w:ascii="黑体" w:eastAsia="黑体" w:hAnsi="黑体" w:cs="Times New Roman" w:hint="eastAsia"/>
          <w:sz w:val="28"/>
          <w:szCs w:val="28"/>
        </w:rPr>
        <w:t>学习内容三 交谊舞2</w:t>
      </w:r>
    </w:p>
    <w:p w14:paraId="32AA4FB3" w14:textId="77777777" w:rsidR="009B4CAE" w:rsidRPr="009B4CAE" w:rsidRDefault="009B4CAE" w:rsidP="009B4CAE">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9B4CAE">
        <w:rPr>
          <w:rFonts w:ascii="宋体" w:eastAsia="宋体" w:hAnsi="宋体" w:cs="Times New Roman" w:hint="eastAsia"/>
          <w:b/>
          <w:sz w:val="24"/>
        </w:rPr>
        <w:t>【学习目标】</w:t>
      </w:r>
    </w:p>
    <w:p w14:paraId="4AC049C3" w14:textId="77777777" w:rsidR="009B4CAE" w:rsidRPr="009B4CAE" w:rsidRDefault="009B4CAE" w:rsidP="009B4CAE">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9B4CAE">
        <w:rPr>
          <w:rFonts w:ascii="宋体" w:eastAsia="宋体" w:hAnsi="Calibri" w:cs="宋体" w:hint="eastAsia"/>
          <w:spacing w:val="5"/>
          <w:kern w:val="0"/>
          <w:sz w:val="24"/>
        </w:rPr>
        <w:t>1.</w:t>
      </w:r>
      <w:r w:rsidRPr="009B4CAE">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9B4CAE">
        <w:rPr>
          <w:rFonts w:ascii="宋体" w:eastAsia="宋体" w:hAnsi="Calibri" w:cs="宋体" w:hint="eastAsia"/>
          <w:spacing w:val="5"/>
          <w:kern w:val="0"/>
          <w:sz w:val="24"/>
        </w:rPr>
        <w:t>通过体能教学活动，</w:t>
      </w:r>
      <w:r w:rsidRPr="009B4CAE">
        <w:rPr>
          <w:rFonts w:ascii="宋体" w:eastAsia="宋体" w:hAnsi="宋体" w:cs="仿宋_GB2312" w:hint="eastAsia"/>
          <w:sz w:val="24"/>
        </w:rPr>
        <w:t>了解《大学生体质健康标准测验》项目内容、考核方式、评价标准，掌握考核内容锻炼的方式方法。</w:t>
      </w:r>
      <w:r w:rsidRPr="009B4CAE">
        <w:rPr>
          <w:rFonts w:ascii="宋体" w:eastAsia="宋体" w:hAnsi="Calibri" w:cs="宋体" w:hint="eastAsia"/>
          <w:spacing w:val="5"/>
          <w:kern w:val="0"/>
          <w:sz w:val="24"/>
        </w:rPr>
        <w:t>培养学生努力学习、不断进取、修身立业、顽强奋进的精神与品质。</w:t>
      </w:r>
    </w:p>
    <w:p w14:paraId="4DDA9F79" w14:textId="77777777" w:rsidR="009B4CAE" w:rsidRPr="009B4CAE" w:rsidRDefault="009B4CAE" w:rsidP="009B4CAE">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9B4CAE">
        <w:rPr>
          <w:rFonts w:ascii="宋体" w:eastAsia="宋体" w:hAnsi="Calibri" w:cs="宋体" w:hint="eastAsia"/>
          <w:spacing w:val="5"/>
          <w:kern w:val="0"/>
          <w:sz w:val="24"/>
        </w:rPr>
        <w:t>2.</w:t>
      </w:r>
      <w:r w:rsidRPr="009B4CAE">
        <w:rPr>
          <w:rFonts w:ascii="宋体" w:eastAsia="宋体" w:hAnsi="宋体" w:cs="仿宋_GB2312" w:hint="eastAsia"/>
          <w:sz w:val="24"/>
        </w:rPr>
        <w:t>使学生学习和掌握体育与健康的基础知识、技能与方法。使学生了解体育与健</w:t>
      </w:r>
      <w:r w:rsidRPr="009B4CAE">
        <w:rPr>
          <w:rFonts w:ascii="宋体" w:eastAsia="宋体" w:hAnsi="宋体" w:cs="仿宋_GB2312" w:hint="eastAsia"/>
          <w:sz w:val="24"/>
        </w:rPr>
        <w:lastRenderedPageBreak/>
        <w:t>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9B4CAE">
        <w:rPr>
          <w:rFonts w:ascii="宋体" w:eastAsia="宋体" w:hAnsi="Calibri" w:cs="宋体" w:hint="eastAsia"/>
          <w:spacing w:val="5"/>
          <w:kern w:val="0"/>
          <w:sz w:val="24"/>
        </w:rPr>
        <w:t>。</w:t>
      </w:r>
    </w:p>
    <w:p w14:paraId="5724B26F" w14:textId="77777777" w:rsidR="009B4CAE" w:rsidRPr="009B4CAE" w:rsidRDefault="009B4CAE" w:rsidP="009B4CAE">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9B4CAE">
        <w:rPr>
          <w:rFonts w:ascii="宋体" w:eastAsia="宋体" w:hAnsi="Calibri" w:cs="宋体" w:hint="eastAsia"/>
          <w:spacing w:val="5"/>
          <w:kern w:val="0"/>
          <w:sz w:val="24"/>
        </w:rPr>
        <w:t>3</w:t>
      </w:r>
      <w:r w:rsidRPr="009B4CAE">
        <w:rPr>
          <w:rFonts w:ascii="宋体" w:eastAsia="宋体" w:hAnsi="宋体" w:cs="宋体" w:hint="eastAsia"/>
          <w:spacing w:val="5"/>
          <w:kern w:val="0"/>
          <w:sz w:val="24"/>
        </w:rPr>
        <w:t>通过体育舞蹈的学习和实践，掌握体育舞蹈的基本知识、基本技术、基本技法和方法。掌握基本的练习方法，进一步培养音乐感，进行自我的审美教育；培养学生具有一定表演比赛能力和欣赏比赛能力。以运动和身体练习为基本手段，对大学生机体进行科学的培育，在提高人的生物潜能、心理潜能的过程中促进德、智、体、美全面发展，达到身心健康、全面发展的教育总目的。</w:t>
      </w:r>
    </w:p>
    <w:p w14:paraId="35DE1F1F" w14:textId="77777777" w:rsidR="009B4CAE" w:rsidRPr="009B4CAE" w:rsidRDefault="009B4CAE" w:rsidP="009B4CAE">
      <w:pPr>
        <w:spacing w:line="440" w:lineRule="exact"/>
        <w:ind w:firstLineChars="200" w:firstLine="500"/>
        <w:rPr>
          <w:rFonts w:ascii="宋体" w:eastAsia="宋体" w:hAnsi="宋体" w:cs="Times New Roman"/>
          <w:b/>
          <w:sz w:val="24"/>
        </w:rPr>
      </w:pPr>
      <w:r w:rsidRPr="009B4CAE">
        <w:rPr>
          <w:rFonts w:ascii="宋体" w:eastAsia="宋体" w:hAnsi="Calibri" w:cs="宋体" w:hint="eastAsia"/>
          <w:spacing w:val="5"/>
          <w:kern w:val="0"/>
          <w:sz w:val="24"/>
        </w:rPr>
        <w:t>4.</w:t>
      </w:r>
      <w:r w:rsidRPr="009B4CAE">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9B4CAE">
        <w:rPr>
          <w:rFonts w:ascii="宋体" w:eastAsia="宋体" w:hAnsi="Calibri" w:cs="宋体" w:hint="eastAsia"/>
          <w:spacing w:val="5"/>
          <w:kern w:val="0"/>
          <w:sz w:val="24"/>
        </w:rPr>
        <w:t>。</w:t>
      </w:r>
    </w:p>
    <w:p w14:paraId="255CB717" w14:textId="77777777" w:rsidR="009B4CAE" w:rsidRPr="009B4CAE" w:rsidRDefault="009B4CAE" w:rsidP="009B4CAE">
      <w:pPr>
        <w:spacing w:line="440" w:lineRule="exact"/>
        <w:ind w:firstLineChars="200" w:firstLine="482"/>
        <w:rPr>
          <w:rFonts w:ascii="宋体" w:eastAsia="宋体" w:hAnsi="宋体" w:cs="Times New Roman"/>
          <w:b/>
          <w:sz w:val="24"/>
        </w:rPr>
      </w:pPr>
      <w:r w:rsidRPr="009B4CAE">
        <w:rPr>
          <w:rFonts w:ascii="宋体" w:eastAsia="宋体" w:hAnsi="宋体" w:cs="Times New Roman" w:hint="eastAsia"/>
          <w:b/>
          <w:sz w:val="24"/>
        </w:rPr>
        <w:t>【学习内容】</w:t>
      </w:r>
    </w:p>
    <w:p w14:paraId="70E8A420" w14:textId="77777777" w:rsidR="009B4CAE" w:rsidRPr="009B4CAE" w:rsidRDefault="009B4CAE" w:rsidP="009B4CAE">
      <w:pPr>
        <w:adjustRightInd w:val="0"/>
        <w:snapToGrid w:val="0"/>
        <w:spacing w:beforeLines="50" w:before="156" w:afterLines="50" w:after="156" w:line="500" w:lineRule="exact"/>
        <w:jc w:val="center"/>
        <w:rPr>
          <w:rFonts w:ascii="宋体" w:eastAsia="宋体" w:hAnsi="宋体" w:cs="Times New Roman"/>
          <w:b/>
          <w:sz w:val="28"/>
          <w:szCs w:val="28"/>
        </w:rPr>
      </w:pPr>
      <w:r w:rsidRPr="009B4CAE">
        <w:rPr>
          <w:rFonts w:ascii="宋体" w:eastAsia="宋体" w:hAnsi="宋体" w:cs="Times New Roman" w:hint="eastAsia"/>
          <w:b/>
          <w:sz w:val="28"/>
          <w:szCs w:val="28"/>
        </w:rPr>
        <w:t>第一章  实践部分(22学时)</w:t>
      </w:r>
    </w:p>
    <w:p w14:paraId="27ED575D" w14:textId="77777777" w:rsidR="009B4CAE" w:rsidRPr="009B4CAE" w:rsidRDefault="009B4CAE" w:rsidP="009B4CAE">
      <w:pPr>
        <w:adjustRightInd w:val="0"/>
        <w:snapToGrid w:val="0"/>
        <w:spacing w:line="500" w:lineRule="exact"/>
        <w:ind w:firstLineChars="200" w:firstLine="482"/>
        <w:rPr>
          <w:rFonts w:ascii="Calibri" w:eastAsia="宋体" w:hAnsi="Calibri" w:cs="Times New Roman"/>
          <w:b/>
          <w:sz w:val="24"/>
        </w:rPr>
      </w:pPr>
      <w:r w:rsidRPr="009B4CAE">
        <w:rPr>
          <w:rFonts w:ascii="Calibri" w:eastAsia="宋体" w:hAnsi="Calibri" w:cs="Times New Roman"/>
          <w:b/>
          <w:sz w:val="24"/>
        </w:rPr>
        <w:t>本章主要教学内容：</w:t>
      </w:r>
    </w:p>
    <w:p w14:paraId="573D4873" w14:textId="77777777" w:rsidR="009B4CAE" w:rsidRPr="009B4CAE" w:rsidRDefault="009B4CAE" w:rsidP="009B4CAE">
      <w:pPr>
        <w:adjustRightInd w:val="0"/>
        <w:snapToGrid w:val="0"/>
        <w:spacing w:line="500" w:lineRule="exact"/>
        <w:ind w:firstLineChars="200" w:firstLine="480"/>
        <w:rPr>
          <w:rFonts w:ascii="宋体" w:eastAsia="宋体" w:hAnsi="宋体" w:cs="宋体"/>
          <w:b/>
          <w:color w:val="000000"/>
          <w:sz w:val="24"/>
        </w:rPr>
      </w:pPr>
      <w:r w:rsidRPr="009B4CAE">
        <w:rPr>
          <w:rFonts w:ascii="宋体" w:eastAsia="宋体" w:hAnsi="宋体" w:cs="宋体" w:hint="eastAsia"/>
          <w:color w:val="000000"/>
          <w:sz w:val="24"/>
        </w:rPr>
        <w:t>1.1专项形体训练</w:t>
      </w:r>
      <w:r w:rsidRPr="009B4CAE">
        <w:rPr>
          <w:rFonts w:ascii="宋体" w:eastAsia="宋体" w:hAnsi="宋体" w:cs="宋体" w:hint="eastAsia"/>
          <w:b/>
          <w:color w:val="000000"/>
          <w:sz w:val="24"/>
        </w:rPr>
        <w:t>：</w:t>
      </w:r>
      <w:r w:rsidRPr="009B4CAE">
        <w:rPr>
          <w:rFonts w:ascii="宋体" w:eastAsia="宋体" w:hAnsi="宋体" w:cs="宋体" w:hint="eastAsia"/>
          <w:color w:val="000000"/>
          <w:sz w:val="24"/>
        </w:rPr>
        <w:t>立；蹲</w:t>
      </w:r>
      <w:r w:rsidRPr="009B4CAE">
        <w:rPr>
          <w:rFonts w:ascii="宋体" w:eastAsia="宋体" w:hAnsi="宋体" w:cs="宋体" w:hint="eastAsia"/>
          <w:b/>
          <w:color w:val="000000"/>
          <w:sz w:val="24"/>
        </w:rPr>
        <w:t>；</w:t>
      </w:r>
      <w:r w:rsidRPr="009B4CAE">
        <w:rPr>
          <w:rFonts w:ascii="宋体" w:eastAsia="宋体" w:hAnsi="宋体" w:cs="宋体" w:hint="eastAsia"/>
          <w:color w:val="000000"/>
          <w:sz w:val="24"/>
        </w:rPr>
        <w:t>擦地</w:t>
      </w:r>
      <w:r w:rsidRPr="009B4CAE">
        <w:rPr>
          <w:rFonts w:ascii="宋体" w:eastAsia="宋体" w:hAnsi="宋体" w:cs="宋体" w:hint="eastAsia"/>
          <w:b/>
          <w:color w:val="000000"/>
          <w:sz w:val="24"/>
        </w:rPr>
        <w:t>、</w:t>
      </w:r>
      <w:r w:rsidRPr="009B4CAE">
        <w:rPr>
          <w:rFonts w:ascii="宋体" w:eastAsia="宋体" w:hAnsi="宋体" w:cs="宋体" w:hint="eastAsia"/>
          <w:color w:val="000000"/>
          <w:sz w:val="24"/>
        </w:rPr>
        <w:t>向侧、后移动练习；形体姿态练习组合</w:t>
      </w:r>
      <w:r w:rsidRPr="009B4CAE">
        <w:rPr>
          <w:rFonts w:ascii="宋体" w:eastAsia="宋体" w:hAnsi="宋体" w:cs="宋体" w:hint="eastAsia"/>
          <w:b/>
          <w:color w:val="000000"/>
          <w:sz w:val="24"/>
        </w:rPr>
        <w:t>。</w:t>
      </w:r>
    </w:p>
    <w:p w14:paraId="6511506C" w14:textId="77777777" w:rsidR="009B4CAE" w:rsidRPr="009B4CAE" w:rsidRDefault="009B4CAE" w:rsidP="009B4CAE">
      <w:pPr>
        <w:adjustRightInd w:val="0"/>
        <w:snapToGrid w:val="0"/>
        <w:spacing w:line="500" w:lineRule="exact"/>
        <w:ind w:firstLineChars="200" w:firstLine="480"/>
        <w:rPr>
          <w:rFonts w:ascii="宋体" w:eastAsia="宋体" w:hAnsi="宋体" w:cs="宋体"/>
          <w:sz w:val="24"/>
        </w:rPr>
      </w:pPr>
      <w:r w:rsidRPr="009B4CAE">
        <w:rPr>
          <w:rFonts w:ascii="宋体" w:eastAsia="宋体" w:hAnsi="宋体" w:cs="宋体" w:hint="eastAsia"/>
          <w:bCs/>
          <w:color w:val="000000"/>
          <w:sz w:val="24"/>
        </w:rPr>
        <w:t>1.</w:t>
      </w:r>
      <w:r w:rsidRPr="009B4CAE">
        <w:rPr>
          <w:rFonts w:ascii="宋体" w:eastAsia="宋体" w:hAnsi="宋体" w:cs="宋体" w:hint="eastAsia"/>
          <w:sz w:val="24"/>
        </w:rPr>
        <w:t>2 学习华尔兹基本步原地基本步、箱型步、前进后退左转90度、行进</w:t>
      </w:r>
      <w:proofErr w:type="gramStart"/>
      <w:r w:rsidRPr="009B4CAE">
        <w:rPr>
          <w:rFonts w:ascii="宋体" w:eastAsia="宋体" w:hAnsi="宋体" w:cs="宋体" w:hint="eastAsia"/>
          <w:sz w:val="24"/>
        </w:rPr>
        <w:t>间前进</w:t>
      </w:r>
      <w:proofErr w:type="gramEnd"/>
      <w:r w:rsidRPr="009B4CAE">
        <w:rPr>
          <w:rFonts w:ascii="宋体" w:eastAsia="宋体" w:hAnsi="宋体" w:cs="宋体" w:hint="eastAsia"/>
          <w:sz w:val="24"/>
        </w:rPr>
        <w:t>后退基本步和前进后退之字步，并听音乐练习。</w:t>
      </w:r>
    </w:p>
    <w:p w14:paraId="6447279C" w14:textId="77777777" w:rsidR="009B4CAE" w:rsidRPr="009B4CAE" w:rsidRDefault="009B4CAE" w:rsidP="009B4CAE">
      <w:pPr>
        <w:adjustRightInd w:val="0"/>
        <w:snapToGrid w:val="0"/>
        <w:spacing w:line="500" w:lineRule="exact"/>
        <w:ind w:firstLineChars="200" w:firstLine="480"/>
        <w:rPr>
          <w:rFonts w:ascii="宋体" w:eastAsia="宋体" w:hAnsi="宋体" w:cs="宋体"/>
          <w:sz w:val="24"/>
        </w:rPr>
      </w:pPr>
      <w:r w:rsidRPr="009B4CAE">
        <w:rPr>
          <w:rFonts w:ascii="宋体" w:eastAsia="宋体" w:hAnsi="宋体" w:cs="宋体" w:hint="eastAsia"/>
          <w:sz w:val="24"/>
        </w:rPr>
        <w:t>1.3学习华尔兹基本步组合、花样组合和基本握持，并跟音乐组合练习。</w:t>
      </w:r>
    </w:p>
    <w:p w14:paraId="18C7667D" w14:textId="77777777" w:rsidR="009B4CAE" w:rsidRPr="009B4CAE" w:rsidRDefault="009B4CAE" w:rsidP="009B4CAE">
      <w:pPr>
        <w:adjustRightInd w:val="0"/>
        <w:snapToGrid w:val="0"/>
        <w:spacing w:beforeLines="50" w:before="156" w:afterLines="50" w:after="156" w:line="500" w:lineRule="exact"/>
        <w:ind w:firstLineChars="200" w:firstLine="482"/>
        <w:rPr>
          <w:rFonts w:ascii="Calibri" w:eastAsia="宋体" w:hAnsi="Calibri" w:cs="Times New Roman"/>
          <w:kern w:val="0"/>
          <w:sz w:val="24"/>
        </w:rPr>
      </w:pPr>
      <w:r w:rsidRPr="009B4CAE">
        <w:rPr>
          <w:rFonts w:ascii="Calibri" w:eastAsia="宋体" w:hAnsi="Calibri" w:cs="Times New Roman" w:hint="eastAsia"/>
          <w:b/>
          <w:color w:val="000000"/>
          <w:sz w:val="24"/>
        </w:rPr>
        <w:t>本章教学目的及要求：</w:t>
      </w:r>
      <w:r w:rsidRPr="009B4CAE">
        <w:rPr>
          <w:rFonts w:ascii="Calibri" w:eastAsia="宋体" w:hAnsi="Calibri" w:cs="Times New Roman" w:hint="eastAsia"/>
          <w:color w:val="000000"/>
          <w:sz w:val="24"/>
        </w:rPr>
        <w:t>了解华尔兹舞步的基本结构、运步方法，基本的升降规律步，掌握华尔兹基本步法及各种组合的动作方法</w:t>
      </w:r>
      <w:r w:rsidRPr="009B4CAE">
        <w:rPr>
          <w:rFonts w:ascii="Calibri" w:eastAsia="宋体" w:hAnsi="Calibri" w:cs="Times New Roman" w:hint="eastAsia"/>
          <w:color w:val="000000"/>
          <w:sz w:val="24"/>
        </w:rPr>
        <w:t xml:space="preserve"> </w:t>
      </w:r>
      <w:r w:rsidRPr="009B4CAE">
        <w:rPr>
          <w:rFonts w:ascii="Calibri" w:eastAsia="宋体" w:hAnsi="Calibri" w:cs="Times New Roman" w:hint="eastAsia"/>
          <w:color w:val="000000"/>
          <w:sz w:val="24"/>
        </w:rPr>
        <w:t>。</w:t>
      </w:r>
      <w:r w:rsidRPr="009B4CAE">
        <w:rPr>
          <w:rFonts w:ascii="Calibri" w:eastAsia="宋体" w:hAnsi="Calibri" w:cs="Times New Roman" w:hint="eastAsia"/>
          <w:color w:val="000000"/>
          <w:sz w:val="24"/>
        </w:rPr>
        <w:t xml:space="preserve">  </w:t>
      </w:r>
    </w:p>
    <w:p w14:paraId="34B38295" w14:textId="77777777" w:rsidR="009B4CAE" w:rsidRPr="009B4CAE" w:rsidRDefault="009B4CAE" w:rsidP="009B4CAE">
      <w:pPr>
        <w:adjustRightInd w:val="0"/>
        <w:snapToGrid w:val="0"/>
        <w:spacing w:beforeLines="50" w:before="156" w:afterLines="50" w:after="156" w:line="500" w:lineRule="exact"/>
        <w:ind w:firstLineChars="200" w:firstLine="482"/>
        <w:rPr>
          <w:rFonts w:ascii="宋体" w:eastAsia="宋体" w:hAnsi="宋体" w:cs="Times New Roman"/>
          <w:sz w:val="24"/>
        </w:rPr>
      </w:pPr>
      <w:r w:rsidRPr="009B4CAE">
        <w:rPr>
          <w:rFonts w:ascii="Calibri" w:eastAsia="宋体" w:hAnsi="Calibri" w:cs="Times New Roman" w:hint="eastAsia"/>
          <w:b/>
          <w:color w:val="000000"/>
          <w:sz w:val="24"/>
        </w:rPr>
        <w:t>本章教学重点及难点：</w:t>
      </w:r>
      <w:r w:rsidRPr="009B4CAE">
        <w:rPr>
          <w:rFonts w:ascii="Calibri" w:eastAsia="宋体" w:hAnsi="Calibri" w:cs="Times New Roman" w:hint="eastAsia"/>
          <w:color w:val="000000"/>
          <w:sz w:val="24"/>
        </w:rPr>
        <w:t>各种动作变化手势的使用，跳舞过程中的舞姿，华尔</w:t>
      </w:r>
      <w:proofErr w:type="gramStart"/>
      <w:r w:rsidRPr="009B4CAE">
        <w:rPr>
          <w:rFonts w:ascii="Calibri" w:eastAsia="宋体" w:hAnsi="Calibri" w:cs="Times New Roman" w:hint="eastAsia"/>
          <w:color w:val="000000"/>
          <w:sz w:val="24"/>
        </w:rPr>
        <w:t>姿基本</w:t>
      </w:r>
      <w:proofErr w:type="gramEnd"/>
      <w:r w:rsidRPr="009B4CAE">
        <w:rPr>
          <w:rFonts w:ascii="Calibri" w:eastAsia="宋体" w:hAnsi="Calibri" w:cs="Times New Roman" w:hint="eastAsia"/>
          <w:color w:val="000000"/>
          <w:sz w:val="24"/>
        </w:rPr>
        <w:t>舞步的升降方法。</w:t>
      </w:r>
    </w:p>
    <w:p w14:paraId="65A5584E" w14:textId="77777777" w:rsidR="009B4CAE" w:rsidRPr="009B4CAE" w:rsidRDefault="009B4CAE" w:rsidP="009B4CAE">
      <w:pPr>
        <w:adjustRightInd w:val="0"/>
        <w:snapToGrid w:val="0"/>
        <w:spacing w:beforeLines="50" w:before="156" w:afterLines="50" w:after="156" w:line="460" w:lineRule="exact"/>
        <w:jc w:val="center"/>
        <w:rPr>
          <w:rFonts w:ascii="宋体" w:eastAsia="宋体" w:hAnsi="宋体" w:cs="Times New Roman"/>
          <w:b/>
          <w:sz w:val="28"/>
          <w:szCs w:val="28"/>
        </w:rPr>
      </w:pPr>
      <w:r w:rsidRPr="009B4CAE">
        <w:rPr>
          <w:rFonts w:ascii="宋体" w:eastAsia="宋体" w:hAnsi="宋体" w:cs="Times New Roman" w:hint="eastAsia"/>
          <w:b/>
          <w:sz w:val="28"/>
          <w:szCs w:val="28"/>
        </w:rPr>
        <w:t>第二章 身体素质（6学时）</w:t>
      </w:r>
    </w:p>
    <w:p w14:paraId="1339A1CC" w14:textId="77777777" w:rsidR="009B4CAE" w:rsidRPr="009B4CAE" w:rsidRDefault="009B4CAE" w:rsidP="009B4CAE">
      <w:pPr>
        <w:spacing w:line="360" w:lineRule="auto"/>
        <w:ind w:firstLineChars="200" w:firstLine="482"/>
        <w:rPr>
          <w:rFonts w:ascii="Calibri" w:eastAsia="宋体" w:hAnsi="Calibri" w:cs="Times New Roman"/>
          <w:b/>
          <w:sz w:val="24"/>
        </w:rPr>
      </w:pPr>
      <w:r w:rsidRPr="009B4CAE">
        <w:rPr>
          <w:rFonts w:ascii="Calibri" w:eastAsia="宋体" w:hAnsi="Calibri" w:cs="Times New Roman"/>
          <w:b/>
          <w:sz w:val="24"/>
        </w:rPr>
        <w:lastRenderedPageBreak/>
        <w:t>本章主要教学内容：</w:t>
      </w:r>
    </w:p>
    <w:p w14:paraId="2500D372" w14:textId="77777777" w:rsidR="009B4CAE" w:rsidRPr="009B4CAE" w:rsidRDefault="009B4CAE" w:rsidP="009B4CAE">
      <w:pPr>
        <w:adjustRightInd w:val="0"/>
        <w:snapToGrid w:val="0"/>
        <w:spacing w:line="500" w:lineRule="exact"/>
        <w:ind w:firstLineChars="200" w:firstLine="480"/>
        <w:rPr>
          <w:rFonts w:ascii="宋体" w:eastAsia="宋体" w:hAnsi="宋体" w:cs="宋体"/>
          <w:sz w:val="24"/>
        </w:rPr>
      </w:pPr>
      <w:r w:rsidRPr="009B4CAE">
        <w:rPr>
          <w:rFonts w:ascii="宋体" w:eastAsia="宋体" w:hAnsi="宋体" w:cs="宋体" w:hint="eastAsia"/>
          <w:sz w:val="24"/>
        </w:rPr>
        <w:t>2.1柔韧素质、力量素质、灵敏素质。</w:t>
      </w:r>
    </w:p>
    <w:p w14:paraId="2BBC8911" w14:textId="77777777" w:rsidR="009B4CAE" w:rsidRPr="009B4CAE" w:rsidRDefault="009B4CAE" w:rsidP="009B4CAE">
      <w:pPr>
        <w:adjustRightInd w:val="0"/>
        <w:snapToGrid w:val="0"/>
        <w:spacing w:line="500" w:lineRule="exact"/>
        <w:ind w:firstLineChars="200" w:firstLine="480"/>
        <w:rPr>
          <w:rFonts w:ascii="宋体" w:eastAsia="宋体" w:hAnsi="宋体" w:cs="宋体"/>
          <w:sz w:val="24"/>
        </w:rPr>
      </w:pPr>
      <w:r w:rsidRPr="009B4CAE">
        <w:rPr>
          <w:rFonts w:ascii="宋体" w:eastAsia="宋体" w:hAnsi="宋体" w:cs="宋体" w:hint="eastAsia"/>
          <w:sz w:val="24"/>
        </w:rPr>
        <w:t xml:space="preserve">2.2教学目的及要求：使学生掌握交谊舞运动需要的基本身体素质。 </w:t>
      </w:r>
    </w:p>
    <w:p w14:paraId="7AE3240B" w14:textId="77777777" w:rsidR="009B4CAE" w:rsidRPr="009B4CAE" w:rsidRDefault="009B4CAE" w:rsidP="009B4CAE">
      <w:pPr>
        <w:adjustRightInd w:val="0"/>
        <w:snapToGrid w:val="0"/>
        <w:spacing w:line="500" w:lineRule="exact"/>
        <w:ind w:firstLineChars="200" w:firstLine="482"/>
        <w:rPr>
          <w:rFonts w:ascii="宋体" w:eastAsia="宋体" w:hAnsi="宋体" w:cs="宋体"/>
          <w:sz w:val="24"/>
        </w:rPr>
      </w:pPr>
      <w:r w:rsidRPr="009B4CAE">
        <w:rPr>
          <w:rFonts w:ascii="宋体" w:eastAsia="宋体" w:hAnsi="宋体" w:cs="宋体" w:hint="eastAsia"/>
          <w:b/>
          <w:bCs/>
          <w:sz w:val="24"/>
        </w:rPr>
        <w:t>教学重点及难点：</w:t>
      </w:r>
      <w:r w:rsidRPr="009B4CAE">
        <w:rPr>
          <w:rFonts w:ascii="宋体" w:eastAsia="宋体" w:hAnsi="宋体" w:cs="宋体" w:hint="eastAsia"/>
          <w:sz w:val="24"/>
        </w:rPr>
        <w:t>身体柔韧性和灵敏素质。</w:t>
      </w:r>
    </w:p>
    <w:p w14:paraId="76EAB626" w14:textId="77777777" w:rsidR="009B4CAE" w:rsidRPr="009B4CAE" w:rsidRDefault="009B4CAE" w:rsidP="009B4CAE">
      <w:pPr>
        <w:adjustRightInd w:val="0"/>
        <w:snapToGrid w:val="0"/>
        <w:spacing w:beforeLines="50" w:before="156" w:afterLines="50" w:after="156" w:line="500" w:lineRule="exact"/>
        <w:jc w:val="center"/>
        <w:rPr>
          <w:rFonts w:ascii="Arial" w:eastAsia="宋体" w:hAnsi="Arial" w:cs="Arial"/>
          <w:b/>
          <w:sz w:val="28"/>
          <w:szCs w:val="28"/>
        </w:rPr>
      </w:pPr>
      <w:r w:rsidRPr="009B4CAE">
        <w:rPr>
          <w:rFonts w:ascii="Calibri" w:eastAsia="宋体" w:hAnsi="Calibri" w:cs="Times New Roman" w:hint="eastAsia"/>
          <w:b/>
          <w:sz w:val="28"/>
          <w:szCs w:val="28"/>
        </w:rPr>
        <w:t>第三章</w:t>
      </w:r>
      <w:r w:rsidRPr="009B4CAE">
        <w:rPr>
          <w:rFonts w:ascii="Calibri" w:eastAsia="宋体" w:hAnsi="Calibri" w:cs="Times New Roman" w:hint="eastAsia"/>
          <w:b/>
          <w:sz w:val="28"/>
          <w:szCs w:val="28"/>
        </w:rPr>
        <w:t xml:space="preserve">  </w:t>
      </w:r>
      <w:r w:rsidRPr="009B4CAE">
        <w:rPr>
          <w:rFonts w:ascii="Arial" w:eastAsia="宋体" w:hAnsi="Calibri" w:cs="Arial" w:hint="eastAsia"/>
          <w:b/>
          <w:sz w:val="28"/>
          <w:szCs w:val="28"/>
        </w:rPr>
        <w:t>体质健康测评（</w:t>
      </w:r>
      <w:r w:rsidRPr="009B4CAE">
        <w:rPr>
          <w:rFonts w:ascii="Arial" w:eastAsia="宋体" w:hAnsi="Calibri" w:cs="Arial" w:hint="eastAsia"/>
          <w:b/>
          <w:sz w:val="28"/>
          <w:szCs w:val="28"/>
        </w:rPr>
        <w:t>4</w:t>
      </w:r>
      <w:r w:rsidRPr="009B4CAE">
        <w:rPr>
          <w:rFonts w:ascii="Arial" w:eastAsia="宋体" w:hAnsi="Calibri" w:cs="Arial" w:hint="eastAsia"/>
          <w:b/>
          <w:sz w:val="28"/>
          <w:szCs w:val="28"/>
        </w:rPr>
        <w:t>学时）</w:t>
      </w:r>
    </w:p>
    <w:p w14:paraId="255ACF42" w14:textId="77777777" w:rsidR="009B4CAE" w:rsidRPr="009B4CAE" w:rsidRDefault="009B4CAE" w:rsidP="009B4CAE">
      <w:pPr>
        <w:spacing w:line="360" w:lineRule="auto"/>
        <w:ind w:firstLineChars="196" w:firstLine="472"/>
        <w:rPr>
          <w:rFonts w:ascii="Arial" w:eastAsia="宋体" w:hAnsi="Arial" w:cs="Arial"/>
          <w:b/>
          <w:sz w:val="24"/>
        </w:rPr>
      </w:pPr>
      <w:r w:rsidRPr="009B4CAE">
        <w:rPr>
          <w:rFonts w:ascii="Arial" w:eastAsia="宋体" w:hAnsi="Calibri" w:cs="Arial" w:hint="eastAsia"/>
          <w:b/>
          <w:sz w:val="24"/>
        </w:rPr>
        <w:t>本章主要教学内容：</w:t>
      </w:r>
    </w:p>
    <w:p w14:paraId="27CDEFC5"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3.1 《国家学生体质健康标准》实施说明</w:t>
      </w:r>
    </w:p>
    <w:p w14:paraId="22741569"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3.2 《国家学生体质健康标准》测试评分表</w:t>
      </w:r>
    </w:p>
    <w:p w14:paraId="5A662380" w14:textId="77777777" w:rsidR="009B4CAE" w:rsidRPr="009B4CAE" w:rsidRDefault="009B4CAE" w:rsidP="009B4CAE">
      <w:pPr>
        <w:spacing w:line="360" w:lineRule="auto"/>
        <w:ind w:firstLineChars="196" w:firstLine="472"/>
        <w:rPr>
          <w:rFonts w:ascii="Calibri" w:eastAsia="宋体" w:hAnsi="Calibri" w:cs="Times New Roman"/>
          <w:bCs/>
          <w:sz w:val="24"/>
        </w:rPr>
      </w:pPr>
      <w:r w:rsidRPr="009B4CAE">
        <w:rPr>
          <w:rFonts w:ascii="Arial" w:eastAsia="宋体" w:hAnsi="Calibri" w:cs="Arial" w:hint="eastAsia"/>
          <w:b/>
          <w:sz w:val="24"/>
        </w:rPr>
        <w:t>本章教学目的及要求：</w:t>
      </w:r>
      <w:r w:rsidRPr="009B4CAE">
        <w:rPr>
          <w:rFonts w:ascii="Calibri" w:eastAsia="宋体" w:hAnsi="Calibri" w:cs="Times New Roman" w:hint="eastAsia"/>
          <w:bCs/>
          <w:sz w:val="24"/>
        </w:rPr>
        <w:t>使学生了解体质健康的主要内容及要求。</w:t>
      </w:r>
    </w:p>
    <w:p w14:paraId="1B6CD4D9" w14:textId="77777777" w:rsidR="009B4CAE" w:rsidRPr="009B4CAE" w:rsidRDefault="009B4CAE" w:rsidP="009B4CAE">
      <w:pPr>
        <w:spacing w:line="360" w:lineRule="auto"/>
        <w:ind w:firstLineChars="196" w:firstLine="472"/>
        <w:rPr>
          <w:rFonts w:ascii="Arial" w:eastAsia="宋体" w:hAnsi="Arial" w:cs="Arial"/>
          <w:b/>
          <w:sz w:val="28"/>
          <w:szCs w:val="28"/>
        </w:rPr>
      </w:pPr>
      <w:r w:rsidRPr="009B4CAE">
        <w:rPr>
          <w:rFonts w:ascii="Arial" w:eastAsia="宋体" w:hAnsi="Calibri" w:cs="Arial" w:hint="eastAsia"/>
          <w:b/>
          <w:sz w:val="24"/>
        </w:rPr>
        <w:t>本章教学重点及难点：</w:t>
      </w:r>
      <w:r w:rsidRPr="009B4CAE">
        <w:rPr>
          <w:rFonts w:ascii="Arial" w:eastAsia="宋体" w:hAnsi="Calibri" w:cs="Arial" w:hint="eastAsia"/>
          <w:sz w:val="24"/>
        </w:rPr>
        <w:t>学生体质健康标准的重要性；如何激发学生锻炼身体的积极性和自觉性。</w:t>
      </w:r>
    </w:p>
    <w:p w14:paraId="392E3929" w14:textId="77777777" w:rsidR="009B4CAE" w:rsidRPr="009B4CAE" w:rsidRDefault="009B4CAE" w:rsidP="009B4CAE">
      <w:pPr>
        <w:spacing w:beforeLines="50" w:before="156" w:afterLines="50" w:after="156" w:line="440" w:lineRule="exact"/>
        <w:ind w:firstLineChars="200" w:firstLine="560"/>
        <w:jc w:val="center"/>
        <w:rPr>
          <w:rFonts w:ascii="黑体" w:eastAsia="黑体" w:hAnsi="黑体" w:cs="Times New Roman"/>
          <w:sz w:val="28"/>
          <w:szCs w:val="28"/>
        </w:rPr>
      </w:pPr>
      <w:r w:rsidRPr="009B4CAE">
        <w:rPr>
          <w:rFonts w:ascii="黑体" w:eastAsia="黑体" w:hAnsi="黑体" w:cs="Times New Roman" w:hint="eastAsia"/>
          <w:sz w:val="28"/>
          <w:szCs w:val="28"/>
        </w:rPr>
        <w:t>学习内容四 交谊舞 3</w:t>
      </w:r>
    </w:p>
    <w:p w14:paraId="3D53B9CE" w14:textId="77777777" w:rsidR="009B4CAE" w:rsidRPr="009B4CAE" w:rsidRDefault="009B4CAE" w:rsidP="009B4CAE">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9B4CAE">
        <w:rPr>
          <w:rFonts w:ascii="宋体" w:eastAsia="宋体" w:hAnsi="宋体" w:cs="Times New Roman" w:hint="eastAsia"/>
          <w:b/>
          <w:sz w:val="24"/>
        </w:rPr>
        <w:t>【学习目标】</w:t>
      </w:r>
    </w:p>
    <w:p w14:paraId="500BDA7E" w14:textId="77777777" w:rsidR="009B4CAE" w:rsidRPr="009B4CAE" w:rsidRDefault="009B4CAE" w:rsidP="009B4CAE">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9B4CAE">
        <w:rPr>
          <w:rFonts w:ascii="宋体" w:eastAsia="宋体" w:hAnsi="Calibri" w:cs="宋体" w:hint="eastAsia"/>
          <w:spacing w:val="5"/>
          <w:kern w:val="0"/>
          <w:sz w:val="24"/>
        </w:rPr>
        <w:t>1.</w:t>
      </w:r>
      <w:r w:rsidRPr="009B4CAE">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9B4CAE">
        <w:rPr>
          <w:rFonts w:ascii="宋体" w:eastAsia="宋体" w:hAnsi="Calibri" w:cs="宋体" w:hint="eastAsia"/>
          <w:spacing w:val="5"/>
          <w:kern w:val="0"/>
          <w:sz w:val="24"/>
        </w:rPr>
        <w:t>通过体能教学活动，</w:t>
      </w:r>
      <w:r w:rsidRPr="009B4CAE">
        <w:rPr>
          <w:rFonts w:ascii="宋体" w:eastAsia="宋体" w:hAnsi="宋体" w:cs="仿宋_GB2312" w:hint="eastAsia"/>
          <w:sz w:val="24"/>
        </w:rPr>
        <w:t>了解《大学生体质健康标准测验》项目内容、考核方式、评价标准，掌握考核内容锻炼的方式方法。</w:t>
      </w:r>
      <w:r w:rsidRPr="009B4CAE">
        <w:rPr>
          <w:rFonts w:ascii="宋体" w:eastAsia="宋体" w:hAnsi="Calibri" w:cs="宋体" w:hint="eastAsia"/>
          <w:spacing w:val="5"/>
          <w:kern w:val="0"/>
          <w:sz w:val="24"/>
        </w:rPr>
        <w:t>培养学生努力学习、不断进取、修身立业、顽强奋进的精神与品质。</w:t>
      </w:r>
    </w:p>
    <w:p w14:paraId="71C9F8A0" w14:textId="77777777" w:rsidR="009B4CAE" w:rsidRPr="009B4CAE" w:rsidRDefault="009B4CAE" w:rsidP="009B4CAE">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9B4CAE">
        <w:rPr>
          <w:rFonts w:ascii="宋体" w:eastAsia="宋体" w:hAnsi="Calibri" w:cs="宋体" w:hint="eastAsia"/>
          <w:spacing w:val="5"/>
          <w:kern w:val="0"/>
          <w:sz w:val="24"/>
        </w:rPr>
        <w:t>2.</w:t>
      </w:r>
      <w:r w:rsidRPr="009B4CAE">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9B4CAE">
        <w:rPr>
          <w:rFonts w:ascii="宋体" w:eastAsia="宋体" w:hAnsi="Calibri" w:cs="宋体" w:hint="eastAsia"/>
          <w:spacing w:val="5"/>
          <w:kern w:val="0"/>
          <w:sz w:val="24"/>
        </w:rPr>
        <w:t>。</w:t>
      </w:r>
    </w:p>
    <w:p w14:paraId="6C53FEB2" w14:textId="77777777" w:rsidR="009B4CAE" w:rsidRPr="009B4CAE" w:rsidRDefault="009B4CAE" w:rsidP="009B4CAE">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9B4CAE">
        <w:rPr>
          <w:rFonts w:ascii="宋体" w:eastAsia="宋体" w:hAnsi="Calibri" w:cs="宋体" w:hint="eastAsia"/>
          <w:spacing w:val="5"/>
          <w:kern w:val="0"/>
          <w:sz w:val="24"/>
        </w:rPr>
        <w:t>3.</w:t>
      </w:r>
      <w:r w:rsidRPr="009B4CAE">
        <w:rPr>
          <w:rFonts w:ascii="宋体" w:eastAsia="宋体" w:hAnsi="宋体" w:cs="宋体" w:hint="eastAsia"/>
          <w:spacing w:val="5"/>
          <w:kern w:val="0"/>
          <w:sz w:val="24"/>
        </w:rPr>
        <w:t>通过体育舞蹈的学习和实践，掌握体育舞蹈的基本知识、基本技术、基本技法和方法。掌握基本的练习方法，进一步培养音乐感，进行自我的审美教育；培养学生具有一定表演比赛能力和欣赏比赛能力。以运动和身体练习为基本手段，</w:t>
      </w:r>
      <w:r w:rsidRPr="009B4CAE">
        <w:rPr>
          <w:rFonts w:ascii="宋体" w:eastAsia="宋体" w:hAnsi="宋体" w:cs="宋体" w:hint="eastAsia"/>
          <w:spacing w:val="5"/>
          <w:kern w:val="0"/>
          <w:sz w:val="24"/>
        </w:rPr>
        <w:lastRenderedPageBreak/>
        <w:t>对大学生机体进行科学的培育，在提高人的生物潜能、心理潜能的过程中促进德、智、体、美全面发展，达到身心健康、全面发展的教育总目的。</w:t>
      </w:r>
    </w:p>
    <w:p w14:paraId="6D5ED425" w14:textId="77777777" w:rsidR="009B4CAE" w:rsidRPr="009B4CAE" w:rsidRDefault="009B4CAE" w:rsidP="009B4CAE">
      <w:pPr>
        <w:spacing w:line="440" w:lineRule="exact"/>
        <w:ind w:firstLineChars="200" w:firstLine="500"/>
        <w:rPr>
          <w:rFonts w:ascii="宋体" w:eastAsia="宋体" w:hAnsi="宋体" w:cs="Times New Roman"/>
          <w:b/>
          <w:sz w:val="24"/>
        </w:rPr>
      </w:pPr>
      <w:r w:rsidRPr="009B4CAE">
        <w:rPr>
          <w:rFonts w:ascii="宋体" w:eastAsia="宋体" w:hAnsi="Calibri" w:cs="宋体" w:hint="eastAsia"/>
          <w:spacing w:val="5"/>
          <w:kern w:val="0"/>
          <w:sz w:val="24"/>
        </w:rPr>
        <w:t>4.</w:t>
      </w:r>
      <w:r w:rsidRPr="009B4CAE">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9B4CAE">
        <w:rPr>
          <w:rFonts w:ascii="宋体" w:eastAsia="宋体" w:hAnsi="Calibri" w:cs="宋体" w:hint="eastAsia"/>
          <w:spacing w:val="5"/>
          <w:kern w:val="0"/>
          <w:sz w:val="24"/>
        </w:rPr>
        <w:t>。</w:t>
      </w:r>
    </w:p>
    <w:p w14:paraId="69FD756B" w14:textId="77777777" w:rsidR="009B4CAE" w:rsidRPr="009B4CAE" w:rsidRDefault="009B4CAE" w:rsidP="009B4CAE">
      <w:pPr>
        <w:spacing w:line="440" w:lineRule="exact"/>
        <w:ind w:firstLineChars="200" w:firstLine="482"/>
        <w:rPr>
          <w:rFonts w:ascii="宋体" w:eastAsia="宋体" w:hAnsi="宋体" w:cs="Times New Roman"/>
          <w:bCs/>
          <w:color w:val="FF0000"/>
          <w:sz w:val="24"/>
        </w:rPr>
      </w:pPr>
      <w:r w:rsidRPr="009B4CAE">
        <w:rPr>
          <w:rFonts w:ascii="宋体" w:eastAsia="宋体" w:hAnsi="宋体" w:cs="Times New Roman" w:hint="eastAsia"/>
          <w:b/>
          <w:sz w:val="24"/>
        </w:rPr>
        <w:t>【学习内容】</w:t>
      </w:r>
    </w:p>
    <w:p w14:paraId="3B8E6BF4" w14:textId="77777777" w:rsidR="009B4CAE" w:rsidRPr="009B4CAE" w:rsidRDefault="009B4CAE" w:rsidP="009B4CAE">
      <w:pPr>
        <w:adjustRightInd w:val="0"/>
        <w:snapToGrid w:val="0"/>
        <w:spacing w:line="500" w:lineRule="exact"/>
        <w:ind w:firstLineChars="200" w:firstLine="562"/>
        <w:jc w:val="center"/>
        <w:rPr>
          <w:rFonts w:ascii="宋体" w:eastAsia="宋体" w:hAnsi="宋体" w:cs="Times New Roman"/>
          <w:b/>
          <w:sz w:val="28"/>
          <w:szCs w:val="28"/>
        </w:rPr>
      </w:pPr>
      <w:r w:rsidRPr="009B4CAE">
        <w:rPr>
          <w:rFonts w:ascii="宋体" w:eastAsia="宋体" w:hAnsi="宋体" w:cs="Times New Roman" w:hint="eastAsia"/>
          <w:b/>
          <w:sz w:val="28"/>
          <w:szCs w:val="28"/>
        </w:rPr>
        <w:t>第一章  理论部分(2学时)</w:t>
      </w:r>
    </w:p>
    <w:p w14:paraId="61D04090" w14:textId="77777777" w:rsidR="009B4CAE" w:rsidRPr="009B4CAE" w:rsidRDefault="009B4CAE" w:rsidP="009B4CAE">
      <w:pPr>
        <w:adjustRightInd w:val="0"/>
        <w:snapToGrid w:val="0"/>
        <w:spacing w:line="500" w:lineRule="exact"/>
        <w:ind w:firstLineChars="200" w:firstLine="482"/>
        <w:rPr>
          <w:rFonts w:ascii="Calibri" w:eastAsia="宋体" w:hAnsi="Calibri" w:cs="Times New Roman"/>
          <w:b/>
          <w:sz w:val="24"/>
        </w:rPr>
      </w:pPr>
      <w:r w:rsidRPr="009B4CAE">
        <w:rPr>
          <w:rFonts w:ascii="Calibri" w:eastAsia="宋体" w:hAnsi="Calibri" w:cs="Times New Roman"/>
          <w:b/>
          <w:sz w:val="24"/>
        </w:rPr>
        <w:t>本章主要教学内容：</w:t>
      </w:r>
    </w:p>
    <w:p w14:paraId="0D49B4C0" w14:textId="77777777" w:rsidR="009B4CAE" w:rsidRPr="009B4CAE" w:rsidRDefault="009B4CAE" w:rsidP="009B4CAE">
      <w:pPr>
        <w:adjustRightInd w:val="0"/>
        <w:snapToGrid w:val="0"/>
        <w:spacing w:line="500" w:lineRule="exact"/>
        <w:ind w:firstLineChars="200" w:firstLine="480"/>
        <w:rPr>
          <w:rFonts w:ascii="宋体" w:eastAsia="宋体" w:hAnsi="宋体" w:cs="宋体"/>
          <w:sz w:val="24"/>
        </w:rPr>
      </w:pPr>
      <w:r w:rsidRPr="009B4CAE">
        <w:rPr>
          <w:rFonts w:ascii="宋体" w:eastAsia="宋体" w:hAnsi="宋体" w:cs="宋体" w:hint="eastAsia"/>
          <w:sz w:val="24"/>
        </w:rPr>
        <w:t>1.1体育舞蹈的发展概况</w:t>
      </w:r>
    </w:p>
    <w:p w14:paraId="5FA7D475" w14:textId="77777777" w:rsidR="009B4CAE" w:rsidRPr="009B4CAE" w:rsidRDefault="009B4CAE" w:rsidP="009B4CAE">
      <w:pPr>
        <w:adjustRightInd w:val="0"/>
        <w:snapToGrid w:val="0"/>
        <w:spacing w:line="500" w:lineRule="exact"/>
        <w:ind w:firstLineChars="200" w:firstLine="480"/>
        <w:rPr>
          <w:rFonts w:ascii="宋体" w:eastAsia="宋体" w:hAnsi="宋体" w:cs="宋体"/>
          <w:sz w:val="24"/>
        </w:rPr>
      </w:pPr>
      <w:r w:rsidRPr="009B4CAE">
        <w:rPr>
          <w:rFonts w:ascii="宋体" w:eastAsia="宋体" w:hAnsi="宋体" w:cs="宋体" w:hint="eastAsia"/>
          <w:sz w:val="24"/>
        </w:rPr>
        <w:t>1.2 体育舞蹈的特点和分类</w:t>
      </w:r>
    </w:p>
    <w:p w14:paraId="448E7AE0" w14:textId="77777777" w:rsidR="009B4CAE" w:rsidRPr="009B4CAE" w:rsidRDefault="009B4CAE" w:rsidP="009B4CAE">
      <w:pPr>
        <w:adjustRightInd w:val="0"/>
        <w:snapToGrid w:val="0"/>
        <w:spacing w:line="500" w:lineRule="exact"/>
        <w:ind w:firstLineChars="200" w:firstLine="480"/>
        <w:rPr>
          <w:rFonts w:ascii="宋体" w:eastAsia="宋体" w:hAnsi="宋体" w:cs="宋体"/>
          <w:sz w:val="24"/>
        </w:rPr>
      </w:pPr>
      <w:r w:rsidRPr="009B4CAE">
        <w:rPr>
          <w:rFonts w:ascii="宋体" w:eastAsia="宋体" w:hAnsi="宋体" w:cs="宋体" w:hint="eastAsia"/>
          <w:sz w:val="24"/>
        </w:rPr>
        <w:t>1.3社交中基本礼仪和常识</w:t>
      </w:r>
    </w:p>
    <w:p w14:paraId="290CAC35" w14:textId="77777777" w:rsidR="009B4CAE" w:rsidRPr="009B4CAE" w:rsidRDefault="009B4CAE" w:rsidP="009B4CAE">
      <w:pPr>
        <w:adjustRightInd w:val="0"/>
        <w:snapToGrid w:val="0"/>
        <w:spacing w:line="500" w:lineRule="exact"/>
        <w:ind w:firstLineChars="200" w:firstLine="482"/>
        <w:rPr>
          <w:rFonts w:ascii="Calibri" w:eastAsia="宋体" w:hAnsi="Calibri" w:cs="Times New Roman"/>
          <w:b/>
          <w:sz w:val="24"/>
        </w:rPr>
      </w:pPr>
      <w:r w:rsidRPr="009B4CAE">
        <w:rPr>
          <w:rFonts w:ascii="Calibri" w:eastAsia="宋体" w:hAnsi="Calibri" w:cs="Times New Roman"/>
          <w:b/>
          <w:sz w:val="24"/>
        </w:rPr>
        <w:t>本章教学目的及要求：</w:t>
      </w:r>
      <w:r w:rsidRPr="009B4CAE">
        <w:rPr>
          <w:rFonts w:ascii="Calibri" w:eastAsia="宋体" w:hAnsi="Calibri" w:cs="Times New Roman" w:hint="eastAsia"/>
          <w:color w:val="000000"/>
          <w:sz w:val="24"/>
        </w:rPr>
        <w:t>初步了解体育舞蹈的基本特点，了解社交基本礼仪，增强学生社交能力。</w:t>
      </w:r>
    </w:p>
    <w:p w14:paraId="66373602" w14:textId="77777777" w:rsidR="009B4CAE" w:rsidRPr="009B4CAE" w:rsidRDefault="009B4CAE" w:rsidP="009B4CAE">
      <w:pPr>
        <w:adjustRightInd w:val="0"/>
        <w:snapToGrid w:val="0"/>
        <w:spacing w:line="500" w:lineRule="exact"/>
        <w:ind w:firstLineChars="200" w:firstLine="482"/>
        <w:rPr>
          <w:rFonts w:ascii="宋体" w:eastAsia="宋体" w:hAnsi="宋体" w:cs="Times New Roman"/>
          <w:sz w:val="24"/>
        </w:rPr>
      </w:pPr>
      <w:r w:rsidRPr="009B4CAE">
        <w:rPr>
          <w:rFonts w:ascii="Calibri" w:eastAsia="宋体" w:hAnsi="Calibri" w:cs="Times New Roman"/>
          <w:b/>
          <w:sz w:val="24"/>
        </w:rPr>
        <w:t>本章教学重点及难点：</w:t>
      </w:r>
      <w:r w:rsidRPr="009B4CAE">
        <w:rPr>
          <w:rFonts w:ascii="Calibri" w:eastAsia="宋体" w:hAnsi="Calibri" w:cs="Times New Roman" w:hint="eastAsia"/>
          <w:color w:val="000000"/>
          <w:sz w:val="24"/>
        </w:rPr>
        <w:t>体育舞蹈的发展概况；难点是交谊舞的特点和分类。</w:t>
      </w:r>
    </w:p>
    <w:p w14:paraId="6F1FD2E0" w14:textId="77777777" w:rsidR="009B4CAE" w:rsidRPr="009B4CAE" w:rsidRDefault="009B4CAE" w:rsidP="009B4CAE">
      <w:pPr>
        <w:adjustRightInd w:val="0"/>
        <w:snapToGrid w:val="0"/>
        <w:spacing w:beforeLines="50" w:before="156" w:afterLines="50" w:after="156" w:line="500" w:lineRule="exact"/>
        <w:jc w:val="center"/>
        <w:rPr>
          <w:rFonts w:ascii="宋体" w:eastAsia="宋体" w:hAnsi="宋体" w:cs="Times New Roman"/>
          <w:b/>
          <w:sz w:val="28"/>
          <w:szCs w:val="28"/>
        </w:rPr>
      </w:pPr>
      <w:r w:rsidRPr="009B4CAE">
        <w:rPr>
          <w:rFonts w:ascii="宋体" w:eastAsia="宋体" w:hAnsi="宋体" w:cs="Times New Roman" w:hint="eastAsia"/>
          <w:b/>
          <w:sz w:val="28"/>
          <w:szCs w:val="28"/>
        </w:rPr>
        <w:t xml:space="preserve">第二章  </w:t>
      </w:r>
      <w:r w:rsidRPr="009B4CAE">
        <w:rPr>
          <w:rFonts w:ascii="宋体" w:eastAsia="宋体" w:hAnsi="宋体" w:cs="Arial"/>
          <w:b/>
          <w:sz w:val="28"/>
          <w:szCs w:val="28"/>
        </w:rPr>
        <w:t xml:space="preserve"> </w:t>
      </w:r>
      <w:r w:rsidRPr="009B4CAE">
        <w:rPr>
          <w:rFonts w:ascii="宋体" w:eastAsia="宋体" w:hAnsi="宋体" w:cs="Arial" w:hint="eastAsia"/>
          <w:b/>
          <w:sz w:val="28"/>
          <w:szCs w:val="28"/>
        </w:rPr>
        <w:t>实践部分</w:t>
      </w:r>
      <w:r w:rsidRPr="009B4CAE">
        <w:rPr>
          <w:rFonts w:ascii="宋体" w:eastAsia="宋体" w:hAnsi="宋体" w:cs="Times New Roman" w:hint="eastAsia"/>
          <w:b/>
          <w:sz w:val="28"/>
          <w:szCs w:val="28"/>
        </w:rPr>
        <w:t>（24学时）</w:t>
      </w:r>
    </w:p>
    <w:p w14:paraId="32E9C7A6" w14:textId="77777777" w:rsidR="009B4CAE" w:rsidRPr="009B4CAE" w:rsidRDefault="009B4CAE" w:rsidP="009B4CAE">
      <w:pPr>
        <w:adjustRightInd w:val="0"/>
        <w:snapToGrid w:val="0"/>
        <w:spacing w:line="500" w:lineRule="exact"/>
        <w:ind w:firstLineChars="200" w:firstLine="482"/>
        <w:rPr>
          <w:rFonts w:ascii="Calibri" w:eastAsia="宋体" w:hAnsi="Calibri" w:cs="Times New Roman"/>
          <w:b/>
          <w:sz w:val="24"/>
        </w:rPr>
      </w:pPr>
      <w:r w:rsidRPr="009B4CAE">
        <w:rPr>
          <w:rFonts w:ascii="Calibri" w:eastAsia="宋体" w:hAnsi="Calibri" w:cs="Times New Roman"/>
          <w:b/>
          <w:sz w:val="24"/>
        </w:rPr>
        <w:t>本章主要教学内容：</w:t>
      </w:r>
    </w:p>
    <w:p w14:paraId="4D9CF0EA" w14:textId="77777777" w:rsidR="009B4CAE" w:rsidRPr="009B4CAE" w:rsidRDefault="009B4CAE" w:rsidP="009B4CAE">
      <w:pPr>
        <w:adjustRightInd w:val="0"/>
        <w:snapToGrid w:val="0"/>
        <w:spacing w:line="500" w:lineRule="exact"/>
        <w:ind w:firstLineChars="200" w:firstLine="480"/>
        <w:rPr>
          <w:rFonts w:ascii="宋体" w:eastAsia="宋体" w:hAnsi="宋体" w:cs="宋体"/>
          <w:b/>
          <w:color w:val="000000"/>
          <w:sz w:val="24"/>
        </w:rPr>
      </w:pPr>
      <w:r w:rsidRPr="009B4CAE">
        <w:rPr>
          <w:rFonts w:ascii="宋体" w:eastAsia="宋体" w:hAnsi="宋体" w:cs="宋体" w:hint="eastAsia"/>
          <w:color w:val="000000"/>
          <w:sz w:val="24"/>
        </w:rPr>
        <w:t>2.1.专项形体训练</w:t>
      </w:r>
      <w:r w:rsidRPr="009B4CAE">
        <w:rPr>
          <w:rFonts w:ascii="宋体" w:eastAsia="宋体" w:hAnsi="宋体" w:cs="宋体" w:hint="eastAsia"/>
          <w:b/>
          <w:color w:val="000000"/>
          <w:sz w:val="24"/>
        </w:rPr>
        <w:t>：</w:t>
      </w:r>
      <w:r w:rsidRPr="009B4CAE">
        <w:rPr>
          <w:rFonts w:ascii="宋体" w:eastAsia="宋体" w:hAnsi="宋体" w:cs="宋体" w:hint="eastAsia"/>
          <w:color w:val="000000"/>
          <w:sz w:val="24"/>
        </w:rPr>
        <w:t>立；蹲</w:t>
      </w:r>
      <w:r w:rsidRPr="009B4CAE">
        <w:rPr>
          <w:rFonts w:ascii="宋体" w:eastAsia="宋体" w:hAnsi="宋体" w:cs="宋体" w:hint="eastAsia"/>
          <w:b/>
          <w:color w:val="000000"/>
          <w:sz w:val="24"/>
        </w:rPr>
        <w:t>；</w:t>
      </w:r>
      <w:r w:rsidRPr="009B4CAE">
        <w:rPr>
          <w:rFonts w:ascii="宋体" w:eastAsia="宋体" w:hAnsi="宋体" w:cs="宋体" w:hint="eastAsia"/>
          <w:color w:val="000000"/>
          <w:sz w:val="24"/>
        </w:rPr>
        <w:t>擦地</w:t>
      </w:r>
      <w:r w:rsidRPr="009B4CAE">
        <w:rPr>
          <w:rFonts w:ascii="宋体" w:eastAsia="宋体" w:hAnsi="宋体" w:cs="宋体" w:hint="eastAsia"/>
          <w:b/>
          <w:color w:val="000000"/>
          <w:sz w:val="24"/>
        </w:rPr>
        <w:t>、</w:t>
      </w:r>
      <w:r w:rsidRPr="009B4CAE">
        <w:rPr>
          <w:rFonts w:ascii="宋体" w:eastAsia="宋体" w:hAnsi="宋体" w:cs="宋体" w:hint="eastAsia"/>
          <w:color w:val="000000"/>
          <w:sz w:val="24"/>
        </w:rPr>
        <w:t>向侧、后移动练习；形体姿态练习组合。</w:t>
      </w:r>
    </w:p>
    <w:p w14:paraId="18D31109" w14:textId="77777777" w:rsidR="009B4CAE" w:rsidRPr="009B4CAE" w:rsidRDefault="009B4CAE" w:rsidP="009B4CAE">
      <w:pPr>
        <w:spacing w:line="500" w:lineRule="exact"/>
        <w:ind w:firstLineChars="200" w:firstLine="480"/>
        <w:rPr>
          <w:rFonts w:ascii="宋体" w:eastAsia="宋体" w:hAnsi="宋体" w:cs="宋体"/>
          <w:sz w:val="24"/>
        </w:rPr>
      </w:pPr>
      <w:r w:rsidRPr="009B4CAE">
        <w:rPr>
          <w:rFonts w:ascii="宋体" w:eastAsia="宋体" w:hAnsi="宋体" w:cs="宋体" w:hint="eastAsia"/>
          <w:sz w:val="24"/>
        </w:rPr>
        <w:t>2.2 学习北京平</w:t>
      </w:r>
      <w:proofErr w:type="gramStart"/>
      <w:r w:rsidRPr="009B4CAE">
        <w:rPr>
          <w:rFonts w:ascii="宋体" w:eastAsia="宋体" w:hAnsi="宋体" w:cs="宋体" w:hint="eastAsia"/>
          <w:sz w:val="24"/>
        </w:rPr>
        <w:t>四基本步</w:t>
      </w:r>
      <w:proofErr w:type="gramEnd"/>
      <w:r w:rsidRPr="009B4CAE">
        <w:rPr>
          <w:rFonts w:ascii="宋体" w:eastAsia="宋体" w:hAnsi="宋体" w:cs="宋体" w:hint="eastAsia"/>
          <w:sz w:val="24"/>
        </w:rPr>
        <w:t>（</w:t>
      </w:r>
      <w:proofErr w:type="gramStart"/>
      <w:r w:rsidRPr="009B4CAE">
        <w:rPr>
          <w:rFonts w:ascii="宋体" w:eastAsia="宋体" w:hAnsi="宋体" w:cs="宋体" w:hint="eastAsia"/>
          <w:sz w:val="24"/>
        </w:rPr>
        <w:t>一</w:t>
      </w:r>
      <w:proofErr w:type="gramEnd"/>
      <w:r w:rsidRPr="009B4CAE">
        <w:rPr>
          <w:rFonts w:ascii="宋体" w:eastAsia="宋体" w:hAnsi="宋体" w:cs="宋体" w:hint="eastAsia"/>
          <w:sz w:val="24"/>
        </w:rPr>
        <w:t>）（二）（三）并听音乐练习。</w:t>
      </w:r>
    </w:p>
    <w:p w14:paraId="74413971" w14:textId="77777777" w:rsidR="009B4CAE" w:rsidRPr="009B4CAE" w:rsidRDefault="009B4CAE" w:rsidP="009B4CAE">
      <w:pPr>
        <w:spacing w:line="500" w:lineRule="exact"/>
        <w:ind w:firstLineChars="200" w:firstLine="480"/>
        <w:rPr>
          <w:rFonts w:ascii="宋体" w:eastAsia="宋体" w:hAnsi="宋体" w:cs="宋体"/>
          <w:sz w:val="24"/>
        </w:rPr>
      </w:pPr>
      <w:r w:rsidRPr="009B4CAE">
        <w:rPr>
          <w:rFonts w:ascii="宋体" w:eastAsia="宋体" w:hAnsi="宋体" w:cs="宋体" w:hint="eastAsia"/>
          <w:sz w:val="24"/>
        </w:rPr>
        <w:t>2.3.学习北京平四单手花样、双手花样、组合花样和基本握持，并跟音乐组合练习。</w:t>
      </w:r>
    </w:p>
    <w:p w14:paraId="0545A694" w14:textId="77777777" w:rsidR="009B4CAE" w:rsidRPr="009B4CAE" w:rsidRDefault="009B4CAE" w:rsidP="009B4CAE">
      <w:pPr>
        <w:spacing w:line="500" w:lineRule="exact"/>
        <w:ind w:firstLineChars="200" w:firstLine="480"/>
        <w:rPr>
          <w:rFonts w:ascii="Arial" w:eastAsia="宋体" w:hAnsi="Calibri" w:cs="Arial"/>
          <w:sz w:val="24"/>
        </w:rPr>
      </w:pPr>
      <w:r w:rsidRPr="009B4CAE">
        <w:rPr>
          <w:rFonts w:ascii="Arial" w:eastAsia="宋体" w:hAnsi="Calibri" w:cs="Arial" w:hint="eastAsia"/>
          <w:bCs/>
          <w:sz w:val="24"/>
        </w:rPr>
        <w:t>本章教学目的及要求：</w:t>
      </w:r>
      <w:r w:rsidRPr="009B4CAE">
        <w:rPr>
          <w:rFonts w:ascii="Arial" w:eastAsia="宋体" w:hAnsi="Calibri" w:cs="Arial" w:hint="eastAsia"/>
          <w:sz w:val="24"/>
        </w:rPr>
        <w:t>使学生掌握交谊舞的基本舞姿和北京平四舞蹈的基本技法和步法。</w:t>
      </w:r>
    </w:p>
    <w:p w14:paraId="5C143F6D" w14:textId="77777777" w:rsidR="009B4CAE" w:rsidRPr="009B4CAE" w:rsidRDefault="009B4CAE" w:rsidP="009B4CAE">
      <w:pPr>
        <w:spacing w:line="500" w:lineRule="exact"/>
        <w:ind w:firstLineChars="200" w:firstLine="480"/>
        <w:rPr>
          <w:rFonts w:ascii="Arial" w:eastAsia="宋体" w:hAnsi="Calibri" w:cs="Arial"/>
          <w:b/>
          <w:sz w:val="24"/>
        </w:rPr>
      </w:pPr>
      <w:r w:rsidRPr="009B4CAE">
        <w:rPr>
          <w:rFonts w:ascii="Arial" w:eastAsia="宋体" w:hAnsi="Calibri" w:cs="Arial" w:hint="eastAsia"/>
          <w:bCs/>
          <w:sz w:val="24"/>
        </w:rPr>
        <w:t>本章教学重点及难点：</w:t>
      </w:r>
      <w:r w:rsidRPr="009B4CAE">
        <w:rPr>
          <w:rFonts w:ascii="Arial" w:eastAsia="宋体" w:hAnsi="Calibri" w:cs="Arial" w:hint="eastAsia"/>
          <w:sz w:val="24"/>
        </w:rPr>
        <w:t>基本舞步的组合方法是教学重点；教学难点：舞步、形体姿态和音乐的协调统一。</w:t>
      </w:r>
    </w:p>
    <w:p w14:paraId="0FD21344" w14:textId="77777777" w:rsidR="009B4CAE" w:rsidRPr="009B4CAE" w:rsidRDefault="009B4CAE" w:rsidP="009B4CAE">
      <w:pPr>
        <w:adjustRightInd w:val="0"/>
        <w:snapToGrid w:val="0"/>
        <w:spacing w:beforeLines="50" w:before="156" w:afterLines="50" w:after="156" w:line="500" w:lineRule="exact"/>
        <w:jc w:val="center"/>
        <w:rPr>
          <w:rFonts w:ascii="宋体" w:eastAsia="宋体" w:hAnsi="宋体" w:cs="Times New Roman"/>
          <w:b/>
          <w:sz w:val="28"/>
          <w:szCs w:val="28"/>
        </w:rPr>
      </w:pPr>
      <w:r w:rsidRPr="009B4CAE">
        <w:rPr>
          <w:rFonts w:ascii="宋体" w:eastAsia="宋体" w:hAnsi="宋体" w:cs="Times New Roman" w:hint="eastAsia"/>
          <w:b/>
          <w:sz w:val="28"/>
          <w:szCs w:val="28"/>
        </w:rPr>
        <w:t>第三章  身体素质（6学时）</w:t>
      </w:r>
    </w:p>
    <w:p w14:paraId="0939C2F1" w14:textId="77777777" w:rsidR="009B4CAE" w:rsidRPr="009B4CAE" w:rsidRDefault="009B4CAE" w:rsidP="009B4CAE">
      <w:pPr>
        <w:spacing w:line="360" w:lineRule="auto"/>
        <w:ind w:firstLineChars="200" w:firstLine="482"/>
        <w:rPr>
          <w:rFonts w:ascii="Calibri" w:eastAsia="宋体" w:hAnsi="Calibri" w:cs="Times New Roman"/>
          <w:b/>
          <w:sz w:val="24"/>
        </w:rPr>
      </w:pPr>
      <w:r w:rsidRPr="009B4CAE">
        <w:rPr>
          <w:rFonts w:ascii="Calibri" w:eastAsia="宋体" w:hAnsi="Calibri" w:cs="Times New Roman"/>
          <w:b/>
          <w:sz w:val="24"/>
        </w:rPr>
        <w:lastRenderedPageBreak/>
        <w:t>本章主要教学内容：</w:t>
      </w:r>
    </w:p>
    <w:p w14:paraId="07F8439D" w14:textId="77777777" w:rsidR="009B4CAE" w:rsidRPr="009B4CAE" w:rsidRDefault="009B4CAE" w:rsidP="009B4CAE">
      <w:pPr>
        <w:adjustRightInd w:val="0"/>
        <w:snapToGrid w:val="0"/>
        <w:spacing w:line="500" w:lineRule="exact"/>
        <w:ind w:firstLineChars="200" w:firstLine="480"/>
        <w:rPr>
          <w:rFonts w:ascii="宋体" w:eastAsia="宋体" w:hAnsi="宋体" w:cs="宋体"/>
          <w:sz w:val="24"/>
        </w:rPr>
      </w:pPr>
      <w:r w:rsidRPr="009B4CAE">
        <w:rPr>
          <w:rFonts w:ascii="宋体" w:eastAsia="宋体" w:hAnsi="宋体" w:cs="宋体" w:hint="eastAsia"/>
          <w:sz w:val="24"/>
        </w:rPr>
        <w:t>3.1柔韧素质、力量素质、灵敏素质。</w:t>
      </w:r>
    </w:p>
    <w:p w14:paraId="5A468A04" w14:textId="77777777" w:rsidR="009B4CAE" w:rsidRPr="009B4CAE" w:rsidRDefault="009B4CAE" w:rsidP="009B4CAE">
      <w:pPr>
        <w:adjustRightInd w:val="0"/>
        <w:snapToGrid w:val="0"/>
        <w:spacing w:line="500" w:lineRule="exact"/>
        <w:ind w:firstLineChars="200" w:firstLine="480"/>
        <w:rPr>
          <w:rFonts w:ascii="宋体" w:eastAsia="宋体" w:hAnsi="宋体" w:cs="宋体"/>
          <w:sz w:val="24"/>
        </w:rPr>
      </w:pPr>
      <w:r w:rsidRPr="009B4CAE">
        <w:rPr>
          <w:rFonts w:ascii="宋体" w:eastAsia="宋体" w:hAnsi="宋体" w:cs="宋体" w:hint="eastAsia"/>
          <w:sz w:val="24"/>
        </w:rPr>
        <w:t xml:space="preserve">3.2教学目的及要求：使学生掌握交谊舞运动需要的基本身体素质。 </w:t>
      </w:r>
    </w:p>
    <w:p w14:paraId="5F29AD31" w14:textId="77777777" w:rsidR="009B4CAE" w:rsidRPr="009B4CAE" w:rsidRDefault="009B4CAE" w:rsidP="009B4CAE">
      <w:pPr>
        <w:adjustRightInd w:val="0"/>
        <w:snapToGrid w:val="0"/>
        <w:spacing w:line="500" w:lineRule="exact"/>
        <w:ind w:firstLineChars="200" w:firstLine="480"/>
        <w:rPr>
          <w:rFonts w:ascii="宋体" w:eastAsia="宋体" w:hAnsi="宋体" w:cs="宋体"/>
          <w:sz w:val="24"/>
        </w:rPr>
      </w:pPr>
      <w:r w:rsidRPr="009B4CAE">
        <w:rPr>
          <w:rFonts w:ascii="宋体" w:eastAsia="宋体" w:hAnsi="宋体" w:cs="宋体" w:hint="eastAsia"/>
          <w:sz w:val="24"/>
        </w:rPr>
        <w:t>教学重点及难点：身体柔韧性和灵敏素质。</w:t>
      </w:r>
    </w:p>
    <w:p w14:paraId="5CE626A9" w14:textId="77777777" w:rsidR="009B4CAE" w:rsidRPr="009B4CAE" w:rsidRDefault="009B4CAE" w:rsidP="009B4CAE">
      <w:pPr>
        <w:adjustRightInd w:val="0"/>
        <w:snapToGrid w:val="0"/>
        <w:spacing w:line="500" w:lineRule="exact"/>
        <w:ind w:firstLineChars="200" w:firstLine="482"/>
        <w:rPr>
          <w:rFonts w:ascii="Calibri" w:eastAsia="宋体" w:hAnsi="Calibri" w:cs="Times New Roman"/>
          <w:sz w:val="24"/>
        </w:rPr>
      </w:pPr>
      <w:r w:rsidRPr="009B4CAE">
        <w:rPr>
          <w:rFonts w:ascii="Calibri" w:eastAsia="宋体" w:hAnsi="Calibri" w:cs="Times New Roman" w:hint="eastAsia"/>
          <w:b/>
          <w:sz w:val="24"/>
        </w:rPr>
        <w:t>教学目的及要求</w:t>
      </w:r>
      <w:r w:rsidRPr="009B4CAE">
        <w:rPr>
          <w:rFonts w:ascii="Calibri" w:eastAsia="宋体" w:hAnsi="Calibri" w:cs="Times New Roman" w:hint="eastAsia"/>
          <w:sz w:val="24"/>
        </w:rPr>
        <w:t>：使学生掌握足球运动需要的基本身体素质。</w:t>
      </w:r>
      <w:r w:rsidRPr="009B4CAE">
        <w:rPr>
          <w:rFonts w:ascii="Calibri" w:eastAsia="宋体" w:hAnsi="Calibri" w:cs="Times New Roman" w:hint="eastAsia"/>
          <w:sz w:val="24"/>
        </w:rPr>
        <w:t xml:space="preserve"> </w:t>
      </w:r>
    </w:p>
    <w:p w14:paraId="046616E3" w14:textId="77777777" w:rsidR="009B4CAE" w:rsidRPr="009B4CAE" w:rsidRDefault="009B4CAE" w:rsidP="009B4CAE">
      <w:pPr>
        <w:adjustRightInd w:val="0"/>
        <w:snapToGrid w:val="0"/>
        <w:spacing w:line="500" w:lineRule="exact"/>
        <w:ind w:firstLineChars="200" w:firstLine="482"/>
        <w:rPr>
          <w:rFonts w:ascii="宋体" w:eastAsia="宋体" w:hAnsi="宋体" w:cs="Times New Roman"/>
          <w:bCs/>
          <w:color w:val="FF0000"/>
          <w:sz w:val="24"/>
        </w:rPr>
      </w:pPr>
      <w:r w:rsidRPr="009B4CAE">
        <w:rPr>
          <w:rFonts w:ascii="Calibri" w:eastAsia="宋体" w:hAnsi="Calibri" w:cs="Times New Roman" w:hint="eastAsia"/>
          <w:b/>
          <w:sz w:val="24"/>
        </w:rPr>
        <w:t>教学重点及难点</w:t>
      </w:r>
      <w:r w:rsidRPr="009B4CAE">
        <w:rPr>
          <w:rFonts w:ascii="Calibri" w:eastAsia="宋体" w:hAnsi="Calibri" w:cs="Times New Roman" w:hint="eastAsia"/>
          <w:sz w:val="24"/>
        </w:rPr>
        <w:t>：身体耐力、肌肉力量、柔韧性。</w:t>
      </w:r>
    </w:p>
    <w:p w14:paraId="5B88AEBF" w14:textId="77777777" w:rsidR="009B4CAE" w:rsidRPr="009B4CAE" w:rsidRDefault="009B4CAE" w:rsidP="009B4CAE">
      <w:pPr>
        <w:spacing w:line="440" w:lineRule="exact"/>
        <w:ind w:firstLineChars="200" w:firstLine="482"/>
        <w:rPr>
          <w:rFonts w:ascii="宋体" w:eastAsia="宋体" w:hAnsi="宋体" w:cs="Times New Roman"/>
          <w:b/>
          <w:sz w:val="24"/>
        </w:rPr>
      </w:pPr>
      <w:r w:rsidRPr="009B4CAE">
        <w:rPr>
          <w:rFonts w:ascii="宋体" w:eastAsia="宋体" w:hAnsi="宋体" w:cs="Times New Roman" w:hint="eastAsia"/>
          <w:b/>
          <w:sz w:val="24"/>
        </w:rPr>
        <w:t>【重点】</w:t>
      </w:r>
    </w:p>
    <w:p w14:paraId="25A4BCA4"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 xml:space="preserve">1.《大学体育教程》理论课程使学生对大学体育有深入理解；了解体  </w:t>
      </w:r>
    </w:p>
    <w:p w14:paraId="3BE59E98" w14:textId="77777777" w:rsidR="009B4CAE" w:rsidRPr="009B4CAE" w:rsidRDefault="009B4CAE" w:rsidP="009B4CAE">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9B4CAE">
        <w:rPr>
          <w:rFonts w:ascii="宋体" w:eastAsia="宋体" w:hAnsi="Calibri" w:cs="宋体" w:hint="eastAsia"/>
          <w:spacing w:val="5"/>
          <w:kern w:val="0"/>
          <w:sz w:val="24"/>
        </w:rPr>
        <w:t>质健康</w:t>
      </w:r>
      <w:proofErr w:type="gramEnd"/>
      <w:r w:rsidRPr="009B4CAE">
        <w:rPr>
          <w:rFonts w:ascii="宋体" w:eastAsia="宋体" w:hAnsi="Calibri" w:cs="宋体" w:hint="eastAsia"/>
          <w:spacing w:val="5"/>
          <w:kern w:val="0"/>
          <w:sz w:val="24"/>
        </w:rPr>
        <w:t>标准的实施与如何评价；学会分析常见运动损伤和运动性疾病的症状。</w:t>
      </w:r>
    </w:p>
    <w:p w14:paraId="7301FDD7" w14:textId="77777777" w:rsidR="009B4CAE" w:rsidRPr="009B4CAE" w:rsidRDefault="009B4CAE" w:rsidP="009B4CAE">
      <w:pPr>
        <w:autoSpaceDE w:val="0"/>
        <w:autoSpaceDN w:val="0"/>
        <w:adjustRightInd w:val="0"/>
        <w:snapToGrid w:val="0"/>
        <w:spacing w:line="500" w:lineRule="exact"/>
        <w:ind w:left="490"/>
        <w:rPr>
          <w:rFonts w:ascii="宋体" w:eastAsia="宋体" w:hAnsi="Calibri" w:cs="宋体"/>
          <w:spacing w:val="5"/>
          <w:kern w:val="0"/>
          <w:sz w:val="24"/>
        </w:rPr>
      </w:pPr>
      <w:r w:rsidRPr="009B4CAE">
        <w:rPr>
          <w:rFonts w:ascii="宋体" w:eastAsia="宋体" w:hAnsi="Calibri" w:cs="宋体" w:hint="eastAsia"/>
          <w:spacing w:val="5"/>
          <w:kern w:val="0"/>
          <w:sz w:val="24"/>
        </w:rPr>
        <w:t>2.交谊舞运动的基本理论、基本知识和基本技能。</w:t>
      </w:r>
    </w:p>
    <w:p w14:paraId="2E740C08" w14:textId="77777777" w:rsidR="009B4CAE" w:rsidRPr="009B4CAE" w:rsidRDefault="009B4CAE" w:rsidP="009B4CAE">
      <w:pPr>
        <w:autoSpaceDE w:val="0"/>
        <w:autoSpaceDN w:val="0"/>
        <w:adjustRightInd w:val="0"/>
        <w:snapToGrid w:val="0"/>
        <w:spacing w:line="500" w:lineRule="exact"/>
        <w:ind w:firstLineChars="200" w:firstLine="500"/>
        <w:rPr>
          <w:rFonts w:ascii="宋体" w:eastAsia="宋体" w:hAnsi="宋体" w:cs="Times New Roman"/>
          <w:sz w:val="24"/>
        </w:rPr>
      </w:pPr>
      <w:r w:rsidRPr="009B4CAE">
        <w:rPr>
          <w:rFonts w:ascii="宋体" w:eastAsia="宋体" w:hAnsi="Calibri" w:cs="宋体" w:hint="eastAsia"/>
          <w:spacing w:val="5"/>
          <w:kern w:val="0"/>
          <w:sz w:val="24"/>
        </w:rPr>
        <w:t>3.掌握一定的科学锻炼方法，扎实的理论知识。</w:t>
      </w:r>
    </w:p>
    <w:p w14:paraId="34FE4A2D" w14:textId="77777777" w:rsidR="009B4CAE" w:rsidRPr="009B4CAE" w:rsidRDefault="009B4CAE" w:rsidP="009B4CAE">
      <w:pPr>
        <w:spacing w:line="440" w:lineRule="exact"/>
        <w:ind w:firstLineChars="200" w:firstLine="482"/>
        <w:rPr>
          <w:rFonts w:ascii="宋体" w:eastAsia="宋体" w:hAnsi="宋体" w:cs="Times New Roman"/>
          <w:b/>
          <w:sz w:val="24"/>
        </w:rPr>
      </w:pPr>
      <w:r w:rsidRPr="009B4CAE">
        <w:rPr>
          <w:rFonts w:ascii="宋体" w:eastAsia="宋体" w:hAnsi="宋体" w:cs="Times New Roman" w:hint="eastAsia"/>
          <w:b/>
          <w:sz w:val="24"/>
        </w:rPr>
        <w:t>【难点】</w:t>
      </w:r>
    </w:p>
    <w:p w14:paraId="1A706DD3" w14:textId="77777777" w:rsidR="009B4CAE" w:rsidRPr="009B4CAE" w:rsidRDefault="009B4CAE" w:rsidP="009B4CAE">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9B4CAE">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66320A72" w14:textId="77777777" w:rsidR="009B4CAE" w:rsidRPr="009B4CAE" w:rsidRDefault="009B4CAE" w:rsidP="009B4CAE">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9B4CAE">
        <w:rPr>
          <w:rFonts w:ascii="宋体" w:eastAsia="宋体" w:hAnsi="Calibri" w:cs="宋体" w:hint="eastAsia"/>
          <w:spacing w:val="5"/>
          <w:kern w:val="0"/>
          <w:sz w:val="24"/>
        </w:rPr>
        <w:t xml:space="preserve">2.考虑学生原有的理论知识和实践技术，在讲授教材及大纲要求的所有知识和技术的同时，重点讲授交谊舞基本技术、编排等部分，以达到理论联系实际，学以致用。 </w:t>
      </w:r>
    </w:p>
    <w:p w14:paraId="28C7AC9B" w14:textId="77777777" w:rsidR="009B4CAE" w:rsidRPr="009B4CAE" w:rsidRDefault="009B4CAE" w:rsidP="009B4CAE">
      <w:pPr>
        <w:spacing w:line="440" w:lineRule="exact"/>
        <w:ind w:firstLineChars="200" w:firstLine="500"/>
        <w:rPr>
          <w:rFonts w:ascii="宋体" w:eastAsia="宋体" w:hAnsi="Calibri" w:cs="宋体"/>
          <w:spacing w:val="5"/>
          <w:kern w:val="0"/>
          <w:sz w:val="24"/>
        </w:rPr>
      </w:pPr>
      <w:r w:rsidRPr="009B4CAE">
        <w:rPr>
          <w:rFonts w:ascii="宋体" w:eastAsia="宋体" w:hAnsi="Calibri" w:cs="宋体" w:hint="eastAsia"/>
          <w:spacing w:val="5"/>
          <w:kern w:val="0"/>
          <w:sz w:val="24"/>
        </w:rPr>
        <w:t xml:space="preserve">3.在交谊舞基本技术、基本编排学习的基础上，重点提高学生的交谊舞技术课、理论课的组织能力培养学生研究能力。 </w:t>
      </w:r>
    </w:p>
    <w:p w14:paraId="0F356D16" w14:textId="77777777" w:rsidR="009B4CAE" w:rsidRPr="009B4CAE" w:rsidRDefault="009B4CAE" w:rsidP="009B4CAE">
      <w:pPr>
        <w:spacing w:line="440" w:lineRule="exact"/>
        <w:ind w:firstLineChars="200" w:firstLine="482"/>
        <w:rPr>
          <w:rFonts w:ascii="宋体" w:eastAsia="宋体" w:hAnsi="宋体" w:cs="Times New Roman"/>
          <w:color w:val="FF0000"/>
          <w:sz w:val="24"/>
        </w:rPr>
      </w:pPr>
      <w:r w:rsidRPr="009B4CAE">
        <w:rPr>
          <w:rFonts w:ascii="宋体" w:eastAsia="宋体" w:hAnsi="宋体" w:cs="Times New Roman" w:hint="eastAsia"/>
          <w:b/>
          <w:bCs/>
          <w:sz w:val="24"/>
        </w:rPr>
        <w:t>【实施方式】</w:t>
      </w:r>
    </w:p>
    <w:p w14:paraId="0FA69001"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室外实践课程</w:t>
      </w:r>
    </w:p>
    <w:p w14:paraId="03EF33E2" w14:textId="77777777" w:rsidR="009B4CAE" w:rsidRPr="009B4CAE" w:rsidRDefault="009B4CAE" w:rsidP="009B4CAE">
      <w:pPr>
        <w:spacing w:line="440" w:lineRule="exact"/>
        <w:ind w:firstLineChars="200" w:firstLine="482"/>
        <w:rPr>
          <w:rFonts w:ascii="宋体" w:eastAsia="宋体" w:hAnsi="宋体" w:cs="Times New Roman"/>
          <w:bCs/>
          <w:color w:val="FF0000"/>
          <w:sz w:val="24"/>
        </w:rPr>
      </w:pPr>
      <w:r w:rsidRPr="009B4CAE">
        <w:rPr>
          <w:rFonts w:ascii="宋体" w:eastAsia="宋体" w:hAnsi="宋体" w:cs="Times New Roman" w:hint="eastAsia"/>
          <w:b/>
          <w:sz w:val="24"/>
        </w:rPr>
        <w:t>【学习要求】</w:t>
      </w:r>
    </w:p>
    <w:p w14:paraId="0AA61D74" w14:textId="77777777" w:rsidR="009B4CAE" w:rsidRPr="009B4CAE" w:rsidRDefault="009B4CAE" w:rsidP="009B4CAE">
      <w:pPr>
        <w:spacing w:line="440" w:lineRule="exact"/>
        <w:ind w:firstLineChars="200" w:firstLine="480"/>
        <w:rPr>
          <w:rFonts w:ascii="宋体" w:eastAsia="宋体" w:hAnsi="宋体" w:cs="Times New Roman"/>
          <w:b/>
          <w:sz w:val="24"/>
        </w:rPr>
      </w:pPr>
      <w:r w:rsidRPr="009B4CAE">
        <w:rPr>
          <w:rFonts w:ascii="宋体" w:eastAsia="宋体" w:hAnsi="宋体" w:cs="Times New Roman" w:hint="eastAsia"/>
          <w:sz w:val="24"/>
        </w:rPr>
        <w:t>1</w:t>
      </w:r>
      <w:r w:rsidRPr="009B4CAE">
        <w:rPr>
          <w:rFonts w:ascii="宋体" w:eastAsia="宋体" w:hAnsi="宋体" w:cs="Times New Roman"/>
          <w:sz w:val="24"/>
        </w:rPr>
        <w:t xml:space="preserve">. </w:t>
      </w:r>
      <w:r w:rsidRPr="009B4CAE">
        <w:rPr>
          <w:rFonts w:ascii="宋体" w:eastAsia="宋体" w:hAnsi="宋体" w:cs="Times New Roman" w:hint="eastAsia"/>
          <w:sz w:val="24"/>
        </w:rPr>
        <w:t>了解大学体育课程的性质和授课方式，学分情况和进行网上选项课，开设的15门选项课程，课堂常识和安全注意事项。</w:t>
      </w:r>
    </w:p>
    <w:p w14:paraId="21C48F09"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9B4CAE">
        <w:rPr>
          <w:rFonts w:ascii="宋体" w:eastAsia="宋体" w:hAnsi="宋体" w:cs="Times New Roman" w:hint="eastAsia"/>
          <w:sz w:val="24"/>
        </w:rPr>
        <w:t>缓测免</w:t>
      </w:r>
      <w:proofErr w:type="gramEnd"/>
      <w:r w:rsidRPr="009B4CAE">
        <w:rPr>
          <w:rFonts w:ascii="宋体" w:eastAsia="宋体" w:hAnsi="宋体" w:cs="Times New Roman" w:hint="eastAsia"/>
          <w:sz w:val="24"/>
        </w:rPr>
        <w:t>测的申请流程以及掌握测验时间。</w:t>
      </w:r>
    </w:p>
    <w:p w14:paraId="0CAFFFF9"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3</w:t>
      </w:r>
      <w:r w:rsidRPr="009B4CAE">
        <w:rPr>
          <w:rFonts w:ascii="宋体" w:eastAsia="宋体" w:hAnsi="宋体" w:cs="Times New Roman"/>
          <w:sz w:val="24"/>
        </w:rPr>
        <w:t>.</w:t>
      </w:r>
      <w:r w:rsidRPr="009B4CAE">
        <w:rPr>
          <w:rFonts w:ascii="宋体" w:eastAsia="宋体" w:hAnsi="宋体" w:cs="Times New Roman" w:hint="eastAsia"/>
          <w:sz w:val="24"/>
        </w:rPr>
        <w:t>运用交谊舞基础课程。</w:t>
      </w:r>
      <w:r w:rsidRPr="009B4CAE">
        <w:rPr>
          <w:rFonts w:ascii="宋体" w:eastAsia="宋体" w:hAnsi="宋体" w:cs="Times New Roman"/>
          <w:sz w:val="24"/>
        </w:rPr>
        <w:t xml:space="preserve"> </w:t>
      </w:r>
    </w:p>
    <w:p w14:paraId="56FBB3AB" w14:textId="77777777" w:rsidR="009B4CAE" w:rsidRPr="009B4CAE" w:rsidRDefault="009B4CAE" w:rsidP="009B4CAE">
      <w:pPr>
        <w:spacing w:line="440" w:lineRule="exact"/>
        <w:ind w:firstLineChars="200" w:firstLine="482"/>
        <w:rPr>
          <w:rFonts w:ascii="宋体" w:eastAsia="宋体" w:hAnsi="宋体" w:cs="Times New Roman"/>
          <w:sz w:val="24"/>
        </w:rPr>
      </w:pPr>
      <w:r w:rsidRPr="009B4CAE">
        <w:rPr>
          <w:rFonts w:ascii="宋体" w:eastAsia="宋体" w:hAnsi="宋体" w:cs="Times New Roman" w:hint="eastAsia"/>
          <w:b/>
          <w:sz w:val="24"/>
        </w:rPr>
        <w:t>【实践要求】</w:t>
      </w:r>
    </w:p>
    <w:p w14:paraId="11289A84"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1.实践属性：综合训练型</w:t>
      </w:r>
    </w:p>
    <w:p w14:paraId="5DBC62F0"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lastRenderedPageBreak/>
        <w:t>2.工作流程：开始部分，准备部分，基本部分，结束部分</w:t>
      </w:r>
    </w:p>
    <w:p w14:paraId="1F2C78BE"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3.分组要求：自然班和选项班，不超过45人。</w:t>
      </w:r>
    </w:p>
    <w:p w14:paraId="0820C58D"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6C47725C"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5.时间安排：每周2学时</w:t>
      </w:r>
    </w:p>
    <w:p w14:paraId="0BFB1FD9"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6.其他要求：</w:t>
      </w:r>
    </w:p>
    <w:p w14:paraId="3C017504" w14:textId="77777777" w:rsidR="009B4CAE" w:rsidRPr="009B4CAE" w:rsidRDefault="009B4CAE" w:rsidP="009B4CAE">
      <w:pPr>
        <w:spacing w:beforeLines="50" w:before="156" w:afterLines="50" w:after="156" w:line="440" w:lineRule="exact"/>
        <w:ind w:left="561"/>
        <w:rPr>
          <w:rFonts w:ascii="仿宋" w:eastAsia="仿宋" w:hAnsi="仿宋" w:cs="Times New Roman"/>
          <w:sz w:val="24"/>
        </w:rPr>
      </w:pPr>
      <w:r w:rsidRPr="009B4CAE">
        <w:rPr>
          <w:rFonts w:ascii="黑体" w:eastAsia="黑体" w:hAnsi="黑体" w:cs="Times New Roman" w:hint="eastAsia"/>
          <w:sz w:val="28"/>
          <w:szCs w:val="28"/>
        </w:rPr>
        <w:t>（二）课程学习内容与课程学习目标的对应关系</w:t>
      </w:r>
      <w:r w:rsidRPr="009B4CAE">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9B4CAE" w:rsidRPr="009B4CAE" w14:paraId="1E6D2D14" w14:textId="77777777" w:rsidTr="009B4CAE">
        <w:trPr>
          <w:trHeight w:val="660"/>
          <w:jc w:val="center"/>
        </w:trPr>
        <w:tc>
          <w:tcPr>
            <w:tcW w:w="3403" w:type="dxa"/>
            <w:vAlign w:val="center"/>
          </w:tcPr>
          <w:p w14:paraId="1EF2E23D" w14:textId="77777777" w:rsidR="009B4CAE" w:rsidRPr="009B4CAE" w:rsidRDefault="009B4CAE" w:rsidP="009B4CAE">
            <w:pPr>
              <w:spacing w:line="440" w:lineRule="exact"/>
              <w:jc w:val="center"/>
              <w:rPr>
                <w:rFonts w:ascii="宋体" w:eastAsia="宋体" w:hAnsi="宋体" w:cs="Times New Roman"/>
                <w:b/>
                <w:bCs/>
                <w:sz w:val="24"/>
              </w:rPr>
            </w:pPr>
            <w:r w:rsidRPr="009B4CAE">
              <w:rPr>
                <w:rFonts w:ascii="宋体" w:eastAsia="宋体" w:hAnsi="宋体" w:cs="Times New Roman" w:hint="eastAsia"/>
                <w:b/>
                <w:bCs/>
                <w:sz w:val="24"/>
              </w:rPr>
              <w:t>实践内容</w:t>
            </w:r>
          </w:p>
        </w:tc>
        <w:tc>
          <w:tcPr>
            <w:tcW w:w="2693" w:type="dxa"/>
            <w:vAlign w:val="center"/>
          </w:tcPr>
          <w:p w14:paraId="66DDF215" w14:textId="77777777" w:rsidR="009B4CAE" w:rsidRPr="009B4CAE" w:rsidRDefault="009B4CAE" w:rsidP="009B4CAE">
            <w:pPr>
              <w:spacing w:line="440" w:lineRule="exact"/>
              <w:jc w:val="center"/>
              <w:rPr>
                <w:rFonts w:ascii="宋体" w:eastAsia="宋体" w:hAnsi="宋体" w:cs="Times New Roman"/>
                <w:b/>
                <w:bCs/>
                <w:sz w:val="24"/>
              </w:rPr>
            </w:pPr>
            <w:r w:rsidRPr="009B4CAE">
              <w:rPr>
                <w:rFonts w:ascii="宋体" w:eastAsia="宋体" w:hAnsi="宋体" w:cs="Times New Roman" w:hint="eastAsia"/>
                <w:b/>
                <w:bCs/>
                <w:sz w:val="24"/>
              </w:rPr>
              <w:t>实施方式</w:t>
            </w:r>
          </w:p>
        </w:tc>
        <w:tc>
          <w:tcPr>
            <w:tcW w:w="1985" w:type="dxa"/>
            <w:vAlign w:val="center"/>
          </w:tcPr>
          <w:p w14:paraId="6B9D0B1C" w14:textId="77777777" w:rsidR="009B4CAE" w:rsidRPr="009B4CAE" w:rsidRDefault="009B4CAE" w:rsidP="009B4CAE">
            <w:pPr>
              <w:spacing w:line="440" w:lineRule="exact"/>
              <w:jc w:val="center"/>
              <w:rPr>
                <w:rFonts w:ascii="宋体" w:eastAsia="宋体" w:hAnsi="宋体" w:cs="Times New Roman"/>
                <w:b/>
                <w:bCs/>
                <w:sz w:val="24"/>
              </w:rPr>
            </w:pPr>
            <w:r w:rsidRPr="009B4CAE">
              <w:rPr>
                <w:rFonts w:ascii="宋体" w:eastAsia="宋体" w:hAnsi="宋体" w:cs="Times New Roman" w:hint="eastAsia"/>
                <w:b/>
                <w:bCs/>
                <w:sz w:val="24"/>
              </w:rPr>
              <w:t>支撑的课程目标</w:t>
            </w:r>
          </w:p>
        </w:tc>
        <w:tc>
          <w:tcPr>
            <w:tcW w:w="1276" w:type="dxa"/>
            <w:vAlign w:val="center"/>
          </w:tcPr>
          <w:p w14:paraId="02C01834" w14:textId="77777777" w:rsidR="009B4CAE" w:rsidRPr="009B4CAE" w:rsidRDefault="009B4CAE" w:rsidP="009B4CAE">
            <w:pPr>
              <w:spacing w:line="440" w:lineRule="exact"/>
              <w:jc w:val="center"/>
              <w:rPr>
                <w:rFonts w:ascii="宋体" w:eastAsia="宋体" w:hAnsi="宋体" w:cs="Times New Roman"/>
                <w:b/>
                <w:bCs/>
                <w:sz w:val="24"/>
              </w:rPr>
            </w:pPr>
            <w:r w:rsidRPr="009B4CAE">
              <w:rPr>
                <w:rFonts w:ascii="宋体" w:eastAsia="宋体" w:hAnsi="宋体" w:cs="Times New Roman" w:hint="eastAsia"/>
                <w:b/>
                <w:bCs/>
                <w:sz w:val="24"/>
              </w:rPr>
              <w:t>学时安排</w:t>
            </w:r>
          </w:p>
        </w:tc>
      </w:tr>
      <w:tr w:rsidR="009B4CAE" w:rsidRPr="009B4CAE" w14:paraId="5C54EA8E" w14:textId="77777777" w:rsidTr="009B4CAE">
        <w:trPr>
          <w:trHeight w:val="514"/>
          <w:jc w:val="center"/>
        </w:trPr>
        <w:tc>
          <w:tcPr>
            <w:tcW w:w="3403" w:type="dxa"/>
            <w:vAlign w:val="center"/>
          </w:tcPr>
          <w:p w14:paraId="5D6715DC"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学习内容</w:t>
            </w:r>
            <w:proofErr w:type="gramStart"/>
            <w:r w:rsidRPr="009B4CAE">
              <w:rPr>
                <w:rFonts w:ascii="宋体" w:eastAsia="宋体" w:hAnsi="宋体" w:cs="Times New Roman" w:hint="eastAsia"/>
                <w:sz w:val="24"/>
              </w:rPr>
              <w:t>一</w:t>
            </w:r>
            <w:proofErr w:type="gramEnd"/>
            <w:r w:rsidRPr="009B4CAE">
              <w:rPr>
                <w:rFonts w:ascii="宋体" w:eastAsia="宋体" w:hAnsi="宋体" w:cs="Times New Roman" w:hint="eastAsia"/>
                <w:sz w:val="24"/>
              </w:rPr>
              <w:t xml:space="preserve"> 体能+交谊舞 </w:t>
            </w:r>
          </w:p>
          <w:p w14:paraId="56BE6F3D" w14:textId="77777777" w:rsidR="009B4CAE" w:rsidRPr="009B4CAE" w:rsidRDefault="009B4CAE" w:rsidP="009B4CAE">
            <w:pPr>
              <w:spacing w:line="440" w:lineRule="exact"/>
              <w:jc w:val="center"/>
              <w:rPr>
                <w:rFonts w:ascii="宋体" w:eastAsia="宋体" w:hAnsi="宋体" w:cs="Times New Roman"/>
                <w:sz w:val="24"/>
              </w:rPr>
            </w:pPr>
          </w:p>
        </w:tc>
        <w:tc>
          <w:tcPr>
            <w:tcW w:w="2693" w:type="dxa"/>
            <w:vAlign w:val="center"/>
          </w:tcPr>
          <w:p w14:paraId="62BE5A97" w14:textId="77777777" w:rsidR="009B4CAE" w:rsidRPr="009B4CAE" w:rsidRDefault="009B4CAE" w:rsidP="009B4CAE">
            <w:pPr>
              <w:spacing w:line="440" w:lineRule="exact"/>
              <w:jc w:val="center"/>
              <w:rPr>
                <w:rFonts w:ascii="宋体" w:eastAsia="宋体" w:hAnsi="宋体" w:cs="Times New Roman"/>
                <w:color w:val="FF0000"/>
                <w:sz w:val="24"/>
              </w:rPr>
            </w:pPr>
            <w:r w:rsidRPr="009B4CAE">
              <w:rPr>
                <w:rFonts w:ascii="宋体" w:eastAsia="宋体" w:hAnsi="宋体" w:cs="Times New Roman" w:hint="eastAsia"/>
                <w:sz w:val="24"/>
              </w:rPr>
              <w:t>利用</w:t>
            </w:r>
            <w:proofErr w:type="gramStart"/>
            <w:r w:rsidRPr="009B4CAE">
              <w:rPr>
                <w:rFonts w:ascii="宋体" w:eastAsia="宋体" w:hAnsi="宋体" w:cs="Times New Roman" w:hint="eastAsia"/>
                <w:sz w:val="24"/>
              </w:rPr>
              <w:t>微信平台</w:t>
            </w:r>
            <w:proofErr w:type="gramEnd"/>
            <w:r w:rsidRPr="009B4CAE">
              <w:rPr>
                <w:rFonts w:ascii="宋体" w:eastAsia="宋体" w:hAnsi="宋体" w:cs="Times New Roman" w:hint="eastAsia"/>
                <w:sz w:val="24"/>
              </w:rPr>
              <w:t>；讲解法、示范法；练习法；小组合作学习</w:t>
            </w:r>
          </w:p>
        </w:tc>
        <w:tc>
          <w:tcPr>
            <w:tcW w:w="1985" w:type="dxa"/>
            <w:vAlign w:val="center"/>
          </w:tcPr>
          <w:p w14:paraId="3BA62E1E" w14:textId="77777777" w:rsidR="009B4CAE" w:rsidRPr="009B4CAE" w:rsidRDefault="009B4CAE" w:rsidP="009B4CAE">
            <w:pPr>
              <w:spacing w:line="440" w:lineRule="exact"/>
              <w:jc w:val="center"/>
              <w:rPr>
                <w:rFonts w:ascii="宋体" w:eastAsia="宋体" w:hAnsi="宋体" w:cs="Times New Roman"/>
                <w:color w:val="FF0000"/>
                <w:sz w:val="24"/>
              </w:rPr>
            </w:pPr>
            <w:r w:rsidRPr="009B4CAE">
              <w:rPr>
                <w:rFonts w:ascii="宋体" w:eastAsia="宋体" w:hAnsi="宋体" w:cs="Times New Roman" w:hint="eastAsia"/>
                <w:sz w:val="24"/>
              </w:rPr>
              <w:t>课程</w:t>
            </w:r>
            <w:r w:rsidRPr="009B4CAE">
              <w:rPr>
                <w:rFonts w:ascii="宋体" w:eastAsia="宋体" w:hAnsi="宋体" w:cs="Times New Roman"/>
                <w:sz w:val="24"/>
              </w:rPr>
              <w:t>目标</w:t>
            </w:r>
            <w:r w:rsidRPr="009B4CAE">
              <w:rPr>
                <w:rFonts w:ascii="宋体" w:eastAsia="宋体" w:hAnsi="宋体" w:cs="Times New Roman" w:hint="eastAsia"/>
                <w:sz w:val="24"/>
              </w:rPr>
              <w:t>1、2、3</w:t>
            </w:r>
          </w:p>
        </w:tc>
        <w:tc>
          <w:tcPr>
            <w:tcW w:w="1276" w:type="dxa"/>
            <w:vAlign w:val="center"/>
          </w:tcPr>
          <w:p w14:paraId="714417E0"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32</w:t>
            </w:r>
          </w:p>
        </w:tc>
      </w:tr>
      <w:tr w:rsidR="009B4CAE" w:rsidRPr="009B4CAE" w14:paraId="0E0A1E88" w14:textId="77777777" w:rsidTr="009B4CAE">
        <w:trPr>
          <w:trHeight w:val="90"/>
          <w:jc w:val="center"/>
        </w:trPr>
        <w:tc>
          <w:tcPr>
            <w:tcW w:w="3403" w:type="dxa"/>
            <w:vAlign w:val="center"/>
          </w:tcPr>
          <w:p w14:paraId="40B71EEE"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 xml:space="preserve">学习内容二 交谊舞1 </w:t>
            </w:r>
          </w:p>
          <w:p w14:paraId="4C2A6607" w14:textId="77777777" w:rsidR="009B4CAE" w:rsidRPr="009B4CAE" w:rsidRDefault="009B4CAE" w:rsidP="009B4CAE">
            <w:pPr>
              <w:spacing w:line="440" w:lineRule="exact"/>
              <w:jc w:val="center"/>
              <w:rPr>
                <w:rFonts w:ascii="宋体" w:eastAsia="宋体" w:hAnsi="宋体" w:cs="Times New Roman"/>
                <w:sz w:val="24"/>
              </w:rPr>
            </w:pPr>
          </w:p>
        </w:tc>
        <w:tc>
          <w:tcPr>
            <w:tcW w:w="2693" w:type="dxa"/>
            <w:vAlign w:val="center"/>
          </w:tcPr>
          <w:p w14:paraId="11990505" w14:textId="77777777" w:rsidR="009B4CAE" w:rsidRPr="009B4CAE" w:rsidRDefault="009B4CAE" w:rsidP="009B4CAE">
            <w:pPr>
              <w:spacing w:line="440" w:lineRule="exact"/>
              <w:jc w:val="center"/>
              <w:rPr>
                <w:rFonts w:ascii="宋体" w:eastAsia="宋体" w:hAnsi="宋体" w:cs="Times New Roman"/>
                <w:color w:val="FF0000"/>
                <w:sz w:val="24"/>
              </w:rPr>
            </w:pPr>
            <w:r w:rsidRPr="009B4CAE">
              <w:rPr>
                <w:rFonts w:ascii="宋体" w:eastAsia="宋体" w:hAnsi="宋体" w:cs="Times New Roman" w:hint="eastAsia"/>
                <w:sz w:val="24"/>
              </w:rPr>
              <w:t>利用</w:t>
            </w:r>
            <w:proofErr w:type="gramStart"/>
            <w:r w:rsidRPr="009B4CAE">
              <w:rPr>
                <w:rFonts w:ascii="宋体" w:eastAsia="宋体" w:hAnsi="宋体" w:cs="Times New Roman" w:hint="eastAsia"/>
                <w:sz w:val="24"/>
              </w:rPr>
              <w:t>微信平台</w:t>
            </w:r>
            <w:proofErr w:type="gramEnd"/>
            <w:r w:rsidRPr="009B4CAE">
              <w:rPr>
                <w:rFonts w:ascii="宋体" w:eastAsia="宋体" w:hAnsi="宋体" w:cs="Times New Roman" w:hint="eastAsia"/>
                <w:sz w:val="24"/>
              </w:rPr>
              <w:t>；讲解法、示范法；练习法；小组合作学习</w:t>
            </w:r>
          </w:p>
        </w:tc>
        <w:tc>
          <w:tcPr>
            <w:tcW w:w="1985" w:type="dxa"/>
            <w:vAlign w:val="center"/>
          </w:tcPr>
          <w:p w14:paraId="36624890" w14:textId="77777777" w:rsidR="009B4CAE" w:rsidRPr="009B4CAE" w:rsidRDefault="009B4CAE" w:rsidP="009B4CAE">
            <w:pPr>
              <w:spacing w:line="440" w:lineRule="exact"/>
              <w:jc w:val="center"/>
              <w:rPr>
                <w:rFonts w:ascii="宋体" w:eastAsia="宋体" w:hAnsi="宋体" w:cs="Times New Roman"/>
                <w:color w:val="FF0000"/>
                <w:sz w:val="24"/>
              </w:rPr>
            </w:pPr>
            <w:r w:rsidRPr="009B4CAE">
              <w:rPr>
                <w:rFonts w:ascii="宋体" w:eastAsia="宋体" w:hAnsi="宋体" w:cs="Times New Roman" w:hint="eastAsia"/>
                <w:sz w:val="24"/>
              </w:rPr>
              <w:t>课程</w:t>
            </w:r>
            <w:r w:rsidRPr="009B4CAE">
              <w:rPr>
                <w:rFonts w:ascii="宋体" w:eastAsia="宋体" w:hAnsi="宋体" w:cs="Times New Roman"/>
                <w:sz w:val="24"/>
              </w:rPr>
              <w:t>目标</w:t>
            </w:r>
            <w:r w:rsidRPr="009B4CAE">
              <w:rPr>
                <w:rFonts w:ascii="宋体" w:eastAsia="宋体" w:hAnsi="宋体" w:cs="Times New Roman" w:hint="eastAsia"/>
                <w:sz w:val="24"/>
              </w:rPr>
              <w:t>1、2、3</w:t>
            </w:r>
          </w:p>
        </w:tc>
        <w:tc>
          <w:tcPr>
            <w:tcW w:w="1276" w:type="dxa"/>
            <w:vAlign w:val="center"/>
          </w:tcPr>
          <w:p w14:paraId="73869B8B"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32</w:t>
            </w:r>
          </w:p>
        </w:tc>
      </w:tr>
      <w:tr w:rsidR="009B4CAE" w:rsidRPr="009B4CAE" w14:paraId="5C05AFE2" w14:textId="77777777" w:rsidTr="009B4CAE">
        <w:trPr>
          <w:jc w:val="center"/>
        </w:trPr>
        <w:tc>
          <w:tcPr>
            <w:tcW w:w="3403" w:type="dxa"/>
            <w:vAlign w:val="center"/>
          </w:tcPr>
          <w:p w14:paraId="354204C6"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学习内容三 交谊舞 2</w:t>
            </w:r>
          </w:p>
          <w:p w14:paraId="40BDF0B4" w14:textId="77777777" w:rsidR="009B4CAE" w:rsidRPr="009B4CAE" w:rsidRDefault="009B4CAE" w:rsidP="009B4CAE">
            <w:pPr>
              <w:spacing w:line="440" w:lineRule="exact"/>
              <w:jc w:val="center"/>
              <w:rPr>
                <w:rFonts w:ascii="宋体" w:eastAsia="宋体" w:hAnsi="宋体" w:cs="Times New Roman"/>
                <w:sz w:val="24"/>
              </w:rPr>
            </w:pPr>
          </w:p>
        </w:tc>
        <w:tc>
          <w:tcPr>
            <w:tcW w:w="2693" w:type="dxa"/>
            <w:vAlign w:val="center"/>
          </w:tcPr>
          <w:p w14:paraId="51C7FBE3" w14:textId="77777777" w:rsidR="009B4CAE" w:rsidRPr="009B4CAE" w:rsidRDefault="009B4CAE" w:rsidP="009B4CAE">
            <w:pPr>
              <w:spacing w:line="440" w:lineRule="exact"/>
              <w:jc w:val="center"/>
              <w:rPr>
                <w:rFonts w:ascii="宋体" w:eastAsia="宋体" w:hAnsi="宋体" w:cs="Times New Roman"/>
                <w:color w:val="FF0000"/>
                <w:sz w:val="24"/>
              </w:rPr>
            </w:pPr>
            <w:r w:rsidRPr="009B4CAE">
              <w:rPr>
                <w:rFonts w:ascii="宋体" w:eastAsia="宋体" w:hAnsi="宋体" w:cs="Times New Roman" w:hint="eastAsia"/>
                <w:sz w:val="24"/>
              </w:rPr>
              <w:t>利用</w:t>
            </w:r>
            <w:proofErr w:type="gramStart"/>
            <w:r w:rsidRPr="009B4CAE">
              <w:rPr>
                <w:rFonts w:ascii="宋体" w:eastAsia="宋体" w:hAnsi="宋体" w:cs="Times New Roman" w:hint="eastAsia"/>
                <w:sz w:val="24"/>
              </w:rPr>
              <w:t>微信平台</w:t>
            </w:r>
            <w:proofErr w:type="gramEnd"/>
            <w:r w:rsidRPr="009B4CAE">
              <w:rPr>
                <w:rFonts w:ascii="宋体" w:eastAsia="宋体" w:hAnsi="宋体" w:cs="Times New Roman" w:hint="eastAsia"/>
                <w:sz w:val="24"/>
              </w:rPr>
              <w:t>；讲解法、示范法；练习法；小组合作学习</w:t>
            </w:r>
          </w:p>
        </w:tc>
        <w:tc>
          <w:tcPr>
            <w:tcW w:w="1985" w:type="dxa"/>
            <w:vAlign w:val="center"/>
          </w:tcPr>
          <w:p w14:paraId="00170CC9" w14:textId="77777777" w:rsidR="009B4CAE" w:rsidRPr="009B4CAE" w:rsidRDefault="009B4CAE" w:rsidP="009B4CAE">
            <w:pPr>
              <w:spacing w:line="440" w:lineRule="exact"/>
              <w:jc w:val="center"/>
              <w:rPr>
                <w:rFonts w:ascii="宋体" w:eastAsia="宋体" w:hAnsi="宋体" w:cs="Times New Roman"/>
                <w:color w:val="FF0000"/>
                <w:sz w:val="24"/>
              </w:rPr>
            </w:pPr>
            <w:r w:rsidRPr="009B4CAE">
              <w:rPr>
                <w:rFonts w:ascii="宋体" w:eastAsia="宋体" w:hAnsi="宋体" w:cs="Times New Roman" w:hint="eastAsia"/>
                <w:sz w:val="24"/>
              </w:rPr>
              <w:t>课程</w:t>
            </w:r>
            <w:r w:rsidRPr="009B4CAE">
              <w:rPr>
                <w:rFonts w:ascii="宋体" w:eastAsia="宋体" w:hAnsi="宋体" w:cs="Times New Roman"/>
                <w:sz w:val="24"/>
              </w:rPr>
              <w:t>目标</w:t>
            </w:r>
            <w:r w:rsidRPr="009B4CAE">
              <w:rPr>
                <w:rFonts w:ascii="宋体" w:eastAsia="宋体" w:hAnsi="宋体" w:cs="Times New Roman" w:hint="eastAsia"/>
                <w:sz w:val="24"/>
              </w:rPr>
              <w:t>1、2、3</w:t>
            </w:r>
          </w:p>
        </w:tc>
        <w:tc>
          <w:tcPr>
            <w:tcW w:w="1276" w:type="dxa"/>
            <w:vAlign w:val="center"/>
          </w:tcPr>
          <w:p w14:paraId="0F521BEB"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32</w:t>
            </w:r>
          </w:p>
        </w:tc>
      </w:tr>
      <w:tr w:rsidR="009B4CAE" w:rsidRPr="009B4CAE" w14:paraId="607C95E6" w14:textId="77777777" w:rsidTr="009B4CAE">
        <w:trPr>
          <w:jc w:val="center"/>
        </w:trPr>
        <w:tc>
          <w:tcPr>
            <w:tcW w:w="3403" w:type="dxa"/>
            <w:vAlign w:val="center"/>
          </w:tcPr>
          <w:p w14:paraId="61394A5C"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学习内容四 交谊舞 3</w:t>
            </w:r>
          </w:p>
          <w:p w14:paraId="6DE68A34" w14:textId="77777777" w:rsidR="009B4CAE" w:rsidRPr="009B4CAE" w:rsidRDefault="009B4CAE" w:rsidP="009B4CAE">
            <w:pPr>
              <w:spacing w:line="440" w:lineRule="exact"/>
              <w:jc w:val="center"/>
              <w:rPr>
                <w:rFonts w:ascii="宋体" w:eastAsia="宋体" w:hAnsi="宋体" w:cs="Times New Roman"/>
                <w:sz w:val="24"/>
              </w:rPr>
            </w:pPr>
          </w:p>
        </w:tc>
        <w:tc>
          <w:tcPr>
            <w:tcW w:w="2693" w:type="dxa"/>
            <w:vAlign w:val="center"/>
          </w:tcPr>
          <w:p w14:paraId="4050E47A" w14:textId="77777777" w:rsidR="009B4CAE" w:rsidRPr="009B4CAE" w:rsidRDefault="009B4CAE" w:rsidP="009B4CAE">
            <w:pPr>
              <w:spacing w:line="440" w:lineRule="exact"/>
              <w:jc w:val="center"/>
              <w:rPr>
                <w:rFonts w:ascii="宋体" w:eastAsia="宋体" w:hAnsi="宋体" w:cs="Times New Roman"/>
                <w:color w:val="FF0000"/>
                <w:sz w:val="24"/>
              </w:rPr>
            </w:pPr>
            <w:r w:rsidRPr="009B4CAE">
              <w:rPr>
                <w:rFonts w:ascii="宋体" w:eastAsia="宋体" w:hAnsi="宋体" w:cs="Times New Roman" w:hint="eastAsia"/>
                <w:sz w:val="24"/>
              </w:rPr>
              <w:t>利用</w:t>
            </w:r>
            <w:proofErr w:type="gramStart"/>
            <w:r w:rsidRPr="009B4CAE">
              <w:rPr>
                <w:rFonts w:ascii="宋体" w:eastAsia="宋体" w:hAnsi="宋体" w:cs="Times New Roman" w:hint="eastAsia"/>
                <w:sz w:val="24"/>
              </w:rPr>
              <w:t>微信平台</w:t>
            </w:r>
            <w:proofErr w:type="gramEnd"/>
            <w:r w:rsidRPr="009B4CAE">
              <w:rPr>
                <w:rFonts w:ascii="宋体" w:eastAsia="宋体" w:hAnsi="宋体" w:cs="Times New Roman" w:hint="eastAsia"/>
                <w:sz w:val="24"/>
              </w:rPr>
              <w:t>；讲解法、示范法；练习法；小组合作学习</w:t>
            </w:r>
          </w:p>
        </w:tc>
        <w:tc>
          <w:tcPr>
            <w:tcW w:w="1985" w:type="dxa"/>
            <w:vAlign w:val="center"/>
          </w:tcPr>
          <w:p w14:paraId="7A59F243" w14:textId="77777777" w:rsidR="009B4CAE" w:rsidRPr="009B4CAE" w:rsidRDefault="009B4CAE" w:rsidP="009B4CAE">
            <w:pPr>
              <w:spacing w:line="440" w:lineRule="exact"/>
              <w:jc w:val="center"/>
              <w:rPr>
                <w:rFonts w:ascii="宋体" w:eastAsia="宋体" w:hAnsi="宋体" w:cs="Times New Roman"/>
                <w:color w:val="FF0000"/>
                <w:sz w:val="24"/>
              </w:rPr>
            </w:pPr>
            <w:r w:rsidRPr="009B4CAE">
              <w:rPr>
                <w:rFonts w:ascii="宋体" w:eastAsia="宋体" w:hAnsi="宋体" w:cs="Times New Roman" w:hint="eastAsia"/>
                <w:sz w:val="24"/>
              </w:rPr>
              <w:t>课程</w:t>
            </w:r>
            <w:r w:rsidRPr="009B4CAE">
              <w:rPr>
                <w:rFonts w:ascii="宋体" w:eastAsia="宋体" w:hAnsi="宋体" w:cs="Times New Roman"/>
                <w:sz w:val="24"/>
              </w:rPr>
              <w:t>目标</w:t>
            </w:r>
            <w:r w:rsidRPr="009B4CAE">
              <w:rPr>
                <w:rFonts w:ascii="宋体" w:eastAsia="宋体" w:hAnsi="宋体" w:cs="Times New Roman" w:hint="eastAsia"/>
                <w:sz w:val="24"/>
              </w:rPr>
              <w:t>1、2、3</w:t>
            </w:r>
          </w:p>
        </w:tc>
        <w:tc>
          <w:tcPr>
            <w:tcW w:w="1276" w:type="dxa"/>
            <w:vAlign w:val="center"/>
          </w:tcPr>
          <w:p w14:paraId="67AFDB4A"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32</w:t>
            </w:r>
          </w:p>
        </w:tc>
      </w:tr>
      <w:tr w:rsidR="009B4CAE" w:rsidRPr="009B4CAE" w14:paraId="3E1BFE3C" w14:textId="77777777" w:rsidTr="009B4CAE">
        <w:trPr>
          <w:jc w:val="center"/>
        </w:trPr>
        <w:tc>
          <w:tcPr>
            <w:tcW w:w="8081" w:type="dxa"/>
            <w:gridSpan w:val="3"/>
            <w:vAlign w:val="center"/>
          </w:tcPr>
          <w:p w14:paraId="268F879A" w14:textId="77777777" w:rsidR="009B4CAE" w:rsidRPr="009B4CAE" w:rsidRDefault="009B4CAE" w:rsidP="009B4CAE">
            <w:pPr>
              <w:spacing w:line="440" w:lineRule="exact"/>
              <w:jc w:val="center"/>
              <w:rPr>
                <w:rFonts w:ascii="宋体" w:eastAsia="宋体" w:hAnsi="宋体" w:cs="Times New Roman"/>
                <w:b/>
                <w:sz w:val="24"/>
              </w:rPr>
            </w:pPr>
            <w:r w:rsidRPr="009B4CAE">
              <w:rPr>
                <w:rFonts w:ascii="宋体" w:eastAsia="宋体" w:hAnsi="宋体" w:cs="Times New Roman" w:hint="eastAsia"/>
                <w:b/>
                <w:sz w:val="24"/>
              </w:rPr>
              <w:t>合计</w:t>
            </w:r>
          </w:p>
        </w:tc>
        <w:tc>
          <w:tcPr>
            <w:tcW w:w="1276" w:type="dxa"/>
            <w:vAlign w:val="center"/>
          </w:tcPr>
          <w:p w14:paraId="6B51D9C3" w14:textId="77777777" w:rsidR="009B4CAE" w:rsidRPr="009B4CAE" w:rsidRDefault="009B4CAE" w:rsidP="009B4CAE">
            <w:pPr>
              <w:spacing w:line="440" w:lineRule="exact"/>
              <w:jc w:val="center"/>
              <w:rPr>
                <w:rFonts w:ascii="宋体" w:eastAsia="宋体" w:hAnsi="宋体" w:cs="Times New Roman"/>
                <w:sz w:val="24"/>
              </w:rPr>
            </w:pPr>
            <w:r w:rsidRPr="009B4CAE">
              <w:rPr>
                <w:rFonts w:ascii="宋体" w:eastAsia="宋体" w:hAnsi="宋体" w:cs="Times New Roman" w:hint="eastAsia"/>
                <w:sz w:val="24"/>
              </w:rPr>
              <w:t>128</w:t>
            </w:r>
          </w:p>
        </w:tc>
      </w:tr>
    </w:tbl>
    <w:p w14:paraId="52F508F4" w14:textId="77777777" w:rsidR="009B4CAE" w:rsidRPr="009B4CAE" w:rsidRDefault="009B4CAE" w:rsidP="009B4CAE">
      <w:pPr>
        <w:spacing w:beforeLines="50" w:before="156" w:afterLines="50" w:after="156" w:line="440" w:lineRule="exact"/>
        <w:ind w:firstLineChars="200" w:firstLine="560"/>
        <w:rPr>
          <w:rFonts w:ascii="宋体" w:eastAsia="宋体" w:hAnsi="宋体" w:cs="Times New Roman"/>
          <w:sz w:val="24"/>
        </w:rPr>
      </w:pPr>
      <w:r w:rsidRPr="009B4CAE">
        <w:rPr>
          <w:rFonts w:ascii="黑体" w:eastAsia="黑体" w:hAnsi="黑体" w:cs="Times New Roman" w:hint="eastAsia"/>
          <w:sz w:val="28"/>
          <w:szCs w:val="28"/>
        </w:rPr>
        <w:t>四、课程考核及与课程学习目标的对应关系</w:t>
      </w:r>
    </w:p>
    <w:p w14:paraId="1D656B95" w14:textId="77777777" w:rsidR="009B4CAE" w:rsidRPr="009B4CAE" w:rsidRDefault="009B4CAE" w:rsidP="009B4CAE">
      <w:pPr>
        <w:spacing w:beforeLines="50" w:before="156" w:afterLines="50" w:after="156" w:line="440" w:lineRule="exact"/>
        <w:ind w:firstLineChars="200" w:firstLine="560"/>
        <w:rPr>
          <w:rFonts w:ascii="黑体" w:eastAsia="黑体" w:hAnsi="黑体" w:cs="Times New Roman"/>
          <w:sz w:val="28"/>
          <w:szCs w:val="28"/>
        </w:rPr>
      </w:pPr>
      <w:r w:rsidRPr="009B4CAE">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9B4CAE" w:rsidRPr="009B4CAE" w14:paraId="2595F6CE" w14:textId="77777777" w:rsidTr="009B4CAE">
        <w:trPr>
          <w:trHeight w:val="515"/>
          <w:jc w:val="center"/>
        </w:trPr>
        <w:tc>
          <w:tcPr>
            <w:tcW w:w="1422" w:type="dxa"/>
          </w:tcPr>
          <w:p w14:paraId="56DCFF08" w14:textId="77777777" w:rsidR="009B4CAE" w:rsidRPr="009B4CAE" w:rsidRDefault="009B4CAE" w:rsidP="009B4CAE">
            <w:pPr>
              <w:spacing w:line="440" w:lineRule="exact"/>
              <w:jc w:val="center"/>
              <w:rPr>
                <w:rFonts w:ascii="宋体" w:eastAsia="宋体" w:hAnsi="宋体" w:cs="Times New Roman"/>
                <w:b/>
                <w:sz w:val="24"/>
              </w:rPr>
            </w:pPr>
            <w:r w:rsidRPr="009B4CAE">
              <w:rPr>
                <w:rFonts w:ascii="宋体" w:eastAsia="宋体" w:hAnsi="宋体" w:cs="Times New Roman" w:hint="eastAsia"/>
                <w:b/>
                <w:sz w:val="24"/>
              </w:rPr>
              <w:t>课程目标</w:t>
            </w:r>
          </w:p>
        </w:tc>
        <w:tc>
          <w:tcPr>
            <w:tcW w:w="5376" w:type="dxa"/>
            <w:vAlign w:val="center"/>
          </w:tcPr>
          <w:p w14:paraId="7730AFD1" w14:textId="77777777" w:rsidR="009B4CAE" w:rsidRPr="009B4CAE" w:rsidRDefault="009B4CAE" w:rsidP="009B4CAE">
            <w:pPr>
              <w:spacing w:line="440" w:lineRule="exact"/>
              <w:jc w:val="center"/>
              <w:rPr>
                <w:rFonts w:ascii="宋体" w:eastAsia="宋体" w:hAnsi="宋体" w:cs="Times New Roman"/>
                <w:b/>
                <w:sz w:val="24"/>
              </w:rPr>
            </w:pPr>
            <w:r w:rsidRPr="009B4CAE">
              <w:rPr>
                <w:rFonts w:ascii="宋体" w:eastAsia="宋体" w:hAnsi="宋体" w:cs="Times New Roman" w:hint="eastAsia"/>
                <w:b/>
                <w:sz w:val="24"/>
              </w:rPr>
              <w:t>考核内容</w:t>
            </w:r>
          </w:p>
        </w:tc>
        <w:tc>
          <w:tcPr>
            <w:tcW w:w="2542" w:type="dxa"/>
            <w:vAlign w:val="center"/>
          </w:tcPr>
          <w:p w14:paraId="21D5E3EE" w14:textId="77777777" w:rsidR="009B4CAE" w:rsidRPr="009B4CAE" w:rsidRDefault="009B4CAE" w:rsidP="009B4CAE">
            <w:pPr>
              <w:spacing w:line="440" w:lineRule="exact"/>
              <w:jc w:val="center"/>
              <w:rPr>
                <w:rFonts w:ascii="宋体" w:eastAsia="宋体" w:hAnsi="宋体" w:cs="Times New Roman"/>
                <w:b/>
                <w:sz w:val="24"/>
              </w:rPr>
            </w:pPr>
            <w:r w:rsidRPr="009B4CAE">
              <w:rPr>
                <w:rFonts w:ascii="宋体" w:eastAsia="宋体" w:hAnsi="宋体" w:cs="Times New Roman" w:hint="eastAsia"/>
                <w:b/>
                <w:sz w:val="24"/>
              </w:rPr>
              <w:t>考核方式</w:t>
            </w:r>
          </w:p>
        </w:tc>
      </w:tr>
      <w:tr w:rsidR="009B4CAE" w:rsidRPr="009B4CAE" w14:paraId="312078E8" w14:textId="77777777" w:rsidTr="009B4CAE">
        <w:trPr>
          <w:jc w:val="center"/>
        </w:trPr>
        <w:tc>
          <w:tcPr>
            <w:tcW w:w="1422" w:type="dxa"/>
            <w:vAlign w:val="center"/>
          </w:tcPr>
          <w:p w14:paraId="052A1268" w14:textId="77777777" w:rsidR="009B4CAE" w:rsidRPr="009B4CAE" w:rsidRDefault="009B4CAE" w:rsidP="009B4CAE">
            <w:pPr>
              <w:spacing w:line="440" w:lineRule="exact"/>
              <w:jc w:val="center"/>
              <w:rPr>
                <w:rFonts w:ascii="宋体" w:eastAsia="宋体" w:hAnsi="宋体" w:cs="Times New Roman"/>
                <w:bCs/>
                <w:sz w:val="24"/>
              </w:rPr>
            </w:pPr>
            <w:r w:rsidRPr="009B4CAE">
              <w:rPr>
                <w:rFonts w:ascii="宋体" w:eastAsia="宋体" w:hAnsi="宋体" w:cs="Times New Roman" w:hint="eastAsia"/>
                <w:bCs/>
                <w:sz w:val="24"/>
              </w:rPr>
              <w:t>课程目标1、2、3</w:t>
            </w:r>
          </w:p>
        </w:tc>
        <w:tc>
          <w:tcPr>
            <w:tcW w:w="5376" w:type="dxa"/>
            <w:vAlign w:val="center"/>
          </w:tcPr>
          <w:p w14:paraId="3A10E3E4"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大学生体质健康标准测试</w:t>
            </w:r>
          </w:p>
        </w:tc>
        <w:tc>
          <w:tcPr>
            <w:tcW w:w="2542" w:type="dxa"/>
            <w:vAlign w:val="center"/>
          </w:tcPr>
          <w:p w14:paraId="35037FF0" w14:textId="77777777" w:rsidR="009B4CAE" w:rsidRPr="009B4CAE" w:rsidRDefault="009B4CAE" w:rsidP="009B4CAE">
            <w:pPr>
              <w:widowControl/>
              <w:jc w:val="left"/>
              <w:rPr>
                <w:rFonts w:ascii="宋体" w:eastAsia="宋体" w:hAnsi="宋体" w:cs="Times New Roman"/>
                <w:bCs/>
                <w:sz w:val="24"/>
              </w:rPr>
            </w:pPr>
          </w:p>
          <w:p w14:paraId="624FF96B"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随堂技术考核</w:t>
            </w:r>
          </w:p>
        </w:tc>
      </w:tr>
      <w:tr w:rsidR="009B4CAE" w:rsidRPr="009B4CAE" w14:paraId="3560980D" w14:textId="77777777" w:rsidTr="009B4CAE">
        <w:trPr>
          <w:jc w:val="center"/>
        </w:trPr>
        <w:tc>
          <w:tcPr>
            <w:tcW w:w="1422" w:type="dxa"/>
            <w:vAlign w:val="center"/>
          </w:tcPr>
          <w:p w14:paraId="45CB197F" w14:textId="77777777" w:rsidR="009B4CAE" w:rsidRPr="009B4CAE" w:rsidRDefault="009B4CAE" w:rsidP="009B4CAE">
            <w:pPr>
              <w:spacing w:line="440" w:lineRule="exact"/>
              <w:jc w:val="center"/>
              <w:rPr>
                <w:rFonts w:ascii="宋体" w:eastAsia="宋体" w:hAnsi="宋体" w:cs="Times New Roman"/>
                <w:bCs/>
                <w:sz w:val="24"/>
              </w:rPr>
            </w:pPr>
            <w:r w:rsidRPr="009B4CAE">
              <w:rPr>
                <w:rFonts w:ascii="宋体" w:eastAsia="宋体" w:hAnsi="宋体" w:cs="Times New Roman" w:hint="eastAsia"/>
                <w:bCs/>
                <w:sz w:val="24"/>
              </w:rPr>
              <w:t>课程目标3</w:t>
            </w:r>
          </w:p>
        </w:tc>
        <w:tc>
          <w:tcPr>
            <w:tcW w:w="5376" w:type="dxa"/>
            <w:vAlign w:val="center"/>
          </w:tcPr>
          <w:p w14:paraId="1B9E0657"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立定跳远</w:t>
            </w:r>
          </w:p>
        </w:tc>
        <w:tc>
          <w:tcPr>
            <w:tcW w:w="2542" w:type="dxa"/>
            <w:vAlign w:val="center"/>
          </w:tcPr>
          <w:p w14:paraId="1865EBFC" w14:textId="77777777" w:rsidR="009B4CAE" w:rsidRPr="009B4CAE" w:rsidRDefault="009B4CAE" w:rsidP="009B4CAE">
            <w:pPr>
              <w:widowControl/>
              <w:jc w:val="left"/>
              <w:rPr>
                <w:rFonts w:ascii="宋体" w:eastAsia="宋体" w:hAnsi="宋体" w:cs="Times New Roman"/>
                <w:bCs/>
                <w:sz w:val="24"/>
              </w:rPr>
            </w:pPr>
          </w:p>
          <w:p w14:paraId="191AD4C0"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lastRenderedPageBreak/>
              <w:t>随堂技术考核</w:t>
            </w:r>
          </w:p>
        </w:tc>
      </w:tr>
      <w:tr w:rsidR="009B4CAE" w:rsidRPr="009B4CAE" w14:paraId="3A140C35" w14:textId="77777777" w:rsidTr="009B4CAE">
        <w:trPr>
          <w:jc w:val="center"/>
        </w:trPr>
        <w:tc>
          <w:tcPr>
            <w:tcW w:w="1422" w:type="dxa"/>
            <w:vAlign w:val="center"/>
          </w:tcPr>
          <w:p w14:paraId="55B5FD71" w14:textId="77777777" w:rsidR="009B4CAE" w:rsidRPr="009B4CAE" w:rsidRDefault="009B4CAE" w:rsidP="009B4CAE">
            <w:pPr>
              <w:spacing w:line="440" w:lineRule="exact"/>
              <w:jc w:val="center"/>
              <w:rPr>
                <w:rFonts w:ascii="宋体" w:eastAsia="宋体" w:hAnsi="宋体" w:cs="Times New Roman"/>
                <w:bCs/>
                <w:sz w:val="24"/>
              </w:rPr>
            </w:pPr>
            <w:r w:rsidRPr="009B4CAE">
              <w:rPr>
                <w:rFonts w:ascii="宋体" w:eastAsia="宋体" w:hAnsi="宋体" w:cs="Times New Roman" w:hint="eastAsia"/>
                <w:bCs/>
                <w:sz w:val="24"/>
              </w:rPr>
              <w:lastRenderedPageBreak/>
              <w:t>课程目标3</w:t>
            </w:r>
          </w:p>
        </w:tc>
        <w:tc>
          <w:tcPr>
            <w:tcW w:w="5376" w:type="dxa"/>
            <w:vAlign w:val="center"/>
          </w:tcPr>
          <w:p w14:paraId="41C8C645"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Calibri" w:cs="Times New Roman" w:hint="eastAsia"/>
                <w:bCs/>
                <w:kern w:val="0"/>
                <w:sz w:val="24"/>
              </w:rPr>
              <w:t>北京平四</w:t>
            </w:r>
          </w:p>
        </w:tc>
        <w:tc>
          <w:tcPr>
            <w:tcW w:w="2542" w:type="dxa"/>
            <w:vAlign w:val="center"/>
          </w:tcPr>
          <w:p w14:paraId="4E6B2653" w14:textId="77777777" w:rsidR="009B4CAE" w:rsidRPr="009B4CAE" w:rsidRDefault="009B4CAE" w:rsidP="009B4CAE">
            <w:pPr>
              <w:widowControl/>
              <w:jc w:val="left"/>
              <w:rPr>
                <w:rFonts w:ascii="宋体" w:eastAsia="宋体" w:hAnsi="宋体" w:cs="Times New Roman"/>
                <w:bCs/>
                <w:sz w:val="24"/>
              </w:rPr>
            </w:pPr>
          </w:p>
          <w:p w14:paraId="7FAA0F25"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随堂技术考核</w:t>
            </w:r>
          </w:p>
        </w:tc>
      </w:tr>
      <w:tr w:rsidR="009B4CAE" w:rsidRPr="009B4CAE" w14:paraId="7A532DD2" w14:textId="77777777" w:rsidTr="009B4CAE">
        <w:trPr>
          <w:jc w:val="center"/>
        </w:trPr>
        <w:tc>
          <w:tcPr>
            <w:tcW w:w="1422" w:type="dxa"/>
            <w:vAlign w:val="center"/>
          </w:tcPr>
          <w:p w14:paraId="2E251A35" w14:textId="77777777" w:rsidR="009B4CAE" w:rsidRPr="009B4CAE" w:rsidRDefault="009B4CAE" w:rsidP="009B4CAE">
            <w:pPr>
              <w:spacing w:line="440" w:lineRule="exact"/>
              <w:jc w:val="center"/>
              <w:rPr>
                <w:rFonts w:ascii="宋体" w:eastAsia="宋体" w:hAnsi="宋体" w:cs="Times New Roman"/>
                <w:bCs/>
                <w:sz w:val="24"/>
              </w:rPr>
            </w:pPr>
            <w:r w:rsidRPr="009B4CAE">
              <w:rPr>
                <w:rFonts w:ascii="宋体" w:eastAsia="宋体" w:hAnsi="宋体" w:cs="Times New Roman" w:hint="eastAsia"/>
                <w:bCs/>
                <w:sz w:val="24"/>
              </w:rPr>
              <w:t>课程目标3</w:t>
            </w:r>
          </w:p>
        </w:tc>
        <w:tc>
          <w:tcPr>
            <w:tcW w:w="5376" w:type="dxa"/>
            <w:vAlign w:val="center"/>
          </w:tcPr>
          <w:p w14:paraId="606B2BA2"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Calibri" w:cs="Times New Roman" w:hint="eastAsia"/>
                <w:bCs/>
                <w:kern w:val="0"/>
                <w:sz w:val="24"/>
              </w:rPr>
              <w:t>慢三（华尔兹）</w:t>
            </w:r>
          </w:p>
        </w:tc>
        <w:tc>
          <w:tcPr>
            <w:tcW w:w="2542" w:type="dxa"/>
            <w:vAlign w:val="center"/>
          </w:tcPr>
          <w:p w14:paraId="0A75D187" w14:textId="77777777" w:rsidR="009B4CAE" w:rsidRPr="009B4CAE" w:rsidRDefault="009B4CAE" w:rsidP="009B4CAE">
            <w:pPr>
              <w:widowControl/>
              <w:jc w:val="left"/>
              <w:rPr>
                <w:rFonts w:ascii="宋体" w:eastAsia="宋体" w:hAnsi="宋体" w:cs="Times New Roman"/>
                <w:bCs/>
                <w:sz w:val="24"/>
              </w:rPr>
            </w:pPr>
            <w:r w:rsidRPr="009B4CAE">
              <w:rPr>
                <w:rFonts w:ascii="宋体" w:eastAsia="宋体" w:hAnsi="宋体" w:cs="Times New Roman" w:hint="eastAsia"/>
                <w:bCs/>
                <w:sz w:val="24"/>
              </w:rPr>
              <w:t>随堂技术考核</w:t>
            </w:r>
          </w:p>
          <w:p w14:paraId="64F3DC31" w14:textId="77777777" w:rsidR="009B4CAE" w:rsidRPr="009B4CAE" w:rsidRDefault="009B4CAE" w:rsidP="009B4CAE">
            <w:pPr>
              <w:spacing w:line="440" w:lineRule="exact"/>
              <w:rPr>
                <w:rFonts w:ascii="宋体" w:eastAsia="宋体" w:hAnsi="宋体" w:cs="Times New Roman"/>
                <w:bCs/>
                <w:sz w:val="24"/>
              </w:rPr>
            </w:pPr>
          </w:p>
        </w:tc>
      </w:tr>
    </w:tbl>
    <w:p w14:paraId="6411D250" w14:textId="77777777" w:rsidR="009B4CAE" w:rsidRPr="009B4CAE" w:rsidRDefault="009B4CAE" w:rsidP="009B4CAE">
      <w:pPr>
        <w:spacing w:beforeLines="50" w:before="156" w:afterLines="50" w:after="156" w:line="440" w:lineRule="exact"/>
        <w:ind w:firstLineChars="200" w:firstLine="560"/>
        <w:rPr>
          <w:rFonts w:ascii="黑体" w:eastAsia="黑体" w:hAnsi="黑体" w:cs="Times New Roman"/>
          <w:sz w:val="28"/>
          <w:szCs w:val="28"/>
        </w:rPr>
      </w:pPr>
      <w:r w:rsidRPr="009B4CAE">
        <w:rPr>
          <w:rFonts w:ascii="黑体" w:eastAsia="黑体" w:hAnsi="黑体" w:cs="Times New Roman" w:hint="eastAsia"/>
          <w:sz w:val="28"/>
          <w:szCs w:val="28"/>
        </w:rPr>
        <w:t>（二）课程目标达成评价方式及考核比例</w:t>
      </w:r>
    </w:p>
    <w:p w14:paraId="1ABE3F2D"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交谊舞课程</w:t>
      </w:r>
      <w:proofErr w:type="gramStart"/>
      <w:r w:rsidRPr="009B4CAE">
        <w:rPr>
          <w:rFonts w:ascii="宋体" w:eastAsia="宋体" w:hAnsi="宋体" w:cs="Times New Roman" w:hint="eastAsia"/>
          <w:sz w:val="24"/>
        </w:rPr>
        <w:t>1、2、3、4每</w:t>
      </w:r>
      <w:proofErr w:type="gramEnd"/>
      <w:r w:rsidRPr="009B4CAE">
        <w:rPr>
          <w:rFonts w:ascii="宋体" w:eastAsia="宋体" w:hAnsi="宋体" w:cs="Times New Roman" w:hint="eastAsia"/>
          <w:sz w:val="24"/>
        </w:rPr>
        <w:t>学期考核方式及成绩比例为：课堂表现20%</w:t>
      </w:r>
      <w:r w:rsidRPr="009B4CAE">
        <w:rPr>
          <w:rFonts w:ascii="宋体" w:eastAsia="宋体" w:hAnsi="宋体" w:cs="Times New Roman"/>
          <w:sz w:val="24"/>
        </w:rPr>
        <w:t>+</w:t>
      </w:r>
      <w:r w:rsidRPr="009B4CAE">
        <w:rPr>
          <w:rFonts w:ascii="宋体" w:eastAsia="宋体" w:hAnsi="宋体" w:cs="Times New Roman" w:hint="eastAsia"/>
          <w:sz w:val="24"/>
        </w:rPr>
        <w:t>期中考核30%</w:t>
      </w:r>
      <w:r w:rsidRPr="009B4CAE">
        <w:rPr>
          <w:rFonts w:ascii="宋体" w:eastAsia="宋体" w:hAnsi="宋体" w:cs="Times New Roman"/>
          <w:sz w:val="24"/>
        </w:rPr>
        <w:t>+</w:t>
      </w:r>
      <w:r w:rsidRPr="009B4CAE">
        <w:rPr>
          <w:rFonts w:ascii="宋体" w:eastAsia="宋体" w:hAnsi="宋体" w:cs="Times New Roman" w:hint="eastAsia"/>
          <w:sz w:val="24"/>
        </w:rPr>
        <w:t>课期</w:t>
      </w:r>
      <w:proofErr w:type="gramStart"/>
      <w:r w:rsidRPr="009B4CAE">
        <w:rPr>
          <w:rFonts w:ascii="宋体" w:eastAsia="宋体" w:hAnsi="宋体" w:cs="Times New Roman" w:hint="eastAsia"/>
          <w:sz w:val="24"/>
        </w:rPr>
        <w:t>末考试</w:t>
      </w:r>
      <w:proofErr w:type="gramEnd"/>
      <w:r w:rsidRPr="009B4CAE">
        <w:rPr>
          <w:rFonts w:ascii="宋体" w:eastAsia="宋体" w:hAnsi="宋体" w:cs="Times New Roman" w:hint="eastAsia"/>
          <w:sz w:val="24"/>
        </w:rPr>
        <w:t>5</w:t>
      </w:r>
      <w:r w:rsidRPr="009B4CAE">
        <w:rPr>
          <w:rFonts w:ascii="宋体" w:eastAsia="宋体" w:hAnsi="宋体" w:cs="Times New Roman"/>
          <w:sz w:val="24"/>
        </w:rPr>
        <w:t>0</w:t>
      </w:r>
      <w:r w:rsidRPr="009B4CAE">
        <w:rPr>
          <w:rFonts w:ascii="宋体" w:eastAsia="宋体" w:hAnsi="宋体" w:cs="Times New Roman" w:hint="eastAsia"/>
          <w:sz w:val="24"/>
        </w:rPr>
        <w:t>%；本课程共有三个课程目标，考核方式及成绩比例分别为：</w:t>
      </w:r>
    </w:p>
    <w:p w14:paraId="0F8A5B58"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课程目标1：课堂表现5%</w:t>
      </w:r>
      <w:r w:rsidRPr="009B4CAE">
        <w:rPr>
          <w:rFonts w:ascii="宋体" w:eastAsia="宋体" w:hAnsi="宋体" w:cs="Times New Roman"/>
          <w:sz w:val="24"/>
        </w:rPr>
        <w:t>+</w:t>
      </w:r>
      <w:r w:rsidRPr="009B4CAE">
        <w:rPr>
          <w:rFonts w:ascii="宋体" w:eastAsia="宋体" w:hAnsi="宋体" w:cs="Times New Roman" w:hint="eastAsia"/>
          <w:sz w:val="24"/>
        </w:rPr>
        <w:t>阶段测试10%</w:t>
      </w:r>
      <w:r w:rsidRPr="009B4CAE">
        <w:rPr>
          <w:rFonts w:ascii="宋体" w:eastAsia="宋体" w:hAnsi="宋体" w:cs="Times New Roman"/>
          <w:sz w:val="24"/>
        </w:rPr>
        <w:t>+</w:t>
      </w:r>
      <w:r w:rsidRPr="009B4CAE">
        <w:rPr>
          <w:rFonts w:ascii="宋体" w:eastAsia="宋体" w:hAnsi="宋体" w:cs="Times New Roman" w:hint="eastAsia"/>
          <w:sz w:val="24"/>
        </w:rPr>
        <w:t>期末考试20%</w:t>
      </w:r>
    </w:p>
    <w:p w14:paraId="49DF0913"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课程目标2：课堂表现10%</w:t>
      </w:r>
      <w:r w:rsidRPr="009B4CAE">
        <w:rPr>
          <w:rFonts w:ascii="宋体" w:eastAsia="宋体" w:hAnsi="宋体" w:cs="Times New Roman"/>
          <w:sz w:val="24"/>
        </w:rPr>
        <w:t>+</w:t>
      </w:r>
      <w:r w:rsidRPr="009B4CAE">
        <w:rPr>
          <w:rFonts w:ascii="宋体" w:eastAsia="宋体" w:hAnsi="宋体" w:cs="Times New Roman" w:hint="eastAsia"/>
          <w:sz w:val="24"/>
        </w:rPr>
        <w:t>阶段测试10%</w:t>
      </w:r>
      <w:r w:rsidRPr="009B4CAE">
        <w:rPr>
          <w:rFonts w:ascii="宋体" w:eastAsia="宋体" w:hAnsi="宋体" w:cs="Times New Roman"/>
          <w:sz w:val="24"/>
        </w:rPr>
        <w:t>+</w:t>
      </w:r>
      <w:r w:rsidRPr="009B4CAE">
        <w:rPr>
          <w:rFonts w:ascii="宋体" w:eastAsia="宋体" w:hAnsi="宋体" w:cs="Times New Roman" w:hint="eastAsia"/>
          <w:sz w:val="24"/>
        </w:rPr>
        <w:t>期末考试20%</w:t>
      </w:r>
    </w:p>
    <w:p w14:paraId="0C6BEA08"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课程目标3：课堂表现5%</w:t>
      </w:r>
      <w:r w:rsidRPr="009B4CAE">
        <w:rPr>
          <w:rFonts w:ascii="宋体" w:eastAsia="宋体" w:hAnsi="宋体" w:cs="Times New Roman"/>
          <w:sz w:val="24"/>
        </w:rPr>
        <w:t>+</w:t>
      </w:r>
      <w:r w:rsidRPr="009B4CAE">
        <w:rPr>
          <w:rFonts w:ascii="宋体" w:eastAsia="宋体" w:hAnsi="宋体" w:cs="Times New Roman" w:hint="eastAsia"/>
          <w:sz w:val="24"/>
        </w:rPr>
        <w:t>阶段测试10%</w:t>
      </w:r>
      <w:r w:rsidRPr="009B4CAE">
        <w:rPr>
          <w:rFonts w:ascii="宋体" w:eastAsia="宋体" w:hAnsi="宋体" w:cs="Times New Roman"/>
          <w:sz w:val="24"/>
        </w:rPr>
        <w:t>+</w:t>
      </w:r>
      <w:r w:rsidRPr="009B4CAE">
        <w:rPr>
          <w:rFonts w:ascii="宋体" w:eastAsia="宋体" w:hAnsi="宋体" w:cs="Times New Roman" w:hint="eastAsia"/>
          <w:sz w:val="24"/>
        </w:rPr>
        <w:t>期末考试10%</w:t>
      </w:r>
    </w:p>
    <w:p w14:paraId="22FDFD5D"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9B4CAE" w:rsidRPr="009B4CAE" w14:paraId="074A0407" w14:textId="77777777" w:rsidTr="009B4CAE">
        <w:trPr>
          <w:trHeight w:val="540"/>
          <w:jc w:val="center"/>
        </w:trPr>
        <w:tc>
          <w:tcPr>
            <w:tcW w:w="1422" w:type="dxa"/>
            <w:vMerge w:val="restart"/>
            <w:vAlign w:val="center"/>
          </w:tcPr>
          <w:p w14:paraId="04EDA511" w14:textId="77777777" w:rsidR="009B4CAE" w:rsidRPr="009B4CAE" w:rsidRDefault="009B4CAE" w:rsidP="009B4CAE">
            <w:pPr>
              <w:spacing w:line="440" w:lineRule="exact"/>
              <w:rPr>
                <w:rFonts w:ascii="宋体" w:eastAsia="宋体" w:hAnsi="宋体" w:cs="Times New Roman"/>
                <w:b/>
                <w:sz w:val="24"/>
              </w:rPr>
            </w:pPr>
            <w:r w:rsidRPr="009B4CAE">
              <w:rPr>
                <w:rFonts w:ascii="宋体" w:eastAsia="宋体" w:hAnsi="宋体" w:cs="Times New Roman" w:hint="eastAsia"/>
                <w:b/>
                <w:sz w:val="24"/>
              </w:rPr>
              <w:t>课程目标</w:t>
            </w:r>
          </w:p>
        </w:tc>
        <w:tc>
          <w:tcPr>
            <w:tcW w:w="6271" w:type="dxa"/>
            <w:gridSpan w:val="4"/>
            <w:vAlign w:val="center"/>
          </w:tcPr>
          <w:p w14:paraId="2BE22D35" w14:textId="77777777" w:rsidR="009B4CAE" w:rsidRPr="009B4CAE" w:rsidRDefault="009B4CAE" w:rsidP="009B4CAE">
            <w:pPr>
              <w:spacing w:line="440" w:lineRule="exact"/>
              <w:rPr>
                <w:rFonts w:ascii="宋体" w:eastAsia="宋体" w:hAnsi="宋体" w:cs="Times New Roman"/>
                <w:b/>
                <w:sz w:val="24"/>
              </w:rPr>
            </w:pPr>
            <w:r w:rsidRPr="009B4CAE">
              <w:rPr>
                <w:rFonts w:ascii="宋体" w:eastAsia="宋体" w:hAnsi="宋体" w:cs="Times New Roman" w:hint="eastAsia"/>
                <w:b/>
                <w:sz w:val="24"/>
              </w:rPr>
              <w:t>考核方式及成绩比例（%）</w:t>
            </w:r>
          </w:p>
        </w:tc>
        <w:tc>
          <w:tcPr>
            <w:tcW w:w="1559" w:type="dxa"/>
            <w:vMerge w:val="restart"/>
            <w:vAlign w:val="center"/>
          </w:tcPr>
          <w:p w14:paraId="1EED0E4B" w14:textId="77777777" w:rsidR="009B4CAE" w:rsidRPr="009B4CAE" w:rsidRDefault="009B4CAE" w:rsidP="009B4CAE">
            <w:pPr>
              <w:spacing w:line="440" w:lineRule="exact"/>
              <w:rPr>
                <w:rFonts w:ascii="宋体" w:eastAsia="宋体" w:hAnsi="宋体" w:cs="Times New Roman"/>
                <w:b/>
                <w:sz w:val="24"/>
              </w:rPr>
            </w:pPr>
            <w:r w:rsidRPr="009B4CAE">
              <w:rPr>
                <w:rFonts w:ascii="宋体" w:eastAsia="宋体" w:hAnsi="宋体" w:cs="Times New Roman" w:hint="eastAsia"/>
                <w:b/>
                <w:sz w:val="24"/>
              </w:rPr>
              <w:t>合计</w:t>
            </w:r>
          </w:p>
        </w:tc>
      </w:tr>
      <w:tr w:rsidR="009B4CAE" w:rsidRPr="009B4CAE" w14:paraId="3A674018" w14:textId="77777777" w:rsidTr="009B4CAE">
        <w:trPr>
          <w:trHeight w:val="578"/>
          <w:jc w:val="center"/>
        </w:trPr>
        <w:tc>
          <w:tcPr>
            <w:tcW w:w="1422" w:type="dxa"/>
            <w:vMerge/>
            <w:vAlign w:val="center"/>
          </w:tcPr>
          <w:p w14:paraId="3D893D89" w14:textId="77777777" w:rsidR="009B4CAE" w:rsidRPr="009B4CAE" w:rsidRDefault="009B4CAE" w:rsidP="009B4CAE">
            <w:pPr>
              <w:spacing w:line="440" w:lineRule="exact"/>
              <w:rPr>
                <w:rFonts w:ascii="宋体" w:eastAsia="宋体" w:hAnsi="宋体" w:cs="Times New Roman"/>
                <w:b/>
                <w:sz w:val="24"/>
              </w:rPr>
            </w:pPr>
          </w:p>
        </w:tc>
        <w:tc>
          <w:tcPr>
            <w:tcW w:w="1452" w:type="dxa"/>
            <w:vAlign w:val="center"/>
          </w:tcPr>
          <w:p w14:paraId="550A8510" w14:textId="77777777" w:rsidR="009B4CAE" w:rsidRPr="009B4CAE" w:rsidRDefault="009B4CAE" w:rsidP="009B4CAE">
            <w:pPr>
              <w:spacing w:line="440" w:lineRule="exact"/>
              <w:rPr>
                <w:rFonts w:ascii="宋体" w:eastAsia="宋体" w:hAnsi="宋体" w:cs="Times New Roman"/>
                <w:b/>
                <w:sz w:val="24"/>
              </w:rPr>
            </w:pPr>
            <w:r w:rsidRPr="009B4CAE">
              <w:rPr>
                <w:rFonts w:ascii="宋体" w:eastAsia="宋体" w:hAnsi="宋体" w:cs="Times New Roman" w:hint="eastAsia"/>
                <w:b/>
                <w:sz w:val="24"/>
              </w:rPr>
              <w:t>课堂表现</w:t>
            </w:r>
          </w:p>
        </w:tc>
        <w:tc>
          <w:tcPr>
            <w:tcW w:w="1559" w:type="dxa"/>
            <w:vAlign w:val="center"/>
          </w:tcPr>
          <w:p w14:paraId="0F9F9DEB" w14:textId="77777777" w:rsidR="009B4CAE" w:rsidRPr="009B4CAE" w:rsidRDefault="009B4CAE" w:rsidP="009B4CAE">
            <w:pPr>
              <w:spacing w:line="440" w:lineRule="exact"/>
              <w:rPr>
                <w:rFonts w:ascii="宋体" w:eastAsia="宋体" w:hAnsi="宋体" w:cs="Times New Roman"/>
                <w:b/>
                <w:sz w:val="24"/>
              </w:rPr>
            </w:pPr>
            <w:r w:rsidRPr="009B4CAE">
              <w:rPr>
                <w:rFonts w:ascii="宋体" w:eastAsia="宋体" w:hAnsi="宋体" w:cs="Times New Roman" w:hint="eastAsia"/>
                <w:b/>
                <w:sz w:val="24"/>
              </w:rPr>
              <w:t>阶段测试</w:t>
            </w:r>
          </w:p>
        </w:tc>
        <w:tc>
          <w:tcPr>
            <w:tcW w:w="1701" w:type="dxa"/>
            <w:vAlign w:val="center"/>
          </w:tcPr>
          <w:p w14:paraId="7979F172" w14:textId="77777777" w:rsidR="009B4CAE" w:rsidRPr="009B4CAE" w:rsidRDefault="009B4CAE" w:rsidP="009B4CAE">
            <w:pPr>
              <w:spacing w:line="440" w:lineRule="exact"/>
              <w:rPr>
                <w:rFonts w:ascii="宋体" w:eastAsia="宋体" w:hAnsi="宋体" w:cs="Times New Roman"/>
                <w:b/>
                <w:sz w:val="24"/>
              </w:rPr>
            </w:pPr>
            <w:r w:rsidRPr="009B4CAE">
              <w:rPr>
                <w:rFonts w:ascii="宋体" w:eastAsia="宋体" w:hAnsi="宋体" w:cs="Times New Roman" w:hint="eastAsia"/>
                <w:b/>
                <w:sz w:val="24"/>
              </w:rPr>
              <w:t>课程论文</w:t>
            </w:r>
          </w:p>
        </w:tc>
        <w:tc>
          <w:tcPr>
            <w:tcW w:w="1559" w:type="dxa"/>
            <w:vAlign w:val="center"/>
          </w:tcPr>
          <w:p w14:paraId="5630A1A4" w14:textId="77777777" w:rsidR="009B4CAE" w:rsidRPr="009B4CAE" w:rsidRDefault="009B4CAE" w:rsidP="009B4CAE">
            <w:pPr>
              <w:spacing w:line="440" w:lineRule="exact"/>
              <w:rPr>
                <w:rFonts w:ascii="宋体" w:eastAsia="宋体" w:hAnsi="宋体" w:cs="Times New Roman"/>
                <w:b/>
                <w:sz w:val="24"/>
              </w:rPr>
            </w:pPr>
            <w:r w:rsidRPr="009B4CAE">
              <w:rPr>
                <w:rFonts w:ascii="宋体" w:eastAsia="宋体" w:hAnsi="宋体" w:cs="Times New Roman" w:hint="eastAsia"/>
                <w:b/>
                <w:sz w:val="24"/>
              </w:rPr>
              <w:t>期末考试</w:t>
            </w:r>
          </w:p>
        </w:tc>
        <w:tc>
          <w:tcPr>
            <w:tcW w:w="1559" w:type="dxa"/>
            <w:vMerge/>
          </w:tcPr>
          <w:p w14:paraId="22B5FAE7" w14:textId="77777777" w:rsidR="009B4CAE" w:rsidRPr="009B4CAE" w:rsidRDefault="009B4CAE" w:rsidP="009B4CAE">
            <w:pPr>
              <w:spacing w:line="440" w:lineRule="exact"/>
              <w:rPr>
                <w:rFonts w:ascii="宋体" w:eastAsia="宋体" w:hAnsi="宋体" w:cs="Times New Roman"/>
                <w:b/>
                <w:sz w:val="24"/>
              </w:rPr>
            </w:pPr>
          </w:p>
        </w:tc>
      </w:tr>
      <w:tr w:rsidR="009B4CAE" w:rsidRPr="009B4CAE" w14:paraId="2445F53E" w14:textId="77777777" w:rsidTr="009B4CAE">
        <w:trPr>
          <w:jc w:val="center"/>
        </w:trPr>
        <w:tc>
          <w:tcPr>
            <w:tcW w:w="1422" w:type="dxa"/>
            <w:vAlign w:val="center"/>
          </w:tcPr>
          <w:p w14:paraId="261299D5"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课程目标1</w:t>
            </w:r>
          </w:p>
        </w:tc>
        <w:tc>
          <w:tcPr>
            <w:tcW w:w="1452" w:type="dxa"/>
            <w:vAlign w:val="center"/>
          </w:tcPr>
          <w:p w14:paraId="32A4544D"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5</w:t>
            </w:r>
          </w:p>
        </w:tc>
        <w:tc>
          <w:tcPr>
            <w:tcW w:w="1559" w:type="dxa"/>
            <w:vAlign w:val="center"/>
          </w:tcPr>
          <w:p w14:paraId="6542D23B"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10</w:t>
            </w:r>
          </w:p>
        </w:tc>
        <w:tc>
          <w:tcPr>
            <w:tcW w:w="1701" w:type="dxa"/>
            <w:vAlign w:val="center"/>
          </w:tcPr>
          <w:p w14:paraId="4F880D7B" w14:textId="77777777" w:rsidR="009B4CAE" w:rsidRPr="009B4CAE" w:rsidRDefault="009B4CAE" w:rsidP="009B4CAE">
            <w:pPr>
              <w:spacing w:line="440" w:lineRule="exact"/>
              <w:rPr>
                <w:rFonts w:ascii="宋体" w:eastAsia="宋体" w:hAnsi="宋体" w:cs="Times New Roman"/>
                <w:bCs/>
                <w:sz w:val="24"/>
              </w:rPr>
            </w:pPr>
          </w:p>
        </w:tc>
        <w:tc>
          <w:tcPr>
            <w:tcW w:w="1559" w:type="dxa"/>
            <w:vAlign w:val="center"/>
          </w:tcPr>
          <w:p w14:paraId="3179FEAD"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20</w:t>
            </w:r>
          </w:p>
        </w:tc>
        <w:tc>
          <w:tcPr>
            <w:tcW w:w="1559" w:type="dxa"/>
          </w:tcPr>
          <w:p w14:paraId="302C0844"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35</w:t>
            </w:r>
          </w:p>
        </w:tc>
      </w:tr>
      <w:tr w:rsidR="009B4CAE" w:rsidRPr="009B4CAE" w14:paraId="004008C9" w14:textId="77777777" w:rsidTr="009B4CAE">
        <w:trPr>
          <w:jc w:val="center"/>
        </w:trPr>
        <w:tc>
          <w:tcPr>
            <w:tcW w:w="1422" w:type="dxa"/>
            <w:vAlign w:val="center"/>
          </w:tcPr>
          <w:p w14:paraId="2ADE0B84"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课程目标2</w:t>
            </w:r>
          </w:p>
        </w:tc>
        <w:tc>
          <w:tcPr>
            <w:tcW w:w="1452" w:type="dxa"/>
            <w:vAlign w:val="center"/>
          </w:tcPr>
          <w:p w14:paraId="236C7F14"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10</w:t>
            </w:r>
          </w:p>
        </w:tc>
        <w:tc>
          <w:tcPr>
            <w:tcW w:w="1559" w:type="dxa"/>
            <w:vAlign w:val="center"/>
          </w:tcPr>
          <w:p w14:paraId="1453D79E"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10</w:t>
            </w:r>
          </w:p>
        </w:tc>
        <w:tc>
          <w:tcPr>
            <w:tcW w:w="1701" w:type="dxa"/>
            <w:vAlign w:val="center"/>
          </w:tcPr>
          <w:p w14:paraId="6F838876" w14:textId="77777777" w:rsidR="009B4CAE" w:rsidRPr="009B4CAE" w:rsidRDefault="009B4CAE" w:rsidP="009B4CAE">
            <w:pPr>
              <w:spacing w:line="440" w:lineRule="exact"/>
              <w:rPr>
                <w:rFonts w:ascii="宋体" w:eastAsia="宋体" w:hAnsi="宋体" w:cs="Times New Roman"/>
                <w:bCs/>
                <w:sz w:val="24"/>
              </w:rPr>
            </w:pPr>
          </w:p>
        </w:tc>
        <w:tc>
          <w:tcPr>
            <w:tcW w:w="1559" w:type="dxa"/>
            <w:vAlign w:val="center"/>
          </w:tcPr>
          <w:p w14:paraId="2416FC52"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20</w:t>
            </w:r>
          </w:p>
        </w:tc>
        <w:tc>
          <w:tcPr>
            <w:tcW w:w="1559" w:type="dxa"/>
          </w:tcPr>
          <w:p w14:paraId="20DAAD88"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40</w:t>
            </w:r>
          </w:p>
        </w:tc>
      </w:tr>
      <w:tr w:rsidR="009B4CAE" w:rsidRPr="009B4CAE" w14:paraId="7834752F" w14:textId="77777777" w:rsidTr="009B4CAE">
        <w:trPr>
          <w:jc w:val="center"/>
        </w:trPr>
        <w:tc>
          <w:tcPr>
            <w:tcW w:w="1422" w:type="dxa"/>
            <w:vAlign w:val="center"/>
          </w:tcPr>
          <w:p w14:paraId="339DBA59"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课程目标3</w:t>
            </w:r>
          </w:p>
        </w:tc>
        <w:tc>
          <w:tcPr>
            <w:tcW w:w="1452" w:type="dxa"/>
            <w:vAlign w:val="center"/>
          </w:tcPr>
          <w:p w14:paraId="4502AC12"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5</w:t>
            </w:r>
          </w:p>
        </w:tc>
        <w:tc>
          <w:tcPr>
            <w:tcW w:w="1559" w:type="dxa"/>
            <w:vAlign w:val="center"/>
          </w:tcPr>
          <w:p w14:paraId="128FF832"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10</w:t>
            </w:r>
          </w:p>
        </w:tc>
        <w:tc>
          <w:tcPr>
            <w:tcW w:w="1701" w:type="dxa"/>
            <w:vAlign w:val="center"/>
          </w:tcPr>
          <w:p w14:paraId="38315ED8" w14:textId="77777777" w:rsidR="009B4CAE" w:rsidRPr="009B4CAE" w:rsidRDefault="009B4CAE" w:rsidP="009B4CAE">
            <w:pPr>
              <w:spacing w:line="440" w:lineRule="exact"/>
              <w:rPr>
                <w:rFonts w:ascii="宋体" w:eastAsia="宋体" w:hAnsi="宋体" w:cs="Times New Roman"/>
                <w:bCs/>
                <w:sz w:val="24"/>
              </w:rPr>
            </w:pPr>
          </w:p>
        </w:tc>
        <w:tc>
          <w:tcPr>
            <w:tcW w:w="1559" w:type="dxa"/>
            <w:vAlign w:val="center"/>
          </w:tcPr>
          <w:p w14:paraId="591065A6"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10</w:t>
            </w:r>
          </w:p>
        </w:tc>
        <w:tc>
          <w:tcPr>
            <w:tcW w:w="1559" w:type="dxa"/>
          </w:tcPr>
          <w:p w14:paraId="651881B2"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25</w:t>
            </w:r>
          </w:p>
        </w:tc>
      </w:tr>
      <w:tr w:rsidR="009B4CAE" w:rsidRPr="009B4CAE" w14:paraId="0DB115A8" w14:textId="77777777" w:rsidTr="009B4CAE">
        <w:trPr>
          <w:jc w:val="center"/>
        </w:trPr>
        <w:tc>
          <w:tcPr>
            <w:tcW w:w="1422" w:type="dxa"/>
            <w:vAlign w:val="center"/>
          </w:tcPr>
          <w:p w14:paraId="0F807F04"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合计</w:t>
            </w:r>
          </w:p>
        </w:tc>
        <w:tc>
          <w:tcPr>
            <w:tcW w:w="1452" w:type="dxa"/>
            <w:vAlign w:val="center"/>
          </w:tcPr>
          <w:p w14:paraId="4F958881"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20</w:t>
            </w:r>
          </w:p>
        </w:tc>
        <w:tc>
          <w:tcPr>
            <w:tcW w:w="1559" w:type="dxa"/>
            <w:vAlign w:val="center"/>
          </w:tcPr>
          <w:p w14:paraId="36A2A4B7"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30</w:t>
            </w:r>
          </w:p>
        </w:tc>
        <w:tc>
          <w:tcPr>
            <w:tcW w:w="1701" w:type="dxa"/>
            <w:vAlign w:val="center"/>
          </w:tcPr>
          <w:p w14:paraId="1895D0E2" w14:textId="77777777" w:rsidR="009B4CAE" w:rsidRPr="009B4CAE" w:rsidRDefault="009B4CAE" w:rsidP="009B4CAE">
            <w:pPr>
              <w:spacing w:line="440" w:lineRule="exact"/>
              <w:rPr>
                <w:rFonts w:ascii="宋体" w:eastAsia="宋体" w:hAnsi="宋体" w:cs="Times New Roman"/>
                <w:bCs/>
                <w:sz w:val="24"/>
              </w:rPr>
            </w:pPr>
          </w:p>
        </w:tc>
        <w:tc>
          <w:tcPr>
            <w:tcW w:w="1559" w:type="dxa"/>
            <w:vAlign w:val="center"/>
          </w:tcPr>
          <w:p w14:paraId="467B1DC2"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50</w:t>
            </w:r>
          </w:p>
        </w:tc>
        <w:tc>
          <w:tcPr>
            <w:tcW w:w="1559" w:type="dxa"/>
          </w:tcPr>
          <w:p w14:paraId="7C316308" w14:textId="77777777" w:rsidR="009B4CAE" w:rsidRPr="009B4CAE" w:rsidRDefault="009B4CAE" w:rsidP="009B4CAE">
            <w:pPr>
              <w:spacing w:line="440" w:lineRule="exact"/>
              <w:rPr>
                <w:rFonts w:ascii="宋体" w:eastAsia="宋体" w:hAnsi="宋体" w:cs="Times New Roman"/>
                <w:bCs/>
                <w:sz w:val="24"/>
              </w:rPr>
            </w:pPr>
            <w:r w:rsidRPr="009B4CAE">
              <w:rPr>
                <w:rFonts w:ascii="宋体" w:eastAsia="宋体" w:hAnsi="宋体" w:cs="Times New Roman" w:hint="eastAsia"/>
                <w:bCs/>
                <w:sz w:val="24"/>
              </w:rPr>
              <w:t>1</w:t>
            </w:r>
            <w:r w:rsidRPr="009B4CAE">
              <w:rPr>
                <w:rFonts w:ascii="宋体" w:eastAsia="宋体" w:hAnsi="宋体" w:cs="Times New Roman"/>
                <w:bCs/>
                <w:sz w:val="24"/>
              </w:rPr>
              <w:t>00</w:t>
            </w:r>
          </w:p>
        </w:tc>
      </w:tr>
    </w:tbl>
    <w:p w14:paraId="5D98894C" w14:textId="77777777" w:rsidR="009B4CAE" w:rsidRPr="009B4CAE" w:rsidRDefault="009B4CAE" w:rsidP="009B4CAE">
      <w:pPr>
        <w:spacing w:line="440" w:lineRule="exact"/>
        <w:ind w:firstLineChars="200" w:firstLine="480"/>
        <w:rPr>
          <w:rFonts w:ascii="宋体" w:eastAsia="宋体" w:hAnsi="宋体" w:cs="Times New Roman"/>
          <w:sz w:val="24"/>
        </w:rPr>
      </w:pPr>
    </w:p>
    <w:p w14:paraId="3FD81C73" w14:textId="77777777" w:rsidR="009B4CAE" w:rsidRPr="009B4CAE" w:rsidRDefault="009B4CAE" w:rsidP="00C63ECC">
      <w:pPr>
        <w:pStyle w:val="afc"/>
      </w:pPr>
      <w:bookmarkStart w:id="71" w:name="_Toc6251"/>
      <w:r w:rsidRPr="009B4CAE">
        <w:rPr>
          <w:rFonts w:hint="eastAsia"/>
        </w:rPr>
        <w:t>五、成绩评定</w:t>
      </w:r>
      <w:bookmarkEnd w:id="71"/>
    </w:p>
    <w:p w14:paraId="60C83A92" w14:textId="77777777" w:rsidR="009B4CAE" w:rsidRPr="009B4CAE" w:rsidRDefault="009B4CAE" w:rsidP="009B4CAE">
      <w:pPr>
        <w:spacing w:beforeLines="50" w:before="156" w:afterLines="50" w:after="156" w:line="440" w:lineRule="exact"/>
        <w:ind w:firstLineChars="200" w:firstLine="560"/>
        <w:rPr>
          <w:rFonts w:ascii="黑体" w:eastAsia="黑体" w:hAnsi="黑体" w:cs="Times New Roman"/>
          <w:sz w:val="28"/>
          <w:szCs w:val="28"/>
        </w:rPr>
      </w:pPr>
      <w:r w:rsidRPr="009B4CAE">
        <w:rPr>
          <w:rFonts w:ascii="黑体" w:eastAsia="黑体" w:hAnsi="黑体" w:cs="Times New Roman" w:hint="eastAsia"/>
          <w:sz w:val="28"/>
          <w:szCs w:val="28"/>
        </w:rPr>
        <w:t>（一）总成绩评定</w:t>
      </w:r>
    </w:p>
    <w:p w14:paraId="7C7BE839"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总成绩=平时成绩×20%+期中成绩×30%+期末成绩×50%</w:t>
      </w:r>
    </w:p>
    <w:p w14:paraId="3888D635"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备注：每学期总成绩</w:t>
      </w:r>
    </w:p>
    <w:p w14:paraId="748E80B3" w14:textId="77777777" w:rsidR="009B4CAE" w:rsidRPr="009B4CAE" w:rsidRDefault="009B4CAE" w:rsidP="009B4CAE">
      <w:pPr>
        <w:spacing w:beforeLines="50" w:before="156" w:afterLines="50" w:after="156" w:line="440" w:lineRule="exact"/>
        <w:ind w:firstLineChars="200" w:firstLine="560"/>
        <w:rPr>
          <w:rFonts w:ascii="宋体" w:eastAsia="宋体" w:hAnsi="宋体" w:cs="Times New Roman"/>
          <w:color w:val="FF0000"/>
          <w:sz w:val="24"/>
        </w:rPr>
      </w:pPr>
      <w:r w:rsidRPr="009B4CAE">
        <w:rPr>
          <w:rFonts w:ascii="黑体" w:eastAsia="黑体" w:hAnsi="黑体" w:cs="Times New Roman" w:hint="eastAsia"/>
          <w:sz w:val="28"/>
          <w:szCs w:val="28"/>
        </w:rPr>
        <w:t>（二）平时成绩评定</w:t>
      </w:r>
    </w:p>
    <w:p w14:paraId="19EC3DE1"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（1）课堂表现：通过学生在课堂上的表现情况、发言与主体参与和练习情况，来评价学生相关的能力。</w:t>
      </w:r>
    </w:p>
    <w:p w14:paraId="170E951E"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（2）作业完成情况：围绕课程的学习目标进行作业的设计。如让学生简述对知识的认识，建议</w:t>
      </w:r>
      <w:proofErr w:type="gramStart"/>
      <w:r w:rsidRPr="009B4CAE">
        <w:rPr>
          <w:rFonts w:ascii="宋体" w:eastAsia="宋体" w:hAnsi="宋体" w:cs="Times New Roman" w:hint="eastAsia"/>
          <w:sz w:val="24"/>
        </w:rPr>
        <w:t>带准备</w:t>
      </w:r>
      <w:proofErr w:type="gramEnd"/>
      <w:r w:rsidRPr="009B4CAE">
        <w:rPr>
          <w:rFonts w:ascii="宋体" w:eastAsia="宋体" w:hAnsi="宋体" w:cs="Times New Roman" w:hint="eastAsia"/>
          <w:sz w:val="24"/>
        </w:rPr>
        <w:t>部分和基本部分中的复习内容，帮助学生将定义转化为自己的</w:t>
      </w:r>
      <w:r w:rsidRPr="009B4CAE">
        <w:rPr>
          <w:rFonts w:ascii="宋体" w:eastAsia="宋体" w:hAnsi="宋体" w:cs="Times New Roman" w:hint="eastAsia"/>
          <w:sz w:val="24"/>
        </w:rPr>
        <w:lastRenderedPageBreak/>
        <w:t>理解。学生在小组合作学习中测验掌握课程的情况</w:t>
      </w:r>
    </w:p>
    <w:p w14:paraId="257B521A" w14:textId="77777777" w:rsidR="009B4CAE" w:rsidRPr="009B4CAE" w:rsidRDefault="009B4CAE" w:rsidP="009B4CAE">
      <w:pPr>
        <w:spacing w:line="440" w:lineRule="exact"/>
        <w:ind w:firstLineChars="200" w:firstLine="480"/>
        <w:rPr>
          <w:rFonts w:ascii="宋体" w:eastAsia="宋体" w:hAnsi="宋体" w:cs="Times New Roman"/>
          <w:color w:val="FF0000"/>
          <w:sz w:val="24"/>
        </w:rPr>
      </w:pPr>
      <w:r w:rsidRPr="009B4CAE">
        <w:rPr>
          <w:rFonts w:ascii="宋体" w:eastAsia="宋体" w:hAnsi="宋体" w:cs="Times New Roman" w:hint="eastAsia"/>
          <w:sz w:val="24"/>
        </w:rPr>
        <w:t>（3）课堂考勤：留存辅导员开具的事假条、校医院开具的病假条。缺课达到本学期三分之一课时，按照考试无资格处理。</w:t>
      </w:r>
    </w:p>
    <w:p w14:paraId="07097DC0" w14:textId="77777777" w:rsidR="009B4CAE" w:rsidRPr="009B4CAE" w:rsidRDefault="009B4CAE" w:rsidP="009B4CAE">
      <w:pPr>
        <w:spacing w:beforeLines="50" w:before="156" w:afterLines="50" w:after="156" w:line="440" w:lineRule="exact"/>
        <w:ind w:firstLineChars="200" w:firstLine="560"/>
        <w:rPr>
          <w:rFonts w:ascii="黑体" w:eastAsia="黑体" w:hAnsi="黑体" w:cs="Times New Roman"/>
          <w:sz w:val="28"/>
          <w:szCs w:val="28"/>
        </w:rPr>
      </w:pPr>
      <w:r w:rsidRPr="009B4CAE">
        <w:rPr>
          <w:rFonts w:ascii="黑体" w:eastAsia="黑体" w:hAnsi="黑体" w:cs="Times New Roman" w:hint="eastAsia"/>
          <w:sz w:val="28"/>
          <w:szCs w:val="28"/>
        </w:rPr>
        <w:t>（三）期中、期末成绩评定</w:t>
      </w:r>
    </w:p>
    <w:p w14:paraId="1229DB1C" w14:textId="77777777" w:rsidR="009B4CAE" w:rsidRPr="009B4CAE" w:rsidRDefault="009B4CAE" w:rsidP="009B4CAE">
      <w:pPr>
        <w:spacing w:beforeLines="50" w:before="156" w:afterLines="50" w:after="156" w:line="440" w:lineRule="exact"/>
        <w:ind w:firstLineChars="200" w:firstLine="560"/>
        <w:rPr>
          <w:rFonts w:ascii="黑体" w:eastAsia="黑体" w:hAnsi="黑体" w:cs="Times New Roman"/>
          <w:sz w:val="28"/>
          <w:szCs w:val="28"/>
        </w:rPr>
      </w:pPr>
      <w:r w:rsidRPr="009B4CAE">
        <w:rPr>
          <w:rFonts w:ascii="黑体" w:eastAsia="黑体" w:hAnsi="黑体" w:cs="Times New Roman" w:hint="eastAsia"/>
          <w:sz w:val="28"/>
          <w:szCs w:val="28"/>
        </w:rPr>
        <w:t>第一学期</w:t>
      </w:r>
    </w:p>
    <w:p w14:paraId="6AC78907" w14:textId="77777777" w:rsidR="009B4CAE" w:rsidRPr="009B4CAE" w:rsidRDefault="009B4CAE" w:rsidP="009B4CAE">
      <w:pPr>
        <w:adjustRightInd w:val="0"/>
        <w:snapToGrid w:val="0"/>
        <w:spacing w:line="500" w:lineRule="exact"/>
        <w:jc w:val="center"/>
        <w:rPr>
          <w:rFonts w:ascii="宋体" w:eastAsia="宋体" w:hAnsi="Calibri" w:cs="Times New Roman"/>
          <w:b/>
          <w:bCs/>
          <w:kern w:val="0"/>
          <w:sz w:val="24"/>
        </w:rPr>
      </w:pPr>
      <w:r w:rsidRPr="009B4CAE">
        <w:rPr>
          <w:rFonts w:ascii="宋体" w:eastAsia="宋体" w:hAnsi="Calibri" w:cs="Times New Roman" w:hint="eastAsia"/>
          <w:b/>
          <w:bCs/>
          <w:kern w:val="0"/>
          <w:sz w:val="24"/>
        </w:rPr>
        <w:t>期中考试</w:t>
      </w:r>
    </w:p>
    <w:p w14:paraId="03E0B2CE" w14:textId="77777777" w:rsidR="009B4CAE" w:rsidRPr="009B4CAE" w:rsidRDefault="009B4CAE" w:rsidP="009B4CAE">
      <w:pPr>
        <w:adjustRightInd w:val="0"/>
        <w:snapToGrid w:val="0"/>
        <w:spacing w:line="500" w:lineRule="exact"/>
        <w:rPr>
          <w:rFonts w:ascii="宋体" w:eastAsia="宋体" w:hAnsi="Calibri" w:cs="Times New Roman"/>
          <w:bCs/>
          <w:kern w:val="0"/>
          <w:sz w:val="24"/>
        </w:rPr>
      </w:pPr>
      <w:r w:rsidRPr="009B4CAE">
        <w:rPr>
          <w:rFonts w:ascii="宋体" w:eastAsia="宋体" w:hAnsi="Calibri" w:cs="Times New Roman" w:hint="eastAsia"/>
          <w:b/>
          <w:kern w:val="0"/>
          <w:sz w:val="24"/>
        </w:rPr>
        <w:t>1.课程考核目标:</w:t>
      </w:r>
      <w:r w:rsidRPr="009B4CAE">
        <w:rPr>
          <w:rFonts w:ascii="宋体" w:eastAsia="宋体" w:hAnsi="Calibri" w:cs="Times New Roman" w:hint="eastAsia"/>
          <w:bCs/>
          <w:kern w:val="0"/>
          <w:sz w:val="24"/>
        </w:rPr>
        <w:t>通过考核检验体能训练教学效果和学生掌握情况，让学生了解体质健康标准测验的重要性。</w:t>
      </w:r>
    </w:p>
    <w:p w14:paraId="5E38339E" w14:textId="77777777" w:rsidR="009B4CAE" w:rsidRPr="009B4CAE" w:rsidRDefault="009B4CAE" w:rsidP="009B4CAE">
      <w:pPr>
        <w:adjustRightInd w:val="0"/>
        <w:snapToGrid w:val="0"/>
        <w:spacing w:line="500" w:lineRule="exact"/>
        <w:jc w:val="left"/>
        <w:rPr>
          <w:rFonts w:ascii="宋体" w:eastAsia="宋体" w:hAnsi="Calibri" w:cs="Times New Roman"/>
          <w:bCs/>
          <w:kern w:val="0"/>
          <w:sz w:val="24"/>
        </w:rPr>
      </w:pPr>
      <w:r w:rsidRPr="009B4CAE">
        <w:rPr>
          <w:rFonts w:ascii="宋体" w:eastAsia="宋体" w:hAnsi="Calibri" w:cs="Times New Roman" w:hint="eastAsia"/>
          <w:b/>
          <w:kern w:val="0"/>
          <w:sz w:val="24"/>
        </w:rPr>
        <w:t>2.课程考核的内容：</w:t>
      </w:r>
      <w:r w:rsidRPr="009B4CAE">
        <w:rPr>
          <w:rFonts w:ascii="宋体" w:eastAsia="宋体" w:hAnsi="Calibri" w:cs="Times New Roman" w:hint="eastAsia"/>
          <w:bCs/>
          <w:kern w:val="0"/>
          <w:sz w:val="24"/>
        </w:rPr>
        <w:t>立定跳远。</w:t>
      </w:r>
    </w:p>
    <w:p w14:paraId="2D2129BD" w14:textId="77777777" w:rsidR="009B4CAE" w:rsidRPr="009B4CAE" w:rsidRDefault="009B4CAE" w:rsidP="009B4CAE">
      <w:pPr>
        <w:adjustRightInd w:val="0"/>
        <w:snapToGrid w:val="0"/>
        <w:spacing w:line="500" w:lineRule="exact"/>
        <w:jc w:val="left"/>
        <w:rPr>
          <w:rFonts w:ascii="宋体" w:eastAsia="宋体" w:hAnsi="Calibri" w:cs="Times New Roman"/>
          <w:bCs/>
          <w:kern w:val="0"/>
          <w:sz w:val="24"/>
        </w:rPr>
      </w:pPr>
      <w:r w:rsidRPr="009B4CAE">
        <w:rPr>
          <w:rFonts w:ascii="宋体" w:eastAsia="宋体" w:hAnsi="Calibri" w:cs="Times New Roman" w:hint="eastAsia"/>
          <w:b/>
          <w:kern w:val="0"/>
          <w:sz w:val="24"/>
        </w:rPr>
        <w:t>3.课程考核方式：</w:t>
      </w:r>
      <w:r w:rsidRPr="009B4CAE">
        <w:rPr>
          <w:rFonts w:ascii="宋体" w:eastAsia="宋体" w:hAnsi="Calibri" w:cs="Times New Roman" w:hint="eastAsia"/>
          <w:bCs/>
          <w:kern w:val="0"/>
          <w:sz w:val="24"/>
        </w:rPr>
        <w:t>沙坑场地，每人跳两次，取最好成绩。</w:t>
      </w:r>
    </w:p>
    <w:p w14:paraId="6C4AFC5E" w14:textId="77777777" w:rsidR="009B4CAE" w:rsidRPr="009B4CAE" w:rsidRDefault="009B4CAE" w:rsidP="009B4CAE">
      <w:pPr>
        <w:adjustRightInd w:val="0"/>
        <w:snapToGrid w:val="0"/>
        <w:spacing w:line="500" w:lineRule="exact"/>
        <w:jc w:val="left"/>
        <w:rPr>
          <w:rFonts w:ascii="宋体" w:eastAsia="宋体" w:hAnsi="Calibri" w:cs="Times New Roman"/>
          <w:bCs/>
          <w:kern w:val="0"/>
          <w:sz w:val="24"/>
        </w:rPr>
      </w:pPr>
      <w:r w:rsidRPr="009B4CAE">
        <w:rPr>
          <w:rFonts w:ascii="宋体" w:eastAsia="宋体" w:hAnsi="Calibri" w:cs="Times New Roman" w:hint="eastAsia"/>
          <w:b/>
          <w:kern w:val="0"/>
          <w:sz w:val="24"/>
        </w:rPr>
        <w:t>4.成绩构成及分值：</w:t>
      </w:r>
      <w:r w:rsidRPr="009B4CAE">
        <w:rPr>
          <w:rFonts w:ascii="宋体" w:eastAsia="宋体" w:hAnsi="Calibri" w:cs="Times New Roman" w:hint="eastAsia"/>
          <w:bCs/>
          <w:kern w:val="0"/>
          <w:sz w:val="24"/>
        </w:rPr>
        <w:t>数量及技术评定分值各为100分，各占总分值的20%，</w:t>
      </w:r>
    </w:p>
    <w:p w14:paraId="13C091A5" w14:textId="77777777" w:rsidR="009B4CAE" w:rsidRPr="009B4CAE" w:rsidRDefault="009B4CAE" w:rsidP="009B4CAE">
      <w:pPr>
        <w:adjustRightInd w:val="0"/>
        <w:snapToGrid w:val="0"/>
        <w:spacing w:line="500" w:lineRule="exact"/>
        <w:jc w:val="left"/>
        <w:rPr>
          <w:rFonts w:ascii="宋体" w:eastAsia="宋体" w:hAnsi="Calibri" w:cs="Times New Roman"/>
          <w:bCs/>
          <w:kern w:val="0"/>
          <w:sz w:val="24"/>
        </w:rPr>
      </w:pPr>
      <w:r w:rsidRPr="009B4CAE">
        <w:rPr>
          <w:rFonts w:ascii="宋体" w:eastAsia="宋体" w:hAnsi="Calibri" w:cs="Times New Roman" w:hint="eastAsia"/>
          <w:bCs/>
          <w:kern w:val="0"/>
          <w:sz w:val="24"/>
        </w:rPr>
        <w:t>总分值为100分。</w:t>
      </w:r>
    </w:p>
    <w:p w14:paraId="5DA02535" w14:textId="77777777" w:rsidR="009B4CAE" w:rsidRPr="009B4CAE" w:rsidRDefault="009B4CAE" w:rsidP="009B4CAE">
      <w:pPr>
        <w:adjustRightInd w:val="0"/>
        <w:snapToGrid w:val="0"/>
        <w:spacing w:line="500" w:lineRule="exact"/>
        <w:jc w:val="left"/>
        <w:rPr>
          <w:rFonts w:ascii="宋体" w:eastAsia="宋体" w:hAnsi="Calibri" w:cs="Times New Roman"/>
          <w:b/>
          <w:kern w:val="0"/>
          <w:sz w:val="24"/>
        </w:rPr>
      </w:pPr>
      <w:r w:rsidRPr="009B4CAE">
        <w:rPr>
          <w:rFonts w:ascii="宋体" w:eastAsia="宋体" w:hAnsi="Calibri" w:cs="Times New Roman" w:hint="eastAsia"/>
          <w:b/>
          <w:kern w:val="0"/>
          <w:sz w:val="24"/>
        </w:rPr>
        <w:t>5.评分记分原则：</w:t>
      </w:r>
    </w:p>
    <w:p w14:paraId="63C039EB" w14:textId="77777777" w:rsidR="009B4CAE" w:rsidRPr="009B4CAE" w:rsidRDefault="009B4CAE" w:rsidP="009B4CAE">
      <w:pPr>
        <w:adjustRightInd w:val="0"/>
        <w:snapToGrid w:val="0"/>
        <w:spacing w:line="500" w:lineRule="exact"/>
        <w:ind w:leftChars="200" w:left="420"/>
        <w:jc w:val="left"/>
        <w:rPr>
          <w:rFonts w:ascii="宋体" w:eastAsia="宋体" w:hAnsi="Calibri" w:cs="Times New Roman"/>
          <w:b/>
          <w:kern w:val="0"/>
          <w:sz w:val="24"/>
        </w:rPr>
      </w:pPr>
    </w:p>
    <w:p w14:paraId="607ADA24" w14:textId="77777777" w:rsidR="009B4CAE" w:rsidRPr="009B4CAE" w:rsidRDefault="009B4CAE" w:rsidP="009B4CAE">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9B4CAE" w:rsidRPr="009B4CAE" w14:paraId="018AA230" w14:textId="77777777" w:rsidTr="009B4CAE">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40F74E3"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40041230"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73AA096"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大</w:t>
            </w:r>
            <w:proofErr w:type="gramStart"/>
            <w:r w:rsidRPr="009B4CAE">
              <w:rPr>
                <w:rFonts w:ascii="宋体" w:eastAsia="宋体" w:hAnsi="宋体" w:cs="宋体" w:hint="eastAsia"/>
                <w:b/>
                <w:kern w:val="0"/>
                <w:sz w:val="24"/>
                <w:lang w:bidi="ar"/>
              </w:rPr>
              <w:t>一</w:t>
            </w:r>
            <w:proofErr w:type="gramEnd"/>
            <w:r w:rsidRPr="009B4CAE">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1F2FA2F0"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大</w:t>
            </w:r>
            <w:proofErr w:type="gramStart"/>
            <w:r w:rsidRPr="009B4CAE">
              <w:rPr>
                <w:rFonts w:ascii="宋体" w:eastAsia="宋体" w:hAnsi="宋体" w:cs="宋体" w:hint="eastAsia"/>
                <w:b/>
                <w:kern w:val="0"/>
                <w:sz w:val="24"/>
                <w:lang w:bidi="ar"/>
              </w:rPr>
              <w:t>一</w:t>
            </w:r>
            <w:proofErr w:type="gramEnd"/>
            <w:r w:rsidRPr="009B4CAE">
              <w:rPr>
                <w:rFonts w:ascii="宋体" w:eastAsia="宋体" w:hAnsi="宋体" w:cs="宋体" w:hint="eastAsia"/>
                <w:b/>
                <w:kern w:val="0"/>
                <w:sz w:val="24"/>
                <w:lang w:bidi="ar"/>
              </w:rPr>
              <w:t>女生</w:t>
            </w:r>
          </w:p>
        </w:tc>
      </w:tr>
      <w:tr w:rsidR="009B4CAE" w:rsidRPr="009B4CAE" w14:paraId="2F09E0F3" w14:textId="77777777" w:rsidTr="009B4CAE">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E7CCC7A"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4BD3146"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79181E45" w14:textId="77777777" w:rsidR="009B4CAE" w:rsidRPr="009B4CAE" w:rsidRDefault="009B4CAE" w:rsidP="009B4CAE">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2D4E4716" w14:textId="77777777" w:rsidR="009B4CAE" w:rsidRPr="009B4CAE" w:rsidRDefault="009B4CAE" w:rsidP="009B4CAE">
            <w:pPr>
              <w:jc w:val="center"/>
              <w:rPr>
                <w:rFonts w:ascii="宋体" w:eastAsia="宋体" w:hAnsi="宋体" w:cs="宋体"/>
                <w:b/>
                <w:sz w:val="24"/>
              </w:rPr>
            </w:pPr>
          </w:p>
        </w:tc>
      </w:tr>
      <w:tr w:rsidR="009B4CAE" w:rsidRPr="009B4CAE" w14:paraId="0782EE09" w14:textId="77777777" w:rsidTr="009B4CAE">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9078878"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210B344B"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45E1ECC6"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0745455E"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207</w:t>
            </w:r>
          </w:p>
        </w:tc>
      </w:tr>
      <w:tr w:rsidR="009B4CAE" w:rsidRPr="009B4CAE" w14:paraId="62438BE5"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4F27C4D"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597762F"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3E9DA53E"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40D90FE5"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201</w:t>
            </w:r>
          </w:p>
        </w:tc>
      </w:tr>
      <w:tr w:rsidR="009B4CAE" w:rsidRPr="009B4CAE" w14:paraId="7EC7E30C"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45AC9E0"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9FF6F9E"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769C0B1"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F11F3EE"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195</w:t>
            </w:r>
          </w:p>
        </w:tc>
      </w:tr>
      <w:tr w:rsidR="009B4CAE" w:rsidRPr="009B4CAE" w14:paraId="5AE2E0D5" w14:textId="77777777" w:rsidTr="009B4CAE">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55E51A6"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1E6F24C0"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28E18C41"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6FCE5D6C"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188</w:t>
            </w:r>
          </w:p>
        </w:tc>
      </w:tr>
      <w:tr w:rsidR="009B4CAE" w:rsidRPr="009B4CAE" w14:paraId="6639E129"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CD83B19"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E600141"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41CE5EA"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3AD30E7"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181</w:t>
            </w:r>
          </w:p>
        </w:tc>
      </w:tr>
      <w:tr w:rsidR="009B4CAE" w:rsidRPr="009B4CAE" w14:paraId="6BDEFBD6" w14:textId="77777777" w:rsidTr="009B4CAE">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57FDA87"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4EF57D1"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0D08C08D"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23CF899C"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178</w:t>
            </w:r>
          </w:p>
        </w:tc>
      </w:tr>
      <w:tr w:rsidR="009B4CAE" w:rsidRPr="009B4CAE" w14:paraId="14363712"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4703C99"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0D19D29"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44871718"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0D8DCE76"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175</w:t>
            </w:r>
          </w:p>
        </w:tc>
      </w:tr>
      <w:tr w:rsidR="009B4CAE" w:rsidRPr="009B4CAE" w14:paraId="39F44D37"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EEB7BD6"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AFAB9D4"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6FB7C1DF"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77956944"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172</w:t>
            </w:r>
          </w:p>
        </w:tc>
      </w:tr>
      <w:tr w:rsidR="009B4CAE" w:rsidRPr="009B4CAE" w14:paraId="542D36F0"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C430607"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24B2C95"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78FA3BA6"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32CF423F"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169</w:t>
            </w:r>
          </w:p>
        </w:tc>
      </w:tr>
      <w:tr w:rsidR="009B4CAE" w:rsidRPr="009B4CAE" w14:paraId="70A9166A"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5A17D09"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F46B907"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57353DEC"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309574A8"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166</w:t>
            </w:r>
          </w:p>
        </w:tc>
      </w:tr>
      <w:tr w:rsidR="009B4CAE" w:rsidRPr="009B4CAE" w14:paraId="76456045"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1CDC1FE"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D97ECE3"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7867A278"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3AD0C5E9"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163</w:t>
            </w:r>
          </w:p>
        </w:tc>
      </w:tr>
      <w:tr w:rsidR="009B4CAE" w:rsidRPr="009B4CAE" w14:paraId="1CB96BD0"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E8B3518"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D80C7A4"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7077A3F6"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38D9F5DA"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160</w:t>
            </w:r>
          </w:p>
        </w:tc>
      </w:tr>
      <w:tr w:rsidR="009B4CAE" w:rsidRPr="009B4CAE" w14:paraId="1ADA2E16"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069C635"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4E5A935"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39993ACF"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4671E7E6"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157</w:t>
            </w:r>
          </w:p>
        </w:tc>
      </w:tr>
      <w:tr w:rsidR="009B4CAE" w:rsidRPr="009B4CAE" w14:paraId="2B1A1F61"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F26B911"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B96880F"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68EE7AD8"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1FEB90AE"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154</w:t>
            </w:r>
          </w:p>
        </w:tc>
      </w:tr>
      <w:tr w:rsidR="009B4CAE" w:rsidRPr="009B4CAE" w14:paraId="57228717"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432A09C"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5484861"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10D8490"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EA33B2F"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151</w:t>
            </w:r>
          </w:p>
        </w:tc>
      </w:tr>
      <w:tr w:rsidR="009B4CAE" w:rsidRPr="009B4CAE" w14:paraId="56686C6E" w14:textId="77777777" w:rsidTr="009B4CAE">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2A55CE3"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7CE96101"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203B5CD3"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2064CF10"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146</w:t>
            </w:r>
          </w:p>
        </w:tc>
      </w:tr>
      <w:tr w:rsidR="009B4CAE" w:rsidRPr="009B4CAE" w14:paraId="4827E028"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F14AD12"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7408812"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61B0F02E"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5BFB0627"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141</w:t>
            </w:r>
          </w:p>
        </w:tc>
      </w:tr>
      <w:tr w:rsidR="009B4CAE" w:rsidRPr="009B4CAE" w14:paraId="46F61469"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CCF3E24"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58FBC39"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2634CC0C"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5284AD38"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136</w:t>
            </w:r>
          </w:p>
        </w:tc>
      </w:tr>
      <w:tr w:rsidR="009B4CAE" w:rsidRPr="009B4CAE" w14:paraId="02605AFC"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979DC87"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30E25D3"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50CDD004"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02B2046C"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131</w:t>
            </w:r>
          </w:p>
        </w:tc>
      </w:tr>
      <w:tr w:rsidR="009B4CAE" w:rsidRPr="009B4CAE" w14:paraId="0C54FE8D" w14:textId="77777777" w:rsidTr="009B4CAE">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58F2E6B" w14:textId="77777777" w:rsidR="009B4CAE" w:rsidRPr="009B4CAE" w:rsidRDefault="009B4CAE" w:rsidP="009B4CAE">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0F4AA8A" w14:textId="77777777" w:rsidR="009B4CAE" w:rsidRPr="009B4CAE" w:rsidRDefault="009B4CAE" w:rsidP="009B4CAE">
            <w:pPr>
              <w:widowControl/>
              <w:jc w:val="center"/>
              <w:textAlignment w:val="center"/>
              <w:rPr>
                <w:rFonts w:ascii="宋体" w:eastAsia="宋体" w:hAnsi="宋体" w:cs="宋体"/>
                <w:b/>
                <w:sz w:val="24"/>
              </w:rPr>
            </w:pPr>
            <w:r w:rsidRPr="009B4CAE">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653F4300"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46FA5328" w14:textId="77777777" w:rsidR="009B4CAE" w:rsidRPr="009B4CAE" w:rsidRDefault="009B4CAE" w:rsidP="009B4CAE">
            <w:pPr>
              <w:widowControl/>
              <w:jc w:val="center"/>
              <w:textAlignment w:val="center"/>
              <w:rPr>
                <w:rFonts w:ascii="宋体" w:eastAsia="宋体" w:hAnsi="宋体" w:cs="宋体"/>
                <w:sz w:val="24"/>
              </w:rPr>
            </w:pPr>
            <w:r w:rsidRPr="009B4CAE">
              <w:rPr>
                <w:rFonts w:ascii="宋体" w:eastAsia="宋体" w:hAnsi="宋体" w:cs="宋体" w:hint="eastAsia"/>
                <w:kern w:val="0"/>
                <w:sz w:val="24"/>
                <w:lang w:bidi="ar"/>
              </w:rPr>
              <w:t>126</w:t>
            </w:r>
          </w:p>
        </w:tc>
      </w:tr>
    </w:tbl>
    <w:p w14:paraId="33B6129B" w14:textId="77777777" w:rsidR="009B4CAE" w:rsidRPr="009B4CAE" w:rsidRDefault="009B4CAE" w:rsidP="009B4CAE">
      <w:pPr>
        <w:adjustRightInd w:val="0"/>
        <w:snapToGrid w:val="0"/>
        <w:spacing w:line="500" w:lineRule="exact"/>
        <w:jc w:val="left"/>
        <w:rPr>
          <w:rFonts w:ascii="宋体" w:eastAsia="宋体" w:hAnsi="Calibri" w:cs="Times New Roman"/>
          <w:bCs/>
          <w:kern w:val="0"/>
          <w:sz w:val="24"/>
        </w:rPr>
      </w:pPr>
    </w:p>
    <w:p w14:paraId="6AF4A4AA" w14:textId="77777777" w:rsidR="009B4CAE" w:rsidRPr="009B4CAE" w:rsidRDefault="009B4CAE" w:rsidP="009B4CAE">
      <w:pPr>
        <w:adjustRightInd w:val="0"/>
        <w:snapToGrid w:val="0"/>
        <w:spacing w:line="500" w:lineRule="exact"/>
        <w:jc w:val="center"/>
        <w:rPr>
          <w:rFonts w:ascii="宋体" w:eastAsia="宋体" w:hAnsi="Calibri" w:cs="Times New Roman"/>
          <w:b/>
          <w:bCs/>
          <w:kern w:val="0"/>
          <w:sz w:val="24"/>
        </w:rPr>
      </w:pPr>
      <w:r w:rsidRPr="009B4CAE">
        <w:rPr>
          <w:rFonts w:ascii="宋体" w:eastAsia="宋体" w:hAnsi="Calibri" w:cs="Times New Roman" w:hint="eastAsia"/>
          <w:b/>
          <w:bCs/>
          <w:kern w:val="0"/>
          <w:sz w:val="24"/>
        </w:rPr>
        <w:t>期末考试</w:t>
      </w:r>
    </w:p>
    <w:p w14:paraId="465DFE3A" w14:textId="77777777" w:rsidR="009B4CAE" w:rsidRPr="009B4CAE" w:rsidRDefault="009B4CAE" w:rsidP="009B4CAE">
      <w:pPr>
        <w:adjustRightInd w:val="0"/>
        <w:snapToGrid w:val="0"/>
        <w:spacing w:line="500" w:lineRule="exact"/>
        <w:rPr>
          <w:rFonts w:ascii="宋体" w:eastAsia="宋体" w:hAnsi="Calibri" w:cs="Times New Roman"/>
          <w:bCs/>
          <w:kern w:val="0"/>
          <w:sz w:val="24"/>
        </w:rPr>
      </w:pPr>
      <w:r w:rsidRPr="009B4CAE">
        <w:rPr>
          <w:rFonts w:ascii="宋体" w:eastAsia="宋体" w:hAnsi="Calibri" w:cs="Times New Roman" w:hint="eastAsia"/>
          <w:b/>
          <w:kern w:val="0"/>
          <w:sz w:val="24"/>
        </w:rPr>
        <w:t>1.课程考核目标:</w:t>
      </w:r>
      <w:r w:rsidRPr="009B4CAE">
        <w:rPr>
          <w:rFonts w:ascii="宋体" w:eastAsia="宋体" w:hAnsi="Calibri" w:cs="Times New Roman" w:hint="eastAsia"/>
          <w:bCs/>
          <w:kern w:val="0"/>
          <w:sz w:val="24"/>
        </w:rPr>
        <w:t>通过考核检验交谊舞技术教学效果和学生掌握情况，让学生了解选项课内容和科学体育锻炼方式方法。</w:t>
      </w:r>
    </w:p>
    <w:p w14:paraId="1EEEC346" w14:textId="77777777" w:rsidR="009B4CAE" w:rsidRPr="009B4CAE" w:rsidRDefault="009B4CAE" w:rsidP="009B4CAE">
      <w:pPr>
        <w:adjustRightInd w:val="0"/>
        <w:snapToGrid w:val="0"/>
        <w:spacing w:line="500" w:lineRule="exact"/>
        <w:jc w:val="left"/>
        <w:rPr>
          <w:rFonts w:ascii="宋体" w:eastAsia="宋体" w:hAnsi="Calibri" w:cs="Times New Roman"/>
          <w:bCs/>
          <w:kern w:val="0"/>
          <w:sz w:val="24"/>
        </w:rPr>
      </w:pPr>
      <w:r w:rsidRPr="009B4CAE">
        <w:rPr>
          <w:rFonts w:ascii="宋体" w:eastAsia="宋体" w:hAnsi="Calibri" w:cs="Times New Roman" w:hint="eastAsia"/>
          <w:b/>
          <w:kern w:val="0"/>
          <w:sz w:val="24"/>
        </w:rPr>
        <w:t>2.课程考核的内容：</w:t>
      </w:r>
      <w:r w:rsidRPr="009B4CAE">
        <w:rPr>
          <w:rFonts w:ascii="宋体" w:eastAsia="宋体" w:hAnsi="Calibri" w:cs="Times New Roman" w:hint="eastAsia"/>
          <w:bCs/>
          <w:kern w:val="0"/>
          <w:sz w:val="24"/>
        </w:rPr>
        <w:t>北京平</w:t>
      </w:r>
      <w:proofErr w:type="gramStart"/>
      <w:r w:rsidRPr="009B4CAE">
        <w:rPr>
          <w:rFonts w:ascii="宋体" w:eastAsia="宋体" w:hAnsi="Calibri" w:cs="Times New Roman" w:hint="eastAsia"/>
          <w:bCs/>
          <w:kern w:val="0"/>
          <w:sz w:val="24"/>
        </w:rPr>
        <w:t>四基本步</w:t>
      </w:r>
      <w:proofErr w:type="gramEnd"/>
      <w:r w:rsidRPr="009B4CAE">
        <w:rPr>
          <w:rFonts w:ascii="宋体" w:eastAsia="宋体" w:hAnsi="Calibri" w:cs="Times New Roman" w:hint="eastAsia"/>
          <w:bCs/>
          <w:kern w:val="0"/>
          <w:sz w:val="24"/>
        </w:rPr>
        <w:t>和单手花样</w:t>
      </w:r>
    </w:p>
    <w:p w14:paraId="48C623DA" w14:textId="77777777" w:rsidR="009B4CAE" w:rsidRPr="009B4CAE" w:rsidRDefault="009B4CAE" w:rsidP="009B4CAE">
      <w:pPr>
        <w:adjustRightInd w:val="0"/>
        <w:snapToGrid w:val="0"/>
        <w:spacing w:line="500" w:lineRule="exact"/>
        <w:jc w:val="left"/>
        <w:rPr>
          <w:rFonts w:ascii="宋体" w:eastAsia="宋体" w:hAnsi="Calibri" w:cs="Times New Roman"/>
          <w:bCs/>
          <w:kern w:val="0"/>
          <w:sz w:val="24"/>
        </w:rPr>
      </w:pPr>
      <w:r w:rsidRPr="009B4CAE">
        <w:rPr>
          <w:rFonts w:ascii="宋体" w:eastAsia="宋体" w:hAnsi="Calibri" w:cs="Times New Roman" w:hint="eastAsia"/>
          <w:b/>
          <w:kern w:val="0"/>
          <w:sz w:val="24"/>
        </w:rPr>
        <w:t>3.课程考核方式：</w:t>
      </w:r>
      <w:r w:rsidRPr="009B4CAE">
        <w:rPr>
          <w:rFonts w:ascii="宋体" w:eastAsia="宋体" w:hAnsi="Calibri" w:cs="Times New Roman" w:hint="eastAsia"/>
          <w:bCs/>
          <w:kern w:val="0"/>
          <w:sz w:val="24"/>
        </w:rPr>
        <w:t>规定套路表演，音乐可自选，</w:t>
      </w:r>
      <w:r w:rsidRPr="009B4CAE">
        <w:rPr>
          <w:rFonts w:ascii="Calibri" w:eastAsia="宋体" w:hAnsi="Calibri" w:cs="宋体" w:hint="eastAsia"/>
          <w:color w:val="000000"/>
          <w:kern w:val="0"/>
          <w:sz w:val="24"/>
        </w:rPr>
        <w:t>主要以韵律、姿态、步伐、舞伴配合等方面评分。</w:t>
      </w:r>
    </w:p>
    <w:p w14:paraId="745A50B6" w14:textId="77777777" w:rsidR="009B4CAE" w:rsidRPr="009B4CAE" w:rsidRDefault="009B4CAE" w:rsidP="009B4CAE">
      <w:pPr>
        <w:adjustRightInd w:val="0"/>
        <w:snapToGrid w:val="0"/>
        <w:spacing w:line="500" w:lineRule="exact"/>
        <w:jc w:val="left"/>
        <w:rPr>
          <w:rFonts w:ascii="Calibri" w:eastAsia="宋体" w:hAnsi="Calibri" w:cs="宋体"/>
          <w:color w:val="000000"/>
          <w:kern w:val="0"/>
          <w:sz w:val="24"/>
        </w:rPr>
      </w:pPr>
      <w:r w:rsidRPr="009B4CAE">
        <w:rPr>
          <w:rFonts w:ascii="宋体" w:eastAsia="宋体" w:hAnsi="Calibri" w:cs="Times New Roman" w:hint="eastAsia"/>
          <w:b/>
          <w:kern w:val="0"/>
          <w:sz w:val="24"/>
        </w:rPr>
        <w:t>4.成绩构成及分值：</w:t>
      </w:r>
      <w:r w:rsidRPr="009B4CAE">
        <w:rPr>
          <w:rFonts w:ascii="Calibri" w:eastAsia="宋体" w:hAnsi="Calibri" w:cs="宋体" w:hint="eastAsia"/>
          <w:color w:val="000000"/>
          <w:kern w:val="0"/>
          <w:sz w:val="24"/>
        </w:rPr>
        <w:t>成绩考核采用百分制</w:t>
      </w:r>
      <w:r w:rsidRPr="009B4CAE">
        <w:rPr>
          <w:rFonts w:ascii="宋体" w:eastAsia="宋体" w:hAnsi="Calibri" w:cs="Times New Roman" w:hint="eastAsia"/>
          <w:bCs/>
          <w:kern w:val="0"/>
          <w:sz w:val="24"/>
        </w:rPr>
        <w:t>，</w:t>
      </w:r>
      <w:r w:rsidRPr="009B4CAE">
        <w:rPr>
          <w:rFonts w:ascii="宋体" w:eastAsia="宋体" w:hAnsi="宋体" w:cs="宋体"/>
          <w:color w:val="000000"/>
          <w:kern w:val="0"/>
          <w:sz w:val="24"/>
        </w:rPr>
        <w:t>90</w:t>
      </w:r>
      <w:r w:rsidRPr="009B4CAE">
        <w:rPr>
          <w:rFonts w:ascii="Calibri" w:eastAsia="宋体" w:hAnsi="Calibri" w:cs="宋体" w:hint="eastAsia"/>
          <w:color w:val="000000"/>
          <w:kern w:val="0"/>
          <w:sz w:val="24"/>
        </w:rPr>
        <w:t>分以上为优秀；</w:t>
      </w:r>
      <w:r w:rsidRPr="009B4CAE">
        <w:rPr>
          <w:rFonts w:ascii="宋体" w:eastAsia="宋体" w:hAnsi="宋体" w:cs="宋体"/>
          <w:color w:val="000000"/>
          <w:kern w:val="0"/>
          <w:sz w:val="24"/>
        </w:rPr>
        <w:t>80</w:t>
      </w:r>
      <w:r w:rsidRPr="009B4CAE">
        <w:rPr>
          <w:rFonts w:ascii="Calibri" w:eastAsia="宋体" w:hAnsi="Calibri" w:cs="宋体" w:hint="eastAsia"/>
          <w:color w:val="000000"/>
          <w:kern w:val="0"/>
          <w:sz w:val="24"/>
        </w:rPr>
        <w:t>—</w:t>
      </w:r>
      <w:r w:rsidRPr="009B4CAE">
        <w:rPr>
          <w:rFonts w:ascii="宋体" w:eastAsia="宋体" w:hAnsi="宋体" w:cs="宋体"/>
          <w:color w:val="000000"/>
          <w:kern w:val="0"/>
          <w:sz w:val="24"/>
        </w:rPr>
        <w:t>89</w:t>
      </w:r>
      <w:r w:rsidRPr="009B4CAE">
        <w:rPr>
          <w:rFonts w:ascii="Calibri" w:eastAsia="宋体" w:hAnsi="Calibri" w:cs="宋体" w:hint="eastAsia"/>
          <w:color w:val="000000"/>
          <w:kern w:val="0"/>
          <w:sz w:val="24"/>
        </w:rPr>
        <w:t>分为良好；</w:t>
      </w:r>
      <w:r w:rsidRPr="009B4CAE">
        <w:rPr>
          <w:rFonts w:ascii="宋体" w:eastAsia="宋体" w:hAnsi="宋体" w:cs="宋体"/>
          <w:color w:val="000000"/>
          <w:kern w:val="0"/>
          <w:sz w:val="24"/>
        </w:rPr>
        <w:t>70</w:t>
      </w:r>
      <w:r w:rsidRPr="009B4CAE">
        <w:rPr>
          <w:rFonts w:ascii="Calibri" w:eastAsia="宋体" w:hAnsi="Calibri" w:cs="宋体" w:hint="eastAsia"/>
          <w:color w:val="000000"/>
          <w:kern w:val="0"/>
          <w:sz w:val="24"/>
        </w:rPr>
        <w:t>—</w:t>
      </w:r>
      <w:r w:rsidRPr="009B4CAE">
        <w:rPr>
          <w:rFonts w:ascii="宋体" w:eastAsia="宋体" w:hAnsi="宋体" w:cs="宋体"/>
          <w:color w:val="000000"/>
          <w:kern w:val="0"/>
          <w:sz w:val="24"/>
        </w:rPr>
        <w:t>79</w:t>
      </w:r>
      <w:r w:rsidRPr="009B4CAE">
        <w:rPr>
          <w:rFonts w:ascii="Calibri" w:eastAsia="宋体" w:hAnsi="Calibri" w:cs="宋体" w:hint="eastAsia"/>
          <w:color w:val="000000"/>
          <w:kern w:val="0"/>
          <w:sz w:val="24"/>
        </w:rPr>
        <w:t>为中等；</w:t>
      </w:r>
      <w:r w:rsidRPr="009B4CAE">
        <w:rPr>
          <w:rFonts w:ascii="宋体" w:eastAsia="宋体" w:hAnsi="宋体" w:cs="宋体"/>
          <w:color w:val="000000"/>
          <w:kern w:val="0"/>
          <w:sz w:val="24"/>
        </w:rPr>
        <w:t>60</w:t>
      </w:r>
      <w:r w:rsidRPr="009B4CAE">
        <w:rPr>
          <w:rFonts w:ascii="Calibri" w:eastAsia="宋体" w:hAnsi="Calibri" w:cs="宋体" w:hint="eastAsia"/>
          <w:color w:val="000000"/>
          <w:kern w:val="0"/>
          <w:sz w:val="24"/>
        </w:rPr>
        <w:t>—</w:t>
      </w:r>
      <w:r w:rsidRPr="009B4CAE">
        <w:rPr>
          <w:rFonts w:ascii="宋体" w:eastAsia="宋体" w:hAnsi="宋体" w:cs="宋体"/>
          <w:color w:val="000000"/>
          <w:kern w:val="0"/>
          <w:sz w:val="24"/>
        </w:rPr>
        <w:t>69</w:t>
      </w:r>
      <w:r w:rsidRPr="009B4CAE">
        <w:rPr>
          <w:rFonts w:ascii="Calibri" w:eastAsia="宋体" w:hAnsi="Calibri" w:cs="宋体" w:hint="eastAsia"/>
          <w:color w:val="000000"/>
          <w:kern w:val="0"/>
          <w:sz w:val="24"/>
        </w:rPr>
        <w:t>为及格；</w:t>
      </w:r>
      <w:r w:rsidRPr="009B4CAE">
        <w:rPr>
          <w:rFonts w:ascii="宋体" w:eastAsia="宋体" w:hAnsi="宋体" w:cs="宋体"/>
          <w:color w:val="000000"/>
          <w:kern w:val="0"/>
          <w:sz w:val="24"/>
        </w:rPr>
        <w:t>60</w:t>
      </w:r>
      <w:r w:rsidRPr="009B4CAE">
        <w:rPr>
          <w:rFonts w:ascii="Calibri" w:eastAsia="宋体" w:hAnsi="Calibri" w:cs="宋体" w:hint="eastAsia"/>
          <w:color w:val="000000"/>
          <w:kern w:val="0"/>
          <w:sz w:val="24"/>
        </w:rPr>
        <w:t>分以下为不及格。</w:t>
      </w:r>
    </w:p>
    <w:p w14:paraId="47D7533F" w14:textId="77777777" w:rsidR="009B4CAE" w:rsidRPr="009B4CAE" w:rsidRDefault="009B4CAE" w:rsidP="009B4CAE">
      <w:pPr>
        <w:widowControl/>
        <w:spacing w:beforeLines="50" w:before="156" w:afterLines="50" w:after="156" w:line="500" w:lineRule="exact"/>
        <w:ind w:firstLineChars="200" w:firstLine="480"/>
        <w:jc w:val="left"/>
        <w:rPr>
          <w:rFonts w:ascii="Calibri" w:eastAsia="宋体" w:hAnsi="Calibri" w:cs="宋体"/>
          <w:b/>
          <w:color w:val="000000"/>
          <w:kern w:val="0"/>
          <w:sz w:val="24"/>
        </w:rPr>
      </w:pPr>
      <w:r w:rsidRPr="009B4CAE">
        <w:rPr>
          <w:rFonts w:ascii="宋体" w:eastAsia="宋体" w:hAnsi="Calibri" w:cs="Times New Roman" w:hint="eastAsia"/>
          <w:kern w:val="0"/>
          <w:sz w:val="24"/>
        </w:rPr>
        <w:t>5</w:t>
      </w:r>
      <w:r w:rsidRPr="009B4CAE">
        <w:rPr>
          <w:rFonts w:ascii="宋体" w:eastAsia="宋体" w:hAnsi="Calibri" w:cs="Times New Roman" w:hint="eastAsia"/>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9B4CAE" w:rsidRPr="009B4CAE" w14:paraId="75B80E7D" w14:textId="77777777" w:rsidTr="009B4CAE">
        <w:trPr>
          <w:jc w:val="center"/>
        </w:trPr>
        <w:tc>
          <w:tcPr>
            <w:tcW w:w="2547" w:type="dxa"/>
          </w:tcPr>
          <w:p w14:paraId="2AA17EEA"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身体姿态</w:t>
            </w:r>
          </w:p>
        </w:tc>
        <w:tc>
          <w:tcPr>
            <w:tcW w:w="1984" w:type="dxa"/>
          </w:tcPr>
          <w:p w14:paraId="108EA77C" w14:textId="77777777" w:rsidR="009B4CAE" w:rsidRPr="009B4CAE" w:rsidRDefault="009B4CAE" w:rsidP="009B4CAE">
            <w:pPr>
              <w:widowControl/>
              <w:spacing w:beforeLines="50" w:before="156" w:afterLines="50" w:after="156" w:line="400" w:lineRule="exact"/>
              <w:ind w:firstLineChars="100" w:firstLine="210"/>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套路动作</w:t>
            </w:r>
          </w:p>
        </w:tc>
        <w:tc>
          <w:tcPr>
            <w:tcW w:w="2410" w:type="dxa"/>
          </w:tcPr>
          <w:p w14:paraId="4BBBF6AB" w14:textId="77777777" w:rsidR="009B4CAE" w:rsidRPr="009B4CAE" w:rsidRDefault="009B4CAE" w:rsidP="009B4CAE">
            <w:pPr>
              <w:widowControl/>
              <w:spacing w:beforeLines="50" w:before="156" w:afterLines="50" w:after="156" w:line="400" w:lineRule="exact"/>
              <w:ind w:firstLineChars="300" w:firstLine="630"/>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乐感</w:t>
            </w:r>
          </w:p>
        </w:tc>
        <w:tc>
          <w:tcPr>
            <w:tcW w:w="1355" w:type="dxa"/>
          </w:tcPr>
          <w:p w14:paraId="04F2E7EC"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分值范围</w:t>
            </w:r>
          </w:p>
        </w:tc>
      </w:tr>
      <w:tr w:rsidR="009B4CAE" w:rsidRPr="009B4CAE" w14:paraId="20B24064" w14:textId="77777777" w:rsidTr="009B4CAE">
        <w:trPr>
          <w:jc w:val="center"/>
        </w:trPr>
        <w:tc>
          <w:tcPr>
            <w:tcW w:w="2547" w:type="dxa"/>
          </w:tcPr>
          <w:p w14:paraId="3110D5BC"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动作标准，姿态正确</w:t>
            </w:r>
          </w:p>
        </w:tc>
        <w:tc>
          <w:tcPr>
            <w:tcW w:w="1984" w:type="dxa"/>
          </w:tcPr>
          <w:p w14:paraId="6DE45EBE"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非常熟练、流畅、舞伴配合</w:t>
            </w:r>
            <w:r w:rsidRPr="009B4CAE">
              <w:rPr>
                <w:rFonts w:ascii="宋体" w:eastAsia="宋体" w:hAnsi="宋体" w:cs="宋体"/>
                <w:color w:val="000000"/>
                <w:kern w:val="0"/>
                <w:szCs w:val="21"/>
              </w:rPr>
              <w:t xml:space="preserve"> </w:t>
            </w:r>
            <w:r w:rsidRPr="009B4CAE">
              <w:rPr>
                <w:rFonts w:ascii="宋体" w:eastAsia="宋体" w:hAnsi="宋体" w:cs="宋体" w:hint="eastAsia"/>
                <w:color w:val="000000"/>
                <w:kern w:val="0"/>
                <w:szCs w:val="21"/>
              </w:rPr>
              <w:t>默契</w:t>
            </w:r>
          </w:p>
        </w:tc>
        <w:tc>
          <w:tcPr>
            <w:tcW w:w="2410" w:type="dxa"/>
          </w:tcPr>
          <w:p w14:paraId="6D1389DE"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音乐与动作十分吻合</w:t>
            </w:r>
          </w:p>
        </w:tc>
        <w:tc>
          <w:tcPr>
            <w:tcW w:w="1355" w:type="dxa"/>
          </w:tcPr>
          <w:p w14:paraId="219D0AC1"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90-100</w:t>
            </w:r>
          </w:p>
        </w:tc>
      </w:tr>
      <w:tr w:rsidR="009B4CAE" w:rsidRPr="009B4CAE" w14:paraId="5E11CD2F" w14:textId="77777777" w:rsidTr="009B4CAE">
        <w:trPr>
          <w:jc w:val="center"/>
        </w:trPr>
        <w:tc>
          <w:tcPr>
            <w:tcW w:w="2547" w:type="dxa"/>
          </w:tcPr>
          <w:p w14:paraId="715D1198"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动作标准，姿态较正确</w:t>
            </w:r>
          </w:p>
        </w:tc>
        <w:tc>
          <w:tcPr>
            <w:tcW w:w="1984" w:type="dxa"/>
          </w:tcPr>
          <w:p w14:paraId="1A78E92F"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较流畅、熟练、舞伴配合较默契</w:t>
            </w:r>
          </w:p>
        </w:tc>
        <w:tc>
          <w:tcPr>
            <w:tcW w:w="2410" w:type="dxa"/>
          </w:tcPr>
          <w:p w14:paraId="2B967862"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音乐与动作较吻合</w:t>
            </w:r>
          </w:p>
        </w:tc>
        <w:tc>
          <w:tcPr>
            <w:tcW w:w="1355" w:type="dxa"/>
          </w:tcPr>
          <w:p w14:paraId="469505F1"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80-89</w:t>
            </w:r>
          </w:p>
        </w:tc>
      </w:tr>
      <w:tr w:rsidR="009B4CAE" w:rsidRPr="009B4CAE" w14:paraId="22CB0D7D" w14:textId="77777777" w:rsidTr="009B4CAE">
        <w:trPr>
          <w:jc w:val="center"/>
        </w:trPr>
        <w:tc>
          <w:tcPr>
            <w:tcW w:w="2547" w:type="dxa"/>
          </w:tcPr>
          <w:p w14:paraId="6BF96DB9"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动作不够标准，姿态一般</w:t>
            </w:r>
          </w:p>
        </w:tc>
        <w:tc>
          <w:tcPr>
            <w:tcW w:w="1984" w:type="dxa"/>
          </w:tcPr>
          <w:p w14:paraId="5AF33064"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熟练、流畅度一般</w:t>
            </w:r>
          </w:p>
        </w:tc>
        <w:tc>
          <w:tcPr>
            <w:tcW w:w="2410" w:type="dxa"/>
          </w:tcPr>
          <w:p w14:paraId="3E94529B"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音乐与动作基本吻合</w:t>
            </w:r>
          </w:p>
        </w:tc>
        <w:tc>
          <w:tcPr>
            <w:tcW w:w="1355" w:type="dxa"/>
          </w:tcPr>
          <w:p w14:paraId="5B31DBD3"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70-79</w:t>
            </w:r>
          </w:p>
        </w:tc>
      </w:tr>
      <w:tr w:rsidR="009B4CAE" w:rsidRPr="009B4CAE" w14:paraId="626B552B" w14:textId="77777777" w:rsidTr="009B4CAE">
        <w:trPr>
          <w:jc w:val="center"/>
        </w:trPr>
        <w:tc>
          <w:tcPr>
            <w:tcW w:w="2547" w:type="dxa"/>
          </w:tcPr>
          <w:p w14:paraId="62D13419"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动作不够标准，姿态较差</w:t>
            </w:r>
          </w:p>
        </w:tc>
        <w:tc>
          <w:tcPr>
            <w:tcW w:w="1984" w:type="dxa"/>
          </w:tcPr>
          <w:p w14:paraId="0EC88C0F"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较生疏</w:t>
            </w:r>
          </w:p>
        </w:tc>
        <w:tc>
          <w:tcPr>
            <w:tcW w:w="2410" w:type="dxa"/>
          </w:tcPr>
          <w:p w14:paraId="3EB1E148"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音乐与动作吻合度较差</w:t>
            </w:r>
          </w:p>
        </w:tc>
        <w:tc>
          <w:tcPr>
            <w:tcW w:w="1355" w:type="dxa"/>
          </w:tcPr>
          <w:p w14:paraId="491C6C16"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60-69</w:t>
            </w:r>
          </w:p>
        </w:tc>
      </w:tr>
      <w:tr w:rsidR="009B4CAE" w:rsidRPr="009B4CAE" w14:paraId="1EE1C803" w14:textId="77777777" w:rsidTr="009B4CAE">
        <w:trPr>
          <w:trHeight w:val="505"/>
          <w:jc w:val="center"/>
        </w:trPr>
        <w:tc>
          <w:tcPr>
            <w:tcW w:w="2547" w:type="dxa"/>
          </w:tcPr>
          <w:p w14:paraId="4AAF2FE8"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w:t>
            </w:r>
            <w:proofErr w:type="gramStart"/>
            <w:r w:rsidRPr="009B4CAE">
              <w:rPr>
                <w:rFonts w:ascii="宋体" w:eastAsia="宋体" w:hAnsi="宋体" w:cs="宋体" w:hint="eastAsia"/>
                <w:color w:val="000000"/>
                <w:kern w:val="0"/>
                <w:szCs w:val="21"/>
              </w:rPr>
              <w:t>不</w:t>
            </w:r>
            <w:proofErr w:type="gramEnd"/>
            <w:r w:rsidRPr="009B4CAE">
              <w:rPr>
                <w:rFonts w:ascii="宋体" w:eastAsia="宋体" w:hAnsi="宋体" w:cs="宋体" w:hint="eastAsia"/>
                <w:color w:val="000000"/>
                <w:kern w:val="0"/>
                <w:szCs w:val="21"/>
              </w:rPr>
              <w:t>标准，姿态差</w:t>
            </w:r>
          </w:p>
        </w:tc>
        <w:tc>
          <w:tcPr>
            <w:tcW w:w="1984" w:type="dxa"/>
          </w:tcPr>
          <w:p w14:paraId="3DCDB697"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不能按规定完成动作</w:t>
            </w:r>
          </w:p>
        </w:tc>
        <w:tc>
          <w:tcPr>
            <w:tcW w:w="2410" w:type="dxa"/>
          </w:tcPr>
          <w:p w14:paraId="17E29A7F"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音乐与动作十分步吻合</w:t>
            </w:r>
          </w:p>
        </w:tc>
        <w:tc>
          <w:tcPr>
            <w:tcW w:w="1355" w:type="dxa"/>
          </w:tcPr>
          <w:p w14:paraId="6B4DB33B"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60以下</w:t>
            </w:r>
          </w:p>
        </w:tc>
      </w:tr>
    </w:tbl>
    <w:p w14:paraId="56C2CC04" w14:textId="77777777" w:rsidR="009B4CAE" w:rsidRPr="009B4CAE" w:rsidRDefault="009B4CAE" w:rsidP="009B4CAE">
      <w:pPr>
        <w:spacing w:beforeLines="50" w:before="156" w:afterLines="50" w:after="156" w:line="440" w:lineRule="exact"/>
        <w:ind w:firstLineChars="200" w:firstLine="560"/>
        <w:rPr>
          <w:rFonts w:ascii="黑体" w:eastAsia="黑体" w:hAnsi="黑体" w:cs="Times New Roman"/>
          <w:sz w:val="28"/>
          <w:szCs w:val="28"/>
        </w:rPr>
      </w:pPr>
      <w:r w:rsidRPr="009B4CAE">
        <w:rPr>
          <w:rFonts w:ascii="黑体" w:eastAsia="黑体" w:hAnsi="黑体" w:cs="Times New Roman" w:hint="eastAsia"/>
          <w:sz w:val="28"/>
          <w:szCs w:val="28"/>
        </w:rPr>
        <w:t>第二学期</w:t>
      </w:r>
    </w:p>
    <w:p w14:paraId="0A19A6C0" w14:textId="77777777" w:rsidR="009B4CAE" w:rsidRPr="009B4CAE" w:rsidRDefault="009B4CAE" w:rsidP="009B4CAE">
      <w:pPr>
        <w:adjustRightInd w:val="0"/>
        <w:snapToGrid w:val="0"/>
        <w:spacing w:line="500" w:lineRule="exact"/>
        <w:jc w:val="center"/>
        <w:rPr>
          <w:rFonts w:ascii="宋体" w:eastAsia="宋体" w:hAnsi="Calibri" w:cs="Times New Roman"/>
          <w:b/>
          <w:kern w:val="0"/>
          <w:sz w:val="24"/>
        </w:rPr>
      </w:pPr>
      <w:r w:rsidRPr="009B4CAE">
        <w:rPr>
          <w:rFonts w:ascii="宋体" w:eastAsia="宋体" w:hAnsi="Calibri" w:cs="Times New Roman" w:hint="eastAsia"/>
          <w:b/>
          <w:kern w:val="0"/>
          <w:sz w:val="24"/>
        </w:rPr>
        <w:lastRenderedPageBreak/>
        <w:t>期中考试</w:t>
      </w:r>
    </w:p>
    <w:p w14:paraId="151EB971" w14:textId="77777777" w:rsidR="009B4CAE" w:rsidRPr="009B4CAE" w:rsidRDefault="009B4CAE" w:rsidP="009B4CAE">
      <w:pPr>
        <w:adjustRightInd w:val="0"/>
        <w:snapToGrid w:val="0"/>
        <w:spacing w:line="50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1.课程考核目标:</w:t>
      </w:r>
      <w:r w:rsidRPr="009B4CAE">
        <w:rPr>
          <w:rFonts w:ascii="宋体" w:eastAsia="宋体" w:hAnsi="Calibri" w:cs="Times New Roman" w:hint="eastAsia"/>
          <w:bCs/>
          <w:kern w:val="0"/>
          <w:sz w:val="24"/>
        </w:rPr>
        <w:t>通过考核检验交谊舞技术教学效果和学生掌握情况，让学生了解选项课内容和科学体育锻炼方式方法。</w:t>
      </w:r>
    </w:p>
    <w:p w14:paraId="56BCE589" w14:textId="77777777" w:rsidR="009B4CAE" w:rsidRPr="009B4CAE" w:rsidRDefault="009B4CAE" w:rsidP="009B4CAE">
      <w:pPr>
        <w:adjustRightInd w:val="0"/>
        <w:snapToGrid w:val="0"/>
        <w:spacing w:line="440" w:lineRule="exact"/>
        <w:ind w:firstLineChars="200" w:firstLine="482"/>
        <w:rPr>
          <w:rFonts w:ascii="宋体" w:eastAsia="宋体" w:hAnsi="宋体" w:cs="宋体"/>
          <w:sz w:val="24"/>
        </w:rPr>
      </w:pPr>
      <w:r w:rsidRPr="009B4CAE">
        <w:rPr>
          <w:rFonts w:ascii="宋体" w:eastAsia="宋体" w:hAnsi="Calibri" w:cs="Times New Roman" w:hint="eastAsia"/>
          <w:b/>
          <w:kern w:val="0"/>
          <w:sz w:val="24"/>
        </w:rPr>
        <w:t>2.课程考核的内容：</w:t>
      </w:r>
      <w:r w:rsidRPr="009B4CAE">
        <w:rPr>
          <w:rFonts w:ascii="宋体" w:eastAsia="宋体" w:hAnsi="宋体" w:cs="宋体" w:hint="eastAsia"/>
          <w:sz w:val="24"/>
        </w:rPr>
        <w:t>北京平</w:t>
      </w:r>
      <w:proofErr w:type="gramStart"/>
      <w:r w:rsidRPr="009B4CAE">
        <w:rPr>
          <w:rFonts w:ascii="宋体" w:eastAsia="宋体" w:hAnsi="宋体" w:cs="宋体" w:hint="eastAsia"/>
          <w:sz w:val="24"/>
        </w:rPr>
        <w:t>四基本步</w:t>
      </w:r>
      <w:proofErr w:type="gramEnd"/>
      <w:r w:rsidRPr="009B4CAE">
        <w:rPr>
          <w:rFonts w:ascii="宋体" w:eastAsia="宋体" w:hAnsi="宋体" w:cs="宋体" w:hint="eastAsia"/>
          <w:sz w:val="24"/>
        </w:rPr>
        <w:t>和单手花样</w:t>
      </w:r>
    </w:p>
    <w:p w14:paraId="27BEAF88" w14:textId="77777777" w:rsidR="009B4CAE" w:rsidRPr="009B4CAE" w:rsidRDefault="009B4CAE" w:rsidP="009B4CAE">
      <w:pPr>
        <w:adjustRightInd w:val="0"/>
        <w:snapToGrid w:val="0"/>
        <w:spacing w:line="44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3.课程考核方式：</w:t>
      </w:r>
      <w:r w:rsidRPr="009B4CAE">
        <w:rPr>
          <w:rFonts w:ascii="宋体" w:eastAsia="宋体" w:hAnsi="宋体" w:cs="宋体" w:hint="eastAsia"/>
          <w:sz w:val="24"/>
        </w:rPr>
        <w:t>规定套路表演，音乐可自选，主要以韵律、姿态、步伐、舞伴配合等方面评分。</w:t>
      </w:r>
    </w:p>
    <w:p w14:paraId="5960CA6C" w14:textId="77777777" w:rsidR="009B4CAE" w:rsidRPr="009B4CAE" w:rsidRDefault="009B4CAE" w:rsidP="009B4CAE">
      <w:pPr>
        <w:adjustRightInd w:val="0"/>
        <w:snapToGrid w:val="0"/>
        <w:spacing w:line="500" w:lineRule="exact"/>
        <w:ind w:firstLineChars="200" w:firstLine="482"/>
        <w:rPr>
          <w:rFonts w:ascii="宋体" w:eastAsia="宋体" w:hAnsi="宋体" w:cs="宋体"/>
          <w:sz w:val="24"/>
        </w:rPr>
      </w:pPr>
      <w:r w:rsidRPr="009B4CAE">
        <w:rPr>
          <w:rFonts w:ascii="宋体" w:eastAsia="宋体" w:hAnsi="Calibri" w:cs="Times New Roman" w:hint="eastAsia"/>
          <w:b/>
          <w:kern w:val="0"/>
          <w:sz w:val="24"/>
        </w:rPr>
        <w:t>4.成绩构成及分值：</w:t>
      </w:r>
      <w:r w:rsidRPr="009B4CAE">
        <w:rPr>
          <w:rFonts w:ascii="宋体" w:eastAsia="宋体" w:hAnsi="宋体" w:cs="宋体" w:hint="eastAsia"/>
          <w:sz w:val="24"/>
        </w:rPr>
        <w:t>成绩考核采用百分制，90分以上为优秀；80—89分为良好；70—79为中等；60—69为及格；60分以下为不及格。</w:t>
      </w:r>
    </w:p>
    <w:p w14:paraId="71427F27" w14:textId="77777777" w:rsidR="009B4CAE" w:rsidRPr="009B4CAE" w:rsidRDefault="009B4CAE" w:rsidP="009B4CAE">
      <w:pPr>
        <w:adjustRightInd w:val="0"/>
        <w:snapToGrid w:val="0"/>
        <w:spacing w:line="50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9B4CAE" w:rsidRPr="009B4CAE" w14:paraId="6A1174AA" w14:textId="77777777" w:rsidTr="009B4CAE">
        <w:trPr>
          <w:jc w:val="center"/>
        </w:trPr>
        <w:tc>
          <w:tcPr>
            <w:tcW w:w="2547" w:type="dxa"/>
          </w:tcPr>
          <w:p w14:paraId="1F14E6EB"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身体姿态</w:t>
            </w:r>
          </w:p>
        </w:tc>
        <w:tc>
          <w:tcPr>
            <w:tcW w:w="1984" w:type="dxa"/>
          </w:tcPr>
          <w:p w14:paraId="7FEB80A3" w14:textId="77777777" w:rsidR="009B4CAE" w:rsidRPr="009B4CAE" w:rsidRDefault="009B4CAE" w:rsidP="009B4CAE">
            <w:pPr>
              <w:widowControl/>
              <w:spacing w:beforeLines="50" w:before="156" w:afterLines="50" w:after="156" w:line="400" w:lineRule="exact"/>
              <w:ind w:firstLineChars="100" w:firstLine="210"/>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套路动作</w:t>
            </w:r>
          </w:p>
        </w:tc>
        <w:tc>
          <w:tcPr>
            <w:tcW w:w="2410" w:type="dxa"/>
          </w:tcPr>
          <w:p w14:paraId="08B2E10F" w14:textId="77777777" w:rsidR="009B4CAE" w:rsidRPr="009B4CAE" w:rsidRDefault="009B4CAE" w:rsidP="009B4CAE">
            <w:pPr>
              <w:widowControl/>
              <w:spacing w:beforeLines="50" w:before="156" w:afterLines="50" w:after="156" w:line="400" w:lineRule="exact"/>
              <w:ind w:firstLineChars="300" w:firstLine="630"/>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乐感</w:t>
            </w:r>
          </w:p>
        </w:tc>
        <w:tc>
          <w:tcPr>
            <w:tcW w:w="1355" w:type="dxa"/>
          </w:tcPr>
          <w:p w14:paraId="5170A908"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分值范围</w:t>
            </w:r>
          </w:p>
        </w:tc>
      </w:tr>
      <w:tr w:rsidR="009B4CAE" w:rsidRPr="009B4CAE" w14:paraId="3570B82E" w14:textId="77777777" w:rsidTr="009B4CAE">
        <w:trPr>
          <w:trHeight w:val="937"/>
          <w:jc w:val="center"/>
        </w:trPr>
        <w:tc>
          <w:tcPr>
            <w:tcW w:w="2547" w:type="dxa"/>
          </w:tcPr>
          <w:p w14:paraId="3AB59904"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动作标准，姿态正确</w:t>
            </w:r>
          </w:p>
        </w:tc>
        <w:tc>
          <w:tcPr>
            <w:tcW w:w="1984" w:type="dxa"/>
          </w:tcPr>
          <w:p w14:paraId="63BC0093"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非常熟练、流畅、舞伴配合</w:t>
            </w:r>
            <w:r w:rsidRPr="009B4CAE">
              <w:rPr>
                <w:rFonts w:ascii="宋体" w:eastAsia="宋体" w:hAnsi="宋体" w:cs="宋体"/>
                <w:color w:val="000000"/>
                <w:kern w:val="0"/>
                <w:szCs w:val="21"/>
              </w:rPr>
              <w:t xml:space="preserve"> </w:t>
            </w:r>
            <w:r w:rsidRPr="009B4CAE">
              <w:rPr>
                <w:rFonts w:ascii="宋体" w:eastAsia="宋体" w:hAnsi="宋体" w:cs="宋体" w:hint="eastAsia"/>
                <w:color w:val="000000"/>
                <w:kern w:val="0"/>
                <w:szCs w:val="21"/>
              </w:rPr>
              <w:t>默契</w:t>
            </w:r>
          </w:p>
        </w:tc>
        <w:tc>
          <w:tcPr>
            <w:tcW w:w="2410" w:type="dxa"/>
          </w:tcPr>
          <w:p w14:paraId="3E6EE43D"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音乐与动作十分吻合</w:t>
            </w:r>
          </w:p>
        </w:tc>
        <w:tc>
          <w:tcPr>
            <w:tcW w:w="1355" w:type="dxa"/>
          </w:tcPr>
          <w:p w14:paraId="3F36D406"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90-100</w:t>
            </w:r>
          </w:p>
        </w:tc>
      </w:tr>
      <w:tr w:rsidR="009B4CAE" w:rsidRPr="009B4CAE" w14:paraId="77FDCE6A" w14:textId="77777777" w:rsidTr="009B4CAE">
        <w:trPr>
          <w:trHeight w:val="862"/>
          <w:jc w:val="center"/>
        </w:trPr>
        <w:tc>
          <w:tcPr>
            <w:tcW w:w="2547" w:type="dxa"/>
          </w:tcPr>
          <w:p w14:paraId="405699EC"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动作标准，姿态较正确</w:t>
            </w:r>
          </w:p>
        </w:tc>
        <w:tc>
          <w:tcPr>
            <w:tcW w:w="1984" w:type="dxa"/>
          </w:tcPr>
          <w:p w14:paraId="555BCB13"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较流畅、熟练、舞伴配合较默契</w:t>
            </w:r>
          </w:p>
        </w:tc>
        <w:tc>
          <w:tcPr>
            <w:tcW w:w="2410" w:type="dxa"/>
          </w:tcPr>
          <w:p w14:paraId="3D8A77A9"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音乐与动作较吻合</w:t>
            </w:r>
          </w:p>
        </w:tc>
        <w:tc>
          <w:tcPr>
            <w:tcW w:w="1355" w:type="dxa"/>
          </w:tcPr>
          <w:p w14:paraId="041D6D7C"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80-89</w:t>
            </w:r>
          </w:p>
        </w:tc>
      </w:tr>
      <w:tr w:rsidR="009B4CAE" w:rsidRPr="009B4CAE" w14:paraId="1987D11F" w14:textId="77777777" w:rsidTr="009B4CAE">
        <w:trPr>
          <w:jc w:val="center"/>
        </w:trPr>
        <w:tc>
          <w:tcPr>
            <w:tcW w:w="2547" w:type="dxa"/>
          </w:tcPr>
          <w:p w14:paraId="5EE4A454"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动作不够标准，姿态一般</w:t>
            </w:r>
          </w:p>
        </w:tc>
        <w:tc>
          <w:tcPr>
            <w:tcW w:w="1984" w:type="dxa"/>
          </w:tcPr>
          <w:p w14:paraId="0481130B"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熟练、流畅度一般</w:t>
            </w:r>
          </w:p>
        </w:tc>
        <w:tc>
          <w:tcPr>
            <w:tcW w:w="2410" w:type="dxa"/>
          </w:tcPr>
          <w:p w14:paraId="66C44F61"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音乐与动作基本吻合</w:t>
            </w:r>
          </w:p>
        </w:tc>
        <w:tc>
          <w:tcPr>
            <w:tcW w:w="1355" w:type="dxa"/>
          </w:tcPr>
          <w:p w14:paraId="142639E5"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70-79</w:t>
            </w:r>
          </w:p>
        </w:tc>
      </w:tr>
      <w:tr w:rsidR="009B4CAE" w:rsidRPr="009B4CAE" w14:paraId="4E9E3A07" w14:textId="77777777" w:rsidTr="009B4CAE">
        <w:trPr>
          <w:jc w:val="center"/>
        </w:trPr>
        <w:tc>
          <w:tcPr>
            <w:tcW w:w="2547" w:type="dxa"/>
          </w:tcPr>
          <w:p w14:paraId="0A6E5E51"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动作不够标准，姿态较差</w:t>
            </w:r>
          </w:p>
        </w:tc>
        <w:tc>
          <w:tcPr>
            <w:tcW w:w="1984" w:type="dxa"/>
          </w:tcPr>
          <w:p w14:paraId="47250AEA"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较生疏</w:t>
            </w:r>
          </w:p>
        </w:tc>
        <w:tc>
          <w:tcPr>
            <w:tcW w:w="2410" w:type="dxa"/>
          </w:tcPr>
          <w:p w14:paraId="73208367"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音乐与动作吻合度较差</w:t>
            </w:r>
          </w:p>
        </w:tc>
        <w:tc>
          <w:tcPr>
            <w:tcW w:w="1355" w:type="dxa"/>
          </w:tcPr>
          <w:p w14:paraId="415E02CD"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60-69</w:t>
            </w:r>
          </w:p>
        </w:tc>
      </w:tr>
      <w:tr w:rsidR="009B4CAE" w:rsidRPr="009B4CAE" w14:paraId="12DB95E6" w14:textId="77777777" w:rsidTr="009B4CAE">
        <w:trPr>
          <w:trHeight w:val="505"/>
          <w:jc w:val="center"/>
        </w:trPr>
        <w:tc>
          <w:tcPr>
            <w:tcW w:w="2547" w:type="dxa"/>
          </w:tcPr>
          <w:p w14:paraId="27250A4B"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w:t>
            </w:r>
            <w:proofErr w:type="gramStart"/>
            <w:r w:rsidRPr="009B4CAE">
              <w:rPr>
                <w:rFonts w:ascii="宋体" w:eastAsia="宋体" w:hAnsi="宋体" w:cs="宋体" w:hint="eastAsia"/>
                <w:color w:val="000000"/>
                <w:kern w:val="0"/>
                <w:szCs w:val="21"/>
              </w:rPr>
              <w:t>不</w:t>
            </w:r>
            <w:proofErr w:type="gramEnd"/>
            <w:r w:rsidRPr="009B4CAE">
              <w:rPr>
                <w:rFonts w:ascii="宋体" w:eastAsia="宋体" w:hAnsi="宋体" w:cs="宋体" w:hint="eastAsia"/>
                <w:color w:val="000000"/>
                <w:kern w:val="0"/>
                <w:szCs w:val="21"/>
              </w:rPr>
              <w:t>标准，姿态差</w:t>
            </w:r>
          </w:p>
        </w:tc>
        <w:tc>
          <w:tcPr>
            <w:tcW w:w="1984" w:type="dxa"/>
          </w:tcPr>
          <w:p w14:paraId="53089A5D"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不按规定完成动作</w:t>
            </w:r>
          </w:p>
        </w:tc>
        <w:tc>
          <w:tcPr>
            <w:tcW w:w="2410" w:type="dxa"/>
          </w:tcPr>
          <w:p w14:paraId="0C16C7B1"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音乐与动作十分步吻合</w:t>
            </w:r>
          </w:p>
        </w:tc>
        <w:tc>
          <w:tcPr>
            <w:tcW w:w="1355" w:type="dxa"/>
          </w:tcPr>
          <w:p w14:paraId="60F785F9"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60以下</w:t>
            </w:r>
          </w:p>
        </w:tc>
      </w:tr>
    </w:tbl>
    <w:p w14:paraId="0D125660" w14:textId="77777777" w:rsidR="009B4CAE" w:rsidRPr="009B4CAE" w:rsidRDefault="009B4CAE" w:rsidP="009B4CAE">
      <w:pPr>
        <w:adjustRightInd w:val="0"/>
        <w:snapToGrid w:val="0"/>
        <w:spacing w:line="500" w:lineRule="exact"/>
        <w:rPr>
          <w:rFonts w:ascii="宋体" w:eastAsia="宋体" w:hAnsi="Calibri" w:cs="Times New Roman"/>
          <w:bCs/>
          <w:kern w:val="0"/>
          <w:sz w:val="24"/>
        </w:rPr>
      </w:pPr>
    </w:p>
    <w:p w14:paraId="13884EBC" w14:textId="77777777" w:rsidR="009B4CAE" w:rsidRPr="009B4CAE" w:rsidRDefault="009B4CAE" w:rsidP="009B4CAE">
      <w:pPr>
        <w:adjustRightInd w:val="0"/>
        <w:snapToGrid w:val="0"/>
        <w:spacing w:line="500" w:lineRule="exact"/>
        <w:jc w:val="center"/>
        <w:rPr>
          <w:rFonts w:ascii="宋体" w:eastAsia="宋体" w:hAnsi="Calibri" w:cs="Times New Roman"/>
          <w:b/>
          <w:kern w:val="0"/>
          <w:sz w:val="24"/>
        </w:rPr>
      </w:pPr>
      <w:r w:rsidRPr="009B4CAE">
        <w:rPr>
          <w:rFonts w:ascii="宋体" w:eastAsia="宋体" w:hAnsi="Calibri" w:cs="Times New Roman" w:hint="eastAsia"/>
          <w:b/>
          <w:kern w:val="0"/>
          <w:sz w:val="24"/>
        </w:rPr>
        <w:t>期末考试</w:t>
      </w:r>
    </w:p>
    <w:p w14:paraId="6F413C10" w14:textId="77777777" w:rsidR="009B4CAE" w:rsidRPr="009B4CAE" w:rsidRDefault="009B4CAE" w:rsidP="009B4CAE">
      <w:pPr>
        <w:adjustRightInd w:val="0"/>
        <w:snapToGrid w:val="0"/>
        <w:spacing w:line="44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1.课程考核目标:</w:t>
      </w:r>
      <w:r w:rsidRPr="009B4CAE">
        <w:rPr>
          <w:rFonts w:ascii="宋体" w:eastAsia="宋体" w:hAnsi="宋体" w:cs="宋体" w:hint="eastAsia"/>
          <w:sz w:val="24"/>
        </w:rPr>
        <w:t>通过考核检验交谊舞北京平</w:t>
      </w:r>
      <w:proofErr w:type="gramStart"/>
      <w:r w:rsidRPr="009B4CAE">
        <w:rPr>
          <w:rFonts w:ascii="宋体" w:eastAsia="宋体" w:hAnsi="宋体" w:cs="宋体" w:hint="eastAsia"/>
          <w:sz w:val="24"/>
        </w:rPr>
        <w:t>四教学</w:t>
      </w:r>
      <w:proofErr w:type="gramEnd"/>
      <w:r w:rsidRPr="009B4CAE">
        <w:rPr>
          <w:rFonts w:ascii="宋体" w:eastAsia="宋体" w:hAnsi="宋体" w:cs="宋体" w:hint="eastAsia"/>
          <w:sz w:val="24"/>
        </w:rPr>
        <w:t>效果和学生掌握情况，让学生了解选项课内容和科学体育锻炼方式方法。</w:t>
      </w:r>
    </w:p>
    <w:p w14:paraId="34AA33BD" w14:textId="77777777" w:rsidR="009B4CAE" w:rsidRPr="009B4CAE" w:rsidRDefault="009B4CAE" w:rsidP="009B4CAE">
      <w:pPr>
        <w:adjustRightInd w:val="0"/>
        <w:snapToGrid w:val="0"/>
        <w:spacing w:line="50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2.课程考核的内容：</w:t>
      </w:r>
      <w:r w:rsidRPr="009B4CAE">
        <w:rPr>
          <w:rFonts w:ascii="宋体" w:eastAsia="宋体" w:hAnsi="宋体" w:cs="宋体" w:hint="eastAsia"/>
          <w:sz w:val="24"/>
        </w:rPr>
        <w:t>北京平</w:t>
      </w:r>
      <w:proofErr w:type="gramStart"/>
      <w:r w:rsidRPr="009B4CAE">
        <w:rPr>
          <w:rFonts w:ascii="宋体" w:eastAsia="宋体" w:hAnsi="宋体" w:cs="宋体" w:hint="eastAsia"/>
          <w:sz w:val="24"/>
        </w:rPr>
        <w:t>四基本步</w:t>
      </w:r>
      <w:proofErr w:type="gramEnd"/>
      <w:r w:rsidRPr="009B4CAE">
        <w:rPr>
          <w:rFonts w:ascii="宋体" w:eastAsia="宋体" w:hAnsi="宋体" w:cs="宋体" w:hint="eastAsia"/>
          <w:sz w:val="24"/>
        </w:rPr>
        <w:t>和花样组合</w:t>
      </w:r>
    </w:p>
    <w:p w14:paraId="008FB24E" w14:textId="77777777" w:rsidR="009B4CAE" w:rsidRPr="009B4CAE" w:rsidRDefault="009B4CAE" w:rsidP="009B4CAE">
      <w:pPr>
        <w:adjustRightInd w:val="0"/>
        <w:snapToGrid w:val="0"/>
        <w:spacing w:line="44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3.课程考核方式：</w:t>
      </w:r>
      <w:r w:rsidRPr="009B4CAE">
        <w:rPr>
          <w:rFonts w:ascii="宋体" w:eastAsia="宋体" w:hAnsi="宋体" w:cs="宋体" w:hint="eastAsia"/>
          <w:sz w:val="24"/>
        </w:rPr>
        <w:t>学生自编套路表演，可自选音乐，也可用原音乐，时间为２分钟。主要以韵律、姿态、步伐、舞伴配合等方面评分。</w:t>
      </w:r>
    </w:p>
    <w:p w14:paraId="23B8093E" w14:textId="77777777" w:rsidR="009B4CAE" w:rsidRPr="009B4CAE" w:rsidRDefault="009B4CAE" w:rsidP="009B4CAE">
      <w:pPr>
        <w:adjustRightInd w:val="0"/>
        <w:snapToGrid w:val="0"/>
        <w:spacing w:line="440" w:lineRule="exact"/>
        <w:ind w:firstLineChars="200" w:firstLine="482"/>
        <w:rPr>
          <w:rFonts w:ascii="宋体" w:eastAsia="宋体" w:hAnsi="宋体" w:cs="宋体"/>
          <w:sz w:val="24"/>
        </w:rPr>
      </w:pPr>
      <w:r w:rsidRPr="009B4CAE">
        <w:rPr>
          <w:rFonts w:ascii="宋体" w:eastAsia="宋体" w:hAnsi="Calibri" w:cs="Times New Roman" w:hint="eastAsia"/>
          <w:b/>
          <w:kern w:val="0"/>
          <w:sz w:val="24"/>
        </w:rPr>
        <w:t>4.成绩构成及分值：</w:t>
      </w:r>
      <w:r w:rsidRPr="009B4CAE">
        <w:rPr>
          <w:rFonts w:ascii="宋体" w:eastAsia="宋体" w:hAnsi="宋体" w:cs="宋体" w:hint="eastAsia"/>
          <w:sz w:val="24"/>
        </w:rPr>
        <w:t>成绩考核采用百分制，90分以上为优秀；80—89分为良好；70—79为中等；60—69为及格；60分以下为不及格。</w:t>
      </w:r>
    </w:p>
    <w:p w14:paraId="66475E1F" w14:textId="77777777" w:rsidR="009B4CAE" w:rsidRPr="009B4CAE" w:rsidRDefault="009B4CAE" w:rsidP="009B4CAE">
      <w:pPr>
        <w:adjustRightInd w:val="0"/>
        <w:snapToGrid w:val="0"/>
        <w:spacing w:line="500" w:lineRule="exact"/>
        <w:ind w:firstLineChars="200" w:firstLine="482"/>
        <w:rPr>
          <w:rFonts w:ascii="宋体" w:eastAsia="宋体" w:hAnsi="Calibri" w:cs="Times New Roman"/>
          <w:b/>
          <w:kern w:val="0"/>
          <w:sz w:val="24"/>
        </w:rPr>
      </w:pPr>
      <w:r w:rsidRPr="009B4CAE">
        <w:rPr>
          <w:rFonts w:ascii="宋体" w:eastAsia="宋体" w:hAnsi="Calibri" w:cs="Times New Roman" w:hint="eastAsia"/>
          <w:b/>
          <w:kern w:val="0"/>
          <w:sz w:val="24"/>
        </w:rPr>
        <w:lastRenderedPageBreak/>
        <w:t>5.评分记分原则：</w:t>
      </w:r>
    </w:p>
    <w:p w14:paraId="5AF2C55B" w14:textId="77777777" w:rsidR="009B4CAE" w:rsidRPr="009B4CAE" w:rsidRDefault="009B4CAE" w:rsidP="009B4CAE">
      <w:pPr>
        <w:adjustRightInd w:val="0"/>
        <w:snapToGrid w:val="0"/>
        <w:spacing w:line="500" w:lineRule="exact"/>
        <w:jc w:val="left"/>
        <w:rPr>
          <w:rFonts w:ascii="宋体" w:eastAsia="宋体" w:hAnsi="Calibri" w:cs="Times New Roman"/>
          <w:bCs/>
          <w:kern w:val="0"/>
          <w:sz w:val="24"/>
        </w:rPr>
      </w:pPr>
      <w:r w:rsidRPr="009B4CAE">
        <w:rPr>
          <w:rFonts w:ascii="宋体" w:eastAsia="宋体" w:hAnsi="Calibri" w:cs="Times New Roman" w:hint="eastAsia"/>
          <w:bCs/>
          <w:kern w:val="0"/>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9B4CAE" w:rsidRPr="009B4CAE" w14:paraId="4F90FD9D" w14:textId="77777777" w:rsidTr="009B4CAE">
        <w:trPr>
          <w:jc w:val="center"/>
        </w:trPr>
        <w:tc>
          <w:tcPr>
            <w:tcW w:w="2547" w:type="dxa"/>
          </w:tcPr>
          <w:p w14:paraId="2E8A2068"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身体姿态</w:t>
            </w:r>
          </w:p>
        </w:tc>
        <w:tc>
          <w:tcPr>
            <w:tcW w:w="1984" w:type="dxa"/>
          </w:tcPr>
          <w:p w14:paraId="040A0249" w14:textId="77777777" w:rsidR="009B4CAE" w:rsidRPr="009B4CAE" w:rsidRDefault="009B4CAE" w:rsidP="009B4CAE">
            <w:pPr>
              <w:widowControl/>
              <w:spacing w:beforeLines="50" w:before="156" w:afterLines="50" w:after="156" w:line="400" w:lineRule="exact"/>
              <w:ind w:firstLineChars="100" w:firstLine="210"/>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套路动作</w:t>
            </w:r>
          </w:p>
        </w:tc>
        <w:tc>
          <w:tcPr>
            <w:tcW w:w="2410" w:type="dxa"/>
          </w:tcPr>
          <w:p w14:paraId="0F066F75" w14:textId="77777777" w:rsidR="009B4CAE" w:rsidRPr="009B4CAE" w:rsidRDefault="009B4CAE" w:rsidP="009B4CAE">
            <w:pPr>
              <w:widowControl/>
              <w:spacing w:beforeLines="50" w:before="156" w:afterLines="50" w:after="156" w:line="400" w:lineRule="exact"/>
              <w:ind w:firstLineChars="300" w:firstLine="630"/>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乐感</w:t>
            </w:r>
          </w:p>
        </w:tc>
        <w:tc>
          <w:tcPr>
            <w:tcW w:w="1355" w:type="dxa"/>
          </w:tcPr>
          <w:p w14:paraId="04EE932E"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分值范围</w:t>
            </w:r>
          </w:p>
        </w:tc>
      </w:tr>
      <w:tr w:rsidR="009B4CAE" w:rsidRPr="009B4CAE" w14:paraId="343BF78F" w14:textId="77777777" w:rsidTr="009B4CAE">
        <w:trPr>
          <w:jc w:val="center"/>
        </w:trPr>
        <w:tc>
          <w:tcPr>
            <w:tcW w:w="2547" w:type="dxa"/>
          </w:tcPr>
          <w:p w14:paraId="085E48D4"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动作标准，姿态正确</w:t>
            </w:r>
          </w:p>
        </w:tc>
        <w:tc>
          <w:tcPr>
            <w:tcW w:w="1984" w:type="dxa"/>
          </w:tcPr>
          <w:p w14:paraId="241CA9DC"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非常熟练、流畅、舞伴配合</w:t>
            </w:r>
            <w:r w:rsidRPr="009B4CAE">
              <w:rPr>
                <w:rFonts w:ascii="宋体" w:eastAsia="宋体" w:hAnsi="宋体" w:cs="宋体"/>
                <w:color w:val="000000"/>
                <w:kern w:val="0"/>
                <w:szCs w:val="21"/>
              </w:rPr>
              <w:t xml:space="preserve"> </w:t>
            </w:r>
            <w:r w:rsidRPr="009B4CAE">
              <w:rPr>
                <w:rFonts w:ascii="宋体" w:eastAsia="宋体" w:hAnsi="宋体" w:cs="宋体" w:hint="eastAsia"/>
                <w:color w:val="000000"/>
                <w:kern w:val="0"/>
                <w:szCs w:val="21"/>
              </w:rPr>
              <w:t>默契</w:t>
            </w:r>
          </w:p>
        </w:tc>
        <w:tc>
          <w:tcPr>
            <w:tcW w:w="2410" w:type="dxa"/>
          </w:tcPr>
          <w:p w14:paraId="7AAD2347"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音乐与动作十分吻合</w:t>
            </w:r>
          </w:p>
        </w:tc>
        <w:tc>
          <w:tcPr>
            <w:tcW w:w="1355" w:type="dxa"/>
          </w:tcPr>
          <w:p w14:paraId="5F2F4A23"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90-100</w:t>
            </w:r>
          </w:p>
        </w:tc>
      </w:tr>
      <w:tr w:rsidR="009B4CAE" w:rsidRPr="009B4CAE" w14:paraId="3DB32819" w14:textId="77777777" w:rsidTr="009B4CAE">
        <w:trPr>
          <w:jc w:val="center"/>
        </w:trPr>
        <w:tc>
          <w:tcPr>
            <w:tcW w:w="2547" w:type="dxa"/>
          </w:tcPr>
          <w:p w14:paraId="7B94F06D"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动作标准，姿态较正确</w:t>
            </w:r>
          </w:p>
        </w:tc>
        <w:tc>
          <w:tcPr>
            <w:tcW w:w="1984" w:type="dxa"/>
          </w:tcPr>
          <w:p w14:paraId="1BD890BE"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较流畅、熟练、舞伴配合较默契</w:t>
            </w:r>
          </w:p>
        </w:tc>
        <w:tc>
          <w:tcPr>
            <w:tcW w:w="2410" w:type="dxa"/>
          </w:tcPr>
          <w:p w14:paraId="5E358856"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音乐与动作较吻合</w:t>
            </w:r>
          </w:p>
        </w:tc>
        <w:tc>
          <w:tcPr>
            <w:tcW w:w="1355" w:type="dxa"/>
          </w:tcPr>
          <w:p w14:paraId="46BC37BD"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80-89</w:t>
            </w:r>
          </w:p>
        </w:tc>
      </w:tr>
      <w:tr w:rsidR="009B4CAE" w:rsidRPr="009B4CAE" w14:paraId="296B9DC2" w14:textId="77777777" w:rsidTr="009B4CAE">
        <w:trPr>
          <w:jc w:val="center"/>
        </w:trPr>
        <w:tc>
          <w:tcPr>
            <w:tcW w:w="2547" w:type="dxa"/>
          </w:tcPr>
          <w:p w14:paraId="1D162A24"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动作不够标准，姿态一般</w:t>
            </w:r>
          </w:p>
        </w:tc>
        <w:tc>
          <w:tcPr>
            <w:tcW w:w="1984" w:type="dxa"/>
          </w:tcPr>
          <w:p w14:paraId="765B5F7F"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熟练、流畅度一般</w:t>
            </w:r>
          </w:p>
        </w:tc>
        <w:tc>
          <w:tcPr>
            <w:tcW w:w="2410" w:type="dxa"/>
          </w:tcPr>
          <w:p w14:paraId="2A6B82B9"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音乐与动作基本吻合</w:t>
            </w:r>
          </w:p>
        </w:tc>
        <w:tc>
          <w:tcPr>
            <w:tcW w:w="1355" w:type="dxa"/>
          </w:tcPr>
          <w:p w14:paraId="7982C926"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70-79</w:t>
            </w:r>
          </w:p>
        </w:tc>
      </w:tr>
      <w:tr w:rsidR="009B4CAE" w:rsidRPr="009B4CAE" w14:paraId="7479751F" w14:textId="77777777" w:rsidTr="009B4CAE">
        <w:trPr>
          <w:jc w:val="center"/>
        </w:trPr>
        <w:tc>
          <w:tcPr>
            <w:tcW w:w="2547" w:type="dxa"/>
          </w:tcPr>
          <w:p w14:paraId="208FE522"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动作不够标准，姿态较差</w:t>
            </w:r>
          </w:p>
        </w:tc>
        <w:tc>
          <w:tcPr>
            <w:tcW w:w="1984" w:type="dxa"/>
          </w:tcPr>
          <w:p w14:paraId="4B561208"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较生疏</w:t>
            </w:r>
          </w:p>
        </w:tc>
        <w:tc>
          <w:tcPr>
            <w:tcW w:w="2410" w:type="dxa"/>
          </w:tcPr>
          <w:p w14:paraId="3FFE9E17"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音乐与动作吻合度较差</w:t>
            </w:r>
          </w:p>
        </w:tc>
        <w:tc>
          <w:tcPr>
            <w:tcW w:w="1355" w:type="dxa"/>
          </w:tcPr>
          <w:p w14:paraId="2603A263"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60-69</w:t>
            </w:r>
          </w:p>
        </w:tc>
      </w:tr>
      <w:tr w:rsidR="009B4CAE" w:rsidRPr="009B4CAE" w14:paraId="51B998B4" w14:textId="77777777" w:rsidTr="009B4CAE">
        <w:trPr>
          <w:trHeight w:val="505"/>
          <w:jc w:val="center"/>
        </w:trPr>
        <w:tc>
          <w:tcPr>
            <w:tcW w:w="2547" w:type="dxa"/>
          </w:tcPr>
          <w:p w14:paraId="728F1933"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w:t>
            </w:r>
            <w:proofErr w:type="gramStart"/>
            <w:r w:rsidRPr="009B4CAE">
              <w:rPr>
                <w:rFonts w:ascii="宋体" w:eastAsia="宋体" w:hAnsi="宋体" w:cs="宋体" w:hint="eastAsia"/>
                <w:color w:val="000000"/>
                <w:kern w:val="0"/>
                <w:szCs w:val="21"/>
              </w:rPr>
              <w:t>不</w:t>
            </w:r>
            <w:proofErr w:type="gramEnd"/>
            <w:r w:rsidRPr="009B4CAE">
              <w:rPr>
                <w:rFonts w:ascii="宋体" w:eastAsia="宋体" w:hAnsi="宋体" w:cs="宋体" w:hint="eastAsia"/>
                <w:color w:val="000000"/>
                <w:kern w:val="0"/>
                <w:szCs w:val="21"/>
              </w:rPr>
              <w:t>标准，姿态差</w:t>
            </w:r>
          </w:p>
        </w:tc>
        <w:tc>
          <w:tcPr>
            <w:tcW w:w="1984" w:type="dxa"/>
          </w:tcPr>
          <w:p w14:paraId="76C6ABF1"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不能按规定完成动作</w:t>
            </w:r>
          </w:p>
        </w:tc>
        <w:tc>
          <w:tcPr>
            <w:tcW w:w="2410" w:type="dxa"/>
          </w:tcPr>
          <w:p w14:paraId="3EBF247A"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音乐与动作十分步吻合</w:t>
            </w:r>
          </w:p>
        </w:tc>
        <w:tc>
          <w:tcPr>
            <w:tcW w:w="1355" w:type="dxa"/>
          </w:tcPr>
          <w:p w14:paraId="45E733C3"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60以下</w:t>
            </w:r>
          </w:p>
        </w:tc>
      </w:tr>
    </w:tbl>
    <w:p w14:paraId="58241B90" w14:textId="77777777" w:rsidR="009B4CAE" w:rsidRPr="009B4CAE" w:rsidRDefault="009B4CAE" w:rsidP="009B4CAE">
      <w:pPr>
        <w:adjustRightInd w:val="0"/>
        <w:snapToGrid w:val="0"/>
        <w:spacing w:line="500" w:lineRule="exact"/>
        <w:rPr>
          <w:rFonts w:ascii="黑体" w:eastAsia="黑体" w:hAnsi="黑体" w:cs="Times New Roman"/>
          <w:sz w:val="28"/>
          <w:szCs w:val="28"/>
        </w:rPr>
      </w:pPr>
      <w:r w:rsidRPr="009B4CAE">
        <w:rPr>
          <w:rFonts w:ascii="宋体" w:eastAsia="宋体" w:hAnsi="Calibri" w:cs="Times New Roman" w:hint="eastAsia"/>
          <w:bCs/>
          <w:kern w:val="0"/>
          <w:sz w:val="24"/>
        </w:rPr>
        <w:t xml:space="preserve">  </w:t>
      </w:r>
    </w:p>
    <w:p w14:paraId="7C424BE9" w14:textId="77777777" w:rsidR="009B4CAE" w:rsidRPr="009B4CAE" w:rsidRDefault="009B4CAE" w:rsidP="009B4CAE">
      <w:pPr>
        <w:spacing w:beforeLines="50" w:before="156" w:afterLines="50" w:after="156" w:line="440" w:lineRule="exact"/>
        <w:ind w:firstLineChars="200" w:firstLine="560"/>
        <w:rPr>
          <w:rFonts w:ascii="黑体" w:eastAsia="黑体" w:hAnsi="黑体" w:cs="Times New Roman"/>
          <w:sz w:val="28"/>
          <w:szCs w:val="28"/>
        </w:rPr>
      </w:pPr>
      <w:r w:rsidRPr="009B4CAE">
        <w:rPr>
          <w:rFonts w:ascii="黑体" w:eastAsia="黑体" w:hAnsi="黑体" w:cs="Times New Roman" w:hint="eastAsia"/>
          <w:sz w:val="28"/>
          <w:szCs w:val="28"/>
        </w:rPr>
        <w:t>第三学期</w:t>
      </w:r>
    </w:p>
    <w:p w14:paraId="1667195E" w14:textId="77777777" w:rsidR="009B4CAE" w:rsidRPr="009B4CAE" w:rsidRDefault="009B4CAE" w:rsidP="009B4CAE">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9B4CAE">
        <w:rPr>
          <w:rFonts w:ascii="宋体" w:eastAsia="宋体" w:hAnsi="Calibri" w:cs="Times New Roman" w:hint="eastAsia"/>
          <w:b/>
          <w:kern w:val="0"/>
          <w:sz w:val="24"/>
        </w:rPr>
        <w:t>期中考试</w:t>
      </w:r>
    </w:p>
    <w:p w14:paraId="0C44D809" w14:textId="77777777" w:rsidR="009B4CAE" w:rsidRPr="009B4CAE" w:rsidRDefault="009B4CAE" w:rsidP="00FE4508">
      <w:pPr>
        <w:numPr>
          <w:ilvl w:val="0"/>
          <w:numId w:val="46"/>
        </w:numPr>
        <w:autoSpaceDE w:val="0"/>
        <w:autoSpaceDN w:val="0"/>
        <w:adjustRightInd w:val="0"/>
        <w:snapToGrid w:val="0"/>
        <w:spacing w:line="50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课程考核目标:</w:t>
      </w:r>
      <w:r w:rsidRPr="009B4CAE">
        <w:rPr>
          <w:rFonts w:ascii="宋体" w:eastAsia="宋体" w:hAnsi="Calibri" w:cs="Times New Roman" w:hint="eastAsia"/>
          <w:bCs/>
          <w:kern w:val="0"/>
          <w:sz w:val="24"/>
        </w:rPr>
        <w:t>通过考核检验交谊舞华尔兹教学效果和学生掌握情况，让学生了解选项课内容和科学体育锻炼方式方法。</w:t>
      </w:r>
    </w:p>
    <w:p w14:paraId="48207D2D" w14:textId="77777777" w:rsidR="009B4CAE" w:rsidRPr="009B4CAE" w:rsidRDefault="009B4CAE" w:rsidP="009B4CAE">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2.课程考核的内容：</w:t>
      </w:r>
      <w:r w:rsidRPr="009B4CAE">
        <w:rPr>
          <w:rFonts w:ascii="宋体" w:eastAsia="宋体" w:hAnsi="Calibri" w:cs="Times New Roman" w:hint="eastAsia"/>
          <w:bCs/>
          <w:kern w:val="0"/>
          <w:sz w:val="24"/>
        </w:rPr>
        <w:t>华尔兹基本步</w:t>
      </w:r>
    </w:p>
    <w:p w14:paraId="216F121F" w14:textId="77777777" w:rsidR="009B4CAE" w:rsidRPr="009B4CAE" w:rsidRDefault="009B4CAE" w:rsidP="009B4CAE">
      <w:pPr>
        <w:adjustRightInd w:val="0"/>
        <w:snapToGrid w:val="0"/>
        <w:spacing w:line="50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3.课程考核方式：</w:t>
      </w:r>
      <w:r w:rsidRPr="009B4CAE">
        <w:rPr>
          <w:rFonts w:ascii="宋体" w:eastAsia="宋体" w:hAnsi="Calibri" w:cs="Times New Roman" w:hint="eastAsia"/>
          <w:bCs/>
          <w:kern w:val="0"/>
          <w:sz w:val="24"/>
        </w:rPr>
        <w:t>规定套路表演，音乐可自选，</w:t>
      </w:r>
      <w:r w:rsidRPr="009B4CAE">
        <w:rPr>
          <w:rFonts w:ascii="Calibri" w:eastAsia="宋体" w:hAnsi="Calibri" w:cs="宋体" w:hint="eastAsia"/>
          <w:color w:val="000000"/>
          <w:kern w:val="0"/>
          <w:sz w:val="24"/>
        </w:rPr>
        <w:t>主要以韵律、姿态、步伐、舞伴配合等方面评分。</w:t>
      </w:r>
    </w:p>
    <w:p w14:paraId="3D1702E2" w14:textId="77777777" w:rsidR="009B4CAE" w:rsidRPr="009B4CAE" w:rsidRDefault="009B4CAE" w:rsidP="009B4CAE">
      <w:pPr>
        <w:widowControl/>
        <w:spacing w:before="180" w:after="180" w:line="500" w:lineRule="exact"/>
        <w:ind w:firstLineChars="200" w:firstLine="482"/>
        <w:rPr>
          <w:rFonts w:ascii="Calibri" w:eastAsia="宋体" w:hAnsi="Calibri" w:cs="宋体"/>
          <w:color w:val="000000"/>
          <w:kern w:val="0"/>
          <w:sz w:val="24"/>
        </w:rPr>
      </w:pPr>
      <w:r w:rsidRPr="009B4CAE">
        <w:rPr>
          <w:rFonts w:ascii="宋体" w:eastAsia="宋体" w:hAnsi="Calibri" w:cs="Times New Roman" w:hint="eastAsia"/>
          <w:b/>
          <w:kern w:val="0"/>
          <w:sz w:val="24"/>
        </w:rPr>
        <w:t>4.成绩构成及分值：</w:t>
      </w:r>
      <w:r w:rsidRPr="009B4CAE">
        <w:rPr>
          <w:rFonts w:ascii="Calibri" w:eastAsia="宋体" w:hAnsi="Calibri" w:cs="宋体" w:hint="eastAsia"/>
          <w:color w:val="000000"/>
          <w:kern w:val="0"/>
          <w:sz w:val="24"/>
        </w:rPr>
        <w:t>成绩考核采用百分制</w:t>
      </w:r>
      <w:r w:rsidRPr="009B4CAE">
        <w:rPr>
          <w:rFonts w:ascii="宋体" w:eastAsia="宋体" w:hAnsi="Calibri" w:cs="Times New Roman" w:hint="eastAsia"/>
          <w:bCs/>
          <w:kern w:val="0"/>
          <w:sz w:val="24"/>
        </w:rPr>
        <w:t>，</w:t>
      </w:r>
      <w:r w:rsidRPr="009B4CAE">
        <w:rPr>
          <w:rFonts w:ascii="宋体" w:eastAsia="宋体" w:hAnsi="宋体" w:cs="宋体"/>
          <w:color w:val="000000"/>
          <w:kern w:val="0"/>
          <w:sz w:val="24"/>
        </w:rPr>
        <w:t>90</w:t>
      </w:r>
      <w:r w:rsidRPr="009B4CAE">
        <w:rPr>
          <w:rFonts w:ascii="Calibri" w:eastAsia="宋体" w:hAnsi="Calibri" w:cs="宋体" w:hint="eastAsia"/>
          <w:color w:val="000000"/>
          <w:kern w:val="0"/>
          <w:sz w:val="24"/>
        </w:rPr>
        <w:t>分以上为优秀；</w:t>
      </w:r>
      <w:r w:rsidRPr="009B4CAE">
        <w:rPr>
          <w:rFonts w:ascii="宋体" w:eastAsia="宋体" w:hAnsi="宋体" w:cs="宋体"/>
          <w:color w:val="000000"/>
          <w:kern w:val="0"/>
          <w:sz w:val="24"/>
        </w:rPr>
        <w:t>80</w:t>
      </w:r>
      <w:r w:rsidRPr="009B4CAE">
        <w:rPr>
          <w:rFonts w:ascii="Calibri" w:eastAsia="宋体" w:hAnsi="Calibri" w:cs="宋体" w:hint="eastAsia"/>
          <w:color w:val="000000"/>
          <w:kern w:val="0"/>
          <w:sz w:val="24"/>
        </w:rPr>
        <w:t>—</w:t>
      </w:r>
      <w:r w:rsidRPr="009B4CAE">
        <w:rPr>
          <w:rFonts w:ascii="宋体" w:eastAsia="宋体" w:hAnsi="宋体" w:cs="宋体"/>
          <w:color w:val="000000"/>
          <w:kern w:val="0"/>
          <w:sz w:val="24"/>
        </w:rPr>
        <w:t>89</w:t>
      </w:r>
      <w:r w:rsidRPr="009B4CAE">
        <w:rPr>
          <w:rFonts w:ascii="Calibri" w:eastAsia="宋体" w:hAnsi="Calibri" w:cs="宋体" w:hint="eastAsia"/>
          <w:color w:val="000000"/>
          <w:kern w:val="0"/>
          <w:sz w:val="24"/>
        </w:rPr>
        <w:t>分为良好；</w:t>
      </w:r>
      <w:r w:rsidRPr="009B4CAE">
        <w:rPr>
          <w:rFonts w:ascii="宋体" w:eastAsia="宋体" w:hAnsi="宋体" w:cs="宋体"/>
          <w:color w:val="000000"/>
          <w:kern w:val="0"/>
          <w:sz w:val="24"/>
        </w:rPr>
        <w:t>70</w:t>
      </w:r>
      <w:r w:rsidRPr="009B4CAE">
        <w:rPr>
          <w:rFonts w:ascii="Calibri" w:eastAsia="宋体" w:hAnsi="Calibri" w:cs="宋体" w:hint="eastAsia"/>
          <w:color w:val="000000"/>
          <w:kern w:val="0"/>
          <w:sz w:val="24"/>
        </w:rPr>
        <w:t>—</w:t>
      </w:r>
      <w:r w:rsidRPr="009B4CAE">
        <w:rPr>
          <w:rFonts w:ascii="宋体" w:eastAsia="宋体" w:hAnsi="宋体" w:cs="宋体"/>
          <w:color w:val="000000"/>
          <w:kern w:val="0"/>
          <w:sz w:val="24"/>
        </w:rPr>
        <w:t>79</w:t>
      </w:r>
      <w:r w:rsidRPr="009B4CAE">
        <w:rPr>
          <w:rFonts w:ascii="Calibri" w:eastAsia="宋体" w:hAnsi="Calibri" w:cs="宋体" w:hint="eastAsia"/>
          <w:color w:val="000000"/>
          <w:kern w:val="0"/>
          <w:sz w:val="24"/>
        </w:rPr>
        <w:t>为中等；</w:t>
      </w:r>
      <w:r w:rsidRPr="009B4CAE">
        <w:rPr>
          <w:rFonts w:ascii="宋体" w:eastAsia="宋体" w:hAnsi="宋体" w:cs="宋体"/>
          <w:color w:val="000000"/>
          <w:kern w:val="0"/>
          <w:sz w:val="24"/>
        </w:rPr>
        <w:t>60</w:t>
      </w:r>
      <w:r w:rsidRPr="009B4CAE">
        <w:rPr>
          <w:rFonts w:ascii="Calibri" w:eastAsia="宋体" w:hAnsi="Calibri" w:cs="宋体" w:hint="eastAsia"/>
          <w:color w:val="000000"/>
          <w:kern w:val="0"/>
          <w:sz w:val="24"/>
        </w:rPr>
        <w:t>—</w:t>
      </w:r>
      <w:r w:rsidRPr="009B4CAE">
        <w:rPr>
          <w:rFonts w:ascii="宋体" w:eastAsia="宋体" w:hAnsi="宋体" w:cs="宋体"/>
          <w:color w:val="000000"/>
          <w:kern w:val="0"/>
          <w:sz w:val="24"/>
        </w:rPr>
        <w:t>69</w:t>
      </w:r>
      <w:r w:rsidRPr="009B4CAE">
        <w:rPr>
          <w:rFonts w:ascii="Calibri" w:eastAsia="宋体" w:hAnsi="Calibri" w:cs="宋体" w:hint="eastAsia"/>
          <w:color w:val="000000"/>
          <w:kern w:val="0"/>
          <w:sz w:val="24"/>
        </w:rPr>
        <w:t>为及格；</w:t>
      </w:r>
      <w:r w:rsidRPr="009B4CAE">
        <w:rPr>
          <w:rFonts w:ascii="宋体" w:eastAsia="宋体" w:hAnsi="宋体" w:cs="宋体"/>
          <w:color w:val="000000"/>
          <w:kern w:val="0"/>
          <w:sz w:val="24"/>
        </w:rPr>
        <w:t>60</w:t>
      </w:r>
      <w:r w:rsidRPr="009B4CAE">
        <w:rPr>
          <w:rFonts w:ascii="Calibri" w:eastAsia="宋体" w:hAnsi="Calibri" w:cs="宋体" w:hint="eastAsia"/>
          <w:color w:val="000000"/>
          <w:kern w:val="0"/>
          <w:sz w:val="24"/>
        </w:rPr>
        <w:t>分以下为不及格。</w:t>
      </w:r>
    </w:p>
    <w:p w14:paraId="36D666DA" w14:textId="77777777" w:rsidR="009B4CAE" w:rsidRPr="009B4CAE" w:rsidRDefault="009B4CAE" w:rsidP="009B4CAE">
      <w:pPr>
        <w:widowControl/>
        <w:spacing w:before="180" w:after="180" w:line="500" w:lineRule="exact"/>
        <w:ind w:firstLineChars="200" w:firstLine="482"/>
        <w:rPr>
          <w:rFonts w:ascii="宋体" w:eastAsia="宋体" w:hAnsi="Calibri" w:cs="Times New Roman"/>
          <w:b/>
          <w:kern w:val="0"/>
          <w:sz w:val="24"/>
        </w:rPr>
      </w:pPr>
      <w:r w:rsidRPr="009B4CAE">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9B4CAE" w:rsidRPr="009B4CAE" w14:paraId="653FBEF6" w14:textId="77777777" w:rsidTr="009B4CAE">
        <w:trPr>
          <w:jc w:val="center"/>
        </w:trPr>
        <w:tc>
          <w:tcPr>
            <w:tcW w:w="2547" w:type="dxa"/>
            <w:vAlign w:val="center"/>
          </w:tcPr>
          <w:p w14:paraId="5A348F5D"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身体姿态</w:t>
            </w:r>
          </w:p>
        </w:tc>
        <w:tc>
          <w:tcPr>
            <w:tcW w:w="1984" w:type="dxa"/>
            <w:vAlign w:val="center"/>
          </w:tcPr>
          <w:p w14:paraId="2D6CB848" w14:textId="77777777" w:rsidR="009B4CAE" w:rsidRPr="009B4CAE" w:rsidRDefault="009B4CAE" w:rsidP="009B4CAE">
            <w:pPr>
              <w:widowControl/>
              <w:spacing w:beforeLines="50" w:before="156" w:afterLines="50" w:after="156" w:line="400" w:lineRule="exact"/>
              <w:ind w:firstLineChars="100" w:firstLine="240"/>
              <w:jc w:val="center"/>
              <w:rPr>
                <w:rFonts w:ascii="宋体" w:eastAsia="宋体" w:hAnsi="宋体" w:cs="宋体"/>
                <w:color w:val="000000"/>
                <w:kern w:val="0"/>
                <w:sz w:val="24"/>
              </w:rPr>
            </w:pPr>
            <w:r w:rsidRPr="009B4CAE">
              <w:rPr>
                <w:rFonts w:ascii="宋体" w:eastAsia="宋体" w:hAnsi="宋体" w:cs="宋体" w:hint="eastAsia"/>
                <w:color w:val="000000"/>
                <w:kern w:val="0"/>
                <w:sz w:val="24"/>
              </w:rPr>
              <w:t>套路动作</w:t>
            </w:r>
          </w:p>
        </w:tc>
        <w:tc>
          <w:tcPr>
            <w:tcW w:w="2410" w:type="dxa"/>
            <w:vAlign w:val="center"/>
          </w:tcPr>
          <w:p w14:paraId="3EE65F4C" w14:textId="77777777" w:rsidR="009B4CAE" w:rsidRPr="009B4CAE" w:rsidRDefault="009B4CAE" w:rsidP="009B4CAE">
            <w:pPr>
              <w:widowControl/>
              <w:spacing w:beforeLines="50" w:before="156" w:afterLines="50" w:after="156" w:line="400" w:lineRule="exact"/>
              <w:ind w:firstLineChars="300" w:firstLine="720"/>
              <w:jc w:val="center"/>
              <w:rPr>
                <w:rFonts w:ascii="宋体" w:eastAsia="宋体" w:hAnsi="宋体" w:cs="宋体"/>
                <w:color w:val="000000"/>
                <w:kern w:val="0"/>
                <w:sz w:val="24"/>
              </w:rPr>
            </w:pPr>
            <w:r w:rsidRPr="009B4CAE">
              <w:rPr>
                <w:rFonts w:ascii="宋体" w:eastAsia="宋体" w:hAnsi="宋体" w:cs="宋体" w:hint="eastAsia"/>
                <w:color w:val="000000"/>
                <w:kern w:val="0"/>
                <w:sz w:val="24"/>
              </w:rPr>
              <w:t>乐感</w:t>
            </w:r>
          </w:p>
        </w:tc>
        <w:tc>
          <w:tcPr>
            <w:tcW w:w="1355" w:type="dxa"/>
            <w:vAlign w:val="center"/>
          </w:tcPr>
          <w:p w14:paraId="26E2C8D8"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分值范围</w:t>
            </w:r>
          </w:p>
        </w:tc>
      </w:tr>
      <w:tr w:rsidR="009B4CAE" w:rsidRPr="009B4CAE" w14:paraId="2D2854C7" w14:textId="77777777" w:rsidTr="009B4CAE">
        <w:trPr>
          <w:jc w:val="center"/>
        </w:trPr>
        <w:tc>
          <w:tcPr>
            <w:tcW w:w="2547" w:type="dxa"/>
            <w:vAlign w:val="center"/>
          </w:tcPr>
          <w:p w14:paraId="598DE1EB"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lastRenderedPageBreak/>
              <w:t>动作标准，姿态正确</w:t>
            </w:r>
          </w:p>
        </w:tc>
        <w:tc>
          <w:tcPr>
            <w:tcW w:w="1984" w:type="dxa"/>
            <w:vAlign w:val="center"/>
          </w:tcPr>
          <w:p w14:paraId="3320EC8F"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非常熟练、流畅、舞伴配合</w:t>
            </w:r>
            <w:r w:rsidRPr="009B4CAE">
              <w:rPr>
                <w:rFonts w:ascii="宋体" w:eastAsia="宋体" w:hAnsi="宋体" w:cs="宋体"/>
                <w:color w:val="000000"/>
                <w:kern w:val="0"/>
                <w:sz w:val="24"/>
              </w:rPr>
              <w:t xml:space="preserve"> </w:t>
            </w:r>
            <w:r w:rsidRPr="009B4CAE">
              <w:rPr>
                <w:rFonts w:ascii="宋体" w:eastAsia="宋体" w:hAnsi="宋体" w:cs="宋体" w:hint="eastAsia"/>
                <w:color w:val="000000"/>
                <w:kern w:val="0"/>
                <w:sz w:val="24"/>
              </w:rPr>
              <w:t>默契</w:t>
            </w:r>
          </w:p>
        </w:tc>
        <w:tc>
          <w:tcPr>
            <w:tcW w:w="2410" w:type="dxa"/>
            <w:vAlign w:val="center"/>
          </w:tcPr>
          <w:p w14:paraId="111FEAEA"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音乐与动作十分吻合</w:t>
            </w:r>
          </w:p>
        </w:tc>
        <w:tc>
          <w:tcPr>
            <w:tcW w:w="1355" w:type="dxa"/>
            <w:vAlign w:val="center"/>
          </w:tcPr>
          <w:p w14:paraId="1083D8FE"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90-100</w:t>
            </w:r>
          </w:p>
        </w:tc>
      </w:tr>
      <w:tr w:rsidR="009B4CAE" w:rsidRPr="009B4CAE" w14:paraId="77ADFA65" w14:textId="77777777" w:rsidTr="009B4CAE">
        <w:trPr>
          <w:jc w:val="center"/>
        </w:trPr>
        <w:tc>
          <w:tcPr>
            <w:tcW w:w="2547" w:type="dxa"/>
            <w:vAlign w:val="center"/>
          </w:tcPr>
          <w:p w14:paraId="7F491B39"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动作标准，姿态较正确</w:t>
            </w:r>
          </w:p>
        </w:tc>
        <w:tc>
          <w:tcPr>
            <w:tcW w:w="1984" w:type="dxa"/>
            <w:vAlign w:val="center"/>
          </w:tcPr>
          <w:p w14:paraId="32A65E1B"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较流畅、熟练、舞伴配合较默契</w:t>
            </w:r>
          </w:p>
        </w:tc>
        <w:tc>
          <w:tcPr>
            <w:tcW w:w="2410" w:type="dxa"/>
            <w:vAlign w:val="center"/>
          </w:tcPr>
          <w:p w14:paraId="33750A26"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音乐与动作较吻合</w:t>
            </w:r>
          </w:p>
        </w:tc>
        <w:tc>
          <w:tcPr>
            <w:tcW w:w="1355" w:type="dxa"/>
            <w:vAlign w:val="center"/>
          </w:tcPr>
          <w:p w14:paraId="2C133391"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80-89</w:t>
            </w:r>
          </w:p>
        </w:tc>
      </w:tr>
      <w:tr w:rsidR="009B4CAE" w:rsidRPr="009B4CAE" w14:paraId="3CE8D990" w14:textId="77777777" w:rsidTr="009B4CAE">
        <w:trPr>
          <w:jc w:val="center"/>
        </w:trPr>
        <w:tc>
          <w:tcPr>
            <w:tcW w:w="2547" w:type="dxa"/>
            <w:vAlign w:val="center"/>
          </w:tcPr>
          <w:p w14:paraId="686BE1C9"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动作不够标准，姿态一般</w:t>
            </w:r>
          </w:p>
        </w:tc>
        <w:tc>
          <w:tcPr>
            <w:tcW w:w="1984" w:type="dxa"/>
            <w:vAlign w:val="center"/>
          </w:tcPr>
          <w:p w14:paraId="0DC1C7D8"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熟练、流畅度一般</w:t>
            </w:r>
          </w:p>
        </w:tc>
        <w:tc>
          <w:tcPr>
            <w:tcW w:w="2410" w:type="dxa"/>
            <w:vAlign w:val="center"/>
          </w:tcPr>
          <w:p w14:paraId="5E1C6B8E"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音乐与动作基本吻合</w:t>
            </w:r>
          </w:p>
        </w:tc>
        <w:tc>
          <w:tcPr>
            <w:tcW w:w="1355" w:type="dxa"/>
            <w:vAlign w:val="center"/>
          </w:tcPr>
          <w:p w14:paraId="0357085F"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70-79</w:t>
            </w:r>
          </w:p>
        </w:tc>
      </w:tr>
      <w:tr w:rsidR="009B4CAE" w:rsidRPr="009B4CAE" w14:paraId="3AE33343" w14:textId="77777777" w:rsidTr="009B4CAE">
        <w:trPr>
          <w:jc w:val="center"/>
        </w:trPr>
        <w:tc>
          <w:tcPr>
            <w:tcW w:w="2547" w:type="dxa"/>
            <w:vAlign w:val="center"/>
          </w:tcPr>
          <w:p w14:paraId="4BEF33DE"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动作不够标准，姿态较差</w:t>
            </w:r>
          </w:p>
        </w:tc>
        <w:tc>
          <w:tcPr>
            <w:tcW w:w="1984" w:type="dxa"/>
            <w:vAlign w:val="center"/>
          </w:tcPr>
          <w:p w14:paraId="32A59B39"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较生疏</w:t>
            </w:r>
          </w:p>
        </w:tc>
        <w:tc>
          <w:tcPr>
            <w:tcW w:w="2410" w:type="dxa"/>
            <w:vAlign w:val="center"/>
          </w:tcPr>
          <w:p w14:paraId="1640AFCD"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音乐与动作吻合度较差</w:t>
            </w:r>
          </w:p>
        </w:tc>
        <w:tc>
          <w:tcPr>
            <w:tcW w:w="1355" w:type="dxa"/>
            <w:vAlign w:val="center"/>
          </w:tcPr>
          <w:p w14:paraId="4AA519FF"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60-69</w:t>
            </w:r>
          </w:p>
        </w:tc>
      </w:tr>
      <w:tr w:rsidR="009B4CAE" w:rsidRPr="009B4CAE" w14:paraId="2D9755D0" w14:textId="77777777" w:rsidTr="009B4CAE">
        <w:trPr>
          <w:trHeight w:val="505"/>
          <w:jc w:val="center"/>
        </w:trPr>
        <w:tc>
          <w:tcPr>
            <w:tcW w:w="2547" w:type="dxa"/>
            <w:vAlign w:val="center"/>
          </w:tcPr>
          <w:p w14:paraId="39327332"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动作</w:t>
            </w:r>
            <w:proofErr w:type="gramStart"/>
            <w:r w:rsidRPr="009B4CAE">
              <w:rPr>
                <w:rFonts w:ascii="宋体" w:eastAsia="宋体" w:hAnsi="宋体" w:cs="宋体" w:hint="eastAsia"/>
                <w:color w:val="000000"/>
                <w:kern w:val="0"/>
                <w:sz w:val="24"/>
              </w:rPr>
              <w:t>不</w:t>
            </w:r>
            <w:proofErr w:type="gramEnd"/>
            <w:r w:rsidRPr="009B4CAE">
              <w:rPr>
                <w:rFonts w:ascii="宋体" w:eastAsia="宋体" w:hAnsi="宋体" w:cs="宋体" w:hint="eastAsia"/>
                <w:color w:val="000000"/>
                <w:kern w:val="0"/>
                <w:sz w:val="24"/>
              </w:rPr>
              <w:t>标准，姿态差</w:t>
            </w:r>
          </w:p>
        </w:tc>
        <w:tc>
          <w:tcPr>
            <w:tcW w:w="1984" w:type="dxa"/>
            <w:vAlign w:val="center"/>
          </w:tcPr>
          <w:p w14:paraId="5F7A278B"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不按规定完成动作</w:t>
            </w:r>
          </w:p>
        </w:tc>
        <w:tc>
          <w:tcPr>
            <w:tcW w:w="2410" w:type="dxa"/>
            <w:vAlign w:val="center"/>
          </w:tcPr>
          <w:p w14:paraId="6C4BEC4A"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音乐与动作十分步吻合</w:t>
            </w:r>
          </w:p>
        </w:tc>
        <w:tc>
          <w:tcPr>
            <w:tcW w:w="1355" w:type="dxa"/>
            <w:vAlign w:val="center"/>
          </w:tcPr>
          <w:p w14:paraId="37B4C932"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 w:val="24"/>
              </w:rPr>
            </w:pPr>
            <w:r w:rsidRPr="009B4CAE">
              <w:rPr>
                <w:rFonts w:ascii="宋体" w:eastAsia="宋体" w:hAnsi="宋体" w:cs="宋体" w:hint="eastAsia"/>
                <w:color w:val="000000"/>
                <w:kern w:val="0"/>
                <w:sz w:val="24"/>
              </w:rPr>
              <w:t>60以下</w:t>
            </w:r>
          </w:p>
        </w:tc>
      </w:tr>
    </w:tbl>
    <w:p w14:paraId="21C3CD74" w14:textId="77777777" w:rsidR="009B4CAE" w:rsidRPr="009B4CAE" w:rsidRDefault="009B4CAE" w:rsidP="009B4CAE">
      <w:pPr>
        <w:autoSpaceDE w:val="0"/>
        <w:autoSpaceDN w:val="0"/>
        <w:adjustRightInd w:val="0"/>
        <w:snapToGrid w:val="0"/>
        <w:spacing w:line="500" w:lineRule="exact"/>
        <w:rPr>
          <w:rFonts w:ascii="宋体" w:eastAsia="宋体" w:hAnsi="Calibri" w:cs="Times New Roman"/>
          <w:b/>
          <w:kern w:val="0"/>
          <w:sz w:val="24"/>
        </w:rPr>
      </w:pPr>
    </w:p>
    <w:p w14:paraId="6FAD9A27" w14:textId="77777777" w:rsidR="009B4CAE" w:rsidRPr="009B4CAE" w:rsidRDefault="009B4CAE" w:rsidP="009B4CAE">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9B4CAE">
        <w:rPr>
          <w:rFonts w:ascii="宋体" w:eastAsia="宋体" w:hAnsi="Calibri" w:cs="Times New Roman" w:hint="eastAsia"/>
          <w:b/>
          <w:kern w:val="0"/>
          <w:sz w:val="24"/>
        </w:rPr>
        <w:t>期末考试</w:t>
      </w:r>
    </w:p>
    <w:p w14:paraId="71FFC127" w14:textId="77777777" w:rsidR="009B4CAE" w:rsidRPr="009B4CAE" w:rsidRDefault="009B4CAE" w:rsidP="009B4CAE">
      <w:pPr>
        <w:adjustRightInd w:val="0"/>
        <w:snapToGrid w:val="0"/>
        <w:spacing w:line="50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1.课程考核目标:</w:t>
      </w:r>
      <w:r w:rsidRPr="009B4CAE">
        <w:rPr>
          <w:rFonts w:ascii="宋体" w:eastAsia="宋体" w:hAnsi="Calibri" w:cs="Times New Roman" w:hint="eastAsia"/>
          <w:bCs/>
          <w:kern w:val="0"/>
          <w:sz w:val="24"/>
        </w:rPr>
        <w:t>通过考核检验交谊舞华尔兹教学效果和学生掌握情况，让学生了解选项课内容和科学体育锻炼方式方法。</w:t>
      </w:r>
    </w:p>
    <w:p w14:paraId="7BA1E016" w14:textId="77777777" w:rsidR="009B4CAE" w:rsidRPr="009B4CAE" w:rsidRDefault="009B4CAE" w:rsidP="009B4CAE">
      <w:pPr>
        <w:tabs>
          <w:tab w:val="center" w:pos="4153"/>
        </w:tabs>
        <w:adjustRightInd w:val="0"/>
        <w:snapToGrid w:val="0"/>
        <w:spacing w:line="50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2.课程考核的内容：</w:t>
      </w:r>
      <w:r w:rsidRPr="009B4CAE">
        <w:rPr>
          <w:rFonts w:ascii="宋体" w:eastAsia="宋体" w:hAnsi="Calibri" w:cs="Times New Roman" w:hint="eastAsia"/>
          <w:bCs/>
          <w:kern w:val="0"/>
          <w:sz w:val="24"/>
        </w:rPr>
        <w:t>华尔兹基本步和花样组合</w:t>
      </w:r>
    </w:p>
    <w:p w14:paraId="0C1EB3FE" w14:textId="77777777" w:rsidR="009B4CAE" w:rsidRPr="009B4CAE" w:rsidRDefault="009B4CAE" w:rsidP="009B4CAE">
      <w:pPr>
        <w:autoSpaceDE w:val="0"/>
        <w:autoSpaceDN w:val="0"/>
        <w:adjustRightInd w:val="0"/>
        <w:snapToGrid w:val="0"/>
        <w:spacing w:line="500" w:lineRule="exact"/>
        <w:ind w:firstLineChars="200" w:firstLine="482"/>
        <w:rPr>
          <w:rFonts w:ascii="Calibri" w:eastAsia="宋体" w:hAnsi="Calibri" w:cs="宋体"/>
          <w:color w:val="000000"/>
          <w:kern w:val="0"/>
          <w:sz w:val="24"/>
        </w:rPr>
      </w:pPr>
      <w:r w:rsidRPr="009B4CAE">
        <w:rPr>
          <w:rFonts w:ascii="宋体" w:eastAsia="宋体" w:hAnsi="Calibri" w:cs="Times New Roman" w:hint="eastAsia"/>
          <w:b/>
          <w:kern w:val="0"/>
          <w:sz w:val="24"/>
        </w:rPr>
        <w:t>3.课程考核方式：</w:t>
      </w:r>
      <w:r w:rsidRPr="009B4CAE">
        <w:rPr>
          <w:rFonts w:ascii="Calibri" w:eastAsia="宋体" w:hAnsi="Calibri" w:cs="宋体" w:hint="eastAsia"/>
          <w:color w:val="000000"/>
          <w:kern w:val="0"/>
          <w:sz w:val="24"/>
        </w:rPr>
        <w:t>学生自编套路表演，可自选音乐，也可用原音乐，时间为２分钟。主要以韵律、姿态、步伐、舞伴配合等方面评分。</w:t>
      </w:r>
    </w:p>
    <w:p w14:paraId="10EBBE77" w14:textId="77777777" w:rsidR="009B4CAE" w:rsidRPr="009B4CAE" w:rsidRDefault="009B4CAE" w:rsidP="009B4CAE">
      <w:pPr>
        <w:widowControl/>
        <w:spacing w:beforeLines="50" w:before="156" w:afterLines="50" w:after="156" w:line="500" w:lineRule="exact"/>
        <w:ind w:firstLineChars="200" w:firstLine="482"/>
        <w:rPr>
          <w:rFonts w:ascii="Calibri" w:eastAsia="宋体" w:hAnsi="Calibri" w:cs="宋体"/>
          <w:color w:val="000000"/>
          <w:kern w:val="0"/>
          <w:sz w:val="24"/>
        </w:rPr>
      </w:pPr>
      <w:r w:rsidRPr="009B4CAE">
        <w:rPr>
          <w:rFonts w:ascii="宋体" w:eastAsia="宋体" w:hAnsi="Calibri" w:cs="Times New Roman" w:hint="eastAsia"/>
          <w:b/>
          <w:kern w:val="0"/>
          <w:sz w:val="24"/>
        </w:rPr>
        <w:t>4.成绩构成及分值：</w:t>
      </w:r>
      <w:r w:rsidRPr="009B4CAE">
        <w:rPr>
          <w:rFonts w:ascii="Calibri" w:eastAsia="宋体" w:hAnsi="Calibri" w:cs="宋体" w:hint="eastAsia"/>
          <w:color w:val="000000"/>
          <w:kern w:val="0"/>
          <w:sz w:val="24"/>
        </w:rPr>
        <w:t>成绩考核采用百分制</w:t>
      </w:r>
      <w:r w:rsidRPr="009B4CAE">
        <w:rPr>
          <w:rFonts w:ascii="宋体" w:eastAsia="宋体" w:hAnsi="Calibri" w:cs="Times New Roman" w:hint="eastAsia"/>
          <w:bCs/>
          <w:kern w:val="0"/>
          <w:sz w:val="24"/>
        </w:rPr>
        <w:t>，</w:t>
      </w:r>
      <w:r w:rsidRPr="009B4CAE">
        <w:rPr>
          <w:rFonts w:ascii="宋体" w:eastAsia="宋体" w:hAnsi="宋体" w:cs="宋体"/>
          <w:color w:val="000000"/>
          <w:kern w:val="0"/>
          <w:sz w:val="24"/>
        </w:rPr>
        <w:t>90</w:t>
      </w:r>
      <w:r w:rsidRPr="009B4CAE">
        <w:rPr>
          <w:rFonts w:ascii="Calibri" w:eastAsia="宋体" w:hAnsi="Calibri" w:cs="宋体" w:hint="eastAsia"/>
          <w:color w:val="000000"/>
          <w:kern w:val="0"/>
          <w:sz w:val="24"/>
        </w:rPr>
        <w:t>分以上为优秀；</w:t>
      </w:r>
      <w:r w:rsidRPr="009B4CAE">
        <w:rPr>
          <w:rFonts w:ascii="宋体" w:eastAsia="宋体" w:hAnsi="宋体" w:cs="宋体"/>
          <w:color w:val="000000"/>
          <w:kern w:val="0"/>
          <w:sz w:val="24"/>
        </w:rPr>
        <w:t>80</w:t>
      </w:r>
      <w:r w:rsidRPr="009B4CAE">
        <w:rPr>
          <w:rFonts w:ascii="Calibri" w:eastAsia="宋体" w:hAnsi="Calibri" w:cs="宋体" w:hint="eastAsia"/>
          <w:color w:val="000000"/>
          <w:kern w:val="0"/>
          <w:sz w:val="24"/>
        </w:rPr>
        <w:t>—</w:t>
      </w:r>
      <w:r w:rsidRPr="009B4CAE">
        <w:rPr>
          <w:rFonts w:ascii="宋体" w:eastAsia="宋体" w:hAnsi="宋体" w:cs="宋体"/>
          <w:color w:val="000000"/>
          <w:kern w:val="0"/>
          <w:sz w:val="24"/>
        </w:rPr>
        <w:t>89</w:t>
      </w:r>
      <w:r w:rsidRPr="009B4CAE">
        <w:rPr>
          <w:rFonts w:ascii="Calibri" w:eastAsia="宋体" w:hAnsi="Calibri" w:cs="宋体" w:hint="eastAsia"/>
          <w:color w:val="000000"/>
          <w:kern w:val="0"/>
          <w:sz w:val="24"/>
        </w:rPr>
        <w:t>分为良好；</w:t>
      </w:r>
      <w:r w:rsidRPr="009B4CAE">
        <w:rPr>
          <w:rFonts w:ascii="宋体" w:eastAsia="宋体" w:hAnsi="宋体" w:cs="宋体"/>
          <w:color w:val="000000"/>
          <w:kern w:val="0"/>
          <w:sz w:val="24"/>
        </w:rPr>
        <w:t>70</w:t>
      </w:r>
      <w:r w:rsidRPr="009B4CAE">
        <w:rPr>
          <w:rFonts w:ascii="Calibri" w:eastAsia="宋体" w:hAnsi="Calibri" w:cs="宋体" w:hint="eastAsia"/>
          <w:color w:val="000000"/>
          <w:kern w:val="0"/>
          <w:sz w:val="24"/>
        </w:rPr>
        <w:t>—</w:t>
      </w:r>
      <w:r w:rsidRPr="009B4CAE">
        <w:rPr>
          <w:rFonts w:ascii="宋体" w:eastAsia="宋体" w:hAnsi="宋体" w:cs="宋体"/>
          <w:color w:val="000000"/>
          <w:kern w:val="0"/>
          <w:sz w:val="24"/>
        </w:rPr>
        <w:t>79</w:t>
      </w:r>
      <w:r w:rsidRPr="009B4CAE">
        <w:rPr>
          <w:rFonts w:ascii="Calibri" w:eastAsia="宋体" w:hAnsi="Calibri" w:cs="宋体" w:hint="eastAsia"/>
          <w:color w:val="000000"/>
          <w:kern w:val="0"/>
          <w:sz w:val="24"/>
        </w:rPr>
        <w:t>为中等；</w:t>
      </w:r>
      <w:r w:rsidRPr="009B4CAE">
        <w:rPr>
          <w:rFonts w:ascii="宋体" w:eastAsia="宋体" w:hAnsi="宋体" w:cs="宋体"/>
          <w:color w:val="000000"/>
          <w:kern w:val="0"/>
          <w:sz w:val="24"/>
        </w:rPr>
        <w:t>60</w:t>
      </w:r>
      <w:r w:rsidRPr="009B4CAE">
        <w:rPr>
          <w:rFonts w:ascii="Calibri" w:eastAsia="宋体" w:hAnsi="Calibri" w:cs="宋体" w:hint="eastAsia"/>
          <w:color w:val="000000"/>
          <w:kern w:val="0"/>
          <w:sz w:val="24"/>
        </w:rPr>
        <w:t>—</w:t>
      </w:r>
      <w:r w:rsidRPr="009B4CAE">
        <w:rPr>
          <w:rFonts w:ascii="宋体" w:eastAsia="宋体" w:hAnsi="宋体" w:cs="宋体"/>
          <w:color w:val="000000"/>
          <w:kern w:val="0"/>
          <w:sz w:val="24"/>
        </w:rPr>
        <w:t>69</w:t>
      </w:r>
      <w:r w:rsidRPr="009B4CAE">
        <w:rPr>
          <w:rFonts w:ascii="Calibri" w:eastAsia="宋体" w:hAnsi="Calibri" w:cs="宋体" w:hint="eastAsia"/>
          <w:color w:val="000000"/>
          <w:kern w:val="0"/>
          <w:sz w:val="24"/>
        </w:rPr>
        <w:t>为及格；</w:t>
      </w:r>
      <w:r w:rsidRPr="009B4CAE">
        <w:rPr>
          <w:rFonts w:ascii="宋体" w:eastAsia="宋体" w:hAnsi="宋体" w:cs="宋体"/>
          <w:color w:val="000000"/>
          <w:kern w:val="0"/>
          <w:sz w:val="24"/>
        </w:rPr>
        <w:t>60</w:t>
      </w:r>
      <w:r w:rsidRPr="009B4CAE">
        <w:rPr>
          <w:rFonts w:ascii="Calibri" w:eastAsia="宋体" w:hAnsi="Calibri" w:cs="宋体" w:hint="eastAsia"/>
          <w:color w:val="000000"/>
          <w:kern w:val="0"/>
          <w:sz w:val="24"/>
        </w:rPr>
        <w:t>分以下为不及格。</w:t>
      </w:r>
    </w:p>
    <w:p w14:paraId="3EF68EA2" w14:textId="77777777" w:rsidR="009B4CAE" w:rsidRPr="009B4CAE" w:rsidRDefault="009B4CAE" w:rsidP="009B4CAE">
      <w:pPr>
        <w:autoSpaceDE w:val="0"/>
        <w:autoSpaceDN w:val="0"/>
        <w:adjustRightInd w:val="0"/>
        <w:snapToGrid w:val="0"/>
        <w:spacing w:line="500" w:lineRule="exact"/>
        <w:ind w:firstLineChars="200" w:firstLine="480"/>
        <w:rPr>
          <w:rFonts w:ascii="宋体" w:eastAsia="宋体" w:hAnsi="Calibri" w:cs="Times New Roman"/>
          <w:bCs/>
          <w:kern w:val="0"/>
          <w:sz w:val="24"/>
        </w:rPr>
      </w:pPr>
    </w:p>
    <w:p w14:paraId="13CAA78F" w14:textId="77777777" w:rsidR="009B4CAE" w:rsidRPr="009B4CAE" w:rsidRDefault="009B4CAE" w:rsidP="009B4CAE">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9B4CAE" w:rsidRPr="009B4CAE" w14:paraId="0ACE47C5" w14:textId="77777777" w:rsidTr="009B4CAE">
        <w:trPr>
          <w:jc w:val="center"/>
        </w:trPr>
        <w:tc>
          <w:tcPr>
            <w:tcW w:w="2547" w:type="dxa"/>
            <w:vAlign w:val="center"/>
          </w:tcPr>
          <w:p w14:paraId="608AD018"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身体姿态</w:t>
            </w:r>
          </w:p>
        </w:tc>
        <w:tc>
          <w:tcPr>
            <w:tcW w:w="1984" w:type="dxa"/>
            <w:vAlign w:val="center"/>
          </w:tcPr>
          <w:p w14:paraId="485E1CEF" w14:textId="77777777" w:rsidR="009B4CAE" w:rsidRPr="009B4CAE" w:rsidRDefault="009B4CAE" w:rsidP="009B4CAE">
            <w:pPr>
              <w:widowControl/>
              <w:spacing w:beforeLines="50" w:before="156" w:afterLines="50" w:after="156" w:line="400" w:lineRule="exact"/>
              <w:ind w:firstLineChars="100" w:firstLine="210"/>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套路动作</w:t>
            </w:r>
          </w:p>
        </w:tc>
        <w:tc>
          <w:tcPr>
            <w:tcW w:w="2410" w:type="dxa"/>
            <w:vAlign w:val="center"/>
          </w:tcPr>
          <w:p w14:paraId="5D88CC19" w14:textId="77777777" w:rsidR="009B4CAE" w:rsidRPr="009B4CAE" w:rsidRDefault="009B4CAE" w:rsidP="009B4CAE">
            <w:pPr>
              <w:widowControl/>
              <w:spacing w:beforeLines="50" w:before="156" w:afterLines="50" w:after="156" w:line="400" w:lineRule="exact"/>
              <w:ind w:firstLineChars="300" w:firstLine="630"/>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乐感</w:t>
            </w:r>
          </w:p>
        </w:tc>
        <w:tc>
          <w:tcPr>
            <w:tcW w:w="1355" w:type="dxa"/>
            <w:vAlign w:val="center"/>
          </w:tcPr>
          <w:p w14:paraId="640ABBAA"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分值范围</w:t>
            </w:r>
          </w:p>
        </w:tc>
      </w:tr>
      <w:tr w:rsidR="009B4CAE" w:rsidRPr="009B4CAE" w14:paraId="77C8E110" w14:textId="77777777" w:rsidTr="009B4CAE">
        <w:trPr>
          <w:jc w:val="center"/>
        </w:trPr>
        <w:tc>
          <w:tcPr>
            <w:tcW w:w="2547" w:type="dxa"/>
            <w:vAlign w:val="center"/>
          </w:tcPr>
          <w:p w14:paraId="26A41055"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动作标准，姿态正确</w:t>
            </w:r>
          </w:p>
        </w:tc>
        <w:tc>
          <w:tcPr>
            <w:tcW w:w="1984" w:type="dxa"/>
            <w:vAlign w:val="center"/>
          </w:tcPr>
          <w:p w14:paraId="7F135674"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非常熟练、流畅、舞伴配合</w:t>
            </w:r>
            <w:r w:rsidRPr="009B4CAE">
              <w:rPr>
                <w:rFonts w:ascii="宋体" w:eastAsia="宋体" w:hAnsi="宋体" w:cs="宋体"/>
                <w:color w:val="000000"/>
                <w:kern w:val="0"/>
                <w:szCs w:val="21"/>
              </w:rPr>
              <w:t xml:space="preserve"> </w:t>
            </w:r>
            <w:r w:rsidRPr="009B4CAE">
              <w:rPr>
                <w:rFonts w:ascii="宋体" w:eastAsia="宋体" w:hAnsi="宋体" w:cs="宋体" w:hint="eastAsia"/>
                <w:color w:val="000000"/>
                <w:kern w:val="0"/>
                <w:szCs w:val="21"/>
              </w:rPr>
              <w:t>默契</w:t>
            </w:r>
          </w:p>
        </w:tc>
        <w:tc>
          <w:tcPr>
            <w:tcW w:w="2410" w:type="dxa"/>
            <w:vAlign w:val="center"/>
          </w:tcPr>
          <w:p w14:paraId="23E8AE95"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音乐与动作十分吻合</w:t>
            </w:r>
          </w:p>
        </w:tc>
        <w:tc>
          <w:tcPr>
            <w:tcW w:w="1355" w:type="dxa"/>
            <w:vAlign w:val="center"/>
          </w:tcPr>
          <w:p w14:paraId="307E4925"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90-100</w:t>
            </w:r>
          </w:p>
        </w:tc>
      </w:tr>
      <w:tr w:rsidR="009B4CAE" w:rsidRPr="009B4CAE" w14:paraId="7BCD2E21" w14:textId="77777777" w:rsidTr="009B4CAE">
        <w:trPr>
          <w:jc w:val="center"/>
        </w:trPr>
        <w:tc>
          <w:tcPr>
            <w:tcW w:w="2547" w:type="dxa"/>
            <w:vAlign w:val="center"/>
          </w:tcPr>
          <w:p w14:paraId="706F0DBC"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lastRenderedPageBreak/>
              <w:t>动作标准，姿态较正确</w:t>
            </w:r>
          </w:p>
        </w:tc>
        <w:tc>
          <w:tcPr>
            <w:tcW w:w="1984" w:type="dxa"/>
            <w:vAlign w:val="center"/>
          </w:tcPr>
          <w:p w14:paraId="6F6EC6ED"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较流畅、熟练、舞伴配合较默契</w:t>
            </w:r>
          </w:p>
        </w:tc>
        <w:tc>
          <w:tcPr>
            <w:tcW w:w="2410" w:type="dxa"/>
            <w:vAlign w:val="center"/>
          </w:tcPr>
          <w:p w14:paraId="07D26604"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音乐与动作较吻合</w:t>
            </w:r>
          </w:p>
        </w:tc>
        <w:tc>
          <w:tcPr>
            <w:tcW w:w="1355" w:type="dxa"/>
            <w:vAlign w:val="center"/>
          </w:tcPr>
          <w:p w14:paraId="2DA05AEE"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80-89</w:t>
            </w:r>
          </w:p>
        </w:tc>
      </w:tr>
      <w:tr w:rsidR="009B4CAE" w:rsidRPr="009B4CAE" w14:paraId="534F99B1" w14:textId="77777777" w:rsidTr="009B4CAE">
        <w:trPr>
          <w:jc w:val="center"/>
        </w:trPr>
        <w:tc>
          <w:tcPr>
            <w:tcW w:w="2547" w:type="dxa"/>
            <w:vAlign w:val="center"/>
          </w:tcPr>
          <w:p w14:paraId="096FA7BF"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动作不够标准，姿态一般</w:t>
            </w:r>
          </w:p>
        </w:tc>
        <w:tc>
          <w:tcPr>
            <w:tcW w:w="1984" w:type="dxa"/>
            <w:vAlign w:val="center"/>
          </w:tcPr>
          <w:p w14:paraId="1B82F253"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熟练、流畅度一般</w:t>
            </w:r>
          </w:p>
        </w:tc>
        <w:tc>
          <w:tcPr>
            <w:tcW w:w="2410" w:type="dxa"/>
            <w:vAlign w:val="center"/>
          </w:tcPr>
          <w:p w14:paraId="09972CE0"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音乐与动作基本吻合</w:t>
            </w:r>
          </w:p>
        </w:tc>
        <w:tc>
          <w:tcPr>
            <w:tcW w:w="1355" w:type="dxa"/>
            <w:vAlign w:val="center"/>
          </w:tcPr>
          <w:p w14:paraId="07A1553C"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70-79</w:t>
            </w:r>
          </w:p>
        </w:tc>
      </w:tr>
      <w:tr w:rsidR="009B4CAE" w:rsidRPr="009B4CAE" w14:paraId="1E91A78D" w14:textId="77777777" w:rsidTr="009B4CAE">
        <w:trPr>
          <w:jc w:val="center"/>
        </w:trPr>
        <w:tc>
          <w:tcPr>
            <w:tcW w:w="2547" w:type="dxa"/>
            <w:vAlign w:val="center"/>
          </w:tcPr>
          <w:p w14:paraId="2FC7EC4D"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动作不够标准，姿态较差</w:t>
            </w:r>
          </w:p>
        </w:tc>
        <w:tc>
          <w:tcPr>
            <w:tcW w:w="1984" w:type="dxa"/>
            <w:vAlign w:val="center"/>
          </w:tcPr>
          <w:p w14:paraId="23C10703"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较生疏</w:t>
            </w:r>
          </w:p>
        </w:tc>
        <w:tc>
          <w:tcPr>
            <w:tcW w:w="2410" w:type="dxa"/>
            <w:vAlign w:val="center"/>
          </w:tcPr>
          <w:p w14:paraId="3F36CB0B"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音乐与动作吻合度较差</w:t>
            </w:r>
          </w:p>
        </w:tc>
        <w:tc>
          <w:tcPr>
            <w:tcW w:w="1355" w:type="dxa"/>
            <w:vAlign w:val="center"/>
          </w:tcPr>
          <w:p w14:paraId="34182D61"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60-69</w:t>
            </w:r>
          </w:p>
        </w:tc>
      </w:tr>
      <w:tr w:rsidR="009B4CAE" w:rsidRPr="009B4CAE" w14:paraId="1C8A2728" w14:textId="77777777" w:rsidTr="009B4CAE">
        <w:trPr>
          <w:trHeight w:val="505"/>
          <w:jc w:val="center"/>
        </w:trPr>
        <w:tc>
          <w:tcPr>
            <w:tcW w:w="2547" w:type="dxa"/>
            <w:vAlign w:val="center"/>
          </w:tcPr>
          <w:p w14:paraId="54D5805F"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动作</w:t>
            </w:r>
            <w:proofErr w:type="gramStart"/>
            <w:r w:rsidRPr="009B4CAE">
              <w:rPr>
                <w:rFonts w:ascii="宋体" w:eastAsia="宋体" w:hAnsi="宋体" w:cs="宋体" w:hint="eastAsia"/>
                <w:color w:val="000000"/>
                <w:kern w:val="0"/>
                <w:szCs w:val="21"/>
              </w:rPr>
              <w:t>不</w:t>
            </w:r>
            <w:proofErr w:type="gramEnd"/>
            <w:r w:rsidRPr="009B4CAE">
              <w:rPr>
                <w:rFonts w:ascii="宋体" w:eastAsia="宋体" w:hAnsi="宋体" w:cs="宋体" w:hint="eastAsia"/>
                <w:color w:val="000000"/>
                <w:kern w:val="0"/>
                <w:szCs w:val="21"/>
              </w:rPr>
              <w:t>标准，姿态差</w:t>
            </w:r>
          </w:p>
        </w:tc>
        <w:tc>
          <w:tcPr>
            <w:tcW w:w="1984" w:type="dxa"/>
            <w:vAlign w:val="center"/>
          </w:tcPr>
          <w:p w14:paraId="1DAAA68A"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不能按规定完成动作</w:t>
            </w:r>
          </w:p>
        </w:tc>
        <w:tc>
          <w:tcPr>
            <w:tcW w:w="2410" w:type="dxa"/>
            <w:vAlign w:val="center"/>
          </w:tcPr>
          <w:p w14:paraId="36C3B06F"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音乐与动作十分步吻合</w:t>
            </w:r>
          </w:p>
        </w:tc>
        <w:tc>
          <w:tcPr>
            <w:tcW w:w="1355" w:type="dxa"/>
            <w:vAlign w:val="center"/>
          </w:tcPr>
          <w:p w14:paraId="0C5463ED" w14:textId="77777777" w:rsidR="009B4CAE" w:rsidRPr="009B4CAE" w:rsidRDefault="009B4CAE" w:rsidP="009B4CAE">
            <w:pPr>
              <w:widowControl/>
              <w:spacing w:beforeLines="50" w:before="156" w:afterLines="50" w:after="156" w:line="400" w:lineRule="exact"/>
              <w:jc w:val="center"/>
              <w:rPr>
                <w:rFonts w:ascii="宋体" w:eastAsia="宋体" w:hAnsi="宋体" w:cs="宋体"/>
                <w:color w:val="000000"/>
                <w:kern w:val="0"/>
                <w:szCs w:val="21"/>
              </w:rPr>
            </w:pPr>
            <w:r w:rsidRPr="009B4CAE">
              <w:rPr>
                <w:rFonts w:ascii="宋体" w:eastAsia="宋体" w:hAnsi="宋体" w:cs="宋体" w:hint="eastAsia"/>
                <w:color w:val="000000"/>
                <w:kern w:val="0"/>
                <w:szCs w:val="21"/>
              </w:rPr>
              <w:t>60以下</w:t>
            </w:r>
          </w:p>
        </w:tc>
      </w:tr>
    </w:tbl>
    <w:p w14:paraId="7B0CFBE0" w14:textId="77777777" w:rsidR="009B4CAE" w:rsidRPr="009B4CAE" w:rsidRDefault="009B4CAE" w:rsidP="009B4CAE">
      <w:pPr>
        <w:adjustRightInd w:val="0"/>
        <w:snapToGrid w:val="0"/>
        <w:spacing w:line="500" w:lineRule="exact"/>
        <w:rPr>
          <w:rFonts w:ascii="黑体" w:eastAsia="黑体" w:hAnsi="黑体" w:cs="Times New Roman"/>
          <w:sz w:val="28"/>
          <w:szCs w:val="28"/>
        </w:rPr>
      </w:pPr>
      <w:r w:rsidRPr="009B4CAE">
        <w:rPr>
          <w:rFonts w:ascii="宋体" w:eastAsia="宋体" w:hAnsi="Calibri" w:cs="Times New Roman" w:hint="eastAsia"/>
          <w:bCs/>
          <w:kern w:val="0"/>
          <w:sz w:val="24"/>
        </w:rPr>
        <w:t xml:space="preserve">                                                                      </w:t>
      </w:r>
    </w:p>
    <w:p w14:paraId="3C27B21E" w14:textId="77777777" w:rsidR="009B4CAE" w:rsidRPr="009B4CAE" w:rsidRDefault="009B4CAE" w:rsidP="009B4CAE">
      <w:pPr>
        <w:spacing w:beforeLines="50" w:before="156" w:afterLines="50" w:after="156" w:line="440" w:lineRule="exact"/>
        <w:ind w:firstLineChars="200" w:firstLine="560"/>
        <w:rPr>
          <w:rFonts w:ascii="黑体" w:eastAsia="黑体" w:hAnsi="黑体" w:cs="Times New Roman"/>
          <w:sz w:val="28"/>
          <w:szCs w:val="28"/>
        </w:rPr>
      </w:pPr>
      <w:r w:rsidRPr="009B4CAE">
        <w:rPr>
          <w:rFonts w:ascii="黑体" w:eastAsia="黑体" w:hAnsi="黑体" w:cs="Times New Roman" w:hint="eastAsia"/>
          <w:sz w:val="28"/>
          <w:szCs w:val="28"/>
        </w:rPr>
        <w:t>第四学期</w:t>
      </w:r>
    </w:p>
    <w:p w14:paraId="59E8F88C" w14:textId="77777777" w:rsidR="009B4CAE" w:rsidRPr="009B4CAE" w:rsidRDefault="009B4CAE" w:rsidP="009B4CAE">
      <w:pPr>
        <w:adjustRightInd w:val="0"/>
        <w:snapToGrid w:val="0"/>
        <w:spacing w:line="500" w:lineRule="exact"/>
        <w:jc w:val="center"/>
        <w:rPr>
          <w:rFonts w:ascii="宋体" w:eastAsia="宋体" w:hAnsi="Calibri" w:cs="Times New Roman"/>
          <w:b/>
          <w:kern w:val="0"/>
          <w:sz w:val="24"/>
        </w:rPr>
      </w:pPr>
      <w:r w:rsidRPr="009B4CAE">
        <w:rPr>
          <w:rFonts w:ascii="宋体" w:eastAsia="宋体" w:hAnsi="Calibri" w:cs="Times New Roman" w:hint="eastAsia"/>
          <w:b/>
          <w:kern w:val="0"/>
          <w:sz w:val="24"/>
        </w:rPr>
        <w:t>期中考试</w:t>
      </w:r>
    </w:p>
    <w:p w14:paraId="5993EFEB" w14:textId="77777777" w:rsidR="009B4CAE" w:rsidRPr="009B4CAE" w:rsidRDefault="009B4CAE" w:rsidP="009B4CAE">
      <w:pPr>
        <w:adjustRightInd w:val="0"/>
        <w:snapToGrid w:val="0"/>
        <w:spacing w:line="50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1.课程考核目标:</w:t>
      </w:r>
      <w:r w:rsidRPr="009B4CAE">
        <w:rPr>
          <w:rFonts w:ascii="宋体" w:eastAsia="宋体" w:hAnsi="Calibri" w:cs="Times New Roman" w:hint="eastAsia"/>
          <w:bCs/>
          <w:kern w:val="0"/>
          <w:sz w:val="24"/>
        </w:rPr>
        <w:t>通过考核检验交谊舞北京平</w:t>
      </w:r>
      <w:proofErr w:type="gramStart"/>
      <w:r w:rsidRPr="009B4CAE">
        <w:rPr>
          <w:rFonts w:ascii="宋体" w:eastAsia="宋体" w:hAnsi="Calibri" w:cs="Times New Roman" w:hint="eastAsia"/>
          <w:bCs/>
          <w:kern w:val="0"/>
          <w:sz w:val="24"/>
        </w:rPr>
        <w:t>四教学</w:t>
      </w:r>
      <w:proofErr w:type="gramEnd"/>
      <w:r w:rsidRPr="009B4CAE">
        <w:rPr>
          <w:rFonts w:ascii="宋体" w:eastAsia="宋体" w:hAnsi="Calibri" w:cs="Times New Roman" w:hint="eastAsia"/>
          <w:bCs/>
          <w:kern w:val="0"/>
          <w:sz w:val="24"/>
        </w:rPr>
        <w:t>效果和学生掌握情况，让学生了解选项课内容和科学体育锻炼方式方法。</w:t>
      </w:r>
    </w:p>
    <w:p w14:paraId="1B67FB24" w14:textId="77777777" w:rsidR="009B4CAE" w:rsidRPr="009B4CAE" w:rsidRDefault="009B4CAE" w:rsidP="009B4CAE">
      <w:pPr>
        <w:adjustRightInd w:val="0"/>
        <w:snapToGrid w:val="0"/>
        <w:spacing w:line="50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2.课程考核的内容：</w:t>
      </w:r>
      <w:r w:rsidRPr="009B4CAE">
        <w:rPr>
          <w:rFonts w:ascii="宋体" w:eastAsia="宋体" w:hAnsi="Calibri" w:cs="Times New Roman" w:hint="eastAsia"/>
          <w:bCs/>
          <w:kern w:val="0"/>
          <w:sz w:val="24"/>
        </w:rPr>
        <w:t>北京平</w:t>
      </w:r>
      <w:proofErr w:type="gramStart"/>
      <w:r w:rsidRPr="009B4CAE">
        <w:rPr>
          <w:rFonts w:ascii="宋体" w:eastAsia="宋体" w:hAnsi="Calibri" w:cs="Times New Roman" w:hint="eastAsia"/>
          <w:bCs/>
          <w:kern w:val="0"/>
          <w:sz w:val="24"/>
        </w:rPr>
        <w:t>四基本步</w:t>
      </w:r>
      <w:proofErr w:type="gramEnd"/>
      <w:r w:rsidRPr="009B4CAE">
        <w:rPr>
          <w:rFonts w:ascii="宋体" w:eastAsia="宋体" w:hAnsi="Calibri" w:cs="Times New Roman" w:hint="eastAsia"/>
          <w:bCs/>
          <w:kern w:val="0"/>
          <w:sz w:val="24"/>
        </w:rPr>
        <w:t>和单手花样</w:t>
      </w:r>
    </w:p>
    <w:p w14:paraId="7F1A55B6" w14:textId="77777777" w:rsidR="009B4CAE" w:rsidRPr="009B4CAE" w:rsidRDefault="009B4CAE" w:rsidP="009B4CAE">
      <w:pPr>
        <w:adjustRightInd w:val="0"/>
        <w:snapToGrid w:val="0"/>
        <w:spacing w:line="50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3.课程考核方式：</w:t>
      </w:r>
      <w:r w:rsidRPr="009B4CAE">
        <w:rPr>
          <w:rFonts w:ascii="宋体" w:eastAsia="宋体" w:hAnsi="Calibri" w:cs="Times New Roman" w:hint="eastAsia"/>
          <w:bCs/>
          <w:kern w:val="0"/>
          <w:sz w:val="24"/>
        </w:rPr>
        <w:t>规定套路表演，音乐可自选，</w:t>
      </w:r>
      <w:r w:rsidRPr="009B4CAE">
        <w:rPr>
          <w:rFonts w:ascii="Calibri" w:eastAsia="宋体" w:hAnsi="Calibri" w:cs="宋体" w:hint="eastAsia"/>
          <w:color w:val="000000"/>
          <w:kern w:val="0"/>
          <w:sz w:val="24"/>
        </w:rPr>
        <w:t>主要以韵律、姿态、步伐、舞伴配合等方面评分。</w:t>
      </w:r>
    </w:p>
    <w:p w14:paraId="30572BD1" w14:textId="77777777" w:rsidR="009B4CAE" w:rsidRPr="009B4CAE" w:rsidRDefault="009B4CAE" w:rsidP="009B4CAE">
      <w:pPr>
        <w:adjustRightInd w:val="0"/>
        <w:snapToGrid w:val="0"/>
        <w:spacing w:line="50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4.成绩构成及分值：</w:t>
      </w:r>
      <w:r w:rsidRPr="009B4CAE">
        <w:rPr>
          <w:rFonts w:ascii="Calibri" w:eastAsia="宋体" w:hAnsi="Calibri" w:cs="宋体" w:hint="eastAsia"/>
          <w:color w:val="000000"/>
          <w:kern w:val="0"/>
          <w:sz w:val="24"/>
        </w:rPr>
        <w:t>成绩考核采用百分制</w:t>
      </w:r>
      <w:r w:rsidRPr="009B4CAE">
        <w:rPr>
          <w:rFonts w:ascii="宋体" w:eastAsia="宋体" w:hAnsi="Calibri" w:cs="Times New Roman" w:hint="eastAsia"/>
          <w:bCs/>
          <w:kern w:val="0"/>
          <w:sz w:val="24"/>
        </w:rPr>
        <w:t>，</w:t>
      </w:r>
      <w:r w:rsidRPr="009B4CAE">
        <w:rPr>
          <w:rFonts w:ascii="宋体" w:eastAsia="宋体" w:hAnsi="宋体" w:cs="宋体"/>
          <w:color w:val="000000"/>
          <w:kern w:val="0"/>
          <w:sz w:val="24"/>
        </w:rPr>
        <w:t>90</w:t>
      </w:r>
      <w:r w:rsidRPr="009B4CAE">
        <w:rPr>
          <w:rFonts w:ascii="Calibri" w:eastAsia="宋体" w:hAnsi="Calibri" w:cs="宋体" w:hint="eastAsia"/>
          <w:color w:val="000000"/>
          <w:kern w:val="0"/>
          <w:sz w:val="24"/>
        </w:rPr>
        <w:t>分以上为优秀；</w:t>
      </w:r>
      <w:r w:rsidRPr="009B4CAE">
        <w:rPr>
          <w:rFonts w:ascii="宋体" w:eastAsia="宋体" w:hAnsi="宋体" w:cs="宋体"/>
          <w:color w:val="000000"/>
          <w:kern w:val="0"/>
          <w:sz w:val="24"/>
        </w:rPr>
        <w:t>80</w:t>
      </w:r>
      <w:r w:rsidRPr="009B4CAE">
        <w:rPr>
          <w:rFonts w:ascii="Calibri" w:eastAsia="宋体" w:hAnsi="Calibri" w:cs="宋体" w:hint="eastAsia"/>
          <w:color w:val="000000"/>
          <w:kern w:val="0"/>
          <w:sz w:val="24"/>
        </w:rPr>
        <w:t>—</w:t>
      </w:r>
      <w:r w:rsidRPr="009B4CAE">
        <w:rPr>
          <w:rFonts w:ascii="宋体" w:eastAsia="宋体" w:hAnsi="宋体" w:cs="宋体"/>
          <w:color w:val="000000"/>
          <w:kern w:val="0"/>
          <w:sz w:val="24"/>
        </w:rPr>
        <w:t>89</w:t>
      </w:r>
      <w:r w:rsidRPr="009B4CAE">
        <w:rPr>
          <w:rFonts w:ascii="Calibri" w:eastAsia="宋体" w:hAnsi="Calibri" w:cs="宋体" w:hint="eastAsia"/>
          <w:color w:val="000000"/>
          <w:kern w:val="0"/>
          <w:sz w:val="24"/>
        </w:rPr>
        <w:t>分为良好；</w:t>
      </w:r>
      <w:r w:rsidRPr="009B4CAE">
        <w:rPr>
          <w:rFonts w:ascii="宋体" w:eastAsia="宋体" w:hAnsi="宋体" w:cs="宋体"/>
          <w:color w:val="000000"/>
          <w:kern w:val="0"/>
          <w:sz w:val="24"/>
        </w:rPr>
        <w:t>70</w:t>
      </w:r>
      <w:r w:rsidRPr="009B4CAE">
        <w:rPr>
          <w:rFonts w:ascii="Calibri" w:eastAsia="宋体" w:hAnsi="Calibri" w:cs="宋体" w:hint="eastAsia"/>
          <w:color w:val="000000"/>
          <w:kern w:val="0"/>
          <w:sz w:val="24"/>
        </w:rPr>
        <w:t>—</w:t>
      </w:r>
      <w:r w:rsidRPr="009B4CAE">
        <w:rPr>
          <w:rFonts w:ascii="宋体" w:eastAsia="宋体" w:hAnsi="宋体" w:cs="宋体"/>
          <w:color w:val="000000"/>
          <w:kern w:val="0"/>
          <w:sz w:val="24"/>
        </w:rPr>
        <w:t>79</w:t>
      </w:r>
      <w:r w:rsidRPr="009B4CAE">
        <w:rPr>
          <w:rFonts w:ascii="Calibri" w:eastAsia="宋体" w:hAnsi="Calibri" w:cs="宋体" w:hint="eastAsia"/>
          <w:color w:val="000000"/>
          <w:kern w:val="0"/>
          <w:sz w:val="24"/>
        </w:rPr>
        <w:t>为中等；</w:t>
      </w:r>
      <w:r w:rsidRPr="009B4CAE">
        <w:rPr>
          <w:rFonts w:ascii="宋体" w:eastAsia="宋体" w:hAnsi="宋体" w:cs="宋体"/>
          <w:color w:val="000000"/>
          <w:kern w:val="0"/>
          <w:sz w:val="24"/>
        </w:rPr>
        <w:t>60</w:t>
      </w:r>
      <w:r w:rsidRPr="009B4CAE">
        <w:rPr>
          <w:rFonts w:ascii="Calibri" w:eastAsia="宋体" w:hAnsi="Calibri" w:cs="宋体" w:hint="eastAsia"/>
          <w:color w:val="000000"/>
          <w:kern w:val="0"/>
          <w:sz w:val="24"/>
        </w:rPr>
        <w:t>—</w:t>
      </w:r>
      <w:r w:rsidRPr="009B4CAE">
        <w:rPr>
          <w:rFonts w:ascii="宋体" w:eastAsia="宋体" w:hAnsi="宋体" w:cs="宋体"/>
          <w:color w:val="000000"/>
          <w:kern w:val="0"/>
          <w:sz w:val="24"/>
        </w:rPr>
        <w:t>69</w:t>
      </w:r>
      <w:r w:rsidRPr="009B4CAE">
        <w:rPr>
          <w:rFonts w:ascii="Calibri" w:eastAsia="宋体" w:hAnsi="Calibri" w:cs="宋体" w:hint="eastAsia"/>
          <w:color w:val="000000"/>
          <w:kern w:val="0"/>
          <w:sz w:val="24"/>
        </w:rPr>
        <w:t>为及格；</w:t>
      </w:r>
      <w:r w:rsidRPr="009B4CAE">
        <w:rPr>
          <w:rFonts w:ascii="宋体" w:eastAsia="宋体" w:hAnsi="宋体" w:cs="宋体"/>
          <w:color w:val="000000"/>
          <w:kern w:val="0"/>
          <w:sz w:val="24"/>
        </w:rPr>
        <w:t>60</w:t>
      </w:r>
      <w:r w:rsidRPr="009B4CAE">
        <w:rPr>
          <w:rFonts w:ascii="Calibri" w:eastAsia="宋体" w:hAnsi="Calibri" w:cs="宋体" w:hint="eastAsia"/>
          <w:color w:val="000000"/>
          <w:kern w:val="0"/>
          <w:sz w:val="24"/>
        </w:rPr>
        <w:t>分以下为不及格。</w:t>
      </w:r>
    </w:p>
    <w:p w14:paraId="1B38BEC7" w14:textId="77777777" w:rsidR="009B4CAE" w:rsidRPr="009B4CAE" w:rsidRDefault="009B4CAE" w:rsidP="009B4CAE">
      <w:pPr>
        <w:adjustRightInd w:val="0"/>
        <w:snapToGrid w:val="0"/>
        <w:spacing w:line="500" w:lineRule="exact"/>
        <w:ind w:firstLineChars="200" w:firstLine="482"/>
        <w:rPr>
          <w:rFonts w:ascii="宋体" w:eastAsia="宋体" w:hAnsi="Calibri" w:cs="Times New Roman"/>
          <w:b/>
          <w:kern w:val="0"/>
          <w:sz w:val="24"/>
        </w:rPr>
      </w:pPr>
      <w:r w:rsidRPr="009B4CAE">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9B4CAE" w:rsidRPr="009B4CAE" w14:paraId="096C3552" w14:textId="77777777" w:rsidTr="009B4CAE">
        <w:trPr>
          <w:jc w:val="center"/>
        </w:trPr>
        <w:tc>
          <w:tcPr>
            <w:tcW w:w="2547" w:type="dxa"/>
          </w:tcPr>
          <w:p w14:paraId="6AFBA791"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身体姿态</w:t>
            </w:r>
          </w:p>
        </w:tc>
        <w:tc>
          <w:tcPr>
            <w:tcW w:w="1984" w:type="dxa"/>
          </w:tcPr>
          <w:p w14:paraId="53584642" w14:textId="77777777" w:rsidR="009B4CAE" w:rsidRPr="009B4CAE" w:rsidRDefault="009B4CAE" w:rsidP="009B4CAE">
            <w:pPr>
              <w:widowControl/>
              <w:spacing w:beforeLines="50" w:before="156" w:afterLines="50" w:after="156" w:line="400" w:lineRule="exact"/>
              <w:ind w:firstLineChars="100" w:firstLine="210"/>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套路动作</w:t>
            </w:r>
          </w:p>
        </w:tc>
        <w:tc>
          <w:tcPr>
            <w:tcW w:w="2410" w:type="dxa"/>
          </w:tcPr>
          <w:p w14:paraId="7C8C310F" w14:textId="77777777" w:rsidR="009B4CAE" w:rsidRPr="009B4CAE" w:rsidRDefault="009B4CAE" w:rsidP="009B4CAE">
            <w:pPr>
              <w:widowControl/>
              <w:spacing w:beforeLines="50" w:before="156" w:afterLines="50" w:after="156" w:line="400" w:lineRule="exact"/>
              <w:ind w:firstLineChars="300" w:firstLine="630"/>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乐感</w:t>
            </w:r>
          </w:p>
        </w:tc>
        <w:tc>
          <w:tcPr>
            <w:tcW w:w="1355" w:type="dxa"/>
          </w:tcPr>
          <w:p w14:paraId="2942F98C"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分值范围</w:t>
            </w:r>
          </w:p>
        </w:tc>
      </w:tr>
      <w:tr w:rsidR="009B4CAE" w:rsidRPr="009B4CAE" w14:paraId="3ABE8D2B" w14:textId="77777777" w:rsidTr="009B4CAE">
        <w:trPr>
          <w:jc w:val="center"/>
        </w:trPr>
        <w:tc>
          <w:tcPr>
            <w:tcW w:w="2547" w:type="dxa"/>
          </w:tcPr>
          <w:p w14:paraId="17464CE1"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动作标准，姿态正确</w:t>
            </w:r>
          </w:p>
        </w:tc>
        <w:tc>
          <w:tcPr>
            <w:tcW w:w="1984" w:type="dxa"/>
          </w:tcPr>
          <w:p w14:paraId="7F000F27"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非常熟练、流畅、舞伴配合</w:t>
            </w:r>
            <w:r w:rsidRPr="009B4CAE">
              <w:rPr>
                <w:rFonts w:ascii="宋体" w:eastAsia="宋体" w:hAnsi="宋体" w:cs="宋体"/>
                <w:color w:val="000000"/>
                <w:kern w:val="0"/>
                <w:szCs w:val="21"/>
              </w:rPr>
              <w:t xml:space="preserve"> </w:t>
            </w:r>
            <w:r w:rsidRPr="009B4CAE">
              <w:rPr>
                <w:rFonts w:ascii="宋体" w:eastAsia="宋体" w:hAnsi="宋体" w:cs="宋体" w:hint="eastAsia"/>
                <w:color w:val="000000"/>
                <w:kern w:val="0"/>
                <w:szCs w:val="21"/>
              </w:rPr>
              <w:t>默契</w:t>
            </w:r>
          </w:p>
        </w:tc>
        <w:tc>
          <w:tcPr>
            <w:tcW w:w="2410" w:type="dxa"/>
          </w:tcPr>
          <w:p w14:paraId="40524CF2"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音乐与动作十分吻合</w:t>
            </w:r>
          </w:p>
        </w:tc>
        <w:tc>
          <w:tcPr>
            <w:tcW w:w="1355" w:type="dxa"/>
          </w:tcPr>
          <w:p w14:paraId="305EAA78"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90-100</w:t>
            </w:r>
          </w:p>
        </w:tc>
      </w:tr>
      <w:tr w:rsidR="009B4CAE" w:rsidRPr="009B4CAE" w14:paraId="14BBDC96" w14:textId="77777777" w:rsidTr="009B4CAE">
        <w:trPr>
          <w:jc w:val="center"/>
        </w:trPr>
        <w:tc>
          <w:tcPr>
            <w:tcW w:w="2547" w:type="dxa"/>
          </w:tcPr>
          <w:p w14:paraId="3B3A80B7"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动作标准，姿态较正确</w:t>
            </w:r>
          </w:p>
        </w:tc>
        <w:tc>
          <w:tcPr>
            <w:tcW w:w="1984" w:type="dxa"/>
          </w:tcPr>
          <w:p w14:paraId="4E68BB01"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较流畅、熟练、舞伴配合较默契</w:t>
            </w:r>
          </w:p>
        </w:tc>
        <w:tc>
          <w:tcPr>
            <w:tcW w:w="2410" w:type="dxa"/>
          </w:tcPr>
          <w:p w14:paraId="22DAFCFE"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音乐与动作较吻合</w:t>
            </w:r>
          </w:p>
        </w:tc>
        <w:tc>
          <w:tcPr>
            <w:tcW w:w="1355" w:type="dxa"/>
          </w:tcPr>
          <w:p w14:paraId="462857C4"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80-89</w:t>
            </w:r>
          </w:p>
        </w:tc>
      </w:tr>
      <w:tr w:rsidR="009B4CAE" w:rsidRPr="009B4CAE" w14:paraId="26FB2286" w14:textId="77777777" w:rsidTr="009B4CAE">
        <w:trPr>
          <w:jc w:val="center"/>
        </w:trPr>
        <w:tc>
          <w:tcPr>
            <w:tcW w:w="2547" w:type="dxa"/>
          </w:tcPr>
          <w:p w14:paraId="060A2CEE"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动作不够标准，姿态一般</w:t>
            </w:r>
          </w:p>
        </w:tc>
        <w:tc>
          <w:tcPr>
            <w:tcW w:w="1984" w:type="dxa"/>
          </w:tcPr>
          <w:p w14:paraId="4F6A500C"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熟练、流畅度一般</w:t>
            </w:r>
          </w:p>
        </w:tc>
        <w:tc>
          <w:tcPr>
            <w:tcW w:w="2410" w:type="dxa"/>
          </w:tcPr>
          <w:p w14:paraId="3C8DAEEE"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音乐与动作基本吻合</w:t>
            </w:r>
          </w:p>
        </w:tc>
        <w:tc>
          <w:tcPr>
            <w:tcW w:w="1355" w:type="dxa"/>
          </w:tcPr>
          <w:p w14:paraId="227CC0BF"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70-79</w:t>
            </w:r>
          </w:p>
        </w:tc>
      </w:tr>
      <w:tr w:rsidR="009B4CAE" w:rsidRPr="009B4CAE" w14:paraId="6059570C" w14:textId="77777777" w:rsidTr="009B4CAE">
        <w:trPr>
          <w:jc w:val="center"/>
        </w:trPr>
        <w:tc>
          <w:tcPr>
            <w:tcW w:w="2547" w:type="dxa"/>
          </w:tcPr>
          <w:p w14:paraId="0B683EEE"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lastRenderedPageBreak/>
              <w:t>动作不够标准，姿态较差</w:t>
            </w:r>
          </w:p>
        </w:tc>
        <w:tc>
          <w:tcPr>
            <w:tcW w:w="1984" w:type="dxa"/>
          </w:tcPr>
          <w:p w14:paraId="3942F88B"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较生疏</w:t>
            </w:r>
          </w:p>
        </w:tc>
        <w:tc>
          <w:tcPr>
            <w:tcW w:w="2410" w:type="dxa"/>
          </w:tcPr>
          <w:p w14:paraId="5945BC4B"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音乐与动作吻合度较差</w:t>
            </w:r>
          </w:p>
        </w:tc>
        <w:tc>
          <w:tcPr>
            <w:tcW w:w="1355" w:type="dxa"/>
          </w:tcPr>
          <w:p w14:paraId="6355743E"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60-69</w:t>
            </w:r>
          </w:p>
        </w:tc>
      </w:tr>
      <w:tr w:rsidR="009B4CAE" w:rsidRPr="009B4CAE" w14:paraId="5BA978D7" w14:textId="77777777" w:rsidTr="009B4CAE">
        <w:trPr>
          <w:trHeight w:val="505"/>
          <w:jc w:val="center"/>
        </w:trPr>
        <w:tc>
          <w:tcPr>
            <w:tcW w:w="2547" w:type="dxa"/>
          </w:tcPr>
          <w:p w14:paraId="5E6D501C"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w:t>
            </w:r>
            <w:proofErr w:type="gramStart"/>
            <w:r w:rsidRPr="009B4CAE">
              <w:rPr>
                <w:rFonts w:ascii="宋体" w:eastAsia="宋体" w:hAnsi="宋体" w:cs="宋体" w:hint="eastAsia"/>
                <w:color w:val="000000"/>
                <w:kern w:val="0"/>
                <w:szCs w:val="21"/>
              </w:rPr>
              <w:t>不</w:t>
            </w:r>
            <w:proofErr w:type="gramEnd"/>
            <w:r w:rsidRPr="009B4CAE">
              <w:rPr>
                <w:rFonts w:ascii="宋体" w:eastAsia="宋体" w:hAnsi="宋体" w:cs="宋体" w:hint="eastAsia"/>
                <w:color w:val="000000"/>
                <w:kern w:val="0"/>
                <w:szCs w:val="21"/>
              </w:rPr>
              <w:t>标准，姿态差</w:t>
            </w:r>
          </w:p>
        </w:tc>
        <w:tc>
          <w:tcPr>
            <w:tcW w:w="1984" w:type="dxa"/>
          </w:tcPr>
          <w:p w14:paraId="22A71977"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不能按规定完成动作</w:t>
            </w:r>
          </w:p>
        </w:tc>
        <w:tc>
          <w:tcPr>
            <w:tcW w:w="2410" w:type="dxa"/>
          </w:tcPr>
          <w:p w14:paraId="7F88B528"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音乐与动作十分步吻合</w:t>
            </w:r>
          </w:p>
        </w:tc>
        <w:tc>
          <w:tcPr>
            <w:tcW w:w="1355" w:type="dxa"/>
          </w:tcPr>
          <w:p w14:paraId="3A9AB1F3"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60以下</w:t>
            </w:r>
          </w:p>
        </w:tc>
      </w:tr>
    </w:tbl>
    <w:p w14:paraId="0F8DA77A" w14:textId="77777777" w:rsidR="009B4CAE" w:rsidRPr="009B4CAE" w:rsidRDefault="009B4CAE" w:rsidP="009B4CAE">
      <w:pPr>
        <w:adjustRightInd w:val="0"/>
        <w:snapToGrid w:val="0"/>
        <w:spacing w:line="500" w:lineRule="exact"/>
        <w:rPr>
          <w:rFonts w:ascii="宋体" w:eastAsia="宋体" w:hAnsi="Calibri" w:cs="Times New Roman"/>
          <w:bCs/>
          <w:kern w:val="0"/>
          <w:sz w:val="24"/>
        </w:rPr>
      </w:pPr>
    </w:p>
    <w:p w14:paraId="485E9EDA" w14:textId="77777777" w:rsidR="009B4CAE" w:rsidRPr="009B4CAE" w:rsidRDefault="009B4CAE" w:rsidP="009B4CAE">
      <w:pPr>
        <w:adjustRightInd w:val="0"/>
        <w:snapToGrid w:val="0"/>
        <w:spacing w:line="500" w:lineRule="exact"/>
        <w:jc w:val="center"/>
        <w:rPr>
          <w:rFonts w:ascii="宋体" w:eastAsia="宋体" w:hAnsi="Calibri" w:cs="Times New Roman"/>
          <w:b/>
          <w:kern w:val="0"/>
          <w:sz w:val="24"/>
        </w:rPr>
      </w:pPr>
      <w:r w:rsidRPr="009B4CAE">
        <w:rPr>
          <w:rFonts w:ascii="宋体" w:eastAsia="宋体" w:hAnsi="Calibri" w:cs="Times New Roman" w:hint="eastAsia"/>
          <w:b/>
          <w:kern w:val="0"/>
          <w:sz w:val="24"/>
        </w:rPr>
        <w:t>期末考试</w:t>
      </w:r>
    </w:p>
    <w:p w14:paraId="7100FF7D" w14:textId="77777777" w:rsidR="009B4CAE" w:rsidRPr="009B4CAE" w:rsidRDefault="009B4CAE" w:rsidP="009B4CAE">
      <w:pPr>
        <w:adjustRightInd w:val="0"/>
        <w:snapToGrid w:val="0"/>
        <w:spacing w:line="50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1.课程考核目标:</w:t>
      </w:r>
      <w:r w:rsidRPr="009B4CAE">
        <w:rPr>
          <w:rFonts w:ascii="宋体" w:eastAsia="宋体" w:hAnsi="Calibri" w:cs="Times New Roman" w:hint="eastAsia"/>
          <w:bCs/>
          <w:kern w:val="0"/>
          <w:sz w:val="24"/>
        </w:rPr>
        <w:t>通过考核检验交谊舞北京平</w:t>
      </w:r>
      <w:proofErr w:type="gramStart"/>
      <w:r w:rsidRPr="009B4CAE">
        <w:rPr>
          <w:rFonts w:ascii="宋体" w:eastAsia="宋体" w:hAnsi="Calibri" w:cs="Times New Roman" w:hint="eastAsia"/>
          <w:bCs/>
          <w:kern w:val="0"/>
          <w:sz w:val="24"/>
        </w:rPr>
        <w:t>四教学</w:t>
      </w:r>
      <w:proofErr w:type="gramEnd"/>
      <w:r w:rsidRPr="009B4CAE">
        <w:rPr>
          <w:rFonts w:ascii="宋体" w:eastAsia="宋体" w:hAnsi="Calibri" w:cs="Times New Roman" w:hint="eastAsia"/>
          <w:bCs/>
          <w:kern w:val="0"/>
          <w:sz w:val="24"/>
        </w:rPr>
        <w:t>效果和学生掌握情况，让学生了解选项课内容和科学体育锻炼方式方法。</w:t>
      </w:r>
    </w:p>
    <w:p w14:paraId="4E5646A3" w14:textId="77777777" w:rsidR="009B4CAE" w:rsidRPr="009B4CAE" w:rsidRDefault="009B4CAE" w:rsidP="009B4CAE">
      <w:pPr>
        <w:adjustRightInd w:val="0"/>
        <w:snapToGrid w:val="0"/>
        <w:spacing w:line="500" w:lineRule="exact"/>
        <w:ind w:firstLineChars="200" w:firstLine="482"/>
        <w:rPr>
          <w:rFonts w:ascii="宋体" w:eastAsia="宋体" w:hAnsi="Calibri" w:cs="Times New Roman"/>
          <w:bCs/>
          <w:kern w:val="0"/>
          <w:sz w:val="24"/>
        </w:rPr>
      </w:pPr>
      <w:r w:rsidRPr="009B4CAE">
        <w:rPr>
          <w:rFonts w:ascii="宋体" w:eastAsia="宋体" w:hAnsi="Calibri" w:cs="Times New Roman" w:hint="eastAsia"/>
          <w:b/>
          <w:kern w:val="0"/>
          <w:sz w:val="24"/>
        </w:rPr>
        <w:t>2.课程考核的内容：</w:t>
      </w:r>
      <w:r w:rsidRPr="009B4CAE">
        <w:rPr>
          <w:rFonts w:ascii="宋体" w:eastAsia="宋体" w:hAnsi="Calibri" w:cs="Times New Roman" w:hint="eastAsia"/>
          <w:bCs/>
          <w:kern w:val="0"/>
          <w:sz w:val="24"/>
        </w:rPr>
        <w:t>北京平</w:t>
      </w:r>
      <w:proofErr w:type="gramStart"/>
      <w:r w:rsidRPr="009B4CAE">
        <w:rPr>
          <w:rFonts w:ascii="宋体" w:eastAsia="宋体" w:hAnsi="Calibri" w:cs="Times New Roman" w:hint="eastAsia"/>
          <w:bCs/>
          <w:kern w:val="0"/>
          <w:sz w:val="24"/>
        </w:rPr>
        <w:t>四基本步</w:t>
      </w:r>
      <w:proofErr w:type="gramEnd"/>
      <w:r w:rsidRPr="009B4CAE">
        <w:rPr>
          <w:rFonts w:ascii="宋体" w:eastAsia="宋体" w:hAnsi="Calibri" w:cs="Times New Roman" w:hint="eastAsia"/>
          <w:bCs/>
          <w:kern w:val="0"/>
          <w:sz w:val="24"/>
        </w:rPr>
        <w:t>和花样组合</w:t>
      </w:r>
    </w:p>
    <w:p w14:paraId="5EE0A82A" w14:textId="77777777" w:rsidR="009B4CAE" w:rsidRPr="009B4CAE" w:rsidRDefault="009B4CAE" w:rsidP="009B4CAE">
      <w:pPr>
        <w:adjustRightInd w:val="0"/>
        <w:snapToGrid w:val="0"/>
        <w:spacing w:line="500" w:lineRule="exact"/>
        <w:ind w:firstLineChars="200" w:firstLine="482"/>
        <w:rPr>
          <w:rFonts w:ascii="宋体" w:eastAsia="宋体" w:hAnsi="宋体" w:cs="宋体"/>
          <w:color w:val="000000"/>
          <w:kern w:val="0"/>
          <w:sz w:val="24"/>
        </w:rPr>
      </w:pPr>
      <w:r w:rsidRPr="009B4CAE">
        <w:rPr>
          <w:rFonts w:ascii="宋体" w:eastAsia="宋体" w:hAnsi="Calibri" w:cs="Times New Roman" w:hint="eastAsia"/>
          <w:b/>
          <w:kern w:val="0"/>
          <w:sz w:val="24"/>
        </w:rPr>
        <w:t>3.课程考核方式：</w:t>
      </w:r>
      <w:r w:rsidRPr="009B4CAE">
        <w:rPr>
          <w:rFonts w:ascii="Calibri" w:eastAsia="宋体" w:hAnsi="Calibri" w:cs="宋体" w:hint="eastAsia"/>
          <w:color w:val="000000"/>
          <w:kern w:val="0"/>
          <w:sz w:val="24"/>
        </w:rPr>
        <w:t>学生自编套路表演，可自选音乐，也可用原音乐，时间为２分钟。主要以韵律、姿态、步伐、舞伴配合等方面评分。</w:t>
      </w:r>
    </w:p>
    <w:p w14:paraId="6BA04200" w14:textId="77777777" w:rsidR="009B4CAE" w:rsidRPr="009B4CAE" w:rsidRDefault="009B4CAE" w:rsidP="009B4CAE">
      <w:pPr>
        <w:widowControl/>
        <w:spacing w:beforeLines="50" w:before="156" w:afterLines="50" w:after="156" w:line="500" w:lineRule="exact"/>
        <w:ind w:firstLineChars="200" w:firstLine="482"/>
        <w:rPr>
          <w:rFonts w:ascii="Calibri" w:eastAsia="宋体" w:hAnsi="Calibri" w:cs="宋体"/>
          <w:color w:val="000000"/>
          <w:kern w:val="0"/>
          <w:sz w:val="24"/>
        </w:rPr>
      </w:pPr>
      <w:r w:rsidRPr="009B4CAE">
        <w:rPr>
          <w:rFonts w:ascii="宋体" w:eastAsia="宋体" w:hAnsi="Calibri" w:cs="Times New Roman" w:hint="eastAsia"/>
          <w:b/>
          <w:kern w:val="0"/>
          <w:sz w:val="24"/>
        </w:rPr>
        <w:t>4.成绩构成及分值：</w:t>
      </w:r>
      <w:r w:rsidRPr="009B4CAE">
        <w:rPr>
          <w:rFonts w:ascii="Calibri" w:eastAsia="宋体" w:hAnsi="Calibri" w:cs="宋体" w:hint="eastAsia"/>
          <w:color w:val="000000"/>
          <w:kern w:val="0"/>
          <w:sz w:val="24"/>
        </w:rPr>
        <w:t>成绩考核采用百分制</w:t>
      </w:r>
      <w:r w:rsidRPr="009B4CAE">
        <w:rPr>
          <w:rFonts w:ascii="宋体" w:eastAsia="宋体" w:hAnsi="Calibri" w:cs="Times New Roman" w:hint="eastAsia"/>
          <w:bCs/>
          <w:kern w:val="0"/>
          <w:sz w:val="24"/>
        </w:rPr>
        <w:t>，</w:t>
      </w:r>
      <w:r w:rsidRPr="009B4CAE">
        <w:rPr>
          <w:rFonts w:ascii="宋体" w:eastAsia="宋体" w:hAnsi="宋体" w:cs="宋体"/>
          <w:color w:val="000000"/>
          <w:kern w:val="0"/>
          <w:sz w:val="24"/>
        </w:rPr>
        <w:t>90</w:t>
      </w:r>
      <w:r w:rsidRPr="009B4CAE">
        <w:rPr>
          <w:rFonts w:ascii="Calibri" w:eastAsia="宋体" w:hAnsi="Calibri" w:cs="宋体" w:hint="eastAsia"/>
          <w:color w:val="000000"/>
          <w:kern w:val="0"/>
          <w:sz w:val="24"/>
        </w:rPr>
        <w:t>分以上为优秀；</w:t>
      </w:r>
      <w:r w:rsidRPr="009B4CAE">
        <w:rPr>
          <w:rFonts w:ascii="宋体" w:eastAsia="宋体" w:hAnsi="宋体" w:cs="宋体"/>
          <w:color w:val="000000"/>
          <w:kern w:val="0"/>
          <w:sz w:val="24"/>
        </w:rPr>
        <w:t>80</w:t>
      </w:r>
      <w:r w:rsidRPr="009B4CAE">
        <w:rPr>
          <w:rFonts w:ascii="Calibri" w:eastAsia="宋体" w:hAnsi="Calibri" w:cs="宋体" w:hint="eastAsia"/>
          <w:color w:val="000000"/>
          <w:kern w:val="0"/>
          <w:sz w:val="24"/>
        </w:rPr>
        <w:t>—</w:t>
      </w:r>
      <w:r w:rsidRPr="009B4CAE">
        <w:rPr>
          <w:rFonts w:ascii="宋体" w:eastAsia="宋体" w:hAnsi="宋体" w:cs="宋体"/>
          <w:color w:val="000000"/>
          <w:kern w:val="0"/>
          <w:sz w:val="24"/>
        </w:rPr>
        <w:t>89</w:t>
      </w:r>
      <w:r w:rsidRPr="009B4CAE">
        <w:rPr>
          <w:rFonts w:ascii="Calibri" w:eastAsia="宋体" w:hAnsi="Calibri" w:cs="宋体" w:hint="eastAsia"/>
          <w:color w:val="000000"/>
          <w:kern w:val="0"/>
          <w:sz w:val="24"/>
        </w:rPr>
        <w:t>分为良好；</w:t>
      </w:r>
      <w:r w:rsidRPr="009B4CAE">
        <w:rPr>
          <w:rFonts w:ascii="宋体" w:eastAsia="宋体" w:hAnsi="宋体" w:cs="宋体"/>
          <w:color w:val="000000"/>
          <w:kern w:val="0"/>
          <w:sz w:val="24"/>
        </w:rPr>
        <w:t>70</w:t>
      </w:r>
      <w:r w:rsidRPr="009B4CAE">
        <w:rPr>
          <w:rFonts w:ascii="Calibri" w:eastAsia="宋体" w:hAnsi="Calibri" w:cs="宋体" w:hint="eastAsia"/>
          <w:color w:val="000000"/>
          <w:kern w:val="0"/>
          <w:sz w:val="24"/>
        </w:rPr>
        <w:t>—</w:t>
      </w:r>
      <w:r w:rsidRPr="009B4CAE">
        <w:rPr>
          <w:rFonts w:ascii="宋体" w:eastAsia="宋体" w:hAnsi="宋体" w:cs="宋体"/>
          <w:color w:val="000000"/>
          <w:kern w:val="0"/>
          <w:sz w:val="24"/>
        </w:rPr>
        <w:t>79</w:t>
      </w:r>
      <w:r w:rsidRPr="009B4CAE">
        <w:rPr>
          <w:rFonts w:ascii="Calibri" w:eastAsia="宋体" w:hAnsi="Calibri" w:cs="宋体" w:hint="eastAsia"/>
          <w:color w:val="000000"/>
          <w:kern w:val="0"/>
          <w:sz w:val="24"/>
        </w:rPr>
        <w:t>为中等；</w:t>
      </w:r>
      <w:r w:rsidRPr="009B4CAE">
        <w:rPr>
          <w:rFonts w:ascii="宋体" w:eastAsia="宋体" w:hAnsi="宋体" w:cs="宋体"/>
          <w:color w:val="000000"/>
          <w:kern w:val="0"/>
          <w:sz w:val="24"/>
        </w:rPr>
        <w:t>60</w:t>
      </w:r>
      <w:r w:rsidRPr="009B4CAE">
        <w:rPr>
          <w:rFonts w:ascii="Calibri" w:eastAsia="宋体" w:hAnsi="Calibri" w:cs="宋体" w:hint="eastAsia"/>
          <w:color w:val="000000"/>
          <w:kern w:val="0"/>
          <w:sz w:val="24"/>
        </w:rPr>
        <w:t>—</w:t>
      </w:r>
      <w:r w:rsidRPr="009B4CAE">
        <w:rPr>
          <w:rFonts w:ascii="宋体" w:eastAsia="宋体" w:hAnsi="宋体" w:cs="宋体"/>
          <w:color w:val="000000"/>
          <w:kern w:val="0"/>
          <w:sz w:val="24"/>
        </w:rPr>
        <w:t>69</w:t>
      </w:r>
      <w:r w:rsidRPr="009B4CAE">
        <w:rPr>
          <w:rFonts w:ascii="Calibri" w:eastAsia="宋体" w:hAnsi="Calibri" w:cs="宋体" w:hint="eastAsia"/>
          <w:color w:val="000000"/>
          <w:kern w:val="0"/>
          <w:sz w:val="24"/>
        </w:rPr>
        <w:t>为及格；</w:t>
      </w:r>
      <w:r w:rsidRPr="009B4CAE">
        <w:rPr>
          <w:rFonts w:ascii="宋体" w:eastAsia="宋体" w:hAnsi="宋体" w:cs="宋体"/>
          <w:color w:val="000000"/>
          <w:kern w:val="0"/>
          <w:sz w:val="24"/>
        </w:rPr>
        <w:t>60</w:t>
      </w:r>
      <w:r w:rsidRPr="009B4CAE">
        <w:rPr>
          <w:rFonts w:ascii="Calibri" w:eastAsia="宋体" w:hAnsi="Calibri" w:cs="宋体" w:hint="eastAsia"/>
          <w:color w:val="000000"/>
          <w:kern w:val="0"/>
          <w:sz w:val="24"/>
        </w:rPr>
        <w:t>分以下为不及格。</w:t>
      </w:r>
    </w:p>
    <w:p w14:paraId="7E10E5AB" w14:textId="77777777" w:rsidR="009B4CAE" w:rsidRPr="009B4CAE" w:rsidRDefault="009B4CAE" w:rsidP="009B4CAE">
      <w:pPr>
        <w:adjustRightInd w:val="0"/>
        <w:snapToGrid w:val="0"/>
        <w:spacing w:line="500" w:lineRule="exact"/>
        <w:ind w:firstLineChars="200" w:firstLine="482"/>
        <w:rPr>
          <w:rFonts w:ascii="宋体" w:eastAsia="宋体" w:hAnsi="Calibri" w:cs="Times New Roman"/>
          <w:b/>
          <w:kern w:val="0"/>
          <w:sz w:val="24"/>
        </w:rPr>
      </w:pPr>
      <w:r w:rsidRPr="009B4CAE">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9B4CAE" w:rsidRPr="009B4CAE" w14:paraId="5AA3695B" w14:textId="77777777" w:rsidTr="009B4CAE">
        <w:trPr>
          <w:jc w:val="center"/>
        </w:trPr>
        <w:tc>
          <w:tcPr>
            <w:tcW w:w="2547" w:type="dxa"/>
          </w:tcPr>
          <w:p w14:paraId="6947D212"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身体姿态</w:t>
            </w:r>
          </w:p>
        </w:tc>
        <w:tc>
          <w:tcPr>
            <w:tcW w:w="1984" w:type="dxa"/>
          </w:tcPr>
          <w:p w14:paraId="0352ED9C" w14:textId="77777777" w:rsidR="009B4CAE" w:rsidRPr="009B4CAE" w:rsidRDefault="009B4CAE" w:rsidP="009B4CAE">
            <w:pPr>
              <w:widowControl/>
              <w:spacing w:beforeLines="50" w:before="156" w:afterLines="50" w:after="156" w:line="400" w:lineRule="exact"/>
              <w:ind w:firstLineChars="100" w:firstLine="210"/>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套路动作</w:t>
            </w:r>
          </w:p>
        </w:tc>
        <w:tc>
          <w:tcPr>
            <w:tcW w:w="2410" w:type="dxa"/>
          </w:tcPr>
          <w:p w14:paraId="1F7230D2" w14:textId="77777777" w:rsidR="009B4CAE" w:rsidRPr="009B4CAE" w:rsidRDefault="009B4CAE" w:rsidP="009B4CAE">
            <w:pPr>
              <w:widowControl/>
              <w:spacing w:beforeLines="50" w:before="156" w:afterLines="50" w:after="156" w:line="400" w:lineRule="exact"/>
              <w:ind w:firstLineChars="300" w:firstLine="630"/>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乐感</w:t>
            </w:r>
          </w:p>
        </w:tc>
        <w:tc>
          <w:tcPr>
            <w:tcW w:w="1355" w:type="dxa"/>
          </w:tcPr>
          <w:p w14:paraId="7AC7B623"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分值范围</w:t>
            </w:r>
          </w:p>
        </w:tc>
      </w:tr>
      <w:tr w:rsidR="009B4CAE" w:rsidRPr="009B4CAE" w14:paraId="0A7FC868" w14:textId="77777777" w:rsidTr="009B4CAE">
        <w:trPr>
          <w:jc w:val="center"/>
        </w:trPr>
        <w:tc>
          <w:tcPr>
            <w:tcW w:w="2547" w:type="dxa"/>
          </w:tcPr>
          <w:p w14:paraId="4A0D9FA6"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动作标准，姿态正确</w:t>
            </w:r>
          </w:p>
        </w:tc>
        <w:tc>
          <w:tcPr>
            <w:tcW w:w="1984" w:type="dxa"/>
          </w:tcPr>
          <w:p w14:paraId="07B28A1C"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非常熟练、流畅、舞伴配合</w:t>
            </w:r>
            <w:r w:rsidRPr="009B4CAE">
              <w:rPr>
                <w:rFonts w:ascii="宋体" w:eastAsia="宋体" w:hAnsi="宋体" w:cs="宋体"/>
                <w:color w:val="000000"/>
                <w:kern w:val="0"/>
                <w:szCs w:val="21"/>
              </w:rPr>
              <w:t xml:space="preserve"> </w:t>
            </w:r>
            <w:r w:rsidRPr="009B4CAE">
              <w:rPr>
                <w:rFonts w:ascii="宋体" w:eastAsia="宋体" w:hAnsi="宋体" w:cs="宋体" w:hint="eastAsia"/>
                <w:color w:val="000000"/>
                <w:kern w:val="0"/>
                <w:szCs w:val="21"/>
              </w:rPr>
              <w:t>默契</w:t>
            </w:r>
          </w:p>
        </w:tc>
        <w:tc>
          <w:tcPr>
            <w:tcW w:w="2410" w:type="dxa"/>
          </w:tcPr>
          <w:p w14:paraId="67690FBD"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音乐与动作十分吻合</w:t>
            </w:r>
          </w:p>
        </w:tc>
        <w:tc>
          <w:tcPr>
            <w:tcW w:w="1355" w:type="dxa"/>
          </w:tcPr>
          <w:p w14:paraId="448DAF02"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90-100</w:t>
            </w:r>
          </w:p>
        </w:tc>
      </w:tr>
      <w:tr w:rsidR="009B4CAE" w:rsidRPr="009B4CAE" w14:paraId="528CBB75" w14:textId="77777777" w:rsidTr="009B4CAE">
        <w:trPr>
          <w:jc w:val="center"/>
        </w:trPr>
        <w:tc>
          <w:tcPr>
            <w:tcW w:w="2547" w:type="dxa"/>
          </w:tcPr>
          <w:p w14:paraId="6337E7BD"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动作标准，姿态较正确</w:t>
            </w:r>
          </w:p>
        </w:tc>
        <w:tc>
          <w:tcPr>
            <w:tcW w:w="1984" w:type="dxa"/>
          </w:tcPr>
          <w:p w14:paraId="72C23312"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较流畅、熟练、舞伴配合较默契</w:t>
            </w:r>
          </w:p>
        </w:tc>
        <w:tc>
          <w:tcPr>
            <w:tcW w:w="2410" w:type="dxa"/>
          </w:tcPr>
          <w:p w14:paraId="1F2E2B95"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音乐与动作较吻合</w:t>
            </w:r>
          </w:p>
        </w:tc>
        <w:tc>
          <w:tcPr>
            <w:tcW w:w="1355" w:type="dxa"/>
          </w:tcPr>
          <w:p w14:paraId="494AB84A"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80-89</w:t>
            </w:r>
          </w:p>
        </w:tc>
      </w:tr>
      <w:tr w:rsidR="009B4CAE" w:rsidRPr="009B4CAE" w14:paraId="052361D7" w14:textId="77777777" w:rsidTr="009B4CAE">
        <w:trPr>
          <w:jc w:val="center"/>
        </w:trPr>
        <w:tc>
          <w:tcPr>
            <w:tcW w:w="2547" w:type="dxa"/>
          </w:tcPr>
          <w:p w14:paraId="7C0069C4"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动作不够标准，姿态一般</w:t>
            </w:r>
          </w:p>
        </w:tc>
        <w:tc>
          <w:tcPr>
            <w:tcW w:w="1984" w:type="dxa"/>
          </w:tcPr>
          <w:p w14:paraId="36E6847B"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熟练、流畅度一般</w:t>
            </w:r>
          </w:p>
        </w:tc>
        <w:tc>
          <w:tcPr>
            <w:tcW w:w="2410" w:type="dxa"/>
          </w:tcPr>
          <w:p w14:paraId="44753B53"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音乐与动作基本吻合</w:t>
            </w:r>
          </w:p>
        </w:tc>
        <w:tc>
          <w:tcPr>
            <w:tcW w:w="1355" w:type="dxa"/>
          </w:tcPr>
          <w:p w14:paraId="6071B46B"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70-79</w:t>
            </w:r>
          </w:p>
        </w:tc>
      </w:tr>
      <w:tr w:rsidR="009B4CAE" w:rsidRPr="009B4CAE" w14:paraId="2D40AFB4" w14:textId="77777777" w:rsidTr="009B4CAE">
        <w:trPr>
          <w:jc w:val="center"/>
        </w:trPr>
        <w:tc>
          <w:tcPr>
            <w:tcW w:w="2547" w:type="dxa"/>
          </w:tcPr>
          <w:p w14:paraId="396D16F9"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动作不够标准，姿态较差</w:t>
            </w:r>
          </w:p>
        </w:tc>
        <w:tc>
          <w:tcPr>
            <w:tcW w:w="1984" w:type="dxa"/>
          </w:tcPr>
          <w:p w14:paraId="29172C32"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较生疏</w:t>
            </w:r>
          </w:p>
        </w:tc>
        <w:tc>
          <w:tcPr>
            <w:tcW w:w="2410" w:type="dxa"/>
          </w:tcPr>
          <w:p w14:paraId="7907368E"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音乐与动作吻合度较差</w:t>
            </w:r>
          </w:p>
        </w:tc>
        <w:tc>
          <w:tcPr>
            <w:tcW w:w="1355" w:type="dxa"/>
          </w:tcPr>
          <w:p w14:paraId="24C4CEDD"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60-69</w:t>
            </w:r>
          </w:p>
        </w:tc>
      </w:tr>
      <w:tr w:rsidR="009B4CAE" w:rsidRPr="009B4CAE" w14:paraId="414C2C9E" w14:textId="77777777" w:rsidTr="009B4CAE">
        <w:trPr>
          <w:trHeight w:val="505"/>
          <w:jc w:val="center"/>
        </w:trPr>
        <w:tc>
          <w:tcPr>
            <w:tcW w:w="2547" w:type="dxa"/>
          </w:tcPr>
          <w:p w14:paraId="25A167CE"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动作</w:t>
            </w:r>
            <w:proofErr w:type="gramStart"/>
            <w:r w:rsidRPr="009B4CAE">
              <w:rPr>
                <w:rFonts w:ascii="宋体" w:eastAsia="宋体" w:hAnsi="宋体" w:cs="宋体" w:hint="eastAsia"/>
                <w:color w:val="000000"/>
                <w:kern w:val="0"/>
                <w:szCs w:val="21"/>
              </w:rPr>
              <w:t>不</w:t>
            </w:r>
            <w:proofErr w:type="gramEnd"/>
            <w:r w:rsidRPr="009B4CAE">
              <w:rPr>
                <w:rFonts w:ascii="宋体" w:eastAsia="宋体" w:hAnsi="宋体" w:cs="宋体" w:hint="eastAsia"/>
                <w:color w:val="000000"/>
                <w:kern w:val="0"/>
                <w:szCs w:val="21"/>
              </w:rPr>
              <w:t>标准，姿态差</w:t>
            </w:r>
          </w:p>
        </w:tc>
        <w:tc>
          <w:tcPr>
            <w:tcW w:w="1984" w:type="dxa"/>
          </w:tcPr>
          <w:p w14:paraId="3C181464"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不能按规定完成动作</w:t>
            </w:r>
          </w:p>
        </w:tc>
        <w:tc>
          <w:tcPr>
            <w:tcW w:w="2410" w:type="dxa"/>
          </w:tcPr>
          <w:p w14:paraId="02D30FE8"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音乐与动作十分步吻合</w:t>
            </w:r>
          </w:p>
        </w:tc>
        <w:tc>
          <w:tcPr>
            <w:tcW w:w="1355" w:type="dxa"/>
          </w:tcPr>
          <w:p w14:paraId="7615E702" w14:textId="77777777" w:rsidR="009B4CAE" w:rsidRPr="009B4CAE" w:rsidRDefault="009B4CAE" w:rsidP="009B4CAE">
            <w:pPr>
              <w:widowControl/>
              <w:spacing w:beforeLines="50" w:before="156" w:afterLines="50" w:after="156" w:line="400" w:lineRule="exact"/>
              <w:jc w:val="left"/>
              <w:rPr>
                <w:rFonts w:ascii="宋体" w:eastAsia="宋体" w:hAnsi="宋体" w:cs="宋体"/>
                <w:color w:val="000000"/>
                <w:kern w:val="0"/>
                <w:szCs w:val="21"/>
              </w:rPr>
            </w:pPr>
            <w:r w:rsidRPr="009B4CAE">
              <w:rPr>
                <w:rFonts w:ascii="宋体" w:eastAsia="宋体" w:hAnsi="宋体" w:cs="宋体" w:hint="eastAsia"/>
                <w:color w:val="000000"/>
                <w:kern w:val="0"/>
                <w:szCs w:val="21"/>
              </w:rPr>
              <w:t>60以下</w:t>
            </w:r>
          </w:p>
        </w:tc>
      </w:tr>
    </w:tbl>
    <w:p w14:paraId="225881BE" w14:textId="77777777" w:rsidR="009B4CAE" w:rsidRPr="009B4CAE" w:rsidRDefault="009B4CAE" w:rsidP="009B4CAE">
      <w:pPr>
        <w:adjustRightInd w:val="0"/>
        <w:snapToGrid w:val="0"/>
        <w:spacing w:line="500" w:lineRule="exact"/>
        <w:rPr>
          <w:rFonts w:ascii="黑体" w:eastAsia="黑体" w:hAnsi="黑体" w:cs="Times New Roman"/>
          <w:sz w:val="28"/>
          <w:szCs w:val="28"/>
        </w:rPr>
      </w:pPr>
      <w:r w:rsidRPr="009B4CAE">
        <w:rPr>
          <w:rFonts w:ascii="宋体" w:eastAsia="宋体" w:hAnsi="Calibri" w:cs="Times New Roman" w:hint="eastAsia"/>
          <w:bCs/>
          <w:kern w:val="0"/>
          <w:sz w:val="24"/>
        </w:rPr>
        <w:t xml:space="preserve">                                              </w:t>
      </w:r>
    </w:p>
    <w:p w14:paraId="38760F6B" w14:textId="77777777" w:rsidR="009B4CAE" w:rsidRPr="009B4CAE" w:rsidRDefault="009B4CAE" w:rsidP="009B4CAE">
      <w:pPr>
        <w:spacing w:beforeLines="50" w:before="156" w:afterLines="50" w:after="156" w:line="440" w:lineRule="exact"/>
        <w:ind w:firstLineChars="200" w:firstLine="560"/>
        <w:rPr>
          <w:rFonts w:ascii="宋体" w:eastAsia="宋体" w:hAnsi="宋体" w:cs="Times New Roman"/>
          <w:sz w:val="24"/>
        </w:rPr>
      </w:pPr>
      <w:r w:rsidRPr="009B4CAE">
        <w:rPr>
          <w:rFonts w:ascii="黑体" w:eastAsia="黑体" w:hAnsi="黑体" w:cs="Times New Roman" w:hint="eastAsia"/>
          <w:sz w:val="28"/>
          <w:szCs w:val="28"/>
        </w:rPr>
        <w:lastRenderedPageBreak/>
        <w:t>六、使用教材、相关推荐书目及课程资源</w:t>
      </w:r>
    </w:p>
    <w:p w14:paraId="243A5AF5" w14:textId="77777777" w:rsidR="009B4CAE" w:rsidRPr="009B4CAE" w:rsidRDefault="009B4CAE" w:rsidP="009B4CAE">
      <w:pPr>
        <w:spacing w:line="440" w:lineRule="exact"/>
        <w:ind w:firstLineChars="200" w:firstLine="560"/>
        <w:rPr>
          <w:rFonts w:ascii="宋体" w:eastAsia="宋体" w:hAnsi="宋体" w:cs="Times New Roman"/>
          <w:sz w:val="24"/>
        </w:rPr>
      </w:pPr>
      <w:r w:rsidRPr="009B4CAE">
        <w:rPr>
          <w:rFonts w:ascii="黑体" w:eastAsia="黑体" w:hAnsi="黑体" w:cs="Times New Roman" w:hint="eastAsia"/>
          <w:sz w:val="28"/>
          <w:szCs w:val="28"/>
        </w:rPr>
        <w:t>（一）使用教材</w:t>
      </w:r>
    </w:p>
    <w:p w14:paraId="6DC02FBC" w14:textId="77777777" w:rsidR="009B4CAE" w:rsidRPr="009B4CAE" w:rsidRDefault="009B4CAE" w:rsidP="009B4CAE">
      <w:pPr>
        <w:autoSpaceDE w:val="0"/>
        <w:autoSpaceDN w:val="0"/>
        <w:adjustRightInd w:val="0"/>
        <w:snapToGrid w:val="0"/>
        <w:spacing w:line="500" w:lineRule="exact"/>
        <w:ind w:firstLineChars="300" w:firstLine="720"/>
        <w:rPr>
          <w:rFonts w:ascii="宋体" w:eastAsia="宋体" w:hAnsi="宋体" w:cs="宋体"/>
          <w:kern w:val="0"/>
          <w:sz w:val="24"/>
        </w:rPr>
      </w:pPr>
      <w:r w:rsidRPr="009B4CAE">
        <w:rPr>
          <w:rFonts w:ascii="宋体" w:eastAsia="宋体" w:hAnsi="宋体" w:cs="宋体" w:hint="eastAsia"/>
          <w:kern w:val="0"/>
          <w:sz w:val="24"/>
        </w:rPr>
        <w:t>任晋军主编：《当代大学体育教程》，北京体育大学出版社，2008</w:t>
      </w:r>
    </w:p>
    <w:p w14:paraId="00F42B1F" w14:textId="77777777" w:rsidR="009B4CAE" w:rsidRPr="009B4CAE" w:rsidRDefault="009B4CAE" w:rsidP="009B4CAE">
      <w:pPr>
        <w:autoSpaceDE w:val="0"/>
        <w:autoSpaceDN w:val="0"/>
        <w:adjustRightInd w:val="0"/>
        <w:snapToGrid w:val="0"/>
        <w:spacing w:line="500" w:lineRule="exact"/>
        <w:ind w:firstLineChars="250" w:firstLine="600"/>
        <w:rPr>
          <w:rFonts w:ascii="宋体" w:eastAsia="宋体" w:hAnsi="宋体" w:cs="Times New Roman"/>
          <w:sz w:val="24"/>
        </w:rPr>
      </w:pPr>
      <w:r w:rsidRPr="009B4CAE">
        <w:rPr>
          <w:rFonts w:ascii="宋体" w:eastAsia="宋体" w:hAnsi="宋体" w:cs="Times New Roman" w:hint="eastAsia"/>
          <w:sz w:val="24"/>
        </w:rPr>
        <w:t>《体育舞蹈》（第一版），张清澍、陈瑞璋等编，北京体育大学出版社，2002年8月.</w:t>
      </w:r>
    </w:p>
    <w:p w14:paraId="3227066D" w14:textId="77777777" w:rsidR="009B4CAE" w:rsidRPr="009B4CAE" w:rsidRDefault="009B4CAE" w:rsidP="009B4CAE">
      <w:pPr>
        <w:spacing w:line="440" w:lineRule="exact"/>
        <w:ind w:firstLineChars="200" w:firstLine="560"/>
        <w:rPr>
          <w:rFonts w:ascii="宋体" w:eastAsia="宋体" w:hAnsi="宋体" w:cs="Times New Roman"/>
          <w:sz w:val="24"/>
        </w:rPr>
      </w:pPr>
      <w:r w:rsidRPr="009B4CAE">
        <w:rPr>
          <w:rFonts w:ascii="黑体" w:eastAsia="黑体" w:hAnsi="黑体" w:cs="Times New Roman" w:hint="eastAsia"/>
          <w:sz w:val="28"/>
          <w:szCs w:val="28"/>
        </w:rPr>
        <w:t>（二）相关推荐书目</w:t>
      </w:r>
    </w:p>
    <w:p w14:paraId="1E2E45FD"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1</w:t>
      </w:r>
      <w:r w:rsidRPr="009B4CAE">
        <w:rPr>
          <w:rFonts w:ascii="宋体" w:eastAsia="宋体" w:hAnsi="宋体" w:cs="Times New Roman"/>
          <w:sz w:val="24"/>
        </w:rPr>
        <w:t xml:space="preserve">. </w:t>
      </w:r>
      <w:r w:rsidRPr="009B4CAE">
        <w:rPr>
          <w:rFonts w:ascii="宋体" w:eastAsia="宋体" w:hAnsi="宋体" w:cs="宋体" w:hint="eastAsia"/>
          <w:kern w:val="0"/>
          <w:sz w:val="24"/>
        </w:rPr>
        <w:t>刘建国主编：《当代大学体育与健身》，高教出版社，2008</w:t>
      </w:r>
    </w:p>
    <w:p w14:paraId="703FB756" w14:textId="77777777" w:rsidR="009B4CAE" w:rsidRPr="009B4CAE" w:rsidRDefault="009B4CAE" w:rsidP="009B4CAE">
      <w:pPr>
        <w:autoSpaceDE w:val="0"/>
        <w:autoSpaceDN w:val="0"/>
        <w:adjustRightInd w:val="0"/>
        <w:snapToGrid w:val="0"/>
        <w:spacing w:line="500" w:lineRule="exact"/>
        <w:ind w:firstLineChars="200" w:firstLine="480"/>
        <w:rPr>
          <w:rFonts w:ascii="宋体" w:eastAsia="宋体" w:hAnsi="宋体" w:cs="Times New Roman"/>
          <w:sz w:val="24"/>
        </w:rPr>
      </w:pPr>
      <w:r w:rsidRPr="009B4CAE">
        <w:rPr>
          <w:rFonts w:ascii="宋体" w:eastAsia="宋体" w:hAnsi="宋体" w:cs="Times New Roman" w:hint="eastAsia"/>
          <w:sz w:val="24"/>
        </w:rPr>
        <w:t>2</w:t>
      </w:r>
      <w:r w:rsidRPr="009B4CAE">
        <w:rPr>
          <w:rFonts w:ascii="宋体" w:eastAsia="宋体" w:hAnsi="宋体" w:cs="Times New Roman"/>
          <w:sz w:val="24"/>
        </w:rPr>
        <w:t xml:space="preserve">. </w:t>
      </w:r>
      <w:r w:rsidRPr="009B4CAE">
        <w:rPr>
          <w:rFonts w:ascii="宋体" w:eastAsia="宋体" w:hAnsi="宋体" w:cs="宋体" w:hint="eastAsia"/>
          <w:kern w:val="0"/>
          <w:sz w:val="24"/>
        </w:rPr>
        <w:t>全国体育学院教材委员会审定：《体育与健康理论指导手册》，人民体育出版社，2014</w:t>
      </w:r>
    </w:p>
    <w:p w14:paraId="57695E2E" w14:textId="77777777" w:rsidR="009B4CAE" w:rsidRPr="009B4CAE" w:rsidRDefault="009B4CAE" w:rsidP="009B4CAE">
      <w:pPr>
        <w:spacing w:beforeLines="50" w:before="156" w:afterLines="50" w:after="156" w:line="440" w:lineRule="exact"/>
        <w:ind w:firstLineChars="200" w:firstLine="560"/>
        <w:rPr>
          <w:rFonts w:ascii="黑体" w:eastAsia="黑体" w:hAnsi="黑体" w:cs="Times New Roman"/>
          <w:sz w:val="28"/>
          <w:szCs w:val="28"/>
        </w:rPr>
      </w:pPr>
      <w:r w:rsidRPr="009B4CAE">
        <w:rPr>
          <w:rFonts w:ascii="黑体" w:eastAsia="黑体" w:hAnsi="黑体" w:cs="Times New Roman" w:hint="eastAsia"/>
          <w:sz w:val="28"/>
          <w:szCs w:val="28"/>
        </w:rPr>
        <w:t>（三）课程资源</w:t>
      </w:r>
    </w:p>
    <w:p w14:paraId="004EFD95" w14:textId="77777777" w:rsidR="009B4CAE" w:rsidRPr="009B4CAE" w:rsidRDefault="009B4CAE" w:rsidP="009B4CAE">
      <w:pPr>
        <w:spacing w:line="440" w:lineRule="exact"/>
        <w:ind w:firstLineChars="200" w:firstLine="500"/>
        <w:rPr>
          <w:rFonts w:ascii="宋体" w:eastAsia="宋体" w:hAnsi="Calibri" w:cs="宋体"/>
          <w:spacing w:val="5"/>
          <w:kern w:val="0"/>
          <w:sz w:val="24"/>
        </w:rPr>
      </w:pPr>
      <w:r w:rsidRPr="009B4CAE">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7162DBB2" w14:textId="77777777" w:rsidR="009B4CAE" w:rsidRPr="009B4CAE" w:rsidRDefault="009B4CAE" w:rsidP="009B4CAE">
      <w:pPr>
        <w:spacing w:line="440" w:lineRule="exact"/>
        <w:ind w:firstLineChars="200" w:firstLine="500"/>
        <w:rPr>
          <w:rFonts w:ascii="宋体" w:eastAsia="宋体" w:hAnsi="Calibri" w:cs="宋体"/>
          <w:spacing w:val="5"/>
          <w:kern w:val="0"/>
          <w:sz w:val="24"/>
        </w:rPr>
      </w:pPr>
      <w:r w:rsidRPr="009B4CAE">
        <w:rPr>
          <w:rFonts w:ascii="宋体" w:eastAsia="宋体" w:hAnsi="Calibri" w:cs="宋体" w:hint="eastAsia"/>
          <w:spacing w:val="5"/>
          <w:kern w:val="0"/>
          <w:sz w:val="24"/>
        </w:rPr>
        <w:t>2. 《国家学生体质健康标准》实施说明</w:t>
      </w:r>
    </w:p>
    <w:p w14:paraId="78934010" w14:textId="77777777" w:rsidR="009B4CAE" w:rsidRPr="009B4CAE" w:rsidRDefault="009B4CAE" w:rsidP="009B4CAE">
      <w:pPr>
        <w:spacing w:line="440" w:lineRule="exact"/>
        <w:ind w:firstLineChars="200" w:firstLine="500"/>
        <w:rPr>
          <w:rFonts w:ascii="宋体" w:eastAsia="宋体" w:hAnsi="Calibri" w:cs="宋体"/>
          <w:spacing w:val="5"/>
          <w:kern w:val="0"/>
          <w:sz w:val="24"/>
        </w:rPr>
      </w:pPr>
      <w:r w:rsidRPr="009B4CAE">
        <w:rPr>
          <w:rFonts w:ascii="宋体" w:eastAsia="宋体" w:hAnsi="Calibri" w:cs="宋体" w:hint="eastAsia"/>
          <w:spacing w:val="5"/>
          <w:kern w:val="0"/>
          <w:sz w:val="24"/>
        </w:rPr>
        <w:t>3. 《国家学生体质健康标准》测试评分表</w:t>
      </w:r>
    </w:p>
    <w:p w14:paraId="440D8C8A" w14:textId="77777777" w:rsidR="009B4CAE" w:rsidRPr="009B4CAE" w:rsidRDefault="009B4CAE" w:rsidP="009B4CAE">
      <w:pPr>
        <w:spacing w:line="440" w:lineRule="exact"/>
        <w:ind w:firstLineChars="200" w:firstLine="500"/>
        <w:rPr>
          <w:rFonts w:ascii="宋体" w:eastAsia="宋体" w:hAnsi="Calibri" w:cs="宋体"/>
          <w:spacing w:val="5"/>
          <w:kern w:val="0"/>
          <w:sz w:val="24"/>
        </w:rPr>
      </w:pPr>
    </w:p>
    <w:p w14:paraId="56D5652B" w14:textId="77777777" w:rsidR="009B4CAE" w:rsidRPr="009B4CAE" w:rsidRDefault="009B4CAE" w:rsidP="009B4CAE">
      <w:pPr>
        <w:spacing w:beforeLines="50" w:before="156" w:afterLines="50" w:after="156" w:line="440" w:lineRule="exact"/>
        <w:ind w:firstLineChars="200" w:firstLine="560"/>
        <w:rPr>
          <w:rFonts w:ascii="黑体" w:eastAsia="黑体" w:hAnsi="黑体" w:cs="Times New Roman"/>
          <w:sz w:val="28"/>
          <w:szCs w:val="28"/>
        </w:rPr>
      </w:pPr>
      <w:r w:rsidRPr="009B4CAE">
        <w:rPr>
          <w:rFonts w:ascii="黑体" w:eastAsia="黑体" w:hAnsi="黑体" w:cs="Times New Roman" w:hint="eastAsia"/>
          <w:sz w:val="28"/>
          <w:szCs w:val="28"/>
        </w:rPr>
        <w:t>七、课程大纲制定依据</w:t>
      </w:r>
    </w:p>
    <w:p w14:paraId="5397170F" w14:textId="77777777" w:rsidR="009B4CAE" w:rsidRPr="009B4CAE" w:rsidRDefault="009B4CAE" w:rsidP="009B4CAE">
      <w:pPr>
        <w:spacing w:line="440" w:lineRule="exact"/>
        <w:ind w:firstLineChars="200" w:firstLine="480"/>
        <w:rPr>
          <w:rFonts w:ascii="宋体" w:eastAsia="宋体" w:hAnsi="宋体" w:cs="Times New Roman"/>
          <w:sz w:val="24"/>
        </w:rPr>
      </w:pPr>
      <w:r w:rsidRPr="009B4CAE">
        <w:rPr>
          <w:rFonts w:ascii="宋体" w:eastAsia="宋体" w:hAnsi="宋体" w:cs="Times New Roman" w:hint="eastAsia"/>
          <w:sz w:val="24"/>
        </w:rPr>
        <w:t>本课程大纲依据2023年人才培养方案</w:t>
      </w:r>
      <w:r w:rsidR="002E4147">
        <w:rPr>
          <w:rFonts w:ascii="宋体" w:eastAsia="宋体" w:hAnsi="宋体" w:cs="Times New Roman" w:hint="eastAsia"/>
          <w:sz w:val="24"/>
        </w:rPr>
        <w:t>药物分析专业</w:t>
      </w:r>
      <w:r w:rsidRPr="009B4CAE">
        <w:rPr>
          <w:rFonts w:ascii="宋体" w:eastAsia="宋体" w:hAnsi="宋体" w:cs="Times New Roman" w:hint="eastAsia"/>
          <w:sz w:val="24"/>
        </w:rPr>
        <w:t>制定。</w:t>
      </w:r>
    </w:p>
    <w:p w14:paraId="665C7EA0" w14:textId="77777777" w:rsidR="009B4CAE" w:rsidRPr="009B4CAE" w:rsidRDefault="009B4CAE" w:rsidP="009B4CAE">
      <w:pPr>
        <w:spacing w:line="440" w:lineRule="exact"/>
        <w:ind w:firstLineChars="200" w:firstLine="480"/>
        <w:rPr>
          <w:rFonts w:ascii="宋体" w:eastAsia="宋体" w:hAnsi="宋体" w:cs="Times New Roman"/>
          <w:sz w:val="24"/>
        </w:rPr>
      </w:pPr>
    </w:p>
    <w:p w14:paraId="0572BAB6" w14:textId="77777777" w:rsidR="009B4CAE" w:rsidRPr="009B4CAE" w:rsidRDefault="009B4CAE" w:rsidP="009B4CAE">
      <w:pPr>
        <w:tabs>
          <w:tab w:val="left" w:pos="2422"/>
        </w:tabs>
        <w:jc w:val="left"/>
        <w:rPr>
          <w:rFonts w:ascii="Calibri" w:eastAsia="宋体" w:hAnsi="Calibri" w:cs="Times New Roman"/>
          <w:lang w:val="zh-CN"/>
        </w:rPr>
      </w:pPr>
    </w:p>
    <w:p w14:paraId="1D7191E4" w14:textId="77777777" w:rsidR="009B4CAE" w:rsidRPr="009B4CAE" w:rsidRDefault="009B4CAE" w:rsidP="009B4CAE">
      <w:pPr>
        <w:spacing w:beforeLines="50" w:before="156" w:afterLines="50" w:after="156" w:line="440" w:lineRule="exact"/>
        <w:ind w:firstLineChars="200" w:firstLine="560"/>
        <w:rPr>
          <w:rFonts w:ascii="黑体" w:eastAsia="黑体" w:hAnsi="黑体" w:cs="Times New Roman"/>
          <w:sz w:val="28"/>
          <w:szCs w:val="28"/>
        </w:rPr>
      </w:pPr>
    </w:p>
    <w:p w14:paraId="28F68D07" w14:textId="77777777" w:rsidR="009B4CAE" w:rsidRPr="009B4CAE" w:rsidRDefault="009B4CAE" w:rsidP="009B4CAE">
      <w:pPr>
        <w:spacing w:line="440" w:lineRule="exact"/>
        <w:ind w:firstLineChars="200" w:firstLine="560"/>
        <w:jc w:val="center"/>
        <w:rPr>
          <w:rFonts w:ascii="黑体" w:eastAsia="黑体" w:hAnsi="黑体" w:cs="Times New Roman"/>
          <w:sz w:val="28"/>
          <w:szCs w:val="28"/>
        </w:rPr>
      </w:pPr>
    </w:p>
    <w:p w14:paraId="158D1E09" w14:textId="77777777" w:rsidR="009B4CAE" w:rsidRPr="009B4CAE" w:rsidRDefault="009B4CAE" w:rsidP="009B4CAE">
      <w:pPr>
        <w:spacing w:line="440" w:lineRule="exact"/>
        <w:ind w:firstLineChars="200" w:firstLine="560"/>
        <w:jc w:val="center"/>
        <w:rPr>
          <w:rFonts w:ascii="黑体" w:eastAsia="黑体" w:hAnsi="黑体" w:cs="Times New Roman"/>
          <w:sz w:val="28"/>
          <w:szCs w:val="28"/>
        </w:rPr>
      </w:pPr>
    </w:p>
    <w:p w14:paraId="61C60699" w14:textId="77777777" w:rsidR="009B4CAE" w:rsidRPr="009B4CAE" w:rsidRDefault="009B4CAE" w:rsidP="009B4CAE">
      <w:pPr>
        <w:spacing w:line="440" w:lineRule="exact"/>
        <w:ind w:firstLineChars="200" w:firstLine="560"/>
        <w:jc w:val="center"/>
        <w:rPr>
          <w:rFonts w:ascii="黑体" w:eastAsia="黑体" w:hAnsi="黑体" w:cs="Times New Roman"/>
          <w:sz w:val="28"/>
          <w:szCs w:val="28"/>
        </w:rPr>
      </w:pPr>
    </w:p>
    <w:p w14:paraId="04F818CB" w14:textId="77777777" w:rsidR="009B4CAE" w:rsidRPr="009B4CAE" w:rsidRDefault="009B4CAE" w:rsidP="009B4CAE">
      <w:pPr>
        <w:spacing w:line="440" w:lineRule="exact"/>
        <w:ind w:firstLineChars="200" w:firstLine="560"/>
        <w:jc w:val="center"/>
        <w:rPr>
          <w:rFonts w:ascii="黑体" w:eastAsia="黑体" w:hAnsi="黑体" w:cs="Times New Roman"/>
          <w:sz w:val="28"/>
          <w:szCs w:val="28"/>
        </w:rPr>
      </w:pPr>
    </w:p>
    <w:p w14:paraId="3CDBC4DD" w14:textId="77777777" w:rsidR="009B4CAE" w:rsidRPr="009B4CAE" w:rsidRDefault="009B4CAE" w:rsidP="009B4CAE">
      <w:pPr>
        <w:spacing w:line="440" w:lineRule="exact"/>
        <w:ind w:firstLineChars="200" w:firstLine="560"/>
        <w:jc w:val="center"/>
        <w:rPr>
          <w:rFonts w:ascii="黑体" w:eastAsia="黑体" w:hAnsi="黑体" w:cs="Times New Roman"/>
          <w:sz w:val="28"/>
          <w:szCs w:val="28"/>
        </w:rPr>
      </w:pPr>
    </w:p>
    <w:p w14:paraId="561C3710" w14:textId="77777777" w:rsidR="001B5FF5" w:rsidRPr="001B5FF5" w:rsidRDefault="001B5FF5" w:rsidP="001B5FF5">
      <w:pPr>
        <w:spacing w:beforeLines="100" w:before="312" w:afterLines="100" w:after="312" w:line="440" w:lineRule="exact"/>
        <w:jc w:val="center"/>
        <w:rPr>
          <w:rFonts w:ascii="黑体" w:eastAsia="黑体" w:hAnsi="黑体" w:cs="Times New Roman"/>
          <w:bCs/>
          <w:sz w:val="36"/>
          <w:szCs w:val="36"/>
        </w:rPr>
      </w:pPr>
      <w:r w:rsidRPr="001B5FF5">
        <w:rPr>
          <w:rFonts w:ascii="黑体" w:eastAsia="黑体" w:hAnsi="黑体" w:cs="Times New Roman" w:hint="eastAsia"/>
          <w:bCs/>
          <w:sz w:val="36"/>
          <w:szCs w:val="36"/>
        </w:rPr>
        <w:lastRenderedPageBreak/>
        <w:t>《武术》课程大纲</w:t>
      </w:r>
    </w:p>
    <w:p w14:paraId="1379466B" w14:textId="77777777" w:rsidR="001B5FF5" w:rsidRPr="001B5FF5" w:rsidRDefault="001B5FF5" w:rsidP="001B5FF5">
      <w:pPr>
        <w:spacing w:beforeLines="50" w:before="156" w:afterLines="50" w:after="156" w:line="440" w:lineRule="exact"/>
        <w:ind w:firstLineChars="200" w:firstLine="560"/>
        <w:rPr>
          <w:rFonts w:ascii="黑体" w:eastAsia="黑体" w:hAnsi="黑体" w:cs="Times New Roman"/>
          <w:sz w:val="28"/>
          <w:szCs w:val="28"/>
        </w:rPr>
      </w:pPr>
      <w:r w:rsidRPr="001B5FF5">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1B5FF5" w:rsidRPr="001B5FF5" w14:paraId="16E2EDED" w14:textId="77777777" w:rsidTr="00BF5EF3">
        <w:trPr>
          <w:trHeight w:val="886"/>
          <w:jc w:val="center"/>
        </w:trPr>
        <w:tc>
          <w:tcPr>
            <w:tcW w:w="1581" w:type="dxa"/>
            <w:vAlign w:val="center"/>
          </w:tcPr>
          <w:p w14:paraId="2E8F3609"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课程名称</w:t>
            </w:r>
          </w:p>
        </w:tc>
        <w:tc>
          <w:tcPr>
            <w:tcW w:w="2662" w:type="dxa"/>
            <w:vAlign w:val="center"/>
          </w:tcPr>
          <w:p w14:paraId="4718D5D4"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Calibri" w:cs="宋体" w:hint="eastAsia"/>
                <w:kern w:val="0"/>
                <w:sz w:val="24"/>
              </w:rPr>
              <w:t>武术</w:t>
            </w:r>
          </w:p>
        </w:tc>
        <w:tc>
          <w:tcPr>
            <w:tcW w:w="1482" w:type="dxa"/>
            <w:vAlign w:val="center"/>
          </w:tcPr>
          <w:p w14:paraId="1ED008B3"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课程代码</w:t>
            </w:r>
          </w:p>
        </w:tc>
        <w:tc>
          <w:tcPr>
            <w:tcW w:w="2797" w:type="dxa"/>
            <w:vAlign w:val="center"/>
          </w:tcPr>
          <w:p w14:paraId="2DEA76F9"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Calibri" w:cs="宋体" w:hint="eastAsia"/>
                <w:kern w:val="0"/>
                <w:sz w:val="24"/>
              </w:rPr>
              <w:t>091050</w:t>
            </w:r>
          </w:p>
        </w:tc>
      </w:tr>
      <w:tr w:rsidR="001B5FF5" w:rsidRPr="001B5FF5" w14:paraId="01B0614D" w14:textId="77777777" w:rsidTr="00BF5EF3">
        <w:trPr>
          <w:trHeight w:val="829"/>
          <w:jc w:val="center"/>
        </w:trPr>
        <w:tc>
          <w:tcPr>
            <w:tcW w:w="1581" w:type="dxa"/>
            <w:vAlign w:val="center"/>
          </w:tcPr>
          <w:p w14:paraId="1ACE4ACE"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课程类别</w:t>
            </w:r>
          </w:p>
        </w:tc>
        <w:tc>
          <w:tcPr>
            <w:tcW w:w="2662" w:type="dxa"/>
            <w:vAlign w:val="center"/>
          </w:tcPr>
          <w:p w14:paraId="77189307"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Calibri" w:cs="宋体" w:hint="eastAsia"/>
                <w:kern w:val="0"/>
                <w:sz w:val="24"/>
              </w:rPr>
              <w:t>公共必修课程</w:t>
            </w:r>
          </w:p>
        </w:tc>
        <w:tc>
          <w:tcPr>
            <w:tcW w:w="1482" w:type="dxa"/>
            <w:vAlign w:val="center"/>
          </w:tcPr>
          <w:p w14:paraId="04CD7DB7"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学时</w:t>
            </w:r>
          </w:p>
          <w:p w14:paraId="5A5C86DB"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/学分</w:t>
            </w:r>
          </w:p>
        </w:tc>
        <w:tc>
          <w:tcPr>
            <w:tcW w:w="2797" w:type="dxa"/>
            <w:vAlign w:val="center"/>
          </w:tcPr>
          <w:p w14:paraId="2AAE744C"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144/4</w:t>
            </w:r>
          </w:p>
        </w:tc>
      </w:tr>
      <w:tr w:rsidR="001B5FF5" w:rsidRPr="001B5FF5" w14:paraId="1207F6F7" w14:textId="77777777" w:rsidTr="00BF5EF3">
        <w:trPr>
          <w:trHeight w:val="811"/>
          <w:jc w:val="center"/>
        </w:trPr>
        <w:tc>
          <w:tcPr>
            <w:tcW w:w="1581" w:type="dxa"/>
            <w:vAlign w:val="center"/>
          </w:tcPr>
          <w:p w14:paraId="66918AB5"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开课单位</w:t>
            </w:r>
          </w:p>
        </w:tc>
        <w:tc>
          <w:tcPr>
            <w:tcW w:w="2662" w:type="dxa"/>
            <w:vAlign w:val="center"/>
          </w:tcPr>
          <w:p w14:paraId="78832362"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sz w:val="24"/>
              </w:rPr>
              <w:t>石家庄学院体育学院</w:t>
            </w:r>
          </w:p>
        </w:tc>
        <w:tc>
          <w:tcPr>
            <w:tcW w:w="1482" w:type="dxa"/>
            <w:vAlign w:val="center"/>
          </w:tcPr>
          <w:p w14:paraId="59F17171"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适用专业</w:t>
            </w:r>
          </w:p>
        </w:tc>
        <w:tc>
          <w:tcPr>
            <w:tcW w:w="2797" w:type="dxa"/>
            <w:vAlign w:val="center"/>
          </w:tcPr>
          <w:p w14:paraId="1E99EC39" w14:textId="77777777" w:rsidR="001B5FF5" w:rsidRPr="001B5FF5" w:rsidRDefault="006D6C0A" w:rsidP="001B5FF5">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1B5FF5" w:rsidRPr="001B5FF5" w14:paraId="46B55DCD" w14:textId="77777777" w:rsidTr="00BF5EF3">
        <w:trPr>
          <w:trHeight w:val="811"/>
          <w:jc w:val="center"/>
        </w:trPr>
        <w:tc>
          <w:tcPr>
            <w:tcW w:w="1581" w:type="dxa"/>
            <w:vAlign w:val="center"/>
          </w:tcPr>
          <w:p w14:paraId="569A144E"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课程负责人</w:t>
            </w:r>
          </w:p>
        </w:tc>
        <w:tc>
          <w:tcPr>
            <w:tcW w:w="6941" w:type="dxa"/>
            <w:gridSpan w:val="3"/>
            <w:vAlign w:val="center"/>
          </w:tcPr>
          <w:p w14:paraId="7009E57A"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李</w:t>
            </w:r>
            <w:proofErr w:type="gramStart"/>
            <w:r w:rsidRPr="001B5FF5">
              <w:rPr>
                <w:rFonts w:ascii="宋体" w:eastAsia="宋体" w:hAnsi="宋体" w:cs="Times New Roman" w:hint="eastAsia"/>
                <w:sz w:val="24"/>
              </w:rPr>
              <w:t>世</w:t>
            </w:r>
            <w:proofErr w:type="gramEnd"/>
            <w:r w:rsidRPr="001B5FF5">
              <w:rPr>
                <w:rFonts w:ascii="宋体" w:eastAsia="宋体" w:hAnsi="宋体" w:cs="Times New Roman" w:hint="eastAsia"/>
                <w:sz w:val="24"/>
              </w:rPr>
              <w:t>光、贾富池、赵建波、平娜</w:t>
            </w:r>
          </w:p>
        </w:tc>
      </w:tr>
      <w:tr w:rsidR="001B5FF5" w:rsidRPr="001B5FF5" w14:paraId="1A84020C" w14:textId="77777777" w:rsidTr="00BF5EF3">
        <w:trPr>
          <w:trHeight w:val="836"/>
          <w:jc w:val="center"/>
        </w:trPr>
        <w:tc>
          <w:tcPr>
            <w:tcW w:w="1581" w:type="dxa"/>
            <w:vAlign w:val="center"/>
          </w:tcPr>
          <w:p w14:paraId="36DC4B47"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大纲撰写人</w:t>
            </w:r>
          </w:p>
        </w:tc>
        <w:tc>
          <w:tcPr>
            <w:tcW w:w="2662" w:type="dxa"/>
            <w:vAlign w:val="center"/>
          </w:tcPr>
          <w:p w14:paraId="3C40B969"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李</w:t>
            </w:r>
            <w:proofErr w:type="gramStart"/>
            <w:r w:rsidRPr="001B5FF5">
              <w:rPr>
                <w:rFonts w:ascii="宋体" w:eastAsia="宋体" w:hAnsi="宋体" w:cs="Times New Roman" w:hint="eastAsia"/>
                <w:sz w:val="24"/>
              </w:rPr>
              <w:t>世</w:t>
            </w:r>
            <w:proofErr w:type="gramEnd"/>
            <w:r w:rsidRPr="001B5FF5">
              <w:rPr>
                <w:rFonts w:ascii="宋体" w:eastAsia="宋体" w:hAnsi="宋体" w:cs="Times New Roman" w:hint="eastAsia"/>
                <w:sz w:val="24"/>
              </w:rPr>
              <w:t>光</w:t>
            </w:r>
          </w:p>
        </w:tc>
        <w:tc>
          <w:tcPr>
            <w:tcW w:w="1482" w:type="dxa"/>
            <w:vAlign w:val="center"/>
          </w:tcPr>
          <w:p w14:paraId="1A15CA16"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大纲审核人</w:t>
            </w:r>
          </w:p>
        </w:tc>
        <w:tc>
          <w:tcPr>
            <w:tcW w:w="2797" w:type="dxa"/>
            <w:vAlign w:val="center"/>
          </w:tcPr>
          <w:p w14:paraId="50F678C5" w14:textId="77777777" w:rsidR="001B5FF5" w:rsidRPr="001B5FF5" w:rsidRDefault="001B5FF5" w:rsidP="001B5FF5">
            <w:pPr>
              <w:spacing w:line="440" w:lineRule="exact"/>
              <w:jc w:val="center"/>
              <w:rPr>
                <w:rFonts w:ascii="宋体" w:eastAsia="宋体" w:hAnsi="宋体" w:cs="Times New Roman"/>
                <w:sz w:val="24"/>
              </w:rPr>
            </w:pPr>
            <w:proofErr w:type="gramStart"/>
            <w:r w:rsidRPr="001B5FF5">
              <w:rPr>
                <w:rFonts w:ascii="宋体" w:eastAsia="宋体" w:hAnsi="宋体" w:cs="Times New Roman" w:hint="eastAsia"/>
                <w:sz w:val="24"/>
              </w:rPr>
              <w:t>左健</w:t>
            </w:r>
            <w:proofErr w:type="gramEnd"/>
          </w:p>
        </w:tc>
      </w:tr>
      <w:tr w:rsidR="001B5FF5" w:rsidRPr="001B5FF5" w14:paraId="1316CD6D" w14:textId="77777777" w:rsidTr="00BF5EF3">
        <w:trPr>
          <w:trHeight w:val="848"/>
          <w:jc w:val="center"/>
        </w:trPr>
        <w:tc>
          <w:tcPr>
            <w:tcW w:w="1581" w:type="dxa"/>
            <w:vAlign w:val="center"/>
          </w:tcPr>
          <w:p w14:paraId="554F5016"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先修课程</w:t>
            </w:r>
          </w:p>
        </w:tc>
        <w:tc>
          <w:tcPr>
            <w:tcW w:w="6941" w:type="dxa"/>
            <w:gridSpan w:val="3"/>
            <w:vAlign w:val="center"/>
          </w:tcPr>
          <w:p w14:paraId="5EC05201" w14:textId="77777777" w:rsidR="001B5FF5" w:rsidRPr="001B5FF5" w:rsidRDefault="001B5FF5" w:rsidP="001B5FF5">
            <w:pPr>
              <w:spacing w:line="440" w:lineRule="exact"/>
              <w:jc w:val="center"/>
              <w:rPr>
                <w:rFonts w:ascii="宋体" w:eastAsia="宋体" w:hAnsi="宋体" w:cs="Times New Roman"/>
                <w:sz w:val="24"/>
              </w:rPr>
            </w:pPr>
          </w:p>
        </w:tc>
      </w:tr>
      <w:tr w:rsidR="001B5FF5" w:rsidRPr="001B5FF5" w14:paraId="2A454756" w14:textId="77777777" w:rsidTr="00BF5EF3">
        <w:trPr>
          <w:trHeight w:val="848"/>
          <w:jc w:val="center"/>
        </w:trPr>
        <w:tc>
          <w:tcPr>
            <w:tcW w:w="1581" w:type="dxa"/>
            <w:vAlign w:val="center"/>
          </w:tcPr>
          <w:p w14:paraId="6CD39900"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课程网址</w:t>
            </w:r>
          </w:p>
        </w:tc>
        <w:tc>
          <w:tcPr>
            <w:tcW w:w="6941" w:type="dxa"/>
            <w:gridSpan w:val="3"/>
            <w:vAlign w:val="center"/>
          </w:tcPr>
          <w:p w14:paraId="0CA17D01" w14:textId="77777777" w:rsidR="001B5FF5" w:rsidRPr="001B5FF5" w:rsidRDefault="001B5FF5" w:rsidP="001B5FF5">
            <w:pPr>
              <w:spacing w:line="440" w:lineRule="exact"/>
              <w:rPr>
                <w:rFonts w:ascii="宋体" w:eastAsia="宋体" w:hAnsi="宋体" w:cs="Times New Roman"/>
                <w:color w:val="FF0000"/>
                <w:sz w:val="24"/>
              </w:rPr>
            </w:pPr>
          </w:p>
        </w:tc>
      </w:tr>
    </w:tbl>
    <w:p w14:paraId="3ECE7C05" w14:textId="77777777" w:rsidR="001B5FF5" w:rsidRPr="001B5FF5" w:rsidRDefault="001B5FF5" w:rsidP="001B5FF5">
      <w:pPr>
        <w:spacing w:beforeLines="50" w:before="156" w:afterLines="50" w:after="156" w:line="440" w:lineRule="exact"/>
        <w:ind w:firstLineChars="200" w:firstLine="560"/>
        <w:rPr>
          <w:rFonts w:ascii="黑体" w:eastAsia="黑体" w:hAnsi="黑体" w:cs="Times New Roman"/>
          <w:sz w:val="28"/>
          <w:szCs w:val="28"/>
        </w:rPr>
      </w:pPr>
      <w:r w:rsidRPr="001B5FF5">
        <w:rPr>
          <w:rFonts w:ascii="黑体" w:eastAsia="黑体" w:hAnsi="黑体" w:cs="Times New Roman" w:hint="eastAsia"/>
          <w:sz w:val="28"/>
          <w:szCs w:val="28"/>
        </w:rPr>
        <w:t>二、课程学习目标及与毕业要求的对应关系</w:t>
      </w:r>
    </w:p>
    <w:p w14:paraId="12789420" w14:textId="77777777" w:rsidR="001B5FF5" w:rsidRPr="001B5FF5" w:rsidRDefault="001B5FF5" w:rsidP="001B5FF5">
      <w:pPr>
        <w:spacing w:beforeLines="50" w:before="156" w:afterLines="50" w:after="156" w:line="440" w:lineRule="exact"/>
        <w:ind w:firstLineChars="200" w:firstLine="560"/>
        <w:rPr>
          <w:rFonts w:ascii="黑体" w:eastAsia="黑体" w:hAnsi="黑体" w:cs="Times New Roman"/>
          <w:sz w:val="28"/>
          <w:szCs w:val="28"/>
        </w:rPr>
      </w:pPr>
      <w:r w:rsidRPr="001B5FF5">
        <w:rPr>
          <w:rFonts w:ascii="黑体" w:eastAsia="黑体" w:hAnsi="黑体" w:cs="Times New Roman" w:hint="eastAsia"/>
          <w:sz w:val="28"/>
          <w:szCs w:val="28"/>
        </w:rPr>
        <w:t>（一）课程学习目标</w:t>
      </w:r>
    </w:p>
    <w:p w14:paraId="36D74DF7"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通过本课程的学习，使学生达到以下目标：</w:t>
      </w:r>
    </w:p>
    <w:p w14:paraId="7CD6DB5D"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w:t>
      </w:r>
      <w:r w:rsidRPr="006D5349">
        <w:rPr>
          <w:rFonts w:ascii="宋体" w:eastAsia="宋体" w:hAnsi="宋体" w:cs="仿宋_GB2312" w:hint="eastAsia"/>
          <w:b/>
          <w:bCs/>
          <w:sz w:val="24"/>
        </w:rPr>
        <w:t>【毕业要求8/10 职业规范】</w:t>
      </w:r>
    </w:p>
    <w:p w14:paraId="59AA686F" w14:textId="77777777" w:rsidR="001B5FF5" w:rsidRPr="006D5349" w:rsidRDefault="001B5FF5" w:rsidP="001B5FF5">
      <w:pPr>
        <w:spacing w:line="440" w:lineRule="exact"/>
        <w:ind w:firstLineChars="200" w:firstLine="480"/>
        <w:rPr>
          <w:rFonts w:ascii="宋体" w:eastAsia="宋体" w:hAnsi="宋体" w:cs="Times New Roman"/>
          <w:b/>
          <w:bCs/>
          <w:sz w:val="24"/>
        </w:rPr>
      </w:pPr>
      <w:r w:rsidRPr="001B5FF5">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w:t>
      </w:r>
      <w:r w:rsidRPr="006D5349">
        <w:rPr>
          <w:rFonts w:ascii="宋体" w:eastAsia="宋体" w:hAnsi="宋体" w:cs="仿宋_GB2312" w:hint="eastAsia"/>
          <w:b/>
          <w:bCs/>
          <w:sz w:val="24"/>
        </w:rPr>
        <w:t>【毕业要求8/10 沟通】</w:t>
      </w:r>
    </w:p>
    <w:p w14:paraId="797548A8" w14:textId="77777777" w:rsidR="001B5FF5" w:rsidRPr="006D5349" w:rsidRDefault="001B5FF5" w:rsidP="001B5FF5">
      <w:pPr>
        <w:spacing w:line="440" w:lineRule="exact"/>
        <w:ind w:firstLineChars="200" w:firstLine="480"/>
        <w:rPr>
          <w:rFonts w:ascii="宋体" w:eastAsia="宋体" w:hAnsi="宋体" w:cs="Times New Roman"/>
          <w:b/>
          <w:bCs/>
          <w:sz w:val="24"/>
        </w:rPr>
      </w:pPr>
      <w:r w:rsidRPr="001B5FF5">
        <w:rPr>
          <w:rFonts w:ascii="宋体" w:eastAsia="宋体" w:hAnsi="宋体" w:cs="仿宋_GB2312" w:hint="eastAsia"/>
          <w:sz w:val="24"/>
        </w:rPr>
        <w:lastRenderedPageBreak/>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w:t>
      </w:r>
      <w:r w:rsidRPr="006D5349">
        <w:rPr>
          <w:rFonts w:ascii="宋体" w:eastAsia="宋体" w:hAnsi="宋体" w:cs="仿宋_GB2312" w:hint="eastAsia"/>
          <w:b/>
          <w:bCs/>
          <w:sz w:val="24"/>
        </w:rPr>
        <w:t>【毕业要求8/12 终身学习】</w:t>
      </w:r>
    </w:p>
    <w:p w14:paraId="2371492C" w14:textId="77777777" w:rsidR="001B5FF5" w:rsidRPr="001B5FF5" w:rsidRDefault="001B5FF5" w:rsidP="001B5FF5">
      <w:pPr>
        <w:spacing w:beforeLines="50" w:before="156" w:afterLines="50" w:after="156" w:line="440" w:lineRule="exact"/>
        <w:ind w:firstLineChars="200" w:firstLine="560"/>
        <w:rPr>
          <w:rFonts w:ascii="黑体" w:eastAsia="黑体" w:hAnsi="黑体" w:cs="Times New Roman"/>
          <w:sz w:val="28"/>
          <w:szCs w:val="28"/>
        </w:rPr>
      </w:pPr>
      <w:r w:rsidRPr="001B5FF5">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1B5FF5" w:rsidRPr="001B5FF5" w14:paraId="6A1736AD" w14:textId="77777777" w:rsidTr="00BF5EF3">
        <w:trPr>
          <w:trHeight w:val="815"/>
          <w:jc w:val="center"/>
        </w:trPr>
        <w:tc>
          <w:tcPr>
            <w:tcW w:w="1708" w:type="dxa"/>
            <w:vAlign w:val="center"/>
          </w:tcPr>
          <w:p w14:paraId="4C10E571" w14:textId="77777777" w:rsidR="001B5FF5" w:rsidRPr="001B5FF5" w:rsidRDefault="001B5FF5" w:rsidP="001B5FF5">
            <w:pPr>
              <w:spacing w:line="440" w:lineRule="exact"/>
              <w:jc w:val="center"/>
              <w:rPr>
                <w:rFonts w:ascii="宋体" w:eastAsia="宋体" w:hAnsi="宋体" w:cs="Times New Roman"/>
                <w:b/>
                <w:sz w:val="24"/>
              </w:rPr>
            </w:pPr>
            <w:r w:rsidRPr="001B5FF5">
              <w:rPr>
                <w:rFonts w:ascii="宋体" w:eastAsia="宋体" w:hAnsi="宋体" w:cs="Times New Roman" w:hint="eastAsia"/>
                <w:b/>
                <w:sz w:val="24"/>
              </w:rPr>
              <w:t>毕业要求</w:t>
            </w:r>
          </w:p>
        </w:tc>
        <w:tc>
          <w:tcPr>
            <w:tcW w:w="5954" w:type="dxa"/>
            <w:vAlign w:val="center"/>
          </w:tcPr>
          <w:p w14:paraId="3F3EEC54" w14:textId="77777777" w:rsidR="001B5FF5" w:rsidRPr="001B5FF5" w:rsidRDefault="001B5FF5" w:rsidP="001B5FF5">
            <w:pPr>
              <w:spacing w:line="440" w:lineRule="exact"/>
              <w:jc w:val="center"/>
              <w:rPr>
                <w:rFonts w:ascii="宋体" w:eastAsia="宋体" w:hAnsi="宋体" w:cs="Times New Roman"/>
                <w:b/>
                <w:sz w:val="24"/>
              </w:rPr>
            </w:pPr>
            <w:r w:rsidRPr="001B5FF5">
              <w:rPr>
                <w:rFonts w:ascii="宋体" w:eastAsia="宋体" w:hAnsi="宋体" w:cs="Times New Roman" w:hint="eastAsia"/>
                <w:b/>
                <w:sz w:val="24"/>
              </w:rPr>
              <w:t>毕业要求指标点</w:t>
            </w:r>
          </w:p>
        </w:tc>
        <w:tc>
          <w:tcPr>
            <w:tcW w:w="1507" w:type="dxa"/>
            <w:vAlign w:val="center"/>
          </w:tcPr>
          <w:p w14:paraId="6BFD28E8" w14:textId="77777777" w:rsidR="001B5FF5" w:rsidRPr="001B5FF5" w:rsidRDefault="001B5FF5" w:rsidP="001B5FF5">
            <w:pPr>
              <w:spacing w:line="440" w:lineRule="exact"/>
              <w:jc w:val="center"/>
              <w:rPr>
                <w:rFonts w:ascii="宋体" w:eastAsia="宋体" w:hAnsi="宋体" w:cs="Times New Roman"/>
                <w:b/>
                <w:sz w:val="24"/>
              </w:rPr>
            </w:pPr>
            <w:r w:rsidRPr="001B5FF5">
              <w:rPr>
                <w:rFonts w:ascii="宋体" w:eastAsia="宋体" w:hAnsi="宋体" w:cs="Times New Roman" w:hint="eastAsia"/>
                <w:b/>
                <w:sz w:val="24"/>
              </w:rPr>
              <w:t>课程目标</w:t>
            </w:r>
          </w:p>
        </w:tc>
      </w:tr>
      <w:tr w:rsidR="001B5FF5" w:rsidRPr="001B5FF5" w14:paraId="085A3D4E" w14:textId="77777777" w:rsidTr="00BF5EF3">
        <w:trPr>
          <w:jc w:val="center"/>
        </w:trPr>
        <w:tc>
          <w:tcPr>
            <w:tcW w:w="1708" w:type="dxa"/>
            <w:vAlign w:val="center"/>
          </w:tcPr>
          <w:p w14:paraId="1799885B"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职业规范</w:t>
            </w:r>
            <w:r w:rsidRPr="001B5FF5">
              <w:rPr>
                <w:rFonts w:ascii="宋体" w:eastAsia="宋体" w:hAnsi="宋体" w:cs="Times New Roman"/>
                <w:sz w:val="24"/>
              </w:rPr>
              <w:t>（</w:t>
            </w:r>
            <w:r w:rsidRPr="001B5FF5">
              <w:rPr>
                <w:rFonts w:ascii="宋体" w:eastAsia="宋体" w:hAnsi="宋体" w:cs="Times New Roman" w:hint="eastAsia"/>
                <w:sz w:val="24"/>
              </w:rPr>
              <w:t>M</w:t>
            </w:r>
            <w:r w:rsidRPr="001B5FF5">
              <w:rPr>
                <w:rFonts w:ascii="宋体" w:eastAsia="宋体" w:hAnsi="宋体" w:cs="Times New Roman"/>
                <w:sz w:val="24"/>
              </w:rPr>
              <w:t>）</w:t>
            </w:r>
          </w:p>
        </w:tc>
        <w:tc>
          <w:tcPr>
            <w:tcW w:w="5954" w:type="dxa"/>
            <w:vAlign w:val="center"/>
          </w:tcPr>
          <w:p w14:paraId="7810C80C" w14:textId="77777777" w:rsidR="001B5FF5" w:rsidRPr="001B5FF5" w:rsidRDefault="001B5FF5" w:rsidP="001B5FF5">
            <w:pPr>
              <w:spacing w:line="440" w:lineRule="exact"/>
              <w:rPr>
                <w:rFonts w:ascii="宋体" w:eastAsia="宋体" w:hAnsi="宋体" w:cs="仿宋_GB2312"/>
                <w:sz w:val="24"/>
              </w:rPr>
            </w:pPr>
          </w:p>
          <w:p w14:paraId="36D76F05" w14:textId="77777777" w:rsidR="001B5FF5" w:rsidRPr="001B5FF5" w:rsidRDefault="001B5FF5" w:rsidP="001B5FF5">
            <w:pPr>
              <w:spacing w:line="440" w:lineRule="exact"/>
              <w:rPr>
                <w:rFonts w:ascii="宋体" w:eastAsia="宋体" w:hAnsi="宋体" w:cs="仿宋_GB2312"/>
                <w:sz w:val="24"/>
              </w:rPr>
            </w:pPr>
          </w:p>
          <w:p w14:paraId="01CAD3A2" w14:textId="77777777" w:rsidR="001B5FF5" w:rsidRPr="001B5FF5" w:rsidRDefault="001B5FF5" w:rsidP="001B5FF5">
            <w:pPr>
              <w:spacing w:line="440" w:lineRule="exact"/>
              <w:rPr>
                <w:rFonts w:ascii="宋体" w:eastAsia="宋体" w:hAnsi="宋体" w:cs="Times New Roman"/>
                <w:sz w:val="24"/>
              </w:rPr>
            </w:pPr>
          </w:p>
        </w:tc>
        <w:tc>
          <w:tcPr>
            <w:tcW w:w="1507" w:type="dxa"/>
            <w:vAlign w:val="center"/>
          </w:tcPr>
          <w:p w14:paraId="5D25A5E5" w14:textId="77777777" w:rsidR="001B5FF5" w:rsidRPr="001B5FF5" w:rsidRDefault="001B5FF5" w:rsidP="001B5FF5">
            <w:pPr>
              <w:spacing w:line="440" w:lineRule="exact"/>
              <w:rPr>
                <w:rFonts w:ascii="宋体" w:eastAsia="宋体" w:hAnsi="宋体" w:cs="Times New Roman"/>
                <w:sz w:val="24"/>
              </w:rPr>
            </w:pPr>
            <w:r w:rsidRPr="001B5FF5">
              <w:rPr>
                <w:rFonts w:ascii="宋体" w:eastAsia="宋体" w:hAnsi="宋体" w:cs="Times New Roman" w:hint="eastAsia"/>
                <w:sz w:val="24"/>
              </w:rPr>
              <w:t>课程目标1</w:t>
            </w:r>
          </w:p>
        </w:tc>
      </w:tr>
      <w:tr w:rsidR="001B5FF5" w:rsidRPr="001B5FF5" w14:paraId="6E2DC5F5" w14:textId="77777777" w:rsidTr="00BF5EF3">
        <w:trPr>
          <w:jc w:val="center"/>
        </w:trPr>
        <w:tc>
          <w:tcPr>
            <w:tcW w:w="1708" w:type="dxa"/>
            <w:vAlign w:val="center"/>
          </w:tcPr>
          <w:p w14:paraId="08EE8E2A"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沟通</w:t>
            </w:r>
            <w:r w:rsidRPr="001B5FF5">
              <w:rPr>
                <w:rFonts w:ascii="宋体" w:eastAsia="宋体" w:hAnsi="宋体" w:cs="Times New Roman"/>
                <w:sz w:val="24"/>
              </w:rPr>
              <w:t>（</w:t>
            </w:r>
            <w:r w:rsidRPr="001B5FF5">
              <w:rPr>
                <w:rFonts w:ascii="宋体" w:eastAsia="宋体" w:hAnsi="宋体" w:cs="Times New Roman" w:hint="eastAsia"/>
                <w:sz w:val="24"/>
              </w:rPr>
              <w:t>M</w:t>
            </w:r>
            <w:r w:rsidRPr="001B5FF5">
              <w:rPr>
                <w:rFonts w:ascii="宋体" w:eastAsia="宋体" w:hAnsi="宋体" w:cs="Times New Roman"/>
                <w:sz w:val="24"/>
              </w:rPr>
              <w:t>）</w:t>
            </w:r>
          </w:p>
        </w:tc>
        <w:tc>
          <w:tcPr>
            <w:tcW w:w="5954" w:type="dxa"/>
            <w:vAlign w:val="center"/>
          </w:tcPr>
          <w:p w14:paraId="42D096E8" w14:textId="77777777" w:rsidR="001B5FF5" w:rsidRPr="001B5FF5" w:rsidRDefault="001B5FF5" w:rsidP="001B5FF5">
            <w:pPr>
              <w:spacing w:line="440" w:lineRule="exact"/>
              <w:rPr>
                <w:rFonts w:ascii="宋体" w:eastAsia="宋体" w:hAnsi="宋体" w:cs="Times New Roman"/>
                <w:sz w:val="24"/>
              </w:rPr>
            </w:pPr>
          </w:p>
          <w:p w14:paraId="573A1E38" w14:textId="77777777" w:rsidR="001B5FF5" w:rsidRPr="001B5FF5" w:rsidRDefault="001B5FF5" w:rsidP="001B5FF5">
            <w:pPr>
              <w:spacing w:line="440" w:lineRule="exact"/>
              <w:rPr>
                <w:rFonts w:ascii="宋体" w:eastAsia="宋体" w:hAnsi="宋体" w:cs="Times New Roman"/>
                <w:sz w:val="24"/>
              </w:rPr>
            </w:pPr>
          </w:p>
          <w:p w14:paraId="6BA61F4F" w14:textId="77777777" w:rsidR="001B5FF5" w:rsidRPr="001B5FF5" w:rsidRDefault="001B5FF5" w:rsidP="001B5FF5">
            <w:pPr>
              <w:spacing w:line="440" w:lineRule="exact"/>
              <w:rPr>
                <w:rFonts w:ascii="宋体" w:eastAsia="宋体" w:hAnsi="宋体" w:cs="仿宋_GB2312"/>
                <w:sz w:val="24"/>
              </w:rPr>
            </w:pPr>
          </w:p>
        </w:tc>
        <w:tc>
          <w:tcPr>
            <w:tcW w:w="1507" w:type="dxa"/>
            <w:vAlign w:val="center"/>
          </w:tcPr>
          <w:p w14:paraId="5F0C1927" w14:textId="77777777" w:rsidR="001B5FF5" w:rsidRPr="001B5FF5" w:rsidRDefault="001B5FF5" w:rsidP="001B5FF5">
            <w:pPr>
              <w:spacing w:line="440" w:lineRule="exact"/>
              <w:rPr>
                <w:rFonts w:ascii="宋体" w:eastAsia="宋体" w:hAnsi="宋体" w:cs="仿宋_GB2312"/>
                <w:sz w:val="24"/>
              </w:rPr>
            </w:pPr>
            <w:r w:rsidRPr="001B5FF5">
              <w:rPr>
                <w:rFonts w:ascii="宋体" w:eastAsia="宋体" w:hAnsi="宋体" w:cs="Times New Roman" w:hint="eastAsia"/>
                <w:sz w:val="24"/>
              </w:rPr>
              <w:t>课程目标</w:t>
            </w:r>
            <w:r w:rsidRPr="001B5FF5">
              <w:rPr>
                <w:rFonts w:ascii="宋体" w:eastAsia="宋体" w:hAnsi="宋体" w:cs="Times New Roman"/>
                <w:sz w:val="24"/>
              </w:rPr>
              <w:t>2</w:t>
            </w:r>
          </w:p>
        </w:tc>
      </w:tr>
      <w:tr w:rsidR="001B5FF5" w:rsidRPr="001B5FF5" w14:paraId="6430E57B" w14:textId="77777777" w:rsidTr="00BF5EF3">
        <w:trPr>
          <w:jc w:val="center"/>
        </w:trPr>
        <w:tc>
          <w:tcPr>
            <w:tcW w:w="1708" w:type="dxa"/>
            <w:vAlign w:val="center"/>
          </w:tcPr>
          <w:p w14:paraId="6D102B35"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终身学习</w:t>
            </w:r>
            <w:r w:rsidRPr="001B5FF5">
              <w:rPr>
                <w:rFonts w:ascii="宋体" w:eastAsia="宋体" w:hAnsi="宋体" w:cs="Times New Roman"/>
                <w:sz w:val="24"/>
              </w:rPr>
              <w:t>（</w:t>
            </w:r>
            <w:r w:rsidRPr="001B5FF5">
              <w:rPr>
                <w:rFonts w:ascii="宋体" w:eastAsia="宋体" w:hAnsi="宋体" w:cs="Times New Roman" w:hint="eastAsia"/>
                <w:sz w:val="24"/>
              </w:rPr>
              <w:t>H</w:t>
            </w:r>
            <w:r w:rsidRPr="001B5FF5">
              <w:rPr>
                <w:rFonts w:ascii="宋体" w:eastAsia="宋体" w:hAnsi="宋体" w:cs="Times New Roman"/>
                <w:sz w:val="24"/>
              </w:rPr>
              <w:t>）</w:t>
            </w:r>
          </w:p>
        </w:tc>
        <w:tc>
          <w:tcPr>
            <w:tcW w:w="5954" w:type="dxa"/>
            <w:vAlign w:val="center"/>
          </w:tcPr>
          <w:p w14:paraId="20567CFA" w14:textId="77777777" w:rsidR="001B5FF5" w:rsidRPr="001B5FF5" w:rsidRDefault="001B5FF5" w:rsidP="001B5FF5">
            <w:pPr>
              <w:spacing w:line="440" w:lineRule="exact"/>
              <w:rPr>
                <w:rFonts w:ascii="宋体" w:eastAsia="宋体" w:hAnsi="宋体" w:cs="仿宋_GB2312"/>
                <w:sz w:val="24"/>
              </w:rPr>
            </w:pPr>
          </w:p>
          <w:p w14:paraId="31054BE0" w14:textId="77777777" w:rsidR="001B5FF5" w:rsidRPr="001B5FF5" w:rsidRDefault="001B5FF5" w:rsidP="001B5FF5">
            <w:pPr>
              <w:spacing w:line="440" w:lineRule="exact"/>
              <w:rPr>
                <w:rFonts w:ascii="宋体" w:eastAsia="宋体" w:hAnsi="宋体" w:cs="仿宋_GB2312"/>
                <w:sz w:val="24"/>
              </w:rPr>
            </w:pPr>
          </w:p>
          <w:p w14:paraId="333CAE09" w14:textId="77777777" w:rsidR="001B5FF5" w:rsidRPr="001B5FF5" w:rsidRDefault="001B5FF5" w:rsidP="001B5FF5">
            <w:pPr>
              <w:spacing w:line="440" w:lineRule="exact"/>
              <w:rPr>
                <w:rFonts w:ascii="宋体" w:eastAsia="宋体" w:hAnsi="宋体" w:cs="Times New Roman"/>
                <w:sz w:val="24"/>
              </w:rPr>
            </w:pPr>
          </w:p>
        </w:tc>
        <w:tc>
          <w:tcPr>
            <w:tcW w:w="1507" w:type="dxa"/>
            <w:vAlign w:val="center"/>
          </w:tcPr>
          <w:p w14:paraId="39ED6B0F" w14:textId="77777777" w:rsidR="001B5FF5" w:rsidRPr="001B5FF5" w:rsidRDefault="001B5FF5" w:rsidP="001B5FF5">
            <w:pPr>
              <w:spacing w:line="440" w:lineRule="exact"/>
              <w:rPr>
                <w:rFonts w:ascii="宋体" w:eastAsia="宋体" w:hAnsi="宋体" w:cs="Times New Roman"/>
                <w:sz w:val="24"/>
              </w:rPr>
            </w:pPr>
            <w:r w:rsidRPr="001B5FF5">
              <w:rPr>
                <w:rFonts w:ascii="宋体" w:eastAsia="宋体" w:hAnsi="宋体" w:cs="Times New Roman"/>
                <w:sz w:val="24"/>
              </w:rPr>
              <w:t>课程目标3</w:t>
            </w:r>
          </w:p>
        </w:tc>
      </w:tr>
    </w:tbl>
    <w:p w14:paraId="42E08104" w14:textId="77777777" w:rsidR="001B5FF5" w:rsidRPr="001B5FF5" w:rsidRDefault="001B5FF5" w:rsidP="001B5FF5">
      <w:pPr>
        <w:rPr>
          <w:rFonts w:ascii="Calibri" w:eastAsia="宋体" w:hAnsi="Calibri" w:cs="Times New Roman"/>
        </w:rPr>
      </w:pPr>
    </w:p>
    <w:p w14:paraId="39C24E6B" w14:textId="77777777" w:rsidR="001B5FF5" w:rsidRPr="001B5FF5" w:rsidRDefault="001B5FF5" w:rsidP="001B5FF5">
      <w:pPr>
        <w:spacing w:beforeLines="50" w:before="156" w:afterLines="50" w:after="156" w:line="440" w:lineRule="exact"/>
        <w:ind w:firstLineChars="200" w:firstLine="560"/>
        <w:rPr>
          <w:rFonts w:ascii="黑体" w:eastAsia="黑体" w:hAnsi="黑体" w:cs="Times New Roman"/>
          <w:sz w:val="28"/>
          <w:szCs w:val="28"/>
        </w:rPr>
      </w:pPr>
      <w:r w:rsidRPr="001B5FF5">
        <w:rPr>
          <w:rFonts w:ascii="黑体" w:eastAsia="黑体" w:hAnsi="黑体" w:cs="Times New Roman" w:hint="eastAsia"/>
          <w:sz w:val="28"/>
          <w:szCs w:val="28"/>
        </w:rPr>
        <w:t>三、课程学习内容及与课程学习目标的对应关系</w:t>
      </w:r>
    </w:p>
    <w:p w14:paraId="6E474226" w14:textId="77777777" w:rsidR="001B5FF5" w:rsidRPr="001B5FF5" w:rsidRDefault="001B5FF5" w:rsidP="001B5FF5">
      <w:pPr>
        <w:spacing w:beforeLines="50" w:before="156" w:afterLines="50" w:after="156" w:line="440" w:lineRule="exact"/>
        <w:ind w:firstLineChars="200" w:firstLine="562"/>
        <w:rPr>
          <w:rFonts w:ascii="黑体" w:eastAsia="黑体" w:hAnsi="黑体" w:cs="Times New Roman"/>
          <w:b/>
          <w:sz w:val="28"/>
          <w:szCs w:val="28"/>
        </w:rPr>
      </w:pPr>
      <w:r w:rsidRPr="001B5FF5">
        <w:rPr>
          <w:rFonts w:ascii="黑体" w:eastAsia="黑体" w:hAnsi="黑体" w:cs="Times New Roman" w:hint="eastAsia"/>
          <w:b/>
          <w:sz w:val="28"/>
          <w:szCs w:val="28"/>
        </w:rPr>
        <w:t>（一）课程学习内容</w:t>
      </w:r>
    </w:p>
    <w:p w14:paraId="3EC19F7F" w14:textId="77777777" w:rsidR="001B5FF5" w:rsidRPr="001B5FF5" w:rsidRDefault="001B5FF5" w:rsidP="001B5FF5">
      <w:pPr>
        <w:spacing w:beforeLines="50" w:before="156" w:afterLines="50" w:after="156" w:line="440" w:lineRule="exact"/>
        <w:ind w:firstLineChars="200" w:firstLine="560"/>
        <w:jc w:val="center"/>
        <w:rPr>
          <w:rFonts w:ascii="黑体" w:eastAsia="黑体" w:hAnsi="黑体" w:cs="Times New Roman"/>
          <w:sz w:val="28"/>
          <w:szCs w:val="28"/>
        </w:rPr>
      </w:pPr>
      <w:r w:rsidRPr="001B5FF5">
        <w:rPr>
          <w:rFonts w:ascii="黑体" w:eastAsia="黑体" w:hAnsi="黑体" w:cs="Times New Roman" w:hint="eastAsia"/>
          <w:sz w:val="28"/>
          <w:szCs w:val="28"/>
        </w:rPr>
        <w:t>学习内容</w:t>
      </w:r>
      <w:proofErr w:type="gramStart"/>
      <w:r w:rsidRPr="001B5FF5">
        <w:rPr>
          <w:rFonts w:ascii="黑体" w:eastAsia="黑体" w:hAnsi="黑体" w:cs="Times New Roman" w:hint="eastAsia"/>
          <w:sz w:val="28"/>
          <w:szCs w:val="28"/>
        </w:rPr>
        <w:t>一</w:t>
      </w:r>
      <w:proofErr w:type="gramEnd"/>
      <w:r w:rsidRPr="001B5FF5">
        <w:rPr>
          <w:rFonts w:ascii="黑体" w:eastAsia="黑体" w:hAnsi="黑体" w:cs="Times New Roman" w:hint="eastAsia"/>
          <w:sz w:val="28"/>
          <w:szCs w:val="28"/>
        </w:rPr>
        <w:t xml:space="preserve"> 体能+ 武术</w:t>
      </w:r>
    </w:p>
    <w:p w14:paraId="25108FFF" w14:textId="77777777" w:rsidR="001B5FF5" w:rsidRPr="001B5FF5" w:rsidRDefault="001B5FF5" w:rsidP="001B5FF5">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1B5FF5">
        <w:rPr>
          <w:rFonts w:ascii="宋体" w:eastAsia="宋体" w:hAnsi="宋体" w:cs="Times New Roman" w:hint="eastAsia"/>
          <w:b/>
          <w:sz w:val="24"/>
        </w:rPr>
        <w:t>【学习目标】</w:t>
      </w:r>
    </w:p>
    <w:p w14:paraId="077100B5" w14:textId="77777777" w:rsidR="001B5FF5" w:rsidRPr="001B5FF5" w:rsidRDefault="001B5FF5" w:rsidP="001B5FF5">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1B5FF5">
        <w:rPr>
          <w:rFonts w:ascii="宋体" w:eastAsia="宋体" w:hAnsi="Calibri" w:cs="宋体" w:hint="eastAsia"/>
          <w:spacing w:val="5"/>
          <w:kern w:val="0"/>
          <w:sz w:val="24"/>
        </w:rPr>
        <w:t>1.</w:t>
      </w:r>
      <w:r w:rsidRPr="001B5FF5">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1B5FF5">
        <w:rPr>
          <w:rFonts w:ascii="宋体" w:eastAsia="宋体" w:hAnsi="Calibri" w:cs="宋体" w:hint="eastAsia"/>
          <w:spacing w:val="5"/>
          <w:kern w:val="0"/>
          <w:sz w:val="24"/>
        </w:rPr>
        <w:t>通过体能教学活动，</w:t>
      </w:r>
      <w:r w:rsidRPr="001B5FF5">
        <w:rPr>
          <w:rFonts w:ascii="宋体" w:eastAsia="宋体" w:hAnsi="宋体" w:cs="仿宋_GB2312" w:hint="eastAsia"/>
          <w:sz w:val="24"/>
        </w:rPr>
        <w:t>了解《大学生体质健康标准测验》项目内容、考核方式、评价标准，掌握考核内容锻炼的方式方法。</w:t>
      </w:r>
      <w:r w:rsidRPr="001B5FF5">
        <w:rPr>
          <w:rFonts w:ascii="宋体" w:eastAsia="宋体" w:hAnsi="Calibri" w:cs="宋体" w:hint="eastAsia"/>
          <w:spacing w:val="5"/>
          <w:kern w:val="0"/>
          <w:sz w:val="24"/>
        </w:rPr>
        <w:t>培养学生努力学习、不断进取、修身立业、顽强奋进的精神与品质。</w:t>
      </w:r>
    </w:p>
    <w:p w14:paraId="1534D5C8" w14:textId="77777777" w:rsidR="001B5FF5" w:rsidRPr="001B5FF5" w:rsidRDefault="001B5FF5" w:rsidP="001B5FF5">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1B5FF5">
        <w:rPr>
          <w:rFonts w:ascii="宋体" w:eastAsia="宋体" w:hAnsi="Calibri" w:cs="宋体" w:hint="eastAsia"/>
          <w:spacing w:val="5"/>
          <w:kern w:val="0"/>
          <w:sz w:val="24"/>
        </w:rPr>
        <w:t>2.</w:t>
      </w:r>
      <w:r w:rsidRPr="001B5FF5">
        <w:rPr>
          <w:rFonts w:ascii="宋体" w:eastAsia="宋体" w:hAnsi="宋体" w:cs="仿宋_GB2312" w:hint="eastAsia"/>
          <w:sz w:val="24"/>
        </w:rPr>
        <w:t>使学生学习和掌握体育与健康的基础知识、技能与方法。使学生了解体育与健</w:t>
      </w:r>
      <w:r w:rsidRPr="001B5FF5">
        <w:rPr>
          <w:rFonts w:ascii="宋体" w:eastAsia="宋体" w:hAnsi="宋体" w:cs="仿宋_GB2312" w:hint="eastAsia"/>
          <w:sz w:val="24"/>
        </w:rPr>
        <w:lastRenderedPageBreak/>
        <w:t>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1B5FF5">
        <w:rPr>
          <w:rFonts w:ascii="宋体" w:eastAsia="宋体" w:hAnsi="Calibri" w:cs="宋体" w:hint="eastAsia"/>
          <w:spacing w:val="5"/>
          <w:kern w:val="0"/>
          <w:sz w:val="24"/>
        </w:rPr>
        <w:t>。</w:t>
      </w:r>
    </w:p>
    <w:p w14:paraId="26FA0BB6" w14:textId="77777777" w:rsidR="001B5FF5" w:rsidRPr="001B5FF5" w:rsidRDefault="001B5FF5" w:rsidP="001B5FF5">
      <w:pPr>
        <w:autoSpaceDE w:val="0"/>
        <w:autoSpaceDN w:val="0"/>
        <w:adjustRightInd w:val="0"/>
        <w:snapToGrid w:val="0"/>
        <w:spacing w:line="500" w:lineRule="exact"/>
        <w:ind w:firstLineChars="200" w:firstLine="480"/>
        <w:rPr>
          <w:rFonts w:ascii="宋体" w:eastAsia="宋体" w:hAnsi="宋体" w:cs="仿宋_GB2312"/>
          <w:sz w:val="24"/>
        </w:rPr>
      </w:pPr>
      <w:r w:rsidRPr="001B5FF5">
        <w:rPr>
          <w:rFonts w:ascii="宋体" w:eastAsia="宋体" w:hAnsi="宋体" w:cs="仿宋_GB2312" w:hint="eastAsia"/>
          <w:sz w:val="24"/>
        </w:rPr>
        <w:t>3.使学生能够掌握武术的攻防技击动作，掌握武术知识、武术技能，做到健身、防身、修身为一体的体育实践性课程。学习武术长拳一段是武术的入门套路，以尚武崇德为文化核心，</w:t>
      </w:r>
      <w:proofErr w:type="gramStart"/>
      <w:r w:rsidRPr="001B5FF5">
        <w:rPr>
          <w:rFonts w:ascii="宋体" w:eastAsia="宋体" w:hAnsi="宋体" w:cs="仿宋_GB2312" w:hint="eastAsia"/>
          <w:sz w:val="24"/>
        </w:rPr>
        <w:t>以打练结合</w:t>
      </w:r>
      <w:proofErr w:type="gramEnd"/>
      <w:r w:rsidRPr="001B5FF5">
        <w:rPr>
          <w:rFonts w:ascii="宋体" w:eastAsia="宋体" w:hAnsi="宋体" w:cs="仿宋_GB2312" w:hint="eastAsia"/>
          <w:sz w:val="24"/>
        </w:rPr>
        <w:t>为技术模式，拳法刚劲快速，对大学生机体进行科学的培育，在提高人的生物潜能、心理潜能的过程中促进德、智、体、美全面发展，达到身心健康、全面发展的教育总目的。</w:t>
      </w:r>
    </w:p>
    <w:p w14:paraId="61A0057B" w14:textId="77777777" w:rsidR="001B5FF5" w:rsidRPr="001B5FF5" w:rsidRDefault="001B5FF5" w:rsidP="001B5FF5">
      <w:pPr>
        <w:spacing w:line="440" w:lineRule="exact"/>
        <w:ind w:firstLineChars="200" w:firstLine="500"/>
        <w:rPr>
          <w:rFonts w:ascii="宋体" w:eastAsia="宋体" w:hAnsi="Calibri" w:cs="宋体"/>
          <w:spacing w:val="5"/>
          <w:kern w:val="0"/>
          <w:sz w:val="24"/>
        </w:rPr>
      </w:pPr>
      <w:r w:rsidRPr="001B5FF5">
        <w:rPr>
          <w:rFonts w:ascii="宋体" w:eastAsia="宋体" w:hAnsi="Calibri" w:cs="宋体" w:hint="eastAsia"/>
          <w:spacing w:val="5"/>
          <w:kern w:val="0"/>
          <w:sz w:val="24"/>
        </w:rPr>
        <w:t>4.</w:t>
      </w:r>
      <w:r w:rsidRPr="001B5FF5">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1B5FF5">
        <w:rPr>
          <w:rFonts w:ascii="宋体" w:eastAsia="宋体" w:hAnsi="Calibri" w:cs="宋体" w:hint="eastAsia"/>
          <w:spacing w:val="5"/>
          <w:kern w:val="0"/>
          <w:sz w:val="24"/>
        </w:rPr>
        <w:t>。</w:t>
      </w:r>
    </w:p>
    <w:p w14:paraId="52FF1AA5" w14:textId="77777777" w:rsidR="001B5FF5" w:rsidRPr="001B5FF5" w:rsidRDefault="001B5FF5" w:rsidP="001B5FF5">
      <w:pPr>
        <w:spacing w:line="440" w:lineRule="exact"/>
        <w:rPr>
          <w:rFonts w:ascii="宋体" w:eastAsia="宋体" w:hAnsi="Calibri" w:cs="宋体"/>
          <w:spacing w:val="5"/>
          <w:kern w:val="0"/>
          <w:sz w:val="24"/>
        </w:rPr>
      </w:pPr>
    </w:p>
    <w:p w14:paraId="1FAE196A" w14:textId="77777777" w:rsidR="001B5FF5" w:rsidRPr="001B5FF5" w:rsidRDefault="001B5FF5" w:rsidP="001B5FF5">
      <w:pPr>
        <w:spacing w:line="440" w:lineRule="exact"/>
        <w:ind w:firstLineChars="200" w:firstLine="482"/>
        <w:rPr>
          <w:rFonts w:ascii="宋体" w:eastAsia="宋体" w:hAnsi="宋体" w:cs="Times New Roman"/>
          <w:bCs/>
          <w:color w:val="FF0000"/>
          <w:sz w:val="24"/>
        </w:rPr>
      </w:pPr>
      <w:r w:rsidRPr="001B5FF5">
        <w:rPr>
          <w:rFonts w:ascii="宋体" w:eastAsia="宋体" w:hAnsi="宋体" w:cs="Times New Roman" w:hint="eastAsia"/>
          <w:b/>
          <w:sz w:val="24"/>
        </w:rPr>
        <w:t>【学习内容】</w:t>
      </w:r>
    </w:p>
    <w:p w14:paraId="7511B971" w14:textId="77777777" w:rsidR="001B5FF5" w:rsidRPr="001B5FF5" w:rsidRDefault="001B5FF5" w:rsidP="001B5FF5">
      <w:pPr>
        <w:spacing w:beforeLines="50" w:before="156" w:afterLines="50" w:after="156" w:line="360" w:lineRule="auto"/>
        <w:jc w:val="center"/>
        <w:rPr>
          <w:rFonts w:ascii="宋体" w:eastAsia="宋体" w:hAnsi="宋体" w:cs="Arial"/>
          <w:b/>
          <w:sz w:val="28"/>
          <w:szCs w:val="28"/>
        </w:rPr>
      </w:pPr>
      <w:r w:rsidRPr="001B5FF5">
        <w:rPr>
          <w:rFonts w:ascii="宋体" w:eastAsia="宋体" w:hAnsi="宋体" w:cs="Arial" w:hint="eastAsia"/>
          <w:b/>
          <w:sz w:val="28"/>
          <w:szCs w:val="28"/>
        </w:rPr>
        <w:t>第一章</w:t>
      </w:r>
      <w:r w:rsidRPr="001B5FF5">
        <w:rPr>
          <w:rFonts w:ascii="宋体" w:eastAsia="宋体" w:hAnsi="宋体" w:cs="Arial"/>
          <w:b/>
          <w:sz w:val="28"/>
          <w:szCs w:val="28"/>
        </w:rPr>
        <w:t xml:space="preserve">   </w:t>
      </w:r>
      <w:r w:rsidRPr="001B5FF5">
        <w:rPr>
          <w:rFonts w:ascii="宋体" w:eastAsia="宋体" w:hAnsi="宋体" w:cs="Arial" w:hint="eastAsia"/>
          <w:b/>
          <w:sz w:val="28"/>
          <w:szCs w:val="28"/>
        </w:rPr>
        <w:t>认识健康的重要性（0.5学时）</w:t>
      </w:r>
    </w:p>
    <w:p w14:paraId="44041E42" w14:textId="77777777" w:rsidR="001B5FF5" w:rsidRPr="001B5FF5" w:rsidRDefault="001B5FF5" w:rsidP="001B5FF5">
      <w:pPr>
        <w:spacing w:before="50" w:after="50" w:line="360" w:lineRule="auto"/>
        <w:ind w:firstLineChars="196" w:firstLine="472"/>
        <w:rPr>
          <w:rFonts w:ascii="宋体" w:eastAsia="宋体" w:hAnsi="宋体" w:cs="Arial"/>
          <w:b/>
          <w:sz w:val="24"/>
        </w:rPr>
      </w:pPr>
      <w:r w:rsidRPr="001B5FF5">
        <w:rPr>
          <w:rFonts w:ascii="宋体" w:eastAsia="宋体" w:hAnsi="宋体" w:cs="Arial" w:hint="eastAsia"/>
          <w:b/>
          <w:sz w:val="24"/>
        </w:rPr>
        <w:t>本章主要教学内容：</w:t>
      </w:r>
    </w:p>
    <w:p w14:paraId="6D09ADB4" w14:textId="77777777" w:rsidR="001B5FF5" w:rsidRPr="001B5FF5" w:rsidRDefault="001B5FF5" w:rsidP="001B5FF5">
      <w:pPr>
        <w:spacing w:line="360" w:lineRule="auto"/>
        <w:ind w:firstLineChars="200" w:firstLine="480"/>
        <w:rPr>
          <w:rFonts w:ascii="宋体" w:eastAsia="宋体" w:hAnsi="宋体" w:cs="Arial"/>
          <w:sz w:val="24"/>
        </w:rPr>
      </w:pPr>
      <w:r w:rsidRPr="001B5FF5">
        <w:rPr>
          <w:rFonts w:ascii="宋体" w:eastAsia="宋体" w:hAnsi="宋体" w:cs="Arial"/>
          <w:sz w:val="24"/>
        </w:rPr>
        <w:t xml:space="preserve">1.1 </w:t>
      </w:r>
      <w:r w:rsidRPr="001B5FF5">
        <w:rPr>
          <w:rFonts w:ascii="宋体" w:eastAsia="宋体" w:hAnsi="宋体" w:cs="Arial" w:hint="eastAsia"/>
          <w:sz w:val="24"/>
        </w:rPr>
        <w:t>健康的内涵</w:t>
      </w:r>
    </w:p>
    <w:p w14:paraId="2759C987" w14:textId="77777777" w:rsidR="001B5FF5" w:rsidRPr="001B5FF5" w:rsidRDefault="001B5FF5" w:rsidP="001B5FF5">
      <w:pPr>
        <w:spacing w:line="360" w:lineRule="auto"/>
        <w:ind w:firstLineChars="200" w:firstLine="480"/>
        <w:rPr>
          <w:rFonts w:ascii="宋体" w:eastAsia="宋体" w:hAnsi="宋体" w:cs="Arial"/>
          <w:sz w:val="24"/>
        </w:rPr>
      </w:pPr>
      <w:r w:rsidRPr="001B5FF5">
        <w:rPr>
          <w:rFonts w:ascii="宋体" w:eastAsia="宋体" w:hAnsi="宋体" w:cs="Arial"/>
          <w:sz w:val="24"/>
        </w:rPr>
        <w:t xml:space="preserve">1.2 </w:t>
      </w:r>
      <w:r w:rsidRPr="001B5FF5">
        <w:rPr>
          <w:rFonts w:ascii="宋体" w:eastAsia="宋体" w:hAnsi="宋体" w:cs="Arial" w:hint="eastAsia"/>
          <w:sz w:val="24"/>
        </w:rPr>
        <w:t>预防与消除亚健康</w:t>
      </w:r>
    </w:p>
    <w:p w14:paraId="3A9512B1" w14:textId="77777777" w:rsidR="001B5FF5" w:rsidRPr="001B5FF5" w:rsidRDefault="001B5FF5" w:rsidP="001B5FF5">
      <w:pPr>
        <w:spacing w:line="360" w:lineRule="auto"/>
        <w:ind w:firstLineChars="200" w:firstLine="480"/>
        <w:rPr>
          <w:rFonts w:ascii="宋体" w:eastAsia="宋体" w:hAnsi="宋体" w:cs="Arial"/>
          <w:sz w:val="24"/>
        </w:rPr>
      </w:pPr>
      <w:r w:rsidRPr="001B5FF5">
        <w:rPr>
          <w:rFonts w:ascii="宋体" w:eastAsia="宋体" w:hAnsi="宋体" w:cs="Arial"/>
          <w:sz w:val="24"/>
        </w:rPr>
        <w:t xml:space="preserve">1.3 </w:t>
      </w:r>
      <w:r w:rsidRPr="001B5FF5">
        <w:rPr>
          <w:rFonts w:ascii="宋体" w:eastAsia="宋体" w:hAnsi="宋体" w:cs="Arial" w:hint="eastAsia"/>
          <w:sz w:val="24"/>
        </w:rPr>
        <w:t>维护健康的法则</w:t>
      </w:r>
    </w:p>
    <w:p w14:paraId="03FAD131" w14:textId="77777777" w:rsidR="001B5FF5" w:rsidRPr="001B5FF5" w:rsidRDefault="001B5FF5" w:rsidP="001B5FF5">
      <w:pPr>
        <w:spacing w:line="360" w:lineRule="auto"/>
        <w:ind w:leftChars="-29" w:left="-61" w:firstLineChars="219" w:firstLine="528"/>
        <w:rPr>
          <w:rFonts w:ascii="宋体" w:eastAsia="宋体" w:hAnsi="宋体" w:cs="Arial"/>
          <w:b/>
          <w:sz w:val="24"/>
        </w:rPr>
      </w:pPr>
      <w:r w:rsidRPr="001B5FF5">
        <w:rPr>
          <w:rFonts w:ascii="宋体" w:eastAsia="宋体" w:hAnsi="宋体" w:cs="Arial" w:hint="eastAsia"/>
          <w:b/>
          <w:sz w:val="24"/>
        </w:rPr>
        <w:t>本章教学目的及要求：</w:t>
      </w:r>
      <w:r w:rsidRPr="001B5FF5">
        <w:rPr>
          <w:rFonts w:ascii="宋体" w:eastAsia="宋体" w:hAnsi="宋体" w:cs="Arial" w:hint="eastAsia"/>
          <w:sz w:val="24"/>
        </w:rPr>
        <w:t>使同学们了解自身健康的重要性及如何维护、促进自身的健康。</w:t>
      </w:r>
    </w:p>
    <w:p w14:paraId="483803D1" w14:textId="77777777" w:rsidR="001B5FF5" w:rsidRPr="001B5FF5" w:rsidRDefault="001B5FF5" w:rsidP="001B5FF5">
      <w:pPr>
        <w:adjustRightInd w:val="0"/>
        <w:snapToGrid w:val="0"/>
        <w:spacing w:line="500" w:lineRule="exact"/>
        <w:ind w:firstLineChars="196" w:firstLine="472"/>
        <w:rPr>
          <w:rFonts w:ascii="宋体" w:eastAsia="宋体" w:hAnsi="宋体" w:cs="Arial"/>
          <w:sz w:val="24"/>
        </w:rPr>
      </w:pPr>
      <w:r w:rsidRPr="001B5FF5">
        <w:rPr>
          <w:rFonts w:ascii="宋体" w:eastAsia="宋体" w:hAnsi="宋体" w:cs="Arial" w:hint="eastAsia"/>
          <w:b/>
          <w:sz w:val="24"/>
        </w:rPr>
        <w:t>本章教学重点及难点：</w:t>
      </w:r>
      <w:r w:rsidRPr="001B5FF5">
        <w:rPr>
          <w:rFonts w:ascii="宋体" w:eastAsia="宋体" w:hAnsi="宋体" w:cs="Arial" w:hint="eastAsia"/>
          <w:sz w:val="24"/>
        </w:rPr>
        <w:t>认识到健康的重要性；如何维护自身的健康。</w:t>
      </w:r>
    </w:p>
    <w:p w14:paraId="27F7398D" w14:textId="77777777" w:rsidR="001B5FF5" w:rsidRPr="001B5FF5" w:rsidRDefault="001B5FF5" w:rsidP="001B5FF5">
      <w:pPr>
        <w:spacing w:beforeLines="50" w:before="156" w:afterLines="50" w:after="156" w:line="360" w:lineRule="auto"/>
        <w:jc w:val="center"/>
        <w:rPr>
          <w:rFonts w:ascii="宋体" w:eastAsia="宋体" w:hAnsi="宋体" w:cs="Arial"/>
          <w:b/>
          <w:sz w:val="28"/>
          <w:szCs w:val="28"/>
        </w:rPr>
      </w:pPr>
      <w:r w:rsidRPr="001B5FF5">
        <w:rPr>
          <w:rFonts w:ascii="宋体" w:eastAsia="宋体" w:hAnsi="宋体" w:cs="Arial" w:hint="eastAsia"/>
          <w:b/>
          <w:sz w:val="28"/>
          <w:szCs w:val="28"/>
        </w:rPr>
        <w:t>第二章</w:t>
      </w:r>
      <w:r w:rsidRPr="001B5FF5">
        <w:rPr>
          <w:rFonts w:ascii="宋体" w:eastAsia="宋体" w:hAnsi="宋体" w:cs="Arial"/>
          <w:b/>
          <w:sz w:val="28"/>
          <w:szCs w:val="28"/>
        </w:rPr>
        <w:t xml:space="preserve">   </w:t>
      </w:r>
      <w:r w:rsidRPr="001B5FF5">
        <w:rPr>
          <w:rFonts w:ascii="宋体" w:eastAsia="宋体" w:hAnsi="宋体" w:cs="Arial" w:hint="eastAsia"/>
          <w:b/>
          <w:sz w:val="28"/>
          <w:szCs w:val="28"/>
        </w:rPr>
        <w:t>科学健身的理论与方法（0.5学时）</w:t>
      </w:r>
    </w:p>
    <w:p w14:paraId="52679AC8" w14:textId="77777777" w:rsidR="001B5FF5" w:rsidRPr="001B5FF5" w:rsidRDefault="001B5FF5" w:rsidP="001B5FF5">
      <w:pPr>
        <w:spacing w:line="360" w:lineRule="auto"/>
        <w:ind w:firstLineChars="196" w:firstLine="472"/>
        <w:rPr>
          <w:rFonts w:ascii="宋体" w:eastAsia="宋体" w:hAnsi="宋体" w:cs="Arial"/>
          <w:b/>
          <w:sz w:val="24"/>
        </w:rPr>
      </w:pPr>
      <w:r w:rsidRPr="001B5FF5">
        <w:rPr>
          <w:rFonts w:ascii="宋体" w:eastAsia="宋体" w:hAnsi="宋体" w:cs="Arial" w:hint="eastAsia"/>
          <w:b/>
          <w:sz w:val="24"/>
        </w:rPr>
        <w:t>本章主要教学内容：</w:t>
      </w:r>
    </w:p>
    <w:p w14:paraId="6BA9CC36" w14:textId="77777777" w:rsidR="001B5FF5" w:rsidRPr="001B5FF5" w:rsidRDefault="001B5FF5" w:rsidP="001B5FF5">
      <w:pPr>
        <w:autoSpaceDE w:val="0"/>
        <w:autoSpaceDN w:val="0"/>
        <w:adjustRightInd w:val="0"/>
        <w:spacing w:line="360" w:lineRule="auto"/>
        <w:ind w:firstLineChars="200" w:firstLine="480"/>
        <w:rPr>
          <w:rFonts w:ascii="宋体" w:eastAsia="宋体" w:hAnsi="宋体" w:cs="宋体"/>
          <w:kern w:val="0"/>
          <w:sz w:val="24"/>
          <w:lang w:val="zh-CN"/>
        </w:rPr>
      </w:pPr>
      <w:r w:rsidRPr="001B5FF5">
        <w:rPr>
          <w:rFonts w:ascii="宋体" w:eastAsia="宋体" w:hAnsi="宋体" w:cs="宋体"/>
          <w:kern w:val="0"/>
          <w:sz w:val="24"/>
          <w:lang w:val="zh-CN"/>
        </w:rPr>
        <w:t xml:space="preserve">2.1 </w:t>
      </w:r>
      <w:r w:rsidRPr="001B5FF5">
        <w:rPr>
          <w:rFonts w:ascii="宋体" w:eastAsia="宋体" w:hAnsi="宋体" w:cs="宋体" w:hint="eastAsia"/>
          <w:kern w:val="0"/>
          <w:sz w:val="24"/>
          <w:lang w:val="zh-CN"/>
        </w:rPr>
        <w:t>健身新理念</w:t>
      </w:r>
    </w:p>
    <w:p w14:paraId="6C0C207C" w14:textId="77777777" w:rsidR="001B5FF5" w:rsidRPr="001B5FF5" w:rsidRDefault="001B5FF5" w:rsidP="001B5FF5">
      <w:pPr>
        <w:autoSpaceDE w:val="0"/>
        <w:autoSpaceDN w:val="0"/>
        <w:adjustRightInd w:val="0"/>
        <w:spacing w:line="360" w:lineRule="auto"/>
        <w:ind w:firstLineChars="200" w:firstLine="480"/>
        <w:rPr>
          <w:rFonts w:ascii="宋体" w:eastAsia="宋体" w:hAnsi="宋体" w:cs="宋体"/>
          <w:kern w:val="0"/>
          <w:sz w:val="24"/>
          <w:lang w:val="zh-CN"/>
        </w:rPr>
      </w:pPr>
      <w:r w:rsidRPr="001B5FF5">
        <w:rPr>
          <w:rFonts w:ascii="宋体" w:eastAsia="宋体" w:hAnsi="宋体" w:cs="宋体"/>
          <w:kern w:val="0"/>
          <w:sz w:val="24"/>
          <w:lang w:val="zh-CN"/>
        </w:rPr>
        <w:lastRenderedPageBreak/>
        <w:t xml:space="preserve">2.2 </w:t>
      </w:r>
      <w:r w:rsidRPr="001B5FF5">
        <w:rPr>
          <w:rFonts w:ascii="宋体" w:eastAsia="宋体" w:hAnsi="宋体" w:cs="宋体" w:hint="eastAsia"/>
          <w:kern w:val="0"/>
          <w:sz w:val="24"/>
          <w:lang w:val="zh-CN"/>
        </w:rPr>
        <w:t>运动处方</w:t>
      </w:r>
    </w:p>
    <w:p w14:paraId="28473267" w14:textId="77777777" w:rsidR="001B5FF5" w:rsidRPr="001B5FF5" w:rsidRDefault="001B5FF5" w:rsidP="001B5FF5">
      <w:pPr>
        <w:spacing w:line="360" w:lineRule="auto"/>
        <w:ind w:firstLineChars="196" w:firstLine="472"/>
        <w:rPr>
          <w:rFonts w:ascii="宋体" w:eastAsia="宋体" w:hAnsi="宋体" w:cs="Times New Roman"/>
          <w:bCs/>
          <w:sz w:val="24"/>
        </w:rPr>
      </w:pPr>
      <w:r w:rsidRPr="001B5FF5">
        <w:rPr>
          <w:rFonts w:ascii="宋体" w:eastAsia="宋体" w:hAnsi="宋体" w:cs="Arial" w:hint="eastAsia"/>
          <w:b/>
          <w:sz w:val="24"/>
        </w:rPr>
        <w:t>本章教学目的及要求：</w:t>
      </w:r>
      <w:r w:rsidRPr="001B5FF5">
        <w:rPr>
          <w:rFonts w:ascii="宋体" w:eastAsia="宋体" w:hAnsi="宋体" w:cs="Times New Roman" w:hint="eastAsia"/>
          <w:bCs/>
          <w:sz w:val="24"/>
        </w:rPr>
        <w:t>使学生了解健身新理念及运动处方如何制定。</w:t>
      </w:r>
    </w:p>
    <w:p w14:paraId="4E656EE9" w14:textId="77777777" w:rsidR="001B5FF5" w:rsidRPr="001B5FF5" w:rsidRDefault="001B5FF5" w:rsidP="001B5FF5">
      <w:pPr>
        <w:spacing w:line="360" w:lineRule="auto"/>
        <w:ind w:firstLineChars="200" w:firstLine="482"/>
        <w:rPr>
          <w:rFonts w:ascii="宋体" w:eastAsia="宋体" w:hAnsi="宋体" w:cs="Arial"/>
          <w:sz w:val="24"/>
        </w:rPr>
      </w:pPr>
      <w:r w:rsidRPr="001B5FF5">
        <w:rPr>
          <w:rFonts w:ascii="宋体" w:eastAsia="宋体" w:hAnsi="宋体" w:cs="Arial" w:hint="eastAsia"/>
          <w:b/>
          <w:sz w:val="24"/>
        </w:rPr>
        <w:t>本章教学重点及难点：</w:t>
      </w:r>
      <w:r w:rsidRPr="001B5FF5">
        <w:rPr>
          <w:rFonts w:ascii="宋体" w:eastAsia="宋体" w:hAnsi="宋体" w:cs="Arial" w:hint="eastAsia"/>
          <w:sz w:val="24"/>
        </w:rPr>
        <w:t>制订运动处方的重要性；如何制订自身的运动处方。</w:t>
      </w:r>
    </w:p>
    <w:p w14:paraId="245CC427" w14:textId="77777777" w:rsidR="001B5FF5" w:rsidRPr="001B5FF5" w:rsidRDefault="001B5FF5" w:rsidP="001B5FF5">
      <w:pPr>
        <w:spacing w:beforeLines="50" w:before="156" w:afterLines="50" w:after="156" w:line="360" w:lineRule="auto"/>
        <w:jc w:val="center"/>
        <w:rPr>
          <w:rFonts w:ascii="宋体" w:eastAsia="宋体" w:hAnsi="宋体" w:cs="Arial"/>
          <w:b/>
          <w:sz w:val="28"/>
          <w:szCs w:val="28"/>
        </w:rPr>
      </w:pPr>
      <w:r w:rsidRPr="001B5FF5">
        <w:rPr>
          <w:rFonts w:ascii="宋体" w:eastAsia="宋体" w:hAnsi="宋体" w:cs="Arial" w:hint="eastAsia"/>
          <w:b/>
          <w:sz w:val="28"/>
          <w:szCs w:val="28"/>
        </w:rPr>
        <w:t>第三章</w:t>
      </w:r>
      <w:r w:rsidRPr="001B5FF5">
        <w:rPr>
          <w:rFonts w:ascii="宋体" w:eastAsia="宋体" w:hAnsi="宋体" w:cs="Arial"/>
          <w:b/>
          <w:sz w:val="28"/>
          <w:szCs w:val="28"/>
        </w:rPr>
        <w:t xml:space="preserve">   </w:t>
      </w:r>
      <w:r w:rsidRPr="001B5FF5">
        <w:rPr>
          <w:rFonts w:ascii="宋体" w:eastAsia="宋体" w:hAnsi="宋体" w:cs="Arial" w:hint="eastAsia"/>
          <w:b/>
          <w:sz w:val="28"/>
          <w:szCs w:val="28"/>
        </w:rPr>
        <w:t>营养与健康（0.5学时）</w:t>
      </w:r>
    </w:p>
    <w:p w14:paraId="15DDC80A" w14:textId="77777777" w:rsidR="001B5FF5" w:rsidRPr="001B5FF5" w:rsidRDefault="001B5FF5" w:rsidP="001B5FF5">
      <w:pPr>
        <w:spacing w:line="360" w:lineRule="auto"/>
        <w:ind w:firstLineChars="196" w:firstLine="472"/>
        <w:rPr>
          <w:rFonts w:ascii="宋体" w:eastAsia="宋体" w:hAnsi="宋体" w:cs="Arial"/>
          <w:b/>
          <w:sz w:val="24"/>
        </w:rPr>
      </w:pPr>
      <w:r w:rsidRPr="001B5FF5">
        <w:rPr>
          <w:rFonts w:ascii="宋体" w:eastAsia="宋体" w:hAnsi="宋体" w:cs="Arial" w:hint="eastAsia"/>
          <w:b/>
          <w:sz w:val="24"/>
        </w:rPr>
        <w:t>本章主要教学内容：</w:t>
      </w:r>
    </w:p>
    <w:p w14:paraId="784FE020" w14:textId="77777777" w:rsidR="001B5FF5" w:rsidRPr="001B5FF5" w:rsidRDefault="001B5FF5" w:rsidP="001B5FF5">
      <w:pPr>
        <w:autoSpaceDE w:val="0"/>
        <w:autoSpaceDN w:val="0"/>
        <w:adjustRightInd w:val="0"/>
        <w:spacing w:line="360" w:lineRule="auto"/>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3</w:t>
      </w:r>
      <w:r w:rsidRPr="001B5FF5">
        <w:rPr>
          <w:rFonts w:ascii="宋体" w:eastAsia="宋体" w:hAnsi="宋体" w:cs="宋体"/>
          <w:kern w:val="0"/>
          <w:sz w:val="24"/>
          <w:lang w:val="zh-CN"/>
        </w:rPr>
        <w:t xml:space="preserve">.1 </w:t>
      </w:r>
      <w:r w:rsidRPr="001B5FF5">
        <w:rPr>
          <w:rFonts w:ascii="宋体" w:eastAsia="宋体" w:hAnsi="宋体" w:cs="宋体" w:hint="eastAsia"/>
          <w:kern w:val="0"/>
          <w:sz w:val="24"/>
          <w:lang w:val="zh-CN"/>
        </w:rPr>
        <w:t>营养对健康的影响</w:t>
      </w:r>
    </w:p>
    <w:p w14:paraId="2B562A2E" w14:textId="77777777" w:rsidR="001B5FF5" w:rsidRPr="001B5FF5" w:rsidRDefault="001B5FF5" w:rsidP="001B5FF5">
      <w:pPr>
        <w:autoSpaceDE w:val="0"/>
        <w:autoSpaceDN w:val="0"/>
        <w:adjustRightInd w:val="0"/>
        <w:spacing w:line="360" w:lineRule="auto"/>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3</w:t>
      </w:r>
      <w:r w:rsidRPr="001B5FF5">
        <w:rPr>
          <w:rFonts w:ascii="宋体" w:eastAsia="宋体" w:hAnsi="宋体" w:cs="宋体"/>
          <w:kern w:val="0"/>
          <w:sz w:val="24"/>
          <w:lang w:val="zh-CN"/>
        </w:rPr>
        <w:t xml:space="preserve">.2 </w:t>
      </w:r>
      <w:r w:rsidRPr="001B5FF5">
        <w:rPr>
          <w:rFonts w:ascii="宋体" w:eastAsia="宋体" w:hAnsi="宋体" w:cs="宋体" w:hint="eastAsia"/>
          <w:kern w:val="0"/>
          <w:sz w:val="24"/>
          <w:lang w:val="zh-CN"/>
        </w:rPr>
        <w:t>营养素及人体对营养的需要</w:t>
      </w:r>
    </w:p>
    <w:p w14:paraId="239CF89C" w14:textId="77777777" w:rsidR="001B5FF5" w:rsidRPr="001B5FF5" w:rsidRDefault="001B5FF5" w:rsidP="001B5FF5">
      <w:pPr>
        <w:autoSpaceDE w:val="0"/>
        <w:autoSpaceDN w:val="0"/>
        <w:adjustRightInd w:val="0"/>
        <w:spacing w:line="360" w:lineRule="auto"/>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3</w:t>
      </w:r>
      <w:r w:rsidRPr="001B5FF5">
        <w:rPr>
          <w:rFonts w:ascii="宋体" w:eastAsia="宋体" w:hAnsi="宋体" w:cs="宋体"/>
          <w:kern w:val="0"/>
          <w:sz w:val="24"/>
          <w:lang w:val="zh-CN"/>
        </w:rPr>
        <w:t xml:space="preserve">.3 </w:t>
      </w:r>
      <w:r w:rsidRPr="001B5FF5">
        <w:rPr>
          <w:rFonts w:ascii="宋体" w:eastAsia="宋体" w:hAnsi="宋体" w:cs="宋体" w:hint="eastAsia"/>
          <w:kern w:val="0"/>
          <w:sz w:val="24"/>
          <w:lang w:val="zh-CN"/>
        </w:rPr>
        <w:t>平衡膳食</w:t>
      </w:r>
    </w:p>
    <w:p w14:paraId="57FA409A" w14:textId="77777777" w:rsidR="001B5FF5" w:rsidRPr="001B5FF5" w:rsidRDefault="001B5FF5" w:rsidP="001B5FF5">
      <w:pPr>
        <w:autoSpaceDE w:val="0"/>
        <w:autoSpaceDN w:val="0"/>
        <w:adjustRightInd w:val="0"/>
        <w:spacing w:line="360" w:lineRule="auto"/>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3</w:t>
      </w:r>
      <w:r w:rsidRPr="001B5FF5">
        <w:rPr>
          <w:rFonts w:ascii="宋体" w:eastAsia="宋体" w:hAnsi="宋体" w:cs="宋体"/>
          <w:kern w:val="0"/>
          <w:sz w:val="24"/>
          <w:lang w:val="zh-CN"/>
        </w:rPr>
        <w:t xml:space="preserve">.4 </w:t>
      </w:r>
      <w:r w:rsidRPr="001B5FF5">
        <w:rPr>
          <w:rFonts w:ascii="宋体" w:eastAsia="宋体" w:hAnsi="宋体" w:cs="宋体" w:hint="eastAsia"/>
          <w:kern w:val="0"/>
          <w:sz w:val="24"/>
          <w:lang w:val="zh-CN"/>
        </w:rPr>
        <w:t>运动与营养</w:t>
      </w:r>
    </w:p>
    <w:p w14:paraId="368D3C2C" w14:textId="77777777" w:rsidR="001B5FF5" w:rsidRPr="001B5FF5" w:rsidRDefault="001B5FF5" w:rsidP="001B5FF5">
      <w:pPr>
        <w:spacing w:line="360" w:lineRule="auto"/>
        <w:ind w:firstLineChars="196" w:firstLine="472"/>
        <w:rPr>
          <w:rFonts w:ascii="宋体" w:eastAsia="宋体" w:hAnsi="宋体" w:cs="Times New Roman"/>
          <w:bCs/>
          <w:sz w:val="24"/>
        </w:rPr>
      </w:pPr>
      <w:r w:rsidRPr="001B5FF5">
        <w:rPr>
          <w:rFonts w:ascii="宋体" w:eastAsia="宋体" w:hAnsi="宋体" w:cs="Arial" w:hint="eastAsia"/>
          <w:b/>
          <w:sz w:val="24"/>
        </w:rPr>
        <w:t>本章教学目的及要求：</w:t>
      </w:r>
      <w:r w:rsidRPr="001B5FF5">
        <w:rPr>
          <w:rFonts w:ascii="宋体" w:eastAsia="宋体" w:hAnsi="宋体" w:cs="Times New Roman" w:hint="eastAsia"/>
          <w:bCs/>
          <w:sz w:val="24"/>
        </w:rPr>
        <w:t>让学生正确认识科学补充营养可以提高自身免疫力，从而提高生活质量。</w:t>
      </w:r>
    </w:p>
    <w:p w14:paraId="634A30DC" w14:textId="77777777" w:rsidR="001B5FF5" w:rsidRPr="001B5FF5" w:rsidRDefault="001B5FF5" w:rsidP="001B5FF5">
      <w:pPr>
        <w:spacing w:line="360" w:lineRule="auto"/>
        <w:ind w:firstLineChars="196" w:firstLine="472"/>
        <w:rPr>
          <w:rFonts w:ascii="宋体" w:eastAsia="宋体" w:hAnsi="宋体" w:cs="Arial"/>
          <w:bCs/>
          <w:sz w:val="24"/>
        </w:rPr>
      </w:pPr>
      <w:r w:rsidRPr="001B5FF5">
        <w:rPr>
          <w:rFonts w:ascii="宋体" w:eastAsia="宋体" w:hAnsi="宋体" w:cs="Arial" w:hint="eastAsia"/>
          <w:b/>
          <w:sz w:val="24"/>
        </w:rPr>
        <w:t>本章教学重点及难点：</w:t>
      </w:r>
      <w:r w:rsidRPr="001B5FF5">
        <w:rPr>
          <w:rFonts w:ascii="宋体" w:eastAsia="宋体" w:hAnsi="宋体" w:cs="Arial" w:hint="eastAsia"/>
          <w:sz w:val="24"/>
        </w:rPr>
        <w:t>学生阶段的营养过剩与运动不足；补充营养的同时如何提高自身的健康。</w:t>
      </w:r>
    </w:p>
    <w:p w14:paraId="30414FB3" w14:textId="77777777" w:rsidR="001B5FF5" w:rsidRPr="001B5FF5" w:rsidRDefault="001B5FF5" w:rsidP="001B5FF5">
      <w:pPr>
        <w:spacing w:beforeLines="50" w:before="156" w:afterLines="50" w:after="156" w:line="360" w:lineRule="auto"/>
        <w:jc w:val="center"/>
        <w:rPr>
          <w:rFonts w:ascii="宋体" w:eastAsia="宋体" w:hAnsi="宋体" w:cs="Arial"/>
          <w:b/>
          <w:sz w:val="28"/>
          <w:szCs w:val="28"/>
        </w:rPr>
      </w:pPr>
      <w:r w:rsidRPr="001B5FF5">
        <w:rPr>
          <w:rFonts w:ascii="宋体" w:eastAsia="宋体" w:hAnsi="宋体" w:cs="Arial" w:hint="eastAsia"/>
          <w:b/>
          <w:sz w:val="28"/>
          <w:szCs w:val="28"/>
        </w:rPr>
        <w:t>第四章</w:t>
      </w:r>
      <w:r w:rsidRPr="001B5FF5">
        <w:rPr>
          <w:rFonts w:ascii="宋体" w:eastAsia="宋体" w:hAnsi="宋体" w:cs="Arial"/>
          <w:b/>
          <w:sz w:val="28"/>
          <w:szCs w:val="28"/>
        </w:rPr>
        <w:t xml:space="preserve">   </w:t>
      </w:r>
      <w:r w:rsidRPr="001B5FF5">
        <w:rPr>
          <w:rFonts w:ascii="宋体" w:eastAsia="宋体" w:hAnsi="宋体" w:cs="Arial" w:hint="eastAsia"/>
          <w:b/>
          <w:sz w:val="28"/>
          <w:szCs w:val="28"/>
        </w:rPr>
        <w:t>体育保健知识（0.5学时）</w:t>
      </w:r>
    </w:p>
    <w:p w14:paraId="549B4F75" w14:textId="77777777" w:rsidR="001B5FF5" w:rsidRPr="001B5FF5" w:rsidRDefault="001B5FF5" w:rsidP="001B5FF5">
      <w:pPr>
        <w:spacing w:line="360" w:lineRule="auto"/>
        <w:ind w:firstLineChars="196" w:firstLine="472"/>
        <w:rPr>
          <w:rFonts w:ascii="宋体" w:eastAsia="宋体" w:hAnsi="宋体" w:cs="Arial"/>
          <w:b/>
          <w:sz w:val="24"/>
        </w:rPr>
      </w:pPr>
      <w:r w:rsidRPr="001B5FF5">
        <w:rPr>
          <w:rFonts w:ascii="宋体" w:eastAsia="宋体" w:hAnsi="宋体" w:cs="Arial" w:hint="eastAsia"/>
          <w:b/>
          <w:sz w:val="24"/>
        </w:rPr>
        <w:t>本章主要教学内容：</w:t>
      </w:r>
    </w:p>
    <w:p w14:paraId="654415A4" w14:textId="77777777" w:rsidR="001B5FF5" w:rsidRPr="001B5FF5" w:rsidRDefault="001B5FF5" w:rsidP="001B5FF5">
      <w:pPr>
        <w:autoSpaceDE w:val="0"/>
        <w:autoSpaceDN w:val="0"/>
        <w:adjustRightInd w:val="0"/>
        <w:spacing w:line="360" w:lineRule="auto"/>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4</w:t>
      </w:r>
      <w:r w:rsidRPr="001B5FF5">
        <w:rPr>
          <w:rFonts w:ascii="宋体" w:eastAsia="宋体" w:hAnsi="宋体" w:cs="宋体"/>
          <w:kern w:val="0"/>
          <w:sz w:val="24"/>
          <w:lang w:val="zh-CN"/>
        </w:rPr>
        <w:t>.1</w:t>
      </w:r>
      <w:r w:rsidRPr="001B5FF5">
        <w:rPr>
          <w:rFonts w:ascii="宋体" w:eastAsia="宋体" w:hAnsi="宋体" w:cs="宋体" w:hint="eastAsia"/>
          <w:kern w:val="0"/>
          <w:sz w:val="24"/>
          <w:lang w:val="zh-CN"/>
        </w:rPr>
        <w:t xml:space="preserve"> 运动</w:t>
      </w:r>
      <w:r w:rsidRPr="001B5FF5">
        <w:rPr>
          <w:rFonts w:ascii="宋体" w:eastAsia="宋体" w:hAnsi="宋体" w:cs="宋体"/>
          <w:kern w:val="0"/>
          <w:sz w:val="24"/>
          <w:lang w:val="zh-CN"/>
        </w:rPr>
        <w:t>中常见的生理反应与处理方法</w:t>
      </w:r>
    </w:p>
    <w:p w14:paraId="7FFF221F" w14:textId="77777777" w:rsidR="001B5FF5" w:rsidRPr="001B5FF5" w:rsidRDefault="001B5FF5" w:rsidP="001B5FF5">
      <w:pPr>
        <w:autoSpaceDE w:val="0"/>
        <w:autoSpaceDN w:val="0"/>
        <w:adjustRightInd w:val="0"/>
        <w:spacing w:line="360" w:lineRule="auto"/>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4</w:t>
      </w:r>
      <w:r w:rsidRPr="001B5FF5">
        <w:rPr>
          <w:rFonts w:ascii="宋体" w:eastAsia="宋体" w:hAnsi="宋体" w:cs="宋体"/>
          <w:kern w:val="0"/>
          <w:sz w:val="24"/>
          <w:lang w:val="zh-CN"/>
        </w:rPr>
        <w:t xml:space="preserve">.2 </w:t>
      </w:r>
      <w:r w:rsidRPr="001B5FF5">
        <w:rPr>
          <w:rFonts w:ascii="宋体" w:eastAsia="宋体" w:hAnsi="宋体" w:cs="宋体" w:hint="eastAsia"/>
          <w:kern w:val="0"/>
          <w:sz w:val="24"/>
          <w:lang w:val="zh-CN"/>
        </w:rPr>
        <w:t>运动损伤的处置</w:t>
      </w:r>
    </w:p>
    <w:p w14:paraId="79CCEE87" w14:textId="77777777" w:rsidR="001B5FF5" w:rsidRPr="001B5FF5" w:rsidRDefault="001B5FF5" w:rsidP="001B5FF5">
      <w:pPr>
        <w:autoSpaceDE w:val="0"/>
        <w:autoSpaceDN w:val="0"/>
        <w:adjustRightInd w:val="0"/>
        <w:spacing w:line="360" w:lineRule="auto"/>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4</w:t>
      </w:r>
      <w:r w:rsidRPr="001B5FF5">
        <w:rPr>
          <w:rFonts w:ascii="宋体" w:eastAsia="宋体" w:hAnsi="宋体" w:cs="宋体"/>
          <w:kern w:val="0"/>
          <w:sz w:val="24"/>
          <w:lang w:val="zh-CN"/>
        </w:rPr>
        <w:t>.3</w:t>
      </w:r>
      <w:r w:rsidRPr="001B5FF5">
        <w:rPr>
          <w:rFonts w:ascii="宋体" w:eastAsia="宋体" w:hAnsi="宋体" w:cs="宋体" w:hint="eastAsia"/>
          <w:kern w:val="0"/>
          <w:sz w:val="24"/>
          <w:lang w:val="zh-CN"/>
        </w:rPr>
        <w:t xml:space="preserve"> 女子</w:t>
      </w:r>
      <w:r w:rsidRPr="001B5FF5">
        <w:rPr>
          <w:rFonts w:ascii="宋体" w:eastAsia="宋体" w:hAnsi="宋体" w:cs="宋体"/>
          <w:kern w:val="0"/>
          <w:sz w:val="24"/>
          <w:lang w:val="zh-CN"/>
        </w:rPr>
        <w:t>运动保健</w:t>
      </w:r>
    </w:p>
    <w:p w14:paraId="45E7A734" w14:textId="77777777" w:rsidR="001B5FF5" w:rsidRPr="001B5FF5" w:rsidRDefault="001B5FF5" w:rsidP="001B5FF5">
      <w:pPr>
        <w:spacing w:line="360" w:lineRule="auto"/>
        <w:ind w:firstLineChars="196" w:firstLine="472"/>
        <w:rPr>
          <w:rFonts w:ascii="宋体" w:eastAsia="宋体" w:hAnsi="宋体" w:cs="Times New Roman"/>
          <w:bCs/>
          <w:sz w:val="24"/>
        </w:rPr>
      </w:pPr>
      <w:r w:rsidRPr="001B5FF5">
        <w:rPr>
          <w:rFonts w:ascii="宋体" w:eastAsia="宋体" w:hAnsi="宋体" w:cs="Arial" w:hint="eastAsia"/>
          <w:b/>
          <w:sz w:val="24"/>
        </w:rPr>
        <w:t>本章教学目的及要求：</w:t>
      </w:r>
      <w:r w:rsidRPr="001B5FF5">
        <w:rPr>
          <w:rFonts w:ascii="宋体" w:eastAsia="宋体" w:hAnsi="宋体" w:cs="Times New Roman" w:hint="eastAsia"/>
          <w:bCs/>
          <w:sz w:val="24"/>
        </w:rPr>
        <w:t>使学生了解运动中常见的生理反应及处理方法。</w:t>
      </w:r>
    </w:p>
    <w:p w14:paraId="630660F6" w14:textId="77777777" w:rsidR="001B5FF5" w:rsidRPr="001B5FF5" w:rsidRDefault="001B5FF5" w:rsidP="001B5FF5">
      <w:pPr>
        <w:spacing w:line="360" w:lineRule="auto"/>
        <w:ind w:firstLineChars="196" w:firstLine="472"/>
        <w:rPr>
          <w:rFonts w:ascii="宋体" w:eastAsia="宋体" w:hAnsi="宋体" w:cs="Arial"/>
          <w:sz w:val="24"/>
        </w:rPr>
      </w:pPr>
      <w:r w:rsidRPr="001B5FF5">
        <w:rPr>
          <w:rFonts w:ascii="宋体" w:eastAsia="宋体" w:hAnsi="宋体" w:cs="Arial" w:hint="eastAsia"/>
          <w:b/>
          <w:sz w:val="24"/>
        </w:rPr>
        <w:t>本章教学重点及难点：</w:t>
      </w:r>
      <w:r w:rsidRPr="001B5FF5">
        <w:rPr>
          <w:rFonts w:ascii="宋体" w:eastAsia="宋体" w:hAnsi="宋体" w:cs="Arial" w:hint="eastAsia"/>
          <w:sz w:val="24"/>
        </w:rPr>
        <w:t>学生如何预防常见的运动损伤；运动损伤如何处置。</w:t>
      </w:r>
    </w:p>
    <w:p w14:paraId="06C2ACDD" w14:textId="77777777" w:rsidR="001B5FF5" w:rsidRPr="001B5FF5" w:rsidRDefault="001B5FF5" w:rsidP="001B5FF5">
      <w:pPr>
        <w:tabs>
          <w:tab w:val="left" w:pos="960"/>
        </w:tabs>
        <w:spacing w:beforeLines="50" w:before="156" w:afterLines="50" w:after="156" w:line="360" w:lineRule="auto"/>
        <w:jc w:val="center"/>
        <w:rPr>
          <w:rFonts w:ascii="宋体" w:eastAsia="宋体" w:hAnsi="宋体" w:cs="Arial"/>
          <w:b/>
          <w:bCs/>
          <w:sz w:val="28"/>
          <w:szCs w:val="28"/>
        </w:rPr>
      </w:pPr>
      <w:r w:rsidRPr="001B5FF5">
        <w:rPr>
          <w:rFonts w:ascii="宋体" w:eastAsia="宋体" w:hAnsi="宋体" w:cs="Arial" w:hint="eastAsia"/>
          <w:b/>
          <w:bCs/>
          <w:sz w:val="28"/>
          <w:szCs w:val="28"/>
        </w:rPr>
        <w:t>第五章 了解体育文化（0.5课时）</w:t>
      </w:r>
    </w:p>
    <w:p w14:paraId="756E588C" w14:textId="77777777" w:rsidR="001B5FF5" w:rsidRPr="001B5FF5" w:rsidRDefault="001B5FF5" w:rsidP="001B5FF5">
      <w:pPr>
        <w:spacing w:line="360" w:lineRule="auto"/>
        <w:ind w:firstLineChars="196" w:firstLine="472"/>
        <w:rPr>
          <w:rFonts w:ascii="宋体" w:eastAsia="宋体" w:hAnsi="宋体" w:cs="Arial"/>
          <w:b/>
          <w:sz w:val="24"/>
        </w:rPr>
      </w:pPr>
      <w:r w:rsidRPr="001B5FF5">
        <w:rPr>
          <w:rFonts w:ascii="宋体" w:eastAsia="宋体" w:hAnsi="宋体" w:cs="Arial" w:hint="eastAsia"/>
          <w:b/>
          <w:sz w:val="24"/>
        </w:rPr>
        <w:t>本章主要教学内容：</w:t>
      </w:r>
    </w:p>
    <w:p w14:paraId="2547F0E4" w14:textId="77777777" w:rsidR="001B5FF5" w:rsidRPr="001B5FF5" w:rsidRDefault="001B5FF5" w:rsidP="001B5FF5">
      <w:pPr>
        <w:autoSpaceDE w:val="0"/>
        <w:autoSpaceDN w:val="0"/>
        <w:adjustRightInd w:val="0"/>
        <w:spacing w:line="360" w:lineRule="auto"/>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5</w:t>
      </w:r>
      <w:r w:rsidRPr="001B5FF5">
        <w:rPr>
          <w:rFonts w:ascii="宋体" w:eastAsia="宋体" w:hAnsi="宋体" w:cs="宋体"/>
          <w:kern w:val="0"/>
          <w:sz w:val="24"/>
          <w:lang w:val="zh-CN"/>
        </w:rPr>
        <w:t>.1</w:t>
      </w:r>
      <w:r w:rsidRPr="001B5FF5">
        <w:rPr>
          <w:rFonts w:ascii="宋体" w:eastAsia="宋体" w:hAnsi="宋体" w:cs="宋体" w:hint="eastAsia"/>
          <w:kern w:val="0"/>
          <w:sz w:val="24"/>
          <w:lang w:val="zh-CN"/>
        </w:rPr>
        <w:t xml:space="preserve"> 中西方</w:t>
      </w:r>
      <w:r w:rsidRPr="001B5FF5">
        <w:rPr>
          <w:rFonts w:ascii="宋体" w:eastAsia="宋体" w:hAnsi="宋体" w:cs="宋体"/>
          <w:kern w:val="0"/>
          <w:sz w:val="24"/>
          <w:lang w:val="zh-CN"/>
        </w:rPr>
        <w:t>体育文化比较</w:t>
      </w:r>
    </w:p>
    <w:p w14:paraId="53F12262" w14:textId="77777777" w:rsidR="001B5FF5" w:rsidRPr="001B5FF5" w:rsidRDefault="001B5FF5" w:rsidP="001B5FF5">
      <w:pPr>
        <w:autoSpaceDE w:val="0"/>
        <w:autoSpaceDN w:val="0"/>
        <w:adjustRightInd w:val="0"/>
        <w:spacing w:line="360" w:lineRule="auto"/>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5</w:t>
      </w:r>
      <w:r w:rsidRPr="001B5FF5">
        <w:rPr>
          <w:rFonts w:ascii="宋体" w:eastAsia="宋体" w:hAnsi="宋体" w:cs="宋体"/>
          <w:kern w:val="0"/>
          <w:sz w:val="24"/>
          <w:lang w:val="zh-CN"/>
        </w:rPr>
        <w:t xml:space="preserve">.2 </w:t>
      </w:r>
      <w:r w:rsidRPr="001B5FF5">
        <w:rPr>
          <w:rFonts w:ascii="宋体" w:eastAsia="宋体" w:hAnsi="宋体" w:cs="宋体" w:hint="eastAsia"/>
          <w:kern w:val="0"/>
          <w:sz w:val="24"/>
          <w:lang w:val="zh-CN"/>
        </w:rPr>
        <w:t>奥林匹克体育文化</w:t>
      </w:r>
    </w:p>
    <w:p w14:paraId="64C0F559" w14:textId="77777777" w:rsidR="001B5FF5" w:rsidRPr="001B5FF5" w:rsidRDefault="001B5FF5" w:rsidP="001B5FF5">
      <w:pPr>
        <w:autoSpaceDE w:val="0"/>
        <w:autoSpaceDN w:val="0"/>
        <w:adjustRightInd w:val="0"/>
        <w:spacing w:line="360" w:lineRule="auto"/>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5</w:t>
      </w:r>
      <w:r w:rsidRPr="001B5FF5">
        <w:rPr>
          <w:rFonts w:ascii="宋体" w:eastAsia="宋体" w:hAnsi="宋体" w:cs="宋体"/>
          <w:kern w:val="0"/>
          <w:sz w:val="24"/>
          <w:lang w:val="zh-CN"/>
        </w:rPr>
        <w:t xml:space="preserve">.3 </w:t>
      </w:r>
      <w:r w:rsidRPr="001B5FF5">
        <w:rPr>
          <w:rFonts w:ascii="宋体" w:eastAsia="宋体" w:hAnsi="宋体" w:cs="宋体" w:hint="eastAsia"/>
          <w:kern w:val="0"/>
          <w:sz w:val="24"/>
          <w:lang w:val="zh-CN"/>
        </w:rPr>
        <w:t>校园体育文化</w:t>
      </w:r>
    </w:p>
    <w:p w14:paraId="599138D0" w14:textId="77777777" w:rsidR="001B5FF5" w:rsidRPr="001B5FF5" w:rsidRDefault="001B5FF5" w:rsidP="001B5FF5">
      <w:pPr>
        <w:spacing w:line="360" w:lineRule="auto"/>
        <w:ind w:firstLineChars="196" w:firstLine="472"/>
        <w:rPr>
          <w:rFonts w:ascii="宋体" w:eastAsia="宋体" w:hAnsi="宋体" w:cs="Arial"/>
          <w:b/>
          <w:sz w:val="24"/>
        </w:rPr>
      </w:pPr>
      <w:r w:rsidRPr="001B5FF5">
        <w:rPr>
          <w:rFonts w:ascii="宋体" w:eastAsia="宋体" w:hAnsi="宋体" w:cs="Arial" w:hint="eastAsia"/>
          <w:b/>
          <w:sz w:val="24"/>
        </w:rPr>
        <w:t>本章教学目的及要求：</w:t>
      </w:r>
      <w:r w:rsidRPr="001B5FF5">
        <w:rPr>
          <w:rFonts w:ascii="宋体" w:eastAsia="宋体" w:hAnsi="宋体" w:cs="Arial" w:hint="eastAsia"/>
          <w:bCs/>
          <w:sz w:val="24"/>
          <w:szCs w:val="28"/>
        </w:rPr>
        <w:t>让学生了解东西方体育文化的差异。</w:t>
      </w:r>
    </w:p>
    <w:p w14:paraId="333D6977" w14:textId="77777777" w:rsidR="001B5FF5" w:rsidRPr="001B5FF5" w:rsidRDefault="001B5FF5" w:rsidP="001B5FF5">
      <w:pPr>
        <w:spacing w:line="360" w:lineRule="auto"/>
        <w:ind w:firstLineChars="196" w:firstLine="472"/>
        <w:rPr>
          <w:rFonts w:ascii="宋体" w:eastAsia="宋体" w:hAnsi="宋体" w:cs="Arial"/>
          <w:b/>
          <w:sz w:val="24"/>
        </w:rPr>
      </w:pPr>
      <w:r w:rsidRPr="001B5FF5">
        <w:rPr>
          <w:rFonts w:ascii="宋体" w:eastAsia="宋体" w:hAnsi="宋体" w:cs="Arial" w:hint="eastAsia"/>
          <w:b/>
          <w:sz w:val="24"/>
        </w:rPr>
        <w:lastRenderedPageBreak/>
        <w:t>本章教学重点及难点：</w:t>
      </w:r>
      <w:r w:rsidRPr="001B5FF5">
        <w:rPr>
          <w:rFonts w:ascii="宋体" w:eastAsia="宋体" w:hAnsi="宋体" w:cs="Arial" w:hint="eastAsia"/>
          <w:sz w:val="24"/>
        </w:rPr>
        <w:t>介绍奥林匹克文化的发展</w:t>
      </w:r>
      <w:r w:rsidRPr="001B5FF5">
        <w:rPr>
          <w:rFonts w:ascii="宋体" w:eastAsia="宋体" w:hAnsi="宋体" w:cs="Arial" w:hint="eastAsia"/>
          <w:bCs/>
          <w:sz w:val="24"/>
          <w:szCs w:val="28"/>
        </w:rPr>
        <w:t>；介绍校园体育文化的发展与功能。</w:t>
      </w:r>
    </w:p>
    <w:p w14:paraId="5603D544" w14:textId="77777777" w:rsidR="001B5FF5" w:rsidRPr="001B5FF5" w:rsidRDefault="001B5FF5" w:rsidP="001B5FF5">
      <w:pPr>
        <w:spacing w:beforeLines="50" w:before="156" w:afterLines="50" w:after="156" w:line="360" w:lineRule="auto"/>
        <w:jc w:val="center"/>
        <w:rPr>
          <w:rFonts w:ascii="宋体" w:eastAsia="宋体" w:hAnsi="宋体" w:cs="Arial"/>
          <w:b/>
          <w:sz w:val="28"/>
          <w:szCs w:val="28"/>
        </w:rPr>
      </w:pPr>
      <w:r w:rsidRPr="001B5FF5">
        <w:rPr>
          <w:rFonts w:ascii="宋体" w:eastAsia="宋体" w:hAnsi="宋体" w:cs="宋体" w:hint="eastAsia"/>
          <w:b/>
          <w:bCs/>
          <w:sz w:val="28"/>
          <w:szCs w:val="28"/>
        </w:rPr>
        <w:t>第六章 欣赏体育比赛</w:t>
      </w:r>
      <w:r w:rsidRPr="001B5FF5">
        <w:rPr>
          <w:rFonts w:ascii="宋体" w:eastAsia="宋体" w:hAnsi="宋体" w:cs="Arial" w:hint="eastAsia"/>
          <w:b/>
          <w:sz w:val="28"/>
          <w:szCs w:val="28"/>
        </w:rPr>
        <w:t>（0.5学时）</w:t>
      </w:r>
    </w:p>
    <w:p w14:paraId="6C198624" w14:textId="77777777" w:rsidR="001B5FF5" w:rsidRPr="001B5FF5" w:rsidRDefault="001B5FF5" w:rsidP="001B5FF5">
      <w:pPr>
        <w:spacing w:line="360" w:lineRule="auto"/>
        <w:ind w:firstLineChars="196" w:firstLine="472"/>
        <w:rPr>
          <w:rFonts w:ascii="宋体" w:eastAsia="宋体" w:hAnsi="宋体" w:cs="Arial"/>
          <w:b/>
          <w:sz w:val="24"/>
        </w:rPr>
      </w:pPr>
      <w:r w:rsidRPr="001B5FF5">
        <w:rPr>
          <w:rFonts w:ascii="宋体" w:eastAsia="宋体" w:hAnsi="宋体" w:cs="Arial" w:hint="eastAsia"/>
          <w:b/>
          <w:sz w:val="24"/>
        </w:rPr>
        <w:t>本章主要教学内容：</w:t>
      </w:r>
    </w:p>
    <w:p w14:paraId="2A3BF742"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6</w:t>
      </w:r>
      <w:r w:rsidRPr="001B5FF5">
        <w:rPr>
          <w:rFonts w:ascii="宋体" w:eastAsia="宋体" w:hAnsi="宋体" w:cs="宋体"/>
          <w:kern w:val="0"/>
          <w:sz w:val="24"/>
          <w:lang w:val="zh-CN"/>
        </w:rPr>
        <w:t>.1</w:t>
      </w:r>
      <w:r w:rsidRPr="001B5FF5">
        <w:rPr>
          <w:rFonts w:ascii="宋体" w:eastAsia="宋体" w:hAnsi="宋体" w:cs="宋体" w:hint="eastAsia"/>
          <w:kern w:val="0"/>
          <w:sz w:val="24"/>
          <w:lang w:val="zh-CN"/>
        </w:rPr>
        <w:t xml:space="preserve"> 体育欣赏的体育美学原理及特点</w:t>
      </w:r>
    </w:p>
    <w:p w14:paraId="59897345"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6</w:t>
      </w:r>
      <w:r w:rsidRPr="001B5FF5">
        <w:rPr>
          <w:rFonts w:ascii="宋体" w:eastAsia="宋体" w:hAnsi="宋体" w:cs="宋体"/>
          <w:kern w:val="0"/>
          <w:sz w:val="24"/>
          <w:lang w:val="zh-CN"/>
        </w:rPr>
        <w:t xml:space="preserve">.2 </w:t>
      </w:r>
      <w:r w:rsidRPr="001B5FF5">
        <w:rPr>
          <w:rFonts w:ascii="宋体" w:eastAsia="宋体" w:hAnsi="宋体" w:cs="宋体" w:hint="eastAsia"/>
          <w:kern w:val="0"/>
          <w:sz w:val="24"/>
          <w:lang w:val="zh-CN"/>
        </w:rPr>
        <w:t>体育运动的欣赏内容</w:t>
      </w:r>
    </w:p>
    <w:p w14:paraId="0918052C"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6</w:t>
      </w:r>
      <w:r w:rsidRPr="001B5FF5">
        <w:rPr>
          <w:rFonts w:ascii="宋体" w:eastAsia="宋体" w:hAnsi="宋体" w:cs="宋体"/>
          <w:kern w:val="0"/>
          <w:sz w:val="24"/>
          <w:lang w:val="zh-CN"/>
        </w:rPr>
        <w:t xml:space="preserve">.3 </w:t>
      </w:r>
      <w:r w:rsidRPr="001B5FF5">
        <w:rPr>
          <w:rFonts w:ascii="宋体" w:eastAsia="宋体" w:hAnsi="宋体" w:cs="宋体" w:hint="eastAsia"/>
          <w:kern w:val="0"/>
          <w:sz w:val="24"/>
          <w:lang w:val="zh-CN"/>
        </w:rPr>
        <w:t>特定运动项目的欣赏</w:t>
      </w:r>
    </w:p>
    <w:p w14:paraId="798B1A0F" w14:textId="77777777" w:rsidR="001B5FF5" w:rsidRPr="001B5FF5" w:rsidRDefault="001B5FF5" w:rsidP="001B5FF5">
      <w:pPr>
        <w:spacing w:line="360" w:lineRule="auto"/>
        <w:ind w:firstLineChars="196" w:firstLine="472"/>
        <w:rPr>
          <w:rFonts w:ascii="宋体" w:eastAsia="宋体" w:hAnsi="宋体" w:cs="Arial"/>
          <w:b/>
          <w:sz w:val="24"/>
        </w:rPr>
      </w:pPr>
      <w:r w:rsidRPr="001B5FF5">
        <w:rPr>
          <w:rFonts w:ascii="宋体" w:eastAsia="宋体" w:hAnsi="宋体" w:cs="Arial" w:hint="eastAsia"/>
          <w:b/>
          <w:sz w:val="24"/>
        </w:rPr>
        <w:t>本章教学目的及要求：</w:t>
      </w:r>
      <w:r w:rsidRPr="001B5FF5">
        <w:rPr>
          <w:rFonts w:ascii="宋体" w:eastAsia="宋体" w:hAnsi="宋体" w:cs="Arial" w:hint="eastAsia"/>
          <w:bCs/>
          <w:sz w:val="24"/>
          <w:szCs w:val="28"/>
        </w:rPr>
        <w:t>使学生提高体育文化素质，培养起体育欣赏的兴趣，树立正确的体育审美观念。</w:t>
      </w:r>
    </w:p>
    <w:p w14:paraId="6873B0AD" w14:textId="77777777" w:rsidR="001B5FF5" w:rsidRPr="001B5FF5" w:rsidRDefault="001B5FF5" w:rsidP="001B5FF5">
      <w:pPr>
        <w:spacing w:line="360" w:lineRule="auto"/>
        <w:ind w:firstLineChars="196" w:firstLine="472"/>
        <w:rPr>
          <w:rFonts w:ascii="宋体" w:eastAsia="宋体" w:hAnsi="宋体" w:cs="Arial"/>
          <w:b/>
          <w:sz w:val="24"/>
        </w:rPr>
      </w:pPr>
      <w:r w:rsidRPr="001B5FF5">
        <w:rPr>
          <w:rFonts w:ascii="宋体" w:eastAsia="宋体" w:hAnsi="宋体" w:cs="Arial" w:hint="eastAsia"/>
          <w:b/>
          <w:sz w:val="24"/>
        </w:rPr>
        <w:t>本章教学重点及难点：</w:t>
      </w:r>
      <w:r w:rsidRPr="001B5FF5">
        <w:rPr>
          <w:rFonts w:ascii="宋体" w:eastAsia="宋体" w:hAnsi="宋体" w:cs="Arial" w:hint="eastAsia"/>
          <w:sz w:val="24"/>
        </w:rPr>
        <w:t>如何欣赏球类比赛</w:t>
      </w:r>
      <w:r w:rsidRPr="001B5FF5">
        <w:rPr>
          <w:rFonts w:ascii="宋体" w:eastAsia="宋体" w:hAnsi="宋体" w:cs="Arial" w:hint="eastAsia"/>
          <w:bCs/>
          <w:sz w:val="24"/>
          <w:szCs w:val="28"/>
        </w:rPr>
        <w:t>；如何提高体育欣赏水平。</w:t>
      </w:r>
    </w:p>
    <w:p w14:paraId="394DC72C" w14:textId="77777777" w:rsidR="001B5FF5" w:rsidRPr="001B5FF5" w:rsidRDefault="001B5FF5" w:rsidP="001B5FF5">
      <w:pPr>
        <w:spacing w:beforeLines="50" w:before="156" w:afterLines="50" w:after="156" w:line="360" w:lineRule="auto"/>
        <w:jc w:val="center"/>
        <w:rPr>
          <w:rFonts w:ascii="宋体" w:eastAsia="宋体" w:hAnsi="宋体" w:cs="Arial"/>
          <w:b/>
          <w:sz w:val="28"/>
          <w:szCs w:val="28"/>
        </w:rPr>
      </w:pPr>
      <w:r w:rsidRPr="001B5FF5">
        <w:rPr>
          <w:rFonts w:ascii="宋体" w:eastAsia="宋体" w:hAnsi="宋体" w:cs="Arial" w:hint="eastAsia"/>
          <w:b/>
          <w:sz w:val="28"/>
          <w:szCs w:val="28"/>
        </w:rPr>
        <w:t>第七章</w:t>
      </w:r>
      <w:r w:rsidRPr="001B5FF5">
        <w:rPr>
          <w:rFonts w:ascii="宋体" w:eastAsia="宋体" w:hAnsi="宋体" w:cs="Arial"/>
          <w:b/>
          <w:sz w:val="28"/>
          <w:szCs w:val="28"/>
        </w:rPr>
        <w:t xml:space="preserve">   大</w:t>
      </w:r>
      <w:r w:rsidRPr="001B5FF5">
        <w:rPr>
          <w:rFonts w:ascii="宋体" w:eastAsia="宋体" w:hAnsi="宋体" w:cs="Arial" w:hint="eastAsia"/>
          <w:b/>
          <w:sz w:val="28"/>
          <w:szCs w:val="28"/>
        </w:rPr>
        <w:t>学生体质健康测评（4学时）</w:t>
      </w:r>
    </w:p>
    <w:p w14:paraId="77DEB328" w14:textId="77777777" w:rsidR="001B5FF5" w:rsidRPr="001B5FF5" w:rsidRDefault="001B5FF5" w:rsidP="001B5FF5">
      <w:pPr>
        <w:spacing w:line="360" w:lineRule="auto"/>
        <w:ind w:firstLineChars="196" w:firstLine="472"/>
        <w:rPr>
          <w:rFonts w:ascii="宋体" w:eastAsia="宋体" w:hAnsi="宋体" w:cs="Arial"/>
          <w:b/>
          <w:sz w:val="24"/>
        </w:rPr>
      </w:pPr>
      <w:r w:rsidRPr="001B5FF5">
        <w:rPr>
          <w:rFonts w:ascii="宋体" w:eastAsia="宋体" w:hAnsi="宋体" w:cs="Arial" w:hint="eastAsia"/>
          <w:b/>
          <w:sz w:val="24"/>
        </w:rPr>
        <w:t>本章主要教学内容：</w:t>
      </w:r>
    </w:p>
    <w:p w14:paraId="358BED02"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7</w:t>
      </w:r>
      <w:r w:rsidRPr="001B5FF5">
        <w:rPr>
          <w:rFonts w:ascii="宋体" w:eastAsia="宋体" w:hAnsi="宋体" w:cs="宋体"/>
          <w:kern w:val="0"/>
          <w:sz w:val="24"/>
          <w:lang w:val="zh-CN"/>
        </w:rPr>
        <w:t xml:space="preserve">.1 </w:t>
      </w:r>
      <w:r w:rsidRPr="001B5FF5">
        <w:rPr>
          <w:rFonts w:ascii="宋体" w:eastAsia="宋体" w:hAnsi="宋体" w:cs="宋体" w:hint="eastAsia"/>
          <w:kern w:val="0"/>
          <w:sz w:val="24"/>
          <w:lang w:val="zh-CN"/>
        </w:rPr>
        <w:t>《国家学生体质健康标准》实施说明</w:t>
      </w:r>
    </w:p>
    <w:p w14:paraId="541039B8"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7</w:t>
      </w:r>
      <w:r w:rsidRPr="001B5FF5">
        <w:rPr>
          <w:rFonts w:ascii="宋体" w:eastAsia="宋体" w:hAnsi="宋体" w:cs="宋体"/>
          <w:kern w:val="0"/>
          <w:sz w:val="24"/>
          <w:lang w:val="zh-CN"/>
        </w:rPr>
        <w:t>.2</w:t>
      </w:r>
      <w:r w:rsidRPr="001B5FF5">
        <w:rPr>
          <w:rFonts w:ascii="宋体" w:eastAsia="宋体" w:hAnsi="宋体" w:cs="宋体" w:hint="eastAsia"/>
          <w:kern w:val="0"/>
          <w:sz w:val="24"/>
          <w:lang w:val="zh-CN"/>
        </w:rPr>
        <w:t xml:space="preserve"> 《国家学生体质健康标准》测试</w:t>
      </w:r>
      <w:r w:rsidRPr="001B5FF5">
        <w:rPr>
          <w:rFonts w:ascii="宋体" w:eastAsia="宋体" w:hAnsi="宋体" w:cs="宋体"/>
          <w:kern w:val="0"/>
          <w:sz w:val="24"/>
          <w:lang w:val="zh-CN"/>
        </w:rPr>
        <w:t>评分表</w:t>
      </w:r>
    </w:p>
    <w:p w14:paraId="0D833970" w14:textId="77777777" w:rsidR="001B5FF5" w:rsidRPr="001B5FF5" w:rsidRDefault="001B5FF5" w:rsidP="001B5FF5">
      <w:pPr>
        <w:spacing w:line="360" w:lineRule="auto"/>
        <w:ind w:firstLineChars="196" w:firstLine="472"/>
        <w:rPr>
          <w:rFonts w:ascii="宋体" w:eastAsia="宋体" w:hAnsi="宋体" w:cs="Times New Roman"/>
          <w:bCs/>
          <w:sz w:val="24"/>
        </w:rPr>
      </w:pPr>
      <w:r w:rsidRPr="001B5FF5">
        <w:rPr>
          <w:rFonts w:ascii="宋体" w:eastAsia="宋体" w:hAnsi="宋体" w:cs="Arial" w:hint="eastAsia"/>
          <w:b/>
          <w:sz w:val="24"/>
        </w:rPr>
        <w:t>本章教学目的及要求：</w:t>
      </w:r>
      <w:r w:rsidRPr="001B5FF5">
        <w:rPr>
          <w:rFonts w:ascii="宋体" w:eastAsia="宋体" w:hAnsi="宋体" w:cs="Times New Roman" w:hint="eastAsia"/>
          <w:bCs/>
          <w:sz w:val="24"/>
        </w:rPr>
        <w:t>使学生了解体质健康的主要内容及要求。</w:t>
      </w:r>
    </w:p>
    <w:p w14:paraId="7E3F3F3F" w14:textId="77777777" w:rsidR="001B5FF5" w:rsidRPr="001B5FF5" w:rsidRDefault="001B5FF5" w:rsidP="001B5FF5">
      <w:pPr>
        <w:spacing w:line="360" w:lineRule="auto"/>
        <w:ind w:firstLineChars="196" w:firstLine="472"/>
        <w:rPr>
          <w:rFonts w:ascii="宋体" w:eastAsia="宋体" w:hAnsi="宋体" w:cs="Arial"/>
          <w:sz w:val="24"/>
        </w:rPr>
      </w:pPr>
      <w:r w:rsidRPr="001B5FF5">
        <w:rPr>
          <w:rFonts w:ascii="宋体" w:eastAsia="宋体" w:hAnsi="宋体" w:cs="Arial" w:hint="eastAsia"/>
          <w:b/>
          <w:sz w:val="24"/>
        </w:rPr>
        <w:t>本章教学重点及难点：</w:t>
      </w:r>
      <w:r w:rsidRPr="001B5FF5">
        <w:rPr>
          <w:rFonts w:ascii="宋体" w:eastAsia="宋体" w:hAnsi="宋体" w:cs="Arial" w:hint="eastAsia"/>
          <w:sz w:val="24"/>
        </w:rPr>
        <w:t>学生体质健康标准的重要性；如何激发学生锻炼身体的积极性和自觉性。</w:t>
      </w:r>
    </w:p>
    <w:p w14:paraId="5B6A519D" w14:textId="77777777" w:rsidR="001B5FF5" w:rsidRPr="001B5FF5" w:rsidRDefault="001B5FF5" w:rsidP="001B5FF5">
      <w:pPr>
        <w:spacing w:beforeLines="50" w:before="156" w:afterLines="50" w:after="156" w:line="360" w:lineRule="auto"/>
        <w:jc w:val="center"/>
        <w:rPr>
          <w:rFonts w:ascii="宋体" w:eastAsia="宋体" w:hAnsi="宋体" w:cs="Arial"/>
          <w:b/>
          <w:sz w:val="28"/>
          <w:szCs w:val="28"/>
        </w:rPr>
      </w:pPr>
      <w:r w:rsidRPr="001B5FF5">
        <w:rPr>
          <w:rFonts w:ascii="宋体" w:eastAsia="宋体" w:hAnsi="宋体" w:cs="Arial" w:hint="eastAsia"/>
          <w:b/>
          <w:sz w:val="28"/>
          <w:szCs w:val="28"/>
        </w:rPr>
        <w:t>第八章</w:t>
      </w:r>
      <w:r w:rsidRPr="001B5FF5">
        <w:rPr>
          <w:rFonts w:ascii="宋体" w:eastAsia="宋体" w:hAnsi="宋体" w:cs="Arial"/>
          <w:b/>
          <w:sz w:val="28"/>
          <w:szCs w:val="28"/>
        </w:rPr>
        <w:t xml:space="preserve"> </w:t>
      </w:r>
      <w:r w:rsidRPr="001B5FF5">
        <w:rPr>
          <w:rFonts w:ascii="宋体" w:eastAsia="宋体" w:hAnsi="宋体" w:cs="Arial" w:hint="eastAsia"/>
          <w:b/>
          <w:bCs/>
          <w:sz w:val="28"/>
          <w:szCs w:val="28"/>
        </w:rPr>
        <w:t>体能训练</w:t>
      </w:r>
      <w:r w:rsidRPr="001B5FF5">
        <w:rPr>
          <w:rFonts w:ascii="宋体" w:eastAsia="宋体" w:hAnsi="宋体" w:cs="Arial" w:hint="eastAsia"/>
          <w:b/>
          <w:sz w:val="28"/>
          <w:szCs w:val="28"/>
        </w:rPr>
        <w:t>（13学时）</w:t>
      </w:r>
    </w:p>
    <w:p w14:paraId="18C9EC73" w14:textId="77777777" w:rsidR="001B5FF5" w:rsidRPr="001B5FF5" w:rsidRDefault="001B5FF5" w:rsidP="001B5FF5">
      <w:pPr>
        <w:spacing w:line="360" w:lineRule="auto"/>
        <w:ind w:firstLineChars="196" w:firstLine="472"/>
        <w:rPr>
          <w:rFonts w:ascii="宋体" w:eastAsia="宋体" w:hAnsi="宋体" w:cs="Arial"/>
          <w:b/>
          <w:sz w:val="24"/>
        </w:rPr>
      </w:pPr>
      <w:r w:rsidRPr="001B5FF5">
        <w:rPr>
          <w:rFonts w:ascii="宋体" w:eastAsia="宋体" w:hAnsi="宋体" w:cs="Arial" w:hint="eastAsia"/>
          <w:b/>
          <w:sz w:val="24"/>
        </w:rPr>
        <w:t>本章主要教学内容：</w:t>
      </w:r>
    </w:p>
    <w:p w14:paraId="1580A749"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8.1 体能训练简介</w:t>
      </w:r>
    </w:p>
    <w:p w14:paraId="039E5525"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8.2 加速能力及力量训练2.柔韧能力训练</w:t>
      </w:r>
    </w:p>
    <w:p w14:paraId="6C3513B4"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8.3 弹跳能力及力量训练</w:t>
      </w:r>
    </w:p>
    <w:p w14:paraId="4B41C11F"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8.4 灵敏能力及力量训练</w:t>
      </w:r>
    </w:p>
    <w:p w14:paraId="349AAF49"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8.5 耐力能力及无氧训练</w:t>
      </w:r>
    </w:p>
    <w:p w14:paraId="2D434203"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8.6 弹跳能力及力量测试</w:t>
      </w:r>
    </w:p>
    <w:p w14:paraId="0848334D"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lastRenderedPageBreak/>
        <w:t>8.7 上肢（男）力量训练2.腹肌（女）力量训练</w:t>
      </w:r>
    </w:p>
    <w:p w14:paraId="54E4CC04"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8.8 耐力能力及无氧训练</w:t>
      </w:r>
    </w:p>
    <w:p w14:paraId="68739463"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8.9 引体向上（男）；一分钟仰卧起坐（女）</w:t>
      </w:r>
    </w:p>
    <w:p w14:paraId="35107920"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8.10 立定跳远测试</w:t>
      </w:r>
    </w:p>
    <w:p w14:paraId="54038E53" w14:textId="77777777" w:rsidR="001B5FF5" w:rsidRPr="001B5FF5" w:rsidRDefault="001B5FF5" w:rsidP="001B5FF5">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1B5FF5">
        <w:rPr>
          <w:rFonts w:ascii="宋体" w:eastAsia="宋体" w:hAnsi="宋体" w:cs="宋体" w:hint="eastAsia"/>
          <w:b/>
          <w:bCs/>
          <w:kern w:val="0"/>
          <w:sz w:val="28"/>
          <w:szCs w:val="28"/>
          <w:lang w:val="zh-CN"/>
        </w:rPr>
        <w:t>第九章  武术概述与基本功练习（</w:t>
      </w:r>
      <w:r w:rsidRPr="001B5FF5">
        <w:rPr>
          <w:rFonts w:ascii="宋体" w:eastAsia="宋体" w:hAnsi="宋体" w:cs="宋体"/>
          <w:b/>
          <w:bCs/>
          <w:kern w:val="0"/>
          <w:sz w:val="28"/>
          <w:szCs w:val="28"/>
          <w:lang w:val="zh-CN"/>
        </w:rPr>
        <w:t>2</w:t>
      </w:r>
      <w:r w:rsidRPr="001B5FF5">
        <w:rPr>
          <w:rFonts w:ascii="宋体" w:eastAsia="宋体" w:hAnsi="宋体" w:cs="宋体" w:hint="eastAsia"/>
          <w:b/>
          <w:bCs/>
          <w:kern w:val="0"/>
          <w:sz w:val="28"/>
          <w:szCs w:val="28"/>
          <w:lang w:val="zh-CN"/>
        </w:rPr>
        <w:t>学时）</w:t>
      </w:r>
    </w:p>
    <w:p w14:paraId="2777EDDB" w14:textId="77777777" w:rsidR="001B5FF5" w:rsidRPr="001B5FF5" w:rsidRDefault="001B5FF5" w:rsidP="001B5FF5">
      <w:pPr>
        <w:autoSpaceDE w:val="0"/>
        <w:autoSpaceDN w:val="0"/>
        <w:adjustRightInd w:val="0"/>
        <w:spacing w:line="360" w:lineRule="auto"/>
        <w:ind w:firstLineChars="200" w:firstLine="482"/>
        <w:rPr>
          <w:rFonts w:ascii="宋体" w:eastAsia="宋体" w:hAnsi="宋体" w:cs="Arial"/>
          <w:b/>
          <w:bCs/>
          <w:kern w:val="0"/>
          <w:sz w:val="24"/>
        </w:rPr>
      </w:pPr>
      <w:r w:rsidRPr="001B5FF5">
        <w:rPr>
          <w:rFonts w:ascii="宋体" w:eastAsia="宋体" w:hAnsi="宋体" w:cs="宋体" w:hint="eastAsia"/>
          <w:b/>
          <w:bCs/>
          <w:kern w:val="0"/>
          <w:sz w:val="24"/>
          <w:lang w:val="zh-CN"/>
        </w:rPr>
        <w:t>本章主要教学内容：</w:t>
      </w:r>
    </w:p>
    <w:p w14:paraId="3EECAD05"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9.1</w:t>
      </w:r>
      <w:r w:rsidRPr="001B5FF5">
        <w:rPr>
          <w:rFonts w:ascii="宋体" w:eastAsia="宋体" w:hAnsi="宋体" w:cs="宋体"/>
          <w:kern w:val="0"/>
          <w:sz w:val="24"/>
          <w:lang w:val="zh-CN"/>
        </w:rPr>
        <w:t xml:space="preserve"> </w:t>
      </w:r>
      <w:r w:rsidRPr="001B5FF5">
        <w:rPr>
          <w:rFonts w:ascii="宋体" w:eastAsia="宋体" w:hAnsi="宋体" w:cs="宋体" w:hint="eastAsia"/>
          <w:kern w:val="0"/>
          <w:sz w:val="24"/>
          <w:lang w:val="zh-CN"/>
        </w:rPr>
        <w:t>武术的概念</w:t>
      </w:r>
    </w:p>
    <w:p w14:paraId="18B67714"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9</w:t>
      </w:r>
      <w:r w:rsidRPr="001B5FF5">
        <w:rPr>
          <w:rFonts w:ascii="宋体" w:eastAsia="宋体" w:hAnsi="宋体" w:cs="宋体"/>
          <w:kern w:val="0"/>
          <w:sz w:val="24"/>
          <w:lang w:val="zh-CN"/>
        </w:rPr>
        <w:t xml:space="preserve">.2 </w:t>
      </w:r>
      <w:r w:rsidRPr="001B5FF5">
        <w:rPr>
          <w:rFonts w:ascii="宋体" w:eastAsia="宋体" w:hAnsi="宋体" w:cs="宋体" w:hint="eastAsia"/>
          <w:kern w:val="0"/>
          <w:sz w:val="24"/>
          <w:lang w:val="zh-CN"/>
        </w:rPr>
        <w:t>武术的起源与发展</w:t>
      </w:r>
    </w:p>
    <w:p w14:paraId="2B030113"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宋体"/>
          <w:kern w:val="0"/>
          <w:sz w:val="24"/>
          <w:lang w:val="zh-CN"/>
        </w:rPr>
      </w:pPr>
      <w:r w:rsidRPr="001B5FF5">
        <w:rPr>
          <w:rFonts w:ascii="宋体" w:eastAsia="宋体" w:hAnsi="宋体" w:cs="宋体" w:hint="eastAsia"/>
          <w:kern w:val="0"/>
          <w:sz w:val="24"/>
          <w:lang w:val="zh-CN"/>
        </w:rPr>
        <w:t>9</w:t>
      </w:r>
      <w:r w:rsidRPr="001B5FF5">
        <w:rPr>
          <w:rFonts w:ascii="宋体" w:eastAsia="宋体" w:hAnsi="宋体" w:cs="宋体"/>
          <w:kern w:val="0"/>
          <w:sz w:val="24"/>
          <w:lang w:val="zh-CN"/>
        </w:rPr>
        <w:t xml:space="preserve">.3 </w:t>
      </w:r>
      <w:r w:rsidRPr="001B5FF5">
        <w:rPr>
          <w:rFonts w:ascii="宋体" w:eastAsia="宋体" w:hAnsi="宋体" w:cs="宋体" w:hint="eastAsia"/>
          <w:kern w:val="0"/>
          <w:sz w:val="24"/>
          <w:lang w:val="zh-CN"/>
        </w:rPr>
        <w:t>武术的内容与分类</w:t>
      </w:r>
    </w:p>
    <w:p w14:paraId="2D4D0255"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Arial"/>
          <w:kern w:val="0"/>
          <w:sz w:val="24"/>
        </w:rPr>
      </w:pPr>
      <w:r w:rsidRPr="001B5FF5">
        <w:rPr>
          <w:rFonts w:ascii="宋体" w:eastAsia="宋体" w:hAnsi="宋体" w:cs="宋体" w:hint="eastAsia"/>
          <w:kern w:val="0"/>
          <w:sz w:val="24"/>
          <w:lang w:val="zh-CN"/>
        </w:rPr>
        <w:t>9</w:t>
      </w:r>
      <w:r w:rsidRPr="001B5FF5">
        <w:rPr>
          <w:rFonts w:ascii="宋体" w:eastAsia="宋体" w:hAnsi="宋体" w:cs="宋体"/>
          <w:kern w:val="0"/>
          <w:sz w:val="24"/>
          <w:lang w:val="zh-CN"/>
        </w:rPr>
        <w:t xml:space="preserve">.4 </w:t>
      </w:r>
      <w:r w:rsidRPr="001B5FF5">
        <w:rPr>
          <w:rFonts w:ascii="宋体" w:eastAsia="宋体" w:hAnsi="宋体" w:cs="宋体" w:hint="eastAsia"/>
          <w:kern w:val="0"/>
          <w:sz w:val="24"/>
          <w:lang w:val="zh-CN"/>
        </w:rPr>
        <w:t>武术段位制、长拳简介</w:t>
      </w:r>
    </w:p>
    <w:p w14:paraId="7E5F34D7" w14:textId="77777777" w:rsidR="001B5FF5" w:rsidRPr="001B5FF5" w:rsidRDefault="001B5FF5" w:rsidP="001B5FF5">
      <w:pPr>
        <w:autoSpaceDE w:val="0"/>
        <w:autoSpaceDN w:val="0"/>
        <w:adjustRightInd w:val="0"/>
        <w:spacing w:line="500" w:lineRule="exact"/>
        <w:ind w:firstLineChars="200" w:firstLine="480"/>
        <w:rPr>
          <w:rFonts w:ascii="宋体" w:eastAsia="宋体" w:hAnsi="宋体" w:cs="Arial"/>
          <w:kern w:val="0"/>
          <w:sz w:val="24"/>
        </w:rPr>
      </w:pPr>
      <w:r w:rsidRPr="001B5FF5">
        <w:rPr>
          <w:rFonts w:ascii="宋体" w:eastAsia="宋体" w:hAnsi="宋体" w:cs="宋体" w:hint="eastAsia"/>
          <w:kern w:val="0"/>
          <w:sz w:val="24"/>
          <w:lang w:val="zh-CN"/>
        </w:rPr>
        <w:t>9</w:t>
      </w:r>
      <w:r w:rsidRPr="001B5FF5">
        <w:rPr>
          <w:rFonts w:ascii="宋体" w:eastAsia="宋体" w:hAnsi="宋体" w:cs="宋体"/>
          <w:kern w:val="0"/>
          <w:sz w:val="24"/>
          <w:lang w:val="zh-CN"/>
        </w:rPr>
        <w:t>.5</w:t>
      </w:r>
      <w:r w:rsidRPr="001B5FF5">
        <w:rPr>
          <w:rFonts w:ascii="宋体" w:eastAsia="宋体" w:hAnsi="宋体" w:cs="宋体" w:hint="eastAsia"/>
          <w:kern w:val="0"/>
          <w:sz w:val="24"/>
          <w:lang w:val="zh-CN"/>
        </w:rPr>
        <w:t>柔韧练习和基本手型、手法、步型</w:t>
      </w:r>
    </w:p>
    <w:p w14:paraId="257B24A0" w14:textId="77777777" w:rsidR="001B5FF5" w:rsidRPr="001B5FF5" w:rsidRDefault="001B5FF5" w:rsidP="001B5FF5">
      <w:pPr>
        <w:autoSpaceDE w:val="0"/>
        <w:autoSpaceDN w:val="0"/>
        <w:adjustRightInd w:val="0"/>
        <w:spacing w:line="500" w:lineRule="atLeast"/>
        <w:ind w:firstLineChars="200" w:firstLine="482"/>
        <w:jc w:val="left"/>
        <w:rPr>
          <w:rFonts w:ascii="宋体" w:eastAsia="宋体" w:hAnsi="宋体" w:cs="宋体"/>
          <w:color w:val="000000"/>
          <w:kern w:val="0"/>
          <w:sz w:val="24"/>
          <w:lang w:val="zh-CN"/>
        </w:rPr>
      </w:pPr>
      <w:r w:rsidRPr="001B5FF5">
        <w:rPr>
          <w:rFonts w:ascii="宋体" w:eastAsia="宋体" w:hAnsi="宋体" w:cs="宋体" w:hint="eastAsia"/>
          <w:b/>
          <w:bCs/>
          <w:kern w:val="0"/>
          <w:sz w:val="24"/>
          <w:lang w:val="zh-CN"/>
        </w:rPr>
        <w:t>本章教学目的及要求：</w:t>
      </w:r>
      <w:r w:rsidRPr="001B5FF5">
        <w:rPr>
          <w:rFonts w:ascii="宋体" w:eastAsia="宋体" w:hAnsi="宋体" w:cs="宋体" w:hint="eastAsia"/>
          <w:color w:val="000000"/>
          <w:kern w:val="0"/>
          <w:sz w:val="24"/>
          <w:lang w:val="zh-CN"/>
        </w:rPr>
        <w:t>了解武术的概念、武术的内容、发展史及发展现状。</w:t>
      </w:r>
    </w:p>
    <w:p w14:paraId="0038E62C" w14:textId="77777777" w:rsidR="001B5FF5" w:rsidRPr="001B5FF5" w:rsidRDefault="001B5FF5" w:rsidP="001B5FF5">
      <w:pPr>
        <w:autoSpaceDE w:val="0"/>
        <w:autoSpaceDN w:val="0"/>
        <w:adjustRightInd w:val="0"/>
        <w:spacing w:line="500" w:lineRule="atLeast"/>
        <w:ind w:firstLineChars="200" w:firstLine="482"/>
        <w:rPr>
          <w:rFonts w:ascii="宋体" w:eastAsia="宋体" w:hAnsi="宋体" w:cs="宋体"/>
          <w:color w:val="000000"/>
          <w:kern w:val="0"/>
          <w:sz w:val="24"/>
          <w:lang w:val="zh-CN"/>
        </w:rPr>
      </w:pPr>
      <w:r w:rsidRPr="001B5FF5">
        <w:rPr>
          <w:rFonts w:ascii="宋体" w:eastAsia="宋体" w:hAnsi="宋体" w:cs="宋体" w:hint="eastAsia"/>
          <w:b/>
          <w:bCs/>
          <w:kern w:val="0"/>
          <w:sz w:val="24"/>
          <w:lang w:val="zh-CN"/>
        </w:rPr>
        <w:t>本章教学重点及难点：</w:t>
      </w:r>
      <w:r w:rsidRPr="001B5FF5">
        <w:rPr>
          <w:rFonts w:ascii="宋体" w:eastAsia="宋体" w:hAnsi="宋体" w:cs="宋体" w:hint="eastAsia"/>
          <w:color w:val="000000"/>
          <w:kern w:val="0"/>
          <w:sz w:val="24"/>
          <w:lang w:val="zh-CN"/>
        </w:rPr>
        <w:t>重点：武术运动的发展史；难点：内容与分类</w:t>
      </w:r>
    </w:p>
    <w:p w14:paraId="21E2C382" w14:textId="77777777" w:rsidR="001B5FF5" w:rsidRPr="001B5FF5" w:rsidRDefault="001B5FF5" w:rsidP="001B5FF5">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1B5FF5">
        <w:rPr>
          <w:rFonts w:ascii="宋体" w:eastAsia="宋体" w:hAnsi="宋体" w:cs="宋体" w:hint="eastAsia"/>
          <w:b/>
          <w:bCs/>
          <w:kern w:val="0"/>
          <w:sz w:val="28"/>
          <w:szCs w:val="28"/>
          <w:lang w:val="zh-CN"/>
        </w:rPr>
        <w:t>第十章 武术基本功、长拳（10学时）</w:t>
      </w:r>
    </w:p>
    <w:p w14:paraId="13731B70"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
          <w:bCs/>
          <w:kern w:val="0"/>
          <w:sz w:val="24"/>
        </w:rPr>
      </w:pPr>
      <w:r w:rsidRPr="001B5FF5">
        <w:rPr>
          <w:rFonts w:ascii="宋体" w:eastAsia="宋体" w:hAnsi="宋体" w:cs="宋体" w:hint="eastAsia"/>
          <w:b/>
          <w:bCs/>
          <w:kern w:val="0"/>
          <w:sz w:val="24"/>
          <w:lang w:val="zh-CN"/>
        </w:rPr>
        <w:t>本章主要教学内容：</w:t>
      </w:r>
    </w:p>
    <w:p w14:paraId="41F044F2" w14:textId="77777777" w:rsidR="001B5FF5" w:rsidRPr="001B5FF5" w:rsidRDefault="001B5FF5" w:rsidP="001B5FF5">
      <w:pPr>
        <w:autoSpaceDE w:val="0"/>
        <w:autoSpaceDN w:val="0"/>
        <w:adjustRightInd w:val="0"/>
        <w:spacing w:line="500" w:lineRule="atLeast"/>
        <w:ind w:firstLineChars="200" w:firstLine="480"/>
        <w:rPr>
          <w:rFonts w:ascii="宋体" w:eastAsia="宋体" w:hAnsi="宋体" w:cs="宋体"/>
          <w:color w:val="000000"/>
          <w:kern w:val="0"/>
          <w:sz w:val="24"/>
          <w:lang w:val="zh-CN"/>
        </w:rPr>
      </w:pPr>
      <w:r w:rsidRPr="001B5FF5">
        <w:rPr>
          <w:rFonts w:ascii="宋体" w:eastAsia="宋体" w:hAnsi="宋体" w:cs="宋体" w:hint="eastAsia"/>
          <w:color w:val="000000"/>
          <w:kern w:val="0"/>
          <w:sz w:val="24"/>
          <w:lang w:val="zh-CN"/>
        </w:rPr>
        <w:t>10</w:t>
      </w:r>
      <w:r w:rsidRPr="001B5FF5">
        <w:rPr>
          <w:rFonts w:ascii="宋体" w:eastAsia="宋体" w:hAnsi="宋体" w:cs="宋体"/>
          <w:color w:val="000000"/>
          <w:kern w:val="0"/>
          <w:sz w:val="24"/>
          <w:lang w:val="zh-CN"/>
        </w:rPr>
        <w:t xml:space="preserve">.1 </w:t>
      </w:r>
      <w:proofErr w:type="gramStart"/>
      <w:r w:rsidRPr="001B5FF5">
        <w:rPr>
          <w:rFonts w:ascii="宋体" w:eastAsia="宋体" w:hAnsi="宋体" w:cs="宋体" w:hint="eastAsia"/>
          <w:color w:val="000000"/>
          <w:kern w:val="0"/>
          <w:sz w:val="24"/>
          <w:lang w:val="zh-CN"/>
        </w:rPr>
        <w:t>直摆性</w:t>
      </w:r>
      <w:proofErr w:type="gramEnd"/>
      <w:r w:rsidRPr="001B5FF5">
        <w:rPr>
          <w:rFonts w:ascii="宋体" w:eastAsia="宋体" w:hAnsi="宋体" w:cs="宋体" w:hint="eastAsia"/>
          <w:color w:val="000000"/>
          <w:kern w:val="0"/>
          <w:sz w:val="24"/>
          <w:lang w:val="zh-CN"/>
        </w:rPr>
        <w:t>腿法：正踢腿、</w:t>
      </w:r>
      <w:proofErr w:type="gramStart"/>
      <w:r w:rsidRPr="001B5FF5">
        <w:rPr>
          <w:rFonts w:ascii="宋体" w:eastAsia="宋体" w:hAnsi="宋体" w:cs="宋体" w:hint="eastAsia"/>
          <w:color w:val="000000"/>
          <w:kern w:val="0"/>
          <w:sz w:val="24"/>
          <w:lang w:val="zh-CN"/>
        </w:rPr>
        <w:t>里合腿</w:t>
      </w:r>
      <w:proofErr w:type="gramEnd"/>
      <w:r w:rsidRPr="001B5FF5">
        <w:rPr>
          <w:rFonts w:ascii="宋体" w:eastAsia="宋体" w:hAnsi="宋体" w:cs="宋体" w:hint="eastAsia"/>
          <w:color w:val="000000"/>
          <w:kern w:val="0"/>
          <w:sz w:val="24"/>
          <w:lang w:val="zh-CN"/>
        </w:rPr>
        <w:t>、外摆腿</w:t>
      </w:r>
    </w:p>
    <w:p w14:paraId="3991C6AA" w14:textId="77777777" w:rsidR="001B5FF5" w:rsidRPr="001B5FF5" w:rsidRDefault="001B5FF5" w:rsidP="001B5FF5">
      <w:pPr>
        <w:autoSpaceDE w:val="0"/>
        <w:autoSpaceDN w:val="0"/>
        <w:adjustRightInd w:val="0"/>
        <w:spacing w:line="500" w:lineRule="atLeast"/>
        <w:ind w:firstLineChars="200" w:firstLine="480"/>
        <w:rPr>
          <w:rFonts w:ascii="宋体" w:eastAsia="宋体" w:hAnsi="宋体" w:cs="宋体"/>
          <w:color w:val="000000"/>
          <w:kern w:val="0"/>
          <w:sz w:val="24"/>
          <w:lang w:val="zh-CN"/>
        </w:rPr>
      </w:pPr>
      <w:r w:rsidRPr="001B5FF5">
        <w:rPr>
          <w:rFonts w:ascii="宋体" w:eastAsia="宋体" w:hAnsi="宋体" w:cs="宋体" w:hint="eastAsia"/>
          <w:color w:val="000000"/>
          <w:kern w:val="0"/>
          <w:sz w:val="24"/>
          <w:lang w:val="zh-CN"/>
        </w:rPr>
        <w:t>10</w:t>
      </w:r>
      <w:r w:rsidRPr="001B5FF5">
        <w:rPr>
          <w:rFonts w:ascii="宋体" w:eastAsia="宋体" w:hAnsi="宋体" w:cs="宋体"/>
          <w:color w:val="000000"/>
          <w:kern w:val="0"/>
          <w:sz w:val="24"/>
          <w:lang w:val="zh-CN"/>
        </w:rPr>
        <w:t xml:space="preserve">.2 </w:t>
      </w:r>
      <w:r w:rsidRPr="001B5FF5">
        <w:rPr>
          <w:rFonts w:ascii="宋体" w:eastAsia="宋体" w:hAnsi="宋体" w:cs="宋体" w:hint="eastAsia"/>
          <w:color w:val="000000"/>
          <w:kern w:val="0"/>
          <w:sz w:val="24"/>
          <w:lang w:val="zh-CN"/>
        </w:rPr>
        <w:t>屈伸性腿法：弹腿、蹬腿、侧踹腿</w:t>
      </w:r>
      <w:r w:rsidRPr="001B5FF5">
        <w:rPr>
          <w:rFonts w:ascii="宋体" w:eastAsia="宋体" w:hAnsi="宋体" w:cs="宋体"/>
          <w:color w:val="000000"/>
          <w:kern w:val="0"/>
          <w:sz w:val="24"/>
          <w:lang w:val="zh-CN"/>
        </w:rPr>
        <w:t xml:space="preserve"> </w:t>
      </w:r>
    </w:p>
    <w:p w14:paraId="287F3DED" w14:textId="77777777" w:rsidR="001B5FF5" w:rsidRPr="001B5FF5" w:rsidRDefault="001B5FF5" w:rsidP="001B5FF5">
      <w:pPr>
        <w:autoSpaceDE w:val="0"/>
        <w:autoSpaceDN w:val="0"/>
        <w:adjustRightInd w:val="0"/>
        <w:spacing w:line="500" w:lineRule="atLeast"/>
        <w:ind w:firstLineChars="200" w:firstLine="480"/>
        <w:rPr>
          <w:rFonts w:ascii="宋体" w:eastAsia="宋体" w:hAnsi="宋体" w:cs="宋体"/>
          <w:color w:val="000000"/>
          <w:kern w:val="0"/>
          <w:sz w:val="24"/>
          <w:lang w:val="zh-CN"/>
        </w:rPr>
      </w:pPr>
      <w:r w:rsidRPr="001B5FF5">
        <w:rPr>
          <w:rFonts w:ascii="宋体" w:eastAsia="宋体" w:hAnsi="宋体" w:cs="宋体" w:hint="eastAsia"/>
          <w:color w:val="000000"/>
          <w:kern w:val="0"/>
          <w:sz w:val="24"/>
          <w:lang w:val="zh-CN"/>
        </w:rPr>
        <w:t>10</w:t>
      </w:r>
      <w:r w:rsidRPr="001B5FF5">
        <w:rPr>
          <w:rFonts w:ascii="宋体" w:eastAsia="宋体" w:hAnsi="宋体" w:cs="宋体"/>
          <w:color w:val="000000"/>
          <w:kern w:val="0"/>
          <w:sz w:val="24"/>
          <w:lang w:val="zh-CN"/>
        </w:rPr>
        <w:t xml:space="preserve">.3 </w:t>
      </w:r>
      <w:r w:rsidRPr="001B5FF5">
        <w:rPr>
          <w:rFonts w:ascii="宋体" w:eastAsia="宋体" w:hAnsi="宋体" w:cs="宋体" w:hint="eastAsia"/>
          <w:color w:val="000000"/>
          <w:kern w:val="0"/>
          <w:sz w:val="24"/>
          <w:lang w:val="zh-CN"/>
        </w:rPr>
        <w:t>一段长拳</w:t>
      </w:r>
    </w:p>
    <w:p w14:paraId="34778298" w14:textId="77777777" w:rsidR="001B5FF5" w:rsidRPr="001B5FF5" w:rsidRDefault="001B5FF5" w:rsidP="001B5FF5">
      <w:pPr>
        <w:autoSpaceDE w:val="0"/>
        <w:autoSpaceDN w:val="0"/>
        <w:adjustRightInd w:val="0"/>
        <w:spacing w:line="500" w:lineRule="atLeast"/>
        <w:ind w:firstLineChars="200" w:firstLine="482"/>
        <w:rPr>
          <w:rFonts w:ascii="宋体" w:eastAsia="宋体" w:hAnsi="宋体" w:cs="宋体"/>
          <w:color w:val="000000"/>
          <w:kern w:val="0"/>
          <w:sz w:val="24"/>
          <w:lang w:val="zh-CN"/>
        </w:rPr>
      </w:pPr>
      <w:r w:rsidRPr="001B5FF5">
        <w:rPr>
          <w:rFonts w:ascii="宋体" w:eastAsia="宋体" w:hAnsi="宋体" w:cs="宋体" w:hint="eastAsia"/>
          <w:b/>
          <w:bCs/>
          <w:kern w:val="0"/>
          <w:sz w:val="24"/>
          <w:lang w:val="zh-CN"/>
        </w:rPr>
        <w:t>本章教学目的及要求：</w:t>
      </w:r>
    </w:p>
    <w:p w14:paraId="67D9BE5C" w14:textId="77777777" w:rsidR="001B5FF5" w:rsidRPr="001B5FF5" w:rsidRDefault="001B5FF5" w:rsidP="001B5FF5">
      <w:pPr>
        <w:autoSpaceDE w:val="0"/>
        <w:autoSpaceDN w:val="0"/>
        <w:adjustRightInd w:val="0"/>
        <w:spacing w:line="500" w:lineRule="exact"/>
        <w:ind w:firstLine="482"/>
        <w:rPr>
          <w:rFonts w:ascii="宋体" w:eastAsia="宋体" w:hAnsi="宋体" w:cs="宋体"/>
          <w:color w:val="000000"/>
          <w:kern w:val="0"/>
          <w:sz w:val="24"/>
          <w:lang w:val="zh-CN"/>
        </w:rPr>
      </w:pPr>
      <w:r w:rsidRPr="001B5FF5">
        <w:rPr>
          <w:rFonts w:ascii="宋体" w:eastAsia="宋体" w:hAnsi="宋体" w:cs="宋体" w:hint="eastAsia"/>
          <w:color w:val="000000"/>
          <w:kern w:val="0"/>
          <w:sz w:val="24"/>
          <w:lang w:val="zh-CN"/>
        </w:rPr>
        <w:t>掌握武术基本手型、手法，了解长拳技法特点，提高腿部的柔韧性及身体的协调性。掌握长拳一段动作，了解动作要点及要求。</w:t>
      </w:r>
    </w:p>
    <w:p w14:paraId="2768B1A8" w14:textId="77777777" w:rsidR="001B5FF5" w:rsidRPr="001B5FF5" w:rsidRDefault="001B5FF5" w:rsidP="001B5FF5">
      <w:pPr>
        <w:autoSpaceDE w:val="0"/>
        <w:autoSpaceDN w:val="0"/>
        <w:adjustRightInd w:val="0"/>
        <w:spacing w:line="500" w:lineRule="exact"/>
        <w:ind w:firstLine="482"/>
        <w:rPr>
          <w:rFonts w:ascii="宋体" w:eastAsia="宋体" w:hAnsi="宋体" w:cs="宋体"/>
          <w:color w:val="000000"/>
          <w:kern w:val="0"/>
          <w:sz w:val="24"/>
          <w:lang w:val="zh-CN"/>
        </w:rPr>
      </w:pPr>
      <w:r w:rsidRPr="001B5FF5">
        <w:rPr>
          <w:rFonts w:ascii="宋体" w:eastAsia="宋体" w:hAnsi="宋体" w:cs="宋体" w:hint="eastAsia"/>
          <w:b/>
          <w:bCs/>
          <w:kern w:val="0"/>
          <w:sz w:val="24"/>
          <w:lang w:val="zh-CN"/>
        </w:rPr>
        <w:t>本章教学重点及难点：</w:t>
      </w:r>
    </w:p>
    <w:p w14:paraId="76743286" w14:textId="77777777" w:rsidR="001B5FF5" w:rsidRPr="001B5FF5" w:rsidRDefault="001B5FF5" w:rsidP="001B5FF5">
      <w:pPr>
        <w:autoSpaceDE w:val="0"/>
        <w:autoSpaceDN w:val="0"/>
        <w:adjustRightInd w:val="0"/>
        <w:spacing w:line="500" w:lineRule="exact"/>
        <w:ind w:firstLine="482"/>
        <w:rPr>
          <w:rFonts w:ascii="宋体" w:eastAsia="宋体" w:hAnsi="宋体" w:cs="宋体"/>
          <w:color w:val="000000"/>
          <w:kern w:val="0"/>
          <w:sz w:val="24"/>
          <w:lang w:val="zh-CN"/>
        </w:rPr>
      </w:pPr>
      <w:r w:rsidRPr="001B5FF5">
        <w:rPr>
          <w:rFonts w:ascii="宋体" w:eastAsia="宋体" w:hAnsi="宋体" w:cs="宋体" w:hint="eastAsia"/>
          <w:color w:val="000000"/>
          <w:kern w:val="0"/>
          <w:sz w:val="24"/>
          <w:lang w:val="zh-CN"/>
        </w:rPr>
        <w:t>重点掌握长拳动作方法及路线，能够单独完成套路。</w:t>
      </w:r>
    </w:p>
    <w:p w14:paraId="62C33D3B" w14:textId="77777777" w:rsidR="001B5FF5" w:rsidRPr="001B5FF5" w:rsidRDefault="001B5FF5" w:rsidP="001B5FF5">
      <w:pPr>
        <w:spacing w:beforeLines="50" w:before="156" w:afterLines="50" w:after="156" w:line="440" w:lineRule="exact"/>
        <w:ind w:firstLineChars="200" w:firstLine="560"/>
        <w:jc w:val="center"/>
        <w:rPr>
          <w:rFonts w:ascii="黑体" w:eastAsia="黑体" w:hAnsi="黑体" w:cs="Times New Roman"/>
          <w:sz w:val="28"/>
          <w:szCs w:val="28"/>
        </w:rPr>
      </w:pPr>
      <w:r w:rsidRPr="001B5FF5">
        <w:rPr>
          <w:rFonts w:ascii="黑体" w:eastAsia="黑体" w:hAnsi="黑体" w:cs="Times New Roman" w:hint="eastAsia"/>
          <w:sz w:val="28"/>
          <w:szCs w:val="28"/>
        </w:rPr>
        <w:t>学习内容二 武术 1</w:t>
      </w:r>
    </w:p>
    <w:p w14:paraId="7710F8B1" w14:textId="77777777" w:rsidR="001B5FF5" w:rsidRPr="001B5FF5" w:rsidRDefault="001B5FF5" w:rsidP="001B5FF5">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1B5FF5">
        <w:rPr>
          <w:rFonts w:ascii="宋体" w:eastAsia="宋体" w:hAnsi="宋体" w:cs="Times New Roman" w:hint="eastAsia"/>
          <w:b/>
          <w:sz w:val="24"/>
        </w:rPr>
        <w:t>【学习目标】</w:t>
      </w:r>
    </w:p>
    <w:p w14:paraId="61218C98" w14:textId="77777777" w:rsidR="001B5FF5" w:rsidRPr="001B5FF5" w:rsidRDefault="001B5FF5" w:rsidP="001B5FF5">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1B5FF5">
        <w:rPr>
          <w:rFonts w:ascii="宋体" w:eastAsia="宋体" w:hAnsi="Calibri" w:cs="宋体" w:hint="eastAsia"/>
          <w:spacing w:val="5"/>
          <w:kern w:val="0"/>
          <w:sz w:val="24"/>
        </w:rPr>
        <w:lastRenderedPageBreak/>
        <w:t>1.</w:t>
      </w:r>
      <w:r w:rsidRPr="001B5FF5">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1B5FF5">
        <w:rPr>
          <w:rFonts w:ascii="宋体" w:eastAsia="宋体" w:hAnsi="Calibri" w:cs="宋体" w:hint="eastAsia"/>
          <w:spacing w:val="5"/>
          <w:kern w:val="0"/>
          <w:sz w:val="24"/>
        </w:rPr>
        <w:t>通过体能教学活动，</w:t>
      </w:r>
      <w:r w:rsidRPr="001B5FF5">
        <w:rPr>
          <w:rFonts w:ascii="宋体" w:eastAsia="宋体" w:hAnsi="宋体" w:cs="仿宋_GB2312" w:hint="eastAsia"/>
          <w:sz w:val="24"/>
        </w:rPr>
        <w:t>了解《大学生体质健康标准测验》项目内容、考核方式、评价标准，掌握考核内容锻炼的方式方法。</w:t>
      </w:r>
      <w:r w:rsidRPr="001B5FF5">
        <w:rPr>
          <w:rFonts w:ascii="宋体" w:eastAsia="宋体" w:hAnsi="Calibri" w:cs="宋体" w:hint="eastAsia"/>
          <w:spacing w:val="5"/>
          <w:kern w:val="0"/>
          <w:sz w:val="24"/>
        </w:rPr>
        <w:t>培养学生努力学习、不断进取、修身立业、顽强奋进的精神与品质。</w:t>
      </w:r>
    </w:p>
    <w:p w14:paraId="5F1B8B71" w14:textId="77777777" w:rsidR="001B5FF5" w:rsidRPr="001B5FF5" w:rsidRDefault="001B5FF5" w:rsidP="001B5FF5">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1B5FF5">
        <w:rPr>
          <w:rFonts w:ascii="宋体" w:eastAsia="宋体" w:hAnsi="Calibri" w:cs="宋体" w:hint="eastAsia"/>
          <w:spacing w:val="5"/>
          <w:kern w:val="0"/>
          <w:sz w:val="24"/>
        </w:rPr>
        <w:t>2.</w:t>
      </w:r>
      <w:r w:rsidRPr="001B5FF5">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1B5FF5">
        <w:rPr>
          <w:rFonts w:ascii="宋体" w:eastAsia="宋体" w:hAnsi="Calibri" w:cs="宋体" w:hint="eastAsia"/>
          <w:spacing w:val="5"/>
          <w:kern w:val="0"/>
          <w:sz w:val="24"/>
        </w:rPr>
        <w:t>。</w:t>
      </w:r>
    </w:p>
    <w:p w14:paraId="3EC1614A" w14:textId="77777777" w:rsidR="001B5FF5" w:rsidRPr="001B5FF5" w:rsidRDefault="001B5FF5" w:rsidP="001B5FF5">
      <w:pPr>
        <w:autoSpaceDE w:val="0"/>
        <w:autoSpaceDN w:val="0"/>
        <w:adjustRightInd w:val="0"/>
        <w:snapToGrid w:val="0"/>
        <w:spacing w:line="500" w:lineRule="exact"/>
        <w:ind w:firstLineChars="200" w:firstLine="480"/>
        <w:rPr>
          <w:rFonts w:ascii="宋体" w:eastAsia="宋体" w:hAnsi="宋体" w:cs="仿宋_GB2312"/>
          <w:sz w:val="24"/>
        </w:rPr>
      </w:pPr>
      <w:r w:rsidRPr="001B5FF5">
        <w:rPr>
          <w:rFonts w:ascii="宋体" w:eastAsia="宋体" w:hAnsi="宋体" w:cs="仿宋_GB2312" w:hint="eastAsia"/>
          <w:sz w:val="24"/>
        </w:rPr>
        <w:t>3.使学生能够掌握武术的攻防技击动作，掌握武术知识、武术技能，做到健身、防身、修身为一体的体育实践性课程。学习武术长拳二段是武术的入门套路，以尚武崇德为文化核心，</w:t>
      </w:r>
      <w:proofErr w:type="gramStart"/>
      <w:r w:rsidRPr="001B5FF5">
        <w:rPr>
          <w:rFonts w:ascii="宋体" w:eastAsia="宋体" w:hAnsi="宋体" w:cs="仿宋_GB2312" w:hint="eastAsia"/>
          <w:sz w:val="24"/>
        </w:rPr>
        <w:t>以打练结合</w:t>
      </w:r>
      <w:proofErr w:type="gramEnd"/>
      <w:r w:rsidRPr="001B5FF5">
        <w:rPr>
          <w:rFonts w:ascii="宋体" w:eastAsia="宋体" w:hAnsi="宋体" w:cs="仿宋_GB2312" w:hint="eastAsia"/>
          <w:sz w:val="24"/>
        </w:rPr>
        <w:t>为技术模式，拳法刚劲快速，对大学生机体进行科学的培育，在提高人的生物潜能、心理潜能的过程中促进德、智、体、美全面发展，达到身心健康、全面发展的教育总目的。</w:t>
      </w:r>
    </w:p>
    <w:p w14:paraId="1BBE3BA9" w14:textId="77777777" w:rsidR="001B5FF5" w:rsidRPr="001B5FF5" w:rsidRDefault="001B5FF5" w:rsidP="001B5FF5">
      <w:pPr>
        <w:spacing w:line="440" w:lineRule="exact"/>
        <w:ind w:firstLineChars="200" w:firstLine="500"/>
        <w:rPr>
          <w:rFonts w:ascii="宋体" w:eastAsia="宋体" w:hAnsi="Calibri" w:cs="宋体"/>
          <w:spacing w:val="5"/>
          <w:kern w:val="0"/>
          <w:sz w:val="24"/>
        </w:rPr>
      </w:pPr>
      <w:r w:rsidRPr="001B5FF5">
        <w:rPr>
          <w:rFonts w:ascii="宋体" w:eastAsia="宋体" w:hAnsi="Calibri" w:cs="宋体" w:hint="eastAsia"/>
          <w:spacing w:val="5"/>
          <w:kern w:val="0"/>
          <w:sz w:val="24"/>
        </w:rPr>
        <w:t>4.</w:t>
      </w:r>
      <w:r w:rsidRPr="001B5FF5">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1B5FF5">
        <w:rPr>
          <w:rFonts w:ascii="宋体" w:eastAsia="宋体" w:hAnsi="Calibri" w:cs="宋体" w:hint="eastAsia"/>
          <w:spacing w:val="5"/>
          <w:kern w:val="0"/>
          <w:sz w:val="24"/>
        </w:rPr>
        <w:t>。</w:t>
      </w:r>
    </w:p>
    <w:p w14:paraId="6C038BD2" w14:textId="77777777" w:rsidR="001B5FF5" w:rsidRPr="001B5FF5" w:rsidRDefault="001B5FF5" w:rsidP="001B5FF5">
      <w:pPr>
        <w:spacing w:line="440" w:lineRule="exact"/>
        <w:ind w:firstLineChars="200" w:firstLine="482"/>
        <w:rPr>
          <w:rFonts w:ascii="宋体" w:eastAsia="宋体" w:hAnsi="宋体" w:cs="Times New Roman"/>
          <w:bCs/>
          <w:color w:val="FF0000"/>
          <w:sz w:val="24"/>
        </w:rPr>
      </w:pPr>
      <w:r w:rsidRPr="001B5FF5">
        <w:rPr>
          <w:rFonts w:ascii="宋体" w:eastAsia="宋体" w:hAnsi="宋体" w:cs="Times New Roman" w:hint="eastAsia"/>
          <w:b/>
          <w:sz w:val="24"/>
        </w:rPr>
        <w:t>【学习内容】</w:t>
      </w:r>
    </w:p>
    <w:p w14:paraId="5F17F7CA" w14:textId="77777777" w:rsidR="001B5FF5" w:rsidRPr="001B5FF5" w:rsidRDefault="001B5FF5" w:rsidP="001B5FF5">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1B5FF5">
        <w:rPr>
          <w:rFonts w:ascii="宋体" w:eastAsia="宋体" w:hAnsi="宋体" w:cs="宋体"/>
          <w:b/>
          <w:bCs/>
          <w:kern w:val="0"/>
          <w:sz w:val="28"/>
          <w:szCs w:val="28"/>
          <w:lang w:val="zh-CN"/>
        </w:rPr>
        <w:t xml:space="preserve">第一章   </w:t>
      </w:r>
      <w:r w:rsidRPr="001B5FF5">
        <w:rPr>
          <w:rFonts w:ascii="宋体" w:eastAsia="宋体" w:hAnsi="宋体" w:cs="宋体" w:hint="eastAsia"/>
          <w:b/>
          <w:bCs/>
          <w:kern w:val="0"/>
          <w:sz w:val="28"/>
          <w:szCs w:val="28"/>
          <w:lang w:val="zh-CN"/>
        </w:rPr>
        <w:t>长拳概述（1学时）</w:t>
      </w:r>
    </w:p>
    <w:p w14:paraId="3589EE01" w14:textId="77777777" w:rsidR="001B5FF5" w:rsidRPr="001B5FF5" w:rsidRDefault="001B5FF5" w:rsidP="001B5FF5">
      <w:pPr>
        <w:autoSpaceDE w:val="0"/>
        <w:autoSpaceDN w:val="0"/>
        <w:adjustRightInd w:val="0"/>
        <w:spacing w:line="500" w:lineRule="atLeast"/>
        <w:ind w:firstLine="482"/>
        <w:rPr>
          <w:rFonts w:ascii="宋体" w:eastAsia="宋体" w:hAnsi="宋体" w:cs="Times New Roman"/>
          <w:b/>
          <w:bCs/>
          <w:kern w:val="0"/>
          <w:sz w:val="24"/>
        </w:rPr>
      </w:pPr>
      <w:r w:rsidRPr="001B5FF5">
        <w:rPr>
          <w:rFonts w:ascii="宋体" w:eastAsia="宋体" w:hAnsi="宋体" w:cs="宋体" w:hint="eastAsia"/>
          <w:b/>
          <w:bCs/>
          <w:kern w:val="0"/>
          <w:sz w:val="24"/>
          <w:lang w:val="zh-CN"/>
        </w:rPr>
        <w:t>本章主要教学内容：</w:t>
      </w:r>
    </w:p>
    <w:p w14:paraId="077C6C3E"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bCs/>
          <w:color w:val="000000"/>
          <w:sz w:val="24"/>
        </w:rPr>
        <w:t>1.1</w:t>
      </w:r>
      <w:r w:rsidRPr="001B5FF5">
        <w:rPr>
          <w:rFonts w:ascii="宋体" w:eastAsia="宋体" w:hAnsi="宋体" w:cs="Arial" w:hint="eastAsia"/>
          <w:bCs/>
          <w:color w:val="000000"/>
          <w:sz w:val="24"/>
        </w:rPr>
        <w:t>长拳简介</w:t>
      </w:r>
    </w:p>
    <w:p w14:paraId="4B512BC3"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bCs/>
          <w:color w:val="000000"/>
          <w:sz w:val="24"/>
        </w:rPr>
        <w:t>1.2</w:t>
      </w:r>
      <w:r w:rsidRPr="001B5FF5">
        <w:rPr>
          <w:rFonts w:ascii="宋体" w:eastAsia="宋体" w:hAnsi="宋体" w:cs="Arial" w:hint="eastAsia"/>
          <w:bCs/>
          <w:color w:val="000000"/>
          <w:sz w:val="24"/>
        </w:rPr>
        <w:t>长拳的特点</w:t>
      </w:r>
    </w:p>
    <w:p w14:paraId="0408BC3F"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bCs/>
          <w:color w:val="000000"/>
          <w:sz w:val="24"/>
        </w:rPr>
        <w:t>1.3</w:t>
      </w:r>
      <w:r w:rsidRPr="001B5FF5">
        <w:rPr>
          <w:rFonts w:ascii="宋体" w:eastAsia="宋体" w:hAnsi="宋体" w:cs="Arial" w:hint="eastAsia"/>
          <w:bCs/>
          <w:color w:val="000000"/>
          <w:sz w:val="24"/>
        </w:rPr>
        <w:t>长拳的习练方法</w:t>
      </w:r>
      <w:r w:rsidRPr="001B5FF5">
        <w:rPr>
          <w:rFonts w:ascii="宋体" w:eastAsia="宋体" w:hAnsi="宋体" w:cs="Arial"/>
          <w:bCs/>
          <w:color w:val="000000"/>
          <w:sz w:val="24"/>
        </w:rPr>
        <w:t xml:space="preserve"> </w:t>
      </w:r>
    </w:p>
    <w:p w14:paraId="5E2A7FA5" w14:textId="77777777" w:rsidR="001B5FF5" w:rsidRPr="001B5FF5" w:rsidRDefault="001B5FF5" w:rsidP="001B5FF5">
      <w:pPr>
        <w:autoSpaceDE w:val="0"/>
        <w:autoSpaceDN w:val="0"/>
        <w:adjustRightInd w:val="0"/>
        <w:spacing w:line="500" w:lineRule="atLeast"/>
        <w:ind w:firstLine="482"/>
        <w:rPr>
          <w:rFonts w:ascii="宋体" w:eastAsia="宋体" w:hAnsi="宋体" w:cs="宋体"/>
          <w:kern w:val="0"/>
          <w:sz w:val="24"/>
          <w:lang w:val="zh-CN"/>
        </w:rPr>
      </w:pPr>
      <w:r w:rsidRPr="001B5FF5">
        <w:rPr>
          <w:rFonts w:ascii="宋体" w:eastAsia="宋体" w:hAnsi="宋体" w:cs="宋体" w:hint="eastAsia"/>
          <w:b/>
          <w:bCs/>
          <w:kern w:val="0"/>
          <w:sz w:val="24"/>
          <w:lang w:val="zh-CN"/>
        </w:rPr>
        <w:t>本章教学目的及要求：</w:t>
      </w:r>
      <w:r w:rsidRPr="001B5FF5">
        <w:rPr>
          <w:rFonts w:ascii="宋体" w:eastAsia="宋体" w:hAnsi="宋体" w:cs="楷体_GB2312" w:hint="eastAsia"/>
          <w:color w:val="000000"/>
          <w:kern w:val="0"/>
          <w:sz w:val="24"/>
        </w:rPr>
        <w:t>了解武术的长拳、长拳的习练方法及发展现状。</w:t>
      </w:r>
    </w:p>
    <w:p w14:paraId="1F6FD714" w14:textId="77777777" w:rsidR="001B5FF5" w:rsidRPr="001B5FF5" w:rsidRDefault="001B5FF5" w:rsidP="001B5FF5">
      <w:pPr>
        <w:autoSpaceDE w:val="0"/>
        <w:autoSpaceDN w:val="0"/>
        <w:adjustRightInd w:val="0"/>
        <w:spacing w:line="500" w:lineRule="atLeast"/>
        <w:ind w:firstLine="482"/>
        <w:rPr>
          <w:rFonts w:ascii="宋体" w:eastAsia="宋体" w:hAnsi="宋体" w:cs="宋体"/>
          <w:kern w:val="0"/>
          <w:sz w:val="24"/>
          <w:lang w:val="zh-CN"/>
        </w:rPr>
      </w:pPr>
      <w:r w:rsidRPr="001B5FF5">
        <w:rPr>
          <w:rFonts w:ascii="宋体" w:eastAsia="宋体" w:hAnsi="宋体" w:cs="宋体" w:hint="eastAsia"/>
          <w:b/>
          <w:bCs/>
          <w:kern w:val="0"/>
          <w:sz w:val="24"/>
          <w:lang w:val="zh-CN"/>
        </w:rPr>
        <w:lastRenderedPageBreak/>
        <w:t>本章教学重点及难点：</w:t>
      </w:r>
      <w:r w:rsidRPr="001B5FF5">
        <w:rPr>
          <w:rFonts w:ascii="宋体" w:eastAsia="宋体" w:hAnsi="宋体" w:cs="Arial" w:hint="eastAsia"/>
          <w:sz w:val="24"/>
        </w:rPr>
        <w:t>武术段位制二段长拳</w:t>
      </w:r>
    </w:p>
    <w:p w14:paraId="209AD097" w14:textId="77777777" w:rsidR="001B5FF5" w:rsidRPr="001B5FF5" w:rsidRDefault="001B5FF5" w:rsidP="001B5FF5">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1B5FF5">
        <w:rPr>
          <w:rFonts w:ascii="宋体" w:eastAsia="宋体" w:hAnsi="宋体" w:cs="宋体"/>
          <w:b/>
          <w:bCs/>
          <w:kern w:val="0"/>
          <w:sz w:val="28"/>
          <w:szCs w:val="28"/>
          <w:lang w:val="zh-CN"/>
        </w:rPr>
        <w:t xml:space="preserve">第二章    </w:t>
      </w:r>
      <w:r w:rsidRPr="001B5FF5">
        <w:rPr>
          <w:rFonts w:ascii="宋体" w:eastAsia="宋体" w:hAnsi="宋体" w:cs="宋体" w:hint="eastAsia"/>
          <w:b/>
          <w:bCs/>
          <w:kern w:val="0"/>
          <w:sz w:val="28"/>
          <w:szCs w:val="28"/>
          <w:lang w:val="zh-CN"/>
        </w:rPr>
        <w:t>武术基本功</w:t>
      </w:r>
      <w:r w:rsidRPr="001B5FF5">
        <w:rPr>
          <w:rFonts w:ascii="宋体" w:eastAsia="宋体" w:hAnsi="宋体" w:cs="宋体"/>
          <w:b/>
          <w:bCs/>
          <w:kern w:val="0"/>
          <w:sz w:val="28"/>
          <w:szCs w:val="28"/>
          <w:lang w:val="zh-CN"/>
        </w:rPr>
        <w:t>（</w:t>
      </w:r>
      <w:r w:rsidRPr="001B5FF5">
        <w:rPr>
          <w:rFonts w:ascii="宋体" w:eastAsia="宋体" w:hAnsi="宋体" w:cs="宋体" w:hint="eastAsia"/>
          <w:b/>
          <w:bCs/>
          <w:kern w:val="0"/>
          <w:sz w:val="28"/>
          <w:szCs w:val="28"/>
          <w:lang w:val="zh-CN"/>
        </w:rPr>
        <w:t>5</w:t>
      </w:r>
      <w:r w:rsidRPr="001B5FF5">
        <w:rPr>
          <w:rFonts w:ascii="宋体" w:eastAsia="宋体" w:hAnsi="宋体" w:cs="宋体"/>
          <w:b/>
          <w:bCs/>
          <w:kern w:val="0"/>
          <w:sz w:val="28"/>
          <w:szCs w:val="28"/>
          <w:lang w:val="zh-CN"/>
        </w:rPr>
        <w:t>学时）</w:t>
      </w:r>
    </w:p>
    <w:p w14:paraId="6E40FEC7" w14:textId="77777777" w:rsidR="001B5FF5" w:rsidRPr="001B5FF5" w:rsidRDefault="001B5FF5" w:rsidP="001B5FF5">
      <w:pPr>
        <w:autoSpaceDE w:val="0"/>
        <w:autoSpaceDN w:val="0"/>
        <w:adjustRightInd w:val="0"/>
        <w:spacing w:line="500" w:lineRule="atLeast"/>
        <w:ind w:firstLine="482"/>
        <w:rPr>
          <w:rFonts w:ascii="宋体" w:eastAsia="宋体" w:hAnsi="宋体" w:cs="Arial"/>
          <w:b/>
          <w:sz w:val="24"/>
        </w:rPr>
      </w:pPr>
      <w:r w:rsidRPr="001B5FF5">
        <w:rPr>
          <w:rFonts w:ascii="宋体" w:eastAsia="宋体" w:hAnsi="宋体" w:cs="Arial"/>
          <w:b/>
          <w:sz w:val="24"/>
        </w:rPr>
        <w:t>本章主要教学内容：</w:t>
      </w:r>
    </w:p>
    <w:p w14:paraId="4E7B14E6"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2.1 柔韧练习和基本手型、手法、步型</w:t>
      </w:r>
    </w:p>
    <w:p w14:paraId="62DD9817"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 xml:space="preserve">2.2 </w:t>
      </w:r>
      <w:proofErr w:type="gramStart"/>
      <w:r w:rsidRPr="001B5FF5">
        <w:rPr>
          <w:rFonts w:ascii="宋体" w:eastAsia="宋体" w:hAnsi="宋体" w:cs="Arial" w:hint="eastAsia"/>
          <w:bCs/>
          <w:color w:val="000000"/>
          <w:sz w:val="24"/>
        </w:rPr>
        <w:t>直摆性</w:t>
      </w:r>
      <w:proofErr w:type="gramEnd"/>
      <w:r w:rsidRPr="001B5FF5">
        <w:rPr>
          <w:rFonts w:ascii="宋体" w:eastAsia="宋体" w:hAnsi="宋体" w:cs="Arial" w:hint="eastAsia"/>
          <w:bCs/>
          <w:color w:val="000000"/>
          <w:sz w:val="24"/>
        </w:rPr>
        <w:t>腿法：正踢腿、</w:t>
      </w:r>
      <w:proofErr w:type="gramStart"/>
      <w:r w:rsidRPr="001B5FF5">
        <w:rPr>
          <w:rFonts w:ascii="宋体" w:eastAsia="宋体" w:hAnsi="宋体" w:cs="Arial" w:hint="eastAsia"/>
          <w:bCs/>
          <w:color w:val="000000"/>
          <w:sz w:val="24"/>
        </w:rPr>
        <w:t>里合腿</w:t>
      </w:r>
      <w:proofErr w:type="gramEnd"/>
      <w:r w:rsidRPr="001B5FF5">
        <w:rPr>
          <w:rFonts w:ascii="宋体" w:eastAsia="宋体" w:hAnsi="宋体" w:cs="Arial" w:hint="eastAsia"/>
          <w:bCs/>
          <w:color w:val="000000"/>
          <w:sz w:val="24"/>
        </w:rPr>
        <w:t>、外摆腿</w:t>
      </w:r>
    </w:p>
    <w:p w14:paraId="6A2090B5"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 xml:space="preserve">2.3 屈伸性腿法：弹腿、蹬腿、侧踹腿 </w:t>
      </w:r>
    </w:p>
    <w:p w14:paraId="7E5C4E3C" w14:textId="77777777" w:rsidR="001B5FF5" w:rsidRPr="001B5FF5" w:rsidRDefault="001B5FF5" w:rsidP="001B5FF5">
      <w:pPr>
        <w:autoSpaceDE w:val="0"/>
        <w:autoSpaceDN w:val="0"/>
        <w:adjustRightInd w:val="0"/>
        <w:spacing w:line="500" w:lineRule="atLeast"/>
        <w:ind w:firstLine="482"/>
        <w:rPr>
          <w:rFonts w:ascii="宋体" w:eastAsia="宋体" w:hAnsi="宋体" w:cs="Arial"/>
          <w:sz w:val="24"/>
        </w:rPr>
      </w:pPr>
      <w:r w:rsidRPr="001B5FF5">
        <w:rPr>
          <w:rFonts w:ascii="宋体" w:eastAsia="宋体" w:hAnsi="宋体" w:cs="Arial"/>
          <w:b/>
          <w:sz w:val="24"/>
        </w:rPr>
        <w:t>本章教学目的及要求：</w:t>
      </w:r>
      <w:r w:rsidRPr="001B5FF5">
        <w:rPr>
          <w:rFonts w:ascii="宋体" w:eastAsia="宋体" w:hAnsi="宋体" w:cs="Arial" w:hint="eastAsia"/>
          <w:sz w:val="24"/>
        </w:rPr>
        <w:t>掌握武术基本手型、手法，了解长拳技法特点，提高腿部的柔韧性及身体的协调性。</w:t>
      </w:r>
    </w:p>
    <w:p w14:paraId="363255E0" w14:textId="77777777" w:rsidR="001B5FF5" w:rsidRPr="001B5FF5" w:rsidRDefault="001B5FF5" w:rsidP="001B5FF5">
      <w:pPr>
        <w:autoSpaceDE w:val="0"/>
        <w:autoSpaceDN w:val="0"/>
        <w:adjustRightInd w:val="0"/>
        <w:spacing w:line="500" w:lineRule="atLeast"/>
        <w:ind w:firstLine="482"/>
        <w:rPr>
          <w:rFonts w:ascii="宋体" w:eastAsia="宋体" w:hAnsi="宋体" w:cs="Arial"/>
          <w:sz w:val="24"/>
        </w:rPr>
      </w:pPr>
      <w:r w:rsidRPr="001B5FF5">
        <w:rPr>
          <w:rFonts w:ascii="宋体" w:eastAsia="宋体" w:hAnsi="宋体" w:cs="Arial"/>
          <w:b/>
          <w:sz w:val="24"/>
        </w:rPr>
        <w:t>本章教学重点及难点：</w:t>
      </w:r>
      <w:r w:rsidRPr="001B5FF5">
        <w:rPr>
          <w:rFonts w:ascii="宋体" w:eastAsia="宋体" w:hAnsi="宋体" w:cs="Arial" w:hint="eastAsia"/>
          <w:sz w:val="24"/>
        </w:rPr>
        <w:t>掌握武术基本手型、手法、腿法</w:t>
      </w:r>
    </w:p>
    <w:p w14:paraId="44153270" w14:textId="77777777" w:rsidR="001B5FF5" w:rsidRPr="001B5FF5" w:rsidRDefault="001B5FF5" w:rsidP="001B5FF5">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1B5FF5">
        <w:rPr>
          <w:rFonts w:ascii="宋体" w:eastAsia="宋体" w:hAnsi="宋体" w:cs="宋体"/>
          <w:b/>
          <w:bCs/>
          <w:kern w:val="0"/>
          <w:sz w:val="28"/>
          <w:szCs w:val="28"/>
          <w:lang w:val="zh-CN"/>
        </w:rPr>
        <w:t>第</w:t>
      </w:r>
      <w:r w:rsidRPr="001B5FF5">
        <w:rPr>
          <w:rFonts w:ascii="宋体" w:eastAsia="宋体" w:hAnsi="宋体" w:cs="宋体" w:hint="eastAsia"/>
          <w:b/>
          <w:bCs/>
          <w:kern w:val="0"/>
          <w:sz w:val="28"/>
          <w:szCs w:val="28"/>
          <w:lang w:val="zh-CN"/>
        </w:rPr>
        <w:t>三</w:t>
      </w:r>
      <w:r w:rsidRPr="001B5FF5">
        <w:rPr>
          <w:rFonts w:ascii="宋体" w:eastAsia="宋体" w:hAnsi="宋体" w:cs="宋体"/>
          <w:b/>
          <w:bCs/>
          <w:kern w:val="0"/>
          <w:sz w:val="28"/>
          <w:szCs w:val="28"/>
          <w:lang w:val="zh-CN"/>
        </w:rPr>
        <w:t>章</w:t>
      </w:r>
      <w:r w:rsidRPr="001B5FF5">
        <w:rPr>
          <w:rFonts w:ascii="宋体" w:eastAsia="宋体" w:hAnsi="宋体" w:cs="宋体" w:hint="eastAsia"/>
          <w:b/>
          <w:bCs/>
          <w:kern w:val="0"/>
          <w:sz w:val="28"/>
          <w:szCs w:val="28"/>
          <w:lang w:val="zh-CN"/>
        </w:rPr>
        <w:t xml:space="preserve">     长拳二段</w:t>
      </w:r>
      <w:r w:rsidRPr="001B5FF5">
        <w:rPr>
          <w:rFonts w:ascii="宋体" w:eastAsia="宋体" w:hAnsi="宋体" w:cs="宋体"/>
          <w:b/>
          <w:bCs/>
          <w:kern w:val="0"/>
          <w:sz w:val="28"/>
          <w:szCs w:val="28"/>
          <w:lang w:val="zh-CN"/>
        </w:rPr>
        <w:t>（</w:t>
      </w:r>
      <w:r w:rsidRPr="001B5FF5">
        <w:rPr>
          <w:rFonts w:ascii="宋体" w:eastAsia="宋体" w:hAnsi="宋体" w:cs="宋体" w:hint="eastAsia"/>
          <w:b/>
          <w:bCs/>
          <w:kern w:val="0"/>
          <w:sz w:val="28"/>
          <w:szCs w:val="28"/>
        </w:rPr>
        <w:t>26</w:t>
      </w:r>
      <w:r w:rsidRPr="001B5FF5">
        <w:rPr>
          <w:rFonts w:ascii="宋体" w:eastAsia="宋体" w:hAnsi="宋体" w:cs="宋体"/>
          <w:b/>
          <w:bCs/>
          <w:kern w:val="0"/>
          <w:sz w:val="28"/>
          <w:szCs w:val="28"/>
          <w:lang w:val="zh-CN"/>
        </w:rPr>
        <w:t>学时）</w:t>
      </w:r>
    </w:p>
    <w:p w14:paraId="7C3CD823" w14:textId="77777777" w:rsidR="001B5FF5" w:rsidRPr="001B5FF5" w:rsidRDefault="001B5FF5" w:rsidP="001B5FF5">
      <w:pPr>
        <w:autoSpaceDE w:val="0"/>
        <w:autoSpaceDN w:val="0"/>
        <w:adjustRightInd w:val="0"/>
        <w:spacing w:line="500" w:lineRule="atLeast"/>
        <w:ind w:firstLine="482"/>
        <w:rPr>
          <w:rFonts w:ascii="宋体" w:eastAsia="宋体" w:hAnsi="宋体" w:cs="Arial"/>
          <w:b/>
          <w:sz w:val="24"/>
        </w:rPr>
      </w:pPr>
      <w:r w:rsidRPr="001B5FF5">
        <w:rPr>
          <w:rFonts w:ascii="宋体" w:eastAsia="宋体" w:hAnsi="宋体" w:cs="Arial"/>
          <w:b/>
          <w:sz w:val="24"/>
        </w:rPr>
        <w:t>本章主要教学内容：</w:t>
      </w:r>
    </w:p>
    <w:p w14:paraId="453CB4AB"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3.1长拳二段单练套路第一小节</w:t>
      </w:r>
    </w:p>
    <w:p w14:paraId="44EBEAFF"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3.2长拳二段单练套路第二小节</w:t>
      </w:r>
    </w:p>
    <w:p w14:paraId="29A3218A"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 xml:space="preserve">3.3 期中考试（长拳二段单练套路） </w:t>
      </w:r>
    </w:p>
    <w:p w14:paraId="724A69FF"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3.4长拳二段拆招</w:t>
      </w:r>
    </w:p>
    <w:p w14:paraId="2BD144B0"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3.5二段长拳拆招对打套路</w:t>
      </w:r>
    </w:p>
    <w:p w14:paraId="1644E0E4"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3.6期末考试</w:t>
      </w:r>
    </w:p>
    <w:p w14:paraId="6B745335" w14:textId="77777777" w:rsidR="001B5FF5" w:rsidRPr="001B5FF5" w:rsidRDefault="001B5FF5" w:rsidP="001B5FF5">
      <w:pPr>
        <w:autoSpaceDE w:val="0"/>
        <w:autoSpaceDN w:val="0"/>
        <w:adjustRightInd w:val="0"/>
        <w:spacing w:line="500" w:lineRule="atLeast"/>
        <w:ind w:firstLine="482"/>
        <w:rPr>
          <w:rFonts w:ascii="宋体" w:eastAsia="宋体" w:hAnsi="宋体" w:cs="Arial"/>
          <w:b/>
          <w:sz w:val="24"/>
        </w:rPr>
      </w:pPr>
      <w:r w:rsidRPr="001B5FF5">
        <w:rPr>
          <w:rFonts w:ascii="宋体" w:eastAsia="宋体" w:hAnsi="宋体" w:cs="Arial"/>
          <w:b/>
          <w:sz w:val="24"/>
        </w:rPr>
        <w:t>本章教学目的及要求：</w:t>
      </w:r>
    </w:p>
    <w:p w14:paraId="68A903EC"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bCs/>
          <w:color w:val="000000"/>
          <w:sz w:val="24"/>
        </w:rPr>
        <w:t>使学生掌握</w:t>
      </w:r>
      <w:r w:rsidRPr="001B5FF5">
        <w:rPr>
          <w:rFonts w:ascii="宋体" w:eastAsia="宋体" w:hAnsi="宋体" w:cs="Arial" w:hint="eastAsia"/>
          <w:bCs/>
          <w:color w:val="000000"/>
          <w:sz w:val="24"/>
        </w:rPr>
        <w:t>长拳二段动作，</w:t>
      </w:r>
      <w:r w:rsidRPr="001B5FF5">
        <w:rPr>
          <w:rFonts w:ascii="宋体" w:eastAsia="宋体" w:hAnsi="宋体" w:cs="Arial"/>
          <w:bCs/>
          <w:color w:val="000000"/>
          <w:sz w:val="24"/>
        </w:rPr>
        <w:t>提高学生身体灵活性、协调性</w:t>
      </w:r>
      <w:r w:rsidRPr="001B5FF5">
        <w:rPr>
          <w:rFonts w:ascii="宋体" w:eastAsia="宋体" w:hAnsi="宋体" w:cs="Arial" w:hint="eastAsia"/>
          <w:bCs/>
          <w:color w:val="000000"/>
          <w:sz w:val="24"/>
        </w:rPr>
        <w:t>。掌握长拳锻炼身体的练习方法，培养学生武术运动的意识、兴趣和爱好，为学习初级剑术奠定基础。</w:t>
      </w:r>
    </w:p>
    <w:p w14:paraId="370875B0" w14:textId="77777777" w:rsidR="001B5FF5" w:rsidRPr="001B5FF5" w:rsidRDefault="001B5FF5" w:rsidP="001B5FF5">
      <w:pPr>
        <w:autoSpaceDE w:val="0"/>
        <w:autoSpaceDN w:val="0"/>
        <w:adjustRightInd w:val="0"/>
        <w:spacing w:line="500" w:lineRule="atLeast"/>
        <w:ind w:firstLine="482"/>
        <w:rPr>
          <w:rFonts w:ascii="宋体" w:eastAsia="宋体" w:hAnsi="宋体" w:cs="Arial"/>
          <w:b/>
          <w:sz w:val="24"/>
        </w:rPr>
      </w:pPr>
      <w:r w:rsidRPr="001B5FF5">
        <w:rPr>
          <w:rFonts w:ascii="宋体" w:eastAsia="宋体" w:hAnsi="宋体" w:cs="Arial"/>
          <w:b/>
          <w:sz w:val="24"/>
        </w:rPr>
        <w:t>本章教学重点及难点：</w:t>
      </w:r>
    </w:p>
    <w:p w14:paraId="5A97AB91"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重点掌握长拳动作及对练套路，培养学生终生体育锻炼要意识。难点</w:t>
      </w:r>
      <w:r w:rsidRPr="001B5FF5">
        <w:rPr>
          <w:rFonts w:ascii="宋体" w:eastAsia="宋体" w:hAnsi="宋体" w:cs="Arial"/>
          <w:bCs/>
          <w:color w:val="000000"/>
          <w:sz w:val="24"/>
        </w:rPr>
        <w:t>掌握</w:t>
      </w:r>
      <w:r w:rsidRPr="001B5FF5">
        <w:rPr>
          <w:rFonts w:ascii="宋体" w:eastAsia="宋体" w:hAnsi="宋体" w:cs="Arial" w:hint="eastAsia"/>
          <w:bCs/>
          <w:color w:val="000000"/>
          <w:sz w:val="24"/>
        </w:rPr>
        <w:t>青年长拳动作的风格特点。</w:t>
      </w:r>
    </w:p>
    <w:p w14:paraId="079DB039" w14:textId="77777777" w:rsidR="001B5FF5" w:rsidRPr="001B5FF5" w:rsidRDefault="001B5FF5" w:rsidP="001B5FF5">
      <w:pPr>
        <w:spacing w:beforeLines="50" w:before="156" w:afterLines="50" w:after="156" w:line="440" w:lineRule="exact"/>
        <w:ind w:firstLineChars="200" w:firstLine="560"/>
        <w:jc w:val="center"/>
        <w:rPr>
          <w:rFonts w:ascii="黑体" w:eastAsia="黑体" w:hAnsi="黑体" w:cs="Times New Roman"/>
          <w:sz w:val="28"/>
          <w:szCs w:val="28"/>
        </w:rPr>
      </w:pPr>
      <w:r w:rsidRPr="001B5FF5">
        <w:rPr>
          <w:rFonts w:ascii="黑体" w:eastAsia="黑体" w:hAnsi="黑体" w:cs="Times New Roman" w:hint="eastAsia"/>
          <w:sz w:val="28"/>
          <w:szCs w:val="28"/>
        </w:rPr>
        <w:t>学习内容三 武术 2</w:t>
      </w:r>
    </w:p>
    <w:p w14:paraId="477E2651" w14:textId="77777777" w:rsidR="001B5FF5" w:rsidRPr="001B5FF5" w:rsidRDefault="001B5FF5" w:rsidP="001B5FF5">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1B5FF5">
        <w:rPr>
          <w:rFonts w:ascii="宋体" w:eastAsia="宋体" w:hAnsi="宋体" w:cs="Times New Roman" w:hint="eastAsia"/>
          <w:b/>
          <w:sz w:val="24"/>
        </w:rPr>
        <w:t>【学习目标】</w:t>
      </w:r>
    </w:p>
    <w:p w14:paraId="4D90C053" w14:textId="77777777" w:rsidR="001B5FF5" w:rsidRPr="001B5FF5" w:rsidRDefault="001B5FF5" w:rsidP="001B5FF5">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1B5FF5">
        <w:rPr>
          <w:rFonts w:ascii="宋体" w:eastAsia="宋体" w:hAnsi="Calibri" w:cs="宋体" w:hint="eastAsia"/>
          <w:spacing w:val="5"/>
          <w:kern w:val="0"/>
          <w:sz w:val="24"/>
        </w:rPr>
        <w:lastRenderedPageBreak/>
        <w:t>1.</w:t>
      </w:r>
      <w:r w:rsidRPr="001B5FF5">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1B5FF5">
        <w:rPr>
          <w:rFonts w:ascii="宋体" w:eastAsia="宋体" w:hAnsi="Calibri" w:cs="宋体" w:hint="eastAsia"/>
          <w:spacing w:val="5"/>
          <w:kern w:val="0"/>
          <w:sz w:val="24"/>
        </w:rPr>
        <w:t>通过体能教学活动，</w:t>
      </w:r>
      <w:r w:rsidRPr="001B5FF5">
        <w:rPr>
          <w:rFonts w:ascii="宋体" w:eastAsia="宋体" w:hAnsi="宋体" w:cs="仿宋_GB2312" w:hint="eastAsia"/>
          <w:sz w:val="24"/>
        </w:rPr>
        <w:t>了解《大学生体质健康标准测验》项目内容、考核方式、评价标准，掌握考核内容锻炼的方式方法。</w:t>
      </w:r>
      <w:r w:rsidRPr="001B5FF5">
        <w:rPr>
          <w:rFonts w:ascii="宋体" w:eastAsia="宋体" w:hAnsi="Calibri" w:cs="宋体" w:hint="eastAsia"/>
          <w:spacing w:val="5"/>
          <w:kern w:val="0"/>
          <w:sz w:val="24"/>
        </w:rPr>
        <w:t>培养学生努力学习、不断进取、修身立业、顽强奋进的精神与品质。</w:t>
      </w:r>
    </w:p>
    <w:p w14:paraId="452F1442" w14:textId="77777777" w:rsidR="001B5FF5" w:rsidRPr="001B5FF5" w:rsidRDefault="001B5FF5" w:rsidP="001B5FF5">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1B5FF5">
        <w:rPr>
          <w:rFonts w:ascii="宋体" w:eastAsia="宋体" w:hAnsi="Calibri" w:cs="宋体" w:hint="eastAsia"/>
          <w:spacing w:val="5"/>
          <w:kern w:val="0"/>
          <w:sz w:val="24"/>
        </w:rPr>
        <w:t>2.</w:t>
      </w:r>
      <w:r w:rsidRPr="001B5FF5">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1B5FF5">
        <w:rPr>
          <w:rFonts w:ascii="宋体" w:eastAsia="宋体" w:hAnsi="Calibri" w:cs="宋体" w:hint="eastAsia"/>
          <w:spacing w:val="5"/>
          <w:kern w:val="0"/>
          <w:sz w:val="24"/>
        </w:rPr>
        <w:t>。</w:t>
      </w:r>
    </w:p>
    <w:p w14:paraId="3A28F53A" w14:textId="77777777" w:rsidR="001B5FF5" w:rsidRPr="001B5FF5" w:rsidRDefault="001B5FF5" w:rsidP="001B5FF5">
      <w:pPr>
        <w:autoSpaceDE w:val="0"/>
        <w:autoSpaceDN w:val="0"/>
        <w:adjustRightInd w:val="0"/>
        <w:snapToGrid w:val="0"/>
        <w:spacing w:line="500" w:lineRule="exact"/>
        <w:ind w:firstLineChars="200" w:firstLine="480"/>
        <w:rPr>
          <w:rFonts w:ascii="宋体" w:eastAsia="宋体" w:hAnsi="宋体" w:cs="仿宋_GB2312"/>
          <w:sz w:val="24"/>
        </w:rPr>
      </w:pPr>
      <w:r w:rsidRPr="001B5FF5">
        <w:rPr>
          <w:rFonts w:ascii="宋体" w:eastAsia="宋体" w:hAnsi="宋体" w:cs="仿宋_GB2312" w:hint="eastAsia"/>
          <w:sz w:val="24"/>
        </w:rPr>
        <w:t>3.使学生能够掌握武术的攻防技击动作，掌握武术知识、武术技能，做到健身、防身、修身为一体的体育实践性课程。学习武术剑术二段是武术套路，以尚武崇德为文化核心，</w:t>
      </w:r>
      <w:proofErr w:type="gramStart"/>
      <w:r w:rsidRPr="001B5FF5">
        <w:rPr>
          <w:rFonts w:ascii="宋体" w:eastAsia="宋体" w:hAnsi="宋体" w:cs="仿宋_GB2312" w:hint="eastAsia"/>
          <w:sz w:val="24"/>
        </w:rPr>
        <w:t>以打练结合</w:t>
      </w:r>
      <w:proofErr w:type="gramEnd"/>
      <w:r w:rsidRPr="001B5FF5">
        <w:rPr>
          <w:rFonts w:ascii="宋体" w:eastAsia="宋体" w:hAnsi="宋体" w:cs="仿宋_GB2312" w:hint="eastAsia"/>
          <w:sz w:val="24"/>
        </w:rPr>
        <w:t>为技术模式，拳法刚劲快速，对大学生机体进行科学的培育，在提高人的生物潜能、心理潜能的过程中促进德、智、体、美全面发展，达到身心健康、全面发展的教育总目的。</w:t>
      </w:r>
    </w:p>
    <w:p w14:paraId="50549653" w14:textId="77777777" w:rsidR="001B5FF5" w:rsidRPr="001B5FF5" w:rsidRDefault="001B5FF5" w:rsidP="001B5FF5">
      <w:pPr>
        <w:spacing w:line="440" w:lineRule="exact"/>
        <w:ind w:firstLineChars="200" w:firstLine="500"/>
        <w:rPr>
          <w:rFonts w:ascii="宋体" w:eastAsia="宋体" w:hAnsi="Calibri" w:cs="宋体"/>
          <w:spacing w:val="5"/>
          <w:kern w:val="0"/>
          <w:sz w:val="24"/>
        </w:rPr>
      </w:pPr>
      <w:r w:rsidRPr="001B5FF5">
        <w:rPr>
          <w:rFonts w:ascii="宋体" w:eastAsia="宋体" w:hAnsi="Calibri" w:cs="宋体" w:hint="eastAsia"/>
          <w:spacing w:val="5"/>
          <w:kern w:val="0"/>
          <w:sz w:val="24"/>
        </w:rPr>
        <w:t>4.</w:t>
      </w:r>
      <w:r w:rsidRPr="001B5FF5">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1B5FF5">
        <w:rPr>
          <w:rFonts w:ascii="宋体" w:eastAsia="宋体" w:hAnsi="Calibri" w:cs="宋体" w:hint="eastAsia"/>
          <w:spacing w:val="5"/>
          <w:kern w:val="0"/>
          <w:sz w:val="24"/>
        </w:rPr>
        <w:t>。</w:t>
      </w:r>
    </w:p>
    <w:p w14:paraId="5817C957" w14:textId="77777777" w:rsidR="001B5FF5" w:rsidRPr="001B5FF5" w:rsidRDefault="001B5FF5" w:rsidP="001B5FF5">
      <w:pPr>
        <w:spacing w:line="440" w:lineRule="exact"/>
        <w:ind w:firstLineChars="200" w:firstLine="482"/>
        <w:rPr>
          <w:rFonts w:ascii="宋体" w:eastAsia="宋体" w:hAnsi="宋体" w:cs="Times New Roman"/>
          <w:bCs/>
          <w:color w:val="FF0000"/>
          <w:sz w:val="24"/>
        </w:rPr>
      </w:pPr>
      <w:r w:rsidRPr="001B5FF5">
        <w:rPr>
          <w:rFonts w:ascii="宋体" w:eastAsia="宋体" w:hAnsi="宋体" w:cs="Times New Roman" w:hint="eastAsia"/>
          <w:b/>
          <w:sz w:val="24"/>
        </w:rPr>
        <w:t>【学习内容】</w:t>
      </w:r>
    </w:p>
    <w:p w14:paraId="2393EA9F" w14:textId="77777777" w:rsidR="001B5FF5" w:rsidRPr="001B5FF5" w:rsidRDefault="001B5FF5" w:rsidP="001B5FF5">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1B5FF5">
        <w:rPr>
          <w:rFonts w:ascii="宋体" w:eastAsia="宋体" w:hAnsi="宋体" w:cs="宋体" w:hint="eastAsia"/>
          <w:b/>
          <w:bCs/>
          <w:kern w:val="0"/>
          <w:sz w:val="28"/>
          <w:szCs w:val="28"/>
          <w:lang w:val="zh-CN"/>
        </w:rPr>
        <w:t>第一章</w:t>
      </w:r>
      <w:r w:rsidRPr="001B5FF5">
        <w:rPr>
          <w:rFonts w:ascii="宋体" w:eastAsia="宋体" w:hAnsi="宋体" w:cs="宋体"/>
          <w:b/>
          <w:bCs/>
          <w:kern w:val="0"/>
          <w:sz w:val="28"/>
          <w:szCs w:val="28"/>
          <w:lang w:val="zh-CN"/>
        </w:rPr>
        <w:t xml:space="preserve">  </w:t>
      </w:r>
      <w:r w:rsidRPr="001B5FF5">
        <w:rPr>
          <w:rFonts w:ascii="宋体" w:eastAsia="宋体" w:hAnsi="宋体" w:cs="宋体" w:hint="eastAsia"/>
          <w:b/>
          <w:bCs/>
          <w:kern w:val="0"/>
          <w:sz w:val="28"/>
          <w:szCs w:val="28"/>
          <w:lang w:val="zh-CN"/>
        </w:rPr>
        <w:t>剑术概述导论</w:t>
      </w:r>
      <w:r w:rsidRPr="001B5FF5">
        <w:rPr>
          <w:rFonts w:ascii="宋体" w:eastAsia="宋体" w:hAnsi="宋体" w:cs="宋体"/>
          <w:b/>
          <w:bCs/>
          <w:kern w:val="0"/>
          <w:sz w:val="28"/>
          <w:szCs w:val="28"/>
          <w:lang w:val="zh-CN"/>
        </w:rPr>
        <w:t xml:space="preserve"> </w:t>
      </w:r>
      <w:r w:rsidRPr="001B5FF5">
        <w:rPr>
          <w:rFonts w:ascii="宋体" w:eastAsia="宋体" w:hAnsi="宋体" w:cs="宋体" w:hint="eastAsia"/>
          <w:b/>
          <w:bCs/>
          <w:kern w:val="0"/>
          <w:sz w:val="28"/>
          <w:szCs w:val="28"/>
          <w:lang w:val="zh-CN"/>
        </w:rPr>
        <w:t>（1学时）</w:t>
      </w:r>
    </w:p>
    <w:p w14:paraId="7C9C8B55" w14:textId="77777777" w:rsidR="001B5FF5" w:rsidRPr="001B5FF5" w:rsidRDefault="001B5FF5" w:rsidP="001B5FF5">
      <w:pPr>
        <w:autoSpaceDE w:val="0"/>
        <w:autoSpaceDN w:val="0"/>
        <w:adjustRightInd w:val="0"/>
        <w:spacing w:line="500" w:lineRule="atLeast"/>
        <w:ind w:firstLine="480"/>
        <w:rPr>
          <w:rFonts w:ascii="宋体" w:eastAsia="宋体" w:hAnsi="宋体" w:cs="Arial"/>
          <w:b/>
          <w:bCs/>
        </w:rPr>
      </w:pPr>
      <w:r w:rsidRPr="001B5FF5">
        <w:rPr>
          <w:rFonts w:ascii="宋体" w:eastAsia="宋体" w:hAnsi="宋体" w:cs="Arial"/>
          <w:b/>
          <w:sz w:val="24"/>
        </w:rPr>
        <w:t>本章</w:t>
      </w:r>
      <w:r w:rsidRPr="001B5FF5">
        <w:rPr>
          <w:rFonts w:ascii="宋体" w:eastAsia="宋体" w:hAnsi="宋体" w:cs="Times New Roman"/>
          <w:b/>
          <w:color w:val="000000"/>
          <w:sz w:val="24"/>
        </w:rPr>
        <w:t>主要教学内容：</w:t>
      </w:r>
    </w:p>
    <w:p w14:paraId="1C9A3737" w14:textId="77777777" w:rsidR="001B5FF5" w:rsidRPr="001B5FF5" w:rsidRDefault="001B5FF5" w:rsidP="001B5FF5">
      <w:pPr>
        <w:autoSpaceDE w:val="0"/>
        <w:autoSpaceDN w:val="0"/>
        <w:adjustRightInd w:val="0"/>
        <w:spacing w:line="500" w:lineRule="atLeast"/>
        <w:ind w:firstLine="480"/>
        <w:rPr>
          <w:rFonts w:ascii="宋体" w:eastAsia="宋体" w:hAnsi="宋体" w:cs="Arial"/>
          <w:bCs/>
          <w:color w:val="000000"/>
          <w:sz w:val="24"/>
        </w:rPr>
      </w:pPr>
      <w:r w:rsidRPr="001B5FF5">
        <w:rPr>
          <w:rFonts w:ascii="宋体" w:eastAsia="宋体" w:hAnsi="宋体" w:cs="Arial" w:hint="eastAsia"/>
          <w:bCs/>
          <w:color w:val="000000"/>
          <w:sz w:val="24"/>
        </w:rPr>
        <w:t>1.1.剑术的发展概况</w:t>
      </w:r>
    </w:p>
    <w:p w14:paraId="6344EBDB" w14:textId="77777777" w:rsidR="001B5FF5" w:rsidRPr="001B5FF5" w:rsidRDefault="001B5FF5" w:rsidP="001B5FF5">
      <w:pPr>
        <w:autoSpaceDE w:val="0"/>
        <w:autoSpaceDN w:val="0"/>
        <w:adjustRightInd w:val="0"/>
        <w:spacing w:line="500" w:lineRule="atLeast"/>
        <w:ind w:firstLine="480"/>
        <w:rPr>
          <w:rFonts w:ascii="宋体" w:eastAsia="宋体" w:hAnsi="宋体" w:cs="Arial"/>
          <w:bCs/>
          <w:color w:val="000000"/>
          <w:sz w:val="24"/>
        </w:rPr>
      </w:pPr>
      <w:r w:rsidRPr="001B5FF5">
        <w:rPr>
          <w:rFonts w:ascii="宋体" w:eastAsia="宋体" w:hAnsi="宋体" w:cs="Arial" w:hint="eastAsia"/>
          <w:bCs/>
          <w:color w:val="000000"/>
          <w:sz w:val="24"/>
        </w:rPr>
        <w:t>1.2.剑术的技法、运动特点</w:t>
      </w:r>
    </w:p>
    <w:p w14:paraId="66191735" w14:textId="77777777" w:rsidR="001B5FF5" w:rsidRPr="001B5FF5" w:rsidRDefault="001B5FF5" w:rsidP="001B5FF5">
      <w:pPr>
        <w:autoSpaceDE w:val="0"/>
        <w:autoSpaceDN w:val="0"/>
        <w:adjustRightInd w:val="0"/>
        <w:spacing w:line="500" w:lineRule="atLeast"/>
        <w:ind w:firstLine="482"/>
        <w:rPr>
          <w:rFonts w:ascii="宋体" w:eastAsia="宋体" w:hAnsi="宋体" w:cs="宋体"/>
          <w:kern w:val="0"/>
          <w:sz w:val="24"/>
          <w:lang w:val="zh-CN"/>
        </w:rPr>
      </w:pPr>
      <w:r w:rsidRPr="001B5FF5">
        <w:rPr>
          <w:rFonts w:ascii="宋体" w:eastAsia="宋体" w:hAnsi="宋体" w:cs="Arial" w:hint="eastAsia"/>
          <w:b/>
          <w:sz w:val="24"/>
        </w:rPr>
        <w:t>本章教学目的及要求</w:t>
      </w:r>
      <w:r w:rsidRPr="001B5FF5">
        <w:rPr>
          <w:rFonts w:ascii="宋体" w:eastAsia="宋体" w:hAnsi="宋体" w:cs="宋体" w:hint="eastAsia"/>
          <w:b/>
          <w:bCs/>
          <w:kern w:val="0"/>
          <w:sz w:val="24"/>
          <w:lang w:val="zh-CN"/>
        </w:rPr>
        <w:t>：</w:t>
      </w:r>
      <w:r w:rsidRPr="001B5FF5">
        <w:rPr>
          <w:rFonts w:ascii="宋体" w:eastAsia="宋体" w:hAnsi="宋体" w:cs="Arial" w:hint="eastAsia"/>
          <w:bCs/>
          <w:color w:val="000000"/>
          <w:sz w:val="24"/>
        </w:rPr>
        <w:t>初步了解剑</w:t>
      </w:r>
      <w:r w:rsidRPr="001B5FF5">
        <w:rPr>
          <w:rFonts w:ascii="宋体" w:eastAsia="宋体" w:hAnsi="宋体" w:cs="宋体" w:hint="eastAsia"/>
          <w:bCs/>
          <w:kern w:val="0"/>
          <w:sz w:val="24"/>
        </w:rPr>
        <w:t>术</w:t>
      </w:r>
      <w:r w:rsidRPr="001B5FF5">
        <w:rPr>
          <w:rFonts w:ascii="宋体" w:eastAsia="宋体" w:hAnsi="宋体" w:cs="Arial" w:hint="eastAsia"/>
          <w:bCs/>
          <w:color w:val="000000"/>
          <w:sz w:val="24"/>
        </w:rPr>
        <w:t>的基本特点，</w:t>
      </w:r>
      <w:r w:rsidRPr="001B5FF5">
        <w:rPr>
          <w:rFonts w:ascii="宋体" w:eastAsia="宋体" w:hAnsi="宋体" w:cs="Arial"/>
          <w:bCs/>
          <w:color w:val="000000"/>
          <w:sz w:val="24"/>
        </w:rPr>
        <w:t>掌握</w:t>
      </w:r>
      <w:r w:rsidRPr="001B5FF5">
        <w:rPr>
          <w:rFonts w:ascii="宋体" w:eastAsia="宋体" w:hAnsi="宋体" w:cs="宋体" w:hint="eastAsia"/>
          <w:bCs/>
          <w:kern w:val="0"/>
          <w:sz w:val="24"/>
        </w:rPr>
        <w:t>剑术</w:t>
      </w:r>
      <w:r w:rsidRPr="001B5FF5">
        <w:rPr>
          <w:rFonts w:ascii="宋体" w:eastAsia="宋体" w:hAnsi="宋体" w:cs="Arial"/>
          <w:bCs/>
          <w:color w:val="000000"/>
          <w:sz w:val="24"/>
        </w:rPr>
        <w:t>的基本知识</w:t>
      </w:r>
      <w:r w:rsidRPr="001B5FF5">
        <w:rPr>
          <w:rFonts w:ascii="宋体" w:eastAsia="宋体" w:hAnsi="宋体" w:cs="Arial" w:hint="eastAsia"/>
          <w:bCs/>
          <w:color w:val="000000"/>
          <w:sz w:val="24"/>
        </w:rPr>
        <w:t>。</w:t>
      </w:r>
    </w:p>
    <w:p w14:paraId="6B9C469C" w14:textId="77777777" w:rsidR="001B5FF5" w:rsidRPr="001B5FF5" w:rsidRDefault="001B5FF5" w:rsidP="001B5FF5">
      <w:pPr>
        <w:autoSpaceDE w:val="0"/>
        <w:autoSpaceDN w:val="0"/>
        <w:adjustRightInd w:val="0"/>
        <w:spacing w:line="500" w:lineRule="atLeast"/>
        <w:ind w:firstLineChars="199" w:firstLine="479"/>
        <w:rPr>
          <w:rFonts w:ascii="宋体" w:eastAsia="宋体" w:hAnsi="宋体" w:cs="宋体"/>
          <w:kern w:val="0"/>
          <w:sz w:val="24"/>
          <w:lang w:val="zh-CN"/>
        </w:rPr>
      </w:pPr>
      <w:r w:rsidRPr="001B5FF5">
        <w:rPr>
          <w:rFonts w:ascii="宋体" w:eastAsia="宋体" w:hAnsi="宋体" w:cs="宋体" w:hint="eastAsia"/>
          <w:b/>
          <w:bCs/>
          <w:kern w:val="0"/>
          <w:sz w:val="24"/>
          <w:lang w:val="zh-CN"/>
        </w:rPr>
        <w:t>本章教学重点及难点：</w:t>
      </w:r>
      <w:r w:rsidRPr="001B5FF5">
        <w:rPr>
          <w:rFonts w:ascii="宋体" w:eastAsia="宋体" w:hAnsi="宋体" w:cs="Arial" w:hint="eastAsia"/>
          <w:bCs/>
          <w:color w:val="000000"/>
          <w:sz w:val="24"/>
        </w:rPr>
        <w:t>剑术</w:t>
      </w:r>
      <w:r w:rsidRPr="001B5FF5">
        <w:rPr>
          <w:rFonts w:ascii="宋体" w:eastAsia="宋体" w:hAnsi="宋体" w:cs="Arial"/>
          <w:bCs/>
          <w:color w:val="000000"/>
          <w:sz w:val="24"/>
        </w:rPr>
        <w:t>运动的发展史</w:t>
      </w:r>
    </w:p>
    <w:p w14:paraId="654DC043" w14:textId="77777777" w:rsidR="001B5FF5" w:rsidRPr="001B5FF5" w:rsidRDefault="001B5FF5" w:rsidP="001B5FF5">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1B5FF5">
        <w:rPr>
          <w:rFonts w:ascii="宋体" w:eastAsia="宋体" w:hAnsi="宋体" w:cs="宋体" w:hint="eastAsia"/>
          <w:b/>
          <w:bCs/>
          <w:kern w:val="0"/>
          <w:sz w:val="28"/>
          <w:szCs w:val="28"/>
          <w:lang w:val="zh-CN"/>
        </w:rPr>
        <w:lastRenderedPageBreak/>
        <w:t>第二章</w:t>
      </w:r>
      <w:r w:rsidRPr="001B5FF5">
        <w:rPr>
          <w:rFonts w:ascii="宋体" w:eastAsia="宋体" w:hAnsi="宋体" w:cs="宋体"/>
          <w:b/>
          <w:bCs/>
          <w:kern w:val="0"/>
          <w:sz w:val="28"/>
          <w:szCs w:val="28"/>
          <w:lang w:val="zh-CN"/>
        </w:rPr>
        <w:t xml:space="preserve">  </w:t>
      </w:r>
      <w:r w:rsidRPr="001B5FF5">
        <w:rPr>
          <w:rFonts w:ascii="宋体" w:eastAsia="宋体" w:hAnsi="宋体" w:cs="宋体" w:hint="eastAsia"/>
          <w:b/>
          <w:bCs/>
          <w:kern w:val="0"/>
          <w:sz w:val="28"/>
          <w:szCs w:val="28"/>
          <w:lang w:val="zh-CN"/>
        </w:rPr>
        <w:t>剑术技法</w:t>
      </w:r>
      <w:r w:rsidRPr="001B5FF5">
        <w:rPr>
          <w:rFonts w:ascii="宋体" w:eastAsia="宋体" w:hAnsi="宋体" w:cs="宋体"/>
          <w:b/>
          <w:bCs/>
          <w:kern w:val="0"/>
          <w:sz w:val="28"/>
          <w:szCs w:val="28"/>
          <w:lang w:val="zh-CN"/>
        </w:rPr>
        <w:t xml:space="preserve"> </w:t>
      </w:r>
      <w:r w:rsidRPr="001B5FF5">
        <w:rPr>
          <w:rFonts w:ascii="宋体" w:eastAsia="宋体" w:hAnsi="宋体" w:cs="宋体" w:hint="eastAsia"/>
          <w:b/>
          <w:bCs/>
          <w:kern w:val="0"/>
          <w:sz w:val="28"/>
          <w:szCs w:val="28"/>
          <w:lang w:val="zh-CN"/>
        </w:rPr>
        <w:t>（5学时）</w:t>
      </w:r>
    </w:p>
    <w:p w14:paraId="72D5B243" w14:textId="77777777" w:rsidR="001B5FF5" w:rsidRPr="001B5FF5" w:rsidRDefault="001B5FF5" w:rsidP="001B5FF5">
      <w:pPr>
        <w:autoSpaceDE w:val="0"/>
        <w:autoSpaceDN w:val="0"/>
        <w:adjustRightInd w:val="0"/>
        <w:spacing w:line="500" w:lineRule="atLeast"/>
        <w:ind w:firstLineChars="199" w:firstLine="479"/>
        <w:rPr>
          <w:rFonts w:ascii="宋体" w:eastAsia="宋体" w:hAnsi="宋体" w:cs="Times New Roman"/>
          <w:b/>
          <w:color w:val="000000"/>
          <w:sz w:val="24"/>
        </w:rPr>
      </w:pPr>
      <w:r w:rsidRPr="001B5FF5">
        <w:rPr>
          <w:rFonts w:ascii="宋体" w:eastAsia="宋体" w:hAnsi="宋体" w:cs="Times New Roman"/>
          <w:b/>
          <w:color w:val="000000"/>
          <w:sz w:val="24"/>
        </w:rPr>
        <w:t>本章主要教学内容：</w:t>
      </w:r>
    </w:p>
    <w:p w14:paraId="0B24B213" w14:textId="77777777" w:rsidR="001B5FF5" w:rsidRPr="001B5FF5" w:rsidRDefault="001B5FF5" w:rsidP="001B5FF5">
      <w:pPr>
        <w:autoSpaceDE w:val="0"/>
        <w:autoSpaceDN w:val="0"/>
        <w:adjustRightInd w:val="0"/>
        <w:spacing w:line="500" w:lineRule="atLeast"/>
        <w:ind w:firstLine="480"/>
        <w:rPr>
          <w:rFonts w:ascii="宋体" w:eastAsia="宋体" w:hAnsi="宋体" w:cs="Arial"/>
          <w:bCs/>
          <w:color w:val="000000"/>
          <w:sz w:val="24"/>
        </w:rPr>
      </w:pPr>
      <w:r w:rsidRPr="001B5FF5">
        <w:rPr>
          <w:rFonts w:ascii="宋体" w:eastAsia="宋体" w:hAnsi="宋体" w:cs="Arial" w:hint="eastAsia"/>
          <w:bCs/>
          <w:color w:val="000000"/>
          <w:sz w:val="24"/>
        </w:rPr>
        <w:t>2.1</w:t>
      </w:r>
      <w:r w:rsidRPr="001B5FF5">
        <w:rPr>
          <w:rFonts w:ascii="宋体" w:eastAsia="宋体" w:hAnsi="宋体" w:cs="Arial"/>
          <w:bCs/>
          <w:color w:val="000000"/>
          <w:sz w:val="24"/>
        </w:rPr>
        <w:t>剑法：刺、劈、点、撩</w:t>
      </w:r>
      <w:r w:rsidRPr="001B5FF5">
        <w:rPr>
          <w:rFonts w:ascii="宋体" w:eastAsia="宋体" w:hAnsi="宋体" w:cs="Arial" w:hint="eastAsia"/>
          <w:bCs/>
          <w:color w:val="000000"/>
          <w:sz w:val="24"/>
        </w:rPr>
        <w:t>、挂、截、崩</w:t>
      </w:r>
    </w:p>
    <w:p w14:paraId="19D02E97" w14:textId="77777777" w:rsidR="001B5FF5" w:rsidRPr="001B5FF5" w:rsidRDefault="001B5FF5" w:rsidP="001B5FF5">
      <w:pPr>
        <w:autoSpaceDE w:val="0"/>
        <w:autoSpaceDN w:val="0"/>
        <w:adjustRightInd w:val="0"/>
        <w:spacing w:line="500" w:lineRule="atLeast"/>
        <w:ind w:firstLine="480"/>
        <w:rPr>
          <w:rFonts w:ascii="宋体" w:eastAsia="宋体" w:hAnsi="宋体" w:cs="Arial"/>
          <w:bCs/>
          <w:color w:val="000000"/>
          <w:sz w:val="24"/>
        </w:rPr>
      </w:pPr>
      <w:r w:rsidRPr="001B5FF5">
        <w:rPr>
          <w:rFonts w:ascii="宋体" w:eastAsia="宋体" w:hAnsi="宋体" w:cs="Arial" w:hint="eastAsia"/>
          <w:bCs/>
          <w:color w:val="000000"/>
          <w:sz w:val="24"/>
        </w:rPr>
        <w:t>2.2</w:t>
      </w:r>
      <w:r w:rsidRPr="001B5FF5">
        <w:rPr>
          <w:rFonts w:ascii="宋体" w:eastAsia="宋体" w:hAnsi="宋体" w:cs="Arial"/>
          <w:bCs/>
          <w:color w:val="000000"/>
          <w:sz w:val="24"/>
        </w:rPr>
        <w:t>步型：弓步、虚步、丁步、歇步、</w:t>
      </w:r>
      <w:proofErr w:type="gramStart"/>
      <w:r w:rsidRPr="001B5FF5">
        <w:rPr>
          <w:rFonts w:ascii="宋体" w:eastAsia="宋体" w:hAnsi="宋体" w:cs="Arial"/>
          <w:bCs/>
          <w:color w:val="000000"/>
          <w:sz w:val="24"/>
        </w:rPr>
        <w:t>仆</w:t>
      </w:r>
      <w:proofErr w:type="gramEnd"/>
      <w:r w:rsidRPr="001B5FF5">
        <w:rPr>
          <w:rFonts w:ascii="宋体" w:eastAsia="宋体" w:hAnsi="宋体" w:cs="Arial"/>
          <w:bCs/>
          <w:color w:val="000000"/>
          <w:sz w:val="24"/>
        </w:rPr>
        <w:t>步、插步、坐盘</w:t>
      </w:r>
    </w:p>
    <w:p w14:paraId="6298065C" w14:textId="77777777" w:rsidR="001B5FF5" w:rsidRPr="001B5FF5" w:rsidRDefault="001B5FF5" w:rsidP="001B5FF5">
      <w:pPr>
        <w:autoSpaceDE w:val="0"/>
        <w:autoSpaceDN w:val="0"/>
        <w:adjustRightInd w:val="0"/>
        <w:spacing w:line="500" w:lineRule="atLeast"/>
        <w:ind w:firstLine="480"/>
        <w:rPr>
          <w:rFonts w:ascii="宋体" w:eastAsia="宋体" w:hAnsi="宋体" w:cs="Arial"/>
          <w:bCs/>
          <w:color w:val="000000"/>
          <w:sz w:val="24"/>
        </w:rPr>
      </w:pPr>
      <w:r w:rsidRPr="001B5FF5">
        <w:rPr>
          <w:rFonts w:ascii="宋体" w:eastAsia="宋体" w:hAnsi="宋体" w:cs="Arial" w:hint="eastAsia"/>
          <w:bCs/>
          <w:color w:val="000000"/>
          <w:sz w:val="24"/>
        </w:rPr>
        <w:t>2.3</w:t>
      </w:r>
      <w:r w:rsidRPr="001B5FF5">
        <w:rPr>
          <w:rFonts w:ascii="宋体" w:eastAsia="宋体" w:hAnsi="宋体" w:cs="Arial"/>
          <w:bCs/>
          <w:color w:val="000000"/>
          <w:sz w:val="24"/>
        </w:rPr>
        <w:t>步法：上步、并步、退步、跟步、跃步</w:t>
      </w:r>
    </w:p>
    <w:p w14:paraId="7D38D767" w14:textId="77777777" w:rsidR="001B5FF5" w:rsidRPr="001B5FF5" w:rsidRDefault="001B5FF5" w:rsidP="001B5FF5">
      <w:pPr>
        <w:autoSpaceDE w:val="0"/>
        <w:autoSpaceDN w:val="0"/>
        <w:adjustRightInd w:val="0"/>
        <w:spacing w:line="500" w:lineRule="atLeast"/>
        <w:ind w:firstLineChars="199" w:firstLine="479"/>
        <w:rPr>
          <w:rFonts w:ascii="宋体" w:eastAsia="宋体" w:hAnsi="宋体" w:cs="Times New Roman"/>
          <w:bCs/>
          <w:color w:val="000000"/>
          <w:sz w:val="24"/>
        </w:rPr>
      </w:pPr>
      <w:r w:rsidRPr="001B5FF5">
        <w:rPr>
          <w:rFonts w:ascii="宋体" w:eastAsia="宋体" w:hAnsi="宋体" w:cs="Times New Roman"/>
          <w:b/>
          <w:color w:val="000000"/>
          <w:sz w:val="24"/>
        </w:rPr>
        <w:t>本章教学目的及要求：</w:t>
      </w:r>
      <w:r w:rsidRPr="001B5FF5">
        <w:rPr>
          <w:rFonts w:ascii="宋体" w:eastAsia="宋体" w:hAnsi="宋体" w:cs="Arial"/>
          <w:bCs/>
          <w:color w:val="000000"/>
          <w:sz w:val="24"/>
        </w:rPr>
        <w:t>了解</w:t>
      </w:r>
      <w:r w:rsidRPr="001B5FF5">
        <w:rPr>
          <w:rFonts w:ascii="宋体" w:eastAsia="宋体" w:hAnsi="宋体" w:cs="Arial" w:hint="eastAsia"/>
          <w:bCs/>
          <w:color w:val="000000"/>
          <w:sz w:val="24"/>
        </w:rPr>
        <w:t>动作的作用</w:t>
      </w:r>
      <w:r w:rsidRPr="001B5FF5">
        <w:rPr>
          <w:rFonts w:ascii="宋体" w:eastAsia="宋体" w:hAnsi="宋体" w:cs="Arial"/>
          <w:bCs/>
          <w:color w:val="000000"/>
          <w:sz w:val="24"/>
        </w:rPr>
        <w:t>、</w:t>
      </w:r>
      <w:r w:rsidRPr="001B5FF5">
        <w:rPr>
          <w:rFonts w:ascii="宋体" w:eastAsia="宋体" w:hAnsi="宋体" w:cs="Arial" w:hint="eastAsia"/>
          <w:bCs/>
          <w:color w:val="000000"/>
          <w:sz w:val="24"/>
        </w:rPr>
        <w:t>掌握各种动作的动作方法</w:t>
      </w:r>
      <w:r w:rsidRPr="001B5FF5">
        <w:rPr>
          <w:rFonts w:ascii="宋体" w:eastAsia="宋体" w:hAnsi="宋体" w:cs="Arial"/>
          <w:bCs/>
          <w:color w:val="000000"/>
          <w:sz w:val="24"/>
        </w:rPr>
        <w:t xml:space="preserve"> </w:t>
      </w:r>
      <w:r w:rsidRPr="001B5FF5">
        <w:rPr>
          <w:rFonts w:ascii="宋体" w:eastAsia="宋体" w:hAnsi="宋体" w:cs="Arial" w:hint="eastAsia"/>
          <w:bCs/>
          <w:color w:val="000000"/>
          <w:sz w:val="24"/>
        </w:rPr>
        <w:t>。</w:t>
      </w:r>
      <w:r w:rsidRPr="001B5FF5">
        <w:rPr>
          <w:rFonts w:ascii="宋体" w:eastAsia="宋体" w:hAnsi="宋体" w:cs="Times New Roman"/>
          <w:bCs/>
          <w:color w:val="000000"/>
          <w:sz w:val="24"/>
        </w:rPr>
        <w:t xml:space="preserve">  </w:t>
      </w:r>
    </w:p>
    <w:p w14:paraId="08AC7E69" w14:textId="77777777" w:rsidR="001B5FF5" w:rsidRPr="001B5FF5" w:rsidRDefault="001B5FF5" w:rsidP="001B5FF5">
      <w:pPr>
        <w:autoSpaceDE w:val="0"/>
        <w:autoSpaceDN w:val="0"/>
        <w:adjustRightInd w:val="0"/>
        <w:spacing w:line="500" w:lineRule="atLeast"/>
        <w:ind w:firstLineChars="198" w:firstLine="477"/>
        <w:rPr>
          <w:rFonts w:ascii="宋体" w:eastAsia="宋体" w:hAnsi="宋体" w:cs="Arial"/>
          <w:bCs/>
          <w:color w:val="000000"/>
          <w:sz w:val="24"/>
        </w:rPr>
      </w:pPr>
      <w:r w:rsidRPr="001B5FF5">
        <w:rPr>
          <w:rFonts w:ascii="宋体" w:eastAsia="宋体" w:hAnsi="宋体" w:cs="Times New Roman"/>
          <w:b/>
          <w:color w:val="000000"/>
          <w:sz w:val="24"/>
        </w:rPr>
        <w:t>本章教学重点及难点：</w:t>
      </w:r>
      <w:r w:rsidRPr="001B5FF5">
        <w:rPr>
          <w:rFonts w:ascii="宋体" w:eastAsia="宋体" w:hAnsi="宋体" w:cs="Arial" w:hint="eastAsia"/>
          <w:bCs/>
          <w:color w:val="000000"/>
          <w:sz w:val="24"/>
        </w:rPr>
        <w:t>各种动作练习中不同肌肉群的工作方法，基本姿态的保持</w:t>
      </w:r>
      <w:r w:rsidRPr="001B5FF5">
        <w:rPr>
          <w:rFonts w:ascii="宋体" w:eastAsia="宋体" w:hAnsi="宋体" w:cs="Arial"/>
          <w:bCs/>
          <w:color w:val="000000"/>
          <w:sz w:val="24"/>
        </w:rPr>
        <w:t>。</w:t>
      </w:r>
    </w:p>
    <w:p w14:paraId="5C7A3C83" w14:textId="77777777" w:rsidR="001B5FF5" w:rsidRPr="001B5FF5" w:rsidRDefault="001B5FF5" w:rsidP="001B5FF5">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1B5FF5">
        <w:rPr>
          <w:rFonts w:ascii="宋体" w:eastAsia="宋体" w:hAnsi="宋体" w:cs="宋体" w:hint="eastAsia"/>
          <w:b/>
          <w:bCs/>
          <w:kern w:val="0"/>
          <w:sz w:val="28"/>
          <w:szCs w:val="28"/>
          <w:lang w:val="zh-CN"/>
        </w:rPr>
        <w:t>第三章</w:t>
      </w:r>
      <w:r w:rsidRPr="001B5FF5">
        <w:rPr>
          <w:rFonts w:ascii="宋体" w:eastAsia="宋体" w:hAnsi="宋体" w:cs="宋体"/>
          <w:b/>
          <w:bCs/>
          <w:kern w:val="0"/>
          <w:sz w:val="28"/>
          <w:szCs w:val="28"/>
          <w:lang w:val="zh-CN"/>
        </w:rPr>
        <w:t xml:space="preserve">  </w:t>
      </w:r>
      <w:r w:rsidRPr="001B5FF5">
        <w:rPr>
          <w:rFonts w:ascii="宋体" w:eastAsia="宋体" w:hAnsi="宋体" w:cs="宋体" w:hint="eastAsia"/>
          <w:b/>
          <w:bCs/>
          <w:kern w:val="0"/>
          <w:sz w:val="28"/>
          <w:szCs w:val="28"/>
          <w:lang w:val="zh-CN"/>
        </w:rPr>
        <w:t>剑术套路教学</w:t>
      </w:r>
      <w:r w:rsidRPr="001B5FF5">
        <w:rPr>
          <w:rFonts w:ascii="宋体" w:eastAsia="宋体" w:hAnsi="宋体" w:cs="宋体"/>
          <w:b/>
          <w:bCs/>
          <w:kern w:val="0"/>
          <w:sz w:val="28"/>
          <w:szCs w:val="28"/>
          <w:lang w:val="zh-CN"/>
        </w:rPr>
        <w:t xml:space="preserve"> </w:t>
      </w:r>
      <w:r w:rsidRPr="001B5FF5">
        <w:rPr>
          <w:rFonts w:ascii="宋体" w:eastAsia="宋体" w:hAnsi="宋体" w:cs="宋体" w:hint="eastAsia"/>
          <w:b/>
          <w:bCs/>
          <w:kern w:val="0"/>
          <w:sz w:val="28"/>
          <w:szCs w:val="28"/>
          <w:lang w:val="zh-CN"/>
        </w:rPr>
        <w:t>（</w:t>
      </w:r>
      <w:r w:rsidRPr="001B5FF5">
        <w:rPr>
          <w:rFonts w:ascii="宋体" w:eastAsia="宋体" w:hAnsi="宋体" w:cs="宋体" w:hint="eastAsia"/>
          <w:b/>
          <w:bCs/>
          <w:kern w:val="0"/>
          <w:sz w:val="28"/>
          <w:szCs w:val="28"/>
        </w:rPr>
        <w:t>22</w:t>
      </w:r>
      <w:r w:rsidRPr="001B5FF5">
        <w:rPr>
          <w:rFonts w:ascii="宋体" w:eastAsia="宋体" w:hAnsi="宋体" w:cs="宋体" w:hint="eastAsia"/>
          <w:b/>
          <w:bCs/>
          <w:kern w:val="0"/>
          <w:sz w:val="28"/>
          <w:szCs w:val="28"/>
          <w:lang w:val="zh-CN"/>
        </w:rPr>
        <w:t>学时）</w:t>
      </w:r>
    </w:p>
    <w:p w14:paraId="58705A89" w14:textId="77777777" w:rsidR="001B5FF5" w:rsidRPr="001B5FF5" w:rsidRDefault="001B5FF5" w:rsidP="001B5FF5">
      <w:pPr>
        <w:autoSpaceDE w:val="0"/>
        <w:autoSpaceDN w:val="0"/>
        <w:adjustRightInd w:val="0"/>
        <w:spacing w:line="500" w:lineRule="atLeast"/>
        <w:ind w:firstLineChars="198" w:firstLine="477"/>
        <w:rPr>
          <w:rFonts w:ascii="宋体" w:eastAsia="宋体" w:hAnsi="宋体" w:cs="Arial"/>
          <w:bCs/>
          <w:color w:val="000000"/>
          <w:sz w:val="24"/>
        </w:rPr>
      </w:pPr>
      <w:r w:rsidRPr="001B5FF5">
        <w:rPr>
          <w:rFonts w:ascii="宋体" w:eastAsia="宋体" w:hAnsi="宋体" w:cs="Times New Roman"/>
          <w:b/>
          <w:color w:val="000000"/>
          <w:sz w:val="24"/>
        </w:rPr>
        <w:t>本章主要教学内容：</w:t>
      </w:r>
      <w:r w:rsidRPr="001B5FF5">
        <w:rPr>
          <w:rFonts w:ascii="宋体" w:eastAsia="宋体" w:hAnsi="宋体" w:cs="Arial"/>
          <w:bCs/>
          <w:color w:val="000000"/>
          <w:sz w:val="24"/>
        </w:rPr>
        <w:t xml:space="preserve"> </w:t>
      </w:r>
    </w:p>
    <w:p w14:paraId="694E17A7" w14:textId="77777777" w:rsidR="001B5FF5" w:rsidRPr="001B5FF5" w:rsidRDefault="001B5FF5" w:rsidP="001B5FF5">
      <w:pPr>
        <w:autoSpaceDE w:val="0"/>
        <w:autoSpaceDN w:val="0"/>
        <w:adjustRightInd w:val="0"/>
        <w:spacing w:line="500" w:lineRule="atLeast"/>
        <w:ind w:firstLine="480"/>
        <w:rPr>
          <w:rFonts w:ascii="宋体" w:eastAsia="宋体" w:hAnsi="宋体" w:cs="Arial"/>
          <w:sz w:val="24"/>
        </w:rPr>
      </w:pPr>
      <w:r w:rsidRPr="001B5FF5">
        <w:rPr>
          <w:rFonts w:ascii="宋体" w:eastAsia="宋体" w:hAnsi="宋体" w:cs="Arial" w:hint="eastAsia"/>
          <w:sz w:val="24"/>
        </w:rPr>
        <w:t>3.1剑术二段单练套路第一小节</w:t>
      </w:r>
    </w:p>
    <w:p w14:paraId="73EE525B" w14:textId="77777777" w:rsidR="001B5FF5" w:rsidRPr="001B5FF5" w:rsidRDefault="001B5FF5" w:rsidP="001B5FF5">
      <w:pPr>
        <w:autoSpaceDE w:val="0"/>
        <w:autoSpaceDN w:val="0"/>
        <w:adjustRightInd w:val="0"/>
        <w:spacing w:line="500" w:lineRule="atLeast"/>
        <w:ind w:firstLine="480"/>
        <w:rPr>
          <w:rFonts w:ascii="宋体" w:eastAsia="宋体" w:hAnsi="宋体" w:cs="Arial"/>
          <w:bCs/>
          <w:color w:val="000000"/>
          <w:sz w:val="24"/>
        </w:rPr>
      </w:pPr>
      <w:r w:rsidRPr="001B5FF5">
        <w:rPr>
          <w:rFonts w:ascii="宋体" w:eastAsia="宋体" w:hAnsi="宋体" w:cs="Arial" w:hint="eastAsia"/>
          <w:bCs/>
          <w:color w:val="000000"/>
          <w:sz w:val="24"/>
        </w:rPr>
        <w:t>3.2剑术二段单练套路第二小节</w:t>
      </w:r>
    </w:p>
    <w:p w14:paraId="18DA7475" w14:textId="77777777" w:rsidR="001B5FF5" w:rsidRPr="001B5FF5" w:rsidRDefault="001B5FF5" w:rsidP="001B5FF5">
      <w:pPr>
        <w:autoSpaceDE w:val="0"/>
        <w:autoSpaceDN w:val="0"/>
        <w:adjustRightInd w:val="0"/>
        <w:spacing w:line="500" w:lineRule="atLeast"/>
        <w:ind w:firstLine="480"/>
        <w:rPr>
          <w:rFonts w:ascii="宋体" w:eastAsia="宋体" w:hAnsi="宋体" w:cs="Arial"/>
          <w:bCs/>
          <w:color w:val="000000"/>
          <w:sz w:val="24"/>
        </w:rPr>
      </w:pPr>
      <w:r w:rsidRPr="001B5FF5">
        <w:rPr>
          <w:rFonts w:ascii="宋体" w:eastAsia="宋体" w:hAnsi="宋体" w:cs="Arial" w:hint="eastAsia"/>
          <w:bCs/>
          <w:color w:val="000000"/>
          <w:sz w:val="24"/>
        </w:rPr>
        <w:t xml:space="preserve">3.3 期中考试（剑术二段单练套路） </w:t>
      </w:r>
    </w:p>
    <w:p w14:paraId="0FB268AD" w14:textId="77777777" w:rsidR="001B5FF5" w:rsidRPr="001B5FF5" w:rsidRDefault="001B5FF5" w:rsidP="001B5FF5">
      <w:pPr>
        <w:autoSpaceDE w:val="0"/>
        <w:autoSpaceDN w:val="0"/>
        <w:adjustRightInd w:val="0"/>
        <w:spacing w:line="500" w:lineRule="atLeast"/>
        <w:ind w:firstLine="480"/>
        <w:rPr>
          <w:rFonts w:ascii="宋体" w:eastAsia="宋体" w:hAnsi="宋体" w:cs="Arial"/>
          <w:bCs/>
          <w:color w:val="000000"/>
          <w:sz w:val="24"/>
        </w:rPr>
      </w:pPr>
      <w:r w:rsidRPr="001B5FF5">
        <w:rPr>
          <w:rFonts w:ascii="宋体" w:eastAsia="宋体" w:hAnsi="宋体" w:cs="Arial" w:hint="eastAsia"/>
          <w:bCs/>
          <w:color w:val="000000"/>
          <w:sz w:val="24"/>
        </w:rPr>
        <w:t>3.4剑术二段拆招</w:t>
      </w:r>
    </w:p>
    <w:p w14:paraId="4A6662DA" w14:textId="77777777" w:rsidR="001B5FF5" w:rsidRPr="001B5FF5" w:rsidRDefault="001B5FF5" w:rsidP="001B5FF5">
      <w:pPr>
        <w:autoSpaceDE w:val="0"/>
        <w:autoSpaceDN w:val="0"/>
        <w:adjustRightInd w:val="0"/>
        <w:spacing w:line="500" w:lineRule="atLeast"/>
        <w:ind w:firstLine="480"/>
        <w:rPr>
          <w:rFonts w:ascii="宋体" w:eastAsia="宋体" w:hAnsi="宋体" w:cs="Arial"/>
          <w:bCs/>
          <w:color w:val="000000"/>
          <w:sz w:val="24"/>
        </w:rPr>
      </w:pPr>
      <w:r w:rsidRPr="001B5FF5">
        <w:rPr>
          <w:rFonts w:ascii="宋体" w:eastAsia="宋体" w:hAnsi="宋体" w:cs="Arial" w:hint="eastAsia"/>
          <w:bCs/>
          <w:color w:val="000000"/>
          <w:sz w:val="24"/>
        </w:rPr>
        <w:t>3.5剑术拆招对打套路</w:t>
      </w:r>
    </w:p>
    <w:p w14:paraId="54EB3344" w14:textId="77777777" w:rsidR="001B5FF5" w:rsidRPr="001B5FF5" w:rsidRDefault="001B5FF5" w:rsidP="001B5FF5">
      <w:pPr>
        <w:autoSpaceDE w:val="0"/>
        <w:autoSpaceDN w:val="0"/>
        <w:adjustRightInd w:val="0"/>
        <w:spacing w:line="500" w:lineRule="atLeast"/>
        <w:ind w:firstLine="480"/>
        <w:rPr>
          <w:rFonts w:ascii="宋体" w:eastAsia="宋体" w:hAnsi="宋体" w:cs="Arial"/>
          <w:bCs/>
          <w:color w:val="000000"/>
          <w:sz w:val="24"/>
        </w:rPr>
      </w:pPr>
      <w:r w:rsidRPr="001B5FF5">
        <w:rPr>
          <w:rFonts w:ascii="宋体" w:eastAsia="宋体" w:hAnsi="宋体" w:cs="Arial" w:hint="eastAsia"/>
          <w:bCs/>
          <w:color w:val="000000"/>
          <w:sz w:val="24"/>
        </w:rPr>
        <w:t>3.6期末考试</w:t>
      </w:r>
    </w:p>
    <w:p w14:paraId="5E1A8B06" w14:textId="77777777" w:rsidR="001B5FF5" w:rsidRPr="001B5FF5" w:rsidRDefault="001B5FF5" w:rsidP="001B5FF5">
      <w:pPr>
        <w:autoSpaceDE w:val="0"/>
        <w:autoSpaceDN w:val="0"/>
        <w:adjustRightInd w:val="0"/>
        <w:spacing w:line="500" w:lineRule="atLeast"/>
        <w:ind w:firstLineChars="198" w:firstLine="477"/>
        <w:rPr>
          <w:rFonts w:ascii="宋体" w:eastAsia="宋体" w:hAnsi="宋体" w:cs="Arial"/>
          <w:bCs/>
          <w:color w:val="000000"/>
          <w:sz w:val="24"/>
        </w:rPr>
      </w:pPr>
      <w:r w:rsidRPr="001B5FF5">
        <w:rPr>
          <w:rFonts w:ascii="宋体" w:eastAsia="宋体" w:hAnsi="宋体" w:cs="Times New Roman"/>
          <w:b/>
          <w:color w:val="000000"/>
          <w:sz w:val="24"/>
        </w:rPr>
        <w:t>本章教学目的及要求：</w:t>
      </w:r>
      <w:r w:rsidRPr="001B5FF5">
        <w:rPr>
          <w:rFonts w:ascii="宋体" w:eastAsia="宋体" w:hAnsi="宋体" w:cs="Arial"/>
          <w:bCs/>
          <w:color w:val="000000"/>
          <w:sz w:val="24"/>
        </w:rPr>
        <w:t>了解</w:t>
      </w:r>
      <w:r w:rsidRPr="001B5FF5">
        <w:rPr>
          <w:rFonts w:ascii="宋体" w:eastAsia="宋体" w:hAnsi="宋体" w:cs="Arial" w:hint="eastAsia"/>
          <w:bCs/>
          <w:color w:val="000000"/>
          <w:sz w:val="24"/>
        </w:rPr>
        <w:t>剑术套路的基本结构，掌握剑术基本动作及各种组合的动作方法</w:t>
      </w:r>
      <w:r w:rsidRPr="001B5FF5">
        <w:rPr>
          <w:rFonts w:ascii="宋体" w:eastAsia="宋体" w:hAnsi="宋体" w:cs="Arial"/>
          <w:bCs/>
          <w:color w:val="000000"/>
          <w:sz w:val="24"/>
        </w:rPr>
        <w:t xml:space="preserve"> </w:t>
      </w:r>
      <w:r w:rsidRPr="001B5FF5">
        <w:rPr>
          <w:rFonts w:ascii="宋体" w:eastAsia="宋体" w:hAnsi="宋体" w:cs="Arial" w:hint="eastAsia"/>
          <w:bCs/>
          <w:color w:val="000000"/>
          <w:sz w:val="24"/>
        </w:rPr>
        <w:t>。</w:t>
      </w:r>
    </w:p>
    <w:p w14:paraId="3B543E6B" w14:textId="77777777" w:rsidR="001B5FF5" w:rsidRPr="001B5FF5" w:rsidRDefault="001B5FF5" w:rsidP="001B5FF5">
      <w:pPr>
        <w:autoSpaceDE w:val="0"/>
        <w:autoSpaceDN w:val="0"/>
        <w:adjustRightInd w:val="0"/>
        <w:spacing w:line="500" w:lineRule="atLeast"/>
        <w:ind w:firstLineChars="198" w:firstLine="477"/>
        <w:rPr>
          <w:rFonts w:ascii="宋体" w:eastAsia="宋体" w:hAnsi="宋体" w:cs="Arial"/>
          <w:bCs/>
          <w:color w:val="000000"/>
          <w:sz w:val="24"/>
        </w:rPr>
      </w:pPr>
      <w:r w:rsidRPr="001B5FF5">
        <w:rPr>
          <w:rFonts w:ascii="宋体" w:eastAsia="宋体" w:hAnsi="宋体" w:cs="Times New Roman"/>
          <w:b/>
          <w:color w:val="000000"/>
          <w:sz w:val="24"/>
        </w:rPr>
        <w:t>本章教学重点及</w:t>
      </w:r>
      <w:r w:rsidRPr="001B5FF5">
        <w:rPr>
          <w:rFonts w:ascii="宋体" w:eastAsia="宋体" w:hAnsi="宋体" w:cs="Times New Roman" w:hint="eastAsia"/>
          <w:b/>
          <w:color w:val="000000"/>
          <w:sz w:val="24"/>
        </w:rPr>
        <w:t>难点：</w:t>
      </w:r>
      <w:r w:rsidRPr="001B5FF5">
        <w:rPr>
          <w:rFonts w:ascii="宋体" w:eastAsia="宋体" w:hAnsi="宋体" w:cs="Arial" w:hint="eastAsia"/>
          <w:bCs/>
          <w:color w:val="000000"/>
          <w:sz w:val="24"/>
        </w:rPr>
        <w:t>动作的衔接，“精”、“气”、“神”的理解与运用。</w:t>
      </w:r>
    </w:p>
    <w:p w14:paraId="29EB7586" w14:textId="77777777" w:rsidR="001B5FF5" w:rsidRPr="001B5FF5" w:rsidRDefault="001B5FF5" w:rsidP="001B5FF5">
      <w:pPr>
        <w:adjustRightInd w:val="0"/>
        <w:snapToGrid w:val="0"/>
        <w:spacing w:beforeLines="50" w:before="156" w:afterLines="50" w:after="156" w:line="500" w:lineRule="exact"/>
        <w:jc w:val="center"/>
        <w:rPr>
          <w:rFonts w:ascii="Arial" w:eastAsia="宋体" w:hAnsi="Arial" w:cs="Arial"/>
          <w:b/>
          <w:sz w:val="28"/>
          <w:szCs w:val="28"/>
        </w:rPr>
      </w:pPr>
      <w:r w:rsidRPr="001B5FF5">
        <w:rPr>
          <w:rFonts w:ascii="Calibri" w:eastAsia="宋体" w:hAnsi="Calibri" w:cs="Times New Roman" w:hint="eastAsia"/>
          <w:b/>
          <w:sz w:val="28"/>
          <w:szCs w:val="28"/>
        </w:rPr>
        <w:t>第四章</w:t>
      </w:r>
      <w:r w:rsidRPr="001B5FF5">
        <w:rPr>
          <w:rFonts w:ascii="Calibri" w:eastAsia="宋体" w:hAnsi="Calibri" w:cs="Times New Roman" w:hint="eastAsia"/>
          <w:b/>
          <w:sz w:val="28"/>
          <w:szCs w:val="28"/>
        </w:rPr>
        <w:t xml:space="preserve">  </w:t>
      </w:r>
      <w:r w:rsidRPr="001B5FF5">
        <w:rPr>
          <w:rFonts w:ascii="Arial" w:eastAsia="宋体" w:hAnsi="Calibri" w:cs="Arial" w:hint="eastAsia"/>
          <w:b/>
          <w:sz w:val="28"/>
          <w:szCs w:val="28"/>
        </w:rPr>
        <w:t>体质健康测评（</w:t>
      </w:r>
      <w:r w:rsidRPr="001B5FF5">
        <w:rPr>
          <w:rFonts w:ascii="Arial" w:eastAsia="宋体" w:hAnsi="Calibri" w:cs="Arial" w:hint="eastAsia"/>
          <w:b/>
          <w:sz w:val="28"/>
          <w:szCs w:val="28"/>
        </w:rPr>
        <w:t>4</w:t>
      </w:r>
      <w:r w:rsidRPr="001B5FF5">
        <w:rPr>
          <w:rFonts w:ascii="Arial" w:eastAsia="宋体" w:hAnsi="Calibri" w:cs="Arial" w:hint="eastAsia"/>
          <w:b/>
          <w:sz w:val="28"/>
          <w:szCs w:val="28"/>
        </w:rPr>
        <w:t>学时）</w:t>
      </w:r>
    </w:p>
    <w:p w14:paraId="490869AD" w14:textId="77777777" w:rsidR="001B5FF5" w:rsidRPr="001B5FF5" w:rsidRDefault="001B5FF5" w:rsidP="001B5FF5">
      <w:pPr>
        <w:spacing w:line="360" w:lineRule="auto"/>
        <w:ind w:firstLineChars="196" w:firstLine="472"/>
        <w:rPr>
          <w:rFonts w:ascii="Arial" w:eastAsia="宋体" w:hAnsi="Arial" w:cs="Arial"/>
          <w:b/>
          <w:sz w:val="24"/>
        </w:rPr>
      </w:pPr>
      <w:r w:rsidRPr="001B5FF5">
        <w:rPr>
          <w:rFonts w:ascii="Arial" w:eastAsia="宋体" w:hAnsi="Calibri" w:cs="Arial" w:hint="eastAsia"/>
          <w:b/>
          <w:sz w:val="24"/>
        </w:rPr>
        <w:t>本章主要教学内容：</w:t>
      </w:r>
    </w:p>
    <w:p w14:paraId="62CADD13" w14:textId="77777777" w:rsidR="001B5FF5" w:rsidRPr="001B5FF5" w:rsidRDefault="001B5FF5" w:rsidP="001B5FF5">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1B5FF5">
        <w:rPr>
          <w:rFonts w:ascii="宋体" w:eastAsia="宋体" w:hAnsi="Calibri" w:cs="宋体" w:hint="eastAsia"/>
          <w:spacing w:val="5"/>
          <w:kern w:val="0"/>
          <w:sz w:val="24"/>
        </w:rPr>
        <w:t>4.1 《国家学生体质健康标准》实施说明</w:t>
      </w:r>
    </w:p>
    <w:p w14:paraId="1B9009D5" w14:textId="77777777" w:rsidR="001B5FF5" w:rsidRPr="001B5FF5" w:rsidRDefault="001B5FF5" w:rsidP="001B5FF5">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1B5FF5">
        <w:rPr>
          <w:rFonts w:ascii="宋体" w:eastAsia="宋体" w:hAnsi="Calibri" w:cs="宋体" w:hint="eastAsia"/>
          <w:spacing w:val="5"/>
          <w:kern w:val="0"/>
          <w:sz w:val="24"/>
        </w:rPr>
        <w:t>4.2 《国家学生体质健康标准》测试评分表</w:t>
      </w:r>
    </w:p>
    <w:p w14:paraId="7FD5E161" w14:textId="77777777" w:rsidR="001B5FF5" w:rsidRPr="001B5FF5" w:rsidRDefault="001B5FF5" w:rsidP="001B5FF5">
      <w:pPr>
        <w:spacing w:line="360" w:lineRule="auto"/>
        <w:ind w:firstLineChars="196" w:firstLine="472"/>
        <w:rPr>
          <w:rFonts w:ascii="Calibri" w:eastAsia="宋体" w:hAnsi="Calibri" w:cs="Times New Roman"/>
          <w:bCs/>
          <w:sz w:val="24"/>
        </w:rPr>
      </w:pPr>
      <w:r w:rsidRPr="001B5FF5">
        <w:rPr>
          <w:rFonts w:ascii="Arial" w:eastAsia="宋体" w:hAnsi="Calibri" w:cs="Arial" w:hint="eastAsia"/>
          <w:b/>
          <w:sz w:val="24"/>
        </w:rPr>
        <w:t>本章教学目的及要求：</w:t>
      </w:r>
      <w:r w:rsidRPr="001B5FF5">
        <w:rPr>
          <w:rFonts w:ascii="Calibri" w:eastAsia="宋体" w:hAnsi="Calibri" w:cs="Times New Roman" w:hint="eastAsia"/>
          <w:bCs/>
          <w:sz w:val="24"/>
        </w:rPr>
        <w:t>使学生了解体质健康的主要内容及要求。</w:t>
      </w:r>
    </w:p>
    <w:p w14:paraId="4B343E7F" w14:textId="77777777" w:rsidR="001B5FF5" w:rsidRPr="001B5FF5" w:rsidRDefault="001B5FF5" w:rsidP="001B5FF5">
      <w:pPr>
        <w:spacing w:line="360" w:lineRule="auto"/>
        <w:ind w:firstLineChars="196" w:firstLine="472"/>
        <w:rPr>
          <w:rFonts w:ascii="宋体" w:eastAsia="宋体" w:hAnsi="宋体" w:cs="Arial"/>
          <w:bCs/>
          <w:color w:val="000000"/>
          <w:sz w:val="24"/>
        </w:rPr>
      </w:pPr>
      <w:r w:rsidRPr="001B5FF5">
        <w:rPr>
          <w:rFonts w:ascii="Arial" w:eastAsia="宋体" w:hAnsi="Calibri" w:cs="Arial" w:hint="eastAsia"/>
          <w:b/>
          <w:sz w:val="24"/>
        </w:rPr>
        <w:t>本章教学重点及难点：</w:t>
      </w:r>
      <w:r w:rsidRPr="001B5FF5">
        <w:rPr>
          <w:rFonts w:ascii="Arial" w:eastAsia="宋体" w:hAnsi="Calibri" w:cs="Arial" w:hint="eastAsia"/>
          <w:sz w:val="24"/>
        </w:rPr>
        <w:t>学生体质健康标准的重要性；如何激发学生锻炼身体的积极性和自觉性。</w:t>
      </w:r>
    </w:p>
    <w:p w14:paraId="2E4E7C82" w14:textId="77777777" w:rsidR="001B5FF5" w:rsidRPr="001B5FF5" w:rsidRDefault="001B5FF5" w:rsidP="001B5FF5">
      <w:pPr>
        <w:spacing w:beforeLines="50" w:before="156" w:afterLines="50" w:after="156" w:line="440" w:lineRule="exact"/>
        <w:ind w:firstLineChars="200" w:firstLine="560"/>
        <w:jc w:val="center"/>
        <w:rPr>
          <w:rFonts w:ascii="黑体" w:eastAsia="黑体" w:hAnsi="黑体" w:cs="Times New Roman"/>
          <w:sz w:val="28"/>
          <w:szCs w:val="28"/>
        </w:rPr>
      </w:pPr>
      <w:r w:rsidRPr="001B5FF5">
        <w:rPr>
          <w:rFonts w:ascii="黑体" w:eastAsia="黑体" w:hAnsi="黑体" w:cs="Times New Roman" w:hint="eastAsia"/>
          <w:sz w:val="28"/>
          <w:szCs w:val="28"/>
        </w:rPr>
        <w:lastRenderedPageBreak/>
        <w:t>学习内容四 武术 3</w:t>
      </w:r>
    </w:p>
    <w:p w14:paraId="140B500F" w14:textId="77777777" w:rsidR="001B5FF5" w:rsidRPr="001B5FF5" w:rsidRDefault="001B5FF5" w:rsidP="001B5FF5">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1B5FF5">
        <w:rPr>
          <w:rFonts w:ascii="宋体" w:eastAsia="宋体" w:hAnsi="宋体" w:cs="Times New Roman" w:hint="eastAsia"/>
          <w:b/>
          <w:sz w:val="24"/>
        </w:rPr>
        <w:t>【学习目标】</w:t>
      </w:r>
    </w:p>
    <w:p w14:paraId="110B1835" w14:textId="77777777" w:rsidR="001B5FF5" w:rsidRPr="001B5FF5" w:rsidRDefault="001B5FF5" w:rsidP="001B5FF5">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1B5FF5">
        <w:rPr>
          <w:rFonts w:ascii="宋体" w:eastAsia="宋体" w:hAnsi="Calibri" w:cs="宋体" w:hint="eastAsia"/>
          <w:spacing w:val="5"/>
          <w:kern w:val="0"/>
          <w:sz w:val="24"/>
        </w:rPr>
        <w:t>1.</w:t>
      </w:r>
      <w:r w:rsidRPr="001B5FF5">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1B5FF5">
        <w:rPr>
          <w:rFonts w:ascii="宋体" w:eastAsia="宋体" w:hAnsi="Calibri" w:cs="宋体" w:hint="eastAsia"/>
          <w:spacing w:val="5"/>
          <w:kern w:val="0"/>
          <w:sz w:val="24"/>
        </w:rPr>
        <w:t>通过体能教学活动，</w:t>
      </w:r>
      <w:r w:rsidRPr="001B5FF5">
        <w:rPr>
          <w:rFonts w:ascii="宋体" w:eastAsia="宋体" w:hAnsi="宋体" w:cs="仿宋_GB2312" w:hint="eastAsia"/>
          <w:sz w:val="24"/>
        </w:rPr>
        <w:t>了解《大学生体质健康标准测验》项目内容、考核方式、评价标准，掌握考核内容锻炼的方式方法。</w:t>
      </w:r>
      <w:r w:rsidRPr="001B5FF5">
        <w:rPr>
          <w:rFonts w:ascii="宋体" w:eastAsia="宋体" w:hAnsi="Calibri" w:cs="宋体" w:hint="eastAsia"/>
          <w:spacing w:val="5"/>
          <w:kern w:val="0"/>
          <w:sz w:val="24"/>
        </w:rPr>
        <w:t>培养学生努力学习、不断进取、修身立业、顽强奋进的精神与品质。</w:t>
      </w:r>
    </w:p>
    <w:p w14:paraId="71AC6B0A" w14:textId="77777777" w:rsidR="001B5FF5" w:rsidRPr="001B5FF5" w:rsidRDefault="001B5FF5" w:rsidP="001B5FF5">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1B5FF5">
        <w:rPr>
          <w:rFonts w:ascii="宋体" w:eastAsia="宋体" w:hAnsi="Calibri" w:cs="宋体" w:hint="eastAsia"/>
          <w:spacing w:val="5"/>
          <w:kern w:val="0"/>
          <w:sz w:val="24"/>
        </w:rPr>
        <w:t>2.</w:t>
      </w:r>
      <w:r w:rsidRPr="001B5FF5">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1B5FF5">
        <w:rPr>
          <w:rFonts w:ascii="宋体" w:eastAsia="宋体" w:hAnsi="Calibri" w:cs="宋体" w:hint="eastAsia"/>
          <w:spacing w:val="5"/>
          <w:kern w:val="0"/>
          <w:sz w:val="24"/>
        </w:rPr>
        <w:t>。</w:t>
      </w:r>
    </w:p>
    <w:p w14:paraId="7E934AE7" w14:textId="77777777" w:rsidR="001B5FF5" w:rsidRPr="001B5FF5" w:rsidRDefault="001B5FF5" w:rsidP="001B5FF5">
      <w:pPr>
        <w:autoSpaceDE w:val="0"/>
        <w:autoSpaceDN w:val="0"/>
        <w:adjustRightInd w:val="0"/>
        <w:snapToGrid w:val="0"/>
        <w:spacing w:line="500" w:lineRule="exact"/>
        <w:ind w:firstLineChars="200" w:firstLine="480"/>
        <w:rPr>
          <w:rFonts w:ascii="宋体" w:eastAsia="宋体" w:hAnsi="宋体" w:cs="仿宋_GB2312"/>
          <w:sz w:val="24"/>
        </w:rPr>
      </w:pPr>
      <w:r w:rsidRPr="001B5FF5">
        <w:rPr>
          <w:rFonts w:ascii="宋体" w:eastAsia="宋体" w:hAnsi="宋体" w:cs="仿宋_GB2312" w:hint="eastAsia"/>
          <w:sz w:val="24"/>
        </w:rPr>
        <w:t>3.使学生能够掌握武术的攻防技击动作，掌握武术知识、武术技能，做到健身、防身、修身为一体的体育实践性课程。学习武术长拳二段是武术的入门套路，以尚武崇德为文化核心，</w:t>
      </w:r>
      <w:proofErr w:type="gramStart"/>
      <w:r w:rsidRPr="001B5FF5">
        <w:rPr>
          <w:rFonts w:ascii="宋体" w:eastAsia="宋体" w:hAnsi="宋体" w:cs="仿宋_GB2312" w:hint="eastAsia"/>
          <w:sz w:val="24"/>
        </w:rPr>
        <w:t>以打练结合</w:t>
      </w:r>
      <w:proofErr w:type="gramEnd"/>
      <w:r w:rsidRPr="001B5FF5">
        <w:rPr>
          <w:rFonts w:ascii="宋体" w:eastAsia="宋体" w:hAnsi="宋体" w:cs="仿宋_GB2312" w:hint="eastAsia"/>
          <w:sz w:val="24"/>
        </w:rPr>
        <w:t>为技术模式，拳法刚劲快速，对大学生机体进行科学的培育，在提高人的生物潜能、心理潜能的过程中促进德、智、体、美全面发展，达到身心健康、全面发展的教育总目的。</w:t>
      </w:r>
    </w:p>
    <w:p w14:paraId="73AD6BE3" w14:textId="77777777" w:rsidR="001B5FF5" w:rsidRPr="001B5FF5" w:rsidRDefault="001B5FF5" w:rsidP="001B5FF5">
      <w:pPr>
        <w:spacing w:line="440" w:lineRule="exact"/>
        <w:ind w:firstLineChars="200" w:firstLine="500"/>
        <w:rPr>
          <w:rFonts w:ascii="宋体" w:eastAsia="宋体" w:hAnsi="Calibri" w:cs="宋体"/>
          <w:spacing w:val="5"/>
          <w:kern w:val="0"/>
          <w:sz w:val="24"/>
        </w:rPr>
      </w:pPr>
      <w:r w:rsidRPr="001B5FF5">
        <w:rPr>
          <w:rFonts w:ascii="宋体" w:eastAsia="宋体" w:hAnsi="Calibri" w:cs="宋体" w:hint="eastAsia"/>
          <w:spacing w:val="5"/>
          <w:kern w:val="0"/>
          <w:sz w:val="24"/>
        </w:rPr>
        <w:t>4.</w:t>
      </w:r>
      <w:r w:rsidRPr="001B5FF5">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1B5FF5">
        <w:rPr>
          <w:rFonts w:ascii="宋体" w:eastAsia="宋体" w:hAnsi="Calibri" w:cs="宋体" w:hint="eastAsia"/>
          <w:spacing w:val="5"/>
          <w:kern w:val="0"/>
          <w:sz w:val="24"/>
        </w:rPr>
        <w:t>。</w:t>
      </w:r>
    </w:p>
    <w:p w14:paraId="5F10D9ED" w14:textId="77777777" w:rsidR="001B5FF5" w:rsidRPr="001B5FF5" w:rsidRDefault="001B5FF5" w:rsidP="001B5FF5">
      <w:pPr>
        <w:spacing w:line="440" w:lineRule="exact"/>
        <w:ind w:firstLineChars="200" w:firstLine="482"/>
        <w:rPr>
          <w:rFonts w:ascii="宋体" w:eastAsia="宋体" w:hAnsi="宋体" w:cs="Times New Roman"/>
          <w:bCs/>
          <w:color w:val="FF0000"/>
          <w:sz w:val="24"/>
        </w:rPr>
      </w:pPr>
      <w:r w:rsidRPr="001B5FF5">
        <w:rPr>
          <w:rFonts w:ascii="宋体" w:eastAsia="宋体" w:hAnsi="宋体" w:cs="Times New Roman" w:hint="eastAsia"/>
          <w:b/>
          <w:sz w:val="24"/>
        </w:rPr>
        <w:t>【学习内容】</w:t>
      </w:r>
    </w:p>
    <w:p w14:paraId="248539AF" w14:textId="77777777" w:rsidR="001B5FF5" w:rsidRPr="001B5FF5" w:rsidRDefault="001B5FF5" w:rsidP="001B5FF5">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1B5FF5">
        <w:rPr>
          <w:rFonts w:ascii="宋体" w:eastAsia="宋体" w:hAnsi="宋体" w:cs="宋体"/>
          <w:b/>
          <w:bCs/>
          <w:kern w:val="0"/>
          <w:sz w:val="28"/>
          <w:szCs w:val="28"/>
          <w:lang w:val="zh-CN"/>
        </w:rPr>
        <w:t xml:space="preserve">第一章   </w:t>
      </w:r>
      <w:r w:rsidRPr="001B5FF5">
        <w:rPr>
          <w:rFonts w:ascii="宋体" w:eastAsia="宋体" w:hAnsi="宋体" w:cs="宋体" w:hint="eastAsia"/>
          <w:b/>
          <w:bCs/>
          <w:kern w:val="0"/>
          <w:sz w:val="28"/>
          <w:szCs w:val="28"/>
          <w:lang w:val="zh-CN"/>
        </w:rPr>
        <w:t>长拳概述（1学时）</w:t>
      </w:r>
    </w:p>
    <w:p w14:paraId="2602A739" w14:textId="77777777" w:rsidR="001B5FF5" w:rsidRPr="001B5FF5" w:rsidRDefault="001B5FF5" w:rsidP="001B5FF5">
      <w:pPr>
        <w:autoSpaceDE w:val="0"/>
        <w:autoSpaceDN w:val="0"/>
        <w:adjustRightInd w:val="0"/>
        <w:spacing w:line="500" w:lineRule="atLeast"/>
        <w:ind w:firstLine="482"/>
        <w:rPr>
          <w:rFonts w:ascii="宋体" w:eastAsia="宋体" w:hAnsi="宋体" w:cs="Times New Roman"/>
          <w:b/>
          <w:bCs/>
          <w:kern w:val="0"/>
          <w:sz w:val="24"/>
        </w:rPr>
      </w:pPr>
      <w:r w:rsidRPr="001B5FF5">
        <w:rPr>
          <w:rFonts w:ascii="宋体" w:eastAsia="宋体" w:hAnsi="宋体" w:cs="宋体" w:hint="eastAsia"/>
          <w:b/>
          <w:bCs/>
          <w:kern w:val="0"/>
          <w:sz w:val="24"/>
          <w:lang w:val="zh-CN"/>
        </w:rPr>
        <w:t>本章主要教学内容：</w:t>
      </w:r>
    </w:p>
    <w:p w14:paraId="4ED5F578"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bCs/>
          <w:color w:val="000000"/>
          <w:sz w:val="24"/>
        </w:rPr>
        <w:t>1.1</w:t>
      </w:r>
      <w:r w:rsidRPr="001B5FF5">
        <w:rPr>
          <w:rFonts w:ascii="宋体" w:eastAsia="宋体" w:hAnsi="宋体" w:cs="Arial" w:hint="eastAsia"/>
          <w:bCs/>
          <w:color w:val="000000"/>
          <w:sz w:val="24"/>
        </w:rPr>
        <w:t>长拳简介</w:t>
      </w:r>
    </w:p>
    <w:p w14:paraId="0136EC8A"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bCs/>
          <w:color w:val="000000"/>
          <w:sz w:val="24"/>
        </w:rPr>
        <w:t>1.2</w:t>
      </w:r>
      <w:r w:rsidRPr="001B5FF5">
        <w:rPr>
          <w:rFonts w:ascii="宋体" w:eastAsia="宋体" w:hAnsi="宋体" w:cs="Arial" w:hint="eastAsia"/>
          <w:bCs/>
          <w:color w:val="000000"/>
          <w:sz w:val="24"/>
        </w:rPr>
        <w:t>长拳的特点</w:t>
      </w:r>
    </w:p>
    <w:p w14:paraId="331D2BD9"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bCs/>
          <w:color w:val="000000"/>
          <w:sz w:val="24"/>
        </w:rPr>
        <w:lastRenderedPageBreak/>
        <w:t>1.3</w:t>
      </w:r>
      <w:r w:rsidRPr="001B5FF5">
        <w:rPr>
          <w:rFonts w:ascii="宋体" w:eastAsia="宋体" w:hAnsi="宋体" w:cs="Arial" w:hint="eastAsia"/>
          <w:bCs/>
          <w:color w:val="000000"/>
          <w:sz w:val="24"/>
        </w:rPr>
        <w:t>长拳的习练方法</w:t>
      </w:r>
      <w:r w:rsidRPr="001B5FF5">
        <w:rPr>
          <w:rFonts w:ascii="宋体" w:eastAsia="宋体" w:hAnsi="宋体" w:cs="Arial"/>
          <w:bCs/>
          <w:color w:val="000000"/>
          <w:sz w:val="24"/>
        </w:rPr>
        <w:t xml:space="preserve"> </w:t>
      </w:r>
    </w:p>
    <w:p w14:paraId="0127E2C7" w14:textId="77777777" w:rsidR="001B5FF5" w:rsidRPr="001B5FF5" w:rsidRDefault="001B5FF5" w:rsidP="001B5FF5">
      <w:pPr>
        <w:autoSpaceDE w:val="0"/>
        <w:autoSpaceDN w:val="0"/>
        <w:adjustRightInd w:val="0"/>
        <w:spacing w:line="500" w:lineRule="atLeast"/>
        <w:ind w:firstLine="482"/>
        <w:rPr>
          <w:rFonts w:ascii="宋体" w:eastAsia="宋体" w:hAnsi="宋体" w:cs="宋体"/>
          <w:kern w:val="0"/>
          <w:sz w:val="24"/>
          <w:lang w:val="zh-CN"/>
        </w:rPr>
      </w:pPr>
      <w:r w:rsidRPr="001B5FF5">
        <w:rPr>
          <w:rFonts w:ascii="宋体" w:eastAsia="宋体" w:hAnsi="宋体" w:cs="宋体" w:hint="eastAsia"/>
          <w:b/>
          <w:bCs/>
          <w:kern w:val="0"/>
          <w:sz w:val="24"/>
          <w:lang w:val="zh-CN"/>
        </w:rPr>
        <w:t>本章教学目的及要求：</w:t>
      </w:r>
      <w:r w:rsidRPr="001B5FF5">
        <w:rPr>
          <w:rFonts w:ascii="宋体" w:eastAsia="宋体" w:hAnsi="宋体" w:cs="楷体_GB2312" w:hint="eastAsia"/>
          <w:color w:val="000000"/>
          <w:kern w:val="0"/>
          <w:sz w:val="24"/>
        </w:rPr>
        <w:t>了解武术的长拳、长拳的习练方法及发展现状。</w:t>
      </w:r>
    </w:p>
    <w:p w14:paraId="72339B15" w14:textId="77777777" w:rsidR="001B5FF5" w:rsidRPr="001B5FF5" w:rsidRDefault="001B5FF5" w:rsidP="001B5FF5">
      <w:pPr>
        <w:autoSpaceDE w:val="0"/>
        <w:autoSpaceDN w:val="0"/>
        <w:adjustRightInd w:val="0"/>
        <w:spacing w:line="500" w:lineRule="atLeast"/>
        <w:ind w:firstLine="482"/>
        <w:rPr>
          <w:rFonts w:ascii="宋体" w:eastAsia="宋体" w:hAnsi="宋体" w:cs="宋体"/>
          <w:kern w:val="0"/>
          <w:sz w:val="24"/>
          <w:lang w:val="zh-CN"/>
        </w:rPr>
      </w:pPr>
      <w:r w:rsidRPr="001B5FF5">
        <w:rPr>
          <w:rFonts w:ascii="宋体" w:eastAsia="宋体" w:hAnsi="宋体" w:cs="宋体" w:hint="eastAsia"/>
          <w:b/>
          <w:bCs/>
          <w:kern w:val="0"/>
          <w:sz w:val="24"/>
          <w:lang w:val="zh-CN"/>
        </w:rPr>
        <w:t>本章教学重点及难点：</w:t>
      </w:r>
      <w:r w:rsidRPr="001B5FF5">
        <w:rPr>
          <w:rFonts w:ascii="宋体" w:eastAsia="宋体" w:hAnsi="宋体" w:cs="Arial" w:hint="eastAsia"/>
          <w:sz w:val="24"/>
        </w:rPr>
        <w:t>武术段位制二段长拳</w:t>
      </w:r>
    </w:p>
    <w:p w14:paraId="40D17253" w14:textId="77777777" w:rsidR="001B5FF5" w:rsidRPr="001B5FF5" w:rsidRDefault="001B5FF5" w:rsidP="001B5FF5">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1B5FF5">
        <w:rPr>
          <w:rFonts w:ascii="宋体" w:eastAsia="宋体" w:hAnsi="宋体" w:cs="宋体"/>
          <w:b/>
          <w:bCs/>
          <w:kern w:val="0"/>
          <w:sz w:val="28"/>
          <w:szCs w:val="28"/>
          <w:lang w:val="zh-CN"/>
        </w:rPr>
        <w:t xml:space="preserve">第二章    </w:t>
      </w:r>
      <w:r w:rsidRPr="001B5FF5">
        <w:rPr>
          <w:rFonts w:ascii="宋体" w:eastAsia="宋体" w:hAnsi="宋体" w:cs="宋体" w:hint="eastAsia"/>
          <w:b/>
          <w:bCs/>
          <w:kern w:val="0"/>
          <w:sz w:val="28"/>
          <w:szCs w:val="28"/>
          <w:lang w:val="zh-CN"/>
        </w:rPr>
        <w:t>武术基本功</w:t>
      </w:r>
      <w:r w:rsidRPr="001B5FF5">
        <w:rPr>
          <w:rFonts w:ascii="宋体" w:eastAsia="宋体" w:hAnsi="宋体" w:cs="宋体"/>
          <w:b/>
          <w:bCs/>
          <w:kern w:val="0"/>
          <w:sz w:val="28"/>
          <w:szCs w:val="28"/>
          <w:lang w:val="zh-CN"/>
        </w:rPr>
        <w:t>（</w:t>
      </w:r>
      <w:r w:rsidRPr="001B5FF5">
        <w:rPr>
          <w:rFonts w:ascii="宋体" w:eastAsia="宋体" w:hAnsi="宋体" w:cs="宋体" w:hint="eastAsia"/>
          <w:b/>
          <w:bCs/>
          <w:kern w:val="0"/>
          <w:sz w:val="28"/>
          <w:szCs w:val="28"/>
          <w:lang w:val="zh-CN"/>
        </w:rPr>
        <w:t>5</w:t>
      </w:r>
      <w:r w:rsidRPr="001B5FF5">
        <w:rPr>
          <w:rFonts w:ascii="宋体" w:eastAsia="宋体" w:hAnsi="宋体" w:cs="宋体"/>
          <w:b/>
          <w:bCs/>
          <w:kern w:val="0"/>
          <w:sz w:val="28"/>
          <w:szCs w:val="28"/>
          <w:lang w:val="zh-CN"/>
        </w:rPr>
        <w:t>学时）</w:t>
      </w:r>
    </w:p>
    <w:p w14:paraId="3E1BA0F6" w14:textId="77777777" w:rsidR="001B5FF5" w:rsidRPr="001B5FF5" w:rsidRDefault="001B5FF5" w:rsidP="001B5FF5">
      <w:pPr>
        <w:autoSpaceDE w:val="0"/>
        <w:autoSpaceDN w:val="0"/>
        <w:adjustRightInd w:val="0"/>
        <w:spacing w:line="500" w:lineRule="atLeast"/>
        <w:ind w:firstLine="482"/>
        <w:rPr>
          <w:rFonts w:ascii="宋体" w:eastAsia="宋体" w:hAnsi="宋体" w:cs="Arial"/>
          <w:b/>
          <w:sz w:val="24"/>
        </w:rPr>
      </w:pPr>
      <w:r w:rsidRPr="001B5FF5">
        <w:rPr>
          <w:rFonts w:ascii="宋体" w:eastAsia="宋体" w:hAnsi="宋体" w:cs="Arial"/>
          <w:b/>
          <w:sz w:val="24"/>
        </w:rPr>
        <w:t>本章主要教学内容：</w:t>
      </w:r>
    </w:p>
    <w:p w14:paraId="44FAC9CB"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2.1 柔韧练习和基本手型、手法、步型</w:t>
      </w:r>
    </w:p>
    <w:p w14:paraId="641C5513"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 xml:space="preserve">2.2 </w:t>
      </w:r>
      <w:proofErr w:type="gramStart"/>
      <w:r w:rsidRPr="001B5FF5">
        <w:rPr>
          <w:rFonts w:ascii="宋体" w:eastAsia="宋体" w:hAnsi="宋体" w:cs="Arial" w:hint="eastAsia"/>
          <w:bCs/>
          <w:color w:val="000000"/>
          <w:sz w:val="24"/>
        </w:rPr>
        <w:t>直摆性</w:t>
      </w:r>
      <w:proofErr w:type="gramEnd"/>
      <w:r w:rsidRPr="001B5FF5">
        <w:rPr>
          <w:rFonts w:ascii="宋体" w:eastAsia="宋体" w:hAnsi="宋体" w:cs="Arial" w:hint="eastAsia"/>
          <w:bCs/>
          <w:color w:val="000000"/>
          <w:sz w:val="24"/>
        </w:rPr>
        <w:t>腿法：正踢腿、</w:t>
      </w:r>
      <w:proofErr w:type="gramStart"/>
      <w:r w:rsidRPr="001B5FF5">
        <w:rPr>
          <w:rFonts w:ascii="宋体" w:eastAsia="宋体" w:hAnsi="宋体" w:cs="Arial" w:hint="eastAsia"/>
          <w:bCs/>
          <w:color w:val="000000"/>
          <w:sz w:val="24"/>
        </w:rPr>
        <w:t>里合腿</w:t>
      </w:r>
      <w:proofErr w:type="gramEnd"/>
      <w:r w:rsidRPr="001B5FF5">
        <w:rPr>
          <w:rFonts w:ascii="宋体" w:eastAsia="宋体" w:hAnsi="宋体" w:cs="Arial" w:hint="eastAsia"/>
          <w:bCs/>
          <w:color w:val="000000"/>
          <w:sz w:val="24"/>
        </w:rPr>
        <w:t>、外摆腿</w:t>
      </w:r>
    </w:p>
    <w:p w14:paraId="2DF89C0F"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 xml:space="preserve">2.3 屈伸性腿法：弹腿、蹬腿、侧踹腿 </w:t>
      </w:r>
    </w:p>
    <w:p w14:paraId="3587C357" w14:textId="77777777" w:rsidR="001B5FF5" w:rsidRPr="001B5FF5" w:rsidRDefault="001B5FF5" w:rsidP="001B5FF5">
      <w:pPr>
        <w:autoSpaceDE w:val="0"/>
        <w:autoSpaceDN w:val="0"/>
        <w:adjustRightInd w:val="0"/>
        <w:spacing w:line="500" w:lineRule="atLeast"/>
        <w:ind w:firstLine="482"/>
        <w:rPr>
          <w:rFonts w:ascii="宋体" w:eastAsia="宋体" w:hAnsi="宋体" w:cs="Arial"/>
          <w:sz w:val="24"/>
        </w:rPr>
      </w:pPr>
      <w:r w:rsidRPr="001B5FF5">
        <w:rPr>
          <w:rFonts w:ascii="宋体" w:eastAsia="宋体" w:hAnsi="宋体" w:cs="Arial"/>
          <w:b/>
          <w:sz w:val="24"/>
        </w:rPr>
        <w:t>本章教学目的及要求：</w:t>
      </w:r>
      <w:r w:rsidRPr="001B5FF5">
        <w:rPr>
          <w:rFonts w:ascii="宋体" w:eastAsia="宋体" w:hAnsi="宋体" w:cs="Arial" w:hint="eastAsia"/>
          <w:sz w:val="24"/>
        </w:rPr>
        <w:t>掌握武术基本手型、手法，了解长拳技法特点，提高腿部的柔韧性及身体的协调性。</w:t>
      </w:r>
    </w:p>
    <w:p w14:paraId="345DBCEB" w14:textId="77777777" w:rsidR="001B5FF5" w:rsidRPr="001B5FF5" w:rsidRDefault="001B5FF5" w:rsidP="001B5FF5">
      <w:pPr>
        <w:autoSpaceDE w:val="0"/>
        <w:autoSpaceDN w:val="0"/>
        <w:adjustRightInd w:val="0"/>
        <w:spacing w:line="500" w:lineRule="atLeast"/>
        <w:ind w:firstLine="482"/>
        <w:rPr>
          <w:rFonts w:ascii="宋体" w:eastAsia="宋体" w:hAnsi="宋体" w:cs="Arial"/>
          <w:sz w:val="24"/>
        </w:rPr>
      </w:pPr>
      <w:r w:rsidRPr="001B5FF5">
        <w:rPr>
          <w:rFonts w:ascii="宋体" w:eastAsia="宋体" w:hAnsi="宋体" w:cs="Arial"/>
          <w:b/>
          <w:sz w:val="24"/>
        </w:rPr>
        <w:t>本章教学重点及难点：</w:t>
      </w:r>
      <w:r w:rsidRPr="001B5FF5">
        <w:rPr>
          <w:rFonts w:ascii="宋体" w:eastAsia="宋体" w:hAnsi="宋体" w:cs="Arial" w:hint="eastAsia"/>
          <w:sz w:val="24"/>
        </w:rPr>
        <w:t>掌握武术基本手型、手法、腿法</w:t>
      </w:r>
    </w:p>
    <w:p w14:paraId="0B2554D2" w14:textId="77777777" w:rsidR="001B5FF5" w:rsidRPr="001B5FF5" w:rsidRDefault="001B5FF5" w:rsidP="001B5FF5">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1B5FF5">
        <w:rPr>
          <w:rFonts w:ascii="宋体" w:eastAsia="宋体" w:hAnsi="宋体" w:cs="宋体"/>
          <w:b/>
          <w:bCs/>
          <w:kern w:val="0"/>
          <w:sz w:val="28"/>
          <w:szCs w:val="28"/>
          <w:lang w:val="zh-CN"/>
        </w:rPr>
        <w:t>第</w:t>
      </w:r>
      <w:r w:rsidRPr="001B5FF5">
        <w:rPr>
          <w:rFonts w:ascii="宋体" w:eastAsia="宋体" w:hAnsi="宋体" w:cs="宋体" w:hint="eastAsia"/>
          <w:b/>
          <w:bCs/>
          <w:kern w:val="0"/>
          <w:sz w:val="28"/>
          <w:szCs w:val="28"/>
          <w:lang w:val="zh-CN"/>
        </w:rPr>
        <w:t>三</w:t>
      </w:r>
      <w:r w:rsidRPr="001B5FF5">
        <w:rPr>
          <w:rFonts w:ascii="宋体" w:eastAsia="宋体" w:hAnsi="宋体" w:cs="宋体"/>
          <w:b/>
          <w:bCs/>
          <w:kern w:val="0"/>
          <w:sz w:val="28"/>
          <w:szCs w:val="28"/>
          <w:lang w:val="zh-CN"/>
        </w:rPr>
        <w:t>章</w:t>
      </w:r>
      <w:r w:rsidRPr="001B5FF5">
        <w:rPr>
          <w:rFonts w:ascii="宋体" w:eastAsia="宋体" w:hAnsi="宋体" w:cs="宋体" w:hint="eastAsia"/>
          <w:b/>
          <w:bCs/>
          <w:kern w:val="0"/>
          <w:sz w:val="28"/>
          <w:szCs w:val="28"/>
          <w:lang w:val="zh-CN"/>
        </w:rPr>
        <w:t xml:space="preserve">     长拳二段</w:t>
      </w:r>
      <w:r w:rsidRPr="001B5FF5">
        <w:rPr>
          <w:rFonts w:ascii="宋体" w:eastAsia="宋体" w:hAnsi="宋体" w:cs="宋体"/>
          <w:b/>
          <w:bCs/>
          <w:kern w:val="0"/>
          <w:sz w:val="28"/>
          <w:szCs w:val="28"/>
          <w:lang w:val="zh-CN"/>
        </w:rPr>
        <w:t>（</w:t>
      </w:r>
      <w:r w:rsidRPr="001B5FF5">
        <w:rPr>
          <w:rFonts w:ascii="宋体" w:eastAsia="宋体" w:hAnsi="宋体" w:cs="宋体" w:hint="eastAsia"/>
          <w:b/>
          <w:bCs/>
          <w:kern w:val="0"/>
          <w:sz w:val="28"/>
          <w:szCs w:val="28"/>
        </w:rPr>
        <w:t>26</w:t>
      </w:r>
      <w:r w:rsidRPr="001B5FF5">
        <w:rPr>
          <w:rFonts w:ascii="宋体" w:eastAsia="宋体" w:hAnsi="宋体" w:cs="宋体"/>
          <w:b/>
          <w:bCs/>
          <w:kern w:val="0"/>
          <w:sz w:val="28"/>
          <w:szCs w:val="28"/>
          <w:lang w:val="zh-CN"/>
        </w:rPr>
        <w:t>学时）</w:t>
      </w:r>
    </w:p>
    <w:p w14:paraId="3233C0C6" w14:textId="77777777" w:rsidR="001B5FF5" w:rsidRPr="001B5FF5" w:rsidRDefault="001B5FF5" w:rsidP="001B5FF5">
      <w:pPr>
        <w:autoSpaceDE w:val="0"/>
        <w:autoSpaceDN w:val="0"/>
        <w:adjustRightInd w:val="0"/>
        <w:spacing w:line="500" w:lineRule="atLeast"/>
        <w:ind w:firstLine="482"/>
        <w:rPr>
          <w:rFonts w:ascii="宋体" w:eastAsia="宋体" w:hAnsi="宋体" w:cs="Arial"/>
          <w:b/>
          <w:sz w:val="24"/>
        </w:rPr>
      </w:pPr>
      <w:r w:rsidRPr="001B5FF5">
        <w:rPr>
          <w:rFonts w:ascii="宋体" w:eastAsia="宋体" w:hAnsi="宋体" w:cs="Arial"/>
          <w:b/>
          <w:sz w:val="24"/>
        </w:rPr>
        <w:t>本章主要教学内容：</w:t>
      </w:r>
    </w:p>
    <w:p w14:paraId="06774686"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3.1长拳二段单练套路第一小节</w:t>
      </w:r>
    </w:p>
    <w:p w14:paraId="28D926F2"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3.2长拳二段单练套路第二小节</w:t>
      </w:r>
    </w:p>
    <w:p w14:paraId="2DB7E875"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 xml:space="preserve">3.3 期中考试（长拳二段单练套路） </w:t>
      </w:r>
    </w:p>
    <w:p w14:paraId="035DA27B"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3.4长拳二段拆招</w:t>
      </w:r>
    </w:p>
    <w:p w14:paraId="3A2EF138"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3.5二段长拳拆招对打套路</w:t>
      </w:r>
    </w:p>
    <w:p w14:paraId="35E8D573"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3.6期末考试</w:t>
      </w:r>
    </w:p>
    <w:p w14:paraId="40516A07" w14:textId="77777777" w:rsidR="001B5FF5" w:rsidRPr="001B5FF5" w:rsidRDefault="001B5FF5" w:rsidP="001B5FF5">
      <w:pPr>
        <w:autoSpaceDE w:val="0"/>
        <w:autoSpaceDN w:val="0"/>
        <w:adjustRightInd w:val="0"/>
        <w:spacing w:line="500" w:lineRule="atLeast"/>
        <w:ind w:firstLine="482"/>
        <w:rPr>
          <w:rFonts w:ascii="宋体" w:eastAsia="宋体" w:hAnsi="宋体" w:cs="Arial"/>
          <w:b/>
          <w:sz w:val="24"/>
        </w:rPr>
      </w:pPr>
      <w:r w:rsidRPr="001B5FF5">
        <w:rPr>
          <w:rFonts w:ascii="宋体" w:eastAsia="宋体" w:hAnsi="宋体" w:cs="Arial"/>
          <w:b/>
          <w:sz w:val="24"/>
        </w:rPr>
        <w:t>本章教学目的及要求：</w:t>
      </w:r>
    </w:p>
    <w:p w14:paraId="0E5D72CD"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bCs/>
          <w:color w:val="000000"/>
          <w:sz w:val="24"/>
        </w:rPr>
        <w:t>使学生掌握</w:t>
      </w:r>
      <w:r w:rsidRPr="001B5FF5">
        <w:rPr>
          <w:rFonts w:ascii="宋体" w:eastAsia="宋体" w:hAnsi="宋体" w:cs="Arial" w:hint="eastAsia"/>
          <w:bCs/>
          <w:color w:val="000000"/>
          <w:sz w:val="24"/>
        </w:rPr>
        <w:t>长拳二段动作，</w:t>
      </w:r>
      <w:r w:rsidRPr="001B5FF5">
        <w:rPr>
          <w:rFonts w:ascii="宋体" w:eastAsia="宋体" w:hAnsi="宋体" w:cs="Arial"/>
          <w:bCs/>
          <w:color w:val="000000"/>
          <w:sz w:val="24"/>
        </w:rPr>
        <w:t>提高学生身体灵活性、协调性</w:t>
      </w:r>
      <w:r w:rsidRPr="001B5FF5">
        <w:rPr>
          <w:rFonts w:ascii="宋体" w:eastAsia="宋体" w:hAnsi="宋体" w:cs="Arial" w:hint="eastAsia"/>
          <w:bCs/>
          <w:color w:val="000000"/>
          <w:sz w:val="24"/>
        </w:rPr>
        <w:t>。掌握长拳锻炼身体的练习方法，培养学生武术运动的意识、兴趣和爱好，为学习初级剑术奠定基础。</w:t>
      </w:r>
    </w:p>
    <w:p w14:paraId="3209D74C" w14:textId="77777777" w:rsidR="001B5FF5" w:rsidRPr="001B5FF5" w:rsidRDefault="001B5FF5" w:rsidP="001B5FF5">
      <w:pPr>
        <w:autoSpaceDE w:val="0"/>
        <w:autoSpaceDN w:val="0"/>
        <w:adjustRightInd w:val="0"/>
        <w:spacing w:line="500" w:lineRule="atLeast"/>
        <w:ind w:firstLine="482"/>
        <w:rPr>
          <w:rFonts w:ascii="宋体" w:eastAsia="宋体" w:hAnsi="宋体" w:cs="Arial"/>
          <w:b/>
          <w:sz w:val="24"/>
        </w:rPr>
      </w:pPr>
      <w:r w:rsidRPr="001B5FF5">
        <w:rPr>
          <w:rFonts w:ascii="宋体" w:eastAsia="宋体" w:hAnsi="宋体" w:cs="Arial"/>
          <w:b/>
          <w:sz w:val="24"/>
        </w:rPr>
        <w:t>本章教学重点及难点：</w:t>
      </w:r>
    </w:p>
    <w:p w14:paraId="3E955A9F" w14:textId="77777777" w:rsidR="001B5FF5" w:rsidRPr="001B5FF5" w:rsidRDefault="001B5FF5" w:rsidP="001B5FF5">
      <w:pPr>
        <w:autoSpaceDE w:val="0"/>
        <w:autoSpaceDN w:val="0"/>
        <w:adjustRightInd w:val="0"/>
        <w:spacing w:line="500" w:lineRule="exact"/>
        <w:ind w:firstLine="490"/>
        <w:rPr>
          <w:rFonts w:ascii="宋体" w:eastAsia="宋体" w:hAnsi="宋体" w:cs="Arial"/>
          <w:bCs/>
          <w:color w:val="000000"/>
          <w:sz w:val="24"/>
        </w:rPr>
      </w:pPr>
      <w:r w:rsidRPr="001B5FF5">
        <w:rPr>
          <w:rFonts w:ascii="宋体" w:eastAsia="宋体" w:hAnsi="宋体" w:cs="Arial" w:hint="eastAsia"/>
          <w:bCs/>
          <w:color w:val="000000"/>
          <w:sz w:val="24"/>
        </w:rPr>
        <w:t>重点掌握长拳动作及对练套路，培养学生终生体育锻炼要意识。难点</w:t>
      </w:r>
      <w:r w:rsidRPr="001B5FF5">
        <w:rPr>
          <w:rFonts w:ascii="宋体" w:eastAsia="宋体" w:hAnsi="宋体" w:cs="Arial"/>
          <w:bCs/>
          <w:color w:val="000000"/>
          <w:sz w:val="24"/>
        </w:rPr>
        <w:t>掌握</w:t>
      </w:r>
      <w:r w:rsidRPr="001B5FF5">
        <w:rPr>
          <w:rFonts w:ascii="宋体" w:eastAsia="宋体" w:hAnsi="宋体" w:cs="Arial" w:hint="eastAsia"/>
          <w:bCs/>
          <w:color w:val="000000"/>
          <w:sz w:val="24"/>
        </w:rPr>
        <w:t>青年长拳动作的风格特点。</w:t>
      </w:r>
    </w:p>
    <w:p w14:paraId="02C261B4" w14:textId="77777777" w:rsidR="001B5FF5" w:rsidRPr="001B5FF5" w:rsidRDefault="001B5FF5" w:rsidP="001B5FF5">
      <w:pPr>
        <w:spacing w:line="440" w:lineRule="exact"/>
        <w:ind w:firstLineChars="200" w:firstLine="482"/>
        <w:rPr>
          <w:rFonts w:ascii="宋体" w:eastAsia="宋体" w:hAnsi="宋体" w:cs="Times New Roman"/>
          <w:b/>
          <w:sz w:val="24"/>
        </w:rPr>
      </w:pPr>
      <w:r w:rsidRPr="001B5FF5">
        <w:rPr>
          <w:rFonts w:ascii="宋体" w:eastAsia="宋体" w:hAnsi="宋体" w:cs="Times New Roman" w:hint="eastAsia"/>
          <w:b/>
          <w:sz w:val="24"/>
        </w:rPr>
        <w:lastRenderedPageBreak/>
        <w:t>【重点】</w:t>
      </w:r>
    </w:p>
    <w:p w14:paraId="762AE4FE" w14:textId="77777777" w:rsidR="001B5FF5" w:rsidRPr="001B5FF5" w:rsidRDefault="001B5FF5" w:rsidP="001B5FF5">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1B5FF5">
        <w:rPr>
          <w:rFonts w:ascii="宋体" w:eastAsia="宋体" w:hAnsi="Calibri" w:cs="宋体" w:hint="eastAsia"/>
          <w:spacing w:val="5"/>
          <w:kern w:val="0"/>
          <w:sz w:val="24"/>
        </w:rPr>
        <w:t xml:space="preserve">1.《大学体育教程》理论课程使学生对大学体育有深入理解；了解体  </w:t>
      </w:r>
    </w:p>
    <w:p w14:paraId="669FE3BA" w14:textId="77777777" w:rsidR="001B5FF5" w:rsidRPr="001B5FF5" w:rsidRDefault="001B5FF5" w:rsidP="001B5FF5">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1B5FF5">
        <w:rPr>
          <w:rFonts w:ascii="宋体" w:eastAsia="宋体" w:hAnsi="Calibri" w:cs="宋体" w:hint="eastAsia"/>
          <w:spacing w:val="5"/>
          <w:kern w:val="0"/>
          <w:sz w:val="24"/>
        </w:rPr>
        <w:t>质健康</w:t>
      </w:r>
      <w:proofErr w:type="gramEnd"/>
      <w:r w:rsidRPr="001B5FF5">
        <w:rPr>
          <w:rFonts w:ascii="宋体" w:eastAsia="宋体" w:hAnsi="Calibri" w:cs="宋体" w:hint="eastAsia"/>
          <w:spacing w:val="5"/>
          <w:kern w:val="0"/>
          <w:sz w:val="24"/>
        </w:rPr>
        <w:t>标准的实施与如何评价；学会分析常见运动损伤和运动性疾病的症状。</w:t>
      </w:r>
    </w:p>
    <w:p w14:paraId="1EF0464A" w14:textId="77777777" w:rsidR="001B5FF5" w:rsidRPr="001B5FF5" w:rsidRDefault="001B5FF5" w:rsidP="001B5FF5">
      <w:pPr>
        <w:autoSpaceDE w:val="0"/>
        <w:autoSpaceDN w:val="0"/>
        <w:adjustRightInd w:val="0"/>
        <w:snapToGrid w:val="0"/>
        <w:spacing w:line="500" w:lineRule="exact"/>
        <w:ind w:left="490"/>
        <w:rPr>
          <w:rFonts w:ascii="宋体" w:eastAsia="宋体" w:hAnsi="Calibri" w:cs="宋体"/>
          <w:spacing w:val="5"/>
          <w:kern w:val="0"/>
          <w:sz w:val="24"/>
        </w:rPr>
      </w:pPr>
      <w:r w:rsidRPr="001B5FF5">
        <w:rPr>
          <w:rFonts w:ascii="宋体" w:eastAsia="宋体" w:hAnsi="Calibri" w:cs="宋体" w:hint="eastAsia"/>
          <w:spacing w:val="5"/>
          <w:kern w:val="0"/>
          <w:sz w:val="24"/>
        </w:rPr>
        <w:t>2.武术运动的基本理论、基本知识和基本技法。</w:t>
      </w:r>
    </w:p>
    <w:p w14:paraId="02C5580F" w14:textId="77777777" w:rsidR="001B5FF5" w:rsidRPr="001B5FF5" w:rsidRDefault="001B5FF5" w:rsidP="001B5FF5">
      <w:pPr>
        <w:autoSpaceDE w:val="0"/>
        <w:autoSpaceDN w:val="0"/>
        <w:adjustRightInd w:val="0"/>
        <w:snapToGrid w:val="0"/>
        <w:spacing w:line="500" w:lineRule="exact"/>
        <w:ind w:firstLineChars="200" w:firstLine="500"/>
        <w:rPr>
          <w:rFonts w:ascii="宋体" w:eastAsia="宋体" w:hAnsi="宋体" w:cs="Times New Roman"/>
          <w:sz w:val="24"/>
        </w:rPr>
      </w:pPr>
      <w:r w:rsidRPr="001B5FF5">
        <w:rPr>
          <w:rFonts w:ascii="宋体" w:eastAsia="宋体" w:hAnsi="Calibri" w:cs="宋体" w:hint="eastAsia"/>
          <w:spacing w:val="5"/>
          <w:kern w:val="0"/>
          <w:sz w:val="24"/>
        </w:rPr>
        <w:t>3.掌握一定的科学锻炼方法，扎实的理论知识。</w:t>
      </w:r>
    </w:p>
    <w:p w14:paraId="67CFDC63" w14:textId="77777777" w:rsidR="001B5FF5" w:rsidRPr="001B5FF5" w:rsidRDefault="001B5FF5" w:rsidP="001B5FF5">
      <w:pPr>
        <w:spacing w:line="440" w:lineRule="exact"/>
        <w:ind w:firstLineChars="200" w:firstLine="482"/>
        <w:rPr>
          <w:rFonts w:ascii="宋体" w:eastAsia="宋体" w:hAnsi="宋体" w:cs="Times New Roman"/>
          <w:b/>
          <w:sz w:val="24"/>
        </w:rPr>
      </w:pPr>
      <w:r w:rsidRPr="001B5FF5">
        <w:rPr>
          <w:rFonts w:ascii="宋体" w:eastAsia="宋体" w:hAnsi="宋体" w:cs="Times New Roman" w:hint="eastAsia"/>
          <w:b/>
          <w:sz w:val="24"/>
        </w:rPr>
        <w:t>【难点】</w:t>
      </w:r>
    </w:p>
    <w:p w14:paraId="2C46B0DD" w14:textId="77777777" w:rsidR="001B5FF5" w:rsidRPr="001B5FF5" w:rsidRDefault="001B5FF5" w:rsidP="001B5FF5">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1B5FF5">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2EFBD22C" w14:textId="77777777" w:rsidR="001B5FF5" w:rsidRPr="001B5FF5" w:rsidRDefault="001B5FF5" w:rsidP="001B5FF5">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1B5FF5">
        <w:rPr>
          <w:rFonts w:ascii="宋体" w:eastAsia="宋体" w:hAnsi="Calibri" w:cs="宋体" w:hint="eastAsia"/>
          <w:spacing w:val="5"/>
          <w:kern w:val="0"/>
          <w:sz w:val="24"/>
        </w:rPr>
        <w:t xml:space="preserve">2.考虑学生原有的理论知识和实践技术，在讲授教材及大纲要求的所有知识和技术的同时，重点讲授武术长拳、剑术的基本技法、还有段位制套路的学习。 </w:t>
      </w:r>
    </w:p>
    <w:p w14:paraId="0DBAAB31" w14:textId="77777777" w:rsidR="001B5FF5" w:rsidRPr="001B5FF5" w:rsidRDefault="001B5FF5" w:rsidP="001B5FF5">
      <w:pPr>
        <w:spacing w:line="440" w:lineRule="exact"/>
        <w:ind w:firstLineChars="200" w:firstLine="482"/>
        <w:rPr>
          <w:rFonts w:ascii="宋体" w:eastAsia="宋体" w:hAnsi="宋体" w:cs="Times New Roman"/>
          <w:color w:val="FF0000"/>
          <w:sz w:val="24"/>
        </w:rPr>
      </w:pPr>
      <w:r w:rsidRPr="001B5FF5">
        <w:rPr>
          <w:rFonts w:ascii="宋体" w:eastAsia="宋体" w:hAnsi="宋体" w:cs="Times New Roman" w:hint="eastAsia"/>
          <w:b/>
          <w:bCs/>
          <w:sz w:val="24"/>
        </w:rPr>
        <w:t>【实施方式】</w:t>
      </w:r>
    </w:p>
    <w:p w14:paraId="4D463C09"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室外实践课程</w:t>
      </w:r>
    </w:p>
    <w:p w14:paraId="1A79F8D1" w14:textId="77777777" w:rsidR="001B5FF5" w:rsidRPr="001B5FF5" w:rsidRDefault="001B5FF5" w:rsidP="001B5FF5">
      <w:pPr>
        <w:spacing w:line="440" w:lineRule="exact"/>
        <w:ind w:firstLineChars="200" w:firstLine="482"/>
        <w:rPr>
          <w:rFonts w:ascii="宋体" w:eastAsia="宋体" w:hAnsi="宋体" w:cs="Times New Roman"/>
          <w:bCs/>
          <w:color w:val="FF0000"/>
          <w:sz w:val="24"/>
        </w:rPr>
      </w:pPr>
      <w:r w:rsidRPr="001B5FF5">
        <w:rPr>
          <w:rFonts w:ascii="宋体" w:eastAsia="宋体" w:hAnsi="宋体" w:cs="Times New Roman" w:hint="eastAsia"/>
          <w:b/>
          <w:sz w:val="24"/>
        </w:rPr>
        <w:t>【学习要求】</w:t>
      </w:r>
    </w:p>
    <w:p w14:paraId="544B31B5" w14:textId="77777777" w:rsidR="001B5FF5" w:rsidRPr="001B5FF5" w:rsidRDefault="001B5FF5" w:rsidP="001B5FF5">
      <w:pPr>
        <w:spacing w:line="440" w:lineRule="exact"/>
        <w:ind w:firstLineChars="200" w:firstLine="480"/>
        <w:rPr>
          <w:rFonts w:ascii="宋体" w:eastAsia="宋体" w:hAnsi="宋体" w:cs="Times New Roman"/>
          <w:b/>
          <w:sz w:val="24"/>
        </w:rPr>
      </w:pPr>
      <w:r w:rsidRPr="001B5FF5">
        <w:rPr>
          <w:rFonts w:ascii="宋体" w:eastAsia="宋体" w:hAnsi="宋体" w:cs="Times New Roman" w:hint="eastAsia"/>
          <w:sz w:val="24"/>
        </w:rPr>
        <w:t>1</w:t>
      </w:r>
      <w:r w:rsidRPr="001B5FF5">
        <w:rPr>
          <w:rFonts w:ascii="宋体" w:eastAsia="宋体" w:hAnsi="宋体" w:cs="Times New Roman"/>
          <w:sz w:val="24"/>
        </w:rPr>
        <w:t xml:space="preserve">. </w:t>
      </w:r>
      <w:r w:rsidRPr="001B5FF5">
        <w:rPr>
          <w:rFonts w:ascii="宋体" w:eastAsia="宋体" w:hAnsi="宋体" w:cs="Times New Roman" w:hint="eastAsia"/>
          <w:sz w:val="24"/>
        </w:rPr>
        <w:t>了解大学体育课程的性质和授课方式，学分情况和进行网上选项课，开设的15门选项课程，课堂常识和安全注意事项。</w:t>
      </w:r>
    </w:p>
    <w:p w14:paraId="63BEC70A"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1B5FF5">
        <w:rPr>
          <w:rFonts w:ascii="宋体" w:eastAsia="宋体" w:hAnsi="宋体" w:cs="Times New Roman" w:hint="eastAsia"/>
          <w:sz w:val="24"/>
        </w:rPr>
        <w:t>缓测免</w:t>
      </w:r>
      <w:proofErr w:type="gramEnd"/>
      <w:r w:rsidRPr="001B5FF5">
        <w:rPr>
          <w:rFonts w:ascii="宋体" w:eastAsia="宋体" w:hAnsi="宋体" w:cs="Times New Roman" w:hint="eastAsia"/>
          <w:sz w:val="24"/>
        </w:rPr>
        <w:t>测的申请流程以及掌握测验时间。</w:t>
      </w:r>
    </w:p>
    <w:p w14:paraId="28E6C61E"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3</w:t>
      </w:r>
      <w:r w:rsidRPr="001B5FF5">
        <w:rPr>
          <w:rFonts w:ascii="宋体" w:eastAsia="宋体" w:hAnsi="宋体" w:cs="Times New Roman"/>
          <w:sz w:val="24"/>
        </w:rPr>
        <w:t>.</w:t>
      </w:r>
      <w:r w:rsidRPr="001B5FF5">
        <w:rPr>
          <w:rFonts w:ascii="宋体" w:eastAsia="宋体" w:hAnsi="宋体" w:cs="Times New Roman" w:hint="eastAsia"/>
          <w:sz w:val="24"/>
        </w:rPr>
        <w:t>运用武术基础课程，</w:t>
      </w:r>
      <w:r w:rsidRPr="001B5FF5">
        <w:rPr>
          <w:rFonts w:ascii="宋体" w:eastAsia="宋体" w:hAnsi="宋体" w:cs="Times New Roman"/>
          <w:sz w:val="24"/>
        </w:rPr>
        <w:t xml:space="preserve"> </w:t>
      </w:r>
    </w:p>
    <w:p w14:paraId="384B2D90" w14:textId="77777777" w:rsidR="001B5FF5" w:rsidRPr="001B5FF5" w:rsidRDefault="001B5FF5" w:rsidP="001B5FF5">
      <w:pPr>
        <w:spacing w:line="440" w:lineRule="exact"/>
        <w:ind w:firstLineChars="200" w:firstLine="482"/>
        <w:rPr>
          <w:rFonts w:ascii="宋体" w:eastAsia="宋体" w:hAnsi="宋体" w:cs="Times New Roman"/>
          <w:sz w:val="24"/>
        </w:rPr>
      </w:pPr>
      <w:r w:rsidRPr="001B5FF5">
        <w:rPr>
          <w:rFonts w:ascii="宋体" w:eastAsia="宋体" w:hAnsi="宋体" w:cs="Times New Roman" w:hint="eastAsia"/>
          <w:b/>
          <w:sz w:val="24"/>
        </w:rPr>
        <w:t>【实践要求】</w:t>
      </w:r>
    </w:p>
    <w:p w14:paraId="371FBDC9"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1.实践属性：综合训练型</w:t>
      </w:r>
    </w:p>
    <w:p w14:paraId="57C0A501"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2.工作流程：开始部分，准备部分，基本部分，结束部分</w:t>
      </w:r>
    </w:p>
    <w:p w14:paraId="1487012A"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3.分组要求：自然班和选项班，不超过45人。</w:t>
      </w:r>
    </w:p>
    <w:p w14:paraId="1A446E05"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4E3D6D6A"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5.时间安排：每周2学时</w:t>
      </w:r>
    </w:p>
    <w:p w14:paraId="259B4CCF"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6.其他要求：</w:t>
      </w:r>
    </w:p>
    <w:p w14:paraId="51DE57BF" w14:textId="77777777" w:rsidR="001B5FF5" w:rsidRPr="001B5FF5" w:rsidRDefault="001B5FF5" w:rsidP="001B5FF5">
      <w:pPr>
        <w:spacing w:beforeLines="50" w:before="156" w:afterLines="50" w:after="156" w:line="440" w:lineRule="exact"/>
        <w:ind w:left="561"/>
        <w:rPr>
          <w:rFonts w:ascii="仿宋" w:eastAsia="仿宋" w:hAnsi="仿宋" w:cs="Times New Roman"/>
          <w:sz w:val="24"/>
        </w:rPr>
      </w:pPr>
      <w:r w:rsidRPr="001B5FF5">
        <w:rPr>
          <w:rFonts w:ascii="黑体" w:eastAsia="黑体" w:hAnsi="黑体" w:cs="Times New Roman" w:hint="eastAsia"/>
          <w:sz w:val="28"/>
          <w:szCs w:val="28"/>
        </w:rPr>
        <w:t>（二）课程学习内容与课程学习目标的对应关系</w:t>
      </w:r>
      <w:r w:rsidRPr="001B5FF5">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B5FF5" w:rsidRPr="001B5FF5" w14:paraId="0158FC34" w14:textId="77777777" w:rsidTr="00BF5EF3">
        <w:trPr>
          <w:trHeight w:val="660"/>
          <w:jc w:val="center"/>
        </w:trPr>
        <w:tc>
          <w:tcPr>
            <w:tcW w:w="3403" w:type="dxa"/>
            <w:vAlign w:val="center"/>
          </w:tcPr>
          <w:p w14:paraId="59D91D37" w14:textId="77777777" w:rsidR="001B5FF5" w:rsidRPr="001B5FF5" w:rsidRDefault="001B5FF5" w:rsidP="001B5FF5">
            <w:pPr>
              <w:spacing w:line="440" w:lineRule="exact"/>
              <w:jc w:val="center"/>
              <w:rPr>
                <w:rFonts w:ascii="宋体" w:eastAsia="宋体" w:hAnsi="宋体" w:cs="Times New Roman"/>
                <w:b/>
                <w:bCs/>
                <w:sz w:val="24"/>
              </w:rPr>
            </w:pPr>
            <w:r w:rsidRPr="001B5FF5">
              <w:rPr>
                <w:rFonts w:ascii="宋体" w:eastAsia="宋体" w:hAnsi="宋体" w:cs="Times New Roman" w:hint="eastAsia"/>
                <w:b/>
                <w:bCs/>
                <w:sz w:val="24"/>
              </w:rPr>
              <w:lastRenderedPageBreak/>
              <w:t>实践内容</w:t>
            </w:r>
          </w:p>
        </w:tc>
        <w:tc>
          <w:tcPr>
            <w:tcW w:w="2693" w:type="dxa"/>
            <w:vAlign w:val="center"/>
          </w:tcPr>
          <w:p w14:paraId="7942B738" w14:textId="77777777" w:rsidR="001B5FF5" w:rsidRPr="001B5FF5" w:rsidRDefault="001B5FF5" w:rsidP="001B5FF5">
            <w:pPr>
              <w:spacing w:line="440" w:lineRule="exact"/>
              <w:jc w:val="center"/>
              <w:rPr>
                <w:rFonts w:ascii="宋体" w:eastAsia="宋体" w:hAnsi="宋体" w:cs="Times New Roman"/>
                <w:b/>
                <w:bCs/>
                <w:sz w:val="24"/>
              </w:rPr>
            </w:pPr>
            <w:r w:rsidRPr="001B5FF5">
              <w:rPr>
                <w:rFonts w:ascii="宋体" w:eastAsia="宋体" w:hAnsi="宋体" w:cs="Times New Roman" w:hint="eastAsia"/>
                <w:b/>
                <w:bCs/>
                <w:sz w:val="24"/>
              </w:rPr>
              <w:t>实施方式</w:t>
            </w:r>
          </w:p>
        </w:tc>
        <w:tc>
          <w:tcPr>
            <w:tcW w:w="1985" w:type="dxa"/>
            <w:vAlign w:val="center"/>
          </w:tcPr>
          <w:p w14:paraId="0F7BE34C" w14:textId="77777777" w:rsidR="001B5FF5" w:rsidRPr="001B5FF5" w:rsidRDefault="001B5FF5" w:rsidP="001B5FF5">
            <w:pPr>
              <w:spacing w:line="440" w:lineRule="exact"/>
              <w:jc w:val="center"/>
              <w:rPr>
                <w:rFonts w:ascii="宋体" w:eastAsia="宋体" w:hAnsi="宋体" w:cs="Times New Roman"/>
                <w:b/>
                <w:bCs/>
                <w:sz w:val="24"/>
              </w:rPr>
            </w:pPr>
            <w:r w:rsidRPr="001B5FF5">
              <w:rPr>
                <w:rFonts w:ascii="宋体" w:eastAsia="宋体" w:hAnsi="宋体" w:cs="Times New Roman" w:hint="eastAsia"/>
                <w:b/>
                <w:bCs/>
                <w:sz w:val="24"/>
              </w:rPr>
              <w:t>支撑的课程目标</w:t>
            </w:r>
          </w:p>
        </w:tc>
        <w:tc>
          <w:tcPr>
            <w:tcW w:w="1276" w:type="dxa"/>
            <w:vAlign w:val="center"/>
          </w:tcPr>
          <w:p w14:paraId="1ECB8924" w14:textId="77777777" w:rsidR="001B5FF5" w:rsidRPr="001B5FF5" w:rsidRDefault="001B5FF5" w:rsidP="001B5FF5">
            <w:pPr>
              <w:spacing w:line="440" w:lineRule="exact"/>
              <w:jc w:val="center"/>
              <w:rPr>
                <w:rFonts w:ascii="宋体" w:eastAsia="宋体" w:hAnsi="宋体" w:cs="Times New Roman"/>
                <w:b/>
                <w:bCs/>
                <w:sz w:val="24"/>
              </w:rPr>
            </w:pPr>
            <w:r w:rsidRPr="001B5FF5">
              <w:rPr>
                <w:rFonts w:ascii="宋体" w:eastAsia="宋体" w:hAnsi="宋体" w:cs="Times New Roman" w:hint="eastAsia"/>
                <w:b/>
                <w:bCs/>
                <w:sz w:val="24"/>
              </w:rPr>
              <w:t>学时安排</w:t>
            </w:r>
          </w:p>
        </w:tc>
      </w:tr>
      <w:tr w:rsidR="001B5FF5" w:rsidRPr="001B5FF5" w14:paraId="610CF94F" w14:textId="77777777" w:rsidTr="00BF5EF3">
        <w:trPr>
          <w:trHeight w:val="514"/>
          <w:jc w:val="center"/>
        </w:trPr>
        <w:tc>
          <w:tcPr>
            <w:tcW w:w="3403" w:type="dxa"/>
            <w:vAlign w:val="center"/>
          </w:tcPr>
          <w:p w14:paraId="4DD00D5D"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学习内容</w:t>
            </w:r>
            <w:proofErr w:type="gramStart"/>
            <w:r w:rsidRPr="001B5FF5">
              <w:rPr>
                <w:rFonts w:ascii="宋体" w:eastAsia="宋体" w:hAnsi="宋体" w:cs="Times New Roman" w:hint="eastAsia"/>
                <w:sz w:val="24"/>
              </w:rPr>
              <w:t>一</w:t>
            </w:r>
            <w:proofErr w:type="gramEnd"/>
            <w:r w:rsidRPr="001B5FF5">
              <w:rPr>
                <w:rFonts w:ascii="宋体" w:eastAsia="宋体" w:hAnsi="宋体" w:cs="Times New Roman" w:hint="eastAsia"/>
                <w:sz w:val="24"/>
              </w:rPr>
              <w:t xml:space="preserve"> 体能+武术 </w:t>
            </w:r>
          </w:p>
          <w:p w14:paraId="419D84A6" w14:textId="77777777" w:rsidR="001B5FF5" w:rsidRPr="001B5FF5" w:rsidRDefault="001B5FF5" w:rsidP="001B5FF5">
            <w:pPr>
              <w:spacing w:line="440" w:lineRule="exact"/>
              <w:jc w:val="center"/>
              <w:rPr>
                <w:rFonts w:ascii="宋体" w:eastAsia="宋体" w:hAnsi="宋体" w:cs="Times New Roman"/>
                <w:sz w:val="24"/>
              </w:rPr>
            </w:pPr>
          </w:p>
        </w:tc>
        <w:tc>
          <w:tcPr>
            <w:tcW w:w="2693" w:type="dxa"/>
            <w:vAlign w:val="center"/>
          </w:tcPr>
          <w:p w14:paraId="52F6ADC5" w14:textId="77777777" w:rsidR="001B5FF5" w:rsidRPr="001B5FF5" w:rsidRDefault="001B5FF5" w:rsidP="001B5FF5">
            <w:pPr>
              <w:spacing w:line="440" w:lineRule="exact"/>
              <w:jc w:val="center"/>
              <w:rPr>
                <w:rFonts w:ascii="宋体" w:eastAsia="宋体" w:hAnsi="宋体" w:cs="Times New Roman"/>
                <w:color w:val="FF0000"/>
                <w:sz w:val="24"/>
              </w:rPr>
            </w:pPr>
            <w:r w:rsidRPr="001B5FF5">
              <w:rPr>
                <w:rFonts w:ascii="宋体" w:eastAsia="宋体" w:hAnsi="宋体" w:cs="Times New Roman" w:hint="eastAsia"/>
                <w:sz w:val="24"/>
              </w:rPr>
              <w:t>利用</w:t>
            </w:r>
            <w:proofErr w:type="gramStart"/>
            <w:r w:rsidRPr="001B5FF5">
              <w:rPr>
                <w:rFonts w:ascii="宋体" w:eastAsia="宋体" w:hAnsi="宋体" w:cs="Times New Roman" w:hint="eastAsia"/>
                <w:sz w:val="24"/>
              </w:rPr>
              <w:t>微信平台</w:t>
            </w:r>
            <w:proofErr w:type="gramEnd"/>
            <w:r w:rsidRPr="001B5FF5">
              <w:rPr>
                <w:rFonts w:ascii="宋体" w:eastAsia="宋体" w:hAnsi="宋体" w:cs="Times New Roman" w:hint="eastAsia"/>
                <w:sz w:val="24"/>
              </w:rPr>
              <w:t>；讲解法、示范法；练习法；小组合作学习</w:t>
            </w:r>
          </w:p>
        </w:tc>
        <w:tc>
          <w:tcPr>
            <w:tcW w:w="1985" w:type="dxa"/>
            <w:vAlign w:val="center"/>
          </w:tcPr>
          <w:p w14:paraId="5C7533C2" w14:textId="77777777" w:rsidR="001B5FF5" w:rsidRPr="001B5FF5" w:rsidRDefault="001B5FF5" w:rsidP="001B5FF5">
            <w:pPr>
              <w:spacing w:line="440" w:lineRule="exact"/>
              <w:jc w:val="center"/>
              <w:rPr>
                <w:rFonts w:ascii="宋体" w:eastAsia="宋体" w:hAnsi="宋体" w:cs="Times New Roman"/>
                <w:color w:val="FF0000"/>
                <w:sz w:val="24"/>
              </w:rPr>
            </w:pPr>
            <w:r w:rsidRPr="001B5FF5">
              <w:rPr>
                <w:rFonts w:ascii="宋体" w:eastAsia="宋体" w:hAnsi="宋体" w:cs="Times New Roman" w:hint="eastAsia"/>
                <w:sz w:val="24"/>
              </w:rPr>
              <w:t>课程</w:t>
            </w:r>
            <w:r w:rsidRPr="001B5FF5">
              <w:rPr>
                <w:rFonts w:ascii="宋体" w:eastAsia="宋体" w:hAnsi="宋体" w:cs="Times New Roman"/>
                <w:sz w:val="24"/>
              </w:rPr>
              <w:t>目标</w:t>
            </w:r>
            <w:r w:rsidRPr="001B5FF5">
              <w:rPr>
                <w:rFonts w:ascii="宋体" w:eastAsia="宋体" w:hAnsi="宋体" w:cs="Times New Roman" w:hint="eastAsia"/>
                <w:sz w:val="24"/>
              </w:rPr>
              <w:t>1、2、3</w:t>
            </w:r>
          </w:p>
        </w:tc>
        <w:tc>
          <w:tcPr>
            <w:tcW w:w="1276" w:type="dxa"/>
            <w:vAlign w:val="center"/>
          </w:tcPr>
          <w:p w14:paraId="174F8779"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32</w:t>
            </w:r>
          </w:p>
        </w:tc>
      </w:tr>
      <w:tr w:rsidR="001B5FF5" w:rsidRPr="001B5FF5" w14:paraId="4903565D" w14:textId="77777777" w:rsidTr="00BF5EF3">
        <w:trPr>
          <w:trHeight w:val="90"/>
          <w:jc w:val="center"/>
        </w:trPr>
        <w:tc>
          <w:tcPr>
            <w:tcW w:w="3403" w:type="dxa"/>
            <w:vAlign w:val="center"/>
          </w:tcPr>
          <w:p w14:paraId="49C5290F"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 xml:space="preserve">学习内容二 武术1 </w:t>
            </w:r>
          </w:p>
          <w:p w14:paraId="2BC50ABA" w14:textId="77777777" w:rsidR="001B5FF5" w:rsidRPr="001B5FF5" w:rsidRDefault="001B5FF5" w:rsidP="001B5FF5">
            <w:pPr>
              <w:spacing w:line="440" w:lineRule="exact"/>
              <w:jc w:val="center"/>
              <w:rPr>
                <w:rFonts w:ascii="宋体" w:eastAsia="宋体" w:hAnsi="宋体" w:cs="Times New Roman"/>
                <w:sz w:val="24"/>
              </w:rPr>
            </w:pPr>
          </w:p>
        </w:tc>
        <w:tc>
          <w:tcPr>
            <w:tcW w:w="2693" w:type="dxa"/>
            <w:vAlign w:val="center"/>
          </w:tcPr>
          <w:p w14:paraId="41395916" w14:textId="77777777" w:rsidR="001B5FF5" w:rsidRPr="001B5FF5" w:rsidRDefault="001B5FF5" w:rsidP="001B5FF5">
            <w:pPr>
              <w:spacing w:line="440" w:lineRule="exact"/>
              <w:jc w:val="center"/>
              <w:rPr>
                <w:rFonts w:ascii="宋体" w:eastAsia="宋体" w:hAnsi="宋体" w:cs="Times New Roman"/>
                <w:color w:val="FF0000"/>
                <w:sz w:val="24"/>
              </w:rPr>
            </w:pPr>
            <w:r w:rsidRPr="001B5FF5">
              <w:rPr>
                <w:rFonts w:ascii="宋体" w:eastAsia="宋体" w:hAnsi="宋体" w:cs="Times New Roman" w:hint="eastAsia"/>
                <w:sz w:val="24"/>
              </w:rPr>
              <w:t>利用</w:t>
            </w:r>
            <w:proofErr w:type="gramStart"/>
            <w:r w:rsidRPr="001B5FF5">
              <w:rPr>
                <w:rFonts w:ascii="宋体" w:eastAsia="宋体" w:hAnsi="宋体" w:cs="Times New Roman" w:hint="eastAsia"/>
                <w:sz w:val="24"/>
              </w:rPr>
              <w:t>微信平台</w:t>
            </w:r>
            <w:proofErr w:type="gramEnd"/>
            <w:r w:rsidRPr="001B5FF5">
              <w:rPr>
                <w:rFonts w:ascii="宋体" w:eastAsia="宋体" w:hAnsi="宋体" w:cs="Times New Roman" w:hint="eastAsia"/>
                <w:sz w:val="24"/>
              </w:rPr>
              <w:t>；讲解法、示范法；练习法；小组合作学习</w:t>
            </w:r>
          </w:p>
        </w:tc>
        <w:tc>
          <w:tcPr>
            <w:tcW w:w="1985" w:type="dxa"/>
            <w:vAlign w:val="center"/>
          </w:tcPr>
          <w:p w14:paraId="501B80D3" w14:textId="77777777" w:rsidR="001B5FF5" w:rsidRPr="001B5FF5" w:rsidRDefault="001B5FF5" w:rsidP="001B5FF5">
            <w:pPr>
              <w:spacing w:line="440" w:lineRule="exact"/>
              <w:jc w:val="center"/>
              <w:rPr>
                <w:rFonts w:ascii="宋体" w:eastAsia="宋体" w:hAnsi="宋体" w:cs="Times New Roman"/>
                <w:color w:val="FF0000"/>
                <w:sz w:val="24"/>
              </w:rPr>
            </w:pPr>
            <w:r w:rsidRPr="001B5FF5">
              <w:rPr>
                <w:rFonts w:ascii="宋体" w:eastAsia="宋体" w:hAnsi="宋体" w:cs="Times New Roman" w:hint="eastAsia"/>
                <w:sz w:val="24"/>
              </w:rPr>
              <w:t>课程</w:t>
            </w:r>
            <w:r w:rsidRPr="001B5FF5">
              <w:rPr>
                <w:rFonts w:ascii="宋体" w:eastAsia="宋体" w:hAnsi="宋体" w:cs="Times New Roman"/>
                <w:sz w:val="24"/>
              </w:rPr>
              <w:t>目标</w:t>
            </w:r>
            <w:r w:rsidRPr="001B5FF5">
              <w:rPr>
                <w:rFonts w:ascii="宋体" w:eastAsia="宋体" w:hAnsi="宋体" w:cs="Times New Roman" w:hint="eastAsia"/>
                <w:sz w:val="24"/>
              </w:rPr>
              <w:t>1、2、3</w:t>
            </w:r>
          </w:p>
        </w:tc>
        <w:tc>
          <w:tcPr>
            <w:tcW w:w="1276" w:type="dxa"/>
            <w:vAlign w:val="center"/>
          </w:tcPr>
          <w:p w14:paraId="4A2A04B4"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32</w:t>
            </w:r>
          </w:p>
        </w:tc>
      </w:tr>
      <w:tr w:rsidR="001B5FF5" w:rsidRPr="001B5FF5" w14:paraId="1B0B8C36" w14:textId="77777777" w:rsidTr="00BF5EF3">
        <w:trPr>
          <w:jc w:val="center"/>
        </w:trPr>
        <w:tc>
          <w:tcPr>
            <w:tcW w:w="3403" w:type="dxa"/>
            <w:vAlign w:val="center"/>
          </w:tcPr>
          <w:p w14:paraId="201519FC"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学习内容三 武术2</w:t>
            </w:r>
          </w:p>
          <w:p w14:paraId="6492971C" w14:textId="77777777" w:rsidR="001B5FF5" w:rsidRPr="001B5FF5" w:rsidRDefault="001B5FF5" w:rsidP="001B5FF5">
            <w:pPr>
              <w:spacing w:line="440" w:lineRule="exact"/>
              <w:jc w:val="center"/>
              <w:rPr>
                <w:rFonts w:ascii="宋体" w:eastAsia="宋体" w:hAnsi="宋体" w:cs="Times New Roman"/>
                <w:sz w:val="24"/>
              </w:rPr>
            </w:pPr>
          </w:p>
        </w:tc>
        <w:tc>
          <w:tcPr>
            <w:tcW w:w="2693" w:type="dxa"/>
            <w:vAlign w:val="center"/>
          </w:tcPr>
          <w:p w14:paraId="66BC00B6" w14:textId="77777777" w:rsidR="001B5FF5" w:rsidRPr="001B5FF5" w:rsidRDefault="001B5FF5" w:rsidP="001B5FF5">
            <w:pPr>
              <w:spacing w:line="440" w:lineRule="exact"/>
              <w:jc w:val="center"/>
              <w:rPr>
                <w:rFonts w:ascii="宋体" w:eastAsia="宋体" w:hAnsi="宋体" w:cs="Times New Roman"/>
                <w:color w:val="FF0000"/>
                <w:sz w:val="24"/>
              </w:rPr>
            </w:pPr>
            <w:r w:rsidRPr="001B5FF5">
              <w:rPr>
                <w:rFonts w:ascii="宋体" w:eastAsia="宋体" w:hAnsi="宋体" w:cs="Times New Roman" w:hint="eastAsia"/>
                <w:sz w:val="24"/>
              </w:rPr>
              <w:t>利用</w:t>
            </w:r>
            <w:proofErr w:type="gramStart"/>
            <w:r w:rsidRPr="001B5FF5">
              <w:rPr>
                <w:rFonts w:ascii="宋体" w:eastAsia="宋体" w:hAnsi="宋体" w:cs="Times New Roman" w:hint="eastAsia"/>
                <w:sz w:val="24"/>
              </w:rPr>
              <w:t>微信平台</w:t>
            </w:r>
            <w:proofErr w:type="gramEnd"/>
            <w:r w:rsidRPr="001B5FF5">
              <w:rPr>
                <w:rFonts w:ascii="宋体" w:eastAsia="宋体" w:hAnsi="宋体" w:cs="Times New Roman" w:hint="eastAsia"/>
                <w:sz w:val="24"/>
              </w:rPr>
              <w:t>；讲解法、示范法；练习法；小组合作学习</w:t>
            </w:r>
          </w:p>
        </w:tc>
        <w:tc>
          <w:tcPr>
            <w:tcW w:w="1985" w:type="dxa"/>
            <w:vAlign w:val="center"/>
          </w:tcPr>
          <w:p w14:paraId="55742367" w14:textId="77777777" w:rsidR="001B5FF5" w:rsidRPr="001B5FF5" w:rsidRDefault="001B5FF5" w:rsidP="001B5FF5">
            <w:pPr>
              <w:spacing w:line="440" w:lineRule="exact"/>
              <w:jc w:val="center"/>
              <w:rPr>
                <w:rFonts w:ascii="宋体" w:eastAsia="宋体" w:hAnsi="宋体" w:cs="Times New Roman"/>
                <w:color w:val="FF0000"/>
                <w:sz w:val="24"/>
              </w:rPr>
            </w:pPr>
            <w:r w:rsidRPr="001B5FF5">
              <w:rPr>
                <w:rFonts w:ascii="宋体" w:eastAsia="宋体" w:hAnsi="宋体" w:cs="Times New Roman" w:hint="eastAsia"/>
                <w:sz w:val="24"/>
              </w:rPr>
              <w:t>课程</w:t>
            </w:r>
            <w:r w:rsidRPr="001B5FF5">
              <w:rPr>
                <w:rFonts w:ascii="宋体" w:eastAsia="宋体" w:hAnsi="宋体" w:cs="Times New Roman"/>
                <w:sz w:val="24"/>
              </w:rPr>
              <w:t>目标</w:t>
            </w:r>
            <w:r w:rsidRPr="001B5FF5">
              <w:rPr>
                <w:rFonts w:ascii="宋体" w:eastAsia="宋体" w:hAnsi="宋体" w:cs="Times New Roman" w:hint="eastAsia"/>
                <w:sz w:val="24"/>
              </w:rPr>
              <w:t>1、2、3</w:t>
            </w:r>
          </w:p>
        </w:tc>
        <w:tc>
          <w:tcPr>
            <w:tcW w:w="1276" w:type="dxa"/>
            <w:vAlign w:val="center"/>
          </w:tcPr>
          <w:p w14:paraId="637F05BA"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32</w:t>
            </w:r>
          </w:p>
        </w:tc>
      </w:tr>
      <w:tr w:rsidR="001B5FF5" w:rsidRPr="001B5FF5" w14:paraId="4EE7E035" w14:textId="77777777" w:rsidTr="00BF5EF3">
        <w:trPr>
          <w:jc w:val="center"/>
        </w:trPr>
        <w:tc>
          <w:tcPr>
            <w:tcW w:w="3403" w:type="dxa"/>
            <w:vAlign w:val="center"/>
          </w:tcPr>
          <w:p w14:paraId="250EACB7"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学习内容四 武术3</w:t>
            </w:r>
          </w:p>
          <w:p w14:paraId="3F04ABB1" w14:textId="77777777" w:rsidR="001B5FF5" w:rsidRPr="001B5FF5" w:rsidRDefault="001B5FF5" w:rsidP="001B5FF5">
            <w:pPr>
              <w:spacing w:line="440" w:lineRule="exact"/>
              <w:jc w:val="center"/>
              <w:rPr>
                <w:rFonts w:ascii="宋体" w:eastAsia="宋体" w:hAnsi="宋体" w:cs="Times New Roman"/>
                <w:sz w:val="24"/>
              </w:rPr>
            </w:pPr>
          </w:p>
        </w:tc>
        <w:tc>
          <w:tcPr>
            <w:tcW w:w="2693" w:type="dxa"/>
            <w:vAlign w:val="center"/>
          </w:tcPr>
          <w:p w14:paraId="313B7C85" w14:textId="77777777" w:rsidR="001B5FF5" w:rsidRPr="001B5FF5" w:rsidRDefault="001B5FF5" w:rsidP="001B5FF5">
            <w:pPr>
              <w:spacing w:line="440" w:lineRule="exact"/>
              <w:jc w:val="center"/>
              <w:rPr>
                <w:rFonts w:ascii="宋体" w:eastAsia="宋体" w:hAnsi="宋体" w:cs="Times New Roman"/>
                <w:color w:val="FF0000"/>
                <w:sz w:val="24"/>
              </w:rPr>
            </w:pPr>
            <w:r w:rsidRPr="001B5FF5">
              <w:rPr>
                <w:rFonts w:ascii="宋体" w:eastAsia="宋体" w:hAnsi="宋体" w:cs="Times New Roman" w:hint="eastAsia"/>
                <w:sz w:val="24"/>
              </w:rPr>
              <w:t>利用</w:t>
            </w:r>
            <w:proofErr w:type="gramStart"/>
            <w:r w:rsidRPr="001B5FF5">
              <w:rPr>
                <w:rFonts w:ascii="宋体" w:eastAsia="宋体" w:hAnsi="宋体" w:cs="Times New Roman" w:hint="eastAsia"/>
                <w:sz w:val="24"/>
              </w:rPr>
              <w:t>微信平台</w:t>
            </w:r>
            <w:proofErr w:type="gramEnd"/>
            <w:r w:rsidRPr="001B5FF5">
              <w:rPr>
                <w:rFonts w:ascii="宋体" w:eastAsia="宋体" w:hAnsi="宋体" w:cs="Times New Roman" w:hint="eastAsia"/>
                <w:sz w:val="24"/>
              </w:rPr>
              <w:t>；讲解法、示范法；练习法；小组合作学习</w:t>
            </w:r>
          </w:p>
        </w:tc>
        <w:tc>
          <w:tcPr>
            <w:tcW w:w="1985" w:type="dxa"/>
            <w:vAlign w:val="center"/>
          </w:tcPr>
          <w:p w14:paraId="5224BE47" w14:textId="77777777" w:rsidR="001B5FF5" w:rsidRPr="001B5FF5" w:rsidRDefault="001B5FF5" w:rsidP="001B5FF5">
            <w:pPr>
              <w:spacing w:line="440" w:lineRule="exact"/>
              <w:jc w:val="center"/>
              <w:rPr>
                <w:rFonts w:ascii="宋体" w:eastAsia="宋体" w:hAnsi="宋体" w:cs="Times New Roman"/>
                <w:color w:val="FF0000"/>
                <w:sz w:val="24"/>
              </w:rPr>
            </w:pPr>
            <w:r w:rsidRPr="001B5FF5">
              <w:rPr>
                <w:rFonts w:ascii="宋体" w:eastAsia="宋体" w:hAnsi="宋体" w:cs="Times New Roman" w:hint="eastAsia"/>
                <w:sz w:val="24"/>
              </w:rPr>
              <w:t>课程</w:t>
            </w:r>
            <w:r w:rsidRPr="001B5FF5">
              <w:rPr>
                <w:rFonts w:ascii="宋体" w:eastAsia="宋体" w:hAnsi="宋体" w:cs="Times New Roman"/>
                <w:sz w:val="24"/>
              </w:rPr>
              <w:t>目标</w:t>
            </w:r>
            <w:r w:rsidRPr="001B5FF5">
              <w:rPr>
                <w:rFonts w:ascii="宋体" w:eastAsia="宋体" w:hAnsi="宋体" w:cs="Times New Roman" w:hint="eastAsia"/>
                <w:sz w:val="24"/>
              </w:rPr>
              <w:t>1、2、3</w:t>
            </w:r>
          </w:p>
        </w:tc>
        <w:tc>
          <w:tcPr>
            <w:tcW w:w="1276" w:type="dxa"/>
            <w:vAlign w:val="center"/>
          </w:tcPr>
          <w:p w14:paraId="66A479F7"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32</w:t>
            </w:r>
          </w:p>
        </w:tc>
      </w:tr>
      <w:tr w:rsidR="001B5FF5" w:rsidRPr="001B5FF5" w14:paraId="3BCD6D5B" w14:textId="77777777" w:rsidTr="00BF5EF3">
        <w:trPr>
          <w:jc w:val="center"/>
        </w:trPr>
        <w:tc>
          <w:tcPr>
            <w:tcW w:w="8081" w:type="dxa"/>
            <w:gridSpan w:val="3"/>
            <w:vAlign w:val="center"/>
          </w:tcPr>
          <w:p w14:paraId="3091252D" w14:textId="77777777" w:rsidR="001B5FF5" w:rsidRPr="001B5FF5" w:rsidRDefault="001B5FF5" w:rsidP="001B5FF5">
            <w:pPr>
              <w:spacing w:line="440" w:lineRule="exact"/>
              <w:jc w:val="center"/>
              <w:rPr>
                <w:rFonts w:ascii="宋体" w:eastAsia="宋体" w:hAnsi="宋体" w:cs="Times New Roman"/>
                <w:b/>
                <w:sz w:val="24"/>
              </w:rPr>
            </w:pPr>
            <w:r w:rsidRPr="001B5FF5">
              <w:rPr>
                <w:rFonts w:ascii="宋体" w:eastAsia="宋体" w:hAnsi="宋体" w:cs="Times New Roman" w:hint="eastAsia"/>
                <w:b/>
                <w:sz w:val="24"/>
              </w:rPr>
              <w:t>合计</w:t>
            </w:r>
          </w:p>
        </w:tc>
        <w:tc>
          <w:tcPr>
            <w:tcW w:w="1276" w:type="dxa"/>
            <w:vAlign w:val="center"/>
          </w:tcPr>
          <w:p w14:paraId="4B4BF39B" w14:textId="77777777" w:rsidR="001B5FF5" w:rsidRPr="001B5FF5" w:rsidRDefault="001B5FF5" w:rsidP="001B5FF5">
            <w:pPr>
              <w:spacing w:line="440" w:lineRule="exact"/>
              <w:jc w:val="center"/>
              <w:rPr>
                <w:rFonts w:ascii="宋体" w:eastAsia="宋体" w:hAnsi="宋体" w:cs="Times New Roman"/>
                <w:sz w:val="24"/>
              </w:rPr>
            </w:pPr>
            <w:r w:rsidRPr="001B5FF5">
              <w:rPr>
                <w:rFonts w:ascii="宋体" w:eastAsia="宋体" w:hAnsi="宋体" w:cs="Times New Roman" w:hint="eastAsia"/>
                <w:sz w:val="24"/>
              </w:rPr>
              <w:t>128</w:t>
            </w:r>
          </w:p>
        </w:tc>
      </w:tr>
    </w:tbl>
    <w:p w14:paraId="52E9130D" w14:textId="77777777" w:rsidR="001B5FF5" w:rsidRPr="001B5FF5" w:rsidRDefault="001B5FF5" w:rsidP="001B5FF5">
      <w:pPr>
        <w:spacing w:beforeLines="50" w:before="156" w:afterLines="50" w:after="156" w:line="440" w:lineRule="exact"/>
        <w:ind w:firstLineChars="200" w:firstLine="560"/>
        <w:rPr>
          <w:rFonts w:ascii="宋体" w:eastAsia="宋体" w:hAnsi="宋体" w:cs="Times New Roman"/>
          <w:sz w:val="24"/>
        </w:rPr>
      </w:pPr>
      <w:r w:rsidRPr="001B5FF5">
        <w:rPr>
          <w:rFonts w:ascii="黑体" w:eastAsia="黑体" w:hAnsi="黑体" w:cs="Times New Roman" w:hint="eastAsia"/>
          <w:sz w:val="28"/>
          <w:szCs w:val="28"/>
        </w:rPr>
        <w:t>四、课程考核及与课程学习目标的对应关系</w:t>
      </w:r>
    </w:p>
    <w:p w14:paraId="528CAF24" w14:textId="77777777" w:rsidR="001B5FF5" w:rsidRPr="001B5FF5" w:rsidRDefault="001B5FF5" w:rsidP="001B5FF5">
      <w:pPr>
        <w:spacing w:beforeLines="50" w:before="156" w:afterLines="50" w:after="156" w:line="440" w:lineRule="exact"/>
        <w:ind w:firstLineChars="200" w:firstLine="560"/>
        <w:rPr>
          <w:rFonts w:ascii="黑体" w:eastAsia="黑体" w:hAnsi="黑体" w:cs="Times New Roman"/>
          <w:sz w:val="28"/>
          <w:szCs w:val="28"/>
        </w:rPr>
      </w:pPr>
      <w:r w:rsidRPr="001B5FF5">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1B5FF5" w:rsidRPr="001B5FF5" w14:paraId="5465F43B" w14:textId="77777777" w:rsidTr="00BF5EF3">
        <w:trPr>
          <w:trHeight w:val="515"/>
          <w:jc w:val="center"/>
        </w:trPr>
        <w:tc>
          <w:tcPr>
            <w:tcW w:w="1422" w:type="dxa"/>
          </w:tcPr>
          <w:p w14:paraId="7A27D49D" w14:textId="77777777" w:rsidR="001B5FF5" w:rsidRPr="001B5FF5" w:rsidRDefault="001B5FF5" w:rsidP="001B5FF5">
            <w:pPr>
              <w:spacing w:line="440" w:lineRule="exact"/>
              <w:jc w:val="center"/>
              <w:rPr>
                <w:rFonts w:ascii="宋体" w:eastAsia="宋体" w:hAnsi="宋体" w:cs="Times New Roman"/>
                <w:b/>
                <w:sz w:val="24"/>
              </w:rPr>
            </w:pPr>
            <w:r w:rsidRPr="001B5FF5">
              <w:rPr>
                <w:rFonts w:ascii="宋体" w:eastAsia="宋体" w:hAnsi="宋体" w:cs="Times New Roman" w:hint="eastAsia"/>
                <w:b/>
                <w:sz w:val="24"/>
              </w:rPr>
              <w:t>课程目标</w:t>
            </w:r>
          </w:p>
        </w:tc>
        <w:tc>
          <w:tcPr>
            <w:tcW w:w="5376" w:type="dxa"/>
            <w:vAlign w:val="center"/>
          </w:tcPr>
          <w:p w14:paraId="65147163" w14:textId="77777777" w:rsidR="001B5FF5" w:rsidRPr="001B5FF5" w:rsidRDefault="001B5FF5" w:rsidP="001B5FF5">
            <w:pPr>
              <w:spacing w:line="440" w:lineRule="exact"/>
              <w:jc w:val="center"/>
              <w:rPr>
                <w:rFonts w:ascii="宋体" w:eastAsia="宋体" w:hAnsi="宋体" w:cs="Times New Roman"/>
                <w:b/>
                <w:sz w:val="24"/>
              </w:rPr>
            </w:pPr>
            <w:r w:rsidRPr="001B5FF5">
              <w:rPr>
                <w:rFonts w:ascii="宋体" w:eastAsia="宋体" w:hAnsi="宋体" w:cs="Times New Roman" w:hint="eastAsia"/>
                <w:b/>
                <w:sz w:val="24"/>
              </w:rPr>
              <w:t>考核内容</w:t>
            </w:r>
          </w:p>
        </w:tc>
        <w:tc>
          <w:tcPr>
            <w:tcW w:w="2542" w:type="dxa"/>
            <w:vAlign w:val="center"/>
          </w:tcPr>
          <w:p w14:paraId="5C4EC199" w14:textId="77777777" w:rsidR="001B5FF5" w:rsidRPr="001B5FF5" w:rsidRDefault="001B5FF5" w:rsidP="001B5FF5">
            <w:pPr>
              <w:spacing w:line="440" w:lineRule="exact"/>
              <w:jc w:val="center"/>
              <w:rPr>
                <w:rFonts w:ascii="宋体" w:eastAsia="宋体" w:hAnsi="宋体" w:cs="Times New Roman"/>
                <w:b/>
                <w:sz w:val="24"/>
              </w:rPr>
            </w:pPr>
            <w:r w:rsidRPr="001B5FF5">
              <w:rPr>
                <w:rFonts w:ascii="宋体" w:eastAsia="宋体" w:hAnsi="宋体" w:cs="Times New Roman" w:hint="eastAsia"/>
                <w:b/>
                <w:sz w:val="24"/>
              </w:rPr>
              <w:t>考核方式</w:t>
            </w:r>
          </w:p>
        </w:tc>
      </w:tr>
      <w:tr w:rsidR="001B5FF5" w:rsidRPr="001B5FF5" w14:paraId="2D20E240" w14:textId="77777777" w:rsidTr="00BF5EF3">
        <w:trPr>
          <w:jc w:val="center"/>
        </w:trPr>
        <w:tc>
          <w:tcPr>
            <w:tcW w:w="1422" w:type="dxa"/>
            <w:vAlign w:val="center"/>
          </w:tcPr>
          <w:p w14:paraId="6657599E" w14:textId="77777777" w:rsidR="001B5FF5" w:rsidRPr="001B5FF5" w:rsidRDefault="001B5FF5" w:rsidP="001B5FF5">
            <w:pPr>
              <w:spacing w:line="440" w:lineRule="exact"/>
              <w:jc w:val="center"/>
              <w:rPr>
                <w:rFonts w:ascii="宋体" w:eastAsia="宋体" w:hAnsi="宋体" w:cs="Times New Roman"/>
                <w:bCs/>
                <w:sz w:val="24"/>
              </w:rPr>
            </w:pPr>
            <w:r w:rsidRPr="001B5FF5">
              <w:rPr>
                <w:rFonts w:ascii="宋体" w:eastAsia="宋体" w:hAnsi="宋体" w:cs="Times New Roman" w:hint="eastAsia"/>
                <w:bCs/>
                <w:sz w:val="24"/>
              </w:rPr>
              <w:t>课程目标1、2、3</w:t>
            </w:r>
          </w:p>
        </w:tc>
        <w:tc>
          <w:tcPr>
            <w:tcW w:w="5376" w:type="dxa"/>
            <w:vAlign w:val="center"/>
          </w:tcPr>
          <w:p w14:paraId="4015E89A"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大学生体质健康标准测试</w:t>
            </w:r>
          </w:p>
        </w:tc>
        <w:tc>
          <w:tcPr>
            <w:tcW w:w="2542" w:type="dxa"/>
            <w:vAlign w:val="center"/>
          </w:tcPr>
          <w:p w14:paraId="23892C7F" w14:textId="77777777" w:rsidR="001B5FF5" w:rsidRPr="001B5FF5" w:rsidRDefault="001B5FF5" w:rsidP="001B5FF5">
            <w:pPr>
              <w:widowControl/>
              <w:jc w:val="left"/>
              <w:rPr>
                <w:rFonts w:ascii="宋体" w:eastAsia="宋体" w:hAnsi="宋体" w:cs="Times New Roman"/>
                <w:bCs/>
                <w:sz w:val="24"/>
              </w:rPr>
            </w:pPr>
          </w:p>
          <w:p w14:paraId="607CC1BA"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随堂技术考核</w:t>
            </w:r>
          </w:p>
        </w:tc>
      </w:tr>
      <w:tr w:rsidR="001B5FF5" w:rsidRPr="001B5FF5" w14:paraId="55B2DB6E" w14:textId="77777777" w:rsidTr="00BF5EF3">
        <w:trPr>
          <w:jc w:val="center"/>
        </w:trPr>
        <w:tc>
          <w:tcPr>
            <w:tcW w:w="1422" w:type="dxa"/>
            <w:vAlign w:val="center"/>
          </w:tcPr>
          <w:p w14:paraId="61947762" w14:textId="77777777" w:rsidR="001B5FF5" w:rsidRPr="001B5FF5" w:rsidRDefault="001B5FF5" w:rsidP="001B5FF5">
            <w:pPr>
              <w:spacing w:line="440" w:lineRule="exact"/>
              <w:jc w:val="center"/>
              <w:rPr>
                <w:rFonts w:ascii="宋体" w:eastAsia="宋体" w:hAnsi="宋体" w:cs="Times New Roman"/>
                <w:bCs/>
                <w:sz w:val="24"/>
              </w:rPr>
            </w:pPr>
            <w:r w:rsidRPr="001B5FF5">
              <w:rPr>
                <w:rFonts w:ascii="宋体" w:eastAsia="宋体" w:hAnsi="宋体" w:cs="Times New Roman" w:hint="eastAsia"/>
                <w:bCs/>
                <w:sz w:val="24"/>
              </w:rPr>
              <w:t>课程目标3</w:t>
            </w:r>
          </w:p>
        </w:tc>
        <w:tc>
          <w:tcPr>
            <w:tcW w:w="5376" w:type="dxa"/>
            <w:vAlign w:val="center"/>
          </w:tcPr>
          <w:p w14:paraId="17B4C50B"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立定跳远</w:t>
            </w:r>
          </w:p>
        </w:tc>
        <w:tc>
          <w:tcPr>
            <w:tcW w:w="2542" w:type="dxa"/>
            <w:vAlign w:val="center"/>
          </w:tcPr>
          <w:p w14:paraId="0CF7F3B1" w14:textId="77777777" w:rsidR="001B5FF5" w:rsidRPr="001B5FF5" w:rsidRDefault="001B5FF5" w:rsidP="001B5FF5">
            <w:pPr>
              <w:widowControl/>
              <w:jc w:val="left"/>
              <w:rPr>
                <w:rFonts w:ascii="宋体" w:eastAsia="宋体" w:hAnsi="宋体" w:cs="Times New Roman"/>
                <w:bCs/>
                <w:sz w:val="24"/>
              </w:rPr>
            </w:pPr>
          </w:p>
          <w:p w14:paraId="1F4C85B9"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随堂技术考核</w:t>
            </w:r>
          </w:p>
        </w:tc>
      </w:tr>
      <w:tr w:rsidR="001B5FF5" w:rsidRPr="001B5FF5" w14:paraId="19A9D5E0" w14:textId="77777777" w:rsidTr="00BF5EF3">
        <w:trPr>
          <w:jc w:val="center"/>
        </w:trPr>
        <w:tc>
          <w:tcPr>
            <w:tcW w:w="1422" w:type="dxa"/>
            <w:vAlign w:val="center"/>
          </w:tcPr>
          <w:p w14:paraId="4998E0E7" w14:textId="77777777" w:rsidR="001B5FF5" w:rsidRPr="001B5FF5" w:rsidRDefault="001B5FF5" w:rsidP="001B5FF5">
            <w:pPr>
              <w:spacing w:line="440" w:lineRule="exact"/>
              <w:jc w:val="center"/>
              <w:rPr>
                <w:rFonts w:ascii="宋体" w:eastAsia="宋体" w:hAnsi="宋体" w:cs="Times New Roman"/>
                <w:bCs/>
                <w:sz w:val="24"/>
              </w:rPr>
            </w:pPr>
            <w:r w:rsidRPr="001B5FF5">
              <w:rPr>
                <w:rFonts w:ascii="宋体" w:eastAsia="宋体" w:hAnsi="宋体" w:cs="Times New Roman" w:hint="eastAsia"/>
                <w:bCs/>
                <w:sz w:val="24"/>
              </w:rPr>
              <w:t>课程目标3</w:t>
            </w:r>
          </w:p>
        </w:tc>
        <w:tc>
          <w:tcPr>
            <w:tcW w:w="5376" w:type="dxa"/>
            <w:vAlign w:val="center"/>
          </w:tcPr>
          <w:p w14:paraId="08F8E4E0"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Calibri" w:cs="Times New Roman" w:hint="eastAsia"/>
                <w:bCs/>
                <w:kern w:val="0"/>
                <w:sz w:val="24"/>
              </w:rPr>
              <w:t>武术段位制长拳一段</w:t>
            </w:r>
          </w:p>
        </w:tc>
        <w:tc>
          <w:tcPr>
            <w:tcW w:w="2542" w:type="dxa"/>
            <w:vAlign w:val="center"/>
          </w:tcPr>
          <w:p w14:paraId="4F710884" w14:textId="77777777" w:rsidR="001B5FF5" w:rsidRPr="001B5FF5" w:rsidRDefault="001B5FF5" w:rsidP="001B5FF5">
            <w:pPr>
              <w:widowControl/>
              <w:jc w:val="left"/>
              <w:rPr>
                <w:rFonts w:ascii="宋体" w:eastAsia="宋体" w:hAnsi="宋体" w:cs="Times New Roman"/>
                <w:bCs/>
                <w:sz w:val="24"/>
              </w:rPr>
            </w:pPr>
          </w:p>
          <w:p w14:paraId="3E609110"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随堂技术考核</w:t>
            </w:r>
          </w:p>
        </w:tc>
      </w:tr>
      <w:tr w:rsidR="001B5FF5" w:rsidRPr="001B5FF5" w14:paraId="30893C0E" w14:textId="77777777" w:rsidTr="00BF5EF3">
        <w:trPr>
          <w:jc w:val="center"/>
        </w:trPr>
        <w:tc>
          <w:tcPr>
            <w:tcW w:w="1422" w:type="dxa"/>
            <w:vAlign w:val="center"/>
          </w:tcPr>
          <w:p w14:paraId="237EBBA8" w14:textId="77777777" w:rsidR="001B5FF5" w:rsidRPr="001B5FF5" w:rsidRDefault="001B5FF5" w:rsidP="001B5FF5">
            <w:pPr>
              <w:spacing w:line="440" w:lineRule="exact"/>
              <w:jc w:val="center"/>
              <w:rPr>
                <w:rFonts w:ascii="宋体" w:eastAsia="宋体" w:hAnsi="宋体" w:cs="Times New Roman"/>
                <w:bCs/>
                <w:sz w:val="24"/>
              </w:rPr>
            </w:pPr>
            <w:r w:rsidRPr="001B5FF5">
              <w:rPr>
                <w:rFonts w:ascii="宋体" w:eastAsia="宋体" w:hAnsi="宋体" w:cs="Times New Roman" w:hint="eastAsia"/>
                <w:bCs/>
                <w:sz w:val="24"/>
              </w:rPr>
              <w:t>课程目标3</w:t>
            </w:r>
          </w:p>
        </w:tc>
        <w:tc>
          <w:tcPr>
            <w:tcW w:w="5376" w:type="dxa"/>
            <w:vAlign w:val="center"/>
          </w:tcPr>
          <w:p w14:paraId="4FF1E83C"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Calibri" w:cs="Times New Roman" w:hint="eastAsia"/>
                <w:bCs/>
                <w:kern w:val="0"/>
                <w:sz w:val="24"/>
              </w:rPr>
              <w:t>武术段位制长拳一段</w:t>
            </w:r>
          </w:p>
        </w:tc>
        <w:tc>
          <w:tcPr>
            <w:tcW w:w="2542" w:type="dxa"/>
            <w:vAlign w:val="center"/>
          </w:tcPr>
          <w:p w14:paraId="0E671539" w14:textId="77777777" w:rsidR="001B5FF5" w:rsidRPr="001B5FF5" w:rsidRDefault="001B5FF5" w:rsidP="001B5FF5">
            <w:pPr>
              <w:widowControl/>
              <w:jc w:val="left"/>
              <w:rPr>
                <w:rFonts w:ascii="宋体" w:eastAsia="宋体" w:hAnsi="宋体" w:cs="Times New Roman"/>
                <w:bCs/>
                <w:sz w:val="24"/>
              </w:rPr>
            </w:pPr>
            <w:r w:rsidRPr="001B5FF5">
              <w:rPr>
                <w:rFonts w:ascii="宋体" w:eastAsia="宋体" w:hAnsi="宋体" w:cs="Times New Roman" w:hint="eastAsia"/>
                <w:bCs/>
                <w:sz w:val="24"/>
              </w:rPr>
              <w:t>随堂技术考核</w:t>
            </w:r>
          </w:p>
          <w:p w14:paraId="23A5F3DD" w14:textId="77777777" w:rsidR="001B5FF5" w:rsidRPr="001B5FF5" w:rsidRDefault="001B5FF5" w:rsidP="001B5FF5">
            <w:pPr>
              <w:spacing w:line="440" w:lineRule="exact"/>
              <w:rPr>
                <w:rFonts w:ascii="宋体" w:eastAsia="宋体" w:hAnsi="宋体" w:cs="Times New Roman"/>
                <w:bCs/>
                <w:sz w:val="24"/>
              </w:rPr>
            </w:pPr>
          </w:p>
        </w:tc>
      </w:tr>
    </w:tbl>
    <w:p w14:paraId="1BD1A59A" w14:textId="77777777" w:rsidR="001B5FF5" w:rsidRPr="001B5FF5" w:rsidRDefault="001B5FF5" w:rsidP="001B5FF5">
      <w:pPr>
        <w:spacing w:beforeLines="50" w:before="156" w:afterLines="50" w:after="156" w:line="440" w:lineRule="exact"/>
        <w:ind w:firstLineChars="200" w:firstLine="560"/>
        <w:rPr>
          <w:rFonts w:ascii="黑体" w:eastAsia="黑体" w:hAnsi="黑体" w:cs="Times New Roman"/>
          <w:sz w:val="28"/>
          <w:szCs w:val="28"/>
        </w:rPr>
      </w:pPr>
      <w:r w:rsidRPr="001B5FF5">
        <w:rPr>
          <w:rFonts w:ascii="黑体" w:eastAsia="黑体" w:hAnsi="黑体" w:cs="Times New Roman" w:hint="eastAsia"/>
          <w:sz w:val="28"/>
          <w:szCs w:val="28"/>
        </w:rPr>
        <w:t>（二）课程目标达成评价方式及考核比例</w:t>
      </w:r>
    </w:p>
    <w:p w14:paraId="54CAC77B"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排球课程</w:t>
      </w:r>
      <w:proofErr w:type="gramStart"/>
      <w:r w:rsidRPr="001B5FF5">
        <w:rPr>
          <w:rFonts w:ascii="宋体" w:eastAsia="宋体" w:hAnsi="宋体" w:cs="Times New Roman" w:hint="eastAsia"/>
          <w:sz w:val="24"/>
        </w:rPr>
        <w:t>1、2、3、4每</w:t>
      </w:r>
      <w:proofErr w:type="gramEnd"/>
      <w:r w:rsidRPr="001B5FF5">
        <w:rPr>
          <w:rFonts w:ascii="宋体" w:eastAsia="宋体" w:hAnsi="宋体" w:cs="Times New Roman" w:hint="eastAsia"/>
          <w:sz w:val="24"/>
        </w:rPr>
        <w:t>学期考核方式及成绩比例为：课堂表现20%</w:t>
      </w:r>
      <w:r w:rsidRPr="001B5FF5">
        <w:rPr>
          <w:rFonts w:ascii="宋体" w:eastAsia="宋体" w:hAnsi="宋体" w:cs="Times New Roman"/>
          <w:sz w:val="24"/>
        </w:rPr>
        <w:t>+</w:t>
      </w:r>
      <w:r w:rsidRPr="001B5FF5">
        <w:rPr>
          <w:rFonts w:ascii="宋体" w:eastAsia="宋体" w:hAnsi="宋体" w:cs="Times New Roman" w:hint="eastAsia"/>
          <w:sz w:val="24"/>
        </w:rPr>
        <w:t>期中考核30%</w:t>
      </w:r>
      <w:r w:rsidRPr="001B5FF5">
        <w:rPr>
          <w:rFonts w:ascii="宋体" w:eastAsia="宋体" w:hAnsi="宋体" w:cs="Times New Roman"/>
          <w:sz w:val="24"/>
        </w:rPr>
        <w:t>+</w:t>
      </w:r>
      <w:r w:rsidRPr="001B5FF5">
        <w:rPr>
          <w:rFonts w:ascii="宋体" w:eastAsia="宋体" w:hAnsi="宋体" w:cs="Times New Roman" w:hint="eastAsia"/>
          <w:sz w:val="24"/>
        </w:rPr>
        <w:t>课期</w:t>
      </w:r>
      <w:proofErr w:type="gramStart"/>
      <w:r w:rsidRPr="001B5FF5">
        <w:rPr>
          <w:rFonts w:ascii="宋体" w:eastAsia="宋体" w:hAnsi="宋体" w:cs="Times New Roman" w:hint="eastAsia"/>
          <w:sz w:val="24"/>
        </w:rPr>
        <w:t>末考试</w:t>
      </w:r>
      <w:proofErr w:type="gramEnd"/>
      <w:r w:rsidRPr="001B5FF5">
        <w:rPr>
          <w:rFonts w:ascii="宋体" w:eastAsia="宋体" w:hAnsi="宋体" w:cs="Times New Roman" w:hint="eastAsia"/>
          <w:sz w:val="24"/>
        </w:rPr>
        <w:t>5</w:t>
      </w:r>
      <w:r w:rsidRPr="001B5FF5">
        <w:rPr>
          <w:rFonts w:ascii="宋体" w:eastAsia="宋体" w:hAnsi="宋体" w:cs="Times New Roman"/>
          <w:sz w:val="24"/>
        </w:rPr>
        <w:t>0</w:t>
      </w:r>
      <w:r w:rsidRPr="001B5FF5">
        <w:rPr>
          <w:rFonts w:ascii="宋体" w:eastAsia="宋体" w:hAnsi="宋体" w:cs="Times New Roman" w:hint="eastAsia"/>
          <w:sz w:val="24"/>
        </w:rPr>
        <w:t>%；本课程共有三个课程目标，考核方式及成绩比例分别为：</w:t>
      </w:r>
    </w:p>
    <w:p w14:paraId="02539EEA"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课程目标1：课堂表现5%</w:t>
      </w:r>
      <w:r w:rsidRPr="001B5FF5">
        <w:rPr>
          <w:rFonts w:ascii="宋体" w:eastAsia="宋体" w:hAnsi="宋体" w:cs="Times New Roman"/>
          <w:sz w:val="24"/>
        </w:rPr>
        <w:t>+</w:t>
      </w:r>
      <w:r w:rsidRPr="001B5FF5">
        <w:rPr>
          <w:rFonts w:ascii="宋体" w:eastAsia="宋体" w:hAnsi="宋体" w:cs="Times New Roman" w:hint="eastAsia"/>
          <w:sz w:val="24"/>
        </w:rPr>
        <w:t>阶段测试10%</w:t>
      </w:r>
      <w:r w:rsidRPr="001B5FF5">
        <w:rPr>
          <w:rFonts w:ascii="宋体" w:eastAsia="宋体" w:hAnsi="宋体" w:cs="Times New Roman"/>
          <w:sz w:val="24"/>
        </w:rPr>
        <w:t>+</w:t>
      </w:r>
      <w:r w:rsidRPr="001B5FF5">
        <w:rPr>
          <w:rFonts w:ascii="宋体" w:eastAsia="宋体" w:hAnsi="宋体" w:cs="Times New Roman" w:hint="eastAsia"/>
          <w:sz w:val="24"/>
        </w:rPr>
        <w:t>期末考试20%</w:t>
      </w:r>
    </w:p>
    <w:p w14:paraId="5D0439B1"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lastRenderedPageBreak/>
        <w:t>课程目标2：课堂表现10%</w:t>
      </w:r>
      <w:r w:rsidRPr="001B5FF5">
        <w:rPr>
          <w:rFonts w:ascii="宋体" w:eastAsia="宋体" w:hAnsi="宋体" w:cs="Times New Roman"/>
          <w:sz w:val="24"/>
        </w:rPr>
        <w:t>+</w:t>
      </w:r>
      <w:r w:rsidRPr="001B5FF5">
        <w:rPr>
          <w:rFonts w:ascii="宋体" w:eastAsia="宋体" w:hAnsi="宋体" w:cs="Times New Roman" w:hint="eastAsia"/>
          <w:sz w:val="24"/>
        </w:rPr>
        <w:t>阶段测试10%</w:t>
      </w:r>
      <w:r w:rsidRPr="001B5FF5">
        <w:rPr>
          <w:rFonts w:ascii="宋体" w:eastAsia="宋体" w:hAnsi="宋体" w:cs="Times New Roman"/>
          <w:sz w:val="24"/>
        </w:rPr>
        <w:t>+</w:t>
      </w:r>
      <w:r w:rsidRPr="001B5FF5">
        <w:rPr>
          <w:rFonts w:ascii="宋体" w:eastAsia="宋体" w:hAnsi="宋体" w:cs="Times New Roman" w:hint="eastAsia"/>
          <w:sz w:val="24"/>
        </w:rPr>
        <w:t>期末考试20%</w:t>
      </w:r>
    </w:p>
    <w:p w14:paraId="06262E79"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课程目标3：课堂表现5%</w:t>
      </w:r>
      <w:r w:rsidRPr="001B5FF5">
        <w:rPr>
          <w:rFonts w:ascii="宋体" w:eastAsia="宋体" w:hAnsi="宋体" w:cs="Times New Roman"/>
          <w:sz w:val="24"/>
        </w:rPr>
        <w:t>+</w:t>
      </w:r>
      <w:r w:rsidRPr="001B5FF5">
        <w:rPr>
          <w:rFonts w:ascii="宋体" w:eastAsia="宋体" w:hAnsi="宋体" w:cs="Times New Roman" w:hint="eastAsia"/>
          <w:sz w:val="24"/>
        </w:rPr>
        <w:t>阶段测试10%</w:t>
      </w:r>
      <w:r w:rsidRPr="001B5FF5">
        <w:rPr>
          <w:rFonts w:ascii="宋体" w:eastAsia="宋体" w:hAnsi="宋体" w:cs="Times New Roman"/>
          <w:sz w:val="24"/>
        </w:rPr>
        <w:t>+</w:t>
      </w:r>
      <w:r w:rsidRPr="001B5FF5">
        <w:rPr>
          <w:rFonts w:ascii="宋体" w:eastAsia="宋体" w:hAnsi="宋体" w:cs="Times New Roman" w:hint="eastAsia"/>
          <w:sz w:val="24"/>
        </w:rPr>
        <w:t>期末考试10%</w:t>
      </w:r>
    </w:p>
    <w:p w14:paraId="01D1830C"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B5FF5" w:rsidRPr="001B5FF5" w14:paraId="15F50C5E" w14:textId="77777777" w:rsidTr="00BF5EF3">
        <w:trPr>
          <w:trHeight w:val="540"/>
          <w:jc w:val="center"/>
        </w:trPr>
        <w:tc>
          <w:tcPr>
            <w:tcW w:w="1422" w:type="dxa"/>
            <w:vMerge w:val="restart"/>
            <w:vAlign w:val="center"/>
          </w:tcPr>
          <w:p w14:paraId="5D9D017B" w14:textId="77777777" w:rsidR="001B5FF5" w:rsidRPr="001B5FF5" w:rsidRDefault="001B5FF5" w:rsidP="001B5FF5">
            <w:pPr>
              <w:spacing w:line="440" w:lineRule="exact"/>
              <w:rPr>
                <w:rFonts w:ascii="宋体" w:eastAsia="宋体" w:hAnsi="宋体" w:cs="Times New Roman"/>
                <w:b/>
                <w:sz w:val="24"/>
              </w:rPr>
            </w:pPr>
            <w:r w:rsidRPr="001B5FF5">
              <w:rPr>
                <w:rFonts w:ascii="宋体" w:eastAsia="宋体" w:hAnsi="宋体" w:cs="Times New Roman" w:hint="eastAsia"/>
                <w:b/>
                <w:sz w:val="24"/>
              </w:rPr>
              <w:t>课程目标</w:t>
            </w:r>
          </w:p>
        </w:tc>
        <w:tc>
          <w:tcPr>
            <w:tcW w:w="6271" w:type="dxa"/>
            <w:gridSpan w:val="4"/>
            <w:vAlign w:val="center"/>
          </w:tcPr>
          <w:p w14:paraId="6B4EA646" w14:textId="77777777" w:rsidR="001B5FF5" w:rsidRPr="001B5FF5" w:rsidRDefault="001B5FF5" w:rsidP="001B5FF5">
            <w:pPr>
              <w:spacing w:line="440" w:lineRule="exact"/>
              <w:rPr>
                <w:rFonts w:ascii="宋体" w:eastAsia="宋体" w:hAnsi="宋体" w:cs="Times New Roman"/>
                <w:b/>
                <w:sz w:val="24"/>
              </w:rPr>
            </w:pPr>
            <w:r w:rsidRPr="001B5FF5">
              <w:rPr>
                <w:rFonts w:ascii="宋体" w:eastAsia="宋体" w:hAnsi="宋体" w:cs="Times New Roman" w:hint="eastAsia"/>
                <w:b/>
                <w:sz w:val="24"/>
              </w:rPr>
              <w:t>考核方式及成绩比例（%）</w:t>
            </w:r>
          </w:p>
        </w:tc>
        <w:tc>
          <w:tcPr>
            <w:tcW w:w="1559" w:type="dxa"/>
            <w:vMerge w:val="restart"/>
            <w:vAlign w:val="center"/>
          </w:tcPr>
          <w:p w14:paraId="434DAD10" w14:textId="77777777" w:rsidR="001B5FF5" w:rsidRPr="001B5FF5" w:rsidRDefault="001B5FF5" w:rsidP="001B5FF5">
            <w:pPr>
              <w:spacing w:line="440" w:lineRule="exact"/>
              <w:rPr>
                <w:rFonts w:ascii="宋体" w:eastAsia="宋体" w:hAnsi="宋体" w:cs="Times New Roman"/>
                <w:b/>
                <w:sz w:val="24"/>
              </w:rPr>
            </w:pPr>
            <w:r w:rsidRPr="001B5FF5">
              <w:rPr>
                <w:rFonts w:ascii="宋体" w:eastAsia="宋体" w:hAnsi="宋体" w:cs="Times New Roman" w:hint="eastAsia"/>
                <w:b/>
                <w:sz w:val="24"/>
              </w:rPr>
              <w:t>合计</w:t>
            </w:r>
          </w:p>
        </w:tc>
      </w:tr>
      <w:tr w:rsidR="001B5FF5" w:rsidRPr="001B5FF5" w14:paraId="4CBFABF5" w14:textId="77777777" w:rsidTr="00BF5EF3">
        <w:trPr>
          <w:trHeight w:val="578"/>
          <w:jc w:val="center"/>
        </w:trPr>
        <w:tc>
          <w:tcPr>
            <w:tcW w:w="1422" w:type="dxa"/>
            <w:vMerge/>
            <w:vAlign w:val="center"/>
          </w:tcPr>
          <w:p w14:paraId="74E8258C" w14:textId="77777777" w:rsidR="001B5FF5" w:rsidRPr="001B5FF5" w:rsidRDefault="001B5FF5" w:rsidP="001B5FF5">
            <w:pPr>
              <w:spacing w:line="440" w:lineRule="exact"/>
              <w:rPr>
                <w:rFonts w:ascii="宋体" w:eastAsia="宋体" w:hAnsi="宋体" w:cs="Times New Roman"/>
                <w:b/>
                <w:sz w:val="24"/>
              </w:rPr>
            </w:pPr>
          </w:p>
        </w:tc>
        <w:tc>
          <w:tcPr>
            <w:tcW w:w="1452" w:type="dxa"/>
            <w:vAlign w:val="center"/>
          </w:tcPr>
          <w:p w14:paraId="08F55CEE" w14:textId="77777777" w:rsidR="001B5FF5" w:rsidRPr="001B5FF5" w:rsidRDefault="001B5FF5" w:rsidP="001B5FF5">
            <w:pPr>
              <w:spacing w:line="440" w:lineRule="exact"/>
              <w:rPr>
                <w:rFonts w:ascii="宋体" w:eastAsia="宋体" w:hAnsi="宋体" w:cs="Times New Roman"/>
                <w:b/>
                <w:sz w:val="24"/>
              </w:rPr>
            </w:pPr>
            <w:r w:rsidRPr="001B5FF5">
              <w:rPr>
                <w:rFonts w:ascii="宋体" w:eastAsia="宋体" w:hAnsi="宋体" w:cs="Times New Roman" w:hint="eastAsia"/>
                <w:b/>
                <w:sz w:val="24"/>
              </w:rPr>
              <w:t>课堂表现</w:t>
            </w:r>
          </w:p>
        </w:tc>
        <w:tc>
          <w:tcPr>
            <w:tcW w:w="1559" w:type="dxa"/>
            <w:vAlign w:val="center"/>
          </w:tcPr>
          <w:p w14:paraId="47FACDAF" w14:textId="77777777" w:rsidR="001B5FF5" w:rsidRPr="001B5FF5" w:rsidRDefault="001B5FF5" w:rsidP="001B5FF5">
            <w:pPr>
              <w:spacing w:line="440" w:lineRule="exact"/>
              <w:rPr>
                <w:rFonts w:ascii="宋体" w:eastAsia="宋体" w:hAnsi="宋体" w:cs="Times New Roman"/>
                <w:b/>
                <w:sz w:val="24"/>
              </w:rPr>
            </w:pPr>
            <w:r w:rsidRPr="001B5FF5">
              <w:rPr>
                <w:rFonts w:ascii="宋体" w:eastAsia="宋体" w:hAnsi="宋体" w:cs="Times New Roman" w:hint="eastAsia"/>
                <w:b/>
                <w:sz w:val="24"/>
              </w:rPr>
              <w:t>阶段测试</w:t>
            </w:r>
          </w:p>
        </w:tc>
        <w:tc>
          <w:tcPr>
            <w:tcW w:w="1701" w:type="dxa"/>
            <w:vAlign w:val="center"/>
          </w:tcPr>
          <w:p w14:paraId="7BB18764" w14:textId="77777777" w:rsidR="001B5FF5" w:rsidRPr="001B5FF5" w:rsidRDefault="001B5FF5" w:rsidP="001B5FF5">
            <w:pPr>
              <w:spacing w:line="440" w:lineRule="exact"/>
              <w:rPr>
                <w:rFonts w:ascii="宋体" w:eastAsia="宋体" w:hAnsi="宋体" w:cs="Times New Roman"/>
                <w:b/>
                <w:sz w:val="24"/>
              </w:rPr>
            </w:pPr>
            <w:r w:rsidRPr="001B5FF5">
              <w:rPr>
                <w:rFonts w:ascii="宋体" w:eastAsia="宋体" w:hAnsi="宋体" w:cs="Times New Roman" w:hint="eastAsia"/>
                <w:b/>
                <w:sz w:val="24"/>
              </w:rPr>
              <w:t>课程论文</w:t>
            </w:r>
          </w:p>
        </w:tc>
        <w:tc>
          <w:tcPr>
            <w:tcW w:w="1559" w:type="dxa"/>
            <w:vAlign w:val="center"/>
          </w:tcPr>
          <w:p w14:paraId="64A3F8D8" w14:textId="77777777" w:rsidR="001B5FF5" w:rsidRPr="001B5FF5" w:rsidRDefault="001B5FF5" w:rsidP="001B5FF5">
            <w:pPr>
              <w:spacing w:line="440" w:lineRule="exact"/>
              <w:rPr>
                <w:rFonts w:ascii="宋体" w:eastAsia="宋体" w:hAnsi="宋体" w:cs="Times New Roman"/>
                <w:b/>
                <w:sz w:val="24"/>
              </w:rPr>
            </w:pPr>
            <w:r w:rsidRPr="001B5FF5">
              <w:rPr>
                <w:rFonts w:ascii="宋体" w:eastAsia="宋体" w:hAnsi="宋体" w:cs="Times New Roman" w:hint="eastAsia"/>
                <w:b/>
                <w:sz w:val="24"/>
              </w:rPr>
              <w:t>期末考试</w:t>
            </w:r>
          </w:p>
        </w:tc>
        <w:tc>
          <w:tcPr>
            <w:tcW w:w="1559" w:type="dxa"/>
            <w:vMerge/>
          </w:tcPr>
          <w:p w14:paraId="018E5781" w14:textId="77777777" w:rsidR="001B5FF5" w:rsidRPr="001B5FF5" w:rsidRDefault="001B5FF5" w:rsidP="001B5FF5">
            <w:pPr>
              <w:spacing w:line="440" w:lineRule="exact"/>
              <w:rPr>
                <w:rFonts w:ascii="宋体" w:eastAsia="宋体" w:hAnsi="宋体" w:cs="Times New Roman"/>
                <w:b/>
                <w:sz w:val="24"/>
              </w:rPr>
            </w:pPr>
          </w:p>
        </w:tc>
      </w:tr>
      <w:tr w:rsidR="001B5FF5" w:rsidRPr="001B5FF5" w14:paraId="6759EEC0" w14:textId="77777777" w:rsidTr="00BF5EF3">
        <w:trPr>
          <w:jc w:val="center"/>
        </w:trPr>
        <w:tc>
          <w:tcPr>
            <w:tcW w:w="1422" w:type="dxa"/>
            <w:vAlign w:val="center"/>
          </w:tcPr>
          <w:p w14:paraId="7034A367"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课程目标1</w:t>
            </w:r>
          </w:p>
        </w:tc>
        <w:tc>
          <w:tcPr>
            <w:tcW w:w="1452" w:type="dxa"/>
            <w:vAlign w:val="center"/>
          </w:tcPr>
          <w:p w14:paraId="2E6DA413"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5</w:t>
            </w:r>
          </w:p>
        </w:tc>
        <w:tc>
          <w:tcPr>
            <w:tcW w:w="1559" w:type="dxa"/>
            <w:vAlign w:val="center"/>
          </w:tcPr>
          <w:p w14:paraId="3F3C37E8"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10</w:t>
            </w:r>
          </w:p>
        </w:tc>
        <w:tc>
          <w:tcPr>
            <w:tcW w:w="1701" w:type="dxa"/>
            <w:vAlign w:val="center"/>
          </w:tcPr>
          <w:p w14:paraId="0439924E" w14:textId="77777777" w:rsidR="001B5FF5" w:rsidRPr="001B5FF5" w:rsidRDefault="001B5FF5" w:rsidP="001B5FF5">
            <w:pPr>
              <w:spacing w:line="440" w:lineRule="exact"/>
              <w:rPr>
                <w:rFonts w:ascii="宋体" w:eastAsia="宋体" w:hAnsi="宋体" w:cs="Times New Roman"/>
                <w:bCs/>
                <w:sz w:val="24"/>
              </w:rPr>
            </w:pPr>
          </w:p>
        </w:tc>
        <w:tc>
          <w:tcPr>
            <w:tcW w:w="1559" w:type="dxa"/>
            <w:vAlign w:val="center"/>
          </w:tcPr>
          <w:p w14:paraId="2FAE77B4"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20</w:t>
            </w:r>
          </w:p>
        </w:tc>
        <w:tc>
          <w:tcPr>
            <w:tcW w:w="1559" w:type="dxa"/>
          </w:tcPr>
          <w:p w14:paraId="5333052A"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35</w:t>
            </w:r>
          </w:p>
        </w:tc>
      </w:tr>
      <w:tr w:rsidR="001B5FF5" w:rsidRPr="001B5FF5" w14:paraId="61FF08EC" w14:textId="77777777" w:rsidTr="00BF5EF3">
        <w:trPr>
          <w:jc w:val="center"/>
        </w:trPr>
        <w:tc>
          <w:tcPr>
            <w:tcW w:w="1422" w:type="dxa"/>
            <w:vAlign w:val="center"/>
          </w:tcPr>
          <w:p w14:paraId="00293B6F"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课程目标2</w:t>
            </w:r>
          </w:p>
        </w:tc>
        <w:tc>
          <w:tcPr>
            <w:tcW w:w="1452" w:type="dxa"/>
            <w:vAlign w:val="center"/>
          </w:tcPr>
          <w:p w14:paraId="48D9B238"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10</w:t>
            </w:r>
          </w:p>
        </w:tc>
        <w:tc>
          <w:tcPr>
            <w:tcW w:w="1559" w:type="dxa"/>
            <w:vAlign w:val="center"/>
          </w:tcPr>
          <w:p w14:paraId="6296DE38"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10</w:t>
            </w:r>
          </w:p>
        </w:tc>
        <w:tc>
          <w:tcPr>
            <w:tcW w:w="1701" w:type="dxa"/>
            <w:vAlign w:val="center"/>
          </w:tcPr>
          <w:p w14:paraId="50D7E455" w14:textId="77777777" w:rsidR="001B5FF5" w:rsidRPr="001B5FF5" w:rsidRDefault="001B5FF5" w:rsidP="001B5FF5">
            <w:pPr>
              <w:spacing w:line="440" w:lineRule="exact"/>
              <w:rPr>
                <w:rFonts w:ascii="宋体" w:eastAsia="宋体" w:hAnsi="宋体" w:cs="Times New Roman"/>
                <w:bCs/>
                <w:sz w:val="24"/>
              </w:rPr>
            </w:pPr>
          </w:p>
        </w:tc>
        <w:tc>
          <w:tcPr>
            <w:tcW w:w="1559" w:type="dxa"/>
            <w:vAlign w:val="center"/>
          </w:tcPr>
          <w:p w14:paraId="055F707E"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20</w:t>
            </w:r>
          </w:p>
        </w:tc>
        <w:tc>
          <w:tcPr>
            <w:tcW w:w="1559" w:type="dxa"/>
          </w:tcPr>
          <w:p w14:paraId="396B3C8F"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40</w:t>
            </w:r>
          </w:p>
        </w:tc>
      </w:tr>
      <w:tr w:rsidR="001B5FF5" w:rsidRPr="001B5FF5" w14:paraId="32A404E9" w14:textId="77777777" w:rsidTr="00BF5EF3">
        <w:trPr>
          <w:jc w:val="center"/>
        </w:trPr>
        <w:tc>
          <w:tcPr>
            <w:tcW w:w="1422" w:type="dxa"/>
            <w:vAlign w:val="center"/>
          </w:tcPr>
          <w:p w14:paraId="100630CF"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课程目标3</w:t>
            </w:r>
          </w:p>
        </w:tc>
        <w:tc>
          <w:tcPr>
            <w:tcW w:w="1452" w:type="dxa"/>
            <w:vAlign w:val="center"/>
          </w:tcPr>
          <w:p w14:paraId="588B3E54"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5</w:t>
            </w:r>
          </w:p>
        </w:tc>
        <w:tc>
          <w:tcPr>
            <w:tcW w:w="1559" w:type="dxa"/>
            <w:vAlign w:val="center"/>
          </w:tcPr>
          <w:p w14:paraId="70E30124"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10</w:t>
            </w:r>
          </w:p>
        </w:tc>
        <w:tc>
          <w:tcPr>
            <w:tcW w:w="1701" w:type="dxa"/>
            <w:vAlign w:val="center"/>
          </w:tcPr>
          <w:p w14:paraId="4FAFC01B" w14:textId="77777777" w:rsidR="001B5FF5" w:rsidRPr="001B5FF5" w:rsidRDefault="001B5FF5" w:rsidP="001B5FF5">
            <w:pPr>
              <w:spacing w:line="440" w:lineRule="exact"/>
              <w:rPr>
                <w:rFonts w:ascii="宋体" w:eastAsia="宋体" w:hAnsi="宋体" w:cs="Times New Roman"/>
                <w:bCs/>
                <w:sz w:val="24"/>
              </w:rPr>
            </w:pPr>
          </w:p>
        </w:tc>
        <w:tc>
          <w:tcPr>
            <w:tcW w:w="1559" w:type="dxa"/>
            <w:vAlign w:val="center"/>
          </w:tcPr>
          <w:p w14:paraId="2469B9BB"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10</w:t>
            </w:r>
          </w:p>
        </w:tc>
        <w:tc>
          <w:tcPr>
            <w:tcW w:w="1559" w:type="dxa"/>
          </w:tcPr>
          <w:p w14:paraId="07070052"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25</w:t>
            </w:r>
          </w:p>
        </w:tc>
      </w:tr>
      <w:tr w:rsidR="001B5FF5" w:rsidRPr="001B5FF5" w14:paraId="0ACAD638" w14:textId="77777777" w:rsidTr="00BF5EF3">
        <w:trPr>
          <w:jc w:val="center"/>
        </w:trPr>
        <w:tc>
          <w:tcPr>
            <w:tcW w:w="1422" w:type="dxa"/>
            <w:vAlign w:val="center"/>
          </w:tcPr>
          <w:p w14:paraId="595D1E2F"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合计</w:t>
            </w:r>
          </w:p>
        </w:tc>
        <w:tc>
          <w:tcPr>
            <w:tcW w:w="1452" w:type="dxa"/>
            <w:vAlign w:val="center"/>
          </w:tcPr>
          <w:p w14:paraId="645BCC1C"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20</w:t>
            </w:r>
          </w:p>
        </w:tc>
        <w:tc>
          <w:tcPr>
            <w:tcW w:w="1559" w:type="dxa"/>
            <w:vAlign w:val="center"/>
          </w:tcPr>
          <w:p w14:paraId="30B2429D"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30</w:t>
            </w:r>
          </w:p>
        </w:tc>
        <w:tc>
          <w:tcPr>
            <w:tcW w:w="1701" w:type="dxa"/>
            <w:vAlign w:val="center"/>
          </w:tcPr>
          <w:p w14:paraId="41B23EDA" w14:textId="77777777" w:rsidR="001B5FF5" w:rsidRPr="001B5FF5" w:rsidRDefault="001B5FF5" w:rsidP="001B5FF5">
            <w:pPr>
              <w:spacing w:line="440" w:lineRule="exact"/>
              <w:rPr>
                <w:rFonts w:ascii="宋体" w:eastAsia="宋体" w:hAnsi="宋体" w:cs="Times New Roman"/>
                <w:bCs/>
                <w:sz w:val="24"/>
              </w:rPr>
            </w:pPr>
          </w:p>
        </w:tc>
        <w:tc>
          <w:tcPr>
            <w:tcW w:w="1559" w:type="dxa"/>
            <w:vAlign w:val="center"/>
          </w:tcPr>
          <w:p w14:paraId="6E22056A"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50</w:t>
            </w:r>
          </w:p>
        </w:tc>
        <w:tc>
          <w:tcPr>
            <w:tcW w:w="1559" w:type="dxa"/>
          </w:tcPr>
          <w:p w14:paraId="2A3693A4" w14:textId="77777777" w:rsidR="001B5FF5" w:rsidRPr="001B5FF5" w:rsidRDefault="001B5FF5" w:rsidP="001B5FF5">
            <w:pPr>
              <w:spacing w:line="440" w:lineRule="exact"/>
              <w:rPr>
                <w:rFonts w:ascii="宋体" w:eastAsia="宋体" w:hAnsi="宋体" w:cs="Times New Roman"/>
                <w:bCs/>
                <w:sz w:val="24"/>
              </w:rPr>
            </w:pPr>
            <w:r w:rsidRPr="001B5FF5">
              <w:rPr>
                <w:rFonts w:ascii="宋体" w:eastAsia="宋体" w:hAnsi="宋体" w:cs="Times New Roman" w:hint="eastAsia"/>
                <w:bCs/>
                <w:sz w:val="24"/>
              </w:rPr>
              <w:t>1</w:t>
            </w:r>
            <w:r w:rsidRPr="001B5FF5">
              <w:rPr>
                <w:rFonts w:ascii="宋体" w:eastAsia="宋体" w:hAnsi="宋体" w:cs="Times New Roman"/>
                <w:bCs/>
                <w:sz w:val="24"/>
              </w:rPr>
              <w:t>00</w:t>
            </w:r>
          </w:p>
        </w:tc>
      </w:tr>
    </w:tbl>
    <w:p w14:paraId="2288DB71" w14:textId="77777777" w:rsidR="001B5FF5" w:rsidRPr="001B5FF5" w:rsidRDefault="001B5FF5" w:rsidP="001B5FF5">
      <w:pPr>
        <w:spacing w:line="440" w:lineRule="exact"/>
        <w:ind w:firstLineChars="200" w:firstLine="480"/>
        <w:rPr>
          <w:rFonts w:ascii="宋体" w:eastAsia="宋体" w:hAnsi="宋体" w:cs="Times New Roman"/>
          <w:sz w:val="24"/>
        </w:rPr>
      </w:pPr>
    </w:p>
    <w:p w14:paraId="77574142" w14:textId="77777777" w:rsidR="001B5FF5" w:rsidRPr="001B5FF5" w:rsidRDefault="001B5FF5" w:rsidP="00C63ECC">
      <w:pPr>
        <w:pStyle w:val="afc"/>
      </w:pPr>
      <w:bookmarkStart w:id="72" w:name="_Toc21353"/>
      <w:r w:rsidRPr="001B5FF5">
        <w:rPr>
          <w:rFonts w:hint="eastAsia"/>
        </w:rPr>
        <w:t>五、成绩评定</w:t>
      </w:r>
      <w:bookmarkEnd w:id="72"/>
    </w:p>
    <w:p w14:paraId="696F7E8E" w14:textId="77777777" w:rsidR="001B5FF5" w:rsidRPr="001B5FF5" w:rsidRDefault="001B5FF5" w:rsidP="001B5FF5">
      <w:pPr>
        <w:spacing w:beforeLines="50" w:before="156" w:afterLines="50" w:after="156" w:line="440" w:lineRule="exact"/>
        <w:ind w:firstLineChars="200" w:firstLine="560"/>
        <w:rPr>
          <w:rFonts w:ascii="黑体" w:eastAsia="黑体" w:hAnsi="黑体" w:cs="Times New Roman"/>
          <w:sz w:val="28"/>
          <w:szCs w:val="28"/>
        </w:rPr>
      </w:pPr>
      <w:r w:rsidRPr="001B5FF5">
        <w:rPr>
          <w:rFonts w:ascii="黑体" w:eastAsia="黑体" w:hAnsi="黑体" w:cs="Times New Roman" w:hint="eastAsia"/>
          <w:sz w:val="28"/>
          <w:szCs w:val="28"/>
        </w:rPr>
        <w:t>（一）总成绩评定</w:t>
      </w:r>
    </w:p>
    <w:p w14:paraId="7556F7E8"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总成绩=平时成绩×20%+期中成绩×30%+期末成绩×50%</w:t>
      </w:r>
    </w:p>
    <w:p w14:paraId="247175D2"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备注：每学期总成绩</w:t>
      </w:r>
    </w:p>
    <w:p w14:paraId="2FC1BA8E" w14:textId="77777777" w:rsidR="001B5FF5" w:rsidRPr="001B5FF5" w:rsidRDefault="001B5FF5" w:rsidP="001B5FF5">
      <w:pPr>
        <w:spacing w:beforeLines="50" w:before="156" w:afterLines="50" w:after="156" w:line="440" w:lineRule="exact"/>
        <w:ind w:firstLineChars="200" w:firstLine="560"/>
        <w:rPr>
          <w:rFonts w:ascii="宋体" w:eastAsia="宋体" w:hAnsi="宋体" w:cs="Times New Roman"/>
          <w:color w:val="FF0000"/>
          <w:sz w:val="24"/>
        </w:rPr>
      </w:pPr>
      <w:r w:rsidRPr="001B5FF5">
        <w:rPr>
          <w:rFonts w:ascii="黑体" w:eastAsia="黑体" w:hAnsi="黑体" w:cs="Times New Roman" w:hint="eastAsia"/>
          <w:sz w:val="28"/>
          <w:szCs w:val="28"/>
        </w:rPr>
        <w:t>（二）平时成绩评定</w:t>
      </w:r>
    </w:p>
    <w:p w14:paraId="361E9514"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（1）课堂表现：通过学生在课堂上的表现情况、发言与主体参与和练习情况，来评价学生相关的能力。</w:t>
      </w:r>
    </w:p>
    <w:p w14:paraId="4E4A02A5"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（2）作业完成情况：围绕课程的学习目标进行作业的设计。如让学生简述对知识的认识，建议</w:t>
      </w:r>
      <w:proofErr w:type="gramStart"/>
      <w:r w:rsidRPr="001B5FF5">
        <w:rPr>
          <w:rFonts w:ascii="宋体" w:eastAsia="宋体" w:hAnsi="宋体" w:cs="Times New Roman" w:hint="eastAsia"/>
          <w:sz w:val="24"/>
        </w:rPr>
        <w:t>带准备</w:t>
      </w:r>
      <w:proofErr w:type="gramEnd"/>
      <w:r w:rsidRPr="001B5FF5">
        <w:rPr>
          <w:rFonts w:ascii="宋体" w:eastAsia="宋体" w:hAnsi="宋体" w:cs="Times New Roman" w:hint="eastAsia"/>
          <w:sz w:val="24"/>
        </w:rPr>
        <w:t>部分和基本部分中的复习内容，帮助学生将定义转化为自己的理解。学生在小组合作学习中测验掌握课程的情况</w:t>
      </w:r>
    </w:p>
    <w:p w14:paraId="085460BE" w14:textId="77777777" w:rsidR="001B5FF5" w:rsidRPr="001B5FF5" w:rsidRDefault="001B5FF5" w:rsidP="001B5FF5">
      <w:pPr>
        <w:spacing w:line="440" w:lineRule="exact"/>
        <w:ind w:firstLineChars="200" w:firstLine="480"/>
        <w:rPr>
          <w:rFonts w:ascii="宋体" w:eastAsia="宋体" w:hAnsi="宋体" w:cs="Times New Roman"/>
          <w:color w:val="FF0000"/>
          <w:sz w:val="24"/>
        </w:rPr>
      </w:pPr>
      <w:r w:rsidRPr="001B5FF5">
        <w:rPr>
          <w:rFonts w:ascii="宋体" w:eastAsia="宋体" w:hAnsi="宋体" w:cs="Times New Roman" w:hint="eastAsia"/>
          <w:sz w:val="24"/>
        </w:rPr>
        <w:t>（3）课堂考勤：留存辅导员开具的事假条、校医院开具的病假条。缺课达到本学期三分之一课时，按照考试无资格处理。</w:t>
      </w:r>
    </w:p>
    <w:p w14:paraId="2810029C" w14:textId="77777777" w:rsidR="001B5FF5" w:rsidRPr="001B5FF5" w:rsidRDefault="001B5FF5" w:rsidP="001B5FF5">
      <w:pPr>
        <w:spacing w:beforeLines="50" w:before="156" w:afterLines="50" w:after="156" w:line="440" w:lineRule="exact"/>
        <w:ind w:firstLineChars="200" w:firstLine="560"/>
        <w:rPr>
          <w:rFonts w:ascii="黑体" w:eastAsia="黑体" w:hAnsi="黑体" w:cs="Times New Roman"/>
          <w:sz w:val="28"/>
          <w:szCs w:val="28"/>
        </w:rPr>
      </w:pPr>
      <w:r w:rsidRPr="001B5FF5">
        <w:rPr>
          <w:rFonts w:ascii="黑体" w:eastAsia="黑体" w:hAnsi="黑体" w:cs="Times New Roman" w:hint="eastAsia"/>
          <w:sz w:val="28"/>
          <w:szCs w:val="28"/>
        </w:rPr>
        <w:t>（三）期中、期末成绩评定</w:t>
      </w:r>
    </w:p>
    <w:p w14:paraId="0940ED3F" w14:textId="77777777" w:rsidR="001B5FF5" w:rsidRPr="001B5FF5" w:rsidRDefault="001B5FF5" w:rsidP="001B5FF5">
      <w:pPr>
        <w:spacing w:beforeLines="50" w:before="156" w:afterLines="50" w:after="156" w:line="440" w:lineRule="exact"/>
        <w:ind w:firstLineChars="200" w:firstLine="560"/>
        <w:rPr>
          <w:rFonts w:ascii="黑体" w:eastAsia="黑体" w:hAnsi="黑体" w:cs="Times New Roman"/>
          <w:sz w:val="28"/>
          <w:szCs w:val="28"/>
        </w:rPr>
      </w:pPr>
      <w:r w:rsidRPr="001B5FF5">
        <w:rPr>
          <w:rFonts w:ascii="黑体" w:eastAsia="黑体" w:hAnsi="黑体" w:cs="Times New Roman" w:hint="eastAsia"/>
          <w:sz w:val="28"/>
          <w:szCs w:val="28"/>
        </w:rPr>
        <w:t>第一学期</w:t>
      </w:r>
    </w:p>
    <w:p w14:paraId="1ADA43CF" w14:textId="77777777" w:rsidR="001B5FF5" w:rsidRPr="001B5FF5" w:rsidRDefault="001B5FF5" w:rsidP="001B5FF5">
      <w:pPr>
        <w:adjustRightInd w:val="0"/>
        <w:snapToGrid w:val="0"/>
        <w:spacing w:line="500" w:lineRule="exact"/>
        <w:jc w:val="center"/>
        <w:rPr>
          <w:rFonts w:ascii="宋体" w:eastAsia="宋体" w:hAnsi="Calibri" w:cs="Times New Roman"/>
          <w:b/>
          <w:bCs/>
          <w:kern w:val="0"/>
          <w:sz w:val="24"/>
        </w:rPr>
      </w:pPr>
      <w:r w:rsidRPr="001B5FF5">
        <w:rPr>
          <w:rFonts w:ascii="宋体" w:eastAsia="宋体" w:hAnsi="Calibri" w:cs="Times New Roman" w:hint="eastAsia"/>
          <w:b/>
          <w:bCs/>
          <w:kern w:val="0"/>
          <w:sz w:val="24"/>
        </w:rPr>
        <w:t>期中考试</w:t>
      </w:r>
    </w:p>
    <w:p w14:paraId="42681F56" w14:textId="77777777" w:rsidR="001B5FF5" w:rsidRPr="001B5FF5" w:rsidRDefault="001B5FF5" w:rsidP="001B5FF5">
      <w:pPr>
        <w:adjustRightInd w:val="0"/>
        <w:snapToGrid w:val="0"/>
        <w:spacing w:line="500" w:lineRule="exact"/>
        <w:rPr>
          <w:rFonts w:ascii="宋体" w:eastAsia="宋体" w:hAnsi="Calibri" w:cs="Times New Roman"/>
          <w:bCs/>
          <w:kern w:val="0"/>
          <w:sz w:val="24"/>
        </w:rPr>
      </w:pPr>
      <w:r w:rsidRPr="001B5FF5">
        <w:rPr>
          <w:rFonts w:ascii="宋体" w:eastAsia="宋体" w:hAnsi="Calibri" w:cs="Times New Roman" w:hint="eastAsia"/>
          <w:b/>
          <w:kern w:val="0"/>
          <w:sz w:val="24"/>
        </w:rPr>
        <w:t>1.课程考核目标:</w:t>
      </w:r>
      <w:r w:rsidRPr="001B5FF5">
        <w:rPr>
          <w:rFonts w:ascii="宋体" w:eastAsia="宋体" w:hAnsi="Calibri" w:cs="Times New Roman" w:hint="eastAsia"/>
          <w:bCs/>
          <w:kern w:val="0"/>
          <w:sz w:val="24"/>
        </w:rPr>
        <w:t>通过考核检验体能训练教学效果和学生掌握情况，让学生了解体质健康标准测验的重要性。</w:t>
      </w:r>
    </w:p>
    <w:p w14:paraId="2F86F67E" w14:textId="77777777" w:rsidR="001B5FF5" w:rsidRPr="001B5FF5" w:rsidRDefault="001B5FF5" w:rsidP="001B5FF5">
      <w:pPr>
        <w:adjustRightInd w:val="0"/>
        <w:snapToGrid w:val="0"/>
        <w:spacing w:line="500" w:lineRule="exact"/>
        <w:jc w:val="left"/>
        <w:rPr>
          <w:rFonts w:ascii="宋体" w:eastAsia="宋体" w:hAnsi="Calibri" w:cs="Times New Roman"/>
          <w:bCs/>
          <w:kern w:val="0"/>
          <w:sz w:val="24"/>
        </w:rPr>
      </w:pPr>
      <w:r w:rsidRPr="001B5FF5">
        <w:rPr>
          <w:rFonts w:ascii="宋体" w:eastAsia="宋体" w:hAnsi="Calibri" w:cs="Times New Roman" w:hint="eastAsia"/>
          <w:b/>
          <w:kern w:val="0"/>
          <w:sz w:val="24"/>
        </w:rPr>
        <w:lastRenderedPageBreak/>
        <w:t>2.课程考核的内容：</w:t>
      </w:r>
      <w:r w:rsidRPr="001B5FF5">
        <w:rPr>
          <w:rFonts w:ascii="宋体" w:eastAsia="宋体" w:hAnsi="Calibri" w:cs="Times New Roman" w:hint="eastAsia"/>
          <w:bCs/>
          <w:kern w:val="0"/>
          <w:sz w:val="24"/>
        </w:rPr>
        <w:t>立定跳远。</w:t>
      </w:r>
    </w:p>
    <w:p w14:paraId="67AB07DA" w14:textId="77777777" w:rsidR="001B5FF5" w:rsidRPr="001B5FF5" w:rsidRDefault="001B5FF5" w:rsidP="001B5FF5">
      <w:pPr>
        <w:adjustRightInd w:val="0"/>
        <w:snapToGrid w:val="0"/>
        <w:spacing w:line="500" w:lineRule="exact"/>
        <w:jc w:val="left"/>
        <w:rPr>
          <w:rFonts w:ascii="宋体" w:eastAsia="宋体" w:hAnsi="Calibri" w:cs="Times New Roman"/>
          <w:bCs/>
          <w:kern w:val="0"/>
          <w:sz w:val="24"/>
        </w:rPr>
      </w:pPr>
      <w:r w:rsidRPr="001B5FF5">
        <w:rPr>
          <w:rFonts w:ascii="宋体" w:eastAsia="宋体" w:hAnsi="Calibri" w:cs="Times New Roman" w:hint="eastAsia"/>
          <w:b/>
          <w:kern w:val="0"/>
          <w:sz w:val="24"/>
        </w:rPr>
        <w:t>3.课程考核方式：</w:t>
      </w:r>
      <w:r w:rsidRPr="001B5FF5">
        <w:rPr>
          <w:rFonts w:ascii="宋体" w:eastAsia="宋体" w:hAnsi="Calibri" w:cs="Times New Roman" w:hint="eastAsia"/>
          <w:bCs/>
          <w:kern w:val="0"/>
          <w:sz w:val="24"/>
        </w:rPr>
        <w:t>沙坑场地，每人跳两次，取最好成绩。</w:t>
      </w:r>
    </w:p>
    <w:p w14:paraId="27592C5C" w14:textId="77777777" w:rsidR="001B5FF5" w:rsidRPr="001B5FF5" w:rsidRDefault="001B5FF5" w:rsidP="001B5FF5">
      <w:pPr>
        <w:adjustRightInd w:val="0"/>
        <w:snapToGrid w:val="0"/>
        <w:spacing w:line="500" w:lineRule="exact"/>
        <w:jc w:val="left"/>
        <w:rPr>
          <w:rFonts w:ascii="宋体" w:eastAsia="宋体" w:hAnsi="Calibri" w:cs="Times New Roman"/>
          <w:bCs/>
          <w:kern w:val="0"/>
          <w:sz w:val="24"/>
        </w:rPr>
      </w:pPr>
      <w:r w:rsidRPr="001B5FF5">
        <w:rPr>
          <w:rFonts w:ascii="宋体" w:eastAsia="宋体" w:hAnsi="Calibri" w:cs="Times New Roman" w:hint="eastAsia"/>
          <w:b/>
          <w:kern w:val="0"/>
          <w:sz w:val="24"/>
        </w:rPr>
        <w:t>4.成绩构成及分值：</w:t>
      </w:r>
      <w:r w:rsidRPr="001B5FF5">
        <w:rPr>
          <w:rFonts w:ascii="宋体" w:eastAsia="宋体" w:hAnsi="Calibri" w:cs="Times New Roman" w:hint="eastAsia"/>
          <w:bCs/>
          <w:kern w:val="0"/>
          <w:sz w:val="24"/>
        </w:rPr>
        <w:t>数量及技术评定分值各为100分，各占总分值的20%，</w:t>
      </w:r>
    </w:p>
    <w:p w14:paraId="23078A0F" w14:textId="77777777" w:rsidR="001B5FF5" w:rsidRPr="001B5FF5" w:rsidRDefault="001B5FF5" w:rsidP="001B5FF5">
      <w:pPr>
        <w:adjustRightInd w:val="0"/>
        <w:snapToGrid w:val="0"/>
        <w:spacing w:line="500" w:lineRule="exact"/>
        <w:jc w:val="left"/>
        <w:rPr>
          <w:rFonts w:ascii="宋体" w:eastAsia="宋体" w:hAnsi="Calibri" w:cs="Times New Roman"/>
          <w:bCs/>
          <w:kern w:val="0"/>
          <w:sz w:val="24"/>
        </w:rPr>
      </w:pPr>
      <w:r w:rsidRPr="001B5FF5">
        <w:rPr>
          <w:rFonts w:ascii="宋体" w:eastAsia="宋体" w:hAnsi="Calibri" w:cs="Times New Roman" w:hint="eastAsia"/>
          <w:bCs/>
          <w:kern w:val="0"/>
          <w:sz w:val="24"/>
        </w:rPr>
        <w:t>总分值为100分。</w:t>
      </w:r>
    </w:p>
    <w:p w14:paraId="7348239C" w14:textId="77777777" w:rsidR="001B5FF5" w:rsidRPr="001B5FF5" w:rsidRDefault="001B5FF5" w:rsidP="001B5FF5">
      <w:pPr>
        <w:adjustRightInd w:val="0"/>
        <w:snapToGrid w:val="0"/>
        <w:spacing w:line="500" w:lineRule="exact"/>
        <w:jc w:val="left"/>
        <w:rPr>
          <w:rFonts w:ascii="宋体" w:eastAsia="宋体" w:hAnsi="Calibri" w:cs="Times New Roman"/>
          <w:b/>
          <w:kern w:val="0"/>
          <w:sz w:val="24"/>
        </w:rPr>
      </w:pPr>
      <w:r w:rsidRPr="001B5FF5">
        <w:rPr>
          <w:rFonts w:ascii="宋体" w:eastAsia="宋体" w:hAnsi="Calibri" w:cs="Times New Roman" w:hint="eastAsia"/>
          <w:b/>
          <w:kern w:val="0"/>
          <w:sz w:val="24"/>
        </w:rPr>
        <w:t>5.评分记分原则：</w:t>
      </w:r>
    </w:p>
    <w:p w14:paraId="318B006C" w14:textId="77777777" w:rsidR="001B5FF5" w:rsidRPr="001B5FF5" w:rsidRDefault="001B5FF5" w:rsidP="001B5FF5">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B5FF5" w:rsidRPr="001B5FF5" w14:paraId="03237068" w14:textId="77777777" w:rsidTr="00BF5E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C9C06AD"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48B8F3B6"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A6A774A"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大</w:t>
            </w:r>
            <w:proofErr w:type="gramStart"/>
            <w:r w:rsidRPr="001B5FF5">
              <w:rPr>
                <w:rFonts w:ascii="宋体" w:eastAsia="宋体" w:hAnsi="宋体" w:cs="宋体" w:hint="eastAsia"/>
                <w:b/>
                <w:kern w:val="0"/>
                <w:sz w:val="24"/>
                <w:lang w:bidi="ar"/>
              </w:rPr>
              <w:t>一</w:t>
            </w:r>
            <w:proofErr w:type="gramEnd"/>
            <w:r w:rsidRPr="001B5FF5">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616F3A7B"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大</w:t>
            </w:r>
            <w:proofErr w:type="gramStart"/>
            <w:r w:rsidRPr="001B5FF5">
              <w:rPr>
                <w:rFonts w:ascii="宋体" w:eastAsia="宋体" w:hAnsi="宋体" w:cs="宋体" w:hint="eastAsia"/>
                <w:b/>
                <w:kern w:val="0"/>
                <w:sz w:val="24"/>
                <w:lang w:bidi="ar"/>
              </w:rPr>
              <w:t>一</w:t>
            </w:r>
            <w:proofErr w:type="gramEnd"/>
            <w:r w:rsidRPr="001B5FF5">
              <w:rPr>
                <w:rFonts w:ascii="宋体" w:eastAsia="宋体" w:hAnsi="宋体" w:cs="宋体" w:hint="eastAsia"/>
                <w:b/>
                <w:kern w:val="0"/>
                <w:sz w:val="24"/>
                <w:lang w:bidi="ar"/>
              </w:rPr>
              <w:t>女生</w:t>
            </w:r>
          </w:p>
        </w:tc>
      </w:tr>
      <w:tr w:rsidR="001B5FF5" w:rsidRPr="001B5FF5" w14:paraId="131DBB5F" w14:textId="77777777" w:rsidTr="00BF5E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19BF298"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B65629"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2C14426C" w14:textId="77777777" w:rsidR="001B5FF5" w:rsidRPr="001B5FF5" w:rsidRDefault="001B5FF5" w:rsidP="001B5FF5">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204506AC" w14:textId="77777777" w:rsidR="001B5FF5" w:rsidRPr="001B5FF5" w:rsidRDefault="001B5FF5" w:rsidP="001B5FF5">
            <w:pPr>
              <w:jc w:val="center"/>
              <w:rPr>
                <w:rFonts w:ascii="宋体" w:eastAsia="宋体" w:hAnsi="宋体" w:cs="宋体"/>
                <w:b/>
                <w:sz w:val="24"/>
              </w:rPr>
            </w:pPr>
          </w:p>
        </w:tc>
      </w:tr>
      <w:tr w:rsidR="001B5FF5" w:rsidRPr="001B5FF5" w14:paraId="35D5AC63"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6A9D88A"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6CE52CB4"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2EF0D7EC"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68984D2D"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207</w:t>
            </w:r>
          </w:p>
        </w:tc>
      </w:tr>
      <w:tr w:rsidR="001B5FF5" w:rsidRPr="001B5FF5" w14:paraId="12537D7C"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143212A"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75C21DF"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548C4B24"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252B89D5"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201</w:t>
            </w:r>
          </w:p>
        </w:tc>
      </w:tr>
      <w:tr w:rsidR="001B5FF5" w:rsidRPr="001B5FF5" w14:paraId="445B9CC1"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801AE01"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37D196E"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1456C39"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F55A9AF"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195</w:t>
            </w:r>
          </w:p>
        </w:tc>
      </w:tr>
      <w:tr w:rsidR="001B5FF5" w:rsidRPr="001B5FF5" w14:paraId="3E4108C3"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9996D76"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5E08F712"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18FB5804"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7D6C4932"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188</w:t>
            </w:r>
          </w:p>
        </w:tc>
      </w:tr>
      <w:tr w:rsidR="001B5FF5" w:rsidRPr="001B5FF5" w14:paraId="494CC3A9"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FF9F595"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34F3FAE"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24AB4ED"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70BC335"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181</w:t>
            </w:r>
          </w:p>
        </w:tc>
      </w:tr>
      <w:tr w:rsidR="001B5FF5" w:rsidRPr="001B5FF5" w14:paraId="779CBB4E"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0FB0A74"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59CCD8BC"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22A380E9"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75953199"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178</w:t>
            </w:r>
          </w:p>
        </w:tc>
      </w:tr>
      <w:tr w:rsidR="001B5FF5" w:rsidRPr="001B5FF5" w14:paraId="3B985073"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2CAA1EF"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2B33EBE"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717ACE98"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0F5499AE"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175</w:t>
            </w:r>
          </w:p>
        </w:tc>
      </w:tr>
      <w:tr w:rsidR="001B5FF5" w:rsidRPr="001B5FF5" w14:paraId="0272E30E"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D531402"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7336E76"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6B21879F"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005CC80A"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172</w:t>
            </w:r>
          </w:p>
        </w:tc>
      </w:tr>
      <w:tr w:rsidR="001B5FF5" w:rsidRPr="001B5FF5" w14:paraId="76220FC8"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C7D4524"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CD228A5"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656E0CD5"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49EF2317"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169</w:t>
            </w:r>
          </w:p>
        </w:tc>
      </w:tr>
      <w:tr w:rsidR="001B5FF5" w:rsidRPr="001B5FF5" w14:paraId="1CE7EABA"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3C4511D"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D6876E9"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5BA6BD62"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26BC3271"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166</w:t>
            </w:r>
          </w:p>
        </w:tc>
      </w:tr>
      <w:tr w:rsidR="001B5FF5" w:rsidRPr="001B5FF5" w14:paraId="1DE7A527"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824949A"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E657FCE"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16E4F3F4"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686FA3B1"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163</w:t>
            </w:r>
          </w:p>
        </w:tc>
      </w:tr>
      <w:tr w:rsidR="001B5FF5" w:rsidRPr="001B5FF5" w14:paraId="60EC30D6"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AB79991"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08B25B1"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0531E539"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66338117"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160</w:t>
            </w:r>
          </w:p>
        </w:tc>
      </w:tr>
      <w:tr w:rsidR="001B5FF5" w:rsidRPr="001B5FF5" w14:paraId="10FF387F"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01A67A5"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006FFFA"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57970E42"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590ADE4E"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157</w:t>
            </w:r>
          </w:p>
        </w:tc>
      </w:tr>
      <w:tr w:rsidR="001B5FF5" w:rsidRPr="001B5FF5" w14:paraId="10E99D48"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A2711AA"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7DD8312"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47FA1AFC"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60EA2065"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154</w:t>
            </w:r>
          </w:p>
        </w:tc>
      </w:tr>
      <w:tr w:rsidR="001B5FF5" w:rsidRPr="001B5FF5" w14:paraId="434AC5DE"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D439DC8"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608FE90"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21AAC5C"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4531B4A"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151</w:t>
            </w:r>
          </w:p>
        </w:tc>
      </w:tr>
      <w:tr w:rsidR="001B5FF5" w:rsidRPr="001B5FF5" w14:paraId="07DABD9B"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695A347"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55A59529"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4C5832D7"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6EA33FFD"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146</w:t>
            </w:r>
          </w:p>
        </w:tc>
      </w:tr>
      <w:tr w:rsidR="001B5FF5" w:rsidRPr="001B5FF5" w14:paraId="6A22BEDE"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DA89DFA"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8C16246"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2DE40B58"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209408CF"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141</w:t>
            </w:r>
          </w:p>
        </w:tc>
      </w:tr>
      <w:tr w:rsidR="001B5FF5" w:rsidRPr="001B5FF5" w14:paraId="28FB1476"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2014A67"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6901FA5"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21AC8B2"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489220A4"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136</w:t>
            </w:r>
          </w:p>
        </w:tc>
      </w:tr>
      <w:tr w:rsidR="001B5FF5" w:rsidRPr="001B5FF5" w14:paraId="0AEE4603"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34CC763"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389F69B"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0EC689C1"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719F64E3"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131</w:t>
            </w:r>
          </w:p>
        </w:tc>
      </w:tr>
      <w:tr w:rsidR="001B5FF5" w:rsidRPr="001B5FF5" w14:paraId="32B30E22"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200AA24" w14:textId="77777777" w:rsidR="001B5FF5" w:rsidRPr="001B5FF5" w:rsidRDefault="001B5FF5" w:rsidP="001B5FF5">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E8C2B1B" w14:textId="77777777" w:rsidR="001B5FF5" w:rsidRPr="001B5FF5" w:rsidRDefault="001B5FF5" w:rsidP="001B5FF5">
            <w:pPr>
              <w:widowControl/>
              <w:jc w:val="center"/>
              <w:textAlignment w:val="center"/>
              <w:rPr>
                <w:rFonts w:ascii="宋体" w:eastAsia="宋体" w:hAnsi="宋体" w:cs="宋体"/>
                <w:b/>
                <w:sz w:val="24"/>
              </w:rPr>
            </w:pPr>
            <w:r w:rsidRPr="001B5FF5">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025E6063"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79A46491" w14:textId="77777777" w:rsidR="001B5FF5" w:rsidRPr="001B5FF5" w:rsidRDefault="001B5FF5" w:rsidP="001B5FF5">
            <w:pPr>
              <w:widowControl/>
              <w:jc w:val="center"/>
              <w:textAlignment w:val="center"/>
              <w:rPr>
                <w:rFonts w:ascii="宋体" w:eastAsia="宋体" w:hAnsi="宋体" w:cs="宋体"/>
                <w:sz w:val="24"/>
              </w:rPr>
            </w:pPr>
            <w:r w:rsidRPr="001B5FF5">
              <w:rPr>
                <w:rFonts w:ascii="宋体" w:eastAsia="宋体" w:hAnsi="宋体" w:cs="宋体" w:hint="eastAsia"/>
                <w:kern w:val="0"/>
                <w:sz w:val="24"/>
                <w:lang w:bidi="ar"/>
              </w:rPr>
              <w:t>126</w:t>
            </w:r>
          </w:p>
        </w:tc>
      </w:tr>
    </w:tbl>
    <w:p w14:paraId="1A31F7B6" w14:textId="77777777" w:rsidR="001B5FF5" w:rsidRPr="001B5FF5" w:rsidRDefault="001B5FF5" w:rsidP="001B5FF5">
      <w:pPr>
        <w:adjustRightInd w:val="0"/>
        <w:snapToGrid w:val="0"/>
        <w:spacing w:line="500" w:lineRule="exact"/>
        <w:jc w:val="left"/>
        <w:rPr>
          <w:rFonts w:ascii="宋体" w:eastAsia="宋体" w:hAnsi="Calibri" w:cs="Times New Roman"/>
          <w:bCs/>
          <w:kern w:val="0"/>
          <w:sz w:val="24"/>
        </w:rPr>
      </w:pPr>
    </w:p>
    <w:p w14:paraId="09F8ADEE"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宋体"/>
          <w:color w:val="000000"/>
          <w:kern w:val="0"/>
          <w:sz w:val="24"/>
          <w:lang w:val="zh-CN"/>
        </w:rPr>
      </w:pPr>
      <w:r w:rsidRPr="001B5FF5">
        <w:rPr>
          <w:rFonts w:ascii="宋体" w:eastAsia="宋体" w:hAnsi="宋体" w:cs="宋体" w:hint="eastAsia"/>
          <w:b/>
          <w:bCs/>
          <w:color w:val="000000"/>
          <w:kern w:val="0"/>
          <w:sz w:val="24"/>
        </w:rPr>
        <w:t>1.课程</w:t>
      </w:r>
      <w:r w:rsidRPr="001B5FF5">
        <w:rPr>
          <w:rFonts w:ascii="宋体" w:eastAsia="宋体" w:hAnsi="宋体" w:cs="宋体" w:hint="eastAsia"/>
          <w:b/>
          <w:bCs/>
          <w:color w:val="000000"/>
          <w:kern w:val="0"/>
          <w:sz w:val="24"/>
          <w:lang w:val="zh-CN"/>
        </w:rPr>
        <w:t>考核目标：</w:t>
      </w:r>
      <w:r w:rsidRPr="001B5FF5">
        <w:rPr>
          <w:rFonts w:ascii="宋体" w:eastAsia="宋体" w:hAnsi="宋体" w:cs="宋体" w:hint="eastAsia"/>
          <w:color w:val="000000"/>
          <w:kern w:val="0"/>
          <w:sz w:val="24"/>
          <w:lang w:val="zh-CN"/>
        </w:rPr>
        <w:t>通过考核检验武术技术教学效果和学生掌握情况，让学生了解选项课内容和科学体育锻炼方式方法。</w:t>
      </w:r>
    </w:p>
    <w:p w14:paraId="24352867"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宋体"/>
          <w:color w:val="000000"/>
          <w:kern w:val="0"/>
          <w:sz w:val="24"/>
          <w:lang w:val="zh-CN"/>
        </w:rPr>
      </w:pPr>
      <w:r w:rsidRPr="001B5FF5">
        <w:rPr>
          <w:rFonts w:ascii="宋体" w:eastAsia="宋体" w:hAnsi="宋体" w:cs="宋体" w:hint="eastAsia"/>
          <w:b/>
          <w:bCs/>
          <w:color w:val="000000"/>
          <w:kern w:val="0"/>
          <w:sz w:val="24"/>
        </w:rPr>
        <w:t>2.课程</w:t>
      </w:r>
      <w:r w:rsidRPr="001B5FF5">
        <w:rPr>
          <w:rFonts w:ascii="宋体" w:eastAsia="宋体" w:hAnsi="宋体" w:cs="宋体" w:hint="eastAsia"/>
          <w:b/>
          <w:bCs/>
          <w:color w:val="000000"/>
          <w:kern w:val="0"/>
          <w:sz w:val="24"/>
          <w:lang w:val="zh-CN"/>
        </w:rPr>
        <w:t>考核的内容：</w:t>
      </w:r>
      <w:r w:rsidRPr="001B5FF5">
        <w:rPr>
          <w:rFonts w:ascii="宋体" w:eastAsia="宋体" w:hAnsi="宋体" w:cs="宋体" w:hint="eastAsia"/>
          <w:color w:val="000000"/>
          <w:kern w:val="0"/>
          <w:sz w:val="24"/>
          <w:lang w:val="zh-CN"/>
        </w:rPr>
        <w:t>长拳一段套路</w:t>
      </w:r>
    </w:p>
    <w:p w14:paraId="265BBFF3"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宋体"/>
          <w:color w:val="000000"/>
          <w:kern w:val="0"/>
          <w:sz w:val="24"/>
          <w:lang w:val="zh-CN"/>
        </w:rPr>
      </w:pPr>
      <w:r w:rsidRPr="001B5FF5">
        <w:rPr>
          <w:rFonts w:ascii="宋体" w:eastAsia="宋体" w:hAnsi="宋体" w:cs="宋体" w:hint="eastAsia"/>
          <w:b/>
          <w:bCs/>
          <w:color w:val="000000"/>
          <w:kern w:val="0"/>
          <w:sz w:val="24"/>
        </w:rPr>
        <w:t>3.课程</w:t>
      </w:r>
      <w:r w:rsidRPr="001B5FF5">
        <w:rPr>
          <w:rFonts w:ascii="宋体" w:eastAsia="宋体" w:hAnsi="宋体" w:cs="宋体" w:hint="eastAsia"/>
          <w:b/>
          <w:bCs/>
          <w:color w:val="000000"/>
          <w:kern w:val="0"/>
          <w:sz w:val="24"/>
          <w:lang w:val="zh-CN"/>
        </w:rPr>
        <w:t>考核方式：</w:t>
      </w:r>
      <w:r w:rsidRPr="001B5FF5">
        <w:rPr>
          <w:rFonts w:ascii="宋体" w:eastAsia="宋体" w:hAnsi="宋体" w:cs="宋体" w:hint="eastAsia"/>
          <w:color w:val="000000"/>
          <w:kern w:val="0"/>
          <w:sz w:val="24"/>
          <w:lang w:val="zh-CN"/>
        </w:rPr>
        <w:t>单人单独演练</w:t>
      </w:r>
    </w:p>
    <w:p w14:paraId="28DFA086"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宋体"/>
          <w:color w:val="000000"/>
          <w:kern w:val="0"/>
          <w:sz w:val="24"/>
          <w:lang w:val="zh-CN"/>
        </w:rPr>
      </w:pPr>
      <w:r w:rsidRPr="001B5FF5">
        <w:rPr>
          <w:rFonts w:ascii="宋体" w:eastAsia="宋体" w:hAnsi="宋体" w:cs="宋体" w:hint="eastAsia"/>
          <w:b/>
          <w:bCs/>
          <w:color w:val="000000"/>
          <w:kern w:val="0"/>
          <w:sz w:val="24"/>
        </w:rPr>
        <w:lastRenderedPageBreak/>
        <w:t>4.</w:t>
      </w:r>
      <w:r w:rsidRPr="001B5FF5">
        <w:rPr>
          <w:rFonts w:ascii="宋体" w:eastAsia="宋体" w:hAnsi="宋体" w:cs="宋体" w:hint="eastAsia"/>
          <w:b/>
          <w:bCs/>
          <w:color w:val="000000"/>
          <w:kern w:val="0"/>
          <w:sz w:val="24"/>
          <w:lang w:val="zh-CN"/>
        </w:rPr>
        <w:t>成绩构成：</w:t>
      </w:r>
      <w:r w:rsidRPr="001B5FF5">
        <w:rPr>
          <w:rFonts w:ascii="宋体" w:eastAsia="宋体" w:hAnsi="宋体" w:cs="宋体" w:hint="eastAsia"/>
          <w:color w:val="000000"/>
          <w:kern w:val="0"/>
          <w:sz w:val="24"/>
          <w:lang w:val="zh-CN"/>
        </w:rPr>
        <w:t>动作质量分50分，动作</w:t>
      </w:r>
      <w:proofErr w:type="gramStart"/>
      <w:r w:rsidRPr="001B5FF5">
        <w:rPr>
          <w:rFonts w:ascii="宋体" w:eastAsia="宋体" w:hAnsi="宋体" w:cs="宋体" w:hint="eastAsia"/>
          <w:color w:val="000000"/>
          <w:kern w:val="0"/>
          <w:sz w:val="24"/>
          <w:lang w:val="zh-CN"/>
        </w:rPr>
        <w:t>演练分</w:t>
      </w:r>
      <w:proofErr w:type="gramEnd"/>
      <w:r w:rsidRPr="001B5FF5">
        <w:rPr>
          <w:rFonts w:ascii="宋体" w:eastAsia="宋体" w:hAnsi="宋体" w:cs="宋体" w:hint="eastAsia"/>
          <w:color w:val="000000"/>
          <w:kern w:val="0"/>
          <w:sz w:val="24"/>
          <w:lang w:val="zh-CN"/>
        </w:rPr>
        <w:t xml:space="preserve">50分。 </w:t>
      </w:r>
    </w:p>
    <w:p w14:paraId="261E06F4"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宋体"/>
          <w:b/>
          <w:bCs/>
          <w:color w:val="000000"/>
          <w:kern w:val="0"/>
          <w:sz w:val="24"/>
          <w:lang w:val="zh-CN"/>
        </w:rPr>
      </w:pPr>
      <w:r w:rsidRPr="001B5FF5">
        <w:rPr>
          <w:rFonts w:ascii="宋体" w:eastAsia="宋体" w:hAnsi="宋体" w:cs="宋体" w:hint="eastAsia"/>
          <w:b/>
          <w:bCs/>
          <w:color w:val="000000"/>
          <w:kern w:val="0"/>
          <w:sz w:val="24"/>
        </w:rPr>
        <w:t>5.</w:t>
      </w:r>
      <w:r w:rsidRPr="001B5FF5">
        <w:rPr>
          <w:rFonts w:ascii="宋体" w:eastAsia="宋体" w:hAnsi="宋体" w:cs="宋体" w:hint="eastAsia"/>
          <w:b/>
          <w:bCs/>
          <w:color w:val="000000"/>
          <w:kern w:val="0"/>
          <w:sz w:val="24"/>
          <w:lang w:val="zh-CN"/>
        </w:rPr>
        <w:t>评分计分原则：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1B5FF5" w:rsidRPr="001B5FF5" w14:paraId="0FC003DE" w14:textId="77777777" w:rsidTr="00BF5EF3">
        <w:tc>
          <w:tcPr>
            <w:tcW w:w="828" w:type="dxa"/>
            <w:vAlign w:val="center"/>
          </w:tcPr>
          <w:p w14:paraId="68FD830C" w14:textId="77777777" w:rsidR="001B5FF5" w:rsidRPr="001B5FF5" w:rsidRDefault="001B5FF5" w:rsidP="001B5FF5">
            <w:pPr>
              <w:autoSpaceDE w:val="0"/>
              <w:autoSpaceDN w:val="0"/>
              <w:adjustRightInd w:val="0"/>
              <w:snapToGrid w:val="0"/>
              <w:spacing w:line="500" w:lineRule="exact"/>
              <w:rPr>
                <w:rFonts w:ascii="宋体" w:eastAsia="宋体" w:hAnsi="宋体" w:cs="楷体_GB2312"/>
                <w:color w:val="000000"/>
                <w:kern w:val="0"/>
                <w:sz w:val="24"/>
              </w:rPr>
            </w:pPr>
            <w:r w:rsidRPr="001B5FF5">
              <w:rPr>
                <w:rFonts w:ascii="宋体" w:eastAsia="宋体" w:hAnsi="宋体" w:cs="楷体_GB2312" w:hint="eastAsia"/>
                <w:color w:val="000000"/>
                <w:kern w:val="0"/>
                <w:sz w:val="24"/>
              </w:rPr>
              <w:t>等级</w:t>
            </w:r>
          </w:p>
        </w:tc>
        <w:tc>
          <w:tcPr>
            <w:tcW w:w="1578" w:type="dxa"/>
            <w:vAlign w:val="center"/>
          </w:tcPr>
          <w:p w14:paraId="60995D57"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优</w:t>
            </w:r>
          </w:p>
        </w:tc>
        <w:tc>
          <w:tcPr>
            <w:tcW w:w="1578" w:type="dxa"/>
            <w:vAlign w:val="center"/>
          </w:tcPr>
          <w:p w14:paraId="769EC7B7"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良</w:t>
            </w:r>
          </w:p>
        </w:tc>
        <w:tc>
          <w:tcPr>
            <w:tcW w:w="1579" w:type="dxa"/>
            <w:vAlign w:val="center"/>
          </w:tcPr>
          <w:p w14:paraId="4460B403"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一般</w:t>
            </w:r>
          </w:p>
        </w:tc>
        <w:tc>
          <w:tcPr>
            <w:tcW w:w="1578" w:type="dxa"/>
            <w:vAlign w:val="center"/>
          </w:tcPr>
          <w:p w14:paraId="4CE6ACBB"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及格</w:t>
            </w:r>
          </w:p>
        </w:tc>
        <w:tc>
          <w:tcPr>
            <w:tcW w:w="1579" w:type="dxa"/>
            <w:vAlign w:val="center"/>
          </w:tcPr>
          <w:p w14:paraId="487D7360"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不及格</w:t>
            </w:r>
          </w:p>
        </w:tc>
      </w:tr>
      <w:tr w:rsidR="001B5FF5" w:rsidRPr="001B5FF5" w14:paraId="26754E45" w14:textId="77777777" w:rsidTr="00BF5EF3">
        <w:tc>
          <w:tcPr>
            <w:tcW w:w="828" w:type="dxa"/>
            <w:vAlign w:val="center"/>
          </w:tcPr>
          <w:p w14:paraId="546114E5" w14:textId="77777777" w:rsidR="001B5FF5" w:rsidRPr="001B5FF5" w:rsidRDefault="001B5FF5" w:rsidP="001B5FF5">
            <w:pPr>
              <w:rPr>
                <w:rFonts w:ascii="宋体" w:eastAsia="宋体" w:hAnsi="宋体" w:cs="楷体_GB2312"/>
                <w:sz w:val="24"/>
              </w:rPr>
            </w:pPr>
            <w:r w:rsidRPr="001B5FF5">
              <w:rPr>
                <w:rFonts w:ascii="宋体" w:eastAsia="宋体" w:hAnsi="宋体" w:cs="Times New Roman" w:hint="eastAsia"/>
              </w:rPr>
              <w:t>分值</w:t>
            </w:r>
          </w:p>
        </w:tc>
        <w:tc>
          <w:tcPr>
            <w:tcW w:w="1578" w:type="dxa"/>
            <w:vAlign w:val="center"/>
          </w:tcPr>
          <w:p w14:paraId="2B6B6657" w14:textId="77777777" w:rsidR="001B5FF5" w:rsidRPr="001B5FF5" w:rsidRDefault="001B5FF5" w:rsidP="001B5FF5">
            <w:pPr>
              <w:jc w:val="center"/>
              <w:rPr>
                <w:rFonts w:ascii="宋体" w:eastAsia="宋体" w:hAnsi="宋体" w:cs="楷体_GB2312"/>
                <w:sz w:val="24"/>
              </w:rPr>
            </w:pPr>
            <w:r w:rsidRPr="001B5FF5">
              <w:rPr>
                <w:rFonts w:ascii="宋体" w:eastAsia="宋体" w:hAnsi="宋体" w:cs="楷体_GB2312" w:hint="eastAsia"/>
                <w:sz w:val="24"/>
              </w:rPr>
              <w:t>90-100</w:t>
            </w:r>
          </w:p>
        </w:tc>
        <w:tc>
          <w:tcPr>
            <w:tcW w:w="1578" w:type="dxa"/>
            <w:vAlign w:val="center"/>
          </w:tcPr>
          <w:p w14:paraId="5241E694" w14:textId="77777777" w:rsidR="001B5FF5" w:rsidRPr="001B5FF5" w:rsidRDefault="001B5FF5" w:rsidP="001B5FF5">
            <w:pPr>
              <w:autoSpaceDE w:val="0"/>
              <w:autoSpaceDN w:val="0"/>
              <w:adjustRightInd w:val="0"/>
              <w:snapToGrid w:val="0"/>
              <w:ind w:firstLineChars="200" w:firstLine="480"/>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80-89</w:t>
            </w:r>
          </w:p>
        </w:tc>
        <w:tc>
          <w:tcPr>
            <w:tcW w:w="1579" w:type="dxa"/>
            <w:vAlign w:val="center"/>
          </w:tcPr>
          <w:p w14:paraId="4537A6D7" w14:textId="77777777" w:rsidR="001B5FF5" w:rsidRPr="001B5FF5" w:rsidRDefault="001B5FF5" w:rsidP="001B5FF5">
            <w:pPr>
              <w:autoSpaceDE w:val="0"/>
              <w:autoSpaceDN w:val="0"/>
              <w:adjustRightInd w:val="0"/>
              <w:snapToGrid w:val="0"/>
              <w:ind w:firstLineChars="200" w:firstLine="420"/>
              <w:jc w:val="center"/>
              <w:rPr>
                <w:rFonts w:ascii="宋体" w:eastAsia="宋体" w:hAnsi="宋体" w:cs="Times New Roman"/>
              </w:rPr>
            </w:pPr>
            <w:r w:rsidRPr="001B5FF5">
              <w:rPr>
                <w:rFonts w:ascii="宋体" w:eastAsia="宋体" w:hAnsi="宋体" w:cs="Times New Roman" w:hint="eastAsia"/>
              </w:rPr>
              <w:t>70-79</w:t>
            </w:r>
          </w:p>
        </w:tc>
        <w:tc>
          <w:tcPr>
            <w:tcW w:w="1578" w:type="dxa"/>
            <w:vAlign w:val="center"/>
          </w:tcPr>
          <w:p w14:paraId="03084F3D"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60-69</w:t>
            </w:r>
          </w:p>
        </w:tc>
        <w:tc>
          <w:tcPr>
            <w:tcW w:w="1579" w:type="dxa"/>
            <w:vAlign w:val="center"/>
          </w:tcPr>
          <w:p w14:paraId="70D4956C"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60分以下</w:t>
            </w:r>
          </w:p>
        </w:tc>
      </w:tr>
      <w:tr w:rsidR="001B5FF5" w:rsidRPr="001B5FF5" w14:paraId="7192EF65" w14:textId="77777777" w:rsidTr="00BF5EF3">
        <w:tc>
          <w:tcPr>
            <w:tcW w:w="828" w:type="dxa"/>
            <w:vAlign w:val="center"/>
          </w:tcPr>
          <w:p w14:paraId="7D48652F" w14:textId="77777777" w:rsidR="001B5FF5" w:rsidRPr="001B5FF5" w:rsidRDefault="001B5FF5" w:rsidP="001B5FF5">
            <w:pPr>
              <w:autoSpaceDE w:val="0"/>
              <w:autoSpaceDN w:val="0"/>
              <w:adjustRightInd w:val="0"/>
              <w:snapToGrid w:val="0"/>
              <w:spacing w:line="500" w:lineRule="exact"/>
              <w:rPr>
                <w:rFonts w:ascii="宋体" w:eastAsia="宋体" w:hAnsi="宋体" w:cs="Times New Roman"/>
              </w:rPr>
            </w:pPr>
            <w:r w:rsidRPr="001B5FF5">
              <w:rPr>
                <w:rFonts w:ascii="宋体" w:eastAsia="宋体" w:hAnsi="宋体" w:cs="楷体_GB2312" w:hint="eastAsia"/>
                <w:color w:val="000000"/>
                <w:kern w:val="0"/>
                <w:sz w:val="24"/>
              </w:rPr>
              <w:t>标准</w:t>
            </w:r>
          </w:p>
        </w:tc>
        <w:tc>
          <w:tcPr>
            <w:tcW w:w="1578" w:type="dxa"/>
            <w:vAlign w:val="center"/>
          </w:tcPr>
          <w:p w14:paraId="5D5EBE26" w14:textId="77777777" w:rsidR="001B5FF5" w:rsidRPr="001B5FF5" w:rsidRDefault="001B5FF5" w:rsidP="001B5FF5">
            <w:pPr>
              <w:autoSpaceDE w:val="0"/>
              <w:autoSpaceDN w:val="0"/>
              <w:adjustRightInd w:val="0"/>
              <w:snapToGrid w:val="0"/>
              <w:ind w:firstLineChars="200" w:firstLine="420"/>
              <w:rPr>
                <w:rFonts w:ascii="宋体" w:eastAsia="宋体" w:hAnsi="宋体" w:cs="Times New Roman"/>
              </w:rPr>
            </w:pPr>
            <w:r w:rsidRPr="001B5FF5">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16B19E3C"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动作姿势较规范、方法运用较合理、技术较熟练、节奏处理较好、动作较流畅、</w:t>
            </w:r>
            <w:proofErr w:type="gramStart"/>
            <w:r w:rsidRPr="001B5FF5">
              <w:rPr>
                <w:rFonts w:ascii="宋体" w:eastAsia="宋体" w:hAnsi="宋体" w:cs="Times New Roman" w:hint="eastAsia"/>
              </w:rPr>
              <w:t>劲力较</w:t>
            </w:r>
            <w:proofErr w:type="gramEnd"/>
            <w:r w:rsidRPr="001B5FF5">
              <w:rPr>
                <w:rFonts w:ascii="宋体" w:eastAsia="宋体" w:hAnsi="宋体" w:cs="Times New Roman" w:hint="eastAsia"/>
              </w:rPr>
              <w:t>充足、风格较突出</w:t>
            </w:r>
          </w:p>
        </w:tc>
        <w:tc>
          <w:tcPr>
            <w:tcW w:w="1579" w:type="dxa"/>
            <w:vAlign w:val="center"/>
          </w:tcPr>
          <w:p w14:paraId="371022E3"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动作姿势基本规范、方法运用基本合理、动作流畅性、劲力、节奏、风格一般</w:t>
            </w:r>
          </w:p>
        </w:tc>
        <w:tc>
          <w:tcPr>
            <w:tcW w:w="1578" w:type="dxa"/>
            <w:vAlign w:val="center"/>
          </w:tcPr>
          <w:p w14:paraId="0117360F"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能独立完成套路</w:t>
            </w:r>
          </w:p>
        </w:tc>
        <w:tc>
          <w:tcPr>
            <w:tcW w:w="1579" w:type="dxa"/>
            <w:vAlign w:val="center"/>
          </w:tcPr>
          <w:p w14:paraId="72819DE3" w14:textId="77777777" w:rsidR="001B5FF5" w:rsidRPr="001B5FF5" w:rsidRDefault="001B5FF5" w:rsidP="001B5FF5">
            <w:pPr>
              <w:autoSpaceDE w:val="0"/>
              <w:autoSpaceDN w:val="0"/>
              <w:adjustRightInd w:val="0"/>
              <w:snapToGrid w:val="0"/>
              <w:ind w:firstLineChars="200" w:firstLine="420"/>
              <w:rPr>
                <w:rFonts w:ascii="宋体" w:eastAsia="宋体" w:hAnsi="宋体" w:cs="Times New Roman"/>
              </w:rPr>
            </w:pPr>
            <w:r w:rsidRPr="001B5FF5">
              <w:rPr>
                <w:rFonts w:ascii="宋体" w:eastAsia="宋体" w:hAnsi="宋体" w:cs="Times New Roman" w:hint="eastAsia"/>
              </w:rPr>
              <w:t>不能完成套路、动作姿势不规范、方法运用不合理、技术不熟练程、节奏、动作协调性、劲力、拳种风格特点不突出</w:t>
            </w:r>
          </w:p>
        </w:tc>
      </w:tr>
    </w:tbl>
    <w:p w14:paraId="2CF6EAA8" w14:textId="77777777" w:rsidR="001B5FF5" w:rsidRPr="001B5FF5" w:rsidRDefault="001B5FF5" w:rsidP="001B5FF5">
      <w:pPr>
        <w:spacing w:beforeLines="50" w:before="156" w:afterLines="50" w:after="156" w:line="440" w:lineRule="exact"/>
        <w:rPr>
          <w:rFonts w:ascii="黑体" w:eastAsia="黑体" w:hAnsi="黑体" w:cs="Times New Roman"/>
          <w:sz w:val="28"/>
          <w:szCs w:val="28"/>
        </w:rPr>
      </w:pPr>
    </w:p>
    <w:p w14:paraId="1794F757" w14:textId="77777777" w:rsidR="001B5FF5" w:rsidRPr="001B5FF5" w:rsidRDefault="001B5FF5" w:rsidP="001B5FF5">
      <w:pPr>
        <w:spacing w:beforeLines="50" w:before="156" w:afterLines="50" w:after="156" w:line="440" w:lineRule="exact"/>
        <w:jc w:val="center"/>
        <w:rPr>
          <w:rFonts w:ascii="黑体" w:eastAsia="黑体" w:hAnsi="黑体" w:cs="Times New Roman"/>
          <w:sz w:val="28"/>
          <w:szCs w:val="28"/>
        </w:rPr>
      </w:pPr>
      <w:r w:rsidRPr="001B5FF5">
        <w:rPr>
          <w:rFonts w:ascii="黑体" w:eastAsia="黑体" w:hAnsi="黑体" w:cs="Times New Roman" w:hint="eastAsia"/>
          <w:sz w:val="28"/>
          <w:szCs w:val="28"/>
        </w:rPr>
        <w:t>第二学期</w:t>
      </w:r>
    </w:p>
    <w:p w14:paraId="48E182F2" w14:textId="77777777" w:rsidR="001B5FF5" w:rsidRPr="001B5FF5" w:rsidRDefault="001B5FF5" w:rsidP="001B5FF5">
      <w:pPr>
        <w:adjustRightInd w:val="0"/>
        <w:snapToGrid w:val="0"/>
        <w:spacing w:line="500" w:lineRule="exact"/>
        <w:jc w:val="center"/>
        <w:rPr>
          <w:rFonts w:ascii="宋体" w:eastAsia="宋体" w:hAnsi="Calibri" w:cs="Times New Roman"/>
          <w:b/>
          <w:kern w:val="0"/>
          <w:sz w:val="24"/>
        </w:rPr>
      </w:pPr>
      <w:r w:rsidRPr="001B5FF5">
        <w:rPr>
          <w:rFonts w:ascii="宋体" w:eastAsia="宋体" w:hAnsi="Calibri" w:cs="Times New Roman" w:hint="eastAsia"/>
          <w:b/>
          <w:kern w:val="0"/>
          <w:sz w:val="24"/>
        </w:rPr>
        <w:t>期中考试</w:t>
      </w:r>
    </w:p>
    <w:p w14:paraId="0E695C8D"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1.课程考核目标：</w:t>
      </w:r>
      <w:r w:rsidRPr="001B5FF5">
        <w:rPr>
          <w:rFonts w:ascii="宋体" w:eastAsia="宋体" w:hAnsi="宋体" w:cs="Arial" w:hint="eastAsia"/>
          <w:bCs/>
          <w:color w:val="000000"/>
          <w:sz w:val="24"/>
        </w:rPr>
        <w:t>通过考核检验武术技术教学效果和学生掌握情况。</w:t>
      </w:r>
    </w:p>
    <w:p w14:paraId="7B105081"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2.课程考核的内容：</w:t>
      </w:r>
      <w:r w:rsidRPr="001B5FF5">
        <w:rPr>
          <w:rFonts w:ascii="宋体" w:eastAsia="宋体" w:hAnsi="宋体" w:cs="Arial" w:hint="eastAsia"/>
          <w:bCs/>
          <w:color w:val="000000"/>
          <w:sz w:val="24"/>
        </w:rPr>
        <w:t>长拳二段套路第一小节。</w:t>
      </w:r>
    </w:p>
    <w:p w14:paraId="3BED6969"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3.课程考核方式：</w:t>
      </w:r>
      <w:r w:rsidRPr="001B5FF5">
        <w:rPr>
          <w:rFonts w:ascii="宋体" w:eastAsia="宋体" w:hAnsi="宋体" w:cs="Arial" w:hint="eastAsia"/>
          <w:bCs/>
          <w:color w:val="000000"/>
          <w:sz w:val="24"/>
        </w:rPr>
        <w:t>单人单独演练</w:t>
      </w:r>
    </w:p>
    <w:p w14:paraId="1DF1C76D"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4.课程成绩构成：</w:t>
      </w:r>
      <w:r w:rsidRPr="001B5FF5">
        <w:rPr>
          <w:rFonts w:ascii="宋体" w:eastAsia="宋体" w:hAnsi="宋体" w:cs="Arial" w:hint="eastAsia"/>
          <w:bCs/>
          <w:color w:val="000000"/>
          <w:sz w:val="24"/>
        </w:rPr>
        <w:t xml:space="preserve"> 动作质量50分，演练50。</w:t>
      </w:r>
    </w:p>
    <w:p w14:paraId="5F7C51C0"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
          <w:color w:val="000000"/>
          <w:sz w:val="24"/>
        </w:rPr>
      </w:pPr>
      <w:r w:rsidRPr="001B5FF5">
        <w:rPr>
          <w:rFonts w:ascii="宋体" w:eastAsia="宋体" w:hAnsi="宋体" w:cs="Arial" w:hint="eastAsia"/>
          <w:b/>
          <w:color w:val="000000"/>
          <w:sz w:val="24"/>
        </w:rPr>
        <w:t>5.评分积分原则：</w:t>
      </w:r>
    </w:p>
    <w:p w14:paraId="3F591295" w14:textId="77777777" w:rsidR="001B5FF5" w:rsidRPr="001B5FF5" w:rsidRDefault="001B5FF5" w:rsidP="001B5FF5">
      <w:pPr>
        <w:spacing w:line="500" w:lineRule="exact"/>
        <w:ind w:firstLineChars="200" w:firstLine="482"/>
        <w:rPr>
          <w:rFonts w:ascii="宋体" w:eastAsia="宋体" w:hAnsi="宋体" w:cs="Arial"/>
          <w:b/>
          <w:bCs/>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1B5FF5" w:rsidRPr="001B5FF5" w14:paraId="7686D8B6" w14:textId="77777777" w:rsidTr="00BF5EF3">
        <w:tc>
          <w:tcPr>
            <w:tcW w:w="828" w:type="dxa"/>
            <w:vAlign w:val="center"/>
          </w:tcPr>
          <w:p w14:paraId="572AC42E" w14:textId="77777777" w:rsidR="001B5FF5" w:rsidRPr="001B5FF5" w:rsidRDefault="001B5FF5" w:rsidP="001B5FF5">
            <w:pPr>
              <w:autoSpaceDE w:val="0"/>
              <w:autoSpaceDN w:val="0"/>
              <w:adjustRightInd w:val="0"/>
              <w:snapToGrid w:val="0"/>
              <w:spacing w:line="500" w:lineRule="exact"/>
              <w:rPr>
                <w:rFonts w:ascii="宋体" w:eastAsia="宋体" w:hAnsi="宋体" w:cs="楷体_GB2312"/>
                <w:color w:val="000000"/>
                <w:kern w:val="0"/>
                <w:sz w:val="24"/>
              </w:rPr>
            </w:pPr>
            <w:r w:rsidRPr="001B5FF5">
              <w:rPr>
                <w:rFonts w:ascii="宋体" w:eastAsia="宋体" w:hAnsi="宋体" w:cs="楷体_GB2312" w:hint="eastAsia"/>
                <w:color w:val="000000"/>
                <w:kern w:val="0"/>
                <w:sz w:val="24"/>
              </w:rPr>
              <w:t>等级</w:t>
            </w:r>
          </w:p>
        </w:tc>
        <w:tc>
          <w:tcPr>
            <w:tcW w:w="1578" w:type="dxa"/>
            <w:vAlign w:val="center"/>
          </w:tcPr>
          <w:p w14:paraId="1EB501B0"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优</w:t>
            </w:r>
          </w:p>
        </w:tc>
        <w:tc>
          <w:tcPr>
            <w:tcW w:w="1578" w:type="dxa"/>
            <w:vAlign w:val="center"/>
          </w:tcPr>
          <w:p w14:paraId="210E82C6"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良</w:t>
            </w:r>
          </w:p>
        </w:tc>
        <w:tc>
          <w:tcPr>
            <w:tcW w:w="1579" w:type="dxa"/>
            <w:vAlign w:val="center"/>
          </w:tcPr>
          <w:p w14:paraId="44BBA47F"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一般</w:t>
            </w:r>
          </w:p>
        </w:tc>
        <w:tc>
          <w:tcPr>
            <w:tcW w:w="1578" w:type="dxa"/>
            <w:vAlign w:val="center"/>
          </w:tcPr>
          <w:p w14:paraId="6DA2694F"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及格</w:t>
            </w:r>
          </w:p>
        </w:tc>
        <w:tc>
          <w:tcPr>
            <w:tcW w:w="1579" w:type="dxa"/>
            <w:vAlign w:val="center"/>
          </w:tcPr>
          <w:p w14:paraId="0AAEFF5A"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不及格</w:t>
            </w:r>
          </w:p>
        </w:tc>
      </w:tr>
      <w:tr w:rsidR="001B5FF5" w:rsidRPr="001B5FF5" w14:paraId="02B21054" w14:textId="77777777" w:rsidTr="00BF5EF3">
        <w:tc>
          <w:tcPr>
            <w:tcW w:w="828" w:type="dxa"/>
            <w:vAlign w:val="center"/>
          </w:tcPr>
          <w:p w14:paraId="2E34C716" w14:textId="77777777" w:rsidR="001B5FF5" w:rsidRPr="001B5FF5" w:rsidRDefault="001B5FF5" w:rsidP="001B5FF5">
            <w:pPr>
              <w:rPr>
                <w:rFonts w:ascii="宋体" w:eastAsia="宋体" w:hAnsi="宋体" w:cs="楷体_GB2312"/>
                <w:sz w:val="24"/>
              </w:rPr>
            </w:pPr>
            <w:r w:rsidRPr="001B5FF5">
              <w:rPr>
                <w:rFonts w:ascii="宋体" w:eastAsia="宋体" w:hAnsi="宋体" w:cs="Times New Roman" w:hint="eastAsia"/>
              </w:rPr>
              <w:t>分值</w:t>
            </w:r>
          </w:p>
        </w:tc>
        <w:tc>
          <w:tcPr>
            <w:tcW w:w="1578" w:type="dxa"/>
            <w:vAlign w:val="center"/>
          </w:tcPr>
          <w:p w14:paraId="39C67255" w14:textId="77777777" w:rsidR="001B5FF5" w:rsidRPr="001B5FF5" w:rsidRDefault="001B5FF5" w:rsidP="001B5FF5">
            <w:pPr>
              <w:jc w:val="center"/>
              <w:rPr>
                <w:rFonts w:ascii="宋体" w:eastAsia="宋体" w:hAnsi="宋体" w:cs="楷体_GB2312"/>
                <w:sz w:val="24"/>
              </w:rPr>
            </w:pPr>
            <w:r w:rsidRPr="001B5FF5">
              <w:rPr>
                <w:rFonts w:ascii="宋体" w:eastAsia="宋体" w:hAnsi="宋体" w:cs="楷体_GB2312" w:hint="eastAsia"/>
                <w:sz w:val="24"/>
              </w:rPr>
              <w:t>90-100</w:t>
            </w:r>
          </w:p>
        </w:tc>
        <w:tc>
          <w:tcPr>
            <w:tcW w:w="1578" w:type="dxa"/>
            <w:vAlign w:val="center"/>
          </w:tcPr>
          <w:p w14:paraId="0D1CEA78" w14:textId="77777777" w:rsidR="001B5FF5" w:rsidRPr="001B5FF5" w:rsidRDefault="001B5FF5" w:rsidP="001B5FF5">
            <w:pPr>
              <w:autoSpaceDE w:val="0"/>
              <w:autoSpaceDN w:val="0"/>
              <w:adjustRightInd w:val="0"/>
              <w:snapToGrid w:val="0"/>
              <w:ind w:firstLineChars="200" w:firstLine="480"/>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80-89</w:t>
            </w:r>
          </w:p>
        </w:tc>
        <w:tc>
          <w:tcPr>
            <w:tcW w:w="1579" w:type="dxa"/>
            <w:vAlign w:val="center"/>
          </w:tcPr>
          <w:p w14:paraId="295BAAED" w14:textId="77777777" w:rsidR="001B5FF5" w:rsidRPr="001B5FF5" w:rsidRDefault="001B5FF5" w:rsidP="001B5FF5">
            <w:pPr>
              <w:autoSpaceDE w:val="0"/>
              <w:autoSpaceDN w:val="0"/>
              <w:adjustRightInd w:val="0"/>
              <w:snapToGrid w:val="0"/>
              <w:ind w:firstLineChars="200" w:firstLine="420"/>
              <w:jc w:val="center"/>
              <w:rPr>
                <w:rFonts w:ascii="宋体" w:eastAsia="宋体" w:hAnsi="宋体" w:cs="Times New Roman"/>
              </w:rPr>
            </w:pPr>
            <w:r w:rsidRPr="001B5FF5">
              <w:rPr>
                <w:rFonts w:ascii="宋体" w:eastAsia="宋体" w:hAnsi="宋体" w:cs="Times New Roman" w:hint="eastAsia"/>
              </w:rPr>
              <w:t>70-79</w:t>
            </w:r>
          </w:p>
        </w:tc>
        <w:tc>
          <w:tcPr>
            <w:tcW w:w="1578" w:type="dxa"/>
            <w:vAlign w:val="center"/>
          </w:tcPr>
          <w:p w14:paraId="3CB91BD1"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60-69</w:t>
            </w:r>
          </w:p>
        </w:tc>
        <w:tc>
          <w:tcPr>
            <w:tcW w:w="1579" w:type="dxa"/>
            <w:vAlign w:val="center"/>
          </w:tcPr>
          <w:p w14:paraId="246CF2F9"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60分以下</w:t>
            </w:r>
          </w:p>
        </w:tc>
      </w:tr>
      <w:tr w:rsidR="001B5FF5" w:rsidRPr="001B5FF5" w14:paraId="6F620C13" w14:textId="77777777" w:rsidTr="00BF5EF3">
        <w:tc>
          <w:tcPr>
            <w:tcW w:w="828" w:type="dxa"/>
            <w:vAlign w:val="center"/>
          </w:tcPr>
          <w:p w14:paraId="04292024" w14:textId="77777777" w:rsidR="001B5FF5" w:rsidRPr="001B5FF5" w:rsidRDefault="001B5FF5" w:rsidP="001B5FF5">
            <w:pPr>
              <w:autoSpaceDE w:val="0"/>
              <w:autoSpaceDN w:val="0"/>
              <w:adjustRightInd w:val="0"/>
              <w:snapToGrid w:val="0"/>
              <w:spacing w:line="500" w:lineRule="exact"/>
              <w:rPr>
                <w:rFonts w:ascii="宋体" w:eastAsia="宋体" w:hAnsi="宋体" w:cs="Times New Roman"/>
              </w:rPr>
            </w:pPr>
            <w:r w:rsidRPr="001B5FF5">
              <w:rPr>
                <w:rFonts w:ascii="宋体" w:eastAsia="宋体" w:hAnsi="宋体" w:cs="楷体_GB2312" w:hint="eastAsia"/>
                <w:color w:val="000000"/>
                <w:kern w:val="0"/>
                <w:sz w:val="24"/>
              </w:rPr>
              <w:t>标准</w:t>
            </w:r>
          </w:p>
        </w:tc>
        <w:tc>
          <w:tcPr>
            <w:tcW w:w="1578" w:type="dxa"/>
            <w:vAlign w:val="center"/>
          </w:tcPr>
          <w:p w14:paraId="38C2AC58" w14:textId="77777777" w:rsidR="001B5FF5" w:rsidRPr="001B5FF5" w:rsidRDefault="001B5FF5" w:rsidP="001B5FF5">
            <w:pPr>
              <w:autoSpaceDE w:val="0"/>
              <w:autoSpaceDN w:val="0"/>
              <w:adjustRightInd w:val="0"/>
              <w:snapToGrid w:val="0"/>
              <w:ind w:firstLineChars="200" w:firstLine="420"/>
              <w:rPr>
                <w:rFonts w:ascii="宋体" w:eastAsia="宋体" w:hAnsi="宋体" w:cs="Times New Roman"/>
              </w:rPr>
            </w:pPr>
            <w:r w:rsidRPr="001B5FF5">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1F5A7D55"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动作姿势较规范、方法运用较合理、技术较熟练、节奏处理较好、动作较流畅、</w:t>
            </w:r>
            <w:proofErr w:type="gramStart"/>
            <w:r w:rsidRPr="001B5FF5">
              <w:rPr>
                <w:rFonts w:ascii="宋体" w:eastAsia="宋体" w:hAnsi="宋体" w:cs="Times New Roman" w:hint="eastAsia"/>
              </w:rPr>
              <w:t>劲力较</w:t>
            </w:r>
            <w:proofErr w:type="gramEnd"/>
            <w:r w:rsidRPr="001B5FF5">
              <w:rPr>
                <w:rFonts w:ascii="宋体" w:eastAsia="宋体" w:hAnsi="宋体" w:cs="Times New Roman" w:hint="eastAsia"/>
              </w:rPr>
              <w:t>充足、风格较突出</w:t>
            </w:r>
          </w:p>
        </w:tc>
        <w:tc>
          <w:tcPr>
            <w:tcW w:w="1579" w:type="dxa"/>
            <w:vAlign w:val="center"/>
          </w:tcPr>
          <w:p w14:paraId="6D86FA78"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动作姿势基本规范、方法运用基本合理、动作流畅性、劲力、节奏、风格一般</w:t>
            </w:r>
          </w:p>
        </w:tc>
        <w:tc>
          <w:tcPr>
            <w:tcW w:w="1578" w:type="dxa"/>
            <w:vAlign w:val="center"/>
          </w:tcPr>
          <w:p w14:paraId="6E43D091"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能独立完成套路</w:t>
            </w:r>
          </w:p>
        </w:tc>
        <w:tc>
          <w:tcPr>
            <w:tcW w:w="1579" w:type="dxa"/>
            <w:vAlign w:val="center"/>
          </w:tcPr>
          <w:p w14:paraId="3AA537FF" w14:textId="77777777" w:rsidR="001B5FF5" w:rsidRPr="001B5FF5" w:rsidRDefault="001B5FF5" w:rsidP="001B5FF5">
            <w:pPr>
              <w:autoSpaceDE w:val="0"/>
              <w:autoSpaceDN w:val="0"/>
              <w:adjustRightInd w:val="0"/>
              <w:snapToGrid w:val="0"/>
              <w:ind w:firstLineChars="200" w:firstLine="420"/>
              <w:rPr>
                <w:rFonts w:ascii="宋体" w:eastAsia="宋体" w:hAnsi="宋体" w:cs="Times New Roman"/>
              </w:rPr>
            </w:pPr>
            <w:r w:rsidRPr="001B5FF5">
              <w:rPr>
                <w:rFonts w:ascii="宋体" w:eastAsia="宋体" w:hAnsi="宋体" w:cs="Times New Roman" w:hint="eastAsia"/>
              </w:rPr>
              <w:t>不能完成套路、动作姿势不规范、方法运用不合理、技术不熟练程、节奏、动作协调性、劲力、拳种风格特点不突出</w:t>
            </w:r>
          </w:p>
        </w:tc>
      </w:tr>
    </w:tbl>
    <w:p w14:paraId="1F7617F6" w14:textId="77777777" w:rsidR="001B5FF5" w:rsidRPr="001B5FF5" w:rsidRDefault="001B5FF5" w:rsidP="001B5FF5">
      <w:pPr>
        <w:adjustRightInd w:val="0"/>
        <w:snapToGrid w:val="0"/>
        <w:spacing w:line="500" w:lineRule="exact"/>
        <w:rPr>
          <w:rFonts w:ascii="宋体" w:eastAsia="宋体" w:hAnsi="Calibri" w:cs="Times New Roman"/>
          <w:bCs/>
          <w:kern w:val="0"/>
          <w:sz w:val="24"/>
        </w:rPr>
      </w:pPr>
    </w:p>
    <w:p w14:paraId="1081F0F1" w14:textId="77777777" w:rsidR="001B5FF5" w:rsidRPr="001B5FF5" w:rsidRDefault="001B5FF5" w:rsidP="001B5FF5">
      <w:pPr>
        <w:adjustRightInd w:val="0"/>
        <w:snapToGrid w:val="0"/>
        <w:spacing w:line="500" w:lineRule="exact"/>
        <w:jc w:val="center"/>
        <w:rPr>
          <w:rFonts w:ascii="宋体" w:eastAsia="宋体" w:hAnsi="Calibri" w:cs="Times New Roman"/>
          <w:b/>
          <w:kern w:val="0"/>
          <w:sz w:val="24"/>
        </w:rPr>
      </w:pPr>
      <w:r w:rsidRPr="001B5FF5">
        <w:rPr>
          <w:rFonts w:ascii="宋体" w:eastAsia="宋体" w:hAnsi="Calibri" w:cs="Times New Roman" w:hint="eastAsia"/>
          <w:b/>
          <w:kern w:val="0"/>
          <w:sz w:val="24"/>
        </w:rPr>
        <w:lastRenderedPageBreak/>
        <w:t>期末考试</w:t>
      </w:r>
    </w:p>
    <w:p w14:paraId="64050658"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1.课程考核目标：</w:t>
      </w:r>
      <w:r w:rsidRPr="001B5FF5">
        <w:rPr>
          <w:rFonts w:ascii="宋体" w:eastAsia="宋体" w:hAnsi="宋体" w:cs="Arial" w:hint="eastAsia"/>
          <w:bCs/>
          <w:color w:val="000000"/>
          <w:sz w:val="24"/>
        </w:rPr>
        <w:t>通过考核检验武术技术教学效果和学生掌握情况，使85%的学生达到长拳二段水平。</w:t>
      </w:r>
    </w:p>
    <w:p w14:paraId="2FD15209"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2.课程考核的内容：</w:t>
      </w:r>
      <w:r w:rsidRPr="001B5FF5">
        <w:rPr>
          <w:rFonts w:ascii="宋体" w:eastAsia="宋体" w:hAnsi="宋体" w:cs="Arial" w:hint="eastAsia"/>
          <w:bCs/>
          <w:color w:val="000000"/>
          <w:sz w:val="24"/>
        </w:rPr>
        <w:t>长拳二段套路</w:t>
      </w:r>
    </w:p>
    <w:p w14:paraId="0C44E49C"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3.课程考核方式：</w:t>
      </w:r>
      <w:r w:rsidRPr="001B5FF5">
        <w:rPr>
          <w:rFonts w:ascii="宋体" w:eastAsia="宋体" w:hAnsi="宋体" w:cs="Arial" w:hint="eastAsia"/>
          <w:bCs/>
          <w:color w:val="000000"/>
          <w:sz w:val="24"/>
        </w:rPr>
        <w:t>单人单独演练和两人对练</w:t>
      </w:r>
    </w:p>
    <w:p w14:paraId="4A02F722"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4.课程成绩构成：</w:t>
      </w:r>
      <w:r w:rsidRPr="001B5FF5">
        <w:rPr>
          <w:rFonts w:ascii="宋体" w:eastAsia="宋体" w:hAnsi="宋体" w:cs="Arial" w:hint="eastAsia"/>
          <w:bCs/>
          <w:color w:val="000000"/>
          <w:sz w:val="24"/>
        </w:rPr>
        <w:t xml:space="preserve">单人单独演练50分，两人对练分50分。 </w:t>
      </w:r>
    </w:p>
    <w:p w14:paraId="6ECFB19C"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
          <w:color w:val="000000"/>
          <w:sz w:val="24"/>
        </w:rPr>
      </w:pPr>
      <w:r w:rsidRPr="001B5FF5">
        <w:rPr>
          <w:rFonts w:ascii="宋体" w:eastAsia="宋体" w:hAnsi="宋体" w:cs="Arial" w:hint="eastAsia"/>
          <w:b/>
          <w:color w:val="000000"/>
          <w:sz w:val="24"/>
        </w:rPr>
        <w:t>5.评分积分原则：</w:t>
      </w:r>
    </w:p>
    <w:p w14:paraId="30DD9AD8" w14:textId="77777777" w:rsidR="001B5FF5" w:rsidRPr="001B5FF5" w:rsidRDefault="001B5FF5" w:rsidP="001B5FF5">
      <w:pPr>
        <w:spacing w:line="500" w:lineRule="exact"/>
        <w:ind w:firstLineChars="200" w:firstLine="482"/>
        <w:rPr>
          <w:rFonts w:ascii="宋体" w:eastAsia="宋体" w:hAnsi="宋体" w:cs="Arial"/>
          <w:b/>
          <w:bCs/>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1B5FF5" w:rsidRPr="001B5FF5" w14:paraId="72DB923F" w14:textId="77777777" w:rsidTr="00BF5EF3">
        <w:tc>
          <w:tcPr>
            <w:tcW w:w="828" w:type="dxa"/>
            <w:vAlign w:val="center"/>
          </w:tcPr>
          <w:p w14:paraId="408A1CF9" w14:textId="77777777" w:rsidR="001B5FF5" w:rsidRPr="001B5FF5" w:rsidRDefault="001B5FF5" w:rsidP="001B5FF5">
            <w:pPr>
              <w:autoSpaceDE w:val="0"/>
              <w:autoSpaceDN w:val="0"/>
              <w:adjustRightInd w:val="0"/>
              <w:snapToGrid w:val="0"/>
              <w:spacing w:line="500" w:lineRule="exact"/>
              <w:rPr>
                <w:rFonts w:ascii="宋体" w:eastAsia="宋体" w:hAnsi="宋体" w:cs="楷体_GB2312"/>
                <w:color w:val="000000"/>
                <w:kern w:val="0"/>
                <w:sz w:val="24"/>
              </w:rPr>
            </w:pPr>
            <w:r w:rsidRPr="001B5FF5">
              <w:rPr>
                <w:rFonts w:ascii="宋体" w:eastAsia="宋体" w:hAnsi="宋体" w:cs="楷体_GB2312" w:hint="eastAsia"/>
                <w:color w:val="000000"/>
                <w:kern w:val="0"/>
                <w:sz w:val="24"/>
              </w:rPr>
              <w:t>等级</w:t>
            </w:r>
          </w:p>
        </w:tc>
        <w:tc>
          <w:tcPr>
            <w:tcW w:w="1578" w:type="dxa"/>
            <w:vAlign w:val="center"/>
          </w:tcPr>
          <w:p w14:paraId="0D864165"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优</w:t>
            </w:r>
          </w:p>
        </w:tc>
        <w:tc>
          <w:tcPr>
            <w:tcW w:w="1578" w:type="dxa"/>
            <w:vAlign w:val="center"/>
          </w:tcPr>
          <w:p w14:paraId="7287775C"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良</w:t>
            </w:r>
          </w:p>
        </w:tc>
        <w:tc>
          <w:tcPr>
            <w:tcW w:w="1579" w:type="dxa"/>
            <w:vAlign w:val="center"/>
          </w:tcPr>
          <w:p w14:paraId="51FB030D"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一般</w:t>
            </w:r>
          </w:p>
        </w:tc>
        <w:tc>
          <w:tcPr>
            <w:tcW w:w="1578" w:type="dxa"/>
            <w:vAlign w:val="center"/>
          </w:tcPr>
          <w:p w14:paraId="25B0E2AA"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及格</w:t>
            </w:r>
          </w:p>
        </w:tc>
        <w:tc>
          <w:tcPr>
            <w:tcW w:w="1579" w:type="dxa"/>
            <w:vAlign w:val="center"/>
          </w:tcPr>
          <w:p w14:paraId="0DF45E8A"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不及格</w:t>
            </w:r>
          </w:p>
        </w:tc>
      </w:tr>
      <w:tr w:rsidR="001B5FF5" w:rsidRPr="001B5FF5" w14:paraId="7D926B05" w14:textId="77777777" w:rsidTr="00BF5EF3">
        <w:tc>
          <w:tcPr>
            <w:tcW w:w="828" w:type="dxa"/>
            <w:vAlign w:val="center"/>
          </w:tcPr>
          <w:p w14:paraId="6C866AFA" w14:textId="77777777" w:rsidR="001B5FF5" w:rsidRPr="001B5FF5" w:rsidRDefault="001B5FF5" w:rsidP="001B5FF5">
            <w:pPr>
              <w:rPr>
                <w:rFonts w:ascii="宋体" w:eastAsia="宋体" w:hAnsi="宋体" w:cs="楷体_GB2312"/>
                <w:sz w:val="24"/>
              </w:rPr>
            </w:pPr>
            <w:r w:rsidRPr="001B5FF5">
              <w:rPr>
                <w:rFonts w:ascii="宋体" w:eastAsia="宋体" w:hAnsi="宋体" w:cs="Times New Roman" w:hint="eastAsia"/>
              </w:rPr>
              <w:t>分值</w:t>
            </w:r>
          </w:p>
        </w:tc>
        <w:tc>
          <w:tcPr>
            <w:tcW w:w="1578" w:type="dxa"/>
            <w:vAlign w:val="center"/>
          </w:tcPr>
          <w:p w14:paraId="7BC2EED4" w14:textId="77777777" w:rsidR="001B5FF5" w:rsidRPr="001B5FF5" w:rsidRDefault="001B5FF5" w:rsidP="001B5FF5">
            <w:pPr>
              <w:jc w:val="center"/>
              <w:rPr>
                <w:rFonts w:ascii="宋体" w:eastAsia="宋体" w:hAnsi="宋体" w:cs="楷体_GB2312"/>
                <w:sz w:val="24"/>
              </w:rPr>
            </w:pPr>
            <w:r w:rsidRPr="001B5FF5">
              <w:rPr>
                <w:rFonts w:ascii="宋体" w:eastAsia="宋体" w:hAnsi="宋体" w:cs="楷体_GB2312" w:hint="eastAsia"/>
                <w:sz w:val="24"/>
              </w:rPr>
              <w:t>90-100</w:t>
            </w:r>
          </w:p>
        </w:tc>
        <w:tc>
          <w:tcPr>
            <w:tcW w:w="1578" w:type="dxa"/>
            <w:vAlign w:val="center"/>
          </w:tcPr>
          <w:p w14:paraId="00513E85" w14:textId="77777777" w:rsidR="001B5FF5" w:rsidRPr="001B5FF5" w:rsidRDefault="001B5FF5" w:rsidP="001B5FF5">
            <w:pPr>
              <w:autoSpaceDE w:val="0"/>
              <w:autoSpaceDN w:val="0"/>
              <w:adjustRightInd w:val="0"/>
              <w:snapToGrid w:val="0"/>
              <w:ind w:firstLineChars="200" w:firstLine="480"/>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80-89</w:t>
            </w:r>
          </w:p>
        </w:tc>
        <w:tc>
          <w:tcPr>
            <w:tcW w:w="1579" w:type="dxa"/>
            <w:vAlign w:val="center"/>
          </w:tcPr>
          <w:p w14:paraId="47D81F66" w14:textId="77777777" w:rsidR="001B5FF5" w:rsidRPr="001B5FF5" w:rsidRDefault="001B5FF5" w:rsidP="001B5FF5">
            <w:pPr>
              <w:autoSpaceDE w:val="0"/>
              <w:autoSpaceDN w:val="0"/>
              <w:adjustRightInd w:val="0"/>
              <w:snapToGrid w:val="0"/>
              <w:ind w:firstLineChars="200" w:firstLine="420"/>
              <w:jc w:val="center"/>
              <w:rPr>
                <w:rFonts w:ascii="宋体" w:eastAsia="宋体" w:hAnsi="宋体" w:cs="Times New Roman"/>
              </w:rPr>
            </w:pPr>
            <w:r w:rsidRPr="001B5FF5">
              <w:rPr>
                <w:rFonts w:ascii="宋体" w:eastAsia="宋体" w:hAnsi="宋体" w:cs="Times New Roman" w:hint="eastAsia"/>
              </w:rPr>
              <w:t>70-79</w:t>
            </w:r>
          </w:p>
        </w:tc>
        <w:tc>
          <w:tcPr>
            <w:tcW w:w="1578" w:type="dxa"/>
            <w:vAlign w:val="center"/>
          </w:tcPr>
          <w:p w14:paraId="493976E7"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60-69</w:t>
            </w:r>
          </w:p>
        </w:tc>
        <w:tc>
          <w:tcPr>
            <w:tcW w:w="1579" w:type="dxa"/>
            <w:vAlign w:val="center"/>
          </w:tcPr>
          <w:p w14:paraId="3C9364E5"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60分以下</w:t>
            </w:r>
          </w:p>
        </w:tc>
      </w:tr>
      <w:tr w:rsidR="001B5FF5" w:rsidRPr="001B5FF5" w14:paraId="15EB1A25" w14:textId="77777777" w:rsidTr="00BF5EF3">
        <w:tc>
          <w:tcPr>
            <w:tcW w:w="828" w:type="dxa"/>
            <w:vAlign w:val="center"/>
          </w:tcPr>
          <w:p w14:paraId="7520AA1B" w14:textId="77777777" w:rsidR="001B5FF5" w:rsidRPr="001B5FF5" w:rsidRDefault="001B5FF5" w:rsidP="001B5FF5">
            <w:pPr>
              <w:autoSpaceDE w:val="0"/>
              <w:autoSpaceDN w:val="0"/>
              <w:adjustRightInd w:val="0"/>
              <w:snapToGrid w:val="0"/>
              <w:spacing w:line="500" w:lineRule="exact"/>
              <w:rPr>
                <w:rFonts w:ascii="宋体" w:eastAsia="宋体" w:hAnsi="宋体" w:cs="Times New Roman"/>
              </w:rPr>
            </w:pPr>
            <w:r w:rsidRPr="001B5FF5">
              <w:rPr>
                <w:rFonts w:ascii="宋体" w:eastAsia="宋体" w:hAnsi="宋体" w:cs="楷体_GB2312" w:hint="eastAsia"/>
                <w:color w:val="000000"/>
                <w:kern w:val="0"/>
                <w:sz w:val="24"/>
              </w:rPr>
              <w:t>标准</w:t>
            </w:r>
          </w:p>
        </w:tc>
        <w:tc>
          <w:tcPr>
            <w:tcW w:w="1578" w:type="dxa"/>
            <w:vAlign w:val="center"/>
          </w:tcPr>
          <w:p w14:paraId="012AC16D" w14:textId="77777777" w:rsidR="001B5FF5" w:rsidRPr="001B5FF5" w:rsidRDefault="001B5FF5" w:rsidP="001B5FF5">
            <w:pPr>
              <w:autoSpaceDE w:val="0"/>
              <w:autoSpaceDN w:val="0"/>
              <w:adjustRightInd w:val="0"/>
              <w:snapToGrid w:val="0"/>
              <w:ind w:firstLineChars="200" w:firstLine="420"/>
              <w:rPr>
                <w:rFonts w:ascii="宋体" w:eastAsia="宋体" w:hAnsi="宋体" w:cs="Times New Roman"/>
              </w:rPr>
            </w:pPr>
            <w:r w:rsidRPr="001B5FF5">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604B3090"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动作姿势较规范、方法运用较合理、技术较熟练、节奏处理较好、动作较流畅、</w:t>
            </w:r>
            <w:proofErr w:type="gramStart"/>
            <w:r w:rsidRPr="001B5FF5">
              <w:rPr>
                <w:rFonts w:ascii="宋体" w:eastAsia="宋体" w:hAnsi="宋体" w:cs="Times New Roman" w:hint="eastAsia"/>
              </w:rPr>
              <w:t>劲力较</w:t>
            </w:r>
            <w:proofErr w:type="gramEnd"/>
            <w:r w:rsidRPr="001B5FF5">
              <w:rPr>
                <w:rFonts w:ascii="宋体" w:eastAsia="宋体" w:hAnsi="宋体" w:cs="Times New Roman" w:hint="eastAsia"/>
              </w:rPr>
              <w:t>充足、风格较突出</w:t>
            </w:r>
          </w:p>
        </w:tc>
        <w:tc>
          <w:tcPr>
            <w:tcW w:w="1579" w:type="dxa"/>
            <w:vAlign w:val="center"/>
          </w:tcPr>
          <w:p w14:paraId="3F92E678"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动作姿势基本规范、方法运用基本合理、动作流畅性、劲力、节奏、风格一般</w:t>
            </w:r>
          </w:p>
        </w:tc>
        <w:tc>
          <w:tcPr>
            <w:tcW w:w="1578" w:type="dxa"/>
            <w:vAlign w:val="center"/>
          </w:tcPr>
          <w:p w14:paraId="01A06CF4"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能独立完成套路</w:t>
            </w:r>
          </w:p>
        </w:tc>
        <w:tc>
          <w:tcPr>
            <w:tcW w:w="1579" w:type="dxa"/>
            <w:vAlign w:val="center"/>
          </w:tcPr>
          <w:p w14:paraId="02807A93" w14:textId="77777777" w:rsidR="001B5FF5" w:rsidRPr="001B5FF5" w:rsidRDefault="001B5FF5" w:rsidP="001B5FF5">
            <w:pPr>
              <w:autoSpaceDE w:val="0"/>
              <w:autoSpaceDN w:val="0"/>
              <w:adjustRightInd w:val="0"/>
              <w:snapToGrid w:val="0"/>
              <w:ind w:firstLineChars="200" w:firstLine="420"/>
              <w:rPr>
                <w:rFonts w:ascii="宋体" w:eastAsia="宋体" w:hAnsi="宋体" w:cs="Times New Roman"/>
              </w:rPr>
            </w:pPr>
            <w:r w:rsidRPr="001B5FF5">
              <w:rPr>
                <w:rFonts w:ascii="宋体" w:eastAsia="宋体" w:hAnsi="宋体" w:cs="Times New Roman" w:hint="eastAsia"/>
              </w:rPr>
              <w:t>不能完成套路、动作姿势不规范、方法运用不合理、技术不熟练程、节奏、动作协调性、劲力、拳种风格特点不突出</w:t>
            </w:r>
          </w:p>
        </w:tc>
      </w:tr>
    </w:tbl>
    <w:p w14:paraId="7756BA04" w14:textId="77777777" w:rsidR="001B5FF5" w:rsidRPr="001B5FF5" w:rsidRDefault="001B5FF5" w:rsidP="001B5FF5">
      <w:pPr>
        <w:spacing w:beforeLines="50" w:before="156" w:afterLines="50" w:after="156" w:line="440" w:lineRule="exact"/>
        <w:ind w:firstLineChars="150" w:firstLine="420"/>
        <w:rPr>
          <w:rFonts w:ascii="黑体" w:eastAsia="黑体" w:hAnsi="黑体" w:cs="Times New Roman"/>
          <w:sz w:val="28"/>
          <w:szCs w:val="28"/>
        </w:rPr>
      </w:pPr>
      <w:r w:rsidRPr="001B5FF5">
        <w:rPr>
          <w:rFonts w:ascii="黑体" w:eastAsia="黑体" w:hAnsi="黑体" w:cs="Times New Roman" w:hint="eastAsia"/>
          <w:sz w:val="28"/>
          <w:szCs w:val="28"/>
        </w:rPr>
        <w:t>第三学期</w:t>
      </w:r>
    </w:p>
    <w:p w14:paraId="552B2253" w14:textId="77777777" w:rsidR="001B5FF5" w:rsidRPr="001B5FF5" w:rsidRDefault="001B5FF5" w:rsidP="001B5FF5">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1B5FF5">
        <w:rPr>
          <w:rFonts w:ascii="宋体" w:eastAsia="宋体" w:hAnsi="Calibri" w:cs="Times New Roman" w:hint="eastAsia"/>
          <w:b/>
          <w:kern w:val="0"/>
          <w:sz w:val="24"/>
        </w:rPr>
        <w:t>期中考试</w:t>
      </w:r>
    </w:p>
    <w:p w14:paraId="72D0BDEA" w14:textId="77777777" w:rsidR="001B5FF5" w:rsidRPr="001B5FF5" w:rsidRDefault="001B5FF5" w:rsidP="001B5FF5">
      <w:pPr>
        <w:autoSpaceDE w:val="0"/>
        <w:autoSpaceDN w:val="0"/>
        <w:adjustRightInd w:val="0"/>
        <w:spacing w:line="500" w:lineRule="atLeas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1.课程考核目标：</w:t>
      </w:r>
      <w:r w:rsidRPr="001B5FF5">
        <w:rPr>
          <w:rFonts w:ascii="宋体" w:eastAsia="宋体" w:hAnsi="宋体" w:cs="Arial" w:hint="eastAsia"/>
          <w:bCs/>
          <w:color w:val="000000"/>
          <w:sz w:val="24"/>
        </w:rPr>
        <w:t>通过考核检验武术技术教学效果和学生掌握情况，</w:t>
      </w:r>
    </w:p>
    <w:p w14:paraId="4D12AC33" w14:textId="77777777" w:rsidR="001B5FF5" w:rsidRPr="001B5FF5" w:rsidRDefault="001B5FF5" w:rsidP="001B5FF5">
      <w:pPr>
        <w:autoSpaceDE w:val="0"/>
        <w:autoSpaceDN w:val="0"/>
        <w:adjustRightInd w:val="0"/>
        <w:spacing w:line="500" w:lineRule="atLeas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2.课程考核的内容：</w:t>
      </w:r>
      <w:r w:rsidRPr="001B5FF5">
        <w:rPr>
          <w:rFonts w:ascii="宋体" w:eastAsia="宋体" w:hAnsi="宋体" w:cs="Arial" w:hint="eastAsia"/>
          <w:bCs/>
          <w:color w:val="000000"/>
          <w:sz w:val="24"/>
        </w:rPr>
        <w:t>剑术二段套路第一小节</w:t>
      </w:r>
    </w:p>
    <w:p w14:paraId="6064F379" w14:textId="77777777" w:rsidR="001B5FF5" w:rsidRPr="001B5FF5" w:rsidRDefault="001B5FF5" w:rsidP="001B5FF5">
      <w:pPr>
        <w:autoSpaceDE w:val="0"/>
        <w:autoSpaceDN w:val="0"/>
        <w:adjustRightInd w:val="0"/>
        <w:spacing w:line="500" w:lineRule="atLeas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3.课程考核方式：</w:t>
      </w:r>
      <w:r w:rsidRPr="001B5FF5">
        <w:rPr>
          <w:rFonts w:ascii="宋体" w:eastAsia="宋体" w:hAnsi="宋体" w:cs="Arial" w:hint="eastAsia"/>
          <w:bCs/>
          <w:color w:val="000000"/>
          <w:sz w:val="24"/>
        </w:rPr>
        <w:t>单人单独演练</w:t>
      </w:r>
    </w:p>
    <w:p w14:paraId="1BDD45B9" w14:textId="77777777" w:rsidR="001B5FF5" w:rsidRPr="001B5FF5" w:rsidRDefault="001B5FF5" w:rsidP="001B5FF5">
      <w:pPr>
        <w:autoSpaceDE w:val="0"/>
        <w:autoSpaceDN w:val="0"/>
        <w:adjustRightInd w:val="0"/>
        <w:spacing w:line="500" w:lineRule="atLeas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4.课程成绩构成：</w:t>
      </w:r>
      <w:r w:rsidRPr="001B5FF5">
        <w:rPr>
          <w:rFonts w:ascii="宋体" w:eastAsia="宋体" w:hAnsi="宋体" w:cs="Arial" w:hint="eastAsia"/>
          <w:bCs/>
          <w:color w:val="000000"/>
          <w:sz w:val="24"/>
        </w:rPr>
        <w:t>动作质量50分，演练50分。</w:t>
      </w:r>
    </w:p>
    <w:p w14:paraId="12C878BE" w14:textId="77777777" w:rsidR="001B5FF5" w:rsidRPr="001B5FF5" w:rsidRDefault="001B5FF5" w:rsidP="001B5FF5">
      <w:pPr>
        <w:autoSpaceDE w:val="0"/>
        <w:autoSpaceDN w:val="0"/>
        <w:adjustRightInd w:val="0"/>
        <w:spacing w:line="500" w:lineRule="atLeast"/>
        <w:ind w:firstLineChars="200" w:firstLine="482"/>
        <w:rPr>
          <w:rFonts w:ascii="宋体" w:eastAsia="宋体" w:hAnsi="宋体" w:cs="Arial"/>
          <w:b/>
          <w:color w:val="000000"/>
          <w:sz w:val="24"/>
        </w:rPr>
      </w:pPr>
      <w:r w:rsidRPr="001B5FF5">
        <w:rPr>
          <w:rFonts w:ascii="宋体" w:eastAsia="宋体" w:hAnsi="宋体" w:cs="Arial" w:hint="eastAsia"/>
          <w:b/>
          <w:color w:val="000000"/>
          <w:sz w:val="24"/>
        </w:rPr>
        <w:t>5.评分积分原则：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1B5FF5" w:rsidRPr="001B5FF5" w14:paraId="47A0E8D6" w14:textId="77777777" w:rsidTr="00BF5EF3">
        <w:tc>
          <w:tcPr>
            <w:tcW w:w="828" w:type="dxa"/>
            <w:vAlign w:val="center"/>
          </w:tcPr>
          <w:p w14:paraId="2FCCBCC8" w14:textId="77777777" w:rsidR="001B5FF5" w:rsidRPr="001B5FF5" w:rsidRDefault="001B5FF5" w:rsidP="001B5FF5">
            <w:pPr>
              <w:autoSpaceDE w:val="0"/>
              <w:autoSpaceDN w:val="0"/>
              <w:adjustRightInd w:val="0"/>
              <w:snapToGrid w:val="0"/>
              <w:spacing w:line="500" w:lineRule="exact"/>
              <w:rPr>
                <w:rFonts w:ascii="宋体" w:eastAsia="宋体" w:hAnsi="宋体" w:cs="楷体_GB2312"/>
                <w:color w:val="000000"/>
                <w:kern w:val="0"/>
                <w:sz w:val="24"/>
              </w:rPr>
            </w:pPr>
            <w:r w:rsidRPr="001B5FF5">
              <w:rPr>
                <w:rFonts w:ascii="宋体" w:eastAsia="宋体" w:hAnsi="宋体" w:cs="楷体_GB2312" w:hint="eastAsia"/>
                <w:color w:val="000000"/>
                <w:kern w:val="0"/>
                <w:sz w:val="24"/>
              </w:rPr>
              <w:t>等级</w:t>
            </w:r>
          </w:p>
        </w:tc>
        <w:tc>
          <w:tcPr>
            <w:tcW w:w="1578" w:type="dxa"/>
            <w:vAlign w:val="center"/>
          </w:tcPr>
          <w:p w14:paraId="5C73217E"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优</w:t>
            </w:r>
          </w:p>
        </w:tc>
        <w:tc>
          <w:tcPr>
            <w:tcW w:w="1578" w:type="dxa"/>
            <w:vAlign w:val="center"/>
          </w:tcPr>
          <w:p w14:paraId="47D8BAA3"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良</w:t>
            </w:r>
          </w:p>
        </w:tc>
        <w:tc>
          <w:tcPr>
            <w:tcW w:w="1579" w:type="dxa"/>
            <w:vAlign w:val="center"/>
          </w:tcPr>
          <w:p w14:paraId="607CCD37"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一般</w:t>
            </w:r>
          </w:p>
        </w:tc>
        <w:tc>
          <w:tcPr>
            <w:tcW w:w="1578" w:type="dxa"/>
            <w:vAlign w:val="center"/>
          </w:tcPr>
          <w:p w14:paraId="2ED99431"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及格</w:t>
            </w:r>
          </w:p>
        </w:tc>
        <w:tc>
          <w:tcPr>
            <w:tcW w:w="1579" w:type="dxa"/>
            <w:vAlign w:val="center"/>
          </w:tcPr>
          <w:p w14:paraId="6C16F424"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不及格</w:t>
            </w:r>
          </w:p>
        </w:tc>
      </w:tr>
      <w:tr w:rsidR="001B5FF5" w:rsidRPr="001B5FF5" w14:paraId="0D2D5B2C" w14:textId="77777777" w:rsidTr="00BF5EF3">
        <w:tc>
          <w:tcPr>
            <w:tcW w:w="828" w:type="dxa"/>
            <w:vAlign w:val="center"/>
          </w:tcPr>
          <w:p w14:paraId="031138FB" w14:textId="77777777" w:rsidR="001B5FF5" w:rsidRPr="001B5FF5" w:rsidRDefault="001B5FF5" w:rsidP="001B5FF5">
            <w:pPr>
              <w:rPr>
                <w:rFonts w:ascii="宋体" w:eastAsia="宋体" w:hAnsi="宋体" w:cs="楷体_GB2312"/>
                <w:sz w:val="24"/>
              </w:rPr>
            </w:pPr>
            <w:r w:rsidRPr="001B5FF5">
              <w:rPr>
                <w:rFonts w:ascii="宋体" w:eastAsia="宋体" w:hAnsi="宋体" w:cs="Times New Roman" w:hint="eastAsia"/>
              </w:rPr>
              <w:t>分值</w:t>
            </w:r>
          </w:p>
        </w:tc>
        <w:tc>
          <w:tcPr>
            <w:tcW w:w="1578" w:type="dxa"/>
            <w:vAlign w:val="center"/>
          </w:tcPr>
          <w:p w14:paraId="46C3A37D" w14:textId="77777777" w:rsidR="001B5FF5" w:rsidRPr="001B5FF5" w:rsidRDefault="001B5FF5" w:rsidP="001B5FF5">
            <w:pPr>
              <w:jc w:val="center"/>
              <w:rPr>
                <w:rFonts w:ascii="宋体" w:eastAsia="宋体" w:hAnsi="宋体" w:cs="楷体_GB2312"/>
                <w:sz w:val="24"/>
              </w:rPr>
            </w:pPr>
            <w:r w:rsidRPr="001B5FF5">
              <w:rPr>
                <w:rFonts w:ascii="宋体" w:eastAsia="宋体" w:hAnsi="宋体" w:cs="楷体_GB2312" w:hint="eastAsia"/>
                <w:sz w:val="24"/>
              </w:rPr>
              <w:t>90-100</w:t>
            </w:r>
          </w:p>
        </w:tc>
        <w:tc>
          <w:tcPr>
            <w:tcW w:w="1578" w:type="dxa"/>
            <w:vAlign w:val="center"/>
          </w:tcPr>
          <w:p w14:paraId="5A63D5FE" w14:textId="77777777" w:rsidR="001B5FF5" w:rsidRPr="001B5FF5" w:rsidRDefault="001B5FF5" w:rsidP="001B5FF5">
            <w:pPr>
              <w:autoSpaceDE w:val="0"/>
              <w:autoSpaceDN w:val="0"/>
              <w:adjustRightInd w:val="0"/>
              <w:snapToGrid w:val="0"/>
              <w:ind w:firstLineChars="200" w:firstLine="480"/>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80-89</w:t>
            </w:r>
          </w:p>
        </w:tc>
        <w:tc>
          <w:tcPr>
            <w:tcW w:w="1579" w:type="dxa"/>
            <w:vAlign w:val="center"/>
          </w:tcPr>
          <w:p w14:paraId="43154B1D" w14:textId="77777777" w:rsidR="001B5FF5" w:rsidRPr="001B5FF5" w:rsidRDefault="001B5FF5" w:rsidP="001B5FF5">
            <w:pPr>
              <w:autoSpaceDE w:val="0"/>
              <w:autoSpaceDN w:val="0"/>
              <w:adjustRightInd w:val="0"/>
              <w:snapToGrid w:val="0"/>
              <w:ind w:firstLineChars="200" w:firstLine="420"/>
              <w:jc w:val="center"/>
              <w:rPr>
                <w:rFonts w:ascii="宋体" w:eastAsia="宋体" w:hAnsi="宋体" w:cs="Times New Roman"/>
              </w:rPr>
            </w:pPr>
            <w:r w:rsidRPr="001B5FF5">
              <w:rPr>
                <w:rFonts w:ascii="宋体" w:eastAsia="宋体" w:hAnsi="宋体" w:cs="Times New Roman" w:hint="eastAsia"/>
              </w:rPr>
              <w:t>70-79</w:t>
            </w:r>
          </w:p>
        </w:tc>
        <w:tc>
          <w:tcPr>
            <w:tcW w:w="1578" w:type="dxa"/>
            <w:vAlign w:val="center"/>
          </w:tcPr>
          <w:p w14:paraId="22EF6936"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60-69</w:t>
            </w:r>
          </w:p>
        </w:tc>
        <w:tc>
          <w:tcPr>
            <w:tcW w:w="1579" w:type="dxa"/>
            <w:vAlign w:val="center"/>
          </w:tcPr>
          <w:p w14:paraId="55A3EFA4"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60分以下</w:t>
            </w:r>
          </w:p>
        </w:tc>
      </w:tr>
      <w:tr w:rsidR="001B5FF5" w:rsidRPr="001B5FF5" w14:paraId="6AE3A0BB" w14:textId="77777777" w:rsidTr="00BF5EF3">
        <w:tc>
          <w:tcPr>
            <w:tcW w:w="828" w:type="dxa"/>
            <w:vAlign w:val="center"/>
          </w:tcPr>
          <w:p w14:paraId="200F4C60" w14:textId="77777777" w:rsidR="001B5FF5" w:rsidRPr="001B5FF5" w:rsidRDefault="001B5FF5" w:rsidP="001B5FF5">
            <w:pPr>
              <w:autoSpaceDE w:val="0"/>
              <w:autoSpaceDN w:val="0"/>
              <w:adjustRightInd w:val="0"/>
              <w:snapToGrid w:val="0"/>
              <w:spacing w:line="500" w:lineRule="exact"/>
              <w:rPr>
                <w:rFonts w:ascii="宋体" w:eastAsia="宋体" w:hAnsi="宋体" w:cs="Times New Roman"/>
              </w:rPr>
            </w:pPr>
            <w:r w:rsidRPr="001B5FF5">
              <w:rPr>
                <w:rFonts w:ascii="宋体" w:eastAsia="宋体" w:hAnsi="宋体" w:cs="楷体_GB2312" w:hint="eastAsia"/>
                <w:color w:val="000000"/>
                <w:kern w:val="0"/>
                <w:sz w:val="24"/>
              </w:rPr>
              <w:t>标准</w:t>
            </w:r>
          </w:p>
        </w:tc>
        <w:tc>
          <w:tcPr>
            <w:tcW w:w="1578" w:type="dxa"/>
            <w:vAlign w:val="center"/>
          </w:tcPr>
          <w:p w14:paraId="05F1CADB" w14:textId="77777777" w:rsidR="001B5FF5" w:rsidRPr="001B5FF5" w:rsidRDefault="001B5FF5" w:rsidP="001B5FF5">
            <w:pPr>
              <w:autoSpaceDE w:val="0"/>
              <w:autoSpaceDN w:val="0"/>
              <w:adjustRightInd w:val="0"/>
              <w:snapToGrid w:val="0"/>
              <w:ind w:firstLineChars="200" w:firstLine="420"/>
              <w:rPr>
                <w:rFonts w:ascii="宋体" w:eastAsia="宋体" w:hAnsi="宋体" w:cs="Times New Roman"/>
              </w:rPr>
            </w:pPr>
            <w:r w:rsidRPr="001B5FF5">
              <w:rPr>
                <w:rFonts w:ascii="宋体" w:eastAsia="宋体" w:hAnsi="宋体" w:cs="Times New Roman" w:hint="eastAsia"/>
              </w:rPr>
              <w:t>动作姿势规范、技术熟练、方法运用合理、舒展大方、节奏分明、</w:t>
            </w:r>
            <w:r w:rsidRPr="001B5FF5">
              <w:rPr>
                <w:rFonts w:ascii="宋体" w:eastAsia="宋体" w:hAnsi="宋体" w:cs="Times New Roman" w:hint="eastAsia"/>
              </w:rPr>
              <w:lastRenderedPageBreak/>
              <w:t>协调流畅、劲力充足、风格突出</w:t>
            </w:r>
          </w:p>
        </w:tc>
        <w:tc>
          <w:tcPr>
            <w:tcW w:w="1578" w:type="dxa"/>
            <w:vAlign w:val="center"/>
          </w:tcPr>
          <w:p w14:paraId="27FFEE14"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lastRenderedPageBreak/>
              <w:t>动作姿势较规范、方法运用较合理、技术较熟练、节奏处理较</w:t>
            </w:r>
            <w:r w:rsidRPr="001B5FF5">
              <w:rPr>
                <w:rFonts w:ascii="宋体" w:eastAsia="宋体" w:hAnsi="宋体" w:cs="Times New Roman" w:hint="eastAsia"/>
              </w:rPr>
              <w:lastRenderedPageBreak/>
              <w:t>好、动作较流畅、</w:t>
            </w:r>
            <w:proofErr w:type="gramStart"/>
            <w:r w:rsidRPr="001B5FF5">
              <w:rPr>
                <w:rFonts w:ascii="宋体" w:eastAsia="宋体" w:hAnsi="宋体" w:cs="Times New Roman" w:hint="eastAsia"/>
              </w:rPr>
              <w:t>劲力较</w:t>
            </w:r>
            <w:proofErr w:type="gramEnd"/>
            <w:r w:rsidRPr="001B5FF5">
              <w:rPr>
                <w:rFonts w:ascii="宋体" w:eastAsia="宋体" w:hAnsi="宋体" w:cs="Times New Roman" w:hint="eastAsia"/>
              </w:rPr>
              <w:t>充足、风格较突出</w:t>
            </w:r>
          </w:p>
        </w:tc>
        <w:tc>
          <w:tcPr>
            <w:tcW w:w="1579" w:type="dxa"/>
            <w:vAlign w:val="center"/>
          </w:tcPr>
          <w:p w14:paraId="205D49C9"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lastRenderedPageBreak/>
              <w:t>动作姿势基本规范、方法运用基本合理、动作流畅性、劲力、节</w:t>
            </w:r>
            <w:r w:rsidRPr="001B5FF5">
              <w:rPr>
                <w:rFonts w:ascii="宋体" w:eastAsia="宋体" w:hAnsi="宋体" w:cs="Times New Roman" w:hint="eastAsia"/>
              </w:rPr>
              <w:lastRenderedPageBreak/>
              <w:t>奏、风格一般</w:t>
            </w:r>
          </w:p>
        </w:tc>
        <w:tc>
          <w:tcPr>
            <w:tcW w:w="1578" w:type="dxa"/>
            <w:vAlign w:val="center"/>
          </w:tcPr>
          <w:p w14:paraId="35E479AA"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lastRenderedPageBreak/>
              <w:t>能独立完成套路</w:t>
            </w:r>
          </w:p>
        </w:tc>
        <w:tc>
          <w:tcPr>
            <w:tcW w:w="1579" w:type="dxa"/>
            <w:vAlign w:val="center"/>
          </w:tcPr>
          <w:p w14:paraId="191C39D7" w14:textId="77777777" w:rsidR="001B5FF5" w:rsidRPr="001B5FF5" w:rsidRDefault="001B5FF5" w:rsidP="001B5FF5">
            <w:pPr>
              <w:autoSpaceDE w:val="0"/>
              <w:autoSpaceDN w:val="0"/>
              <w:adjustRightInd w:val="0"/>
              <w:snapToGrid w:val="0"/>
              <w:ind w:firstLineChars="200" w:firstLine="420"/>
              <w:rPr>
                <w:rFonts w:ascii="宋体" w:eastAsia="宋体" w:hAnsi="宋体" w:cs="Times New Roman"/>
              </w:rPr>
            </w:pPr>
            <w:r w:rsidRPr="001B5FF5">
              <w:rPr>
                <w:rFonts w:ascii="宋体" w:eastAsia="宋体" w:hAnsi="宋体" w:cs="Times New Roman" w:hint="eastAsia"/>
              </w:rPr>
              <w:t>不能完成套路、动作姿势不规范、方法运用不合理、技术不熟</w:t>
            </w:r>
            <w:r w:rsidRPr="001B5FF5">
              <w:rPr>
                <w:rFonts w:ascii="宋体" w:eastAsia="宋体" w:hAnsi="宋体" w:cs="Times New Roman" w:hint="eastAsia"/>
              </w:rPr>
              <w:lastRenderedPageBreak/>
              <w:t>练程、节奏、动作协调性、劲力、拳种风格特点不突出</w:t>
            </w:r>
          </w:p>
        </w:tc>
      </w:tr>
    </w:tbl>
    <w:p w14:paraId="399A058B" w14:textId="77777777" w:rsidR="001B5FF5" w:rsidRPr="001B5FF5" w:rsidRDefault="001B5FF5" w:rsidP="001B5FF5">
      <w:pPr>
        <w:autoSpaceDE w:val="0"/>
        <w:autoSpaceDN w:val="0"/>
        <w:adjustRightInd w:val="0"/>
        <w:snapToGrid w:val="0"/>
        <w:spacing w:line="500" w:lineRule="exact"/>
        <w:rPr>
          <w:rFonts w:ascii="宋体" w:eastAsia="宋体" w:hAnsi="Calibri" w:cs="Times New Roman"/>
          <w:b/>
          <w:kern w:val="0"/>
          <w:sz w:val="24"/>
        </w:rPr>
      </w:pPr>
    </w:p>
    <w:p w14:paraId="64D376A4" w14:textId="77777777" w:rsidR="001B5FF5" w:rsidRPr="001B5FF5" w:rsidRDefault="001B5FF5" w:rsidP="001B5FF5">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1B5FF5">
        <w:rPr>
          <w:rFonts w:ascii="宋体" w:eastAsia="宋体" w:hAnsi="Calibri" w:cs="Times New Roman" w:hint="eastAsia"/>
          <w:b/>
          <w:kern w:val="0"/>
          <w:sz w:val="24"/>
        </w:rPr>
        <w:t>期末考试</w:t>
      </w:r>
    </w:p>
    <w:p w14:paraId="1F7B66EB" w14:textId="77777777" w:rsidR="001B5FF5" w:rsidRPr="001B5FF5" w:rsidRDefault="001B5FF5" w:rsidP="001B5FF5">
      <w:pPr>
        <w:autoSpaceDE w:val="0"/>
        <w:autoSpaceDN w:val="0"/>
        <w:adjustRightInd w:val="0"/>
        <w:spacing w:line="500" w:lineRule="atLeas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1.课程考核目标：</w:t>
      </w:r>
      <w:r w:rsidRPr="001B5FF5">
        <w:rPr>
          <w:rFonts w:ascii="宋体" w:eastAsia="宋体" w:hAnsi="宋体" w:cs="Arial" w:hint="eastAsia"/>
          <w:bCs/>
          <w:color w:val="000000"/>
          <w:sz w:val="24"/>
        </w:rPr>
        <w:t>通过考核检验武术技术教学效果和学生掌握情况，使85%的学生达到剑术二段水平。</w:t>
      </w:r>
    </w:p>
    <w:p w14:paraId="5C280A14" w14:textId="77777777" w:rsidR="001B5FF5" w:rsidRPr="001B5FF5" w:rsidRDefault="001B5FF5" w:rsidP="001B5FF5">
      <w:pPr>
        <w:autoSpaceDE w:val="0"/>
        <w:autoSpaceDN w:val="0"/>
        <w:adjustRightInd w:val="0"/>
        <w:spacing w:line="500" w:lineRule="atLeas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2.课程考核的内容：</w:t>
      </w:r>
      <w:r w:rsidRPr="001B5FF5">
        <w:rPr>
          <w:rFonts w:ascii="宋体" w:eastAsia="宋体" w:hAnsi="宋体" w:cs="Arial" w:hint="eastAsia"/>
          <w:bCs/>
          <w:color w:val="000000"/>
          <w:sz w:val="24"/>
        </w:rPr>
        <w:t>剑术二段套路</w:t>
      </w:r>
    </w:p>
    <w:p w14:paraId="071790C3" w14:textId="77777777" w:rsidR="001B5FF5" w:rsidRPr="001B5FF5" w:rsidRDefault="001B5FF5" w:rsidP="001B5FF5">
      <w:pPr>
        <w:autoSpaceDE w:val="0"/>
        <w:autoSpaceDN w:val="0"/>
        <w:adjustRightInd w:val="0"/>
        <w:spacing w:line="500" w:lineRule="atLeas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3.课程考核方式：</w:t>
      </w:r>
      <w:r w:rsidRPr="001B5FF5">
        <w:rPr>
          <w:rFonts w:ascii="宋体" w:eastAsia="宋体" w:hAnsi="宋体" w:cs="Arial" w:hint="eastAsia"/>
          <w:bCs/>
          <w:color w:val="000000"/>
          <w:sz w:val="24"/>
        </w:rPr>
        <w:t>单人单独演练和两人对练</w:t>
      </w:r>
    </w:p>
    <w:p w14:paraId="2E19471B" w14:textId="77777777" w:rsidR="001B5FF5" w:rsidRPr="001B5FF5" w:rsidRDefault="001B5FF5" w:rsidP="001B5FF5">
      <w:pPr>
        <w:autoSpaceDE w:val="0"/>
        <w:autoSpaceDN w:val="0"/>
        <w:adjustRightInd w:val="0"/>
        <w:spacing w:line="500" w:lineRule="atLeas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4.课程成绩构成：</w:t>
      </w:r>
      <w:r w:rsidRPr="001B5FF5">
        <w:rPr>
          <w:rFonts w:ascii="宋体" w:eastAsia="宋体" w:hAnsi="宋体" w:cs="Arial" w:hint="eastAsia"/>
          <w:bCs/>
          <w:color w:val="000000"/>
          <w:sz w:val="24"/>
        </w:rPr>
        <w:t xml:space="preserve">单人单独演练50分，两人对练分50分。 </w:t>
      </w:r>
    </w:p>
    <w:p w14:paraId="1AC9AE7A" w14:textId="77777777" w:rsidR="001B5FF5" w:rsidRPr="001B5FF5" w:rsidRDefault="001B5FF5" w:rsidP="001B5FF5">
      <w:pPr>
        <w:autoSpaceDE w:val="0"/>
        <w:autoSpaceDN w:val="0"/>
        <w:adjustRightInd w:val="0"/>
        <w:spacing w:line="500" w:lineRule="atLeast"/>
        <w:ind w:firstLineChars="200" w:firstLine="482"/>
        <w:rPr>
          <w:rFonts w:ascii="宋体" w:eastAsia="宋体" w:hAnsi="宋体" w:cs="Arial"/>
          <w:b/>
          <w:color w:val="000000"/>
          <w:sz w:val="24"/>
        </w:rPr>
      </w:pPr>
      <w:r w:rsidRPr="001B5FF5">
        <w:rPr>
          <w:rFonts w:ascii="宋体" w:eastAsia="宋体" w:hAnsi="宋体" w:cs="Arial" w:hint="eastAsia"/>
          <w:b/>
          <w:color w:val="000000"/>
          <w:sz w:val="24"/>
        </w:rPr>
        <w:t>5.评分积分原则：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1B5FF5" w:rsidRPr="001B5FF5" w14:paraId="0EC5220A" w14:textId="77777777" w:rsidTr="00BF5EF3">
        <w:tc>
          <w:tcPr>
            <w:tcW w:w="828" w:type="dxa"/>
            <w:vAlign w:val="center"/>
          </w:tcPr>
          <w:p w14:paraId="463745BA" w14:textId="77777777" w:rsidR="001B5FF5" w:rsidRPr="001B5FF5" w:rsidRDefault="001B5FF5" w:rsidP="001B5FF5">
            <w:pPr>
              <w:autoSpaceDE w:val="0"/>
              <w:autoSpaceDN w:val="0"/>
              <w:adjustRightInd w:val="0"/>
              <w:snapToGrid w:val="0"/>
              <w:spacing w:line="500" w:lineRule="exact"/>
              <w:rPr>
                <w:rFonts w:ascii="宋体" w:eastAsia="宋体" w:hAnsi="宋体" w:cs="楷体_GB2312"/>
                <w:color w:val="000000"/>
                <w:kern w:val="0"/>
                <w:sz w:val="24"/>
              </w:rPr>
            </w:pPr>
            <w:r w:rsidRPr="001B5FF5">
              <w:rPr>
                <w:rFonts w:ascii="宋体" w:eastAsia="宋体" w:hAnsi="宋体" w:cs="楷体_GB2312" w:hint="eastAsia"/>
                <w:color w:val="000000"/>
                <w:kern w:val="0"/>
                <w:sz w:val="24"/>
              </w:rPr>
              <w:t>等级</w:t>
            </w:r>
          </w:p>
        </w:tc>
        <w:tc>
          <w:tcPr>
            <w:tcW w:w="1578" w:type="dxa"/>
            <w:vAlign w:val="center"/>
          </w:tcPr>
          <w:p w14:paraId="517ACE61"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优</w:t>
            </w:r>
          </w:p>
        </w:tc>
        <w:tc>
          <w:tcPr>
            <w:tcW w:w="1578" w:type="dxa"/>
            <w:vAlign w:val="center"/>
          </w:tcPr>
          <w:p w14:paraId="6F4C48F6"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良</w:t>
            </w:r>
          </w:p>
        </w:tc>
        <w:tc>
          <w:tcPr>
            <w:tcW w:w="1579" w:type="dxa"/>
            <w:vAlign w:val="center"/>
          </w:tcPr>
          <w:p w14:paraId="5C97EA85"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一般</w:t>
            </w:r>
          </w:p>
        </w:tc>
        <w:tc>
          <w:tcPr>
            <w:tcW w:w="1578" w:type="dxa"/>
            <w:vAlign w:val="center"/>
          </w:tcPr>
          <w:p w14:paraId="4B0CD28C"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及格</w:t>
            </w:r>
          </w:p>
        </w:tc>
        <w:tc>
          <w:tcPr>
            <w:tcW w:w="1579" w:type="dxa"/>
            <w:vAlign w:val="center"/>
          </w:tcPr>
          <w:p w14:paraId="45F623B8"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不及格</w:t>
            </w:r>
          </w:p>
        </w:tc>
      </w:tr>
      <w:tr w:rsidR="001B5FF5" w:rsidRPr="001B5FF5" w14:paraId="3F8CA958" w14:textId="77777777" w:rsidTr="00BF5EF3">
        <w:tc>
          <w:tcPr>
            <w:tcW w:w="828" w:type="dxa"/>
            <w:vAlign w:val="center"/>
          </w:tcPr>
          <w:p w14:paraId="3BB78518" w14:textId="77777777" w:rsidR="001B5FF5" w:rsidRPr="001B5FF5" w:rsidRDefault="001B5FF5" w:rsidP="001B5FF5">
            <w:pPr>
              <w:rPr>
                <w:rFonts w:ascii="宋体" w:eastAsia="宋体" w:hAnsi="宋体" w:cs="楷体_GB2312"/>
                <w:sz w:val="24"/>
              </w:rPr>
            </w:pPr>
            <w:r w:rsidRPr="001B5FF5">
              <w:rPr>
                <w:rFonts w:ascii="宋体" w:eastAsia="宋体" w:hAnsi="宋体" w:cs="Times New Roman" w:hint="eastAsia"/>
              </w:rPr>
              <w:t>分值</w:t>
            </w:r>
          </w:p>
        </w:tc>
        <w:tc>
          <w:tcPr>
            <w:tcW w:w="1578" w:type="dxa"/>
            <w:vAlign w:val="center"/>
          </w:tcPr>
          <w:p w14:paraId="0A79AAAF" w14:textId="77777777" w:rsidR="001B5FF5" w:rsidRPr="001B5FF5" w:rsidRDefault="001B5FF5" w:rsidP="001B5FF5">
            <w:pPr>
              <w:jc w:val="center"/>
              <w:rPr>
                <w:rFonts w:ascii="宋体" w:eastAsia="宋体" w:hAnsi="宋体" w:cs="楷体_GB2312"/>
                <w:sz w:val="24"/>
              </w:rPr>
            </w:pPr>
            <w:r w:rsidRPr="001B5FF5">
              <w:rPr>
                <w:rFonts w:ascii="宋体" w:eastAsia="宋体" w:hAnsi="宋体" w:cs="楷体_GB2312" w:hint="eastAsia"/>
                <w:sz w:val="24"/>
              </w:rPr>
              <w:t>90-100</w:t>
            </w:r>
          </w:p>
        </w:tc>
        <w:tc>
          <w:tcPr>
            <w:tcW w:w="1578" w:type="dxa"/>
            <w:vAlign w:val="center"/>
          </w:tcPr>
          <w:p w14:paraId="7895C18E" w14:textId="77777777" w:rsidR="001B5FF5" w:rsidRPr="001B5FF5" w:rsidRDefault="001B5FF5" w:rsidP="001B5FF5">
            <w:pPr>
              <w:autoSpaceDE w:val="0"/>
              <w:autoSpaceDN w:val="0"/>
              <w:adjustRightInd w:val="0"/>
              <w:snapToGrid w:val="0"/>
              <w:ind w:firstLineChars="200" w:firstLine="480"/>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80-89</w:t>
            </w:r>
          </w:p>
        </w:tc>
        <w:tc>
          <w:tcPr>
            <w:tcW w:w="1579" w:type="dxa"/>
            <w:vAlign w:val="center"/>
          </w:tcPr>
          <w:p w14:paraId="242F5774" w14:textId="77777777" w:rsidR="001B5FF5" w:rsidRPr="001B5FF5" w:rsidRDefault="001B5FF5" w:rsidP="001B5FF5">
            <w:pPr>
              <w:autoSpaceDE w:val="0"/>
              <w:autoSpaceDN w:val="0"/>
              <w:adjustRightInd w:val="0"/>
              <w:snapToGrid w:val="0"/>
              <w:ind w:firstLineChars="200" w:firstLine="420"/>
              <w:jc w:val="center"/>
              <w:rPr>
                <w:rFonts w:ascii="宋体" w:eastAsia="宋体" w:hAnsi="宋体" w:cs="Times New Roman"/>
              </w:rPr>
            </w:pPr>
            <w:r w:rsidRPr="001B5FF5">
              <w:rPr>
                <w:rFonts w:ascii="宋体" w:eastAsia="宋体" w:hAnsi="宋体" w:cs="Times New Roman" w:hint="eastAsia"/>
              </w:rPr>
              <w:t>70-79</w:t>
            </w:r>
          </w:p>
        </w:tc>
        <w:tc>
          <w:tcPr>
            <w:tcW w:w="1578" w:type="dxa"/>
            <w:vAlign w:val="center"/>
          </w:tcPr>
          <w:p w14:paraId="473AC226"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60-69</w:t>
            </w:r>
          </w:p>
        </w:tc>
        <w:tc>
          <w:tcPr>
            <w:tcW w:w="1579" w:type="dxa"/>
            <w:vAlign w:val="center"/>
          </w:tcPr>
          <w:p w14:paraId="343710CF"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60分以下</w:t>
            </w:r>
          </w:p>
        </w:tc>
      </w:tr>
      <w:tr w:rsidR="001B5FF5" w:rsidRPr="001B5FF5" w14:paraId="50DD08D0" w14:textId="77777777" w:rsidTr="00BF5EF3">
        <w:tc>
          <w:tcPr>
            <w:tcW w:w="828" w:type="dxa"/>
            <w:vAlign w:val="center"/>
          </w:tcPr>
          <w:p w14:paraId="12496E23" w14:textId="77777777" w:rsidR="001B5FF5" w:rsidRPr="001B5FF5" w:rsidRDefault="001B5FF5" w:rsidP="001B5FF5">
            <w:pPr>
              <w:autoSpaceDE w:val="0"/>
              <w:autoSpaceDN w:val="0"/>
              <w:adjustRightInd w:val="0"/>
              <w:snapToGrid w:val="0"/>
              <w:spacing w:line="500" w:lineRule="exact"/>
              <w:rPr>
                <w:rFonts w:ascii="宋体" w:eastAsia="宋体" w:hAnsi="宋体" w:cs="Times New Roman"/>
              </w:rPr>
            </w:pPr>
            <w:r w:rsidRPr="001B5FF5">
              <w:rPr>
                <w:rFonts w:ascii="宋体" w:eastAsia="宋体" w:hAnsi="宋体" w:cs="楷体_GB2312" w:hint="eastAsia"/>
                <w:color w:val="000000"/>
                <w:kern w:val="0"/>
                <w:sz w:val="24"/>
              </w:rPr>
              <w:t>标准</w:t>
            </w:r>
          </w:p>
        </w:tc>
        <w:tc>
          <w:tcPr>
            <w:tcW w:w="1578" w:type="dxa"/>
            <w:vAlign w:val="center"/>
          </w:tcPr>
          <w:p w14:paraId="2612EE09" w14:textId="77777777" w:rsidR="001B5FF5" w:rsidRPr="001B5FF5" w:rsidRDefault="001B5FF5" w:rsidP="001B5FF5">
            <w:pPr>
              <w:autoSpaceDE w:val="0"/>
              <w:autoSpaceDN w:val="0"/>
              <w:adjustRightInd w:val="0"/>
              <w:snapToGrid w:val="0"/>
              <w:ind w:firstLineChars="200" w:firstLine="420"/>
              <w:rPr>
                <w:rFonts w:ascii="宋体" w:eastAsia="宋体" w:hAnsi="宋体" w:cs="Times New Roman"/>
              </w:rPr>
            </w:pPr>
            <w:r w:rsidRPr="001B5FF5">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3F42A763"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动作姿势较规范、方法运用较合理、技术较熟练、节奏处理较好、动作较流畅、</w:t>
            </w:r>
            <w:proofErr w:type="gramStart"/>
            <w:r w:rsidRPr="001B5FF5">
              <w:rPr>
                <w:rFonts w:ascii="宋体" w:eastAsia="宋体" w:hAnsi="宋体" w:cs="Times New Roman" w:hint="eastAsia"/>
              </w:rPr>
              <w:t>劲力较</w:t>
            </w:r>
            <w:proofErr w:type="gramEnd"/>
            <w:r w:rsidRPr="001B5FF5">
              <w:rPr>
                <w:rFonts w:ascii="宋体" w:eastAsia="宋体" w:hAnsi="宋体" w:cs="Times New Roman" w:hint="eastAsia"/>
              </w:rPr>
              <w:t>充足、风格较突出</w:t>
            </w:r>
          </w:p>
        </w:tc>
        <w:tc>
          <w:tcPr>
            <w:tcW w:w="1579" w:type="dxa"/>
            <w:vAlign w:val="center"/>
          </w:tcPr>
          <w:p w14:paraId="7B1C4BD1"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动作姿势基本规范、方法运用基本合理、动作流畅性、劲力、节奏、风格一般</w:t>
            </w:r>
          </w:p>
        </w:tc>
        <w:tc>
          <w:tcPr>
            <w:tcW w:w="1578" w:type="dxa"/>
            <w:vAlign w:val="center"/>
          </w:tcPr>
          <w:p w14:paraId="07957C60"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能独立完成套路</w:t>
            </w:r>
          </w:p>
        </w:tc>
        <w:tc>
          <w:tcPr>
            <w:tcW w:w="1579" w:type="dxa"/>
            <w:vAlign w:val="center"/>
          </w:tcPr>
          <w:p w14:paraId="0CD134A3" w14:textId="77777777" w:rsidR="001B5FF5" w:rsidRPr="001B5FF5" w:rsidRDefault="001B5FF5" w:rsidP="001B5FF5">
            <w:pPr>
              <w:autoSpaceDE w:val="0"/>
              <w:autoSpaceDN w:val="0"/>
              <w:adjustRightInd w:val="0"/>
              <w:snapToGrid w:val="0"/>
              <w:ind w:firstLineChars="200" w:firstLine="420"/>
              <w:rPr>
                <w:rFonts w:ascii="宋体" w:eastAsia="宋体" w:hAnsi="宋体" w:cs="Times New Roman"/>
              </w:rPr>
            </w:pPr>
            <w:r w:rsidRPr="001B5FF5">
              <w:rPr>
                <w:rFonts w:ascii="宋体" w:eastAsia="宋体" w:hAnsi="宋体" w:cs="Times New Roman" w:hint="eastAsia"/>
              </w:rPr>
              <w:t>不能完成套路、动作姿势不规范、方法运用不合理、技术不熟练程、节奏、动作协调性、劲力、拳种风格特点不突出</w:t>
            </w:r>
          </w:p>
        </w:tc>
      </w:tr>
    </w:tbl>
    <w:p w14:paraId="4AA7E4DC" w14:textId="77777777" w:rsidR="001B5FF5" w:rsidRPr="001B5FF5" w:rsidRDefault="001B5FF5" w:rsidP="001B5FF5">
      <w:pPr>
        <w:spacing w:beforeLines="50" w:before="156" w:afterLines="50" w:after="156" w:line="440" w:lineRule="exact"/>
        <w:ind w:firstLineChars="200" w:firstLine="560"/>
        <w:rPr>
          <w:rFonts w:ascii="黑体" w:eastAsia="黑体" w:hAnsi="黑体" w:cs="Times New Roman"/>
          <w:sz w:val="28"/>
          <w:szCs w:val="28"/>
        </w:rPr>
      </w:pPr>
      <w:r w:rsidRPr="001B5FF5">
        <w:rPr>
          <w:rFonts w:ascii="黑体" w:eastAsia="黑体" w:hAnsi="黑体" w:cs="Times New Roman" w:hint="eastAsia"/>
          <w:sz w:val="28"/>
          <w:szCs w:val="28"/>
        </w:rPr>
        <w:t>第四学期</w:t>
      </w:r>
    </w:p>
    <w:p w14:paraId="2603A8D6" w14:textId="77777777" w:rsidR="001B5FF5" w:rsidRPr="001B5FF5" w:rsidRDefault="001B5FF5" w:rsidP="001B5FF5">
      <w:pPr>
        <w:adjustRightInd w:val="0"/>
        <w:snapToGrid w:val="0"/>
        <w:spacing w:line="500" w:lineRule="exact"/>
        <w:jc w:val="center"/>
        <w:rPr>
          <w:rFonts w:ascii="宋体" w:eastAsia="宋体" w:hAnsi="Calibri" w:cs="Times New Roman"/>
          <w:b/>
          <w:kern w:val="0"/>
          <w:sz w:val="24"/>
        </w:rPr>
      </w:pPr>
      <w:r w:rsidRPr="001B5FF5">
        <w:rPr>
          <w:rFonts w:ascii="宋体" w:eastAsia="宋体" w:hAnsi="Calibri" w:cs="Times New Roman" w:hint="eastAsia"/>
          <w:b/>
          <w:kern w:val="0"/>
          <w:sz w:val="24"/>
        </w:rPr>
        <w:t>期中考试</w:t>
      </w:r>
    </w:p>
    <w:p w14:paraId="7570D635"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1.课程考核目标：</w:t>
      </w:r>
      <w:r w:rsidRPr="001B5FF5">
        <w:rPr>
          <w:rFonts w:ascii="宋体" w:eastAsia="宋体" w:hAnsi="宋体" w:cs="Arial" w:hint="eastAsia"/>
          <w:bCs/>
          <w:color w:val="000000"/>
          <w:sz w:val="24"/>
        </w:rPr>
        <w:t>通过考核检验武术技术教学效果和学生掌握情况。</w:t>
      </w:r>
    </w:p>
    <w:p w14:paraId="04D69F80"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2.课程考核的内容：</w:t>
      </w:r>
      <w:r w:rsidRPr="001B5FF5">
        <w:rPr>
          <w:rFonts w:ascii="宋体" w:eastAsia="宋体" w:hAnsi="宋体" w:cs="Arial" w:hint="eastAsia"/>
          <w:bCs/>
          <w:color w:val="000000"/>
          <w:sz w:val="24"/>
        </w:rPr>
        <w:t>长拳二段套路第一小节。</w:t>
      </w:r>
    </w:p>
    <w:p w14:paraId="38B1A8DF"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3.课程考核方式：</w:t>
      </w:r>
      <w:r w:rsidRPr="001B5FF5">
        <w:rPr>
          <w:rFonts w:ascii="宋体" w:eastAsia="宋体" w:hAnsi="宋体" w:cs="Arial" w:hint="eastAsia"/>
          <w:bCs/>
          <w:color w:val="000000"/>
          <w:sz w:val="24"/>
        </w:rPr>
        <w:t>单人单独演练</w:t>
      </w:r>
    </w:p>
    <w:p w14:paraId="12A855C5"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4.课程成绩构成：</w:t>
      </w:r>
      <w:r w:rsidRPr="001B5FF5">
        <w:rPr>
          <w:rFonts w:ascii="宋体" w:eastAsia="宋体" w:hAnsi="宋体" w:cs="Arial" w:hint="eastAsia"/>
          <w:bCs/>
          <w:color w:val="000000"/>
          <w:sz w:val="24"/>
        </w:rPr>
        <w:t xml:space="preserve"> 动作质量50分，演练50。</w:t>
      </w:r>
    </w:p>
    <w:p w14:paraId="5EEF297A"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
          <w:color w:val="000000"/>
          <w:sz w:val="24"/>
        </w:rPr>
      </w:pPr>
      <w:r w:rsidRPr="001B5FF5">
        <w:rPr>
          <w:rFonts w:ascii="宋体" w:eastAsia="宋体" w:hAnsi="宋体" w:cs="Arial" w:hint="eastAsia"/>
          <w:b/>
          <w:color w:val="000000"/>
          <w:sz w:val="24"/>
        </w:rPr>
        <w:t>5.评分积分原则：</w:t>
      </w:r>
    </w:p>
    <w:p w14:paraId="18170F08" w14:textId="77777777" w:rsidR="001B5FF5" w:rsidRPr="001B5FF5" w:rsidRDefault="001B5FF5" w:rsidP="001B5FF5">
      <w:pPr>
        <w:spacing w:line="500" w:lineRule="exact"/>
        <w:ind w:firstLineChars="200" w:firstLine="482"/>
        <w:rPr>
          <w:rFonts w:ascii="宋体" w:eastAsia="宋体" w:hAnsi="宋体" w:cs="Arial"/>
          <w:b/>
          <w:bCs/>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1B5FF5" w:rsidRPr="001B5FF5" w14:paraId="5DF757B2" w14:textId="77777777" w:rsidTr="00BF5EF3">
        <w:tc>
          <w:tcPr>
            <w:tcW w:w="828" w:type="dxa"/>
            <w:vAlign w:val="center"/>
          </w:tcPr>
          <w:p w14:paraId="47A853FD" w14:textId="77777777" w:rsidR="001B5FF5" w:rsidRPr="001B5FF5" w:rsidRDefault="001B5FF5" w:rsidP="001B5FF5">
            <w:pPr>
              <w:autoSpaceDE w:val="0"/>
              <w:autoSpaceDN w:val="0"/>
              <w:adjustRightInd w:val="0"/>
              <w:snapToGrid w:val="0"/>
              <w:spacing w:line="500" w:lineRule="exact"/>
              <w:rPr>
                <w:rFonts w:ascii="宋体" w:eastAsia="宋体" w:hAnsi="宋体" w:cs="楷体_GB2312"/>
                <w:color w:val="000000"/>
                <w:kern w:val="0"/>
                <w:sz w:val="24"/>
              </w:rPr>
            </w:pPr>
            <w:r w:rsidRPr="001B5FF5">
              <w:rPr>
                <w:rFonts w:ascii="宋体" w:eastAsia="宋体" w:hAnsi="宋体" w:cs="楷体_GB2312" w:hint="eastAsia"/>
                <w:color w:val="000000"/>
                <w:kern w:val="0"/>
                <w:sz w:val="24"/>
              </w:rPr>
              <w:t>等级</w:t>
            </w:r>
          </w:p>
        </w:tc>
        <w:tc>
          <w:tcPr>
            <w:tcW w:w="1578" w:type="dxa"/>
            <w:vAlign w:val="center"/>
          </w:tcPr>
          <w:p w14:paraId="1FAADF96"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优</w:t>
            </w:r>
          </w:p>
        </w:tc>
        <w:tc>
          <w:tcPr>
            <w:tcW w:w="1578" w:type="dxa"/>
            <w:vAlign w:val="center"/>
          </w:tcPr>
          <w:p w14:paraId="79504CB0"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良</w:t>
            </w:r>
          </w:p>
        </w:tc>
        <w:tc>
          <w:tcPr>
            <w:tcW w:w="1579" w:type="dxa"/>
            <w:vAlign w:val="center"/>
          </w:tcPr>
          <w:p w14:paraId="189AFBEB"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一般</w:t>
            </w:r>
          </w:p>
        </w:tc>
        <w:tc>
          <w:tcPr>
            <w:tcW w:w="1578" w:type="dxa"/>
            <w:vAlign w:val="center"/>
          </w:tcPr>
          <w:p w14:paraId="0CBF2324"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及格</w:t>
            </w:r>
          </w:p>
        </w:tc>
        <w:tc>
          <w:tcPr>
            <w:tcW w:w="1579" w:type="dxa"/>
            <w:vAlign w:val="center"/>
          </w:tcPr>
          <w:p w14:paraId="1BB3DB78"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不及格</w:t>
            </w:r>
          </w:p>
        </w:tc>
      </w:tr>
      <w:tr w:rsidR="001B5FF5" w:rsidRPr="001B5FF5" w14:paraId="13F1ADF5" w14:textId="77777777" w:rsidTr="00BF5EF3">
        <w:tc>
          <w:tcPr>
            <w:tcW w:w="828" w:type="dxa"/>
            <w:vAlign w:val="center"/>
          </w:tcPr>
          <w:p w14:paraId="74EC1DFB" w14:textId="77777777" w:rsidR="001B5FF5" w:rsidRPr="001B5FF5" w:rsidRDefault="001B5FF5" w:rsidP="001B5FF5">
            <w:pPr>
              <w:rPr>
                <w:rFonts w:ascii="宋体" w:eastAsia="宋体" w:hAnsi="宋体" w:cs="楷体_GB2312"/>
                <w:sz w:val="24"/>
              </w:rPr>
            </w:pPr>
            <w:r w:rsidRPr="001B5FF5">
              <w:rPr>
                <w:rFonts w:ascii="宋体" w:eastAsia="宋体" w:hAnsi="宋体" w:cs="Times New Roman" w:hint="eastAsia"/>
              </w:rPr>
              <w:lastRenderedPageBreak/>
              <w:t>分值</w:t>
            </w:r>
          </w:p>
        </w:tc>
        <w:tc>
          <w:tcPr>
            <w:tcW w:w="1578" w:type="dxa"/>
            <w:vAlign w:val="center"/>
          </w:tcPr>
          <w:p w14:paraId="2147099E" w14:textId="77777777" w:rsidR="001B5FF5" w:rsidRPr="001B5FF5" w:rsidRDefault="001B5FF5" w:rsidP="001B5FF5">
            <w:pPr>
              <w:jc w:val="center"/>
              <w:rPr>
                <w:rFonts w:ascii="宋体" w:eastAsia="宋体" w:hAnsi="宋体" w:cs="楷体_GB2312"/>
                <w:sz w:val="24"/>
              </w:rPr>
            </w:pPr>
            <w:r w:rsidRPr="001B5FF5">
              <w:rPr>
                <w:rFonts w:ascii="宋体" w:eastAsia="宋体" w:hAnsi="宋体" w:cs="楷体_GB2312" w:hint="eastAsia"/>
                <w:sz w:val="24"/>
              </w:rPr>
              <w:t>90-100</w:t>
            </w:r>
          </w:p>
        </w:tc>
        <w:tc>
          <w:tcPr>
            <w:tcW w:w="1578" w:type="dxa"/>
            <w:vAlign w:val="center"/>
          </w:tcPr>
          <w:p w14:paraId="3D48A760" w14:textId="77777777" w:rsidR="001B5FF5" w:rsidRPr="001B5FF5" w:rsidRDefault="001B5FF5" w:rsidP="001B5FF5">
            <w:pPr>
              <w:autoSpaceDE w:val="0"/>
              <w:autoSpaceDN w:val="0"/>
              <w:adjustRightInd w:val="0"/>
              <w:snapToGrid w:val="0"/>
              <w:ind w:firstLineChars="200" w:firstLine="480"/>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80-89</w:t>
            </w:r>
          </w:p>
        </w:tc>
        <w:tc>
          <w:tcPr>
            <w:tcW w:w="1579" w:type="dxa"/>
            <w:vAlign w:val="center"/>
          </w:tcPr>
          <w:p w14:paraId="2749D176" w14:textId="77777777" w:rsidR="001B5FF5" w:rsidRPr="001B5FF5" w:rsidRDefault="001B5FF5" w:rsidP="001B5FF5">
            <w:pPr>
              <w:autoSpaceDE w:val="0"/>
              <w:autoSpaceDN w:val="0"/>
              <w:adjustRightInd w:val="0"/>
              <w:snapToGrid w:val="0"/>
              <w:ind w:firstLineChars="200" w:firstLine="420"/>
              <w:jc w:val="center"/>
              <w:rPr>
                <w:rFonts w:ascii="宋体" w:eastAsia="宋体" w:hAnsi="宋体" w:cs="Times New Roman"/>
              </w:rPr>
            </w:pPr>
            <w:r w:rsidRPr="001B5FF5">
              <w:rPr>
                <w:rFonts w:ascii="宋体" w:eastAsia="宋体" w:hAnsi="宋体" w:cs="Times New Roman" w:hint="eastAsia"/>
              </w:rPr>
              <w:t>70-79</w:t>
            </w:r>
          </w:p>
        </w:tc>
        <w:tc>
          <w:tcPr>
            <w:tcW w:w="1578" w:type="dxa"/>
            <w:vAlign w:val="center"/>
          </w:tcPr>
          <w:p w14:paraId="55F56F90"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60-69</w:t>
            </w:r>
          </w:p>
        </w:tc>
        <w:tc>
          <w:tcPr>
            <w:tcW w:w="1579" w:type="dxa"/>
            <w:vAlign w:val="center"/>
          </w:tcPr>
          <w:p w14:paraId="43C5BD08"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60分以下</w:t>
            </w:r>
          </w:p>
        </w:tc>
      </w:tr>
      <w:tr w:rsidR="001B5FF5" w:rsidRPr="001B5FF5" w14:paraId="7A4510E7" w14:textId="77777777" w:rsidTr="00BF5EF3">
        <w:tc>
          <w:tcPr>
            <w:tcW w:w="828" w:type="dxa"/>
            <w:vAlign w:val="center"/>
          </w:tcPr>
          <w:p w14:paraId="39AB3F82" w14:textId="77777777" w:rsidR="001B5FF5" w:rsidRPr="001B5FF5" w:rsidRDefault="001B5FF5" w:rsidP="001B5FF5">
            <w:pPr>
              <w:autoSpaceDE w:val="0"/>
              <w:autoSpaceDN w:val="0"/>
              <w:adjustRightInd w:val="0"/>
              <w:snapToGrid w:val="0"/>
              <w:spacing w:line="500" w:lineRule="exact"/>
              <w:rPr>
                <w:rFonts w:ascii="宋体" w:eastAsia="宋体" w:hAnsi="宋体" w:cs="Times New Roman"/>
              </w:rPr>
            </w:pPr>
            <w:r w:rsidRPr="001B5FF5">
              <w:rPr>
                <w:rFonts w:ascii="宋体" w:eastAsia="宋体" w:hAnsi="宋体" w:cs="楷体_GB2312" w:hint="eastAsia"/>
                <w:color w:val="000000"/>
                <w:kern w:val="0"/>
                <w:sz w:val="24"/>
              </w:rPr>
              <w:t>标准</w:t>
            </w:r>
          </w:p>
        </w:tc>
        <w:tc>
          <w:tcPr>
            <w:tcW w:w="1578" w:type="dxa"/>
            <w:vAlign w:val="center"/>
          </w:tcPr>
          <w:p w14:paraId="79B03E35" w14:textId="77777777" w:rsidR="001B5FF5" w:rsidRPr="001B5FF5" w:rsidRDefault="001B5FF5" w:rsidP="001B5FF5">
            <w:pPr>
              <w:autoSpaceDE w:val="0"/>
              <w:autoSpaceDN w:val="0"/>
              <w:adjustRightInd w:val="0"/>
              <w:snapToGrid w:val="0"/>
              <w:ind w:firstLineChars="200" w:firstLine="420"/>
              <w:rPr>
                <w:rFonts w:ascii="宋体" w:eastAsia="宋体" w:hAnsi="宋体" w:cs="Times New Roman"/>
              </w:rPr>
            </w:pPr>
            <w:r w:rsidRPr="001B5FF5">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794F6B3D"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动作姿势较规范、方法运用较合理、技术较熟练、节奏处理较好、动作较流畅、</w:t>
            </w:r>
            <w:proofErr w:type="gramStart"/>
            <w:r w:rsidRPr="001B5FF5">
              <w:rPr>
                <w:rFonts w:ascii="宋体" w:eastAsia="宋体" w:hAnsi="宋体" w:cs="Times New Roman" w:hint="eastAsia"/>
              </w:rPr>
              <w:t>劲力较</w:t>
            </w:r>
            <w:proofErr w:type="gramEnd"/>
            <w:r w:rsidRPr="001B5FF5">
              <w:rPr>
                <w:rFonts w:ascii="宋体" w:eastAsia="宋体" w:hAnsi="宋体" w:cs="Times New Roman" w:hint="eastAsia"/>
              </w:rPr>
              <w:t>充足、风格较突出</w:t>
            </w:r>
          </w:p>
        </w:tc>
        <w:tc>
          <w:tcPr>
            <w:tcW w:w="1579" w:type="dxa"/>
            <w:vAlign w:val="center"/>
          </w:tcPr>
          <w:p w14:paraId="76D20A41"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动作姿势基本规范、方法运用基本合理、动作流畅性、劲力、节奏、风格一般</w:t>
            </w:r>
          </w:p>
        </w:tc>
        <w:tc>
          <w:tcPr>
            <w:tcW w:w="1578" w:type="dxa"/>
            <w:vAlign w:val="center"/>
          </w:tcPr>
          <w:p w14:paraId="72E04CA2"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能独立完成套路</w:t>
            </w:r>
          </w:p>
        </w:tc>
        <w:tc>
          <w:tcPr>
            <w:tcW w:w="1579" w:type="dxa"/>
            <w:vAlign w:val="center"/>
          </w:tcPr>
          <w:p w14:paraId="21E8C7C8" w14:textId="77777777" w:rsidR="001B5FF5" w:rsidRPr="001B5FF5" w:rsidRDefault="001B5FF5" w:rsidP="001B5FF5">
            <w:pPr>
              <w:autoSpaceDE w:val="0"/>
              <w:autoSpaceDN w:val="0"/>
              <w:adjustRightInd w:val="0"/>
              <w:snapToGrid w:val="0"/>
              <w:ind w:firstLineChars="200" w:firstLine="420"/>
              <w:rPr>
                <w:rFonts w:ascii="宋体" w:eastAsia="宋体" w:hAnsi="宋体" w:cs="Times New Roman"/>
              </w:rPr>
            </w:pPr>
            <w:r w:rsidRPr="001B5FF5">
              <w:rPr>
                <w:rFonts w:ascii="宋体" w:eastAsia="宋体" w:hAnsi="宋体" w:cs="Times New Roman" w:hint="eastAsia"/>
              </w:rPr>
              <w:t>不能完成套路、动作姿势不规范、方法运用不合理、技术不熟练程、节奏、动作协调性、劲力、拳种风格特点不突出</w:t>
            </w:r>
          </w:p>
        </w:tc>
      </w:tr>
    </w:tbl>
    <w:p w14:paraId="46A67889" w14:textId="77777777" w:rsidR="001B5FF5" w:rsidRPr="001B5FF5" w:rsidRDefault="001B5FF5" w:rsidP="001B5FF5">
      <w:pPr>
        <w:adjustRightInd w:val="0"/>
        <w:snapToGrid w:val="0"/>
        <w:spacing w:line="500" w:lineRule="exact"/>
        <w:rPr>
          <w:rFonts w:ascii="宋体" w:eastAsia="宋体" w:hAnsi="Calibri" w:cs="Times New Roman"/>
          <w:bCs/>
          <w:kern w:val="0"/>
          <w:sz w:val="24"/>
        </w:rPr>
      </w:pPr>
    </w:p>
    <w:p w14:paraId="7B6AFB1B" w14:textId="77777777" w:rsidR="001B5FF5" w:rsidRPr="001B5FF5" w:rsidRDefault="001B5FF5" w:rsidP="001B5FF5">
      <w:pPr>
        <w:adjustRightInd w:val="0"/>
        <w:snapToGrid w:val="0"/>
        <w:spacing w:line="500" w:lineRule="exact"/>
        <w:jc w:val="center"/>
        <w:rPr>
          <w:rFonts w:ascii="宋体" w:eastAsia="宋体" w:hAnsi="Calibri" w:cs="Times New Roman"/>
          <w:b/>
          <w:kern w:val="0"/>
          <w:sz w:val="24"/>
        </w:rPr>
      </w:pPr>
      <w:r w:rsidRPr="001B5FF5">
        <w:rPr>
          <w:rFonts w:ascii="宋体" w:eastAsia="宋体" w:hAnsi="Calibri" w:cs="Times New Roman" w:hint="eastAsia"/>
          <w:b/>
          <w:kern w:val="0"/>
          <w:sz w:val="24"/>
        </w:rPr>
        <w:t>期末考试</w:t>
      </w:r>
    </w:p>
    <w:p w14:paraId="523024C2"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1.课程考核目标：</w:t>
      </w:r>
      <w:r w:rsidRPr="001B5FF5">
        <w:rPr>
          <w:rFonts w:ascii="宋体" w:eastAsia="宋体" w:hAnsi="宋体" w:cs="Arial" w:hint="eastAsia"/>
          <w:bCs/>
          <w:color w:val="000000"/>
          <w:sz w:val="24"/>
        </w:rPr>
        <w:t>通过考核检验武术技术教学效果和学生掌握情况，使85%的学生达到长拳二段水平。</w:t>
      </w:r>
    </w:p>
    <w:p w14:paraId="1BFEFA53"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2.课程考核的内容：</w:t>
      </w:r>
      <w:r w:rsidRPr="001B5FF5">
        <w:rPr>
          <w:rFonts w:ascii="宋体" w:eastAsia="宋体" w:hAnsi="宋体" w:cs="Arial" w:hint="eastAsia"/>
          <w:bCs/>
          <w:color w:val="000000"/>
          <w:sz w:val="24"/>
        </w:rPr>
        <w:t>长拳二段套路</w:t>
      </w:r>
    </w:p>
    <w:p w14:paraId="1FD5FF72"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3.课程考核方式：</w:t>
      </w:r>
      <w:r w:rsidRPr="001B5FF5">
        <w:rPr>
          <w:rFonts w:ascii="宋体" w:eastAsia="宋体" w:hAnsi="宋体" w:cs="Arial" w:hint="eastAsia"/>
          <w:bCs/>
          <w:color w:val="000000"/>
          <w:sz w:val="24"/>
        </w:rPr>
        <w:t>单人单独演练和两人对练</w:t>
      </w:r>
    </w:p>
    <w:p w14:paraId="6FB58237"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Cs/>
          <w:color w:val="000000"/>
          <w:sz w:val="24"/>
        </w:rPr>
      </w:pPr>
      <w:r w:rsidRPr="001B5FF5">
        <w:rPr>
          <w:rFonts w:ascii="宋体" w:eastAsia="宋体" w:hAnsi="宋体" w:cs="Arial" w:hint="eastAsia"/>
          <w:b/>
          <w:color w:val="000000"/>
          <w:sz w:val="24"/>
        </w:rPr>
        <w:t>4.课程成绩构成：</w:t>
      </w:r>
      <w:r w:rsidRPr="001B5FF5">
        <w:rPr>
          <w:rFonts w:ascii="宋体" w:eastAsia="宋体" w:hAnsi="宋体" w:cs="Arial" w:hint="eastAsia"/>
          <w:bCs/>
          <w:color w:val="000000"/>
          <w:sz w:val="24"/>
        </w:rPr>
        <w:t xml:space="preserve">单人单独演练50分，两人对练分50分。 </w:t>
      </w:r>
    </w:p>
    <w:p w14:paraId="215174F7" w14:textId="77777777" w:rsidR="001B5FF5" w:rsidRPr="001B5FF5" w:rsidRDefault="001B5FF5" w:rsidP="001B5FF5">
      <w:pPr>
        <w:autoSpaceDE w:val="0"/>
        <w:autoSpaceDN w:val="0"/>
        <w:adjustRightInd w:val="0"/>
        <w:spacing w:line="500" w:lineRule="exact"/>
        <w:ind w:firstLineChars="200" w:firstLine="482"/>
        <w:rPr>
          <w:rFonts w:ascii="宋体" w:eastAsia="宋体" w:hAnsi="宋体" w:cs="Arial"/>
          <w:b/>
          <w:color w:val="000000"/>
          <w:sz w:val="24"/>
        </w:rPr>
      </w:pPr>
      <w:r w:rsidRPr="001B5FF5">
        <w:rPr>
          <w:rFonts w:ascii="宋体" w:eastAsia="宋体" w:hAnsi="宋体" w:cs="Arial" w:hint="eastAsia"/>
          <w:b/>
          <w:color w:val="000000"/>
          <w:sz w:val="24"/>
        </w:rPr>
        <w:t>5.评分积分原则：</w:t>
      </w:r>
    </w:p>
    <w:tbl>
      <w:tblPr>
        <w:tblW w:w="8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1B5FF5" w:rsidRPr="001B5FF5" w14:paraId="3C937EB8" w14:textId="77777777" w:rsidTr="00BF5EF3">
        <w:tc>
          <w:tcPr>
            <w:tcW w:w="828" w:type="dxa"/>
            <w:vAlign w:val="center"/>
          </w:tcPr>
          <w:p w14:paraId="4D00DA4E" w14:textId="77777777" w:rsidR="001B5FF5" w:rsidRPr="001B5FF5" w:rsidRDefault="001B5FF5" w:rsidP="001B5FF5">
            <w:pPr>
              <w:autoSpaceDE w:val="0"/>
              <w:autoSpaceDN w:val="0"/>
              <w:adjustRightInd w:val="0"/>
              <w:snapToGrid w:val="0"/>
              <w:spacing w:line="500" w:lineRule="exact"/>
              <w:rPr>
                <w:rFonts w:ascii="宋体" w:eastAsia="宋体" w:hAnsi="宋体" w:cs="楷体_GB2312"/>
                <w:color w:val="000000"/>
                <w:kern w:val="0"/>
                <w:sz w:val="24"/>
              </w:rPr>
            </w:pPr>
            <w:r w:rsidRPr="001B5FF5">
              <w:rPr>
                <w:rFonts w:ascii="宋体" w:eastAsia="宋体" w:hAnsi="宋体" w:cs="楷体_GB2312" w:hint="eastAsia"/>
                <w:color w:val="000000"/>
                <w:kern w:val="0"/>
                <w:sz w:val="24"/>
              </w:rPr>
              <w:t>等级</w:t>
            </w:r>
          </w:p>
        </w:tc>
        <w:tc>
          <w:tcPr>
            <w:tcW w:w="1578" w:type="dxa"/>
            <w:vAlign w:val="center"/>
          </w:tcPr>
          <w:p w14:paraId="34C3D37B"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优</w:t>
            </w:r>
          </w:p>
        </w:tc>
        <w:tc>
          <w:tcPr>
            <w:tcW w:w="1578" w:type="dxa"/>
            <w:vAlign w:val="center"/>
          </w:tcPr>
          <w:p w14:paraId="5794D3CC"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良</w:t>
            </w:r>
          </w:p>
        </w:tc>
        <w:tc>
          <w:tcPr>
            <w:tcW w:w="1579" w:type="dxa"/>
            <w:vAlign w:val="center"/>
          </w:tcPr>
          <w:p w14:paraId="038E2935"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一般</w:t>
            </w:r>
          </w:p>
        </w:tc>
        <w:tc>
          <w:tcPr>
            <w:tcW w:w="1578" w:type="dxa"/>
            <w:vAlign w:val="center"/>
          </w:tcPr>
          <w:p w14:paraId="7FCF7F89"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及格</w:t>
            </w:r>
          </w:p>
        </w:tc>
        <w:tc>
          <w:tcPr>
            <w:tcW w:w="1579" w:type="dxa"/>
            <w:vAlign w:val="center"/>
          </w:tcPr>
          <w:p w14:paraId="565CAE31"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不及格</w:t>
            </w:r>
          </w:p>
        </w:tc>
      </w:tr>
      <w:tr w:rsidR="001B5FF5" w:rsidRPr="001B5FF5" w14:paraId="2FC79567" w14:textId="77777777" w:rsidTr="00BF5EF3">
        <w:tc>
          <w:tcPr>
            <w:tcW w:w="828" w:type="dxa"/>
            <w:vAlign w:val="center"/>
          </w:tcPr>
          <w:p w14:paraId="0171286C" w14:textId="77777777" w:rsidR="001B5FF5" w:rsidRPr="001B5FF5" w:rsidRDefault="001B5FF5" w:rsidP="001B5FF5">
            <w:pPr>
              <w:rPr>
                <w:rFonts w:ascii="宋体" w:eastAsia="宋体" w:hAnsi="宋体" w:cs="楷体_GB2312"/>
                <w:sz w:val="24"/>
              </w:rPr>
            </w:pPr>
            <w:r w:rsidRPr="001B5FF5">
              <w:rPr>
                <w:rFonts w:ascii="宋体" w:eastAsia="宋体" w:hAnsi="宋体" w:cs="Times New Roman" w:hint="eastAsia"/>
              </w:rPr>
              <w:t>分值</w:t>
            </w:r>
          </w:p>
        </w:tc>
        <w:tc>
          <w:tcPr>
            <w:tcW w:w="1578" w:type="dxa"/>
            <w:vAlign w:val="center"/>
          </w:tcPr>
          <w:p w14:paraId="6D2866F6" w14:textId="77777777" w:rsidR="001B5FF5" w:rsidRPr="001B5FF5" w:rsidRDefault="001B5FF5" w:rsidP="001B5FF5">
            <w:pPr>
              <w:jc w:val="center"/>
              <w:rPr>
                <w:rFonts w:ascii="宋体" w:eastAsia="宋体" w:hAnsi="宋体" w:cs="楷体_GB2312"/>
                <w:sz w:val="24"/>
              </w:rPr>
            </w:pPr>
            <w:r w:rsidRPr="001B5FF5">
              <w:rPr>
                <w:rFonts w:ascii="宋体" w:eastAsia="宋体" w:hAnsi="宋体" w:cs="楷体_GB2312" w:hint="eastAsia"/>
                <w:sz w:val="24"/>
              </w:rPr>
              <w:t>90-100</w:t>
            </w:r>
          </w:p>
        </w:tc>
        <w:tc>
          <w:tcPr>
            <w:tcW w:w="1578" w:type="dxa"/>
            <w:vAlign w:val="center"/>
          </w:tcPr>
          <w:p w14:paraId="4202E042" w14:textId="77777777" w:rsidR="001B5FF5" w:rsidRPr="001B5FF5" w:rsidRDefault="001B5FF5" w:rsidP="001B5FF5">
            <w:pPr>
              <w:autoSpaceDE w:val="0"/>
              <w:autoSpaceDN w:val="0"/>
              <w:adjustRightInd w:val="0"/>
              <w:snapToGrid w:val="0"/>
              <w:ind w:firstLineChars="200" w:firstLine="480"/>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80-89</w:t>
            </w:r>
          </w:p>
        </w:tc>
        <w:tc>
          <w:tcPr>
            <w:tcW w:w="1579" w:type="dxa"/>
            <w:vAlign w:val="center"/>
          </w:tcPr>
          <w:p w14:paraId="036210C8" w14:textId="77777777" w:rsidR="001B5FF5" w:rsidRPr="001B5FF5" w:rsidRDefault="001B5FF5" w:rsidP="001B5FF5">
            <w:pPr>
              <w:autoSpaceDE w:val="0"/>
              <w:autoSpaceDN w:val="0"/>
              <w:adjustRightInd w:val="0"/>
              <w:snapToGrid w:val="0"/>
              <w:ind w:firstLineChars="200" w:firstLine="420"/>
              <w:jc w:val="center"/>
              <w:rPr>
                <w:rFonts w:ascii="宋体" w:eastAsia="宋体" w:hAnsi="宋体" w:cs="Times New Roman"/>
              </w:rPr>
            </w:pPr>
            <w:r w:rsidRPr="001B5FF5">
              <w:rPr>
                <w:rFonts w:ascii="宋体" w:eastAsia="宋体" w:hAnsi="宋体" w:cs="Times New Roman" w:hint="eastAsia"/>
              </w:rPr>
              <w:t>70-79</w:t>
            </w:r>
          </w:p>
        </w:tc>
        <w:tc>
          <w:tcPr>
            <w:tcW w:w="1578" w:type="dxa"/>
            <w:vAlign w:val="center"/>
          </w:tcPr>
          <w:p w14:paraId="642A8319"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60-69</w:t>
            </w:r>
          </w:p>
        </w:tc>
        <w:tc>
          <w:tcPr>
            <w:tcW w:w="1579" w:type="dxa"/>
            <w:vAlign w:val="center"/>
          </w:tcPr>
          <w:p w14:paraId="4DF449FF" w14:textId="77777777" w:rsidR="001B5FF5" w:rsidRPr="001B5FF5" w:rsidRDefault="001B5FF5" w:rsidP="001B5FF5">
            <w:pPr>
              <w:autoSpaceDE w:val="0"/>
              <w:autoSpaceDN w:val="0"/>
              <w:adjustRightInd w:val="0"/>
              <w:snapToGrid w:val="0"/>
              <w:spacing w:line="500" w:lineRule="exact"/>
              <w:jc w:val="center"/>
              <w:rPr>
                <w:rFonts w:ascii="宋体" w:eastAsia="宋体" w:hAnsi="宋体" w:cs="楷体_GB2312"/>
                <w:color w:val="000000"/>
                <w:kern w:val="0"/>
                <w:sz w:val="24"/>
              </w:rPr>
            </w:pPr>
            <w:r w:rsidRPr="001B5FF5">
              <w:rPr>
                <w:rFonts w:ascii="宋体" w:eastAsia="宋体" w:hAnsi="宋体" w:cs="楷体_GB2312" w:hint="eastAsia"/>
                <w:color w:val="000000"/>
                <w:kern w:val="0"/>
                <w:sz w:val="24"/>
              </w:rPr>
              <w:t>60分以下</w:t>
            </w:r>
          </w:p>
        </w:tc>
      </w:tr>
      <w:tr w:rsidR="001B5FF5" w:rsidRPr="001B5FF5" w14:paraId="5860697D" w14:textId="77777777" w:rsidTr="00BF5EF3">
        <w:tc>
          <w:tcPr>
            <w:tcW w:w="828" w:type="dxa"/>
            <w:vAlign w:val="center"/>
          </w:tcPr>
          <w:p w14:paraId="16BB5B20" w14:textId="77777777" w:rsidR="001B5FF5" w:rsidRPr="001B5FF5" w:rsidRDefault="001B5FF5" w:rsidP="001B5FF5">
            <w:pPr>
              <w:autoSpaceDE w:val="0"/>
              <w:autoSpaceDN w:val="0"/>
              <w:adjustRightInd w:val="0"/>
              <w:snapToGrid w:val="0"/>
              <w:spacing w:line="500" w:lineRule="exact"/>
              <w:rPr>
                <w:rFonts w:ascii="宋体" w:eastAsia="宋体" w:hAnsi="宋体" w:cs="Times New Roman"/>
              </w:rPr>
            </w:pPr>
            <w:r w:rsidRPr="001B5FF5">
              <w:rPr>
                <w:rFonts w:ascii="宋体" w:eastAsia="宋体" w:hAnsi="宋体" w:cs="楷体_GB2312" w:hint="eastAsia"/>
                <w:color w:val="000000"/>
                <w:kern w:val="0"/>
                <w:sz w:val="24"/>
              </w:rPr>
              <w:t>标准</w:t>
            </w:r>
          </w:p>
        </w:tc>
        <w:tc>
          <w:tcPr>
            <w:tcW w:w="1578" w:type="dxa"/>
            <w:vAlign w:val="center"/>
          </w:tcPr>
          <w:p w14:paraId="2CA391C6" w14:textId="77777777" w:rsidR="001B5FF5" w:rsidRPr="001B5FF5" w:rsidRDefault="001B5FF5" w:rsidP="001B5FF5">
            <w:pPr>
              <w:autoSpaceDE w:val="0"/>
              <w:autoSpaceDN w:val="0"/>
              <w:adjustRightInd w:val="0"/>
              <w:snapToGrid w:val="0"/>
              <w:ind w:firstLineChars="200" w:firstLine="420"/>
              <w:rPr>
                <w:rFonts w:ascii="宋体" w:eastAsia="宋体" w:hAnsi="宋体" w:cs="Times New Roman"/>
              </w:rPr>
            </w:pPr>
            <w:r w:rsidRPr="001B5FF5">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1A1C26C8"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动作姿势较规范、方法运用较合理、技术较熟练、节奏处理较好、动作较流畅、</w:t>
            </w:r>
            <w:proofErr w:type="gramStart"/>
            <w:r w:rsidRPr="001B5FF5">
              <w:rPr>
                <w:rFonts w:ascii="宋体" w:eastAsia="宋体" w:hAnsi="宋体" w:cs="Times New Roman" w:hint="eastAsia"/>
              </w:rPr>
              <w:t>劲力较</w:t>
            </w:r>
            <w:proofErr w:type="gramEnd"/>
            <w:r w:rsidRPr="001B5FF5">
              <w:rPr>
                <w:rFonts w:ascii="宋体" w:eastAsia="宋体" w:hAnsi="宋体" w:cs="Times New Roman" w:hint="eastAsia"/>
              </w:rPr>
              <w:t>充足、风格较突出</w:t>
            </w:r>
          </w:p>
        </w:tc>
        <w:tc>
          <w:tcPr>
            <w:tcW w:w="1579" w:type="dxa"/>
            <w:vAlign w:val="center"/>
          </w:tcPr>
          <w:p w14:paraId="450895EE"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动作姿势基本规范、方法运用基本合理、动作流畅性、劲力、节奏、风格一般</w:t>
            </w:r>
          </w:p>
        </w:tc>
        <w:tc>
          <w:tcPr>
            <w:tcW w:w="1578" w:type="dxa"/>
            <w:vAlign w:val="center"/>
          </w:tcPr>
          <w:p w14:paraId="756CAC0A" w14:textId="77777777" w:rsidR="001B5FF5" w:rsidRPr="001B5FF5" w:rsidRDefault="001B5FF5" w:rsidP="001B5FF5">
            <w:pPr>
              <w:autoSpaceDE w:val="0"/>
              <w:autoSpaceDN w:val="0"/>
              <w:adjustRightInd w:val="0"/>
              <w:snapToGrid w:val="0"/>
              <w:ind w:firstLineChars="150" w:firstLine="315"/>
              <w:rPr>
                <w:rFonts w:ascii="宋体" w:eastAsia="宋体" w:hAnsi="宋体" w:cs="Times New Roman"/>
              </w:rPr>
            </w:pPr>
            <w:r w:rsidRPr="001B5FF5">
              <w:rPr>
                <w:rFonts w:ascii="宋体" w:eastAsia="宋体" w:hAnsi="宋体" w:cs="Times New Roman" w:hint="eastAsia"/>
              </w:rPr>
              <w:t>能独立完成套路</w:t>
            </w:r>
          </w:p>
        </w:tc>
        <w:tc>
          <w:tcPr>
            <w:tcW w:w="1579" w:type="dxa"/>
            <w:vAlign w:val="center"/>
          </w:tcPr>
          <w:p w14:paraId="65110101" w14:textId="77777777" w:rsidR="001B5FF5" w:rsidRPr="001B5FF5" w:rsidRDefault="001B5FF5" w:rsidP="001B5FF5">
            <w:pPr>
              <w:autoSpaceDE w:val="0"/>
              <w:autoSpaceDN w:val="0"/>
              <w:adjustRightInd w:val="0"/>
              <w:snapToGrid w:val="0"/>
              <w:ind w:firstLineChars="200" w:firstLine="420"/>
              <w:rPr>
                <w:rFonts w:ascii="宋体" w:eastAsia="宋体" w:hAnsi="宋体" w:cs="Times New Roman"/>
              </w:rPr>
            </w:pPr>
            <w:r w:rsidRPr="001B5FF5">
              <w:rPr>
                <w:rFonts w:ascii="宋体" w:eastAsia="宋体" w:hAnsi="宋体" w:cs="Times New Roman" w:hint="eastAsia"/>
              </w:rPr>
              <w:t>不能完成套路、动作姿势不规范、方法运用不合理、技术不熟练程、节奏、动作协调性、劲力、拳种风格特点不突出</w:t>
            </w:r>
          </w:p>
        </w:tc>
      </w:tr>
    </w:tbl>
    <w:p w14:paraId="05BBD05B" w14:textId="77777777" w:rsidR="001B5FF5" w:rsidRPr="001B5FF5" w:rsidRDefault="001B5FF5" w:rsidP="001B5FF5">
      <w:pPr>
        <w:spacing w:beforeLines="50" w:before="156" w:afterLines="50" w:after="156" w:line="440" w:lineRule="exact"/>
        <w:ind w:firstLineChars="200" w:firstLine="560"/>
        <w:rPr>
          <w:rFonts w:ascii="宋体" w:eastAsia="宋体" w:hAnsi="宋体" w:cs="Times New Roman"/>
          <w:sz w:val="24"/>
        </w:rPr>
      </w:pPr>
      <w:r w:rsidRPr="001B5FF5">
        <w:rPr>
          <w:rFonts w:ascii="黑体" w:eastAsia="黑体" w:hAnsi="黑体" w:cs="Times New Roman" w:hint="eastAsia"/>
          <w:sz w:val="28"/>
          <w:szCs w:val="28"/>
        </w:rPr>
        <w:t>六、使用教材、相关推荐书目及课程资源</w:t>
      </w:r>
    </w:p>
    <w:p w14:paraId="1134F4C6" w14:textId="77777777" w:rsidR="001B5FF5" w:rsidRPr="001B5FF5" w:rsidRDefault="001B5FF5" w:rsidP="001B5FF5">
      <w:pPr>
        <w:spacing w:line="440" w:lineRule="exact"/>
        <w:ind w:firstLineChars="200" w:firstLine="560"/>
        <w:rPr>
          <w:rFonts w:ascii="宋体" w:eastAsia="宋体" w:hAnsi="宋体" w:cs="Times New Roman"/>
          <w:sz w:val="24"/>
        </w:rPr>
      </w:pPr>
      <w:r w:rsidRPr="001B5FF5">
        <w:rPr>
          <w:rFonts w:ascii="黑体" w:eastAsia="黑体" w:hAnsi="黑体" w:cs="Times New Roman" w:hint="eastAsia"/>
          <w:sz w:val="28"/>
          <w:szCs w:val="28"/>
        </w:rPr>
        <w:t>（一）使用教材</w:t>
      </w:r>
    </w:p>
    <w:p w14:paraId="379F0EDF" w14:textId="77777777" w:rsidR="001B5FF5" w:rsidRPr="001B5FF5" w:rsidRDefault="001B5FF5" w:rsidP="001B5FF5">
      <w:pPr>
        <w:autoSpaceDE w:val="0"/>
        <w:autoSpaceDN w:val="0"/>
        <w:adjustRightInd w:val="0"/>
        <w:snapToGrid w:val="0"/>
        <w:spacing w:line="500" w:lineRule="exact"/>
        <w:ind w:firstLineChars="300" w:firstLine="720"/>
        <w:rPr>
          <w:rFonts w:ascii="宋体" w:eastAsia="宋体" w:hAnsi="宋体" w:cs="宋体"/>
          <w:kern w:val="0"/>
          <w:sz w:val="24"/>
        </w:rPr>
      </w:pPr>
      <w:r w:rsidRPr="001B5FF5">
        <w:rPr>
          <w:rFonts w:ascii="宋体" w:eastAsia="宋体" w:hAnsi="宋体" w:cs="宋体" w:hint="eastAsia"/>
          <w:kern w:val="0"/>
          <w:sz w:val="24"/>
        </w:rPr>
        <w:t>任晋军主编：《当代大学体育教程》，北京体育大学出版社，2008</w:t>
      </w:r>
    </w:p>
    <w:p w14:paraId="6C0A4AAA" w14:textId="77777777" w:rsidR="001B5FF5" w:rsidRPr="001B5FF5" w:rsidRDefault="001B5FF5" w:rsidP="001B5FF5">
      <w:pPr>
        <w:autoSpaceDE w:val="0"/>
        <w:autoSpaceDN w:val="0"/>
        <w:adjustRightInd w:val="0"/>
        <w:spacing w:line="500" w:lineRule="atLeast"/>
        <w:ind w:firstLine="480"/>
        <w:rPr>
          <w:rFonts w:ascii="宋体" w:eastAsia="宋体" w:hAnsi="宋体" w:cs="Arial"/>
          <w:bCs/>
          <w:color w:val="000000"/>
          <w:sz w:val="24"/>
        </w:rPr>
      </w:pPr>
      <w:r w:rsidRPr="001B5FF5">
        <w:rPr>
          <w:rFonts w:ascii="宋体" w:eastAsia="宋体" w:hAnsi="宋体" w:cs="Arial" w:hint="eastAsia"/>
          <w:bCs/>
          <w:color w:val="000000"/>
          <w:sz w:val="24"/>
        </w:rPr>
        <w:t>《国家体育总局武术研究院：中国武术段位制系列教程</w:t>
      </w:r>
      <w:r w:rsidRPr="001B5FF5">
        <w:rPr>
          <w:rFonts w:ascii="宋体" w:eastAsia="宋体" w:hAnsi="宋体" w:cs="Arial"/>
          <w:bCs/>
          <w:color w:val="000000"/>
          <w:sz w:val="24"/>
        </w:rPr>
        <w:t>—</w:t>
      </w:r>
      <w:r w:rsidRPr="001B5FF5">
        <w:rPr>
          <w:rFonts w:ascii="宋体" w:eastAsia="宋体" w:hAnsi="宋体" w:cs="Arial" w:hint="eastAsia"/>
          <w:bCs/>
          <w:color w:val="000000"/>
          <w:sz w:val="24"/>
        </w:rPr>
        <w:t>剑术》，高等教育出版社，</w:t>
      </w:r>
      <w:r w:rsidRPr="001B5FF5">
        <w:rPr>
          <w:rFonts w:ascii="宋体" w:eastAsia="宋体" w:hAnsi="宋体" w:cs="Arial"/>
          <w:bCs/>
          <w:color w:val="000000"/>
          <w:sz w:val="24"/>
        </w:rPr>
        <w:t>2010</w:t>
      </w:r>
    </w:p>
    <w:p w14:paraId="61DF4ACD" w14:textId="77777777" w:rsidR="001B5FF5" w:rsidRPr="001B5FF5" w:rsidRDefault="001B5FF5" w:rsidP="001B5FF5">
      <w:pPr>
        <w:autoSpaceDE w:val="0"/>
        <w:autoSpaceDN w:val="0"/>
        <w:adjustRightInd w:val="0"/>
        <w:spacing w:line="500" w:lineRule="atLeast"/>
        <w:ind w:firstLine="480"/>
        <w:rPr>
          <w:rFonts w:ascii="宋体" w:eastAsia="宋体" w:hAnsi="宋体" w:cs="Arial"/>
          <w:bCs/>
          <w:color w:val="000000"/>
          <w:sz w:val="24"/>
        </w:rPr>
      </w:pPr>
      <w:r w:rsidRPr="001B5FF5">
        <w:rPr>
          <w:rFonts w:ascii="宋体" w:eastAsia="宋体" w:hAnsi="宋体" w:cs="Arial" w:hint="eastAsia"/>
          <w:bCs/>
          <w:color w:val="000000"/>
          <w:sz w:val="24"/>
        </w:rPr>
        <w:t>《国家体育总局武术研究院：中国武术段位制系列教程</w:t>
      </w:r>
      <w:r w:rsidRPr="001B5FF5">
        <w:rPr>
          <w:rFonts w:ascii="宋体" w:eastAsia="宋体" w:hAnsi="宋体" w:cs="Arial"/>
          <w:bCs/>
          <w:color w:val="000000"/>
          <w:sz w:val="24"/>
        </w:rPr>
        <w:t>—</w:t>
      </w:r>
      <w:r w:rsidRPr="001B5FF5">
        <w:rPr>
          <w:rFonts w:ascii="宋体" w:eastAsia="宋体" w:hAnsi="宋体" w:cs="Arial" w:hint="eastAsia"/>
          <w:bCs/>
          <w:color w:val="000000"/>
          <w:sz w:val="24"/>
        </w:rPr>
        <w:t>长拳》，高等教育出版</w:t>
      </w:r>
      <w:r w:rsidRPr="001B5FF5">
        <w:rPr>
          <w:rFonts w:ascii="宋体" w:eastAsia="宋体" w:hAnsi="宋体" w:cs="Arial" w:hint="eastAsia"/>
          <w:bCs/>
          <w:color w:val="000000"/>
          <w:sz w:val="24"/>
        </w:rPr>
        <w:lastRenderedPageBreak/>
        <w:t>社，</w:t>
      </w:r>
      <w:r w:rsidRPr="001B5FF5">
        <w:rPr>
          <w:rFonts w:ascii="宋体" w:eastAsia="宋体" w:hAnsi="宋体" w:cs="Arial"/>
          <w:bCs/>
          <w:color w:val="000000"/>
          <w:sz w:val="24"/>
        </w:rPr>
        <w:t>2010</w:t>
      </w:r>
    </w:p>
    <w:p w14:paraId="4E457BCE" w14:textId="77777777" w:rsidR="001B5FF5" w:rsidRPr="001B5FF5" w:rsidRDefault="001B5FF5" w:rsidP="001B5FF5">
      <w:pPr>
        <w:spacing w:line="440" w:lineRule="exact"/>
        <w:ind w:firstLineChars="200" w:firstLine="560"/>
        <w:rPr>
          <w:rFonts w:ascii="宋体" w:eastAsia="宋体" w:hAnsi="宋体" w:cs="Times New Roman"/>
          <w:sz w:val="24"/>
        </w:rPr>
      </w:pPr>
      <w:r w:rsidRPr="001B5FF5">
        <w:rPr>
          <w:rFonts w:ascii="黑体" w:eastAsia="黑体" w:hAnsi="黑体" w:cs="Times New Roman" w:hint="eastAsia"/>
          <w:sz w:val="28"/>
          <w:szCs w:val="28"/>
        </w:rPr>
        <w:t>（二）相关推荐书目</w:t>
      </w:r>
    </w:p>
    <w:p w14:paraId="5AAB65CD"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1</w:t>
      </w:r>
      <w:r w:rsidRPr="001B5FF5">
        <w:rPr>
          <w:rFonts w:ascii="宋体" w:eastAsia="宋体" w:hAnsi="宋体" w:cs="Times New Roman"/>
          <w:sz w:val="24"/>
        </w:rPr>
        <w:t xml:space="preserve">. </w:t>
      </w:r>
      <w:r w:rsidRPr="001B5FF5">
        <w:rPr>
          <w:rFonts w:ascii="宋体" w:eastAsia="宋体" w:hAnsi="宋体" w:cs="宋体" w:hint="eastAsia"/>
          <w:kern w:val="0"/>
          <w:sz w:val="24"/>
        </w:rPr>
        <w:t>刘建国主编：《当代大学体育与健身》，高教出版社，2008</w:t>
      </w:r>
    </w:p>
    <w:p w14:paraId="7C6D4CC0" w14:textId="77777777" w:rsidR="001B5FF5" w:rsidRPr="001B5FF5" w:rsidRDefault="001B5FF5" w:rsidP="001B5FF5">
      <w:pPr>
        <w:autoSpaceDE w:val="0"/>
        <w:autoSpaceDN w:val="0"/>
        <w:adjustRightInd w:val="0"/>
        <w:snapToGrid w:val="0"/>
        <w:spacing w:line="500" w:lineRule="exact"/>
        <w:ind w:firstLineChars="200" w:firstLine="480"/>
        <w:rPr>
          <w:rFonts w:ascii="宋体" w:eastAsia="宋体" w:hAnsi="宋体" w:cs="Times New Roman"/>
          <w:sz w:val="24"/>
        </w:rPr>
      </w:pPr>
      <w:r w:rsidRPr="001B5FF5">
        <w:rPr>
          <w:rFonts w:ascii="宋体" w:eastAsia="宋体" w:hAnsi="宋体" w:cs="Times New Roman" w:hint="eastAsia"/>
          <w:sz w:val="24"/>
        </w:rPr>
        <w:t>2</w:t>
      </w:r>
      <w:r w:rsidRPr="001B5FF5">
        <w:rPr>
          <w:rFonts w:ascii="宋体" w:eastAsia="宋体" w:hAnsi="宋体" w:cs="Times New Roman"/>
          <w:sz w:val="24"/>
        </w:rPr>
        <w:t xml:space="preserve">. </w:t>
      </w:r>
      <w:r w:rsidRPr="001B5FF5">
        <w:rPr>
          <w:rFonts w:ascii="宋体" w:eastAsia="宋体" w:hAnsi="宋体" w:cs="宋体" w:hint="eastAsia"/>
          <w:kern w:val="0"/>
          <w:sz w:val="24"/>
        </w:rPr>
        <w:t>全国体育学院教材委员会审定：《体育与健康理论指导手册》，人民体育出版社，2014</w:t>
      </w:r>
    </w:p>
    <w:p w14:paraId="08265571" w14:textId="77777777" w:rsidR="001B5FF5" w:rsidRPr="001B5FF5" w:rsidRDefault="001B5FF5" w:rsidP="001B5FF5">
      <w:pPr>
        <w:spacing w:beforeLines="50" w:before="156" w:afterLines="50" w:after="156" w:line="440" w:lineRule="exact"/>
        <w:ind w:firstLineChars="200" w:firstLine="560"/>
        <w:rPr>
          <w:rFonts w:ascii="黑体" w:eastAsia="黑体" w:hAnsi="黑体" w:cs="Times New Roman"/>
          <w:sz w:val="28"/>
          <w:szCs w:val="28"/>
        </w:rPr>
      </w:pPr>
      <w:r w:rsidRPr="001B5FF5">
        <w:rPr>
          <w:rFonts w:ascii="黑体" w:eastAsia="黑体" w:hAnsi="黑体" w:cs="Times New Roman" w:hint="eastAsia"/>
          <w:sz w:val="28"/>
          <w:szCs w:val="28"/>
        </w:rPr>
        <w:t>（三）课程资源</w:t>
      </w:r>
    </w:p>
    <w:p w14:paraId="41A894E9" w14:textId="77777777" w:rsidR="001B5FF5" w:rsidRPr="001B5FF5" w:rsidRDefault="001B5FF5" w:rsidP="001B5FF5">
      <w:pPr>
        <w:spacing w:line="440" w:lineRule="exact"/>
        <w:ind w:firstLineChars="200" w:firstLine="500"/>
        <w:rPr>
          <w:rFonts w:ascii="宋体" w:eastAsia="宋体" w:hAnsi="Calibri" w:cs="宋体"/>
          <w:spacing w:val="5"/>
          <w:kern w:val="0"/>
          <w:sz w:val="24"/>
        </w:rPr>
      </w:pPr>
      <w:r w:rsidRPr="001B5FF5">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7B6585B5" w14:textId="77777777" w:rsidR="001B5FF5" w:rsidRPr="001B5FF5" w:rsidRDefault="001B5FF5" w:rsidP="001B5FF5">
      <w:pPr>
        <w:spacing w:line="440" w:lineRule="exact"/>
        <w:ind w:firstLineChars="200" w:firstLine="500"/>
        <w:rPr>
          <w:rFonts w:ascii="宋体" w:eastAsia="宋体" w:hAnsi="Calibri" w:cs="宋体"/>
          <w:spacing w:val="5"/>
          <w:kern w:val="0"/>
          <w:sz w:val="24"/>
        </w:rPr>
      </w:pPr>
      <w:r w:rsidRPr="001B5FF5">
        <w:rPr>
          <w:rFonts w:ascii="宋体" w:eastAsia="宋体" w:hAnsi="Calibri" w:cs="宋体" w:hint="eastAsia"/>
          <w:spacing w:val="5"/>
          <w:kern w:val="0"/>
          <w:sz w:val="24"/>
        </w:rPr>
        <w:t>2. 《国家学生体质健康标准》实施说明</w:t>
      </w:r>
    </w:p>
    <w:p w14:paraId="00C77382" w14:textId="77777777" w:rsidR="001B5FF5" w:rsidRPr="001B5FF5" w:rsidRDefault="001B5FF5" w:rsidP="001B5FF5">
      <w:pPr>
        <w:spacing w:line="440" w:lineRule="exact"/>
        <w:ind w:firstLineChars="200" w:firstLine="500"/>
        <w:rPr>
          <w:rFonts w:ascii="宋体" w:eastAsia="宋体" w:hAnsi="Calibri" w:cs="宋体"/>
          <w:spacing w:val="5"/>
          <w:kern w:val="0"/>
          <w:sz w:val="24"/>
        </w:rPr>
      </w:pPr>
      <w:r w:rsidRPr="001B5FF5">
        <w:rPr>
          <w:rFonts w:ascii="宋体" w:eastAsia="宋体" w:hAnsi="Calibri" w:cs="宋体" w:hint="eastAsia"/>
          <w:spacing w:val="5"/>
          <w:kern w:val="0"/>
          <w:sz w:val="24"/>
        </w:rPr>
        <w:t>3. 《国家学生体质健康标准》测试评分表</w:t>
      </w:r>
    </w:p>
    <w:p w14:paraId="7EA6F45A" w14:textId="77777777" w:rsidR="001B5FF5" w:rsidRPr="001B5FF5" w:rsidRDefault="001B5FF5" w:rsidP="001B5FF5">
      <w:pPr>
        <w:spacing w:line="440" w:lineRule="exact"/>
        <w:ind w:firstLineChars="200" w:firstLine="500"/>
        <w:rPr>
          <w:rFonts w:ascii="宋体" w:eastAsia="宋体" w:hAnsi="Calibri" w:cs="宋体"/>
          <w:spacing w:val="5"/>
          <w:kern w:val="0"/>
          <w:sz w:val="24"/>
        </w:rPr>
      </w:pPr>
    </w:p>
    <w:p w14:paraId="65F90E64" w14:textId="77777777" w:rsidR="001B5FF5" w:rsidRPr="001B5FF5" w:rsidRDefault="001B5FF5" w:rsidP="001B5FF5">
      <w:pPr>
        <w:spacing w:beforeLines="50" w:before="156" w:afterLines="50" w:after="156" w:line="440" w:lineRule="exact"/>
        <w:ind w:firstLineChars="150" w:firstLine="420"/>
        <w:rPr>
          <w:rFonts w:ascii="黑体" w:eastAsia="黑体" w:hAnsi="黑体" w:cs="Times New Roman"/>
          <w:sz w:val="28"/>
          <w:szCs w:val="28"/>
        </w:rPr>
      </w:pPr>
      <w:r w:rsidRPr="001B5FF5">
        <w:rPr>
          <w:rFonts w:ascii="黑体" w:eastAsia="黑体" w:hAnsi="黑体" w:cs="Times New Roman" w:hint="eastAsia"/>
          <w:sz w:val="28"/>
          <w:szCs w:val="28"/>
        </w:rPr>
        <w:t>七、课程大纲制定依据</w:t>
      </w:r>
    </w:p>
    <w:p w14:paraId="1EA9F4B6" w14:textId="77777777" w:rsidR="001B5FF5" w:rsidRPr="001B5FF5" w:rsidRDefault="001B5FF5" w:rsidP="001B5FF5">
      <w:pPr>
        <w:spacing w:line="440" w:lineRule="exact"/>
        <w:ind w:firstLineChars="200" w:firstLine="480"/>
        <w:rPr>
          <w:rFonts w:ascii="宋体" w:eastAsia="宋体" w:hAnsi="宋体" w:cs="Times New Roman"/>
          <w:sz w:val="24"/>
        </w:rPr>
      </w:pPr>
      <w:r w:rsidRPr="001B5FF5">
        <w:rPr>
          <w:rFonts w:ascii="宋体" w:eastAsia="宋体" w:hAnsi="宋体" w:cs="Times New Roman" w:hint="eastAsia"/>
          <w:sz w:val="24"/>
        </w:rPr>
        <w:t>本课程大纲依据2023年人才培养方案</w:t>
      </w:r>
      <w:r w:rsidR="002E4147">
        <w:rPr>
          <w:rFonts w:ascii="宋体" w:eastAsia="宋体" w:hAnsi="宋体" w:cs="Times New Roman" w:hint="eastAsia"/>
          <w:sz w:val="24"/>
        </w:rPr>
        <w:t>药物分析专业</w:t>
      </w:r>
      <w:r w:rsidRPr="001B5FF5">
        <w:rPr>
          <w:rFonts w:ascii="宋体" w:eastAsia="宋体" w:hAnsi="宋体" w:cs="Times New Roman" w:hint="eastAsia"/>
          <w:sz w:val="24"/>
        </w:rPr>
        <w:t>制定。</w:t>
      </w:r>
    </w:p>
    <w:p w14:paraId="791DB08C" w14:textId="77777777" w:rsidR="001B5FF5" w:rsidRPr="001B5FF5" w:rsidRDefault="001B5FF5" w:rsidP="001B5FF5">
      <w:pPr>
        <w:spacing w:beforeLines="50" w:before="156" w:afterLines="50" w:after="156" w:line="440" w:lineRule="exact"/>
        <w:ind w:firstLineChars="200" w:firstLine="560"/>
        <w:rPr>
          <w:rFonts w:ascii="黑体" w:eastAsia="黑体" w:hAnsi="黑体" w:cs="Times New Roman"/>
          <w:sz w:val="28"/>
          <w:szCs w:val="28"/>
        </w:rPr>
      </w:pPr>
    </w:p>
    <w:p w14:paraId="030AE12D" w14:textId="77777777" w:rsidR="001B5FF5" w:rsidRPr="001B5FF5" w:rsidRDefault="001B5FF5" w:rsidP="001B5FF5">
      <w:pPr>
        <w:spacing w:line="440" w:lineRule="exact"/>
        <w:ind w:firstLineChars="200" w:firstLine="560"/>
        <w:jc w:val="center"/>
        <w:rPr>
          <w:rFonts w:ascii="黑体" w:eastAsia="黑体" w:hAnsi="黑体" w:cs="Times New Roman"/>
          <w:sz w:val="28"/>
          <w:szCs w:val="28"/>
        </w:rPr>
      </w:pPr>
    </w:p>
    <w:p w14:paraId="536D27A1" w14:textId="77777777" w:rsidR="001B5FF5" w:rsidRPr="001B5FF5" w:rsidRDefault="001B5FF5" w:rsidP="001B5FF5">
      <w:pPr>
        <w:spacing w:line="440" w:lineRule="exact"/>
        <w:ind w:firstLineChars="200" w:firstLine="560"/>
        <w:jc w:val="center"/>
        <w:rPr>
          <w:rFonts w:ascii="黑体" w:eastAsia="黑体" w:hAnsi="黑体" w:cs="Times New Roman"/>
          <w:sz w:val="28"/>
          <w:szCs w:val="28"/>
        </w:rPr>
      </w:pPr>
    </w:p>
    <w:p w14:paraId="1D9632BF" w14:textId="77777777" w:rsidR="001B5FF5" w:rsidRPr="001B5FF5" w:rsidRDefault="001B5FF5" w:rsidP="001B5FF5">
      <w:pPr>
        <w:spacing w:line="440" w:lineRule="exact"/>
        <w:ind w:firstLineChars="200" w:firstLine="560"/>
        <w:jc w:val="center"/>
        <w:rPr>
          <w:rFonts w:ascii="黑体" w:eastAsia="黑体" w:hAnsi="黑体" w:cs="Times New Roman"/>
          <w:sz w:val="28"/>
          <w:szCs w:val="28"/>
        </w:rPr>
      </w:pPr>
    </w:p>
    <w:p w14:paraId="2625790B" w14:textId="77777777" w:rsidR="001B5FF5" w:rsidRPr="001B5FF5" w:rsidRDefault="001B5FF5" w:rsidP="001B5FF5">
      <w:pPr>
        <w:spacing w:line="440" w:lineRule="exact"/>
        <w:ind w:firstLineChars="200" w:firstLine="560"/>
        <w:jc w:val="center"/>
        <w:rPr>
          <w:rFonts w:ascii="黑体" w:eastAsia="黑体" w:hAnsi="黑体" w:cs="Times New Roman"/>
          <w:sz w:val="28"/>
          <w:szCs w:val="28"/>
        </w:rPr>
      </w:pPr>
    </w:p>
    <w:p w14:paraId="06A1628E" w14:textId="77777777" w:rsidR="001B5FF5" w:rsidRPr="001B5FF5" w:rsidRDefault="001B5FF5" w:rsidP="001B5FF5">
      <w:pPr>
        <w:spacing w:line="440" w:lineRule="exact"/>
        <w:ind w:firstLineChars="200" w:firstLine="560"/>
        <w:jc w:val="center"/>
        <w:rPr>
          <w:rFonts w:ascii="黑体" w:eastAsia="黑体" w:hAnsi="黑体" w:cs="Times New Roman"/>
          <w:sz w:val="28"/>
          <w:szCs w:val="28"/>
        </w:rPr>
      </w:pPr>
    </w:p>
    <w:p w14:paraId="784EA6F7" w14:textId="77777777" w:rsidR="001B5FF5" w:rsidRPr="001B5FF5" w:rsidRDefault="001B5FF5" w:rsidP="001B5FF5">
      <w:pPr>
        <w:spacing w:line="440" w:lineRule="exact"/>
        <w:ind w:firstLineChars="200" w:firstLine="560"/>
        <w:jc w:val="center"/>
        <w:rPr>
          <w:rFonts w:ascii="黑体" w:eastAsia="黑体" w:hAnsi="黑体" w:cs="Times New Roman"/>
          <w:sz w:val="28"/>
          <w:szCs w:val="28"/>
        </w:rPr>
      </w:pPr>
    </w:p>
    <w:p w14:paraId="7C685992" w14:textId="77777777" w:rsidR="001B5FF5" w:rsidRPr="001B5FF5" w:rsidRDefault="001B5FF5" w:rsidP="001B5FF5">
      <w:pPr>
        <w:spacing w:line="440" w:lineRule="exact"/>
        <w:ind w:firstLineChars="200" w:firstLine="560"/>
        <w:jc w:val="center"/>
        <w:rPr>
          <w:rFonts w:ascii="黑体" w:eastAsia="黑体" w:hAnsi="黑体" w:cs="Times New Roman"/>
          <w:sz w:val="28"/>
          <w:szCs w:val="28"/>
        </w:rPr>
      </w:pPr>
    </w:p>
    <w:p w14:paraId="4A414261" w14:textId="77777777" w:rsidR="001B5FF5" w:rsidRDefault="001B5FF5" w:rsidP="001B5FF5">
      <w:pPr>
        <w:spacing w:line="440" w:lineRule="exact"/>
        <w:ind w:firstLineChars="200" w:firstLine="560"/>
        <w:jc w:val="center"/>
        <w:rPr>
          <w:rFonts w:ascii="黑体" w:eastAsia="黑体" w:hAnsi="黑体" w:cs="Times New Roman"/>
          <w:sz w:val="28"/>
          <w:szCs w:val="28"/>
        </w:rPr>
      </w:pPr>
    </w:p>
    <w:p w14:paraId="449C6552" w14:textId="77777777" w:rsidR="006D6C0A" w:rsidRPr="001B5FF5" w:rsidRDefault="006D6C0A" w:rsidP="001B5FF5">
      <w:pPr>
        <w:spacing w:line="440" w:lineRule="exact"/>
        <w:ind w:firstLineChars="200" w:firstLine="560"/>
        <w:jc w:val="center"/>
        <w:rPr>
          <w:rFonts w:ascii="黑体" w:eastAsia="黑体" w:hAnsi="黑体" w:cs="Times New Roman"/>
          <w:sz w:val="28"/>
          <w:szCs w:val="28"/>
        </w:rPr>
      </w:pPr>
    </w:p>
    <w:p w14:paraId="3EE7CBB6" w14:textId="77777777" w:rsidR="005624A7" w:rsidRDefault="005624A7" w:rsidP="000B25E0">
      <w:pPr>
        <w:spacing w:beforeLines="100" w:before="312" w:afterLines="100" w:after="312" w:line="440" w:lineRule="exact"/>
        <w:jc w:val="center"/>
        <w:rPr>
          <w:rFonts w:ascii="黑体" w:eastAsia="黑体" w:hAnsi="黑体" w:cs="Times New Roman"/>
          <w:sz w:val="28"/>
          <w:szCs w:val="28"/>
        </w:rPr>
      </w:pPr>
    </w:p>
    <w:p w14:paraId="5D7EE58C" w14:textId="77777777" w:rsidR="000B25E0" w:rsidRPr="000B25E0" w:rsidRDefault="000B25E0" w:rsidP="000B25E0">
      <w:pPr>
        <w:spacing w:beforeLines="100" w:before="312" w:afterLines="100" w:after="312" w:line="440" w:lineRule="exact"/>
        <w:jc w:val="center"/>
        <w:rPr>
          <w:rFonts w:ascii="黑体" w:eastAsia="黑体" w:hAnsi="黑体" w:cs="Times New Roman"/>
          <w:bCs/>
          <w:sz w:val="36"/>
          <w:szCs w:val="36"/>
        </w:rPr>
      </w:pPr>
      <w:r w:rsidRPr="000B25E0">
        <w:rPr>
          <w:rFonts w:ascii="黑体" w:eastAsia="黑体" w:hAnsi="黑体" w:cs="Times New Roman" w:hint="eastAsia"/>
          <w:bCs/>
          <w:sz w:val="36"/>
          <w:szCs w:val="36"/>
        </w:rPr>
        <w:lastRenderedPageBreak/>
        <w:t>《太极拳》课程大纲</w:t>
      </w:r>
    </w:p>
    <w:p w14:paraId="6839234B"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581"/>
        <w:gridCol w:w="1563"/>
        <w:gridCol w:w="2797"/>
      </w:tblGrid>
      <w:tr w:rsidR="000B25E0" w:rsidRPr="000B25E0" w14:paraId="42C8EBC4" w14:textId="77777777" w:rsidTr="00BF5EF3">
        <w:trPr>
          <w:trHeight w:val="886"/>
          <w:jc w:val="center"/>
        </w:trPr>
        <w:tc>
          <w:tcPr>
            <w:tcW w:w="1581" w:type="dxa"/>
            <w:vAlign w:val="center"/>
          </w:tcPr>
          <w:p w14:paraId="730BE29D"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课程名称</w:t>
            </w:r>
          </w:p>
        </w:tc>
        <w:tc>
          <w:tcPr>
            <w:tcW w:w="2581" w:type="dxa"/>
            <w:vAlign w:val="center"/>
          </w:tcPr>
          <w:p w14:paraId="2A01903B"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大学体育</w:t>
            </w:r>
          </w:p>
        </w:tc>
        <w:tc>
          <w:tcPr>
            <w:tcW w:w="1563" w:type="dxa"/>
            <w:vAlign w:val="center"/>
          </w:tcPr>
          <w:p w14:paraId="1906F031"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课程代码</w:t>
            </w:r>
          </w:p>
        </w:tc>
        <w:tc>
          <w:tcPr>
            <w:tcW w:w="2797" w:type="dxa"/>
            <w:vAlign w:val="center"/>
          </w:tcPr>
          <w:p w14:paraId="3A394997"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091050</w:t>
            </w:r>
          </w:p>
        </w:tc>
      </w:tr>
      <w:tr w:rsidR="000B25E0" w:rsidRPr="000B25E0" w14:paraId="4D1EF78B" w14:textId="77777777" w:rsidTr="00BF5EF3">
        <w:trPr>
          <w:trHeight w:val="829"/>
          <w:jc w:val="center"/>
        </w:trPr>
        <w:tc>
          <w:tcPr>
            <w:tcW w:w="1581" w:type="dxa"/>
            <w:vAlign w:val="center"/>
          </w:tcPr>
          <w:p w14:paraId="310983BD"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课程类别</w:t>
            </w:r>
          </w:p>
        </w:tc>
        <w:tc>
          <w:tcPr>
            <w:tcW w:w="2581" w:type="dxa"/>
            <w:vAlign w:val="center"/>
          </w:tcPr>
          <w:p w14:paraId="550FB2B7"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公共必修课程</w:t>
            </w:r>
          </w:p>
        </w:tc>
        <w:tc>
          <w:tcPr>
            <w:tcW w:w="1563" w:type="dxa"/>
            <w:vAlign w:val="center"/>
          </w:tcPr>
          <w:p w14:paraId="5647F424"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学时</w:t>
            </w:r>
          </w:p>
          <w:p w14:paraId="216DE4DE"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/学分</w:t>
            </w:r>
          </w:p>
        </w:tc>
        <w:tc>
          <w:tcPr>
            <w:tcW w:w="2797" w:type="dxa"/>
            <w:vAlign w:val="center"/>
          </w:tcPr>
          <w:p w14:paraId="0FF1DFAF" w14:textId="77777777" w:rsidR="000B25E0" w:rsidRPr="000B25E0" w:rsidRDefault="000B25E0" w:rsidP="000B25E0">
            <w:pPr>
              <w:spacing w:line="440" w:lineRule="exact"/>
              <w:jc w:val="center"/>
              <w:rPr>
                <w:rFonts w:ascii="宋体" w:eastAsia="宋体" w:hAnsi="宋体" w:cs="Times New Roman"/>
                <w:color w:val="FF6600"/>
                <w:sz w:val="24"/>
              </w:rPr>
            </w:pPr>
            <w:r w:rsidRPr="000B25E0">
              <w:rPr>
                <w:rFonts w:ascii="宋体" w:eastAsia="宋体" w:hAnsi="Calibri" w:cs="宋体" w:hint="eastAsia"/>
                <w:kern w:val="0"/>
                <w:sz w:val="24"/>
              </w:rPr>
              <w:t>32/1</w:t>
            </w:r>
          </w:p>
        </w:tc>
      </w:tr>
      <w:tr w:rsidR="000B25E0" w:rsidRPr="000B25E0" w14:paraId="3911DFAF" w14:textId="77777777" w:rsidTr="00BF5EF3">
        <w:trPr>
          <w:trHeight w:val="811"/>
          <w:jc w:val="center"/>
        </w:trPr>
        <w:tc>
          <w:tcPr>
            <w:tcW w:w="1581" w:type="dxa"/>
            <w:vAlign w:val="center"/>
          </w:tcPr>
          <w:p w14:paraId="380B6776"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开课单位</w:t>
            </w:r>
          </w:p>
        </w:tc>
        <w:tc>
          <w:tcPr>
            <w:tcW w:w="2581" w:type="dxa"/>
            <w:vAlign w:val="center"/>
          </w:tcPr>
          <w:p w14:paraId="288CFD26"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sz w:val="24"/>
              </w:rPr>
              <w:t>石家庄学院体育学院</w:t>
            </w:r>
          </w:p>
        </w:tc>
        <w:tc>
          <w:tcPr>
            <w:tcW w:w="1563" w:type="dxa"/>
            <w:vAlign w:val="center"/>
          </w:tcPr>
          <w:p w14:paraId="43D86821"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适用专业</w:t>
            </w:r>
          </w:p>
        </w:tc>
        <w:tc>
          <w:tcPr>
            <w:tcW w:w="2797" w:type="dxa"/>
            <w:vAlign w:val="center"/>
          </w:tcPr>
          <w:p w14:paraId="601FA536" w14:textId="77777777" w:rsidR="000B25E0" w:rsidRPr="000B25E0" w:rsidRDefault="006D6C0A" w:rsidP="000B25E0">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0B25E0" w:rsidRPr="000B25E0" w14:paraId="14D97863" w14:textId="77777777" w:rsidTr="00BF5EF3">
        <w:trPr>
          <w:trHeight w:val="811"/>
          <w:jc w:val="center"/>
        </w:trPr>
        <w:tc>
          <w:tcPr>
            <w:tcW w:w="1581" w:type="dxa"/>
            <w:vAlign w:val="center"/>
          </w:tcPr>
          <w:p w14:paraId="7DBF18F5"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课程负责人</w:t>
            </w:r>
          </w:p>
        </w:tc>
        <w:tc>
          <w:tcPr>
            <w:tcW w:w="6941" w:type="dxa"/>
            <w:gridSpan w:val="3"/>
            <w:vAlign w:val="center"/>
          </w:tcPr>
          <w:p w14:paraId="272D6DC9"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李</w:t>
            </w:r>
            <w:proofErr w:type="gramStart"/>
            <w:r w:rsidRPr="000B25E0">
              <w:rPr>
                <w:rFonts w:ascii="宋体" w:eastAsia="宋体" w:hAnsi="宋体" w:cs="Times New Roman" w:hint="eastAsia"/>
                <w:sz w:val="24"/>
              </w:rPr>
              <w:t>世</w:t>
            </w:r>
            <w:proofErr w:type="gramEnd"/>
            <w:r w:rsidRPr="000B25E0">
              <w:rPr>
                <w:rFonts w:ascii="宋体" w:eastAsia="宋体" w:hAnsi="宋体" w:cs="Times New Roman" w:hint="eastAsia"/>
                <w:sz w:val="24"/>
              </w:rPr>
              <w:t>光、贾富池、赵建波、平娜</w:t>
            </w:r>
          </w:p>
        </w:tc>
      </w:tr>
      <w:tr w:rsidR="000B25E0" w:rsidRPr="000B25E0" w14:paraId="37E5FB40" w14:textId="77777777" w:rsidTr="00BF5EF3">
        <w:trPr>
          <w:trHeight w:val="836"/>
          <w:jc w:val="center"/>
        </w:trPr>
        <w:tc>
          <w:tcPr>
            <w:tcW w:w="1581" w:type="dxa"/>
            <w:vAlign w:val="center"/>
          </w:tcPr>
          <w:p w14:paraId="75EC229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大纲撰写人</w:t>
            </w:r>
          </w:p>
        </w:tc>
        <w:tc>
          <w:tcPr>
            <w:tcW w:w="2581" w:type="dxa"/>
            <w:vAlign w:val="center"/>
          </w:tcPr>
          <w:p w14:paraId="7EF6DBC7"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李</w:t>
            </w:r>
            <w:proofErr w:type="gramStart"/>
            <w:r w:rsidRPr="000B25E0">
              <w:rPr>
                <w:rFonts w:ascii="宋体" w:eastAsia="宋体" w:hAnsi="宋体" w:cs="Times New Roman" w:hint="eastAsia"/>
                <w:sz w:val="24"/>
              </w:rPr>
              <w:t>世</w:t>
            </w:r>
            <w:proofErr w:type="gramEnd"/>
            <w:r w:rsidRPr="000B25E0">
              <w:rPr>
                <w:rFonts w:ascii="宋体" w:eastAsia="宋体" w:hAnsi="宋体" w:cs="Times New Roman" w:hint="eastAsia"/>
                <w:sz w:val="24"/>
              </w:rPr>
              <w:t>光</w:t>
            </w:r>
          </w:p>
        </w:tc>
        <w:tc>
          <w:tcPr>
            <w:tcW w:w="1563" w:type="dxa"/>
            <w:vAlign w:val="center"/>
          </w:tcPr>
          <w:p w14:paraId="5F5A7008"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大纲审核人</w:t>
            </w:r>
          </w:p>
        </w:tc>
        <w:tc>
          <w:tcPr>
            <w:tcW w:w="2797" w:type="dxa"/>
            <w:vAlign w:val="center"/>
          </w:tcPr>
          <w:p w14:paraId="2B88BDCC" w14:textId="77777777" w:rsidR="000B25E0" w:rsidRPr="000B25E0" w:rsidRDefault="000B25E0" w:rsidP="000B25E0">
            <w:pPr>
              <w:spacing w:line="440" w:lineRule="exact"/>
              <w:jc w:val="center"/>
              <w:rPr>
                <w:rFonts w:ascii="宋体" w:eastAsia="宋体" w:hAnsi="宋体" w:cs="Times New Roman"/>
                <w:sz w:val="24"/>
              </w:rPr>
            </w:pPr>
            <w:proofErr w:type="gramStart"/>
            <w:r w:rsidRPr="000B25E0">
              <w:rPr>
                <w:rFonts w:ascii="宋体" w:eastAsia="宋体" w:hAnsi="宋体" w:cs="Times New Roman" w:hint="eastAsia"/>
                <w:sz w:val="24"/>
              </w:rPr>
              <w:t>左健</w:t>
            </w:r>
            <w:proofErr w:type="gramEnd"/>
          </w:p>
        </w:tc>
      </w:tr>
      <w:tr w:rsidR="000B25E0" w:rsidRPr="000B25E0" w14:paraId="6B1306CC" w14:textId="77777777" w:rsidTr="00BF5EF3">
        <w:trPr>
          <w:trHeight w:val="848"/>
          <w:jc w:val="center"/>
        </w:trPr>
        <w:tc>
          <w:tcPr>
            <w:tcW w:w="1581" w:type="dxa"/>
            <w:vAlign w:val="center"/>
          </w:tcPr>
          <w:p w14:paraId="0CE48C5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先修课程</w:t>
            </w:r>
          </w:p>
        </w:tc>
        <w:tc>
          <w:tcPr>
            <w:tcW w:w="6941" w:type="dxa"/>
            <w:gridSpan w:val="3"/>
            <w:vAlign w:val="center"/>
          </w:tcPr>
          <w:p w14:paraId="36E7862C" w14:textId="77777777" w:rsidR="000B25E0" w:rsidRPr="000B25E0" w:rsidRDefault="000B25E0" w:rsidP="000B25E0">
            <w:pPr>
              <w:spacing w:line="440" w:lineRule="exact"/>
              <w:jc w:val="center"/>
              <w:rPr>
                <w:rFonts w:ascii="宋体" w:eastAsia="宋体" w:hAnsi="宋体" w:cs="Times New Roman"/>
                <w:sz w:val="24"/>
              </w:rPr>
            </w:pPr>
          </w:p>
        </w:tc>
      </w:tr>
      <w:tr w:rsidR="000B25E0" w:rsidRPr="000B25E0" w14:paraId="2FC20F00" w14:textId="77777777" w:rsidTr="00BF5EF3">
        <w:trPr>
          <w:trHeight w:val="848"/>
          <w:jc w:val="center"/>
        </w:trPr>
        <w:tc>
          <w:tcPr>
            <w:tcW w:w="1581" w:type="dxa"/>
            <w:vAlign w:val="center"/>
          </w:tcPr>
          <w:p w14:paraId="53F89E85"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课程网址</w:t>
            </w:r>
          </w:p>
        </w:tc>
        <w:tc>
          <w:tcPr>
            <w:tcW w:w="6941" w:type="dxa"/>
            <w:gridSpan w:val="3"/>
            <w:vAlign w:val="center"/>
          </w:tcPr>
          <w:p w14:paraId="03E62910" w14:textId="77777777" w:rsidR="000B25E0" w:rsidRPr="000B25E0" w:rsidRDefault="000B25E0" w:rsidP="000B25E0">
            <w:pPr>
              <w:spacing w:line="440" w:lineRule="exact"/>
              <w:rPr>
                <w:rFonts w:ascii="宋体" w:eastAsia="宋体" w:hAnsi="宋体" w:cs="Times New Roman"/>
                <w:color w:val="FF0000"/>
                <w:sz w:val="24"/>
              </w:rPr>
            </w:pPr>
          </w:p>
        </w:tc>
      </w:tr>
    </w:tbl>
    <w:p w14:paraId="42C631B7"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二、课程学习目标及与毕业要求的对应关系</w:t>
      </w:r>
    </w:p>
    <w:p w14:paraId="486E1498"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（一）课程学习目标</w:t>
      </w:r>
    </w:p>
    <w:p w14:paraId="4218E043"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通过本课程的学习，使学生达到以下目标：</w:t>
      </w:r>
    </w:p>
    <w:p w14:paraId="4F604A66"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w:t>
      </w:r>
      <w:r w:rsidRPr="006D5349">
        <w:rPr>
          <w:rFonts w:ascii="宋体" w:eastAsia="宋体" w:hAnsi="宋体" w:cs="仿宋_GB2312" w:hint="eastAsia"/>
          <w:b/>
          <w:bCs/>
          <w:sz w:val="24"/>
        </w:rPr>
        <w:t>【毕业要求8/10 职业规范】</w:t>
      </w:r>
    </w:p>
    <w:p w14:paraId="3C12FFA6" w14:textId="77777777" w:rsidR="000B25E0" w:rsidRPr="006D5349" w:rsidRDefault="000B25E0" w:rsidP="000B25E0">
      <w:pPr>
        <w:spacing w:line="440" w:lineRule="exact"/>
        <w:ind w:firstLineChars="200" w:firstLine="480"/>
        <w:rPr>
          <w:rFonts w:ascii="宋体" w:eastAsia="宋体" w:hAnsi="宋体" w:cs="Times New Roman"/>
          <w:b/>
          <w:bCs/>
          <w:sz w:val="24"/>
        </w:rPr>
      </w:pPr>
      <w:r w:rsidRPr="000B25E0">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w:t>
      </w:r>
      <w:r w:rsidRPr="006D5349">
        <w:rPr>
          <w:rFonts w:ascii="宋体" w:eastAsia="宋体" w:hAnsi="宋体" w:cs="仿宋_GB2312" w:hint="eastAsia"/>
          <w:b/>
          <w:bCs/>
          <w:sz w:val="24"/>
        </w:rPr>
        <w:t>【毕业要求8/10 沟通】</w:t>
      </w:r>
    </w:p>
    <w:p w14:paraId="3FE65FEB"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仿宋_GB2312" w:hint="eastAsia"/>
          <w:sz w:val="24"/>
        </w:rPr>
        <w:lastRenderedPageBreak/>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03FA8155"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0B25E0" w:rsidRPr="000B25E0" w14:paraId="5CF507CC" w14:textId="77777777" w:rsidTr="00BF5EF3">
        <w:trPr>
          <w:trHeight w:val="815"/>
          <w:jc w:val="center"/>
        </w:trPr>
        <w:tc>
          <w:tcPr>
            <w:tcW w:w="1566" w:type="dxa"/>
            <w:vAlign w:val="center"/>
          </w:tcPr>
          <w:p w14:paraId="3C404DE1"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毕业要求</w:t>
            </w:r>
          </w:p>
        </w:tc>
        <w:tc>
          <w:tcPr>
            <w:tcW w:w="6237" w:type="dxa"/>
            <w:vAlign w:val="center"/>
          </w:tcPr>
          <w:p w14:paraId="09F88CD4"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毕业要求指标点</w:t>
            </w:r>
          </w:p>
        </w:tc>
        <w:tc>
          <w:tcPr>
            <w:tcW w:w="1366" w:type="dxa"/>
            <w:vAlign w:val="center"/>
          </w:tcPr>
          <w:p w14:paraId="1F3F5D8F"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课程目标</w:t>
            </w:r>
          </w:p>
        </w:tc>
      </w:tr>
      <w:tr w:rsidR="000B25E0" w:rsidRPr="000B25E0" w14:paraId="5C9DB996" w14:textId="77777777" w:rsidTr="00BF5EF3">
        <w:trPr>
          <w:jc w:val="center"/>
        </w:trPr>
        <w:tc>
          <w:tcPr>
            <w:tcW w:w="1566" w:type="dxa"/>
            <w:vAlign w:val="center"/>
          </w:tcPr>
          <w:p w14:paraId="3F38F693"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职业规范</w:t>
            </w:r>
            <w:r w:rsidRPr="000B25E0">
              <w:rPr>
                <w:rFonts w:ascii="宋体" w:eastAsia="宋体" w:hAnsi="宋体" w:cs="Times New Roman"/>
                <w:sz w:val="24"/>
              </w:rPr>
              <w:t>（</w:t>
            </w:r>
            <w:r w:rsidRPr="000B25E0">
              <w:rPr>
                <w:rFonts w:ascii="宋体" w:eastAsia="宋体" w:hAnsi="宋体" w:cs="Times New Roman" w:hint="eastAsia"/>
                <w:sz w:val="24"/>
              </w:rPr>
              <w:t>M</w:t>
            </w:r>
            <w:r w:rsidRPr="000B25E0">
              <w:rPr>
                <w:rFonts w:ascii="宋体" w:eastAsia="宋体" w:hAnsi="宋体" w:cs="Times New Roman"/>
                <w:sz w:val="24"/>
              </w:rPr>
              <w:t>）</w:t>
            </w:r>
          </w:p>
        </w:tc>
        <w:tc>
          <w:tcPr>
            <w:tcW w:w="6237" w:type="dxa"/>
            <w:vAlign w:val="center"/>
          </w:tcPr>
          <w:p w14:paraId="07583A99" w14:textId="77777777" w:rsidR="000B25E0" w:rsidRPr="000B25E0" w:rsidRDefault="000B25E0" w:rsidP="000B25E0">
            <w:pPr>
              <w:spacing w:line="440" w:lineRule="exact"/>
              <w:rPr>
                <w:rFonts w:ascii="宋体" w:eastAsia="宋体" w:hAnsi="宋体" w:cs="仿宋_GB2312"/>
                <w:sz w:val="24"/>
              </w:rPr>
            </w:pPr>
          </w:p>
          <w:p w14:paraId="5ECCC736" w14:textId="77777777" w:rsidR="000B25E0" w:rsidRPr="000B25E0" w:rsidRDefault="000B25E0" w:rsidP="000B25E0">
            <w:pPr>
              <w:spacing w:line="440" w:lineRule="exact"/>
              <w:rPr>
                <w:rFonts w:ascii="宋体" w:eastAsia="宋体" w:hAnsi="宋体" w:cs="仿宋_GB2312"/>
                <w:sz w:val="24"/>
              </w:rPr>
            </w:pPr>
          </w:p>
          <w:p w14:paraId="71035554" w14:textId="77777777" w:rsidR="000B25E0" w:rsidRPr="000B25E0" w:rsidRDefault="000B25E0" w:rsidP="000B25E0">
            <w:pPr>
              <w:spacing w:line="440" w:lineRule="exact"/>
              <w:rPr>
                <w:rFonts w:ascii="宋体" w:eastAsia="宋体" w:hAnsi="宋体" w:cs="Times New Roman"/>
                <w:sz w:val="24"/>
              </w:rPr>
            </w:pPr>
          </w:p>
        </w:tc>
        <w:tc>
          <w:tcPr>
            <w:tcW w:w="1366" w:type="dxa"/>
            <w:vAlign w:val="center"/>
          </w:tcPr>
          <w:p w14:paraId="27ED7B3E" w14:textId="77777777" w:rsidR="000B25E0" w:rsidRPr="000B25E0" w:rsidRDefault="000B25E0" w:rsidP="000B25E0">
            <w:pPr>
              <w:spacing w:line="440" w:lineRule="exact"/>
              <w:rPr>
                <w:rFonts w:ascii="宋体" w:eastAsia="宋体" w:hAnsi="宋体" w:cs="Times New Roman"/>
                <w:sz w:val="24"/>
              </w:rPr>
            </w:pPr>
            <w:r w:rsidRPr="000B25E0">
              <w:rPr>
                <w:rFonts w:ascii="宋体" w:eastAsia="宋体" w:hAnsi="宋体" w:cs="Times New Roman" w:hint="eastAsia"/>
                <w:sz w:val="24"/>
              </w:rPr>
              <w:t>课程目标1</w:t>
            </w:r>
          </w:p>
        </w:tc>
      </w:tr>
      <w:tr w:rsidR="000B25E0" w:rsidRPr="000B25E0" w14:paraId="7F7D0648" w14:textId="77777777" w:rsidTr="00BF5EF3">
        <w:trPr>
          <w:jc w:val="center"/>
        </w:trPr>
        <w:tc>
          <w:tcPr>
            <w:tcW w:w="1566" w:type="dxa"/>
            <w:vAlign w:val="center"/>
          </w:tcPr>
          <w:p w14:paraId="29E594F2"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沟通</w:t>
            </w:r>
            <w:r w:rsidRPr="000B25E0">
              <w:rPr>
                <w:rFonts w:ascii="宋体" w:eastAsia="宋体" w:hAnsi="宋体" w:cs="Times New Roman"/>
                <w:sz w:val="24"/>
              </w:rPr>
              <w:t>（</w:t>
            </w:r>
            <w:r w:rsidRPr="000B25E0">
              <w:rPr>
                <w:rFonts w:ascii="宋体" w:eastAsia="宋体" w:hAnsi="宋体" w:cs="Times New Roman" w:hint="eastAsia"/>
                <w:sz w:val="24"/>
              </w:rPr>
              <w:t>M</w:t>
            </w:r>
            <w:r w:rsidRPr="000B25E0">
              <w:rPr>
                <w:rFonts w:ascii="宋体" w:eastAsia="宋体" w:hAnsi="宋体" w:cs="Times New Roman"/>
                <w:sz w:val="24"/>
              </w:rPr>
              <w:t>）</w:t>
            </w:r>
          </w:p>
        </w:tc>
        <w:tc>
          <w:tcPr>
            <w:tcW w:w="6237" w:type="dxa"/>
            <w:vAlign w:val="center"/>
          </w:tcPr>
          <w:p w14:paraId="678FDF81" w14:textId="77777777" w:rsidR="000B25E0" w:rsidRPr="000B25E0" w:rsidRDefault="000B25E0" w:rsidP="000B25E0">
            <w:pPr>
              <w:spacing w:line="440" w:lineRule="exact"/>
              <w:rPr>
                <w:rFonts w:ascii="宋体" w:eastAsia="宋体" w:hAnsi="宋体" w:cs="Times New Roman"/>
                <w:sz w:val="24"/>
              </w:rPr>
            </w:pPr>
          </w:p>
          <w:p w14:paraId="157E3EAB" w14:textId="77777777" w:rsidR="000B25E0" w:rsidRPr="000B25E0" w:rsidRDefault="000B25E0" w:rsidP="000B25E0">
            <w:pPr>
              <w:spacing w:line="440" w:lineRule="exact"/>
              <w:rPr>
                <w:rFonts w:ascii="宋体" w:eastAsia="宋体" w:hAnsi="宋体" w:cs="Times New Roman"/>
                <w:sz w:val="24"/>
              </w:rPr>
            </w:pPr>
          </w:p>
        </w:tc>
        <w:tc>
          <w:tcPr>
            <w:tcW w:w="1366" w:type="dxa"/>
            <w:vAlign w:val="center"/>
          </w:tcPr>
          <w:p w14:paraId="2736E1B1" w14:textId="77777777" w:rsidR="000B25E0" w:rsidRPr="000B25E0" w:rsidRDefault="000B25E0" w:rsidP="000B25E0">
            <w:pPr>
              <w:spacing w:line="440" w:lineRule="exact"/>
              <w:rPr>
                <w:rFonts w:ascii="宋体" w:eastAsia="宋体" w:hAnsi="宋体" w:cs="仿宋_GB2312"/>
                <w:sz w:val="24"/>
              </w:rPr>
            </w:pPr>
            <w:r w:rsidRPr="000B25E0">
              <w:rPr>
                <w:rFonts w:ascii="宋体" w:eastAsia="宋体" w:hAnsi="宋体" w:cs="Times New Roman" w:hint="eastAsia"/>
                <w:sz w:val="24"/>
              </w:rPr>
              <w:t>课程目标</w:t>
            </w:r>
            <w:r w:rsidRPr="000B25E0">
              <w:rPr>
                <w:rFonts w:ascii="宋体" w:eastAsia="宋体" w:hAnsi="宋体" w:cs="Times New Roman"/>
                <w:sz w:val="24"/>
              </w:rPr>
              <w:t>2</w:t>
            </w:r>
          </w:p>
        </w:tc>
      </w:tr>
      <w:tr w:rsidR="000B25E0" w:rsidRPr="000B25E0" w14:paraId="00A0593A" w14:textId="77777777" w:rsidTr="00BF5EF3">
        <w:trPr>
          <w:jc w:val="center"/>
        </w:trPr>
        <w:tc>
          <w:tcPr>
            <w:tcW w:w="1566" w:type="dxa"/>
            <w:vAlign w:val="center"/>
          </w:tcPr>
          <w:p w14:paraId="7A670731"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终身学习</w:t>
            </w:r>
            <w:r w:rsidRPr="000B25E0">
              <w:rPr>
                <w:rFonts w:ascii="宋体" w:eastAsia="宋体" w:hAnsi="宋体" w:cs="Times New Roman"/>
                <w:sz w:val="24"/>
              </w:rPr>
              <w:t>（</w:t>
            </w:r>
            <w:r w:rsidRPr="000B25E0">
              <w:rPr>
                <w:rFonts w:ascii="宋体" w:eastAsia="宋体" w:hAnsi="宋体" w:cs="Times New Roman" w:hint="eastAsia"/>
                <w:sz w:val="24"/>
              </w:rPr>
              <w:t>H</w:t>
            </w:r>
            <w:r w:rsidRPr="000B25E0">
              <w:rPr>
                <w:rFonts w:ascii="宋体" w:eastAsia="宋体" w:hAnsi="宋体" w:cs="Times New Roman"/>
                <w:sz w:val="24"/>
              </w:rPr>
              <w:t>）</w:t>
            </w:r>
          </w:p>
        </w:tc>
        <w:tc>
          <w:tcPr>
            <w:tcW w:w="6237" w:type="dxa"/>
            <w:vAlign w:val="center"/>
          </w:tcPr>
          <w:p w14:paraId="5D8BD990" w14:textId="77777777" w:rsidR="000B25E0" w:rsidRPr="000B25E0" w:rsidRDefault="000B25E0" w:rsidP="000B25E0">
            <w:pPr>
              <w:spacing w:line="440" w:lineRule="exact"/>
              <w:rPr>
                <w:rFonts w:ascii="宋体" w:eastAsia="宋体" w:hAnsi="宋体" w:cs="仿宋_GB2312"/>
                <w:sz w:val="24"/>
              </w:rPr>
            </w:pPr>
          </w:p>
          <w:p w14:paraId="59263F67" w14:textId="77777777" w:rsidR="000B25E0" w:rsidRPr="000B25E0" w:rsidRDefault="000B25E0" w:rsidP="000B25E0">
            <w:pPr>
              <w:spacing w:line="440" w:lineRule="exact"/>
              <w:rPr>
                <w:rFonts w:ascii="宋体" w:eastAsia="宋体" w:hAnsi="宋体" w:cs="仿宋_GB2312"/>
                <w:sz w:val="24"/>
              </w:rPr>
            </w:pPr>
          </w:p>
          <w:p w14:paraId="2B5B474F" w14:textId="77777777" w:rsidR="000B25E0" w:rsidRPr="000B25E0" w:rsidRDefault="000B25E0" w:rsidP="000B25E0">
            <w:pPr>
              <w:spacing w:line="440" w:lineRule="exact"/>
              <w:rPr>
                <w:rFonts w:ascii="宋体" w:eastAsia="宋体" w:hAnsi="宋体" w:cs="Times New Roman"/>
                <w:sz w:val="24"/>
              </w:rPr>
            </w:pPr>
          </w:p>
        </w:tc>
        <w:tc>
          <w:tcPr>
            <w:tcW w:w="1366" w:type="dxa"/>
            <w:vAlign w:val="center"/>
          </w:tcPr>
          <w:p w14:paraId="67CB62F6" w14:textId="77777777" w:rsidR="000B25E0" w:rsidRPr="000B25E0" w:rsidRDefault="000B25E0" w:rsidP="000B25E0">
            <w:pPr>
              <w:spacing w:line="440" w:lineRule="exact"/>
              <w:rPr>
                <w:rFonts w:ascii="宋体" w:eastAsia="宋体" w:hAnsi="宋体" w:cs="Times New Roman"/>
                <w:sz w:val="24"/>
              </w:rPr>
            </w:pPr>
            <w:r w:rsidRPr="000B25E0">
              <w:rPr>
                <w:rFonts w:ascii="宋体" w:eastAsia="宋体" w:hAnsi="宋体" w:cs="Times New Roman"/>
                <w:sz w:val="24"/>
              </w:rPr>
              <w:t>课程目标3</w:t>
            </w:r>
          </w:p>
        </w:tc>
      </w:tr>
    </w:tbl>
    <w:p w14:paraId="228BC217" w14:textId="77777777" w:rsidR="000B25E0" w:rsidRPr="000B25E0" w:rsidRDefault="000B25E0" w:rsidP="000B25E0">
      <w:pPr>
        <w:spacing w:beforeLines="50" w:before="156" w:afterLines="50" w:after="156" w:line="440" w:lineRule="exact"/>
        <w:rPr>
          <w:rFonts w:ascii="黑体" w:eastAsia="黑体" w:hAnsi="黑体" w:cs="Times New Roman"/>
          <w:sz w:val="28"/>
          <w:szCs w:val="28"/>
        </w:rPr>
      </w:pPr>
    </w:p>
    <w:p w14:paraId="66A1B2CA"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三、课程学习内容及与课程学习目标的对应关系</w:t>
      </w:r>
    </w:p>
    <w:p w14:paraId="6454CAD5" w14:textId="77777777" w:rsidR="000B25E0" w:rsidRPr="000B25E0" w:rsidRDefault="000B25E0" w:rsidP="000B25E0">
      <w:pPr>
        <w:spacing w:beforeLines="50" w:before="156" w:afterLines="50" w:after="156" w:line="440" w:lineRule="exact"/>
        <w:ind w:firstLineChars="200" w:firstLine="562"/>
        <w:rPr>
          <w:rFonts w:ascii="黑体" w:eastAsia="黑体" w:hAnsi="黑体" w:cs="Times New Roman"/>
          <w:b/>
          <w:sz w:val="28"/>
          <w:szCs w:val="28"/>
        </w:rPr>
      </w:pPr>
      <w:r w:rsidRPr="000B25E0">
        <w:rPr>
          <w:rFonts w:ascii="黑体" w:eastAsia="黑体" w:hAnsi="黑体" w:cs="Times New Roman" w:hint="eastAsia"/>
          <w:b/>
          <w:sz w:val="28"/>
          <w:szCs w:val="28"/>
        </w:rPr>
        <w:t>（一）课程学习内容</w:t>
      </w:r>
    </w:p>
    <w:p w14:paraId="23F62EA3"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学习内容四  太极拳</w:t>
      </w:r>
    </w:p>
    <w:p w14:paraId="3667F437"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4D10A305"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124AC3C5"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w:t>
      </w:r>
      <w:r w:rsidRPr="000B25E0">
        <w:rPr>
          <w:rFonts w:ascii="宋体" w:eastAsia="宋体" w:hAnsi="宋体" w:cs="仿宋_GB2312" w:hint="eastAsia"/>
          <w:sz w:val="24"/>
        </w:rPr>
        <w:lastRenderedPageBreak/>
        <w:t>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594524F2"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太极拳的一般规律和特点，使学生获得太极拳的基技法、和健身原理，并了解太极拳流派及其发展现状。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4CA74396" w14:textId="77777777" w:rsidR="000B25E0" w:rsidRPr="000B25E0" w:rsidRDefault="000B25E0" w:rsidP="000B25E0">
      <w:pPr>
        <w:spacing w:line="440" w:lineRule="exact"/>
        <w:ind w:firstLineChars="200" w:firstLine="500"/>
        <w:rPr>
          <w:rFonts w:ascii="宋体" w:eastAsia="宋体" w:hAnsi="宋体" w:cs="Times New Roman"/>
          <w:b/>
          <w:sz w:val="24"/>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47D8AC01"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【学习内容】</w:t>
      </w:r>
    </w:p>
    <w:p w14:paraId="5E4B8C63" w14:textId="77777777" w:rsidR="000B25E0" w:rsidRPr="000B25E0" w:rsidRDefault="000B25E0" w:rsidP="000B25E0">
      <w:pPr>
        <w:spacing w:beforeLines="50" w:before="156" w:afterLines="50" w:after="156" w:line="500" w:lineRule="exact"/>
        <w:ind w:firstLineChars="200" w:firstLine="562"/>
        <w:jc w:val="center"/>
        <w:rPr>
          <w:rFonts w:ascii="宋体" w:eastAsia="宋体" w:hAnsi="宋体" w:cs="宋体"/>
          <w:b/>
          <w:bCs/>
          <w:kern w:val="0"/>
          <w:sz w:val="28"/>
          <w:szCs w:val="28"/>
          <w:lang w:val="zh-CN"/>
        </w:rPr>
      </w:pPr>
      <w:r w:rsidRPr="000B25E0">
        <w:rPr>
          <w:rFonts w:ascii="宋体" w:eastAsia="宋体" w:hAnsi="宋体" w:cs="宋体" w:hint="eastAsia"/>
          <w:b/>
          <w:bCs/>
          <w:kern w:val="0"/>
          <w:sz w:val="28"/>
          <w:szCs w:val="28"/>
          <w:lang w:val="zh-CN"/>
        </w:rPr>
        <w:t>第一章</w:t>
      </w:r>
      <w:r w:rsidRPr="000B25E0">
        <w:rPr>
          <w:rFonts w:ascii="宋体" w:eastAsia="宋体" w:hAnsi="宋体" w:cs="宋体"/>
          <w:b/>
          <w:bCs/>
          <w:kern w:val="0"/>
          <w:sz w:val="28"/>
          <w:szCs w:val="28"/>
          <w:lang w:val="zh-CN"/>
        </w:rPr>
        <w:t xml:space="preserve">  </w:t>
      </w:r>
      <w:r w:rsidRPr="000B25E0">
        <w:rPr>
          <w:rFonts w:ascii="宋体" w:eastAsia="宋体" w:hAnsi="宋体" w:cs="宋体" w:hint="eastAsia"/>
          <w:b/>
          <w:bCs/>
          <w:kern w:val="0"/>
          <w:sz w:val="28"/>
          <w:szCs w:val="28"/>
          <w:lang w:val="zh-CN"/>
        </w:rPr>
        <w:t>基本手法、步法及静力性腿部力量和柔韧练习（6学时）</w:t>
      </w:r>
    </w:p>
    <w:p w14:paraId="13558CA2" w14:textId="77777777" w:rsidR="000B25E0" w:rsidRPr="000B25E0" w:rsidRDefault="000B25E0" w:rsidP="000B25E0">
      <w:pPr>
        <w:autoSpaceDE w:val="0"/>
        <w:autoSpaceDN w:val="0"/>
        <w:adjustRightInd w:val="0"/>
        <w:spacing w:line="500" w:lineRule="atLeast"/>
        <w:ind w:firstLineChars="200" w:firstLine="482"/>
        <w:rPr>
          <w:rFonts w:ascii="宋体" w:eastAsia="宋体" w:hAnsi="宋体" w:cs="Times New Roman"/>
          <w:b/>
          <w:bCs/>
          <w:kern w:val="0"/>
          <w:sz w:val="24"/>
        </w:rPr>
      </w:pPr>
      <w:r w:rsidRPr="000B25E0">
        <w:rPr>
          <w:rFonts w:ascii="宋体" w:eastAsia="宋体" w:hAnsi="宋体" w:cs="宋体" w:hint="eastAsia"/>
          <w:b/>
          <w:bCs/>
          <w:kern w:val="0"/>
          <w:sz w:val="24"/>
          <w:lang w:val="zh-CN"/>
        </w:rPr>
        <w:t>本章主要教学内容：</w:t>
      </w:r>
    </w:p>
    <w:p w14:paraId="5400CE16" w14:textId="77777777" w:rsidR="000B25E0" w:rsidRPr="000B25E0" w:rsidRDefault="000B25E0" w:rsidP="000B25E0">
      <w:pPr>
        <w:spacing w:line="500" w:lineRule="exact"/>
        <w:ind w:firstLineChars="200" w:firstLine="480"/>
        <w:rPr>
          <w:rFonts w:ascii="宋体" w:eastAsia="宋体" w:hAnsi="宋体" w:cs="Times New Roman"/>
          <w:sz w:val="24"/>
        </w:rPr>
      </w:pPr>
      <w:r w:rsidRPr="000B25E0">
        <w:rPr>
          <w:rFonts w:ascii="宋体" w:eastAsia="宋体" w:hAnsi="宋体" w:cs="Times New Roman" w:hint="eastAsia"/>
          <w:color w:val="000000"/>
          <w:sz w:val="24"/>
        </w:rPr>
        <w:t>1.1</w:t>
      </w:r>
      <w:r w:rsidRPr="000B25E0">
        <w:rPr>
          <w:rFonts w:ascii="宋体" w:eastAsia="宋体" w:hAnsi="宋体" w:cs="Times New Roman" w:hint="eastAsia"/>
          <w:sz w:val="24"/>
        </w:rPr>
        <w:t>学习拳、掌、</w:t>
      </w:r>
      <w:proofErr w:type="gramStart"/>
      <w:r w:rsidRPr="000B25E0">
        <w:rPr>
          <w:rFonts w:ascii="宋体" w:eastAsia="宋体" w:hAnsi="宋体" w:cs="Times New Roman" w:hint="eastAsia"/>
          <w:sz w:val="24"/>
        </w:rPr>
        <w:t>勾等手形</w:t>
      </w:r>
      <w:proofErr w:type="gramEnd"/>
      <w:r w:rsidRPr="000B25E0">
        <w:rPr>
          <w:rFonts w:ascii="宋体" w:eastAsia="宋体" w:hAnsi="宋体" w:cs="Times New Roman" w:hint="eastAsia"/>
          <w:sz w:val="24"/>
        </w:rPr>
        <w:t>、手法。</w:t>
      </w:r>
    </w:p>
    <w:p w14:paraId="3DEEF46A" w14:textId="77777777" w:rsidR="000B25E0" w:rsidRPr="000B25E0" w:rsidRDefault="000B25E0" w:rsidP="000B25E0">
      <w:pPr>
        <w:spacing w:line="500" w:lineRule="exact"/>
        <w:ind w:firstLineChars="200" w:firstLine="480"/>
        <w:rPr>
          <w:rFonts w:ascii="宋体" w:eastAsia="宋体" w:hAnsi="宋体" w:cs="Times New Roman"/>
          <w:sz w:val="24"/>
        </w:rPr>
      </w:pPr>
      <w:r w:rsidRPr="000B25E0">
        <w:rPr>
          <w:rFonts w:ascii="宋体" w:eastAsia="宋体" w:hAnsi="宋体" w:cs="Times New Roman" w:hint="eastAsia"/>
          <w:color w:val="000000"/>
          <w:sz w:val="24"/>
        </w:rPr>
        <w:t>1.2</w:t>
      </w:r>
      <w:r w:rsidRPr="000B25E0">
        <w:rPr>
          <w:rFonts w:ascii="宋体" w:eastAsia="宋体" w:hAnsi="宋体" w:cs="Times New Roman" w:hint="eastAsia"/>
          <w:sz w:val="24"/>
        </w:rPr>
        <w:t>学习弓步、马步、虚步、</w:t>
      </w:r>
      <w:proofErr w:type="gramStart"/>
      <w:r w:rsidRPr="000B25E0">
        <w:rPr>
          <w:rFonts w:ascii="宋体" w:eastAsia="宋体" w:hAnsi="宋体" w:cs="Times New Roman" w:hint="eastAsia"/>
          <w:sz w:val="24"/>
        </w:rPr>
        <w:t>仆</w:t>
      </w:r>
      <w:proofErr w:type="gramEnd"/>
      <w:r w:rsidRPr="000B25E0">
        <w:rPr>
          <w:rFonts w:ascii="宋体" w:eastAsia="宋体" w:hAnsi="宋体" w:cs="Times New Roman" w:hint="eastAsia"/>
          <w:sz w:val="24"/>
        </w:rPr>
        <w:t>步、歇步等步法。</w:t>
      </w:r>
    </w:p>
    <w:p w14:paraId="132358DB" w14:textId="77777777" w:rsidR="000B25E0" w:rsidRPr="000B25E0" w:rsidRDefault="000B25E0" w:rsidP="000B25E0">
      <w:pPr>
        <w:spacing w:line="500" w:lineRule="exact"/>
        <w:ind w:firstLineChars="200" w:firstLine="480"/>
        <w:rPr>
          <w:rFonts w:ascii="宋体" w:eastAsia="宋体" w:hAnsi="宋体" w:cs="Times New Roman"/>
          <w:sz w:val="24"/>
        </w:rPr>
      </w:pPr>
      <w:r w:rsidRPr="000B25E0">
        <w:rPr>
          <w:rFonts w:ascii="宋体" w:eastAsia="宋体" w:hAnsi="宋体" w:cs="Times New Roman" w:hint="eastAsia"/>
          <w:color w:val="000000"/>
          <w:sz w:val="24"/>
        </w:rPr>
        <w:t>1.3</w:t>
      </w:r>
      <w:r w:rsidRPr="000B25E0">
        <w:rPr>
          <w:rFonts w:ascii="宋体" w:eastAsia="宋体" w:hAnsi="宋体" w:cs="Times New Roman" w:hint="eastAsia"/>
          <w:sz w:val="24"/>
        </w:rPr>
        <w:t>手、眼、身、法、步的配合。</w:t>
      </w:r>
    </w:p>
    <w:p w14:paraId="4E1494F0" w14:textId="77777777" w:rsidR="000B25E0" w:rsidRPr="000B25E0" w:rsidRDefault="000B25E0" w:rsidP="000B25E0">
      <w:pPr>
        <w:spacing w:line="500" w:lineRule="exact"/>
        <w:ind w:firstLineChars="200" w:firstLine="482"/>
        <w:rPr>
          <w:rFonts w:ascii="宋体" w:eastAsia="宋体" w:hAnsi="宋体" w:cs="Times New Roman"/>
          <w:sz w:val="24"/>
        </w:rPr>
      </w:pPr>
      <w:r w:rsidRPr="000B25E0">
        <w:rPr>
          <w:rFonts w:ascii="宋体" w:eastAsia="宋体" w:hAnsi="宋体" w:cs="Times New Roman"/>
          <w:b/>
          <w:color w:val="000000"/>
          <w:sz w:val="24"/>
        </w:rPr>
        <w:t>教学目的及要求：</w:t>
      </w:r>
      <w:r w:rsidRPr="000B25E0">
        <w:rPr>
          <w:rFonts w:ascii="宋体" w:eastAsia="宋体" w:hAnsi="宋体" w:cs="Times New Roman" w:hint="eastAsia"/>
          <w:sz w:val="24"/>
        </w:rPr>
        <w:t>正确掌握手法和步法。</w:t>
      </w:r>
    </w:p>
    <w:p w14:paraId="06A28AB1" w14:textId="77777777" w:rsidR="000B25E0" w:rsidRPr="000B25E0" w:rsidRDefault="000B25E0" w:rsidP="000B25E0">
      <w:pPr>
        <w:spacing w:line="500" w:lineRule="exact"/>
        <w:ind w:firstLineChars="200" w:firstLine="482"/>
        <w:rPr>
          <w:rFonts w:ascii="宋体" w:eastAsia="宋体" w:hAnsi="宋体" w:cs="Times New Roman"/>
          <w:sz w:val="24"/>
        </w:rPr>
      </w:pPr>
      <w:r w:rsidRPr="000B25E0">
        <w:rPr>
          <w:rFonts w:ascii="宋体" w:eastAsia="宋体" w:hAnsi="宋体" w:cs="Times New Roman"/>
          <w:b/>
          <w:color w:val="000000"/>
          <w:sz w:val="24"/>
        </w:rPr>
        <w:t>教学重点及难点：</w:t>
      </w:r>
      <w:r w:rsidRPr="000B25E0">
        <w:rPr>
          <w:rFonts w:ascii="宋体" w:eastAsia="宋体" w:hAnsi="宋体" w:cs="Times New Roman" w:hint="eastAsia"/>
          <w:sz w:val="24"/>
        </w:rPr>
        <w:t>正确掌握手法和步法及体现手、眼、身、法、步的配合。</w:t>
      </w:r>
    </w:p>
    <w:p w14:paraId="24AF5110" w14:textId="77777777" w:rsidR="000B25E0" w:rsidRPr="000B25E0" w:rsidRDefault="000B25E0" w:rsidP="000B25E0">
      <w:pPr>
        <w:spacing w:beforeLines="50" w:before="156" w:afterLines="50" w:after="156" w:line="500" w:lineRule="exact"/>
        <w:ind w:firstLineChars="200" w:firstLine="562"/>
        <w:jc w:val="center"/>
        <w:rPr>
          <w:rFonts w:ascii="宋体" w:eastAsia="宋体" w:hAnsi="宋体" w:cs="宋体"/>
          <w:b/>
          <w:bCs/>
          <w:kern w:val="0"/>
          <w:sz w:val="28"/>
          <w:szCs w:val="28"/>
          <w:lang w:val="zh-CN"/>
        </w:rPr>
      </w:pPr>
      <w:r w:rsidRPr="000B25E0">
        <w:rPr>
          <w:rFonts w:ascii="宋体" w:eastAsia="宋体" w:hAnsi="宋体" w:cs="宋体" w:hint="eastAsia"/>
          <w:b/>
          <w:bCs/>
          <w:kern w:val="0"/>
          <w:sz w:val="28"/>
          <w:szCs w:val="28"/>
          <w:lang w:val="zh-CN"/>
        </w:rPr>
        <w:t>第二章</w:t>
      </w:r>
      <w:r w:rsidRPr="000B25E0">
        <w:rPr>
          <w:rFonts w:ascii="宋体" w:eastAsia="宋体" w:hAnsi="宋体" w:cs="宋体"/>
          <w:b/>
          <w:bCs/>
          <w:kern w:val="0"/>
          <w:sz w:val="28"/>
          <w:szCs w:val="28"/>
          <w:lang w:val="zh-CN"/>
        </w:rPr>
        <w:t xml:space="preserve">  </w:t>
      </w:r>
      <w:r w:rsidRPr="000B25E0">
        <w:rPr>
          <w:rFonts w:ascii="宋体" w:eastAsia="宋体" w:hAnsi="宋体" w:cs="宋体" w:hint="eastAsia"/>
          <w:b/>
          <w:bCs/>
          <w:kern w:val="0"/>
          <w:sz w:val="28"/>
          <w:szCs w:val="28"/>
          <w:lang w:val="zh-CN"/>
        </w:rPr>
        <w:t>太极拳套路和柔韧练习（2</w:t>
      </w:r>
      <w:r w:rsidRPr="000B25E0">
        <w:rPr>
          <w:rFonts w:ascii="宋体" w:eastAsia="宋体" w:hAnsi="宋体" w:cs="宋体" w:hint="eastAsia"/>
          <w:b/>
          <w:bCs/>
          <w:kern w:val="0"/>
          <w:sz w:val="28"/>
          <w:szCs w:val="28"/>
        </w:rPr>
        <w:t>0</w:t>
      </w:r>
      <w:r w:rsidRPr="000B25E0">
        <w:rPr>
          <w:rFonts w:ascii="宋体" w:eastAsia="宋体" w:hAnsi="宋体" w:cs="宋体" w:hint="eastAsia"/>
          <w:b/>
          <w:bCs/>
          <w:kern w:val="0"/>
          <w:sz w:val="28"/>
          <w:szCs w:val="28"/>
          <w:lang w:val="zh-CN"/>
        </w:rPr>
        <w:t>学时）</w:t>
      </w:r>
    </w:p>
    <w:p w14:paraId="74C5A575" w14:textId="77777777" w:rsidR="000B25E0" w:rsidRPr="000B25E0" w:rsidRDefault="000B25E0" w:rsidP="000B25E0">
      <w:pPr>
        <w:autoSpaceDE w:val="0"/>
        <w:autoSpaceDN w:val="0"/>
        <w:adjustRightInd w:val="0"/>
        <w:spacing w:line="500" w:lineRule="atLeast"/>
        <w:ind w:firstLineChars="200" w:firstLine="482"/>
        <w:rPr>
          <w:rFonts w:ascii="宋体" w:eastAsia="宋体" w:hAnsi="宋体" w:cs="Times New Roman"/>
          <w:b/>
          <w:bCs/>
          <w:kern w:val="0"/>
          <w:sz w:val="24"/>
        </w:rPr>
      </w:pPr>
      <w:r w:rsidRPr="000B25E0">
        <w:rPr>
          <w:rFonts w:ascii="宋体" w:eastAsia="宋体" w:hAnsi="宋体" w:cs="宋体" w:hint="eastAsia"/>
          <w:b/>
          <w:bCs/>
          <w:kern w:val="0"/>
          <w:sz w:val="24"/>
          <w:lang w:val="zh-CN"/>
        </w:rPr>
        <w:t>本章主要教学内容：</w:t>
      </w:r>
    </w:p>
    <w:p w14:paraId="5D6960C1" w14:textId="77777777" w:rsidR="000B25E0" w:rsidRPr="000B25E0" w:rsidRDefault="000B25E0" w:rsidP="000B25E0">
      <w:pPr>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2.1太极拳第一组</w:t>
      </w:r>
    </w:p>
    <w:p w14:paraId="2EB1B1A4" w14:textId="77777777" w:rsidR="000B25E0" w:rsidRPr="000B25E0" w:rsidRDefault="000B25E0" w:rsidP="000B25E0">
      <w:pPr>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2.2太极拳第二组</w:t>
      </w:r>
    </w:p>
    <w:p w14:paraId="71F8BF23" w14:textId="77777777" w:rsidR="000B25E0" w:rsidRPr="000B25E0" w:rsidRDefault="000B25E0" w:rsidP="000B25E0">
      <w:pPr>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2.3太极拳第三组</w:t>
      </w:r>
    </w:p>
    <w:p w14:paraId="6EC98465" w14:textId="77777777" w:rsidR="000B25E0" w:rsidRPr="000B25E0" w:rsidRDefault="000B25E0" w:rsidP="000B25E0">
      <w:pPr>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lastRenderedPageBreak/>
        <w:t>1.2.4太极拳第四组</w:t>
      </w:r>
    </w:p>
    <w:p w14:paraId="43E8F913" w14:textId="77777777" w:rsidR="000B25E0" w:rsidRPr="000B25E0" w:rsidRDefault="000B25E0" w:rsidP="000B25E0">
      <w:pPr>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1.2.5太极拳第五组</w:t>
      </w:r>
    </w:p>
    <w:p w14:paraId="5BA81469" w14:textId="77777777" w:rsidR="000B25E0" w:rsidRPr="000B25E0" w:rsidRDefault="000B25E0" w:rsidP="000B25E0">
      <w:pPr>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1.2.6太极拳第六组</w:t>
      </w:r>
    </w:p>
    <w:p w14:paraId="5A23D70F" w14:textId="77777777" w:rsidR="000B25E0" w:rsidRPr="000B25E0" w:rsidRDefault="000B25E0" w:rsidP="000B25E0">
      <w:pPr>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1.2.7.太极拳第七组</w:t>
      </w:r>
    </w:p>
    <w:p w14:paraId="2BFE4F44" w14:textId="77777777" w:rsidR="000B25E0" w:rsidRPr="000B25E0" w:rsidRDefault="000B25E0" w:rsidP="000B25E0">
      <w:pPr>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1.2.8太极拳第八组</w:t>
      </w:r>
    </w:p>
    <w:p w14:paraId="56339DFF" w14:textId="77777777" w:rsidR="000B25E0" w:rsidRPr="000B25E0" w:rsidRDefault="000B25E0" w:rsidP="000B25E0">
      <w:pPr>
        <w:spacing w:line="500" w:lineRule="exact"/>
        <w:ind w:firstLineChars="200" w:firstLine="482"/>
        <w:rPr>
          <w:rFonts w:ascii="宋体" w:eastAsia="宋体" w:hAnsi="宋体" w:cs="Times New Roman"/>
          <w:sz w:val="24"/>
        </w:rPr>
      </w:pPr>
      <w:r w:rsidRPr="000B25E0">
        <w:rPr>
          <w:rFonts w:ascii="宋体" w:eastAsia="宋体" w:hAnsi="宋体" w:cs="Times New Roman"/>
          <w:b/>
          <w:color w:val="000000"/>
          <w:sz w:val="24"/>
        </w:rPr>
        <w:t>教学目的及要求：</w:t>
      </w:r>
      <w:r w:rsidRPr="000B25E0">
        <w:rPr>
          <w:rFonts w:ascii="宋体" w:eastAsia="宋体" w:hAnsi="宋体" w:cs="Times New Roman" w:hint="eastAsia"/>
          <w:sz w:val="24"/>
        </w:rPr>
        <w:t>掌握简化太极拳套路动作。</w:t>
      </w:r>
    </w:p>
    <w:p w14:paraId="1541259E" w14:textId="77777777" w:rsidR="000B25E0" w:rsidRPr="000B25E0" w:rsidRDefault="000B25E0" w:rsidP="000B25E0">
      <w:pPr>
        <w:spacing w:line="500" w:lineRule="exact"/>
        <w:ind w:firstLineChars="200" w:firstLine="482"/>
        <w:rPr>
          <w:rFonts w:ascii="宋体" w:eastAsia="宋体" w:hAnsi="宋体" w:cs="Times New Roman"/>
          <w:color w:val="000000"/>
          <w:sz w:val="24"/>
        </w:rPr>
      </w:pPr>
      <w:r w:rsidRPr="000B25E0">
        <w:rPr>
          <w:rFonts w:ascii="宋体" w:eastAsia="宋体" w:hAnsi="宋体" w:cs="Times New Roman"/>
          <w:b/>
          <w:color w:val="000000"/>
          <w:sz w:val="24"/>
        </w:rPr>
        <w:t>教学重点及难点：</w:t>
      </w:r>
      <w:r w:rsidRPr="000B25E0">
        <w:rPr>
          <w:rFonts w:ascii="宋体" w:eastAsia="宋体" w:hAnsi="宋体" w:cs="Times New Roman" w:hint="eastAsia"/>
          <w:color w:val="000000"/>
          <w:sz w:val="24"/>
        </w:rPr>
        <w:t>动作节奏和身体重心。</w:t>
      </w:r>
    </w:p>
    <w:p w14:paraId="7F4CDA0A" w14:textId="77777777" w:rsidR="000B25E0" w:rsidRPr="000B25E0" w:rsidRDefault="000B25E0" w:rsidP="000B25E0">
      <w:pPr>
        <w:spacing w:beforeLines="50" w:before="156" w:afterLines="50" w:after="156" w:line="500" w:lineRule="exact"/>
        <w:ind w:firstLineChars="200" w:firstLine="562"/>
        <w:jc w:val="center"/>
        <w:rPr>
          <w:rFonts w:ascii="宋体" w:eastAsia="宋体" w:hAnsi="宋体" w:cs="宋体"/>
          <w:b/>
          <w:bCs/>
          <w:kern w:val="0"/>
          <w:sz w:val="28"/>
          <w:szCs w:val="28"/>
          <w:lang w:val="zh-CN"/>
        </w:rPr>
      </w:pPr>
      <w:r w:rsidRPr="000B25E0">
        <w:rPr>
          <w:rFonts w:ascii="宋体" w:eastAsia="宋体" w:hAnsi="宋体" w:cs="宋体" w:hint="eastAsia"/>
          <w:b/>
          <w:bCs/>
          <w:kern w:val="0"/>
          <w:sz w:val="28"/>
          <w:szCs w:val="28"/>
          <w:lang w:val="zh-CN"/>
        </w:rPr>
        <w:t>第三章</w:t>
      </w:r>
      <w:r w:rsidRPr="000B25E0">
        <w:rPr>
          <w:rFonts w:ascii="宋体" w:eastAsia="宋体" w:hAnsi="宋体" w:cs="宋体"/>
          <w:b/>
          <w:bCs/>
          <w:kern w:val="0"/>
          <w:sz w:val="28"/>
          <w:szCs w:val="28"/>
          <w:lang w:val="zh-CN"/>
        </w:rPr>
        <w:t xml:space="preserve">  </w:t>
      </w:r>
      <w:r w:rsidRPr="000B25E0">
        <w:rPr>
          <w:rFonts w:ascii="宋体" w:eastAsia="宋体" w:hAnsi="宋体" w:cs="宋体" w:hint="eastAsia"/>
          <w:b/>
          <w:bCs/>
          <w:kern w:val="0"/>
          <w:sz w:val="28"/>
          <w:szCs w:val="28"/>
          <w:lang w:val="zh-CN"/>
        </w:rPr>
        <w:t>复习与考核（6学时）</w:t>
      </w:r>
    </w:p>
    <w:p w14:paraId="4255A1F3" w14:textId="77777777" w:rsidR="000B25E0" w:rsidRPr="000B25E0" w:rsidRDefault="000B25E0" w:rsidP="000B25E0">
      <w:pPr>
        <w:autoSpaceDE w:val="0"/>
        <w:autoSpaceDN w:val="0"/>
        <w:adjustRightInd w:val="0"/>
        <w:spacing w:line="500" w:lineRule="atLeast"/>
        <w:ind w:firstLineChars="200" w:firstLine="482"/>
        <w:rPr>
          <w:rFonts w:ascii="宋体" w:eastAsia="宋体" w:hAnsi="宋体" w:cs="Times New Roman"/>
          <w:b/>
          <w:bCs/>
          <w:kern w:val="0"/>
          <w:sz w:val="24"/>
        </w:rPr>
      </w:pPr>
      <w:r w:rsidRPr="000B25E0">
        <w:rPr>
          <w:rFonts w:ascii="宋体" w:eastAsia="宋体" w:hAnsi="宋体" w:cs="宋体" w:hint="eastAsia"/>
          <w:b/>
          <w:bCs/>
          <w:kern w:val="0"/>
          <w:sz w:val="24"/>
          <w:lang w:val="zh-CN"/>
        </w:rPr>
        <w:t>本章主要教学内容：</w:t>
      </w:r>
    </w:p>
    <w:p w14:paraId="6A32CBE7" w14:textId="77777777" w:rsidR="000B25E0" w:rsidRPr="000B25E0" w:rsidRDefault="000B25E0" w:rsidP="000B25E0">
      <w:pPr>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3.1复习提高太极拳</w:t>
      </w:r>
    </w:p>
    <w:p w14:paraId="39C55AF3" w14:textId="77777777" w:rsidR="000B25E0" w:rsidRPr="000B25E0" w:rsidRDefault="000B25E0" w:rsidP="000B25E0">
      <w:pPr>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3.2太极拳考核</w:t>
      </w:r>
    </w:p>
    <w:p w14:paraId="633EE3AF" w14:textId="77777777" w:rsidR="000B25E0" w:rsidRPr="000B25E0" w:rsidRDefault="000B25E0" w:rsidP="000B25E0">
      <w:pPr>
        <w:spacing w:line="500" w:lineRule="exact"/>
        <w:ind w:firstLineChars="200" w:firstLine="482"/>
        <w:rPr>
          <w:rFonts w:ascii="宋体" w:eastAsia="宋体" w:hAnsi="宋体" w:cs="Times New Roman"/>
          <w:sz w:val="24"/>
        </w:rPr>
      </w:pPr>
      <w:r w:rsidRPr="000B25E0">
        <w:rPr>
          <w:rFonts w:ascii="宋体" w:eastAsia="宋体" w:hAnsi="宋体" w:cs="Times New Roman"/>
          <w:b/>
          <w:color w:val="000000"/>
          <w:sz w:val="24"/>
        </w:rPr>
        <w:t>教学目的及要求：</w:t>
      </w:r>
      <w:r w:rsidRPr="000B25E0">
        <w:rPr>
          <w:rFonts w:ascii="宋体" w:eastAsia="宋体" w:hAnsi="宋体" w:cs="Times New Roman" w:hint="eastAsia"/>
          <w:sz w:val="24"/>
        </w:rPr>
        <w:t>掌握简化太极拳套路动作。</w:t>
      </w:r>
    </w:p>
    <w:p w14:paraId="7EB18E62" w14:textId="77777777" w:rsidR="000B25E0" w:rsidRPr="000B25E0" w:rsidRDefault="000B25E0" w:rsidP="000B25E0">
      <w:pPr>
        <w:spacing w:line="500" w:lineRule="exact"/>
        <w:ind w:firstLineChars="200" w:firstLine="482"/>
        <w:rPr>
          <w:rFonts w:ascii="宋体" w:eastAsia="宋体" w:hAnsi="宋体" w:cs="Times New Roman"/>
          <w:color w:val="000000"/>
          <w:sz w:val="24"/>
        </w:rPr>
      </w:pPr>
      <w:r w:rsidRPr="000B25E0">
        <w:rPr>
          <w:rFonts w:ascii="宋体" w:eastAsia="宋体" w:hAnsi="宋体" w:cs="Times New Roman"/>
          <w:b/>
          <w:color w:val="000000"/>
          <w:sz w:val="24"/>
        </w:rPr>
        <w:t>教学重点及难点：</w:t>
      </w:r>
      <w:r w:rsidRPr="000B25E0">
        <w:rPr>
          <w:rFonts w:ascii="宋体" w:eastAsia="宋体" w:hAnsi="宋体" w:cs="Times New Roman" w:hint="eastAsia"/>
          <w:color w:val="000000"/>
          <w:sz w:val="24"/>
        </w:rPr>
        <w:t>动作节奏和身体重心。</w:t>
      </w:r>
    </w:p>
    <w:p w14:paraId="7CB02F52" w14:textId="77777777" w:rsidR="000B25E0" w:rsidRPr="000B25E0" w:rsidRDefault="000B25E0" w:rsidP="000B25E0">
      <w:pPr>
        <w:spacing w:line="440" w:lineRule="exact"/>
        <w:ind w:firstLineChars="200" w:firstLine="482"/>
        <w:rPr>
          <w:rFonts w:ascii="宋体" w:eastAsia="宋体" w:hAnsi="宋体" w:cs="Times New Roman"/>
          <w:b/>
          <w:sz w:val="24"/>
        </w:rPr>
      </w:pPr>
      <w:r w:rsidRPr="000B25E0">
        <w:rPr>
          <w:rFonts w:ascii="宋体" w:eastAsia="宋体" w:hAnsi="宋体" w:cs="Times New Roman" w:hint="eastAsia"/>
          <w:b/>
          <w:sz w:val="24"/>
        </w:rPr>
        <w:t>【重点】</w:t>
      </w:r>
    </w:p>
    <w:p w14:paraId="0E146862"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 xml:space="preserve">1.《大学体育教程》理论课程使学生对大学体育有深入理解；了解体  </w:t>
      </w:r>
    </w:p>
    <w:p w14:paraId="3FF53A5D" w14:textId="77777777" w:rsidR="000B25E0" w:rsidRPr="000B25E0" w:rsidRDefault="000B25E0" w:rsidP="000B25E0">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0B25E0">
        <w:rPr>
          <w:rFonts w:ascii="宋体" w:eastAsia="宋体" w:hAnsi="Calibri" w:cs="宋体" w:hint="eastAsia"/>
          <w:spacing w:val="5"/>
          <w:kern w:val="0"/>
          <w:sz w:val="24"/>
        </w:rPr>
        <w:t>质健康</w:t>
      </w:r>
      <w:proofErr w:type="gramEnd"/>
      <w:r w:rsidRPr="000B25E0">
        <w:rPr>
          <w:rFonts w:ascii="宋体" w:eastAsia="宋体" w:hAnsi="Calibri" w:cs="宋体" w:hint="eastAsia"/>
          <w:spacing w:val="5"/>
          <w:kern w:val="0"/>
          <w:sz w:val="24"/>
        </w:rPr>
        <w:t>标准的实施与如何评价；学会分析常见运动损伤和运动性疾病的症状。</w:t>
      </w:r>
    </w:p>
    <w:p w14:paraId="3DCCD58E" w14:textId="77777777" w:rsidR="000B25E0" w:rsidRPr="000B25E0" w:rsidRDefault="000B25E0" w:rsidP="000B25E0">
      <w:pPr>
        <w:autoSpaceDE w:val="0"/>
        <w:autoSpaceDN w:val="0"/>
        <w:adjustRightInd w:val="0"/>
        <w:snapToGrid w:val="0"/>
        <w:spacing w:line="500" w:lineRule="exact"/>
        <w:ind w:left="490"/>
        <w:rPr>
          <w:rFonts w:ascii="宋体" w:eastAsia="宋体" w:hAnsi="Calibri" w:cs="宋体"/>
          <w:spacing w:val="5"/>
          <w:kern w:val="0"/>
          <w:sz w:val="24"/>
        </w:rPr>
      </w:pPr>
      <w:r w:rsidRPr="000B25E0">
        <w:rPr>
          <w:rFonts w:ascii="宋体" w:eastAsia="宋体" w:hAnsi="Calibri" w:cs="宋体" w:hint="eastAsia"/>
          <w:spacing w:val="5"/>
          <w:kern w:val="0"/>
          <w:sz w:val="24"/>
        </w:rPr>
        <w:t>2.太极拳的基本理论、基本知识和基本技能。</w:t>
      </w:r>
    </w:p>
    <w:p w14:paraId="76298545"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宋体" w:cs="Times New Roman"/>
          <w:sz w:val="24"/>
        </w:rPr>
      </w:pPr>
      <w:r w:rsidRPr="000B25E0">
        <w:rPr>
          <w:rFonts w:ascii="宋体" w:eastAsia="宋体" w:hAnsi="Calibri" w:cs="宋体" w:hint="eastAsia"/>
          <w:spacing w:val="5"/>
          <w:kern w:val="0"/>
          <w:sz w:val="24"/>
        </w:rPr>
        <w:t>3.掌握一定的科学锻炼方法，扎实的理论知识。</w:t>
      </w:r>
    </w:p>
    <w:p w14:paraId="31EA9C5B" w14:textId="77777777" w:rsidR="000B25E0" w:rsidRPr="000B25E0" w:rsidRDefault="000B25E0" w:rsidP="000B25E0">
      <w:pPr>
        <w:spacing w:line="440" w:lineRule="exact"/>
        <w:ind w:firstLineChars="200" w:firstLine="482"/>
        <w:rPr>
          <w:rFonts w:ascii="宋体" w:eastAsia="宋体" w:hAnsi="宋体" w:cs="Times New Roman"/>
          <w:b/>
          <w:sz w:val="24"/>
        </w:rPr>
      </w:pPr>
      <w:r w:rsidRPr="000B25E0">
        <w:rPr>
          <w:rFonts w:ascii="宋体" w:eastAsia="宋体" w:hAnsi="宋体" w:cs="Times New Roman" w:hint="eastAsia"/>
          <w:b/>
          <w:sz w:val="24"/>
        </w:rPr>
        <w:t>【难点】</w:t>
      </w:r>
    </w:p>
    <w:p w14:paraId="107D254E"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2C0CD770"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 xml:space="preserve">2.考虑学生原有的理论知识和实践技术，在讲授教材及大纲要求的所有知识和技术的同时，重点讲授太极拳基本技术、基本战术、以及健身原理，以达到理论联系实际，学以致用。 </w:t>
      </w:r>
    </w:p>
    <w:p w14:paraId="03B19CB6" w14:textId="77777777" w:rsidR="000B25E0" w:rsidRPr="000B25E0" w:rsidRDefault="000B25E0" w:rsidP="000B25E0">
      <w:pPr>
        <w:spacing w:line="440" w:lineRule="exact"/>
        <w:ind w:firstLineChars="200" w:firstLine="482"/>
        <w:rPr>
          <w:rFonts w:ascii="宋体" w:eastAsia="宋体" w:hAnsi="宋体" w:cs="Times New Roman"/>
          <w:color w:val="FF0000"/>
          <w:sz w:val="24"/>
        </w:rPr>
      </w:pPr>
      <w:r w:rsidRPr="000B25E0">
        <w:rPr>
          <w:rFonts w:ascii="宋体" w:eastAsia="宋体" w:hAnsi="宋体" w:cs="Times New Roman" w:hint="eastAsia"/>
          <w:b/>
          <w:bCs/>
          <w:sz w:val="24"/>
        </w:rPr>
        <w:t>【实施方式】</w:t>
      </w:r>
    </w:p>
    <w:p w14:paraId="4FD5AE5C"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室外实践课程</w:t>
      </w:r>
    </w:p>
    <w:p w14:paraId="538EDAC2"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【学习要求】</w:t>
      </w:r>
    </w:p>
    <w:p w14:paraId="2A6B2E6D" w14:textId="77777777" w:rsidR="000B25E0" w:rsidRPr="000B25E0" w:rsidRDefault="000B25E0" w:rsidP="000B25E0">
      <w:pPr>
        <w:spacing w:line="440" w:lineRule="exact"/>
        <w:ind w:firstLineChars="200" w:firstLine="480"/>
        <w:rPr>
          <w:rFonts w:ascii="宋体" w:eastAsia="宋体" w:hAnsi="宋体" w:cs="Times New Roman"/>
          <w:b/>
          <w:sz w:val="24"/>
        </w:rPr>
      </w:pPr>
      <w:r w:rsidRPr="000B25E0">
        <w:rPr>
          <w:rFonts w:ascii="宋体" w:eastAsia="宋体" w:hAnsi="宋体" w:cs="Times New Roman" w:hint="eastAsia"/>
          <w:sz w:val="24"/>
        </w:rPr>
        <w:lastRenderedPageBreak/>
        <w:t>1</w:t>
      </w:r>
      <w:r w:rsidRPr="000B25E0">
        <w:rPr>
          <w:rFonts w:ascii="宋体" w:eastAsia="宋体" w:hAnsi="宋体" w:cs="Times New Roman"/>
          <w:sz w:val="24"/>
        </w:rPr>
        <w:t xml:space="preserve">. </w:t>
      </w:r>
      <w:r w:rsidRPr="000B25E0">
        <w:rPr>
          <w:rFonts w:ascii="宋体" w:eastAsia="宋体" w:hAnsi="宋体" w:cs="Times New Roman" w:hint="eastAsia"/>
          <w:sz w:val="24"/>
        </w:rPr>
        <w:t>了解大学体育课程的性质和授课方式，学分情况和进行网上选项课，开设的15门选项课程，课堂常识和安全注意事项。</w:t>
      </w:r>
    </w:p>
    <w:p w14:paraId="6CE0DF4A"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0B25E0">
        <w:rPr>
          <w:rFonts w:ascii="宋体" w:eastAsia="宋体" w:hAnsi="宋体" w:cs="Times New Roman" w:hint="eastAsia"/>
          <w:sz w:val="24"/>
        </w:rPr>
        <w:t>缓测免</w:t>
      </w:r>
      <w:proofErr w:type="gramEnd"/>
      <w:r w:rsidRPr="000B25E0">
        <w:rPr>
          <w:rFonts w:ascii="宋体" w:eastAsia="宋体" w:hAnsi="宋体" w:cs="Times New Roman" w:hint="eastAsia"/>
          <w:sz w:val="24"/>
        </w:rPr>
        <w:t>测的申请流程以及掌握测验时间。</w:t>
      </w:r>
    </w:p>
    <w:p w14:paraId="09E315F8"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3</w:t>
      </w:r>
      <w:r w:rsidRPr="000B25E0">
        <w:rPr>
          <w:rFonts w:ascii="宋体" w:eastAsia="宋体" w:hAnsi="宋体" w:cs="Times New Roman"/>
          <w:sz w:val="24"/>
        </w:rPr>
        <w:t>.</w:t>
      </w:r>
      <w:r w:rsidRPr="000B25E0">
        <w:rPr>
          <w:rFonts w:ascii="宋体" w:eastAsia="宋体" w:hAnsi="宋体" w:cs="Times New Roman" w:hint="eastAsia"/>
          <w:sz w:val="24"/>
        </w:rPr>
        <w:t>太极拳基础课程</w:t>
      </w:r>
    </w:p>
    <w:p w14:paraId="67CE76C6" w14:textId="77777777" w:rsidR="000B25E0" w:rsidRPr="000B25E0" w:rsidRDefault="000B25E0" w:rsidP="000B25E0">
      <w:pPr>
        <w:spacing w:line="440" w:lineRule="exact"/>
        <w:ind w:firstLineChars="200" w:firstLine="482"/>
        <w:rPr>
          <w:rFonts w:ascii="宋体" w:eastAsia="宋体" w:hAnsi="宋体" w:cs="Times New Roman"/>
          <w:sz w:val="24"/>
        </w:rPr>
      </w:pPr>
      <w:r w:rsidRPr="000B25E0">
        <w:rPr>
          <w:rFonts w:ascii="宋体" w:eastAsia="宋体" w:hAnsi="宋体" w:cs="Times New Roman" w:hint="eastAsia"/>
          <w:b/>
          <w:sz w:val="24"/>
        </w:rPr>
        <w:t>【实践要求】</w:t>
      </w:r>
    </w:p>
    <w:p w14:paraId="76AF8628"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1.实践属性：综合训练型</w:t>
      </w:r>
    </w:p>
    <w:p w14:paraId="46BAB2E1"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2.工作流程：开始部分，准备部分，基本部分，结束部分</w:t>
      </w:r>
    </w:p>
    <w:p w14:paraId="036D2F71"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3.分组要求：自然班和选项班，不超过45人。</w:t>
      </w:r>
    </w:p>
    <w:p w14:paraId="0EC1C364"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3A7195CA"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5.时间安排：每周2学时</w:t>
      </w:r>
    </w:p>
    <w:p w14:paraId="328C44A5"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6.其他要求：</w:t>
      </w:r>
    </w:p>
    <w:p w14:paraId="4A3234C0" w14:textId="77777777" w:rsidR="000B25E0" w:rsidRPr="000B25E0" w:rsidRDefault="000B25E0" w:rsidP="000B25E0">
      <w:pPr>
        <w:spacing w:beforeLines="50" w:before="156" w:afterLines="50" w:after="156" w:line="440" w:lineRule="exact"/>
        <w:ind w:left="561"/>
        <w:rPr>
          <w:rFonts w:ascii="仿宋" w:eastAsia="仿宋" w:hAnsi="仿宋" w:cs="Times New Roman"/>
          <w:sz w:val="24"/>
        </w:rPr>
      </w:pPr>
      <w:r w:rsidRPr="000B25E0">
        <w:rPr>
          <w:rFonts w:ascii="黑体" w:eastAsia="黑体" w:hAnsi="黑体" w:cs="Times New Roman" w:hint="eastAsia"/>
          <w:sz w:val="28"/>
          <w:szCs w:val="28"/>
        </w:rPr>
        <w:t>（二）课程学习内容与课程学习目标的对应关系</w:t>
      </w:r>
      <w:r w:rsidRPr="000B25E0">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0B25E0" w:rsidRPr="000B25E0" w14:paraId="3A8B5F39" w14:textId="77777777" w:rsidTr="00BF5EF3">
        <w:trPr>
          <w:trHeight w:val="660"/>
          <w:jc w:val="center"/>
        </w:trPr>
        <w:tc>
          <w:tcPr>
            <w:tcW w:w="3403" w:type="dxa"/>
            <w:vAlign w:val="center"/>
          </w:tcPr>
          <w:p w14:paraId="031E762E"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实践内容</w:t>
            </w:r>
          </w:p>
        </w:tc>
        <w:tc>
          <w:tcPr>
            <w:tcW w:w="2693" w:type="dxa"/>
            <w:vAlign w:val="center"/>
          </w:tcPr>
          <w:p w14:paraId="42A880AD"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实施方式</w:t>
            </w:r>
          </w:p>
        </w:tc>
        <w:tc>
          <w:tcPr>
            <w:tcW w:w="1985" w:type="dxa"/>
            <w:vAlign w:val="center"/>
          </w:tcPr>
          <w:p w14:paraId="555D4F01"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支撑的课程目标</w:t>
            </w:r>
          </w:p>
        </w:tc>
        <w:tc>
          <w:tcPr>
            <w:tcW w:w="1276" w:type="dxa"/>
            <w:vAlign w:val="center"/>
          </w:tcPr>
          <w:p w14:paraId="77ACC841"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学时安排</w:t>
            </w:r>
          </w:p>
        </w:tc>
      </w:tr>
      <w:tr w:rsidR="000B25E0" w:rsidRPr="000B25E0" w14:paraId="1102FF0C" w14:textId="77777777" w:rsidTr="00BF5EF3">
        <w:trPr>
          <w:jc w:val="center"/>
        </w:trPr>
        <w:tc>
          <w:tcPr>
            <w:tcW w:w="3403" w:type="dxa"/>
            <w:vAlign w:val="center"/>
          </w:tcPr>
          <w:p w14:paraId="0FD0E00E"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学习内容四 太极拳</w:t>
            </w:r>
          </w:p>
          <w:p w14:paraId="5B304476"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65BF58BA"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78BBCD0E"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57B68B18"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16790FE5" w14:textId="77777777" w:rsidTr="00BF5EF3">
        <w:trPr>
          <w:jc w:val="center"/>
        </w:trPr>
        <w:tc>
          <w:tcPr>
            <w:tcW w:w="8081" w:type="dxa"/>
            <w:gridSpan w:val="3"/>
            <w:vAlign w:val="center"/>
          </w:tcPr>
          <w:p w14:paraId="3AFF3558"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合计</w:t>
            </w:r>
          </w:p>
        </w:tc>
        <w:tc>
          <w:tcPr>
            <w:tcW w:w="1276" w:type="dxa"/>
            <w:vAlign w:val="center"/>
          </w:tcPr>
          <w:p w14:paraId="6BAE3D78"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bl>
    <w:p w14:paraId="3D637BDD"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四、课程考核及与课程学习目标的对应关系</w:t>
      </w:r>
    </w:p>
    <w:p w14:paraId="2C93A58D"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0B25E0" w:rsidRPr="000B25E0" w14:paraId="55EBF513" w14:textId="77777777" w:rsidTr="00BF5EF3">
        <w:trPr>
          <w:trHeight w:val="515"/>
          <w:jc w:val="center"/>
        </w:trPr>
        <w:tc>
          <w:tcPr>
            <w:tcW w:w="1422" w:type="dxa"/>
          </w:tcPr>
          <w:p w14:paraId="3742EB03"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课程目标</w:t>
            </w:r>
          </w:p>
        </w:tc>
        <w:tc>
          <w:tcPr>
            <w:tcW w:w="5376" w:type="dxa"/>
            <w:vAlign w:val="center"/>
          </w:tcPr>
          <w:p w14:paraId="1D3EB54C"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考核内容</w:t>
            </w:r>
          </w:p>
        </w:tc>
        <w:tc>
          <w:tcPr>
            <w:tcW w:w="2542" w:type="dxa"/>
            <w:vAlign w:val="center"/>
          </w:tcPr>
          <w:p w14:paraId="09BDEAF8"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考核方式</w:t>
            </w:r>
          </w:p>
        </w:tc>
      </w:tr>
      <w:tr w:rsidR="000B25E0" w:rsidRPr="000B25E0" w14:paraId="52CA2951" w14:textId="77777777" w:rsidTr="00BF5EF3">
        <w:trPr>
          <w:jc w:val="center"/>
        </w:trPr>
        <w:tc>
          <w:tcPr>
            <w:tcW w:w="1422" w:type="dxa"/>
            <w:vAlign w:val="center"/>
          </w:tcPr>
          <w:p w14:paraId="5825B098"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课程目标1、2、3</w:t>
            </w:r>
          </w:p>
        </w:tc>
        <w:tc>
          <w:tcPr>
            <w:tcW w:w="5376" w:type="dxa"/>
            <w:vAlign w:val="center"/>
          </w:tcPr>
          <w:p w14:paraId="38F49721"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大学生体质健康标准测试</w:t>
            </w:r>
          </w:p>
        </w:tc>
        <w:tc>
          <w:tcPr>
            <w:tcW w:w="2542" w:type="dxa"/>
            <w:vAlign w:val="center"/>
          </w:tcPr>
          <w:p w14:paraId="1A5693A6" w14:textId="77777777" w:rsidR="000B25E0" w:rsidRPr="000B25E0" w:rsidRDefault="000B25E0" w:rsidP="000B25E0">
            <w:pPr>
              <w:spacing w:line="440" w:lineRule="exact"/>
              <w:rPr>
                <w:rFonts w:ascii="宋体" w:eastAsia="宋体" w:hAnsi="宋体" w:cs="Times New Roman"/>
                <w:bCs/>
                <w:sz w:val="24"/>
              </w:rPr>
            </w:pPr>
          </w:p>
          <w:p w14:paraId="066B05CC"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随堂技术考核</w:t>
            </w:r>
          </w:p>
        </w:tc>
      </w:tr>
      <w:tr w:rsidR="000B25E0" w:rsidRPr="000B25E0" w14:paraId="0EDA737D" w14:textId="77777777" w:rsidTr="00BF5EF3">
        <w:trPr>
          <w:jc w:val="center"/>
        </w:trPr>
        <w:tc>
          <w:tcPr>
            <w:tcW w:w="1422" w:type="dxa"/>
            <w:vAlign w:val="center"/>
          </w:tcPr>
          <w:p w14:paraId="309FE9D5"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w:t>
            </w:r>
          </w:p>
        </w:tc>
        <w:tc>
          <w:tcPr>
            <w:tcW w:w="5376" w:type="dxa"/>
            <w:vAlign w:val="center"/>
          </w:tcPr>
          <w:p w14:paraId="01DA6F51"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太极拳前四个组合</w:t>
            </w:r>
          </w:p>
        </w:tc>
        <w:tc>
          <w:tcPr>
            <w:tcW w:w="2542" w:type="dxa"/>
            <w:vAlign w:val="center"/>
          </w:tcPr>
          <w:p w14:paraId="33ED2F39" w14:textId="77777777" w:rsidR="000B25E0" w:rsidRPr="000B25E0" w:rsidRDefault="000B25E0" w:rsidP="000B25E0">
            <w:pPr>
              <w:widowControl/>
              <w:jc w:val="left"/>
              <w:rPr>
                <w:rFonts w:ascii="宋体" w:eastAsia="宋体" w:hAnsi="宋体" w:cs="Times New Roman"/>
                <w:bCs/>
                <w:sz w:val="24"/>
              </w:rPr>
            </w:pPr>
          </w:p>
          <w:p w14:paraId="2D396B69"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随堂技术考核</w:t>
            </w:r>
          </w:p>
        </w:tc>
      </w:tr>
      <w:tr w:rsidR="000B25E0" w:rsidRPr="000B25E0" w14:paraId="51148210" w14:textId="77777777" w:rsidTr="00BF5EF3">
        <w:trPr>
          <w:jc w:val="center"/>
        </w:trPr>
        <w:tc>
          <w:tcPr>
            <w:tcW w:w="1422" w:type="dxa"/>
            <w:vAlign w:val="center"/>
          </w:tcPr>
          <w:p w14:paraId="6D8D3BCE"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w:t>
            </w:r>
          </w:p>
        </w:tc>
        <w:tc>
          <w:tcPr>
            <w:tcW w:w="5376" w:type="dxa"/>
            <w:vAlign w:val="center"/>
          </w:tcPr>
          <w:p w14:paraId="5E3C2CEB"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Calibri" w:cs="Times New Roman" w:hint="eastAsia"/>
                <w:bCs/>
                <w:kern w:val="0"/>
                <w:sz w:val="24"/>
              </w:rPr>
              <w:t>二十四式太极拳</w:t>
            </w:r>
          </w:p>
        </w:tc>
        <w:tc>
          <w:tcPr>
            <w:tcW w:w="2542" w:type="dxa"/>
            <w:vAlign w:val="center"/>
          </w:tcPr>
          <w:p w14:paraId="4594208B" w14:textId="77777777" w:rsidR="000B25E0" w:rsidRPr="000B25E0" w:rsidRDefault="000B25E0" w:rsidP="000B25E0">
            <w:pPr>
              <w:widowControl/>
              <w:jc w:val="left"/>
              <w:rPr>
                <w:rFonts w:ascii="宋体" w:eastAsia="宋体" w:hAnsi="宋体" w:cs="Times New Roman"/>
                <w:bCs/>
                <w:sz w:val="24"/>
              </w:rPr>
            </w:pPr>
          </w:p>
          <w:p w14:paraId="5EB140EC"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随堂技术考核</w:t>
            </w:r>
          </w:p>
        </w:tc>
      </w:tr>
    </w:tbl>
    <w:p w14:paraId="1ACE81F9"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lastRenderedPageBreak/>
        <w:t>（二）课程目标达成评价方式及考核比例</w:t>
      </w:r>
    </w:p>
    <w:p w14:paraId="7F5CDEFB"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排球课程</w:t>
      </w:r>
      <w:proofErr w:type="gramStart"/>
      <w:r w:rsidRPr="000B25E0">
        <w:rPr>
          <w:rFonts w:ascii="宋体" w:eastAsia="宋体" w:hAnsi="宋体" w:cs="Times New Roman" w:hint="eastAsia"/>
          <w:sz w:val="24"/>
        </w:rPr>
        <w:t>1、2、3、4每</w:t>
      </w:r>
      <w:proofErr w:type="gramEnd"/>
      <w:r w:rsidRPr="000B25E0">
        <w:rPr>
          <w:rFonts w:ascii="宋体" w:eastAsia="宋体" w:hAnsi="宋体" w:cs="Times New Roman" w:hint="eastAsia"/>
          <w:sz w:val="24"/>
        </w:rPr>
        <w:t>学期考核方式及成绩比例为：课堂表现20%</w:t>
      </w:r>
      <w:r w:rsidRPr="000B25E0">
        <w:rPr>
          <w:rFonts w:ascii="宋体" w:eastAsia="宋体" w:hAnsi="宋体" w:cs="Times New Roman"/>
          <w:sz w:val="24"/>
        </w:rPr>
        <w:t>+</w:t>
      </w:r>
      <w:r w:rsidRPr="000B25E0">
        <w:rPr>
          <w:rFonts w:ascii="宋体" w:eastAsia="宋体" w:hAnsi="宋体" w:cs="Times New Roman" w:hint="eastAsia"/>
          <w:sz w:val="24"/>
        </w:rPr>
        <w:t>期中考核30%</w:t>
      </w:r>
      <w:r w:rsidRPr="000B25E0">
        <w:rPr>
          <w:rFonts w:ascii="宋体" w:eastAsia="宋体" w:hAnsi="宋体" w:cs="Times New Roman"/>
          <w:sz w:val="24"/>
        </w:rPr>
        <w:t>+</w:t>
      </w:r>
      <w:r w:rsidRPr="000B25E0">
        <w:rPr>
          <w:rFonts w:ascii="宋体" w:eastAsia="宋体" w:hAnsi="宋体" w:cs="Times New Roman" w:hint="eastAsia"/>
          <w:sz w:val="24"/>
        </w:rPr>
        <w:t>课期</w:t>
      </w:r>
      <w:proofErr w:type="gramStart"/>
      <w:r w:rsidRPr="000B25E0">
        <w:rPr>
          <w:rFonts w:ascii="宋体" w:eastAsia="宋体" w:hAnsi="宋体" w:cs="Times New Roman" w:hint="eastAsia"/>
          <w:sz w:val="24"/>
        </w:rPr>
        <w:t>末考试</w:t>
      </w:r>
      <w:proofErr w:type="gramEnd"/>
      <w:r w:rsidRPr="000B25E0">
        <w:rPr>
          <w:rFonts w:ascii="宋体" w:eastAsia="宋体" w:hAnsi="宋体" w:cs="Times New Roman" w:hint="eastAsia"/>
          <w:sz w:val="24"/>
        </w:rPr>
        <w:t>5</w:t>
      </w:r>
      <w:r w:rsidRPr="000B25E0">
        <w:rPr>
          <w:rFonts w:ascii="宋体" w:eastAsia="宋体" w:hAnsi="宋体" w:cs="Times New Roman"/>
          <w:sz w:val="24"/>
        </w:rPr>
        <w:t>0</w:t>
      </w:r>
      <w:r w:rsidRPr="000B25E0">
        <w:rPr>
          <w:rFonts w:ascii="宋体" w:eastAsia="宋体" w:hAnsi="宋体" w:cs="Times New Roman" w:hint="eastAsia"/>
          <w:sz w:val="24"/>
        </w:rPr>
        <w:t>%；本课程共有三个课程目标，考核方式及成绩比例分别为：</w:t>
      </w:r>
    </w:p>
    <w:p w14:paraId="28E345DC"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课程目标1：课堂表现5%</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期末考试20%</w:t>
      </w:r>
    </w:p>
    <w:p w14:paraId="31FBDA5F"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课程目标2：课堂表现10%</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期末考试20%</w:t>
      </w:r>
    </w:p>
    <w:p w14:paraId="25F53300"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课程目标3：课堂表现5%</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期末考试10%</w:t>
      </w:r>
    </w:p>
    <w:p w14:paraId="4AB23B3A"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0B25E0" w:rsidRPr="000B25E0" w14:paraId="0FE58BFE" w14:textId="77777777" w:rsidTr="00BF5EF3">
        <w:trPr>
          <w:trHeight w:val="540"/>
          <w:jc w:val="center"/>
        </w:trPr>
        <w:tc>
          <w:tcPr>
            <w:tcW w:w="1422" w:type="dxa"/>
            <w:vMerge w:val="restart"/>
            <w:vAlign w:val="center"/>
          </w:tcPr>
          <w:p w14:paraId="3296EAB3"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课程目标</w:t>
            </w:r>
          </w:p>
        </w:tc>
        <w:tc>
          <w:tcPr>
            <w:tcW w:w="6271" w:type="dxa"/>
            <w:gridSpan w:val="4"/>
            <w:vAlign w:val="center"/>
          </w:tcPr>
          <w:p w14:paraId="62B6AB91"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考核方式及成绩比例（%）</w:t>
            </w:r>
          </w:p>
        </w:tc>
        <w:tc>
          <w:tcPr>
            <w:tcW w:w="1559" w:type="dxa"/>
            <w:vMerge w:val="restart"/>
            <w:vAlign w:val="center"/>
          </w:tcPr>
          <w:p w14:paraId="14E0D203"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合计</w:t>
            </w:r>
          </w:p>
        </w:tc>
      </w:tr>
      <w:tr w:rsidR="000B25E0" w:rsidRPr="000B25E0" w14:paraId="4E093986" w14:textId="77777777" w:rsidTr="00BF5EF3">
        <w:trPr>
          <w:trHeight w:val="578"/>
          <w:jc w:val="center"/>
        </w:trPr>
        <w:tc>
          <w:tcPr>
            <w:tcW w:w="1422" w:type="dxa"/>
            <w:vMerge/>
            <w:vAlign w:val="center"/>
          </w:tcPr>
          <w:p w14:paraId="74384D03" w14:textId="77777777" w:rsidR="000B25E0" w:rsidRPr="000B25E0" w:rsidRDefault="000B25E0" w:rsidP="000B25E0">
            <w:pPr>
              <w:spacing w:line="440" w:lineRule="exact"/>
              <w:rPr>
                <w:rFonts w:ascii="宋体" w:eastAsia="宋体" w:hAnsi="宋体" w:cs="Times New Roman"/>
                <w:b/>
                <w:sz w:val="24"/>
              </w:rPr>
            </w:pPr>
          </w:p>
        </w:tc>
        <w:tc>
          <w:tcPr>
            <w:tcW w:w="1452" w:type="dxa"/>
            <w:vAlign w:val="center"/>
          </w:tcPr>
          <w:p w14:paraId="2EEF5FB5"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课堂表现</w:t>
            </w:r>
          </w:p>
        </w:tc>
        <w:tc>
          <w:tcPr>
            <w:tcW w:w="1559" w:type="dxa"/>
            <w:vAlign w:val="center"/>
          </w:tcPr>
          <w:p w14:paraId="303760B9"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阶段测试</w:t>
            </w:r>
          </w:p>
        </w:tc>
        <w:tc>
          <w:tcPr>
            <w:tcW w:w="1701" w:type="dxa"/>
            <w:vAlign w:val="center"/>
          </w:tcPr>
          <w:p w14:paraId="57865500"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课程论文</w:t>
            </w:r>
          </w:p>
        </w:tc>
        <w:tc>
          <w:tcPr>
            <w:tcW w:w="1559" w:type="dxa"/>
            <w:vAlign w:val="center"/>
          </w:tcPr>
          <w:p w14:paraId="5777B8E4"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期末考试</w:t>
            </w:r>
          </w:p>
        </w:tc>
        <w:tc>
          <w:tcPr>
            <w:tcW w:w="1559" w:type="dxa"/>
            <w:vMerge/>
          </w:tcPr>
          <w:p w14:paraId="26FCDF24" w14:textId="77777777" w:rsidR="000B25E0" w:rsidRPr="000B25E0" w:rsidRDefault="000B25E0" w:rsidP="000B25E0">
            <w:pPr>
              <w:spacing w:line="440" w:lineRule="exact"/>
              <w:rPr>
                <w:rFonts w:ascii="宋体" w:eastAsia="宋体" w:hAnsi="宋体" w:cs="Times New Roman"/>
                <w:b/>
                <w:sz w:val="24"/>
              </w:rPr>
            </w:pPr>
          </w:p>
        </w:tc>
      </w:tr>
      <w:tr w:rsidR="000B25E0" w:rsidRPr="000B25E0" w14:paraId="4BF4DD30" w14:textId="77777777" w:rsidTr="00BF5EF3">
        <w:trPr>
          <w:jc w:val="center"/>
        </w:trPr>
        <w:tc>
          <w:tcPr>
            <w:tcW w:w="1422" w:type="dxa"/>
            <w:vAlign w:val="center"/>
          </w:tcPr>
          <w:p w14:paraId="52F0B487"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课程目标1</w:t>
            </w:r>
          </w:p>
        </w:tc>
        <w:tc>
          <w:tcPr>
            <w:tcW w:w="1452" w:type="dxa"/>
            <w:vAlign w:val="center"/>
          </w:tcPr>
          <w:p w14:paraId="774A79A1"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5</w:t>
            </w:r>
          </w:p>
        </w:tc>
        <w:tc>
          <w:tcPr>
            <w:tcW w:w="1559" w:type="dxa"/>
            <w:vAlign w:val="center"/>
          </w:tcPr>
          <w:p w14:paraId="7F29067A"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63EA7339"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34534A1E"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20</w:t>
            </w:r>
          </w:p>
        </w:tc>
        <w:tc>
          <w:tcPr>
            <w:tcW w:w="1559" w:type="dxa"/>
          </w:tcPr>
          <w:p w14:paraId="7A4F36C3"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35</w:t>
            </w:r>
          </w:p>
        </w:tc>
      </w:tr>
      <w:tr w:rsidR="000B25E0" w:rsidRPr="000B25E0" w14:paraId="71FC5A28" w14:textId="77777777" w:rsidTr="00BF5EF3">
        <w:trPr>
          <w:jc w:val="center"/>
        </w:trPr>
        <w:tc>
          <w:tcPr>
            <w:tcW w:w="1422" w:type="dxa"/>
            <w:vAlign w:val="center"/>
          </w:tcPr>
          <w:p w14:paraId="0BD64824"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课程目标2</w:t>
            </w:r>
          </w:p>
        </w:tc>
        <w:tc>
          <w:tcPr>
            <w:tcW w:w="1452" w:type="dxa"/>
            <w:vAlign w:val="center"/>
          </w:tcPr>
          <w:p w14:paraId="369A4E6B"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559" w:type="dxa"/>
            <w:vAlign w:val="center"/>
          </w:tcPr>
          <w:p w14:paraId="58BF2155"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376E9824"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28CF63E3"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20</w:t>
            </w:r>
          </w:p>
        </w:tc>
        <w:tc>
          <w:tcPr>
            <w:tcW w:w="1559" w:type="dxa"/>
          </w:tcPr>
          <w:p w14:paraId="3737C7E4"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40</w:t>
            </w:r>
          </w:p>
        </w:tc>
      </w:tr>
      <w:tr w:rsidR="000B25E0" w:rsidRPr="000B25E0" w14:paraId="6CB880DA" w14:textId="77777777" w:rsidTr="00BF5EF3">
        <w:trPr>
          <w:jc w:val="center"/>
        </w:trPr>
        <w:tc>
          <w:tcPr>
            <w:tcW w:w="1422" w:type="dxa"/>
            <w:vAlign w:val="center"/>
          </w:tcPr>
          <w:p w14:paraId="791B92AF"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课程目标3</w:t>
            </w:r>
          </w:p>
        </w:tc>
        <w:tc>
          <w:tcPr>
            <w:tcW w:w="1452" w:type="dxa"/>
            <w:vAlign w:val="center"/>
          </w:tcPr>
          <w:p w14:paraId="31D741FB"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5</w:t>
            </w:r>
          </w:p>
        </w:tc>
        <w:tc>
          <w:tcPr>
            <w:tcW w:w="1559" w:type="dxa"/>
            <w:vAlign w:val="center"/>
          </w:tcPr>
          <w:p w14:paraId="2A0AFE25"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02C4A19E"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4C78EB83"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559" w:type="dxa"/>
          </w:tcPr>
          <w:p w14:paraId="55EFD483"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25</w:t>
            </w:r>
          </w:p>
        </w:tc>
      </w:tr>
      <w:tr w:rsidR="000B25E0" w:rsidRPr="000B25E0" w14:paraId="6A99631D" w14:textId="77777777" w:rsidTr="00BF5EF3">
        <w:trPr>
          <w:jc w:val="center"/>
        </w:trPr>
        <w:tc>
          <w:tcPr>
            <w:tcW w:w="1422" w:type="dxa"/>
            <w:vAlign w:val="center"/>
          </w:tcPr>
          <w:p w14:paraId="7D340E2C"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合计</w:t>
            </w:r>
          </w:p>
        </w:tc>
        <w:tc>
          <w:tcPr>
            <w:tcW w:w="1452" w:type="dxa"/>
            <w:vAlign w:val="center"/>
          </w:tcPr>
          <w:p w14:paraId="5110AC3D"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20</w:t>
            </w:r>
          </w:p>
        </w:tc>
        <w:tc>
          <w:tcPr>
            <w:tcW w:w="1559" w:type="dxa"/>
            <w:vAlign w:val="center"/>
          </w:tcPr>
          <w:p w14:paraId="07AC7C8D"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30</w:t>
            </w:r>
          </w:p>
        </w:tc>
        <w:tc>
          <w:tcPr>
            <w:tcW w:w="1701" w:type="dxa"/>
            <w:vAlign w:val="center"/>
          </w:tcPr>
          <w:p w14:paraId="7F32DF45"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5DAC6728"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50</w:t>
            </w:r>
          </w:p>
        </w:tc>
        <w:tc>
          <w:tcPr>
            <w:tcW w:w="1559" w:type="dxa"/>
          </w:tcPr>
          <w:p w14:paraId="39FE4492"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w:t>
            </w:r>
            <w:r w:rsidRPr="000B25E0">
              <w:rPr>
                <w:rFonts w:ascii="宋体" w:eastAsia="宋体" w:hAnsi="宋体" w:cs="Times New Roman"/>
                <w:bCs/>
                <w:sz w:val="24"/>
              </w:rPr>
              <w:t>00</w:t>
            </w:r>
          </w:p>
        </w:tc>
      </w:tr>
    </w:tbl>
    <w:p w14:paraId="197C33B8" w14:textId="77777777" w:rsidR="000B25E0" w:rsidRPr="000B25E0" w:rsidRDefault="000B25E0" w:rsidP="000B25E0">
      <w:pPr>
        <w:spacing w:line="440" w:lineRule="exact"/>
        <w:ind w:firstLineChars="200" w:firstLine="480"/>
        <w:rPr>
          <w:rFonts w:ascii="宋体" w:eastAsia="宋体" w:hAnsi="宋体" w:cs="Times New Roman"/>
          <w:sz w:val="24"/>
        </w:rPr>
      </w:pPr>
    </w:p>
    <w:p w14:paraId="4CD8C7B3" w14:textId="77777777" w:rsidR="000B25E0" w:rsidRPr="000B25E0" w:rsidRDefault="000B25E0" w:rsidP="00C63ECC">
      <w:pPr>
        <w:pStyle w:val="afc"/>
      </w:pPr>
      <w:bookmarkStart w:id="73" w:name="_Toc8911"/>
      <w:r w:rsidRPr="000B25E0">
        <w:rPr>
          <w:rFonts w:hint="eastAsia"/>
        </w:rPr>
        <w:t>五、成绩评定</w:t>
      </w:r>
      <w:bookmarkEnd w:id="73"/>
    </w:p>
    <w:p w14:paraId="3371FE29"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（一）总成绩评定</w:t>
      </w:r>
    </w:p>
    <w:p w14:paraId="37304675"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总成绩=平时成绩×20%+期中成绩×30%+期末成绩×50%</w:t>
      </w:r>
    </w:p>
    <w:p w14:paraId="520BCEFE"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备注：每学期总成绩</w:t>
      </w:r>
    </w:p>
    <w:p w14:paraId="2A10D3F8"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color w:val="FF0000"/>
          <w:sz w:val="24"/>
        </w:rPr>
      </w:pPr>
      <w:r w:rsidRPr="000B25E0">
        <w:rPr>
          <w:rFonts w:ascii="黑体" w:eastAsia="黑体" w:hAnsi="黑体" w:cs="Times New Roman" w:hint="eastAsia"/>
          <w:sz w:val="28"/>
          <w:szCs w:val="28"/>
        </w:rPr>
        <w:t>（二）平时成绩评定</w:t>
      </w:r>
    </w:p>
    <w:p w14:paraId="62A0A7EF"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（1）课堂表现：通过学生在课堂上的表现情况、发言与主体参与和练习情况，来评价学生相关的能力。</w:t>
      </w:r>
    </w:p>
    <w:p w14:paraId="485769AB"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（2）作业完成情况：围绕课程的学习目标进行作业的设计。如让学生简述对知识的认识，建议</w:t>
      </w:r>
      <w:proofErr w:type="gramStart"/>
      <w:r w:rsidRPr="000B25E0">
        <w:rPr>
          <w:rFonts w:ascii="宋体" w:eastAsia="宋体" w:hAnsi="宋体" w:cs="Times New Roman" w:hint="eastAsia"/>
          <w:sz w:val="24"/>
        </w:rPr>
        <w:t>带准备</w:t>
      </w:r>
      <w:proofErr w:type="gramEnd"/>
      <w:r w:rsidRPr="000B25E0">
        <w:rPr>
          <w:rFonts w:ascii="宋体" w:eastAsia="宋体" w:hAnsi="宋体" w:cs="Times New Roman" w:hint="eastAsia"/>
          <w:sz w:val="24"/>
        </w:rPr>
        <w:t>部分和基本部分中的复习内容，帮助学生将定义转化为自己的理解。学生在小组合作学习中测验掌握课程的情况</w:t>
      </w:r>
    </w:p>
    <w:p w14:paraId="5C7DA9E6" w14:textId="77777777" w:rsidR="000B25E0" w:rsidRPr="000B25E0" w:rsidRDefault="000B25E0" w:rsidP="000B25E0">
      <w:pPr>
        <w:spacing w:line="440" w:lineRule="exact"/>
        <w:ind w:firstLineChars="200" w:firstLine="480"/>
        <w:rPr>
          <w:rFonts w:ascii="宋体" w:eastAsia="宋体" w:hAnsi="宋体" w:cs="Times New Roman"/>
          <w:color w:val="FF0000"/>
          <w:sz w:val="24"/>
        </w:rPr>
      </w:pPr>
      <w:r w:rsidRPr="000B25E0">
        <w:rPr>
          <w:rFonts w:ascii="宋体" w:eastAsia="宋体" w:hAnsi="宋体" w:cs="Times New Roman" w:hint="eastAsia"/>
          <w:sz w:val="24"/>
        </w:rPr>
        <w:t>（3）课堂考勤：留存辅导员开具的事假条、校医院开具的病假条。缺课达到本学期三分之一课时，按照考试无资格处理。</w:t>
      </w:r>
    </w:p>
    <w:p w14:paraId="5BEBC228"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（三）期中、期末成绩评定</w:t>
      </w:r>
    </w:p>
    <w:p w14:paraId="7E845E0E" w14:textId="77777777" w:rsidR="000B25E0" w:rsidRPr="000B25E0" w:rsidRDefault="000B25E0" w:rsidP="000B25E0">
      <w:pPr>
        <w:spacing w:beforeLines="50" w:before="156" w:afterLines="50" w:after="156" w:line="440" w:lineRule="exact"/>
        <w:ind w:firstLineChars="200" w:firstLine="560"/>
        <w:jc w:val="left"/>
        <w:rPr>
          <w:rFonts w:ascii="黑体" w:eastAsia="黑体" w:hAnsi="黑体" w:cs="Times New Roman"/>
          <w:sz w:val="28"/>
          <w:szCs w:val="28"/>
        </w:rPr>
      </w:pPr>
      <w:r w:rsidRPr="000B25E0">
        <w:rPr>
          <w:rFonts w:ascii="黑体" w:eastAsia="黑体" w:hAnsi="黑体" w:cs="Times New Roman" w:hint="eastAsia"/>
          <w:sz w:val="28"/>
          <w:szCs w:val="28"/>
        </w:rPr>
        <w:lastRenderedPageBreak/>
        <w:t>第四学期</w:t>
      </w:r>
    </w:p>
    <w:p w14:paraId="37194402"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期中考试</w:t>
      </w:r>
    </w:p>
    <w:p w14:paraId="5F52E38E" w14:textId="77777777" w:rsidR="000B25E0" w:rsidRPr="000B25E0" w:rsidRDefault="000B25E0" w:rsidP="000B25E0">
      <w:pPr>
        <w:autoSpaceDE w:val="0"/>
        <w:autoSpaceDN w:val="0"/>
        <w:adjustRightInd w:val="0"/>
        <w:spacing w:line="500" w:lineRule="exact"/>
        <w:ind w:firstLineChars="200" w:firstLine="482"/>
        <w:rPr>
          <w:rFonts w:ascii="宋体" w:eastAsia="宋体" w:hAnsi="宋体" w:cs="Arial"/>
          <w:bCs/>
          <w:color w:val="000000"/>
          <w:sz w:val="24"/>
        </w:rPr>
      </w:pPr>
      <w:r w:rsidRPr="000B25E0">
        <w:rPr>
          <w:rFonts w:ascii="宋体" w:eastAsia="宋体" w:hAnsi="宋体" w:cs="Arial" w:hint="eastAsia"/>
          <w:b/>
          <w:color w:val="000000"/>
          <w:sz w:val="24"/>
        </w:rPr>
        <w:t>1.课程考核目标：</w:t>
      </w:r>
      <w:r w:rsidRPr="000B25E0">
        <w:rPr>
          <w:rFonts w:ascii="宋体" w:eastAsia="宋体" w:hAnsi="宋体" w:cs="Arial" w:hint="eastAsia"/>
          <w:bCs/>
          <w:color w:val="000000"/>
          <w:sz w:val="24"/>
        </w:rPr>
        <w:t>通过考核检验武术技术教学效果和学生掌握情况，让学生了解太极拳技术要求要点。</w:t>
      </w:r>
    </w:p>
    <w:p w14:paraId="09F0AED5" w14:textId="77777777" w:rsidR="000B25E0" w:rsidRPr="000B25E0" w:rsidRDefault="000B25E0" w:rsidP="000B25E0">
      <w:pPr>
        <w:autoSpaceDE w:val="0"/>
        <w:autoSpaceDN w:val="0"/>
        <w:adjustRightInd w:val="0"/>
        <w:spacing w:line="500" w:lineRule="exact"/>
        <w:ind w:firstLineChars="200" w:firstLine="482"/>
        <w:rPr>
          <w:rFonts w:ascii="宋体" w:eastAsia="宋体" w:hAnsi="宋体" w:cs="Arial"/>
          <w:bCs/>
          <w:color w:val="000000"/>
          <w:sz w:val="24"/>
        </w:rPr>
      </w:pPr>
      <w:r w:rsidRPr="000B25E0">
        <w:rPr>
          <w:rFonts w:ascii="宋体" w:eastAsia="宋体" w:hAnsi="宋体" w:cs="Arial" w:hint="eastAsia"/>
          <w:b/>
          <w:color w:val="000000"/>
          <w:sz w:val="24"/>
        </w:rPr>
        <w:t>2.课程考核的内容：</w:t>
      </w:r>
      <w:r w:rsidRPr="000B25E0">
        <w:rPr>
          <w:rFonts w:ascii="宋体" w:eastAsia="宋体" w:hAnsi="宋体" w:cs="Arial" w:hint="eastAsia"/>
          <w:bCs/>
          <w:color w:val="000000"/>
          <w:sz w:val="24"/>
        </w:rPr>
        <w:t>二十四式简化太极拳前四个组合</w:t>
      </w:r>
    </w:p>
    <w:p w14:paraId="716FD899" w14:textId="77777777" w:rsidR="000B25E0" w:rsidRPr="000B25E0" w:rsidRDefault="000B25E0" w:rsidP="000B25E0">
      <w:pPr>
        <w:autoSpaceDE w:val="0"/>
        <w:autoSpaceDN w:val="0"/>
        <w:adjustRightInd w:val="0"/>
        <w:spacing w:line="500" w:lineRule="exact"/>
        <w:ind w:firstLineChars="200" w:firstLine="482"/>
        <w:rPr>
          <w:rFonts w:ascii="宋体" w:eastAsia="宋体" w:hAnsi="宋体" w:cs="Arial"/>
          <w:bCs/>
          <w:color w:val="000000"/>
          <w:sz w:val="24"/>
        </w:rPr>
      </w:pPr>
      <w:r w:rsidRPr="000B25E0">
        <w:rPr>
          <w:rFonts w:ascii="宋体" w:eastAsia="宋体" w:hAnsi="宋体" w:cs="Arial" w:hint="eastAsia"/>
          <w:b/>
          <w:color w:val="000000"/>
          <w:sz w:val="24"/>
        </w:rPr>
        <w:t>3.课程考核方式：</w:t>
      </w:r>
      <w:r w:rsidRPr="000B25E0">
        <w:rPr>
          <w:rFonts w:ascii="宋体" w:eastAsia="宋体" w:hAnsi="宋体" w:cs="Arial" w:hint="eastAsia"/>
          <w:bCs/>
          <w:color w:val="000000"/>
          <w:sz w:val="24"/>
        </w:rPr>
        <w:t>单人单独演练</w:t>
      </w:r>
    </w:p>
    <w:p w14:paraId="6AD560C3" w14:textId="77777777" w:rsidR="000B25E0" w:rsidRPr="000B25E0" w:rsidRDefault="000B25E0" w:rsidP="000B25E0">
      <w:pPr>
        <w:autoSpaceDE w:val="0"/>
        <w:autoSpaceDN w:val="0"/>
        <w:adjustRightInd w:val="0"/>
        <w:spacing w:line="500" w:lineRule="exact"/>
        <w:ind w:firstLineChars="200" w:firstLine="482"/>
        <w:rPr>
          <w:rFonts w:ascii="宋体" w:eastAsia="宋体" w:hAnsi="宋体" w:cs="Arial"/>
          <w:bCs/>
          <w:color w:val="000000"/>
          <w:sz w:val="24"/>
        </w:rPr>
      </w:pPr>
      <w:r w:rsidRPr="000B25E0">
        <w:rPr>
          <w:rFonts w:ascii="宋体" w:eastAsia="宋体" w:hAnsi="宋体" w:cs="Arial" w:hint="eastAsia"/>
          <w:b/>
          <w:color w:val="000000"/>
          <w:sz w:val="24"/>
        </w:rPr>
        <w:t>4.课程成绩构成：</w:t>
      </w:r>
      <w:r w:rsidRPr="000B25E0">
        <w:rPr>
          <w:rFonts w:ascii="宋体" w:eastAsia="宋体" w:hAnsi="宋体" w:cs="Arial" w:hint="eastAsia"/>
          <w:bCs/>
          <w:color w:val="000000"/>
          <w:sz w:val="24"/>
        </w:rPr>
        <w:t xml:space="preserve">动作质量50分，动作演练50分。 </w:t>
      </w:r>
    </w:p>
    <w:p w14:paraId="16EE0A5C" w14:textId="77777777" w:rsidR="000B25E0" w:rsidRPr="000B25E0" w:rsidRDefault="000B25E0" w:rsidP="000B25E0">
      <w:pPr>
        <w:autoSpaceDE w:val="0"/>
        <w:autoSpaceDN w:val="0"/>
        <w:adjustRightInd w:val="0"/>
        <w:spacing w:line="500" w:lineRule="exact"/>
        <w:ind w:firstLineChars="200" w:firstLine="482"/>
        <w:rPr>
          <w:rFonts w:ascii="宋体" w:eastAsia="宋体" w:hAnsi="宋体" w:cs="Arial"/>
          <w:b/>
          <w:color w:val="000000"/>
          <w:sz w:val="24"/>
        </w:rPr>
      </w:pPr>
      <w:r w:rsidRPr="000B25E0">
        <w:rPr>
          <w:rFonts w:ascii="宋体" w:eastAsia="宋体" w:hAnsi="宋体" w:cs="Arial" w:hint="eastAsia"/>
          <w:b/>
          <w:color w:val="000000"/>
          <w:sz w:val="24"/>
        </w:rPr>
        <w:t>5.评分积分原则：</w:t>
      </w:r>
      <w:r w:rsidRPr="000B25E0">
        <w:rPr>
          <w:rFonts w:ascii="宋体" w:eastAsia="宋体" w:hAnsi="宋体" w:cs="Arial" w:hint="eastAsia"/>
          <w:b/>
          <w:bCs/>
          <w:color w:val="000000"/>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620"/>
        <w:gridCol w:w="1620"/>
        <w:gridCol w:w="1432"/>
        <w:gridCol w:w="1421"/>
        <w:gridCol w:w="1421"/>
      </w:tblGrid>
      <w:tr w:rsidR="000B25E0" w:rsidRPr="000B25E0" w14:paraId="00C6FB8A" w14:textId="77777777" w:rsidTr="00BF5EF3">
        <w:tc>
          <w:tcPr>
            <w:tcW w:w="1008" w:type="dxa"/>
            <w:tcBorders>
              <w:top w:val="single" w:sz="4" w:space="0" w:color="auto"/>
              <w:left w:val="single" w:sz="4" w:space="0" w:color="auto"/>
              <w:bottom w:val="single" w:sz="4" w:space="0" w:color="auto"/>
              <w:right w:val="single" w:sz="4" w:space="0" w:color="auto"/>
            </w:tcBorders>
          </w:tcPr>
          <w:p w14:paraId="45102617"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等级</w:t>
            </w:r>
          </w:p>
        </w:tc>
        <w:tc>
          <w:tcPr>
            <w:tcW w:w="1620" w:type="dxa"/>
            <w:tcBorders>
              <w:top w:val="single" w:sz="4" w:space="0" w:color="auto"/>
              <w:left w:val="single" w:sz="4" w:space="0" w:color="auto"/>
              <w:bottom w:val="single" w:sz="4" w:space="0" w:color="auto"/>
              <w:right w:val="single" w:sz="4" w:space="0" w:color="auto"/>
            </w:tcBorders>
          </w:tcPr>
          <w:p w14:paraId="179222D0"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不及格</w:t>
            </w:r>
          </w:p>
        </w:tc>
        <w:tc>
          <w:tcPr>
            <w:tcW w:w="1620" w:type="dxa"/>
            <w:tcBorders>
              <w:top w:val="single" w:sz="4" w:space="0" w:color="auto"/>
              <w:left w:val="single" w:sz="4" w:space="0" w:color="auto"/>
              <w:bottom w:val="single" w:sz="4" w:space="0" w:color="auto"/>
              <w:right w:val="single" w:sz="4" w:space="0" w:color="auto"/>
            </w:tcBorders>
          </w:tcPr>
          <w:p w14:paraId="5C4E52F6"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及格</w:t>
            </w:r>
          </w:p>
        </w:tc>
        <w:tc>
          <w:tcPr>
            <w:tcW w:w="1432" w:type="dxa"/>
            <w:tcBorders>
              <w:top w:val="single" w:sz="4" w:space="0" w:color="auto"/>
              <w:left w:val="single" w:sz="4" w:space="0" w:color="auto"/>
              <w:bottom w:val="single" w:sz="4" w:space="0" w:color="auto"/>
              <w:right w:val="single" w:sz="4" w:space="0" w:color="auto"/>
            </w:tcBorders>
          </w:tcPr>
          <w:p w14:paraId="43D1998F"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一般</w:t>
            </w:r>
          </w:p>
        </w:tc>
        <w:tc>
          <w:tcPr>
            <w:tcW w:w="1421" w:type="dxa"/>
            <w:tcBorders>
              <w:top w:val="single" w:sz="4" w:space="0" w:color="auto"/>
              <w:left w:val="single" w:sz="4" w:space="0" w:color="auto"/>
              <w:bottom w:val="single" w:sz="4" w:space="0" w:color="auto"/>
              <w:right w:val="single" w:sz="4" w:space="0" w:color="auto"/>
            </w:tcBorders>
          </w:tcPr>
          <w:p w14:paraId="5AFCD5E5"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良</w:t>
            </w:r>
          </w:p>
        </w:tc>
        <w:tc>
          <w:tcPr>
            <w:tcW w:w="1421" w:type="dxa"/>
            <w:tcBorders>
              <w:top w:val="single" w:sz="4" w:space="0" w:color="auto"/>
              <w:left w:val="single" w:sz="4" w:space="0" w:color="auto"/>
              <w:bottom w:val="single" w:sz="4" w:space="0" w:color="auto"/>
              <w:right w:val="single" w:sz="4" w:space="0" w:color="auto"/>
            </w:tcBorders>
          </w:tcPr>
          <w:p w14:paraId="30A68EF4"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优</w:t>
            </w:r>
          </w:p>
        </w:tc>
      </w:tr>
      <w:tr w:rsidR="000B25E0" w:rsidRPr="000B25E0" w14:paraId="6D43DDA2" w14:textId="77777777" w:rsidTr="00BF5EF3">
        <w:tc>
          <w:tcPr>
            <w:tcW w:w="1008" w:type="dxa"/>
            <w:tcBorders>
              <w:top w:val="single" w:sz="4" w:space="0" w:color="auto"/>
              <w:left w:val="single" w:sz="4" w:space="0" w:color="auto"/>
              <w:bottom w:val="single" w:sz="4" w:space="0" w:color="auto"/>
              <w:right w:val="single" w:sz="4" w:space="0" w:color="auto"/>
            </w:tcBorders>
          </w:tcPr>
          <w:p w14:paraId="6CAC88E3"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分值</w:t>
            </w:r>
          </w:p>
        </w:tc>
        <w:tc>
          <w:tcPr>
            <w:tcW w:w="1620" w:type="dxa"/>
            <w:tcBorders>
              <w:top w:val="single" w:sz="4" w:space="0" w:color="auto"/>
              <w:left w:val="single" w:sz="4" w:space="0" w:color="auto"/>
              <w:bottom w:val="single" w:sz="4" w:space="0" w:color="auto"/>
              <w:right w:val="single" w:sz="4" w:space="0" w:color="auto"/>
            </w:tcBorders>
          </w:tcPr>
          <w:p w14:paraId="320C6FAB"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60分以下</w:t>
            </w:r>
          </w:p>
        </w:tc>
        <w:tc>
          <w:tcPr>
            <w:tcW w:w="1620" w:type="dxa"/>
            <w:tcBorders>
              <w:top w:val="single" w:sz="4" w:space="0" w:color="auto"/>
              <w:left w:val="single" w:sz="4" w:space="0" w:color="auto"/>
              <w:bottom w:val="single" w:sz="4" w:space="0" w:color="auto"/>
              <w:right w:val="single" w:sz="4" w:space="0" w:color="auto"/>
            </w:tcBorders>
          </w:tcPr>
          <w:p w14:paraId="2224B43C"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60--69</w:t>
            </w:r>
          </w:p>
        </w:tc>
        <w:tc>
          <w:tcPr>
            <w:tcW w:w="1432" w:type="dxa"/>
            <w:tcBorders>
              <w:top w:val="single" w:sz="4" w:space="0" w:color="auto"/>
              <w:left w:val="single" w:sz="4" w:space="0" w:color="auto"/>
              <w:bottom w:val="single" w:sz="4" w:space="0" w:color="auto"/>
              <w:right w:val="single" w:sz="4" w:space="0" w:color="auto"/>
            </w:tcBorders>
          </w:tcPr>
          <w:p w14:paraId="752335B7"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70--79</w:t>
            </w:r>
          </w:p>
        </w:tc>
        <w:tc>
          <w:tcPr>
            <w:tcW w:w="1421" w:type="dxa"/>
            <w:tcBorders>
              <w:top w:val="single" w:sz="4" w:space="0" w:color="auto"/>
              <w:left w:val="single" w:sz="4" w:space="0" w:color="auto"/>
              <w:bottom w:val="single" w:sz="4" w:space="0" w:color="auto"/>
              <w:right w:val="single" w:sz="4" w:space="0" w:color="auto"/>
            </w:tcBorders>
          </w:tcPr>
          <w:p w14:paraId="62D0981A"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80--89</w:t>
            </w:r>
          </w:p>
        </w:tc>
        <w:tc>
          <w:tcPr>
            <w:tcW w:w="1421" w:type="dxa"/>
            <w:tcBorders>
              <w:top w:val="single" w:sz="4" w:space="0" w:color="auto"/>
              <w:left w:val="single" w:sz="4" w:space="0" w:color="auto"/>
              <w:bottom w:val="single" w:sz="4" w:space="0" w:color="auto"/>
              <w:right w:val="single" w:sz="4" w:space="0" w:color="auto"/>
            </w:tcBorders>
          </w:tcPr>
          <w:p w14:paraId="77680990"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90以上</w:t>
            </w:r>
          </w:p>
        </w:tc>
      </w:tr>
      <w:tr w:rsidR="000B25E0" w:rsidRPr="000B25E0" w14:paraId="1983D3DC" w14:textId="77777777" w:rsidTr="00BF5EF3">
        <w:tc>
          <w:tcPr>
            <w:tcW w:w="1008" w:type="dxa"/>
            <w:tcBorders>
              <w:top w:val="single" w:sz="4" w:space="0" w:color="auto"/>
              <w:left w:val="single" w:sz="4" w:space="0" w:color="auto"/>
              <w:bottom w:val="single" w:sz="4" w:space="0" w:color="auto"/>
              <w:right w:val="single" w:sz="4" w:space="0" w:color="auto"/>
            </w:tcBorders>
          </w:tcPr>
          <w:p w14:paraId="5F9A87A9" w14:textId="77777777" w:rsidR="000B25E0" w:rsidRPr="000B25E0" w:rsidRDefault="000B25E0" w:rsidP="000B25E0">
            <w:pPr>
              <w:adjustRightInd w:val="0"/>
              <w:snapToGrid w:val="0"/>
              <w:spacing w:line="240" w:lineRule="atLeast"/>
              <w:ind w:firstLineChars="200" w:firstLine="360"/>
              <w:jc w:val="left"/>
              <w:rPr>
                <w:rFonts w:ascii="宋体" w:eastAsia="宋体" w:hAnsi="宋体" w:cs="Arial"/>
                <w:bCs/>
                <w:color w:val="000000"/>
                <w:sz w:val="18"/>
                <w:szCs w:val="18"/>
              </w:rPr>
            </w:pPr>
          </w:p>
          <w:p w14:paraId="46534951"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评</w:t>
            </w:r>
          </w:p>
          <w:p w14:paraId="043089FD"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分</w:t>
            </w:r>
          </w:p>
          <w:p w14:paraId="552A4F0E"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标</w:t>
            </w:r>
          </w:p>
          <w:p w14:paraId="5327A300" w14:textId="77777777" w:rsidR="000B25E0" w:rsidRPr="000B25E0" w:rsidRDefault="000B25E0" w:rsidP="000B25E0">
            <w:pPr>
              <w:adjustRightInd w:val="0"/>
              <w:snapToGrid w:val="0"/>
              <w:spacing w:line="240" w:lineRule="atLeast"/>
              <w:jc w:val="center"/>
              <w:rPr>
                <w:rFonts w:ascii="宋体" w:eastAsia="宋体" w:hAnsi="宋体" w:cs="Arial"/>
                <w:bCs/>
                <w:color w:val="000000"/>
                <w:sz w:val="18"/>
                <w:szCs w:val="18"/>
              </w:rPr>
            </w:pPr>
            <w:r w:rsidRPr="000B25E0">
              <w:rPr>
                <w:rFonts w:ascii="宋体" w:eastAsia="宋体" w:hAnsi="宋体" w:cs="Arial" w:hint="eastAsia"/>
                <w:bCs/>
                <w:color w:val="000000"/>
                <w:sz w:val="24"/>
              </w:rPr>
              <w:t>准</w:t>
            </w:r>
          </w:p>
        </w:tc>
        <w:tc>
          <w:tcPr>
            <w:tcW w:w="1620" w:type="dxa"/>
            <w:tcBorders>
              <w:top w:val="single" w:sz="4" w:space="0" w:color="auto"/>
              <w:left w:val="single" w:sz="4" w:space="0" w:color="auto"/>
              <w:bottom w:val="single" w:sz="4" w:space="0" w:color="auto"/>
              <w:right w:val="single" w:sz="4" w:space="0" w:color="auto"/>
            </w:tcBorders>
          </w:tcPr>
          <w:p w14:paraId="32A52BD0"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（1）、动作不符合太极拳的基本规格要求；</w:t>
            </w:r>
          </w:p>
          <w:p w14:paraId="058EAB39"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（2）、出现套路结构及动作顺序错误、不能顺利地完成全套动作。</w:t>
            </w:r>
          </w:p>
          <w:p w14:paraId="4D4B6952"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（3）、态度不认真、无视考试规定；</w:t>
            </w:r>
          </w:p>
          <w:p w14:paraId="611450CB"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（4）、多次出现遗漏、遗忘和错误动作；</w:t>
            </w:r>
          </w:p>
        </w:tc>
        <w:tc>
          <w:tcPr>
            <w:tcW w:w="1620" w:type="dxa"/>
            <w:tcBorders>
              <w:top w:val="single" w:sz="4" w:space="0" w:color="auto"/>
              <w:left w:val="single" w:sz="4" w:space="0" w:color="auto"/>
              <w:bottom w:val="single" w:sz="4" w:space="0" w:color="auto"/>
              <w:right w:val="single" w:sz="4" w:space="0" w:color="auto"/>
            </w:tcBorders>
          </w:tcPr>
          <w:p w14:paraId="636C6C10"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（1）、能都完成动作</w:t>
            </w:r>
          </w:p>
          <w:p w14:paraId="517A865E"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（2）、动作不熟练</w:t>
            </w:r>
          </w:p>
          <w:p w14:paraId="648194D8"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（3）、没有严重的错误和显著的遗漏，有遗忘。</w:t>
            </w:r>
          </w:p>
        </w:tc>
        <w:tc>
          <w:tcPr>
            <w:tcW w:w="1432" w:type="dxa"/>
            <w:tcBorders>
              <w:top w:val="single" w:sz="4" w:space="0" w:color="auto"/>
              <w:left w:val="single" w:sz="4" w:space="0" w:color="auto"/>
              <w:bottom w:val="single" w:sz="4" w:space="0" w:color="auto"/>
              <w:right w:val="single" w:sz="4" w:space="0" w:color="auto"/>
            </w:tcBorders>
          </w:tcPr>
          <w:p w14:paraId="5A38145C"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（1）、姿势一般</w:t>
            </w:r>
          </w:p>
          <w:p w14:paraId="3471EADC"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（2）、精神比较集中，体现出一定的太极拳特点，比较顺利地完成全套动作。</w:t>
            </w:r>
          </w:p>
          <w:p w14:paraId="114BC0CF"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（3）、没有明显的遗漏、遗忘和严重失误。</w:t>
            </w:r>
          </w:p>
        </w:tc>
        <w:tc>
          <w:tcPr>
            <w:tcW w:w="1421" w:type="dxa"/>
            <w:tcBorders>
              <w:top w:val="single" w:sz="4" w:space="0" w:color="auto"/>
              <w:left w:val="single" w:sz="4" w:space="0" w:color="auto"/>
              <w:bottom w:val="single" w:sz="4" w:space="0" w:color="auto"/>
              <w:right w:val="single" w:sz="4" w:space="0" w:color="auto"/>
            </w:tcBorders>
          </w:tcPr>
          <w:p w14:paraId="2230723C"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（1）、姿势比较正确，动作比较连贯、协调。</w:t>
            </w:r>
          </w:p>
          <w:p w14:paraId="379B21A4"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（2）、精神集中、劲力顺达、体现出太极拳风格，顺利地完成全套动作。</w:t>
            </w:r>
          </w:p>
          <w:p w14:paraId="5566731C"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（3）、没有明显的遗漏、遗忘和严重失误。</w:t>
            </w:r>
          </w:p>
        </w:tc>
        <w:tc>
          <w:tcPr>
            <w:tcW w:w="1421" w:type="dxa"/>
            <w:tcBorders>
              <w:top w:val="single" w:sz="4" w:space="0" w:color="auto"/>
              <w:left w:val="single" w:sz="4" w:space="0" w:color="auto"/>
              <w:bottom w:val="single" w:sz="4" w:space="0" w:color="auto"/>
              <w:right w:val="single" w:sz="4" w:space="0" w:color="auto"/>
            </w:tcBorders>
          </w:tcPr>
          <w:p w14:paraId="565ACD8A"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（1）、姿势正确，动作圆活、连贯、协调。</w:t>
            </w:r>
          </w:p>
          <w:p w14:paraId="748C1533"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（2）、精神关注、劲力顺达、太极拳风格突出，熟练地完成全套动作。</w:t>
            </w:r>
          </w:p>
          <w:p w14:paraId="3D163F36"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（3）、没有遗漏、遗忘和明显失误。</w:t>
            </w:r>
          </w:p>
        </w:tc>
      </w:tr>
    </w:tbl>
    <w:p w14:paraId="71635F35" w14:textId="77777777" w:rsidR="000B25E0" w:rsidRPr="000B25E0" w:rsidRDefault="000B25E0" w:rsidP="000B25E0">
      <w:pPr>
        <w:adjustRightInd w:val="0"/>
        <w:snapToGrid w:val="0"/>
        <w:spacing w:line="500" w:lineRule="exact"/>
        <w:rPr>
          <w:rFonts w:ascii="宋体" w:eastAsia="宋体" w:hAnsi="Calibri" w:cs="Times New Roman"/>
          <w:bCs/>
          <w:kern w:val="0"/>
          <w:sz w:val="24"/>
        </w:rPr>
      </w:pPr>
    </w:p>
    <w:p w14:paraId="0C486E9E"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期末考试</w:t>
      </w:r>
    </w:p>
    <w:p w14:paraId="51C84856" w14:textId="77777777" w:rsidR="000B25E0" w:rsidRPr="000B25E0" w:rsidRDefault="000B25E0" w:rsidP="000B25E0">
      <w:pPr>
        <w:autoSpaceDE w:val="0"/>
        <w:autoSpaceDN w:val="0"/>
        <w:adjustRightInd w:val="0"/>
        <w:spacing w:line="500" w:lineRule="exact"/>
        <w:ind w:firstLineChars="200" w:firstLine="482"/>
        <w:rPr>
          <w:rFonts w:ascii="宋体" w:eastAsia="宋体" w:hAnsi="宋体" w:cs="Arial"/>
          <w:bCs/>
          <w:color w:val="000000"/>
          <w:sz w:val="24"/>
        </w:rPr>
      </w:pPr>
      <w:r w:rsidRPr="000B25E0">
        <w:rPr>
          <w:rFonts w:ascii="宋体" w:eastAsia="宋体" w:hAnsi="宋体" w:cs="Arial" w:hint="eastAsia"/>
          <w:b/>
          <w:color w:val="000000"/>
          <w:sz w:val="24"/>
        </w:rPr>
        <w:t>1.课程考核目标：</w:t>
      </w:r>
      <w:r w:rsidRPr="000B25E0">
        <w:rPr>
          <w:rFonts w:ascii="宋体" w:eastAsia="宋体" w:hAnsi="宋体" w:cs="Arial" w:hint="eastAsia"/>
          <w:bCs/>
          <w:color w:val="000000"/>
          <w:sz w:val="24"/>
        </w:rPr>
        <w:t>通过考核检验武术技术教学效果和学生掌握情况，使85%的学生达中等以上水平。</w:t>
      </w:r>
    </w:p>
    <w:p w14:paraId="0B8BFA24" w14:textId="77777777" w:rsidR="000B25E0" w:rsidRPr="000B25E0" w:rsidRDefault="000B25E0" w:rsidP="000B25E0">
      <w:pPr>
        <w:autoSpaceDE w:val="0"/>
        <w:autoSpaceDN w:val="0"/>
        <w:adjustRightInd w:val="0"/>
        <w:spacing w:line="500" w:lineRule="exact"/>
        <w:ind w:firstLineChars="200" w:firstLine="482"/>
        <w:rPr>
          <w:rFonts w:ascii="宋体" w:eastAsia="宋体" w:hAnsi="宋体" w:cs="Arial"/>
          <w:bCs/>
          <w:color w:val="000000"/>
          <w:sz w:val="24"/>
        </w:rPr>
      </w:pPr>
      <w:r w:rsidRPr="000B25E0">
        <w:rPr>
          <w:rFonts w:ascii="宋体" w:eastAsia="宋体" w:hAnsi="宋体" w:cs="Arial" w:hint="eastAsia"/>
          <w:b/>
          <w:color w:val="000000"/>
          <w:sz w:val="24"/>
        </w:rPr>
        <w:t>2.课程考核的内容：</w:t>
      </w:r>
      <w:r w:rsidRPr="000B25E0">
        <w:rPr>
          <w:rFonts w:ascii="宋体" w:eastAsia="宋体" w:hAnsi="宋体" w:cs="Arial" w:hint="eastAsia"/>
          <w:bCs/>
          <w:color w:val="000000"/>
          <w:sz w:val="24"/>
        </w:rPr>
        <w:t>二十四式简化太极拳</w:t>
      </w:r>
    </w:p>
    <w:p w14:paraId="1407E3F7" w14:textId="77777777" w:rsidR="000B25E0" w:rsidRPr="000B25E0" w:rsidRDefault="000B25E0" w:rsidP="000B25E0">
      <w:pPr>
        <w:autoSpaceDE w:val="0"/>
        <w:autoSpaceDN w:val="0"/>
        <w:adjustRightInd w:val="0"/>
        <w:spacing w:line="500" w:lineRule="exact"/>
        <w:ind w:firstLineChars="200" w:firstLine="482"/>
        <w:rPr>
          <w:rFonts w:ascii="宋体" w:eastAsia="宋体" w:hAnsi="宋体" w:cs="Arial"/>
          <w:bCs/>
          <w:color w:val="000000"/>
          <w:sz w:val="24"/>
        </w:rPr>
      </w:pPr>
      <w:r w:rsidRPr="000B25E0">
        <w:rPr>
          <w:rFonts w:ascii="宋体" w:eastAsia="宋体" w:hAnsi="宋体" w:cs="Arial" w:hint="eastAsia"/>
          <w:b/>
          <w:color w:val="000000"/>
          <w:sz w:val="24"/>
        </w:rPr>
        <w:t>3.课程考核方式：</w:t>
      </w:r>
      <w:r w:rsidRPr="000B25E0">
        <w:rPr>
          <w:rFonts w:ascii="宋体" w:eastAsia="宋体" w:hAnsi="宋体" w:cs="Arial" w:hint="eastAsia"/>
          <w:bCs/>
          <w:color w:val="000000"/>
          <w:sz w:val="24"/>
        </w:rPr>
        <w:t>单人单独演练</w:t>
      </w:r>
    </w:p>
    <w:p w14:paraId="0DC126A4" w14:textId="77777777" w:rsidR="000B25E0" w:rsidRPr="000B25E0" w:rsidRDefault="000B25E0" w:rsidP="000B25E0">
      <w:pPr>
        <w:autoSpaceDE w:val="0"/>
        <w:autoSpaceDN w:val="0"/>
        <w:adjustRightInd w:val="0"/>
        <w:spacing w:line="500" w:lineRule="exact"/>
        <w:ind w:firstLineChars="200" w:firstLine="482"/>
        <w:rPr>
          <w:rFonts w:ascii="宋体" w:eastAsia="宋体" w:hAnsi="宋体" w:cs="Arial"/>
          <w:bCs/>
          <w:color w:val="000000"/>
          <w:sz w:val="24"/>
        </w:rPr>
      </w:pPr>
      <w:r w:rsidRPr="000B25E0">
        <w:rPr>
          <w:rFonts w:ascii="宋体" w:eastAsia="宋体" w:hAnsi="宋体" w:cs="Arial" w:hint="eastAsia"/>
          <w:b/>
          <w:color w:val="000000"/>
          <w:sz w:val="24"/>
        </w:rPr>
        <w:t>4.课程成绩构成：</w:t>
      </w:r>
      <w:r w:rsidRPr="000B25E0">
        <w:rPr>
          <w:rFonts w:ascii="宋体" w:eastAsia="宋体" w:hAnsi="宋体" w:cs="Arial" w:hint="eastAsia"/>
          <w:bCs/>
          <w:color w:val="000000"/>
          <w:sz w:val="24"/>
        </w:rPr>
        <w:t xml:space="preserve">动作质量50分，动作演练50分。 </w:t>
      </w:r>
    </w:p>
    <w:p w14:paraId="45F425FD" w14:textId="77777777" w:rsidR="000B25E0" w:rsidRPr="000B25E0" w:rsidRDefault="000B25E0" w:rsidP="000B25E0">
      <w:pPr>
        <w:autoSpaceDE w:val="0"/>
        <w:autoSpaceDN w:val="0"/>
        <w:adjustRightInd w:val="0"/>
        <w:spacing w:line="500" w:lineRule="exact"/>
        <w:ind w:firstLineChars="200" w:firstLine="482"/>
        <w:rPr>
          <w:rFonts w:ascii="宋体" w:eastAsia="宋体" w:hAnsi="宋体" w:cs="Arial"/>
          <w:b/>
          <w:color w:val="000000"/>
          <w:sz w:val="24"/>
        </w:rPr>
      </w:pPr>
      <w:r w:rsidRPr="000B25E0">
        <w:rPr>
          <w:rFonts w:ascii="宋体" w:eastAsia="宋体" w:hAnsi="宋体" w:cs="Arial" w:hint="eastAsia"/>
          <w:b/>
          <w:color w:val="000000"/>
          <w:sz w:val="24"/>
        </w:rPr>
        <w:t>5.评分积分原则：</w:t>
      </w:r>
    </w:p>
    <w:p w14:paraId="42622E88" w14:textId="77777777" w:rsidR="000B25E0" w:rsidRPr="000B25E0" w:rsidRDefault="000B25E0" w:rsidP="000B25E0">
      <w:pPr>
        <w:autoSpaceDE w:val="0"/>
        <w:autoSpaceDN w:val="0"/>
        <w:adjustRightInd w:val="0"/>
        <w:spacing w:line="500" w:lineRule="exact"/>
        <w:ind w:firstLineChars="200" w:firstLine="482"/>
        <w:rPr>
          <w:rFonts w:ascii="宋体" w:eastAsia="宋体" w:hAnsi="宋体" w:cs="Arial"/>
          <w:b/>
          <w:bCs/>
          <w:color w:val="000000"/>
          <w:sz w:val="24"/>
        </w:rPr>
      </w:pPr>
      <w:r w:rsidRPr="000B25E0">
        <w:rPr>
          <w:rFonts w:ascii="宋体" w:eastAsia="宋体" w:hAnsi="宋体" w:cs="Arial" w:hint="eastAsia"/>
          <w:b/>
          <w:bCs/>
          <w:color w:val="000000"/>
          <w:sz w:val="24"/>
        </w:rPr>
        <w:t xml:space="preserve"> </w:t>
      </w:r>
    </w:p>
    <w:p w14:paraId="4B9FE628" w14:textId="77777777" w:rsidR="000B25E0" w:rsidRPr="000B25E0" w:rsidRDefault="000B25E0" w:rsidP="000B25E0">
      <w:pPr>
        <w:autoSpaceDE w:val="0"/>
        <w:autoSpaceDN w:val="0"/>
        <w:adjustRightInd w:val="0"/>
        <w:spacing w:line="500" w:lineRule="exact"/>
        <w:ind w:firstLineChars="200" w:firstLine="480"/>
        <w:rPr>
          <w:rFonts w:ascii="宋体" w:eastAsia="宋体" w:hAnsi="宋体" w:cs="Arial"/>
          <w:bCs/>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620"/>
        <w:gridCol w:w="1620"/>
        <w:gridCol w:w="1432"/>
        <w:gridCol w:w="1421"/>
        <w:gridCol w:w="1421"/>
      </w:tblGrid>
      <w:tr w:rsidR="000B25E0" w:rsidRPr="000B25E0" w14:paraId="3AF17008" w14:textId="77777777" w:rsidTr="00BF5EF3">
        <w:tc>
          <w:tcPr>
            <w:tcW w:w="1008" w:type="dxa"/>
            <w:tcBorders>
              <w:top w:val="single" w:sz="4" w:space="0" w:color="auto"/>
              <w:left w:val="single" w:sz="4" w:space="0" w:color="auto"/>
              <w:bottom w:val="single" w:sz="4" w:space="0" w:color="auto"/>
              <w:right w:val="single" w:sz="4" w:space="0" w:color="auto"/>
            </w:tcBorders>
          </w:tcPr>
          <w:p w14:paraId="504D62B3"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等级</w:t>
            </w:r>
          </w:p>
        </w:tc>
        <w:tc>
          <w:tcPr>
            <w:tcW w:w="1620" w:type="dxa"/>
            <w:tcBorders>
              <w:top w:val="single" w:sz="4" w:space="0" w:color="auto"/>
              <w:left w:val="single" w:sz="4" w:space="0" w:color="auto"/>
              <w:bottom w:val="single" w:sz="4" w:space="0" w:color="auto"/>
              <w:right w:val="single" w:sz="4" w:space="0" w:color="auto"/>
            </w:tcBorders>
          </w:tcPr>
          <w:p w14:paraId="43D04285"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不及格</w:t>
            </w:r>
          </w:p>
        </w:tc>
        <w:tc>
          <w:tcPr>
            <w:tcW w:w="1620" w:type="dxa"/>
            <w:tcBorders>
              <w:top w:val="single" w:sz="4" w:space="0" w:color="auto"/>
              <w:left w:val="single" w:sz="4" w:space="0" w:color="auto"/>
              <w:bottom w:val="single" w:sz="4" w:space="0" w:color="auto"/>
              <w:right w:val="single" w:sz="4" w:space="0" w:color="auto"/>
            </w:tcBorders>
          </w:tcPr>
          <w:p w14:paraId="2794CBD3"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及格</w:t>
            </w:r>
          </w:p>
        </w:tc>
        <w:tc>
          <w:tcPr>
            <w:tcW w:w="1432" w:type="dxa"/>
            <w:tcBorders>
              <w:top w:val="single" w:sz="4" w:space="0" w:color="auto"/>
              <w:left w:val="single" w:sz="4" w:space="0" w:color="auto"/>
              <w:bottom w:val="single" w:sz="4" w:space="0" w:color="auto"/>
              <w:right w:val="single" w:sz="4" w:space="0" w:color="auto"/>
            </w:tcBorders>
          </w:tcPr>
          <w:p w14:paraId="125C1986"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一般</w:t>
            </w:r>
          </w:p>
        </w:tc>
        <w:tc>
          <w:tcPr>
            <w:tcW w:w="1421" w:type="dxa"/>
            <w:tcBorders>
              <w:top w:val="single" w:sz="4" w:space="0" w:color="auto"/>
              <w:left w:val="single" w:sz="4" w:space="0" w:color="auto"/>
              <w:bottom w:val="single" w:sz="4" w:space="0" w:color="auto"/>
              <w:right w:val="single" w:sz="4" w:space="0" w:color="auto"/>
            </w:tcBorders>
          </w:tcPr>
          <w:p w14:paraId="724BE22C"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良</w:t>
            </w:r>
          </w:p>
        </w:tc>
        <w:tc>
          <w:tcPr>
            <w:tcW w:w="1421" w:type="dxa"/>
            <w:tcBorders>
              <w:top w:val="single" w:sz="4" w:space="0" w:color="auto"/>
              <w:left w:val="single" w:sz="4" w:space="0" w:color="auto"/>
              <w:bottom w:val="single" w:sz="4" w:space="0" w:color="auto"/>
              <w:right w:val="single" w:sz="4" w:space="0" w:color="auto"/>
            </w:tcBorders>
          </w:tcPr>
          <w:p w14:paraId="6430B089"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优</w:t>
            </w:r>
          </w:p>
        </w:tc>
      </w:tr>
      <w:tr w:rsidR="000B25E0" w:rsidRPr="000B25E0" w14:paraId="7CC741FB" w14:textId="77777777" w:rsidTr="00BF5EF3">
        <w:tc>
          <w:tcPr>
            <w:tcW w:w="1008" w:type="dxa"/>
            <w:tcBorders>
              <w:top w:val="single" w:sz="4" w:space="0" w:color="auto"/>
              <w:left w:val="single" w:sz="4" w:space="0" w:color="auto"/>
              <w:bottom w:val="single" w:sz="4" w:space="0" w:color="auto"/>
              <w:right w:val="single" w:sz="4" w:space="0" w:color="auto"/>
            </w:tcBorders>
          </w:tcPr>
          <w:p w14:paraId="5B63AAD6"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分值</w:t>
            </w:r>
          </w:p>
        </w:tc>
        <w:tc>
          <w:tcPr>
            <w:tcW w:w="1620" w:type="dxa"/>
            <w:tcBorders>
              <w:top w:val="single" w:sz="4" w:space="0" w:color="auto"/>
              <w:left w:val="single" w:sz="4" w:space="0" w:color="auto"/>
              <w:bottom w:val="single" w:sz="4" w:space="0" w:color="auto"/>
              <w:right w:val="single" w:sz="4" w:space="0" w:color="auto"/>
            </w:tcBorders>
          </w:tcPr>
          <w:p w14:paraId="199DBBF8"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60分以下</w:t>
            </w:r>
          </w:p>
        </w:tc>
        <w:tc>
          <w:tcPr>
            <w:tcW w:w="1620" w:type="dxa"/>
            <w:tcBorders>
              <w:top w:val="single" w:sz="4" w:space="0" w:color="auto"/>
              <w:left w:val="single" w:sz="4" w:space="0" w:color="auto"/>
              <w:bottom w:val="single" w:sz="4" w:space="0" w:color="auto"/>
              <w:right w:val="single" w:sz="4" w:space="0" w:color="auto"/>
            </w:tcBorders>
          </w:tcPr>
          <w:p w14:paraId="5340E5F8"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60--69</w:t>
            </w:r>
          </w:p>
        </w:tc>
        <w:tc>
          <w:tcPr>
            <w:tcW w:w="1432" w:type="dxa"/>
            <w:tcBorders>
              <w:top w:val="single" w:sz="4" w:space="0" w:color="auto"/>
              <w:left w:val="single" w:sz="4" w:space="0" w:color="auto"/>
              <w:bottom w:val="single" w:sz="4" w:space="0" w:color="auto"/>
              <w:right w:val="single" w:sz="4" w:space="0" w:color="auto"/>
            </w:tcBorders>
          </w:tcPr>
          <w:p w14:paraId="7BC342DE"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70--79</w:t>
            </w:r>
          </w:p>
        </w:tc>
        <w:tc>
          <w:tcPr>
            <w:tcW w:w="1421" w:type="dxa"/>
            <w:tcBorders>
              <w:top w:val="single" w:sz="4" w:space="0" w:color="auto"/>
              <w:left w:val="single" w:sz="4" w:space="0" w:color="auto"/>
              <w:bottom w:val="single" w:sz="4" w:space="0" w:color="auto"/>
              <w:right w:val="single" w:sz="4" w:space="0" w:color="auto"/>
            </w:tcBorders>
          </w:tcPr>
          <w:p w14:paraId="0CE92E72"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80--89</w:t>
            </w:r>
          </w:p>
        </w:tc>
        <w:tc>
          <w:tcPr>
            <w:tcW w:w="1421" w:type="dxa"/>
            <w:tcBorders>
              <w:top w:val="single" w:sz="4" w:space="0" w:color="auto"/>
              <w:left w:val="single" w:sz="4" w:space="0" w:color="auto"/>
              <w:bottom w:val="single" w:sz="4" w:space="0" w:color="auto"/>
              <w:right w:val="single" w:sz="4" w:space="0" w:color="auto"/>
            </w:tcBorders>
          </w:tcPr>
          <w:p w14:paraId="68A77F30"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90以上</w:t>
            </w:r>
          </w:p>
        </w:tc>
      </w:tr>
      <w:tr w:rsidR="000B25E0" w:rsidRPr="000B25E0" w14:paraId="7C0EEDED" w14:textId="77777777" w:rsidTr="00BF5EF3">
        <w:tc>
          <w:tcPr>
            <w:tcW w:w="1008" w:type="dxa"/>
            <w:tcBorders>
              <w:top w:val="single" w:sz="4" w:space="0" w:color="auto"/>
              <w:left w:val="single" w:sz="4" w:space="0" w:color="auto"/>
              <w:bottom w:val="single" w:sz="4" w:space="0" w:color="auto"/>
              <w:right w:val="single" w:sz="4" w:space="0" w:color="auto"/>
            </w:tcBorders>
          </w:tcPr>
          <w:p w14:paraId="033B2975" w14:textId="77777777" w:rsidR="000B25E0" w:rsidRPr="000B25E0" w:rsidRDefault="000B25E0" w:rsidP="000B25E0">
            <w:pPr>
              <w:adjustRightInd w:val="0"/>
              <w:snapToGrid w:val="0"/>
              <w:spacing w:line="240" w:lineRule="atLeast"/>
              <w:ind w:firstLineChars="200" w:firstLine="360"/>
              <w:jc w:val="left"/>
              <w:rPr>
                <w:rFonts w:ascii="宋体" w:eastAsia="宋体" w:hAnsi="宋体" w:cs="Arial"/>
                <w:bCs/>
                <w:color w:val="000000"/>
                <w:sz w:val="18"/>
                <w:szCs w:val="18"/>
              </w:rPr>
            </w:pPr>
          </w:p>
          <w:p w14:paraId="0FB216F1"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评</w:t>
            </w:r>
          </w:p>
          <w:p w14:paraId="3E26E030"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分</w:t>
            </w:r>
          </w:p>
          <w:p w14:paraId="74736A99" w14:textId="77777777" w:rsidR="000B25E0" w:rsidRPr="000B25E0" w:rsidRDefault="000B25E0" w:rsidP="000B25E0">
            <w:pPr>
              <w:adjustRightInd w:val="0"/>
              <w:snapToGrid w:val="0"/>
              <w:spacing w:line="240" w:lineRule="atLeast"/>
              <w:jc w:val="center"/>
              <w:rPr>
                <w:rFonts w:ascii="宋体" w:eastAsia="宋体" w:hAnsi="宋体" w:cs="Arial"/>
                <w:bCs/>
                <w:color w:val="000000"/>
                <w:sz w:val="24"/>
              </w:rPr>
            </w:pPr>
            <w:r w:rsidRPr="000B25E0">
              <w:rPr>
                <w:rFonts w:ascii="宋体" w:eastAsia="宋体" w:hAnsi="宋体" w:cs="Arial" w:hint="eastAsia"/>
                <w:bCs/>
                <w:color w:val="000000"/>
                <w:sz w:val="24"/>
              </w:rPr>
              <w:t>标</w:t>
            </w:r>
          </w:p>
          <w:p w14:paraId="0ACD75A2" w14:textId="77777777" w:rsidR="000B25E0" w:rsidRPr="000B25E0" w:rsidRDefault="000B25E0" w:rsidP="000B25E0">
            <w:pPr>
              <w:adjustRightInd w:val="0"/>
              <w:snapToGrid w:val="0"/>
              <w:spacing w:line="240" w:lineRule="atLeast"/>
              <w:jc w:val="center"/>
              <w:rPr>
                <w:rFonts w:ascii="宋体" w:eastAsia="宋体" w:hAnsi="宋体" w:cs="Arial"/>
                <w:bCs/>
                <w:color w:val="000000"/>
                <w:sz w:val="18"/>
                <w:szCs w:val="18"/>
              </w:rPr>
            </w:pPr>
            <w:r w:rsidRPr="000B25E0">
              <w:rPr>
                <w:rFonts w:ascii="宋体" w:eastAsia="宋体" w:hAnsi="宋体" w:cs="Arial" w:hint="eastAsia"/>
                <w:bCs/>
                <w:color w:val="000000"/>
                <w:sz w:val="24"/>
              </w:rPr>
              <w:t>准</w:t>
            </w:r>
          </w:p>
        </w:tc>
        <w:tc>
          <w:tcPr>
            <w:tcW w:w="1620" w:type="dxa"/>
            <w:tcBorders>
              <w:top w:val="single" w:sz="4" w:space="0" w:color="auto"/>
              <w:left w:val="single" w:sz="4" w:space="0" w:color="auto"/>
              <w:bottom w:val="single" w:sz="4" w:space="0" w:color="auto"/>
              <w:right w:val="single" w:sz="4" w:space="0" w:color="auto"/>
            </w:tcBorders>
          </w:tcPr>
          <w:p w14:paraId="072679AF"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（1）、动作不符合太极拳的基本规格要求；</w:t>
            </w:r>
          </w:p>
          <w:p w14:paraId="6A16DA08"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（2）、出现套路结构及动作顺序错误、不能顺利地完成全套动作。</w:t>
            </w:r>
          </w:p>
          <w:p w14:paraId="09B74C3C"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（3）、态度不认真、无视考试规定；</w:t>
            </w:r>
          </w:p>
          <w:p w14:paraId="57F45FC7"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（4）、多次出现遗漏、遗忘和错误动作；</w:t>
            </w:r>
          </w:p>
        </w:tc>
        <w:tc>
          <w:tcPr>
            <w:tcW w:w="1620" w:type="dxa"/>
            <w:tcBorders>
              <w:top w:val="single" w:sz="4" w:space="0" w:color="auto"/>
              <w:left w:val="single" w:sz="4" w:space="0" w:color="auto"/>
              <w:bottom w:val="single" w:sz="4" w:space="0" w:color="auto"/>
              <w:right w:val="single" w:sz="4" w:space="0" w:color="auto"/>
            </w:tcBorders>
          </w:tcPr>
          <w:p w14:paraId="550B4828"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（1）、能都完成动作</w:t>
            </w:r>
          </w:p>
          <w:p w14:paraId="2CDC11D4"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（2）、动作不熟练</w:t>
            </w:r>
          </w:p>
          <w:p w14:paraId="11A4D00E"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（3）、没有严重的错误和显著的遗漏，有遗忘。</w:t>
            </w:r>
          </w:p>
        </w:tc>
        <w:tc>
          <w:tcPr>
            <w:tcW w:w="1432" w:type="dxa"/>
            <w:tcBorders>
              <w:top w:val="single" w:sz="4" w:space="0" w:color="auto"/>
              <w:left w:val="single" w:sz="4" w:space="0" w:color="auto"/>
              <w:bottom w:val="single" w:sz="4" w:space="0" w:color="auto"/>
              <w:right w:val="single" w:sz="4" w:space="0" w:color="auto"/>
            </w:tcBorders>
          </w:tcPr>
          <w:p w14:paraId="7ACE5AFC"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（1）、姿势一般</w:t>
            </w:r>
          </w:p>
          <w:p w14:paraId="598574B3"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（2）、精神比较集中，体现出一定的太极拳特点，比较顺利地完成全套动作。</w:t>
            </w:r>
          </w:p>
          <w:p w14:paraId="6FDADA4E"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（3）、没有明显的遗漏、遗忘和严重失误。</w:t>
            </w:r>
          </w:p>
        </w:tc>
        <w:tc>
          <w:tcPr>
            <w:tcW w:w="1421" w:type="dxa"/>
            <w:tcBorders>
              <w:top w:val="single" w:sz="4" w:space="0" w:color="auto"/>
              <w:left w:val="single" w:sz="4" w:space="0" w:color="auto"/>
              <w:bottom w:val="single" w:sz="4" w:space="0" w:color="auto"/>
              <w:right w:val="single" w:sz="4" w:space="0" w:color="auto"/>
            </w:tcBorders>
          </w:tcPr>
          <w:p w14:paraId="39F5D607"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（1）、姿势比较正确，动作比较连贯、协调。</w:t>
            </w:r>
          </w:p>
          <w:p w14:paraId="27208F67"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（2）、精神集中、劲力顺达、体现出太极拳风格，顺利地完成全套动作。</w:t>
            </w:r>
          </w:p>
          <w:p w14:paraId="272A397D"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（3）、没有明显的遗漏、遗忘和严重失误。</w:t>
            </w:r>
          </w:p>
        </w:tc>
        <w:tc>
          <w:tcPr>
            <w:tcW w:w="1421" w:type="dxa"/>
            <w:tcBorders>
              <w:top w:val="single" w:sz="4" w:space="0" w:color="auto"/>
              <w:left w:val="single" w:sz="4" w:space="0" w:color="auto"/>
              <w:bottom w:val="single" w:sz="4" w:space="0" w:color="auto"/>
              <w:right w:val="single" w:sz="4" w:space="0" w:color="auto"/>
            </w:tcBorders>
          </w:tcPr>
          <w:p w14:paraId="19EC2670"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（1）、姿势正确，动作圆活、连贯、协调。</w:t>
            </w:r>
          </w:p>
          <w:p w14:paraId="138B48BE"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（2）、精神关注、劲力顺达、太极拳风格突出，熟练地完成全套动作。</w:t>
            </w:r>
          </w:p>
          <w:p w14:paraId="61726163" w14:textId="77777777" w:rsidR="000B25E0" w:rsidRPr="000B25E0" w:rsidRDefault="000B25E0" w:rsidP="000B25E0">
            <w:pPr>
              <w:adjustRightInd w:val="0"/>
              <w:snapToGrid w:val="0"/>
              <w:spacing w:line="240" w:lineRule="atLeast"/>
              <w:ind w:firstLineChars="200" w:firstLine="420"/>
              <w:rPr>
                <w:rFonts w:ascii="宋体" w:eastAsia="宋体" w:hAnsi="宋体" w:cs="Arial"/>
                <w:bCs/>
                <w:color w:val="000000"/>
                <w:szCs w:val="21"/>
              </w:rPr>
            </w:pPr>
            <w:r w:rsidRPr="000B25E0">
              <w:rPr>
                <w:rFonts w:ascii="宋体" w:eastAsia="宋体" w:hAnsi="宋体" w:cs="Arial" w:hint="eastAsia"/>
                <w:bCs/>
                <w:color w:val="000000"/>
                <w:szCs w:val="21"/>
              </w:rPr>
              <w:t>（3）、没有遗漏、遗忘和明显失误。</w:t>
            </w:r>
          </w:p>
        </w:tc>
      </w:tr>
    </w:tbl>
    <w:p w14:paraId="63CA8A91" w14:textId="77777777" w:rsidR="000B25E0" w:rsidRPr="000B25E0" w:rsidRDefault="000B25E0" w:rsidP="000B25E0">
      <w:pPr>
        <w:spacing w:beforeLines="50" w:before="156" w:afterLines="50" w:after="156" w:line="440" w:lineRule="exact"/>
        <w:ind w:firstLineChars="200" w:firstLine="480"/>
        <w:rPr>
          <w:rFonts w:ascii="宋体" w:eastAsia="宋体" w:hAnsi="宋体" w:cs="Times New Roman"/>
          <w:sz w:val="24"/>
        </w:rPr>
      </w:pPr>
      <w:r w:rsidRPr="000B25E0">
        <w:rPr>
          <w:rFonts w:ascii="宋体" w:eastAsia="宋体" w:hAnsi="Calibri" w:cs="Times New Roman" w:hint="eastAsia"/>
          <w:bCs/>
          <w:kern w:val="0"/>
          <w:sz w:val="24"/>
        </w:rPr>
        <w:t xml:space="preserve">    </w:t>
      </w:r>
      <w:r w:rsidRPr="000B25E0">
        <w:rPr>
          <w:rFonts w:ascii="黑体" w:eastAsia="黑体" w:hAnsi="黑体" w:cs="Times New Roman" w:hint="eastAsia"/>
          <w:sz w:val="28"/>
          <w:szCs w:val="28"/>
        </w:rPr>
        <w:t>六、使用教材、相关推荐书目及课程资源</w:t>
      </w:r>
    </w:p>
    <w:p w14:paraId="6C32C50C" w14:textId="77777777" w:rsidR="000B25E0" w:rsidRPr="000B25E0" w:rsidRDefault="000B25E0" w:rsidP="000B25E0">
      <w:pPr>
        <w:spacing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（一）使用教材</w:t>
      </w:r>
    </w:p>
    <w:p w14:paraId="72BE5E88" w14:textId="77777777" w:rsidR="000B25E0" w:rsidRPr="000B25E0" w:rsidRDefault="000B25E0" w:rsidP="000B25E0">
      <w:pPr>
        <w:autoSpaceDE w:val="0"/>
        <w:autoSpaceDN w:val="0"/>
        <w:adjustRightInd w:val="0"/>
        <w:snapToGrid w:val="0"/>
        <w:spacing w:line="500" w:lineRule="exact"/>
        <w:ind w:firstLineChars="200" w:firstLine="480"/>
        <w:rPr>
          <w:rFonts w:ascii="宋体" w:eastAsia="宋体" w:hAnsi="宋体" w:cs="宋体"/>
          <w:kern w:val="0"/>
          <w:sz w:val="24"/>
        </w:rPr>
      </w:pPr>
      <w:r w:rsidRPr="000B25E0">
        <w:rPr>
          <w:rFonts w:ascii="宋体" w:eastAsia="宋体" w:hAnsi="宋体" w:cs="宋体" w:hint="eastAsia"/>
          <w:kern w:val="0"/>
          <w:sz w:val="24"/>
        </w:rPr>
        <w:t>任晋军主编：《当代大学体育教程》，北京体育大学出版社，2008</w:t>
      </w:r>
    </w:p>
    <w:p w14:paraId="0C3D8D4E" w14:textId="77777777" w:rsidR="000B25E0" w:rsidRPr="000B25E0" w:rsidRDefault="000B25E0" w:rsidP="000B25E0">
      <w:pPr>
        <w:autoSpaceDE w:val="0"/>
        <w:autoSpaceDN w:val="0"/>
        <w:adjustRightInd w:val="0"/>
        <w:spacing w:line="500" w:lineRule="exact"/>
        <w:ind w:firstLine="490"/>
        <w:rPr>
          <w:rFonts w:ascii="宋体" w:eastAsia="宋体" w:hAnsi="宋体" w:cs="Arial"/>
          <w:bCs/>
          <w:color w:val="000000"/>
          <w:sz w:val="24"/>
        </w:rPr>
      </w:pPr>
      <w:r w:rsidRPr="000B25E0">
        <w:rPr>
          <w:rFonts w:ascii="宋体" w:eastAsia="宋体" w:hAnsi="宋体" w:cs="Arial" w:hint="eastAsia"/>
          <w:bCs/>
          <w:color w:val="000000"/>
          <w:sz w:val="24"/>
        </w:rPr>
        <w:t>全国体育学院教材委员会：《武术》，人民体育出版社</w:t>
      </w:r>
    </w:p>
    <w:p w14:paraId="3062B397" w14:textId="77777777" w:rsidR="000B25E0" w:rsidRPr="000B25E0" w:rsidRDefault="000B25E0" w:rsidP="000B25E0">
      <w:pPr>
        <w:spacing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（二）相关推荐书目</w:t>
      </w:r>
    </w:p>
    <w:p w14:paraId="559081EB"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w:t>
      </w:r>
      <w:r w:rsidRPr="000B25E0">
        <w:rPr>
          <w:rFonts w:ascii="宋体" w:eastAsia="宋体" w:hAnsi="宋体" w:cs="Times New Roman"/>
          <w:sz w:val="24"/>
        </w:rPr>
        <w:t xml:space="preserve">. </w:t>
      </w:r>
      <w:r w:rsidRPr="000B25E0">
        <w:rPr>
          <w:rFonts w:ascii="宋体" w:eastAsia="宋体" w:hAnsi="宋体" w:cs="宋体" w:hint="eastAsia"/>
          <w:kern w:val="0"/>
          <w:sz w:val="24"/>
        </w:rPr>
        <w:t>刘建国主编：《当代大学体育与健身》，高教出版社，2008</w:t>
      </w:r>
    </w:p>
    <w:p w14:paraId="23D4FAF3" w14:textId="77777777" w:rsidR="000B25E0" w:rsidRPr="000B25E0" w:rsidRDefault="000B25E0" w:rsidP="000B25E0">
      <w:pPr>
        <w:autoSpaceDE w:val="0"/>
        <w:autoSpaceDN w:val="0"/>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w:t>
      </w:r>
      <w:r w:rsidRPr="000B25E0">
        <w:rPr>
          <w:rFonts w:ascii="宋体" w:eastAsia="宋体" w:hAnsi="宋体" w:cs="Times New Roman"/>
          <w:sz w:val="24"/>
        </w:rPr>
        <w:t xml:space="preserve">. </w:t>
      </w:r>
      <w:r w:rsidRPr="000B25E0">
        <w:rPr>
          <w:rFonts w:ascii="宋体" w:eastAsia="宋体" w:hAnsi="宋体" w:cs="宋体" w:hint="eastAsia"/>
          <w:kern w:val="0"/>
          <w:sz w:val="24"/>
        </w:rPr>
        <w:t>全国体育学院教材委员会审定：《体育与健康理论指导手册》，人民体育出版社，2014</w:t>
      </w:r>
    </w:p>
    <w:p w14:paraId="3CAC094E"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（三）课程资源</w:t>
      </w:r>
    </w:p>
    <w:p w14:paraId="2EEDC4B0" w14:textId="77777777" w:rsidR="000B25E0" w:rsidRPr="000B25E0" w:rsidRDefault="000B25E0" w:rsidP="000B25E0">
      <w:pPr>
        <w:spacing w:line="44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729F551F" w14:textId="77777777" w:rsidR="000B25E0" w:rsidRPr="000B25E0" w:rsidRDefault="000B25E0" w:rsidP="000B25E0">
      <w:pPr>
        <w:spacing w:line="44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 《国家学生体质健康标准》实施说明</w:t>
      </w:r>
    </w:p>
    <w:p w14:paraId="65918783" w14:textId="77777777" w:rsidR="000B25E0" w:rsidRPr="000B25E0" w:rsidRDefault="000B25E0" w:rsidP="000B25E0">
      <w:pPr>
        <w:spacing w:line="44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 《国家学生体质健康标准》测试评分表</w:t>
      </w:r>
    </w:p>
    <w:p w14:paraId="1B08932B"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lastRenderedPageBreak/>
        <w:t>七、课程大纲制定依据</w:t>
      </w:r>
    </w:p>
    <w:p w14:paraId="3302A5A6"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本课程大纲依据2023年人才培养方案</w:t>
      </w:r>
      <w:r w:rsidR="002E4147">
        <w:rPr>
          <w:rFonts w:ascii="宋体" w:eastAsia="宋体" w:hAnsi="宋体" w:cs="Times New Roman" w:hint="eastAsia"/>
          <w:sz w:val="24"/>
        </w:rPr>
        <w:t>药物分析专业</w:t>
      </w:r>
      <w:r w:rsidRPr="000B25E0">
        <w:rPr>
          <w:rFonts w:ascii="宋体" w:eastAsia="宋体" w:hAnsi="宋体" w:cs="Times New Roman" w:hint="eastAsia"/>
          <w:sz w:val="24"/>
        </w:rPr>
        <w:t>制定。</w:t>
      </w:r>
    </w:p>
    <w:p w14:paraId="0799A0A8" w14:textId="77777777" w:rsidR="000B25E0" w:rsidRPr="000B25E0" w:rsidRDefault="000B25E0" w:rsidP="000B25E0">
      <w:pPr>
        <w:rPr>
          <w:rFonts w:ascii="黑体" w:eastAsia="黑体" w:hAnsi="黑体" w:cs="Times New Roman"/>
          <w:sz w:val="28"/>
          <w:szCs w:val="28"/>
        </w:rPr>
      </w:pPr>
    </w:p>
    <w:p w14:paraId="2BB50E38" w14:textId="77777777" w:rsidR="000B25E0" w:rsidRPr="000B25E0" w:rsidRDefault="000B25E0" w:rsidP="000B25E0">
      <w:pPr>
        <w:rPr>
          <w:rFonts w:ascii="Calibri" w:eastAsia="宋体" w:hAnsi="Calibri" w:cs="Times New Roman"/>
          <w:bCs/>
          <w:lang w:val="zh-CN"/>
        </w:rPr>
      </w:pPr>
    </w:p>
    <w:p w14:paraId="5BEF553B" w14:textId="77777777" w:rsidR="000B25E0" w:rsidRPr="000B25E0" w:rsidRDefault="000B25E0" w:rsidP="000B25E0">
      <w:pPr>
        <w:rPr>
          <w:rFonts w:ascii="Calibri" w:eastAsia="宋体" w:hAnsi="Calibri" w:cs="Times New Roman"/>
          <w:bCs/>
          <w:lang w:val="zh-CN"/>
        </w:rPr>
      </w:pPr>
    </w:p>
    <w:p w14:paraId="0206CDF1" w14:textId="77777777" w:rsidR="00895319" w:rsidRDefault="00895319">
      <w:pPr>
        <w:widowControl/>
        <w:jc w:val="left"/>
        <w:rPr>
          <w:rFonts w:ascii="Calibri" w:eastAsia="宋体" w:hAnsi="Calibri" w:cs="Times New Roman"/>
          <w:bCs/>
          <w:lang w:val="zh-CN"/>
        </w:rPr>
      </w:pPr>
      <w:r>
        <w:rPr>
          <w:rFonts w:ascii="Calibri" w:eastAsia="宋体" w:hAnsi="Calibri" w:cs="Times New Roman"/>
          <w:bCs/>
          <w:lang w:val="zh-CN"/>
        </w:rPr>
        <w:br w:type="page"/>
      </w:r>
    </w:p>
    <w:p w14:paraId="027B3EF6" w14:textId="56792ED7" w:rsidR="000B25E0" w:rsidRPr="000B25E0" w:rsidRDefault="000B25E0" w:rsidP="000B25E0">
      <w:pPr>
        <w:spacing w:beforeLines="100" w:before="312" w:afterLines="100" w:after="312" w:line="440" w:lineRule="exact"/>
        <w:jc w:val="center"/>
        <w:rPr>
          <w:rFonts w:ascii="黑体" w:eastAsia="黑体" w:hAnsi="黑体" w:cs="Times New Roman"/>
          <w:bCs/>
          <w:sz w:val="36"/>
          <w:szCs w:val="36"/>
        </w:rPr>
      </w:pPr>
      <w:r w:rsidRPr="000B25E0">
        <w:rPr>
          <w:rFonts w:ascii="黑体" w:eastAsia="黑体" w:hAnsi="黑体" w:cs="Times New Roman" w:hint="eastAsia"/>
          <w:bCs/>
          <w:sz w:val="36"/>
          <w:szCs w:val="36"/>
        </w:rPr>
        <w:lastRenderedPageBreak/>
        <w:t>《散打》课程大纲</w:t>
      </w:r>
    </w:p>
    <w:p w14:paraId="4D2B0E73"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0B25E0" w:rsidRPr="000B25E0" w14:paraId="199DA3B4" w14:textId="77777777" w:rsidTr="00BF5EF3">
        <w:trPr>
          <w:trHeight w:val="886"/>
          <w:jc w:val="center"/>
        </w:trPr>
        <w:tc>
          <w:tcPr>
            <w:tcW w:w="1581" w:type="dxa"/>
            <w:vAlign w:val="center"/>
          </w:tcPr>
          <w:p w14:paraId="07D63CA2"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课程名称</w:t>
            </w:r>
          </w:p>
        </w:tc>
        <w:tc>
          <w:tcPr>
            <w:tcW w:w="2662" w:type="dxa"/>
            <w:vAlign w:val="center"/>
          </w:tcPr>
          <w:p w14:paraId="40E0B7B7"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散打</w:t>
            </w:r>
          </w:p>
        </w:tc>
        <w:tc>
          <w:tcPr>
            <w:tcW w:w="1482" w:type="dxa"/>
            <w:vAlign w:val="center"/>
          </w:tcPr>
          <w:p w14:paraId="07F4CF69"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课程代码</w:t>
            </w:r>
          </w:p>
        </w:tc>
        <w:tc>
          <w:tcPr>
            <w:tcW w:w="2797" w:type="dxa"/>
            <w:vAlign w:val="center"/>
          </w:tcPr>
          <w:p w14:paraId="55C5A026"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091050</w:t>
            </w:r>
          </w:p>
        </w:tc>
      </w:tr>
      <w:tr w:rsidR="000B25E0" w:rsidRPr="000B25E0" w14:paraId="565D1EEB" w14:textId="77777777" w:rsidTr="00BF5EF3">
        <w:trPr>
          <w:trHeight w:val="829"/>
          <w:jc w:val="center"/>
        </w:trPr>
        <w:tc>
          <w:tcPr>
            <w:tcW w:w="1581" w:type="dxa"/>
            <w:vAlign w:val="center"/>
          </w:tcPr>
          <w:p w14:paraId="4F9DF852"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课程类别</w:t>
            </w:r>
          </w:p>
        </w:tc>
        <w:tc>
          <w:tcPr>
            <w:tcW w:w="2662" w:type="dxa"/>
            <w:vAlign w:val="center"/>
          </w:tcPr>
          <w:p w14:paraId="7A4C4A03"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公共必修课程</w:t>
            </w:r>
          </w:p>
        </w:tc>
        <w:tc>
          <w:tcPr>
            <w:tcW w:w="1482" w:type="dxa"/>
            <w:vAlign w:val="center"/>
          </w:tcPr>
          <w:p w14:paraId="5BC04854"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学时</w:t>
            </w:r>
          </w:p>
          <w:p w14:paraId="7AA3A67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/学分</w:t>
            </w:r>
          </w:p>
        </w:tc>
        <w:tc>
          <w:tcPr>
            <w:tcW w:w="2797" w:type="dxa"/>
            <w:vAlign w:val="center"/>
          </w:tcPr>
          <w:p w14:paraId="7335146A"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144/4</w:t>
            </w:r>
          </w:p>
        </w:tc>
      </w:tr>
      <w:tr w:rsidR="000B25E0" w:rsidRPr="000B25E0" w14:paraId="5CD01C98" w14:textId="77777777" w:rsidTr="00BF5EF3">
        <w:trPr>
          <w:trHeight w:val="811"/>
          <w:jc w:val="center"/>
        </w:trPr>
        <w:tc>
          <w:tcPr>
            <w:tcW w:w="1581" w:type="dxa"/>
            <w:vAlign w:val="center"/>
          </w:tcPr>
          <w:p w14:paraId="4D77F35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开课单位</w:t>
            </w:r>
          </w:p>
        </w:tc>
        <w:tc>
          <w:tcPr>
            <w:tcW w:w="2662" w:type="dxa"/>
            <w:vAlign w:val="center"/>
          </w:tcPr>
          <w:p w14:paraId="0DBE2B04"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sz w:val="24"/>
              </w:rPr>
              <w:t>石家庄学院体育学院</w:t>
            </w:r>
          </w:p>
        </w:tc>
        <w:tc>
          <w:tcPr>
            <w:tcW w:w="1482" w:type="dxa"/>
            <w:vAlign w:val="center"/>
          </w:tcPr>
          <w:p w14:paraId="538501F5"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适用专业</w:t>
            </w:r>
          </w:p>
        </w:tc>
        <w:tc>
          <w:tcPr>
            <w:tcW w:w="2797" w:type="dxa"/>
            <w:vAlign w:val="center"/>
          </w:tcPr>
          <w:p w14:paraId="30A8F51D" w14:textId="77777777" w:rsidR="000B25E0" w:rsidRPr="000B25E0" w:rsidRDefault="006D6C0A" w:rsidP="000B25E0">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0B25E0" w:rsidRPr="000B25E0" w14:paraId="3BE1FED6" w14:textId="77777777" w:rsidTr="00BF5EF3">
        <w:trPr>
          <w:trHeight w:val="811"/>
          <w:jc w:val="center"/>
        </w:trPr>
        <w:tc>
          <w:tcPr>
            <w:tcW w:w="1581" w:type="dxa"/>
            <w:vAlign w:val="center"/>
          </w:tcPr>
          <w:p w14:paraId="36E5E2DD"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课程负责人</w:t>
            </w:r>
          </w:p>
        </w:tc>
        <w:tc>
          <w:tcPr>
            <w:tcW w:w="6941" w:type="dxa"/>
            <w:gridSpan w:val="3"/>
            <w:vAlign w:val="center"/>
          </w:tcPr>
          <w:p w14:paraId="2C3D047D"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黄志芳、李世光</w:t>
            </w:r>
          </w:p>
        </w:tc>
      </w:tr>
      <w:tr w:rsidR="000B25E0" w:rsidRPr="000B25E0" w14:paraId="06633CCD" w14:textId="77777777" w:rsidTr="00BF5EF3">
        <w:trPr>
          <w:trHeight w:val="836"/>
          <w:jc w:val="center"/>
        </w:trPr>
        <w:tc>
          <w:tcPr>
            <w:tcW w:w="1581" w:type="dxa"/>
            <w:vAlign w:val="center"/>
          </w:tcPr>
          <w:p w14:paraId="67FA1FE5"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大纲撰写人</w:t>
            </w:r>
          </w:p>
        </w:tc>
        <w:tc>
          <w:tcPr>
            <w:tcW w:w="2662" w:type="dxa"/>
            <w:vAlign w:val="center"/>
          </w:tcPr>
          <w:p w14:paraId="01A69153"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李世光</w:t>
            </w:r>
          </w:p>
        </w:tc>
        <w:tc>
          <w:tcPr>
            <w:tcW w:w="1482" w:type="dxa"/>
            <w:vAlign w:val="center"/>
          </w:tcPr>
          <w:p w14:paraId="6E21DDAA"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大纲审核人</w:t>
            </w:r>
          </w:p>
        </w:tc>
        <w:tc>
          <w:tcPr>
            <w:tcW w:w="2797" w:type="dxa"/>
            <w:vAlign w:val="center"/>
          </w:tcPr>
          <w:p w14:paraId="2441ABA9" w14:textId="77777777" w:rsidR="000B25E0" w:rsidRPr="000B25E0" w:rsidRDefault="000B25E0" w:rsidP="000B25E0">
            <w:pPr>
              <w:spacing w:line="440" w:lineRule="exact"/>
              <w:jc w:val="center"/>
              <w:rPr>
                <w:rFonts w:ascii="宋体" w:eastAsia="宋体" w:hAnsi="宋体" w:cs="Times New Roman"/>
                <w:sz w:val="24"/>
              </w:rPr>
            </w:pPr>
            <w:proofErr w:type="gramStart"/>
            <w:r w:rsidRPr="000B25E0">
              <w:rPr>
                <w:rFonts w:ascii="宋体" w:eastAsia="宋体" w:hAnsi="宋体" w:cs="Times New Roman" w:hint="eastAsia"/>
                <w:sz w:val="24"/>
              </w:rPr>
              <w:t>左健</w:t>
            </w:r>
            <w:proofErr w:type="gramEnd"/>
          </w:p>
        </w:tc>
      </w:tr>
      <w:tr w:rsidR="000B25E0" w:rsidRPr="000B25E0" w14:paraId="07B80F02" w14:textId="77777777" w:rsidTr="00BF5EF3">
        <w:trPr>
          <w:trHeight w:val="848"/>
          <w:jc w:val="center"/>
        </w:trPr>
        <w:tc>
          <w:tcPr>
            <w:tcW w:w="1581" w:type="dxa"/>
            <w:vAlign w:val="center"/>
          </w:tcPr>
          <w:p w14:paraId="2820461D"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先修课程</w:t>
            </w:r>
          </w:p>
        </w:tc>
        <w:tc>
          <w:tcPr>
            <w:tcW w:w="6941" w:type="dxa"/>
            <w:gridSpan w:val="3"/>
            <w:vAlign w:val="center"/>
          </w:tcPr>
          <w:p w14:paraId="792E7E81" w14:textId="77777777" w:rsidR="000B25E0" w:rsidRPr="000B25E0" w:rsidRDefault="000B25E0" w:rsidP="000B25E0">
            <w:pPr>
              <w:spacing w:line="440" w:lineRule="exact"/>
              <w:jc w:val="center"/>
              <w:rPr>
                <w:rFonts w:ascii="宋体" w:eastAsia="宋体" w:hAnsi="宋体" w:cs="Times New Roman"/>
                <w:sz w:val="24"/>
              </w:rPr>
            </w:pPr>
          </w:p>
        </w:tc>
      </w:tr>
      <w:tr w:rsidR="000B25E0" w:rsidRPr="000B25E0" w14:paraId="367C6E12" w14:textId="77777777" w:rsidTr="00BF5EF3">
        <w:trPr>
          <w:trHeight w:val="848"/>
          <w:jc w:val="center"/>
        </w:trPr>
        <w:tc>
          <w:tcPr>
            <w:tcW w:w="1581" w:type="dxa"/>
            <w:vAlign w:val="center"/>
          </w:tcPr>
          <w:p w14:paraId="3B2461D2"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课程网址</w:t>
            </w:r>
          </w:p>
        </w:tc>
        <w:tc>
          <w:tcPr>
            <w:tcW w:w="6941" w:type="dxa"/>
            <w:gridSpan w:val="3"/>
            <w:vAlign w:val="center"/>
          </w:tcPr>
          <w:p w14:paraId="7DC98190" w14:textId="77777777" w:rsidR="000B25E0" w:rsidRPr="000B25E0" w:rsidRDefault="000B25E0" w:rsidP="000B25E0">
            <w:pPr>
              <w:spacing w:line="440" w:lineRule="exact"/>
              <w:rPr>
                <w:rFonts w:ascii="宋体" w:eastAsia="宋体" w:hAnsi="宋体" w:cs="Times New Roman"/>
                <w:color w:val="FF0000"/>
                <w:sz w:val="24"/>
              </w:rPr>
            </w:pPr>
          </w:p>
        </w:tc>
      </w:tr>
    </w:tbl>
    <w:p w14:paraId="5E976CA6"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二、课程学习目标及与毕业要求的对应关系</w:t>
      </w:r>
    </w:p>
    <w:p w14:paraId="722FFA69"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（一）课程学习目标</w:t>
      </w:r>
    </w:p>
    <w:p w14:paraId="35A693BE"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通过本课程的学习，使学生达到以下目标：</w:t>
      </w:r>
    </w:p>
    <w:p w14:paraId="527EB4C4"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61E9ADC0"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5CBB83D4"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仿宋_GB2312" w:hint="eastAsia"/>
          <w:sz w:val="24"/>
        </w:rPr>
        <w:lastRenderedPageBreak/>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20BD3721"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0B25E0" w:rsidRPr="000B25E0" w14:paraId="1D06B0C5" w14:textId="77777777" w:rsidTr="00BF5EF3">
        <w:trPr>
          <w:trHeight w:val="815"/>
          <w:jc w:val="center"/>
        </w:trPr>
        <w:tc>
          <w:tcPr>
            <w:tcW w:w="1708" w:type="dxa"/>
            <w:vAlign w:val="center"/>
          </w:tcPr>
          <w:p w14:paraId="15F8C209"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毕业要求</w:t>
            </w:r>
          </w:p>
        </w:tc>
        <w:tc>
          <w:tcPr>
            <w:tcW w:w="5954" w:type="dxa"/>
            <w:vAlign w:val="center"/>
          </w:tcPr>
          <w:p w14:paraId="03388CF8"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毕业要求指标点</w:t>
            </w:r>
          </w:p>
        </w:tc>
        <w:tc>
          <w:tcPr>
            <w:tcW w:w="1507" w:type="dxa"/>
            <w:vAlign w:val="center"/>
          </w:tcPr>
          <w:p w14:paraId="2B84B453"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课程目标</w:t>
            </w:r>
          </w:p>
        </w:tc>
      </w:tr>
      <w:tr w:rsidR="000B25E0" w:rsidRPr="000B25E0" w14:paraId="58706831" w14:textId="77777777" w:rsidTr="00BF5EF3">
        <w:trPr>
          <w:jc w:val="center"/>
        </w:trPr>
        <w:tc>
          <w:tcPr>
            <w:tcW w:w="1708" w:type="dxa"/>
            <w:vAlign w:val="center"/>
          </w:tcPr>
          <w:p w14:paraId="24B82D2A"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职业规范</w:t>
            </w:r>
            <w:r w:rsidRPr="000B25E0">
              <w:rPr>
                <w:rFonts w:ascii="宋体" w:eastAsia="宋体" w:hAnsi="宋体" w:cs="Times New Roman"/>
                <w:sz w:val="24"/>
              </w:rPr>
              <w:t>（</w:t>
            </w:r>
            <w:r w:rsidRPr="000B25E0">
              <w:rPr>
                <w:rFonts w:ascii="宋体" w:eastAsia="宋体" w:hAnsi="宋体" w:cs="Times New Roman" w:hint="eastAsia"/>
                <w:sz w:val="24"/>
              </w:rPr>
              <w:t>M</w:t>
            </w:r>
            <w:r w:rsidRPr="000B25E0">
              <w:rPr>
                <w:rFonts w:ascii="宋体" w:eastAsia="宋体" w:hAnsi="宋体" w:cs="Times New Roman"/>
                <w:sz w:val="24"/>
              </w:rPr>
              <w:t>）</w:t>
            </w:r>
          </w:p>
        </w:tc>
        <w:tc>
          <w:tcPr>
            <w:tcW w:w="5954" w:type="dxa"/>
            <w:vAlign w:val="center"/>
          </w:tcPr>
          <w:p w14:paraId="48A9758E" w14:textId="77777777" w:rsidR="000B25E0" w:rsidRPr="000B25E0" w:rsidRDefault="000B25E0" w:rsidP="000B25E0">
            <w:pPr>
              <w:spacing w:line="440" w:lineRule="exact"/>
              <w:rPr>
                <w:rFonts w:ascii="宋体" w:eastAsia="宋体" w:hAnsi="宋体" w:cs="仿宋_GB2312"/>
                <w:sz w:val="24"/>
              </w:rPr>
            </w:pPr>
          </w:p>
          <w:p w14:paraId="280FA580" w14:textId="77777777" w:rsidR="000B25E0" w:rsidRPr="000B25E0" w:rsidRDefault="000B25E0" w:rsidP="000B25E0">
            <w:pPr>
              <w:spacing w:line="440" w:lineRule="exact"/>
              <w:rPr>
                <w:rFonts w:ascii="宋体" w:eastAsia="宋体" w:hAnsi="宋体" w:cs="仿宋_GB2312"/>
                <w:sz w:val="24"/>
              </w:rPr>
            </w:pPr>
          </w:p>
          <w:p w14:paraId="7B4CDBF7" w14:textId="77777777" w:rsidR="000B25E0" w:rsidRPr="000B25E0" w:rsidRDefault="000B25E0" w:rsidP="000B25E0">
            <w:pPr>
              <w:spacing w:line="440" w:lineRule="exact"/>
              <w:rPr>
                <w:rFonts w:ascii="宋体" w:eastAsia="宋体" w:hAnsi="宋体" w:cs="Times New Roman"/>
                <w:sz w:val="24"/>
              </w:rPr>
            </w:pPr>
          </w:p>
        </w:tc>
        <w:tc>
          <w:tcPr>
            <w:tcW w:w="1507" w:type="dxa"/>
            <w:vAlign w:val="center"/>
          </w:tcPr>
          <w:p w14:paraId="4E9F82F9" w14:textId="77777777" w:rsidR="000B25E0" w:rsidRPr="000B25E0" w:rsidRDefault="000B25E0" w:rsidP="000B25E0">
            <w:pPr>
              <w:spacing w:line="440" w:lineRule="exact"/>
              <w:rPr>
                <w:rFonts w:ascii="宋体" w:eastAsia="宋体" w:hAnsi="宋体" w:cs="Times New Roman"/>
                <w:sz w:val="24"/>
              </w:rPr>
            </w:pPr>
            <w:r w:rsidRPr="000B25E0">
              <w:rPr>
                <w:rFonts w:ascii="宋体" w:eastAsia="宋体" w:hAnsi="宋体" w:cs="Times New Roman" w:hint="eastAsia"/>
                <w:sz w:val="24"/>
              </w:rPr>
              <w:t>课程目标1</w:t>
            </w:r>
          </w:p>
        </w:tc>
      </w:tr>
      <w:tr w:rsidR="000B25E0" w:rsidRPr="000B25E0" w14:paraId="61C78042" w14:textId="77777777" w:rsidTr="00BF5EF3">
        <w:trPr>
          <w:jc w:val="center"/>
        </w:trPr>
        <w:tc>
          <w:tcPr>
            <w:tcW w:w="1708" w:type="dxa"/>
            <w:vAlign w:val="center"/>
          </w:tcPr>
          <w:p w14:paraId="6B5A028E"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沟通</w:t>
            </w:r>
            <w:r w:rsidRPr="000B25E0">
              <w:rPr>
                <w:rFonts w:ascii="宋体" w:eastAsia="宋体" w:hAnsi="宋体" w:cs="Times New Roman"/>
                <w:sz w:val="24"/>
              </w:rPr>
              <w:t>（</w:t>
            </w:r>
            <w:r w:rsidRPr="000B25E0">
              <w:rPr>
                <w:rFonts w:ascii="宋体" w:eastAsia="宋体" w:hAnsi="宋体" w:cs="Times New Roman" w:hint="eastAsia"/>
                <w:sz w:val="24"/>
              </w:rPr>
              <w:t>M</w:t>
            </w:r>
            <w:r w:rsidRPr="000B25E0">
              <w:rPr>
                <w:rFonts w:ascii="宋体" w:eastAsia="宋体" w:hAnsi="宋体" w:cs="Times New Roman"/>
                <w:sz w:val="24"/>
              </w:rPr>
              <w:t>）</w:t>
            </w:r>
          </w:p>
        </w:tc>
        <w:tc>
          <w:tcPr>
            <w:tcW w:w="5954" w:type="dxa"/>
            <w:vAlign w:val="center"/>
          </w:tcPr>
          <w:p w14:paraId="7720EADB" w14:textId="77777777" w:rsidR="000B25E0" w:rsidRPr="000B25E0" w:rsidRDefault="000B25E0" w:rsidP="000B25E0">
            <w:pPr>
              <w:spacing w:line="440" w:lineRule="exact"/>
              <w:rPr>
                <w:rFonts w:ascii="宋体" w:eastAsia="宋体" w:hAnsi="宋体" w:cs="Times New Roman"/>
                <w:sz w:val="24"/>
              </w:rPr>
            </w:pPr>
            <w:r w:rsidRPr="000B25E0">
              <w:rPr>
                <w:rFonts w:ascii="宋体" w:eastAsia="宋体" w:hAnsi="宋体" w:cs="Times New Roman" w:hint="eastAsia"/>
                <w:sz w:val="24"/>
              </w:rPr>
              <w:t>10-1</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宋体" w:cs="Times New Roman" w:hint="eastAsia"/>
                <w:sz w:val="24"/>
              </w:rPr>
              <w:t>；</w:t>
            </w:r>
          </w:p>
          <w:p w14:paraId="44DEDBB4" w14:textId="77777777" w:rsidR="000B25E0" w:rsidRPr="000B25E0" w:rsidRDefault="000B25E0" w:rsidP="000B25E0">
            <w:pPr>
              <w:spacing w:line="440" w:lineRule="exact"/>
              <w:rPr>
                <w:rFonts w:ascii="宋体" w:eastAsia="宋体" w:hAnsi="宋体" w:cs="Times New Roman"/>
                <w:sz w:val="24"/>
              </w:rPr>
            </w:pPr>
            <w:r w:rsidRPr="000B25E0">
              <w:rPr>
                <w:rFonts w:ascii="宋体" w:eastAsia="宋体" w:hAnsi="宋体" w:cs="Times New Roman" w:hint="eastAsia"/>
                <w:sz w:val="24"/>
              </w:rPr>
              <w:t>10</w:t>
            </w:r>
            <w:r w:rsidRPr="000B25E0">
              <w:rPr>
                <w:rFonts w:ascii="宋体" w:eastAsia="宋体" w:hAnsi="宋体" w:cs="Times New Roman"/>
                <w:sz w:val="24"/>
              </w:rPr>
              <w:t>-</w:t>
            </w:r>
            <w:r w:rsidRPr="000B25E0">
              <w:rPr>
                <w:rFonts w:ascii="宋体" w:eastAsia="宋体" w:hAnsi="宋体" w:cs="Times New Roman" w:hint="eastAsia"/>
                <w:sz w:val="24"/>
              </w:rPr>
              <w:t>2</w:t>
            </w:r>
            <w:r w:rsidRPr="000B25E0">
              <w:rPr>
                <w:rFonts w:ascii="宋体" w:eastAsia="宋体" w:hAnsi="宋体" w:cs="仿宋_GB2312" w:hint="eastAsia"/>
                <w:sz w:val="24"/>
              </w:rPr>
              <w:t>发展学生的个性和创造性，培养学生的主体意识和活泼愉快、积极向上、勇于探索以及克服困难的精</w:t>
            </w:r>
            <w:r w:rsidRPr="000B25E0">
              <w:rPr>
                <w:rFonts w:ascii="宋体" w:eastAsia="宋体" w:hAnsi="宋体" w:cs="Times New Roman" w:hint="eastAsia"/>
                <w:sz w:val="24"/>
              </w:rPr>
              <w:t>10</w:t>
            </w:r>
            <w:r w:rsidRPr="000B25E0">
              <w:rPr>
                <w:rFonts w:ascii="宋体" w:eastAsia="宋体" w:hAnsi="宋体" w:cs="Times New Roman"/>
                <w:sz w:val="24"/>
              </w:rPr>
              <w:t>-</w:t>
            </w:r>
            <w:r w:rsidRPr="000B25E0">
              <w:rPr>
                <w:rFonts w:ascii="宋体" w:eastAsia="宋体" w:hAnsi="宋体" w:cs="Times New Roman" w:hint="eastAsia"/>
                <w:sz w:val="24"/>
              </w:rPr>
              <w:t>3</w:t>
            </w:r>
            <w:r w:rsidRPr="000B25E0">
              <w:rPr>
                <w:rFonts w:ascii="宋体" w:eastAsia="宋体" w:hAnsi="宋体" w:cs="仿宋_GB2312" w:hint="eastAsia"/>
                <w:sz w:val="24"/>
              </w:rPr>
              <w:t>具备沟通交流能力与团队合作精神，能够养成认真、求实、勤奋良好科研精神与学风。</w:t>
            </w:r>
          </w:p>
        </w:tc>
        <w:tc>
          <w:tcPr>
            <w:tcW w:w="1507" w:type="dxa"/>
            <w:vAlign w:val="center"/>
          </w:tcPr>
          <w:p w14:paraId="349F63E1" w14:textId="77777777" w:rsidR="000B25E0" w:rsidRPr="000B25E0" w:rsidRDefault="000B25E0" w:rsidP="000B25E0">
            <w:pPr>
              <w:spacing w:line="440" w:lineRule="exact"/>
              <w:rPr>
                <w:rFonts w:ascii="宋体" w:eastAsia="宋体" w:hAnsi="宋体" w:cs="仿宋_GB2312"/>
                <w:sz w:val="24"/>
              </w:rPr>
            </w:pPr>
            <w:r w:rsidRPr="000B25E0">
              <w:rPr>
                <w:rFonts w:ascii="宋体" w:eastAsia="宋体" w:hAnsi="宋体" w:cs="Times New Roman" w:hint="eastAsia"/>
                <w:sz w:val="24"/>
              </w:rPr>
              <w:t>课程目标</w:t>
            </w:r>
            <w:r w:rsidRPr="000B25E0">
              <w:rPr>
                <w:rFonts w:ascii="宋体" w:eastAsia="宋体" w:hAnsi="宋体" w:cs="Times New Roman"/>
                <w:sz w:val="24"/>
              </w:rPr>
              <w:t>2</w:t>
            </w:r>
          </w:p>
        </w:tc>
      </w:tr>
      <w:tr w:rsidR="000B25E0" w:rsidRPr="000B25E0" w14:paraId="5E2C4D8D" w14:textId="77777777" w:rsidTr="00BF5EF3">
        <w:trPr>
          <w:jc w:val="center"/>
        </w:trPr>
        <w:tc>
          <w:tcPr>
            <w:tcW w:w="1708" w:type="dxa"/>
            <w:vAlign w:val="center"/>
          </w:tcPr>
          <w:p w14:paraId="3D9055CB"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终身学习</w:t>
            </w:r>
            <w:r w:rsidRPr="000B25E0">
              <w:rPr>
                <w:rFonts w:ascii="宋体" w:eastAsia="宋体" w:hAnsi="宋体" w:cs="Times New Roman"/>
                <w:sz w:val="24"/>
              </w:rPr>
              <w:t>（</w:t>
            </w:r>
            <w:r w:rsidRPr="000B25E0">
              <w:rPr>
                <w:rFonts w:ascii="宋体" w:eastAsia="宋体" w:hAnsi="宋体" w:cs="Times New Roman" w:hint="eastAsia"/>
                <w:sz w:val="24"/>
              </w:rPr>
              <w:t>H</w:t>
            </w:r>
            <w:r w:rsidRPr="000B25E0">
              <w:rPr>
                <w:rFonts w:ascii="宋体" w:eastAsia="宋体" w:hAnsi="宋体" w:cs="Times New Roman"/>
                <w:sz w:val="24"/>
              </w:rPr>
              <w:t>）</w:t>
            </w:r>
          </w:p>
        </w:tc>
        <w:tc>
          <w:tcPr>
            <w:tcW w:w="5954" w:type="dxa"/>
            <w:vAlign w:val="center"/>
          </w:tcPr>
          <w:p w14:paraId="65382336" w14:textId="77777777" w:rsidR="000B25E0" w:rsidRPr="000B25E0" w:rsidRDefault="000B25E0" w:rsidP="000B25E0">
            <w:pPr>
              <w:spacing w:line="440" w:lineRule="exact"/>
              <w:rPr>
                <w:rFonts w:ascii="宋体" w:eastAsia="宋体" w:hAnsi="宋体" w:cs="仿宋_GB2312"/>
                <w:sz w:val="24"/>
              </w:rPr>
            </w:pPr>
          </w:p>
          <w:p w14:paraId="35ABBFFC" w14:textId="77777777" w:rsidR="000B25E0" w:rsidRPr="000B25E0" w:rsidRDefault="000B25E0" w:rsidP="000B25E0">
            <w:pPr>
              <w:spacing w:line="440" w:lineRule="exact"/>
              <w:rPr>
                <w:rFonts w:ascii="宋体" w:eastAsia="宋体" w:hAnsi="宋体" w:cs="仿宋_GB2312"/>
                <w:sz w:val="24"/>
              </w:rPr>
            </w:pPr>
          </w:p>
          <w:p w14:paraId="18F0F992" w14:textId="77777777" w:rsidR="000B25E0" w:rsidRPr="000B25E0" w:rsidRDefault="000B25E0" w:rsidP="000B25E0">
            <w:pPr>
              <w:spacing w:line="440" w:lineRule="exact"/>
              <w:rPr>
                <w:rFonts w:ascii="宋体" w:eastAsia="宋体" w:hAnsi="宋体" w:cs="Times New Roman"/>
                <w:sz w:val="24"/>
              </w:rPr>
            </w:pPr>
          </w:p>
        </w:tc>
        <w:tc>
          <w:tcPr>
            <w:tcW w:w="1507" w:type="dxa"/>
            <w:vAlign w:val="center"/>
          </w:tcPr>
          <w:p w14:paraId="6FA31367" w14:textId="77777777" w:rsidR="000B25E0" w:rsidRPr="000B25E0" w:rsidRDefault="000B25E0" w:rsidP="000B25E0">
            <w:pPr>
              <w:spacing w:line="440" w:lineRule="exact"/>
              <w:rPr>
                <w:rFonts w:ascii="宋体" w:eastAsia="宋体" w:hAnsi="宋体" w:cs="Times New Roman"/>
                <w:sz w:val="24"/>
              </w:rPr>
            </w:pPr>
            <w:r w:rsidRPr="000B25E0">
              <w:rPr>
                <w:rFonts w:ascii="宋体" w:eastAsia="宋体" w:hAnsi="宋体" w:cs="Times New Roman"/>
                <w:sz w:val="24"/>
              </w:rPr>
              <w:t>课程目标3</w:t>
            </w:r>
          </w:p>
        </w:tc>
      </w:tr>
    </w:tbl>
    <w:p w14:paraId="64A8133B" w14:textId="77777777" w:rsidR="000B25E0" w:rsidRPr="000B25E0" w:rsidRDefault="000B25E0" w:rsidP="000B25E0">
      <w:pPr>
        <w:spacing w:beforeLines="50" w:before="156" w:afterLines="50" w:after="156" w:line="440" w:lineRule="exact"/>
        <w:rPr>
          <w:rFonts w:ascii="黑体" w:eastAsia="黑体" w:hAnsi="黑体" w:cs="Times New Roman"/>
          <w:sz w:val="28"/>
          <w:szCs w:val="28"/>
        </w:rPr>
      </w:pPr>
      <w:r w:rsidRPr="000B25E0">
        <w:rPr>
          <w:rFonts w:ascii="黑体" w:eastAsia="黑体" w:hAnsi="黑体" w:cs="Times New Roman" w:hint="eastAsia"/>
          <w:sz w:val="28"/>
          <w:szCs w:val="28"/>
        </w:rPr>
        <w:t>三、课程学习内容及与课程学习目标的对应关系</w:t>
      </w:r>
    </w:p>
    <w:p w14:paraId="1EF6A5B0" w14:textId="77777777" w:rsidR="000B25E0" w:rsidRPr="000B25E0" w:rsidRDefault="000B25E0" w:rsidP="000B25E0">
      <w:pPr>
        <w:spacing w:beforeLines="50" w:before="156" w:afterLines="50" w:after="156" w:line="440" w:lineRule="exact"/>
        <w:ind w:firstLineChars="200" w:firstLine="562"/>
        <w:rPr>
          <w:rFonts w:ascii="黑体" w:eastAsia="黑体" w:hAnsi="黑体" w:cs="Times New Roman"/>
          <w:b/>
          <w:sz w:val="28"/>
          <w:szCs w:val="28"/>
        </w:rPr>
      </w:pPr>
      <w:r w:rsidRPr="000B25E0">
        <w:rPr>
          <w:rFonts w:ascii="黑体" w:eastAsia="黑体" w:hAnsi="黑体" w:cs="Times New Roman" w:hint="eastAsia"/>
          <w:b/>
          <w:sz w:val="28"/>
          <w:szCs w:val="28"/>
        </w:rPr>
        <w:t>（一）课程学习内容</w:t>
      </w:r>
    </w:p>
    <w:p w14:paraId="773F0FF3" w14:textId="77777777" w:rsidR="000B25E0" w:rsidRPr="000B25E0" w:rsidRDefault="000B25E0" w:rsidP="000B25E0">
      <w:pPr>
        <w:ind w:firstLineChars="1300" w:firstLine="3640"/>
        <w:rPr>
          <w:rFonts w:ascii="黑体" w:eastAsia="黑体" w:hAnsi="黑体" w:cs="Times New Roman"/>
          <w:sz w:val="28"/>
          <w:szCs w:val="28"/>
        </w:rPr>
      </w:pPr>
      <w:r w:rsidRPr="000B25E0">
        <w:rPr>
          <w:rFonts w:ascii="黑体" w:eastAsia="黑体" w:hAnsi="黑体" w:cs="Times New Roman" w:hint="eastAsia"/>
          <w:sz w:val="28"/>
          <w:szCs w:val="28"/>
        </w:rPr>
        <w:t>学习内容一体能+散打</w:t>
      </w:r>
    </w:p>
    <w:p w14:paraId="4953D443"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3002F944"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w:t>
      </w:r>
      <w:r w:rsidRPr="000B25E0">
        <w:rPr>
          <w:rFonts w:ascii="宋体" w:eastAsia="宋体" w:hAnsi="Calibri" w:cs="宋体" w:hint="eastAsia"/>
          <w:spacing w:val="5"/>
          <w:kern w:val="0"/>
          <w:sz w:val="24"/>
        </w:rPr>
        <w:lastRenderedPageBreak/>
        <w:t>精神与品质。</w:t>
      </w:r>
    </w:p>
    <w:p w14:paraId="7D2160E5"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048F1E11"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足球运动的一般规律和特点，使学生获得散打的基本技术、基本技能和基础理论知识，并了解现代散打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018122CF" w14:textId="77777777" w:rsidR="000B25E0" w:rsidRPr="000B25E0" w:rsidRDefault="000B25E0" w:rsidP="000B25E0">
      <w:pPr>
        <w:spacing w:line="440" w:lineRule="exact"/>
        <w:ind w:firstLineChars="200" w:firstLine="500"/>
        <w:rPr>
          <w:rFonts w:ascii="Calibri" w:eastAsia="宋体" w:hAnsi="Calibri" w:cs="Times New Roman"/>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52210E41"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【学习内容】</w:t>
      </w:r>
    </w:p>
    <w:p w14:paraId="592CB026" w14:textId="77777777" w:rsidR="000B25E0" w:rsidRPr="000B25E0" w:rsidRDefault="000B25E0" w:rsidP="000B25E0">
      <w:pPr>
        <w:spacing w:beforeLines="50" w:before="156" w:afterLines="50" w:after="156" w:line="360" w:lineRule="auto"/>
        <w:jc w:val="center"/>
        <w:rPr>
          <w:rFonts w:ascii="宋体" w:eastAsia="宋体" w:hAnsi="Calibri" w:cs="Arial"/>
          <w:b/>
          <w:sz w:val="28"/>
          <w:szCs w:val="28"/>
        </w:rPr>
      </w:pPr>
      <w:r w:rsidRPr="000B25E0">
        <w:rPr>
          <w:rFonts w:ascii="宋体" w:eastAsia="宋体" w:hAnsi="宋体" w:cs="Arial" w:hint="eastAsia"/>
          <w:b/>
          <w:sz w:val="28"/>
          <w:szCs w:val="28"/>
        </w:rPr>
        <w:t>第一章</w:t>
      </w:r>
      <w:r w:rsidRPr="000B25E0">
        <w:rPr>
          <w:rFonts w:ascii="宋体" w:eastAsia="宋体" w:hAnsi="宋体" w:cs="Arial"/>
          <w:b/>
          <w:sz w:val="28"/>
          <w:szCs w:val="28"/>
        </w:rPr>
        <w:t xml:space="preserve">   </w:t>
      </w:r>
      <w:r w:rsidRPr="000B25E0">
        <w:rPr>
          <w:rFonts w:ascii="宋体" w:eastAsia="宋体" w:hAnsi="宋体" w:cs="Arial" w:hint="eastAsia"/>
          <w:b/>
          <w:sz w:val="28"/>
          <w:szCs w:val="28"/>
        </w:rPr>
        <w:t>认识健康的重要性（0.5学时）</w:t>
      </w:r>
    </w:p>
    <w:p w14:paraId="226E939F" w14:textId="77777777" w:rsidR="000B25E0" w:rsidRPr="000B25E0" w:rsidRDefault="000B25E0" w:rsidP="000B25E0">
      <w:pPr>
        <w:spacing w:before="50" w:after="50"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0722113C"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1.1 健康的内涵</w:t>
      </w:r>
    </w:p>
    <w:p w14:paraId="40FBCF7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1.2 预防与消除亚健康</w:t>
      </w:r>
    </w:p>
    <w:p w14:paraId="1751CEB6"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1.3 维护健康的法则</w:t>
      </w:r>
    </w:p>
    <w:p w14:paraId="3873D97C" w14:textId="77777777" w:rsidR="000B25E0" w:rsidRPr="000B25E0" w:rsidRDefault="000B25E0" w:rsidP="000B25E0">
      <w:pPr>
        <w:spacing w:line="360" w:lineRule="auto"/>
        <w:ind w:leftChars="-29" w:left="-61" w:firstLineChars="219" w:firstLine="528"/>
        <w:rPr>
          <w:rFonts w:ascii="Arial" w:eastAsia="宋体" w:hAnsi="Calibri" w:cs="Arial"/>
          <w:b/>
          <w:sz w:val="24"/>
        </w:rPr>
      </w:pPr>
      <w:r w:rsidRPr="000B25E0">
        <w:rPr>
          <w:rFonts w:ascii="Arial" w:eastAsia="宋体" w:hAnsi="Calibri" w:cs="Arial" w:hint="eastAsia"/>
          <w:b/>
          <w:sz w:val="24"/>
        </w:rPr>
        <w:t>本章教学目的及要求：</w:t>
      </w:r>
      <w:r w:rsidRPr="000B25E0">
        <w:rPr>
          <w:rFonts w:ascii="Arial" w:eastAsia="宋体" w:hAnsi="Arial" w:cs="Arial" w:hint="eastAsia"/>
          <w:sz w:val="24"/>
        </w:rPr>
        <w:t>使同学们了解自身健康的重要性及如何维护、促进自身的健康。</w:t>
      </w:r>
    </w:p>
    <w:p w14:paraId="4F6B3AD2" w14:textId="77777777" w:rsidR="000B25E0" w:rsidRPr="000B25E0" w:rsidRDefault="000B25E0" w:rsidP="000B25E0">
      <w:pPr>
        <w:adjustRightInd w:val="0"/>
        <w:snapToGrid w:val="0"/>
        <w:spacing w:line="500" w:lineRule="exact"/>
        <w:ind w:firstLineChars="196" w:firstLine="472"/>
        <w:rPr>
          <w:rFonts w:ascii="Arial" w:eastAsia="宋体" w:hAnsi="Arial" w:cs="Arial"/>
          <w:sz w:val="24"/>
        </w:rPr>
      </w:pPr>
      <w:r w:rsidRPr="000B25E0">
        <w:rPr>
          <w:rFonts w:ascii="Arial" w:eastAsia="宋体" w:hAnsi="Calibri" w:cs="Arial" w:hint="eastAsia"/>
          <w:b/>
          <w:sz w:val="24"/>
        </w:rPr>
        <w:t>本章教学重点及难点：</w:t>
      </w:r>
      <w:r w:rsidRPr="000B25E0">
        <w:rPr>
          <w:rFonts w:ascii="Arial" w:eastAsia="宋体" w:hAnsi="Arial" w:cs="Arial" w:hint="eastAsia"/>
          <w:sz w:val="24"/>
        </w:rPr>
        <w:t>认识到健康的重要性；如何维护自身的健康。</w:t>
      </w:r>
    </w:p>
    <w:p w14:paraId="5FBC5CC9"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第二章</w:t>
      </w:r>
      <w:r w:rsidRPr="000B25E0">
        <w:rPr>
          <w:rFonts w:ascii="Arial" w:eastAsia="宋体" w:hAnsi="Arial" w:cs="Arial"/>
          <w:b/>
          <w:sz w:val="28"/>
          <w:szCs w:val="28"/>
        </w:rPr>
        <w:t xml:space="preserve">   </w:t>
      </w:r>
      <w:r w:rsidRPr="000B25E0">
        <w:rPr>
          <w:rFonts w:ascii="Arial" w:eastAsia="宋体" w:hAnsi="Calibri" w:cs="Arial" w:hint="eastAsia"/>
          <w:b/>
          <w:sz w:val="28"/>
          <w:szCs w:val="28"/>
        </w:rPr>
        <w:t>科学健身的理论与方法（</w:t>
      </w:r>
      <w:r w:rsidRPr="000B25E0">
        <w:rPr>
          <w:rFonts w:ascii="Arial" w:eastAsia="宋体" w:hAnsi="Calibri" w:cs="Arial" w:hint="eastAsia"/>
          <w:b/>
          <w:sz w:val="28"/>
          <w:szCs w:val="28"/>
        </w:rPr>
        <w:t>0.5</w:t>
      </w:r>
      <w:r w:rsidRPr="000B25E0">
        <w:rPr>
          <w:rFonts w:ascii="Arial" w:eastAsia="宋体" w:hAnsi="Calibri" w:cs="Arial" w:hint="eastAsia"/>
          <w:b/>
          <w:sz w:val="28"/>
          <w:szCs w:val="28"/>
        </w:rPr>
        <w:t>学时）</w:t>
      </w:r>
    </w:p>
    <w:p w14:paraId="58406455"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3955FE8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lastRenderedPageBreak/>
        <w:t>2.1 健身新理念</w:t>
      </w:r>
    </w:p>
    <w:p w14:paraId="3311446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2.2 运动处方</w:t>
      </w:r>
    </w:p>
    <w:p w14:paraId="3878E27A"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使学生了解健身新理念及运动处方如何制定。</w:t>
      </w:r>
    </w:p>
    <w:p w14:paraId="109546BA" w14:textId="77777777" w:rsidR="000B25E0" w:rsidRPr="000B25E0" w:rsidRDefault="000B25E0" w:rsidP="000B25E0">
      <w:pPr>
        <w:spacing w:line="360" w:lineRule="auto"/>
        <w:ind w:firstLineChars="200" w:firstLine="482"/>
        <w:rPr>
          <w:rFonts w:ascii="Arial" w:eastAsia="宋体" w:hAnsi="Arial" w:cs="Arial"/>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制订运动处方的重要性；如何制订自身的运动处方。</w:t>
      </w:r>
    </w:p>
    <w:p w14:paraId="49C71055"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第三章</w:t>
      </w:r>
      <w:r w:rsidRPr="000B25E0">
        <w:rPr>
          <w:rFonts w:ascii="Arial" w:eastAsia="宋体" w:hAnsi="Arial" w:cs="Arial"/>
          <w:b/>
          <w:sz w:val="28"/>
          <w:szCs w:val="28"/>
        </w:rPr>
        <w:t xml:space="preserve">   </w:t>
      </w:r>
      <w:r w:rsidRPr="000B25E0">
        <w:rPr>
          <w:rFonts w:ascii="Arial" w:eastAsia="宋体" w:hAnsi="Calibri" w:cs="Arial" w:hint="eastAsia"/>
          <w:b/>
          <w:sz w:val="28"/>
          <w:szCs w:val="28"/>
        </w:rPr>
        <w:t>营养与健康（</w:t>
      </w:r>
      <w:r w:rsidRPr="000B25E0">
        <w:rPr>
          <w:rFonts w:ascii="Arial" w:eastAsia="宋体" w:hAnsi="Calibri" w:cs="Arial" w:hint="eastAsia"/>
          <w:b/>
          <w:sz w:val="28"/>
          <w:szCs w:val="28"/>
        </w:rPr>
        <w:t>0.5</w:t>
      </w:r>
      <w:r w:rsidRPr="000B25E0">
        <w:rPr>
          <w:rFonts w:ascii="Arial" w:eastAsia="宋体" w:hAnsi="Calibri" w:cs="Arial" w:hint="eastAsia"/>
          <w:b/>
          <w:sz w:val="28"/>
          <w:szCs w:val="28"/>
        </w:rPr>
        <w:t>学时）</w:t>
      </w:r>
    </w:p>
    <w:p w14:paraId="74CA60A5"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12EA9CFE"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3.1 营养对健康的影响</w:t>
      </w:r>
    </w:p>
    <w:p w14:paraId="4D958A46"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3.2 营养素及人体对营养的需要</w:t>
      </w:r>
    </w:p>
    <w:p w14:paraId="7CE67CA3"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3.3 平衡膳食</w:t>
      </w:r>
    </w:p>
    <w:p w14:paraId="314877EB"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3.4 运动与营养</w:t>
      </w:r>
    </w:p>
    <w:p w14:paraId="442D5234"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让学生正确认识科学补充营养可以提高自身免疫力，从而提高生活质量。</w:t>
      </w:r>
    </w:p>
    <w:p w14:paraId="19B77AF2" w14:textId="77777777" w:rsidR="000B25E0" w:rsidRPr="000B25E0" w:rsidRDefault="000B25E0" w:rsidP="000B25E0">
      <w:pPr>
        <w:spacing w:line="360" w:lineRule="auto"/>
        <w:ind w:firstLineChars="196" w:firstLine="472"/>
        <w:rPr>
          <w:rFonts w:ascii="Arial" w:eastAsia="宋体" w:hAnsi="Arial" w:cs="Arial"/>
          <w:bCs/>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学生阶段的营养过剩与运动不足；补充营养的同时如何提高自身的健康。</w:t>
      </w:r>
    </w:p>
    <w:p w14:paraId="2EF45887"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第四章</w:t>
      </w:r>
      <w:r w:rsidRPr="000B25E0">
        <w:rPr>
          <w:rFonts w:ascii="Arial" w:eastAsia="宋体" w:hAnsi="Arial" w:cs="Arial"/>
          <w:b/>
          <w:sz w:val="28"/>
          <w:szCs w:val="28"/>
        </w:rPr>
        <w:t xml:space="preserve">   </w:t>
      </w:r>
      <w:r w:rsidRPr="000B25E0">
        <w:rPr>
          <w:rFonts w:ascii="Arial" w:eastAsia="宋体" w:hAnsi="Calibri" w:cs="Arial" w:hint="eastAsia"/>
          <w:b/>
          <w:sz w:val="28"/>
          <w:szCs w:val="28"/>
        </w:rPr>
        <w:t>体育保健知识（</w:t>
      </w:r>
      <w:r w:rsidRPr="000B25E0">
        <w:rPr>
          <w:rFonts w:ascii="Arial" w:eastAsia="宋体" w:hAnsi="Calibri" w:cs="Arial" w:hint="eastAsia"/>
          <w:b/>
          <w:sz w:val="28"/>
          <w:szCs w:val="28"/>
        </w:rPr>
        <w:t>0.5</w:t>
      </w:r>
      <w:r w:rsidRPr="000B25E0">
        <w:rPr>
          <w:rFonts w:ascii="Arial" w:eastAsia="宋体" w:hAnsi="Calibri" w:cs="Arial" w:hint="eastAsia"/>
          <w:b/>
          <w:sz w:val="28"/>
          <w:szCs w:val="28"/>
        </w:rPr>
        <w:t>学时）</w:t>
      </w:r>
    </w:p>
    <w:p w14:paraId="6EF4F8E0"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46FC8E4E"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4.1运动中常见的生理反应与处理方法</w:t>
      </w:r>
    </w:p>
    <w:p w14:paraId="61EC1396"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4.2 运动损伤的处置</w:t>
      </w:r>
    </w:p>
    <w:p w14:paraId="38B845BF"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4.3女子运动保健</w:t>
      </w:r>
    </w:p>
    <w:p w14:paraId="10588B94"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使学生了解运动中常见的生理反应及处理方法。</w:t>
      </w:r>
    </w:p>
    <w:p w14:paraId="2FEF626A" w14:textId="77777777" w:rsidR="000B25E0" w:rsidRPr="000B25E0" w:rsidRDefault="000B25E0" w:rsidP="000B25E0">
      <w:pPr>
        <w:spacing w:line="360" w:lineRule="auto"/>
        <w:ind w:firstLineChars="196" w:firstLine="472"/>
        <w:rPr>
          <w:rFonts w:ascii="Arial" w:eastAsia="宋体" w:hAnsi="Calibri" w:cs="Arial"/>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学生如何预防常见的运动损伤；运动损伤如何处置。</w:t>
      </w:r>
    </w:p>
    <w:p w14:paraId="0D9F5873" w14:textId="77777777" w:rsidR="000B25E0" w:rsidRPr="000B25E0" w:rsidRDefault="000B25E0" w:rsidP="000B25E0">
      <w:pPr>
        <w:tabs>
          <w:tab w:val="left" w:pos="960"/>
        </w:tabs>
        <w:spacing w:beforeLines="50" w:before="156" w:afterLines="50" w:after="156" w:line="360" w:lineRule="auto"/>
        <w:jc w:val="center"/>
        <w:rPr>
          <w:rFonts w:ascii="宋体" w:eastAsia="宋体" w:hAnsi="Calibri" w:cs="Arial"/>
          <w:b/>
          <w:bCs/>
          <w:sz w:val="28"/>
          <w:szCs w:val="28"/>
        </w:rPr>
      </w:pPr>
      <w:r w:rsidRPr="000B25E0">
        <w:rPr>
          <w:rFonts w:ascii="宋体" w:eastAsia="宋体" w:hAnsi="宋体" w:cs="Arial" w:hint="eastAsia"/>
          <w:b/>
          <w:bCs/>
          <w:sz w:val="28"/>
          <w:szCs w:val="28"/>
        </w:rPr>
        <w:t>第五章 了解体育文化（0.5课时）</w:t>
      </w:r>
    </w:p>
    <w:p w14:paraId="3510E262"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63C9A2B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5.1中西方体育文化比较</w:t>
      </w:r>
    </w:p>
    <w:p w14:paraId="49733904"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5.2 奥林匹克体育文化</w:t>
      </w:r>
    </w:p>
    <w:p w14:paraId="645F2AB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lastRenderedPageBreak/>
        <w:t>5.3 校园体育文化</w:t>
      </w:r>
    </w:p>
    <w:p w14:paraId="31F592C8"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本章教学目的及要求：</w:t>
      </w:r>
      <w:r w:rsidRPr="000B25E0">
        <w:rPr>
          <w:rFonts w:ascii="Arial" w:eastAsia="宋体" w:hAnsi="Calibri" w:cs="Arial" w:hint="eastAsia"/>
          <w:bCs/>
          <w:sz w:val="24"/>
          <w:szCs w:val="28"/>
        </w:rPr>
        <w:t>让学生了解东西方体育文化的差异。</w:t>
      </w:r>
    </w:p>
    <w:p w14:paraId="350CCB43"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介绍奥林匹克文化的发展</w:t>
      </w:r>
      <w:r w:rsidRPr="000B25E0">
        <w:rPr>
          <w:rFonts w:ascii="Arial" w:eastAsia="宋体" w:hAnsi="Calibri" w:cs="Arial" w:hint="eastAsia"/>
          <w:bCs/>
          <w:sz w:val="24"/>
          <w:szCs w:val="28"/>
        </w:rPr>
        <w:t>；介绍校园体育文化的发展与功能。</w:t>
      </w:r>
    </w:p>
    <w:p w14:paraId="46DEA38E" w14:textId="77777777" w:rsidR="000B25E0" w:rsidRPr="000B25E0" w:rsidRDefault="000B25E0" w:rsidP="000B25E0">
      <w:pPr>
        <w:spacing w:beforeLines="50" w:before="156" w:afterLines="50" w:after="156" w:line="360" w:lineRule="auto"/>
        <w:jc w:val="center"/>
        <w:rPr>
          <w:rFonts w:ascii="Arial" w:eastAsia="宋体" w:hAnsi="Calibri" w:cs="Arial"/>
          <w:b/>
          <w:sz w:val="28"/>
          <w:szCs w:val="28"/>
        </w:rPr>
      </w:pPr>
      <w:r w:rsidRPr="000B25E0">
        <w:rPr>
          <w:rFonts w:ascii="宋体" w:eastAsia="宋体" w:hAnsi="宋体" w:cs="宋体" w:hint="eastAsia"/>
          <w:b/>
          <w:bCs/>
          <w:sz w:val="28"/>
          <w:szCs w:val="28"/>
        </w:rPr>
        <w:t>第六章 欣赏体育比赛</w:t>
      </w:r>
      <w:r w:rsidRPr="000B25E0">
        <w:rPr>
          <w:rFonts w:ascii="Arial" w:eastAsia="宋体" w:hAnsi="Calibri" w:cs="Arial" w:hint="eastAsia"/>
          <w:b/>
          <w:sz w:val="28"/>
          <w:szCs w:val="28"/>
        </w:rPr>
        <w:t>（</w:t>
      </w:r>
      <w:r w:rsidRPr="000B25E0">
        <w:rPr>
          <w:rFonts w:ascii="Arial" w:eastAsia="宋体" w:hAnsi="Arial" w:cs="Arial" w:hint="eastAsia"/>
          <w:b/>
          <w:sz w:val="28"/>
          <w:szCs w:val="28"/>
        </w:rPr>
        <w:t>0.5</w:t>
      </w:r>
      <w:r w:rsidRPr="000B25E0">
        <w:rPr>
          <w:rFonts w:ascii="Arial" w:eastAsia="宋体" w:hAnsi="Calibri" w:cs="Arial" w:hint="eastAsia"/>
          <w:b/>
          <w:sz w:val="28"/>
          <w:szCs w:val="28"/>
        </w:rPr>
        <w:t>学时）</w:t>
      </w:r>
    </w:p>
    <w:p w14:paraId="66354CBC"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25CDB372"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6.1体育欣赏的体育美学原理及特点</w:t>
      </w:r>
    </w:p>
    <w:p w14:paraId="5F69EC83"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6.2 体育运动的欣赏内容</w:t>
      </w:r>
    </w:p>
    <w:p w14:paraId="7DA33E18"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6.3 特定运动项目的欣赏</w:t>
      </w:r>
    </w:p>
    <w:p w14:paraId="7A921D1F"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本章教学目的及要求：</w:t>
      </w:r>
      <w:r w:rsidRPr="000B25E0">
        <w:rPr>
          <w:rFonts w:ascii="Arial" w:eastAsia="宋体" w:hAnsi="Calibri" w:cs="Arial" w:hint="eastAsia"/>
          <w:bCs/>
          <w:sz w:val="24"/>
          <w:szCs w:val="28"/>
        </w:rPr>
        <w:t>使学生提高体育文化素质，培养起体育欣赏的兴趣，树立正确的体育审美观念。</w:t>
      </w:r>
    </w:p>
    <w:p w14:paraId="52741896"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如何欣赏球类比赛</w:t>
      </w:r>
      <w:r w:rsidRPr="000B25E0">
        <w:rPr>
          <w:rFonts w:ascii="Arial" w:eastAsia="宋体" w:hAnsi="Calibri" w:cs="Arial" w:hint="eastAsia"/>
          <w:bCs/>
          <w:sz w:val="24"/>
          <w:szCs w:val="28"/>
        </w:rPr>
        <w:t>；如何提高体育欣赏水平。</w:t>
      </w:r>
    </w:p>
    <w:p w14:paraId="4AE002BD"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第七章</w:t>
      </w:r>
      <w:r w:rsidRPr="000B25E0">
        <w:rPr>
          <w:rFonts w:ascii="Arial" w:eastAsia="宋体" w:hAnsi="Arial" w:cs="Arial"/>
          <w:b/>
          <w:sz w:val="28"/>
          <w:szCs w:val="28"/>
        </w:rPr>
        <w:t xml:space="preserve">   </w:t>
      </w:r>
      <w:r w:rsidRPr="000B25E0">
        <w:rPr>
          <w:rFonts w:ascii="Arial" w:eastAsia="宋体" w:hAnsi="Arial" w:cs="Arial"/>
          <w:b/>
          <w:sz w:val="28"/>
          <w:szCs w:val="28"/>
        </w:rPr>
        <w:t>大</w:t>
      </w:r>
      <w:r w:rsidRPr="000B25E0">
        <w:rPr>
          <w:rFonts w:ascii="Arial" w:eastAsia="宋体" w:hAnsi="Calibri" w:cs="Arial" w:hint="eastAsia"/>
          <w:b/>
          <w:sz w:val="28"/>
          <w:szCs w:val="28"/>
        </w:rPr>
        <w:t>学生体质健康测评（</w:t>
      </w:r>
      <w:r w:rsidRPr="000B25E0">
        <w:rPr>
          <w:rFonts w:ascii="Arial" w:eastAsia="宋体" w:hAnsi="Calibri" w:cs="Arial" w:hint="eastAsia"/>
          <w:b/>
          <w:sz w:val="28"/>
          <w:szCs w:val="28"/>
        </w:rPr>
        <w:t>4</w:t>
      </w:r>
      <w:r w:rsidRPr="000B25E0">
        <w:rPr>
          <w:rFonts w:ascii="Arial" w:eastAsia="宋体" w:hAnsi="Calibri" w:cs="Arial" w:hint="eastAsia"/>
          <w:b/>
          <w:sz w:val="28"/>
          <w:szCs w:val="28"/>
        </w:rPr>
        <w:t>学时）</w:t>
      </w:r>
    </w:p>
    <w:p w14:paraId="0ED5FB1C"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420F0A9C"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7.1 《国家学生体质健康标准》实施说明</w:t>
      </w:r>
    </w:p>
    <w:p w14:paraId="5616C74E" w14:textId="77777777" w:rsidR="000B25E0" w:rsidRPr="000B25E0" w:rsidRDefault="000B25E0" w:rsidP="000B25E0">
      <w:pPr>
        <w:autoSpaceDE w:val="0"/>
        <w:autoSpaceDN w:val="0"/>
        <w:adjustRightInd w:val="0"/>
        <w:snapToGrid w:val="0"/>
        <w:spacing w:line="500" w:lineRule="exact"/>
        <w:ind w:firstLineChars="200" w:firstLine="500"/>
        <w:jc w:val="left"/>
        <w:rPr>
          <w:rFonts w:ascii="Arial" w:eastAsia="宋体" w:hAnsi="Calibri" w:cs="Arial"/>
          <w:sz w:val="24"/>
        </w:rPr>
      </w:pPr>
      <w:r w:rsidRPr="000B25E0">
        <w:rPr>
          <w:rFonts w:ascii="宋体" w:eastAsia="宋体" w:hAnsi="Calibri" w:cs="宋体" w:hint="eastAsia"/>
          <w:spacing w:val="5"/>
          <w:kern w:val="0"/>
          <w:sz w:val="24"/>
        </w:rPr>
        <w:t>7.2 《国家学生体质健康标准》测试评分表</w:t>
      </w:r>
    </w:p>
    <w:p w14:paraId="42E8E3DC"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使学生了解体质健康的主要内容及要求。</w:t>
      </w:r>
    </w:p>
    <w:p w14:paraId="7B7A57AB" w14:textId="77777777" w:rsidR="000B25E0" w:rsidRPr="000B25E0" w:rsidRDefault="000B25E0" w:rsidP="000B25E0">
      <w:pPr>
        <w:spacing w:line="360" w:lineRule="auto"/>
        <w:ind w:firstLineChars="196" w:firstLine="472"/>
        <w:rPr>
          <w:rFonts w:ascii="Arial" w:eastAsia="宋体" w:hAnsi="Calibri" w:cs="Arial"/>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学生体质健康标准的重要性；如何激发学生锻炼身体的积极性和自觉性。</w:t>
      </w:r>
    </w:p>
    <w:p w14:paraId="1F8238C7" w14:textId="77777777" w:rsidR="000B25E0" w:rsidRPr="000B25E0" w:rsidRDefault="000B25E0" w:rsidP="000B25E0">
      <w:pPr>
        <w:spacing w:beforeLines="50" w:before="156" w:afterLines="50" w:after="156" w:line="360" w:lineRule="auto"/>
        <w:jc w:val="center"/>
        <w:rPr>
          <w:rFonts w:ascii="Arial" w:eastAsia="宋体" w:hAnsi="Calibri" w:cs="Arial"/>
          <w:b/>
          <w:sz w:val="28"/>
          <w:szCs w:val="28"/>
        </w:rPr>
      </w:pPr>
      <w:r w:rsidRPr="000B25E0">
        <w:rPr>
          <w:rFonts w:ascii="Arial" w:eastAsia="宋体" w:hAnsi="Arial" w:cs="Arial" w:hint="eastAsia"/>
          <w:b/>
          <w:sz w:val="28"/>
          <w:szCs w:val="28"/>
        </w:rPr>
        <w:t>第八章</w:t>
      </w:r>
      <w:r w:rsidRPr="000B25E0">
        <w:rPr>
          <w:rFonts w:ascii="Arial" w:eastAsia="宋体" w:hAnsi="Arial" w:cs="Arial"/>
          <w:b/>
          <w:sz w:val="28"/>
          <w:szCs w:val="28"/>
        </w:rPr>
        <w:t xml:space="preserve">  </w:t>
      </w:r>
      <w:r w:rsidRPr="000B25E0">
        <w:rPr>
          <w:rFonts w:ascii="宋体" w:eastAsia="宋体" w:hAnsi="宋体" w:cs="Arial" w:hint="eastAsia"/>
          <w:b/>
          <w:bCs/>
          <w:sz w:val="28"/>
          <w:szCs w:val="28"/>
        </w:rPr>
        <w:t>体能训练</w:t>
      </w:r>
      <w:r w:rsidRPr="000B25E0">
        <w:rPr>
          <w:rFonts w:ascii="Arial" w:eastAsia="宋体" w:hAnsi="Calibri" w:cs="Arial" w:hint="eastAsia"/>
          <w:b/>
          <w:sz w:val="28"/>
          <w:szCs w:val="28"/>
        </w:rPr>
        <w:t>（</w:t>
      </w:r>
      <w:r w:rsidRPr="000B25E0">
        <w:rPr>
          <w:rFonts w:ascii="Arial" w:eastAsia="宋体" w:hAnsi="Calibri" w:cs="Arial" w:hint="eastAsia"/>
          <w:b/>
          <w:sz w:val="28"/>
          <w:szCs w:val="28"/>
        </w:rPr>
        <w:t>13</w:t>
      </w:r>
      <w:r w:rsidRPr="000B25E0">
        <w:rPr>
          <w:rFonts w:ascii="Arial" w:eastAsia="宋体" w:hAnsi="Calibri" w:cs="Arial" w:hint="eastAsia"/>
          <w:b/>
          <w:sz w:val="28"/>
          <w:szCs w:val="28"/>
        </w:rPr>
        <w:t>学时）</w:t>
      </w:r>
    </w:p>
    <w:p w14:paraId="61C8F54B" w14:textId="77777777" w:rsidR="000B25E0" w:rsidRPr="000B25E0" w:rsidRDefault="000B25E0" w:rsidP="000B25E0">
      <w:pPr>
        <w:spacing w:line="360" w:lineRule="auto"/>
        <w:ind w:firstLineChars="196" w:firstLine="472"/>
        <w:rPr>
          <w:rFonts w:ascii="宋体" w:eastAsia="宋体" w:hAnsi="宋体" w:cs="Arial"/>
          <w:b/>
          <w:sz w:val="24"/>
        </w:rPr>
      </w:pPr>
      <w:r w:rsidRPr="000B25E0">
        <w:rPr>
          <w:rFonts w:ascii="宋体" w:eastAsia="宋体" w:hAnsi="宋体" w:cs="Arial" w:hint="eastAsia"/>
          <w:b/>
          <w:sz w:val="24"/>
        </w:rPr>
        <w:t>本章主要教学内容：</w:t>
      </w:r>
    </w:p>
    <w:p w14:paraId="757737A1"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8.1体能训练简介</w:t>
      </w:r>
    </w:p>
    <w:p w14:paraId="799DFF37"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8.2加速能力及力量训练2.柔韧能力训练</w:t>
      </w:r>
    </w:p>
    <w:p w14:paraId="3D54D831"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8.3弹跳能力及力量训练</w:t>
      </w:r>
    </w:p>
    <w:p w14:paraId="7AF6A956"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8.4灵敏能力及力量训练</w:t>
      </w:r>
    </w:p>
    <w:p w14:paraId="63CB4AC4"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lastRenderedPageBreak/>
        <w:t>8.5耐力能力及无氧训练</w:t>
      </w:r>
    </w:p>
    <w:p w14:paraId="09002B3B"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8.6弹跳能力及力量测试</w:t>
      </w:r>
    </w:p>
    <w:p w14:paraId="66872ABB"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8.7上肢（男）力量训练2.腹肌（女）力量训练</w:t>
      </w:r>
    </w:p>
    <w:p w14:paraId="6A7F3FE4"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8.8耐力能力及无氧训练</w:t>
      </w:r>
    </w:p>
    <w:p w14:paraId="2EC3069D"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8.9引体向上（男）；一分钟仰卧起坐（女）</w:t>
      </w:r>
    </w:p>
    <w:p w14:paraId="0AE18763"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8.10立定跳远测试</w:t>
      </w:r>
    </w:p>
    <w:p w14:paraId="091385FC" w14:textId="77777777" w:rsidR="000B25E0" w:rsidRPr="000B25E0" w:rsidRDefault="000B25E0" w:rsidP="000B25E0">
      <w:pPr>
        <w:spacing w:beforeLines="50" w:before="156" w:afterLines="50" w:after="156" w:line="360" w:lineRule="auto"/>
        <w:jc w:val="center"/>
        <w:rPr>
          <w:rFonts w:ascii="Arial" w:eastAsia="宋体" w:hAnsi="Calibri" w:cs="Arial"/>
          <w:b/>
          <w:sz w:val="28"/>
          <w:szCs w:val="28"/>
        </w:rPr>
      </w:pPr>
      <w:r w:rsidRPr="000B25E0">
        <w:rPr>
          <w:rFonts w:ascii="Arial" w:eastAsia="宋体" w:hAnsi="Arial" w:cs="Arial" w:hint="eastAsia"/>
          <w:b/>
          <w:sz w:val="28"/>
          <w:szCs w:val="28"/>
        </w:rPr>
        <w:t>第九章</w:t>
      </w:r>
      <w:r w:rsidRPr="000B25E0">
        <w:rPr>
          <w:rFonts w:ascii="Arial" w:eastAsia="宋体" w:hAnsi="Arial" w:cs="Arial" w:hint="eastAsia"/>
          <w:b/>
          <w:sz w:val="28"/>
          <w:szCs w:val="28"/>
        </w:rPr>
        <w:t xml:space="preserve">   </w:t>
      </w:r>
      <w:r w:rsidRPr="000B25E0">
        <w:rPr>
          <w:rFonts w:ascii="Arial" w:eastAsia="宋体" w:hAnsi="Arial" w:cs="Arial" w:hint="eastAsia"/>
          <w:b/>
          <w:sz w:val="28"/>
          <w:szCs w:val="28"/>
        </w:rPr>
        <w:t>选项</w:t>
      </w:r>
      <w:proofErr w:type="gramStart"/>
      <w:r w:rsidRPr="000B25E0">
        <w:rPr>
          <w:rFonts w:ascii="Arial" w:eastAsia="宋体" w:hAnsi="Arial" w:cs="Arial" w:hint="eastAsia"/>
          <w:b/>
          <w:sz w:val="28"/>
          <w:szCs w:val="28"/>
        </w:rPr>
        <w:t>课各项</w:t>
      </w:r>
      <w:proofErr w:type="gramEnd"/>
      <w:r w:rsidRPr="000B25E0">
        <w:rPr>
          <w:rFonts w:ascii="Arial" w:eastAsia="宋体" w:hAnsi="Arial" w:cs="Arial" w:hint="eastAsia"/>
          <w:b/>
          <w:sz w:val="28"/>
          <w:szCs w:val="28"/>
        </w:rPr>
        <w:t>目内容</w:t>
      </w:r>
      <w:r w:rsidRPr="000B25E0">
        <w:rPr>
          <w:rFonts w:ascii="Arial" w:eastAsia="宋体" w:hAnsi="Calibri" w:cs="Arial" w:hint="eastAsia"/>
          <w:b/>
          <w:sz w:val="28"/>
          <w:szCs w:val="28"/>
        </w:rPr>
        <w:t>（</w:t>
      </w:r>
      <w:r w:rsidRPr="000B25E0">
        <w:rPr>
          <w:rFonts w:ascii="Arial" w:eastAsia="宋体" w:hAnsi="Calibri" w:cs="Arial" w:hint="eastAsia"/>
          <w:b/>
          <w:sz w:val="28"/>
          <w:szCs w:val="28"/>
        </w:rPr>
        <w:t>12</w:t>
      </w:r>
      <w:r w:rsidRPr="000B25E0">
        <w:rPr>
          <w:rFonts w:ascii="Arial" w:eastAsia="宋体" w:hAnsi="Calibri" w:cs="Arial" w:hint="eastAsia"/>
          <w:b/>
          <w:sz w:val="28"/>
          <w:szCs w:val="28"/>
        </w:rPr>
        <w:t>学时）</w:t>
      </w:r>
    </w:p>
    <w:p w14:paraId="4D07BDAF" w14:textId="77777777" w:rsidR="000B25E0" w:rsidRPr="000B25E0" w:rsidRDefault="000B25E0" w:rsidP="000B25E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0B25E0">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0B25E0" w:rsidRPr="000B25E0" w14:paraId="3A95AF4C"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D04B1B3"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7821F2AC"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496797BC"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634ECD4"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76E3936"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备注 </w:t>
            </w:r>
          </w:p>
        </w:tc>
      </w:tr>
      <w:tr w:rsidR="000B25E0" w:rsidRPr="000B25E0" w14:paraId="6E08EBE5"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B72D8EB"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1FF86ED6"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散打运动概述 </w:t>
            </w:r>
          </w:p>
        </w:tc>
        <w:tc>
          <w:tcPr>
            <w:tcW w:w="1579" w:type="dxa"/>
            <w:tcBorders>
              <w:top w:val="outset" w:sz="6" w:space="0" w:color="auto"/>
              <w:left w:val="outset" w:sz="6" w:space="0" w:color="auto"/>
              <w:bottom w:val="outset" w:sz="6" w:space="0" w:color="auto"/>
              <w:right w:val="outset" w:sz="6" w:space="0" w:color="auto"/>
            </w:tcBorders>
            <w:vAlign w:val="center"/>
          </w:tcPr>
          <w:p w14:paraId="18C0DBD0"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9BD8CC2" w14:textId="77777777" w:rsidR="000B25E0" w:rsidRPr="000B25E0" w:rsidRDefault="000B25E0" w:rsidP="000B25E0">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7CDD248"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1C892090"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74EA4ED"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4F1A184D"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散打运动竞赛规则及裁判法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372313A5"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7B57A54" w14:textId="77777777" w:rsidR="000B25E0" w:rsidRPr="000B25E0" w:rsidRDefault="000B25E0" w:rsidP="000B25E0">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822DD1A"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0C205992"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3B3004A"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151EF7C5"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散打运动专项身体素质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6013EEB8" w14:textId="77777777" w:rsidR="000B25E0" w:rsidRPr="000B25E0" w:rsidRDefault="000B25E0" w:rsidP="000B25E0">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7BA04D9"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658EA46"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6CAFD099"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018FD38"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69B73C9C"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359D22C3" w14:textId="77777777" w:rsidR="000B25E0" w:rsidRPr="000B25E0" w:rsidRDefault="000B25E0" w:rsidP="000B25E0">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84B5081"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C5C5183"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3B3969DF"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FE27EC2"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1F25B803"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05111546" w14:textId="77777777" w:rsidR="000B25E0" w:rsidRPr="000B25E0" w:rsidRDefault="000B25E0" w:rsidP="000B25E0">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B69CB29"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4A3CE98" w14:textId="77777777" w:rsidR="000B25E0" w:rsidRPr="000B25E0" w:rsidRDefault="000B25E0" w:rsidP="000B25E0">
            <w:pPr>
              <w:widowControl/>
              <w:jc w:val="left"/>
              <w:rPr>
                <w:rFonts w:ascii="宋体" w:eastAsia="宋体" w:hAnsi="Calibri" w:cs="宋体"/>
                <w:spacing w:val="1"/>
                <w:kern w:val="0"/>
                <w:sz w:val="24"/>
              </w:rPr>
            </w:pPr>
          </w:p>
        </w:tc>
      </w:tr>
    </w:tbl>
    <w:p w14:paraId="249F62E2" w14:textId="77777777" w:rsidR="000B25E0" w:rsidRPr="000B25E0" w:rsidRDefault="000B25E0" w:rsidP="000B25E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0B25E0">
        <w:rPr>
          <w:rFonts w:ascii="宋体" w:eastAsia="宋体" w:hAnsi="Calibri" w:cs="宋体" w:hint="eastAsia"/>
          <w:spacing w:val="1"/>
          <w:kern w:val="0"/>
          <w:sz w:val="24"/>
        </w:rPr>
        <w:t xml:space="preserve"> 9.2理论课学时安排 </w:t>
      </w:r>
    </w:p>
    <w:tbl>
      <w:tblPr>
        <w:tblW w:w="9451"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0B25E0" w:rsidRPr="000B25E0" w14:paraId="59E2326E" w14:textId="77777777" w:rsidTr="00BF5EF3">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11A14DE6"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4362334"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BF17A00"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备注</w:t>
            </w:r>
          </w:p>
        </w:tc>
      </w:tr>
      <w:tr w:rsidR="000B25E0" w:rsidRPr="000B25E0" w14:paraId="72396ED0" w14:textId="77777777" w:rsidTr="00BF5E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5B59D65" w14:textId="77777777" w:rsidR="000B25E0" w:rsidRPr="000B25E0" w:rsidRDefault="000B25E0" w:rsidP="000B25E0">
            <w:pPr>
              <w:widowControl/>
              <w:spacing w:before="100" w:beforeAutospacing="1" w:after="100" w:afterAutospacing="1"/>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散打概述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641A10"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散打运动特点与功能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248A0A5"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747A2B2"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1F9F43D7" w14:textId="77777777" w:rsidTr="00BF5EF3">
        <w:trPr>
          <w:trHeight w:val="774"/>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205D0DD6" w14:textId="77777777" w:rsidR="000B25E0" w:rsidRPr="000B25E0" w:rsidRDefault="000B25E0" w:rsidP="000B25E0">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CE8905A"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散打的概况</w:t>
            </w:r>
          </w:p>
        </w:tc>
        <w:tc>
          <w:tcPr>
            <w:tcW w:w="2339" w:type="dxa"/>
            <w:vMerge/>
            <w:tcBorders>
              <w:top w:val="outset" w:sz="6" w:space="0" w:color="auto"/>
              <w:left w:val="outset" w:sz="6" w:space="0" w:color="auto"/>
              <w:bottom w:val="outset" w:sz="6" w:space="0" w:color="auto"/>
              <w:right w:val="outset" w:sz="6" w:space="0" w:color="auto"/>
            </w:tcBorders>
            <w:vAlign w:val="center"/>
          </w:tcPr>
          <w:p w14:paraId="70F69CB7" w14:textId="77777777" w:rsidR="000B25E0" w:rsidRPr="000B25E0" w:rsidRDefault="000B25E0" w:rsidP="000B25E0">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3FE71862"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5070E3A0" w14:textId="77777777" w:rsidTr="00BF5E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BFA5996" w14:textId="77777777" w:rsidR="000B25E0" w:rsidRPr="000B25E0" w:rsidRDefault="000B25E0" w:rsidP="000B25E0">
            <w:pPr>
              <w:widowControl/>
              <w:spacing w:before="100" w:beforeAutospacing="1" w:after="100" w:afterAutospacing="1"/>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散打规则与裁判法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E4B981A"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散打的擂台介绍</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516D14D"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7681EC2"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08968562" w14:textId="77777777" w:rsidTr="00BF5EF3">
        <w:trPr>
          <w:trHeight w:val="609"/>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15D9413A" w14:textId="77777777" w:rsidR="000B25E0" w:rsidRPr="000B25E0" w:rsidRDefault="000B25E0" w:rsidP="000B25E0">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AA80837"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计分标准 </w:t>
            </w:r>
          </w:p>
        </w:tc>
        <w:tc>
          <w:tcPr>
            <w:tcW w:w="2339" w:type="dxa"/>
            <w:vMerge/>
            <w:tcBorders>
              <w:top w:val="outset" w:sz="6" w:space="0" w:color="auto"/>
              <w:left w:val="outset" w:sz="6" w:space="0" w:color="auto"/>
              <w:bottom w:val="outset" w:sz="6" w:space="0" w:color="auto"/>
              <w:right w:val="outset" w:sz="6" w:space="0" w:color="auto"/>
            </w:tcBorders>
            <w:vAlign w:val="center"/>
          </w:tcPr>
          <w:p w14:paraId="2B4FFE06" w14:textId="77777777" w:rsidR="000B25E0" w:rsidRPr="000B25E0" w:rsidRDefault="000B25E0" w:rsidP="000B25E0">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36D0F011"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18F9C17B" w14:textId="77777777" w:rsidTr="00BF5EF3">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1187C5D7" w14:textId="77777777" w:rsidR="000B25E0" w:rsidRPr="000B25E0" w:rsidRDefault="000B25E0" w:rsidP="000B25E0">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0BD764A"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裁判分工介绍</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1F6FBCAB" w14:textId="77777777" w:rsidR="000B25E0" w:rsidRPr="000B25E0" w:rsidRDefault="000B25E0" w:rsidP="000B25E0">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1CA5A00D" w14:textId="77777777" w:rsidR="000B25E0" w:rsidRPr="000B25E0" w:rsidRDefault="000B25E0" w:rsidP="000B25E0">
            <w:pPr>
              <w:widowControl/>
              <w:jc w:val="left"/>
              <w:rPr>
                <w:rFonts w:ascii="宋体" w:eastAsia="宋体" w:hAnsi="Calibri" w:cs="宋体"/>
                <w:spacing w:val="1"/>
                <w:kern w:val="0"/>
                <w:sz w:val="24"/>
              </w:rPr>
            </w:pPr>
          </w:p>
        </w:tc>
      </w:tr>
    </w:tbl>
    <w:p w14:paraId="40804C59" w14:textId="77777777" w:rsidR="000B25E0" w:rsidRPr="000B25E0" w:rsidRDefault="000B25E0" w:rsidP="000B25E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0B25E0">
        <w:rPr>
          <w:rFonts w:ascii="宋体" w:eastAsia="宋体" w:hAnsi="Calibri" w:cs="宋体" w:hint="eastAsia"/>
          <w:spacing w:val="1"/>
          <w:kern w:val="0"/>
          <w:sz w:val="24"/>
        </w:rPr>
        <w:t xml:space="preserve">  9.3技术课学时分配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0B25E0" w:rsidRPr="000B25E0" w14:paraId="42A56F1D" w14:textId="77777777" w:rsidTr="00BF5EF3">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14FDC2CF"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62735D2"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948A317"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备注</w:t>
            </w:r>
          </w:p>
        </w:tc>
      </w:tr>
      <w:tr w:rsidR="000B25E0" w:rsidRPr="000B25E0" w14:paraId="59DDC101" w14:textId="77777777" w:rsidTr="00BF5EF3">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FA4897E"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技术</w:t>
            </w:r>
          </w:p>
          <w:p w14:paraId="463B9E6F"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839E53B"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散打的基本步法</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01C11A0"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前进、后退、躲闪、环绕</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FDD1772"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FD92E9B"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4C95131D" w14:textId="77777777" w:rsidTr="00BF5EF3">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2B423542" w14:textId="77777777" w:rsidR="000B25E0" w:rsidRPr="000B25E0" w:rsidRDefault="000B25E0" w:rsidP="000B25E0">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2601DC0D"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散打的拳腿技术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063A59B"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拳法</w:t>
            </w: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79D4FEB3"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7B3C1F98"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46C2219E" w14:textId="77777777" w:rsidTr="00BF5EF3">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0E0B13FC" w14:textId="77777777" w:rsidR="000B25E0" w:rsidRPr="000B25E0" w:rsidRDefault="000B25E0" w:rsidP="000B25E0">
            <w:pPr>
              <w:widowControl/>
              <w:jc w:val="left"/>
              <w:rPr>
                <w:rFonts w:ascii="宋体" w:eastAsia="宋体" w:hAnsi="Calibri" w:cs="宋体"/>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5A0A52DB" w14:textId="77777777" w:rsidR="000B25E0" w:rsidRPr="000B25E0" w:rsidRDefault="000B25E0" w:rsidP="000B25E0">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919911F"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腿法</w:t>
            </w: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44E12BE0" w14:textId="77777777" w:rsidR="000B25E0" w:rsidRPr="000B25E0" w:rsidRDefault="000B25E0" w:rsidP="000B25E0">
            <w:pPr>
              <w:widowControl/>
              <w:jc w:val="left"/>
              <w:rPr>
                <w:rFonts w:ascii="宋体" w:eastAsia="宋体" w:hAnsi="Calibri" w:cs="宋体"/>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0D5D1382" w14:textId="77777777" w:rsidR="000B25E0" w:rsidRPr="000B25E0" w:rsidRDefault="000B25E0" w:rsidP="000B25E0">
            <w:pPr>
              <w:widowControl/>
              <w:jc w:val="left"/>
              <w:rPr>
                <w:rFonts w:ascii="宋体" w:eastAsia="宋体" w:hAnsi="Calibri" w:cs="宋体"/>
                <w:spacing w:val="1"/>
                <w:kern w:val="0"/>
                <w:sz w:val="24"/>
              </w:rPr>
            </w:pPr>
          </w:p>
        </w:tc>
      </w:tr>
    </w:tbl>
    <w:p w14:paraId="20907780"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学习内容二 散打 1</w:t>
      </w:r>
    </w:p>
    <w:p w14:paraId="61453FD1"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lastRenderedPageBreak/>
        <w:t>【学习目标】</w:t>
      </w:r>
    </w:p>
    <w:p w14:paraId="38AE185B"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09E93653"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52D5CAC5"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散打运动的一般规律和特点，使学生获得散打运动的基本技术、基本技能和基础理论知识，并了解现代散打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6ED0BF61" w14:textId="77777777" w:rsidR="000B25E0" w:rsidRPr="000B25E0" w:rsidRDefault="000B25E0" w:rsidP="000B25E0">
      <w:pPr>
        <w:spacing w:line="440" w:lineRule="exact"/>
        <w:ind w:firstLineChars="200" w:firstLine="500"/>
        <w:rPr>
          <w:rFonts w:ascii="宋体" w:eastAsia="宋体" w:hAnsi="宋体" w:cs="Times New Roman"/>
          <w:b/>
          <w:sz w:val="24"/>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594AE7F2"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t>第一章 散打理论知识及体育健康（8学时）</w:t>
      </w:r>
    </w:p>
    <w:p w14:paraId="29B1048F" w14:textId="77777777" w:rsidR="000B25E0" w:rsidRPr="000B25E0" w:rsidRDefault="000B25E0" w:rsidP="000B25E0">
      <w:pPr>
        <w:rPr>
          <w:rFonts w:ascii="Calibri" w:eastAsia="宋体" w:hAnsi="Calibri" w:cs="Times New Roman"/>
        </w:rPr>
      </w:pPr>
    </w:p>
    <w:p w14:paraId="0708AD08"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72E2BF87" w14:textId="77777777" w:rsidR="000B25E0" w:rsidRPr="000B25E0" w:rsidRDefault="000B25E0" w:rsidP="000B25E0">
      <w:pPr>
        <w:adjustRightInd w:val="0"/>
        <w:snapToGrid w:val="0"/>
        <w:spacing w:line="500" w:lineRule="exact"/>
        <w:ind w:leftChars="228" w:left="479"/>
        <w:jc w:val="left"/>
        <w:rPr>
          <w:rFonts w:ascii="宋体" w:eastAsia="宋体" w:hAnsi="宋体" w:cs="宋体"/>
          <w:sz w:val="24"/>
        </w:rPr>
      </w:pPr>
      <w:r w:rsidRPr="000B25E0">
        <w:rPr>
          <w:rFonts w:ascii="宋体" w:eastAsia="宋体" w:hAnsi="宋体" w:cs="宋体" w:hint="eastAsia"/>
          <w:sz w:val="24"/>
        </w:rPr>
        <w:t>1.1散打运动概述</w:t>
      </w:r>
    </w:p>
    <w:p w14:paraId="7FDAA403" w14:textId="77777777" w:rsidR="000B25E0" w:rsidRPr="000B25E0" w:rsidRDefault="000B25E0" w:rsidP="000B25E0">
      <w:pPr>
        <w:autoSpaceDE w:val="0"/>
        <w:autoSpaceDN w:val="0"/>
        <w:adjustRightInd w:val="0"/>
        <w:snapToGrid w:val="0"/>
        <w:spacing w:line="500" w:lineRule="exact"/>
        <w:ind w:firstLineChars="200" w:firstLine="488"/>
        <w:rPr>
          <w:rFonts w:ascii="宋体" w:eastAsia="宋体" w:hAnsi="Calibri" w:cs="宋体"/>
          <w:color w:val="000000"/>
          <w:spacing w:val="2"/>
          <w:kern w:val="0"/>
          <w:sz w:val="24"/>
        </w:rPr>
      </w:pPr>
      <w:r w:rsidRPr="000B25E0">
        <w:rPr>
          <w:rFonts w:ascii="宋体" w:eastAsia="宋体" w:hAnsi="Calibri" w:cs="宋体" w:hint="eastAsia"/>
          <w:color w:val="000000"/>
          <w:spacing w:val="2"/>
          <w:kern w:val="0"/>
          <w:sz w:val="24"/>
        </w:rPr>
        <w:t>散打是武术动作在实战中的灵活运用，是两人依照一定的规则，以一定的武术技击动作为运动素材，进行徒手对搏的一项对抗性体育竞赛项目。散打是散手的俗称，古称相搏、白打、拍张、手战等，由于徒手相搏相角的运动形式在台上进行，</w:t>
      </w:r>
      <w:r w:rsidRPr="000B25E0">
        <w:rPr>
          <w:rFonts w:ascii="宋体" w:eastAsia="宋体" w:hAnsi="Calibri" w:cs="宋体" w:hint="eastAsia"/>
          <w:color w:val="000000"/>
          <w:spacing w:val="2"/>
          <w:kern w:val="0"/>
          <w:sz w:val="24"/>
        </w:rPr>
        <w:lastRenderedPageBreak/>
        <w:t>又称“打擂台”。</w:t>
      </w:r>
    </w:p>
    <w:p w14:paraId="01D2FE9B"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1.2散打竞赛规则，散打裁判法。</w:t>
      </w:r>
    </w:p>
    <w:p w14:paraId="167E28FF" w14:textId="77777777" w:rsidR="000B25E0" w:rsidRPr="000B25E0" w:rsidRDefault="000B25E0" w:rsidP="000B25E0">
      <w:pPr>
        <w:adjustRightInd w:val="0"/>
        <w:snapToGrid w:val="0"/>
        <w:spacing w:line="500" w:lineRule="exact"/>
        <w:ind w:leftChars="228" w:left="479"/>
        <w:jc w:val="left"/>
        <w:rPr>
          <w:rFonts w:ascii="宋体" w:eastAsia="宋体" w:hAnsi="宋体" w:cs="宋体"/>
          <w:b/>
          <w:bCs/>
          <w:sz w:val="24"/>
        </w:rPr>
      </w:pPr>
      <w:r w:rsidRPr="000B25E0">
        <w:rPr>
          <w:rFonts w:ascii="宋体" w:eastAsia="宋体" w:hAnsi="宋体" w:cs="宋体" w:hint="eastAsia"/>
          <w:sz w:val="24"/>
        </w:rPr>
        <w:t>1.3《体育与健康》健身方法与常识。</w:t>
      </w:r>
      <w:r w:rsidRPr="000B25E0">
        <w:rPr>
          <w:rFonts w:ascii="宋体" w:eastAsia="宋体" w:hAnsi="宋体" w:cs="宋体" w:hint="eastAsia"/>
          <w:sz w:val="24"/>
        </w:rPr>
        <w:br/>
      </w:r>
      <w:r w:rsidRPr="000B25E0">
        <w:rPr>
          <w:rFonts w:ascii="宋体" w:eastAsia="宋体" w:hAnsi="宋体" w:cs="宋体" w:hint="eastAsia"/>
          <w:b/>
          <w:bCs/>
          <w:sz w:val="24"/>
        </w:rPr>
        <w:t>本章教学目的及要求：</w:t>
      </w:r>
    </w:p>
    <w:p w14:paraId="00F78A52" w14:textId="77777777" w:rsidR="000B25E0" w:rsidRPr="000B25E0" w:rsidRDefault="000B25E0" w:rsidP="000B25E0">
      <w:pPr>
        <w:autoSpaceDE w:val="0"/>
        <w:autoSpaceDN w:val="0"/>
        <w:adjustRightInd w:val="0"/>
        <w:snapToGrid w:val="0"/>
        <w:spacing w:line="500" w:lineRule="exact"/>
        <w:ind w:firstLineChars="200" w:firstLine="508"/>
        <w:rPr>
          <w:rFonts w:ascii="宋体" w:eastAsia="宋体" w:hAnsi="Calibri" w:cs="宋体"/>
          <w:color w:val="000000"/>
          <w:spacing w:val="7"/>
          <w:kern w:val="0"/>
          <w:sz w:val="24"/>
        </w:rPr>
      </w:pPr>
      <w:r w:rsidRPr="000B25E0">
        <w:rPr>
          <w:rFonts w:ascii="宋体" w:eastAsia="宋体" w:hAnsi="Calibri" w:cs="宋体" w:hint="eastAsia"/>
          <w:color w:val="000000"/>
          <w:spacing w:val="7"/>
          <w:kern w:val="0"/>
          <w:sz w:val="24"/>
        </w:rPr>
        <w:t>散打拳法、腿法和摔法技术，掌握正确的动作要领。掌握散打的运行规律，领悟其技击原理，并能合理运用于实战。发展专项素质，提高专项动作质量。</w:t>
      </w:r>
      <w:r w:rsidRPr="000B25E0">
        <w:rPr>
          <w:rFonts w:ascii="Calibri" w:eastAsia="宋体" w:hAnsi="Calibri" w:cs="Times New Roman" w:hint="eastAsia"/>
          <w:sz w:val="24"/>
        </w:rPr>
        <w:br/>
        <w:t xml:space="preserve">   </w:t>
      </w:r>
      <w:r w:rsidRPr="000B25E0">
        <w:rPr>
          <w:rFonts w:ascii="Calibri" w:eastAsia="宋体" w:hAnsi="Calibri" w:cs="Times New Roman" w:hint="eastAsia"/>
          <w:b/>
          <w:bCs/>
          <w:sz w:val="24"/>
        </w:rPr>
        <w:t>本章教学重点及难点：</w:t>
      </w:r>
      <w:r w:rsidRPr="000B25E0">
        <w:rPr>
          <w:rFonts w:ascii="宋体" w:eastAsia="宋体" w:hAnsi="Calibri" w:cs="宋体" w:hint="eastAsia"/>
          <w:color w:val="000000"/>
          <w:spacing w:val="7"/>
          <w:kern w:val="0"/>
          <w:sz w:val="24"/>
        </w:rPr>
        <w:t>散打基本素质的柔韧性练习；对散打基本动作的合理运用程度。</w:t>
      </w:r>
    </w:p>
    <w:p w14:paraId="33822170" w14:textId="77777777" w:rsidR="000B25E0" w:rsidRPr="000B25E0" w:rsidRDefault="000B25E0" w:rsidP="000B25E0">
      <w:pPr>
        <w:autoSpaceDE w:val="0"/>
        <w:autoSpaceDN w:val="0"/>
        <w:adjustRightInd w:val="0"/>
        <w:snapToGrid w:val="0"/>
        <w:spacing w:line="500" w:lineRule="exact"/>
        <w:ind w:firstLineChars="200" w:firstLine="480"/>
        <w:rPr>
          <w:rFonts w:ascii="Calibri" w:eastAsia="宋体" w:hAnsi="Calibri" w:cs="Times New Roman"/>
          <w:sz w:val="24"/>
        </w:rPr>
      </w:pPr>
    </w:p>
    <w:p w14:paraId="2249A1A1" w14:textId="77777777" w:rsidR="000B25E0" w:rsidRPr="000B25E0" w:rsidRDefault="000B25E0" w:rsidP="000B25E0">
      <w:pPr>
        <w:adjustRightInd w:val="0"/>
        <w:snapToGrid w:val="0"/>
        <w:spacing w:beforeLines="50" w:before="156" w:afterLines="50" w:after="156" w:line="500" w:lineRule="exact"/>
        <w:ind w:firstLineChars="200" w:firstLine="562"/>
        <w:jc w:val="center"/>
        <w:rPr>
          <w:rFonts w:ascii="宋体" w:eastAsia="宋体" w:hAnsi="宋体" w:cs="Times New Roman"/>
          <w:b/>
          <w:sz w:val="28"/>
          <w:szCs w:val="28"/>
        </w:rPr>
      </w:pPr>
      <w:r w:rsidRPr="000B25E0">
        <w:rPr>
          <w:rFonts w:ascii="宋体" w:eastAsia="宋体" w:hAnsi="宋体" w:cs="Times New Roman" w:hint="eastAsia"/>
          <w:b/>
          <w:sz w:val="28"/>
          <w:szCs w:val="28"/>
        </w:rPr>
        <w:t>第二章 散打基本技术与战术  （20学时）</w:t>
      </w:r>
    </w:p>
    <w:p w14:paraId="7DCA5797"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568F49F5"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2.1 散打的实战式、基本步法</w:t>
      </w:r>
    </w:p>
    <w:p w14:paraId="5215153E"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2.2 散打的前直拳动作技术</w:t>
      </w:r>
    </w:p>
    <w:p w14:paraId="0DDCD22E"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2.3 散打的后直拳动作技术</w:t>
      </w:r>
    </w:p>
    <w:p w14:paraId="6B77DC57"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2.4 散打的前摆</w:t>
      </w:r>
      <w:proofErr w:type="gramStart"/>
      <w:r w:rsidRPr="000B25E0">
        <w:rPr>
          <w:rFonts w:ascii="宋体" w:eastAsia="宋体" w:hAnsi="宋体" w:cs="Times New Roman" w:hint="eastAsia"/>
          <w:sz w:val="24"/>
        </w:rPr>
        <w:t>拳动作</w:t>
      </w:r>
      <w:proofErr w:type="gramEnd"/>
      <w:r w:rsidRPr="000B25E0">
        <w:rPr>
          <w:rFonts w:ascii="宋体" w:eastAsia="宋体" w:hAnsi="宋体" w:cs="Times New Roman" w:hint="eastAsia"/>
          <w:sz w:val="24"/>
        </w:rPr>
        <w:t>技术</w:t>
      </w:r>
    </w:p>
    <w:p w14:paraId="704CE732"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2.5 散打的后摆</w:t>
      </w:r>
      <w:proofErr w:type="gramStart"/>
      <w:r w:rsidRPr="000B25E0">
        <w:rPr>
          <w:rFonts w:ascii="宋体" w:eastAsia="宋体" w:hAnsi="宋体" w:cs="Times New Roman" w:hint="eastAsia"/>
          <w:sz w:val="24"/>
        </w:rPr>
        <w:t>拳动作</w:t>
      </w:r>
      <w:proofErr w:type="gramEnd"/>
      <w:r w:rsidRPr="000B25E0">
        <w:rPr>
          <w:rFonts w:ascii="宋体" w:eastAsia="宋体" w:hAnsi="宋体" w:cs="Times New Roman" w:hint="eastAsia"/>
          <w:sz w:val="24"/>
        </w:rPr>
        <w:t>技术</w:t>
      </w:r>
    </w:p>
    <w:p w14:paraId="514E5117"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2.6 散打的勾拳动作技术</w:t>
      </w:r>
    </w:p>
    <w:p w14:paraId="4489B6CC"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2.7 散打的两次</w:t>
      </w:r>
      <w:proofErr w:type="gramStart"/>
      <w:r w:rsidRPr="000B25E0">
        <w:rPr>
          <w:rFonts w:ascii="宋体" w:eastAsia="宋体" w:hAnsi="宋体" w:cs="Times New Roman" w:hint="eastAsia"/>
          <w:sz w:val="24"/>
        </w:rPr>
        <w:t>拳动作</w:t>
      </w:r>
      <w:proofErr w:type="gramEnd"/>
      <w:r w:rsidRPr="000B25E0">
        <w:rPr>
          <w:rFonts w:ascii="宋体" w:eastAsia="宋体" w:hAnsi="宋体" w:cs="Times New Roman" w:hint="eastAsia"/>
          <w:sz w:val="24"/>
        </w:rPr>
        <w:t>组合</w:t>
      </w:r>
    </w:p>
    <w:p w14:paraId="723688F9"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2.8  散打的三次</w:t>
      </w:r>
      <w:proofErr w:type="gramStart"/>
      <w:r w:rsidRPr="000B25E0">
        <w:rPr>
          <w:rFonts w:ascii="宋体" w:eastAsia="宋体" w:hAnsi="宋体" w:cs="Times New Roman" w:hint="eastAsia"/>
          <w:sz w:val="24"/>
        </w:rPr>
        <w:t>拳动作</w:t>
      </w:r>
      <w:proofErr w:type="gramEnd"/>
      <w:r w:rsidRPr="000B25E0">
        <w:rPr>
          <w:rFonts w:ascii="宋体" w:eastAsia="宋体" w:hAnsi="宋体" w:cs="Times New Roman" w:hint="eastAsia"/>
          <w:sz w:val="24"/>
        </w:rPr>
        <w:t>组合</w:t>
      </w:r>
    </w:p>
    <w:p w14:paraId="3131A2A2"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2.9  散打的四次</w:t>
      </w:r>
      <w:proofErr w:type="gramStart"/>
      <w:r w:rsidRPr="000B25E0">
        <w:rPr>
          <w:rFonts w:ascii="宋体" w:eastAsia="宋体" w:hAnsi="宋体" w:cs="Times New Roman" w:hint="eastAsia"/>
          <w:sz w:val="24"/>
        </w:rPr>
        <w:t>拳动作</w:t>
      </w:r>
      <w:proofErr w:type="gramEnd"/>
      <w:r w:rsidRPr="000B25E0">
        <w:rPr>
          <w:rFonts w:ascii="宋体" w:eastAsia="宋体" w:hAnsi="宋体" w:cs="Times New Roman" w:hint="eastAsia"/>
          <w:sz w:val="24"/>
        </w:rPr>
        <w:t>组合</w:t>
      </w:r>
    </w:p>
    <w:p w14:paraId="5838E329"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2.10 散打的</w:t>
      </w:r>
      <w:proofErr w:type="gramStart"/>
      <w:r w:rsidRPr="000B25E0">
        <w:rPr>
          <w:rFonts w:ascii="宋体" w:eastAsia="宋体" w:hAnsi="宋体" w:cs="Times New Roman" w:hint="eastAsia"/>
          <w:sz w:val="24"/>
        </w:rPr>
        <w:t>后鞭腿动作</w:t>
      </w:r>
      <w:proofErr w:type="gramEnd"/>
    </w:p>
    <w:p w14:paraId="196F9295"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2.11 散打的</w:t>
      </w:r>
      <w:proofErr w:type="gramStart"/>
      <w:r w:rsidRPr="000B25E0">
        <w:rPr>
          <w:rFonts w:ascii="宋体" w:eastAsia="宋体" w:hAnsi="宋体" w:cs="Times New Roman" w:hint="eastAsia"/>
          <w:sz w:val="24"/>
        </w:rPr>
        <w:t>前鞭腿动作</w:t>
      </w:r>
      <w:proofErr w:type="gramEnd"/>
    </w:p>
    <w:p w14:paraId="68572D2D"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2.12 散打的侧踹腿动作</w:t>
      </w:r>
    </w:p>
    <w:p w14:paraId="736D0963"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2.13 散打的腿法组合动作</w:t>
      </w:r>
    </w:p>
    <w:p w14:paraId="390E0656"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2.14 散打的拳腿组合动作</w:t>
      </w:r>
    </w:p>
    <w:p w14:paraId="6A15F651"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2.15 散打的摔法动作</w:t>
      </w:r>
    </w:p>
    <w:p w14:paraId="679782E6"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lastRenderedPageBreak/>
        <w:t>2.16 散打拳</w:t>
      </w:r>
      <w:proofErr w:type="gramStart"/>
      <w:r w:rsidRPr="000B25E0">
        <w:rPr>
          <w:rFonts w:ascii="宋体" w:eastAsia="宋体" w:hAnsi="宋体" w:cs="Times New Roman" w:hint="eastAsia"/>
          <w:sz w:val="24"/>
        </w:rPr>
        <w:t>腿摔组动作</w:t>
      </w:r>
      <w:proofErr w:type="gramEnd"/>
    </w:p>
    <w:p w14:paraId="3A85ACF6"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bCs/>
          <w:sz w:val="24"/>
        </w:rPr>
        <w:t>教学目的及要求：</w:t>
      </w:r>
      <w:r w:rsidRPr="000B25E0">
        <w:rPr>
          <w:rFonts w:ascii="Calibri" w:eastAsia="宋体" w:hAnsi="Calibri" w:cs="Times New Roman" w:hint="eastAsia"/>
          <w:sz w:val="24"/>
        </w:rPr>
        <w:t>使学生基本掌握散打基本技术及实际应用；提高学生身体灵活性、协调性及快速反映与移动意识。</w:t>
      </w:r>
    </w:p>
    <w:p w14:paraId="3549396D"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bCs/>
          <w:sz w:val="24"/>
        </w:rPr>
        <w:t>教学重点及难点：</w:t>
      </w:r>
      <w:r w:rsidRPr="000B25E0">
        <w:rPr>
          <w:rFonts w:ascii="Calibri" w:eastAsia="宋体" w:hAnsi="Calibri" w:cs="Times New Roman" w:hint="eastAsia"/>
          <w:sz w:val="24"/>
        </w:rPr>
        <w:t>正确掌握散打基本技术并合理使用；培养学生快速反应与动作意识。</w:t>
      </w:r>
    </w:p>
    <w:p w14:paraId="552CDF31" w14:textId="77777777" w:rsidR="000B25E0" w:rsidRPr="000B25E0" w:rsidRDefault="000B25E0" w:rsidP="000B25E0">
      <w:pPr>
        <w:adjustRightInd w:val="0"/>
        <w:snapToGrid w:val="0"/>
        <w:spacing w:line="500" w:lineRule="exact"/>
        <w:ind w:firstLineChars="200" w:firstLine="562"/>
        <w:jc w:val="center"/>
        <w:rPr>
          <w:rFonts w:ascii="宋体" w:eastAsia="宋体" w:hAnsi="宋体" w:cs="Times New Roman"/>
          <w:b/>
          <w:sz w:val="28"/>
          <w:szCs w:val="28"/>
        </w:rPr>
      </w:pPr>
      <w:r w:rsidRPr="000B25E0">
        <w:rPr>
          <w:rFonts w:ascii="宋体" w:eastAsia="宋体" w:hAnsi="宋体" w:cs="Times New Roman" w:hint="eastAsia"/>
          <w:b/>
          <w:sz w:val="28"/>
          <w:szCs w:val="28"/>
        </w:rPr>
        <w:t>第三章  散打教学活动的组织与管理 （4学时）</w:t>
      </w:r>
    </w:p>
    <w:p w14:paraId="357B376A"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5309A477"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3.1</w:t>
      </w:r>
      <w:r w:rsidRPr="000B25E0">
        <w:rPr>
          <w:rFonts w:ascii="Calibri" w:eastAsia="宋体" w:hAnsi="Calibri" w:cs="Times New Roman"/>
          <w:sz w:val="24"/>
        </w:rPr>
        <w:t>裁判实习</w:t>
      </w:r>
      <w:r w:rsidRPr="000B25E0">
        <w:rPr>
          <w:rFonts w:ascii="Calibri" w:eastAsia="宋体" w:hAnsi="Calibri" w:cs="Times New Roman" w:hint="eastAsia"/>
          <w:sz w:val="24"/>
        </w:rPr>
        <w:t>及</w:t>
      </w:r>
      <w:r w:rsidRPr="000B25E0">
        <w:rPr>
          <w:rFonts w:ascii="Calibri" w:eastAsia="宋体" w:hAnsi="Calibri" w:cs="Times New Roman"/>
          <w:sz w:val="24"/>
        </w:rPr>
        <w:t>教学比赛</w:t>
      </w:r>
    </w:p>
    <w:p w14:paraId="33F74398"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3.2</w:t>
      </w:r>
      <w:r w:rsidRPr="000B25E0">
        <w:rPr>
          <w:rFonts w:ascii="Calibri" w:eastAsia="宋体" w:hAnsi="Calibri" w:cs="Times New Roman" w:hint="eastAsia"/>
          <w:sz w:val="24"/>
        </w:rPr>
        <w:t>期末考试</w:t>
      </w:r>
    </w:p>
    <w:p w14:paraId="2FE8FA4F"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bCs/>
          <w:sz w:val="24"/>
        </w:rPr>
        <w:t>本章教学目的及要求：</w:t>
      </w:r>
      <w:r w:rsidRPr="000B25E0">
        <w:rPr>
          <w:rFonts w:ascii="Calibri" w:eastAsia="宋体" w:hAnsi="Calibri" w:cs="Times New Roman" w:hint="eastAsia"/>
          <w:sz w:val="24"/>
        </w:rPr>
        <w:t>了解与掌握散打竞赛规则与裁判法的主要内容对于开展散打活动，搞好散打竞赛具有重要意义。</w:t>
      </w:r>
    </w:p>
    <w:p w14:paraId="17D7653E"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bCs/>
          <w:sz w:val="24"/>
        </w:rPr>
        <w:t>本章教学重点及难点：</w:t>
      </w:r>
      <w:r w:rsidRPr="000B25E0">
        <w:rPr>
          <w:rFonts w:ascii="Calibri" w:eastAsia="宋体" w:hAnsi="Calibri" w:cs="Times New Roman" w:hint="eastAsia"/>
          <w:sz w:val="24"/>
        </w:rPr>
        <w:t>提高散打基本技术并合理使用，了解散打裁判规则。</w:t>
      </w:r>
    </w:p>
    <w:p w14:paraId="3D53CC5F"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学习内容三 散打 2</w:t>
      </w:r>
    </w:p>
    <w:p w14:paraId="52D431FA"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318E1904"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33627616"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6358F658"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使学生能够掌握散打运动的一般规律和特点，使学生获得散打运动的基本技术、基本技能和基础理论知识，并了解现代散打的发展趋势。以运动和身体练习为基</w:t>
      </w:r>
      <w:r w:rsidRPr="000B25E0">
        <w:rPr>
          <w:rFonts w:ascii="宋体" w:eastAsia="宋体" w:hAnsi="宋体" w:cs="仿宋_GB2312" w:hint="eastAsia"/>
          <w:sz w:val="24"/>
        </w:rPr>
        <w:lastRenderedPageBreak/>
        <w:t>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66EF6B54" w14:textId="77777777" w:rsidR="000B25E0" w:rsidRPr="000B25E0" w:rsidRDefault="000B25E0" w:rsidP="000B25E0">
      <w:pPr>
        <w:spacing w:line="440" w:lineRule="exact"/>
        <w:ind w:firstLineChars="200" w:firstLine="500"/>
        <w:rPr>
          <w:rFonts w:ascii="宋体" w:eastAsia="宋体" w:hAnsi="宋体" w:cs="Times New Roman"/>
          <w:b/>
          <w:sz w:val="24"/>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09F55BCC" w14:textId="77777777" w:rsidR="000B25E0" w:rsidRPr="000B25E0" w:rsidRDefault="000B25E0" w:rsidP="000B25E0">
      <w:pPr>
        <w:adjustRightInd w:val="0"/>
        <w:snapToGrid w:val="0"/>
        <w:spacing w:beforeLines="50" w:before="156" w:afterLines="50" w:after="156" w:line="500" w:lineRule="exact"/>
        <w:jc w:val="center"/>
        <w:rPr>
          <w:rFonts w:ascii="Calibri" w:eastAsia="宋体" w:hAnsi="Calibri" w:cs="Times New Roman"/>
        </w:rPr>
      </w:pPr>
      <w:r w:rsidRPr="000B25E0">
        <w:rPr>
          <w:rFonts w:ascii="宋体" w:eastAsia="宋体" w:hAnsi="宋体" w:cs="Times New Roman" w:hint="eastAsia"/>
          <w:b/>
          <w:sz w:val="28"/>
          <w:szCs w:val="28"/>
        </w:rPr>
        <w:t>第一章  散打理论知识及体育健康（2学时）</w:t>
      </w:r>
    </w:p>
    <w:p w14:paraId="24CF5244"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4093B42C" w14:textId="77777777" w:rsidR="000B25E0" w:rsidRPr="000B25E0" w:rsidRDefault="000B25E0" w:rsidP="000B25E0">
      <w:pPr>
        <w:adjustRightInd w:val="0"/>
        <w:snapToGrid w:val="0"/>
        <w:spacing w:line="500" w:lineRule="exact"/>
        <w:ind w:firstLineChars="200" w:firstLine="480"/>
        <w:jc w:val="left"/>
        <w:rPr>
          <w:rFonts w:ascii="宋体" w:eastAsia="宋体" w:hAnsi="宋体" w:cs="宋体"/>
          <w:sz w:val="24"/>
        </w:rPr>
      </w:pPr>
      <w:r w:rsidRPr="000B25E0">
        <w:rPr>
          <w:rFonts w:ascii="宋体" w:eastAsia="宋体" w:hAnsi="宋体" w:cs="宋体" w:hint="eastAsia"/>
          <w:sz w:val="24"/>
        </w:rPr>
        <w:t xml:space="preserve">1.1散打运动概述 </w:t>
      </w:r>
      <w:r w:rsidRPr="000B25E0">
        <w:rPr>
          <w:rFonts w:ascii="宋体" w:eastAsia="宋体" w:hAnsi="宋体" w:cs="宋体" w:hint="eastAsia"/>
          <w:sz w:val="24"/>
        </w:rPr>
        <w:br/>
        <w:t>散打运动起源，现代散打运动发展规律，我国散打运动发展概况，散打运动的锻炼价值。</w:t>
      </w:r>
    </w:p>
    <w:p w14:paraId="7D73E209"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1.2散打竞赛规则与裁判法</w:t>
      </w:r>
    </w:p>
    <w:p w14:paraId="61B35C3E"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散打竞赛规则，散打裁判法。</w:t>
      </w:r>
    </w:p>
    <w:p w14:paraId="38E6A2CC"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1.3《体育与健康》</w:t>
      </w:r>
    </w:p>
    <w:p w14:paraId="030031A6" w14:textId="77777777" w:rsidR="000B25E0" w:rsidRPr="000B25E0" w:rsidRDefault="000B25E0" w:rsidP="000B25E0">
      <w:pPr>
        <w:adjustRightInd w:val="0"/>
        <w:snapToGrid w:val="0"/>
        <w:spacing w:line="500" w:lineRule="exact"/>
        <w:ind w:firstLineChars="200" w:firstLine="480"/>
        <w:jc w:val="left"/>
        <w:rPr>
          <w:rFonts w:ascii="Calibri" w:eastAsia="宋体" w:hAnsi="Calibri" w:cs="Times New Roman"/>
          <w:sz w:val="24"/>
        </w:rPr>
      </w:pPr>
      <w:r w:rsidRPr="000B25E0">
        <w:rPr>
          <w:rFonts w:ascii="宋体" w:eastAsia="宋体" w:hAnsi="宋体" w:cs="宋体" w:hint="eastAsia"/>
          <w:sz w:val="24"/>
        </w:rPr>
        <w:t>健身方法与常识。</w:t>
      </w:r>
      <w:r w:rsidRPr="000B25E0">
        <w:rPr>
          <w:rFonts w:ascii="宋体" w:eastAsia="宋体" w:hAnsi="宋体" w:cs="宋体" w:hint="eastAsia"/>
          <w:sz w:val="24"/>
        </w:rPr>
        <w:br/>
        <w:t>本章教学目的及要求：了解散打运动起源，了解现代散打运动发展规律，了解我国散打运动发展概况，明确散打运动的锻炼价值。明确散打竞赛规则，明确散打裁判法。</w:t>
      </w:r>
      <w:r w:rsidRPr="000B25E0">
        <w:rPr>
          <w:rFonts w:ascii="宋体" w:eastAsia="宋体" w:hAnsi="宋体" w:cs="宋体" w:hint="eastAsia"/>
          <w:sz w:val="24"/>
        </w:rPr>
        <w:br/>
        <w:t>本章教学重点及难点：我国散打运动发展概况，我国散打运动发展趋势。散打竞赛规则，违例及其罚则。</w:t>
      </w:r>
    </w:p>
    <w:p w14:paraId="397D4FFF"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t>第二章  散打基本技术与战术  （20学时）</w:t>
      </w:r>
    </w:p>
    <w:p w14:paraId="1772C74D"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2954A167"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2．1散打正面进攻战术</w:t>
      </w:r>
    </w:p>
    <w:p w14:paraId="2EC0AA63"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2．2散打防守战术</w:t>
      </w:r>
    </w:p>
    <w:p w14:paraId="305553C2"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教学目的及要求：使学生基本掌握散打基本技术及实际应用；提高学生身体灵活</w:t>
      </w:r>
      <w:r w:rsidRPr="000B25E0">
        <w:rPr>
          <w:rFonts w:ascii="宋体" w:eastAsia="宋体" w:hAnsi="宋体" w:cs="宋体" w:hint="eastAsia"/>
          <w:sz w:val="24"/>
        </w:rPr>
        <w:lastRenderedPageBreak/>
        <w:t>性、协调性及快速反映与移动意识。</w:t>
      </w:r>
    </w:p>
    <w:p w14:paraId="547B115E"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教学重点及难点：正确掌握散打基本技术并合理使用；培养学生快速反应与快速意识。</w:t>
      </w:r>
    </w:p>
    <w:p w14:paraId="10561F77" w14:textId="77777777" w:rsidR="000B25E0" w:rsidRPr="000B25E0" w:rsidRDefault="000B25E0" w:rsidP="000B25E0">
      <w:pPr>
        <w:adjustRightInd w:val="0"/>
        <w:snapToGrid w:val="0"/>
        <w:spacing w:line="500" w:lineRule="exact"/>
        <w:ind w:firstLineChars="200" w:firstLine="562"/>
        <w:jc w:val="center"/>
        <w:rPr>
          <w:rFonts w:ascii="宋体" w:eastAsia="宋体" w:hAnsi="宋体" w:cs="Times New Roman"/>
          <w:b/>
          <w:sz w:val="28"/>
          <w:szCs w:val="28"/>
        </w:rPr>
      </w:pPr>
      <w:r w:rsidRPr="000B25E0">
        <w:rPr>
          <w:rFonts w:ascii="宋体" w:eastAsia="宋体" w:hAnsi="宋体" w:cs="Times New Roman" w:hint="eastAsia"/>
          <w:b/>
          <w:sz w:val="28"/>
          <w:szCs w:val="28"/>
        </w:rPr>
        <w:t>第三章  散打教学活动的组织与管理 （6学时）</w:t>
      </w:r>
    </w:p>
    <w:p w14:paraId="5301C350" w14:textId="77777777" w:rsidR="000B25E0" w:rsidRPr="000B25E0" w:rsidRDefault="000B25E0" w:rsidP="000B25E0">
      <w:pPr>
        <w:adjustRightInd w:val="0"/>
        <w:snapToGrid w:val="0"/>
        <w:spacing w:line="500" w:lineRule="exact"/>
        <w:ind w:firstLineChars="196" w:firstLine="472"/>
        <w:rPr>
          <w:rFonts w:ascii="Calibri" w:eastAsia="宋体" w:hAnsi="Calibri" w:cs="Times New Roman"/>
          <w:b/>
          <w:sz w:val="24"/>
        </w:rPr>
      </w:pPr>
      <w:r w:rsidRPr="000B25E0">
        <w:rPr>
          <w:rFonts w:ascii="Calibri" w:eastAsia="宋体" w:hAnsi="Calibri" w:cs="Times New Roman"/>
          <w:b/>
          <w:sz w:val="24"/>
        </w:rPr>
        <w:t>本章主要教学内容：</w:t>
      </w:r>
    </w:p>
    <w:p w14:paraId="05AEBEEA"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3.1裁判实习及教学比赛</w:t>
      </w:r>
    </w:p>
    <w:p w14:paraId="1BDECB3C"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3.2期末考试</w:t>
      </w:r>
    </w:p>
    <w:p w14:paraId="4D27876D"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本章教学目的及要求：了解与掌握散打竞赛规则与裁判法的主要内容对于开展散打活动，搞好散打竞赛具有重要意义。</w:t>
      </w:r>
    </w:p>
    <w:p w14:paraId="00833725"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本章教学重点及难点：提高散打基本技术并合理使用，了解散打裁判规则。</w:t>
      </w:r>
    </w:p>
    <w:p w14:paraId="44E7320D" w14:textId="77777777" w:rsidR="000B25E0" w:rsidRPr="000B25E0" w:rsidRDefault="000B25E0" w:rsidP="000B25E0">
      <w:pPr>
        <w:adjustRightInd w:val="0"/>
        <w:snapToGrid w:val="0"/>
        <w:spacing w:beforeLines="50" w:before="156" w:afterLines="50" w:after="156" w:line="500" w:lineRule="exact"/>
        <w:jc w:val="center"/>
        <w:rPr>
          <w:rFonts w:ascii="Arial" w:eastAsia="宋体" w:hAnsi="Arial" w:cs="Arial"/>
          <w:b/>
          <w:sz w:val="28"/>
          <w:szCs w:val="28"/>
        </w:rPr>
      </w:pPr>
      <w:r w:rsidRPr="000B25E0">
        <w:rPr>
          <w:rFonts w:ascii="Calibri" w:eastAsia="宋体" w:hAnsi="Calibri" w:cs="Times New Roman" w:hint="eastAsia"/>
          <w:b/>
          <w:sz w:val="28"/>
          <w:szCs w:val="28"/>
        </w:rPr>
        <w:t>第四章</w:t>
      </w:r>
      <w:r w:rsidRPr="000B25E0">
        <w:rPr>
          <w:rFonts w:ascii="Calibri" w:eastAsia="宋体" w:hAnsi="Calibri" w:cs="Times New Roman" w:hint="eastAsia"/>
          <w:b/>
          <w:sz w:val="28"/>
          <w:szCs w:val="28"/>
        </w:rPr>
        <w:t xml:space="preserve">  </w:t>
      </w:r>
      <w:r w:rsidRPr="000B25E0">
        <w:rPr>
          <w:rFonts w:ascii="Arial" w:eastAsia="宋体" w:hAnsi="Calibri" w:cs="Arial" w:hint="eastAsia"/>
          <w:b/>
          <w:sz w:val="28"/>
          <w:szCs w:val="28"/>
        </w:rPr>
        <w:t>体质健康测评（</w:t>
      </w:r>
      <w:r w:rsidRPr="000B25E0">
        <w:rPr>
          <w:rFonts w:ascii="Arial" w:eastAsia="宋体" w:hAnsi="Calibri" w:cs="Arial" w:hint="eastAsia"/>
          <w:b/>
          <w:sz w:val="28"/>
          <w:szCs w:val="28"/>
        </w:rPr>
        <w:t>4</w:t>
      </w:r>
      <w:r w:rsidRPr="000B25E0">
        <w:rPr>
          <w:rFonts w:ascii="Arial" w:eastAsia="宋体" w:hAnsi="Calibri" w:cs="Arial" w:hint="eastAsia"/>
          <w:b/>
          <w:sz w:val="28"/>
          <w:szCs w:val="28"/>
        </w:rPr>
        <w:t>学时）</w:t>
      </w:r>
    </w:p>
    <w:p w14:paraId="7477EB9F"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37972255"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4.1 《国家学生体质健康标准》实施说明</w:t>
      </w:r>
    </w:p>
    <w:p w14:paraId="3C0CDC3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4.2 《国家学生体质健康标准》测试评分表</w:t>
      </w:r>
    </w:p>
    <w:p w14:paraId="5467F7F3"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使学生了解体质健康的主要内容及要求。</w:t>
      </w:r>
    </w:p>
    <w:p w14:paraId="33A00F4D" w14:textId="77777777" w:rsidR="000B25E0" w:rsidRPr="000B25E0" w:rsidRDefault="000B25E0" w:rsidP="000B25E0">
      <w:pPr>
        <w:spacing w:line="360" w:lineRule="auto"/>
        <w:ind w:firstLineChars="196" w:firstLine="472"/>
        <w:rPr>
          <w:rFonts w:ascii="宋体" w:eastAsia="宋体" w:hAnsi="宋体" w:cs="宋体"/>
          <w:color w:val="000000"/>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学生体质健康标准的重要性；如何激发学生锻炼身体的积极性和自觉性。</w:t>
      </w:r>
    </w:p>
    <w:p w14:paraId="1E77D7A3"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学习内容四 散打 3</w:t>
      </w:r>
    </w:p>
    <w:p w14:paraId="769859CF"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t>第一章  散打理论知识及体育健康（8学时）</w:t>
      </w:r>
    </w:p>
    <w:p w14:paraId="4DBA52FC" w14:textId="77777777" w:rsidR="000B25E0" w:rsidRPr="000B25E0" w:rsidRDefault="000B25E0" w:rsidP="000B25E0">
      <w:pPr>
        <w:rPr>
          <w:rFonts w:ascii="Calibri" w:eastAsia="宋体" w:hAnsi="Calibri" w:cs="Times New Roman"/>
        </w:rPr>
      </w:pPr>
    </w:p>
    <w:p w14:paraId="000E5FE6"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42819F92" w14:textId="77777777" w:rsidR="000B25E0" w:rsidRPr="000B25E0" w:rsidRDefault="000B25E0" w:rsidP="000B25E0">
      <w:pPr>
        <w:adjustRightInd w:val="0"/>
        <w:snapToGrid w:val="0"/>
        <w:spacing w:line="500" w:lineRule="exact"/>
        <w:ind w:firstLineChars="200" w:firstLine="480"/>
        <w:jc w:val="left"/>
        <w:rPr>
          <w:rFonts w:ascii="宋体" w:eastAsia="宋体" w:hAnsi="宋体" w:cs="宋体"/>
          <w:sz w:val="24"/>
        </w:rPr>
      </w:pPr>
      <w:r w:rsidRPr="000B25E0">
        <w:rPr>
          <w:rFonts w:ascii="宋体" w:eastAsia="宋体" w:hAnsi="宋体" w:cs="宋体" w:hint="eastAsia"/>
          <w:sz w:val="24"/>
        </w:rPr>
        <w:t xml:space="preserve">1.1散打运动概述 </w:t>
      </w:r>
      <w:r w:rsidRPr="000B25E0">
        <w:rPr>
          <w:rFonts w:ascii="宋体" w:eastAsia="宋体" w:hAnsi="宋体" w:cs="宋体" w:hint="eastAsia"/>
          <w:sz w:val="24"/>
        </w:rPr>
        <w:br/>
        <w:t>散打运动起源，现代散打运动发展规律，我国散打运动发展概况，羽毛球运动的锻炼价值。</w:t>
      </w:r>
    </w:p>
    <w:p w14:paraId="01D3738B"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1.2散打竞赛规则，散打裁判法。</w:t>
      </w:r>
    </w:p>
    <w:p w14:paraId="280451E5" w14:textId="77777777" w:rsidR="000B25E0" w:rsidRPr="000B25E0" w:rsidRDefault="000B25E0" w:rsidP="000B25E0">
      <w:pPr>
        <w:adjustRightInd w:val="0"/>
        <w:snapToGrid w:val="0"/>
        <w:spacing w:line="500" w:lineRule="exact"/>
        <w:ind w:firstLineChars="200" w:firstLine="480"/>
        <w:jc w:val="left"/>
        <w:rPr>
          <w:rFonts w:ascii="Calibri" w:eastAsia="宋体" w:hAnsi="Calibri" w:cs="Times New Roman"/>
          <w:sz w:val="24"/>
        </w:rPr>
      </w:pPr>
      <w:r w:rsidRPr="000B25E0">
        <w:rPr>
          <w:rFonts w:ascii="宋体" w:eastAsia="宋体" w:hAnsi="宋体" w:cs="宋体" w:hint="eastAsia"/>
          <w:sz w:val="24"/>
        </w:rPr>
        <w:t>1.3《体育与健康》健身方法与常识。</w:t>
      </w:r>
      <w:r w:rsidRPr="000B25E0">
        <w:rPr>
          <w:rFonts w:ascii="宋体" w:eastAsia="宋体" w:hAnsi="宋体" w:cs="宋体" w:hint="eastAsia"/>
          <w:sz w:val="24"/>
        </w:rPr>
        <w:br/>
      </w:r>
      <w:r w:rsidRPr="000B25E0">
        <w:rPr>
          <w:rFonts w:ascii="Calibri" w:eastAsia="宋体" w:hAnsi="Calibri" w:cs="Times New Roman" w:hint="eastAsia"/>
          <w:b/>
          <w:bCs/>
          <w:sz w:val="24"/>
        </w:rPr>
        <w:lastRenderedPageBreak/>
        <w:t>本章教学目的及要求：</w:t>
      </w:r>
      <w:r w:rsidRPr="000B25E0">
        <w:rPr>
          <w:rFonts w:ascii="Calibri" w:eastAsia="宋体" w:hAnsi="Calibri" w:cs="Times New Roman" w:hint="eastAsia"/>
          <w:sz w:val="24"/>
        </w:rPr>
        <w:t>了解散打运动起源，了解现代散打运动发展规律，了解我国散打运动发展概况，明确散打运动的锻炼价值。明确散打竞赛规则，明确散打裁判法。</w:t>
      </w:r>
      <w:r w:rsidRPr="000B25E0">
        <w:rPr>
          <w:rFonts w:ascii="Calibri" w:eastAsia="宋体" w:hAnsi="Calibri" w:cs="Times New Roman" w:hint="eastAsia"/>
          <w:sz w:val="24"/>
        </w:rPr>
        <w:br/>
      </w:r>
      <w:r w:rsidRPr="000B25E0">
        <w:rPr>
          <w:rFonts w:ascii="Calibri" w:eastAsia="宋体" w:hAnsi="Calibri" w:cs="Times New Roman" w:hint="eastAsia"/>
          <w:b/>
          <w:bCs/>
          <w:sz w:val="24"/>
        </w:rPr>
        <w:t>本章教学重点及难点：</w:t>
      </w:r>
      <w:r w:rsidRPr="000B25E0">
        <w:rPr>
          <w:rFonts w:ascii="Calibri" w:eastAsia="宋体" w:hAnsi="Calibri" w:cs="Times New Roman" w:hint="eastAsia"/>
          <w:sz w:val="24"/>
        </w:rPr>
        <w:t>我国散打运动发展概况，我国散打运动发展趋势。散打竞赛规则，违例及其罚则。</w:t>
      </w:r>
      <w:r w:rsidRPr="000B25E0">
        <w:rPr>
          <w:rFonts w:ascii="Calibri" w:eastAsia="宋体" w:hAnsi="Calibri" w:cs="Times New Roman" w:hint="eastAsia"/>
          <w:sz w:val="24"/>
        </w:rPr>
        <w:br/>
      </w:r>
    </w:p>
    <w:p w14:paraId="48C69316"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t>第二章  散打基本技术与战术  （24学时）</w:t>
      </w:r>
    </w:p>
    <w:p w14:paraId="05059C1F" w14:textId="77777777" w:rsidR="000B25E0" w:rsidRPr="000B25E0" w:rsidRDefault="000B25E0" w:rsidP="000B25E0">
      <w:pPr>
        <w:adjustRightInd w:val="0"/>
        <w:snapToGrid w:val="0"/>
        <w:spacing w:line="500" w:lineRule="exact"/>
        <w:rPr>
          <w:rFonts w:ascii="Calibri" w:eastAsia="宋体" w:hAnsi="Calibri" w:cs="Times New Roman"/>
          <w:b/>
          <w:sz w:val="24"/>
        </w:rPr>
      </w:pPr>
      <w:r w:rsidRPr="000B25E0">
        <w:rPr>
          <w:rFonts w:ascii="Calibri" w:eastAsia="宋体" w:hAnsi="Calibri" w:cs="Times New Roman"/>
          <w:b/>
          <w:sz w:val="24"/>
        </w:rPr>
        <w:t>本章主要教学内容：</w:t>
      </w:r>
    </w:p>
    <w:p w14:paraId="4342FEAB" w14:textId="77777777" w:rsidR="000B25E0" w:rsidRPr="000B25E0" w:rsidRDefault="000B25E0" w:rsidP="000B25E0">
      <w:pPr>
        <w:adjustRightInd w:val="0"/>
        <w:snapToGrid w:val="0"/>
        <w:spacing w:line="500" w:lineRule="exact"/>
        <w:rPr>
          <w:rFonts w:ascii="宋体" w:eastAsia="宋体" w:hAnsi="宋体" w:cs="宋体"/>
          <w:sz w:val="24"/>
        </w:rPr>
      </w:pPr>
      <w:r w:rsidRPr="000B25E0">
        <w:rPr>
          <w:rFonts w:ascii="宋体" w:eastAsia="宋体" w:hAnsi="宋体" w:cs="宋体" w:hint="eastAsia"/>
          <w:sz w:val="24"/>
        </w:rPr>
        <w:t>2．1散打反击战术</w:t>
      </w:r>
    </w:p>
    <w:p w14:paraId="7C30C2CE" w14:textId="77777777" w:rsidR="000B25E0" w:rsidRPr="000B25E0" w:rsidRDefault="000B25E0" w:rsidP="000B25E0">
      <w:pPr>
        <w:adjustRightInd w:val="0"/>
        <w:snapToGrid w:val="0"/>
        <w:spacing w:line="500" w:lineRule="exact"/>
        <w:rPr>
          <w:rFonts w:ascii="宋体" w:eastAsia="宋体" w:hAnsi="宋体" w:cs="宋体"/>
          <w:sz w:val="24"/>
        </w:rPr>
      </w:pPr>
      <w:r w:rsidRPr="000B25E0">
        <w:rPr>
          <w:rFonts w:ascii="宋体" w:eastAsia="宋体" w:hAnsi="宋体" w:cs="宋体" w:hint="eastAsia"/>
          <w:sz w:val="24"/>
        </w:rPr>
        <w:t>2．2散打的防守反击战术</w:t>
      </w:r>
    </w:p>
    <w:p w14:paraId="75AE4D1F" w14:textId="77777777" w:rsidR="000B25E0" w:rsidRPr="000B25E0" w:rsidRDefault="000B25E0" w:rsidP="000B25E0">
      <w:pPr>
        <w:adjustRightInd w:val="0"/>
        <w:snapToGrid w:val="0"/>
        <w:spacing w:line="500" w:lineRule="exact"/>
        <w:rPr>
          <w:rFonts w:ascii="Calibri" w:eastAsia="宋体" w:hAnsi="Calibri" w:cs="Times New Roman"/>
          <w:sz w:val="24"/>
        </w:rPr>
      </w:pPr>
      <w:r w:rsidRPr="000B25E0">
        <w:rPr>
          <w:rFonts w:ascii="Calibri" w:eastAsia="宋体" w:hAnsi="Calibri" w:cs="Times New Roman" w:hint="eastAsia"/>
          <w:b/>
          <w:bCs/>
          <w:sz w:val="24"/>
        </w:rPr>
        <w:t>教学目的及要求：</w:t>
      </w:r>
      <w:r w:rsidRPr="000B25E0">
        <w:rPr>
          <w:rFonts w:ascii="Calibri" w:eastAsia="宋体" w:hAnsi="Calibri" w:cs="Times New Roman" w:hint="eastAsia"/>
          <w:sz w:val="24"/>
        </w:rPr>
        <w:t>使学生基本掌握散打基本技术及实际应用；提高学生身体灵活性、协调性及快速反映与移动意识。</w:t>
      </w:r>
    </w:p>
    <w:p w14:paraId="3AD19ADE" w14:textId="77777777" w:rsidR="000B25E0" w:rsidRPr="000B25E0" w:rsidRDefault="000B25E0" w:rsidP="000B25E0">
      <w:pPr>
        <w:adjustRightInd w:val="0"/>
        <w:snapToGrid w:val="0"/>
        <w:spacing w:line="500" w:lineRule="exact"/>
        <w:rPr>
          <w:rFonts w:ascii="Calibri" w:eastAsia="宋体" w:hAnsi="Calibri" w:cs="Times New Roman"/>
          <w:sz w:val="24"/>
        </w:rPr>
      </w:pPr>
      <w:r w:rsidRPr="000B25E0">
        <w:rPr>
          <w:rFonts w:ascii="Calibri" w:eastAsia="宋体" w:hAnsi="Calibri" w:cs="Times New Roman" w:hint="eastAsia"/>
          <w:b/>
          <w:bCs/>
          <w:sz w:val="24"/>
        </w:rPr>
        <w:t>教学重点及难点：</w:t>
      </w:r>
      <w:r w:rsidRPr="000B25E0">
        <w:rPr>
          <w:rFonts w:ascii="Calibri" w:eastAsia="宋体" w:hAnsi="Calibri" w:cs="Times New Roman" w:hint="eastAsia"/>
          <w:sz w:val="24"/>
        </w:rPr>
        <w:t>正确掌握散打基本技术并合理使用；培养学生快速反应与快速意识。</w:t>
      </w:r>
    </w:p>
    <w:p w14:paraId="162F1330" w14:textId="77777777" w:rsidR="000B25E0" w:rsidRPr="000B25E0" w:rsidRDefault="000B25E0" w:rsidP="000B25E0">
      <w:pPr>
        <w:adjustRightInd w:val="0"/>
        <w:snapToGrid w:val="0"/>
        <w:spacing w:line="500" w:lineRule="exact"/>
        <w:ind w:firstLineChars="200" w:firstLine="562"/>
        <w:jc w:val="center"/>
        <w:rPr>
          <w:rFonts w:ascii="宋体" w:eastAsia="宋体" w:hAnsi="宋体" w:cs="Times New Roman"/>
          <w:b/>
          <w:sz w:val="28"/>
          <w:szCs w:val="28"/>
        </w:rPr>
      </w:pPr>
      <w:r w:rsidRPr="000B25E0">
        <w:rPr>
          <w:rFonts w:ascii="宋体" w:eastAsia="宋体" w:hAnsi="宋体" w:cs="Times New Roman" w:hint="eastAsia"/>
          <w:b/>
          <w:sz w:val="28"/>
          <w:szCs w:val="28"/>
        </w:rPr>
        <w:t>第三章  散打教学活动的组织与管理 （4学时）</w:t>
      </w:r>
    </w:p>
    <w:p w14:paraId="26FFD86E" w14:textId="77777777" w:rsidR="000B25E0" w:rsidRPr="000B25E0" w:rsidRDefault="000B25E0" w:rsidP="000B25E0">
      <w:pPr>
        <w:adjustRightInd w:val="0"/>
        <w:snapToGrid w:val="0"/>
        <w:spacing w:line="500" w:lineRule="exact"/>
        <w:rPr>
          <w:rFonts w:ascii="Calibri" w:eastAsia="宋体" w:hAnsi="Calibri" w:cs="Times New Roman"/>
          <w:b/>
          <w:sz w:val="24"/>
        </w:rPr>
      </w:pPr>
      <w:r w:rsidRPr="000B25E0">
        <w:rPr>
          <w:rFonts w:ascii="Calibri" w:eastAsia="宋体" w:hAnsi="Calibri" w:cs="Times New Roman"/>
          <w:b/>
          <w:sz w:val="24"/>
        </w:rPr>
        <w:t>本章主要教学内容：</w:t>
      </w:r>
    </w:p>
    <w:p w14:paraId="401EAC15" w14:textId="77777777" w:rsidR="000B25E0" w:rsidRPr="000B25E0" w:rsidRDefault="000B25E0" w:rsidP="000B25E0">
      <w:pPr>
        <w:adjustRightInd w:val="0"/>
        <w:snapToGrid w:val="0"/>
        <w:spacing w:line="500" w:lineRule="exact"/>
        <w:rPr>
          <w:rFonts w:ascii="Calibri" w:eastAsia="宋体" w:hAnsi="Calibri" w:cs="Times New Roman"/>
          <w:sz w:val="24"/>
        </w:rPr>
      </w:pPr>
      <w:r w:rsidRPr="000B25E0">
        <w:rPr>
          <w:rFonts w:ascii="Calibri" w:eastAsia="宋体" w:hAnsi="Calibri" w:cs="Times New Roman" w:hint="eastAsia"/>
          <w:sz w:val="24"/>
        </w:rPr>
        <w:t>3.1</w:t>
      </w:r>
      <w:r w:rsidRPr="000B25E0">
        <w:rPr>
          <w:rFonts w:ascii="Calibri" w:eastAsia="宋体" w:hAnsi="Calibri" w:cs="Times New Roman"/>
          <w:sz w:val="24"/>
        </w:rPr>
        <w:t>裁判实习</w:t>
      </w:r>
      <w:r w:rsidRPr="000B25E0">
        <w:rPr>
          <w:rFonts w:ascii="Calibri" w:eastAsia="宋体" w:hAnsi="Calibri" w:cs="Times New Roman" w:hint="eastAsia"/>
          <w:sz w:val="24"/>
        </w:rPr>
        <w:t>及</w:t>
      </w:r>
      <w:r w:rsidRPr="000B25E0">
        <w:rPr>
          <w:rFonts w:ascii="Calibri" w:eastAsia="宋体" w:hAnsi="Calibri" w:cs="Times New Roman"/>
          <w:sz w:val="24"/>
        </w:rPr>
        <w:t>教学比赛</w:t>
      </w:r>
    </w:p>
    <w:p w14:paraId="73BC7D57" w14:textId="77777777" w:rsidR="000B25E0" w:rsidRPr="000B25E0" w:rsidRDefault="000B25E0" w:rsidP="000B25E0">
      <w:pPr>
        <w:adjustRightInd w:val="0"/>
        <w:snapToGrid w:val="0"/>
        <w:spacing w:line="500" w:lineRule="exact"/>
        <w:rPr>
          <w:rFonts w:ascii="Calibri" w:eastAsia="宋体" w:hAnsi="Calibri" w:cs="Times New Roman"/>
          <w:sz w:val="24"/>
        </w:rPr>
      </w:pPr>
      <w:r w:rsidRPr="000B25E0">
        <w:rPr>
          <w:rFonts w:ascii="Calibri" w:eastAsia="宋体" w:hAnsi="Calibri" w:cs="Times New Roman" w:hint="eastAsia"/>
          <w:sz w:val="24"/>
        </w:rPr>
        <w:t>3.2</w:t>
      </w:r>
      <w:r w:rsidRPr="000B25E0">
        <w:rPr>
          <w:rFonts w:ascii="Calibri" w:eastAsia="宋体" w:hAnsi="Calibri" w:cs="Times New Roman" w:hint="eastAsia"/>
          <w:sz w:val="24"/>
        </w:rPr>
        <w:t>期末考试</w:t>
      </w:r>
    </w:p>
    <w:p w14:paraId="21215909" w14:textId="77777777" w:rsidR="000B25E0" w:rsidRPr="000B25E0" w:rsidRDefault="000B25E0" w:rsidP="000B25E0">
      <w:pPr>
        <w:adjustRightInd w:val="0"/>
        <w:snapToGrid w:val="0"/>
        <w:spacing w:line="500" w:lineRule="exact"/>
        <w:rPr>
          <w:rFonts w:ascii="Calibri" w:eastAsia="宋体" w:hAnsi="Calibri" w:cs="Times New Roman"/>
          <w:sz w:val="24"/>
        </w:rPr>
      </w:pPr>
      <w:r w:rsidRPr="000B25E0">
        <w:rPr>
          <w:rFonts w:ascii="Calibri" w:eastAsia="宋体" w:hAnsi="Calibri" w:cs="Times New Roman" w:hint="eastAsia"/>
          <w:b/>
          <w:bCs/>
          <w:sz w:val="24"/>
        </w:rPr>
        <w:t>本章教学目的及要求：</w:t>
      </w:r>
      <w:r w:rsidRPr="000B25E0">
        <w:rPr>
          <w:rFonts w:ascii="Calibri" w:eastAsia="宋体" w:hAnsi="Calibri" w:cs="Times New Roman" w:hint="eastAsia"/>
          <w:sz w:val="24"/>
        </w:rPr>
        <w:t>了解与掌握散打竞赛规则与裁判法的主要内容对于开展散打活动，搞好散打竞赛具有重要意义。</w:t>
      </w:r>
    </w:p>
    <w:p w14:paraId="17616D70" w14:textId="77777777" w:rsidR="000B25E0" w:rsidRPr="000B25E0" w:rsidRDefault="000B25E0" w:rsidP="000B25E0">
      <w:pPr>
        <w:adjustRightInd w:val="0"/>
        <w:snapToGrid w:val="0"/>
        <w:spacing w:line="500" w:lineRule="exact"/>
        <w:rPr>
          <w:rFonts w:ascii="Calibri" w:eastAsia="宋体" w:hAnsi="Calibri" w:cs="Times New Roman"/>
          <w:sz w:val="24"/>
        </w:rPr>
      </w:pPr>
      <w:r w:rsidRPr="000B25E0">
        <w:rPr>
          <w:rFonts w:ascii="Calibri" w:eastAsia="宋体" w:hAnsi="Calibri" w:cs="Times New Roman" w:hint="eastAsia"/>
          <w:b/>
          <w:bCs/>
          <w:sz w:val="24"/>
        </w:rPr>
        <w:t>本章教学重点及难点：</w:t>
      </w:r>
      <w:r w:rsidRPr="000B25E0">
        <w:rPr>
          <w:rFonts w:ascii="Calibri" w:eastAsia="宋体" w:hAnsi="Calibri" w:cs="Times New Roman" w:hint="eastAsia"/>
          <w:sz w:val="24"/>
        </w:rPr>
        <w:t>提高散打基本技术并合理使用，了解散打裁判规则。</w:t>
      </w:r>
    </w:p>
    <w:p w14:paraId="0FB019E3" w14:textId="77777777" w:rsidR="000B25E0" w:rsidRPr="000B25E0" w:rsidRDefault="000B25E0" w:rsidP="000B25E0">
      <w:pPr>
        <w:spacing w:beforeLines="50" w:before="156" w:afterLines="50" w:after="156" w:line="440" w:lineRule="exact"/>
        <w:ind w:left="561"/>
        <w:rPr>
          <w:rFonts w:ascii="仿宋" w:eastAsia="仿宋" w:hAnsi="仿宋" w:cs="Times New Roman"/>
          <w:sz w:val="24"/>
        </w:rPr>
      </w:pPr>
      <w:r w:rsidRPr="000B25E0">
        <w:rPr>
          <w:rFonts w:ascii="黑体" w:eastAsia="黑体" w:hAnsi="黑体" w:cs="Times New Roman" w:hint="eastAsia"/>
          <w:sz w:val="28"/>
          <w:szCs w:val="28"/>
        </w:rPr>
        <w:t>（二）课程学习内容与课程学习目标的对应关系</w:t>
      </w:r>
      <w:r w:rsidRPr="000B25E0">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0B25E0" w:rsidRPr="000B25E0" w14:paraId="10A0DC25" w14:textId="77777777" w:rsidTr="00BF5EF3">
        <w:trPr>
          <w:trHeight w:val="660"/>
          <w:jc w:val="center"/>
        </w:trPr>
        <w:tc>
          <w:tcPr>
            <w:tcW w:w="3403" w:type="dxa"/>
            <w:vAlign w:val="center"/>
          </w:tcPr>
          <w:p w14:paraId="71DDD5C8"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实践内容</w:t>
            </w:r>
          </w:p>
        </w:tc>
        <w:tc>
          <w:tcPr>
            <w:tcW w:w="2693" w:type="dxa"/>
            <w:vAlign w:val="center"/>
          </w:tcPr>
          <w:p w14:paraId="665F3BF6"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实施方式</w:t>
            </w:r>
          </w:p>
        </w:tc>
        <w:tc>
          <w:tcPr>
            <w:tcW w:w="1985" w:type="dxa"/>
            <w:vAlign w:val="center"/>
          </w:tcPr>
          <w:p w14:paraId="6E8C3231"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支撑的课程目标</w:t>
            </w:r>
          </w:p>
        </w:tc>
        <w:tc>
          <w:tcPr>
            <w:tcW w:w="1276" w:type="dxa"/>
            <w:vAlign w:val="center"/>
          </w:tcPr>
          <w:p w14:paraId="136E7C3D"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学时安排</w:t>
            </w:r>
          </w:p>
        </w:tc>
      </w:tr>
      <w:tr w:rsidR="000B25E0" w:rsidRPr="000B25E0" w14:paraId="1811A3B8" w14:textId="77777777" w:rsidTr="00BF5EF3">
        <w:trPr>
          <w:trHeight w:val="514"/>
          <w:jc w:val="center"/>
        </w:trPr>
        <w:tc>
          <w:tcPr>
            <w:tcW w:w="3403" w:type="dxa"/>
            <w:vAlign w:val="center"/>
          </w:tcPr>
          <w:p w14:paraId="062A42D3"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学习内容</w:t>
            </w:r>
            <w:proofErr w:type="gramStart"/>
            <w:r w:rsidRPr="000B25E0">
              <w:rPr>
                <w:rFonts w:ascii="宋体" w:eastAsia="宋体" w:hAnsi="宋体" w:cs="Times New Roman" w:hint="eastAsia"/>
                <w:sz w:val="24"/>
              </w:rPr>
              <w:t>一</w:t>
            </w:r>
            <w:proofErr w:type="gramEnd"/>
            <w:r w:rsidRPr="000B25E0">
              <w:rPr>
                <w:rFonts w:ascii="宋体" w:eastAsia="宋体" w:hAnsi="宋体" w:cs="Times New Roman" w:hint="eastAsia"/>
                <w:sz w:val="24"/>
              </w:rPr>
              <w:t xml:space="preserve"> 体能+</w:t>
            </w:r>
            <w:r w:rsidRPr="000B25E0">
              <w:rPr>
                <w:rFonts w:ascii="Calibri" w:eastAsia="宋体" w:hAnsi="Calibri" w:cs="Times New Roman" w:hint="eastAsia"/>
                <w:sz w:val="24"/>
              </w:rPr>
              <w:t>散打</w:t>
            </w:r>
            <w:r w:rsidRPr="000B25E0">
              <w:rPr>
                <w:rFonts w:ascii="宋体" w:eastAsia="宋体" w:hAnsi="宋体" w:cs="Times New Roman" w:hint="eastAsia"/>
                <w:sz w:val="24"/>
              </w:rPr>
              <w:t xml:space="preserve"> </w:t>
            </w:r>
          </w:p>
          <w:p w14:paraId="1E5241CA"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54B2B182"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66509ADF"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3D524443"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0524969F" w14:textId="77777777" w:rsidTr="00BF5EF3">
        <w:trPr>
          <w:trHeight w:val="90"/>
          <w:jc w:val="center"/>
        </w:trPr>
        <w:tc>
          <w:tcPr>
            <w:tcW w:w="3403" w:type="dxa"/>
            <w:vAlign w:val="center"/>
          </w:tcPr>
          <w:p w14:paraId="77C29A77"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 xml:space="preserve">学习内容二 </w:t>
            </w:r>
            <w:r w:rsidRPr="000B25E0">
              <w:rPr>
                <w:rFonts w:ascii="Calibri" w:eastAsia="宋体" w:hAnsi="Calibri" w:cs="Times New Roman" w:hint="eastAsia"/>
                <w:sz w:val="24"/>
              </w:rPr>
              <w:t>散打</w:t>
            </w:r>
            <w:r w:rsidRPr="000B25E0">
              <w:rPr>
                <w:rFonts w:ascii="宋体" w:eastAsia="宋体" w:hAnsi="宋体" w:cs="Times New Roman" w:hint="eastAsia"/>
                <w:sz w:val="24"/>
              </w:rPr>
              <w:t xml:space="preserve">1 </w:t>
            </w:r>
          </w:p>
          <w:p w14:paraId="7FACB226"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1F3B63CD"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lastRenderedPageBreak/>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w:t>
            </w:r>
            <w:r w:rsidRPr="000B25E0">
              <w:rPr>
                <w:rFonts w:ascii="宋体" w:eastAsia="宋体" w:hAnsi="宋体" w:cs="Times New Roman" w:hint="eastAsia"/>
                <w:sz w:val="24"/>
              </w:rPr>
              <w:lastRenderedPageBreak/>
              <w:t>法、示范法；练习法；小组合作学习</w:t>
            </w:r>
          </w:p>
        </w:tc>
        <w:tc>
          <w:tcPr>
            <w:tcW w:w="1985" w:type="dxa"/>
            <w:vAlign w:val="center"/>
          </w:tcPr>
          <w:p w14:paraId="44707D06"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lastRenderedPageBreak/>
              <w:t>课程</w:t>
            </w:r>
            <w:r w:rsidRPr="000B25E0">
              <w:rPr>
                <w:rFonts w:ascii="宋体" w:eastAsia="宋体" w:hAnsi="宋体" w:cs="Times New Roman"/>
                <w:sz w:val="24"/>
              </w:rPr>
              <w:t>目标</w:t>
            </w:r>
            <w:r w:rsidRPr="000B25E0">
              <w:rPr>
                <w:rFonts w:ascii="宋体" w:eastAsia="宋体" w:hAnsi="宋体" w:cs="Times New Roman" w:hint="eastAsia"/>
                <w:sz w:val="24"/>
              </w:rPr>
              <w:t>1、2、</w:t>
            </w:r>
            <w:r w:rsidRPr="000B25E0">
              <w:rPr>
                <w:rFonts w:ascii="宋体" w:eastAsia="宋体" w:hAnsi="宋体" w:cs="Times New Roman" w:hint="eastAsia"/>
                <w:sz w:val="24"/>
              </w:rPr>
              <w:lastRenderedPageBreak/>
              <w:t>3</w:t>
            </w:r>
          </w:p>
        </w:tc>
        <w:tc>
          <w:tcPr>
            <w:tcW w:w="1276" w:type="dxa"/>
            <w:vAlign w:val="center"/>
          </w:tcPr>
          <w:p w14:paraId="2A7928F2"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lastRenderedPageBreak/>
              <w:t>32</w:t>
            </w:r>
          </w:p>
        </w:tc>
      </w:tr>
      <w:tr w:rsidR="000B25E0" w:rsidRPr="000B25E0" w14:paraId="3DF968E5" w14:textId="77777777" w:rsidTr="00BF5EF3">
        <w:trPr>
          <w:jc w:val="center"/>
        </w:trPr>
        <w:tc>
          <w:tcPr>
            <w:tcW w:w="3403" w:type="dxa"/>
            <w:vAlign w:val="center"/>
          </w:tcPr>
          <w:p w14:paraId="67B308E8"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 xml:space="preserve">学习内容三 </w:t>
            </w:r>
            <w:r w:rsidRPr="000B25E0">
              <w:rPr>
                <w:rFonts w:ascii="Calibri" w:eastAsia="宋体" w:hAnsi="Calibri" w:cs="Times New Roman" w:hint="eastAsia"/>
                <w:sz w:val="24"/>
              </w:rPr>
              <w:t>散打</w:t>
            </w:r>
            <w:r w:rsidRPr="000B25E0">
              <w:rPr>
                <w:rFonts w:ascii="宋体" w:eastAsia="宋体" w:hAnsi="宋体" w:cs="Times New Roman" w:hint="eastAsia"/>
                <w:sz w:val="24"/>
              </w:rPr>
              <w:t xml:space="preserve"> 2</w:t>
            </w:r>
          </w:p>
          <w:p w14:paraId="5A69A07E"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213EF76A"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07A657BB"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13805995"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4E3D1CB6" w14:textId="77777777" w:rsidTr="00BF5EF3">
        <w:trPr>
          <w:jc w:val="center"/>
        </w:trPr>
        <w:tc>
          <w:tcPr>
            <w:tcW w:w="3403" w:type="dxa"/>
            <w:vAlign w:val="center"/>
          </w:tcPr>
          <w:p w14:paraId="2439E2C6"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 xml:space="preserve">学习内容四 </w:t>
            </w:r>
            <w:r w:rsidRPr="000B25E0">
              <w:rPr>
                <w:rFonts w:ascii="Calibri" w:eastAsia="宋体" w:hAnsi="Calibri" w:cs="Times New Roman" w:hint="eastAsia"/>
                <w:sz w:val="24"/>
              </w:rPr>
              <w:t>散打</w:t>
            </w:r>
            <w:r w:rsidRPr="000B25E0">
              <w:rPr>
                <w:rFonts w:ascii="宋体" w:eastAsia="宋体" w:hAnsi="宋体" w:cs="Times New Roman" w:hint="eastAsia"/>
                <w:sz w:val="24"/>
              </w:rPr>
              <w:t xml:space="preserve"> 3</w:t>
            </w:r>
          </w:p>
          <w:p w14:paraId="5BBD87A4"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110983E2"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35153EC2"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0B156129"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6A949253" w14:textId="77777777" w:rsidTr="00BF5EF3">
        <w:trPr>
          <w:jc w:val="center"/>
        </w:trPr>
        <w:tc>
          <w:tcPr>
            <w:tcW w:w="8081" w:type="dxa"/>
            <w:gridSpan w:val="3"/>
            <w:vAlign w:val="center"/>
          </w:tcPr>
          <w:p w14:paraId="19836283"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合计</w:t>
            </w:r>
          </w:p>
        </w:tc>
        <w:tc>
          <w:tcPr>
            <w:tcW w:w="1276" w:type="dxa"/>
            <w:vAlign w:val="center"/>
          </w:tcPr>
          <w:p w14:paraId="606700BF"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128</w:t>
            </w:r>
          </w:p>
        </w:tc>
      </w:tr>
    </w:tbl>
    <w:p w14:paraId="60BE6C6B" w14:textId="77777777" w:rsidR="000B25E0" w:rsidRPr="000B25E0" w:rsidRDefault="000B25E0" w:rsidP="000B25E0">
      <w:pPr>
        <w:spacing w:beforeLines="50" w:before="156" w:afterLines="50" w:after="156" w:line="440" w:lineRule="exact"/>
        <w:rPr>
          <w:rFonts w:ascii="黑体" w:eastAsia="黑体" w:hAnsi="黑体" w:cs="Times New Roman"/>
          <w:sz w:val="28"/>
          <w:szCs w:val="28"/>
        </w:rPr>
      </w:pPr>
    </w:p>
    <w:p w14:paraId="04521ECA"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四、课程考核及与课程学习目标的对应关系</w:t>
      </w:r>
    </w:p>
    <w:p w14:paraId="5D73DDA9"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0B25E0" w:rsidRPr="000B25E0" w14:paraId="0A0A4E68" w14:textId="77777777" w:rsidTr="00BF5EF3">
        <w:trPr>
          <w:trHeight w:val="515"/>
          <w:jc w:val="center"/>
        </w:trPr>
        <w:tc>
          <w:tcPr>
            <w:tcW w:w="1422" w:type="dxa"/>
          </w:tcPr>
          <w:p w14:paraId="410B71AA"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课程目标</w:t>
            </w:r>
          </w:p>
        </w:tc>
        <w:tc>
          <w:tcPr>
            <w:tcW w:w="5376" w:type="dxa"/>
            <w:vAlign w:val="center"/>
          </w:tcPr>
          <w:p w14:paraId="6F14555B"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考核内容</w:t>
            </w:r>
          </w:p>
        </w:tc>
        <w:tc>
          <w:tcPr>
            <w:tcW w:w="2542" w:type="dxa"/>
            <w:vAlign w:val="center"/>
          </w:tcPr>
          <w:p w14:paraId="7A1B72A6"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考核方式</w:t>
            </w:r>
          </w:p>
        </w:tc>
      </w:tr>
      <w:tr w:rsidR="000B25E0" w:rsidRPr="000B25E0" w14:paraId="195CD5DD" w14:textId="77777777" w:rsidTr="00BF5EF3">
        <w:trPr>
          <w:jc w:val="center"/>
        </w:trPr>
        <w:tc>
          <w:tcPr>
            <w:tcW w:w="1422" w:type="dxa"/>
            <w:vAlign w:val="center"/>
          </w:tcPr>
          <w:p w14:paraId="486EA840"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课程目标1、2、3</w:t>
            </w:r>
          </w:p>
        </w:tc>
        <w:tc>
          <w:tcPr>
            <w:tcW w:w="5376" w:type="dxa"/>
            <w:vAlign w:val="center"/>
          </w:tcPr>
          <w:p w14:paraId="58396921"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大学生体质健康标准测试</w:t>
            </w:r>
          </w:p>
        </w:tc>
        <w:tc>
          <w:tcPr>
            <w:tcW w:w="2542" w:type="dxa"/>
            <w:vAlign w:val="center"/>
          </w:tcPr>
          <w:p w14:paraId="2D82F493" w14:textId="77777777" w:rsidR="000B25E0" w:rsidRPr="000B25E0" w:rsidRDefault="000B25E0" w:rsidP="000B25E0">
            <w:pPr>
              <w:widowControl/>
              <w:jc w:val="left"/>
              <w:rPr>
                <w:rFonts w:ascii="宋体" w:eastAsia="宋体" w:hAnsi="宋体" w:cs="Times New Roman"/>
                <w:bCs/>
                <w:sz w:val="24"/>
              </w:rPr>
            </w:pPr>
          </w:p>
          <w:p w14:paraId="13ED8039"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随堂技术考核</w:t>
            </w:r>
          </w:p>
        </w:tc>
      </w:tr>
      <w:tr w:rsidR="000B25E0" w:rsidRPr="000B25E0" w14:paraId="050F20F5" w14:textId="77777777" w:rsidTr="00BF5EF3">
        <w:trPr>
          <w:jc w:val="center"/>
        </w:trPr>
        <w:tc>
          <w:tcPr>
            <w:tcW w:w="1422" w:type="dxa"/>
            <w:vAlign w:val="center"/>
          </w:tcPr>
          <w:p w14:paraId="198539E2"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w:t>
            </w:r>
          </w:p>
        </w:tc>
        <w:tc>
          <w:tcPr>
            <w:tcW w:w="5376" w:type="dxa"/>
            <w:vAlign w:val="center"/>
          </w:tcPr>
          <w:p w14:paraId="270A483A"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立定跳远</w:t>
            </w:r>
          </w:p>
        </w:tc>
        <w:tc>
          <w:tcPr>
            <w:tcW w:w="2542" w:type="dxa"/>
            <w:vAlign w:val="center"/>
          </w:tcPr>
          <w:p w14:paraId="5081AA97" w14:textId="77777777" w:rsidR="000B25E0" w:rsidRPr="000B25E0" w:rsidRDefault="000B25E0" w:rsidP="000B25E0">
            <w:pPr>
              <w:widowControl/>
              <w:jc w:val="left"/>
              <w:rPr>
                <w:rFonts w:ascii="宋体" w:eastAsia="宋体" w:hAnsi="宋体" w:cs="Times New Roman"/>
                <w:bCs/>
                <w:sz w:val="24"/>
              </w:rPr>
            </w:pPr>
          </w:p>
          <w:p w14:paraId="197A54AD"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随堂技术考核</w:t>
            </w:r>
          </w:p>
        </w:tc>
      </w:tr>
      <w:tr w:rsidR="000B25E0" w:rsidRPr="000B25E0" w14:paraId="347DC70E" w14:textId="77777777" w:rsidTr="00BF5EF3">
        <w:trPr>
          <w:jc w:val="center"/>
        </w:trPr>
        <w:tc>
          <w:tcPr>
            <w:tcW w:w="1422" w:type="dxa"/>
            <w:vAlign w:val="center"/>
          </w:tcPr>
          <w:p w14:paraId="306FFBA5"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w:t>
            </w:r>
          </w:p>
        </w:tc>
        <w:tc>
          <w:tcPr>
            <w:tcW w:w="5376" w:type="dxa"/>
            <w:vAlign w:val="center"/>
          </w:tcPr>
          <w:p w14:paraId="5315BBF6" w14:textId="77777777" w:rsidR="000B25E0" w:rsidRPr="000B25E0" w:rsidRDefault="000B25E0" w:rsidP="000B25E0">
            <w:pPr>
              <w:spacing w:line="440" w:lineRule="exact"/>
              <w:rPr>
                <w:rFonts w:ascii="宋体" w:eastAsia="宋体" w:hAnsi="宋体" w:cs="Times New Roman"/>
                <w:bCs/>
                <w:sz w:val="24"/>
              </w:rPr>
            </w:pPr>
            <w:r w:rsidRPr="000B25E0">
              <w:rPr>
                <w:rFonts w:ascii="Calibri" w:eastAsia="宋体" w:hAnsi="Calibri" w:cs="Times New Roman" w:hint="eastAsia"/>
                <w:sz w:val="24"/>
              </w:rPr>
              <w:t>直拳技术</w:t>
            </w:r>
          </w:p>
        </w:tc>
        <w:tc>
          <w:tcPr>
            <w:tcW w:w="2542" w:type="dxa"/>
            <w:vAlign w:val="center"/>
          </w:tcPr>
          <w:p w14:paraId="03D8B01A" w14:textId="77777777" w:rsidR="000B25E0" w:rsidRPr="000B25E0" w:rsidRDefault="000B25E0" w:rsidP="000B25E0">
            <w:pPr>
              <w:widowControl/>
              <w:jc w:val="left"/>
              <w:rPr>
                <w:rFonts w:ascii="宋体" w:eastAsia="宋体" w:hAnsi="宋体" w:cs="Times New Roman"/>
                <w:bCs/>
                <w:sz w:val="24"/>
              </w:rPr>
            </w:pPr>
          </w:p>
          <w:p w14:paraId="2AE87FDB"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随堂技术考核</w:t>
            </w:r>
          </w:p>
        </w:tc>
      </w:tr>
      <w:tr w:rsidR="000B25E0" w:rsidRPr="000B25E0" w14:paraId="5195549A" w14:textId="77777777" w:rsidTr="00BF5EF3">
        <w:trPr>
          <w:jc w:val="center"/>
        </w:trPr>
        <w:tc>
          <w:tcPr>
            <w:tcW w:w="1422" w:type="dxa"/>
            <w:vAlign w:val="center"/>
          </w:tcPr>
          <w:p w14:paraId="584A3D66"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w:t>
            </w:r>
          </w:p>
        </w:tc>
        <w:tc>
          <w:tcPr>
            <w:tcW w:w="5376" w:type="dxa"/>
            <w:vAlign w:val="center"/>
          </w:tcPr>
          <w:p w14:paraId="33225FAD"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拳腿组合技术</w:t>
            </w:r>
          </w:p>
        </w:tc>
        <w:tc>
          <w:tcPr>
            <w:tcW w:w="2542" w:type="dxa"/>
            <w:vAlign w:val="center"/>
          </w:tcPr>
          <w:p w14:paraId="48BD3FB9" w14:textId="77777777" w:rsidR="000B25E0" w:rsidRPr="000B25E0" w:rsidRDefault="000B25E0" w:rsidP="000B25E0">
            <w:pPr>
              <w:widowControl/>
              <w:jc w:val="left"/>
              <w:rPr>
                <w:rFonts w:ascii="宋体" w:eastAsia="宋体" w:hAnsi="宋体" w:cs="Times New Roman"/>
                <w:bCs/>
                <w:sz w:val="24"/>
              </w:rPr>
            </w:pPr>
            <w:r w:rsidRPr="000B25E0">
              <w:rPr>
                <w:rFonts w:ascii="宋体" w:eastAsia="宋体" w:hAnsi="宋体" w:cs="Times New Roman" w:hint="eastAsia"/>
                <w:bCs/>
                <w:sz w:val="24"/>
              </w:rPr>
              <w:t>随堂技术考核</w:t>
            </w:r>
          </w:p>
          <w:p w14:paraId="1F4267D0" w14:textId="77777777" w:rsidR="000B25E0" w:rsidRPr="000B25E0" w:rsidRDefault="000B25E0" w:rsidP="000B25E0">
            <w:pPr>
              <w:spacing w:line="440" w:lineRule="exact"/>
              <w:rPr>
                <w:rFonts w:ascii="宋体" w:eastAsia="宋体" w:hAnsi="宋体" w:cs="Times New Roman"/>
                <w:bCs/>
                <w:sz w:val="24"/>
              </w:rPr>
            </w:pPr>
          </w:p>
        </w:tc>
      </w:tr>
    </w:tbl>
    <w:p w14:paraId="68DB8111"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（二）课程目标达成评价方式及考核比例</w:t>
      </w:r>
    </w:p>
    <w:p w14:paraId="47F3634F"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排球课程</w:t>
      </w:r>
      <w:proofErr w:type="gramStart"/>
      <w:r w:rsidRPr="000B25E0">
        <w:rPr>
          <w:rFonts w:ascii="宋体" w:eastAsia="宋体" w:hAnsi="宋体" w:cs="Times New Roman" w:hint="eastAsia"/>
          <w:sz w:val="24"/>
        </w:rPr>
        <w:t>1、2、3、4每</w:t>
      </w:r>
      <w:proofErr w:type="gramEnd"/>
      <w:r w:rsidRPr="000B25E0">
        <w:rPr>
          <w:rFonts w:ascii="宋体" w:eastAsia="宋体" w:hAnsi="宋体" w:cs="Times New Roman" w:hint="eastAsia"/>
          <w:sz w:val="24"/>
        </w:rPr>
        <w:t>学期考核方式及成绩比例为：课堂表现20%</w:t>
      </w:r>
      <w:r w:rsidRPr="000B25E0">
        <w:rPr>
          <w:rFonts w:ascii="宋体" w:eastAsia="宋体" w:hAnsi="宋体" w:cs="Times New Roman"/>
          <w:sz w:val="24"/>
        </w:rPr>
        <w:t>+</w:t>
      </w:r>
      <w:r w:rsidRPr="000B25E0">
        <w:rPr>
          <w:rFonts w:ascii="宋体" w:eastAsia="宋体" w:hAnsi="宋体" w:cs="Times New Roman" w:hint="eastAsia"/>
          <w:sz w:val="24"/>
        </w:rPr>
        <w:t>期中考核30%</w:t>
      </w:r>
      <w:r w:rsidRPr="000B25E0">
        <w:rPr>
          <w:rFonts w:ascii="宋体" w:eastAsia="宋体" w:hAnsi="宋体" w:cs="Times New Roman"/>
          <w:sz w:val="24"/>
        </w:rPr>
        <w:t>+</w:t>
      </w:r>
      <w:r w:rsidRPr="000B25E0">
        <w:rPr>
          <w:rFonts w:ascii="宋体" w:eastAsia="宋体" w:hAnsi="宋体" w:cs="Times New Roman" w:hint="eastAsia"/>
          <w:sz w:val="24"/>
        </w:rPr>
        <w:t>课期</w:t>
      </w:r>
      <w:proofErr w:type="gramStart"/>
      <w:r w:rsidRPr="000B25E0">
        <w:rPr>
          <w:rFonts w:ascii="宋体" w:eastAsia="宋体" w:hAnsi="宋体" w:cs="Times New Roman" w:hint="eastAsia"/>
          <w:sz w:val="24"/>
        </w:rPr>
        <w:t>末考试</w:t>
      </w:r>
      <w:proofErr w:type="gramEnd"/>
      <w:r w:rsidRPr="000B25E0">
        <w:rPr>
          <w:rFonts w:ascii="宋体" w:eastAsia="宋体" w:hAnsi="宋体" w:cs="Times New Roman" w:hint="eastAsia"/>
          <w:sz w:val="24"/>
        </w:rPr>
        <w:t>5</w:t>
      </w:r>
      <w:r w:rsidRPr="000B25E0">
        <w:rPr>
          <w:rFonts w:ascii="宋体" w:eastAsia="宋体" w:hAnsi="宋体" w:cs="Times New Roman"/>
          <w:sz w:val="24"/>
        </w:rPr>
        <w:t>0</w:t>
      </w:r>
      <w:r w:rsidRPr="000B25E0">
        <w:rPr>
          <w:rFonts w:ascii="宋体" w:eastAsia="宋体" w:hAnsi="宋体" w:cs="Times New Roman" w:hint="eastAsia"/>
          <w:sz w:val="24"/>
        </w:rPr>
        <w:t>%；本课程共有三个课程目标，考核方式及成绩比例分别为：</w:t>
      </w:r>
    </w:p>
    <w:p w14:paraId="5F35AA62"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课程目标1：课堂表现5%</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期末考试20%</w:t>
      </w:r>
    </w:p>
    <w:p w14:paraId="28D665E4"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课程目标2：课堂表现10%</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期末考试20%</w:t>
      </w:r>
    </w:p>
    <w:p w14:paraId="440FB212"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课程目标3：课堂表现5%</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期末考试10%</w:t>
      </w:r>
    </w:p>
    <w:p w14:paraId="292F3901"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0B25E0" w:rsidRPr="000B25E0" w14:paraId="3B5E2CCE" w14:textId="77777777" w:rsidTr="00BF5EF3">
        <w:trPr>
          <w:trHeight w:val="540"/>
          <w:jc w:val="center"/>
        </w:trPr>
        <w:tc>
          <w:tcPr>
            <w:tcW w:w="1422" w:type="dxa"/>
            <w:vMerge w:val="restart"/>
            <w:vAlign w:val="center"/>
          </w:tcPr>
          <w:p w14:paraId="13AA9463"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课程目标</w:t>
            </w:r>
          </w:p>
        </w:tc>
        <w:tc>
          <w:tcPr>
            <w:tcW w:w="6271" w:type="dxa"/>
            <w:gridSpan w:val="4"/>
            <w:vAlign w:val="center"/>
          </w:tcPr>
          <w:p w14:paraId="120B5636"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考核方式及成绩比例（%）</w:t>
            </w:r>
          </w:p>
        </w:tc>
        <w:tc>
          <w:tcPr>
            <w:tcW w:w="1559" w:type="dxa"/>
            <w:vMerge w:val="restart"/>
            <w:vAlign w:val="center"/>
          </w:tcPr>
          <w:p w14:paraId="57F70A97"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合计</w:t>
            </w:r>
          </w:p>
        </w:tc>
      </w:tr>
      <w:tr w:rsidR="000B25E0" w:rsidRPr="000B25E0" w14:paraId="2BFA00C1" w14:textId="77777777" w:rsidTr="00BF5EF3">
        <w:trPr>
          <w:trHeight w:val="578"/>
          <w:jc w:val="center"/>
        </w:trPr>
        <w:tc>
          <w:tcPr>
            <w:tcW w:w="1422" w:type="dxa"/>
            <w:vMerge/>
            <w:vAlign w:val="center"/>
          </w:tcPr>
          <w:p w14:paraId="26E9AE88" w14:textId="77777777" w:rsidR="000B25E0" w:rsidRPr="000B25E0" w:rsidRDefault="000B25E0" w:rsidP="000B25E0">
            <w:pPr>
              <w:spacing w:line="440" w:lineRule="exact"/>
              <w:rPr>
                <w:rFonts w:ascii="宋体" w:eastAsia="宋体" w:hAnsi="宋体" w:cs="Times New Roman"/>
                <w:b/>
                <w:sz w:val="24"/>
              </w:rPr>
            </w:pPr>
          </w:p>
        </w:tc>
        <w:tc>
          <w:tcPr>
            <w:tcW w:w="1452" w:type="dxa"/>
            <w:vAlign w:val="center"/>
          </w:tcPr>
          <w:p w14:paraId="6DD96D1F"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课堂表现</w:t>
            </w:r>
          </w:p>
        </w:tc>
        <w:tc>
          <w:tcPr>
            <w:tcW w:w="1559" w:type="dxa"/>
            <w:vAlign w:val="center"/>
          </w:tcPr>
          <w:p w14:paraId="493C36AC"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阶段测试</w:t>
            </w:r>
          </w:p>
        </w:tc>
        <w:tc>
          <w:tcPr>
            <w:tcW w:w="1701" w:type="dxa"/>
            <w:vAlign w:val="center"/>
          </w:tcPr>
          <w:p w14:paraId="260A3A6E"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课程论文</w:t>
            </w:r>
          </w:p>
        </w:tc>
        <w:tc>
          <w:tcPr>
            <w:tcW w:w="1559" w:type="dxa"/>
            <w:vAlign w:val="center"/>
          </w:tcPr>
          <w:p w14:paraId="71704E8C"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期末考试</w:t>
            </w:r>
          </w:p>
        </w:tc>
        <w:tc>
          <w:tcPr>
            <w:tcW w:w="1559" w:type="dxa"/>
            <w:vMerge/>
          </w:tcPr>
          <w:p w14:paraId="7C8240B9" w14:textId="77777777" w:rsidR="000B25E0" w:rsidRPr="000B25E0" w:rsidRDefault="000B25E0" w:rsidP="000B25E0">
            <w:pPr>
              <w:spacing w:line="440" w:lineRule="exact"/>
              <w:rPr>
                <w:rFonts w:ascii="宋体" w:eastAsia="宋体" w:hAnsi="宋体" w:cs="Times New Roman"/>
                <w:b/>
                <w:sz w:val="24"/>
              </w:rPr>
            </w:pPr>
          </w:p>
        </w:tc>
      </w:tr>
      <w:tr w:rsidR="000B25E0" w:rsidRPr="000B25E0" w14:paraId="55FDFCA3" w14:textId="77777777" w:rsidTr="00BF5EF3">
        <w:trPr>
          <w:jc w:val="center"/>
        </w:trPr>
        <w:tc>
          <w:tcPr>
            <w:tcW w:w="1422" w:type="dxa"/>
            <w:vAlign w:val="center"/>
          </w:tcPr>
          <w:p w14:paraId="30FBB638"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课程目标1</w:t>
            </w:r>
          </w:p>
        </w:tc>
        <w:tc>
          <w:tcPr>
            <w:tcW w:w="1452" w:type="dxa"/>
            <w:vAlign w:val="center"/>
          </w:tcPr>
          <w:p w14:paraId="438A4E79"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5</w:t>
            </w:r>
          </w:p>
        </w:tc>
        <w:tc>
          <w:tcPr>
            <w:tcW w:w="1559" w:type="dxa"/>
            <w:vAlign w:val="center"/>
          </w:tcPr>
          <w:p w14:paraId="2BF1406A"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6140EEC8"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13156B6A"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20</w:t>
            </w:r>
          </w:p>
        </w:tc>
        <w:tc>
          <w:tcPr>
            <w:tcW w:w="1559" w:type="dxa"/>
          </w:tcPr>
          <w:p w14:paraId="37C6858B"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35</w:t>
            </w:r>
          </w:p>
        </w:tc>
      </w:tr>
      <w:tr w:rsidR="000B25E0" w:rsidRPr="000B25E0" w14:paraId="1AA3C21F" w14:textId="77777777" w:rsidTr="00BF5EF3">
        <w:trPr>
          <w:jc w:val="center"/>
        </w:trPr>
        <w:tc>
          <w:tcPr>
            <w:tcW w:w="1422" w:type="dxa"/>
            <w:vAlign w:val="center"/>
          </w:tcPr>
          <w:p w14:paraId="0BD1DC93"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课程目标2</w:t>
            </w:r>
          </w:p>
        </w:tc>
        <w:tc>
          <w:tcPr>
            <w:tcW w:w="1452" w:type="dxa"/>
            <w:vAlign w:val="center"/>
          </w:tcPr>
          <w:p w14:paraId="0D07A156"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559" w:type="dxa"/>
            <w:vAlign w:val="center"/>
          </w:tcPr>
          <w:p w14:paraId="78C520FA"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3D8F14A0"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35171711"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20</w:t>
            </w:r>
          </w:p>
        </w:tc>
        <w:tc>
          <w:tcPr>
            <w:tcW w:w="1559" w:type="dxa"/>
          </w:tcPr>
          <w:p w14:paraId="51DCB1F4"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40</w:t>
            </w:r>
          </w:p>
        </w:tc>
      </w:tr>
      <w:tr w:rsidR="000B25E0" w:rsidRPr="000B25E0" w14:paraId="222F1A94" w14:textId="77777777" w:rsidTr="00BF5EF3">
        <w:trPr>
          <w:jc w:val="center"/>
        </w:trPr>
        <w:tc>
          <w:tcPr>
            <w:tcW w:w="1422" w:type="dxa"/>
            <w:vAlign w:val="center"/>
          </w:tcPr>
          <w:p w14:paraId="175AE8FE"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课程目标3</w:t>
            </w:r>
          </w:p>
        </w:tc>
        <w:tc>
          <w:tcPr>
            <w:tcW w:w="1452" w:type="dxa"/>
            <w:vAlign w:val="center"/>
          </w:tcPr>
          <w:p w14:paraId="15A927ED"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5</w:t>
            </w:r>
          </w:p>
        </w:tc>
        <w:tc>
          <w:tcPr>
            <w:tcW w:w="1559" w:type="dxa"/>
            <w:vAlign w:val="center"/>
          </w:tcPr>
          <w:p w14:paraId="156D65CC"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20E70D84"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5AFE4297"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559" w:type="dxa"/>
          </w:tcPr>
          <w:p w14:paraId="674D7930"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25</w:t>
            </w:r>
          </w:p>
        </w:tc>
      </w:tr>
      <w:tr w:rsidR="000B25E0" w:rsidRPr="000B25E0" w14:paraId="15DF343F" w14:textId="77777777" w:rsidTr="00BF5EF3">
        <w:trPr>
          <w:jc w:val="center"/>
        </w:trPr>
        <w:tc>
          <w:tcPr>
            <w:tcW w:w="1422" w:type="dxa"/>
            <w:vAlign w:val="center"/>
          </w:tcPr>
          <w:p w14:paraId="041B6813"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合计</w:t>
            </w:r>
          </w:p>
        </w:tc>
        <w:tc>
          <w:tcPr>
            <w:tcW w:w="1452" w:type="dxa"/>
            <w:vAlign w:val="center"/>
          </w:tcPr>
          <w:p w14:paraId="2A745F3F"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20</w:t>
            </w:r>
          </w:p>
        </w:tc>
        <w:tc>
          <w:tcPr>
            <w:tcW w:w="1559" w:type="dxa"/>
            <w:vAlign w:val="center"/>
          </w:tcPr>
          <w:p w14:paraId="4D76AC28"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30</w:t>
            </w:r>
          </w:p>
        </w:tc>
        <w:tc>
          <w:tcPr>
            <w:tcW w:w="1701" w:type="dxa"/>
            <w:vAlign w:val="center"/>
          </w:tcPr>
          <w:p w14:paraId="5CB7642E"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028B16E6"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50</w:t>
            </w:r>
          </w:p>
        </w:tc>
        <w:tc>
          <w:tcPr>
            <w:tcW w:w="1559" w:type="dxa"/>
          </w:tcPr>
          <w:p w14:paraId="2CFA3565"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w:t>
            </w:r>
            <w:r w:rsidRPr="000B25E0">
              <w:rPr>
                <w:rFonts w:ascii="宋体" w:eastAsia="宋体" w:hAnsi="宋体" w:cs="Times New Roman"/>
                <w:bCs/>
                <w:sz w:val="24"/>
              </w:rPr>
              <w:t>00</w:t>
            </w:r>
          </w:p>
        </w:tc>
      </w:tr>
    </w:tbl>
    <w:p w14:paraId="2EE4031E" w14:textId="77777777" w:rsidR="000B25E0" w:rsidRPr="000B25E0" w:rsidRDefault="000B25E0" w:rsidP="000B25E0">
      <w:pPr>
        <w:spacing w:line="440" w:lineRule="exact"/>
        <w:ind w:firstLineChars="200" w:firstLine="480"/>
        <w:rPr>
          <w:rFonts w:ascii="宋体" w:eastAsia="宋体" w:hAnsi="宋体" w:cs="Times New Roman"/>
          <w:sz w:val="24"/>
        </w:rPr>
      </w:pPr>
    </w:p>
    <w:p w14:paraId="7C587282" w14:textId="77777777" w:rsidR="000B25E0" w:rsidRPr="000B25E0" w:rsidRDefault="000B25E0" w:rsidP="00C63ECC">
      <w:pPr>
        <w:pStyle w:val="afc"/>
      </w:pPr>
      <w:bookmarkStart w:id="74" w:name="_Toc19882"/>
      <w:r w:rsidRPr="000B25E0">
        <w:rPr>
          <w:rFonts w:hint="eastAsia"/>
        </w:rPr>
        <w:t>五、成绩评定</w:t>
      </w:r>
      <w:bookmarkEnd w:id="74"/>
    </w:p>
    <w:p w14:paraId="682DD28B"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（一）总成绩评定</w:t>
      </w:r>
    </w:p>
    <w:p w14:paraId="40F31F4C"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总成绩=平时成绩×20%+期中成绩×30%+期末成绩×50%</w:t>
      </w:r>
    </w:p>
    <w:p w14:paraId="4A0489AA"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备注：每学期总成绩</w:t>
      </w:r>
    </w:p>
    <w:p w14:paraId="2B221D8B"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color w:val="FF0000"/>
          <w:sz w:val="24"/>
        </w:rPr>
      </w:pPr>
      <w:r w:rsidRPr="000B25E0">
        <w:rPr>
          <w:rFonts w:ascii="黑体" w:eastAsia="黑体" w:hAnsi="黑体" w:cs="Times New Roman" w:hint="eastAsia"/>
          <w:sz w:val="28"/>
          <w:szCs w:val="28"/>
        </w:rPr>
        <w:t>（二）平时成绩评定</w:t>
      </w:r>
    </w:p>
    <w:p w14:paraId="56D42EB8"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（1）课堂表现：通过学生在课堂上的表现情况、发言与主体参与和练习情况，来评价学生相关的能力。</w:t>
      </w:r>
    </w:p>
    <w:p w14:paraId="25111ECA"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（2）作业完成情况：围绕课程的学习目标进行作业的设计。如让学生简述对知识的认识，建议</w:t>
      </w:r>
      <w:proofErr w:type="gramStart"/>
      <w:r w:rsidRPr="000B25E0">
        <w:rPr>
          <w:rFonts w:ascii="宋体" w:eastAsia="宋体" w:hAnsi="宋体" w:cs="Times New Roman" w:hint="eastAsia"/>
          <w:sz w:val="24"/>
        </w:rPr>
        <w:t>带准备</w:t>
      </w:r>
      <w:proofErr w:type="gramEnd"/>
      <w:r w:rsidRPr="000B25E0">
        <w:rPr>
          <w:rFonts w:ascii="宋体" w:eastAsia="宋体" w:hAnsi="宋体" w:cs="Times New Roman" w:hint="eastAsia"/>
          <w:sz w:val="24"/>
        </w:rPr>
        <w:t>部分和基本部分中的复习内容，帮助学生将定义转化为自己的理解。学生在小组合作学习中测验掌握课程的情况</w:t>
      </w:r>
    </w:p>
    <w:p w14:paraId="1CD6EBF9" w14:textId="77777777" w:rsidR="000B25E0" w:rsidRPr="000B25E0" w:rsidRDefault="000B25E0" w:rsidP="000B25E0">
      <w:pPr>
        <w:spacing w:line="440" w:lineRule="exact"/>
        <w:ind w:firstLineChars="200" w:firstLine="480"/>
        <w:rPr>
          <w:rFonts w:ascii="宋体" w:eastAsia="宋体" w:hAnsi="宋体" w:cs="Times New Roman"/>
          <w:color w:val="FF0000"/>
          <w:sz w:val="24"/>
        </w:rPr>
      </w:pPr>
      <w:r w:rsidRPr="000B25E0">
        <w:rPr>
          <w:rFonts w:ascii="宋体" w:eastAsia="宋体" w:hAnsi="宋体" w:cs="Times New Roman" w:hint="eastAsia"/>
          <w:sz w:val="24"/>
        </w:rPr>
        <w:t>（3）课堂考勤：留存辅导员开具的事假条、校医院开具的病假条。缺课达到本学期三分之一课时，按照考试无资格处理。</w:t>
      </w:r>
    </w:p>
    <w:p w14:paraId="7C2778F5" w14:textId="77777777" w:rsidR="000B25E0" w:rsidRPr="000B25E0" w:rsidRDefault="000B25E0" w:rsidP="000B25E0">
      <w:pPr>
        <w:spacing w:beforeLines="50" w:before="156" w:afterLines="50" w:after="156" w:line="440" w:lineRule="exact"/>
        <w:ind w:firstLineChars="100" w:firstLine="280"/>
        <w:rPr>
          <w:rFonts w:ascii="黑体" w:eastAsia="黑体" w:hAnsi="黑体" w:cs="Times New Roman"/>
          <w:sz w:val="28"/>
          <w:szCs w:val="28"/>
        </w:rPr>
      </w:pPr>
      <w:r w:rsidRPr="000B25E0">
        <w:rPr>
          <w:rFonts w:ascii="黑体" w:eastAsia="黑体" w:hAnsi="黑体" w:cs="Times New Roman" w:hint="eastAsia"/>
          <w:sz w:val="28"/>
          <w:szCs w:val="28"/>
        </w:rPr>
        <w:t>（三）期中、期末成绩评定</w:t>
      </w:r>
    </w:p>
    <w:p w14:paraId="1158567A"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第一学期</w:t>
      </w:r>
    </w:p>
    <w:p w14:paraId="04FA4963"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期中考试</w:t>
      </w:r>
    </w:p>
    <w:p w14:paraId="10DDFDE2" w14:textId="77777777" w:rsidR="000B25E0" w:rsidRPr="000B25E0" w:rsidRDefault="000B25E0" w:rsidP="000B25E0">
      <w:pPr>
        <w:adjustRightInd w:val="0"/>
        <w:snapToGrid w:val="0"/>
        <w:spacing w:line="500" w:lineRule="exact"/>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通过考核检验体能训练教学效果和学生掌握情况，让学生了解体质健康标准测验的重要性。</w:t>
      </w:r>
    </w:p>
    <w:p w14:paraId="2F61934E"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立定跳远。</w:t>
      </w:r>
    </w:p>
    <w:p w14:paraId="4D5CE6C2"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沙坑场地，每人跳两次，取最好成绩。</w:t>
      </w:r>
    </w:p>
    <w:p w14:paraId="000D8F00"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数量及技术评定分值各为100分，各占总分值的20%，</w:t>
      </w:r>
    </w:p>
    <w:p w14:paraId="2333A368"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Cs/>
          <w:kern w:val="0"/>
          <w:sz w:val="24"/>
        </w:rPr>
        <w:lastRenderedPageBreak/>
        <w:t>总分值为100分。</w:t>
      </w:r>
    </w:p>
    <w:p w14:paraId="0F108D4D" w14:textId="77777777" w:rsidR="000B25E0" w:rsidRPr="000B25E0" w:rsidRDefault="000B25E0" w:rsidP="000B25E0">
      <w:pPr>
        <w:adjustRightInd w:val="0"/>
        <w:snapToGrid w:val="0"/>
        <w:spacing w:line="500" w:lineRule="exact"/>
        <w:jc w:val="left"/>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p w14:paraId="09096CC9" w14:textId="77777777" w:rsidR="000B25E0" w:rsidRPr="000B25E0" w:rsidRDefault="000B25E0" w:rsidP="000B25E0">
      <w:pPr>
        <w:adjustRightInd w:val="0"/>
        <w:snapToGrid w:val="0"/>
        <w:spacing w:line="500" w:lineRule="exact"/>
        <w:jc w:val="left"/>
        <w:rPr>
          <w:rFonts w:ascii="宋体" w:eastAsia="宋体" w:hAnsi="Calibri" w:cs="Times New Roman"/>
          <w:b/>
          <w:kern w:val="0"/>
          <w:sz w:val="24"/>
        </w:rPr>
      </w:pPr>
    </w:p>
    <w:p w14:paraId="499F1C22"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0B25E0" w:rsidRPr="000B25E0" w14:paraId="548D9F71" w14:textId="77777777" w:rsidTr="00BF5E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8071845"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433AF9B1"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889C10F"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大</w:t>
            </w:r>
            <w:proofErr w:type="gramStart"/>
            <w:r w:rsidRPr="000B25E0">
              <w:rPr>
                <w:rFonts w:ascii="宋体" w:eastAsia="宋体" w:hAnsi="宋体" w:cs="宋体" w:hint="eastAsia"/>
                <w:b/>
                <w:kern w:val="0"/>
                <w:sz w:val="24"/>
                <w:lang w:bidi="ar"/>
              </w:rPr>
              <w:t>一</w:t>
            </w:r>
            <w:proofErr w:type="gramEnd"/>
            <w:r w:rsidRPr="000B25E0">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67C03A68"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大</w:t>
            </w:r>
            <w:proofErr w:type="gramStart"/>
            <w:r w:rsidRPr="000B25E0">
              <w:rPr>
                <w:rFonts w:ascii="宋体" w:eastAsia="宋体" w:hAnsi="宋体" w:cs="宋体" w:hint="eastAsia"/>
                <w:b/>
                <w:kern w:val="0"/>
                <w:sz w:val="24"/>
                <w:lang w:bidi="ar"/>
              </w:rPr>
              <w:t>一</w:t>
            </w:r>
            <w:proofErr w:type="gramEnd"/>
            <w:r w:rsidRPr="000B25E0">
              <w:rPr>
                <w:rFonts w:ascii="宋体" w:eastAsia="宋体" w:hAnsi="宋体" w:cs="宋体" w:hint="eastAsia"/>
                <w:b/>
                <w:kern w:val="0"/>
                <w:sz w:val="24"/>
                <w:lang w:bidi="ar"/>
              </w:rPr>
              <w:t>女生</w:t>
            </w:r>
          </w:p>
        </w:tc>
      </w:tr>
      <w:tr w:rsidR="000B25E0" w:rsidRPr="000B25E0" w14:paraId="17A17DC9" w14:textId="77777777" w:rsidTr="00BF5E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82A8EF6"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3BB5632"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74E6AC67" w14:textId="77777777" w:rsidR="000B25E0" w:rsidRPr="000B25E0" w:rsidRDefault="000B25E0" w:rsidP="000B25E0">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5070EF84" w14:textId="77777777" w:rsidR="000B25E0" w:rsidRPr="000B25E0" w:rsidRDefault="000B25E0" w:rsidP="000B25E0">
            <w:pPr>
              <w:jc w:val="center"/>
              <w:rPr>
                <w:rFonts w:ascii="宋体" w:eastAsia="宋体" w:hAnsi="宋体" w:cs="宋体"/>
                <w:b/>
                <w:sz w:val="24"/>
              </w:rPr>
            </w:pPr>
          </w:p>
        </w:tc>
      </w:tr>
      <w:tr w:rsidR="000B25E0" w:rsidRPr="000B25E0" w14:paraId="2C8385B6"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96351E7"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6249C223"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42A9B3E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036749B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207</w:t>
            </w:r>
          </w:p>
        </w:tc>
      </w:tr>
      <w:tr w:rsidR="000B25E0" w:rsidRPr="000B25E0" w14:paraId="25529BD6"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CAD729B"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51275D5"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203F37D5"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344DBCD9"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201</w:t>
            </w:r>
          </w:p>
        </w:tc>
      </w:tr>
      <w:tr w:rsidR="000B25E0" w:rsidRPr="000B25E0" w14:paraId="3C50F0A8"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D3133C3"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39BA393"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DEE8E3"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69925E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195</w:t>
            </w:r>
          </w:p>
        </w:tc>
      </w:tr>
      <w:tr w:rsidR="000B25E0" w:rsidRPr="000B25E0" w14:paraId="67056517"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82D24AB"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6E45A1C"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4161C188"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5E4A64A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188</w:t>
            </w:r>
          </w:p>
        </w:tc>
      </w:tr>
      <w:tr w:rsidR="000B25E0" w:rsidRPr="000B25E0" w14:paraId="24F8700A"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5040330"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5FB2E7E"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0335A62"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D1F4DC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181</w:t>
            </w:r>
          </w:p>
        </w:tc>
      </w:tr>
      <w:tr w:rsidR="000B25E0" w:rsidRPr="000B25E0" w14:paraId="2CBC8C20"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9EEFCCF"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10656E7D"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1E4C6A5C"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749900B1"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178</w:t>
            </w:r>
          </w:p>
        </w:tc>
      </w:tr>
      <w:tr w:rsidR="000B25E0" w:rsidRPr="000B25E0" w14:paraId="2A907F27"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8586AFC"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30D2AB3"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3B2BF71C"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20B3BE19"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175</w:t>
            </w:r>
          </w:p>
        </w:tc>
      </w:tr>
      <w:tr w:rsidR="000B25E0" w:rsidRPr="000B25E0" w14:paraId="00FD952A"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46ACC3F"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02A2E88"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3D47E03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09724CEB"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172</w:t>
            </w:r>
          </w:p>
        </w:tc>
      </w:tr>
      <w:tr w:rsidR="000B25E0" w:rsidRPr="000B25E0" w14:paraId="5B1D012E"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B500BCE"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8E1A35E"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33454812"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03EAA087"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169</w:t>
            </w:r>
          </w:p>
        </w:tc>
      </w:tr>
      <w:tr w:rsidR="000B25E0" w:rsidRPr="000B25E0" w14:paraId="5DAA0515"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2C32D03"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4A283C4"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39A5A81C"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232F039B"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166</w:t>
            </w:r>
          </w:p>
        </w:tc>
      </w:tr>
      <w:tr w:rsidR="000B25E0" w:rsidRPr="000B25E0" w14:paraId="5A7D0AB6"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E91E42C"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DEB5B41"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69189C5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70327345"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163</w:t>
            </w:r>
          </w:p>
        </w:tc>
      </w:tr>
      <w:tr w:rsidR="000B25E0" w:rsidRPr="000B25E0" w14:paraId="5A511F0A"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A10D0A5"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2210C54"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08E2C9D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7F64D52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160</w:t>
            </w:r>
          </w:p>
        </w:tc>
      </w:tr>
      <w:tr w:rsidR="000B25E0" w:rsidRPr="000B25E0" w14:paraId="3D33C52D"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520AA8E"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13C0752"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76F18078"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9DA77D4"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157</w:t>
            </w:r>
          </w:p>
        </w:tc>
      </w:tr>
      <w:tr w:rsidR="000B25E0" w:rsidRPr="000B25E0" w14:paraId="39F35693"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6201BEE"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8DC1F01"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4F9E1CEA"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7FC815A5"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154</w:t>
            </w:r>
          </w:p>
        </w:tc>
      </w:tr>
      <w:tr w:rsidR="000B25E0" w:rsidRPr="000B25E0" w14:paraId="5FA31F93"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74D1427"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30AF255"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5FFA2B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B12E9E1"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151</w:t>
            </w:r>
          </w:p>
        </w:tc>
      </w:tr>
      <w:tr w:rsidR="000B25E0" w:rsidRPr="000B25E0" w14:paraId="1D7FEFBF"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FFF2525"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A40AEA5"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2E78BE3E"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6927233E"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146</w:t>
            </w:r>
          </w:p>
        </w:tc>
      </w:tr>
      <w:tr w:rsidR="000B25E0" w:rsidRPr="000B25E0" w14:paraId="34AF6CBB"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01D2D48"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A5EF428"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77C96391"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03FDA4F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141</w:t>
            </w:r>
          </w:p>
        </w:tc>
      </w:tr>
      <w:tr w:rsidR="000B25E0" w:rsidRPr="000B25E0" w14:paraId="7C7A5F8E"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8EB0E36"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C8D0402"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48DFAB2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47B4C1C4"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136</w:t>
            </w:r>
          </w:p>
        </w:tc>
      </w:tr>
      <w:tr w:rsidR="000B25E0" w:rsidRPr="000B25E0" w14:paraId="1495A7DE"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DB0C53D"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18BC2B4"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69B92B82"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7FC71C4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131</w:t>
            </w:r>
          </w:p>
        </w:tc>
      </w:tr>
      <w:tr w:rsidR="000B25E0" w:rsidRPr="000B25E0" w14:paraId="1908BD8A"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C55A6B8"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CE9CE18"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00941BC1"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4CF974F5"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126</w:t>
            </w:r>
          </w:p>
        </w:tc>
      </w:tr>
    </w:tbl>
    <w:p w14:paraId="7F5C1099"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p>
    <w:p w14:paraId="09F5CA00"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期末考试</w:t>
      </w:r>
    </w:p>
    <w:p w14:paraId="355324C3" w14:textId="77777777" w:rsidR="000B25E0" w:rsidRPr="000B25E0" w:rsidRDefault="000B25E0" w:rsidP="000B25E0">
      <w:pPr>
        <w:adjustRightInd w:val="0"/>
        <w:snapToGrid w:val="0"/>
        <w:spacing w:line="500" w:lineRule="exact"/>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通过考核检验散打技术教学效果和学生掌握情况，让学生了解选项课内容和科学体育锻炼方式方法。</w:t>
      </w:r>
    </w:p>
    <w:p w14:paraId="51B6209C" w14:textId="77777777" w:rsidR="000B25E0" w:rsidRPr="000B25E0" w:rsidRDefault="000B25E0" w:rsidP="000B25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sz w:val="24"/>
        </w:rPr>
      </w:pPr>
      <w:r w:rsidRPr="000B25E0">
        <w:rPr>
          <w:rFonts w:ascii="宋体" w:eastAsia="宋体" w:hAnsi="Calibri" w:cs="Times New Roman" w:hint="eastAsia"/>
          <w:b/>
          <w:kern w:val="0"/>
          <w:sz w:val="24"/>
        </w:rPr>
        <w:t>2.课程考核的内容：</w:t>
      </w:r>
      <w:r w:rsidRPr="000B25E0">
        <w:rPr>
          <w:rFonts w:ascii="Calibri" w:eastAsia="宋体" w:hAnsi="Calibri" w:cs="Times New Roman" w:hint="eastAsia"/>
          <w:color w:val="000000"/>
          <w:sz w:val="24"/>
        </w:rPr>
        <w:t>拳法的靶上单项动作</w:t>
      </w:r>
    </w:p>
    <w:p w14:paraId="530DDD5B" w14:textId="77777777" w:rsidR="000B25E0" w:rsidRPr="000B25E0" w:rsidRDefault="000B25E0" w:rsidP="000B25E0">
      <w:pPr>
        <w:adjustRightInd w:val="0"/>
        <w:snapToGrid w:val="0"/>
        <w:spacing w:line="500" w:lineRule="exact"/>
        <w:jc w:val="left"/>
        <w:rPr>
          <w:rFonts w:ascii="宋体" w:eastAsia="宋体" w:hAnsi="Calibri" w:cs="Times New Roman"/>
          <w:color w:val="00000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2人一组拿靶</w:t>
      </w:r>
      <w:r w:rsidRPr="000B25E0">
        <w:rPr>
          <w:rFonts w:ascii="宋体" w:eastAsia="宋体" w:hAnsi="Calibri" w:cs="Times New Roman" w:hint="eastAsia"/>
          <w:color w:val="000000"/>
          <w:sz w:val="24"/>
        </w:rPr>
        <w:t>，一人打靶，直拳击靶10次，</w:t>
      </w:r>
      <w:proofErr w:type="gramStart"/>
      <w:r w:rsidRPr="000B25E0">
        <w:rPr>
          <w:rFonts w:ascii="宋体" w:eastAsia="宋体" w:hAnsi="Calibri" w:cs="Times New Roman" w:hint="eastAsia"/>
          <w:color w:val="000000"/>
          <w:sz w:val="24"/>
        </w:rPr>
        <w:t>测试上靶的</w:t>
      </w:r>
      <w:proofErr w:type="gramEnd"/>
      <w:r w:rsidRPr="000B25E0">
        <w:rPr>
          <w:rFonts w:ascii="宋体" w:eastAsia="宋体" w:hAnsi="Calibri" w:cs="Times New Roman" w:hint="eastAsia"/>
          <w:color w:val="000000"/>
          <w:sz w:val="24"/>
        </w:rPr>
        <w:t>基准度与力度、速度</w:t>
      </w:r>
    </w:p>
    <w:p w14:paraId="55F1E059"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lastRenderedPageBreak/>
        <w:t>4.成绩构成及分值：</w:t>
      </w:r>
      <w:r w:rsidRPr="000B25E0">
        <w:rPr>
          <w:rFonts w:ascii="宋体" w:eastAsia="宋体" w:hAnsi="Calibri" w:cs="Times New Roman" w:hint="eastAsia"/>
          <w:bCs/>
          <w:kern w:val="0"/>
          <w:sz w:val="24"/>
        </w:rPr>
        <w:t>力度及技术评定分值各为100分，各占总分值的20%，</w:t>
      </w:r>
    </w:p>
    <w:p w14:paraId="3B388C93"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Cs/>
          <w:kern w:val="0"/>
          <w:sz w:val="24"/>
        </w:rPr>
        <w:t>总分值为100分。</w:t>
      </w:r>
    </w:p>
    <w:p w14:paraId="0375BFDE" w14:textId="77777777" w:rsidR="000B25E0" w:rsidRPr="000B25E0" w:rsidRDefault="000B25E0" w:rsidP="000B25E0">
      <w:pPr>
        <w:adjustRightInd w:val="0"/>
        <w:snapToGrid w:val="0"/>
        <w:spacing w:line="500" w:lineRule="exact"/>
        <w:jc w:val="left"/>
        <w:rPr>
          <w:rFonts w:ascii="宋体" w:eastAsia="宋体" w:hAnsi="Calibri" w:cs="Times New Roman"/>
          <w:b/>
          <w:color w:val="000000"/>
          <w:sz w:val="24"/>
        </w:rPr>
      </w:pPr>
      <w:r w:rsidRPr="000B25E0">
        <w:rPr>
          <w:rFonts w:ascii="宋体" w:eastAsia="宋体" w:hAnsi="Calibri" w:cs="Times New Roman" w:hint="eastAsia"/>
          <w:b/>
          <w:kern w:val="0"/>
          <w:sz w:val="24"/>
        </w:rPr>
        <w:t>5.评分记分原则：</w:t>
      </w:r>
    </w:p>
    <w:p w14:paraId="574E60AB" w14:textId="77777777" w:rsidR="000B25E0" w:rsidRPr="000B25E0" w:rsidRDefault="000B25E0" w:rsidP="000B25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宋体" w:eastAsia="宋体" w:hAnsi="Calibri" w:cs="Times New Roman"/>
          <w:bCs/>
          <w:color w:val="000000"/>
          <w:sz w:val="24"/>
        </w:rPr>
      </w:pPr>
    </w:p>
    <w:tbl>
      <w:tblPr>
        <w:tblW w:w="0" w:type="auto"/>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5"/>
        <w:gridCol w:w="780"/>
        <w:gridCol w:w="840"/>
        <w:gridCol w:w="825"/>
        <w:gridCol w:w="795"/>
        <w:gridCol w:w="750"/>
        <w:gridCol w:w="705"/>
        <w:gridCol w:w="720"/>
        <w:gridCol w:w="675"/>
        <w:gridCol w:w="720"/>
        <w:gridCol w:w="780"/>
      </w:tblGrid>
      <w:tr w:rsidR="000B25E0" w:rsidRPr="000B25E0" w14:paraId="2AB654AB" w14:textId="77777777" w:rsidTr="00BF5EF3">
        <w:trPr>
          <w:trHeight w:val="765"/>
        </w:trPr>
        <w:tc>
          <w:tcPr>
            <w:tcW w:w="1605" w:type="dxa"/>
            <w:tcBorders>
              <w:top w:val="single" w:sz="4" w:space="0" w:color="auto"/>
              <w:left w:val="single" w:sz="4" w:space="0" w:color="auto"/>
              <w:bottom w:val="single" w:sz="4" w:space="0" w:color="auto"/>
              <w:right w:val="single" w:sz="4" w:space="0" w:color="auto"/>
            </w:tcBorders>
          </w:tcPr>
          <w:p w14:paraId="74DF62B9" w14:textId="77777777" w:rsidR="000B25E0" w:rsidRPr="000B25E0" w:rsidRDefault="000B25E0" w:rsidP="000B25E0">
            <w:pPr>
              <w:jc w:val="center"/>
              <w:rPr>
                <w:rFonts w:ascii="宋体" w:eastAsia="宋体" w:hAnsi="Calibri" w:cs="Times New Roman"/>
                <w:color w:val="000000"/>
              </w:rPr>
            </w:pPr>
            <w:r w:rsidRPr="000B25E0">
              <w:rPr>
                <w:rFonts w:ascii="Calibri" w:eastAsia="宋体" w:hAnsi="Calibri" w:cs="Times New Roman"/>
                <w:noProof/>
              </w:rPr>
              <mc:AlternateContent>
                <mc:Choice Requires="wpg">
                  <w:drawing>
                    <wp:anchor distT="0" distB="0" distL="114300" distR="114300" simplePos="0" relativeHeight="251685888" behindDoc="0" locked="0" layoutInCell="1" allowOverlap="1" wp14:anchorId="56400009" wp14:editId="704E4563">
                      <wp:simplePos x="0" y="0"/>
                      <wp:positionH relativeFrom="column">
                        <wp:posOffset>-63500</wp:posOffset>
                      </wp:positionH>
                      <wp:positionV relativeFrom="paragraph">
                        <wp:posOffset>635</wp:posOffset>
                      </wp:positionV>
                      <wp:extent cx="871855" cy="427990"/>
                      <wp:effectExtent l="1905" t="4445" r="2540" b="5715"/>
                      <wp:wrapNone/>
                      <wp:docPr id="36" name="组合 36"/>
                      <wp:cNvGraphicFramePr/>
                      <a:graphic xmlns:a="http://schemas.openxmlformats.org/drawingml/2006/main">
                        <a:graphicData uri="http://schemas.microsoft.com/office/word/2010/wordprocessingGroup">
                          <wpg:wgp>
                            <wpg:cNvGrpSpPr/>
                            <wpg:grpSpPr>
                              <a:xfrm>
                                <a:off x="0" y="0"/>
                                <a:ext cx="871855" cy="427990"/>
                                <a:chOff x="0" y="0"/>
                                <a:chExt cx="1898" cy="755"/>
                              </a:xfrm>
                              <a:effectLst/>
                            </wpg:grpSpPr>
                            <wps:wsp>
                              <wps:cNvPr id="37" name="__TH_L35"/>
                              <wps:cNvCnPr/>
                              <wps:spPr>
                                <a:xfrm>
                                  <a:off x="0" y="0"/>
                                  <a:ext cx="1898" cy="755"/>
                                </a:xfrm>
                                <a:prstGeom prst="line">
                                  <a:avLst/>
                                </a:prstGeom>
                                <a:ln w="6350" cap="flat" cmpd="sng">
                                  <a:solidFill>
                                    <a:srgbClr val="000000"/>
                                  </a:solidFill>
                                  <a:prstDash val="solid"/>
                                  <a:headEnd type="none" w="med" len="med"/>
                                  <a:tailEnd type="none" w="med" len="med"/>
                                </a:ln>
                                <a:effectLst/>
                              </wps:spPr>
                              <wps:bodyPr/>
                            </wps:wsp>
                            <wps:wsp>
                              <wps:cNvPr id="38" name="__TH_B1136"/>
                              <wps:cNvSpPr txBox="1"/>
                              <wps:spPr>
                                <a:xfrm>
                                  <a:off x="982" y="52"/>
                                  <a:ext cx="300" cy="300"/>
                                </a:xfrm>
                                <a:prstGeom prst="rect">
                                  <a:avLst/>
                                </a:prstGeom>
                                <a:noFill/>
                                <a:ln w="9525">
                                  <a:noFill/>
                                </a:ln>
                                <a:effectLst/>
                              </wps:spPr>
                              <wps:txbx>
                                <w:txbxContent>
                                  <w:p w14:paraId="21D5FD0C" w14:textId="77777777" w:rsidR="00095B84" w:rsidRDefault="00095B84" w:rsidP="000B25E0">
                                    <w:pPr>
                                      <w:snapToGrid w:val="0"/>
                                      <w:rPr>
                                        <w:sz w:val="24"/>
                                      </w:rPr>
                                    </w:pPr>
                                    <w:r>
                                      <w:rPr>
                                        <w:rFonts w:hint="eastAsia"/>
                                        <w:sz w:val="24"/>
                                      </w:rPr>
                                      <w:t>得</w:t>
                                    </w:r>
                                  </w:p>
                                </w:txbxContent>
                              </wps:txbx>
                              <wps:bodyPr lIns="0" tIns="0" rIns="0" bIns="0" upright="1"/>
                            </wps:wsp>
                            <wps:wsp>
                              <wps:cNvPr id="39" name="__TH_B1237"/>
                              <wps:cNvSpPr txBox="1"/>
                              <wps:spPr>
                                <a:xfrm>
                                  <a:off x="1393" y="215"/>
                                  <a:ext cx="300" cy="300"/>
                                </a:xfrm>
                                <a:prstGeom prst="rect">
                                  <a:avLst/>
                                </a:prstGeom>
                                <a:noFill/>
                                <a:ln w="9525">
                                  <a:noFill/>
                                </a:ln>
                                <a:effectLst/>
                              </wps:spPr>
                              <wps:txbx>
                                <w:txbxContent>
                                  <w:p w14:paraId="681194A7" w14:textId="77777777" w:rsidR="00095B84" w:rsidRDefault="00095B84" w:rsidP="000B25E0">
                                    <w:pPr>
                                      <w:snapToGrid w:val="0"/>
                                      <w:rPr>
                                        <w:sz w:val="24"/>
                                      </w:rPr>
                                    </w:pPr>
                                    <w:r>
                                      <w:rPr>
                                        <w:rFonts w:hint="eastAsia"/>
                                        <w:sz w:val="24"/>
                                      </w:rPr>
                                      <w:t>分</w:t>
                                    </w:r>
                                  </w:p>
                                </w:txbxContent>
                              </wps:txbx>
                              <wps:bodyPr lIns="0" tIns="0" rIns="0" bIns="0" upright="1"/>
                            </wps:wsp>
                            <wps:wsp>
                              <wps:cNvPr id="40" name="__TH_B2138"/>
                              <wps:cNvSpPr txBox="1"/>
                              <wps:spPr>
                                <a:xfrm>
                                  <a:off x="175" y="276"/>
                                  <a:ext cx="300" cy="300"/>
                                </a:xfrm>
                                <a:prstGeom prst="rect">
                                  <a:avLst/>
                                </a:prstGeom>
                                <a:noFill/>
                                <a:ln w="9525">
                                  <a:noFill/>
                                </a:ln>
                                <a:effectLst/>
                              </wps:spPr>
                              <wps:txbx>
                                <w:txbxContent>
                                  <w:p w14:paraId="33AC9B78" w14:textId="77777777" w:rsidR="00095B84" w:rsidRDefault="00095B84" w:rsidP="000B25E0">
                                    <w:pPr>
                                      <w:snapToGrid w:val="0"/>
                                      <w:rPr>
                                        <w:sz w:val="24"/>
                                      </w:rPr>
                                    </w:pPr>
                                    <w:r>
                                      <w:rPr>
                                        <w:rFonts w:hint="eastAsia"/>
                                        <w:sz w:val="24"/>
                                      </w:rPr>
                                      <w:t>项</w:t>
                                    </w:r>
                                  </w:p>
                                </w:txbxContent>
                              </wps:txbx>
                              <wps:bodyPr lIns="0" tIns="0" rIns="0" bIns="0" upright="1"/>
                            </wps:wsp>
                            <wps:wsp>
                              <wps:cNvPr id="41" name="__TH_B2239"/>
                              <wps:cNvSpPr txBox="1"/>
                              <wps:spPr>
                                <a:xfrm>
                                  <a:off x="525" y="415"/>
                                  <a:ext cx="300" cy="300"/>
                                </a:xfrm>
                                <a:prstGeom prst="rect">
                                  <a:avLst/>
                                </a:prstGeom>
                                <a:noFill/>
                                <a:ln w="9525">
                                  <a:noFill/>
                                </a:ln>
                                <a:effectLst/>
                              </wps:spPr>
                              <wps:txbx>
                                <w:txbxContent>
                                  <w:p w14:paraId="2BE12AA8" w14:textId="77777777" w:rsidR="00095B84" w:rsidRDefault="00095B84" w:rsidP="000B25E0">
                                    <w:pPr>
                                      <w:snapToGrid w:val="0"/>
                                      <w:rPr>
                                        <w:sz w:val="24"/>
                                      </w:rPr>
                                    </w:pPr>
                                    <w:r>
                                      <w:rPr>
                                        <w:rFonts w:hint="eastAsia"/>
                                        <w:sz w:val="24"/>
                                      </w:rPr>
                                      <w:t>目</w:t>
                                    </w:r>
                                  </w:p>
                                </w:txbxContent>
                              </wps:txbx>
                              <wps:bodyPr lIns="0" tIns="0" rIns="0" bIns="0" upright="1"/>
                            </wps:wsp>
                          </wpg:wgp>
                        </a:graphicData>
                      </a:graphic>
                    </wp:anchor>
                  </w:drawing>
                </mc:Choice>
                <mc:Fallback>
                  <w:pict>
                    <v:group w14:anchorId="56400009" id="组合 36" o:spid="_x0000_s1038" style="position:absolute;left:0;text-align:left;margin-left:-5pt;margin-top:.05pt;width:68.65pt;height:33.7pt;z-index:251685888" coordsize="1898,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">
                      <v:line id="__TH_L35" o:spid="_x0000_s1039" style="position:absolute;visibility:visible;mso-wrap-style:square" from="0,0" to="1898,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" strokeweight=".5pt"/>
                      <v:shape id="__TH_B1136" o:spid="_x0000_s1040" type="#_x0000_t202" style="position:absolute;left:982;top:52;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LRwAAAANsAAAAPAAAAZHJzL2Rvd25yZXYueG1sRE9Ni8Iw&#10;EL0v+B/CCN7W1B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oPry0cAAAADbAAAADwAAAAAA&#10;AAAAAAAAAAAHAgAAZHJzL2Rvd25yZXYueG1sUEsFBgAAAAADAAMAtwAAAPQCAAAAAA==&#10;" filled="f" stroked="f">
                        <v:textbox inset="0,0,0,0">
                          <w:txbxContent>
                            <w:p w14:paraId="21D5FD0C" w14:textId="77777777" w:rsidR="00095B84" w:rsidRDefault="00095B84" w:rsidP="000B25E0">
                              <w:pPr>
                                <w:snapToGrid w:val="0"/>
                                <w:rPr>
                                  <w:sz w:val="24"/>
                                </w:rPr>
                              </w:pPr>
                              <w:r>
                                <w:rPr>
                                  <w:rFonts w:hint="eastAsia"/>
                                  <w:sz w:val="24"/>
                                </w:rPr>
                                <w:t>得</w:t>
                              </w:r>
                            </w:p>
                          </w:txbxContent>
                        </v:textbox>
                      </v:shape>
                      <v:shape id="__TH_B1237" o:spid="_x0000_s1041" type="#_x0000_t202" style="position:absolute;left:1393;top:2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ldKwwAAANsAAAAPAAAAZHJzL2Rvd25yZXYueG1sRI9Ba8JA&#10;FITvBf/D8gre6qYK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z7ZXSsMAAADbAAAADwAA&#10;AAAAAAAAAAAAAAAHAgAAZHJzL2Rvd25yZXYueG1sUEsFBgAAAAADAAMAtwAAAPcCAAAAAA==&#10;" filled="f" stroked="f">
                        <v:textbox inset="0,0,0,0">
                          <w:txbxContent>
                            <w:p w14:paraId="681194A7" w14:textId="77777777" w:rsidR="00095B84" w:rsidRDefault="00095B84" w:rsidP="000B25E0">
                              <w:pPr>
                                <w:snapToGrid w:val="0"/>
                                <w:rPr>
                                  <w:sz w:val="24"/>
                                </w:rPr>
                              </w:pPr>
                              <w:r>
                                <w:rPr>
                                  <w:rFonts w:hint="eastAsia"/>
                                  <w:sz w:val="24"/>
                                </w:rPr>
                                <w:t>分</w:t>
                              </w:r>
                            </w:p>
                          </w:txbxContent>
                        </v:textbox>
                      </v:shape>
                      <v:shape id="__TH_B2138" o:spid="_x0000_s1042" type="#_x0000_t202" style="position:absolute;left:175;top:276;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o2qwAAAANsAAAAPAAAAZHJzL2Rvd25yZXYueG1sRE9Ni8Iw&#10;EL0v+B/CCN7W1E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BoqNqsAAAADbAAAADwAAAAAA&#10;AAAAAAAAAAAHAgAAZHJzL2Rvd25yZXYueG1sUEsFBgAAAAADAAMAtwAAAPQCAAAAAA==&#10;" filled="f" stroked="f">
                        <v:textbox inset="0,0,0,0">
                          <w:txbxContent>
                            <w:p w14:paraId="33AC9B78" w14:textId="77777777" w:rsidR="00095B84" w:rsidRDefault="00095B84" w:rsidP="000B25E0">
                              <w:pPr>
                                <w:snapToGrid w:val="0"/>
                                <w:rPr>
                                  <w:sz w:val="24"/>
                                </w:rPr>
                              </w:pPr>
                              <w:r>
                                <w:rPr>
                                  <w:rFonts w:hint="eastAsia"/>
                                  <w:sz w:val="24"/>
                                </w:rPr>
                                <w:t>项</w:t>
                              </w:r>
                            </w:p>
                          </w:txbxContent>
                        </v:textbox>
                      </v:shape>
                      <v:shape id="__TH_B2239" o:spid="_x0000_s1043" type="#_x0000_t202" style="position:absolute;left:525;top:4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igxxQAAANsAAAAPAAAAZHJzL2Rvd25yZXYueG1sRI9Ba8JA&#10;FITvhf6H5RW8NRtF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BpxigxxQAAANsAAAAP&#10;AAAAAAAAAAAAAAAAAAcCAABkcnMvZG93bnJldi54bWxQSwUGAAAAAAMAAwC3AAAA+QIAAAAA&#10;" filled="f" stroked="f">
                        <v:textbox inset="0,0,0,0">
                          <w:txbxContent>
                            <w:p w14:paraId="2BE12AA8" w14:textId="77777777" w:rsidR="00095B84" w:rsidRDefault="00095B84" w:rsidP="000B25E0">
                              <w:pPr>
                                <w:snapToGrid w:val="0"/>
                                <w:rPr>
                                  <w:sz w:val="24"/>
                                </w:rPr>
                              </w:pPr>
                              <w:r>
                                <w:rPr>
                                  <w:rFonts w:hint="eastAsia"/>
                                  <w:sz w:val="24"/>
                                </w:rPr>
                                <w:t>目</w:t>
                              </w:r>
                            </w:p>
                          </w:txbxContent>
                        </v:textbox>
                      </v:shape>
                    </v:group>
                  </w:pict>
                </mc:Fallback>
              </mc:AlternateContent>
            </w:r>
          </w:p>
        </w:tc>
        <w:tc>
          <w:tcPr>
            <w:tcW w:w="780" w:type="dxa"/>
            <w:tcBorders>
              <w:top w:val="single" w:sz="4" w:space="0" w:color="auto"/>
              <w:left w:val="single" w:sz="4" w:space="0" w:color="auto"/>
              <w:bottom w:val="single" w:sz="4" w:space="0" w:color="auto"/>
              <w:right w:val="single" w:sz="4" w:space="0" w:color="auto"/>
            </w:tcBorders>
          </w:tcPr>
          <w:p w14:paraId="38DB54E9" w14:textId="77777777" w:rsidR="000B25E0" w:rsidRPr="000B25E0" w:rsidRDefault="000B25E0" w:rsidP="000B25E0">
            <w:pPr>
              <w:jc w:val="center"/>
              <w:rPr>
                <w:rFonts w:ascii="宋体" w:eastAsia="宋体" w:hAnsi="Calibri" w:cs="Times New Roman"/>
                <w:color w:val="000000"/>
              </w:rPr>
            </w:pPr>
          </w:p>
          <w:p w14:paraId="5155324E"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100</w:t>
            </w:r>
          </w:p>
        </w:tc>
        <w:tc>
          <w:tcPr>
            <w:tcW w:w="840" w:type="dxa"/>
            <w:tcBorders>
              <w:top w:val="single" w:sz="4" w:space="0" w:color="auto"/>
              <w:left w:val="single" w:sz="4" w:space="0" w:color="auto"/>
              <w:bottom w:val="single" w:sz="4" w:space="0" w:color="auto"/>
              <w:right w:val="single" w:sz="4" w:space="0" w:color="auto"/>
            </w:tcBorders>
          </w:tcPr>
          <w:p w14:paraId="4C77B500" w14:textId="77777777" w:rsidR="000B25E0" w:rsidRPr="000B25E0" w:rsidRDefault="000B25E0" w:rsidP="000B25E0">
            <w:pPr>
              <w:jc w:val="center"/>
              <w:rPr>
                <w:rFonts w:ascii="宋体" w:eastAsia="宋体" w:hAnsi="Calibri" w:cs="Times New Roman"/>
                <w:color w:val="000000"/>
              </w:rPr>
            </w:pPr>
          </w:p>
          <w:p w14:paraId="27679299"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90</w:t>
            </w:r>
          </w:p>
        </w:tc>
        <w:tc>
          <w:tcPr>
            <w:tcW w:w="825" w:type="dxa"/>
            <w:tcBorders>
              <w:top w:val="single" w:sz="4" w:space="0" w:color="auto"/>
              <w:left w:val="single" w:sz="4" w:space="0" w:color="auto"/>
              <w:bottom w:val="single" w:sz="4" w:space="0" w:color="auto"/>
              <w:right w:val="single" w:sz="4" w:space="0" w:color="auto"/>
            </w:tcBorders>
          </w:tcPr>
          <w:p w14:paraId="4B6FCA01" w14:textId="77777777" w:rsidR="000B25E0" w:rsidRPr="000B25E0" w:rsidRDefault="000B25E0" w:rsidP="000B25E0">
            <w:pPr>
              <w:jc w:val="center"/>
              <w:rPr>
                <w:rFonts w:ascii="宋体" w:eastAsia="宋体" w:hAnsi="Calibri" w:cs="Times New Roman"/>
                <w:color w:val="000000"/>
              </w:rPr>
            </w:pPr>
          </w:p>
          <w:p w14:paraId="1AA55AB6"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80</w:t>
            </w:r>
          </w:p>
        </w:tc>
        <w:tc>
          <w:tcPr>
            <w:tcW w:w="795" w:type="dxa"/>
            <w:tcBorders>
              <w:top w:val="single" w:sz="4" w:space="0" w:color="auto"/>
              <w:left w:val="single" w:sz="4" w:space="0" w:color="auto"/>
              <w:bottom w:val="single" w:sz="4" w:space="0" w:color="auto"/>
              <w:right w:val="single" w:sz="4" w:space="0" w:color="auto"/>
            </w:tcBorders>
          </w:tcPr>
          <w:p w14:paraId="5495C37E" w14:textId="77777777" w:rsidR="000B25E0" w:rsidRPr="000B25E0" w:rsidRDefault="000B25E0" w:rsidP="000B25E0">
            <w:pPr>
              <w:jc w:val="center"/>
              <w:rPr>
                <w:rFonts w:ascii="宋体" w:eastAsia="宋体" w:hAnsi="Calibri" w:cs="Times New Roman"/>
                <w:color w:val="000000"/>
              </w:rPr>
            </w:pPr>
          </w:p>
          <w:p w14:paraId="1079AEA4"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70</w:t>
            </w:r>
          </w:p>
        </w:tc>
        <w:tc>
          <w:tcPr>
            <w:tcW w:w="750" w:type="dxa"/>
            <w:tcBorders>
              <w:top w:val="single" w:sz="4" w:space="0" w:color="auto"/>
              <w:left w:val="single" w:sz="4" w:space="0" w:color="auto"/>
              <w:bottom w:val="single" w:sz="4" w:space="0" w:color="auto"/>
              <w:right w:val="single" w:sz="4" w:space="0" w:color="auto"/>
            </w:tcBorders>
          </w:tcPr>
          <w:p w14:paraId="272D7257" w14:textId="77777777" w:rsidR="000B25E0" w:rsidRPr="000B25E0" w:rsidRDefault="000B25E0" w:rsidP="000B25E0">
            <w:pPr>
              <w:jc w:val="center"/>
              <w:rPr>
                <w:rFonts w:ascii="宋体" w:eastAsia="宋体" w:hAnsi="Calibri" w:cs="Times New Roman"/>
                <w:color w:val="000000"/>
              </w:rPr>
            </w:pPr>
          </w:p>
          <w:p w14:paraId="15884641"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60</w:t>
            </w:r>
          </w:p>
        </w:tc>
        <w:tc>
          <w:tcPr>
            <w:tcW w:w="705" w:type="dxa"/>
            <w:tcBorders>
              <w:top w:val="single" w:sz="4" w:space="0" w:color="auto"/>
              <w:left w:val="single" w:sz="4" w:space="0" w:color="auto"/>
              <w:bottom w:val="single" w:sz="4" w:space="0" w:color="auto"/>
              <w:right w:val="single" w:sz="4" w:space="0" w:color="auto"/>
            </w:tcBorders>
          </w:tcPr>
          <w:p w14:paraId="27FBEC81" w14:textId="77777777" w:rsidR="000B25E0" w:rsidRPr="000B25E0" w:rsidRDefault="000B25E0" w:rsidP="000B25E0">
            <w:pPr>
              <w:jc w:val="center"/>
              <w:rPr>
                <w:rFonts w:ascii="宋体" w:eastAsia="宋体" w:hAnsi="Calibri" w:cs="Times New Roman"/>
                <w:color w:val="000000"/>
              </w:rPr>
            </w:pPr>
          </w:p>
          <w:p w14:paraId="06ACCFE2"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50</w:t>
            </w:r>
          </w:p>
        </w:tc>
        <w:tc>
          <w:tcPr>
            <w:tcW w:w="720" w:type="dxa"/>
            <w:tcBorders>
              <w:top w:val="single" w:sz="4" w:space="0" w:color="auto"/>
              <w:left w:val="single" w:sz="4" w:space="0" w:color="auto"/>
              <w:bottom w:val="single" w:sz="4" w:space="0" w:color="auto"/>
              <w:right w:val="single" w:sz="4" w:space="0" w:color="auto"/>
            </w:tcBorders>
          </w:tcPr>
          <w:p w14:paraId="2EAFBB5D" w14:textId="77777777" w:rsidR="000B25E0" w:rsidRPr="000B25E0" w:rsidRDefault="000B25E0" w:rsidP="000B25E0">
            <w:pPr>
              <w:jc w:val="center"/>
              <w:rPr>
                <w:rFonts w:ascii="宋体" w:eastAsia="宋体" w:hAnsi="Calibri" w:cs="Times New Roman"/>
                <w:color w:val="000000"/>
              </w:rPr>
            </w:pPr>
          </w:p>
          <w:p w14:paraId="26B3A359"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40</w:t>
            </w:r>
          </w:p>
        </w:tc>
        <w:tc>
          <w:tcPr>
            <w:tcW w:w="675" w:type="dxa"/>
            <w:tcBorders>
              <w:top w:val="single" w:sz="4" w:space="0" w:color="auto"/>
              <w:left w:val="single" w:sz="4" w:space="0" w:color="auto"/>
              <w:bottom w:val="single" w:sz="4" w:space="0" w:color="auto"/>
              <w:right w:val="single" w:sz="4" w:space="0" w:color="auto"/>
            </w:tcBorders>
          </w:tcPr>
          <w:p w14:paraId="548E4886" w14:textId="77777777" w:rsidR="000B25E0" w:rsidRPr="000B25E0" w:rsidRDefault="000B25E0" w:rsidP="000B25E0">
            <w:pPr>
              <w:jc w:val="center"/>
              <w:rPr>
                <w:rFonts w:ascii="宋体" w:eastAsia="宋体" w:hAnsi="Calibri" w:cs="Times New Roman"/>
                <w:color w:val="000000"/>
              </w:rPr>
            </w:pPr>
          </w:p>
          <w:p w14:paraId="7181298C"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30</w:t>
            </w:r>
          </w:p>
        </w:tc>
        <w:tc>
          <w:tcPr>
            <w:tcW w:w="720" w:type="dxa"/>
            <w:tcBorders>
              <w:top w:val="single" w:sz="4" w:space="0" w:color="auto"/>
              <w:left w:val="single" w:sz="4" w:space="0" w:color="auto"/>
              <w:bottom w:val="single" w:sz="4" w:space="0" w:color="auto"/>
              <w:right w:val="single" w:sz="4" w:space="0" w:color="auto"/>
            </w:tcBorders>
          </w:tcPr>
          <w:p w14:paraId="0323DD25" w14:textId="77777777" w:rsidR="000B25E0" w:rsidRPr="000B25E0" w:rsidRDefault="000B25E0" w:rsidP="000B25E0">
            <w:pPr>
              <w:jc w:val="center"/>
              <w:rPr>
                <w:rFonts w:ascii="宋体" w:eastAsia="宋体" w:hAnsi="Calibri" w:cs="Times New Roman"/>
                <w:color w:val="000000"/>
              </w:rPr>
            </w:pPr>
          </w:p>
          <w:p w14:paraId="11E77C88" w14:textId="77777777" w:rsidR="000B25E0" w:rsidRPr="000B25E0" w:rsidRDefault="000B25E0" w:rsidP="000B25E0">
            <w:pPr>
              <w:jc w:val="center"/>
              <w:rPr>
                <w:rFonts w:ascii="Calibri" w:eastAsia="宋体" w:hAnsi="Calibri" w:cs="Times New Roman"/>
              </w:rPr>
            </w:pPr>
            <w:r w:rsidRPr="000B25E0">
              <w:rPr>
                <w:rFonts w:ascii="宋体" w:eastAsia="宋体" w:hAnsi="Calibri" w:cs="Times New Roman" w:hint="eastAsia"/>
                <w:color w:val="000000"/>
              </w:rPr>
              <w:t>20</w:t>
            </w:r>
          </w:p>
        </w:tc>
        <w:tc>
          <w:tcPr>
            <w:tcW w:w="780" w:type="dxa"/>
            <w:tcBorders>
              <w:top w:val="single" w:sz="4" w:space="0" w:color="auto"/>
              <w:left w:val="single" w:sz="4" w:space="0" w:color="auto"/>
              <w:bottom w:val="single" w:sz="4" w:space="0" w:color="auto"/>
              <w:right w:val="single" w:sz="4" w:space="0" w:color="auto"/>
            </w:tcBorders>
          </w:tcPr>
          <w:p w14:paraId="78A127B3" w14:textId="77777777" w:rsidR="000B25E0" w:rsidRPr="000B25E0" w:rsidRDefault="000B25E0" w:rsidP="000B25E0">
            <w:pPr>
              <w:jc w:val="center"/>
              <w:rPr>
                <w:rFonts w:ascii="宋体" w:eastAsia="宋体" w:hAnsi="Calibri" w:cs="Times New Roman"/>
                <w:color w:val="000000"/>
              </w:rPr>
            </w:pPr>
          </w:p>
          <w:p w14:paraId="597CFB02"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10</w:t>
            </w:r>
          </w:p>
        </w:tc>
      </w:tr>
      <w:tr w:rsidR="000B25E0" w:rsidRPr="000B25E0" w14:paraId="25DE0C9A" w14:textId="77777777" w:rsidTr="00BF5EF3">
        <w:trPr>
          <w:trHeight w:val="801"/>
        </w:trPr>
        <w:tc>
          <w:tcPr>
            <w:tcW w:w="1605" w:type="dxa"/>
            <w:tcBorders>
              <w:top w:val="single" w:sz="4" w:space="0" w:color="auto"/>
              <w:left w:val="single" w:sz="4" w:space="0" w:color="auto"/>
              <w:bottom w:val="single" w:sz="4" w:space="0" w:color="auto"/>
              <w:right w:val="single" w:sz="4" w:space="0" w:color="auto"/>
            </w:tcBorders>
          </w:tcPr>
          <w:p w14:paraId="2FDAEEE7" w14:textId="77777777" w:rsidR="000B25E0" w:rsidRPr="000B25E0" w:rsidRDefault="000B25E0" w:rsidP="000B25E0">
            <w:pPr>
              <w:jc w:val="center"/>
              <w:rPr>
                <w:rFonts w:ascii="Calibri" w:eastAsia="宋体" w:hAnsi="Calibri" w:cs="Times New Roman"/>
                <w:color w:val="000000"/>
              </w:rPr>
            </w:pPr>
          </w:p>
          <w:p w14:paraId="7D0BD208" w14:textId="77777777" w:rsidR="000B25E0" w:rsidRPr="000B25E0" w:rsidRDefault="000B25E0" w:rsidP="000B25E0">
            <w:pPr>
              <w:jc w:val="center"/>
              <w:rPr>
                <w:rFonts w:ascii="宋体" w:eastAsia="宋体" w:hAnsi="Calibri" w:cs="Times New Roman"/>
                <w:color w:val="000000"/>
              </w:rPr>
            </w:pPr>
            <w:r w:rsidRPr="000B25E0">
              <w:rPr>
                <w:rFonts w:ascii="Calibri" w:eastAsia="宋体" w:hAnsi="Calibri" w:cs="Times New Roman" w:hint="eastAsia"/>
                <w:color w:val="000000"/>
              </w:rPr>
              <w:t>直拳击靶</w:t>
            </w:r>
          </w:p>
        </w:tc>
        <w:tc>
          <w:tcPr>
            <w:tcW w:w="780" w:type="dxa"/>
            <w:tcBorders>
              <w:top w:val="single" w:sz="4" w:space="0" w:color="auto"/>
              <w:left w:val="single" w:sz="4" w:space="0" w:color="auto"/>
              <w:bottom w:val="single" w:sz="4" w:space="0" w:color="auto"/>
              <w:right w:val="single" w:sz="4" w:space="0" w:color="auto"/>
            </w:tcBorders>
          </w:tcPr>
          <w:p w14:paraId="49856D00" w14:textId="77777777" w:rsidR="000B25E0" w:rsidRPr="000B25E0" w:rsidRDefault="000B25E0" w:rsidP="000B25E0">
            <w:pPr>
              <w:jc w:val="center"/>
              <w:rPr>
                <w:rFonts w:ascii="宋体" w:eastAsia="宋体" w:hAnsi="Calibri" w:cs="Times New Roman"/>
                <w:color w:val="000000"/>
              </w:rPr>
            </w:pPr>
          </w:p>
          <w:p w14:paraId="1EB368A7"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10</w:t>
            </w:r>
          </w:p>
        </w:tc>
        <w:tc>
          <w:tcPr>
            <w:tcW w:w="840" w:type="dxa"/>
            <w:tcBorders>
              <w:top w:val="single" w:sz="4" w:space="0" w:color="auto"/>
              <w:left w:val="single" w:sz="4" w:space="0" w:color="auto"/>
              <w:bottom w:val="single" w:sz="4" w:space="0" w:color="auto"/>
              <w:right w:val="single" w:sz="4" w:space="0" w:color="auto"/>
            </w:tcBorders>
          </w:tcPr>
          <w:p w14:paraId="63C2855D" w14:textId="77777777" w:rsidR="000B25E0" w:rsidRPr="000B25E0" w:rsidRDefault="000B25E0" w:rsidP="000B25E0">
            <w:pPr>
              <w:jc w:val="center"/>
              <w:rPr>
                <w:rFonts w:ascii="宋体" w:eastAsia="宋体" w:hAnsi="Calibri" w:cs="Times New Roman"/>
                <w:color w:val="000000"/>
              </w:rPr>
            </w:pPr>
          </w:p>
          <w:p w14:paraId="3883318E"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9</w:t>
            </w:r>
          </w:p>
        </w:tc>
        <w:tc>
          <w:tcPr>
            <w:tcW w:w="825" w:type="dxa"/>
            <w:tcBorders>
              <w:top w:val="single" w:sz="4" w:space="0" w:color="auto"/>
              <w:left w:val="single" w:sz="4" w:space="0" w:color="auto"/>
              <w:bottom w:val="single" w:sz="4" w:space="0" w:color="auto"/>
              <w:right w:val="single" w:sz="4" w:space="0" w:color="auto"/>
            </w:tcBorders>
          </w:tcPr>
          <w:p w14:paraId="1C10D63A" w14:textId="77777777" w:rsidR="000B25E0" w:rsidRPr="000B25E0" w:rsidRDefault="000B25E0" w:rsidP="000B25E0">
            <w:pPr>
              <w:jc w:val="center"/>
              <w:rPr>
                <w:rFonts w:ascii="宋体" w:eastAsia="宋体" w:hAnsi="Calibri" w:cs="Times New Roman"/>
                <w:color w:val="000000"/>
              </w:rPr>
            </w:pPr>
          </w:p>
          <w:p w14:paraId="4CF7270B"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8</w:t>
            </w:r>
          </w:p>
        </w:tc>
        <w:tc>
          <w:tcPr>
            <w:tcW w:w="795" w:type="dxa"/>
            <w:tcBorders>
              <w:top w:val="single" w:sz="4" w:space="0" w:color="auto"/>
              <w:left w:val="single" w:sz="4" w:space="0" w:color="auto"/>
              <w:bottom w:val="single" w:sz="4" w:space="0" w:color="auto"/>
              <w:right w:val="single" w:sz="4" w:space="0" w:color="auto"/>
            </w:tcBorders>
          </w:tcPr>
          <w:p w14:paraId="40A19EC6" w14:textId="77777777" w:rsidR="000B25E0" w:rsidRPr="000B25E0" w:rsidRDefault="000B25E0" w:rsidP="000B25E0">
            <w:pPr>
              <w:jc w:val="center"/>
              <w:rPr>
                <w:rFonts w:ascii="宋体" w:eastAsia="宋体" w:hAnsi="Calibri" w:cs="Times New Roman"/>
                <w:color w:val="000000"/>
              </w:rPr>
            </w:pPr>
          </w:p>
          <w:p w14:paraId="1354DA3D"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7</w:t>
            </w:r>
          </w:p>
        </w:tc>
        <w:tc>
          <w:tcPr>
            <w:tcW w:w="750" w:type="dxa"/>
            <w:tcBorders>
              <w:top w:val="single" w:sz="4" w:space="0" w:color="auto"/>
              <w:left w:val="single" w:sz="4" w:space="0" w:color="auto"/>
              <w:bottom w:val="single" w:sz="4" w:space="0" w:color="auto"/>
              <w:right w:val="single" w:sz="4" w:space="0" w:color="auto"/>
            </w:tcBorders>
          </w:tcPr>
          <w:p w14:paraId="39451480" w14:textId="77777777" w:rsidR="000B25E0" w:rsidRPr="000B25E0" w:rsidRDefault="000B25E0" w:rsidP="000B25E0">
            <w:pPr>
              <w:jc w:val="center"/>
              <w:rPr>
                <w:rFonts w:ascii="宋体" w:eastAsia="宋体" w:hAnsi="Calibri" w:cs="Times New Roman"/>
                <w:color w:val="000000"/>
              </w:rPr>
            </w:pPr>
          </w:p>
          <w:p w14:paraId="2A305123"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6</w:t>
            </w:r>
          </w:p>
        </w:tc>
        <w:tc>
          <w:tcPr>
            <w:tcW w:w="705" w:type="dxa"/>
            <w:tcBorders>
              <w:top w:val="single" w:sz="4" w:space="0" w:color="auto"/>
              <w:left w:val="single" w:sz="4" w:space="0" w:color="auto"/>
              <w:bottom w:val="single" w:sz="4" w:space="0" w:color="auto"/>
              <w:right w:val="single" w:sz="4" w:space="0" w:color="auto"/>
            </w:tcBorders>
          </w:tcPr>
          <w:p w14:paraId="1AA56F01" w14:textId="77777777" w:rsidR="000B25E0" w:rsidRPr="000B25E0" w:rsidRDefault="000B25E0" w:rsidP="000B25E0">
            <w:pPr>
              <w:jc w:val="center"/>
              <w:rPr>
                <w:rFonts w:ascii="宋体" w:eastAsia="宋体" w:hAnsi="Calibri" w:cs="Times New Roman"/>
                <w:color w:val="000000"/>
              </w:rPr>
            </w:pPr>
          </w:p>
          <w:p w14:paraId="57A0312F"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5</w:t>
            </w:r>
          </w:p>
        </w:tc>
        <w:tc>
          <w:tcPr>
            <w:tcW w:w="720" w:type="dxa"/>
            <w:tcBorders>
              <w:top w:val="single" w:sz="4" w:space="0" w:color="auto"/>
              <w:left w:val="single" w:sz="4" w:space="0" w:color="auto"/>
              <w:bottom w:val="single" w:sz="4" w:space="0" w:color="auto"/>
              <w:right w:val="single" w:sz="4" w:space="0" w:color="auto"/>
            </w:tcBorders>
          </w:tcPr>
          <w:p w14:paraId="378BBE47" w14:textId="77777777" w:rsidR="000B25E0" w:rsidRPr="000B25E0" w:rsidRDefault="000B25E0" w:rsidP="000B25E0">
            <w:pPr>
              <w:jc w:val="center"/>
              <w:rPr>
                <w:rFonts w:ascii="宋体" w:eastAsia="宋体" w:hAnsi="Calibri" w:cs="Times New Roman"/>
                <w:color w:val="000000"/>
              </w:rPr>
            </w:pPr>
          </w:p>
          <w:p w14:paraId="070F7A58"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4</w:t>
            </w:r>
          </w:p>
        </w:tc>
        <w:tc>
          <w:tcPr>
            <w:tcW w:w="675" w:type="dxa"/>
            <w:tcBorders>
              <w:top w:val="single" w:sz="4" w:space="0" w:color="auto"/>
              <w:left w:val="single" w:sz="4" w:space="0" w:color="auto"/>
              <w:bottom w:val="single" w:sz="4" w:space="0" w:color="auto"/>
              <w:right w:val="single" w:sz="4" w:space="0" w:color="auto"/>
            </w:tcBorders>
          </w:tcPr>
          <w:p w14:paraId="77D53F8F" w14:textId="77777777" w:rsidR="000B25E0" w:rsidRPr="000B25E0" w:rsidRDefault="000B25E0" w:rsidP="000B25E0">
            <w:pPr>
              <w:jc w:val="center"/>
              <w:rPr>
                <w:rFonts w:ascii="宋体" w:eastAsia="宋体" w:hAnsi="Calibri" w:cs="Times New Roman"/>
                <w:color w:val="000000"/>
              </w:rPr>
            </w:pPr>
          </w:p>
          <w:p w14:paraId="4AF436A0"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3</w:t>
            </w:r>
          </w:p>
        </w:tc>
        <w:tc>
          <w:tcPr>
            <w:tcW w:w="720" w:type="dxa"/>
            <w:tcBorders>
              <w:top w:val="single" w:sz="4" w:space="0" w:color="auto"/>
              <w:left w:val="single" w:sz="4" w:space="0" w:color="auto"/>
              <w:bottom w:val="single" w:sz="4" w:space="0" w:color="auto"/>
              <w:right w:val="single" w:sz="4" w:space="0" w:color="auto"/>
            </w:tcBorders>
          </w:tcPr>
          <w:p w14:paraId="15E084B3" w14:textId="77777777" w:rsidR="000B25E0" w:rsidRPr="000B25E0" w:rsidRDefault="000B25E0" w:rsidP="000B25E0">
            <w:pPr>
              <w:jc w:val="center"/>
              <w:rPr>
                <w:rFonts w:ascii="宋体" w:eastAsia="宋体" w:hAnsi="Calibri" w:cs="Times New Roman"/>
                <w:color w:val="000000"/>
              </w:rPr>
            </w:pPr>
          </w:p>
          <w:p w14:paraId="614F8212" w14:textId="77777777" w:rsidR="000B25E0" w:rsidRPr="000B25E0" w:rsidRDefault="000B25E0" w:rsidP="000B25E0">
            <w:pPr>
              <w:jc w:val="center"/>
              <w:rPr>
                <w:rFonts w:ascii="Calibri" w:eastAsia="宋体" w:hAnsi="Calibri" w:cs="Times New Roman"/>
              </w:rPr>
            </w:pPr>
            <w:r w:rsidRPr="000B25E0">
              <w:rPr>
                <w:rFonts w:ascii="宋体" w:eastAsia="宋体" w:hAnsi="Calibri" w:cs="Times New Roman" w:hint="eastAsia"/>
                <w:color w:val="000000"/>
              </w:rPr>
              <w:t>2</w:t>
            </w:r>
          </w:p>
        </w:tc>
        <w:tc>
          <w:tcPr>
            <w:tcW w:w="780" w:type="dxa"/>
            <w:tcBorders>
              <w:top w:val="single" w:sz="4" w:space="0" w:color="auto"/>
              <w:left w:val="single" w:sz="4" w:space="0" w:color="auto"/>
              <w:bottom w:val="single" w:sz="4" w:space="0" w:color="auto"/>
              <w:right w:val="single" w:sz="4" w:space="0" w:color="auto"/>
            </w:tcBorders>
          </w:tcPr>
          <w:p w14:paraId="423DCB79" w14:textId="77777777" w:rsidR="000B25E0" w:rsidRPr="000B25E0" w:rsidRDefault="000B25E0" w:rsidP="000B25E0">
            <w:pPr>
              <w:jc w:val="center"/>
              <w:rPr>
                <w:rFonts w:ascii="宋体" w:eastAsia="宋体" w:hAnsi="Calibri" w:cs="Times New Roman"/>
                <w:color w:val="000000"/>
              </w:rPr>
            </w:pPr>
          </w:p>
          <w:p w14:paraId="57B3C01D"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1</w:t>
            </w:r>
          </w:p>
        </w:tc>
      </w:tr>
    </w:tbl>
    <w:p w14:paraId="52963148" w14:textId="77777777" w:rsidR="000B25E0" w:rsidRPr="000B25E0" w:rsidRDefault="000B25E0" w:rsidP="000B25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p>
    <w:p w14:paraId="66ED7FFB" w14:textId="77777777" w:rsidR="000B25E0" w:rsidRPr="000B25E0" w:rsidRDefault="000B25E0" w:rsidP="000B25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r w:rsidRPr="000B25E0">
        <w:rPr>
          <w:rFonts w:ascii="宋体" w:eastAsia="宋体" w:hAnsi="Calibri" w:cs="Times New Roman" w:hint="eastAsia"/>
          <w:color w:val="000000"/>
        </w:rPr>
        <w:t>直拳击</w:t>
      </w:r>
      <w:proofErr w:type="gramStart"/>
      <w:r w:rsidRPr="000B25E0">
        <w:rPr>
          <w:rFonts w:ascii="宋体" w:eastAsia="宋体" w:hAnsi="Calibri" w:cs="Times New Roman" w:hint="eastAsia"/>
          <w:color w:val="000000"/>
        </w:rPr>
        <w:t>靶技评</w:t>
      </w:r>
      <w:proofErr w:type="gramEnd"/>
      <w:r w:rsidRPr="000B25E0">
        <w:rPr>
          <w:rFonts w:ascii="宋体" w:eastAsia="宋体" w:hAnsi="Calibri" w:cs="Times New Roman" w:hint="eastAsia"/>
          <w:color w:val="000000"/>
        </w:rPr>
        <w:t>：技术评定（占60%）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0B25E0" w:rsidRPr="000B25E0" w14:paraId="65AC69AE" w14:textId="77777777" w:rsidTr="00BF5EF3">
        <w:trPr>
          <w:trHeight w:val="705"/>
          <w:jc w:val="center"/>
        </w:trPr>
        <w:tc>
          <w:tcPr>
            <w:tcW w:w="1368" w:type="dxa"/>
            <w:tcBorders>
              <w:top w:val="single" w:sz="4" w:space="0" w:color="auto"/>
              <w:left w:val="single" w:sz="4" w:space="0" w:color="auto"/>
              <w:bottom w:val="single" w:sz="4" w:space="0" w:color="auto"/>
              <w:right w:val="single" w:sz="4" w:space="0" w:color="auto"/>
            </w:tcBorders>
          </w:tcPr>
          <w:p w14:paraId="40539E72" w14:textId="77777777" w:rsidR="000B25E0" w:rsidRPr="000B25E0" w:rsidRDefault="000B25E0" w:rsidP="000B25E0">
            <w:pPr>
              <w:rPr>
                <w:rFonts w:ascii="宋体" w:eastAsia="宋体" w:hAnsi="Calibri" w:cs="Times New Roman"/>
                <w:color w:val="000000"/>
              </w:rPr>
            </w:pPr>
          </w:p>
          <w:p w14:paraId="62F24238"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90分以上</w:t>
            </w:r>
          </w:p>
        </w:tc>
        <w:tc>
          <w:tcPr>
            <w:tcW w:w="7744" w:type="dxa"/>
            <w:tcBorders>
              <w:top w:val="single" w:sz="4" w:space="0" w:color="auto"/>
              <w:left w:val="single" w:sz="4" w:space="0" w:color="auto"/>
              <w:bottom w:val="single" w:sz="4" w:space="0" w:color="auto"/>
              <w:right w:val="single" w:sz="4" w:space="0" w:color="auto"/>
            </w:tcBorders>
          </w:tcPr>
          <w:p w14:paraId="02E35123"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打靶合法，动作正确协调，动作过程连贯流畅，发力充分，拳法速快，准点好，还原实战式及时，拳法效果好</w:t>
            </w:r>
          </w:p>
        </w:tc>
      </w:tr>
      <w:tr w:rsidR="000B25E0" w:rsidRPr="000B25E0" w14:paraId="716180CB" w14:textId="77777777" w:rsidTr="00BF5EF3">
        <w:trPr>
          <w:trHeight w:val="784"/>
          <w:jc w:val="center"/>
        </w:trPr>
        <w:tc>
          <w:tcPr>
            <w:tcW w:w="1368" w:type="dxa"/>
            <w:tcBorders>
              <w:top w:val="single" w:sz="4" w:space="0" w:color="auto"/>
              <w:left w:val="single" w:sz="4" w:space="0" w:color="auto"/>
              <w:bottom w:val="single" w:sz="4" w:space="0" w:color="auto"/>
              <w:right w:val="single" w:sz="4" w:space="0" w:color="auto"/>
            </w:tcBorders>
          </w:tcPr>
          <w:p w14:paraId="225F1A5F" w14:textId="77777777" w:rsidR="000B25E0" w:rsidRPr="000B25E0" w:rsidRDefault="000B25E0" w:rsidP="000B25E0">
            <w:pPr>
              <w:rPr>
                <w:rFonts w:ascii="宋体" w:eastAsia="宋体" w:hAnsi="Calibri" w:cs="Times New Roman"/>
                <w:color w:val="000000"/>
              </w:rPr>
            </w:pPr>
          </w:p>
          <w:p w14:paraId="3583770B"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80—89分</w:t>
            </w:r>
          </w:p>
        </w:tc>
        <w:tc>
          <w:tcPr>
            <w:tcW w:w="7744" w:type="dxa"/>
            <w:tcBorders>
              <w:top w:val="single" w:sz="4" w:space="0" w:color="auto"/>
              <w:left w:val="single" w:sz="4" w:space="0" w:color="auto"/>
              <w:bottom w:val="single" w:sz="4" w:space="0" w:color="auto"/>
              <w:right w:val="single" w:sz="4" w:space="0" w:color="auto"/>
            </w:tcBorders>
          </w:tcPr>
          <w:p w14:paraId="0F7AB43F"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动作正确协调，动作过程连贯流畅，发力较好，拳速较快，准点较好，还原实战式及时，拳法击打效果较好</w:t>
            </w:r>
          </w:p>
        </w:tc>
      </w:tr>
      <w:tr w:rsidR="000B25E0" w:rsidRPr="000B25E0" w14:paraId="332BC8CF" w14:textId="77777777" w:rsidTr="00BF5EF3">
        <w:trPr>
          <w:trHeight w:val="511"/>
          <w:jc w:val="center"/>
        </w:trPr>
        <w:tc>
          <w:tcPr>
            <w:tcW w:w="1368" w:type="dxa"/>
            <w:tcBorders>
              <w:top w:val="single" w:sz="4" w:space="0" w:color="auto"/>
              <w:left w:val="single" w:sz="4" w:space="0" w:color="auto"/>
              <w:bottom w:val="single" w:sz="4" w:space="0" w:color="auto"/>
              <w:right w:val="single" w:sz="4" w:space="0" w:color="auto"/>
            </w:tcBorders>
          </w:tcPr>
          <w:p w14:paraId="4496D685"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70—79分</w:t>
            </w:r>
          </w:p>
        </w:tc>
        <w:tc>
          <w:tcPr>
            <w:tcW w:w="7744" w:type="dxa"/>
            <w:tcBorders>
              <w:top w:val="single" w:sz="4" w:space="0" w:color="auto"/>
              <w:left w:val="single" w:sz="4" w:space="0" w:color="auto"/>
              <w:bottom w:val="single" w:sz="4" w:space="0" w:color="auto"/>
              <w:right w:val="single" w:sz="4" w:space="0" w:color="auto"/>
            </w:tcBorders>
          </w:tcPr>
          <w:p w14:paraId="69B08002"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动作基本正确，发力不充分，动作较慢，还原实战式及时，稳定性稍差</w:t>
            </w:r>
          </w:p>
        </w:tc>
      </w:tr>
      <w:tr w:rsidR="000B25E0" w:rsidRPr="000B25E0" w14:paraId="68E6F118" w14:textId="77777777" w:rsidTr="00BF5EF3">
        <w:trPr>
          <w:trHeight w:val="472"/>
          <w:jc w:val="center"/>
        </w:trPr>
        <w:tc>
          <w:tcPr>
            <w:tcW w:w="1368" w:type="dxa"/>
            <w:tcBorders>
              <w:top w:val="single" w:sz="4" w:space="0" w:color="auto"/>
              <w:left w:val="single" w:sz="4" w:space="0" w:color="auto"/>
              <w:bottom w:val="single" w:sz="4" w:space="0" w:color="auto"/>
              <w:right w:val="single" w:sz="4" w:space="0" w:color="auto"/>
            </w:tcBorders>
          </w:tcPr>
          <w:p w14:paraId="31C37F3F"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60—69分</w:t>
            </w:r>
          </w:p>
        </w:tc>
        <w:tc>
          <w:tcPr>
            <w:tcW w:w="7744" w:type="dxa"/>
            <w:tcBorders>
              <w:top w:val="single" w:sz="4" w:space="0" w:color="auto"/>
              <w:left w:val="single" w:sz="4" w:space="0" w:color="auto"/>
              <w:bottom w:val="single" w:sz="4" w:space="0" w:color="auto"/>
              <w:right w:val="single" w:sz="4" w:space="0" w:color="auto"/>
            </w:tcBorders>
          </w:tcPr>
          <w:p w14:paraId="33F569C1"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动作僵硬，协调性差，动作无根本性错误，拳法效果不理想</w:t>
            </w:r>
          </w:p>
        </w:tc>
      </w:tr>
      <w:tr w:rsidR="000B25E0" w:rsidRPr="000B25E0" w14:paraId="6FCC2311" w14:textId="77777777" w:rsidTr="00BF5EF3">
        <w:trPr>
          <w:trHeight w:val="453"/>
          <w:jc w:val="center"/>
        </w:trPr>
        <w:tc>
          <w:tcPr>
            <w:tcW w:w="1368" w:type="dxa"/>
            <w:tcBorders>
              <w:top w:val="single" w:sz="4" w:space="0" w:color="auto"/>
              <w:left w:val="single" w:sz="4" w:space="0" w:color="auto"/>
              <w:bottom w:val="single" w:sz="4" w:space="0" w:color="auto"/>
              <w:right w:val="single" w:sz="4" w:space="0" w:color="auto"/>
            </w:tcBorders>
          </w:tcPr>
          <w:p w14:paraId="7EBC19B4"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60分以下</w:t>
            </w:r>
          </w:p>
        </w:tc>
        <w:tc>
          <w:tcPr>
            <w:tcW w:w="7744" w:type="dxa"/>
            <w:tcBorders>
              <w:top w:val="single" w:sz="4" w:space="0" w:color="auto"/>
              <w:left w:val="single" w:sz="4" w:space="0" w:color="auto"/>
              <w:bottom w:val="single" w:sz="4" w:space="0" w:color="auto"/>
              <w:right w:val="single" w:sz="4" w:space="0" w:color="auto"/>
            </w:tcBorders>
          </w:tcPr>
          <w:p w14:paraId="1133157D"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动作僵硬，不协调，且有严重错误，拳法效果差</w:t>
            </w:r>
          </w:p>
        </w:tc>
      </w:tr>
    </w:tbl>
    <w:p w14:paraId="056A2808" w14:textId="77777777" w:rsidR="000B25E0" w:rsidRPr="000B25E0" w:rsidRDefault="000B25E0" w:rsidP="000B25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0B25E0" w:rsidRPr="000B25E0" w14:paraId="2A9CBB91" w14:textId="77777777" w:rsidTr="00BF5EF3">
        <w:trPr>
          <w:trHeight w:val="772"/>
          <w:jc w:val="center"/>
        </w:trPr>
        <w:tc>
          <w:tcPr>
            <w:tcW w:w="1368" w:type="dxa"/>
            <w:tcBorders>
              <w:top w:val="single" w:sz="4" w:space="0" w:color="auto"/>
              <w:left w:val="single" w:sz="4" w:space="0" w:color="auto"/>
              <w:bottom w:val="single" w:sz="4" w:space="0" w:color="auto"/>
              <w:right w:val="single" w:sz="4" w:space="0" w:color="auto"/>
            </w:tcBorders>
          </w:tcPr>
          <w:p w14:paraId="548E8143" w14:textId="77777777" w:rsidR="000B25E0" w:rsidRPr="000B25E0" w:rsidRDefault="000B25E0" w:rsidP="000B25E0">
            <w:pPr>
              <w:rPr>
                <w:rFonts w:ascii="宋体" w:eastAsia="宋体" w:hAnsi="Calibri" w:cs="Times New Roman"/>
                <w:color w:val="000000"/>
              </w:rPr>
            </w:pPr>
          </w:p>
          <w:p w14:paraId="7A01D6AE"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60分以下</w:t>
            </w:r>
          </w:p>
        </w:tc>
        <w:tc>
          <w:tcPr>
            <w:tcW w:w="7744" w:type="dxa"/>
            <w:tcBorders>
              <w:top w:val="single" w:sz="4" w:space="0" w:color="auto"/>
              <w:left w:val="single" w:sz="4" w:space="0" w:color="auto"/>
              <w:bottom w:val="single" w:sz="4" w:space="0" w:color="auto"/>
              <w:right w:val="single" w:sz="4" w:space="0" w:color="auto"/>
            </w:tcBorders>
          </w:tcPr>
          <w:p w14:paraId="3395CE44" w14:textId="77777777" w:rsidR="000B25E0" w:rsidRPr="000B25E0" w:rsidRDefault="000B25E0" w:rsidP="000B25E0">
            <w:pPr>
              <w:rPr>
                <w:rFonts w:ascii="宋体" w:eastAsia="宋体" w:hAnsi="Calibri" w:cs="Times New Roman"/>
                <w:color w:val="000000"/>
              </w:rPr>
            </w:pPr>
          </w:p>
          <w:p w14:paraId="1516E6B0"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动作僵硬，不协调，且有严重错误，拳法效果差</w:t>
            </w:r>
          </w:p>
        </w:tc>
      </w:tr>
    </w:tbl>
    <w:p w14:paraId="59D4640B" w14:textId="77777777" w:rsidR="000B25E0" w:rsidRPr="000B25E0" w:rsidRDefault="000B25E0" w:rsidP="000B25E0">
      <w:pPr>
        <w:spacing w:beforeLines="50" w:before="156" w:afterLines="50" w:after="156" w:line="440" w:lineRule="exact"/>
        <w:rPr>
          <w:rFonts w:ascii="黑体" w:eastAsia="黑体" w:hAnsi="黑体" w:cs="Times New Roman"/>
          <w:sz w:val="28"/>
          <w:szCs w:val="28"/>
        </w:rPr>
      </w:pPr>
      <w:r w:rsidRPr="000B25E0">
        <w:rPr>
          <w:rFonts w:ascii="黑体" w:eastAsia="黑体" w:hAnsi="黑体" w:cs="Times New Roman" w:hint="eastAsia"/>
          <w:sz w:val="28"/>
          <w:szCs w:val="28"/>
        </w:rPr>
        <w:t>第二学期</w:t>
      </w:r>
    </w:p>
    <w:p w14:paraId="440EE6F1" w14:textId="77777777" w:rsidR="000B25E0" w:rsidRPr="000B25E0" w:rsidRDefault="000B25E0" w:rsidP="000B25E0">
      <w:pPr>
        <w:adjustRightInd w:val="0"/>
        <w:snapToGrid w:val="0"/>
        <w:spacing w:line="500" w:lineRule="exact"/>
        <w:jc w:val="center"/>
        <w:rPr>
          <w:rFonts w:ascii="Calibri" w:eastAsia="宋体" w:hAnsi="Calibri" w:cs="Times New Roman"/>
          <w:b/>
          <w:bCs/>
          <w:sz w:val="24"/>
        </w:rPr>
      </w:pPr>
      <w:r w:rsidRPr="000B25E0">
        <w:rPr>
          <w:rFonts w:ascii="Calibri" w:eastAsia="宋体" w:hAnsi="Calibri" w:cs="Times New Roman" w:hint="eastAsia"/>
          <w:b/>
          <w:bCs/>
          <w:sz w:val="24"/>
        </w:rPr>
        <w:t>期中考试</w:t>
      </w:r>
    </w:p>
    <w:p w14:paraId="0ABE8971"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0B25E0">
        <w:rPr>
          <w:rFonts w:ascii="宋体" w:eastAsia="宋体" w:hAnsi="Calibri" w:cs="Times New Roman" w:hint="eastAsia"/>
          <w:b/>
          <w:color w:val="000000"/>
          <w:kern w:val="0"/>
          <w:sz w:val="24"/>
        </w:rPr>
        <w:t>1.课程考核目标:</w:t>
      </w:r>
      <w:r w:rsidRPr="000B25E0">
        <w:rPr>
          <w:rFonts w:ascii="宋体" w:eastAsia="宋体" w:hAnsi="Calibri" w:cs="Times New Roman" w:hint="eastAsia"/>
          <w:bCs/>
          <w:color w:val="000000"/>
          <w:kern w:val="0"/>
          <w:sz w:val="24"/>
        </w:rPr>
        <w:t>通过考核散打技术教学效果和学生掌握情况，让学生了解选项课内容和科学体育锻炼方式方法。</w:t>
      </w:r>
    </w:p>
    <w:p w14:paraId="4AAB5804"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宋体" w:eastAsia="宋体" w:hAnsi="Calibri" w:cs="Times New Roman" w:hint="eastAsia"/>
          <w:b/>
          <w:color w:val="000000"/>
          <w:kern w:val="0"/>
          <w:sz w:val="24"/>
        </w:rPr>
        <w:t>2.课程考核的内容：</w:t>
      </w:r>
      <w:r w:rsidRPr="000B25E0">
        <w:rPr>
          <w:rFonts w:ascii="Calibri" w:eastAsia="宋体" w:hAnsi="Calibri" w:cs="Times New Roman" w:hint="eastAsia"/>
          <w:sz w:val="24"/>
        </w:rPr>
        <w:t>散打的基本动作测试</w:t>
      </w:r>
    </w:p>
    <w:p w14:paraId="2A5C727D" w14:textId="77777777" w:rsidR="000B25E0" w:rsidRPr="000B25E0" w:rsidRDefault="000B25E0" w:rsidP="000B25E0">
      <w:pPr>
        <w:adjustRightInd w:val="0"/>
        <w:snapToGrid w:val="0"/>
        <w:spacing w:line="500" w:lineRule="exact"/>
        <w:ind w:firstLineChars="200" w:firstLine="482"/>
        <w:rPr>
          <w:rFonts w:ascii="宋体" w:eastAsia="宋体" w:hAnsi="宋体" w:cs="宋体"/>
          <w:color w:val="000000"/>
          <w:sz w:val="24"/>
        </w:rPr>
      </w:pPr>
      <w:r w:rsidRPr="000B25E0">
        <w:rPr>
          <w:rFonts w:ascii="宋体" w:eastAsia="宋体" w:hAnsi="宋体" w:cs="宋体" w:hint="eastAsia"/>
          <w:b/>
          <w:bCs/>
          <w:color w:val="000000"/>
          <w:sz w:val="24"/>
        </w:rPr>
        <w:t>3.课程考核方式：</w:t>
      </w:r>
      <w:r w:rsidRPr="000B25E0">
        <w:rPr>
          <w:rFonts w:ascii="Calibri" w:eastAsia="宋体" w:hAnsi="Calibri" w:cs="Times New Roman" w:hint="eastAsia"/>
          <w:sz w:val="24"/>
        </w:rPr>
        <w:t>两人拿靶，进行靶上拳法动作</w:t>
      </w:r>
    </w:p>
    <w:p w14:paraId="37A0E181"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0B25E0">
        <w:rPr>
          <w:rFonts w:ascii="宋体" w:eastAsia="宋体" w:hAnsi="Calibri" w:cs="Times New Roman" w:hint="eastAsia"/>
          <w:b/>
          <w:color w:val="000000"/>
          <w:kern w:val="0"/>
          <w:sz w:val="24"/>
        </w:rPr>
        <w:t>4.成绩构成及分值：</w:t>
      </w:r>
      <w:r w:rsidRPr="000B25E0">
        <w:rPr>
          <w:rFonts w:ascii="宋体" w:eastAsia="宋体" w:hAnsi="Calibri" w:cs="Times New Roman" w:hint="eastAsia"/>
          <w:bCs/>
          <w:color w:val="000000"/>
          <w:kern w:val="0"/>
          <w:sz w:val="24"/>
        </w:rPr>
        <w:t>数量及技术评定分值各为100分，各占总分值的20%，</w:t>
      </w:r>
    </w:p>
    <w:p w14:paraId="31F7DF44" w14:textId="77777777" w:rsidR="000B25E0" w:rsidRPr="000B25E0" w:rsidRDefault="000B25E0" w:rsidP="000B25E0">
      <w:pPr>
        <w:autoSpaceDE w:val="0"/>
        <w:autoSpaceDN w:val="0"/>
        <w:adjustRightInd w:val="0"/>
        <w:snapToGrid w:val="0"/>
        <w:spacing w:line="500" w:lineRule="exact"/>
        <w:rPr>
          <w:rFonts w:ascii="宋体" w:eastAsia="宋体" w:hAnsi="Calibri" w:cs="Times New Roman"/>
          <w:bCs/>
          <w:color w:val="000000"/>
          <w:kern w:val="0"/>
          <w:sz w:val="24"/>
        </w:rPr>
      </w:pPr>
      <w:r w:rsidRPr="000B25E0">
        <w:rPr>
          <w:rFonts w:ascii="宋体" w:eastAsia="宋体" w:hAnsi="Calibri" w:cs="Times New Roman" w:hint="eastAsia"/>
          <w:bCs/>
          <w:color w:val="000000"/>
          <w:kern w:val="0"/>
          <w:sz w:val="24"/>
        </w:rPr>
        <w:t>总分值为100分。</w:t>
      </w:r>
    </w:p>
    <w:p w14:paraId="0D3CFF89" w14:textId="77777777" w:rsidR="000B25E0" w:rsidRPr="000B25E0" w:rsidRDefault="000B25E0" w:rsidP="000B25E0">
      <w:pPr>
        <w:autoSpaceDE w:val="0"/>
        <w:autoSpaceDN w:val="0"/>
        <w:adjustRightInd w:val="0"/>
        <w:snapToGrid w:val="0"/>
        <w:spacing w:line="500" w:lineRule="exact"/>
        <w:ind w:firstLineChars="200" w:firstLine="482"/>
        <w:rPr>
          <w:rFonts w:ascii="Calibri" w:eastAsia="宋体" w:hAnsi="Calibri" w:cs="Times New Roman"/>
          <w:b/>
          <w:sz w:val="24"/>
        </w:rPr>
      </w:pPr>
      <w:r w:rsidRPr="000B25E0">
        <w:rPr>
          <w:rFonts w:ascii="宋体" w:eastAsia="宋体" w:hAnsi="Calibri" w:cs="Times New Roman" w:hint="eastAsia"/>
          <w:b/>
          <w:color w:val="000000"/>
          <w:kern w:val="0"/>
          <w:sz w:val="24"/>
        </w:rPr>
        <w:t>5.评分记分原则：</w:t>
      </w:r>
    </w:p>
    <w:p w14:paraId="7823D759" w14:textId="77777777" w:rsidR="000B25E0" w:rsidRPr="000B25E0" w:rsidRDefault="000B25E0" w:rsidP="000B25E0">
      <w:pPr>
        <w:adjustRightInd w:val="0"/>
        <w:snapToGrid w:val="0"/>
        <w:spacing w:line="500" w:lineRule="exact"/>
        <w:rPr>
          <w:rFonts w:ascii="Calibri" w:eastAsia="宋体" w:hAnsi="Calibri" w:cs="Times New Roman"/>
          <w:sz w:val="24"/>
        </w:rPr>
      </w:pPr>
    </w:p>
    <w:p w14:paraId="12097476" w14:textId="77777777" w:rsidR="000B25E0" w:rsidRPr="000B25E0" w:rsidRDefault="000B25E0" w:rsidP="000B25E0">
      <w:pPr>
        <w:adjustRightInd w:val="0"/>
        <w:snapToGrid w:val="0"/>
        <w:spacing w:line="500" w:lineRule="exact"/>
        <w:rPr>
          <w:rFonts w:ascii="Calibri" w:eastAsia="宋体" w:hAnsi="Calibri" w:cs="Times New Roman"/>
          <w:sz w:val="24"/>
        </w:rPr>
      </w:pPr>
    </w:p>
    <w:p w14:paraId="0FC5818D" w14:textId="77777777" w:rsidR="000B25E0" w:rsidRPr="000B25E0" w:rsidRDefault="000B25E0" w:rsidP="000B25E0">
      <w:pPr>
        <w:adjustRightInd w:val="0"/>
        <w:snapToGrid w:val="0"/>
        <w:spacing w:line="500" w:lineRule="exact"/>
        <w:rPr>
          <w:rFonts w:ascii="Calibri" w:eastAsia="宋体" w:hAnsi="Calibri" w:cs="Times New Roman"/>
          <w:sz w:val="24"/>
        </w:rPr>
      </w:pPr>
      <w:r w:rsidRPr="000B25E0">
        <w:rPr>
          <w:rFonts w:ascii="Calibri" w:eastAsia="宋体" w:hAnsi="Calibri" w:cs="Times New Roman" w:hint="eastAsia"/>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104"/>
        <w:gridCol w:w="2999"/>
        <w:gridCol w:w="2265"/>
      </w:tblGrid>
      <w:tr w:rsidR="000B25E0" w:rsidRPr="000B25E0" w14:paraId="59CF7CD3" w14:textId="77777777" w:rsidTr="00BF5EF3">
        <w:tc>
          <w:tcPr>
            <w:tcW w:w="970" w:type="dxa"/>
            <w:vAlign w:val="center"/>
          </w:tcPr>
          <w:p w14:paraId="2707B7EB"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技术分</w:t>
            </w:r>
          </w:p>
        </w:tc>
        <w:tc>
          <w:tcPr>
            <w:tcW w:w="1183" w:type="dxa"/>
            <w:vAlign w:val="center"/>
          </w:tcPr>
          <w:p w14:paraId="6E2786F6"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五级制</w:t>
            </w:r>
          </w:p>
        </w:tc>
        <w:tc>
          <w:tcPr>
            <w:tcW w:w="1104" w:type="dxa"/>
            <w:vAlign w:val="center"/>
          </w:tcPr>
          <w:p w14:paraId="7D718E57"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分值范围</w:t>
            </w:r>
          </w:p>
        </w:tc>
        <w:tc>
          <w:tcPr>
            <w:tcW w:w="2999" w:type="dxa"/>
            <w:vAlign w:val="center"/>
          </w:tcPr>
          <w:p w14:paraId="086E8CEE"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备注</w:t>
            </w:r>
          </w:p>
        </w:tc>
        <w:tc>
          <w:tcPr>
            <w:tcW w:w="2265" w:type="dxa"/>
            <w:vAlign w:val="center"/>
          </w:tcPr>
          <w:p w14:paraId="14213A8A"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数目</w:t>
            </w:r>
          </w:p>
        </w:tc>
      </w:tr>
      <w:tr w:rsidR="000B25E0" w:rsidRPr="000B25E0" w14:paraId="0208658F" w14:textId="77777777" w:rsidTr="00BF5EF3">
        <w:tc>
          <w:tcPr>
            <w:tcW w:w="970" w:type="dxa"/>
            <w:vAlign w:val="center"/>
          </w:tcPr>
          <w:p w14:paraId="07F48971"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A</w:t>
            </w:r>
          </w:p>
        </w:tc>
        <w:tc>
          <w:tcPr>
            <w:tcW w:w="1183" w:type="dxa"/>
            <w:vAlign w:val="center"/>
          </w:tcPr>
          <w:p w14:paraId="4B495EE9"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优</w:t>
            </w:r>
          </w:p>
        </w:tc>
        <w:tc>
          <w:tcPr>
            <w:tcW w:w="1104" w:type="dxa"/>
            <w:vAlign w:val="center"/>
          </w:tcPr>
          <w:p w14:paraId="58CAE696"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90—95</w:t>
            </w:r>
          </w:p>
        </w:tc>
        <w:tc>
          <w:tcPr>
            <w:tcW w:w="2999" w:type="dxa"/>
            <w:vAlign w:val="center"/>
          </w:tcPr>
          <w:p w14:paraId="7AFCEF71"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动作技术正确，发力速度快、协调、防守严密</w:t>
            </w:r>
          </w:p>
        </w:tc>
        <w:tc>
          <w:tcPr>
            <w:tcW w:w="2265" w:type="dxa"/>
            <w:vAlign w:val="center"/>
          </w:tcPr>
          <w:p w14:paraId="547AB1EB"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50个以上</w:t>
            </w:r>
          </w:p>
        </w:tc>
      </w:tr>
      <w:tr w:rsidR="000B25E0" w:rsidRPr="000B25E0" w14:paraId="37B3D8E8" w14:textId="77777777" w:rsidTr="00BF5EF3">
        <w:tc>
          <w:tcPr>
            <w:tcW w:w="970" w:type="dxa"/>
            <w:vAlign w:val="center"/>
          </w:tcPr>
          <w:p w14:paraId="172CC29E"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B</w:t>
            </w:r>
          </w:p>
        </w:tc>
        <w:tc>
          <w:tcPr>
            <w:tcW w:w="1183" w:type="dxa"/>
            <w:vAlign w:val="center"/>
          </w:tcPr>
          <w:p w14:paraId="2B32EC90"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良好</w:t>
            </w:r>
          </w:p>
        </w:tc>
        <w:tc>
          <w:tcPr>
            <w:tcW w:w="1104" w:type="dxa"/>
            <w:vAlign w:val="center"/>
          </w:tcPr>
          <w:p w14:paraId="5BAA0D87"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80—89</w:t>
            </w:r>
          </w:p>
        </w:tc>
        <w:tc>
          <w:tcPr>
            <w:tcW w:w="2999" w:type="dxa"/>
            <w:vAlign w:val="center"/>
          </w:tcPr>
          <w:p w14:paraId="25D5DD3F"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动作较正确，动作自然</w:t>
            </w:r>
          </w:p>
        </w:tc>
        <w:tc>
          <w:tcPr>
            <w:tcW w:w="2265" w:type="dxa"/>
            <w:vAlign w:val="center"/>
          </w:tcPr>
          <w:p w14:paraId="18956E44"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40-49个</w:t>
            </w:r>
          </w:p>
        </w:tc>
      </w:tr>
      <w:tr w:rsidR="000B25E0" w:rsidRPr="000B25E0" w14:paraId="132DF41D" w14:textId="77777777" w:rsidTr="00BF5EF3">
        <w:tc>
          <w:tcPr>
            <w:tcW w:w="970" w:type="dxa"/>
            <w:vAlign w:val="center"/>
          </w:tcPr>
          <w:p w14:paraId="09950A96"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C</w:t>
            </w:r>
          </w:p>
        </w:tc>
        <w:tc>
          <w:tcPr>
            <w:tcW w:w="1183" w:type="dxa"/>
            <w:vAlign w:val="center"/>
          </w:tcPr>
          <w:p w14:paraId="35C3C8DA"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良</w:t>
            </w:r>
          </w:p>
        </w:tc>
        <w:tc>
          <w:tcPr>
            <w:tcW w:w="1104" w:type="dxa"/>
            <w:vAlign w:val="center"/>
          </w:tcPr>
          <w:p w14:paraId="32FD1B0D"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70—79</w:t>
            </w:r>
          </w:p>
        </w:tc>
        <w:tc>
          <w:tcPr>
            <w:tcW w:w="2999" w:type="dxa"/>
            <w:vAlign w:val="center"/>
          </w:tcPr>
          <w:p w14:paraId="3303A2FB"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动作一般，动作基本正确</w:t>
            </w:r>
          </w:p>
        </w:tc>
        <w:tc>
          <w:tcPr>
            <w:tcW w:w="2265" w:type="dxa"/>
            <w:vAlign w:val="center"/>
          </w:tcPr>
          <w:p w14:paraId="2D90482F"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30-39个</w:t>
            </w:r>
          </w:p>
        </w:tc>
      </w:tr>
      <w:tr w:rsidR="000B25E0" w:rsidRPr="000B25E0" w14:paraId="7F8DF7F8" w14:textId="77777777" w:rsidTr="00BF5EF3">
        <w:tc>
          <w:tcPr>
            <w:tcW w:w="970" w:type="dxa"/>
            <w:vAlign w:val="center"/>
          </w:tcPr>
          <w:p w14:paraId="64FAC97C"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D</w:t>
            </w:r>
          </w:p>
        </w:tc>
        <w:tc>
          <w:tcPr>
            <w:tcW w:w="1183" w:type="dxa"/>
            <w:vAlign w:val="center"/>
          </w:tcPr>
          <w:p w14:paraId="041088CB"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及格</w:t>
            </w:r>
          </w:p>
        </w:tc>
        <w:tc>
          <w:tcPr>
            <w:tcW w:w="1104" w:type="dxa"/>
            <w:vAlign w:val="center"/>
          </w:tcPr>
          <w:p w14:paraId="095C990F"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60—69</w:t>
            </w:r>
          </w:p>
        </w:tc>
        <w:tc>
          <w:tcPr>
            <w:tcW w:w="2999" w:type="dxa"/>
            <w:vAlign w:val="center"/>
          </w:tcPr>
          <w:p w14:paraId="4068889A"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动作不协调，有多余动作</w:t>
            </w:r>
          </w:p>
        </w:tc>
        <w:tc>
          <w:tcPr>
            <w:tcW w:w="2265" w:type="dxa"/>
            <w:vAlign w:val="center"/>
          </w:tcPr>
          <w:p w14:paraId="054D3F9C"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20-29个</w:t>
            </w:r>
          </w:p>
        </w:tc>
      </w:tr>
      <w:tr w:rsidR="000B25E0" w:rsidRPr="000B25E0" w14:paraId="78C22405" w14:textId="77777777" w:rsidTr="00BF5EF3">
        <w:tc>
          <w:tcPr>
            <w:tcW w:w="970" w:type="dxa"/>
            <w:vAlign w:val="center"/>
          </w:tcPr>
          <w:p w14:paraId="046EDD0F"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E</w:t>
            </w:r>
          </w:p>
        </w:tc>
        <w:tc>
          <w:tcPr>
            <w:tcW w:w="1183" w:type="dxa"/>
            <w:vAlign w:val="center"/>
          </w:tcPr>
          <w:p w14:paraId="2C233495"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不及格</w:t>
            </w:r>
          </w:p>
        </w:tc>
        <w:tc>
          <w:tcPr>
            <w:tcW w:w="1104" w:type="dxa"/>
            <w:vAlign w:val="center"/>
          </w:tcPr>
          <w:p w14:paraId="5DA51171"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60以下</w:t>
            </w:r>
          </w:p>
        </w:tc>
        <w:tc>
          <w:tcPr>
            <w:tcW w:w="2999" w:type="dxa"/>
            <w:vAlign w:val="center"/>
          </w:tcPr>
          <w:p w14:paraId="209B09AC"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动作僵硬，吃力，不协调</w:t>
            </w:r>
          </w:p>
        </w:tc>
        <w:tc>
          <w:tcPr>
            <w:tcW w:w="2265" w:type="dxa"/>
            <w:vAlign w:val="center"/>
          </w:tcPr>
          <w:p w14:paraId="76CEDB5B"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20以下</w:t>
            </w:r>
          </w:p>
        </w:tc>
      </w:tr>
    </w:tbl>
    <w:p w14:paraId="4AECDEA8" w14:textId="77777777" w:rsidR="000B25E0" w:rsidRPr="000B25E0" w:rsidRDefault="000B25E0" w:rsidP="000B25E0">
      <w:pPr>
        <w:adjustRightInd w:val="0"/>
        <w:snapToGrid w:val="0"/>
        <w:spacing w:line="500" w:lineRule="exact"/>
        <w:rPr>
          <w:rFonts w:ascii="Calibri" w:eastAsia="宋体" w:hAnsi="Calibri" w:cs="Times New Roman"/>
          <w:sz w:val="24"/>
        </w:rPr>
      </w:pPr>
    </w:p>
    <w:p w14:paraId="7C26C332" w14:textId="77777777" w:rsidR="000B25E0" w:rsidRPr="000B25E0" w:rsidRDefault="000B25E0" w:rsidP="000B25E0">
      <w:pPr>
        <w:adjustRightInd w:val="0"/>
        <w:snapToGrid w:val="0"/>
        <w:spacing w:line="500" w:lineRule="exact"/>
        <w:jc w:val="center"/>
        <w:rPr>
          <w:rFonts w:ascii="Calibri" w:eastAsia="宋体" w:hAnsi="Calibri" w:cs="Times New Roman"/>
          <w:b/>
          <w:bCs/>
          <w:sz w:val="24"/>
        </w:rPr>
      </w:pPr>
      <w:r w:rsidRPr="000B25E0">
        <w:rPr>
          <w:rFonts w:ascii="Calibri" w:eastAsia="宋体" w:hAnsi="Calibri" w:cs="Times New Roman" w:hint="eastAsia"/>
          <w:b/>
          <w:bCs/>
          <w:sz w:val="24"/>
        </w:rPr>
        <w:t>期末考试</w:t>
      </w:r>
    </w:p>
    <w:p w14:paraId="761B5224"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0B25E0">
        <w:rPr>
          <w:rFonts w:ascii="宋体" w:eastAsia="宋体" w:hAnsi="Calibri" w:cs="Times New Roman" w:hint="eastAsia"/>
          <w:b/>
          <w:color w:val="000000"/>
          <w:kern w:val="0"/>
          <w:sz w:val="24"/>
        </w:rPr>
        <w:t>1.课程考核目标:</w:t>
      </w:r>
      <w:r w:rsidRPr="000B25E0">
        <w:rPr>
          <w:rFonts w:ascii="宋体" w:eastAsia="宋体" w:hAnsi="Calibri" w:cs="Times New Roman" w:hint="eastAsia"/>
          <w:bCs/>
          <w:color w:val="000000"/>
          <w:kern w:val="0"/>
          <w:sz w:val="24"/>
        </w:rPr>
        <w:t>通过考核散打技术教学效果和学生掌握情况，让学生了解选项课内容和科学体育锻炼方式方法。</w:t>
      </w:r>
    </w:p>
    <w:p w14:paraId="112B2E62"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宋体" w:eastAsia="宋体" w:hAnsi="Calibri" w:cs="Times New Roman" w:hint="eastAsia"/>
          <w:b/>
          <w:color w:val="000000"/>
          <w:kern w:val="0"/>
          <w:sz w:val="24"/>
        </w:rPr>
        <w:t>2.课程考核的内容：</w:t>
      </w:r>
      <w:r w:rsidRPr="000B25E0">
        <w:rPr>
          <w:rFonts w:ascii="Calibri" w:eastAsia="宋体" w:hAnsi="Calibri" w:cs="Times New Roman" w:hint="eastAsia"/>
          <w:sz w:val="24"/>
        </w:rPr>
        <w:t>拳腿组合。</w:t>
      </w:r>
    </w:p>
    <w:p w14:paraId="409F3075"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宋体" w:eastAsia="宋体" w:hAnsi="宋体" w:cs="宋体" w:hint="eastAsia"/>
          <w:b/>
          <w:bCs/>
          <w:color w:val="000000"/>
          <w:sz w:val="24"/>
        </w:rPr>
        <w:t>3.课程考核方式：</w:t>
      </w:r>
      <w:r w:rsidRPr="000B25E0">
        <w:rPr>
          <w:rFonts w:ascii="Calibri" w:eastAsia="宋体" w:hAnsi="Calibri" w:cs="Times New Roman" w:hint="eastAsia"/>
          <w:sz w:val="24"/>
        </w:rPr>
        <w:t>两人一组拿靶，按照正式比赛规则进行，两个人的拳腿反应靶。</w:t>
      </w:r>
    </w:p>
    <w:p w14:paraId="3612BD97"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0B25E0">
        <w:rPr>
          <w:rFonts w:ascii="宋体" w:eastAsia="宋体" w:hAnsi="Calibri" w:cs="Times New Roman" w:hint="eastAsia"/>
          <w:b/>
          <w:color w:val="000000"/>
          <w:kern w:val="0"/>
          <w:sz w:val="24"/>
        </w:rPr>
        <w:t>4.成绩构成及分值：</w:t>
      </w:r>
      <w:r w:rsidRPr="000B25E0">
        <w:rPr>
          <w:rFonts w:ascii="宋体" w:eastAsia="宋体" w:hAnsi="Calibri" w:cs="Times New Roman" w:hint="eastAsia"/>
          <w:bCs/>
          <w:color w:val="000000"/>
          <w:kern w:val="0"/>
          <w:sz w:val="24"/>
        </w:rPr>
        <w:t>数量及技术评定分值各为100分，各占总分值的70%，</w:t>
      </w:r>
    </w:p>
    <w:p w14:paraId="08000F78" w14:textId="77777777" w:rsidR="000B25E0" w:rsidRPr="000B25E0" w:rsidRDefault="000B25E0" w:rsidP="000B25E0">
      <w:pPr>
        <w:autoSpaceDE w:val="0"/>
        <w:autoSpaceDN w:val="0"/>
        <w:adjustRightInd w:val="0"/>
        <w:snapToGrid w:val="0"/>
        <w:spacing w:line="500" w:lineRule="exact"/>
        <w:rPr>
          <w:rFonts w:ascii="宋体" w:eastAsia="宋体" w:hAnsi="Calibri" w:cs="Times New Roman"/>
          <w:bCs/>
          <w:color w:val="000000"/>
          <w:kern w:val="0"/>
          <w:sz w:val="24"/>
        </w:rPr>
      </w:pPr>
      <w:r w:rsidRPr="000B25E0">
        <w:rPr>
          <w:rFonts w:ascii="宋体" w:eastAsia="宋体" w:hAnsi="Calibri" w:cs="Times New Roman" w:hint="eastAsia"/>
          <w:bCs/>
          <w:color w:val="000000"/>
          <w:kern w:val="0"/>
          <w:sz w:val="24"/>
        </w:rPr>
        <w:t>总分值为100分。</w:t>
      </w:r>
    </w:p>
    <w:p w14:paraId="055E1842" w14:textId="77777777" w:rsidR="000B25E0" w:rsidRPr="000B25E0" w:rsidRDefault="000B25E0" w:rsidP="00B41A22">
      <w:pPr>
        <w:numPr>
          <w:ilvl w:val="0"/>
          <w:numId w:val="37"/>
        </w:numPr>
        <w:autoSpaceDE w:val="0"/>
        <w:autoSpaceDN w:val="0"/>
        <w:adjustRightInd w:val="0"/>
        <w:snapToGrid w:val="0"/>
        <w:spacing w:line="500" w:lineRule="exact"/>
        <w:ind w:firstLineChars="200" w:firstLine="482"/>
        <w:rPr>
          <w:rFonts w:ascii="宋体" w:eastAsia="宋体" w:hAnsi="Calibri" w:cs="Times New Roman"/>
          <w:b/>
          <w:color w:val="000000"/>
          <w:kern w:val="0"/>
          <w:sz w:val="24"/>
        </w:rPr>
      </w:pPr>
      <w:r w:rsidRPr="000B25E0">
        <w:rPr>
          <w:rFonts w:ascii="宋体" w:eastAsia="宋体" w:hAnsi="Calibri" w:cs="Times New Roman" w:hint="eastAsia"/>
          <w:b/>
          <w:color w:val="000000"/>
          <w:kern w:val="0"/>
          <w:sz w:val="24"/>
        </w:rPr>
        <w:t>评分记分原则：</w:t>
      </w:r>
    </w:p>
    <w:tbl>
      <w:tblPr>
        <w:tblW w:w="0" w:type="auto"/>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5"/>
        <w:gridCol w:w="780"/>
        <w:gridCol w:w="840"/>
        <w:gridCol w:w="825"/>
        <w:gridCol w:w="795"/>
        <w:gridCol w:w="750"/>
        <w:gridCol w:w="705"/>
        <w:gridCol w:w="720"/>
        <w:gridCol w:w="675"/>
        <w:gridCol w:w="720"/>
        <w:gridCol w:w="780"/>
      </w:tblGrid>
      <w:tr w:rsidR="000B25E0" w:rsidRPr="000B25E0" w14:paraId="12C73856" w14:textId="77777777" w:rsidTr="00BF5EF3">
        <w:trPr>
          <w:trHeight w:val="765"/>
        </w:trPr>
        <w:tc>
          <w:tcPr>
            <w:tcW w:w="1605" w:type="dxa"/>
            <w:tcBorders>
              <w:top w:val="single" w:sz="4" w:space="0" w:color="auto"/>
              <w:left w:val="single" w:sz="4" w:space="0" w:color="auto"/>
              <w:bottom w:val="single" w:sz="4" w:space="0" w:color="auto"/>
              <w:right w:val="single" w:sz="4" w:space="0" w:color="auto"/>
            </w:tcBorders>
          </w:tcPr>
          <w:p w14:paraId="05D54F28" w14:textId="77777777" w:rsidR="000B25E0" w:rsidRPr="000B25E0" w:rsidRDefault="000B25E0" w:rsidP="000B25E0">
            <w:pPr>
              <w:jc w:val="center"/>
              <w:rPr>
                <w:rFonts w:ascii="宋体" w:eastAsia="宋体" w:hAnsi="Calibri" w:cs="Times New Roman"/>
                <w:color w:val="000000"/>
              </w:rPr>
            </w:pPr>
            <w:r w:rsidRPr="000B25E0">
              <w:rPr>
                <w:rFonts w:ascii="Calibri" w:eastAsia="宋体" w:hAnsi="Calibri" w:cs="Times New Roman"/>
                <w:noProof/>
              </w:rPr>
              <mc:AlternateContent>
                <mc:Choice Requires="wpg">
                  <w:drawing>
                    <wp:anchor distT="0" distB="0" distL="114300" distR="114300" simplePos="0" relativeHeight="251686912" behindDoc="0" locked="0" layoutInCell="1" allowOverlap="1" wp14:anchorId="05C8EB4B" wp14:editId="07F74755">
                      <wp:simplePos x="0" y="0"/>
                      <wp:positionH relativeFrom="column">
                        <wp:posOffset>-63500</wp:posOffset>
                      </wp:positionH>
                      <wp:positionV relativeFrom="paragraph">
                        <wp:posOffset>635</wp:posOffset>
                      </wp:positionV>
                      <wp:extent cx="871855" cy="427990"/>
                      <wp:effectExtent l="1905" t="4445" r="2540" b="5715"/>
                      <wp:wrapNone/>
                      <wp:docPr id="47" name="组合 47"/>
                      <wp:cNvGraphicFramePr/>
                      <a:graphic xmlns:a="http://schemas.openxmlformats.org/drawingml/2006/main">
                        <a:graphicData uri="http://schemas.microsoft.com/office/word/2010/wordprocessingGroup">
                          <wpg:wgp>
                            <wpg:cNvGrpSpPr/>
                            <wpg:grpSpPr>
                              <a:xfrm>
                                <a:off x="0" y="0"/>
                                <a:ext cx="871855" cy="427990"/>
                                <a:chOff x="0" y="0"/>
                                <a:chExt cx="1898" cy="755"/>
                              </a:xfrm>
                              <a:effectLst/>
                            </wpg:grpSpPr>
                            <wps:wsp>
                              <wps:cNvPr id="48" name="__TH_L35"/>
                              <wps:cNvCnPr/>
                              <wps:spPr>
                                <a:xfrm>
                                  <a:off x="0" y="0"/>
                                  <a:ext cx="1898" cy="755"/>
                                </a:xfrm>
                                <a:prstGeom prst="line">
                                  <a:avLst/>
                                </a:prstGeom>
                                <a:ln w="6350" cap="flat" cmpd="sng">
                                  <a:solidFill>
                                    <a:srgbClr val="000000"/>
                                  </a:solidFill>
                                  <a:prstDash val="solid"/>
                                  <a:headEnd type="none" w="med" len="med"/>
                                  <a:tailEnd type="none" w="med" len="med"/>
                                </a:ln>
                                <a:effectLst/>
                              </wps:spPr>
                              <wps:bodyPr/>
                            </wps:wsp>
                            <wps:wsp>
                              <wps:cNvPr id="49" name="__TH_B1136"/>
                              <wps:cNvSpPr txBox="1"/>
                              <wps:spPr>
                                <a:xfrm>
                                  <a:off x="982" y="52"/>
                                  <a:ext cx="300" cy="300"/>
                                </a:xfrm>
                                <a:prstGeom prst="rect">
                                  <a:avLst/>
                                </a:prstGeom>
                                <a:noFill/>
                                <a:ln w="9525">
                                  <a:noFill/>
                                </a:ln>
                                <a:effectLst/>
                              </wps:spPr>
                              <wps:txbx>
                                <w:txbxContent>
                                  <w:p w14:paraId="216C732C" w14:textId="77777777" w:rsidR="00095B84" w:rsidRDefault="00095B84" w:rsidP="000B25E0">
                                    <w:pPr>
                                      <w:snapToGrid w:val="0"/>
                                      <w:rPr>
                                        <w:sz w:val="24"/>
                                      </w:rPr>
                                    </w:pPr>
                                    <w:r>
                                      <w:rPr>
                                        <w:rFonts w:hint="eastAsia"/>
                                        <w:sz w:val="24"/>
                                      </w:rPr>
                                      <w:t>得</w:t>
                                    </w:r>
                                  </w:p>
                                </w:txbxContent>
                              </wps:txbx>
                              <wps:bodyPr lIns="0" tIns="0" rIns="0" bIns="0" upright="1"/>
                            </wps:wsp>
                            <wps:wsp>
                              <wps:cNvPr id="50" name="__TH_B1237"/>
                              <wps:cNvSpPr txBox="1"/>
                              <wps:spPr>
                                <a:xfrm>
                                  <a:off x="1393" y="215"/>
                                  <a:ext cx="300" cy="300"/>
                                </a:xfrm>
                                <a:prstGeom prst="rect">
                                  <a:avLst/>
                                </a:prstGeom>
                                <a:noFill/>
                                <a:ln w="9525">
                                  <a:noFill/>
                                </a:ln>
                                <a:effectLst/>
                              </wps:spPr>
                              <wps:txbx>
                                <w:txbxContent>
                                  <w:p w14:paraId="6A7288FC" w14:textId="77777777" w:rsidR="00095B84" w:rsidRDefault="00095B84" w:rsidP="000B25E0">
                                    <w:pPr>
                                      <w:snapToGrid w:val="0"/>
                                      <w:rPr>
                                        <w:sz w:val="24"/>
                                      </w:rPr>
                                    </w:pPr>
                                    <w:r>
                                      <w:rPr>
                                        <w:rFonts w:hint="eastAsia"/>
                                        <w:sz w:val="24"/>
                                      </w:rPr>
                                      <w:t>分</w:t>
                                    </w:r>
                                  </w:p>
                                </w:txbxContent>
                              </wps:txbx>
                              <wps:bodyPr lIns="0" tIns="0" rIns="0" bIns="0" upright="1"/>
                            </wps:wsp>
                            <wps:wsp>
                              <wps:cNvPr id="51" name="__TH_B2138"/>
                              <wps:cNvSpPr txBox="1"/>
                              <wps:spPr>
                                <a:xfrm>
                                  <a:off x="175" y="276"/>
                                  <a:ext cx="300" cy="300"/>
                                </a:xfrm>
                                <a:prstGeom prst="rect">
                                  <a:avLst/>
                                </a:prstGeom>
                                <a:noFill/>
                                <a:ln w="9525">
                                  <a:noFill/>
                                </a:ln>
                                <a:effectLst/>
                              </wps:spPr>
                              <wps:txbx>
                                <w:txbxContent>
                                  <w:p w14:paraId="1E268A57" w14:textId="77777777" w:rsidR="00095B84" w:rsidRDefault="00095B84" w:rsidP="000B25E0">
                                    <w:pPr>
                                      <w:snapToGrid w:val="0"/>
                                      <w:rPr>
                                        <w:sz w:val="24"/>
                                      </w:rPr>
                                    </w:pPr>
                                    <w:r>
                                      <w:rPr>
                                        <w:rFonts w:hint="eastAsia"/>
                                        <w:sz w:val="24"/>
                                      </w:rPr>
                                      <w:t>项</w:t>
                                    </w:r>
                                  </w:p>
                                </w:txbxContent>
                              </wps:txbx>
                              <wps:bodyPr lIns="0" tIns="0" rIns="0" bIns="0" upright="1"/>
                            </wps:wsp>
                            <wps:wsp>
                              <wps:cNvPr id="52" name="__TH_B2239"/>
                              <wps:cNvSpPr txBox="1"/>
                              <wps:spPr>
                                <a:xfrm>
                                  <a:off x="525" y="415"/>
                                  <a:ext cx="300" cy="300"/>
                                </a:xfrm>
                                <a:prstGeom prst="rect">
                                  <a:avLst/>
                                </a:prstGeom>
                                <a:noFill/>
                                <a:ln w="9525">
                                  <a:noFill/>
                                </a:ln>
                                <a:effectLst/>
                              </wps:spPr>
                              <wps:txbx>
                                <w:txbxContent>
                                  <w:p w14:paraId="5EA9D71F" w14:textId="77777777" w:rsidR="00095B84" w:rsidRDefault="00095B84" w:rsidP="000B25E0">
                                    <w:pPr>
                                      <w:snapToGrid w:val="0"/>
                                      <w:rPr>
                                        <w:sz w:val="24"/>
                                      </w:rPr>
                                    </w:pPr>
                                    <w:r>
                                      <w:rPr>
                                        <w:rFonts w:hint="eastAsia"/>
                                        <w:sz w:val="24"/>
                                      </w:rPr>
                                      <w:t>目</w:t>
                                    </w:r>
                                  </w:p>
                                </w:txbxContent>
                              </wps:txbx>
                              <wps:bodyPr lIns="0" tIns="0" rIns="0" bIns="0" upright="1"/>
                            </wps:wsp>
                          </wpg:wgp>
                        </a:graphicData>
                      </a:graphic>
                    </wp:anchor>
                  </w:drawing>
                </mc:Choice>
                <mc:Fallback>
                  <w:pict>
                    <v:group w14:anchorId="05C8EB4B" id="组合 47" o:spid="_x0000_s1044" style="position:absolute;left:0;text-align:left;margin-left:-5pt;margin-top:.05pt;width:68.65pt;height:33.7pt;z-index:251686912" coordsize="1898,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">
                      <v:line id="__TH_L35" o:spid="_x0000_s1045" style="position:absolute;visibility:visible;mso-wrap-style:square" from="0,0" to="1898,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" strokeweight=".5pt"/>
                      <v:shape id="__TH_B1136" o:spid="_x0000_s1046" type="#_x0000_t202" style="position:absolute;left:982;top:52;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CQ3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l7AkN8MAAADbAAAADwAA&#10;AAAAAAAAAAAAAAAHAgAAZHJzL2Rvd25yZXYueG1sUEsFBgAAAAADAAMAtwAAAPcCAAAAAA==&#10;" filled="f" stroked="f">
                        <v:textbox inset="0,0,0,0">
                          <w:txbxContent>
                            <w:p w14:paraId="216C732C" w14:textId="77777777" w:rsidR="00095B84" w:rsidRDefault="00095B84" w:rsidP="000B25E0">
                              <w:pPr>
                                <w:snapToGrid w:val="0"/>
                                <w:rPr>
                                  <w:sz w:val="24"/>
                                </w:rPr>
                              </w:pPr>
                              <w:r>
                                <w:rPr>
                                  <w:rFonts w:hint="eastAsia"/>
                                  <w:sz w:val="24"/>
                                </w:rPr>
                                <w:t>得</w:t>
                              </w:r>
                            </w:p>
                          </w:txbxContent>
                        </v:textbox>
                      </v:shape>
                      <v:shape id="__TH_B1237" o:spid="_x0000_s1047" type="#_x0000_t202" style="position:absolute;left:1393;top:2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xt3wAAAANsAAAAPAAAAZHJzL2Rvd25yZXYueG1sRE9Ni8Iw&#10;EL0v+B/CCN7W1AVl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g1Mbd8AAAADbAAAADwAAAAAA&#10;AAAAAAAAAAAHAgAAZHJzL2Rvd25yZXYueG1sUEsFBgAAAAADAAMAtwAAAPQCAAAAAA==&#10;" filled="f" stroked="f">
                        <v:textbox inset="0,0,0,0">
                          <w:txbxContent>
                            <w:p w14:paraId="6A7288FC" w14:textId="77777777" w:rsidR="00095B84" w:rsidRDefault="00095B84" w:rsidP="000B25E0">
                              <w:pPr>
                                <w:snapToGrid w:val="0"/>
                                <w:rPr>
                                  <w:sz w:val="24"/>
                                </w:rPr>
                              </w:pPr>
                              <w:r>
                                <w:rPr>
                                  <w:rFonts w:hint="eastAsia"/>
                                  <w:sz w:val="24"/>
                                </w:rPr>
                                <w:t>分</w:t>
                              </w:r>
                            </w:p>
                          </w:txbxContent>
                        </v:textbox>
                      </v:shape>
                      <v:shape id="__TH_B2138" o:spid="_x0000_s1048" type="#_x0000_t202" style="position:absolute;left:175;top:276;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77sxQAAANsAAAAPAAAAZHJzL2Rvd25yZXYueG1sRI9Ba8JA&#10;FITvhf6H5RW8NRsFpU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DsH77sxQAAANsAAAAP&#10;AAAAAAAAAAAAAAAAAAcCAABkcnMvZG93bnJldi54bWxQSwUGAAAAAAMAAwC3AAAA+QIAAAAA&#10;" filled="f" stroked="f">
                        <v:textbox inset="0,0,0,0">
                          <w:txbxContent>
                            <w:p w14:paraId="1E268A57" w14:textId="77777777" w:rsidR="00095B84" w:rsidRDefault="00095B84" w:rsidP="000B25E0">
                              <w:pPr>
                                <w:snapToGrid w:val="0"/>
                                <w:rPr>
                                  <w:sz w:val="24"/>
                                </w:rPr>
                              </w:pPr>
                              <w:r>
                                <w:rPr>
                                  <w:rFonts w:hint="eastAsia"/>
                                  <w:sz w:val="24"/>
                                </w:rPr>
                                <w:t>项</w:t>
                              </w:r>
                            </w:p>
                          </w:txbxContent>
                        </v:textbox>
                      </v:shape>
                      <v:shape id="__TH_B2239" o:spid="_x0000_s1049" type="#_x0000_t202" style="position:absolute;left:525;top:4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SCbwwAAANsAAAAPAAAAZHJzL2Rvd25yZXYueG1sRI9Ba8JA&#10;FITvQv/D8gredKOg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HM0gm8MAAADbAAAADwAA&#10;AAAAAAAAAAAAAAAHAgAAZHJzL2Rvd25yZXYueG1sUEsFBgAAAAADAAMAtwAAAPcCAAAAAA==&#10;" filled="f" stroked="f">
                        <v:textbox inset="0,0,0,0">
                          <w:txbxContent>
                            <w:p w14:paraId="5EA9D71F" w14:textId="77777777" w:rsidR="00095B84" w:rsidRDefault="00095B84" w:rsidP="000B25E0">
                              <w:pPr>
                                <w:snapToGrid w:val="0"/>
                                <w:rPr>
                                  <w:sz w:val="24"/>
                                </w:rPr>
                              </w:pPr>
                              <w:r>
                                <w:rPr>
                                  <w:rFonts w:hint="eastAsia"/>
                                  <w:sz w:val="24"/>
                                </w:rPr>
                                <w:t>目</w:t>
                              </w:r>
                            </w:p>
                          </w:txbxContent>
                        </v:textbox>
                      </v:shape>
                    </v:group>
                  </w:pict>
                </mc:Fallback>
              </mc:AlternateContent>
            </w:r>
          </w:p>
        </w:tc>
        <w:tc>
          <w:tcPr>
            <w:tcW w:w="780" w:type="dxa"/>
            <w:tcBorders>
              <w:top w:val="single" w:sz="4" w:space="0" w:color="auto"/>
              <w:left w:val="single" w:sz="4" w:space="0" w:color="auto"/>
              <w:bottom w:val="single" w:sz="4" w:space="0" w:color="auto"/>
              <w:right w:val="single" w:sz="4" w:space="0" w:color="auto"/>
            </w:tcBorders>
          </w:tcPr>
          <w:p w14:paraId="634A6754" w14:textId="77777777" w:rsidR="000B25E0" w:rsidRPr="000B25E0" w:rsidRDefault="000B25E0" w:rsidP="000B25E0">
            <w:pPr>
              <w:jc w:val="center"/>
              <w:rPr>
                <w:rFonts w:ascii="宋体" w:eastAsia="宋体" w:hAnsi="Calibri" w:cs="Times New Roman"/>
                <w:color w:val="000000"/>
              </w:rPr>
            </w:pPr>
          </w:p>
          <w:p w14:paraId="386AEB64"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100</w:t>
            </w:r>
          </w:p>
        </w:tc>
        <w:tc>
          <w:tcPr>
            <w:tcW w:w="840" w:type="dxa"/>
            <w:tcBorders>
              <w:top w:val="single" w:sz="4" w:space="0" w:color="auto"/>
              <w:left w:val="single" w:sz="4" w:space="0" w:color="auto"/>
              <w:bottom w:val="single" w:sz="4" w:space="0" w:color="auto"/>
              <w:right w:val="single" w:sz="4" w:space="0" w:color="auto"/>
            </w:tcBorders>
          </w:tcPr>
          <w:p w14:paraId="78D5280D" w14:textId="77777777" w:rsidR="000B25E0" w:rsidRPr="000B25E0" w:rsidRDefault="000B25E0" w:rsidP="000B25E0">
            <w:pPr>
              <w:jc w:val="center"/>
              <w:rPr>
                <w:rFonts w:ascii="宋体" w:eastAsia="宋体" w:hAnsi="Calibri" w:cs="Times New Roman"/>
                <w:color w:val="000000"/>
              </w:rPr>
            </w:pPr>
          </w:p>
          <w:p w14:paraId="246E7AED"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90</w:t>
            </w:r>
          </w:p>
        </w:tc>
        <w:tc>
          <w:tcPr>
            <w:tcW w:w="825" w:type="dxa"/>
            <w:tcBorders>
              <w:top w:val="single" w:sz="4" w:space="0" w:color="auto"/>
              <w:left w:val="single" w:sz="4" w:space="0" w:color="auto"/>
              <w:bottom w:val="single" w:sz="4" w:space="0" w:color="auto"/>
              <w:right w:val="single" w:sz="4" w:space="0" w:color="auto"/>
            </w:tcBorders>
          </w:tcPr>
          <w:p w14:paraId="3D6EA7D8" w14:textId="77777777" w:rsidR="000B25E0" w:rsidRPr="000B25E0" w:rsidRDefault="000B25E0" w:rsidP="000B25E0">
            <w:pPr>
              <w:jc w:val="center"/>
              <w:rPr>
                <w:rFonts w:ascii="宋体" w:eastAsia="宋体" w:hAnsi="Calibri" w:cs="Times New Roman"/>
                <w:color w:val="000000"/>
              </w:rPr>
            </w:pPr>
          </w:p>
          <w:p w14:paraId="5929E9D3"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80</w:t>
            </w:r>
          </w:p>
        </w:tc>
        <w:tc>
          <w:tcPr>
            <w:tcW w:w="795" w:type="dxa"/>
            <w:tcBorders>
              <w:top w:val="single" w:sz="4" w:space="0" w:color="auto"/>
              <w:left w:val="single" w:sz="4" w:space="0" w:color="auto"/>
              <w:bottom w:val="single" w:sz="4" w:space="0" w:color="auto"/>
              <w:right w:val="single" w:sz="4" w:space="0" w:color="auto"/>
            </w:tcBorders>
          </w:tcPr>
          <w:p w14:paraId="37FC341F" w14:textId="77777777" w:rsidR="000B25E0" w:rsidRPr="000B25E0" w:rsidRDefault="000B25E0" w:rsidP="000B25E0">
            <w:pPr>
              <w:jc w:val="center"/>
              <w:rPr>
                <w:rFonts w:ascii="宋体" w:eastAsia="宋体" w:hAnsi="Calibri" w:cs="Times New Roman"/>
                <w:color w:val="000000"/>
              </w:rPr>
            </w:pPr>
          </w:p>
          <w:p w14:paraId="61685563"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70</w:t>
            </w:r>
          </w:p>
        </w:tc>
        <w:tc>
          <w:tcPr>
            <w:tcW w:w="750" w:type="dxa"/>
            <w:tcBorders>
              <w:top w:val="single" w:sz="4" w:space="0" w:color="auto"/>
              <w:left w:val="single" w:sz="4" w:space="0" w:color="auto"/>
              <w:bottom w:val="single" w:sz="4" w:space="0" w:color="auto"/>
              <w:right w:val="single" w:sz="4" w:space="0" w:color="auto"/>
            </w:tcBorders>
          </w:tcPr>
          <w:p w14:paraId="7AA0A5C8" w14:textId="77777777" w:rsidR="000B25E0" w:rsidRPr="000B25E0" w:rsidRDefault="000B25E0" w:rsidP="000B25E0">
            <w:pPr>
              <w:jc w:val="center"/>
              <w:rPr>
                <w:rFonts w:ascii="宋体" w:eastAsia="宋体" w:hAnsi="Calibri" w:cs="Times New Roman"/>
                <w:color w:val="000000"/>
              </w:rPr>
            </w:pPr>
          </w:p>
          <w:p w14:paraId="0004DC4D"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60</w:t>
            </w:r>
          </w:p>
        </w:tc>
        <w:tc>
          <w:tcPr>
            <w:tcW w:w="705" w:type="dxa"/>
            <w:tcBorders>
              <w:top w:val="single" w:sz="4" w:space="0" w:color="auto"/>
              <w:left w:val="single" w:sz="4" w:space="0" w:color="auto"/>
              <w:bottom w:val="single" w:sz="4" w:space="0" w:color="auto"/>
              <w:right w:val="single" w:sz="4" w:space="0" w:color="auto"/>
            </w:tcBorders>
          </w:tcPr>
          <w:p w14:paraId="55842627" w14:textId="77777777" w:rsidR="000B25E0" w:rsidRPr="000B25E0" w:rsidRDefault="000B25E0" w:rsidP="000B25E0">
            <w:pPr>
              <w:jc w:val="center"/>
              <w:rPr>
                <w:rFonts w:ascii="宋体" w:eastAsia="宋体" w:hAnsi="Calibri" w:cs="Times New Roman"/>
                <w:color w:val="000000"/>
              </w:rPr>
            </w:pPr>
          </w:p>
          <w:p w14:paraId="49B87824"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50</w:t>
            </w:r>
          </w:p>
        </w:tc>
        <w:tc>
          <w:tcPr>
            <w:tcW w:w="720" w:type="dxa"/>
            <w:tcBorders>
              <w:top w:val="single" w:sz="4" w:space="0" w:color="auto"/>
              <w:left w:val="single" w:sz="4" w:space="0" w:color="auto"/>
              <w:bottom w:val="single" w:sz="4" w:space="0" w:color="auto"/>
              <w:right w:val="single" w:sz="4" w:space="0" w:color="auto"/>
            </w:tcBorders>
          </w:tcPr>
          <w:p w14:paraId="44E5D9D7" w14:textId="77777777" w:rsidR="000B25E0" w:rsidRPr="000B25E0" w:rsidRDefault="000B25E0" w:rsidP="000B25E0">
            <w:pPr>
              <w:jc w:val="center"/>
              <w:rPr>
                <w:rFonts w:ascii="宋体" w:eastAsia="宋体" w:hAnsi="Calibri" w:cs="Times New Roman"/>
                <w:color w:val="000000"/>
              </w:rPr>
            </w:pPr>
          </w:p>
          <w:p w14:paraId="40E2E200"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40</w:t>
            </w:r>
          </w:p>
        </w:tc>
        <w:tc>
          <w:tcPr>
            <w:tcW w:w="675" w:type="dxa"/>
            <w:tcBorders>
              <w:top w:val="single" w:sz="4" w:space="0" w:color="auto"/>
              <w:left w:val="single" w:sz="4" w:space="0" w:color="auto"/>
              <w:bottom w:val="single" w:sz="4" w:space="0" w:color="auto"/>
              <w:right w:val="single" w:sz="4" w:space="0" w:color="auto"/>
            </w:tcBorders>
          </w:tcPr>
          <w:p w14:paraId="5B04EC1F" w14:textId="77777777" w:rsidR="000B25E0" w:rsidRPr="000B25E0" w:rsidRDefault="000B25E0" w:rsidP="000B25E0">
            <w:pPr>
              <w:jc w:val="center"/>
              <w:rPr>
                <w:rFonts w:ascii="宋体" w:eastAsia="宋体" w:hAnsi="Calibri" w:cs="Times New Roman"/>
                <w:color w:val="000000"/>
              </w:rPr>
            </w:pPr>
          </w:p>
          <w:p w14:paraId="66E33E19"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30</w:t>
            </w:r>
          </w:p>
        </w:tc>
        <w:tc>
          <w:tcPr>
            <w:tcW w:w="720" w:type="dxa"/>
            <w:tcBorders>
              <w:top w:val="single" w:sz="4" w:space="0" w:color="auto"/>
              <w:left w:val="single" w:sz="4" w:space="0" w:color="auto"/>
              <w:bottom w:val="single" w:sz="4" w:space="0" w:color="auto"/>
              <w:right w:val="single" w:sz="4" w:space="0" w:color="auto"/>
            </w:tcBorders>
          </w:tcPr>
          <w:p w14:paraId="36D220F2" w14:textId="77777777" w:rsidR="000B25E0" w:rsidRPr="000B25E0" w:rsidRDefault="000B25E0" w:rsidP="000B25E0">
            <w:pPr>
              <w:jc w:val="center"/>
              <w:rPr>
                <w:rFonts w:ascii="宋体" w:eastAsia="宋体" w:hAnsi="Calibri" w:cs="Times New Roman"/>
                <w:color w:val="000000"/>
              </w:rPr>
            </w:pPr>
          </w:p>
          <w:p w14:paraId="3646B1EA" w14:textId="77777777" w:rsidR="000B25E0" w:rsidRPr="000B25E0" w:rsidRDefault="000B25E0" w:rsidP="000B25E0">
            <w:pPr>
              <w:jc w:val="center"/>
              <w:rPr>
                <w:rFonts w:ascii="Calibri" w:eastAsia="宋体" w:hAnsi="Calibri" w:cs="Times New Roman"/>
              </w:rPr>
            </w:pPr>
            <w:r w:rsidRPr="000B25E0">
              <w:rPr>
                <w:rFonts w:ascii="宋体" w:eastAsia="宋体" w:hAnsi="Calibri" w:cs="Times New Roman" w:hint="eastAsia"/>
                <w:color w:val="000000"/>
              </w:rPr>
              <w:t>20</w:t>
            </w:r>
          </w:p>
        </w:tc>
        <w:tc>
          <w:tcPr>
            <w:tcW w:w="780" w:type="dxa"/>
            <w:tcBorders>
              <w:top w:val="single" w:sz="4" w:space="0" w:color="auto"/>
              <w:left w:val="single" w:sz="4" w:space="0" w:color="auto"/>
              <w:bottom w:val="single" w:sz="4" w:space="0" w:color="auto"/>
              <w:right w:val="single" w:sz="4" w:space="0" w:color="auto"/>
            </w:tcBorders>
          </w:tcPr>
          <w:p w14:paraId="51243B38" w14:textId="77777777" w:rsidR="000B25E0" w:rsidRPr="000B25E0" w:rsidRDefault="000B25E0" w:rsidP="000B25E0">
            <w:pPr>
              <w:jc w:val="center"/>
              <w:rPr>
                <w:rFonts w:ascii="宋体" w:eastAsia="宋体" w:hAnsi="Calibri" w:cs="Times New Roman"/>
                <w:color w:val="000000"/>
              </w:rPr>
            </w:pPr>
          </w:p>
          <w:p w14:paraId="7600ABAE"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10</w:t>
            </w:r>
          </w:p>
        </w:tc>
      </w:tr>
      <w:tr w:rsidR="000B25E0" w:rsidRPr="000B25E0" w14:paraId="14531296" w14:textId="77777777" w:rsidTr="00BF5EF3">
        <w:trPr>
          <w:trHeight w:val="801"/>
        </w:trPr>
        <w:tc>
          <w:tcPr>
            <w:tcW w:w="1605" w:type="dxa"/>
            <w:tcBorders>
              <w:top w:val="single" w:sz="4" w:space="0" w:color="auto"/>
              <w:left w:val="single" w:sz="4" w:space="0" w:color="auto"/>
              <w:bottom w:val="single" w:sz="4" w:space="0" w:color="auto"/>
              <w:right w:val="single" w:sz="4" w:space="0" w:color="auto"/>
            </w:tcBorders>
          </w:tcPr>
          <w:p w14:paraId="7FC8F41C" w14:textId="77777777" w:rsidR="000B25E0" w:rsidRPr="000B25E0" w:rsidRDefault="000B25E0" w:rsidP="000B25E0">
            <w:pPr>
              <w:jc w:val="center"/>
              <w:rPr>
                <w:rFonts w:ascii="Calibri" w:eastAsia="宋体" w:hAnsi="Calibri" w:cs="Times New Roman"/>
                <w:color w:val="000000"/>
              </w:rPr>
            </w:pPr>
          </w:p>
          <w:p w14:paraId="5B49D134" w14:textId="77777777" w:rsidR="000B25E0" w:rsidRPr="000B25E0" w:rsidRDefault="000B25E0" w:rsidP="000B25E0">
            <w:pPr>
              <w:jc w:val="center"/>
              <w:rPr>
                <w:rFonts w:ascii="宋体" w:eastAsia="宋体" w:hAnsi="Calibri" w:cs="Times New Roman"/>
                <w:color w:val="000000"/>
              </w:rPr>
            </w:pPr>
            <w:r w:rsidRPr="000B25E0">
              <w:rPr>
                <w:rFonts w:ascii="Calibri" w:eastAsia="宋体" w:hAnsi="Calibri" w:cs="Times New Roman" w:hint="eastAsia"/>
                <w:color w:val="000000"/>
              </w:rPr>
              <w:t>直拳击靶</w:t>
            </w:r>
          </w:p>
        </w:tc>
        <w:tc>
          <w:tcPr>
            <w:tcW w:w="780" w:type="dxa"/>
            <w:tcBorders>
              <w:top w:val="single" w:sz="4" w:space="0" w:color="auto"/>
              <w:left w:val="single" w:sz="4" w:space="0" w:color="auto"/>
              <w:bottom w:val="single" w:sz="4" w:space="0" w:color="auto"/>
              <w:right w:val="single" w:sz="4" w:space="0" w:color="auto"/>
            </w:tcBorders>
          </w:tcPr>
          <w:p w14:paraId="39EB9B9F" w14:textId="77777777" w:rsidR="000B25E0" w:rsidRPr="000B25E0" w:rsidRDefault="000B25E0" w:rsidP="000B25E0">
            <w:pPr>
              <w:jc w:val="center"/>
              <w:rPr>
                <w:rFonts w:ascii="宋体" w:eastAsia="宋体" w:hAnsi="Calibri" w:cs="Times New Roman"/>
                <w:color w:val="000000"/>
              </w:rPr>
            </w:pPr>
          </w:p>
          <w:p w14:paraId="1EBDF389"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10</w:t>
            </w:r>
          </w:p>
        </w:tc>
        <w:tc>
          <w:tcPr>
            <w:tcW w:w="840" w:type="dxa"/>
            <w:tcBorders>
              <w:top w:val="single" w:sz="4" w:space="0" w:color="auto"/>
              <w:left w:val="single" w:sz="4" w:space="0" w:color="auto"/>
              <w:bottom w:val="single" w:sz="4" w:space="0" w:color="auto"/>
              <w:right w:val="single" w:sz="4" w:space="0" w:color="auto"/>
            </w:tcBorders>
          </w:tcPr>
          <w:p w14:paraId="7834A143" w14:textId="77777777" w:rsidR="000B25E0" w:rsidRPr="000B25E0" w:rsidRDefault="000B25E0" w:rsidP="000B25E0">
            <w:pPr>
              <w:jc w:val="center"/>
              <w:rPr>
                <w:rFonts w:ascii="宋体" w:eastAsia="宋体" w:hAnsi="Calibri" w:cs="Times New Roman"/>
                <w:color w:val="000000"/>
              </w:rPr>
            </w:pPr>
          </w:p>
          <w:p w14:paraId="161B8705"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9</w:t>
            </w:r>
          </w:p>
        </w:tc>
        <w:tc>
          <w:tcPr>
            <w:tcW w:w="825" w:type="dxa"/>
            <w:tcBorders>
              <w:top w:val="single" w:sz="4" w:space="0" w:color="auto"/>
              <w:left w:val="single" w:sz="4" w:space="0" w:color="auto"/>
              <w:bottom w:val="single" w:sz="4" w:space="0" w:color="auto"/>
              <w:right w:val="single" w:sz="4" w:space="0" w:color="auto"/>
            </w:tcBorders>
          </w:tcPr>
          <w:p w14:paraId="39179213" w14:textId="77777777" w:rsidR="000B25E0" w:rsidRPr="000B25E0" w:rsidRDefault="000B25E0" w:rsidP="000B25E0">
            <w:pPr>
              <w:jc w:val="center"/>
              <w:rPr>
                <w:rFonts w:ascii="宋体" w:eastAsia="宋体" w:hAnsi="Calibri" w:cs="Times New Roman"/>
                <w:color w:val="000000"/>
              </w:rPr>
            </w:pPr>
          </w:p>
          <w:p w14:paraId="584BB2C6"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8</w:t>
            </w:r>
          </w:p>
        </w:tc>
        <w:tc>
          <w:tcPr>
            <w:tcW w:w="795" w:type="dxa"/>
            <w:tcBorders>
              <w:top w:val="single" w:sz="4" w:space="0" w:color="auto"/>
              <w:left w:val="single" w:sz="4" w:space="0" w:color="auto"/>
              <w:bottom w:val="single" w:sz="4" w:space="0" w:color="auto"/>
              <w:right w:val="single" w:sz="4" w:space="0" w:color="auto"/>
            </w:tcBorders>
          </w:tcPr>
          <w:p w14:paraId="6B1647E5" w14:textId="77777777" w:rsidR="000B25E0" w:rsidRPr="000B25E0" w:rsidRDefault="000B25E0" w:rsidP="000B25E0">
            <w:pPr>
              <w:jc w:val="center"/>
              <w:rPr>
                <w:rFonts w:ascii="宋体" w:eastAsia="宋体" w:hAnsi="Calibri" w:cs="Times New Roman"/>
                <w:color w:val="000000"/>
              </w:rPr>
            </w:pPr>
          </w:p>
          <w:p w14:paraId="50D10098"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7</w:t>
            </w:r>
          </w:p>
        </w:tc>
        <w:tc>
          <w:tcPr>
            <w:tcW w:w="750" w:type="dxa"/>
            <w:tcBorders>
              <w:top w:val="single" w:sz="4" w:space="0" w:color="auto"/>
              <w:left w:val="single" w:sz="4" w:space="0" w:color="auto"/>
              <w:bottom w:val="single" w:sz="4" w:space="0" w:color="auto"/>
              <w:right w:val="single" w:sz="4" w:space="0" w:color="auto"/>
            </w:tcBorders>
          </w:tcPr>
          <w:p w14:paraId="7D10B057" w14:textId="77777777" w:rsidR="000B25E0" w:rsidRPr="000B25E0" w:rsidRDefault="000B25E0" w:rsidP="000B25E0">
            <w:pPr>
              <w:jc w:val="center"/>
              <w:rPr>
                <w:rFonts w:ascii="宋体" w:eastAsia="宋体" w:hAnsi="Calibri" w:cs="Times New Roman"/>
                <w:color w:val="000000"/>
              </w:rPr>
            </w:pPr>
          </w:p>
          <w:p w14:paraId="0449F3BE"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6</w:t>
            </w:r>
          </w:p>
        </w:tc>
        <w:tc>
          <w:tcPr>
            <w:tcW w:w="705" w:type="dxa"/>
            <w:tcBorders>
              <w:top w:val="single" w:sz="4" w:space="0" w:color="auto"/>
              <w:left w:val="single" w:sz="4" w:space="0" w:color="auto"/>
              <w:bottom w:val="single" w:sz="4" w:space="0" w:color="auto"/>
              <w:right w:val="single" w:sz="4" w:space="0" w:color="auto"/>
            </w:tcBorders>
          </w:tcPr>
          <w:p w14:paraId="24187680" w14:textId="77777777" w:rsidR="000B25E0" w:rsidRPr="000B25E0" w:rsidRDefault="000B25E0" w:rsidP="000B25E0">
            <w:pPr>
              <w:jc w:val="center"/>
              <w:rPr>
                <w:rFonts w:ascii="宋体" w:eastAsia="宋体" w:hAnsi="Calibri" w:cs="Times New Roman"/>
                <w:color w:val="000000"/>
              </w:rPr>
            </w:pPr>
          </w:p>
          <w:p w14:paraId="5986C1FF"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5</w:t>
            </w:r>
          </w:p>
        </w:tc>
        <w:tc>
          <w:tcPr>
            <w:tcW w:w="720" w:type="dxa"/>
            <w:tcBorders>
              <w:top w:val="single" w:sz="4" w:space="0" w:color="auto"/>
              <w:left w:val="single" w:sz="4" w:space="0" w:color="auto"/>
              <w:bottom w:val="single" w:sz="4" w:space="0" w:color="auto"/>
              <w:right w:val="single" w:sz="4" w:space="0" w:color="auto"/>
            </w:tcBorders>
          </w:tcPr>
          <w:p w14:paraId="21CD4801" w14:textId="77777777" w:rsidR="000B25E0" w:rsidRPr="000B25E0" w:rsidRDefault="000B25E0" w:rsidP="000B25E0">
            <w:pPr>
              <w:jc w:val="center"/>
              <w:rPr>
                <w:rFonts w:ascii="宋体" w:eastAsia="宋体" w:hAnsi="Calibri" w:cs="Times New Roman"/>
                <w:color w:val="000000"/>
              </w:rPr>
            </w:pPr>
          </w:p>
          <w:p w14:paraId="5B500536"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4</w:t>
            </w:r>
          </w:p>
        </w:tc>
        <w:tc>
          <w:tcPr>
            <w:tcW w:w="675" w:type="dxa"/>
            <w:tcBorders>
              <w:top w:val="single" w:sz="4" w:space="0" w:color="auto"/>
              <w:left w:val="single" w:sz="4" w:space="0" w:color="auto"/>
              <w:bottom w:val="single" w:sz="4" w:space="0" w:color="auto"/>
              <w:right w:val="single" w:sz="4" w:space="0" w:color="auto"/>
            </w:tcBorders>
          </w:tcPr>
          <w:p w14:paraId="27E4C0F6" w14:textId="77777777" w:rsidR="000B25E0" w:rsidRPr="000B25E0" w:rsidRDefault="000B25E0" w:rsidP="000B25E0">
            <w:pPr>
              <w:jc w:val="center"/>
              <w:rPr>
                <w:rFonts w:ascii="宋体" w:eastAsia="宋体" w:hAnsi="Calibri" w:cs="Times New Roman"/>
                <w:color w:val="000000"/>
              </w:rPr>
            </w:pPr>
          </w:p>
          <w:p w14:paraId="0DCB56C4"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3</w:t>
            </w:r>
          </w:p>
        </w:tc>
        <w:tc>
          <w:tcPr>
            <w:tcW w:w="720" w:type="dxa"/>
            <w:tcBorders>
              <w:top w:val="single" w:sz="4" w:space="0" w:color="auto"/>
              <w:left w:val="single" w:sz="4" w:space="0" w:color="auto"/>
              <w:bottom w:val="single" w:sz="4" w:space="0" w:color="auto"/>
              <w:right w:val="single" w:sz="4" w:space="0" w:color="auto"/>
            </w:tcBorders>
          </w:tcPr>
          <w:p w14:paraId="4CCC55EC" w14:textId="77777777" w:rsidR="000B25E0" w:rsidRPr="000B25E0" w:rsidRDefault="000B25E0" w:rsidP="000B25E0">
            <w:pPr>
              <w:jc w:val="center"/>
              <w:rPr>
                <w:rFonts w:ascii="宋体" w:eastAsia="宋体" w:hAnsi="Calibri" w:cs="Times New Roman"/>
                <w:color w:val="000000"/>
              </w:rPr>
            </w:pPr>
          </w:p>
          <w:p w14:paraId="56092BD4" w14:textId="77777777" w:rsidR="000B25E0" w:rsidRPr="000B25E0" w:rsidRDefault="000B25E0" w:rsidP="000B25E0">
            <w:pPr>
              <w:jc w:val="center"/>
              <w:rPr>
                <w:rFonts w:ascii="Calibri" w:eastAsia="宋体" w:hAnsi="Calibri" w:cs="Times New Roman"/>
              </w:rPr>
            </w:pPr>
            <w:r w:rsidRPr="000B25E0">
              <w:rPr>
                <w:rFonts w:ascii="宋体" w:eastAsia="宋体" w:hAnsi="Calibri" w:cs="Times New Roman" w:hint="eastAsia"/>
                <w:color w:val="000000"/>
              </w:rPr>
              <w:t>2</w:t>
            </w:r>
          </w:p>
        </w:tc>
        <w:tc>
          <w:tcPr>
            <w:tcW w:w="780" w:type="dxa"/>
            <w:tcBorders>
              <w:top w:val="single" w:sz="4" w:space="0" w:color="auto"/>
              <w:left w:val="single" w:sz="4" w:space="0" w:color="auto"/>
              <w:bottom w:val="single" w:sz="4" w:space="0" w:color="auto"/>
              <w:right w:val="single" w:sz="4" w:space="0" w:color="auto"/>
            </w:tcBorders>
          </w:tcPr>
          <w:p w14:paraId="38E34FD7" w14:textId="77777777" w:rsidR="000B25E0" w:rsidRPr="000B25E0" w:rsidRDefault="000B25E0" w:rsidP="000B25E0">
            <w:pPr>
              <w:jc w:val="center"/>
              <w:rPr>
                <w:rFonts w:ascii="宋体" w:eastAsia="宋体" w:hAnsi="Calibri" w:cs="Times New Roman"/>
                <w:color w:val="000000"/>
              </w:rPr>
            </w:pPr>
          </w:p>
          <w:p w14:paraId="037AAD32" w14:textId="77777777" w:rsidR="000B25E0" w:rsidRPr="000B25E0" w:rsidRDefault="000B25E0" w:rsidP="000B25E0">
            <w:pPr>
              <w:jc w:val="center"/>
              <w:rPr>
                <w:rFonts w:ascii="宋体" w:eastAsia="宋体" w:hAnsi="Calibri" w:cs="Times New Roman"/>
                <w:color w:val="000000"/>
              </w:rPr>
            </w:pPr>
            <w:r w:rsidRPr="000B25E0">
              <w:rPr>
                <w:rFonts w:ascii="宋体" w:eastAsia="宋体" w:hAnsi="Calibri" w:cs="Times New Roman" w:hint="eastAsia"/>
                <w:color w:val="000000"/>
              </w:rPr>
              <w:t>1</w:t>
            </w:r>
          </w:p>
        </w:tc>
      </w:tr>
    </w:tbl>
    <w:p w14:paraId="51FCB98A" w14:textId="77777777" w:rsidR="000B25E0" w:rsidRPr="000B25E0" w:rsidRDefault="000B25E0" w:rsidP="000B25E0">
      <w:pPr>
        <w:autoSpaceDE w:val="0"/>
        <w:autoSpaceDN w:val="0"/>
        <w:adjustRightInd w:val="0"/>
        <w:snapToGrid w:val="0"/>
        <w:spacing w:line="500" w:lineRule="exact"/>
        <w:rPr>
          <w:rFonts w:ascii="宋体" w:eastAsia="宋体" w:hAnsi="Calibri" w:cs="Times New Roman"/>
          <w:b/>
          <w:color w:val="000000"/>
          <w:kern w:val="0"/>
          <w:sz w:val="24"/>
        </w:rPr>
      </w:pPr>
    </w:p>
    <w:p w14:paraId="6766D40C" w14:textId="77777777" w:rsidR="000B25E0" w:rsidRPr="000B25E0" w:rsidRDefault="000B25E0" w:rsidP="000B25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r w:rsidRPr="000B25E0">
        <w:rPr>
          <w:rFonts w:ascii="宋体" w:eastAsia="宋体" w:hAnsi="Calibri" w:cs="Times New Roman" w:hint="eastAsia"/>
          <w:color w:val="000000"/>
        </w:rPr>
        <w:t>拳腿击</w:t>
      </w:r>
      <w:proofErr w:type="gramStart"/>
      <w:r w:rsidRPr="000B25E0">
        <w:rPr>
          <w:rFonts w:ascii="宋体" w:eastAsia="宋体" w:hAnsi="Calibri" w:cs="Times New Roman" w:hint="eastAsia"/>
          <w:color w:val="000000"/>
        </w:rPr>
        <w:t>靶技评</w:t>
      </w:r>
      <w:proofErr w:type="gramEnd"/>
      <w:r w:rsidRPr="000B25E0">
        <w:rPr>
          <w:rFonts w:ascii="宋体" w:eastAsia="宋体" w:hAnsi="Calibri" w:cs="Times New Roman" w:hint="eastAsia"/>
          <w:color w:val="000000"/>
        </w:rPr>
        <w:t>：技术评定（占60%）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0B25E0" w:rsidRPr="000B25E0" w14:paraId="4E62C281" w14:textId="77777777" w:rsidTr="00BF5EF3">
        <w:trPr>
          <w:trHeight w:val="705"/>
          <w:jc w:val="center"/>
        </w:trPr>
        <w:tc>
          <w:tcPr>
            <w:tcW w:w="1368" w:type="dxa"/>
            <w:tcBorders>
              <w:top w:val="single" w:sz="4" w:space="0" w:color="auto"/>
              <w:left w:val="single" w:sz="4" w:space="0" w:color="auto"/>
              <w:bottom w:val="single" w:sz="4" w:space="0" w:color="auto"/>
              <w:right w:val="single" w:sz="4" w:space="0" w:color="auto"/>
            </w:tcBorders>
          </w:tcPr>
          <w:p w14:paraId="6EE1C64B" w14:textId="77777777" w:rsidR="000B25E0" w:rsidRPr="000B25E0" w:rsidRDefault="000B25E0" w:rsidP="000B25E0">
            <w:pPr>
              <w:rPr>
                <w:rFonts w:ascii="宋体" w:eastAsia="宋体" w:hAnsi="Calibri" w:cs="Times New Roman"/>
                <w:color w:val="000000"/>
              </w:rPr>
            </w:pPr>
          </w:p>
          <w:p w14:paraId="668127B3"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90分以上</w:t>
            </w:r>
          </w:p>
        </w:tc>
        <w:tc>
          <w:tcPr>
            <w:tcW w:w="7744" w:type="dxa"/>
            <w:tcBorders>
              <w:top w:val="single" w:sz="4" w:space="0" w:color="auto"/>
              <w:left w:val="single" w:sz="4" w:space="0" w:color="auto"/>
              <w:bottom w:val="single" w:sz="4" w:space="0" w:color="auto"/>
              <w:right w:val="single" w:sz="4" w:space="0" w:color="auto"/>
            </w:tcBorders>
          </w:tcPr>
          <w:p w14:paraId="03DCF2FF"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打靶合法，动作正确协调，动作过程连贯流畅，发力充分，拳法速快，准点好，还原实战式及时，拳法效果好</w:t>
            </w:r>
          </w:p>
        </w:tc>
      </w:tr>
      <w:tr w:rsidR="000B25E0" w:rsidRPr="000B25E0" w14:paraId="16D571BD" w14:textId="77777777" w:rsidTr="00BF5EF3">
        <w:trPr>
          <w:trHeight w:val="784"/>
          <w:jc w:val="center"/>
        </w:trPr>
        <w:tc>
          <w:tcPr>
            <w:tcW w:w="1368" w:type="dxa"/>
            <w:tcBorders>
              <w:top w:val="single" w:sz="4" w:space="0" w:color="auto"/>
              <w:left w:val="single" w:sz="4" w:space="0" w:color="auto"/>
              <w:bottom w:val="single" w:sz="4" w:space="0" w:color="auto"/>
              <w:right w:val="single" w:sz="4" w:space="0" w:color="auto"/>
            </w:tcBorders>
          </w:tcPr>
          <w:p w14:paraId="3DCCAC99" w14:textId="77777777" w:rsidR="000B25E0" w:rsidRPr="000B25E0" w:rsidRDefault="000B25E0" w:rsidP="000B25E0">
            <w:pPr>
              <w:rPr>
                <w:rFonts w:ascii="宋体" w:eastAsia="宋体" w:hAnsi="Calibri" w:cs="Times New Roman"/>
                <w:color w:val="000000"/>
              </w:rPr>
            </w:pPr>
          </w:p>
          <w:p w14:paraId="70064C56"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80—89分</w:t>
            </w:r>
          </w:p>
        </w:tc>
        <w:tc>
          <w:tcPr>
            <w:tcW w:w="7744" w:type="dxa"/>
            <w:tcBorders>
              <w:top w:val="single" w:sz="4" w:space="0" w:color="auto"/>
              <w:left w:val="single" w:sz="4" w:space="0" w:color="auto"/>
              <w:bottom w:val="single" w:sz="4" w:space="0" w:color="auto"/>
              <w:right w:val="single" w:sz="4" w:space="0" w:color="auto"/>
            </w:tcBorders>
          </w:tcPr>
          <w:p w14:paraId="3CAB6884"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动作正确协调，动作过程连贯流畅，发力较好，拳速较快，准点较好，还原实战式及时，拳法击打效果较好</w:t>
            </w:r>
          </w:p>
        </w:tc>
      </w:tr>
      <w:tr w:rsidR="000B25E0" w:rsidRPr="000B25E0" w14:paraId="16E91A10" w14:textId="77777777" w:rsidTr="00BF5EF3">
        <w:trPr>
          <w:trHeight w:val="511"/>
          <w:jc w:val="center"/>
        </w:trPr>
        <w:tc>
          <w:tcPr>
            <w:tcW w:w="1368" w:type="dxa"/>
            <w:tcBorders>
              <w:top w:val="single" w:sz="4" w:space="0" w:color="auto"/>
              <w:left w:val="single" w:sz="4" w:space="0" w:color="auto"/>
              <w:bottom w:val="single" w:sz="4" w:space="0" w:color="auto"/>
              <w:right w:val="single" w:sz="4" w:space="0" w:color="auto"/>
            </w:tcBorders>
          </w:tcPr>
          <w:p w14:paraId="157914B6"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lastRenderedPageBreak/>
              <w:t>70—79分</w:t>
            </w:r>
          </w:p>
        </w:tc>
        <w:tc>
          <w:tcPr>
            <w:tcW w:w="7744" w:type="dxa"/>
            <w:tcBorders>
              <w:top w:val="single" w:sz="4" w:space="0" w:color="auto"/>
              <w:left w:val="single" w:sz="4" w:space="0" w:color="auto"/>
              <w:bottom w:val="single" w:sz="4" w:space="0" w:color="auto"/>
              <w:right w:val="single" w:sz="4" w:space="0" w:color="auto"/>
            </w:tcBorders>
          </w:tcPr>
          <w:p w14:paraId="611C54AB"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动作基本正确，发力不充分，动作较慢，还原实战式及时，稳定性稍差</w:t>
            </w:r>
          </w:p>
        </w:tc>
      </w:tr>
      <w:tr w:rsidR="000B25E0" w:rsidRPr="000B25E0" w14:paraId="7DADDD70" w14:textId="77777777" w:rsidTr="00BF5EF3">
        <w:trPr>
          <w:trHeight w:val="472"/>
          <w:jc w:val="center"/>
        </w:trPr>
        <w:tc>
          <w:tcPr>
            <w:tcW w:w="1368" w:type="dxa"/>
            <w:tcBorders>
              <w:top w:val="single" w:sz="4" w:space="0" w:color="auto"/>
              <w:left w:val="single" w:sz="4" w:space="0" w:color="auto"/>
              <w:bottom w:val="single" w:sz="4" w:space="0" w:color="auto"/>
              <w:right w:val="single" w:sz="4" w:space="0" w:color="auto"/>
            </w:tcBorders>
          </w:tcPr>
          <w:p w14:paraId="0799878C"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60—69分</w:t>
            </w:r>
          </w:p>
        </w:tc>
        <w:tc>
          <w:tcPr>
            <w:tcW w:w="7744" w:type="dxa"/>
            <w:tcBorders>
              <w:top w:val="single" w:sz="4" w:space="0" w:color="auto"/>
              <w:left w:val="single" w:sz="4" w:space="0" w:color="auto"/>
              <w:bottom w:val="single" w:sz="4" w:space="0" w:color="auto"/>
              <w:right w:val="single" w:sz="4" w:space="0" w:color="auto"/>
            </w:tcBorders>
          </w:tcPr>
          <w:p w14:paraId="27F1AE06"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动作僵硬，协调性差，动作无根本性错误，拳法效果不理想</w:t>
            </w:r>
          </w:p>
        </w:tc>
      </w:tr>
      <w:tr w:rsidR="000B25E0" w:rsidRPr="000B25E0" w14:paraId="7B24EEEE" w14:textId="77777777" w:rsidTr="00BF5EF3">
        <w:trPr>
          <w:trHeight w:val="453"/>
          <w:jc w:val="center"/>
        </w:trPr>
        <w:tc>
          <w:tcPr>
            <w:tcW w:w="1368" w:type="dxa"/>
            <w:tcBorders>
              <w:top w:val="single" w:sz="4" w:space="0" w:color="auto"/>
              <w:left w:val="single" w:sz="4" w:space="0" w:color="auto"/>
              <w:bottom w:val="single" w:sz="4" w:space="0" w:color="auto"/>
              <w:right w:val="single" w:sz="4" w:space="0" w:color="auto"/>
            </w:tcBorders>
          </w:tcPr>
          <w:p w14:paraId="121519E9"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60分以下</w:t>
            </w:r>
          </w:p>
        </w:tc>
        <w:tc>
          <w:tcPr>
            <w:tcW w:w="7744" w:type="dxa"/>
            <w:tcBorders>
              <w:top w:val="single" w:sz="4" w:space="0" w:color="auto"/>
              <w:left w:val="single" w:sz="4" w:space="0" w:color="auto"/>
              <w:bottom w:val="single" w:sz="4" w:space="0" w:color="auto"/>
              <w:right w:val="single" w:sz="4" w:space="0" w:color="auto"/>
            </w:tcBorders>
          </w:tcPr>
          <w:p w14:paraId="4E8FBBD0" w14:textId="77777777" w:rsidR="000B25E0" w:rsidRPr="000B25E0" w:rsidRDefault="000B25E0" w:rsidP="000B25E0">
            <w:pPr>
              <w:rPr>
                <w:rFonts w:ascii="宋体" w:eastAsia="宋体" w:hAnsi="Calibri" w:cs="Times New Roman"/>
                <w:color w:val="000000"/>
              </w:rPr>
            </w:pPr>
            <w:r w:rsidRPr="000B25E0">
              <w:rPr>
                <w:rFonts w:ascii="宋体" w:eastAsia="宋体" w:hAnsi="Calibri" w:cs="Times New Roman" w:hint="eastAsia"/>
                <w:color w:val="000000"/>
              </w:rPr>
              <w:t>动作僵硬，不协调，且有严重错误，拳法效果差</w:t>
            </w:r>
          </w:p>
        </w:tc>
      </w:tr>
    </w:tbl>
    <w:p w14:paraId="52EF0E88" w14:textId="77777777" w:rsidR="000B25E0" w:rsidRPr="000B25E0" w:rsidRDefault="000B25E0" w:rsidP="000B25E0">
      <w:pPr>
        <w:spacing w:beforeLines="50" w:before="156" w:afterLines="50" w:after="156" w:line="440" w:lineRule="exact"/>
        <w:rPr>
          <w:rFonts w:ascii="黑体" w:eastAsia="黑体" w:hAnsi="黑体" w:cs="Times New Roman"/>
          <w:sz w:val="28"/>
          <w:szCs w:val="28"/>
        </w:rPr>
      </w:pPr>
    </w:p>
    <w:p w14:paraId="380D4ACD" w14:textId="77777777" w:rsidR="000B25E0" w:rsidRPr="000B25E0" w:rsidRDefault="000B25E0" w:rsidP="000B25E0">
      <w:pPr>
        <w:spacing w:beforeLines="50" w:before="156" w:afterLines="50" w:after="156" w:line="440" w:lineRule="exact"/>
        <w:rPr>
          <w:rFonts w:ascii="黑体" w:eastAsia="黑体" w:hAnsi="黑体" w:cs="Times New Roman"/>
          <w:sz w:val="28"/>
          <w:szCs w:val="28"/>
        </w:rPr>
      </w:pPr>
      <w:r w:rsidRPr="000B25E0">
        <w:rPr>
          <w:rFonts w:ascii="黑体" w:eastAsia="黑体" w:hAnsi="黑体" w:cs="Times New Roman" w:hint="eastAsia"/>
          <w:sz w:val="28"/>
          <w:szCs w:val="28"/>
        </w:rPr>
        <w:t>第三学期</w:t>
      </w:r>
    </w:p>
    <w:p w14:paraId="70FB7AAE" w14:textId="77777777" w:rsidR="000B25E0" w:rsidRPr="000B25E0" w:rsidRDefault="000B25E0" w:rsidP="000B25E0">
      <w:pPr>
        <w:adjustRightInd w:val="0"/>
        <w:snapToGrid w:val="0"/>
        <w:spacing w:line="500" w:lineRule="exact"/>
        <w:jc w:val="center"/>
        <w:rPr>
          <w:rFonts w:ascii="Calibri" w:eastAsia="宋体" w:hAnsi="Calibri" w:cs="Times New Roman"/>
          <w:b/>
          <w:bCs/>
          <w:sz w:val="24"/>
        </w:rPr>
      </w:pPr>
      <w:r w:rsidRPr="000B25E0">
        <w:rPr>
          <w:rFonts w:ascii="Calibri" w:eastAsia="宋体" w:hAnsi="Calibri" w:cs="Times New Roman" w:hint="eastAsia"/>
          <w:b/>
          <w:bCs/>
          <w:sz w:val="24"/>
        </w:rPr>
        <w:t>期中考试</w:t>
      </w:r>
    </w:p>
    <w:p w14:paraId="7A9E47BD"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0B25E0">
        <w:rPr>
          <w:rFonts w:ascii="宋体" w:eastAsia="宋体" w:hAnsi="Calibri" w:cs="Times New Roman" w:hint="eastAsia"/>
          <w:b/>
          <w:color w:val="000000"/>
          <w:kern w:val="0"/>
          <w:sz w:val="24"/>
        </w:rPr>
        <w:t>1.课程考核目标:</w:t>
      </w:r>
      <w:r w:rsidRPr="000B25E0">
        <w:rPr>
          <w:rFonts w:ascii="宋体" w:eastAsia="宋体" w:hAnsi="Calibri" w:cs="Times New Roman" w:hint="eastAsia"/>
          <w:bCs/>
          <w:color w:val="000000"/>
          <w:kern w:val="0"/>
          <w:sz w:val="24"/>
        </w:rPr>
        <w:t>通过考核检验散打技术教学效果和学生掌握情况，让学生了解选项课内容和科学体育锻炼方式方法。</w:t>
      </w:r>
    </w:p>
    <w:p w14:paraId="25331878" w14:textId="77777777" w:rsidR="000B25E0" w:rsidRPr="000B25E0" w:rsidRDefault="000B25E0" w:rsidP="000B25E0">
      <w:pPr>
        <w:adjustRightInd w:val="0"/>
        <w:snapToGrid w:val="0"/>
        <w:spacing w:line="500" w:lineRule="exact"/>
        <w:ind w:firstLineChars="200" w:firstLine="482"/>
        <w:rPr>
          <w:rFonts w:ascii="宋体" w:eastAsia="宋体" w:hAnsi="宋体" w:cs="宋体"/>
          <w:color w:val="000000"/>
          <w:sz w:val="24"/>
        </w:rPr>
      </w:pPr>
      <w:r w:rsidRPr="000B25E0">
        <w:rPr>
          <w:rFonts w:ascii="宋体" w:eastAsia="宋体" w:hAnsi="Calibri" w:cs="Times New Roman" w:hint="eastAsia"/>
          <w:b/>
          <w:color w:val="000000"/>
          <w:kern w:val="0"/>
          <w:sz w:val="24"/>
        </w:rPr>
        <w:t>2.课程考核的内容：</w:t>
      </w:r>
      <w:r w:rsidRPr="000B25E0">
        <w:rPr>
          <w:rFonts w:ascii="宋体" w:eastAsia="宋体" w:hAnsi="Calibri" w:cs="Times New Roman" w:hint="eastAsia"/>
          <w:bCs/>
          <w:color w:val="000000"/>
          <w:kern w:val="0"/>
          <w:sz w:val="24"/>
        </w:rPr>
        <w:t>条件</w:t>
      </w:r>
      <w:r w:rsidRPr="000B25E0">
        <w:rPr>
          <w:rFonts w:ascii="Calibri" w:eastAsia="宋体" w:hAnsi="Calibri" w:cs="Times New Roman" w:hint="eastAsia"/>
          <w:sz w:val="24"/>
        </w:rPr>
        <w:t>反应测试，技术内容正面进攻</w:t>
      </w:r>
    </w:p>
    <w:p w14:paraId="343E8258"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0B25E0">
        <w:rPr>
          <w:rFonts w:ascii="宋体" w:eastAsia="宋体" w:hAnsi="Calibri" w:cs="Times New Roman" w:hint="eastAsia"/>
          <w:b/>
          <w:color w:val="000000"/>
          <w:kern w:val="0"/>
          <w:sz w:val="24"/>
        </w:rPr>
        <w:t>3.课程考核方式：</w:t>
      </w:r>
      <w:r w:rsidRPr="000B25E0">
        <w:rPr>
          <w:rFonts w:ascii="宋体" w:eastAsia="宋体" w:hAnsi="Calibri" w:cs="Times New Roman" w:hint="eastAsia"/>
          <w:bCs/>
          <w:color w:val="000000"/>
          <w:kern w:val="0"/>
          <w:sz w:val="24"/>
        </w:rPr>
        <w:t>两个人的条件反应</w:t>
      </w:r>
    </w:p>
    <w:p w14:paraId="5D1B4023"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0B25E0">
        <w:rPr>
          <w:rFonts w:ascii="宋体" w:eastAsia="宋体" w:hAnsi="Calibri" w:cs="Times New Roman" w:hint="eastAsia"/>
          <w:b/>
          <w:color w:val="000000"/>
          <w:kern w:val="0"/>
          <w:sz w:val="24"/>
        </w:rPr>
        <w:t>4.成绩构成及分值：</w:t>
      </w:r>
      <w:r w:rsidRPr="000B25E0">
        <w:rPr>
          <w:rFonts w:ascii="Calibri" w:eastAsia="宋体" w:hAnsi="Calibri" w:cs="Times New Roman" w:hint="eastAsia"/>
          <w:sz w:val="24"/>
        </w:rPr>
        <w:t>数量及技术评定分值各为</w:t>
      </w:r>
      <w:r w:rsidRPr="000B25E0">
        <w:rPr>
          <w:rFonts w:ascii="Calibri" w:eastAsia="宋体" w:hAnsi="Calibri" w:cs="Times New Roman" w:hint="eastAsia"/>
          <w:sz w:val="24"/>
        </w:rPr>
        <w:t>100</w:t>
      </w:r>
      <w:r w:rsidRPr="000B25E0">
        <w:rPr>
          <w:rFonts w:ascii="Calibri" w:eastAsia="宋体" w:hAnsi="Calibri" w:cs="Times New Roman" w:hint="eastAsia"/>
          <w:sz w:val="24"/>
        </w:rPr>
        <w:t>分，各占总分值的</w:t>
      </w:r>
      <w:r w:rsidRPr="000B25E0">
        <w:rPr>
          <w:rFonts w:ascii="Calibri" w:eastAsia="宋体" w:hAnsi="Calibri" w:cs="Times New Roman" w:hint="eastAsia"/>
          <w:sz w:val="24"/>
        </w:rPr>
        <w:t>50%</w:t>
      </w:r>
      <w:r w:rsidRPr="000B25E0">
        <w:rPr>
          <w:rFonts w:ascii="Calibri" w:eastAsia="宋体" w:hAnsi="Calibri" w:cs="Times New Roman" w:hint="eastAsia"/>
          <w:sz w:val="24"/>
        </w:rPr>
        <w:t>，总分值为</w:t>
      </w:r>
      <w:r w:rsidRPr="000B25E0">
        <w:rPr>
          <w:rFonts w:ascii="Calibri" w:eastAsia="宋体" w:hAnsi="Calibri" w:cs="Times New Roman" w:hint="eastAsia"/>
          <w:sz w:val="24"/>
        </w:rPr>
        <w:t>100</w:t>
      </w:r>
      <w:r w:rsidRPr="000B25E0">
        <w:rPr>
          <w:rFonts w:ascii="Calibri" w:eastAsia="宋体" w:hAnsi="Calibri" w:cs="Times New Roman" w:hint="eastAsia"/>
          <w:sz w:val="24"/>
        </w:rPr>
        <w:t>分。</w:t>
      </w:r>
    </w:p>
    <w:p w14:paraId="79785434"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宋体"/>
          <w:b/>
          <w:color w:val="000000"/>
          <w:sz w:val="24"/>
        </w:rPr>
      </w:pPr>
      <w:r w:rsidRPr="000B25E0">
        <w:rPr>
          <w:rFonts w:ascii="宋体" w:eastAsia="宋体" w:hAnsi="Calibri" w:cs="Times New Roman" w:hint="eastAsia"/>
          <w:b/>
          <w:color w:val="000000"/>
          <w:kern w:val="0"/>
          <w:sz w:val="24"/>
        </w:rPr>
        <w:t>5.评分记分原则：</w:t>
      </w:r>
    </w:p>
    <w:tbl>
      <w:tblPr>
        <w:tblpPr w:leftFromText="180" w:rightFromText="180" w:vertAnchor="text" w:horzAnchor="page" w:tblpX="1837" w:tblpY="2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5"/>
        <w:gridCol w:w="1140"/>
        <w:gridCol w:w="1215"/>
        <w:gridCol w:w="5085"/>
      </w:tblGrid>
      <w:tr w:rsidR="000B25E0" w:rsidRPr="000B25E0" w14:paraId="0A270FE5" w14:textId="77777777" w:rsidTr="00BF5EF3">
        <w:tc>
          <w:tcPr>
            <w:tcW w:w="975" w:type="dxa"/>
            <w:vAlign w:val="center"/>
          </w:tcPr>
          <w:p w14:paraId="184358C3"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技术分</w:t>
            </w:r>
          </w:p>
        </w:tc>
        <w:tc>
          <w:tcPr>
            <w:tcW w:w="1140" w:type="dxa"/>
            <w:vAlign w:val="center"/>
          </w:tcPr>
          <w:p w14:paraId="6AB0ECB5"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五级制</w:t>
            </w:r>
          </w:p>
        </w:tc>
        <w:tc>
          <w:tcPr>
            <w:tcW w:w="1215" w:type="dxa"/>
            <w:vAlign w:val="center"/>
          </w:tcPr>
          <w:p w14:paraId="2075BA9E"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分值范围</w:t>
            </w:r>
          </w:p>
        </w:tc>
        <w:tc>
          <w:tcPr>
            <w:tcW w:w="5085" w:type="dxa"/>
            <w:vAlign w:val="center"/>
          </w:tcPr>
          <w:p w14:paraId="5F84F139"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备注</w:t>
            </w:r>
          </w:p>
        </w:tc>
      </w:tr>
      <w:tr w:rsidR="000B25E0" w:rsidRPr="000B25E0" w14:paraId="1FBF1C98" w14:textId="77777777" w:rsidTr="00BF5EF3">
        <w:tc>
          <w:tcPr>
            <w:tcW w:w="975" w:type="dxa"/>
            <w:vAlign w:val="center"/>
          </w:tcPr>
          <w:p w14:paraId="17998528"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A</w:t>
            </w:r>
          </w:p>
        </w:tc>
        <w:tc>
          <w:tcPr>
            <w:tcW w:w="1140" w:type="dxa"/>
            <w:vAlign w:val="center"/>
          </w:tcPr>
          <w:p w14:paraId="77961583"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优</w:t>
            </w:r>
          </w:p>
        </w:tc>
        <w:tc>
          <w:tcPr>
            <w:tcW w:w="1215" w:type="dxa"/>
            <w:vAlign w:val="center"/>
          </w:tcPr>
          <w:p w14:paraId="53C43574"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90—95</w:t>
            </w:r>
          </w:p>
        </w:tc>
        <w:tc>
          <w:tcPr>
            <w:tcW w:w="5085" w:type="dxa"/>
            <w:vAlign w:val="center"/>
          </w:tcPr>
          <w:p w14:paraId="29438E84"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姿势正确，反应速度快，</w:t>
            </w:r>
            <w:proofErr w:type="gramStart"/>
            <w:r w:rsidRPr="000B25E0">
              <w:rPr>
                <w:rFonts w:ascii="宋体" w:eastAsia="宋体" w:hAnsi="宋体" w:cs="宋体" w:hint="eastAsia"/>
                <w:sz w:val="24"/>
              </w:rPr>
              <w:t>击准率高</w:t>
            </w:r>
            <w:proofErr w:type="gramEnd"/>
            <w:r w:rsidRPr="000B25E0">
              <w:rPr>
                <w:rFonts w:ascii="宋体" w:eastAsia="宋体" w:hAnsi="宋体" w:cs="宋体" w:hint="eastAsia"/>
                <w:sz w:val="24"/>
              </w:rPr>
              <w:t>、回身防守严密</w:t>
            </w:r>
          </w:p>
        </w:tc>
      </w:tr>
      <w:tr w:rsidR="000B25E0" w:rsidRPr="000B25E0" w14:paraId="7FC74932" w14:textId="77777777" w:rsidTr="00BF5EF3">
        <w:tc>
          <w:tcPr>
            <w:tcW w:w="975" w:type="dxa"/>
            <w:vAlign w:val="center"/>
          </w:tcPr>
          <w:p w14:paraId="01B8C75E"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B</w:t>
            </w:r>
          </w:p>
        </w:tc>
        <w:tc>
          <w:tcPr>
            <w:tcW w:w="1140" w:type="dxa"/>
            <w:vAlign w:val="center"/>
          </w:tcPr>
          <w:p w14:paraId="28C513F4"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良好</w:t>
            </w:r>
          </w:p>
        </w:tc>
        <w:tc>
          <w:tcPr>
            <w:tcW w:w="1215" w:type="dxa"/>
            <w:vAlign w:val="center"/>
          </w:tcPr>
          <w:p w14:paraId="2B9B30F7"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80—89</w:t>
            </w:r>
          </w:p>
        </w:tc>
        <w:tc>
          <w:tcPr>
            <w:tcW w:w="5085" w:type="dxa"/>
            <w:vAlign w:val="center"/>
          </w:tcPr>
          <w:p w14:paraId="7BB23C7C"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姿势正确，反应速度较快，</w:t>
            </w:r>
            <w:proofErr w:type="gramStart"/>
            <w:r w:rsidRPr="000B25E0">
              <w:rPr>
                <w:rFonts w:ascii="宋体" w:eastAsia="宋体" w:hAnsi="宋体" w:cs="宋体" w:hint="eastAsia"/>
                <w:sz w:val="24"/>
              </w:rPr>
              <w:t>击准率较高</w:t>
            </w:r>
            <w:proofErr w:type="gramEnd"/>
            <w:r w:rsidRPr="000B25E0">
              <w:rPr>
                <w:rFonts w:ascii="宋体" w:eastAsia="宋体" w:hAnsi="宋体" w:cs="宋体" w:hint="eastAsia"/>
                <w:sz w:val="24"/>
              </w:rPr>
              <w:t>、回身防守较严密</w:t>
            </w:r>
          </w:p>
        </w:tc>
      </w:tr>
      <w:tr w:rsidR="000B25E0" w:rsidRPr="000B25E0" w14:paraId="3630174E" w14:textId="77777777" w:rsidTr="00BF5EF3">
        <w:tc>
          <w:tcPr>
            <w:tcW w:w="975" w:type="dxa"/>
            <w:vAlign w:val="center"/>
          </w:tcPr>
          <w:p w14:paraId="1B4FEF96"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C</w:t>
            </w:r>
          </w:p>
        </w:tc>
        <w:tc>
          <w:tcPr>
            <w:tcW w:w="1140" w:type="dxa"/>
            <w:vAlign w:val="center"/>
          </w:tcPr>
          <w:p w14:paraId="64A72109"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良</w:t>
            </w:r>
          </w:p>
        </w:tc>
        <w:tc>
          <w:tcPr>
            <w:tcW w:w="1215" w:type="dxa"/>
            <w:vAlign w:val="center"/>
          </w:tcPr>
          <w:p w14:paraId="7AAB4469"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70—79</w:t>
            </w:r>
          </w:p>
        </w:tc>
        <w:tc>
          <w:tcPr>
            <w:tcW w:w="5085" w:type="dxa"/>
            <w:vAlign w:val="center"/>
          </w:tcPr>
          <w:p w14:paraId="176C70CD"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姿势一般，反应一般，</w:t>
            </w:r>
            <w:proofErr w:type="gramStart"/>
            <w:r w:rsidRPr="000B25E0">
              <w:rPr>
                <w:rFonts w:ascii="宋体" w:eastAsia="宋体" w:hAnsi="宋体" w:cs="宋体" w:hint="eastAsia"/>
                <w:sz w:val="24"/>
              </w:rPr>
              <w:t>击准率一般</w:t>
            </w:r>
            <w:proofErr w:type="gramEnd"/>
            <w:r w:rsidRPr="000B25E0">
              <w:rPr>
                <w:rFonts w:ascii="宋体" w:eastAsia="宋体" w:hAnsi="宋体" w:cs="宋体" w:hint="eastAsia"/>
                <w:sz w:val="24"/>
              </w:rPr>
              <w:t>、回身防守严密度一般</w:t>
            </w:r>
          </w:p>
        </w:tc>
      </w:tr>
      <w:tr w:rsidR="000B25E0" w:rsidRPr="000B25E0" w14:paraId="74187EA8" w14:textId="77777777" w:rsidTr="00BF5EF3">
        <w:tc>
          <w:tcPr>
            <w:tcW w:w="975" w:type="dxa"/>
            <w:vAlign w:val="center"/>
          </w:tcPr>
          <w:p w14:paraId="6DFAD2F7"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D</w:t>
            </w:r>
          </w:p>
        </w:tc>
        <w:tc>
          <w:tcPr>
            <w:tcW w:w="1140" w:type="dxa"/>
            <w:vAlign w:val="center"/>
          </w:tcPr>
          <w:p w14:paraId="4A7C4072"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及格</w:t>
            </w:r>
          </w:p>
        </w:tc>
        <w:tc>
          <w:tcPr>
            <w:tcW w:w="1215" w:type="dxa"/>
            <w:vAlign w:val="center"/>
          </w:tcPr>
          <w:p w14:paraId="1BC132DA"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60—69</w:t>
            </w:r>
          </w:p>
        </w:tc>
        <w:tc>
          <w:tcPr>
            <w:tcW w:w="5085" w:type="dxa"/>
            <w:vAlign w:val="center"/>
          </w:tcPr>
          <w:p w14:paraId="5DC89C13"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动作不协调，有多余动作，</w:t>
            </w:r>
          </w:p>
        </w:tc>
      </w:tr>
      <w:tr w:rsidR="000B25E0" w:rsidRPr="000B25E0" w14:paraId="5ACE890C" w14:textId="77777777" w:rsidTr="00BF5EF3">
        <w:tc>
          <w:tcPr>
            <w:tcW w:w="975" w:type="dxa"/>
            <w:vAlign w:val="center"/>
          </w:tcPr>
          <w:p w14:paraId="6ABFF99A"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E</w:t>
            </w:r>
          </w:p>
        </w:tc>
        <w:tc>
          <w:tcPr>
            <w:tcW w:w="1140" w:type="dxa"/>
            <w:vAlign w:val="center"/>
          </w:tcPr>
          <w:p w14:paraId="61D76B79"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不及格</w:t>
            </w:r>
          </w:p>
        </w:tc>
        <w:tc>
          <w:tcPr>
            <w:tcW w:w="1215" w:type="dxa"/>
            <w:vAlign w:val="center"/>
          </w:tcPr>
          <w:p w14:paraId="2042FBB1"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60以下</w:t>
            </w:r>
          </w:p>
        </w:tc>
        <w:tc>
          <w:tcPr>
            <w:tcW w:w="5085" w:type="dxa"/>
            <w:vAlign w:val="center"/>
          </w:tcPr>
          <w:p w14:paraId="44BE7D02"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动作僵硬，吃力，不协调</w:t>
            </w:r>
          </w:p>
        </w:tc>
      </w:tr>
    </w:tbl>
    <w:p w14:paraId="406C6A99" w14:textId="77777777" w:rsidR="000B25E0" w:rsidRPr="000B25E0" w:rsidRDefault="000B25E0" w:rsidP="000B25E0">
      <w:pPr>
        <w:adjustRightInd w:val="0"/>
        <w:snapToGrid w:val="0"/>
        <w:spacing w:line="500" w:lineRule="exact"/>
        <w:jc w:val="center"/>
        <w:rPr>
          <w:rFonts w:ascii="Calibri" w:eastAsia="宋体" w:hAnsi="Calibri" w:cs="Times New Roman"/>
          <w:b/>
          <w:bCs/>
          <w:sz w:val="24"/>
        </w:rPr>
      </w:pPr>
      <w:r w:rsidRPr="000B25E0">
        <w:rPr>
          <w:rFonts w:ascii="Calibri" w:eastAsia="宋体" w:hAnsi="Calibri" w:cs="Times New Roman" w:hint="eastAsia"/>
          <w:b/>
          <w:bCs/>
          <w:sz w:val="24"/>
        </w:rPr>
        <w:t>期末考试</w:t>
      </w:r>
    </w:p>
    <w:p w14:paraId="1A42563D"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0B25E0">
        <w:rPr>
          <w:rFonts w:ascii="宋体" w:eastAsia="宋体" w:hAnsi="Calibri" w:cs="Times New Roman" w:hint="eastAsia"/>
          <w:b/>
          <w:color w:val="000000"/>
          <w:kern w:val="0"/>
          <w:sz w:val="24"/>
        </w:rPr>
        <w:t>1.课程考核目标:</w:t>
      </w:r>
      <w:r w:rsidRPr="000B25E0">
        <w:rPr>
          <w:rFonts w:ascii="宋体" w:eastAsia="宋体" w:hAnsi="Calibri" w:cs="Times New Roman" w:hint="eastAsia"/>
          <w:bCs/>
          <w:color w:val="000000"/>
          <w:kern w:val="0"/>
          <w:sz w:val="24"/>
        </w:rPr>
        <w:t>通过考核检验散打技术教学效果和学生掌握情况，让学生了解选项课内容和科学体育锻炼方式方法。</w:t>
      </w:r>
    </w:p>
    <w:p w14:paraId="7DF30FCA" w14:textId="77777777" w:rsidR="000B25E0" w:rsidRPr="000B25E0" w:rsidRDefault="000B25E0" w:rsidP="000B25E0">
      <w:pPr>
        <w:adjustRightInd w:val="0"/>
        <w:snapToGrid w:val="0"/>
        <w:spacing w:line="500" w:lineRule="exact"/>
        <w:ind w:firstLineChars="200" w:firstLine="482"/>
        <w:rPr>
          <w:rFonts w:ascii="宋体" w:eastAsia="宋体" w:hAnsi="宋体" w:cs="宋体"/>
          <w:color w:val="000000"/>
          <w:sz w:val="24"/>
        </w:rPr>
      </w:pPr>
      <w:r w:rsidRPr="000B25E0">
        <w:rPr>
          <w:rFonts w:ascii="宋体" w:eastAsia="宋体" w:hAnsi="Calibri" w:cs="Times New Roman" w:hint="eastAsia"/>
          <w:b/>
          <w:color w:val="000000"/>
          <w:kern w:val="0"/>
          <w:sz w:val="24"/>
        </w:rPr>
        <w:t>2.课程考核的内容：</w:t>
      </w:r>
      <w:r w:rsidRPr="000B25E0">
        <w:rPr>
          <w:rFonts w:ascii="Calibri" w:eastAsia="宋体" w:hAnsi="Calibri" w:cs="Times New Roman" w:hint="eastAsia"/>
          <w:sz w:val="24"/>
        </w:rPr>
        <w:t>进攻与防守技术条件反应</w:t>
      </w:r>
      <w:r w:rsidRPr="000B25E0">
        <w:rPr>
          <w:rFonts w:ascii="宋体" w:eastAsia="宋体" w:hAnsi="宋体" w:cs="宋体" w:hint="eastAsia"/>
          <w:color w:val="000000"/>
          <w:sz w:val="24"/>
        </w:rPr>
        <w:t>。</w:t>
      </w:r>
    </w:p>
    <w:p w14:paraId="70B1A9F9" w14:textId="77777777" w:rsidR="000B25E0" w:rsidRPr="000B25E0" w:rsidRDefault="000B25E0" w:rsidP="000B25E0">
      <w:pPr>
        <w:autoSpaceDE w:val="0"/>
        <w:autoSpaceDN w:val="0"/>
        <w:adjustRightInd w:val="0"/>
        <w:snapToGrid w:val="0"/>
        <w:spacing w:line="500" w:lineRule="exact"/>
        <w:ind w:firstLineChars="200" w:firstLine="482"/>
        <w:rPr>
          <w:rFonts w:ascii="Calibri" w:eastAsia="宋体" w:hAnsi="Calibri" w:cs="Times New Roman"/>
          <w:sz w:val="24"/>
        </w:rPr>
      </w:pPr>
      <w:r w:rsidRPr="000B25E0">
        <w:rPr>
          <w:rFonts w:ascii="宋体" w:eastAsia="宋体" w:hAnsi="Calibri" w:cs="Times New Roman" w:hint="eastAsia"/>
          <w:b/>
          <w:color w:val="000000"/>
          <w:kern w:val="0"/>
          <w:sz w:val="24"/>
        </w:rPr>
        <w:lastRenderedPageBreak/>
        <w:t>3.课程考核方式：</w:t>
      </w:r>
      <w:r w:rsidRPr="000B25E0">
        <w:rPr>
          <w:rFonts w:ascii="Calibri" w:eastAsia="宋体" w:hAnsi="Calibri" w:cs="Times New Roman" w:hint="eastAsia"/>
          <w:sz w:val="24"/>
        </w:rPr>
        <w:t>两个人穿戴护具的条件反应</w:t>
      </w:r>
    </w:p>
    <w:p w14:paraId="6AD29D61"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0B25E0">
        <w:rPr>
          <w:rFonts w:ascii="宋体" w:eastAsia="宋体" w:hAnsi="Calibri" w:cs="Times New Roman" w:hint="eastAsia"/>
          <w:b/>
          <w:color w:val="000000"/>
          <w:kern w:val="0"/>
          <w:sz w:val="24"/>
        </w:rPr>
        <w:t>4.成绩构成及分值：</w:t>
      </w:r>
      <w:r w:rsidRPr="000B25E0">
        <w:rPr>
          <w:rFonts w:ascii="Calibri" w:eastAsia="宋体" w:hAnsi="Calibri" w:cs="Times New Roman" w:hint="eastAsia"/>
          <w:sz w:val="24"/>
        </w:rPr>
        <w:t>数量及技术评定分值各为</w:t>
      </w:r>
      <w:r w:rsidRPr="000B25E0">
        <w:rPr>
          <w:rFonts w:ascii="Calibri" w:eastAsia="宋体" w:hAnsi="Calibri" w:cs="Times New Roman" w:hint="eastAsia"/>
          <w:sz w:val="24"/>
        </w:rPr>
        <w:t>100</w:t>
      </w:r>
      <w:r w:rsidRPr="000B25E0">
        <w:rPr>
          <w:rFonts w:ascii="Calibri" w:eastAsia="宋体" w:hAnsi="Calibri" w:cs="Times New Roman" w:hint="eastAsia"/>
          <w:sz w:val="24"/>
        </w:rPr>
        <w:t>分，各占总分值的</w:t>
      </w:r>
      <w:r w:rsidRPr="000B25E0">
        <w:rPr>
          <w:rFonts w:ascii="Calibri" w:eastAsia="宋体" w:hAnsi="Calibri" w:cs="Times New Roman" w:hint="eastAsia"/>
          <w:sz w:val="24"/>
        </w:rPr>
        <w:t>50%</w:t>
      </w:r>
      <w:r w:rsidRPr="000B25E0">
        <w:rPr>
          <w:rFonts w:ascii="Calibri" w:eastAsia="宋体" w:hAnsi="Calibri" w:cs="Times New Roman" w:hint="eastAsia"/>
          <w:sz w:val="24"/>
        </w:rPr>
        <w:t>，总分值为</w:t>
      </w:r>
      <w:r w:rsidRPr="000B25E0">
        <w:rPr>
          <w:rFonts w:ascii="Calibri" w:eastAsia="宋体" w:hAnsi="Calibri" w:cs="Times New Roman" w:hint="eastAsia"/>
          <w:sz w:val="24"/>
        </w:rPr>
        <w:t>100</w:t>
      </w:r>
      <w:r w:rsidRPr="000B25E0">
        <w:rPr>
          <w:rFonts w:ascii="Calibri" w:eastAsia="宋体" w:hAnsi="Calibri" w:cs="Times New Roman" w:hint="eastAsia"/>
          <w:sz w:val="24"/>
        </w:rPr>
        <w:t>分。</w:t>
      </w:r>
    </w:p>
    <w:p w14:paraId="2CEC900B"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0B25E0">
        <w:rPr>
          <w:rFonts w:ascii="宋体" w:eastAsia="宋体" w:hAnsi="Calibri" w:cs="Times New Roman" w:hint="eastAsia"/>
          <w:b/>
          <w:color w:val="000000"/>
          <w:kern w:val="0"/>
          <w:sz w:val="24"/>
        </w:rPr>
        <w:t>5.评分记分原则：</w:t>
      </w:r>
    </w:p>
    <w:tbl>
      <w:tblPr>
        <w:tblpPr w:leftFromText="180" w:rightFromText="180" w:vertAnchor="text" w:horzAnchor="page" w:tblpX="2437" w:tblpY="25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0"/>
        <w:gridCol w:w="1215"/>
        <w:gridCol w:w="5670"/>
      </w:tblGrid>
      <w:tr w:rsidR="000B25E0" w:rsidRPr="000B25E0" w14:paraId="4A34B86C" w14:textId="77777777" w:rsidTr="00BF5EF3">
        <w:tc>
          <w:tcPr>
            <w:tcW w:w="930" w:type="dxa"/>
            <w:vAlign w:val="center"/>
          </w:tcPr>
          <w:p w14:paraId="0A5ECEF1"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五级制</w:t>
            </w:r>
          </w:p>
        </w:tc>
        <w:tc>
          <w:tcPr>
            <w:tcW w:w="1215" w:type="dxa"/>
            <w:vAlign w:val="center"/>
          </w:tcPr>
          <w:p w14:paraId="723597F7"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分值范围</w:t>
            </w:r>
          </w:p>
        </w:tc>
        <w:tc>
          <w:tcPr>
            <w:tcW w:w="5670" w:type="dxa"/>
            <w:vAlign w:val="center"/>
          </w:tcPr>
          <w:p w14:paraId="0D13C336"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备注</w:t>
            </w:r>
          </w:p>
        </w:tc>
      </w:tr>
      <w:tr w:rsidR="000B25E0" w:rsidRPr="000B25E0" w14:paraId="28BF0041" w14:textId="77777777" w:rsidTr="00BF5EF3">
        <w:tc>
          <w:tcPr>
            <w:tcW w:w="930" w:type="dxa"/>
            <w:vAlign w:val="center"/>
          </w:tcPr>
          <w:p w14:paraId="6393DDDA"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优</w:t>
            </w:r>
          </w:p>
        </w:tc>
        <w:tc>
          <w:tcPr>
            <w:tcW w:w="1215" w:type="dxa"/>
            <w:vAlign w:val="center"/>
          </w:tcPr>
          <w:p w14:paraId="3AB2CD23"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90—95</w:t>
            </w:r>
          </w:p>
        </w:tc>
        <w:tc>
          <w:tcPr>
            <w:tcW w:w="5670" w:type="dxa"/>
            <w:vAlign w:val="center"/>
          </w:tcPr>
          <w:p w14:paraId="7874827D"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姿势正确，反应速度快，</w:t>
            </w:r>
            <w:proofErr w:type="gramStart"/>
            <w:r w:rsidRPr="000B25E0">
              <w:rPr>
                <w:rFonts w:ascii="宋体" w:eastAsia="宋体" w:hAnsi="宋体" w:cs="宋体" w:hint="eastAsia"/>
                <w:sz w:val="24"/>
              </w:rPr>
              <w:t>击准率高</w:t>
            </w:r>
            <w:proofErr w:type="gramEnd"/>
            <w:r w:rsidRPr="000B25E0">
              <w:rPr>
                <w:rFonts w:ascii="宋体" w:eastAsia="宋体" w:hAnsi="宋体" w:cs="宋体" w:hint="eastAsia"/>
                <w:sz w:val="24"/>
              </w:rPr>
              <w:t>、回身防守严密</w:t>
            </w:r>
          </w:p>
        </w:tc>
      </w:tr>
      <w:tr w:rsidR="000B25E0" w:rsidRPr="000B25E0" w14:paraId="23B0C57A" w14:textId="77777777" w:rsidTr="00BF5EF3">
        <w:tc>
          <w:tcPr>
            <w:tcW w:w="930" w:type="dxa"/>
            <w:vAlign w:val="center"/>
          </w:tcPr>
          <w:p w14:paraId="4279876B"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良好</w:t>
            </w:r>
          </w:p>
        </w:tc>
        <w:tc>
          <w:tcPr>
            <w:tcW w:w="1215" w:type="dxa"/>
            <w:vAlign w:val="center"/>
          </w:tcPr>
          <w:p w14:paraId="4B4CEA7D"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80—89</w:t>
            </w:r>
          </w:p>
        </w:tc>
        <w:tc>
          <w:tcPr>
            <w:tcW w:w="5670" w:type="dxa"/>
            <w:vAlign w:val="center"/>
          </w:tcPr>
          <w:p w14:paraId="60CC9659"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姿势正确，反应速度较快，</w:t>
            </w:r>
            <w:proofErr w:type="gramStart"/>
            <w:r w:rsidRPr="000B25E0">
              <w:rPr>
                <w:rFonts w:ascii="宋体" w:eastAsia="宋体" w:hAnsi="宋体" w:cs="宋体" w:hint="eastAsia"/>
                <w:sz w:val="24"/>
              </w:rPr>
              <w:t>击准率较高</w:t>
            </w:r>
            <w:proofErr w:type="gramEnd"/>
            <w:r w:rsidRPr="000B25E0">
              <w:rPr>
                <w:rFonts w:ascii="宋体" w:eastAsia="宋体" w:hAnsi="宋体" w:cs="宋体" w:hint="eastAsia"/>
                <w:sz w:val="24"/>
              </w:rPr>
              <w:t>、回身防守较严密</w:t>
            </w:r>
          </w:p>
        </w:tc>
      </w:tr>
      <w:tr w:rsidR="000B25E0" w:rsidRPr="000B25E0" w14:paraId="628BD860" w14:textId="77777777" w:rsidTr="00BF5EF3">
        <w:tc>
          <w:tcPr>
            <w:tcW w:w="930" w:type="dxa"/>
            <w:vAlign w:val="center"/>
          </w:tcPr>
          <w:p w14:paraId="4F94976F"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良</w:t>
            </w:r>
          </w:p>
        </w:tc>
        <w:tc>
          <w:tcPr>
            <w:tcW w:w="1215" w:type="dxa"/>
            <w:vAlign w:val="center"/>
          </w:tcPr>
          <w:p w14:paraId="12826D6C"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70—79</w:t>
            </w:r>
          </w:p>
        </w:tc>
        <w:tc>
          <w:tcPr>
            <w:tcW w:w="5670" w:type="dxa"/>
            <w:vAlign w:val="center"/>
          </w:tcPr>
          <w:p w14:paraId="30AC7185"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姿势一般，反应一般，</w:t>
            </w:r>
            <w:proofErr w:type="gramStart"/>
            <w:r w:rsidRPr="000B25E0">
              <w:rPr>
                <w:rFonts w:ascii="宋体" w:eastAsia="宋体" w:hAnsi="宋体" w:cs="宋体" w:hint="eastAsia"/>
                <w:sz w:val="24"/>
              </w:rPr>
              <w:t>击准率一般</w:t>
            </w:r>
            <w:proofErr w:type="gramEnd"/>
            <w:r w:rsidRPr="000B25E0">
              <w:rPr>
                <w:rFonts w:ascii="宋体" w:eastAsia="宋体" w:hAnsi="宋体" w:cs="宋体" w:hint="eastAsia"/>
                <w:sz w:val="24"/>
              </w:rPr>
              <w:t>、回身防守严密度一般</w:t>
            </w:r>
          </w:p>
        </w:tc>
      </w:tr>
      <w:tr w:rsidR="000B25E0" w:rsidRPr="000B25E0" w14:paraId="6D449938" w14:textId="77777777" w:rsidTr="00BF5EF3">
        <w:tc>
          <w:tcPr>
            <w:tcW w:w="930" w:type="dxa"/>
            <w:vAlign w:val="center"/>
          </w:tcPr>
          <w:p w14:paraId="29F8CBA5"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及格</w:t>
            </w:r>
          </w:p>
        </w:tc>
        <w:tc>
          <w:tcPr>
            <w:tcW w:w="1215" w:type="dxa"/>
            <w:vAlign w:val="center"/>
          </w:tcPr>
          <w:p w14:paraId="48A93A94"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60—69</w:t>
            </w:r>
          </w:p>
        </w:tc>
        <w:tc>
          <w:tcPr>
            <w:tcW w:w="5670" w:type="dxa"/>
            <w:vAlign w:val="center"/>
          </w:tcPr>
          <w:p w14:paraId="1F391E1A"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动作不协调，有多余动作，</w:t>
            </w:r>
          </w:p>
        </w:tc>
      </w:tr>
      <w:tr w:rsidR="000B25E0" w:rsidRPr="000B25E0" w14:paraId="5CA175A6" w14:textId="77777777" w:rsidTr="00BF5EF3">
        <w:tc>
          <w:tcPr>
            <w:tcW w:w="930" w:type="dxa"/>
            <w:vAlign w:val="center"/>
          </w:tcPr>
          <w:p w14:paraId="7BB6E802"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不及格</w:t>
            </w:r>
          </w:p>
        </w:tc>
        <w:tc>
          <w:tcPr>
            <w:tcW w:w="1215" w:type="dxa"/>
            <w:vAlign w:val="center"/>
          </w:tcPr>
          <w:p w14:paraId="32EF9FDF"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60以下</w:t>
            </w:r>
          </w:p>
        </w:tc>
        <w:tc>
          <w:tcPr>
            <w:tcW w:w="5670" w:type="dxa"/>
            <w:vAlign w:val="center"/>
          </w:tcPr>
          <w:p w14:paraId="2DD4ED54"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动作僵硬，吃力，不协调</w:t>
            </w:r>
          </w:p>
        </w:tc>
      </w:tr>
    </w:tbl>
    <w:p w14:paraId="392B3BBE" w14:textId="77777777" w:rsidR="000B25E0" w:rsidRPr="000B25E0" w:rsidRDefault="000B25E0" w:rsidP="000B25E0">
      <w:pPr>
        <w:spacing w:beforeLines="50" w:before="156" w:afterLines="50" w:after="156" w:line="440" w:lineRule="exact"/>
        <w:rPr>
          <w:rFonts w:ascii="黑体" w:eastAsia="黑体" w:hAnsi="黑体" w:cs="Times New Roman"/>
          <w:sz w:val="28"/>
          <w:szCs w:val="28"/>
        </w:rPr>
      </w:pPr>
    </w:p>
    <w:p w14:paraId="4A9FCB14" w14:textId="77777777" w:rsidR="000B25E0" w:rsidRPr="000B25E0" w:rsidRDefault="000B25E0" w:rsidP="000B25E0">
      <w:pPr>
        <w:spacing w:beforeLines="50" w:before="156" w:afterLines="50" w:after="156" w:line="440" w:lineRule="exact"/>
        <w:rPr>
          <w:rFonts w:ascii="黑体" w:eastAsia="黑体" w:hAnsi="黑体" w:cs="Times New Roman"/>
          <w:sz w:val="28"/>
          <w:szCs w:val="28"/>
        </w:rPr>
      </w:pPr>
      <w:r w:rsidRPr="000B25E0">
        <w:rPr>
          <w:rFonts w:ascii="黑体" w:eastAsia="黑体" w:hAnsi="黑体" w:cs="Times New Roman" w:hint="eastAsia"/>
          <w:sz w:val="28"/>
          <w:szCs w:val="28"/>
        </w:rPr>
        <w:t>第四学期</w:t>
      </w:r>
    </w:p>
    <w:p w14:paraId="6F3E9D0C" w14:textId="77777777" w:rsidR="000B25E0" w:rsidRPr="000B25E0" w:rsidRDefault="000B25E0" w:rsidP="000B25E0">
      <w:pPr>
        <w:adjustRightInd w:val="0"/>
        <w:snapToGrid w:val="0"/>
        <w:spacing w:line="500" w:lineRule="exact"/>
        <w:jc w:val="center"/>
        <w:rPr>
          <w:rFonts w:ascii="Calibri" w:eastAsia="宋体" w:hAnsi="Calibri" w:cs="Times New Roman"/>
          <w:b/>
          <w:bCs/>
          <w:sz w:val="24"/>
        </w:rPr>
      </w:pPr>
      <w:r w:rsidRPr="000B25E0">
        <w:rPr>
          <w:rFonts w:ascii="Calibri" w:eastAsia="宋体" w:hAnsi="Calibri" w:cs="Times New Roman" w:hint="eastAsia"/>
          <w:b/>
          <w:bCs/>
          <w:sz w:val="24"/>
        </w:rPr>
        <w:t>期中考试</w:t>
      </w:r>
    </w:p>
    <w:p w14:paraId="501BCCF2"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0B25E0">
        <w:rPr>
          <w:rFonts w:ascii="宋体" w:eastAsia="宋体" w:hAnsi="Calibri" w:cs="Times New Roman" w:hint="eastAsia"/>
          <w:b/>
          <w:color w:val="000000"/>
          <w:kern w:val="0"/>
          <w:sz w:val="24"/>
        </w:rPr>
        <w:t>1.课程考核目标:</w:t>
      </w:r>
      <w:r w:rsidRPr="000B25E0">
        <w:rPr>
          <w:rFonts w:ascii="宋体" w:eastAsia="宋体" w:hAnsi="Calibri" w:cs="Times New Roman" w:hint="eastAsia"/>
          <w:bCs/>
          <w:color w:val="000000"/>
          <w:kern w:val="0"/>
          <w:sz w:val="24"/>
        </w:rPr>
        <w:t>通过考核散打技术教学效果和学生掌握情况，让学生了解选项课内容和科学体育锻炼方式方法。</w:t>
      </w:r>
    </w:p>
    <w:p w14:paraId="559235DB"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宋体" w:eastAsia="宋体" w:hAnsi="Calibri" w:cs="Times New Roman" w:hint="eastAsia"/>
          <w:b/>
          <w:color w:val="000000"/>
          <w:kern w:val="0"/>
          <w:sz w:val="24"/>
        </w:rPr>
        <w:t>2.课程考核的内容：</w:t>
      </w:r>
      <w:r w:rsidRPr="000B25E0">
        <w:rPr>
          <w:rFonts w:ascii="Calibri" w:eastAsia="宋体" w:hAnsi="Calibri" w:cs="Times New Roman" w:hint="eastAsia"/>
          <w:sz w:val="24"/>
        </w:rPr>
        <w:t>散打反击战术</w:t>
      </w:r>
    </w:p>
    <w:p w14:paraId="6528F982" w14:textId="77777777" w:rsidR="000B25E0" w:rsidRPr="000B25E0" w:rsidRDefault="000B25E0" w:rsidP="000B25E0">
      <w:pPr>
        <w:autoSpaceDE w:val="0"/>
        <w:autoSpaceDN w:val="0"/>
        <w:adjustRightInd w:val="0"/>
        <w:snapToGrid w:val="0"/>
        <w:spacing w:line="500" w:lineRule="exact"/>
        <w:ind w:firstLineChars="200" w:firstLine="482"/>
        <w:rPr>
          <w:rFonts w:ascii="Calibri" w:eastAsia="宋体" w:hAnsi="Calibri" w:cs="Times New Roman"/>
          <w:sz w:val="24"/>
        </w:rPr>
      </w:pPr>
      <w:r w:rsidRPr="000B25E0">
        <w:rPr>
          <w:rFonts w:ascii="宋体" w:eastAsia="宋体" w:hAnsi="宋体" w:cs="宋体" w:hint="eastAsia"/>
          <w:b/>
          <w:bCs/>
          <w:color w:val="000000"/>
          <w:sz w:val="24"/>
        </w:rPr>
        <w:t>3.课程考核方式：</w:t>
      </w:r>
      <w:r w:rsidRPr="000B25E0">
        <w:rPr>
          <w:rFonts w:ascii="Calibri" w:eastAsia="宋体" w:hAnsi="Calibri" w:cs="Times New Roman" w:hint="eastAsia"/>
          <w:sz w:val="24"/>
        </w:rPr>
        <w:t>两人按裁判规则进行反击条件反应</w:t>
      </w:r>
    </w:p>
    <w:p w14:paraId="6FF8E018"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0B25E0">
        <w:rPr>
          <w:rFonts w:ascii="宋体" w:eastAsia="宋体" w:hAnsi="Calibri" w:cs="Times New Roman" w:hint="eastAsia"/>
          <w:b/>
          <w:color w:val="000000"/>
          <w:kern w:val="0"/>
          <w:sz w:val="24"/>
        </w:rPr>
        <w:t>4.成绩构成及分值：</w:t>
      </w:r>
      <w:r w:rsidRPr="000B25E0">
        <w:rPr>
          <w:rFonts w:ascii="宋体" w:eastAsia="宋体" w:hAnsi="Calibri" w:cs="Times New Roman" w:hint="eastAsia"/>
          <w:bCs/>
          <w:color w:val="000000"/>
          <w:kern w:val="0"/>
          <w:sz w:val="24"/>
        </w:rPr>
        <w:t>数量及技术评定分值各为100分，各占总分值的20%，</w:t>
      </w:r>
    </w:p>
    <w:p w14:paraId="39B9D9D4" w14:textId="77777777" w:rsidR="000B25E0" w:rsidRPr="000B25E0" w:rsidRDefault="000B25E0" w:rsidP="000B25E0">
      <w:pPr>
        <w:autoSpaceDE w:val="0"/>
        <w:autoSpaceDN w:val="0"/>
        <w:adjustRightInd w:val="0"/>
        <w:snapToGrid w:val="0"/>
        <w:spacing w:line="500" w:lineRule="exact"/>
        <w:ind w:firstLineChars="200" w:firstLine="480"/>
        <w:rPr>
          <w:rFonts w:ascii="宋体" w:eastAsia="宋体" w:hAnsi="Calibri" w:cs="Times New Roman"/>
          <w:bCs/>
          <w:color w:val="000000"/>
          <w:kern w:val="0"/>
          <w:sz w:val="24"/>
        </w:rPr>
      </w:pPr>
      <w:r w:rsidRPr="000B25E0">
        <w:rPr>
          <w:rFonts w:ascii="宋体" w:eastAsia="宋体" w:hAnsi="Calibri" w:cs="Times New Roman" w:hint="eastAsia"/>
          <w:bCs/>
          <w:color w:val="000000"/>
          <w:kern w:val="0"/>
          <w:sz w:val="24"/>
        </w:rPr>
        <w:t>总分值为100分。</w:t>
      </w:r>
    </w:p>
    <w:p w14:paraId="29E65D14" w14:textId="77777777" w:rsidR="000B25E0" w:rsidRPr="000B25E0" w:rsidRDefault="000B25E0" w:rsidP="000B25E0">
      <w:pPr>
        <w:autoSpaceDE w:val="0"/>
        <w:autoSpaceDN w:val="0"/>
        <w:adjustRightInd w:val="0"/>
        <w:snapToGrid w:val="0"/>
        <w:spacing w:line="500" w:lineRule="exact"/>
        <w:ind w:firstLineChars="200" w:firstLine="482"/>
        <w:rPr>
          <w:rFonts w:ascii="Calibri" w:eastAsia="宋体" w:hAnsi="Calibri" w:cs="Times New Roman"/>
          <w:b/>
          <w:sz w:val="24"/>
        </w:rPr>
      </w:pPr>
      <w:r w:rsidRPr="000B25E0">
        <w:rPr>
          <w:rFonts w:ascii="宋体" w:eastAsia="宋体" w:hAnsi="Calibri" w:cs="Times New Roman" w:hint="eastAsia"/>
          <w:b/>
          <w:color w:val="000000"/>
          <w:kern w:val="0"/>
          <w:sz w:val="24"/>
        </w:rPr>
        <w:t>5.评分记分原则：</w:t>
      </w:r>
    </w:p>
    <w:p w14:paraId="058D918D" w14:textId="77777777" w:rsidR="000B25E0" w:rsidRPr="000B25E0" w:rsidRDefault="000B25E0" w:rsidP="000B25E0">
      <w:pPr>
        <w:adjustRightInd w:val="0"/>
        <w:snapToGrid w:val="0"/>
        <w:spacing w:line="500" w:lineRule="exact"/>
        <w:rPr>
          <w:rFonts w:ascii="Calibri" w:eastAsia="宋体" w:hAnsi="Calibri" w:cs="Times New Roman"/>
          <w:sz w:val="24"/>
        </w:rPr>
      </w:pPr>
      <w:r w:rsidRPr="000B25E0">
        <w:rPr>
          <w:rFonts w:ascii="Calibri" w:eastAsia="宋体" w:hAnsi="Calibri" w:cs="Times New Roman" w:hint="eastAsia"/>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4"/>
        <w:gridCol w:w="5807"/>
        <w:gridCol w:w="1300"/>
      </w:tblGrid>
      <w:tr w:rsidR="000B25E0" w:rsidRPr="000B25E0" w14:paraId="45349731" w14:textId="77777777" w:rsidTr="00BF5EF3">
        <w:tc>
          <w:tcPr>
            <w:tcW w:w="1104" w:type="dxa"/>
            <w:vAlign w:val="center"/>
          </w:tcPr>
          <w:p w14:paraId="23157410"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分值范围</w:t>
            </w:r>
          </w:p>
        </w:tc>
        <w:tc>
          <w:tcPr>
            <w:tcW w:w="5807" w:type="dxa"/>
            <w:vAlign w:val="center"/>
          </w:tcPr>
          <w:p w14:paraId="0912593D"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备注</w:t>
            </w:r>
          </w:p>
        </w:tc>
        <w:tc>
          <w:tcPr>
            <w:tcW w:w="1300" w:type="dxa"/>
            <w:vAlign w:val="center"/>
          </w:tcPr>
          <w:p w14:paraId="1FF64152"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五级制</w:t>
            </w:r>
          </w:p>
        </w:tc>
      </w:tr>
      <w:tr w:rsidR="000B25E0" w:rsidRPr="000B25E0" w14:paraId="05151E17" w14:textId="77777777" w:rsidTr="00BF5EF3">
        <w:tc>
          <w:tcPr>
            <w:tcW w:w="1104" w:type="dxa"/>
            <w:vAlign w:val="center"/>
          </w:tcPr>
          <w:p w14:paraId="0D9919AE"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90—95</w:t>
            </w:r>
          </w:p>
        </w:tc>
        <w:tc>
          <w:tcPr>
            <w:tcW w:w="5807" w:type="dxa"/>
            <w:vAlign w:val="center"/>
          </w:tcPr>
          <w:p w14:paraId="457AEABF"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姿势正确，反应速度快，</w:t>
            </w:r>
            <w:proofErr w:type="gramStart"/>
            <w:r w:rsidRPr="000B25E0">
              <w:rPr>
                <w:rFonts w:ascii="宋体" w:eastAsia="宋体" w:hAnsi="宋体" w:cs="宋体" w:hint="eastAsia"/>
                <w:sz w:val="24"/>
              </w:rPr>
              <w:t>击准率高</w:t>
            </w:r>
            <w:proofErr w:type="gramEnd"/>
            <w:r w:rsidRPr="000B25E0">
              <w:rPr>
                <w:rFonts w:ascii="宋体" w:eastAsia="宋体" w:hAnsi="宋体" w:cs="宋体" w:hint="eastAsia"/>
                <w:sz w:val="24"/>
              </w:rPr>
              <w:t>、回身防守严密</w:t>
            </w:r>
          </w:p>
        </w:tc>
        <w:tc>
          <w:tcPr>
            <w:tcW w:w="1300" w:type="dxa"/>
            <w:vAlign w:val="center"/>
          </w:tcPr>
          <w:p w14:paraId="178C869E"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优</w:t>
            </w:r>
          </w:p>
        </w:tc>
      </w:tr>
      <w:tr w:rsidR="000B25E0" w:rsidRPr="000B25E0" w14:paraId="4D0C5B7A" w14:textId="77777777" w:rsidTr="00BF5EF3">
        <w:tc>
          <w:tcPr>
            <w:tcW w:w="1104" w:type="dxa"/>
            <w:vAlign w:val="center"/>
          </w:tcPr>
          <w:p w14:paraId="162FFECC"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80—89</w:t>
            </w:r>
          </w:p>
        </w:tc>
        <w:tc>
          <w:tcPr>
            <w:tcW w:w="5807" w:type="dxa"/>
            <w:vAlign w:val="center"/>
          </w:tcPr>
          <w:p w14:paraId="4A4E928E"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姿势正确，反应速度较快，</w:t>
            </w:r>
            <w:proofErr w:type="gramStart"/>
            <w:r w:rsidRPr="000B25E0">
              <w:rPr>
                <w:rFonts w:ascii="宋体" w:eastAsia="宋体" w:hAnsi="宋体" w:cs="宋体" w:hint="eastAsia"/>
                <w:sz w:val="24"/>
              </w:rPr>
              <w:t>击准率较高</w:t>
            </w:r>
            <w:proofErr w:type="gramEnd"/>
            <w:r w:rsidRPr="000B25E0">
              <w:rPr>
                <w:rFonts w:ascii="宋体" w:eastAsia="宋体" w:hAnsi="宋体" w:cs="宋体" w:hint="eastAsia"/>
                <w:sz w:val="24"/>
              </w:rPr>
              <w:t>、回身防守较</w:t>
            </w:r>
            <w:r w:rsidRPr="000B25E0">
              <w:rPr>
                <w:rFonts w:ascii="宋体" w:eastAsia="宋体" w:hAnsi="宋体" w:cs="宋体" w:hint="eastAsia"/>
                <w:sz w:val="24"/>
              </w:rPr>
              <w:lastRenderedPageBreak/>
              <w:t>严密</w:t>
            </w:r>
          </w:p>
        </w:tc>
        <w:tc>
          <w:tcPr>
            <w:tcW w:w="1300" w:type="dxa"/>
            <w:vAlign w:val="center"/>
          </w:tcPr>
          <w:p w14:paraId="43591F23"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lastRenderedPageBreak/>
              <w:t>良好</w:t>
            </w:r>
          </w:p>
        </w:tc>
      </w:tr>
      <w:tr w:rsidR="000B25E0" w:rsidRPr="000B25E0" w14:paraId="02605843" w14:textId="77777777" w:rsidTr="00BF5EF3">
        <w:tc>
          <w:tcPr>
            <w:tcW w:w="1104" w:type="dxa"/>
            <w:vAlign w:val="center"/>
          </w:tcPr>
          <w:p w14:paraId="6E1E4862"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70—79</w:t>
            </w:r>
          </w:p>
        </w:tc>
        <w:tc>
          <w:tcPr>
            <w:tcW w:w="5807" w:type="dxa"/>
            <w:vAlign w:val="center"/>
          </w:tcPr>
          <w:p w14:paraId="1ACBDB7A"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姿势一般，反应一般，</w:t>
            </w:r>
            <w:proofErr w:type="gramStart"/>
            <w:r w:rsidRPr="000B25E0">
              <w:rPr>
                <w:rFonts w:ascii="宋体" w:eastAsia="宋体" w:hAnsi="宋体" w:cs="宋体" w:hint="eastAsia"/>
                <w:sz w:val="24"/>
              </w:rPr>
              <w:t>击准率一般</w:t>
            </w:r>
            <w:proofErr w:type="gramEnd"/>
            <w:r w:rsidRPr="000B25E0">
              <w:rPr>
                <w:rFonts w:ascii="宋体" w:eastAsia="宋体" w:hAnsi="宋体" w:cs="宋体" w:hint="eastAsia"/>
                <w:sz w:val="24"/>
              </w:rPr>
              <w:t>、回身防守严密度一般</w:t>
            </w:r>
          </w:p>
        </w:tc>
        <w:tc>
          <w:tcPr>
            <w:tcW w:w="1300" w:type="dxa"/>
            <w:vAlign w:val="center"/>
          </w:tcPr>
          <w:p w14:paraId="19AFA52C"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良</w:t>
            </w:r>
          </w:p>
        </w:tc>
      </w:tr>
      <w:tr w:rsidR="000B25E0" w:rsidRPr="000B25E0" w14:paraId="4183BB61" w14:textId="77777777" w:rsidTr="00BF5EF3">
        <w:tc>
          <w:tcPr>
            <w:tcW w:w="1104" w:type="dxa"/>
            <w:vAlign w:val="center"/>
          </w:tcPr>
          <w:p w14:paraId="4526BC8F"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60—69</w:t>
            </w:r>
          </w:p>
        </w:tc>
        <w:tc>
          <w:tcPr>
            <w:tcW w:w="5807" w:type="dxa"/>
            <w:vAlign w:val="center"/>
          </w:tcPr>
          <w:p w14:paraId="7A1C98F5"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动作不协调，有多余动作，</w:t>
            </w:r>
          </w:p>
        </w:tc>
        <w:tc>
          <w:tcPr>
            <w:tcW w:w="1300" w:type="dxa"/>
            <w:vAlign w:val="center"/>
          </w:tcPr>
          <w:p w14:paraId="3624EC23"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及格</w:t>
            </w:r>
          </w:p>
        </w:tc>
      </w:tr>
      <w:tr w:rsidR="000B25E0" w:rsidRPr="000B25E0" w14:paraId="1D222C85" w14:textId="77777777" w:rsidTr="00BF5EF3">
        <w:tc>
          <w:tcPr>
            <w:tcW w:w="1104" w:type="dxa"/>
            <w:vAlign w:val="center"/>
          </w:tcPr>
          <w:p w14:paraId="75B848B5"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60以下</w:t>
            </w:r>
          </w:p>
        </w:tc>
        <w:tc>
          <w:tcPr>
            <w:tcW w:w="5807" w:type="dxa"/>
            <w:vAlign w:val="center"/>
          </w:tcPr>
          <w:p w14:paraId="39CA4B1B"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动作僵硬，吃力，不协调</w:t>
            </w:r>
          </w:p>
        </w:tc>
        <w:tc>
          <w:tcPr>
            <w:tcW w:w="1300" w:type="dxa"/>
            <w:vAlign w:val="center"/>
          </w:tcPr>
          <w:p w14:paraId="20B00E52"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不及格</w:t>
            </w:r>
          </w:p>
        </w:tc>
      </w:tr>
    </w:tbl>
    <w:p w14:paraId="43129DCB" w14:textId="77777777" w:rsidR="000B25E0" w:rsidRPr="000B25E0" w:rsidRDefault="000B25E0" w:rsidP="000B25E0">
      <w:pPr>
        <w:adjustRightInd w:val="0"/>
        <w:snapToGrid w:val="0"/>
        <w:spacing w:line="500" w:lineRule="exact"/>
        <w:rPr>
          <w:rFonts w:ascii="Calibri" w:eastAsia="宋体" w:hAnsi="Calibri" w:cs="Times New Roman"/>
          <w:sz w:val="24"/>
        </w:rPr>
      </w:pPr>
    </w:p>
    <w:p w14:paraId="3C3C466B" w14:textId="77777777" w:rsidR="000B25E0" w:rsidRPr="000B25E0" w:rsidRDefault="000B25E0" w:rsidP="000B25E0">
      <w:pPr>
        <w:adjustRightInd w:val="0"/>
        <w:snapToGrid w:val="0"/>
        <w:spacing w:line="500" w:lineRule="exact"/>
        <w:jc w:val="center"/>
        <w:rPr>
          <w:rFonts w:ascii="Calibri" w:eastAsia="宋体" w:hAnsi="Calibri" w:cs="Times New Roman"/>
          <w:b/>
          <w:bCs/>
          <w:sz w:val="24"/>
        </w:rPr>
      </w:pPr>
      <w:r w:rsidRPr="000B25E0">
        <w:rPr>
          <w:rFonts w:ascii="Calibri" w:eastAsia="宋体" w:hAnsi="Calibri" w:cs="Times New Roman" w:hint="eastAsia"/>
          <w:b/>
          <w:bCs/>
          <w:sz w:val="24"/>
        </w:rPr>
        <w:t>期末考试</w:t>
      </w:r>
    </w:p>
    <w:p w14:paraId="6F665042"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0B25E0">
        <w:rPr>
          <w:rFonts w:ascii="宋体" w:eastAsia="宋体" w:hAnsi="Calibri" w:cs="Times New Roman" w:hint="eastAsia"/>
          <w:b/>
          <w:color w:val="000000"/>
          <w:kern w:val="0"/>
          <w:sz w:val="24"/>
        </w:rPr>
        <w:t>1.考核目标:</w:t>
      </w:r>
      <w:r w:rsidRPr="000B25E0">
        <w:rPr>
          <w:rFonts w:ascii="宋体" w:eastAsia="宋体" w:hAnsi="Calibri" w:cs="Times New Roman" w:hint="eastAsia"/>
          <w:bCs/>
          <w:color w:val="000000"/>
          <w:kern w:val="0"/>
          <w:sz w:val="24"/>
        </w:rPr>
        <w:t>通过考核散打技术教学效果和学生掌握情况，让学生了解选项课内容和科学体育锻炼方式方法。</w:t>
      </w:r>
    </w:p>
    <w:p w14:paraId="4321E891"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宋体" w:eastAsia="宋体" w:hAnsi="Calibri" w:cs="Times New Roman" w:hint="eastAsia"/>
          <w:b/>
          <w:color w:val="000000"/>
          <w:kern w:val="0"/>
          <w:sz w:val="24"/>
        </w:rPr>
        <w:t>2.考核的内容：</w:t>
      </w:r>
      <w:r w:rsidRPr="000B25E0">
        <w:rPr>
          <w:rFonts w:ascii="Calibri" w:eastAsia="宋体" w:hAnsi="Calibri" w:cs="Times New Roman" w:hint="eastAsia"/>
          <w:sz w:val="24"/>
        </w:rPr>
        <w:t>下手发球。</w:t>
      </w:r>
    </w:p>
    <w:p w14:paraId="06E3CE6F"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宋体" w:eastAsia="宋体" w:hAnsi="宋体" w:cs="宋体" w:hint="eastAsia"/>
          <w:b/>
          <w:bCs/>
          <w:color w:val="000000"/>
          <w:sz w:val="24"/>
        </w:rPr>
        <w:t>3.考核方式：</w:t>
      </w:r>
      <w:r w:rsidRPr="000B25E0">
        <w:rPr>
          <w:rFonts w:ascii="Calibri" w:eastAsia="宋体" w:hAnsi="Calibri" w:cs="Times New Roman" w:hint="eastAsia"/>
          <w:sz w:val="24"/>
        </w:rPr>
        <w:t>两人实战考核</w:t>
      </w:r>
    </w:p>
    <w:p w14:paraId="6C731DF0"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0B25E0">
        <w:rPr>
          <w:rFonts w:ascii="宋体" w:eastAsia="宋体" w:hAnsi="Calibri" w:cs="Times New Roman" w:hint="eastAsia"/>
          <w:b/>
          <w:color w:val="000000"/>
          <w:kern w:val="0"/>
          <w:sz w:val="24"/>
        </w:rPr>
        <w:t>4.成绩构成及分值：</w:t>
      </w:r>
      <w:r w:rsidRPr="000B25E0">
        <w:rPr>
          <w:rFonts w:ascii="宋体" w:eastAsia="宋体" w:hAnsi="Calibri" w:cs="Times New Roman" w:hint="eastAsia"/>
          <w:bCs/>
          <w:color w:val="000000"/>
          <w:kern w:val="0"/>
          <w:sz w:val="24"/>
        </w:rPr>
        <w:t>数量及技术评定分值各为100分，各占总分值的70%，</w:t>
      </w:r>
    </w:p>
    <w:p w14:paraId="17506113" w14:textId="77777777" w:rsidR="000B25E0" w:rsidRPr="000B25E0" w:rsidRDefault="000B25E0" w:rsidP="000B25E0">
      <w:pPr>
        <w:autoSpaceDE w:val="0"/>
        <w:autoSpaceDN w:val="0"/>
        <w:adjustRightInd w:val="0"/>
        <w:snapToGrid w:val="0"/>
        <w:spacing w:line="500" w:lineRule="exact"/>
        <w:ind w:firstLineChars="200" w:firstLine="480"/>
        <w:rPr>
          <w:rFonts w:ascii="宋体" w:eastAsia="宋体" w:hAnsi="Calibri" w:cs="Times New Roman"/>
          <w:bCs/>
          <w:color w:val="000000"/>
          <w:kern w:val="0"/>
          <w:sz w:val="24"/>
        </w:rPr>
      </w:pPr>
      <w:r w:rsidRPr="000B25E0">
        <w:rPr>
          <w:rFonts w:ascii="宋体" w:eastAsia="宋体" w:hAnsi="Calibri" w:cs="Times New Roman" w:hint="eastAsia"/>
          <w:bCs/>
          <w:color w:val="000000"/>
          <w:kern w:val="0"/>
          <w:sz w:val="24"/>
        </w:rPr>
        <w:t>总分值为100分。</w:t>
      </w:r>
    </w:p>
    <w:p w14:paraId="01A8C423" w14:textId="77777777" w:rsidR="000B25E0" w:rsidRPr="000B25E0" w:rsidRDefault="000B25E0" w:rsidP="000B25E0">
      <w:pPr>
        <w:autoSpaceDE w:val="0"/>
        <w:autoSpaceDN w:val="0"/>
        <w:adjustRightInd w:val="0"/>
        <w:snapToGrid w:val="0"/>
        <w:spacing w:line="500" w:lineRule="exact"/>
        <w:ind w:firstLineChars="200" w:firstLine="482"/>
        <w:rPr>
          <w:rFonts w:ascii="Calibri" w:eastAsia="宋体" w:hAnsi="Calibri" w:cs="Times New Roman"/>
          <w:b/>
          <w:sz w:val="24"/>
        </w:rPr>
      </w:pPr>
      <w:r w:rsidRPr="000B25E0">
        <w:rPr>
          <w:rFonts w:ascii="宋体" w:eastAsia="宋体" w:hAnsi="Calibri" w:cs="Times New Roman" w:hint="eastAsia"/>
          <w:b/>
          <w:color w:val="000000"/>
          <w:kern w:val="0"/>
          <w:sz w:val="24"/>
        </w:rPr>
        <w:t>5.评分记分原则：</w:t>
      </w:r>
    </w:p>
    <w:p w14:paraId="427928F7" w14:textId="77777777" w:rsidR="000B25E0" w:rsidRPr="000B25E0" w:rsidRDefault="000B25E0" w:rsidP="000B25E0">
      <w:pPr>
        <w:adjustRightInd w:val="0"/>
        <w:snapToGrid w:val="0"/>
        <w:spacing w:line="500" w:lineRule="exact"/>
        <w:jc w:val="center"/>
        <w:rPr>
          <w:rFonts w:ascii="Calibri" w:eastAsia="宋体" w:hAnsi="Calibri" w:cs="Times New Roman"/>
          <w:sz w:val="24"/>
        </w:rPr>
      </w:pPr>
      <w:r w:rsidRPr="000B25E0">
        <w:rPr>
          <w:rFonts w:ascii="Calibri" w:eastAsia="宋体" w:hAnsi="Calibri" w:cs="Times New Roman" w:hint="eastAsia"/>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4"/>
        <w:gridCol w:w="5758"/>
        <w:gridCol w:w="1469"/>
      </w:tblGrid>
      <w:tr w:rsidR="000B25E0" w:rsidRPr="000B25E0" w14:paraId="778E9D9F" w14:textId="77777777" w:rsidTr="00BF5EF3">
        <w:tc>
          <w:tcPr>
            <w:tcW w:w="1104" w:type="dxa"/>
            <w:vAlign w:val="center"/>
          </w:tcPr>
          <w:p w14:paraId="3D2552B0"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分值范围</w:t>
            </w:r>
          </w:p>
        </w:tc>
        <w:tc>
          <w:tcPr>
            <w:tcW w:w="5758" w:type="dxa"/>
            <w:vAlign w:val="center"/>
          </w:tcPr>
          <w:p w14:paraId="5BE20FC3"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备注</w:t>
            </w:r>
          </w:p>
        </w:tc>
        <w:tc>
          <w:tcPr>
            <w:tcW w:w="1469" w:type="dxa"/>
            <w:vAlign w:val="center"/>
          </w:tcPr>
          <w:p w14:paraId="0A83A647"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五级制</w:t>
            </w:r>
          </w:p>
        </w:tc>
      </w:tr>
      <w:tr w:rsidR="000B25E0" w:rsidRPr="000B25E0" w14:paraId="3F522F65" w14:textId="77777777" w:rsidTr="00BF5EF3">
        <w:tc>
          <w:tcPr>
            <w:tcW w:w="1104" w:type="dxa"/>
            <w:vAlign w:val="center"/>
          </w:tcPr>
          <w:p w14:paraId="3541E6EE"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90—95</w:t>
            </w:r>
          </w:p>
        </w:tc>
        <w:tc>
          <w:tcPr>
            <w:tcW w:w="5758" w:type="dxa"/>
            <w:vAlign w:val="center"/>
          </w:tcPr>
          <w:p w14:paraId="3C451034"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姿势正确，反应速度快，</w:t>
            </w:r>
            <w:proofErr w:type="gramStart"/>
            <w:r w:rsidRPr="000B25E0">
              <w:rPr>
                <w:rFonts w:ascii="宋体" w:eastAsia="宋体" w:hAnsi="宋体" w:cs="宋体" w:hint="eastAsia"/>
                <w:sz w:val="24"/>
              </w:rPr>
              <w:t>击准率高</w:t>
            </w:r>
            <w:proofErr w:type="gramEnd"/>
            <w:r w:rsidRPr="000B25E0">
              <w:rPr>
                <w:rFonts w:ascii="宋体" w:eastAsia="宋体" w:hAnsi="宋体" w:cs="宋体" w:hint="eastAsia"/>
                <w:sz w:val="24"/>
              </w:rPr>
              <w:t>、回身防守严密</w:t>
            </w:r>
          </w:p>
        </w:tc>
        <w:tc>
          <w:tcPr>
            <w:tcW w:w="1469" w:type="dxa"/>
            <w:vAlign w:val="center"/>
          </w:tcPr>
          <w:p w14:paraId="408B6944"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优</w:t>
            </w:r>
          </w:p>
        </w:tc>
      </w:tr>
      <w:tr w:rsidR="000B25E0" w:rsidRPr="000B25E0" w14:paraId="152C5D71" w14:textId="77777777" w:rsidTr="00BF5EF3">
        <w:tc>
          <w:tcPr>
            <w:tcW w:w="1104" w:type="dxa"/>
            <w:vAlign w:val="center"/>
          </w:tcPr>
          <w:p w14:paraId="4EF0F96D"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80—89</w:t>
            </w:r>
          </w:p>
        </w:tc>
        <w:tc>
          <w:tcPr>
            <w:tcW w:w="5758" w:type="dxa"/>
            <w:vAlign w:val="center"/>
          </w:tcPr>
          <w:p w14:paraId="0D9DAC3C"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姿势正确，反应速度较快，</w:t>
            </w:r>
            <w:proofErr w:type="gramStart"/>
            <w:r w:rsidRPr="000B25E0">
              <w:rPr>
                <w:rFonts w:ascii="宋体" w:eastAsia="宋体" w:hAnsi="宋体" w:cs="宋体" w:hint="eastAsia"/>
                <w:sz w:val="24"/>
              </w:rPr>
              <w:t>击准率较高</w:t>
            </w:r>
            <w:proofErr w:type="gramEnd"/>
            <w:r w:rsidRPr="000B25E0">
              <w:rPr>
                <w:rFonts w:ascii="宋体" w:eastAsia="宋体" w:hAnsi="宋体" w:cs="宋体" w:hint="eastAsia"/>
                <w:sz w:val="24"/>
              </w:rPr>
              <w:t>、回身防守较严密</w:t>
            </w:r>
          </w:p>
        </w:tc>
        <w:tc>
          <w:tcPr>
            <w:tcW w:w="1469" w:type="dxa"/>
            <w:vAlign w:val="center"/>
          </w:tcPr>
          <w:p w14:paraId="74E520E8"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良好</w:t>
            </w:r>
          </w:p>
        </w:tc>
      </w:tr>
      <w:tr w:rsidR="000B25E0" w:rsidRPr="000B25E0" w14:paraId="47BD7773" w14:textId="77777777" w:rsidTr="00BF5EF3">
        <w:tc>
          <w:tcPr>
            <w:tcW w:w="1104" w:type="dxa"/>
            <w:vAlign w:val="center"/>
          </w:tcPr>
          <w:p w14:paraId="620986F3"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70—79</w:t>
            </w:r>
          </w:p>
        </w:tc>
        <w:tc>
          <w:tcPr>
            <w:tcW w:w="5758" w:type="dxa"/>
            <w:vAlign w:val="center"/>
          </w:tcPr>
          <w:p w14:paraId="228AFC62"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姿势一般，反应一般，</w:t>
            </w:r>
            <w:proofErr w:type="gramStart"/>
            <w:r w:rsidRPr="000B25E0">
              <w:rPr>
                <w:rFonts w:ascii="宋体" w:eastAsia="宋体" w:hAnsi="宋体" w:cs="宋体" w:hint="eastAsia"/>
                <w:sz w:val="24"/>
              </w:rPr>
              <w:t>击准率一般</w:t>
            </w:r>
            <w:proofErr w:type="gramEnd"/>
            <w:r w:rsidRPr="000B25E0">
              <w:rPr>
                <w:rFonts w:ascii="宋体" w:eastAsia="宋体" w:hAnsi="宋体" w:cs="宋体" w:hint="eastAsia"/>
                <w:sz w:val="24"/>
              </w:rPr>
              <w:t>、回身防守严密度一般</w:t>
            </w:r>
          </w:p>
        </w:tc>
        <w:tc>
          <w:tcPr>
            <w:tcW w:w="1469" w:type="dxa"/>
            <w:vAlign w:val="center"/>
          </w:tcPr>
          <w:p w14:paraId="490108DA"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良</w:t>
            </w:r>
          </w:p>
        </w:tc>
      </w:tr>
      <w:tr w:rsidR="000B25E0" w:rsidRPr="000B25E0" w14:paraId="7FCDE255" w14:textId="77777777" w:rsidTr="00BF5EF3">
        <w:tc>
          <w:tcPr>
            <w:tcW w:w="1104" w:type="dxa"/>
            <w:vAlign w:val="center"/>
          </w:tcPr>
          <w:p w14:paraId="4A9C51F7"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60—69</w:t>
            </w:r>
          </w:p>
        </w:tc>
        <w:tc>
          <w:tcPr>
            <w:tcW w:w="5758" w:type="dxa"/>
            <w:vAlign w:val="center"/>
          </w:tcPr>
          <w:p w14:paraId="6A014CBD"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动作不协调，有多余动作，</w:t>
            </w:r>
          </w:p>
        </w:tc>
        <w:tc>
          <w:tcPr>
            <w:tcW w:w="1469" w:type="dxa"/>
            <w:vAlign w:val="center"/>
          </w:tcPr>
          <w:p w14:paraId="4EE9F0F6"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及格</w:t>
            </w:r>
          </w:p>
        </w:tc>
      </w:tr>
      <w:tr w:rsidR="000B25E0" w:rsidRPr="000B25E0" w14:paraId="08041EE1" w14:textId="77777777" w:rsidTr="00BF5EF3">
        <w:tc>
          <w:tcPr>
            <w:tcW w:w="1104" w:type="dxa"/>
            <w:vAlign w:val="center"/>
          </w:tcPr>
          <w:p w14:paraId="1870D656"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60以下</w:t>
            </w:r>
          </w:p>
        </w:tc>
        <w:tc>
          <w:tcPr>
            <w:tcW w:w="5758" w:type="dxa"/>
            <w:vAlign w:val="center"/>
          </w:tcPr>
          <w:p w14:paraId="3BDB53AB"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动作僵硬，吃力，不协调</w:t>
            </w:r>
          </w:p>
        </w:tc>
        <w:tc>
          <w:tcPr>
            <w:tcW w:w="1469" w:type="dxa"/>
            <w:vAlign w:val="center"/>
          </w:tcPr>
          <w:p w14:paraId="6825AA53" w14:textId="77777777" w:rsidR="000B25E0" w:rsidRPr="000B25E0" w:rsidRDefault="000B25E0" w:rsidP="000B25E0">
            <w:pPr>
              <w:adjustRightInd w:val="0"/>
              <w:snapToGrid w:val="0"/>
              <w:spacing w:line="500" w:lineRule="exact"/>
              <w:jc w:val="center"/>
              <w:rPr>
                <w:rFonts w:ascii="宋体" w:eastAsia="宋体" w:hAnsi="宋体" w:cs="宋体"/>
                <w:sz w:val="24"/>
              </w:rPr>
            </w:pPr>
            <w:r w:rsidRPr="000B25E0">
              <w:rPr>
                <w:rFonts w:ascii="宋体" w:eastAsia="宋体" w:hAnsi="宋体" w:cs="宋体" w:hint="eastAsia"/>
                <w:sz w:val="24"/>
              </w:rPr>
              <w:t>不及格</w:t>
            </w:r>
          </w:p>
        </w:tc>
      </w:tr>
    </w:tbl>
    <w:p w14:paraId="2121405B"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六、使用教材、相关推荐书目及课程资源</w:t>
      </w:r>
    </w:p>
    <w:p w14:paraId="13AEB9C1" w14:textId="77777777" w:rsidR="000B25E0" w:rsidRPr="000B25E0" w:rsidRDefault="000B25E0" w:rsidP="000B25E0">
      <w:pPr>
        <w:spacing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（一）使用教材</w:t>
      </w:r>
    </w:p>
    <w:p w14:paraId="3118DAA9" w14:textId="77777777" w:rsidR="000B25E0" w:rsidRPr="000B25E0" w:rsidRDefault="000B25E0" w:rsidP="000B25E0">
      <w:pPr>
        <w:autoSpaceDE w:val="0"/>
        <w:autoSpaceDN w:val="0"/>
        <w:adjustRightInd w:val="0"/>
        <w:snapToGrid w:val="0"/>
        <w:spacing w:line="500" w:lineRule="exact"/>
        <w:ind w:firstLineChars="300" w:firstLine="720"/>
        <w:rPr>
          <w:rFonts w:ascii="宋体" w:eastAsia="宋体" w:hAnsi="宋体" w:cs="宋体"/>
          <w:kern w:val="0"/>
          <w:sz w:val="24"/>
        </w:rPr>
      </w:pPr>
      <w:r w:rsidRPr="000B25E0">
        <w:rPr>
          <w:rFonts w:ascii="宋体" w:eastAsia="宋体" w:hAnsi="宋体" w:cs="宋体" w:hint="eastAsia"/>
          <w:kern w:val="0"/>
          <w:sz w:val="24"/>
        </w:rPr>
        <w:lastRenderedPageBreak/>
        <w:t>任晋军主编：《当代大学体育教程》，北京体育大学出版社，2008</w:t>
      </w:r>
    </w:p>
    <w:p w14:paraId="21894C0E" w14:textId="77777777" w:rsidR="000B25E0" w:rsidRPr="000B25E0" w:rsidRDefault="000B25E0" w:rsidP="000B25E0">
      <w:pPr>
        <w:spacing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（二）相关推荐书目</w:t>
      </w:r>
    </w:p>
    <w:p w14:paraId="2B377394"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w:t>
      </w:r>
      <w:r w:rsidRPr="000B25E0">
        <w:rPr>
          <w:rFonts w:ascii="宋体" w:eastAsia="宋体" w:hAnsi="宋体" w:cs="Times New Roman"/>
          <w:sz w:val="24"/>
        </w:rPr>
        <w:t xml:space="preserve">. </w:t>
      </w:r>
      <w:r w:rsidRPr="000B25E0">
        <w:rPr>
          <w:rFonts w:ascii="宋体" w:eastAsia="宋体" w:hAnsi="宋体" w:cs="宋体" w:hint="eastAsia"/>
          <w:kern w:val="0"/>
          <w:sz w:val="24"/>
        </w:rPr>
        <w:t>刘建国主编：《当代大学体育与健身》，高教出版社，2008</w:t>
      </w:r>
    </w:p>
    <w:p w14:paraId="0959BAFA" w14:textId="77777777" w:rsidR="000B25E0" w:rsidRPr="000B25E0" w:rsidRDefault="000B25E0" w:rsidP="000B25E0">
      <w:pPr>
        <w:autoSpaceDE w:val="0"/>
        <w:autoSpaceDN w:val="0"/>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w:t>
      </w:r>
      <w:r w:rsidRPr="000B25E0">
        <w:rPr>
          <w:rFonts w:ascii="宋体" w:eastAsia="宋体" w:hAnsi="宋体" w:cs="Times New Roman"/>
          <w:sz w:val="24"/>
        </w:rPr>
        <w:t xml:space="preserve">. </w:t>
      </w:r>
      <w:r w:rsidRPr="000B25E0">
        <w:rPr>
          <w:rFonts w:ascii="宋体" w:eastAsia="宋体" w:hAnsi="宋体" w:cs="宋体" w:hint="eastAsia"/>
          <w:kern w:val="0"/>
          <w:sz w:val="24"/>
        </w:rPr>
        <w:t>全国体育学院教材委员会审定：《体育与健康理论指导手册》，人民体育出版社，2014</w:t>
      </w:r>
    </w:p>
    <w:p w14:paraId="5266C3DD"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（三）课程资源</w:t>
      </w:r>
    </w:p>
    <w:p w14:paraId="4B74D438" w14:textId="77777777" w:rsidR="000B25E0" w:rsidRPr="000B25E0" w:rsidRDefault="000B25E0" w:rsidP="000B25E0">
      <w:pPr>
        <w:spacing w:line="44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5BFE4780" w14:textId="77777777" w:rsidR="000B25E0" w:rsidRPr="000B25E0" w:rsidRDefault="000B25E0" w:rsidP="000B25E0">
      <w:pPr>
        <w:spacing w:line="44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 《国家学生体质健康标准》实施说明《国家学生体质健康标准》测试评分表</w:t>
      </w:r>
    </w:p>
    <w:p w14:paraId="4509ED90"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七、课程大纲制定依据</w:t>
      </w:r>
    </w:p>
    <w:p w14:paraId="28EB9504"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本课程大纲依据2023年人才培养方案</w:t>
      </w:r>
      <w:r w:rsidR="002E4147">
        <w:rPr>
          <w:rFonts w:ascii="宋体" w:eastAsia="宋体" w:hAnsi="宋体" w:cs="Times New Roman" w:hint="eastAsia"/>
          <w:sz w:val="24"/>
        </w:rPr>
        <w:t>药物分析专业</w:t>
      </w:r>
      <w:r w:rsidRPr="000B25E0">
        <w:rPr>
          <w:rFonts w:ascii="宋体" w:eastAsia="宋体" w:hAnsi="宋体" w:cs="Times New Roman" w:hint="eastAsia"/>
          <w:sz w:val="24"/>
        </w:rPr>
        <w:t>制定。</w:t>
      </w:r>
    </w:p>
    <w:p w14:paraId="70C07CE9"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p>
    <w:p w14:paraId="2384FB45"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p>
    <w:p w14:paraId="540A8215" w14:textId="5A17563D" w:rsidR="00895319" w:rsidRDefault="00895319">
      <w:pPr>
        <w:widowControl/>
        <w:jc w:val="left"/>
        <w:rPr>
          <w:rFonts w:ascii="黑体" w:eastAsia="黑体" w:hAnsi="黑体" w:cs="Times New Roman"/>
          <w:sz w:val="28"/>
          <w:szCs w:val="28"/>
        </w:rPr>
      </w:pPr>
      <w:r>
        <w:rPr>
          <w:rFonts w:ascii="黑体" w:eastAsia="黑体" w:hAnsi="黑体" w:cs="Times New Roman"/>
          <w:sz w:val="28"/>
          <w:szCs w:val="28"/>
        </w:rPr>
        <w:br w:type="page"/>
      </w:r>
    </w:p>
    <w:p w14:paraId="4C544B23" w14:textId="77777777" w:rsidR="00CA2515" w:rsidRPr="000B25E0" w:rsidRDefault="00CA2515" w:rsidP="000B25E0">
      <w:pPr>
        <w:rPr>
          <w:rFonts w:ascii="Calibri" w:eastAsia="宋体" w:hAnsi="Calibri" w:cs="Times New Roman"/>
          <w:bCs/>
          <w:lang w:val="zh-CN"/>
        </w:rPr>
      </w:pPr>
    </w:p>
    <w:p w14:paraId="322D3F77" w14:textId="77777777" w:rsidR="000B25E0" w:rsidRPr="000B25E0" w:rsidRDefault="000B25E0" w:rsidP="000B25E0">
      <w:pPr>
        <w:spacing w:beforeLines="100" w:before="312" w:afterLines="100" w:after="312" w:line="440" w:lineRule="exact"/>
        <w:jc w:val="center"/>
        <w:rPr>
          <w:rFonts w:ascii="黑体" w:eastAsia="黑体" w:hAnsi="黑体" w:cs="Times New Roman"/>
          <w:bCs/>
          <w:sz w:val="36"/>
          <w:szCs w:val="36"/>
        </w:rPr>
      </w:pPr>
      <w:r w:rsidRPr="000B25E0">
        <w:rPr>
          <w:rFonts w:ascii="黑体" w:eastAsia="黑体" w:hAnsi="黑体" w:cs="Times New Roman" w:hint="eastAsia"/>
          <w:bCs/>
          <w:sz w:val="36"/>
          <w:szCs w:val="36"/>
        </w:rPr>
        <w:t>《养生》课程大纲</w:t>
      </w:r>
    </w:p>
    <w:p w14:paraId="0CE877EC"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0B25E0" w:rsidRPr="000B25E0" w14:paraId="42C33152" w14:textId="77777777" w:rsidTr="00BF5EF3">
        <w:trPr>
          <w:trHeight w:val="886"/>
          <w:jc w:val="center"/>
        </w:trPr>
        <w:tc>
          <w:tcPr>
            <w:tcW w:w="1581" w:type="dxa"/>
            <w:vAlign w:val="center"/>
          </w:tcPr>
          <w:p w14:paraId="4D4D5B58"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课程名称</w:t>
            </w:r>
          </w:p>
        </w:tc>
        <w:tc>
          <w:tcPr>
            <w:tcW w:w="2662" w:type="dxa"/>
            <w:vAlign w:val="center"/>
          </w:tcPr>
          <w:p w14:paraId="2BB62B2B"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养生</w:t>
            </w:r>
          </w:p>
        </w:tc>
        <w:tc>
          <w:tcPr>
            <w:tcW w:w="1482" w:type="dxa"/>
            <w:vAlign w:val="center"/>
          </w:tcPr>
          <w:p w14:paraId="06A2CF31"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课程代码</w:t>
            </w:r>
          </w:p>
        </w:tc>
        <w:tc>
          <w:tcPr>
            <w:tcW w:w="2797" w:type="dxa"/>
            <w:vAlign w:val="center"/>
          </w:tcPr>
          <w:p w14:paraId="2EF3319D"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091050</w:t>
            </w:r>
          </w:p>
        </w:tc>
      </w:tr>
      <w:tr w:rsidR="000B25E0" w:rsidRPr="000B25E0" w14:paraId="39430A3A" w14:textId="77777777" w:rsidTr="00BF5EF3">
        <w:trPr>
          <w:trHeight w:val="829"/>
          <w:jc w:val="center"/>
        </w:trPr>
        <w:tc>
          <w:tcPr>
            <w:tcW w:w="1581" w:type="dxa"/>
            <w:vAlign w:val="center"/>
          </w:tcPr>
          <w:p w14:paraId="5547F619"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课程类别</w:t>
            </w:r>
          </w:p>
        </w:tc>
        <w:tc>
          <w:tcPr>
            <w:tcW w:w="2662" w:type="dxa"/>
            <w:vAlign w:val="center"/>
          </w:tcPr>
          <w:p w14:paraId="44B8F8B8"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公共必修课程</w:t>
            </w:r>
          </w:p>
        </w:tc>
        <w:tc>
          <w:tcPr>
            <w:tcW w:w="1482" w:type="dxa"/>
            <w:vAlign w:val="center"/>
          </w:tcPr>
          <w:p w14:paraId="072A8A4E"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学时</w:t>
            </w:r>
          </w:p>
          <w:p w14:paraId="0608958D"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/学分</w:t>
            </w:r>
          </w:p>
        </w:tc>
        <w:tc>
          <w:tcPr>
            <w:tcW w:w="2797" w:type="dxa"/>
            <w:vAlign w:val="center"/>
          </w:tcPr>
          <w:p w14:paraId="125DF314"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144/4</w:t>
            </w:r>
          </w:p>
        </w:tc>
      </w:tr>
      <w:tr w:rsidR="000B25E0" w:rsidRPr="000B25E0" w14:paraId="44CA3152" w14:textId="77777777" w:rsidTr="00BF5EF3">
        <w:trPr>
          <w:trHeight w:val="811"/>
          <w:jc w:val="center"/>
        </w:trPr>
        <w:tc>
          <w:tcPr>
            <w:tcW w:w="1581" w:type="dxa"/>
            <w:vAlign w:val="center"/>
          </w:tcPr>
          <w:p w14:paraId="5BEC233E"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开课单位</w:t>
            </w:r>
          </w:p>
        </w:tc>
        <w:tc>
          <w:tcPr>
            <w:tcW w:w="2662" w:type="dxa"/>
            <w:vAlign w:val="center"/>
          </w:tcPr>
          <w:p w14:paraId="0D10E901"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sz w:val="24"/>
              </w:rPr>
              <w:t>石家庄学院体育学院</w:t>
            </w:r>
          </w:p>
        </w:tc>
        <w:tc>
          <w:tcPr>
            <w:tcW w:w="1482" w:type="dxa"/>
            <w:vAlign w:val="center"/>
          </w:tcPr>
          <w:p w14:paraId="5CC778EB"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适用专业</w:t>
            </w:r>
          </w:p>
        </w:tc>
        <w:tc>
          <w:tcPr>
            <w:tcW w:w="2797" w:type="dxa"/>
            <w:vAlign w:val="center"/>
          </w:tcPr>
          <w:p w14:paraId="6B76B9FE" w14:textId="77777777" w:rsidR="000B25E0" w:rsidRPr="000B25E0" w:rsidRDefault="006D6C0A" w:rsidP="000B25E0">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0B25E0" w:rsidRPr="000B25E0" w14:paraId="15527439" w14:textId="77777777" w:rsidTr="00BF5EF3">
        <w:trPr>
          <w:trHeight w:val="811"/>
          <w:jc w:val="center"/>
        </w:trPr>
        <w:tc>
          <w:tcPr>
            <w:tcW w:w="1581" w:type="dxa"/>
            <w:vAlign w:val="center"/>
          </w:tcPr>
          <w:p w14:paraId="1BD2EDEF"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课程负责人</w:t>
            </w:r>
          </w:p>
        </w:tc>
        <w:tc>
          <w:tcPr>
            <w:tcW w:w="6941" w:type="dxa"/>
            <w:gridSpan w:val="3"/>
            <w:vAlign w:val="center"/>
          </w:tcPr>
          <w:p w14:paraId="05FEA6D2" w14:textId="77777777" w:rsidR="000B25E0" w:rsidRPr="000B25E0" w:rsidRDefault="000B25E0" w:rsidP="000B25E0">
            <w:pPr>
              <w:spacing w:line="440" w:lineRule="exact"/>
              <w:jc w:val="center"/>
              <w:rPr>
                <w:rFonts w:ascii="宋体" w:eastAsia="宋体" w:hAnsi="宋体" w:cs="Times New Roman"/>
                <w:sz w:val="24"/>
              </w:rPr>
            </w:pPr>
            <w:proofErr w:type="gramStart"/>
            <w:r w:rsidRPr="000B25E0">
              <w:rPr>
                <w:rFonts w:ascii="宋体" w:eastAsia="宋体" w:hAnsi="宋体" w:cs="Times New Roman" w:hint="eastAsia"/>
                <w:sz w:val="24"/>
              </w:rPr>
              <w:t>魏胜敏</w:t>
            </w:r>
            <w:proofErr w:type="gramEnd"/>
            <w:r w:rsidRPr="000B25E0">
              <w:rPr>
                <w:rFonts w:ascii="宋体" w:eastAsia="宋体" w:hAnsi="宋体" w:cs="Times New Roman" w:hint="eastAsia"/>
                <w:sz w:val="24"/>
              </w:rPr>
              <w:t>、刘旭、魏孟田</w:t>
            </w:r>
          </w:p>
        </w:tc>
      </w:tr>
      <w:tr w:rsidR="000B25E0" w:rsidRPr="000B25E0" w14:paraId="45CB4862" w14:textId="77777777" w:rsidTr="00BF5EF3">
        <w:trPr>
          <w:trHeight w:val="836"/>
          <w:jc w:val="center"/>
        </w:trPr>
        <w:tc>
          <w:tcPr>
            <w:tcW w:w="1581" w:type="dxa"/>
            <w:vAlign w:val="center"/>
          </w:tcPr>
          <w:p w14:paraId="17416F73"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大纲撰写人</w:t>
            </w:r>
          </w:p>
        </w:tc>
        <w:tc>
          <w:tcPr>
            <w:tcW w:w="2662" w:type="dxa"/>
            <w:vAlign w:val="center"/>
          </w:tcPr>
          <w:p w14:paraId="445D3FDB"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魏孟田</w:t>
            </w:r>
          </w:p>
        </w:tc>
        <w:tc>
          <w:tcPr>
            <w:tcW w:w="1482" w:type="dxa"/>
            <w:vAlign w:val="center"/>
          </w:tcPr>
          <w:p w14:paraId="48678D6C"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大纲审核人</w:t>
            </w:r>
          </w:p>
        </w:tc>
        <w:tc>
          <w:tcPr>
            <w:tcW w:w="2797" w:type="dxa"/>
            <w:vAlign w:val="center"/>
          </w:tcPr>
          <w:p w14:paraId="47A95268" w14:textId="77777777" w:rsidR="000B25E0" w:rsidRPr="000B25E0" w:rsidRDefault="000B25E0" w:rsidP="000B25E0">
            <w:pPr>
              <w:spacing w:line="440" w:lineRule="exact"/>
              <w:jc w:val="center"/>
              <w:rPr>
                <w:rFonts w:ascii="宋体" w:eastAsia="宋体" w:hAnsi="宋体" w:cs="Times New Roman"/>
                <w:sz w:val="24"/>
              </w:rPr>
            </w:pPr>
            <w:proofErr w:type="gramStart"/>
            <w:r w:rsidRPr="000B25E0">
              <w:rPr>
                <w:rFonts w:ascii="宋体" w:eastAsia="宋体" w:hAnsi="宋体" w:cs="Times New Roman" w:hint="eastAsia"/>
                <w:sz w:val="24"/>
              </w:rPr>
              <w:t>左健</w:t>
            </w:r>
            <w:proofErr w:type="gramEnd"/>
          </w:p>
        </w:tc>
      </w:tr>
      <w:tr w:rsidR="000B25E0" w:rsidRPr="000B25E0" w14:paraId="73F04BA6" w14:textId="77777777" w:rsidTr="00BF5EF3">
        <w:trPr>
          <w:trHeight w:val="848"/>
          <w:jc w:val="center"/>
        </w:trPr>
        <w:tc>
          <w:tcPr>
            <w:tcW w:w="1581" w:type="dxa"/>
            <w:vAlign w:val="center"/>
          </w:tcPr>
          <w:p w14:paraId="22A4A0F5"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先修课程</w:t>
            </w:r>
          </w:p>
        </w:tc>
        <w:tc>
          <w:tcPr>
            <w:tcW w:w="6941" w:type="dxa"/>
            <w:gridSpan w:val="3"/>
            <w:vAlign w:val="center"/>
          </w:tcPr>
          <w:p w14:paraId="20BFAA2D" w14:textId="77777777" w:rsidR="000B25E0" w:rsidRPr="000B25E0" w:rsidRDefault="000B25E0" w:rsidP="000B25E0">
            <w:pPr>
              <w:spacing w:line="440" w:lineRule="exact"/>
              <w:jc w:val="center"/>
              <w:rPr>
                <w:rFonts w:ascii="宋体" w:eastAsia="宋体" w:hAnsi="宋体" w:cs="Times New Roman"/>
                <w:sz w:val="24"/>
              </w:rPr>
            </w:pPr>
          </w:p>
        </w:tc>
      </w:tr>
      <w:tr w:rsidR="000B25E0" w:rsidRPr="000B25E0" w14:paraId="760FB733" w14:textId="77777777" w:rsidTr="00BF5EF3">
        <w:trPr>
          <w:trHeight w:val="848"/>
          <w:jc w:val="center"/>
        </w:trPr>
        <w:tc>
          <w:tcPr>
            <w:tcW w:w="1581" w:type="dxa"/>
            <w:vAlign w:val="center"/>
          </w:tcPr>
          <w:p w14:paraId="64930E32"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课程网址</w:t>
            </w:r>
          </w:p>
        </w:tc>
        <w:tc>
          <w:tcPr>
            <w:tcW w:w="6941" w:type="dxa"/>
            <w:gridSpan w:val="3"/>
            <w:vAlign w:val="center"/>
          </w:tcPr>
          <w:p w14:paraId="78948DC5" w14:textId="77777777" w:rsidR="000B25E0" w:rsidRPr="000B25E0" w:rsidRDefault="000B25E0" w:rsidP="000B25E0">
            <w:pPr>
              <w:spacing w:line="440" w:lineRule="exact"/>
              <w:rPr>
                <w:rFonts w:ascii="宋体" w:eastAsia="宋体" w:hAnsi="宋体" w:cs="Times New Roman"/>
                <w:color w:val="FF0000"/>
                <w:sz w:val="24"/>
              </w:rPr>
            </w:pPr>
          </w:p>
        </w:tc>
      </w:tr>
    </w:tbl>
    <w:p w14:paraId="53F40A73"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二、课程学习目标及与毕业要求的对应关系</w:t>
      </w:r>
    </w:p>
    <w:p w14:paraId="5441BF68"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（一）课程学习目标</w:t>
      </w:r>
    </w:p>
    <w:p w14:paraId="7958EC9E"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通过本课程的学习，使学生达到以下目标：</w:t>
      </w:r>
    </w:p>
    <w:p w14:paraId="637A628E"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6923D6D9"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w:t>
      </w:r>
      <w:r w:rsidRPr="000B25E0">
        <w:rPr>
          <w:rFonts w:ascii="宋体" w:eastAsia="宋体" w:hAnsi="宋体" w:cs="仿宋_GB2312" w:hint="eastAsia"/>
          <w:sz w:val="24"/>
        </w:rPr>
        <w:lastRenderedPageBreak/>
        <w:t>求实、勤奋良好科研精神与学风。了解《大学生体质健康标准测验》项目内容、考核方式、评价标准；掌握考核内容锻炼的方式方法。【毕业要求8/10 沟通】</w:t>
      </w:r>
    </w:p>
    <w:p w14:paraId="1EF626F0"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64409270"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6095"/>
        <w:gridCol w:w="1366"/>
      </w:tblGrid>
      <w:tr w:rsidR="000B25E0" w:rsidRPr="000B25E0" w14:paraId="2BE49E6C" w14:textId="77777777" w:rsidTr="00BF5EF3">
        <w:trPr>
          <w:trHeight w:val="815"/>
          <w:jc w:val="center"/>
        </w:trPr>
        <w:tc>
          <w:tcPr>
            <w:tcW w:w="1708" w:type="dxa"/>
            <w:vAlign w:val="center"/>
          </w:tcPr>
          <w:p w14:paraId="1C3EB6F2"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毕业要求</w:t>
            </w:r>
          </w:p>
        </w:tc>
        <w:tc>
          <w:tcPr>
            <w:tcW w:w="6095" w:type="dxa"/>
            <w:vAlign w:val="center"/>
          </w:tcPr>
          <w:p w14:paraId="2CFD16BD"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毕业要求指标点</w:t>
            </w:r>
          </w:p>
        </w:tc>
        <w:tc>
          <w:tcPr>
            <w:tcW w:w="1366" w:type="dxa"/>
            <w:vAlign w:val="center"/>
          </w:tcPr>
          <w:p w14:paraId="045E2CAD"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课程目标</w:t>
            </w:r>
          </w:p>
        </w:tc>
      </w:tr>
      <w:tr w:rsidR="000B25E0" w:rsidRPr="000B25E0" w14:paraId="08DA10E2" w14:textId="77777777" w:rsidTr="00BF5EF3">
        <w:trPr>
          <w:jc w:val="center"/>
        </w:trPr>
        <w:tc>
          <w:tcPr>
            <w:tcW w:w="1708" w:type="dxa"/>
            <w:vAlign w:val="center"/>
          </w:tcPr>
          <w:p w14:paraId="7C9E6A33"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职业规范</w:t>
            </w:r>
            <w:r w:rsidRPr="000B25E0">
              <w:rPr>
                <w:rFonts w:ascii="宋体" w:eastAsia="宋体" w:hAnsi="宋体" w:cs="Times New Roman"/>
                <w:sz w:val="24"/>
              </w:rPr>
              <w:t>（</w:t>
            </w:r>
            <w:r w:rsidRPr="000B25E0">
              <w:rPr>
                <w:rFonts w:ascii="宋体" w:eastAsia="宋体" w:hAnsi="宋体" w:cs="Times New Roman" w:hint="eastAsia"/>
                <w:sz w:val="24"/>
              </w:rPr>
              <w:t>M</w:t>
            </w:r>
            <w:r w:rsidRPr="000B25E0">
              <w:rPr>
                <w:rFonts w:ascii="宋体" w:eastAsia="宋体" w:hAnsi="宋体" w:cs="Times New Roman"/>
                <w:sz w:val="24"/>
              </w:rPr>
              <w:t>）</w:t>
            </w:r>
          </w:p>
        </w:tc>
        <w:tc>
          <w:tcPr>
            <w:tcW w:w="6095" w:type="dxa"/>
            <w:vAlign w:val="center"/>
          </w:tcPr>
          <w:p w14:paraId="645D25FA" w14:textId="77777777" w:rsidR="000B25E0" w:rsidRPr="000B25E0" w:rsidRDefault="000B25E0" w:rsidP="000B25E0">
            <w:pPr>
              <w:spacing w:line="440" w:lineRule="exact"/>
              <w:rPr>
                <w:rFonts w:ascii="宋体" w:eastAsia="宋体" w:hAnsi="宋体" w:cs="仿宋_GB2312"/>
                <w:sz w:val="24"/>
              </w:rPr>
            </w:pPr>
          </w:p>
          <w:p w14:paraId="6486E6F9" w14:textId="77777777" w:rsidR="000B25E0" w:rsidRPr="000B25E0" w:rsidRDefault="000B25E0" w:rsidP="000B25E0">
            <w:pPr>
              <w:spacing w:line="440" w:lineRule="exact"/>
              <w:rPr>
                <w:rFonts w:ascii="宋体" w:eastAsia="宋体" w:hAnsi="宋体" w:cs="仿宋_GB2312"/>
                <w:sz w:val="24"/>
              </w:rPr>
            </w:pPr>
          </w:p>
          <w:p w14:paraId="2657C1AA" w14:textId="77777777" w:rsidR="000B25E0" w:rsidRPr="000B25E0" w:rsidRDefault="000B25E0" w:rsidP="000B25E0">
            <w:pPr>
              <w:spacing w:line="440" w:lineRule="exact"/>
              <w:rPr>
                <w:rFonts w:ascii="宋体" w:eastAsia="宋体" w:hAnsi="宋体" w:cs="Times New Roman"/>
                <w:sz w:val="24"/>
              </w:rPr>
            </w:pPr>
          </w:p>
        </w:tc>
        <w:tc>
          <w:tcPr>
            <w:tcW w:w="1366" w:type="dxa"/>
            <w:vAlign w:val="center"/>
          </w:tcPr>
          <w:p w14:paraId="0FAD5D1E" w14:textId="77777777" w:rsidR="000B25E0" w:rsidRPr="000B25E0" w:rsidRDefault="000B25E0" w:rsidP="000B25E0">
            <w:pPr>
              <w:spacing w:line="440" w:lineRule="exact"/>
              <w:rPr>
                <w:rFonts w:ascii="宋体" w:eastAsia="宋体" w:hAnsi="宋体" w:cs="Times New Roman"/>
                <w:sz w:val="24"/>
              </w:rPr>
            </w:pPr>
            <w:r w:rsidRPr="000B25E0">
              <w:rPr>
                <w:rFonts w:ascii="宋体" w:eastAsia="宋体" w:hAnsi="宋体" w:cs="Times New Roman" w:hint="eastAsia"/>
                <w:sz w:val="24"/>
              </w:rPr>
              <w:t>课程目标1</w:t>
            </w:r>
          </w:p>
        </w:tc>
      </w:tr>
      <w:tr w:rsidR="000B25E0" w:rsidRPr="000B25E0" w14:paraId="3A7E00F3" w14:textId="77777777" w:rsidTr="00BF5EF3">
        <w:trPr>
          <w:jc w:val="center"/>
        </w:trPr>
        <w:tc>
          <w:tcPr>
            <w:tcW w:w="1708" w:type="dxa"/>
            <w:vAlign w:val="center"/>
          </w:tcPr>
          <w:p w14:paraId="30C65E6E"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沟通</w:t>
            </w:r>
            <w:r w:rsidRPr="000B25E0">
              <w:rPr>
                <w:rFonts w:ascii="宋体" w:eastAsia="宋体" w:hAnsi="宋体" w:cs="Times New Roman"/>
                <w:sz w:val="24"/>
              </w:rPr>
              <w:t>（</w:t>
            </w:r>
            <w:r w:rsidRPr="000B25E0">
              <w:rPr>
                <w:rFonts w:ascii="宋体" w:eastAsia="宋体" w:hAnsi="宋体" w:cs="Times New Roman" w:hint="eastAsia"/>
                <w:sz w:val="24"/>
              </w:rPr>
              <w:t>M</w:t>
            </w:r>
            <w:r w:rsidRPr="000B25E0">
              <w:rPr>
                <w:rFonts w:ascii="宋体" w:eastAsia="宋体" w:hAnsi="宋体" w:cs="Times New Roman"/>
                <w:sz w:val="24"/>
              </w:rPr>
              <w:t>）</w:t>
            </w:r>
          </w:p>
        </w:tc>
        <w:tc>
          <w:tcPr>
            <w:tcW w:w="6095" w:type="dxa"/>
            <w:vAlign w:val="center"/>
          </w:tcPr>
          <w:p w14:paraId="452181DF" w14:textId="77777777" w:rsidR="000B25E0" w:rsidRPr="000B25E0" w:rsidRDefault="000B25E0" w:rsidP="000B25E0">
            <w:pPr>
              <w:spacing w:line="440" w:lineRule="exact"/>
              <w:rPr>
                <w:rFonts w:ascii="宋体" w:eastAsia="宋体" w:hAnsi="宋体" w:cs="Times New Roman"/>
                <w:sz w:val="24"/>
              </w:rPr>
            </w:pPr>
          </w:p>
          <w:p w14:paraId="31800EAC" w14:textId="77777777" w:rsidR="000B25E0" w:rsidRPr="000B25E0" w:rsidRDefault="000B25E0" w:rsidP="000B25E0">
            <w:pPr>
              <w:spacing w:line="440" w:lineRule="exact"/>
              <w:rPr>
                <w:rFonts w:ascii="宋体" w:eastAsia="宋体" w:hAnsi="宋体" w:cs="Times New Roman"/>
                <w:sz w:val="24"/>
              </w:rPr>
            </w:pPr>
          </w:p>
          <w:p w14:paraId="18BF9AFA" w14:textId="77777777" w:rsidR="000B25E0" w:rsidRPr="000B25E0" w:rsidRDefault="000B25E0" w:rsidP="000B25E0">
            <w:pPr>
              <w:spacing w:line="440" w:lineRule="exact"/>
              <w:rPr>
                <w:rFonts w:ascii="宋体" w:eastAsia="宋体" w:hAnsi="宋体" w:cs="Times New Roman"/>
                <w:sz w:val="24"/>
              </w:rPr>
            </w:pPr>
          </w:p>
        </w:tc>
        <w:tc>
          <w:tcPr>
            <w:tcW w:w="1366" w:type="dxa"/>
            <w:vAlign w:val="center"/>
          </w:tcPr>
          <w:p w14:paraId="09A92F08" w14:textId="77777777" w:rsidR="000B25E0" w:rsidRPr="000B25E0" w:rsidRDefault="000B25E0" w:rsidP="000B25E0">
            <w:pPr>
              <w:spacing w:line="440" w:lineRule="exact"/>
              <w:rPr>
                <w:rFonts w:ascii="宋体" w:eastAsia="宋体" w:hAnsi="宋体" w:cs="仿宋_GB2312"/>
                <w:sz w:val="24"/>
              </w:rPr>
            </w:pPr>
            <w:r w:rsidRPr="000B25E0">
              <w:rPr>
                <w:rFonts w:ascii="宋体" w:eastAsia="宋体" w:hAnsi="宋体" w:cs="Times New Roman" w:hint="eastAsia"/>
                <w:sz w:val="24"/>
              </w:rPr>
              <w:t>课程目标</w:t>
            </w:r>
            <w:r w:rsidRPr="000B25E0">
              <w:rPr>
                <w:rFonts w:ascii="宋体" w:eastAsia="宋体" w:hAnsi="宋体" w:cs="Times New Roman"/>
                <w:sz w:val="24"/>
              </w:rPr>
              <w:t>2</w:t>
            </w:r>
          </w:p>
        </w:tc>
      </w:tr>
      <w:tr w:rsidR="000B25E0" w:rsidRPr="000B25E0" w14:paraId="73D9D26A" w14:textId="77777777" w:rsidTr="00BF5EF3">
        <w:trPr>
          <w:jc w:val="center"/>
        </w:trPr>
        <w:tc>
          <w:tcPr>
            <w:tcW w:w="1708" w:type="dxa"/>
            <w:vAlign w:val="center"/>
          </w:tcPr>
          <w:p w14:paraId="0EF74937"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终身学习</w:t>
            </w:r>
            <w:r w:rsidRPr="000B25E0">
              <w:rPr>
                <w:rFonts w:ascii="宋体" w:eastAsia="宋体" w:hAnsi="宋体" w:cs="Times New Roman"/>
                <w:sz w:val="24"/>
              </w:rPr>
              <w:t>（</w:t>
            </w:r>
            <w:r w:rsidRPr="000B25E0">
              <w:rPr>
                <w:rFonts w:ascii="宋体" w:eastAsia="宋体" w:hAnsi="宋体" w:cs="Times New Roman" w:hint="eastAsia"/>
                <w:sz w:val="24"/>
              </w:rPr>
              <w:t>H</w:t>
            </w:r>
            <w:r w:rsidRPr="000B25E0">
              <w:rPr>
                <w:rFonts w:ascii="宋体" w:eastAsia="宋体" w:hAnsi="宋体" w:cs="Times New Roman"/>
                <w:sz w:val="24"/>
              </w:rPr>
              <w:t>）</w:t>
            </w:r>
          </w:p>
        </w:tc>
        <w:tc>
          <w:tcPr>
            <w:tcW w:w="6095" w:type="dxa"/>
            <w:vAlign w:val="center"/>
          </w:tcPr>
          <w:p w14:paraId="3FC07BC7" w14:textId="77777777" w:rsidR="000B25E0" w:rsidRPr="000B25E0" w:rsidRDefault="000B25E0" w:rsidP="000B25E0">
            <w:pPr>
              <w:spacing w:line="440" w:lineRule="exact"/>
              <w:rPr>
                <w:rFonts w:ascii="宋体" w:eastAsia="宋体" w:hAnsi="宋体" w:cs="仿宋_GB2312"/>
                <w:sz w:val="24"/>
              </w:rPr>
            </w:pPr>
          </w:p>
          <w:p w14:paraId="56594EFE" w14:textId="77777777" w:rsidR="000B25E0" w:rsidRPr="000B25E0" w:rsidRDefault="000B25E0" w:rsidP="000B25E0">
            <w:pPr>
              <w:spacing w:line="440" w:lineRule="exact"/>
              <w:rPr>
                <w:rFonts w:ascii="宋体" w:eastAsia="宋体" w:hAnsi="宋体" w:cs="仿宋_GB2312"/>
                <w:sz w:val="24"/>
              </w:rPr>
            </w:pPr>
          </w:p>
          <w:p w14:paraId="3B384DFA" w14:textId="77777777" w:rsidR="000B25E0" w:rsidRPr="000B25E0" w:rsidRDefault="000B25E0" w:rsidP="000B25E0">
            <w:pPr>
              <w:spacing w:line="440" w:lineRule="exact"/>
              <w:rPr>
                <w:rFonts w:ascii="宋体" w:eastAsia="宋体" w:hAnsi="宋体" w:cs="Times New Roman"/>
                <w:sz w:val="24"/>
              </w:rPr>
            </w:pPr>
          </w:p>
        </w:tc>
        <w:tc>
          <w:tcPr>
            <w:tcW w:w="1366" w:type="dxa"/>
            <w:vAlign w:val="center"/>
          </w:tcPr>
          <w:p w14:paraId="7A143247" w14:textId="77777777" w:rsidR="000B25E0" w:rsidRPr="000B25E0" w:rsidRDefault="000B25E0" w:rsidP="000B25E0">
            <w:pPr>
              <w:spacing w:line="440" w:lineRule="exact"/>
              <w:rPr>
                <w:rFonts w:ascii="宋体" w:eastAsia="宋体" w:hAnsi="宋体" w:cs="Times New Roman"/>
                <w:sz w:val="24"/>
              </w:rPr>
            </w:pPr>
            <w:r w:rsidRPr="000B25E0">
              <w:rPr>
                <w:rFonts w:ascii="宋体" w:eastAsia="宋体" w:hAnsi="宋体" w:cs="Times New Roman"/>
                <w:sz w:val="24"/>
              </w:rPr>
              <w:t>课程目标3</w:t>
            </w:r>
          </w:p>
        </w:tc>
      </w:tr>
    </w:tbl>
    <w:p w14:paraId="066A19D5"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三、课程学习内容及与课程学习目标的对应关系</w:t>
      </w:r>
    </w:p>
    <w:p w14:paraId="2F6DB475" w14:textId="77777777" w:rsidR="000B25E0" w:rsidRPr="000B25E0" w:rsidRDefault="000B25E0" w:rsidP="000B25E0">
      <w:pPr>
        <w:spacing w:beforeLines="50" w:before="156" w:afterLines="50" w:after="156" w:line="440" w:lineRule="exact"/>
        <w:ind w:firstLineChars="200" w:firstLine="562"/>
        <w:rPr>
          <w:rFonts w:ascii="黑体" w:eastAsia="黑体" w:hAnsi="黑体" w:cs="Times New Roman"/>
          <w:b/>
          <w:sz w:val="28"/>
          <w:szCs w:val="28"/>
        </w:rPr>
      </w:pPr>
      <w:r w:rsidRPr="000B25E0">
        <w:rPr>
          <w:rFonts w:ascii="黑体" w:eastAsia="黑体" w:hAnsi="黑体" w:cs="Times New Roman" w:hint="eastAsia"/>
          <w:b/>
          <w:sz w:val="28"/>
          <w:szCs w:val="28"/>
        </w:rPr>
        <w:t>（一）课程学习内容</w:t>
      </w:r>
    </w:p>
    <w:p w14:paraId="1EB0A933"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w:t>
      </w:r>
      <w:proofErr w:type="gramStart"/>
      <w:r w:rsidRPr="000B25E0">
        <w:rPr>
          <w:rFonts w:ascii="黑体" w:eastAsia="黑体" w:hAnsi="黑体" w:cs="Times New Roman" w:hint="eastAsia"/>
          <w:sz w:val="28"/>
          <w:szCs w:val="28"/>
        </w:rPr>
        <w:t>一</w:t>
      </w:r>
      <w:proofErr w:type="gramEnd"/>
      <w:r w:rsidRPr="000B25E0">
        <w:rPr>
          <w:rFonts w:ascii="黑体" w:eastAsia="黑体" w:hAnsi="黑体" w:cs="Times New Roman" w:hint="eastAsia"/>
          <w:sz w:val="28"/>
          <w:szCs w:val="28"/>
        </w:rPr>
        <w:t xml:space="preserve"> 体能+养生 </w:t>
      </w:r>
    </w:p>
    <w:p w14:paraId="7A57C1F2"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13B85881"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2227FC72"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lastRenderedPageBreak/>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730C6200"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养生功法的一般规律和特点，使学生获得养生功法的基本技术、基本技能和基础理论知识，并了解养生功法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3D1889DE" w14:textId="77777777" w:rsidR="000B25E0" w:rsidRPr="000B25E0" w:rsidRDefault="000B25E0" w:rsidP="000B25E0">
      <w:pPr>
        <w:spacing w:line="440" w:lineRule="exact"/>
        <w:ind w:firstLineChars="200" w:firstLine="500"/>
        <w:rPr>
          <w:rFonts w:ascii="Calibri" w:eastAsia="宋体" w:hAnsi="Calibri" w:cs="Times New Roman"/>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716DEAD4"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【学习内容】</w:t>
      </w:r>
    </w:p>
    <w:p w14:paraId="20D6B769" w14:textId="77777777" w:rsidR="000B25E0" w:rsidRPr="000B25E0" w:rsidRDefault="000B25E0" w:rsidP="000B25E0">
      <w:pPr>
        <w:spacing w:beforeLines="50" w:before="156" w:afterLines="50" w:after="156" w:line="360" w:lineRule="auto"/>
        <w:jc w:val="center"/>
        <w:rPr>
          <w:rFonts w:ascii="宋体" w:eastAsia="宋体" w:hAnsi="Calibri" w:cs="Arial"/>
          <w:b/>
          <w:sz w:val="28"/>
          <w:szCs w:val="28"/>
        </w:rPr>
      </w:pPr>
      <w:r w:rsidRPr="000B25E0">
        <w:rPr>
          <w:rFonts w:ascii="宋体" w:eastAsia="宋体" w:hAnsi="宋体" w:cs="Arial" w:hint="eastAsia"/>
          <w:b/>
          <w:sz w:val="28"/>
          <w:szCs w:val="28"/>
        </w:rPr>
        <w:t>第一章</w:t>
      </w:r>
      <w:r w:rsidRPr="000B25E0">
        <w:rPr>
          <w:rFonts w:ascii="宋体" w:eastAsia="宋体" w:hAnsi="宋体" w:cs="Arial"/>
          <w:b/>
          <w:sz w:val="28"/>
          <w:szCs w:val="28"/>
        </w:rPr>
        <w:t xml:space="preserve">   </w:t>
      </w:r>
      <w:r w:rsidRPr="000B25E0">
        <w:rPr>
          <w:rFonts w:ascii="宋体" w:eastAsia="宋体" w:hAnsi="宋体" w:cs="Arial" w:hint="eastAsia"/>
          <w:b/>
          <w:sz w:val="28"/>
          <w:szCs w:val="28"/>
        </w:rPr>
        <w:t>认识健康的重要性（0.5学时）</w:t>
      </w:r>
    </w:p>
    <w:p w14:paraId="6846FC4D" w14:textId="77777777" w:rsidR="000B25E0" w:rsidRPr="000B25E0" w:rsidRDefault="000B25E0" w:rsidP="000B25E0">
      <w:pPr>
        <w:spacing w:before="50" w:after="50"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064A08EB"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1.1 健康的内涵</w:t>
      </w:r>
    </w:p>
    <w:p w14:paraId="6144C4E9"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1.2 预防与消除亚健康</w:t>
      </w:r>
    </w:p>
    <w:p w14:paraId="2642F88F"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1.3 维护健康的法则</w:t>
      </w:r>
    </w:p>
    <w:p w14:paraId="72465E96" w14:textId="77777777" w:rsidR="000B25E0" w:rsidRPr="000B25E0" w:rsidRDefault="000B25E0" w:rsidP="000B25E0">
      <w:pPr>
        <w:spacing w:line="360" w:lineRule="auto"/>
        <w:ind w:leftChars="-29" w:left="-61" w:firstLineChars="219" w:firstLine="528"/>
        <w:rPr>
          <w:rFonts w:ascii="Arial" w:eastAsia="宋体" w:hAnsi="Calibri" w:cs="Arial"/>
          <w:b/>
          <w:sz w:val="24"/>
        </w:rPr>
      </w:pPr>
      <w:r w:rsidRPr="000B25E0">
        <w:rPr>
          <w:rFonts w:ascii="Arial" w:eastAsia="宋体" w:hAnsi="Calibri" w:cs="Arial" w:hint="eastAsia"/>
          <w:b/>
          <w:sz w:val="24"/>
        </w:rPr>
        <w:t>本章教学目的及要求：</w:t>
      </w:r>
      <w:r w:rsidRPr="000B25E0">
        <w:rPr>
          <w:rFonts w:ascii="Arial" w:eastAsia="宋体" w:hAnsi="Arial" w:cs="Arial" w:hint="eastAsia"/>
          <w:sz w:val="24"/>
        </w:rPr>
        <w:t>使同学们了解自身健康的重要性及如何维护、促进自身的健康。</w:t>
      </w:r>
    </w:p>
    <w:p w14:paraId="10A79C21" w14:textId="77777777" w:rsidR="000B25E0" w:rsidRPr="000B25E0" w:rsidRDefault="000B25E0" w:rsidP="000B25E0">
      <w:pPr>
        <w:adjustRightInd w:val="0"/>
        <w:snapToGrid w:val="0"/>
        <w:spacing w:line="500" w:lineRule="exact"/>
        <w:ind w:firstLineChars="196" w:firstLine="472"/>
        <w:rPr>
          <w:rFonts w:ascii="Arial" w:eastAsia="宋体" w:hAnsi="Arial" w:cs="Arial"/>
          <w:sz w:val="24"/>
        </w:rPr>
      </w:pPr>
      <w:r w:rsidRPr="000B25E0">
        <w:rPr>
          <w:rFonts w:ascii="Arial" w:eastAsia="宋体" w:hAnsi="Calibri" w:cs="Arial" w:hint="eastAsia"/>
          <w:b/>
          <w:sz w:val="24"/>
        </w:rPr>
        <w:t>本章教学重点及难点：</w:t>
      </w:r>
      <w:r w:rsidRPr="000B25E0">
        <w:rPr>
          <w:rFonts w:ascii="Arial" w:eastAsia="宋体" w:hAnsi="Arial" w:cs="Arial" w:hint="eastAsia"/>
          <w:sz w:val="24"/>
        </w:rPr>
        <w:t>认识到健康的重要性；如何维护自身的健康。</w:t>
      </w:r>
    </w:p>
    <w:p w14:paraId="091D4661"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第二章</w:t>
      </w:r>
      <w:r w:rsidRPr="000B25E0">
        <w:rPr>
          <w:rFonts w:ascii="Arial" w:eastAsia="宋体" w:hAnsi="Arial" w:cs="Arial"/>
          <w:b/>
          <w:sz w:val="28"/>
          <w:szCs w:val="28"/>
        </w:rPr>
        <w:t xml:space="preserve">   </w:t>
      </w:r>
      <w:r w:rsidRPr="000B25E0">
        <w:rPr>
          <w:rFonts w:ascii="Arial" w:eastAsia="宋体" w:hAnsi="Calibri" w:cs="Arial" w:hint="eastAsia"/>
          <w:b/>
          <w:sz w:val="28"/>
          <w:szCs w:val="28"/>
        </w:rPr>
        <w:t>科学健身的理论与方法（</w:t>
      </w:r>
      <w:r w:rsidRPr="000B25E0">
        <w:rPr>
          <w:rFonts w:ascii="Arial" w:eastAsia="宋体" w:hAnsi="Calibri" w:cs="Arial" w:hint="eastAsia"/>
          <w:b/>
          <w:sz w:val="28"/>
          <w:szCs w:val="28"/>
        </w:rPr>
        <w:t>0.5</w:t>
      </w:r>
      <w:r w:rsidRPr="000B25E0">
        <w:rPr>
          <w:rFonts w:ascii="Arial" w:eastAsia="宋体" w:hAnsi="Calibri" w:cs="Arial" w:hint="eastAsia"/>
          <w:b/>
          <w:sz w:val="28"/>
          <w:szCs w:val="28"/>
        </w:rPr>
        <w:t>学时）</w:t>
      </w:r>
    </w:p>
    <w:p w14:paraId="4321A70B"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7D12267C"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2.1 健身新理念</w:t>
      </w:r>
    </w:p>
    <w:p w14:paraId="3C5B6CEA"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lastRenderedPageBreak/>
        <w:t>2.2 运动处方</w:t>
      </w:r>
    </w:p>
    <w:p w14:paraId="1A6E2F3E"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使学生了解健身新理念及运动处方如何制定。</w:t>
      </w:r>
    </w:p>
    <w:p w14:paraId="10171606" w14:textId="77777777" w:rsidR="000B25E0" w:rsidRPr="000B25E0" w:rsidRDefault="000B25E0" w:rsidP="000B25E0">
      <w:pPr>
        <w:spacing w:line="360" w:lineRule="auto"/>
        <w:ind w:firstLineChars="200" w:firstLine="482"/>
        <w:rPr>
          <w:rFonts w:ascii="Arial" w:eastAsia="宋体" w:hAnsi="Arial" w:cs="Arial"/>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制订运动处方的重要性；如何制订自身的运动处方。</w:t>
      </w:r>
    </w:p>
    <w:p w14:paraId="60B49601"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第三章</w:t>
      </w:r>
      <w:r w:rsidRPr="000B25E0">
        <w:rPr>
          <w:rFonts w:ascii="Arial" w:eastAsia="宋体" w:hAnsi="Arial" w:cs="Arial"/>
          <w:b/>
          <w:sz w:val="28"/>
          <w:szCs w:val="28"/>
        </w:rPr>
        <w:t xml:space="preserve">   </w:t>
      </w:r>
      <w:r w:rsidRPr="000B25E0">
        <w:rPr>
          <w:rFonts w:ascii="Arial" w:eastAsia="宋体" w:hAnsi="Calibri" w:cs="Arial" w:hint="eastAsia"/>
          <w:b/>
          <w:sz w:val="28"/>
          <w:szCs w:val="28"/>
        </w:rPr>
        <w:t>营养与健康（</w:t>
      </w:r>
      <w:r w:rsidRPr="000B25E0">
        <w:rPr>
          <w:rFonts w:ascii="Arial" w:eastAsia="宋体" w:hAnsi="Calibri" w:cs="Arial" w:hint="eastAsia"/>
          <w:b/>
          <w:sz w:val="28"/>
          <w:szCs w:val="28"/>
        </w:rPr>
        <w:t>0.5</w:t>
      </w:r>
      <w:r w:rsidRPr="000B25E0">
        <w:rPr>
          <w:rFonts w:ascii="Arial" w:eastAsia="宋体" w:hAnsi="Calibri" w:cs="Arial" w:hint="eastAsia"/>
          <w:b/>
          <w:sz w:val="28"/>
          <w:szCs w:val="28"/>
        </w:rPr>
        <w:t>学时）</w:t>
      </w:r>
    </w:p>
    <w:p w14:paraId="0AEB9C8D"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0BE18E3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3.1 营养对健康的影响</w:t>
      </w:r>
    </w:p>
    <w:p w14:paraId="67188D6B"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3.2 营养素及人体对营养的需要</w:t>
      </w:r>
    </w:p>
    <w:p w14:paraId="33F634BD"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3.3 平衡膳食</w:t>
      </w:r>
    </w:p>
    <w:p w14:paraId="0751FB99"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3.4 运动与营养</w:t>
      </w:r>
    </w:p>
    <w:p w14:paraId="6F2DD440"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让学生正确认识科学补充营养可以提高自身免疫力，从而提高生活质量。</w:t>
      </w:r>
    </w:p>
    <w:p w14:paraId="4C3499E1" w14:textId="77777777" w:rsidR="000B25E0" w:rsidRPr="000B25E0" w:rsidRDefault="000B25E0" w:rsidP="000B25E0">
      <w:pPr>
        <w:spacing w:line="360" w:lineRule="auto"/>
        <w:ind w:firstLineChars="196" w:firstLine="472"/>
        <w:rPr>
          <w:rFonts w:ascii="Arial" w:eastAsia="宋体" w:hAnsi="Arial" w:cs="Arial"/>
          <w:bCs/>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学生阶段的营养过剩与运动不足；补充营养的同时如何提高自身的健康。</w:t>
      </w:r>
    </w:p>
    <w:p w14:paraId="190025AE"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第四章</w:t>
      </w:r>
      <w:r w:rsidRPr="000B25E0">
        <w:rPr>
          <w:rFonts w:ascii="Arial" w:eastAsia="宋体" w:hAnsi="Arial" w:cs="Arial"/>
          <w:b/>
          <w:sz w:val="28"/>
          <w:szCs w:val="28"/>
        </w:rPr>
        <w:t xml:space="preserve">   </w:t>
      </w:r>
      <w:r w:rsidRPr="000B25E0">
        <w:rPr>
          <w:rFonts w:ascii="Arial" w:eastAsia="宋体" w:hAnsi="Calibri" w:cs="Arial" w:hint="eastAsia"/>
          <w:b/>
          <w:sz w:val="28"/>
          <w:szCs w:val="28"/>
        </w:rPr>
        <w:t>体育保健知识（</w:t>
      </w:r>
      <w:r w:rsidRPr="000B25E0">
        <w:rPr>
          <w:rFonts w:ascii="Arial" w:eastAsia="宋体" w:hAnsi="Calibri" w:cs="Arial" w:hint="eastAsia"/>
          <w:b/>
          <w:sz w:val="28"/>
          <w:szCs w:val="28"/>
        </w:rPr>
        <w:t>0.5</w:t>
      </w:r>
      <w:r w:rsidRPr="000B25E0">
        <w:rPr>
          <w:rFonts w:ascii="Arial" w:eastAsia="宋体" w:hAnsi="Calibri" w:cs="Arial" w:hint="eastAsia"/>
          <w:b/>
          <w:sz w:val="28"/>
          <w:szCs w:val="28"/>
        </w:rPr>
        <w:t>学时）</w:t>
      </w:r>
    </w:p>
    <w:p w14:paraId="35B24EFE"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148D2464"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4.1运动中常见的生理反应与处理方法</w:t>
      </w:r>
    </w:p>
    <w:p w14:paraId="05B9DA1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4.2 运动损伤的处置</w:t>
      </w:r>
    </w:p>
    <w:p w14:paraId="45EF4119"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4.3女子运动保健</w:t>
      </w:r>
    </w:p>
    <w:p w14:paraId="06A13926"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使学生了解运动中常见的生理反应及处理方法。</w:t>
      </w:r>
    </w:p>
    <w:p w14:paraId="721A0AD8" w14:textId="77777777" w:rsidR="000B25E0" w:rsidRPr="000B25E0" w:rsidRDefault="000B25E0" w:rsidP="000B25E0">
      <w:pPr>
        <w:spacing w:line="360" w:lineRule="auto"/>
        <w:ind w:firstLineChars="196" w:firstLine="472"/>
        <w:rPr>
          <w:rFonts w:ascii="Arial" w:eastAsia="宋体" w:hAnsi="Calibri" w:cs="Arial"/>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学生如何预防常见的运动损伤；运动损伤如何处置。</w:t>
      </w:r>
    </w:p>
    <w:p w14:paraId="6C1EE878" w14:textId="77777777" w:rsidR="000B25E0" w:rsidRPr="000B25E0" w:rsidRDefault="000B25E0" w:rsidP="000B25E0">
      <w:pPr>
        <w:tabs>
          <w:tab w:val="left" w:pos="960"/>
        </w:tabs>
        <w:spacing w:beforeLines="50" w:before="156" w:afterLines="50" w:after="156" w:line="360" w:lineRule="auto"/>
        <w:jc w:val="center"/>
        <w:rPr>
          <w:rFonts w:ascii="宋体" w:eastAsia="宋体" w:hAnsi="Calibri" w:cs="Arial"/>
          <w:b/>
          <w:bCs/>
          <w:sz w:val="28"/>
          <w:szCs w:val="28"/>
        </w:rPr>
      </w:pPr>
      <w:r w:rsidRPr="000B25E0">
        <w:rPr>
          <w:rFonts w:ascii="宋体" w:eastAsia="宋体" w:hAnsi="宋体" w:cs="Arial" w:hint="eastAsia"/>
          <w:b/>
          <w:bCs/>
          <w:sz w:val="28"/>
          <w:szCs w:val="28"/>
        </w:rPr>
        <w:t>第五章 了解体育文化（0.5课时）</w:t>
      </w:r>
    </w:p>
    <w:p w14:paraId="78C921ED"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5727754F"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5.1中西方体育文化比较</w:t>
      </w:r>
    </w:p>
    <w:p w14:paraId="1FCC4D6A"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5.2 奥林匹克体育文化</w:t>
      </w:r>
    </w:p>
    <w:p w14:paraId="7BC29CB1"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5.3 校园体育文化</w:t>
      </w:r>
    </w:p>
    <w:p w14:paraId="7402338D"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lastRenderedPageBreak/>
        <w:t>本章教学目的及要求：</w:t>
      </w:r>
      <w:r w:rsidRPr="000B25E0">
        <w:rPr>
          <w:rFonts w:ascii="Arial" w:eastAsia="宋体" w:hAnsi="Calibri" w:cs="Arial" w:hint="eastAsia"/>
          <w:bCs/>
          <w:sz w:val="24"/>
          <w:szCs w:val="28"/>
        </w:rPr>
        <w:t>让学生了解东西方体育文化的差异。</w:t>
      </w:r>
    </w:p>
    <w:p w14:paraId="13808ECD"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介绍奥林匹克文化的发展</w:t>
      </w:r>
      <w:r w:rsidRPr="000B25E0">
        <w:rPr>
          <w:rFonts w:ascii="Arial" w:eastAsia="宋体" w:hAnsi="Calibri" w:cs="Arial" w:hint="eastAsia"/>
          <w:bCs/>
          <w:sz w:val="24"/>
          <w:szCs w:val="28"/>
        </w:rPr>
        <w:t>；介绍校园体育文化的发展与功能。</w:t>
      </w:r>
    </w:p>
    <w:p w14:paraId="45F31B93" w14:textId="77777777" w:rsidR="000B25E0" w:rsidRPr="000B25E0" w:rsidRDefault="000B25E0" w:rsidP="000B25E0">
      <w:pPr>
        <w:spacing w:beforeLines="50" w:before="156" w:afterLines="50" w:after="156" w:line="360" w:lineRule="auto"/>
        <w:jc w:val="center"/>
        <w:rPr>
          <w:rFonts w:ascii="Arial" w:eastAsia="宋体" w:hAnsi="Calibri" w:cs="Arial"/>
          <w:b/>
          <w:sz w:val="28"/>
          <w:szCs w:val="28"/>
        </w:rPr>
      </w:pPr>
      <w:r w:rsidRPr="000B25E0">
        <w:rPr>
          <w:rFonts w:ascii="宋体" w:eastAsia="宋体" w:hAnsi="宋体" w:cs="宋体" w:hint="eastAsia"/>
          <w:b/>
          <w:bCs/>
          <w:sz w:val="28"/>
          <w:szCs w:val="28"/>
        </w:rPr>
        <w:t>第六章 欣赏体育比赛</w:t>
      </w:r>
      <w:r w:rsidRPr="000B25E0">
        <w:rPr>
          <w:rFonts w:ascii="Arial" w:eastAsia="宋体" w:hAnsi="Calibri" w:cs="Arial" w:hint="eastAsia"/>
          <w:b/>
          <w:sz w:val="28"/>
          <w:szCs w:val="28"/>
        </w:rPr>
        <w:t>（</w:t>
      </w:r>
      <w:r w:rsidRPr="000B25E0">
        <w:rPr>
          <w:rFonts w:ascii="Arial" w:eastAsia="宋体" w:hAnsi="Arial" w:cs="Arial" w:hint="eastAsia"/>
          <w:b/>
          <w:sz w:val="28"/>
          <w:szCs w:val="28"/>
        </w:rPr>
        <w:t>0.5</w:t>
      </w:r>
      <w:r w:rsidRPr="000B25E0">
        <w:rPr>
          <w:rFonts w:ascii="Arial" w:eastAsia="宋体" w:hAnsi="Calibri" w:cs="Arial" w:hint="eastAsia"/>
          <w:b/>
          <w:sz w:val="28"/>
          <w:szCs w:val="28"/>
        </w:rPr>
        <w:t>学时）</w:t>
      </w:r>
    </w:p>
    <w:p w14:paraId="1A75ACB9"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2F6FF246"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6.1体育欣赏的体育美学原理及特点</w:t>
      </w:r>
    </w:p>
    <w:p w14:paraId="74AE42B1"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6.2 体育运动的欣赏内容</w:t>
      </w:r>
    </w:p>
    <w:p w14:paraId="5C416348"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6.3 特定运动项目的欣赏</w:t>
      </w:r>
    </w:p>
    <w:p w14:paraId="538A990C"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本章教学目的及要求：</w:t>
      </w:r>
      <w:r w:rsidRPr="000B25E0">
        <w:rPr>
          <w:rFonts w:ascii="Arial" w:eastAsia="宋体" w:hAnsi="Calibri" w:cs="Arial" w:hint="eastAsia"/>
          <w:bCs/>
          <w:sz w:val="24"/>
          <w:szCs w:val="28"/>
        </w:rPr>
        <w:t>使学生提高体育文化素质，培养起体育欣赏的兴趣，树立正确的体育审美观念。</w:t>
      </w:r>
    </w:p>
    <w:p w14:paraId="071E3DAD"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如何欣赏竞技比赛</w:t>
      </w:r>
      <w:r w:rsidRPr="000B25E0">
        <w:rPr>
          <w:rFonts w:ascii="Arial" w:eastAsia="宋体" w:hAnsi="Calibri" w:cs="Arial" w:hint="eastAsia"/>
          <w:bCs/>
          <w:sz w:val="24"/>
          <w:szCs w:val="28"/>
        </w:rPr>
        <w:t>；如何提高体育欣赏水平。</w:t>
      </w:r>
    </w:p>
    <w:p w14:paraId="2E30C0EF"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第七章</w:t>
      </w:r>
      <w:r w:rsidRPr="000B25E0">
        <w:rPr>
          <w:rFonts w:ascii="Arial" w:eastAsia="宋体" w:hAnsi="Arial" w:cs="Arial"/>
          <w:b/>
          <w:sz w:val="28"/>
          <w:szCs w:val="28"/>
        </w:rPr>
        <w:t xml:space="preserve">   </w:t>
      </w:r>
      <w:r w:rsidRPr="000B25E0">
        <w:rPr>
          <w:rFonts w:ascii="Arial" w:eastAsia="宋体" w:hAnsi="Arial" w:cs="Arial"/>
          <w:b/>
          <w:sz w:val="28"/>
          <w:szCs w:val="28"/>
        </w:rPr>
        <w:t>大</w:t>
      </w:r>
      <w:r w:rsidRPr="000B25E0">
        <w:rPr>
          <w:rFonts w:ascii="Arial" w:eastAsia="宋体" w:hAnsi="Calibri" w:cs="Arial" w:hint="eastAsia"/>
          <w:b/>
          <w:sz w:val="28"/>
          <w:szCs w:val="28"/>
        </w:rPr>
        <w:t>学生体质健康测评（</w:t>
      </w:r>
      <w:r w:rsidRPr="000B25E0">
        <w:rPr>
          <w:rFonts w:ascii="Arial" w:eastAsia="宋体" w:hAnsi="Calibri" w:cs="Arial" w:hint="eastAsia"/>
          <w:b/>
          <w:sz w:val="28"/>
          <w:szCs w:val="28"/>
        </w:rPr>
        <w:t>4</w:t>
      </w:r>
      <w:r w:rsidRPr="000B25E0">
        <w:rPr>
          <w:rFonts w:ascii="Arial" w:eastAsia="宋体" w:hAnsi="Calibri" w:cs="Arial" w:hint="eastAsia"/>
          <w:b/>
          <w:sz w:val="28"/>
          <w:szCs w:val="28"/>
        </w:rPr>
        <w:t>学时）</w:t>
      </w:r>
    </w:p>
    <w:p w14:paraId="1F665550"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33E3924A"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7.1 《国家学生体质健康标准》实施说明</w:t>
      </w:r>
    </w:p>
    <w:p w14:paraId="3C6FEB83" w14:textId="77777777" w:rsidR="000B25E0" w:rsidRPr="000B25E0" w:rsidRDefault="000B25E0" w:rsidP="000B25E0">
      <w:pPr>
        <w:autoSpaceDE w:val="0"/>
        <w:autoSpaceDN w:val="0"/>
        <w:adjustRightInd w:val="0"/>
        <w:snapToGrid w:val="0"/>
        <w:spacing w:line="500" w:lineRule="exact"/>
        <w:ind w:firstLineChars="200" w:firstLine="500"/>
        <w:jc w:val="left"/>
        <w:rPr>
          <w:rFonts w:ascii="Arial" w:eastAsia="宋体" w:hAnsi="Calibri" w:cs="Arial"/>
          <w:sz w:val="24"/>
        </w:rPr>
      </w:pPr>
      <w:r w:rsidRPr="000B25E0">
        <w:rPr>
          <w:rFonts w:ascii="宋体" w:eastAsia="宋体" w:hAnsi="Calibri" w:cs="宋体" w:hint="eastAsia"/>
          <w:spacing w:val="5"/>
          <w:kern w:val="0"/>
          <w:sz w:val="24"/>
        </w:rPr>
        <w:t>7.2 《国家学生体质健康标准》测试评分表</w:t>
      </w:r>
    </w:p>
    <w:p w14:paraId="2CAAD722"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使学生了解体质健康的主要内容及要求。</w:t>
      </w:r>
    </w:p>
    <w:p w14:paraId="310C0553" w14:textId="77777777" w:rsidR="000B25E0" w:rsidRPr="000B25E0" w:rsidRDefault="000B25E0" w:rsidP="000B25E0">
      <w:pPr>
        <w:spacing w:line="360" w:lineRule="auto"/>
        <w:ind w:firstLineChars="196" w:firstLine="472"/>
        <w:rPr>
          <w:rFonts w:ascii="Arial" w:eastAsia="宋体" w:hAnsi="Calibri" w:cs="Arial"/>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学生体质健康标准的重要性；如何激发学生锻炼身体的积极性和自觉性。</w:t>
      </w:r>
    </w:p>
    <w:p w14:paraId="3535100E" w14:textId="77777777" w:rsidR="000B25E0" w:rsidRPr="000B25E0" w:rsidRDefault="000B25E0" w:rsidP="000B25E0">
      <w:pPr>
        <w:spacing w:beforeLines="50" w:before="156" w:afterLines="50" w:after="156" w:line="360" w:lineRule="auto"/>
        <w:jc w:val="center"/>
        <w:rPr>
          <w:rFonts w:ascii="Arial" w:eastAsia="宋体" w:hAnsi="Calibri" w:cs="Arial"/>
          <w:b/>
          <w:sz w:val="28"/>
          <w:szCs w:val="28"/>
        </w:rPr>
      </w:pPr>
      <w:r w:rsidRPr="000B25E0">
        <w:rPr>
          <w:rFonts w:ascii="Arial" w:eastAsia="宋体" w:hAnsi="Arial" w:cs="Arial" w:hint="eastAsia"/>
          <w:b/>
          <w:sz w:val="28"/>
          <w:szCs w:val="28"/>
        </w:rPr>
        <w:t>第八章</w:t>
      </w:r>
      <w:r w:rsidRPr="000B25E0">
        <w:rPr>
          <w:rFonts w:ascii="Arial" w:eastAsia="宋体" w:hAnsi="Arial" w:cs="Arial"/>
          <w:b/>
          <w:sz w:val="28"/>
          <w:szCs w:val="28"/>
        </w:rPr>
        <w:t xml:space="preserve">  </w:t>
      </w:r>
      <w:r w:rsidRPr="000B25E0">
        <w:rPr>
          <w:rFonts w:ascii="宋体" w:eastAsia="宋体" w:hAnsi="宋体" w:cs="Arial" w:hint="eastAsia"/>
          <w:b/>
          <w:bCs/>
          <w:sz w:val="28"/>
          <w:szCs w:val="28"/>
        </w:rPr>
        <w:t>体能训练</w:t>
      </w:r>
      <w:r w:rsidRPr="000B25E0">
        <w:rPr>
          <w:rFonts w:ascii="Arial" w:eastAsia="宋体" w:hAnsi="Calibri" w:cs="Arial" w:hint="eastAsia"/>
          <w:b/>
          <w:sz w:val="28"/>
          <w:szCs w:val="28"/>
        </w:rPr>
        <w:t>（</w:t>
      </w:r>
      <w:r w:rsidRPr="000B25E0">
        <w:rPr>
          <w:rFonts w:ascii="Arial" w:eastAsia="宋体" w:hAnsi="Calibri" w:cs="Arial" w:hint="eastAsia"/>
          <w:b/>
          <w:sz w:val="28"/>
          <w:szCs w:val="28"/>
        </w:rPr>
        <w:t>13</w:t>
      </w:r>
      <w:r w:rsidRPr="000B25E0">
        <w:rPr>
          <w:rFonts w:ascii="Arial" w:eastAsia="宋体" w:hAnsi="Calibri" w:cs="Arial" w:hint="eastAsia"/>
          <w:b/>
          <w:sz w:val="28"/>
          <w:szCs w:val="28"/>
        </w:rPr>
        <w:t>学时）</w:t>
      </w:r>
    </w:p>
    <w:p w14:paraId="4FB5A6D4" w14:textId="77777777" w:rsidR="000B25E0" w:rsidRPr="000B25E0" w:rsidRDefault="000B25E0" w:rsidP="000B25E0">
      <w:pPr>
        <w:spacing w:line="360" w:lineRule="auto"/>
        <w:ind w:firstLineChars="196" w:firstLine="472"/>
        <w:rPr>
          <w:rFonts w:ascii="宋体" w:eastAsia="宋体" w:hAnsi="宋体" w:cs="Arial"/>
          <w:b/>
          <w:sz w:val="24"/>
        </w:rPr>
      </w:pPr>
      <w:r w:rsidRPr="000B25E0">
        <w:rPr>
          <w:rFonts w:ascii="宋体" w:eastAsia="宋体" w:hAnsi="宋体" w:cs="Arial" w:hint="eastAsia"/>
          <w:b/>
          <w:sz w:val="24"/>
        </w:rPr>
        <w:t>本章主要教学内容：</w:t>
      </w:r>
    </w:p>
    <w:p w14:paraId="06CDE045"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8.1体能训练简介</w:t>
      </w:r>
    </w:p>
    <w:p w14:paraId="232174F6"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8.2加速能力及力量训练2.柔韧能力训练</w:t>
      </w:r>
    </w:p>
    <w:p w14:paraId="5590B631"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8.3弹跳能力及力量训练</w:t>
      </w:r>
    </w:p>
    <w:p w14:paraId="2BAA51D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8.4灵敏能力及力量训练</w:t>
      </w:r>
    </w:p>
    <w:p w14:paraId="4011748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8.5耐力能力及无氧训练</w:t>
      </w:r>
    </w:p>
    <w:p w14:paraId="78AF2777"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lastRenderedPageBreak/>
        <w:t>8.6弹跳能力及力量测试</w:t>
      </w:r>
    </w:p>
    <w:p w14:paraId="7289FFAE"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8.7上肢（男）力量训练2.腹肌（女）力量训练</w:t>
      </w:r>
    </w:p>
    <w:p w14:paraId="3322B55E"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8.8耐力能力及无氧训练</w:t>
      </w:r>
    </w:p>
    <w:p w14:paraId="5594941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8.9引体向上（男）；一分钟仰卧起坐（女）</w:t>
      </w:r>
    </w:p>
    <w:p w14:paraId="40011D81"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8.10立定跳远测试</w:t>
      </w:r>
    </w:p>
    <w:p w14:paraId="05D5A2BA" w14:textId="77777777" w:rsidR="000B25E0" w:rsidRPr="000B25E0" w:rsidRDefault="000B25E0" w:rsidP="000B25E0">
      <w:pPr>
        <w:spacing w:beforeLines="50" w:before="156" w:afterLines="50" w:after="156" w:line="360" w:lineRule="auto"/>
        <w:jc w:val="center"/>
        <w:rPr>
          <w:rFonts w:ascii="Arial" w:eastAsia="宋体" w:hAnsi="Calibri" w:cs="Arial"/>
          <w:b/>
          <w:sz w:val="28"/>
          <w:szCs w:val="28"/>
        </w:rPr>
      </w:pPr>
      <w:r w:rsidRPr="000B25E0">
        <w:rPr>
          <w:rFonts w:ascii="Arial" w:eastAsia="宋体" w:hAnsi="Arial" w:cs="Arial" w:hint="eastAsia"/>
          <w:b/>
          <w:sz w:val="28"/>
          <w:szCs w:val="28"/>
        </w:rPr>
        <w:t>第九章</w:t>
      </w:r>
      <w:r w:rsidRPr="000B25E0">
        <w:rPr>
          <w:rFonts w:ascii="Arial" w:eastAsia="宋体" w:hAnsi="Arial" w:cs="Arial" w:hint="eastAsia"/>
          <w:b/>
          <w:sz w:val="28"/>
          <w:szCs w:val="28"/>
        </w:rPr>
        <w:t xml:space="preserve">   </w:t>
      </w:r>
      <w:r w:rsidRPr="000B25E0">
        <w:rPr>
          <w:rFonts w:ascii="Arial" w:eastAsia="宋体" w:hAnsi="Arial" w:cs="Arial" w:hint="eastAsia"/>
          <w:b/>
          <w:sz w:val="28"/>
          <w:szCs w:val="28"/>
        </w:rPr>
        <w:t>选项</w:t>
      </w:r>
      <w:proofErr w:type="gramStart"/>
      <w:r w:rsidRPr="000B25E0">
        <w:rPr>
          <w:rFonts w:ascii="Arial" w:eastAsia="宋体" w:hAnsi="Arial" w:cs="Arial" w:hint="eastAsia"/>
          <w:b/>
          <w:sz w:val="28"/>
          <w:szCs w:val="28"/>
        </w:rPr>
        <w:t>课各项</w:t>
      </w:r>
      <w:proofErr w:type="gramEnd"/>
      <w:r w:rsidRPr="000B25E0">
        <w:rPr>
          <w:rFonts w:ascii="Arial" w:eastAsia="宋体" w:hAnsi="Arial" w:cs="Arial" w:hint="eastAsia"/>
          <w:b/>
          <w:sz w:val="28"/>
          <w:szCs w:val="28"/>
        </w:rPr>
        <w:t>目内容</w:t>
      </w:r>
      <w:r w:rsidRPr="000B25E0">
        <w:rPr>
          <w:rFonts w:ascii="Arial" w:eastAsia="宋体" w:hAnsi="Calibri" w:cs="Arial" w:hint="eastAsia"/>
          <w:b/>
          <w:sz w:val="28"/>
          <w:szCs w:val="28"/>
        </w:rPr>
        <w:t>（</w:t>
      </w:r>
      <w:r w:rsidRPr="000B25E0">
        <w:rPr>
          <w:rFonts w:ascii="Arial" w:eastAsia="宋体" w:hAnsi="Calibri" w:cs="Arial" w:hint="eastAsia"/>
          <w:b/>
          <w:sz w:val="28"/>
          <w:szCs w:val="28"/>
        </w:rPr>
        <w:t>12</w:t>
      </w:r>
      <w:r w:rsidRPr="000B25E0">
        <w:rPr>
          <w:rFonts w:ascii="Arial" w:eastAsia="宋体" w:hAnsi="Calibri" w:cs="Arial" w:hint="eastAsia"/>
          <w:b/>
          <w:sz w:val="28"/>
          <w:szCs w:val="28"/>
        </w:rPr>
        <w:t>学时）</w:t>
      </w:r>
    </w:p>
    <w:p w14:paraId="6FD06A45" w14:textId="77777777" w:rsidR="000B25E0" w:rsidRPr="000B25E0" w:rsidRDefault="000B25E0" w:rsidP="000B25E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0B25E0">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0B25E0" w:rsidRPr="000B25E0" w14:paraId="63A48012"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989DBD1"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28C2B96B"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51500534"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5E472BD"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8125DC8"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备注 </w:t>
            </w:r>
          </w:p>
        </w:tc>
      </w:tr>
      <w:tr w:rsidR="000B25E0" w:rsidRPr="000B25E0" w14:paraId="071A82E7"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8D21825"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6EF5029A"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养生功法概述 </w:t>
            </w:r>
          </w:p>
        </w:tc>
        <w:tc>
          <w:tcPr>
            <w:tcW w:w="1579" w:type="dxa"/>
            <w:tcBorders>
              <w:top w:val="outset" w:sz="6" w:space="0" w:color="auto"/>
              <w:left w:val="outset" w:sz="6" w:space="0" w:color="auto"/>
              <w:bottom w:val="outset" w:sz="6" w:space="0" w:color="auto"/>
              <w:right w:val="outset" w:sz="6" w:space="0" w:color="auto"/>
            </w:tcBorders>
            <w:vAlign w:val="center"/>
          </w:tcPr>
          <w:p w14:paraId="4871D2DE"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1B3717A" w14:textId="77777777" w:rsidR="000B25E0" w:rsidRPr="000B25E0" w:rsidRDefault="000B25E0" w:rsidP="000B25E0">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C15458F"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5A6FEDAF"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F1C8673"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245EBBE7"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养生竞赛规则及发展史</w:t>
            </w:r>
          </w:p>
        </w:tc>
        <w:tc>
          <w:tcPr>
            <w:tcW w:w="1579" w:type="dxa"/>
            <w:tcBorders>
              <w:top w:val="outset" w:sz="6" w:space="0" w:color="auto"/>
              <w:left w:val="outset" w:sz="6" w:space="0" w:color="auto"/>
              <w:bottom w:val="outset" w:sz="6" w:space="0" w:color="auto"/>
              <w:right w:val="outset" w:sz="6" w:space="0" w:color="auto"/>
            </w:tcBorders>
            <w:vAlign w:val="center"/>
          </w:tcPr>
          <w:p w14:paraId="615B4364"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5352F32" w14:textId="77777777" w:rsidR="000B25E0" w:rsidRPr="000B25E0" w:rsidRDefault="000B25E0" w:rsidP="000B25E0">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46038CD"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0D57B103"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2FE2AEB"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3BC132C4"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养生功法专项身体素质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7DC56849" w14:textId="77777777" w:rsidR="000B25E0" w:rsidRPr="000B25E0" w:rsidRDefault="000B25E0" w:rsidP="000B25E0">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93EA59E"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36463DC"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15212254"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82E7B81"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2A4505A4"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34F62F22" w14:textId="77777777" w:rsidR="000B25E0" w:rsidRPr="000B25E0" w:rsidRDefault="000B25E0" w:rsidP="000B25E0">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37AFAEC"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FF92C30"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7E1C65EF"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32EB1C7"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21670127"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07A3F130" w14:textId="77777777" w:rsidR="000B25E0" w:rsidRPr="000B25E0" w:rsidRDefault="000B25E0" w:rsidP="000B25E0">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76884DF"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FBE2EF6" w14:textId="77777777" w:rsidR="000B25E0" w:rsidRPr="000B25E0" w:rsidRDefault="000B25E0" w:rsidP="000B25E0">
            <w:pPr>
              <w:widowControl/>
              <w:jc w:val="left"/>
              <w:rPr>
                <w:rFonts w:ascii="宋体" w:eastAsia="宋体" w:hAnsi="Calibri" w:cs="宋体"/>
                <w:spacing w:val="1"/>
                <w:kern w:val="0"/>
                <w:sz w:val="24"/>
              </w:rPr>
            </w:pPr>
          </w:p>
        </w:tc>
      </w:tr>
    </w:tbl>
    <w:p w14:paraId="227F8879" w14:textId="77777777" w:rsidR="000B25E0" w:rsidRPr="000B25E0" w:rsidRDefault="000B25E0" w:rsidP="000B25E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0B25E0">
        <w:rPr>
          <w:rFonts w:ascii="宋体" w:eastAsia="宋体" w:hAnsi="Calibri" w:cs="宋体" w:hint="eastAsia"/>
          <w:spacing w:val="1"/>
          <w:kern w:val="0"/>
          <w:sz w:val="24"/>
        </w:rPr>
        <w:t xml:space="preserve"> 9.2 理论课学时安排 </w:t>
      </w:r>
    </w:p>
    <w:tbl>
      <w:tblPr>
        <w:tblW w:w="9451"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0B25E0" w:rsidRPr="000B25E0" w14:paraId="4172F159" w14:textId="77777777" w:rsidTr="00BF5EF3">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11A34D2C"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0D441D7"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9EE9911"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备注</w:t>
            </w:r>
          </w:p>
        </w:tc>
      </w:tr>
      <w:tr w:rsidR="000B25E0" w:rsidRPr="000B25E0" w14:paraId="0A5590C8" w14:textId="77777777" w:rsidTr="00BF5E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1A1CACE" w14:textId="77777777" w:rsidR="000B25E0" w:rsidRPr="000B25E0" w:rsidRDefault="000B25E0" w:rsidP="000B25E0">
            <w:pPr>
              <w:widowControl/>
              <w:spacing w:before="100" w:beforeAutospacing="1" w:after="100" w:afterAutospacing="1"/>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养生概述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6EE3B1E"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养生功法特点与功能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C5ED885"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DA5525D"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7E9131AE" w14:textId="77777777" w:rsidTr="00BF5EF3">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0F9FF7B7" w14:textId="77777777" w:rsidR="000B25E0" w:rsidRPr="000B25E0" w:rsidRDefault="000B25E0" w:rsidP="000B25E0">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6EEDDA8"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中国古代养生概况 </w:t>
            </w:r>
          </w:p>
        </w:tc>
        <w:tc>
          <w:tcPr>
            <w:tcW w:w="2339" w:type="dxa"/>
            <w:vMerge/>
            <w:tcBorders>
              <w:top w:val="outset" w:sz="6" w:space="0" w:color="auto"/>
              <w:left w:val="outset" w:sz="6" w:space="0" w:color="auto"/>
              <w:bottom w:val="outset" w:sz="6" w:space="0" w:color="auto"/>
              <w:right w:val="outset" w:sz="6" w:space="0" w:color="auto"/>
            </w:tcBorders>
            <w:vAlign w:val="center"/>
          </w:tcPr>
          <w:p w14:paraId="14BA3606" w14:textId="77777777" w:rsidR="000B25E0" w:rsidRPr="000B25E0" w:rsidRDefault="000B25E0" w:rsidP="000B25E0">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46B73C4D"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0D8AD16F" w14:textId="77777777" w:rsidTr="00BF5EF3">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232BED01" w14:textId="77777777" w:rsidR="000B25E0" w:rsidRPr="000B25E0" w:rsidRDefault="000B25E0" w:rsidP="000B25E0">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72FFE87"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现代养生概况</w:t>
            </w:r>
          </w:p>
        </w:tc>
        <w:tc>
          <w:tcPr>
            <w:tcW w:w="2339" w:type="dxa"/>
            <w:vMerge/>
            <w:tcBorders>
              <w:top w:val="outset" w:sz="6" w:space="0" w:color="auto"/>
              <w:left w:val="outset" w:sz="6" w:space="0" w:color="auto"/>
              <w:bottom w:val="outset" w:sz="6" w:space="0" w:color="auto"/>
              <w:right w:val="outset" w:sz="6" w:space="0" w:color="auto"/>
            </w:tcBorders>
            <w:vAlign w:val="center"/>
          </w:tcPr>
          <w:p w14:paraId="37445F9A" w14:textId="77777777" w:rsidR="000B25E0" w:rsidRPr="000B25E0" w:rsidRDefault="000B25E0" w:rsidP="000B25E0">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551479A0"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1672EE1A" w14:textId="77777777" w:rsidTr="00BF5EF3">
        <w:trPr>
          <w:trHeight w:val="744"/>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1914ECA" w14:textId="77777777" w:rsidR="000B25E0" w:rsidRPr="000B25E0" w:rsidRDefault="000B25E0" w:rsidP="000B25E0">
            <w:pPr>
              <w:widowControl/>
              <w:spacing w:before="100" w:beforeAutospacing="1" w:after="100" w:afterAutospacing="1"/>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养生规则与裁判法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E886F73"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养生比赛场地及组别</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288757"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4DCD20C"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58A476D7" w14:textId="77777777" w:rsidTr="00BF5EF3">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522529D2" w14:textId="77777777" w:rsidR="000B25E0" w:rsidRPr="000B25E0" w:rsidRDefault="000B25E0" w:rsidP="000B25E0">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6C236FA"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裁判法</w:t>
            </w:r>
          </w:p>
        </w:tc>
        <w:tc>
          <w:tcPr>
            <w:tcW w:w="2339" w:type="dxa"/>
            <w:vMerge/>
            <w:tcBorders>
              <w:top w:val="outset" w:sz="6" w:space="0" w:color="auto"/>
              <w:left w:val="outset" w:sz="6" w:space="0" w:color="auto"/>
              <w:bottom w:val="outset" w:sz="6" w:space="0" w:color="auto"/>
              <w:right w:val="outset" w:sz="6" w:space="0" w:color="auto"/>
            </w:tcBorders>
            <w:vAlign w:val="center"/>
          </w:tcPr>
          <w:p w14:paraId="13C3FEEC" w14:textId="77777777" w:rsidR="000B25E0" w:rsidRPr="000B25E0" w:rsidRDefault="000B25E0" w:rsidP="000B25E0">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61175F00"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75727C94" w14:textId="77777777" w:rsidTr="00BF5EF3">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386FE8E7" w14:textId="77777777" w:rsidR="000B25E0" w:rsidRPr="000B25E0" w:rsidRDefault="000B25E0" w:rsidP="000B25E0">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846B4BE" w14:textId="77777777" w:rsidR="000B25E0" w:rsidRPr="000B25E0" w:rsidRDefault="000B25E0" w:rsidP="000B25E0">
            <w:pPr>
              <w:widowControl/>
              <w:rPr>
                <w:rFonts w:ascii="宋体" w:eastAsia="宋体" w:hAnsi="Calibri" w:cs="宋体"/>
                <w:spacing w:val="1"/>
                <w:kern w:val="0"/>
                <w:sz w:val="24"/>
              </w:rPr>
            </w:pP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0B90BA2A" w14:textId="77777777" w:rsidR="000B25E0" w:rsidRPr="000B25E0" w:rsidRDefault="000B25E0" w:rsidP="000B25E0">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4A428844" w14:textId="77777777" w:rsidR="000B25E0" w:rsidRPr="000B25E0" w:rsidRDefault="000B25E0" w:rsidP="000B25E0">
            <w:pPr>
              <w:widowControl/>
              <w:jc w:val="left"/>
              <w:rPr>
                <w:rFonts w:ascii="宋体" w:eastAsia="宋体" w:hAnsi="Calibri" w:cs="宋体"/>
                <w:spacing w:val="1"/>
                <w:kern w:val="0"/>
                <w:sz w:val="24"/>
              </w:rPr>
            </w:pPr>
          </w:p>
        </w:tc>
      </w:tr>
    </w:tbl>
    <w:p w14:paraId="44223ED7" w14:textId="77777777" w:rsidR="000B25E0" w:rsidRPr="000B25E0" w:rsidRDefault="000B25E0" w:rsidP="000B25E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0B25E0">
        <w:rPr>
          <w:rFonts w:ascii="宋体" w:eastAsia="宋体" w:hAnsi="Calibri" w:cs="宋体" w:hint="eastAsia"/>
          <w:spacing w:val="1"/>
          <w:kern w:val="0"/>
          <w:sz w:val="24"/>
        </w:rPr>
        <w:t xml:space="preserve">  9.3技术课学时分配 </w:t>
      </w:r>
    </w:p>
    <w:tbl>
      <w:tblPr>
        <w:tblW w:w="9652"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0B25E0" w:rsidRPr="000B25E0" w14:paraId="2F74D8E5" w14:textId="77777777" w:rsidTr="00BF5EF3">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70D1885B"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1690B7D"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5EA7AC7"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备注</w:t>
            </w:r>
          </w:p>
        </w:tc>
      </w:tr>
      <w:tr w:rsidR="000B25E0" w:rsidRPr="000B25E0" w14:paraId="2286CD6A" w14:textId="77777777" w:rsidTr="00BF5EF3">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0B1904D"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技术</w:t>
            </w:r>
          </w:p>
          <w:p w14:paraId="26F99BE9"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0DF0D7D"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基本功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8155811"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手型、步型等</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5E04DFC"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91C6CCE"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3D380C13" w14:textId="77777777" w:rsidTr="00BF5EF3">
        <w:trPr>
          <w:trHeight w:val="402"/>
          <w:tblCellSpacing w:w="15" w:type="dxa"/>
          <w:jc w:val="center"/>
        </w:trPr>
        <w:tc>
          <w:tcPr>
            <w:tcW w:w="959" w:type="dxa"/>
            <w:vMerge/>
            <w:tcBorders>
              <w:top w:val="outset" w:sz="6" w:space="0" w:color="auto"/>
              <w:left w:val="outset" w:sz="6" w:space="0" w:color="auto"/>
              <w:bottom w:val="outset" w:sz="6" w:space="0" w:color="auto"/>
              <w:right w:val="outset" w:sz="6" w:space="0" w:color="auto"/>
            </w:tcBorders>
            <w:vAlign w:val="center"/>
          </w:tcPr>
          <w:p w14:paraId="2883264A" w14:textId="77777777" w:rsidR="000B25E0" w:rsidRPr="000B25E0" w:rsidRDefault="000B25E0" w:rsidP="000B25E0">
            <w:pPr>
              <w:widowControl/>
              <w:jc w:val="left"/>
              <w:rPr>
                <w:rFonts w:ascii="宋体" w:eastAsia="宋体" w:hAnsi="Calibri" w:cs="宋体"/>
                <w:spacing w:val="1"/>
                <w:kern w:val="0"/>
                <w:sz w:val="24"/>
              </w:rPr>
            </w:pPr>
          </w:p>
        </w:tc>
        <w:tc>
          <w:tcPr>
            <w:tcW w:w="2317" w:type="dxa"/>
            <w:tcBorders>
              <w:top w:val="outset" w:sz="6" w:space="0" w:color="auto"/>
              <w:left w:val="outset" w:sz="6" w:space="0" w:color="auto"/>
              <w:bottom w:val="outset" w:sz="6" w:space="0" w:color="auto"/>
              <w:right w:val="outset" w:sz="6" w:space="0" w:color="auto"/>
            </w:tcBorders>
            <w:vAlign w:val="center"/>
          </w:tcPr>
          <w:p w14:paraId="4A60A300"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养生功法</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85A00BA"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八段锦</w:t>
            </w:r>
          </w:p>
        </w:tc>
        <w:tc>
          <w:tcPr>
            <w:tcW w:w="2295" w:type="dxa"/>
            <w:gridSpan w:val="2"/>
            <w:tcBorders>
              <w:top w:val="outset" w:sz="6" w:space="0" w:color="auto"/>
              <w:left w:val="outset" w:sz="6" w:space="0" w:color="auto"/>
              <w:bottom w:val="outset" w:sz="6" w:space="0" w:color="auto"/>
              <w:right w:val="outset" w:sz="6" w:space="0" w:color="auto"/>
            </w:tcBorders>
            <w:vAlign w:val="center"/>
          </w:tcPr>
          <w:p w14:paraId="2FDAD595"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6学时</w:t>
            </w:r>
          </w:p>
        </w:tc>
        <w:tc>
          <w:tcPr>
            <w:tcW w:w="1651" w:type="dxa"/>
            <w:tcBorders>
              <w:top w:val="outset" w:sz="6" w:space="0" w:color="auto"/>
              <w:left w:val="outset" w:sz="6" w:space="0" w:color="auto"/>
              <w:bottom w:val="outset" w:sz="6" w:space="0" w:color="auto"/>
              <w:right w:val="outset" w:sz="6" w:space="0" w:color="auto"/>
            </w:tcBorders>
            <w:vAlign w:val="center"/>
          </w:tcPr>
          <w:p w14:paraId="79409243" w14:textId="77777777" w:rsidR="000B25E0" w:rsidRPr="000B25E0" w:rsidRDefault="000B25E0" w:rsidP="000B25E0">
            <w:pPr>
              <w:widowControl/>
              <w:jc w:val="left"/>
              <w:rPr>
                <w:rFonts w:ascii="宋体" w:eastAsia="宋体" w:hAnsi="Calibri" w:cs="宋体"/>
                <w:spacing w:val="1"/>
                <w:kern w:val="0"/>
                <w:sz w:val="24"/>
              </w:rPr>
            </w:pPr>
          </w:p>
        </w:tc>
      </w:tr>
    </w:tbl>
    <w:p w14:paraId="2A3418EF"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p>
    <w:p w14:paraId="2BAD4F1C"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学习内容二 养生 1</w:t>
      </w:r>
    </w:p>
    <w:p w14:paraId="32C0A72F"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lastRenderedPageBreak/>
        <w:t>【学习目标】</w:t>
      </w:r>
    </w:p>
    <w:p w14:paraId="23DA90E4"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12F53400"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63D8AE2D"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养生功法的一般规律和特点，使学生获得养生功法的基本技术、基本技能和基础理论知识，并了解养生功法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0A9EEDCF" w14:textId="77777777" w:rsidR="000B25E0" w:rsidRPr="000B25E0" w:rsidRDefault="000B25E0" w:rsidP="000B25E0">
      <w:pPr>
        <w:spacing w:line="440" w:lineRule="exact"/>
        <w:ind w:firstLineChars="200" w:firstLine="500"/>
        <w:rPr>
          <w:rFonts w:ascii="宋体" w:eastAsia="宋体" w:hAnsi="宋体" w:cs="Times New Roman"/>
          <w:b/>
          <w:sz w:val="24"/>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0E15E28A"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【学习内容】</w:t>
      </w:r>
    </w:p>
    <w:p w14:paraId="78A06E6B"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t>第一章  基本技术(26学时)</w:t>
      </w:r>
    </w:p>
    <w:p w14:paraId="3DB8F81B"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7C12F9BF" w14:textId="77777777" w:rsidR="000B25E0" w:rsidRPr="000B25E0" w:rsidRDefault="000B25E0" w:rsidP="000B25E0">
      <w:pPr>
        <w:snapToGrid w:val="0"/>
        <w:spacing w:line="360" w:lineRule="auto"/>
        <w:ind w:firstLineChars="200" w:firstLine="482"/>
        <w:rPr>
          <w:rFonts w:ascii="宋体" w:eastAsia="宋体" w:hAnsi="宋体" w:cs="Arial"/>
          <w:sz w:val="24"/>
        </w:rPr>
      </w:pPr>
      <w:r w:rsidRPr="000B25E0">
        <w:rPr>
          <w:rFonts w:ascii="宋体" w:eastAsia="宋体" w:hAnsi="宋体" w:cs="宋体" w:hint="eastAsia"/>
          <w:b/>
          <w:sz w:val="24"/>
        </w:rPr>
        <w:t>主要教学内容：</w:t>
      </w:r>
    </w:p>
    <w:p w14:paraId="7F0421B3"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预备势</w:t>
      </w:r>
    </w:p>
    <w:p w14:paraId="5C8DC00B"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第一式</w:t>
      </w:r>
      <w:r w:rsidRPr="000B25E0">
        <w:rPr>
          <w:rFonts w:ascii="宋体" w:eastAsia="宋体" w:hAnsi="宋体" w:cs="Arial"/>
          <w:sz w:val="24"/>
        </w:rPr>
        <w:t xml:space="preserve">  </w:t>
      </w:r>
      <w:r w:rsidRPr="000B25E0">
        <w:rPr>
          <w:rFonts w:ascii="宋体" w:eastAsia="宋体" w:hAnsi="宋体" w:cs="Arial" w:hint="eastAsia"/>
          <w:sz w:val="24"/>
        </w:rPr>
        <w:t>两手托天理三焦</w:t>
      </w:r>
      <w:r w:rsidRPr="000B25E0">
        <w:rPr>
          <w:rFonts w:ascii="宋体" w:eastAsia="宋体" w:hAnsi="宋体" w:cs="Arial"/>
          <w:sz w:val="24"/>
        </w:rPr>
        <w:t xml:space="preserve">    </w:t>
      </w:r>
    </w:p>
    <w:p w14:paraId="450D551D"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第二式</w:t>
      </w:r>
      <w:r w:rsidRPr="000B25E0">
        <w:rPr>
          <w:rFonts w:ascii="宋体" w:eastAsia="宋体" w:hAnsi="宋体" w:cs="Arial"/>
          <w:sz w:val="24"/>
        </w:rPr>
        <w:t xml:space="preserve">  </w:t>
      </w:r>
      <w:r w:rsidRPr="000B25E0">
        <w:rPr>
          <w:rFonts w:ascii="宋体" w:eastAsia="宋体" w:hAnsi="宋体" w:cs="Arial" w:hint="eastAsia"/>
          <w:sz w:val="24"/>
        </w:rPr>
        <w:t>左右开弓似射雕</w:t>
      </w:r>
    </w:p>
    <w:p w14:paraId="2B8721B0"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第三式</w:t>
      </w:r>
      <w:r w:rsidRPr="000B25E0">
        <w:rPr>
          <w:rFonts w:ascii="宋体" w:eastAsia="宋体" w:hAnsi="宋体" w:cs="Arial"/>
          <w:sz w:val="24"/>
        </w:rPr>
        <w:t xml:space="preserve">  </w:t>
      </w:r>
      <w:r w:rsidRPr="000B25E0">
        <w:rPr>
          <w:rFonts w:ascii="宋体" w:eastAsia="宋体" w:hAnsi="宋体" w:cs="Arial" w:hint="eastAsia"/>
          <w:sz w:val="24"/>
        </w:rPr>
        <w:t>调理脾胃须单举</w:t>
      </w:r>
      <w:r w:rsidRPr="000B25E0">
        <w:rPr>
          <w:rFonts w:ascii="宋体" w:eastAsia="宋体" w:hAnsi="宋体" w:cs="Arial"/>
          <w:sz w:val="24"/>
        </w:rPr>
        <w:t xml:space="preserve">    </w:t>
      </w:r>
    </w:p>
    <w:p w14:paraId="7A2422D8"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lastRenderedPageBreak/>
        <w:t>第四式</w:t>
      </w:r>
      <w:r w:rsidRPr="000B25E0">
        <w:rPr>
          <w:rFonts w:ascii="宋体" w:eastAsia="宋体" w:hAnsi="宋体" w:cs="Arial"/>
          <w:sz w:val="24"/>
        </w:rPr>
        <w:t xml:space="preserve">  </w:t>
      </w:r>
      <w:r w:rsidRPr="000B25E0">
        <w:rPr>
          <w:rFonts w:ascii="宋体" w:eastAsia="宋体" w:hAnsi="宋体" w:cs="Arial" w:hint="eastAsia"/>
          <w:sz w:val="24"/>
        </w:rPr>
        <w:t>五劳七伤往后瞧</w:t>
      </w:r>
    </w:p>
    <w:p w14:paraId="5759A45D"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第五式</w:t>
      </w:r>
      <w:r w:rsidRPr="000B25E0">
        <w:rPr>
          <w:rFonts w:ascii="宋体" w:eastAsia="宋体" w:hAnsi="宋体" w:cs="Arial"/>
          <w:sz w:val="24"/>
        </w:rPr>
        <w:t xml:space="preserve">  </w:t>
      </w:r>
      <w:r w:rsidRPr="000B25E0">
        <w:rPr>
          <w:rFonts w:ascii="宋体" w:eastAsia="宋体" w:hAnsi="宋体" w:cs="Arial" w:hint="eastAsia"/>
          <w:sz w:val="24"/>
        </w:rPr>
        <w:t>摇头摆尾去心火</w:t>
      </w:r>
      <w:r w:rsidRPr="000B25E0">
        <w:rPr>
          <w:rFonts w:ascii="宋体" w:eastAsia="宋体" w:hAnsi="宋体" w:cs="Arial"/>
          <w:sz w:val="24"/>
        </w:rPr>
        <w:t xml:space="preserve">    </w:t>
      </w:r>
    </w:p>
    <w:p w14:paraId="25037335"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第六式</w:t>
      </w:r>
      <w:r w:rsidRPr="000B25E0">
        <w:rPr>
          <w:rFonts w:ascii="宋体" w:eastAsia="宋体" w:hAnsi="宋体" w:cs="Arial"/>
          <w:sz w:val="24"/>
        </w:rPr>
        <w:t xml:space="preserve">  </w:t>
      </w:r>
      <w:r w:rsidRPr="000B25E0">
        <w:rPr>
          <w:rFonts w:ascii="宋体" w:eastAsia="宋体" w:hAnsi="宋体" w:cs="Arial" w:hint="eastAsia"/>
          <w:sz w:val="24"/>
        </w:rPr>
        <w:t>两手攀足固肾腰</w:t>
      </w:r>
    </w:p>
    <w:p w14:paraId="10676F8E"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第七式</w:t>
      </w:r>
      <w:r w:rsidRPr="000B25E0">
        <w:rPr>
          <w:rFonts w:ascii="宋体" w:eastAsia="宋体" w:hAnsi="宋体" w:cs="Arial"/>
          <w:sz w:val="24"/>
        </w:rPr>
        <w:t xml:space="preserve">  </w:t>
      </w:r>
      <w:r w:rsidRPr="000B25E0">
        <w:rPr>
          <w:rFonts w:ascii="宋体" w:eastAsia="宋体" w:hAnsi="宋体" w:cs="Arial" w:hint="eastAsia"/>
          <w:sz w:val="24"/>
        </w:rPr>
        <w:t>攒拳怒目增气力</w:t>
      </w:r>
      <w:r w:rsidRPr="000B25E0">
        <w:rPr>
          <w:rFonts w:ascii="宋体" w:eastAsia="宋体" w:hAnsi="宋体" w:cs="Arial"/>
          <w:sz w:val="24"/>
        </w:rPr>
        <w:t xml:space="preserve">    </w:t>
      </w:r>
    </w:p>
    <w:p w14:paraId="6B2F5002"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第八式</w:t>
      </w:r>
      <w:r w:rsidRPr="000B25E0">
        <w:rPr>
          <w:rFonts w:ascii="宋体" w:eastAsia="宋体" w:hAnsi="宋体" w:cs="Arial"/>
          <w:sz w:val="24"/>
        </w:rPr>
        <w:t xml:space="preserve">  </w:t>
      </w:r>
      <w:r w:rsidRPr="000B25E0">
        <w:rPr>
          <w:rFonts w:ascii="宋体" w:eastAsia="宋体" w:hAnsi="宋体" w:cs="Arial" w:hint="eastAsia"/>
          <w:sz w:val="24"/>
        </w:rPr>
        <w:t>背后七颠百病消</w:t>
      </w:r>
    </w:p>
    <w:p w14:paraId="111D4A20"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收势</w:t>
      </w:r>
    </w:p>
    <w:p w14:paraId="2BB16898" w14:textId="77777777" w:rsidR="000B25E0" w:rsidRPr="000B25E0" w:rsidRDefault="000B25E0" w:rsidP="000B25E0">
      <w:pPr>
        <w:snapToGrid w:val="0"/>
        <w:spacing w:line="360" w:lineRule="auto"/>
        <w:ind w:firstLineChars="200" w:firstLine="482"/>
        <w:rPr>
          <w:rFonts w:ascii="宋体" w:eastAsia="宋体" w:hAnsi="宋体" w:cs="Arial"/>
          <w:sz w:val="24"/>
        </w:rPr>
      </w:pPr>
      <w:r w:rsidRPr="000B25E0">
        <w:rPr>
          <w:rFonts w:ascii="宋体" w:eastAsia="宋体" w:hAnsi="宋体" w:cs="Arial"/>
          <w:b/>
          <w:bCs/>
          <w:sz w:val="24"/>
        </w:rPr>
        <w:t>教学目的及要求：</w:t>
      </w:r>
      <w:r w:rsidRPr="000B25E0">
        <w:rPr>
          <w:rFonts w:ascii="宋体" w:eastAsia="宋体" w:hAnsi="宋体" w:cs="Arial" w:hint="eastAsia"/>
          <w:bCs/>
          <w:sz w:val="24"/>
        </w:rPr>
        <w:t>掌握健身气功八段锦功法。</w:t>
      </w:r>
    </w:p>
    <w:p w14:paraId="5006672F" w14:textId="77777777" w:rsidR="000B25E0" w:rsidRPr="000B25E0" w:rsidRDefault="000B25E0" w:rsidP="000B25E0">
      <w:pPr>
        <w:snapToGrid w:val="0"/>
        <w:spacing w:line="360" w:lineRule="auto"/>
        <w:ind w:firstLineChars="200" w:firstLine="482"/>
        <w:rPr>
          <w:rFonts w:ascii="宋体" w:eastAsia="宋体" w:hAnsi="宋体" w:cs="Arial"/>
          <w:sz w:val="24"/>
        </w:rPr>
      </w:pPr>
      <w:r w:rsidRPr="000B25E0">
        <w:rPr>
          <w:rFonts w:ascii="宋体" w:eastAsia="宋体" w:hAnsi="宋体" w:cs="Arial"/>
          <w:b/>
          <w:bCs/>
          <w:sz w:val="24"/>
        </w:rPr>
        <w:t>教学重点及难点：</w:t>
      </w:r>
      <w:r w:rsidRPr="000B25E0">
        <w:rPr>
          <w:rFonts w:ascii="宋体" w:eastAsia="宋体" w:hAnsi="宋体" w:cs="Arial" w:hint="eastAsia"/>
          <w:bCs/>
          <w:sz w:val="24"/>
        </w:rPr>
        <w:t>动作、呼吸与意念的配合以及摇头摆尾去心火。</w:t>
      </w:r>
    </w:p>
    <w:p w14:paraId="20B1595B" w14:textId="77777777" w:rsidR="000B25E0" w:rsidRPr="000B25E0" w:rsidRDefault="000B25E0" w:rsidP="000B25E0">
      <w:pPr>
        <w:spacing w:line="360" w:lineRule="auto"/>
        <w:rPr>
          <w:rFonts w:ascii="宋体" w:eastAsia="宋体" w:hAnsi="宋体" w:cs="Times New Roman"/>
          <w:sz w:val="24"/>
        </w:rPr>
      </w:pPr>
    </w:p>
    <w:p w14:paraId="4EBDC562"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t>第二章  身体素质（6学时）</w:t>
      </w:r>
    </w:p>
    <w:p w14:paraId="614A2BD2" w14:textId="77777777" w:rsidR="000B25E0" w:rsidRPr="000B25E0" w:rsidRDefault="000B25E0" w:rsidP="000B25E0">
      <w:pPr>
        <w:spacing w:line="360" w:lineRule="auto"/>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758014B7"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2.1速度素质、耐力素质、灵敏素质。</w:t>
      </w:r>
    </w:p>
    <w:p w14:paraId="4DA7B33B"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宋体" w:eastAsia="宋体" w:hAnsi="宋体" w:cs="宋体" w:hint="eastAsia"/>
          <w:sz w:val="24"/>
        </w:rPr>
        <w:t>2.2教学目的及要求：使学生掌握足球运动需要的基本身体素质。</w:t>
      </w:r>
      <w:r w:rsidRPr="000B25E0">
        <w:rPr>
          <w:rFonts w:ascii="Calibri" w:eastAsia="宋体" w:hAnsi="Calibri" w:cs="Times New Roman" w:hint="eastAsia"/>
          <w:sz w:val="24"/>
        </w:rPr>
        <w:t xml:space="preserve"> </w:t>
      </w:r>
    </w:p>
    <w:p w14:paraId="3593B6ED"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bCs/>
          <w:sz w:val="24"/>
        </w:rPr>
        <w:t>教学重点及难点</w:t>
      </w:r>
      <w:r w:rsidRPr="000B25E0">
        <w:rPr>
          <w:rFonts w:ascii="Calibri" w:eastAsia="宋体" w:hAnsi="Calibri" w:cs="Times New Roman" w:hint="eastAsia"/>
          <w:sz w:val="24"/>
        </w:rPr>
        <w:t>：身体耐力、肌肉力量、柔韧性。</w:t>
      </w:r>
    </w:p>
    <w:p w14:paraId="7EDD696D"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学习内容三 养生 2</w:t>
      </w:r>
    </w:p>
    <w:p w14:paraId="0F2277CE"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385AE165"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1185A514"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4F1AAB62"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lastRenderedPageBreak/>
        <w:t>3.</w:t>
      </w:r>
      <w:r w:rsidRPr="000B25E0">
        <w:rPr>
          <w:rFonts w:ascii="宋体" w:eastAsia="宋体" w:hAnsi="宋体" w:cs="仿宋_GB2312" w:hint="eastAsia"/>
          <w:sz w:val="24"/>
        </w:rPr>
        <w:t>使学生能够掌握养生功法的一般规律和特点，使学生获得养生功法的基本技术、基本技能和基础理论知识，并了解养生功法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4D2DB481" w14:textId="77777777" w:rsidR="000B25E0" w:rsidRPr="000B25E0" w:rsidRDefault="000B25E0" w:rsidP="000B25E0">
      <w:pPr>
        <w:spacing w:line="440" w:lineRule="exact"/>
        <w:ind w:firstLineChars="200" w:firstLine="500"/>
        <w:rPr>
          <w:rFonts w:ascii="宋体" w:eastAsia="宋体" w:hAnsi="宋体" w:cs="Times New Roman"/>
          <w:b/>
          <w:sz w:val="24"/>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6D7293E6" w14:textId="77777777" w:rsidR="000B25E0" w:rsidRPr="000B25E0" w:rsidRDefault="000B25E0" w:rsidP="000B25E0">
      <w:pPr>
        <w:spacing w:line="440" w:lineRule="exact"/>
        <w:ind w:firstLineChars="200" w:firstLine="482"/>
        <w:rPr>
          <w:rFonts w:ascii="宋体" w:eastAsia="宋体" w:hAnsi="宋体" w:cs="Times New Roman"/>
          <w:b/>
          <w:sz w:val="24"/>
        </w:rPr>
      </w:pPr>
      <w:r w:rsidRPr="000B25E0">
        <w:rPr>
          <w:rFonts w:ascii="宋体" w:eastAsia="宋体" w:hAnsi="宋体" w:cs="Times New Roman" w:hint="eastAsia"/>
          <w:b/>
          <w:sz w:val="24"/>
        </w:rPr>
        <w:t>【学习内容】</w:t>
      </w:r>
    </w:p>
    <w:p w14:paraId="5FA0D2FE"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t>第一章  基本技术(28学时)</w:t>
      </w:r>
    </w:p>
    <w:p w14:paraId="37CB3E9A"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0B2D7C1B" w14:textId="77777777" w:rsidR="000B25E0" w:rsidRPr="000B25E0" w:rsidRDefault="000B25E0" w:rsidP="000B25E0">
      <w:pPr>
        <w:snapToGrid w:val="0"/>
        <w:spacing w:line="360" w:lineRule="auto"/>
        <w:ind w:firstLineChars="200" w:firstLine="482"/>
        <w:rPr>
          <w:rFonts w:ascii="宋体" w:eastAsia="宋体" w:hAnsi="宋体" w:cs="Arial"/>
          <w:sz w:val="24"/>
        </w:rPr>
      </w:pPr>
      <w:r w:rsidRPr="000B25E0">
        <w:rPr>
          <w:rFonts w:ascii="宋体" w:eastAsia="宋体" w:hAnsi="宋体" w:cs="宋体" w:hint="eastAsia"/>
          <w:b/>
          <w:sz w:val="24"/>
        </w:rPr>
        <w:t>主要教学内容：</w:t>
      </w:r>
    </w:p>
    <w:p w14:paraId="6AFEC955"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第一式</w:t>
      </w:r>
      <w:r w:rsidRPr="000B25E0">
        <w:rPr>
          <w:rFonts w:ascii="宋体" w:eastAsia="宋体" w:hAnsi="宋体" w:cs="Arial"/>
          <w:sz w:val="24"/>
        </w:rPr>
        <w:t xml:space="preserve"> </w:t>
      </w:r>
      <w:r w:rsidRPr="000B25E0">
        <w:rPr>
          <w:rFonts w:ascii="宋体" w:eastAsia="宋体" w:hAnsi="宋体" w:cs="Arial" w:hint="eastAsia"/>
          <w:sz w:val="24"/>
        </w:rPr>
        <w:t>韦驮献杵第一势</w:t>
      </w:r>
    </w:p>
    <w:p w14:paraId="4B7EC48E"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第二式</w:t>
      </w:r>
      <w:r w:rsidRPr="000B25E0">
        <w:rPr>
          <w:rFonts w:ascii="宋体" w:eastAsia="宋体" w:hAnsi="宋体" w:cs="Arial"/>
          <w:sz w:val="24"/>
        </w:rPr>
        <w:t xml:space="preserve"> </w:t>
      </w:r>
      <w:r w:rsidRPr="000B25E0">
        <w:rPr>
          <w:rFonts w:ascii="宋体" w:eastAsia="宋体" w:hAnsi="宋体" w:cs="Arial" w:hint="eastAsia"/>
          <w:sz w:val="24"/>
        </w:rPr>
        <w:t>韦驮献杵第二势</w:t>
      </w:r>
    </w:p>
    <w:p w14:paraId="59474D08"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第三式</w:t>
      </w:r>
      <w:r w:rsidRPr="000B25E0">
        <w:rPr>
          <w:rFonts w:ascii="宋体" w:eastAsia="宋体" w:hAnsi="宋体" w:cs="Arial"/>
          <w:sz w:val="24"/>
        </w:rPr>
        <w:t xml:space="preserve"> </w:t>
      </w:r>
      <w:r w:rsidRPr="000B25E0">
        <w:rPr>
          <w:rFonts w:ascii="宋体" w:eastAsia="宋体" w:hAnsi="宋体" w:cs="Arial" w:hint="eastAsia"/>
          <w:sz w:val="24"/>
        </w:rPr>
        <w:t>韦驮献杵第三势</w:t>
      </w:r>
    </w:p>
    <w:p w14:paraId="1F6316C2"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第四式</w:t>
      </w:r>
      <w:r w:rsidRPr="000B25E0">
        <w:rPr>
          <w:rFonts w:ascii="宋体" w:eastAsia="宋体" w:hAnsi="宋体" w:cs="Arial"/>
          <w:sz w:val="24"/>
        </w:rPr>
        <w:t xml:space="preserve"> </w:t>
      </w:r>
      <w:r w:rsidRPr="000B25E0">
        <w:rPr>
          <w:rFonts w:ascii="宋体" w:eastAsia="宋体" w:hAnsi="宋体" w:cs="Arial" w:hint="eastAsia"/>
          <w:sz w:val="24"/>
        </w:rPr>
        <w:t>摘星换斗势</w:t>
      </w:r>
    </w:p>
    <w:p w14:paraId="376CC4B4"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第五式</w:t>
      </w:r>
      <w:r w:rsidRPr="000B25E0">
        <w:rPr>
          <w:rFonts w:ascii="宋体" w:eastAsia="宋体" w:hAnsi="宋体" w:cs="Arial"/>
          <w:sz w:val="24"/>
        </w:rPr>
        <w:t xml:space="preserve"> </w:t>
      </w:r>
      <w:r w:rsidRPr="000B25E0">
        <w:rPr>
          <w:rFonts w:ascii="宋体" w:eastAsia="宋体" w:hAnsi="宋体" w:cs="Arial" w:hint="eastAsia"/>
          <w:sz w:val="24"/>
        </w:rPr>
        <w:t>倒拽九牛尾势</w:t>
      </w:r>
    </w:p>
    <w:p w14:paraId="62C2F804"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第六式</w:t>
      </w:r>
      <w:r w:rsidRPr="000B25E0">
        <w:rPr>
          <w:rFonts w:ascii="宋体" w:eastAsia="宋体" w:hAnsi="宋体" w:cs="Arial"/>
          <w:sz w:val="24"/>
        </w:rPr>
        <w:t xml:space="preserve"> </w:t>
      </w:r>
      <w:r w:rsidRPr="000B25E0">
        <w:rPr>
          <w:rFonts w:ascii="宋体" w:eastAsia="宋体" w:hAnsi="宋体" w:cs="Arial" w:hint="eastAsia"/>
          <w:sz w:val="24"/>
        </w:rPr>
        <w:t>出爪亮翅势</w:t>
      </w:r>
    </w:p>
    <w:p w14:paraId="6CB1AE5B"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第七式</w:t>
      </w:r>
      <w:r w:rsidRPr="000B25E0">
        <w:rPr>
          <w:rFonts w:ascii="宋体" w:eastAsia="宋体" w:hAnsi="宋体" w:cs="Arial"/>
          <w:sz w:val="24"/>
        </w:rPr>
        <w:t xml:space="preserve"> </w:t>
      </w:r>
      <w:proofErr w:type="gramStart"/>
      <w:r w:rsidRPr="000B25E0">
        <w:rPr>
          <w:rFonts w:ascii="宋体" w:eastAsia="宋体" w:hAnsi="宋体" w:cs="Arial" w:hint="eastAsia"/>
          <w:sz w:val="24"/>
        </w:rPr>
        <w:t>九鬼拔</w:t>
      </w:r>
      <w:proofErr w:type="gramEnd"/>
      <w:r w:rsidRPr="000B25E0">
        <w:rPr>
          <w:rFonts w:ascii="宋体" w:eastAsia="宋体" w:hAnsi="宋体" w:cs="Arial" w:hint="eastAsia"/>
          <w:sz w:val="24"/>
        </w:rPr>
        <w:t>马刀势</w:t>
      </w:r>
    </w:p>
    <w:p w14:paraId="777AD164"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第八式</w:t>
      </w:r>
      <w:r w:rsidRPr="000B25E0">
        <w:rPr>
          <w:rFonts w:ascii="宋体" w:eastAsia="宋体" w:hAnsi="宋体" w:cs="Arial"/>
          <w:sz w:val="24"/>
        </w:rPr>
        <w:t xml:space="preserve"> </w:t>
      </w:r>
      <w:r w:rsidRPr="000B25E0">
        <w:rPr>
          <w:rFonts w:ascii="宋体" w:eastAsia="宋体" w:hAnsi="宋体" w:cs="Arial" w:hint="eastAsia"/>
          <w:sz w:val="24"/>
        </w:rPr>
        <w:t>三盘落地势</w:t>
      </w:r>
    </w:p>
    <w:p w14:paraId="3DBFDEBE"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第九式</w:t>
      </w:r>
      <w:r w:rsidRPr="000B25E0">
        <w:rPr>
          <w:rFonts w:ascii="宋体" w:eastAsia="宋体" w:hAnsi="宋体" w:cs="Arial"/>
          <w:sz w:val="24"/>
        </w:rPr>
        <w:t xml:space="preserve"> </w:t>
      </w:r>
      <w:r w:rsidRPr="000B25E0">
        <w:rPr>
          <w:rFonts w:ascii="宋体" w:eastAsia="宋体" w:hAnsi="宋体" w:cs="Arial" w:hint="eastAsia"/>
          <w:sz w:val="24"/>
        </w:rPr>
        <w:t>青龙探爪势</w:t>
      </w:r>
    </w:p>
    <w:p w14:paraId="04D0EAC8"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第十式</w:t>
      </w:r>
      <w:r w:rsidRPr="000B25E0">
        <w:rPr>
          <w:rFonts w:ascii="宋体" w:eastAsia="宋体" w:hAnsi="宋体" w:cs="Arial"/>
          <w:sz w:val="24"/>
        </w:rPr>
        <w:t xml:space="preserve"> </w:t>
      </w:r>
      <w:r w:rsidRPr="000B25E0">
        <w:rPr>
          <w:rFonts w:ascii="宋体" w:eastAsia="宋体" w:hAnsi="宋体" w:cs="Arial" w:hint="eastAsia"/>
          <w:sz w:val="24"/>
        </w:rPr>
        <w:t>卧虎扑食势</w:t>
      </w:r>
    </w:p>
    <w:p w14:paraId="5DCBA045"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第十一式</w:t>
      </w:r>
      <w:r w:rsidRPr="000B25E0">
        <w:rPr>
          <w:rFonts w:ascii="宋体" w:eastAsia="宋体" w:hAnsi="宋体" w:cs="Arial"/>
          <w:sz w:val="24"/>
        </w:rPr>
        <w:t xml:space="preserve"> </w:t>
      </w:r>
      <w:r w:rsidRPr="000B25E0">
        <w:rPr>
          <w:rFonts w:ascii="宋体" w:eastAsia="宋体" w:hAnsi="宋体" w:cs="Arial" w:hint="eastAsia"/>
          <w:sz w:val="24"/>
        </w:rPr>
        <w:t>打躬势</w:t>
      </w:r>
    </w:p>
    <w:p w14:paraId="67D057F2"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第十二式</w:t>
      </w:r>
      <w:r w:rsidRPr="000B25E0">
        <w:rPr>
          <w:rFonts w:ascii="宋体" w:eastAsia="宋体" w:hAnsi="宋体" w:cs="Arial"/>
          <w:sz w:val="24"/>
        </w:rPr>
        <w:t xml:space="preserve"> </w:t>
      </w:r>
      <w:r w:rsidRPr="000B25E0">
        <w:rPr>
          <w:rFonts w:ascii="宋体" w:eastAsia="宋体" w:hAnsi="宋体" w:cs="Arial" w:hint="eastAsia"/>
          <w:sz w:val="24"/>
        </w:rPr>
        <w:t>掉尾势</w:t>
      </w:r>
    </w:p>
    <w:p w14:paraId="3ECAD9CC"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sz w:val="24"/>
        </w:rPr>
        <w:t>本章教学目的及要求</w:t>
      </w:r>
      <w:r w:rsidRPr="000B25E0">
        <w:rPr>
          <w:rFonts w:ascii="Calibri" w:eastAsia="宋体" w:hAnsi="Calibri" w:cs="Times New Roman" w:hint="eastAsia"/>
          <w:sz w:val="24"/>
        </w:rPr>
        <w:t>：使学生掌握养生功法基本技术要领，并能够熟练均匀练习技术动作。</w:t>
      </w:r>
      <w:r w:rsidRPr="000B25E0">
        <w:rPr>
          <w:rFonts w:ascii="Calibri" w:eastAsia="宋体" w:hAnsi="Calibri" w:cs="Times New Roman" w:hint="eastAsia"/>
          <w:sz w:val="24"/>
        </w:rPr>
        <w:t xml:space="preserve"> </w:t>
      </w:r>
    </w:p>
    <w:p w14:paraId="07123CC2" w14:textId="77777777" w:rsidR="000B25E0" w:rsidRPr="000B25E0" w:rsidRDefault="000B25E0" w:rsidP="000B25E0">
      <w:pPr>
        <w:adjustRightInd w:val="0"/>
        <w:snapToGrid w:val="0"/>
        <w:spacing w:line="500" w:lineRule="exact"/>
        <w:ind w:firstLineChars="200" w:firstLine="482"/>
        <w:rPr>
          <w:rFonts w:ascii="宋体" w:eastAsia="宋体" w:hAnsi="宋体" w:cs="Times New Roman"/>
          <w:sz w:val="24"/>
        </w:rPr>
      </w:pPr>
      <w:r w:rsidRPr="000B25E0">
        <w:rPr>
          <w:rFonts w:ascii="Calibri" w:eastAsia="宋体" w:hAnsi="Calibri" w:cs="Times New Roman" w:hint="eastAsia"/>
          <w:b/>
          <w:sz w:val="24"/>
        </w:rPr>
        <w:t>本章教学重点及难点</w:t>
      </w:r>
      <w:r w:rsidRPr="000B25E0">
        <w:rPr>
          <w:rFonts w:ascii="Calibri" w:eastAsia="宋体" w:hAnsi="Calibri" w:cs="Times New Roman" w:hint="eastAsia"/>
          <w:sz w:val="24"/>
        </w:rPr>
        <w:t>：掌握养生基本技术要领、动作发力与放松时机。</w:t>
      </w:r>
      <w:r w:rsidRPr="000B25E0">
        <w:rPr>
          <w:rFonts w:ascii="宋体" w:eastAsia="宋体" w:hAnsi="宋体" w:cs="Times New Roman"/>
          <w:sz w:val="24"/>
        </w:rPr>
        <w:t xml:space="preserve"> </w:t>
      </w:r>
    </w:p>
    <w:p w14:paraId="61B18331" w14:textId="77777777" w:rsidR="000B25E0" w:rsidRPr="000B25E0" w:rsidRDefault="000B25E0" w:rsidP="000B25E0">
      <w:pPr>
        <w:adjustRightInd w:val="0"/>
        <w:snapToGrid w:val="0"/>
        <w:spacing w:line="500" w:lineRule="exact"/>
        <w:ind w:firstLineChars="200" w:firstLine="562"/>
        <w:jc w:val="center"/>
        <w:rPr>
          <w:rFonts w:ascii="Arial" w:eastAsia="宋体" w:hAnsi="Arial" w:cs="Arial"/>
          <w:b/>
          <w:sz w:val="28"/>
          <w:szCs w:val="28"/>
        </w:rPr>
      </w:pPr>
      <w:r w:rsidRPr="000B25E0">
        <w:rPr>
          <w:rFonts w:ascii="宋体" w:eastAsia="宋体" w:hAnsi="宋体" w:cs="Times New Roman" w:hint="eastAsia"/>
          <w:b/>
          <w:sz w:val="28"/>
          <w:szCs w:val="28"/>
        </w:rPr>
        <w:lastRenderedPageBreak/>
        <w:t xml:space="preserve">第二章  </w:t>
      </w:r>
      <w:r w:rsidRPr="000B25E0">
        <w:rPr>
          <w:rFonts w:ascii="Arial" w:eastAsia="宋体" w:hAnsi="Arial" w:cs="Arial"/>
          <w:b/>
          <w:sz w:val="28"/>
          <w:szCs w:val="28"/>
        </w:rPr>
        <w:t>大</w:t>
      </w:r>
      <w:r w:rsidRPr="000B25E0">
        <w:rPr>
          <w:rFonts w:ascii="Arial" w:eastAsia="宋体" w:hAnsi="Calibri" w:cs="Arial" w:hint="eastAsia"/>
          <w:b/>
          <w:sz w:val="28"/>
          <w:szCs w:val="28"/>
        </w:rPr>
        <w:t>学生体质健康测评（</w:t>
      </w:r>
      <w:r w:rsidRPr="000B25E0">
        <w:rPr>
          <w:rFonts w:ascii="Arial" w:eastAsia="宋体" w:hAnsi="Calibri" w:cs="Arial" w:hint="eastAsia"/>
          <w:b/>
          <w:sz w:val="28"/>
          <w:szCs w:val="28"/>
        </w:rPr>
        <w:t>4</w:t>
      </w:r>
      <w:r w:rsidRPr="000B25E0">
        <w:rPr>
          <w:rFonts w:ascii="Arial" w:eastAsia="宋体" w:hAnsi="Calibri" w:cs="Arial" w:hint="eastAsia"/>
          <w:b/>
          <w:sz w:val="28"/>
          <w:szCs w:val="28"/>
        </w:rPr>
        <w:t>学时）</w:t>
      </w:r>
    </w:p>
    <w:p w14:paraId="7202C8C9"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6FDDCCFD"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2.1 《国家学生体质健康标准》实施说明</w:t>
      </w:r>
    </w:p>
    <w:p w14:paraId="2B0DFD6C"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2.2 《国家学生体质健康标准》测试评分表</w:t>
      </w:r>
    </w:p>
    <w:p w14:paraId="52BFE748"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使学生了解体质健康的主要内容及要求。</w:t>
      </w:r>
    </w:p>
    <w:p w14:paraId="2718A733" w14:textId="77777777" w:rsidR="000B25E0" w:rsidRPr="000B25E0" w:rsidRDefault="000B25E0" w:rsidP="000B25E0">
      <w:pPr>
        <w:spacing w:line="360" w:lineRule="auto"/>
        <w:ind w:firstLineChars="196" w:firstLine="472"/>
        <w:rPr>
          <w:rFonts w:ascii="宋体" w:eastAsia="宋体" w:hAnsi="宋体" w:cs="宋体"/>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学生体质健康标准的重要性；如何激发学生锻炼身体的积极性和自觉性。</w:t>
      </w:r>
    </w:p>
    <w:p w14:paraId="77D31489"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学习内容四 养生 3</w:t>
      </w:r>
    </w:p>
    <w:p w14:paraId="77C7B0C5"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42D57013"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11396225"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6176E5BA"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养生功法的一般规律和特点，使学生获得养生功法的基本技术、基本技能和基础理论知识，并了解养生功法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29580AEE" w14:textId="77777777" w:rsidR="000B25E0" w:rsidRPr="000B25E0" w:rsidRDefault="000B25E0" w:rsidP="000B25E0">
      <w:pPr>
        <w:spacing w:line="440" w:lineRule="exact"/>
        <w:ind w:firstLineChars="200" w:firstLine="500"/>
        <w:rPr>
          <w:rFonts w:ascii="宋体" w:eastAsia="宋体" w:hAnsi="宋体" w:cs="Times New Roman"/>
          <w:b/>
          <w:sz w:val="24"/>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w:t>
      </w:r>
      <w:r w:rsidRPr="000B25E0">
        <w:rPr>
          <w:rFonts w:ascii="宋体" w:eastAsia="宋体" w:hAnsi="宋体" w:cs="仿宋_GB2312" w:hint="eastAsia"/>
          <w:sz w:val="24"/>
        </w:rPr>
        <w:lastRenderedPageBreak/>
        <w:t>求实、勤奋良好科研精神与学风</w:t>
      </w:r>
      <w:r w:rsidRPr="000B25E0">
        <w:rPr>
          <w:rFonts w:ascii="宋体" w:eastAsia="宋体" w:hAnsi="Calibri" w:cs="宋体" w:hint="eastAsia"/>
          <w:spacing w:val="5"/>
          <w:kern w:val="0"/>
          <w:sz w:val="24"/>
        </w:rPr>
        <w:t>。</w:t>
      </w:r>
    </w:p>
    <w:p w14:paraId="31A817B1"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【学习内容】</w:t>
      </w:r>
    </w:p>
    <w:p w14:paraId="18A1A2DE"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t>第一章  基本技术(26学时)</w:t>
      </w:r>
    </w:p>
    <w:p w14:paraId="0BF1CFA8"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56B80B90" w14:textId="77777777" w:rsidR="000B25E0" w:rsidRPr="000B25E0" w:rsidRDefault="000B25E0" w:rsidP="000B25E0">
      <w:pPr>
        <w:snapToGrid w:val="0"/>
        <w:spacing w:line="360" w:lineRule="auto"/>
        <w:rPr>
          <w:rFonts w:ascii="宋体" w:eastAsia="宋体" w:hAnsi="宋体" w:cs="Arial"/>
          <w:sz w:val="24"/>
        </w:rPr>
      </w:pPr>
    </w:p>
    <w:p w14:paraId="6DA0819B"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预备势</w:t>
      </w:r>
    </w:p>
    <w:p w14:paraId="4198FF89"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第一式</w:t>
      </w:r>
      <w:r w:rsidRPr="000B25E0">
        <w:rPr>
          <w:rFonts w:ascii="宋体" w:eastAsia="宋体" w:hAnsi="宋体" w:cs="Arial"/>
          <w:sz w:val="24"/>
        </w:rPr>
        <w:t xml:space="preserve">  </w:t>
      </w:r>
      <w:r w:rsidRPr="000B25E0">
        <w:rPr>
          <w:rFonts w:ascii="宋体" w:eastAsia="宋体" w:hAnsi="宋体" w:cs="Arial" w:hint="eastAsia"/>
          <w:sz w:val="24"/>
        </w:rPr>
        <w:t>两手托天理三焦</w:t>
      </w:r>
      <w:r w:rsidRPr="000B25E0">
        <w:rPr>
          <w:rFonts w:ascii="宋体" w:eastAsia="宋体" w:hAnsi="宋体" w:cs="Arial"/>
          <w:sz w:val="24"/>
        </w:rPr>
        <w:t xml:space="preserve">    </w:t>
      </w:r>
    </w:p>
    <w:p w14:paraId="258FF7B9"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第二式</w:t>
      </w:r>
      <w:r w:rsidRPr="000B25E0">
        <w:rPr>
          <w:rFonts w:ascii="宋体" w:eastAsia="宋体" w:hAnsi="宋体" w:cs="Arial"/>
          <w:sz w:val="24"/>
        </w:rPr>
        <w:t xml:space="preserve">  </w:t>
      </w:r>
      <w:r w:rsidRPr="000B25E0">
        <w:rPr>
          <w:rFonts w:ascii="宋体" w:eastAsia="宋体" w:hAnsi="宋体" w:cs="Arial" w:hint="eastAsia"/>
          <w:sz w:val="24"/>
        </w:rPr>
        <w:t>左右开弓似射雕</w:t>
      </w:r>
    </w:p>
    <w:p w14:paraId="1F1F3C97"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第三式</w:t>
      </w:r>
      <w:r w:rsidRPr="000B25E0">
        <w:rPr>
          <w:rFonts w:ascii="宋体" w:eastAsia="宋体" w:hAnsi="宋体" w:cs="Arial"/>
          <w:sz w:val="24"/>
        </w:rPr>
        <w:t xml:space="preserve">  </w:t>
      </w:r>
      <w:r w:rsidRPr="000B25E0">
        <w:rPr>
          <w:rFonts w:ascii="宋体" w:eastAsia="宋体" w:hAnsi="宋体" w:cs="Arial" w:hint="eastAsia"/>
          <w:sz w:val="24"/>
        </w:rPr>
        <w:t>调理脾胃须单举</w:t>
      </w:r>
      <w:r w:rsidRPr="000B25E0">
        <w:rPr>
          <w:rFonts w:ascii="宋体" w:eastAsia="宋体" w:hAnsi="宋体" w:cs="Arial"/>
          <w:sz w:val="24"/>
        </w:rPr>
        <w:t xml:space="preserve">    </w:t>
      </w:r>
    </w:p>
    <w:p w14:paraId="0C64322B"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第四式</w:t>
      </w:r>
      <w:r w:rsidRPr="000B25E0">
        <w:rPr>
          <w:rFonts w:ascii="宋体" w:eastAsia="宋体" w:hAnsi="宋体" w:cs="Arial"/>
          <w:sz w:val="24"/>
        </w:rPr>
        <w:t xml:space="preserve">  </w:t>
      </w:r>
      <w:r w:rsidRPr="000B25E0">
        <w:rPr>
          <w:rFonts w:ascii="宋体" w:eastAsia="宋体" w:hAnsi="宋体" w:cs="Arial" w:hint="eastAsia"/>
          <w:sz w:val="24"/>
        </w:rPr>
        <w:t>五劳七伤往后瞧</w:t>
      </w:r>
    </w:p>
    <w:p w14:paraId="7AE54FC5"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第五式</w:t>
      </w:r>
      <w:r w:rsidRPr="000B25E0">
        <w:rPr>
          <w:rFonts w:ascii="宋体" w:eastAsia="宋体" w:hAnsi="宋体" w:cs="Arial"/>
          <w:sz w:val="24"/>
        </w:rPr>
        <w:t xml:space="preserve">  </w:t>
      </w:r>
      <w:r w:rsidRPr="000B25E0">
        <w:rPr>
          <w:rFonts w:ascii="宋体" w:eastAsia="宋体" w:hAnsi="宋体" w:cs="Arial" w:hint="eastAsia"/>
          <w:sz w:val="24"/>
        </w:rPr>
        <w:t>摇头摆尾去心火</w:t>
      </w:r>
      <w:r w:rsidRPr="000B25E0">
        <w:rPr>
          <w:rFonts w:ascii="宋体" w:eastAsia="宋体" w:hAnsi="宋体" w:cs="Arial"/>
          <w:sz w:val="24"/>
        </w:rPr>
        <w:t xml:space="preserve">    </w:t>
      </w:r>
    </w:p>
    <w:p w14:paraId="4A322297"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第六式</w:t>
      </w:r>
      <w:r w:rsidRPr="000B25E0">
        <w:rPr>
          <w:rFonts w:ascii="宋体" w:eastAsia="宋体" w:hAnsi="宋体" w:cs="Arial"/>
          <w:sz w:val="24"/>
        </w:rPr>
        <w:t xml:space="preserve">  </w:t>
      </w:r>
      <w:r w:rsidRPr="000B25E0">
        <w:rPr>
          <w:rFonts w:ascii="宋体" w:eastAsia="宋体" w:hAnsi="宋体" w:cs="Arial" w:hint="eastAsia"/>
          <w:sz w:val="24"/>
        </w:rPr>
        <w:t>两手攀足固肾腰</w:t>
      </w:r>
    </w:p>
    <w:p w14:paraId="0065D599"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第七式</w:t>
      </w:r>
      <w:r w:rsidRPr="000B25E0">
        <w:rPr>
          <w:rFonts w:ascii="宋体" w:eastAsia="宋体" w:hAnsi="宋体" w:cs="Arial"/>
          <w:sz w:val="24"/>
        </w:rPr>
        <w:t xml:space="preserve">  </w:t>
      </w:r>
      <w:r w:rsidRPr="000B25E0">
        <w:rPr>
          <w:rFonts w:ascii="宋体" w:eastAsia="宋体" w:hAnsi="宋体" w:cs="Arial" w:hint="eastAsia"/>
          <w:sz w:val="24"/>
        </w:rPr>
        <w:t>攒拳怒目增气力</w:t>
      </w:r>
      <w:r w:rsidRPr="000B25E0">
        <w:rPr>
          <w:rFonts w:ascii="宋体" w:eastAsia="宋体" w:hAnsi="宋体" w:cs="Arial"/>
          <w:sz w:val="24"/>
        </w:rPr>
        <w:t xml:space="preserve">    </w:t>
      </w:r>
    </w:p>
    <w:p w14:paraId="5DC000C8"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第八式</w:t>
      </w:r>
      <w:r w:rsidRPr="000B25E0">
        <w:rPr>
          <w:rFonts w:ascii="宋体" w:eastAsia="宋体" w:hAnsi="宋体" w:cs="Arial"/>
          <w:sz w:val="24"/>
        </w:rPr>
        <w:t xml:space="preserve">  </w:t>
      </w:r>
      <w:r w:rsidRPr="000B25E0">
        <w:rPr>
          <w:rFonts w:ascii="宋体" w:eastAsia="宋体" w:hAnsi="宋体" w:cs="Arial" w:hint="eastAsia"/>
          <w:sz w:val="24"/>
        </w:rPr>
        <w:t>背后七颠百病消</w:t>
      </w:r>
    </w:p>
    <w:p w14:paraId="29EAED53" w14:textId="77777777" w:rsidR="000B25E0" w:rsidRPr="000B25E0" w:rsidRDefault="000B25E0" w:rsidP="000B25E0">
      <w:pPr>
        <w:snapToGrid w:val="0"/>
        <w:spacing w:line="360" w:lineRule="auto"/>
        <w:ind w:firstLineChars="200" w:firstLine="480"/>
        <w:rPr>
          <w:rFonts w:ascii="宋体" w:eastAsia="宋体" w:hAnsi="宋体" w:cs="Arial"/>
          <w:sz w:val="24"/>
        </w:rPr>
      </w:pPr>
      <w:r w:rsidRPr="000B25E0">
        <w:rPr>
          <w:rFonts w:ascii="宋体" w:eastAsia="宋体" w:hAnsi="宋体" w:cs="Arial" w:hint="eastAsia"/>
          <w:sz w:val="24"/>
        </w:rPr>
        <w:t>收势</w:t>
      </w:r>
    </w:p>
    <w:p w14:paraId="349F43E6" w14:textId="77777777" w:rsidR="000B25E0" w:rsidRPr="000B25E0" w:rsidRDefault="000B25E0" w:rsidP="000B25E0">
      <w:pPr>
        <w:snapToGrid w:val="0"/>
        <w:spacing w:line="360" w:lineRule="auto"/>
        <w:ind w:firstLineChars="200" w:firstLine="482"/>
        <w:rPr>
          <w:rFonts w:ascii="宋体" w:eastAsia="宋体" w:hAnsi="宋体" w:cs="Arial"/>
          <w:sz w:val="24"/>
        </w:rPr>
      </w:pPr>
      <w:r w:rsidRPr="000B25E0">
        <w:rPr>
          <w:rFonts w:ascii="宋体" w:eastAsia="宋体" w:hAnsi="宋体" w:cs="Arial"/>
          <w:b/>
          <w:bCs/>
          <w:sz w:val="24"/>
        </w:rPr>
        <w:t>教学目的及要求：</w:t>
      </w:r>
      <w:r w:rsidRPr="000B25E0">
        <w:rPr>
          <w:rFonts w:ascii="宋体" w:eastAsia="宋体" w:hAnsi="宋体" w:cs="Arial" w:hint="eastAsia"/>
          <w:bCs/>
          <w:sz w:val="24"/>
        </w:rPr>
        <w:t>掌握健身气功八段锦功法。</w:t>
      </w:r>
    </w:p>
    <w:p w14:paraId="5CFC919D" w14:textId="77777777" w:rsidR="000B25E0" w:rsidRPr="000B25E0" w:rsidRDefault="000B25E0" w:rsidP="000B25E0">
      <w:pPr>
        <w:snapToGrid w:val="0"/>
        <w:spacing w:line="360" w:lineRule="auto"/>
        <w:ind w:firstLineChars="200" w:firstLine="482"/>
        <w:rPr>
          <w:rFonts w:ascii="宋体" w:eastAsia="宋体" w:hAnsi="宋体" w:cs="Arial"/>
          <w:sz w:val="24"/>
        </w:rPr>
      </w:pPr>
      <w:r w:rsidRPr="000B25E0">
        <w:rPr>
          <w:rFonts w:ascii="宋体" w:eastAsia="宋体" w:hAnsi="宋体" w:cs="Arial"/>
          <w:b/>
          <w:bCs/>
          <w:sz w:val="24"/>
        </w:rPr>
        <w:t>教学重点及难点：</w:t>
      </w:r>
      <w:r w:rsidRPr="000B25E0">
        <w:rPr>
          <w:rFonts w:ascii="宋体" w:eastAsia="宋体" w:hAnsi="宋体" w:cs="Arial" w:hint="eastAsia"/>
          <w:bCs/>
          <w:sz w:val="24"/>
        </w:rPr>
        <w:t>动作、呼吸与意念的配合以及摇头摆尾去心火。</w:t>
      </w:r>
    </w:p>
    <w:p w14:paraId="606B23AD" w14:textId="77777777" w:rsidR="000B25E0" w:rsidRPr="000B25E0" w:rsidRDefault="000B25E0" w:rsidP="000B25E0">
      <w:pPr>
        <w:adjustRightInd w:val="0"/>
        <w:snapToGrid w:val="0"/>
        <w:spacing w:line="500" w:lineRule="exact"/>
        <w:ind w:firstLineChars="200" w:firstLine="562"/>
        <w:jc w:val="center"/>
        <w:rPr>
          <w:rFonts w:ascii="宋体" w:eastAsia="宋体" w:hAnsi="宋体" w:cs="Times New Roman"/>
          <w:b/>
          <w:sz w:val="28"/>
          <w:szCs w:val="28"/>
        </w:rPr>
      </w:pPr>
      <w:r w:rsidRPr="000B25E0">
        <w:rPr>
          <w:rFonts w:ascii="宋体" w:eastAsia="宋体" w:hAnsi="宋体" w:cs="Times New Roman" w:hint="eastAsia"/>
          <w:b/>
          <w:sz w:val="28"/>
          <w:szCs w:val="28"/>
        </w:rPr>
        <w:t>第二章   身体素质（6学时）</w:t>
      </w:r>
    </w:p>
    <w:p w14:paraId="0944966B" w14:textId="77777777" w:rsidR="000B25E0" w:rsidRPr="000B25E0" w:rsidRDefault="000B25E0" w:rsidP="000B25E0">
      <w:pPr>
        <w:autoSpaceDE w:val="0"/>
        <w:autoSpaceDN w:val="0"/>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274B2FEF"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2.1耐力素质、灵敏素质、柔韧素质。</w:t>
      </w:r>
    </w:p>
    <w:p w14:paraId="0A7AABFC"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sz w:val="24"/>
        </w:rPr>
        <w:t>教学目的及要求</w:t>
      </w:r>
      <w:r w:rsidRPr="000B25E0">
        <w:rPr>
          <w:rFonts w:ascii="Calibri" w:eastAsia="宋体" w:hAnsi="Calibri" w:cs="Times New Roman" w:hint="eastAsia"/>
          <w:sz w:val="24"/>
        </w:rPr>
        <w:t>：使学生掌握养生功法需要的基本身体素质。</w:t>
      </w:r>
      <w:r w:rsidRPr="000B25E0">
        <w:rPr>
          <w:rFonts w:ascii="Calibri" w:eastAsia="宋体" w:hAnsi="Calibri" w:cs="Times New Roman" w:hint="eastAsia"/>
          <w:sz w:val="24"/>
        </w:rPr>
        <w:t xml:space="preserve"> </w:t>
      </w:r>
    </w:p>
    <w:p w14:paraId="1F2492F4" w14:textId="77777777" w:rsidR="000B25E0" w:rsidRPr="000B25E0" w:rsidRDefault="000B25E0" w:rsidP="000B25E0">
      <w:pPr>
        <w:adjustRightInd w:val="0"/>
        <w:snapToGrid w:val="0"/>
        <w:spacing w:line="500" w:lineRule="exact"/>
        <w:ind w:firstLineChars="200" w:firstLine="482"/>
        <w:rPr>
          <w:rFonts w:ascii="宋体" w:eastAsia="宋体" w:hAnsi="宋体" w:cs="Times New Roman"/>
          <w:bCs/>
          <w:color w:val="FF0000"/>
          <w:sz w:val="24"/>
        </w:rPr>
      </w:pPr>
      <w:r w:rsidRPr="000B25E0">
        <w:rPr>
          <w:rFonts w:ascii="Calibri" w:eastAsia="宋体" w:hAnsi="Calibri" w:cs="Times New Roman" w:hint="eastAsia"/>
          <w:b/>
          <w:sz w:val="24"/>
        </w:rPr>
        <w:t>教学重点及难点</w:t>
      </w:r>
      <w:r w:rsidRPr="000B25E0">
        <w:rPr>
          <w:rFonts w:ascii="Calibri" w:eastAsia="宋体" w:hAnsi="Calibri" w:cs="Times New Roman" w:hint="eastAsia"/>
          <w:sz w:val="24"/>
        </w:rPr>
        <w:t>：身体耐力、肌肉力量、柔韧性。</w:t>
      </w:r>
    </w:p>
    <w:p w14:paraId="59265B27" w14:textId="77777777" w:rsidR="000B25E0" w:rsidRPr="000B25E0" w:rsidRDefault="000B25E0" w:rsidP="000B25E0">
      <w:pPr>
        <w:spacing w:line="440" w:lineRule="exact"/>
        <w:ind w:firstLineChars="200" w:firstLine="482"/>
        <w:rPr>
          <w:rFonts w:ascii="宋体" w:eastAsia="宋体" w:hAnsi="宋体" w:cs="Times New Roman"/>
          <w:b/>
          <w:sz w:val="24"/>
        </w:rPr>
      </w:pPr>
      <w:r w:rsidRPr="000B25E0">
        <w:rPr>
          <w:rFonts w:ascii="宋体" w:eastAsia="宋体" w:hAnsi="宋体" w:cs="Times New Roman" w:hint="eastAsia"/>
          <w:b/>
          <w:sz w:val="24"/>
        </w:rPr>
        <w:t>【重点】</w:t>
      </w:r>
    </w:p>
    <w:p w14:paraId="2F83D012"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 xml:space="preserve">1.《大学体育教程》理论课程使学生对大学体育有深入理解；了解体  </w:t>
      </w:r>
    </w:p>
    <w:p w14:paraId="6ED20167" w14:textId="77777777" w:rsidR="000B25E0" w:rsidRPr="000B25E0" w:rsidRDefault="000B25E0" w:rsidP="000B25E0">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0B25E0">
        <w:rPr>
          <w:rFonts w:ascii="宋体" w:eastAsia="宋体" w:hAnsi="Calibri" w:cs="宋体" w:hint="eastAsia"/>
          <w:spacing w:val="5"/>
          <w:kern w:val="0"/>
          <w:sz w:val="24"/>
        </w:rPr>
        <w:t>质健康</w:t>
      </w:r>
      <w:proofErr w:type="gramEnd"/>
      <w:r w:rsidRPr="000B25E0">
        <w:rPr>
          <w:rFonts w:ascii="宋体" w:eastAsia="宋体" w:hAnsi="Calibri" w:cs="宋体" w:hint="eastAsia"/>
          <w:spacing w:val="5"/>
          <w:kern w:val="0"/>
          <w:sz w:val="24"/>
        </w:rPr>
        <w:t>标准的实施与如何评价；学会分析常见运动损伤和运动性疾病的症状。</w:t>
      </w:r>
    </w:p>
    <w:p w14:paraId="098CB579" w14:textId="77777777" w:rsidR="000B25E0" w:rsidRPr="000B25E0" w:rsidRDefault="000B25E0" w:rsidP="000B25E0">
      <w:pPr>
        <w:autoSpaceDE w:val="0"/>
        <w:autoSpaceDN w:val="0"/>
        <w:adjustRightInd w:val="0"/>
        <w:snapToGrid w:val="0"/>
        <w:spacing w:line="500" w:lineRule="exact"/>
        <w:ind w:left="490"/>
        <w:rPr>
          <w:rFonts w:ascii="宋体" w:eastAsia="宋体" w:hAnsi="Calibri" w:cs="宋体"/>
          <w:spacing w:val="5"/>
          <w:kern w:val="0"/>
          <w:sz w:val="24"/>
        </w:rPr>
      </w:pPr>
      <w:r w:rsidRPr="000B25E0">
        <w:rPr>
          <w:rFonts w:ascii="宋体" w:eastAsia="宋体" w:hAnsi="Calibri" w:cs="宋体" w:hint="eastAsia"/>
          <w:spacing w:val="5"/>
          <w:kern w:val="0"/>
          <w:sz w:val="24"/>
        </w:rPr>
        <w:t>2.养生功法的基本理论、基本知识和基本技能。</w:t>
      </w:r>
    </w:p>
    <w:p w14:paraId="761A898B"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宋体" w:cs="Times New Roman"/>
          <w:sz w:val="24"/>
        </w:rPr>
      </w:pPr>
      <w:r w:rsidRPr="000B25E0">
        <w:rPr>
          <w:rFonts w:ascii="宋体" w:eastAsia="宋体" w:hAnsi="Calibri" w:cs="宋体" w:hint="eastAsia"/>
          <w:spacing w:val="5"/>
          <w:kern w:val="0"/>
          <w:sz w:val="24"/>
        </w:rPr>
        <w:t>3.掌握一定的科学锻炼方法，扎实的理论知识。</w:t>
      </w:r>
    </w:p>
    <w:p w14:paraId="731B883D" w14:textId="77777777" w:rsidR="000B25E0" w:rsidRPr="000B25E0" w:rsidRDefault="000B25E0" w:rsidP="000B25E0">
      <w:pPr>
        <w:spacing w:line="440" w:lineRule="exact"/>
        <w:ind w:firstLineChars="200" w:firstLine="482"/>
        <w:rPr>
          <w:rFonts w:ascii="宋体" w:eastAsia="宋体" w:hAnsi="宋体" w:cs="Times New Roman"/>
          <w:b/>
          <w:sz w:val="24"/>
        </w:rPr>
      </w:pPr>
      <w:r w:rsidRPr="000B25E0">
        <w:rPr>
          <w:rFonts w:ascii="宋体" w:eastAsia="宋体" w:hAnsi="宋体" w:cs="Times New Roman" w:hint="eastAsia"/>
          <w:b/>
          <w:sz w:val="24"/>
        </w:rPr>
        <w:t>【难点】</w:t>
      </w:r>
    </w:p>
    <w:p w14:paraId="024677FC"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lastRenderedPageBreak/>
        <w:t>1.体育锻炼与健康的关系；如何根据个人情况制定运动处方；学习和掌握常见运动损伤和运动性疾病的处理方法。</w:t>
      </w:r>
    </w:p>
    <w:p w14:paraId="6475C0B5"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 xml:space="preserve">2.考虑学生原有的理论知识和实践技术，在讲授教材及大纲要求的所有知识和技术的同时，重点讲授养生功法基本技术部分，以达到理论联系实际，学以致用。 </w:t>
      </w:r>
    </w:p>
    <w:p w14:paraId="146EC882" w14:textId="77777777" w:rsidR="000B25E0" w:rsidRPr="000B25E0" w:rsidRDefault="000B25E0" w:rsidP="000B25E0">
      <w:pPr>
        <w:spacing w:line="440" w:lineRule="exact"/>
        <w:ind w:firstLineChars="200" w:firstLine="482"/>
        <w:rPr>
          <w:rFonts w:ascii="宋体" w:eastAsia="宋体" w:hAnsi="宋体" w:cs="Times New Roman"/>
          <w:color w:val="FF0000"/>
          <w:sz w:val="24"/>
        </w:rPr>
      </w:pPr>
      <w:r w:rsidRPr="000B25E0">
        <w:rPr>
          <w:rFonts w:ascii="宋体" w:eastAsia="宋体" w:hAnsi="宋体" w:cs="Times New Roman" w:hint="eastAsia"/>
          <w:b/>
          <w:bCs/>
          <w:sz w:val="24"/>
        </w:rPr>
        <w:t>【实施方式】</w:t>
      </w:r>
    </w:p>
    <w:p w14:paraId="790EEB28"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室外实践课程</w:t>
      </w:r>
    </w:p>
    <w:p w14:paraId="4C6045C2"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【学习要求】</w:t>
      </w:r>
    </w:p>
    <w:p w14:paraId="2460F06E" w14:textId="77777777" w:rsidR="000B25E0" w:rsidRPr="000B25E0" w:rsidRDefault="000B25E0" w:rsidP="000B25E0">
      <w:pPr>
        <w:spacing w:line="440" w:lineRule="exact"/>
        <w:ind w:firstLineChars="200" w:firstLine="480"/>
        <w:rPr>
          <w:rFonts w:ascii="宋体" w:eastAsia="宋体" w:hAnsi="宋体" w:cs="Times New Roman"/>
          <w:b/>
          <w:sz w:val="24"/>
        </w:rPr>
      </w:pPr>
      <w:r w:rsidRPr="000B25E0">
        <w:rPr>
          <w:rFonts w:ascii="宋体" w:eastAsia="宋体" w:hAnsi="宋体" w:cs="Times New Roman" w:hint="eastAsia"/>
          <w:sz w:val="24"/>
        </w:rPr>
        <w:t>1</w:t>
      </w:r>
      <w:r w:rsidRPr="000B25E0">
        <w:rPr>
          <w:rFonts w:ascii="宋体" w:eastAsia="宋体" w:hAnsi="宋体" w:cs="Times New Roman"/>
          <w:sz w:val="24"/>
        </w:rPr>
        <w:t xml:space="preserve">. </w:t>
      </w:r>
      <w:r w:rsidRPr="000B25E0">
        <w:rPr>
          <w:rFonts w:ascii="宋体" w:eastAsia="宋体" w:hAnsi="宋体" w:cs="Times New Roman" w:hint="eastAsia"/>
          <w:sz w:val="24"/>
        </w:rPr>
        <w:t>了解大学体育课程的性质和授课方式，学分情况和进行网上选项课，开设的15门选项课程，课堂常识和安全注意事项。</w:t>
      </w:r>
    </w:p>
    <w:p w14:paraId="35F47458"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0B25E0">
        <w:rPr>
          <w:rFonts w:ascii="宋体" w:eastAsia="宋体" w:hAnsi="宋体" w:cs="Times New Roman" w:hint="eastAsia"/>
          <w:sz w:val="24"/>
        </w:rPr>
        <w:t>缓测免</w:t>
      </w:r>
      <w:proofErr w:type="gramEnd"/>
      <w:r w:rsidRPr="000B25E0">
        <w:rPr>
          <w:rFonts w:ascii="宋体" w:eastAsia="宋体" w:hAnsi="宋体" w:cs="Times New Roman" w:hint="eastAsia"/>
          <w:sz w:val="24"/>
        </w:rPr>
        <w:t>测的申请流程以及掌握测验时间。</w:t>
      </w:r>
    </w:p>
    <w:p w14:paraId="7E201946"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3</w:t>
      </w:r>
      <w:r w:rsidRPr="000B25E0">
        <w:rPr>
          <w:rFonts w:ascii="宋体" w:eastAsia="宋体" w:hAnsi="宋体" w:cs="Times New Roman"/>
          <w:sz w:val="24"/>
        </w:rPr>
        <w:t>.</w:t>
      </w:r>
      <w:r w:rsidRPr="000B25E0">
        <w:rPr>
          <w:rFonts w:ascii="宋体" w:eastAsia="宋体" w:hAnsi="宋体" w:cs="Times New Roman" w:hint="eastAsia"/>
          <w:sz w:val="24"/>
        </w:rPr>
        <w:t>运用养生基础课程</w:t>
      </w:r>
    </w:p>
    <w:p w14:paraId="3076934F" w14:textId="77777777" w:rsidR="000B25E0" w:rsidRPr="000B25E0" w:rsidRDefault="000B25E0" w:rsidP="000B25E0">
      <w:pPr>
        <w:spacing w:line="440" w:lineRule="exact"/>
        <w:ind w:firstLineChars="200" w:firstLine="482"/>
        <w:rPr>
          <w:rFonts w:ascii="宋体" w:eastAsia="宋体" w:hAnsi="宋体" w:cs="Times New Roman"/>
          <w:sz w:val="24"/>
        </w:rPr>
      </w:pPr>
      <w:r w:rsidRPr="000B25E0">
        <w:rPr>
          <w:rFonts w:ascii="宋体" w:eastAsia="宋体" w:hAnsi="宋体" w:cs="Times New Roman" w:hint="eastAsia"/>
          <w:b/>
          <w:sz w:val="24"/>
        </w:rPr>
        <w:t>【实践要求】</w:t>
      </w:r>
    </w:p>
    <w:p w14:paraId="4FFE015C"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1.实践属性：综合训练型</w:t>
      </w:r>
    </w:p>
    <w:p w14:paraId="5E870115"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2.工作流程：开始部分，准备部分，基本部分，结束部分</w:t>
      </w:r>
    </w:p>
    <w:p w14:paraId="7C417A96"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3.分组要求：自然班和选项班，不超过45人。</w:t>
      </w:r>
    </w:p>
    <w:p w14:paraId="7708C546"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26850724"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5.时间安排：每周2学时</w:t>
      </w:r>
    </w:p>
    <w:p w14:paraId="586FBB88"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6.其他要求：</w:t>
      </w:r>
    </w:p>
    <w:p w14:paraId="517A26DF" w14:textId="77777777" w:rsidR="000B25E0" w:rsidRPr="000B25E0" w:rsidRDefault="000B25E0" w:rsidP="000B25E0">
      <w:pPr>
        <w:spacing w:beforeLines="50" w:before="156" w:afterLines="50" w:after="156" w:line="440" w:lineRule="exact"/>
        <w:ind w:left="561"/>
        <w:rPr>
          <w:rFonts w:ascii="仿宋" w:eastAsia="仿宋" w:hAnsi="仿宋" w:cs="Times New Roman"/>
          <w:sz w:val="24"/>
        </w:rPr>
      </w:pPr>
      <w:r w:rsidRPr="000B25E0">
        <w:rPr>
          <w:rFonts w:ascii="黑体" w:eastAsia="黑体" w:hAnsi="黑体" w:cs="Times New Roman" w:hint="eastAsia"/>
          <w:sz w:val="28"/>
          <w:szCs w:val="28"/>
        </w:rPr>
        <w:t>（二）课程学习内容与课程学习目标的对应关系</w:t>
      </w:r>
      <w:r w:rsidRPr="000B25E0">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0B25E0" w:rsidRPr="000B25E0" w14:paraId="7E539289" w14:textId="77777777" w:rsidTr="00BF5EF3">
        <w:trPr>
          <w:trHeight w:val="660"/>
          <w:jc w:val="center"/>
        </w:trPr>
        <w:tc>
          <w:tcPr>
            <w:tcW w:w="3403" w:type="dxa"/>
            <w:vAlign w:val="center"/>
          </w:tcPr>
          <w:p w14:paraId="56322A61"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实践内容</w:t>
            </w:r>
          </w:p>
        </w:tc>
        <w:tc>
          <w:tcPr>
            <w:tcW w:w="2693" w:type="dxa"/>
            <w:vAlign w:val="center"/>
          </w:tcPr>
          <w:p w14:paraId="5D909E42"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实施方式</w:t>
            </w:r>
          </w:p>
        </w:tc>
        <w:tc>
          <w:tcPr>
            <w:tcW w:w="1985" w:type="dxa"/>
            <w:vAlign w:val="center"/>
          </w:tcPr>
          <w:p w14:paraId="10142DB6"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支撑的课程目标</w:t>
            </w:r>
          </w:p>
        </w:tc>
        <w:tc>
          <w:tcPr>
            <w:tcW w:w="1276" w:type="dxa"/>
            <w:vAlign w:val="center"/>
          </w:tcPr>
          <w:p w14:paraId="712A4986"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学时安排</w:t>
            </w:r>
          </w:p>
        </w:tc>
      </w:tr>
      <w:tr w:rsidR="000B25E0" w:rsidRPr="000B25E0" w14:paraId="2A843A75" w14:textId="77777777" w:rsidTr="00BF5EF3">
        <w:trPr>
          <w:trHeight w:val="514"/>
          <w:jc w:val="center"/>
        </w:trPr>
        <w:tc>
          <w:tcPr>
            <w:tcW w:w="3403" w:type="dxa"/>
            <w:vAlign w:val="center"/>
          </w:tcPr>
          <w:p w14:paraId="67299185"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学习内容</w:t>
            </w:r>
            <w:proofErr w:type="gramStart"/>
            <w:r w:rsidRPr="000B25E0">
              <w:rPr>
                <w:rFonts w:ascii="宋体" w:eastAsia="宋体" w:hAnsi="宋体" w:cs="Times New Roman" w:hint="eastAsia"/>
                <w:sz w:val="24"/>
              </w:rPr>
              <w:t>一</w:t>
            </w:r>
            <w:proofErr w:type="gramEnd"/>
            <w:r w:rsidRPr="000B25E0">
              <w:rPr>
                <w:rFonts w:ascii="宋体" w:eastAsia="宋体" w:hAnsi="宋体" w:cs="Times New Roman" w:hint="eastAsia"/>
                <w:sz w:val="24"/>
              </w:rPr>
              <w:t xml:space="preserve"> 体能+养生 </w:t>
            </w:r>
          </w:p>
          <w:p w14:paraId="40C08FFB"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366062E8"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2ABF2624"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0226EDFA"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07390ECD" w14:textId="77777777" w:rsidTr="00BF5EF3">
        <w:trPr>
          <w:trHeight w:val="90"/>
          <w:jc w:val="center"/>
        </w:trPr>
        <w:tc>
          <w:tcPr>
            <w:tcW w:w="3403" w:type="dxa"/>
            <w:vAlign w:val="center"/>
          </w:tcPr>
          <w:p w14:paraId="2DC35B8C"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 xml:space="preserve">学习内容二 养生1 </w:t>
            </w:r>
          </w:p>
          <w:p w14:paraId="3A9BC773"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053F6C75"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w:t>
            </w:r>
            <w:r w:rsidRPr="000B25E0">
              <w:rPr>
                <w:rFonts w:ascii="宋体" w:eastAsia="宋体" w:hAnsi="宋体" w:cs="Times New Roman" w:hint="eastAsia"/>
                <w:sz w:val="24"/>
              </w:rPr>
              <w:lastRenderedPageBreak/>
              <w:t>小组合作学习</w:t>
            </w:r>
          </w:p>
        </w:tc>
        <w:tc>
          <w:tcPr>
            <w:tcW w:w="1985" w:type="dxa"/>
            <w:vAlign w:val="center"/>
          </w:tcPr>
          <w:p w14:paraId="6D308AA2"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lastRenderedPageBreak/>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7A4369A6"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0FDB8801" w14:textId="77777777" w:rsidTr="00BF5EF3">
        <w:trPr>
          <w:jc w:val="center"/>
        </w:trPr>
        <w:tc>
          <w:tcPr>
            <w:tcW w:w="3403" w:type="dxa"/>
            <w:vAlign w:val="center"/>
          </w:tcPr>
          <w:p w14:paraId="32F98DF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学习内容三 养生 2</w:t>
            </w:r>
          </w:p>
          <w:p w14:paraId="2AC70442"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2FFB2A2D"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518DBDCA"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45B6C62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0181473D" w14:textId="77777777" w:rsidTr="00BF5EF3">
        <w:trPr>
          <w:jc w:val="center"/>
        </w:trPr>
        <w:tc>
          <w:tcPr>
            <w:tcW w:w="3403" w:type="dxa"/>
            <w:vAlign w:val="center"/>
          </w:tcPr>
          <w:p w14:paraId="73FD41B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学习内容四 养生 3</w:t>
            </w:r>
          </w:p>
          <w:p w14:paraId="55CDE709"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572525E6"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472BDC65"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78B2E17C"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4BE3D482" w14:textId="77777777" w:rsidTr="00BF5EF3">
        <w:trPr>
          <w:jc w:val="center"/>
        </w:trPr>
        <w:tc>
          <w:tcPr>
            <w:tcW w:w="8081" w:type="dxa"/>
            <w:gridSpan w:val="3"/>
            <w:vAlign w:val="center"/>
          </w:tcPr>
          <w:p w14:paraId="5796A5EE"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合计</w:t>
            </w:r>
          </w:p>
        </w:tc>
        <w:tc>
          <w:tcPr>
            <w:tcW w:w="1276" w:type="dxa"/>
            <w:vAlign w:val="center"/>
          </w:tcPr>
          <w:p w14:paraId="49689332"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128</w:t>
            </w:r>
          </w:p>
        </w:tc>
      </w:tr>
    </w:tbl>
    <w:p w14:paraId="7E5C55EA"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四、课程考核及与课程学习目标的对应关系</w:t>
      </w:r>
    </w:p>
    <w:p w14:paraId="3758F848"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0B25E0" w:rsidRPr="000B25E0" w14:paraId="240FAB6A" w14:textId="77777777" w:rsidTr="00BF5EF3">
        <w:trPr>
          <w:trHeight w:val="515"/>
          <w:jc w:val="center"/>
        </w:trPr>
        <w:tc>
          <w:tcPr>
            <w:tcW w:w="1422" w:type="dxa"/>
          </w:tcPr>
          <w:p w14:paraId="6B39A8D0"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课程目标</w:t>
            </w:r>
          </w:p>
        </w:tc>
        <w:tc>
          <w:tcPr>
            <w:tcW w:w="5376" w:type="dxa"/>
            <w:vAlign w:val="center"/>
          </w:tcPr>
          <w:p w14:paraId="1E0E186B"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考核内容</w:t>
            </w:r>
          </w:p>
        </w:tc>
        <w:tc>
          <w:tcPr>
            <w:tcW w:w="2542" w:type="dxa"/>
            <w:vAlign w:val="center"/>
          </w:tcPr>
          <w:p w14:paraId="1DCB873B"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考核方式</w:t>
            </w:r>
          </w:p>
        </w:tc>
      </w:tr>
      <w:tr w:rsidR="000B25E0" w:rsidRPr="000B25E0" w14:paraId="69E3DBDC" w14:textId="77777777" w:rsidTr="00BF5EF3">
        <w:trPr>
          <w:jc w:val="center"/>
        </w:trPr>
        <w:tc>
          <w:tcPr>
            <w:tcW w:w="1422" w:type="dxa"/>
            <w:vAlign w:val="center"/>
          </w:tcPr>
          <w:p w14:paraId="082FD834"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课程目标1、2、3</w:t>
            </w:r>
          </w:p>
        </w:tc>
        <w:tc>
          <w:tcPr>
            <w:tcW w:w="5376" w:type="dxa"/>
            <w:vAlign w:val="center"/>
          </w:tcPr>
          <w:p w14:paraId="2E85FC70"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大学生体质健康标准测试</w:t>
            </w:r>
          </w:p>
        </w:tc>
        <w:tc>
          <w:tcPr>
            <w:tcW w:w="2542" w:type="dxa"/>
            <w:vAlign w:val="center"/>
          </w:tcPr>
          <w:p w14:paraId="65321B58" w14:textId="77777777" w:rsidR="000B25E0" w:rsidRPr="000B25E0" w:rsidRDefault="000B25E0" w:rsidP="000B25E0">
            <w:pPr>
              <w:widowControl/>
              <w:jc w:val="left"/>
              <w:rPr>
                <w:rFonts w:ascii="宋体" w:eastAsia="宋体" w:hAnsi="宋体" w:cs="Times New Roman"/>
                <w:bCs/>
                <w:sz w:val="24"/>
              </w:rPr>
            </w:pPr>
          </w:p>
          <w:p w14:paraId="4E4FE3D2"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随堂技术考核</w:t>
            </w:r>
          </w:p>
        </w:tc>
      </w:tr>
      <w:tr w:rsidR="000B25E0" w:rsidRPr="000B25E0" w14:paraId="763CBB2A" w14:textId="77777777" w:rsidTr="00BF5EF3">
        <w:trPr>
          <w:jc w:val="center"/>
        </w:trPr>
        <w:tc>
          <w:tcPr>
            <w:tcW w:w="1422" w:type="dxa"/>
            <w:vAlign w:val="center"/>
          </w:tcPr>
          <w:p w14:paraId="65766854"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w:t>
            </w:r>
          </w:p>
        </w:tc>
        <w:tc>
          <w:tcPr>
            <w:tcW w:w="5376" w:type="dxa"/>
            <w:vAlign w:val="center"/>
          </w:tcPr>
          <w:p w14:paraId="0A8D3D74"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立定跳远</w:t>
            </w:r>
          </w:p>
        </w:tc>
        <w:tc>
          <w:tcPr>
            <w:tcW w:w="2542" w:type="dxa"/>
            <w:vAlign w:val="center"/>
          </w:tcPr>
          <w:p w14:paraId="677B43EF" w14:textId="77777777" w:rsidR="000B25E0" w:rsidRPr="000B25E0" w:rsidRDefault="000B25E0" w:rsidP="000B25E0">
            <w:pPr>
              <w:widowControl/>
              <w:jc w:val="left"/>
              <w:rPr>
                <w:rFonts w:ascii="宋体" w:eastAsia="宋体" w:hAnsi="宋体" w:cs="Times New Roman"/>
                <w:bCs/>
                <w:sz w:val="24"/>
              </w:rPr>
            </w:pPr>
          </w:p>
          <w:p w14:paraId="7EEA1BE2"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随堂技术考核</w:t>
            </w:r>
          </w:p>
        </w:tc>
      </w:tr>
      <w:tr w:rsidR="000B25E0" w:rsidRPr="000B25E0" w14:paraId="510A17ED" w14:textId="77777777" w:rsidTr="00BF5EF3">
        <w:trPr>
          <w:jc w:val="center"/>
        </w:trPr>
        <w:tc>
          <w:tcPr>
            <w:tcW w:w="1422" w:type="dxa"/>
            <w:vAlign w:val="center"/>
          </w:tcPr>
          <w:p w14:paraId="12E52316"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w:t>
            </w:r>
          </w:p>
        </w:tc>
        <w:tc>
          <w:tcPr>
            <w:tcW w:w="5376" w:type="dxa"/>
            <w:vAlign w:val="center"/>
          </w:tcPr>
          <w:p w14:paraId="7B7FBAF6"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Calibri" w:cs="Times New Roman" w:hint="eastAsia"/>
                <w:bCs/>
                <w:kern w:val="0"/>
                <w:sz w:val="24"/>
              </w:rPr>
              <w:t>养生功法八段锦</w:t>
            </w:r>
          </w:p>
        </w:tc>
        <w:tc>
          <w:tcPr>
            <w:tcW w:w="2542" w:type="dxa"/>
            <w:vAlign w:val="center"/>
          </w:tcPr>
          <w:p w14:paraId="6E346381" w14:textId="77777777" w:rsidR="000B25E0" w:rsidRPr="000B25E0" w:rsidRDefault="000B25E0" w:rsidP="000B25E0">
            <w:pPr>
              <w:widowControl/>
              <w:jc w:val="left"/>
              <w:rPr>
                <w:rFonts w:ascii="宋体" w:eastAsia="宋体" w:hAnsi="宋体" w:cs="Times New Roman"/>
                <w:bCs/>
                <w:sz w:val="24"/>
              </w:rPr>
            </w:pPr>
          </w:p>
          <w:p w14:paraId="6ADA3AAE"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随堂技术考核</w:t>
            </w:r>
          </w:p>
        </w:tc>
      </w:tr>
      <w:tr w:rsidR="000B25E0" w:rsidRPr="000B25E0" w14:paraId="4E003C59" w14:textId="77777777" w:rsidTr="00BF5EF3">
        <w:trPr>
          <w:jc w:val="center"/>
        </w:trPr>
        <w:tc>
          <w:tcPr>
            <w:tcW w:w="1422" w:type="dxa"/>
            <w:vAlign w:val="center"/>
          </w:tcPr>
          <w:p w14:paraId="0B44BC89"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w:t>
            </w:r>
          </w:p>
        </w:tc>
        <w:tc>
          <w:tcPr>
            <w:tcW w:w="5376" w:type="dxa"/>
            <w:vAlign w:val="center"/>
          </w:tcPr>
          <w:p w14:paraId="67019AA6"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Calibri" w:cs="Times New Roman" w:hint="eastAsia"/>
                <w:bCs/>
                <w:kern w:val="0"/>
                <w:sz w:val="24"/>
              </w:rPr>
              <w:t>养生功法易筋经</w:t>
            </w:r>
          </w:p>
        </w:tc>
        <w:tc>
          <w:tcPr>
            <w:tcW w:w="2542" w:type="dxa"/>
            <w:vAlign w:val="center"/>
          </w:tcPr>
          <w:p w14:paraId="4396CC10" w14:textId="77777777" w:rsidR="000B25E0" w:rsidRPr="000B25E0" w:rsidRDefault="000B25E0" w:rsidP="000B25E0">
            <w:pPr>
              <w:widowControl/>
              <w:jc w:val="left"/>
              <w:rPr>
                <w:rFonts w:ascii="宋体" w:eastAsia="宋体" w:hAnsi="宋体" w:cs="Times New Roman"/>
                <w:bCs/>
                <w:sz w:val="24"/>
              </w:rPr>
            </w:pPr>
            <w:r w:rsidRPr="000B25E0">
              <w:rPr>
                <w:rFonts w:ascii="宋体" w:eastAsia="宋体" w:hAnsi="宋体" w:cs="Times New Roman" w:hint="eastAsia"/>
                <w:bCs/>
                <w:sz w:val="24"/>
              </w:rPr>
              <w:t>随堂技术考核</w:t>
            </w:r>
          </w:p>
          <w:p w14:paraId="0B1F6206" w14:textId="77777777" w:rsidR="000B25E0" w:rsidRPr="000B25E0" w:rsidRDefault="000B25E0" w:rsidP="000B25E0">
            <w:pPr>
              <w:spacing w:line="440" w:lineRule="exact"/>
              <w:rPr>
                <w:rFonts w:ascii="宋体" w:eastAsia="宋体" w:hAnsi="宋体" w:cs="Times New Roman"/>
                <w:bCs/>
                <w:sz w:val="24"/>
              </w:rPr>
            </w:pPr>
          </w:p>
        </w:tc>
      </w:tr>
    </w:tbl>
    <w:p w14:paraId="7A17F6B3"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（二）课程目标达成评价方式及考核比例</w:t>
      </w:r>
    </w:p>
    <w:p w14:paraId="04601F1A"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养生课程</w:t>
      </w:r>
      <w:proofErr w:type="gramStart"/>
      <w:r w:rsidRPr="000B25E0">
        <w:rPr>
          <w:rFonts w:ascii="宋体" w:eastAsia="宋体" w:hAnsi="宋体" w:cs="Times New Roman" w:hint="eastAsia"/>
          <w:sz w:val="24"/>
        </w:rPr>
        <w:t>1、2、3、4每</w:t>
      </w:r>
      <w:proofErr w:type="gramEnd"/>
      <w:r w:rsidRPr="000B25E0">
        <w:rPr>
          <w:rFonts w:ascii="宋体" w:eastAsia="宋体" w:hAnsi="宋体" w:cs="Times New Roman" w:hint="eastAsia"/>
          <w:sz w:val="24"/>
        </w:rPr>
        <w:t>学期考核方式及成绩比例为：课堂表现20%</w:t>
      </w:r>
      <w:r w:rsidRPr="000B25E0">
        <w:rPr>
          <w:rFonts w:ascii="宋体" w:eastAsia="宋体" w:hAnsi="宋体" w:cs="Times New Roman"/>
          <w:sz w:val="24"/>
        </w:rPr>
        <w:t>+</w:t>
      </w:r>
      <w:r w:rsidRPr="000B25E0">
        <w:rPr>
          <w:rFonts w:ascii="宋体" w:eastAsia="宋体" w:hAnsi="宋体" w:cs="Times New Roman" w:hint="eastAsia"/>
          <w:sz w:val="24"/>
        </w:rPr>
        <w:t>期中考核30%</w:t>
      </w:r>
      <w:r w:rsidRPr="000B25E0">
        <w:rPr>
          <w:rFonts w:ascii="宋体" w:eastAsia="宋体" w:hAnsi="宋体" w:cs="Times New Roman"/>
          <w:sz w:val="24"/>
        </w:rPr>
        <w:t>+</w:t>
      </w:r>
      <w:r w:rsidRPr="000B25E0">
        <w:rPr>
          <w:rFonts w:ascii="宋体" w:eastAsia="宋体" w:hAnsi="宋体" w:cs="Times New Roman" w:hint="eastAsia"/>
          <w:sz w:val="24"/>
        </w:rPr>
        <w:t>课期</w:t>
      </w:r>
      <w:proofErr w:type="gramStart"/>
      <w:r w:rsidRPr="000B25E0">
        <w:rPr>
          <w:rFonts w:ascii="宋体" w:eastAsia="宋体" w:hAnsi="宋体" w:cs="Times New Roman" w:hint="eastAsia"/>
          <w:sz w:val="24"/>
        </w:rPr>
        <w:t>末考试</w:t>
      </w:r>
      <w:proofErr w:type="gramEnd"/>
      <w:r w:rsidRPr="000B25E0">
        <w:rPr>
          <w:rFonts w:ascii="宋体" w:eastAsia="宋体" w:hAnsi="宋体" w:cs="Times New Roman" w:hint="eastAsia"/>
          <w:sz w:val="24"/>
        </w:rPr>
        <w:t>5</w:t>
      </w:r>
      <w:r w:rsidRPr="000B25E0">
        <w:rPr>
          <w:rFonts w:ascii="宋体" w:eastAsia="宋体" w:hAnsi="宋体" w:cs="Times New Roman"/>
          <w:sz w:val="24"/>
        </w:rPr>
        <w:t>0</w:t>
      </w:r>
      <w:r w:rsidRPr="000B25E0">
        <w:rPr>
          <w:rFonts w:ascii="宋体" w:eastAsia="宋体" w:hAnsi="宋体" w:cs="Times New Roman" w:hint="eastAsia"/>
          <w:sz w:val="24"/>
        </w:rPr>
        <w:t>%；本课程共有三个课程目标，考核方式及成绩比例分别为：</w:t>
      </w:r>
    </w:p>
    <w:p w14:paraId="7695D579"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课程目标1：课堂表现5%</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期末考试20%</w:t>
      </w:r>
    </w:p>
    <w:p w14:paraId="6D2B8987"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课程目标2：课堂表现10%</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期末考试20%</w:t>
      </w:r>
    </w:p>
    <w:p w14:paraId="3A47E293"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课程目标3：课堂表现5%</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期末考试10%</w:t>
      </w:r>
    </w:p>
    <w:p w14:paraId="72CBF5D8"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0B25E0" w:rsidRPr="000B25E0" w14:paraId="41029F87" w14:textId="77777777" w:rsidTr="00BF5EF3">
        <w:trPr>
          <w:trHeight w:val="540"/>
          <w:jc w:val="center"/>
        </w:trPr>
        <w:tc>
          <w:tcPr>
            <w:tcW w:w="1422" w:type="dxa"/>
            <w:vMerge w:val="restart"/>
            <w:vAlign w:val="center"/>
          </w:tcPr>
          <w:p w14:paraId="15A35482"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课程目标</w:t>
            </w:r>
          </w:p>
        </w:tc>
        <w:tc>
          <w:tcPr>
            <w:tcW w:w="6271" w:type="dxa"/>
            <w:gridSpan w:val="4"/>
            <w:vAlign w:val="center"/>
          </w:tcPr>
          <w:p w14:paraId="35EDCE94"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考核方式及成绩比例（%）</w:t>
            </w:r>
          </w:p>
        </w:tc>
        <w:tc>
          <w:tcPr>
            <w:tcW w:w="1559" w:type="dxa"/>
            <w:vMerge w:val="restart"/>
            <w:vAlign w:val="center"/>
          </w:tcPr>
          <w:p w14:paraId="7F1AC4F3"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合计</w:t>
            </w:r>
          </w:p>
        </w:tc>
      </w:tr>
      <w:tr w:rsidR="000B25E0" w:rsidRPr="000B25E0" w14:paraId="07CBA7C8" w14:textId="77777777" w:rsidTr="00BF5EF3">
        <w:trPr>
          <w:trHeight w:val="578"/>
          <w:jc w:val="center"/>
        </w:trPr>
        <w:tc>
          <w:tcPr>
            <w:tcW w:w="1422" w:type="dxa"/>
            <w:vMerge/>
            <w:vAlign w:val="center"/>
          </w:tcPr>
          <w:p w14:paraId="1CAEE49F" w14:textId="77777777" w:rsidR="000B25E0" w:rsidRPr="000B25E0" w:rsidRDefault="000B25E0" w:rsidP="000B25E0">
            <w:pPr>
              <w:spacing w:line="440" w:lineRule="exact"/>
              <w:rPr>
                <w:rFonts w:ascii="宋体" w:eastAsia="宋体" w:hAnsi="宋体" w:cs="Times New Roman"/>
                <w:b/>
                <w:sz w:val="24"/>
              </w:rPr>
            </w:pPr>
          </w:p>
        </w:tc>
        <w:tc>
          <w:tcPr>
            <w:tcW w:w="1452" w:type="dxa"/>
            <w:vAlign w:val="center"/>
          </w:tcPr>
          <w:p w14:paraId="7C8574C9"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课堂表现</w:t>
            </w:r>
          </w:p>
        </w:tc>
        <w:tc>
          <w:tcPr>
            <w:tcW w:w="1559" w:type="dxa"/>
            <w:vAlign w:val="center"/>
          </w:tcPr>
          <w:p w14:paraId="26DE38BC"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阶段测试</w:t>
            </w:r>
          </w:p>
        </w:tc>
        <w:tc>
          <w:tcPr>
            <w:tcW w:w="1701" w:type="dxa"/>
            <w:vAlign w:val="center"/>
          </w:tcPr>
          <w:p w14:paraId="3633458F"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课程论文</w:t>
            </w:r>
          </w:p>
        </w:tc>
        <w:tc>
          <w:tcPr>
            <w:tcW w:w="1559" w:type="dxa"/>
            <w:vAlign w:val="center"/>
          </w:tcPr>
          <w:p w14:paraId="680060CE"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期末考试</w:t>
            </w:r>
          </w:p>
        </w:tc>
        <w:tc>
          <w:tcPr>
            <w:tcW w:w="1559" w:type="dxa"/>
            <w:vMerge/>
          </w:tcPr>
          <w:p w14:paraId="718EA137" w14:textId="77777777" w:rsidR="000B25E0" w:rsidRPr="000B25E0" w:rsidRDefault="000B25E0" w:rsidP="000B25E0">
            <w:pPr>
              <w:spacing w:line="440" w:lineRule="exact"/>
              <w:rPr>
                <w:rFonts w:ascii="宋体" w:eastAsia="宋体" w:hAnsi="宋体" w:cs="Times New Roman"/>
                <w:b/>
                <w:sz w:val="24"/>
              </w:rPr>
            </w:pPr>
          </w:p>
        </w:tc>
      </w:tr>
      <w:tr w:rsidR="000B25E0" w:rsidRPr="000B25E0" w14:paraId="0A0E162E" w14:textId="77777777" w:rsidTr="00BF5EF3">
        <w:trPr>
          <w:jc w:val="center"/>
        </w:trPr>
        <w:tc>
          <w:tcPr>
            <w:tcW w:w="1422" w:type="dxa"/>
            <w:vAlign w:val="center"/>
          </w:tcPr>
          <w:p w14:paraId="2AF04D3E"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课程目标1</w:t>
            </w:r>
          </w:p>
        </w:tc>
        <w:tc>
          <w:tcPr>
            <w:tcW w:w="1452" w:type="dxa"/>
            <w:vAlign w:val="center"/>
          </w:tcPr>
          <w:p w14:paraId="5FD01618"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5</w:t>
            </w:r>
          </w:p>
        </w:tc>
        <w:tc>
          <w:tcPr>
            <w:tcW w:w="1559" w:type="dxa"/>
            <w:vAlign w:val="center"/>
          </w:tcPr>
          <w:p w14:paraId="4CEC7700"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269E2480"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1BEB12C0"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20</w:t>
            </w:r>
          </w:p>
        </w:tc>
        <w:tc>
          <w:tcPr>
            <w:tcW w:w="1559" w:type="dxa"/>
          </w:tcPr>
          <w:p w14:paraId="243B17D5"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35</w:t>
            </w:r>
          </w:p>
        </w:tc>
      </w:tr>
      <w:tr w:rsidR="000B25E0" w:rsidRPr="000B25E0" w14:paraId="52D5964E" w14:textId="77777777" w:rsidTr="00BF5EF3">
        <w:trPr>
          <w:jc w:val="center"/>
        </w:trPr>
        <w:tc>
          <w:tcPr>
            <w:tcW w:w="1422" w:type="dxa"/>
            <w:vAlign w:val="center"/>
          </w:tcPr>
          <w:p w14:paraId="5975A758"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lastRenderedPageBreak/>
              <w:t>课程目标2</w:t>
            </w:r>
          </w:p>
        </w:tc>
        <w:tc>
          <w:tcPr>
            <w:tcW w:w="1452" w:type="dxa"/>
            <w:vAlign w:val="center"/>
          </w:tcPr>
          <w:p w14:paraId="11A1C37F"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559" w:type="dxa"/>
            <w:vAlign w:val="center"/>
          </w:tcPr>
          <w:p w14:paraId="05D5A187"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6FA268F8"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44A1E363"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20</w:t>
            </w:r>
          </w:p>
        </w:tc>
        <w:tc>
          <w:tcPr>
            <w:tcW w:w="1559" w:type="dxa"/>
          </w:tcPr>
          <w:p w14:paraId="119D1905"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40</w:t>
            </w:r>
          </w:p>
        </w:tc>
      </w:tr>
      <w:tr w:rsidR="000B25E0" w:rsidRPr="000B25E0" w14:paraId="0776D12F" w14:textId="77777777" w:rsidTr="00BF5EF3">
        <w:trPr>
          <w:jc w:val="center"/>
        </w:trPr>
        <w:tc>
          <w:tcPr>
            <w:tcW w:w="1422" w:type="dxa"/>
            <w:vAlign w:val="center"/>
          </w:tcPr>
          <w:p w14:paraId="66F3FEBB"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课程目标3</w:t>
            </w:r>
          </w:p>
        </w:tc>
        <w:tc>
          <w:tcPr>
            <w:tcW w:w="1452" w:type="dxa"/>
            <w:vAlign w:val="center"/>
          </w:tcPr>
          <w:p w14:paraId="39804851"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5</w:t>
            </w:r>
          </w:p>
        </w:tc>
        <w:tc>
          <w:tcPr>
            <w:tcW w:w="1559" w:type="dxa"/>
            <w:vAlign w:val="center"/>
          </w:tcPr>
          <w:p w14:paraId="096312FC"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38DC12EE"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6DCF15F1"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559" w:type="dxa"/>
          </w:tcPr>
          <w:p w14:paraId="3C89A474"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25</w:t>
            </w:r>
          </w:p>
        </w:tc>
      </w:tr>
      <w:tr w:rsidR="000B25E0" w:rsidRPr="000B25E0" w14:paraId="08FC3802" w14:textId="77777777" w:rsidTr="00BF5EF3">
        <w:trPr>
          <w:jc w:val="center"/>
        </w:trPr>
        <w:tc>
          <w:tcPr>
            <w:tcW w:w="1422" w:type="dxa"/>
            <w:vAlign w:val="center"/>
          </w:tcPr>
          <w:p w14:paraId="74439FC9"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合计</w:t>
            </w:r>
          </w:p>
        </w:tc>
        <w:tc>
          <w:tcPr>
            <w:tcW w:w="1452" w:type="dxa"/>
            <w:vAlign w:val="center"/>
          </w:tcPr>
          <w:p w14:paraId="6155C632"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20</w:t>
            </w:r>
          </w:p>
        </w:tc>
        <w:tc>
          <w:tcPr>
            <w:tcW w:w="1559" w:type="dxa"/>
            <w:vAlign w:val="center"/>
          </w:tcPr>
          <w:p w14:paraId="32A166D3"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30</w:t>
            </w:r>
          </w:p>
        </w:tc>
        <w:tc>
          <w:tcPr>
            <w:tcW w:w="1701" w:type="dxa"/>
            <w:vAlign w:val="center"/>
          </w:tcPr>
          <w:p w14:paraId="74F26D63"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135B6CC6"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50</w:t>
            </w:r>
          </w:p>
        </w:tc>
        <w:tc>
          <w:tcPr>
            <w:tcW w:w="1559" w:type="dxa"/>
          </w:tcPr>
          <w:p w14:paraId="35689A82"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w:t>
            </w:r>
            <w:r w:rsidRPr="000B25E0">
              <w:rPr>
                <w:rFonts w:ascii="宋体" w:eastAsia="宋体" w:hAnsi="宋体" w:cs="Times New Roman"/>
                <w:bCs/>
                <w:sz w:val="24"/>
              </w:rPr>
              <w:t>00</w:t>
            </w:r>
          </w:p>
        </w:tc>
      </w:tr>
    </w:tbl>
    <w:p w14:paraId="4EFD62D7" w14:textId="77777777" w:rsidR="000B25E0" w:rsidRPr="000B25E0" w:rsidRDefault="000B25E0" w:rsidP="000B25E0">
      <w:pPr>
        <w:spacing w:line="440" w:lineRule="exact"/>
        <w:ind w:firstLineChars="200" w:firstLine="480"/>
        <w:rPr>
          <w:rFonts w:ascii="宋体" w:eastAsia="宋体" w:hAnsi="宋体" w:cs="Times New Roman"/>
          <w:sz w:val="24"/>
        </w:rPr>
      </w:pPr>
    </w:p>
    <w:p w14:paraId="69C5C232" w14:textId="77777777" w:rsidR="000B25E0" w:rsidRPr="000B25E0" w:rsidRDefault="000B25E0" w:rsidP="00C63ECC">
      <w:pPr>
        <w:pStyle w:val="afc"/>
      </w:pPr>
      <w:bookmarkStart w:id="75" w:name="_Toc29537"/>
      <w:r w:rsidRPr="000B25E0">
        <w:rPr>
          <w:rFonts w:hint="eastAsia"/>
        </w:rPr>
        <w:t>五、成绩评定</w:t>
      </w:r>
      <w:bookmarkEnd w:id="75"/>
    </w:p>
    <w:p w14:paraId="62B7EE2D"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（一）总成绩评定</w:t>
      </w:r>
    </w:p>
    <w:p w14:paraId="45391169"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总成绩=平时成绩×20%+期中成绩×30%+期末成绩×50%</w:t>
      </w:r>
    </w:p>
    <w:p w14:paraId="395DB38D"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备注：每学期总成绩</w:t>
      </w:r>
    </w:p>
    <w:p w14:paraId="5ABDE9DC"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color w:val="FF0000"/>
          <w:sz w:val="24"/>
        </w:rPr>
      </w:pPr>
      <w:r w:rsidRPr="000B25E0">
        <w:rPr>
          <w:rFonts w:ascii="黑体" w:eastAsia="黑体" w:hAnsi="黑体" w:cs="Times New Roman" w:hint="eastAsia"/>
          <w:sz w:val="28"/>
          <w:szCs w:val="28"/>
        </w:rPr>
        <w:t>（二）平时成绩评定</w:t>
      </w:r>
    </w:p>
    <w:p w14:paraId="42C17B42"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（1）课堂表现：通过学生在课堂上的表现情况、发言与主体参与和练习情况，来评价学生相关的能力。</w:t>
      </w:r>
    </w:p>
    <w:p w14:paraId="13A260C1"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（2）作业完成情况：围绕课程的学习目标进行作业的设计。如让学生简述对知识的认识，建议</w:t>
      </w:r>
      <w:proofErr w:type="gramStart"/>
      <w:r w:rsidRPr="000B25E0">
        <w:rPr>
          <w:rFonts w:ascii="宋体" w:eastAsia="宋体" w:hAnsi="宋体" w:cs="Times New Roman" w:hint="eastAsia"/>
          <w:sz w:val="24"/>
        </w:rPr>
        <w:t>带准备</w:t>
      </w:r>
      <w:proofErr w:type="gramEnd"/>
      <w:r w:rsidRPr="000B25E0">
        <w:rPr>
          <w:rFonts w:ascii="宋体" w:eastAsia="宋体" w:hAnsi="宋体" w:cs="Times New Roman" w:hint="eastAsia"/>
          <w:sz w:val="24"/>
        </w:rPr>
        <w:t>部分和基本部分中的复习内容，帮助学生将定义转化为自己的理解。学生在小组合作学习中测验掌握课程的情况</w:t>
      </w:r>
    </w:p>
    <w:p w14:paraId="5766946B" w14:textId="77777777" w:rsidR="000B25E0" w:rsidRPr="000B25E0" w:rsidRDefault="000B25E0" w:rsidP="000B25E0">
      <w:pPr>
        <w:spacing w:line="440" w:lineRule="exact"/>
        <w:ind w:firstLineChars="200" w:firstLine="480"/>
        <w:rPr>
          <w:rFonts w:ascii="宋体" w:eastAsia="宋体" w:hAnsi="宋体" w:cs="Times New Roman"/>
          <w:color w:val="FF0000"/>
          <w:sz w:val="24"/>
        </w:rPr>
      </w:pPr>
      <w:r w:rsidRPr="000B25E0">
        <w:rPr>
          <w:rFonts w:ascii="宋体" w:eastAsia="宋体" w:hAnsi="宋体" w:cs="Times New Roman" w:hint="eastAsia"/>
          <w:sz w:val="24"/>
        </w:rPr>
        <w:t>（3）课堂考勤：留存辅导员开具的事假条、校医院开具的病假条。缺课达到本学期三分之一课时，按照考试无资格处理。</w:t>
      </w:r>
    </w:p>
    <w:p w14:paraId="1558B194"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（三）期中、期末成绩评定</w:t>
      </w:r>
    </w:p>
    <w:p w14:paraId="06A1330A"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第一学期</w:t>
      </w:r>
    </w:p>
    <w:p w14:paraId="712FC9EA" w14:textId="77777777" w:rsidR="000B25E0" w:rsidRPr="000B25E0" w:rsidRDefault="000B25E0" w:rsidP="000B25E0">
      <w:pPr>
        <w:adjustRightInd w:val="0"/>
        <w:snapToGrid w:val="0"/>
        <w:spacing w:line="500" w:lineRule="exact"/>
        <w:jc w:val="center"/>
        <w:rPr>
          <w:rFonts w:ascii="宋体" w:eastAsia="宋体" w:hAnsi="Calibri" w:cs="Times New Roman"/>
          <w:b/>
          <w:bCs/>
          <w:kern w:val="0"/>
          <w:sz w:val="24"/>
        </w:rPr>
      </w:pPr>
      <w:r w:rsidRPr="000B25E0">
        <w:rPr>
          <w:rFonts w:ascii="宋体" w:eastAsia="宋体" w:hAnsi="Calibri" w:cs="Times New Roman" w:hint="eastAsia"/>
          <w:b/>
          <w:bCs/>
          <w:kern w:val="0"/>
          <w:sz w:val="24"/>
        </w:rPr>
        <w:t>期中考试</w:t>
      </w:r>
    </w:p>
    <w:p w14:paraId="51621A8E" w14:textId="77777777" w:rsidR="000B25E0" w:rsidRPr="000B25E0" w:rsidRDefault="000B25E0" w:rsidP="000B25E0">
      <w:pPr>
        <w:adjustRightInd w:val="0"/>
        <w:snapToGrid w:val="0"/>
        <w:spacing w:line="500" w:lineRule="exact"/>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通过考核检验体能训练教学效果和学生掌握情况，让学生了解体质健康标准测验的重要性。</w:t>
      </w:r>
    </w:p>
    <w:p w14:paraId="3BA19FDD"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立定跳远。</w:t>
      </w:r>
    </w:p>
    <w:p w14:paraId="427EB8CD"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沙坑场地，每人跳两次，取最好成绩。</w:t>
      </w:r>
    </w:p>
    <w:p w14:paraId="1284704F"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数量及技术评定分值各为100分，各占总分值的20%，</w:t>
      </w:r>
    </w:p>
    <w:p w14:paraId="7DD54663"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Cs/>
          <w:kern w:val="0"/>
          <w:sz w:val="24"/>
        </w:rPr>
        <w:t>总分值为100分。</w:t>
      </w:r>
    </w:p>
    <w:p w14:paraId="79FA2CF0" w14:textId="77777777" w:rsidR="000B25E0" w:rsidRPr="000B25E0" w:rsidRDefault="000B25E0" w:rsidP="000B25E0">
      <w:pPr>
        <w:adjustRightInd w:val="0"/>
        <w:snapToGrid w:val="0"/>
        <w:spacing w:line="500" w:lineRule="exact"/>
        <w:jc w:val="left"/>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p w14:paraId="0D9ADF76"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0B25E0" w:rsidRPr="000B25E0" w14:paraId="5EE40AFD" w14:textId="77777777" w:rsidTr="00BF5E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97B777B"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60A35358"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4C13081"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大</w:t>
            </w:r>
            <w:proofErr w:type="gramStart"/>
            <w:r w:rsidRPr="000B25E0">
              <w:rPr>
                <w:rFonts w:ascii="宋体" w:eastAsia="宋体" w:hAnsi="宋体" w:cs="宋体" w:hint="eastAsia"/>
                <w:b/>
                <w:kern w:val="0"/>
                <w:sz w:val="24"/>
                <w:lang w:bidi="ar"/>
              </w:rPr>
              <w:t>一</w:t>
            </w:r>
            <w:proofErr w:type="gramEnd"/>
            <w:r w:rsidRPr="000B25E0">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326EC764"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大</w:t>
            </w:r>
            <w:proofErr w:type="gramStart"/>
            <w:r w:rsidRPr="000B25E0">
              <w:rPr>
                <w:rFonts w:ascii="宋体" w:eastAsia="宋体" w:hAnsi="宋体" w:cs="宋体" w:hint="eastAsia"/>
                <w:b/>
                <w:kern w:val="0"/>
                <w:sz w:val="24"/>
                <w:lang w:bidi="ar"/>
              </w:rPr>
              <w:t>一</w:t>
            </w:r>
            <w:proofErr w:type="gramEnd"/>
            <w:r w:rsidRPr="000B25E0">
              <w:rPr>
                <w:rFonts w:ascii="宋体" w:eastAsia="宋体" w:hAnsi="宋体" w:cs="宋体" w:hint="eastAsia"/>
                <w:b/>
                <w:kern w:val="0"/>
                <w:sz w:val="24"/>
                <w:lang w:bidi="ar"/>
              </w:rPr>
              <w:t>女生</w:t>
            </w:r>
          </w:p>
        </w:tc>
      </w:tr>
      <w:tr w:rsidR="000B25E0" w:rsidRPr="000B25E0" w14:paraId="6D2D4B65" w14:textId="77777777" w:rsidTr="00BF5E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D866692"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819E700"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74BFBD7E" w14:textId="77777777" w:rsidR="000B25E0" w:rsidRPr="000B25E0" w:rsidRDefault="000B25E0" w:rsidP="000B25E0">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7AD58A73" w14:textId="77777777" w:rsidR="000B25E0" w:rsidRPr="000B25E0" w:rsidRDefault="000B25E0" w:rsidP="000B25E0">
            <w:pPr>
              <w:jc w:val="center"/>
              <w:rPr>
                <w:rFonts w:ascii="宋体" w:eastAsia="宋体" w:hAnsi="宋体" w:cs="宋体"/>
                <w:b/>
                <w:sz w:val="24"/>
              </w:rPr>
            </w:pPr>
          </w:p>
        </w:tc>
      </w:tr>
      <w:tr w:rsidR="000B25E0" w:rsidRPr="000B25E0" w14:paraId="321D0B0B"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DB25800"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3DE6F102"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5FB8C10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4DD2FC12"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207</w:t>
            </w:r>
          </w:p>
        </w:tc>
      </w:tr>
      <w:tr w:rsidR="000B25E0" w:rsidRPr="000B25E0" w14:paraId="7C063D75"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F3D69EF"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215AD80"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64ADB96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77AE7D34"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201</w:t>
            </w:r>
          </w:p>
        </w:tc>
      </w:tr>
      <w:tr w:rsidR="000B25E0" w:rsidRPr="000B25E0" w14:paraId="1AEC8A7A"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6709E3A"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972E01F"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70D0949"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A2A1175"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195</w:t>
            </w:r>
          </w:p>
        </w:tc>
      </w:tr>
      <w:tr w:rsidR="000B25E0" w:rsidRPr="000B25E0" w14:paraId="677A4C8D"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F891D0B"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A2C2E13"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1BF06B24"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714B0E8E"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188</w:t>
            </w:r>
          </w:p>
        </w:tc>
      </w:tr>
      <w:tr w:rsidR="000B25E0" w:rsidRPr="000B25E0" w14:paraId="0A91DBE7"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9D7BDE0"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49C0F7E"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20B3BC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401F7F1"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181</w:t>
            </w:r>
          </w:p>
        </w:tc>
      </w:tr>
      <w:tr w:rsidR="000B25E0" w:rsidRPr="000B25E0" w14:paraId="7D252D1E"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8ADF06E"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3ED78B0"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283BD1C7"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19EB90F8"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178</w:t>
            </w:r>
          </w:p>
        </w:tc>
      </w:tr>
      <w:tr w:rsidR="000B25E0" w:rsidRPr="000B25E0" w14:paraId="5F14CBBA"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640CC7D"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EF1A329"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270D4E3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447F34AE"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175</w:t>
            </w:r>
          </w:p>
        </w:tc>
      </w:tr>
      <w:tr w:rsidR="000B25E0" w:rsidRPr="000B25E0" w14:paraId="7CA35BA0"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BD89A94"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FAEEAD7"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74743A74"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29F37A3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172</w:t>
            </w:r>
          </w:p>
        </w:tc>
      </w:tr>
      <w:tr w:rsidR="000B25E0" w:rsidRPr="000B25E0" w14:paraId="6D91B3CA"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1FF0150"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EE21B06"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5333A18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7EC8848B"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169</w:t>
            </w:r>
          </w:p>
        </w:tc>
      </w:tr>
      <w:tr w:rsidR="000B25E0" w:rsidRPr="000B25E0" w14:paraId="55399C06"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9AB50C9"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C46E100"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1632766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28F4DFC7"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166</w:t>
            </w:r>
          </w:p>
        </w:tc>
      </w:tr>
      <w:tr w:rsidR="000B25E0" w:rsidRPr="000B25E0" w14:paraId="2D9F6A57"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E237E01"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2A5AE73"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3922538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74EC705C"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163</w:t>
            </w:r>
          </w:p>
        </w:tc>
      </w:tr>
      <w:tr w:rsidR="000B25E0" w:rsidRPr="000B25E0" w14:paraId="57349495"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7BF5B41"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31CA9AC"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5DA61C4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4896AB4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160</w:t>
            </w:r>
          </w:p>
        </w:tc>
      </w:tr>
      <w:tr w:rsidR="000B25E0" w:rsidRPr="000B25E0" w14:paraId="716FECAE"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7350C45"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9247B5F"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379DD037"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3C49AC9E"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157</w:t>
            </w:r>
          </w:p>
        </w:tc>
      </w:tr>
      <w:tr w:rsidR="000B25E0" w:rsidRPr="000B25E0" w14:paraId="263BCFBC"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DD7D3C2"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BE39FC2"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367486B5"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2F608E32"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154</w:t>
            </w:r>
          </w:p>
        </w:tc>
      </w:tr>
      <w:tr w:rsidR="000B25E0" w:rsidRPr="000B25E0" w14:paraId="09EC71BB"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F9D2248"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A390CD5"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9AE17B3"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6D0237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151</w:t>
            </w:r>
          </w:p>
        </w:tc>
      </w:tr>
      <w:tr w:rsidR="000B25E0" w:rsidRPr="000B25E0" w14:paraId="18B265EB"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ED3D7F1"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30101D8E"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754AA4BA"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4B9E7319"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146</w:t>
            </w:r>
          </w:p>
        </w:tc>
      </w:tr>
      <w:tr w:rsidR="000B25E0" w:rsidRPr="000B25E0" w14:paraId="774CFB00"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EFCA810"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DC8306D"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53F68B6E"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344FDFE4"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141</w:t>
            </w:r>
          </w:p>
        </w:tc>
      </w:tr>
      <w:tr w:rsidR="000B25E0" w:rsidRPr="000B25E0" w14:paraId="3A51C754"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F4632A6"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311E9B1"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013EE78C"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65459AD5"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136</w:t>
            </w:r>
          </w:p>
        </w:tc>
      </w:tr>
      <w:tr w:rsidR="000B25E0" w:rsidRPr="000B25E0" w14:paraId="4FE90614"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E58C0AC"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DE47A8C"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213E34A3"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6A761AA4"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131</w:t>
            </w:r>
          </w:p>
        </w:tc>
      </w:tr>
      <w:tr w:rsidR="000B25E0" w:rsidRPr="000B25E0" w14:paraId="4FDE3AC9"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99B1AD0"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E606679"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2347D952"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1668DC75"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126</w:t>
            </w:r>
          </w:p>
        </w:tc>
      </w:tr>
    </w:tbl>
    <w:p w14:paraId="1B821966"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p>
    <w:p w14:paraId="69151281" w14:textId="77777777" w:rsidR="000B25E0" w:rsidRPr="000B25E0" w:rsidRDefault="000B25E0" w:rsidP="000B25E0">
      <w:pPr>
        <w:adjustRightInd w:val="0"/>
        <w:snapToGrid w:val="0"/>
        <w:spacing w:line="500" w:lineRule="exact"/>
        <w:jc w:val="center"/>
        <w:rPr>
          <w:rFonts w:ascii="宋体" w:eastAsia="宋体" w:hAnsi="Calibri" w:cs="Times New Roman"/>
          <w:b/>
          <w:bCs/>
          <w:kern w:val="0"/>
          <w:sz w:val="24"/>
        </w:rPr>
      </w:pPr>
      <w:r w:rsidRPr="000B25E0">
        <w:rPr>
          <w:rFonts w:ascii="宋体" w:eastAsia="宋体" w:hAnsi="Calibri" w:cs="Times New Roman" w:hint="eastAsia"/>
          <w:b/>
          <w:bCs/>
          <w:kern w:val="0"/>
          <w:sz w:val="24"/>
        </w:rPr>
        <w:t>期末考试</w:t>
      </w:r>
    </w:p>
    <w:p w14:paraId="6873BE65" w14:textId="77777777" w:rsidR="000B25E0" w:rsidRPr="000B25E0" w:rsidRDefault="000B25E0" w:rsidP="000B25E0">
      <w:pPr>
        <w:adjustRightInd w:val="0"/>
        <w:snapToGrid w:val="0"/>
        <w:spacing w:line="500" w:lineRule="exact"/>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通过考核检验养生功法教学效果和学生掌握情况，让学生了解选项课内容和科学体育锻炼方式方法。</w:t>
      </w:r>
    </w:p>
    <w:p w14:paraId="3B5C193C"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养生功法</w:t>
      </w:r>
      <w:proofErr w:type="gramStart"/>
      <w:r w:rsidRPr="000B25E0">
        <w:rPr>
          <w:rFonts w:ascii="宋体" w:eastAsia="宋体" w:hAnsi="Calibri" w:cs="Times New Roman" w:hint="eastAsia"/>
          <w:bCs/>
          <w:kern w:val="0"/>
          <w:sz w:val="24"/>
        </w:rPr>
        <w:t>八段锦前半</w:t>
      </w:r>
      <w:proofErr w:type="gramEnd"/>
      <w:r w:rsidRPr="000B25E0">
        <w:rPr>
          <w:rFonts w:ascii="宋体" w:eastAsia="宋体" w:hAnsi="Calibri" w:cs="Times New Roman" w:hint="eastAsia"/>
          <w:bCs/>
          <w:kern w:val="0"/>
          <w:sz w:val="24"/>
        </w:rPr>
        <w:t>部分。</w:t>
      </w:r>
    </w:p>
    <w:p w14:paraId="5740E5E4"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学生分组进行演练，根据动作质量进行打分。</w:t>
      </w:r>
    </w:p>
    <w:p w14:paraId="6FC04686"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分值100分。</w:t>
      </w:r>
    </w:p>
    <w:p w14:paraId="3E5E75B2" w14:textId="77777777" w:rsidR="000B25E0" w:rsidRPr="000B25E0" w:rsidRDefault="000B25E0" w:rsidP="000B25E0">
      <w:pPr>
        <w:adjustRightInd w:val="0"/>
        <w:snapToGrid w:val="0"/>
        <w:spacing w:line="500" w:lineRule="exact"/>
        <w:jc w:val="left"/>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p w14:paraId="48D6009C" w14:textId="77777777" w:rsidR="000B25E0" w:rsidRPr="000B25E0" w:rsidRDefault="000B25E0" w:rsidP="000B25E0">
      <w:pPr>
        <w:adjustRightInd w:val="0"/>
        <w:snapToGrid w:val="0"/>
        <w:spacing w:line="500" w:lineRule="exact"/>
        <w:ind w:firstLineChars="198" w:firstLine="477"/>
        <w:rPr>
          <w:rFonts w:ascii="宋体" w:eastAsia="宋体" w:hAnsi="宋体" w:cs="Arial"/>
          <w:b/>
          <w:bCs/>
          <w:sz w:val="24"/>
        </w:rPr>
      </w:pPr>
      <w:r w:rsidRPr="000B25E0">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0B25E0" w:rsidRPr="000B25E0" w14:paraId="4FAD7510" w14:textId="77777777" w:rsidTr="00BF5EF3">
        <w:tc>
          <w:tcPr>
            <w:tcW w:w="1420" w:type="dxa"/>
            <w:tcBorders>
              <w:top w:val="single" w:sz="4" w:space="0" w:color="auto"/>
              <w:left w:val="single" w:sz="4" w:space="0" w:color="auto"/>
              <w:bottom w:val="single" w:sz="4" w:space="0" w:color="auto"/>
              <w:right w:val="single" w:sz="4" w:space="0" w:color="auto"/>
            </w:tcBorders>
          </w:tcPr>
          <w:p w14:paraId="54E23D6F"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065BA039"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60</w:t>
            </w:r>
            <w:r w:rsidRPr="000B25E0">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041E5678"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1AE7F012"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4EF1980A"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256285A3"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90</w:t>
            </w:r>
            <w:r w:rsidRPr="000B25E0">
              <w:rPr>
                <w:rFonts w:ascii="Arial" w:eastAsia="宋体" w:hAnsi="Arial" w:cs="Arial" w:hint="eastAsia"/>
                <w:sz w:val="18"/>
                <w:szCs w:val="18"/>
              </w:rPr>
              <w:t>以上</w:t>
            </w:r>
          </w:p>
        </w:tc>
      </w:tr>
      <w:tr w:rsidR="000B25E0" w:rsidRPr="000B25E0" w14:paraId="5CA288E1" w14:textId="77777777" w:rsidTr="00BF5EF3">
        <w:trPr>
          <w:trHeight w:val="670"/>
        </w:trPr>
        <w:tc>
          <w:tcPr>
            <w:tcW w:w="1420" w:type="dxa"/>
            <w:tcBorders>
              <w:top w:val="single" w:sz="4" w:space="0" w:color="auto"/>
              <w:left w:val="single" w:sz="4" w:space="0" w:color="auto"/>
              <w:bottom w:val="single" w:sz="4" w:space="0" w:color="auto"/>
              <w:right w:val="single" w:sz="4" w:space="0" w:color="auto"/>
            </w:tcBorders>
          </w:tcPr>
          <w:p w14:paraId="4C70BF27"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p w14:paraId="1C621AEE"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评</w:t>
            </w:r>
          </w:p>
          <w:p w14:paraId="7AAFD52E"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分</w:t>
            </w:r>
          </w:p>
          <w:p w14:paraId="469232CE"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标</w:t>
            </w:r>
          </w:p>
          <w:p w14:paraId="71B3F4A8"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1FBDB97C"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）动作不符合养生功法的基本规格要求；</w:t>
            </w:r>
          </w:p>
          <w:p w14:paraId="4C81859D"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）出现动作顺序错误、不能顺利地完成全套功法。</w:t>
            </w:r>
          </w:p>
          <w:p w14:paraId="1FEFC163"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）态度不认真、无视考试规定；</w:t>
            </w:r>
          </w:p>
          <w:p w14:paraId="4BDAB547"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4</w:t>
            </w:r>
            <w:r w:rsidRPr="000B25E0">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2069351E"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）姿势较正确、动作较清楚</w:t>
            </w:r>
          </w:p>
          <w:p w14:paraId="7F278EF2"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）精神比较集中，体现出一定的养生功法特点，比较顺利地完成全套功法动作。</w:t>
            </w:r>
          </w:p>
          <w:p w14:paraId="2BA3CBF5"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）没有严重的错误和显著的遗漏、遗忘。</w:t>
            </w:r>
          </w:p>
          <w:p w14:paraId="45D43B2A"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79EE86D5"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）姿势比较正确，动作比较连贯、协调。</w:t>
            </w:r>
          </w:p>
          <w:p w14:paraId="4EB78BA5"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）精神集中、劲力顺达、体现出养生功法风格，顺利地完成全套功法动作。</w:t>
            </w:r>
          </w:p>
          <w:p w14:paraId="727512ED"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）没有明显的遗漏、遗忘和严重失误。</w:t>
            </w:r>
          </w:p>
          <w:p w14:paraId="10641413"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6A62C7AF"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）姿势比较正确，动作比较连贯、协调。</w:t>
            </w:r>
          </w:p>
          <w:p w14:paraId="6A9379E9"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）精神集中、劲力顺达、体现出太极</w:t>
            </w:r>
            <w:proofErr w:type="gramStart"/>
            <w:r w:rsidRPr="000B25E0">
              <w:rPr>
                <w:rFonts w:ascii="Arial" w:eastAsia="宋体" w:hAnsi="Arial" w:cs="Arial" w:hint="eastAsia"/>
                <w:sz w:val="18"/>
                <w:szCs w:val="18"/>
              </w:rPr>
              <w:t>拳养</w:t>
            </w:r>
            <w:proofErr w:type="gramEnd"/>
            <w:r w:rsidRPr="000B25E0">
              <w:rPr>
                <w:rFonts w:ascii="Arial" w:eastAsia="宋体" w:hAnsi="Arial" w:cs="Arial" w:hint="eastAsia"/>
                <w:sz w:val="18"/>
                <w:szCs w:val="18"/>
              </w:rPr>
              <w:t>生功法风格，顺利地完成全套功法动作。</w:t>
            </w:r>
          </w:p>
          <w:p w14:paraId="36B8CAB8"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）没有明显的遗漏、遗忘和严重失误。</w:t>
            </w:r>
          </w:p>
          <w:p w14:paraId="6A45BDF9"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1095DE17"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）姿势正确，动作圆活、连贯、协调。</w:t>
            </w:r>
          </w:p>
          <w:p w14:paraId="6075C9A8"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）精神关注、劲力顺达、养生功法风格突出，熟练地完成全套功法动作。</w:t>
            </w:r>
          </w:p>
          <w:p w14:paraId="21C61FCE"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）没有遗漏、遗忘和明显失误。</w:t>
            </w:r>
          </w:p>
          <w:p w14:paraId="48BED948"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r>
    </w:tbl>
    <w:p w14:paraId="626A04E4" w14:textId="77777777" w:rsidR="000B25E0" w:rsidRPr="000B25E0" w:rsidRDefault="000B25E0" w:rsidP="000B25E0">
      <w:pPr>
        <w:spacing w:beforeLines="50" w:before="156" w:afterLines="50" w:after="156" w:line="440" w:lineRule="exact"/>
        <w:ind w:firstLineChars="150" w:firstLine="420"/>
        <w:rPr>
          <w:rFonts w:ascii="黑体" w:eastAsia="黑体" w:hAnsi="黑体" w:cs="Times New Roman"/>
          <w:sz w:val="28"/>
          <w:szCs w:val="28"/>
        </w:rPr>
      </w:pPr>
      <w:r w:rsidRPr="000B25E0">
        <w:rPr>
          <w:rFonts w:ascii="黑体" w:eastAsia="黑体" w:hAnsi="黑体" w:cs="Times New Roman" w:hint="eastAsia"/>
          <w:sz w:val="28"/>
          <w:szCs w:val="28"/>
        </w:rPr>
        <w:t xml:space="preserve">第二学期                  </w:t>
      </w:r>
      <w:r w:rsidRPr="000B25E0">
        <w:rPr>
          <w:rFonts w:ascii="宋体" w:eastAsia="宋体" w:hAnsi="Calibri" w:cs="Times New Roman" w:hint="eastAsia"/>
          <w:b/>
          <w:kern w:val="0"/>
          <w:sz w:val="24"/>
        </w:rPr>
        <w:t>期中考试</w:t>
      </w:r>
    </w:p>
    <w:p w14:paraId="184A80E9"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通过考核检验养生功法教学效果和学生掌握情况，让学生了解选项课内容和科学体育锻炼方式方法。</w:t>
      </w:r>
    </w:p>
    <w:p w14:paraId="7D403B90"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养生功法</w:t>
      </w:r>
      <w:proofErr w:type="gramStart"/>
      <w:r w:rsidRPr="000B25E0">
        <w:rPr>
          <w:rFonts w:ascii="宋体" w:eastAsia="宋体" w:hAnsi="Calibri" w:cs="Times New Roman" w:hint="eastAsia"/>
          <w:bCs/>
          <w:kern w:val="0"/>
          <w:sz w:val="24"/>
        </w:rPr>
        <w:t>八段锦前半</w:t>
      </w:r>
      <w:proofErr w:type="gramEnd"/>
      <w:r w:rsidRPr="000B25E0">
        <w:rPr>
          <w:rFonts w:ascii="宋体" w:eastAsia="宋体" w:hAnsi="Calibri" w:cs="Times New Roman" w:hint="eastAsia"/>
          <w:bCs/>
          <w:kern w:val="0"/>
          <w:sz w:val="24"/>
        </w:rPr>
        <w:t>部分。</w:t>
      </w:r>
    </w:p>
    <w:p w14:paraId="243A0A1C"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学生分组进行演练，根据动作质量进行打分。</w:t>
      </w:r>
    </w:p>
    <w:p w14:paraId="61A2A551"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分值100分。</w:t>
      </w:r>
    </w:p>
    <w:p w14:paraId="37AD09C4"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0B25E0" w:rsidRPr="000B25E0" w14:paraId="096105A7" w14:textId="77777777" w:rsidTr="00BF5EF3">
        <w:trPr>
          <w:jc w:val="center"/>
        </w:trPr>
        <w:tc>
          <w:tcPr>
            <w:tcW w:w="970" w:type="dxa"/>
          </w:tcPr>
          <w:p w14:paraId="045C68E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技术分</w:t>
            </w:r>
          </w:p>
        </w:tc>
        <w:tc>
          <w:tcPr>
            <w:tcW w:w="1183" w:type="dxa"/>
          </w:tcPr>
          <w:p w14:paraId="6831A22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五级制</w:t>
            </w:r>
          </w:p>
        </w:tc>
        <w:tc>
          <w:tcPr>
            <w:tcW w:w="1341" w:type="dxa"/>
          </w:tcPr>
          <w:p w14:paraId="5325FD58"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分值范围</w:t>
            </w:r>
          </w:p>
        </w:tc>
        <w:tc>
          <w:tcPr>
            <w:tcW w:w="3039" w:type="dxa"/>
          </w:tcPr>
          <w:p w14:paraId="7374F0A2"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备注</w:t>
            </w:r>
          </w:p>
        </w:tc>
        <w:tc>
          <w:tcPr>
            <w:tcW w:w="1403" w:type="dxa"/>
          </w:tcPr>
          <w:p w14:paraId="6840649F"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数目</w:t>
            </w:r>
          </w:p>
        </w:tc>
      </w:tr>
      <w:tr w:rsidR="000B25E0" w:rsidRPr="000B25E0" w14:paraId="6AFBD89F" w14:textId="77777777" w:rsidTr="00BF5EF3">
        <w:trPr>
          <w:jc w:val="center"/>
        </w:trPr>
        <w:tc>
          <w:tcPr>
            <w:tcW w:w="970" w:type="dxa"/>
          </w:tcPr>
          <w:p w14:paraId="6A227BA2"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A</w:t>
            </w:r>
          </w:p>
        </w:tc>
        <w:tc>
          <w:tcPr>
            <w:tcW w:w="1183" w:type="dxa"/>
          </w:tcPr>
          <w:p w14:paraId="47EDD6E2"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优</w:t>
            </w:r>
          </w:p>
        </w:tc>
        <w:tc>
          <w:tcPr>
            <w:tcW w:w="1341" w:type="dxa"/>
          </w:tcPr>
          <w:p w14:paraId="0A597E9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90—100</w:t>
            </w:r>
          </w:p>
        </w:tc>
        <w:tc>
          <w:tcPr>
            <w:tcW w:w="3039" w:type="dxa"/>
          </w:tcPr>
          <w:p w14:paraId="2659015A"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姿势正确，动作优美、协调，</w:t>
            </w:r>
          </w:p>
        </w:tc>
        <w:tc>
          <w:tcPr>
            <w:tcW w:w="1403" w:type="dxa"/>
          </w:tcPr>
          <w:p w14:paraId="3F95A58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p>
        </w:tc>
      </w:tr>
      <w:tr w:rsidR="000B25E0" w:rsidRPr="000B25E0" w14:paraId="31F06CB5" w14:textId="77777777" w:rsidTr="00BF5EF3">
        <w:trPr>
          <w:jc w:val="center"/>
        </w:trPr>
        <w:tc>
          <w:tcPr>
            <w:tcW w:w="970" w:type="dxa"/>
          </w:tcPr>
          <w:p w14:paraId="5AB24EE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B</w:t>
            </w:r>
          </w:p>
        </w:tc>
        <w:tc>
          <w:tcPr>
            <w:tcW w:w="1183" w:type="dxa"/>
          </w:tcPr>
          <w:p w14:paraId="05892F8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良好</w:t>
            </w:r>
          </w:p>
        </w:tc>
        <w:tc>
          <w:tcPr>
            <w:tcW w:w="1341" w:type="dxa"/>
          </w:tcPr>
          <w:p w14:paraId="7AF06E48"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80—89</w:t>
            </w:r>
          </w:p>
        </w:tc>
        <w:tc>
          <w:tcPr>
            <w:tcW w:w="3039" w:type="dxa"/>
          </w:tcPr>
          <w:p w14:paraId="74C3BB1C"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姿势较正确，动作自然，</w:t>
            </w:r>
          </w:p>
        </w:tc>
        <w:tc>
          <w:tcPr>
            <w:tcW w:w="1403" w:type="dxa"/>
          </w:tcPr>
          <w:p w14:paraId="13EE2439"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p>
        </w:tc>
      </w:tr>
      <w:tr w:rsidR="000B25E0" w:rsidRPr="000B25E0" w14:paraId="2B7A45B8" w14:textId="77777777" w:rsidTr="00BF5EF3">
        <w:trPr>
          <w:jc w:val="center"/>
        </w:trPr>
        <w:tc>
          <w:tcPr>
            <w:tcW w:w="970" w:type="dxa"/>
          </w:tcPr>
          <w:p w14:paraId="6F8738F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C</w:t>
            </w:r>
          </w:p>
        </w:tc>
        <w:tc>
          <w:tcPr>
            <w:tcW w:w="1183" w:type="dxa"/>
          </w:tcPr>
          <w:p w14:paraId="31A13412"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良</w:t>
            </w:r>
          </w:p>
        </w:tc>
        <w:tc>
          <w:tcPr>
            <w:tcW w:w="1341" w:type="dxa"/>
          </w:tcPr>
          <w:p w14:paraId="1057766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70—79</w:t>
            </w:r>
          </w:p>
        </w:tc>
        <w:tc>
          <w:tcPr>
            <w:tcW w:w="3039" w:type="dxa"/>
          </w:tcPr>
          <w:p w14:paraId="0665009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姿势一般，动作基本正确，</w:t>
            </w:r>
          </w:p>
        </w:tc>
        <w:tc>
          <w:tcPr>
            <w:tcW w:w="1403" w:type="dxa"/>
          </w:tcPr>
          <w:p w14:paraId="6BD37D49"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p>
        </w:tc>
      </w:tr>
      <w:tr w:rsidR="000B25E0" w:rsidRPr="000B25E0" w14:paraId="7E24B212" w14:textId="77777777" w:rsidTr="00BF5EF3">
        <w:trPr>
          <w:jc w:val="center"/>
        </w:trPr>
        <w:tc>
          <w:tcPr>
            <w:tcW w:w="970" w:type="dxa"/>
          </w:tcPr>
          <w:p w14:paraId="0CD1626A"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lastRenderedPageBreak/>
              <w:t>D</w:t>
            </w:r>
          </w:p>
        </w:tc>
        <w:tc>
          <w:tcPr>
            <w:tcW w:w="1183" w:type="dxa"/>
          </w:tcPr>
          <w:p w14:paraId="57B92352"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及格</w:t>
            </w:r>
          </w:p>
        </w:tc>
        <w:tc>
          <w:tcPr>
            <w:tcW w:w="1341" w:type="dxa"/>
          </w:tcPr>
          <w:p w14:paraId="748CDE12"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60—69</w:t>
            </w:r>
          </w:p>
        </w:tc>
        <w:tc>
          <w:tcPr>
            <w:tcW w:w="3039" w:type="dxa"/>
          </w:tcPr>
          <w:p w14:paraId="5B305E3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动作不协调，有多余动作，</w:t>
            </w:r>
          </w:p>
        </w:tc>
        <w:tc>
          <w:tcPr>
            <w:tcW w:w="1403" w:type="dxa"/>
          </w:tcPr>
          <w:p w14:paraId="699B194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p>
        </w:tc>
      </w:tr>
      <w:tr w:rsidR="000B25E0" w:rsidRPr="000B25E0" w14:paraId="67822265" w14:textId="77777777" w:rsidTr="00BF5EF3">
        <w:trPr>
          <w:jc w:val="center"/>
        </w:trPr>
        <w:tc>
          <w:tcPr>
            <w:tcW w:w="970" w:type="dxa"/>
          </w:tcPr>
          <w:p w14:paraId="60D0461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E</w:t>
            </w:r>
          </w:p>
        </w:tc>
        <w:tc>
          <w:tcPr>
            <w:tcW w:w="1183" w:type="dxa"/>
          </w:tcPr>
          <w:p w14:paraId="311E9DD4"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不及格</w:t>
            </w:r>
          </w:p>
        </w:tc>
        <w:tc>
          <w:tcPr>
            <w:tcW w:w="1341" w:type="dxa"/>
          </w:tcPr>
          <w:p w14:paraId="7E9998F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60以下</w:t>
            </w:r>
          </w:p>
        </w:tc>
        <w:tc>
          <w:tcPr>
            <w:tcW w:w="3039" w:type="dxa"/>
          </w:tcPr>
          <w:p w14:paraId="658D47F7"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动作僵硬，吃力，不协调</w:t>
            </w:r>
          </w:p>
        </w:tc>
        <w:tc>
          <w:tcPr>
            <w:tcW w:w="1403" w:type="dxa"/>
          </w:tcPr>
          <w:p w14:paraId="780EB6A7"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p>
        </w:tc>
      </w:tr>
    </w:tbl>
    <w:p w14:paraId="066E751B" w14:textId="77777777" w:rsidR="000B25E0" w:rsidRPr="000B25E0" w:rsidRDefault="000B25E0" w:rsidP="000B25E0">
      <w:pPr>
        <w:adjustRightInd w:val="0"/>
        <w:snapToGrid w:val="0"/>
        <w:spacing w:line="500" w:lineRule="exact"/>
        <w:rPr>
          <w:rFonts w:ascii="宋体" w:eastAsia="宋体" w:hAnsi="Calibri" w:cs="Times New Roman"/>
          <w:bCs/>
          <w:kern w:val="0"/>
          <w:sz w:val="24"/>
        </w:rPr>
      </w:pPr>
    </w:p>
    <w:p w14:paraId="568F3C50"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p>
    <w:p w14:paraId="5009A90C"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期末考试</w:t>
      </w:r>
    </w:p>
    <w:p w14:paraId="1DA6FEFD"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通过考核检验养生功法教学效果和学生掌握情况，让学生了解选项课内容和科学体育锻炼方式方法。</w:t>
      </w:r>
    </w:p>
    <w:p w14:paraId="2A90EA48"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养生功法八段锦</w:t>
      </w:r>
    </w:p>
    <w:p w14:paraId="147892BE"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学生分组进行演练，根据动作质量进行打分。</w:t>
      </w:r>
    </w:p>
    <w:p w14:paraId="70A23A8B"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总分值为100分.</w:t>
      </w:r>
    </w:p>
    <w:p w14:paraId="1AACD731"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p w14:paraId="73C82D78" w14:textId="77777777" w:rsidR="000B25E0" w:rsidRPr="000B25E0" w:rsidRDefault="000B25E0" w:rsidP="000B25E0">
      <w:pPr>
        <w:adjustRightInd w:val="0"/>
        <w:snapToGrid w:val="0"/>
        <w:spacing w:line="500" w:lineRule="exact"/>
        <w:ind w:firstLineChars="198" w:firstLine="475"/>
        <w:rPr>
          <w:rFonts w:ascii="宋体" w:eastAsia="宋体" w:hAnsi="宋体" w:cs="Arial"/>
          <w:b/>
          <w:bCs/>
          <w:sz w:val="24"/>
        </w:rPr>
      </w:pPr>
      <w:r w:rsidRPr="000B25E0">
        <w:rPr>
          <w:rFonts w:ascii="宋体" w:eastAsia="宋体" w:hAnsi="Calibri" w:cs="Times New Roman" w:hint="eastAsia"/>
          <w:bCs/>
          <w:kern w:val="0"/>
          <w:sz w:val="24"/>
        </w:rPr>
        <w:t xml:space="preserve">    </w:t>
      </w:r>
      <w:r w:rsidRPr="000B25E0">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0B25E0" w:rsidRPr="000B25E0" w14:paraId="565898A9" w14:textId="77777777" w:rsidTr="00BF5EF3">
        <w:tc>
          <w:tcPr>
            <w:tcW w:w="1420" w:type="dxa"/>
            <w:tcBorders>
              <w:top w:val="single" w:sz="4" w:space="0" w:color="auto"/>
              <w:left w:val="single" w:sz="4" w:space="0" w:color="auto"/>
              <w:bottom w:val="single" w:sz="4" w:space="0" w:color="auto"/>
              <w:right w:val="single" w:sz="4" w:space="0" w:color="auto"/>
            </w:tcBorders>
          </w:tcPr>
          <w:p w14:paraId="6185370C"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4E9DBB46"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60</w:t>
            </w:r>
            <w:r w:rsidRPr="000B25E0">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14264632"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1B5FB6DF"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41F74029"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456532BF"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90</w:t>
            </w:r>
            <w:r w:rsidRPr="000B25E0">
              <w:rPr>
                <w:rFonts w:ascii="Arial" w:eastAsia="宋体" w:hAnsi="Arial" w:cs="Arial" w:hint="eastAsia"/>
                <w:sz w:val="18"/>
                <w:szCs w:val="18"/>
              </w:rPr>
              <w:t>以上</w:t>
            </w:r>
          </w:p>
        </w:tc>
      </w:tr>
      <w:tr w:rsidR="000B25E0" w:rsidRPr="000B25E0" w14:paraId="15584548" w14:textId="77777777" w:rsidTr="00BF5EF3">
        <w:trPr>
          <w:trHeight w:val="670"/>
        </w:trPr>
        <w:tc>
          <w:tcPr>
            <w:tcW w:w="1420" w:type="dxa"/>
            <w:tcBorders>
              <w:top w:val="single" w:sz="4" w:space="0" w:color="auto"/>
              <w:left w:val="single" w:sz="4" w:space="0" w:color="auto"/>
              <w:bottom w:val="single" w:sz="4" w:space="0" w:color="auto"/>
              <w:right w:val="single" w:sz="4" w:space="0" w:color="auto"/>
            </w:tcBorders>
          </w:tcPr>
          <w:p w14:paraId="1FE56BFB"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p w14:paraId="3F6C34D4"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评</w:t>
            </w:r>
          </w:p>
          <w:p w14:paraId="35338F25"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分</w:t>
            </w:r>
          </w:p>
          <w:p w14:paraId="16074806"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标</w:t>
            </w:r>
          </w:p>
          <w:p w14:paraId="3062CFE5"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59CE4321"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）动作不符合养生功法的基本规格要求；</w:t>
            </w:r>
          </w:p>
          <w:p w14:paraId="58F23901"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）出现动作顺序错误、不能顺利地完成全套功法。</w:t>
            </w:r>
          </w:p>
          <w:p w14:paraId="5F81CA68"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）态度不认真、无视考试规定；</w:t>
            </w:r>
          </w:p>
          <w:p w14:paraId="113ED8F7"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4</w:t>
            </w:r>
            <w:r w:rsidRPr="000B25E0">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331645C3"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）姿势较正确、动作较清楚</w:t>
            </w:r>
          </w:p>
          <w:p w14:paraId="787F0EFF"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）精神比较集中，体现出一定的养生功法特点，比较顺利地完成全套功法动作。</w:t>
            </w:r>
          </w:p>
          <w:p w14:paraId="3D6F3F94"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）没有严重的错误和显著的遗漏、遗忘。</w:t>
            </w:r>
          </w:p>
          <w:p w14:paraId="6FE6DCD1"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06B225C8"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）姿势比较正确，动作比较连贯、协调。</w:t>
            </w:r>
          </w:p>
          <w:p w14:paraId="7B6013D6"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）精神集中、劲力顺达、体现出养生功法风格，顺利地完成全套功法动作。</w:t>
            </w:r>
          </w:p>
          <w:p w14:paraId="2FE60310"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）没有明显的遗漏、遗忘和严重失误。</w:t>
            </w:r>
          </w:p>
          <w:p w14:paraId="26103C47"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57E543DD"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）姿势比较正确，动作比较连贯、协调。</w:t>
            </w:r>
          </w:p>
          <w:p w14:paraId="1169477C"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）精神集中、劲力顺达、体现出太极</w:t>
            </w:r>
            <w:proofErr w:type="gramStart"/>
            <w:r w:rsidRPr="000B25E0">
              <w:rPr>
                <w:rFonts w:ascii="Arial" w:eastAsia="宋体" w:hAnsi="Arial" w:cs="Arial" w:hint="eastAsia"/>
                <w:sz w:val="18"/>
                <w:szCs w:val="18"/>
              </w:rPr>
              <w:t>拳养</w:t>
            </w:r>
            <w:proofErr w:type="gramEnd"/>
            <w:r w:rsidRPr="000B25E0">
              <w:rPr>
                <w:rFonts w:ascii="Arial" w:eastAsia="宋体" w:hAnsi="Arial" w:cs="Arial" w:hint="eastAsia"/>
                <w:sz w:val="18"/>
                <w:szCs w:val="18"/>
              </w:rPr>
              <w:t>生功法风格，顺利地完成全套功法动作。</w:t>
            </w:r>
          </w:p>
          <w:p w14:paraId="0EE81D7E"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）没有明显的遗漏、遗忘和严重失误。</w:t>
            </w:r>
          </w:p>
          <w:p w14:paraId="79C01C26"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5A04D28B"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）姿势正确，动作圆活、连贯、协调。</w:t>
            </w:r>
          </w:p>
          <w:p w14:paraId="060DF857"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）精神关注、劲力顺达、养生功法风格突出，熟练地完成全套功法动作。</w:t>
            </w:r>
          </w:p>
          <w:p w14:paraId="60FCCCEA"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）没有遗漏、遗忘和明显失误。</w:t>
            </w:r>
          </w:p>
          <w:p w14:paraId="5D4E0665"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r>
    </w:tbl>
    <w:p w14:paraId="7666A6E8"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p>
    <w:p w14:paraId="5B1E049F"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第三学期</w:t>
      </w:r>
    </w:p>
    <w:p w14:paraId="29A428CC" w14:textId="77777777" w:rsidR="000B25E0" w:rsidRPr="000B25E0" w:rsidRDefault="000B25E0" w:rsidP="000B25E0">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0B25E0">
        <w:rPr>
          <w:rFonts w:ascii="宋体" w:eastAsia="宋体" w:hAnsi="Calibri" w:cs="Times New Roman" w:hint="eastAsia"/>
          <w:b/>
          <w:kern w:val="0"/>
          <w:sz w:val="24"/>
        </w:rPr>
        <w:t>期中考试</w:t>
      </w:r>
    </w:p>
    <w:p w14:paraId="19BDD634"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通过考核检验养生功法教学效果和学生掌握情况，让学生了解选项课内容和科学体育锻炼方式方法。</w:t>
      </w:r>
    </w:p>
    <w:p w14:paraId="22CF564B"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养生功法易筋经前半部分。</w:t>
      </w:r>
    </w:p>
    <w:p w14:paraId="072E4714"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学生分组进行演练，根据动作质量进行打分。</w:t>
      </w:r>
    </w:p>
    <w:p w14:paraId="156976DA"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p>
    <w:p w14:paraId="0A013F99" w14:textId="77777777" w:rsidR="000B25E0" w:rsidRPr="000B25E0" w:rsidRDefault="000B25E0" w:rsidP="000B25E0">
      <w:pPr>
        <w:autoSpaceDE w:val="0"/>
        <w:autoSpaceDN w:val="0"/>
        <w:adjustRightInd w:val="0"/>
        <w:snapToGrid w:val="0"/>
        <w:spacing w:line="500" w:lineRule="exact"/>
        <w:rPr>
          <w:rFonts w:ascii="宋体" w:eastAsia="宋体" w:hAnsi="Calibri" w:cs="Times New Roman"/>
          <w:bCs/>
          <w:kern w:val="0"/>
          <w:sz w:val="24"/>
        </w:rPr>
      </w:pPr>
      <w:r w:rsidRPr="000B25E0">
        <w:rPr>
          <w:rFonts w:ascii="宋体" w:eastAsia="宋体" w:hAnsi="Calibri" w:cs="Times New Roman" w:hint="eastAsia"/>
          <w:bCs/>
          <w:kern w:val="0"/>
          <w:sz w:val="24"/>
        </w:rPr>
        <w:t>总分值为100分。</w:t>
      </w:r>
    </w:p>
    <w:p w14:paraId="6CF17F1C"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p w14:paraId="07A64DA9" w14:textId="77777777" w:rsidR="000B25E0" w:rsidRPr="000B25E0" w:rsidRDefault="000B25E0" w:rsidP="000B25E0">
      <w:pPr>
        <w:adjustRightInd w:val="0"/>
        <w:snapToGrid w:val="0"/>
        <w:spacing w:line="500" w:lineRule="exact"/>
        <w:ind w:firstLineChars="198" w:firstLine="477"/>
        <w:rPr>
          <w:rFonts w:ascii="宋体" w:eastAsia="宋体" w:hAnsi="宋体" w:cs="Arial"/>
          <w:b/>
          <w:bCs/>
          <w:sz w:val="24"/>
        </w:rPr>
      </w:pPr>
      <w:r w:rsidRPr="000B25E0">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0B25E0" w:rsidRPr="000B25E0" w14:paraId="2BA21B13" w14:textId="77777777" w:rsidTr="00BF5EF3">
        <w:tc>
          <w:tcPr>
            <w:tcW w:w="1420" w:type="dxa"/>
            <w:tcBorders>
              <w:top w:val="single" w:sz="4" w:space="0" w:color="auto"/>
              <w:left w:val="single" w:sz="4" w:space="0" w:color="auto"/>
              <w:bottom w:val="single" w:sz="4" w:space="0" w:color="auto"/>
              <w:right w:val="single" w:sz="4" w:space="0" w:color="auto"/>
            </w:tcBorders>
          </w:tcPr>
          <w:p w14:paraId="11FE02DF"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58C0DA82"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60</w:t>
            </w:r>
            <w:r w:rsidRPr="000B25E0">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798BA196"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7CC2FB10"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5F269384"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65F60EC9"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90</w:t>
            </w:r>
            <w:r w:rsidRPr="000B25E0">
              <w:rPr>
                <w:rFonts w:ascii="Arial" w:eastAsia="宋体" w:hAnsi="Arial" w:cs="Arial" w:hint="eastAsia"/>
                <w:sz w:val="18"/>
                <w:szCs w:val="18"/>
              </w:rPr>
              <w:t>以上</w:t>
            </w:r>
          </w:p>
        </w:tc>
      </w:tr>
      <w:tr w:rsidR="000B25E0" w:rsidRPr="000B25E0" w14:paraId="11EE7E92" w14:textId="77777777" w:rsidTr="00BF5EF3">
        <w:trPr>
          <w:trHeight w:val="670"/>
        </w:trPr>
        <w:tc>
          <w:tcPr>
            <w:tcW w:w="1420" w:type="dxa"/>
            <w:tcBorders>
              <w:top w:val="single" w:sz="4" w:space="0" w:color="auto"/>
              <w:left w:val="single" w:sz="4" w:space="0" w:color="auto"/>
              <w:bottom w:val="single" w:sz="4" w:space="0" w:color="auto"/>
              <w:right w:val="single" w:sz="4" w:space="0" w:color="auto"/>
            </w:tcBorders>
          </w:tcPr>
          <w:p w14:paraId="04F56A84"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p w14:paraId="56040FC9"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评</w:t>
            </w:r>
          </w:p>
          <w:p w14:paraId="74DE76F2"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分</w:t>
            </w:r>
          </w:p>
          <w:p w14:paraId="15861575"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标</w:t>
            </w:r>
          </w:p>
          <w:p w14:paraId="53F1E093"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014154A7"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）动作不符合养生功法的基本规格要求；</w:t>
            </w:r>
          </w:p>
          <w:p w14:paraId="425937B3"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）出现动作顺序错误、不能顺利地完成全套功法。</w:t>
            </w:r>
          </w:p>
          <w:p w14:paraId="73BAAE3C"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）态度不认真、无视考试规定；</w:t>
            </w:r>
          </w:p>
          <w:p w14:paraId="5BBB21CA"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4</w:t>
            </w:r>
            <w:r w:rsidRPr="000B25E0">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350C3519"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）姿势较正确、动作较清楚</w:t>
            </w:r>
          </w:p>
          <w:p w14:paraId="305DDD72"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）精神比较集中，体现出一定的养生功法特点，比较顺利地完成全套功法动作。</w:t>
            </w:r>
          </w:p>
          <w:p w14:paraId="1C051E55"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）没有严重的错误和显著的遗漏、遗忘。</w:t>
            </w:r>
          </w:p>
          <w:p w14:paraId="0B695409"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62C996BD"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）姿势比较正确，动作比较连贯、协调。</w:t>
            </w:r>
          </w:p>
          <w:p w14:paraId="6AA8B6B6"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）精神集中、劲力顺达、体现出养生功法风格，顺利地完成全套功法动作。</w:t>
            </w:r>
          </w:p>
          <w:p w14:paraId="65764D17"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）没有明显的遗漏、遗忘和严重失误。</w:t>
            </w:r>
          </w:p>
          <w:p w14:paraId="0678578E"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51C3A126"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）姿势比较正确，动作比较连贯、协调。</w:t>
            </w:r>
          </w:p>
          <w:p w14:paraId="590A2258"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）精神集中、劲力顺达、体现出太极</w:t>
            </w:r>
            <w:proofErr w:type="gramStart"/>
            <w:r w:rsidRPr="000B25E0">
              <w:rPr>
                <w:rFonts w:ascii="Arial" w:eastAsia="宋体" w:hAnsi="Arial" w:cs="Arial" w:hint="eastAsia"/>
                <w:sz w:val="18"/>
                <w:szCs w:val="18"/>
              </w:rPr>
              <w:t>拳养</w:t>
            </w:r>
            <w:proofErr w:type="gramEnd"/>
            <w:r w:rsidRPr="000B25E0">
              <w:rPr>
                <w:rFonts w:ascii="Arial" w:eastAsia="宋体" w:hAnsi="Arial" w:cs="Arial" w:hint="eastAsia"/>
                <w:sz w:val="18"/>
                <w:szCs w:val="18"/>
              </w:rPr>
              <w:t>生功法风格，顺利地完成全套功法动作。</w:t>
            </w:r>
          </w:p>
          <w:p w14:paraId="74D46740"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）没有明显的遗漏、遗忘和严重失误。</w:t>
            </w:r>
          </w:p>
          <w:p w14:paraId="138A07ED"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315EC45F"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）姿势正确，动作圆活、连贯、协调。</w:t>
            </w:r>
          </w:p>
          <w:p w14:paraId="1BA04FF9"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）精神关注、劲力顺达、养生功法风格突出，熟练地完成全套功法动作。</w:t>
            </w:r>
          </w:p>
          <w:p w14:paraId="7028C6AA"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）没有遗漏、遗忘和明显失误。</w:t>
            </w:r>
          </w:p>
          <w:p w14:paraId="675A6556"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r>
    </w:tbl>
    <w:p w14:paraId="057A50DA" w14:textId="77777777" w:rsidR="000B25E0" w:rsidRPr="000B25E0" w:rsidRDefault="000B25E0" w:rsidP="000B25E0">
      <w:pPr>
        <w:autoSpaceDE w:val="0"/>
        <w:autoSpaceDN w:val="0"/>
        <w:adjustRightInd w:val="0"/>
        <w:snapToGrid w:val="0"/>
        <w:spacing w:line="500" w:lineRule="exact"/>
        <w:rPr>
          <w:rFonts w:ascii="宋体" w:eastAsia="宋体" w:hAnsi="Calibri" w:cs="Times New Roman"/>
          <w:b/>
          <w:kern w:val="0"/>
          <w:sz w:val="24"/>
        </w:rPr>
      </w:pPr>
    </w:p>
    <w:p w14:paraId="407C7C4F" w14:textId="77777777" w:rsidR="000B25E0" w:rsidRPr="000B25E0" w:rsidRDefault="000B25E0" w:rsidP="000B25E0">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0B25E0">
        <w:rPr>
          <w:rFonts w:ascii="宋体" w:eastAsia="宋体" w:hAnsi="Calibri" w:cs="Times New Roman" w:hint="eastAsia"/>
          <w:b/>
          <w:kern w:val="0"/>
          <w:sz w:val="24"/>
        </w:rPr>
        <w:lastRenderedPageBreak/>
        <w:t>期末考试</w:t>
      </w:r>
    </w:p>
    <w:p w14:paraId="02B9B69F"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通过考核检验养生功法教学效果和学生掌握情况，让学生了解选项课内容和科学体育锻炼方式方法。</w:t>
      </w:r>
    </w:p>
    <w:p w14:paraId="299FB606"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养生功法易筋经。</w:t>
      </w:r>
    </w:p>
    <w:p w14:paraId="6F16C9DD"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学生分组进行演练，根据动作质量进行打分。</w:t>
      </w:r>
    </w:p>
    <w:p w14:paraId="584B1147"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数量及技术评定分值各为100分，各占总分值的50%，</w:t>
      </w:r>
    </w:p>
    <w:p w14:paraId="52E2C382" w14:textId="77777777" w:rsidR="000B25E0" w:rsidRPr="000B25E0" w:rsidRDefault="000B25E0" w:rsidP="000B25E0">
      <w:pPr>
        <w:autoSpaceDE w:val="0"/>
        <w:autoSpaceDN w:val="0"/>
        <w:adjustRightInd w:val="0"/>
        <w:snapToGrid w:val="0"/>
        <w:spacing w:line="500" w:lineRule="exact"/>
        <w:ind w:firstLineChars="200" w:firstLine="480"/>
        <w:rPr>
          <w:rFonts w:ascii="宋体" w:eastAsia="宋体" w:hAnsi="Calibri" w:cs="Times New Roman"/>
          <w:bCs/>
          <w:kern w:val="0"/>
          <w:sz w:val="24"/>
        </w:rPr>
      </w:pPr>
      <w:r w:rsidRPr="000B25E0">
        <w:rPr>
          <w:rFonts w:ascii="宋体" w:eastAsia="宋体" w:hAnsi="Calibri" w:cs="Times New Roman" w:hint="eastAsia"/>
          <w:bCs/>
          <w:kern w:val="0"/>
          <w:sz w:val="24"/>
        </w:rPr>
        <w:t>总分值为100分。</w:t>
      </w:r>
    </w:p>
    <w:p w14:paraId="60732F96"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5.评分记分原则：</w:t>
      </w:r>
      <w:r w:rsidRPr="000B25E0">
        <w:rPr>
          <w:rFonts w:ascii="宋体" w:eastAsia="宋体" w:hAnsi="Calibri" w:cs="Times New Roman" w:hint="eastAsia"/>
          <w:bCs/>
          <w:kern w:val="0"/>
          <w:sz w:val="24"/>
        </w:rPr>
        <w:t xml:space="preserve">                                                                                              </w:t>
      </w:r>
    </w:p>
    <w:p w14:paraId="3DF573C5" w14:textId="77777777" w:rsidR="000B25E0" w:rsidRPr="000B25E0" w:rsidRDefault="000B25E0" w:rsidP="000B25E0">
      <w:pPr>
        <w:adjustRightInd w:val="0"/>
        <w:snapToGrid w:val="0"/>
        <w:spacing w:line="500" w:lineRule="exact"/>
        <w:ind w:firstLineChars="198" w:firstLine="477"/>
        <w:rPr>
          <w:rFonts w:ascii="宋体" w:eastAsia="宋体" w:hAnsi="宋体" w:cs="Arial"/>
          <w:b/>
          <w:bCs/>
          <w:sz w:val="24"/>
        </w:rPr>
      </w:pPr>
      <w:r w:rsidRPr="000B25E0">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0B25E0" w:rsidRPr="000B25E0" w14:paraId="2437A405" w14:textId="77777777" w:rsidTr="00BF5EF3">
        <w:tc>
          <w:tcPr>
            <w:tcW w:w="1420" w:type="dxa"/>
            <w:tcBorders>
              <w:top w:val="single" w:sz="4" w:space="0" w:color="auto"/>
              <w:left w:val="single" w:sz="4" w:space="0" w:color="auto"/>
              <w:bottom w:val="single" w:sz="4" w:space="0" w:color="auto"/>
              <w:right w:val="single" w:sz="4" w:space="0" w:color="auto"/>
            </w:tcBorders>
          </w:tcPr>
          <w:p w14:paraId="0C672416"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6BE01976"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60</w:t>
            </w:r>
            <w:r w:rsidRPr="000B25E0">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0F3DA9EC"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4BAC857F"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348A2CE8"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33E99CF8"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90</w:t>
            </w:r>
            <w:r w:rsidRPr="000B25E0">
              <w:rPr>
                <w:rFonts w:ascii="Arial" w:eastAsia="宋体" w:hAnsi="Arial" w:cs="Arial" w:hint="eastAsia"/>
                <w:sz w:val="18"/>
                <w:szCs w:val="18"/>
              </w:rPr>
              <w:t>以上</w:t>
            </w:r>
          </w:p>
        </w:tc>
      </w:tr>
      <w:tr w:rsidR="000B25E0" w:rsidRPr="000B25E0" w14:paraId="3B9CDB4F" w14:textId="77777777" w:rsidTr="00BF5EF3">
        <w:trPr>
          <w:trHeight w:val="670"/>
        </w:trPr>
        <w:tc>
          <w:tcPr>
            <w:tcW w:w="1420" w:type="dxa"/>
            <w:tcBorders>
              <w:top w:val="single" w:sz="4" w:space="0" w:color="auto"/>
              <w:left w:val="single" w:sz="4" w:space="0" w:color="auto"/>
              <w:bottom w:val="single" w:sz="4" w:space="0" w:color="auto"/>
              <w:right w:val="single" w:sz="4" w:space="0" w:color="auto"/>
            </w:tcBorders>
          </w:tcPr>
          <w:p w14:paraId="059C2A10"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p w14:paraId="53065DE9"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评</w:t>
            </w:r>
          </w:p>
          <w:p w14:paraId="364D9307"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分</w:t>
            </w:r>
          </w:p>
          <w:p w14:paraId="590E5626"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标</w:t>
            </w:r>
          </w:p>
          <w:p w14:paraId="160BCB25"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5D7D0E06"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）动作不符合养生功法的基本规格要求；</w:t>
            </w:r>
          </w:p>
          <w:p w14:paraId="218FF63D"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）出现动作顺序错误、不能顺利地完成全套功法。</w:t>
            </w:r>
          </w:p>
          <w:p w14:paraId="2AE657E1"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）态度不认真、无视考试规定；</w:t>
            </w:r>
          </w:p>
          <w:p w14:paraId="61C624C8"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4</w:t>
            </w:r>
            <w:r w:rsidRPr="000B25E0">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097E08E4"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）姿势较正确、动作较清楚</w:t>
            </w:r>
          </w:p>
          <w:p w14:paraId="4327CC73"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）精神比较集中，体现出一定的养生功法特点，比较顺利地完成全套功法动作。</w:t>
            </w:r>
          </w:p>
          <w:p w14:paraId="68DB2567"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）没有严重的错误和显著的遗漏、遗忘。</w:t>
            </w:r>
          </w:p>
          <w:p w14:paraId="3A36C127"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619CBBC0"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）姿势比较正确，动作比较连贯、协调。</w:t>
            </w:r>
          </w:p>
          <w:p w14:paraId="54DB92A2"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）精神集中、劲力顺达、体现出养生功法风格，顺利地完成全套功法动作。</w:t>
            </w:r>
          </w:p>
          <w:p w14:paraId="0695418C"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）没有明显的遗漏、遗忘和严重失误。</w:t>
            </w:r>
          </w:p>
          <w:p w14:paraId="27005288"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526AE77F"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）姿势比较正确，动作比较连贯、协调。</w:t>
            </w:r>
          </w:p>
          <w:p w14:paraId="6A3FE6E6"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）精神集中、劲力顺达、体现出太极</w:t>
            </w:r>
            <w:proofErr w:type="gramStart"/>
            <w:r w:rsidRPr="000B25E0">
              <w:rPr>
                <w:rFonts w:ascii="Arial" w:eastAsia="宋体" w:hAnsi="Arial" w:cs="Arial" w:hint="eastAsia"/>
                <w:sz w:val="18"/>
                <w:szCs w:val="18"/>
              </w:rPr>
              <w:t>拳养</w:t>
            </w:r>
            <w:proofErr w:type="gramEnd"/>
            <w:r w:rsidRPr="000B25E0">
              <w:rPr>
                <w:rFonts w:ascii="Arial" w:eastAsia="宋体" w:hAnsi="Arial" w:cs="Arial" w:hint="eastAsia"/>
                <w:sz w:val="18"/>
                <w:szCs w:val="18"/>
              </w:rPr>
              <w:t>生功法风格，顺利地完成全套功法动作。</w:t>
            </w:r>
          </w:p>
          <w:p w14:paraId="3089F7BF"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）没有明显的遗漏、遗忘和严重失误。</w:t>
            </w:r>
          </w:p>
          <w:p w14:paraId="37F22D55"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60C1F2A3"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）姿势正确，动作圆活、连贯、协调。</w:t>
            </w:r>
          </w:p>
          <w:p w14:paraId="0B86527A"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）精神关注、劲力顺达、养生功法风格突出，熟练地完成全套功法动作。</w:t>
            </w:r>
          </w:p>
          <w:p w14:paraId="3B16BE14"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）没有遗漏、遗忘和明显失误。</w:t>
            </w:r>
          </w:p>
          <w:p w14:paraId="7286E219"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r>
    </w:tbl>
    <w:p w14:paraId="0B9633DA" w14:textId="77777777" w:rsidR="000B25E0" w:rsidRPr="000B25E0" w:rsidRDefault="000B25E0" w:rsidP="000B25E0">
      <w:pPr>
        <w:spacing w:beforeLines="50" w:before="156" w:afterLines="50" w:after="156" w:line="440" w:lineRule="exact"/>
        <w:ind w:firstLineChars="150" w:firstLine="420"/>
        <w:rPr>
          <w:rFonts w:ascii="黑体" w:eastAsia="黑体" w:hAnsi="黑体" w:cs="Times New Roman"/>
          <w:sz w:val="28"/>
          <w:szCs w:val="28"/>
        </w:rPr>
      </w:pPr>
      <w:r w:rsidRPr="000B25E0">
        <w:rPr>
          <w:rFonts w:ascii="黑体" w:eastAsia="黑体" w:hAnsi="黑体" w:cs="Times New Roman" w:hint="eastAsia"/>
          <w:sz w:val="28"/>
          <w:szCs w:val="28"/>
        </w:rPr>
        <w:t>第四学期</w:t>
      </w:r>
    </w:p>
    <w:p w14:paraId="1C4FF6FB"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期中考试</w:t>
      </w:r>
    </w:p>
    <w:p w14:paraId="42C2CB48"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通过考核检验养生功法教学效果和学生掌握情况，让学生了解</w:t>
      </w:r>
      <w:r w:rsidRPr="000B25E0">
        <w:rPr>
          <w:rFonts w:ascii="宋体" w:eastAsia="宋体" w:hAnsi="Calibri" w:cs="Times New Roman" w:hint="eastAsia"/>
          <w:bCs/>
          <w:kern w:val="0"/>
          <w:sz w:val="24"/>
        </w:rPr>
        <w:lastRenderedPageBreak/>
        <w:t>选项课内容和科学体育锻炼方式方法。</w:t>
      </w:r>
    </w:p>
    <w:p w14:paraId="45FD69AA"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养生功法</w:t>
      </w:r>
      <w:proofErr w:type="gramStart"/>
      <w:r w:rsidRPr="000B25E0">
        <w:rPr>
          <w:rFonts w:ascii="宋体" w:eastAsia="宋体" w:hAnsi="Calibri" w:cs="Times New Roman" w:hint="eastAsia"/>
          <w:bCs/>
          <w:kern w:val="0"/>
          <w:sz w:val="24"/>
        </w:rPr>
        <w:t>八段锦前半</w:t>
      </w:r>
      <w:proofErr w:type="gramEnd"/>
      <w:r w:rsidRPr="000B25E0">
        <w:rPr>
          <w:rFonts w:ascii="宋体" w:eastAsia="宋体" w:hAnsi="Calibri" w:cs="Times New Roman" w:hint="eastAsia"/>
          <w:bCs/>
          <w:kern w:val="0"/>
          <w:sz w:val="24"/>
        </w:rPr>
        <w:t>部分。</w:t>
      </w:r>
    </w:p>
    <w:p w14:paraId="25CB76CD"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学生分组进行演练，根据动作质量进行打分。</w:t>
      </w:r>
    </w:p>
    <w:p w14:paraId="09995A5D"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分值100分。</w:t>
      </w:r>
    </w:p>
    <w:p w14:paraId="5B2C44A0"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p w14:paraId="4C5199B9" w14:textId="77777777" w:rsidR="000B25E0" w:rsidRPr="000B25E0" w:rsidRDefault="000B25E0" w:rsidP="000B25E0">
      <w:pPr>
        <w:adjustRightInd w:val="0"/>
        <w:snapToGrid w:val="0"/>
        <w:spacing w:line="500" w:lineRule="exact"/>
        <w:ind w:firstLineChars="198" w:firstLine="477"/>
        <w:rPr>
          <w:rFonts w:ascii="宋体" w:eastAsia="宋体" w:hAnsi="宋体" w:cs="Arial"/>
          <w:b/>
          <w:bCs/>
          <w:sz w:val="24"/>
        </w:rPr>
      </w:pPr>
      <w:r w:rsidRPr="000B25E0">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0B25E0" w:rsidRPr="000B25E0" w14:paraId="5ADA6A2F" w14:textId="77777777" w:rsidTr="00BF5EF3">
        <w:tc>
          <w:tcPr>
            <w:tcW w:w="1420" w:type="dxa"/>
            <w:tcBorders>
              <w:top w:val="single" w:sz="4" w:space="0" w:color="auto"/>
              <w:left w:val="single" w:sz="4" w:space="0" w:color="auto"/>
              <w:bottom w:val="single" w:sz="4" w:space="0" w:color="auto"/>
              <w:right w:val="single" w:sz="4" w:space="0" w:color="auto"/>
            </w:tcBorders>
          </w:tcPr>
          <w:p w14:paraId="718321C0"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4EB2B0E5"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60</w:t>
            </w:r>
            <w:r w:rsidRPr="000B25E0">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38391BA1"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01E5D28C"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68CAFD47"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4E638461"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90</w:t>
            </w:r>
            <w:r w:rsidRPr="000B25E0">
              <w:rPr>
                <w:rFonts w:ascii="Arial" w:eastAsia="宋体" w:hAnsi="Arial" w:cs="Arial" w:hint="eastAsia"/>
                <w:sz w:val="18"/>
                <w:szCs w:val="18"/>
              </w:rPr>
              <w:t>以上</w:t>
            </w:r>
          </w:p>
        </w:tc>
      </w:tr>
      <w:tr w:rsidR="000B25E0" w:rsidRPr="000B25E0" w14:paraId="74454B0C" w14:textId="77777777" w:rsidTr="00BF5EF3">
        <w:trPr>
          <w:trHeight w:val="670"/>
        </w:trPr>
        <w:tc>
          <w:tcPr>
            <w:tcW w:w="1420" w:type="dxa"/>
            <w:tcBorders>
              <w:top w:val="single" w:sz="4" w:space="0" w:color="auto"/>
              <w:left w:val="single" w:sz="4" w:space="0" w:color="auto"/>
              <w:bottom w:val="single" w:sz="4" w:space="0" w:color="auto"/>
              <w:right w:val="single" w:sz="4" w:space="0" w:color="auto"/>
            </w:tcBorders>
          </w:tcPr>
          <w:p w14:paraId="08286AF7"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p w14:paraId="119C29B3"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评</w:t>
            </w:r>
          </w:p>
          <w:p w14:paraId="2EF872B3"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分</w:t>
            </w:r>
          </w:p>
          <w:p w14:paraId="0C54F920"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标</w:t>
            </w:r>
          </w:p>
          <w:p w14:paraId="32E5E7AA"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38F53096"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）动作不符合养生功法的基本规格要求；</w:t>
            </w:r>
          </w:p>
          <w:p w14:paraId="3155BD70"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）出现动作顺序错误、不能顺利地完成全套功法。</w:t>
            </w:r>
          </w:p>
          <w:p w14:paraId="41514E73"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）态度不认真、无视考试规定；</w:t>
            </w:r>
          </w:p>
          <w:p w14:paraId="673B66AB"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4</w:t>
            </w:r>
            <w:r w:rsidRPr="000B25E0">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6CDEA69A"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）姿势较正确、动作较清楚</w:t>
            </w:r>
          </w:p>
          <w:p w14:paraId="34AA6525"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）精神比较集中，体现出一定的养生功法特点，比较顺利地完成全套功法动作。</w:t>
            </w:r>
          </w:p>
          <w:p w14:paraId="07F71862"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）没有严重的错误和显著的遗漏、遗忘。</w:t>
            </w:r>
          </w:p>
          <w:p w14:paraId="2D6F1635"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19B3C859"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）姿势比较正确，动作比较连贯、协调。</w:t>
            </w:r>
          </w:p>
          <w:p w14:paraId="2119B0B0"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）精神集中、劲力顺达、体现出养生功法风格，顺利地完成全套功法动作。</w:t>
            </w:r>
          </w:p>
          <w:p w14:paraId="719C05CF"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）没有明显的遗漏、遗忘和严重失误。</w:t>
            </w:r>
          </w:p>
          <w:p w14:paraId="0997C70B"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1EBBB9C1"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）姿势比较正确，动作比较连贯、协调。</w:t>
            </w:r>
          </w:p>
          <w:p w14:paraId="22D1E2E7"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）精神集中、劲力顺达、体现出太极</w:t>
            </w:r>
            <w:proofErr w:type="gramStart"/>
            <w:r w:rsidRPr="000B25E0">
              <w:rPr>
                <w:rFonts w:ascii="Arial" w:eastAsia="宋体" w:hAnsi="Arial" w:cs="Arial" w:hint="eastAsia"/>
                <w:sz w:val="18"/>
                <w:szCs w:val="18"/>
              </w:rPr>
              <w:t>拳养</w:t>
            </w:r>
            <w:proofErr w:type="gramEnd"/>
            <w:r w:rsidRPr="000B25E0">
              <w:rPr>
                <w:rFonts w:ascii="Arial" w:eastAsia="宋体" w:hAnsi="Arial" w:cs="Arial" w:hint="eastAsia"/>
                <w:sz w:val="18"/>
                <w:szCs w:val="18"/>
              </w:rPr>
              <w:t>生功法风格，顺利地完成全套功法动作。</w:t>
            </w:r>
          </w:p>
          <w:p w14:paraId="68FA7DD3"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）没有明显的遗漏、遗忘和严重失误。</w:t>
            </w:r>
          </w:p>
          <w:p w14:paraId="6CB9F38C"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34C13147"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）姿势正确，动作圆活、连贯、协调。</w:t>
            </w:r>
          </w:p>
          <w:p w14:paraId="728C4E87"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）精神关注、劲力顺达、养生功法风格突出，熟练地完成全套功法动作。</w:t>
            </w:r>
          </w:p>
          <w:p w14:paraId="0BAD73CD"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）没有遗漏、遗忘和明显失误。</w:t>
            </w:r>
          </w:p>
          <w:p w14:paraId="18404289"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r>
    </w:tbl>
    <w:p w14:paraId="215CFDED" w14:textId="77777777" w:rsidR="000B25E0" w:rsidRPr="000B25E0" w:rsidRDefault="000B25E0" w:rsidP="000B25E0">
      <w:pPr>
        <w:adjustRightInd w:val="0"/>
        <w:snapToGrid w:val="0"/>
        <w:spacing w:line="500" w:lineRule="exact"/>
        <w:ind w:firstLineChars="1800" w:firstLine="4337"/>
        <w:rPr>
          <w:rFonts w:ascii="宋体" w:eastAsia="宋体" w:hAnsi="Calibri" w:cs="Times New Roman"/>
          <w:b/>
          <w:kern w:val="0"/>
          <w:sz w:val="24"/>
        </w:rPr>
      </w:pPr>
      <w:r w:rsidRPr="000B25E0">
        <w:rPr>
          <w:rFonts w:ascii="宋体" w:eastAsia="宋体" w:hAnsi="Calibri" w:cs="Times New Roman" w:hint="eastAsia"/>
          <w:b/>
          <w:kern w:val="0"/>
          <w:sz w:val="24"/>
        </w:rPr>
        <w:t>期末考试</w:t>
      </w:r>
    </w:p>
    <w:p w14:paraId="07863C9A"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通过考核检验养生功法教学效果和学生掌握情况，让学生了解选项课内容和科学体育锻炼方式方法。</w:t>
      </w:r>
    </w:p>
    <w:p w14:paraId="43CF88B5"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养生功法八段锦。</w:t>
      </w:r>
    </w:p>
    <w:p w14:paraId="0BBC5A67"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学生分组进行演练，根据动作质量进行打分。</w:t>
      </w:r>
    </w:p>
    <w:p w14:paraId="53E4E24E"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总分值为100分.</w:t>
      </w:r>
    </w:p>
    <w:p w14:paraId="0ECAAFB8"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p w14:paraId="10C3D01B" w14:textId="77777777" w:rsidR="000B25E0" w:rsidRPr="000B25E0" w:rsidRDefault="000B25E0" w:rsidP="000B25E0">
      <w:pPr>
        <w:adjustRightInd w:val="0"/>
        <w:snapToGrid w:val="0"/>
        <w:spacing w:line="500" w:lineRule="exact"/>
        <w:ind w:firstLineChars="198" w:firstLine="475"/>
        <w:rPr>
          <w:rFonts w:ascii="宋体" w:eastAsia="宋体" w:hAnsi="宋体" w:cs="Arial"/>
          <w:b/>
          <w:bCs/>
          <w:sz w:val="24"/>
        </w:rPr>
      </w:pPr>
      <w:r w:rsidRPr="000B25E0">
        <w:rPr>
          <w:rFonts w:ascii="宋体" w:eastAsia="宋体" w:hAnsi="Calibri" w:cs="Times New Roman" w:hint="eastAsia"/>
          <w:bCs/>
          <w:kern w:val="0"/>
          <w:sz w:val="24"/>
        </w:rPr>
        <w:lastRenderedPageBreak/>
        <w:t xml:space="preserve"> </w:t>
      </w:r>
      <w:r w:rsidRPr="000B25E0">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0B25E0" w:rsidRPr="000B25E0" w14:paraId="648C1989" w14:textId="77777777" w:rsidTr="00BF5EF3">
        <w:tc>
          <w:tcPr>
            <w:tcW w:w="1420" w:type="dxa"/>
            <w:tcBorders>
              <w:top w:val="single" w:sz="4" w:space="0" w:color="auto"/>
              <w:left w:val="single" w:sz="4" w:space="0" w:color="auto"/>
              <w:bottom w:val="single" w:sz="4" w:space="0" w:color="auto"/>
              <w:right w:val="single" w:sz="4" w:space="0" w:color="auto"/>
            </w:tcBorders>
          </w:tcPr>
          <w:p w14:paraId="4313605E"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5964D7B4"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60</w:t>
            </w:r>
            <w:r w:rsidRPr="000B25E0">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0CB40144"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70A13E41"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74DE386C"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0C278E55"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90</w:t>
            </w:r>
            <w:r w:rsidRPr="000B25E0">
              <w:rPr>
                <w:rFonts w:ascii="Arial" w:eastAsia="宋体" w:hAnsi="Arial" w:cs="Arial" w:hint="eastAsia"/>
                <w:sz w:val="18"/>
                <w:szCs w:val="18"/>
              </w:rPr>
              <w:t>以上</w:t>
            </w:r>
          </w:p>
        </w:tc>
      </w:tr>
      <w:tr w:rsidR="000B25E0" w:rsidRPr="000B25E0" w14:paraId="25183699" w14:textId="77777777" w:rsidTr="00BF5EF3">
        <w:trPr>
          <w:trHeight w:val="670"/>
        </w:trPr>
        <w:tc>
          <w:tcPr>
            <w:tcW w:w="1420" w:type="dxa"/>
            <w:tcBorders>
              <w:top w:val="single" w:sz="4" w:space="0" w:color="auto"/>
              <w:left w:val="single" w:sz="4" w:space="0" w:color="auto"/>
              <w:bottom w:val="single" w:sz="4" w:space="0" w:color="auto"/>
              <w:right w:val="single" w:sz="4" w:space="0" w:color="auto"/>
            </w:tcBorders>
          </w:tcPr>
          <w:p w14:paraId="6DBC819F"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p w14:paraId="73C59D54"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评</w:t>
            </w:r>
          </w:p>
          <w:p w14:paraId="7F31A75B"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分</w:t>
            </w:r>
          </w:p>
          <w:p w14:paraId="2EEE5A67"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标</w:t>
            </w:r>
          </w:p>
          <w:p w14:paraId="090EDD24"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r w:rsidRPr="000B25E0">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1A4658A4"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）动作不符合养生功法的基本规格要求；</w:t>
            </w:r>
          </w:p>
          <w:p w14:paraId="17C345A6"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）出现动作顺序错误、不能顺利地完成全套功法。</w:t>
            </w:r>
          </w:p>
          <w:p w14:paraId="3953C261"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）态度不认真、无视考试规定；</w:t>
            </w:r>
          </w:p>
          <w:p w14:paraId="5D54CB3E"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4</w:t>
            </w:r>
            <w:r w:rsidRPr="000B25E0">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1905F8B8"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）姿势较正确、动作较清楚</w:t>
            </w:r>
          </w:p>
          <w:p w14:paraId="1523739A"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）精神比较集中，体现出一定的养生功法特点，比较顺利地完成全套功法动作。</w:t>
            </w:r>
          </w:p>
          <w:p w14:paraId="0C169CBC"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）没有严重的错误和显著的遗漏、遗忘。</w:t>
            </w:r>
          </w:p>
          <w:p w14:paraId="5A879E34"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1FCD1CCA"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）姿势比较正确，动作比较连贯、协调。</w:t>
            </w:r>
          </w:p>
          <w:p w14:paraId="1AD63A71"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）精神集中、劲力顺达、体现出养生功法风格，顺利地完成全套功法动作。</w:t>
            </w:r>
          </w:p>
          <w:p w14:paraId="278CB85A"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）没有明显的遗漏、遗忘和严重失误。</w:t>
            </w:r>
          </w:p>
          <w:p w14:paraId="5C890A1E"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10560E4C"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）姿势比较正确，动作比较连贯、协调。</w:t>
            </w:r>
          </w:p>
          <w:p w14:paraId="506F3494"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）精神集中、劲力顺达、体现出太极</w:t>
            </w:r>
            <w:proofErr w:type="gramStart"/>
            <w:r w:rsidRPr="000B25E0">
              <w:rPr>
                <w:rFonts w:ascii="Arial" w:eastAsia="宋体" w:hAnsi="Arial" w:cs="Arial" w:hint="eastAsia"/>
                <w:sz w:val="18"/>
                <w:szCs w:val="18"/>
              </w:rPr>
              <w:t>拳养</w:t>
            </w:r>
            <w:proofErr w:type="gramEnd"/>
            <w:r w:rsidRPr="000B25E0">
              <w:rPr>
                <w:rFonts w:ascii="Arial" w:eastAsia="宋体" w:hAnsi="Arial" w:cs="Arial" w:hint="eastAsia"/>
                <w:sz w:val="18"/>
                <w:szCs w:val="18"/>
              </w:rPr>
              <w:t>生功法风格，顺利地完成全套功法动作。</w:t>
            </w:r>
          </w:p>
          <w:p w14:paraId="5540E9BB"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）没有明显的遗漏、遗忘和严重失误。</w:t>
            </w:r>
          </w:p>
          <w:p w14:paraId="36538E37"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3E83A14F"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1</w:t>
            </w:r>
            <w:r w:rsidRPr="000B25E0">
              <w:rPr>
                <w:rFonts w:ascii="Arial" w:eastAsia="宋体" w:hAnsi="Arial" w:cs="Arial" w:hint="eastAsia"/>
                <w:sz w:val="18"/>
                <w:szCs w:val="18"/>
              </w:rPr>
              <w:t>）姿势正确，动作圆活、连贯、协调。</w:t>
            </w:r>
          </w:p>
          <w:p w14:paraId="5AD0188F"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2</w:t>
            </w:r>
            <w:r w:rsidRPr="000B25E0">
              <w:rPr>
                <w:rFonts w:ascii="Arial" w:eastAsia="宋体" w:hAnsi="Arial" w:cs="Arial" w:hint="eastAsia"/>
                <w:sz w:val="18"/>
                <w:szCs w:val="18"/>
              </w:rPr>
              <w:t>）精神关注、劲力顺达、养生功法风格突出，熟练地完成全套功法动作。</w:t>
            </w:r>
          </w:p>
          <w:p w14:paraId="7C4AFD03" w14:textId="77777777" w:rsidR="000B25E0" w:rsidRPr="000B25E0" w:rsidRDefault="000B25E0" w:rsidP="000B25E0">
            <w:pPr>
              <w:adjustRightInd w:val="0"/>
              <w:snapToGrid w:val="0"/>
              <w:spacing w:line="500" w:lineRule="exact"/>
              <w:rPr>
                <w:rFonts w:ascii="Arial" w:eastAsia="宋体" w:hAnsi="Arial" w:cs="Arial"/>
                <w:sz w:val="18"/>
                <w:szCs w:val="18"/>
              </w:rPr>
            </w:pPr>
            <w:r w:rsidRPr="000B25E0">
              <w:rPr>
                <w:rFonts w:ascii="Arial" w:eastAsia="宋体" w:hAnsi="Arial" w:cs="Arial" w:hint="eastAsia"/>
                <w:sz w:val="18"/>
                <w:szCs w:val="18"/>
              </w:rPr>
              <w:t>（</w:t>
            </w:r>
            <w:r w:rsidRPr="000B25E0">
              <w:rPr>
                <w:rFonts w:ascii="Arial" w:eastAsia="宋体" w:hAnsi="Arial" w:cs="Arial" w:hint="eastAsia"/>
                <w:sz w:val="18"/>
                <w:szCs w:val="18"/>
              </w:rPr>
              <w:t>3</w:t>
            </w:r>
            <w:r w:rsidRPr="000B25E0">
              <w:rPr>
                <w:rFonts w:ascii="Arial" w:eastAsia="宋体" w:hAnsi="Arial" w:cs="Arial" w:hint="eastAsia"/>
                <w:sz w:val="18"/>
                <w:szCs w:val="18"/>
              </w:rPr>
              <w:t>）没有遗漏、遗忘和明显失误。</w:t>
            </w:r>
          </w:p>
          <w:p w14:paraId="63D95ED6" w14:textId="77777777" w:rsidR="000B25E0" w:rsidRPr="000B25E0" w:rsidRDefault="000B25E0" w:rsidP="000B25E0">
            <w:pPr>
              <w:adjustRightInd w:val="0"/>
              <w:snapToGrid w:val="0"/>
              <w:spacing w:line="500" w:lineRule="exact"/>
              <w:ind w:firstLineChars="98" w:firstLine="176"/>
              <w:rPr>
                <w:rFonts w:ascii="Arial" w:eastAsia="宋体" w:hAnsi="Arial" w:cs="Arial"/>
                <w:sz w:val="18"/>
                <w:szCs w:val="18"/>
              </w:rPr>
            </w:pPr>
          </w:p>
        </w:tc>
      </w:tr>
    </w:tbl>
    <w:p w14:paraId="2CF352EA"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六、使用教材、相关推荐书目及课程资源</w:t>
      </w:r>
    </w:p>
    <w:p w14:paraId="0DC0B1DA" w14:textId="77777777" w:rsidR="000B25E0" w:rsidRPr="000B25E0" w:rsidRDefault="000B25E0" w:rsidP="000B25E0">
      <w:pPr>
        <w:spacing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（一）使用教材</w:t>
      </w:r>
    </w:p>
    <w:p w14:paraId="3473BFAE" w14:textId="77777777" w:rsidR="000B25E0" w:rsidRPr="000B25E0" w:rsidRDefault="000B25E0" w:rsidP="000B25E0">
      <w:pPr>
        <w:autoSpaceDE w:val="0"/>
        <w:autoSpaceDN w:val="0"/>
        <w:adjustRightInd w:val="0"/>
        <w:snapToGrid w:val="0"/>
        <w:spacing w:line="500" w:lineRule="exact"/>
        <w:ind w:firstLineChars="300" w:firstLine="720"/>
        <w:rPr>
          <w:rFonts w:ascii="宋体" w:eastAsia="宋体" w:hAnsi="宋体" w:cs="宋体"/>
          <w:kern w:val="0"/>
          <w:sz w:val="24"/>
        </w:rPr>
      </w:pPr>
      <w:r w:rsidRPr="000B25E0">
        <w:rPr>
          <w:rFonts w:ascii="宋体" w:eastAsia="宋体" w:hAnsi="宋体" w:cs="宋体" w:hint="eastAsia"/>
          <w:kern w:val="0"/>
          <w:sz w:val="24"/>
        </w:rPr>
        <w:t>任晋军主编：《当代大学体育教程》，北京体育大学出版社，2008</w:t>
      </w:r>
    </w:p>
    <w:p w14:paraId="578D34A0" w14:textId="77777777" w:rsidR="000B25E0" w:rsidRPr="000B25E0" w:rsidRDefault="000B25E0" w:rsidP="000B25E0">
      <w:pPr>
        <w:adjustRightInd w:val="0"/>
        <w:snapToGrid w:val="0"/>
        <w:spacing w:line="500" w:lineRule="exact"/>
        <w:ind w:firstLineChars="245" w:firstLine="588"/>
        <w:rPr>
          <w:rFonts w:ascii="宋体" w:eastAsia="宋体" w:hAnsi="宋体" w:cs="Arial"/>
          <w:sz w:val="24"/>
        </w:rPr>
      </w:pPr>
      <w:r w:rsidRPr="000B25E0">
        <w:rPr>
          <w:rFonts w:ascii="宋体" w:eastAsia="宋体" w:hAnsi="宋体" w:cs="Arial" w:hint="eastAsia"/>
          <w:sz w:val="24"/>
        </w:rPr>
        <w:t>《健身气功 八段锦》 《健身气功 易筋经》 国家体育总局健身气功管理中心，  人民体育出版社。</w:t>
      </w:r>
    </w:p>
    <w:p w14:paraId="5F28C3BA" w14:textId="77777777" w:rsidR="000B25E0" w:rsidRPr="000B25E0" w:rsidRDefault="000B25E0" w:rsidP="000B25E0">
      <w:pPr>
        <w:spacing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（二）相关推荐书目</w:t>
      </w:r>
    </w:p>
    <w:p w14:paraId="39E99C19"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w:t>
      </w:r>
      <w:r w:rsidRPr="000B25E0">
        <w:rPr>
          <w:rFonts w:ascii="宋体" w:eastAsia="宋体" w:hAnsi="宋体" w:cs="Times New Roman"/>
          <w:sz w:val="24"/>
        </w:rPr>
        <w:t xml:space="preserve">. </w:t>
      </w:r>
      <w:r w:rsidRPr="000B25E0">
        <w:rPr>
          <w:rFonts w:ascii="宋体" w:eastAsia="宋体" w:hAnsi="宋体" w:cs="宋体" w:hint="eastAsia"/>
          <w:kern w:val="0"/>
          <w:sz w:val="24"/>
        </w:rPr>
        <w:t>刘建国主编：《当代大学体育与健身》，高教出版社，2008</w:t>
      </w:r>
    </w:p>
    <w:p w14:paraId="521649A4" w14:textId="77777777" w:rsidR="000B25E0" w:rsidRPr="000B25E0" w:rsidRDefault="000B25E0" w:rsidP="000B25E0">
      <w:pPr>
        <w:adjustRightInd w:val="0"/>
        <w:snapToGrid w:val="0"/>
        <w:spacing w:line="500" w:lineRule="exact"/>
        <w:ind w:firstLineChars="198" w:firstLine="475"/>
        <w:rPr>
          <w:rFonts w:ascii="宋体" w:eastAsia="宋体" w:hAnsi="宋体" w:cs="Arial"/>
          <w:sz w:val="24"/>
        </w:rPr>
      </w:pPr>
      <w:r w:rsidRPr="000B25E0">
        <w:rPr>
          <w:rFonts w:ascii="宋体" w:eastAsia="宋体" w:hAnsi="宋体" w:cs="Times New Roman" w:hint="eastAsia"/>
          <w:sz w:val="24"/>
        </w:rPr>
        <w:t>2</w:t>
      </w:r>
      <w:r w:rsidRPr="000B25E0">
        <w:rPr>
          <w:rFonts w:ascii="宋体" w:eastAsia="宋体" w:hAnsi="宋体" w:cs="Times New Roman"/>
          <w:sz w:val="24"/>
        </w:rPr>
        <w:t xml:space="preserve">. </w:t>
      </w:r>
      <w:r w:rsidRPr="000B25E0">
        <w:rPr>
          <w:rFonts w:ascii="宋体" w:eastAsia="宋体" w:hAnsi="宋体" w:cs="Arial" w:hint="eastAsia"/>
          <w:sz w:val="24"/>
        </w:rPr>
        <w:t>《健身气功五禽戏、六字诀》 国家体育总局健身气功管理中心，人民体育出版社。</w:t>
      </w:r>
    </w:p>
    <w:p w14:paraId="3C13FB42"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（三）课程资源</w:t>
      </w:r>
    </w:p>
    <w:p w14:paraId="659AF548" w14:textId="77777777" w:rsidR="000B25E0" w:rsidRPr="000B25E0" w:rsidRDefault="000B25E0" w:rsidP="000B25E0">
      <w:pPr>
        <w:spacing w:line="44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 大学体育课程的重要性毋容置疑，技术活动型综合课程要打破传统教学模</w:t>
      </w:r>
      <w:r w:rsidRPr="000B25E0">
        <w:rPr>
          <w:rFonts w:ascii="宋体" w:eastAsia="宋体" w:hAnsi="Calibri" w:cs="宋体" w:hint="eastAsia"/>
          <w:spacing w:val="5"/>
          <w:kern w:val="0"/>
          <w:sz w:val="24"/>
        </w:rPr>
        <w:lastRenderedPageBreak/>
        <w:t>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04C0B0FD" w14:textId="77777777" w:rsidR="000B25E0" w:rsidRPr="000B25E0" w:rsidRDefault="000B25E0" w:rsidP="000B25E0">
      <w:pPr>
        <w:spacing w:line="44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 《国家学生体质健康标准》实施说明</w:t>
      </w:r>
    </w:p>
    <w:p w14:paraId="6F52879D" w14:textId="77777777" w:rsidR="000B25E0" w:rsidRPr="000B25E0" w:rsidRDefault="000B25E0" w:rsidP="000B25E0">
      <w:pPr>
        <w:spacing w:line="44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 《国家学生体质健康标准》测试评分表</w:t>
      </w:r>
    </w:p>
    <w:p w14:paraId="4C298A98"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七、课程大纲制定依据</w:t>
      </w:r>
    </w:p>
    <w:p w14:paraId="70B6CD18"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本课程大纲依据2023级人才培养方案</w:t>
      </w:r>
      <w:r w:rsidR="002E4147">
        <w:rPr>
          <w:rFonts w:ascii="宋体" w:eastAsia="宋体" w:hAnsi="宋体" w:cs="Times New Roman" w:hint="eastAsia"/>
          <w:sz w:val="24"/>
        </w:rPr>
        <w:t>药物分析专业</w:t>
      </w:r>
      <w:r w:rsidRPr="000B25E0">
        <w:rPr>
          <w:rFonts w:ascii="宋体" w:eastAsia="宋体" w:hAnsi="宋体" w:cs="Times New Roman" w:hint="eastAsia"/>
          <w:sz w:val="24"/>
        </w:rPr>
        <w:t>制定。</w:t>
      </w:r>
    </w:p>
    <w:p w14:paraId="2FE716CB" w14:textId="77777777" w:rsidR="000B25E0" w:rsidRDefault="000B25E0" w:rsidP="000B25E0">
      <w:pPr>
        <w:rPr>
          <w:rFonts w:ascii="Calibri" w:eastAsia="宋体" w:hAnsi="Calibri" w:cs="Times New Roman"/>
          <w:bCs/>
          <w:lang w:val="zh-CN"/>
        </w:rPr>
      </w:pPr>
    </w:p>
    <w:p w14:paraId="3F45AF16" w14:textId="77777777" w:rsidR="00895319" w:rsidRDefault="00895319">
      <w:pPr>
        <w:widowControl/>
        <w:jc w:val="left"/>
        <w:rPr>
          <w:rFonts w:ascii="Calibri" w:eastAsia="宋体" w:hAnsi="Calibri" w:cs="Times New Roman"/>
          <w:bCs/>
          <w:lang w:val="zh-CN"/>
        </w:rPr>
      </w:pPr>
      <w:r>
        <w:rPr>
          <w:rFonts w:ascii="Calibri" w:eastAsia="宋体" w:hAnsi="Calibri" w:cs="Times New Roman"/>
          <w:bCs/>
          <w:lang w:val="zh-CN"/>
        </w:rPr>
        <w:br w:type="page"/>
      </w:r>
    </w:p>
    <w:p w14:paraId="029485D0" w14:textId="58D35A8D" w:rsidR="000B25E0" w:rsidRPr="000B25E0" w:rsidRDefault="000B25E0" w:rsidP="000B25E0">
      <w:pPr>
        <w:spacing w:beforeLines="100" w:before="312" w:afterLines="100" w:after="312" w:line="440" w:lineRule="exact"/>
        <w:jc w:val="center"/>
        <w:rPr>
          <w:rFonts w:ascii="黑体" w:eastAsia="黑体" w:hAnsi="黑体" w:cs="Times New Roman"/>
          <w:bCs/>
          <w:sz w:val="36"/>
          <w:szCs w:val="36"/>
        </w:rPr>
      </w:pPr>
      <w:r w:rsidRPr="000B25E0">
        <w:rPr>
          <w:rFonts w:ascii="黑体" w:eastAsia="黑体" w:hAnsi="黑体" w:cs="Times New Roman" w:hint="eastAsia"/>
          <w:bCs/>
          <w:sz w:val="36"/>
          <w:szCs w:val="36"/>
        </w:rPr>
        <w:lastRenderedPageBreak/>
        <w:t>《跆拳道》课程大纲</w:t>
      </w:r>
    </w:p>
    <w:p w14:paraId="16DE3237"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0B25E0" w:rsidRPr="000B25E0" w14:paraId="0D3B88CD" w14:textId="77777777" w:rsidTr="00BF5EF3">
        <w:trPr>
          <w:trHeight w:val="886"/>
          <w:jc w:val="center"/>
        </w:trPr>
        <w:tc>
          <w:tcPr>
            <w:tcW w:w="1581" w:type="dxa"/>
            <w:vAlign w:val="center"/>
          </w:tcPr>
          <w:p w14:paraId="65391D8E"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课程名称</w:t>
            </w:r>
          </w:p>
        </w:tc>
        <w:tc>
          <w:tcPr>
            <w:tcW w:w="2662" w:type="dxa"/>
            <w:vAlign w:val="center"/>
          </w:tcPr>
          <w:p w14:paraId="5B2FBC8E"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跆拳道</w:t>
            </w:r>
          </w:p>
        </w:tc>
        <w:tc>
          <w:tcPr>
            <w:tcW w:w="1482" w:type="dxa"/>
            <w:vAlign w:val="center"/>
          </w:tcPr>
          <w:p w14:paraId="516189F9"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课程代码</w:t>
            </w:r>
          </w:p>
        </w:tc>
        <w:tc>
          <w:tcPr>
            <w:tcW w:w="2797" w:type="dxa"/>
            <w:vAlign w:val="center"/>
          </w:tcPr>
          <w:p w14:paraId="25F6EF0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091050</w:t>
            </w:r>
          </w:p>
        </w:tc>
      </w:tr>
      <w:tr w:rsidR="000B25E0" w:rsidRPr="000B25E0" w14:paraId="50CB8EF2" w14:textId="77777777" w:rsidTr="00BF5EF3">
        <w:trPr>
          <w:trHeight w:val="829"/>
          <w:jc w:val="center"/>
        </w:trPr>
        <w:tc>
          <w:tcPr>
            <w:tcW w:w="1581" w:type="dxa"/>
            <w:vAlign w:val="center"/>
          </w:tcPr>
          <w:p w14:paraId="3FFBE3FC"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课程类别</w:t>
            </w:r>
          </w:p>
        </w:tc>
        <w:tc>
          <w:tcPr>
            <w:tcW w:w="2662" w:type="dxa"/>
            <w:vAlign w:val="center"/>
          </w:tcPr>
          <w:p w14:paraId="3D660746"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公共必修课程</w:t>
            </w:r>
          </w:p>
        </w:tc>
        <w:tc>
          <w:tcPr>
            <w:tcW w:w="1482" w:type="dxa"/>
            <w:vAlign w:val="center"/>
          </w:tcPr>
          <w:p w14:paraId="0E31E246"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学时</w:t>
            </w:r>
          </w:p>
          <w:p w14:paraId="2AC242BD"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/学分</w:t>
            </w:r>
          </w:p>
        </w:tc>
        <w:tc>
          <w:tcPr>
            <w:tcW w:w="2797" w:type="dxa"/>
            <w:vAlign w:val="center"/>
          </w:tcPr>
          <w:p w14:paraId="7987260C"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144/4</w:t>
            </w:r>
          </w:p>
        </w:tc>
      </w:tr>
      <w:tr w:rsidR="000B25E0" w:rsidRPr="000B25E0" w14:paraId="775429B0" w14:textId="77777777" w:rsidTr="00BF5EF3">
        <w:trPr>
          <w:trHeight w:val="811"/>
          <w:jc w:val="center"/>
        </w:trPr>
        <w:tc>
          <w:tcPr>
            <w:tcW w:w="1581" w:type="dxa"/>
            <w:vAlign w:val="center"/>
          </w:tcPr>
          <w:p w14:paraId="2C37CC08"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开课单位</w:t>
            </w:r>
          </w:p>
        </w:tc>
        <w:tc>
          <w:tcPr>
            <w:tcW w:w="2662" w:type="dxa"/>
            <w:vAlign w:val="center"/>
          </w:tcPr>
          <w:p w14:paraId="739B1AE1"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sz w:val="24"/>
              </w:rPr>
              <w:t>石家庄学院体育学院</w:t>
            </w:r>
          </w:p>
        </w:tc>
        <w:tc>
          <w:tcPr>
            <w:tcW w:w="1482" w:type="dxa"/>
            <w:vAlign w:val="center"/>
          </w:tcPr>
          <w:p w14:paraId="206330FC"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适用专业</w:t>
            </w:r>
          </w:p>
        </w:tc>
        <w:tc>
          <w:tcPr>
            <w:tcW w:w="2797" w:type="dxa"/>
            <w:vAlign w:val="center"/>
          </w:tcPr>
          <w:p w14:paraId="185B0825" w14:textId="77777777" w:rsidR="000B25E0" w:rsidRPr="000B25E0" w:rsidRDefault="006D6C0A" w:rsidP="000B25E0">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0B25E0" w:rsidRPr="000B25E0" w14:paraId="7AF50DA2" w14:textId="77777777" w:rsidTr="00BF5EF3">
        <w:trPr>
          <w:trHeight w:val="811"/>
          <w:jc w:val="center"/>
        </w:trPr>
        <w:tc>
          <w:tcPr>
            <w:tcW w:w="1581" w:type="dxa"/>
            <w:vAlign w:val="center"/>
          </w:tcPr>
          <w:p w14:paraId="72D03241"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课程负责人</w:t>
            </w:r>
          </w:p>
        </w:tc>
        <w:tc>
          <w:tcPr>
            <w:tcW w:w="6941" w:type="dxa"/>
            <w:gridSpan w:val="3"/>
            <w:vAlign w:val="center"/>
          </w:tcPr>
          <w:p w14:paraId="3824E86A"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李世光、贾富池、平娜</w:t>
            </w:r>
          </w:p>
        </w:tc>
      </w:tr>
      <w:tr w:rsidR="000B25E0" w:rsidRPr="000B25E0" w14:paraId="47016035" w14:textId="77777777" w:rsidTr="00BF5EF3">
        <w:trPr>
          <w:trHeight w:val="836"/>
          <w:jc w:val="center"/>
        </w:trPr>
        <w:tc>
          <w:tcPr>
            <w:tcW w:w="1581" w:type="dxa"/>
            <w:vAlign w:val="center"/>
          </w:tcPr>
          <w:p w14:paraId="26190BF8"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大纲撰写人</w:t>
            </w:r>
          </w:p>
        </w:tc>
        <w:tc>
          <w:tcPr>
            <w:tcW w:w="2662" w:type="dxa"/>
            <w:vAlign w:val="center"/>
          </w:tcPr>
          <w:p w14:paraId="29ECF659"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李世光</w:t>
            </w:r>
          </w:p>
        </w:tc>
        <w:tc>
          <w:tcPr>
            <w:tcW w:w="1482" w:type="dxa"/>
            <w:vAlign w:val="center"/>
          </w:tcPr>
          <w:p w14:paraId="02B3723A"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大纲审核人</w:t>
            </w:r>
          </w:p>
        </w:tc>
        <w:tc>
          <w:tcPr>
            <w:tcW w:w="2797" w:type="dxa"/>
            <w:vAlign w:val="center"/>
          </w:tcPr>
          <w:p w14:paraId="3931CFE5" w14:textId="77777777" w:rsidR="000B25E0" w:rsidRPr="000B25E0" w:rsidRDefault="000B25E0" w:rsidP="000B25E0">
            <w:pPr>
              <w:spacing w:line="440" w:lineRule="exact"/>
              <w:jc w:val="center"/>
              <w:rPr>
                <w:rFonts w:ascii="宋体" w:eastAsia="宋体" w:hAnsi="宋体" w:cs="Times New Roman"/>
                <w:sz w:val="24"/>
              </w:rPr>
            </w:pPr>
            <w:proofErr w:type="gramStart"/>
            <w:r w:rsidRPr="000B25E0">
              <w:rPr>
                <w:rFonts w:ascii="宋体" w:eastAsia="宋体" w:hAnsi="宋体" w:cs="Times New Roman" w:hint="eastAsia"/>
                <w:sz w:val="24"/>
              </w:rPr>
              <w:t>左健</w:t>
            </w:r>
            <w:proofErr w:type="gramEnd"/>
          </w:p>
        </w:tc>
      </w:tr>
      <w:tr w:rsidR="000B25E0" w:rsidRPr="000B25E0" w14:paraId="49586412" w14:textId="77777777" w:rsidTr="00BF5EF3">
        <w:trPr>
          <w:trHeight w:val="848"/>
          <w:jc w:val="center"/>
        </w:trPr>
        <w:tc>
          <w:tcPr>
            <w:tcW w:w="1581" w:type="dxa"/>
            <w:vAlign w:val="center"/>
          </w:tcPr>
          <w:p w14:paraId="1AD49DD5"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先修课程</w:t>
            </w:r>
          </w:p>
        </w:tc>
        <w:tc>
          <w:tcPr>
            <w:tcW w:w="6941" w:type="dxa"/>
            <w:gridSpan w:val="3"/>
            <w:vAlign w:val="center"/>
          </w:tcPr>
          <w:p w14:paraId="69B7C047" w14:textId="77777777" w:rsidR="000B25E0" w:rsidRPr="000B25E0" w:rsidRDefault="000B25E0" w:rsidP="000B25E0">
            <w:pPr>
              <w:spacing w:line="440" w:lineRule="exact"/>
              <w:jc w:val="center"/>
              <w:rPr>
                <w:rFonts w:ascii="宋体" w:eastAsia="宋体" w:hAnsi="宋体" w:cs="Times New Roman"/>
                <w:sz w:val="24"/>
              </w:rPr>
            </w:pPr>
          </w:p>
        </w:tc>
      </w:tr>
      <w:tr w:rsidR="000B25E0" w:rsidRPr="000B25E0" w14:paraId="357FB7C9" w14:textId="77777777" w:rsidTr="00BF5EF3">
        <w:trPr>
          <w:trHeight w:val="848"/>
          <w:jc w:val="center"/>
        </w:trPr>
        <w:tc>
          <w:tcPr>
            <w:tcW w:w="1581" w:type="dxa"/>
            <w:vAlign w:val="center"/>
          </w:tcPr>
          <w:p w14:paraId="5F03DF2D"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课程网址</w:t>
            </w:r>
          </w:p>
        </w:tc>
        <w:tc>
          <w:tcPr>
            <w:tcW w:w="6941" w:type="dxa"/>
            <w:gridSpan w:val="3"/>
            <w:vAlign w:val="center"/>
          </w:tcPr>
          <w:p w14:paraId="3295BCFB" w14:textId="77777777" w:rsidR="000B25E0" w:rsidRPr="000B25E0" w:rsidRDefault="000B25E0" w:rsidP="000B25E0">
            <w:pPr>
              <w:spacing w:line="440" w:lineRule="exact"/>
              <w:rPr>
                <w:rFonts w:ascii="宋体" w:eastAsia="宋体" w:hAnsi="宋体" w:cs="Times New Roman"/>
                <w:color w:val="FF0000"/>
                <w:sz w:val="24"/>
              </w:rPr>
            </w:pPr>
          </w:p>
        </w:tc>
      </w:tr>
    </w:tbl>
    <w:p w14:paraId="7FBA623F"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二、课程学习目标及与毕业要求的对应关系</w:t>
      </w:r>
    </w:p>
    <w:p w14:paraId="2C580EFD"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（一）课程学习目标</w:t>
      </w:r>
    </w:p>
    <w:p w14:paraId="4943BC61"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通过本课程的学习，使学生达到以下目标：</w:t>
      </w:r>
    </w:p>
    <w:p w14:paraId="469E9F1E"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4E4B1F7C"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3303ACDE"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仿宋_GB2312" w:hint="eastAsia"/>
          <w:sz w:val="24"/>
        </w:rPr>
        <w:lastRenderedPageBreak/>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2F0B8BCE"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0B25E0" w:rsidRPr="000B25E0" w14:paraId="66F0D56C" w14:textId="77777777" w:rsidTr="00BF5EF3">
        <w:trPr>
          <w:trHeight w:val="815"/>
          <w:jc w:val="center"/>
        </w:trPr>
        <w:tc>
          <w:tcPr>
            <w:tcW w:w="1566" w:type="dxa"/>
            <w:vAlign w:val="center"/>
          </w:tcPr>
          <w:p w14:paraId="68FF186D"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毕业要求</w:t>
            </w:r>
          </w:p>
        </w:tc>
        <w:tc>
          <w:tcPr>
            <w:tcW w:w="6237" w:type="dxa"/>
            <w:vAlign w:val="center"/>
          </w:tcPr>
          <w:p w14:paraId="1D590F73"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毕业要求指标点</w:t>
            </w:r>
          </w:p>
        </w:tc>
        <w:tc>
          <w:tcPr>
            <w:tcW w:w="1366" w:type="dxa"/>
            <w:vAlign w:val="center"/>
          </w:tcPr>
          <w:p w14:paraId="7CB2804C"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课程目标</w:t>
            </w:r>
          </w:p>
        </w:tc>
      </w:tr>
      <w:tr w:rsidR="000B25E0" w:rsidRPr="000B25E0" w14:paraId="06586CD1" w14:textId="77777777" w:rsidTr="00BF5EF3">
        <w:trPr>
          <w:jc w:val="center"/>
        </w:trPr>
        <w:tc>
          <w:tcPr>
            <w:tcW w:w="1566" w:type="dxa"/>
            <w:vAlign w:val="center"/>
          </w:tcPr>
          <w:p w14:paraId="40388D24"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职业规范</w:t>
            </w:r>
            <w:r w:rsidRPr="000B25E0">
              <w:rPr>
                <w:rFonts w:ascii="宋体" w:eastAsia="宋体" w:hAnsi="宋体" w:cs="Times New Roman"/>
                <w:sz w:val="24"/>
              </w:rPr>
              <w:t>（</w:t>
            </w:r>
            <w:r w:rsidRPr="000B25E0">
              <w:rPr>
                <w:rFonts w:ascii="宋体" w:eastAsia="宋体" w:hAnsi="宋体" w:cs="Times New Roman" w:hint="eastAsia"/>
                <w:sz w:val="24"/>
              </w:rPr>
              <w:t>M</w:t>
            </w:r>
            <w:r w:rsidRPr="000B25E0">
              <w:rPr>
                <w:rFonts w:ascii="宋体" w:eastAsia="宋体" w:hAnsi="宋体" w:cs="Times New Roman"/>
                <w:sz w:val="24"/>
              </w:rPr>
              <w:t>）</w:t>
            </w:r>
          </w:p>
        </w:tc>
        <w:tc>
          <w:tcPr>
            <w:tcW w:w="6237" w:type="dxa"/>
            <w:vAlign w:val="center"/>
          </w:tcPr>
          <w:p w14:paraId="548B700C" w14:textId="77777777" w:rsidR="000B25E0" w:rsidRPr="000B25E0" w:rsidRDefault="000B25E0" w:rsidP="000B25E0">
            <w:pPr>
              <w:spacing w:line="440" w:lineRule="exact"/>
              <w:rPr>
                <w:rFonts w:ascii="宋体" w:eastAsia="宋体" w:hAnsi="宋体" w:cs="仿宋_GB2312"/>
                <w:sz w:val="24"/>
              </w:rPr>
            </w:pPr>
          </w:p>
          <w:p w14:paraId="045671A0" w14:textId="77777777" w:rsidR="000B25E0" w:rsidRPr="000B25E0" w:rsidRDefault="000B25E0" w:rsidP="000B25E0">
            <w:pPr>
              <w:spacing w:line="440" w:lineRule="exact"/>
              <w:rPr>
                <w:rFonts w:ascii="宋体" w:eastAsia="宋体" w:hAnsi="宋体" w:cs="仿宋_GB2312"/>
                <w:sz w:val="24"/>
              </w:rPr>
            </w:pPr>
          </w:p>
          <w:p w14:paraId="0351C4DF" w14:textId="77777777" w:rsidR="000B25E0" w:rsidRPr="000B25E0" w:rsidRDefault="000B25E0" w:rsidP="000B25E0">
            <w:pPr>
              <w:spacing w:line="440" w:lineRule="exact"/>
              <w:rPr>
                <w:rFonts w:ascii="宋体" w:eastAsia="宋体" w:hAnsi="宋体" w:cs="Times New Roman"/>
                <w:sz w:val="24"/>
              </w:rPr>
            </w:pPr>
          </w:p>
        </w:tc>
        <w:tc>
          <w:tcPr>
            <w:tcW w:w="1366" w:type="dxa"/>
            <w:vAlign w:val="center"/>
          </w:tcPr>
          <w:p w14:paraId="72FA45E6" w14:textId="77777777" w:rsidR="000B25E0" w:rsidRPr="000B25E0" w:rsidRDefault="000B25E0" w:rsidP="000B25E0">
            <w:pPr>
              <w:spacing w:line="440" w:lineRule="exact"/>
              <w:rPr>
                <w:rFonts w:ascii="宋体" w:eastAsia="宋体" w:hAnsi="宋体" w:cs="Times New Roman"/>
                <w:sz w:val="24"/>
              </w:rPr>
            </w:pPr>
            <w:r w:rsidRPr="000B25E0">
              <w:rPr>
                <w:rFonts w:ascii="宋体" w:eastAsia="宋体" w:hAnsi="宋体" w:cs="Times New Roman" w:hint="eastAsia"/>
                <w:sz w:val="24"/>
              </w:rPr>
              <w:t>课程目标1</w:t>
            </w:r>
          </w:p>
        </w:tc>
      </w:tr>
      <w:tr w:rsidR="000B25E0" w:rsidRPr="000B25E0" w14:paraId="242C88C4" w14:textId="77777777" w:rsidTr="00BF5EF3">
        <w:trPr>
          <w:jc w:val="center"/>
        </w:trPr>
        <w:tc>
          <w:tcPr>
            <w:tcW w:w="1566" w:type="dxa"/>
            <w:vAlign w:val="center"/>
          </w:tcPr>
          <w:p w14:paraId="09533378"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沟通</w:t>
            </w:r>
            <w:r w:rsidRPr="000B25E0">
              <w:rPr>
                <w:rFonts w:ascii="宋体" w:eastAsia="宋体" w:hAnsi="宋体" w:cs="Times New Roman"/>
                <w:sz w:val="24"/>
              </w:rPr>
              <w:t>（</w:t>
            </w:r>
            <w:r w:rsidRPr="000B25E0">
              <w:rPr>
                <w:rFonts w:ascii="宋体" w:eastAsia="宋体" w:hAnsi="宋体" w:cs="Times New Roman" w:hint="eastAsia"/>
                <w:sz w:val="24"/>
              </w:rPr>
              <w:t>M</w:t>
            </w:r>
            <w:r w:rsidRPr="000B25E0">
              <w:rPr>
                <w:rFonts w:ascii="宋体" w:eastAsia="宋体" w:hAnsi="宋体" w:cs="Times New Roman"/>
                <w:sz w:val="24"/>
              </w:rPr>
              <w:t>）</w:t>
            </w:r>
          </w:p>
        </w:tc>
        <w:tc>
          <w:tcPr>
            <w:tcW w:w="6237" w:type="dxa"/>
            <w:vAlign w:val="center"/>
          </w:tcPr>
          <w:p w14:paraId="57EA3625" w14:textId="77777777" w:rsidR="000B25E0" w:rsidRPr="000B25E0" w:rsidRDefault="000B25E0" w:rsidP="000B25E0">
            <w:pPr>
              <w:spacing w:line="440" w:lineRule="exact"/>
              <w:rPr>
                <w:rFonts w:ascii="宋体" w:eastAsia="宋体" w:hAnsi="宋体" w:cs="Times New Roman"/>
                <w:sz w:val="24"/>
              </w:rPr>
            </w:pPr>
          </w:p>
          <w:p w14:paraId="4F2C0215" w14:textId="77777777" w:rsidR="000B25E0" w:rsidRPr="000B25E0" w:rsidRDefault="000B25E0" w:rsidP="000B25E0">
            <w:pPr>
              <w:spacing w:line="440" w:lineRule="exact"/>
              <w:rPr>
                <w:rFonts w:ascii="宋体" w:eastAsia="宋体" w:hAnsi="宋体" w:cs="Times New Roman"/>
                <w:sz w:val="24"/>
              </w:rPr>
            </w:pPr>
          </w:p>
          <w:p w14:paraId="6658B4E5" w14:textId="77777777" w:rsidR="000B25E0" w:rsidRPr="000B25E0" w:rsidRDefault="000B25E0" w:rsidP="000B25E0">
            <w:pPr>
              <w:spacing w:line="440" w:lineRule="exact"/>
              <w:rPr>
                <w:rFonts w:ascii="宋体" w:eastAsia="宋体" w:hAnsi="宋体" w:cs="Times New Roman"/>
                <w:sz w:val="24"/>
              </w:rPr>
            </w:pPr>
          </w:p>
        </w:tc>
        <w:tc>
          <w:tcPr>
            <w:tcW w:w="1366" w:type="dxa"/>
            <w:vAlign w:val="center"/>
          </w:tcPr>
          <w:p w14:paraId="7420AA27" w14:textId="77777777" w:rsidR="000B25E0" w:rsidRPr="000B25E0" w:rsidRDefault="000B25E0" w:rsidP="000B25E0">
            <w:pPr>
              <w:spacing w:line="440" w:lineRule="exact"/>
              <w:rPr>
                <w:rFonts w:ascii="宋体" w:eastAsia="宋体" w:hAnsi="宋体" w:cs="仿宋_GB2312"/>
                <w:sz w:val="24"/>
              </w:rPr>
            </w:pPr>
            <w:r w:rsidRPr="000B25E0">
              <w:rPr>
                <w:rFonts w:ascii="宋体" w:eastAsia="宋体" w:hAnsi="宋体" w:cs="Times New Roman" w:hint="eastAsia"/>
                <w:sz w:val="24"/>
              </w:rPr>
              <w:t>课程目标</w:t>
            </w:r>
            <w:r w:rsidRPr="000B25E0">
              <w:rPr>
                <w:rFonts w:ascii="宋体" w:eastAsia="宋体" w:hAnsi="宋体" w:cs="Times New Roman"/>
                <w:sz w:val="24"/>
              </w:rPr>
              <w:t>2</w:t>
            </w:r>
          </w:p>
        </w:tc>
      </w:tr>
      <w:tr w:rsidR="000B25E0" w:rsidRPr="000B25E0" w14:paraId="4B30511E" w14:textId="77777777" w:rsidTr="00BF5EF3">
        <w:trPr>
          <w:jc w:val="center"/>
        </w:trPr>
        <w:tc>
          <w:tcPr>
            <w:tcW w:w="1566" w:type="dxa"/>
            <w:vAlign w:val="center"/>
          </w:tcPr>
          <w:p w14:paraId="5B877E93"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终身学习</w:t>
            </w:r>
            <w:r w:rsidRPr="000B25E0">
              <w:rPr>
                <w:rFonts w:ascii="宋体" w:eastAsia="宋体" w:hAnsi="宋体" w:cs="Times New Roman"/>
                <w:sz w:val="24"/>
              </w:rPr>
              <w:t>（</w:t>
            </w:r>
            <w:r w:rsidRPr="000B25E0">
              <w:rPr>
                <w:rFonts w:ascii="宋体" w:eastAsia="宋体" w:hAnsi="宋体" w:cs="Times New Roman" w:hint="eastAsia"/>
                <w:sz w:val="24"/>
              </w:rPr>
              <w:t>H</w:t>
            </w:r>
            <w:r w:rsidRPr="000B25E0">
              <w:rPr>
                <w:rFonts w:ascii="宋体" w:eastAsia="宋体" w:hAnsi="宋体" w:cs="Times New Roman"/>
                <w:sz w:val="24"/>
              </w:rPr>
              <w:t>）</w:t>
            </w:r>
          </w:p>
        </w:tc>
        <w:tc>
          <w:tcPr>
            <w:tcW w:w="6237" w:type="dxa"/>
            <w:vAlign w:val="center"/>
          </w:tcPr>
          <w:p w14:paraId="780FB028" w14:textId="77777777" w:rsidR="000B25E0" w:rsidRPr="000B25E0" w:rsidRDefault="000B25E0" w:rsidP="000B25E0">
            <w:pPr>
              <w:spacing w:line="440" w:lineRule="exact"/>
              <w:rPr>
                <w:rFonts w:ascii="宋体" w:eastAsia="宋体" w:hAnsi="宋体" w:cs="仿宋_GB2312"/>
                <w:sz w:val="24"/>
              </w:rPr>
            </w:pPr>
          </w:p>
          <w:p w14:paraId="0CE5D7CF" w14:textId="77777777" w:rsidR="000B25E0" w:rsidRPr="000B25E0" w:rsidRDefault="000B25E0" w:rsidP="000B25E0">
            <w:pPr>
              <w:spacing w:line="440" w:lineRule="exact"/>
              <w:rPr>
                <w:rFonts w:ascii="宋体" w:eastAsia="宋体" w:hAnsi="宋体" w:cs="仿宋_GB2312"/>
                <w:sz w:val="24"/>
              </w:rPr>
            </w:pPr>
          </w:p>
          <w:p w14:paraId="6894DB9D" w14:textId="77777777" w:rsidR="000B25E0" w:rsidRPr="000B25E0" w:rsidRDefault="000B25E0" w:rsidP="000B25E0">
            <w:pPr>
              <w:spacing w:line="440" w:lineRule="exact"/>
              <w:rPr>
                <w:rFonts w:ascii="宋体" w:eastAsia="宋体" w:hAnsi="宋体" w:cs="Times New Roman"/>
                <w:sz w:val="24"/>
              </w:rPr>
            </w:pPr>
          </w:p>
        </w:tc>
        <w:tc>
          <w:tcPr>
            <w:tcW w:w="1366" w:type="dxa"/>
            <w:vAlign w:val="center"/>
          </w:tcPr>
          <w:p w14:paraId="31BA17D0" w14:textId="77777777" w:rsidR="000B25E0" w:rsidRPr="000B25E0" w:rsidRDefault="000B25E0" w:rsidP="000B25E0">
            <w:pPr>
              <w:spacing w:line="440" w:lineRule="exact"/>
              <w:rPr>
                <w:rFonts w:ascii="宋体" w:eastAsia="宋体" w:hAnsi="宋体" w:cs="Times New Roman"/>
                <w:sz w:val="24"/>
              </w:rPr>
            </w:pPr>
            <w:r w:rsidRPr="000B25E0">
              <w:rPr>
                <w:rFonts w:ascii="宋体" w:eastAsia="宋体" w:hAnsi="宋体" w:cs="Times New Roman"/>
                <w:sz w:val="24"/>
              </w:rPr>
              <w:t>课程目标3</w:t>
            </w:r>
          </w:p>
        </w:tc>
      </w:tr>
    </w:tbl>
    <w:p w14:paraId="17A4BB7A"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三、课程学习内容及与课程学习目标的对应关系</w:t>
      </w:r>
    </w:p>
    <w:p w14:paraId="25B8E70D" w14:textId="77777777" w:rsidR="000B25E0" w:rsidRPr="000B25E0" w:rsidRDefault="000B25E0" w:rsidP="000B25E0">
      <w:pPr>
        <w:spacing w:beforeLines="50" w:before="156" w:afterLines="50" w:after="156" w:line="440" w:lineRule="exact"/>
        <w:ind w:firstLineChars="200" w:firstLine="562"/>
        <w:rPr>
          <w:rFonts w:ascii="黑体" w:eastAsia="黑体" w:hAnsi="黑体" w:cs="Times New Roman"/>
          <w:b/>
          <w:sz w:val="28"/>
          <w:szCs w:val="28"/>
        </w:rPr>
      </w:pPr>
      <w:r w:rsidRPr="000B25E0">
        <w:rPr>
          <w:rFonts w:ascii="黑体" w:eastAsia="黑体" w:hAnsi="黑体" w:cs="Times New Roman" w:hint="eastAsia"/>
          <w:b/>
          <w:sz w:val="28"/>
          <w:szCs w:val="28"/>
        </w:rPr>
        <w:t>（一）课程学习内容</w:t>
      </w:r>
    </w:p>
    <w:p w14:paraId="4184AC3F"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w:t>
      </w:r>
      <w:proofErr w:type="gramStart"/>
      <w:r w:rsidRPr="000B25E0">
        <w:rPr>
          <w:rFonts w:ascii="黑体" w:eastAsia="黑体" w:hAnsi="黑体" w:cs="Times New Roman" w:hint="eastAsia"/>
          <w:sz w:val="28"/>
          <w:szCs w:val="28"/>
        </w:rPr>
        <w:t>一</w:t>
      </w:r>
      <w:proofErr w:type="gramEnd"/>
      <w:r w:rsidRPr="000B25E0">
        <w:rPr>
          <w:rFonts w:ascii="黑体" w:eastAsia="黑体" w:hAnsi="黑体" w:cs="Times New Roman" w:hint="eastAsia"/>
          <w:sz w:val="28"/>
          <w:szCs w:val="28"/>
        </w:rPr>
        <w:t xml:space="preserve"> 体能+跆拳道 </w:t>
      </w:r>
    </w:p>
    <w:p w14:paraId="19D0D484"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7B758771"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66DA02CB"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w:t>
      </w:r>
      <w:r w:rsidRPr="000B25E0">
        <w:rPr>
          <w:rFonts w:ascii="宋体" w:eastAsia="宋体" w:hAnsi="宋体" w:cs="仿宋_GB2312" w:hint="eastAsia"/>
          <w:sz w:val="24"/>
        </w:rPr>
        <w:lastRenderedPageBreak/>
        <w:t>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54AA129E"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1B990E51" w14:textId="77777777" w:rsidR="000B25E0" w:rsidRPr="000B25E0" w:rsidRDefault="000B25E0" w:rsidP="000B25E0">
      <w:pPr>
        <w:spacing w:line="440" w:lineRule="exact"/>
        <w:ind w:firstLineChars="200" w:firstLine="500"/>
        <w:rPr>
          <w:rFonts w:ascii="Calibri" w:eastAsia="宋体" w:hAnsi="Calibri" w:cs="Times New Roman"/>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59C707E0"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【学习内容】</w:t>
      </w:r>
    </w:p>
    <w:p w14:paraId="4385FD08" w14:textId="77777777" w:rsidR="000B25E0" w:rsidRPr="000B25E0" w:rsidRDefault="000B25E0" w:rsidP="000B25E0">
      <w:pPr>
        <w:spacing w:beforeLines="50" w:before="156" w:afterLines="50" w:after="156" w:line="360" w:lineRule="auto"/>
        <w:jc w:val="center"/>
        <w:rPr>
          <w:rFonts w:ascii="宋体" w:eastAsia="宋体" w:hAnsi="Calibri" w:cs="Arial"/>
          <w:b/>
          <w:sz w:val="28"/>
          <w:szCs w:val="28"/>
        </w:rPr>
      </w:pPr>
      <w:r w:rsidRPr="000B25E0">
        <w:rPr>
          <w:rFonts w:ascii="宋体" w:eastAsia="宋体" w:hAnsi="宋体" w:cs="Arial" w:hint="eastAsia"/>
          <w:b/>
          <w:sz w:val="28"/>
          <w:szCs w:val="28"/>
        </w:rPr>
        <w:t>第一章</w:t>
      </w:r>
      <w:r w:rsidRPr="000B25E0">
        <w:rPr>
          <w:rFonts w:ascii="宋体" w:eastAsia="宋体" w:hAnsi="宋体" w:cs="Arial"/>
          <w:b/>
          <w:sz w:val="28"/>
          <w:szCs w:val="28"/>
        </w:rPr>
        <w:t xml:space="preserve">   </w:t>
      </w:r>
      <w:r w:rsidRPr="000B25E0">
        <w:rPr>
          <w:rFonts w:ascii="宋体" w:eastAsia="宋体" w:hAnsi="宋体" w:cs="Arial" w:hint="eastAsia"/>
          <w:b/>
          <w:sz w:val="28"/>
          <w:szCs w:val="28"/>
        </w:rPr>
        <w:t>认识健康的重要性（0.5学时）</w:t>
      </w:r>
    </w:p>
    <w:p w14:paraId="064901E3" w14:textId="77777777" w:rsidR="000B25E0" w:rsidRPr="000B25E0" w:rsidRDefault="000B25E0" w:rsidP="000B25E0">
      <w:pPr>
        <w:spacing w:before="50" w:after="50"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39DA1D1C"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1.1 健康的内涵</w:t>
      </w:r>
    </w:p>
    <w:p w14:paraId="7F9B851F"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1.2 预防与消除亚健康</w:t>
      </w:r>
    </w:p>
    <w:p w14:paraId="0C4F012F"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1.3 维护健康的法则</w:t>
      </w:r>
    </w:p>
    <w:p w14:paraId="4DED128F" w14:textId="77777777" w:rsidR="000B25E0" w:rsidRPr="000B25E0" w:rsidRDefault="000B25E0" w:rsidP="000B25E0">
      <w:pPr>
        <w:spacing w:line="360" w:lineRule="auto"/>
        <w:ind w:leftChars="-29" w:left="-61" w:firstLineChars="219" w:firstLine="528"/>
        <w:rPr>
          <w:rFonts w:ascii="Arial" w:eastAsia="宋体" w:hAnsi="Calibri" w:cs="Arial"/>
          <w:b/>
          <w:sz w:val="24"/>
        </w:rPr>
      </w:pPr>
      <w:r w:rsidRPr="000B25E0">
        <w:rPr>
          <w:rFonts w:ascii="Arial" w:eastAsia="宋体" w:hAnsi="Calibri" w:cs="Arial" w:hint="eastAsia"/>
          <w:b/>
          <w:sz w:val="24"/>
        </w:rPr>
        <w:t>本章教学目的及要求：</w:t>
      </w:r>
      <w:r w:rsidRPr="000B25E0">
        <w:rPr>
          <w:rFonts w:ascii="Arial" w:eastAsia="宋体" w:hAnsi="Arial" w:cs="Arial" w:hint="eastAsia"/>
          <w:sz w:val="24"/>
        </w:rPr>
        <w:t>使同学们了解自身健康的重要性及如何维护、促进自身的健康。</w:t>
      </w:r>
    </w:p>
    <w:p w14:paraId="1AEDD16B" w14:textId="77777777" w:rsidR="000B25E0" w:rsidRPr="000B25E0" w:rsidRDefault="000B25E0" w:rsidP="000B25E0">
      <w:pPr>
        <w:adjustRightInd w:val="0"/>
        <w:snapToGrid w:val="0"/>
        <w:spacing w:line="500" w:lineRule="exact"/>
        <w:ind w:firstLineChars="196" w:firstLine="472"/>
        <w:rPr>
          <w:rFonts w:ascii="Arial" w:eastAsia="宋体" w:hAnsi="Arial" w:cs="Arial"/>
          <w:sz w:val="24"/>
        </w:rPr>
      </w:pPr>
      <w:r w:rsidRPr="000B25E0">
        <w:rPr>
          <w:rFonts w:ascii="Arial" w:eastAsia="宋体" w:hAnsi="Calibri" w:cs="Arial" w:hint="eastAsia"/>
          <w:b/>
          <w:sz w:val="24"/>
        </w:rPr>
        <w:t>本章教学重点及难点：</w:t>
      </w:r>
      <w:r w:rsidRPr="000B25E0">
        <w:rPr>
          <w:rFonts w:ascii="Arial" w:eastAsia="宋体" w:hAnsi="Arial" w:cs="Arial" w:hint="eastAsia"/>
          <w:sz w:val="24"/>
        </w:rPr>
        <w:t>认识到健康的重要性；如何维护自身的健康。</w:t>
      </w:r>
    </w:p>
    <w:p w14:paraId="3087A4B4"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第二章</w:t>
      </w:r>
      <w:r w:rsidRPr="000B25E0">
        <w:rPr>
          <w:rFonts w:ascii="Arial" w:eastAsia="宋体" w:hAnsi="Arial" w:cs="Arial"/>
          <w:b/>
          <w:sz w:val="28"/>
          <w:szCs w:val="28"/>
        </w:rPr>
        <w:t xml:space="preserve">   </w:t>
      </w:r>
      <w:r w:rsidRPr="000B25E0">
        <w:rPr>
          <w:rFonts w:ascii="Arial" w:eastAsia="宋体" w:hAnsi="Calibri" w:cs="Arial" w:hint="eastAsia"/>
          <w:b/>
          <w:sz w:val="28"/>
          <w:szCs w:val="28"/>
        </w:rPr>
        <w:t>科学健身的理论与方法（</w:t>
      </w:r>
      <w:r w:rsidRPr="000B25E0">
        <w:rPr>
          <w:rFonts w:ascii="Arial" w:eastAsia="宋体" w:hAnsi="Calibri" w:cs="Arial" w:hint="eastAsia"/>
          <w:b/>
          <w:sz w:val="28"/>
          <w:szCs w:val="28"/>
        </w:rPr>
        <w:t>0.5</w:t>
      </w:r>
      <w:r w:rsidRPr="000B25E0">
        <w:rPr>
          <w:rFonts w:ascii="Arial" w:eastAsia="宋体" w:hAnsi="Calibri" w:cs="Arial" w:hint="eastAsia"/>
          <w:b/>
          <w:sz w:val="28"/>
          <w:szCs w:val="28"/>
        </w:rPr>
        <w:t>学时）</w:t>
      </w:r>
    </w:p>
    <w:p w14:paraId="5EC65505"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79B89387"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2.1 健身新理念</w:t>
      </w:r>
    </w:p>
    <w:p w14:paraId="3900A5C5"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2.2 运动处方</w:t>
      </w:r>
    </w:p>
    <w:p w14:paraId="68E436A1"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lastRenderedPageBreak/>
        <w:t>本章教学目的及要求：</w:t>
      </w:r>
      <w:r w:rsidRPr="000B25E0">
        <w:rPr>
          <w:rFonts w:ascii="Calibri" w:eastAsia="宋体" w:hAnsi="Calibri" w:cs="Times New Roman" w:hint="eastAsia"/>
          <w:bCs/>
          <w:sz w:val="24"/>
        </w:rPr>
        <w:t>使学生了解健身新理念及运动处方如何制定。</w:t>
      </w:r>
    </w:p>
    <w:p w14:paraId="1610A3F2" w14:textId="77777777" w:rsidR="000B25E0" w:rsidRPr="000B25E0" w:rsidRDefault="000B25E0" w:rsidP="000B25E0">
      <w:pPr>
        <w:spacing w:line="360" w:lineRule="auto"/>
        <w:ind w:firstLineChars="200" w:firstLine="482"/>
        <w:rPr>
          <w:rFonts w:ascii="Arial" w:eastAsia="宋体" w:hAnsi="Arial" w:cs="Arial"/>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制订运动处方的重要性；如何制订自身的运动处方。</w:t>
      </w:r>
    </w:p>
    <w:p w14:paraId="176E2C25"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第三章</w:t>
      </w:r>
      <w:r w:rsidRPr="000B25E0">
        <w:rPr>
          <w:rFonts w:ascii="Arial" w:eastAsia="宋体" w:hAnsi="Arial" w:cs="Arial"/>
          <w:b/>
          <w:sz w:val="28"/>
          <w:szCs w:val="28"/>
        </w:rPr>
        <w:t xml:space="preserve">   </w:t>
      </w:r>
      <w:r w:rsidRPr="000B25E0">
        <w:rPr>
          <w:rFonts w:ascii="Arial" w:eastAsia="宋体" w:hAnsi="Calibri" w:cs="Arial" w:hint="eastAsia"/>
          <w:b/>
          <w:sz w:val="28"/>
          <w:szCs w:val="28"/>
        </w:rPr>
        <w:t>营养与健康（</w:t>
      </w:r>
      <w:r w:rsidRPr="000B25E0">
        <w:rPr>
          <w:rFonts w:ascii="Arial" w:eastAsia="宋体" w:hAnsi="Calibri" w:cs="Arial" w:hint="eastAsia"/>
          <w:b/>
          <w:sz w:val="28"/>
          <w:szCs w:val="28"/>
        </w:rPr>
        <w:t>0.5</w:t>
      </w:r>
      <w:r w:rsidRPr="000B25E0">
        <w:rPr>
          <w:rFonts w:ascii="Arial" w:eastAsia="宋体" w:hAnsi="Calibri" w:cs="Arial" w:hint="eastAsia"/>
          <w:b/>
          <w:sz w:val="28"/>
          <w:szCs w:val="28"/>
        </w:rPr>
        <w:t>学时）</w:t>
      </w:r>
    </w:p>
    <w:p w14:paraId="78A047E0"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37F264AC"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3.1 营养对健康的影响</w:t>
      </w:r>
    </w:p>
    <w:p w14:paraId="690CDD8B"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3.2 营养素及人体对营养的需要</w:t>
      </w:r>
    </w:p>
    <w:p w14:paraId="2D9C0D24"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3.3 平衡膳食</w:t>
      </w:r>
    </w:p>
    <w:p w14:paraId="56B0EA47"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3.4 运动与营养</w:t>
      </w:r>
    </w:p>
    <w:p w14:paraId="5C189B94"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让学生正确认识科学补充营养可以提高自身免疫力，从而提高生活质量。</w:t>
      </w:r>
    </w:p>
    <w:p w14:paraId="37156B49" w14:textId="77777777" w:rsidR="000B25E0" w:rsidRPr="000B25E0" w:rsidRDefault="000B25E0" w:rsidP="000B25E0">
      <w:pPr>
        <w:spacing w:line="360" w:lineRule="auto"/>
        <w:ind w:firstLineChars="196" w:firstLine="472"/>
        <w:rPr>
          <w:rFonts w:ascii="Arial" w:eastAsia="宋体" w:hAnsi="Arial" w:cs="Arial"/>
          <w:bCs/>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学生阶段的营养过剩与运动不足；补充营养的同时如何提高自身的健康。</w:t>
      </w:r>
    </w:p>
    <w:p w14:paraId="4BC1A649"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第四章</w:t>
      </w:r>
      <w:r w:rsidRPr="000B25E0">
        <w:rPr>
          <w:rFonts w:ascii="Arial" w:eastAsia="宋体" w:hAnsi="Arial" w:cs="Arial"/>
          <w:b/>
          <w:sz w:val="28"/>
          <w:szCs w:val="28"/>
        </w:rPr>
        <w:t xml:space="preserve">   </w:t>
      </w:r>
      <w:r w:rsidRPr="000B25E0">
        <w:rPr>
          <w:rFonts w:ascii="Arial" w:eastAsia="宋体" w:hAnsi="Calibri" w:cs="Arial" w:hint="eastAsia"/>
          <w:b/>
          <w:sz w:val="28"/>
          <w:szCs w:val="28"/>
        </w:rPr>
        <w:t>体育保健知识（</w:t>
      </w:r>
      <w:r w:rsidRPr="000B25E0">
        <w:rPr>
          <w:rFonts w:ascii="Arial" w:eastAsia="宋体" w:hAnsi="Calibri" w:cs="Arial" w:hint="eastAsia"/>
          <w:b/>
          <w:sz w:val="28"/>
          <w:szCs w:val="28"/>
        </w:rPr>
        <w:t>0.5</w:t>
      </w:r>
      <w:r w:rsidRPr="000B25E0">
        <w:rPr>
          <w:rFonts w:ascii="Arial" w:eastAsia="宋体" w:hAnsi="Calibri" w:cs="Arial" w:hint="eastAsia"/>
          <w:b/>
          <w:sz w:val="28"/>
          <w:szCs w:val="28"/>
        </w:rPr>
        <w:t>学时）</w:t>
      </w:r>
    </w:p>
    <w:p w14:paraId="5F152565"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49487C97"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4.1运动中常见的生理反应与处理方法</w:t>
      </w:r>
    </w:p>
    <w:p w14:paraId="7CE09215"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4.2 运动损伤的处置</w:t>
      </w:r>
    </w:p>
    <w:p w14:paraId="4E5118AE"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4.3女子运动保健</w:t>
      </w:r>
    </w:p>
    <w:p w14:paraId="182C982A"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使学生了解运动中常见的生理反应及处理方法。</w:t>
      </w:r>
    </w:p>
    <w:p w14:paraId="01D64BA5" w14:textId="77777777" w:rsidR="000B25E0" w:rsidRPr="000B25E0" w:rsidRDefault="000B25E0" w:rsidP="000B25E0">
      <w:pPr>
        <w:spacing w:line="360" w:lineRule="auto"/>
        <w:ind w:firstLineChars="196" w:firstLine="472"/>
        <w:rPr>
          <w:rFonts w:ascii="Arial" w:eastAsia="宋体" w:hAnsi="Calibri" w:cs="Arial"/>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学生如何预防常见的运动损伤；运动损伤如何处置。</w:t>
      </w:r>
    </w:p>
    <w:p w14:paraId="152097E4" w14:textId="77777777" w:rsidR="000B25E0" w:rsidRPr="000B25E0" w:rsidRDefault="000B25E0" w:rsidP="000B25E0">
      <w:pPr>
        <w:tabs>
          <w:tab w:val="left" w:pos="960"/>
        </w:tabs>
        <w:spacing w:beforeLines="50" w:before="156" w:afterLines="50" w:after="156" w:line="360" w:lineRule="auto"/>
        <w:jc w:val="center"/>
        <w:rPr>
          <w:rFonts w:ascii="宋体" w:eastAsia="宋体" w:hAnsi="Calibri" w:cs="Arial"/>
          <w:b/>
          <w:bCs/>
          <w:sz w:val="28"/>
          <w:szCs w:val="28"/>
        </w:rPr>
      </w:pPr>
      <w:r w:rsidRPr="000B25E0">
        <w:rPr>
          <w:rFonts w:ascii="宋体" w:eastAsia="宋体" w:hAnsi="宋体" w:cs="Arial" w:hint="eastAsia"/>
          <w:b/>
          <w:bCs/>
          <w:sz w:val="28"/>
          <w:szCs w:val="28"/>
        </w:rPr>
        <w:t>第五章 了解体育文化（0.5课时）</w:t>
      </w:r>
    </w:p>
    <w:p w14:paraId="1E6FB9FC"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3F3EACD9"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5.1中西方体育文化比较</w:t>
      </w:r>
    </w:p>
    <w:p w14:paraId="6279D26D"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5.2 奥林匹克体育文化</w:t>
      </w:r>
    </w:p>
    <w:p w14:paraId="768A9861"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5.3 校园体育文化</w:t>
      </w:r>
    </w:p>
    <w:p w14:paraId="3E04B9F3"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本章教学目的及要求：</w:t>
      </w:r>
      <w:r w:rsidRPr="000B25E0">
        <w:rPr>
          <w:rFonts w:ascii="Arial" w:eastAsia="宋体" w:hAnsi="Calibri" w:cs="Arial" w:hint="eastAsia"/>
          <w:bCs/>
          <w:sz w:val="24"/>
          <w:szCs w:val="28"/>
        </w:rPr>
        <w:t>让学生了解东西方体育文化的差异。</w:t>
      </w:r>
    </w:p>
    <w:p w14:paraId="565E6ABB"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lastRenderedPageBreak/>
        <w:t>本章教学重点及难点：</w:t>
      </w:r>
      <w:r w:rsidRPr="000B25E0">
        <w:rPr>
          <w:rFonts w:ascii="Arial" w:eastAsia="宋体" w:hAnsi="Calibri" w:cs="Arial" w:hint="eastAsia"/>
          <w:sz w:val="24"/>
        </w:rPr>
        <w:t>介绍奥林匹克文化的发展</w:t>
      </w:r>
      <w:r w:rsidRPr="000B25E0">
        <w:rPr>
          <w:rFonts w:ascii="Arial" w:eastAsia="宋体" w:hAnsi="Calibri" w:cs="Arial" w:hint="eastAsia"/>
          <w:bCs/>
          <w:sz w:val="24"/>
          <w:szCs w:val="28"/>
        </w:rPr>
        <w:t>；介绍校园体育文化的发展与功能。</w:t>
      </w:r>
    </w:p>
    <w:p w14:paraId="7F315E66" w14:textId="77777777" w:rsidR="000B25E0" w:rsidRPr="000B25E0" w:rsidRDefault="000B25E0" w:rsidP="000B25E0">
      <w:pPr>
        <w:spacing w:beforeLines="50" w:before="156" w:afterLines="50" w:after="156" w:line="360" w:lineRule="auto"/>
        <w:jc w:val="center"/>
        <w:rPr>
          <w:rFonts w:ascii="Arial" w:eastAsia="宋体" w:hAnsi="Calibri" w:cs="Arial"/>
          <w:b/>
          <w:sz w:val="28"/>
          <w:szCs w:val="28"/>
        </w:rPr>
      </w:pPr>
      <w:r w:rsidRPr="000B25E0">
        <w:rPr>
          <w:rFonts w:ascii="宋体" w:eastAsia="宋体" w:hAnsi="宋体" w:cs="宋体" w:hint="eastAsia"/>
          <w:b/>
          <w:bCs/>
          <w:sz w:val="28"/>
          <w:szCs w:val="28"/>
        </w:rPr>
        <w:t>第六章 欣赏体育比赛</w:t>
      </w:r>
      <w:r w:rsidRPr="000B25E0">
        <w:rPr>
          <w:rFonts w:ascii="Arial" w:eastAsia="宋体" w:hAnsi="Calibri" w:cs="Arial" w:hint="eastAsia"/>
          <w:b/>
          <w:sz w:val="28"/>
          <w:szCs w:val="28"/>
        </w:rPr>
        <w:t>（</w:t>
      </w:r>
      <w:r w:rsidRPr="000B25E0">
        <w:rPr>
          <w:rFonts w:ascii="Arial" w:eastAsia="宋体" w:hAnsi="Arial" w:cs="Arial" w:hint="eastAsia"/>
          <w:b/>
          <w:sz w:val="28"/>
          <w:szCs w:val="28"/>
        </w:rPr>
        <w:t>0.5</w:t>
      </w:r>
      <w:r w:rsidRPr="000B25E0">
        <w:rPr>
          <w:rFonts w:ascii="Arial" w:eastAsia="宋体" w:hAnsi="Calibri" w:cs="Arial" w:hint="eastAsia"/>
          <w:b/>
          <w:sz w:val="28"/>
          <w:szCs w:val="28"/>
        </w:rPr>
        <w:t>学时）</w:t>
      </w:r>
    </w:p>
    <w:p w14:paraId="23FF606C"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1722E255"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6.1体育欣赏的体育美学原理及特点</w:t>
      </w:r>
    </w:p>
    <w:p w14:paraId="30519B37"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6.2 体育运动的欣赏内容</w:t>
      </w:r>
    </w:p>
    <w:p w14:paraId="45BC59A2"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6.3 特定运动项目的欣赏</w:t>
      </w:r>
    </w:p>
    <w:p w14:paraId="65C76EB8"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本章教学目的及要求：</w:t>
      </w:r>
      <w:r w:rsidRPr="000B25E0">
        <w:rPr>
          <w:rFonts w:ascii="Arial" w:eastAsia="宋体" w:hAnsi="Calibri" w:cs="Arial" w:hint="eastAsia"/>
          <w:bCs/>
          <w:sz w:val="24"/>
          <w:szCs w:val="28"/>
        </w:rPr>
        <w:t>使学生提高体育文化素质，培养起体育欣赏的兴趣，树立正确的体育审美观念。</w:t>
      </w:r>
    </w:p>
    <w:p w14:paraId="2EEF8500"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如何欣赏球类比赛</w:t>
      </w:r>
      <w:r w:rsidRPr="000B25E0">
        <w:rPr>
          <w:rFonts w:ascii="Arial" w:eastAsia="宋体" w:hAnsi="Calibri" w:cs="Arial" w:hint="eastAsia"/>
          <w:bCs/>
          <w:sz w:val="24"/>
          <w:szCs w:val="28"/>
        </w:rPr>
        <w:t>；如何提高体育欣赏水平。</w:t>
      </w:r>
    </w:p>
    <w:p w14:paraId="35CE2A04"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第七章</w:t>
      </w:r>
      <w:r w:rsidRPr="000B25E0">
        <w:rPr>
          <w:rFonts w:ascii="Arial" w:eastAsia="宋体" w:hAnsi="Arial" w:cs="Arial"/>
          <w:b/>
          <w:sz w:val="28"/>
          <w:szCs w:val="28"/>
        </w:rPr>
        <w:t xml:space="preserve">   </w:t>
      </w:r>
      <w:r w:rsidRPr="000B25E0">
        <w:rPr>
          <w:rFonts w:ascii="Arial" w:eastAsia="宋体" w:hAnsi="Arial" w:cs="Arial"/>
          <w:b/>
          <w:sz w:val="28"/>
          <w:szCs w:val="28"/>
        </w:rPr>
        <w:t>大</w:t>
      </w:r>
      <w:r w:rsidRPr="000B25E0">
        <w:rPr>
          <w:rFonts w:ascii="Arial" w:eastAsia="宋体" w:hAnsi="Calibri" w:cs="Arial" w:hint="eastAsia"/>
          <w:b/>
          <w:sz w:val="28"/>
          <w:szCs w:val="28"/>
        </w:rPr>
        <w:t>学生体质健康测评（</w:t>
      </w:r>
      <w:r w:rsidRPr="000B25E0">
        <w:rPr>
          <w:rFonts w:ascii="Arial" w:eastAsia="宋体" w:hAnsi="Calibri" w:cs="Arial" w:hint="eastAsia"/>
          <w:b/>
          <w:sz w:val="28"/>
          <w:szCs w:val="28"/>
        </w:rPr>
        <w:t>4</w:t>
      </w:r>
      <w:r w:rsidRPr="000B25E0">
        <w:rPr>
          <w:rFonts w:ascii="Arial" w:eastAsia="宋体" w:hAnsi="Calibri" w:cs="Arial" w:hint="eastAsia"/>
          <w:b/>
          <w:sz w:val="28"/>
          <w:szCs w:val="28"/>
        </w:rPr>
        <w:t>学时）</w:t>
      </w:r>
    </w:p>
    <w:p w14:paraId="412EAD33"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36B75DE3"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7.1 《国家学生体质健康标准》实施说明</w:t>
      </w:r>
    </w:p>
    <w:p w14:paraId="33999792" w14:textId="77777777" w:rsidR="000B25E0" w:rsidRPr="000B25E0" w:rsidRDefault="000B25E0" w:rsidP="000B25E0">
      <w:pPr>
        <w:autoSpaceDE w:val="0"/>
        <w:autoSpaceDN w:val="0"/>
        <w:adjustRightInd w:val="0"/>
        <w:snapToGrid w:val="0"/>
        <w:spacing w:line="500" w:lineRule="exact"/>
        <w:ind w:firstLineChars="200" w:firstLine="500"/>
        <w:jc w:val="left"/>
        <w:rPr>
          <w:rFonts w:ascii="Arial" w:eastAsia="宋体" w:hAnsi="Calibri" w:cs="Arial"/>
          <w:sz w:val="24"/>
        </w:rPr>
      </w:pPr>
      <w:r w:rsidRPr="000B25E0">
        <w:rPr>
          <w:rFonts w:ascii="宋体" w:eastAsia="宋体" w:hAnsi="Calibri" w:cs="宋体" w:hint="eastAsia"/>
          <w:spacing w:val="5"/>
          <w:kern w:val="0"/>
          <w:sz w:val="24"/>
        </w:rPr>
        <w:t>7.2 《国家学生体质健康标准》测试评分表</w:t>
      </w:r>
    </w:p>
    <w:p w14:paraId="2658882B"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使学生了解体质健康的主要内容及要求。</w:t>
      </w:r>
    </w:p>
    <w:p w14:paraId="2D6CA214" w14:textId="77777777" w:rsidR="000B25E0" w:rsidRPr="000B25E0" w:rsidRDefault="000B25E0" w:rsidP="000B25E0">
      <w:pPr>
        <w:spacing w:line="360" w:lineRule="auto"/>
        <w:ind w:firstLineChars="196" w:firstLine="472"/>
        <w:rPr>
          <w:rFonts w:ascii="Arial" w:eastAsia="宋体" w:hAnsi="Calibri" w:cs="Arial"/>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学生体质健康标准的重要性；如何激发学生锻炼身体的积极性和自觉性。</w:t>
      </w:r>
    </w:p>
    <w:p w14:paraId="3B92A58B" w14:textId="77777777" w:rsidR="000B25E0" w:rsidRPr="000B25E0" w:rsidRDefault="000B25E0" w:rsidP="000B25E0">
      <w:pPr>
        <w:spacing w:beforeLines="50" w:before="156" w:afterLines="50" w:after="156" w:line="360" w:lineRule="auto"/>
        <w:jc w:val="center"/>
        <w:rPr>
          <w:rFonts w:ascii="Arial" w:eastAsia="宋体" w:hAnsi="Calibri" w:cs="Arial"/>
          <w:b/>
          <w:sz w:val="28"/>
          <w:szCs w:val="28"/>
        </w:rPr>
      </w:pPr>
      <w:r w:rsidRPr="000B25E0">
        <w:rPr>
          <w:rFonts w:ascii="Arial" w:eastAsia="宋体" w:hAnsi="Arial" w:cs="Arial" w:hint="eastAsia"/>
          <w:b/>
          <w:sz w:val="28"/>
          <w:szCs w:val="28"/>
        </w:rPr>
        <w:t>第八章</w:t>
      </w:r>
      <w:r w:rsidRPr="000B25E0">
        <w:rPr>
          <w:rFonts w:ascii="Arial" w:eastAsia="宋体" w:hAnsi="Arial" w:cs="Arial"/>
          <w:b/>
          <w:sz w:val="28"/>
          <w:szCs w:val="28"/>
        </w:rPr>
        <w:t xml:space="preserve">  </w:t>
      </w:r>
      <w:r w:rsidRPr="000B25E0">
        <w:rPr>
          <w:rFonts w:ascii="宋体" w:eastAsia="宋体" w:hAnsi="宋体" w:cs="Arial" w:hint="eastAsia"/>
          <w:b/>
          <w:bCs/>
          <w:sz w:val="28"/>
          <w:szCs w:val="28"/>
        </w:rPr>
        <w:t>体能训练</w:t>
      </w:r>
      <w:r w:rsidRPr="000B25E0">
        <w:rPr>
          <w:rFonts w:ascii="Arial" w:eastAsia="宋体" w:hAnsi="Calibri" w:cs="Arial" w:hint="eastAsia"/>
          <w:b/>
          <w:sz w:val="28"/>
          <w:szCs w:val="28"/>
        </w:rPr>
        <w:t>（</w:t>
      </w:r>
      <w:r w:rsidRPr="000B25E0">
        <w:rPr>
          <w:rFonts w:ascii="Arial" w:eastAsia="宋体" w:hAnsi="Calibri" w:cs="Arial" w:hint="eastAsia"/>
          <w:b/>
          <w:sz w:val="28"/>
          <w:szCs w:val="28"/>
        </w:rPr>
        <w:t>13</w:t>
      </w:r>
      <w:r w:rsidRPr="000B25E0">
        <w:rPr>
          <w:rFonts w:ascii="Arial" w:eastAsia="宋体" w:hAnsi="Calibri" w:cs="Arial" w:hint="eastAsia"/>
          <w:b/>
          <w:sz w:val="28"/>
          <w:szCs w:val="28"/>
        </w:rPr>
        <w:t>学时）</w:t>
      </w:r>
    </w:p>
    <w:p w14:paraId="03E59BE4" w14:textId="77777777" w:rsidR="000B25E0" w:rsidRPr="000B25E0" w:rsidRDefault="000B25E0" w:rsidP="000B25E0">
      <w:pPr>
        <w:spacing w:line="360" w:lineRule="auto"/>
        <w:ind w:firstLineChars="196" w:firstLine="472"/>
        <w:rPr>
          <w:rFonts w:ascii="宋体" w:eastAsia="宋体" w:hAnsi="宋体" w:cs="Arial"/>
          <w:b/>
          <w:sz w:val="24"/>
        </w:rPr>
      </w:pPr>
      <w:r w:rsidRPr="000B25E0">
        <w:rPr>
          <w:rFonts w:ascii="宋体" w:eastAsia="宋体" w:hAnsi="宋体" w:cs="Arial" w:hint="eastAsia"/>
          <w:b/>
          <w:sz w:val="24"/>
        </w:rPr>
        <w:t>本章主要教学内容：</w:t>
      </w:r>
    </w:p>
    <w:p w14:paraId="1A9A3DDE"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8.1体能训练简介</w:t>
      </w:r>
    </w:p>
    <w:p w14:paraId="2A441E6E"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8.2加速能力及力量训练2.柔韧能力训练</w:t>
      </w:r>
    </w:p>
    <w:p w14:paraId="12501EF5"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8.3弹跳能力及力量训练</w:t>
      </w:r>
    </w:p>
    <w:p w14:paraId="26C04AF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8.4灵敏能力及力量训练</w:t>
      </w:r>
    </w:p>
    <w:p w14:paraId="3A0799ED"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8.5耐力能力及无氧训练</w:t>
      </w:r>
    </w:p>
    <w:p w14:paraId="50A8F08A"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8.6弹跳能力及力量测试</w:t>
      </w:r>
    </w:p>
    <w:p w14:paraId="7C20B6FF"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lastRenderedPageBreak/>
        <w:t>8.7上肢（男）力量训练2.腹肌（女）力量训练</w:t>
      </w:r>
    </w:p>
    <w:p w14:paraId="0E193ED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8.8耐力能力及无氧训练</w:t>
      </w:r>
    </w:p>
    <w:p w14:paraId="798B73DF"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8.9引体向上（男）；一分钟仰卧起坐（女）</w:t>
      </w:r>
    </w:p>
    <w:p w14:paraId="75E928B2"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8.10立定跳远测试</w:t>
      </w:r>
    </w:p>
    <w:p w14:paraId="0CCB2A15" w14:textId="77777777" w:rsidR="000B25E0" w:rsidRPr="000B25E0" w:rsidRDefault="000B25E0" w:rsidP="000B25E0">
      <w:pPr>
        <w:spacing w:beforeLines="50" w:before="156" w:afterLines="50" w:after="156" w:line="500" w:lineRule="exact"/>
        <w:ind w:firstLineChars="200" w:firstLine="562"/>
        <w:jc w:val="center"/>
        <w:rPr>
          <w:rFonts w:ascii="Calibri" w:eastAsia="宋体" w:hAnsi="宋体" w:cs="Times New Roman"/>
          <w:b/>
          <w:bCs/>
          <w:sz w:val="28"/>
          <w:szCs w:val="28"/>
        </w:rPr>
      </w:pPr>
      <w:r w:rsidRPr="000B25E0">
        <w:rPr>
          <w:rFonts w:ascii="Calibri" w:eastAsia="宋体" w:hAnsi="宋体" w:cs="Times New Roman" w:hint="eastAsia"/>
          <w:b/>
          <w:bCs/>
          <w:sz w:val="28"/>
          <w:szCs w:val="28"/>
        </w:rPr>
        <w:t>第九章</w:t>
      </w:r>
      <w:r w:rsidRPr="000B25E0">
        <w:rPr>
          <w:rFonts w:ascii="Calibri" w:eastAsia="宋体" w:hAnsi="宋体" w:cs="Times New Roman" w:hint="eastAsia"/>
          <w:b/>
          <w:bCs/>
          <w:sz w:val="28"/>
          <w:szCs w:val="28"/>
        </w:rPr>
        <w:t xml:space="preserve"> </w:t>
      </w:r>
      <w:r w:rsidRPr="000B25E0">
        <w:rPr>
          <w:rFonts w:ascii="Calibri" w:eastAsia="宋体" w:hAnsi="宋体" w:cs="Times New Roman" w:hint="eastAsia"/>
          <w:b/>
          <w:bCs/>
          <w:sz w:val="28"/>
          <w:szCs w:val="28"/>
        </w:rPr>
        <w:t>基本手法、步法及理论（</w:t>
      </w:r>
      <w:r w:rsidRPr="000B25E0">
        <w:rPr>
          <w:rFonts w:ascii="Calibri" w:eastAsia="宋体" w:hAnsi="宋体" w:cs="Times New Roman" w:hint="eastAsia"/>
          <w:b/>
          <w:bCs/>
          <w:sz w:val="28"/>
          <w:szCs w:val="28"/>
        </w:rPr>
        <w:t>12</w:t>
      </w:r>
      <w:r w:rsidRPr="000B25E0">
        <w:rPr>
          <w:rFonts w:ascii="Calibri" w:eastAsia="宋体" w:hAnsi="宋体" w:cs="Times New Roman" w:hint="eastAsia"/>
          <w:b/>
          <w:bCs/>
          <w:sz w:val="28"/>
          <w:szCs w:val="28"/>
        </w:rPr>
        <w:t>学时）</w:t>
      </w:r>
    </w:p>
    <w:p w14:paraId="691A0D04"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9</w:t>
      </w:r>
      <w:r w:rsidRPr="000B25E0">
        <w:rPr>
          <w:rFonts w:ascii="Calibri" w:eastAsia="宋体" w:hAnsi="Calibri" w:cs="Times New Roman"/>
          <w:sz w:val="24"/>
        </w:rPr>
        <w:t xml:space="preserve">.1 </w:t>
      </w:r>
      <w:r w:rsidRPr="000B25E0">
        <w:rPr>
          <w:rFonts w:ascii="Calibri" w:eastAsia="宋体" w:hAnsi="Calibri" w:cs="Times New Roman" w:hint="eastAsia"/>
          <w:sz w:val="24"/>
        </w:rPr>
        <w:t>跆拳道基础理论（</w:t>
      </w:r>
      <w:r w:rsidRPr="000B25E0">
        <w:rPr>
          <w:rFonts w:ascii="Calibri" w:eastAsia="宋体" w:hAnsi="Calibri" w:cs="Times New Roman"/>
          <w:sz w:val="24"/>
        </w:rPr>
        <w:t>2</w:t>
      </w:r>
      <w:r w:rsidRPr="000B25E0">
        <w:rPr>
          <w:rFonts w:ascii="Calibri" w:eastAsia="宋体" w:hAnsi="Calibri" w:cs="Times New Roman" w:hint="eastAsia"/>
          <w:sz w:val="24"/>
        </w:rPr>
        <w:t>学时）</w:t>
      </w:r>
    </w:p>
    <w:p w14:paraId="277244CC"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9</w:t>
      </w:r>
      <w:r w:rsidRPr="000B25E0">
        <w:rPr>
          <w:rFonts w:ascii="Calibri" w:eastAsia="宋体" w:hAnsi="Calibri" w:cs="Times New Roman"/>
          <w:sz w:val="24"/>
        </w:rPr>
        <w:t>.2</w:t>
      </w:r>
      <w:r w:rsidRPr="000B25E0">
        <w:rPr>
          <w:rFonts w:ascii="Calibri" w:eastAsia="宋体" w:hAnsi="Calibri" w:cs="Times New Roman"/>
          <w:sz w:val="24"/>
        </w:rPr>
        <w:t>竞技实战势</w:t>
      </w:r>
      <w:r w:rsidRPr="000B25E0">
        <w:rPr>
          <w:rFonts w:ascii="Calibri" w:eastAsia="宋体" w:hAnsi="Calibri" w:cs="Times New Roman" w:hint="eastAsia"/>
          <w:sz w:val="24"/>
        </w:rPr>
        <w:t>，</w:t>
      </w:r>
      <w:r w:rsidRPr="000B25E0">
        <w:rPr>
          <w:rFonts w:ascii="Calibri" w:eastAsia="宋体" w:hAnsi="Calibri" w:cs="Times New Roman"/>
          <w:sz w:val="24"/>
        </w:rPr>
        <w:t>步法</w:t>
      </w:r>
      <w:r w:rsidRPr="000B25E0">
        <w:rPr>
          <w:rFonts w:ascii="Calibri" w:eastAsia="宋体" w:hAnsi="Calibri" w:cs="Times New Roman" w:hint="eastAsia"/>
          <w:sz w:val="24"/>
        </w:rPr>
        <w:t>（</w:t>
      </w:r>
      <w:r w:rsidRPr="000B25E0">
        <w:rPr>
          <w:rFonts w:ascii="Calibri" w:eastAsia="宋体" w:hAnsi="Calibri" w:cs="Times New Roman" w:hint="eastAsia"/>
          <w:sz w:val="24"/>
        </w:rPr>
        <w:t>4</w:t>
      </w:r>
      <w:r w:rsidRPr="000B25E0">
        <w:rPr>
          <w:rFonts w:ascii="Calibri" w:eastAsia="宋体" w:hAnsi="Calibri" w:cs="Times New Roman"/>
          <w:sz w:val="24"/>
        </w:rPr>
        <w:t>学时</w:t>
      </w:r>
      <w:r w:rsidRPr="000B25E0">
        <w:rPr>
          <w:rFonts w:ascii="Calibri" w:eastAsia="宋体" w:hAnsi="Calibri" w:cs="Times New Roman" w:hint="eastAsia"/>
          <w:sz w:val="24"/>
        </w:rPr>
        <w:t>）</w:t>
      </w:r>
    </w:p>
    <w:p w14:paraId="65C600A0"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9.</w:t>
      </w:r>
      <w:r w:rsidRPr="000B25E0">
        <w:rPr>
          <w:rFonts w:ascii="Calibri" w:eastAsia="宋体" w:hAnsi="Calibri" w:cs="Times New Roman"/>
          <w:sz w:val="24"/>
        </w:rPr>
        <w:t xml:space="preserve">3 </w:t>
      </w:r>
      <w:r w:rsidRPr="000B25E0">
        <w:rPr>
          <w:rFonts w:ascii="Calibri" w:eastAsia="宋体" w:hAnsi="Calibri" w:cs="Times New Roman"/>
          <w:sz w:val="24"/>
        </w:rPr>
        <w:t>前踢</w:t>
      </w:r>
      <w:r w:rsidRPr="000B25E0">
        <w:rPr>
          <w:rFonts w:ascii="Calibri" w:eastAsia="宋体" w:hAnsi="Calibri" w:cs="Times New Roman" w:hint="eastAsia"/>
          <w:sz w:val="24"/>
        </w:rPr>
        <w:t>、</w:t>
      </w:r>
      <w:r w:rsidRPr="000B25E0">
        <w:rPr>
          <w:rFonts w:ascii="Calibri" w:eastAsia="宋体" w:hAnsi="Calibri" w:cs="Times New Roman"/>
          <w:sz w:val="24"/>
        </w:rPr>
        <w:t>前腿前踢</w:t>
      </w:r>
      <w:r w:rsidRPr="000B25E0">
        <w:rPr>
          <w:rFonts w:ascii="Calibri" w:eastAsia="宋体" w:hAnsi="Calibri" w:cs="Times New Roman" w:hint="eastAsia"/>
          <w:sz w:val="24"/>
        </w:rPr>
        <w:t>（</w:t>
      </w:r>
      <w:r w:rsidRPr="000B25E0">
        <w:rPr>
          <w:rFonts w:ascii="Calibri" w:eastAsia="宋体" w:hAnsi="Calibri" w:cs="Times New Roman" w:hint="eastAsia"/>
          <w:sz w:val="24"/>
        </w:rPr>
        <w:t>6</w:t>
      </w:r>
      <w:r w:rsidRPr="000B25E0">
        <w:rPr>
          <w:rFonts w:ascii="Calibri" w:eastAsia="宋体" w:hAnsi="Calibri" w:cs="Times New Roman" w:hint="eastAsia"/>
          <w:sz w:val="24"/>
        </w:rPr>
        <w:t>学时）</w:t>
      </w:r>
    </w:p>
    <w:p w14:paraId="7812F501"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学习内容二 跆拳道 1</w:t>
      </w:r>
    </w:p>
    <w:p w14:paraId="0A4E2360"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72AFBEA9"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5B3260B7"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36B5281E"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5ED0E65B" w14:textId="77777777" w:rsidR="000B25E0" w:rsidRPr="000B25E0" w:rsidRDefault="000B25E0" w:rsidP="000B25E0">
      <w:pPr>
        <w:spacing w:line="440" w:lineRule="exact"/>
        <w:ind w:firstLineChars="200" w:firstLine="500"/>
        <w:rPr>
          <w:rFonts w:ascii="宋体" w:eastAsia="宋体" w:hAnsi="宋体" w:cs="Times New Roman"/>
          <w:b/>
          <w:sz w:val="24"/>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w:t>
      </w:r>
      <w:r w:rsidRPr="000B25E0">
        <w:rPr>
          <w:rFonts w:ascii="宋体" w:eastAsia="宋体" w:hAnsi="宋体" w:cs="仿宋_GB2312" w:hint="eastAsia"/>
          <w:sz w:val="24"/>
        </w:rPr>
        <w:lastRenderedPageBreak/>
        <w:t>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0F221AA3"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【学习内容】</w:t>
      </w:r>
    </w:p>
    <w:p w14:paraId="2A649012"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b/>
          <w:sz w:val="28"/>
          <w:szCs w:val="28"/>
        </w:rPr>
        <w:t>第</w:t>
      </w:r>
      <w:r w:rsidRPr="000B25E0">
        <w:rPr>
          <w:rFonts w:ascii="宋体" w:eastAsia="宋体" w:hAnsi="宋体" w:cs="Times New Roman" w:hint="eastAsia"/>
          <w:b/>
          <w:sz w:val="28"/>
          <w:szCs w:val="28"/>
        </w:rPr>
        <w:t>一</w:t>
      </w:r>
      <w:r w:rsidRPr="000B25E0">
        <w:rPr>
          <w:rFonts w:ascii="宋体" w:eastAsia="宋体" w:hAnsi="宋体" w:cs="Times New Roman"/>
          <w:b/>
          <w:sz w:val="28"/>
          <w:szCs w:val="28"/>
        </w:rPr>
        <w:t xml:space="preserve">章  </w:t>
      </w:r>
      <w:r w:rsidRPr="000B25E0">
        <w:rPr>
          <w:rFonts w:ascii="宋体" w:eastAsia="宋体" w:hAnsi="宋体" w:cs="Times New Roman" w:hint="eastAsia"/>
          <w:b/>
          <w:sz w:val="28"/>
          <w:szCs w:val="28"/>
        </w:rPr>
        <w:t>跆拳道</w:t>
      </w:r>
      <w:r w:rsidRPr="000B25E0">
        <w:rPr>
          <w:rFonts w:ascii="宋体" w:eastAsia="宋体" w:hAnsi="宋体" w:cs="Times New Roman"/>
          <w:b/>
          <w:sz w:val="28"/>
          <w:szCs w:val="28"/>
        </w:rPr>
        <w:t>理论及</w:t>
      </w:r>
      <w:r w:rsidRPr="000B25E0">
        <w:rPr>
          <w:rFonts w:ascii="宋体" w:eastAsia="宋体" w:hAnsi="宋体" w:cs="Times New Roman" w:hint="eastAsia"/>
          <w:b/>
          <w:sz w:val="28"/>
          <w:szCs w:val="28"/>
        </w:rPr>
        <w:t>技法</w:t>
      </w:r>
      <w:r w:rsidRPr="000B25E0">
        <w:rPr>
          <w:rFonts w:ascii="宋体" w:eastAsia="宋体" w:hAnsi="宋体" w:cs="Times New Roman"/>
          <w:b/>
          <w:sz w:val="28"/>
          <w:szCs w:val="28"/>
        </w:rPr>
        <w:t>（</w:t>
      </w:r>
      <w:r w:rsidRPr="000B25E0">
        <w:rPr>
          <w:rFonts w:ascii="宋体" w:eastAsia="宋体" w:hAnsi="宋体" w:cs="Times New Roman" w:hint="eastAsia"/>
          <w:b/>
          <w:sz w:val="28"/>
          <w:szCs w:val="28"/>
        </w:rPr>
        <w:t>20</w:t>
      </w:r>
      <w:r w:rsidRPr="000B25E0">
        <w:rPr>
          <w:rFonts w:ascii="宋体" w:eastAsia="宋体" w:hAnsi="宋体" w:cs="Times New Roman"/>
          <w:b/>
          <w:sz w:val="28"/>
          <w:szCs w:val="28"/>
        </w:rPr>
        <w:t>学时）</w:t>
      </w:r>
    </w:p>
    <w:p w14:paraId="6EF7C67F"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3286ECAD"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1.1 跆拳道基础理论（2学时）</w:t>
      </w:r>
    </w:p>
    <w:p w14:paraId="7D326A1B"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1.2竞技实战势，步法（2学时）</w:t>
      </w:r>
    </w:p>
    <w:p w14:paraId="121D9608"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1.3 前踢、前腿前踢（4学时）</w:t>
      </w:r>
    </w:p>
    <w:p w14:paraId="14116D14"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1.4横踢、前腿横踢（4学时）</w:t>
      </w:r>
    </w:p>
    <w:p w14:paraId="7B924645"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1.5旋风踢（4学时）</w:t>
      </w:r>
    </w:p>
    <w:p w14:paraId="359EB323"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1.6后踢（2学时）</w:t>
      </w:r>
    </w:p>
    <w:p w14:paraId="244B191D"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1.7期中期末考试（2学时）</w:t>
      </w:r>
    </w:p>
    <w:p w14:paraId="700F2761"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本章教学目的及要求：</w:t>
      </w:r>
    </w:p>
    <w:p w14:paraId="106696C6"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目的：学习并达到基本掌握跆拳道竞技技术。</w:t>
      </w:r>
    </w:p>
    <w:p w14:paraId="4AB2D803"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sz w:val="24"/>
        </w:rPr>
        <w:t>要求</w:t>
      </w:r>
      <w:r w:rsidRPr="000B25E0">
        <w:rPr>
          <w:rFonts w:ascii="宋体" w:eastAsia="宋体" w:hAnsi="宋体" w:cs="Times New Roman" w:hint="eastAsia"/>
          <w:sz w:val="24"/>
        </w:rPr>
        <w:t>：能够熟练掌握前踢、</w:t>
      </w:r>
      <w:r w:rsidRPr="000B25E0">
        <w:rPr>
          <w:rFonts w:ascii="宋体" w:eastAsia="宋体" w:hAnsi="宋体" w:cs="Times New Roman"/>
          <w:sz w:val="24"/>
        </w:rPr>
        <w:t>横踢</w:t>
      </w:r>
      <w:r w:rsidRPr="000B25E0">
        <w:rPr>
          <w:rFonts w:ascii="宋体" w:eastAsia="宋体" w:hAnsi="宋体" w:cs="Times New Roman" w:hint="eastAsia"/>
          <w:sz w:val="24"/>
        </w:rPr>
        <w:t>、</w:t>
      </w:r>
      <w:r w:rsidRPr="000B25E0">
        <w:rPr>
          <w:rFonts w:ascii="宋体" w:eastAsia="宋体" w:hAnsi="宋体" w:cs="Times New Roman"/>
          <w:sz w:val="24"/>
        </w:rPr>
        <w:t>后踢</w:t>
      </w:r>
      <w:r w:rsidRPr="000B25E0">
        <w:rPr>
          <w:rFonts w:ascii="宋体" w:eastAsia="宋体" w:hAnsi="宋体" w:cs="Times New Roman" w:hint="eastAsia"/>
          <w:sz w:val="24"/>
        </w:rPr>
        <w:t>的动作及应用</w:t>
      </w:r>
    </w:p>
    <w:p w14:paraId="4A15B9C4"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本章教学重点及难点：</w:t>
      </w:r>
    </w:p>
    <w:p w14:paraId="3E846367" w14:textId="77777777" w:rsidR="000B25E0" w:rsidRPr="000B25E0" w:rsidRDefault="000B25E0" w:rsidP="000B25E0">
      <w:pPr>
        <w:adjustRightInd w:val="0"/>
        <w:snapToGrid w:val="0"/>
        <w:spacing w:line="500" w:lineRule="exact"/>
        <w:ind w:firstLineChars="200" w:firstLine="480"/>
        <w:rPr>
          <w:rFonts w:ascii="宋体" w:eastAsia="宋体" w:hAnsi="宋体" w:cs="楷体_GB2312"/>
          <w:color w:val="000000"/>
          <w:kern w:val="0"/>
          <w:sz w:val="24"/>
        </w:rPr>
      </w:pPr>
      <w:r w:rsidRPr="000B25E0">
        <w:rPr>
          <w:rFonts w:ascii="宋体" w:eastAsia="宋体" w:hAnsi="宋体" w:cs="楷体_GB2312"/>
          <w:color w:val="000000"/>
          <w:kern w:val="0"/>
          <w:sz w:val="24"/>
        </w:rPr>
        <w:t>重点</w:t>
      </w:r>
      <w:r w:rsidRPr="000B25E0">
        <w:rPr>
          <w:rFonts w:ascii="宋体" w:eastAsia="宋体" w:hAnsi="宋体" w:cs="楷体_GB2312" w:hint="eastAsia"/>
          <w:color w:val="000000"/>
          <w:kern w:val="0"/>
          <w:sz w:val="24"/>
        </w:rPr>
        <w:t>：垂直提膝、平行提膝、</w:t>
      </w:r>
      <w:proofErr w:type="gramStart"/>
      <w:r w:rsidRPr="000B25E0">
        <w:rPr>
          <w:rFonts w:ascii="宋体" w:eastAsia="宋体" w:hAnsi="宋体" w:cs="楷体_GB2312" w:hint="eastAsia"/>
          <w:color w:val="000000"/>
          <w:kern w:val="0"/>
          <w:sz w:val="24"/>
        </w:rPr>
        <w:t>夹腿提</w:t>
      </w:r>
      <w:proofErr w:type="gramEnd"/>
      <w:r w:rsidRPr="000B25E0">
        <w:rPr>
          <w:rFonts w:ascii="宋体" w:eastAsia="宋体" w:hAnsi="宋体" w:cs="楷体_GB2312" w:hint="eastAsia"/>
          <w:color w:val="000000"/>
          <w:kern w:val="0"/>
          <w:sz w:val="24"/>
        </w:rPr>
        <w:t>膝各技术中正面击打技术</w:t>
      </w:r>
    </w:p>
    <w:p w14:paraId="77E64007"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b/>
          <w:sz w:val="24"/>
        </w:rPr>
      </w:pPr>
      <w:r w:rsidRPr="000B25E0">
        <w:rPr>
          <w:rFonts w:ascii="宋体" w:eastAsia="宋体" w:hAnsi="宋体" w:cs="楷体_GB2312" w:hint="eastAsia"/>
          <w:color w:val="000000"/>
          <w:kern w:val="0"/>
          <w:sz w:val="24"/>
        </w:rPr>
        <w:t>难点：后踢、旋风踢、</w:t>
      </w:r>
    </w:p>
    <w:p w14:paraId="57335609"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b/>
          <w:sz w:val="28"/>
          <w:szCs w:val="28"/>
        </w:rPr>
        <w:t>第</w:t>
      </w:r>
      <w:r w:rsidRPr="000B25E0">
        <w:rPr>
          <w:rFonts w:ascii="宋体" w:eastAsia="宋体" w:hAnsi="宋体" w:cs="Times New Roman" w:hint="eastAsia"/>
          <w:b/>
          <w:sz w:val="28"/>
          <w:szCs w:val="28"/>
        </w:rPr>
        <w:t>二</w:t>
      </w:r>
      <w:r w:rsidRPr="000B25E0">
        <w:rPr>
          <w:rFonts w:ascii="宋体" w:eastAsia="宋体" w:hAnsi="宋体" w:cs="Times New Roman"/>
          <w:b/>
          <w:sz w:val="28"/>
          <w:szCs w:val="28"/>
        </w:rPr>
        <w:t xml:space="preserve">章  </w:t>
      </w:r>
      <w:r w:rsidRPr="000B25E0">
        <w:rPr>
          <w:rFonts w:ascii="宋体" w:eastAsia="宋体" w:hAnsi="宋体" w:cs="Times New Roman" w:hint="eastAsia"/>
          <w:b/>
          <w:sz w:val="28"/>
          <w:szCs w:val="28"/>
        </w:rPr>
        <w:t>身体素质（4学时）</w:t>
      </w:r>
    </w:p>
    <w:p w14:paraId="67787D18" w14:textId="77777777" w:rsidR="000B25E0" w:rsidRPr="000B25E0" w:rsidRDefault="000B25E0" w:rsidP="000B25E0">
      <w:pPr>
        <w:spacing w:line="360" w:lineRule="auto"/>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1463FC28"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2.1速度素质、耐力素质、灵敏素质。</w:t>
      </w:r>
    </w:p>
    <w:p w14:paraId="5ACD365D"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宋体" w:eastAsia="宋体" w:hAnsi="宋体" w:cs="宋体" w:hint="eastAsia"/>
          <w:sz w:val="24"/>
        </w:rPr>
        <w:t>2.2教学目的及要求：使学生掌握跆拳道运动需要的基本身体素质。</w:t>
      </w:r>
      <w:r w:rsidRPr="000B25E0">
        <w:rPr>
          <w:rFonts w:ascii="Calibri" w:eastAsia="宋体" w:hAnsi="Calibri" w:cs="Times New Roman" w:hint="eastAsia"/>
          <w:sz w:val="24"/>
        </w:rPr>
        <w:t xml:space="preserve"> </w:t>
      </w:r>
    </w:p>
    <w:p w14:paraId="0DAB7198"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bCs/>
          <w:sz w:val="24"/>
        </w:rPr>
        <w:t>教学重点及难点</w:t>
      </w:r>
      <w:r w:rsidRPr="000B25E0">
        <w:rPr>
          <w:rFonts w:ascii="Calibri" w:eastAsia="宋体" w:hAnsi="Calibri" w:cs="Times New Roman" w:hint="eastAsia"/>
          <w:sz w:val="24"/>
        </w:rPr>
        <w:t>：身体耐力、肌肉力量、柔韧性。</w:t>
      </w:r>
    </w:p>
    <w:p w14:paraId="0531859A" w14:textId="77777777" w:rsidR="000B25E0" w:rsidRPr="000B25E0" w:rsidRDefault="000B25E0" w:rsidP="000B25E0">
      <w:pPr>
        <w:adjustRightInd w:val="0"/>
        <w:snapToGrid w:val="0"/>
        <w:spacing w:line="500" w:lineRule="exact"/>
        <w:jc w:val="center"/>
        <w:rPr>
          <w:rFonts w:ascii="宋体" w:eastAsia="宋体" w:hAnsi="宋体" w:cs="仿宋_GB2312"/>
          <w:sz w:val="24"/>
        </w:rPr>
      </w:pPr>
      <w:r w:rsidRPr="000B25E0">
        <w:rPr>
          <w:rFonts w:ascii="宋体" w:eastAsia="宋体" w:hAnsi="宋体" w:cs="Times New Roman" w:hint="eastAsia"/>
          <w:b/>
          <w:sz w:val="28"/>
          <w:szCs w:val="28"/>
        </w:rPr>
        <w:t xml:space="preserve">第三章  </w:t>
      </w:r>
      <w:r w:rsidRPr="000B25E0">
        <w:rPr>
          <w:rFonts w:ascii="宋体" w:eastAsia="宋体" w:hAnsi="宋体" w:cs="Times New Roman"/>
          <w:b/>
          <w:sz w:val="28"/>
          <w:szCs w:val="28"/>
        </w:rPr>
        <w:t>跆拳道品势 （</w:t>
      </w:r>
      <w:r w:rsidRPr="000B25E0">
        <w:rPr>
          <w:rFonts w:ascii="宋体" w:eastAsia="宋体" w:hAnsi="宋体" w:cs="Times New Roman" w:hint="eastAsia"/>
          <w:b/>
          <w:sz w:val="28"/>
          <w:szCs w:val="28"/>
        </w:rPr>
        <w:t>8</w:t>
      </w:r>
      <w:r w:rsidRPr="000B25E0">
        <w:rPr>
          <w:rFonts w:ascii="宋体" w:eastAsia="宋体" w:hAnsi="宋体" w:cs="Times New Roman"/>
          <w:b/>
          <w:sz w:val="28"/>
          <w:szCs w:val="28"/>
        </w:rPr>
        <w:t>学时）</w:t>
      </w:r>
    </w:p>
    <w:p w14:paraId="57DF0CF5"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2300ECB2"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lastRenderedPageBreak/>
        <w:t>3.1 太极一章（4学时）</w:t>
      </w:r>
    </w:p>
    <w:p w14:paraId="75852C65"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3.2 测试太极一章（2学时）</w:t>
      </w:r>
    </w:p>
    <w:p w14:paraId="110526B0"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3.3腿法考试2</w:t>
      </w:r>
    </w:p>
    <w:p w14:paraId="0DA9FB7E"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本章教学目的及要求：</w:t>
      </w:r>
    </w:p>
    <w:p w14:paraId="4D21C42C" w14:textId="77777777" w:rsidR="000B25E0" w:rsidRPr="000B25E0" w:rsidRDefault="000B25E0" w:rsidP="000B25E0">
      <w:pPr>
        <w:adjustRightInd w:val="0"/>
        <w:snapToGrid w:val="0"/>
        <w:spacing w:line="500" w:lineRule="exact"/>
        <w:ind w:firstLineChars="200" w:firstLine="480"/>
        <w:rPr>
          <w:rFonts w:ascii="宋体" w:eastAsia="宋体" w:hAnsi="宋体" w:cs="楷体_GB2312"/>
          <w:color w:val="000000"/>
          <w:kern w:val="0"/>
          <w:sz w:val="24"/>
        </w:rPr>
      </w:pPr>
      <w:r w:rsidRPr="000B25E0">
        <w:rPr>
          <w:rFonts w:ascii="宋体" w:eastAsia="宋体" w:hAnsi="宋体" w:cs="楷体_GB2312" w:hint="eastAsia"/>
          <w:color w:val="000000"/>
          <w:kern w:val="0"/>
          <w:sz w:val="24"/>
        </w:rPr>
        <w:t>目的：掌握跆拳道品势——太极</w:t>
      </w:r>
    </w:p>
    <w:p w14:paraId="236FBD0E"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楷体_GB2312"/>
          <w:color w:val="000000"/>
          <w:kern w:val="0"/>
          <w:sz w:val="24"/>
        </w:rPr>
        <w:t>要求</w:t>
      </w:r>
      <w:r w:rsidRPr="000B25E0">
        <w:rPr>
          <w:rFonts w:ascii="宋体" w:eastAsia="宋体" w:hAnsi="宋体" w:cs="楷体_GB2312" w:hint="eastAsia"/>
          <w:color w:val="000000"/>
          <w:kern w:val="0"/>
          <w:sz w:val="24"/>
        </w:rPr>
        <w:t>：</w:t>
      </w:r>
      <w:r w:rsidRPr="000B25E0">
        <w:rPr>
          <w:rFonts w:ascii="宋体" w:eastAsia="宋体" w:hAnsi="宋体" w:cs="楷体_GB2312"/>
          <w:color w:val="000000"/>
          <w:kern w:val="0"/>
          <w:sz w:val="24"/>
        </w:rPr>
        <w:t>领会跆拳道</w:t>
      </w:r>
      <w:r w:rsidRPr="000B25E0">
        <w:rPr>
          <w:rFonts w:ascii="宋体" w:eastAsia="宋体" w:hAnsi="宋体" w:cs="楷体_GB2312" w:hint="eastAsia"/>
          <w:color w:val="000000"/>
          <w:kern w:val="0"/>
          <w:sz w:val="24"/>
        </w:rPr>
        <w:t>品势</w:t>
      </w:r>
      <w:r w:rsidRPr="000B25E0">
        <w:rPr>
          <w:rFonts w:ascii="宋体" w:eastAsia="宋体" w:hAnsi="宋体" w:cs="楷体_GB2312"/>
          <w:color w:val="000000"/>
          <w:kern w:val="0"/>
          <w:sz w:val="24"/>
        </w:rPr>
        <w:t>与竞技不同的发力</w:t>
      </w:r>
      <w:r w:rsidRPr="000B25E0">
        <w:rPr>
          <w:rFonts w:ascii="宋体" w:eastAsia="宋体" w:hAnsi="宋体" w:cs="楷体_GB2312" w:hint="eastAsia"/>
          <w:color w:val="000000"/>
          <w:kern w:val="0"/>
          <w:sz w:val="24"/>
        </w:rPr>
        <w:t>，注重表现力和协调性</w:t>
      </w:r>
    </w:p>
    <w:p w14:paraId="10B4793D"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本章教学重点及难点：</w:t>
      </w:r>
    </w:p>
    <w:p w14:paraId="769BC0A5" w14:textId="77777777" w:rsidR="000B25E0" w:rsidRPr="000B25E0" w:rsidRDefault="000B25E0" w:rsidP="000B25E0">
      <w:pPr>
        <w:adjustRightInd w:val="0"/>
        <w:snapToGrid w:val="0"/>
        <w:spacing w:line="500" w:lineRule="exact"/>
        <w:ind w:firstLineChars="200" w:firstLine="480"/>
        <w:rPr>
          <w:rFonts w:ascii="宋体" w:eastAsia="宋体" w:hAnsi="宋体" w:cs="楷体_GB2312"/>
          <w:color w:val="000000"/>
          <w:kern w:val="0"/>
          <w:sz w:val="24"/>
        </w:rPr>
      </w:pPr>
      <w:r w:rsidRPr="000B25E0">
        <w:rPr>
          <w:rFonts w:ascii="宋体" w:eastAsia="宋体" w:hAnsi="宋体" w:cs="楷体_GB2312"/>
          <w:color w:val="000000"/>
          <w:kern w:val="0"/>
          <w:sz w:val="24"/>
        </w:rPr>
        <w:t>重点</w:t>
      </w:r>
      <w:r w:rsidRPr="000B25E0">
        <w:rPr>
          <w:rFonts w:ascii="宋体" w:eastAsia="宋体" w:hAnsi="宋体" w:cs="楷体_GB2312" w:hint="eastAsia"/>
          <w:color w:val="000000"/>
          <w:kern w:val="0"/>
          <w:sz w:val="24"/>
        </w:rPr>
        <w:t>：品</w:t>
      </w:r>
      <w:proofErr w:type="gramStart"/>
      <w:r w:rsidRPr="000B25E0">
        <w:rPr>
          <w:rFonts w:ascii="宋体" w:eastAsia="宋体" w:hAnsi="宋体" w:cs="楷体_GB2312" w:hint="eastAsia"/>
          <w:color w:val="000000"/>
          <w:kern w:val="0"/>
          <w:sz w:val="24"/>
        </w:rPr>
        <w:t>势基本</w:t>
      </w:r>
      <w:proofErr w:type="gramEnd"/>
      <w:r w:rsidRPr="000B25E0">
        <w:rPr>
          <w:rFonts w:ascii="宋体" w:eastAsia="宋体" w:hAnsi="宋体" w:cs="楷体_GB2312" w:hint="eastAsia"/>
          <w:color w:val="000000"/>
          <w:kern w:val="0"/>
          <w:sz w:val="24"/>
        </w:rPr>
        <w:t>技术学习</w:t>
      </w:r>
    </w:p>
    <w:p w14:paraId="503A6F94" w14:textId="77777777" w:rsidR="000B25E0" w:rsidRPr="000B25E0" w:rsidRDefault="000B25E0" w:rsidP="000B25E0">
      <w:pPr>
        <w:adjustRightInd w:val="0"/>
        <w:snapToGrid w:val="0"/>
        <w:spacing w:line="500" w:lineRule="exact"/>
        <w:ind w:firstLineChars="200" w:firstLine="480"/>
        <w:rPr>
          <w:rFonts w:ascii="宋体" w:eastAsia="宋体" w:hAnsi="宋体" w:cs="楷体_GB2312"/>
          <w:color w:val="000000"/>
          <w:kern w:val="0"/>
          <w:sz w:val="24"/>
        </w:rPr>
      </w:pPr>
      <w:r w:rsidRPr="000B25E0">
        <w:rPr>
          <w:rFonts w:ascii="宋体" w:eastAsia="宋体" w:hAnsi="宋体" w:cs="楷体_GB2312" w:hint="eastAsia"/>
          <w:color w:val="000000"/>
          <w:kern w:val="0"/>
          <w:sz w:val="24"/>
        </w:rPr>
        <w:t>难点：太极一章路线及发力</w:t>
      </w:r>
    </w:p>
    <w:p w14:paraId="6CD7617F"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学习内容三 跆拳道 2</w:t>
      </w:r>
    </w:p>
    <w:p w14:paraId="1DC43216"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0AC22DAB"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565EAB06"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08D3DDF9"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42F7564D" w14:textId="77777777" w:rsidR="000B25E0" w:rsidRPr="000B25E0" w:rsidRDefault="000B25E0" w:rsidP="000B25E0">
      <w:pPr>
        <w:spacing w:line="440" w:lineRule="exact"/>
        <w:ind w:firstLineChars="200" w:firstLine="500"/>
        <w:rPr>
          <w:rFonts w:ascii="宋体" w:eastAsia="宋体" w:hAnsi="宋体" w:cs="Times New Roman"/>
          <w:b/>
          <w:sz w:val="24"/>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w:t>
      </w:r>
      <w:r w:rsidRPr="000B25E0">
        <w:rPr>
          <w:rFonts w:ascii="宋体" w:eastAsia="宋体" w:hAnsi="宋体" w:cs="仿宋_GB2312" w:hint="eastAsia"/>
          <w:sz w:val="24"/>
        </w:rPr>
        <w:lastRenderedPageBreak/>
        <w:t>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25B68E55" w14:textId="77777777" w:rsidR="000B25E0" w:rsidRPr="000B25E0" w:rsidRDefault="000B25E0" w:rsidP="000B25E0">
      <w:pPr>
        <w:spacing w:line="440" w:lineRule="exact"/>
        <w:ind w:firstLineChars="200" w:firstLine="482"/>
        <w:rPr>
          <w:rFonts w:ascii="宋体" w:eastAsia="宋体" w:hAnsi="宋体" w:cs="Times New Roman"/>
          <w:b/>
          <w:sz w:val="24"/>
        </w:rPr>
      </w:pPr>
      <w:r w:rsidRPr="000B25E0">
        <w:rPr>
          <w:rFonts w:ascii="宋体" w:eastAsia="宋体" w:hAnsi="宋体" w:cs="Times New Roman" w:hint="eastAsia"/>
          <w:b/>
          <w:sz w:val="24"/>
        </w:rPr>
        <w:t>【学习内容】</w:t>
      </w:r>
    </w:p>
    <w:p w14:paraId="677F1BDB"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b/>
          <w:sz w:val="28"/>
          <w:szCs w:val="28"/>
        </w:rPr>
        <w:t>第</w:t>
      </w:r>
      <w:r w:rsidRPr="000B25E0">
        <w:rPr>
          <w:rFonts w:ascii="宋体" w:eastAsia="宋体" w:hAnsi="宋体" w:cs="Times New Roman" w:hint="eastAsia"/>
          <w:b/>
          <w:sz w:val="28"/>
          <w:szCs w:val="28"/>
        </w:rPr>
        <w:t>一</w:t>
      </w:r>
      <w:r w:rsidRPr="000B25E0">
        <w:rPr>
          <w:rFonts w:ascii="宋体" w:eastAsia="宋体" w:hAnsi="宋体" w:cs="Times New Roman"/>
          <w:b/>
          <w:sz w:val="28"/>
          <w:szCs w:val="28"/>
        </w:rPr>
        <w:t xml:space="preserve">章  </w:t>
      </w:r>
      <w:r w:rsidRPr="000B25E0">
        <w:rPr>
          <w:rFonts w:ascii="宋体" w:eastAsia="宋体" w:hAnsi="宋体" w:cs="Times New Roman" w:hint="eastAsia"/>
          <w:b/>
          <w:sz w:val="28"/>
          <w:szCs w:val="28"/>
        </w:rPr>
        <w:t>跆拳道腿法</w:t>
      </w:r>
      <w:r w:rsidRPr="000B25E0">
        <w:rPr>
          <w:rFonts w:ascii="宋体" w:eastAsia="宋体" w:hAnsi="宋体" w:cs="Times New Roman"/>
          <w:b/>
          <w:sz w:val="28"/>
          <w:szCs w:val="28"/>
        </w:rPr>
        <w:t>技术（</w:t>
      </w:r>
      <w:r w:rsidRPr="000B25E0">
        <w:rPr>
          <w:rFonts w:ascii="宋体" w:eastAsia="宋体" w:hAnsi="宋体" w:cs="Times New Roman" w:hint="eastAsia"/>
          <w:b/>
          <w:sz w:val="28"/>
          <w:szCs w:val="28"/>
        </w:rPr>
        <w:t>18</w:t>
      </w:r>
      <w:r w:rsidRPr="000B25E0">
        <w:rPr>
          <w:rFonts w:ascii="宋体" w:eastAsia="宋体" w:hAnsi="宋体" w:cs="Times New Roman"/>
          <w:b/>
          <w:sz w:val="28"/>
          <w:szCs w:val="28"/>
        </w:rPr>
        <w:t>学时）</w:t>
      </w:r>
    </w:p>
    <w:p w14:paraId="125C9D9E"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06176FF2"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1</w:t>
      </w:r>
      <w:r w:rsidRPr="000B25E0">
        <w:rPr>
          <w:rFonts w:ascii="Calibri" w:eastAsia="宋体" w:hAnsi="Calibri" w:cs="Times New Roman"/>
          <w:sz w:val="24"/>
        </w:rPr>
        <w:t>.</w:t>
      </w:r>
      <w:r w:rsidRPr="000B25E0">
        <w:rPr>
          <w:rFonts w:ascii="Calibri" w:eastAsia="宋体" w:hAnsi="Calibri" w:cs="Times New Roman" w:hint="eastAsia"/>
          <w:sz w:val="24"/>
        </w:rPr>
        <w:t>1</w:t>
      </w:r>
      <w:r w:rsidRPr="000B25E0">
        <w:rPr>
          <w:rFonts w:ascii="Calibri" w:eastAsia="宋体" w:hAnsi="Calibri" w:cs="Times New Roman"/>
          <w:sz w:val="24"/>
        </w:rPr>
        <w:t xml:space="preserve"> </w:t>
      </w:r>
      <w:r w:rsidRPr="000B25E0">
        <w:rPr>
          <w:rFonts w:ascii="Calibri" w:eastAsia="宋体" w:hAnsi="Calibri" w:cs="Times New Roman"/>
          <w:sz w:val="24"/>
        </w:rPr>
        <w:t>垂直提膝组合技术学习</w:t>
      </w:r>
      <w:r w:rsidRPr="000B25E0">
        <w:rPr>
          <w:rFonts w:ascii="Calibri" w:eastAsia="宋体" w:hAnsi="Calibri" w:cs="Times New Roman" w:hint="eastAsia"/>
          <w:sz w:val="24"/>
        </w:rPr>
        <w:t>（</w:t>
      </w:r>
      <w:r w:rsidRPr="000B25E0">
        <w:rPr>
          <w:rFonts w:ascii="Calibri" w:eastAsia="宋体" w:hAnsi="Calibri" w:cs="Times New Roman" w:hint="eastAsia"/>
          <w:sz w:val="24"/>
        </w:rPr>
        <w:t>2</w:t>
      </w:r>
      <w:r w:rsidRPr="000B25E0">
        <w:rPr>
          <w:rFonts w:ascii="Calibri" w:eastAsia="宋体" w:hAnsi="Calibri" w:cs="Times New Roman" w:hint="eastAsia"/>
          <w:sz w:val="24"/>
        </w:rPr>
        <w:t>学时）</w:t>
      </w:r>
    </w:p>
    <w:p w14:paraId="4C2E5D92"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sz w:val="24"/>
        </w:rPr>
        <w:t>1.</w:t>
      </w:r>
      <w:r w:rsidRPr="000B25E0">
        <w:rPr>
          <w:rFonts w:ascii="Calibri" w:eastAsia="宋体" w:hAnsi="Calibri" w:cs="Times New Roman" w:hint="eastAsia"/>
          <w:sz w:val="24"/>
        </w:rPr>
        <w:t>2</w:t>
      </w:r>
      <w:r w:rsidRPr="000B25E0">
        <w:rPr>
          <w:rFonts w:ascii="Calibri" w:eastAsia="宋体" w:hAnsi="Calibri" w:cs="Times New Roman"/>
          <w:sz w:val="24"/>
        </w:rPr>
        <w:t xml:space="preserve"> </w:t>
      </w:r>
      <w:r w:rsidRPr="000B25E0">
        <w:rPr>
          <w:rFonts w:ascii="Calibri" w:eastAsia="宋体" w:hAnsi="Calibri" w:cs="Times New Roman" w:hint="eastAsia"/>
          <w:sz w:val="24"/>
        </w:rPr>
        <w:t>飞踢、</w:t>
      </w:r>
      <w:r w:rsidRPr="000B25E0">
        <w:rPr>
          <w:rFonts w:ascii="Calibri" w:eastAsia="宋体" w:hAnsi="Calibri" w:cs="Times New Roman"/>
          <w:sz w:val="24"/>
        </w:rPr>
        <w:t>前腿双飞踢</w:t>
      </w:r>
      <w:r w:rsidRPr="000B25E0">
        <w:rPr>
          <w:rFonts w:ascii="Calibri" w:eastAsia="宋体" w:hAnsi="Calibri" w:cs="Times New Roman" w:hint="eastAsia"/>
          <w:sz w:val="24"/>
        </w:rPr>
        <w:t>（</w:t>
      </w:r>
      <w:r w:rsidRPr="000B25E0">
        <w:rPr>
          <w:rFonts w:ascii="Calibri" w:eastAsia="宋体" w:hAnsi="Calibri" w:cs="Times New Roman" w:hint="eastAsia"/>
          <w:sz w:val="24"/>
        </w:rPr>
        <w:t>6</w:t>
      </w:r>
      <w:r w:rsidRPr="000B25E0">
        <w:rPr>
          <w:rFonts w:ascii="Calibri" w:eastAsia="宋体" w:hAnsi="Calibri" w:cs="Times New Roman" w:hint="eastAsia"/>
          <w:sz w:val="24"/>
        </w:rPr>
        <w:t>学时）</w:t>
      </w:r>
    </w:p>
    <w:p w14:paraId="29C88EE5"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1</w:t>
      </w:r>
      <w:r w:rsidRPr="000B25E0">
        <w:rPr>
          <w:rFonts w:ascii="Calibri" w:eastAsia="宋体" w:hAnsi="Calibri" w:cs="Times New Roman"/>
          <w:sz w:val="24"/>
        </w:rPr>
        <w:t>.</w:t>
      </w:r>
      <w:r w:rsidRPr="000B25E0">
        <w:rPr>
          <w:rFonts w:ascii="Calibri" w:eastAsia="宋体" w:hAnsi="Calibri" w:cs="Times New Roman" w:hint="eastAsia"/>
          <w:sz w:val="24"/>
        </w:rPr>
        <w:t>3</w:t>
      </w:r>
      <w:r w:rsidRPr="000B25E0">
        <w:rPr>
          <w:rFonts w:ascii="Calibri" w:eastAsia="宋体" w:hAnsi="Calibri" w:cs="Times New Roman"/>
          <w:sz w:val="24"/>
        </w:rPr>
        <w:t xml:space="preserve"> </w:t>
      </w:r>
      <w:r w:rsidRPr="000B25E0">
        <w:rPr>
          <w:rFonts w:ascii="Calibri" w:eastAsia="宋体" w:hAnsi="Calibri" w:cs="Times New Roman"/>
          <w:sz w:val="24"/>
        </w:rPr>
        <w:t>平行提膝组合技术学习</w:t>
      </w:r>
      <w:r w:rsidRPr="000B25E0">
        <w:rPr>
          <w:rFonts w:ascii="Calibri" w:eastAsia="宋体" w:hAnsi="Calibri" w:cs="Times New Roman" w:hint="eastAsia"/>
          <w:sz w:val="24"/>
        </w:rPr>
        <w:t>（</w:t>
      </w:r>
      <w:r w:rsidRPr="000B25E0">
        <w:rPr>
          <w:rFonts w:ascii="Calibri" w:eastAsia="宋体" w:hAnsi="Calibri" w:cs="Times New Roman" w:hint="eastAsia"/>
          <w:sz w:val="24"/>
        </w:rPr>
        <w:t>2</w:t>
      </w:r>
      <w:r w:rsidRPr="000B25E0">
        <w:rPr>
          <w:rFonts w:ascii="Calibri" w:eastAsia="宋体" w:hAnsi="Calibri" w:cs="Times New Roman" w:hint="eastAsia"/>
          <w:sz w:val="24"/>
        </w:rPr>
        <w:t>学时）</w:t>
      </w:r>
    </w:p>
    <w:p w14:paraId="0E1EAD67"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sz w:val="24"/>
        </w:rPr>
        <w:t>1.</w:t>
      </w:r>
      <w:r w:rsidRPr="000B25E0">
        <w:rPr>
          <w:rFonts w:ascii="Calibri" w:eastAsia="宋体" w:hAnsi="Calibri" w:cs="Times New Roman" w:hint="eastAsia"/>
          <w:sz w:val="24"/>
        </w:rPr>
        <w:t>4</w:t>
      </w:r>
      <w:r w:rsidRPr="000B25E0">
        <w:rPr>
          <w:rFonts w:ascii="Calibri" w:eastAsia="宋体" w:hAnsi="Calibri" w:cs="Times New Roman"/>
          <w:sz w:val="24"/>
        </w:rPr>
        <w:t xml:space="preserve"> </w:t>
      </w:r>
      <w:r w:rsidRPr="000B25E0">
        <w:rPr>
          <w:rFonts w:ascii="Calibri" w:eastAsia="宋体" w:hAnsi="Calibri" w:cs="Times New Roman" w:hint="eastAsia"/>
          <w:sz w:val="24"/>
        </w:rPr>
        <w:t>后旋踢（</w:t>
      </w:r>
      <w:r w:rsidRPr="000B25E0">
        <w:rPr>
          <w:rFonts w:ascii="Calibri" w:eastAsia="宋体" w:hAnsi="Calibri" w:cs="Times New Roman" w:hint="eastAsia"/>
          <w:sz w:val="24"/>
        </w:rPr>
        <w:t>4</w:t>
      </w:r>
      <w:r w:rsidRPr="000B25E0">
        <w:rPr>
          <w:rFonts w:ascii="Calibri" w:eastAsia="宋体" w:hAnsi="Calibri" w:cs="Times New Roman" w:hint="eastAsia"/>
          <w:sz w:val="24"/>
        </w:rPr>
        <w:t>学时）</w:t>
      </w:r>
    </w:p>
    <w:p w14:paraId="49EF0376"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sz w:val="24"/>
        </w:rPr>
        <w:t>1.</w:t>
      </w:r>
      <w:r w:rsidRPr="000B25E0">
        <w:rPr>
          <w:rFonts w:ascii="Calibri" w:eastAsia="宋体" w:hAnsi="Calibri" w:cs="Times New Roman" w:hint="eastAsia"/>
          <w:sz w:val="24"/>
        </w:rPr>
        <w:t>5</w:t>
      </w:r>
      <w:r w:rsidRPr="000B25E0">
        <w:rPr>
          <w:rFonts w:ascii="Calibri" w:eastAsia="宋体" w:hAnsi="Calibri" w:cs="Times New Roman"/>
          <w:sz w:val="24"/>
        </w:rPr>
        <w:t xml:space="preserve"> </w:t>
      </w:r>
      <w:r w:rsidRPr="000B25E0">
        <w:rPr>
          <w:rFonts w:ascii="Calibri" w:eastAsia="宋体" w:hAnsi="Calibri" w:cs="Times New Roman"/>
          <w:sz w:val="24"/>
        </w:rPr>
        <w:t>下劈</w:t>
      </w:r>
      <w:r w:rsidRPr="000B25E0">
        <w:rPr>
          <w:rFonts w:ascii="Calibri" w:eastAsia="宋体" w:hAnsi="Calibri" w:cs="Times New Roman" w:hint="eastAsia"/>
          <w:sz w:val="24"/>
        </w:rPr>
        <w:t>、</w:t>
      </w:r>
      <w:r w:rsidRPr="000B25E0">
        <w:rPr>
          <w:rFonts w:ascii="Calibri" w:eastAsia="宋体" w:hAnsi="Calibri" w:cs="Times New Roman"/>
          <w:sz w:val="24"/>
        </w:rPr>
        <w:t>前腿下劈</w:t>
      </w:r>
      <w:r w:rsidRPr="000B25E0">
        <w:rPr>
          <w:rFonts w:ascii="Calibri" w:eastAsia="宋体" w:hAnsi="Calibri" w:cs="Times New Roman" w:hint="eastAsia"/>
          <w:sz w:val="24"/>
        </w:rPr>
        <w:t>（</w:t>
      </w:r>
      <w:r w:rsidRPr="000B25E0">
        <w:rPr>
          <w:rFonts w:ascii="Calibri" w:eastAsia="宋体" w:hAnsi="Calibri" w:cs="Times New Roman" w:hint="eastAsia"/>
          <w:sz w:val="24"/>
        </w:rPr>
        <w:t>4</w:t>
      </w:r>
      <w:r w:rsidRPr="000B25E0">
        <w:rPr>
          <w:rFonts w:ascii="Calibri" w:eastAsia="宋体" w:hAnsi="Calibri" w:cs="Times New Roman" w:hint="eastAsia"/>
          <w:sz w:val="24"/>
        </w:rPr>
        <w:t>学时）</w:t>
      </w:r>
    </w:p>
    <w:p w14:paraId="7164A4CC"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本章教学目的及要求：</w:t>
      </w:r>
    </w:p>
    <w:p w14:paraId="3D132BA2"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目的：学习并达到基本掌握跆拳道竞技技术。</w:t>
      </w:r>
    </w:p>
    <w:p w14:paraId="237DB3B4"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sz w:val="24"/>
        </w:rPr>
        <w:t>要求</w:t>
      </w:r>
      <w:r w:rsidRPr="000B25E0">
        <w:rPr>
          <w:rFonts w:ascii="宋体" w:eastAsia="宋体" w:hAnsi="宋体" w:cs="Times New Roman" w:hint="eastAsia"/>
          <w:sz w:val="24"/>
        </w:rPr>
        <w:t>：能够熟练掌握前踢、</w:t>
      </w:r>
      <w:r w:rsidRPr="000B25E0">
        <w:rPr>
          <w:rFonts w:ascii="宋体" w:eastAsia="宋体" w:hAnsi="宋体" w:cs="Times New Roman"/>
          <w:sz w:val="24"/>
        </w:rPr>
        <w:t>下劈</w:t>
      </w:r>
      <w:r w:rsidRPr="000B25E0">
        <w:rPr>
          <w:rFonts w:ascii="宋体" w:eastAsia="宋体" w:hAnsi="宋体" w:cs="Times New Roman" w:hint="eastAsia"/>
          <w:sz w:val="24"/>
        </w:rPr>
        <w:t>、</w:t>
      </w:r>
      <w:r w:rsidRPr="000B25E0">
        <w:rPr>
          <w:rFonts w:ascii="宋体" w:eastAsia="宋体" w:hAnsi="宋体" w:cs="Times New Roman"/>
          <w:sz w:val="24"/>
        </w:rPr>
        <w:t>横踢</w:t>
      </w:r>
      <w:r w:rsidRPr="000B25E0">
        <w:rPr>
          <w:rFonts w:ascii="宋体" w:eastAsia="宋体" w:hAnsi="宋体" w:cs="Times New Roman" w:hint="eastAsia"/>
          <w:sz w:val="24"/>
        </w:rPr>
        <w:t>、</w:t>
      </w:r>
      <w:r w:rsidRPr="000B25E0">
        <w:rPr>
          <w:rFonts w:ascii="宋体" w:eastAsia="宋体" w:hAnsi="宋体" w:cs="Times New Roman"/>
          <w:sz w:val="24"/>
        </w:rPr>
        <w:t>侧踢</w:t>
      </w:r>
      <w:r w:rsidRPr="000B25E0">
        <w:rPr>
          <w:rFonts w:ascii="宋体" w:eastAsia="宋体" w:hAnsi="宋体" w:cs="Times New Roman" w:hint="eastAsia"/>
          <w:sz w:val="24"/>
        </w:rPr>
        <w:t>、</w:t>
      </w:r>
      <w:r w:rsidRPr="000B25E0">
        <w:rPr>
          <w:rFonts w:ascii="宋体" w:eastAsia="宋体" w:hAnsi="宋体" w:cs="Times New Roman"/>
          <w:sz w:val="24"/>
        </w:rPr>
        <w:t>后踢</w:t>
      </w:r>
      <w:r w:rsidRPr="000B25E0">
        <w:rPr>
          <w:rFonts w:ascii="宋体" w:eastAsia="宋体" w:hAnsi="宋体" w:cs="Times New Roman" w:hint="eastAsia"/>
          <w:sz w:val="24"/>
        </w:rPr>
        <w:t>的动作并应用</w:t>
      </w:r>
    </w:p>
    <w:p w14:paraId="2863CFAB"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本章教学重点及难点：</w:t>
      </w:r>
    </w:p>
    <w:p w14:paraId="18228D58" w14:textId="77777777" w:rsidR="000B25E0" w:rsidRPr="000B25E0" w:rsidRDefault="000B25E0" w:rsidP="000B25E0">
      <w:pPr>
        <w:adjustRightInd w:val="0"/>
        <w:snapToGrid w:val="0"/>
        <w:spacing w:line="500" w:lineRule="exact"/>
        <w:ind w:firstLineChars="200" w:firstLine="480"/>
        <w:rPr>
          <w:rFonts w:ascii="宋体" w:eastAsia="宋体" w:hAnsi="宋体" w:cs="楷体_GB2312"/>
          <w:color w:val="000000"/>
          <w:kern w:val="0"/>
          <w:sz w:val="24"/>
        </w:rPr>
      </w:pPr>
      <w:r w:rsidRPr="000B25E0">
        <w:rPr>
          <w:rFonts w:ascii="宋体" w:eastAsia="宋体" w:hAnsi="宋体" w:cs="楷体_GB2312"/>
          <w:color w:val="000000"/>
          <w:kern w:val="0"/>
          <w:sz w:val="24"/>
        </w:rPr>
        <w:t>重点</w:t>
      </w:r>
      <w:r w:rsidRPr="000B25E0">
        <w:rPr>
          <w:rFonts w:ascii="宋体" w:eastAsia="宋体" w:hAnsi="宋体" w:cs="楷体_GB2312" w:hint="eastAsia"/>
          <w:color w:val="000000"/>
          <w:kern w:val="0"/>
          <w:sz w:val="24"/>
        </w:rPr>
        <w:t>：垂直提膝、平行提膝、各技术中正面击打技术</w:t>
      </w:r>
    </w:p>
    <w:p w14:paraId="0095219E"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b/>
          <w:sz w:val="24"/>
        </w:rPr>
      </w:pPr>
      <w:r w:rsidRPr="000B25E0">
        <w:rPr>
          <w:rFonts w:ascii="宋体" w:eastAsia="宋体" w:hAnsi="宋体" w:cs="楷体_GB2312" w:hint="eastAsia"/>
          <w:color w:val="000000"/>
          <w:kern w:val="0"/>
          <w:sz w:val="24"/>
        </w:rPr>
        <w:t>难点：双飞踢、后旋踢</w:t>
      </w:r>
    </w:p>
    <w:p w14:paraId="74376A29"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b/>
          <w:sz w:val="28"/>
          <w:szCs w:val="28"/>
        </w:rPr>
        <w:t>第</w:t>
      </w:r>
      <w:r w:rsidRPr="000B25E0">
        <w:rPr>
          <w:rFonts w:ascii="宋体" w:eastAsia="宋体" w:hAnsi="宋体" w:cs="Times New Roman" w:hint="eastAsia"/>
          <w:b/>
          <w:sz w:val="28"/>
          <w:szCs w:val="28"/>
        </w:rPr>
        <w:t>二</w:t>
      </w:r>
      <w:r w:rsidRPr="000B25E0">
        <w:rPr>
          <w:rFonts w:ascii="宋体" w:eastAsia="宋体" w:hAnsi="宋体" w:cs="Times New Roman"/>
          <w:b/>
          <w:sz w:val="28"/>
          <w:szCs w:val="28"/>
        </w:rPr>
        <w:t>章  跆拳道品势 （</w:t>
      </w:r>
      <w:r w:rsidRPr="000B25E0">
        <w:rPr>
          <w:rFonts w:ascii="宋体" w:eastAsia="宋体" w:hAnsi="宋体" w:cs="Times New Roman" w:hint="eastAsia"/>
          <w:b/>
          <w:sz w:val="28"/>
          <w:szCs w:val="28"/>
        </w:rPr>
        <w:t>10</w:t>
      </w:r>
      <w:r w:rsidRPr="000B25E0">
        <w:rPr>
          <w:rFonts w:ascii="宋体" w:eastAsia="宋体" w:hAnsi="宋体" w:cs="Times New Roman"/>
          <w:b/>
          <w:sz w:val="28"/>
          <w:szCs w:val="28"/>
        </w:rPr>
        <w:t>学时）</w:t>
      </w:r>
    </w:p>
    <w:p w14:paraId="0CF096D8"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04D7835C"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sz w:val="24"/>
        </w:rPr>
        <w:t>2</w:t>
      </w:r>
      <w:r w:rsidRPr="000B25E0">
        <w:rPr>
          <w:rFonts w:ascii="Calibri" w:eastAsia="宋体" w:hAnsi="Calibri" w:cs="Times New Roman" w:hint="eastAsia"/>
          <w:sz w:val="24"/>
        </w:rPr>
        <w:t>.1</w:t>
      </w:r>
      <w:r w:rsidRPr="000B25E0">
        <w:rPr>
          <w:rFonts w:ascii="Calibri" w:eastAsia="宋体" w:hAnsi="Calibri" w:cs="Times New Roman"/>
          <w:sz w:val="24"/>
        </w:rPr>
        <w:t xml:space="preserve"> </w:t>
      </w:r>
      <w:r w:rsidRPr="000B25E0">
        <w:rPr>
          <w:rFonts w:ascii="Calibri" w:eastAsia="宋体" w:hAnsi="Calibri" w:cs="Times New Roman" w:hint="eastAsia"/>
          <w:sz w:val="24"/>
        </w:rPr>
        <w:t>太极二章（</w:t>
      </w:r>
      <w:r w:rsidRPr="000B25E0">
        <w:rPr>
          <w:rFonts w:ascii="Calibri" w:eastAsia="宋体" w:hAnsi="Calibri" w:cs="Times New Roman" w:hint="eastAsia"/>
          <w:sz w:val="24"/>
        </w:rPr>
        <w:t>4</w:t>
      </w:r>
      <w:r w:rsidRPr="000B25E0">
        <w:rPr>
          <w:rFonts w:ascii="Calibri" w:eastAsia="宋体" w:hAnsi="Calibri" w:cs="Times New Roman" w:hint="eastAsia"/>
          <w:sz w:val="24"/>
        </w:rPr>
        <w:t>学时）</w:t>
      </w:r>
    </w:p>
    <w:p w14:paraId="5AD71E50"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sz w:val="24"/>
        </w:rPr>
        <w:t>2.</w:t>
      </w:r>
      <w:r w:rsidRPr="000B25E0">
        <w:rPr>
          <w:rFonts w:ascii="Calibri" w:eastAsia="宋体" w:hAnsi="Calibri" w:cs="Times New Roman" w:hint="eastAsia"/>
          <w:sz w:val="24"/>
        </w:rPr>
        <w:t>2</w:t>
      </w:r>
      <w:r w:rsidRPr="000B25E0">
        <w:rPr>
          <w:rFonts w:ascii="Calibri" w:eastAsia="宋体" w:hAnsi="Calibri" w:cs="Times New Roman"/>
          <w:sz w:val="24"/>
        </w:rPr>
        <w:t xml:space="preserve"> </w:t>
      </w:r>
      <w:r w:rsidRPr="000B25E0">
        <w:rPr>
          <w:rFonts w:ascii="Calibri" w:eastAsia="宋体" w:hAnsi="Calibri" w:cs="Times New Roman"/>
          <w:sz w:val="24"/>
        </w:rPr>
        <w:t>测试太极</w:t>
      </w:r>
      <w:r w:rsidRPr="000B25E0">
        <w:rPr>
          <w:rFonts w:ascii="Calibri" w:eastAsia="宋体" w:hAnsi="Calibri" w:cs="Times New Roman" w:hint="eastAsia"/>
          <w:sz w:val="24"/>
        </w:rPr>
        <w:t>二</w:t>
      </w:r>
      <w:r w:rsidRPr="000B25E0">
        <w:rPr>
          <w:rFonts w:ascii="Calibri" w:eastAsia="宋体" w:hAnsi="Calibri" w:cs="Times New Roman"/>
          <w:sz w:val="24"/>
        </w:rPr>
        <w:t>章</w:t>
      </w:r>
      <w:r w:rsidRPr="000B25E0">
        <w:rPr>
          <w:rFonts w:ascii="Calibri" w:eastAsia="宋体" w:hAnsi="Calibri" w:cs="Times New Roman" w:hint="eastAsia"/>
          <w:sz w:val="24"/>
        </w:rPr>
        <w:t>（</w:t>
      </w:r>
      <w:r w:rsidRPr="000B25E0">
        <w:rPr>
          <w:rFonts w:ascii="Calibri" w:eastAsia="宋体" w:hAnsi="Calibri" w:cs="Times New Roman" w:hint="eastAsia"/>
          <w:sz w:val="24"/>
        </w:rPr>
        <w:t>2</w:t>
      </w:r>
      <w:r w:rsidRPr="000B25E0">
        <w:rPr>
          <w:rFonts w:ascii="Calibri" w:eastAsia="宋体" w:hAnsi="Calibri" w:cs="Times New Roman" w:hint="eastAsia"/>
          <w:sz w:val="24"/>
        </w:rPr>
        <w:t>学时）</w:t>
      </w:r>
    </w:p>
    <w:p w14:paraId="09B2BE41"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2.3</w:t>
      </w:r>
      <w:r w:rsidRPr="000B25E0">
        <w:rPr>
          <w:rFonts w:ascii="Calibri" w:eastAsia="宋体" w:hAnsi="Calibri" w:cs="Times New Roman" w:hint="eastAsia"/>
          <w:sz w:val="24"/>
        </w:rPr>
        <w:t>腿法考试（</w:t>
      </w:r>
      <w:r w:rsidRPr="000B25E0">
        <w:rPr>
          <w:rFonts w:ascii="Calibri" w:eastAsia="宋体" w:hAnsi="Calibri" w:cs="Times New Roman" w:hint="eastAsia"/>
          <w:sz w:val="24"/>
        </w:rPr>
        <w:t>2</w:t>
      </w:r>
      <w:r w:rsidRPr="000B25E0">
        <w:rPr>
          <w:rFonts w:ascii="Calibri" w:eastAsia="宋体" w:hAnsi="Calibri" w:cs="Times New Roman" w:hint="eastAsia"/>
          <w:sz w:val="24"/>
        </w:rPr>
        <w:t>学时）</w:t>
      </w:r>
    </w:p>
    <w:p w14:paraId="29397943"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本章教学目的及要求：</w:t>
      </w:r>
    </w:p>
    <w:p w14:paraId="1CEDDB48" w14:textId="77777777" w:rsidR="000B25E0" w:rsidRPr="000B25E0" w:rsidRDefault="000B25E0" w:rsidP="000B25E0">
      <w:pPr>
        <w:adjustRightInd w:val="0"/>
        <w:snapToGrid w:val="0"/>
        <w:spacing w:line="500" w:lineRule="exact"/>
        <w:ind w:firstLineChars="200" w:firstLine="480"/>
        <w:rPr>
          <w:rFonts w:ascii="宋体" w:eastAsia="宋体" w:hAnsi="宋体" w:cs="楷体_GB2312"/>
          <w:color w:val="000000"/>
          <w:kern w:val="0"/>
          <w:sz w:val="24"/>
        </w:rPr>
      </w:pPr>
      <w:r w:rsidRPr="000B25E0">
        <w:rPr>
          <w:rFonts w:ascii="宋体" w:eastAsia="宋体" w:hAnsi="宋体" w:cs="楷体_GB2312" w:hint="eastAsia"/>
          <w:color w:val="000000"/>
          <w:kern w:val="0"/>
          <w:sz w:val="24"/>
        </w:rPr>
        <w:t>目的：掌握跆拳道品势——太极</w:t>
      </w:r>
    </w:p>
    <w:p w14:paraId="6C0207C2"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楷体_GB2312"/>
          <w:color w:val="000000"/>
          <w:kern w:val="0"/>
          <w:sz w:val="24"/>
        </w:rPr>
        <w:t>要求</w:t>
      </w:r>
      <w:r w:rsidRPr="000B25E0">
        <w:rPr>
          <w:rFonts w:ascii="宋体" w:eastAsia="宋体" w:hAnsi="宋体" w:cs="楷体_GB2312" w:hint="eastAsia"/>
          <w:color w:val="000000"/>
          <w:kern w:val="0"/>
          <w:sz w:val="24"/>
        </w:rPr>
        <w:t>：</w:t>
      </w:r>
      <w:r w:rsidRPr="000B25E0">
        <w:rPr>
          <w:rFonts w:ascii="宋体" w:eastAsia="宋体" w:hAnsi="宋体" w:cs="楷体_GB2312"/>
          <w:color w:val="000000"/>
          <w:kern w:val="0"/>
          <w:sz w:val="24"/>
        </w:rPr>
        <w:t>领会跆拳道</w:t>
      </w:r>
      <w:r w:rsidRPr="000B25E0">
        <w:rPr>
          <w:rFonts w:ascii="宋体" w:eastAsia="宋体" w:hAnsi="宋体" w:cs="楷体_GB2312" w:hint="eastAsia"/>
          <w:color w:val="000000"/>
          <w:kern w:val="0"/>
          <w:sz w:val="24"/>
        </w:rPr>
        <w:t>品势</w:t>
      </w:r>
      <w:r w:rsidRPr="000B25E0">
        <w:rPr>
          <w:rFonts w:ascii="宋体" w:eastAsia="宋体" w:hAnsi="宋体" w:cs="楷体_GB2312"/>
          <w:color w:val="000000"/>
          <w:kern w:val="0"/>
          <w:sz w:val="24"/>
        </w:rPr>
        <w:t>与竞技不同的发力</w:t>
      </w:r>
      <w:r w:rsidRPr="000B25E0">
        <w:rPr>
          <w:rFonts w:ascii="宋体" w:eastAsia="宋体" w:hAnsi="宋体" w:cs="楷体_GB2312" w:hint="eastAsia"/>
          <w:color w:val="000000"/>
          <w:kern w:val="0"/>
          <w:sz w:val="24"/>
        </w:rPr>
        <w:t>，注重表现力和协调性</w:t>
      </w:r>
    </w:p>
    <w:p w14:paraId="24F09CEE"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本章教学重点及难点：</w:t>
      </w:r>
    </w:p>
    <w:p w14:paraId="3DC12F40" w14:textId="77777777" w:rsidR="000B25E0" w:rsidRPr="000B25E0" w:rsidRDefault="000B25E0" w:rsidP="000B25E0">
      <w:pPr>
        <w:adjustRightInd w:val="0"/>
        <w:snapToGrid w:val="0"/>
        <w:spacing w:line="500" w:lineRule="exact"/>
        <w:ind w:firstLineChars="200" w:firstLine="480"/>
        <w:rPr>
          <w:rFonts w:ascii="宋体" w:eastAsia="宋体" w:hAnsi="宋体" w:cs="楷体_GB2312"/>
          <w:color w:val="000000"/>
          <w:kern w:val="0"/>
          <w:sz w:val="24"/>
        </w:rPr>
      </w:pPr>
      <w:r w:rsidRPr="000B25E0">
        <w:rPr>
          <w:rFonts w:ascii="宋体" w:eastAsia="宋体" w:hAnsi="宋体" w:cs="楷体_GB2312"/>
          <w:color w:val="000000"/>
          <w:kern w:val="0"/>
          <w:sz w:val="24"/>
        </w:rPr>
        <w:lastRenderedPageBreak/>
        <w:t>重点</w:t>
      </w:r>
      <w:r w:rsidRPr="000B25E0">
        <w:rPr>
          <w:rFonts w:ascii="宋体" w:eastAsia="宋体" w:hAnsi="宋体" w:cs="楷体_GB2312" w:hint="eastAsia"/>
          <w:color w:val="000000"/>
          <w:kern w:val="0"/>
          <w:sz w:val="24"/>
        </w:rPr>
        <w:t>：品</w:t>
      </w:r>
      <w:proofErr w:type="gramStart"/>
      <w:r w:rsidRPr="000B25E0">
        <w:rPr>
          <w:rFonts w:ascii="宋体" w:eastAsia="宋体" w:hAnsi="宋体" w:cs="楷体_GB2312" w:hint="eastAsia"/>
          <w:color w:val="000000"/>
          <w:kern w:val="0"/>
          <w:sz w:val="24"/>
        </w:rPr>
        <w:t>势基本</w:t>
      </w:r>
      <w:proofErr w:type="gramEnd"/>
      <w:r w:rsidRPr="000B25E0">
        <w:rPr>
          <w:rFonts w:ascii="宋体" w:eastAsia="宋体" w:hAnsi="宋体" w:cs="楷体_GB2312" w:hint="eastAsia"/>
          <w:color w:val="000000"/>
          <w:kern w:val="0"/>
          <w:sz w:val="24"/>
        </w:rPr>
        <w:t>技术学习</w:t>
      </w:r>
    </w:p>
    <w:p w14:paraId="373E8D75" w14:textId="77777777" w:rsidR="000B25E0" w:rsidRPr="000B25E0" w:rsidRDefault="000B25E0" w:rsidP="000B25E0">
      <w:pPr>
        <w:adjustRightInd w:val="0"/>
        <w:snapToGrid w:val="0"/>
        <w:spacing w:line="500" w:lineRule="exact"/>
        <w:ind w:firstLineChars="200" w:firstLine="480"/>
        <w:rPr>
          <w:rFonts w:ascii="宋体" w:eastAsia="宋体" w:hAnsi="宋体" w:cs="楷体_GB2312"/>
          <w:color w:val="000000"/>
          <w:kern w:val="0"/>
          <w:sz w:val="24"/>
        </w:rPr>
      </w:pPr>
      <w:r w:rsidRPr="000B25E0">
        <w:rPr>
          <w:rFonts w:ascii="宋体" w:eastAsia="宋体" w:hAnsi="宋体" w:cs="楷体_GB2312" w:hint="eastAsia"/>
          <w:color w:val="000000"/>
          <w:kern w:val="0"/>
          <w:sz w:val="24"/>
        </w:rPr>
        <w:t>难点：太极二章路线及发力</w:t>
      </w:r>
    </w:p>
    <w:p w14:paraId="75C587DC" w14:textId="77777777" w:rsidR="000B25E0" w:rsidRPr="000B25E0" w:rsidRDefault="000B25E0" w:rsidP="000B25E0">
      <w:pPr>
        <w:adjustRightInd w:val="0"/>
        <w:snapToGrid w:val="0"/>
        <w:spacing w:beforeLines="50" w:before="156" w:afterLines="50" w:after="156" w:line="500" w:lineRule="exact"/>
        <w:jc w:val="center"/>
        <w:rPr>
          <w:rFonts w:ascii="Arial" w:eastAsia="宋体" w:hAnsi="Arial" w:cs="Arial"/>
          <w:b/>
          <w:sz w:val="28"/>
          <w:szCs w:val="28"/>
        </w:rPr>
      </w:pPr>
      <w:r w:rsidRPr="000B25E0">
        <w:rPr>
          <w:rFonts w:ascii="宋体" w:eastAsia="宋体" w:hAnsi="宋体" w:cs="Times New Roman" w:hint="eastAsia"/>
          <w:b/>
          <w:sz w:val="28"/>
          <w:szCs w:val="28"/>
        </w:rPr>
        <w:t xml:space="preserve">第三章   </w:t>
      </w:r>
      <w:r w:rsidRPr="000B25E0">
        <w:rPr>
          <w:rFonts w:ascii="Arial" w:eastAsia="宋体" w:hAnsi="Arial" w:cs="Arial"/>
          <w:b/>
          <w:sz w:val="28"/>
          <w:szCs w:val="28"/>
        </w:rPr>
        <w:t>大</w:t>
      </w:r>
      <w:r w:rsidRPr="000B25E0">
        <w:rPr>
          <w:rFonts w:ascii="Arial" w:eastAsia="宋体" w:hAnsi="Calibri" w:cs="Arial" w:hint="eastAsia"/>
          <w:b/>
          <w:sz w:val="28"/>
          <w:szCs w:val="28"/>
        </w:rPr>
        <w:t>学生体质健康测评（</w:t>
      </w:r>
      <w:r w:rsidRPr="000B25E0">
        <w:rPr>
          <w:rFonts w:ascii="Arial" w:eastAsia="宋体" w:hAnsi="Calibri" w:cs="Arial" w:hint="eastAsia"/>
          <w:b/>
          <w:sz w:val="28"/>
          <w:szCs w:val="28"/>
        </w:rPr>
        <w:t>4</w:t>
      </w:r>
      <w:r w:rsidRPr="000B25E0">
        <w:rPr>
          <w:rFonts w:ascii="Arial" w:eastAsia="宋体" w:hAnsi="Calibri" w:cs="Arial" w:hint="eastAsia"/>
          <w:b/>
          <w:sz w:val="28"/>
          <w:szCs w:val="28"/>
        </w:rPr>
        <w:t>学时）</w:t>
      </w:r>
    </w:p>
    <w:p w14:paraId="35F9F244"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50CFF18B"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3.1 《国家学生体质健康标准》实施说明</w:t>
      </w:r>
    </w:p>
    <w:p w14:paraId="54724F57"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3.2 《国家学生体质健康标准》测试评分表</w:t>
      </w:r>
    </w:p>
    <w:p w14:paraId="405AA162"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使学生了解体质健康的主要内容及要求。</w:t>
      </w:r>
    </w:p>
    <w:p w14:paraId="6FEE1234" w14:textId="77777777" w:rsidR="000B25E0" w:rsidRPr="000B25E0" w:rsidRDefault="000B25E0" w:rsidP="000B25E0">
      <w:pPr>
        <w:spacing w:line="360" w:lineRule="auto"/>
        <w:ind w:firstLineChars="196" w:firstLine="472"/>
        <w:rPr>
          <w:rFonts w:ascii="宋体" w:eastAsia="宋体" w:hAnsi="宋体" w:cs="宋体"/>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学生体质健康标准的重要性；如何激发学生锻炼身体的积极性和自觉性。</w:t>
      </w:r>
    </w:p>
    <w:p w14:paraId="1B3D3A6C"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学习内容四 跆拳道 3</w:t>
      </w:r>
    </w:p>
    <w:p w14:paraId="16F6F982"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1BCEB384"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63C986C6"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45444022"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665D28E6"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宋体" w:cs="Times New Roman"/>
          <w:b/>
          <w:sz w:val="24"/>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w:t>
      </w:r>
      <w:r w:rsidRPr="000B25E0">
        <w:rPr>
          <w:rFonts w:ascii="宋体" w:eastAsia="宋体" w:hAnsi="宋体" w:cs="仿宋_GB2312" w:hint="eastAsia"/>
          <w:sz w:val="24"/>
        </w:rPr>
        <w:lastRenderedPageBreak/>
        <w:t>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1EF6E383"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【学习内容】</w:t>
      </w:r>
    </w:p>
    <w:p w14:paraId="0082D7E9"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b/>
          <w:sz w:val="28"/>
          <w:szCs w:val="28"/>
        </w:rPr>
        <w:t>第</w:t>
      </w:r>
      <w:r w:rsidRPr="000B25E0">
        <w:rPr>
          <w:rFonts w:ascii="宋体" w:eastAsia="宋体" w:hAnsi="宋体" w:cs="Times New Roman" w:hint="eastAsia"/>
          <w:b/>
          <w:sz w:val="28"/>
          <w:szCs w:val="28"/>
        </w:rPr>
        <w:t>一</w:t>
      </w:r>
      <w:r w:rsidRPr="000B25E0">
        <w:rPr>
          <w:rFonts w:ascii="宋体" w:eastAsia="宋体" w:hAnsi="宋体" w:cs="Times New Roman"/>
          <w:b/>
          <w:sz w:val="28"/>
          <w:szCs w:val="28"/>
        </w:rPr>
        <w:t xml:space="preserve">章  </w:t>
      </w:r>
      <w:r w:rsidRPr="000B25E0">
        <w:rPr>
          <w:rFonts w:ascii="宋体" w:eastAsia="宋体" w:hAnsi="宋体" w:cs="Times New Roman" w:hint="eastAsia"/>
          <w:b/>
          <w:sz w:val="28"/>
          <w:szCs w:val="28"/>
        </w:rPr>
        <w:t>跆拳道</w:t>
      </w:r>
      <w:r w:rsidRPr="000B25E0">
        <w:rPr>
          <w:rFonts w:ascii="宋体" w:eastAsia="宋体" w:hAnsi="宋体" w:cs="Times New Roman"/>
          <w:b/>
          <w:sz w:val="28"/>
          <w:szCs w:val="28"/>
        </w:rPr>
        <w:t>理论及</w:t>
      </w:r>
      <w:r w:rsidRPr="000B25E0">
        <w:rPr>
          <w:rFonts w:ascii="宋体" w:eastAsia="宋体" w:hAnsi="宋体" w:cs="Times New Roman" w:hint="eastAsia"/>
          <w:b/>
          <w:sz w:val="28"/>
          <w:szCs w:val="28"/>
        </w:rPr>
        <w:t>技法</w:t>
      </w:r>
      <w:r w:rsidRPr="000B25E0">
        <w:rPr>
          <w:rFonts w:ascii="宋体" w:eastAsia="宋体" w:hAnsi="宋体" w:cs="Times New Roman"/>
          <w:b/>
          <w:sz w:val="28"/>
          <w:szCs w:val="28"/>
        </w:rPr>
        <w:t>（</w:t>
      </w:r>
      <w:r w:rsidRPr="000B25E0">
        <w:rPr>
          <w:rFonts w:ascii="宋体" w:eastAsia="宋体" w:hAnsi="宋体" w:cs="Times New Roman" w:hint="eastAsia"/>
          <w:b/>
          <w:sz w:val="28"/>
          <w:szCs w:val="28"/>
        </w:rPr>
        <w:t>16</w:t>
      </w:r>
      <w:r w:rsidRPr="000B25E0">
        <w:rPr>
          <w:rFonts w:ascii="宋体" w:eastAsia="宋体" w:hAnsi="宋体" w:cs="Times New Roman"/>
          <w:b/>
          <w:sz w:val="28"/>
          <w:szCs w:val="28"/>
        </w:rPr>
        <w:t>学时）</w:t>
      </w:r>
    </w:p>
    <w:p w14:paraId="36A1A56A"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7253ADF2"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1.1 跆拳道基础理论（2学时）</w:t>
      </w:r>
    </w:p>
    <w:p w14:paraId="0F450B70"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1.2竞技实战势，步法（2学时）</w:t>
      </w:r>
    </w:p>
    <w:p w14:paraId="66D4782A"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1.3 前踢、前腿前踢（2学时）</w:t>
      </w:r>
    </w:p>
    <w:p w14:paraId="0012D11B"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1.4横踢、前腿横踢（4学时）</w:t>
      </w:r>
    </w:p>
    <w:p w14:paraId="6CECB739"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1.5旋风踢（4学时）</w:t>
      </w:r>
    </w:p>
    <w:p w14:paraId="503DEB4F"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1.6后踢（2学时）</w:t>
      </w:r>
    </w:p>
    <w:p w14:paraId="72792903"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1.7期中期末考试（2学时）</w:t>
      </w:r>
    </w:p>
    <w:p w14:paraId="2D2746D6"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本章教学目的及要求：</w:t>
      </w:r>
    </w:p>
    <w:p w14:paraId="56D54533"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目的：学习并达到基本掌握跆拳道竞技技术。</w:t>
      </w:r>
    </w:p>
    <w:p w14:paraId="4ECC9DFA" w14:textId="77777777" w:rsidR="000B25E0" w:rsidRPr="000B25E0" w:rsidRDefault="000B25E0" w:rsidP="000B25E0">
      <w:pPr>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sz w:val="24"/>
        </w:rPr>
        <w:t>要求</w:t>
      </w:r>
      <w:r w:rsidRPr="000B25E0">
        <w:rPr>
          <w:rFonts w:ascii="宋体" w:eastAsia="宋体" w:hAnsi="宋体" w:cs="Times New Roman" w:hint="eastAsia"/>
          <w:sz w:val="24"/>
        </w:rPr>
        <w:t>：能够熟练掌握前踢、</w:t>
      </w:r>
      <w:r w:rsidRPr="000B25E0">
        <w:rPr>
          <w:rFonts w:ascii="宋体" w:eastAsia="宋体" w:hAnsi="宋体" w:cs="Times New Roman"/>
          <w:sz w:val="24"/>
        </w:rPr>
        <w:t>横踢</w:t>
      </w:r>
      <w:r w:rsidRPr="000B25E0">
        <w:rPr>
          <w:rFonts w:ascii="宋体" w:eastAsia="宋体" w:hAnsi="宋体" w:cs="Times New Roman" w:hint="eastAsia"/>
          <w:sz w:val="24"/>
        </w:rPr>
        <w:t>、</w:t>
      </w:r>
      <w:r w:rsidRPr="000B25E0">
        <w:rPr>
          <w:rFonts w:ascii="宋体" w:eastAsia="宋体" w:hAnsi="宋体" w:cs="Times New Roman"/>
          <w:sz w:val="24"/>
        </w:rPr>
        <w:t>后踢</w:t>
      </w:r>
      <w:r w:rsidRPr="000B25E0">
        <w:rPr>
          <w:rFonts w:ascii="宋体" w:eastAsia="宋体" w:hAnsi="宋体" w:cs="Times New Roman" w:hint="eastAsia"/>
          <w:sz w:val="24"/>
        </w:rPr>
        <w:t>的动作及应用</w:t>
      </w:r>
    </w:p>
    <w:p w14:paraId="1AD5619B"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本章教学重点及难点：</w:t>
      </w:r>
    </w:p>
    <w:p w14:paraId="070E2C5D" w14:textId="77777777" w:rsidR="000B25E0" w:rsidRPr="000B25E0" w:rsidRDefault="000B25E0" w:rsidP="000B25E0">
      <w:pPr>
        <w:adjustRightInd w:val="0"/>
        <w:snapToGrid w:val="0"/>
        <w:spacing w:line="500" w:lineRule="exact"/>
        <w:ind w:firstLineChars="200" w:firstLine="480"/>
        <w:rPr>
          <w:rFonts w:ascii="宋体" w:eastAsia="宋体" w:hAnsi="宋体" w:cs="楷体_GB2312"/>
          <w:color w:val="000000"/>
          <w:kern w:val="0"/>
          <w:sz w:val="24"/>
        </w:rPr>
      </w:pPr>
      <w:r w:rsidRPr="000B25E0">
        <w:rPr>
          <w:rFonts w:ascii="宋体" w:eastAsia="宋体" w:hAnsi="宋体" w:cs="楷体_GB2312"/>
          <w:color w:val="000000"/>
          <w:kern w:val="0"/>
          <w:sz w:val="24"/>
        </w:rPr>
        <w:t>重点</w:t>
      </w:r>
      <w:r w:rsidRPr="000B25E0">
        <w:rPr>
          <w:rFonts w:ascii="宋体" w:eastAsia="宋体" w:hAnsi="宋体" w:cs="楷体_GB2312" w:hint="eastAsia"/>
          <w:color w:val="000000"/>
          <w:kern w:val="0"/>
          <w:sz w:val="24"/>
        </w:rPr>
        <w:t>：垂直提膝、平行提膝、</w:t>
      </w:r>
      <w:proofErr w:type="gramStart"/>
      <w:r w:rsidRPr="000B25E0">
        <w:rPr>
          <w:rFonts w:ascii="宋体" w:eastAsia="宋体" w:hAnsi="宋体" w:cs="楷体_GB2312" w:hint="eastAsia"/>
          <w:color w:val="000000"/>
          <w:kern w:val="0"/>
          <w:sz w:val="24"/>
        </w:rPr>
        <w:t>夹腿提</w:t>
      </w:r>
      <w:proofErr w:type="gramEnd"/>
      <w:r w:rsidRPr="000B25E0">
        <w:rPr>
          <w:rFonts w:ascii="宋体" w:eastAsia="宋体" w:hAnsi="宋体" w:cs="楷体_GB2312" w:hint="eastAsia"/>
          <w:color w:val="000000"/>
          <w:kern w:val="0"/>
          <w:sz w:val="24"/>
        </w:rPr>
        <w:t>膝各技术中正面击打技术</w:t>
      </w:r>
    </w:p>
    <w:p w14:paraId="45C88FFA"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b/>
          <w:sz w:val="24"/>
        </w:rPr>
      </w:pPr>
      <w:r w:rsidRPr="000B25E0">
        <w:rPr>
          <w:rFonts w:ascii="宋体" w:eastAsia="宋体" w:hAnsi="宋体" w:cs="楷体_GB2312" w:hint="eastAsia"/>
          <w:color w:val="000000"/>
          <w:kern w:val="0"/>
          <w:sz w:val="24"/>
        </w:rPr>
        <w:t>难点：后踢、旋风踢、</w:t>
      </w:r>
    </w:p>
    <w:p w14:paraId="3A483965"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b/>
          <w:sz w:val="28"/>
          <w:szCs w:val="28"/>
        </w:rPr>
        <w:t>第</w:t>
      </w:r>
      <w:r w:rsidRPr="000B25E0">
        <w:rPr>
          <w:rFonts w:ascii="宋体" w:eastAsia="宋体" w:hAnsi="宋体" w:cs="Times New Roman" w:hint="eastAsia"/>
          <w:b/>
          <w:sz w:val="28"/>
          <w:szCs w:val="28"/>
        </w:rPr>
        <w:t>二</w:t>
      </w:r>
      <w:r w:rsidRPr="000B25E0">
        <w:rPr>
          <w:rFonts w:ascii="宋体" w:eastAsia="宋体" w:hAnsi="宋体" w:cs="Times New Roman"/>
          <w:b/>
          <w:sz w:val="28"/>
          <w:szCs w:val="28"/>
        </w:rPr>
        <w:t>章  跆拳道品势 （</w:t>
      </w:r>
      <w:r w:rsidRPr="000B25E0">
        <w:rPr>
          <w:rFonts w:ascii="宋体" w:eastAsia="宋体" w:hAnsi="宋体" w:cs="Times New Roman" w:hint="eastAsia"/>
          <w:b/>
          <w:sz w:val="28"/>
          <w:szCs w:val="28"/>
        </w:rPr>
        <w:t>8</w:t>
      </w:r>
      <w:r w:rsidRPr="000B25E0">
        <w:rPr>
          <w:rFonts w:ascii="宋体" w:eastAsia="宋体" w:hAnsi="宋体" w:cs="Times New Roman"/>
          <w:b/>
          <w:sz w:val="28"/>
          <w:szCs w:val="28"/>
        </w:rPr>
        <w:t>学时）</w:t>
      </w:r>
    </w:p>
    <w:p w14:paraId="7FCEADC8"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36EDC68C"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2.1 太极一章（4学时）</w:t>
      </w:r>
    </w:p>
    <w:p w14:paraId="5AE6AA1F"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2.2 测试太极一章（2学时）</w:t>
      </w:r>
    </w:p>
    <w:p w14:paraId="5E19491E"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2.3腿法考试2</w:t>
      </w:r>
    </w:p>
    <w:p w14:paraId="0B16E648"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lastRenderedPageBreak/>
        <w:t>第三章 身体素质（6学时）</w:t>
      </w:r>
    </w:p>
    <w:p w14:paraId="088D1E98" w14:textId="77777777" w:rsidR="000B25E0" w:rsidRPr="000B25E0" w:rsidRDefault="000B25E0" w:rsidP="000B25E0">
      <w:pPr>
        <w:autoSpaceDE w:val="0"/>
        <w:autoSpaceDN w:val="0"/>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28DB56CE"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3.1速度素质、耐力素质、灵敏素质。</w:t>
      </w:r>
    </w:p>
    <w:p w14:paraId="019DEF69"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sz w:val="24"/>
        </w:rPr>
        <w:t>教学目的及要求</w:t>
      </w:r>
      <w:r w:rsidRPr="000B25E0">
        <w:rPr>
          <w:rFonts w:ascii="Calibri" w:eastAsia="宋体" w:hAnsi="Calibri" w:cs="Times New Roman" w:hint="eastAsia"/>
          <w:sz w:val="24"/>
        </w:rPr>
        <w:t>：使学生掌握跆拳道运动需要的基本身体素质。</w:t>
      </w:r>
      <w:r w:rsidRPr="000B25E0">
        <w:rPr>
          <w:rFonts w:ascii="Calibri" w:eastAsia="宋体" w:hAnsi="Calibri" w:cs="Times New Roman" w:hint="eastAsia"/>
          <w:sz w:val="24"/>
        </w:rPr>
        <w:t xml:space="preserve"> </w:t>
      </w:r>
    </w:p>
    <w:p w14:paraId="22F64911" w14:textId="77777777" w:rsidR="000B25E0" w:rsidRPr="000B25E0" w:rsidRDefault="000B25E0" w:rsidP="000B25E0">
      <w:pPr>
        <w:adjustRightInd w:val="0"/>
        <w:snapToGrid w:val="0"/>
        <w:spacing w:line="500" w:lineRule="exact"/>
        <w:ind w:firstLineChars="200" w:firstLine="482"/>
        <w:rPr>
          <w:rFonts w:ascii="宋体" w:eastAsia="宋体" w:hAnsi="宋体" w:cs="Times New Roman"/>
          <w:bCs/>
          <w:color w:val="FF0000"/>
          <w:sz w:val="24"/>
        </w:rPr>
      </w:pPr>
      <w:r w:rsidRPr="000B25E0">
        <w:rPr>
          <w:rFonts w:ascii="Calibri" w:eastAsia="宋体" w:hAnsi="Calibri" w:cs="Times New Roman" w:hint="eastAsia"/>
          <w:b/>
          <w:sz w:val="24"/>
        </w:rPr>
        <w:t>教学重点及难点</w:t>
      </w:r>
      <w:r w:rsidRPr="000B25E0">
        <w:rPr>
          <w:rFonts w:ascii="Calibri" w:eastAsia="宋体" w:hAnsi="Calibri" w:cs="Times New Roman" w:hint="eastAsia"/>
          <w:sz w:val="24"/>
        </w:rPr>
        <w:t>：身体耐力、肌肉力量、柔韧性。</w:t>
      </w:r>
    </w:p>
    <w:p w14:paraId="5D5DD450" w14:textId="77777777" w:rsidR="000B25E0" w:rsidRPr="000B25E0" w:rsidRDefault="000B25E0" w:rsidP="000B25E0">
      <w:pPr>
        <w:spacing w:line="440" w:lineRule="exact"/>
        <w:ind w:firstLineChars="200" w:firstLine="482"/>
        <w:rPr>
          <w:rFonts w:ascii="宋体" w:eastAsia="宋体" w:hAnsi="宋体" w:cs="Times New Roman"/>
          <w:b/>
          <w:sz w:val="24"/>
        </w:rPr>
      </w:pPr>
      <w:r w:rsidRPr="000B25E0">
        <w:rPr>
          <w:rFonts w:ascii="宋体" w:eastAsia="宋体" w:hAnsi="宋体" w:cs="Times New Roman" w:hint="eastAsia"/>
          <w:b/>
          <w:sz w:val="24"/>
        </w:rPr>
        <w:t>【重点】</w:t>
      </w:r>
    </w:p>
    <w:p w14:paraId="73A6DCCF"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 xml:space="preserve">1.《大学体育教程》理论课程使学生对大学体育有深入理解；了解体  </w:t>
      </w:r>
    </w:p>
    <w:p w14:paraId="6371EE54" w14:textId="77777777" w:rsidR="000B25E0" w:rsidRPr="000B25E0" w:rsidRDefault="000B25E0" w:rsidP="000B25E0">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0B25E0">
        <w:rPr>
          <w:rFonts w:ascii="宋体" w:eastAsia="宋体" w:hAnsi="Calibri" w:cs="宋体" w:hint="eastAsia"/>
          <w:spacing w:val="5"/>
          <w:kern w:val="0"/>
          <w:sz w:val="24"/>
        </w:rPr>
        <w:t>质健康</w:t>
      </w:r>
      <w:proofErr w:type="gramEnd"/>
      <w:r w:rsidRPr="000B25E0">
        <w:rPr>
          <w:rFonts w:ascii="宋体" w:eastAsia="宋体" w:hAnsi="Calibri" w:cs="宋体" w:hint="eastAsia"/>
          <w:spacing w:val="5"/>
          <w:kern w:val="0"/>
          <w:sz w:val="24"/>
        </w:rPr>
        <w:t>标准的实施与如何评价；学会分析常见运动损伤和运动性疾病的症状。</w:t>
      </w:r>
    </w:p>
    <w:p w14:paraId="24D0F38B" w14:textId="77777777" w:rsidR="000B25E0" w:rsidRPr="000B25E0" w:rsidRDefault="000B25E0" w:rsidP="000B25E0">
      <w:pPr>
        <w:autoSpaceDE w:val="0"/>
        <w:autoSpaceDN w:val="0"/>
        <w:adjustRightInd w:val="0"/>
        <w:snapToGrid w:val="0"/>
        <w:spacing w:line="500" w:lineRule="exact"/>
        <w:ind w:left="490"/>
        <w:rPr>
          <w:rFonts w:ascii="宋体" w:eastAsia="宋体" w:hAnsi="Calibri" w:cs="宋体"/>
          <w:spacing w:val="5"/>
          <w:kern w:val="0"/>
          <w:sz w:val="24"/>
        </w:rPr>
      </w:pPr>
      <w:r w:rsidRPr="000B25E0">
        <w:rPr>
          <w:rFonts w:ascii="宋体" w:eastAsia="宋体" w:hAnsi="Calibri" w:cs="宋体" w:hint="eastAsia"/>
          <w:spacing w:val="5"/>
          <w:kern w:val="0"/>
          <w:sz w:val="24"/>
        </w:rPr>
        <w:t>2.跆拳道运动的基本理论、基本知识和基本技能。</w:t>
      </w:r>
    </w:p>
    <w:p w14:paraId="7F1BEBF7"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宋体" w:cs="Times New Roman"/>
          <w:sz w:val="24"/>
        </w:rPr>
      </w:pPr>
      <w:r w:rsidRPr="000B25E0">
        <w:rPr>
          <w:rFonts w:ascii="宋体" w:eastAsia="宋体" w:hAnsi="Calibri" w:cs="宋体" w:hint="eastAsia"/>
          <w:spacing w:val="5"/>
          <w:kern w:val="0"/>
          <w:sz w:val="24"/>
        </w:rPr>
        <w:t>3.掌握一定的科学锻炼方法，扎实的理论知识。</w:t>
      </w:r>
    </w:p>
    <w:p w14:paraId="6D386614" w14:textId="77777777" w:rsidR="000B25E0" w:rsidRPr="000B25E0" w:rsidRDefault="000B25E0" w:rsidP="000B25E0">
      <w:pPr>
        <w:spacing w:line="440" w:lineRule="exact"/>
        <w:ind w:firstLineChars="200" w:firstLine="482"/>
        <w:rPr>
          <w:rFonts w:ascii="宋体" w:eastAsia="宋体" w:hAnsi="宋体" w:cs="Times New Roman"/>
          <w:b/>
          <w:sz w:val="24"/>
        </w:rPr>
      </w:pPr>
      <w:r w:rsidRPr="000B25E0">
        <w:rPr>
          <w:rFonts w:ascii="宋体" w:eastAsia="宋体" w:hAnsi="宋体" w:cs="Times New Roman" w:hint="eastAsia"/>
          <w:b/>
          <w:sz w:val="24"/>
        </w:rPr>
        <w:t>【难点】</w:t>
      </w:r>
    </w:p>
    <w:p w14:paraId="27B0F724"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4B05ECE1"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 xml:space="preserve">2.考虑学生原有的理论知识和实践技术，在讲授教材及大纲要求的所有知识和技术的同时，重点讲授跆拳道基本技术、基本战术、裁判规则等部分，以达到理论联系实际，学以致用。 </w:t>
      </w:r>
    </w:p>
    <w:p w14:paraId="3D5D548C" w14:textId="77777777" w:rsidR="000B25E0" w:rsidRPr="000B25E0" w:rsidRDefault="000B25E0" w:rsidP="000B25E0">
      <w:pPr>
        <w:spacing w:line="440" w:lineRule="exact"/>
        <w:ind w:firstLineChars="200" w:firstLine="482"/>
        <w:rPr>
          <w:rFonts w:ascii="宋体" w:eastAsia="宋体" w:hAnsi="宋体" w:cs="Times New Roman"/>
          <w:color w:val="FF0000"/>
          <w:sz w:val="24"/>
        </w:rPr>
      </w:pPr>
      <w:r w:rsidRPr="000B25E0">
        <w:rPr>
          <w:rFonts w:ascii="宋体" w:eastAsia="宋体" w:hAnsi="宋体" w:cs="Times New Roman" w:hint="eastAsia"/>
          <w:b/>
          <w:bCs/>
          <w:sz w:val="24"/>
        </w:rPr>
        <w:t>【实施方式】</w:t>
      </w:r>
    </w:p>
    <w:p w14:paraId="40814C69"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室外实践课程</w:t>
      </w:r>
    </w:p>
    <w:p w14:paraId="3B5D31E9"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【学习要求】</w:t>
      </w:r>
    </w:p>
    <w:p w14:paraId="0150825A" w14:textId="77777777" w:rsidR="000B25E0" w:rsidRPr="000B25E0" w:rsidRDefault="000B25E0" w:rsidP="000B25E0">
      <w:pPr>
        <w:spacing w:line="440" w:lineRule="exact"/>
        <w:ind w:firstLineChars="200" w:firstLine="480"/>
        <w:rPr>
          <w:rFonts w:ascii="宋体" w:eastAsia="宋体" w:hAnsi="宋体" w:cs="Times New Roman"/>
          <w:b/>
          <w:sz w:val="24"/>
        </w:rPr>
      </w:pPr>
      <w:r w:rsidRPr="000B25E0">
        <w:rPr>
          <w:rFonts w:ascii="宋体" w:eastAsia="宋体" w:hAnsi="宋体" w:cs="Times New Roman" w:hint="eastAsia"/>
          <w:sz w:val="24"/>
        </w:rPr>
        <w:t>1</w:t>
      </w:r>
      <w:r w:rsidRPr="000B25E0">
        <w:rPr>
          <w:rFonts w:ascii="宋体" w:eastAsia="宋体" w:hAnsi="宋体" w:cs="Times New Roman"/>
          <w:sz w:val="24"/>
        </w:rPr>
        <w:t xml:space="preserve">. </w:t>
      </w:r>
      <w:r w:rsidRPr="000B25E0">
        <w:rPr>
          <w:rFonts w:ascii="宋体" w:eastAsia="宋体" w:hAnsi="宋体" w:cs="Times New Roman" w:hint="eastAsia"/>
          <w:sz w:val="24"/>
        </w:rPr>
        <w:t>了解大学体育课程的性质和授课方式，学分情况和进行网上选项课，开设的15门选项课程，课堂常识和安全注意事项。</w:t>
      </w:r>
    </w:p>
    <w:p w14:paraId="08A56DD9"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0B25E0">
        <w:rPr>
          <w:rFonts w:ascii="宋体" w:eastAsia="宋体" w:hAnsi="宋体" w:cs="Times New Roman" w:hint="eastAsia"/>
          <w:sz w:val="24"/>
        </w:rPr>
        <w:t>缓测免</w:t>
      </w:r>
      <w:proofErr w:type="gramEnd"/>
      <w:r w:rsidRPr="000B25E0">
        <w:rPr>
          <w:rFonts w:ascii="宋体" w:eastAsia="宋体" w:hAnsi="宋体" w:cs="Times New Roman" w:hint="eastAsia"/>
          <w:sz w:val="24"/>
        </w:rPr>
        <w:t>测的申请流程以及掌握测验时间。</w:t>
      </w:r>
    </w:p>
    <w:p w14:paraId="4D73C552"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3</w:t>
      </w:r>
      <w:r w:rsidRPr="000B25E0">
        <w:rPr>
          <w:rFonts w:ascii="宋体" w:eastAsia="宋体" w:hAnsi="宋体" w:cs="Times New Roman"/>
          <w:sz w:val="24"/>
        </w:rPr>
        <w:t>.</w:t>
      </w:r>
      <w:r w:rsidRPr="000B25E0">
        <w:rPr>
          <w:rFonts w:ascii="宋体" w:eastAsia="宋体" w:hAnsi="宋体" w:cs="Times New Roman" w:hint="eastAsia"/>
          <w:sz w:val="24"/>
        </w:rPr>
        <w:t>运用跆拳道基础课程</w:t>
      </w:r>
    </w:p>
    <w:p w14:paraId="6D65B590" w14:textId="77777777" w:rsidR="000B25E0" w:rsidRPr="000B25E0" w:rsidRDefault="000B25E0" w:rsidP="000B25E0">
      <w:pPr>
        <w:spacing w:line="440" w:lineRule="exact"/>
        <w:ind w:firstLineChars="200" w:firstLine="482"/>
        <w:rPr>
          <w:rFonts w:ascii="宋体" w:eastAsia="宋体" w:hAnsi="宋体" w:cs="Times New Roman"/>
          <w:sz w:val="24"/>
        </w:rPr>
      </w:pPr>
      <w:r w:rsidRPr="000B25E0">
        <w:rPr>
          <w:rFonts w:ascii="宋体" w:eastAsia="宋体" w:hAnsi="宋体" w:cs="Times New Roman" w:hint="eastAsia"/>
          <w:b/>
          <w:sz w:val="24"/>
        </w:rPr>
        <w:t>【实践要求】</w:t>
      </w:r>
    </w:p>
    <w:p w14:paraId="71F34481"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1.实践属性：综合训练型</w:t>
      </w:r>
    </w:p>
    <w:p w14:paraId="1C97F7FC"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2.工作流程：开始部分，准备部分，基本部分，结束部分</w:t>
      </w:r>
    </w:p>
    <w:p w14:paraId="0D11406A"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3.分组要求：自然班和选项班，不超过45人。</w:t>
      </w:r>
    </w:p>
    <w:p w14:paraId="69E0C905"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lastRenderedPageBreak/>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6F8CAC97"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5.时间安排：每周2学时</w:t>
      </w:r>
    </w:p>
    <w:p w14:paraId="02C60CA7"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6.其他要求：</w:t>
      </w:r>
    </w:p>
    <w:p w14:paraId="02E01673" w14:textId="77777777" w:rsidR="000B25E0" w:rsidRPr="000B25E0" w:rsidRDefault="000B25E0" w:rsidP="000B25E0">
      <w:pPr>
        <w:spacing w:beforeLines="50" w:before="156" w:afterLines="50" w:after="156" w:line="440" w:lineRule="exact"/>
        <w:ind w:left="561"/>
        <w:rPr>
          <w:rFonts w:ascii="仿宋" w:eastAsia="仿宋" w:hAnsi="仿宋" w:cs="Times New Roman"/>
          <w:sz w:val="24"/>
        </w:rPr>
      </w:pPr>
      <w:r w:rsidRPr="000B25E0">
        <w:rPr>
          <w:rFonts w:ascii="黑体" w:eastAsia="黑体" w:hAnsi="黑体" w:cs="Times New Roman" w:hint="eastAsia"/>
          <w:sz w:val="28"/>
          <w:szCs w:val="28"/>
        </w:rPr>
        <w:t>（二）课程学习内容与课程学习目标的对应关系</w:t>
      </w:r>
      <w:r w:rsidRPr="000B25E0">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0B25E0" w:rsidRPr="000B25E0" w14:paraId="2277C224" w14:textId="77777777" w:rsidTr="00BF5EF3">
        <w:trPr>
          <w:trHeight w:val="660"/>
          <w:jc w:val="center"/>
        </w:trPr>
        <w:tc>
          <w:tcPr>
            <w:tcW w:w="3403" w:type="dxa"/>
            <w:vAlign w:val="center"/>
          </w:tcPr>
          <w:p w14:paraId="69C9DA99"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实践内容</w:t>
            </w:r>
          </w:p>
        </w:tc>
        <w:tc>
          <w:tcPr>
            <w:tcW w:w="2693" w:type="dxa"/>
            <w:vAlign w:val="center"/>
          </w:tcPr>
          <w:p w14:paraId="7FD3FF7B"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实施方式</w:t>
            </w:r>
          </w:p>
        </w:tc>
        <w:tc>
          <w:tcPr>
            <w:tcW w:w="1985" w:type="dxa"/>
            <w:vAlign w:val="center"/>
          </w:tcPr>
          <w:p w14:paraId="02FD1D6E"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支撑的课程目标</w:t>
            </w:r>
          </w:p>
        </w:tc>
        <w:tc>
          <w:tcPr>
            <w:tcW w:w="1276" w:type="dxa"/>
            <w:vAlign w:val="center"/>
          </w:tcPr>
          <w:p w14:paraId="435EAF4C"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学时安排</w:t>
            </w:r>
          </w:p>
        </w:tc>
      </w:tr>
      <w:tr w:rsidR="000B25E0" w:rsidRPr="000B25E0" w14:paraId="50C9B240" w14:textId="77777777" w:rsidTr="00BF5EF3">
        <w:trPr>
          <w:trHeight w:val="514"/>
          <w:jc w:val="center"/>
        </w:trPr>
        <w:tc>
          <w:tcPr>
            <w:tcW w:w="3403" w:type="dxa"/>
            <w:vAlign w:val="center"/>
          </w:tcPr>
          <w:p w14:paraId="675FAD27"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学习内容</w:t>
            </w:r>
            <w:proofErr w:type="gramStart"/>
            <w:r w:rsidRPr="000B25E0">
              <w:rPr>
                <w:rFonts w:ascii="宋体" w:eastAsia="宋体" w:hAnsi="宋体" w:cs="Times New Roman" w:hint="eastAsia"/>
                <w:sz w:val="24"/>
              </w:rPr>
              <w:t>一</w:t>
            </w:r>
            <w:proofErr w:type="gramEnd"/>
            <w:r w:rsidRPr="000B25E0">
              <w:rPr>
                <w:rFonts w:ascii="宋体" w:eastAsia="宋体" w:hAnsi="宋体" w:cs="Times New Roman" w:hint="eastAsia"/>
                <w:sz w:val="24"/>
              </w:rPr>
              <w:t xml:space="preserve"> 体能+</w:t>
            </w:r>
            <w:r w:rsidRPr="000B25E0">
              <w:rPr>
                <w:rFonts w:ascii="宋体" w:eastAsia="宋体" w:hAnsi="Calibri" w:cs="宋体" w:hint="eastAsia"/>
                <w:spacing w:val="5"/>
                <w:kern w:val="0"/>
                <w:sz w:val="24"/>
              </w:rPr>
              <w:t>跆拳道</w:t>
            </w:r>
            <w:r w:rsidRPr="000B25E0">
              <w:rPr>
                <w:rFonts w:ascii="宋体" w:eastAsia="宋体" w:hAnsi="宋体" w:cs="Times New Roman" w:hint="eastAsia"/>
                <w:sz w:val="24"/>
              </w:rPr>
              <w:t xml:space="preserve"> </w:t>
            </w:r>
          </w:p>
          <w:p w14:paraId="5C829558"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18A84B8E"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0B67405C"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131CBEA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2D8C1A5D" w14:textId="77777777" w:rsidTr="00BF5EF3">
        <w:trPr>
          <w:trHeight w:val="90"/>
          <w:jc w:val="center"/>
        </w:trPr>
        <w:tc>
          <w:tcPr>
            <w:tcW w:w="3403" w:type="dxa"/>
            <w:vAlign w:val="center"/>
          </w:tcPr>
          <w:p w14:paraId="64C82EF1"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 xml:space="preserve">学习内容二 </w:t>
            </w:r>
            <w:r w:rsidRPr="000B25E0">
              <w:rPr>
                <w:rFonts w:ascii="宋体" w:eastAsia="宋体" w:hAnsi="Calibri" w:cs="宋体" w:hint="eastAsia"/>
                <w:spacing w:val="5"/>
                <w:kern w:val="0"/>
                <w:sz w:val="24"/>
              </w:rPr>
              <w:t>跆拳道</w:t>
            </w:r>
            <w:r w:rsidRPr="000B25E0">
              <w:rPr>
                <w:rFonts w:ascii="宋体" w:eastAsia="宋体" w:hAnsi="宋体" w:cs="Times New Roman" w:hint="eastAsia"/>
                <w:sz w:val="24"/>
              </w:rPr>
              <w:t xml:space="preserve">1 </w:t>
            </w:r>
          </w:p>
          <w:p w14:paraId="6EBDD0C1"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02FE69F6"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7533C0EE"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5D7D5E0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530EBB1F" w14:textId="77777777" w:rsidTr="00BF5EF3">
        <w:trPr>
          <w:jc w:val="center"/>
        </w:trPr>
        <w:tc>
          <w:tcPr>
            <w:tcW w:w="3403" w:type="dxa"/>
            <w:vAlign w:val="center"/>
          </w:tcPr>
          <w:p w14:paraId="72DC3EFE"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 xml:space="preserve">学习内容三 </w:t>
            </w:r>
            <w:r w:rsidRPr="000B25E0">
              <w:rPr>
                <w:rFonts w:ascii="宋体" w:eastAsia="宋体" w:hAnsi="Calibri" w:cs="宋体" w:hint="eastAsia"/>
                <w:spacing w:val="5"/>
                <w:kern w:val="0"/>
                <w:sz w:val="24"/>
              </w:rPr>
              <w:t>跆拳道</w:t>
            </w:r>
            <w:r w:rsidRPr="000B25E0">
              <w:rPr>
                <w:rFonts w:ascii="宋体" w:eastAsia="宋体" w:hAnsi="宋体" w:cs="Times New Roman" w:hint="eastAsia"/>
                <w:sz w:val="24"/>
              </w:rPr>
              <w:t xml:space="preserve"> 2</w:t>
            </w:r>
          </w:p>
          <w:p w14:paraId="066994FB"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1B851AA8"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5C5C5EB8"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5EAAA1D1"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60A949A2" w14:textId="77777777" w:rsidTr="00BF5EF3">
        <w:trPr>
          <w:jc w:val="center"/>
        </w:trPr>
        <w:tc>
          <w:tcPr>
            <w:tcW w:w="3403" w:type="dxa"/>
            <w:vAlign w:val="center"/>
          </w:tcPr>
          <w:p w14:paraId="772D793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 xml:space="preserve">学习内容四 </w:t>
            </w:r>
            <w:r w:rsidRPr="000B25E0">
              <w:rPr>
                <w:rFonts w:ascii="宋体" w:eastAsia="宋体" w:hAnsi="Calibri" w:cs="宋体" w:hint="eastAsia"/>
                <w:spacing w:val="5"/>
                <w:kern w:val="0"/>
                <w:sz w:val="24"/>
              </w:rPr>
              <w:t>跆拳道</w:t>
            </w:r>
            <w:r w:rsidRPr="000B25E0">
              <w:rPr>
                <w:rFonts w:ascii="宋体" w:eastAsia="宋体" w:hAnsi="宋体" w:cs="Times New Roman" w:hint="eastAsia"/>
                <w:sz w:val="24"/>
              </w:rPr>
              <w:t xml:space="preserve"> 3</w:t>
            </w:r>
          </w:p>
          <w:p w14:paraId="268F19FB"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5AE46941"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07A6CFDD"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2580FE52"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2F6B4D2A" w14:textId="77777777" w:rsidTr="00BF5EF3">
        <w:trPr>
          <w:jc w:val="center"/>
        </w:trPr>
        <w:tc>
          <w:tcPr>
            <w:tcW w:w="8081" w:type="dxa"/>
            <w:gridSpan w:val="3"/>
            <w:vAlign w:val="center"/>
          </w:tcPr>
          <w:p w14:paraId="597AAE62"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合计</w:t>
            </w:r>
          </w:p>
        </w:tc>
        <w:tc>
          <w:tcPr>
            <w:tcW w:w="1276" w:type="dxa"/>
            <w:vAlign w:val="center"/>
          </w:tcPr>
          <w:p w14:paraId="5280B9F8"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128</w:t>
            </w:r>
          </w:p>
        </w:tc>
      </w:tr>
    </w:tbl>
    <w:p w14:paraId="427C1794"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四、课程考核及与课程学习目标的对应关系</w:t>
      </w:r>
    </w:p>
    <w:p w14:paraId="2DA16202"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0B25E0" w:rsidRPr="000B25E0" w14:paraId="439B714A" w14:textId="77777777" w:rsidTr="00BF5EF3">
        <w:trPr>
          <w:trHeight w:val="515"/>
          <w:jc w:val="center"/>
        </w:trPr>
        <w:tc>
          <w:tcPr>
            <w:tcW w:w="1422" w:type="dxa"/>
          </w:tcPr>
          <w:p w14:paraId="2339A704"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课程目标</w:t>
            </w:r>
          </w:p>
        </w:tc>
        <w:tc>
          <w:tcPr>
            <w:tcW w:w="5376" w:type="dxa"/>
            <w:vAlign w:val="center"/>
          </w:tcPr>
          <w:p w14:paraId="75C91872"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考核内容</w:t>
            </w:r>
          </w:p>
        </w:tc>
        <w:tc>
          <w:tcPr>
            <w:tcW w:w="2542" w:type="dxa"/>
            <w:vAlign w:val="center"/>
          </w:tcPr>
          <w:p w14:paraId="3EBBBF01"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考核方式</w:t>
            </w:r>
          </w:p>
        </w:tc>
      </w:tr>
      <w:tr w:rsidR="000B25E0" w:rsidRPr="000B25E0" w14:paraId="5D821E8E" w14:textId="77777777" w:rsidTr="00BF5EF3">
        <w:trPr>
          <w:jc w:val="center"/>
        </w:trPr>
        <w:tc>
          <w:tcPr>
            <w:tcW w:w="1422" w:type="dxa"/>
            <w:vAlign w:val="center"/>
          </w:tcPr>
          <w:p w14:paraId="3D55FB40"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课程目标1、2、3</w:t>
            </w:r>
          </w:p>
        </w:tc>
        <w:tc>
          <w:tcPr>
            <w:tcW w:w="5376" w:type="dxa"/>
            <w:vAlign w:val="center"/>
          </w:tcPr>
          <w:p w14:paraId="26949826"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大学生体质健康标准测试</w:t>
            </w:r>
          </w:p>
        </w:tc>
        <w:tc>
          <w:tcPr>
            <w:tcW w:w="2542" w:type="dxa"/>
            <w:vAlign w:val="center"/>
          </w:tcPr>
          <w:p w14:paraId="2D9DB1BD" w14:textId="77777777" w:rsidR="000B25E0" w:rsidRPr="000B25E0" w:rsidRDefault="000B25E0" w:rsidP="000B25E0">
            <w:pPr>
              <w:widowControl/>
              <w:jc w:val="left"/>
              <w:rPr>
                <w:rFonts w:ascii="宋体" w:eastAsia="宋体" w:hAnsi="宋体" w:cs="Times New Roman"/>
                <w:bCs/>
                <w:sz w:val="24"/>
              </w:rPr>
            </w:pPr>
          </w:p>
          <w:p w14:paraId="15B86186"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随堂技术考核</w:t>
            </w:r>
          </w:p>
        </w:tc>
      </w:tr>
      <w:tr w:rsidR="000B25E0" w:rsidRPr="000B25E0" w14:paraId="731EB451" w14:textId="77777777" w:rsidTr="00BF5EF3">
        <w:trPr>
          <w:jc w:val="center"/>
        </w:trPr>
        <w:tc>
          <w:tcPr>
            <w:tcW w:w="1422" w:type="dxa"/>
            <w:vAlign w:val="center"/>
          </w:tcPr>
          <w:p w14:paraId="63DB155C"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w:t>
            </w:r>
          </w:p>
        </w:tc>
        <w:tc>
          <w:tcPr>
            <w:tcW w:w="5376" w:type="dxa"/>
            <w:vAlign w:val="center"/>
          </w:tcPr>
          <w:p w14:paraId="66CF5A36"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立定跳远</w:t>
            </w:r>
          </w:p>
        </w:tc>
        <w:tc>
          <w:tcPr>
            <w:tcW w:w="2542" w:type="dxa"/>
            <w:vAlign w:val="center"/>
          </w:tcPr>
          <w:p w14:paraId="3BC4CA1F" w14:textId="77777777" w:rsidR="000B25E0" w:rsidRPr="000B25E0" w:rsidRDefault="000B25E0" w:rsidP="000B25E0">
            <w:pPr>
              <w:widowControl/>
              <w:jc w:val="left"/>
              <w:rPr>
                <w:rFonts w:ascii="宋体" w:eastAsia="宋体" w:hAnsi="宋体" w:cs="Times New Roman"/>
                <w:bCs/>
                <w:sz w:val="24"/>
              </w:rPr>
            </w:pPr>
          </w:p>
          <w:p w14:paraId="078ACE73"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随堂技术考核</w:t>
            </w:r>
          </w:p>
        </w:tc>
      </w:tr>
      <w:tr w:rsidR="000B25E0" w:rsidRPr="000B25E0" w14:paraId="20E1A738" w14:textId="77777777" w:rsidTr="00BF5EF3">
        <w:trPr>
          <w:jc w:val="center"/>
        </w:trPr>
        <w:tc>
          <w:tcPr>
            <w:tcW w:w="1422" w:type="dxa"/>
            <w:vAlign w:val="center"/>
          </w:tcPr>
          <w:p w14:paraId="7BF87D82"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w:t>
            </w:r>
          </w:p>
        </w:tc>
        <w:tc>
          <w:tcPr>
            <w:tcW w:w="5376" w:type="dxa"/>
            <w:vAlign w:val="center"/>
          </w:tcPr>
          <w:p w14:paraId="06F3EE9F"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Calibri" w:cs="Times New Roman" w:hint="eastAsia"/>
                <w:bCs/>
                <w:kern w:val="0"/>
                <w:sz w:val="24"/>
              </w:rPr>
              <w:t>基本腿法、品势</w:t>
            </w:r>
          </w:p>
        </w:tc>
        <w:tc>
          <w:tcPr>
            <w:tcW w:w="2542" w:type="dxa"/>
            <w:vAlign w:val="center"/>
          </w:tcPr>
          <w:p w14:paraId="5716101E" w14:textId="77777777" w:rsidR="000B25E0" w:rsidRPr="000B25E0" w:rsidRDefault="000B25E0" w:rsidP="000B25E0">
            <w:pPr>
              <w:widowControl/>
              <w:jc w:val="left"/>
              <w:rPr>
                <w:rFonts w:ascii="宋体" w:eastAsia="宋体" w:hAnsi="宋体" w:cs="Times New Roman"/>
                <w:bCs/>
                <w:sz w:val="24"/>
              </w:rPr>
            </w:pPr>
          </w:p>
          <w:p w14:paraId="04753E3F"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lastRenderedPageBreak/>
              <w:t>随堂技术考核</w:t>
            </w:r>
          </w:p>
        </w:tc>
      </w:tr>
      <w:tr w:rsidR="000B25E0" w:rsidRPr="000B25E0" w14:paraId="0ED1FF09" w14:textId="77777777" w:rsidTr="00BF5EF3">
        <w:trPr>
          <w:jc w:val="center"/>
        </w:trPr>
        <w:tc>
          <w:tcPr>
            <w:tcW w:w="1422" w:type="dxa"/>
            <w:vAlign w:val="center"/>
          </w:tcPr>
          <w:p w14:paraId="0BD8C8E4"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lastRenderedPageBreak/>
              <w:t>课程目标3</w:t>
            </w:r>
          </w:p>
        </w:tc>
        <w:tc>
          <w:tcPr>
            <w:tcW w:w="5376" w:type="dxa"/>
            <w:vAlign w:val="center"/>
          </w:tcPr>
          <w:p w14:paraId="169F997D"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Calibri" w:cs="Times New Roman" w:hint="eastAsia"/>
                <w:bCs/>
                <w:kern w:val="0"/>
                <w:sz w:val="24"/>
              </w:rPr>
              <w:t>基本腿法、品势</w:t>
            </w:r>
          </w:p>
        </w:tc>
        <w:tc>
          <w:tcPr>
            <w:tcW w:w="2542" w:type="dxa"/>
            <w:vAlign w:val="center"/>
          </w:tcPr>
          <w:p w14:paraId="03D00EE8" w14:textId="77777777" w:rsidR="000B25E0" w:rsidRPr="000B25E0" w:rsidRDefault="000B25E0" w:rsidP="000B25E0">
            <w:pPr>
              <w:widowControl/>
              <w:jc w:val="left"/>
              <w:rPr>
                <w:rFonts w:ascii="宋体" w:eastAsia="宋体" w:hAnsi="宋体" w:cs="Times New Roman"/>
                <w:bCs/>
                <w:sz w:val="24"/>
              </w:rPr>
            </w:pPr>
            <w:r w:rsidRPr="000B25E0">
              <w:rPr>
                <w:rFonts w:ascii="宋体" w:eastAsia="宋体" w:hAnsi="宋体" w:cs="Times New Roman" w:hint="eastAsia"/>
                <w:bCs/>
                <w:sz w:val="24"/>
              </w:rPr>
              <w:t>随堂技术考核</w:t>
            </w:r>
          </w:p>
          <w:p w14:paraId="5FD87A20" w14:textId="77777777" w:rsidR="000B25E0" w:rsidRPr="000B25E0" w:rsidRDefault="000B25E0" w:rsidP="000B25E0">
            <w:pPr>
              <w:spacing w:line="440" w:lineRule="exact"/>
              <w:rPr>
                <w:rFonts w:ascii="宋体" w:eastAsia="宋体" w:hAnsi="宋体" w:cs="Times New Roman"/>
                <w:bCs/>
                <w:sz w:val="24"/>
              </w:rPr>
            </w:pPr>
          </w:p>
        </w:tc>
      </w:tr>
    </w:tbl>
    <w:p w14:paraId="2931B4D8"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（二）课程目标达成评价方式及考核比例</w:t>
      </w:r>
    </w:p>
    <w:p w14:paraId="72F37B43"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排球课程</w:t>
      </w:r>
      <w:proofErr w:type="gramStart"/>
      <w:r w:rsidRPr="000B25E0">
        <w:rPr>
          <w:rFonts w:ascii="宋体" w:eastAsia="宋体" w:hAnsi="宋体" w:cs="Times New Roman" w:hint="eastAsia"/>
          <w:sz w:val="24"/>
        </w:rPr>
        <w:t>1、2、3、4每</w:t>
      </w:r>
      <w:proofErr w:type="gramEnd"/>
      <w:r w:rsidRPr="000B25E0">
        <w:rPr>
          <w:rFonts w:ascii="宋体" w:eastAsia="宋体" w:hAnsi="宋体" w:cs="Times New Roman" w:hint="eastAsia"/>
          <w:sz w:val="24"/>
        </w:rPr>
        <w:t>学期考核方式及成绩比例为：课堂表现20%</w:t>
      </w:r>
      <w:r w:rsidRPr="000B25E0">
        <w:rPr>
          <w:rFonts w:ascii="宋体" w:eastAsia="宋体" w:hAnsi="宋体" w:cs="Times New Roman"/>
          <w:sz w:val="24"/>
        </w:rPr>
        <w:t>+</w:t>
      </w:r>
      <w:r w:rsidRPr="000B25E0">
        <w:rPr>
          <w:rFonts w:ascii="宋体" w:eastAsia="宋体" w:hAnsi="宋体" w:cs="Times New Roman" w:hint="eastAsia"/>
          <w:sz w:val="24"/>
        </w:rPr>
        <w:t>期中考核30%</w:t>
      </w:r>
      <w:r w:rsidRPr="000B25E0">
        <w:rPr>
          <w:rFonts w:ascii="宋体" w:eastAsia="宋体" w:hAnsi="宋体" w:cs="Times New Roman"/>
          <w:sz w:val="24"/>
        </w:rPr>
        <w:t>+</w:t>
      </w:r>
      <w:r w:rsidRPr="000B25E0">
        <w:rPr>
          <w:rFonts w:ascii="宋体" w:eastAsia="宋体" w:hAnsi="宋体" w:cs="Times New Roman" w:hint="eastAsia"/>
          <w:sz w:val="24"/>
        </w:rPr>
        <w:t>课期</w:t>
      </w:r>
      <w:proofErr w:type="gramStart"/>
      <w:r w:rsidRPr="000B25E0">
        <w:rPr>
          <w:rFonts w:ascii="宋体" w:eastAsia="宋体" w:hAnsi="宋体" w:cs="Times New Roman" w:hint="eastAsia"/>
          <w:sz w:val="24"/>
        </w:rPr>
        <w:t>末考试</w:t>
      </w:r>
      <w:proofErr w:type="gramEnd"/>
      <w:r w:rsidRPr="000B25E0">
        <w:rPr>
          <w:rFonts w:ascii="宋体" w:eastAsia="宋体" w:hAnsi="宋体" w:cs="Times New Roman" w:hint="eastAsia"/>
          <w:sz w:val="24"/>
        </w:rPr>
        <w:t>5</w:t>
      </w:r>
      <w:r w:rsidRPr="000B25E0">
        <w:rPr>
          <w:rFonts w:ascii="宋体" w:eastAsia="宋体" w:hAnsi="宋体" w:cs="Times New Roman"/>
          <w:sz w:val="24"/>
        </w:rPr>
        <w:t>0</w:t>
      </w:r>
      <w:r w:rsidRPr="000B25E0">
        <w:rPr>
          <w:rFonts w:ascii="宋体" w:eastAsia="宋体" w:hAnsi="宋体" w:cs="Times New Roman" w:hint="eastAsia"/>
          <w:sz w:val="24"/>
        </w:rPr>
        <w:t>%；本课程共有三个课程目标，考核方式及成绩比例分别为：</w:t>
      </w:r>
    </w:p>
    <w:p w14:paraId="01CCAD68"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课程目标1：课堂表现5%</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期末考试20%</w:t>
      </w:r>
    </w:p>
    <w:p w14:paraId="24253032"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课程目标2：课堂表现10%</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期末考试20%</w:t>
      </w:r>
    </w:p>
    <w:p w14:paraId="41B6B799"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课程目标3：课堂表现5%</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期末考试10%</w:t>
      </w:r>
    </w:p>
    <w:p w14:paraId="19AE335D"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0B25E0" w:rsidRPr="000B25E0" w14:paraId="2388E3B4" w14:textId="77777777" w:rsidTr="00BF5EF3">
        <w:trPr>
          <w:trHeight w:val="540"/>
          <w:jc w:val="center"/>
        </w:trPr>
        <w:tc>
          <w:tcPr>
            <w:tcW w:w="1422" w:type="dxa"/>
            <w:vMerge w:val="restart"/>
            <w:vAlign w:val="center"/>
          </w:tcPr>
          <w:p w14:paraId="4AF534E6"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课程目标</w:t>
            </w:r>
          </w:p>
        </w:tc>
        <w:tc>
          <w:tcPr>
            <w:tcW w:w="6271" w:type="dxa"/>
            <w:gridSpan w:val="4"/>
            <w:vAlign w:val="center"/>
          </w:tcPr>
          <w:p w14:paraId="3BFB4BA6"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考核方式及成绩比例（%）</w:t>
            </w:r>
          </w:p>
        </w:tc>
        <w:tc>
          <w:tcPr>
            <w:tcW w:w="1559" w:type="dxa"/>
            <w:vMerge w:val="restart"/>
            <w:vAlign w:val="center"/>
          </w:tcPr>
          <w:p w14:paraId="3291EEF4"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合计</w:t>
            </w:r>
          </w:p>
        </w:tc>
      </w:tr>
      <w:tr w:rsidR="000B25E0" w:rsidRPr="000B25E0" w14:paraId="0D929831" w14:textId="77777777" w:rsidTr="00BF5EF3">
        <w:trPr>
          <w:trHeight w:val="578"/>
          <w:jc w:val="center"/>
        </w:trPr>
        <w:tc>
          <w:tcPr>
            <w:tcW w:w="1422" w:type="dxa"/>
            <w:vMerge/>
            <w:vAlign w:val="center"/>
          </w:tcPr>
          <w:p w14:paraId="55943ACB" w14:textId="77777777" w:rsidR="000B25E0" w:rsidRPr="000B25E0" w:rsidRDefault="000B25E0" w:rsidP="000B25E0">
            <w:pPr>
              <w:spacing w:line="440" w:lineRule="exact"/>
              <w:rPr>
                <w:rFonts w:ascii="宋体" w:eastAsia="宋体" w:hAnsi="宋体" w:cs="Times New Roman"/>
                <w:b/>
                <w:sz w:val="24"/>
              </w:rPr>
            </w:pPr>
          </w:p>
        </w:tc>
        <w:tc>
          <w:tcPr>
            <w:tcW w:w="1452" w:type="dxa"/>
            <w:vAlign w:val="center"/>
          </w:tcPr>
          <w:p w14:paraId="32A065BF"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课堂表现</w:t>
            </w:r>
          </w:p>
        </w:tc>
        <w:tc>
          <w:tcPr>
            <w:tcW w:w="1559" w:type="dxa"/>
            <w:vAlign w:val="center"/>
          </w:tcPr>
          <w:p w14:paraId="4E6C2EB9"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阶段测试</w:t>
            </w:r>
          </w:p>
        </w:tc>
        <w:tc>
          <w:tcPr>
            <w:tcW w:w="1701" w:type="dxa"/>
            <w:vAlign w:val="center"/>
          </w:tcPr>
          <w:p w14:paraId="27493CFC"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课程论文</w:t>
            </w:r>
          </w:p>
        </w:tc>
        <w:tc>
          <w:tcPr>
            <w:tcW w:w="1559" w:type="dxa"/>
            <w:vAlign w:val="center"/>
          </w:tcPr>
          <w:p w14:paraId="3FB557DA"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期末考试</w:t>
            </w:r>
          </w:p>
        </w:tc>
        <w:tc>
          <w:tcPr>
            <w:tcW w:w="1559" w:type="dxa"/>
            <w:vMerge/>
          </w:tcPr>
          <w:p w14:paraId="2AF82AE7" w14:textId="77777777" w:rsidR="000B25E0" w:rsidRPr="000B25E0" w:rsidRDefault="000B25E0" w:rsidP="000B25E0">
            <w:pPr>
              <w:spacing w:line="440" w:lineRule="exact"/>
              <w:rPr>
                <w:rFonts w:ascii="宋体" w:eastAsia="宋体" w:hAnsi="宋体" w:cs="Times New Roman"/>
                <w:b/>
                <w:sz w:val="24"/>
              </w:rPr>
            </w:pPr>
          </w:p>
        </w:tc>
      </w:tr>
      <w:tr w:rsidR="000B25E0" w:rsidRPr="000B25E0" w14:paraId="55E36A96" w14:textId="77777777" w:rsidTr="00BF5EF3">
        <w:trPr>
          <w:jc w:val="center"/>
        </w:trPr>
        <w:tc>
          <w:tcPr>
            <w:tcW w:w="1422" w:type="dxa"/>
            <w:vAlign w:val="center"/>
          </w:tcPr>
          <w:p w14:paraId="4BE55316"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课程目标1</w:t>
            </w:r>
          </w:p>
        </w:tc>
        <w:tc>
          <w:tcPr>
            <w:tcW w:w="1452" w:type="dxa"/>
            <w:vAlign w:val="center"/>
          </w:tcPr>
          <w:p w14:paraId="37B1512E"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5</w:t>
            </w:r>
          </w:p>
        </w:tc>
        <w:tc>
          <w:tcPr>
            <w:tcW w:w="1559" w:type="dxa"/>
            <w:vAlign w:val="center"/>
          </w:tcPr>
          <w:p w14:paraId="2884118D"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6DA21EC5"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7F834F84"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20</w:t>
            </w:r>
          </w:p>
        </w:tc>
        <w:tc>
          <w:tcPr>
            <w:tcW w:w="1559" w:type="dxa"/>
          </w:tcPr>
          <w:p w14:paraId="6B8E8724"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35</w:t>
            </w:r>
          </w:p>
        </w:tc>
      </w:tr>
      <w:tr w:rsidR="000B25E0" w:rsidRPr="000B25E0" w14:paraId="73AC054F" w14:textId="77777777" w:rsidTr="00BF5EF3">
        <w:trPr>
          <w:jc w:val="center"/>
        </w:trPr>
        <w:tc>
          <w:tcPr>
            <w:tcW w:w="1422" w:type="dxa"/>
            <w:vAlign w:val="center"/>
          </w:tcPr>
          <w:p w14:paraId="107CD5BC"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课程目标2</w:t>
            </w:r>
          </w:p>
        </w:tc>
        <w:tc>
          <w:tcPr>
            <w:tcW w:w="1452" w:type="dxa"/>
            <w:vAlign w:val="center"/>
          </w:tcPr>
          <w:p w14:paraId="20204D96"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559" w:type="dxa"/>
            <w:vAlign w:val="center"/>
          </w:tcPr>
          <w:p w14:paraId="124D477D"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39BC51A4"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0894C225"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20</w:t>
            </w:r>
          </w:p>
        </w:tc>
        <w:tc>
          <w:tcPr>
            <w:tcW w:w="1559" w:type="dxa"/>
          </w:tcPr>
          <w:p w14:paraId="4DE8B672"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40</w:t>
            </w:r>
          </w:p>
        </w:tc>
      </w:tr>
      <w:tr w:rsidR="000B25E0" w:rsidRPr="000B25E0" w14:paraId="6426B8E3" w14:textId="77777777" w:rsidTr="00BF5EF3">
        <w:trPr>
          <w:jc w:val="center"/>
        </w:trPr>
        <w:tc>
          <w:tcPr>
            <w:tcW w:w="1422" w:type="dxa"/>
            <w:vAlign w:val="center"/>
          </w:tcPr>
          <w:p w14:paraId="295495FF"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课程目标3</w:t>
            </w:r>
          </w:p>
        </w:tc>
        <w:tc>
          <w:tcPr>
            <w:tcW w:w="1452" w:type="dxa"/>
            <w:vAlign w:val="center"/>
          </w:tcPr>
          <w:p w14:paraId="2D0B1980"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5</w:t>
            </w:r>
          </w:p>
        </w:tc>
        <w:tc>
          <w:tcPr>
            <w:tcW w:w="1559" w:type="dxa"/>
            <w:vAlign w:val="center"/>
          </w:tcPr>
          <w:p w14:paraId="1DDE1061"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6B271AA6"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56364219"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559" w:type="dxa"/>
          </w:tcPr>
          <w:p w14:paraId="7A929338"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25</w:t>
            </w:r>
          </w:p>
        </w:tc>
      </w:tr>
      <w:tr w:rsidR="000B25E0" w:rsidRPr="000B25E0" w14:paraId="3325B28D" w14:textId="77777777" w:rsidTr="00BF5EF3">
        <w:trPr>
          <w:jc w:val="center"/>
        </w:trPr>
        <w:tc>
          <w:tcPr>
            <w:tcW w:w="1422" w:type="dxa"/>
            <w:vAlign w:val="center"/>
          </w:tcPr>
          <w:p w14:paraId="3C8FCBE2"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合计</w:t>
            </w:r>
          </w:p>
        </w:tc>
        <w:tc>
          <w:tcPr>
            <w:tcW w:w="1452" w:type="dxa"/>
            <w:vAlign w:val="center"/>
          </w:tcPr>
          <w:p w14:paraId="738D7AC2"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20</w:t>
            </w:r>
          </w:p>
        </w:tc>
        <w:tc>
          <w:tcPr>
            <w:tcW w:w="1559" w:type="dxa"/>
            <w:vAlign w:val="center"/>
          </w:tcPr>
          <w:p w14:paraId="15AB66A1"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30</w:t>
            </w:r>
          </w:p>
        </w:tc>
        <w:tc>
          <w:tcPr>
            <w:tcW w:w="1701" w:type="dxa"/>
            <w:vAlign w:val="center"/>
          </w:tcPr>
          <w:p w14:paraId="6B8CF598"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19B6B086"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50</w:t>
            </w:r>
          </w:p>
        </w:tc>
        <w:tc>
          <w:tcPr>
            <w:tcW w:w="1559" w:type="dxa"/>
          </w:tcPr>
          <w:p w14:paraId="109EB22A"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w:t>
            </w:r>
            <w:r w:rsidRPr="000B25E0">
              <w:rPr>
                <w:rFonts w:ascii="宋体" w:eastAsia="宋体" w:hAnsi="宋体" w:cs="Times New Roman"/>
                <w:bCs/>
                <w:sz w:val="24"/>
              </w:rPr>
              <w:t>00</w:t>
            </w:r>
          </w:p>
        </w:tc>
      </w:tr>
    </w:tbl>
    <w:p w14:paraId="483F9507" w14:textId="77777777" w:rsidR="000B25E0" w:rsidRPr="000B25E0" w:rsidRDefault="000B25E0" w:rsidP="000B25E0">
      <w:pPr>
        <w:spacing w:line="440" w:lineRule="exact"/>
        <w:ind w:firstLineChars="200" w:firstLine="480"/>
        <w:rPr>
          <w:rFonts w:ascii="宋体" w:eastAsia="宋体" w:hAnsi="宋体" w:cs="Times New Roman"/>
          <w:sz w:val="24"/>
        </w:rPr>
      </w:pPr>
    </w:p>
    <w:p w14:paraId="4A450429" w14:textId="77777777" w:rsidR="000B25E0" w:rsidRPr="000B25E0" w:rsidRDefault="000B25E0" w:rsidP="00C63ECC">
      <w:pPr>
        <w:pStyle w:val="afc"/>
      </w:pPr>
      <w:bookmarkStart w:id="76" w:name="_Toc31510"/>
      <w:r w:rsidRPr="000B25E0">
        <w:rPr>
          <w:rFonts w:hint="eastAsia"/>
        </w:rPr>
        <w:t>五、成绩评定</w:t>
      </w:r>
      <w:bookmarkEnd w:id="76"/>
    </w:p>
    <w:p w14:paraId="54BD71D5"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（一）总成绩评定</w:t>
      </w:r>
    </w:p>
    <w:p w14:paraId="02C4E986"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总成绩=平时成绩×20%+期中成绩×30%+期末成绩×50%</w:t>
      </w:r>
    </w:p>
    <w:p w14:paraId="573F77CB"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备注：每学期总成绩</w:t>
      </w:r>
    </w:p>
    <w:p w14:paraId="38E396D8"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color w:val="FF0000"/>
          <w:sz w:val="24"/>
        </w:rPr>
      </w:pPr>
      <w:r w:rsidRPr="000B25E0">
        <w:rPr>
          <w:rFonts w:ascii="黑体" w:eastAsia="黑体" w:hAnsi="黑体" w:cs="Times New Roman" w:hint="eastAsia"/>
          <w:sz w:val="28"/>
          <w:szCs w:val="28"/>
        </w:rPr>
        <w:t>（二）平时成绩评定</w:t>
      </w:r>
    </w:p>
    <w:p w14:paraId="0E1E9CC3"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（1）课堂表现：通过学生在课堂上的表现情况、发言与主体参与和练习情况，来评价学生相关的能力。</w:t>
      </w:r>
    </w:p>
    <w:p w14:paraId="47709279"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（2）作业完成情况：围绕课程的学习目标进行作业的设计。如让学生简述对知识的认识，建议</w:t>
      </w:r>
      <w:proofErr w:type="gramStart"/>
      <w:r w:rsidRPr="000B25E0">
        <w:rPr>
          <w:rFonts w:ascii="宋体" w:eastAsia="宋体" w:hAnsi="宋体" w:cs="Times New Roman" w:hint="eastAsia"/>
          <w:sz w:val="24"/>
        </w:rPr>
        <w:t>带准备</w:t>
      </w:r>
      <w:proofErr w:type="gramEnd"/>
      <w:r w:rsidRPr="000B25E0">
        <w:rPr>
          <w:rFonts w:ascii="宋体" w:eastAsia="宋体" w:hAnsi="宋体" w:cs="Times New Roman" w:hint="eastAsia"/>
          <w:sz w:val="24"/>
        </w:rPr>
        <w:t>部分和基本部分中的复习内容，帮助学生将定义转化为自己的理解。学生在小组合作学习中测验掌握课程的情况</w:t>
      </w:r>
    </w:p>
    <w:p w14:paraId="44AFF72F" w14:textId="77777777" w:rsidR="000B25E0" w:rsidRPr="000B25E0" w:rsidRDefault="000B25E0" w:rsidP="000B25E0">
      <w:pPr>
        <w:spacing w:line="440" w:lineRule="exact"/>
        <w:ind w:firstLineChars="200" w:firstLine="480"/>
        <w:rPr>
          <w:rFonts w:ascii="宋体" w:eastAsia="宋体" w:hAnsi="宋体" w:cs="Times New Roman"/>
          <w:color w:val="FF0000"/>
          <w:sz w:val="24"/>
        </w:rPr>
      </w:pPr>
      <w:r w:rsidRPr="000B25E0">
        <w:rPr>
          <w:rFonts w:ascii="宋体" w:eastAsia="宋体" w:hAnsi="宋体" w:cs="Times New Roman" w:hint="eastAsia"/>
          <w:sz w:val="24"/>
        </w:rPr>
        <w:t>（3）课堂考勤：留存辅导员开具的事假条、校医院开具的病假条。缺课达到本</w:t>
      </w:r>
      <w:r w:rsidRPr="000B25E0">
        <w:rPr>
          <w:rFonts w:ascii="宋体" w:eastAsia="宋体" w:hAnsi="宋体" w:cs="Times New Roman" w:hint="eastAsia"/>
          <w:sz w:val="24"/>
        </w:rPr>
        <w:lastRenderedPageBreak/>
        <w:t>学期三分之一课时，按照考试无资格处理。</w:t>
      </w:r>
    </w:p>
    <w:p w14:paraId="2DAAAE00"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（三）期中、期末成绩评定</w:t>
      </w:r>
    </w:p>
    <w:p w14:paraId="07E20D5F"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第一学期</w:t>
      </w:r>
    </w:p>
    <w:p w14:paraId="0627A10D" w14:textId="77777777" w:rsidR="000B25E0" w:rsidRPr="000B25E0" w:rsidRDefault="000B25E0" w:rsidP="000B25E0">
      <w:pPr>
        <w:adjustRightInd w:val="0"/>
        <w:snapToGrid w:val="0"/>
        <w:spacing w:line="500" w:lineRule="exact"/>
        <w:jc w:val="center"/>
        <w:rPr>
          <w:rFonts w:ascii="宋体" w:eastAsia="宋体" w:hAnsi="Calibri" w:cs="Times New Roman"/>
          <w:b/>
          <w:bCs/>
          <w:kern w:val="0"/>
          <w:sz w:val="24"/>
        </w:rPr>
      </w:pPr>
      <w:r w:rsidRPr="000B25E0">
        <w:rPr>
          <w:rFonts w:ascii="宋体" w:eastAsia="宋体" w:hAnsi="Calibri" w:cs="Times New Roman" w:hint="eastAsia"/>
          <w:b/>
          <w:bCs/>
          <w:kern w:val="0"/>
          <w:sz w:val="24"/>
        </w:rPr>
        <w:t>期中考试</w:t>
      </w:r>
    </w:p>
    <w:p w14:paraId="395A114B" w14:textId="77777777" w:rsidR="000B25E0" w:rsidRPr="000B25E0" w:rsidRDefault="000B25E0" w:rsidP="000B25E0">
      <w:pPr>
        <w:adjustRightInd w:val="0"/>
        <w:snapToGrid w:val="0"/>
        <w:spacing w:line="500" w:lineRule="exact"/>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通过考核检验体能训练教学效果和学生掌握情况，让学生了解体质健康标准测验的重要性。</w:t>
      </w:r>
    </w:p>
    <w:p w14:paraId="4F562C1C"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立定跳远。</w:t>
      </w:r>
    </w:p>
    <w:p w14:paraId="37E6FB0D"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沙坑场地，每人跳两次，取最好成绩。</w:t>
      </w:r>
    </w:p>
    <w:p w14:paraId="3339E323"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数量及技术评定分值各为100分，各占总分值的20%，</w:t>
      </w:r>
    </w:p>
    <w:p w14:paraId="4ECB7F25"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Cs/>
          <w:kern w:val="0"/>
          <w:sz w:val="24"/>
        </w:rPr>
        <w:t>总分值为100分。</w:t>
      </w:r>
    </w:p>
    <w:p w14:paraId="6FD98894" w14:textId="77777777" w:rsidR="000B25E0" w:rsidRPr="000B25E0" w:rsidRDefault="000B25E0" w:rsidP="000B25E0">
      <w:pPr>
        <w:adjustRightInd w:val="0"/>
        <w:snapToGrid w:val="0"/>
        <w:spacing w:line="500" w:lineRule="exact"/>
        <w:jc w:val="left"/>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p w14:paraId="07598351"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0B25E0" w:rsidRPr="000B25E0" w14:paraId="7DC886A1" w14:textId="77777777" w:rsidTr="00BF5E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00F5D1F"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3874258F"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AD1BABC"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大</w:t>
            </w:r>
            <w:proofErr w:type="gramStart"/>
            <w:r w:rsidRPr="000B25E0">
              <w:rPr>
                <w:rFonts w:ascii="宋体" w:eastAsia="宋体" w:hAnsi="宋体" w:cs="宋体" w:hint="eastAsia"/>
                <w:b/>
                <w:kern w:val="0"/>
                <w:sz w:val="24"/>
                <w:lang w:bidi="ar"/>
              </w:rPr>
              <w:t>一</w:t>
            </w:r>
            <w:proofErr w:type="gramEnd"/>
            <w:r w:rsidRPr="000B25E0">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3AF5ABB1"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大</w:t>
            </w:r>
            <w:proofErr w:type="gramStart"/>
            <w:r w:rsidRPr="000B25E0">
              <w:rPr>
                <w:rFonts w:ascii="宋体" w:eastAsia="宋体" w:hAnsi="宋体" w:cs="宋体" w:hint="eastAsia"/>
                <w:b/>
                <w:kern w:val="0"/>
                <w:sz w:val="24"/>
                <w:lang w:bidi="ar"/>
              </w:rPr>
              <w:t>一</w:t>
            </w:r>
            <w:proofErr w:type="gramEnd"/>
            <w:r w:rsidRPr="000B25E0">
              <w:rPr>
                <w:rFonts w:ascii="宋体" w:eastAsia="宋体" w:hAnsi="宋体" w:cs="宋体" w:hint="eastAsia"/>
                <w:b/>
                <w:kern w:val="0"/>
                <w:sz w:val="24"/>
                <w:lang w:bidi="ar"/>
              </w:rPr>
              <w:t>女生</w:t>
            </w:r>
          </w:p>
        </w:tc>
      </w:tr>
      <w:tr w:rsidR="000B25E0" w:rsidRPr="000B25E0" w14:paraId="6A5ADC61" w14:textId="77777777" w:rsidTr="00BF5E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0E1CCD2"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17B515B"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32ECEB53" w14:textId="77777777" w:rsidR="000B25E0" w:rsidRPr="000B25E0" w:rsidRDefault="000B25E0" w:rsidP="000B25E0">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460C8BC5" w14:textId="77777777" w:rsidR="000B25E0" w:rsidRPr="000B25E0" w:rsidRDefault="000B25E0" w:rsidP="000B25E0">
            <w:pPr>
              <w:jc w:val="center"/>
              <w:rPr>
                <w:rFonts w:ascii="宋体" w:eastAsia="宋体" w:hAnsi="宋体" w:cs="宋体"/>
                <w:b/>
                <w:sz w:val="24"/>
              </w:rPr>
            </w:pPr>
          </w:p>
        </w:tc>
      </w:tr>
      <w:tr w:rsidR="000B25E0" w:rsidRPr="000B25E0" w14:paraId="7EB72CCF"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AC570F2"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438AC97B"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3E605E28"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120902A5"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207</w:t>
            </w:r>
          </w:p>
        </w:tc>
      </w:tr>
      <w:tr w:rsidR="000B25E0" w:rsidRPr="000B25E0" w14:paraId="06F378BC"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43EFC3B"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F5F472B"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5539E708"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2960F067"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201</w:t>
            </w:r>
          </w:p>
        </w:tc>
      </w:tr>
      <w:tr w:rsidR="000B25E0" w:rsidRPr="000B25E0" w14:paraId="4BDFDAC3"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56B8B8E"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9D59676"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1F9F879"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DBDF80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195</w:t>
            </w:r>
          </w:p>
        </w:tc>
      </w:tr>
      <w:tr w:rsidR="000B25E0" w:rsidRPr="000B25E0" w14:paraId="6D623DDD"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5D83E9C"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33E6C35C"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36E16E59"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01532294"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188</w:t>
            </w:r>
          </w:p>
        </w:tc>
      </w:tr>
      <w:tr w:rsidR="000B25E0" w:rsidRPr="000B25E0" w14:paraId="1A687473"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CEC26AB"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A945C57"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8A756E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6BF0D2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181</w:t>
            </w:r>
          </w:p>
        </w:tc>
      </w:tr>
      <w:tr w:rsidR="000B25E0" w:rsidRPr="000B25E0" w14:paraId="64EE436F"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4482D2E"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FFA098A"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464CC614"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0A57CA08"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178</w:t>
            </w:r>
          </w:p>
        </w:tc>
      </w:tr>
      <w:tr w:rsidR="000B25E0" w:rsidRPr="000B25E0" w14:paraId="35616FA6"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39DF1D0"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D526F08"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5E7A8821"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1DC54E81"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175</w:t>
            </w:r>
          </w:p>
        </w:tc>
      </w:tr>
      <w:tr w:rsidR="000B25E0" w:rsidRPr="000B25E0" w14:paraId="54308EEF"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6050366"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96066ED"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42596A23"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7B49AAF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172</w:t>
            </w:r>
          </w:p>
        </w:tc>
      </w:tr>
      <w:tr w:rsidR="000B25E0" w:rsidRPr="000B25E0" w14:paraId="48BDB94F"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5E8527F"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CB1ACA7"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67394653"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1B4BDF2E"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169</w:t>
            </w:r>
          </w:p>
        </w:tc>
      </w:tr>
      <w:tr w:rsidR="000B25E0" w:rsidRPr="000B25E0" w14:paraId="4E10F0D5"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17ADE1F"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1A81D9B"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3984B50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33228339"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166</w:t>
            </w:r>
          </w:p>
        </w:tc>
      </w:tr>
      <w:tr w:rsidR="000B25E0" w:rsidRPr="000B25E0" w14:paraId="0C67F9A6"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AF3EE06"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AFF436D"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2DCAB87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5514720B"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163</w:t>
            </w:r>
          </w:p>
        </w:tc>
      </w:tr>
      <w:tr w:rsidR="000B25E0" w:rsidRPr="000B25E0" w14:paraId="1B05BD62"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BE10D21"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3C16AD4"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3E2C179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3C90D344"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160</w:t>
            </w:r>
          </w:p>
        </w:tc>
      </w:tr>
      <w:tr w:rsidR="000B25E0" w:rsidRPr="000B25E0" w14:paraId="36A071A6"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63F1EBC"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E8AECBB"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32A8CB5A"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108E1AA2"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157</w:t>
            </w:r>
          </w:p>
        </w:tc>
      </w:tr>
      <w:tr w:rsidR="000B25E0" w:rsidRPr="000B25E0" w14:paraId="48E27D21"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434BB01"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5F6FD11"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5F5737A3"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2FFE467A"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154</w:t>
            </w:r>
          </w:p>
        </w:tc>
      </w:tr>
      <w:tr w:rsidR="000B25E0" w:rsidRPr="000B25E0" w14:paraId="486124BA"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3E7276B"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5DFF1D6"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B4D80E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756CF73"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151</w:t>
            </w:r>
          </w:p>
        </w:tc>
      </w:tr>
      <w:tr w:rsidR="000B25E0" w:rsidRPr="000B25E0" w14:paraId="52CFE6F6"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1CAC504"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AF5154C"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573F058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27C53005"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146</w:t>
            </w:r>
          </w:p>
        </w:tc>
      </w:tr>
      <w:tr w:rsidR="000B25E0" w:rsidRPr="000B25E0" w14:paraId="164C23BA"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CDC5F96"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D4BA666"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5A3B9E0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3C29451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141</w:t>
            </w:r>
          </w:p>
        </w:tc>
      </w:tr>
      <w:tr w:rsidR="000B25E0" w:rsidRPr="000B25E0" w14:paraId="398AF75A"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2035C08"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5EE60FE"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50BD20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21865581"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136</w:t>
            </w:r>
          </w:p>
        </w:tc>
      </w:tr>
      <w:tr w:rsidR="000B25E0" w:rsidRPr="000B25E0" w14:paraId="3926BE0E"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3400818"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A8356BC"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4BA35837"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547C21BA"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131</w:t>
            </w:r>
          </w:p>
        </w:tc>
      </w:tr>
      <w:tr w:rsidR="000B25E0" w:rsidRPr="000B25E0" w14:paraId="314498AB"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E55DEA1"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F4A7B29"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4763C855"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5A09490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126</w:t>
            </w:r>
          </w:p>
        </w:tc>
      </w:tr>
    </w:tbl>
    <w:p w14:paraId="2FA1B841"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p>
    <w:p w14:paraId="6A26712C" w14:textId="77777777" w:rsidR="000B25E0" w:rsidRPr="000B25E0" w:rsidRDefault="000B25E0" w:rsidP="000B25E0">
      <w:pPr>
        <w:adjustRightInd w:val="0"/>
        <w:snapToGrid w:val="0"/>
        <w:spacing w:line="500" w:lineRule="exact"/>
        <w:jc w:val="center"/>
        <w:rPr>
          <w:rFonts w:ascii="宋体" w:eastAsia="宋体" w:hAnsi="Calibri" w:cs="Times New Roman"/>
          <w:b/>
          <w:bCs/>
          <w:kern w:val="0"/>
          <w:sz w:val="24"/>
        </w:rPr>
      </w:pPr>
      <w:r w:rsidRPr="000B25E0">
        <w:rPr>
          <w:rFonts w:ascii="宋体" w:eastAsia="宋体" w:hAnsi="Calibri" w:cs="Times New Roman" w:hint="eastAsia"/>
          <w:b/>
          <w:bCs/>
          <w:kern w:val="0"/>
          <w:sz w:val="24"/>
        </w:rPr>
        <w:t>期末考试</w:t>
      </w:r>
    </w:p>
    <w:p w14:paraId="5FD0A3D6" w14:textId="77777777" w:rsidR="000B25E0" w:rsidRPr="000B25E0" w:rsidRDefault="000B25E0" w:rsidP="000B25E0">
      <w:pPr>
        <w:autoSpaceDE w:val="0"/>
        <w:autoSpaceDN w:val="0"/>
        <w:adjustRightInd w:val="0"/>
        <w:spacing w:line="500" w:lineRule="exact"/>
        <w:rPr>
          <w:rFonts w:ascii="宋体" w:eastAsia="宋体" w:hAnsi="宋体" w:cs="Arial"/>
          <w:bCs/>
          <w:color w:val="000000"/>
          <w:sz w:val="24"/>
        </w:rPr>
      </w:pPr>
      <w:r w:rsidRPr="000B25E0">
        <w:rPr>
          <w:rFonts w:ascii="宋体" w:eastAsia="宋体" w:hAnsi="宋体" w:cs="Arial" w:hint="eastAsia"/>
          <w:b/>
          <w:color w:val="000000"/>
          <w:sz w:val="24"/>
        </w:rPr>
        <w:t>1.考课程核目标：</w:t>
      </w:r>
      <w:r w:rsidRPr="000B25E0">
        <w:rPr>
          <w:rFonts w:ascii="宋体" w:eastAsia="宋体" w:hAnsi="宋体" w:cs="Arial" w:hint="eastAsia"/>
          <w:bCs/>
          <w:color w:val="000000"/>
          <w:sz w:val="24"/>
        </w:rPr>
        <w:t>通过考核检验跆拳道技术教学效果和学生掌握情况，使85%的学生达到良好水平。</w:t>
      </w:r>
    </w:p>
    <w:p w14:paraId="622A366F"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Calibri" w:cs="Times New Roman" w:hint="eastAsia"/>
          <w:b/>
          <w:kern w:val="0"/>
          <w:sz w:val="24"/>
        </w:rPr>
        <w:t>2.课程考核的内容：</w:t>
      </w:r>
      <w:r w:rsidRPr="000B25E0">
        <w:rPr>
          <w:rFonts w:ascii="宋体" w:eastAsia="宋体" w:hAnsi="宋体" w:cs="宋体" w:hint="eastAsia"/>
          <w:bCs/>
          <w:color w:val="000000"/>
          <w:kern w:val="0"/>
          <w:sz w:val="24"/>
        </w:rPr>
        <w:t>分为步法和腿法技术。</w:t>
      </w:r>
    </w:p>
    <w:p w14:paraId="08773D88"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Calibri" w:cs="Times New Roman" w:hint="eastAsia"/>
          <w:b/>
          <w:kern w:val="0"/>
          <w:sz w:val="24"/>
        </w:rPr>
        <w:t>3.课程考核方式：</w:t>
      </w:r>
      <w:r w:rsidRPr="000B25E0">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618051E3"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宋体" w:cs="宋体" w:hint="eastAsia"/>
          <w:bCs/>
          <w:color w:val="000000"/>
          <w:kern w:val="0"/>
          <w:sz w:val="24"/>
        </w:rPr>
        <w:t>步法50分和腿法50分。</w:t>
      </w:r>
    </w:p>
    <w:p w14:paraId="12D2563F" w14:textId="77777777" w:rsidR="000B25E0" w:rsidRPr="000B25E0" w:rsidRDefault="000B25E0" w:rsidP="000B25E0">
      <w:pPr>
        <w:adjustRightInd w:val="0"/>
        <w:snapToGrid w:val="0"/>
        <w:spacing w:line="500" w:lineRule="exact"/>
        <w:jc w:val="left"/>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4"/>
        <w:gridCol w:w="1755"/>
        <w:gridCol w:w="1756"/>
        <w:gridCol w:w="1756"/>
        <w:gridCol w:w="1756"/>
      </w:tblGrid>
      <w:tr w:rsidR="000B25E0" w:rsidRPr="000B25E0" w14:paraId="35742D32" w14:textId="77777777" w:rsidTr="00BF5EF3">
        <w:tc>
          <w:tcPr>
            <w:tcW w:w="1800" w:type="dxa"/>
          </w:tcPr>
          <w:p w14:paraId="2A436E21"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90分以上：</w:t>
            </w:r>
          </w:p>
        </w:tc>
        <w:tc>
          <w:tcPr>
            <w:tcW w:w="1800" w:type="dxa"/>
          </w:tcPr>
          <w:p w14:paraId="77E4A726"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80-89分：</w:t>
            </w:r>
          </w:p>
        </w:tc>
        <w:tc>
          <w:tcPr>
            <w:tcW w:w="1801" w:type="dxa"/>
          </w:tcPr>
          <w:p w14:paraId="19ED61BB"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70-79分：</w:t>
            </w:r>
          </w:p>
        </w:tc>
        <w:tc>
          <w:tcPr>
            <w:tcW w:w="1801" w:type="dxa"/>
          </w:tcPr>
          <w:p w14:paraId="42CAFF67"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60-69分：</w:t>
            </w:r>
          </w:p>
        </w:tc>
        <w:tc>
          <w:tcPr>
            <w:tcW w:w="1801" w:type="dxa"/>
          </w:tcPr>
          <w:p w14:paraId="00B4DC4D"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60分以下：</w:t>
            </w:r>
          </w:p>
        </w:tc>
      </w:tr>
      <w:tr w:rsidR="000B25E0" w:rsidRPr="000B25E0" w14:paraId="4EA710C6" w14:textId="77777777" w:rsidTr="00BF5EF3">
        <w:tc>
          <w:tcPr>
            <w:tcW w:w="1800" w:type="dxa"/>
          </w:tcPr>
          <w:p w14:paraId="44F6ABFC"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动作规范、协调有力度，技术正确，打击到位，动作力度强，连接顺畅。</w:t>
            </w:r>
          </w:p>
          <w:p w14:paraId="4630B92A"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0" w:type="dxa"/>
          </w:tcPr>
          <w:p w14:paraId="563C5932"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动作规范、协调力度稍差，技术正确，打击到位，动作力度不够，连接顺畅。</w:t>
            </w:r>
          </w:p>
          <w:p w14:paraId="6436C44E"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2415C8D1"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动作规范，动作协调和力度差，技术正确，打击到位，力度不够，连接不顺畅。</w:t>
            </w:r>
          </w:p>
          <w:p w14:paraId="72C5C3A7"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27EFD3AF"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动作基本正确，动作协调性差和动作力度不够，缺乏打击力度和连贯性。</w:t>
            </w:r>
          </w:p>
          <w:p w14:paraId="36989759"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16F302B5"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动作不正确，技术不正确。</w:t>
            </w:r>
          </w:p>
          <w:p w14:paraId="03BB9746"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r>
    </w:tbl>
    <w:p w14:paraId="7A3B6C8B" w14:textId="77777777" w:rsidR="000B25E0" w:rsidRPr="000B25E0" w:rsidRDefault="000B25E0" w:rsidP="000B25E0">
      <w:pPr>
        <w:autoSpaceDE w:val="0"/>
        <w:autoSpaceDN w:val="0"/>
        <w:adjustRightInd w:val="0"/>
        <w:snapToGrid w:val="0"/>
        <w:spacing w:line="500" w:lineRule="exact"/>
        <w:rPr>
          <w:rFonts w:ascii="宋体" w:eastAsia="宋体" w:hAnsi="Calibri" w:cs="Times New Roman"/>
          <w:bCs/>
          <w:color w:val="000000"/>
          <w:kern w:val="0"/>
          <w:sz w:val="24"/>
        </w:rPr>
      </w:pPr>
    </w:p>
    <w:p w14:paraId="54C010EC"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第二学期</w:t>
      </w:r>
    </w:p>
    <w:p w14:paraId="67561476"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期中考试</w:t>
      </w:r>
    </w:p>
    <w:p w14:paraId="6C5BCDD4" w14:textId="77777777" w:rsidR="000B25E0" w:rsidRPr="000B25E0" w:rsidRDefault="000B25E0" w:rsidP="000B25E0">
      <w:pPr>
        <w:autoSpaceDE w:val="0"/>
        <w:autoSpaceDN w:val="0"/>
        <w:adjustRightInd w:val="0"/>
        <w:spacing w:line="500" w:lineRule="exact"/>
        <w:rPr>
          <w:rFonts w:ascii="宋体" w:eastAsia="宋体" w:hAnsi="宋体" w:cs="Arial"/>
          <w:bCs/>
          <w:color w:val="000000"/>
          <w:sz w:val="24"/>
        </w:rPr>
      </w:pPr>
      <w:r w:rsidRPr="000B25E0">
        <w:rPr>
          <w:rFonts w:ascii="宋体" w:eastAsia="宋体" w:hAnsi="宋体" w:cs="Arial" w:hint="eastAsia"/>
          <w:b/>
          <w:color w:val="000000"/>
          <w:sz w:val="24"/>
        </w:rPr>
        <w:t>1.考课程核目标：</w:t>
      </w:r>
      <w:r w:rsidRPr="000B25E0">
        <w:rPr>
          <w:rFonts w:ascii="宋体" w:eastAsia="宋体" w:hAnsi="宋体" w:cs="Arial" w:hint="eastAsia"/>
          <w:bCs/>
          <w:color w:val="000000"/>
          <w:sz w:val="24"/>
        </w:rPr>
        <w:t>通过考核检验跆拳道技术教学效果和学生掌握情况，使85%的学生达到良好水平。</w:t>
      </w:r>
    </w:p>
    <w:p w14:paraId="18F42B7D"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kern w:val="0"/>
          <w:sz w:val="24"/>
        </w:rPr>
        <w:t>步法</w:t>
      </w:r>
      <w:r w:rsidRPr="000B25E0">
        <w:rPr>
          <w:rFonts w:ascii="宋体" w:eastAsia="宋体" w:hAnsi="宋体" w:cs="宋体" w:hint="eastAsia"/>
          <w:bCs/>
          <w:color w:val="000000"/>
          <w:kern w:val="0"/>
          <w:sz w:val="24"/>
        </w:rPr>
        <w:t>腿法技术。</w:t>
      </w:r>
    </w:p>
    <w:p w14:paraId="6A351C6B"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Calibri" w:cs="Times New Roman" w:hint="eastAsia"/>
          <w:b/>
          <w:kern w:val="0"/>
          <w:sz w:val="24"/>
        </w:rPr>
        <w:t>3.课程考核方式：</w:t>
      </w:r>
      <w:r w:rsidRPr="000B25E0">
        <w:rPr>
          <w:rFonts w:ascii="宋体" w:eastAsia="宋体" w:hAnsi="宋体" w:cs="宋体" w:hint="eastAsia"/>
          <w:bCs/>
          <w:color w:val="000000"/>
          <w:kern w:val="0"/>
          <w:sz w:val="24"/>
        </w:rPr>
        <w:t>在得到考评员示意后，考生上场行礼，开始考试单人。考评组由五</w:t>
      </w:r>
      <w:r w:rsidRPr="000B25E0">
        <w:rPr>
          <w:rFonts w:ascii="宋体" w:eastAsia="宋体" w:hAnsi="宋体" w:cs="宋体" w:hint="eastAsia"/>
          <w:bCs/>
          <w:color w:val="000000"/>
          <w:kern w:val="0"/>
          <w:sz w:val="24"/>
        </w:rPr>
        <w:lastRenderedPageBreak/>
        <w:t>人组成，进行公开评分。去掉最高分，去掉最低分，取中间三个人的平均分为最后得分。</w:t>
      </w:r>
    </w:p>
    <w:p w14:paraId="1290360D"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宋体" w:cs="宋体" w:hint="eastAsia"/>
          <w:bCs/>
          <w:color w:val="000000"/>
          <w:kern w:val="0"/>
          <w:sz w:val="24"/>
        </w:rPr>
        <w:t>步法50腿法50。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4"/>
        <w:gridCol w:w="1755"/>
        <w:gridCol w:w="1756"/>
        <w:gridCol w:w="1756"/>
        <w:gridCol w:w="1756"/>
      </w:tblGrid>
      <w:tr w:rsidR="000B25E0" w:rsidRPr="000B25E0" w14:paraId="0C3AD301" w14:textId="77777777" w:rsidTr="00BF5EF3">
        <w:tc>
          <w:tcPr>
            <w:tcW w:w="1800" w:type="dxa"/>
          </w:tcPr>
          <w:p w14:paraId="417649E5"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90分以上：</w:t>
            </w:r>
          </w:p>
        </w:tc>
        <w:tc>
          <w:tcPr>
            <w:tcW w:w="1800" w:type="dxa"/>
          </w:tcPr>
          <w:p w14:paraId="71FDA05E"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80-89分：</w:t>
            </w:r>
          </w:p>
        </w:tc>
        <w:tc>
          <w:tcPr>
            <w:tcW w:w="1801" w:type="dxa"/>
          </w:tcPr>
          <w:p w14:paraId="29FE2F9C"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70-79分：</w:t>
            </w:r>
          </w:p>
        </w:tc>
        <w:tc>
          <w:tcPr>
            <w:tcW w:w="1801" w:type="dxa"/>
          </w:tcPr>
          <w:p w14:paraId="17753816"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60-69分：</w:t>
            </w:r>
          </w:p>
        </w:tc>
        <w:tc>
          <w:tcPr>
            <w:tcW w:w="1801" w:type="dxa"/>
          </w:tcPr>
          <w:p w14:paraId="06F55141"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60分以下：</w:t>
            </w:r>
          </w:p>
        </w:tc>
      </w:tr>
      <w:tr w:rsidR="000B25E0" w:rsidRPr="000B25E0" w14:paraId="6B49B488" w14:textId="77777777" w:rsidTr="00BF5EF3">
        <w:tc>
          <w:tcPr>
            <w:tcW w:w="1800" w:type="dxa"/>
          </w:tcPr>
          <w:p w14:paraId="47BD7D2B"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动作规范、协调有力度，技术正确，打击到位，动作力度强，连接顺畅。</w:t>
            </w:r>
          </w:p>
          <w:p w14:paraId="4B77B01D"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0" w:type="dxa"/>
          </w:tcPr>
          <w:p w14:paraId="49AC2C0A"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动作规范、协调力度稍差，技术正确，打击到位，动作力度不够，连接顺畅。</w:t>
            </w:r>
          </w:p>
          <w:p w14:paraId="6D225DDD"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5A77C625"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动作规范，动作协调和力度差，技术正确，打击到位，力度不够，连接不顺畅。</w:t>
            </w:r>
          </w:p>
          <w:p w14:paraId="3FF951C8"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5AC3456A"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动作基本正确，动作协调性差和动作力度不够，缺乏打击力度和连贯性。</w:t>
            </w:r>
          </w:p>
          <w:p w14:paraId="104AD298"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217DD7F4"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动作不正确，技术不正确。</w:t>
            </w:r>
          </w:p>
          <w:p w14:paraId="73D27119"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r>
    </w:tbl>
    <w:p w14:paraId="059FA757" w14:textId="77777777" w:rsidR="000B25E0" w:rsidRPr="000B25E0" w:rsidRDefault="000B25E0" w:rsidP="000B25E0">
      <w:pPr>
        <w:adjustRightInd w:val="0"/>
        <w:snapToGrid w:val="0"/>
        <w:spacing w:line="500" w:lineRule="exact"/>
        <w:rPr>
          <w:rFonts w:ascii="宋体" w:eastAsia="宋体" w:hAnsi="Calibri" w:cs="Times New Roman"/>
          <w:bCs/>
          <w:kern w:val="0"/>
          <w:sz w:val="24"/>
        </w:rPr>
      </w:pPr>
    </w:p>
    <w:p w14:paraId="58E377AA"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期末考试</w:t>
      </w:r>
    </w:p>
    <w:p w14:paraId="2972A467" w14:textId="77777777" w:rsidR="000B25E0" w:rsidRPr="000B25E0" w:rsidRDefault="000B25E0" w:rsidP="000B25E0">
      <w:pPr>
        <w:autoSpaceDE w:val="0"/>
        <w:autoSpaceDN w:val="0"/>
        <w:adjustRightInd w:val="0"/>
        <w:spacing w:line="500" w:lineRule="exact"/>
        <w:rPr>
          <w:rFonts w:ascii="宋体" w:eastAsia="宋体" w:hAnsi="宋体" w:cs="Arial"/>
          <w:bCs/>
          <w:color w:val="000000"/>
          <w:sz w:val="24"/>
        </w:rPr>
      </w:pPr>
      <w:r w:rsidRPr="000B25E0">
        <w:rPr>
          <w:rFonts w:ascii="宋体" w:eastAsia="宋体" w:hAnsi="宋体" w:cs="Arial" w:hint="eastAsia"/>
          <w:b/>
          <w:color w:val="000000"/>
          <w:sz w:val="24"/>
        </w:rPr>
        <w:t>1.考课程核目标：</w:t>
      </w:r>
      <w:r w:rsidRPr="000B25E0">
        <w:rPr>
          <w:rFonts w:ascii="宋体" w:eastAsia="宋体" w:hAnsi="宋体" w:cs="Arial" w:hint="eastAsia"/>
          <w:bCs/>
          <w:color w:val="000000"/>
          <w:sz w:val="24"/>
        </w:rPr>
        <w:t>通过考核检验跆拳道技术教学效果和学生掌握情况，使85%的学生达到良好水平。</w:t>
      </w:r>
    </w:p>
    <w:p w14:paraId="2E19CF9F"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Calibri" w:cs="Times New Roman" w:hint="eastAsia"/>
          <w:b/>
          <w:kern w:val="0"/>
          <w:sz w:val="24"/>
        </w:rPr>
        <w:t>2.课程考核的内容：</w:t>
      </w:r>
      <w:r w:rsidRPr="000B25E0">
        <w:rPr>
          <w:rFonts w:ascii="宋体" w:eastAsia="宋体" w:hAnsi="宋体" w:cs="宋体" w:hint="eastAsia"/>
          <w:bCs/>
          <w:color w:val="000000"/>
          <w:kern w:val="0"/>
          <w:sz w:val="24"/>
        </w:rPr>
        <w:t>分为腿法技术和品势。</w:t>
      </w:r>
    </w:p>
    <w:p w14:paraId="2F3ED630"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Calibri" w:cs="Times New Roman" w:hint="eastAsia"/>
          <w:b/>
          <w:kern w:val="0"/>
          <w:sz w:val="24"/>
        </w:rPr>
        <w:t>3.课程考核方式：</w:t>
      </w:r>
      <w:r w:rsidRPr="000B25E0">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18ABB799"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宋体" w:cs="宋体" w:hint="eastAsia"/>
          <w:bCs/>
          <w:color w:val="000000"/>
          <w:kern w:val="0"/>
          <w:sz w:val="24"/>
        </w:rPr>
        <w:t>腿法50分品势50分。</w:t>
      </w:r>
    </w:p>
    <w:p w14:paraId="0EAF18FD" w14:textId="77777777" w:rsidR="000B25E0" w:rsidRPr="000B25E0" w:rsidRDefault="000B25E0" w:rsidP="000B25E0">
      <w:pPr>
        <w:adjustRightInd w:val="0"/>
        <w:snapToGrid w:val="0"/>
        <w:spacing w:line="500" w:lineRule="exact"/>
        <w:jc w:val="left"/>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4"/>
        <w:gridCol w:w="1755"/>
        <w:gridCol w:w="1756"/>
        <w:gridCol w:w="1756"/>
        <w:gridCol w:w="1756"/>
      </w:tblGrid>
      <w:tr w:rsidR="000B25E0" w:rsidRPr="000B25E0" w14:paraId="33312F74" w14:textId="77777777" w:rsidTr="00BF5EF3">
        <w:tc>
          <w:tcPr>
            <w:tcW w:w="1800" w:type="dxa"/>
          </w:tcPr>
          <w:p w14:paraId="6E5E626C"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90分以上：</w:t>
            </w:r>
          </w:p>
        </w:tc>
        <w:tc>
          <w:tcPr>
            <w:tcW w:w="1800" w:type="dxa"/>
          </w:tcPr>
          <w:p w14:paraId="35F2B223"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80-89分：</w:t>
            </w:r>
          </w:p>
        </w:tc>
        <w:tc>
          <w:tcPr>
            <w:tcW w:w="1801" w:type="dxa"/>
          </w:tcPr>
          <w:p w14:paraId="3AA8A795"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70-79分：</w:t>
            </w:r>
          </w:p>
        </w:tc>
        <w:tc>
          <w:tcPr>
            <w:tcW w:w="1801" w:type="dxa"/>
          </w:tcPr>
          <w:p w14:paraId="7331C1D0"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60-69分：</w:t>
            </w:r>
          </w:p>
        </w:tc>
        <w:tc>
          <w:tcPr>
            <w:tcW w:w="1801" w:type="dxa"/>
          </w:tcPr>
          <w:p w14:paraId="56E53BBA"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60分以下：</w:t>
            </w:r>
          </w:p>
        </w:tc>
      </w:tr>
      <w:tr w:rsidR="000B25E0" w:rsidRPr="000B25E0" w14:paraId="6B5A70C1" w14:textId="77777777" w:rsidTr="00BF5EF3">
        <w:tc>
          <w:tcPr>
            <w:tcW w:w="1800" w:type="dxa"/>
          </w:tcPr>
          <w:p w14:paraId="00F649AA"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动作规范、协调有力度，技术正确，打击到位，动作力度强，连接顺</w:t>
            </w:r>
            <w:r w:rsidRPr="000B25E0">
              <w:rPr>
                <w:rFonts w:ascii="宋体" w:eastAsia="宋体" w:hAnsi="宋体" w:cs="宋体" w:hint="eastAsia"/>
                <w:bCs/>
                <w:color w:val="000000"/>
                <w:kern w:val="0"/>
                <w:sz w:val="24"/>
              </w:rPr>
              <w:lastRenderedPageBreak/>
              <w:t>畅。</w:t>
            </w:r>
          </w:p>
          <w:p w14:paraId="0374AE0B"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0" w:type="dxa"/>
          </w:tcPr>
          <w:p w14:paraId="2E4580B7"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lastRenderedPageBreak/>
              <w:t>动作规范、协调力度稍差，技术正确，打击到位，动作力度不够，连</w:t>
            </w:r>
            <w:r w:rsidRPr="000B25E0">
              <w:rPr>
                <w:rFonts w:ascii="宋体" w:eastAsia="宋体" w:hAnsi="宋体" w:cs="宋体" w:hint="eastAsia"/>
                <w:bCs/>
                <w:color w:val="000000"/>
                <w:kern w:val="0"/>
                <w:sz w:val="24"/>
              </w:rPr>
              <w:lastRenderedPageBreak/>
              <w:t>接顺畅。</w:t>
            </w:r>
          </w:p>
          <w:p w14:paraId="3B67AB9A"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132F1990"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lastRenderedPageBreak/>
              <w:t>动作规范，动作协调和力度差，技术正确，打击到位，力度不够，连接</w:t>
            </w:r>
            <w:r w:rsidRPr="000B25E0">
              <w:rPr>
                <w:rFonts w:ascii="宋体" w:eastAsia="宋体" w:hAnsi="宋体" w:cs="宋体" w:hint="eastAsia"/>
                <w:bCs/>
                <w:color w:val="000000"/>
                <w:kern w:val="0"/>
                <w:sz w:val="24"/>
              </w:rPr>
              <w:lastRenderedPageBreak/>
              <w:t>不顺畅。</w:t>
            </w:r>
          </w:p>
          <w:p w14:paraId="10F4669B"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0B11121E"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lastRenderedPageBreak/>
              <w:t>动作基本正确，动作协调性差和动作力度不够，缺乏打击力度和连</w:t>
            </w:r>
            <w:r w:rsidRPr="000B25E0">
              <w:rPr>
                <w:rFonts w:ascii="宋体" w:eastAsia="宋体" w:hAnsi="宋体" w:cs="宋体" w:hint="eastAsia"/>
                <w:bCs/>
                <w:color w:val="000000"/>
                <w:kern w:val="0"/>
                <w:sz w:val="24"/>
              </w:rPr>
              <w:lastRenderedPageBreak/>
              <w:t>贯性。</w:t>
            </w:r>
          </w:p>
          <w:p w14:paraId="28F0B927"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35FBE61C"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lastRenderedPageBreak/>
              <w:t>动作不正确，技术不正确。</w:t>
            </w:r>
          </w:p>
          <w:p w14:paraId="1BB78AF4"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r>
    </w:tbl>
    <w:p w14:paraId="07A48C36"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第三学期</w:t>
      </w:r>
    </w:p>
    <w:p w14:paraId="4EA39CE7" w14:textId="77777777" w:rsidR="000B25E0" w:rsidRPr="000B25E0" w:rsidRDefault="000B25E0" w:rsidP="000B25E0">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0B25E0">
        <w:rPr>
          <w:rFonts w:ascii="宋体" w:eastAsia="宋体" w:hAnsi="Calibri" w:cs="Times New Roman" w:hint="eastAsia"/>
          <w:b/>
          <w:kern w:val="0"/>
          <w:sz w:val="24"/>
        </w:rPr>
        <w:t>期中考试</w:t>
      </w:r>
    </w:p>
    <w:p w14:paraId="75C726FA" w14:textId="77777777" w:rsidR="000B25E0" w:rsidRPr="000B25E0" w:rsidRDefault="000B25E0" w:rsidP="000B25E0">
      <w:pPr>
        <w:autoSpaceDE w:val="0"/>
        <w:autoSpaceDN w:val="0"/>
        <w:adjustRightInd w:val="0"/>
        <w:spacing w:line="500" w:lineRule="exact"/>
        <w:rPr>
          <w:rFonts w:ascii="宋体" w:eastAsia="宋体" w:hAnsi="宋体" w:cs="Arial"/>
          <w:bCs/>
          <w:color w:val="000000"/>
          <w:sz w:val="24"/>
        </w:rPr>
      </w:pPr>
      <w:r w:rsidRPr="000B25E0">
        <w:rPr>
          <w:rFonts w:ascii="宋体" w:eastAsia="宋体" w:hAnsi="宋体" w:cs="Arial" w:hint="eastAsia"/>
          <w:b/>
          <w:color w:val="000000"/>
          <w:sz w:val="24"/>
        </w:rPr>
        <w:t>1.考课程核目标：</w:t>
      </w:r>
      <w:r w:rsidRPr="000B25E0">
        <w:rPr>
          <w:rFonts w:ascii="宋体" w:eastAsia="宋体" w:hAnsi="宋体" w:cs="Arial" w:hint="eastAsia"/>
          <w:bCs/>
          <w:color w:val="000000"/>
          <w:sz w:val="24"/>
        </w:rPr>
        <w:t>通过考核检验跆拳道技术教学效果和学生掌握情况，使85%的学生达到良好水平。</w:t>
      </w:r>
    </w:p>
    <w:p w14:paraId="742F3596"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kern w:val="0"/>
          <w:sz w:val="24"/>
        </w:rPr>
        <w:t>步法</w:t>
      </w:r>
      <w:r w:rsidRPr="000B25E0">
        <w:rPr>
          <w:rFonts w:ascii="宋体" w:eastAsia="宋体" w:hAnsi="宋体" w:cs="宋体" w:hint="eastAsia"/>
          <w:bCs/>
          <w:color w:val="000000"/>
          <w:kern w:val="0"/>
          <w:sz w:val="24"/>
        </w:rPr>
        <w:t>腿法技术。</w:t>
      </w:r>
    </w:p>
    <w:p w14:paraId="5227A391"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Calibri" w:cs="Times New Roman" w:hint="eastAsia"/>
          <w:b/>
          <w:kern w:val="0"/>
          <w:sz w:val="24"/>
        </w:rPr>
        <w:t>3.课程考核方式：</w:t>
      </w:r>
      <w:r w:rsidRPr="000B25E0">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55BAD70E"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宋体" w:cs="宋体" w:hint="eastAsia"/>
          <w:bCs/>
          <w:color w:val="000000"/>
          <w:kern w:val="0"/>
          <w:sz w:val="24"/>
        </w:rPr>
        <w:t>步法50腿法50。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4"/>
        <w:gridCol w:w="1755"/>
        <w:gridCol w:w="1756"/>
        <w:gridCol w:w="1756"/>
        <w:gridCol w:w="1756"/>
      </w:tblGrid>
      <w:tr w:rsidR="000B25E0" w:rsidRPr="000B25E0" w14:paraId="49C81020" w14:textId="77777777" w:rsidTr="00BF5EF3">
        <w:tc>
          <w:tcPr>
            <w:tcW w:w="1800" w:type="dxa"/>
          </w:tcPr>
          <w:p w14:paraId="7BD904B5"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90分以上：</w:t>
            </w:r>
          </w:p>
        </w:tc>
        <w:tc>
          <w:tcPr>
            <w:tcW w:w="1800" w:type="dxa"/>
          </w:tcPr>
          <w:p w14:paraId="4F967EAD"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80-89分：</w:t>
            </w:r>
          </w:p>
        </w:tc>
        <w:tc>
          <w:tcPr>
            <w:tcW w:w="1801" w:type="dxa"/>
          </w:tcPr>
          <w:p w14:paraId="5B86947A"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70-79分：</w:t>
            </w:r>
          </w:p>
        </w:tc>
        <w:tc>
          <w:tcPr>
            <w:tcW w:w="1801" w:type="dxa"/>
          </w:tcPr>
          <w:p w14:paraId="54FB0029"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60-69分：</w:t>
            </w:r>
          </w:p>
        </w:tc>
        <w:tc>
          <w:tcPr>
            <w:tcW w:w="1801" w:type="dxa"/>
          </w:tcPr>
          <w:p w14:paraId="3C41F7B1"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60分以下：</w:t>
            </w:r>
          </w:p>
        </w:tc>
      </w:tr>
      <w:tr w:rsidR="000B25E0" w:rsidRPr="000B25E0" w14:paraId="658899DC" w14:textId="77777777" w:rsidTr="00BF5EF3">
        <w:tc>
          <w:tcPr>
            <w:tcW w:w="1800" w:type="dxa"/>
          </w:tcPr>
          <w:p w14:paraId="1B1F78C3"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动作规范、协调有力度，技术正确，打击到位，动作力度强，连接顺畅。</w:t>
            </w:r>
          </w:p>
          <w:p w14:paraId="2168A237"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0" w:type="dxa"/>
          </w:tcPr>
          <w:p w14:paraId="4623D57F"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动作规范、协调力度稍差，技术正确，打击到位，动作力度不够，连接顺畅。</w:t>
            </w:r>
          </w:p>
          <w:p w14:paraId="67C247D8"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234B1A17"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动作规范，动作协调和力度差，技术正确，打击到位，力度不够，连接不顺畅。</w:t>
            </w:r>
          </w:p>
          <w:p w14:paraId="1334980F"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63BA37A9"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动作基本正确，动作协调性差和动作力度不够，缺乏打击力度和连贯性。</w:t>
            </w:r>
          </w:p>
          <w:p w14:paraId="79F641C8"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77468B5E"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动作不正确，技术不正确。</w:t>
            </w:r>
          </w:p>
          <w:p w14:paraId="685D7CC6"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r>
    </w:tbl>
    <w:p w14:paraId="44837645" w14:textId="77777777" w:rsidR="000B25E0" w:rsidRPr="000B25E0" w:rsidRDefault="000B25E0" w:rsidP="000B25E0">
      <w:pPr>
        <w:autoSpaceDE w:val="0"/>
        <w:autoSpaceDN w:val="0"/>
        <w:adjustRightInd w:val="0"/>
        <w:snapToGrid w:val="0"/>
        <w:spacing w:line="500" w:lineRule="exact"/>
        <w:rPr>
          <w:rFonts w:ascii="宋体" w:eastAsia="宋体" w:hAnsi="Calibri" w:cs="Times New Roman"/>
          <w:b/>
          <w:kern w:val="0"/>
          <w:sz w:val="24"/>
        </w:rPr>
      </w:pPr>
    </w:p>
    <w:p w14:paraId="025D1DBF" w14:textId="77777777" w:rsidR="000B25E0" w:rsidRPr="000B25E0" w:rsidRDefault="000B25E0" w:rsidP="000B25E0">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0B25E0">
        <w:rPr>
          <w:rFonts w:ascii="宋体" w:eastAsia="宋体" w:hAnsi="Calibri" w:cs="Times New Roman" w:hint="eastAsia"/>
          <w:b/>
          <w:kern w:val="0"/>
          <w:sz w:val="24"/>
        </w:rPr>
        <w:t>期末考试</w:t>
      </w:r>
    </w:p>
    <w:p w14:paraId="494AD259" w14:textId="77777777" w:rsidR="000B25E0" w:rsidRPr="000B25E0" w:rsidRDefault="000B25E0" w:rsidP="000B25E0">
      <w:pPr>
        <w:autoSpaceDE w:val="0"/>
        <w:autoSpaceDN w:val="0"/>
        <w:adjustRightInd w:val="0"/>
        <w:spacing w:line="500" w:lineRule="exact"/>
        <w:rPr>
          <w:rFonts w:ascii="宋体" w:eastAsia="宋体" w:hAnsi="宋体" w:cs="Arial"/>
          <w:bCs/>
          <w:color w:val="000000"/>
          <w:sz w:val="24"/>
        </w:rPr>
      </w:pPr>
      <w:r w:rsidRPr="000B25E0">
        <w:rPr>
          <w:rFonts w:ascii="宋体" w:eastAsia="宋体" w:hAnsi="宋体" w:cs="Arial" w:hint="eastAsia"/>
          <w:b/>
          <w:color w:val="000000"/>
          <w:sz w:val="24"/>
        </w:rPr>
        <w:t>1.考课程核目标：</w:t>
      </w:r>
      <w:r w:rsidRPr="000B25E0">
        <w:rPr>
          <w:rFonts w:ascii="宋体" w:eastAsia="宋体" w:hAnsi="宋体" w:cs="Arial" w:hint="eastAsia"/>
          <w:bCs/>
          <w:color w:val="000000"/>
          <w:sz w:val="24"/>
        </w:rPr>
        <w:t>通过考核检验跆拳道技术教学效果和学生掌握情况，使85%的学生达到良好水平。</w:t>
      </w:r>
    </w:p>
    <w:p w14:paraId="56746F62"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Calibri" w:cs="Times New Roman" w:hint="eastAsia"/>
          <w:b/>
          <w:kern w:val="0"/>
          <w:sz w:val="24"/>
        </w:rPr>
        <w:t>2.课程考核的内容：</w:t>
      </w:r>
      <w:r w:rsidRPr="000B25E0">
        <w:rPr>
          <w:rFonts w:ascii="宋体" w:eastAsia="宋体" w:hAnsi="宋体" w:cs="宋体" w:hint="eastAsia"/>
          <w:bCs/>
          <w:color w:val="000000"/>
          <w:kern w:val="0"/>
          <w:sz w:val="24"/>
        </w:rPr>
        <w:t>分为腿法技术和品势。</w:t>
      </w:r>
    </w:p>
    <w:p w14:paraId="4BE1E548"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Calibri" w:cs="Times New Roman" w:hint="eastAsia"/>
          <w:b/>
          <w:kern w:val="0"/>
          <w:sz w:val="24"/>
        </w:rPr>
        <w:t>3.课程考核方式：</w:t>
      </w:r>
      <w:r w:rsidRPr="000B25E0">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w:t>
      </w:r>
      <w:r w:rsidRPr="000B25E0">
        <w:rPr>
          <w:rFonts w:ascii="宋体" w:eastAsia="宋体" w:hAnsi="宋体" w:cs="宋体" w:hint="eastAsia"/>
          <w:bCs/>
          <w:color w:val="000000"/>
          <w:kern w:val="0"/>
          <w:sz w:val="24"/>
        </w:rPr>
        <w:lastRenderedPageBreak/>
        <w:t>分。</w:t>
      </w:r>
    </w:p>
    <w:p w14:paraId="3425DD77"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宋体" w:cs="宋体" w:hint="eastAsia"/>
          <w:bCs/>
          <w:color w:val="000000"/>
          <w:kern w:val="0"/>
          <w:sz w:val="24"/>
        </w:rPr>
        <w:t>腿法50分品势50分。</w:t>
      </w:r>
    </w:p>
    <w:p w14:paraId="2BADDDB2" w14:textId="77777777" w:rsidR="000B25E0" w:rsidRPr="000B25E0" w:rsidRDefault="000B25E0" w:rsidP="000B25E0">
      <w:pPr>
        <w:adjustRightInd w:val="0"/>
        <w:snapToGrid w:val="0"/>
        <w:spacing w:line="500" w:lineRule="exact"/>
        <w:jc w:val="left"/>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4"/>
        <w:gridCol w:w="1755"/>
        <w:gridCol w:w="1756"/>
        <w:gridCol w:w="1756"/>
        <w:gridCol w:w="1756"/>
      </w:tblGrid>
      <w:tr w:rsidR="000B25E0" w:rsidRPr="000B25E0" w14:paraId="4630ABA2" w14:textId="77777777" w:rsidTr="00BF5EF3">
        <w:tc>
          <w:tcPr>
            <w:tcW w:w="1800" w:type="dxa"/>
          </w:tcPr>
          <w:p w14:paraId="481EC9BC"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90分以上：</w:t>
            </w:r>
          </w:p>
        </w:tc>
        <w:tc>
          <w:tcPr>
            <w:tcW w:w="1800" w:type="dxa"/>
          </w:tcPr>
          <w:p w14:paraId="602E037E"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80-89分：</w:t>
            </w:r>
          </w:p>
        </w:tc>
        <w:tc>
          <w:tcPr>
            <w:tcW w:w="1801" w:type="dxa"/>
          </w:tcPr>
          <w:p w14:paraId="6048DC94"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70-79分：</w:t>
            </w:r>
          </w:p>
        </w:tc>
        <w:tc>
          <w:tcPr>
            <w:tcW w:w="1801" w:type="dxa"/>
          </w:tcPr>
          <w:p w14:paraId="6642F181"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60-69分：</w:t>
            </w:r>
          </w:p>
        </w:tc>
        <w:tc>
          <w:tcPr>
            <w:tcW w:w="1801" w:type="dxa"/>
          </w:tcPr>
          <w:p w14:paraId="3137D69A"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60分以下：</w:t>
            </w:r>
          </w:p>
        </w:tc>
      </w:tr>
      <w:tr w:rsidR="000B25E0" w:rsidRPr="000B25E0" w14:paraId="048DF6C4" w14:textId="77777777" w:rsidTr="00BF5EF3">
        <w:tc>
          <w:tcPr>
            <w:tcW w:w="1800" w:type="dxa"/>
          </w:tcPr>
          <w:p w14:paraId="54354FF3"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动作规范、协调有力度，技术正确，打击到位，动作力度强，连接顺畅。</w:t>
            </w:r>
          </w:p>
          <w:p w14:paraId="1C48FEE9"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0" w:type="dxa"/>
          </w:tcPr>
          <w:p w14:paraId="3767FE1F"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动作规范、协调力度稍差，技术正确，打击到位，动作力度不够，连接顺畅。</w:t>
            </w:r>
          </w:p>
          <w:p w14:paraId="2B8CBE0F"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51641446"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动作规范，动作协调和力度差，技术正确，打击到位，力度不够，连接不顺畅。</w:t>
            </w:r>
          </w:p>
          <w:p w14:paraId="076A9E92"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2051F20D"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动作基本正确，动作协调性差和动作力度不够，缺乏打击力度和连贯性。</w:t>
            </w:r>
          </w:p>
          <w:p w14:paraId="02BF9A3E"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0B8CF4DF"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动作不正确，技术不正确。</w:t>
            </w:r>
          </w:p>
          <w:p w14:paraId="399AD945"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r>
    </w:tbl>
    <w:p w14:paraId="55406510"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第四学期</w:t>
      </w:r>
    </w:p>
    <w:p w14:paraId="227208EE"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期中考试</w:t>
      </w:r>
    </w:p>
    <w:p w14:paraId="0BCD5E71" w14:textId="77777777" w:rsidR="000B25E0" w:rsidRPr="000B25E0" w:rsidRDefault="000B25E0" w:rsidP="000B25E0">
      <w:pPr>
        <w:autoSpaceDE w:val="0"/>
        <w:autoSpaceDN w:val="0"/>
        <w:adjustRightInd w:val="0"/>
        <w:spacing w:line="500" w:lineRule="exact"/>
        <w:rPr>
          <w:rFonts w:ascii="宋体" w:eastAsia="宋体" w:hAnsi="宋体" w:cs="Arial"/>
          <w:bCs/>
          <w:color w:val="000000"/>
          <w:sz w:val="24"/>
        </w:rPr>
      </w:pPr>
      <w:r w:rsidRPr="000B25E0">
        <w:rPr>
          <w:rFonts w:ascii="宋体" w:eastAsia="宋体" w:hAnsi="宋体" w:cs="Arial" w:hint="eastAsia"/>
          <w:b/>
          <w:color w:val="000000"/>
          <w:sz w:val="24"/>
        </w:rPr>
        <w:t>1.考课程核目标：</w:t>
      </w:r>
      <w:r w:rsidRPr="000B25E0">
        <w:rPr>
          <w:rFonts w:ascii="宋体" w:eastAsia="宋体" w:hAnsi="宋体" w:cs="Arial" w:hint="eastAsia"/>
          <w:bCs/>
          <w:color w:val="000000"/>
          <w:sz w:val="24"/>
        </w:rPr>
        <w:t>通过考核检验跆拳道技术教学效果和学生掌握情况，使85%的学生达到良好水平。</w:t>
      </w:r>
    </w:p>
    <w:p w14:paraId="60ACCF91"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kern w:val="0"/>
          <w:sz w:val="24"/>
        </w:rPr>
        <w:t>步法</w:t>
      </w:r>
      <w:r w:rsidRPr="000B25E0">
        <w:rPr>
          <w:rFonts w:ascii="宋体" w:eastAsia="宋体" w:hAnsi="宋体" w:cs="宋体" w:hint="eastAsia"/>
          <w:bCs/>
          <w:color w:val="000000"/>
          <w:kern w:val="0"/>
          <w:sz w:val="24"/>
        </w:rPr>
        <w:t>腿法技术。</w:t>
      </w:r>
    </w:p>
    <w:p w14:paraId="60A3E88E"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Calibri" w:cs="Times New Roman" w:hint="eastAsia"/>
          <w:b/>
          <w:kern w:val="0"/>
          <w:sz w:val="24"/>
        </w:rPr>
        <w:t>3.课程考核方式：</w:t>
      </w:r>
      <w:r w:rsidRPr="000B25E0">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0B1D8B99"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宋体" w:cs="宋体" w:hint="eastAsia"/>
          <w:bCs/>
          <w:color w:val="000000"/>
          <w:kern w:val="0"/>
          <w:sz w:val="24"/>
        </w:rPr>
        <w:t>步法50腿法50。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4"/>
        <w:gridCol w:w="1755"/>
        <w:gridCol w:w="1756"/>
        <w:gridCol w:w="1756"/>
        <w:gridCol w:w="1756"/>
      </w:tblGrid>
      <w:tr w:rsidR="000B25E0" w:rsidRPr="000B25E0" w14:paraId="05F22A7A" w14:textId="77777777" w:rsidTr="00BF5EF3">
        <w:tc>
          <w:tcPr>
            <w:tcW w:w="1800" w:type="dxa"/>
          </w:tcPr>
          <w:p w14:paraId="0781114D"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90分以上：</w:t>
            </w:r>
          </w:p>
        </w:tc>
        <w:tc>
          <w:tcPr>
            <w:tcW w:w="1800" w:type="dxa"/>
          </w:tcPr>
          <w:p w14:paraId="7D816A98"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80-89分：</w:t>
            </w:r>
          </w:p>
        </w:tc>
        <w:tc>
          <w:tcPr>
            <w:tcW w:w="1801" w:type="dxa"/>
          </w:tcPr>
          <w:p w14:paraId="68E34F30"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70-79分：</w:t>
            </w:r>
          </w:p>
        </w:tc>
        <w:tc>
          <w:tcPr>
            <w:tcW w:w="1801" w:type="dxa"/>
          </w:tcPr>
          <w:p w14:paraId="7361DBF2"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60-69分：</w:t>
            </w:r>
          </w:p>
        </w:tc>
        <w:tc>
          <w:tcPr>
            <w:tcW w:w="1801" w:type="dxa"/>
          </w:tcPr>
          <w:p w14:paraId="0C3FC841"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60分以下：</w:t>
            </w:r>
          </w:p>
        </w:tc>
      </w:tr>
      <w:tr w:rsidR="000B25E0" w:rsidRPr="000B25E0" w14:paraId="768D6A47" w14:textId="77777777" w:rsidTr="00BF5EF3">
        <w:tc>
          <w:tcPr>
            <w:tcW w:w="1800" w:type="dxa"/>
          </w:tcPr>
          <w:p w14:paraId="36543B06"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动作规范、协调有力度，技术正确，打击到位，动作力度强，连接顺</w:t>
            </w:r>
            <w:r w:rsidRPr="000B25E0">
              <w:rPr>
                <w:rFonts w:ascii="宋体" w:eastAsia="宋体" w:hAnsi="宋体" w:cs="宋体" w:hint="eastAsia"/>
                <w:bCs/>
                <w:color w:val="000000"/>
                <w:kern w:val="0"/>
                <w:sz w:val="24"/>
              </w:rPr>
              <w:lastRenderedPageBreak/>
              <w:t>畅。</w:t>
            </w:r>
          </w:p>
          <w:p w14:paraId="58693191"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0" w:type="dxa"/>
          </w:tcPr>
          <w:p w14:paraId="569F6017"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lastRenderedPageBreak/>
              <w:t>动作规范、协调力度稍差，技术正确，打击到位，动作力度不够，连</w:t>
            </w:r>
            <w:r w:rsidRPr="000B25E0">
              <w:rPr>
                <w:rFonts w:ascii="宋体" w:eastAsia="宋体" w:hAnsi="宋体" w:cs="宋体" w:hint="eastAsia"/>
                <w:bCs/>
                <w:color w:val="000000"/>
                <w:kern w:val="0"/>
                <w:sz w:val="24"/>
              </w:rPr>
              <w:lastRenderedPageBreak/>
              <w:t>接顺畅。</w:t>
            </w:r>
          </w:p>
          <w:p w14:paraId="3B363915"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2A38B598"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lastRenderedPageBreak/>
              <w:t>动作规范，动作协调和力度差，技术正确，打击到位，力度不够，连接</w:t>
            </w:r>
            <w:r w:rsidRPr="000B25E0">
              <w:rPr>
                <w:rFonts w:ascii="宋体" w:eastAsia="宋体" w:hAnsi="宋体" w:cs="宋体" w:hint="eastAsia"/>
                <w:bCs/>
                <w:color w:val="000000"/>
                <w:kern w:val="0"/>
                <w:sz w:val="24"/>
              </w:rPr>
              <w:lastRenderedPageBreak/>
              <w:t>不顺畅。</w:t>
            </w:r>
          </w:p>
          <w:p w14:paraId="5C9B4F53"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4D3F0B74"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lastRenderedPageBreak/>
              <w:t>动作基本正确，动作协调性差和动作力度不够，缺乏打击力度和连</w:t>
            </w:r>
            <w:r w:rsidRPr="000B25E0">
              <w:rPr>
                <w:rFonts w:ascii="宋体" w:eastAsia="宋体" w:hAnsi="宋体" w:cs="宋体" w:hint="eastAsia"/>
                <w:bCs/>
                <w:color w:val="000000"/>
                <w:kern w:val="0"/>
                <w:sz w:val="24"/>
              </w:rPr>
              <w:lastRenderedPageBreak/>
              <w:t>贯性。</w:t>
            </w:r>
          </w:p>
          <w:p w14:paraId="06A734FD"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801" w:type="dxa"/>
          </w:tcPr>
          <w:p w14:paraId="57A88B33"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lastRenderedPageBreak/>
              <w:t>动作不正确，技术不正确。</w:t>
            </w:r>
          </w:p>
          <w:p w14:paraId="77F113B1"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r>
    </w:tbl>
    <w:p w14:paraId="2A332519"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期末考试</w:t>
      </w:r>
    </w:p>
    <w:p w14:paraId="0722FAF0" w14:textId="77777777" w:rsidR="000B25E0" w:rsidRPr="000B25E0" w:rsidRDefault="000B25E0" w:rsidP="000B25E0">
      <w:pPr>
        <w:autoSpaceDE w:val="0"/>
        <w:autoSpaceDN w:val="0"/>
        <w:adjustRightInd w:val="0"/>
        <w:spacing w:line="500" w:lineRule="exact"/>
        <w:rPr>
          <w:rFonts w:ascii="宋体" w:eastAsia="宋体" w:hAnsi="宋体" w:cs="Arial"/>
          <w:bCs/>
          <w:color w:val="000000"/>
          <w:sz w:val="24"/>
        </w:rPr>
      </w:pPr>
      <w:r w:rsidRPr="000B25E0">
        <w:rPr>
          <w:rFonts w:ascii="宋体" w:eastAsia="宋体" w:hAnsi="宋体" w:cs="Arial" w:hint="eastAsia"/>
          <w:b/>
          <w:color w:val="000000"/>
          <w:sz w:val="24"/>
        </w:rPr>
        <w:t>1.考课程核目标：</w:t>
      </w:r>
      <w:r w:rsidRPr="000B25E0">
        <w:rPr>
          <w:rFonts w:ascii="宋体" w:eastAsia="宋体" w:hAnsi="宋体" w:cs="Arial" w:hint="eastAsia"/>
          <w:bCs/>
          <w:color w:val="000000"/>
          <w:sz w:val="24"/>
        </w:rPr>
        <w:t>通过考核检验跆拳道技术教学效果和学生掌握情况，使85%的学生达到良好水平。</w:t>
      </w:r>
    </w:p>
    <w:p w14:paraId="64018E45"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Calibri" w:cs="Times New Roman" w:hint="eastAsia"/>
          <w:b/>
          <w:kern w:val="0"/>
          <w:sz w:val="24"/>
        </w:rPr>
        <w:t>2.课程考核的内容：</w:t>
      </w:r>
      <w:r w:rsidRPr="000B25E0">
        <w:rPr>
          <w:rFonts w:ascii="宋体" w:eastAsia="宋体" w:hAnsi="宋体" w:cs="宋体" w:hint="eastAsia"/>
          <w:bCs/>
          <w:color w:val="000000"/>
          <w:kern w:val="0"/>
          <w:sz w:val="24"/>
        </w:rPr>
        <w:t>分为腿法技术和品势。</w:t>
      </w:r>
    </w:p>
    <w:p w14:paraId="2ABBD90A"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Calibri" w:cs="Times New Roman" w:hint="eastAsia"/>
          <w:b/>
          <w:kern w:val="0"/>
          <w:sz w:val="24"/>
        </w:rPr>
        <w:t>3.课程考核方式：</w:t>
      </w:r>
      <w:r w:rsidRPr="000B25E0">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038224A9"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宋体" w:cs="宋体" w:hint="eastAsia"/>
          <w:bCs/>
          <w:color w:val="000000"/>
          <w:kern w:val="0"/>
          <w:sz w:val="24"/>
        </w:rPr>
        <w:t>腿法50分品势50分。</w:t>
      </w:r>
    </w:p>
    <w:p w14:paraId="32C51A92" w14:textId="77777777" w:rsidR="000B25E0" w:rsidRPr="000B25E0" w:rsidRDefault="000B25E0" w:rsidP="000B25E0">
      <w:pPr>
        <w:adjustRightInd w:val="0"/>
        <w:snapToGrid w:val="0"/>
        <w:spacing w:line="500" w:lineRule="exact"/>
        <w:jc w:val="left"/>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1708"/>
        <w:gridCol w:w="1709"/>
        <w:gridCol w:w="1709"/>
        <w:gridCol w:w="1698"/>
      </w:tblGrid>
      <w:tr w:rsidR="000B25E0" w:rsidRPr="000B25E0" w14:paraId="046FD78F" w14:textId="77777777" w:rsidTr="00BF5EF3">
        <w:tc>
          <w:tcPr>
            <w:tcW w:w="1698" w:type="dxa"/>
          </w:tcPr>
          <w:p w14:paraId="4E992F33"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90分以上：</w:t>
            </w:r>
          </w:p>
        </w:tc>
        <w:tc>
          <w:tcPr>
            <w:tcW w:w="1708" w:type="dxa"/>
          </w:tcPr>
          <w:p w14:paraId="65B4A166"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80-89分：</w:t>
            </w:r>
          </w:p>
        </w:tc>
        <w:tc>
          <w:tcPr>
            <w:tcW w:w="1709" w:type="dxa"/>
          </w:tcPr>
          <w:p w14:paraId="5DA0B925"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70-79分：</w:t>
            </w:r>
          </w:p>
        </w:tc>
        <w:tc>
          <w:tcPr>
            <w:tcW w:w="1709" w:type="dxa"/>
          </w:tcPr>
          <w:p w14:paraId="79EB9A47"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60-69分：</w:t>
            </w:r>
          </w:p>
        </w:tc>
        <w:tc>
          <w:tcPr>
            <w:tcW w:w="1698" w:type="dxa"/>
          </w:tcPr>
          <w:p w14:paraId="5E8A8DD4"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r w:rsidRPr="000B25E0">
              <w:rPr>
                <w:rFonts w:ascii="宋体" w:eastAsia="宋体" w:hAnsi="宋体" w:cs="宋体" w:hint="eastAsia"/>
                <w:bCs/>
                <w:color w:val="000000"/>
                <w:kern w:val="0"/>
                <w:sz w:val="24"/>
              </w:rPr>
              <w:t>60分以下：</w:t>
            </w:r>
          </w:p>
        </w:tc>
      </w:tr>
      <w:tr w:rsidR="000B25E0" w:rsidRPr="000B25E0" w14:paraId="531111E3" w14:textId="77777777" w:rsidTr="00BF5EF3">
        <w:tc>
          <w:tcPr>
            <w:tcW w:w="1698" w:type="dxa"/>
          </w:tcPr>
          <w:p w14:paraId="51AD3EBF"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动作规范、协调有力度，技术正确，打击到位，动作力度强，连接顺畅。</w:t>
            </w:r>
          </w:p>
          <w:p w14:paraId="7E4D0F42"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708" w:type="dxa"/>
          </w:tcPr>
          <w:p w14:paraId="6D4F4A10"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动作规范、协调力度稍差，技术正确，打击到位，动作力度不够，连接顺畅。</w:t>
            </w:r>
          </w:p>
          <w:p w14:paraId="15D94805"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709" w:type="dxa"/>
          </w:tcPr>
          <w:p w14:paraId="4BAC9333"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动作规范，动作协调和力度差，技术正确，打击到位，力度不够，连接不顺畅。</w:t>
            </w:r>
          </w:p>
          <w:p w14:paraId="3697EBE3"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709" w:type="dxa"/>
          </w:tcPr>
          <w:p w14:paraId="7D412D91"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动作基本正确，动作协调性差和动作力度不够，缺乏打击力度和连贯性。</w:t>
            </w:r>
          </w:p>
          <w:p w14:paraId="487E062B"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c>
          <w:tcPr>
            <w:tcW w:w="1698" w:type="dxa"/>
          </w:tcPr>
          <w:p w14:paraId="25BF6814" w14:textId="77777777" w:rsidR="000B25E0" w:rsidRPr="000B25E0" w:rsidRDefault="000B25E0" w:rsidP="000B25E0">
            <w:pPr>
              <w:autoSpaceDE w:val="0"/>
              <w:autoSpaceDN w:val="0"/>
              <w:adjustRightInd w:val="0"/>
              <w:snapToGrid w:val="0"/>
              <w:spacing w:line="500" w:lineRule="exact"/>
              <w:rPr>
                <w:rFonts w:ascii="宋体" w:eastAsia="宋体" w:hAnsi="宋体" w:cs="宋体"/>
                <w:bCs/>
                <w:color w:val="000000"/>
                <w:kern w:val="0"/>
                <w:sz w:val="24"/>
              </w:rPr>
            </w:pPr>
            <w:r w:rsidRPr="000B25E0">
              <w:rPr>
                <w:rFonts w:ascii="宋体" w:eastAsia="宋体" w:hAnsi="宋体" w:cs="宋体" w:hint="eastAsia"/>
                <w:bCs/>
                <w:color w:val="000000"/>
                <w:kern w:val="0"/>
                <w:sz w:val="24"/>
              </w:rPr>
              <w:t>动作不正确，技术不正确。</w:t>
            </w:r>
          </w:p>
          <w:p w14:paraId="3B08938B" w14:textId="77777777" w:rsidR="000B25E0" w:rsidRPr="000B25E0" w:rsidRDefault="000B25E0" w:rsidP="000B25E0">
            <w:pPr>
              <w:autoSpaceDE w:val="0"/>
              <w:autoSpaceDN w:val="0"/>
              <w:adjustRightInd w:val="0"/>
              <w:snapToGrid w:val="0"/>
              <w:spacing w:line="500" w:lineRule="exact"/>
              <w:rPr>
                <w:rFonts w:ascii="宋体" w:eastAsia="宋体" w:hAnsi="宋体" w:cs="Arial"/>
                <w:b/>
                <w:color w:val="000000"/>
                <w:sz w:val="24"/>
              </w:rPr>
            </w:pPr>
          </w:p>
        </w:tc>
      </w:tr>
    </w:tbl>
    <w:p w14:paraId="50E81BDD"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六、使用教材、相关推荐书目及课程资源</w:t>
      </w:r>
    </w:p>
    <w:p w14:paraId="7381C46D" w14:textId="77777777" w:rsidR="000B25E0" w:rsidRPr="000B25E0" w:rsidRDefault="000B25E0" w:rsidP="000B25E0">
      <w:pPr>
        <w:spacing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（一）使用教材</w:t>
      </w:r>
    </w:p>
    <w:p w14:paraId="54596CF4" w14:textId="77777777" w:rsidR="000B25E0" w:rsidRPr="000B25E0" w:rsidRDefault="000B25E0" w:rsidP="000B25E0">
      <w:pPr>
        <w:autoSpaceDE w:val="0"/>
        <w:autoSpaceDN w:val="0"/>
        <w:adjustRightInd w:val="0"/>
        <w:snapToGrid w:val="0"/>
        <w:spacing w:line="500" w:lineRule="exact"/>
        <w:ind w:firstLineChars="300" w:firstLine="720"/>
        <w:rPr>
          <w:rFonts w:ascii="宋体" w:eastAsia="宋体" w:hAnsi="宋体" w:cs="宋体"/>
          <w:kern w:val="0"/>
          <w:sz w:val="24"/>
        </w:rPr>
      </w:pPr>
      <w:r w:rsidRPr="000B25E0">
        <w:rPr>
          <w:rFonts w:ascii="宋体" w:eastAsia="宋体" w:hAnsi="宋体" w:cs="宋体" w:hint="eastAsia"/>
          <w:kern w:val="0"/>
          <w:sz w:val="24"/>
        </w:rPr>
        <w:t>任晋军主编：《当代大学体育教程》，北京体育大学出版社，2008</w:t>
      </w:r>
    </w:p>
    <w:p w14:paraId="05B5A117" w14:textId="77777777" w:rsidR="000B25E0" w:rsidRPr="000B25E0" w:rsidRDefault="000B25E0" w:rsidP="000B25E0">
      <w:pPr>
        <w:autoSpaceDE w:val="0"/>
        <w:autoSpaceDN w:val="0"/>
        <w:adjustRightInd w:val="0"/>
        <w:snapToGrid w:val="0"/>
        <w:spacing w:line="500" w:lineRule="exact"/>
        <w:ind w:firstLineChars="300" w:firstLine="750"/>
        <w:rPr>
          <w:rFonts w:ascii="宋体" w:eastAsia="宋体" w:hAnsi="宋体" w:cs="Times New Roman"/>
          <w:color w:val="FF0000"/>
          <w:sz w:val="24"/>
        </w:rPr>
      </w:pPr>
      <w:r w:rsidRPr="000B25E0">
        <w:rPr>
          <w:rFonts w:ascii="宋体" w:eastAsia="宋体" w:hAnsi="Calibri" w:cs="宋体" w:hint="eastAsia"/>
          <w:spacing w:val="5"/>
          <w:kern w:val="0"/>
          <w:sz w:val="24"/>
        </w:rPr>
        <w:t>刘伟军主编：《跆拳道》，北京体育大学出版社，2006年8</w:t>
      </w:r>
    </w:p>
    <w:p w14:paraId="23F197AB" w14:textId="77777777" w:rsidR="000B25E0" w:rsidRPr="000B25E0" w:rsidRDefault="000B25E0" w:rsidP="000B25E0">
      <w:pPr>
        <w:spacing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（二）相关推荐书目</w:t>
      </w:r>
    </w:p>
    <w:p w14:paraId="06544A53"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w:t>
      </w:r>
      <w:r w:rsidRPr="000B25E0">
        <w:rPr>
          <w:rFonts w:ascii="宋体" w:eastAsia="宋体" w:hAnsi="宋体" w:cs="Times New Roman"/>
          <w:sz w:val="24"/>
        </w:rPr>
        <w:t xml:space="preserve">. </w:t>
      </w:r>
      <w:r w:rsidRPr="000B25E0">
        <w:rPr>
          <w:rFonts w:ascii="宋体" w:eastAsia="宋体" w:hAnsi="宋体" w:cs="宋体" w:hint="eastAsia"/>
          <w:kern w:val="0"/>
          <w:sz w:val="24"/>
        </w:rPr>
        <w:t>刘建国主编：《当代大学体育与健身》，高教出版社，2008</w:t>
      </w:r>
    </w:p>
    <w:p w14:paraId="6AB40567" w14:textId="77777777" w:rsidR="000B25E0" w:rsidRPr="000B25E0" w:rsidRDefault="000B25E0" w:rsidP="000B25E0">
      <w:pPr>
        <w:autoSpaceDE w:val="0"/>
        <w:autoSpaceDN w:val="0"/>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w:t>
      </w:r>
      <w:r w:rsidRPr="000B25E0">
        <w:rPr>
          <w:rFonts w:ascii="宋体" w:eastAsia="宋体" w:hAnsi="宋体" w:cs="Times New Roman"/>
          <w:sz w:val="24"/>
        </w:rPr>
        <w:t xml:space="preserve">. </w:t>
      </w:r>
      <w:r w:rsidRPr="000B25E0">
        <w:rPr>
          <w:rFonts w:ascii="宋体" w:eastAsia="宋体" w:hAnsi="宋体" w:cs="宋体" w:hint="eastAsia"/>
          <w:kern w:val="0"/>
          <w:sz w:val="24"/>
        </w:rPr>
        <w:t>全国体育学院教材委员会审定：《体育与健康理论指导手册》，人民体育出版社，2014</w:t>
      </w:r>
    </w:p>
    <w:p w14:paraId="1740238D"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lastRenderedPageBreak/>
        <w:t>（三）课程资源</w:t>
      </w:r>
    </w:p>
    <w:p w14:paraId="12A0979D" w14:textId="77777777" w:rsidR="000B25E0" w:rsidRPr="000B25E0" w:rsidRDefault="000B25E0" w:rsidP="000B25E0">
      <w:pPr>
        <w:spacing w:line="44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35E52F23"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七、课程大纲制定依据</w:t>
      </w:r>
    </w:p>
    <w:p w14:paraId="344E2809"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本课程大纲依据2023年人才培养方案</w:t>
      </w:r>
      <w:r w:rsidR="002E4147">
        <w:rPr>
          <w:rFonts w:ascii="宋体" w:eastAsia="宋体" w:hAnsi="宋体" w:cs="Times New Roman" w:hint="eastAsia"/>
          <w:sz w:val="24"/>
        </w:rPr>
        <w:t>药物分析专业</w:t>
      </w:r>
      <w:r w:rsidRPr="000B25E0">
        <w:rPr>
          <w:rFonts w:ascii="宋体" w:eastAsia="宋体" w:hAnsi="宋体" w:cs="Times New Roman" w:hint="eastAsia"/>
          <w:sz w:val="24"/>
        </w:rPr>
        <w:t>制定。</w:t>
      </w:r>
    </w:p>
    <w:p w14:paraId="35629E56" w14:textId="77777777" w:rsidR="000B25E0" w:rsidRDefault="000B25E0" w:rsidP="000B25E0">
      <w:pPr>
        <w:rPr>
          <w:rFonts w:ascii="Calibri" w:eastAsia="宋体" w:hAnsi="Calibri" w:cs="Times New Roman"/>
          <w:bCs/>
          <w:lang w:val="zh-CN"/>
        </w:rPr>
      </w:pPr>
    </w:p>
    <w:p w14:paraId="23612482" w14:textId="77777777" w:rsidR="006D6C0A" w:rsidRDefault="006D6C0A" w:rsidP="000B25E0">
      <w:pPr>
        <w:rPr>
          <w:rFonts w:ascii="Calibri" w:eastAsia="宋体" w:hAnsi="Calibri" w:cs="Times New Roman"/>
          <w:bCs/>
          <w:lang w:val="zh-CN"/>
        </w:rPr>
      </w:pPr>
    </w:p>
    <w:p w14:paraId="04AB697D" w14:textId="77777777" w:rsidR="00895319" w:rsidRDefault="00895319">
      <w:pPr>
        <w:widowControl/>
        <w:jc w:val="left"/>
        <w:rPr>
          <w:rFonts w:ascii="Calibri" w:eastAsia="宋体" w:hAnsi="Calibri" w:cs="Times New Roman"/>
          <w:bCs/>
          <w:lang w:val="zh-CN"/>
        </w:rPr>
      </w:pPr>
      <w:r>
        <w:rPr>
          <w:rFonts w:ascii="Calibri" w:eastAsia="宋体" w:hAnsi="Calibri" w:cs="Times New Roman"/>
          <w:bCs/>
          <w:lang w:val="zh-CN"/>
        </w:rPr>
        <w:br w:type="page"/>
      </w:r>
    </w:p>
    <w:p w14:paraId="236A6F2A" w14:textId="6F5AACFD" w:rsidR="000B25E0" w:rsidRPr="000B25E0" w:rsidRDefault="000B25E0" w:rsidP="000B25E0">
      <w:pPr>
        <w:spacing w:beforeLines="100" w:before="312" w:afterLines="100" w:after="312" w:line="440" w:lineRule="exact"/>
        <w:jc w:val="center"/>
        <w:rPr>
          <w:rFonts w:ascii="黑体" w:eastAsia="黑体" w:hAnsi="黑体" w:cs="Times New Roman"/>
          <w:bCs/>
          <w:sz w:val="36"/>
          <w:szCs w:val="36"/>
        </w:rPr>
      </w:pPr>
      <w:r w:rsidRPr="000B25E0">
        <w:rPr>
          <w:rFonts w:ascii="黑体" w:eastAsia="黑体" w:hAnsi="黑体" w:cs="Times New Roman" w:hint="eastAsia"/>
          <w:bCs/>
          <w:sz w:val="36"/>
          <w:szCs w:val="36"/>
        </w:rPr>
        <w:lastRenderedPageBreak/>
        <w:t>《轮滑》课程大纲</w:t>
      </w:r>
    </w:p>
    <w:p w14:paraId="4537570E"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0B25E0" w:rsidRPr="000B25E0" w14:paraId="6FBD3E68" w14:textId="77777777" w:rsidTr="00BF5EF3">
        <w:trPr>
          <w:trHeight w:val="886"/>
          <w:jc w:val="center"/>
        </w:trPr>
        <w:tc>
          <w:tcPr>
            <w:tcW w:w="1581" w:type="dxa"/>
            <w:vAlign w:val="center"/>
          </w:tcPr>
          <w:p w14:paraId="771381C9"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课程名称</w:t>
            </w:r>
          </w:p>
        </w:tc>
        <w:tc>
          <w:tcPr>
            <w:tcW w:w="2662" w:type="dxa"/>
            <w:vAlign w:val="center"/>
          </w:tcPr>
          <w:p w14:paraId="4266E3B8"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轮滑</w:t>
            </w:r>
          </w:p>
        </w:tc>
        <w:tc>
          <w:tcPr>
            <w:tcW w:w="1482" w:type="dxa"/>
            <w:vAlign w:val="center"/>
          </w:tcPr>
          <w:p w14:paraId="003AF2AC"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课程代码</w:t>
            </w:r>
          </w:p>
        </w:tc>
        <w:tc>
          <w:tcPr>
            <w:tcW w:w="2797" w:type="dxa"/>
            <w:vAlign w:val="center"/>
          </w:tcPr>
          <w:p w14:paraId="707C6861"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091050</w:t>
            </w:r>
          </w:p>
        </w:tc>
      </w:tr>
      <w:tr w:rsidR="000B25E0" w:rsidRPr="000B25E0" w14:paraId="40536D5C" w14:textId="77777777" w:rsidTr="00BF5EF3">
        <w:trPr>
          <w:trHeight w:val="829"/>
          <w:jc w:val="center"/>
        </w:trPr>
        <w:tc>
          <w:tcPr>
            <w:tcW w:w="1581" w:type="dxa"/>
            <w:vAlign w:val="center"/>
          </w:tcPr>
          <w:p w14:paraId="4A101D08"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课程类别</w:t>
            </w:r>
          </w:p>
        </w:tc>
        <w:tc>
          <w:tcPr>
            <w:tcW w:w="2662" w:type="dxa"/>
            <w:vAlign w:val="center"/>
          </w:tcPr>
          <w:p w14:paraId="6736A27B"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公共必修课程</w:t>
            </w:r>
          </w:p>
        </w:tc>
        <w:tc>
          <w:tcPr>
            <w:tcW w:w="1482" w:type="dxa"/>
            <w:vAlign w:val="center"/>
          </w:tcPr>
          <w:p w14:paraId="36043C13"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学时</w:t>
            </w:r>
          </w:p>
          <w:p w14:paraId="5B81744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/学分</w:t>
            </w:r>
          </w:p>
        </w:tc>
        <w:tc>
          <w:tcPr>
            <w:tcW w:w="2797" w:type="dxa"/>
            <w:vAlign w:val="center"/>
          </w:tcPr>
          <w:p w14:paraId="1055A2CE"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144/4</w:t>
            </w:r>
          </w:p>
        </w:tc>
      </w:tr>
      <w:tr w:rsidR="000B25E0" w:rsidRPr="000B25E0" w14:paraId="1219A3D6" w14:textId="77777777" w:rsidTr="00BF5EF3">
        <w:trPr>
          <w:trHeight w:val="811"/>
          <w:jc w:val="center"/>
        </w:trPr>
        <w:tc>
          <w:tcPr>
            <w:tcW w:w="1581" w:type="dxa"/>
            <w:vAlign w:val="center"/>
          </w:tcPr>
          <w:p w14:paraId="5B9748EC"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开课单位</w:t>
            </w:r>
          </w:p>
        </w:tc>
        <w:tc>
          <w:tcPr>
            <w:tcW w:w="2662" w:type="dxa"/>
            <w:vAlign w:val="center"/>
          </w:tcPr>
          <w:p w14:paraId="55D57228"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sz w:val="24"/>
              </w:rPr>
              <w:t>石家庄学院体育学院</w:t>
            </w:r>
          </w:p>
        </w:tc>
        <w:tc>
          <w:tcPr>
            <w:tcW w:w="1482" w:type="dxa"/>
            <w:vAlign w:val="center"/>
          </w:tcPr>
          <w:p w14:paraId="78893C0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适用专业</w:t>
            </w:r>
          </w:p>
        </w:tc>
        <w:tc>
          <w:tcPr>
            <w:tcW w:w="2797" w:type="dxa"/>
            <w:vAlign w:val="center"/>
          </w:tcPr>
          <w:p w14:paraId="43CFB32D" w14:textId="77777777" w:rsidR="000B25E0" w:rsidRPr="000B25E0" w:rsidRDefault="006D6C0A" w:rsidP="000B25E0">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0B25E0" w:rsidRPr="000B25E0" w14:paraId="7616442E" w14:textId="77777777" w:rsidTr="00BF5EF3">
        <w:trPr>
          <w:trHeight w:val="811"/>
          <w:jc w:val="center"/>
        </w:trPr>
        <w:tc>
          <w:tcPr>
            <w:tcW w:w="1581" w:type="dxa"/>
            <w:vAlign w:val="center"/>
          </w:tcPr>
          <w:p w14:paraId="7CAEFE16"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课程负责人</w:t>
            </w:r>
          </w:p>
        </w:tc>
        <w:tc>
          <w:tcPr>
            <w:tcW w:w="6941" w:type="dxa"/>
            <w:gridSpan w:val="3"/>
            <w:vAlign w:val="center"/>
          </w:tcPr>
          <w:p w14:paraId="60569EC8"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王东生、赵</w:t>
            </w:r>
            <w:proofErr w:type="gramStart"/>
            <w:r w:rsidRPr="000B25E0">
              <w:rPr>
                <w:rFonts w:ascii="宋体" w:eastAsia="宋体" w:hAnsi="宋体" w:cs="Times New Roman" w:hint="eastAsia"/>
                <w:sz w:val="24"/>
              </w:rPr>
              <w:t>喆</w:t>
            </w:r>
            <w:proofErr w:type="gramEnd"/>
          </w:p>
        </w:tc>
      </w:tr>
      <w:tr w:rsidR="000B25E0" w:rsidRPr="000B25E0" w14:paraId="4BA6EC64" w14:textId="77777777" w:rsidTr="00BF5EF3">
        <w:trPr>
          <w:trHeight w:val="836"/>
          <w:jc w:val="center"/>
        </w:trPr>
        <w:tc>
          <w:tcPr>
            <w:tcW w:w="1581" w:type="dxa"/>
            <w:vAlign w:val="center"/>
          </w:tcPr>
          <w:p w14:paraId="4F429DA2"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大纲撰写人</w:t>
            </w:r>
          </w:p>
        </w:tc>
        <w:tc>
          <w:tcPr>
            <w:tcW w:w="2662" w:type="dxa"/>
            <w:vAlign w:val="center"/>
          </w:tcPr>
          <w:p w14:paraId="49A632AF"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王东生</w:t>
            </w:r>
          </w:p>
        </w:tc>
        <w:tc>
          <w:tcPr>
            <w:tcW w:w="1482" w:type="dxa"/>
            <w:vAlign w:val="center"/>
          </w:tcPr>
          <w:p w14:paraId="07F32D75"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大纲审核人</w:t>
            </w:r>
          </w:p>
        </w:tc>
        <w:tc>
          <w:tcPr>
            <w:tcW w:w="2797" w:type="dxa"/>
            <w:vAlign w:val="center"/>
          </w:tcPr>
          <w:p w14:paraId="172398BB" w14:textId="77777777" w:rsidR="000B25E0" w:rsidRPr="000B25E0" w:rsidRDefault="000B25E0" w:rsidP="000B25E0">
            <w:pPr>
              <w:spacing w:line="440" w:lineRule="exact"/>
              <w:jc w:val="center"/>
              <w:rPr>
                <w:rFonts w:ascii="宋体" w:eastAsia="宋体" w:hAnsi="宋体" w:cs="Times New Roman"/>
                <w:sz w:val="24"/>
              </w:rPr>
            </w:pPr>
            <w:proofErr w:type="gramStart"/>
            <w:r w:rsidRPr="000B25E0">
              <w:rPr>
                <w:rFonts w:ascii="宋体" w:eastAsia="宋体" w:hAnsi="宋体" w:cs="Times New Roman" w:hint="eastAsia"/>
                <w:sz w:val="24"/>
              </w:rPr>
              <w:t>左健</w:t>
            </w:r>
            <w:proofErr w:type="gramEnd"/>
          </w:p>
        </w:tc>
      </w:tr>
      <w:tr w:rsidR="000B25E0" w:rsidRPr="000B25E0" w14:paraId="459BFD11" w14:textId="77777777" w:rsidTr="00BF5EF3">
        <w:trPr>
          <w:trHeight w:val="848"/>
          <w:jc w:val="center"/>
        </w:trPr>
        <w:tc>
          <w:tcPr>
            <w:tcW w:w="1581" w:type="dxa"/>
            <w:vAlign w:val="center"/>
          </w:tcPr>
          <w:p w14:paraId="5DC7837B"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先修课程</w:t>
            </w:r>
          </w:p>
        </w:tc>
        <w:tc>
          <w:tcPr>
            <w:tcW w:w="6941" w:type="dxa"/>
            <w:gridSpan w:val="3"/>
            <w:vAlign w:val="center"/>
          </w:tcPr>
          <w:p w14:paraId="4A0BE6A4" w14:textId="77777777" w:rsidR="000B25E0" w:rsidRPr="000B25E0" w:rsidRDefault="000B25E0" w:rsidP="000B25E0">
            <w:pPr>
              <w:spacing w:line="440" w:lineRule="exact"/>
              <w:jc w:val="center"/>
              <w:rPr>
                <w:rFonts w:ascii="宋体" w:eastAsia="宋体" w:hAnsi="宋体" w:cs="Times New Roman"/>
                <w:sz w:val="24"/>
              </w:rPr>
            </w:pPr>
          </w:p>
        </w:tc>
      </w:tr>
      <w:tr w:rsidR="000B25E0" w:rsidRPr="000B25E0" w14:paraId="1464A127" w14:textId="77777777" w:rsidTr="00BF5EF3">
        <w:trPr>
          <w:trHeight w:val="848"/>
          <w:jc w:val="center"/>
        </w:trPr>
        <w:tc>
          <w:tcPr>
            <w:tcW w:w="1581" w:type="dxa"/>
            <w:vAlign w:val="center"/>
          </w:tcPr>
          <w:p w14:paraId="0C4846B4"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课程网址</w:t>
            </w:r>
          </w:p>
        </w:tc>
        <w:tc>
          <w:tcPr>
            <w:tcW w:w="6941" w:type="dxa"/>
            <w:gridSpan w:val="3"/>
            <w:vAlign w:val="center"/>
          </w:tcPr>
          <w:p w14:paraId="4BCD0C7B" w14:textId="77777777" w:rsidR="000B25E0" w:rsidRPr="000B25E0" w:rsidRDefault="000B25E0" w:rsidP="000B25E0">
            <w:pPr>
              <w:spacing w:line="440" w:lineRule="exact"/>
              <w:rPr>
                <w:rFonts w:ascii="宋体" w:eastAsia="宋体" w:hAnsi="宋体" w:cs="Times New Roman"/>
                <w:color w:val="FF0000"/>
                <w:sz w:val="24"/>
              </w:rPr>
            </w:pPr>
          </w:p>
        </w:tc>
      </w:tr>
    </w:tbl>
    <w:p w14:paraId="7387202B"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二、课程学习目标及与毕业要求的对应关系</w:t>
      </w:r>
    </w:p>
    <w:p w14:paraId="21EA0B02"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（一）课程学习目标</w:t>
      </w:r>
    </w:p>
    <w:p w14:paraId="2AB50918"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通过本课程的学习，使学生达到以下目标：</w:t>
      </w:r>
    </w:p>
    <w:p w14:paraId="7E2AAE7D"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4674EA45"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0E4C3276"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仿宋_GB2312" w:hint="eastAsia"/>
          <w:sz w:val="24"/>
        </w:rPr>
        <w:lastRenderedPageBreak/>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1C3880BB"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0B25E0" w:rsidRPr="000B25E0" w14:paraId="5E93E458" w14:textId="77777777" w:rsidTr="00BF5EF3">
        <w:trPr>
          <w:trHeight w:val="815"/>
          <w:jc w:val="center"/>
        </w:trPr>
        <w:tc>
          <w:tcPr>
            <w:tcW w:w="1566" w:type="dxa"/>
            <w:vAlign w:val="center"/>
          </w:tcPr>
          <w:p w14:paraId="3EAF51B0"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毕业要求</w:t>
            </w:r>
          </w:p>
        </w:tc>
        <w:tc>
          <w:tcPr>
            <w:tcW w:w="6237" w:type="dxa"/>
            <w:vAlign w:val="center"/>
          </w:tcPr>
          <w:p w14:paraId="66DD98EA"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毕业要求指标点</w:t>
            </w:r>
          </w:p>
        </w:tc>
        <w:tc>
          <w:tcPr>
            <w:tcW w:w="1366" w:type="dxa"/>
            <w:vAlign w:val="center"/>
          </w:tcPr>
          <w:p w14:paraId="5E4029E3"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课程目标</w:t>
            </w:r>
          </w:p>
        </w:tc>
      </w:tr>
      <w:tr w:rsidR="000B25E0" w:rsidRPr="000B25E0" w14:paraId="1D357EFB" w14:textId="77777777" w:rsidTr="00BF5EF3">
        <w:trPr>
          <w:jc w:val="center"/>
        </w:trPr>
        <w:tc>
          <w:tcPr>
            <w:tcW w:w="1566" w:type="dxa"/>
            <w:vAlign w:val="center"/>
          </w:tcPr>
          <w:p w14:paraId="6AABFFF9"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职业规范</w:t>
            </w:r>
            <w:r w:rsidRPr="000B25E0">
              <w:rPr>
                <w:rFonts w:ascii="宋体" w:eastAsia="宋体" w:hAnsi="宋体" w:cs="Times New Roman"/>
                <w:sz w:val="24"/>
              </w:rPr>
              <w:t>（</w:t>
            </w:r>
            <w:r w:rsidRPr="000B25E0">
              <w:rPr>
                <w:rFonts w:ascii="宋体" w:eastAsia="宋体" w:hAnsi="宋体" w:cs="Times New Roman" w:hint="eastAsia"/>
                <w:sz w:val="24"/>
              </w:rPr>
              <w:t>M</w:t>
            </w:r>
            <w:r w:rsidRPr="000B25E0">
              <w:rPr>
                <w:rFonts w:ascii="宋体" w:eastAsia="宋体" w:hAnsi="宋体" w:cs="Times New Roman"/>
                <w:sz w:val="24"/>
              </w:rPr>
              <w:t>）</w:t>
            </w:r>
          </w:p>
        </w:tc>
        <w:tc>
          <w:tcPr>
            <w:tcW w:w="6237" w:type="dxa"/>
            <w:vAlign w:val="center"/>
          </w:tcPr>
          <w:p w14:paraId="6387E4E6" w14:textId="77777777" w:rsidR="000B25E0" w:rsidRPr="000B25E0" w:rsidRDefault="000B25E0" w:rsidP="000B25E0">
            <w:pPr>
              <w:spacing w:line="440" w:lineRule="exact"/>
              <w:rPr>
                <w:rFonts w:ascii="宋体" w:eastAsia="宋体" w:hAnsi="宋体" w:cs="仿宋_GB2312"/>
                <w:sz w:val="24"/>
              </w:rPr>
            </w:pPr>
          </w:p>
          <w:p w14:paraId="6F65258A" w14:textId="77777777" w:rsidR="000B25E0" w:rsidRPr="000B25E0" w:rsidRDefault="000B25E0" w:rsidP="000B25E0">
            <w:pPr>
              <w:spacing w:line="440" w:lineRule="exact"/>
              <w:rPr>
                <w:rFonts w:ascii="宋体" w:eastAsia="宋体" w:hAnsi="宋体" w:cs="仿宋_GB2312"/>
                <w:sz w:val="24"/>
              </w:rPr>
            </w:pPr>
          </w:p>
          <w:p w14:paraId="165E251C" w14:textId="77777777" w:rsidR="000B25E0" w:rsidRPr="000B25E0" w:rsidRDefault="000B25E0" w:rsidP="000B25E0">
            <w:pPr>
              <w:spacing w:line="440" w:lineRule="exact"/>
              <w:rPr>
                <w:rFonts w:ascii="宋体" w:eastAsia="宋体" w:hAnsi="宋体" w:cs="Times New Roman"/>
                <w:sz w:val="24"/>
              </w:rPr>
            </w:pPr>
          </w:p>
        </w:tc>
        <w:tc>
          <w:tcPr>
            <w:tcW w:w="1366" w:type="dxa"/>
            <w:vAlign w:val="center"/>
          </w:tcPr>
          <w:p w14:paraId="34C24DF5" w14:textId="77777777" w:rsidR="000B25E0" w:rsidRPr="000B25E0" w:rsidRDefault="000B25E0" w:rsidP="000B25E0">
            <w:pPr>
              <w:spacing w:line="440" w:lineRule="exact"/>
              <w:rPr>
                <w:rFonts w:ascii="宋体" w:eastAsia="宋体" w:hAnsi="宋体" w:cs="Times New Roman"/>
                <w:sz w:val="24"/>
              </w:rPr>
            </w:pPr>
            <w:r w:rsidRPr="000B25E0">
              <w:rPr>
                <w:rFonts w:ascii="宋体" w:eastAsia="宋体" w:hAnsi="宋体" w:cs="Times New Roman" w:hint="eastAsia"/>
                <w:sz w:val="24"/>
              </w:rPr>
              <w:t>课程目标1</w:t>
            </w:r>
          </w:p>
        </w:tc>
      </w:tr>
      <w:tr w:rsidR="000B25E0" w:rsidRPr="000B25E0" w14:paraId="0C8427F2" w14:textId="77777777" w:rsidTr="00BF5EF3">
        <w:trPr>
          <w:jc w:val="center"/>
        </w:trPr>
        <w:tc>
          <w:tcPr>
            <w:tcW w:w="1566" w:type="dxa"/>
            <w:vAlign w:val="center"/>
          </w:tcPr>
          <w:p w14:paraId="285527E5"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沟通</w:t>
            </w:r>
            <w:r w:rsidRPr="000B25E0">
              <w:rPr>
                <w:rFonts w:ascii="宋体" w:eastAsia="宋体" w:hAnsi="宋体" w:cs="Times New Roman"/>
                <w:sz w:val="24"/>
              </w:rPr>
              <w:t>（</w:t>
            </w:r>
            <w:r w:rsidRPr="000B25E0">
              <w:rPr>
                <w:rFonts w:ascii="宋体" w:eastAsia="宋体" w:hAnsi="宋体" w:cs="Times New Roman" w:hint="eastAsia"/>
                <w:sz w:val="24"/>
              </w:rPr>
              <w:t>M</w:t>
            </w:r>
            <w:r w:rsidRPr="000B25E0">
              <w:rPr>
                <w:rFonts w:ascii="宋体" w:eastAsia="宋体" w:hAnsi="宋体" w:cs="Times New Roman"/>
                <w:sz w:val="24"/>
              </w:rPr>
              <w:t>）</w:t>
            </w:r>
          </w:p>
        </w:tc>
        <w:tc>
          <w:tcPr>
            <w:tcW w:w="6237" w:type="dxa"/>
            <w:vAlign w:val="center"/>
          </w:tcPr>
          <w:p w14:paraId="65E84552" w14:textId="77777777" w:rsidR="000B25E0" w:rsidRPr="000B25E0" w:rsidRDefault="000B25E0" w:rsidP="000B25E0">
            <w:pPr>
              <w:spacing w:line="440" w:lineRule="exact"/>
              <w:rPr>
                <w:rFonts w:ascii="宋体" w:eastAsia="宋体" w:hAnsi="宋体" w:cs="Times New Roman"/>
                <w:sz w:val="24"/>
              </w:rPr>
            </w:pPr>
          </w:p>
          <w:p w14:paraId="1AB83F6C" w14:textId="77777777" w:rsidR="000B25E0" w:rsidRPr="000B25E0" w:rsidRDefault="000B25E0" w:rsidP="000B25E0">
            <w:pPr>
              <w:spacing w:line="440" w:lineRule="exact"/>
              <w:rPr>
                <w:rFonts w:ascii="宋体" w:eastAsia="宋体" w:hAnsi="宋体" w:cs="Times New Roman"/>
                <w:sz w:val="24"/>
              </w:rPr>
            </w:pPr>
          </w:p>
          <w:p w14:paraId="2965C38A" w14:textId="77777777" w:rsidR="000B25E0" w:rsidRPr="000B25E0" w:rsidRDefault="000B25E0" w:rsidP="000B25E0">
            <w:pPr>
              <w:spacing w:line="440" w:lineRule="exact"/>
              <w:rPr>
                <w:rFonts w:ascii="宋体" w:eastAsia="宋体" w:hAnsi="宋体" w:cs="Times New Roman"/>
                <w:sz w:val="24"/>
              </w:rPr>
            </w:pPr>
          </w:p>
        </w:tc>
        <w:tc>
          <w:tcPr>
            <w:tcW w:w="1366" w:type="dxa"/>
            <w:vAlign w:val="center"/>
          </w:tcPr>
          <w:p w14:paraId="400B4C8A" w14:textId="77777777" w:rsidR="000B25E0" w:rsidRPr="000B25E0" w:rsidRDefault="000B25E0" w:rsidP="000B25E0">
            <w:pPr>
              <w:spacing w:line="440" w:lineRule="exact"/>
              <w:rPr>
                <w:rFonts w:ascii="宋体" w:eastAsia="宋体" w:hAnsi="宋体" w:cs="仿宋_GB2312"/>
                <w:sz w:val="24"/>
              </w:rPr>
            </w:pPr>
            <w:r w:rsidRPr="000B25E0">
              <w:rPr>
                <w:rFonts w:ascii="宋体" w:eastAsia="宋体" w:hAnsi="宋体" w:cs="Times New Roman" w:hint="eastAsia"/>
                <w:sz w:val="24"/>
              </w:rPr>
              <w:t>课程目标</w:t>
            </w:r>
            <w:r w:rsidRPr="000B25E0">
              <w:rPr>
                <w:rFonts w:ascii="宋体" w:eastAsia="宋体" w:hAnsi="宋体" w:cs="Times New Roman"/>
                <w:sz w:val="24"/>
              </w:rPr>
              <w:t>2</w:t>
            </w:r>
          </w:p>
        </w:tc>
      </w:tr>
      <w:tr w:rsidR="000B25E0" w:rsidRPr="000B25E0" w14:paraId="599DA3BF" w14:textId="77777777" w:rsidTr="00BF5EF3">
        <w:trPr>
          <w:jc w:val="center"/>
        </w:trPr>
        <w:tc>
          <w:tcPr>
            <w:tcW w:w="1566" w:type="dxa"/>
            <w:vAlign w:val="center"/>
          </w:tcPr>
          <w:p w14:paraId="44FD3246"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终身学习</w:t>
            </w:r>
            <w:r w:rsidRPr="000B25E0">
              <w:rPr>
                <w:rFonts w:ascii="宋体" w:eastAsia="宋体" w:hAnsi="宋体" w:cs="Times New Roman"/>
                <w:sz w:val="24"/>
              </w:rPr>
              <w:t>（</w:t>
            </w:r>
            <w:r w:rsidRPr="000B25E0">
              <w:rPr>
                <w:rFonts w:ascii="宋体" w:eastAsia="宋体" w:hAnsi="宋体" w:cs="Times New Roman" w:hint="eastAsia"/>
                <w:sz w:val="24"/>
              </w:rPr>
              <w:t>H</w:t>
            </w:r>
            <w:r w:rsidRPr="000B25E0">
              <w:rPr>
                <w:rFonts w:ascii="宋体" w:eastAsia="宋体" w:hAnsi="宋体" w:cs="Times New Roman"/>
                <w:sz w:val="24"/>
              </w:rPr>
              <w:t>）</w:t>
            </w:r>
          </w:p>
        </w:tc>
        <w:tc>
          <w:tcPr>
            <w:tcW w:w="6237" w:type="dxa"/>
            <w:vAlign w:val="center"/>
          </w:tcPr>
          <w:p w14:paraId="407E8C95" w14:textId="77777777" w:rsidR="000B25E0" w:rsidRPr="000B25E0" w:rsidRDefault="000B25E0" w:rsidP="000B25E0">
            <w:pPr>
              <w:spacing w:line="440" w:lineRule="exact"/>
              <w:rPr>
                <w:rFonts w:ascii="宋体" w:eastAsia="宋体" w:hAnsi="宋体" w:cs="仿宋_GB2312"/>
                <w:sz w:val="24"/>
              </w:rPr>
            </w:pPr>
          </w:p>
          <w:p w14:paraId="51E41236" w14:textId="77777777" w:rsidR="000B25E0" w:rsidRPr="000B25E0" w:rsidRDefault="000B25E0" w:rsidP="000B25E0">
            <w:pPr>
              <w:spacing w:line="440" w:lineRule="exact"/>
              <w:rPr>
                <w:rFonts w:ascii="宋体" w:eastAsia="宋体" w:hAnsi="宋体" w:cs="仿宋_GB2312"/>
                <w:sz w:val="24"/>
              </w:rPr>
            </w:pPr>
          </w:p>
          <w:p w14:paraId="359B728A" w14:textId="77777777" w:rsidR="000B25E0" w:rsidRPr="000B25E0" w:rsidRDefault="000B25E0" w:rsidP="000B25E0">
            <w:pPr>
              <w:spacing w:line="440" w:lineRule="exact"/>
              <w:rPr>
                <w:rFonts w:ascii="宋体" w:eastAsia="宋体" w:hAnsi="宋体" w:cs="Times New Roman"/>
                <w:sz w:val="24"/>
              </w:rPr>
            </w:pPr>
          </w:p>
        </w:tc>
        <w:tc>
          <w:tcPr>
            <w:tcW w:w="1366" w:type="dxa"/>
            <w:vAlign w:val="center"/>
          </w:tcPr>
          <w:p w14:paraId="2785F891" w14:textId="77777777" w:rsidR="000B25E0" w:rsidRPr="000B25E0" w:rsidRDefault="000B25E0" w:rsidP="000B25E0">
            <w:pPr>
              <w:spacing w:line="440" w:lineRule="exact"/>
              <w:rPr>
                <w:rFonts w:ascii="宋体" w:eastAsia="宋体" w:hAnsi="宋体" w:cs="Times New Roman"/>
                <w:sz w:val="24"/>
              </w:rPr>
            </w:pPr>
            <w:r w:rsidRPr="000B25E0">
              <w:rPr>
                <w:rFonts w:ascii="宋体" w:eastAsia="宋体" w:hAnsi="宋体" w:cs="Times New Roman"/>
                <w:sz w:val="24"/>
              </w:rPr>
              <w:t>课程目标3</w:t>
            </w:r>
          </w:p>
        </w:tc>
      </w:tr>
    </w:tbl>
    <w:p w14:paraId="0F9FC4C2" w14:textId="77777777" w:rsidR="000B25E0" w:rsidRPr="000B25E0" w:rsidRDefault="000B25E0" w:rsidP="000B25E0">
      <w:pPr>
        <w:spacing w:beforeLines="50" w:before="156" w:afterLines="50" w:after="156" w:line="440" w:lineRule="exact"/>
        <w:ind w:firstLineChars="150" w:firstLine="420"/>
        <w:rPr>
          <w:rFonts w:ascii="黑体" w:eastAsia="黑体" w:hAnsi="黑体" w:cs="Times New Roman"/>
          <w:sz w:val="28"/>
          <w:szCs w:val="28"/>
        </w:rPr>
      </w:pPr>
      <w:r w:rsidRPr="000B25E0">
        <w:rPr>
          <w:rFonts w:ascii="黑体" w:eastAsia="黑体" w:hAnsi="黑体" w:cs="Times New Roman" w:hint="eastAsia"/>
          <w:sz w:val="28"/>
          <w:szCs w:val="28"/>
        </w:rPr>
        <w:t>三、课程学习内容及与课程学习目标的对应关系</w:t>
      </w:r>
    </w:p>
    <w:p w14:paraId="7F4C0F4E" w14:textId="77777777" w:rsidR="000B25E0" w:rsidRPr="000B25E0" w:rsidRDefault="000B25E0" w:rsidP="000B25E0">
      <w:pPr>
        <w:spacing w:beforeLines="50" w:before="156" w:afterLines="50" w:after="156" w:line="440" w:lineRule="exact"/>
        <w:ind w:firstLineChars="200" w:firstLine="562"/>
        <w:rPr>
          <w:rFonts w:ascii="黑体" w:eastAsia="黑体" w:hAnsi="黑体" w:cs="Times New Roman"/>
          <w:b/>
          <w:sz w:val="28"/>
          <w:szCs w:val="28"/>
        </w:rPr>
      </w:pPr>
      <w:r w:rsidRPr="000B25E0">
        <w:rPr>
          <w:rFonts w:ascii="黑体" w:eastAsia="黑体" w:hAnsi="黑体" w:cs="Times New Roman" w:hint="eastAsia"/>
          <w:b/>
          <w:sz w:val="28"/>
          <w:szCs w:val="28"/>
        </w:rPr>
        <w:t>（一）课程学习内容</w:t>
      </w:r>
    </w:p>
    <w:p w14:paraId="23F41275"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w:t>
      </w:r>
      <w:proofErr w:type="gramStart"/>
      <w:r w:rsidRPr="000B25E0">
        <w:rPr>
          <w:rFonts w:ascii="黑体" w:eastAsia="黑体" w:hAnsi="黑体" w:cs="Times New Roman" w:hint="eastAsia"/>
          <w:sz w:val="28"/>
          <w:szCs w:val="28"/>
        </w:rPr>
        <w:t>一</w:t>
      </w:r>
      <w:proofErr w:type="gramEnd"/>
      <w:r w:rsidRPr="000B25E0">
        <w:rPr>
          <w:rFonts w:ascii="黑体" w:eastAsia="黑体" w:hAnsi="黑体" w:cs="Times New Roman" w:hint="eastAsia"/>
          <w:sz w:val="28"/>
          <w:szCs w:val="28"/>
        </w:rPr>
        <w:t xml:space="preserve"> 体能+轮滑</w:t>
      </w:r>
    </w:p>
    <w:p w14:paraId="6574D45D"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4E03E706"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06C2B8F6"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w:t>
      </w:r>
      <w:r w:rsidRPr="000B25E0">
        <w:rPr>
          <w:rFonts w:ascii="宋体" w:eastAsia="宋体" w:hAnsi="宋体" w:cs="仿宋_GB2312" w:hint="eastAsia"/>
          <w:sz w:val="24"/>
        </w:rPr>
        <w:lastRenderedPageBreak/>
        <w:t>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773E586E"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轮滑运动的一般规律和特点，使学生获得轮滑运动的基本技术、基本技能和基础理论知识，并了解现代轮滑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2DD37477" w14:textId="77777777" w:rsidR="000B25E0" w:rsidRPr="000B25E0" w:rsidRDefault="000B25E0" w:rsidP="000B25E0">
      <w:pPr>
        <w:spacing w:line="440" w:lineRule="exact"/>
        <w:ind w:firstLineChars="200" w:firstLine="500"/>
        <w:rPr>
          <w:rFonts w:ascii="Calibri" w:eastAsia="宋体" w:hAnsi="Calibri" w:cs="Times New Roman"/>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2427C07D"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【学习内容】</w:t>
      </w:r>
    </w:p>
    <w:p w14:paraId="24104B49" w14:textId="77777777" w:rsidR="000B25E0" w:rsidRPr="000B25E0" w:rsidRDefault="000B25E0" w:rsidP="000B25E0">
      <w:pPr>
        <w:spacing w:beforeLines="50" w:before="156" w:afterLines="50" w:after="156" w:line="360" w:lineRule="auto"/>
        <w:jc w:val="center"/>
        <w:rPr>
          <w:rFonts w:ascii="宋体" w:eastAsia="宋体" w:hAnsi="Calibri" w:cs="Arial"/>
          <w:b/>
          <w:sz w:val="28"/>
          <w:szCs w:val="28"/>
        </w:rPr>
      </w:pPr>
      <w:r w:rsidRPr="000B25E0">
        <w:rPr>
          <w:rFonts w:ascii="宋体" w:eastAsia="宋体" w:hAnsi="宋体" w:cs="Arial" w:hint="eastAsia"/>
          <w:b/>
          <w:sz w:val="28"/>
          <w:szCs w:val="28"/>
        </w:rPr>
        <w:t>第一章</w:t>
      </w:r>
      <w:r w:rsidRPr="000B25E0">
        <w:rPr>
          <w:rFonts w:ascii="宋体" w:eastAsia="宋体" w:hAnsi="宋体" w:cs="Arial"/>
          <w:b/>
          <w:sz w:val="28"/>
          <w:szCs w:val="28"/>
        </w:rPr>
        <w:t xml:space="preserve">   </w:t>
      </w:r>
      <w:r w:rsidRPr="000B25E0">
        <w:rPr>
          <w:rFonts w:ascii="宋体" w:eastAsia="宋体" w:hAnsi="宋体" w:cs="Arial" w:hint="eastAsia"/>
          <w:b/>
          <w:sz w:val="28"/>
          <w:szCs w:val="28"/>
        </w:rPr>
        <w:t>认识健康的重要性（0.5学时）</w:t>
      </w:r>
    </w:p>
    <w:p w14:paraId="2024FB20" w14:textId="77777777" w:rsidR="000B25E0" w:rsidRPr="000B25E0" w:rsidRDefault="000B25E0" w:rsidP="000B25E0">
      <w:pPr>
        <w:spacing w:before="50" w:after="50"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45C2B8AA"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1.1健康的内涵</w:t>
      </w:r>
    </w:p>
    <w:p w14:paraId="5A333AE2"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1.2预防与消除亚健康</w:t>
      </w:r>
    </w:p>
    <w:p w14:paraId="7A66C3DE"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1.3维护健康的法则</w:t>
      </w:r>
    </w:p>
    <w:p w14:paraId="53751EB2" w14:textId="77777777" w:rsidR="000B25E0" w:rsidRPr="000B25E0" w:rsidRDefault="000B25E0" w:rsidP="000B25E0">
      <w:pPr>
        <w:spacing w:line="360" w:lineRule="auto"/>
        <w:ind w:leftChars="-29" w:left="-61" w:firstLineChars="219" w:firstLine="528"/>
        <w:rPr>
          <w:rFonts w:ascii="Arial" w:eastAsia="宋体" w:hAnsi="Calibri" w:cs="Arial"/>
          <w:b/>
          <w:sz w:val="24"/>
        </w:rPr>
      </w:pPr>
      <w:r w:rsidRPr="000B25E0">
        <w:rPr>
          <w:rFonts w:ascii="Arial" w:eastAsia="宋体" w:hAnsi="Calibri" w:cs="Arial" w:hint="eastAsia"/>
          <w:b/>
          <w:sz w:val="24"/>
        </w:rPr>
        <w:t>本章教学目的及要求：</w:t>
      </w:r>
      <w:r w:rsidRPr="000B25E0">
        <w:rPr>
          <w:rFonts w:ascii="Arial" w:eastAsia="宋体" w:hAnsi="Arial" w:cs="Arial" w:hint="eastAsia"/>
          <w:sz w:val="24"/>
        </w:rPr>
        <w:t>使同学们了解自身健康的重要性及如何维护、促进自身的健康。</w:t>
      </w:r>
    </w:p>
    <w:p w14:paraId="4F278707" w14:textId="77777777" w:rsidR="000B25E0" w:rsidRPr="000B25E0" w:rsidRDefault="000B25E0" w:rsidP="000B25E0">
      <w:pPr>
        <w:adjustRightInd w:val="0"/>
        <w:snapToGrid w:val="0"/>
        <w:spacing w:line="500" w:lineRule="exact"/>
        <w:ind w:firstLineChars="196" w:firstLine="472"/>
        <w:rPr>
          <w:rFonts w:ascii="Arial" w:eastAsia="宋体" w:hAnsi="Arial" w:cs="Arial"/>
          <w:sz w:val="24"/>
        </w:rPr>
      </w:pPr>
      <w:r w:rsidRPr="000B25E0">
        <w:rPr>
          <w:rFonts w:ascii="Arial" w:eastAsia="宋体" w:hAnsi="Calibri" w:cs="Arial" w:hint="eastAsia"/>
          <w:b/>
          <w:sz w:val="24"/>
        </w:rPr>
        <w:t>本章教学重点及难点：</w:t>
      </w:r>
      <w:r w:rsidRPr="000B25E0">
        <w:rPr>
          <w:rFonts w:ascii="Arial" w:eastAsia="宋体" w:hAnsi="Arial" w:cs="Arial" w:hint="eastAsia"/>
          <w:sz w:val="24"/>
        </w:rPr>
        <w:t>认识到健康的重要性；如何维护自身的健康。</w:t>
      </w:r>
    </w:p>
    <w:p w14:paraId="3A73F4C1"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第二章</w:t>
      </w:r>
      <w:r w:rsidRPr="000B25E0">
        <w:rPr>
          <w:rFonts w:ascii="Arial" w:eastAsia="宋体" w:hAnsi="Arial" w:cs="Arial"/>
          <w:b/>
          <w:sz w:val="28"/>
          <w:szCs w:val="28"/>
        </w:rPr>
        <w:t xml:space="preserve">   </w:t>
      </w:r>
      <w:r w:rsidRPr="000B25E0">
        <w:rPr>
          <w:rFonts w:ascii="Arial" w:eastAsia="宋体" w:hAnsi="Calibri" w:cs="Arial" w:hint="eastAsia"/>
          <w:b/>
          <w:sz w:val="28"/>
          <w:szCs w:val="28"/>
        </w:rPr>
        <w:t>科学健身的理论与方法（</w:t>
      </w:r>
      <w:r w:rsidRPr="000B25E0">
        <w:rPr>
          <w:rFonts w:ascii="Arial" w:eastAsia="宋体" w:hAnsi="Calibri" w:cs="Arial" w:hint="eastAsia"/>
          <w:b/>
          <w:sz w:val="28"/>
          <w:szCs w:val="28"/>
        </w:rPr>
        <w:t>0.5</w:t>
      </w:r>
      <w:r w:rsidRPr="000B25E0">
        <w:rPr>
          <w:rFonts w:ascii="Arial" w:eastAsia="宋体" w:hAnsi="Calibri" w:cs="Arial" w:hint="eastAsia"/>
          <w:b/>
          <w:sz w:val="28"/>
          <w:szCs w:val="28"/>
        </w:rPr>
        <w:t>学时）</w:t>
      </w:r>
    </w:p>
    <w:p w14:paraId="0D816875"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389109E6"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2.1健身新理念</w:t>
      </w:r>
    </w:p>
    <w:p w14:paraId="2F359BA4"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2.2运动处方</w:t>
      </w:r>
    </w:p>
    <w:p w14:paraId="36A0A950"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lastRenderedPageBreak/>
        <w:t>本章教学目的及要求：</w:t>
      </w:r>
      <w:r w:rsidRPr="000B25E0">
        <w:rPr>
          <w:rFonts w:ascii="Calibri" w:eastAsia="宋体" w:hAnsi="Calibri" w:cs="Times New Roman" w:hint="eastAsia"/>
          <w:bCs/>
          <w:sz w:val="24"/>
        </w:rPr>
        <w:t>使学生了解健身新理念及运动处方如何制定。</w:t>
      </w:r>
    </w:p>
    <w:p w14:paraId="4C8C2785" w14:textId="77777777" w:rsidR="000B25E0" w:rsidRPr="000B25E0" w:rsidRDefault="000B25E0" w:rsidP="000B25E0">
      <w:pPr>
        <w:spacing w:line="360" w:lineRule="auto"/>
        <w:ind w:firstLineChars="200" w:firstLine="482"/>
        <w:rPr>
          <w:rFonts w:ascii="Arial" w:eastAsia="宋体" w:hAnsi="Arial" w:cs="Arial"/>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制订运动处方的重要性；如何制订自身的运动处方。</w:t>
      </w:r>
    </w:p>
    <w:p w14:paraId="37D501C4"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第三章</w:t>
      </w:r>
      <w:r w:rsidRPr="000B25E0">
        <w:rPr>
          <w:rFonts w:ascii="Arial" w:eastAsia="宋体" w:hAnsi="Arial" w:cs="Arial"/>
          <w:b/>
          <w:sz w:val="28"/>
          <w:szCs w:val="28"/>
        </w:rPr>
        <w:t xml:space="preserve">   </w:t>
      </w:r>
      <w:r w:rsidRPr="000B25E0">
        <w:rPr>
          <w:rFonts w:ascii="Arial" w:eastAsia="宋体" w:hAnsi="Calibri" w:cs="Arial" w:hint="eastAsia"/>
          <w:b/>
          <w:sz w:val="28"/>
          <w:szCs w:val="28"/>
        </w:rPr>
        <w:t>营养与健康（</w:t>
      </w:r>
      <w:r w:rsidRPr="000B25E0">
        <w:rPr>
          <w:rFonts w:ascii="Arial" w:eastAsia="宋体" w:hAnsi="Calibri" w:cs="Arial" w:hint="eastAsia"/>
          <w:b/>
          <w:sz w:val="28"/>
          <w:szCs w:val="28"/>
        </w:rPr>
        <w:t>0.5</w:t>
      </w:r>
      <w:r w:rsidRPr="000B25E0">
        <w:rPr>
          <w:rFonts w:ascii="Arial" w:eastAsia="宋体" w:hAnsi="Calibri" w:cs="Arial" w:hint="eastAsia"/>
          <w:b/>
          <w:sz w:val="28"/>
          <w:szCs w:val="28"/>
        </w:rPr>
        <w:t>学时）</w:t>
      </w:r>
    </w:p>
    <w:p w14:paraId="01B19DFD"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1606A7F6"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3.1营养对健康的影响</w:t>
      </w:r>
    </w:p>
    <w:p w14:paraId="186652ED"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3.2营养素及人体对营养的需要</w:t>
      </w:r>
    </w:p>
    <w:p w14:paraId="28880E5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3.3平衡膳食</w:t>
      </w:r>
    </w:p>
    <w:p w14:paraId="0699E018"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3.4运动与营养</w:t>
      </w:r>
    </w:p>
    <w:p w14:paraId="5836A1B4"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让学生正确认识科学补充营养可以提高自身免疫力，从而提高生活质量。</w:t>
      </w:r>
    </w:p>
    <w:p w14:paraId="42E65DF1" w14:textId="77777777" w:rsidR="000B25E0" w:rsidRPr="000B25E0" w:rsidRDefault="000B25E0" w:rsidP="000B25E0">
      <w:pPr>
        <w:spacing w:line="360" w:lineRule="auto"/>
        <w:ind w:firstLineChars="196" w:firstLine="472"/>
        <w:rPr>
          <w:rFonts w:ascii="Arial" w:eastAsia="宋体" w:hAnsi="Arial" w:cs="Arial"/>
          <w:bCs/>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学生阶段的营养过剩与运动不足；补充营养的同时如何提高自身的健康。</w:t>
      </w:r>
    </w:p>
    <w:p w14:paraId="1AAEC171"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第四章</w:t>
      </w:r>
      <w:r w:rsidRPr="000B25E0">
        <w:rPr>
          <w:rFonts w:ascii="Arial" w:eastAsia="宋体" w:hAnsi="Arial" w:cs="Arial"/>
          <w:b/>
          <w:sz w:val="28"/>
          <w:szCs w:val="28"/>
        </w:rPr>
        <w:t xml:space="preserve">   </w:t>
      </w:r>
      <w:r w:rsidRPr="000B25E0">
        <w:rPr>
          <w:rFonts w:ascii="Arial" w:eastAsia="宋体" w:hAnsi="Calibri" w:cs="Arial" w:hint="eastAsia"/>
          <w:b/>
          <w:sz w:val="28"/>
          <w:szCs w:val="28"/>
        </w:rPr>
        <w:t>体育保健知识（</w:t>
      </w:r>
      <w:r w:rsidRPr="000B25E0">
        <w:rPr>
          <w:rFonts w:ascii="Arial" w:eastAsia="宋体" w:hAnsi="Calibri" w:cs="Arial" w:hint="eastAsia"/>
          <w:b/>
          <w:sz w:val="28"/>
          <w:szCs w:val="28"/>
        </w:rPr>
        <w:t>0.5</w:t>
      </w:r>
      <w:r w:rsidRPr="000B25E0">
        <w:rPr>
          <w:rFonts w:ascii="Arial" w:eastAsia="宋体" w:hAnsi="Calibri" w:cs="Arial" w:hint="eastAsia"/>
          <w:b/>
          <w:sz w:val="28"/>
          <w:szCs w:val="28"/>
        </w:rPr>
        <w:t>学时）</w:t>
      </w:r>
    </w:p>
    <w:p w14:paraId="3D3FCC31"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538939DC"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4.1运动中常见的生理反应与处理方法</w:t>
      </w:r>
    </w:p>
    <w:p w14:paraId="527D8064"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4.2运动损伤的处置</w:t>
      </w:r>
    </w:p>
    <w:p w14:paraId="33B36381"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4.3女子运动保健</w:t>
      </w:r>
    </w:p>
    <w:p w14:paraId="03FD2A47"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使学生了解运动中常见的生理反应及处理方法。</w:t>
      </w:r>
    </w:p>
    <w:p w14:paraId="224B942D" w14:textId="77777777" w:rsidR="000B25E0" w:rsidRPr="000B25E0" w:rsidRDefault="000B25E0" w:rsidP="000B25E0">
      <w:pPr>
        <w:spacing w:line="360" w:lineRule="auto"/>
        <w:ind w:firstLineChars="196" w:firstLine="472"/>
        <w:rPr>
          <w:rFonts w:ascii="Arial" w:eastAsia="宋体" w:hAnsi="Calibri" w:cs="Arial"/>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学生如何预防常见的运动损伤；运动损伤如何处置。</w:t>
      </w:r>
    </w:p>
    <w:p w14:paraId="48804688" w14:textId="77777777" w:rsidR="000B25E0" w:rsidRPr="000B25E0" w:rsidRDefault="000B25E0" w:rsidP="000B25E0">
      <w:pPr>
        <w:tabs>
          <w:tab w:val="left" w:pos="960"/>
        </w:tabs>
        <w:spacing w:beforeLines="50" w:before="156" w:afterLines="50" w:after="156" w:line="360" w:lineRule="auto"/>
        <w:jc w:val="center"/>
        <w:rPr>
          <w:rFonts w:ascii="宋体" w:eastAsia="宋体" w:hAnsi="Calibri" w:cs="Arial"/>
          <w:b/>
          <w:bCs/>
          <w:sz w:val="28"/>
          <w:szCs w:val="28"/>
        </w:rPr>
      </w:pPr>
      <w:r w:rsidRPr="000B25E0">
        <w:rPr>
          <w:rFonts w:ascii="宋体" w:eastAsia="宋体" w:hAnsi="宋体" w:cs="Arial" w:hint="eastAsia"/>
          <w:b/>
          <w:bCs/>
          <w:sz w:val="28"/>
          <w:szCs w:val="28"/>
        </w:rPr>
        <w:t>第五章 了解体育文化（0.5课时）</w:t>
      </w:r>
    </w:p>
    <w:p w14:paraId="7C1EB47B"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40FED429"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5.1中西方体育文化比较</w:t>
      </w:r>
    </w:p>
    <w:p w14:paraId="0B1DFDF1"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5.2奥林匹克体育文化</w:t>
      </w:r>
    </w:p>
    <w:p w14:paraId="18A3C04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5.3校园体育文化</w:t>
      </w:r>
    </w:p>
    <w:p w14:paraId="5D13057B"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本章教学目的及要求：</w:t>
      </w:r>
      <w:r w:rsidRPr="000B25E0">
        <w:rPr>
          <w:rFonts w:ascii="Arial" w:eastAsia="宋体" w:hAnsi="Calibri" w:cs="Arial" w:hint="eastAsia"/>
          <w:bCs/>
          <w:sz w:val="24"/>
          <w:szCs w:val="28"/>
        </w:rPr>
        <w:t>让学生了解东西方体育文化的差异。</w:t>
      </w:r>
    </w:p>
    <w:p w14:paraId="3DC61C4C"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lastRenderedPageBreak/>
        <w:t>本章教学重点及难点：</w:t>
      </w:r>
      <w:r w:rsidRPr="000B25E0">
        <w:rPr>
          <w:rFonts w:ascii="Arial" w:eastAsia="宋体" w:hAnsi="Calibri" w:cs="Arial" w:hint="eastAsia"/>
          <w:sz w:val="24"/>
        </w:rPr>
        <w:t>介绍奥林匹克文化的发展</w:t>
      </w:r>
      <w:r w:rsidRPr="000B25E0">
        <w:rPr>
          <w:rFonts w:ascii="Arial" w:eastAsia="宋体" w:hAnsi="Calibri" w:cs="Arial" w:hint="eastAsia"/>
          <w:bCs/>
          <w:sz w:val="24"/>
          <w:szCs w:val="28"/>
        </w:rPr>
        <w:t>；介绍校园体育文化的发展与功能。</w:t>
      </w:r>
    </w:p>
    <w:p w14:paraId="74385690" w14:textId="77777777" w:rsidR="000B25E0" w:rsidRPr="000B25E0" w:rsidRDefault="000B25E0" w:rsidP="000B25E0">
      <w:pPr>
        <w:spacing w:beforeLines="50" w:before="156" w:afterLines="50" w:after="156" w:line="360" w:lineRule="auto"/>
        <w:jc w:val="center"/>
        <w:rPr>
          <w:rFonts w:ascii="Arial" w:eastAsia="宋体" w:hAnsi="Calibri" w:cs="Arial"/>
          <w:b/>
          <w:sz w:val="28"/>
          <w:szCs w:val="28"/>
        </w:rPr>
      </w:pPr>
      <w:r w:rsidRPr="000B25E0">
        <w:rPr>
          <w:rFonts w:ascii="宋体" w:eastAsia="宋体" w:hAnsi="宋体" w:cs="宋体" w:hint="eastAsia"/>
          <w:b/>
          <w:bCs/>
          <w:sz w:val="28"/>
          <w:szCs w:val="28"/>
        </w:rPr>
        <w:t>第六章 欣赏体育比赛</w:t>
      </w:r>
      <w:r w:rsidRPr="000B25E0">
        <w:rPr>
          <w:rFonts w:ascii="Arial" w:eastAsia="宋体" w:hAnsi="Calibri" w:cs="Arial" w:hint="eastAsia"/>
          <w:b/>
          <w:sz w:val="28"/>
          <w:szCs w:val="28"/>
        </w:rPr>
        <w:t>（</w:t>
      </w:r>
      <w:r w:rsidRPr="000B25E0">
        <w:rPr>
          <w:rFonts w:ascii="Arial" w:eastAsia="宋体" w:hAnsi="Arial" w:cs="Arial" w:hint="eastAsia"/>
          <w:b/>
          <w:sz w:val="28"/>
          <w:szCs w:val="28"/>
        </w:rPr>
        <w:t>0.5</w:t>
      </w:r>
      <w:r w:rsidRPr="000B25E0">
        <w:rPr>
          <w:rFonts w:ascii="Arial" w:eastAsia="宋体" w:hAnsi="Calibri" w:cs="Arial" w:hint="eastAsia"/>
          <w:b/>
          <w:sz w:val="28"/>
          <w:szCs w:val="28"/>
        </w:rPr>
        <w:t>学时）</w:t>
      </w:r>
    </w:p>
    <w:p w14:paraId="305DD30A"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1A7602DF"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6.1体育欣赏的体育美学原理及特点</w:t>
      </w:r>
    </w:p>
    <w:p w14:paraId="3C58EF7E"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6.2体育运动的欣赏内容</w:t>
      </w:r>
    </w:p>
    <w:p w14:paraId="3AE87D61"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6.3特定运动项目的欣赏</w:t>
      </w:r>
    </w:p>
    <w:p w14:paraId="041ECC75"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本章教学目的及要求：</w:t>
      </w:r>
      <w:r w:rsidRPr="000B25E0">
        <w:rPr>
          <w:rFonts w:ascii="Arial" w:eastAsia="宋体" w:hAnsi="Calibri" w:cs="Arial" w:hint="eastAsia"/>
          <w:bCs/>
          <w:sz w:val="24"/>
          <w:szCs w:val="28"/>
        </w:rPr>
        <w:t>使学生提高体育文化素质，培养起体育欣赏的兴趣，树立正确的体育审美观念。</w:t>
      </w:r>
    </w:p>
    <w:p w14:paraId="2C964C4B"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如何欣赏比赛</w:t>
      </w:r>
      <w:r w:rsidRPr="000B25E0">
        <w:rPr>
          <w:rFonts w:ascii="Arial" w:eastAsia="宋体" w:hAnsi="Calibri" w:cs="Arial" w:hint="eastAsia"/>
          <w:bCs/>
          <w:sz w:val="24"/>
          <w:szCs w:val="28"/>
        </w:rPr>
        <w:t>；如何提高体育欣赏水平。</w:t>
      </w:r>
    </w:p>
    <w:p w14:paraId="1CF99E08"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第七章</w:t>
      </w:r>
      <w:r w:rsidRPr="000B25E0">
        <w:rPr>
          <w:rFonts w:ascii="Arial" w:eastAsia="宋体" w:hAnsi="Arial" w:cs="Arial"/>
          <w:b/>
          <w:sz w:val="28"/>
          <w:szCs w:val="28"/>
        </w:rPr>
        <w:t xml:space="preserve">   </w:t>
      </w:r>
      <w:r w:rsidRPr="000B25E0">
        <w:rPr>
          <w:rFonts w:ascii="Arial" w:eastAsia="宋体" w:hAnsi="Arial" w:cs="Arial"/>
          <w:b/>
          <w:sz w:val="28"/>
          <w:szCs w:val="28"/>
        </w:rPr>
        <w:t>大</w:t>
      </w:r>
      <w:r w:rsidRPr="000B25E0">
        <w:rPr>
          <w:rFonts w:ascii="Arial" w:eastAsia="宋体" w:hAnsi="Calibri" w:cs="Arial" w:hint="eastAsia"/>
          <w:b/>
          <w:sz w:val="28"/>
          <w:szCs w:val="28"/>
        </w:rPr>
        <w:t>学生体质健康测评（</w:t>
      </w:r>
      <w:r w:rsidRPr="000B25E0">
        <w:rPr>
          <w:rFonts w:ascii="Arial" w:eastAsia="宋体" w:hAnsi="Calibri" w:cs="Arial" w:hint="eastAsia"/>
          <w:b/>
          <w:sz w:val="28"/>
          <w:szCs w:val="28"/>
        </w:rPr>
        <w:t>4</w:t>
      </w:r>
      <w:r w:rsidRPr="000B25E0">
        <w:rPr>
          <w:rFonts w:ascii="Arial" w:eastAsia="宋体" w:hAnsi="Calibri" w:cs="Arial" w:hint="eastAsia"/>
          <w:b/>
          <w:sz w:val="28"/>
          <w:szCs w:val="28"/>
        </w:rPr>
        <w:t>学时）</w:t>
      </w:r>
    </w:p>
    <w:p w14:paraId="2F306902"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6F392BDE"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7.1《国家学生体质健康标准》实施说明</w:t>
      </w:r>
    </w:p>
    <w:p w14:paraId="7F54E20D" w14:textId="77777777" w:rsidR="000B25E0" w:rsidRPr="000B25E0" w:rsidRDefault="000B25E0" w:rsidP="000B25E0">
      <w:pPr>
        <w:autoSpaceDE w:val="0"/>
        <w:autoSpaceDN w:val="0"/>
        <w:adjustRightInd w:val="0"/>
        <w:snapToGrid w:val="0"/>
        <w:spacing w:line="500" w:lineRule="exact"/>
        <w:ind w:firstLineChars="200" w:firstLine="500"/>
        <w:jc w:val="left"/>
        <w:rPr>
          <w:rFonts w:ascii="Arial" w:eastAsia="宋体" w:hAnsi="Calibri" w:cs="Arial"/>
          <w:sz w:val="24"/>
        </w:rPr>
      </w:pPr>
      <w:r w:rsidRPr="000B25E0">
        <w:rPr>
          <w:rFonts w:ascii="宋体" w:eastAsia="宋体" w:hAnsi="Calibri" w:cs="宋体" w:hint="eastAsia"/>
          <w:spacing w:val="5"/>
          <w:kern w:val="0"/>
          <w:sz w:val="24"/>
        </w:rPr>
        <w:t>7.2《国家学生体质健康标准》测试评分表</w:t>
      </w:r>
    </w:p>
    <w:p w14:paraId="7670F70B"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使学生了解体质健康的主要内容及要求。</w:t>
      </w:r>
    </w:p>
    <w:p w14:paraId="66C2579B" w14:textId="77777777" w:rsidR="000B25E0" w:rsidRPr="000B25E0" w:rsidRDefault="000B25E0" w:rsidP="000B25E0">
      <w:pPr>
        <w:spacing w:line="360" w:lineRule="auto"/>
        <w:ind w:firstLineChars="196" w:firstLine="472"/>
        <w:rPr>
          <w:rFonts w:ascii="Arial" w:eastAsia="宋体" w:hAnsi="Calibri" w:cs="Arial"/>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学生体质健康标准的重要性；如何激发学生锻炼身体的积极性和自觉性。</w:t>
      </w:r>
    </w:p>
    <w:p w14:paraId="48A7C3D4" w14:textId="77777777" w:rsidR="000B25E0" w:rsidRPr="000B25E0" w:rsidRDefault="000B25E0" w:rsidP="000B25E0">
      <w:pPr>
        <w:spacing w:beforeLines="50" w:before="156" w:afterLines="50" w:after="156" w:line="360" w:lineRule="auto"/>
        <w:jc w:val="center"/>
        <w:rPr>
          <w:rFonts w:ascii="Arial" w:eastAsia="宋体" w:hAnsi="Calibri" w:cs="Arial"/>
          <w:b/>
          <w:sz w:val="28"/>
          <w:szCs w:val="28"/>
        </w:rPr>
      </w:pPr>
      <w:r w:rsidRPr="000B25E0">
        <w:rPr>
          <w:rFonts w:ascii="Arial" w:eastAsia="宋体" w:hAnsi="Arial" w:cs="Arial" w:hint="eastAsia"/>
          <w:b/>
          <w:sz w:val="28"/>
          <w:szCs w:val="28"/>
        </w:rPr>
        <w:t>第八章</w:t>
      </w:r>
      <w:r w:rsidRPr="000B25E0">
        <w:rPr>
          <w:rFonts w:ascii="Arial" w:eastAsia="宋体" w:hAnsi="Arial" w:cs="Arial"/>
          <w:b/>
          <w:sz w:val="28"/>
          <w:szCs w:val="28"/>
        </w:rPr>
        <w:t xml:space="preserve">  </w:t>
      </w:r>
      <w:r w:rsidRPr="000B25E0">
        <w:rPr>
          <w:rFonts w:ascii="宋体" w:eastAsia="宋体" w:hAnsi="宋体" w:cs="Arial" w:hint="eastAsia"/>
          <w:b/>
          <w:bCs/>
          <w:sz w:val="28"/>
          <w:szCs w:val="28"/>
        </w:rPr>
        <w:t>体能训练</w:t>
      </w:r>
      <w:r w:rsidRPr="000B25E0">
        <w:rPr>
          <w:rFonts w:ascii="Arial" w:eastAsia="宋体" w:hAnsi="Calibri" w:cs="Arial" w:hint="eastAsia"/>
          <w:b/>
          <w:sz w:val="28"/>
          <w:szCs w:val="28"/>
        </w:rPr>
        <w:t>（</w:t>
      </w:r>
      <w:r w:rsidRPr="000B25E0">
        <w:rPr>
          <w:rFonts w:ascii="Arial" w:eastAsia="宋体" w:hAnsi="Calibri" w:cs="Arial" w:hint="eastAsia"/>
          <w:b/>
          <w:sz w:val="28"/>
          <w:szCs w:val="28"/>
        </w:rPr>
        <w:t>13</w:t>
      </w:r>
      <w:r w:rsidRPr="000B25E0">
        <w:rPr>
          <w:rFonts w:ascii="Arial" w:eastAsia="宋体" w:hAnsi="Calibri" w:cs="Arial" w:hint="eastAsia"/>
          <w:b/>
          <w:sz w:val="28"/>
          <w:szCs w:val="28"/>
        </w:rPr>
        <w:t>学时）</w:t>
      </w:r>
    </w:p>
    <w:p w14:paraId="671072C8" w14:textId="77777777" w:rsidR="000B25E0" w:rsidRPr="000B25E0" w:rsidRDefault="000B25E0" w:rsidP="000B25E0">
      <w:pPr>
        <w:spacing w:line="360" w:lineRule="auto"/>
        <w:ind w:firstLineChars="196" w:firstLine="472"/>
        <w:rPr>
          <w:rFonts w:ascii="宋体" w:eastAsia="宋体" w:hAnsi="宋体" w:cs="Arial"/>
          <w:b/>
          <w:sz w:val="24"/>
        </w:rPr>
      </w:pPr>
      <w:r w:rsidRPr="000B25E0">
        <w:rPr>
          <w:rFonts w:ascii="宋体" w:eastAsia="宋体" w:hAnsi="宋体" w:cs="Arial" w:hint="eastAsia"/>
          <w:b/>
          <w:sz w:val="24"/>
        </w:rPr>
        <w:t>本章主要教学内容：</w:t>
      </w:r>
    </w:p>
    <w:p w14:paraId="7D104988"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8.1体能训练简介</w:t>
      </w:r>
    </w:p>
    <w:p w14:paraId="74E1CF4E"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8.2加速能力及力量训练2.柔韧能力训练</w:t>
      </w:r>
    </w:p>
    <w:p w14:paraId="15DAC891"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8.3弹跳能力及力量训练</w:t>
      </w:r>
    </w:p>
    <w:p w14:paraId="054D2571"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8.4灵敏能力及力量训练</w:t>
      </w:r>
    </w:p>
    <w:p w14:paraId="7BA20D74"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8.5耐力能力及无氧训练</w:t>
      </w:r>
    </w:p>
    <w:p w14:paraId="12EB1E31"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8.6弹跳能力及力量测试</w:t>
      </w:r>
    </w:p>
    <w:p w14:paraId="60F20BCD"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lastRenderedPageBreak/>
        <w:t>8.7上肢（男）力量训练2.腹肌（女）力量训练</w:t>
      </w:r>
    </w:p>
    <w:p w14:paraId="40BB94AF"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8.8耐力能力及无氧训练</w:t>
      </w:r>
    </w:p>
    <w:p w14:paraId="7743D5E9"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8.9引体向上（男）；一分钟仰卧起坐（女）</w:t>
      </w:r>
    </w:p>
    <w:p w14:paraId="007251C5"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8.10立定跳远测试</w:t>
      </w:r>
    </w:p>
    <w:p w14:paraId="3CB7AB70" w14:textId="77777777" w:rsidR="000B25E0" w:rsidRPr="000B25E0" w:rsidRDefault="000B25E0" w:rsidP="000B25E0">
      <w:pPr>
        <w:jc w:val="center"/>
        <w:rPr>
          <w:rFonts w:ascii="Arial" w:eastAsia="宋体" w:hAnsi="Calibri" w:cs="Arial"/>
          <w:b/>
          <w:sz w:val="28"/>
          <w:szCs w:val="28"/>
        </w:rPr>
      </w:pPr>
      <w:r w:rsidRPr="000B25E0">
        <w:rPr>
          <w:rFonts w:ascii="Arial" w:eastAsia="宋体" w:hAnsi="Arial" w:cs="Arial" w:hint="eastAsia"/>
          <w:b/>
          <w:sz w:val="28"/>
          <w:szCs w:val="28"/>
        </w:rPr>
        <w:t>第九章</w:t>
      </w:r>
      <w:r w:rsidRPr="000B25E0">
        <w:rPr>
          <w:rFonts w:ascii="Arial" w:eastAsia="宋体" w:hAnsi="Arial" w:cs="Arial" w:hint="eastAsia"/>
          <w:b/>
          <w:sz w:val="28"/>
          <w:szCs w:val="28"/>
        </w:rPr>
        <w:t xml:space="preserve">   </w:t>
      </w:r>
      <w:r w:rsidRPr="000B25E0">
        <w:rPr>
          <w:rFonts w:ascii="Arial" w:eastAsia="宋体" w:hAnsi="Arial" w:cs="Arial" w:hint="eastAsia"/>
          <w:b/>
          <w:sz w:val="28"/>
          <w:szCs w:val="28"/>
        </w:rPr>
        <w:t>轮滑选项</w:t>
      </w:r>
      <w:proofErr w:type="gramStart"/>
      <w:r w:rsidRPr="000B25E0">
        <w:rPr>
          <w:rFonts w:ascii="Arial" w:eastAsia="宋体" w:hAnsi="Arial" w:cs="Arial" w:hint="eastAsia"/>
          <w:b/>
          <w:sz w:val="28"/>
          <w:szCs w:val="28"/>
        </w:rPr>
        <w:t>课项目</w:t>
      </w:r>
      <w:proofErr w:type="gramEnd"/>
      <w:r w:rsidRPr="000B25E0">
        <w:rPr>
          <w:rFonts w:ascii="Arial" w:eastAsia="宋体" w:hAnsi="Arial" w:cs="Arial" w:hint="eastAsia"/>
          <w:b/>
          <w:sz w:val="28"/>
          <w:szCs w:val="28"/>
        </w:rPr>
        <w:t>内容</w:t>
      </w:r>
      <w:r w:rsidRPr="000B25E0">
        <w:rPr>
          <w:rFonts w:ascii="Arial" w:eastAsia="宋体" w:hAnsi="Calibri" w:cs="Arial" w:hint="eastAsia"/>
          <w:b/>
          <w:sz w:val="28"/>
          <w:szCs w:val="28"/>
        </w:rPr>
        <w:t>（</w:t>
      </w:r>
      <w:r w:rsidRPr="000B25E0">
        <w:rPr>
          <w:rFonts w:ascii="Arial" w:eastAsia="宋体" w:hAnsi="Calibri" w:cs="Arial" w:hint="eastAsia"/>
          <w:b/>
          <w:sz w:val="28"/>
          <w:szCs w:val="28"/>
        </w:rPr>
        <w:t>12</w:t>
      </w:r>
      <w:r w:rsidRPr="000B25E0">
        <w:rPr>
          <w:rFonts w:ascii="Arial" w:eastAsia="宋体" w:hAnsi="Calibri" w:cs="Arial" w:hint="eastAsia"/>
          <w:b/>
          <w:sz w:val="28"/>
          <w:szCs w:val="28"/>
        </w:rPr>
        <w:t>学时）</w:t>
      </w:r>
    </w:p>
    <w:p w14:paraId="6D38BC5B" w14:textId="77777777" w:rsidR="000B25E0" w:rsidRPr="000B25E0" w:rsidRDefault="000B25E0" w:rsidP="000B25E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0B25E0">
        <w:rPr>
          <w:rFonts w:ascii="宋体" w:eastAsia="宋体" w:hAnsi="Calibri" w:cs="宋体" w:hint="eastAsia"/>
          <w:spacing w:val="1"/>
          <w:kern w:val="0"/>
          <w:sz w:val="24"/>
        </w:rPr>
        <w:t xml:space="preserve">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6136"/>
        <w:gridCol w:w="850"/>
        <w:gridCol w:w="851"/>
        <w:gridCol w:w="993"/>
      </w:tblGrid>
      <w:tr w:rsidR="000B25E0" w:rsidRPr="000B25E0" w14:paraId="38867F32"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49EDE1A"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序号 </w:t>
            </w:r>
          </w:p>
        </w:tc>
        <w:tc>
          <w:tcPr>
            <w:tcW w:w="6106" w:type="dxa"/>
            <w:tcBorders>
              <w:top w:val="outset" w:sz="6" w:space="0" w:color="auto"/>
              <w:left w:val="outset" w:sz="6" w:space="0" w:color="auto"/>
              <w:bottom w:val="outset" w:sz="6" w:space="0" w:color="auto"/>
              <w:right w:val="outset" w:sz="6" w:space="0" w:color="auto"/>
            </w:tcBorders>
            <w:vAlign w:val="center"/>
          </w:tcPr>
          <w:p w14:paraId="4DBB6CC7"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教学内容 </w:t>
            </w:r>
          </w:p>
        </w:tc>
        <w:tc>
          <w:tcPr>
            <w:tcW w:w="820" w:type="dxa"/>
            <w:tcBorders>
              <w:top w:val="outset" w:sz="6" w:space="0" w:color="auto"/>
              <w:left w:val="outset" w:sz="6" w:space="0" w:color="auto"/>
              <w:bottom w:val="outset" w:sz="6" w:space="0" w:color="auto"/>
              <w:right w:val="outset" w:sz="6" w:space="0" w:color="auto"/>
            </w:tcBorders>
            <w:vAlign w:val="center"/>
          </w:tcPr>
          <w:p w14:paraId="2A48E643"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理论时数 </w:t>
            </w: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9B65542"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实践时数 </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2F1924D"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备注 </w:t>
            </w:r>
          </w:p>
        </w:tc>
      </w:tr>
      <w:tr w:rsidR="000B25E0" w:rsidRPr="000B25E0" w14:paraId="0A71284E"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ACA784F"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1 </w:t>
            </w:r>
          </w:p>
        </w:tc>
        <w:tc>
          <w:tcPr>
            <w:tcW w:w="6106" w:type="dxa"/>
            <w:tcBorders>
              <w:top w:val="outset" w:sz="6" w:space="0" w:color="auto"/>
              <w:left w:val="outset" w:sz="6" w:space="0" w:color="auto"/>
              <w:bottom w:val="outset" w:sz="6" w:space="0" w:color="auto"/>
              <w:right w:val="outset" w:sz="6" w:space="0" w:color="auto"/>
            </w:tcBorders>
            <w:vAlign w:val="center"/>
          </w:tcPr>
          <w:p w14:paraId="64762BB0"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介绍轮滑的知识和具体的有关要求</w:t>
            </w:r>
          </w:p>
        </w:tc>
        <w:tc>
          <w:tcPr>
            <w:tcW w:w="820" w:type="dxa"/>
            <w:tcBorders>
              <w:top w:val="outset" w:sz="6" w:space="0" w:color="auto"/>
              <w:left w:val="outset" w:sz="6" w:space="0" w:color="auto"/>
              <w:bottom w:val="outset" w:sz="6" w:space="0" w:color="auto"/>
              <w:right w:val="outset" w:sz="6" w:space="0" w:color="auto"/>
            </w:tcBorders>
            <w:vAlign w:val="center"/>
          </w:tcPr>
          <w:p w14:paraId="2476F999"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2</w:t>
            </w: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3522353" w14:textId="77777777" w:rsidR="000B25E0" w:rsidRPr="000B25E0" w:rsidRDefault="000B25E0" w:rsidP="000B25E0">
            <w:pPr>
              <w:widowControl/>
              <w:jc w:val="left"/>
              <w:rPr>
                <w:rFonts w:ascii="宋体" w:eastAsia="宋体" w:hAnsi="Calibri" w:cs="宋体"/>
                <w:spacing w:val="1"/>
                <w:kern w:val="0"/>
                <w:sz w:val="24"/>
              </w:rPr>
            </w:pP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121D83C"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71A10489"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223ECC8"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2 </w:t>
            </w:r>
          </w:p>
        </w:tc>
        <w:tc>
          <w:tcPr>
            <w:tcW w:w="6106" w:type="dxa"/>
            <w:tcBorders>
              <w:top w:val="outset" w:sz="6" w:space="0" w:color="auto"/>
              <w:left w:val="outset" w:sz="6" w:space="0" w:color="auto"/>
              <w:bottom w:val="outset" w:sz="6" w:space="0" w:color="auto"/>
              <w:right w:val="outset" w:sz="6" w:space="0" w:color="auto"/>
            </w:tcBorders>
            <w:vAlign w:val="center"/>
          </w:tcPr>
          <w:p w14:paraId="273F8111"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平衡性练习，双脚草地踏步练习，单腿静止力量练习</w:t>
            </w:r>
          </w:p>
        </w:tc>
        <w:tc>
          <w:tcPr>
            <w:tcW w:w="820" w:type="dxa"/>
            <w:tcBorders>
              <w:top w:val="outset" w:sz="6" w:space="0" w:color="auto"/>
              <w:left w:val="outset" w:sz="6" w:space="0" w:color="auto"/>
              <w:bottom w:val="outset" w:sz="6" w:space="0" w:color="auto"/>
              <w:right w:val="outset" w:sz="6" w:space="0" w:color="auto"/>
            </w:tcBorders>
            <w:vAlign w:val="center"/>
          </w:tcPr>
          <w:p w14:paraId="4A472F02" w14:textId="77777777" w:rsidR="000B25E0" w:rsidRPr="000B25E0" w:rsidRDefault="000B25E0" w:rsidP="000B25E0">
            <w:pPr>
              <w:widowControl/>
              <w:jc w:val="center"/>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7E344A8"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4CDAE35"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64A50A90"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9380171"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3 </w:t>
            </w:r>
          </w:p>
        </w:tc>
        <w:tc>
          <w:tcPr>
            <w:tcW w:w="6106" w:type="dxa"/>
            <w:tcBorders>
              <w:top w:val="outset" w:sz="6" w:space="0" w:color="auto"/>
              <w:left w:val="outset" w:sz="6" w:space="0" w:color="auto"/>
              <w:bottom w:val="outset" w:sz="6" w:space="0" w:color="auto"/>
              <w:right w:val="outset" w:sz="6" w:space="0" w:color="auto"/>
            </w:tcBorders>
            <w:vAlign w:val="center"/>
          </w:tcPr>
          <w:p w14:paraId="049C27B1"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单腿滑行练习</w:t>
            </w:r>
          </w:p>
        </w:tc>
        <w:tc>
          <w:tcPr>
            <w:tcW w:w="820" w:type="dxa"/>
            <w:tcBorders>
              <w:top w:val="outset" w:sz="6" w:space="0" w:color="auto"/>
              <w:left w:val="outset" w:sz="6" w:space="0" w:color="auto"/>
              <w:bottom w:val="outset" w:sz="6" w:space="0" w:color="auto"/>
              <w:right w:val="outset" w:sz="6" w:space="0" w:color="auto"/>
            </w:tcBorders>
            <w:vAlign w:val="center"/>
          </w:tcPr>
          <w:p w14:paraId="75AB6A65" w14:textId="77777777" w:rsidR="000B25E0" w:rsidRPr="000B25E0" w:rsidRDefault="000B25E0" w:rsidP="000B25E0">
            <w:pPr>
              <w:widowControl/>
              <w:jc w:val="center"/>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C1D8E44"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6</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4E79DFF"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6BE6467F"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A9328BB"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4 </w:t>
            </w:r>
          </w:p>
        </w:tc>
        <w:tc>
          <w:tcPr>
            <w:tcW w:w="6106" w:type="dxa"/>
            <w:tcBorders>
              <w:top w:val="outset" w:sz="6" w:space="0" w:color="auto"/>
              <w:left w:val="outset" w:sz="6" w:space="0" w:color="auto"/>
              <w:bottom w:val="outset" w:sz="6" w:space="0" w:color="auto"/>
              <w:right w:val="outset" w:sz="6" w:space="0" w:color="auto"/>
            </w:tcBorders>
            <w:vAlign w:val="center"/>
          </w:tcPr>
          <w:p w14:paraId="6A8E4F6B"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教学考核</w:t>
            </w:r>
          </w:p>
        </w:tc>
        <w:tc>
          <w:tcPr>
            <w:tcW w:w="820" w:type="dxa"/>
            <w:tcBorders>
              <w:top w:val="outset" w:sz="6" w:space="0" w:color="auto"/>
              <w:left w:val="outset" w:sz="6" w:space="0" w:color="auto"/>
              <w:bottom w:val="outset" w:sz="6" w:space="0" w:color="auto"/>
              <w:right w:val="outset" w:sz="6" w:space="0" w:color="auto"/>
            </w:tcBorders>
            <w:vAlign w:val="center"/>
          </w:tcPr>
          <w:p w14:paraId="7089B2A1" w14:textId="77777777" w:rsidR="000B25E0" w:rsidRPr="000B25E0" w:rsidRDefault="000B25E0" w:rsidP="000B25E0">
            <w:pPr>
              <w:widowControl/>
              <w:jc w:val="center"/>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D96C6DE"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C582091"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2C8F8D26"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C2B5E95"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5 </w:t>
            </w:r>
          </w:p>
        </w:tc>
        <w:tc>
          <w:tcPr>
            <w:tcW w:w="6106" w:type="dxa"/>
            <w:tcBorders>
              <w:top w:val="outset" w:sz="6" w:space="0" w:color="auto"/>
              <w:left w:val="outset" w:sz="6" w:space="0" w:color="auto"/>
              <w:bottom w:val="outset" w:sz="6" w:space="0" w:color="auto"/>
              <w:right w:val="outset" w:sz="6" w:space="0" w:color="auto"/>
            </w:tcBorders>
            <w:vAlign w:val="center"/>
          </w:tcPr>
          <w:p w14:paraId="26D8826D"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合计</w:t>
            </w:r>
          </w:p>
        </w:tc>
        <w:tc>
          <w:tcPr>
            <w:tcW w:w="820" w:type="dxa"/>
            <w:tcBorders>
              <w:top w:val="outset" w:sz="6" w:space="0" w:color="auto"/>
              <w:left w:val="outset" w:sz="6" w:space="0" w:color="auto"/>
              <w:bottom w:val="outset" w:sz="6" w:space="0" w:color="auto"/>
              <w:right w:val="outset" w:sz="6" w:space="0" w:color="auto"/>
            </w:tcBorders>
            <w:vAlign w:val="center"/>
          </w:tcPr>
          <w:p w14:paraId="5B1052A8" w14:textId="77777777" w:rsidR="000B25E0" w:rsidRPr="000B25E0" w:rsidRDefault="000B25E0" w:rsidP="000B25E0">
            <w:pPr>
              <w:widowControl/>
              <w:jc w:val="center"/>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C3FE6AD"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12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A81470C" w14:textId="77777777" w:rsidR="000B25E0" w:rsidRPr="000B25E0" w:rsidRDefault="000B25E0" w:rsidP="000B25E0">
            <w:pPr>
              <w:widowControl/>
              <w:jc w:val="left"/>
              <w:rPr>
                <w:rFonts w:ascii="宋体" w:eastAsia="宋体" w:hAnsi="Calibri" w:cs="宋体"/>
                <w:spacing w:val="1"/>
                <w:kern w:val="0"/>
                <w:sz w:val="24"/>
              </w:rPr>
            </w:pPr>
          </w:p>
        </w:tc>
      </w:tr>
    </w:tbl>
    <w:p w14:paraId="1A26B2F7"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p>
    <w:p w14:paraId="59AC5E22" w14:textId="77777777" w:rsidR="000B25E0" w:rsidRPr="000B25E0" w:rsidRDefault="000B25E0" w:rsidP="000B25E0">
      <w:pPr>
        <w:spacing w:line="440" w:lineRule="exact"/>
        <w:ind w:firstLineChars="200" w:firstLine="482"/>
        <w:rPr>
          <w:rFonts w:ascii="宋体" w:eastAsia="宋体" w:hAnsi="宋体" w:cs="Times New Roman"/>
          <w:b/>
          <w:sz w:val="24"/>
        </w:rPr>
      </w:pPr>
      <w:r w:rsidRPr="000B25E0">
        <w:rPr>
          <w:rFonts w:ascii="宋体" w:eastAsia="宋体" w:hAnsi="宋体" w:cs="Times New Roman" w:hint="eastAsia"/>
          <w:b/>
          <w:sz w:val="24"/>
        </w:rPr>
        <w:t>【重点】</w:t>
      </w:r>
    </w:p>
    <w:p w14:paraId="44A4253A" w14:textId="77777777" w:rsidR="000B25E0" w:rsidRPr="000B25E0" w:rsidRDefault="000B25E0" w:rsidP="000B25E0">
      <w:pPr>
        <w:spacing w:line="360" w:lineRule="auto"/>
        <w:ind w:leftChars="-29" w:left="-61" w:firstLineChars="219" w:firstLine="526"/>
        <w:rPr>
          <w:rFonts w:ascii="宋体" w:eastAsia="宋体" w:hAnsi="宋体" w:cs="Times New Roman"/>
          <w:sz w:val="24"/>
        </w:rPr>
      </w:pPr>
      <w:r w:rsidRPr="000B25E0">
        <w:rPr>
          <w:rFonts w:ascii="宋体" w:eastAsia="宋体" w:hAnsi="宋体" w:cs="Times New Roman" w:hint="eastAsia"/>
          <w:sz w:val="24"/>
        </w:rPr>
        <w:t>1</w:t>
      </w:r>
      <w:r w:rsidRPr="000B25E0">
        <w:rPr>
          <w:rFonts w:ascii="宋体" w:eastAsia="宋体" w:hAnsi="宋体" w:cs="Times New Roman"/>
          <w:sz w:val="24"/>
        </w:rPr>
        <w:t>.</w:t>
      </w:r>
      <w:r w:rsidRPr="000B25E0">
        <w:rPr>
          <w:rFonts w:ascii="Arial" w:eastAsia="宋体" w:hAnsi="Arial" w:cs="Arial" w:hint="eastAsia"/>
          <w:sz w:val="24"/>
        </w:rPr>
        <w:t>使同学们了解自身健康的重要性及如何维护、促进自身的健康。</w:t>
      </w:r>
    </w:p>
    <w:p w14:paraId="68350AF8" w14:textId="77777777" w:rsidR="000B25E0" w:rsidRPr="000B25E0" w:rsidRDefault="000B25E0" w:rsidP="000B25E0">
      <w:pPr>
        <w:spacing w:line="440" w:lineRule="exact"/>
        <w:ind w:firstLineChars="200" w:firstLine="480"/>
        <w:rPr>
          <w:rFonts w:ascii="Calibri" w:eastAsia="宋体" w:hAnsi="Calibri" w:cs="Times New Roman"/>
          <w:bCs/>
          <w:sz w:val="24"/>
        </w:rPr>
      </w:pPr>
      <w:r w:rsidRPr="000B25E0">
        <w:rPr>
          <w:rFonts w:ascii="宋体" w:eastAsia="宋体" w:hAnsi="宋体" w:cs="Times New Roman" w:hint="eastAsia"/>
          <w:sz w:val="24"/>
        </w:rPr>
        <w:t>2</w:t>
      </w:r>
      <w:r w:rsidRPr="000B25E0">
        <w:rPr>
          <w:rFonts w:ascii="宋体" w:eastAsia="宋体" w:hAnsi="宋体" w:cs="Times New Roman"/>
          <w:sz w:val="24"/>
        </w:rPr>
        <w:t>.</w:t>
      </w:r>
      <w:r w:rsidRPr="000B25E0">
        <w:rPr>
          <w:rFonts w:ascii="Calibri" w:eastAsia="宋体" w:hAnsi="Calibri" w:cs="Times New Roman" w:hint="eastAsia"/>
          <w:bCs/>
          <w:sz w:val="24"/>
        </w:rPr>
        <w:t>使学生了解健身新理念及运动处方如何制定。</w:t>
      </w:r>
    </w:p>
    <w:p w14:paraId="55F2B152"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3.使学生了解体质健康的主要内容及要求和重要性。</w:t>
      </w:r>
    </w:p>
    <w:p w14:paraId="5A897FD6"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4.</w:t>
      </w:r>
      <w:r w:rsidRPr="000B25E0">
        <w:rPr>
          <w:rFonts w:ascii="宋体" w:eastAsia="宋体" w:hAnsi="Calibri" w:cs="宋体" w:hint="eastAsia"/>
          <w:spacing w:val="5"/>
          <w:kern w:val="0"/>
          <w:sz w:val="24"/>
        </w:rPr>
        <w:t>轮滑运动的基本理论、基本知识和基本技能。</w:t>
      </w:r>
    </w:p>
    <w:p w14:paraId="67FA27E8" w14:textId="77777777" w:rsidR="000B25E0" w:rsidRPr="000B25E0" w:rsidRDefault="000B25E0" w:rsidP="000B25E0">
      <w:pPr>
        <w:spacing w:line="440" w:lineRule="exact"/>
        <w:ind w:firstLineChars="200" w:firstLine="482"/>
        <w:rPr>
          <w:rFonts w:ascii="宋体" w:eastAsia="宋体" w:hAnsi="宋体" w:cs="Times New Roman"/>
          <w:b/>
          <w:sz w:val="24"/>
        </w:rPr>
      </w:pPr>
      <w:r w:rsidRPr="000B25E0">
        <w:rPr>
          <w:rFonts w:ascii="宋体" w:eastAsia="宋体" w:hAnsi="宋体" w:cs="Times New Roman" w:hint="eastAsia"/>
          <w:b/>
          <w:sz w:val="24"/>
        </w:rPr>
        <w:t>【难点】</w:t>
      </w:r>
    </w:p>
    <w:p w14:paraId="02D9D018" w14:textId="77777777" w:rsidR="000B25E0" w:rsidRPr="000B25E0" w:rsidRDefault="000B25E0" w:rsidP="000B25E0">
      <w:pPr>
        <w:spacing w:line="440" w:lineRule="exact"/>
        <w:ind w:firstLineChars="200" w:firstLine="480"/>
        <w:rPr>
          <w:rFonts w:ascii="宋体" w:eastAsia="宋体" w:hAnsi="宋体" w:cs="Times New Roman"/>
          <w:b/>
          <w:sz w:val="24"/>
        </w:rPr>
      </w:pPr>
      <w:r w:rsidRPr="000B25E0">
        <w:rPr>
          <w:rFonts w:ascii="宋体" w:eastAsia="宋体" w:hAnsi="宋体" w:cs="Times New Roman" w:hint="eastAsia"/>
          <w:sz w:val="24"/>
        </w:rPr>
        <w:t>1</w:t>
      </w:r>
      <w:r w:rsidRPr="000B25E0">
        <w:rPr>
          <w:rFonts w:ascii="宋体" w:eastAsia="宋体" w:hAnsi="宋体" w:cs="Times New Roman"/>
          <w:sz w:val="24"/>
        </w:rPr>
        <w:t xml:space="preserve">. </w:t>
      </w:r>
      <w:r w:rsidRPr="000B25E0">
        <w:rPr>
          <w:rFonts w:ascii="Arial" w:eastAsia="宋体" w:hAnsi="Arial" w:cs="Arial" w:hint="eastAsia"/>
          <w:sz w:val="24"/>
        </w:rPr>
        <w:t>认识到健康的重要性；如何维护自身的健康。</w:t>
      </w:r>
    </w:p>
    <w:p w14:paraId="7910CFE7" w14:textId="77777777" w:rsidR="000B25E0" w:rsidRPr="000B25E0" w:rsidRDefault="000B25E0" w:rsidP="000B25E0">
      <w:pPr>
        <w:spacing w:line="360" w:lineRule="auto"/>
        <w:ind w:firstLineChars="196" w:firstLine="470"/>
        <w:rPr>
          <w:rFonts w:ascii="Arial" w:eastAsia="宋体" w:hAnsi="Arial" w:cs="Arial"/>
          <w:bCs/>
          <w:sz w:val="24"/>
        </w:rPr>
      </w:pPr>
      <w:r w:rsidRPr="000B25E0">
        <w:rPr>
          <w:rFonts w:ascii="宋体" w:eastAsia="宋体" w:hAnsi="宋体" w:cs="Times New Roman" w:hint="eastAsia"/>
          <w:sz w:val="24"/>
        </w:rPr>
        <w:t>2</w:t>
      </w:r>
      <w:r w:rsidRPr="000B25E0">
        <w:rPr>
          <w:rFonts w:ascii="宋体" w:eastAsia="宋体" w:hAnsi="宋体" w:cs="Times New Roman"/>
          <w:sz w:val="24"/>
        </w:rPr>
        <w:t xml:space="preserve">. </w:t>
      </w:r>
      <w:r w:rsidRPr="000B25E0">
        <w:rPr>
          <w:rFonts w:ascii="Arial" w:eastAsia="宋体" w:hAnsi="Calibri" w:cs="Arial" w:hint="eastAsia"/>
          <w:sz w:val="24"/>
        </w:rPr>
        <w:t>学生阶段的营养过剩与运动不足；补充营养的同时如何提高自身的健康。</w:t>
      </w:r>
    </w:p>
    <w:p w14:paraId="1504D10D" w14:textId="77777777" w:rsidR="000B25E0" w:rsidRPr="000B25E0" w:rsidRDefault="000B25E0" w:rsidP="000B25E0">
      <w:pPr>
        <w:spacing w:line="360" w:lineRule="auto"/>
        <w:ind w:firstLineChars="196" w:firstLine="470"/>
        <w:rPr>
          <w:rFonts w:ascii="Arial" w:eastAsia="宋体" w:hAnsi="Calibri" w:cs="Arial"/>
          <w:sz w:val="24"/>
        </w:rPr>
      </w:pPr>
      <w:r w:rsidRPr="000B25E0">
        <w:rPr>
          <w:rFonts w:ascii="宋体" w:eastAsia="宋体" w:hAnsi="宋体" w:cs="Times New Roman" w:hint="eastAsia"/>
          <w:sz w:val="24"/>
        </w:rPr>
        <w:t xml:space="preserve">3. </w:t>
      </w:r>
      <w:r w:rsidRPr="000B25E0">
        <w:rPr>
          <w:rFonts w:ascii="Arial" w:eastAsia="宋体" w:hAnsi="Calibri" w:cs="Arial" w:hint="eastAsia"/>
          <w:sz w:val="24"/>
        </w:rPr>
        <w:t>如何激发学生锻炼身体的积极性和自觉性。</w:t>
      </w:r>
    </w:p>
    <w:p w14:paraId="74D49B23" w14:textId="77777777" w:rsidR="000B25E0" w:rsidRPr="000B25E0" w:rsidRDefault="000B25E0" w:rsidP="000B25E0">
      <w:pPr>
        <w:autoSpaceDE w:val="0"/>
        <w:autoSpaceDN w:val="0"/>
        <w:adjustRightInd w:val="0"/>
        <w:snapToGrid w:val="0"/>
        <w:spacing w:line="500" w:lineRule="exact"/>
        <w:ind w:firstLineChars="200" w:firstLine="480"/>
        <w:rPr>
          <w:rFonts w:ascii="宋体" w:eastAsia="宋体" w:hAnsi="Calibri" w:cs="宋体"/>
          <w:spacing w:val="5"/>
          <w:kern w:val="0"/>
          <w:sz w:val="24"/>
        </w:rPr>
      </w:pPr>
      <w:r w:rsidRPr="000B25E0">
        <w:rPr>
          <w:rFonts w:ascii="宋体" w:eastAsia="宋体" w:hAnsi="宋体" w:cs="Times New Roman" w:hint="eastAsia"/>
          <w:sz w:val="24"/>
        </w:rPr>
        <w:t>4.</w:t>
      </w:r>
      <w:r w:rsidRPr="000B25E0">
        <w:rPr>
          <w:rFonts w:ascii="宋体" w:eastAsia="宋体" w:hAnsi="Calibri" w:cs="宋体" w:hint="eastAsia"/>
          <w:spacing w:val="5"/>
          <w:kern w:val="0"/>
          <w:sz w:val="24"/>
        </w:rPr>
        <w:t xml:space="preserve">提高学生的自主学习能力，培养学生组织能力。达到理论联系实际，学以致用。 </w:t>
      </w:r>
    </w:p>
    <w:p w14:paraId="1B508F7E" w14:textId="77777777" w:rsidR="000B25E0" w:rsidRPr="000B25E0" w:rsidRDefault="000B25E0" w:rsidP="000B25E0">
      <w:pPr>
        <w:spacing w:line="440" w:lineRule="exact"/>
        <w:ind w:firstLineChars="200" w:firstLine="482"/>
        <w:rPr>
          <w:rFonts w:ascii="宋体" w:eastAsia="宋体" w:hAnsi="宋体" w:cs="Times New Roman"/>
          <w:color w:val="FF0000"/>
          <w:sz w:val="24"/>
        </w:rPr>
      </w:pPr>
      <w:r w:rsidRPr="000B25E0">
        <w:rPr>
          <w:rFonts w:ascii="宋体" w:eastAsia="宋体" w:hAnsi="宋体" w:cs="Times New Roman" w:hint="eastAsia"/>
          <w:b/>
          <w:bCs/>
          <w:sz w:val="24"/>
        </w:rPr>
        <w:t>【教学方法】</w:t>
      </w:r>
    </w:p>
    <w:p w14:paraId="7C9D9F53" w14:textId="77777777" w:rsidR="000B25E0" w:rsidRPr="000B25E0" w:rsidRDefault="000B25E0" w:rsidP="000B25E0">
      <w:pPr>
        <w:spacing w:line="360" w:lineRule="auto"/>
        <w:ind w:leftChars="-29" w:left="-61" w:firstLineChars="219" w:firstLine="526"/>
        <w:rPr>
          <w:rFonts w:ascii="宋体" w:eastAsia="宋体" w:hAnsi="宋体" w:cs="Times New Roman"/>
          <w:sz w:val="24"/>
        </w:rPr>
      </w:pPr>
      <w:r w:rsidRPr="000B25E0">
        <w:rPr>
          <w:rFonts w:ascii="宋体" w:eastAsia="宋体" w:hAnsi="宋体" w:cs="Times New Roman" w:hint="eastAsia"/>
          <w:sz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14:paraId="45F62917" w14:textId="77777777" w:rsidR="000B25E0" w:rsidRPr="000B25E0" w:rsidRDefault="000B25E0" w:rsidP="000B25E0">
      <w:pPr>
        <w:spacing w:line="360" w:lineRule="auto"/>
        <w:ind w:leftChars="-29" w:left="-61" w:firstLineChars="219" w:firstLine="526"/>
        <w:rPr>
          <w:rFonts w:ascii="宋体" w:eastAsia="宋体" w:hAnsi="宋体" w:cs="Times New Roman"/>
          <w:sz w:val="24"/>
        </w:rPr>
      </w:pPr>
      <w:r w:rsidRPr="000B25E0">
        <w:rPr>
          <w:rFonts w:ascii="宋体" w:eastAsia="宋体" w:hAnsi="宋体" w:cs="Times New Roman" w:hint="eastAsia"/>
          <w:sz w:val="24"/>
        </w:rPr>
        <w:lastRenderedPageBreak/>
        <w:t>2. 采用讲解法、示范法，通过语言指导法、完整法、分解法、直观法、预防与纠正法，通过语言的形式达到指导学生的目的，能够清楚地了解学习内容。强调理论与实践相结合，促进学生知识整合；</w:t>
      </w:r>
    </w:p>
    <w:p w14:paraId="0F932D9A" w14:textId="77777777" w:rsidR="000B25E0" w:rsidRPr="000B25E0" w:rsidRDefault="000B25E0" w:rsidP="000B25E0">
      <w:pPr>
        <w:spacing w:line="360" w:lineRule="auto"/>
        <w:ind w:leftChars="-29" w:left="-61" w:firstLineChars="219" w:firstLine="526"/>
        <w:rPr>
          <w:rFonts w:ascii="宋体" w:eastAsia="宋体" w:hAnsi="宋体" w:cs="Times New Roman"/>
          <w:sz w:val="24"/>
        </w:rPr>
      </w:pPr>
      <w:r w:rsidRPr="000B25E0">
        <w:rPr>
          <w:rFonts w:ascii="宋体" w:eastAsia="宋体" w:hAnsi="宋体" w:cs="Times New Roman" w:hint="eastAsia"/>
          <w:sz w:val="24"/>
        </w:rPr>
        <w:t>3.采用练习法，分解练习及完整练习法，熟练掌握体能锻炼的所有内容，需要同学之间分组进行自主练习方法进行练习轮滑基本技术；</w:t>
      </w:r>
    </w:p>
    <w:p w14:paraId="1C49230C" w14:textId="77777777" w:rsidR="000B25E0" w:rsidRPr="000B25E0" w:rsidRDefault="000B25E0" w:rsidP="000B25E0">
      <w:pPr>
        <w:spacing w:line="360" w:lineRule="auto"/>
        <w:ind w:leftChars="-29" w:left="-61" w:firstLineChars="219" w:firstLine="526"/>
        <w:rPr>
          <w:rFonts w:ascii="宋体" w:eastAsia="宋体" w:hAnsi="宋体" w:cs="Times New Roman"/>
          <w:sz w:val="24"/>
        </w:rPr>
      </w:pPr>
      <w:r w:rsidRPr="000B25E0">
        <w:rPr>
          <w:rFonts w:ascii="宋体" w:eastAsia="宋体" w:hAnsi="宋体" w:cs="Times New Roman" w:hint="eastAsia"/>
          <w:sz w:val="24"/>
        </w:rPr>
        <w:t>4. 通过小组合作学习，树立育人意识，发展学生的合作能力和校本课程设计能力通过课堂汇报和课堂辩论，强化知识应用意识，发展学生的教学能力和反思能力；</w:t>
      </w:r>
    </w:p>
    <w:p w14:paraId="3CD23C61" w14:textId="77777777" w:rsidR="000B25E0" w:rsidRPr="000B25E0" w:rsidRDefault="000B25E0" w:rsidP="000B25E0">
      <w:pPr>
        <w:spacing w:line="360" w:lineRule="auto"/>
        <w:ind w:leftChars="-29" w:left="-61" w:firstLineChars="219" w:firstLine="526"/>
        <w:rPr>
          <w:rFonts w:ascii="宋体" w:eastAsia="宋体" w:hAnsi="宋体" w:cs="Times New Roman"/>
          <w:sz w:val="24"/>
        </w:rPr>
      </w:pPr>
      <w:r w:rsidRPr="000B25E0">
        <w:rPr>
          <w:rFonts w:ascii="宋体" w:eastAsia="宋体" w:hAnsi="宋体" w:cs="Times New Roman" w:hint="eastAsia"/>
          <w:sz w:val="24"/>
        </w:rPr>
        <w:t>5. 通过组织学生观察课堂实录，从中培养</w:t>
      </w:r>
      <w:r w:rsidR="003B79D6">
        <w:rPr>
          <w:rFonts w:ascii="宋体" w:eastAsia="宋体" w:hAnsi="宋体" w:cs="Times New Roman" w:hint="eastAsia"/>
          <w:sz w:val="24"/>
        </w:rPr>
        <w:t>学</w:t>
      </w:r>
      <w:r w:rsidRPr="000B25E0">
        <w:rPr>
          <w:rFonts w:ascii="宋体" w:eastAsia="宋体" w:hAnsi="宋体" w:cs="Times New Roman" w:hint="eastAsia"/>
          <w:sz w:val="24"/>
        </w:rPr>
        <w:t>生发现问题、分析问题、解决问题的能力和探究意识。</w:t>
      </w:r>
    </w:p>
    <w:p w14:paraId="686337D7"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【复习思考】</w:t>
      </w:r>
    </w:p>
    <w:p w14:paraId="416234CE" w14:textId="77777777" w:rsidR="000B25E0" w:rsidRPr="000B25E0" w:rsidRDefault="000B25E0" w:rsidP="000B25E0">
      <w:pPr>
        <w:spacing w:line="360" w:lineRule="auto"/>
        <w:ind w:leftChars="-29" w:left="-61" w:firstLineChars="219" w:firstLine="526"/>
        <w:rPr>
          <w:rFonts w:ascii="宋体" w:eastAsia="宋体" w:hAnsi="宋体" w:cs="Times New Roman"/>
          <w:sz w:val="24"/>
        </w:rPr>
      </w:pPr>
      <w:r w:rsidRPr="000B25E0">
        <w:rPr>
          <w:rFonts w:ascii="宋体" w:eastAsia="宋体" w:hAnsi="宋体" w:cs="Times New Roman" w:hint="eastAsia"/>
          <w:sz w:val="24"/>
        </w:rPr>
        <w:t xml:space="preserve">1.如何计算自己的体质健康标准测验成绩。 </w:t>
      </w:r>
    </w:p>
    <w:p w14:paraId="6F90ACC8" w14:textId="77777777" w:rsidR="000B25E0" w:rsidRPr="000B25E0" w:rsidRDefault="000B25E0" w:rsidP="000B25E0">
      <w:pPr>
        <w:spacing w:line="360" w:lineRule="auto"/>
        <w:ind w:leftChars="-29" w:left="-61" w:firstLineChars="219" w:firstLine="526"/>
        <w:rPr>
          <w:rFonts w:ascii="宋体" w:eastAsia="宋体" w:hAnsi="宋体" w:cs="Times New Roman"/>
          <w:sz w:val="24"/>
        </w:rPr>
      </w:pPr>
      <w:r w:rsidRPr="000B25E0">
        <w:rPr>
          <w:rFonts w:ascii="宋体" w:eastAsia="宋体" w:hAnsi="宋体" w:cs="Times New Roman" w:hint="eastAsia"/>
          <w:sz w:val="24"/>
        </w:rPr>
        <w:t>2.如何制定简单训练计划，制定运动处方。</w:t>
      </w:r>
    </w:p>
    <w:p w14:paraId="1C416EB8" w14:textId="77777777" w:rsidR="000B25E0" w:rsidRPr="000B25E0" w:rsidRDefault="000B25E0" w:rsidP="000B25E0">
      <w:pPr>
        <w:spacing w:line="360" w:lineRule="auto"/>
        <w:ind w:leftChars="-29" w:left="-61" w:firstLineChars="219" w:firstLine="526"/>
        <w:rPr>
          <w:rFonts w:ascii="宋体" w:eastAsia="宋体" w:hAnsi="宋体" w:cs="Times New Roman"/>
          <w:sz w:val="24"/>
        </w:rPr>
      </w:pPr>
      <w:r w:rsidRPr="000B25E0">
        <w:rPr>
          <w:rFonts w:ascii="宋体" w:eastAsia="宋体" w:hAnsi="宋体" w:cs="Times New Roman" w:hint="eastAsia"/>
          <w:sz w:val="24"/>
        </w:rPr>
        <w:t>3.轮滑欣赏，列举顶级轮滑赛事。</w:t>
      </w:r>
    </w:p>
    <w:p w14:paraId="15413847"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学习内容二 轮滑 1</w:t>
      </w:r>
    </w:p>
    <w:p w14:paraId="0218AE73"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07E91D2A"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15108E42"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372E34B6"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使学生能够掌握轮滑运动的一般规律和特点，使学生获得轮滑运动的基本技术、基本技能和基础理论知识，并了解现代轮滑的发展趋势。以运动和身体练习为基</w:t>
      </w:r>
      <w:r w:rsidRPr="000B25E0">
        <w:rPr>
          <w:rFonts w:ascii="宋体" w:eastAsia="宋体" w:hAnsi="宋体" w:cs="仿宋_GB2312" w:hint="eastAsia"/>
          <w:sz w:val="24"/>
        </w:rPr>
        <w:lastRenderedPageBreak/>
        <w:t>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02A9044C" w14:textId="77777777" w:rsidR="000B25E0" w:rsidRPr="000B25E0" w:rsidRDefault="000B25E0" w:rsidP="000B25E0">
      <w:pPr>
        <w:spacing w:line="440" w:lineRule="exact"/>
        <w:ind w:firstLineChars="200" w:firstLine="500"/>
        <w:rPr>
          <w:rFonts w:ascii="宋体" w:eastAsia="宋体" w:hAnsi="宋体" w:cs="Times New Roman"/>
          <w:b/>
          <w:sz w:val="24"/>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29168F0F" w14:textId="77777777" w:rsidR="000B25E0" w:rsidRPr="000B25E0" w:rsidRDefault="000B25E0" w:rsidP="000B25E0">
      <w:pPr>
        <w:spacing w:line="440" w:lineRule="exact"/>
        <w:ind w:firstLineChars="200" w:firstLine="482"/>
        <w:rPr>
          <w:rFonts w:ascii="宋体" w:eastAsia="宋体" w:hAnsi="宋体" w:cs="Times New Roman"/>
          <w:bCs/>
          <w:sz w:val="24"/>
        </w:rPr>
      </w:pPr>
      <w:r w:rsidRPr="000B25E0">
        <w:rPr>
          <w:rFonts w:ascii="宋体" w:eastAsia="宋体" w:hAnsi="宋体" w:cs="Times New Roman" w:hint="eastAsia"/>
          <w:b/>
          <w:sz w:val="24"/>
        </w:rPr>
        <w:t>【学习内容】</w:t>
      </w:r>
    </w:p>
    <w:p w14:paraId="617AF5CF" w14:textId="77777777" w:rsidR="000B25E0" w:rsidRPr="000B25E0" w:rsidRDefault="000B25E0" w:rsidP="000B25E0">
      <w:pPr>
        <w:spacing w:line="500" w:lineRule="exact"/>
        <w:ind w:firstLineChars="200" w:firstLine="482"/>
        <w:rPr>
          <w:rFonts w:ascii="宋体" w:eastAsia="宋体" w:hAnsi="宋体" w:cs="宋体"/>
          <w:sz w:val="24"/>
        </w:rPr>
      </w:pPr>
      <w:r w:rsidRPr="000B25E0">
        <w:rPr>
          <w:rFonts w:ascii="Calibri" w:eastAsia="宋体" w:hAnsi="Calibri" w:cs="Times New Roman"/>
          <w:b/>
          <w:sz w:val="24"/>
        </w:rPr>
        <w:t>本</w:t>
      </w:r>
      <w:r w:rsidRPr="000B25E0">
        <w:rPr>
          <w:rFonts w:ascii="Calibri" w:eastAsia="宋体" w:hAnsi="Calibri" w:cs="Times New Roman" w:hint="eastAsia"/>
          <w:b/>
          <w:sz w:val="24"/>
        </w:rPr>
        <w:t>部分</w:t>
      </w:r>
      <w:r w:rsidRPr="000B25E0">
        <w:rPr>
          <w:rFonts w:ascii="Calibri" w:eastAsia="宋体" w:hAnsi="Calibri" w:cs="Times New Roman"/>
          <w:b/>
          <w:sz w:val="24"/>
        </w:rPr>
        <w:t>主要教学内容：</w:t>
      </w:r>
      <w:r w:rsidRPr="000B25E0">
        <w:rPr>
          <w:rFonts w:ascii="Calibri" w:eastAsia="宋体" w:hAnsi="Calibri" w:cs="Times New Roman" w:hint="eastAsia"/>
          <w:sz w:val="24"/>
        </w:rPr>
        <w:t>介绍轮滑的有关知识和具体安全性要求等等；轮滑站姿；单腿原地静止练习（单脚支撑能力和脚踝力量）；单腿滑行；两腿交替蹬动滑行。</w:t>
      </w:r>
    </w:p>
    <w:p w14:paraId="4535025B" w14:textId="77777777" w:rsidR="000B25E0" w:rsidRPr="000B25E0" w:rsidRDefault="000B25E0" w:rsidP="000B25E0">
      <w:pPr>
        <w:adjustRightInd w:val="0"/>
        <w:snapToGrid w:val="0"/>
        <w:spacing w:line="500" w:lineRule="exact"/>
        <w:jc w:val="center"/>
        <w:rPr>
          <w:rFonts w:ascii="宋体" w:eastAsia="宋体" w:hAnsi="宋体" w:cs="宋体"/>
          <w:b/>
          <w:sz w:val="28"/>
          <w:szCs w:val="28"/>
        </w:rPr>
      </w:pPr>
      <w:r w:rsidRPr="000B25E0">
        <w:rPr>
          <w:rFonts w:ascii="宋体" w:eastAsia="宋体" w:hAnsi="宋体" w:cs="宋体" w:hint="eastAsia"/>
          <w:b/>
          <w:sz w:val="28"/>
          <w:szCs w:val="28"/>
        </w:rPr>
        <w:t xml:space="preserve">第一部分 (14学时) </w:t>
      </w:r>
    </w:p>
    <w:p w14:paraId="1DA83613" w14:textId="77777777" w:rsidR="000B25E0" w:rsidRPr="000B25E0" w:rsidRDefault="000B25E0" w:rsidP="000B25E0">
      <w:pPr>
        <w:spacing w:line="500" w:lineRule="exact"/>
        <w:ind w:firstLineChars="200" w:firstLine="482"/>
        <w:rPr>
          <w:rFonts w:ascii="Calibri" w:eastAsia="宋体" w:hAnsi="Calibri" w:cs="Times New Roman"/>
          <w:sz w:val="24"/>
        </w:rPr>
      </w:pPr>
      <w:r w:rsidRPr="000B25E0">
        <w:rPr>
          <w:rFonts w:ascii="Calibri" w:eastAsia="宋体" w:hAnsi="Calibri" w:cs="Times New Roman"/>
          <w:b/>
          <w:sz w:val="24"/>
        </w:rPr>
        <w:t>本</w:t>
      </w:r>
      <w:r w:rsidRPr="000B25E0">
        <w:rPr>
          <w:rFonts w:ascii="Calibri" w:eastAsia="宋体" w:hAnsi="Calibri" w:cs="Times New Roman" w:hint="eastAsia"/>
          <w:b/>
          <w:sz w:val="24"/>
        </w:rPr>
        <w:t>部分</w:t>
      </w:r>
      <w:r w:rsidRPr="000B25E0">
        <w:rPr>
          <w:rFonts w:ascii="Calibri" w:eastAsia="宋体" w:hAnsi="Calibri" w:cs="Times New Roman"/>
          <w:b/>
          <w:sz w:val="24"/>
        </w:rPr>
        <w:t>主要教学内容：</w:t>
      </w:r>
      <w:r w:rsidRPr="000B25E0">
        <w:rPr>
          <w:rFonts w:ascii="Calibri" w:eastAsia="宋体" w:hAnsi="Calibri" w:cs="Times New Roman" w:hint="eastAsia"/>
          <w:sz w:val="24"/>
        </w:rPr>
        <w:t>介绍轮滑的有关知识和具体安全性要求等等；轮滑站姿；单腿原地静止练习（单脚支撑能力和脚踝力量）；单腿滑行；两腿交替蹬动滑行。</w:t>
      </w:r>
    </w:p>
    <w:p w14:paraId="592F48A6" w14:textId="77777777" w:rsidR="000B25E0" w:rsidRPr="000B25E0" w:rsidRDefault="000B25E0" w:rsidP="000B25E0">
      <w:pPr>
        <w:spacing w:line="500" w:lineRule="exact"/>
        <w:ind w:firstLineChars="200" w:firstLine="482"/>
        <w:rPr>
          <w:rFonts w:ascii="Calibri" w:eastAsia="宋体" w:hAnsi="Calibri" w:cs="Times New Roman"/>
          <w:sz w:val="24"/>
        </w:rPr>
      </w:pPr>
      <w:r w:rsidRPr="000B25E0">
        <w:rPr>
          <w:rFonts w:ascii="Calibri" w:eastAsia="宋体" w:hAnsi="Calibri" w:cs="Times New Roman"/>
          <w:b/>
          <w:sz w:val="24"/>
        </w:rPr>
        <w:t>本</w:t>
      </w:r>
      <w:r w:rsidRPr="000B25E0">
        <w:rPr>
          <w:rFonts w:ascii="Calibri" w:eastAsia="宋体" w:hAnsi="Calibri" w:cs="Times New Roman" w:hint="eastAsia"/>
          <w:b/>
          <w:sz w:val="24"/>
        </w:rPr>
        <w:t>部</w:t>
      </w:r>
      <w:proofErr w:type="gramStart"/>
      <w:r w:rsidRPr="000B25E0">
        <w:rPr>
          <w:rFonts w:ascii="Calibri" w:eastAsia="宋体" w:hAnsi="Calibri" w:cs="Times New Roman" w:hint="eastAsia"/>
          <w:b/>
          <w:sz w:val="24"/>
        </w:rPr>
        <w:t>分</w:t>
      </w:r>
      <w:r w:rsidRPr="000B25E0">
        <w:rPr>
          <w:rFonts w:ascii="Calibri" w:eastAsia="宋体" w:hAnsi="Calibri" w:cs="Times New Roman"/>
          <w:b/>
          <w:sz w:val="24"/>
        </w:rPr>
        <w:t>教学</w:t>
      </w:r>
      <w:proofErr w:type="gramEnd"/>
      <w:r w:rsidRPr="000B25E0">
        <w:rPr>
          <w:rFonts w:ascii="Calibri" w:eastAsia="宋体" w:hAnsi="Calibri" w:cs="Times New Roman"/>
          <w:b/>
          <w:sz w:val="24"/>
        </w:rPr>
        <w:t>目的及要求：</w:t>
      </w:r>
      <w:r w:rsidRPr="000B25E0">
        <w:rPr>
          <w:rFonts w:ascii="Calibri" w:eastAsia="宋体" w:hAnsi="Calibri" w:cs="Times New Roman" w:hint="eastAsia"/>
          <w:sz w:val="24"/>
        </w:rPr>
        <w:t>介绍轮滑的有关知识和具体安全性要求等等；轮滑站姿规范；单腿原地静止练习（单脚支撑能力和脚踝力量的加强）；单腿滑行稳定性；初步学习两腿交替蹬动滑行。</w:t>
      </w:r>
    </w:p>
    <w:p w14:paraId="0602E8AB" w14:textId="77777777" w:rsidR="000B25E0" w:rsidRPr="000B25E0" w:rsidRDefault="000B25E0" w:rsidP="000B25E0">
      <w:pPr>
        <w:adjustRightInd w:val="0"/>
        <w:snapToGrid w:val="0"/>
        <w:spacing w:line="500" w:lineRule="exact"/>
        <w:ind w:left="480" w:hangingChars="200" w:hanging="480"/>
        <w:rPr>
          <w:rFonts w:ascii="Calibri" w:eastAsia="宋体" w:hAnsi="Calibri" w:cs="Times New Roman"/>
          <w:sz w:val="24"/>
        </w:rPr>
      </w:pPr>
      <w:r w:rsidRPr="000B25E0">
        <w:rPr>
          <w:rFonts w:ascii="Calibri" w:eastAsia="宋体" w:hAnsi="Calibri" w:cs="Times New Roman"/>
          <w:sz w:val="24"/>
        </w:rPr>
        <w:t xml:space="preserve">    </w:t>
      </w:r>
      <w:r w:rsidRPr="000B25E0">
        <w:rPr>
          <w:rFonts w:ascii="Calibri" w:eastAsia="宋体" w:hAnsi="Calibri" w:cs="Times New Roman"/>
          <w:b/>
          <w:sz w:val="24"/>
        </w:rPr>
        <w:t>本</w:t>
      </w:r>
      <w:r w:rsidRPr="000B25E0">
        <w:rPr>
          <w:rFonts w:ascii="Calibri" w:eastAsia="宋体" w:hAnsi="Calibri" w:cs="Times New Roman" w:hint="eastAsia"/>
          <w:b/>
          <w:sz w:val="24"/>
        </w:rPr>
        <w:t>部</w:t>
      </w:r>
      <w:proofErr w:type="gramStart"/>
      <w:r w:rsidRPr="000B25E0">
        <w:rPr>
          <w:rFonts w:ascii="Calibri" w:eastAsia="宋体" w:hAnsi="Calibri" w:cs="Times New Roman" w:hint="eastAsia"/>
          <w:b/>
          <w:sz w:val="24"/>
        </w:rPr>
        <w:t>分</w:t>
      </w:r>
      <w:r w:rsidRPr="000B25E0">
        <w:rPr>
          <w:rFonts w:ascii="Calibri" w:eastAsia="宋体" w:hAnsi="Calibri" w:cs="Times New Roman"/>
          <w:b/>
          <w:sz w:val="24"/>
        </w:rPr>
        <w:t>教学</w:t>
      </w:r>
      <w:proofErr w:type="gramEnd"/>
      <w:r w:rsidRPr="000B25E0">
        <w:rPr>
          <w:rFonts w:ascii="Calibri" w:eastAsia="宋体" w:hAnsi="Calibri" w:cs="Times New Roman"/>
          <w:b/>
          <w:sz w:val="24"/>
        </w:rPr>
        <w:t>重点及难点：</w:t>
      </w:r>
      <w:r w:rsidRPr="000B25E0">
        <w:rPr>
          <w:rFonts w:ascii="Calibri" w:eastAsia="宋体" w:hAnsi="Calibri" w:cs="Times New Roman" w:hint="eastAsia"/>
          <w:sz w:val="24"/>
        </w:rPr>
        <w:t>安全性要求；腿部，踝关节力量的增强。难点单腿静止及滑行中稳定性。</w:t>
      </w:r>
    </w:p>
    <w:p w14:paraId="38A48BDD" w14:textId="77777777" w:rsidR="000B25E0" w:rsidRPr="000B25E0" w:rsidRDefault="000B25E0" w:rsidP="000B25E0">
      <w:pPr>
        <w:adjustRightInd w:val="0"/>
        <w:snapToGrid w:val="0"/>
        <w:spacing w:line="500" w:lineRule="exact"/>
        <w:rPr>
          <w:rFonts w:ascii="Calibri" w:eastAsia="宋体" w:hAnsi="Calibri" w:cs="Times New Roman"/>
          <w:sz w:val="24"/>
        </w:rPr>
      </w:pPr>
      <w:r w:rsidRPr="000B25E0">
        <w:rPr>
          <w:rFonts w:ascii="Calibri" w:eastAsia="宋体" w:hAnsi="Calibri" w:cs="Times New Roman" w:hint="eastAsia"/>
          <w:b/>
          <w:sz w:val="24"/>
        </w:rPr>
        <w:t xml:space="preserve">    </w:t>
      </w:r>
      <w:r w:rsidRPr="000B25E0">
        <w:rPr>
          <w:rFonts w:ascii="Calibri" w:eastAsia="宋体" w:hAnsi="Calibri" w:cs="Times New Roman"/>
          <w:b/>
          <w:sz w:val="24"/>
        </w:rPr>
        <w:t>本部分主要教学内容：</w:t>
      </w:r>
      <w:r w:rsidRPr="000B25E0">
        <w:rPr>
          <w:rFonts w:ascii="Calibri" w:eastAsia="宋体" w:hAnsi="Calibri" w:cs="Times New Roman" w:hint="eastAsia"/>
          <w:sz w:val="24"/>
        </w:rPr>
        <w:t>学习各种停止法。规范、深入、巩固学习两腿交替蹬动滑行。</w:t>
      </w:r>
    </w:p>
    <w:p w14:paraId="1B96696A" w14:textId="77777777" w:rsidR="000B25E0" w:rsidRPr="000B25E0" w:rsidRDefault="000B25E0" w:rsidP="000B25E0">
      <w:pPr>
        <w:adjustRightInd w:val="0"/>
        <w:snapToGrid w:val="0"/>
        <w:spacing w:line="500" w:lineRule="exact"/>
        <w:jc w:val="center"/>
        <w:rPr>
          <w:rFonts w:ascii="Calibri" w:eastAsia="宋体" w:hAnsi="Calibri" w:cs="Times New Roman"/>
          <w:sz w:val="24"/>
        </w:rPr>
      </w:pPr>
      <w:r w:rsidRPr="000B25E0">
        <w:rPr>
          <w:rFonts w:ascii="Calibri" w:eastAsia="宋体" w:hAnsi="Calibri" w:cs="Times New Roman"/>
          <w:b/>
          <w:sz w:val="28"/>
          <w:szCs w:val="28"/>
        </w:rPr>
        <w:t>第</w:t>
      </w:r>
      <w:r w:rsidRPr="000B25E0">
        <w:rPr>
          <w:rFonts w:ascii="Calibri" w:eastAsia="宋体" w:hAnsi="Calibri" w:cs="Times New Roman" w:hint="eastAsia"/>
          <w:b/>
          <w:sz w:val="28"/>
          <w:szCs w:val="28"/>
        </w:rPr>
        <w:t>二部分</w:t>
      </w:r>
      <w:r w:rsidRPr="000B25E0">
        <w:rPr>
          <w:rFonts w:ascii="Calibri" w:eastAsia="宋体" w:hAnsi="Calibri" w:cs="Times New Roman" w:hint="eastAsia"/>
          <w:b/>
          <w:sz w:val="28"/>
          <w:szCs w:val="28"/>
        </w:rPr>
        <w:t>(12</w:t>
      </w:r>
      <w:r w:rsidRPr="000B25E0">
        <w:rPr>
          <w:rFonts w:ascii="Calibri" w:eastAsia="宋体" w:hAnsi="Calibri" w:cs="Times New Roman" w:hint="eastAsia"/>
          <w:b/>
          <w:sz w:val="28"/>
          <w:szCs w:val="28"/>
        </w:rPr>
        <w:t>学时</w:t>
      </w:r>
      <w:r w:rsidRPr="000B25E0">
        <w:rPr>
          <w:rFonts w:ascii="Calibri" w:eastAsia="宋体" w:hAnsi="Calibri" w:cs="Times New Roman" w:hint="eastAsia"/>
          <w:b/>
          <w:sz w:val="28"/>
          <w:szCs w:val="28"/>
        </w:rPr>
        <w:t>)</w:t>
      </w:r>
      <w:r w:rsidRPr="000B25E0">
        <w:rPr>
          <w:rFonts w:ascii="Calibri" w:eastAsia="宋体" w:hAnsi="Calibri" w:cs="Times New Roman"/>
          <w:b/>
          <w:sz w:val="28"/>
          <w:szCs w:val="28"/>
        </w:rPr>
        <w:t xml:space="preserve">   </w:t>
      </w:r>
    </w:p>
    <w:p w14:paraId="7456CFF6" w14:textId="77777777" w:rsidR="000B25E0" w:rsidRPr="000B25E0" w:rsidRDefault="000B25E0" w:rsidP="000B25E0">
      <w:pPr>
        <w:spacing w:line="500" w:lineRule="exact"/>
        <w:ind w:firstLineChars="200" w:firstLine="482"/>
        <w:rPr>
          <w:rFonts w:ascii="Calibri" w:eastAsia="宋体" w:hAnsi="Calibri" w:cs="Times New Roman"/>
          <w:sz w:val="24"/>
        </w:rPr>
      </w:pPr>
      <w:r w:rsidRPr="000B25E0">
        <w:rPr>
          <w:rFonts w:ascii="Calibri" w:eastAsia="宋体" w:hAnsi="Calibri" w:cs="Times New Roman"/>
          <w:b/>
          <w:sz w:val="24"/>
        </w:rPr>
        <w:t>本部</w:t>
      </w:r>
      <w:proofErr w:type="gramStart"/>
      <w:r w:rsidRPr="000B25E0">
        <w:rPr>
          <w:rFonts w:ascii="Calibri" w:eastAsia="宋体" w:hAnsi="Calibri" w:cs="Times New Roman"/>
          <w:b/>
          <w:sz w:val="24"/>
        </w:rPr>
        <w:t>分教学</w:t>
      </w:r>
      <w:proofErr w:type="gramEnd"/>
      <w:r w:rsidRPr="000B25E0">
        <w:rPr>
          <w:rFonts w:ascii="Calibri" w:eastAsia="宋体" w:hAnsi="Calibri" w:cs="Times New Roman"/>
          <w:b/>
          <w:sz w:val="24"/>
        </w:rPr>
        <w:t>目的及要求：</w:t>
      </w:r>
      <w:r w:rsidRPr="000B25E0">
        <w:rPr>
          <w:rFonts w:ascii="Calibri" w:eastAsia="宋体" w:hAnsi="Calibri" w:cs="Times New Roman" w:hint="eastAsia"/>
          <w:sz w:val="24"/>
        </w:rPr>
        <w:t>基本掌握各种停止法。规范、深入、巩固学习两腿交替蹬动滑行技术。</w:t>
      </w:r>
    </w:p>
    <w:p w14:paraId="41750302" w14:textId="77777777" w:rsidR="000B25E0" w:rsidRPr="000B25E0" w:rsidRDefault="000B25E0" w:rsidP="000B25E0">
      <w:pPr>
        <w:adjustRightInd w:val="0"/>
        <w:snapToGrid w:val="0"/>
        <w:spacing w:line="500" w:lineRule="exact"/>
        <w:ind w:firstLineChars="200" w:firstLine="482"/>
        <w:rPr>
          <w:rFonts w:ascii="宋体" w:eastAsia="宋体" w:hAnsi="Calibri" w:cs="宋体"/>
          <w:sz w:val="24"/>
          <w:lang w:val="zh-CN"/>
        </w:rPr>
      </w:pPr>
      <w:r w:rsidRPr="000B25E0">
        <w:rPr>
          <w:rFonts w:ascii="Calibri" w:eastAsia="宋体" w:hAnsi="Calibri" w:cs="Times New Roman"/>
          <w:b/>
          <w:sz w:val="24"/>
        </w:rPr>
        <w:t>本部</w:t>
      </w:r>
      <w:proofErr w:type="gramStart"/>
      <w:r w:rsidRPr="000B25E0">
        <w:rPr>
          <w:rFonts w:ascii="Calibri" w:eastAsia="宋体" w:hAnsi="Calibri" w:cs="Times New Roman"/>
          <w:b/>
          <w:sz w:val="24"/>
        </w:rPr>
        <w:t>分教学</w:t>
      </w:r>
      <w:proofErr w:type="gramEnd"/>
      <w:r w:rsidRPr="000B25E0">
        <w:rPr>
          <w:rFonts w:ascii="Calibri" w:eastAsia="宋体" w:hAnsi="Calibri" w:cs="Times New Roman"/>
          <w:b/>
          <w:sz w:val="24"/>
        </w:rPr>
        <w:t>重点及难点：</w:t>
      </w:r>
      <w:r w:rsidRPr="000B25E0">
        <w:rPr>
          <w:rFonts w:ascii="宋体" w:eastAsia="宋体" w:hAnsi="Calibri" w:cs="宋体" w:hint="eastAsia"/>
          <w:sz w:val="24"/>
          <w:lang w:val="zh-CN"/>
        </w:rPr>
        <w:t>单脚支撑能力和脚踝力量；难点是两腿重心的到位。</w:t>
      </w:r>
    </w:p>
    <w:p w14:paraId="41013A45"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宋体" w:hint="eastAsia"/>
          <w:b/>
          <w:sz w:val="28"/>
          <w:szCs w:val="28"/>
        </w:rPr>
        <w:t>第三部分</w:t>
      </w:r>
      <w:r w:rsidRPr="000B25E0">
        <w:rPr>
          <w:rFonts w:ascii="宋体" w:eastAsia="宋体" w:hAnsi="宋体" w:cs="Times New Roman" w:hint="eastAsia"/>
          <w:b/>
          <w:sz w:val="28"/>
          <w:szCs w:val="28"/>
        </w:rPr>
        <w:t xml:space="preserve"> 身体素质（6学时）</w:t>
      </w:r>
    </w:p>
    <w:p w14:paraId="67253B09" w14:textId="77777777" w:rsidR="000B25E0" w:rsidRPr="000B25E0" w:rsidRDefault="000B25E0" w:rsidP="000B25E0">
      <w:pPr>
        <w:autoSpaceDE w:val="0"/>
        <w:autoSpaceDN w:val="0"/>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1A56BD89"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3.1速度素质、耐力素质、灵敏素质。</w:t>
      </w:r>
    </w:p>
    <w:p w14:paraId="0CB1EE84"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sz w:val="24"/>
        </w:rPr>
        <w:lastRenderedPageBreak/>
        <w:t>教学目的及要求</w:t>
      </w:r>
      <w:r w:rsidRPr="000B25E0">
        <w:rPr>
          <w:rFonts w:ascii="Calibri" w:eastAsia="宋体" w:hAnsi="Calibri" w:cs="Times New Roman" w:hint="eastAsia"/>
          <w:sz w:val="24"/>
        </w:rPr>
        <w:t>：使学生掌握轮滑运动需要的基本身体素质。</w:t>
      </w:r>
      <w:r w:rsidRPr="000B25E0">
        <w:rPr>
          <w:rFonts w:ascii="Calibri" w:eastAsia="宋体" w:hAnsi="Calibri" w:cs="Times New Roman" w:hint="eastAsia"/>
          <w:sz w:val="24"/>
        </w:rPr>
        <w:t xml:space="preserve"> </w:t>
      </w:r>
    </w:p>
    <w:p w14:paraId="2117E4D8" w14:textId="77777777" w:rsidR="000B25E0" w:rsidRPr="000B25E0" w:rsidRDefault="000B25E0" w:rsidP="000B25E0">
      <w:pPr>
        <w:adjustRightInd w:val="0"/>
        <w:snapToGrid w:val="0"/>
        <w:spacing w:line="500" w:lineRule="exact"/>
        <w:ind w:firstLineChars="200" w:firstLine="482"/>
        <w:rPr>
          <w:rFonts w:ascii="宋体" w:eastAsia="宋体" w:hAnsi="宋体" w:cs="Times New Roman"/>
          <w:bCs/>
          <w:color w:val="FF0000"/>
          <w:sz w:val="24"/>
        </w:rPr>
      </w:pPr>
      <w:r w:rsidRPr="000B25E0">
        <w:rPr>
          <w:rFonts w:ascii="Calibri" w:eastAsia="宋体" w:hAnsi="Calibri" w:cs="Times New Roman" w:hint="eastAsia"/>
          <w:b/>
          <w:sz w:val="24"/>
        </w:rPr>
        <w:t>教学重点及难点</w:t>
      </w:r>
      <w:r w:rsidRPr="000B25E0">
        <w:rPr>
          <w:rFonts w:ascii="Calibri" w:eastAsia="宋体" w:hAnsi="Calibri" w:cs="Times New Roman" w:hint="eastAsia"/>
          <w:sz w:val="24"/>
        </w:rPr>
        <w:t>：身体耐力、肌肉力量、柔韧性。</w:t>
      </w:r>
    </w:p>
    <w:p w14:paraId="2CB2F05C"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学习内容三 轮滑 2</w:t>
      </w:r>
    </w:p>
    <w:p w14:paraId="67BBD49C"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2BD840AF"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22365583"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197B5790"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轮滑运动的一般规律和特点，使学生获得轮滑运动的基本技术、基本技能和基础理论知识，并了解现代轮滑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2BDAE20A" w14:textId="77777777" w:rsidR="000B25E0" w:rsidRPr="000B25E0" w:rsidRDefault="000B25E0" w:rsidP="000B25E0">
      <w:pPr>
        <w:spacing w:line="440" w:lineRule="exact"/>
        <w:ind w:firstLineChars="200" w:firstLine="500"/>
        <w:rPr>
          <w:rFonts w:ascii="宋体" w:eastAsia="宋体" w:hAnsi="宋体" w:cs="Times New Roman"/>
          <w:b/>
          <w:sz w:val="24"/>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071E725A" w14:textId="77777777" w:rsidR="000B25E0" w:rsidRPr="000B25E0" w:rsidRDefault="000B25E0" w:rsidP="000B25E0">
      <w:pPr>
        <w:spacing w:line="440" w:lineRule="exact"/>
        <w:ind w:firstLineChars="200" w:firstLine="482"/>
        <w:rPr>
          <w:rFonts w:ascii="宋体" w:eastAsia="宋体" w:hAnsi="宋体" w:cs="Times New Roman"/>
          <w:b/>
          <w:sz w:val="24"/>
        </w:rPr>
      </w:pPr>
      <w:r w:rsidRPr="000B25E0">
        <w:rPr>
          <w:rFonts w:ascii="宋体" w:eastAsia="宋体" w:hAnsi="宋体" w:cs="Times New Roman" w:hint="eastAsia"/>
          <w:b/>
          <w:sz w:val="24"/>
        </w:rPr>
        <w:t>【学习内容】</w:t>
      </w:r>
    </w:p>
    <w:p w14:paraId="36159C92" w14:textId="77777777" w:rsidR="000B25E0" w:rsidRPr="000B25E0" w:rsidRDefault="000B25E0" w:rsidP="000B25E0">
      <w:pPr>
        <w:adjustRightInd w:val="0"/>
        <w:snapToGrid w:val="0"/>
        <w:spacing w:line="500" w:lineRule="exact"/>
        <w:jc w:val="center"/>
        <w:rPr>
          <w:rFonts w:ascii="宋体" w:eastAsia="宋体" w:hAnsi="宋体" w:cs="宋体"/>
          <w:b/>
          <w:sz w:val="28"/>
          <w:szCs w:val="28"/>
        </w:rPr>
      </w:pPr>
      <w:r w:rsidRPr="000B25E0">
        <w:rPr>
          <w:rFonts w:ascii="宋体" w:eastAsia="宋体" w:hAnsi="宋体" w:cs="宋体" w:hint="eastAsia"/>
          <w:b/>
          <w:sz w:val="28"/>
          <w:szCs w:val="28"/>
        </w:rPr>
        <w:t xml:space="preserve">第一部分(14学时)   </w:t>
      </w:r>
    </w:p>
    <w:p w14:paraId="76245784" w14:textId="77777777" w:rsidR="000B25E0" w:rsidRPr="000B25E0" w:rsidRDefault="000B25E0" w:rsidP="000B25E0">
      <w:pPr>
        <w:spacing w:line="500" w:lineRule="exact"/>
        <w:ind w:firstLineChars="200" w:firstLine="482"/>
        <w:rPr>
          <w:rFonts w:ascii="Calibri" w:eastAsia="宋体" w:hAnsi="Calibri" w:cs="Times New Roman"/>
          <w:sz w:val="24"/>
        </w:rPr>
      </w:pPr>
      <w:r w:rsidRPr="000B25E0">
        <w:rPr>
          <w:rFonts w:ascii="Calibri" w:eastAsia="宋体" w:hAnsi="Calibri" w:cs="Times New Roman"/>
          <w:b/>
          <w:sz w:val="24"/>
        </w:rPr>
        <w:t>本部分主要教学内容：</w:t>
      </w:r>
      <w:r w:rsidRPr="000B25E0">
        <w:rPr>
          <w:rFonts w:ascii="Calibri" w:eastAsia="宋体" w:hAnsi="Calibri" w:cs="Times New Roman" w:hint="eastAsia"/>
          <w:sz w:val="24"/>
        </w:rPr>
        <w:t>介绍轮滑的有关知识和具体安全性要求等等；轮滑站姿；单腿原地静止练习（单脚支撑能力和脚踝力量）；单腿滑行；两腿交替蹬动滑行。</w:t>
      </w:r>
    </w:p>
    <w:p w14:paraId="6B3E51EB" w14:textId="77777777" w:rsidR="000B25E0" w:rsidRPr="000B25E0" w:rsidRDefault="000B25E0" w:rsidP="000B25E0">
      <w:pPr>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lastRenderedPageBreak/>
        <w:t>课堂纪律及安全性要求，体力恢复练习。复习交替滑行技术，复习直道技术。学习、复习直道摆臂技术。学习、复习弯道压步技术。</w:t>
      </w:r>
    </w:p>
    <w:p w14:paraId="50D9A506"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本部</w:t>
      </w:r>
      <w:proofErr w:type="gramStart"/>
      <w:r w:rsidRPr="000B25E0">
        <w:rPr>
          <w:rFonts w:ascii="Calibri" w:eastAsia="宋体" w:hAnsi="Calibri" w:cs="Times New Roman"/>
          <w:b/>
          <w:sz w:val="24"/>
        </w:rPr>
        <w:t>分教学</w:t>
      </w:r>
      <w:proofErr w:type="gramEnd"/>
      <w:r w:rsidRPr="000B25E0">
        <w:rPr>
          <w:rFonts w:ascii="Calibri" w:eastAsia="宋体" w:hAnsi="Calibri" w:cs="Times New Roman"/>
          <w:b/>
          <w:sz w:val="24"/>
        </w:rPr>
        <w:t>目的及要求</w:t>
      </w:r>
      <w:r w:rsidRPr="000B25E0">
        <w:rPr>
          <w:rFonts w:ascii="Calibri" w:eastAsia="宋体" w:hAnsi="Calibri" w:cs="Times New Roman" w:hint="eastAsia"/>
          <w:b/>
          <w:sz w:val="24"/>
        </w:rPr>
        <w:t>：</w:t>
      </w:r>
    </w:p>
    <w:p w14:paraId="489CAC5F" w14:textId="77777777" w:rsidR="000B25E0" w:rsidRPr="000B25E0" w:rsidRDefault="000B25E0" w:rsidP="000B25E0">
      <w:pPr>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课堂纪律及安全性要求，体力恢复。复习交替滑行技术，较熟练掌握直道技术。直道滑行当中会使用摆臂技术。学习、复习弯道压步技术。</w:t>
      </w:r>
    </w:p>
    <w:p w14:paraId="3D8DA682"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b/>
          <w:sz w:val="24"/>
        </w:rPr>
        <w:t>本部</w:t>
      </w:r>
      <w:proofErr w:type="gramStart"/>
      <w:r w:rsidRPr="000B25E0">
        <w:rPr>
          <w:rFonts w:ascii="Calibri" w:eastAsia="宋体" w:hAnsi="Calibri" w:cs="Times New Roman"/>
          <w:b/>
          <w:sz w:val="24"/>
        </w:rPr>
        <w:t>分教学</w:t>
      </w:r>
      <w:proofErr w:type="gramEnd"/>
      <w:r w:rsidRPr="000B25E0">
        <w:rPr>
          <w:rFonts w:ascii="Calibri" w:eastAsia="宋体" w:hAnsi="Calibri" w:cs="Times New Roman"/>
          <w:b/>
          <w:sz w:val="24"/>
        </w:rPr>
        <w:t>重点及难点：</w:t>
      </w:r>
      <w:r w:rsidRPr="000B25E0">
        <w:rPr>
          <w:rFonts w:ascii="宋体" w:eastAsia="宋体" w:hAnsi="Calibri" w:cs="宋体" w:hint="eastAsia"/>
          <w:sz w:val="24"/>
          <w:lang w:val="zh-CN"/>
        </w:rPr>
        <w:t>单脚支撑能力和脚踝力量；难点是两腿重心的到位及上下肢动作的协调配合。</w:t>
      </w:r>
    </w:p>
    <w:p w14:paraId="7E399593" w14:textId="77777777" w:rsidR="000B25E0" w:rsidRPr="000B25E0" w:rsidRDefault="000B25E0" w:rsidP="000B25E0">
      <w:pPr>
        <w:spacing w:line="500" w:lineRule="exact"/>
        <w:ind w:left="1680" w:hanging="1680"/>
        <w:jc w:val="center"/>
        <w:rPr>
          <w:rFonts w:ascii="宋体" w:eastAsia="宋体" w:hAnsi="宋体" w:cs="宋体"/>
          <w:b/>
          <w:sz w:val="28"/>
          <w:szCs w:val="28"/>
        </w:rPr>
      </w:pPr>
      <w:r w:rsidRPr="000B25E0">
        <w:rPr>
          <w:rFonts w:ascii="宋体" w:eastAsia="宋体" w:hAnsi="宋体" w:cs="宋体" w:hint="eastAsia"/>
          <w:b/>
          <w:sz w:val="28"/>
          <w:szCs w:val="28"/>
        </w:rPr>
        <w:t>第二部分(14学时)</w:t>
      </w:r>
    </w:p>
    <w:p w14:paraId="022C2C21" w14:textId="77777777" w:rsidR="000B25E0" w:rsidRPr="000B25E0" w:rsidRDefault="000B25E0" w:rsidP="000B25E0">
      <w:pPr>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本部分主要教学内容：</w:t>
      </w:r>
    </w:p>
    <w:p w14:paraId="73A5AE0D" w14:textId="77777777" w:rsidR="000B25E0" w:rsidRPr="000B25E0" w:rsidRDefault="000B25E0" w:rsidP="000B25E0">
      <w:pPr>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直道滑行和弯道滑行的过渡和连接。学习、复习起跑、冲刺技术。</w:t>
      </w:r>
    </w:p>
    <w:p w14:paraId="36130E2E" w14:textId="77777777" w:rsidR="000B25E0" w:rsidRPr="000B25E0" w:rsidRDefault="000B25E0" w:rsidP="000B25E0">
      <w:pPr>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本部</w:t>
      </w:r>
      <w:proofErr w:type="gramStart"/>
      <w:r w:rsidRPr="000B25E0">
        <w:rPr>
          <w:rFonts w:ascii="Calibri" w:eastAsia="宋体" w:hAnsi="Calibri" w:cs="Times New Roman"/>
          <w:b/>
          <w:sz w:val="24"/>
        </w:rPr>
        <w:t>分教学</w:t>
      </w:r>
      <w:proofErr w:type="gramEnd"/>
      <w:r w:rsidRPr="000B25E0">
        <w:rPr>
          <w:rFonts w:ascii="Calibri" w:eastAsia="宋体" w:hAnsi="Calibri" w:cs="Times New Roman"/>
          <w:b/>
          <w:sz w:val="24"/>
        </w:rPr>
        <w:t>目的及要求</w:t>
      </w:r>
      <w:r w:rsidRPr="000B25E0">
        <w:rPr>
          <w:rFonts w:ascii="Calibri" w:eastAsia="宋体" w:hAnsi="Calibri" w:cs="Times New Roman" w:hint="eastAsia"/>
          <w:b/>
          <w:sz w:val="24"/>
        </w:rPr>
        <w:t>：</w:t>
      </w:r>
    </w:p>
    <w:p w14:paraId="1413C305" w14:textId="77777777" w:rsidR="000B25E0" w:rsidRPr="000B25E0" w:rsidRDefault="000B25E0" w:rsidP="000B25E0">
      <w:pPr>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较熟练掌握直道滑行和弯道滑行的过渡和连接。了解学习起跑、冲刺技术。</w:t>
      </w:r>
    </w:p>
    <w:p w14:paraId="552D5528" w14:textId="77777777" w:rsidR="000B25E0" w:rsidRPr="000B25E0" w:rsidRDefault="000B25E0" w:rsidP="000B25E0">
      <w:pPr>
        <w:spacing w:line="500" w:lineRule="exact"/>
        <w:ind w:firstLine="480"/>
        <w:rPr>
          <w:rFonts w:ascii="Calibri" w:eastAsia="宋体" w:hAnsi="Calibri" w:cs="Times New Roman"/>
          <w:sz w:val="24"/>
        </w:rPr>
      </w:pPr>
      <w:r w:rsidRPr="000B25E0">
        <w:rPr>
          <w:rFonts w:ascii="Calibri" w:eastAsia="宋体" w:hAnsi="Calibri" w:cs="Times New Roman"/>
          <w:b/>
          <w:sz w:val="24"/>
        </w:rPr>
        <w:t>本部</w:t>
      </w:r>
      <w:proofErr w:type="gramStart"/>
      <w:r w:rsidRPr="000B25E0">
        <w:rPr>
          <w:rFonts w:ascii="Calibri" w:eastAsia="宋体" w:hAnsi="Calibri" w:cs="Times New Roman"/>
          <w:b/>
          <w:sz w:val="24"/>
        </w:rPr>
        <w:t>分教学</w:t>
      </w:r>
      <w:proofErr w:type="gramEnd"/>
      <w:r w:rsidRPr="000B25E0">
        <w:rPr>
          <w:rFonts w:ascii="Calibri" w:eastAsia="宋体" w:hAnsi="Calibri" w:cs="Times New Roman"/>
          <w:b/>
          <w:sz w:val="24"/>
        </w:rPr>
        <w:t>重点及难点：</w:t>
      </w:r>
      <w:r w:rsidRPr="000B25E0">
        <w:rPr>
          <w:rFonts w:ascii="Calibri" w:eastAsia="宋体" w:hAnsi="Calibri" w:cs="Times New Roman" w:hint="eastAsia"/>
          <w:sz w:val="24"/>
        </w:rPr>
        <w:t>直线正滑和</w:t>
      </w:r>
      <w:proofErr w:type="gramStart"/>
      <w:r w:rsidRPr="000B25E0">
        <w:rPr>
          <w:rFonts w:ascii="Calibri" w:eastAsia="宋体" w:hAnsi="Calibri" w:cs="Times New Roman" w:hint="eastAsia"/>
          <w:sz w:val="24"/>
        </w:rPr>
        <w:t>弯道正滑综合</w:t>
      </w:r>
      <w:proofErr w:type="gramEnd"/>
      <w:r w:rsidRPr="000B25E0">
        <w:rPr>
          <w:rFonts w:ascii="Calibri" w:eastAsia="宋体" w:hAnsi="Calibri" w:cs="Times New Roman" w:hint="eastAsia"/>
          <w:sz w:val="24"/>
        </w:rPr>
        <w:t>技术。难点是连接的流畅性及上下肢动作的协调配合。</w:t>
      </w:r>
    </w:p>
    <w:p w14:paraId="4728BE2A" w14:textId="77777777" w:rsidR="000B25E0" w:rsidRPr="000B25E0" w:rsidRDefault="000B25E0" w:rsidP="000B25E0">
      <w:pPr>
        <w:adjustRightInd w:val="0"/>
        <w:snapToGrid w:val="0"/>
        <w:spacing w:beforeLines="50" w:before="156" w:afterLines="50" w:after="156" w:line="500" w:lineRule="exact"/>
        <w:jc w:val="center"/>
        <w:rPr>
          <w:rFonts w:ascii="Arial" w:eastAsia="宋体" w:hAnsi="Arial" w:cs="Arial"/>
          <w:b/>
          <w:sz w:val="28"/>
          <w:szCs w:val="28"/>
        </w:rPr>
      </w:pPr>
      <w:r w:rsidRPr="000B25E0">
        <w:rPr>
          <w:rFonts w:ascii="宋体" w:eastAsia="宋体" w:hAnsi="宋体" w:cs="宋体" w:hint="eastAsia"/>
          <w:b/>
          <w:sz w:val="28"/>
          <w:szCs w:val="28"/>
        </w:rPr>
        <w:t xml:space="preserve">第三部分  </w:t>
      </w:r>
      <w:r w:rsidRPr="000B25E0">
        <w:rPr>
          <w:rFonts w:ascii="Arial" w:eastAsia="宋体" w:hAnsi="Calibri" w:cs="Arial" w:hint="eastAsia"/>
          <w:b/>
          <w:sz w:val="28"/>
          <w:szCs w:val="28"/>
        </w:rPr>
        <w:t>体质健康测评（</w:t>
      </w:r>
      <w:r w:rsidRPr="000B25E0">
        <w:rPr>
          <w:rFonts w:ascii="Arial" w:eastAsia="宋体" w:hAnsi="Calibri" w:cs="Arial" w:hint="eastAsia"/>
          <w:b/>
          <w:sz w:val="28"/>
          <w:szCs w:val="28"/>
        </w:rPr>
        <w:t>4</w:t>
      </w:r>
      <w:r w:rsidRPr="000B25E0">
        <w:rPr>
          <w:rFonts w:ascii="Arial" w:eastAsia="宋体" w:hAnsi="Calibri" w:cs="Arial" w:hint="eastAsia"/>
          <w:b/>
          <w:sz w:val="28"/>
          <w:szCs w:val="28"/>
        </w:rPr>
        <w:t>学时）</w:t>
      </w:r>
    </w:p>
    <w:p w14:paraId="01143AE9"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0024B478"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3.1 《国家学生体质健康标准》实施说明</w:t>
      </w:r>
    </w:p>
    <w:p w14:paraId="1B2C1F7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3.2 《国家学生体质健康标准》测试评分表</w:t>
      </w:r>
    </w:p>
    <w:p w14:paraId="06BEC160"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使学生了解体质健康的主要内容及要求。</w:t>
      </w:r>
    </w:p>
    <w:p w14:paraId="5F0D37FF" w14:textId="77777777" w:rsidR="000B25E0" w:rsidRPr="000B25E0" w:rsidRDefault="000B25E0" w:rsidP="000B25E0">
      <w:pPr>
        <w:spacing w:line="360" w:lineRule="auto"/>
        <w:ind w:firstLineChars="196" w:firstLine="472"/>
        <w:rPr>
          <w:rFonts w:ascii="宋体" w:eastAsia="宋体" w:hAnsi="宋体" w:cs="宋体"/>
          <w:color w:val="000000"/>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学生体质健康标准的重要性；如何激发学生锻炼身体的积极性和自觉性。</w:t>
      </w:r>
    </w:p>
    <w:p w14:paraId="192A0D5A"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学习内容四 轮滑 3</w:t>
      </w:r>
    </w:p>
    <w:p w14:paraId="7D4EF5C1"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5936F8EE"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w:t>
      </w:r>
      <w:r w:rsidRPr="000B25E0">
        <w:rPr>
          <w:rFonts w:ascii="宋体" w:eastAsia="宋体" w:hAnsi="宋体" w:cs="仿宋_GB2312" w:hint="eastAsia"/>
          <w:sz w:val="24"/>
        </w:rPr>
        <w:lastRenderedPageBreak/>
        <w:t>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2CF89A34"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58408B44"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轮滑运动的一般规律和特点，使学生获得轮滑运动的基本技术、基本技能和基础理论知识，并了解现代轮滑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3F2B8965" w14:textId="77777777" w:rsidR="000B25E0" w:rsidRPr="000B25E0" w:rsidRDefault="000B25E0" w:rsidP="000B25E0">
      <w:pPr>
        <w:spacing w:line="440" w:lineRule="exact"/>
        <w:ind w:firstLineChars="200" w:firstLine="500"/>
        <w:rPr>
          <w:rFonts w:ascii="Calibri" w:eastAsia="宋体" w:hAnsi="Calibri" w:cs="Times New Roman"/>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0442AB6E"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【学习内容】</w:t>
      </w:r>
    </w:p>
    <w:p w14:paraId="0CB7563C" w14:textId="77777777" w:rsidR="000B25E0" w:rsidRPr="000B25E0" w:rsidRDefault="000B25E0" w:rsidP="000B25E0">
      <w:pPr>
        <w:spacing w:line="500" w:lineRule="exact"/>
        <w:ind w:firstLineChars="200" w:firstLine="482"/>
        <w:rPr>
          <w:rFonts w:ascii="Calibri" w:eastAsia="宋体" w:hAnsi="Calibri" w:cs="Times New Roman"/>
          <w:sz w:val="24"/>
        </w:rPr>
      </w:pPr>
      <w:r w:rsidRPr="000B25E0">
        <w:rPr>
          <w:rFonts w:ascii="Calibri" w:eastAsia="宋体" w:hAnsi="Calibri" w:cs="Times New Roman"/>
          <w:b/>
          <w:sz w:val="24"/>
        </w:rPr>
        <w:t>本</w:t>
      </w:r>
      <w:r w:rsidRPr="000B25E0">
        <w:rPr>
          <w:rFonts w:ascii="Calibri" w:eastAsia="宋体" w:hAnsi="Calibri" w:cs="Times New Roman" w:hint="eastAsia"/>
          <w:b/>
          <w:sz w:val="24"/>
        </w:rPr>
        <w:t>部分</w:t>
      </w:r>
      <w:r w:rsidRPr="000B25E0">
        <w:rPr>
          <w:rFonts w:ascii="Calibri" w:eastAsia="宋体" w:hAnsi="Calibri" w:cs="Times New Roman"/>
          <w:b/>
          <w:sz w:val="24"/>
        </w:rPr>
        <w:t>主要教学内容：</w:t>
      </w:r>
      <w:r w:rsidRPr="000B25E0">
        <w:rPr>
          <w:rFonts w:ascii="Calibri" w:eastAsia="宋体" w:hAnsi="Calibri" w:cs="Times New Roman" w:hint="eastAsia"/>
          <w:sz w:val="24"/>
        </w:rPr>
        <w:t>介绍轮滑的有关知识和具体安全性要求等等；轮滑站姿；单腿原地静止练习（单脚支撑能力和脚踝力量）；单腿滑行；两腿交替蹬动滑行。</w:t>
      </w:r>
    </w:p>
    <w:p w14:paraId="7073E2E8" w14:textId="77777777" w:rsidR="000B25E0" w:rsidRPr="000B25E0" w:rsidRDefault="000B25E0" w:rsidP="000B25E0">
      <w:pPr>
        <w:adjustRightInd w:val="0"/>
        <w:snapToGrid w:val="0"/>
        <w:spacing w:line="500" w:lineRule="exact"/>
        <w:jc w:val="center"/>
        <w:rPr>
          <w:rFonts w:ascii="宋体" w:eastAsia="宋体" w:hAnsi="宋体" w:cs="宋体"/>
          <w:b/>
          <w:sz w:val="28"/>
          <w:szCs w:val="28"/>
        </w:rPr>
      </w:pPr>
      <w:r w:rsidRPr="000B25E0">
        <w:rPr>
          <w:rFonts w:ascii="宋体" w:eastAsia="宋体" w:hAnsi="宋体" w:cs="宋体" w:hint="eastAsia"/>
          <w:b/>
          <w:sz w:val="28"/>
          <w:szCs w:val="28"/>
        </w:rPr>
        <w:t xml:space="preserve">第一部分 (14学时) </w:t>
      </w:r>
    </w:p>
    <w:p w14:paraId="28D4D771" w14:textId="77777777" w:rsidR="000B25E0" w:rsidRPr="000B25E0" w:rsidRDefault="000B25E0" w:rsidP="000B25E0">
      <w:pPr>
        <w:spacing w:line="500" w:lineRule="exact"/>
        <w:ind w:firstLineChars="200" w:firstLine="482"/>
        <w:rPr>
          <w:rFonts w:ascii="Calibri" w:eastAsia="宋体" w:hAnsi="Calibri" w:cs="Times New Roman"/>
          <w:sz w:val="24"/>
        </w:rPr>
      </w:pPr>
      <w:r w:rsidRPr="000B25E0">
        <w:rPr>
          <w:rFonts w:ascii="Calibri" w:eastAsia="宋体" w:hAnsi="Calibri" w:cs="Times New Roman"/>
          <w:b/>
          <w:sz w:val="24"/>
        </w:rPr>
        <w:t>本</w:t>
      </w:r>
      <w:r w:rsidRPr="000B25E0">
        <w:rPr>
          <w:rFonts w:ascii="Calibri" w:eastAsia="宋体" w:hAnsi="Calibri" w:cs="Times New Roman" w:hint="eastAsia"/>
          <w:b/>
          <w:sz w:val="24"/>
        </w:rPr>
        <w:t>部分</w:t>
      </w:r>
      <w:r w:rsidRPr="000B25E0">
        <w:rPr>
          <w:rFonts w:ascii="Calibri" w:eastAsia="宋体" w:hAnsi="Calibri" w:cs="Times New Roman"/>
          <w:b/>
          <w:sz w:val="24"/>
        </w:rPr>
        <w:t>主要教学内容：</w:t>
      </w:r>
      <w:r w:rsidRPr="000B25E0">
        <w:rPr>
          <w:rFonts w:ascii="Calibri" w:eastAsia="宋体" w:hAnsi="Calibri" w:cs="Times New Roman" w:hint="eastAsia"/>
          <w:sz w:val="24"/>
        </w:rPr>
        <w:t>介绍轮滑的有关知识和具体安全性要求等等；轮滑站姿；单腿原地静止练习（单脚支撑能力和脚踝力量）；单腿滑行；两腿交替蹬动滑行。</w:t>
      </w:r>
    </w:p>
    <w:p w14:paraId="0859D8F4" w14:textId="77777777" w:rsidR="000B25E0" w:rsidRPr="000B25E0" w:rsidRDefault="000B25E0" w:rsidP="000B25E0">
      <w:pPr>
        <w:spacing w:line="500" w:lineRule="exact"/>
        <w:ind w:firstLineChars="200" w:firstLine="482"/>
        <w:rPr>
          <w:rFonts w:ascii="Calibri" w:eastAsia="宋体" w:hAnsi="Calibri" w:cs="Times New Roman"/>
          <w:sz w:val="24"/>
        </w:rPr>
      </w:pPr>
      <w:r w:rsidRPr="000B25E0">
        <w:rPr>
          <w:rFonts w:ascii="Calibri" w:eastAsia="宋体" w:hAnsi="Calibri" w:cs="Times New Roman"/>
          <w:b/>
          <w:sz w:val="24"/>
        </w:rPr>
        <w:t>本</w:t>
      </w:r>
      <w:r w:rsidRPr="000B25E0">
        <w:rPr>
          <w:rFonts w:ascii="Calibri" w:eastAsia="宋体" w:hAnsi="Calibri" w:cs="Times New Roman" w:hint="eastAsia"/>
          <w:b/>
          <w:sz w:val="24"/>
        </w:rPr>
        <w:t>部</w:t>
      </w:r>
      <w:proofErr w:type="gramStart"/>
      <w:r w:rsidRPr="000B25E0">
        <w:rPr>
          <w:rFonts w:ascii="Calibri" w:eastAsia="宋体" w:hAnsi="Calibri" w:cs="Times New Roman" w:hint="eastAsia"/>
          <w:b/>
          <w:sz w:val="24"/>
        </w:rPr>
        <w:t>分</w:t>
      </w:r>
      <w:r w:rsidRPr="000B25E0">
        <w:rPr>
          <w:rFonts w:ascii="Calibri" w:eastAsia="宋体" w:hAnsi="Calibri" w:cs="Times New Roman"/>
          <w:b/>
          <w:sz w:val="24"/>
        </w:rPr>
        <w:t>教学</w:t>
      </w:r>
      <w:proofErr w:type="gramEnd"/>
      <w:r w:rsidRPr="000B25E0">
        <w:rPr>
          <w:rFonts w:ascii="Calibri" w:eastAsia="宋体" w:hAnsi="Calibri" w:cs="Times New Roman"/>
          <w:b/>
          <w:sz w:val="24"/>
        </w:rPr>
        <w:t>目的及要求：</w:t>
      </w:r>
      <w:r w:rsidRPr="000B25E0">
        <w:rPr>
          <w:rFonts w:ascii="Calibri" w:eastAsia="宋体" w:hAnsi="Calibri" w:cs="Times New Roman" w:hint="eastAsia"/>
          <w:sz w:val="24"/>
        </w:rPr>
        <w:t>介绍轮滑的有关知识和具体安全性要求等等；轮滑站姿规范；单腿原地静止练习（单脚支撑能力和脚踝力量的加强）；单腿滑行稳定性；初步学习两腿交替蹬动滑行。</w:t>
      </w:r>
    </w:p>
    <w:p w14:paraId="79E4C661" w14:textId="77777777" w:rsidR="000B25E0" w:rsidRPr="000B25E0" w:rsidRDefault="000B25E0" w:rsidP="000B25E0">
      <w:pPr>
        <w:adjustRightInd w:val="0"/>
        <w:snapToGrid w:val="0"/>
        <w:spacing w:line="500" w:lineRule="exact"/>
        <w:ind w:left="480" w:hangingChars="200" w:hanging="480"/>
        <w:rPr>
          <w:rFonts w:ascii="Calibri" w:eastAsia="宋体" w:hAnsi="Calibri" w:cs="Times New Roman"/>
          <w:sz w:val="24"/>
        </w:rPr>
      </w:pPr>
      <w:r w:rsidRPr="000B25E0">
        <w:rPr>
          <w:rFonts w:ascii="Calibri" w:eastAsia="宋体" w:hAnsi="Calibri" w:cs="Times New Roman"/>
          <w:sz w:val="24"/>
        </w:rPr>
        <w:t xml:space="preserve">    </w:t>
      </w:r>
      <w:r w:rsidRPr="000B25E0">
        <w:rPr>
          <w:rFonts w:ascii="Calibri" w:eastAsia="宋体" w:hAnsi="Calibri" w:cs="Times New Roman"/>
          <w:b/>
          <w:sz w:val="24"/>
        </w:rPr>
        <w:t>本</w:t>
      </w:r>
      <w:r w:rsidRPr="000B25E0">
        <w:rPr>
          <w:rFonts w:ascii="Calibri" w:eastAsia="宋体" w:hAnsi="Calibri" w:cs="Times New Roman" w:hint="eastAsia"/>
          <w:b/>
          <w:sz w:val="24"/>
        </w:rPr>
        <w:t>部</w:t>
      </w:r>
      <w:proofErr w:type="gramStart"/>
      <w:r w:rsidRPr="000B25E0">
        <w:rPr>
          <w:rFonts w:ascii="Calibri" w:eastAsia="宋体" w:hAnsi="Calibri" w:cs="Times New Roman" w:hint="eastAsia"/>
          <w:b/>
          <w:sz w:val="24"/>
        </w:rPr>
        <w:t>分</w:t>
      </w:r>
      <w:r w:rsidRPr="000B25E0">
        <w:rPr>
          <w:rFonts w:ascii="Calibri" w:eastAsia="宋体" w:hAnsi="Calibri" w:cs="Times New Roman"/>
          <w:b/>
          <w:sz w:val="24"/>
        </w:rPr>
        <w:t>教学</w:t>
      </w:r>
      <w:proofErr w:type="gramEnd"/>
      <w:r w:rsidRPr="000B25E0">
        <w:rPr>
          <w:rFonts w:ascii="Calibri" w:eastAsia="宋体" w:hAnsi="Calibri" w:cs="Times New Roman"/>
          <w:b/>
          <w:sz w:val="24"/>
        </w:rPr>
        <w:t>重点及难点：</w:t>
      </w:r>
      <w:r w:rsidRPr="000B25E0">
        <w:rPr>
          <w:rFonts w:ascii="Calibri" w:eastAsia="宋体" w:hAnsi="Calibri" w:cs="Times New Roman" w:hint="eastAsia"/>
          <w:sz w:val="24"/>
        </w:rPr>
        <w:t>安全性要求；腿部，踝关节力量的增强。难点单腿静止及滑行中稳定性。</w:t>
      </w:r>
    </w:p>
    <w:p w14:paraId="589B6ADA" w14:textId="77777777" w:rsidR="000B25E0" w:rsidRPr="000B25E0" w:rsidRDefault="000B25E0" w:rsidP="000B25E0">
      <w:pPr>
        <w:adjustRightInd w:val="0"/>
        <w:snapToGrid w:val="0"/>
        <w:spacing w:line="500" w:lineRule="exact"/>
        <w:jc w:val="center"/>
        <w:rPr>
          <w:rFonts w:ascii="宋体" w:eastAsia="宋体" w:hAnsi="宋体" w:cs="宋体"/>
          <w:b/>
          <w:sz w:val="28"/>
          <w:szCs w:val="28"/>
        </w:rPr>
      </w:pPr>
      <w:r w:rsidRPr="000B25E0">
        <w:rPr>
          <w:rFonts w:ascii="宋体" w:eastAsia="宋体" w:hAnsi="宋体" w:cs="宋体" w:hint="eastAsia"/>
          <w:b/>
          <w:sz w:val="28"/>
          <w:szCs w:val="28"/>
        </w:rPr>
        <w:t xml:space="preserve">第二部分(12学时)   </w:t>
      </w:r>
    </w:p>
    <w:p w14:paraId="5D5F1186" w14:textId="77777777" w:rsidR="000B25E0" w:rsidRPr="000B25E0" w:rsidRDefault="000B25E0" w:rsidP="000B25E0">
      <w:pPr>
        <w:spacing w:line="500" w:lineRule="exact"/>
        <w:ind w:firstLineChars="200" w:firstLine="482"/>
        <w:rPr>
          <w:rFonts w:ascii="Calibri" w:eastAsia="宋体" w:hAnsi="Calibri" w:cs="Times New Roman"/>
          <w:sz w:val="24"/>
        </w:rPr>
      </w:pPr>
      <w:r w:rsidRPr="000B25E0">
        <w:rPr>
          <w:rFonts w:ascii="Calibri" w:eastAsia="宋体" w:hAnsi="Calibri" w:cs="Times New Roman"/>
          <w:b/>
          <w:sz w:val="24"/>
        </w:rPr>
        <w:lastRenderedPageBreak/>
        <w:t>本部分主要教学内容：</w:t>
      </w:r>
      <w:r w:rsidRPr="000B25E0">
        <w:rPr>
          <w:rFonts w:ascii="Calibri" w:eastAsia="宋体" w:hAnsi="Calibri" w:cs="Times New Roman" w:hint="eastAsia"/>
          <w:sz w:val="24"/>
        </w:rPr>
        <w:t>学习各种停止法。规范、深入、巩固学习两腿交替蹬动滑行。</w:t>
      </w:r>
    </w:p>
    <w:p w14:paraId="233023D6" w14:textId="77777777" w:rsidR="000B25E0" w:rsidRPr="000B25E0" w:rsidRDefault="000B25E0" w:rsidP="000B25E0">
      <w:pPr>
        <w:spacing w:line="500" w:lineRule="exact"/>
        <w:ind w:firstLineChars="200" w:firstLine="482"/>
        <w:rPr>
          <w:rFonts w:ascii="Calibri" w:eastAsia="宋体" w:hAnsi="Calibri" w:cs="Times New Roman"/>
          <w:sz w:val="24"/>
        </w:rPr>
      </w:pPr>
      <w:r w:rsidRPr="000B25E0">
        <w:rPr>
          <w:rFonts w:ascii="Calibri" w:eastAsia="宋体" w:hAnsi="Calibri" w:cs="Times New Roman"/>
          <w:b/>
          <w:sz w:val="24"/>
        </w:rPr>
        <w:t>本部</w:t>
      </w:r>
      <w:proofErr w:type="gramStart"/>
      <w:r w:rsidRPr="000B25E0">
        <w:rPr>
          <w:rFonts w:ascii="Calibri" w:eastAsia="宋体" w:hAnsi="Calibri" w:cs="Times New Roman"/>
          <w:b/>
          <w:sz w:val="24"/>
        </w:rPr>
        <w:t>分教学</w:t>
      </w:r>
      <w:proofErr w:type="gramEnd"/>
      <w:r w:rsidRPr="000B25E0">
        <w:rPr>
          <w:rFonts w:ascii="Calibri" w:eastAsia="宋体" w:hAnsi="Calibri" w:cs="Times New Roman"/>
          <w:b/>
          <w:sz w:val="24"/>
        </w:rPr>
        <w:t>目的及要求：</w:t>
      </w:r>
      <w:r w:rsidRPr="000B25E0">
        <w:rPr>
          <w:rFonts w:ascii="Calibri" w:eastAsia="宋体" w:hAnsi="Calibri" w:cs="Times New Roman" w:hint="eastAsia"/>
          <w:sz w:val="24"/>
        </w:rPr>
        <w:t>基本掌握各种停止法。规范、深入、巩固学习两腿交替蹬动滑行技术。</w:t>
      </w:r>
    </w:p>
    <w:p w14:paraId="08DBA0A3"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sz w:val="24"/>
        </w:rPr>
        <w:t xml:space="preserve"> </w:t>
      </w:r>
      <w:r w:rsidRPr="000B25E0">
        <w:rPr>
          <w:rFonts w:ascii="Calibri" w:eastAsia="宋体" w:hAnsi="Calibri" w:cs="Times New Roman"/>
          <w:b/>
          <w:sz w:val="24"/>
        </w:rPr>
        <w:t>本部</w:t>
      </w:r>
      <w:proofErr w:type="gramStart"/>
      <w:r w:rsidRPr="000B25E0">
        <w:rPr>
          <w:rFonts w:ascii="Calibri" w:eastAsia="宋体" w:hAnsi="Calibri" w:cs="Times New Roman"/>
          <w:b/>
          <w:sz w:val="24"/>
        </w:rPr>
        <w:t>分教学</w:t>
      </w:r>
      <w:proofErr w:type="gramEnd"/>
      <w:r w:rsidRPr="000B25E0">
        <w:rPr>
          <w:rFonts w:ascii="Calibri" w:eastAsia="宋体" w:hAnsi="Calibri" w:cs="Times New Roman"/>
          <w:b/>
          <w:sz w:val="24"/>
        </w:rPr>
        <w:t>重点及难点：</w:t>
      </w:r>
      <w:r w:rsidRPr="000B25E0">
        <w:rPr>
          <w:rFonts w:ascii="宋体" w:eastAsia="宋体" w:hAnsi="Calibri" w:cs="宋体" w:hint="eastAsia"/>
          <w:sz w:val="24"/>
          <w:lang w:val="zh-CN"/>
        </w:rPr>
        <w:t>单脚支撑能力和脚踝力量；难点是两腿重心的到位。</w:t>
      </w:r>
    </w:p>
    <w:p w14:paraId="6CAE4329"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宋体" w:hint="eastAsia"/>
          <w:b/>
          <w:sz w:val="28"/>
          <w:szCs w:val="28"/>
        </w:rPr>
        <w:t>第三部分</w:t>
      </w:r>
      <w:r w:rsidRPr="000B25E0">
        <w:rPr>
          <w:rFonts w:ascii="宋体" w:eastAsia="宋体" w:hAnsi="宋体" w:cs="Times New Roman" w:hint="eastAsia"/>
          <w:b/>
          <w:sz w:val="28"/>
          <w:szCs w:val="28"/>
        </w:rPr>
        <w:t xml:space="preserve"> 身体素质（6学时）</w:t>
      </w:r>
    </w:p>
    <w:p w14:paraId="745373B4" w14:textId="77777777" w:rsidR="000B25E0" w:rsidRPr="000B25E0" w:rsidRDefault="000B25E0" w:rsidP="000B25E0">
      <w:pPr>
        <w:autoSpaceDE w:val="0"/>
        <w:autoSpaceDN w:val="0"/>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408AAB50"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3.1速度素质、耐力素质、灵敏素质。</w:t>
      </w:r>
    </w:p>
    <w:p w14:paraId="22DAFDB2"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sz w:val="24"/>
        </w:rPr>
        <w:t>教学目的及要求</w:t>
      </w:r>
      <w:r w:rsidRPr="000B25E0">
        <w:rPr>
          <w:rFonts w:ascii="Calibri" w:eastAsia="宋体" w:hAnsi="Calibri" w:cs="Times New Roman" w:hint="eastAsia"/>
          <w:sz w:val="24"/>
        </w:rPr>
        <w:t>：使学生掌握轮滑运动需要的基本身体素质。</w:t>
      </w:r>
      <w:r w:rsidRPr="000B25E0">
        <w:rPr>
          <w:rFonts w:ascii="Calibri" w:eastAsia="宋体" w:hAnsi="Calibri" w:cs="Times New Roman" w:hint="eastAsia"/>
          <w:sz w:val="24"/>
        </w:rPr>
        <w:t xml:space="preserve"> </w:t>
      </w:r>
    </w:p>
    <w:p w14:paraId="46436324" w14:textId="77777777" w:rsidR="000B25E0" w:rsidRPr="000B25E0" w:rsidRDefault="000B25E0" w:rsidP="000B25E0">
      <w:pPr>
        <w:adjustRightInd w:val="0"/>
        <w:snapToGrid w:val="0"/>
        <w:spacing w:line="500" w:lineRule="exact"/>
        <w:ind w:firstLineChars="200" w:firstLine="482"/>
        <w:rPr>
          <w:rFonts w:ascii="宋体" w:eastAsia="宋体" w:hAnsi="宋体" w:cs="Times New Roman"/>
          <w:bCs/>
          <w:color w:val="FF0000"/>
          <w:sz w:val="24"/>
        </w:rPr>
      </w:pPr>
      <w:r w:rsidRPr="000B25E0">
        <w:rPr>
          <w:rFonts w:ascii="Calibri" w:eastAsia="宋体" w:hAnsi="Calibri" w:cs="Times New Roman" w:hint="eastAsia"/>
          <w:b/>
          <w:sz w:val="24"/>
        </w:rPr>
        <w:t>教学重点及难点</w:t>
      </w:r>
      <w:r w:rsidRPr="000B25E0">
        <w:rPr>
          <w:rFonts w:ascii="Calibri" w:eastAsia="宋体" w:hAnsi="Calibri" w:cs="Times New Roman" w:hint="eastAsia"/>
          <w:sz w:val="24"/>
        </w:rPr>
        <w:t>：身体耐力、肌肉力量、柔韧性。</w:t>
      </w:r>
    </w:p>
    <w:p w14:paraId="223F2EE0" w14:textId="77777777" w:rsidR="000B25E0" w:rsidRPr="000B25E0" w:rsidRDefault="000B25E0" w:rsidP="000B25E0">
      <w:pPr>
        <w:spacing w:line="440" w:lineRule="exact"/>
        <w:ind w:firstLineChars="200" w:firstLine="482"/>
        <w:rPr>
          <w:rFonts w:ascii="宋体" w:eastAsia="宋体" w:hAnsi="宋体" w:cs="Times New Roman"/>
          <w:b/>
          <w:sz w:val="24"/>
        </w:rPr>
      </w:pPr>
      <w:r w:rsidRPr="000B25E0">
        <w:rPr>
          <w:rFonts w:ascii="宋体" w:eastAsia="宋体" w:hAnsi="宋体" w:cs="Times New Roman" w:hint="eastAsia"/>
          <w:b/>
          <w:sz w:val="24"/>
        </w:rPr>
        <w:t>【重点】</w:t>
      </w:r>
    </w:p>
    <w:p w14:paraId="6CF61632"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 xml:space="preserve">1.《大学体育教程》理论课程使学生对大学体育有深入理解；了解体  </w:t>
      </w:r>
    </w:p>
    <w:p w14:paraId="37BE7FAA" w14:textId="77777777" w:rsidR="000B25E0" w:rsidRPr="000B25E0" w:rsidRDefault="000B25E0" w:rsidP="000B25E0">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0B25E0">
        <w:rPr>
          <w:rFonts w:ascii="宋体" w:eastAsia="宋体" w:hAnsi="Calibri" w:cs="宋体" w:hint="eastAsia"/>
          <w:spacing w:val="5"/>
          <w:kern w:val="0"/>
          <w:sz w:val="24"/>
        </w:rPr>
        <w:t>质健康</w:t>
      </w:r>
      <w:proofErr w:type="gramEnd"/>
      <w:r w:rsidRPr="000B25E0">
        <w:rPr>
          <w:rFonts w:ascii="宋体" w:eastAsia="宋体" w:hAnsi="Calibri" w:cs="宋体" w:hint="eastAsia"/>
          <w:spacing w:val="5"/>
          <w:kern w:val="0"/>
          <w:sz w:val="24"/>
        </w:rPr>
        <w:t>标准的实施与如何评价；学会分析常见运动损伤和运动性疾病的症状。</w:t>
      </w:r>
    </w:p>
    <w:p w14:paraId="22346E35" w14:textId="77777777" w:rsidR="000B25E0" w:rsidRPr="000B25E0" w:rsidRDefault="000B25E0" w:rsidP="000B25E0">
      <w:pPr>
        <w:autoSpaceDE w:val="0"/>
        <w:autoSpaceDN w:val="0"/>
        <w:adjustRightInd w:val="0"/>
        <w:snapToGrid w:val="0"/>
        <w:spacing w:line="500" w:lineRule="exact"/>
        <w:ind w:left="490"/>
        <w:rPr>
          <w:rFonts w:ascii="宋体" w:eastAsia="宋体" w:hAnsi="Calibri" w:cs="宋体"/>
          <w:spacing w:val="5"/>
          <w:kern w:val="0"/>
          <w:sz w:val="24"/>
        </w:rPr>
      </w:pPr>
      <w:r w:rsidRPr="000B25E0">
        <w:rPr>
          <w:rFonts w:ascii="宋体" w:eastAsia="宋体" w:hAnsi="Calibri" w:cs="宋体" w:hint="eastAsia"/>
          <w:spacing w:val="5"/>
          <w:kern w:val="0"/>
          <w:sz w:val="24"/>
        </w:rPr>
        <w:t>2.轮滑运动的基本理论、基本知识和基本技能。</w:t>
      </w:r>
    </w:p>
    <w:p w14:paraId="5074ABBD"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宋体" w:cs="Times New Roman"/>
          <w:sz w:val="24"/>
        </w:rPr>
      </w:pPr>
      <w:r w:rsidRPr="000B25E0">
        <w:rPr>
          <w:rFonts w:ascii="宋体" w:eastAsia="宋体" w:hAnsi="Calibri" w:cs="宋体" w:hint="eastAsia"/>
          <w:spacing w:val="5"/>
          <w:kern w:val="0"/>
          <w:sz w:val="24"/>
        </w:rPr>
        <w:t>3.掌握一定的科学锻炼方法，扎实的理论知识。</w:t>
      </w:r>
    </w:p>
    <w:p w14:paraId="26ED4C40" w14:textId="77777777" w:rsidR="000B25E0" w:rsidRPr="000B25E0" w:rsidRDefault="000B25E0" w:rsidP="000B25E0">
      <w:pPr>
        <w:spacing w:line="440" w:lineRule="exact"/>
        <w:ind w:firstLineChars="200" w:firstLine="482"/>
        <w:rPr>
          <w:rFonts w:ascii="宋体" w:eastAsia="宋体" w:hAnsi="宋体" w:cs="Times New Roman"/>
          <w:b/>
          <w:sz w:val="24"/>
        </w:rPr>
      </w:pPr>
      <w:r w:rsidRPr="000B25E0">
        <w:rPr>
          <w:rFonts w:ascii="宋体" w:eastAsia="宋体" w:hAnsi="宋体" w:cs="Times New Roman" w:hint="eastAsia"/>
          <w:b/>
          <w:sz w:val="24"/>
        </w:rPr>
        <w:t>【难点】</w:t>
      </w:r>
    </w:p>
    <w:p w14:paraId="7892FDE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3A227748"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 xml:space="preserve">2.考虑学生原有的理论知识和实践技术，在讲授教材及大纲要求的所有知识和技术的同时，重点讲授轮滑基本技术、基本战术、裁判规则等部分，以达到理论联系实际，学以致用。 </w:t>
      </w:r>
    </w:p>
    <w:p w14:paraId="5746D734" w14:textId="77777777" w:rsidR="000B25E0" w:rsidRPr="000B25E0" w:rsidRDefault="000B25E0" w:rsidP="000B25E0">
      <w:pPr>
        <w:spacing w:line="44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 xml:space="preserve">3.在轮滑基本技术、基本战术学习的基础上，重点提高学生的轮滑技术课、理论课的组织能力培养学生研究能力。 </w:t>
      </w:r>
    </w:p>
    <w:p w14:paraId="53BABBC2" w14:textId="77777777" w:rsidR="000B25E0" w:rsidRPr="000B25E0" w:rsidRDefault="000B25E0" w:rsidP="000B25E0">
      <w:pPr>
        <w:spacing w:line="440" w:lineRule="exact"/>
        <w:ind w:firstLineChars="200" w:firstLine="482"/>
        <w:rPr>
          <w:rFonts w:ascii="宋体" w:eastAsia="宋体" w:hAnsi="宋体" w:cs="Times New Roman"/>
          <w:color w:val="FF0000"/>
          <w:sz w:val="24"/>
        </w:rPr>
      </w:pPr>
      <w:r w:rsidRPr="000B25E0">
        <w:rPr>
          <w:rFonts w:ascii="宋体" w:eastAsia="宋体" w:hAnsi="宋体" w:cs="Times New Roman" w:hint="eastAsia"/>
          <w:b/>
          <w:bCs/>
          <w:sz w:val="24"/>
        </w:rPr>
        <w:t>【实施方式】</w:t>
      </w:r>
    </w:p>
    <w:p w14:paraId="3DC1E176"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室外实践课程</w:t>
      </w:r>
    </w:p>
    <w:p w14:paraId="51F3397E"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【学习要求】</w:t>
      </w:r>
    </w:p>
    <w:p w14:paraId="7AF17781" w14:textId="77777777" w:rsidR="000B25E0" w:rsidRPr="000B25E0" w:rsidRDefault="000B25E0" w:rsidP="000B25E0">
      <w:pPr>
        <w:spacing w:line="440" w:lineRule="exact"/>
        <w:ind w:firstLineChars="200" w:firstLine="480"/>
        <w:rPr>
          <w:rFonts w:ascii="宋体" w:eastAsia="宋体" w:hAnsi="宋体" w:cs="Times New Roman"/>
          <w:b/>
          <w:sz w:val="24"/>
        </w:rPr>
      </w:pPr>
      <w:r w:rsidRPr="000B25E0">
        <w:rPr>
          <w:rFonts w:ascii="宋体" w:eastAsia="宋体" w:hAnsi="宋体" w:cs="Times New Roman" w:hint="eastAsia"/>
          <w:sz w:val="24"/>
        </w:rPr>
        <w:t>1</w:t>
      </w:r>
      <w:r w:rsidRPr="000B25E0">
        <w:rPr>
          <w:rFonts w:ascii="宋体" w:eastAsia="宋体" w:hAnsi="宋体" w:cs="Times New Roman"/>
          <w:sz w:val="24"/>
        </w:rPr>
        <w:t xml:space="preserve">. </w:t>
      </w:r>
      <w:r w:rsidRPr="000B25E0">
        <w:rPr>
          <w:rFonts w:ascii="宋体" w:eastAsia="宋体" w:hAnsi="宋体" w:cs="Times New Roman" w:hint="eastAsia"/>
          <w:sz w:val="24"/>
        </w:rPr>
        <w:t>了解大学体育课程的性质和授课方式，学分情况和进行网上选项课，开设的</w:t>
      </w:r>
      <w:r w:rsidRPr="000B25E0">
        <w:rPr>
          <w:rFonts w:ascii="宋体" w:eastAsia="宋体" w:hAnsi="宋体" w:cs="Times New Roman" w:hint="eastAsia"/>
          <w:sz w:val="24"/>
        </w:rPr>
        <w:lastRenderedPageBreak/>
        <w:t>15门选项课程，课堂常识和安全注意事项。</w:t>
      </w:r>
    </w:p>
    <w:p w14:paraId="1C827CD0"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0B25E0">
        <w:rPr>
          <w:rFonts w:ascii="宋体" w:eastAsia="宋体" w:hAnsi="宋体" w:cs="Times New Roman" w:hint="eastAsia"/>
          <w:sz w:val="24"/>
        </w:rPr>
        <w:t>缓测免</w:t>
      </w:r>
      <w:proofErr w:type="gramEnd"/>
      <w:r w:rsidRPr="000B25E0">
        <w:rPr>
          <w:rFonts w:ascii="宋体" w:eastAsia="宋体" w:hAnsi="宋体" w:cs="Times New Roman" w:hint="eastAsia"/>
          <w:sz w:val="24"/>
        </w:rPr>
        <w:t>测的申请流程以及掌握测验时间。</w:t>
      </w:r>
    </w:p>
    <w:p w14:paraId="54FAEF3C"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3</w:t>
      </w:r>
      <w:r w:rsidRPr="000B25E0">
        <w:rPr>
          <w:rFonts w:ascii="宋体" w:eastAsia="宋体" w:hAnsi="宋体" w:cs="Times New Roman"/>
          <w:sz w:val="24"/>
        </w:rPr>
        <w:t>.</w:t>
      </w:r>
      <w:r w:rsidRPr="000B25E0">
        <w:rPr>
          <w:rFonts w:ascii="宋体" w:eastAsia="宋体" w:hAnsi="宋体" w:cs="Times New Roman" w:hint="eastAsia"/>
          <w:sz w:val="24"/>
        </w:rPr>
        <w:t>运用轮滑基础课程</w:t>
      </w:r>
    </w:p>
    <w:p w14:paraId="39B8A910" w14:textId="77777777" w:rsidR="000B25E0" w:rsidRPr="000B25E0" w:rsidRDefault="000B25E0" w:rsidP="000B25E0">
      <w:pPr>
        <w:spacing w:line="440" w:lineRule="exact"/>
        <w:ind w:firstLineChars="200" w:firstLine="482"/>
        <w:rPr>
          <w:rFonts w:ascii="宋体" w:eastAsia="宋体" w:hAnsi="宋体" w:cs="Times New Roman"/>
          <w:sz w:val="24"/>
        </w:rPr>
      </w:pPr>
      <w:r w:rsidRPr="000B25E0">
        <w:rPr>
          <w:rFonts w:ascii="宋体" w:eastAsia="宋体" w:hAnsi="宋体" w:cs="Times New Roman" w:hint="eastAsia"/>
          <w:b/>
          <w:sz w:val="24"/>
        </w:rPr>
        <w:t>【实践要求】</w:t>
      </w:r>
    </w:p>
    <w:p w14:paraId="7C3AA399"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1.实践属性：综合训练型</w:t>
      </w:r>
    </w:p>
    <w:p w14:paraId="70A32E26"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2.工作流程：开始部分，准备部分，基本部分，结束部分</w:t>
      </w:r>
    </w:p>
    <w:p w14:paraId="3F2E5487"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3.分组要求：自然班和选项班，不超过45人。</w:t>
      </w:r>
    </w:p>
    <w:p w14:paraId="6F6D8818"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580B04BE"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5.时间安排：每周2学时</w:t>
      </w:r>
    </w:p>
    <w:p w14:paraId="39C1C8F6"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6.其他要求：</w:t>
      </w:r>
    </w:p>
    <w:p w14:paraId="5A475A56" w14:textId="77777777" w:rsidR="000B25E0" w:rsidRPr="000B25E0" w:rsidRDefault="000B25E0" w:rsidP="000B25E0">
      <w:pPr>
        <w:spacing w:beforeLines="50" w:before="156" w:afterLines="50" w:after="156" w:line="440" w:lineRule="exact"/>
        <w:ind w:left="561"/>
        <w:rPr>
          <w:rFonts w:ascii="仿宋" w:eastAsia="仿宋" w:hAnsi="仿宋" w:cs="Times New Roman"/>
          <w:sz w:val="24"/>
        </w:rPr>
      </w:pPr>
      <w:r w:rsidRPr="000B25E0">
        <w:rPr>
          <w:rFonts w:ascii="黑体" w:eastAsia="黑体" w:hAnsi="黑体" w:cs="Times New Roman" w:hint="eastAsia"/>
          <w:sz w:val="28"/>
          <w:szCs w:val="28"/>
        </w:rPr>
        <w:t>（二）课程学习内容与课程学习目标的对应关系</w:t>
      </w:r>
      <w:r w:rsidRPr="000B25E0">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0B25E0" w:rsidRPr="000B25E0" w14:paraId="246BE81A" w14:textId="77777777" w:rsidTr="00BF5EF3">
        <w:trPr>
          <w:trHeight w:val="660"/>
          <w:jc w:val="center"/>
        </w:trPr>
        <w:tc>
          <w:tcPr>
            <w:tcW w:w="3403" w:type="dxa"/>
            <w:vAlign w:val="center"/>
          </w:tcPr>
          <w:p w14:paraId="7E616E54"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实践内容</w:t>
            </w:r>
          </w:p>
        </w:tc>
        <w:tc>
          <w:tcPr>
            <w:tcW w:w="2693" w:type="dxa"/>
            <w:vAlign w:val="center"/>
          </w:tcPr>
          <w:p w14:paraId="7AD28B97"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实施方式</w:t>
            </w:r>
          </w:p>
        </w:tc>
        <w:tc>
          <w:tcPr>
            <w:tcW w:w="1985" w:type="dxa"/>
            <w:vAlign w:val="center"/>
          </w:tcPr>
          <w:p w14:paraId="7A422274"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支撑的课程目标</w:t>
            </w:r>
          </w:p>
        </w:tc>
        <w:tc>
          <w:tcPr>
            <w:tcW w:w="1276" w:type="dxa"/>
            <w:vAlign w:val="center"/>
          </w:tcPr>
          <w:p w14:paraId="5630AD0E"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学时安排</w:t>
            </w:r>
          </w:p>
        </w:tc>
      </w:tr>
      <w:tr w:rsidR="000B25E0" w:rsidRPr="000B25E0" w14:paraId="64A5BC77" w14:textId="77777777" w:rsidTr="00BF5EF3">
        <w:trPr>
          <w:trHeight w:val="514"/>
          <w:jc w:val="center"/>
        </w:trPr>
        <w:tc>
          <w:tcPr>
            <w:tcW w:w="3403" w:type="dxa"/>
            <w:vAlign w:val="center"/>
          </w:tcPr>
          <w:p w14:paraId="5AB3E424"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学习内容</w:t>
            </w:r>
            <w:proofErr w:type="gramStart"/>
            <w:r w:rsidRPr="000B25E0">
              <w:rPr>
                <w:rFonts w:ascii="宋体" w:eastAsia="宋体" w:hAnsi="宋体" w:cs="Times New Roman" w:hint="eastAsia"/>
                <w:sz w:val="24"/>
              </w:rPr>
              <w:t>一</w:t>
            </w:r>
            <w:proofErr w:type="gramEnd"/>
            <w:r w:rsidRPr="000B25E0">
              <w:rPr>
                <w:rFonts w:ascii="宋体" w:eastAsia="宋体" w:hAnsi="宋体" w:cs="Times New Roman" w:hint="eastAsia"/>
                <w:sz w:val="24"/>
              </w:rPr>
              <w:t xml:space="preserve"> 体能+轮滑 </w:t>
            </w:r>
          </w:p>
          <w:p w14:paraId="424429D8"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4C062B78"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23BE78EE"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5D32103C"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3C6C821A" w14:textId="77777777" w:rsidTr="00BF5EF3">
        <w:trPr>
          <w:trHeight w:val="90"/>
          <w:jc w:val="center"/>
        </w:trPr>
        <w:tc>
          <w:tcPr>
            <w:tcW w:w="3403" w:type="dxa"/>
            <w:vAlign w:val="center"/>
          </w:tcPr>
          <w:p w14:paraId="453C05EF"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 xml:space="preserve">学习内容二 轮滑1 </w:t>
            </w:r>
          </w:p>
          <w:p w14:paraId="2ABC8076"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1C98F228"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328EA05B"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24AA82E6"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0D1AA1F6" w14:textId="77777777" w:rsidTr="00BF5EF3">
        <w:trPr>
          <w:jc w:val="center"/>
        </w:trPr>
        <w:tc>
          <w:tcPr>
            <w:tcW w:w="3403" w:type="dxa"/>
            <w:vAlign w:val="center"/>
          </w:tcPr>
          <w:p w14:paraId="29C80367"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学习内容三 轮滑 2</w:t>
            </w:r>
          </w:p>
          <w:p w14:paraId="793745BB"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587B036E"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023F6D67"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5654C51C"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05CFFDE8" w14:textId="77777777" w:rsidTr="00BF5EF3">
        <w:trPr>
          <w:jc w:val="center"/>
        </w:trPr>
        <w:tc>
          <w:tcPr>
            <w:tcW w:w="3403" w:type="dxa"/>
            <w:vAlign w:val="center"/>
          </w:tcPr>
          <w:p w14:paraId="51C41C3A"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学习内容四 轮滑 3</w:t>
            </w:r>
          </w:p>
          <w:p w14:paraId="6B7BD04F"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07F34E7B"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1C1667D4"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2299EAC3"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4C30555B" w14:textId="77777777" w:rsidTr="00BF5EF3">
        <w:trPr>
          <w:jc w:val="center"/>
        </w:trPr>
        <w:tc>
          <w:tcPr>
            <w:tcW w:w="8081" w:type="dxa"/>
            <w:gridSpan w:val="3"/>
            <w:vAlign w:val="center"/>
          </w:tcPr>
          <w:p w14:paraId="174C5033"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合计</w:t>
            </w:r>
          </w:p>
        </w:tc>
        <w:tc>
          <w:tcPr>
            <w:tcW w:w="1276" w:type="dxa"/>
            <w:vAlign w:val="center"/>
          </w:tcPr>
          <w:p w14:paraId="65AD80BA"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128</w:t>
            </w:r>
          </w:p>
        </w:tc>
      </w:tr>
    </w:tbl>
    <w:p w14:paraId="75477293"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四、课程考核及与课程学习目标的对应关系</w:t>
      </w:r>
    </w:p>
    <w:p w14:paraId="51036E88"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lastRenderedPageBreak/>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56"/>
        <w:gridCol w:w="3885"/>
        <w:gridCol w:w="1999"/>
      </w:tblGrid>
      <w:tr w:rsidR="000B25E0" w:rsidRPr="000B25E0" w14:paraId="268F8D85" w14:textId="77777777" w:rsidTr="00BF5EF3">
        <w:trPr>
          <w:trHeight w:val="515"/>
          <w:jc w:val="center"/>
        </w:trPr>
        <w:tc>
          <w:tcPr>
            <w:tcW w:w="3456" w:type="dxa"/>
          </w:tcPr>
          <w:p w14:paraId="0BB43E70"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课程目标</w:t>
            </w:r>
          </w:p>
        </w:tc>
        <w:tc>
          <w:tcPr>
            <w:tcW w:w="3885" w:type="dxa"/>
            <w:vAlign w:val="center"/>
          </w:tcPr>
          <w:p w14:paraId="1CCBF8CD"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考核内容</w:t>
            </w:r>
          </w:p>
        </w:tc>
        <w:tc>
          <w:tcPr>
            <w:tcW w:w="1999" w:type="dxa"/>
            <w:vAlign w:val="center"/>
          </w:tcPr>
          <w:p w14:paraId="58148718"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考核方式</w:t>
            </w:r>
          </w:p>
        </w:tc>
      </w:tr>
      <w:tr w:rsidR="000B25E0" w:rsidRPr="000B25E0" w14:paraId="3C374AC8" w14:textId="77777777" w:rsidTr="00BF5EF3">
        <w:trPr>
          <w:jc w:val="center"/>
        </w:trPr>
        <w:tc>
          <w:tcPr>
            <w:tcW w:w="3456" w:type="dxa"/>
            <w:vAlign w:val="center"/>
          </w:tcPr>
          <w:p w14:paraId="6C34ED13"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课程目标1、2、3（第1学期）</w:t>
            </w:r>
          </w:p>
        </w:tc>
        <w:tc>
          <w:tcPr>
            <w:tcW w:w="3885" w:type="dxa"/>
            <w:vAlign w:val="center"/>
          </w:tcPr>
          <w:p w14:paraId="4577CFDD"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大学生体质健康标准测试(立定跳远)；单腿直道滑行</w:t>
            </w:r>
          </w:p>
        </w:tc>
        <w:tc>
          <w:tcPr>
            <w:tcW w:w="1999" w:type="dxa"/>
            <w:vAlign w:val="center"/>
          </w:tcPr>
          <w:p w14:paraId="206E22BC"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随堂技术考核</w:t>
            </w:r>
          </w:p>
        </w:tc>
      </w:tr>
      <w:tr w:rsidR="000B25E0" w:rsidRPr="000B25E0" w14:paraId="0E081C1D" w14:textId="77777777" w:rsidTr="00BF5EF3">
        <w:trPr>
          <w:jc w:val="center"/>
        </w:trPr>
        <w:tc>
          <w:tcPr>
            <w:tcW w:w="3456" w:type="dxa"/>
            <w:vAlign w:val="center"/>
          </w:tcPr>
          <w:p w14:paraId="303CB53F"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课程目标3（第2学期）</w:t>
            </w:r>
          </w:p>
        </w:tc>
        <w:tc>
          <w:tcPr>
            <w:tcW w:w="3885" w:type="dxa"/>
            <w:vAlign w:val="center"/>
          </w:tcPr>
          <w:p w14:paraId="2401FC84" w14:textId="77777777" w:rsidR="000B25E0" w:rsidRPr="000B25E0" w:rsidRDefault="000B25E0" w:rsidP="000B25E0">
            <w:pPr>
              <w:spacing w:line="440" w:lineRule="exact"/>
              <w:rPr>
                <w:rFonts w:ascii="宋体" w:eastAsia="宋体" w:hAnsi="宋体" w:cs="Times New Roman"/>
                <w:bCs/>
                <w:color w:val="FF0000"/>
                <w:sz w:val="24"/>
              </w:rPr>
            </w:pPr>
            <w:r w:rsidRPr="000B25E0">
              <w:rPr>
                <w:rFonts w:ascii="Calibri" w:eastAsia="宋体" w:hAnsi="Calibri" w:cs="Times New Roman" w:hint="eastAsia"/>
                <w:sz w:val="24"/>
              </w:rPr>
              <w:t>单腿</w:t>
            </w:r>
            <w:proofErr w:type="gramStart"/>
            <w:r w:rsidRPr="000B25E0">
              <w:rPr>
                <w:rFonts w:ascii="Calibri" w:eastAsia="宋体" w:hAnsi="Calibri" w:cs="Times New Roman" w:hint="eastAsia"/>
                <w:sz w:val="24"/>
              </w:rPr>
              <w:t>直道正</w:t>
            </w:r>
            <w:proofErr w:type="gramEnd"/>
            <w:r w:rsidRPr="000B25E0">
              <w:rPr>
                <w:rFonts w:ascii="Calibri" w:eastAsia="宋体" w:hAnsi="Calibri" w:cs="Times New Roman" w:hint="eastAsia"/>
                <w:sz w:val="24"/>
              </w:rPr>
              <w:t>滑技术；连续双腿交替直道滑行技术</w:t>
            </w:r>
          </w:p>
        </w:tc>
        <w:tc>
          <w:tcPr>
            <w:tcW w:w="1999" w:type="dxa"/>
            <w:vAlign w:val="center"/>
          </w:tcPr>
          <w:p w14:paraId="7B412A7E"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随堂技术考核</w:t>
            </w:r>
          </w:p>
        </w:tc>
      </w:tr>
      <w:tr w:rsidR="000B25E0" w:rsidRPr="000B25E0" w14:paraId="16538E77" w14:textId="77777777" w:rsidTr="00BF5EF3">
        <w:trPr>
          <w:jc w:val="center"/>
        </w:trPr>
        <w:tc>
          <w:tcPr>
            <w:tcW w:w="3456" w:type="dxa"/>
            <w:vAlign w:val="center"/>
          </w:tcPr>
          <w:p w14:paraId="682B2D38"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课程目标3（第3学期）</w:t>
            </w:r>
          </w:p>
        </w:tc>
        <w:tc>
          <w:tcPr>
            <w:tcW w:w="3885" w:type="dxa"/>
            <w:vAlign w:val="center"/>
          </w:tcPr>
          <w:p w14:paraId="5B72AF62" w14:textId="77777777" w:rsidR="000B25E0" w:rsidRPr="000B25E0" w:rsidRDefault="000B25E0" w:rsidP="000B25E0">
            <w:pPr>
              <w:spacing w:line="440" w:lineRule="exact"/>
              <w:rPr>
                <w:rFonts w:ascii="宋体" w:eastAsia="宋体" w:hAnsi="宋体" w:cs="Times New Roman"/>
                <w:bCs/>
                <w:color w:val="FF0000"/>
                <w:sz w:val="24"/>
              </w:rPr>
            </w:pPr>
            <w:r w:rsidRPr="000B25E0">
              <w:rPr>
                <w:rFonts w:ascii="宋体" w:eastAsia="宋体" w:hAnsi="Calibri" w:cs="Times New Roman" w:hint="eastAsia"/>
                <w:bCs/>
                <w:kern w:val="0"/>
                <w:sz w:val="24"/>
              </w:rPr>
              <w:t>连续弯道滑行</w:t>
            </w:r>
            <w:r w:rsidRPr="000B25E0">
              <w:rPr>
                <w:rFonts w:ascii="Calibri" w:eastAsia="宋体" w:hAnsi="Calibri" w:cs="Times New Roman" w:hint="eastAsia"/>
                <w:sz w:val="24"/>
              </w:rPr>
              <w:t>技术，连续直道弯道滑行综合技术</w:t>
            </w:r>
          </w:p>
        </w:tc>
        <w:tc>
          <w:tcPr>
            <w:tcW w:w="1999" w:type="dxa"/>
            <w:vAlign w:val="center"/>
          </w:tcPr>
          <w:p w14:paraId="59BF2DF9"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随堂技术考核</w:t>
            </w:r>
          </w:p>
        </w:tc>
      </w:tr>
      <w:tr w:rsidR="000B25E0" w:rsidRPr="000B25E0" w14:paraId="0A45436D" w14:textId="77777777" w:rsidTr="00BF5EF3">
        <w:trPr>
          <w:jc w:val="center"/>
        </w:trPr>
        <w:tc>
          <w:tcPr>
            <w:tcW w:w="3456" w:type="dxa"/>
            <w:vAlign w:val="center"/>
          </w:tcPr>
          <w:p w14:paraId="1E8D1904"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课程目标3（第4学期）</w:t>
            </w:r>
          </w:p>
        </w:tc>
        <w:tc>
          <w:tcPr>
            <w:tcW w:w="3885" w:type="dxa"/>
            <w:vAlign w:val="center"/>
          </w:tcPr>
          <w:p w14:paraId="26056142" w14:textId="77777777" w:rsidR="000B25E0" w:rsidRPr="000B25E0" w:rsidRDefault="000B25E0" w:rsidP="000B25E0">
            <w:pPr>
              <w:spacing w:line="440" w:lineRule="exact"/>
              <w:rPr>
                <w:rFonts w:ascii="宋体" w:eastAsia="宋体" w:hAnsi="宋体" w:cs="Times New Roman"/>
                <w:bCs/>
                <w:color w:val="FF0000"/>
                <w:sz w:val="24"/>
              </w:rPr>
            </w:pPr>
            <w:r w:rsidRPr="000B25E0">
              <w:rPr>
                <w:rFonts w:ascii="Calibri" w:eastAsia="宋体" w:hAnsi="Calibri" w:cs="Times New Roman" w:hint="eastAsia"/>
                <w:sz w:val="24"/>
              </w:rPr>
              <w:t>单腿</w:t>
            </w:r>
            <w:proofErr w:type="gramStart"/>
            <w:r w:rsidRPr="000B25E0">
              <w:rPr>
                <w:rFonts w:ascii="Calibri" w:eastAsia="宋体" w:hAnsi="Calibri" w:cs="Times New Roman" w:hint="eastAsia"/>
                <w:sz w:val="24"/>
              </w:rPr>
              <w:t>直道正</w:t>
            </w:r>
            <w:proofErr w:type="gramEnd"/>
            <w:r w:rsidRPr="000B25E0">
              <w:rPr>
                <w:rFonts w:ascii="Calibri" w:eastAsia="宋体" w:hAnsi="Calibri" w:cs="Times New Roman" w:hint="eastAsia"/>
                <w:sz w:val="24"/>
              </w:rPr>
              <w:t>滑技术；连续双腿交替直道滑行技术</w:t>
            </w:r>
          </w:p>
        </w:tc>
        <w:tc>
          <w:tcPr>
            <w:tcW w:w="1999" w:type="dxa"/>
            <w:vAlign w:val="center"/>
          </w:tcPr>
          <w:p w14:paraId="3770DA4C" w14:textId="77777777" w:rsidR="000B25E0" w:rsidRPr="000B25E0" w:rsidRDefault="000B25E0" w:rsidP="000B25E0">
            <w:pPr>
              <w:widowControl/>
              <w:jc w:val="left"/>
              <w:rPr>
                <w:rFonts w:ascii="宋体" w:eastAsia="宋体" w:hAnsi="宋体" w:cs="Times New Roman"/>
                <w:bCs/>
                <w:sz w:val="24"/>
              </w:rPr>
            </w:pPr>
            <w:r w:rsidRPr="000B25E0">
              <w:rPr>
                <w:rFonts w:ascii="宋体" w:eastAsia="宋体" w:hAnsi="宋体" w:cs="Times New Roman" w:hint="eastAsia"/>
                <w:bCs/>
                <w:sz w:val="24"/>
              </w:rPr>
              <w:t>随堂技术考核</w:t>
            </w:r>
          </w:p>
          <w:p w14:paraId="7F736DB9" w14:textId="77777777" w:rsidR="000B25E0" w:rsidRPr="000B25E0" w:rsidRDefault="000B25E0" w:rsidP="000B25E0">
            <w:pPr>
              <w:spacing w:line="440" w:lineRule="exact"/>
              <w:rPr>
                <w:rFonts w:ascii="宋体" w:eastAsia="宋体" w:hAnsi="宋体" w:cs="Times New Roman"/>
                <w:bCs/>
                <w:sz w:val="24"/>
              </w:rPr>
            </w:pPr>
          </w:p>
        </w:tc>
      </w:tr>
    </w:tbl>
    <w:p w14:paraId="1E3871C2"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（二）课程目标达成评价方式及考核比例</w:t>
      </w:r>
    </w:p>
    <w:p w14:paraId="7670EC0D"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轮滑课程</w:t>
      </w:r>
      <w:proofErr w:type="gramStart"/>
      <w:r w:rsidRPr="000B25E0">
        <w:rPr>
          <w:rFonts w:ascii="宋体" w:eastAsia="宋体" w:hAnsi="宋体" w:cs="Times New Roman" w:hint="eastAsia"/>
          <w:sz w:val="24"/>
        </w:rPr>
        <w:t>1、2、3、4每</w:t>
      </w:r>
      <w:proofErr w:type="gramEnd"/>
      <w:r w:rsidRPr="000B25E0">
        <w:rPr>
          <w:rFonts w:ascii="宋体" w:eastAsia="宋体" w:hAnsi="宋体" w:cs="Times New Roman" w:hint="eastAsia"/>
          <w:sz w:val="24"/>
        </w:rPr>
        <w:t>学期考核方式及成绩比例为：课堂表现20%</w:t>
      </w:r>
      <w:r w:rsidRPr="000B25E0">
        <w:rPr>
          <w:rFonts w:ascii="宋体" w:eastAsia="宋体" w:hAnsi="宋体" w:cs="Times New Roman"/>
          <w:sz w:val="24"/>
        </w:rPr>
        <w:t>+</w:t>
      </w:r>
      <w:r w:rsidRPr="000B25E0">
        <w:rPr>
          <w:rFonts w:ascii="宋体" w:eastAsia="宋体" w:hAnsi="宋体" w:cs="Times New Roman" w:hint="eastAsia"/>
          <w:sz w:val="24"/>
        </w:rPr>
        <w:t>期中考核30%</w:t>
      </w:r>
      <w:r w:rsidRPr="000B25E0">
        <w:rPr>
          <w:rFonts w:ascii="宋体" w:eastAsia="宋体" w:hAnsi="宋体" w:cs="Times New Roman"/>
          <w:sz w:val="24"/>
        </w:rPr>
        <w:t>+</w:t>
      </w:r>
      <w:r w:rsidRPr="000B25E0">
        <w:rPr>
          <w:rFonts w:ascii="宋体" w:eastAsia="宋体" w:hAnsi="宋体" w:cs="Times New Roman" w:hint="eastAsia"/>
          <w:sz w:val="24"/>
        </w:rPr>
        <w:t>课期</w:t>
      </w:r>
      <w:proofErr w:type="gramStart"/>
      <w:r w:rsidRPr="000B25E0">
        <w:rPr>
          <w:rFonts w:ascii="宋体" w:eastAsia="宋体" w:hAnsi="宋体" w:cs="Times New Roman" w:hint="eastAsia"/>
          <w:sz w:val="24"/>
        </w:rPr>
        <w:t>末考试</w:t>
      </w:r>
      <w:proofErr w:type="gramEnd"/>
      <w:r w:rsidRPr="000B25E0">
        <w:rPr>
          <w:rFonts w:ascii="宋体" w:eastAsia="宋体" w:hAnsi="宋体" w:cs="Times New Roman" w:hint="eastAsia"/>
          <w:sz w:val="24"/>
        </w:rPr>
        <w:t>5</w:t>
      </w:r>
      <w:r w:rsidRPr="000B25E0">
        <w:rPr>
          <w:rFonts w:ascii="宋体" w:eastAsia="宋体" w:hAnsi="宋体" w:cs="Times New Roman"/>
          <w:sz w:val="24"/>
        </w:rPr>
        <w:t>0</w:t>
      </w:r>
      <w:r w:rsidRPr="000B25E0">
        <w:rPr>
          <w:rFonts w:ascii="宋体" w:eastAsia="宋体" w:hAnsi="宋体" w:cs="Times New Roman" w:hint="eastAsia"/>
          <w:sz w:val="24"/>
        </w:rPr>
        <w:t>%；本课程共有三个课程目标，考核方式及成绩比例分别为：</w:t>
      </w:r>
    </w:p>
    <w:p w14:paraId="651CA0FD"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课程目标1：课堂表现5%</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期末考试20%</w:t>
      </w:r>
    </w:p>
    <w:p w14:paraId="1658E3E7"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课程目标2：课堂表现10%</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期末考试20%</w:t>
      </w:r>
    </w:p>
    <w:p w14:paraId="6B2BCE29"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课程目标3：课堂表现5%</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期末考试10%</w:t>
      </w:r>
    </w:p>
    <w:p w14:paraId="0A90F269"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0B25E0" w:rsidRPr="000B25E0" w14:paraId="5FC8D63F" w14:textId="77777777" w:rsidTr="00BF5EF3">
        <w:trPr>
          <w:trHeight w:val="540"/>
          <w:jc w:val="center"/>
        </w:trPr>
        <w:tc>
          <w:tcPr>
            <w:tcW w:w="1422" w:type="dxa"/>
            <w:vMerge w:val="restart"/>
            <w:vAlign w:val="center"/>
          </w:tcPr>
          <w:p w14:paraId="75B04ED4"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课程目标</w:t>
            </w:r>
          </w:p>
        </w:tc>
        <w:tc>
          <w:tcPr>
            <w:tcW w:w="6271" w:type="dxa"/>
            <w:gridSpan w:val="4"/>
            <w:vAlign w:val="center"/>
          </w:tcPr>
          <w:p w14:paraId="07CD0D0F"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考核方式及成绩比例（%）</w:t>
            </w:r>
          </w:p>
        </w:tc>
        <w:tc>
          <w:tcPr>
            <w:tcW w:w="1559" w:type="dxa"/>
            <w:vMerge w:val="restart"/>
            <w:vAlign w:val="center"/>
          </w:tcPr>
          <w:p w14:paraId="607ABD9B"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合计</w:t>
            </w:r>
          </w:p>
        </w:tc>
      </w:tr>
      <w:tr w:rsidR="000B25E0" w:rsidRPr="000B25E0" w14:paraId="0A49B4C4" w14:textId="77777777" w:rsidTr="00BF5EF3">
        <w:trPr>
          <w:trHeight w:val="578"/>
          <w:jc w:val="center"/>
        </w:trPr>
        <w:tc>
          <w:tcPr>
            <w:tcW w:w="1422" w:type="dxa"/>
            <w:vMerge/>
            <w:vAlign w:val="center"/>
          </w:tcPr>
          <w:p w14:paraId="36D02127" w14:textId="77777777" w:rsidR="000B25E0" w:rsidRPr="000B25E0" w:rsidRDefault="000B25E0" w:rsidP="000B25E0">
            <w:pPr>
              <w:spacing w:line="440" w:lineRule="exact"/>
              <w:rPr>
                <w:rFonts w:ascii="宋体" w:eastAsia="宋体" w:hAnsi="宋体" w:cs="Times New Roman"/>
                <w:b/>
                <w:sz w:val="24"/>
              </w:rPr>
            </w:pPr>
          </w:p>
        </w:tc>
        <w:tc>
          <w:tcPr>
            <w:tcW w:w="1452" w:type="dxa"/>
            <w:vAlign w:val="center"/>
          </w:tcPr>
          <w:p w14:paraId="6994AF14"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课堂表现</w:t>
            </w:r>
          </w:p>
        </w:tc>
        <w:tc>
          <w:tcPr>
            <w:tcW w:w="1559" w:type="dxa"/>
            <w:vAlign w:val="center"/>
          </w:tcPr>
          <w:p w14:paraId="080D9146"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阶段测试</w:t>
            </w:r>
          </w:p>
        </w:tc>
        <w:tc>
          <w:tcPr>
            <w:tcW w:w="1701" w:type="dxa"/>
            <w:vAlign w:val="center"/>
          </w:tcPr>
          <w:p w14:paraId="0B8AD957"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课程论文</w:t>
            </w:r>
          </w:p>
        </w:tc>
        <w:tc>
          <w:tcPr>
            <w:tcW w:w="1559" w:type="dxa"/>
            <w:vAlign w:val="center"/>
          </w:tcPr>
          <w:p w14:paraId="68C086D7" w14:textId="77777777" w:rsidR="000B25E0" w:rsidRPr="000B25E0" w:rsidRDefault="000B25E0" w:rsidP="000B25E0">
            <w:pPr>
              <w:spacing w:line="440" w:lineRule="exact"/>
              <w:rPr>
                <w:rFonts w:ascii="宋体" w:eastAsia="宋体" w:hAnsi="宋体" w:cs="Times New Roman"/>
                <w:b/>
                <w:sz w:val="24"/>
              </w:rPr>
            </w:pPr>
            <w:r w:rsidRPr="000B25E0">
              <w:rPr>
                <w:rFonts w:ascii="宋体" w:eastAsia="宋体" w:hAnsi="宋体" w:cs="Times New Roman" w:hint="eastAsia"/>
                <w:b/>
                <w:sz w:val="24"/>
              </w:rPr>
              <w:t>期末考试</w:t>
            </w:r>
          </w:p>
        </w:tc>
        <w:tc>
          <w:tcPr>
            <w:tcW w:w="1559" w:type="dxa"/>
            <w:vMerge/>
          </w:tcPr>
          <w:p w14:paraId="3D01D4B3" w14:textId="77777777" w:rsidR="000B25E0" w:rsidRPr="000B25E0" w:rsidRDefault="000B25E0" w:rsidP="000B25E0">
            <w:pPr>
              <w:spacing w:line="440" w:lineRule="exact"/>
              <w:rPr>
                <w:rFonts w:ascii="宋体" w:eastAsia="宋体" w:hAnsi="宋体" w:cs="Times New Roman"/>
                <w:b/>
                <w:sz w:val="24"/>
              </w:rPr>
            </w:pPr>
          </w:p>
        </w:tc>
      </w:tr>
      <w:tr w:rsidR="000B25E0" w:rsidRPr="000B25E0" w14:paraId="6A304E0D" w14:textId="77777777" w:rsidTr="00BF5EF3">
        <w:trPr>
          <w:jc w:val="center"/>
        </w:trPr>
        <w:tc>
          <w:tcPr>
            <w:tcW w:w="1422" w:type="dxa"/>
            <w:vAlign w:val="center"/>
          </w:tcPr>
          <w:p w14:paraId="48A87F98"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课程目标1</w:t>
            </w:r>
          </w:p>
        </w:tc>
        <w:tc>
          <w:tcPr>
            <w:tcW w:w="1452" w:type="dxa"/>
            <w:vAlign w:val="center"/>
          </w:tcPr>
          <w:p w14:paraId="0333D37F"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5</w:t>
            </w:r>
          </w:p>
        </w:tc>
        <w:tc>
          <w:tcPr>
            <w:tcW w:w="1559" w:type="dxa"/>
            <w:vAlign w:val="center"/>
          </w:tcPr>
          <w:p w14:paraId="76456A7A"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6012C521"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4B2168AA"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20</w:t>
            </w:r>
          </w:p>
        </w:tc>
        <w:tc>
          <w:tcPr>
            <w:tcW w:w="1559" w:type="dxa"/>
          </w:tcPr>
          <w:p w14:paraId="5BB92E41"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35</w:t>
            </w:r>
          </w:p>
        </w:tc>
      </w:tr>
      <w:tr w:rsidR="000B25E0" w:rsidRPr="000B25E0" w14:paraId="1E4ABB4F" w14:textId="77777777" w:rsidTr="00BF5EF3">
        <w:trPr>
          <w:jc w:val="center"/>
        </w:trPr>
        <w:tc>
          <w:tcPr>
            <w:tcW w:w="1422" w:type="dxa"/>
            <w:vAlign w:val="center"/>
          </w:tcPr>
          <w:p w14:paraId="5A2F2BC7"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课程目标2</w:t>
            </w:r>
          </w:p>
        </w:tc>
        <w:tc>
          <w:tcPr>
            <w:tcW w:w="1452" w:type="dxa"/>
            <w:vAlign w:val="center"/>
          </w:tcPr>
          <w:p w14:paraId="5EAF5013"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559" w:type="dxa"/>
            <w:vAlign w:val="center"/>
          </w:tcPr>
          <w:p w14:paraId="069FE07E"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3E73F15A"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00FEF0A7"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20</w:t>
            </w:r>
          </w:p>
        </w:tc>
        <w:tc>
          <w:tcPr>
            <w:tcW w:w="1559" w:type="dxa"/>
          </w:tcPr>
          <w:p w14:paraId="4F62D9CF"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40</w:t>
            </w:r>
          </w:p>
        </w:tc>
      </w:tr>
      <w:tr w:rsidR="000B25E0" w:rsidRPr="000B25E0" w14:paraId="02F76567" w14:textId="77777777" w:rsidTr="00BF5EF3">
        <w:trPr>
          <w:jc w:val="center"/>
        </w:trPr>
        <w:tc>
          <w:tcPr>
            <w:tcW w:w="1422" w:type="dxa"/>
            <w:vAlign w:val="center"/>
          </w:tcPr>
          <w:p w14:paraId="3400943A"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课程目标3</w:t>
            </w:r>
          </w:p>
        </w:tc>
        <w:tc>
          <w:tcPr>
            <w:tcW w:w="1452" w:type="dxa"/>
            <w:vAlign w:val="center"/>
          </w:tcPr>
          <w:p w14:paraId="15433656"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5</w:t>
            </w:r>
          </w:p>
        </w:tc>
        <w:tc>
          <w:tcPr>
            <w:tcW w:w="1559" w:type="dxa"/>
            <w:vAlign w:val="center"/>
          </w:tcPr>
          <w:p w14:paraId="4E883CBC"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5B8EDAAD"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12680BA6"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10</w:t>
            </w:r>
          </w:p>
        </w:tc>
        <w:tc>
          <w:tcPr>
            <w:tcW w:w="1559" w:type="dxa"/>
          </w:tcPr>
          <w:p w14:paraId="3C9388E4"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25</w:t>
            </w:r>
          </w:p>
        </w:tc>
      </w:tr>
      <w:tr w:rsidR="000B25E0" w:rsidRPr="000B25E0" w14:paraId="33CF3D95" w14:textId="77777777" w:rsidTr="00BF5EF3">
        <w:trPr>
          <w:jc w:val="center"/>
        </w:trPr>
        <w:tc>
          <w:tcPr>
            <w:tcW w:w="1422" w:type="dxa"/>
            <w:vAlign w:val="center"/>
          </w:tcPr>
          <w:p w14:paraId="67F9DA56"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合计</w:t>
            </w:r>
          </w:p>
        </w:tc>
        <w:tc>
          <w:tcPr>
            <w:tcW w:w="1452" w:type="dxa"/>
            <w:vAlign w:val="center"/>
          </w:tcPr>
          <w:p w14:paraId="7739FEBE"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20</w:t>
            </w:r>
          </w:p>
        </w:tc>
        <w:tc>
          <w:tcPr>
            <w:tcW w:w="1559" w:type="dxa"/>
            <w:vAlign w:val="center"/>
          </w:tcPr>
          <w:p w14:paraId="06EEA647"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30</w:t>
            </w:r>
          </w:p>
        </w:tc>
        <w:tc>
          <w:tcPr>
            <w:tcW w:w="1701" w:type="dxa"/>
            <w:vAlign w:val="center"/>
          </w:tcPr>
          <w:p w14:paraId="0C6DB0F6" w14:textId="77777777" w:rsidR="000B25E0" w:rsidRPr="000B25E0" w:rsidRDefault="000B25E0" w:rsidP="000B25E0">
            <w:pPr>
              <w:spacing w:line="440" w:lineRule="exact"/>
              <w:rPr>
                <w:rFonts w:ascii="宋体" w:eastAsia="宋体" w:hAnsi="宋体" w:cs="Times New Roman"/>
                <w:bCs/>
                <w:sz w:val="24"/>
              </w:rPr>
            </w:pPr>
          </w:p>
        </w:tc>
        <w:tc>
          <w:tcPr>
            <w:tcW w:w="1559" w:type="dxa"/>
            <w:vAlign w:val="center"/>
          </w:tcPr>
          <w:p w14:paraId="672A8590"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50</w:t>
            </w:r>
          </w:p>
        </w:tc>
        <w:tc>
          <w:tcPr>
            <w:tcW w:w="1559" w:type="dxa"/>
          </w:tcPr>
          <w:p w14:paraId="6552C7FE"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1</w:t>
            </w:r>
            <w:r w:rsidRPr="000B25E0">
              <w:rPr>
                <w:rFonts w:ascii="宋体" w:eastAsia="宋体" w:hAnsi="宋体" w:cs="Times New Roman"/>
                <w:bCs/>
                <w:sz w:val="24"/>
              </w:rPr>
              <w:t>00</w:t>
            </w:r>
          </w:p>
        </w:tc>
      </w:tr>
    </w:tbl>
    <w:p w14:paraId="307A3C98" w14:textId="77777777" w:rsidR="000B25E0" w:rsidRPr="000B25E0" w:rsidRDefault="000B25E0" w:rsidP="000B25E0">
      <w:pPr>
        <w:spacing w:line="440" w:lineRule="exact"/>
        <w:ind w:firstLineChars="200" w:firstLine="480"/>
        <w:rPr>
          <w:rFonts w:ascii="宋体" w:eastAsia="宋体" w:hAnsi="宋体" w:cs="Times New Roman"/>
          <w:sz w:val="24"/>
        </w:rPr>
      </w:pPr>
    </w:p>
    <w:p w14:paraId="5C736749" w14:textId="77777777" w:rsidR="000B25E0" w:rsidRPr="000B25E0" w:rsidRDefault="000B25E0" w:rsidP="00C63ECC">
      <w:pPr>
        <w:pStyle w:val="afc"/>
      </w:pPr>
      <w:bookmarkStart w:id="77" w:name="_Toc30295"/>
      <w:r w:rsidRPr="000B25E0">
        <w:rPr>
          <w:rFonts w:hint="eastAsia"/>
        </w:rPr>
        <w:t>五、成绩评定</w:t>
      </w:r>
      <w:bookmarkEnd w:id="77"/>
    </w:p>
    <w:p w14:paraId="524E5414"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（一）总成绩评定</w:t>
      </w:r>
    </w:p>
    <w:p w14:paraId="21FC6713"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总成绩=平时成绩×20%+期中成绩×30%+期末成绩×50%</w:t>
      </w:r>
    </w:p>
    <w:p w14:paraId="6B0AF547"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lastRenderedPageBreak/>
        <w:t>备注：每学期总成绩</w:t>
      </w:r>
    </w:p>
    <w:p w14:paraId="1E709989"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color w:val="FF0000"/>
          <w:sz w:val="24"/>
        </w:rPr>
      </w:pPr>
      <w:r w:rsidRPr="000B25E0">
        <w:rPr>
          <w:rFonts w:ascii="黑体" w:eastAsia="黑体" w:hAnsi="黑体" w:cs="Times New Roman" w:hint="eastAsia"/>
          <w:sz w:val="28"/>
          <w:szCs w:val="28"/>
        </w:rPr>
        <w:t>（二）平时成绩评定</w:t>
      </w:r>
    </w:p>
    <w:p w14:paraId="60BED03E"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（1）课堂表现：通过学生在课堂上的表现情况、发言与主体参与和练习情况，来评价学生相关的能力。</w:t>
      </w:r>
    </w:p>
    <w:p w14:paraId="1347D290"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（2）作业完成情况：围绕课程的学习目标进行作业的设计。如让学生简述对知识的认识，建议</w:t>
      </w:r>
      <w:proofErr w:type="gramStart"/>
      <w:r w:rsidRPr="000B25E0">
        <w:rPr>
          <w:rFonts w:ascii="宋体" w:eastAsia="宋体" w:hAnsi="宋体" w:cs="Times New Roman" w:hint="eastAsia"/>
          <w:sz w:val="24"/>
        </w:rPr>
        <w:t>带准备</w:t>
      </w:r>
      <w:proofErr w:type="gramEnd"/>
      <w:r w:rsidRPr="000B25E0">
        <w:rPr>
          <w:rFonts w:ascii="宋体" w:eastAsia="宋体" w:hAnsi="宋体" w:cs="Times New Roman" w:hint="eastAsia"/>
          <w:sz w:val="24"/>
        </w:rPr>
        <w:t>部分和基本部分中的复习内容，帮助学生将定义转化为自己的理解。学生在小组合作学习中测验掌握课程的情况</w:t>
      </w:r>
    </w:p>
    <w:p w14:paraId="45659157" w14:textId="77777777" w:rsidR="000B25E0" w:rsidRPr="000B25E0" w:rsidRDefault="000B25E0" w:rsidP="000B25E0">
      <w:pPr>
        <w:spacing w:line="440" w:lineRule="exact"/>
        <w:ind w:firstLineChars="200" w:firstLine="480"/>
        <w:rPr>
          <w:rFonts w:ascii="宋体" w:eastAsia="宋体" w:hAnsi="宋体" w:cs="Times New Roman"/>
          <w:color w:val="FF0000"/>
          <w:sz w:val="24"/>
        </w:rPr>
      </w:pPr>
      <w:r w:rsidRPr="000B25E0">
        <w:rPr>
          <w:rFonts w:ascii="宋体" w:eastAsia="宋体" w:hAnsi="宋体" w:cs="Times New Roman" w:hint="eastAsia"/>
          <w:sz w:val="24"/>
        </w:rPr>
        <w:t>（3）课堂考勤：留存辅导员开具的事假条、校医院开具的病假条。缺课达到本学期三分之一课时，按照考试无资格处理。</w:t>
      </w:r>
    </w:p>
    <w:p w14:paraId="648584D4"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（三）期中、期末成绩评定（注：总成绩</w:t>
      </w:r>
      <w:proofErr w:type="gramStart"/>
      <w:r w:rsidRPr="000B25E0">
        <w:rPr>
          <w:rFonts w:ascii="黑体" w:eastAsia="黑体" w:hAnsi="黑体" w:cs="Times New Roman" w:hint="eastAsia"/>
          <w:sz w:val="28"/>
          <w:szCs w:val="28"/>
        </w:rPr>
        <w:t>即最终</w:t>
      </w:r>
      <w:proofErr w:type="gramEnd"/>
      <w:r w:rsidRPr="000B25E0">
        <w:rPr>
          <w:rFonts w:ascii="黑体" w:eastAsia="黑体" w:hAnsi="黑体" w:cs="Times New Roman" w:hint="eastAsia"/>
          <w:sz w:val="28"/>
          <w:szCs w:val="28"/>
        </w:rPr>
        <w:t>分值为平时，期中，期末按比例计算的最后结果，总分值为期中或期末的满分分值）</w:t>
      </w:r>
    </w:p>
    <w:p w14:paraId="7145AB21"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第一学期</w:t>
      </w:r>
    </w:p>
    <w:p w14:paraId="18C30355" w14:textId="77777777" w:rsidR="000B25E0" w:rsidRPr="000B25E0" w:rsidRDefault="000B25E0" w:rsidP="000B25E0">
      <w:pPr>
        <w:adjustRightInd w:val="0"/>
        <w:snapToGrid w:val="0"/>
        <w:spacing w:line="500" w:lineRule="exact"/>
        <w:jc w:val="center"/>
        <w:rPr>
          <w:rFonts w:ascii="宋体" w:eastAsia="宋体" w:hAnsi="Calibri" w:cs="Times New Roman"/>
          <w:b/>
          <w:bCs/>
          <w:kern w:val="0"/>
          <w:sz w:val="24"/>
        </w:rPr>
      </w:pPr>
      <w:r w:rsidRPr="000B25E0">
        <w:rPr>
          <w:rFonts w:ascii="宋体" w:eastAsia="宋体" w:hAnsi="Calibri" w:cs="Times New Roman" w:hint="eastAsia"/>
          <w:b/>
          <w:bCs/>
          <w:kern w:val="0"/>
          <w:sz w:val="24"/>
        </w:rPr>
        <w:t>期中考试</w:t>
      </w:r>
    </w:p>
    <w:p w14:paraId="0C638E8D" w14:textId="77777777" w:rsidR="000B25E0" w:rsidRPr="000B25E0" w:rsidRDefault="000B25E0" w:rsidP="000B25E0">
      <w:pPr>
        <w:adjustRightInd w:val="0"/>
        <w:snapToGrid w:val="0"/>
        <w:spacing w:line="500" w:lineRule="exact"/>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通过考核检验体能训练教学效果和学生掌握情况，让学生了解体质健康标准测验的重要性。</w:t>
      </w:r>
    </w:p>
    <w:p w14:paraId="62607350"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立定跳远。</w:t>
      </w:r>
    </w:p>
    <w:p w14:paraId="2934B7D4"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沙坑场地，每人跳两次，取最好成绩。</w:t>
      </w:r>
    </w:p>
    <w:p w14:paraId="667D0BD7"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数量及技术评定分值各为100分，各占总分值的50%，总分值为100分。</w:t>
      </w:r>
    </w:p>
    <w:p w14:paraId="663C306A" w14:textId="77777777" w:rsidR="000B25E0" w:rsidRPr="000B25E0" w:rsidRDefault="000B25E0" w:rsidP="000B25E0">
      <w:pPr>
        <w:adjustRightInd w:val="0"/>
        <w:snapToGrid w:val="0"/>
        <w:spacing w:line="500" w:lineRule="exact"/>
        <w:jc w:val="left"/>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p w14:paraId="2E1A2F45"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0B25E0" w:rsidRPr="000B25E0" w14:paraId="093D70A0" w14:textId="77777777" w:rsidTr="00BF5E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D943EF6"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7B40357C"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950D93E"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大</w:t>
            </w:r>
            <w:proofErr w:type="gramStart"/>
            <w:r w:rsidRPr="000B25E0">
              <w:rPr>
                <w:rFonts w:ascii="宋体" w:eastAsia="宋体" w:hAnsi="宋体" w:cs="宋体" w:hint="eastAsia"/>
                <w:b/>
                <w:kern w:val="0"/>
                <w:sz w:val="24"/>
                <w:lang w:bidi="ar"/>
              </w:rPr>
              <w:t>一</w:t>
            </w:r>
            <w:proofErr w:type="gramEnd"/>
            <w:r w:rsidRPr="000B25E0">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5DAB21D2"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大</w:t>
            </w:r>
            <w:proofErr w:type="gramStart"/>
            <w:r w:rsidRPr="000B25E0">
              <w:rPr>
                <w:rFonts w:ascii="宋体" w:eastAsia="宋体" w:hAnsi="宋体" w:cs="宋体" w:hint="eastAsia"/>
                <w:b/>
                <w:kern w:val="0"/>
                <w:sz w:val="24"/>
                <w:lang w:bidi="ar"/>
              </w:rPr>
              <w:t>一</w:t>
            </w:r>
            <w:proofErr w:type="gramEnd"/>
            <w:r w:rsidRPr="000B25E0">
              <w:rPr>
                <w:rFonts w:ascii="宋体" w:eastAsia="宋体" w:hAnsi="宋体" w:cs="宋体" w:hint="eastAsia"/>
                <w:b/>
                <w:kern w:val="0"/>
                <w:sz w:val="24"/>
                <w:lang w:bidi="ar"/>
              </w:rPr>
              <w:t>女生</w:t>
            </w:r>
          </w:p>
        </w:tc>
      </w:tr>
      <w:tr w:rsidR="000B25E0" w:rsidRPr="000B25E0" w14:paraId="053745E3" w14:textId="77777777" w:rsidTr="00BF5E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5165CDB"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5F4EFEA"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70A499E1" w14:textId="77777777" w:rsidR="000B25E0" w:rsidRPr="000B25E0" w:rsidRDefault="000B25E0" w:rsidP="000B25E0">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75B03D94" w14:textId="77777777" w:rsidR="000B25E0" w:rsidRPr="000B25E0" w:rsidRDefault="000B25E0" w:rsidP="000B25E0">
            <w:pPr>
              <w:jc w:val="center"/>
              <w:rPr>
                <w:rFonts w:ascii="宋体" w:eastAsia="宋体" w:hAnsi="宋体" w:cs="宋体"/>
                <w:b/>
                <w:sz w:val="24"/>
              </w:rPr>
            </w:pPr>
          </w:p>
        </w:tc>
      </w:tr>
      <w:tr w:rsidR="000B25E0" w:rsidRPr="000B25E0" w14:paraId="7592D94C"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480D754"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4DD17E64"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78EAAA1A"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5D8C973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207</w:t>
            </w:r>
          </w:p>
        </w:tc>
      </w:tr>
      <w:tr w:rsidR="000B25E0" w:rsidRPr="000B25E0" w14:paraId="33DC8609"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DA72628"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06F9596"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43CA7927"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4996A8F4"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201</w:t>
            </w:r>
          </w:p>
        </w:tc>
      </w:tr>
      <w:tr w:rsidR="000B25E0" w:rsidRPr="000B25E0" w14:paraId="1F607B76"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E0EE89A"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CFE33EA"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F1A54EE"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038D56E"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195</w:t>
            </w:r>
          </w:p>
        </w:tc>
      </w:tr>
      <w:tr w:rsidR="000B25E0" w:rsidRPr="000B25E0" w14:paraId="3956E5D2"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36D0E92"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19D4E1D1"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16E7BC2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532B25D3"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188</w:t>
            </w:r>
          </w:p>
        </w:tc>
      </w:tr>
      <w:tr w:rsidR="000B25E0" w:rsidRPr="000B25E0" w14:paraId="1C5BD83D"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5BB7EC8"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4FBA22A"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488E121"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231677C"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181</w:t>
            </w:r>
          </w:p>
        </w:tc>
      </w:tr>
      <w:tr w:rsidR="000B25E0" w:rsidRPr="000B25E0" w14:paraId="14ED5FF6"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A836DFC"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F1F1D82"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17BBF093"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2009040E"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178</w:t>
            </w:r>
          </w:p>
        </w:tc>
      </w:tr>
      <w:tr w:rsidR="000B25E0" w:rsidRPr="000B25E0" w14:paraId="69A9FC43"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1870FCB"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575DE1F"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75D7435E"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5E4073DE"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175</w:t>
            </w:r>
          </w:p>
        </w:tc>
      </w:tr>
      <w:tr w:rsidR="000B25E0" w:rsidRPr="000B25E0" w14:paraId="2592A94A"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93F96C5"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787C3C7"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0E6E9CB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447DB4EC"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172</w:t>
            </w:r>
          </w:p>
        </w:tc>
      </w:tr>
      <w:tr w:rsidR="000B25E0" w:rsidRPr="000B25E0" w14:paraId="2259C3FA"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6753069"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8CEEC48"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154B7295"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0A776B3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169</w:t>
            </w:r>
          </w:p>
        </w:tc>
      </w:tr>
      <w:tr w:rsidR="000B25E0" w:rsidRPr="000B25E0" w14:paraId="696E4340"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8C005DD"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9ADEA65"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1005E8E1"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4DC3BE74"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166</w:t>
            </w:r>
          </w:p>
        </w:tc>
      </w:tr>
      <w:tr w:rsidR="000B25E0" w:rsidRPr="000B25E0" w14:paraId="534AAFA8"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616E9A8"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80EB216"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66D2F0F3"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457276F7"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163</w:t>
            </w:r>
          </w:p>
        </w:tc>
      </w:tr>
      <w:tr w:rsidR="000B25E0" w:rsidRPr="000B25E0" w14:paraId="4F9018D3"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3419645"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62ED7E4"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3E1D255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7F2F2AF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160</w:t>
            </w:r>
          </w:p>
        </w:tc>
      </w:tr>
      <w:tr w:rsidR="000B25E0" w:rsidRPr="000B25E0" w14:paraId="76E1B8F4"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615416C"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87BC637"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1F702118"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BB26BE3"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157</w:t>
            </w:r>
          </w:p>
        </w:tc>
      </w:tr>
      <w:tr w:rsidR="000B25E0" w:rsidRPr="000B25E0" w14:paraId="453655B8"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C817282"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D12C776"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747AB25C"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221971FA"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154</w:t>
            </w:r>
          </w:p>
        </w:tc>
      </w:tr>
      <w:tr w:rsidR="000B25E0" w:rsidRPr="000B25E0" w14:paraId="74FF1260"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0833BC6"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5990327"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A1AE268"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46C978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151</w:t>
            </w:r>
          </w:p>
        </w:tc>
      </w:tr>
      <w:tr w:rsidR="000B25E0" w:rsidRPr="000B25E0" w14:paraId="7C7EFF98"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870ED60"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1F4F697F"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448EFD1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3C90079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146</w:t>
            </w:r>
          </w:p>
        </w:tc>
      </w:tr>
      <w:tr w:rsidR="000B25E0" w:rsidRPr="000B25E0" w14:paraId="6FBDBC10"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F2053B8"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6388A19"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421682C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74A4C245"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141</w:t>
            </w:r>
          </w:p>
        </w:tc>
      </w:tr>
      <w:tr w:rsidR="000B25E0" w:rsidRPr="000B25E0" w14:paraId="71EBB790"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CE49A56"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901BE11"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62E5706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17173F7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136</w:t>
            </w:r>
          </w:p>
        </w:tc>
      </w:tr>
      <w:tr w:rsidR="000B25E0" w:rsidRPr="000B25E0" w14:paraId="2746DA4B"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AEDF3A3"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5A8BCD0"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05603023"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56236782"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131</w:t>
            </w:r>
          </w:p>
        </w:tc>
      </w:tr>
      <w:tr w:rsidR="000B25E0" w:rsidRPr="000B25E0" w14:paraId="0745BA13"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4313095"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E21ACF4"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7CF4EAE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5AE466B9"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126</w:t>
            </w:r>
          </w:p>
        </w:tc>
      </w:tr>
    </w:tbl>
    <w:p w14:paraId="19002FD7"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p>
    <w:p w14:paraId="373802C7" w14:textId="77777777" w:rsidR="000B25E0" w:rsidRPr="000B25E0" w:rsidRDefault="000B25E0" w:rsidP="000B25E0">
      <w:pPr>
        <w:adjustRightInd w:val="0"/>
        <w:snapToGrid w:val="0"/>
        <w:spacing w:line="500" w:lineRule="exact"/>
        <w:jc w:val="center"/>
        <w:rPr>
          <w:rFonts w:ascii="宋体" w:eastAsia="宋体" w:hAnsi="Calibri" w:cs="Times New Roman"/>
          <w:b/>
          <w:bCs/>
          <w:kern w:val="0"/>
          <w:sz w:val="24"/>
        </w:rPr>
      </w:pPr>
      <w:r w:rsidRPr="000B25E0">
        <w:rPr>
          <w:rFonts w:ascii="宋体" w:eastAsia="宋体" w:hAnsi="Calibri" w:cs="Times New Roman" w:hint="eastAsia"/>
          <w:b/>
          <w:bCs/>
          <w:kern w:val="0"/>
          <w:sz w:val="28"/>
        </w:rPr>
        <w:t>期末考试</w:t>
      </w:r>
    </w:p>
    <w:p w14:paraId="7ACF648E"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通过考核检验单腿直道滑行教学效果和学生掌握情况，让学生了解单腿直道滑行的重要性。</w:t>
      </w:r>
    </w:p>
    <w:p w14:paraId="01519ABE"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宋体" w:eastAsia="宋体" w:hAnsi="Calibri" w:cs="Times New Roman" w:hint="eastAsia"/>
          <w:b/>
          <w:kern w:val="0"/>
          <w:sz w:val="24"/>
        </w:rPr>
        <w:t>2.课程考核的内容：</w:t>
      </w:r>
      <w:r w:rsidRPr="000B25E0">
        <w:rPr>
          <w:rFonts w:ascii="Calibri" w:eastAsia="宋体" w:hAnsi="Calibri" w:cs="Times New Roman" w:hint="eastAsia"/>
          <w:sz w:val="24"/>
        </w:rPr>
        <w:t>单腿直道滑行技术</w:t>
      </w:r>
      <w:r w:rsidRPr="000B25E0">
        <w:rPr>
          <w:rFonts w:ascii="Calibri" w:eastAsia="宋体" w:hAnsi="Calibri" w:cs="Times New Roman"/>
          <w:sz w:val="24"/>
        </w:rPr>
        <w:t>（数量及技术评定按百分制计算，各占总分值一半）</w:t>
      </w:r>
    </w:p>
    <w:p w14:paraId="32AA27F1" w14:textId="77777777" w:rsidR="000B25E0" w:rsidRPr="000B25E0" w:rsidRDefault="000B25E0" w:rsidP="000B25E0">
      <w:pPr>
        <w:adjustRightInd w:val="0"/>
        <w:snapToGrid w:val="0"/>
        <w:spacing w:line="500" w:lineRule="exact"/>
        <w:ind w:firstLineChars="200" w:firstLine="482"/>
        <w:jc w:val="left"/>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平整无坑洼场地20米，每人一次滑行机会。</w:t>
      </w:r>
    </w:p>
    <w:p w14:paraId="44CB15E1" w14:textId="77777777" w:rsidR="000B25E0" w:rsidRPr="000B25E0" w:rsidRDefault="000B25E0" w:rsidP="000B25E0">
      <w:pPr>
        <w:adjustRightInd w:val="0"/>
        <w:snapToGrid w:val="0"/>
        <w:spacing w:line="500" w:lineRule="exact"/>
        <w:ind w:firstLineChars="200" w:firstLine="482"/>
        <w:jc w:val="left"/>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数量及技术评定分值各为100分，各占总分值的50%，总分值为100分。</w:t>
      </w:r>
    </w:p>
    <w:p w14:paraId="3E132919"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bCs/>
          <w:sz w:val="24"/>
        </w:rPr>
        <w:t>5.</w:t>
      </w:r>
      <w:r w:rsidRPr="000B25E0">
        <w:rPr>
          <w:rFonts w:ascii="Calibri" w:eastAsia="宋体" w:hAnsi="Calibri" w:cs="Times New Roman" w:hint="eastAsia"/>
          <w:b/>
          <w:bCs/>
          <w:sz w:val="24"/>
        </w:rPr>
        <w:t>评分原则：</w:t>
      </w:r>
      <w:r w:rsidRPr="000B25E0">
        <w:rPr>
          <w:rFonts w:ascii="Calibri" w:eastAsia="宋体" w:hAnsi="Calibri" w:cs="Times New Roman"/>
          <w:sz w:val="24"/>
        </w:rPr>
        <w:t>数量评价：</w:t>
      </w:r>
      <w:r w:rsidRPr="000B25E0">
        <w:rPr>
          <w:rFonts w:ascii="Calibri" w:eastAsia="宋体" w:hAnsi="Calibri" w:cs="Times New Roman" w:hint="eastAsia"/>
          <w:sz w:val="24"/>
        </w:rPr>
        <w:t>1</w:t>
      </w:r>
      <w:r w:rsidRPr="000B25E0">
        <w:rPr>
          <w:rFonts w:ascii="Calibri" w:eastAsia="宋体" w:hAnsi="Calibri" w:cs="Times New Roman" w:hint="eastAsia"/>
          <w:sz w:val="24"/>
        </w:rPr>
        <w:t>米为及格，</w:t>
      </w:r>
      <w:r w:rsidRPr="000B25E0">
        <w:rPr>
          <w:rFonts w:ascii="Calibri" w:eastAsia="宋体" w:hAnsi="Calibri" w:cs="Times New Roman" w:hint="eastAsia"/>
          <w:sz w:val="24"/>
        </w:rPr>
        <w:t>5</w:t>
      </w:r>
      <w:r w:rsidRPr="000B25E0">
        <w:rPr>
          <w:rFonts w:ascii="Calibri" w:eastAsia="宋体" w:hAnsi="Calibri" w:cs="Times New Roman" w:hint="eastAsia"/>
          <w:sz w:val="24"/>
        </w:rPr>
        <w:t>米为满分</w:t>
      </w:r>
      <w:r w:rsidRPr="000B25E0">
        <w:rPr>
          <w:rFonts w:ascii="Calibri" w:eastAsia="宋体" w:hAnsi="Calibri" w:cs="Times New Roman" w:hint="eastAsia"/>
          <w:sz w:val="24"/>
        </w:rPr>
        <w:t>100</w:t>
      </w:r>
      <w:r w:rsidRPr="000B25E0">
        <w:rPr>
          <w:rFonts w:ascii="Calibri" w:eastAsia="宋体" w:hAnsi="Calibri" w:cs="Times New Roman" w:hint="eastAsia"/>
          <w:sz w:val="24"/>
        </w:rPr>
        <w:t>分</w:t>
      </w:r>
      <w:r w:rsidRPr="000B25E0">
        <w:rPr>
          <w:rFonts w:ascii="Calibri" w:eastAsia="宋体" w:hAnsi="Calibri" w:cs="Times New Roman"/>
          <w:sz w:val="24"/>
        </w:rPr>
        <w:t>；</w:t>
      </w:r>
    </w:p>
    <w:p w14:paraId="001C89D7" w14:textId="77777777" w:rsidR="000B25E0" w:rsidRPr="000B25E0" w:rsidRDefault="000B25E0" w:rsidP="000B25E0">
      <w:pPr>
        <w:adjustRightInd w:val="0"/>
        <w:snapToGrid w:val="0"/>
        <w:spacing w:line="500" w:lineRule="exact"/>
        <w:ind w:firstLineChars="200" w:firstLine="482"/>
        <w:jc w:val="center"/>
        <w:rPr>
          <w:rFonts w:ascii="Calibri" w:eastAsia="宋体" w:hAnsi="Calibri" w:cs="Times New Roman"/>
          <w:b/>
          <w:sz w:val="24"/>
        </w:rPr>
      </w:pPr>
      <w:r w:rsidRPr="000B25E0">
        <w:rPr>
          <w:rFonts w:ascii="Calibri" w:eastAsia="宋体" w:hAnsi="Calibri" w:cs="Times New Roman" w:hint="eastAsia"/>
          <w:b/>
          <w:sz w:val="24"/>
        </w:rPr>
        <w:t>表</w:t>
      </w:r>
      <w:r w:rsidRPr="000B25E0">
        <w:rPr>
          <w:rFonts w:ascii="Calibri" w:eastAsia="宋体" w:hAnsi="Calibri" w:cs="Times New Roman" w:hint="eastAsia"/>
          <w:b/>
          <w:sz w:val="24"/>
        </w:rPr>
        <w:t>1</w:t>
      </w:r>
      <w:r w:rsidRPr="000B25E0">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0B25E0" w:rsidRPr="000B25E0" w14:paraId="21CEBB37" w14:textId="77777777" w:rsidTr="00BF5EF3">
        <w:trPr>
          <w:trHeight w:val="655"/>
        </w:trPr>
        <w:tc>
          <w:tcPr>
            <w:tcW w:w="2149" w:type="dxa"/>
            <w:tcBorders>
              <w:top w:val="single" w:sz="4" w:space="0" w:color="auto"/>
              <w:left w:val="single" w:sz="4" w:space="0" w:color="auto"/>
              <w:bottom w:val="single" w:sz="4" w:space="0" w:color="auto"/>
              <w:right w:val="single" w:sz="4" w:space="0" w:color="auto"/>
            </w:tcBorders>
          </w:tcPr>
          <w:p w14:paraId="61E0A3D7"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宋体" w:eastAsia="宋体" w:hAnsi="宋体" w:cs="宋体"/>
                <w:noProof/>
                <w:kern w:val="0"/>
                <w:sz w:val="18"/>
                <w:szCs w:val="18"/>
              </w:rPr>
              <mc:AlternateContent>
                <mc:Choice Requires="wps">
                  <w:drawing>
                    <wp:anchor distT="0" distB="0" distL="114300" distR="114300" simplePos="0" relativeHeight="251687936" behindDoc="0" locked="0" layoutInCell="1" allowOverlap="1" wp14:anchorId="34784C5D" wp14:editId="06166661">
                      <wp:simplePos x="0" y="0"/>
                      <wp:positionH relativeFrom="column">
                        <wp:posOffset>-80010</wp:posOffset>
                      </wp:positionH>
                      <wp:positionV relativeFrom="paragraph">
                        <wp:posOffset>66040</wp:posOffset>
                      </wp:positionV>
                      <wp:extent cx="1432560" cy="638175"/>
                      <wp:effectExtent l="1905" t="4445" r="13335" b="5080"/>
                      <wp:wrapNone/>
                      <wp:docPr id="21" name="直接连接符 21"/>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w14:anchorId="01BBAF2B" id="直接连接符 21" o:spid="_x0000_s1026" style="position:absolute;z-index:251687936;visibility:visible;mso-wrap-style:square;mso-wrap-distance-left:9pt;mso-wrap-distance-top:0;mso-wrap-distance-right:9pt;mso-wrap-distance-bottom:0;mso-position-horizontal:absolute;mso-position-horizontal-relative:text;mso-position-vertical:absolute;mso-position-vertical-relative:text" from="-6.3pt,5.2pt" to="106.5pt,5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" strokeweight=".5pt"/>
                  </w:pict>
                </mc:Fallback>
              </mc:AlternateContent>
            </w:r>
            <w:r w:rsidRPr="000B25E0">
              <w:rPr>
                <w:rFonts w:ascii="宋体" w:eastAsia="宋体" w:hAnsi="宋体" w:cs="宋体"/>
                <w:kern w:val="0"/>
                <w:sz w:val="18"/>
                <w:szCs w:val="18"/>
              </w:rPr>
              <w:t xml:space="preserve">           </w:t>
            </w:r>
            <w:r w:rsidRPr="000B25E0">
              <w:rPr>
                <w:rFonts w:ascii="Calibri" w:eastAsia="宋体" w:hAnsi="Calibri" w:cs="Times New Roman" w:hint="eastAsia"/>
                <w:sz w:val="24"/>
              </w:rPr>
              <w:t>内</w:t>
            </w:r>
            <w:r w:rsidRPr="000B25E0">
              <w:rPr>
                <w:rFonts w:ascii="Calibri" w:eastAsia="宋体" w:hAnsi="Calibri" w:cs="Times New Roman"/>
                <w:sz w:val="24"/>
              </w:rPr>
              <w:t xml:space="preserve">  </w:t>
            </w:r>
            <w:r w:rsidRPr="000B25E0">
              <w:rPr>
                <w:rFonts w:ascii="Calibri" w:eastAsia="宋体" w:hAnsi="Calibri" w:cs="Times New Roman" w:hint="eastAsia"/>
                <w:sz w:val="24"/>
              </w:rPr>
              <w:t>容</w:t>
            </w:r>
          </w:p>
          <w:p w14:paraId="01FA6BCB" w14:textId="77777777" w:rsidR="000B25E0" w:rsidRPr="000B25E0" w:rsidRDefault="000B25E0" w:rsidP="000B25E0">
            <w:pPr>
              <w:widowControl/>
              <w:spacing w:line="432" w:lineRule="auto"/>
              <w:rPr>
                <w:rFonts w:ascii="宋体" w:eastAsia="宋体" w:hAnsi="宋体" w:cs="宋体"/>
                <w:kern w:val="0"/>
                <w:sz w:val="18"/>
                <w:szCs w:val="18"/>
              </w:rPr>
            </w:pPr>
            <w:r w:rsidRPr="000B25E0">
              <w:rPr>
                <w:rFonts w:ascii="Calibri" w:eastAsia="宋体" w:hAnsi="Calibri" w:cs="Times New Roman" w:hint="eastAsia"/>
                <w:sz w:val="24"/>
              </w:rPr>
              <w:t>分</w:t>
            </w:r>
            <w:r w:rsidRPr="000B25E0">
              <w:rPr>
                <w:rFonts w:ascii="Calibri" w:eastAsia="宋体" w:hAnsi="Calibri" w:cs="Times New Roman"/>
                <w:sz w:val="24"/>
              </w:rPr>
              <w:t xml:space="preserve">  </w:t>
            </w:r>
            <w:r w:rsidRPr="000B25E0">
              <w:rPr>
                <w:rFonts w:ascii="Calibri" w:eastAsia="宋体" w:hAnsi="Calibri" w:cs="Times New Roman" w:hint="eastAsia"/>
                <w:sz w:val="24"/>
              </w:rPr>
              <w:t>值</w:t>
            </w:r>
            <w:r w:rsidRPr="000B25E0">
              <w:rPr>
                <w:rFonts w:ascii="Calibri" w:eastAsia="宋体" w:hAnsi="Calibri" w:cs="Times New Roman"/>
                <w:sz w:val="24"/>
              </w:rPr>
              <w:t xml:space="preserve"> </w:t>
            </w:r>
            <w:r w:rsidRPr="000B25E0">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7F05EFD5"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hint="eastAsia"/>
                <w:sz w:val="24"/>
              </w:rPr>
              <w:t>滑行姿态</w:t>
            </w:r>
          </w:p>
        </w:tc>
      </w:tr>
      <w:tr w:rsidR="000B25E0" w:rsidRPr="000B25E0" w14:paraId="776B94A9" w14:textId="77777777" w:rsidTr="00BF5EF3">
        <w:trPr>
          <w:cantSplit/>
        </w:trPr>
        <w:tc>
          <w:tcPr>
            <w:tcW w:w="2149" w:type="dxa"/>
            <w:vMerge w:val="restart"/>
            <w:tcBorders>
              <w:top w:val="single" w:sz="4" w:space="0" w:color="auto"/>
              <w:left w:val="single" w:sz="4" w:space="0" w:color="auto"/>
              <w:right w:val="single" w:sz="4" w:space="0" w:color="auto"/>
            </w:tcBorders>
            <w:vAlign w:val="center"/>
          </w:tcPr>
          <w:p w14:paraId="12F0E8B4"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9</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10</w:t>
            </w:r>
            <w:r w:rsidRPr="000B25E0">
              <w:rPr>
                <w:rFonts w:ascii="Calibri" w:eastAsia="宋体" w:hAnsi="Calibri" w:cs="Times New Roman" w:hint="eastAsia"/>
                <w:sz w:val="24"/>
              </w:rPr>
              <w:t>0</w:t>
            </w:r>
          </w:p>
          <w:p w14:paraId="3F1BEBF3"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8</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89</w:t>
            </w:r>
          </w:p>
          <w:p w14:paraId="2D37A9B6"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7</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79</w:t>
            </w:r>
          </w:p>
          <w:p w14:paraId="4B767C30"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lastRenderedPageBreak/>
              <w:t>6</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69</w:t>
            </w:r>
          </w:p>
          <w:p w14:paraId="1B872BCF"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sz w:val="24"/>
              </w:rPr>
              <w:t>6</w:t>
            </w:r>
            <w:r w:rsidRPr="000B25E0">
              <w:rPr>
                <w:rFonts w:ascii="Calibri" w:eastAsia="宋体" w:hAnsi="Calibri" w:cs="Times New Roman" w:hint="eastAsia"/>
                <w:sz w:val="24"/>
              </w:rPr>
              <w:t>0</w:t>
            </w:r>
            <w:r w:rsidRPr="000B25E0">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2BA86D08"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hint="eastAsia"/>
                <w:sz w:val="24"/>
              </w:rPr>
              <w:lastRenderedPageBreak/>
              <w:t>姿势正确，动作优美、协调，速度快</w:t>
            </w:r>
          </w:p>
        </w:tc>
      </w:tr>
      <w:tr w:rsidR="000B25E0" w:rsidRPr="000B25E0" w14:paraId="654001EA" w14:textId="77777777" w:rsidTr="00BF5EF3">
        <w:trPr>
          <w:cantSplit/>
        </w:trPr>
        <w:tc>
          <w:tcPr>
            <w:tcW w:w="2149" w:type="dxa"/>
            <w:vMerge/>
            <w:tcBorders>
              <w:left w:val="single" w:sz="4" w:space="0" w:color="auto"/>
              <w:right w:val="single" w:sz="4" w:space="0" w:color="auto"/>
            </w:tcBorders>
            <w:vAlign w:val="center"/>
          </w:tcPr>
          <w:p w14:paraId="7532FF8B"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408263EB"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姿势较正确，动作自然，速度较快</w:t>
            </w:r>
          </w:p>
        </w:tc>
      </w:tr>
      <w:tr w:rsidR="000B25E0" w:rsidRPr="000B25E0" w14:paraId="0E4F43A0" w14:textId="77777777" w:rsidTr="00BF5EF3">
        <w:trPr>
          <w:cantSplit/>
        </w:trPr>
        <w:tc>
          <w:tcPr>
            <w:tcW w:w="2149" w:type="dxa"/>
            <w:vMerge/>
            <w:tcBorders>
              <w:left w:val="single" w:sz="4" w:space="0" w:color="auto"/>
              <w:right w:val="single" w:sz="4" w:space="0" w:color="auto"/>
            </w:tcBorders>
            <w:vAlign w:val="center"/>
          </w:tcPr>
          <w:p w14:paraId="63965C27"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1A5A1E76"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姿势一般，动作基本正确，速度适中</w:t>
            </w:r>
          </w:p>
        </w:tc>
      </w:tr>
      <w:tr w:rsidR="000B25E0" w:rsidRPr="000B25E0" w14:paraId="7EFEA88B" w14:textId="77777777" w:rsidTr="00BF5EF3">
        <w:trPr>
          <w:cantSplit/>
        </w:trPr>
        <w:tc>
          <w:tcPr>
            <w:tcW w:w="2149" w:type="dxa"/>
            <w:vMerge/>
            <w:tcBorders>
              <w:left w:val="single" w:sz="4" w:space="0" w:color="auto"/>
              <w:right w:val="single" w:sz="4" w:space="0" w:color="auto"/>
            </w:tcBorders>
            <w:vAlign w:val="center"/>
          </w:tcPr>
          <w:p w14:paraId="11E211CB"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8D142DC"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动作不协调，有多余动作，速度较慢</w:t>
            </w:r>
          </w:p>
        </w:tc>
      </w:tr>
      <w:tr w:rsidR="000B25E0" w:rsidRPr="000B25E0" w14:paraId="67F54F1B" w14:textId="77777777" w:rsidTr="00BF5EF3">
        <w:trPr>
          <w:cantSplit/>
        </w:trPr>
        <w:tc>
          <w:tcPr>
            <w:tcW w:w="2149" w:type="dxa"/>
            <w:vMerge/>
            <w:tcBorders>
              <w:left w:val="single" w:sz="4" w:space="0" w:color="auto"/>
              <w:bottom w:val="single" w:sz="4" w:space="0" w:color="auto"/>
              <w:right w:val="single" w:sz="4" w:space="0" w:color="auto"/>
            </w:tcBorders>
            <w:vAlign w:val="center"/>
          </w:tcPr>
          <w:p w14:paraId="0A94C64C" w14:textId="77777777" w:rsidR="000B25E0" w:rsidRPr="000B25E0" w:rsidRDefault="000B25E0" w:rsidP="000B25E0">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0888175F"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动作僵硬，吃力，不协调，速度慢</w:t>
            </w:r>
          </w:p>
        </w:tc>
      </w:tr>
    </w:tbl>
    <w:p w14:paraId="48E8B678" w14:textId="77777777" w:rsidR="000B25E0" w:rsidRPr="000B25E0" w:rsidRDefault="000B25E0" w:rsidP="000B25E0">
      <w:pPr>
        <w:spacing w:line="500" w:lineRule="exact"/>
        <w:ind w:firstLineChars="200" w:firstLine="480"/>
        <w:rPr>
          <w:rFonts w:ascii="Calibri" w:eastAsia="宋体" w:hAnsi="Calibri" w:cs="Times New Roman"/>
          <w:sz w:val="24"/>
        </w:rPr>
      </w:pPr>
      <w:r w:rsidRPr="000B25E0">
        <w:rPr>
          <w:rFonts w:ascii="Calibri" w:eastAsia="宋体" w:hAnsi="Calibri" w:cs="Times New Roman"/>
          <w:bCs/>
          <w:sz w:val="24"/>
        </w:rPr>
        <w:t>本部</w:t>
      </w:r>
      <w:proofErr w:type="gramStart"/>
      <w:r w:rsidRPr="000B25E0">
        <w:rPr>
          <w:rFonts w:ascii="Calibri" w:eastAsia="宋体" w:hAnsi="Calibri" w:cs="Times New Roman"/>
          <w:bCs/>
          <w:sz w:val="24"/>
        </w:rPr>
        <w:t>分教学</w:t>
      </w:r>
      <w:proofErr w:type="gramEnd"/>
      <w:r w:rsidRPr="000B25E0">
        <w:rPr>
          <w:rFonts w:ascii="Calibri" w:eastAsia="宋体" w:hAnsi="Calibri" w:cs="Times New Roman"/>
          <w:bCs/>
          <w:sz w:val="24"/>
        </w:rPr>
        <w:t>目的及要求</w:t>
      </w:r>
      <w:r w:rsidRPr="000B25E0">
        <w:rPr>
          <w:rFonts w:ascii="Calibri" w:eastAsia="宋体" w:hAnsi="Calibri" w:cs="Times New Roman" w:hint="eastAsia"/>
          <w:bCs/>
          <w:sz w:val="24"/>
        </w:rPr>
        <w:t>：</w:t>
      </w:r>
      <w:r w:rsidRPr="000B25E0">
        <w:rPr>
          <w:rFonts w:ascii="Calibri" w:eastAsia="宋体" w:hAnsi="Calibri" w:cs="Times New Roman" w:hint="eastAsia"/>
          <w:sz w:val="24"/>
        </w:rPr>
        <w:t>考核检验教学效果与对学生的学习效果评价</w:t>
      </w:r>
    </w:p>
    <w:p w14:paraId="22ACF682" w14:textId="77777777" w:rsidR="000B25E0" w:rsidRPr="000B25E0" w:rsidRDefault="000B25E0" w:rsidP="000B25E0">
      <w:pPr>
        <w:spacing w:line="500" w:lineRule="exact"/>
        <w:ind w:firstLineChars="200" w:firstLine="480"/>
        <w:rPr>
          <w:rFonts w:ascii="Calibri" w:eastAsia="宋体" w:hAnsi="Calibri" w:cs="Times New Roman"/>
          <w:sz w:val="24"/>
        </w:rPr>
      </w:pPr>
      <w:r w:rsidRPr="000B25E0">
        <w:rPr>
          <w:rFonts w:ascii="Calibri" w:eastAsia="宋体" w:hAnsi="Calibri" w:cs="Times New Roman"/>
          <w:bCs/>
          <w:sz w:val="24"/>
        </w:rPr>
        <w:t>本部</w:t>
      </w:r>
      <w:proofErr w:type="gramStart"/>
      <w:r w:rsidRPr="000B25E0">
        <w:rPr>
          <w:rFonts w:ascii="Calibri" w:eastAsia="宋体" w:hAnsi="Calibri" w:cs="Times New Roman"/>
          <w:bCs/>
          <w:sz w:val="24"/>
        </w:rPr>
        <w:t>分教学</w:t>
      </w:r>
      <w:proofErr w:type="gramEnd"/>
      <w:r w:rsidRPr="000B25E0">
        <w:rPr>
          <w:rFonts w:ascii="Calibri" w:eastAsia="宋体" w:hAnsi="Calibri" w:cs="Times New Roman"/>
          <w:bCs/>
          <w:sz w:val="24"/>
        </w:rPr>
        <w:t>重点及难点：</w:t>
      </w:r>
      <w:r w:rsidRPr="000B25E0">
        <w:rPr>
          <w:rFonts w:ascii="Calibri" w:eastAsia="宋体" w:hAnsi="Calibri" w:cs="Times New Roman" w:hint="eastAsia"/>
          <w:sz w:val="24"/>
        </w:rPr>
        <w:t>轮滑测试（公正、公平、公开）</w:t>
      </w:r>
    </w:p>
    <w:p w14:paraId="607995B1"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第二学期</w:t>
      </w:r>
    </w:p>
    <w:p w14:paraId="3370978B" w14:textId="77777777" w:rsidR="000B25E0" w:rsidRPr="000B25E0" w:rsidRDefault="000B25E0" w:rsidP="000B25E0">
      <w:pPr>
        <w:adjustRightInd w:val="0"/>
        <w:snapToGrid w:val="0"/>
        <w:spacing w:line="500" w:lineRule="exact"/>
        <w:jc w:val="center"/>
        <w:rPr>
          <w:rFonts w:ascii="宋体" w:eastAsia="宋体" w:hAnsi="Calibri" w:cs="Times New Roman"/>
          <w:b/>
          <w:bCs/>
          <w:kern w:val="0"/>
          <w:sz w:val="24"/>
        </w:rPr>
      </w:pPr>
      <w:r w:rsidRPr="000B25E0">
        <w:rPr>
          <w:rFonts w:ascii="宋体" w:eastAsia="宋体" w:hAnsi="Calibri" w:cs="Times New Roman" w:hint="eastAsia"/>
          <w:b/>
          <w:bCs/>
          <w:kern w:val="0"/>
          <w:sz w:val="24"/>
        </w:rPr>
        <w:t>期中考试(2学时)</w:t>
      </w:r>
    </w:p>
    <w:p w14:paraId="01728D16"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通过考核检验单腿直道滑行教学效果和学生掌握情况，让学生了解单腿直道滑行的重要性。</w:t>
      </w:r>
    </w:p>
    <w:p w14:paraId="229B3373"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宋体" w:eastAsia="宋体" w:hAnsi="Calibri" w:cs="Times New Roman" w:hint="eastAsia"/>
          <w:b/>
          <w:kern w:val="0"/>
          <w:sz w:val="24"/>
        </w:rPr>
        <w:t>2.课程考核的内容：</w:t>
      </w:r>
      <w:r w:rsidRPr="000B25E0">
        <w:rPr>
          <w:rFonts w:ascii="Calibri" w:eastAsia="宋体" w:hAnsi="Calibri" w:cs="Times New Roman" w:hint="eastAsia"/>
          <w:sz w:val="24"/>
        </w:rPr>
        <w:t>单腿直道滑行技术</w:t>
      </w:r>
      <w:r w:rsidRPr="000B25E0">
        <w:rPr>
          <w:rFonts w:ascii="Calibri" w:eastAsia="宋体" w:hAnsi="Calibri" w:cs="Times New Roman"/>
          <w:sz w:val="24"/>
        </w:rPr>
        <w:t>（数量及技术评定按百分制计算，各占总分值一半）</w:t>
      </w:r>
    </w:p>
    <w:p w14:paraId="37118DEF"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平整无坑洼场地20米，每人一次滑行机会。</w:t>
      </w:r>
    </w:p>
    <w:p w14:paraId="377ECFEC"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数量及技术评定分值各为100分，各占总分值的50%，总分值为100分。</w:t>
      </w:r>
    </w:p>
    <w:p w14:paraId="16FB5479"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hint="eastAsia"/>
          <w:b/>
          <w:sz w:val="24"/>
        </w:rPr>
        <w:t>5.</w:t>
      </w:r>
      <w:r w:rsidRPr="000B25E0">
        <w:rPr>
          <w:rFonts w:ascii="Calibri" w:eastAsia="宋体" w:hAnsi="Calibri" w:cs="Times New Roman" w:hint="eastAsia"/>
          <w:b/>
          <w:sz w:val="24"/>
        </w:rPr>
        <w:t>评分原则：</w:t>
      </w:r>
    </w:p>
    <w:p w14:paraId="42E4613A"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sz w:val="24"/>
        </w:rPr>
        <w:t>数量评价：</w:t>
      </w:r>
      <w:r w:rsidRPr="000B25E0">
        <w:rPr>
          <w:rFonts w:ascii="Calibri" w:eastAsia="宋体" w:hAnsi="Calibri" w:cs="Times New Roman" w:hint="eastAsia"/>
          <w:sz w:val="24"/>
        </w:rPr>
        <w:t>1</w:t>
      </w:r>
      <w:r w:rsidRPr="000B25E0">
        <w:rPr>
          <w:rFonts w:ascii="Calibri" w:eastAsia="宋体" w:hAnsi="Calibri" w:cs="Times New Roman" w:hint="eastAsia"/>
          <w:sz w:val="24"/>
        </w:rPr>
        <w:t>米为及格，</w:t>
      </w:r>
      <w:r w:rsidRPr="000B25E0">
        <w:rPr>
          <w:rFonts w:ascii="Calibri" w:eastAsia="宋体" w:hAnsi="Calibri" w:cs="Times New Roman" w:hint="eastAsia"/>
          <w:sz w:val="24"/>
        </w:rPr>
        <w:t>5</w:t>
      </w:r>
      <w:r w:rsidRPr="000B25E0">
        <w:rPr>
          <w:rFonts w:ascii="Calibri" w:eastAsia="宋体" w:hAnsi="Calibri" w:cs="Times New Roman" w:hint="eastAsia"/>
          <w:sz w:val="24"/>
        </w:rPr>
        <w:t>米为满分</w:t>
      </w:r>
      <w:r w:rsidRPr="000B25E0">
        <w:rPr>
          <w:rFonts w:ascii="Calibri" w:eastAsia="宋体" w:hAnsi="Calibri" w:cs="Times New Roman" w:hint="eastAsia"/>
          <w:sz w:val="24"/>
        </w:rPr>
        <w:t>100</w:t>
      </w:r>
      <w:r w:rsidRPr="000B25E0">
        <w:rPr>
          <w:rFonts w:ascii="Calibri" w:eastAsia="宋体" w:hAnsi="Calibri" w:cs="Times New Roman" w:hint="eastAsia"/>
          <w:sz w:val="24"/>
        </w:rPr>
        <w:t>分</w:t>
      </w:r>
      <w:r w:rsidRPr="000B25E0">
        <w:rPr>
          <w:rFonts w:ascii="Calibri" w:eastAsia="宋体" w:hAnsi="Calibri" w:cs="Times New Roman"/>
          <w:sz w:val="24"/>
        </w:rPr>
        <w:t>；</w:t>
      </w:r>
    </w:p>
    <w:p w14:paraId="4E72BB8C"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sz w:val="24"/>
        </w:rPr>
        <w:t>技术评价：</w:t>
      </w:r>
      <w:r w:rsidRPr="000B25E0">
        <w:rPr>
          <w:rFonts w:ascii="Calibri" w:eastAsia="宋体" w:hAnsi="Calibri" w:cs="Times New Roman" w:hint="eastAsia"/>
          <w:sz w:val="24"/>
        </w:rPr>
        <w:t>按照相应动作规范要求进行技术评价参看表</w:t>
      </w:r>
      <w:r w:rsidRPr="000B25E0">
        <w:rPr>
          <w:rFonts w:ascii="Calibri" w:eastAsia="宋体" w:hAnsi="Calibri" w:cs="Times New Roman" w:hint="eastAsia"/>
          <w:sz w:val="24"/>
        </w:rPr>
        <w:t>1</w:t>
      </w:r>
      <w:r w:rsidRPr="000B25E0">
        <w:rPr>
          <w:rFonts w:ascii="Calibri" w:eastAsia="宋体" w:hAnsi="Calibri" w:cs="Times New Roman" w:hint="eastAsia"/>
          <w:sz w:val="24"/>
        </w:rPr>
        <w:t>。打分按照百分制进行。</w:t>
      </w:r>
    </w:p>
    <w:p w14:paraId="2291BCA8" w14:textId="77777777" w:rsidR="000B25E0" w:rsidRPr="000B25E0" w:rsidRDefault="000B25E0" w:rsidP="000B25E0">
      <w:pPr>
        <w:adjustRightInd w:val="0"/>
        <w:snapToGrid w:val="0"/>
        <w:spacing w:line="500" w:lineRule="exact"/>
        <w:ind w:firstLineChars="200" w:firstLine="482"/>
        <w:jc w:val="center"/>
        <w:rPr>
          <w:rFonts w:ascii="Calibri" w:eastAsia="宋体" w:hAnsi="Calibri" w:cs="Times New Roman"/>
          <w:b/>
          <w:sz w:val="24"/>
        </w:rPr>
      </w:pPr>
      <w:r w:rsidRPr="000B25E0">
        <w:rPr>
          <w:rFonts w:ascii="Calibri" w:eastAsia="宋体" w:hAnsi="Calibri" w:cs="Times New Roman" w:hint="eastAsia"/>
          <w:b/>
          <w:sz w:val="24"/>
        </w:rPr>
        <w:t>表</w:t>
      </w:r>
      <w:r w:rsidRPr="000B25E0">
        <w:rPr>
          <w:rFonts w:ascii="Calibri" w:eastAsia="宋体" w:hAnsi="Calibri" w:cs="Times New Roman" w:hint="eastAsia"/>
          <w:b/>
          <w:sz w:val="24"/>
        </w:rPr>
        <w:t>1</w:t>
      </w:r>
      <w:r w:rsidRPr="000B25E0">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0B25E0" w:rsidRPr="000B25E0" w14:paraId="27E30427" w14:textId="77777777" w:rsidTr="00BF5EF3">
        <w:trPr>
          <w:trHeight w:val="655"/>
        </w:trPr>
        <w:tc>
          <w:tcPr>
            <w:tcW w:w="2149" w:type="dxa"/>
            <w:tcBorders>
              <w:top w:val="single" w:sz="4" w:space="0" w:color="auto"/>
              <w:left w:val="single" w:sz="4" w:space="0" w:color="auto"/>
              <w:bottom w:val="single" w:sz="4" w:space="0" w:color="auto"/>
              <w:right w:val="single" w:sz="4" w:space="0" w:color="auto"/>
            </w:tcBorders>
          </w:tcPr>
          <w:p w14:paraId="4BFF47DB"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宋体" w:eastAsia="宋体" w:hAnsi="宋体" w:cs="宋体"/>
                <w:noProof/>
                <w:kern w:val="0"/>
                <w:sz w:val="18"/>
                <w:szCs w:val="18"/>
              </w:rPr>
              <mc:AlternateContent>
                <mc:Choice Requires="wps">
                  <w:drawing>
                    <wp:anchor distT="0" distB="0" distL="114300" distR="114300" simplePos="0" relativeHeight="251688960" behindDoc="0" locked="0" layoutInCell="1" allowOverlap="1" wp14:anchorId="24623B81" wp14:editId="67919A67">
                      <wp:simplePos x="0" y="0"/>
                      <wp:positionH relativeFrom="column">
                        <wp:posOffset>-97790</wp:posOffset>
                      </wp:positionH>
                      <wp:positionV relativeFrom="paragraph">
                        <wp:posOffset>31750</wp:posOffset>
                      </wp:positionV>
                      <wp:extent cx="1432560" cy="638175"/>
                      <wp:effectExtent l="1905" t="4445" r="13335" b="5080"/>
                      <wp:wrapNone/>
                      <wp:docPr id="23" name="直接连接符 23"/>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w14:anchorId="3AAA1994" id="直接连接符 23" o:spid="_x0000_s1026" style="position:absolute;z-index:251688960;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" strokeweight=".5pt"/>
                  </w:pict>
                </mc:Fallback>
              </mc:AlternateContent>
            </w:r>
            <w:r w:rsidRPr="000B25E0">
              <w:rPr>
                <w:rFonts w:ascii="宋体" w:eastAsia="宋体" w:hAnsi="宋体" w:cs="宋体"/>
                <w:kern w:val="0"/>
                <w:sz w:val="18"/>
                <w:szCs w:val="18"/>
              </w:rPr>
              <w:t xml:space="preserve">           </w:t>
            </w:r>
            <w:r w:rsidRPr="000B25E0">
              <w:rPr>
                <w:rFonts w:ascii="Calibri" w:eastAsia="宋体" w:hAnsi="Calibri" w:cs="Times New Roman" w:hint="eastAsia"/>
                <w:sz w:val="24"/>
              </w:rPr>
              <w:t>内</w:t>
            </w:r>
            <w:r w:rsidRPr="000B25E0">
              <w:rPr>
                <w:rFonts w:ascii="Calibri" w:eastAsia="宋体" w:hAnsi="Calibri" w:cs="Times New Roman"/>
                <w:sz w:val="24"/>
              </w:rPr>
              <w:t xml:space="preserve">  </w:t>
            </w:r>
            <w:r w:rsidRPr="000B25E0">
              <w:rPr>
                <w:rFonts w:ascii="Calibri" w:eastAsia="宋体" w:hAnsi="Calibri" w:cs="Times New Roman" w:hint="eastAsia"/>
                <w:sz w:val="24"/>
              </w:rPr>
              <w:t>容</w:t>
            </w:r>
          </w:p>
          <w:p w14:paraId="1B7479B2" w14:textId="77777777" w:rsidR="000B25E0" w:rsidRPr="000B25E0" w:rsidRDefault="000B25E0" w:rsidP="000B25E0">
            <w:pPr>
              <w:widowControl/>
              <w:spacing w:line="432" w:lineRule="auto"/>
              <w:rPr>
                <w:rFonts w:ascii="宋体" w:eastAsia="宋体" w:hAnsi="宋体" w:cs="宋体"/>
                <w:kern w:val="0"/>
                <w:sz w:val="18"/>
                <w:szCs w:val="18"/>
              </w:rPr>
            </w:pPr>
            <w:r w:rsidRPr="000B25E0">
              <w:rPr>
                <w:rFonts w:ascii="Calibri" w:eastAsia="宋体" w:hAnsi="Calibri" w:cs="Times New Roman" w:hint="eastAsia"/>
                <w:sz w:val="24"/>
              </w:rPr>
              <w:t>分</w:t>
            </w:r>
            <w:r w:rsidRPr="000B25E0">
              <w:rPr>
                <w:rFonts w:ascii="Calibri" w:eastAsia="宋体" w:hAnsi="Calibri" w:cs="Times New Roman"/>
                <w:sz w:val="24"/>
              </w:rPr>
              <w:t xml:space="preserve">  </w:t>
            </w:r>
            <w:r w:rsidRPr="000B25E0">
              <w:rPr>
                <w:rFonts w:ascii="Calibri" w:eastAsia="宋体" w:hAnsi="Calibri" w:cs="Times New Roman" w:hint="eastAsia"/>
                <w:sz w:val="24"/>
              </w:rPr>
              <w:t>值</w:t>
            </w:r>
            <w:r w:rsidRPr="000B25E0">
              <w:rPr>
                <w:rFonts w:ascii="Calibri" w:eastAsia="宋体" w:hAnsi="Calibri" w:cs="Times New Roman"/>
                <w:sz w:val="24"/>
              </w:rPr>
              <w:t xml:space="preserve"> </w:t>
            </w:r>
            <w:r w:rsidRPr="000B25E0">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5E6D7309"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hint="eastAsia"/>
                <w:sz w:val="24"/>
              </w:rPr>
              <w:t>滑行姿态</w:t>
            </w:r>
          </w:p>
        </w:tc>
      </w:tr>
      <w:tr w:rsidR="000B25E0" w:rsidRPr="000B25E0" w14:paraId="7EF1D978" w14:textId="77777777" w:rsidTr="00BF5EF3">
        <w:trPr>
          <w:cantSplit/>
        </w:trPr>
        <w:tc>
          <w:tcPr>
            <w:tcW w:w="2149" w:type="dxa"/>
            <w:vMerge w:val="restart"/>
            <w:tcBorders>
              <w:top w:val="single" w:sz="4" w:space="0" w:color="auto"/>
              <w:left w:val="single" w:sz="4" w:space="0" w:color="auto"/>
              <w:right w:val="single" w:sz="4" w:space="0" w:color="auto"/>
            </w:tcBorders>
            <w:vAlign w:val="center"/>
          </w:tcPr>
          <w:p w14:paraId="4B230484"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9</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10</w:t>
            </w:r>
            <w:r w:rsidRPr="000B25E0">
              <w:rPr>
                <w:rFonts w:ascii="Calibri" w:eastAsia="宋体" w:hAnsi="Calibri" w:cs="Times New Roman" w:hint="eastAsia"/>
                <w:sz w:val="24"/>
              </w:rPr>
              <w:t>0</w:t>
            </w:r>
          </w:p>
          <w:p w14:paraId="19710636"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8</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89</w:t>
            </w:r>
          </w:p>
          <w:p w14:paraId="2007F952"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7</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79</w:t>
            </w:r>
          </w:p>
          <w:p w14:paraId="6CF47F00"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6</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69</w:t>
            </w:r>
          </w:p>
          <w:p w14:paraId="7AB91663"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sz w:val="24"/>
              </w:rPr>
              <w:t>6</w:t>
            </w:r>
            <w:r w:rsidRPr="000B25E0">
              <w:rPr>
                <w:rFonts w:ascii="Calibri" w:eastAsia="宋体" w:hAnsi="Calibri" w:cs="Times New Roman" w:hint="eastAsia"/>
                <w:sz w:val="24"/>
              </w:rPr>
              <w:t>0</w:t>
            </w:r>
            <w:r w:rsidRPr="000B25E0">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299CC9AE"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hint="eastAsia"/>
                <w:sz w:val="24"/>
              </w:rPr>
              <w:t>姿势正确，动作优美、协调，速度快</w:t>
            </w:r>
          </w:p>
        </w:tc>
      </w:tr>
      <w:tr w:rsidR="000B25E0" w:rsidRPr="000B25E0" w14:paraId="38F71B17" w14:textId="77777777" w:rsidTr="00BF5EF3">
        <w:trPr>
          <w:cantSplit/>
        </w:trPr>
        <w:tc>
          <w:tcPr>
            <w:tcW w:w="2149" w:type="dxa"/>
            <w:vMerge/>
            <w:tcBorders>
              <w:left w:val="single" w:sz="4" w:space="0" w:color="auto"/>
              <w:right w:val="single" w:sz="4" w:space="0" w:color="auto"/>
            </w:tcBorders>
            <w:vAlign w:val="center"/>
          </w:tcPr>
          <w:p w14:paraId="1F30D8D1"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FFA8618"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姿势较正确，动作自然，速度较快</w:t>
            </w:r>
          </w:p>
        </w:tc>
      </w:tr>
      <w:tr w:rsidR="000B25E0" w:rsidRPr="000B25E0" w14:paraId="1D8AB798" w14:textId="77777777" w:rsidTr="00BF5EF3">
        <w:trPr>
          <w:cantSplit/>
        </w:trPr>
        <w:tc>
          <w:tcPr>
            <w:tcW w:w="2149" w:type="dxa"/>
            <w:vMerge/>
            <w:tcBorders>
              <w:left w:val="single" w:sz="4" w:space="0" w:color="auto"/>
              <w:right w:val="single" w:sz="4" w:space="0" w:color="auto"/>
            </w:tcBorders>
            <w:vAlign w:val="center"/>
          </w:tcPr>
          <w:p w14:paraId="7AD7090F"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6837E22"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姿势一般，动作基本正确，速度适中</w:t>
            </w:r>
          </w:p>
        </w:tc>
      </w:tr>
      <w:tr w:rsidR="000B25E0" w:rsidRPr="000B25E0" w14:paraId="4BC99B02" w14:textId="77777777" w:rsidTr="00BF5EF3">
        <w:trPr>
          <w:cantSplit/>
        </w:trPr>
        <w:tc>
          <w:tcPr>
            <w:tcW w:w="2149" w:type="dxa"/>
            <w:vMerge/>
            <w:tcBorders>
              <w:left w:val="single" w:sz="4" w:space="0" w:color="auto"/>
              <w:right w:val="single" w:sz="4" w:space="0" w:color="auto"/>
            </w:tcBorders>
            <w:vAlign w:val="center"/>
          </w:tcPr>
          <w:p w14:paraId="6DB20281"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61170938"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动作不协调，有多余动作，速度较慢</w:t>
            </w:r>
          </w:p>
        </w:tc>
      </w:tr>
      <w:tr w:rsidR="000B25E0" w:rsidRPr="000B25E0" w14:paraId="2C222400" w14:textId="77777777" w:rsidTr="00BF5EF3">
        <w:trPr>
          <w:cantSplit/>
        </w:trPr>
        <w:tc>
          <w:tcPr>
            <w:tcW w:w="2149" w:type="dxa"/>
            <w:vMerge/>
            <w:tcBorders>
              <w:left w:val="single" w:sz="4" w:space="0" w:color="auto"/>
              <w:bottom w:val="single" w:sz="4" w:space="0" w:color="auto"/>
              <w:right w:val="single" w:sz="4" w:space="0" w:color="auto"/>
            </w:tcBorders>
            <w:vAlign w:val="center"/>
          </w:tcPr>
          <w:p w14:paraId="104C8AA0" w14:textId="77777777" w:rsidR="000B25E0" w:rsidRPr="000B25E0" w:rsidRDefault="000B25E0" w:rsidP="000B25E0">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636EC901"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动作僵硬，吃力，不协调，速度慢</w:t>
            </w:r>
          </w:p>
        </w:tc>
      </w:tr>
    </w:tbl>
    <w:p w14:paraId="34CBD869" w14:textId="77777777" w:rsidR="000B25E0" w:rsidRPr="000B25E0" w:rsidRDefault="000B25E0" w:rsidP="000B25E0">
      <w:pPr>
        <w:spacing w:line="500" w:lineRule="exact"/>
        <w:ind w:firstLineChars="200" w:firstLine="482"/>
        <w:rPr>
          <w:rFonts w:ascii="Calibri" w:eastAsia="宋体" w:hAnsi="Calibri" w:cs="Times New Roman"/>
          <w:sz w:val="24"/>
        </w:rPr>
      </w:pPr>
      <w:r w:rsidRPr="000B25E0">
        <w:rPr>
          <w:rFonts w:ascii="Calibri" w:eastAsia="宋体" w:hAnsi="Calibri" w:cs="Times New Roman"/>
          <w:b/>
          <w:sz w:val="24"/>
        </w:rPr>
        <w:t>本部</w:t>
      </w:r>
      <w:proofErr w:type="gramStart"/>
      <w:r w:rsidRPr="000B25E0">
        <w:rPr>
          <w:rFonts w:ascii="Calibri" w:eastAsia="宋体" w:hAnsi="Calibri" w:cs="Times New Roman"/>
          <w:b/>
          <w:sz w:val="24"/>
        </w:rPr>
        <w:t>分教学</w:t>
      </w:r>
      <w:proofErr w:type="gramEnd"/>
      <w:r w:rsidRPr="000B25E0">
        <w:rPr>
          <w:rFonts w:ascii="Calibri" w:eastAsia="宋体" w:hAnsi="Calibri" w:cs="Times New Roman"/>
          <w:b/>
          <w:sz w:val="24"/>
        </w:rPr>
        <w:t>目的及要求</w:t>
      </w:r>
      <w:r w:rsidRPr="000B25E0">
        <w:rPr>
          <w:rFonts w:ascii="Calibri" w:eastAsia="宋体" w:hAnsi="Calibri" w:cs="Times New Roman" w:hint="eastAsia"/>
          <w:b/>
          <w:sz w:val="24"/>
        </w:rPr>
        <w:t>：</w:t>
      </w:r>
      <w:r w:rsidRPr="000B25E0">
        <w:rPr>
          <w:rFonts w:ascii="Calibri" w:eastAsia="宋体" w:hAnsi="Calibri" w:cs="Times New Roman" w:hint="eastAsia"/>
          <w:sz w:val="24"/>
        </w:rPr>
        <w:t>考核检验教学效果与对学生的学习效果评价</w:t>
      </w:r>
    </w:p>
    <w:p w14:paraId="0B3A07C5" w14:textId="77777777" w:rsidR="000B25E0" w:rsidRPr="000B25E0" w:rsidRDefault="000B25E0" w:rsidP="000B25E0">
      <w:pPr>
        <w:spacing w:line="500" w:lineRule="exact"/>
        <w:ind w:firstLineChars="200" w:firstLine="482"/>
        <w:rPr>
          <w:rFonts w:ascii="Calibri" w:eastAsia="宋体" w:hAnsi="Calibri" w:cs="Times New Roman"/>
          <w:sz w:val="24"/>
        </w:rPr>
      </w:pPr>
      <w:r w:rsidRPr="000B25E0">
        <w:rPr>
          <w:rFonts w:ascii="Calibri" w:eastAsia="宋体" w:hAnsi="Calibri" w:cs="Times New Roman"/>
          <w:b/>
          <w:sz w:val="24"/>
        </w:rPr>
        <w:lastRenderedPageBreak/>
        <w:t>本部</w:t>
      </w:r>
      <w:proofErr w:type="gramStart"/>
      <w:r w:rsidRPr="000B25E0">
        <w:rPr>
          <w:rFonts w:ascii="Calibri" w:eastAsia="宋体" w:hAnsi="Calibri" w:cs="Times New Roman"/>
          <w:b/>
          <w:sz w:val="24"/>
        </w:rPr>
        <w:t>分教学</w:t>
      </w:r>
      <w:proofErr w:type="gramEnd"/>
      <w:r w:rsidRPr="000B25E0">
        <w:rPr>
          <w:rFonts w:ascii="Calibri" w:eastAsia="宋体" w:hAnsi="Calibri" w:cs="Times New Roman"/>
          <w:b/>
          <w:sz w:val="24"/>
        </w:rPr>
        <w:t>重点及难点：</w:t>
      </w:r>
      <w:r w:rsidRPr="000B25E0">
        <w:rPr>
          <w:rFonts w:ascii="Calibri" w:eastAsia="宋体" w:hAnsi="Calibri" w:cs="Times New Roman" w:hint="eastAsia"/>
          <w:sz w:val="24"/>
        </w:rPr>
        <w:t>轮滑测试（公正、公平、公开）</w:t>
      </w:r>
    </w:p>
    <w:p w14:paraId="4C48B8F4" w14:textId="77777777" w:rsidR="000B25E0" w:rsidRPr="000B25E0" w:rsidRDefault="000B25E0" w:rsidP="000B25E0">
      <w:pPr>
        <w:tabs>
          <w:tab w:val="left" w:pos="687"/>
          <w:tab w:val="left" w:pos="897"/>
        </w:tabs>
        <w:adjustRightInd w:val="0"/>
        <w:snapToGrid w:val="0"/>
        <w:spacing w:line="500" w:lineRule="exact"/>
        <w:jc w:val="center"/>
        <w:rPr>
          <w:rFonts w:ascii="宋体" w:eastAsia="宋体" w:hAnsi="宋体" w:cs="宋体"/>
          <w:b/>
          <w:sz w:val="24"/>
        </w:rPr>
      </w:pPr>
      <w:r w:rsidRPr="000B25E0">
        <w:rPr>
          <w:rFonts w:ascii="宋体" w:eastAsia="宋体" w:hAnsi="宋体" w:cs="宋体" w:hint="eastAsia"/>
          <w:b/>
          <w:sz w:val="24"/>
        </w:rPr>
        <w:t>期末考试(2学时)</w:t>
      </w:r>
    </w:p>
    <w:p w14:paraId="1CEC3ED0"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w:t>
      </w:r>
      <w:proofErr w:type="gramStart"/>
      <w:r w:rsidRPr="000B25E0">
        <w:rPr>
          <w:rFonts w:ascii="Calibri" w:eastAsia="宋体" w:hAnsi="Calibri" w:cs="Times New Roman" w:hint="eastAsia"/>
          <w:sz w:val="24"/>
        </w:rPr>
        <w:t>直道正滑</w:t>
      </w:r>
      <w:r w:rsidRPr="000B25E0">
        <w:rPr>
          <w:rFonts w:ascii="宋体" w:eastAsia="宋体" w:hAnsi="Calibri" w:cs="Times New Roman" w:hint="eastAsia"/>
          <w:bCs/>
          <w:kern w:val="0"/>
          <w:sz w:val="24"/>
        </w:rPr>
        <w:t>教学</w:t>
      </w:r>
      <w:proofErr w:type="gramEnd"/>
      <w:r w:rsidRPr="000B25E0">
        <w:rPr>
          <w:rFonts w:ascii="宋体" w:eastAsia="宋体" w:hAnsi="Calibri" w:cs="Times New Roman" w:hint="eastAsia"/>
          <w:bCs/>
          <w:kern w:val="0"/>
          <w:sz w:val="24"/>
        </w:rPr>
        <w:t>效果和学生掌握情况，让学生了解</w:t>
      </w:r>
      <w:proofErr w:type="gramStart"/>
      <w:r w:rsidRPr="000B25E0">
        <w:rPr>
          <w:rFonts w:ascii="Calibri" w:eastAsia="宋体" w:hAnsi="Calibri" w:cs="Times New Roman" w:hint="eastAsia"/>
          <w:sz w:val="24"/>
        </w:rPr>
        <w:t>直道正</w:t>
      </w:r>
      <w:proofErr w:type="gramEnd"/>
      <w:r w:rsidRPr="000B25E0">
        <w:rPr>
          <w:rFonts w:ascii="Calibri" w:eastAsia="宋体" w:hAnsi="Calibri" w:cs="Times New Roman" w:hint="eastAsia"/>
          <w:sz w:val="24"/>
        </w:rPr>
        <w:t>滑</w:t>
      </w:r>
      <w:r w:rsidRPr="000B25E0">
        <w:rPr>
          <w:rFonts w:ascii="宋体" w:eastAsia="宋体" w:hAnsi="Calibri" w:cs="Times New Roman" w:hint="eastAsia"/>
          <w:bCs/>
          <w:kern w:val="0"/>
          <w:sz w:val="24"/>
        </w:rPr>
        <w:t>的重要性。</w:t>
      </w:r>
    </w:p>
    <w:p w14:paraId="2E3260B2"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宋体" w:eastAsia="宋体" w:hAnsi="Calibri" w:cs="Times New Roman" w:hint="eastAsia"/>
          <w:b/>
          <w:kern w:val="0"/>
          <w:sz w:val="24"/>
        </w:rPr>
        <w:t>2.课程考核的内容：</w:t>
      </w:r>
      <w:proofErr w:type="gramStart"/>
      <w:r w:rsidRPr="000B25E0">
        <w:rPr>
          <w:rFonts w:ascii="Calibri" w:eastAsia="宋体" w:hAnsi="Calibri" w:cs="Times New Roman" w:hint="eastAsia"/>
          <w:sz w:val="24"/>
        </w:rPr>
        <w:t>直道正</w:t>
      </w:r>
      <w:proofErr w:type="gramEnd"/>
      <w:r w:rsidRPr="000B25E0">
        <w:rPr>
          <w:rFonts w:ascii="Calibri" w:eastAsia="宋体" w:hAnsi="Calibri" w:cs="Times New Roman" w:hint="eastAsia"/>
          <w:sz w:val="24"/>
        </w:rPr>
        <w:t>滑</w:t>
      </w:r>
      <w:r w:rsidRPr="000B25E0">
        <w:rPr>
          <w:rFonts w:ascii="Calibri" w:eastAsia="宋体" w:hAnsi="Calibri" w:cs="Times New Roman"/>
          <w:sz w:val="24"/>
        </w:rPr>
        <w:t>（数量及技术评定按百分制计算，各占总分值一半）</w:t>
      </w:r>
    </w:p>
    <w:p w14:paraId="5DB449CE"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平整无坑洼场地150米，每人一次滑行机会。</w:t>
      </w:r>
    </w:p>
    <w:p w14:paraId="68804611"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数量及技术评定分值各为100分，各占总分值的50%，总分值为100分。</w:t>
      </w:r>
    </w:p>
    <w:p w14:paraId="1C0CD90A"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bCs/>
          <w:sz w:val="24"/>
        </w:rPr>
      </w:pPr>
      <w:r w:rsidRPr="000B25E0">
        <w:rPr>
          <w:rFonts w:ascii="Calibri" w:eastAsia="宋体" w:hAnsi="Calibri" w:cs="Times New Roman" w:hint="eastAsia"/>
          <w:b/>
          <w:bCs/>
          <w:sz w:val="24"/>
        </w:rPr>
        <w:t>5.</w:t>
      </w:r>
      <w:r w:rsidRPr="000B25E0">
        <w:rPr>
          <w:rFonts w:ascii="Calibri" w:eastAsia="宋体" w:hAnsi="Calibri" w:cs="Times New Roman" w:hint="eastAsia"/>
          <w:b/>
          <w:bCs/>
          <w:sz w:val="24"/>
        </w:rPr>
        <w:t>评分原则：</w:t>
      </w:r>
    </w:p>
    <w:p w14:paraId="33EF0676"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数量评价：</w:t>
      </w:r>
    </w:p>
    <w:p w14:paraId="73D7AEB0"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学生需完成</w:t>
      </w:r>
      <w:r w:rsidRPr="000B25E0">
        <w:rPr>
          <w:rFonts w:ascii="Calibri" w:eastAsia="宋体" w:hAnsi="Calibri" w:cs="Times New Roman" w:hint="eastAsia"/>
          <w:sz w:val="24"/>
        </w:rPr>
        <w:t>100</w:t>
      </w:r>
      <w:r w:rsidRPr="000B25E0">
        <w:rPr>
          <w:rFonts w:ascii="Calibri" w:eastAsia="宋体" w:hAnsi="Calibri" w:cs="Times New Roman" w:hint="eastAsia"/>
          <w:sz w:val="24"/>
        </w:rPr>
        <w:t>米</w:t>
      </w:r>
      <w:proofErr w:type="gramStart"/>
      <w:r w:rsidRPr="000B25E0">
        <w:rPr>
          <w:rFonts w:ascii="Calibri" w:eastAsia="宋体" w:hAnsi="Calibri" w:cs="Times New Roman" w:hint="eastAsia"/>
          <w:sz w:val="24"/>
        </w:rPr>
        <w:t>直道正</w:t>
      </w:r>
      <w:proofErr w:type="gramEnd"/>
      <w:r w:rsidRPr="000B25E0">
        <w:rPr>
          <w:rFonts w:ascii="Calibri" w:eastAsia="宋体" w:hAnsi="Calibri" w:cs="Times New Roman" w:hint="eastAsia"/>
          <w:sz w:val="24"/>
        </w:rPr>
        <w:t>滑，</w:t>
      </w:r>
      <w:r w:rsidRPr="000B25E0">
        <w:rPr>
          <w:rFonts w:ascii="Calibri" w:eastAsia="宋体" w:hAnsi="Calibri" w:cs="Times New Roman" w:hint="eastAsia"/>
          <w:sz w:val="24"/>
        </w:rPr>
        <w:t>60</w:t>
      </w:r>
      <w:r w:rsidRPr="000B25E0">
        <w:rPr>
          <w:rFonts w:ascii="Calibri" w:eastAsia="宋体" w:hAnsi="Calibri" w:cs="Times New Roman" w:hint="eastAsia"/>
          <w:sz w:val="24"/>
        </w:rPr>
        <w:t>米为及格，</w:t>
      </w:r>
      <w:r w:rsidRPr="000B25E0">
        <w:rPr>
          <w:rFonts w:ascii="Calibri" w:eastAsia="宋体" w:hAnsi="Calibri" w:cs="Times New Roman" w:hint="eastAsia"/>
          <w:sz w:val="24"/>
        </w:rPr>
        <w:t>100</w:t>
      </w:r>
      <w:r w:rsidRPr="000B25E0">
        <w:rPr>
          <w:rFonts w:ascii="Calibri" w:eastAsia="宋体" w:hAnsi="Calibri" w:cs="Times New Roman" w:hint="eastAsia"/>
          <w:sz w:val="24"/>
        </w:rPr>
        <w:t>米为满分，分值</w:t>
      </w:r>
      <w:r w:rsidRPr="000B25E0">
        <w:rPr>
          <w:rFonts w:ascii="Calibri" w:eastAsia="宋体" w:hAnsi="Calibri" w:cs="Times New Roman" w:hint="eastAsia"/>
          <w:sz w:val="24"/>
        </w:rPr>
        <w:t>10</w:t>
      </w:r>
      <w:r w:rsidRPr="000B25E0">
        <w:rPr>
          <w:rFonts w:ascii="Calibri" w:eastAsia="宋体" w:hAnsi="Calibri" w:cs="Times New Roman"/>
          <w:sz w:val="24"/>
        </w:rPr>
        <w:t>0</w:t>
      </w:r>
      <w:r w:rsidRPr="000B25E0">
        <w:rPr>
          <w:rFonts w:ascii="Calibri" w:eastAsia="宋体" w:hAnsi="Calibri" w:cs="Times New Roman" w:hint="eastAsia"/>
          <w:sz w:val="24"/>
        </w:rPr>
        <w:t>分。</w:t>
      </w:r>
    </w:p>
    <w:p w14:paraId="34557D44"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技术评价：</w:t>
      </w:r>
    </w:p>
    <w:p w14:paraId="4EB35FC3"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按照相应动作规范要求进行技术评价参看表</w:t>
      </w:r>
      <w:r w:rsidRPr="000B25E0">
        <w:rPr>
          <w:rFonts w:ascii="Calibri" w:eastAsia="宋体" w:hAnsi="Calibri" w:cs="Times New Roman" w:hint="eastAsia"/>
          <w:sz w:val="24"/>
        </w:rPr>
        <w:t>1</w:t>
      </w:r>
      <w:r w:rsidRPr="000B25E0">
        <w:rPr>
          <w:rFonts w:ascii="Calibri" w:eastAsia="宋体" w:hAnsi="Calibri" w:cs="Times New Roman" w:hint="eastAsia"/>
          <w:sz w:val="24"/>
        </w:rPr>
        <w:t>。打分按照百分制进行。</w:t>
      </w:r>
    </w:p>
    <w:p w14:paraId="526D8F4F" w14:textId="77777777" w:rsidR="000B25E0" w:rsidRPr="000B25E0" w:rsidRDefault="000B25E0" w:rsidP="000B25E0">
      <w:pPr>
        <w:adjustRightInd w:val="0"/>
        <w:snapToGrid w:val="0"/>
        <w:spacing w:line="500" w:lineRule="exact"/>
        <w:ind w:firstLineChars="200" w:firstLine="482"/>
        <w:jc w:val="center"/>
        <w:rPr>
          <w:rFonts w:ascii="Calibri" w:eastAsia="宋体" w:hAnsi="Calibri" w:cs="Times New Roman"/>
          <w:b/>
          <w:sz w:val="24"/>
        </w:rPr>
      </w:pPr>
      <w:r w:rsidRPr="000B25E0">
        <w:rPr>
          <w:rFonts w:ascii="Calibri" w:eastAsia="宋体" w:hAnsi="Calibri" w:cs="Times New Roman" w:hint="eastAsia"/>
          <w:b/>
          <w:sz w:val="24"/>
        </w:rPr>
        <w:t>表</w:t>
      </w:r>
      <w:r w:rsidRPr="000B25E0">
        <w:rPr>
          <w:rFonts w:ascii="Calibri" w:eastAsia="宋体" w:hAnsi="Calibri" w:cs="Times New Roman" w:hint="eastAsia"/>
          <w:b/>
          <w:sz w:val="24"/>
        </w:rPr>
        <w:t>1</w:t>
      </w:r>
      <w:r w:rsidRPr="000B25E0">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0B25E0" w:rsidRPr="000B25E0" w14:paraId="2C5D0177" w14:textId="77777777" w:rsidTr="00BF5EF3">
        <w:trPr>
          <w:trHeight w:val="655"/>
        </w:trPr>
        <w:tc>
          <w:tcPr>
            <w:tcW w:w="2149" w:type="dxa"/>
            <w:tcBorders>
              <w:top w:val="single" w:sz="4" w:space="0" w:color="auto"/>
              <w:left w:val="single" w:sz="4" w:space="0" w:color="auto"/>
              <w:bottom w:val="single" w:sz="4" w:space="0" w:color="auto"/>
              <w:right w:val="single" w:sz="4" w:space="0" w:color="auto"/>
            </w:tcBorders>
          </w:tcPr>
          <w:p w14:paraId="501FB0E0"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宋体" w:eastAsia="宋体" w:hAnsi="宋体" w:cs="宋体"/>
                <w:noProof/>
                <w:kern w:val="0"/>
                <w:sz w:val="18"/>
                <w:szCs w:val="18"/>
              </w:rPr>
              <mc:AlternateContent>
                <mc:Choice Requires="wps">
                  <w:drawing>
                    <wp:anchor distT="0" distB="0" distL="114300" distR="114300" simplePos="0" relativeHeight="251689984" behindDoc="0" locked="0" layoutInCell="1" allowOverlap="1" wp14:anchorId="57DD59C0" wp14:editId="61C91003">
                      <wp:simplePos x="0" y="0"/>
                      <wp:positionH relativeFrom="column">
                        <wp:posOffset>-97790</wp:posOffset>
                      </wp:positionH>
                      <wp:positionV relativeFrom="paragraph">
                        <wp:posOffset>31750</wp:posOffset>
                      </wp:positionV>
                      <wp:extent cx="1432560" cy="638175"/>
                      <wp:effectExtent l="1905" t="4445" r="13335" b="5080"/>
                      <wp:wrapNone/>
                      <wp:docPr id="57" name="直接连接符 57"/>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w14:anchorId="68AF391B" id="直接连接符 57" o:spid="_x0000_s1026" style="position:absolute;z-index:251689984;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" strokeweight=".5pt"/>
                  </w:pict>
                </mc:Fallback>
              </mc:AlternateContent>
            </w:r>
            <w:r w:rsidRPr="000B25E0">
              <w:rPr>
                <w:rFonts w:ascii="宋体" w:eastAsia="宋体" w:hAnsi="宋体" w:cs="宋体"/>
                <w:kern w:val="0"/>
                <w:sz w:val="18"/>
                <w:szCs w:val="18"/>
              </w:rPr>
              <w:t xml:space="preserve">           </w:t>
            </w:r>
            <w:r w:rsidRPr="000B25E0">
              <w:rPr>
                <w:rFonts w:ascii="Calibri" w:eastAsia="宋体" w:hAnsi="Calibri" w:cs="Times New Roman" w:hint="eastAsia"/>
                <w:sz w:val="24"/>
              </w:rPr>
              <w:t>内</w:t>
            </w:r>
            <w:r w:rsidRPr="000B25E0">
              <w:rPr>
                <w:rFonts w:ascii="Calibri" w:eastAsia="宋体" w:hAnsi="Calibri" w:cs="Times New Roman"/>
                <w:sz w:val="24"/>
              </w:rPr>
              <w:t xml:space="preserve">  </w:t>
            </w:r>
            <w:r w:rsidRPr="000B25E0">
              <w:rPr>
                <w:rFonts w:ascii="Calibri" w:eastAsia="宋体" w:hAnsi="Calibri" w:cs="Times New Roman" w:hint="eastAsia"/>
                <w:sz w:val="24"/>
              </w:rPr>
              <w:t>容</w:t>
            </w:r>
          </w:p>
          <w:p w14:paraId="6AD15FC8" w14:textId="77777777" w:rsidR="000B25E0" w:rsidRPr="000B25E0" w:rsidRDefault="000B25E0" w:rsidP="000B25E0">
            <w:pPr>
              <w:widowControl/>
              <w:spacing w:line="432" w:lineRule="auto"/>
              <w:rPr>
                <w:rFonts w:ascii="宋体" w:eastAsia="宋体" w:hAnsi="宋体" w:cs="宋体"/>
                <w:kern w:val="0"/>
                <w:sz w:val="18"/>
                <w:szCs w:val="18"/>
              </w:rPr>
            </w:pPr>
            <w:r w:rsidRPr="000B25E0">
              <w:rPr>
                <w:rFonts w:ascii="Calibri" w:eastAsia="宋体" w:hAnsi="Calibri" w:cs="Times New Roman" w:hint="eastAsia"/>
                <w:sz w:val="24"/>
              </w:rPr>
              <w:t>分</w:t>
            </w:r>
            <w:r w:rsidRPr="000B25E0">
              <w:rPr>
                <w:rFonts w:ascii="Calibri" w:eastAsia="宋体" w:hAnsi="Calibri" w:cs="Times New Roman"/>
                <w:sz w:val="24"/>
              </w:rPr>
              <w:t xml:space="preserve">  </w:t>
            </w:r>
            <w:r w:rsidRPr="000B25E0">
              <w:rPr>
                <w:rFonts w:ascii="Calibri" w:eastAsia="宋体" w:hAnsi="Calibri" w:cs="Times New Roman" w:hint="eastAsia"/>
                <w:sz w:val="24"/>
              </w:rPr>
              <w:t>值</w:t>
            </w:r>
            <w:r w:rsidRPr="000B25E0">
              <w:rPr>
                <w:rFonts w:ascii="Calibri" w:eastAsia="宋体" w:hAnsi="Calibri" w:cs="Times New Roman"/>
                <w:sz w:val="24"/>
              </w:rPr>
              <w:t xml:space="preserve"> </w:t>
            </w:r>
            <w:r w:rsidRPr="000B25E0">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7D5476C3"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hint="eastAsia"/>
                <w:sz w:val="24"/>
              </w:rPr>
              <w:t>滑行姿态</w:t>
            </w:r>
          </w:p>
        </w:tc>
      </w:tr>
      <w:tr w:rsidR="000B25E0" w:rsidRPr="000B25E0" w14:paraId="09A1AC9D" w14:textId="77777777" w:rsidTr="00BF5EF3">
        <w:trPr>
          <w:cantSplit/>
        </w:trPr>
        <w:tc>
          <w:tcPr>
            <w:tcW w:w="2149" w:type="dxa"/>
            <w:vMerge w:val="restart"/>
            <w:tcBorders>
              <w:top w:val="single" w:sz="4" w:space="0" w:color="auto"/>
              <w:left w:val="single" w:sz="4" w:space="0" w:color="auto"/>
              <w:right w:val="single" w:sz="4" w:space="0" w:color="auto"/>
            </w:tcBorders>
            <w:vAlign w:val="center"/>
          </w:tcPr>
          <w:p w14:paraId="070DF7FE"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9</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10</w:t>
            </w:r>
            <w:r w:rsidRPr="000B25E0">
              <w:rPr>
                <w:rFonts w:ascii="Calibri" w:eastAsia="宋体" w:hAnsi="Calibri" w:cs="Times New Roman" w:hint="eastAsia"/>
                <w:sz w:val="24"/>
              </w:rPr>
              <w:t>0</w:t>
            </w:r>
          </w:p>
          <w:p w14:paraId="3DEF82DF"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8</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89</w:t>
            </w:r>
          </w:p>
          <w:p w14:paraId="287C7650"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7</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79</w:t>
            </w:r>
          </w:p>
          <w:p w14:paraId="49D3919C"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6</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69</w:t>
            </w:r>
          </w:p>
          <w:p w14:paraId="5485F080"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sz w:val="24"/>
              </w:rPr>
              <w:t>6</w:t>
            </w:r>
            <w:r w:rsidRPr="000B25E0">
              <w:rPr>
                <w:rFonts w:ascii="Calibri" w:eastAsia="宋体" w:hAnsi="Calibri" w:cs="Times New Roman" w:hint="eastAsia"/>
                <w:sz w:val="24"/>
              </w:rPr>
              <w:t>0</w:t>
            </w:r>
            <w:r w:rsidRPr="000B25E0">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31684EBE"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hint="eastAsia"/>
                <w:sz w:val="24"/>
              </w:rPr>
              <w:t>姿势正确，动作优美、协调，速度快</w:t>
            </w:r>
          </w:p>
        </w:tc>
      </w:tr>
      <w:tr w:rsidR="000B25E0" w:rsidRPr="000B25E0" w14:paraId="0150DA0F" w14:textId="77777777" w:rsidTr="00BF5EF3">
        <w:trPr>
          <w:cantSplit/>
        </w:trPr>
        <w:tc>
          <w:tcPr>
            <w:tcW w:w="2149" w:type="dxa"/>
            <w:vMerge/>
            <w:tcBorders>
              <w:left w:val="single" w:sz="4" w:space="0" w:color="auto"/>
              <w:right w:val="single" w:sz="4" w:space="0" w:color="auto"/>
            </w:tcBorders>
            <w:vAlign w:val="center"/>
          </w:tcPr>
          <w:p w14:paraId="1A67B17E"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1710F9EE"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姿势较正确，动作自然，速度较快</w:t>
            </w:r>
          </w:p>
        </w:tc>
      </w:tr>
      <w:tr w:rsidR="000B25E0" w:rsidRPr="000B25E0" w14:paraId="56AEA90D" w14:textId="77777777" w:rsidTr="00BF5EF3">
        <w:trPr>
          <w:cantSplit/>
        </w:trPr>
        <w:tc>
          <w:tcPr>
            <w:tcW w:w="2149" w:type="dxa"/>
            <w:vMerge/>
            <w:tcBorders>
              <w:left w:val="single" w:sz="4" w:space="0" w:color="auto"/>
              <w:right w:val="single" w:sz="4" w:space="0" w:color="auto"/>
            </w:tcBorders>
            <w:vAlign w:val="center"/>
          </w:tcPr>
          <w:p w14:paraId="15CA2694"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0736A6EE"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姿势一般，动作基本正确，速度适中</w:t>
            </w:r>
          </w:p>
        </w:tc>
      </w:tr>
      <w:tr w:rsidR="000B25E0" w:rsidRPr="000B25E0" w14:paraId="35BE978C" w14:textId="77777777" w:rsidTr="00BF5EF3">
        <w:trPr>
          <w:cantSplit/>
        </w:trPr>
        <w:tc>
          <w:tcPr>
            <w:tcW w:w="2149" w:type="dxa"/>
            <w:vMerge/>
            <w:tcBorders>
              <w:left w:val="single" w:sz="4" w:space="0" w:color="auto"/>
              <w:right w:val="single" w:sz="4" w:space="0" w:color="auto"/>
            </w:tcBorders>
            <w:vAlign w:val="center"/>
          </w:tcPr>
          <w:p w14:paraId="05983CD8"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C62CF7C"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动作不协调，有多余动作，速度较慢</w:t>
            </w:r>
          </w:p>
        </w:tc>
      </w:tr>
      <w:tr w:rsidR="000B25E0" w:rsidRPr="000B25E0" w14:paraId="1C558121" w14:textId="77777777" w:rsidTr="00BF5EF3">
        <w:trPr>
          <w:cantSplit/>
        </w:trPr>
        <w:tc>
          <w:tcPr>
            <w:tcW w:w="2149" w:type="dxa"/>
            <w:vMerge/>
            <w:tcBorders>
              <w:left w:val="single" w:sz="4" w:space="0" w:color="auto"/>
              <w:bottom w:val="single" w:sz="4" w:space="0" w:color="auto"/>
              <w:right w:val="single" w:sz="4" w:space="0" w:color="auto"/>
            </w:tcBorders>
            <w:vAlign w:val="center"/>
          </w:tcPr>
          <w:p w14:paraId="6BC8A4FB" w14:textId="77777777" w:rsidR="000B25E0" w:rsidRPr="000B25E0" w:rsidRDefault="000B25E0" w:rsidP="000B25E0">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0B6E2A32"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动作僵硬，吃力，不协调，速度慢</w:t>
            </w:r>
          </w:p>
        </w:tc>
      </w:tr>
    </w:tbl>
    <w:p w14:paraId="174794F9" w14:textId="77777777" w:rsidR="000B25E0" w:rsidRPr="000B25E0" w:rsidRDefault="000B25E0" w:rsidP="000B25E0">
      <w:pPr>
        <w:spacing w:line="500" w:lineRule="exact"/>
        <w:ind w:firstLineChars="200" w:firstLine="480"/>
        <w:rPr>
          <w:rFonts w:ascii="Calibri" w:eastAsia="宋体" w:hAnsi="Calibri" w:cs="Times New Roman"/>
          <w:sz w:val="24"/>
        </w:rPr>
      </w:pPr>
      <w:r w:rsidRPr="000B25E0">
        <w:rPr>
          <w:rFonts w:ascii="Calibri" w:eastAsia="宋体" w:hAnsi="Calibri" w:cs="Times New Roman"/>
          <w:bCs/>
          <w:sz w:val="24"/>
        </w:rPr>
        <w:t>本部</w:t>
      </w:r>
      <w:proofErr w:type="gramStart"/>
      <w:r w:rsidRPr="000B25E0">
        <w:rPr>
          <w:rFonts w:ascii="Calibri" w:eastAsia="宋体" w:hAnsi="Calibri" w:cs="Times New Roman"/>
          <w:bCs/>
          <w:sz w:val="24"/>
        </w:rPr>
        <w:t>分教学</w:t>
      </w:r>
      <w:proofErr w:type="gramEnd"/>
      <w:r w:rsidRPr="000B25E0">
        <w:rPr>
          <w:rFonts w:ascii="Calibri" w:eastAsia="宋体" w:hAnsi="Calibri" w:cs="Times New Roman"/>
          <w:bCs/>
          <w:sz w:val="24"/>
        </w:rPr>
        <w:t>目的及要求</w:t>
      </w:r>
      <w:r w:rsidRPr="000B25E0">
        <w:rPr>
          <w:rFonts w:ascii="Calibri" w:eastAsia="宋体" w:hAnsi="Calibri" w:cs="Times New Roman" w:hint="eastAsia"/>
          <w:bCs/>
          <w:sz w:val="24"/>
        </w:rPr>
        <w:t>：</w:t>
      </w:r>
      <w:r w:rsidRPr="000B25E0">
        <w:rPr>
          <w:rFonts w:ascii="Calibri" w:eastAsia="宋体" w:hAnsi="Calibri" w:cs="Times New Roman" w:hint="eastAsia"/>
          <w:sz w:val="24"/>
        </w:rPr>
        <w:t>考核检验教学效果与对学生的学习效果评价</w:t>
      </w:r>
    </w:p>
    <w:p w14:paraId="302AE0F6" w14:textId="77777777" w:rsidR="000B25E0" w:rsidRPr="000B25E0" w:rsidRDefault="000B25E0" w:rsidP="000B25E0">
      <w:pPr>
        <w:spacing w:line="500" w:lineRule="exact"/>
        <w:ind w:firstLineChars="200" w:firstLine="480"/>
        <w:rPr>
          <w:rFonts w:ascii="Calibri" w:eastAsia="宋体" w:hAnsi="Calibri" w:cs="Times New Roman"/>
          <w:sz w:val="24"/>
        </w:rPr>
      </w:pPr>
      <w:r w:rsidRPr="000B25E0">
        <w:rPr>
          <w:rFonts w:ascii="Calibri" w:eastAsia="宋体" w:hAnsi="Calibri" w:cs="Times New Roman"/>
          <w:bCs/>
          <w:sz w:val="24"/>
        </w:rPr>
        <w:t>本部</w:t>
      </w:r>
      <w:proofErr w:type="gramStart"/>
      <w:r w:rsidRPr="000B25E0">
        <w:rPr>
          <w:rFonts w:ascii="Calibri" w:eastAsia="宋体" w:hAnsi="Calibri" w:cs="Times New Roman"/>
          <w:bCs/>
          <w:sz w:val="24"/>
        </w:rPr>
        <w:t>分教学</w:t>
      </w:r>
      <w:proofErr w:type="gramEnd"/>
      <w:r w:rsidRPr="000B25E0">
        <w:rPr>
          <w:rFonts w:ascii="Calibri" w:eastAsia="宋体" w:hAnsi="Calibri" w:cs="Times New Roman"/>
          <w:bCs/>
          <w:sz w:val="24"/>
        </w:rPr>
        <w:t>重点及难点：</w:t>
      </w:r>
      <w:r w:rsidRPr="000B25E0">
        <w:rPr>
          <w:rFonts w:ascii="Calibri" w:eastAsia="宋体" w:hAnsi="Calibri" w:cs="Times New Roman" w:hint="eastAsia"/>
          <w:sz w:val="24"/>
        </w:rPr>
        <w:t>轮滑测试（公正、公平、公开）</w:t>
      </w:r>
    </w:p>
    <w:p w14:paraId="7805024C"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第三学期</w:t>
      </w:r>
    </w:p>
    <w:p w14:paraId="73362201" w14:textId="77777777" w:rsidR="000B25E0" w:rsidRPr="000B25E0" w:rsidRDefault="000B25E0" w:rsidP="000B25E0">
      <w:pPr>
        <w:tabs>
          <w:tab w:val="left" w:pos="702"/>
        </w:tabs>
        <w:adjustRightInd w:val="0"/>
        <w:snapToGrid w:val="0"/>
        <w:spacing w:line="500" w:lineRule="exact"/>
        <w:jc w:val="center"/>
        <w:rPr>
          <w:rFonts w:ascii="宋体" w:eastAsia="宋体" w:hAnsi="宋体" w:cs="宋体"/>
          <w:b/>
          <w:sz w:val="24"/>
        </w:rPr>
      </w:pPr>
      <w:r w:rsidRPr="000B25E0">
        <w:rPr>
          <w:rFonts w:ascii="宋体" w:eastAsia="宋体" w:hAnsi="宋体" w:cs="宋体" w:hint="eastAsia"/>
          <w:b/>
          <w:sz w:val="24"/>
        </w:rPr>
        <w:t xml:space="preserve">期中考试  （2学时）  </w:t>
      </w:r>
    </w:p>
    <w:p w14:paraId="7EC37F10"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lastRenderedPageBreak/>
        <w:t>1.课程考核目标:</w:t>
      </w:r>
      <w:r w:rsidRPr="000B25E0">
        <w:rPr>
          <w:rFonts w:ascii="宋体" w:eastAsia="宋体" w:hAnsi="Calibri" w:cs="Times New Roman" w:hint="eastAsia"/>
          <w:bCs/>
          <w:kern w:val="0"/>
          <w:sz w:val="24"/>
        </w:rPr>
        <w:t>通过考核检验连续弯道滑行教学效果和学生掌握情况，让学生了解连续弯道滑行的重要性。</w:t>
      </w:r>
    </w:p>
    <w:p w14:paraId="2CEE8F03"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连续弯道滑行</w:t>
      </w:r>
      <w:r w:rsidRPr="000B25E0">
        <w:rPr>
          <w:rFonts w:ascii="Calibri" w:eastAsia="宋体" w:hAnsi="Calibri" w:cs="Times New Roman" w:hint="eastAsia"/>
          <w:sz w:val="24"/>
        </w:rPr>
        <w:t>技术</w:t>
      </w:r>
      <w:r w:rsidRPr="000B25E0">
        <w:rPr>
          <w:rFonts w:ascii="Calibri" w:eastAsia="宋体" w:hAnsi="Calibri" w:cs="Times New Roman"/>
          <w:sz w:val="24"/>
        </w:rPr>
        <w:t>（数量及技术评定按百分制计算，各占总分值一半）</w:t>
      </w:r>
    </w:p>
    <w:p w14:paraId="56F125DA"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Calibri" w:eastAsia="宋体" w:hAnsi="Calibri" w:cs="Times New Roman" w:hint="eastAsia"/>
          <w:sz w:val="24"/>
        </w:rPr>
        <w:t>围绕直径为</w:t>
      </w:r>
      <w:r w:rsidRPr="000B25E0">
        <w:rPr>
          <w:rFonts w:ascii="Calibri" w:eastAsia="宋体" w:hAnsi="Calibri" w:cs="Times New Roman" w:hint="eastAsia"/>
          <w:sz w:val="24"/>
        </w:rPr>
        <w:t>3</w:t>
      </w:r>
      <w:r w:rsidRPr="000B25E0">
        <w:rPr>
          <w:rFonts w:ascii="Calibri" w:eastAsia="宋体" w:hAnsi="Calibri" w:cs="Times New Roman" w:hint="eastAsia"/>
          <w:sz w:val="24"/>
        </w:rPr>
        <w:t>、</w:t>
      </w:r>
      <w:r w:rsidRPr="000B25E0">
        <w:rPr>
          <w:rFonts w:ascii="Calibri" w:eastAsia="宋体" w:hAnsi="Calibri" w:cs="Times New Roman" w:hint="eastAsia"/>
          <w:sz w:val="24"/>
        </w:rPr>
        <w:t>5</w:t>
      </w:r>
      <w:r w:rsidRPr="000B25E0">
        <w:rPr>
          <w:rFonts w:ascii="Calibri" w:eastAsia="宋体" w:hAnsi="Calibri" w:cs="Times New Roman" w:hint="eastAsia"/>
          <w:sz w:val="24"/>
        </w:rPr>
        <w:t>、</w:t>
      </w:r>
      <w:r w:rsidRPr="000B25E0">
        <w:rPr>
          <w:rFonts w:ascii="Calibri" w:eastAsia="宋体" w:hAnsi="Calibri" w:cs="Times New Roman" w:hint="eastAsia"/>
          <w:sz w:val="24"/>
        </w:rPr>
        <w:t>7</w:t>
      </w:r>
      <w:r w:rsidRPr="000B25E0">
        <w:rPr>
          <w:rFonts w:ascii="Calibri" w:eastAsia="宋体" w:hAnsi="Calibri" w:cs="Times New Roman" w:hint="eastAsia"/>
          <w:sz w:val="24"/>
        </w:rPr>
        <w:t>米的圆，逆时针连续滑行</w:t>
      </w:r>
      <w:r w:rsidRPr="000B25E0">
        <w:rPr>
          <w:rFonts w:ascii="Calibri" w:eastAsia="宋体" w:hAnsi="Calibri" w:cs="Times New Roman" w:hint="eastAsia"/>
          <w:sz w:val="24"/>
        </w:rPr>
        <w:t>1</w:t>
      </w:r>
      <w:r w:rsidRPr="000B25E0">
        <w:rPr>
          <w:rFonts w:ascii="Calibri" w:eastAsia="宋体" w:hAnsi="Calibri" w:cs="Times New Roman" w:hint="eastAsia"/>
          <w:sz w:val="24"/>
        </w:rPr>
        <w:t>圈</w:t>
      </w:r>
    </w:p>
    <w:p w14:paraId="7C460C23"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数量及技术评定分值各为100分，各占总分值的50%，总分值为100分。</w:t>
      </w:r>
    </w:p>
    <w:p w14:paraId="264C82CB"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hint="eastAsia"/>
          <w:b/>
          <w:sz w:val="24"/>
        </w:rPr>
        <w:t>5.</w:t>
      </w:r>
      <w:r w:rsidRPr="000B25E0">
        <w:rPr>
          <w:rFonts w:ascii="Calibri" w:eastAsia="宋体" w:hAnsi="Calibri" w:cs="Times New Roman" w:hint="eastAsia"/>
          <w:b/>
          <w:sz w:val="24"/>
        </w:rPr>
        <w:t>评分原则：</w:t>
      </w:r>
    </w:p>
    <w:p w14:paraId="604264C2"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sz w:val="24"/>
        </w:rPr>
        <w:t>数量评价：</w:t>
      </w:r>
      <w:r w:rsidRPr="000B25E0">
        <w:rPr>
          <w:rFonts w:ascii="Calibri" w:eastAsia="宋体" w:hAnsi="Calibri" w:cs="Times New Roman" w:hint="eastAsia"/>
          <w:sz w:val="24"/>
        </w:rPr>
        <w:t>围绕直径为</w:t>
      </w:r>
      <w:r w:rsidRPr="000B25E0">
        <w:rPr>
          <w:rFonts w:ascii="Calibri" w:eastAsia="宋体" w:hAnsi="Calibri" w:cs="Times New Roman" w:hint="eastAsia"/>
          <w:sz w:val="24"/>
        </w:rPr>
        <w:t>3</w:t>
      </w:r>
      <w:r w:rsidRPr="000B25E0">
        <w:rPr>
          <w:rFonts w:ascii="Calibri" w:eastAsia="宋体" w:hAnsi="Calibri" w:cs="Times New Roman" w:hint="eastAsia"/>
          <w:sz w:val="24"/>
        </w:rPr>
        <w:t>、</w:t>
      </w:r>
      <w:r w:rsidRPr="000B25E0">
        <w:rPr>
          <w:rFonts w:ascii="Calibri" w:eastAsia="宋体" w:hAnsi="Calibri" w:cs="Times New Roman" w:hint="eastAsia"/>
          <w:sz w:val="24"/>
        </w:rPr>
        <w:t>5</w:t>
      </w:r>
      <w:r w:rsidRPr="000B25E0">
        <w:rPr>
          <w:rFonts w:ascii="Calibri" w:eastAsia="宋体" w:hAnsi="Calibri" w:cs="Times New Roman" w:hint="eastAsia"/>
          <w:sz w:val="24"/>
        </w:rPr>
        <w:t>、</w:t>
      </w:r>
      <w:r w:rsidRPr="000B25E0">
        <w:rPr>
          <w:rFonts w:ascii="Calibri" w:eastAsia="宋体" w:hAnsi="Calibri" w:cs="Times New Roman" w:hint="eastAsia"/>
          <w:sz w:val="24"/>
        </w:rPr>
        <w:t>7</w:t>
      </w:r>
      <w:r w:rsidRPr="000B25E0">
        <w:rPr>
          <w:rFonts w:ascii="Calibri" w:eastAsia="宋体" w:hAnsi="Calibri" w:cs="Times New Roman" w:hint="eastAsia"/>
          <w:sz w:val="24"/>
        </w:rPr>
        <w:t>米的圆，逆时针连续滑行</w:t>
      </w:r>
      <w:r w:rsidRPr="000B25E0">
        <w:rPr>
          <w:rFonts w:ascii="Calibri" w:eastAsia="宋体" w:hAnsi="Calibri" w:cs="Times New Roman" w:hint="eastAsia"/>
          <w:sz w:val="24"/>
        </w:rPr>
        <w:t>1</w:t>
      </w:r>
      <w:r w:rsidRPr="000B25E0">
        <w:rPr>
          <w:rFonts w:ascii="Calibri" w:eastAsia="宋体" w:hAnsi="Calibri" w:cs="Times New Roman" w:hint="eastAsia"/>
          <w:sz w:val="24"/>
        </w:rPr>
        <w:t>圈，弯道压</w:t>
      </w:r>
      <w:proofErr w:type="gramStart"/>
      <w:r w:rsidRPr="000B25E0">
        <w:rPr>
          <w:rFonts w:ascii="Calibri" w:eastAsia="宋体" w:hAnsi="Calibri" w:cs="Times New Roman" w:hint="eastAsia"/>
          <w:sz w:val="24"/>
        </w:rPr>
        <w:t>步数量</w:t>
      </w:r>
      <w:proofErr w:type="gramEnd"/>
      <w:r w:rsidRPr="000B25E0">
        <w:rPr>
          <w:rFonts w:ascii="Calibri" w:eastAsia="宋体" w:hAnsi="Calibri" w:cs="Times New Roman" w:hint="eastAsia"/>
          <w:sz w:val="24"/>
        </w:rPr>
        <w:t>分别为</w:t>
      </w:r>
      <w:r w:rsidRPr="000B25E0">
        <w:rPr>
          <w:rFonts w:ascii="Calibri" w:eastAsia="宋体" w:hAnsi="Calibri" w:cs="Times New Roman" w:hint="eastAsia"/>
          <w:sz w:val="24"/>
        </w:rPr>
        <w:t>1</w:t>
      </w:r>
      <w:r w:rsidRPr="000B25E0">
        <w:rPr>
          <w:rFonts w:ascii="Calibri" w:eastAsia="宋体" w:hAnsi="Calibri" w:cs="Times New Roman" w:hint="eastAsia"/>
          <w:sz w:val="24"/>
        </w:rPr>
        <w:t>个、</w:t>
      </w:r>
      <w:r w:rsidRPr="000B25E0">
        <w:rPr>
          <w:rFonts w:ascii="Calibri" w:eastAsia="宋体" w:hAnsi="Calibri" w:cs="Times New Roman" w:hint="eastAsia"/>
          <w:sz w:val="24"/>
        </w:rPr>
        <w:t>2</w:t>
      </w:r>
      <w:r w:rsidRPr="000B25E0">
        <w:rPr>
          <w:rFonts w:ascii="Calibri" w:eastAsia="宋体" w:hAnsi="Calibri" w:cs="Times New Roman" w:hint="eastAsia"/>
          <w:sz w:val="24"/>
        </w:rPr>
        <w:t>个、</w:t>
      </w:r>
      <w:r w:rsidRPr="000B25E0">
        <w:rPr>
          <w:rFonts w:ascii="Calibri" w:eastAsia="宋体" w:hAnsi="Calibri" w:cs="Times New Roman" w:hint="eastAsia"/>
          <w:sz w:val="24"/>
        </w:rPr>
        <w:t>2</w:t>
      </w:r>
      <w:r w:rsidRPr="000B25E0">
        <w:rPr>
          <w:rFonts w:ascii="Calibri" w:eastAsia="宋体" w:hAnsi="Calibri" w:cs="Times New Roman" w:hint="eastAsia"/>
          <w:sz w:val="24"/>
        </w:rPr>
        <w:t>个为及格，</w:t>
      </w:r>
      <w:r w:rsidRPr="000B25E0">
        <w:rPr>
          <w:rFonts w:ascii="Calibri" w:eastAsia="宋体" w:hAnsi="Calibri" w:cs="Times New Roman" w:hint="eastAsia"/>
          <w:sz w:val="24"/>
        </w:rPr>
        <w:t>4</w:t>
      </w:r>
      <w:r w:rsidRPr="000B25E0">
        <w:rPr>
          <w:rFonts w:ascii="Calibri" w:eastAsia="宋体" w:hAnsi="Calibri" w:cs="Times New Roman" w:hint="eastAsia"/>
          <w:sz w:val="24"/>
        </w:rPr>
        <w:t>个、</w:t>
      </w:r>
      <w:r w:rsidRPr="000B25E0">
        <w:rPr>
          <w:rFonts w:ascii="Calibri" w:eastAsia="宋体" w:hAnsi="Calibri" w:cs="Times New Roman" w:hint="eastAsia"/>
          <w:sz w:val="24"/>
        </w:rPr>
        <w:t>6</w:t>
      </w:r>
      <w:r w:rsidRPr="000B25E0">
        <w:rPr>
          <w:rFonts w:ascii="Calibri" w:eastAsia="宋体" w:hAnsi="Calibri" w:cs="Times New Roman" w:hint="eastAsia"/>
          <w:sz w:val="24"/>
        </w:rPr>
        <w:t>个、</w:t>
      </w:r>
      <w:r w:rsidRPr="000B25E0">
        <w:rPr>
          <w:rFonts w:ascii="Calibri" w:eastAsia="宋体" w:hAnsi="Calibri" w:cs="Times New Roman" w:hint="eastAsia"/>
          <w:sz w:val="24"/>
        </w:rPr>
        <w:t>8</w:t>
      </w:r>
      <w:r w:rsidRPr="000B25E0">
        <w:rPr>
          <w:rFonts w:ascii="Calibri" w:eastAsia="宋体" w:hAnsi="Calibri" w:cs="Times New Roman" w:hint="eastAsia"/>
          <w:sz w:val="24"/>
        </w:rPr>
        <w:t>个分别为满分，分值</w:t>
      </w:r>
      <w:r w:rsidRPr="000B25E0">
        <w:rPr>
          <w:rFonts w:ascii="Calibri" w:eastAsia="宋体" w:hAnsi="Calibri" w:cs="Times New Roman" w:hint="eastAsia"/>
          <w:sz w:val="24"/>
        </w:rPr>
        <w:t>100</w:t>
      </w:r>
      <w:r w:rsidRPr="000B25E0">
        <w:rPr>
          <w:rFonts w:ascii="Calibri" w:eastAsia="宋体" w:hAnsi="Calibri" w:cs="Times New Roman" w:hint="eastAsia"/>
          <w:sz w:val="24"/>
        </w:rPr>
        <w:t>分。</w:t>
      </w:r>
    </w:p>
    <w:p w14:paraId="6E205D76"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sz w:val="24"/>
        </w:rPr>
        <w:t>技术评价：</w:t>
      </w:r>
      <w:r w:rsidRPr="000B25E0">
        <w:rPr>
          <w:rFonts w:ascii="Calibri" w:eastAsia="宋体" w:hAnsi="Calibri" w:cs="Times New Roman" w:hint="eastAsia"/>
          <w:sz w:val="24"/>
        </w:rPr>
        <w:t>按照相应动作规范要求进行技术评价参看表</w:t>
      </w:r>
      <w:r w:rsidRPr="000B25E0">
        <w:rPr>
          <w:rFonts w:ascii="Calibri" w:eastAsia="宋体" w:hAnsi="Calibri" w:cs="Times New Roman" w:hint="eastAsia"/>
          <w:sz w:val="24"/>
        </w:rPr>
        <w:t>1</w:t>
      </w:r>
      <w:r w:rsidRPr="000B25E0">
        <w:rPr>
          <w:rFonts w:ascii="Calibri" w:eastAsia="宋体" w:hAnsi="Calibri" w:cs="Times New Roman" w:hint="eastAsia"/>
          <w:sz w:val="24"/>
        </w:rPr>
        <w:t>。打分按照百分制进行。</w:t>
      </w:r>
    </w:p>
    <w:p w14:paraId="6AAE62CA" w14:textId="77777777" w:rsidR="000B25E0" w:rsidRPr="000B25E0" w:rsidRDefault="000B25E0" w:rsidP="000B25E0">
      <w:pPr>
        <w:adjustRightInd w:val="0"/>
        <w:snapToGrid w:val="0"/>
        <w:spacing w:line="500" w:lineRule="exact"/>
        <w:ind w:firstLineChars="200" w:firstLine="480"/>
        <w:jc w:val="center"/>
        <w:rPr>
          <w:rFonts w:ascii="Calibri" w:eastAsia="宋体" w:hAnsi="Calibri" w:cs="Times New Roman"/>
          <w:bCs/>
          <w:sz w:val="24"/>
        </w:rPr>
      </w:pPr>
      <w:r w:rsidRPr="000B25E0">
        <w:rPr>
          <w:rFonts w:ascii="Calibri" w:eastAsia="宋体" w:hAnsi="Calibri" w:cs="Times New Roman" w:hint="eastAsia"/>
          <w:bCs/>
          <w:sz w:val="24"/>
        </w:rPr>
        <w:t>表</w:t>
      </w:r>
      <w:r w:rsidRPr="000B25E0">
        <w:rPr>
          <w:rFonts w:ascii="Calibri" w:eastAsia="宋体" w:hAnsi="Calibri" w:cs="Times New Roman" w:hint="eastAsia"/>
          <w:bCs/>
          <w:sz w:val="24"/>
        </w:rPr>
        <w:t>1</w:t>
      </w:r>
      <w:r w:rsidRPr="000B25E0">
        <w:rPr>
          <w:rFonts w:ascii="Calibri" w:eastAsia="宋体" w:hAnsi="Calibri" w:cs="Times New Roman" w:hint="eastAsia"/>
          <w:bCs/>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0B25E0" w:rsidRPr="000B25E0" w14:paraId="4F30F6CD" w14:textId="77777777" w:rsidTr="00BF5EF3">
        <w:trPr>
          <w:trHeight w:val="655"/>
        </w:trPr>
        <w:tc>
          <w:tcPr>
            <w:tcW w:w="2149" w:type="dxa"/>
            <w:tcBorders>
              <w:top w:val="single" w:sz="4" w:space="0" w:color="auto"/>
              <w:left w:val="single" w:sz="4" w:space="0" w:color="auto"/>
              <w:bottom w:val="single" w:sz="4" w:space="0" w:color="auto"/>
              <w:right w:val="single" w:sz="4" w:space="0" w:color="auto"/>
            </w:tcBorders>
          </w:tcPr>
          <w:p w14:paraId="3F10C104"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宋体" w:eastAsia="宋体" w:hAnsi="宋体" w:cs="宋体"/>
                <w:noProof/>
                <w:kern w:val="0"/>
                <w:sz w:val="18"/>
                <w:szCs w:val="18"/>
              </w:rPr>
              <mc:AlternateContent>
                <mc:Choice Requires="wps">
                  <w:drawing>
                    <wp:anchor distT="0" distB="0" distL="114300" distR="114300" simplePos="0" relativeHeight="251691008" behindDoc="0" locked="0" layoutInCell="1" allowOverlap="1" wp14:anchorId="79782731" wp14:editId="1184766B">
                      <wp:simplePos x="0" y="0"/>
                      <wp:positionH relativeFrom="column">
                        <wp:posOffset>-97790</wp:posOffset>
                      </wp:positionH>
                      <wp:positionV relativeFrom="paragraph">
                        <wp:posOffset>31750</wp:posOffset>
                      </wp:positionV>
                      <wp:extent cx="1432560" cy="638175"/>
                      <wp:effectExtent l="1905" t="4445" r="13335" b="5080"/>
                      <wp:wrapNone/>
                      <wp:docPr id="55" name="直接连接符 55"/>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w14:anchorId="30BB4CDF" id="直接连接符 55" o:spid="_x0000_s1026" style="position:absolute;z-index:251691008;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" strokeweight=".5pt"/>
                  </w:pict>
                </mc:Fallback>
              </mc:AlternateContent>
            </w:r>
            <w:r w:rsidRPr="000B25E0">
              <w:rPr>
                <w:rFonts w:ascii="宋体" w:eastAsia="宋体" w:hAnsi="宋体" w:cs="宋体"/>
                <w:kern w:val="0"/>
                <w:sz w:val="18"/>
                <w:szCs w:val="18"/>
              </w:rPr>
              <w:t xml:space="preserve">           </w:t>
            </w:r>
            <w:r w:rsidRPr="000B25E0">
              <w:rPr>
                <w:rFonts w:ascii="Calibri" w:eastAsia="宋体" w:hAnsi="Calibri" w:cs="Times New Roman" w:hint="eastAsia"/>
                <w:sz w:val="24"/>
              </w:rPr>
              <w:t>内</w:t>
            </w:r>
            <w:r w:rsidRPr="000B25E0">
              <w:rPr>
                <w:rFonts w:ascii="Calibri" w:eastAsia="宋体" w:hAnsi="Calibri" w:cs="Times New Roman"/>
                <w:sz w:val="24"/>
              </w:rPr>
              <w:t xml:space="preserve">  </w:t>
            </w:r>
            <w:r w:rsidRPr="000B25E0">
              <w:rPr>
                <w:rFonts w:ascii="Calibri" w:eastAsia="宋体" w:hAnsi="Calibri" w:cs="Times New Roman" w:hint="eastAsia"/>
                <w:sz w:val="24"/>
              </w:rPr>
              <w:t>容</w:t>
            </w:r>
          </w:p>
          <w:p w14:paraId="00C983EF" w14:textId="77777777" w:rsidR="000B25E0" w:rsidRPr="000B25E0" w:rsidRDefault="000B25E0" w:rsidP="000B25E0">
            <w:pPr>
              <w:widowControl/>
              <w:spacing w:line="432" w:lineRule="auto"/>
              <w:rPr>
                <w:rFonts w:ascii="宋体" w:eastAsia="宋体" w:hAnsi="宋体" w:cs="宋体"/>
                <w:kern w:val="0"/>
                <w:sz w:val="18"/>
                <w:szCs w:val="18"/>
              </w:rPr>
            </w:pPr>
            <w:r w:rsidRPr="000B25E0">
              <w:rPr>
                <w:rFonts w:ascii="Calibri" w:eastAsia="宋体" w:hAnsi="Calibri" w:cs="Times New Roman" w:hint="eastAsia"/>
                <w:sz w:val="24"/>
              </w:rPr>
              <w:t>分</w:t>
            </w:r>
            <w:r w:rsidRPr="000B25E0">
              <w:rPr>
                <w:rFonts w:ascii="Calibri" w:eastAsia="宋体" w:hAnsi="Calibri" w:cs="Times New Roman"/>
                <w:sz w:val="24"/>
              </w:rPr>
              <w:t xml:space="preserve">  </w:t>
            </w:r>
            <w:r w:rsidRPr="000B25E0">
              <w:rPr>
                <w:rFonts w:ascii="Calibri" w:eastAsia="宋体" w:hAnsi="Calibri" w:cs="Times New Roman" w:hint="eastAsia"/>
                <w:sz w:val="24"/>
              </w:rPr>
              <w:t>值</w:t>
            </w:r>
            <w:r w:rsidRPr="000B25E0">
              <w:rPr>
                <w:rFonts w:ascii="Calibri" w:eastAsia="宋体" w:hAnsi="Calibri" w:cs="Times New Roman"/>
                <w:sz w:val="24"/>
              </w:rPr>
              <w:t xml:space="preserve"> </w:t>
            </w:r>
            <w:r w:rsidRPr="000B25E0">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4DD71442"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hint="eastAsia"/>
                <w:sz w:val="24"/>
              </w:rPr>
              <w:t>滑行姿态</w:t>
            </w:r>
          </w:p>
        </w:tc>
      </w:tr>
      <w:tr w:rsidR="000B25E0" w:rsidRPr="000B25E0" w14:paraId="3DB1C861" w14:textId="77777777" w:rsidTr="00BF5EF3">
        <w:trPr>
          <w:cantSplit/>
        </w:trPr>
        <w:tc>
          <w:tcPr>
            <w:tcW w:w="2149" w:type="dxa"/>
            <w:vMerge w:val="restart"/>
            <w:tcBorders>
              <w:top w:val="single" w:sz="4" w:space="0" w:color="auto"/>
              <w:left w:val="single" w:sz="4" w:space="0" w:color="auto"/>
              <w:right w:val="single" w:sz="4" w:space="0" w:color="auto"/>
            </w:tcBorders>
            <w:vAlign w:val="center"/>
          </w:tcPr>
          <w:p w14:paraId="2478FF13"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9</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10</w:t>
            </w:r>
            <w:r w:rsidRPr="000B25E0">
              <w:rPr>
                <w:rFonts w:ascii="Calibri" w:eastAsia="宋体" w:hAnsi="Calibri" w:cs="Times New Roman" w:hint="eastAsia"/>
                <w:sz w:val="24"/>
              </w:rPr>
              <w:t>0</w:t>
            </w:r>
          </w:p>
          <w:p w14:paraId="50DE4542"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8</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89</w:t>
            </w:r>
          </w:p>
          <w:p w14:paraId="7A13C825"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7</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79</w:t>
            </w:r>
          </w:p>
          <w:p w14:paraId="63F2251B"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6</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69</w:t>
            </w:r>
          </w:p>
          <w:p w14:paraId="5B866BC7"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sz w:val="24"/>
              </w:rPr>
              <w:t>6</w:t>
            </w:r>
            <w:r w:rsidRPr="000B25E0">
              <w:rPr>
                <w:rFonts w:ascii="Calibri" w:eastAsia="宋体" w:hAnsi="Calibri" w:cs="Times New Roman" w:hint="eastAsia"/>
                <w:sz w:val="24"/>
              </w:rPr>
              <w:t>0</w:t>
            </w:r>
            <w:r w:rsidRPr="000B25E0">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4EE18B82"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hint="eastAsia"/>
                <w:sz w:val="24"/>
              </w:rPr>
              <w:t>姿势正确，动作优美、协调，速度快</w:t>
            </w:r>
          </w:p>
        </w:tc>
      </w:tr>
      <w:tr w:rsidR="000B25E0" w:rsidRPr="000B25E0" w14:paraId="0BD5C84E" w14:textId="77777777" w:rsidTr="00BF5EF3">
        <w:trPr>
          <w:cantSplit/>
        </w:trPr>
        <w:tc>
          <w:tcPr>
            <w:tcW w:w="2149" w:type="dxa"/>
            <w:vMerge/>
            <w:tcBorders>
              <w:left w:val="single" w:sz="4" w:space="0" w:color="auto"/>
              <w:right w:val="single" w:sz="4" w:space="0" w:color="auto"/>
            </w:tcBorders>
            <w:vAlign w:val="center"/>
          </w:tcPr>
          <w:p w14:paraId="6860F605"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6ACB1447"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姿势较正确，动作自然，速度较快</w:t>
            </w:r>
          </w:p>
        </w:tc>
      </w:tr>
      <w:tr w:rsidR="000B25E0" w:rsidRPr="000B25E0" w14:paraId="66AE75CF" w14:textId="77777777" w:rsidTr="00BF5EF3">
        <w:trPr>
          <w:cantSplit/>
        </w:trPr>
        <w:tc>
          <w:tcPr>
            <w:tcW w:w="2149" w:type="dxa"/>
            <w:vMerge/>
            <w:tcBorders>
              <w:left w:val="single" w:sz="4" w:space="0" w:color="auto"/>
              <w:right w:val="single" w:sz="4" w:space="0" w:color="auto"/>
            </w:tcBorders>
            <w:vAlign w:val="center"/>
          </w:tcPr>
          <w:p w14:paraId="23720A04"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68F6FF56"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姿势一般，动作基本正确，速度适中</w:t>
            </w:r>
          </w:p>
        </w:tc>
      </w:tr>
      <w:tr w:rsidR="000B25E0" w:rsidRPr="000B25E0" w14:paraId="7C675ECF" w14:textId="77777777" w:rsidTr="00BF5EF3">
        <w:trPr>
          <w:cantSplit/>
        </w:trPr>
        <w:tc>
          <w:tcPr>
            <w:tcW w:w="2149" w:type="dxa"/>
            <w:vMerge/>
            <w:tcBorders>
              <w:left w:val="single" w:sz="4" w:space="0" w:color="auto"/>
              <w:right w:val="single" w:sz="4" w:space="0" w:color="auto"/>
            </w:tcBorders>
            <w:vAlign w:val="center"/>
          </w:tcPr>
          <w:p w14:paraId="4DEA71CC"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61C72A8"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动作不协调，有多余动作，速度较慢</w:t>
            </w:r>
          </w:p>
        </w:tc>
      </w:tr>
      <w:tr w:rsidR="000B25E0" w:rsidRPr="000B25E0" w14:paraId="755906F5" w14:textId="77777777" w:rsidTr="00BF5EF3">
        <w:trPr>
          <w:cantSplit/>
        </w:trPr>
        <w:tc>
          <w:tcPr>
            <w:tcW w:w="2149" w:type="dxa"/>
            <w:vMerge/>
            <w:tcBorders>
              <w:left w:val="single" w:sz="4" w:space="0" w:color="auto"/>
              <w:bottom w:val="single" w:sz="4" w:space="0" w:color="auto"/>
              <w:right w:val="single" w:sz="4" w:space="0" w:color="auto"/>
            </w:tcBorders>
            <w:vAlign w:val="center"/>
          </w:tcPr>
          <w:p w14:paraId="24AD2BDA" w14:textId="77777777" w:rsidR="000B25E0" w:rsidRPr="000B25E0" w:rsidRDefault="000B25E0" w:rsidP="000B25E0">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2781F64"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动作僵硬，吃力，不协调，速度慢</w:t>
            </w:r>
          </w:p>
        </w:tc>
      </w:tr>
    </w:tbl>
    <w:p w14:paraId="736CD7B7" w14:textId="77777777" w:rsidR="000B25E0" w:rsidRPr="000B25E0" w:rsidRDefault="000B25E0" w:rsidP="000B25E0">
      <w:pPr>
        <w:spacing w:line="500" w:lineRule="exact"/>
        <w:rPr>
          <w:rFonts w:ascii="Calibri" w:eastAsia="宋体" w:hAnsi="Calibri" w:cs="Times New Roman"/>
          <w:bCs/>
          <w:sz w:val="24"/>
        </w:rPr>
      </w:pPr>
      <w:r w:rsidRPr="000B25E0">
        <w:rPr>
          <w:rFonts w:ascii="Calibri" w:eastAsia="宋体" w:hAnsi="Calibri" w:cs="Times New Roman"/>
          <w:bCs/>
          <w:sz w:val="24"/>
        </w:rPr>
        <w:t>本部</w:t>
      </w:r>
      <w:proofErr w:type="gramStart"/>
      <w:r w:rsidRPr="000B25E0">
        <w:rPr>
          <w:rFonts w:ascii="Calibri" w:eastAsia="宋体" w:hAnsi="Calibri" w:cs="Times New Roman"/>
          <w:bCs/>
          <w:sz w:val="24"/>
        </w:rPr>
        <w:t>分教学</w:t>
      </w:r>
      <w:proofErr w:type="gramEnd"/>
      <w:r w:rsidRPr="000B25E0">
        <w:rPr>
          <w:rFonts w:ascii="Calibri" w:eastAsia="宋体" w:hAnsi="Calibri" w:cs="Times New Roman"/>
          <w:bCs/>
          <w:sz w:val="24"/>
        </w:rPr>
        <w:t>目的及要求</w:t>
      </w:r>
      <w:r w:rsidRPr="000B25E0">
        <w:rPr>
          <w:rFonts w:ascii="Calibri" w:eastAsia="宋体" w:hAnsi="Calibri" w:cs="Times New Roman" w:hint="eastAsia"/>
          <w:bCs/>
          <w:sz w:val="24"/>
        </w:rPr>
        <w:t>：考核检验教学效果与对学生的学习效果评价</w:t>
      </w:r>
    </w:p>
    <w:p w14:paraId="319C8B48" w14:textId="77777777" w:rsidR="000B25E0" w:rsidRPr="000B25E0" w:rsidRDefault="000B25E0" w:rsidP="000B25E0">
      <w:pPr>
        <w:tabs>
          <w:tab w:val="left" w:pos="702"/>
        </w:tabs>
        <w:adjustRightInd w:val="0"/>
        <w:snapToGrid w:val="0"/>
        <w:spacing w:line="500" w:lineRule="exact"/>
        <w:rPr>
          <w:rFonts w:ascii="Calibri" w:eastAsia="宋体" w:hAnsi="Calibri" w:cs="Times New Roman"/>
          <w:bCs/>
          <w:sz w:val="24"/>
        </w:rPr>
      </w:pPr>
      <w:r w:rsidRPr="000B25E0">
        <w:rPr>
          <w:rFonts w:ascii="Calibri" w:eastAsia="宋体" w:hAnsi="Calibri" w:cs="Times New Roman"/>
          <w:bCs/>
          <w:sz w:val="24"/>
        </w:rPr>
        <w:t>本部</w:t>
      </w:r>
      <w:proofErr w:type="gramStart"/>
      <w:r w:rsidRPr="000B25E0">
        <w:rPr>
          <w:rFonts w:ascii="Calibri" w:eastAsia="宋体" w:hAnsi="Calibri" w:cs="Times New Roman"/>
          <w:bCs/>
          <w:sz w:val="24"/>
        </w:rPr>
        <w:t>分教学</w:t>
      </w:r>
      <w:proofErr w:type="gramEnd"/>
      <w:r w:rsidRPr="000B25E0">
        <w:rPr>
          <w:rFonts w:ascii="Calibri" w:eastAsia="宋体" w:hAnsi="Calibri" w:cs="Times New Roman"/>
          <w:bCs/>
          <w:sz w:val="24"/>
        </w:rPr>
        <w:t>重点及难点：</w:t>
      </w:r>
      <w:r w:rsidRPr="000B25E0">
        <w:rPr>
          <w:rFonts w:ascii="Calibri" w:eastAsia="宋体" w:hAnsi="Calibri" w:cs="Times New Roman" w:hint="eastAsia"/>
          <w:bCs/>
          <w:sz w:val="24"/>
        </w:rPr>
        <w:t>轮滑测试（公正、公平、公开）</w:t>
      </w:r>
    </w:p>
    <w:p w14:paraId="5D98101D" w14:textId="77777777" w:rsidR="000B25E0" w:rsidRPr="000B25E0" w:rsidRDefault="000B25E0" w:rsidP="000B25E0">
      <w:pPr>
        <w:tabs>
          <w:tab w:val="left" w:pos="702"/>
        </w:tabs>
        <w:adjustRightInd w:val="0"/>
        <w:snapToGrid w:val="0"/>
        <w:spacing w:line="500" w:lineRule="exact"/>
        <w:rPr>
          <w:rFonts w:ascii="Calibri" w:eastAsia="宋体" w:hAnsi="Calibri" w:cs="Times New Roman"/>
          <w:bCs/>
          <w:sz w:val="24"/>
        </w:rPr>
      </w:pPr>
      <w:proofErr w:type="gramStart"/>
      <w:r w:rsidRPr="000B25E0">
        <w:rPr>
          <w:rFonts w:ascii="Calibri" w:eastAsia="宋体" w:hAnsi="Calibri" w:cs="Times New Roman" w:hint="eastAsia"/>
          <w:bCs/>
          <w:sz w:val="24"/>
        </w:rPr>
        <w:t>弯道正</w:t>
      </w:r>
      <w:proofErr w:type="gramEnd"/>
      <w:r w:rsidRPr="000B25E0">
        <w:rPr>
          <w:rFonts w:ascii="Calibri" w:eastAsia="宋体" w:hAnsi="Calibri" w:cs="Times New Roman" w:hint="eastAsia"/>
          <w:bCs/>
          <w:sz w:val="24"/>
        </w:rPr>
        <w:t>滑（数量及技术评定按百分制计算，各占总分值一半）</w:t>
      </w:r>
    </w:p>
    <w:p w14:paraId="2DAF02E6" w14:textId="77777777" w:rsidR="000B25E0" w:rsidRPr="000B25E0" w:rsidRDefault="000B25E0" w:rsidP="000B25E0">
      <w:pPr>
        <w:tabs>
          <w:tab w:val="left" w:pos="687"/>
          <w:tab w:val="left" w:pos="897"/>
        </w:tabs>
        <w:adjustRightInd w:val="0"/>
        <w:snapToGrid w:val="0"/>
        <w:spacing w:line="500" w:lineRule="exact"/>
        <w:jc w:val="center"/>
        <w:rPr>
          <w:rFonts w:ascii="宋体" w:eastAsia="宋体" w:hAnsi="宋体" w:cs="宋体"/>
          <w:b/>
          <w:sz w:val="24"/>
        </w:rPr>
      </w:pPr>
      <w:r w:rsidRPr="000B25E0">
        <w:rPr>
          <w:rFonts w:ascii="宋体" w:eastAsia="宋体" w:hAnsi="宋体" w:cs="宋体" w:hint="eastAsia"/>
          <w:b/>
          <w:sz w:val="24"/>
        </w:rPr>
        <w:t>期末考试（2学时）</w:t>
      </w:r>
    </w:p>
    <w:p w14:paraId="2E0F0DA5"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w:t>
      </w:r>
      <w:r w:rsidRPr="000B25E0">
        <w:rPr>
          <w:rFonts w:ascii="Calibri" w:eastAsia="宋体" w:hAnsi="Calibri" w:cs="Times New Roman" w:hint="eastAsia"/>
          <w:sz w:val="24"/>
        </w:rPr>
        <w:t>直线正滑和</w:t>
      </w:r>
      <w:proofErr w:type="gramStart"/>
      <w:r w:rsidRPr="000B25E0">
        <w:rPr>
          <w:rFonts w:ascii="Calibri" w:eastAsia="宋体" w:hAnsi="Calibri" w:cs="Times New Roman" w:hint="eastAsia"/>
          <w:sz w:val="24"/>
        </w:rPr>
        <w:t>弯道正滑综合</w:t>
      </w:r>
      <w:proofErr w:type="gramEnd"/>
      <w:r w:rsidRPr="000B25E0">
        <w:rPr>
          <w:rFonts w:ascii="Calibri" w:eastAsia="宋体" w:hAnsi="Calibri" w:cs="Times New Roman" w:hint="eastAsia"/>
          <w:sz w:val="24"/>
        </w:rPr>
        <w:t>技术</w:t>
      </w:r>
      <w:r w:rsidRPr="000B25E0">
        <w:rPr>
          <w:rFonts w:ascii="宋体" w:eastAsia="宋体" w:hAnsi="Calibri" w:cs="Times New Roman" w:hint="eastAsia"/>
          <w:bCs/>
          <w:kern w:val="0"/>
          <w:sz w:val="24"/>
        </w:rPr>
        <w:t>教学效果和学生掌握情况，让学生了解连续</w:t>
      </w:r>
      <w:r w:rsidRPr="000B25E0">
        <w:rPr>
          <w:rFonts w:ascii="Calibri" w:eastAsia="宋体" w:hAnsi="Calibri" w:cs="Times New Roman" w:hint="eastAsia"/>
          <w:sz w:val="24"/>
        </w:rPr>
        <w:t>直线正滑和</w:t>
      </w:r>
      <w:proofErr w:type="gramStart"/>
      <w:r w:rsidRPr="000B25E0">
        <w:rPr>
          <w:rFonts w:ascii="Calibri" w:eastAsia="宋体" w:hAnsi="Calibri" w:cs="Times New Roman" w:hint="eastAsia"/>
          <w:sz w:val="24"/>
        </w:rPr>
        <w:t>弯道正滑综合</w:t>
      </w:r>
      <w:proofErr w:type="gramEnd"/>
      <w:r w:rsidRPr="000B25E0">
        <w:rPr>
          <w:rFonts w:ascii="Calibri" w:eastAsia="宋体" w:hAnsi="Calibri" w:cs="Times New Roman" w:hint="eastAsia"/>
          <w:sz w:val="24"/>
        </w:rPr>
        <w:t>技术</w:t>
      </w:r>
      <w:r w:rsidRPr="000B25E0">
        <w:rPr>
          <w:rFonts w:ascii="宋体" w:eastAsia="宋体" w:hAnsi="Calibri" w:cs="Times New Roman" w:hint="eastAsia"/>
          <w:bCs/>
          <w:kern w:val="0"/>
          <w:sz w:val="24"/>
        </w:rPr>
        <w:t>的重要性。</w:t>
      </w:r>
    </w:p>
    <w:p w14:paraId="128B2F7D"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宋体" w:eastAsia="宋体" w:hAnsi="Calibri" w:cs="Times New Roman" w:hint="eastAsia"/>
          <w:b/>
          <w:kern w:val="0"/>
          <w:sz w:val="24"/>
        </w:rPr>
        <w:t>2.课程考核的内容：</w:t>
      </w:r>
      <w:r w:rsidRPr="000B25E0">
        <w:rPr>
          <w:rFonts w:ascii="Calibri" w:eastAsia="宋体" w:hAnsi="Calibri" w:cs="Times New Roman" w:hint="eastAsia"/>
          <w:sz w:val="24"/>
        </w:rPr>
        <w:t>直线正滑和</w:t>
      </w:r>
      <w:proofErr w:type="gramStart"/>
      <w:r w:rsidRPr="000B25E0">
        <w:rPr>
          <w:rFonts w:ascii="Calibri" w:eastAsia="宋体" w:hAnsi="Calibri" w:cs="Times New Roman" w:hint="eastAsia"/>
          <w:sz w:val="24"/>
        </w:rPr>
        <w:t>弯道正滑综合</w:t>
      </w:r>
      <w:proofErr w:type="gramEnd"/>
      <w:r w:rsidRPr="000B25E0">
        <w:rPr>
          <w:rFonts w:ascii="Calibri" w:eastAsia="宋体" w:hAnsi="Calibri" w:cs="Times New Roman" w:hint="eastAsia"/>
          <w:sz w:val="24"/>
        </w:rPr>
        <w:t>技术</w:t>
      </w:r>
      <w:r w:rsidRPr="000B25E0">
        <w:rPr>
          <w:rFonts w:ascii="Calibri" w:eastAsia="宋体" w:hAnsi="Calibri" w:cs="Times New Roman"/>
          <w:sz w:val="24"/>
        </w:rPr>
        <w:t>（数量及技术评定按百分制计</w:t>
      </w:r>
      <w:r w:rsidRPr="000B25E0">
        <w:rPr>
          <w:rFonts w:ascii="Calibri" w:eastAsia="宋体" w:hAnsi="Calibri" w:cs="Times New Roman"/>
          <w:sz w:val="24"/>
        </w:rPr>
        <w:lastRenderedPageBreak/>
        <w:t>算，各占总分值一半）</w:t>
      </w:r>
    </w:p>
    <w:p w14:paraId="00A978E6"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Calibri" w:eastAsia="宋体" w:hAnsi="Calibri" w:cs="Times New Roman" w:hint="eastAsia"/>
          <w:sz w:val="24"/>
        </w:rPr>
        <w:t>按照</w:t>
      </w:r>
      <w:proofErr w:type="gramStart"/>
      <w:r w:rsidRPr="000B25E0">
        <w:rPr>
          <w:rFonts w:ascii="Calibri" w:eastAsia="宋体" w:hAnsi="Calibri" w:cs="Times New Roman" w:hint="eastAsia"/>
          <w:sz w:val="24"/>
        </w:rPr>
        <w:t>既定内</w:t>
      </w:r>
      <w:proofErr w:type="gramEnd"/>
      <w:r w:rsidRPr="000B25E0">
        <w:rPr>
          <w:rFonts w:ascii="Calibri" w:eastAsia="宋体" w:hAnsi="Calibri" w:cs="Times New Roman" w:hint="eastAsia"/>
          <w:sz w:val="24"/>
        </w:rPr>
        <w:t>四点外四点图形进行，逆时针连续滑行</w:t>
      </w:r>
      <w:r w:rsidRPr="000B25E0">
        <w:rPr>
          <w:rFonts w:ascii="Calibri" w:eastAsia="宋体" w:hAnsi="Calibri" w:cs="Times New Roman" w:hint="eastAsia"/>
          <w:sz w:val="24"/>
        </w:rPr>
        <w:t>1</w:t>
      </w:r>
      <w:r w:rsidRPr="000B25E0">
        <w:rPr>
          <w:rFonts w:ascii="Calibri" w:eastAsia="宋体" w:hAnsi="Calibri" w:cs="Times New Roman" w:hint="eastAsia"/>
          <w:sz w:val="24"/>
        </w:rPr>
        <w:t>圈</w:t>
      </w:r>
    </w:p>
    <w:p w14:paraId="008FC2A9"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数量及技术评定分值各为100分，各占总分值的50%，总分值为100分。</w:t>
      </w:r>
    </w:p>
    <w:p w14:paraId="262B7C3A"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hint="eastAsia"/>
          <w:b/>
          <w:sz w:val="24"/>
        </w:rPr>
        <w:t>5.</w:t>
      </w:r>
      <w:r w:rsidRPr="000B25E0">
        <w:rPr>
          <w:rFonts w:ascii="Calibri" w:eastAsia="宋体" w:hAnsi="Calibri" w:cs="Times New Roman" w:hint="eastAsia"/>
          <w:b/>
          <w:sz w:val="24"/>
        </w:rPr>
        <w:t>评分原则：</w:t>
      </w:r>
    </w:p>
    <w:p w14:paraId="6D499033"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sz w:val="24"/>
        </w:rPr>
        <w:t>数量评价：</w:t>
      </w:r>
      <w:r w:rsidRPr="000B25E0">
        <w:rPr>
          <w:rFonts w:ascii="Calibri" w:eastAsia="宋体" w:hAnsi="Calibri" w:cs="Times New Roman" w:hint="eastAsia"/>
          <w:sz w:val="24"/>
        </w:rPr>
        <w:t>按照</w:t>
      </w:r>
      <w:proofErr w:type="gramStart"/>
      <w:r w:rsidRPr="000B25E0">
        <w:rPr>
          <w:rFonts w:ascii="Calibri" w:eastAsia="宋体" w:hAnsi="Calibri" w:cs="Times New Roman" w:hint="eastAsia"/>
          <w:sz w:val="24"/>
        </w:rPr>
        <w:t>既定内</w:t>
      </w:r>
      <w:proofErr w:type="gramEnd"/>
      <w:r w:rsidRPr="000B25E0">
        <w:rPr>
          <w:rFonts w:ascii="Calibri" w:eastAsia="宋体" w:hAnsi="Calibri" w:cs="Times New Roman" w:hint="eastAsia"/>
          <w:sz w:val="24"/>
        </w:rPr>
        <w:t>四点外四点图形进行，总共有</w:t>
      </w:r>
      <w:r w:rsidRPr="000B25E0">
        <w:rPr>
          <w:rFonts w:ascii="Calibri" w:eastAsia="宋体" w:hAnsi="Calibri" w:cs="Times New Roman" w:hint="eastAsia"/>
          <w:sz w:val="24"/>
        </w:rPr>
        <w:t>2</w:t>
      </w:r>
      <w:r w:rsidRPr="000B25E0">
        <w:rPr>
          <w:rFonts w:ascii="Calibri" w:eastAsia="宋体" w:hAnsi="Calibri" w:cs="Times New Roman" w:hint="eastAsia"/>
          <w:sz w:val="24"/>
        </w:rPr>
        <w:t>个弯道交叉步技术为及格，</w:t>
      </w:r>
      <w:r w:rsidRPr="000B25E0">
        <w:rPr>
          <w:rFonts w:ascii="Calibri" w:eastAsia="宋体" w:hAnsi="Calibri" w:cs="Times New Roman" w:hint="eastAsia"/>
          <w:sz w:val="24"/>
        </w:rPr>
        <w:t>8</w:t>
      </w:r>
      <w:r w:rsidRPr="000B25E0">
        <w:rPr>
          <w:rFonts w:ascii="Calibri" w:eastAsia="宋体" w:hAnsi="Calibri" w:cs="Times New Roman" w:hint="eastAsia"/>
          <w:sz w:val="24"/>
        </w:rPr>
        <w:t>个为满分，分值</w:t>
      </w:r>
      <w:r w:rsidRPr="000B25E0">
        <w:rPr>
          <w:rFonts w:ascii="Calibri" w:eastAsia="宋体" w:hAnsi="Calibri" w:cs="Times New Roman" w:hint="eastAsia"/>
          <w:sz w:val="24"/>
        </w:rPr>
        <w:t>100</w:t>
      </w:r>
      <w:r w:rsidRPr="000B25E0">
        <w:rPr>
          <w:rFonts w:ascii="Calibri" w:eastAsia="宋体" w:hAnsi="Calibri" w:cs="Times New Roman" w:hint="eastAsia"/>
          <w:sz w:val="24"/>
        </w:rPr>
        <w:t>分。</w:t>
      </w:r>
    </w:p>
    <w:p w14:paraId="3A2DDEE4"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sz w:val="24"/>
        </w:rPr>
        <w:t>技术评价：</w:t>
      </w:r>
      <w:r w:rsidRPr="000B25E0">
        <w:rPr>
          <w:rFonts w:ascii="Calibri" w:eastAsia="宋体" w:hAnsi="Calibri" w:cs="Times New Roman" w:hint="eastAsia"/>
          <w:sz w:val="24"/>
        </w:rPr>
        <w:t>按照相应动作规范要求进行技术评价参看表</w:t>
      </w:r>
      <w:r w:rsidRPr="000B25E0">
        <w:rPr>
          <w:rFonts w:ascii="Calibri" w:eastAsia="宋体" w:hAnsi="Calibri" w:cs="Times New Roman" w:hint="eastAsia"/>
          <w:sz w:val="24"/>
        </w:rPr>
        <w:t>1</w:t>
      </w:r>
      <w:r w:rsidRPr="000B25E0">
        <w:rPr>
          <w:rFonts w:ascii="Calibri" w:eastAsia="宋体" w:hAnsi="Calibri" w:cs="Times New Roman" w:hint="eastAsia"/>
          <w:sz w:val="24"/>
        </w:rPr>
        <w:t>。打分按照百分制进行。</w:t>
      </w:r>
    </w:p>
    <w:p w14:paraId="0CCC9158" w14:textId="77777777" w:rsidR="000B25E0" w:rsidRPr="000B25E0" w:rsidRDefault="000B25E0" w:rsidP="000B25E0">
      <w:pPr>
        <w:adjustRightInd w:val="0"/>
        <w:snapToGrid w:val="0"/>
        <w:spacing w:line="500" w:lineRule="exact"/>
        <w:ind w:firstLineChars="200" w:firstLine="482"/>
        <w:jc w:val="center"/>
        <w:rPr>
          <w:rFonts w:ascii="Calibri" w:eastAsia="宋体" w:hAnsi="Calibri" w:cs="Times New Roman"/>
          <w:b/>
          <w:sz w:val="24"/>
        </w:rPr>
      </w:pPr>
      <w:r w:rsidRPr="000B25E0">
        <w:rPr>
          <w:rFonts w:ascii="Calibri" w:eastAsia="宋体" w:hAnsi="Calibri" w:cs="Times New Roman" w:hint="eastAsia"/>
          <w:b/>
          <w:sz w:val="24"/>
        </w:rPr>
        <w:t>表</w:t>
      </w:r>
      <w:r w:rsidRPr="000B25E0">
        <w:rPr>
          <w:rFonts w:ascii="Calibri" w:eastAsia="宋体" w:hAnsi="Calibri" w:cs="Times New Roman" w:hint="eastAsia"/>
          <w:b/>
          <w:sz w:val="24"/>
        </w:rPr>
        <w:t>2</w:t>
      </w:r>
      <w:r w:rsidRPr="000B25E0">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0B25E0" w:rsidRPr="000B25E0" w14:paraId="5E9A1695" w14:textId="77777777" w:rsidTr="00BF5EF3">
        <w:trPr>
          <w:trHeight w:val="655"/>
        </w:trPr>
        <w:tc>
          <w:tcPr>
            <w:tcW w:w="2149" w:type="dxa"/>
            <w:tcBorders>
              <w:top w:val="single" w:sz="4" w:space="0" w:color="auto"/>
              <w:left w:val="single" w:sz="4" w:space="0" w:color="auto"/>
              <w:bottom w:val="single" w:sz="4" w:space="0" w:color="auto"/>
              <w:right w:val="single" w:sz="4" w:space="0" w:color="auto"/>
            </w:tcBorders>
          </w:tcPr>
          <w:p w14:paraId="1EF09F82"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宋体" w:eastAsia="宋体" w:hAnsi="宋体" w:cs="宋体"/>
                <w:noProof/>
                <w:kern w:val="0"/>
                <w:sz w:val="18"/>
                <w:szCs w:val="18"/>
              </w:rPr>
              <mc:AlternateContent>
                <mc:Choice Requires="wps">
                  <w:drawing>
                    <wp:anchor distT="0" distB="0" distL="114300" distR="114300" simplePos="0" relativeHeight="251692032" behindDoc="0" locked="0" layoutInCell="1" allowOverlap="1" wp14:anchorId="21BFA4D7" wp14:editId="502387E6">
                      <wp:simplePos x="0" y="0"/>
                      <wp:positionH relativeFrom="column">
                        <wp:posOffset>-97790</wp:posOffset>
                      </wp:positionH>
                      <wp:positionV relativeFrom="paragraph">
                        <wp:posOffset>31750</wp:posOffset>
                      </wp:positionV>
                      <wp:extent cx="1432560" cy="638175"/>
                      <wp:effectExtent l="1905" t="4445" r="13335" b="5080"/>
                      <wp:wrapNone/>
                      <wp:docPr id="56" name="直接连接符 56"/>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w14:anchorId="7C1D8812" id="直接连接符 56" o:spid="_x0000_s1026" style="position:absolute;z-index:251692032;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" strokeweight=".5pt"/>
                  </w:pict>
                </mc:Fallback>
              </mc:AlternateContent>
            </w:r>
            <w:r w:rsidRPr="000B25E0">
              <w:rPr>
                <w:rFonts w:ascii="宋体" w:eastAsia="宋体" w:hAnsi="宋体" w:cs="宋体"/>
                <w:kern w:val="0"/>
                <w:sz w:val="18"/>
                <w:szCs w:val="18"/>
              </w:rPr>
              <w:t xml:space="preserve">           </w:t>
            </w:r>
            <w:r w:rsidRPr="000B25E0">
              <w:rPr>
                <w:rFonts w:ascii="Calibri" w:eastAsia="宋体" w:hAnsi="Calibri" w:cs="Times New Roman" w:hint="eastAsia"/>
                <w:sz w:val="24"/>
              </w:rPr>
              <w:t>内</w:t>
            </w:r>
            <w:r w:rsidRPr="000B25E0">
              <w:rPr>
                <w:rFonts w:ascii="Calibri" w:eastAsia="宋体" w:hAnsi="Calibri" w:cs="Times New Roman"/>
                <w:sz w:val="24"/>
              </w:rPr>
              <w:t xml:space="preserve">  </w:t>
            </w:r>
            <w:r w:rsidRPr="000B25E0">
              <w:rPr>
                <w:rFonts w:ascii="Calibri" w:eastAsia="宋体" w:hAnsi="Calibri" w:cs="Times New Roman" w:hint="eastAsia"/>
                <w:sz w:val="24"/>
              </w:rPr>
              <w:t>容</w:t>
            </w:r>
          </w:p>
          <w:p w14:paraId="1023FD18" w14:textId="77777777" w:rsidR="000B25E0" w:rsidRPr="000B25E0" w:rsidRDefault="000B25E0" w:rsidP="000B25E0">
            <w:pPr>
              <w:widowControl/>
              <w:spacing w:line="432" w:lineRule="auto"/>
              <w:rPr>
                <w:rFonts w:ascii="宋体" w:eastAsia="宋体" w:hAnsi="宋体" w:cs="宋体"/>
                <w:kern w:val="0"/>
                <w:sz w:val="18"/>
                <w:szCs w:val="18"/>
              </w:rPr>
            </w:pPr>
            <w:r w:rsidRPr="000B25E0">
              <w:rPr>
                <w:rFonts w:ascii="Calibri" w:eastAsia="宋体" w:hAnsi="Calibri" w:cs="Times New Roman" w:hint="eastAsia"/>
                <w:sz w:val="24"/>
              </w:rPr>
              <w:t>分</w:t>
            </w:r>
            <w:r w:rsidRPr="000B25E0">
              <w:rPr>
                <w:rFonts w:ascii="Calibri" w:eastAsia="宋体" w:hAnsi="Calibri" w:cs="Times New Roman"/>
                <w:sz w:val="24"/>
              </w:rPr>
              <w:t xml:space="preserve">  </w:t>
            </w:r>
            <w:r w:rsidRPr="000B25E0">
              <w:rPr>
                <w:rFonts w:ascii="Calibri" w:eastAsia="宋体" w:hAnsi="Calibri" w:cs="Times New Roman" w:hint="eastAsia"/>
                <w:sz w:val="24"/>
              </w:rPr>
              <w:t>值</w:t>
            </w:r>
            <w:r w:rsidRPr="000B25E0">
              <w:rPr>
                <w:rFonts w:ascii="Calibri" w:eastAsia="宋体" w:hAnsi="Calibri" w:cs="Times New Roman"/>
                <w:sz w:val="24"/>
              </w:rPr>
              <w:t xml:space="preserve"> </w:t>
            </w:r>
            <w:r w:rsidRPr="000B25E0">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4FB14468"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hint="eastAsia"/>
                <w:sz w:val="24"/>
              </w:rPr>
              <w:t>滑行姿态</w:t>
            </w:r>
          </w:p>
        </w:tc>
      </w:tr>
      <w:tr w:rsidR="000B25E0" w:rsidRPr="000B25E0" w14:paraId="6F6BA1D4" w14:textId="77777777" w:rsidTr="00BF5EF3">
        <w:trPr>
          <w:cantSplit/>
        </w:trPr>
        <w:tc>
          <w:tcPr>
            <w:tcW w:w="2149" w:type="dxa"/>
            <w:vMerge w:val="restart"/>
            <w:tcBorders>
              <w:top w:val="single" w:sz="4" w:space="0" w:color="auto"/>
              <w:left w:val="single" w:sz="4" w:space="0" w:color="auto"/>
              <w:right w:val="single" w:sz="4" w:space="0" w:color="auto"/>
            </w:tcBorders>
            <w:vAlign w:val="center"/>
          </w:tcPr>
          <w:p w14:paraId="586132EF"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9</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10</w:t>
            </w:r>
            <w:r w:rsidRPr="000B25E0">
              <w:rPr>
                <w:rFonts w:ascii="Calibri" w:eastAsia="宋体" w:hAnsi="Calibri" w:cs="Times New Roman" w:hint="eastAsia"/>
                <w:sz w:val="24"/>
              </w:rPr>
              <w:t>0</w:t>
            </w:r>
          </w:p>
          <w:p w14:paraId="23EBEEBE"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8</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89</w:t>
            </w:r>
          </w:p>
          <w:p w14:paraId="2D32A26D"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7</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79</w:t>
            </w:r>
          </w:p>
          <w:p w14:paraId="0A8DFA4E"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6</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69</w:t>
            </w:r>
          </w:p>
          <w:p w14:paraId="03C8397D"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sz w:val="24"/>
              </w:rPr>
              <w:t>6</w:t>
            </w:r>
            <w:r w:rsidRPr="000B25E0">
              <w:rPr>
                <w:rFonts w:ascii="Calibri" w:eastAsia="宋体" w:hAnsi="Calibri" w:cs="Times New Roman" w:hint="eastAsia"/>
                <w:sz w:val="24"/>
              </w:rPr>
              <w:t>0</w:t>
            </w:r>
            <w:r w:rsidRPr="000B25E0">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335217E6"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hint="eastAsia"/>
                <w:sz w:val="24"/>
              </w:rPr>
              <w:t>姿势正确，动作优美、协调，速度快</w:t>
            </w:r>
          </w:p>
        </w:tc>
      </w:tr>
      <w:tr w:rsidR="000B25E0" w:rsidRPr="000B25E0" w14:paraId="243034DB" w14:textId="77777777" w:rsidTr="00BF5EF3">
        <w:trPr>
          <w:cantSplit/>
        </w:trPr>
        <w:tc>
          <w:tcPr>
            <w:tcW w:w="2149" w:type="dxa"/>
            <w:vMerge/>
            <w:tcBorders>
              <w:left w:val="single" w:sz="4" w:space="0" w:color="auto"/>
              <w:right w:val="single" w:sz="4" w:space="0" w:color="auto"/>
            </w:tcBorders>
            <w:vAlign w:val="center"/>
          </w:tcPr>
          <w:p w14:paraId="0F2C229A"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B3826AB"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姿势较正确，动作自然，速度较快</w:t>
            </w:r>
          </w:p>
        </w:tc>
      </w:tr>
      <w:tr w:rsidR="000B25E0" w:rsidRPr="000B25E0" w14:paraId="5214EFB3" w14:textId="77777777" w:rsidTr="00BF5EF3">
        <w:trPr>
          <w:cantSplit/>
        </w:trPr>
        <w:tc>
          <w:tcPr>
            <w:tcW w:w="2149" w:type="dxa"/>
            <w:vMerge/>
            <w:tcBorders>
              <w:left w:val="single" w:sz="4" w:space="0" w:color="auto"/>
              <w:right w:val="single" w:sz="4" w:space="0" w:color="auto"/>
            </w:tcBorders>
            <w:vAlign w:val="center"/>
          </w:tcPr>
          <w:p w14:paraId="68687B04"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0B4430E8"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姿势一般，动作基本正确，速度适中</w:t>
            </w:r>
          </w:p>
        </w:tc>
      </w:tr>
      <w:tr w:rsidR="000B25E0" w:rsidRPr="000B25E0" w14:paraId="402487E2" w14:textId="77777777" w:rsidTr="00BF5EF3">
        <w:trPr>
          <w:cantSplit/>
        </w:trPr>
        <w:tc>
          <w:tcPr>
            <w:tcW w:w="2149" w:type="dxa"/>
            <w:vMerge/>
            <w:tcBorders>
              <w:left w:val="single" w:sz="4" w:space="0" w:color="auto"/>
              <w:right w:val="single" w:sz="4" w:space="0" w:color="auto"/>
            </w:tcBorders>
            <w:vAlign w:val="center"/>
          </w:tcPr>
          <w:p w14:paraId="083C8172"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143E969C"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动作不协调，有多余动作，速度较慢</w:t>
            </w:r>
          </w:p>
        </w:tc>
      </w:tr>
      <w:tr w:rsidR="000B25E0" w:rsidRPr="000B25E0" w14:paraId="228CDA91" w14:textId="77777777" w:rsidTr="00BF5EF3">
        <w:trPr>
          <w:cantSplit/>
        </w:trPr>
        <w:tc>
          <w:tcPr>
            <w:tcW w:w="2149" w:type="dxa"/>
            <w:vMerge/>
            <w:tcBorders>
              <w:left w:val="single" w:sz="4" w:space="0" w:color="auto"/>
              <w:bottom w:val="single" w:sz="4" w:space="0" w:color="auto"/>
              <w:right w:val="single" w:sz="4" w:space="0" w:color="auto"/>
            </w:tcBorders>
            <w:vAlign w:val="center"/>
          </w:tcPr>
          <w:p w14:paraId="547DBF31" w14:textId="77777777" w:rsidR="000B25E0" w:rsidRPr="000B25E0" w:rsidRDefault="000B25E0" w:rsidP="000B25E0">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771CAFB0"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动作僵硬，吃力，不协调，速度慢</w:t>
            </w:r>
          </w:p>
        </w:tc>
      </w:tr>
    </w:tbl>
    <w:p w14:paraId="10A9A83F" w14:textId="77777777" w:rsidR="000B25E0" w:rsidRPr="000B25E0" w:rsidRDefault="000B25E0" w:rsidP="000B25E0">
      <w:pPr>
        <w:spacing w:line="500" w:lineRule="exact"/>
        <w:ind w:firstLineChars="200" w:firstLine="480"/>
        <w:rPr>
          <w:rFonts w:ascii="Calibri" w:eastAsia="宋体" w:hAnsi="Calibri" w:cs="Times New Roman"/>
          <w:sz w:val="24"/>
        </w:rPr>
      </w:pPr>
      <w:r w:rsidRPr="000B25E0">
        <w:rPr>
          <w:rFonts w:ascii="Calibri" w:eastAsia="宋体" w:hAnsi="Calibri" w:cs="Times New Roman"/>
          <w:bCs/>
          <w:sz w:val="24"/>
        </w:rPr>
        <w:t>本部</w:t>
      </w:r>
      <w:proofErr w:type="gramStart"/>
      <w:r w:rsidRPr="000B25E0">
        <w:rPr>
          <w:rFonts w:ascii="Calibri" w:eastAsia="宋体" w:hAnsi="Calibri" w:cs="Times New Roman"/>
          <w:bCs/>
          <w:sz w:val="24"/>
        </w:rPr>
        <w:t>分教学</w:t>
      </w:r>
      <w:proofErr w:type="gramEnd"/>
      <w:r w:rsidRPr="000B25E0">
        <w:rPr>
          <w:rFonts w:ascii="Calibri" w:eastAsia="宋体" w:hAnsi="Calibri" w:cs="Times New Roman"/>
          <w:bCs/>
          <w:sz w:val="24"/>
        </w:rPr>
        <w:t>目的及要求</w:t>
      </w:r>
      <w:r w:rsidRPr="000B25E0">
        <w:rPr>
          <w:rFonts w:ascii="Calibri" w:eastAsia="宋体" w:hAnsi="Calibri" w:cs="Times New Roman" w:hint="eastAsia"/>
          <w:bCs/>
          <w:sz w:val="24"/>
        </w:rPr>
        <w:t>：</w:t>
      </w:r>
      <w:r w:rsidRPr="000B25E0">
        <w:rPr>
          <w:rFonts w:ascii="Calibri" w:eastAsia="宋体" w:hAnsi="Calibri" w:cs="Times New Roman" w:hint="eastAsia"/>
          <w:sz w:val="24"/>
        </w:rPr>
        <w:t>考核检验教学效果与对学生的学习效果评价</w:t>
      </w:r>
    </w:p>
    <w:p w14:paraId="57A83BDF" w14:textId="77777777" w:rsidR="000B25E0" w:rsidRPr="000B25E0" w:rsidRDefault="000B25E0" w:rsidP="000B25E0">
      <w:pPr>
        <w:spacing w:line="500" w:lineRule="exact"/>
        <w:ind w:firstLineChars="200" w:firstLine="480"/>
        <w:rPr>
          <w:rFonts w:ascii="Calibri" w:eastAsia="宋体" w:hAnsi="Calibri" w:cs="Times New Roman"/>
          <w:sz w:val="24"/>
        </w:rPr>
      </w:pPr>
      <w:r w:rsidRPr="000B25E0">
        <w:rPr>
          <w:rFonts w:ascii="Calibri" w:eastAsia="宋体" w:hAnsi="Calibri" w:cs="Times New Roman"/>
          <w:bCs/>
          <w:sz w:val="24"/>
        </w:rPr>
        <w:t>本部</w:t>
      </w:r>
      <w:proofErr w:type="gramStart"/>
      <w:r w:rsidRPr="000B25E0">
        <w:rPr>
          <w:rFonts w:ascii="Calibri" w:eastAsia="宋体" w:hAnsi="Calibri" w:cs="Times New Roman"/>
          <w:bCs/>
          <w:sz w:val="24"/>
        </w:rPr>
        <w:t>分教学</w:t>
      </w:r>
      <w:proofErr w:type="gramEnd"/>
      <w:r w:rsidRPr="000B25E0">
        <w:rPr>
          <w:rFonts w:ascii="Calibri" w:eastAsia="宋体" w:hAnsi="Calibri" w:cs="Times New Roman"/>
          <w:bCs/>
          <w:sz w:val="24"/>
        </w:rPr>
        <w:t>重点及难点：</w:t>
      </w:r>
      <w:r w:rsidRPr="000B25E0">
        <w:rPr>
          <w:rFonts w:ascii="Calibri" w:eastAsia="宋体" w:hAnsi="Calibri" w:cs="Times New Roman" w:hint="eastAsia"/>
          <w:sz w:val="24"/>
        </w:rPr>
        <w:t>轮滑测试（公正、公平、公开）</w:t>
      </w:r>
    </w:p>
    <w:p w14:paraId="6C0DC2AF"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第四学期</w:t>
      </w:r>
    </w:p>
    <w:p w14:paraId="66F2AA42" w14:textId="77777777" w:rsidR="000B25E0" w:rsidRPr="000B25E0" w:rsidRDefault="000B25E0" w:rsidP="000B25E0">
      <w:pPr>
        <w:adjustRightInd w:val="0"/>
        <w:snapToGrid w:val="0"/>
        <w:spacing w:line="500" w:lineRule="exact"/>
        <w:jc w:val="center"/>
        <w:rPr>
          <w:rFonts w:ascii="宋体" w:eastAsia="宋体" w:hAnsi="Calibri" w:cs="Times New Roman"/>
          <w:b/>
          <w:bCs/>
          <w:kern w:val="0"/>
          <w:sz w:val="24"/>
        </w:rPr>
      </w:pPr>
      <w:r w:rsidRPr="000B25E0">
        <w:rPr>
          <w:rFonts w:ascii="宋体" w:eastAsia="宋体" w:hAnsi="Calibri" w:cs="Times New Roman" w:hint="eastAsia"/>
          <w:b/>
          <w:bCs/>
          <w:kern w:val="0"/>
          <w:sz w:val="24"/>
        </w:rPr>
        <w:t>期中考试(2学时)</w:t>
      </w:r>
    </w:p>
    <w:p w14:paraId="067A9B65"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通过考核检验单腿直道滑行教学效果和学生掌握情况，让学生了解单腿直道滑行的重要性。</w:t>
      </w:r>
    </w:p>
    <w:p w14:paraId="28A81702"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宋体" w:eastAsia="宋体" w:hAnsi="Calibri" w:cs="Times New Roman" w:hint="eastAsia"/>
          <w:b/>
          <w:kern w:val="0"/>
          <w:sz w:val="24"/>
        </w:rPr>
        <w:t>2.课程考核的内容：</w:t>
      </w:r>
      <w:r w:rsidRPr="000B25E0">
        <w:rPr>
          <w:rFonts w:ascii="Calibri" w:eastAsia="宋体" w:hAnsi="Calibri" w:cs="Times New Roman" w:hint="eastAsia"/>
          <w:sz w:val="24"/>
        </w:rPr>
        <w:t>单腿直道滑行技术</w:t>
      </w:r>
      <w:r w:rsidRPr="000B25E0">
        <w:rPr>
          <w:rFonts w:ascii="Calibri" w:eastAsia="宋体" w:hAnsi="Calibri" w:cs="Times New Roman"/>
          <w:sz w:val="24"/>
        </w:rPr>
        <w:t>（数量及技术评定按百分制计算，各占总分值一半）</w:t>
      </w:r>
    </w:p>
    <w:p w14:paraId="53876CBC"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平整无坑洼场地20米，每人一次滑行机会。</w:t>
      </w:r>
    </w:p>
    <w:p w14:paraId="0D634D4E"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lastRenderedPageBreak/>
        <w:t>4.成绩构成及分值：</w:t>
      </w:r>
      <w:r w:rsidRPr="000B25E0">
        <w:rPr>
          <w:rFonts w:ascii="宋体" w:eastAsia="宋体" w:hAnsi="Calibri" w:cs="Times New Roman" w:hint="eastAsia"/>
          <w:bCs/>
          <w:kern w:val="0"/>
          <w:sz w:val="24"/>
        </w:rPr>
        <w:t>数量及技术评定分值各为100分，各占总分值的50%，总分值为100分。</w:t>
      </w:r>
    </w:p>
    <w:p w14:paraId="3599571E"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hint="eastAsia"/>
          <w:b/>
          <w:sz w:val="24"/>
        </w:rPr>
        <w:t>5.</w:t>
      </w:r>
      <w:r w:rsidRPr="000B25E0">
        <w:rPr>
          <w:rFonts w:ascii="Calibri" w:eastAsia="宋体" w:hAnsi="Calibri" w:cs="Times New Roman" w:hint="eastAsia"/>
          <w:b/>
          <w:sz w:val="24"/>
        </w:rPr>
        <w:t>评分原则：</w:t>
      </w:r>
    </w:p>
    <w:p w14:paraId="56AFF310"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sz w:val="24"/>
        </w:rPr>
        <w:t>数量评价：</w:t>
      </w:r>
    </w:p>
    <w:p w14:paraId="370C8C7F"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1</w:t>
      </w:r>
      <w:r w:rsidRPr="000B25E0">
        <w:rPr>
          <w:rFonts w:ascii="Calibri" w:eastAsia="宋体" w:hAnsi="Calibri" w:cs="Times New Roman" w:hint="eastAsia"/>
          <w:sz w:val="24"/>
        </w:rPr>
        <w:t>米为及格，</w:t>
      </w:r>
      <w:r w:rsidRPr="000B25E0">
        <w:rPr>
          <w:rFonts w:ascii="Calibri" w:eastAsia="宋体" w:hAnsi="Calibri" w:cs="Times New Roman" w:hint="eastAsia"/>
          <w:sz w:val="24"/>
        </w:rPr>
        <w:t>5</w:t>
      </w:r>
      <w:r w:rsidRPr="000B25E0">
        <w:rPr>
          <w:rFonts w:ascii="Calibri" w:eastAsia="宋体" w:hAnsi="Calibri" w:cs="Times New Roman" w:hint="eastAsia"/>
          <w:sz w:val="24"/>
        </w:rPr>
        <w:t>米为满分</w:t>
      </w:r>
      <w:r w:rsidRPr="000B25E0">
        <w:rPr>
          <w:rFonts w:ascii="Calibri" w:eastAsia="宋体" w:hAnsi="Calibri" w:cs="Times New Roman" w:hint="eastAsia"/>
          <w:sz w:val="24"/>
        </w:rPr>
        <w:t>100</w:t>
      </w:r>
      <w:r w:rsidRPr="000B25E0">
        <w:rPr>
          <w:rFonts w:ascii="Calibri" w:eastAsia="宋体" w:hAnsi="Calibri" w:cs="Times New Roman" w:hint="eastAsia"/>
          <w:sz w:val="24"/>
        </w:rPr>
        <w:t>分</w:t>
      </w:r>
      <w:r w:rsidRPr="000B25E0">
        <w:rPr>
          <w:rFonts w:ascii="Calibri" w:eastAsia="宋体" w:hAnsi="Calibri" w:cs="Times New Roman"/>
          <w:sz w:val="24"/>
        </w:rPr>
        <w:t>；</w:t>
      </w:r>
    </w:p>
    <w:p w14:paraId="7776BC40"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sz w:val="24"/>
        </w:rPr>
        <w:t>技术评价：</w:t>
      </w:r>
    </w:p>
    <w:p w14:paraId="2120D478"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按照相应动作规范要求进行技术评价参看表</w:t>
      </w:r>
      <w:r w:rsidRPr="000B25E0">
        <w:rPr>
          <w:rFonts w:ascii="Calibri" w:eastAsia="宋体" w:hAnsi="Calibri" w:cs="Times New Roman" w:hint="eastAsia"/>
          <w:sz w:val="24"/>
        </w:rPr>
        <w:t>1</w:t>
      </w:r>
      <w:r w:rsidRPr="000B25E0">
        <w:rPr>
          <w:rFonts w:ascii="Calibri" w:eastAsia="宋体" w:hAnsi="Calibri" w:cs="Times New Roman" w:hint="eastAsia"/>
          <w:sz w:val="24"/>
        </w:rPr>
        <w:t>。打分按照百分制进行。</w:t>
      </w:r>
    </w:p>
    <w:p w14:paraId="0383C4C2" w14:textId="77777777" w:rsidR="000B25E0" w:rsidRPr="000B25E0" w:rsidRDefault="000B25E0" w:rsidP="000B25E0">
      <w:pPr>
        <w:adjustRightInd w:val="0"/>
        <w:snapToGrid w:val="0"/>
        <w:spacing w:line="500" w:lineRule="exact"/>
        <w:ind w:firstLineChars="200" w:firstLine="480"/>
        <w:jc w:val="center"/>
        <w:rPr>
          <w:rFonts w:ascii="Calibri" w:eastAsia="宋体" w:hAnsi="Calibri" w:cs="Times New Roman"/>
          <w:bCs/>
          <w:sz w:val="24"/>
        </w:rPr>
      </w:pPr>
      <w:r w:rsidRPr="000B25E0">
        <w:rPr>
          <w:rFonts w:ascii="Calibri" w:eastAsia="宋体" w:hAnsi="Calibri" w:cs="Times New Roman" w:hint="eastAsia"/>
          <w:bCs/>
          <w:sz w:val="24"/>
        </w:rPr>
        <w:t>表</w:t>
      </w:r>
      <w:r w:rsidRPr="000B25E0">
        <w:rPr>
          <w:rFonts w:ascii="Calibri" w:eastAsia="宋体" w:hAnsi="Calibri" w:cs="Times New Roman" w:hint="eastAsia"/>
          <w:bCs/>
          <w:sz w:val="24"/>
        </w:rPr>
        <w:t>1</w:t>
      </w:r>
      <w:r w:rsidRPr="000B25E0">
        <w:rPr>
          <w:rFonts w:ascii="Calibri" w:eastAsia="宋体" w:hAnsi="Calibri" w:cs="Times New Roman" w:hint="eastAsia"/>
          <w:bCs/>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0B25E0" w:rsidRPr="000B25E0" w14:paraId="336F296C" w14:textId="77777777" w:rsidTr="00BF5EF3">
        <w:trPr>
          <w:trHeight w:val="655"/>
        </w:trPr>
        <w:tc>
          <w:tcPr>
            <w:tcW w:w="2149" w:type="dxa"/>
            <w:tcBorders>
              <w:top w:val="single" w:sz="4" w:space="0" w:color="auto"/>
              <w:left w:val="single" w:sz="4" w:space="0" w:color="auto"/>
              <w:bottom w:val="single" w:sz="4" w:space="0" w:color="auto"/>
              <w:right w:val="single" w:sz="4" w:space="0" w:color="auto"/>
            </w:tcBorders>
          </w:tcPr>
          <w:p w14:paraId="711FECB0"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宋体" w:eastAsia="宋体" w:hAnsi="宋体" w:cs="宋体"/>
                <w:noProof/>
                <w:kern w:val="0"/>
                <w:sz w:val="18"/>
                <w:szCs w:val="18"/>
              </w:rPr>
              <mc:AlternateContent>
                <mc:Choice Requires="wps">
                  <w:drawing>
                    <wp:anchor distT="0" distB="0" distL="114300" distR="114300" simplePos="0" relativeHeight="251693056" behindDoc="0" locked="0" layoutInCell="1" allowOverlap="1" wp14:anchorId="7E215A71" wp14:editId="6097A3B9">
                      <wp:simplePos x="0" y="0"/>
                      <wp:positionH relativeFrom="column">
                        <wp:posOffset>-97790</wp:posOffset>
                      </wp:positionH>
                      <wp:positionV relativeFrom="paragraph">
                        <wp:posOffset>31750</wp:posOffset>
                      </wp:positionV>
                      <wp:extent cx="1432560" cy="638175"/>
                      <wp:effectExtent l="1905" t="4445" r="13335" b="5080"/>
                      <wp:wrapNone/>
                      <wp:docPr id="58" name="直接连接符 58"/>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w14:anchorId="3B3B6069" id="直接连接符 58" o:spid="_x0000_s1026" style="position:absolute;z-index:251693056;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" strokeweight=".5pt"/>
                  </w:pict>
                </mc:Fallback>
              </mc:AlternateContent>
            </w:r>
            <w:r w:rsidRPr="000B25E0">
              <w:rPr>
                <w:rFonts w:ascii="宋体" w:eastAsia="宋体" w:hAnsi="宋体" w:cs="宋体"/>
                <w:kern w:val="0"/>
                <w:sz w:val="18"/>
                <w:szCs w:val="18"/>
              </w:rPr>
              <w:t xml:space="preserve">           </w:t>
            </w:r>
            <w:r w:rsidRPr="000B25E0">
              <w:rPr>
                <w:rFonts w:ascii="Calibri" w:eastAsia="宋体" w:hAnsi="Calibri" w:cs="Times New Roman" w:hint="eastAsia"/>
                <w:sz w:val="24"/>
              </w:rPr>
              <w:t>内</w:t>
            </w:r>
            <w:r w:rsidRPr="000B25E0">
              <w:rPr>
                <w:rFonts w:ascii="Calibri" w:eastAsia="宋体" w:hAnsi="Calibri" w:cs="Times New Roman"/>
                <w:sz w:val="24"/>
              </w:rPr>
              <w:t xml:space="preserve">  </w:t>
            </w:r>
            <w:r w:rsidRPr="000B25E0">
              <w:rPr>
                <w:rFonts w:ascii="Calibri" w:eastAsia="宋体" w:hAnsi="Calibri" w:cs="Times New Roman" w:hint="eastAsia"/>
                <w:sz w:val="24"/>
              </w:rPr>
              <w:t>容</w:t>
            </w:r>
          </w:p>
          <w:p w14:paraId="70C80E33" w14:textId="77777777" w:rsidR="000B25E0" w:rsidRPr="000B25E0" w:rsidRDefault="000B25E0" w:rsidP="000B25E0">
            <w:pPr>
              <w:widowControl/>
              <w:spacing w:line="432" w:lineRule="auto"/>
              <w:rPr>
                <w:rFonts w:ascii="宋体" w:eastAsia="宋体" w:hAnsi="宋体" w:cs="宋体"/>
                <w:kern w:val="0"/>
                <w:sz w:val="18"/>
                <w:szCs w:val="18"/>
              </w:rPr>
            </w:pPr>
            <w:r w:rsidRPr="000B25E0">
              <w:rPr>
                <w:rFonts w:ascii="Calibri" w:eastAsia="宋体" w:hAnsi="Calibri" w:cs="Times New Roman" w:hint="eastAsia"/>
                <w:sz w:val="24"/>
              </w:rPr>
              <w:t>分</w:t>
            </w:r>
            <w:r w:rsidRPr="000B25E0">
              <w:rPr>
                <w:rFonts w:ascii="Calibri" w:eastAsia="宋体" w:hAnsi="Calibri" w:cs="Times New Roman"/>
                <w:sz w:val="24"/>
              </w:rPr>
              <w:t xml:space="preserve">  </w:t>
            </w:r>
            <w:r w:rsidRPr="000B25E0">
              <w:rPr>
                <w:rFonts w:ascii="Calibri" w:eastAsia="宋体" w:hAnsi="Calibri" w:cs="Times New Roman" w:hint="eastAsia"/>
                <w:sz w:val="24"/>
              </w:rPr>
              <w:t>值</w:t>
            </w:r>
            <w:r w:rsidRPr="000B25E0">
              <w:rPr>
                <w:rFonts w:ascii="Calibri" w:eastAsia="宋体" w:hAnsi="Calibri" w:cs="Times New Roman"/>
                <w:sz w:val="24"/>
              </w:rPr>
              <w:t xml:space="preserve"> </w:t>
            </w:r>
            <w:r w:rsidRPr="000B25E0">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45D5BAE1"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hint="eastAsia"/>
                <w:sz w:val="24"/>
              </w:rPr>
              <w:t>滑行姿态</w:t>
            </w:r>
          </w:p>
        </w:tc>
      </w:tr>
      <w:tr w:rsidR="000B25E0" w:rsidRPr="000B25E0" w14:paraId="2918BE63" w14:textId="77777777" w:rsidTr="00BF5EF3">
        <w:trPr>
          <w:cantSplit/>
        </w:trPr>
        <w:tc>
          <w:tcPr>
            <w:tcW w:w="2149" w:type="dxa"/>
            <w:vMerge w:val="restart"/>
            <w:tcBorders>
              <w:top w:val="single" w:sz="4" w:space="0" w:color="auto"/>
              <w:left w:val="single" w:sz="4" w:space="0" w:color="auto"/>
              <w:right w:val="single" w:sz="4" w:space="0" w:color="auto"/>
            </w:tcBorders>
            <w:vAlign w:val="center"/>
          </w:tcPr>
          <w:p w14:paraId="4A94EC5A"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9</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10</w:t>
            </w:r>
            <w:r w:rsidRPr="000B25E0">
              <w:rPr>
                <w:rFonts w:ascii="Calibri" w:eastAsia="宋体" w:hAnsi="Calibri" w:cs="Times New Roman" w:hint="eastAsia"/>
                <w:sz w:val="24"/>
              </w:rPr>
              <w:t>0</w:t>
            </w:r>
          </w:p>
          <w:p w14:paraId="4E3C038C"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8</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89</w:t>
            </w:r>
          </w:p>
          <w:p w14:paraId="6F60FD4E"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7</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79</w:t>
            </w:r>
          </w:p>
          <w:p w14:paraId="76E2854E"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6</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69</w:t>
            </w:r>
          </w:p>
          <w:p w14:paraId="6B20F7CC"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sz w:val="24"/>
              </w:rPr>
              <w:t>6</w:t>
            </w:r>
            <w:r w:rsidRPr="000B25E0">
              <w:rPr>
                <w:rFonts w:ascii="Calibri" w:eastAsia="宋体" w:hAnsi="Calibri" w:cs="Times New Roman" w:hint="eastAsia"/>
                <w:sz w:val="24"/>
              </w:rPr>
              <w:t>0</w:t>
            </w:r>
            <w:r w:rsidRPr="000B25E0">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6ACF2DB1"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hint="eastAsia"/>
                <w:sz w:val="24"/>
              </w:rPr>
              <w:t>姿势正确，动作优美、协调，速度快</w:t>
            </w:r>
          </w:p>
        </w:tc>
      </w:tr>
      <w:tr w:rsidR="000B25E0" w:rsidRPr="000B25E0" w14:paraId="121D5164" w14:textId="77777777" w:rsidTr="00BF5EF3">
        <w:trPr>
          <w:cantSplit/>
        </w:trPr>
        <w:tc>
          <w:tcPr>
            <w:tcW w:w="2149" w:type="dxa"/>
            <w:vMerge/>
            <w:tcBorders>
              <w:left w:val="single" w:sz="4" w:space="0" w:color="auto"/>
              <w:right w:val="single" w:sz="4" w:space="0" w:color="auto"/>
            </w:tcBorders>
            <w:vAlign w:val="center"/>
          </w:tcPr>
          <w:p w14:paraId="354CA2C6"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580D525B"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姿势较正确，动作自然，速度较快</w:t>
            </w:r>
          </w:p>
        </w:tc>
      </w:tr>
      <w:tr w:rsidR="000B25E0" w:rsidRPr="000B25E0" w14:paraId="15712A7C" w14:textId="77777777" w:rsidTr="00BF5EF3">
        <w:trPr>
          <w:cantSplit/>
        </w:trPr>
        <w:tc>
          <w:tcPr>
            <w:tcW w:w="2149" w:type="dxa"/>
            <w:vMerge/>
            <w:tcBorders>
              <w:left w:val="single" w:sz="4" w:space="0" w:color="auto"/>
              <w:right w:val="single" w:sz="4" w:space="0" w:color="auto"/>
            </w:tcBorders>
            <w:vAlign w:val="center"/>
          </w:tcPr>
          <w:p w14:paraId="09C82520"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5E44EE27"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姿势一般，动作基本正确，速度适中</w:t>
            </w:r>
          </w:p>
        </w:tc>
      </w:tr>
      <w:tr w:rsidR="000B25E0" w:rsidRPr="000B25E0" w14:paraId="2720EA55" w14:textId="77777777" w:rsidTr="00BF5EF3">
        <w:trPr>
          <w:cantSplit/>
        </w:trPr>
        <w:tc>
          <w:tcPr>
            <w:tcW w:w="2149" w:type="dxa"/>
            <w:vMerge/>
            <w:tcBorders>
              <w:left w:val="single" w:sz="4" w:space="0" w:color="auto"/>
              <w:right w:val="single" w:sz="4" w:space="0" w:color="auto"/>
            </w:tcBorders>
            <w:vAlign w:val="center"/>
          </w:tcPr>
          <w:p w14:paraId="31778222"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50C816D6"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动作不协调，有多余动作，速度较慢</w:t>
            </w:r>
          </w:p>
        </w:tc>
      </w:tr>
      <w:tr w:rsidR="000B25E0" w:rsidRPr="000B25E0" w14:paraId="73185589" w14:textId="77777777" w:rsidTr="00BF5EF3">
        <w:trPr>
          <w:cantSplit/>
        </w:trPr>
        <w:tc>
          <w:tcPr>
            <w:tcW w:w="2149" w:type="dxa"/>
            <w:vMerge/>
            <w:tcBorders>
              <w:left w:val="single" w:sz="4" w:space="0" w:color="auto"/>
              <w:bottom w:val="single" w:sz="4" w:space="0" w:color="auto"/>
              <w:right w:val="single" w:sz="4" w:space="0" w:color="auto"/>
            </w:tcBorders>
            <w:vAlign w:val="center"/>
          </w:tcPr>
          <w:p w14:paraId="34CA8982" w14:textId="77777777" w:rsidR="000B25E0" w:rsidRPr="000B25E0" w:rsidRDefault="000B25E0" w:rsidP="000B25E0">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590A16C4"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动作僵硬，吃力，不协调，速度慢</w:t>
            </w:r>
          </w:p>
        </w:tc>
      </w:tr>
    </w:tbl>
    <w:p w14:paraId="07965E09" w14:textId="77777777" w:rsidR="000B25E0" w:rsidRPr="000B25E0" w:rsidRDefault="000B25E0" w:rsidP="000B25E0">
      <w:pPr>
        <w:spacing w:line="500" w:lineRule="exact"/>
        <w:ind w:firstLineChars="200" w:firstLine="480"/>
        <w:rPr>
          <w:rFonts w:ascii="Calibri" w:eastAsia="宋体" w:hAnsi="Calibri" w:cs="Times New Roman"/>
          <w:sz w:val="24"/>
        </w:rPr>
      </w:pPr>
      <w:r w:rsidRPr="000B25E0">
        <w:rPr>
          <w:rFonts w:ascii="Calibri" w:eastAsia="宋体" w:hAnsi="Calibri" w:cs="Times New Roman"/>
          <w:bCs/>
          <w:sz w:val="24"/>
        </w:rPr>
        <w:t>本部</w:t>
      </w:r>
      <w:proofErr w:type="gramStart"/>
      <w:r w:rsidRPr="000B25E0">
        <w:rPr>
          <w:rFonts w:ascii="Calibri" w:eastAsia="宋体" w:hAnsi="Calibri" w:cs="Times New Roman"/>
          <w:bCs/>
          <w:sz w:val="24"/>
        </w:rPr>
        <w:t>分教学</w:t>
      </w:r>
      <w:proofErr w:type="gramEnd"/>
      <w:r w:rsidRPr="000B25E0">
        <w:rPr>
          <w:rFonts w:ascii="Calibri" w:eastAsia="宋体" w:hAnsi="Calibri" w:cs="Times New Roman"/>
          <w:bCs/>
          <w:sz w:val="24"/>
        </w:rPr>
        <w:t>目的及要求</w:t>
      </w:r>
      <w:r w:rsidRPr="000B25E0">
        <w:rPr>
          <w:rFonts w:ascii="Calibri" w:eastAsia="宋体" w:hAnsi="Calibri" w:cs="Times New Roman" w:hint="eastAsia"/>
          <w:bCs/>
          <w:sz w:val="24"/>
        </w:rPr>
        <w:t>：</w:t>
      </w:r>
      <w:r w:rsidRPr="000B25E0">
        <w:rPr>
          <w:rFonts w:ascii="Calibri" w:eastAsia="宋体" w:hAnsi="Calibri" w:cs="Times New Roman" w:hint="eastAsia"/>
          <w:sz w:val="24"/>
        </w:rPr>
        <w:t>考核检验教学效果与对学生的学习效果评价</w:t>
      </w:r>
    </w:p>
    <w:p w14:paraId="2EA23D16" w14:textId="77777777" w:rsidR="000B25E0" w:rsidRPr="000B25E0" w:rsidRDefault="000B25E0" w:rsidP="000B25E0">
      <w:pPr>
        <w:spacing w:line="500" w:lineRule="exact"/>
        <w:ind w:firstLineChars="200" w:firstLine="480"/>
        <w:rPr>
          <w:rFonts w:ascii="Calibri" w:eastAsia="宋体" w:hAnsi="Calibri" w:cs="Times New Roman"/>
          <w:sz w:val="24"/>
        </w:rPr>
      </w:pPr>
      <w:r w:rsidRPr="000B25E0">
        <w:rPr>
          <w:rFonts w:ascii="Calibri" w:eastAsia="宋体" w:hAnsi="Calibri" w:cs="Times New Roman"/>
          <w:bCs/>
          <w:sz w:val="24"/>
        </w:rPr>
        <w:t>本部</w:t>
      </w:r>
      <w:proofErr w:type="gramStart"/>
      <w:r w:rsidRPr="000B25E0">
        <w:rPr>
          <w:rFonts w:ascii="Calibri" w:eastAsia="宋体" w:hAnsi="Calibri" w:cs="Times New Roman"/>
          <w:bCs/>
          <w:sz w:val="24"/>
        </w:rPr>
        <w:t>分教学</w:t>
      </w:r>
      <w:proofErr w:type="gramEnd"/>
      <w:r w:rsidRPr="000B25E0">
        <w:rPr>
          <w:rFonts w:ascii="Calibri" w:eastAsia="宋体" w:hAnsi="Calibri" w:cs="Times New Roman"/>
          <w:bCs/>
          <w:sz w:val="24"/>
        </w:rPr>
        <w:t>重点及难点：</w:t>
      </w:r>
      <w:r w:rsidRPr="000B25E0">
        <w:rPr>
          <w:rFonts w:ascii="Calibri" w:eastAsia="宋体" w:hAnsi="Calibri" w:cs="Times New Roman" w:hint="eastAsia"/>
          <w:sz w:val="24"/>
        </w:rPr>
        <w:t>轮滑测试（公正、公平、公开）</w:t>
      </w:r>
    </w:p>
    <w:p w14:paraId="210E4937" w14:textId="77777777" w:rsidR="000B25E0" w:rsidRPr="000B25E0" w:rsidRDefault="000B25E0" w:rsidP="000B25E0">
      <w:pPr>
        <w:tabs>
          <w:tab w:val="left" w:pos="687"/>
          <w:tab w:val="left" w:pos="897"/>
        </w:tabs>
        <w:adjustRightInd w:val="0"/>
        <w:snapToGrid w:val="0"/>
        <w:spacing w:line="500" w:lineRule="exact"/>
        <w:jc w:val="center"/>
        <w:rPr>
          <w:rFonts w:ascii="宋体" w:eastAsia="宋体" w:hAnsi="宋体" w:cs="宋体"/>
          <w:b/>
          <w:sz w:val="24"/>
        </w:rPr>
      </w:pPr>
      <w:r w:rsidRPr="000B25E0">
        <w:rPr>
          <w:rFonts w:ascii="宋体" w:eastAsia="宋体" w:hAnsi="宋体" w:cs="宋体" w:hint="eastAsia"/>
          <w:b/>
          <w:sz w:val="24"/>
        </w:rPr>
        <w:t>期末考试(2学时)</w:t>
      </w:r>
    </w:p>
    <w:p w14:paraId="3C1B7CC0"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w:t>
      </w:r>
      <w:proofErr w:type="gramStart"/>
      <w:r w:rsidRPr="000B25E0">
        <w:rPr>
          <w:rFonts w:ascii="Calibri" w:eastAsia="宋体" w:hAnsi="Calibri" w:cs="Times New Roman" w:hint="eastAsia"/>
          <w:sz w:val="24"/>
        </w:rPr>
        <w:t>直道正滑</w:t>
      </w:r>
      <w:r w:rsidRPr="000B25E0">
        <w:rPr>
          <w:rFonts w:ascii="宋体" w:eastAsia="宋体" w:hAnsi="Calibri" w:cs="Times New Roman" w:hint="eastAsia"/>
          <w:bCs/>
          <w:kern w:val="0"/>
          <w:sz w:val="24"/>
        </w:rPr>
        <w:t>教学</w:t>
      </w:r>
      <w:proofErr w:type="gramEnd"/>
      <w:r w:rsidRPr="000B25E0">
        <w:rPr>
          <w:rFonts w:ascii="宋体" w:eastAsia="宋体" w:hAnsi="Calibri" w:cs="Times New Roman" w:hint="eastAsia"/>
          <w:bCs/>
          <w:kern w:val="0"/>
          <w:sz w:val="24"/>
        </w:rPr>
        <w:t>效果和学生掌握情况，让学生了解</w:t>
      </w:r>
      <w:proofErr w:type="gramStart"/>
      <w:r w:rsidRPr="000B25E0">
        <w:rPr>
          <w:rFonts w:ascii="Calibri" w:eastAsia="宋体" w:hAnsi="Calibri" w:cs="Times New Roman" w:hint="eastAsia"/>
          <w:sz w:val="24"/>
        </w:rPr>
        <w:t>直道正</w:t>
      </w:r>
      <w:proofErr w:type="gramEnd"/>
      <w:r w:rsidRPr="000B25E0">
        <w:rPr>
          <w:rFonts w:ascii="Calibri" w:eastAsia="宋体" w:hAnsi="Calibri" w:cs="Times New Roman" w:hint="eastAsia"/>
          <w:sz w:val="24"/>
        </w:rPr>
        <w:t>滑</w:t>
      </w:r>
      <w:r w:rsidRPr="000B25E0">
        <w:rPr>
          <w:rFonts w:ascii="宋体" w:eastAsia="宋体" w:hAnsi="Calibri" w:cs="Times New Roman" w:hint="eastAsia"/>
          <w:bCs/>
          <w:kern w:val="0"/>
          <w:sz w:val="24"/>
        </w:rPr>
        <w:t>的重要性。</w:t>
      </w:r>
    </w:p>
    <w:p w14:paraId="058DAD51"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宋体" w:eastAsia="宋体" w:hAnsi="Calibri" w:cs="Times New Roman" w:hint="eastAsia"/>
          <w:b/>
          <w:kern w:val="0"/>
          <w:sz w:val="24"/>
        </w:rPr>
        <w:t>2.课程考核的内容：</w:t>
      </w:r>
      <w:proofErr w:type="gramStart"/>
      <w:r w:rsidRPr="000B25E0">
        <w:rPr>
          <w:rFonts w:ascii="Calibri" w:eastAsia="宋体" w:hAnsi="Calibri" w:cs="Times New Roman" w:hint="eastAsia"/>
          <w:sz w:val="24"/>
        </w:rPr>
        <w:t>直道正</w:t>
      </w:r>
      <w:proofErr w:type="gramEnd"/>
      <w:r w:rsidRPr="000B25E0">
        <w:rPr>
          <w:rFonts w:ascii="Calibri" w:eastAsia="宋体" w:hAnsi="Calibri" w:cs="Times New Roman" w:hint="eastAsia"/>
          <w:sz w:val="24"/>
        </w:rPr>
        <w:t>滑</w:t>
      </w:r>
      <w:r w:rsidRPr="000B25E0">
        <w:rPr>
          <w:rFonts w:ascii="Calibri" w:eastAsia="宋体" w:hAnsi="Calibri" w:cs="Times New Roman"/>
          <w:sz w:val="24"/>
        </w:rPr>
        <w:t>（数量及技术评定按百分制计算，各占总分值一半）</w:t>
      </w:r>
    </w:p>
    <w:p w14:paraId="273EAE8E"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平整无坑洼场地150米，每人一次滑行机会。</w:t>
      </w:r>
    </w:p>
    <w:p w14:paraId="2ABB44EB"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数量及技术评定分值各为100分，各占总分值的50%，总分值为100分。</w:t>
      </w:r>
    </w:p>
    <w:p w14:paraId="6D4FC236"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bCs/>
          <w:sz w:val="24"/>
        </w:rPr>
      </w:pPr>
      <w:r w:rsidRPr="000B25E0">
        <w:rPr>
          <w:rFonts w:ascii="Calibri" w:eastAsia="宋体" w:hAnsi="Calibri" w:cs="Times New Roman" w:hint="eastAsia"/>
          <w:b/>
          <w:bCs/>
          <w:sz w:val="24"/>
        </w:rPr>
        <w:t>5.</w:t>
      </w:r>
      <w:r w:rsidRPr="000B25E0">
        <w:rPr>
          <w:rFonts w:ascii="Calibri" w:eastAsia="宋体" w:hAnsi="Calibri" w:cs="Times New Roman" w:hint="eastAsia"/>
          <w:b/>
          <w:bCs/>
          <w:sz w:val="24"/>
        </w:rPr>
        <w:t>评分原则：</w:t>
      </w:r>
    </w:p>
    <w:p w14:paraId="27DA7F77"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数量评价：</w:t>
      </w:r>
    </w:p>
    <w:p w14:paraId="0458B6CD"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lastRenderedPageBreak/>
        <w:t>学生需完成</w:t>
      </w:r>
      <w:r w:rsidRPr="000B25E0">
        <w:rPr>
          <w:rFonts w:ascii="Calibri" w:eastAsia="宋体" w:hAnsi="Calibri" w:cs="Times New Roman" w:hint="eastAsia"/>
          <w:sz w:val="24"/>
        </w:rPr>
        <w:t>100</w:t>
      </w:r>
      <w:r w:rsidRPr="000B25E0">
        <w:rPr>
          <w:rFonts w:ascii="Calibri" w:eastAsia="宋体" w:hAnsi="Calibri" w:cs="Times New Roman" w:hint="eastAsia"/>
          <w:sz w:val="24"/>
        </w:rPr>
        <w:t>米</w:t>
      </w:r>
      <w:proofErr w:type="gramStart"/>
      <w:r w:rsidRPr="000B25E0">
        <w:rPr>
          <w:rFonts w:ascii="Calibri" w:eastAsia="宋体" w:hAnsi="Calibri" w:cs="Times New Roman" w:hint="eastAsia"/>
          <w:sz w:val="24"/>
        </w:rPr>
        <w:t>直道正</w:t>
      </w:r>
      <w:proofErr w:type="gramEnd"/>
      <w:r w:rsidRPr="000B25E0">
        <w:rPr>
          <w:rFonts w:ascii="Calibri" w:eastAsia="宋体" w:hAnsi="Calibri" w:cs="Times New Roman" w:hint="eastAsia"/>
          <w:sz w:val="24"/>
        </w:rPr>
        <w:t>滑，</w:t>
      </w:r>
      <w:r w:rsidRPr="000B25E0">
        <w:rPr>
          <w:rFonts w:ascii="Calibri" w:eastAsia="宋体" w:hAnsi="Calibri" w:cs="Times New Roman" w:hint="eastAsia"/>
          <w:sz w:val="24"/>
        </w:rPr>
        <w:t>60</w:t>
      </w:r>
      <w:r w:rsidRPr="000B25E0">
        <w:rPr>
          <w:rFonts w:ascii="Calibri" w:eastAsia="宋体" w:hAnsi="Calibri" w:cs="Times New Roman" w:hint="eastAsia"/>
          <w:sz w:val="24"/>
        </w:rPr>
        <w:t>米为及格，</w:t>
      </w:r>
      <w:r w:rsidRPr="000B25E0">
        <w:rPr>
          <w:rFonts w:ascii="Calibri" w:eastAsia="宋体" w:hAnsi="Calibri" w:cs="Times New Roman" w:hint="eastAsia"/>
          <w:sz w:val="24"/>
        </w:rPr>
        <w:t>100</w:t>
      </w:r>
      <w:r w:rsidRPr="000B25E0">
        <w:rPr>
          <w:rFonts w:ascii="Calibri" w:eastAsia="宋体" w:hAnsi="Calibri" w:cs="Times New Roman" w:hint="eastAsia"/>
          <w:sz w:val="24"/>
        </w:rPr>
        <w:t>米为满分，分值</w:t>
      </w:r>
      <w:r w:rsidRPr="000B25E0">
        <w:rPr>
          <w:rFonts w:ascii="Calibri" w:eastAsia="宋体" w:hAnsi="Calibri" w:cs="Times New Roman" w:hint="eastAsia"/>
          <w:sz w:val="24"/>
        </w:rPr>
        <w:t>10</w:t>
      </w:r>
      <w:r w:rsidRPr="000B25E0">
        <w:rPr>
          <w:rFonts w:ascii="Calibri" w:eastAsia="宋体" w:hAnsi="Calibri" w:cs="Times New Roman"/>
          <w:sz w:val="24"/>
        </w:rPr>
        <w:t>0</w:t>
      </w:r>
      <w:r w:rsidRPr="000B25E0">
        <w:rPr>
          <w:rFonts w:ascii="Calibri" w:eastAsia="宋体" w:hAnsi="Calibri" w:cs="Times New Roman" w:hint="eastAsia"/>
          <w:sz w:val="24"/>
        </w:rPr>
        <w:t>分。</w:t>
      </w:r>
    </w:p>
    <w:p w14:paraId="5A697D49"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技术评价：</w:t>
      </w:r>
    </w:p>
    <w:p w14:paraId="1BF836CF"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Calibri" w:eastAsia="宋体" w:hAnsi="Calibri" w:cs="Times New Roman" w:hint="eastAsia"/>
          <w:sz w:val="24"/>
        </w:rPr>
        <w:t>按照相应动作规范要求进行技术评价参看表</w:t>
      </w:r>
      <w:r w:rsidRPr="000B25E0">
        <w:rPr>
          <w:rFonts w:ascii="Calibri" w:eastAsia="宋体" w:hAnsi="Calibri" w:cs="Times New Roman" w:hint="eastAsia"/>
          <w:sz w:val="24"/>
        </w:rPr>
        <w:t>1</w:t>
      </w:r>
      <w:r w:rsidRPr="000B25E0">
        <w:rPr>
          <w:rFonts w:ascii="Calibri" w:eastAsia="宋体" w:hAnsi="Calibri" w:cs="Times New Roman" w:hint="eastAsia"/>
          <w:sz w:val="24"/>
        </w:rPr>
        <w:t>。打分按照百分制进行。</w:t>
      </w:r>
    </w:p>
    <w:p w14:paraId="1C5B5C26" w14:textId="77777777" w:rsidR="000B25E0" w:rsidRPr="000B25E0" w:rsidRDefault="000B25E0" w:rsidP="000B25E0">
      <w:pPr>
        <w:adjustRightInd w:val="0"/>
        <w:snapToGrid w:val="0"/>
        <w:spacing w:line="500" w:lineRule="exact"/>
        <w:ind w:firstLineChars="200" w:firstLine="480"/>
        <w:jc w:val="center"/>
        <w:rPr>
          <w:rFonts w:ascii="Calibri" w:eastAsia="宋体" w:hAnsi="Calibri" w:cs="Times New Roman"/>
          <w:bCs/>
          <w:sz w:val="24"/>
        </w:rPr>
      </w:pPr>
      <w:r w:rsidRPr="000B25E0">
        <w:rPr>
          <w:rFonts w:ascii="Calibri" w:eastAsia="宋体" w:hAnsi="Calibri" w:cs="Times New Roman" w:hint="eastAsia"/>
          <w:bCs/>
          <w:sz w:val="24"/>
        </w:rPr>
        <w:t>表</w:t>
      </w:r>
      <w:r w:rsidRPr="000B25E0">
        <w:rPr>
          <w:rFonts w:ascii="Calibri" w:eastAsia="宋体" w:hAnsi="Calibri" w:cs="Times New Roman" w:hint="eastAsia"/>
          <w:bCs/>
          <w:sz w:val="24"/>
        </w:rPr>
        <w:t>1</w:t>
      </w:r>
      <w:r w:rsidRPr="000B25E0">
        <w:rPr>
          <w:rFonts w:ascii="Calibri" w:eastAsia="宋体" w:hAnsi="Calibri" w:cs="Times New Roman" w:hint="eastAsia"/>
          <w:bCs/>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0B25E0" w:rsidRPr="000B25E0" w14:paraId="4EC8D69D" w14:textId="77777777" w:rsidTr="00BF5EF3">
        <w:trPr>
          <w:trHeight w:val="655"/>
        </w:trPr>
        <w:tc>
          <w:tcPr>
            <w:tcW w:w="2149" w:type="dxa"/>
            <w:tcBorders>
              <w:top w:val="single" w:sz="4" w:space="0" w:color="auto"/>
              <w:left w:val="single" w:sz="4" w:space="0" w:color="auto"/>
              <w:bottom w:val="single" w:sz="4" w:space="0" w:color="auto"/>
              <w:right w:val="single" w:sz="4" w:space="0" w:color="auto"/>
            </w:tcBorders>
          </w:tcPr>
          <w:p w14:paraId="77EAD313"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宋体" w:eastAsia="宋体" w:hAnsi="宋体" w:cs="宋体"/>
                <w:noProof/>
                <w:kern w:val="0"/>
                <w:sz w:val="18"/>
                <w:szCs w:val="18"/>
              </w:rPr>
              <mc:AlternateContent>
                <mc:Choice Requires="wps">
                  <w:drawing>
                    <wp:anchor distT="0" distB="0" distL="114300" distR="114300" simplePos="0" relativeHeight="251694080" behindDoc="0" locked="0" layoutInCell="1" allowOverlap="1" wp14:anchorId="3470E805" wp14:editId="6A81CC4C">
                      <wp:simplePos x="0" y="0"/>
                      <wp:positionH relativeFrom="column">
                        <wp:posOffset>-97790</wp:posOffset>
                      </wp:positionH>
                      <wp:positionV relativeFrom="paragraph">
                        <wp:posOffset>31750</wp:posOffset>
                      </wp:positionV>
                      <wp:extent cx="1432560" cy="638175"/>
                      <wp:effectExtent l="1905" t="4445" r="13335" b="5080"/>
                      <wp:wrapNone/>
                      <wp:docPr id="54" name="直接连接符 54"/>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w14:anchorId="56E1FF96" id="直接连接符 54" o:spid="_x0000_s1026" style="position:absolute;z-index:251694080;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" strokeweight=".5pt"/>
                  </w:pict>
                </mc:Fallback>
              </mc:AlternateContent>
            </w:r>
            <w:r w:rsidRPr="000B25E0">
              <w:rPr>
                <w:rFonts w:ascii="宋体" w:eastAsia="宋体" w:hAnsi="宋体" w:cs="宋体"/>
                <w:kern w:val="0"/>
                <w:sz w:val="18"/>
                <w:szCs w:val="18"/>
              </w:rPr>
              <w:t xml:space="preserve">           </w:t>
            </w:r>
            <w:r w:rsidRPr="000B25E0">
              <w:rPr>
                <w:rFonts w:ascii="Calibri" w:eastAsia="宋体" w:hAnsi="Calibri" w:cs="Times New Roman" w:hint="eastAsia"/>
                <w:sz w:val="24"/>
              </w:rPr>
              <w:t>内</w:t>
            </w:r>
            <w:r w:rsidRPr="000B25E0">
              <w:rPr>
                <w:rFonts w:ascii="Calibri" w:eastAsia="宋体" w:hAnsi="Calibri" w:cs="Times New Roman"/>
                <w:sz w:val="24"/>
              </w:rPr>
              <w:t xml:space="preserve">  </w:t>
            </w:r>
            <w:r w:rsidRPr="000B25E0">
              <w:rPr>
                <w:rFonts w:ascii="Calibri" w:eastAsia="宋体" w:hAnsi="Calibri" w:cs="Times New Roman" w:hint="eastAsia"/>
                <w:sz w:val="24"/>
              </w:rPr>
              <w:t>容</w:t>
            </w:r>
          </w:p>
          <w:p w14:paraId="06B085BA" w14:textId="77777777" w:rsidR="000B25E0" w:rsidRPr="000B25E0" w:rsidRDefault="000B25E0" w:rsidP="000B25E0">
            <w:pPr>
              <w:widowControl/>
              <w:spacing w:line="432" w:lineRule="auto"/>
              <w:rPr>
                <w:rFonts w:ascii="宋体" w:eastAsia="宋体" w:hAnsi="宋体" w:cs="宋体"/>
                <w:kern w:val="0"/>
                <w:sz w:val="18"/>
                <w:szCs w:val="18"/>
              </w:rPr>
            </w:pPr>
            <w:r w:rsidRPr="000B25E0">
              <w:rPr>
                <w:rFonts w:ascii="Calibri" w:eastAsia="宋体" w:hAnsi="Calibri" w:cs="Times New Roman" w:hint="eastAsia"/>
                <w:sz w:val="24"/>
              </w:rPr>
              <w:t>分</w:t>
            </w:r>
            <w:r w:rsidRPr="000B25E0">
              <w:rPr>
                <w:rFonts w:ascii="Calibri" w:eastAsia="宋体" w:hAnsi="Calibri" w:cs="Times New Roman"/>
                <w:sz w:val="24"/>
              </w:rPr>
              <w:t xml:space="preserve">  </w:t>
            </w:r>
            <w:r w:rsidRPr="000B25E0">
              <w:rPr>
                <w:rFonts w:ascii="Calibri" w:eastAsia="宋体" w:hAnsi="Calibri" w:cs="Times New Roman" w:hint="eastAsia"/>
                <w:sz w:val="24"/>
              </w:rPr>
              <w:t>值</w:t>
            </w:r>
            <w:r w:rsidRPr="000B25E0">
              <w:rPr>
                <w:rFonts w:ascii="Calibri" w:eastAsia="宋体" w:hAnsi="Calibri" w:cs="Times New Roman"/>
                <w:sz w:val="24"/>
              </w:rPr>
              <w:t xml:space="preserve"> </w:t>
            </w:r>
            <w:r w:rsidRPr="000B25E0">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3D06F3EE"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hint="eastAsia"/>
                <w:sz w:val="24"/>
              </w:rPr>
              <w:t>滑行姿态</w:t>
            </w:r>
          </w:p>
        </w:tc>
      </w:tr>
      <w:tr w:rsidR="000B25E0" w:rsidRPr="000B25E0" w14:paraId="08E77CFC" w14:textId="77777777" w:rsidTr="00BF5EF3">
        <w:trPr>
          <w:cantSplit/>
        </w:trPr>
        <w:tc>
          <w:tcPr>
            <w:tcW w:w="2149" w:type="dxa"/>
            <w:vMerge w:val="restart"/>
            <w:tcBorders>
              <w:top w:val="single" w:sz="4" w:space="0" w:color="auto"/>
              <w:left w:val="single" w:sz="4" w:space="0" w:color="auto"/>
              <w:right w:val="single" w:sz="4" w:space="0" w:color="auto"/>
            </w:tcBorders>
            <w:vAlign w:val="center"/>
          </w:tcPr>
          <w:p w14:paraId="09DE271F"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9</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10</w:t>
            </w:r>
            <w:r w:rsidRPr="000B25E0">
              <w:rPr>
                <w:rFonts w:ascii="Calibri" w:eastAsia="宋体" w:hAnsi="Calibri" w:cs="Times New Roman" w:hint="eastAsia"/>
                <w:sz w:val="24"/>
              </w:rPr>
              <w:t>0</w:t>
            </w:r>
          </w:p>
          <w:p w14:paraId="2A8F7AD3"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8</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89</w:t>
            </w:r>
          </w:p>
          <w:p w14:paraId="5D67AAB8"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7</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79</w:t>
            </w:r>
          </w:p>
          <w:p w14:paraId="6D0D4C47"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sz w:val="24"/>
              </w:rPr>
              <w:t>6</w:t>
            </w:r>
            <w:r w:rsidRPr="000B25E0">
              <w:rPr>
                <w:rFonts w:ascii="Calibri" w:eastAsia="宋体" w:hAnsi="Calibri" w:cs="Times New Roman" w:hint="eastAsia"/>
                <w:sz w:val="24"/>
              </w:rPr>
              <w:t>0</w:t>
            </w:r>
            <w:r w:rsidRPr="000B25E0">
              <w:rPr>
                <w:rFonts w:ascii="Calibri" w:eastAsia="宋体" w:hAnsi="Calibri" w:cs="Times New Roman" w:hint="eastAsia"/>
                <w:sz w:val="24"/>
              </w:rPr>
              <w:t>—</w:t>
            </w:r>
            <w:r w:rsidRPr="000B25E0">
              <w:rPr>
                <w:rFonts w:ascii="Calibri" w:eastAsia="宋体" w:hAnsi="Calibri" w:cs="Times New Roman"/>
                <w:sz w:val="24"/>
              </w:rPr>
              <w:t>69</w:t>
            </w:r>
          </w:p>
          <w:p w14:paraId="32342E2A"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sz w:val="24"/>
              </w:rPr>
              <w:t>6</w:t>
            </w:r>
            <w:r w:rsidRPr="000B25E0">
              <w:rPr>
                <w:rFonts w:ascii="Calibri" w:eastAsia="宋体" w:hAnsi="Calibri" w:cs="Times New Roman" w:hint="eastAsia"/>
                <w:sz w:val="24"/>
              </w:rPr>
              <w:t>0</w:t>
            </w:r>
            <w:r w:rsidRPr="000B25E0">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16DBCA2A" w14:textId="77777777" w:rsidR="000B25E0" w:rsidRPr="000B25E0" w:rsidRDefault="000B25E0" w:rsidP="000B25E0">
            <w:pPr>
              <w:widowControl/>
              <w:spacing w:line="432" w:lineRule="auto"/>
              <w:jc w:val="center"/>
              <w:rPr>
                <w:rFonts w:ascii="宋体" w:eastAsia="宋体" w:hAnsi="宋体" w:cs="宋体"/>
                <w:kern w:val="0"/>
                <w:sz w:val="18"/>
                <w:szCs w:val="18"/>
              </w:rPr>
            </w:pPr>
            <w:r w:rsidRPr="000B25E0">
              <w:rPr>
                <w:rFonts w:ascii="Calibri" w:eastAsia="宋体" w:hAnsi="Calibri" w:cs="Times New Roman" w:hint="eastAsia"/>
                <w:sz w:val="24"/>
              </w:rPr>
              <w:t>姿势正确，动作优美、协调，速度快</w:t>
            </w:r>
          </w:p>
        </w:tc>
      </w:tr>
      <w:tr w:rsidR="000B25E0" w:rsidRPr="000B25E0" w14:paraId="2C9B1BB7" w14:textId="77777777" w:rsidTr="00BF5EF3">
        <w:trPr>
          <w:cantSplit/>
        </w:trPr>
        <w:tc>
          <w:tcPr>
            <w:tcW w:w="2149" w:type="dxa"/>
            <w:vMerge/>
            <w:tcBorders>
              <w:left w:val="single" w:sz="4" w:space="0" w:color="auto"/>
              <w:right w:val="single" w:sz="4" w:space="0" w:color="auto"/>
            </w:tcBorders>
            <w:vAlign w:val="center"/>
          </w:tcPr>
          <w:p w14:paraId="33B28D37"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63E03D43"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姿势较正确，动作自然，速度较快</w:t>
            </w:r>
          </w:p>
        </w:tc>
      </w:tr>
      <w:tr w:rsidR="000B25E0" w:rsidRPr="000B25E0" w14:paraId="5C3F34D5" w14:textId="77777777" w:rsidTr="00BF5EF3">
        <w:trPr>
          <w:cantSplit/>
        </w:trPr>
        <w:tc>
          <w:tcPr>
            <w:tcW w:w="2149" w:type="dxa"/>
            <w:vMerge/>
            <w:tcBorders>
              <w:left w:val="single" w:sz="4" w:space="0" w:color="auto"/>
              <w:right w:val="single" w:sz="4" w:space="0" w:color="auto"/>
            </w:tcBorders>
            <w:vAlign w:val="center"/>
          </w:tcPr>
          <w:p w14:paraId="5583164B"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0FB1AC8"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姿势一般，动作基本正确，速度适中</w:t>
            </w:r>
          </w:p>
        </w:tc>
      </w:tr>
      <w:tr w:rsidR="000B25E0" w:rsidRPr="000B25E0" w14:paraId="484C4FB4" w14:textId="77777777" w:rsidTr="00BF5EF3">
        <w:trPr>
          <w:cantSplit/>
        </w:trPr>
        <w:tc>
          <w:tcPr>
            <w:tcW w:w="2149" w:type="dxa"/>
            <w:vMerge/>
            <w:tcBorders>
              <w:left w:val="single" w:sz="4" w:space="0" w:color="auto"/>
              <w:right w:val="single" w:sz="4" w:space="0" w:color="auto"/>
            </w:tcBorders>
            <w:vAlign w:val="center"/>
          </w:tcPr>
          <w:p w14:paraId="7FDAC8D6" w14:textId="77777777" w:rsidR="000B25E0" w:rsidRPr="000B25E0" w:rsidRDefault="000B25E0" w:rsidP="000B25E0">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0757A472"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动作不协调，有多余动作，速度较慢</w:t>
            </w:r>
          </w:p>
        </w:tc>
      </w:tr>
      <w:tr w:rsidR="000B25E0" w:rsidRPr="000B25E0" w14:paraId="63B2085D" w14:textId="77777777" w:rsidTr="00BF5EF3">
        <w:trPr>
          <w:cantSplit/>
        </w:trPr>
        <w:tc>
          <w:tcPr>
            <w:tcW w:w="2149" w:type="dxa"/>
            <w:vMerge/>
            <w:tcBorders>
              <w:left w:val="single" w:sz="4" w:space="0" w:color="auto"/>
              <w:bottom w:val="single" w:sz="4" w:space="0" w:color="auto"/>
              <w:right w:val="single" w:sz="4" w:space="0" w:color="auto"/>
            </w:tcBorders>
            <w:vAlign w:val="center"/>
          </w:tcPr>
          <w:p w14:paraId="329A7F43" w14:textId="77777777" w:rsidR="000B25E0" w:rsidRPr="000B25E0" w:rsidRDefault="000B25E0" w:rsidP="000B25E0">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6C110321" w14:textId="77777777" w:rsidR="000B25E0" w:rsidRPr="000B25E0" w:rsidRDefault="000B25E0" w:rsidP="000B25E0">
            <w:pPr>
              <w:widowControl/>
              <w:spacing w:line="432" w:lineRule="auto"/>
              <w:jc w:val="center"/>
              <w:rPr>
                <w:rFonts w:ascii="Calibri" w:eastAsia="宋体" w:hAnsi="Calibri" w:cs="Times New Roman"/>
                <w:sz w:val="24"/>
              </w:rPr>
            </w:pPr>
            <w:r w:rsidRPr="000B25E0">
              <w:rPr>
                <w:rFonts w:ascii="Calibri" w:eastAsia="宋体" w:hAnsi="Calibri" w:cs="Times New Roman" w:hint="eastAsia"/>
                <w:sz w:val="24"/>
              </w:rPr>
              <w:t>动作僵硬，吃力，不协调，速度慢</w:t>
            </w:r>
          </w:p>
        </w:tc>
      </w:tr>
    </w:tbl>
    <w:p w14:paraId="3FF7CFE5" w14:textId="77777777" w:rsidR="000B25E0" w:rsidRPr="000B25E0" w:rsidRDefault="000B25E0" w:rsidP="000B25E0">
      <w:pPr>
        <w:spacing w:line="500" w:lineRule="exact"/>
        <w:ind w:firstLineChars="200" w:firstLine="480"/>
        <w:rPr>
          <w:rFonts w:ascii="Calibri" w:eastAsia="宋体" w:hAnsi="Calibri" w:cs="Times New Roman"/>
          <w:sz w:val="24"/>
        </w:rPr>
      </w:pPr>
      <w:r w:rsidRPr="000B25E0">
        <w:rPr>
          <w:rFonts w:ascii="Calibri" w:eastAsia="宋体" w:hAnsi="Calibri" w:cs="Times New Roman"/>
          <w:bCs/>
          <w:sz w:val="24"/>
        </w:rPr>
        <w:t>本部</w:t>
      </w:r>
      <w:proofErr w:type="gramStart"/>
      <w:r w:rsidRPr="000B25E0">
        <w:rPr>
          <w:rFonts w:ascii="Calibri" w:eastAsia="宋体" w:hAnsi="Calibri" w:cs="Times New Roman"/>
          <w:bCs/>
          <w:sz w:val="24"/>
        </w:rPr>
        <w:t>分教学</w:t>
      </w:r>
      <w:proofErr w:type="gramEnd"/>
      <w:r w:rsidRPr="000B25E0">
        <w:rPr>
          <w:rFonts w:ascii="Calibri" w:eastAsia="宋体" w:hAnsi="Calibri" w:cs="Times New Roman"/>
          <w:bCs/>
          <w:sz w:val="24"/>
        </w:rPr>
        <w:t>目的及要求</w:t>
      </w:r>
      <w:r w:rsidRPr="000B25E0">
        <w:rPr>
          <w:rFonts w:ascii="Calibri" w:eastAsia="宋体" w:hAnsi="Calibri" w:cs="Times New Roman" w:hint="eastAsia"/>
          <w:bCs/>
          <w:sz w:val="24"/>
        </w:rPr>
        <w:t>：</w:t>
      </w:r>
      <w:r w:rsidRPr="000B25E0">
        <w:rPr>
          <w:rFonts w:ascii="Calibri" w:eastAsia="宋体" w:hAnsi="Calibri" w:cs="Times New Roman" w:hint="eastAsia"/>
          <w:sz w:val="24"/>
        </w:rPr>
        <w:t>考核检验教学效果与对学生的学习效果评价</w:t>
      </w:r>
    </w:p>
    <w:p w14:paraId="20EF648D" w14:textId="77777777" w:rsidR="000B25E0" w:rsidRPr="000B25E0" w:rsidRDefault="000B25E0" w:rsidP="000B25E0">
      <w:pPr>
        <w:spacing w:line="500" w:lineRule="exact"/>
        <w:ind w:firstLineChars="200" w:firstLine="480"/>
        <w:rPr>
          <w:rFonts w:ascii="Calibri" w:eastAsia="宋体" w:hAnsi="Calibri" w:cs="Times New Roman"/>
          <w:sz w:val="24"/>
        </w:rPr>
      </w:pPr>
      <w:r w:rsidRPr="000B25E0">
        <w:rPr>
          <w:rFonts w:ascii="Calibri" w:eastAsia="宋体" w:hAnsi="Calibri" w:cs="Times New Roman"/>
          <w:bCs/>
          <w:sz w:val="24"/>
        </w:rPr>
        <w:t>本部</w:t>
      </w:r>
      <w:proofErr w:type="gramStart"/>
      <w:r w:rsidRPr="000B25E0">
        <w:rPr>
          <w:rFonts w:ascii="Calibri" w:eastAsia="宋体" w:hAnsi="Calibri" w:cs="Times New Roman"/>
          <w:bCs/>
          <w:sz w:val="24"/>
        </w:rPr>
        <w:t>分教学</w:t>
      </w:r>
      <w:proofErr w:type="gramEnd"/>
      <w:r w:rsidRPr="000B25E0">
        <w:rPr>
          <w:rFonts w:ascii="Calibri" w:eastAsia="宋体" w:hAnsi="Calibri" w:cs="Times New Roman"/>
          <w:bCs/>
          <w:sz w:val="24"/>
        </w:rPr>
        <w:t>重点及难点：</w:t>
      </w:r>
      <w:r w:rsidRPr="000B25E0">
        <w:rPr>
          <w:rFonts w:ascii="Calibri" w:eastAsia="宋体" w:hAnsi="Calibri" w:cs="Times New Roman" w:hint="eastAsia"/>
          <w:sz w:val="24"/>
        </w:rPr>
        <w:t>轮滑测试（公正、公平、公开）</w:t>
      </w:r>
    </w:p>
    <w:p w14:paraId="1AF13F54"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六、使用教材、相关推荐书目及课程资源</w:t>
      </w:r>
    </w:p>
    <w:p w14:paraId="341745A5" w14:textId="77777777" w:rsidR="000B25E0" w:rsidRPr="000B25E0" w:rsidRDefault="000B25E0" w:rsidP="000B25E0">
      <w:pPr>
        <w:spacing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（一）使用教材</w:t>
      </w:r>
    </w:p>
    <w:p w14:paraId="7BD79365" w14:textId="77777777" w:rsidR="000B25E0" w:rsidRPr="000B25E0" w:rsidRDefault="000B25E0" w:rsidP="000B25E0">
      <w:pPr>
        <w:autoSpaceDE w:val="0"/>
        <w:autoSpaceDN w:val="0"/>
        <w:adjustRightInd w:val="0"/>
        <w:snapToGrid w:val="0"/>
        <w:spacing w:line="500" w:lineRule="exact"/>
        <w:ind w:firstLineChars="300" w:firstLine="720"/>
        <w:rPr>
          <w:rFonts w:ascii="宋体" w:eastAsia="宋体" w:hAnsi="宋体" w:cs="Times New Roman"/>
          <w:color w:val="FF0000"/>
          <w:sz w:val="24"/>
        </w:rPr>
      </w:pPr>
      <w:r w:rsidRPr="000B25E0">
        <w:rPr>
          <w:rFonts w:ascii="宋体" w:eastAsia="宋体" w:hAnsi="宋体" w:cs="宋体" w:hint="eastAsia"/>
          <w:kern w:val="0"/>
          <w:sz w:val="24"/>
        </w:rPr>
        <w:t>任晋军主编：《当代大学体育教程》，北京体育大学出版社，2008</w:t>
      </w:r>
    </w:p>
    <w:p w14:paraId="183E7C56" w14:textId="77777777" w:rsidR="000B25E0" w:rsidRPr="000B25E0" w:rsidRDefault="000B25E0" w:rsidP="000B25E0">
      <w:pPr>
        <w:spacing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（二）相关推荐书目</w:t>
      </w:r>
    </w:p>
    <w:p w14:paraId="30349F6C"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w:t>
      </w:r>
      <w:r w:rsidRPr="000B25E0">
        <w:rPr>
          <w:rFonts w:ascii="宋体" w:eastAsia="宋体" w:hAnsi="宋体" w:cs="Times New Roman"/>
          <w:sz w:val="24"/>
        </w:rPr>
        <w:t xml:space="preserve">. </w:t>
      </w:r>
      <w:r w:rsidRPr="000B25E0">
        <w:rPr>
          <w:rFonts w:ascii="宋体" w:eastAsia="宋体" w:hAnsi="宋体" w:cs="宋体" w:hint="eastAsia"/>
          <w:kern w:val="0"/>
          <w:sz w:val="24"/>
        </w:rPr>
        <w:t>刘建国主编：《当代大学体育与健身》，高教出版社，2008</w:t>
      </w:r>
    </w:p>
    <w:p w14:paraId="6DD4C434" w14:textId="77777777" w:rsidR="000B25E0" w:rsidRPr="000B25E0" w:rsidRDefault="000B25E0" w:rsidP="000B25E0">
      <w:pPr>
        <w:autoSpaceDE w:val="0"/>
        <w:autoSpaceDN w:val="0"/>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w:t>
      </w:r>
      <w:r w:rsidRPr="000B25E0">
        <w:rPr>
          <w:rFonts w:ascii="宋体" w:eastAsia="宋体" w:hAnsi="宋体" w:cs="Times New Roman"/>
          <w:sz w:val="24"/>
        </w:rPr>
        <w:t xml:space="preserve">. </w:t>
      </w:r>
      <w:r w:rsidRPr="000B25E0">
        <w:rPr>
          <w:rFonts w:ascii="宋体" w:eastAsia="宋体" w:hAnsi="宋体" w:cs="宋体" w:hint="eastAsia"/>
          <w:kern w:val="0"/>
          <w:sz w:val="24"/>
        </w:rPr>
        <w:t>全国体育学院教材委员会审定：《体育与健康理论指导手册》，人民体育出版社，2014</w:t>
      </w:r>
    </w:p>
    <w:p w14:paraId="1677F428"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（三）课程资源</w:t>
      </w:r>
    </w:p>
    <w:p w14:paraId="12DE605A" w14:textId="77777777" w:rsidR="000B25E0" w:rsidRPr="000B25E0" w:rsidRDefault="000B25E0" w:rsidP="000B25E0">
      <w:pPr>
        <w:spacing w:line="44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78230A8C" w14:textId="77777777" w:rsidR="000B25E0" w:rsidRPr="000B25E0" w:rsidRDefault="000B25E0" w:rsidP="000B25E0">
      <w:pPr>
        <w:spacing w:line="440" w:lineRule="exact"/>
        <w:ind w:firstLineChars="200" w:firstLine="500"/>
        <w:rPr>
          <w:rFonts w:ascii="宋体" w:eastAsia="宋体" w:hAnsi="Calibri" w:cs="宋体"/>
          <w:spacing w:val="5"/>
          <w:kern w:val="0"/>
          <w:sz w:val="24"/>
        </w:rPr>
      </w:pPr>
    </w:p>
    <w:p w14:paraId="7358A35A"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七、课程大纲制定依据</w:t>
      </w:r>
    </w:p>
    <w:p w14:paraId="2A7FB5B3"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本课程大纲依据2023年人才培养方案</w:t>
      </w:r>
      <w:r w:rsidR="002E4147">
        <w:rPr>
          <w:rFonts w:ascii="宋体" w:eastAsia="宋体" w:hAnsi="宋体" w:cs="Times New Roman" w:hint="eastAsia"/>
          <w:sz w:val="24"/>
        </w:rPr>
        <w:t>药物分析专业</w:t>
      </w:r>
      <w:r w:rsidRPr="000B25E0">
        <w:rPr>
          <w:rFonts w:ascii="宋体" w:eastAsia="宋体" w:hAnsi="宋体" w:cs="Times New Roman" w:hint="eastAsia"/>
          <w:sz w:val="24"/>
        </w:rPr>
        <w:t>制定。</w:t>
      </w:r>
    </w:p>
    <w:p w14:paraId="006A4D34"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p>
    <w:p w14:paraId="092067B6" w14:textId="77777777" w:rsidR="000B25E0" w:rsidRPr="000B25E0" w:rsidRDefault="000B25E0" w:rsidP="000B25E0">
      <w:pPr>
        <w:spacing w:line="440" w:lineRule="exact"/>
        <w:ind w:firstLineChars="200" w:firstLine="560"/>
        <w:jc w:val="center"/>
        <w:rPr>
          <w:rFonts w:ascii="黑体" w:eastAsia="黑体" w:hAnsi="黑体" w:cs="Times New Roman"/>
          <w:sz w:val="28"/>
          <w:szCs w:val="28"/>
        </w:rPr>
      </w:pPr>
    </w:p>
    <w:p w14:paraId="3B375DDA" w14:textId="77777777" w:rsidR="000B25E0" w:rsidRPr="000B25E0" w:rsidRDefault="000B25E0" w:rsidP="000B25E0">
      <w:pPr>
        <w:spacing w:line="440" w:lineRule="exact"/>
        <w:ind w:firstLineChars="200" w:firstLine="560"/>
        <w:jc w:val="center"/>
        <w:rPr>
          <w:rFonts w:ascii="黑体" w:eastAsia="黑体" w:hAnsi="黑体" w:cs="Times New Roman"/>
          <w:sz w:val="28"/>
          <w:szCs w:val="28"/>
        </w:rPr>
      </w:pPr>
    </w:p>
    <w:p w14:paraId="56184408" w14:textId="77777777" w:rsidR="000B25E0" w:rsidRPr="000B25E0" w:rsidRDefault="000B25E0" w:rsidP="000B25E0">
      <w:pPr>
        <w:spacing w:line="440" w:lineRule="exact"/>
        <w:ind w:firstLineChars="200" w:firstLine="560"/>
        <w:jc w:val="center"/>
        <w:rPr>
          <w:rFonts w:ascii="黑体" w:eastAsia="黑体" w:hAnsi="黑体" w:cs="Times New Roman"/>
          <w:sz w:val="28"/>
          <w:szCs w:val="28"/>
        </w:rPr>
      </w:pPr>
    </w:p>
    <w:p w14:paraId="2DCEBFBA" w14:textId="77777777" w:rsidR="00895319" w:rsidRDefault="00895319">
      <w:pPr>
        <w:widowControl/>
        <w:jc w:val="left"/>
        <w:rPr>
          <w:rFonts w:ascii="黑体" w:eastAsia="黑体" w:hAnsi="黑体" w:cs="Times New Roman"/>
          <w:sz w:val="28"/>
          <w:szCs w:val="28"/>
        </w:rPr>
      </w:pPr>
      <w:r>
        <w:rPr>
          <w:rFonts w:ascii="黑体" w:eastAsia="黑体" w:hAnsi="黑体" w:cs="Times New Roman"/>
          <w:sz w:val="28"/>
          <w:szCs w:val="28"/>
        </w:rPr>
        <w:br w:type="page"/>
      </w:r>
    </w:p>
    <w:p w14:paraId="02061F08" w14:textId="3EFA9263" w:rsidR="000B25E0" w:rsidRPr="000B25E0" w:rsidRDefault="000B25E0" w:rsidP="000B25E0">
      <w:pPr>
        <w:spacing w:beforeLines="100" w:before="312" w:afterLines="100" w:after="312" w:line="440" w:lineRule="exact"/>
        <w:jc w:val="center"/>
        <w:rPr>
          <w:rFonts w:ascii="黑体" w:eastAsia="黑体" w:hAnsi="黑体" w:cs="Times New Roman"/>
          <w:bCs/>
          <w:sz w:val="36"/>
          <w:szCs w:val="36"/>
        </w:rPr>
      </w:pPr>
      <w:r w:rsidRPr="000B25E0">
        <w:rPr>
          <w:rFonts w:ascii="黑体" w:eastAsia="黑体" w:hAnsi="黑体" w:cs="Times New Roman" w:hint="eastAsia"/>
          <w:bCs/>
          <w:sz w:val="36"/>
          <w:szCs w:val="36"/>
        </w:rPr>
        <w:lastRenderedPageBreak/>
        <w:t>《羽毛球》课程大纲</w:t>
      </w:r>
    </w:p>
    <w:p w14:paraId="3FE12470"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0B25E0" w:rsidRPr="000B25E0" w14:paraId="27F62B28" w14:textId="77777777" w:rsidTr="00BF5EF3">
        <w:trPr>
          <w:trHeight w:val="886"/>
          <w:jc w:val="center"/>
        </w:trPr>
        <w:tc>
          <w:tcPr>
            <w:tcW w:w="1581" w:type="dxa"/>
            <w:vAlign w:val="center"/>
          </w:tcPr>
          <w:p w14:paraId="3B3FAED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课程名称</w:t>
            </w:r>
          </w:p>
        </w:tc>
        <w:tc>
          <w:tcPr>
            <w:tcW w:w="2662" w:type="dxa"/>
            <w:vAlign w:val="center"/>
          </w:tcPr>
          <w:p w14:paraId="15222F0B"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羽毛球</w:t>
            </w:r>
          </w:p>
        </w:tc>
        <w:tc>
          <w:tcPr>
            <w:tcW w:w="1482" w:type="dxa"/>
            <w:vAlign w:val="center"/>
          </w:tcPr>
          <w:p w14:paraId="5B73656D"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课程代码</w:t>
            </w:r>
          </w:p>
        </w:tc>
        <w:tc>
          <w:tcPr>
            <w:tcW w:w="2797" w:type="dxa"/>
            <w:vAlign w:val="center"/>
          </w:tcPr>
          <w:p w14:paraId="7506FBC8"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091050</w:t>
            </w:r>
          </w:p>
        </w:tc>
      </w:tr>
      <w:tr w:rsidR="000B25E0" w:rsidRPr="000B25E0" w14:paraId="76C96052" w14:textId="77777777" w:rsidTr="00BF5EF3">
        <w:trPr>
          <w:trHeight w:val="829"/>
          <w:jc w:val="center"/>
        </w:trPr>
        <w:tc>
          <w:tcPr>
            <w:tcW w:w="1581" w:type="dxa"/>
            <w:vAlign w:val="center"/>
          </w:tcPr>
          <w:p w14:paraId="29E26EFB"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课程类别</w:t>
            </w:r>
          </w:p>
        </w:tc>
        <w:tc>
          <w:tcPr>
            <w:tcW w:w="2662" w:type="dxa"/>
            <w:vAlign w:val="center"/>
          </w:tcPr>
          <w:p w14:paraId="6EC857AA"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公共必修课程</w:t>
            </w:r>
          </w:p>
        </w:tc>
        <w:tc>
          <w:tcPr>
            <w:tcW w:w="1482" w:type="dxa"/>
            <w:vAlign w:val="center"/>
          </w:tcPr>
          <w:p w14:paraId="16D815B6"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学时</w:t>
            </w:r>
          </w:p>
          <w:p w14:paraId="7AC5B1D1"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/学分</w:t>
            </w:r>
          </w:p>
        </w:tc>
        <w:tc>
          <w:tcPr>
            <w:tcW w:w="2797" w:type="dxa"/>
            <w:vAlign w:val="center"/>
          </w:tcPr>
          <w:p w14:paraId="0D43A2CE"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144/4</w:t>
            </w:r>
          </w:p>
        </w:tc>
      </w:tr>
      <w:tr w:rsidR="000B25E0" w:rsidRPr="000B25E0" w14:paraId="766ECA84" w14:textId="77777777" w:rsidTr="00BF5EF3">
        <w:trPr>
          <w:trHeight w:val="811"/>
          <w:jc w:val="center"/>
        </w:trPr>
        <w:tc>
          <w:tcPr>
            <w:tcW w:w="1581" w:type="dxa"/>
            <w:vAlign w:val="center"/>
          </w:tcPr>
          <w:p w14:paraId="26811F6E"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开课单位</w:t>
            </w:r>
          </w:p>
        </w:tc>
        <w:tc>
          <w:tcPr>
            <w:tcW w:w="2662" w:type="dxa"/>
            <w:vAlign w:val="center"/>
          </w:tcPr>
          <w:p w14:paraId="429F7955"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sz w:val="24"/>
              </w:rPr>
              <w:t>石家庄学院体育学院</w:t>
            </w:r>
          </w:p>
        </w:tc>
        <w:tc>
          <w:tcPr>
            <w:tcW w:w="1482" w:type="dxa"/>
            <w:vAlign w:val="center"/>
          </w:tcPr>
          <w:p w14:paraId="7AFE7875"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适用专业</w:t>
            </w:r>
          </w:p>
        </w:tc>
        <w:tc>
          <w:tcPr>
            <w:tcW w:w="2797" w:type="dxa"/>
            <w:vAlign w:val="center"/>
          </w:tcPr>
          <w:p w14:paraId="0F6024C1" w14:textId="77777777" w:rsidR="000B25E0" w:rsidRPr="000B25E0" w:rsidRDefault="006D6C0A" w:rsidP="000B25E0">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0B25E0" w:rsidRPr="000B25E0" w14:paraId="2D519399" w14:textId="77777777" w:rsidTr="00BF5EF3">
        <w:trPr>
          <w:trHeight w:val="811"/>
          <w:jc w:val="center"/>
        </w:trPr>
        <w:tc>
          <w:tcPr>
            <w:tcW w:w="1581" w:type="dxa"/>
            <w:vAlign w:val="center"/>
          </w:tcPr>
          <w:p w14:paraId="135C11F5"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课程负责人</w:t>
            </w:r>
          </w:p>
        </w:tc>
        <w:tc>
          <w:tcPr>
            <w:tcW w:w="6941" w:type="dxa"/>
            <w:gridSpan w:val="3"/>
            <w:vAlign w:val="center"/>
          </w:tcPr>
          <w:p w14:paraId="4E299BFA"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潘乐、孙皓、王东生</w:t>
            </w:r>
          </w:p>
        </w:tc>
      </w:tr>
      <w:tr w:rsidR="000B25E0" w:rsidRPr="000B25E0" w14:paraId="28BACCAD" w14:textId="77777777" w:rsidTr="00BF5EF3">
        <w:trPr>
          <w:trHeight w:val="836"/>
          <w:jc w:val="center"/>
        </w:trPr>
        <w:tc>
          <w:tcPr>
            <w:tcW w:w="1581" w:type="dxa"/>
            <w:vAlign w:val="center"/>
          </w:tcPr>
          <w:p w14:paraId="2D981CE4"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大纲撰写人</w:t>
            </w:r>
          </w:p>
        </w:tc>
        <w:tc>
          <w:tcPr>
            <w:tcW w:w="2662" w:type="dxa"/>
            <w:vAlign w:val="center"/>
          </w:tcPr>
          <w:p w14:paraId="3F99152B"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潘乐</w:t>
            </w:r>
          </w:p>
        </w:tc>
        <w:tc>
          <w:tcPr>
            <w:tcW w:w="1482" w:type="dxa"/>
            <w:vAlign w:val="center"/>
          </w:tcPr>
          <w:p w14:paraId="6ECDF141"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大纲审核人</w:t>
            </w:r>
          </w:p>
        </w:tc>
        <w:tc>
          <w:tcPr>
            <w:tcW w:w="2797" w:type="dxa"/>
            <w:vAlign w:val="center"/>
          </w:tcPr>
          <w:p w14:paraId="6DAD3442" w14:textId="77777777" w:rsidR="000B25E0" w:rsidRPr="000B25E0" w:rsidRDefault="000B25E0" w:rsidP="000B25E0">
            <w:pPr>
              <w:spacing w:line="440" w:lineRule="exact"/>
              <w:jc w:val="center"/>
              <w:rPr>
                <w:rFonts w:ascii="宋体" w:eastAsia="宋体" w:hAnsi="宋体" w:cs="Times New Roman"/>
                <w:sz w:val="24"/>
              </w:rPr>
            </w:pPr>
            <w:proofErr w:type="gramStart"/>
            <w:r w:rsidRPr="000B25E0">
              <w:rPr>
                <w:rFonts w:ascii="宋体" w:eastAsia="宋体" w:hAnsi="宋体" w:cs="Times New Roman" w:hint="eastAsia"/>
                <w:sz w:val="24"/>
              </w:rPr>
              <w:t>左健</w:t>
            </w:r>
            <w:proofErr w:type="gramEnd"/>
          </w:p>
        </w:tc>
      </w:tr>
      <w:tr w:rsidR="000B25E0" w:rsidRPr="000B25E0" w14:paraId="684A4A8E" w14:textId="77777777" w:rsidTr="00BF5EF3">
        <w:trPr>
          <w:trHeight w:val="848"/>
          <w:jc w:val="center"/>
        </w:trPr>
        <w:tc>
          <w:tcPr>
            <w:tcW w:w="1581" w:type="dxa"/>
            <w:vAlign w:val="center"/>
          </w:tcPr>
          <w:p w14:paraId="214AD6B3"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先修课程</w:t>
            </w:r>
          </w:p>
        </w:tc>
        <w:tc>
          <w:tcPr>
            <w:tcW w:w="6941" w:type="dxa"/>
            <w:gridSpan w:val="3"/>
            <w:vAlign w:val="center"/>
          </w:tcPr>
          <w:p w14:paraId="4F1B604D" w14:textId="77777777" w:rsidR="000B25E0" w:rsidRPr="000B25E0" w:rsidRDefault="000B25E0" w:rsidP="000B25E0">
            <w:pPr>
              <w:spacing w:line="440" w:lineRule="exact"/>
              <w:jc w:val="center"/>
              <w:rPr>
                <w:rFonts w:ascii="宋体" w:eastAsia="宋体" w:hAnsi="宋体" w:cs="Times New Roman"/>
                <w:sz w:val="24"/>
              </w:rPr>
            </w:pPr>
          </w:p>
        </w:tc>
      </w:tr>
      <w:tr w:rsidR="000B25E0" w:rsidRPr="000B25E0" w14:paraId="31DF40EA" w14:textId="77777777" w:rsidTr="00BF5EF3">
        <w:trPr>
          <w:trHeight w:val="848"/>
          <w:jc w:val="center"/>
        </w:trPr>
        <w:tc>
          <w:tcPr>
            <w:tcW w:w="1581" w:type="dxa"/>
            <w:vAlign w:val="center"/>
          </w:tcPr>
          <w:p w14:paraId="051B0899"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课程网址</w:t>
            </w:r>
          </w:p>
        </w:tc>
        <w:tc>
          <w:tcPr>
            <w:tcW w:w="6941" w:type="dxa"/>
            <w:gridSpan w:val="3"/>
            <w:vAlign w:val="center"/>
          </w:tcPr>
          <w:p w14:paraId="79259558" w14:textId="77777777" w:rsidR="000B25E0" w:rsidRPr="000B25E0" w:rsidRDefault="000B25E0" w:rsidP="000B25E0">
            <w:pPr>
              <w:spacing w:line="440" w:lineRule="exact"/>
              <w:rPr>
                <w:rFonts w:ascii="宋体" w:eastAsia="宋体" w:hAnsi="宋体" w:cs="Times New Roman"/>
                <w:color w:val="FF0000"/>
                <w:sz w:val="24"/>
              </w:rPr>
            </w:pPr>
          </w:p>
        </w:tc>
      </w:tr>
    </w:tbl>
    <w:p w14:paraId="5CCA12DE"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二、课程学习目标及与毕业要求的对应关系</w:t>
      </w:r>
    </w:p>
    <w:p w14:paraId="4F42C1E3"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（一）课程学习目标</w:t>
      </w:r>
    </w:p>
    <w:p w14:paraId="4F15093D"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通过本课程的学习，使学生达到以下目标：</w:t>
      </w:r>
    </w:p>
    <w:p w14:paraId="751058F3" w14:textId="77777777" w:rsidR="000B25E0" w:rsidRPr="000B25E0" w:rsidRDefault="000B25E0" w:rsidP="00B41A22">
      <w:pPr>
        <w:numPr>
          <w:ilvl w:val="0"/>
          <w:numId w:val="37"/>
        </w:numPr>
        <w:adjustRightInd w:val="0"/>
        <w:snapToGrid w:val="0"/>
        <w:spacing w:line="360" w:lineRule="exact"/>
        <w:ind w:firstLineChars="200" w:firstLine="480"/>
        <w:rPr>
          <w:rFonts w:ascii="宋体" w:eastAsia="宋体" w:hAnsi="宋体" w:cs="宋体"/>
          <w:sz w:val="24"/>
        </w:rPr>
      </w:pPr>
      <w:r w:rsidRPr="000B25E0">
        <w:rPr>
          <w:rFonts w:ascii="宋体" w:eastAsia="宋体" w:hAnsi="宋体" w:cs="仿宋_GB2312" w:hint="eastAsia"/>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0F3162C8" w14:textId="77777777" w:rsidR="000B25E0" w:rsidRPr="000B25E0" w:rsidRDefault="000B25E0" w:rsidP="00B41A22">
      <w:pPr>
        <w:numPr>
          <w:ilvl w:val="0"/>
          <w:numId w:val="37"/>
        </w:numPr>
        <w:adjustRightInd w:val="0"/>
        <w:snapToGrid w:val="0"/>
        <w:spacing w:line="360" w:lineRule="exact"/>
        <w:ind w:firstLineChars="200" w:firstLine="480"/>
        <w:rPr>
          <w:rFonts w:ascii="宋体" w:eastAsia="宋体" w:hAnsi="宋体" w:cs="仿宋_GB2312"/>
          <w:sz w:val="24"/>
        </w:rPr>
      </w:pP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74A759E9" w14:textId="77777777" w:rsidR="000B25E0" w:rsidRPr="000B25E0" w:rsidRDefault="000B25E0" w:rsidP="00B41A22">
      <w:pPr>
        <w:numPr>
          <w:ilvl w:val="0"/>
          <w:numId w:val="37"/>
        </w:numPr>
        <w:adjustRightInd w:val="0"/>
        <w:snapToGrid w:val="0"/>
        <w:spacing w:line="360" w:lineRule="exact"/>
        <w:ind w:firstLineChars="200" w:firstLine="480"/>
        <w:rPr>
          <w:rFonts w:ascii="黑体" w:eastAsia="黑体" w:hAnsi="黑体" w:cs="Times New Roman"/>
          <w:sz w:val="28"/>
          <w:szCs w:val="28"/>
        </w:rPr>
      </w:pP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使学生学习和掌握体育与健康的基础知识、技能与方法。使学生了解体育与健康的目的和任务，掌握体育基础知识、卫生保健知识和自我保护知识。以运动和身</w:t>
      </w:r>
      <w:r w:rsidRPr="000B25E0">
        <w:rPr>
          <w:rFonts w:ascii="宋体" w:eastAsia="宋体" w:hAnsi="宋体" w:cs="仿宋_GB2312" w:hint="eastAsia"/>
          <w:sz w:val="24"/>
        </w:rPr>
        <w:lastRenderedPageBreak/>
        <w:t>体练习为基本手段，对大学生机体进行科学的培育，在提高人的生物潜能、心理潜能的过程中促进德、智、体、美全面发展，达到身心健康、全面发展的教育总目的。【毕业要求8/12 终身学习】</w:t>
      </w:r>
    </w:p>
    <w:p w14:paraId="533135E1"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0B25E0" w:rsidRPr="000B25E0" w14:paraId="30E27A30" w14:textId="77777777" w:rsidTr="00BF5EF3">
        <w:trPr>
          <w:trHeight w:val="815"/>
          <w:jc w:val="center"/>
        </w:trPr>
        <w:tc>
          <w:tcPr>
            <w:tcW w:w="1708" w:type="dxa"/>
            <w:vAlign w:val="center"/>
          </w:tcPr>
          <w:p w14:paraId="21ECEADB"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毕业要求</w:t>
            </w:r>
          </w:p>
        </w:tc>
        <w:tc>
          <w:tcPr>
            <w:tcW w:w="5954" w:type="dxa"/>
            <w:vAlign w:val="center"/>
          </w:tcPr>
          <w:p w14:paraId="18FA9F8A"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毕业要求指标点</w:t>
            </w:r>
          </w:p>
        </w:tc>
        <w:tc>
          <w:tcPr>
            <w:tcW w:w="1507" w:type="dxa"/>
            <w:vAlign w:val="center"/>
          </w:tcPr>
          <w:p w14:paraId="61C72BA6"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课程目标</w:t>
            </w:r>
          </w:p>
        </w:tc>
      </w:tr>
      <w:tr w:rsidR="000B25E0" w:rsidRPr="000B25E0" w14:paraId="33EC7162" w14:textId="77777777" w:rsidTr="00BF5EF3">
        <w:trPr>
          <w:jc w:val="center"/>
        </w:trPr>
        <w:tc>
          <w:tcPr>
            <w:tcW w:w="1708" w:type="dxa"/>
            <w:vAlign w:val="center"/>
          </w:tcPr>
          <w:p w14:paraId="7B765914"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职业规范</w:t>
            </w:r>
            <w:r w:rsidRPr="000B25E0">
              <w:rPr>
                <w:rFonts w:ascii="宋体" w:eastAsia="宋体" w:hAnsi="宋体" w:cs="Times New Roman"/>
                <w:sz w:val="24"/>
              </w:rPr>
              <w:t>（</w:t>
            </w:r>
            <w:r w:rsidRPr="000B25E0">
              <w:rPr>
                <w:rFonts w:ascii="宋体" w:eastAsia="宋体" w:hAnsi="宋体" w:cs="Times New Roman" w:hint="eastAsia"/>
                <w:sz w:val="24"/>
              </w:rPr>
              <w:t>M</w:t>
            </w:r>
            <w:r w:rsidRPr="000B25E0">
              <w:rPr>
                <w:rFonts w:ascii="宋体" w:eastAsia="宋体" w:hAnsi="宋体" w:cs="Times New Roman"/>
                <w:sz w:val="24"/>
              </w:rPr>
              <w:t>）</w:t>
            </w:r>
          </w:p>
        </w:tc>
        <w:tc>
          <w:tcPr>
            <w:tcW w:w="5954" w:type="dxa"/>
            <w:vAlign w:val="center"/>
          </w:tcPr>
          <w:p w14:paraId="064445B6" w14:textId="77777777" w:rsidR="000B25E0" w:rsidRPr="000B25E0" w:rsidRDefault="000B25E0" w:rsidP="000B25E0">
            <w:pPr>
              <w:spacing w:line="440" w:lineRule="exact"/>
              <w:rPr>
                <w:rFonts w:ascii="宋体" w:eastAsia="宋体" w:hAnsi="宋体" w:cs="Times New Roman"/>
                <w:sz w:val="24"/>
              </w:rPr>
            </w:pPr>
          </w:p>
          <w:p w14:paraId="04330AE6" w14:textId="77777777" w:rsidR="000B25E0" w:rsidRPr="000B25E0" w:rsidRDefault="000B25E0" w:rsidP="000B25E0">
            <w:pPr>
              <w:spacing w:line="440" w:lineRule="exact"/>
              <w:rPr>
                <w:rFonts w:ascii="宋体" w:eastAsia="宋体" w:hAnsi="宋体" w:cs="Times New Roman"/>
                <w:sz w:val="24"/>
              </w:rPr>
            </w:pPr>
          </w:p>
          <w:p w14:paraId="3535BA60" w14:textId="77777777" w:rsidR="000B25E0" w:rsidRPr="000B25E0" w:rsidRDefault="000B25E0" w:rsidP="000B25E0">
            <w:pPr>
              <w:spacing w:line="440" w:lineRule="exact"/>
              <w:rPr>
                <w:rFonts w:ascii="宋体" w:eastAsia="宋体" w:hAnsi="宋体" w:cs="Times New Roman"/>
                <w:sz w:val="24"/>
              </w:rPr>
            </w:pPr>
          </w:p>
        </w:tc>
        <w:tc>
          <w:tcPr>
            <w:tcW w:w="1507" w:type="dxa"/>
            <w:vAlign w:val="center"/>
          </w:tcPr>
          <w:p w14:paraId="693BBDC7" w14:textId="77777777" w:rsidR="000B25E0" w:rsidRPr="000B25E0" w:rsidRDefault="000B25E0" w:rsidP="000B25E0">
            <w:pPr>
              <w:spacing w:line="440" w:lineRule="exact"/>
              <w:ind w:firstLineChars="50" w:firstLine="120"/>
              <w:rPr>
                <w:rFonts w:ascii="宋体" w:eastAsia="宋体" w:hAnsi="宋体" w:cs="Times New Roman"/>
                <w:sz w:val="24"/>
              </w:rPr>
            </w:pPr>
            <w:r w:rsidRPr="000B25E0">
              <w:rPr>
                <w:rFonts w:ascii="宋体" w:eastAsia="宋体" w:hAnsi="宋体" w:cs="Times New Roman" w:hint="eastAsia"/>
                <w:sz w:val="24"/>
              </w:rPr>
              <w:t>课程目标1</w:t>
            </w:r>
          </w:p>
        </w:tc>
      </w:tr>
      <w:tr w:rsidR="000B25E0" w:rsidRPr="000B25E0" w14:paraId="574BF2CC" w14:textId="77777777" w:rsidTr="00BF5EF3">
        <w:trPr>
          <w:jc w:val="center"/>
        </w:trPr>
        <w:tc>
          <w:tcPr>
            <w:tcW w:w="1708" w:type="dxa"/>
            <w:vAlign w:val="center"/>
          </w:tcPr>
          <w:p w14:paraId="10C67A45"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沟通</w:t>
            </w:r>
            <w:r w:rsidRPr="000B25E0">
              <w:rPr>
                <w:rFonts w:ascii="宋体" w:eastAsia="宋体" w:hAnsi="宋体" w:cs="Times New Roman"/>
                <w:sz w:val="24"/>
              </w:rPr>
              <w:t>（</w:t>
            </w:r>
            <w:r w:rsidRPr="000B25E0">
              <w:rPr>
                <w:rFonts w:ascii="宋体" w:eastAsia="宋体" w:hAnsi="宋体" w:cs="Times New Roman" w:hint="eastAsia"/>
                <w:sz w:val="24"/>
              </w:rPr>
              <w:t>M</w:t>
            </w:r>
            <w:r w:rsidRPr="000B25E0">
              <w:rPr>
                <w:rFonts w:ascii="宋体" w:eastAsia="宋体" w:hAnsi="宋体" w:cs="Times New Roman"/>
                <w:sz w:val="24"/>
              </w:rPr>
              <w:t>）</w:t>
            </w:r>
          </w:p>
        </w:tc>
        <w:tc>
          <w:tcPr>
            <w:tcW w:w="5954" w:type="dxa"/>
            <w:vAlign w:val="center"/>
          </w:tcPr>
          <w:p w14:paraId="294D6F5A" w14:textId="77777777" w:rsidR="000B25E0" w:rsidRPr="000B25E0" w:rsidRDefault="000B25E0" w:rsidP="000B25E0">
            <w:pPr>
              <w:spacing w:line="440" w:lineRule="exact"/>
              <w:jc w:val="center"/>
              <w:rPr>
                <w:rFonts w:ascii="宋体" w:eastAsia="宋体" w:hAnsi="宋体" w:cs="Times New Roman"/>
                <w:sz w:val="24"/>
              </w:rPr>
            </w:pPr>
          </w:p>
          <w:p w14:paraId="1AB591B6" w14:textId="77777777" w:rsidR="000B25E0" w:rsidRPr="000B25E0" w:rsidRDefault="000B25E0" w:rsidP="000B25E0">
            <w:pPr>
              <w:spacing w:line="440" w:lineRule="exact"/>
              <w:jc w:val="center"/>
              <w:rPr>
                <w:rFonts w:ascii="宋体" w:eastAsia="宋体" w:hAnsi="宋体" w:cs="Times New Roman"/>
                <w:sz w:val="24"/>
              </w:rPr>
            </w:pPr>
          </w:p>
          <w:p w14:paraId="42A3A791" w14:textId="77777777" w:rsidR="000B25E0" w:rsidRPr="000B25E0" w:rsidRDefault="000B25E0" w:rsidP="000B25E0">
            <w:pPr>
              <w:spacing w:line="440" w:lineRule="exact"/>
              <w:jc w:val="center"/>
              <w:rPr>
                <w:rFonts w:ascii="宋体" w:eastAsia="宋体" w:hAnsi="宋体" w:cs="Times New Roman"/>
                <w:sz w:val="24"/>
              </w:rPr>
            </w:pPr>
          </w:p>
        </w:tc>
        <w:tc>
          <w:tcPr>
            <w:tcW w:w="1507" w:type="dxa"/>
            <w:vAlign w:val="center"/>
          </w:tcPr>
          <w:p w14:paraId="1B604536" w14:textId="77777777" w:rsidR="000B25E0" w:rsidRPr="000B25E0" w:rsidRDefault="000B25E0" w:rsidP="000B25E0">
            <w:pPr>
              <w:spacing w:line="440" w:lineRule="exact"/>
              <w:ind w:firstLineChars="50" w:firstLine="120"/>
              <w:rPr>
                <w:rFonts w:ascii="宋体" w:eastAsia="宋体" w:hAnsi="宋体" w:cs="仿宋_GB2312"/>
                <w:sz w:val="24"/>
              </w:rPr>
            </w:pPr>
            <w:r w:rsidRPr="000B25E0">
              <w:rPr>
                <w:rFonts w:ascii="宋体" w:eastAsia="宋体" w:hAnsi="宋体" w:cs="Times New Roman" w:hint="eastAsia"/>
                <w:sz w:val="24"/>
              </w:rPr>
              <w:t>课程目标</w:t>
            </w:r>
            <w:r w:rsidRPr="000B25E0">
              <w:rPr>
                <w:rFonts w:ascii="宋体" w:eastAsia="宋体" w:hAnsi="宋体" w:cs="Times New Roman"/>
                <w:sz w:val="24"/>
              </w:rPr>
              <w:t>2</w:t>
            </w:r>
          </w:p>
        </w:tc>
      </w:tr>
      <w:tr w:rsidR="000B25E0" w:rsidRPr="000B25E0" w14:paraId="7B167563" w14:textId="77777777" w:rsidTr="00BF5EF3">
        <w:trPr>
          <w:jc w:val="center"/>
        </w:trPr>
        <w:tc>
          <w:tcPr>
            <w:tcW w:w="1708" w:type="dxa"/>
            <w:vAlign w:val="center"/>
          </w:tcPr>
          <w:p w14:paraId="17AE4F35"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终身学习</w:t>
            </w:r>
            <w:r w:rsidRPr="000B25E0">
              <w:rPr>
                <w:rFonts w:ascii="宋体" w:eastAsia="宋体" w:hAnsi="宋体" w:cs="Times New Roman"/>
                <w:sz w:val="24"/>
              </w:rPr>
              <w:t>（</w:t>
            </w:r>
            <w:r w:rsidRPr="000B25E0">
              <w:rPr>
                <w:rFonts w:ascii="宋体" w:eastAsia="宋体" w:hAnsi="宋体" w:cs="Times New Roman" w:hint="eastAsia"/>
                <w:sz w:val="24"/>
              </w:rPr>
              <w:t>H</w:t>
            </w:r>
            <w:r w:rsidRPr="000B25E0">
              <w:rPr>
                <w:rFonts w:ascii="宋体" w:eastAsia="宋体" w:hAnsi="宋体" w:cs="Times New Roman"/>
                <w:sz w:val="24"/>
              </w:rPr>
              <w:t>）</w:t>
            </w:r>
          </w:p>
        </w:tc>
        <w:tc>
          <w:tcPr>
            <w:tcW w:w="5954" w:type="dxa"/>
            <w:vAlign w:val="center"/>
          </w:tcPr>
          <w:p w14:paraId="15216897" w14:textId="77777777" w:rsidR="000B25E0" w:rsidRPr="000B25E0" w:rsidRDefault="000B25E0" w:rsidP="000B25E0">
            <w:pPr>
              <w:spacing w:line="440" w:lineRule="exact"/>
              <w:rPr>
                <w:rFonts w:ascii="宋体" w:eastAsia="宋体" w:hAnsi="宋体" w:cs="Times New Roman"/>
                <w:sz w:val="24"/>
              </w:rPr>
            </w:pPr>
          </w:p>
          <w:p w14:paraId="3DB63582" w14:textId="77777777" w:rsidR="000B25E0" w:rsidRPr="000B25E0" w:rsidRDefault="000B25E0" w:rsidP="000B25E0">
            <w:pPr>
              <w:spacing w:line="440" w:lineRule="exact"/>
              <w:rPr>
                <w:rFonts w:ascii="宋体" w:eastAsia="宋体" w:hAnsi="宋体" w:cs="Times New Roman"/>
                <w:sz w:val="24"/>
              </w:rPr>
            </w:pPr>
          </w:p>
          <w:p w14:paraId="122F8F1A" w14:textId="77777777" w:rsidR="000B25E0" w:rsidRPr="000B25E0" w:rsidRDefault="000B25E0" w:rsidP="000B25E0">
            <w:pPr>
              <w:spacing w:line="440" w:lineRule="exact"/>
              <w:rPr>
                <w:rFonts w:ascii="宋体" w:eastAsia="宋体" w:hAnsi="宋体" w:cs="Times New Roman"/>
                <w:sz w:val="24"/>
              </w:rPr>
            </w:pPr>
          </w:p>
        </w:tc>
        <w:tc>
          <w:tcPr>
            <w:tcW w:w="1507" w:type="dxa"/>
            <w:vAlign w:val="center"/>
          </w:tcPr>
          <w:p w14:paraId="459187E0" w14:textId="77777777" w:rsidR="000B25E0" w:rsidRPr="000B25E0" w:rsidRDefault="000B25E0" w:rsidP="000B25E0">
            <w:pPr>
              <w:spacing w:line="440" w:lineRule="exact"/>
              <w:ind w:firstLineChars="50" w:firstLine="120"/>
              <w:rPr>
                <w:rFonts w:ascii="宋体" w:eastAsia="宋体" w:hAnsi="宋体" w:cs="Times New Roman"/>
                <w:sz w:val="24"/>
              </w:rPr>
            </w:pPr>
            <w:r w:rsidRPr="000B25E0">
              <w:rPr>
                <w:rFonts w:ascii="宋体" w:eastAsia="宋体" w:hAnsi="宋体" w:cs="Times New Roman"/>
                <w:sz w:val="24"/>
              </w:rPr>
              <w:t>课程目标3</w:t>
            </w:r>
          </w:p>
        </w:tc>
      </w:tr>
    </w:tbl>
    <w:p w14:paraId="27A24F14" w14:textId="77777777" w:rsidR="000B25E0" w:rsidRPr="000B25E0" w:rsidRDefault="000B25E0" w:rsidP="000B25E0">
      <w:pPr>
        <w:spacing w:beforeLines="50" w:before="156" w:afterLines="50" w:after="156" w:line="440" w:lineRule="exact"/>
        <w:ind w:firstLineChars="150" w:firstLine="420"/>
        <w:rPr>
          <w:rFonts w:ascii="黑体" w:eastAsia="黑体" w:hAnsi="黑体" w:cs="Times New Roman"/>
          <w:sz w:val="28"/>
          <w:szCs w:val="28"/>
        </w:rPr>
      </w:pPr>
      <w:r w:rsidRPr="000B25E0">
        <w:rPr>
          <w:rFonts w:ascii="黑体" w:eastAsia="黑体" w:hAnsi="黑体" w:cs="Times New Roman" w:hint="eastAsia"/>
          <w:sz w:val="28"/>
          <w:szCs w:val="28"/>
        </w:rPr>
        <w:t>三、课程学习内容及与课程学习目标的对应关系</w:t>
      </w:r>
    </w:p>
    <w:p w14:paraId="18C06C56" w14:textId="77777777" w:rsidR="000B25E0" w:rsidRPr="000B25E0" w:rsidRDefault="000B25E0" w:rsidP="000B25E0">
      <w:pPr>
        <w:spacing w:beforeLines="50" w:before="156" w:afterLines="50" w:after="156" w:line="440" w:lineRule="exact"/>
        <w:ind w:firstLineChars="200" w:firstLine="562"/>
        <w:rPr>
          <w:rFonts w:ascii="黑体" w:eastAsia="黑体" w:hAnsi="黑体" w:cs="Times New Roman"/>
          <w:b/>
          <w:sz w:val="28"/>
          <w:szCs w:val="28"/>
        </w:rPr>
      </w:pPr>
      <w:r w:rsidRPr="000B25E0">
        <w:rPr>
          <w:rFonts w:ascii="黑体" w:eastAsia="黑体" w:hAnsi="黑体" w:cs="Times New Roman" w:hint="eastAsia"/>
          <w:b/>
          <w:sz w:val="28"/>
          <w:szCs w:val="28"/>
        </w:rPr>
        <w:t>（一）课程学习内容</w:t>
      </w:r>
    </w:p>
    <w:p w14:paraId="2908F051"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w:t>
      </w:r>
      <w:proofErr w:type="gramStart"/>
      <w:r w:rsidRPr="000B25E0">
        <w:rPr>
          <w:rFonts w:ascii="黑体" w:eastAsia="黑体" w:hAnsi="黑体" w:cs="Times New Roman" w:hint="eastAsia"/>
          <w:sz w:val="28"/>
          <w:szCs w:val="28"/>
        </w:rPr>
        <w:t>一</w:t>
      </w:r>
      <w:proofErr w:type="gramEnd"/>
      <w:r w:rsidRPr="000B25E0">
        <w:rPr>
          <w:rFonts w:ascii="黑体" w:eastAsia="黑体" w:hAnsi="黑体" w:cs="Times New Roman" w:hint="eastAsia"/>
          <w:sz w:val="28"/>
          <w:szCs w:val="28"/>
        </w:rPr>
        <w:t xml:space="preserve"> 体能+羽毛球球 </w:t>
      </w:r>
    </w:p>
    <w:p w14:paraId="56F81B6E"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07413A29"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6C60D949"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w:t>
      </w:r>
      <w:r w:rsidRPr="000B25E0">
        <w:rPr>
          <w:rFonts w:ascii="宋体" w:eastAsia="宋体" w:hAnsi="宋体" w:cs="仿宋_GB2312" w:hint="eastAsia"/>
          <w:sz w:val="24"/>
        </w:rPr>
        <w:lastRenderedPageBreak/>
        <w:t>和自我评价</w:t>
      </w:r>
      <w:r w:rsidRPr="000B25E0">
        <w:rPr>
          <w:rFonts w:ascii="宋体" w:eastAsia="宋体" w:hAnsi="Calibri" w:cs="宋体" w:hint="eastAsia"/>
          <w:spacing w:val="5"/>
          <w:kern w:val="0"/>
          <w:sz w:val="24"/>
        </w:rPr>
        <w:t>。</w:t>
      </w:r>
    </w:p>
    <w:p w14:paraId="5A7CADAB"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羽毛球运动的一般规律和特点，使学生获得羽毛球运动的基本技术、基本技能和基础理论知识，并了解现代羽毛球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7C1F658A" w14:textId="77777777" w:rsidR="000B25E0" w:rsidRPr="000B25E0" w:rsidRDefault="000B25E0" w:rsidP="000B25E0">
      <w:pPr>
        <w:spacing w:line="440" w:lineRule="exact"/>
        <w:ind w:firstLineChars="200" w:firstLine="500"/>
        <w:rPr>
          <w:rFonts w:ascii="Calibri" w:eastAsia="宋体" w:hAnsi="Calibri" w:cs="Times New Roman"/>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5B8758F7" w14:textId="77777777" w:rsidR="000B25E0" w:rsidRPr="000B25E0" w:rsidRDefault="000B25E0" w:rsidP="000B25E0">
      <w:pPr>
        <w:spacing w:line="440" w:lineRule="exact"/>
        <w:rPr>
          <w:rFonts w:ascii="宋体" w:eastAsia="宋体" w:hAnsi="宋体" w:cs="Times New Roman"/>
          <w:b/>
          <w:sz w:val="24"/>
        </w:rPr>
      </w:pPr>
    </w:p>
    <w:p w14:paraId="726CE30E"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【学习内容】</w:t>
      </w:r>
    </w:p>
    <w:p w14:paraId="564F7C6E" w14:textId="77777777" w:rsidR="000B25E0" w:rsidRPr="000B25E0" w:rsidRDefault="000B25E0" w:rsidP="000B25E0">
      <w:pPr>
        <w:spacing w:beforeLines="50" w:before="156" w:afterLines="50" w:after="156" w:line="360" w:lineRule="auto"/>
        <w:jc w:val="center"/>
        <w:rPr>
          <w:rFonts w:ascii="宋体" w:eastAsia="宋体" w:hAnsi="Calibri" w:cs="Arial"/>
          <w:b/>
          <w:sz w:val="28"/>
          <w:szCs w:val="28"/>
        </w:rPr>
      </w:pPr>
      <w:r w:rsidRPr="000B25E0">
        <w:rPr>
          <w:rFonts w:ascii="宋体" w:eastAsia="宋体" w:hAnsi="宋体" w:cs="Arial" w:hint="eastAsia"/>
          <w:b/>
          <w:sz w:val="28"/>
          <w:szCs w:val="28"/>
        </w:rPr>
        <w:t>第一章</w:t>
      </w:r>
      <w:r w:rsidRPr="000B25E0">
        <w:rPr>
          <w:rFonts w:ascii="宋体" w:eastAsia="宋体" w:hAnsi="宋体" w:cs="Arial"/>
          <w:b/>
          <w:sz w:val="28"/>
          <w:szCs w:val="28"/>
        </w:rPr>
        <w:t xml:space="preserve">   </w:t>
      </w:r>
      <w:r w:rsidRPr="000B25E0">
        <w:rPr>
          <w:rFonts w:ascii="宋体" w:eastAsia="宋体" w:hAnsi="宋体" w:cs="Arial" w:hint="eastAsia"/>
          <w:b/>
          <w:sz w:val="28"/>
          <w:szCs w:val="28"/>
        </w:rPr>
        <w:t>认识健康的重要性（0.5学时）</w:t>
      </w:r>
    </w:p>
    <w:p w14:paraId="42657AFA" w14:textId="77777777" w:rsidR="000B25E0" w:rsidRPr="000B25E0" w:rsidRDefault="000B25E0" w:rsidP="000B25E0">
      <w:pPr>
        <w:spacing w:before="50" w:after="50"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4A2B9BB1"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1.1 健康的内涵</w:t>
      </w:r>
    </w:p>
    <w:p w14:paraId="0600AB19"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1.2 预防与消除亚健康</w:t>
      </w:r>
    </w:p>
    <w:p w14:paraId="62B090BB"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1.3 维护健康的法则</w:t>
      </w:r>
    </w:p>
    <w:p w14:paraId="2AAD4E0C" w14:textId="77777777" w:rsidR="000B25E0" w:rsidRPr="000B25E0" w:rsidRDefault="000B25E0" w:rsidP="000B25E0">
      <w:pPr>
        <w:spacing w:line="360" w:lineRule="auto"/>
        <w:ind w:leftChars="-29" w:left="-61" w:firstLineChars="219" w:firstLine="528"/>
        <w:rPr>
          <w:rFonts w:ascii="Arial" w:eastAsia="宋体" w:hAnsi="Calibri" w:cs="Arial"/>
          <w:b/>
          <w:sz w:val="24"/>
        </w:rPr>
      </w:pPr>
      <w:r w:rsidRPr="000B25E0">
        <w:rPr>
          <w:rFonts w:ascii="Arial" w:eastAsia="宋体" w:hAnsi="Calibri" w:cs="Arial" w:hint="eastAsia"/>
          <w:b/>
          <w:sz w:val="24"/>
        </w:rPr>
        <w:t>本章教学目的及要求：</w:t>
      </w:r>
      <w:r w:rsidRPr="000B25E0">
        <w:rPr>
          <w:rFonts w:ascii="Arial" w:eastAsia="宋体" w:hAnsi="Arial" w:cs="Arial" w:hint="eastAsia"/>
          <w:sz w:val="24"/>
        </w:rPr>
        <w:t>使同学们了解自身健康的重要性及如何维护、促进自身的健康。</w:t>
      </w:r>
    </w:p>
    <w:p w14:paraId="5597DC5A" w14:textId="77777777" w:rsidR="000B25E0" w:rsidRPr="000B25E0" w:rsidRDefault="000B25E0" w:rsidP="000B25E0">
      <w:pPr>
        <w:adjustRightInd w:val="0"/>
        <w:snapToGrid w:val="0"/>
        <w:spacing w:line="500" w:lineRule="exact"/>
        <w:ind w:firstLineChars="196" w:firstLine="472"/>
        <w:rPr>
          <w:rFonts w:ascii="Arial" w:eastAsia="宋体" w:hAnsi="Arial" w:cs="Arial"/>
          <w:sz w:val="24"/>
        </w:rPr>
      </w:pPr>
      <w:r w:rsidRPr="000B25E0">
        <w:rPr>
          <w:rFonts w:ascii="Arial" w:eastAsia="宋体" w:hAnsi="Calibri" w:cs="Arial" w:hint="eastAsia"/>
          <w:b/>
          <w:sz w:val="24"/>
        </w:rPr>
        <w:t>本章教学重点及难点：</w:t>
      </w:r>
      <w:r w:rsidRPr="000B25E0">
        <w:rPr>
          <w:rFonts w:ascii="Arial" w:eastAsia="宋体" w:hAnsi="Arial" w:cs="Arial" w:hint="eastAsia"/>
          <w:sz w:val="24"/>
        </w:rPr>
        <w:t>认识到健康的重要性；如何维护自身的健康。</w:t>
      </w:r>
    </w:p>
    <w:p w14:paraId="3DED592A"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第二章</w:t>
      </w:r>
      <w:r w:rsidRPr="000B25E0">
        <w:rPr>
          <w:rFonts w:ascii="Arial" w:eastAsia="宋体" w:hAnsi="Arial" w:cs="Arial"/>
          <w:b/>
          <w:sz w:val="28"/>
          <w:szCs w:val="28"/>
        </w:rPr>
        <w:t xml:space="preserve">   </w:t>
      </w:r>
      <w:r w:rsidRPr="000B25E0">
        <w:rPr>
          <w:rFonts w:ascii="Arial" w:eastAsia="宋体" w:hAnsi="Calibri" w:cs="Arial" w:hint="eastAsia"/>
          <w:b/>
          <w:sz w:val="28"/>
          <w:szCs w:val="28"/>
        </w:rPr>
        <w:t>科学健身的理论与方法（</w:t>
      </w:r>
      <w:r w:rsidRPr="000B25E0">
        <w:rPr>
          <w:rFonts w:ascii="Arial" w:eastAsia="宋体" w:hAnsi="Calibri" w:cs="Arial" w:hint="eastAsia"/>
          <w:b/>
          <w:sz w:val="28"/>
          <w:szCs w:val="28"/>
        </w:rPr>
        <w:t>0.5</w:t>
      </w:r>
      <w:r w:rsidRPr="000B25E0">
        <w:rPr>
          <w:rFonts w:ascii="Arial" w:eastAsia="宋体" w:hAnsi="Calibri" w:cs="Arial" w:hint="eastAsia"/>
          <w:b/>
          <w:sz w:val="28"/>
          <w:szCs w:val="28"/>
        </w:rPr>
        <w:t>学时）</w:t>
      </w:r>
    </w:p>
    <w:p w14:paraId="55826C62"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0784DA6D"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2.1 健身新理念</w:t>
      </w:r>
    </w:p>
    <w:p w14:paraId="0EBC2D84"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2.2 运动处方</w:t>
      </w:r>
    </w:p>
    <w:p w14:paraId="642AD0FB"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使学生了解健身新理念及运动处方如何制定。</w:t>
      </w:r>
    </w:p>
    <w:p w14:paraId="59A01795" w14:textId="77777777" w:rsidR="000B25E0" w:rsidRPr="000B25E0" w:rsidRDefault="000B25E0" w:rsidP="000B25E0">
      <w:pPr>
        <w:spacing w:line="360" w:lineRule="auto"/>
        <w:ind w:firstLineChars="200" w:firstLine="482"/>
        <w:rPr>
          <w:rFonts w:ascii="Arial" w:eastAsia="宋体" w:hAnsi="Arial" w:cs="Arial"/>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制订运动处方的重要性；如何制订自身的运动处方。</w:t>
      </w:r>
    </w:p>
    <w:p w14:paraId="6DB58645"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lastRenderedPageBreak/>
        <w:t>第三章</w:t>
      </w:r>
      <w:r w:rsidRPr="000B25E0">
        <w:rPr>
          <w:rFonts w:ascii="Arial" w:eastAsia="宋体" w:hAnsi="Arial" w:cs="Arial"/>
          <w:b/>
          <w:sz w:val="28"/>
          <w:szCs w:val="28"/>
        </w:rPr>
        <w:t xml:space="preserve">   </w:t>
      </w:r>
      <w:r w:rsidRPr="000B25E0">
        <w:rPr>
          <w:rFonts w:ascii="Arial" w:eastAsia="宋体" w:hAnsi="Calibri" w:cs="Arial" w:hint="eastAsia"/>
          <w:b/>
          <w:sz w:val="28"/>
          <w:szCs w:val="28"/>
        </w:rPr>
        <w:t>营养与健康（</w:t>
      </w:r>
      <w:r w:rsidRPr="000B25E0">
        <w:rPr>
          <w:rFonts w:ascii="Arial" w:eastAsia="宋体" w:hAnsi="Calibri" w:cs="Arial" w:hint="eastAsia"/>
          <w:b/>
          <w:sz w:val="28"/>
          <w:szCs w:val="28"/>
        </w:rPr>
        <w:t>0.5</w:t>
      </w:r>
      <w:r w:rsidRPr="000B25E0">
        <w:rPr>
          <w:rFonts w:ascii="Arial" w:eastAsia="宋体" w:hAnsi="Calibri" w:cs="Arial" w:hint="eastAsia"/>
          <w:b/>
          <w:sz w:val="28"/>
          <w:szCs w:val="28"/>
        </w:rPr>
        <w:t>学时）</w:t>
      </w:r>
    </w:p>
    <w:p w14:paraId="67ECE86B"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069D4BAF"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3.1 营养对健康的影响</w:t>
      </w:r>
    </w:p>
    <w:p w14:paraId="5B6D20E2"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3.2 营养素及人体对营养的需要</w:t>
      </w:r>
    </w:p>
    <w:p w14:paraId="049373AB"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3.3 平衡膳食</w:t>
      </w:r>
    </w:p>
    <w:p w14:paraId="27C91A60"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3.4 运动与营养</w:t>
      </w:r>
    </w:p>
    <w:p w14:paraId="690591A4"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让学生正确认识科学补充营养可以提高自身免疫力，从而提高生活质量。</w:t>
      </w:r>
    </w:p>
    <w:p w14:paraId="15B12655" w14:textId="77777777" w:rsidR="000B25E0" w:rsidRPr="000B25E0" w:rsidRDefault="000B25E0" w:rsidP="000B25E0">
      <w:pPr>
        <w:spacing w:line="360" w:lineRule="auto"/>
        <w:ind w:firstLineChars="196" w:firstLine="472"/>
        <w:rPr>
          <w:rFonts w:ascii="Arial" w:eastAsia="宋体" w:hAnsi="Arial" w:cs="Arial"/>
          <w:bCs/>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学生阶段的营养过剩与运动不足；补充营养的同时如何提高自身的健康。</w:t>
      </w:r>
    </w:p>
    <w:p w14:paraId="481857FB"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第四章</w:t>
      </w:r>
      <w:r w:rsidRPr="000B25E0">
        <w:rPr>
          <w:rFonts w:ascii="Arial" w:eastAsia="宋体" w:hAnsi="Arial" w:cs="Arial"/>
          <w:b/>
          <w:sz w:val="28"/>
          <w:szCs w:val="28"/>
        </w:rPr>
        <w:t xml:space="preserve">   </w:t>
      </w:r>
      <w:r w:rsidRPr="000B25E0">
        <w:rPr>
          <w:rFonts w:ascii="Arial" w:eastAsia="宋体" w:hAnsi="Calibri" w:cs="Arial" w:hint="eastAsia"/>
          <w:b/>
          <w:sz w:val="28"/>
          <w:szCs w:val="28"/>
        </w:rPr>
        <w:t>体育保健知识（</w:t>
      </w:r>
      <w:r w:rsidRPr="000B25E0">
        <w:rPr>
          <w:rFonts w:ascii="Arial" w:eastAsia="宋体" w:hAnsi="Calibri" w:cs="Arial" w:hint="eastAsia"/>
          <w:b/>
          <w:sz w:val="28"/>
          <w:szCs w:val="28"/>
        </w:rPr>
        <w:t>0.5</w:t>
      </w:r>
      <w:r w:rsidRPr="000B25E0">
        <w:rPr>
          <w:rFonts w:ascii="Arial" w:eastAsia="宋体" w:hAnsi="Calibri" w:cs="Arial" w:hint="eastAsia"/>
          <w:b/>
          <w:sz w:val="28"/>
          <w:szCs w:val="28"/>
        </w:rPr>
        <w:t>学时）</w:t>
      </w:r>
    </w:p>
    <w:p w14:paraId="68F40E80"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75DD27ED"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4.1运动中常见的生理反应与处理方法</w:t>
      </w:r>
    </w:p>
    <w:p w14:paraId="4051B0B9"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4.2 运动损伤的处置</w:t>
      </w:r>
    </w:p>
    <w:p w14:paraId="18F58C57"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4.3女子运动保健</w:t>
      </w:r>
    </w:p>
    <w:p w14:paraId="1F15A4FF"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使学生了解运动中常见的生理反应及处理方法。</w:t>
      </w:r>
    </w:p>
    <w:p w14:paraId="1C6797BE" w14:textId="77777777" w:rsidR="000B25E0" w:rsidRPr="000B25E0" w:rsidRDefault="000B25E0" w:rsidP="000B25E0">
      <w:pPr>
        <w:spacing w:line="360" w:lineRule="auto"/>
        <w:ind w:firstLineChars="196" w:firstLine="472"/>
        <w:rPr>
          <w:rFonts w:ascii="Arial" w:eastAsia="宋体" w:hAnsi="Calibri" w:cs="Arial"/>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学生如何预防常见的运动损伤；运动损伤如何处置。</w:t>
      </w:r>
    </w:p>
    <w:p w14:paraId="4D3503FA" w14:textId="77777777" w:rsidR="000B25E0" w:rsidRPr="000B25E0" w:rsidRDefault="000B25E0" w:rsidP="000B25E0">
      <w:pPr>
        <w:tabs>
          <w:tab w:val="left" w:pos="960"/>
        </w:tabs>
        <w:spacing w:beforeLines="50" w:before="156" w:afterLines="50" w:after="156" w:line="360" w:lineRule="auto"/>
        <w:jc w:val="center"/>
        <w:rPr>
          <w:rFonts w:ascii="宋体" w:eastAsia="宋体" w:hAnsi="Calibri" w:cs="Arial"/>
          <w:b/>
          <w:bCs/>
          <w:sz w:val="28"/>
          <w:szCs w:val="28"/>
        </w:rPr>
      </w:pPr>
      <w:r w:rsidRPr="000B25E0">
        <w:rPr>
          <w:rFonts w:ascii="宋体" w:eastAsia="宋体" w:hAnsi="宋体" w:cs="Arial" w:hint="eastAsia"/>
          <w:b/>
          <w:bCs/>
          <w:sz w:val="28"/>
          <w:szCs w:val="28"/>
        </w:rPr>
        <w:t>第五章 了解体育文化（0.5课时）</w:t>
      </w:r>
    </w:p>
    <w:p w14:paraId="05E67141"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74937F83"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5.1中西方体育文化比较</w:t>
      </w:r>
    </w:p>
    <w:p w14:paraId="598FA792"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5.2 奥林匹克体育文化</w:t>
      </w:r>
    </w:p>
    <w:p w14:paraId="771C63ED"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5.3 校园体育文化</w:t>
      </w:r>
    </w:p>
    <w:p w14:paraId="17327DC7"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本章教学目的及要求：</w:t>
      </w:r>
      <w:r w:rsidRPr="000B25E0">
        <w:rPr>
          <w:rFonts w:ascii="Arial" w:eastAsia="宋体" w:hAnsi="Calibri" w:cs="Arial" w:hint="eastAsia"/>
          <w:bCs/>
          <w:sz w:val="24"/>
          <w:szCs w:val="28"/>
        </w:rPr>
        <w:t>让学生了解东西方体育文化的差异。</w:t>
      </w:r>
    </w:p>
    <w:p w14:paraId="070FE661"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介绍奥林匹克文化的发展</w:t>
      </w:r>
      <w:r w:rsidRPr="000B25E0">
        <w:rPr>
          <w:rFonts w:ascii="Arial" w:eastAsia="宋体" w:hAnsi="Calibri" w:cs="Arial" w:hint="eastAsia"/>
          <w:bCs/>
          <w:sz w:val="24"/>
          <w:szCs w:val="28"/>
        </w:rPr>
        <w:t>；介绍校园体育文化的发展与功能。</w:t>
      </w:r>
    </w:p>
    <w:p w14:paraId="0805DBBA" w14:textId="77777777" w:rsidR="000B25E0" w:rsidRPr="000B25E0" w:rsidRDefault="000B25E0" w:rsidP="000B25E0">
      <w:pPr>
        <w:spacing w:beforeLines="50" w:before="156" w:afterLines="50" w:after="156" w:line="360" w:lineRule="auto"/>
        <w:jc w:val="center"/>
        <w:rPr>
          <w:rFonts w:ascii="Arial" w:eastAsia="宋体" w:hAnsi="Calibri" w:cs="Arial"/>
          <w:b/>
          <w:sz w:val="28"/>
          <w:szCs w:val="28"/>
        </w:rPr>
      </w:pPr>
      <w:r w:rsidRPr="000B25E0">
        <w:rPr>
          <w:rFonts w:ascii="宋体" w:eastAsia="宋体" w:hAnsi="宋体" w:cs="宋体" w:hint="eastAsia"/>
          <w:b/>
          <w:bCs/>
          <w:sz w:val="28"/>
          <w:szCs w:val="28"/>
        </w:rPr>
        <w:lastRenderedPageBreak/>
        <w:t>第六章 欣赏体育比赛</w:t>
      </w:r>
      <w:r w:rsidRPr="000B25E0">
        <w:rPr>
          <w:rFonts w:ascii="Arial" w:eastAsia="宋体" w:hAnsi="Calibri" w:cs="Arial" w:hint="eastAsia"/>
          <w:b/>
          <w:sz w:val="28"/>
          <w:szCs w:val="28"/>
        </w:rPr>
        <w:t>（</w:t>
      </w:r>
      <w:r w:rsidRPr="000B25E0">
        <w:rPr>
          <w:rFonts w:ascii="Arial" w:eastAsia="宋体" w:hAnsi="Arial" w:cs="Arial" w:hint="eastAsia"/>
          <w:b/>
          <w:sz w:val="28"/>
          <w:szCs w:val="28"/>
        </w:rPr>
        <w:t>0.5</w:t>
      </w:r>
      <w:r w:rsidRPr="000B25E0">
        <w:rPr>
          <w:rFonts w:ascii="Arial" w:eastAsia="宋体" w:hAnsi="Calibri" w:cs="Arial" w:hint="eastAsia"/>
          <w:b/>
          <w:sz w:val="28"/>
          <w:szCs w:val="28"/>
        </w:rPr>
        <w:t>学时）</w:t>
      </w:r>
    </w:p>
    <w:p w14:paraId="63CB22CB"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0302B6BE"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6.1体育欣赏的体育美学原理及特点</w:t>
      </w:r>
    </w:p>
    <w:p w14:paraId="1A294734"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6.2 体育运动的欣赏内容</w:t>
      </w:r>
    </w:p>
    <w:p w14:paraId="3C9D67DD"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6.3 特定运动项目的欣赏</w:t>
      </w:r>
    </w:p>
    <w:p w14:paraId="7DA66F2F"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本章教学目的及要求：</w:t>
      </w:r>
      <w:r w:rsidRPr="000B25E0">
        <w:rPr>
          <w:rFonts w:ascii="Arial" w:eastAsia="宋体" w:hAnsi="Calibri" w:cs="Arial" w:hint="eastAsia"/>
          <w:bCs/>
          <w:sz w:val="24"/>
          <w:szCs w:val="28"/>
        </w:rPr>
        <w:t>使学生提高体育文化素质，培养起体育欣赏的兴趣，树立正确的体育审美观念。</w:t>
      </w:r>
    </w:p>
    <w:p w14:paraId="75045F79" w14:textId="77777777" w:rsidR="000B25E0" w:rsidRPr="000B25E0" w:rsidRDefault="000B25E0" w:rsidP="000B25E0">
      <w:pPr>
        <w:spacing w:line="360" w:lineRule="auto"/>
        <w:ind w:firstLineChars="196" w:firstLine="472"/>
        <w:rPr>
          <w:rFonts w:ascii="Arial" w:eastAsia="宋体" w:hAnsi="Calibri" w:cs="Arial"/>
          <w:b/>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如何欣赏球类比赛</w:t>
      </w:r>
      <w:r w:rsidRPr="000B25E0">
        <w:rPr>
          <w:rFonts w:ascii="Arial" w:eastAsia="宋体" w:hAnsi="Calibri" w:cs="Arial" w:hint="eastAsia"/>
          <w:bCs/>
          <w:sz w:val="24"/>
          <w:szCs w:val="28"/>
        </w:rPr>
        <w:t>；如何提高体育欣赏水平。</w:t>
      </w:r>
    </w:p>
    <w:p w14:paraId="43CF9978" w14:textId="77777777" w:rsidR="000B25E0" w:rsidRPr="000B25E0" w:rsidRDefault="000B25E0" w:rsidP="000B25E0">
      <w:pPr>
        <w:spacing w:beforeLines="50" w:before="156" w:afterLines="50" w:after="156" w:line="360" w:lineRule="auto"/>
        <w:jc w:val="center"/>
        <w:rPr>
          <w:rFonts w:ascii="Arial" w:eastAsia="宋体" w:hAnsi="Arial" w:cs="Arial"/>
          <w:b/>
          <w:sz w:val="28"/>
          <w:szCs w:val="28"/>
        </w:rPr>
      </w:pPr>
      <w:r w:rsidRPr="000B25E0">
        <w:rPr>
          <w:rFonts w:ascii="Arial" w:eastAsia="宋体" w:hAnsi="Calibri" w:cs="Arial" w:hint="eastAsia"/>
          <w:b/>
          <w:sz w:val="28"/>
          <w:szCs w:val="28"/>
        </w:rPr>
        <w:t>第七章</w:t>
      </w:r>
      <w:r w:rsidRPr="000B25E0">
        <w:rPr>
          <w:rFonts w:ascii="Arial" w:eastAsia="宋体" w:hAnsi="Arial" w:cs="Arial"/>
          <w:b/>
          <w:sz w:val="28"/>
          <w:szCs w:val="28"/>
        </w:rPr>
        <w:t xml:space="preserve">   </w:t>
      </w:r>
      <w:r w:rsidRPr="000B25E0">
        <w:rPr>
          <w:rFonts w:ascii="Arial" w:eastAsia="宋体" w:hAnsi="Arial" w:cs="Arial"/>
          <w:b/>
          <w:sz w:val="28"/>
          <w:szCs w:val="28"/>
        </w:rPr>
        <w:t>大</w:t>
      </w:r>
      <w:r w:rsidRPr="000B25E0">
        <w:rPr>
          <w:rFonts w:ascii="Arial" w:eastAsia="宋体" w:hAnsi="Calibri" w:cs="Arial" w:hint="eastAsia"/>
          <w:b/>
          <w:sz w:val="28"/>
          <w:szCs w:val="28"/>
        </w:rPr>
        <w:t>学生体质健康测评（</w:t>
      </w:r>
      <w:r w:rsidRPr="000B25E0">
        <w:rPr>
          <w:rFonts w:ascii="Arial" w:eastAsia="宋体" w:hAnsi="Calibri" w:cs="Arial" w:hint="eastAsia"/>
          <w:b/>
          <w:sz w:val="28"/>
          <w:szCs w:val="28"/>
        </w:rPr>
        <w:t>4</w:t>
      </w:r>
      <w:r w:rsidRPr="000B25E0">
        <w:rPr>
          <w:rFonts w:ascii="Arial" w:eastAsia="宋体" w:hAnsi="Calibri" w:cs="Arial" w:hint="eastAsia"/>
          <w:b/>
          <w:sz w:val="28"/>
          <w:szCs w:val="28"/>
        </w:rPr>
        <w:t>学时）</w:t>
      </w:r>
    </w:p>
    <w:p w14:paraId="0E3F7BD2"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347DD7FE"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7.1 《国家学生体质健康标准》实施说明</w:t>
      </w:r>
    </w:p>
    <w:p w14:paraId="5AD407A9" w14:textId="77777777" w:rsidR="000B25E0" w:rsidRPr="000B25E0" w:rsidRDefault="000B25E0" w:rsidP="000B25E0">
      <w:pPr>
        <w:autoSpaceDE w:val="0"/>
        <w:autoSpaceDN w:val="0"/>
        <w:adjustRightInd w:val="0"/>
        <w:snapToGrid w:val="0"/>
        <w:spacing w:line="500" w:lineRule="exact"/>
        <w:ind w:firstLineChars="200" w:firstLine="500"/>
        <w:jc w:val="left"/>
        <w:rPr>
          <w:rFonts w:ascii="Arial" w:eastAsia="宋体" w:hAnsi="Calibri" w:cs="Arial"/>
          <w:sz w:val="24"/>
        </w:rPr>
      </w:pPr>
      <w:r w:rsidRPr="000B25E0">
        <w:rPr>
          <w:rFonts w:ascii="宋体" w:eastAsia="宋体" w:hAnsi="Calibri" w:cs="宋体" w:hint="eastAsia"/>
          <w:spacing w:val="5"/>
          <w:kern w:val="0"/>
          <w:sz w:val="24"/>
        </w:rPr>
        <w:t>7.2 《国家学生体质健康标准》测试评分表</w:t>
      </w:r>
    </w:p>
    <w:p w14:paraId="1336B6D0"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使学生了解体质健康的主要内容及要求。</w:t>
      </w:r>
    </w:p>
    <w:p w14:paraId="351009ED" w14:textId="77777777" w:rsidR="000B25E0" w:rsidRPr="000B25E0" w:rsidRDefault="000B25E0" w:rsidP="000B25E0">
      <w:pPr>
        <w:spacing w:line="360" w:lineRule="auto"/>
        <w:ind w:firstLineChars="196" w:firstLine="472"/>
        <w:rPr>
          <w:rFonts w:ascii="Arial" w:eastAsia="宋体" w:hAnsi="Calibri" w:cs="Arial"/>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学生体质健康标准的重要性；如何激发学生锻炼身体的积极性和自觉性。</w:t>
      </w:r>
    </w:p>
    <w:p w14:paraId="4359A410" w14:textId="77777777" w:rsidR="000B25E0" w:rsidRPr="000B25E0" w:rsidRDefault="000B25E0" w:rsidP="00B41A22">
      <w:pPr>
        <w:numPr>
          <w:ilvl w:val="0"/>
          <w:numId w:val="38"/>
        </w:numPr>
        <w:spacing w:beforeLines="50" w:before="156" w:afterLines="50" w:after="156" w:line="360" w:lineRule="auto"/>
        <w:jc w:val="center"/>
        <w:rPr>
          <w:rFonts w:ascii="Arial" w:eastAsia="宋体" w:hAnsi="Calibri" w:cs="Arial"/>
          <w:b/>
          <w:sz w:val="28"/>
          <w:szCs w:val="28"/>
        </w:rPr>
      </w:pPr>
      <w:r w:rsidRPr="000B25E0">
        <w:rPr>
          <w:rFonts w:ascii="Arial" w:eastAsia="宋体" w:hAnsi="Arial" w:cs="Arial"/>
          <w:b/>
          <w:sz w:val="28"/>
          <w:szCs w:val="28"/>
        </w:rPr>
        <w:t xml:space="preserve">  </w:t>
      </w:r>
      <w:r w:rsidRPr="000B25E0">
        <w:rPr>
          <w:rFonts w:ascii="宋体" w:eastAsia="宋体" w:hAnsi="宋体" w:cs="Arial" w:hint="eastAsia"/>
          <w:b/>
          <w:bCs/>
          <w:sz w:val="28"/>
          <w:szCs w:val="28"/>
        </w:rPr>
        <w:t>体能训练</w:t>
      </w:r>
      <w:r w:rsidRPr="000B25E0">
        <w:rPr>
          <w:rFonts w:ascii="Arial" w:eastAsia="宋体" w:hAnsi="Calibri" w:cs="Arial" w:hint="eastAsia"/>
          <w:b/>
          <w:sz w:val="28"/>
          <w:szCs w:val="28"/>
        </w:rPr>
        <w:t>（</w:t>
      </w:r>
      <w:r w:rsidRPr="000B25E0">
        <w:rPr>
          <w:rFonts w:ascii="Arial" w:eastAsia="宋体" w:hAnsi="Calibri" w:cs="Arial" w:hint="eastAsia"/>
          <w:b/>
          <w:sz w:val="28"/>
          <w:szCs w:val="28"/>
        </w:rPr>
        <w:t>13</w:t>
      </w:r>
      <w:r w:rsidRPr="000B25E0">
        <w:rPr>
          <w:rFonts w:ascii="Arial" w:eastAsia="宋体" w:hAnsi="Calibri" w:cs="Arial" w:hint="eastAsia"/>
          <w:b/>
          <w:sz w:val="28"/>
          <w:szCs w:val="28"/>
        </w:rPr>
        <w:t>学时）</w:t>
      </w:r>
    </w:p>
    <w:p w14:paraId="60F7C0EB" w14:textId="77777777" w:rsidR="000B25E0" w:rsidRPr="000B25E0" w:rsidRDefault="000B25E0" w:rsidP="000B25E0">
      <w:pPr>
        <w:spacing w:line="360" w:lineRule="auto"/>
        <w:ind w:left="472"/>
        <w:rPr>
          <w:rFonts w:ascii="Arial" w:eastAsia="宋体" w:hAnsi="Arial" w:cs="Arial"/>
          <w:b/>
          <w:sz w:val="24"/>
        </w:rPr>
      </w:pPr>
      <w:r w:rsidRPr="000B25E0">
        <w:rPr>
          <w:rFonts w:ascii="Arial" w:eastAsia="宋体" w:hAnsi="Calibri" w:cs="Arial" w:hint="eastAsia"/>
          <w:b/>
          <w:sz w:val="24"/>
        </w:rPr>
        <w:t>本章主要教学内容：</w:t>
      </w:r>
    </w:p>
    <w:p w14:paraId="1BB0DFAC"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8.1体能训练简介</w:t>
      </w:r>
    </w:p>
    <w:p w14:paraId="6B819D54"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8.2加速能力及力量训练2.柔韧能力训练</w:t>
      </w:r>
    </w:p>
    <w:p w14:paraId="667D832B"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8.3弹跳能力及力量训练</w:t>
      </w:r>
    </w:p>
    <w:p w14:paraId="781DF8EF"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8.4灵敏能力及力量训练</w:t>
      </w:r>
    </w:p>
    <w:p w14:paraId="30E3F3BE"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8.5耐力能力及无氧训练</w:t>
      </w:r>
    </w:p>
    <w:p w14:paraId="340A90DF"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8.6弹跳能力及力量测试</w:t>
      </w:r>
    </w:p>
    <w:p w14:paraId="1464947B"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8.7上肢（男）力量训练2.腹肌（女）力量训练</w:t>
      </w:r>
    </w:p>
    <w:p w14:paraId="71A0E183"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8.8耐力能力及无氧训练</w:t>
      </w:r>
    </w:p>
    <w:p w14:paraId="43F84C96"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lastRenderedPageBreak/>
        <w:t>8.9引体向上（男）；一分钟仰卧起坐（女）</w:t>
      </w:r>
    </w:p>
    <w:p w14:paraId="279EE2D9"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8.10立定跳远测试</w:t>
      </w:r>
    </w:p>
    <w:p w14:paraId="157155D5" w14:textId="77777777" w:rsidR="000B25E0" w:rsidRPr="000B25E0" w:rsidRDefault="000B25E0" w:rsidP="00B41A22">
      <w:pPr>
        <w:numPr>
          <w:ilvl w:val="0"/>
          <w:numId w:val="38"/>
        </w:numPr>
        <w:spacing w:beforeLines="50" w:before="156" w:afterLines="50" w:after="156" w:line="360" w:lineRule="auto"/>
        <w:jc w:val="center"/>
        <w:rPr>
          <w:rFonts w:ascii="Arial" w:eastAsia="宋体" w:hAnsi="Calibri" w:cs="Arial"/>
          <w:b/>
          <w:sz w:val="28"/>
          <w:szCs w:val="28"/>
        </w:rPr>
      </w:pPr>
      <w:r w:rsidRPr="000B25E0">
        <w:rPr>
          <w:rFonts w:ascii="Arial" w:eastAsia="宋体" w:hAnsi="Arial" w:cs="Arial" w:hint="eastAsia"/>
          <w:b/>
          <w:sz w:val="28"/>
          <w:szCs w:val="28"/>
        </w:rPr>
        <w:t>选项</w:t>
      </w:r>
      <w:proofErr w:type="gramStart"/>
      <w:r w:rsidRPr="000B25E0">
        <w:rPr>
          <w:rFonts w:ascii="Arial" w:eastAsia="宋体" w:hAnsi="Arial" w:cs="Arial" w:hint="eastAsia"/>
          <w:b/>
          <w:sz w:val="28"/>
          <w:szCs w:val="28"/>
        </w:rPr>
        <w:t>课各项</w:t>
      </w:r>
      <w:proofErr w:type="gramEnd"/>
      <w:r w:rsidRPr="000B25E0">
        <w:rPr>
          <w:rFonts w:ascii="Arial" w:eastAsia="宋体" w:hAnsi="Arial" w:cs="Arial" w:hint="eastAsia"/>
          <w:b/>
          <w:sz w:val="28"/>
          <w:szCs w:val="28"/>
        </w:rPr>
        <w:t>目内容</w:t>
      </w:r>
      <w:r w:rsidRPr="000B25E0">
        <w:rPr>
          <w:rFonts w:ascii="Arial" w:eastAsia="宋体" w:hAnsi="Calibri" w:cs="Arial" w:hint="eastAsia"/>
          <w:b/>
          <w:sz w:val="28"/>
          <w:szCs w:val="28"/>
        </w:rPr>
        <w:t>（</w:t>
      </w:r>
      <w:r w:rsidRPr="000B25E0">
        <w:rPr>
          <w:rFonts w:ascii="Arial" w:eastAsia="宋体" w:hAnsi="Calibri" w:cs="Arial" w:hint="eastAsia"/>
          <w:b/>
          <w:sz w:val="28"/>
          <w:szCs w:val="28"/>
        </w:rPr>
        <w:t>12</w:t>
      </w:r>
      <w:r w:rsidRPr="000B25E0">
        <w:rPr>
          <w:rFonts w:ascii="Arial" w:eastAsia="宋体" w:hAnsi="Calibri" w:cs="Arial" w:hint="eastAsia"/>
          <w:b/>
          <w:sz w:val="28"/>
          <w:szCs w:val="28"/>
        </w:rPr>
        <w:t>学时）</w:t>
      </w:r>
    </w:p>
    <w:p w14:paraId="37F68C4B" w14:textId="77777777" w:rsidR="000B25E0" w:rsidRPr="000B25E0" w:rsidRDefault="000B25E0" w:rsidP="000B25E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0B25E0">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0B25E0" w:rsidRPr="000B25E0" w14:paraId="078FE20F"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870F0C4"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6FD148AC"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4ADDD489"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B2F74E5"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6A448F7"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备注 </w:t>
            </w:r>
          </w:p>
        </w:tc>
      </w:tr>
      <w:tr w:rsidR="000B25E0" w:rsidRPr="000B25E0" w14:paraId="22653E13"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5E00103"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6D93A654"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羽毛球运动概述 </w:t>
            </w:r>
          </w:p>
        </w:tc>
        <w:tc>
          <w:tcPr>
            <w:tcW w:w="1579" w:type="dxa"/>
            <w:tcBorders>
              <w:top w:val="outset" w:sz="6" w:space="0" w:color="auto"/>
              <w:left w:val="outset" w:sz="6" w:space="0" w:color="auto"/>
              <w:bottom w:val="outset" w:sz="6" w:space="0" w:color="auto"/>
              <w:right w:val="outset" w:sz="6" w:space="0" w:color="auto"/>
            </w:tcBorders>
            <w:vAlign w:val="center"/>
          </w:tcPr>
          <w:p w14:paraId="5460E757"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497D424" w14:textId="77777777" w:rsidR="000B25E0" w:rsidRPr="000B25E0" w:rsidRDefault="000B25E0" w:rsidP="000B25E0">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FB23341"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1F5045AA"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10B2350"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435687AF"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羽毛球运动竞赛规则及裁判法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69A01352"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D122D52" w14:textId="77777777" w:rsidR="000B25E0" w:rsidRPr="000B25E0" w:rsidRDefault="000B25E0" w:rsidP="000B25E0">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D617847"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3E9E51F7"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58D46A0"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77DB46FB"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羽毛球运动专项身体素质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323F09BD" w14:textId="77777777" w:rsidR="000B25E0" w:rsidRPr="000B25E0" w:rsidRDefault="000B25E0" w:rsidP="000B25E0">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765698F"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88F5AE1"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3BA3FF5B"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ABB3D9B"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5C374B15"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5048546C" w14:textId="77777777" w:rsidR="000B25E0" w:rsidRPr="000B25E0" w:rsidRDefault="000B25E0" w:rsidP="000B25E0">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1DB8D61"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ECB630E"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64D758D7" w14:textId="77777777" w:rsidTr="00BF5E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D882CCA"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0C2AF5FC"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672B8BA7" w14:textId="77777777" w:rsidR="000B25E0" w:rsidRPr="000B25E0" w:rsidRDefault="000B25E0" w:rsidP="000B25E0">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C996DF9"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51C96F0" w14:textId="77777777" w:rsidR="000B25E0" w:rsidRPr="000B25E0" w:rsidRDefault="000B25E0" w:rsidP="000B25E0">
            <w:pPr>
              <w:widowControl/>
              <w:jc w:val="left"/>
              <w:rPr>
                <w:rFonts w:ascii="宋体" w:eastAsia="宋体" w:hAnsi="Calibri" w:cs="宋体"/>
                <w:spacing w:val="1"/>
                <w:kern w:val="0"/>
                <w:sz w:val="24"/>
              </w:rPr>
            </w:pPr>
          </w:p>
        </w:tc>
      </w:tr>
    </w:tbl>
    <w:p w14:paraId="3478206D" w14:textId="77777777" w:rsidR="000B25E0" w:rsidRPr="000B25E0" w:rsidRDefault="000B25E0" w:rsidP="000B25E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0B25E0">
        <w:rPr>
          <w:rFonts w:ascii="宋体" w:eastAsia="宋体" w:hAnsi="Calibri" w:cs="宋体" w:hint="eastAsia"/>
          <w:spacing w:val="1"/>
          <w:kern w:val="0"/>
          <w:sz w:val="24"/>
        </w:rPr>
        <w:t xml:space="preserve"> 9.2理论课学时安排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0B25E0" w:rsidRPr="000B25E0" w14:paraId="6E140DD6" w14:textId="77777777" w:rsidTr="00BF5EF3">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7F80B3C9"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77E1D16"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C2E7A3C"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备注</w:t>
            </w:r>
          </w:p>
        </w:tc>
      </w:tr>
      <w:tr w:rsidR="000B25E0" w:rsidRPr="000B25E0" w14:paraId="5B7D8EE5" w14:textId="77777777" w:rsidTr="00BF5E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263B3DF" w14:textId="77777777" w:rsidR="000B25E0" w:rsidRPr="000B25E0" w:rsidRDefault="000B25E0" w:rsidP="000B25E0">
            <w:pPr>
              <w:widowControl/>
              <w:spacing w:before="100" w:beforeAutospacing="1" w:after="100" w:afterAutospacing="1"/>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羽毛球概述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5F81F7F"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羽毛球运动特点与功能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ADD086D"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C992DC4"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63D88CE1" w14:textId="77777777" w:rsidTr="00BF5E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7ADFC719" w14:textId="77777777" w:rsidR="000B25E0" w:rsidRPr="000B25E0" w:rsidRDefault="000B25E0" w:rsidP="000B25E0">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5E5F71A"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羽毛球概况 </w:t>
            </w:r>
          </w:p>
        </w:tc>
        <w:tc>
          <w:tcPr>
            <w:tcW w:w="2369" w:type="dxa"/>
            <w:vMerge/>
            <w:tcBorders>
              <w:top w:val="outset" w:sz="6" w:space="0" w:color="auto"/>
              <w:left w:val="outset" w:sz="6" w:space="0" w:color="auto"/>
              <w:bottom w:val="outset" w:sz="6" w:space="0" w:color="auto"/>
              <w:right w:val="outset" w:sz="6" w:space="0" w:color="auto"/>
            </w:tcBorders>
            <w:vAlign w:val="center"/>
          </w:tcPr>
          <w:p w14:paraId="12458560" w14:textId="77777777" w:rsidR="000B25E0" w:rsidRPr="000B25E0" w:rsidRDefault="000B25E0" w:rsidP="000B25E0">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101A8121"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0004752C" w14:textId="77777777" w:rsidTr="00BF5E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05A16EEE" w14:textId="77777777" w:rsidR="000B25E0" w:rsidRPr="000B25E0" w:rsidRDefault="000B25E0" w:rsidP="000B25E0">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D29561D"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羽毛球技术</w:t>
            </w:r>
          </w:p>
        </w:tc>
        <w:tc>
          <w:tcPr>
            <w:tcW w:w="2369" w:type="dxa"/>
            <w:vMerge/>
            <w:tcBorders>
              <w:top w:val="outset" w:sz="6" w:space="0" w:color="auto"/>
              <w:left w:val="outset" w:sz="6" w:space="0" w:color="auto"/>
              <w:bottom w:val="outset" w:sz="6" w:space="0" w:color="auto"/>
              <w:right w:val="outset" w:sz="6" w:space="0" w:color="auto"/>
            </w:tcBorders>
            <w:vAlign w:val="center"/>
          </w:tcPr>
          <w:p w14:paraId="55D94C1C" w14:textId="77777777" w:rsidR="000B25E0" w:rsidRPr="000B25E0" w:rsidRDefault="000B25E0" w:rsidP="000B25E0">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0C49A325"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667EF029" w14:textId="77777777" w:rsidTr="00BF5E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60FCB56" w14:textId="77777777" w:rsidR="000B25E0" w:rsidRPr="000B25E0" w:rsidRDefault="000B25E0" w:rsidP="000B25E0">
            <w:pPr>
              <w:widowControl/>
              <w:spacing w:before="100" w:beforeAutospacing="1" w:after="100" w:afterAutospacing="1"/>
              <w:jc w:val="center"/>
              <w:rPr>
                <w:rFonts w:ascii="宋体" w:eastAsia="宋体" w:hAnsi="Calibri" w:cs="宋体"/>
                <w:spacing w:val="1"/>
                <w:kern w:val="0"/>
                <w:sz w:val="24"/>
              </w:rPr>
            </w:pPr>
            <w:r w:rsidRPr="000B25E0">
              <w:rPr>
                <w:rFonts w:ascii="宋体" w:eastAsia="宋体" w:hAnsi="Calibri" w:cs="宋体" w:hint="eastAsia"/>
                <w:spacing w:val="1"/>
                <w:kern w:val="0"/>
                <w:sz w:val="24"/>
              </w:rPr>
              <w:t>羽毛球规则</w:t>
            </w:r>
          </w:p>
          <w:p w14:paraId="66F87E7A" w14:textId="77777777" w:rsidR="000B25E0" w:rsidRPr="000B25E0" w:rsidRDefault="000B25E0" w:rsidP="000B25E0">
            <w:pPr>
              <w:widowControl/>
              <w:spacing w:before="100" w:beforeAutospacing="1" w:after="100" w:afterAutospacing="1"/>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6190D06"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球场区划及作用</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A157EF0"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5B39C45"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276202BE" w14:textId="77777777" w:rsidTr="00BF5E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2ED040B8" w14:textId="77777777" w:rsidR="000B25E0" w:rsidRPr="000B25E0" w:rsidRDefault="000B25E0" w:rsidP="000B25E0">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64F94EF"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发球</w:t>
            </w:r>
          </w:p>
        </w:tc>
        <w:tc>
          <w:tcPr>
            <w:tcW w:w="2369" w:type="dxa"/>
            <w:vMerge/>
            <w:tcBorders>
              <w:top w:val="outset" w:sz="6" w:space="0" w:color="auto"/>
              <w:left w:val="outset" w:sz="6" w:space="0" w:color="auto"/>
              <w:bottom w:val="outset" w:sz="6" w:space="0" w:color="auto"/>
              <w:right w:val="outset" w:sz="6" w:space="0" w:color="auto"/>
            </w:tcBorders>
            <w:vAlign w:val="center"/>
          </w:tcPr>
          <w:p w14:paraId="3611503E" w14:textId="77777777" w:rsidR="000B25E0" w:rsidRPr="000B25E0" w:rsidRDefault="000B25E0" w:rsidP="000B25E0">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514035EF"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1CEEE277" w14:textId="77777777" w:rsidTr="00BF5E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76100298" w14:textId="77777777" w:rsidR="000B25E0" w:rsidRPr="000B25E0" w:rsidRDefault="000B25E0" w:rsidP="000B25E0">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F407DAC"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界外</w:t>
            </w:r>
          </w:p>
        </w:tc>
        <w:tc>
          <w:tcPr>
            <w:tcW w:w="2369" w:type="dxa"/>
            <w:vMerge/>
            <w:tcBorders>
              <w:top w:val="outset" w:sz="6" w:space="0" w:color="auto"/>
              <w:left w:val="outset" w:sz="6" w:space="0" w:color="auto"/>
              <w:bottom w:val="outset" w:sz="6" w:space="0" w:color="auto"/>
              <w:right w:val="outset" w:sz="6" w:space="0" w:color="auto"/>
            </w:tcBorders>
            <w:vAlign w:val="center"/>
          </w:tcPr>
          <w:p w14:paraId="48222472" w14:textId="77777777" w:rsidR="000B25E0" w:rsidRPr="000B25E0" w:rsidRDefault="000B25E0" w:rsidP="000B25E0">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60DD1802"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5E461474" w14:textId="77777777" w:rsidTr="00BF5E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1372ABA0" w14:textId="77777777" w:rsidR="000B25E0" w:rsidRPr="000B25E0" w:rsidRDefault="000B25E0" w:rsidP="000B25E0">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12EDC0A"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裁判信号 </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6DBC26F9" w14:textId="77777777" w:rsidR="000B25E0" w:rsidRPr="000B25E0" w:rsidRDefault="000B25E0" w:rsidP="000B25E0">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66301943" w14:textId="77777777" w:rsidR="000B25E0" w:rsidRPr="000B25E0" w:rsidRDefault="000B25E0" w:rsidP="000B25E0">
            <w:pPr>
              <w:widowControl/>
              <w:jc w:val="left"/>
              <w:rPr>
                <w:rFonts w:ascii="宋体" w:eastAsia="宋体" w:hAnsi="Calibri" w:cs="宋体"/>
                <w:spacing w:val="1"/>
                <w:kern w:val="0"/>
                <w:sz w:val="24"/>
              </w:rPr>
            </w:pPr>
          </w:p>
        </w:tc>
      </w:tr>
    </w:tbl>
    <w:p w14:paraId="418B7C4F" w14:textId="77777777" w:rsidR="000B25E0" w:rsidRPr="000B25E0" w:rsidRDefault="000B25E0" w:rsidP="000B25E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0B25E0">
        <w:rPr>
          <w:rFonts w:ascii="宋体" w:eastAsia="宋体" w:hAnsi="Calibri" w:cs="宋体" w:hint="eastAsia"/>
          <w:spacing w:val="1"/>
          <w:kern w:val="0"/>
          <w:sz w:val="24"/>
        </w:rPr>
        <w:t xml:space="preserve">  9.3技术课学时分配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0B25E0" w:rsidRPr="000B25E0" w14:paraId="03CC8E8A" w14:textId="77777777" w:rsidTr="00BF5EF3">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1F2CB832"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1A3134F"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8287991"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备注</w:t>
            </w:r>
          </w:p>
        </w:tc>
      </w:tr>
      <w:tr w:rsidR="000B25E0" w:rsidRPr="000B25E0" w14:paraId="53417315" w14:textId="77777777" w:rsidTr="00BF5EF3">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984F5F5"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技术</w:t>
            </w:r>
          </w:p>
          <w:p w14:paraId="5CDCB030"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96008C4"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 xml:space="preserve">发球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43D0D30"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正手下手发球</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52FB6F1"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28A007D"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63C85536" w14:textId="77777777" w:rsidTr="00BF5EF3">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10E8C4E6" w14:textId="77777777" w:rsidR="000B25E0" w:rsidRPr="000B25E0" w:rsidRDefault="000B25E0" w:rsidP="000B25E0">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4CD65DFB"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击球技术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E04963"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正手</w:t>
            </w:r>
            <w:proofErr w:type="gramStart"/>
            <w:r w:rsidRPr="000B25E0">
              <w:rPr>
                <w:rFonts w:ascii="宋体" w:eastAsia="宋体" w:hAnsi="Calibri" w:cs="宋体" w:hint="eastAsia"/>
                <w:spacing w:val="1"/>
                <w:kern w:val="0"/>
                <w:sz w:val="24"/>
              </w:rPr>
              <w:t>高远球</w:t>
            </w:r>
            <w:proofErr w:type="gramEnd"/>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756C47AF" w14:textId="77777777" w:rsidR="000B25E0" w:rsidRPr="000B25E0" w:rsidRDefault="000B25E0" w:rsidP="000B25E0">
            <w:pPr>
              <w:widowControl/>
              <w:jc w:val="center"/>
              <w:rPr>
                <w:rFonts w:ascii="宋体" w:eastAsia="宋体" w:hAnsi="Calibri" w:cs="宋体"/>
                <w:spacing w:val="1"/>
                <w:kern w:val="0"/>
                <w:sz w:val="24"/>
              </w:rPr>
            </w:pPr>
            <w:r w:rsidRPr="000B25E0">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5606F3EB" w14:textId="77777777" w:rsidR="000B25E0" w:rsidRPr="000B25E0" w:rsidRDefault="000B25E0" w:rsidP="000B25E0">
            <w:pPr>
              <w:widowControl/>
              <w:jc w:val="left"/>
              <w:rPr>
                <w:rFonts w:ascii="宋体" w:eastAsia="宋体" w:hAnsi="Calibri" w:cs="宋体"/>
                <w:spacing w:val="1"/>
                <w:kern w:val="0"/>
                <w:sz w:val="24"/>
              </w:rPr>
            </w:pPr>
          </w:p>
        </w:tc>
      </w:tr>
      <w:tr w:rsidR="000B25E0" w:rsidRPr="000B25E0" w14:paraId="52DF7F57" w14:textId="77777777" w:rsidTr="00BF5EF3">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1779E677" w14:textId="77777777" w:rsidR="000B25E0" w:rsidRPr="000B25E0" w:rsidRDefault="000B25E0" w:rsidP="000B25E0">
            <w:pPr>
              <w:widowControl/>
              <w:jc w:val="left"/>
              <w:rPr>
                <w:rFonts w:ascii="宋体" w:eastAsia="宋体" w:hAnsi="Calibri" w:cs="宋体"/>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3A8B21A5" w14:textId="77777777" w:rsidR="000B25E0" w:rsidRPr="000B25E0" w:rsidRDefault="000B25E0" w:rsidP="000B25E0">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6969C8C" w14:textId="77777777" w:rsidR="000B25E0" w:rsidRPr="000B25E0" w:rsidRDefault="000B25E0" w:rsidP="000B25E0">
            <w:pPr>
              <w:widowControl/>
              <w:jc w:val="center"/>
              <w:rPr>
                <w:rFonts w:ascii="宋体" w:eastAsia="宋体" w:hAnsi="Calibri" w:cs="宋体"/>
                <w:spacing w:val="1"/>
                <w:kern w:val="0"/>
                <w:sz w:val="24"/>
              </w:rPr>
            </w:pPr>
            <w:proofErr w:type="gramStart"/>
            <w:r w:rsidRPr="000B25E0">
              <w:rPr>
                <w:rFonts w:ascii="宋体" w:eastAsia="宋体" w:hAnsi="Calibri" w:cs="宋体" w:hint="eastAsia"/>
                <w:spacing w:val="1"/>
                <w:kern w:val="0"/>
                <w:sz w:val="24"/>
              </w:rPr>
              <w:t>正手平</w:t>
            </w:r>
            <w:proofErr w:type="gramEnd"/>
            <w:r w:rsidRPr="000B25E0">
              <w:rPr>
                <w:rFonts w:ascii="宋体" w:eastAsia="宋体" w:hAnsi="Calibri" w:cs="宋体" w:hint="eastAsia"/>
                <w:spacing w:val="1"/>
                <w:kern w:val="0"/>
                <w:sz w:val="24"/>
              </w:rPr>
              <w:t>击球</w:t>
            </w: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5B006606" w14:textId="77777777" w:rsidR="000B25E0" w:rsidRPr="000B25E0" w:rsidRDefault="000B25E0" w:rsidP="000B25E0">
            <w:pPr>
              <w:widowControl/>
              <w:jc w:val="left"/>
              <w:rPr>
                <w:rFonts w:ascii="宋体" w:eastAsia="宋体" w:hAnsi="Calibri" w:cs="宋体"/>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3956D2BD" w14:textId="77777777" w:rsidR="000B25E0" w:rsidRPr="000B25E0" w:rsidRDefault="000B25E0" w:rsidP="000B25E0">
            <w:pPr>
              <w:widowControl/>
              <w:jc w:val="left"/>
              <w:rPr>
                <w:rFonts w:ascii="宋体" w:eastAsia="宋体" w:hAnsi="Calibri" w:cs="宋体"/>
                <w:spacing w:val="1"/>
                <w:kern w:val="0"/>
                <w:sz w:val="24"/>
              </w:rPr>
            </w:pPr>
          </w:p>
        </w:tc>
      </w:tr>
    </w:tbl>
    <w:p w14:paraId="63250EE9"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学习内容二 羽毛球 1</w:t>
      </w:r>
    </w:p>
    <w:p w14:paraId="1FB9E679"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39CB8407"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w:t>
      </w:r>
      <w:r w:rsidRPr="000B25E0">
        <w:rPr>
          <w:rFonts w:ascii="宋体" w:eastAsia="宋体" w:hAnsi="宋体" w:cs="仿宋_GB2312" w:hint="eastAsia"/>
          <w:sz w:val="24"/>
        </w:rPr>
        <w:lastRenderedPageBreak/>
        <w:t>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4F94D2BD"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1B658078"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羽毛球运动的一般规律和特点，使学生获得羽毛球运动的基本技术、基本技能和基础理论知识，并了解现代羽毛球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1FFE2CF9" w14:textId="77777777" w:rsidR="000B25E0" w:rsidRPr="000B25E0" w:rsidRDefault="000B25E0" w:rsidP="000B25E0">
      <w:pPr>
        <w:spacing w:line="440" w:lineRule="exact"/>
        <w:ind w:firstLineChars="200" w:firstLine="500"/>
        <w:rPr>
          <w:rFonts w:ascii="宋体" w:eastAsia="宋体" w:hAnsi="宋体" w:cs="Times New Roman"/>
          <w:b/>
          <w:sz w:val="24"/>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75101AD4"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【学习内容】</w:t>
      </w:r>
    </w:p>
    <w:p w14:paraId="05E23712"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t>第一章  基本技术(18学时)</w:t>
      </w:r>
    </w:p>
    <w:p w14:paraId="52677159"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65744BEE" w14:textId="77777777" w:rsidR="000B25E0" w:rsidRPr="000B25E0" w:rsidRDefault="000B25E0" w:rsidP="000B25E0">
      <w:pPr>
        <w:adjustRightInd w:val="0"/>
        <w:snapToGrid w:val="0"/>
        <w:spacing w:line="440" w:lineRule="exact"/>
        <w:ind w:firstLineChars="200" w:firstLine="480"/>
        <w:rPr>
          <w:rFonts w:ascii="宋体" w:eastAsia="宋体" w:hAnsi="宋体" w:cs="Times New Roman"/>
          <w:color w:val="000000"/>
          <w:sz w:val="24"/>
          <w:szCs w:val="24"/>
        </w:rPr>
      </w:pPr>
      <w:r w:rsidRPr="000B25E0">
        <w:rPr>
          <w:rFonts w:ascii="宋体" w:eastAsia="宋体" w:hAnsi="宋体" w:cs="Times New Roman"/>
          <w:color w:val="000000"/>
          <w:sz w:val="24"/>
          <w:szCs w:val="24"/>
        </w:rPr>
        <w:t>1.</w:t>
      </w:r>
      <w:r w:rsidRPr="000B25E0">
        <w:rPr>
          <w:rFonts w:ascii="宋体" w:eastAsia="宋体" w:hAnsi="宋体" w:cs="Times New Roman" w:hint="eastAsia"/>
          <w:color w:val="000000"/>
          <w:sz w:val="24"/>
          <w:szCs w:val="24"/>
        </w:rPr>
        <w:t>1握拍法；站位；准备姿势。</w:t>
      </w:r>
    </w:p>
    <w:p w14:paraId="3991D92E" w14:textId="77777777" w:rsidR="000B25E0" w:rsidRPr="000B25E0" w:rsidRDefault="000B25E0" w:rsidP="000B25E0">
      <w:pPr>
        <w:adjustRightInd w:val="0"/>
        <w:snapToGrid w:val="0"/>
        <w:spacing w:line="440" w:lineRule="exact"/>
        <w:ind w:firstLineChars="200" w:firstLine="480"/>
        <w:rPr>
          <w:rFonts w:ascii="宋体" w:eastAsia="宋体" w:hAnsi="宋体" w:cs="Times New Roman"/>
          <w:color w:val="000000"/>
          <w:sz w:val="24"/>
          <w:szCs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2</w:t>
      </w:r>
      <w:r w:rsidRPr="000B25E0">
        <w:rPr>
          <w:rFonts w:ascii="宋体" w:eastAsia="宋体" w:hAnsi="宋体" w:cs="Times New Roman" w:hint="eastAsia"/>
          <w:color w:val="000000"/>
          <w:sz w:val="24"/>
          <w:szCs w:val="24"/>
        </w:rPr>
        <w:t>步法：跳步；跨步；并步；交叉步；碎步；滑步。</w:t>
      </w:r>
    </w:p>
    <w:p w14:paraId="2B458CE2" w14:textId="77777777" w:rsidR="000B25E0" w:rsidRPr="000B25E0" w:rsidRDefault="000B25E0" w:rsidP="000B25E0">
      <w:pPr>
        <w:adjustRightInd w:val="0"/>
        <w:snapToGrid w:val="0"/>
        <w:spacing w:line="440" w:lineRule="exact"/>
        <w:ind w:firstLineChars="200" w:firstLine="480"/>
        <w:rPr>
          <w:rFonts w:ascii="宋体" w:eastAsia="宋体" w:hAnsi="宋体" w:cs="Times New Roman"/>
          <w:color w:val="000000"/>
          <w:sz w:val="24"/>
          <w:szCs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3</w:t>
      </w:r>
      <w:r w:rsidRPr="000B25E0">
        <w:rPr>
          <w:rFonts w:ascii="宋体" w:eastAsia="宋体" w:hAnsi="宋体" w:cs="Times New Roman" w:hint="eastAsia"/>
          <w:color w:val="000000"/>
          <w:sz w:val="24"/>
          <w:szCs w:val="24"/>
        </w:rPr>
        <w:t>发球法：正手高远、正手网前、反手网前。</w:t>
      </w:r>
    </w:p>
    <w:p w14:paraId="263A8568" w14:textId="77777777" w:rsidR="000B25E0" w:rsidRPr="000B25E0" w:rsidRDefault="000B25E0" w:rsidP="000B25E0">
      <w:pPr>
        <w:adjustRightInd w:val="0"/>
        <w:snapToGrid w:val="0"/>
        <w:spacing w:line="440" w:lineRule="exact"/>
        <w:ind w:firstLineChars="200" w:firstLine="480"/>
        <w:rPr>
          <w:rFonts w:ascii="宋体" w:eastAsia="宋体" w:hAnsi="宋体" w:cs="Times New Roman"/>
          <w:color w:val="000000"/>
          <w:sz w:val="24"/>
          <w:szCs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4</w:t>
      </w:r>
      <w:r w:rsidRPr="000B25E0">
        <w:rPr>
          <w:rFonts w:ascii="宋体" w:eastAsia="宋体" w:hAnsi="宋体" w:cs="Times New Roman" w:hint="eastAsia"/>
          <w:color w:val="000000"/>
          <w:sz w:val="24"/>
          <w:szCs w:val="24"/>
        </w:rPr>
        <w:t>击球法：挑球、搓球、吊球、杀球等。</w:t>
      </w:r>
    </w:p>
    <w:p w14:paraId="2E1CAF50" w14:textId="77777777" w:rsidR="000B25E0" w:rsidRPr="000B25E0" w:rsidRDefault="000B25E0" w:rsidP="000B25E0">
      <w:pPr>
        <w:adjustRightInd w:val="0"/>
        <w:snapToGrid w:val="0"/>
        <w:spacing w:line="440" w:lineRule="exact"/>
        <w:ind w:firstLineChars="200" w:firstLine="480"/>
        <w:rPr>
          <w:rFonts w:ascii="宋体" w:eastAsia="宋体" w:hAnsi="宋体" w:cs="Times New Roman"/>
          <w:color w:val="000000"/>
          <w:sz w:val="24"/>
          <w:szCs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5</w:t>
      </w:r>
      <w:r w:rsidRPr="000B25E0">
        <w:rPr>
          <w:rFonts w:ascii="宋体" w:eastAsia="宋体" w:hAnsi="宋体" w:cs="Times New Roman" w:hint="eastAsia"/>
          <w:color w:val="000000"/>
          <w:sz w:val="24"/>
          <w:szCs w:val="24"/>
        </w:rPr>
        <w:t>单打战术：四方球、拉调突击等。</w:t>
      </w:r>
    </w:p>
    <w:p w14:paraId="1D7E634F"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b/>
          <w:sz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6</w:t>
      </w:r>
      <w:r w:rsidRPr="000B25E0">
        <w:rPr>
          <w:rFonts w:ascii="宋体" w:eastAsia="宋体" w:hAnsi="宋体" w:cs="Times New Roman" w:hint="eastAsia"/>
          <w:color w:val="000000"/>
          <w:sz w:val="24"/>
          <w:szCs w:val="24"/>
        </w:rPr>
        <w:t>双打战术：攻人战术、发球和发球抢攻战术等。</w:t>
      </w:r>
    </w:p>
    <w:p w14:paraId="14B49FF9" w14:textId="77777777" w:rsidR="000B25E0" w:rsidRPr="000B25E0" w:rsidRDefault="000B25E0" w:rsidP="000B25E0">
      <w:pPr>
        <w:adjustRightInd w:val="0"/>
        <w:snapToGrid w:val="0"/>
        <w:spacing w:line="500" w:lineRule="exact"/>
        <w:ind w:firstLineChars="200" w:firstLine="482"/>
        <w:rPr>
          <w:rFonts w:ascii="宋体" w:eastAsia="宋体" w:hAnsi="宋体" w:cs="宋体"/>
          <w:sz w:val="24"/>
        </w:rPr>
      </w:pPr>
      <w:r w:rsidRPr="000B25E0">
        <w:rPr>
          <w:rFonts w:ascii="宋体" w:eastAsia="宋体" w:hAnsi="宋体" w:cs="宋体" w:hint="eastAsia"/>
          <w:b/>
          <w:bCs/>
          <w:sz w:val="24"/>
        </w:rPr>
        <w:t>本章教学目的及要求</w:t>
      </w:r>
      <w:r w:rsidRPr="000B25E0">
        <w:rPr>
          <w:rFonts w:ascii="宋体" w:eastAsia="宋体" w:hAnsi="宋体" w:cs="宋体" w:hint="eastAsia"/>
          <w:sz w:val="24"/>
        </w:rPr>
        <w:t xml:space="preserve">：使学生掌握羽毛球基本技术要领，并能够熟练应用技术动作。 </w:t>
      </w:r>
    </w:p>
    <w:p w14:paraId="7069D7DD" w14:textId="77777777" w:rsidR="000B25E0" w:rsidRPr="000B25E0" w:rsidRDefault="000B25E0" w:rsidP="000B25E0">
      <w:pPr>
        <w:adjustRightInd w:val="0"/>
        <w:snapToGrid w:val="0"/>
        <w:spacing w:line="500" w:lineRule="exact"/>
        <w:ind w:firstLineChars="200" w:firstLine="482"/>
        <w:rPr>
          <w:rFonts w:ascii="宋体" w:eastAsia="宋体" w:hAnsi="宋体" w:cs="宋体"/>
          <w:sz w:val="24"/>
        </w:rPr>
      </w:pPr>
      <w:r w:rsidRPr="000B25E0">
        <w:rPr>
          <w:rFonts w:ascii="宋体" w:eastAsia="宋体" w:hAnsi="宋体" w:cs="宋体" w:hint="eastAsia"/>
          <w:b/>
          <w:bCs/>
          <w:sz w:val="24"/>
        </w:rPr>
        <w:t>本章教学重点及难点</w:t>
      </w:r>
      <w:r w:rsidRPr="000B25E0">
        <w:rPr>
          <w:rFonts w:ascii="宋体" w:eastAsia="宋体" w:hAnsi="宋体" w:cs="宋体" w:hint="eastAsia"/>
          <w:sz w:val="24"/>
        </w:rPr>
        <w:t xml:space="preserve">：掌握羽毛球基本技术要领、动作发力时机、灵活运用。 </w:t>
      </w:r>
    </w:p>
    <w:p w14:paraId="278B3345" w14:textId="77777777" w:rsidR="000B25E0" w:rsidRPr="000B25E0" w:rsidRDefault="000B25E0" w:rsidP="000B25E0">
      <w:pPr>
        <w:widowControl/>
        <w:spacing w:line="360" w:lineRule="auto"/>
        <w:jc w:val="left"/>
        <w:rPr>
          <w:rFonts w:ascii="宋体" w:eastAsia="宋体" w:hAnsi="宋体" w:cs="Times New Roman"/>
          <w:sz w:val="24"/>
        </w:rPr>
      </w:pPr>
    </w:p>
    <w:p w14:paraId="223AACD1"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t>第二章  基本战术（8学时）</w:t>
      </w:r>
    </w:p>
    <w:p w14:paraId="4004A418"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0D180237"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2.1比赛站位；</w:t>
      </w:r>
    </w:p>
    <w:p w14:paraId="6D19B51F"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2.2个人进攻及防守战术；</w:t>
      </w:r>
    </w:p>
    <w:p w14:paraId="0E46487F" w14:textId="77777777" w:rsidR="000B25E0" w:rsidRPr="000B25E0" w:rsidRDefault="000B25E0" w:rsidP="000B25E0">
      <w:pPr>
        <w:adjustRightInd w:val="0"/>
        <w:snapToGrid w:val="0"/>
        <w:spacing w:line="500" w:lineRule="exact"/>
        <w:ind w:firstLineChars="200" w:firstLine="482"/>
        <w:rPr>
          <w:rFonts w:ascii="宋体" w:eastAsia="宋体" w:hAnsi="宋体" w:cs="宋体"/>
          <w:sz w:val="24"/>
        </w:rPr>
      </w:pPr>
      <w:r w:rsidRPr="000B25E0">
        <w:rPr>
          <w:rFonts w:ascii="宋体" w:eastAsia="宋体" w:hAnsi="宋体" w:cs="宋体" w:hint="eastAsia"/>
          <w:b/>
          <w:bCs/>
          <w:sz w:val="24"/>
        </w:rPr>
        <w:t>教学目的及要求</w:t>
      </w:r>
      <w:r w:rsidRPr="000B25E0">
        <w:rPr>
          <w:rFonts w:ascii="宋体" w:eastAsia="宋体" w:hAnsi="宋体" w:cs="宋体" w:hint="eastAsia"/>
          <w:sz w:val="24"/>
        </w:rPr>
        <w:t xml:space="preserve">：使学生掌握羽毛球基本战术要领，并能够熟练应用。 </w:t>
      </w:r>
    </w:p>
    <w:p w14:paraId="3957E8B5" w14:textId="77777777" w:rsidR="000B25E0" w:rsidRPr="000B25E0" w:rsidRDefault="000B25E0" w:rsidP="000B25E0">
      <w:pPr>
        <w:adjustRightInd w:val="0"/>
        <w:snapToGrid w:val="0"/>
        <w:spacing w:line="500" w:lineRule="exact"/>
        <w:ind w:firstLineChars="200" w:firstLine="482"/>
        <w:rPr>
          <w:rFonts w:ascii="宋体" w:eastAsia="宋体" w:hAnsi="宋体" w:cs="宋体"/>
          <w:sz w:val="24"/>
        </w:rPr>
      </w:pPr>
      <w:r w:rsidRPr="000B25E0">
        <w:rPr>
          <w:rFonts w:ascii="宋体" w:eastAsia="宋体" w:hAnsi="宋体" w:cs="宋体" w:hint="eastAsia"/>
          <w:b/>
          <w:bCs/>
          <w:sz w:val="24"/>
        </w:rPr>
        <w:t>教学重点及难点</w:t>
      </w:r>
      <w:r w:rsidRPr="000B25E0">
        <w:rPr>
          <w:rFonts w:ascii="宋体" w:eastAsia="宋体" w:hAnsi="宋体" w:cs="宋体" w:hint="eastAsia"/>
          <w:sz w:val="24"/>
        </w:rPr>
        <w:t>：战术应用的灵活性、准确性、合理性。</w:t>
      </w:r>
    </w:p>
    <w:p w14:paraId="7C8746E9" w14:textId="77777777" w:rsidR="000B25E0" w:rsidRPr="000B25E0" w:rsidRDefault="000B25E0" w:rsidP="000B25E0">
      <w:pPr>
        <w:spacing w:line="360" w:lineRule="auto"/>
        <w:rPr>
          <w:rFonts w:ascii="宋体" w:eastAsia="宋体" w:hAnsi="宋体" w:cs="Times New Roman"/>
          <w:sz w:val="24"/>
        </w:rPr>
      </w:pPr>
    </w:p>
    <w:p w14:paraId="6CB84CB5"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t>第二章  身体素质（6学时）</w:t>
      </w:r>
    </w:p>
    <w:p w14:paraId="7563A387" w14:textId="77777777" w:rsidR="000B25E0" w:rsidRPr="000B25E0" w:rsidRDefault="000B25E0" w:rsidP="000B25E0">
      <w:pPr>
        <w:spacing w:line="360" w:lineRule="auto"/>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0A8561EA"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3.1速度素质、耐力素质、灵敏素质。</w:t>
      </w:r>
    </w:p>
    <w:p w14:paraId="3A0A08D4" w14:textId="77777777" w:rsidR="000B25E0" w:rsidRPr="000B25E0" w:rsidRDefault="000B25E0" w:rsidP="000B25E0">
      <w:pPr>
        <w:adjustRightInd w:val="0"/>
        <w:snapToGrid w:val="0"/>
        <w:spacing w:line="500" w:lineRule="exact"/>
        <w:ind w:firstLineChars="200" w:firstLine="480"/>
        <w:rPr>
          <w:rFonts w:ascii="Calibri" w:eastAsia="宋体" w:hAnsi="Calibri" w:cs="Times New Roman"/>
          <w:sz w:val="24"/>
        </w:rPr>
      </w:pPr>
      <w:r w:rsidRPr="000B25E0">
        <w:rPr>
          <w:rFonts w:ascii="宋体" w:eastAsia="宋体" w:hAnsi="宋体" w:cs="宋体" w:hint="eastAsia"/>
          <w:sz w:val="24"/>
        </w:rPr>
        <w:t>3.2教学目的及要求：使学生掌握羽毛球运动需要的基本身体素质。</w:t>
      </w:r>
      <w:r w:rsidRPr="000B25E0">
        <w:rPr>
          <w:rFonts w:ascii="Calibri" w:eastAsia="宋体" w:hAnsi="Calibri" w:cs="Times New Roman" w:hint="eastAsia"/>
          <w:sz w:val="24"/>
        </w:rPr>
        <w:t xml:space="preserve"> </w:t>
      </w:r>
    </w:p>
    <w:p w14:paraId="2E01770C"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bCs/>
          <w:sz w:val="24"/>
        </w:rPr>
        <w:t>教学重点及难点</w:t>
      </w:r>
      <w:r w:rsidRPr="000B25E0">
        <w:rPr>
          <w:rFonts w:ascii="Calibri" w:eastAsia="宋体" w:hAnsi="Calibri" w:cs="Times New Roman" w:hint="eastAsia"/>
          <w:sz w:val="24"/>
        </w:rPr>
        <w:t>：身体耐力、肌肉力量、柔韧性。</w:t>
      </w:r>
    </w:p>
    <w:p w14:paraId="0940CC86"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学习内容三 羽毛球 2</w:t>
      </w:r>
    </w:p>
    <w:p w14:paraId="15F2D6E5"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202ADB19"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272401A2"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2B5F7C7E"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lastRenderedPageBreak/>
        <w:t>3.</w:t>
      </w:r>
      <w:r w:rsidRPr="000B25E0">
        <w:rPr>
          <w:rFonts w:ascii="宋体" w:eastAsia="宋体" w:hAnsi="宋体" w:cs="仿宋_GB2312" w:hint="eastAsia"/>
          <w:sz w:val="24"/>
        </w:rPr>
        <w:t>使学生能够掌握羽毛球运动的一般规律和特点，使学生获得羽毛球运动的基本技术、基本技能和基础理论知识，并了解现代羽毛球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0937C30C" w14:textId="77777777" w:rsidR="000B25E0" w:rsidRPr="000B25E0" w:rsidRDefault="000B25E0" w:rsidP="000B25E0">
      <w:pPr>
        <w:spacing w:line="440" w:lineRule="exact"/>
        <w:ind w:firstLineChars="200" w:firstLine="500"/>
        <w:rPr>
          <w:rFonts w:ascii="宋体" w:eastAsia="宋体" w:hAnsi="宋体" w:cs="Times New Roman"/>
          <w:b/>
          <w:sz w:val="24"/>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3B424B99" w14:textId="77777777" w:rsidR="000B25E0" w:rsidRPr="000B25E0" w:rsidRDefault="000B25E0" w:rsidP="000B25E0">
      <w:pPr>
        <w:spacing w:line="440" w:lineRule="exact"/>
        <w:ind w:firstLineChars="200" w:firstLine="482"/>
        <w:rPr>
          <w:rFonts w:ascii="宋体" w:eastAsia="宋体" w:hAnsi="宋体" w:cs="Times New Roman"/>
          <w:b/>
          <w:sz w:val="24"/>
        </w:rPr>
      </w:pPr>
      <w:r w:rsidRPr="000B25E0">
        <w:rPr>
          <w:rFonts w:ascii="宋体" w:eastAsia="宋体" w:hAnsi="宋体" w:cs="Times New Roman" w:hint="eastAsia"/>
          <w:b/>
          <w:sz w:val="24"/>
        </w:rPr>
        <w:t>【学习内容】</w:t>
      </w:r>
    </w:p>
    <w:p w14:paraId="795AF4CF"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t>第一章  基本技术(12学时)</w:t>
      </w:r>
    </w:p>
    <w:p w14:paraId="316EAD4D"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7DFB1F70" w14:textId="77777777" w:rsidR="000B25E0" w:rsidRPr="000B25E0" w:rsidRDefault="000B25E0" w:rsidP="000B25E0">
      <w:pPr>
        <w:adjustRightInd w:val="0"/>
        <w:snapToGrid w:val="0"/>
        <w:spacing w:line="440" w:lineRule="exact"/>
        <w:ind w:firstLineChars="200" w:firstLine="480"/>
        <w:rPr>
          <w:rFonts w:ascii="宋体" w:eastAsia="宋体" w:hAnsi="宋体" w:cs="Times New Roman"/>
          <w:color w:val="000000"/>
          <w:sz w:val="24"/>
          <w:szCs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1</w:t>
      </w:r>
      <w:r w:rsidRPr="000B25E0">
        <w:rPr>
          <w:rFonts w:ascii="宋体" w:eastAsia="宋体" w:hAnsi="宋体" w:cs="Times New Roman" w:hint="eastAsia"/>
          <w:color w:val="000000"/>
          <w:sz w:val="24"/>
          <w:szCs w:val="24"/>
        </w:rPr>
        <w:t>握拍法；站位；准备姿势。</w:t>
      </w:r>
    </w:p>
    <w:p w14:paraId="25F1FBEF" w14:textId="77777777" w:rsidR="000B25E0" w:rsidRPr="000B25E0" w:rsidRDefault="000B25E0" w:rsidP="000B25E0">
      <w:pPr>
        <w:adjustRightInd w:val="0"/>
        <w:snapToGrid w:val="0"/>
        <w:spacing w:line="440" w:lineRule="exact"/>
        <w:ind w:firstLineChars="200" w:firstLine="480"/>
        <w:rPr>
          <w:rFonts w:ascii="宋体" w:eastAsia="宋体" w:hAnsi="宋体" w:cs="Times New Roman"/>
          <w:color w:val="000000"/>
          <w:sz w:val="24"/>
          <w:szCs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2</w:t>
      </w:r>
      <w:r w:rsidRPr="000B25E0">
        <w:rPr>
          <w:rFonts w:ascii="宋体" w:eastAsia="宋体" w:hAnsi="宋体" w:cs="Times New Roman" w:hint="eastAsia"/>
          <w:color w:val="000000"/>
          <w:sz w:val="24"/>
          <w:szCs w:val="24"/>
        </w:rPr>
        <w:t>步法：跳步；跨步；并步；交叉步；碎步；滑步。</w:t>
      </w:r>
    </w:p>
    <w:p w14:paraId="4F5AB732" w14:textId="77777777" w:rsidR="000B25E0" w:rsidRPr="000B25E0" w:rsidRDefault="000B25E0" w:rsidP="000B25E0">
      <w:pPr>
        <w:adjustRightInd w:val="0"/>
        <w:snapToGrid w:val="0"/>
        <w:spacing w:line="440" w:lineRule="exact"/>
        <w:ind w:firstLineChars="200" w:firstLine="480"/>
        <w:rPr>
          <w:rFonts w:ascii="宋体" w:eastAsia="宋体" w:hAnsi="宋体" w:cs="Times New Roman"/>
          <w:color w:val="000000"/>
          <w:sz w:val="24"/>
          <w:szCs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3</w:t>
      </w:r>
      <w:r w:rsidRPr="000B25E0">
        <w:rPr>
          <w:rFonts w:ascii="宋体" w:eastAsia="宋体" w:hAnsi="宋体" w:cs="Times New Roman" w:hint="eastAsia"/>
          <w:color w:val="000000"/>
          <w:sz w:val="24"/>
          <w:szCs w:val="24"/>
        </w:rPr>
        <w:t>发球法：正手高远、正手网前、反手网前。</w:t>
      </w:r>
    </w:p>
    <w:p w14:paraId="6632DBEB" w14:textId="77777777" w:rsidR="000B25E0" w:rsidRPr="000B25E0" w:rsidRDefault="000B25E0" w:rsidP="000B25E0">
      <w:pPr>
        <w:adjustRightInd w:val="0"/>
        <w:snapToGrid w:val="0"/>
        <w:spacing w:line="440" w:lineRule="exact"/>
        <w:ind w:firstLineChars="200" w:firstLine="480"/>
        <w:rPr>
          <w:rFonts w:ascii="宋体" w:eastAsia="宋体" w:hAnsi="宋体" w:cs="Times New Roman"/>
          <w:color w:val="000000"/>
          <w:sz w:val="24"/>
          <w:szCs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4</w:t>
      </w:r>
      <w:r w:rsidRPr="000B25E0">
        <w:rPr>
          <w:rFonts w:ascii="宋体" w:eastAsia="宋体" w:hAnsi="宋体" w:cs="Times New Roman" w:hint="eastAsia"/>
          <w:color w:val="000000"/>
          <w:sz w:val="24"/>
          <w:szCs w:val="24"/>
        </w:rPr>
        <w:t>击球法：挑球、搓球、吊球、杀球等。</w:t>
      </w:r>
    </w:p>
    <w:p w14:paraId="482BAFA5" w14:textId="77777777" w:rsidR="000B25E0" w:rsidRPr="000B25E0" w:rsidRDefault="000B25E0" w:rsidP="000B25E0">
      <w:pPr>
        <w:adjustRightInd w:val="0"/>
        <w:snapToGrid w:val="0"/>
        <w:spacing w:line="440" w:lineRule="exact"/>
        <w:ind w:firstLineChars="200" w:firstLine="480"/>
        <w:rPr>
          <w:rFonts w:ascii="宋体" w:eastAsia="宋体" w:hAnsi="宋体" w:cs="Times New Roman"/>
          <w:color w:val="000000"/>
          <w:sz w:val="24"/>
          <w:szCs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5</w:t>
      </w:r>
      <w:r w:rsidRPr="000B25E0">
        <w:rPr>
          <w:rFonts w:ascii="宋体" w:eastAsia="宋体" w:hAnsi="宋体" w:cs="Times New Roman" w:hint="eastAsia"/>
          <w:color w:val="000000"/>
          <w:sz w:val="24"/>
          <w:szCs w:val="24"/>
        </w:rPr>
        <w:t>单打战术：四方球、拉调突击等。</w:t>
      </w:r>
    </w:p>
    <w:p w14:paraId="4EFE2EA6" w14:textId="77777777" w:rsidR="000B25E0" w:rsidRPr="000B25E0" w:rsidRDefault="000B25E0" w:rsidP="000B25E0">
      <w:pPr>
        <w:adjustRightInd w:val="0"/>
        <w:snapToGrid w:val="0"/>
        <w:spacing w:line="500" w:lineRule="exact"/>
        <w:ind w:firstLineChars="200" w:firstLine="480"/>
        <w:rPr>
          <w:rFonts w:ascii="宋体" w:eastAsia="宋体" w:hAnsi="宋体" w:cs="Times New Roman"/>
          <w:color w:val="000000"/>
          <w:sz w:val="24"/>
          <w:szCs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6</w:t>
      </w:r>
      <w:r w:rsidRPr="000B25E0">
        <w:rPr>
          <w:rFonts w:ascii="宋体" w:eastAsia="宋体" w:hAnsi="宋体" w:cs="Times New Roman" w:hint="eastAsia"/>
          <w:color w:val="000000"/>
          <w:sz w:val="24"/>
          <w:szCs w:val="24"/>
        </w:rPr>
        <w:t>双打战术：攻人战术、发球和发球抢攻战术等。</w:t>
      </w:r>
    </w:p>
    <w:p w14:paraId="08506AC1"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sz w:val="24"/>
        </w:rPr>
        <w:t>本章教学目的及要求</w:t>
      </w:r>
      <w:r w:rsidRPr="000B25E0">
        <w:rPr>
          <w:rFonts w:ascii="Calibri" w:eastAsia="宋体" w:hAnsi="Calibri" w:cs="Times New Roman" w:hint="eastAsia"/>
          <w:sz w:val="24"/>
        </w:rPr>
        <w:t>：使学生掌握羽毛球基本技术要领，并能够熟练应用技术动作。</w:t>
      </w:r>
      <w:r w:rsidRPr="000B25E0">
        <w:rPr>
          <w:rFonts w:ascii="Calibri" w:eastAsia="宋体" w:hAnsi="Calibri" w:cs="Times New Roman" w:hint="eastAsia"/>
          <w:sz w:val="24"/>
        </w:rPr>
        <w:t xml:space="preserve"> </w:t>
      </w:r>
    </w:p>
    <w:p w14:paraId="101C166E" w14:textId="77777777" w:rsidR="000B25E0" w:rsidRPr="000B25E0" w:rsidRDefault="000B25E0" w:rsidP="000B25E0">
      <w:pPr>
        <w:adjustRightInd w:val="0"/>
        <w:snapToGrid w:val="0"/>
        <w:spacing w:line="500" w:lineRule="exact"/>
        <w:ind w:firstLineChars="200" w:firstLine="482"/>
        <w:rPr>
          <w:rFonts w:ascii="宋体" w:eastAsia="宋体" w:hAnsi="宋体" w:cs="Times New Roman"/>
          <w:sz w:val="24"/>
        </w:rPr>
      </w:pPr>
      <w:r w:rsidRPr="000B25E0">
        <w:rPr>
          <w:rFonts w:ascii="Calibri" w:eastAsia="宋体" w:hAnsi="Calibri" w:cs="Times New Roman" w:hint="eastAsia"/>
          <w:b/>
          <w:sz w:val="24"/>
        </w:rPr>
        <w:t>本章教学重点及难点</w:t>
      </w:r>
      <w:r w:rsidRPr="000B25E0">
        <w:rPr>
          <w:rFonts w:ascii="Calibri" w:eastAsia="宋体" w:hAnsi="Calibri" w:cs="Times New Roman" w:hint="eastAsia"/>
          <w:sz w:val="24"/>
        </w:rPr>
        <w:t>：掌握羽毛球基本技术要领、动作发力时机、灵活运用。</w:t>
      </w:r>
      <w:r w:rsidRPr="000B25E0">
        <w:rPr>
          <w:rFonts w:ascii="宋体" w:eastAsia="宋体" w:hAnsi="宋体" w:cs="Times New Roman"/>
          <w:sz w:val="24"/>
        </w:rPr>
        <w:t xml:space="preserve"> </w:t>
      </w:r>
    </w:p>
    <w:p w14:paraId="209522CD"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t>第二章  基本战术（8学时）</w:t>
      </w:r>
    </w:p>
    <w:p w14:paraId="1464C5BA"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79022D56"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2.1比赛站位；</w:t>
      </w:r>
    </w:p>
    <w:p w14:paraId="639221FE"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2.2个人进攻及防守战术；</w:t>
      </w:r>
    </w:p>
    <w:p w14:paraId="782F00E2"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sz w:val="24"/>
        </w:rPr>
        <w:t>教学目的及要求</w:t>
      </w:r>
      <w:r w:rsidRPr="000B25E0">
        <w:rPr>
          <w:rFonts w:ascii="Calibri" w:eastAsia="宋体" w:hAnsi="Calibri" w:cs="Times New Roman" w:hint="eastAsia"/>
          <w:sz w:val="24"/>
        </w:rPr>
        <w:t>：使学生掌握羽毛球基本战术要领，并能够熟练应用。</w:t>
      </w:r>
      <w:r w:rsidRPr="000B25E0">
        <w:rPr>
          <w:rFonts w:ascii="Calibri" w:eastAsia="宋体" w:hAnsi="Calibri" w:cs="Times New Roman" w:hint="eastAsia"/>
          <w:sz w:val="24"/>
        </w:rPr>
        <w:t xml:space="preserve"> </w:t>
      </w:r>
    </w:p>
    <w:p w14:paraId="3E41E8B8" w14:textId="77777777" w:rsidR="000B25E0" w:rsidRPr="000B25E0" w:rsidRDefault="000B25E0" w:rsidP="000B25E0">
      <w:pPr>
        <w:adjustRightInd w:val="0"/>
        <w:snapToGrid w:val="0"/>
        <w:spacing w:line="500" w:lineRule="exact"/>
        <w:ind w:firstLineChars="200" w:firstLine="482"/>
        <w:rPr>
          <w:rFonts w:ascii="宋体" w:eastAsia="宋体" w:hAnsi="宋体" w:cs="Times New Roman"/>
          <w:sz w:val="24"/>
        </w:rPr>
      </w:pPr>
      <w:r w:rsidRPr="000B25E0">
        <w:rPr>
          <w:rFonts w:ascii="Calibri" w:eastAsia="宋体" w:hAnsi="Calibri" w:cs="Times New Roman" w:hint="eastAsia"/>
          <w:b/>
          <w:sz w:val="24"/>
        </w:rPr>
        <w:t>教学重点及难点</w:t>
      </w:r>
      <w:r w:rsidRPr="000B25E0">
        <w:rPr>
          <w:rFonts w:ascii="Calibri" w:eastAsia="宋体" w:hAnsi="Calibri" w:cs="Times New Roman" w:hint="eastAsia"/>
          <w:sz w:val="24"/>
        </w:rPr>
        <w:t>：战术应用的灵活性、准确性、合理性。</w:t>
      </w:r>
    </w:p>
    <w:p w14:paraId="0189B62F"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lastRenderedPageBreak/>
        <w:t>第三章  教学比赛、裁判实习（8学时）</w:t>
      </w:r>
    </w:p>
    <w:p w14:paraId="1B1EECAA" w14:textId="77777777" w:rsidR="000B25E0" w:rsidRPr="000B25E0" w:rsidRDefault="000B25E0" w:rsidP="000B25E0">
      <w:pPr>
        <w:spacing w:line="360" w:lineRule="auto"/>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0C69E318"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3.1《羽毛球与裁判罚规则》</w:t>
      </w:r>
    </w:p>
    <w:p w14:paraId="5539CA93"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 xml:space="preserve">3.2教学目的及要求：使学生掌握羽毛球比赛规则，裁判方法，对比赛的良好控制。 </w:t>
      </w:r>
    </w:p>
    <w:p w14:paraId="251D4A19" w14:textId="77777777" w:rsidR="000B25E0" w:rsidRPr="000B25E0" w:rsidRDefault="000B25E0" w:rsidP="000B25E0">
      <w:pPr>
        <w:adjustRightInd w:val="0"/>
        <w:snapToGrid w:val="0"/>
        <w:spacing w:line="500" w:lineRule="exact"/>
        <w:ind w:firstLineChars="200" w:firstLine="482"/>
        <w:rPr>
          <w:rFonts w:ascii="宋体" w:eastAsia="宋体" w:hAnsi="宋体" w:cs="Times New Roman"/>
          <w:b/>
          <w:sz w:val="28"/>
          <w:szCs w:val="28"/>
        </w:rPr>
      </w:pPr>
      <w:r w:rsidRPr="000B25E0">
        <w:rPr>
          <w:rFonts w:ascii="Calibri" w:eastAsia="宋体" w:hAnsi="Calibri" w:cs="Times New Roman" w:hint="eastAsia"/>
          <w:b/>
          <w:sz w:val="24"/>
        </w:rPr>
        <w:t>教学重点及难点</w:t>
      </w:r>
      <w:r w:rsidRPr="000B25E0">
        <w:rPr>
          <w:rFonts w:ascii="Calibri" w:eastAsia="宋体" w:hAnsi="Calibri" w:cs="Times New Roman" w:hint="eastAsia"/>
          <w:sz w:val="24"/>
        </w:rPr>
        <w:t>：使学生掌握羽毛球运动比赛规则。</w:t>
      </w:r>
    </w:p>
    <w:p w14:paraId="6FB07766" w14:textId="77777777" w:rsidR="000B25E0" w:rsidRPr="000B25E0" w:rsidRDefault="000B25E0" w:rsidP="000B25E0">
      <w:pPr>
        <w:adjustRightInd w:val="0"/>
        <w:snapToGrid w:val="0"/>
        <w:spacing w:beforeLines="50" w:before="156" w:afterLines="50" w:after="156" w:line="500" w:lineRule="exact"/>
        <w:jc w:val="center"/>
        <w:rPr>
          <w:rFonts w:ascii="Arial" w:eastAsia="宋体" w:hAnsi="Arial" w:cs="Arial"/>
          <w:b/>
          <w:sz w:val="28"/>
          <w:szCs w:val="28"/>
        </w:rPr>
      </w:pPr>
      <w:r w:rsidRPr="000B25E0">
        <w:rPr>
          <w:rFonts w:ascii="宋体" w:eastAsia="宋体" w:hAnsi="宋体" w:cs="Times New Roman" w:hint="eastAsia"/>
          <w:b/>
          <w:sz w:val="28"/>
          <w:szCs w:val="28"/>
        </w:rPr>
        <w:t xml:space="preserve">第四章   </w:t>
      </w:r>
      <w:r w:rsidRPr="000B25E0">
        <w:rPr>
          <w:rFonts w:ascii="Arial" w:eastAsia="宋体" w:hAnsi="Arial" w:cs="Arial"/>
          <w:b/>
          <w:sz w:val="28"/>
          <w:szCs w:val="28"/>
        </w:rPr>
        <w:t>大</w:t>
      </w:r>
      <w:r w:rsidRPr="000B25E0">
        <w:rPr>
          <w:rFonts w:ascii="Arial" w:eastAsia="宋体" w:hAnsi="Calibri" w:cs="Arial" w:hint="eastAsia"/>
          <w:b/>
          <w:sz w:val="28"/>
          <w:szCs w:val="28"/>
        </w:rPr>
        <w:t>学生体质健康测评（</w:t>
      </w:r>
      <w:r w:rsidRPr="000B25E0">
        <w:rPr>
          <w:rFonts w:ascii="Arial" w:eastAsia="宋体" w:hAnsi="Calibri" w:cs="Arial" w:hint="eastAsia"/>
          <w:b/>
          <w:sz w:val="28"/>
          <w:szCs w:val="28"/>
        </w:rPr>
        <w:t>4</w:t>
      </w:r>
      <w:r w:rsidRPr="000B25E0">
        <w:rPr>
          <w:rFonts w:ascii="Arial" w:eastAsia="宋体" w:hAnsi="Calibri" w:cs="Arial" w:hint="eastAsia"/>
          <w:b/>
          <w:sz w:val="28"/>
          <w:szCs w:val="28"/>
        </w:rPr>
        <w:t>学时）</w:t>
      </w:r>
    </w:p>
    <w:p w14:paraId="5FE1677C" w14:textId="77777777" w:rsidR="000B25E0" w:rsidRPr="000B25E0" w:rsidRDefault="000B25E0" w:rsidP="000B25E0">
      <w:pPr>
        <w:spacing w:line="360" w:lineRule="auto"/>
        <w:ind w:firstLineChars="196" w:firstLine="472"/>
        <w:rPr>
          <w:rFonts w:ascii="Arial" w:eastAsia="宋体" w:hAnsi="Arial" w:cs="Arial"/>
          <w:b/>
          <w:sz w:val="24"/>
        </w:rPr>
      </w:pPr>
      <w:r w:rsidRPr="000B25E0">
        <w:rPr>
          <w:rFonts w:ascii="Arial" w:eastAsia="宋体" w:hAnsi="Calibri" w:cs="Arial" w:hint="eastAsia"/>
          <w:b/>
          <w:sz w:val="24"/>
        </w:rPr>
        <w:t>本章主要教学内容：</w:t>
      </w:r>
    </w:p>
    <w:p w14:paraId="654BDB62"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4.1 《国家学生体质健康标准》实施说明</w:t>
      </w:r>
    </w:p>
    <w:p w14:paraId="2A2C288D"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4.2 《国家学生体质健康标准》测试评分表</w:t>
      </w:r>
    </w:p>
    <w:p w14:paraId="7B1C7CEA" w14:textId="77777777" w:rsidR="000B25E0" w:rsidRPr="000B25E0" w:rsidRDefault="000B25E0" w:rsidP="000B25E0">
      <w:pPr>
        <w:spacing w:line="360" w:lineRule="auto"/>
        <w:ind w:firstLineChars="196" w:firstLine="472"/>
        <w:rPr>
          <w:rFonts w:ascii="Calibri" w:eastAsia="宋体" w:hAnsi="Calibri" w:cs="Times New Roman"/>
          <w:bCs/>
          <w:sz w:val="24"/>
        </w:rPr>
      </w:pPr>
      <w:r w:rsidRPr="000B25E0">
        <w:rPr>
          <w:rFonts w:ascii="Arial" w:eastAsia="宋体" w:hAnsi="Calibri" w:cs="Arial" w:hint="eastAsia"/>
          <w:b/>
          <w:sz w:val="24"/>
        </w:rPr>
        <w:t>本章教学目的及要求：</w:t>
      </w:r>
      <w:r w:rsidRPr="000B25E0">
        <w:rPr>
          <w:rFonts w:ascii="Calibri" w:eastAsia="宋体" w:hAnsi="Calibri" w:cs="Times New Roman" w:hint="eastAsia"/>
          <w:bCs/>
          <w:sz w:val="24"/>
        </w:rPr>
        <w:t>使学生了解体质健康的主要内容及要求。</w:t>
      </w:r>
    </w:p>
    <w:p w14:paraId="0EF11918" w14:textId="77777777" w:rsidR="000B25E0" w:rsidRPr="000B25E0" w:rsidRDefault="000B25E0" w:rsidP="000B25E0">
      <w:pPr>
        <w:spacing w:line="360" w:lineRule="auto"/>
        <w:ind w:firstLineChars="196" w:firstLine="472"/>
        <w:rPr>
          <w:rFonts w:ascii="宋体" w:eastAsia="宋体" w:hAnsi="宋体" w:cs="宋体"/>
          <w:sz w:val="24"/>
        </w:rPr>
      </w:pPr>
      <w:r w:rsidRPr="000B25E0">
        <w:rPr>
          <w:rFonts w:ascii="Arial" w:eastAsia="宋体" w:hAnsi="Calibri" w:cs="Arial" w:hint="eastAsia"/>
          <w:b/>
          <w:sz w:val="24"/>
        </w:rPr>
        <w:t>本章教学重点及难点：</w:t>
      </w:r>
      <w:r w:rsidRPr="000B25E0">
        <w:rPr>
          <w:rFonts w:ascii="Arial" w:eastAsia="宋体" w:hAnsi="Calibri" w:cs="Arial" w:hint="eastAsia"/>
          <w:sz w:val="24"/>
        </w:rPr>
        <w:t>学生体质健康标准的重要性；如何激发学生锻炼身体的积极性和自觉性。</w:t>
      </w:r>
    </w:p>
    <w:p w14:paraId="525C5967" w14:textId="77777777" w:rsidR="000B25E0" w:rsidRPr="000B25E0" w:rsidRDefault="000B25E0" w:rsidP="000B25E0">
      <w:pPr>
        <w:spacing w:beforeLines="50" w:before="156" w:afterLines="50" w:after="156" w:line="440" w:lineRule="exact"/>
        <w:ind w:firstLineChars="200" w:firstLine="560"/>
        <w:jc w:val="center"/>
        <w:rPr>
          <w:rFonts w:ascii="黑体" w:eastAsia="黑体" w:hAnsi="黑体" w:cs="Times New Roman"/>
          <w:sz w:val="28"/>
          <w:szCs w:val="28"/>
        </w:rPr>
      </w:pPr>
      <w:r w:rsidRPr="000B25E0">
        <w:rPr>
          <w:rFonts w:ascii="黑体" w:eastAsia="黑体" w:hAnsi="黑体" w:cs="Times New Roman" w:hint="eastAsia"/>
          <w:sz w:val="28"/>
          <w:szCs w:val="28"/>
        </w:rPr>
        <w:t>学习内容四 羽毛球 3</w:t>
      </w:r>
    </w:p>
    <w:p w14:paraId="3BDE9A49"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【学习目标】</w:t>
      </w:r>
    </w:p>
    <w:p w14:paraId="65D1C280"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w:t>
      </w:r>
      <w:r w:rsidRPr="000B25E0">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0B25E0">
        <w:rPr>
          <w:rFonts w:ascii="宋体" w:eastAsia="宋体" w:hAnsi="Calibri" w:cs="宋体" w:hint="eastAsia"/>
          <w:spacing w:val="5"/>
          <w:kern w:val="0"/>
          <w:sz w:val="24"/>
        </w:rPr>
        <w:t>通过体能教学活动，</w:t>
      </w:r>
      <w:r w:rsidRPr="000B25E0">
        <w:rPr>
          <w:rFonts w:ascii="宋体" w:eastAsia="宋体" w:hAnsi="宋体" w:cs="仿宋_GB2312" w:hint="eastAsia"/>
          <w:sz w:val="24"/>
        </w:rPr>
        <w:t>了解《大学生体质健康标准测验》项目内容、考核方式、评价标准，掌握考核内容锻炼的方式方法。</w:t>
      </w:r>
      <w:r w:rsidRPr="000B25E0">
        <w:rPr>
          <w:rFonts w:ascii="宋体" w:eastAsia="宋体" w:hAnsi="Calibri" w:cs="宋体" w:hint="eastAsia"/>
          <w:spacing w:val="5"/>
          <w:kern w:val="0"/>
          <w:sz w:val="24"/>
        </w:rPr>
        <w:t>培养学生努力学习、不断进取、修身立业、顽强奋进的精神与品质。</w:t>
      </w:r>
    </w:p>
    <w:p w14:paraId="3B1F9C7D"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w:t>
      </w: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宋体" w:eastAsia="宋体" w:hAnsi="Calibri" w:cs="宋体" w:hint="eastAsia"/>
          <w:spacing w:val="5"/>
          <w:kern w:val="0"/>
          <w:sz w:val="24"/>
        </w:rPr>
        <w:t>。</w:t>
      </w:r>
    </w:p>
    <w:p w14:paraId="46C34824"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3.</w:t>
      </w:r>
      <w:r w:rsidRPr="000B25E0">
        <w:rPr>
          <w:rFonts w:ascii="宋体" w:eastAsia="宋体" w:hAnsi="宋体" w:cs="仿宋_GB2312" w:hint="eastAsia"/>
          <w:sz w:val="24"/>
        </w:rPr>
        <w:t>使学生能够掌握羽毛球运动的一般规律和特点，使学生获得羽毛球运动的基</w:t>
      </w:r>
      <w:r w:rsidRPr="000B25E0">
        <w:rPr>
          <w:rFonts w:ascii="宋体" w:eastAsia="宋体" w:hAnsi="宋体" w:cs="仿宋_GB2312" w:hint="eastAsia"/>
          <w:sz w:val="24"/>
        </w:rPr>
        <w:lastRenderedPageBreak/>
        <w:t>本技术、基本技能和基础理论知识，并了解现代羽毛球的发展趋势。以运动和身体练习为基本手段，对大学生机体进行科学的培育，在提高人的生物潜能、心理潜能的过程中促进德、智、体、美全面发展，达到身心健康、全面发展的教育总目的</w:t>
      </w:r>
      <w:r w:rsidRPr="000B25E0">
        <w:rPr>
          <w:rFonts w:ascii="宋体" w:eastAsia="宋体" w:hAnsi="Calibri" w:cs="宋体" w:hint="eastAsia"/>
          <w:spacing w:val="5"/>
          <w:kern w:val="0"/>
          <w:sz w:val="24"/>
        </w:rPr>
        <w:t>。</w:t>
      </w:r>
    </w:p>
    <w:p w14:paraId="4CB37A06" w14:textId="77777777" w:rsidR="000B25E0" w:rsidRPr="000B25E0" w:rsidRDefault="000B25E0" w:rsidP="000B25E0">
      <w:pPr>
        <w:spacing w:line="440" w:lineRule="exact"/>
        <w:ind w:firstLineChars="200" w:firstLine="500"/>
        <w:rPr>
          <w:rFonts w:ascii="宋体" w:eastAsia="宋体" w:hAnsi="宋体" w:cs="Times New Roman"/>
          <w:b/>
          <w:sz w:val="24"/>
        </w:rPr>
      </w:pPr>
      <w:r w:rsidRPr="000B25E0">
        <w:rPr>
          <w:rFonts w:ascii="宋体" w:eastAsia="宋体" w:hAnsi="Calibri" w:cs="宋体" w:hint="eastAsia"/>
          <w:spacing w:val="5"/>
          <w:kern w:val="0"/>
          <w:sz w:val="24"/>
        </w:rPr>
        <w:t>4.</w:t>
      </w: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0B25E0">
        <w:rPr>
          <w:rFonts w:ascii="宋体" w:eastAsia="宋体" w:hAnsi="Calibri" w:cs="宋体" w:hint="eastAsia"/>
          <w:spacing w:val="5"/>
          <w:kern w:val="0"/>
          <w:sz w:val="24"/>
        </w:rPr>
        <w:t>。</w:t>
      </w:r>
    </w:p>
    <w:p w14:paraId="1C5D1611"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【学习内容】</w:t>
      </w:r>
    </w:p>
    <w:p w14:paraId="3A245481"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t>第一章  基本技术(16学时)</w:t>
      </w:r>
    </w:p>
    <w:p w14:paraId="1ECAB9E6"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624A68A5" w14:textId="77777777" w:rsidR="000B25E0" w:rsidRPr="000B25E0" w:rsidRDefault="000B25E0" w:rsidP="000B25E0">
      <w:pPr>
        <w:adjustRightInd w:val="0"/>
        <w:snapToGrid w:val="0"/>
        <w:spacing w:line="440" w:lineRule="exact"/>
        <w:ind w:firstLineChars="200" w:firstLine="480"/>
        <w:rPr>
          <w:rFonts w:ascii="宋体" w:eastAsia="宋体" w:hAnsi="宋体" w:cs="Times New Roman"/>
          <w:color w:val="000000"/>
          <w:sz w:val="24"/>
          <w:szCs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1</w:t>
      </w:r>
      <w:r w:rsidRPr="000B25E0">
        <w:rPr>
          <w:rFonts w:ascii="宋体" w:eastAsia="宋体" w:hAnsi="宋体" w:cs="Times New Roman" w:hint="eastAsia"/>
          <w:color w:val="000000"/>
          <w:sz w:val="24"/>
          <w:szCs w:val="24"/>
        </w:rPr>
        <w:t>握拍法；站位；准备姿势。</w:t>
      </w:r>
    </w:p>
    <w:p w14:paraId="5B9D75B4" w14:textId="77777777" w:rsidR="000B25E0" w:rsidRPr="000B25E0" w:rsidRDefault="000B25E0" w:rsidP="000B25E0">
      <w:pPr>
        <w:adjustRightInd w:val="0"/>
        <w:snapToGrid w:val="0"/>
        <w:spacing w:line="440" w:lineRule="exact"/>
        <w:ind w:firstLineChars="200" w:firstLine="480"/>
        <w:rPr>
          <w:rFonts w:ascii="宋体" w:eastAsia="宋体" w:hAnsi="宋体" w:cs="Times New Roman"/>
          <w:color w:val="000000"/>
          <w:sz w:val="24"/>
          <w:szCs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2</w:t>
      </w:r>
      <w:r w:rsidRPr="000B25E0">
        <w:rPr>
          <w:rFonts w:ascii="宋体" w:eastAsia="宋体" w:hAnsi="宋体" w:cs="Times New Roman" w:hint="eastAsia"/>
          <w:color w:val="000000"/>
          <w:sz w:val="24"/>
          <w:szCs w:val="24"/>
        </w:rPr>
        <w:t>步法：跳步；跨步；并步；交叉步；碎步；滑步。</w:t>
      </w:r>
    </w:p>
    <w:p w14:paraId="42B96C95" w14:textId="77777777" w:rsidR="000B25E0" w:rsidRPr="000B25E0" w:rsidRDefault="000B25E0" w:rsidP="000B25E0">
      <w:pPr>
        <w:adjustRightInd w:val="0"/>
        <w:snapToGrid w:val="0"/>
        <w:spacing w:line="440" w:lineRule="exact"/>
        <w:ind w:firstLineChars="200" w:firstLine="480"/>
        <w:rPr>
          <w:rFonts w:ascii="宋体" w:eastAsia="宋体" w:hAnsi="宋体" w:cs="Times New Roman"/>
          <w:color w:val="000000"/>
          <w:sz w:val="24"/>
          <w:szCs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3</w:t>
      </w:r>
      <w:r w:rsidRPr="000B25E0">
        <w:rPr>
          <w:rFonts w:ascii="宋体" w:eastAsia="宋体" w:hAnsi="宋体" w:cs="Times New Roman" w:hint="eastAsia"/>
          <w:color w:val="000000"/>
          <w:sz w:val="24"/>
          <w:szCs w:val="24"/>
        </w:rPr>
        <w:t>发球法：正手高远、正手网前、反手网前。</w:t>
      </w:r>
    </w:p>
    <w:p w14:paraId="5E876313" w14:textId="77777777" w:rsidR="000B25E0" w:rsidRPr="000B25E0" w:rsidRDefault="000B25E0" w:rsidP="000B25E0">
      <w:pPr>
        <w:adjustRightInd w:val="0"/>
        <w:snapToGrid w:val="0"/>
        <w:spacing w:line="440" w:lineRule="exact"/>
        <w:ind w:firstLineChars="200" w:firstLine="480"/>
        <w:rPr>
          <w:rFonts w:ascii="宋体" w:eastAsia="宋体" w:hAnsi="宋体" w:cs="Times New Roman"/>
          <w:color w:val="000000"/>
          <w:sz w:val="24"/>
          <w:szCs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4</w:t>
      </w:r>
      <w:r w:rsidRPr="000B25E0">
        <w:rPr>
          <w:rFonts w:ascii="宋体" w:eastAsia="宋体" w:hAnsi="宋体" w:cs="Times New Roman" w:hint="eastAsia"/>
          <w:color w:val="000000"/>
          <w:sz w:val="24"/>
          <w:szCs w:val="24"/>
        </w:rPr>
        <w:t>击球法：挑球、搓球、吊球、杀球等。</w:t>
      </w:r>
    </w:p>
    <w:p w14:paraId="0AF0ACAB" w14:textId="77777777" w:rsidR="000B25E0" w:rsidRPr="000B25E0" w:rsidRDefault="000B25E0" w:rsidP="000B25E0">
      <w:pPr>
        <w:adjustRightInd w:val="0"/>
        <w:snapToGrid w:val="0"/>
        <w:spacing w:line="440" w:lineRule="exact"/>
        <w:ind w:firstLineChars="200" w:firstLine="480"/>
        <w:rPr>
          <w:rFonts w:ascii="宋体" w:eastAsia="宋体" w:hAnsi="宋体" w:cs="Times New Roman"/>
          <w:color w:val="000000"/>
          <w:sz w:val="24"/>
          <w:szCs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5</w:t>
      </w:r>
      <w:r w:rsidRPr="000B25E0">
        <w:rPr>
          <w:rFonts w:ascii="宋体" w:eastAsia="宋体" w:hAnsi="宋体" w:cs="Times New Roman" w:hint="eastAsia"/>
          <w:color w:val="000000"/>
          <w:sz w:val="24"/>
          <w:szCs w:val="24"/>
        </w:rPr>
        <w:t>单打战术：四方球、拉调突击等。</w:t>
      </w:r>
    </w:p>
    <w:p w14:paraId="4E1CCAA7" w14:textId="77777777" w:rsidR="000B25E0" w:rsidRPr="000B25E0" w:rsidRDefault="000B25E0" w:rsidP="000B25E0">
      <w:pPr>
        <w:adjustRightInd w:val="0"/>
        <w:snapToGrid w:val="0"/>
        <w:spacing w:line="500" w:lineRule="exact"/>
        <w:ind w:firstLineChars="200" w:firstLine="480"/>
        <w:rPr>
          <w:rFonts w:ascii="宋体" w:eastAsia="宋体" w:hAnsi="宋体" w:cs="Times New Roman"/>
          <w:color w:val="000000"/>
          <w:sz w:val="24"/>
          <w:szCs w:val="24"/>
        </w:rPr>
      </w:pPr>
      <w:r w:rsidRPr="000B25E0">
        <w:rPr>
          <w:rFonts w:ascii="宋体" w:eastAsia="宋体" w:hAnsi="宋体" w:cs="Times New Roman" w:hint="eastAsia"/>
          <w:color w:val="000000"/>
          <w:sz w:val="24"/>
          <w:szCs w:val="24"/>
        </w:rPr>
        <w:t>1.</w:t>
      </w:r>
      <w:r w:rsidRPr="000B25E0">
        <w:rPr>
          <w:rFonts w:ascii="宋体" w:eastAsia="宋体" w:hAnsi="宋体" w:cs="Times New Roman"/>
          <w:color w:val="000000"/>
          <w:sz w:val="24"/>
          <w:szCs w:val="24"/>
        </w:rPr>
        <w:t>6</w:t>
      </w:r>
      <w:r w:rsidRPr="000B25E0">
        <w:rPr>
          <w:rFonts w:ascii="宋体" w:eastAsia="宋体" w:hAnsi="宋体" w:cs="Times New Roman" w:hint="eastAsia"/>
          <w:color w:val="000000"/>
          <w:sz w:val="24"/>
          <w:szCs w:val="24"/>
        </w:rPr>
        <w:t>双打战术：攻人战术、发球和发球抢攻战术等。</w:t>
      </w:r>
    </w:p>
    <w:p w14:paraId="41973ACA"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sz w:val="24"/>
        </w:rPr>
        <w:t>本章教学目的及要求</w:t>
      </w:r>
      <w:r w:rsidRPr="000B25E0">
        <w:rPr>
          <w:rFonts w:ascii="Calibri" w:eastAsia="宋体" w:hAnsi="Calibri" w:cs="Times New Roman" w:hint="eastAsia"/>
          <w:sz w:val="24"/>
        </w:rPr>
        <w:t>：使学生掌握羽毛球基本技术要领，并能够熟练应用技术动作。</w:t>
      </w:r>
      <w:r w:rsidRPr="000B25E0">
        <w:rPr>
          <w:rFonts w:ascii="Calibri" w:eastAsia="宋体" w:hAnsi="Calibri" w:cs="Times New Roman" w:hint="eastAsia"/>
          <w:sz w:val="24"/>
        </w:rPr>
        <w:t xml:space="preserve"> </w:t>
      </w:r>
    </w:p>
    <w:p w14:paraId="61B73438" w14:textId="77777777" w:rsidR="000B25E0" w:rsidRPr="000B25E0" w:rsidRDefault="000B25E0" w:rsidP="000B25E0">
      <w:pPr>
        <w:adjustRightInd w:val="0"/>
        <w:snapToGrid w:val="0"/>
        <w:spacing w:line="500" w:lineRule="exact"/>
        <w:ind w:firstLineChars="200" w:firstLine="482"/>
        <w:rPr>
          <w:rFonts w:ascii="宋体" w:eastAsia="宋体" w:hAnsi="宋体" w:cs="Times New Roman"/>
          <w:sz w:val="24"/>
        </w:rPr>
      </w:pPr>
      <w:r w:rsidRPr="000B25E0">
        <w:rPr>
          <w:rFonts w:ascii="Calibri" w:eastAsia="宋体" w:hAnsi="Calibri" w:cs="Times New Roman" w:hint="eastAsia"/>
          <w:b/>
          <w:sz w:val="24"/>
        </w:rPr>
        <w:t>本章教学重点及难点</w:t>
      </w:r>
      <w:r w:rsidRPr="000B25E0">
        <w:rPr>
          <w:rFonts w:ascii="Calibri" w:eastAsia="宋体" w:hAnsi="Calibri" w:cs="Times New Roman" w:hint="eastAsia"/>
          <w:sz w:val="24"/>
        </w:rPr>
        <w:t>：掌握羽毛球基本技术要领、动作发力时机、灵活运用。</w:t>
      </w:r>
      <w:r w:rsidRPr="000B25E0">
        <w:rPr>
          <w:rFonts w:ascii="宋体" w:eastAsia="宋体" w:hAnsi="宋体" w:cs="Times New Roman"/>
          <w:sz w:val="24"/>
        </w:rPr>
        <w:t xml:space="preserve"> </w:t>
      </w:r>
    </w:p>
    <w:p w14:paraId="4C5B2435"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t>第二章  基本战术（10学时）</w:t>
      </w:r>
    </w:p>
    <w:p w14:paraId="5F88D341"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t>本章主要教学内容：</w:t>
      </w:r>
    </w:p>
    <w:p w14:paraId="1F1D41D4"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2.1赛阵型及站位；</w:t>
      </w:r>
    </w:p>
    <w:p w14:paraId="407313FE"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2.2个人进攻及防守战术；</w:t>
      </w:r>
    </w:p>
    <w:p w14:paraId="19D2D709"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sz w:val="24"/>
        </w:rPr>
        <w:t>教学目的及要求</w:t>
      </w:r>
      <w:r w:rsidRPr="000B25E0">
        <w:rPr>
          <w:rFonts w:ascii="Calibri" w:eastAsia="宋体" w:hAnsi="Calibri" w:cs="Times New Roman" w:hint="eastAsia"/>
          <w:sz w:val="24"/>
        </w:rPr>
        <w:t>：使学生掌握羽毛球基本战术要领，并能够熟练应用。</w:t>
      </w:r>
      <w:r w:rsidRPr="000B25E0">
        <w:rPr>
          <w:rFonts w:ascii="Calibri" w:eastAsia="宋体" w:hAnsi="Calibri" w:cs="Times New Roman" w:hint="eastAsia"/>
          <w:sz w:val="24"/>
        </w:rPr>
        <w:t xml:space="preserve"> </w:t>
      </w:r>
    </w:p>
    <w:p w14:paraId="48902CFD"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sz w:val="24"/>
        </w:rPr>
        <w:t>教学重点及难点</w:t>
      </w:r>
      <w:r w:rsidRPr="000B25E0">
        <w:rPr>
          <w:rFonts w:ascii="Calibri" w:eastAsia="宋体" w:hAnsi="Calibri" w:cs="Times New Roman" w:hint="eastAsia"/>
          <w:sz w:val="24"/>
        </w:rPr>
        <w:t>：战术应用的灵活性、准确性、合理性。</w:t>
      </w:r>
    </w:p>
    <w:p w14:paraId="5E1AD301" w14:textId="77777777" w:rsidR="000B25E0" w:rsidRPr="000B25E0" w:rsidRDefault="000B25E0" w:rsidP="000B25E0">
      <w:pPr>
        <w:adjustRightInd w:val="0"/>
        <w:snapToGrid w:val="0"/>
        <w:spacing w:beforeLines="50" w:before="156" w:afterLines="50" w:after="156" w:line="500" w:lineRule="exact"/>
        <w:jc w:val="center"/>
        <w:rPr>
          <w:rFonts w:ascii="宋体" w:eastAsia="宋体" w:hAnsi="宋体" w:cs="Times New Roman"/>
          <w:b/>
          <w:sz w:val="28"/>
          <w:szCs w:val="28"/>
        </w:rPr>
      </w:pPr>
      <w:r w:rsidRPr="000B25E0">
        <w:rPr>
          <w:rFonts w:ascii="宋体" w:eastAsia="宋体" w:hAnsi="宋体" w:cs="Times New Roman" w:hint="eastAsia"/>
          <w:b/>
          <w:sz w:val="28"/>
          <w:szCs w:val="28"/>
        </w:rPr>
        <w:t>第三章 身体素质（6学时）</w:t>
      </w:r>
    </w:p>
    <w:p w14:paraId="461DB92F" w14:textId="77777777" w:rsidR="000B25E0" w:rsidRPr="000B25E0" w:rsidRDefault="000B25E0" w:rsidP="000B25E0">
      <w:pPr>
        <w:autoSpaceDE w:val="0"/>
        <w:autoSpaceDN w:val="0"/>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b/>
          <w:sz w:val="24"/>
        </w:rPr>
        <w:lastRenderedPageBreak/>
        <w:t>本章主要教学内容：</w:t>
      </w:r>
    </w:p>
    <w:p w14:paraId="7D562885" w14:textId="77777777" w:rsidR="000B25E0" w:rsidRPr="000B25E0" w:rsidRDefault="000B25E0" w:rsidP="000B25E0">
      <w:pPr>
        <w:adjustRightInd w:val="0"/>
        <w:snapToGrid w:val="0"/>
        <w:spacing w:line="500" w:lineRule="exact"/>
        <w:ind w:firstLineChars="200" w:firstLine="480"/>
        <w:rPr>
          <w:rFonts w:ascii="宋体" w:eastAsia="宋体" w:hAnsi="宋体" w:cs="宋体"/>
          <w:sz w:val="24"/>
        </w:rPr>
      </w:pPr>
      <w:r w:rsidRPr="000B25E0">
        <w:rPr>
          <w:rFonts w:ascii="宋体" w:eastAsia="宋体" w:hAnsi="宋体" w:cs="宋体" w:hint="eastAsia"/>
          <w:sz w:val="24"/>
        </w:rPr>
        <w:t>3.1速度素质、耐力素质、灵敏素质。</w:t>
      </w:r>
    </w:p>
    <w:p w14:paraId="6D5D7E75"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sz w:val="24"/>
        </w:rPr>
      </w:pPr>
      <w:r w:rsidRPr="000B25E0">
        <w:rPr>
          <w:rFonts w:ascii="Calibri" w:eastAsia="宋体" w:hAnsi="Calibri" w:cs="Times New Roman" w:hint="eastAsia"/>
          <w:b/>
          <w:sz w:val="24"/>
        </w:rPr>
        <w:t>教学目的及要求</w:t>
      </w:r>
      <w:r w:rsidRPr="000B25E0">
        <w:rPr>
          <w:rFonts w:ascii="Calibri" w:eastAsia="宋体" w:hAnsi="Calibri" w:cs="Times New Roman" w:hint="eastAsia"/>
          <w:sz w:val="24"/>
        </w:rPr>
        <w:t>：使学生掌握羽毛球运动需要的基本身体素质。</w:t>
      </w:r>
      <w:r w:rsidRPr="000B25E0">
        <w:rPr>
          <w:rFonts w:ascii="Calibri" w:eastAsia="宋体" w:hAnsi="Calibri" w:cs="Times New Roman" w:hint="eastAsia"/>
          <w:sz w:val="24"/>
        </w:rPr>
        <w:t xml:space="preserve"> </w:t>
      </w:r>
    </w:p>
    <w:p w14:paraId="36C9505B" w14:textId="77777777" w:rsidR="000B25E0" w:rsidRPr="000B25E0" w:rsidRDefault="000B25E0" w:rsidP="000B25E0">
      <w:pPr>
        <w:adjustRightInd w:val="0"/>
        <w:snapToGrid w:val="0"/>
        <w:spacing w:line="500" w:lineRule="exact"/>
        <w:ind w:firstLineChars="200" w:firstLine="482"/>
        <w:rPr>
          <w:rFonts w:ascii="宋体" w:eastAsia="宋体" w:hAnsi="宋体" w:cs="Times New Roman"/>
          <w:bCs/>
          <w:color w:val="FF0000"/>
          <w:sz w:val="24"/>
        </w:rPr>
      </w:pPr>
      <w:r w:rsidRPr="000B25E0">
        <w:rPr>
          <w:rFonts w:ascii="Calibri" w:eastAsia="宋体" w:hAnsi="Calibri" w:cs="Times New Roman" w:hint="eastAsia"/>
          <w:b/>
          <w:sz w:val="24"/>
        </w:rPr>
        <w:t>教学重点及难点</w:t>
      </w:r>
      <w:r w:rsidRPr="000B25E0">
        <w:rPr>
          <w:rFonts w:ascii="Calibri" w:eastAsia="宋体" w:hAnsi="Calibri" w:cs="Times New Roman" w:hint="eastAsia"/>
          <w:sz w:val="24"/>
        </w:rPr>
        <w:t>：身体耐力、肌肉力量、柔韧性。</w:t>
      </w:r>
    </w:p>
    <w:p w14:paraId="641C84A7" w14:textId="77777777" w:rsidR="000B25E0" w:rsidRPr="000B25E0" w:rsidRDefault="000B25E0" w:rsidP="000B25E0">
      <w:pPr>
        <w:spacing w:line="440" w:lineRule="exact"/>
        <w:ind w:firstLineChars="200" w:firstLine="482"/>
        <w:rPr>
          <w:rFonts w:ascii="宋体" w:eastAsia="宋体" w:hAnsi="宋体" w:cs="Times New Roman"/>
          <w:b/>
          <w:sz w:val="24"/>
        </w:rPr>
      </w:pPr>
      <w:r w:rsidRPr="000B25E0">
        <w:rPr>
          <w:rFonts w:ascii="宋体" w:eastAsia="宋体" w:hAnsi="宋体" w:cs="Times New Roman" w:hint="eastAsia"/>
          <w:b/>
          <w:sz w:val="24"/>
        </w:rPr>
        <w:t>【重点】</w:t>
      </w:r>
    </w:p>
    <w:p w14:paraId="3519F374"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 xml:space="preserve">1.《大学体育教程》理论课程使学生对大学体育有深入理解；了解体  </w:t>
      </w:r>
    </w:p>
    <w:p w14:paraId="3F9D7B7D" w14:textId="77777777" w:rsidR="000B25E0" w:rsidRPr="000B25E0" w:rsidRDefault="000B25E0" w:rsidP="000B25E0">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0B25E0">
        <w:rPr>
          <w:rFonts w:ascii="宋体" w:eastAsia="宋体" w:hAnsi="Calibri" w:cs="宋体" w:hint="eastAsia"/>
          <w:spacing w:val="5"/>
          <w:kern w:val="0"/>
          <w:sz w:val="24"/>
        </w:rPr>
        <w:t>质健康</w:t>
      </w:r>
      <w:proofErr w:type="gramEnd"/>
      <w:r w:rsidRPr="000B25E0">
        <w:rPr>
          <w:rFonts w:ascii="宋体" w:eastAsia="宋体" w:hAnsi="Calibri" w:cs="宋体" w:hint="eastAsia"/>
          <w:spacing w:val="5"/>
          <w:kern w:val="0"/>
          <w:sz w:val="24"/>
        </w:rPr>
        <w:t>标准的实施与如何评价；学会分析常见运动损伤和运动性疾病的症状。</w:t>
      </w:r>
    </w:p>
    <w:p w14:paraId="179735CA" w14:textId="77777777" w:rsidR="000B25E0" w:rsidRPr="000B25E0" w:rsidRDefault="000B25E0" w:rsidP="000B25E0">
      <w:pPr>
        <w:autoSpaceDE w:val="0"/>
        <w:autoSpaceDN w:val="0"/>
        <w:adjustRightInd w:val="0"/>
        <w:snapToGrid w:val="0"/>
        <w:spacing w:line="500" w:lineRule="exact"/>
        <w:ind w:left="490"/>
        <w:rPr>
          <w:rFonts w:ascii="宋体" w:eastAsia="宋体" w:hAnsi="Calibri" w:cs="宋体"/>
          <w:spacing w:val="5"/>
          <w:kern w:val="0"/>
          <w:sz w:val="24"/>
        </w:rPr>
      </w:pPr>
      <w:r w:rsidRPr="000B25E0">
        <w:rPr>
          <w:rFonts w:ascii="宋体" w:eastAsia="宋体" w:hAnsi="Calibri" w:cs="宋体" w:hint="eastAsia"/>
          <w:spacing w:val="5"/>
          <w:kern w:val="0"/>
          <w:sz w:val="24"/>
        </w:rPr>
        <w:t>2.羽毛球运动的基本理论、基本知识和基本技能。</w:t>
      </w:r>
    </w:p>
    <w:p w14:paraId="1EF755E2"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宋体" w:cs="Times New Roman"/>
          <w:sz w:val="24"/>
        </w:rPr>
      </w:pPr>
      <w:r w:rsidRPr="000B25E0">
        <w:rPr>
          <w:rFonts w:ascii="宋体" w:eastAsia="宋体" w:hAnsi="Calibri" w:cs="宋体" w:hint="eastAsia"/>
          <w:spacing w:val="5"/>
          <w:kern w:val="0"/>
          <w:sz w:val="24"/>
        </w:rPr>
        <w:t>3.掌握一定的科学锻炼方法，扎实的理论知识。</w:t>
      </w:r>
    </w:p>
    <w:p w14:paraId="11A68E3B" w14:textId="77777777" w:rsidR="000B25E0" w:rsidRPr="000B25E0" w:rsidRDefault="000B25E0" w:rsidP="000B25E0">
      <w:pPr>
        <w:spacing w:line="440" w:lineRule="exact"/>
        <w:ind w:firstLineChars="200" w:firstLine="482"/>
        <w:rPr>
          <w:rFonts w:ascii="宋体" w:eastAsia="宋体" w:hAnsi="宋体" w:cs="Times New Roman"/>
          <w:b/>
          <w:sz w:val="24"/>
        </w:rPr>
      </w:pPr>
      <w:r w:rsidRPr="000B25E0">
        <w:rPr>
          <w:rFonts w:ascii="宋体" w:eastAsia="宋体" w:hAnsi="宋体" w:cs="Times New Roman" w:hint="eastAsia"/>
          <w:b/>
          <w:sz w:val="24"/>
        </w:rPr>
        <w:t>【难点】</w:t>
      </w:r>
    </w:p>
    <w:p w14:paraId="3DAB19B7" w14:textId="77777777" w:rsidR="000B25E0" w:rsidRPr="000B25E0" w:rsidRDefault="000B25E0" w:rsidP="000B25E0">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0B25E0">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680668BB" w14:textId="77777777" w:rsidR="000B25E0" w:rsidRPr="000B25E0" w:rsidRDefault="000B25E0" w:rsidP="000B25E0">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 xml:space="preserve">2.考虑学生原有的理论知识和实践技术，在讲授教材及大纲要求的所有知识和技术的同时，重点讲授羽毛球基本技术、基本战术、裁判规则等部分，以达到理论联系实际，学以致用。 </w:t>
      </w:r>
    </w:p>
    <w:p w14:paraId="58ECB34F" w14:textId="77777777" w:rsidR="000B25E0" w:rsidRPr="000B25E0" w:rsidRDefault="000B25E0" w:rsidP="000B25E0">
      <w:pPr>
        <w:spacing w:line="44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 xml:space="preserve">3.在羽毛球基本技术、基本战术学习的基础上，重点提高学生的羽毛球技术课、理论课的组织能力培养学生研究能力。 </w:t>
      </w:r>
    </w:p>
    <w:p w14:paraId="0BA7D4B0" w14:textId="77777777" w:rsidR="000B25E0" w:rsidRPr="000B25E0" w:rsidRDefault="000B25E0" w:rsidP="000B25E0">
      <w:pPr>
        <w:spacing w:line="440" w:lineRule="exact"/>
        <w:ind w:firstLineChars="200" w:firstLine="482"/>
        <w:rPr>
          <w:rFonts w:ascii="宋体" w:eastAsia="宋体" w:hAnsi="宋体" w:cs="Times New Roman"/>
          <w:color w:val="FF0000"/>
          <w:sz w:val="24"/>
        </w:rPr>
      </w:pPr>
      <w:r w:rsidRPr="000B25E0">
        <w:rPr>
          <w:rFonts w:ascii="宋体" w:eastAsia="宋体" w:hAnsi="宋体" w:cs="Times New Roman" w:hint="eastAsia"/>
          <w:b/>
          <w:bCs/>
          <w:sz w:val="24"/>
        </w:rPr>
        <w:t>【实施方式】</w:t>
      </w:r>
    </w:p>
    <w:p w14:paraId="4097287F"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室外实践课程</w:t>
      </w:r>
    </w:p>
    <w:p w14:paraId="01F971B3" w14:textId="77777777" w:rsidR="000B25E0" w:rsidRPr="000B25E0" w:rsidRDefault="000B25E0" w:rsidP="000B25E0">
      <w:pPr>
        <w:spacing w:line="440" w:lineRule="exact"/>
        <w:ind w:firstLineChars="200" w:firstLine="482"/>
        <w:rPr>
          <w:rFonts w:ascii="宋体" w:eastAsia="宋体" w:hAnsi="宋体" w:cs="Times New Roman"/>
          <w:bCs/>
          <w:color w:val="FF0000"/>
          <w:sz w:val="24"/>
        </w:rPr>
      </w:pPr>
      <w:r w:rsidRPr="000B25E0">
        <w:rPr>
          <w:rFonts w:ascii="宋体" w:eastAsia="宋体" w:hAnsi="宋体" w:cs="Times New Roman" w:hint="eastAsia"/>
          <w:b/>
          <w:sz w:val="24"/>
        </w:rPr>
        <w:t>【学习要求】</w:t>
      </w:r>
    </w:p>
    <w:p w14:paraId="598B802C" w14:textId="77777777" w:rsidR="000B25E0" w:rsidRPr="000B25E0" w:rsidRDefault="000B25E0" w:rsidP="000B25E0">
      <w:pPr>
        <w:spacing w:line="440" w:lineRule="exact"/>
        <w:ind w:firstLineChars="200" w:firstLine="480"/>
        <w:rPr>
          <w:rFonts w:ascii="宋体" w:eastAsia="宋体" w:hAnsi="宋体" w:cs="Times New Roman"/>
          <w:b/>
          <w:sz w:val="24"/>
        </w:rPr>
      </w:pPr>
      <w:r w:rsidRPr="000B25E0">
        <w:rPr>
          <w:rFonts w:ascii="宋体" w:eastAsia="宋体" w:hAnsi="宋体" w:cs="Times New Roman" w:hint="eastAsia"/>
          <w:sz w:val="24"/>
        </w:rPr>
        <w:t>1</w:t>
      </w:r>
      <w:r w:rsidRPr="000B25E0">
        <w:rPr>
          <w:rFonts w:ascii="宋体" w:eastAsia="宋体" w:hAnsi="宋体" w:cs="Times New Roman"/>
          <w:sz w:val="24"/>
        </w:rPr>
        <w:t xml:space="preserve">. </w:t>
      </w:r>
      <w:r w:rsidRPr="000B25E0">
        <w:rPr>
          <w:rFonts w:ascii="宋体" w:eastAsia="宋体" w:hAnsi="宋体" w:cs="Times New Roman" w:hint="eastAsia"/>
          <w:sz w:val="24"/>
        </w:rPr>
        <w:t>了解大学体育课程的性质和授课方式，学分情况和进行网上选项课，开设的15门选项课程，课堂常识和安全注意事项。</w:t>
      </w:r>
    </w:p>
    <w:p w14:paraId="57C0EEE7"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0B25E0">
        <w:rPr>
          <w:rFonts w:ascii="宋体" w:eastAsia="宋体" w:hAnsi="宋体" w:cs="Times New Roman" w:hint="eastAsia"/>
          <w:sz w:val="24"/>
        </w:rPr>
        <w:t>缓测免</w:t>
      </w:r>
      <w:proofErr w:type="gramEnd"/>
      <w:r w:rsidRPr="000B25E0">
        <w:rPr>
          <w:rFonts w:ascii="宋体" w:eastAsia="宋体" w:hAnsi="宋体" w:cs="Times New Roman" w:hint="eastAsia"/>
          <w:sz w:val="24"/>
        </w:rPr>
        <w:t>测的申请流程以及掌握测验时间。</w:t>
      </w:r>
    </w:p>
    <w:p w14:paraId="1F99F960"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3</w:t>
      </w:r>
      <w:r w:rsidRPr="000B25E0">
        <w:rPr>
          <w:rFonts w:ascii="宋体" w:eastAsia="宋体" w:hAnsi="宋体" w:cs="Times New Roman"/>
          <w:sz w:val="24"/>
        </w:rPr>
        <w:t>.</w:t>
      </w:r>
      <w:r w:rsidRPr="000B25E0">
        <w:rPr>
          <w:rFonts w:ascii="宋体" w:eastAsia="宋体" w:hAnsi="宋体" w:cs="Times New Roman" w:hint="eastAsia"/>
          <w:sz w:val="24"/>
        </w:rPr>
        <w:t>运用羽毛球基础课程。</w:t>
      </w:r>
    </w:p>
    <w:p w14:paraId="7100891A" w14:textId="77777777" w:rsidR="000B25E0" w:rsidRPr="000B25E0" w:rsidRDefault="000B25E0" w:rsidP="000B25E0">
      <w:pPr>
        <w:spacing w:line="440" w:lineRule="exact"/>
        <w:ind w:firstLineChars="200" w:firstLine="482"/>
        <w:rPr>
          <w:rFonts w:ascii="宋体" w:eastAsia="宋体" w:hAnsi="宋体" w:cs="Times New Roman"/>
          <w:sz w:val="24"/>
        </w:rPr>
      </w:pPr>
      <w:r w:rsidRPr="000B25E0">
        <w:rPr>
          <w:rFonts w:ascii="宋体" w:eastAsia="宋体" w:hAnsi="宋体" w:cs="Times New Roman" w:hint="eastAsia"/>
          <w:b/>
          <w:sz w:val="24"/>
        </w:rPr>
        <w:t>【实践要求】</w:t>
      </w:r>
    </w:p>
    <w:p w14:paraId="3C98913F"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1.实践属性：综合训练型</w:t>
      </w:r>
    </w:p>
    <w:p w14:paraId="4408FFD1"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2.工作流程：开始部分，准备部分，基本部分，结束部分</w:t>
      </w:r>
    </w:p>
    <w:p w14:paraId="284ADE47"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3.分组要求：自然班和选项班，不超过45人。</w:t>
      </w:r>
    </w:p>
    <w:p w14:paraId="5B3E0C1A"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lastRenderedPageBreak/>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76633821"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5.时间安排：每周2学时</w:t>
      </w:r>
    </w:p>
    <w:p w14:paraId="576D3F66"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6.其他要求：</w:t>
      </w:r>
    </w:p>
    <w:p w14:paraId="15261E2C" w14:textId="77777777" w:rsidR="000B25E0" w:rsidRPr="000B25E0" w:rsidRDefault="000B25E0" w:rsidP="000B25E0">
      <w:pPr>
        <w:spacing w:beforeLines="50" w:before="156" w:afterLines="50" w:after="156" w:line="440" w:lineRule="exact"/>
        <w:ind w:left="561"/>
        <w:rPr>
          <w:rFonts w:ascii="仿宋" w:eastAsia="仿宋" w:hAnsi="仿宋" w:cs="Times New Roman"/>
          <w:sz w:val="24"/>
        </w:rPr>
      </w:pPr>
      <w:r w:rsidRPr="000B25E0">
        <w:rPr>
          <w:rFonts w:ascii="黑体" w:eastAsia="黑体" w:hAnsi="黑体" w:cs="Times New Roman" w:hint="eastAsia"/>
          <w:sz w:val="28"/>
          <w:szCs w:val="28"/>
        </w:rPr>
        <w:t>（二）课程学习内容与课程学习目标的对应关系</w:t>
      </w:r>
      <w:r w:rsidRPr="000B25E0">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0B25E0" w:rsidRPr="000B25E0" w14:paraId="143F8D76" w14:textId="77777777" w:rsidTr="00BF5EF3">
        <w:trPr>
          <w:trHeight w:val="660"/>
          <w:jc w:val="center"/>
        </w:trPr>
        <w:tc>
          <w:tcPr>
            <w:tcW w:w="3403" w:type="dxa"/>
            <w:vAlign w:val="center"/>
          </w:tcPr>
          <w:p w14:paraId="726049F5"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实践内容</w:t>
            </w:r>
          </w:p>
        </w:tc>
        <w:tc>
          <w:tcPr>
            <w:tcW w:w="2693" w:type="dxa"/>
            <w:vAlign w:val="center"/>
          </w:tcPr>
          <w:p w14:paraId="7302433F"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实施方式</w:t>
            </w:r>
          </w:p>
        </w:tc>
        <w:tc>
          <w:tcPr>
            <w:tcW w:w="1985" w:type="dxa"/>
            <w:vAlign w:val="center"/>
          </w:tcPr>
          <w:p w14:paraId="38DAC2D8"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支撑的课程目标</w:t>
            </w:r>
          </w:p>
        </w:tc>
        <w:tc>
          <w:tcPr>
            <w:tcW w:w="1276" w:type="dxa"/>
            <w:vAlign w:val="center"/>
          </w:tcPr>
          <w:p w14:paraId="3B71B528" w14:textId="77777777" w:rsidR="000B25E0" w:rsidRPr="000B25E0" w:rsidRDefault="000B25E0" w:rsidP="000B25E0">
            <w:pPr>
              <w:spacing w:line="440" w:lineRule="exact"/>
              <w:jc w:val="center"/>
              <w:rPr>
                <w:rFonts w:ascii="宋体" w:eastAsia="宋体" w:hAnsi="宋体" w:cs="Times New Roman"/>
                <w:b/>
                <w:bCs/>
                <w:sz w:val="24"/>
              </w:rPr>
            </w:pPr>
            <w:r w:rsidRPr="000B25E0">
              <w:rPr>
                <w:rFonts w:ascii="宋体" w:eastAsia="宋体" w:hAnsi="宋体" w:cs="Times New Roman" w:hint="eastAsia"/>
                <w:b/>
                <w:bCs/>
                <w:sz w:val="24"/>
              </w:rPr>
              <w:t>学时安排</w:t>
            </w:r>
          </w:p>
        </w:tc>
      </w:tr>
      <w:tr w:rsidR="000B25E0" w:rsidRPr="000B25E0" w14:paraId="316443DB" w14:textId="77777777" w:rsidTr="00BF5EF3">
        <w:trPr>
          <w:trHeight w:val="514"/>
          <w:jc w:val="center"/>
        </w:trPr>
        <w:tc>
          <w:tcPr>
            <w:tcW w:w="3403" w:type="dxa"/>
            <w:vAlign w:val="center"/>
          </w:tcPr>
          <w:p w14:paraId="652297BF"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学习内容</w:t>
            </w:r>
            <w:proofErr w:type="gramStart"/>
            <w:r w:rsidRPr="000B25E0">
              <w:rPr>
                <w:rFonts w:ascii="宋体" w:eastAsia="宋体" w:hAnsi="宋体" w:cs="Times New Roman" w:hint="eastAsia"/>
                <w:sz w:val="24"/>
              </w:rPr>
              <w:t>一</w:t>
            </w:r>
            <w:proofErr w:type="gramEnd"/>
            <w:r w:rsidRPr="000B25E0">
              <w:rPr>
                <w:rFonts w:ascii="宋体" w:eastAsia="宋体" w:hAnsi="宋体" w:cs="Times New Roman" w:hint="eastAsia"/>
                <w:sz w:val="24"/>
              </w:rPr>
              <w:t xml:space="preserve"> 体能+羽毛球 </w:t>
            </w:r>
          </w:p>
          <w:p w14:paraId="7B2456D8"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3C24A237"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646FFAA9"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36F007B4"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4A9B45D7" w14:textId="77777777" w:rsidTr="00BF5EF3">
        <w:trPr>
          <w:trHeight w:val="90"/>
          <w:jc w:val="center"/>
        </w:trPr>
        <w:tc>
          <w:tcPr>
            <w:tcW w:w="3403" w:type="dxa"/>
            <w:vAlign w:val="center"/>
          </w:tcPr>
          <w:p w14:paraId="6E8BFCA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 xml:space="preserve">学习内容二 羽毛球1 </w:t>
            </w:r>
          </w:p>
          <w:p w14:paraId="0B677EB0"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1C73E375"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24E9B7DA"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353EF073"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21E734E2" w14:textId="77777777" w:rsidTr="00BF5EF3">
        <w:trPr>
          <w:jc w:val="center"/>
        </w:trPr>
        <w:tc>
          <w:tcPr>
            <w:tcW w:w="3403" w:type="dxa"/>
            <w:vAlign w:val="center"/>
          </w:tcPr>
          <w:p w14:paraId="41D32FAF"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学习内容三 羽毛球 2</w:t>
            </w:r>
          </w:p>
          <w:p w14:paraId="5DD91999"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6CB7F84B"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68BD3CCB"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3ED23926"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79600867" w14:textId="77777777" w:rsidTr="00BF5EF3">
        <w:trPr>
          <w:jc w:val="center"/>
        </w:trPr>
        <w:tc>
          <w:tcPr>
            <w:tcW w:w="3403" w:type="dxa"/>
            <w:vAlign w:val="center"/>
          </w:tcPr>
          <w:p w14:paraId="3DE47FEB"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学习内容四 羽毛球 3</w:t>
            </w:r>
          </w:p>
          <w:p w14:paraId="020C2E98" w14:textId="77777777" w:rsidR="000B25E0" w:rsidRPr="000B25E0" w:rsidRDefault="000B25E0" w:rsidP="000B25E0">
            <w:pPr>
              <w:spacing w:line="440" w:lineRule="exact"/>
              <w:jc w:val="center"/>
              <w:rPr>
                <w:rFonts w:ascii="宋体" w:eastAsia="宋体" w:hAnsi="宋体" w:cs="Times New Roman"/>
                <w:sz w:val="24"/>
              </w:rPr>
            </w:pPr>
          </w:p>
        </w:tc>
        <w:tc>
          <w:tcPr>
            <w:tcW w:w="2693" w:type="dxa"/>
            <w:vAlign w:val="center"/>
          </w:tcPr>
          <w:p w14:paraId="286436FD"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利用</w:t>
            </w:r>
            <w:proofErr w:type="gramStart"/>
            <w:r w:rsidRPr="000B25E0">
              <w:rPr>
                <w:rFonts w:ascii="宋体" w:eastAsia="宋体" w:hAnsi="宋体" w:cs="Times New Roman" w:hint="eastAsia"/>
                <w:sz w:val="24"/>
              </w:rPr>
              <w:t>微信平台</w:t>
            </w:r>
            <w:proofErr w:type="gramEnd"/>
            <w:r w:rsidRPr="000B25E0">
              <w:rPr>
                <w:rFonts w:ascii="宋体" w:eastAsia="宋体" w:hAnsi="宋体" w:cs="Times New Roman" w:hint="eastAsia"/>
                <w:sz w:val="24"/>
              </w:rPr>
              <w:t>；讲解法、示范法；练习法；小组合作学习</w:t>
            </w:r>
          </w:p>
        </w:tc>
        <w:tc>
          <w:tcPr>
            <w:tcW w:w="1985" w:type="dxa"/>
            <w:vAlign w:val="center"/>
          </w:tcPr>
          <w:p w14:paraId="279E637A" w14:textId="77777777" w:rsidR="000B25E0" w:rsidRPr="000B25E0" w:rsidRDefault="000B25E0" w:rsidP="000B25E0">
            <w:pPr>
              <w:spacing w:line="440" w:lineRule="exact"/>
              <w:jc w:val="center"/>
              <w:rPr>
                <w:rFonts w:ascii="宋体" w:eastAsia="宋体" w:hAnsi="宋体" w:cs="Times New Roman"/>
                <w:color w:val="FF0000"/>
                <w:sz w:val="24"/>
              </w:rPr>
            </w:pPr>
            <w:r w:rsidRPr="000B25E0">
              <w:rPr>
                <w:rFonts w:ascii="宋体" w:eastAsia="宋体" w:hAnsi="宋体" w:cs="Times New Roman" w:hint="eastAsia"/>
                <w:sz w:val="24"/>
              </w:rPr>
              <w:t>课程</w:t>
            </w:r>
            <w:r w:rsidRPr="000B25E0">
              <w:rPr>
                <w:rFonts w:ascii="宋体" w:eastAsia="宋体" w:hAnsi="宋体" w:cs="Times New Roman"/>
                <w:sz w:val="24"/>
              </w:rPr>
              <w:t>目标</w:t>
            </w:r>
            <w:r w:rsidRPr="000B25E0">
              <w:rPr>
                <w:rFonts w:ascii="宋体" w:eastAsia="宋体" w:hAnsi="宋体" w:cs="Times New Roman" w:hint="eastAsia"/>
                <w:sz w:val="24"/>
              </w:rPr>
              <w:t>1、2、3</w:t>
            </w:r>
          </w:p>
        </w:tc>
        <w:tc>
          <w:tcPr>
            <w:tcW w:w="1276" w:type="dxa"/>
            <w:vAlign w:val="center"/>
          </w:tcPr>
          <w:p w14:paraId="025B0874"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32</w:t>
            </w:r>
          </w:p>
        </w:tc>
      </w:tr>
      <w:tr w:rsidR="000B25E0" w:rsidRPr="000B25E0" w14:paraId="02CD1522" w14:textId="77777777" w:rsidTr="00BF5EF3">
        <w:trPr>
          <w:jc w:val="center"/>
        </w:trPr>
        <w:tc>
          <w:tcPr>
            <w:tcW w:w="8081" w:type="dxa"/>
            <w:gridSpan w:val="3"/>
            <w:vAlign w:val="center"/>
          </w:tcPr>
          <w:p w14:paraId="742F5572"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合计</w:t>
            </w:r>
          </w:p>
        </w:tc>
        <w:tc>
          <w:tcPr>
            <w:tcW w:w="1276" w:type="dxa"/>
            <w:vAlign w:val="center"/>
          </w:tcPr>
          <w:p w14:paraId="56EDFB43"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128</w:t>
            </w:r>
          </w:p>
        </w:tc>
      </w:tr>
    </w:tbl>
    <w:p w14:paraId="10B05A06"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四、课程考核及与课程学习目标的对应关系</w:t>
      </w:r>
    </w:p>
    <w:p w14:paraId="587A5326"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0B25E0" w:rsidRPr="000B25E0" w14:paraId="24F4FA01" w14:textId="77777777" w:rsidTr="00BF5EF3">
        <w:trPr>
          <w:trHeight w:val="515"/>
          <w:jc w:val="center"/>
        </w:trPr>
        <w:tc>
          <w:tcPr>
            <w:tcW w:w="1422" w:type="dxa"/>
          </w:tcPr>
          <w:p w14:paraId="67D4C7C5"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课程目标</w:t>
            </w:r>
          </w:p>
        </w:tc>
        <w:tc>
          <w:tcPr>
            <w:tcW w:w="5376" w:type="dxa"/>
            <w:vAlign w:val="center"/>
          </w:tcPr>
          <w:p w14:paraId="6900D124"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考核内容</w:t>
            </w:r>
          </w:p>
        </w:tc>
        <w:tc>
          <w:tcPr>
            <w:tcW w:w="2542" w:type="dxa"/>
            <w:vAlign w:val="center"/>
          </w:tcPr>
          <w:p w14:paraId="5F644697"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考核方式</w:t>
            </w:r>
          </w:p>
        </w:tc>
      </w:tr>
      <w:tr w:rsidR="000B25E0" w:rsidRPr="000B25E0" w14:paraId="1E3C792F" w14:textId="77777777" w:rsidTr="00BF5EF3">
        <w:trPr>
          <w:jc w:val="center"/>
        </w:trPr>
        <w:tc>
          <w:tcPr>
            <w:tcW w:w="1422" w:type="dxa"/>
            <w:vAlign w:val="center"/>
          </w:tcPr>
          <w:p w14:paraId="6527C876"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课程目标1、2、3</w:t>
            </w:r>
          </w:p>
        </w:tc>
        <w:tc>
          <w:tcPr>
            <w:tcW w:w="5376" w:type="dxa"/>
            <w:vAlign w:val="center"/>
          </w:tcPr>
          <w:p w14:paraId="42423760"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大学生体质健康标准测试</w:t>
            </w:r>
          </w:p>
        </w:tc>
        <w:tc>
          <w:tcPr>
            <w:tcW w:w="2542" w:type="dxa"/>
            <w:vAlign w:val="center"/>
          </w:tcPr>
          <w:p w14:paraId="015335EB" w14:textId="77777777" w:rsidR="000B25E0" w:rsidRPr="000B25E0" w:rsidRDefault="000B25E0" w:rsidP="000B25E0">
            <w:pPr>
              <w:widowControl/>
              <w:jc w:val="left"/>
              <w:rPr>
                <w:rFonts w:ascii="宋体" w:eastAsia="宋体" w:hAnsi="宋体" w:cs="Times New Roman"/>
                <w:bCs/>
                <w:sz w:val="24"/>
              </w:rPr>
            </w:pPr>
          </w:p>
          <w:p w14:paraId="70483C41"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随堂技术考核</w:t>
            </w:r>
          </w:p>
        </w:tc>
      </w:tr>
      <w:tr w:rsidR="000B25E0" w:rsidRPr="000B25E0" w14:paraId="485F6875" w14:textId="77777777" w:rsidTr="00BF5EF3">
        <w:trPr>
          <w:jc w:val="center"/>
        </w:trPr>
        <w:tc>
          <w:tcPr>
            <w:tcW w:w="1422" w:type="dxa"/>
            <w:vAlign w:val="center"/>
          </w:tcPr>
          <w:p w14:paraId="1101D0ED"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w:t>
            </w:r>
          </w:p>
        </w:tc>
        <w:tc>
          <w:tcPr>
            <w:tcW w:w="5376" w:type="dxa"/>
            <w:vAlign w:val="center"/>
          </w:tcPr>
          <w:p w14:paraId="0DB8C734"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立定跳远</w:t>
            </w:r>
          </w:p>
        </w:tc>
        <w:tc>
          <w:tcPr>
            <w:tcW w:w="2542" w:type="dxa"/>
            <w:vAlign w:val="center"/>
          </w:tcPr>
          <w:p w14:paraId="04BEC4BA" w14:textId="77777777" w:rsidR="000B25E0" w:rsidRPr="000B25E0" w:rsidRDefault="000B25E0" w:rsidP="000B25E0">
            <w:pPr>
              <w:widowControl/>
              <w:jc w:val="left"/>
              <w:rPr>
                <w:rFonts w:ascii="宋体" w:eastAsia="宋体" w:hAnsi="宋体" w:cs="Times New Roman"/>
                <w:bCs/>
                <w:sz w:val="24"/>
              </w:rPr>
            </w:pPr>
          </w:p>
          <w:p w14:paraId="258DB4D7"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t>随堂技术考核</w:t>
            </w:r>
          </w:p>
        </w:tc>
      </w:tr>
      <w:tr w:rsidR="000B25E0" w:rsidRPr="000B25E0" w14:paraId="2CEED2E3" w14:textId="77777777" w:rsidTr="00BF5EF3">
        <w:trPr>
          <w:jc w:val="center"/>
        </w:trPr>
        <w:tc>
          <w:tcPr>
            <w:tcW w:w="1422" w:type="dxa"/>
            <w:vAlign w:val="center"/>
          </w:tcPr>
          <w:p w14:paraId="0F372DDE"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w:t>
            </w:r>
          </w:p>
        </w:tc>
        <w:tc>
          <w:tcPr>
            <w:tcW w:w="5376" w:type="dxa"/>
            <w:vAlign w:val="center"/>
          </w:tcPr>
          <w:p w14:paraId="52E75D90"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Calibri" w:cs="Times New Roman" w:hint="eastAsia"/>
                <w:bCs/>
                <w:kern w:val="0"/>
                <w:sz w:val="24"/>
              </w:rPr>
              <w:t>羽毛球下手正手发球技术</w:t>
            </w:r>
          </w:p>
        </w:tc>
        <w:tc>
          <w:tcPr>
            <w:tcW w:w="2542" w:type="dxa"/>
            <w:vAlign w:val="center"/>
          </w:tcPr>
          <w:p w14:paraId="10FD34D5" w14:textId="77777777" w:rsidR="000B25E0" w:rsidRPr="000B25E0" w:rsidRDefault="000B25E0" w:rsidP="000B25E0">
            <w:pPr>
              <w:widowControl/>
              <w:jc w:val="left"/>
              <w:rPr>
                <w:rFonts w:ascii="宋体" w:eastAsia="宋体" w:hAnsi="宋体" w:cs="Times New Roman"/>
                <w:bCs/>
                <w:sz w:val="24"/>
              </w:rPr>
            </w:pPr>
          </w:p>
          <w:p w14:paraId="5CE088D9"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宋体" w:cs="Times New Roman" w:hint="eastAsia"/>
                <w:bCs/>
                <w:sz w:val="24"/>
              </w:rPr>
              <w:lastRenderedPageBreak/>
              <w:t>随堂技术考核</w:t>
            </w:r>
          </w:p>
        </w:tc>
      </w:tr>
      <w:tr w:rsidR="000B25E0" w:rsidRPr="000B25E0" w14:paraId="1E54CBFE" w14:textId="77777777" w:rsidTr="00BF5EF3">
        <w:trPr>
          <w:jc w:val="center"/>
        </w:trPr>
        <w:tc>
          <w:tcPr>
            <w:tcW w:w="1422" w:type="dxa"/>
            <w:vAlign w:val="center"/>
          </w:tcPr>
          <w:p w14:paraId="611D1113"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lastRenderedPageBreak/>
              <w:t>课程目标3</w:t>
            </w:r>
          </w:p>
        </w:tc>
        <w:tc>
          <w:tcPr>
            <w:tcW w:w="5376" w:type="dxa"/>
            <w:vAlign w:val="center"/>
          </w:tcPr>
          <w:p w14:paraId="3324F21A" w14:textId="77777777" w:rsidR="000B25E0" w:rsidRPr="000B25E0" w:rsidRDefault="000B25E0" w:rsidP="000B25E0">
            <w:pPr>
              <w:spacing w:line="440" w:lineRule="exact"/>
              <w:rPr>
                <w:rFonts w:ascii="宋体" w:eastAsia="宋体" w:hAnsi="宋体" w:cs="Times New Roman"/>
                <w:bCs/>
                <w:sz w:val="24"/>
              </w:rPr>
            </w:pPr>
            <w:r w:rsidRPr="000B25E0">
              <w:rPr>
                <w:rFonts w:ascii="宋体" w:eastAsia="宋体" w:hAnsi="Calibri" w:cs="Times New Roman" w:hint="eastAsia"/>
                <w:bCs/>
                <w:kern w:val="0"/>
                <w:sz w:val="24"/>
              </w:rPr>
              <w:t>羽毛球</w:t>
            </w:r>
            <w:proofErr w:type="gramStart"/>
            <w:r w:rsidRPr="000B25E0">
              <w:rPr>
                <w:rFonts w:ascii="宋体" w:eastAsia="宋体" w:hAnsi="Calibri" w:cs="Times New Roman" w:hint="eastAsia"/>
                <w:bCs/>
                <w:kern w:val="0"/>
                <w:sz w:val="24"/>
              </w:rPr>
              <w:t>高远球</w:t>
            </w:r>
            <w:proofErr w:type="gramEnd"/>
            <w:r w:rsidRPr="000B25E0">
              <w:rPr>
                <w:rFonts w:ascii="宋体" w:eastAsia="宋体" w:hAnsi="Calibri" w:cs="Times New Roman" w:hint="eastAsia"/>
                <w:bCs/>
                <w:kern w:val="0"/>
                <w:sz w:val="24"/>
              </w:rPr>
              <w:t>技术</w:t>
            </w:r>
          </w:p>
        </w:tc>
        <w:tc>
          <w:tcPr>
            <w:tcW w:w="2542" w:type="dxa"/>
            <w:vAlign w:val="center"/>
          </w:tcPr>
          <w:p w14:paraId="2B688E03" w14:textId="77777777" w:rsidR="000B25E0" w:rsidRPr="000B25E0" w:rsidRDefault="000B25E0" w:rsidP="000B25E0">
            <w:pPr>
              <w:widowControl/>
              <w:jc w:val="left"/>
              <w:rPr>
                <w:rFonts w:ascii="宋体" w:eastAsia="宋体" w:hAnsi="宋体" w:cs="Times New Roman"/>
                <w:bCs/>
                <w:sz w:val="24"/>
              </w:rPr>
            </w:pPr>
            <w:r w:rsidRPr="000B25E0">
              <w:rPr>
                <w:rFonts w:ascii="宋体" w:eastAsia="宋体" w:hAnsi="宋体" w:cs="Times New Roman" w:hint="eastAsia"/>
                <w:bCs/>
                <w:sz w:val="24"/>
              </w:rPr>
              <w:t>随堂技术考核</w:t>
            </w:r>
          </w:p>
          <w:p w14:paraId="651CD644" w14:textId="77777777" w:rsidR="000B25E0" w:rsidRPr="000B25E0" w:rsidRDefault="000B25E0" w:rsidP="000B25E0">
            <w:pPr>
              <w:spacing w:line="440" w:lineRule="exact"/>
              <w:rPr>
                <w:rFonts w:ascii="宋体" w:eastAsia="宋体" w:hAnsi="宋体" w:cs="Times New Roman"/>
                <w:bCs/>
                <w:sz w:val="24"/>
              </w:rPr>
            </w:pPr>
          </w:p>
        </w:tc>
      </w:tr>
    </w:tbl>
    <w:p w14:paraId="36228838"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（二）课程目标达成评价方式及考核比例</w:t>
      </w:r>
    </w:p>
    <w:p w14:paraId="65D0A7FB"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羽毛球课程</w:t>
      </w:r>
      <w:proofErr w:type="gramStart"/>
      <w:r w:rsidRPr="000B25E0">
        <w:rPr>
          <w:rFonts w:ascii="宋体" w:eastAsia="宋体" w:hAnsi="宋体" w:cs="Times New Roman" w:hint="eastAsia"/>
          <w:sz w:val="24"/>
        </w:rPr>
        <w:t>1、2、3、4每</w:t>
      </w:r>
      <w:proofErr w:type="gramEnd"/>
      <w:r w:rsidRPr="000B25E0">
        <w:rPr>
          <w:rFonts w:ascii="宋体" w:eastAsia="宋体" w:hAnsi="宋体" w:cs="Times New Roman" w:hint="eastAsia"/>
          <w:sz w:val="24"/>
        </w:rPr>
        <w:t>学期考核方式及成绩比例为：课堂表现20%</w:t>
      </w:r>
      <w:r w:rsidRPr="000B25E0">
        <w:rPr>
          <w:rFonts w:ascii="宋体" w:eastAsia="宋体" w:hAnsi="宋体" w:cs="Times New Roman"/>
          <w:sz w:val="24"/>
        </w:rPr>
        <w:t>+</w:t>
      </w:r>
      <w:r w:rsidRPr="000B25E0">
        <w:rPr>
          <w:rFonts w:ascii="宋体" w:eastAsia="宋体" w:hAnsi="宋体" w:cs="Times New Roman" w:hint="eastAsia"/>
          <w:sz w:val="24"/>
        </w:rPr>
        <w:t>期中考核30%</w:t>
      </w:r>
      <w:r w:rsidRPr="000B25E0">
        <w:rPr>
          <w:rFonts w:ascii="宋体" w:eastAsia="宋体" w:hAnsi="宋体" w:cs="Times New Roman"/>
          <w:sz w:val="24"/>
        </w:rPr>
        <w:t>+</w:t>
      </w:r>
      <w:r w:rsidRPr="000B25E0">
        <w:rPr>
          <w:rFonts w:ascii="宋体" w:eastAsia="宋体" w:hAnsi="宋体" w:cs="Times New Roman" w:hint="eastAsia"/>
          <w:sz w:val="24"/>
        </w:rPr>
        <w:t>课期</w:t>
      </w:r>
      <w:proofErr w:type="gramStart"/>
      <w:r w:rsidRPr="000B25E0">
        <w:rPr>
          <w:rFonts w:ascii="宋体" w:eastAsia="宋体" w:hAnsi="宋体" w:cs="Times New Roman" w:hint="eastAsia"/>
          <w:sz w:val="24"/>
        </w:rPr>
        <w:t>末考试</w:t>
      </w:r>
      <w:proofErr w:type="gramEnd"/>
      <w:r w:rsidRPr="000B25E0">
        <w:rPr>
          <w:rFonts w:ascii="宋体" w:eastAsia="宋体" w:hAnsi="宋体" w:cs="Times New Roman" w:hint="eastAsia"/>
          <w:sz w:val="24"/>
        </w:rPr>
        <w:t>5</w:t>
      </w:r>
      <w:r w:rsidRPr="000B25E0">
        <w:rPr>
          <w:rFonts w:ascii="宋体" w:eastAsia="宋体" w:hAnsi="宋体" w:cs="Times New Roman"/>
          <w:sz w:val="24"/>
        </w:rPr>
        <w:t>0</w:t>
      </w:r>
      <w:r w:rsidRPr="000B25E0">
        <w:rPr>
          <w:rFonts w:ascii="宋体" w:eastAsia="宋体" w:hAnsi="宋体" w:cs="Times New Roman" w:hint="eastAsia"/>
          <w:sz w:val="24"/>
        </w:rPr>
        <w:t>%；本课程共有四个课程目标，考核方式及成绩比例分别为：</w:t>
      </w:r>
    </w:p>
    <w:p w14:paraId="10C927A5"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课程目标1：课堂表现5%</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期末考试20%</w:t>
      </w:r>
    </w:p>
    <w:p w14:paraId="1002A828"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课程目标2：课堂表现10%</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期末考试20%</w:t>
      </w:r>
    </w:p>
    <w:p w14:paraId="50F9B762"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课程目标3：课堂表现5%</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期末考试10%</w:t>
      </w:r>
    </w:p>
    <w:p w14:paraId="16FD14ED"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0B25E0" w:rsidRPr="000B25E0" w14:paraId="42877B22" w14:textId="77777777" w:rsidTr="00BF5EF3">
        <w:trPr>
          <w:trHeight w:val="540"/>
          <w:jc w:val="center"/>
        </w:trPr>
        <w:tc>
          <w:tcPr>
            <w:tcW w:w="1422" w:type="dxa"/>
            <w:vMerge w:val="restart"/>
            <w:vAlign w:val="center"/>
          </w:tcPr>
          <w:p w14:paraId="06189846"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课程目标</w:t>
            </w:r>
          </w:p>
        </w:tc>
        <w:tc>
          <w:tcPr>
            <w:tcW w:w="6271" w:type="dxa"/>
            <w:gridSpan w:val="4"/>
            <w:vAlign w:val="center"/>
          </w:tcPr>
          <w:p w14:paraId="7896768A"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考核方式及成绩比例（%）</w:t>
            </w:r>
          </w:p>
        </w:tc>
        <w:tc>
          <w:tcPr>
            <w:tcW w:w="1559" w:type="dxa"/>
            <w:vMerge w:val="restart"/>
            <w:vAlign w:val="center"/>
          </w:tcPr>
          <w:p w14:paraId="3F4E866B"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合计</w:t>
            </w:r>
          </w:p>
        </w:tc>
      </w:tr>
      <w:tr w:rsidR="000B25E0" w:rsidRPr="000B25E0" w14:paraId="3414AC7C" w14:textId="77777777" w:rsidTr="00BF5EF3">
        <w:trPr>
          <w:trHeight w:val="578"/>
          <w:jc w:val="center"/>
        </w:trPr>
        <w:tc>
          <w:tcPr>
            <w:tcW w:w="1422" w:type="dxa"/>
            <w:vMerge/>
            <w:vAlign w:val="center"/>
          </w:tcPr>
          <w:p w14:paraId="628B8D08" w14:textId="77777777" w:rsidR="000B25E0" w:rsidRPr="000B25E0" w:rsidRDefault="000B25E0" w:rsidP="000B25E0">
            <w:pPr>
              <w:spacing w:line="440" w:lineRule="exact"/>
              <w:jc w:val="center"/>
              <w:rPr>
                <w:rFonts w:ascii="宋体" w:eastAsia="宋体" w:hAnsi="宋体" w:cs="Times New Roman"/>
                <w:b/>
                <w:sz w:val="24"/>
              </w:rPr>
            </w:pPr>
          </w:p>
        </w:tc>
        <w:tc>
          <w:tcPr>
            <w:tcW w:w="1452" w:type="dxa"/>
            <w:vAlign w:val="center"/>
          </w:tcPr>
          <w:p w14:paraId="1EAE6943"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课堂表现</w:t>
            </w:r>
          </w:p>
        </w:tc>
        <w:tc>
          <w:tcPr>
            <w:tcW w:w="1559" w:type="dxa"/>
            <w:vAlign w:val="center"/>
          </w:tcPr>
          <w:p w14:paraId="240904C3"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阶段测试</w:t>
            </w:r>
          </w:p>
        </w:tc>
        <w:tc>
          <w:tcPr>
            <w:tcW w:w="1701" w:type="dxa"/>
            <w:vAlign w:val="center"/>
          </w:tcPr>
          <w:p w14:paraId="09086304"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课程论文</w:t>
            </w:r>
          </w:p>
        </w:tc>
        <w:tc>
          <w:tcPr>
            <w:tcW w:w="1559" w:type="dxa"/>
            <w:vAlign w:val="center"/>
          </w:tcPr>
          <w:p w14:paraId="21CB5072"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期末考试</w:t>
            </w:r>
          </w:p>
        </w:tc>
        <w:tc>
          <w:tcPr>
            <w:tcW w:w="1559" w:type="dxa"/>
            <w:vMerge/>
          </w:tcPr>
          <w:p w14:paraId="0FD9DD8A" w14:textId="77777777" w:rsidR="000B25E0" w:rsidRPr="000B25E0" w:rsidRDefault="000B25E0" w:rsidP="000B25E0">
            <w:pPr>
              <w:spacing w:line="440" w:lineRule="exact"/>
              <w:jc w:val="center"/>
              <w:rPr>
                <w:rFonts w:ascii="宋体" w:eastAsia="宋体" w:hAnsi="宋体" w:cs="Times New Roman"/>
                <w:b/>
                <w:sz w:val="24"/>
              </w:rPr>
            </w:pPr>
          </w:p>
        </w:tc>
      </w:tr>
      <w:tr w:rsidR="000B25E0" w:rsidRPr="000B25E0" w14:paraId="1ED03348" w14:textId="77777777" w:rsidTr="00BF5EF3">
        <w:trPr>
          <w:jc w:val="center"/>
        </w:trPr>
        <w:tc>
          <w:tcPr>
            <w:tcW w:w="1422" w:type="dxa"/>
            <w:vAlign w:val="center"/>
          </w:tcPr>
          <w:p w14:paraId="1829D11D"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课程目标1</w:t>
            </w:r>
          </w:p>
        </w:tc>
        <w:tc>
          <w:tcPr>
            <w:tcW w:w="1452" w:type="dxa"/>
            <w:vAlign w:val="center"/>
          </w:tcPr>
          <w:p w14:paraId="174804A1"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5</w:t>
            </w:r>
          </w:p>
        </w:tc>
        <w:tc>
          <w:tcPr>
            <w:tcW w:w="1559" w:type="dxa"/>
            <w:vAlign w:val="center"/>
          </w:tcPr>
          <w:p w14:paraId="40E645B7"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5D0D6448" w14:textId="77777777" w:rsidR="000B25E0" w:rsidRPr="000B25E0" w:rsidRDefault="000B25E0" w:rsidP="000B25E0">
            <w:pPr>
              <w:spacing w:line="440" w:lineRule="exact"/>
              <w:jc w:val="center"/>
              <w:rPr>
                <w:rFonts w:ascii="宋体" w:eastAsia="宋体" w:hAnsi="宋体" w:cs="Times New Roman"/>
                <w:bCs/>
                <w:sz w:val="24"/>
              </w:rPr>
            </w:pPr>
          </w:p>
        </w:tc>
        <w:tc>
          <w:tcPr>
            <w:tcW w:w="1559" w:type="dxa"/>
            <w:vAlign w:val="center"/>
          </w:tcPr>
          <w:p w14:paraId="65CD0016"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20</w:t>
            </w:r>
          </w:p>
        </w:tc>
        <w:tc>
          <w:tcPr>
            <w:tcW w:w="1559" w:type="dxa"/>
          </w:tcPr>
          <w:p w14:paraId="04893558"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35</w:t>
            </w:r>
          </w:p>
        </w:tc>
      </w:tr>
      <w:tr w:rsidR="000B25E0" w:rsidRPr="000B25E0" w14:paraId="13A8816D" w14:textId="77777777" w:rsidTr="00BF5EF3">
        <w:trPr>
          <w:jc w:val="center"/>
        </w:trPr>
        <w:tc>
          <w:tcPr>
            <w:tcW w:w="1422" w:type="dxa"/>
            <w:vAlign w:val="center"/>
          </w:tcPr>
          <w:p w14:paraId="344C217B"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课程目标2</w:t>
            </w:r>
          </w:p>
        </w:tc>
        <w:tc>
          <w:tcPr>
            <w:tcW w:w="1452" w:type="dxa"/>
            <w:vAlign w:val="center"/>
          </w:tcPr>
          <w:p w14:paraId="67AD3ABB"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10</w:t>
            </w:r>
          </w:p>
        </w:tc>
        <w:tc>
          <w:tcPr>
            <w:tcW w:w="1559" w:type="dxa"/>
            <w:vAlign w:val="center"/>
          </w:tcPr>
          <w:p w14:paraId="7BB309F9"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1E9280D5" w14:textId="77777777" w:rsidR="000B25E0" w:rsidRPr="000B25E0" w:rsidRDefault="000B25E0" w:rsidP="000B25E0">
            <w:pPr>
              <w:spacing w:line="440" w:lineRule="exact"/>
              <w:jc w:val="center"/>
              <w:rPr>
                <w:rFonts w:ascii="宋体" w:eastAsia="宋体" w:hAnsi="宋体" w:cs="Times New Roman"/>
                <w:bCs/>
                <w:sz w:val="24"/>
              </w:rPr>
            </w:pPr>
          </w:p>
        </w:tc>
        <w:tc>
          <w:tcPr>
            <w:tcW w:w="1559" w:type="dxa"/>
            <w:vAlign w:val="center"/>
          </w:tcPr>
          <w:p w14:paraId="75652A17"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20</w:t>
            </w:r>
          </w:p>
        </w:tc>
        <w:tc>
          <w:tcPr>
            <w:tcW w:w="1559" w:type="dxa"/>
          </w:tcPr>
          <w:p w14:paraId="450CB5D5"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40</w:t>
            </w:r>
          </w:p>
        </w:tc>
      </w:tr>
      <w:tr w:rsidR="000B25E0" w:rsidRPr="000B25E0" w14:paraId="4848FCAA" w14:textId="77777777" w:rsidTr="00BF5EF3">
        <w:trPr>
          <w:jc w:val="center"/>
        </w:trPr>
        <w:tc>
          <w:tcPr>
            <w:tcW w:w="1422" w:type="dxa"/>
            <w:vAlign w:val="center"/>
          </w:tcPr>
          <w:p w14:paraId="4279EC4B"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w:t>
            </w:r>
          </w:p>
        </w:tc>
        <w:tc>
          <w:tcPr>
            <w:tcW w:w="1452" w:type="dxa"/>
            <w:vAlign w:val="center"/>
          </w:tcPr>
          <w:p w14:paraId="5A6ACDD7"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5</w:t>
            </w:r>
          </w:p>
        </w:tc>
        <w:tc>
          <w:tcPr>
            <w:tcW w:w="1559" w:type="dxa"/>
            <w:vAlign w:val="center"/>
          </w:tcPr>
          <w:p w14:paraId="4E678DB7"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75B492CC" w14:textId="77777777" w:rsidR="000B25E0" w:rsidRPr="000B25E0" w:rsidRDefault="000B25E0" w:rsidP="000B25E0">
            <w:pPr>
              <w:spacing w:line="440" w:lineRule="exact"/>
              <w:jc w:val="center"/>
              <w:rPr>
                <w:rFonts w:ascii="宋体" w:eastAsia="宋体" w:hAnsi="宋体" w:cs="Times New Roman"/>
                <w:bCs/>
                <w:sz w:val="24"/>
              </w:rPr>
            </w:pPr>
          </w:p>
        </w:tc>
        <w:tc>
          <w:tcPr>
            <w:tcW w:w="1559" w:type="dxa"/>
            <w:vAlign w:val="center"/>
          </w:tcPr>
          <w:p w14:paraId="2B709CD6"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10</w:t>
            </w:r>
          </w:p>
        </w:tc>
        <w:tc>
          <w:tcPr>
            <w:tcW w:w="1559" w:type="dxa"/>
          </w:tcPr>
          <w:p w14:paraId="1A3D99FB"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25</w:t>
            </w:r>
          </w:p>
        </w:tc>
      </w:tr>
      <w:tr w:rsidR="000B25E0" w:rsidRPr="000B25E0" w14:paraId="30168AAA" w14:textId="77777777" w:rsidTr="00BF5EF3">
        <w:trPr>
          <w:jc w:val="center"/>
        </w:trPr>
        <w:tc>
          <w:tcPr>
            <w:tcW w:w="1422" w:type="dxa"/>
            <w:vAlign w:val="center"/>
          </w:tcPr>
          <w:p w14:paraId="3311CE5D"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合计</w:t>
            </w:r>
          </w:p>
        </w:tc>
        <w:tc>
          <w:tcPr>
            <w:tcW w:w="1452" w:type="dxa"/>
            <w:vAlign w:val="center"/>
          </w:tcPr>
          <w:p w14:paraId="4D26A000"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20</w:t>
            </w:r>
          </w:p>
        </w:tc>
        <w:tc>
          <w:tcPr>
            <w:tcW w:w="1559" w:type="dxa"/>
            <w:vAlign w:val="center"/>
          </w:tcPr>
          <w:p w14:paraId="5DD4EE26"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30</w:t>
            </w:r>
          </w:p>
        </w:tc>
        <w:tc>
          <w:tcPr>
            <w:tcW w:w="1701" w:type="dxa"/>
            <w:vAlign w:val="center"/>
          </w:tcPr>
          <w:p w14:paraId="4CC112F4" w14:textId="77777777" w:rsidR="000B25E0" w:rsidRPr="000B25E0" w:rsidRDefault="000B25E0" w:rsidP="000B25E0">
            <w:pPr>
              <w:spacing w:line="440" w:lineRule="exact"/>
              <w:jc w:val="center"/>
              <w:rPr>
                <w:rFonts w:ascii="宋体" w:eastAsia="宋体" w:hAnsi="宋体" w:cs="Times New Roman"/>
                <w:bCs/>
                <w:sz w:val="24"/>
              </w:rPr>
            </w:pPr>
          </w:p>
        </w:tc>
        <w:tc>
          <w:tcPr>
            <w:tcW w:w="1559" w:type="dxa"/>
            <w:vAlign w:val="center"/>
          </w:tcPr>
          <w:p w14:paraId="2600EABE"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50</w:t>
            </w:r>
          </w:p>
        </w:tc>
        <w:tc>
          <w:tcPr>
            <w:tcW w:w="1559" w:type="dxa"/>
          </w:tcPr>
          <w:p w14:paraId="0C3A352C"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1</w:t>
            </w:r>
            <w:r w:rsidRPr="000B25E0">
              <w:rPr>
                <w:rFonts w:ascii="宋体" w:eastAsia="宋体" w:hAnsi="宋体" w:cs="Times New Roman"/>
                <w:bCs/>
                <w:sz w:val="24"/>
              </w:rPr>
              <w:t>00</w:t>
            </w:r>
          </w:p>
        </w:tc>
      </w:tr>
    </w:tbl>
    <w:p w14:paraId="6BD25FA4"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p>
    <w:p w14:paraId="00AC0627"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五、成绩评定</w:t>
      </w:r>
    </w:p>
    <w:p w14:paraId="6274A51D"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（一）总成绩评定</w:t>
      </w:r>
    </w:p>
    <w:p w14:paraId="2FEF240D"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总成绩=平时成绩×20%+期中成绩×30%+期末成绩×50%</w:t>
      </w:r>
    </w:p>
    <w:p w14:paraId="0446D5DA"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备注：每学期总成绩</w:t>
      </w:r>
    </w:p>
    <w:p w14:paraId="2C86B87B"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color w:val="FF0000"/>
          <w:sz w:val="24"/>
        </w:rPr>
      </w:pPr>
      <w:r w:rsidRPr="000B25E0">
        <w:rPr>
          <w:rFonts w:ascii="黑体" w:eastAsia="黑体" w:hAnsi="黑体" w:cs="Times New Roman" w:hint="eastAsia"/>
          <w:sz w:val="28"/>
          <w:szCs w:val="28"/>
        </w:rPr>
        <w:t>（二）平时成绩评定</w:t>
      </w:r>
    </w:p>
    <w:p w14:paraId="47600792"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（1）课堂表现：通过学生在课堂上的表现情况、发言与主体参与和练习情况，来评价学生相关的能力。</w:t>
      </w:r>
    </w:p>
    <w:p w14:paraId="4A0F516B"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（2）作业完成情况：围绕课程的学习目标进行作业的设计。如让学生简述对知识的认识，建议</w:t>
      </w:r>
      <w:proofErr w:type="gramStart"/>
      <w:r w:rsidRPr="000B25E0">
        <w:rPr>
          <w:rFonts w:ascii="宋体" w:eastAsia="宋体" w:hAnsi="宋体" w:cs="Times New Roman" w:hint="eastAsia"/>
          <w:sz w:val="24"/>
        </w:rPr>
        <w:t>带准备</w:t>
      </w:r>
      <w:proofErr w:type="gramEnd"/>
      <w:r w:rsidRPr="000B25E0">
        <w:rPr>
          <w:rFonts w:ascii="宋体" w:eastAsia="宋体" w:hAnsi="宋体" w:cs="Times New Roman" w:hint="eastAsia"/>
          <w:sz w:val="24"/>
        </w:rPr>
        <w:t>部分和基本部分中的复习内容，帮助学生将定义转化为自己的理解,学生在小组合作学习中测验掌握课程的情况。</w:t>
      </w:r>
    </w:p>
    <w:p w14:paraId="48B3467E" w14:textId="77777777" w:rsidR="000B25E0" w:rsidRPr="000B25E0" w:rsidRDefault="000B25E0" w:rsidP="000B25E0">
      <w:pPr>
        <w:spacing w:line="440" w:lineRule="exact"/>
        <w:ind w:firstLineChars="200" w:firstLine="480"/>
        <w:rPr>
          <w:rFonts w:ascii="宋体" w:eastAsia="宋体" w:hAnsi="宋体" w:cs="Times New Roman"/>
          <w:color w:val="FF0000"/>
          <w:sz w:val="24"/>
        </w:rPr>
      </w:pPr>
      <w:r w:rsidRPr="000B25E0">
        <w:rPr>
          <w:rFonts w:ascii="宋体" w:eastAsia="宋体" w:hAnsi="宋体" w:cs="Times New Roman" w:hint="eastAsia"/>
          <w:sz w:val="24"/>
        </w:rPr>
        <w:lastRenderedPageBreak/>
        <w:t>（3）课堂考勤：留存辅导员开具的事假条、校医院开具的病假条。缺课达到本学期三分之一课时，按照考试无资格处理。</w:t>
      </w:r>
    </w:p>
    <w:p w14:paraId="20A43AB3"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（三）期中、期末成绩评定</w:t>
      </w:r>
    </w:p>
    <w:p w14:paraId="576CA038"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第一学期</w:t>
      </w:r>
    </w:p>
    <w:p w14:paraId="7D4B7136" w14:textId="77777777" w:rsidR="000B25E0" w:rsidRPr="000B25E0" w:rsidRDefault="000B25E0" w:rsidP="000B25E0">
      <w:pPr>
        <w:adjustRightInd w:val="0"/>
        <w:snapToGrid w:val="0"/>
        <w:spacing w:line="500" w:lineRule="exact"/>
        <w:jc w:val="center"/>
        <w:rPr>
          <w:rFonts w:ascii="宋体" w:eastAsia="宋体" w:hAnsi="Calibri" w:cs="Times New Roman"/>
          <w:b/>
          <w:bCs/>
          <w:kern w:val="0"/>
          <w:sz w:val="24"/>
        </w:rPr>
      </w:pPr>
      <w:r w:rsidRPr="000B25E0">
        <w:rPr>
          <w:rFonts w:ascii="宋体" w:eastAsia="宋体" w:hAnsi="Calibri" w:cs="Times New Roman" w:hint="eastAsia"/>
          <w:b/>
          <w:bCs/>
          <w:kern w:val="0"/>
          <w:sz w:val="24"/>
        </w:rPr>
        <w:t>期中考试</w:t>
      </w:r>
    </w:p>
    <w:p w14:paraId="524321E6" w14:textId="77777777" w:rsidR="000B25E0" w:rsidRPr="000B25E0" w:rsidRDefault="000B25E0" w:rsidP="000B25E0">
      <w:pPr>
        <w:adjustRightInd w:val="0"/>
        <w:snapToGrid w:val="0"/>
        <w:spacing w:line="500" w:lineRule="exact"/>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通过考核检验体能训练教学效果和学生掌握情况，让学生了解体质健康标准测验的重要性。</w:t>
      </w:r>
    </w:p>
    <w:p w14:paraId="74784300"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立定跳远。</w:t>
      </w:r>
    </w:p>
    <w:p w14:paraId="44AF5E05"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沙坑场地，每人跳两次，取最好成绩。</w:t>
      </w:r>
    </w:p>
    <w:p w14:paraId="16B6CBF2"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数量及技术评定分值各为100分，各占总分值的20%，</w:t>
      </w:r>
    </w:p>
    <w:p w14:paraId="7DBACC7D"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Cs/>
          <w:kern w:val="0"/>
          <w:sz w:val="24"/>
        </w:rPr>
        <w:t>总分值为100分。</w:t>
      </w:r>
    </w:p>
    <w:p w14:paraId="0243E5DA" w14:textId="77777777" w:rsidR="000B25E0" w:rsidRPr="000B25E0" w:rsidRDefault="000B25E0" w:rsidP="000B25E0">
      <w:pPr>
        <w:adjustRightInd w:val="0"/>
        <w:snapToGrid w:val="0"/>
        <w:spacing w:line="500" w:lineRule="exact"/>
        <w:jc w:val="left"/>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p w14:paraId="01D59B37"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p>
    <w:p w14:paraId="7AB0373D"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p>
    <w:p w14:paraId="55442115"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0B25E0" w:rsidRPr="000B25E0" w14:paraId="6B586F1F" w14:textId="77777777" w:rsidTr="00BF5E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1B5F3A1"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2C502887"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A2F8FFF"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大</w:t>
            </w:r>
            <w:proofErr w:type="gramStart"/>
            <w:r w:rsidRPr="000B25E0">
              <w:rPr>
                <w:rFonts w:ascii="宋体" w:eastAsia="宋体" w:hAnsi="宋体" w:cs="宋体" w:hint="eastAsia"/>
                <w:b/>
                <w:kern w:val="0"/>
                <w:sz w:val="24"/>
                <w:lang w:bidi="ar"/>
              </w:rPr>
              <w:t>一</w:t>
            </w:r>
            <w:proofErr w:type="gramEnd"/>
            <w:r w:rsidRPr="000B25E0">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2DB3F205"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大</w:t>
            </w:r>
            <w:proofErr w:type="gramStart"/>
            <w:r w:rsidRPr="000B25E0">
              <w:rPr>
                <w:rFonts w:ascii="宋体" w:eastAsia="宋体" w:hAnsi="宋体" w:cs="宋体" w:hint="eastAsia"/>
                <w:b/>
                <w:kern w:val="0"/>
                <w:sz w:val="24"/>
                <w:lang w:bidi="ar"/>
              </w:rPr>
              <w:t>一</w:t>
            </w:r>
            <w:proofErr w:type="gramEnd"/>
            <w:r w:rsidRPr="000B25E0">
              <w:rPr>
                <w:rFonts w:ascii="宋体" w:eastAsia="宋体" w:hAnsi="宋体" w:cs="宋体" w:hint="eastAsia"/>
                <w:b/>
                <w:kern w:val="0"/>
                <w:sz w:val="24"/>
                <w:lang w:bidi="ar"/>
              </w:rPr>
              <w:t>女生</w:t>
            </w:r>
          </w:p>
        </w:tc>
      </w:tr>
      <w:tr w:rsidR="000B25E0" w:rsidRPr="000B25E0" w14:paraId="65BF5AFC" w14:textId="77777777" w:rsidTr="00BF5E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AABF924"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2819DBC"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718D3652" w14:textId="77777777" w:rsidR="000B25E0" w:rsidRPr="000B25E0" w:rsidRDefault="000B25E0" w:rsidP="000B25E0">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5169DFE6" w14:textId="77777777" w:rsidR="000B25E0" w:rsidRPr="000B25E0" w:rsidRDefault="000B25E0" w:rsidP="000B25E0">
            <w:pPr>
              <w:jc w:val="center"/>
              <w:rPr>
                <w:rFonts w:ascii="宋体" w:eastAsia="宋体" w:hAnsi="宋体" w:cs="宋体"/>
                <w:b/>
                <w:sz w:val="24"/>
              </w:rPr>
            </w:pPr>
          </w:p>
        </w:tc>
      </w:tr>
      <w:tr w:rsidR="000B25E0" w:rsidRPr="000B25E0" w14:paraId="648AAC2A"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9126CFB"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52EBC78D"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3A535B7E"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2AE9C08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207</w:t>
            </w:r>
          </w:p>
        </w:tc>
      </w:tr>
      <w:tr w:rsidR="000B25E0" w:rsidRPr="000B25E0" w14:paraId="48E70CBA"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6FBB3E8"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1318D4A"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1506511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2E608BFC"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201</w:t>
            </w:r>
          </w:p>
        </w:tc>
      </w:tr>
      <w:tr w:rsidR="000B25E0" w:rsidRPr="000B25E0" w14:paraId="66F75135"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2E00EAA"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89F7A75"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929A728"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DFE7C67"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195</w:t>
            </w:r>
          </w:p>
        </w:tc>
      </w:tr>
      <w:tr w:rsidR="000B25E0" w:rsidRPr="000B25E0" w14:paraId="4241FDE6"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8F35DA2"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6B5BE199"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3EEA8AF1"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46E109CE"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188</w:t>
            </w:r>
          </w:p>
        </w:tc>
      </w:tr>
      <w:tr w:rsidR="000B25E0" w:rsidRPr="000B25E0" w14:paraId="5C87A308"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8B64721"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3D3B062"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B22489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D478A0C"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181</w:t>
            </w:r>
          </w:p>
        </w:tc>
      </w:tr>
      <w:tr w:rsidR="000B25E0" w:rsidRPr="000B25E0" w14:paraId="7D9E1E9F"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A865E58"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FDE3A25"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3B69980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5CF9FE5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178</w:t>
            </w:r>
          </w:p>
        </w:tc>
      </w:tr>
      <w:tr w:rsidR="000B25E0" w:rsidRPr="000B25E0" w14:paraId="1674ADEA"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609B89E"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DFC4CCE"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431B58A5"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0B249BAB"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175</w:t>
            </w:r>
          </w:p>
        </w:tc>
      </w:tr>
      <w:tr w:rsidR="000B25E0" w:rsidRPr="000B25E0" w14:paraId="60112F64"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540A5BB"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C22A17E"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079A3F3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4377A567"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172</w:t>
            </w:r>
          </w:p>
        </w:tc>
      </w:tr>
      <w:tr w:rsidR="000B25E0" w:rsidRPr="000B25E0" w14:paraId="4D0776AC"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E53FA67"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6BA0A8C"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6A33817C"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54FB7013"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169</w:t>
            </w:r>
          </w:p>
        </w:tc>
      </w:tr>
      <w:tr w:rsidR="000B25E0" w:rsidRPr="000B25E0" w14:paraId="2F1B6C05"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260824C"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B7360F8"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545BEF3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65F625F7"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166</w:t>
            </w:r>
          </w:p>
        </w:tc>
      </w:tr>
      <w:tr w:rsidR="000B25E0" w:rsidRPr="000B25E0" w14:paraId="258FA067"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A0BB5E3"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E4D968A"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4194F424"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0A66D1E9"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163</w:t>
            </w:r>
          </w:p>
        </w:tc>
      </w:tr>
      <w:tr w:rsidR="000B25E0" w:rsidRPr="000B25E0" w14:paraId="4CEEBE35"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2095135"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A7D242A"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7DE124CA"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414D48C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160</w:t>
            </w:r>
          </w:p>
        </w:tc>
      </w:tr>
      <w:tr w:rsidR="000B25E0" w:rsidRPr="000B25E0" w14:paraId="7CA011F6"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E03DA02"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4CF67FF"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53D5A9C8"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46DF3925"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157</w:t>
            </w:r>
          </w:p>
        </w:tc>
      </w:tr>
      <w:tr w:rsidR="000B25E0" w:rsidRPr="000B25E0" w14:paraId="14C67754"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3DDFC2F"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6206D9F"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751A185E"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0525C36A"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154</w:t>
            </w:r>
          </w:p>
        </w:tc>
      </w:tr>
      <w:tr w:rsidR="000B25E0" w:rsidRPr="000B25E0" w14:paraId="677FFB63"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CDC7F60"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20F3FA5"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E097881"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C60C55B"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151</w:t>
            </w:r>
          </w:p>
        </w:tc>
      </w:tr>
      <w:tr w:rsidR="000B25E0" w:rsidRPr="000B25E0" w14:paraId="36C72D0B"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3DC022C"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1A4C1978"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7479CF02"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00076555"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146</w:t>
            </w:r>
          </w:p>
        </w:tc>
      </w:tr>
      <w:tr w:rsidR="000B25E0" w:rsidRPr="000B25E0" w14:paraId="0DA07490"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217DD8F"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89B80E7"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40AD0279"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4844ACA8"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141</w:t>
            </w:r>
          </w:p>
        </w:tc>
      </w:tr>
      <w:tr w:rsidR="000B25E0" w:rsidRPr="000B25E0" w14:paraId="6956F652"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FA46F62"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251EFD9"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5C6B2B3A"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16663048"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136</w:t>
            </w:r>
          </w:p>
        </w:tc>
      </w:tr>
      <w:tr w:rsidR="000B25E0" w:rsidRPr="000B25E0" w14:paraId="2DCB3D21"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834A285"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64BB663"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41A0C749"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500A14C2"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131</w:t>
            </w:r>
          </w:p>
        </w:tc>
      </w:tr>
      <w:tr w:rsidR="000B25E0" w:rsidRPr="000B25E0" w14:paraId="3E4FDCFF"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8F4EEFB"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78104C7"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4BA107DB"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7BB733EC"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126</w:t>
            </w:r>
          </w:p>
        </w:tc>
      </w:tr>
    </w:tbl>
    <w:p w14:paraId="18DDEAA5"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p>
    <w:p w14:paraId="147F84C6" w14:textId="77777777" w:rsidR="000B25E0" w:rsidRPr="000B25E0" w:rsidRDefault="000B25E0" w:rsidP="000B25E0">
      <w:pPr>
        <w:adjustRightInd w:val="0"/>
        <w:snapToGrid w:val="0"/>
        <w:spacing w:line="500" w:lineRule="exact"/>
        <w:jc w:val="center"/>
        <w:rPr>
          <w:rFonts w:ascii="宋体" w:eastAsia="宋体" w:hAnsi="Calibri" w:cs="Times New Roman"/>
          <w:b/>
          <w:bCs/>
          <w:kern w:val="0"/>
          <w:sz w:val="24"/>
        </w:rPr>
      </w:pPr>
      <w:r w:rsidRPr="000B25E0">
        <w:rPr>
          <w:rFonts w:ascii="宋体" w:eastAsia="宋体" w:hAnsi="Calibri" w:cs="Times New Roman" w:hint="eastAsia"/>
          <w:b/>
          <w:bCs/>
          <w:kern w:val="0"/>
          <w:sz w:val="24"/>
        </w:rPr>
        <w:t>期末考试</w:t>
      </w:r>
    </w:p>
    <w:p w14:paraId="7B1568AF" w14:textId="77777777" w:rsidR="000B25E0" w:rsidRPr="000B25E0" w:rsidRDefault="000B25E0" w:rsidP="000B25E0">
      <w:pPr>
        <w:adjustRightInd w:val="0"/>
        <w:snapToGrid w:val="0"/>
        <w:spacing w:line="500" w:lineRule="exact"/>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通过考核检验羽毛球技术教学效果和学生掌握情况，让学生了解选项课内容和科学体育锻炼方式方法。</w:t>
      </w:r>
    </w:p>
    <w:p w14:paraId="7F5DE9B9"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羽毛球下手正手发球</w:t>
      </w:r>
    </w:p>
    <w:p w14:paraId="50DC4AA1"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羽毛球场地进行两轮次测试，取最好成绩。</w:t>
      </w:r>
    </w:p>
    <w:p w14:paraId="2E27D609"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数量及技术评定分值各为100分，各占总分值的20%，</w:t>
      </w:r>
    </w:p>
    <w:p w14:paraId="494ADF0D"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Cs/>
          <w:kern w:val="0"/>
          <w:sz w:val="24"/>
        </w:rPr>
        <w:t>总分值为100分。进6球为及格，10球为满分100分；分值100分。</w:t>
      </w:r>
    </w:p>
    <w:p w14:paraId="585BD003" w14:textId="77777777" w:rsidR="000B25E0" w:rsidRPr="000B25E0" w:rsidRDefault="000B25E0" w:rsidP="000B25E0">
      <w:pPr>
        <w:adjustRightInd w:val="0"/>
        <w:snapToGrid w:val="0"/>
        <w:spacing w:line="500" w:lineRule="exact"/>
        <w:jc w:val="left"/>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p w14:paraId="5547D835" w14:textId="77777777" w:rsidR="000B25E0" w:rsidRPr="000B25E0" w:rsidRDefault="000B25E0" w:rsidP="000B25E0">
      <w:pPr>
        <w:adjustRightInd w:val="0"/>
        <w:snapToGrid w:val="0"/>
        <w:spacing w:line="500" w:lineRule="exact"/>
        <w:jc w:val="left"/>
        <w:rPr>
          <w:rFonts w:ascii="宋体" w:eastAsia="宋体" w:hAnsi="Calibri" w:cs="Times New Roman"/>
          <w:b/>
          <w:kern w:val="0"/>
          <w:sz w:val="24"/>
        </w:rPr>
      </w:pPr>
    </w:p>
    <w:p w14:paraId="403E5048" w14:textId="77777777" w:rsidR="000B25E0" w:rsidRPr="000B25E0" w:rsidRDefault="000B25E0" w:rsidP="000B25E0">
      <w:pPr>
        <w:adjustRightInd w:val="0"/>
        <w:snapToGrid w:val="0"/>
        <w:spacing w:line="500" w:lineRule="exact"/>
        <w:jc w:val="left"/>
        <w:rPr>
          <w:rFonts w:ascii="宋体" w:eastAsia="宋体" w:hAnsi="Calibri" w:cs="Times New Roman"/>
          <w:b/>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0B25E0" w:rsidRPr="000B25E0" w14:paraId="222A10A6" w14:textId="77777777" w:rsidTr="00BF5EF3">
        <w:trPr>
          <w:jc w:val="center"/>
        </w:trPr>
        <w:tc>
          <w:tcPr>
            <w:tcW w:w="970" w:type="dxa"/>
          </w:tcPr>
          <w:p w14:paraId="319AAAA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技术分</w:t>
            </w:r>
          </w:p>
        </w:tc>
        <w:tc>
          <w:tcPr>
            <w:tcW w:w="1183" w:type="dxa"/>
          </w:tcPr>
          <w:p w14:paraId="1590BF7A"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五级制</w:t>
            </w:r>
          </w:p>
        </w:tc>
        <w:tc>
          <w:tcPr>
            <w:tcW w:w="1341" w:type="dxa"/>
          </w:tcPr>
          <w:p w14:paraId="6D0E6EC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分值范围</w:t>
            </w:r>
          </w:p>
        </w:tc>
        <w:tc>
          <w:tcPr>
            <w:tcW w:w="3039" w:type="dxa"/>
          </w:tcPr>
          <w:p w14:paraId="5DBBCE3C"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备注</w:t>
            </w:r>
          </w:p>
        </w:tc>
        <w:tc>
          <w:tcPr>
            <w:tcW w:w="1403" w:type="dxa"/>
          </w:tcPr>
          <w:p w14:paraId="08E3B1D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数目</w:t>
            </w:r>
          </w:p>
        </w:tc>
      </w:tr>
      <w:tr w:rsidR="000B25E0" w:rsidRPr="000B25E0" w14:paraId="2F208C79" w14:textId="77777777" w:rsidTr="00BF5EF3">
        <w:trPr>
          <w:jc w:val="center"/>
        </w:trPr>
        <w:tc>
          <w:tcPr>
            <w:tcW w:w="970" w:type="dxa"/>
          </w:tcPr>
          <w:p w14:paraId="42CD62B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A</w:t>
            </w:r>
          </w:p>
        </w:tc>
        <w:tc>
          <w:tcPr>
            <w:tcW w:w="1183" w:type="dxa"/>
          </w:tcPr>
          <w:p w14:paraId="5C51832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优</w:t>
            </w:r>
          </w:p>
        </w:tc>
        <w:tc>
          <w:tcPr>
            <w:tcW w:w="1341" w:type="dxa"/>
          </w:tcPr>
          <w:p w14:paraId="3E20C27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90—95</w:t>
            </w:r>
          </w:p>
        </w:tc>
        <w:tc>
          <w:tcPr>
            <w:tcW w:w="3039" w:type="dxa"/>
          </w:tcPr>
          <w:p w14:paraId="09D00BAC"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姿势正确，动作优美、协调，</w:t>
            </w:r>
          </w:p>
        </w:tc>
        <w:tc>
          <w:tcPr>
            <w:tcW w:w="1403" w:type="dxa"/>
          </w:tcPr>
          <w:p w14:paraId="0D5C75D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10</w:t>
            </w:r>
          </w:p>
        </w:tc>
      </w:tr>
      <w:tr w:rsidR="000B25E0" w:rsidRPr="000B25E0" w14:paraId="0C47A4E5" w14:textId="77777777" w:rsidTr="00BF5EF3">
        <w:trPr>
          <w:jc w:val="center"/>
        </w:trPr>
        <w:tc>
          <w:tcPr>
            <w:tcW w:w="970" w:type="dxa"/>
          </w:tcPr>
          <w:p w14:paraId="0EB9C49E"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B</w:t>
            </w:r>
          </w:p>
        </w:tc>
        <w:tc>
          <w:tcPr>
            <w:tcW w:w="1183" w:type="dxa"/>
          </w:tcPr>
          <w:p w14:paraId="07B89FE4"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良好</w:t>
            </w:r>
          </w:p>
        </w:tc>
        <w:tc>
          <w:tcPr>
            <w:tcW w:w="1341" w:type="dxa"/>
          </w:tcPr>
          <w:p w14:paraId="50DAB409"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80—89</w:t>
            </w:r>
          </w:p>
        </w:tc>
        <w:tc>
          <w:tcPr>
            <w:tcW w:w="3039" w:type="dxa"/>
          </w:tcPr>
          <w:p w14:paraId="71399EAC"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姿势较正确，动作自然，</w:t>
            </w:r>
          </w:p>
        </w:tc>
        <w:tc>
          <w:tcPr>
            <w:tcW w:w="1403" w:type="dxa"/>
          </w:tcPr>
          <w:p w14:paraId="4A8931C8"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9</w:t>
            </w:r>
          </w:p>
        </w:tc>
      </w:tr>
      <w:tr w:rsidR="000B25E0" w:rsidRPr="000B25E0" w14:paraId="3F39D6EB" w14:textId="77777777" w:rsidTr="00BF5EF3">
        <w:trPr>
          <w:jc w:val="center"/>
        </w:trPr>
        <w:tc>
          <w:tcPr>
            <w:tcW w:w="970" w:type="dxa"/>
          </w:tcPr>
          <w:p w14:paraId="338D938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C</w:t>
            </w:r>
          </w:p>
        </w:tc>
        <w:tc>
          <w:tcPr>
            <w:tcW w:w="1183" w:type="dxa"/>
          </w:tcPr>
          <w:p w14:paraId="596052B7"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良</w:t>
            </w:r>
          </w:p>
        </w:tc>
        <w:tc>
          <w:tcPr>
            <w:tcW w:w="1341" w:type="dxa"/>
          </w:tcPr>
          <w:p w14:paraId="5F521FAE"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70—79</w:t>
            </w:r>
          </w:p>
        </w:tc>
        <w:tc>
          <w:tcPr>
            <w:tcW w:w="3039" w:type="dxa"/>
          </w:tcPr>
          <w:p w14:paraId="6C9630F2"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姿势一般，动作基本正确，</w:t>
            </w:r>
          </w:p>
        </w:tc>
        <w:tc>
          <w:tcPr>
            <w:tcW w:w="1403" w:type="dxa"/>
          </w:tcPr>
          <w:p w14:paraId="58E0B2D7"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8</w:t>
            </w:r>
          </w:p>
        </w:tc>
      </w:tr>
      <w:tr w:rsidR="000B25E0" w:rsidRPr="000B25E0" w14:paraId="53133AA2" w14:textId="77777777" w:rsidTr="00BF5EF3">
        <w:trPr>
          <w:jc w:val="center"/>
        </w:trPr>
        <w:tc>
          <w:tcPr>
            <w:tcW w:w="970" w:type="dxa"/>
          </w:tcPr>
          <w:p w14:paraId="28F6D608"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D</w:t>
            </w:r>
          </w:p>
        </w:tc>
        <w:tc>
          <w:tcPr>
            <w:tcW w:w="1183" w:type="dxa"/>
          </w:tcPr>
          <w:p w14:paraId="207DB08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及格</w:t>
            </w:r>
          </w:p>
        </w:tc>
        <w:tc>
          <w:tcPr>
            <w:tcW w:w="1341" w:type="dxa"/>
          </w:tcPr>
          <w:p w14:paraId="10E9C05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60—69</w:t>
            </w:r>
          </w:p>
        </w:tc>
        <w:tc>
          <w:tcPr>
            <w:tcW w:w="3039" w:type="dxa"/>
          </w:tcPr>
          <w:p w14:paraId="7283FA1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动作不协调，有多余动作，</w:t>
            </w:r>
          </w:p>
        </w:tc>
        <w:tc>
          <w:tcPr>
            <w:tcW w:w="1403" w:type="dxa"/>
          </w:tcPr>
          <w:p w14:paraId="4C1EC25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7</w:t>
            </w:r>
          </w:p>
        </w:tc>
      </w:tr>
      <w:tr w:rsidR="000B25E0" w:rsidRPr="000B25E0" w14:paraId="600C9056" w14:textId="77777777" w:rsidTr="00BF5EF3">
        <w:trPr>
          <w:jc w:val="center"/>
        </w:trPr>
        <w:tc>
          <w:tcPr>
            <w:tcW w:w="970" w:type="dxa"/>
          </w:tcPr>
          <w:p w14:paraId="23BD325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E</w:t>
            </w:r>
          </w:p>
        </w:tc>
        <w:tc>
          <w:tcPr>
            <w:tcW w:w="1183" w:type="dxa"/>
          </w:tcPr>
          <w:p w14:paraId="2C40229F"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不及格</w:t>
            </w:r>
          </w:p>
        </w:tc>
        <w:tc>
          <w:tcPr>
            <w:tcW w:w="1341" w:type="dxa"/>
          </w:tcPr>
          <w:p w14:paraId="337CF565"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60以下</w:t>
            </w:r>
          </w:p>
        </w:tc>
        <w:tc>
          <w:tcPr>
            <w:tcW w:w="3039" w:type="dxa"/>
          </w:tcPr>
          <w:p w14:paraId="5BDEF00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动作僵硬，吃力，不协调</w:t>
            </w:r>
          </w:p>
        </w:tc>
        <w:tc>
          <w:tcPr>
            <w:tcW w:w="1403" w:type="dxa"/>
          </w:tcPr>
          <w:p w14:paraId="12ABB35C"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w:t>
            </w:r>
          </w:p>
        </w:tc>
      </w:tr>
    </w:tbl>
    <w:p w14:paraId="5D0A0AC2"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第二学期</w:t>
      </w:r>
    </w:p>
    <w:p w14:paraId="654B944F"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期中考试</w:t>
      </w:r>
    </w:p>
    <w:p w14:paraId="1F8580C1"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lastRenderedPageBreak/>
        <w:t>1.课程考核目标:</w:t>
      </w:r>
      <w:r w:rsidRPr="000B25E0">
        <w:rPr>
          <w:rFonts w:ascii="宋体" w:eastAsia="宋体" w:hAnsi="Calibri" w:cs="Times New Roman" w:hint="eastAsia"/>
          <w:bCs/>
          <w:kern w:val="0"/>
          <w:sz w:val="24"/>
        </w:rPr>
        <w:t>通过考核检验羽毛球技术教学效果和学生掌握情况，让学生了解选项课内容和科学体育锻炼方式方法。</w:t>
      </w:r>
    </w:p>
    <w:p w14:paraId="5FA92EB9"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羽毛球下手正手发球</w:t>
      </w:r>
    </w:p>
    <w:p w14:paraId="78725B66"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羽毛球场地进行两轮次测试，取最好成绩。</w:t>
      </w:r>
    </w:p>
    <w:p w14:paraId="56296358"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数量及技术评定分值各为100分，各占总分值的20%，总分值为100分。进6球为及格，10球为满分100分；分值100分。</w:t>
      </w:r>
    </w:p>
    <w:p w14:paraId="0CD51A96"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p w14:paraId="6669AA62"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0B25E0" w:rsidRPr="000B25E0" w14:paraId="0E397CF0" w14:textId="77777777" w:rsidTr="00BF5EF3">
        <w:trPr>
          <w:jc w:val="center"/>
        </w:trPr>
        <w:tc>
          <w:tcPr>
            <w:tcW w:w="970" w:type="dxa"/>
          </w:tcPr>
          <w:p w14:paraId="7EBA4CC9"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技术分</w:t>
            </w:r>
          </w:p>
        </w:tc>
        <w:tc>
          <w:tcPr>
            <w:tcW w:w="1183" w:type="dxa"/>
          </w:tcPr>
          <w:p w14:paraId="4C20BD65"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五级制</w:t>
            </w:r>
          </w:p>
        </w:tc>
        <w:tc>
          <w:tcPr>
            <w:tcW w:w="1341" w:type="dxa"/>
          </w:tcPr>
          <w:p w14:paraId="1F0EA7A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分值范围</w:t>
            </w:r>
          </w:p>
        </w:tc>
        <w:tc>
          <w:tcPr>
            <w:tcW w:w="3039" w:type="dxa"/>
          </w:tcPr>
          <w:p w14:paraId="1041A07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备注</w:t>
            </w:r>
          </w:p>
        </w:tc>
        <w:tc>
          <w:tcPr>
            <w:tcW w:w="1403" w:type="dxa"/>
          </w:tcPr>
          <w:p w14:paraId="40B58198"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数目</w:t>
            </w:r>
          </w:p>
        </w:tc>
      </w:tr>
      <w:tr w:rsidR="000B25E0" w:rsidRPr="000B25E0" w14:paraId="01704566" w14:textId="77777777" w:rsidTr="00BF5EF3">
        <w:trPr>
          <w:jc w:val="center"/>
        </w:trPr>
        <w:tc>
          <w:tcPr>
            <w:tcW w:w="970" w:type="dxa"/>
          </w:tcPr>
          <w:p w14:paraId="4E7AB90F"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A</w:t>
            </w:r>
          </w:p>
        </w:tc>
        <w:tc>
          <w:tcPr>
            <w:tcW w:w="1183" w:type="dxa"/>
          </w:tcPr>
          <w:p w14:paraId="551A654A"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优</w:t>
            </w:r>
          </w:p>
        </w:tc>
        <w:tc>
          <w:tcPr>
            <w:tcW w:w="1341" w:type="dxa"/>
          </w:tcPr>
          <w:p w14:paraId="70ACB6D9"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90—95</w:t>
            </w:r>
          </w:p>
        </w:tc>
        <w:tc>
          <w:tcPr>
            <w:tcW w:w="3039" w:type="dxa"/>
          </w:tcPr>
          <w:p w14:paraId="2CEFA369"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姿势正确，动作优美、协调，</w:t>
            </w:r>
          </w:p>
        </w:tc>
        <w:tc>
          <w:tcPr>
            <w:tcW w:w="1403" w:type="dxa"/>
          </w:tcPr>
          <w:p w14:paraId="005CC14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10</w:t>
            </w:r>
          </w:p>
        </w:tc>
      </w:tr>
      <w:tr w:rsidR="000B25E0" w:rsidRPr="000B25E0" w14:paraId="5AB7D264" w14:textId="77777777" w:rsidTr="00BF5EF3">
        <w:trPr>
          <w:jc w:val="center"/>
        </w:trPr>
        <w:tc>
          <w:tcPr>
            <w:tcW w:w="970" w:type="dxa"/>
          </w:tcPr>
          <w:p w14:paraId="4B2303CA"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B</w:t>
            </w:r>
          </w:p>
        </w:tc>
        <w:tc>
          <w:tcPr>
            <w:tcW w:w="1183" w:type="dxa"/>
          </w:tcPr>
          <w:p w14:paraId="19554B44"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良好</w:t>
            </w:r>
          </w:p>
        </w:tc>
        <w:tc>
          <w:tcPr>
            <w:tcW w:w="1341" w:type="dxa"/>
          </w:tcPr>
          <w:p w14:paraId="7835378E"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80—89</w:t>
            </w:r>
          </w:p>
        </w:tc>
        <w:tc>
          <w:tcPr>
            <w:tcW w:w="3039" w:type="dxa"/>
          </w:tcPr>
          <w:p w14:paraId="2CA14A35"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姿势较正确，动作自然，</w:t>
            </w:r>
          </w:p>
        </w:tc>
        <w:tc>
          <w:tcPr>
            <w:tcW w:w="1403" w:type="dxa"/>
          </w:tcPr>
          <w:p w14:paraId="42A8A467"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9</w:t>
            </w:r>
          </w:p>
        </w:tc>
      </w:tr>
      <w:tr w:rsidR="000B25E0" w:rsidRPr="000B25E0" w14:paraId="40166D4B" w14:textId="77777777" w:rsidTr="00BF5EF3">
        <w:trPr>
          <w:jc w:val="center"/>
        </w:trPr>
        <w:tc>
          <w:tcPr>
            <w:tcW w:w="970" w:type="dxa"/>
          </w:tcPr>
          <w:p w14:paraId="590F316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C</w:t>
            </w:r>
          </w:p>
        </w:tc>
        <w:tc>
          <w:tcPr>
            <w:tcW w:w="1183" w:type="dxa"/>
          </w:tcPr>
          <w:p w14:paraId="36E7058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良</w:t>
            </w:r>
          </w:p>
        </w:tc>
        <w:tc>
          <w:tcPr>
            <w:tcW w:w="1341" w:type="dxa"/>
          </w:tcPr>
          <w:p w14:paraId="57CCB07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70—79</w:t>
            </w:r>
          </w:p>
        </w:tc>
        <w:tc>
          <w:tcPr>
            <w:tcW w:w="3039" w:type="dxa"/>
          </w:tcPr>
          <w:p w14:paraId="629B831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姿势一般，动作基本正确，</w:t>
            </w:r>
          </w:p>
        </w:tc>
        <w:tc>
          <w:tcPr>
            <w:tcW w:w="1403" w:type="dxa"/>
          </w:tcPr>
          <w:p w14:paraId="03005DA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8</w:t>
            </w:r>
          </w:p>
        </w:tc>
      </w:tr>
      <w:tr w:rsidR="000B25E0" w:rsidRPr="000B25E0" w14:paraId="6DE6AFB0" w14:textId="77777777" w:rsidTr="00BF5EF3">
        <w:trPr>
          <w:jc w:val="center"/>
        </w:trPr>
        <w:tc>
          <w:tcPr>
            <w:tcW w:w="970" w:type="dxa"/>
          </w:tcPr>
          <w:p w14:paraId="376BBFF9"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D</w:t>
            </w:r>
          </w:p>
        </w:tc>
        <w:tc>
          <w:tcPr>
            <w:tcW w:w="1183" w:type="dxa"/>
          </w:tcPr>
          <w:p w14:paraId="3BB0894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及格</w:t>
            </w:r>
          </w:p>
        </w:tc>
        <w:tc>
          <w:tcPr>
            <w:tcW w:w="1341" w:type="dxa"/>
          </w:tcPr>
          <w:p w14:paraId="7E8E354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60—69</w:t>
            </w:r>
          </w:p>
        </w:tc>
        <w:tc>
          <w:tcPr>
            <w:tcW w:w="3039" w:type="dxa"/>
          </w:tcPr>
          <w:p w14:paraId="309E437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动作不协调，有多余动作，</w:t>
            </w:r>
          </w:p>
        </w:tc>
        <w:tc>
          <w:tcPr>
            <w:tcW w:w="1403" w:type="dxa"/>
          </w:tcPr>
          <w:p w14:paraId="428E733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7</w:t>
            </w:r>
          </w:p>
        </w:tc>
      </w:tr>
      <w:tr w:rsidR="000B25E0" w:rsidRPr="000B25E0" w14:paraId="342820F8" w14:textId="77777777" w:rsidTr="00BF5EF3">
        <w:trPr>
          <w:jc w:val="center"/>
        </w:trPr>
        <w:tc>
          <w:tcPr>
            <w:tcW w:w="970" w:type="dxa"/>
          </w:tcPr>
          <w:p w14:paraId="45EEE14F"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E</w:t>
            </w:r>
          </w:p>
        </w:tc>
        <w:tc>
          <w:tcPr>
            <w:tcW w:w="1183" w:type="dxa"/>
          </w:tcPr>
          <w:p w14:paraId="78465C9A"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不及格</w:t>
            </w:r>
          </w:p>
        </w:tc>
        <w:tc>
          <w:tcPr>
            <w:tcW w:w="1341" w:type="dxa"/>
          </w:tcPr>
          <w:p w14:paraId="3E5B7608"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60以下</w:t>
            </w:r>
          </w:p>
        </w:tc>
        <w:tc>
          <w:tcPr>
            <w:tcW w:w="3039" w:type="dxa"/>
          </w:tcPr>
          <w:p w14:paraId="55CBF4EF"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动作僵硬，吃力，不协调</w:t>
            </w:r>
          </w:p>
        </w:tc>
        <w:tc>
          <w:tcPr>
            <w:tcW w:w="1403" w:type="dxa"/>
          </w:tcPr>
          <w:p w14:paraId="0C806179"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w:t>
            </w:r>
          </w:p>
        </w:tc>
      </w:tr>
    </w:tbl>
    <w:p w14:paraId="0285A4E9" w14:textId="77777777" w:rsidR="000B25E0" w:rsidRPr="000B25E0" w:rsidRDefault="000B25E0" w:rsidP="000B25E0">
      <w:pPr>
        <w:adjustRightInd w:val="0"/>
        <w:snapToGrid w:val="0"/>
        <w:spacing w:line="500" w:lineRule="exact"/>
        <w:rPr>
          <w:rFonts w:ascii="宋体" w:eastAsia="宋体" w:hAnsi="Calibri" w:cs="Times New Roman"/>
          <w:bCs/>
          <w:kern w:val="0"/>
          <w:sz w:val="24"/>
        </w:rPr>
      </w:pPr>
    </w:p>
    <w:p w14:paraId="5C1437D0"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期末考试</w:t>
      </w:r>
    </w:p>
    <w:p w14:paraId="0EAE171C"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通过考核检验羽毛球技术教学效果和学生掌握情况，让学生了解选项课内容和科学体育锻炼方式方法。</w:t>
      </w:r>
    </w:p>
    <w:p w14:paraId="47B950E8"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羽毛球</w:t>
      </w:r>
      <w:proofErr w:type="gramStart"/>
      <w:r w:rsidRPr="000B25E0">
        <w:rPr>
          <w:rFonts w:ascii="宋体" w:eastAsia="宋体" w:hAnsi="Calibri" w:cs="Times New Roman" w:hint="eastAsia"/>
          <w:bCs/>
          <w:kern w:val="0"/>
          <w:sz w:val="24"/>
        </w:rPr>
        <w:t>高远球</w:t>
      </w:r>
      <w:proofErr w:type="gramEnd"/>
      <w:r w:rsidRPr="000B25E0">
        <w:rPr>
          <w:rFonts w:ascii="宋体" w:eastAsia="宋体" w:hAnsi="Calibri" w:cs="Times New Roman" w:hint="eastAsia"/>
          <w:bCs/>
          <w:kern w:val="0"/>
          <w:sz w:val="24"/>
        </w:rPr>
        <w:t>技术。</w:t>
      </w:r>
    </w:p>
    <w:p w14:paraId="2B61B5EA"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
          <w:kern w:val="0"/>
          <w:sz w:val="24"/>
        </w:rPr>
      </w:pPr>
      <w:r w:rsidRPr="000B25E0">
        <w:rPr>
          <w:rFonts w:ascii="宋体" w:eastAsia="宋体" w:hAnsi="Calibri" w:cs="Times New Roman" w:hint="eastAsia"/>
          <w:b/>
          <w:kern w:val="0"/>
          <w:sz w:val="24"/>
        </w:rPr>
        <w:t>3.课程考核方式：</w:t>
      </w:r>
      <w:proofErr w:type="gramStart"/>
      <w:r w:rsidRPr="000B25E0">
        <w:rPr>
          <w:rFonts w:ascii="宋体" w:eastAsia="宋体" w:hAnsi="Calibri" w:cs="Times New Roman" w:hint="eastAsia"/>
          <w:bCs/>
          <w:kern w:val="0"/>
          <w:sz w:val="24"/>
        </w:rPr>
        <w:t>高远球</w:t>
      </w:r>
      <w:proofErr w:type="gramEnd"/>
      <w:r w:rsidRPr="000B25E0">
        <w:rPr>
          <w:rFonts w:ascii="宋体" w:eastAsia="宋体" w:hAnsi="Calibri" w:cs="Times New Roman" w:hint="eastAsia"/>
          <w:bCs/>
          <w:kern w:val="0"/>
          <w:sz w:val="24"/>
        </w:rPr>
        <w:t>10个回合</w:t>
      </w:r>
    </w:p>
    <w:p w14:paraId="5E8C9F7B"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技术评定分值各为100分，各占总分值的50%，总分值为100分。</w:t>
      </w:r>
    </w:p>
    <w:p w14:paraId="53CF2AD7"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p w14:paraId="4DAB6F4B"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Cs/>
          <w:kern w:val="0"/>
          <w:sz w:val="24"/>
        </w:rPr>
        <w:t xml:space="preserve"> </w:t>
      </w:r>
    </w:p>
    <w:p w14:paraId="44D96D62"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p>
    <w:p w14:paraId="644619F9"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p>
    <w:p w14:paraId="705F4955"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p>
    <w:p w14:paraId="128D46F4"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p>
    <w:p w14:paraId="50E7C8E5"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p>
    <w:p w14:paraId="6712D34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p>
    <w:p w14:paraId="583F4B3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 xml:space="preserve">                                      </w:t>
      </w:r>
    </w:p>
    <w:tbl>
      <w:tblPr>
        <w:tblpPr w:leftFromText="180" w:rightFromText="180" w:vertAnchor="text" w:horzAnchor="margin" w:tblpY="462"/>
        <w:tblOverlap w:val="never"/>
        <w:tblW w:w="7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975"/>
        <w:gridCol w:w="1140"/>
        <w:gridCol w:w="1215"/>
        <w:gridCol w:w="3090"/>
      </w:tblGrid>
      <w:tr w:rsidR="000B25E0" w:rsidRPr="000B25E0" w14:paraId="4AC9FBD5" w14:textId="77777777" w:rsidTr="00BF5EF3">
        <w:tc>
          <w:tcPr>
            <w:tcW w:w="1180" w:type="dxa"/>
          </w:tcPr>
          <w:p w14:paraId="0F3463D5"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回合</w:t>
            </w:r>
          </w:p>
        </w:tc>
        <w:tc>
          <w:tcPr>
            <w:tcW w:w="975" w:type="dxa"/>
          </w:tcPr>
          <w:p w14:paraId="67E68B5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技术分</w:t>
            </w:r>
          </w:p>
        </w:tc>
        <w:tc>
          <w:tcPr>
            <w:tcW w:w="1140" w:type="dxa"/>
          </w:tcPr>
          <w:p w14:paraId="127D5657"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五级制</w:t>
            </w:r>
          </w:p>
        </w:tc>
        <w:tc>
          <w:tcPr>
            <w:tcW w:w="1215" w:type="dxa"/>
          </w:tcPr>
          <w:p w14:paraId="6D65FC2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分值范围</w:t>
            </w:r>
          </w:p>
        </w:tc>
        <w:tc>
          <w:tcPr>
            <w:tcW w:w="3090" w:type="dxa"/>
          </w:tcPr>
          <w:p w14:paraId="7C86647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备注</w:t>
            </w:r>
          </w:p>
        </w:tc>
      </w:tr>
      <w:tr w:rsidR="000B25E0" w:rsidRPr="000B25E0" w14:paraId="39CF38B5" w14:textId="77777777" w:rsidTr="00BF5EF3">
        <w:tc>
          <w:tcPr>
            <w:tcW w:w="1180" w:type="dxa"/>
          </w:tcPr>
          <w:p w14:paraId="41CEEDE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10</w:t>
            </w:r>
          </w:p>
        </w:tc>
        <w:tc>
          <w:tcPr>
            <w:tcW w:w="975" w:type="dxa"/>
          </w:tcPr>
          <w:p w14:paraId="3A8A64E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A</w:t>
            </w:r>
          </w:p>
        </w:tc>
        <w:tc>
          <w:tcPr>
            <w:tcW w:w="1140" w:type="dxa"/>
          </w:tcPr>
          <w:p w14:paraId="6A4CE60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优</w:t>
            </w:r>
          </w:p>
        </w:tc>
        <w:tc>
          <w:tcPr>
            <w:tcW w:w="1215" w:type="dxa"/>
          </w:tcPr>
          <w:p w14:paraId="23216FAA"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90—95</w:t>
            </w:r>
          </w:p>
        </w:tc>
        <w:tc>
          <w:tcPr>
            <w:tcW w:w="3090" w:type="dxa"/>
          </w:tcPr>
          <w:p w14:paraId="54C58D6C"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姿势正确，动作优美、协调，</w:t>
            </w:r>
          </w:p>
        </w:tc>
      </w:tr>
      <w:tr w:rsidR="000B25E0" w:rsidRPr="000B25E0" w14:paraId="157D18CC" w14:textId="77777777" w:rsidTr="00BF5EF3">
        <w:tc>
          <w:tcPr>
            <w:tcW w:w="1180" w:type="dxa"/>
          </w:tcPr>
          <w:p w14:paraId="5DBF54B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9</w:t>
            </w:r>
          </w:p>
        </w:tc>
        <w:tc>
          <w:tcPr>
            <w:tcW w:w="975" w:type="dxa"/>
          </w:tcPr>
          <w:p w14:paraId="1022C07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B</w:t>
            </w:r>
          </w:p>
        </w:tc>
        <w:tc>
          <w:tcPr>
            <w:tcW w:w="1140" w:type="dxa"/>
          </w:tcPr>
          <w:p w14:paraId="203E34A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良好</w:t>
            </w:r>
          </w:p>
        </w:tc>
        <w:tc>
          <w:tcPr>
            <w:tcW w:w="1215" w:type="dxa"/>
          </w:tcPr>
          <w:p w14:paraId="0D75BC17"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80—89</w:t>
            </w:r>
          </w:p>
        </w:tc>
        <w:tc>
          <w:tcPr>
            <w:tcW w:w="3090" w:type="dxa"/>
          </w:tcPr>
          <w:p w14:paraId="78BD6949"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姿势较正确，动作自然，</w:t>
            </w:r>
          </w:p>
        </w:tc>
      </w:tr>
      <w:tr w:rsidR="000B25E0" w:rsidRPr="000B25E0" w14:paraId="58B8DE20" w14:textId="77777777" w:rsidTr="00BF5EF3">
        <w:tc>
          <w:tcPr>
            <w:tcW w:w="1180" w:type="dxa"/>
          </w:tcPr>
          <w:p w14:paraId="7B2D069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8</w:t>
            </w:r>
          </w:p>
        </w:tc>
        <w:tc>
          <w:tcPr>
            <w:tcW w:w="975" w:type="dxa"/>
          </w:tcPr>
          <w:p w14:paraId="096225A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C</w:t>
            </w:r>
          </w:p>
        </w:tc>
        <w:tc>
          <w:tcPr>
            <w:tcW w:w="1140" w:type="dxa"/>
          </w:tcPr>
          <w:p w14:paraId="154B08AE"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良</w:t>
            </w:r>
          </w:p>
        </w:tc>
        <w:tc>
          <w:tcPr>
            <w:tcW w:w="1215" w:type="dxa"/>
          </w:tcPr>
          <w:p w14:paraId="7A98B79A"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70—79</w:t>
            </w:r>
          </w:p>
        </w:tc>
        <w:tc>
          <w:tcPr>
            <w:tcW w:w="3090" w:type="dxa"/>
          </w:tcPr>
          <w:p w14:paraId="4FC87838"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姿势一般，动作基本正确，</w:t>
            </w:r>
          </w:p>
        </w:tc>
      </w:tr>
      <w:tr w:rsidR="000B25E0" w:rsidRPr="000B25E0" w14:paraId="34E8B335" w14:textId="77777777" w:rsidTr="00BF5EF3">
        <w:tc>
          <w:tcPr>
            <w:tcW w:w="1180" w:type="dxa"/>
          </w:tcPr>
          <w:p w14:paraId="472E4D0A"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7</w:t>
            </w:r>
          </w:p>
        </w:tc>
        <w:tc>
          <w:tcPr>
            <w:tcW w:w="975" w:type="dxa"/>
          </w:tcPr>
          <w:p w14:paraId="564E432F"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D</w:t>
            </w:r>
          </w:p>
        </w:tc>
        <w:tc>
          <w:tcPr>
            <w:tcW w:w="1140" w:type="dxa"/>
          </w:tcPr>
          <w:p w14:paraId="13745804"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及格</w:t>
            </w:r>
          </w:p>
        </w:tc>
        <w:tc>
          <w:tcPr>
            <w:tcW w:w="1215" w:type="dxa"/>
          </w:tcPr>
          <w:p w14:paraId="7161412E"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60—69</w:t>
            </w:r>
          </w:p>
        </w:tc>
        <w:tc>
          <w:tcPr>
            <w:tcW w:w="3090" w:type="dxa"/>
          </w:tcPr>
          <w:p w14:paraId="3B0E769A"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动作不协调，有多余动作，</w:t>
            </w:r>
          </w:p>
        </w:tc>
      </w:tr>
      <w:tr w:rsidR="000B25E0" w:rsidRPr="000B25E0" w14:paraId="54F90C36" w14:textId="77777777" w:rsidTr="00BF5EF3">
        <w:tc>
          <w:tcPr>
            <w:tcW w:w="1180" w:type="dxa"/>
          </w:tcPr>
          <w:p w14:paraId="5E2FDA1C"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w:t>
            </w:r>
          </w:p>
        </w:tc>
        <w:tc>
          <w:tcPr>
            <w:tcW w:w="975" w:type="dxa"/>
          </w:tcPr>
          <w:p w14:paraId="6CCF468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E</w:t>
            </w:r>
          </w:p>
        </w:tc>
        <w:tc>
          <w:tcPr>
            <w:tcW w:w="1140" w:type="dxa"/>
          </w:tcPr>
          <w:p w14:paraId="66D27C04"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不及格</w:t>
            </w:r>
          </w:p>
        </w:tc>
        <w:tc>
          <w:tcPr>
            <w:tcW w:w="1215" w:type="dxa"/>
          </w:tcPr>
          <w:p w14:paraId="33EC9BC4"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60以下</w:t>
            </w:r>
          </w:p>
        </w:tc>
        <w:tc>
          <w:tcPr>
            <w:tcW w:w="3090" w:type="dxa"/>
          </w:tcPr>
          <w:p w14:paraId="172080C7"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动作僵硬，吃力，不协调</w:t>
            </w:r>
          </w:p>
        </w:tc>
      </w:tr>
    </w:tbl>
    <w:p w14:paraId="71565D1D" w14:textId="77777777" w:rsidR="000B25E0" w:rsidRPr="000B25E0" w:rsidRDefault="000B25E0" w:rsidP="000B25E0">
      <w:pPr>
        <w:spacing w:beforeLines="50" w:before="156" w:afterLines="50" w:after="156" w:line="440" w:lineRule="exact"/>
        <w:rPr>
          <w:rFonts w:ascii="黑体" w:eastAsia="黑体" w:hAnsi="黑体" w:cs="Times New Roman"/>
          <w:sz w:val="28"/>
          <w:szCs w:val="28"/>
        </w:rPr>
      </w:pPr>
    </w:p>
    <w:p w14:paraId="193F1826"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p>
    <w:p w14:paraId="248E31F6"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p>
    <w:p w14:paraId="7E1F8121"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p>
    <w:p w14:paraId="19A9DC3B"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p>
    <w:p w14:paraId="2472860C" w14:textId="77777777" w:rsid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p>
    <w:p w14:paraId="588D4031" w14:textId="77777777" w:rsidR="006D6C0A" w:rsidRDefault="006D6C0A" w:rsidP="000B25E0">
      <w:pPr>
        <w:spacing w:beforeLines="50" w:before="156" w:afterLines="50" w:after="156" w:line="440" w:lineRule="exact"/>
        <w:ind w:firstLineChars="200" w:firstLine="560"/>
        <w:rPr>
          <w:rFonts w:ascii="黑体" w:eastAsia="黑体" w:hAnsi="黑体" w:cs="Times New Roman"/>
          <w:sz w:val="28"/>
          <w:szCs w:val="28"/>
        </w:rPr>
      </w:pPr>
    </w:p>
    <w:p w14:paraId="3DE47CBB" w14:textId="77777777" w:rsidR="006D6C0A" w:rsidRDefault="006D6C0A" w:rsidP="000B25E0">
      <w:pPr>
        <w:spacing w:beforeLines="50" w:before="156" w:afterLines="50" w:after="156" w:line="440" w:lineRule="exact"/>
        <w:ind w:firstLineChars="200" w:firstLine="560"/>
        <w:rPr>
          <w:rFonts w:ascii="黑体" w:eastAsia="黑体" w:hAnsi="黑体" w:cs="Times New Roman"/>
          <w:sz w:val="28"/>
          <w:szCs w:val="28"/>
        </w:rPr>
      </w:pPr>
    </w:p>
    <w:p w14:paraId="0191DF1D" w14:textId="77777777" w:rsidR="006D6C0A" w:rsidRPr="000B25E0" w:rsidRDefault="006D6C0A" w:rsidP="000B25E0">
      <w:pPr>
        <w:spacing w:beforeLines="50" w:before="156" w:afterLines="50" w:after="156" w:line="440" w:lineRule="exact"/>
        <w:ind w:firstLineChars="200" w:firstLine="560"/>
        <w:rPr>
          <w:rFonts w:ascii="黑体" w:eastAsia="黑体" w:hAnsi="黑体" w:cs="Times New Roman"/>
          <w:sz w:val="28"/>
          <w:szCs w:val="28"/>
        </w:rPr>
      </w:pPr>
    </w:p>
    <w:p w14:paraId="54291275"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第三学期</w:t>
      </w:r>
    </w:p>
    <w:p w14:paraId="46B5F1D0" w14:textId="77777777" w:rsidR="000B25E0" w:rsidRPr="000B25E0" w:rsidRDefault="000B25E0" w:rsidP="000B25E0">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0B25E0">
        <w:rPr>
          <w:rFonts w:ascii="宋体" w:eastAsia="宋体" w:hAnsi="Calibri" w:cs="Times New Roman" w:hint="eastAsia"/>
          <w:b/>
          <w:kern w:val="0"/>
          <w:sz w:val="24"/>
        </w:rPr>
        <w:t>期中考试</w:t>
      </w:r>
    </w:p>
    <w:p w14:paraId="4D0A9FAA"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通过考核检验羽毛球技术教学效果和学生掌握情况，让学生了解选项课内容和科学体育锻炼方式方法。</w:t>
      </w:r>
    </w:p>
    <w:p w14:paraId="2B9C1433"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羽毛球下手发球。</w:t>
      </w:r>
    </w:p>
    <w:p w14:paraId="1DBFC165"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羽毛球场地，每人10个发球取最好成绩。</w:t>
      </w:r>
    </w:p>
    <w:p w14:paraId="606B0380"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数量及技术评定分值各为100分，各占总分值的50%，</w:t>
      </w:r>
    </w:p>
    <w:p w14:paraId="04722E1B" w14:textId="77777777" w:rsidR="000B25E0" w:rsidRPr="000B25E0" w:rsidRDefault="000B25E0" w:rsidP="000B25E0">
      <w:pPr>
        <w:autoSpaceDE w:val="0"/>
        <w:autoSpaceDN w:val="0"/>
        <w:adjustRightInd w:val="0"/>
        <w:snapToGrid w:val="0"/>
        <w:spacing w:line="500" w:lineRule="exact"/>
        <w:rPr>
          <w:rFonts w:ascii="宋体" w:eastAsia="宋体" w:hAnsi="Calibri" w:cs="Times New Roman"/>
          <w:bCs/>
          <w:kern w:val="0"/>
          <w:sz w:val="24"/>
        </w:rPr>
      </w:pPr>
      <w:r w:rsidRPr="000B25E0">
        <w:rPr>
          <w:rFonts w:ascii="宋体" w:eastAsia="宋体" w:hAnsi="Calibri" w:cs="Times New Roman" w:hint="eastAsia"/>
          <w:bCs/>
          <w:kern w:val="0"/>
          <w:sz w:val="24"/>
        </w:rPr>
        <w:t>总分值为100分。</w:t>
      </w:r>
    </w:p>
    <w:p w14:paraId="2B5F64CD"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tbl>
      <w:tblPr>
        <w:tblpPr w:leftFromText="180" w:rightFromText="180" w:vertAnchor="text" w:horzAnchor="page" w:tblpXSpec="center" w:tblpY="213"/>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1"/>
        <w:gridCol w:w="955"/>
        <w:gridCol w:w="1201"/>
        <w:gridCol w:w="1215"/>
        <w:gridCol w:w="3090"/>
      </w:tblGrid>
      <w:tr w:rsidR="000B25E0" w:rsidRPr="000B25E0" w14:paraId="4C88AA65" w14:textId="77777777" w:rsidTr="00BF5EF3">
        <w:trPr>
          <w:jc w:val="center"/>
        </w:trPr>
        <w:tc>
          <w:tcPr>
            <w:tcW w:w="1461" w:type="dxa"/>
            <w:vAlign w:val="center"/>
          </w:tcPr>
          <w:p w14:paraId="05AADFA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lastRenderedPageBreak/>
              <w:t>发球进区</w:t>
            </w:r>
          </w:p>
        </w:tc>
        <w:tc>
          <w:tcPr>
            <w:tcW w:w="955" w:type="dxa"/>
            <w:vAlign w:val="center"/>
          </w:tcPr>
          <w:p w14:paraId="0752884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技术分</w:t>
            </w:r>
          </w:p>
        </w:tc>
        <w:tc>
          <w:tcPr>
            <w:tcW w:w="1201" w:type="dxa"/>
            <w:vAlign w:val="center"/>
          </w:tcPr>
          <w:p w14:paraId="0441A16C"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五级制</w:t>
            </w:r>
          </w:p>
        </w:tc>
        <w:tc>
          <w:tcPr>
            <w:tcW w:w="1215" w:type="dxa"/>
            <w:vAlign w:val="center"/>
          </w:tcPr>
          <w:p w14:paraId="64DA591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分值范围</w:t>
            </w:r>
          </w:p>
        </w:tc>
        <w:tc>
          <w:tcPr>
            <w:tcW w:w="3090" w:type="dxa"/>
            <w:vAlign w:val="center"/>
          </w:tcPr>
          <w:p w14:paraId="2799A62C"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备注</w:t>
            </w:r>
          </w:p>
        </w:tc>
      </w:tr>
      <w:tr w:rsidR="000B25E0" w:rsidRPr="000B25E0" w14:paraId="69093B53" w14:textId="77777777" w:rsidTr="00BF5EF3">
        <w:trPr>
          <w:jc w:val="center"/>
        </w:trPr>
        <w:tc>
          <w:tcPr>
            <w:tcW w:w="1461" w:type="dxa"/>
            <w:vAlign w:val="center"/>
          </w:tcPr>
          <w:p w14:paraId="31FDB85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10</w:t>
            </w:r>
          </w:p>
        </w:tc>
        <w:tc>
          <w:tcPr>
            <w:tcW w:w="955" w:type="dxa"/>
            <w:vAlign w:val="center"/>
          </w:tcPr>
          <w:p w14:paraId="6D94A3CF"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A</w:t>
            </w:r>
          </w:p>
        </w:tc>
        <w:tc>
          <w:tcPr>
            <w:tcW w:w="1201" w:type="dxa"/>
            <w:vAlign w:val="center"/>
          </w:tcPr>
          <w:p w14:paraId="7A5D38BA"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优</w:t>
            </w:r>
          </w:p>
        </w:tc>
        <w:tc>
          <w:tcPr>
            <w:tcW w:w="1215" w:type="dxa"/>
            <w:vAlign w:val="center"/>
          </w:tcPr>
          <w:p w14:paraId="6556339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90—95</w:t>
            </w:r>
          </w:p>
        </w:tc>
        <w:tc>
          <w:tcPr>
            <w:tcW w:w="3090" w:type="dxa"/>
            <w:vAlign w:val="center"/>
          </w:tcPr>
          <w:p w14:paraId="37057FE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姿势正确，动作优美、协调，</w:t>
            </w:r>
          </w:p>
        </w:tc>
      </w:tr>
      <w:tr w:rsidR="000B25E0" w:rsidRPr="000B25E0" w14:paraId="3CE65031" w14:textId="77777777" w:rsidTr="00BF5EF3">
        <w:trPr>
          <w:jc w:val="center"/>
        </w:trPr>
        <w:tc>
          <w:tcPr>
            <w:tcW w:w="1461" w:type="dxa"/>
            <w:vAlign w:val="center"/>
          </w:tcPr>
          <w:p w14:paraId="2235E10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9</w:t>
            </w:r>
          </w:p>
        </w:tc>
        <w:tc>
          <w:tcPr>
            <w:tcW w:w="955" w:type="dxa"/>
            <w:vAlign w:val="center"/>
          </w:tcPr>
          <w:p w14:paraId="0805B4E4"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B</w:t>
            </w:r>
          </w:p>
        </w:tc>
        <w:tc>
          <w:tcPr>
            <w:tcW w:w="1201" w:type="dxa"/>
            <w:vAlign w:val="center"/>
          </w:tcPr>
          <w:p w14:paraId="5DF933E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良好</w:t>
            </w:r>
          </w:p>
        </w:tc>
        <w:tc>
          <w:tcPr>
            <w:tcW w:w="1215" w:type="dxa"/>
            <w:vAlign w:val="center"/>
          </w:tcPr>
          <w:p w14:paraId="3C4994D7"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80—89</w:t>
            </w:r>
          </w:p>
        </w:tc>
        <w:tc>
          <w:tcPr>
            <w:tcW w:w="3090" w:type="dxa"/>
            <w:vAlign w:val="center"/>
          </w:tcPr>
          <w:p w14:paraId="6DDFC71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姿势较正确，动作自然，</w:t>
            </w:r>
          </w:p>
        </w:tc>
      </w:tr>
      <w:tr w:rsidR="000B25E0" w:rsidRPr="000B25E0" w14:paraId="0B791361" w14:textId="77777777" w:rsidTr="00BF5EF3">
        <w:trPr>
          <w:jc w:val="center"/>
        </w:trPr>
        <w:tc>
          <w:tcPr>
            <w:tcW w:w="1461" w:type="dxa"/>
            <w:vAlign w:val="center"/>
          </w:tcPr>
          <w:p w14:paraId="6A9F4B87"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8</w:t>
            </w:r>
          </w:p>
        </w:tc>
        <w:tc>
          <w:tcPr>
            <w:tcW w:w="955" w:type="dxa"/>
            <w:vAlign w:val="center"/>
          </w:tcPr>
          <w:p w14:paraId="7C21712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C</w:t>
            </w:r>
          </w:p>
        </w:tc>
        <w:tc>
          <w:tcPr>
            <w:tcW w:w="1201" w:type="dxa"/>
            <w:vAlign w:val="center"/>
          </w:tcPr>
          <w:p w14:paraId="29FFC435"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良</w:t>
            </w:r>
          </w:p>
        </w:tc>
        <w:tc>
          <w:tcPr>
            <w:tcW w:w="1215" w:type="dxa"/>
            <w:vAlign w:val="center"/>
          </w:tcPr>
          <w:p w14:paraId="5416FEA4"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70—79</w:t>
            </w:r>
          </w:p>
        </w:tc>
        <w:tc>
          <w:tcPr>
            <w:tcW w:w="3090" w:type="dxa"/>
            <w:vAlign w:val="center"/>
          </w:tcPr>
          <w:p w14:paraId="1133CE2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姿势一般，动作基本正确，</w:t>
            </w:r>
          </w:p>
        </w:tc>
      </w:tr>
      <w:tr w:rsidR="000B25E0" w:rsidRPr="000B25E0" w14:paraId="3CE80FBB" w14:textId="77777777" w:rsidTr="00BF5EF3">
        <w:trPr>
          <w:jc w:val="center"/>
        </w:trPr>
        <w:tc>
          <w:tcPr>
            <w:tcW w:w="1461" w:type="dxa"/>
            <w:vAlign w:val="center"/>
          </w:tcPr>
          <w:p w14:paraId="3EE915DA"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7</w:t>
            </w:r>
          </w:p>
        </w:tc>
        <w:tc>
          <w:tcPr>
            <w:tcW w:w="955" w:type="dxa"/>
            <w:vAlign w:val="center"/>
          </w:tcPr>
          <w:p w14:paraId="0EF82D15"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D</w:t>
            </w:r>
          </w:p>
        </w:tc>
        <w:tc>
          <w:tcPr>
            <w:tcW w:w="1201" w:type="dxa"/>
            <w:vAlign w:val="center"/>
          </w:tcPr>
          <w:p w14:paraId="61E62CC8"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及格</w:t>
            </w:r>
          </w:p>
        </w:tc>
        <w:tc>
          <w:tcPr>
            <w:tcW w:w="1215" w:type="dxa"/>
            <w:vAlign w:val="center"/>
          </w:tcPr>
          <w:p w14:paraId="5650F0A9"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60—69</w:t>
            </w:r>
          </w:p>
        </w:tc>
        <w:tc>
          <w:tcPr>
            <w:tcW w:w="3090" w:type="dxa"/>
            <w:vAlign w:val="center"/>
          </w:tcPr>
          <w:p w14:paraId="7A2D74D5"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动作不协调，有多余动作，</w:t>
            </w:r>
          </w:p>
        </w:tc>
      </w:tr>
      <w:tr w:rsidR="000B25E0" w:rsidRPr="000B25E0" w14:paraId="3E1E6116" w14:textId="77777777" w:rsidTr="00BF5EF3">
        <w:trPr>
          <w:jc w:val="center"/>
        </w:trPr>
        <w:tc>
          <w:tcPr>
            <w:tcW w:w="1461" w:type="dxa"/>
            <w:vAlign w:val="center"/>
          </w:tcPr>
          <w:p w14:paraId="2DB0589E"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w:t>
            </w:r>
          </w:p>
        </w:tc>
        <w:tc>
          <w:tcPr>
            <w:tcW w:w="955" w:type="dxa"/>
            <w:vAlign w:val="center"/>
          </w:tcPr>
          <w:p w14:paraId="61447D8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E</w:t>
            </w:r>
          </w:p>
        </w:tc>
        <w:tc>
          <w:tcPr>
            <w:tcW w:w="1201" w:type="dxa"/>
            <w:vAlign w:val="center"/>
          </w:tcPr>
          <w:p w14:paraId="1B8FFBCF"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不及格</w:t>
            </w:r>
          </w:p>
        </w:tc>
        <w:tc>
          <w:tcPr>
            <w:tcW w:w="1215" w:type="dxa"/>
            <w:vAlign w:val="center"/>
          </w:tcPr>
          <w:p w14:paraId="7DBBF948"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60以下</w:t>
            </w:r>
          </w:p>
        </w:tc>
        <w:tc>
          <w:tcPr>
            <w:tcW w:w="3090" w:type="dxa"/>
            <w:vAlign w:val="center"/>
          </w:tcPr>
          <w:p w14:paraId="2F572B2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动作僵硬，吃力，不协调</w:t>
            </w:r>
          </w:p>
        </w:tc>
      </w:tr>
    </w:tbl>
    <w:p w14:paraId="2E7F6980" w14:textId="77777777" w:rsidR="000B25E0" w:rsidRPr="000B25E0" w:rsidRDefault="000B25E0" w:rsidP="000B25E0">
      <w:pPr>
        <w:autoSpaceDE w:val="0"/>
        <w:autoSpaceDN w:val="0"/>
        <w:adjustRightInd w:val="0"/>
        <w:snapToGrid w:val="0"/>
        <w:spacing w:line="500" w:lineRule="exact"/>
        <w:ind w:firstLineChars="200" w:firstLine="480"/>
        <w:jc w:val="center"/>
        <w:rPr>
          <w:rFonts w:ascii="宋体" w:eastAsia="宋体" w:hAnsi="Calibri" w:cs="Times New Roman"/>
          <w:bCs/>
          <w:kern w:val="0"/>
          <w:sz w:val="24"/>
        </w:rPr>
      </w:pPr>
    </w:p>
    <w:p w14:paraId="68FF2B8A" w14:textId="77777777" w:rsidR="000B25E0" w:rsidRPr="000B25E0" w:rsidRDefault="000B25E0" w:rsidP="000B25E0">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p>
    <w:p w14:paraId="20363762" w14:textId="77777777" w:rsidR="000B25E0" w:rsidRPr="000B25E0" w:rsidRDefault="000B25E0" w:rsidP="000B25E0">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0B25E0">
        <w:rPr>
          <w:rFonts w:ascii="宋体" w:eastAsia="宋体" w:hAnsi="Calibri" w:cs="Times New Roman" w:hint="eastAsia"/>
          <w:b/>
          <w:kern w:val="0"/>
          <w:sz w:val="24"/>
        </w:rPr>
        <w:t>期末考试</w:t>
      </w:r>
    </w:p>
    <w:p w14:paraId="5AF773CE"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通过考核检验羽毛球技术教学效果和学生掌握情况，让学生了解选项课内容和科学体育锻炼方式方法。</w:t>
      </w:r>
    </w:p>
    <w:p w14:paraId="6222916E"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羽毛球扣杀技术。</w:t>
      </w:r>
    </w:p>
    <w:p w14:paraId="633222DE"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10个球进区个数</w:t>
      </w:r>
    </w:p>
    <w:p w14:paraId="15708CCC"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kern w:val="0"/>
          <w:sz w:val="24"/>
        </w:rPr>
        <w:t>数量及技术评定分值各为100分，各占总分值的50%，</w:t>
      </w:r>
    </w:p>
    <w:p w14:paraId="19D6220A" w14:textId="77777777" w:rsidR="000B25E0" w:rsidRPr="000B25E0" w:rsidRDefault="000B25E0" w:rsidP="000B25E0">
      <w:pPr>
        <w:adjustRightInd w:val="0"/>
        <w:snapToGrid w:val="0"/>
        <w:spacing w:line="500" w:lineRule="exact"/>
        <w:ind w:firstLineChars="200" w:firstLine="480"/>
        <w:rPr>
          <w:rFonts w:ascii="宋体" w:eastAsia="宋体" w:hAnsi="Calibri" w:cs="Times New Roman"/>
          <w:kern w:val="0"/>
          <w:sz w:val="24"/>
        </w:rPr>
      </w:pPr>
      <w:r w:rsidRPr="000B25E0">
        <w:rPr>
          <w:rFonts w:ascii="宋体" w:eastAsia="宋体" w:hAnsi="Calibri" w:cs="Times New Roman" w:hint="eastAsia"/>
          <w:kern w:val="0"/>
          <w:sz w:val="24"/>
        </w:rPr>
        <w:t>总分值为100分。</w:t>
      </w:r>
    </w:p>
    <w:p w14:paraId="46E48863"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
          <w:kern w:val="0"/>
          <w:sz w:val="24"/>
        </w:rPr>
      </w:pPr>
    </w:p>
    <w:p w14:paraId="485124FE" w14:textId="77777777" w:rsidR="000B25E0" w:rsidRPr="000B25E0" w:rsidRDefault="000B25E0" w:rsidP="000B25E0">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5.评分记分原则：</w:t>
      </w:r>
    </w:p>
    <w:p w14:paraId="6C04F4BE" w14:textId="77777777" w:rsidR="000B25E0" w:rsidRPr="000B25E0" w:rsidRDefault="000B25E0" w:rsidP="000B25E0">
      <w:pPr>
        <w:adjustRightInd w:val="0"/>
        <w:snapToGrid w:val="0"/>
        <w:spacing w:line="500" w:lineRule="exact"/>
        <w:rPr>
          <w:rFonts w:ascii="宋体" w:eastAsia="宋体" w:hAnsi="Calibri" w:cs="Times New Roman"/>
          <w:bCs/>
          <w:kern w:val="0"/>
          <w:sz w:val="24"/>
        </w:rPr>
      </w:pPr>
      <w:r w:rsidRPr="000B25E0">
        <w:rPr>
          <w:rFonts w:ascii="宋体" w:eastAsia="宋体" w:hAnsi="Calibri" w:cs="Times New Roman" w:hint="eastAsia"/>
          <w:bCs/>
          <w:kern w:val="0"/>
          <w:sz w:val="24"/>
        </w:rPr>
        <w:t xml:space="preserve">                                                                                               </w:t>
      </w:r>
    </w:p>
    <w:tbl>
      <w:tblPr>
        <w:tblpPr w:leftFromText="180" w:rightFromText="180" w:vertAnchor="text" w:horzAnchor="page" w:tblpXSpec="center" w:tblpY="213"/>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8"/>
        <w:gridCol w:w="1119"/>
        <w:gridCol w:w="1007"/>
        <w:gridCol w:w="1188"/>
        <w:gridCol w:w="3220"/>
      </w:tblGrid>
      <w:tr w:rsidR="000B25E0" w:rsidRPr="000B25E0" w14:paraId="1602CC4E" w14:textId="77777777" w:rsidTr="00BF5EF3">
        <w:trPr>
          <w:jc w:val="center"/>
        </w:trPr>
        <w:tc>
          <w:tcPr>
            <w:tcW w:w="1478" w:type="dxa"/>
            <w:vAlign w:val="center"/>
          </w:tcPr>
          <w:p w14:paraId="152E206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扣杀球</w:t>
            </w:r>
          </w:p>
        </w:tc>
        <w:tc>
          <w:tcPr>
            <w:tcW w:w="1119" w:type="dxa"/>
            <w:vAlign w:val="center"/>
          </w:tcPr>
          <w:p w14:paraId="259CC66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技术分</w:t>
            </w:r>
          </w:p>
        </w:tc>
        <w:tc>
          <w:tcPr>
            <w:tcW w:w="1007" w:type="dxa"/>
            <w:vAlign w:val="center"/>
          </w:tcPr>
          <w:p w14:paraId="0A7390B2"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五级制</w:t>
            </w:r>
          </w:p>
        </w:tc>
        <w:tc>
          <w:tcPr>
            <w:tcW w:w="1188" w:type="dxa"/>
            <w:vAlign w:val="center"/>
          </w:tcPr>
          <w:p w14:paraId="0E82B025"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分值</w:t>
            </w:r>
          </w:p>
          <w:p w14:paraId="46AC26C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范围</w:t>
            </w:r>
          </w:p>
        </w:tc>
        <w:tc>
          <w:tcPr>
            <w:tcW w:w="3220" w:type="dxa"/>
            <w:vAlign w:val="center"/>
          </w:tcPr>
          <w:p w14:paraId="55576D2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备注</w:t>
            </w:r>
          </w:p>
        </w:tc>
      </w:tr>
      <w:tr w:rsidR="000B25E0" w:rsidRPr="000B25E0" w14:paraId="0D0FB642" w14:textId="77777777" w:rsidTr="00BF5EF3">
        <w:trPr>
          <w:jc w:val="center"/>
        </w:trPr>
        <w:tc>
          <w:tcPr>
            <w:tcW w:w="1478" w:type="dxa"/>
            <w:vAlign w:val="center"/>
          </w:tcPr>
          <w:p w14:paraId="04649818"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10</w:t>
            </w:r>
          </w:p>
        </w:tc>
        <w:tc>
          <w:tcPr>
            <w:tcW w:w="1119" w:type="dxa"/>
            <w:vAlign w:val="center"/>
          </w:tcPr>
          <w:p w14:paraId="222B765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A</w:t>
            </w:r>
          </w:p>
        </w:tc>
        <w:tc>
          <w:tcPr>
            <w:tcW w:w="1007" w:type="dxa"/>
            <w:vAlign w:val="center"/>
          </w:tcPr>
          <w:p w14:paraId="78677BC2"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优</w:t>
            </w:r>
          </w:p>
        </w:tc>
        <w:tc>
          <w:tcPr>
            <w:tcW w:w="1188" w:type="dxa"/>
            <w:vAlign w:val="center"/>
          </w:tcPr>
          <w:p w14:paraId="3503BC5C"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90—95</w:t>
            </w:r>
          </w:p>
        </w:tc>
        <w:tc>
          <w:tcPr>
            <w:tcW w:w="3220" w:type="dxa"/>
            <w:vAlign w:val="center"/>
          </w:tcPr>
          <w:p w14:paraId="6B5DEB1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姿势正确，动作优美、协调，</w:t>
            </w:r>
          </w:p>
        </w:tc>
      </w:tr>
      <w:tr w:rsidR="000B25E0" w:rsidRPr="000B25E0" w14:paraId="159F96EA" w14:textId="77777777" w:rsidTr="00BF5EF3">
        <w:trPr>
          <w:jc w:val="center"/>
        </w:trPr>
        <w:tc>
          <w:tcPr>
            <w:tcW w:w="1478" w:type="dxa"/>
            <w:vAlign w:val="center"/>
          </w:tcPr>
          <w:p w14:paraId="2ECFB5C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9</w:t>
            </w:r>
          </w:p>
        </w:tc>
        <w:tc>
          <w:tcPr>
            <w:tcW w:w="1119" w:type="dxa"/>
            <w:vAlign w:val="center"/>
          </w:tcPr>
          <w:p w14:paraId="717C744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B</w:t>
            </w:r>
          </w:p>
        </w:tc>
        <w:tc>
          <w:tcPr>
            <w:tcW w:w="1007" w:type="dxa"/>
            <w:vAlign w:val="center"/>
          </w:tcPr>
          <w:p w14:paraId="4E865084"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良好</w:t>
            </w:r>
          </w:p>
        </w:tc>
        <w:tc>
          <w:tcPr>
            <w:tcW w:w="1188" w:type="dxa"/>
            <w:vAlign w:val="center"/>
          </w:tcPr>
          <w:p w14:paraId="11CBA7C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80—89</w:t>
            </w:r>
          </w:p>
        </w:tc>
        <w:tc>
          <w:tcPr>
            <w:tcW w:w="3220" w:type="dxa"/>
            <w:vAlign w:val="center"/>
          </w:tcPr>
          <w:p w14:paraId="4CEF5BBF"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姿势较正确，动作自然，</w:t>
            </w:r>
          </w:p>
        </w:tc>
      </w:tr>
      <w:tr w:rsidR="000B25E0" w:rsidRPr="000B25E0" w14:paraId="211E740E" w14:textId="77777777" w:rsidTr="00BF5EF3">
        <w:trPr>
          <w:jc w:val="center"/>
        </w:trPr>
        <w:tc>
          <w:tcPr>
            <w:tcW w:w="1478" w:type="dxa"/>
            <w:vAlign w:val="center"/>
          </w:tcPr>
          <w:p w14:paraId="266D5165"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lastRenderedPageBreak/>
              <w:t>8</w:t>
            </w:r>
          </w:p>
        </w:tc>
        <w:tc>
          <w:tcPr>
            <w:tcW w:w="1119" w:type="dxa"/>
            <w:vAlign w:val="center"/>
          </w:tcPr>
          <w:p w14:paraId="4AD866FC"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C</w:t>
            </w:r>
          </w:p>
        </w:tc>
        <w:tc>
          <w:tcPr>
            <w:tcW w:w="1007" w:type="dxa"/>
            <w:vAlign w:val="center"/>
          </w:tcPr>
          <w:p w14:paraId="6AF39C79"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良</w:t>
            </w:r>
          </w:p>
        </w:tc>
        <w:tc>
          <w:tcPr>
            <w:tcW w:w="1188" w:type="dxa"/>
            <w:vAlign w:val="center"/>
          </w:tcPr>
          <w:p w14:paraId="1EC6C06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70—79</w:t>
            </w:r>
          </w:p>
        </w:tc>
        <w:tc>
          <w:tcPr>
            <w:tcW w:w="3220" w:type="dxa"/>
            <w:vAlign w:val="center"/>
          </w:tcPr>
          <w:p w14:paraId="49CEE47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姿势一般，动作基本正确，</w:t>
            </w:r>
          </w:p>
        </w:tc>
      </w:tr>
      <w:tr w:rsidR="000B25E0" w:rsidRPr="000B25E0" w14:paraId="72908654" w14:textId="77777777" w:rsidTr="00BF5EF3">
        <w:trPr>
          <w:jc w:val="center"/>
        </w:trPr>
        <w:tc>
          <w:tcPr>
            <w:tcW w:w="1478" w:type="dxa"/>
            <w:vAlign w:val="center"/>
          </w:tcPr>
          <w:p w14:paraId="28570EFC"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7</w:t>
            </w:r>
          </w:p>
        </w:tc>
        <w:tc>
          <w:tcPr>
            <w:tcW w:w="1119" w:type="dxa"/>
            <w:vAlign w:val="center"/>
          </w:tcPr>
          <w:p w14:paraId="2EE6A17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D</w:t>
            </w:r>
          </w:p>
        </w:tc>
        <w:tc>
          <w:tcPr>
            <w:tcW w:w="1007" w:type="dxa"/>
            <w:vAlign w:val="center"/>
          </w:tcPr>
          <w:p w14:paraId="60CDAD8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及格</w:t>
            </w:r>
          </w:p>
        </w:tc>
        <w:tc>
          <w:tcPr>
            <w:tcW w:w="1188" w:type="dxa"/>
            <w:vAlign w:val="center"/>
          </w:tcPr>
          <w:p w14:paraId="4D87A0BC"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60—69</w:t>
            </w:r>
          </w:p>
        </w:tc>
        <w:tc>
          <w:tcPr>
            <w:tcW w:w="3220" w:type="dxa"/>
            <w:vAlign w:val="center"/>
          </w:tcPr>
          <w:p w14:paraId="672E3412"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动作不协调，有多余动作，</w:t>
            </w:r>
          </w:p>
        </w:tc>
      </w:tr>
      <w:tr w:rsidR="000B25E0" w:rsidRPr="000B25E0" w14:paraId="4B029658" w14:textId="77777777" w:rsidTr="00BF5EF3">
        <w:trPr>
          <w:jc w:val="center"/>
        </w:trPr>
        <w:tc>
          <w:tcPr>
            <w:tcW w:w="1478" w:type="dxa"/>
            <w:vAlign w:val="center"/>
          </w:tcPr>
          <w:p w14:paraId="2D7E4505"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w:t>
            </w:r>
          </w:p>
        </w:tc>
        <w:tc>
          <w:tcPr>
            <w:tcW w:w="1119" w:type="dxa"/>
            <w:vAlign w:val="center"/>
          </w:tcPr>
          <w:p w14:paraId="602A9812"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E</w:t>
            </w:r>
          </w:p>
        </w:tc>
        <w:tc>
          <w:tcPr>
            <w:tcW w:w="1007" w:type="dxa"/>
            <w:vAlign w:val="center"/>
          </w:tcPr>
          <w:p w14:paraId="5D18E0C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不及格</w:t>
            </w:r>
          </w:p>
        </w:tc>
        <w:tc>
          <w:tcPr>
            <w:tcW w:w="1188" w:type="dxa"/>
            <w:vAlign w:val="center"/>
          </w:tcPr>
          <w:p w14:paraId="1E73FDE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60以下</w:t>
            </w:r>
          </w:p>
        </w:tc>
        <w:tc>
          <w:tcPr>
            <w:tcW w:w="3220" w:type="dxa"/>
            <w:vAlign w:val="center"/>
          </w:tcPr>
          <w:p w14:paraId="62E01E98"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动作僵硬，吃力，不协调</w:t>
            </w:r>
          </w:p>
        </w:tc>
      </w:tr>
    </w:tbl>
    <w:p w14:paraId="3D4E81BD"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p>
    <w:p w14:paraId="07D40C5A"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第四学期</w:t>
      </w:r>
    </w:p>
    <w:p w14:paraId="6CEA8041"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期中考试</w:t>
      </w:r>
    </w:p>
    <w:p w14:paraId="7B473A37"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通过考核检验羽毛球技术教学效果和学生掌握情况，让学生了解选项课内容和科学体育锻炼方式方法。</w:t>
      </w:r>
    </w:p>
    <w:p w14:paraId="769152E1"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羽毛球下手正手发球</w:t>
      </w:r>
    </w:p>
    <w:p w14:paraId="4025682A"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羽毛球场地进行两轮次测试，取最好成绩。</w:t>
      </w:r>
    </w:p>
    <w:p w14:paraId="7619F8C8"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数量及技术评定分值各为100分，各占总分值的20%，总分值为100分。进6球为及格，10球为满分100分；分值100分。</w:t>
      </w:r>
    </w:p>
    <w:p w14:paraId="5D6A1594"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
          <w:kern w:val="0"/>
          <w:sz w:val="24"/>
        </w:rPr>
      </w:pPr>
      <w:r w:rsidRPr="000B25E0">
        <w:rPr>
          <w:rFonts w:ascii="宋体" w:eastAsia="宋体" w:hAnsi="Calibri" w:cs="Times New Roman" w:hint="eastAsia"/>
          <w:b/>
          <w:kern w:val="0"/>
          <w:sz w:val="24"/>
        </w:rPr>
        <w:t>5.评分记分原则</w:t>
      </w:r>
    </w:p>
    <w:p w14:paraId="49CAB199"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0B25E0" w:rsidRPr="000B25E0" w14:paraId="3DEBCA05" w14:textId="77777777" w:rsidTr="00BF5EF3">
        <w:trPr>
          <w:jc w:val="center"/>
        </w:trPr>
        <w:tc>
          <w:tcPr>
            <w:tcW w:w="970" w:type="dxa"/>
          </w:tcPr>
          <w:p w14:paraId="000C0477"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技术分</w:t>
            </w:r>
          </w:p>
        </w:tc>
        <w:tc>
          <w:tcPr>
            <w:tcW w:w="1183" w:type="dxa"/>
          </w:tcPr>
          <w:p w14:paraId="6814007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五级制</w:t>
            </w:r>
          </w:p>
        </w:tc>
        <w:tc>
          <w:tcPr>
            <w:tcW w:w="1341" w:type="dxa"/>
          </w:tcPr>
          <w:p w14:paraId="626236F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分值范围</w:t>
            </w:r>
          </w:p>
        </w:tc>
        <w:tc>
          <w:tcPr>
            <w:tcW w:w="3039" w:type="dxa"/>
          </w:tcPr>
          <w:p w14:paraId="6CE35428"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备注</w:t>
            </w:r>
          </w:p>
        </w:tc>
        <w:tc>
          <w:tcPr>
            <w:tcW w:w="1403" w:type="dxa"/>
          </w:tcPr>
          <w:p w14:paraId="682065BC"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数目</w:t>
            </w:r>
          </w:p>
        </w:tc>
      </w:tr>
      <w:tr w:rsidR="000B25E0" w:rsidRPr="000B25E0" w14:paraId="6E408196" w14:textId="77777777" w:rsidTr="00BF5EF3">
        <w:trPr>
          <w:jc w:val="center"/>
        </w:trPr>
        <w:tc>
          <w:tcPr>
            <w:tcW w:w="970" w:type="dxa"/>
          </w:tcPr>
          <w:p w14:paraId="19B1EAC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A</w:t>
            </w:r>
          </w:p>
        </w:tc>
        <w:tc>
          <w:tcPr>
            <w:tcW w:w="1183" w:type="dxa"/>
          </w:tcPr>
          <w:p w14:paraId="59896AC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优</w:t>
            </w:r>
          </w:p>
        </w:tc>
        <w:tc>
          <w:tcPr>
            <w:tcW w:w="1341" w:type="dxa"/>
          </w:tcPr>
          <w:p w14:paraId="07D31A62"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90—95</w:t>
            </w:r>
          </w:p>
        </w:tc>
        <w:tc>
          <w:tcPr>
            <w:tcW w:w="3039" w:type="dxa"/>
          </w:tcPr>
          <w:p w14:paraId="48A7E842"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姿势正确，动作优美、协调，</w:t>
            </w:r>
          </w:p>
        </w:tc>
        <w:tc>
          <w:tcPr>
            <w:tcW w:w="1403" w:type="dxa"/>
          </w:tcPr>
          <w:p w14:paraId="6C8610D4"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10</w:t>
            </w:r>
          </w:p>
        </w:tc>
      </w:tr>
      <w:tr w:rsidR="000B25E0" w:rsidRPr="000B25E0" w14:paraId="67418C85" w14:textId="77777777" w:rsidTr="00BF5EF3">
        <w:trPr>
          <w:jc w:val="center"/>
        </w:trPr>
        <w:tc>
          <w:tcPr>
            <w:tcW w:w="970" w:type="dxa"/>
          </w:tcPr>
          <w:p w14:paraId="3BB838F9"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B</w:t>
            </w:r>
          </w:p>
        </w:tc>
        <w:tc>
          <w:tcPr>
            <w:tcW w:w="1183" w:type="dxa"/>
          </w:tcPr>
          <w:p w14:paraId="256E8E7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良好</w:t>
            </w:r>
          </w:p>
        </w:tc>
        <w:tc>
          <w:tcPr>
            <w:tcW w:w="1341" w:type="dxa"/>
          </w:tcPr>
          <w:p w14:paraId="1D5B1A55"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80—89</w:t>
            </w:r>
          </w:p>
        </w:tc>
        <w:tc>
          <w:tcPr>
            <w:tcW w:w="3039" w:type="dxa"/>
          </w:tcPr>
          <w:p w14:paraId="4B0DF8D5"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姿势较正确，动作自然，</w:t>
            </w:r>
          </w:p>
        </w:tc>
        <w:tc>
          <w:tcPr>
            <w:tcW w:w="1403" w:type="dxa"/>
          </w:tcPr>
          <w:p w14:paraId="720FE7EE"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9</w:t>
            </w:r>
          </w:p>
        </w:tc>
      </w:tr>
      <w:tr w:rsidR="000B25E0" w:rsidRPr="000B25E0" w14:paraId="64A975E8" w14:textId="77777777" w:rsidTr="00BF5EF3">
        <w:trPr>
          <w:jc w:val="center"/>
        </w:trPr>
        <w:tc>
          <w:tcPr>
            <w:tcW w:w="970" w:type="dxa"/>
          </w:tcPr>
          <w:p w14:paraId="58B8BC48"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C</w:t>
            </w:r>
          </w:p>
        </w:tc>
        <w:tc>
          <w:tcPr>
            <w:tcW w:w="1183" w:type="dxa"/>
          </w:tcPr>
          <w:p w14:paraId="421BFA8F"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良</w:t>
            </w:r>
          </w:p>
        </w:tc>
        <w:tc>
          <w:tcPr>
            <w:tcW w:w="1341" w:type="dxa"/>
          </w:tcPr>
          <w:p w14:paraId="4668291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70—79</w:t>
            </w:r>
          </w:p>
        </w:tc>
        <w:tc>
          <w:tcPr>
            <w:tcW w:w="3039" w:type="dxa"/>
          </w:tcPr>
          <w:p w14:paraId="24FC91A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姿势一般，动作基本正确，</w:t>
            </w:r>
          </w:p>
        </w:tc>
        <w:tc>
          <w:tcPr>
            <w:tcW w:w="1403" w:type="dxa"/>
          </w:tcPr>
          <w:p w14:paraId="086D502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8</w:t>
            </w:r>
          </w:p>
        </w:tc>
      </w:tr>
      <w:tr w:rsidR="000B25E0" w:rsidRPr="000B25E0" w14:paraId="6051097A" w14:textId="77777777" w:rsidTr="00BF5EF3">
        <w:trPr>
          <w:jc w:val="center"/>
        </w:trPr>
        <w:tc>
          <w:tcPr>
            <w:tcW w:w="970" w:type="dxa"/>
          </w:tcPr>
          <w:p w14:paraId="541D41E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D</w:t>
            </w:r>
          </w:p>
        </w:tc>
        <w:tc>
          <w:tcPr>
            <w:tcW w:w="1183" w:type="dxa"/>
          </w:tcPr>
          <w:p w14:paraId="01757DEE"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及格</w:t>
            </w:r>
          </w:p>
        </w:tc>
        <w:tc>
          <w:tcPr>
            <w:tcW w:w="1341" w:type="dxa"/>
          </w:tcPr>
          <w:p w14:paraId="136CCC7C"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60—69</w:t>
            </w:r>
          </w:p>
        </w:tc>
        <w:tc>
          <w:tcPr>
            <w:tcW w:w="3039" w:type="dxa"/>
          </w:tcPr>
          <w:p w14:paraId="4FED6D4A"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动作不协调，有多余动作，</w:t>
            </w:r>
          </w:p>
        </w:tc>
        <w:tc>
          <w:tcPr>
            <w:tcW w:w="1403" w:type="dxa"/>
          </w:tcPr>
          <w:p w14:paraId="628696B8"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7</w:t>
            </w:r>
          </w:p>
        </w:tc>
      </w:tr>
      <w:tr w:rsidR="000B25E0" w:rsidRPr="000B25E0" w14:paraId="4DA3A2D1" w14:textId="77777777" w:rsidTr="00BF5EF3">
        <w:trPr>
          <w:jc w:val="center"/>
        </w:trPr>
        <w:tc>
          <w:tcPr>
            <w:tcW w:w="970" w:type="dxa"/>
          </w:tcPr>
          <w:p w14:paraId="1FE57818"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E</w:t>
            </w:r>
          </w:p>
        </w:tc>
        <w:tc>
          <w:tcPr>
            <w:tcW w:w="1183" w:type="dxa"/>
          </w:tcPr>
          <w:p w14:paraId="413D0457"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不及格</w:t>
            </w:r>
          </w:p>
        </w:tc>
        <w:tc>
          <w:tcPr>
            <w:tcW w:w="1341" w:type="dxa"/>
          </w:tcPr>
          <w:p w14:paraId="5CDC4C5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60以下</w:t>
            </w:r>
          </w:p>
        </w:tc>
        <w:tc>
          <w:tcPr>
            <w:tcW w:w="3039" w:type="dxa"/>
          </w:tcPr>
          <w:p w14:paraId="0A6A153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动作僵硬，吃力，不协调</w:t>
            </w:r>
          </w:p>
        </w:tc>
        <w:tc>
          <w:tcPr>
            <w:tcW w:w="1403" w:type="dxa"/>
          </w:tcPr>
          <w:p w14:paraId="22BD279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w:t>
            </w:r>
          </w:p>
        </w:tc>
      </w:tr>
    </w:tbl>
    <w:p w14:paraId="19AA0E29" w14:textId="77777777" w:rsidR="000B25E0" w:rsidRPr="000B25E0" w:rsidRDefault="000B25E0" w:rsidP="000B25E0">
      <w:pPr>
        <w:adjustRightInd w:val="0"/>
        <w:snapToGrid w:val="0"/>
        <w:spacing w:line="500" w:lineRule="exact"/>
        <w:rPr>
          <w:rFonts w:ascii="宋体" w:eastAsia="宋体" w:hAnsi="Calibri" w:cs="Times New Roman"/>
          <w:bCs/>
          <w:kern w:val="0"/>
          <w:sz w:val="24"/>
        </w:rPr>
      </w:pPr>
    </w:p>
    <w:p w14:paraId="2BEDF364"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期末考试</w:t>
      </w:r>
    </w:p>
    <w:p w14:paraId="629F1B84"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通过考核检验羽毛球技术教学效果和学生掌握情况，让学生了</w:t>
      </w:r>
      <w:r w:rsidRPr="000B25E0">
        <w:rPr>
          <w:rFonts w:ascii="宋体" w:eastAsia="宋体" w:hAnsi="Calibri" w:cs="Times New Roman" w:hint="eastAsia"/>
          <w:bCs/>
          <w:kern w:val="0"/>
          <w:sz w:val="24"/>
        </w:rPr>
        <w:lastRenderedPageBreak/>
        <w:t>解选项课内容和科学体育锻炼方式方法。</w:t>
      </w:r>
    </w:p>
    <w:p w14:paraId="0CEF8F24"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羽毛球</w:t>
      </w:r>
      <w:proofErr w:type="gramStart"/>
      <w:r w:rsidRPr="000B25E0">
        <w:rPr>
          <w:rFonts w:ascii="宋体" w:eastAsia="宋体" w:hAnsi="Calibri" w:cs="Times New Roman" w:hint="eastAsia"/>
          <w:bCs/>
          <w:kern w:val="0"/>
          <w:sz w:val="24"/>
        </w:rPr>
        <w:t>高远球</w:t>
      </w:r>
      <w:proofErr w:type="gramEnd"/>
      <w:r w:rsidRPr="000B25E0">
        <w:rPr>
          <w:rFonts w:ascii="宋体" w:eastAsia="宋体" w:hAnsi="Calibri" w:cs="Times New Roman" w:hint="eastAsia"/>
          <w:bCs/>
          <w:kern w:val="0"/>
          <w:sz w:val="24"/>
        </w:rPr>
        <w:t>技术。</w:t>
      </w:r>
    </w:p>
    <w:p w14:paraId="5D53190A"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
          <w:kern w:val="0"/>
          <w:sz w:val="24"/>
        </w:rPr>
      </w:pPr>
      <w:r w:rsidRPr="000B25E0">
        <w:rPr>
          <w:rFonts w:ascii="宋体" w:eastAsia="宋体" w:hAnsi="Calibri" w:cs="Times New Roman" w:hint="eastAsia"/>
          <w:b/>
          <w:kern w:val="0"/>
          <w:sz w:val="24"/>
        </w:rPr>
        <w:t>3.课程考核方式：</w:t>
      </w:r>
      <w:proofErr w:type="gramStart"/>
      <w:r w:rsidRPr="000B25E0">
        <w:rPr>
          <w:rFonts w:ascii="宋体" w:eastAsia="宋体" w:hAnsi="Calibri" w:cs="Times New Roman" w:hint="eastAsia"/>
          <w:bCs/>
          <w:kern w:val="0"/>
          <w:sz w:val="24"/>
        </w:rPr>
        <w:t>高远球</w:t>
      </w:r>
      <w:proofErr w:type="gramEnd"/>
      <w:r w:rsidRPr="000B25E0">
        <w:rPr>
          <w:rFonts w:ascii="宋体" w:eastAsia="宋体" w:hAnsi="Calibri" w:cs="Times New Roman" w:hint="eastAsia"/>
          <w:bCs/>
          <w:kern w:val="0"/>
          <w:sz w:val="24"/>
        </w:rPr>
        <w:t>10个回合</w:t>
      </w:r>
    </w:p>
    <w:p w14:paraId="57F480FA"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技术评定分值各为100分，各占总分值的50%，总分值为100分。</w:t>
      </w:r>
    </w:p>
    <w:p w14:paraId="5A04E9AF" w14:textId="77777777" w:rsidR="000B25E0" w:rsidRPr="000B25E0" w:rsidRDefault="000B25E0" w:rsidP="000B25E0">
      <w:pPr>
        <w:adjustRightInd w:val="0"/>
        <w:snapToGrid w:val="0"/>
        <w:spacing w:line="50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5.评分记分原则：</w:t>
      </w:r>
      <w:r w:rsidRPr="000B25E0">
        <w:rPr>
          <w:rFonts w:ascii="宋体" w:eastAsia="宋体" w:hAnsi="Calibri" w:cs="Times New Roman" w:hint="eastAsia"/>
          <w:bCs/>
          <w:kern w:val="0"/>
          <w:sz w:val="24"/>
        </w:rPr>
        <w:t xml:space="preserve">                                      </w:t>
      </w:r>
    </w:p>
    <w:tbl>
      <w:tblPr>
        <w:tblpPr w:leftFromText="180" w:rightFromText="180" w:vertAnchor="text" w:horzAnchor="margin" w:tblpY="462"/>
        <w:tblOverlap w:val="never"/>
        <w:tblW w:w="7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975"/>
        <w:gridCol w:w="1140"/>
        <w:gridCol w:w="1215"/>
        <w:gridCol w:w="3090"/>
      </w:tblGrid>
      <w:tr w:rsidR="000B25E0" w:rsidRPr="000B25E0" w14:paraId="65414044" w14:textId="77777777" w:rsidTr="00BF5EF3">
        <w:tc>
          <w:tcPr>
            <w:tcW w:w="1180" w:type="dxa"/>
          </w:tcPr>
          <w:p w14:paraId="0985C9E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回合</w:t>
            </w:r>
          </w:p>
        </w:tc>
        <w:tc>
          <w:tcPr>
            <w:tcW w:w="975" w:type="dxa"/>
          </w:tcPr>
          <w:p w14:paraId="6C9E4E0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技术分</w:t>
            </w:r>
          </w:p>
        </w:tc>
        <w:tc>
          <w:tcPr>
            <w:tcW w:w="1140" w:type="dxa"/>
          </w:tcPr>
          <w:p w14:paraId="1024FAA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五级制</w:t>
            </w:r>
          </w:p>
        </w:tc>
        <w:tc>
          <w:tcPr>
            <w:tcW w:w="1215" w:type="dxa"/>
          </w:tcPr>
          <w:p w14:paraId="75AFA51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分值范围</w:t>
            </w:r>
          </w:p>
        </w:tc>
        <w:tc>
          <w:tcPr>
            <w:tcW w:w="3090" w:type="dxa"/>
          </w:tcPr>
          <w:p w14:paraId="6E5C47F4"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备注</w:t>
            </w:r>
          </w:p>
        </w:tc>
      </w:tr>
      <w:tr w:rsidR="000B25E0" w:rsidRPr="000B25E0" w14:paraId="5B9E8A67" w14:textId="77777777" w:rsidTr="00BF5EF3">
        <w:tc>
          <w:tcPr>
            <w:tcW w:w="1180" w:type="dxa"/>
          </w:tcPr>
          <w:p w14:paraId="134B6ECF"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10</w:t>
            </w:r>
          </w:p>
        </w:tc>
        <w:tc>
          <w:tcPr>
            <w:tcW w:w="975" w:type="dxa"/>
          </w:tcPr>
          <w:p w14:paraId="4FE6C99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A</w:t>
            </w:r>
          </w:p>
        </w:tc>
        <w:tc>
          <w:tcPr>
            <w:tcW w:w="1140" w:type="dxa"/>
          </w:tcPr>
          <w:p w14:paraId="63CFE617"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优</w:t>
            </w:r>
          </w:p>
        </w:tc>
        <w:tc>
          <w:tcPr>
            <w:tcW w:w="1215" w:type="dxa"/>
          </w:tcPr>
          <w:p w14:paraId="39BAEA74"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90—95</w:t>
            </w:r>
          </w:p>
        </w:tc>
        <w:tc>
          <w:tcPr>
            <w:tcW w:w="3090" w:type="dxa"/>
          </w:tcPr>
          <w:p w14:paraId="52C145C5"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姿势正确，动作优美、协调，</w:t>
            </w:r>
          </w:p>
        </w:tc>
      </w:tr>
      <w:tr w:rsidR="000B25E0" w:rsidRPr="000B25E0" w14:paraId="74C8F7FF" w14:textId="77777777" w:rsidTr="00BF5EF3">
        <w:tc>
          <w:tcPr>
            <w:tcW w:w="1180" w:type="dxa"/>
          </w:tcPr>
          <w:p w14:paraId="6C308A93"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9</w:t>
            </w:r>
          </w:p>
        </w:tc>
        <w:tc>
          <w:tcPr>
            <w:tcW w:w="975" w:type="dxa"/>
          </w:tcPr>
          <w:p w14:paraId="1D411E98"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B</w:t>
            </w:r>
          </w:p>
        </w:tc>
        <w:tc>
          <w:tcPr>
            <w:tcW w:w="1140" w:type="dxa"/>
          </w:tcPr>
          <w:p w14:paraId="663F63FD"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良好</w:t>
            </w:r>
          </w:p>
        </w:tc>
        <w:tc>
          <w:tcPr>
            <w:tcW w:w="1215" w:type="dxa"/>
          </w:tcPr>
          <w:p w14:paraId="28EBD8A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80—89</w:t>
            </w:r>
          </w:p>
        </w:tc>
        <w:tc>
          <w:tcPr>
            <w:tcW w:w="3090" w:type="dxa"/>
          </w:tcPr>
          <w:p w14:paraId="7AE315D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姿势较正确，动作自然，</w:t>
            </w:r>
          </w:p>
        </w:tc>
      </w:tr>
      <w:tr w:rsidR="000B25E0" w:rsidRPr="000B25E0" w14:paraId="18950BD0" w14:textId="77777777" w:rsidTr="00BF5EF3">
        <w:tc>
          <w:tcPr>
            <w:tcW w:w="1180" w:type="dxa"/>
          </w:tcPr>
          <w:p w14:paraId="5CDEE241"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8</w:t>
            </w:r>
          </w:p>
        </w:tc>
        <w:tc>
          <w:tcPr>
            <w:tcW w:w="975" w:type="dxa"/>
          </w:tcPr>
          <w:p w14:paraId="6D9AB1C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C</w:t>
            </w:r>
          </w:p>
        </w:tc>
        <w:tc>
          <w:tcPr>
            <w:tcW w:w="1140" w:type="dxa"/>
          </w:tcPr>
          <w:p w14:paraId="62A2004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良</w:t>
            </w:r>
          </w:p>
        </w:tc>
        <w:tc>
          <w:tcPr>
            <w:tcW w:w="1215" w:type="dxa"/>
          </w:tcPr>
          <w:p w14:paraId="7BF22CA9"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70—79</w:t>
            </w:r>
          </w:p>
        </w:tc>
        <w:tc>
          <w:tcPr>
            <w:tcW w:w="3090" w:type="dxa"/>
          </w:tcPr>
          <w:p w14:paraId="14A8536C"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姿势一般，动作基本正确，</w:t>
            </w:r>
          </w:p>
        </w:tc>
      </w:tr>
      <w:tr w:rsidR="000B25E0" w:rsidRPr="000B25E0" w14:paraId="3417DF58" w14:textId="77777777" w:rsidTr="00BF5EF3">
        <w:tc>
          <w:tcPr>
            <w:tcW w:w="1180" w:type="dxa"/>
          </w:tcPr>
          <w:p w14:paraId="28F2D92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7</w:t>
            </w:r>
          </w:p>
        </w:tc>
        <w:tc>
          <w:tcPr>
            <w:tcW w:w="975" w:type="dxa"/>
          </w:tcPr>
          <w:p w14:paraId="07821FB7"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D</w:t>
            </w:r>
          </w:p>
        </w:tc>
        <w:tc>
          <w:tcPr>
            <w:tcW w:w="1140" w:type="dxa"/>
          </w:tcPr>
          <w:p w14:paraId="260761D6"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及格</w:t>
            </w:r>
          </w:p>
        </w:tc>
        <w:tc>
          <w:tcPr>
            <w:tcW w:w="1215" w:type="dxa"/>
          </w:tcPr>
          <w:p w14:paraId="0441049F"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60—69</w:t>
            </w:r>
          </w:p>
        </w:tc>
        <w:tc>
          <w:tcPr>
            <w:tcW w:w="3090" w:type="dxa"/>
          </w:tcPr>
          <w:p w14:paraId="4D5AEBE0"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动作不协调，有多余动作，</w:t>
            </w:r>
          </w:p>
        </w:tc>
      </w:tr>
      <w:tr w:rsidR="000B25E0" w:rsidRPr="000B25E0" w14:paraId="0DE1232D" w14:textId="77777777" w:rsidTr="00BF5EF3">
        <w:tc>
          <w:tcPr>
            <w:tcW w:w="1180" w:type="dxa"/>
          </w:tcPr>
          <w:p w14:paraId="12E00D2F"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w:t>
            </w:r>
          </w:p>
        </w:tc>
        <w:tc>
          <w:tcPr>
            <w:tcW w:w="975" w:type="dxa"/>
          </w:tcPr>
          <w:p w14:paraId="3866923A"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E</w:t>
            </w:r>
          </w:p>
        </w:tc>
        <w:tc>
          <w:tcPr>
            <w:tcW w:w="1140" w:type="dxa"/>
          </w:tcPr>
          <w:p w14:paraId="52047FDB"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不及格</w:t>
            </w:r>
          </w:p>
        </w:tc>
        <w:tc>
          <w:tcPr>
            <w:tcW w:w="1215" w:type="dxa"/>
          </w:tcPr>
          <w:p w14:paraId="11A9C4A9"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60以下</w:t>
            </w:r>
          </w:p>
        </w:tc>
        <w:tc>
          <w:tcPr>
            <w:tcW w:w="3090" w:type="dxa"/>
          </w:tcPr>
          <w:p w14:paraId="38EA418A" w14:textId="77777777" w:rsidR="000B25E0" w:rsidRPr="000B25E0" w:rsidRDefault="000B25E0" w:rsidP="000B25E0">
            <w:pPr>
              <w:adjustRightInd w:val="0"/>
              <w:snapToGrid w:val="0"/>
              <w:spacing w:line="500" w:lineRule="exact"/>
              <w:jc w:val="center"/>
              <w:rPr>
                <w:rFonts w:ascii="宋体" w:eastAsia="宋体" w:hAnsi="Calibri" w:cs="Times New Roman"/>
                <w:bCs/>
                <w:kern w:val="0"/>
                <w:sz w:val="24"/>
              </w:rPr>
            </w:pPr>
            <w:r w:rsidRPr="000B25E0">
              <w:rPr>
                <w:rFonts w:ascii="宋体" w:eastAsia="宋体" w:hAnsi="Calibri" w:cs="Times New Roman" w:hint="eastAsia"/>
                <w:bCs/>
                <w:kern w:val="0"/>
                <w:sz w:val="24"/>
              </w:rPr>
              <w:t>动作僵硬，吃力，不协调</w:t>
            </w:r>
          </w:p>
        </w:tc>
      </w:tr>
    </w:tbl>
    <w:p w14:paraId="110F393C" w14:textId="77777777" w:rsidR="000B25E0" w:rsidRPr="000B25E0" w:rsidRDefault="000B25E0" w:rsidP="000B25E0">
      <w:pPr>
        <w:spacing w:beforeLines="50" w:before="156" w:afterLines="50" w:after="156" w:line="440" w:lineRule="exact"/>
        <w:rPr>
          <w:rFonts w:ascii="黑体" w:eastAsia="黑体" w:hAnsi="黑体" w:cs="Times New Roman"/>
          <w:sz w:val="28"/>
          <w:szCs w:val="28"/>
        </w:rPr>
      </w:pPr>
    </w:p>
    <w:p w14:paraId="10137C01"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p>
    <w:p w14:paraId="5688F799"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p>
    <w:p w14:paraId="5F8F7C20"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p>
    <w:p w14:paraId="1E99C5C6"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p>
    <w:p w14:paraId="0C44F0DC"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p>
    <w:p w14:paraId="4BD8D6AD" w14:textId="77777777" w:rsidR="006D6C0A" w:rsidRDefault="006D6C0A" w:rsidP="000B25E0">
      <w:pPr>
        <w:spacing w:beforeLines="50" w:before="156" w:afterLines="50" w:after="156" w:line="440" w:lineRule="exact"/>
        <w:ind w:firstLineChars="250" w:firstLine="700"/>
        <w:rPr>
          <w:rFonts w:ascii="黑体" w:eastAsia="黑体" w:hAnsi="黑体" w:cs="Times New Roman"/>
          <w:sz w:val="28"/>
          <w:szCs w:val="28"/>
        </w:rPr>
      </w:pPr>
    </w:p>
    <w:p w14:paraId="58B091DF" w14:textId="77777777" w:rsidR="006D6C0A" w:rsidRDefault="006D6C0A" w:rsidP="000B25E0">
      <w:pPr>
        <w:spacing w:beforeLines="50" w:before="156" w:afterLines="50" w:after="156" w:line="440" w:lineRule="exact"/>
        <w:ind w:firstLineChars="250" w:firstLine="700"/>
        <w:rPr>
          <w:rFonts w:ascii="黑体" w:eastAsia="黑体" w:hAnsi="黑体" w:cs="Times New Roman"/>
          <w:sz w:val="28"/>
          <w:szCs w:val="28"/>
        </w:rPr>
      </w:pPr>
    </w:p>
    <w:p w14:paraId="08D90EDA" w14:textId="77777777" w:rsidR="006D6C0A" w:rsidRDefault="006D6C0A" w:rsidP="000B25E0">
      <w:pPr>
        <w:spacing w:beforeLines="50" w:before="156" w:afterLines="50" w:after="156" w:line="440" w:lineRule="exact"/>
        <w:ind w:firstLineChars="250" w:firstLine="700"/>
        <w:rPr>
          <w:rFonts w:ascii="黑体" w:eastAsia="黑体" w:hAnsi="黑体" w:cs="Times New Roman"/>
          <w:sz w:val="28"/>
          <w:szCs w:val="28"/>
        </w:rPr>
      </w:pPr>
    </w:p>
    <w:p w14:paraId="0A1B77D2" w14:textId="77777777" w:rsidR="000B25E0" w:rsidRPr="000B25E0" w:rsidRDefault="000B25E0" w:rsidP="000B25E0">
      <w:pPr>
        <w:spacing w:beforeLines="50" w:before="156" w:afterLines="50" w:after="156" w:line="440" w:lineRule="exact"/>
        <w:ind w:firstLineChars="250" w:firstLine="700"/>
        <w:rPr>
          <w:rFonts w:ascii="宋体" w:eastAsia="宋体" w:hAnsi="宋体" w:cs="Times New Roman"/>
          <w:sz w:val="24"/>
        </w:rPr>
      </w:pPr>
      <w:r w:rsidRPr="000B25E0">
        <w:rPr>
          <w:rFonts w:ascii="黑体" w:eastAsia="黑体" w:hAnsi="黑体" w:cs="Times New Roman" w:hint="eastAsia"/>
          <w:sz w:val="28"/>
          <w:szCs w:val="28"/>
        </w:rPr>
        <w:t>六、使用教材、相关推荐书目及课程资源</w:t>
      </w:r>
    </w:p>
    <w:p w14:paraId="5AD076B9" w14:textId="77777777" w:rsidR="000B25E0" w:rsidRPr="000B25E0" w:rsidRDefault="000B25E0" w:rsidP="000B25E0">
      <w:pPr>
        <w:spacing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（一）使用教材</w:t>
      </w:r>
    </w:p>
    <w:p w14:paraId="0A678355" w14:textId="77777777" w:rsidR="000B25E0" w:rsidRPr="000B25E0" w:rsidRDefault="000B25E0" w:rsidP="000B25E0">
      <w:pPr>
        <w:autoSpaceDE w:val="0"/>
        <w:autoSpaceDN w:val="0"/>
        <w:adjustRightInd w:val="0"/>
        <w:snapToGrid w:val="0"/>
        <w:spacing w:line="500" w:lineRule="exact"/>
        <w:ind w:firstLineChars="300" w:firstLine="720"/>
        <w:rPr>
          <w:rFonts w:ascii="宋体" w:eastAsia="宋体" w:hAnsi="宋体" w:cs="宋体"/>
          <w:kern w:val="0"/>
          <w:sz w:val="24"/>
        </w:rPr>
      </w:pPr>
      <w:r w:rsidRPr="000B25E0">
        <w:rPr>
          <w:rFonts w:ascii="宋体" w:eastAsia="宋体" w:hAnsi="宋体" w:cs="宋体" w:hint="eastAsia"/>
          <w:kern w:val="0"/>
          <w:sz w:val="24"/>
        </w:rPr>
        <w:t>任晋军主编：《当代大学体育教程》，北京体育大学出版社，2008</w:t>
      </w:r>
    </w:p>
    <w:p w14:paraId="40260B7A" w14:textId="77777777" w:rsidR="000B25E0" w:rsidRPr="000B25E0" w:rsidRDefault="000B25E0" w:rsidP="000B25E0">
      <w:pPr>
        <w:autoSpaceDE w:val="0"/>
        <w:autoSpaceDN w:val="0"/>
        <w:adjustRightInd w:val="0"/>
        <w:snapToGrid w:val="0"/>
        <w:spacing w:line="500" w:lineRule="exact"/>
        <w:ind w:firstLineChars="300" w:firstLine="750"/>
        <w:rPr>
          <w:rFonts w:ascii="宋体" w:eastAsia="宋体" w:hAnsi="宋体" w:cs="Times New Roman"/>
          <w:color w:val="FF0000"/>
          <w:sz w:val="24"/>
        </w:rPr>
      </w:pPr>
      <w:proofErr w:type="gramStart"/>
      <w:r w:rsidRPr="000B25E0">
        <w:rPr>
          <w:rFonts w:ascii="宋体" w:eastAsia="宋体" w:hAnsi="Calibri" w:cs="宋体" w:hint="eastAsia"/>
          <w:spacing w:val="5"/>
          <w:kern w:val="0"/>
          <w:sz w:val="24"/>
        </w:rPr>
        <w:t>王崇喜主编</w:t>
      </w:r>
      <w:proofErr w:type="gramEnd"/>
      <w:r w:rsidRPr="000B25E0">
        <w:rPr>
          <w:rFonts w:ascii="宋体" w:eastAsia="宋体" w:hAnsi="Calibri" w:cs="宋体" w:hint="eastAsia"/>
          <w:spacing w:val="5"/>
          <w:kern w:val="0"/>
          <w:sz w:val="24"/>
        </w:rPr>
        <w:t>：《球类运动—羽毛球》，高等教育出版社，2001年6月</w:t>
      </w:r>
    </w:p>
    <w:p w14:paraId="0E93189F" w14:textId="77777777" w:rsidR="000B25E0" w:rsidRPr="000B25E0" w:rsidRDefault="000B25E0" w:rsidP="000B25E0">
      <w:pPr>
        <w:spacing w:line="440" w:lineRule="exact"/>
        <w:ind w:firstLineChars="200" w:firstLine="560"/>
        <w:rPr>
          <w:rFonts w:ascii="宋体" w:eastAsia="宋体" w:hAnsi="宋体" w:cs="Times New Roman"/>
          <w:sz w:val="24"/>
        </w:rPr>
      </w:pPr>
      <w:r w:rsidRPr="000B25E0">
        <w:rPr>
          <w:rFonts w:ascii="黑体" w:eastAsia="黑体" w:hAnsi="黑体" w:cs="Times New Roman" w:hint="eastAsia"/>
          <w:sz w:val="28"/>
          <w:szCs w:val="28"/>
        </w:rPr>
        <w:t>（二）相关推荐书目</w:t>
      </w:r>
    </w:p>
    <w:p w14:paraId="3C24424F"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w:t>
      </w:r>
      <w:r w:rsidRPr="000B25E0">
        <w:rPr>
          <w:rFonts w:ascii="宋体" w:eastAsia="宋体" w:hAnsi="宋体" w:cs="Times New Roman"/>
          <w:sz w:val="24"/>
        </w:rPr>
        <w:t xml:space="preserve">. </w:t>
      </w:r>
      <w:r w:rsidRPr="000B25E0">
        <w:rPr>
          <w:rFonts w:ascii="宋体" w:eastAsia="宋体" w:hAnsi="宋体" w:cs="宋体" w:hint="eastAsia"/>
          <w:kern w:val="0"/>
          <w:sz w:val="24"/>
        </w:rPr>
        <w:t>刘建国主编：《当代大学体育与健身》，高教出版社，2008</w:t>
      </w:r>
    </w:p>
    <w:p w14:paraId="5610B387" w14:textId="77777777" w:rsidR="000B25E0" w:rsidRPr="000B25E0" w:rsidRDefault="000B25E0" w:rsidP="000B25E0">
      <w:pPr>
        <w:autoSpaceDE w:val="0"/>
        <w:autoSpaceDN w:val="0"/>
        <w:adjustRightInd w:val="0"/>
        <w:snapToGrid w:val="0"/>
        <w:spacing w:line="500" w:lineRule="exact"/>
        <w:ind w:firstLineChars="200" w:firstLine="480"/>
        <w:rPr>
          <w:rFonts w:ascii="宋体" w:eastAsia="宋体" w:hAnsi="宋体" w:cs="Times New Roman"/>
          <w:sz w:val="24"/>
        </w:rPr>
      </w:pPr>
      <w:r w:rsidRPr="000B25E0">
        <w:rPr>
          <w:rFonts w:ascii="宋体" w:eastAsia="宋体" w:hAnsi="宋体" w:cs="Times New Roman" w:hint="eastAsia"/>
          <w:sz w:val="24"/>
        </w:rPr>
        <w:t>2</w:t>
      </w:r>
      <w:r w:rsidRPr="000B25E0">
        <w:rPr>
          <w:rFonts w:ascii="宋体" w:eastAsia="宋体" w:hAnsi="宋体" w:cs="Times New Roman"/>
          <w:sz w:val="24"/>
        </w:rPr>
        <w:t xml:space="preserve">. </w:t>
      </w:r>
      <w:r w:rsidRPr="000B25E0">
        <w:rPr>
          <w:rFonts w:ascii="宋体" w:eastAsia="宋体" w:hAnsi="宋体" w:cs="宋体" w:hint="eastAsia"/>
          <w:kern w:val="0"/>
          <w:sz w:val="24"/>
        </w:rPr>
        <w:t>全国体育学院教材委员会审定：《体育与健康理论指导手册》，人民体育出版社，2014</w:t>
      </w:r>
    </w:p>
    <w:p w14:paraId="59C43249"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（三）课程资源</w:t>
      </w:r>
    </w:p>
    <w:p w14:paraId="56C9F81B" w14:textId="77777777" w:rsidR="000B25E0" w:rsidRPr="000B25E0" w:rsidRDefault="000B25E0" w:rsidP="000B25E0">
      <w:pPr>
        <w:spacing w:line="44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1. 大学体育课程的重要性毋容置疑，技术活动型综合课程要打破传统教学模</w:t>
      </w:r>
      <w:r w:rsidRPr="000B25E0">
        <w:rPr>
          <w:rFonts w:ascii="宋体" w:eastAsia="宋体" w:hAnsi="Calibri" w:cs="宋体" w:hint="eastAsia"/>
          <w:spacing w:val="5"/>
          <w:kern w:val="0"/>
          <w:sz w:val="24"/>
        </w:rPr>
        <w:lastRenderedPageBreak/>
        <w:t>式，去除学科偏见，落实改革目标，丰富而多样的课程资源是必要的，第一，要立足课堂，用好微信、学习通等信息平台。第二，培养自主练习，养成科学锻炼的意识，掌握科学锻炼的方式方法。</w:t>
      </w:r>
    </w:p>
    <w:p w14:paraId="1D3FF8A1" w14:textId="77777777" w:rsidR="000B25E0" w:rsidRPr="000B25E0" w:rsidRDefault="000B25E0" w:rsidP="000B25E0">
      <w:pPr>
        <w:spacing w:line="440" w:lineRule="exact"/>
        <w:ind w:firstLineChars="200" w:firstLine="500"/>
        <w:rPr>
          <w:rFonts w:ascii="宋体" w:eastAsia="宋体" w:hAnsi="Calibri" w:cs="宋体"/>
          <w:spacing w:val="5"/>
          <w:kern w:val="0"/>
          <w:sz w:val="24"/>
        </w:rPr>
      </w:pPr>
      <w:r w:rsidRPr="000B25E0">
        <w:rPr>
          <w:rFonts w:ascii="宋体" w:eastAsia="宋体" w:hAnsi="Calibri" w:cs="宋体" w:hint="eastAsia"/>
          <w:spacing w:val="5"/>
          <w:kern w:val="0"/>
          <w:sz w:val="24"/>
        </w:rPr>
        <w:t>2. 《国家学生体质健康标准》实施说明《国家学生体质健康标准》测试评分表。</w:t>
      </w:r>
    </w:p>
    <w:p w14:paraId="3A3203A4"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七、课程大纲制定依据</w:t>
      </w:r>
    </w:p>
    <w:p w14:paraId="2BC28B89"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本课程大纲依据2020级人才培养方案</w:t>
      </w:r>
      <w:r w:rsidR="002E4147">
        <w:rPr>
          <w:rFonts w:ascii="宋体" w:eastAsia="宋体" w:hAnsi="宋体" w:cs="Times New Roman" w:hint="eastAsia"/>
          <w:sz w:val="24"/>
        </w:rPr>
        <w:t>药物分析专业</w:t>
      </w:r>
      <w:r w:rsidRPr="000B25E0">
        <w:rPr>
          <w:rFonts w:ascii="宋体" w:eastAsia="宋体" w:hAnsi="宋体" w:cs="Times New Roman" w:hint="eastAsia"/>
          <w:sz w:val="24"/>
        </w:rPr>
        <w:t>制定。</w:t>
      </w:r>
    </w:p>
    <w:p w14:paraId="1ABE32FB" w14:textId="77777777" w:rsidR="00895319" w:rsidRDefault="00895319">
      <w:pPr>
        <w:widowControl/>
        <w:jc w:val="left"/>
        <w:rPr>
          <w:rFonts w:ascii="黑体" w:eastAsia="黑体" w:hAnsi="黑体" w:cs="Times New Roman"/>
          <w:sz w:val="28"/>
          <w:szCs w:val="28"/>
        </w:rPr>
      </w:pPr>
      <w:r>
        <w:rPr>
          <w:rFonts w:ascii="黑体" w:eastAsia="黑体" w:hAnsi="黑体" w:cs="Times New Roman"/>
          <w:sz w:val="28"/>
          <w:szCs w:val="28"/>
        </w:rPr>
        <w:br w:type="page"/>
      </w:r>
    </w:p>
    <w:p w14:paraId="2E4A77A2" w14:textId="6F9DFB4A" w:rsidR="000B25E0" w:rsidRPr="000B25E0" w:rsidRDefault="000B25E0" w:rsidP="000B25E0">
      <w:pPr>
        <w:spacing w:beforeLines="100" w:before="312" w:afterLines="100" w:after="312" w:line="440" w:lineRule="exact"/>
        <w:jc w:val="center"/>
        <w:rPr>
          <w:rFonts w:ascii="黑体" w:eastAsia="黑体" w:hAnsi="黑体" w:cs="Times New Roman"/>
          <w:bCs/>
          <w:sz w:val="36"/>
          <w:szCs w:val="36"/>
        </w:rPr>
      </w:pPr>
      <w:r w:rsidRPr="000B25E0">
        <w:rPr>
          <w:rFonts w:ascii="黑体" w:eastAsia="黑体" w:hAnsi="黑体" w:cs="Times New Roman" w:hint="eastAsia"/>
          <w:bCs/>
          <w:sz w:val="36"/>
          <w:szCs w:val="36"/>
        </w:rPr>
        <w:lastRenderedPageBreak/>
        <w:t>《瑜伽》课程大纲</w:t>
      </w:r>
    </w:p>
    <w:p w14:paraId="79DC5C96"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0B25E0" w:rsidRPr="000B25E0" w14:paraId="30649727" w14:textId="77777777" w:rsidTr="00BF5EF3">
        <w:trPr>
          <w:trHeight w:val="886"/>
          <w:jc w:val="center"/>
        </w:trPr>
        <w:tc>
          <w:tcPr>
            <w:tcW w:w="1581" w:type="dxa"/>
            <w:vAlign w:val="center"/>
          </w:tcPr>
          <w:p w14:paraId="15D8E56C"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课程名称</w:t>
            </w:r>
          </w:p>
        </w:tc>
        <w:tc>
          <w:tcPr>
            <w:tcW w:w="2662" w:type="dxa"/>
            <w:vAlign w:val="center"/>
          </w:tcPr>
          <w:p w14:paraId="3CE62EAF"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瑜伽</w:t>
            </w:r>
          </w:p>
        </w:tc>
        <w:tc>
          <w:tcPr>
            <w:tcW w:w="1482" w:type="dxa"/>
            <w:vAlign w:val="center"/>
          </w:tcPr>
          <w:p w14:paraId="6599D03B"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课程代码</w:t>
            </w:r>
          </w:p>
        </w:tc>
        <w:tc>
          <w:tcPr>
            <w:tcW w:w="2797" w:type="dxa"/>
            <w:vAlign w:val="center"/>
          </w:tcPr>
          <w:p w14:paraId="58D64D69"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091050</w:t>
            </w:r>
          </w:p>
        </w:tc>
      </w:tr>
      <w:tr w:rsidR="000B25E0" w:rsidRPr="000B25E0" w14:paraId="1A938FB2" w14:textId="77777777" w:rsidTr="00BF5EF3">
        <w:trPr>
          <w:trHeight w:val="829"/>
          <w:jc w:val="center"/>
        </w:trPr>
        <w:tc>
          <w:tcPr>
            <w:tcW w:w="1581" w:type="dxa"/>
            <w:vAlign w:val="center"/>
          </w:tcPr>
          <w:p w14:paraId="1E077D2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课程类别</w:t>
            </w:r>
          </w:p>
        </w:tc>
        <w:tc>
          <w:tcPr>
            <w:tcW w:w="2662" w:type="dxa"/>
            <w:vAlign w:val="center"/>
          </w:tcPr>
          <w:p w14:paraId="2057F2D1"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Calibri" w:cs="宋体" w:hint="eastAsia"/>
                <w:kern w:val="0"/>
                <w:sz w:val="24"/>
              </w:rPr>
              <w:t>公共必修课程</w:t>
            </w:r>
          </w:p>
        </w:tc>
        <w:tc>
          <w:tcPr>
            <w:tcW w:w="1482" w:type="dxa"/>
            <w:vAlign w:val="center"/>
          </w:tcPr>
          <w:p w14:paraId="690B0C9F"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学时</w:t>
            </w:r>
          </w:p>
          <w:p w14:paraId="67F021A7"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/学分</w:t>
            </w:r>
          </w:p>
        </w:tc>
        <w:tc>
          <w:tcPr>
            <w:tcW w:w="2797" w:type="dxa"/>
            <w:vAlign w:val="center"/>
          </w:tcPr>
          <w:p w14:paraId="0247E11C"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144/4</w:t>
            </w:r>
          </w:p>
        </w:tc>
      </w:tr>
      <w:tr w:rsidR="000B25E0" w:rsidRPr="000B25E0" w14:paraId="7DC37F9A" w14:textId="77777777" w:rsidTr="00BF5EF3">
        <w:trPr>
          <w:trHeight w:val="811"/>
          <w:jc w:val="center"/>
        </w:trPr>
        <w:tc>
          <w:tcPr>
            <w:tcW w:w="1581" w:type="dxa"/>
            <w:vAlign w:val="center"/>
          </w:tcPr>
          <w:p w14:paraId="29FC4CB3"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开课单位</w:t>
            </w:r>
          </w:p>
        </w:tc>
        <w:tc>
          <w:tcPr>
            <w:tcW w:w="2662" w:type="dxa"/>
            <w:vAlign w:val="center"/>
          </w:tcPr>
          <w:p w14:paraId="4F173FE0"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sz w:val="24"/>
              </w:rPr>
              <w:t>石家庄学院体育学院</w:t>
            </w:r>
          </w:p>
        </w:tc>
        <w:tc>
          <w:tcPr>
            <w:tcW w:w="1482" w:type="dxa"/>
            <w:vAlign w:val="center"/>
          </w:tcPr>
          <w:p w14:paraId="49FA4DD7"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适用专业</w:t>
            </w:r>
          </w:p>
        </w:tc>
        <w:tc>
          <w:tcPr>
            <w:tcW w:w="2797" w:type="dxa"/>
            <w:vAlign w:val="center"/>
          </w:tcPr>
          <w:p w14:paraId="2289064D" w14:textId="77777777" w:rsidR="000B25E0" w:rsidRPr="000B25E0" w:rsidRDefault="006D6C0A" w:rsidP="000B25E0">
            <w:pPr>
              <w:spacing w:line="440" w:lineRule="exact"/>
              <w:jc w:val="center"/>
              <w:rPr>
                <w:rFonts w:ascii="宋体" w:eastAsia="宋体" w:hAnsi="宋体" w:cs="Times New Roman"/>
                <w:sz w:val="24"/>
              </w:rPr>
            </w:pPr>
            <w:r>
              <w:rPr>
                <w:rFonts w:ascii="宋体" w:eastAsia="宋体" w:hAnsi="宋体" w:cs="Times New Roman" w:hint="eastAsia"/>
                <w:sz w:val="24"/>
              </w:rPr>
              <w:t>药物分析</w:t>
            </w:r>
          </w:p>
        </w:tc>
      </w:tr>
      <w:tr w:rsidR="000B25E0" w:rsidRPr="000B25E0" w14:paraId="61EC5342" w14:textId="77777777" w:rsidTr="00BF5EF3">
        <w:trPr>
          <w:trHeight w:val="811"/>
          <w:jc w:val="center"/>
        </w:trPr>
        <w:tc>
          <w:tcPr>
            <w:tcW w:w="1581" w:type="dxa"/>
            <w:vAlign w:val="center"/>
          </w:tcPr>
          <w:p w14:paraId="500329A9"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课程负责人</w:t>
            </w:r>
          </w:p>
        </w:tc>
        <w:tc>
          <w:tcPr>
            <w:tcW w:w="6941" w:type="dxa"/>
            <w:gridSpan w:val="3"/>
            <w:vAlign w:val="center"/>
          </w:tcPr>
          <w:p w14:paraId="246215D5"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李佩、陈玉娟</w:t>
            </w:r>
          </w:p>
        </w:tc>
      </w:tr>
      <w:tr w:rsidR="000B25E0" w:rsidRPr="000B25E0" w14:paraId="45479785" w14:textId="77777777" w:rsidTr="00BF5EF3">
        <w:trPr>
          <w:trHeight w:val="836"/>
          <w:jc w:val="center"/>
        </w:trPr>
        <w:tc>
          <w:tcPr>
            <w:tcW w:w="1581" w:type="dxa"/>
            <w:vAlign w:val="center"/>
          </w:tcPr>
          <w:p w14:paraId="424304BC"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大纲撰写人</w:t>
            </w:r>
          </w:p>
        </w:tc>
        <w:tc>
          <w:tcPr>
            <w:tcW w:w="2662" w:type="dxa"/>
            <w:vAlign w:val="center"/>
          </w:tcPr>
          <w:p w14:paraId="20198082"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李佩</w:t>
            </w:r>
          </w:p>
        </w:tc>
        <w:tc>
          <w:tcPr>
            <w:tcW w:w="1482" w:type="dxa"/>
            <w:vAlign w:val="center"/>
          </w:tcPr>
          <w:p w14:paraId="0D63B766"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大纲审核人</w:t>
            </w:r>
          </w:p>
        </w:tc>
        <w:tc>
          <w:tcPr>
            <w:tcW w:w="2797" w:type="dxa"/>
            <w:vAlign w:val="center"/>
          </w:tcPr>
          <w:p w14:paraId="457F7210" w14:textId="77777777" w:rsidR="000B25E0" w:rsidRPr="000B25E0" w:rsidRDefault="000B25E0" w:rsidP="000B25E0">
            <w:pPr>
              <w:spacing w:line="440" w:lineRule="exact"/>
              <w:jc w:val="center"/>
              <w:rPr>
                <w:rFonts w:ascii="宋体" w:eastAsia="宋体" w:hAnsi="宋体" w:cs="Times New Roman"/>
                <w:sz w:val="24"/>
              </w:rPr>
            </w:pPr>
            <w:proofErr w:type="gramStart"/>
            <w:r w:rsidRPr="000B25E0">
              <w:rPr>
                <w:rFonts w:ascii="宋体" w:eastAsia="宋体" w:hAnsi="宋体" w:cs="Times New Roman" w:hint="eastAsia"/>
                <w:sz w:val="24"/>
              </w:rPr>
              <w:t>左健</w:t>
            </w:r>
            <w:proofErr w:type="gramEnd"/>
          </w:p>
        </w:tc>
      </w:tr>
      <w:tr w:rsidR="000B25E0" w:rsidRPr="000B25E0" w14:paraId="379F32CB" w14:textId="77777777" w:rsidTr="00BF5EF3">
        <w:trPr>
          <w:trHeight w:val="848"/>
          <w:jc w:val="center"/>
        </w:trPr>
        <w:tc>
          <w:tcPr>
            <w:tcW w:w="1581" w:type="dxa"/>
            <w:vAlign w:val="center"/>
          </w:tcPr>
          <w:p w14:paraId="668C9CA2"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先修课程</w:t>
            </w:r>
          </w:p>
        </w:tc>
        <w:tc>
          <w:tcPr>
            <w:tcW w:w="6941" w:type="dxa"/>
            <w:gridSpan w:val="3"/>
            <w:vAlign w:val="center"/>
          </w:tcPr>
          <w:p w14:paraId="3B61F274" w14:textId="77777777" w:rsidR="000B25E0" w:rsidRPr="000B25E0" w:rsidRDefault="000B25E0" w:rsidP="000B25E0">
            <w:pPr>
              <w:spacing w:line="440" w:lineRule="exact"/>
              <w:jc w:val="center"/>
              <w:rPr>
                <w:rFonts w:ascii="宋体" w:eastAsia="宋体" w:hAnsi="宋体" w:cs="Times New Roman"/>
                <w:sz w:val="24"/>
              </w:rPr>
            </w:pPr>
          </w:p>
        </w:tc>
      </w:tr>
      <w:tr w:rsidR="000B25E0" w:rsidRPr="000B25E0" w14:paraId="07CFA42E" w14:textId="77777777" w:rsidTr="00BF5EF3">
        <w:trPr>
          <w:trHeight w:val="848"/>
          <w:jc w:val="center"/>
        </w:trPr>
        <w:tc>
          <w:tcPr>
            <w:tcW w:w="1581" w:type="dxa"/>
            <w:vAlign w:val="center"/>
          </w:tcPr>
          <w:p w14:paraId="716C69BD"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课程网址</w:t>
            </w:r>
          </w:p>
        </w:tc>
        <w:tc>
          <w:tcPr>
            <w:tcW w:w="6941" w:type="dxa"/>
            <w:gridSpan w:val="3"/>
            <w:vAlign w:val="center"/>
          </w:tcPr>
          <w:p w14:paraId="67216940" w14:textId="77777777" w:rsidR="000B25E0" w:rsidRPr="000B25E0" w:rsidRDefault="000B25E0" w:rsidP="000B25E0">
            <w:pPr>
              <w:spacing w:line="440" w:lineRule="exact"/>
              <w:rPr>
                <w:rFonts w:ascii="宋体" w:eastAsia="宋体" w:hAnsi="宋体" w:cs="Times New Roman"/>
                <w:color w:val="FF0000"/>
                <w:sz w:val="24"/>
              </w:rPr>
            </w:pPr>
          </w:p>
        </w:tc>
      </w:tr>
    </w:tbl>
    <w:p w14:paraId="43DA29B7"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二、课程学习目标及与毕业要求的对应关系</w:t>
      </w:r>
    </w:p>
    <w:p w14:paraId="237F2361"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（一）课程学习目标</w:t>
      </w:r>
    </w:p>
    <w:p w14:paraId="5F7D082B"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通过本课程的学习，使学生达到以下目标：</w:t>
      </w:r>
    </w:p>
    <w:p w14:paraId="5AAF41D8" w14:textId="77777777" w:rsidR="000B25E0" w:rsidRPr="000B25E0" w:rsidRDefault="000B25E0" w:rsidP="00B41A22">
      <w:pPr>
        <w:numPr>
          <w:ilvl w:val="0"/>
          <w:numId w:val="37"/>
        </w:numPr>
        <w:adjustRightInd w:val="0"/>
        <w:snapToGrid w:val="0"/>
        <w:spacing w:line="360" w:lineRule="exact"/>
        <w:ind w:firstLineChars="200" w:firstLine="480"/>
        <w:rPr>
          <w:rFonts w:ascii="宋体" w:eastAsia="宋体" w:hAnsi="宋体" w:cs="宋体"/>
          <w:sz w:val="24"/>
        </w:rPr>
      </w:pPr>
      <w:r w:rsidRPr="000B25E0">
        <w:rPr>
          <w:rFonts w:ascii="宋体" w:eastAsia="宋体" w:hAnsi="宋体" w:cs="仿宋_GB2312" w:hint="eastAsia"/>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107DEEB6" w14:textId="77777777" w:rsidR="000B25E0" w:rsidRPr="000B25E0" w:rsidRDefault="000B25E0" w:rsidP="00B41A22">
      <w:pPr>
        <w:numPr>
          <w:ilvl w:val="0"/>
          <w:numId w:val="37"/>
        </w:numPr>
        <w:adjustRightInd w:val="0"/>
        <w:snapToGrid w:val="0"/>
        <w:spacing w:line="360" w:lineRule="exact"/>
        <w:ind w:firstLineChars="200" w:firstLine="480"/>
        <w:rPr>
          <w:rFonts w:ascii="宋体" w:eastAsia="宋体" w:hAnsi="宋体" w:cs="仿宋_GB2312"/>
          <w:sz w:val="24"/>
        </w:rPr>
      </w:pPr>
      <w:r w:rsidRPr="000B25E0">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4A3B7D87" w14:textId="77777777" w:rsidR="000B25E0" w:rsidRPr="000B25E0" w:rsidRDefault="000B25E0" w:rsidP="00B41A22">
      <w:pPr>
        <w:numPr>
          <w:ilvl w:val="0"/>
          <w:numId w:val="37"/>
        </w:numPr>
        <w:adjustRightInd w:val="0"/>
        <w:snapToGrid w:val="0"/>
        <w:spacing w:line="360" w:lineRule="exact"/>
        <w:ind w:firstLineChars="200" w:firstLine="480"/>
        <w:rPr>
          <w:rFonts w:ascii="黑体" w:eastAsia="黑体" w:hAnsi="黑体" w:cs="Times New Roman"/>
          <w:sz w:val="28"/>
          <w:szCs w:val="28"/>
        </w:rPr>
      </w:pPr>
      <w:r w:rsidRPr="000B25E0">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使学生学习和掌握体育与健康的基础知识、技能与方法。使学生了解体育与健康的目的和任务，掌握体育基础知识、卫生保健知识和自我保护知识。以运动和</w:t>
      </w:r>
      <w:r w:rsidRPr="000B25E0">
        <w:rPr>
          <w:rFonts w:ascii="宋体" w:eastAsia="宋体" w:hAnsi="宋体" w:cs="仿宋_GB2312" w:hint="eastAsia"/>
          <w:sz w:val="24"/>
        </w:rPr>
        <w:lastRenderedPageBreak/>
        <w:t>身体练习为基本手段，对大学生机体进行科学的培育，在提高人的生物潜能、心理潜能的过程中促进德、智、体、美全面发展，达到身心健康、全面发展的教育总目的。【毕业要求8/12 终身学习】</w:t>
      </w:r>
    </w:p>
    <w:p w14:paraId="674B93D5"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0B25E0" w:rsidRPr="000B25E0" w14:paraId="47F28152" w14:textId="77777777" w:rsidTr="00BF5EF3">
        <w:trPr>
          <w:trHeight w:val="815"/>
          <w:jc w:val="center"/>
        </w:trPr>
        <w:tc>
          <w:tcPr>
            <w:tcW w:w="1708" w:type="dxa"/>
            <w:vAlign w:val="center"/>
          </w:tcPr>
          <w:p w14:paraId="597352E1"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毕业要求</w:t>
            </w:r>
          </w:p>
        </w:tc>
        <w:tc>
          <w:tcPr>
            <w:tcW w:w="5954" w:type="dxa"/>
            <w:vAlign w:val="center"/>
          </w:tcPr>
          <w:p w14:paraId="383F6F49"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毕业要求指标点</w:t>
            </w:r>
          </w:p>
        </w:tc>
        <w:tc>
          <w:tcPr>
            <w:tcW w:w="1507" w:type="dxa"/>
            <w:vAlign w:val="center"/>
          </w:tcPr>
          <w:p w14:paraId="749D0C6C"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课程目标</w:t>
            </w:r>
          </w:p>
        </w:tc>
      </w:tr>
      <w:tr w:rsidR="000B25E0" w:rsidRPr="000B25E0" w14:paraId="7B52BB38" w14:textId="77777777" w:rsidTr="00BF5EF3">
        <w:trPr>
          <w:jc w:val="center"/>
        </w:trPr>
        <w:tc>
          <w:tcPr>
            <w:tcW w:w="1708" w:type="dxa"/>
            <w:vAlign w:val="center"/>
          </w:tcPr>
          <w:p w14:paraId="3D580AD2"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职业规范</w:t>
            </w:r>
            <w:r w:rsidRPr="000B25E0">
              <w:rPr>
                <w:rFonts w:ascii="宋体" w:eastAsia="宋体" w:hAnsi="宋体" w:cs="Times New Roman"/>
                <w:sz w:val="24"/>
              </w:rPr>
              <w:t>（</w:t>
            </w:r>
            <w:r w:rsidRPr="000B25E0">
              <w:rPr>
                <w:rFonts w:ascii="宋体" w:eastAsia="宋体" w:hAnsi="宋体" w:cs="Times New Roman" w:hint="eastAsia"/>
                <w:sz w:val="24"/>
              </w:rPr>
              <w:t>M</w:t>
            </w:r>
            <w:r w:rsidRPr="000B25E0">
              <w:rPr>
                <w:rFonts w:ascii="宋体" w:eastAsia="宋体" w:hAnsi="宋体" w:cs="Times New Roman"/>
                <w:sz w:val="24"/>
              </w:rPr>
              <w:t>）</w:t>
            </w:r>
          </w:p>
        </w:tc>
        <w:tc>
          <w:tcPr>
            <w:tcW w:w="5954" w:type="dxa"/>
            <w:vAlign w:val="center"/>
          </w:tcPr>
          <w:p w14:paraId="75A3E092" w14:textId="77777777" w:rsidR="000B25E0" w:rsidRPr="000B25E0" w:rsidRDefault="000B25E0" w:rsidP="000B25E0">
            <w:pPr>
              <w:spacing w:line="440" w:lineRule="exact"/>
              <w:rPr>
                <w:rFonts w:ascii="宋体" w:eastAsia="宋体" w:hAnsi="宋体" w:cs="Times New Roman"/>
                <w:sz w:val="24"/>
              </w:rPr>
            </w:pPr>
          </w:p>
          <w:p w14:paraId="2AEB296A" w14:textId="77777777" w:rsidR="000B25E0" w:rsidRPr="000B25E0" w:rsidRDefault="000B25E0" w:rsidP="000B25E0">
            <w:pPr>
              <w:spacing w:line="440" w:lineRule="exact"/>
              <w:rPr>
                <w:rFonts w:ascii="宋体" w:eastAsia="宋体" w:hAnsi="宋体" w:cs="Times New Roman"/>
                <w:sz w:val="24"/>
              </w:rPr>
            </w:pPr>
          </w:p>
          <w:p w14:paraId="1AA0A266" w14:textId="77777777" w:rsidR="000B25E0" w:rsidRPr="000B25E0" w:rsidRDefault="000B25E0" w:rsidP="000B25E0">
            <w:pPr>
              <w:spacing w:line="440" w:lineRule="exact"/>
              <w:rPr>
                <w:rFonts w:ascii="宋体" w:eastAsia="宋体" w:hAnsi="宋体" w:cs="Times New Roman"/>
                <w:sz w:val="24"/>
              </w:rPr>
            </w:pPr>
          </w:p>
        </w:tc>
        <w:tc>
          <w:tcPr>
            <w:tcW w:w="1507" w:type="dxa"/>
            <w:vAlign w:val="center"/>
          </w:tcPr>
          <w:p w14:paraId="1F82E332" w14:textId="77777777" w:rsidR="000B25E0" w:rsidRPr="000B25E0" w:rsidRDefault="000B25E0" w:rsidP="000B25E0">
            <w:pPr>
              <w:spacing w:line="440" w:lineRule="exact"/>
              <w:ind w:firstLineChars="50" w:firstLine="120"/>
              <w:rPr>
                <w:rFonts w:ascii="宋体" w:eastAsia="宋体" w:hAnsi="宋体" w:cs="Times New Roman"/>
                <w:sz w:val="24"/>
              </w:rPr>
            </w:pPr>
            <w:r w:rsidRPr="000B25E0">
              <w:rPr>
                <w:rFonts w:ascii="宋体" w:eastAsia="宋体" w:hAnsi="宋体" w:cs="Times New Roman" w:hint="eastAsia"/>
                <w:sz w:val="24"/>
              </w:rPr>
              <w:t>课程目标1</w:t>
            </w:r>
          </w:p>
        </w:tc>
      </w:tr>
      <w:tr w:rsidR="000B25E0" w:rsidRPr="000B25E0" w14:paraId="767A954D" w14:textId="77777777" w:rsidTr="00BF5EF3">
        <w:trPr>
          <w:jc w:val="center"/>
        </w:trPr>
        <w:tc>
          <w:tcPr>
            <w:tcW w:w="1708" w:type="dxa"/>
            <w:vAlign w:val="center"/>
          </w:tcPr>
          <w:p w14:paraId="2FE54D2E"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沟通</w:t>
            </w:r>
            <w:r w:rsidRPr="000B25E0">
              <w:rPr>
                <w:rFonts w:ascii="宋体" w:eastAsia="宋体" w:hAnsi="宋体" w:cs="Times New Roman"/>
                <w:sz w:val="24"/>
              </w:rPr>
              <w:t>（</w:t>
            </w:r>
            <w:r w:rsidRPr="000B25E0">
              <w:rPr>
                <w:rFonts w:ascii="宋体" w:eastAsia="宋体" w:hAnsi="宋体" w:cs="Times New Roman" w:hint="eastAsia"/>
                <w:sz w:val="24"/>
              </w:rPr>
              <w:t>M</w:t>
            </w:r>
            <w:r w:rsidRPr="000B25E0">
              <w:rPr>
                <w:rFonts w:ascii="宋体" w:eastAsia="宋体" w:hAnsi="宋体" w:cs="Times New Roman"/>
                <w:sz w:val="24"/>
              </w:rPr>
              <w:t>）</w:t>
            </w:r>
          </w:p>
        </w:tc>
        <w:tc>
          <w:tcPr>
            <w:tcW w:w="5954" w:type="dxa"/>
            <w:vAlign w:val="center"/>
          </w:tcPr>
          <w:p w14:paraId="0ACE9EAD" w14:textId="77777777" w:rsidR="000B25E0" w:rsidRPr="000B25E0" w:rsidRDefault="000B25E0" w:rsidP="000B25E0">
            <w:pPr>
              <w:spacing w:line="440" w:lineRule="exact"/>
              <w:jc w:val="center"/>
              <w:rPr>
                <w:rFonts w:ascii="宋体" w:eastAsia="宋体" w:hAnsi="宋体" w:cs="Times New Roman"/>
                <w:sz w:val="24"/>
              </w:rPr>
            </w:pPr>
          </w:p>
          <w:p w14:paraId="33AA18D5" w14:textId="77777777" w:rsidR="000B25E0" w:rsidRPr="000B25E0" w:rsidRDefault="000B25E0" w:rsidP="000B25E0">
            <w:pPr>
              <w:spacing w:line="440" w:lineRule="exact"/>
              <w:jc w:val="center"/>
              <w:rPr>
                <w:rFonts w:ascii="宋体" w:eastAsia="宋体" w:hAnsi="宋体" w:cs="Times New Roman"/>
                <w:sz w:val="24"/>
              </w:rPr>
            </w:pPr>
          </w:p>
          <w:p w14:paraId="1F876FE2" w14:textId="77777777" w:rsidR="000B25E0" w:rsidRPr="000B25E0" w:rsidRDefault="000B25E0" w:rsidP="000B25E0">
            <w:pPr>
              <w:spacing w:line="440" w:lineRule="exact"/>
              <w:jc w:val="center"/>
              <w:rPr>
                <w:rFonts w:ascii="宋体" w:eastAsia="宋体" w:hAnsi="宋体" w:cs="Times New Roman"/>
                <w:sz w:val="24"/>
              </w:rPr>
            </w:pPr>
          </w:p>
        </w:tc>
        <w:tc>
          <w:tcPr>
            <w:tcW w:w="1507" w:type="dxa"/>
            <w:vAlign w:val="center"/>
          </w:tcPr>
          <w:p w14:paraId="29DBF60A" w14:textId="77777777" w:rsidR="000B25E0" w:rsidRPr="000B25E0" w:rsidRDefault="000B25E0" w:rsidP="000B25E0">
            <w:pPr>
              <w:spacing w:line="440" w:lineRule="exact"/>
              <w:ind w:firstLineChars="50" w:firstLine="120"/>
              <w:rPr>
                <w:rFonts w:ascii="宋体" w:eastAsia="宋体" w:hAnsi="宋体" w:cs="仿宋_GB2312"/>
                <w:sz w:val="24"/>
              </w:rPr>
            </w:pPr>
            <w:r w:rsidRPr="000B25E0">
              <w:rPr>
                <w:rFonts w:ascii="宋体" w:eastAsia="宋体" w:hAnsi="宋体" w:cs="Times New Roman" w:hint="eastAsia"/>
                <w:sz w:val="24"/>
              </w:rPr>
              <w:t>课程目标</w:t>
            </w:r>
            <w:r w:rsidRPr="000B25E0">
              <w:rPr>
                <w:rFonts w:ascii="宋体" w:eastAsia="宋体" w:hAnsi="宋体" w:cs="Times New Roman"/>
                <w:sz w:val="24"/>
              </w:rPr>
              <w:t>2</w:t>
            </w:r>
          </w:p>
        </w:tc>
      </w:tr>
      <w:tr w:rsidR="000B25E0" w:rsidRPr="000B25E0" w14:paraId="0109AB5F" w14:textId="77777777" w:rsidTr="00BF5EF3">
        <w:trPr>
          <w:jc w:val="center"/>
        </w:trPr>
        <w:tc>
          <w:tcPr>
            <w:tcW w:w="1708" w:type="dxa"/>
            <w:vAlign w:val="center"/>
          </w:tcPr>
          <w:p w14:paraId="57BEA99A" w14:textId="77777777" w:rsidR="000B25E0" w:rsidRPr="000B25E0" w:rsidRDefault="000B25E0" w:rsidP="000B25E0">
            <w:pPr>
              <w:spacing w:line="440" w:lineRule="exact"/>
              <w:jc w:val="center"/>
              <w:rPr>
                <w:rFonts w:ascii="宋体" w:eastAsia="宋体" w:hAnsi="宋体" w:cs="Times New Roman"/>
                <w:sz w:val="24"/>
              </w:rPr>
            </w:pPr>
            <w:r w:rsidRPr="000B25E0">
              <w:rPr>
                <w:rFonts w:ascii="宋体" w:eastAsia="宋体" w:hAnsi="宋体" w:cs="Times New Roman" w:hint="eastAsia"/>
                <w:sz w:val="24"/>
              </w:rPr>
              <w:t>终身学习</w:t>
            </w:r>
            <w:r w:rsidRPr="000B25E0">
              <w:rPr>
                <w:rFonts w:ascii="宋体" w:eastAsia="宋体" w:hAnsi="宋体" w:cs="Times New Roman"/>
                <w:sz w:val="24"/>
              </w:rPr>
              <w:t>（</w:t>
            </w:r>
            <w:r w:rsidRPr="000B25E0">
              <w:rPr>
                <w:rFonts w:ascii="宋体" w:eastAsia="宋体" w:hAnsi="宋体" w:cs="Times New Roman" w:hint="eastAsia"/>
                <w:sz w:val="24"/>
              </w:rPr>
              <w:t>H</w:t>
            </w:r>
            <w:r w:rsidRPr="000B25E0">
              <w:rPr>
                <w:rFonts w:ascii="宋体" w:eastAsia="宋体" w:hAnsi="宋体" w:cs="Times New Roman"/>
                <w:sz w:val="24"/>
              </w:rPr>
              <w:t>）</w:t>
            </w:r>
          </w:p>
        </w:tc>
        <w:tc>
          <w:tcPr>
            <w:tcW w:w="5954" w:type="dxa"/>
            <w:vAlign w:val="center"/>
          </w:tcPr>
          <w:p w14:paraId="487D51E3" w14:textId="77777777" w:rsidR="000B25E0" w:rsidRPr="000B25E0" w:rsidRDefault="000B25E0" w:rsidP="000B25E0">
            <w:pPr>
              <w:spacing w:line="440" w:lineRule="exact"/>
              <w:rPr>
                <w:rFonts w:ascii="宋体" w:eastAsia="宋体" w:hAnsi="宋体" w:cs="Times New Roman"/>
                <w:sz w:val="24"/>
              </w:rPr>
            </w:pPr>
          </w:p>
          <w:p w14:paraId="0ABB3C3F" w14:textId="77777777" w:rsidR="000B25E0" w:rsidRPr="000B25E0" w:rsidRDefault="000B25E0" w:rsidP="000B25E0">
            <w:pPr>
              <w:spacing w:line="440" w:lineRule="exact"/>
              <w:rPr>
                <w:rFonts w:ascii="宋体" w:eastAsia="宋体" w:hAnsi="宋体" w:cs="Times New Roman"/>
                <w:sz w:val="24"/>
              </w:rPr>
            </w:pPr>
          </w:p>
          <w:p w14:paraId="4C02FB00" w14:textId="77777777" w:rsidR="000B25E0" w:rsidRPr="000B25E0" w:rsidRDefault="000B25E0" w:rsidP="000B25E0">
            <w:pPr>
              <w:spacing w:line="440" w:lineRule="exact"/>
              <w:rPr>
                <w:rFonts w:ascii="宋体" w:eastAsia="宋体" w:hAnsi="宋体" w:cs="Times New Roman"/>
                <w:sz w:val="24"/>
              </w:rPr>
            </w:pPr>
          </w:p>
        </w:tc>
        <w:tc>
          <w:tcPr>
            <w:tcW w:w="1507" w:type="dxa"/>
            <w:vAlign w:val="center"/>
          </w:tcPr>
          <w:p w14:paraId="29641F18" w14:textId="77777777" w:rsidR="000B25E0" w:rsidRPr="000B25E0" w:rsidRDefault="000B25E0" w:rsidP="000B25E0">
            <w:pPr>
              <w:spacing w:line="440" w:lineRule="exact"/>
              <w:ind w:firstLineChars="50" w:firstLine="120"/>
              <w:rPr>
                <w:rFonts w:ascii="宋体" w:eastAsia="宋体" w:hAnsi="宋体" w:cs="Times New Roman"/>
                <w:sz w:val="24"/>
              </w:rPr>
            </w:pPr>
            <w:r w:rsidRPr="000B25E0">
              <w:rPr>
                <w:rFonts w:ascii="宋体" w:eastAsia="宋体" w:hAnsi="宋体" w:cs="Times New Roman"/>
                <w:sz w:val="24"/>
              </w:rPr>
              <w:t>课程目标3</w:t>
            </w:r>
          </w:p>
        </w:tc>
      </w:tr>
    </w:tbl>
    <w:p w14:paraId="6B001235" w14:textId="77777777" w:rsidR="000B25E0" w:rsidRPr="000B25E0" w:rsidRDefault="000B25E0" w:rsidP="000B25E0">
      <w:pPr>
        <w:rPr>
          <w:rFonts w:ascii="Calibri" w:eastAsia="宋体" w:hAnsi="Calibri" w:cs="Times New Roman"/>
        </w:rPr>
      </w:pPr>
    </w:p>
    <w:p w14:paraId="7CC76C05" w14:textId="77777777" w:rsidR="000B25E0" w:rsidRPr="000B25E0" w:rsidRDefault="000B25E0" w:rsidP="00C63ECC">
      <w:pPr>
        <w:pStyle w:val="afc"/>
      </w:pPr>
      <w:bookmarkStart w:id="78" w:name="_Toc5794"/>
      <w:r w:rsidRPr="000B25E0">
        <w:t>三、课程学习内容及与课程学习目标的对应关系</w:t>
      </w:r>
      <w:bookmarkEnd w:id="78"/>
    </w:p>
    <w:p w14:paraId="0987EF6F" w14:textId="77777777" w:rsidR="000B25E0" w:rsidRPr="000B25E0" w:rsidRDefault="000B25E0" w:rsidP="00C63ECC">
      <w:pPr>
        <w:pStyle w:val="afc"/>
      </w:pPr>
      <w:r w:rsidRPr="000B25E0">
        <w:t>(</w:t>
      </w:r>
      <w:proofErr w:type="gramStart"/>
      <w:r w:rsidRPr="000B25E0">
        <w:t>一</w:t>
      </w:r>
      <w:proofErr w:type="gramEnd"/>
      <w:r w:rsidRPr="000B25E0">
        <w:t>) 课程学习内</w:t>
      </w:r>
      <w:r w:rsidRPr="000B25E0">
        <w:rPr>
          <w:spacing w:val="11"/>
        </w:rPr>
        <w:t>容</w:t>
      </w:r>
    </w:p>
    <w:p w14:paraId="3EF9334A" w14:textId="77777777" w:rsidR="000B25E0" w:rsidRPr="000B25E0" w:rsidRDefault="000B25E0" w:rsidP="000B25E0">
      <w:pPr>
        <w:spacing w:before="122" w:line="329" w:lineRule="auto"/>
        <w:ind w:right="67"/>
        <w:rPr>
          <w:rFonts w:ascii="宋体" w:eastAsia="宋体" w:hAnsi="宋体" w:cs="宋体"/>
          <w:spacing w:val="7"/>
          <w:sz w:val="23"/>
          <w:szCs w:val="23"/>
        </w:rPr>
      </w:pPr>
    </w:p>
    <w:p w14:paraId="79318009" w14:textId="77777777" w:rsidR="000B25E0" w:rsidRPr="000B25E0" w:rsidRDefault="000B25E0" w:rsidP="000B25E0">
      <w:pPr>
        <w:widowControl/>
        <w:jc w:val="center"/>
        <w:rPr>
          <w:rFonts w:ascii="Calibri" w:eastAsia="宋体" w:hAnsi="Calibri" w:cs="Times New Roman"/>
        </w:rPr>
      </w:pPr>
      <w:r w:rsidRPr="000B25E0">
        <w:rPr>
          <w:rFonts w:ascii="黑体" w:eastAsia="黑体" w:hAnsi="宋体" w:cs="黑体"/>
          <w:snapToGrid w:val="0"/>
          <w:color w:val="000000"/>
          <w:kern w:val="0"/>
          <w:sz w:val="28"/>
          <w:szCs w:val="28"/>
          <w:lang w:bidi="ar"/>
        </w:rPr>
        <w:t>第一学期</w:t>
      </w:r>
      <w:r w:rsidRPr="000B25E0">
        <w:rPr>
          <w:rFonts w:ascii="黑体" w:eastAsia="黑体" w:hAnsi="宋体" w:cs="黑体" w:hint="eastAsia"/>
          <w:snapToGrid w:val="0"/>
          <w:color w:val="000000"/>
          <w:kern w:val="0"/>
          <w:sz w:val="28"/>
          <w:szCs w:val="28"/>
          <w:lang w:bidi="ar"/>
        </w:rPr>
        <w:t xml:space="preserve"> 瑜伽 1</w:t>
      </w:r>
    </w:p>
    <w:p w14:paraId="7B09D785" w14:textId="77777777" w:rsidR="000B25E0" w:rsidRPr="000B25E0" w:rsidRDefault="000B25E0" w:rsidP="000B25E0">
      <w:pPr>
        <w:widowControl/>
        <w:jc w:val="left"/>
        <w:rPr>
          <w:rFonts w:ascii="Calibri" w:eastAsia="宋体" w:hAnsi="Calibri" w:cs="Times New Roman"/>
          <w:sz w:val="24"/>
          <w:szCs w:val="24"/>
        </w:rPr>
      </w:pPr>
      <w:r w:rsidRPr="000B25E0">
        <w:rPr>
          <w:rFonts w:ascii="宋体" w:eastAsia="宋体" w:hAnsi="宋体" w:cs="宋体" w:hint="eastAsia"/>
          <w:b/>
          <w:bCs/>
          <w:snapToGrid w:val="0"/>
          <w:color w:val="000000"/>
          <w:kern w:val="0"/>
          <w:sz w:val="24"/>
          <w:szCs w:val="24"/>
          <w:lang w:bidi="ar"/>
        </w:rPr>
        <w:t xml:space="preserve">【学习目标】 </w:t>
      </w:r>
    </w:p>
    <w:p w14:paraId="439E0C11" w14:textId="77777777" w:rsidR="000B25E0" w:rsidRPr="000B25E0" w:rsidRDefault="000B25E0" w:rsidP="000B25E0">
      <w:pPr>
        <w:spacing w:before="122" w:line="329" w:lineRule="auto"/>
        <w:ind w:right="67" w:firstLineChars="200" w:firstLine="480"/>
        <w:rPr>
          <w:rFonts w:ascii="宋体" w:eastAsia="宋体" w:hAnsi="宋体" w:cs="宋体"/>
          <w:spacing w:val="7"/>
          <w:sz w:val="23"/>
          <w:szCs w:val="23"/>
        </w:rPr>
      </w:pPr>
      <w:r w:rsidRPr="000B25E0">
        <w:rPr>
          <w:rFonts w:ascii="宋体" w:eastAsia="宋体" w:hAnsi="宋体" w:cs="宋体" w:hint="eastAsia"/>
          <w:snapToGrid w:val="0"/>
          <w:color w:val="000000"/>
          <w:kern w:val="0"/>
          <w:sz w:val="24"/>
          <w:szCs w:val="24"/>
          <w:lang w:bidi="ar"/>
        </w:rPr>
        <w:t>1</w:t>
      </w:r>
      <w:r w:rsidRPr="000B25E0">
        <w:rPr>
          <w:rFonts w:ascii="宋体" w:eastAsia="宋体" w:hAnsi="宋体" w:cs="宋体" w:hint="eastAsia"/>
          <w:spacing w:val="11"/>
          <w:sz w:val="23"/>
          <w:szCs w:val="23"/>
        </w:rPr>
        <w:t>. 认</w:t>
      </w:r>
      <w:r w:rsidRPr="000B25E0">
        <w:rPr>
          <w:rFonts w:ascii="宋体" w:eastAsia="宋体" w:hAnsi="宋体" w:cs="宋体" w:hint="eastAsia"/>
          <w:spacing w:val="7"/>
          <w:sz w:val="23"/>
          <w:szCs w:val="23"/>
        </w:rPr>
        <w:t xml:space="preserve">知类目标：了解《大学体育》课程的内容、性质和要求；树立现代化 体育意识，把健康与生存、学习、生活和自身的发展联系起来，提高体育的兴趣 和体育比赛的欣赏能力，养成积极自觉参加体育锻炼的习惯。通过体能教学活 动，了解《大学生体质健康标准测验》项目内容、考核方式、评价标准，掌握考核内容锻炼的方式方法。培养学生努力学习、不断进取、修身立业、顽强奋进的精神与品质。 </w:t>
      </w:r>
    </w:p>
    <w:p w14:paraId="2141C0AB" w14:textId="77777777" w:rsidR="000B25E0" w:rsidRPr="000B25E0" w:rsidRDefault="000B25E0" w:rsidP="000B25E0">
      <w:pPr>
        <w:spacing w:before="122" w:line="329" w:lineRule="auto"/>
        <w:ind w:right="67" w:firstLineChars="200" w:firstLine="488"/>
        <w:rPr>
          <w:rFonts w:ascii="宋体" w:eastAsia="宋体" w:hAnsi="宋体" w:cs="宋体"/>
          <w:spacing w:val="7"/>
          <w:sz w:val="23"/>
          <w:szCs w:val="23"/>
        </w:rPr>
      </w:pPr>
      <w:r w:rsidRPr="000B25E0">
        <w:rPr>
          <w:rFonts w:ascii="宋体" w:eastAsia="宋体" w:hAnsi="宋体" w:cs="宋体" w:hint="eastAsia"/>
          <w:spacing w:val="7"/>
          <w:sz w:val="23"/>
          <w:szCs w:val="23"/>
        </w:rPr>
        <w:t>2. 过程与方法类目标：使学生学习和掌握体育与健康的基础知识、技能与 方法。使学生了解体育与健康的目的和任务，掌握体育基础知识、卫生保健知识和自</w:t>
      </w:r>
      <w:r w:rsidRPr="000B25E0">
        <w:rPr>
          <w:rFonts w:ascii="宋体" w:eastAsia="宋体" w:hAnsi="宋体" w:cs="宋体" w:hint="eastAsia"/>
          <w:spacing w:val="7"/>
          <w:sz w:val="23"/>
          <w:szCs w:val="23"/>
        </w:rPr>
        <w:lastRenderedPageBreak/>
        <w:t xml:space="preserve">我保护知识。学会锻炼身体的技能与方法，掌握部分体育项目的基本技术初步学会运用科学的方法锻炼身体，促进学生能力的发展能够初步运用获得的知识技能锻炼身体，进行自我调控，自我检测和自我评价。使学生能够掌握足球运动的一般规律和特点，使学生获得足球运动的基本技术、基本技能和基础理论知识，并了解现代足球的发展趋势。 </w:t>
      </w:r>
    </w:p>
    <w:p w14:paraId="72892773"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3. 情感、态度、价值观类目标：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 </w:t>
      </w:r>
    </w:p>
    <w:p w14:paraId="12BB63FC" w14:textId="77777777" w:rsidR="000B25E0" w:rsidRPr="000B25E0" w:rsidRDefault="000B25E0" w:rsidP="000B25E0">
      <w:pPr>
        <w:widowControl/>
        <w:jc w:val="left"/>
        <w:rPr>
          <w:rFonts w:ascii="Calibri" w:eastAsia="宋体" w:hAnsi="Calibri" w:cs="Times New Roman"/>
        </w:rPr>
      </w:pPr>
      <w:r w:rsidRPr="000B25E0">
        <w:rPr>
          <w:rFonts w:ascii="宋体" w:eastAsia="宋体" w:hAnsi="宋体" w:cs="宋体" w:hint="eastAsia"/>
          <w:b/>
          <w:bCs/>
          <w:snapToGrid w:val="0"/>
          <w:color w:val="000000"/>
          <w:kern w:val="0"/>
          <w:sz w:val="24"/>
          <w:szCs w:val="24"/>
          <w:lang w:bidi="ar"/>
        </w:rPr>
        <w:t xml:space="preserve">【学习内容】 </w:t>
      </w:r>
    </w:p>
    <w:p w14:paraId="39F7821B"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1. 了解《大学体育》课程的内容、性质和要求，学分情况和进行网上选项课时，开设的选项课程，课堂常识和安全注意事项。 </w:t>
      </w:r>
    </w:p>
    <w:p w14:paraId="67470B31"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2. 掌握《大学生体质健康标准测试》 项目内容，评分标准和平时练习和如何提高成绩的科学锻炼方式方法。理解申请</w:t>
      </w:r>
      <w:proofErr w:type="gramStart"/>
      <w:r w:rsidRPr="000B25E0">
        <w:rPr>
          <w:rFonts w:ascii="宋体" w:eastAsia="宋体" w:hAnsi="宋体" w:cs="宋体" w:hint="eastAsia"/>
          <w:spacing w:val="11"/>
          <w:sz w:val="23"/>
          <w:szCs w:val="23"/>
        </w:rPr>
        <w:t>缓测免</w:t>
      </w:r>
      <w:proofErr w:type="gramEnd"/>
      <w:r w:rsidRPr="000B25E0">
        <w:rPr>
          <w:rFonts w:ascii="宋体" w:eastAsia="宋体" w:hAnsi="宋体" w:cs="宋体" w:hint="eastAsia"/>
          <w:spacing w:val="11"/>
          <w:sz w:val="23"/>
          <w:szCs w:val="23"/>
        </w:rPr>
        <w:t xml:space="preserve">测的申请流程以及掌握测验时间。 </w:t>
      </w:r>
    </w:p>
    <w:p w14:paraId="2B853849" w14:textId="77777777" w:rsidR="000B25E0" w:rsidRPr="000B25E0" w:rsidRDefault="000B25E0" w:rsidP="000B25E0">
      <w:pPr>
        <w:widowControl/>
        <w:jc w:val="center"/>
        <w:rPr>
          <w:rFonts w:ascii="Calibri" w:eastAsia="宋体" w:hAnsi="Calibri" w:cs="Times New Roman"/>
          <w:sz w:val="28"/>
          <w:szCs w:val="28"/>
        </w:rPr>
      </w:pPr>
      <w:r w:rsidRPr="000B25E0">
        <w:rPr>
          <w:rFonts w:ascii="宋体" w:eastAsia="宋体" w:hAnsi="宋体" w:cs="宋体" w:hint="eastAsia"/>
          <w:b/>
          <w:bCs/>
          <w:snapToGrid w:val="0"/>
          <w:color w:val="000000"/>
          <w:kern w:val="0"/>
          <w:sz w:val="28"/>
          <w:szCs w:val="28"/>
          <w:lang w:bidi="ar"/>
        </w:rPr>
        <w:t>第一章</w:t>
      </w:r>
    </w:p>
    <w:p w14:paraId="30CD080F" w14:textId="77777777" w:rsidR="000B25E0" w:rsidRPr="000B25E0" w:rsidRDefault="000B25E0" w:rsidP="000B25E0">
      <w:pPr>
        <w:spacing w:before="126" w:line="321" w:lineRule="auto"/>
        <w:ind w:left="123" w:right="58" w:firstLine="496"/>
        <w:jc w:val="center"/>
        <w:rPr>
          <w:rFonts w:ascii="宋体" w:eastAsia="宋体" w:hAnsi="宋体" w:cs="宋体"/>
          <w:b/>
          <w:bCs/>
          <w:spacing w:val="11"/>
          <w:sz w:val="28"/>
          <w:szCs w:val="28"/>
        </w:rPr>
      </w:pPr>
      <w:r w:rsidRPr="000B25E0">
        <w:rPr>
          <w:rFonts w:ascii="宋体" w:eastAsia="宋体" w:hAnsi="宋体" w:cs="宋体" w:hint="eastAsia"/>
          <w:b/>
          <w:bCs/>
          <w:spacing w:val="11"/>
          <w:sz w:val="28"/>
          <w:szCs w:val="28"/>
        </w:rPr>
        <w:t>认识健康的重要性（0.5 学时）</w:t>
      </w:r>
    </w:p>
    <w:p w14:paraId="44BB027D" w14:textId="77777777" w:rsidR="000B25E0" w:rsidRPr="000B25E0" w:rsidRDefault="000B25E0" w:rsidP="000B25E0">
      <w:pPr>
        <w:spacing w:before="126" w:line="321" w:lineRule="auto"/>
        <w:ind w:left="123" w:right="58" w:firstLine="496"/>
        <w:rPr>
          <w:rFonts w:ascii="宋体" w:eastAsia="宋体" w:hAnsi="宋体" w:cs="宋体"/>
          <w:b/>
          <w:bCs/>
          <w:spacing w:val="11"/>
          <w:sz w:val="23"/>
          <w:szCs w:val="23"/>
        </w:rPr>
      </w:pPr>
      <w:r w:rsidRPr="000B25E0">
        <w:rPr>
          <w:rFonts w:ascii="宋体" w:eastAsia="宋体" w:hAnsi="宋体" w:cs="宋体" w:hint="eastAsia"/>
          <w:b/>
          <w:bCs/>
          <w:spacing w:val="11"/>
          <w:sz w:val="23"/>
          <w:szCs w:val="23"/>
        </w:rPr>
        <w:t xml:space="preserve">本章主要教学内容： </w:t>
      </w:r>
    </w:p>
    <w:p w14:paraId="555B437C"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1.1 健康的内涵 </w:t>
      </w:r>
    </w:p>
    <w:p w14:paraId="2938D03A"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1.2 预防与消除亚健康 </w:t>
      </w:r>
    </w:p>
    <w:p w14:paraId="0399154B"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1.3 维护健康的法则 </w:t>
      </w:r>
    </w:p>
    <w:p w14:paraId="22D29805"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本章教学目的及要求：</w:t>
      </w:r>
      <w:r w:rsidRPr="000B25E0">
        <w:rPr>
          <w:rFonts w:ascii="宋体" w:eastAsia="宋体" w:hAnsi="宋体" w:cs="宋体" w:hint="eastAsia"/>
          <w:spacing w:val="11"/>
          <w:sz w:val="23"/>
          <w:szCs w:val="23"/>
        </w:rPr>
        <w:t>使同学们了解自身健康的重要性及如何维护、</w:t>
      </w:r>
      <w:proofErr w:type="gramStart"/>
      <w:r w:rsidRPr="000B25E0">
        <w:rPr>
          <w:rFonts w:ascii="宋体" w:eastAsia="宋体" w:hAnsi="宋体" w:cs="宋体" w:hint="eastAsia"/>
          <w:spacing w:val="11"/>
          <w:sz w:val="23"/>
          <w:szCs w:val="23"/>
        </w:rPr>
        <w:t>促进自</w:t>
      </w:r>
      <w:proofErr w:type="gramEnd"/>
      <w:r w:rsidRPr="000B25E0">
        <w:rPr>
          <w:rFonts w:ascii="宋体" w:eastAsia="宋体" w:hAnsi="宋体" w:cs="宋体" w:hint="eastAsia"/>
          <w:spacing w:val="11"/>
          <w:sz w:val="23"/>
          <w:szCs w:val="23"/>
        </w:rPr>
        <w:t xml:space="preserve"> 身的健康。</w:t>
      </w:r>
    </w:p>
    <w:p w14:paraId="041EAD05"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本章教学重点及难点</w:t>
      </w:r>
      <w:r w:rsidRPr="000B25E0">
        <w:rPr>
          <w:rFonts w:ascii="宋体" w:eastAsia="宋体" w:hAnsi="宋体" w:cs="宋体" w:hint="eastAsia"/>
          <w:spacing w:val="11"/>
          <w:sz w:val="23"/>
          <w:szCs w:val="23"/>
        </w:rPr>
        <w:t xml:space="preserve">：认识到健康的重要性；如何维护自身的健康。 </w:t>
      </w:r>
    </w:p>
    <w:p w14:paraId="27E04AF2" w14:textId="77777777" w:rsidR="000B25E0" w:rsidRPr="000B25E0" w:rsidRDefault="000B25E0" w:rsidP="000B25E0">
      <w:pPr>
        <w:spacing w:before="126" w:line="321" w:lineRule="auto"/>
        <w:ind w:left="123" w:right="58" w:firstLine="496"/>
        <w:jc w:val="center"/>
        <w:rPr>
          <w:rFonts w:ascii="宋体" w:eastAsia="宋体" w:hAnsi="宋体" w:cs="宋体"/>
          <w:b/>
          <w:bCs/>
          <w:spacing w:val="11"/>
          <w:sz w:val="28"/>
          <w:szCs w:val="28"/>
        </w:rPr>
      </w:pPr>
      <w:r w:rsidRPr="000B25E0">
        <w:rPr>
          <w:rFonts w:ascii="宋体" w:eastAsia="宋体" w:hAnsi="宋体" w:cs="宋体" w:hint="eastAsia"/>
          <w:b/>
          <w:bCs/>
          <w:spacing w:val="11"/>
          <w:sz w:val="28"/>
          <w:szCs w:val="28"/>
        </w:rPr>
        <w:t>第二章</w:t>
      </w:r>
    </w:p>
    <w:p w14:paraId="62A7ED3E" w14:textId="77777777" w:rsidR="000B25E0" w:rsidRPr="000B25E0" w:rsidRDefault="000B25E0" w:rsidP="000B25E0">
      <w:pPr>
        <w:spacing w:before="126" w:line="321" w:lineRule="auto"/>
        <w:ind w:left="123" w:right="58" w:firstLine="496"/>
        <w:jc w:val="center"/>
        <w:rPr>
          <w:rFonts w:ascii="宋体" w:eastAsia="宋体" w:hAnsi="宋体" w:cs="宋体"/>
          <w:b/>
          <w:bCs/>
          <w:spacing w:val="11"/>
          <w:sz w:val="28"/>
          <w:szCs w:val="28"/>
        </w:rPr>
      </w:pPr>
      <w:r w:rsidRPr="000B25E0">
        <w:rPr>
          <w:rFonts w:ascii="宋体" w:eastAsia="宋体" w:hAnsi="宋体" w:cs="宋体" w:hint="eastAsia"/>
          <w:b/>
          <w:bCs/>
          <w:spacing w:val="11"/>
          <w:sz w:val="28"/>
          <w:szCs w:val="28"/>
        </w:rPr>
        <w:lastRenderedPageBreak/>
        <w:t>科学健身的理论与方法（0.5 学时）</w:t>
      </w:r>
    </w:p>
    <w:p w14:paraId="5F4560BA"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本章主要教学内容：</w:t>
      </w:r>
      <w:r w:rsidRPr="000B25E0">
        <w:rPr>
          <w:rFonts w:ascii="宋体" w:eastAsia="宋体" w:hAnsi="宋体" w:cs="宋体" w:hint="eastAsia"/>
          <w:spacing w:val="11"/>
          <w:sz w:val="23"/>
          <w:szCs w:val="23"/>
        </w:rPr>
        <w:t xml:space="preserve"> </w:t>
      </w:r>
    </w:p>
    <w:p w14:paraId="039CAD6B"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2.1 健身新理念 </w:t>
      </w:r>
    </w:p>
    <w:p w14:paraId="2CB5A04A"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2.2 运动处方 </w:t>
      </w:r>
    </w:p>
    <w:p w14:paraId="4ED2F61F"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本章教学目的及要求</w:t>
      </w:r>
      <w:r w:rsidRPr="000B25E0">
        <w:rPr>
          <w:rFonts w:ascii="宋体" w:eastAsia="宋体" w:hAnsi="宋体" w:cs="宋体" w:hint="eastAsia"/>
          <w:spacing w:val="11"/>
          <w:sz w:val="23"/>
          <w:szCs w:val="23"/>
        </w:rPr>
        <w:t xml:space="preserve">：使学生了解健身新理念及运动处方如何制定。 </w:t>
      </w:r>
    </w:p>
    <w:p w14:paraId="0E38E8CB"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本章教学重点及难点：</w:t>
      </w:r>
      <w:r w:rsidRPr="000B25E0">
        <w:rPr>
          <w:rFonts w:ascii="宋体" w:eastAsia="宋体" w:hAnsi="宋体" w:cs="宋体" w:hint="eastAsia"/>
          <w:spacing w:val="11"/>
          <w:sz w:val="23"/>
          <w:szCs w:val="23"/>
        </w:rPr>
        <w:t xml:space="preserve">制订运动处方的重要性；如何制订自身的运动处方。 </w:t>
      </w:r>
    </w:p>
    <w:p w14:paraId="38476BF1" w14:textId="77777777" w:rsidR="000B25E0" w:rsidRPr="000B25E0" w:rsidRDefault="000B25E0" w:rsidP="000B25E0">
      <w:pPr>
        <w:spacing w:before="126" w:line="321" w:lineRule="auto"/>
        <w:ind w:left="123" w:right="58" w:firstLine="496"/>
        <w:jc w:val="center"/>
        <w:rPr>
          <w:rFonts w:ascii="宋体" w:eastAsia="宋体" w:hAnsi="宋体" w:cs="宋体"/>
          <w:b/>
          <w:bCs/>
          <w:spacing w:val="11"/>
          <w:sz w:val="28"/>
          <w:szCs w:val="28"/>
        </w:rPr>
      </w:pPr>
      <w:r w:rsidRPr="000B25E0">
        <w:rPr>
          <w:rFonts w:ascii="宋体" w:eastAsia="宋体" w:hAnsi="宋体" w:cs="宋体" w:hint="eastAsia"/>
          <w:b/>
          <w:bCs/>
          <w:spacing w:val="11"/>
          <w:sz w:val="28"/>
          <w:szCs w:val="28"/>
        </w:rPr>
        <w:t>第三章</w:t>
      </w:r>
    </w:p>
    <w:p w14:paraId="2704DF3C" w14:textId="77777777" w:rsidR="000B25E0" w:rsidRPr="000B25E0" w:rsidRDefault="000B25E0" w:rsidP="000B25E0">
      <w:pPr>
        <w:spacing w:before="126" w:line="321" w:lineRule="auto"/>
        <w:ind w:left="123" w:right="58" w:firstLine="496"/>
        <w:jc w:val="center"/>
        <w:rPr>
          <w:rFonts w:ascii="宋体" w:eastAsia="宋体" w:hAnsi="宋体" w:cs="宋体"/>
          <w:b/>
          <w:bCs/>
          <w:spacing w:val="11"/>
          <w:sz w:val="28"/>
          <w:szCs w:val="28"/>
        </w:rPr>
      </w:pPr>
      <w:r w:rsidRPr="000B25E0">
        <w:rPr>
          <w:rFonts w:ascii="宋体" w:eastAsia="宋体" w:hAnsi="宋体" w:cs="宋体" w:hint="eastAsia"/>
          <w:b/>
          <w:bCs/>
          <w:spacing w:val="11"/>
          <w:sz w:val="28"/>
          <w:szCs w:val="28"/>
        </w:rPr>
        <w:t>营养与健康（</w:t>
      </w:r>
      <w:r w:rsidRPr="000B25E0">
        <w:rPr>
          <w:rFonts w:ascii="宋体" w:eastAsia="宋体" w:hAnsi="宋体" w:cs="宋体"/>
          <w:b/>
          <w:bCs/>
          <w:spacing w:val="11"/>
          <w:sz w:val="28"/>
          <w:szCs w:val="28"/>
        </w:rPr>
        <w:t xml:space="preserve">0.5 </w:t>
      </w:r>
      <w:r w:rsidRPr="000B25E0">
        <w:rPr>
          <w:rFonts w:ascii="宋体" w:eastAsia="宋体" w:hAnsi="宋体" w:cs="宋体" w:hint="eastAsia"/>
          <w:b/>
          <w:bCs/>
          <w:spacing w:val="11"/>
          <w:sz w:val="28"/>
          <w:szCs w:val="28"/>
        </w:rPr>
        <w:t>学时）</w:t>
      </w:r>
    </w:p>
    <w:p w14:paraId="00F4BCBE" w14:textId="77777777" w:rsidR="000B25E0" w:rsidRPr="000B25E0" w:rsidRDefault="000B25E0" w:rsidP="000B25E0">
      <w:pPr>
        <w:spacing w:before="126" w:line="321" w:lineRule="auto"/>
        <w:ind w:left="123" w:right="58" w:firstLine="496"/>
        <w:rPr>
          <w:rFonts w:ascii="宋体" w:eastAsia="宋体" w:hAnsi="宋体" w:cs="宋体"/>
          <w:b/>
          <w:bCs/>
          <w:spacing w:val="11"/>
          <w:sz w:val="23"/>
          <w:szCs w:val="23"/>
        </w:rPr>
      </w:pPr>
      <w:r w:rsidRPr="000B25E0">
        <w:rPr>
          <w:rFonts w:ascii="宋体" w:eastAsia="宋体" w:hAnsi="宋体" w:cs="宋体" w:hint="eastAsia"/>
          <w:b/>
          <w:bCs/>
          <w:spacing w:val="11"/>
          <w:sz w:val="23"/>
          <w:szCs w:val="23"/>
        </w:rPr>
        <w:t xml:space="preserve">本章主要教学内容： </w:t>
      </w:r>
    </w:p>
    <w:p w14:paraId="47F9847D"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3.1 营养对健康的影响 </w:t>
      </w:r>
    </w:p>
    <w:p w14:paraId="4A5C837B"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3.2 营养素及人体对营养的需要 </w:t>
      </w:r>
    </w:p>
    <w:p w14:paraId="5A2CE358"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3.3 平衡膳食 </w:t>
      </w:r>
    </w:p>
    <w:p w14:paraId="071A82C2"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3.4 运动与营养 </w:t>
      </w:r>
    </w:p>
    <w:p w14:paraId="1F171383"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本章教学目的及要求：</w:t>
      </w:r>
      <w:r w:rsidRPr="000B25E0">
        <w:rPr>
          <w:rFonts w:ascii="宋体" w:eastAsia="宋体" w:hAnsi="宋体" w:cs="宋体" w:hint="eastAsia"/>
          <w:spacing w:val="11"/>
          <w:sz w:val="23"/>
          <w:szCs w:val="23"/>
        </w:rPr>
        <w:t xml:space="preserve">让学生正确认识科学补充营养可以提高自身免疫力， </w:t>
      </w:r>
    </w:p>
    <w:p w14:paraId="5354438F"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从而提高生活质量。 </w:t>
      </w:r>
    </w:p>
    <w:p w14:paraId="62B09CEA"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本章教学重点及难点：</w:t>
      </w:r>
      <w:r w:rsidRPr="000B25E0">
        <w:rPr>
          <w:rFonts w:ascii="宋体" w:eastAsia="宋体" w:hAnsi="宋体" w:cs="宋体" w:hint="eastAsia"/>
          <w:spacing w:val="11"/>
          <w:sz w:val="23"/>
          <w:szCs w:val="23"/>
        </w:rPr>
        <w:t>学生阶段的营养过剩与运动不足；补充营养的同时如何提高自身的健康。</w:t>
      </w:r>
    </w:p>
    <w:p w14:paraId="2C80A04A" w14:textId="77777777" w:rsidR="000B25E0" w:rsidRPr="000B25E0" w:rsidRDefault="000B25E0" w:rsidP="000B25E0">
      <w:pPr>
        <w:spacing w:before="126" w:line="321" w:lineRule="auto"/>
        <w:ind w:left="123" w:right="58" w:firstLine="496"/>
        <w:jc w:val="center"/>
        <w:rPr>
          <w:rFonts w:ascii="宋体" w:eastAsia="宋体" w:hAnsi="宋体" w:cs="宋体"/>
          <w:b/>
          <w:bCs/>
          <w:spacing w:val="11"/>
          <w:sz w:val="28"/>
          <w:szCs w:val="28"/>
        </w:rPr>
      </w:pPr>
      <w:r w:rsidRPr="000B25E0">
        <w:rPr>
          <w:rFonts w:ascii="宋体" w:eastAsia="宋体" w:hAnsi="宋体" w:cs="宋体" w:hint="eastAsia"/>
          <w:b/>
          <w:bCs/>
          <w:spacing w:val="11"/>
          <w:sz w:val="28"/>
          <w:szCs w:val="28"/>
        </w:rPr>
        <w:t>第四章</w:t>
      </w:r>
    </w:p>
    <w:p w14:paraId="5D920435" w14:textId="77777777" w:rsidR="000B25E0" w:rsidRPr="000B25E0" w:rsidRDefault="000B25E0" w:rsidP="000B25E0">
      <w:pPr>
        <w:spacing w:before="126" w:line="321" w:lineRule="auto"/>
        <w:ind w:left="123" w:right="58" w:firstLine="496"/>
        <w:jc w:val="center"/>
        <w:rPr>
          <w:rFonts w:ascii="宋体" w:eastAsia="宋体" w:hAnsi="宋体" w:cs="宋体"/>
          <w:b/>
          <w:bCs/>
          <w:spacing w:val="11"/>
          <w:sz w:val="28"/>
          <w:szCs w:val="28"/>
        </w:rPr>
      </w:pPr>
      <w:r w:rsidRPr="000B25E0">
        <w:rPr>
          <w:rFonts w:ascii="宋体" w:eastAsia="宋体" w:hAnsi="宋体" w:cs="宋体" w:hint="eastAsia"/>
          <w:b/>
          <w:bCs/>
          <w:spacing w:val="11"/>
          <w:sz w:val="28"/>
          <w:szCs w:val="28"/>
        </w:rPr>
        <w:t>体育保健知识（</w:t>
      </w:r>
      <w:r w:rsidRPr="000B25E0">
        <w:rPr>
          <w:rFonts w:ascii="宋体" w:eastAsia="宋体" w:hAnsi="宋体" w:cs="宋体"/>
          <w:b/>
          <w:bCs/>
          <w:spacing w:val="11"/>
          <w:sz w:val="28"/>
          <w:szCs w:val="28"/>
        </w:rPr>
        <w:t xml:space="preserve">0.5 </w:t>
      </w:r>
      <w:r w:rsidRPr="000B25E0">
        <w:rPr>
          <w:rFonts w:ascii="宋体" w:eastAsia="宋体" w:hAnsi="宋体" w:cs="宋体" w:hint="eastAsia"/>
          <w:b/>
          <w:bCs/>
          <w:spacing w:val="11"/>
          <w:sz w:val="28"/>
          <w:szCs w:val="28"/>
        </w:rPr>
        <w:t>学时）</w:t>
      </w:r>
    </w:p>
    <w:p w14:paraId="45B8507A"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本章主要教学内容：</w:t>
      </w:r>
      <w:r w:rsidRPr="000B25E0">
        <w:rPr>
          <w:rFonts w:ascii="宋体" w:eastAsia="宋体" w:hAnsi="宋体" w:cs="宋体" w:hint="eastAsia"/>
          <w:spacing w:val="11"/>
          <w:sz w:val="23"/>
          <w:szCs w:val="23"/>
        </w:rPr>
        <w:t xml:space="preserve"> </w:t>
      </w:r>
    </w:p>
    <w:p w14:paraId="4AF42F63"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4.1运动中常见的生理反应与处理方法 </w:t>
      </w:r>
    </w:p>
    <w:p w14:paraId="14CAC55B"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4.2 运动损伤的处置 </w:t>
      </w:r>
    </w:p>
    <w:p w14:paraId="4201E61C"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4.3女子运动保健 </w:t>
      </w:r>
    </w:p>
    <w:p w14:paraId="5DE5A6E6"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lastRenderedPageBreak/>
        <w:t>本章教学目的及要求：</w:t>
      </w:r>
      <w:r w:rsidRPr="000B25E0">
        <w:rPr>
          <w:rFonts w:ascii="宋体" w:eastAsia="宋体" w:hAnsi="宋体" w:cs="宋体" w:hint="eastAsia"/>
          <w:spacing w:val="11"/>
          <w:sz w:val="23"/>
          <w:szCs w:val="23"/>
        </w:rPr>
        <w:t xml:space="preserve">使学生了解运动中常见的生理反应及处理方法。 </w:t>
      </w:r>
    </w:p>
    <w:p w14:paraId="4E40A084"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本章教学重点及难点：</w:t>
      </w:r>
      <w:r w:rsidRPr="000B25E0">
        <w:rPr>
          <w:rFonts w:ascii="宋体" w:eastAsia="宋体" w:hAnsi="宋体" w:cs="宋体" w:hint="eastAsia"/>
          <w:spacing w:val="11"/>
          <w:sz w:val="23"/>
          <w:szCs w:val="23"/>
        </w:rPr>
        <w:t xml:space="preserve">学生如何预防常见的运动损伤；运动损伤如何处置。 </w:t>
      </w:r>
    </w:p>
    <w:p w14:paraId="205AD56D" w14:textId="77777777" w:rsidR="000B25E0" w:rsidRPr="000B25E0" w:rsidRDefault="000B25E0" w:rsidP="000B25E0">
      <w:pPr>
        <w:spacing w:before="126" w:line="321" w:lineRule="auto"/>
        <w:ind w:left="123" w:right="58" w:firstLine="496"/>
        <w:jc w:val="center"/>
        <w:rPr>
          <w:rFonts w:ascii="宋体" w:eastAsia="宋体" w:hAnsi="宋体" w:cs="宋体"/>
          <w:b/>
          <w:bCs/>
          <w:spacing w:val="11"/>
          <w:sz w:val="28"/>
          <w:szCs w:val="28"/>
        </w:rPr>
      </w:pPr>
      <w:r w:rsidRPr="000B25E0">
        <w:rPr>
          <w:rFonts w:ascii="宋体" w:eastAsia="宋体" w:hAnsi="宋体" w:cs="宋体" w:hint="eastAsia"/>
          <w:b/>
          <w:bCs/>
          <w:spacing w:val="11"/>
          <w:sz w:val="28"/>
          <w:szCs w:val="28"/>
        </w:rPr>
        <w:t>第五章 了解体育文化（0.5 课时）</w:t>
      </w:r>
    </w:p>
    <w:p w14:paraId="57BA7889"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本章主要教学内容</w:t>
      </w:r>
      <w:r w:rsidRPr="000B25E0">
        <w:rPr>
          <w:rFonts w:ascii="宋体" w:eastAsia="宋体" w:hAnsi="宋体" w:cs="宋体" w:hint="eastAsia"/>
          <w:spacing w:val="11"/>
          <w:sz w:val="23"/>
          <w:szCs w:val="23"/>
        </w:rPr>
        <w:t xml:space="preserve">： </w:t>
      </w:r>
    </w:p>
    <w:p w14:paraId="27AEF39E"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5.1中西方体育文化比较 </w:t>
      </w:r>
    </w:p>
    <w:p w14:paraId="7DC4B1B0"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5.2 奥林匹克体育文化 </w:t>
      </w:r>
    </w:p>
    <w:p w14:paraId="7DE19D1A"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5.3 校园体育文化 </w:t>
      </w:r>
    </w:p>
    <w:p w14:paraId="5354EB80"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本章教学目的及要求</w:t>
      </w:r>
      <w:r w:rsidRPr="000B25E0">
        <w:rPr>
          <w:rFonts w:ascii="宋体" w:eastAsia="宋体" w:hAnsi="宋体" w:cs="宋体" w:hint="eastAsia"/>
          <w:spacing w:val="11"/>
          <w:sz w:val="23"/>
          <w:szCs w:val="23"/>
        </w:rPr>
        <w:t xml:space="preserve">：让学生了解东西方体育文化的差异。 </w:t>
      </w:r>
    </w:p>
    <w:p w14:paraId="7BDB6D7B"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本章教学重点及难点</w:t>
      </w:r>
      <w:r w:rsidRPr="000B25E0">
        <w:rPr>
          <w:rFonts w:ascii="宋体" w:eastAsia="宋体" w:hAnsi="宋体" w:cs="宋体" w:hint="eastAsia"/>
          <w:spacing w:val="11"/>
          <w:sz w:val="23"/>
          <w:szCs w:val="23"/>
        </w:rPr>
        <w:t xml:space="preserve">：介绍奥林匹克文化的发展；介绍校园体育文化的发展与功能。 </w:t>
      </w:r>
    </w:p>
    <w:p w14:paraId="2C03FBAD" w14:textId="77777777" w:rsidR="000B25E0" w:rsidRPr="000B25E0" w:rsidRDefault="000B25E0" w:rsidP="000B25E0">
      <w:pPr>
        <w:spacing w:before="126" w:line="321" w:lineRule="auto"/>
        <w:ind w:left="123" w:right="58" w:firstLine="496"/>
        <w:jc w:val="center"/>
        <w:rPr>
          <w:rFonts w:ascii="宋体" w:eastAsia="宋体" w:hAnsi="宋体" w:cs="宋体"/>
          <w:b/>
          <w:bCs/>
          <w:spacing w:val="11"/>
          <w:sz w:val="28"/>
          <w:szCs w:val="28"/>
        </w:rPr>
      </w:pPr>
      <w:r w:rsidRPr="000B25E0">
        <w:rPr>
          <w:rFonts w:ascii="宋体" w:eastAsia="宋体" w:hAnsi="宋体" w:cs="宋体" w:hint="eastAsia"/>
          <w:b/>
          <w:bCs/>
          <w:spacing w:val="11"/>
          <w:sz w:val="28"/>
          <w:szCs w:val="28"/>
        </w:rPr>
        <w:t>第六章 欣赏体育比赛（</w:t>
      </w:r>
      <w:r w:rsidRPr="000B25E0">
        <w:rPr>
          <w:rFonts w:ascii="宋体" w:eastAsia="宋体" w:hAnsi="宋体" w:cs="宋体"/>
          <w:b/>
          <w:bCs/>
          <w:spacing w:val="11"/>
          <w:sz w:val="28"/>
          <w:szCs w:val="28"/>
        </w:rPr>
        <w:t xml:space="preserve">0.5 </w:t>
      </w:r>
      <w:r w:rsidRPr="000B25E0">
        <w:rPr>
          <w:rFonts w:ascii="宋体" w:eastAsia="宋体" w:hAnsi="宋体" w:cs="宋体" w:hint="eastAsia"/>
          <w:b/>
          <w:bCs/>
          <w:spacing w:val="11"/>
          <w:sz w:val="28"/>
          <w:szCs w:val="28"/>
        </w:rPr>
        <w:t>学时）</w:t>
      </w:r>
    </w:p>
    <w:p w14:paraId="2FDAD638"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本章主要教学内容</w:t>
      </w:r>
      <w:r w:rsidRPr="000B25E0">
        <w:rPr>
          <w:rFonts w:ascii="宋体" w:eastAsia="宋体" w:hAnsi="宋体" w:cs="宋体" w:hint="eastAsia"/>
          <w:spacing w:val="11"/>
          <w:sz w:val="23"/>
          <w:szCs w:val="23"/>
        </w:rPr>
        <w:t xml:space="preserve">： </w:t>
      </w:r>
    </w:p>
    <w:p w14:paraId="7958E8EC"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6.1体育欣赏的体育美学原理及特点 </w:t>
      </w:r>
    </w:p>
    <w:p w14:paraId="62ECA9FB"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6.2 体育运动的欣赏内容 </w:t>
      </w:r>
    </w:p>
    <w:p w14:paraId="2C41F2F4"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6.3 特定运动项目的欣赏 </w:t>
      </w:r>
    </w:p>
    <w:p w14:paraId="79123C46" w14:textId="77777777" w:rsidR="000B25E0" w:rsidRPr="000B25E0" w:rsidRDefault="000B25E0" w:rsidP="000B25E0">
      <w:pPr>
        <w:spacing w:before="126" w:line="321" w:lineRule="auto"/>
        <w:ind w:left="123" w:right="58" w:firstLine="496"/>
        <w:rPr>
          <w:rFonts w:ascii="Calibri" w:eastAsia="宋体" w:hAnsi="Calibri" w:cs="Times New Roman"/>
        </w:rPr>
      </w:pPr>
      <w:r w:rsidRPr="000B25E0">
        <w:rPr>
          <w:rFonts w:ascii="宋体" w:eastAsia="宋体" w:hAnsi="宋体" w:cs="宋体" w:hint="eastAsia"/>
          <w:b/>
          <w:bCs/>
          <w:spacing w:val="11"/>
          <w:sz w:val="23"/>
          <w:szCs w:val="23"/>
        </w:rPr>
        <w:t>本章教学目的及要求</w:t>
      </w:r>
      <w:r w:rsidRPr="000B25E0">
        <w:rPr>
          <w:rFonts w:ascii="宋体" w:eastAsia="宋体" w:hAnsi="宋体" w:cs="宋体" w:hint="eastAsia"/>
          <w:spacing w:val="11"/>
          <w:sz w:val="23"/>
          <w:szCs w:val="23"/>
        </w:rPr>
        <w:t>：使学生提高体育文化素质，培养起体育欣赏的兴趣，</w:t>
      </w:r>
      <w:r w:rsidRPr="000B25E0">
        <w:rPr>
          <w:rFonts w:ascii="宋体" w:eastAsia="宋体" w:hAnsi="宋体" w:cs="宋体" w:hint="eastAsia"/>
          <w:snapToGrid w:val="0"/>
          <w:color w:val="000000"/>
          <w:kern w:val="0"/>
          <w:sz w:val="24"/>
          <w:szCs w:val="24"/>
          <w:lang w:bidi="ar"/>
        </w:rPr>
        <w:t xml:space="preserve">树立正确的体育审美观念。 </w:t>
      </w:r>
    </w:p>
    <w:p w14:paraId="4B9F4E21" w14:textId="77777777" w:rsidR="000B25E0" w:rsidRPr="000B25E0" w:rsidRDefault="000B25E0" w:rsidP="000B25E0">
      <w:pPr>
        <w:rPr>
          <w:rFonts w:ascii="Calibri" w:eastAsia="宋体" w:hAnsi="Calibri" w:cs="Times New Roman"/>
          <w:bCs/>
          <w:lang w:val="zh-CN"/>
        </w:rPr>
      </w:pPr>
      <w:r w:rsidRPr="000B25E0">
        <w:rPr>
          <w:rFonts w:ascii="宋体" w:eastAsia="宋体" w:hAnsi="宋体" w:cs="宋体" w:hint="eastAsia"/>
          <w:b/>
          <w:bCs/>
          <w:snapToGrid w:val="0"/>
          <w:color w:val="000000"/>
          <w:kern w:val="0"/>
          <w:sz w:val="24"/>
          <w:szCs w:val="24"/>
          <w:lang w:bidi="ar"/>
        </w:rPr>
        <w:t>本章教学重点及难点：</w:t>
      </w:r>
      <w:r w:rsidRPr="000B25E0">
        <w:rPr>
          <w:rFonts w:ascii="宋体" w:eastAsia="宋体" w:hAnsi="宋体" w:cs="宋体" w:hint="eastAsia"/>
          <w:snapToGrid w:val="0"/>
          <w:color w:val="000000"/>
          <w:kern w:val="0"/>
          <w:sz w:val="24"/>
          <w:szCs w:val="24"/>
          <w:lang w:bidi="ar"/>
        </w:rPr>
        <w:t>如何欣赏球类比赛；如何提高体育欣赏水平。</w:t>
      </w:r>
    </w:p>
    <w:p w14:paraId="398515D7" w14:textId="77777777" w:rsidR="000B25E0" w:rsidRPr="000B25E0" w:rsidRDefault="000B25E0" w:rsidP="000B25E0">
      <w:pPr>
        <w:rPr>
          <w:rFonts w:ascii="Calibri" w:eastAsia="宋体" w:hAnsi="Calibri" w:cs="Times New Roman"/>
          <w:bCs/>
          <w:lang w:val="zh-CN"/>
        </w:rPr>
      </w:pPr>
    </w:p>
    <w:p w14:paraId="786F1602" w14:textId="77777777" w:rsidR="000B25E0" w:rsidRPr="000B25E0" w:rsidRDefault="000B25E0" w:rsidP="000B25E0">
      <w:pPr>
        <w:rPr>
          <w:rFonts w:ascii="Calibri" w:eastAsia="宋体" w:hAnsi="Calibri" w:cs="Times New Roman"/>
          <w:bCs/>
          <w:lang w:val="zh-CN"/>
        </w:rPr>
      </w:pPr>
    </w:p>
    <w:p w14:paraId="58AC3799" w14:textId="77777777" w:rsidR="000B25E0" w:rsidRPr="000B25E0" w:rsidRDefault="000B25E0" w:rsidP="000B25E0">
      <w:pPr>
        <w:spacing w:before="126" w:line="321" w:lineRule="auto"/>
        <w:ind w:left="123" w:right="58" w:firstLine="496"/>
        <w:jc w:val="center"/>
        <w:rPr>
          <w:rFonts w:ascii="宋体" w:eastAsia="宋体" w:hAnsi="宋体" w:cs="宋体"/>
          <w:b/>
          <w:bCs/>
          <w:spacing w:val="11"/>
          <w:sz w:val="28"/>
          <w:szCs w:val="28"/>
        </w:rPr>
      </w:pPr>
      <w:r w:rsidRPr="000B25E0">
        <w:rPr>
          <w:rFonts w:ascii="宋体" w:eastAsia="宋体" w:hAnsi="宋体" w:cs="宋体" w:hint="eastAsia"/>
          <w:b/>
          <w:bCs/>
          <w:spacing w:val="11"/>
          <w:sz w:val="28"/>
          <w:szCs w:val="28"/>
        </w:rPr>
        <w:t>第七章 大学生体质健康测评（4 学时）</w:t>
      </w:r>
    </w:p>
    <w:p w14:paraId="61DDBF92" w14:textId="77777777" w:rsidR="000B25E0" w:rsidRPr="000B25E0" w:rsidRDefault="000B25E0" w:rsidP="000B25E0">
      <w:pPr>
        <w:spacing w:before="126" w:line="321" w:lineRule="auto"/>
        <w:ind w:left="123" w:right="58" w:firstLine="496"/>
        <w:rPr>
          <w:rFonts w:ascii="宋体" w:eastAsia="宋体" w:hAnsi="宋体" w:cs="宋体"/>
          <w:b/>
          <w:bCs/>
          <w:spacing w:val="11"/>
          <w:sz w:val="23"/>
          <w:szCs w:val="23"/>
        </w:rPr>
      </w:pPr>
      <w:r w:rsidRPr="000B25E0">
        <w:rPr>
          <w:rFonts w:ascii="宋体" w:eastAsia="宋体" w:hAnsi="宋体" w:cs="宋体" w:hint="eastAsia"/>
          <w:b/>
          <w:bCs/>
          <w:spacing w:val="11"/>
          <w:sz w:val="23"/>
          <w:szCs w:val="23"/>
        </w:rPr>
        <w:t xml:space="preserve">本章主要教学内容： </w:t>
      </w:r>
    </w:p>
    <w:p w14:paraId="130B3FD3"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7.1 《国家学生体质健康标准》实施说明 </w:t>
      </w:r>
    </w:p>
    <w:p w14:paraId="319C37D4"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7.2 《国家学生体质健康标准》测试评分表 </w:t>
      </w:r>
    </w:p>
    <w:p w14:paraId="51168001"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本章教学目的及要求</w:t>
      </w:r>
      <w:r w:rsidRPr="000B25E0">
        <w:rPr>
          <w:rFonts w:ascii="宋体" w:eastAsia="宋体" w:hAnsi="宋体" w:cs="宋体" w:hint="eastAsia"/>
          <w:spacing w:val="11"/>
          <w:sz w:val="23"/>
          <w:szCs w:val="23"/>
        </w:rPr>
        <w:t xml:space="preserve">：使学生了解体质健康的主要内容及要求。 </w:t>
      </w:r>
    </w:p>
    <w:p w14:paraId="673984D9"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本章教学重点及难点</w:t>
      </w:r>
      <w:r w:rsidRPr="000B25E0">
        <w:rPr>
          <w:rFonts w:ascii="宋体" w:eastAsia="宋体" w:hAnsi="宋体" w:cs="宋体" w:hint="eastAsia"/>
          <w:spacing w:val="11"/>
          <w:sz w:val="23"/>
          <w:szCs w:val="23"/>
        </w:rPr>
        <w:t>：学生体质健康标准的重要性；如何激发学生锻炼身</w:t>
      </w:r>
      <w:r w:rsidRPr="000B25E0">
        <w:rPr>
          <w:rFonts w:ascii="宋体" w:eastAsia="宋体" w:hAnsi="宋体" w:cs="宋体" w:hint="eastAsia"/>
          <w:spacing w:val="11"/>
          <w:sz w:val="23"/>
          <w:szCs w:val="23"/>
        </w:rPr>
        <w:lastRenderedPageBreak/>
        <w:t xml:space="preserve">体的积极性和自觉性。 </w:t>
      </w:r>
    </w:p>
    <w:p w14:paraId="24AA548C"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p>
    <w:p w14:paraId="357A3EED" w14:textId="77777777" w:rsidR="000B25E0" w:rsidRPr="000B25E0" w:rsidRDefault="000B25E0" w:rsidP="000B25E0">
      <w:pPr>
        <w:widowControl/>
        <w:jc w:val="center"/>
        <w:rPr>
          <w:rFonts w:ascii="宋体" w:eastAsia="宋体" w:hAnsi="宋体" w:cs="宋体"/>
          <w:b/>
          <w:bCs/>
          <w:spacing w:val="11"/>
          <w:sz w:val="28"/>
          <w:szCs w:val="28"/>
        </w:rPr>
      </w:pPr>
      <w:r w:rsidRPr="000B25E0">
        <w:rPr>
          <w:rFonts w:ascii="宋体" w:eastAsia="宋体" w:hAnsi="宋体" w:cs="宋体" w:hint="eastAsia"/>
          <w:b/>
          <w:bCs/>
          <w:snapToGrid w:val="0"/>
          <w:color w:val="000000"/>
          <w:kern w:val="0"/>
          <w:sz w:val="28"/>
          <w:szCs w:val="28"/>
          <w:lang w:bidi="ar"/>
        </w:rPr>
        <w:t xml:space="preserve">第八章 </w:t>
      </w:r>
      <w:r w:rsidRPr="000B25E0">
        <w:rPr>
          <w:rFonts w:ascii="宋体" w:eastAsia="宋体" w:hAnsi="宋体" w:cs="宋体" w:hint="eastAsia"/>
          <w:b/>
          <w:bCs/>
          <w:spacing w:val="11"/>
          <w:sz w:val="28"/>
          <w:szCs w:val="28"/>
        </w:rPr>
        <w:t>体能训练（13 学时）</w:t>
      </w:r>
    </w:p>
    <w:p w14:paraId="2DCCC930" w14:textId="77777777" w:rsidR="000B25E0" w:rsidRPr="000B25E0" w:rsidRDefault="000B25E0" w:rsidP="000B25E0">
      <w:pPr>
        <w:spacing w:before="126" w:line="321" w:lineRule="auto"/>
        <w:ind w:left="123" w:right="58" w:firstLine="496"/>
        <w:rPr>
          <w:rFonts w:ascii="宋体" w:eastAsia="宋体" w:hAnsi="宋体" w:cs="宋体"/>
          <w:b/>
          <w:bCs/>
          <w:spacing w:val="11"/>
          <w:sz w:val="23"/>
          <w:szCs w:val="23"/>
        </w:rPr>
      </w:pPr>
      <w:r w:rsidRPr="000B25E0">
        <w:rPr>
          <w:rFonts w:ascii="宋体" w:eastAsia="宋体" w:hAnsi="宋体" w:cs="宋体" w:hint="eastAsia"/>
          <w:b/>
          <w:bCs/>
          <w:spacing w:val="11"/>
          <w:sz w:val="23"/>
          <w:szCs w:val="23"/>
        </w:rPr>
        <w:t xml:space="preserve">本章主要教学内容： </w:t>
      </w:r>
    </w:p>
    <w:p w14:paraId="244F0E08"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8.1体能训练简介 </w:t>
      </w:r>
    </w:p>
    <w:p w14:paraId="07DA0959"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8.2加速能力及力量训练2.柔韧能力训练</w:t>
      </w:r>
    </w:p>
    <w:p w14:paraId="52A556E6"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8.3弹跳能力及力量训练 </w:t>
      </w:r>
    </w:p>
    <w:p w14:paraId="2C039EE8"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8.4灵敏能力及力量训练 </w:t>
      </w:r>
    </w:p>
    <w:p w14:paraId="21F3EC98"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8.5耐力能力及无氧训练 </w:t>
      </w:r>
    </w:p>
    <w:p w14:paraId="25C8538B"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8.6弹跳能力及力量测试 </w:t>
      </w:r>
    </w:p>
    <w:p w14:paraId="1139CA8C"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8.7上肢（男）力量训练2.腹肌（女）力量训练 </w:t>
      </w:r>
    </w:p>
    <w:p w14:paraId="711C2889"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8.8耐力能力及无氧训练 </w:t>
      </w:r>
    </w:p>
    <w:p w14:paraId="604BFB24"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8.9引体向上（男）；一分钟仰卧起坐（女） </w:t>
      </w:r>
    </w:p>
    <w:p w14:paraId="5DEE7928"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8.10立定跳远测试</w:t>
      </w:r>
    </w:p>
    <w:p w14:paraId="20AACEA5" w14:textId="77777777" w:rsidR="000B25E0" w:rsidRPr="000B25E0" w:rsidRDefault="000B25E0" w:rsidP="000B25E0">
      <w:pPr>
        <w:widowControl/>
        <w:jc w:val="center"/>
        <w:rPr>
          <w:rFonts w:ascii="宋体" w:eastAsia="宋体" w:hAnsi="宋体" w:cs="宋体"/>
          <w:snapToGrid w:val="0"/>
          <w:color w:val="000000"/>
          <w:kern w:val="0"/>
          <w:sz w:val="24"/>
          <w:szCs w:val="24"/>
          <w:lang w:bidi="ar"/>
        </w:rPr>
      </w:pPr>
    </w:p>
    <w:p w14:paraId="53C664FC" w14:textId="77777777" w:rsidR="000B25E0" w:rsidRPr="000B25E0" w:rsidRDefault="000B25E0" w:rsidP="000B25E0">
      <w:pPr>
        <w:widowControl/>
        <w:jc w:val="center"/>
        <w:rPr>
          <w:rFonts w:ascii="Calibri" w:eastAsia="宋体" w:hAnsi="Calibri" w:cs="Times New Roman"/>
        </w:rPr>
      </w:pPr>
      <w:r w:rsidRPr="000B25E0">
        <w:rPr>
          <w:rFonts w:ascii="宋体" w:eastAsia="宋体" w:hAnsi="宋体" w:cs="宋体" w:hint="eastAsia"/>
          <w:b/>
          <w:bCs/>
          <w:snapToGrid w:val="0"/>
          <w:color w:val="000000"/>
          <w:kern w:val="0"/>
          <w:sz w:val="28"/>
          <w:szCs w:val="28"/>
          <w:lang w:bidi="ar"/>
        </w:rPr>
        <w:t>第九章 瑜伽概述（2学时）</w:t>
      </w:r>
    </w:p>
    <w:p w14:paraId="7D1CF79A" w14:textId="77777777" w:rsidR="000B25E0" w:rsidRPr="000B25E0" w:rsidRDefault="000B25E0" w:rsidP="000B25E0">
      <w:pPr>
        <w:spacing w:before="126" w:line="321" w:lineRule="auto"/>
        <w:ind w:left="123" w:right="58" w:firstLine="496"/>
        <w:rPr>
          <w:rFonts w:ascii="宋体" w:eastAsia="宋体" w:hAnsi="宋体" w:cs="宋体"/>
          <w:b/>
          <w:bCs/>
          <w:spacing w:val="11"/>
          <w:sz w:val="23"/>
          <w:szCs w:val="23"/>
        </w:rPr>
      </w:pPr>
      <w:r w:rsidRPr="000B25E0">
        <w:rPr>
          <w:rFonts w:ascii="宋体" w:eastAsia="宋体" w:hAnsi="宋体" w:cs="宋体" w:hint="eastAsia"/>
          <w:b/>
          <w:bCs/>
          <w:snapToGrid w:val="0"/>
          <w:color w:val="000000"/>
          <w:kern w:val="0"/>
          <w:sz w:val="24"/>
          <w:szCs w:val="24"/>
          <w:lang w:bidi="ar"/>
        </w:rPr>
        <w:t>本</w:t>
      </w:r>
      <w:r w:rsidRPr="000B25E0">
        <w:rPr>
          <w:rFonts w:ascii="宋体" w:eastAsia="宋体" w:hAnsi="宋体" w:cs="宋体" w:hint="eastAsia"/>
          <w:b/>
          <w:bCs/>
          <w:spacing w:val="11"/>
          <w:sz w:val="23"/>
          <w:szCs w:val="23"/>
        </w:rPr>
        <w:t xml:space="preserve">章主要教学内容： </w:t>
      </w:r>
    </w:p>
    <w:p w14:paraId="5B53C9E7"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9.1 瑜伽的概念 </w:t>
      </w:r>
    </w:p>
    <w:p w14:paraId="38757F9B"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9.2 瑜伽的起源与发展 </w:t>
      </w:r>
    </w:p>
    <w:p w14:paraId="0EAD2B3D"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9.3 瑜伽的内容与分类 </w:t>
      </w:r>
    </w:p>
    <w:p w14:paraId="2460730B"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本章教学目的及要求</w:t>
      </w:r>
      <w:r w:rsidRPr="000B25E0">
        <w:rPr>
          <w:rFonts w:ascii="宋体" w:eastAsia="宋体" w:hAnsi="宋体" w:cs="宋体" w:hint="eastAsia"/>
          <w:spacing w:val="11"/>
          <w:sz w:val="23"/>
          <w:szCs w:val="23"/>
        </w:rPr>
        <w:t xml:space="preserve">：了解瑜伽的概念、内容、发展史及发展现状。 </w:t>
      </w:r>
    </w:p>
    <w:p w14:paraId="232A2319"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本章教学重点及难点</w:t>
      </w:r>
      <w:r w:rsidRPr="000B25E0">
        <w:rPr>
          <w:rFonts w:ascii="宋体" w:eastAsia="宋体" w:hAnsi="宋体" w:cs="宋体" w:hint="eastAsia"/>
          <w:spacing w:val="11"/>
          <w:sz w:val="23"/>
          <w:szCs w:val="23"/>
        </w:rPr>
        <w:t>：重点：瑜伽运动的发展史；难点：内容与分类。</w:t>
      </w:r>
    </w:p>
    <w:p w14:paraId="22912F1B" w14:textId="77777777" w:rsidR="000B25E0" w:rsidRPr="000B25E0" w:rsidRDefault="000B25E0" w:rsidP="000B25E0">
      <w:pPr>
        <w:spacing w:before="126" w:line="321" w:lineRule="auto"/>
        <w:ind w:left="123" w:right="58" w:firstLineChars="534" w:firstLine="1619"/>
        <w:rPr>
          <w:rFonts w:ascii="宋体" w:eastAsia="宋体" w:hAnsi="宋体" w:cs="宋体"/>
          <w:b/>
          <w:bCs/>
          <w:spacing w:val="11"/>
          <w:sz w:val="28"/>
          <w:szCs w:val="28"/>
        </w:rPr>
      </w:pPr>
      <w:r w:rsidRPr="000B25E0">
        <w:rPr>
          <w:rFonts w:ascii="宋体" w:eastAsia="宋体" w:hAnsi="宋体" w:cs="宋体" w:hint="eastAsia"/>
          <w:b/>
          <w:bCs/>
          <w:spacing w:val="11"/>
          <w:sz w:val="28"/>
          <w:szCs w:val="28"/>
        </w:rPr>
        <w:t>第十章 瑜伽基本功、拜日式A（10学时）</w:t>
      </w:r>
    </w:p>
    <w:p w14:paraId="36C8DB0D"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本章主要教学内容：</w:t>
      </w:r>
      <w:r w:rsidRPr="000B25E0">
        <w:rPr>
          <w:rFonts w:ascii="宋体" w:eastAsia="宋体" w:hAnsi="宋体" w:cs="宋体" w:hint="eastAsia"/>
          <w:spacing w:val="11"/>
          <w:sz w:val="23"/>
          <w:szCs w:val="23"/>
        </w:rPr>
        <w:t xml:space="preserve"> </w:t>
      </w:r>
    </w:p>
    <w:p w14:paraId="52885D0F"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10.1 柔韧性练习：正踢腿、</w:t>
      </w:r>
      <w:proofErr w:type="gramStart"/>
      <w:r w:rsidRPr="000B25E0">
        <w:rPr>
          <w:rFonts w:ascii="宋体" w:eastAsia="宋体" w:hAnsi="宋体" w:cs="宋体" w:hint="eastAsia"/>
          <w:spacing w:val="11"/>
          <w:sz w:val="23"/>
          <w:szCs w:val="23"/>
        </w:rPr>
        <w:t>里合腿</w:t>
      </w:r>
      <w:proofErr w:type="gramEnd"/>
      <w:r w:rsidRPr="000B25E0">
        <w:rPr>
          <w:rFonts w:ascii="宋体" w:eastAsia="宋体" w:hAnsi="宋体" w:cs="宋体" w:hint="eastAsia"/>
          <w:spacing w:val="11"/>
          <w:sz w:val="23"/>
          <w:szCs w:val="23"/>
        </w:rPr>
        <w:t xml:space="preserve">、外摆腿 </w:t>
      </w:r>
    </w:p>
    <w:p w14:paraId="5466F266"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lastRenderedPageBreak/>
        <w:t>10.2 拜日式A</w:t>
      </w:r>
    </w:p>
    <w:p w14:paraId="0C6E06C1"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本章教学目的及要求：</w:t>
      </w:r>
      <w:r w:rsidRPr="000B25E0">
        <w:rPr>
          <w:rFonts w:ascii="宋体" w:eastAsia="宋体" w:hAnsi="宋体" w:cs="宋体" w:hint="eastAsia"/>
          <w:spacing w:val="11"/>
          <w:sz w:val="23"/>
          <w:szCs w:val="23"/>
        </w:rPr>
        <w:t xml:space="preserve"> </w:t>
      </w:r>
    </w:p>
    <w:p w14:paraId="7405C977"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掌握瑜伽基本呼吸法，提高腿部的柔韧性及身体的协调性。掌握拜日式A套路动作，了解动作要点及要求。</w:t>
      </w:r>
    </w:p>
    <w:p w14:paraId="1D0ED2A5" w14:textId="77777777" w:rsidR="000B25E0" w:rsidRPr="000B25E0" w:rsidRDefault="000B25E0" w:rsidP="000B25E0">
      <w:pPr>
        <w:spacing w:before="126" w:line="321" w:lineRule="auto"/>
        <w:ind w:left="123" w:right="58" w:firstLine="496"/>
        <w:rPr>
          <w:rFonts w:ascii="宋体" w:eastAsia="宋体" w:hAnsi="宋体" w:cs="宋体"/>
          <w:b/>
          <w:bCs/>
          <w:spacing w:val="11"/>
          <w:sz w:val="23"/>
          <w:szCs w:val="23"/>
        </w:rPr>
      </w:pPr>
      <w:r w:rsidRPr="000B25E0">
        <w:rPr>
          <w:rFonts w:ascii="宋体" w:eastAsia="宋体" w:hAnsi="宋体" w:cs="宋体" w:hint="eastAsia"/>
          <w:b/>
          <w:bCs/>
          <w:spacing w:val="11"/>
          <w:sz w:val="23"/>
          <w:szCs w:val="23"/>
        </w:rPr>
        <w:t xml:space="preserve">本章教学重点及难点： </w:t>
      </w:r>
    </w:p>
    <w:p w14:paraId="5CB3B385"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重点掌握拜日式A套路练习，能够单独完成套路。 </w:t>
      </w:r>
    </w:p>
    <w:p w14:paraId="74FADC44" w14:textId="77777777" w:rsidR="000B25E0" w:rsidRPr="000B25E0" w:rsidRDefault="000B25E0" w:rsidP="000B25E0">
      <w:pPr>
        <w:spacing w:before="126" w:line="321" w:lineRule="auto"/>
        <w:ind w:left="123" w:right="58" w:firstLine="496"/>
        <w:rPr>
          <w:rFonts w:ascii="宋体" w:eastAsia="宋体" w:hAnsi="宋体" w:cs="宋体"/>
          <w:b/>
          <w:bCs/>
          <w:spacing w:val="11"/>
          <w:sz w:val="23"/>
          <w:szCs w:val="23"/>
        </w:rPr>
      </w:pPr>
      <w:r w:rsidRPr="000B25E0">
        <w:rPr>
          <w:rFonts w:ascii="宋体" w:eastAsia="宋体" w:hAnsi="宋体" w:cs="宋体" w:hint="eastAsia"/>
          <w:b/>
          <w:bCs/>
          <w:spacing w:val="11"/>
          <w:sz w:val="23"/>
          <w:szCs w:val="23"/>
        </w:rPr>
        <w:t xml:space="preserve">【重点】 </w:t>
      </w:r>
    </w:p>
    <w:p w14:paraId="56E10C92"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1.使同学们了解自身健康的重要性及如何维护、促进自身的健康。 </w:t>
      </w:r>
    </w:p>
    <w:p w14:paraId="12AC1E39"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2.使学生了解健身新理念及运动处方如何制定。 </w:t>
      </w:r>
    </w:p>
    <w:p w14:paraId="70103ABC"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3.使学生了解体质健康的主要内容及要求和重要性。 </w:t>
      </w:r>
    </w:p>
    <w:p w14:paraId="39AA29D2" w14:textId="77777777" w:rsidR="000B25E0" w:rsidRPr="000B25E0" w:rsidRDefault="000B25E0" w:rsidP="000B25E0">
      <w:pPr>
        <w:spacing w:before="126" w:line="321" w:lineRule="auto"/>
        <w:ind w:left="123" w:right="58" w:firstLine="496"/>
        <w:rPr>
          <w:rFonts w:ascii="宋体" w:eastAsia="宋体" w:hAnsi="宋体" w:cs="宋体"/>
          <w:b/>
          <w:bCs/>
          <w:spacing w:val="11"/>
          <w:sz w:val="23"/>
          <w:szCs w:val="23"/>
        </w:rPr>
      </w:pPr>
      <w:r w:rsidRPr="000B25E0">
        <w:rPr>
          <w:rFonts w:ascii="宋体" w:eastAsia="宋体" w:hAnsi="宋体" w:cs="宋体" w:hint="eastAsia"/>
          <w:b/>
          <w:bCs/>
          <w:spacing w:val="11"/>
          <w:sz w:val="23"/>
          <w:szCs w:val="23"/>
        </w:rPr>
        <w:t xml:space="preserve">【难点】 </w:t>
      </w:r>
    </w:p>
    <w:p w14:paraId="501329F1"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1. 认识到健康的重要性；如何维护自身的健康。 </w:t>
      </w:r>
    </w:p>
    <w:p w14:paraId="0A3CD56D"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2. 学生阶段的营养过剩与运动不足；补充营养的同时如何提高自身的健康。 </w:t>
      </w:r>
    </w:p>
    <w:p w14:paraId="5AD46607"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3. 如何激发学生锻炼身体的积极性和自觉性。 </w:t>
      </w:r>
    </w:p>
    <w:p w14:paraId="215AF38F"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4. 提高学生的自主学习能力，培养学生组织能力。达到理论联系实际， 学以致用。</w:t>
      </w:r>
    </w:p>
    <w:p w14:paraId="393E86B2" w14:textId="77777777" w:rsidR="000B25E0" w:rsidRPr="000B25E0" w:rsidRDefault="000B25E0" w:rsidP="000B25E0">
      <w:pPr>
        <w:spacing w:before="126" w:line="321" w:lineRule="auto"/>
        <w:ind w:left="123" w:right="58" w:firstLine="496"/>
        <w:rPr>
          <w:rFonts w:ascii="宋体" w:eastAsia="宋体" w:hAnsi="宋体" w:cs="宋体"/>
          <w:b/>
          <w:bCs/>
          <w:spacing w:val="11"/>
          <w:sz w:val="23"/>
          <w:szCs w:val="23"/>
        </w:rPr>
      </w:pPr>
      <w:r w:rsidRPr="000B25E0">
        <w:rPr>
          <w:rFonts w:ascii="宋体" w:eastAsia="宋体" w:hAnsi="宋体" w:cs="宋体" w:hint="eastAsia"/>
          <w:b/>
          <w:bCs/>
          <w:spacing w:val="11"/>
          <w:sz w:val="23"/>
          <w:szCs w:val="23"/>
        </w:rPr>
        <w:t>【教学方法】</w:t>
      </w:r>
    </w:p>
    <w:p w14:paraId="2EC23B06"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1. 采用多媒体学习法，传统教学与多媒体课件相结合的方法，用课堂讲授的方法详细阐述中学教育学的相关概念、基本原理，使学生掌握扎实的专业知识，丰富学生中学教育学学科素养，培养学生相应的职业道德规范； </w:t>
      </w:r>
    </w:p>
    <w:p w14:paraId="6C5F1F48"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2. 采用讲解法、示范法，通过语言指导法、完整法、分解法、直观法、预防与纠正法，通过语言的形式达到指导学生的目的，能够清楚地了解学习内容。强调理论与实践相结合，促进学生知识整合； </w:t>
      </w:r>
    </w:p>
    <w:p w14:paraId="183FFFA6" w14:textId="77777777" w:rsidR="000B25E0" w:rsidRPr="000B25E0" w:rsidRDefault="000B25E0" w:rsidP="000B25E0">
      <w:pPr>
        <w:rPr>
          <w:rFonts w:ascii="Calibri" w:eastAsia="宋体" w:hAnsi="Calibri" w:cs="Times New Roman"/>
          <w:bCs/>
          <w:lang w:val="zh-CN"/>
        </w:rPr>
      </w:pPr>
      <w:r w:rsidRPr="000B25E0">
        <w:rPr>
          <w:rFonts w:ascii="宋体" w:eastAsia="宋体" w:hAnsi="宋体" w:cs="宋体" w:hint="eastAsia"/>
          <w:spacing w:val="11"/>
          <w:sz w:val="23"/>
          <w:szCs w:val="23"/>
        </w:rPr>
        <w:t>3. 采用练习法，分解练习及完整练习法，熟练掌握体能锻炼的所有内容，需要同学之间分组进行自主练习方法进行练习瑜伽基本技术；</w:t>
      </w:r>
    </w:p>
    <w:p w14:paraId="6A3F4BC2"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4. 通过小组合作学习，树立育人意识，发展学生的合作能力和校本课程设计能力通过课堂汇报和课堂辩论，强化知识应用意识，发展学生的教学能力和反思能力； </w:t>
      </w:r>
    </w:p>
    <w:p w14:paraId="194A441F"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lastRenderedPageBreak/>
        <w:t>5. 通过组织学生观察课堂实录，从中培养</w:t>
      </w:r>
      <w:r w:rsidR="003B79D6">
        <w:rPr>
          <w:rFonts w:ascii="宋体" w:eastAsia="宋体" w:hAnsi="宋体" w:cs="宋体" w:hint="eastAsia"/>
          <w:spacing w:val="11"/>
          <w:sz w:val="23"/>
          <w:szCs w:val="23"/>
        </w:rPr>
        <w:t>学</w:t>
      </w:r>
      <w:r w:rsidRPr="000B25E0">
        <w:rPr>
          <w:rFonts w:ascii="宋体" w:eastAsia="宋体" w:hAnsi="宋体" w:cs="宋体" w:hint="eastAsia"/>
          <w:spacing w:val="11"/>
          <w:sz w:val="23"/>
          <w:szCs w:val="23"/>
        </w:rPr>
        <w:t xml:space="preserve">生发现问题、分析问题、解决问题的能力和探究意识。 </w:t>
      </w:r>
    </w:p>
    <w:p w14:paraId="5124094A"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b/>
          <w:bCs/>
          <w:spacing w:val="11"/>
          <w:sz w:val="23"/>
          <w:szCs w:val="23"/>
        </w:rPr>
        <w:t>【复习思考】</w:t>
      </w:r>
      <w:r w:rsidRPr="000B25E0">
        <w:rPr>
          <w:rFonts w:ascii="宋体" w:eastAsia="宋体" w:hAnsi="宋体" w:cs="宋体" w:hint="eastAsia"/>
          <w:spacing w:val="11"/>
          <w:sz w:val="23"/>
          <w:szCs w:val="23"/>
        </w:rPr>
        <w:t xml:space="preserve"> </w:t>
      </w:r>
    </w:p>
    <w:p w14:paraId="6E854647"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1.如何计算自己的体质健康标准测验成绩。 </w:t>
      </w:r>
    </w:p>
    <w:p w14:paraId="09E60F4D"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2.如何制定简单训练计划，制定运动处方。</w:t>
      </w:r>
    </w:p>
    <w:p w14:paraId="59E5BA0A" w14:textId="77777777" w:rsidR="000B25E0" w:rsidRPr="000B25E0" w:rsidRDefault="000B25E0" w:rsidP="000B25E0">
      <w:pPr>
        <w:spacing w:before="126" w:line="321" w:lineRule="auto"/>
        <w:ind w:right="58"/>
        <w:rPr>
          <w:rFonts w:ascii="宋体" w:eastAsia="宋体" w:hAnsi="宋体" w:cs="宋体"/>
          <w:b/>
          <w:bCs/>
          <w:spacing w:val="11"/>
          <w:sz w:val="23"/>
          <w:szCs w:val="23"/>
        </w:rPr>
      </w:pPr>
    </w:p>
    <w:p w14:paraId="5D1EECE5" w14:textId="77777777" w:rsidR="000B25E0" w:rsidRPr="000B25E0" w:rsidRDefault="000B25E0" w:rsidP="000B25E0">
      <w:pPr>
        <w:spacing w:before="126" w:line="321" w:lineRule="auto"/>
        <w:ind w:left="123" w:right="58" w:firstLine="496"/>
        <w:jc w:val="center"/>
        <w:rPr>
          <w:rFonts w:ascii="宋体" w:eastAsia="宋体" w:hAnsi="宋体" w:cs="宋体"/>
          <w:b/>
          <w:bCs/>
          <w:spacing w:val="11"/>
          <w:sz w:val="28"/>
          <w:szCs w:val="28"/>
        </w:rPr>
      </w:pPr>
      <w:r w:rsidRPr="000B25E0">
        <w:rPr>
          <w:rFonts w:ascii="宋体" w:eastAsia="宋体" w:hAnsi="宋体" w:cs="宋体" w:hint="eastAsia"/>
          <w:b/>
          <w:bCs/>
          <w:spacing w:val="11"/>
          <w:sz w:val="28"/>
          <w:szCs w:val="28"/>
        </w:rPr>
        <w:t>第二学期 瑜伽 2</w:t>
      </w:r>
    </w:p>
    <w:p w14:paraId="0672F02D" w14:textId="77777777" w:rsidR="000B25E0" w:rsidRPr="000B25E0" w:rsidRDefault="000B25E0" w:rsidP="000B25E0">
      <w:pPr>
        <w:spacing w:before="126" w:line="321" w:lineRule="auto"/>
        <w:ind w:left="123" w:right="58" w:firstLine="496"/>
        <w:rPr>
          <w:rFonts w:ascii="宋体" w:eastAsia="宋体" w:hAnsi="宋体" w:cs="宋体"/>
          <w:b/>
          <w:bCs/>
          <w:spacing w:val="11"/>
          <w:sz w:val="23"/>
          <w:szCs w:val="23"/>
        </w:rPr>
      </w:pPr>
      <w:r w:rsidRPr="000B25E0">
        <w:rPr>
          <w:rFonts w:ascii="宋体" w:eastAsia="宋体" w:hAnsi="宋体" w:cs="宋体" w:hint="eastAsia"/>
          <w:b/>
          <w:bCs/>
          <w:spacing w:val="11"/>
          <w:sz w:val="23"/>
          <w:szCs w:val="23"/>
        </w:rPr>
        <w:t xml:space="preserve">【学习目标】 </w:t>
      </w:r>
    </w:p>
    <w:p w14:paraId="02749FCE"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1. 认知类目标：了解《大学体育》课程的内容、性质和要求；树立现代化体育意识，把健康与生存、学习、生活和自身的发展联系起来，提高体育的兴趣和体育比赛的欣赏能力，养成积极自觉参加体育锻炼的习惯。培养学生努力学习、不断进取、修身立业、顽强奋进的精神与品质。 </w:t>
      </w:r>
    </w:p>
    <w:p w14:paraId="4F2350D1"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2. 过程与方法类目标：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使学生能够掌握足球运动的一般规律和特点，使学生获得瑜伽运动的基本技术、基本技能和基础理论知识，并了解现代瑜伽的发展趋势。 </w:t>
      </w:r>
    </w:p>
    <w:p w14:paraId="18E03780"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 xml:space="preserve">3. 情感、态度、价值观类目标：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 </w:t>
      </w:r>
    </w:p>
    <w:p w14:paraId="6CBDDE3F" w14:textId="77777777" w:rsidR="000B25E0" w:rsidRPr="000B25E0" w:rsidRDefault="000B25E0" w:rsidP="000B25E0">
      <w:pPr>
        <w:spacing w:before="126" w:line="321" w:lineRule="auto"/>
        <w:ind w:left="123" w:right="58" w:firstLine="496"/>
        <w:rPr>
          <w:rFonts w:ascii="宋体" w:eastAsia="宋体" w:hAnsi="宋体" w:cs="宋体"/>
          <w:b/>
          <w:bCs/>
          <w:spacing w:val="11"/>
          <w:sz w:val="23"/>
          <w:szCs w:val="23"/>
        </w:rPr>
      </w:pPr>
      <w:r w:rsidRPr="000B25E0">
        <w:rPr>
          <w:rFonts w:ascii="宋体" w:eastAsia="宋体" w:hAnsi="宋体" w:cs="宋体" w:hint="eastAsia"/>
          <w:b/>
          <w:bCs/>
          <w:spacing w:val="11"/>
          <w:sz w:val="23"/>
          <w:szCs w:val="23"/>
        </w:rPr>
        <w:t xml:space="preserve">【学习内容】 </w:t>
      </w:r>
    </w:p>
    <w:p w14:paraId="4B04124B"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1.了解瑜伽运动的基本技术、基本技能和基础理论知识，并了解现代瑜伽的发展趋势。掌握锻炼身体的技能与方法，掌握部分体育项目的基本技术初步学会运用科学的方法锻炼身体，促进学生能力的发展能够初步运用获得的知识</w:t>
      </w:r>
      <w:r w:rsidRPr="000B25E0">
        <w:rPr>
          <w:rFonts w:ascii="宋体" w:eastAsia="宋体" w:hAnsi="宋体" w:cs="宋体" w:hint="eastAsia"/>
          <w:spacing w:val="11"/>
          <w:sz w:val="23"/>
          <w:szCs w:val="23"/>
        </w:rPr>
        <w:lastRenderedPageBreak/>
        <w:t xml:space="preserve">技能锻炼身体，进行自我调控，自我检测和自我评价。 </w:t>
      </w:r>
    </w:p>
    <w:p w14:paraId="763EA760" w14:textId="77777777" w:rsidR="000B25E0" w:rsidRPr="000B25E0" w:rsidRDefault="000B25E0" w:rsidP="000B25E0">
      <w:pPr>
        <w:spacing w:before="126" w:line="321" w:lineRule="auto"/>
        <w:ind w:left="123" w:right="58" w:firstLine="496"/>
        <w:rPr>
          <w:rFonts w:ascii="宋体" w:eastAsia="宋体" w:hAnsi="宋体" w:cs="宋体"/>
          <w:spacing w:val="11"/>
          <w:sz w:val="23"/>
          <w:szCs w:val="23"/>
        </w:rPr>
      </w:pPr>
      <w:r w:rsidRPr="000B25E0">
        <w:rPr>
          <w:rFonts w:ascii="宋体" w:eastAsia="宋体" w:hAnsi="宋体" w:cs="宋体" w:hint="eastAsia"/>
          <w:spacing w:val="11"/>
          <w:sz w:val="23"/>
          <w:szCs w:val="23"/>
        </w:rPr>
        <w:t>2.发展学生的个性和创造性，培养学生的主体意识和活泼愉快、积极向上、 勇于探索以及克服困难的精神。在体育活动中树立顽强拼搏的精神和团结合作的意识，能正确对待个人和集体的成功与失败，具有组织纪律性和良好的人际关系。</w:t>
      </w:r>
    </w:p>
    <w:p w14:paraId="5CA80FCD" w14:textId="77777777" w:rsidR="000B25E0" w:rsidRPr="000B25E0" w:rsidRDefault="000B25E0" w:rsidP="000B25E0">
      <w:pPr>
        <w:spacing w:beforeLines="50" w:before="156" w:afterLines="50" w:after="156" w:line="440" w:lineRule="exact"/>
        <w:ind w:firstLineChars="200" w:firstLine="560"/>
        <w:jc w:val="center"/>
        <w:rPr>
          <w:rFonts w:ascii="Times New Roman" w:eastAsia="黑体" w:hAnsi="Times New Roman" w:cs="Times New Roman"/>
          <w:sz w:val="28"/>
          <w:szCs w:val="28"/>
        </w:rPr>
      </w:pPr>
    </w:p>
    <w:p w14:paraId="3673041D" w14:textId="77777777" w:rsidR="000B25E0" w:rsidRPr="000B25E0" w:rsidRDefault="000B25E0" w:rsidP="000B25E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0B25E0">
        <w:rPr>
          <w:rFonts w:ascii="Times New Roman" w:eastAsia="黑体" w:hAnsi="Times New Roman" w:cs="Times New Roman"/>
          <w:sz w:val="28"/>
          <w:szCs w:val="28"/>
        </w:rPr>
        <w:t>第一章</w:t>
      </w:r>
      <w:r w:rsidRPr="000B25E0">
        <w:rPr>
          <w:rFonts w:ascii="Times New Roman" w:eastAsia="黑体" w:hAnsi="Times New Roman" w:cs="Times New Roman"/>
          <w:sz w:val="28"/>
          <w:szCs w:val="28"/>
        </w:rPr>
        <w:t xml:space="preserve">  </w:t>
      </w:r>
      <w:r w:rsidRPr="000B25E0">
        <w:rPr>
          <w:rFonts w:ascii="Times New Roman" w:eastAsia="黑体" w:hAnsi="Times New Roman" w:cs="Times New Roman"/>
          <w:sz w:val="28"/>
          <w:szCs w:val="28"/>
        </w:rPr>
        <w:t>瑜伽基础理论介绍（</w:t>
      </w:r>
      <w:r w:rsidRPr="000B25E0">
        <w:rPr>
          <w:rFonts w:ascii="Times New Roman" w:eastAsia="黑体" w:hAnsi="Times New Roman" w:cs="Times New Roman"/>
          <w:sz w:val="28"/>
          <w:szCs w:val="28"/>
        </w:rPr>
        <w:t>2</w:t>
      </w:r>
      <w:r w:rsidRPr="000B25E0">
        <w:rPr>
          <w:rFonts w:ascii="Times New Roman" w:eastAsia="黑体" w:hAnsi="Times New Roman" w:cs="Times New Roman"/>
          <w:sz w:val="28"/>
          <w:szCs w:val="28"/>
        </w:rPr>
        <w:t>学时）</w:t>
      </w:r>
    </w:p>
    <w:p w14:paraId="7571A1CD" w14:textId="77777777" w:rsidR="000B25E0" w:rsidRPr="000B25E0" w:rsidRDefault="000B25E0" w:rsidP="000B25E0">
      <w:pPr>
        <w:spacing w:line="440" w:lineRule="exact"/>
        <w:ind w:firstLineChars="200" w:firstLine="482"/>
        <w:rPr>
          <w:rFonts w:ascii="宋体" w:eastAsia="宋体" w:hAnsi="宋体" w:cs="宋体"/>
          <w:b/>
          <w:sz w:val="24"/>
          <w:szCs w:val="24"/>
        </w:rPr>
      </w:pPr>
      <w:r w:rsidRPr="000B25E0">
        <w:rPr>
          <w:rFonts w:ascii="宋体" w:eastAsia="宋体" w:hAnsi="宋体" w:cs="宋体" w:hint="eastAsia"/>
          <w:b/>
          <w:sz w:val="24"/>
          <w:szCs w:val="24"/>
        </w:rPr>
        <w:t>【学习目标】</w:t>
      </w:r>
    </w:p>
    <w:p w14:paraId="23592A70" w14:textId="77777777" w:rsidR="000B25E0" w:rsidRPr="000B25E0" w:rsidRDefault="000B25E0" w:rsidP="000B25E0">
      <w:pPr>
        <w:spacing w:line="440" w:lineRule="exact"/>
        <w:ind w:firstLineChars="200" w:firstLine="480"/>
        <w:rPr>
          <w:rFonts w:ascii="宋体" w:eastAsia="宋体" w:hAnsi="宋体" w:cs="宋体"/>
          <w:sz w:val="24"/>
          <w:szCs w:val="24"/>
        </w:rPr>
      </w:pPr>
      <w:r w:rsidRPr="000B25E0">
        <w:rPr>
          <w:rFonts w:ascii="宋体" w:eastAsia="宋体" w:hAnsi="宋体" w:cs="宋体" w:hint="eastAsia"/>
          <w:sz w:val="24"/>
          <w:szCs w:val="24"/>
        </w:rPr>
        <w:t>1. 认知类目标：了解瑜伽的概念和历史，掌握瑜伽的基础理论；</w:t>
      </w:r>
    </w:p>
    <w:p w14:paraId="2EBDD2FF" w14:textId="77777777" w:rsidR="000B25E0" w:rsidRPr="000B25E0" w:rsidRDefault="000B25E0" w:rsidP="000B25E0">
      <w:pPr>
        <w:spacing w:line="440" w:lineRule="exact"/>
        <w:ind w:firstLineChars="200" w:firstLine="480"/>
        <w:rPr>
          <w:rFonts w:ascii="宋体" w:eastAsia="宋体" w:hAnsi="宋体" w:cs="宋体"/>
          <w:sz w:val="24"/>
          <w:szCs w:val="24"/>
        </w:rPr>
      </w:pPr>
      <w:r w:rsidRPr="000B25E0">
        <w:rPr>
          <w:rFonts w:ascii="宋体" w:eastAsia="宋体" w:hAnsi="宋体" w:cs="宋体" w:hint="eastAsia"/>
          <w:sz w:val="24"/>
          <w:szCs w:val="24"/>
        </w:rPr>
        <w:t>2. 过程与方法类目标：掌握瑜伽练习的基本方法；</w:t>
      </w:r>
    </w:p>
    <w:p w14:paraId="43543EFA" w14:textId="77777777" w:rsidR="000B25E0" w:rsidRPr="000B25E0" w:rsidRDefault="000B25E0" w:rsidP="000B25E0">
      <w:pPr>
        <w:spacing w:line="440" w:lineRule="exact"/>
        <w:ind w:firstLineChars="200" w:firstLine="480"/>
        <w:rPr>
          <w:rFonts w:ascii="宋体" w:eastAsia="宋体" w:hAnsi="宋体" w:cs="宋体"/>
          <w:sz w:val="24"/>
          <w:szCs w:val="24"/>
        </w:rPr>
      </w:pPr>
      <w:r w:rsidRPr="000B25E0">
        <w:rPr>
          <w:rFonts w:ascii="宋体" w:eastAsia="宋体" w:hAnsi="宋体" w:cs="宋体" w:hint="eastAsia"/>
          <w:sz w:val="24"/>
          <w:szCs w:val="24"/>
        </w:rPr>
        <w:t>3. 情感、态度、价值观类目标：树立正确练习瑜伽的理念，理解教学中细心、耐心的重要性。</w:t>
      </w:r>
    </w:p>
    <w:p w14:paraId="1200DB75" w14:textId="77777777" w:rsidR="000B25E0" w:rsidRPr="000B25E0" w:rsidRDefault="000B25E0" w:rsidP="000B25E0">
      <w:pPr>
        <w:spacing w:line="440" w:lineRule="exact"/>
        <w:ind w:firstLineChars="200" w:firstLine="482"/>
        <w:rPr>
          <w:rFonts w:ascii="宋体" w:eastAsia="宋体" w:hAnsi="宋体" w:cs="宋体"/>
          <w:b/>
          <w:sz w:val="24"/>
          <w:szCs w:val="24"/>
        </w:rPr>
      </w:pPr>
      <w:r w:rsidRPr="000B25E0">
        <w:rPr>
          <w:rFonts w:ascii="宋体" w:eastAsia="宋体" w:hAnsi="宋体" w:cs="宋体" w:hint="eastAsia"/>
          <w:b/>
          <w:sz w:val="24"/>
          <w:szCs w:val="24"/>
        </w:rPr>
        <w:t>【课程思政】</w:t>
      </w:r>
    </w:p>
    <w:p w14:paraId="45EFDACA" w14:textId="77777777" w:rsidR="000B25E0" w:rsidRPr="000B25E0" w:rsidRDefault="000B25E0" w:rsidP="000B25E0">
      <w:pPr>
        <w:spacing w:line="440" w:lineRule="exact"/>
        <w:ind w:firstLineChars="200" w:firstLine="480"/>
        <w:rPr>
          <w:rFonts w:ascii="宋体" w:eastAsia="宋体" w:hAnsi="宋体" w:cs="宋体"/>
          <w:sz w:val="24"/>
          <w:szCs w:val="24"/>
        </w:rPr>
      </w:pPr>
      <w:r w:rsidRPr="000B25E0">
        <w:rPr>
          <w:rFonts w:ascii="宋体" w:eastAsia="宋体" w:hAnsi="宋体" w:cs="宋体" w:hint="eastAsia"/>
          <w:sz w:val="24"/>
          <w:szCs w:val="24"/>
        </w:rPr>
        <w:t>以“讲故事”的方式进行瑜伽文化熏陶、引起学生兴趣、调动学生积极性，疏导学生心理，树立健康观念。</w:t>
      </w:r>
    </w:p>
    <w:p w14:paraId="1DA95592" w14:textId="77777777" w:rsidR="000B25E0" w:rsidRPr="000B25E0" w:rsidRDefault="000B25E0" w:rsidP="000B25E0">
      <w:pPr>
        <w:spacing w:line="440" w:lineRule="exact"/>
        <w:ind w:firstLineChars="200" w:firstLine="482"/>
        <w:rPr>
          <w:rFonts w:ascii="宋体" w:eastAsia="宋体" w:hAnsi="宋体" w:cs="宋体"/>
          <w:b/>
          <w:sz w:val="24"/>
          <w:szCs w:val="24"/>
        </w:rPr>
      </w:pPr>
      <w:r w:rsidRPr="000B25E0">
        <w:rPr>
          <w:rFonts w:ascii="宋体" w:eastAsia="宋体" w:hAnsi="宋体" w:cs="宋体" w:hint="eastAsia"/>
          <w:b/>
          <w:sz w:val="24"/>
          <w:szCs w:val="24"/>
        </w:rPr>
        <w:t>【学习内容】</w:t>
      </w:r>
    </w:p>
    <w:p w14:paraId="044481E2" w14:textId="77777777" w:rsidR="000B25E0" w:rsidRPr="000B25E0" w:rsidRDefault="000B25E0" w:rsidP="000B25E0">
      <w:pPr>
        <w:spacing w:line="440" w:lineRule="exact"/>
        <w:ind w:firstLineChars="200" w:firstLine="480"/>
        <w:rPr>
          <w:rFonts w:ascii="宋体" w:eastAsia="宋体" w:hAnsi="宋体" w:cs="宋体"/>
          <w:b/>
          <w:sz w:val="24"/>
          <w:szCs w:val="24"/>
        </w:rPr>
      </w:pPr>
      <w:r w:rsidRPr="000B25E0">
        <w:rPr>
          <w:rFonts w:ascii="宋体" w:eastAsia="宋体" w:hAnsi="宋体" w:cs="宋体" w:hint="eastAsia"/>
          <w:sz w:val="24"/>
          <w:szCs w:val="24"/>
        </w:rPr>
        <w:t>1. 能够认识什么是瑜伽；</w:t>
      </w:r>
    </w:p>
    <w:p w14:paraId="53376549" w14:textId="77777777" w:rsidR="000B25E0" w:rsidRPr="000B25E0" w:rsidRDefault="000B25E0" w:rsidP="000B25E0">
      <w:pPr>
        <w:spacing w:line="440" w:lineRule="exact"/>
        <w:ind w:firstLineChars="200" w:firstLine="480"/>
        <w:rPr>
          <w:rFonts w:ascii="宋体" w:eastAsia="宋体" w:hAnsi="宋体" w:cs="宋体"/>
          <w:sz w:val="24"/>
          <w:szCs w:val="24"/>
        </w:rPr>
      </w:pPr>
      <w:r w:rsidRPr="000B25E0">
        <w:rPr>
          <w:rFonts w:ascii="宋体" w:eastAsia="宋体" w:hAnsi="宋体" w:cs="宋体" w:hint="eastAsia"/>
          <w:sz w:val="24"/>
          <w:szCs w:val="24"/>
        </w:rPr>
        <w:t>2. 能够明确瑜伽练习的功效和教学指导意义；</w:t>
      </w:r>
    </w:p>
    <w:p w14:paraId="0F35857A" w14:textId="77777777" w:rsidR="000B25E0" w:rsidRPr="000B25E0" w:rsidRDefault="000B25E0" w:rsidP="000B25E0">
      <w:pPr>
        <w:spacing w:line="440" w:lineRule="exact"/>
        <w:ind w:firstLineChars="200" w:firstLine="480"/>
        <w:rPr>
          <w:rFonts w:ascii="宋体" w:eastAsia="宋体" w:hAnsi="宋体" w:cs="宋体"/>
          <w:sz w:val="24"/>
          <w:szCs w:val="24"/>
        </w:rPr>
      </w:pPr>
      <w:r w:rsidRPr="000B25E0">
        <w:rPr>
          <w:rFonts w:ascii="宋体" w:eastAsia="宋体" w:hAnsi="宋体" w:cs="宋体" w:hint="eastAsia"/>
          <w:sz w:val="24"/>
          <w:szCs w:val="24"/>
        </w:rPr>
        <w:t>3. 知道如何正确练习瑜伽对瑜伽教师提出的更高要求；</w:t>
      </w:r>
    </w:p>
    <w:p w14:paraId="134E58A3" w14:textId="77777777" w:rsidR="000B25E0" w:rsidRPr="000B25E0" w:rsidRDefault="000B25E0" w:rsidP="000B25E0">
      <w:pPr>
        <w:spacing w:line="440" w:lineRule="exact"/>
        <w:ind w:firstLineChars="200" w:firstLine="480"/>
        <w:rPr>
          <w:rFonts w:ascii="宋体" w:eastAsia="宋体" w:hAnsi="宋体" w:cs="宋体"/>
          <w:sz w:val="24"/>
          <w:szCs w:val="24"/>
        </w:rPr>
      </w:pPr>
      <w:r w:rsidRPr="000B25E0">
        <w:rPr>
          <w:rFonts w:ascii="宋体" w:eastAsia="宋体" w:hAnsi="宋体" w:cs="宋体" w:hint="eastAsia"/>
          <w:sz w:val="24"/>
          <w:szCs w:val="24"/>
        </w:rPr>
        <w:t>4. 获得本课程的学习建议。</w:t>
      </w:r>
    </w:p>
    <w:p w14:paraId="3FAB2B59" w14:textId="77777777" w:rsidR="000B25E0" w:rsidRPr="000B25E0" w:rsidRDefault="000B25E0" w:rsidP="000B25E0">
      <w:pPr>
        <w:spacing w:line="440" w:lineRule="exact"/>
        <w:ind w:firstLineChars="200" w:firstLine="482"/>
        <w:rPr>
          <w:rFonts w:ascii="宋体" w:eastAsia="宋体" w:hAnsi="宋体" w:cs="宋体"/>
          <w:b/>
          <w:sz w:val="24"/>
          <w:szCs w:val="24"/>
        </w:rPr>
      </w:pPr>
      <w:r w:rsidRPr="000B25E0">
        <w:rPr>
          <w:rFonts w:ascii="宋体" w:eastAsia="宋体" w:hAnsi="宋体" w:cs="宋体" w:hint="eastAsia"/>
          <w:b/>
          <w:sz w:val="24"/>
          <w:szCs w:val="24"/>
        </w:rPr>
        <w:t>【重点】</w:t>
      </w:r>
    </w:p>
    <w:p w14:paraId="24AACFC6" w14:textId="77777777" w:rsidR="000B25E0" w:rsidRPr="000B25E0" w:rsidRDefault="000B25E0" w:rsidP="000B25E0">
      <w:pPr>
        <w:spacing w:line="440" w:lineRule="exact"/>
        <w:ind w:firstLineChars="200" w:firstLine="480"/>
        <w:rPr>
          <w:rFonts w:ascii="宋体" w:eastAsia="宋体" w:hAnsi="宋体" w:cs="宋体"/>
          <w:sz w:val="24"/>
          <w:szCs w:val="24"/>
        </w:rPr>
      </w:pPr>
      <w:r w:rsidRPr="000B25E0">
        <w:rPr>
          <w:rFonts w:ascii="宋体" w:eastAsia="宋体" w:hAnsi="宋体" w:cs="宋体" w:hint="eastAsia"/>
          <w:sz w:val="24"/>
          <w:szCs w:val="24"/>
        </w:rPr>
        <w:t>1. 瑜伽练习基本练习方法；</w:t>
      </w:r>
    </w:p>
    <w:p w14:paraId="47F19B9F" w14:textId="77777777" w:rsidR="000B25E0" w:rsidRPr="000B25E0" w:rsidRDefault="000B25E0" w:rsidP="000B25E0">
      <w:pPr>
        <w:spacing w:line="440" w:lineRule="exact"/>
        <w:ind w:firstLineChars="200" w:firstLine="480"/>
        <w:rPr>
          <w:rFonts w:ascii="宋体" w:eastAsia="宋体" w:hAnsi="宋体" w:cs="宋体"/>
          <w:b/>
          <w:sz w:val="24"/>
          <w:szCs w:val="24"/>
        </w:rPr>
      </w:pPr>
      <w:r w:rsidRPr="000B25E0">
        <w:rPr>
          <w:rFonts w:ascii="宋体" w:eastAsia="宋体" w:hAnsi="宋体" w:cs="宋体" w:hint="eastAsia"/>
          <w:sz w:val="24"/>
          <w:szCs w:val="24"/>
        </w:rPr>
        <w:t>2. 瑜伽练习注意事项。</w:t>
      </w:r>
    </w:p>
    <w:p w14:paraId="1AEC018C" w14:textId="77777777" w:rsidR="000B25E0" w:rsidRPr="000B25E0" w:rsidRDefault="000B25E0" w:rsidP="000B25E0">
      <w:pPr>
        <w:spacing w:line="440" w:lineRule="exact"/>
        <w:ind w:firstLineChars="200" w:firstLine="482"/>
        <w:rPr>
          <w:rFonts w:ascii="宋体" w:eastAsia="宋体" w:hAnsi="宋体" w:cs="宋体"/>
          <w:b/>
          <w:sz w:val="24"/>
          <w:szCs w:val="24"/>
        </w:rPr>
      </w:pPr>
      <w:r w:rsidRPr="000B25E0">
        <w:rPr>
          <w:rFonts w:ascii="宋体" w:eastAsia="宋体" w:hAnsi="宋体" w:cs="宋体" w:hint="eastAsia"/>
          <w:b/>
          <w:sz w:val="24"/>
          <w:szCs w:val="24"/>
        </w:rPr>
        <w:t>【难点】</w:t>
      </w:r>
    </w:p>
    <w:p w14:paraId="6B042914" w14:textId="77777777" w:rsidR="000B25E0" w:rsidRPr="000B25E0" w:rsidRDefault="000B25E0" w:rsidP="000B25E0">
      <w:pPr>
        <w:spacing w:line="440" w:lineRule="exact"/>
        <w:ind w:firstLineChars="200" w:firstLine="480"/>
        <w:rPr>
          <w:rFonts w:ascii="宋体" w:eastAsia="宋体" w:hAnsi="宋体" w:cs="宋体"/>
          <w:b/>
          <w:sz w:val="24"/>
          <w:szCs w:val="24"/>
        </w:rPr>
      </w:pPr>
      <w:r w:rsidRPr="000B25E0">
        <w:rPr>
          <w:rFonts w:ascii="宋体" w:eastAsia="宋体" w:hAnsi="宋体" w:cs="宋体" w:hint="eastAsia"/>
          <w:sz w:val="24"/>
          <w:szCs w:val="24"/>
        </w:rPr>
        <w:t>1. 瑜伽练习功效；</w:t>
      </w:r>
    </w:p>
    <w:p w14:paraId="19A8E093" w14:textId="77777777" w:rsidR="000B25E0" w:rsidRPr="000B25E0" w:rsidRDefault="000B25E0" w:rsidP="000B25E0">
      <w:pPr>
        <w:spacing w:line="440" w:lineRule="exact"/>
        <w:ind w:firstLineChars="200" w:firstLine="480"/>
        <w:rPr>
          <w:rFonts w:ascii="宋体" w:eastAsia="宋体" w:hAnsi="宋体" w:cs="宋体"/>
          <w:sz w:val="24"/>
          <w:szCs w:val="24"/>
        </w:rPr>
      </w:pPr>
      <w:r w:rsidRPr="000B25E0">
        <w:rPr>
          <w:rFonts w:ascii="宋体" w:eastAsia="宋体" w:hAnsi="宋体" w:cs="宋体" w:hint="eastAsia"/>
          <w:sz w:val="24"/>
          <w:szCs w:val="24"/>
        </w:rPr>
        <w:t>2. 瑜伽练习的注意事项。</w:t>
      </w:r>
    </w:p>
    <w:p w14:paraId="7EBC2810" w14:textId="77777777" w:rsidR="000B25E0" w:rsidRPr="000B25E0" w:rsidRDefault="000B25E0" w:rsidP="000B25E0">
      <w:pPr>
        <w:spacing w:line="440" w:lineRule="exact"/>
        <w:ind w:firstLineChars="200" w:firstLine="482"/>
        <w:rPr>
          <w:rFonts w:ascii="宋体" w:eastAsia="宋体" w:hAnsi="宋体" w:cs="宋体"/>
          <w:sz w:val="24"/>
          <w:szCs w:val="24"/>
        </w:rPr>
      </w:pPr>
      <w:r w:rsidRPr="000B25E0">
        <w:rPr>
          <w:rFonts w:ascii="宋体" w:eastAsia="宋体" w:hAnsi="宋体" w:cs="宋体" w:hint="eastAsia"/>
          <w:b/>
          <w:bCs/>
          <w:sz w:val="24"/>
          <w:szCs w:val="24"/>
        </w:rPr>
        <w:t>【教学方法】</w:t>
      </w:r>
    </w:p>
    <w:p w14:paraId="1359E4A7" w14:textId="77777777" w:rsidR="000B25E0" w:rsidRPr="000B25E0" w:rsidRDefault="000B25E0" w:rsidP="000B25E0">
      <w:pPr>
        <w:spacing w:line="440" w:lineRule="exact"/>
        <w:ind w:firstLineChars="200" w:firstLine="480"/>
        <w:rPr>
          <w:rFonts w:ascii="宋体" w:eastAsia="宋体" w:hAnsi="宋体" w:cs="宋体"/>
          <w:sz w:val="24"/>
          <w:szCs w:val="24"/>
        </w:rPr>
      </w:pPr>
      <w:r w:rsidRPr="000B25E0">
        <w:rPr>
          <w:rFonts w:ascii="宋体" w:eastAsia="宋体" w:hAnsi="宋体" w:cs="宋体" w:hint="eastAsia"/>
          <w:sz w:val="24"/>
          <w:szCs w:val="24"/>
        </w:rPr>
        <w:t>1. 通过多媒体课件和传统教学相结合，阐明瑜伽课程与教学基本原理，丰富学生课程与教学的基本知识结构，培养学生的职业规范；</w:t>
      </w:r>
    </w:p>
    <w:p w14:paraId="7AA59170" w14:textId="77777777" w:rsidR="000B25E0" w:rsidRPr="000B25E0" w:rsidRDefault="000B25E0" w:rsidP="000B25E0">
      <w:pPr>
        <w:spacing w:line="440" w:lineRule="exact"/>
        <w:ind w:firstLineChars="200" w:firstLine="480"/>
        <w:rPr>
          <w:rFonts w:ascii="宋体" w:eastAsia="宋体" w:hAnsi="宋体" w:cs="宋体"/>
          <w:sz w:val="24"/>
          <w:szCs w:val="24"/>
        </w:rPr>
      </w:pPr>
      <w:r w:rsidRPr="000B25E0">
        <w:rPr>
          <w:rFonts w:ascii="宋体" w:eastAsia="宋体" w:hAnsi="宋体" w:cs="宋体" w:hint="eastAsia"/>
          <w:sz w:val="24"/>
          <w:szCs w:val="24"/>
        </w:rPr>
        <w:t>2. 通过案例分析，强调理论与实践相结合，促进学生知识整合，培养学生的反</w:t>
      </w:r>
      <w:r w:rsidRPr="000B25E0">
        <w:rPr>
          <w:rFonts w:ascii="宋体" w:eastAsia="宋体" w:hAnsi="宋体" w:cs="宋体" w:hint="eastAsia"/>
          <w:sz w:val="24"/>
          <w:szCs w:val="24"/>
        </w:rPr>
        <w:lastRenderedPageBreak/>
        <w:t>思能力。</w:t>
      </w:r>
    </w:p>
    <w:p w14:paraId="3CC96D6C" w14:textId="77777777" w:rsidR="000B25E0" w:rsidRPr="000B25E0" w:rsidRDefault="000B25E0" w:rsidP="000B25E0">
      <w:pPr>
        <w:spacing w:line="440" w:lineRule="exact"/>
        <w:ind w:firstLineChars="200" w:firstLine="482"/>
        <w:rPr>
          <w:rFonts w:ascii="宋体" w:eastAsia="宋体" w:hAnsi="宋体" w:cs="宋体"/>
          <w:bCs/>
          <w:sz w:val="24"/>
          <w:szCs w:val="24"/>
        </w:rPr>
      </w:pPr>
      <w:r w:rsidRPr="000B25E0">
        <w:rPr>
          <w:rFonts w:ascii="宋体" w:eastAsia="宋体" w:hAnsi="宋体" w:cs="宋体" w:hint="eastAsia"/>
          <w:b/>
          <w:sz w:val="24"/>
          <w:szCs w:val="24"/>
        </w:rPr>
        <w:t>【复习思考】</w:t>
      </w:r>
    </w:p>
    <w:p w14:paraId="1677AC44" w14:textId="77777777" w:rsidR="000B25E0" w:rsidRPr="000B25E0" w:rsidRDefault="000B25E0" w:rsidP="000B25E0">
      <w:pPr>
        <w:spacing w:line="440" w:lineRule="exact"/>
        <w:ind w:firstLineChars="200" w:firstLine="480"/>
        <w:rPr>
          <w:rFonts w:ascii="宋体" w:eastAsia="宋体" w:hAnsi="宋体" w:cs="宋体"/>
          <w:sz w:val="24"/>
          <w:szCs w:val="24"/>
        </w:rPr>
      </w:pPr>
      <w:r w:rsidRPr="000B25E0">
        <w:rPr>
          <w:rFonts w:ascii="宋体" w:eastAsia="宋体" w:hAnsi="宋体" w:cs="宋体" w:hint="eastAsia"/>
          <w:sz w:val="24"/>
          <w:szCs w:val="24"/>
        </w:rPr>
        <w:t>1. 瑜伽练习基本要求；</w:t>
      </w:r>
    </w:p>
    <w:p w14:paraId="081872FD" w14:textId="77777777" w:rsidR="000B25E0" w:rsidRPr="000B25E0" w:rsidRDefault="000B25E0" w:rsidP="000B25E0">
      <w:pPr>
        <w:spacing w:line="440" w:lineRule="exact"/>
        <w:ind w:firstLineChars="200" w:firstLine="480"/>
        <w:rPr>
          <w:rFonts w:ascii="宋体" w:eastAsia="宋体" w:hAnsi="宋体" w:cs="宋体"/>
          <w:sz w:val="24"/>
          <w:szCs w:val="24"/>
        </w:rPr>
      </w:pPr>
      <w:r w:rsidRPr="000B25E0">
        <w:rPr>
          <w:rFonts w:ascii="宋体" w:eastAsia="宋体" w:hAnsi="宋体" w:cs="宋体" w:hint="eastAsia"/>
          <w:sz w:val="24"/>
          <w:szCs w:val="24"/>
        </w:rPr>
        <w:t>2. 瑜伽练习的注意事项。</w:t>
      </w:r>
    </w:p>
    <w:p w14:paraId="2D0015EC" w14:textId="77777777" w:rsidR="000B25E0" w:rsidRPr="000B25E0" w:rsidRDefault="000B25E0" w:rsidP="000B25E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0B25E0">
        <w:rPr>
          <w:rFonts w:ascii="Times New Roman" w:eastAsia="黑体" w:hAnsi="Times New Roman" w:cs="Times New Roman"/>
          <w:sz w:val="28"/>
          <w:szCs w:val="28"/>
        </w:rPr>
        <w:t>第二章</w:t>
      </w:r>
      <w:r w:rsidRPr="000B25E0">
        <w:rPr>
          <w:rFonts w:ascii="Times New Roman" w:eastAsia="黑体" w:hAnsi="Times New Roman" w:cs="Times New Roman"/>
          <w:sz w:val="28"/>
          <w:szCs w:val="28"/>
        </w:rPr>
        <w:t xml:space="preserve">  </w:t>
      </w:r>
      <w:r w:rsidRPr="000B25E0">
        <w:rPr>
          <w:rFonts w:ascii="Times New Roman" w:eastAsia="黑体" w:hAnsi="Times New Roman" w:cs="Times New Roman"/>
          <w:sz w:val="28"/>
          <w:szCs w:val="28"/>
        </w:rPr>
        <w:t>瑜伽呼吸法（</w:t>
      </w:r>
      <w:r w:rsidRPr="000B25E0">
        <w:rPr>
          <w:rFonts w:ascii="Times New Roman" w:eastAsia="黑体" w:hAnsi="Times New Roman" w:cs="Times New Roman"/>
          <w:sz w:val="28"/>
          <w:szCs w:val="28"/>
        </w:rPr>
        <w:t>2</w:t>
      </w:r>
      <w:r w:rsidRPr="000B25E0">
        <w:rPr>
          <w:rFonts w:ascii="Times New Roman" w:eastAsia="黑体" w:hAnsi="Times New Roman" w:cs="Times New Roman"/>
          <w:sz w:val="28"/>
          <w:szCs w:val="28"/>
        </w:rPr>
        <w:t>学时）</w:t>
      </w:r>
    </w:p>
    <w:p w14:paraId="7755D98B"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【学习目标】</w:t>
      </w:r>
    </w:p>
    <w:p w14:paraId="3387AF65"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认知类目标：</w:t>
      </w:r>
      <w:r w:rsidRPr="000B25E0">
        <w:rPr>
          <w:rFonts w:ascii="Times New Roman" w:eastAsia="宋体" w:hAnsi="Times New Roman" w:cs="Times New Roman"/>
          <w:kern w:val="0"/>
          <w:sz w:val="24"/>
        </w:rPr>
        <w:t>了</w:t>
      </w:r>
      <w:r w:rsidRPr="000B25E0">
        <w:rPr>
          <w:rFonts w:ascii="Times New Roman" w:eastAsia="宋体" w:hAnsi="Times New Roman" w:cs="Times New Roman"/>
          <w:sz w:val="24"/>
        </w:rPr>
        <w:t>解瑜伽呼吸法的益处，掌握瑜伽呼吸法的内容；</w:t>
      </w:r>
    </w:p>
    <w:p w14:paraId="77607FF1"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2. </w:t>
      </w:r>
      <w:r w:rsidRPr="000B25E0">
        <w:rPr>
          <w:rFonts w:ascii="Times New Roman" w:eastAsia="宋体" w:hAnsi="Times New Roman" w:cs="Times New Roman"/>
          <w:sz w:val="24"/>
        </w:rPr>
        <w:t>过程与方法类目标：掌握瑜伽呼吸的基本方法；</w:t>
      </w:r>
    </w:p>
    <w:p w14:paraId="4C1940FA"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3. </w:t>
      </w:r>
      <w:r w:rsidRPr="000B25E0">
        <w:rPr>
          <w:rFonts w:ascii="Times New Roman" w:eastAsia="宋体" w:hAnsi="Times New Roman" w:cs="Times New Roman"/>
          <w:sz w:val="24"/>
        </w:rPr>
        <w:t>情感、态度、价值观类目标：具备可以进行全面呼吸并运用于体式练习中的能力，理解教学中正确呼吸的重要性。</w:t>
      </w:r>
    </w:p>
    <w:p w14:paraId="7FDE9D8B"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【学习内容】</w:t>
      </w:r>
    </w:p>
    <w:p w14:paraId="1A4EDED3" w14:textId="77777777" w:rsidR="000B25E0" w:rsidRPr="000B25E0" w:rsidRDefault="000B25E0" w:rsidP="000B25E0">
      <w:pPr>
        <w:spacing w:line="440" w:lineRule="exact"/>
        <w:ind w:firstLineChars="200" w:firstLine="480"/>
        <w:rPr>
          <w:rFonts w:ascii="Times New Roman" w:eastAsia="宋体" w:hAnsi="Times New Roman" w:cs="Times New Roman"/>
          <w:b/>
          <w:sz w:val="24"/>
        </w:rPr>
      </w:pPr>
      <w:r w:rsidRPr="000B25E0">
        <w:rPr>
          <w:rFonts w:ascii="Times New Roman" w:eastAsia="宋体" w:hAnsi="Times New Roman" w:cs="Times New Roman"/>
          <w:sz w:val="24"/>
        </w:rPr>
        <w:t>1.</w:t>
      </w:r>
      <w:r w:rsidRPr="000B25E0">
        <w:rPr>
          <w:rFonts w:ascii="Times New Roman" w:eastAsia="宋体" w:hAnsi="Times New Roman" w:cs="Times New Roman"/>
        </w:rPr>
        <w:t xml:space="preserve"> </w:t>
      </w:r>
      <w:r w:rsidRPr="000B25E0">
        <w:rPr>
          <w:rFonts w:ascii="Times New Roman" w:eastAsia="宋体" w:hAnsi="Times New Roman" w:cs="Times New Roman"/>
          <w:sz w:val="24"/>
        </w:rPr>
        <w:t>能够认识什么是完全式呼吸；</w:t>
      </w:r>
    </w:p>
    <w:p w14:paraId="5EC70BE8"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2.</w:t>
      </w:r>
      <w:r w:rsidRPr="000B25E0">
        <w:rPr>
          <w:rFonts w:ascii="Times New Roman" w:eastAsia="宋体" w:hAnsi="Times New Roman" w:cs="Times New Roman"/>
        </w:rPr>
        <w:t xml:space="preserve"> </w:t>
      </w:r>
      <w:r w:rsidRPr="000B25E0">
        <w:rPr>
          <w:rFonts w:ascii="Times New Roman" w:eastAsia="宋体" w:hAnsi="Times New Roman" w:cs="Times New Roman"/>
          <w:sz w:val="24"/>
        </w:rPr>
        <w:t>能够明确瑜伽呼吸的内容、功效和教学指导意义；</w:t>
      </w:r>
    </w:p>
    <w:p w14:paraId="1520B985"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3.</w:t>
      </w:r>
      <w:r w:rsidRPr="000B25E0">
        <w:rPr>
          <w:rFonts w:ascii="Times New Roman" w:eastAsia="宋体" w:hAnsi="Times New Roman" w:cs="Times New Roman"/>
        </w:rPr>
        <w:t xml:space="preserve"> </w:t>
      </w:r>
      <w:r w:rsidRPr="000B25E0">
        <w:rPr>
          <w:rFonts w:ascii="Times New Roman" w:eastAsia="宋体" w:hAnsi="Times New Roman" w:cs="Times New Roman"/>
          <w:sz w:val="24"/>
        </w:rPr>
        <w:t>知道如何正确练习瑜伽呼吸。</w:t>
      </w:r>
    </w:p>
    <w:p w14:paraId="2379EEEC"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【重点】</w:t>
      </w:r>
    </w:p>
    <w:p w14:paraId="17CF91C7"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瑜伽呼吸法的内容</w:t>
      </w:r>
      <w:r w:rsidRPr="000B25E0">
        <w:rPr>
          <w:rFonts w:ascii="Times New Roman" w:eastAsia="宋体" w:hAnsi="Times New Roman" w:cs="Times New Roman" w:hint="eastAsia"/>
          <w:sz w:val="24"/>
        </w:rPr>
        <w:t>。</w:t>
      </w:r>
    </w:p>
    <w:p w14:paraId="1118420F"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【难点】</w:t>
      </w:r>
    </w:p>
    <w:p w14:paraId="6AAAE6DA"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瑜伽呼吸法的相互转换</w:t>
      </w:r>
      <w:r w:rsidRPr="000B25E0">
        <w:rPr>
          <w:rFonts w:ascii="Times New Roman" w:eastAsia="宋体" w:hAnsi="Times New Roman" w:cs="Times New Roman" w:hint="eastAsia"/>
          <w:sz w:val="24"/>
        </w:rPr>
        <w:t>。</w:t>
      </w:r>
    </w:p>
    <w:p w14:paraId="39673C3F" w14:textId="77777777" w:rsidR="000B25E0" w:rsidRPr="000B25E0" w:rsidRDefault="000B25E0" w:rsidP="000B25E0">
      <w:pPr>
        <w:spacing w:line="440" w:lineRule="exact"/>
        <w:ind w:firstLineChars="200" w:firstLine="482"/>
        <w:rPr>
          <w:rFonts w:ascii="Times New Roman" w:eastAsia="宋体" w:hAnsi="Times New Roman" w:cs="Times New Roman"/>
          <w:sz w:val="24"/>
        </w:rPr>
      </w:pPr>
      <w:r w:rsidRPr="000B25E0">
        <w:rPr>
          <w:rFonts w:ascii="Times New Roman" w:eastAsia="宋体" w:hAnsi="Times New Roman" w:cs="Times New Roman"/>
          <w:b/>
          <w:bCs/>
          <w:sz w:val="24"/>
        </w:rPr>
        <w:t>【教学方法】</w:t>
      </w:r>
    </w:p>
    <w:p w14:paraId="487F0AD0"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通过多媒体课件和传统教学相结合，阐明瑜伽呼吸法基本内容，丰富学生课程与教学的基本知识结构，培养学生的职业规范；</w:t>
      </w:r>
    </w:p>
    <w:p w14:paraId="4CCEA3CE"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2. </w:t>
      </w:r>
      <w:r w:rsidRPr="000B25E0">
        <w:rPr>
          <w:rFonts w:ascii="Times New Roman" w:eastAsia="宋体" w:hAnsi="Times New Roman" w:cs="Times New Roman"/>
          <w:sz w:val="24"/>
        </w:rPr>
        <w:t>通过案例分析，强调理论与实践相结合，促进学生知识整合，培养学生的反思能力。</w:t>
      </w:r>
    </w:p>
    <w:p w14:paraId="2E6EF24D" w14:textId="77777777" w:rsidR="000B25E0" w:rsidRPr="000B25E0" w:rsidRDefault="000B25E0" w:rsidP="000B25E0">
      <w:pPr>
        <w:spacing w:line="440" w:lineRule="exact"/>
        <w:ind w:firstLineChars="200" w:firstLine="482"/>
        <w:rPr>
          <w:rFonts w:ascii="Times New Roman" w:eastAsia="宋体" w:hAnsi="Times New Roman" w:cs="Times New Roman"/>
          <w:bCs/>
          <w:sz w:val="24"/>
        </w:rPr>
      </w:pPr>
      <w:r w:rsidRPr="000B25E0">
        <w:rPr>
          <w:rFonts w:ascii="Times New Roman" w:eastAsia="宋体" w:hAnsi="Times New Roman" w:cs="Times New Roman"/>
          <w:b/>
          <w:sz w:val="24"/>
        </w:rPr>
        <w:t>【复习思考】</w:t>
      </w:r>
    </w:p>
    <w:p w14:paraId="71522CFE"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腹式呼吸法动作要点</w:t>
      </w:r>
      <w:r w:rsidRPr="000B25E0">
        <w:rPr>
          <w:rFonts w:ascii="Times New Roman" w:eastAsia="宋体" w:hAnsi="Times New Roman" w:cs="Times New Roman" w:hint="eastAsia"/>
          <w:sz w:val="24"/>
        </w:rPr>
        <w:t>。</w:t>
      </w:r>
    </w:p>
    <w:p w14:paraId="7894EEE0" w14:textId="77777777" w:rsidR="000B25E0" w:rsidRPr="000B25E0" w:rsidRDefault="000B25E0" w:rsidP="000B25E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0B25E0">
        <w:rPr>
          <w:rFonts w:ascii="Times New Roman" w:eastAsia="黑体" w:hAnsi="Times New Roman" w:cs="Times New Roman"/>
          <w:sz w:val="28"/>
          <w:szCs w:val="28"/>
        </w:rPr>
        <w:t>第三章</w:t>
      </w:r>
      <w:r w:rsidRPr="000B25E0">
        <w:rPr>
          <w:rFonts w:ascii="Times New Roman" w:eastAsia="黑体" w:hAnsi="Times New Roman" w:cs="Times New Roman"/>
          <w:sz w:val="28"/>
          <w:szCs w:val="28"/>
        </w:rPr>
        <w:t xml:space="preserve">  </w:t>
      </w:r>
      <w:r w:rsidRPr="000B25E0">
        <w:rPr>
          <w:rFonts w:ascii="Times New Roman" w:eastAsia="黑体" w:hAnsi="Times New Roman" w:cs="Times New Roman"/>
          <w:sz w:val="28"/>
          <w:szCs w:val="28"/>
        </w:rPr>
        <w:t>瑜伽坐姿和放松术（</w:t>
      </w:r>
      <w:r w:rsidRPr="000B25E0">
        <w:rPr>
          <w:rFonts w:ascii="Times New Roman" w:eastAsia="黑体" w:hAnsi="Times New Roman" w:cs="Times New Roman"/>
          <w:sz w:val="28"/>
          <w:szCs w:val="28"/>
        </w:rPr>
        <w:t>2</w:t>
      </w:r>
      <w:r w:rsidRPr="000B25E0">
        <w:rPr>
          <w:rFonts w:ascii="Times New Roman" w:eastAsia="黑体" w:hAnsi="Times New Roman" w:cs="Times New Roman"/>
          <w:sz w:val="28"/>
          <w:szCs w:val="28"/>
        </w:rPr>
        <w:t>学时）</w:t>
      </w:r>
    </w:p>
    <w:p w14:paraId="049D0914"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【学习目标】</w:t>
      </w:r>
    </w:p>
    <w:p w14:paraId="177207EE"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认知类目标：学习瑜伽动作的基础</w:t>
      </w:r>
      <w:r w:rsidRPr="000B25E0">
        <w:rPr>
          <w:rFonts w:ascii="Times New Roman" w:eastAsia="宋体" w:hAnsi="Times New Roman" w:cs="Times New Roman"/>
          <w:sz w:val="24"/>
        </w:rPr>
        <w:t>——</w:t>
      </w:r>
      <w:r w:rsidRPr="000B25E0">
        <w:rPr>
          <w:rFonts w:ascii="Times New Roman" w:eastAsia="宋体" w:hAnsi="Times New Roman" w:cs="Times New Roman"/>
          <w:sz w:val="24"/>
        </w:rPr>
        <w:t>基本坐姿，初步了解瑜伽放松术；</w:t>
      </w:r>
    </w:p>
    <w:p w14:paraId="0CA6E9C4"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2. </w:t>
      </w:r>
      <w:r w:rsidRPr="000B25E0">
        <w:rPr>
          <w:rFonts w:ascii="Times New Roman" w:eastAsia="宋体" w:hAnsi="Times New Roman" w:cs="Times New Roman"/>
          <w:sz w:val="24"/>
        </w:rPr>
        <w:t>过程与方法类目标：掌握瑜伽放松术的基本方法；</w:t>
      </w:r>
    </w:p>
    <w:p w14:paraId="7A62AF6F"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lastRenderedPageBreak/>
        <w:t xml:space="preserve">3. </w:t>
      </w:r>
      <w:r w:rsidRPr="000B25E0">
        <w:rPr>
          <w:rFonts w:ascii="Times New Roman" w:eastAsia="宋体" w:hAnsi="Times New Roman" w:cs="Times New Roman"/>
          <w:sz w:val="24"/>
        </w:rPr>
        <w:t>情感、态度、价值观类目标：树立正确练习瑜伽的理念。</w:t>
      </w:r>
    </w:p>
    <w:p w14:paraId="36F12E1C"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w:t>
      </w:r>
      <w:r w:rsidRPr="000B25E0">
        <w:rPr>
          <w:rFonts w:ascii="Times New Roman" w:eastAsia="宋体" w:hAnsi="Times New Roman" w:cs="Times New Roman" w:hint="eastAsia"/>
          <w:b/>
          <w:sz w:val="24"/>
        </w:rPr>
        <w:t>课程思政</w:t>
      </w:r>
      <w:r w:rsidRPr="000B25E0">
        <w:rPr>
          <w:rFonts w:ascii="Times New Roman" w:eastAsia="宋体" w:hAnsi="Times New Roman" w:cs="Times New Roman"/>
          <w:b/>
          <w:sz w:val="24"/>
        </w:rPr>
        <w:t>】</w:t>
      </w:r>
    </w:p>
    <w:p w14:paraId="5D82BA84"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宋体" w:eastAsia="宋体" w:hAnsi="宋体" w:cs="宋体" w:hint="eastAsia"/>
          <w:sz w:val="24"/>
          <w:szCs w:val="24"/>
        </w:rPr>
        <w:t>在瑜伽坐姿中进行美育教育，提高学生自信息，瑜伽放松</w:t>
      </w:r>
      <w:proofErr w:type="gramStart"/>
      <w:r w:rsidRPr="000B25E0">
        <w:rPr>
          <w:rFonts w:ascii="宋体" w:eastAsia="宋体" w:hAnsi="宋体" w:cs="宋体" w:hint="eastAsia"/>
          <w:sz w:val="24"/>
          <w:szCs w:val="24"/>
        </w:rPr>
        <w:t>术</w:t>
      </w:r>
      <w:r w:rsidRPr="000B25E0">
        <w:rPr>
          <w:rFonts w:ascii="宋体" w:eastAsia="宋体" w:hAnsi="宋体" w:cs="宋体"/>
          <w:sz w:val="24"/>
          <w:szCs w:val="24"/>
        </w:rPr>
        <w:t>关注</w:t>
      </w:r>
      <w:proofErr w:type="gramEnd"/>
      <w:r w:rsidRPr="000B25E0">
        <w:rPr>
          <w:rFonts w:ascii="宋体" w:eastAsia="宋体" w:hAnsi="宋体" w:cs="宋体"/>
          <w:sz w:val="24"/>
          <w:szCs w:val="24"/>
        </w:rPr>
        <w:t>身体的每个细节，净化大脑杂乱无章的意识，提高专注度</w:t>
      </w:r>
      <w:r w:rsidRPr="000B25E0">
        <w:rPr>
          <w:rFonts w:ascii="宋体" w:eastAsia="宋体" w:hAnsi="宋体" w:cs="宋体" w:hint="eastAsia"/>
          <w:sz w:val="24"/>
          <w:szCs w:val="24"/>
        </w:rPr>
        <w:t>，缓解学生焦虑和压力。</w:t>
      </w:r>
    </w:p>
    <w:p w14:paraId="7B3A4BB1"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【学习内容】</w:t>
      </w:r>
    </w:p>
    <w:p w14:paraId="0676BB2B" w14:textId="77777777" w:rsidR="000B25E0" w:rsidRPr="000B25E0" w:rsidRDefault="000B25E0" w:rsidP="000B25E0">
      <w:pPr>
        <w:spacing w:line="440" w:lineRule="exact"/>
        <w:ind w:firstLineChars="200" w:firstLine="480"/>
        <w:rPr>
          <w:rFonts w:ascii="Times New Roman" w:eastAsia="宋体" w:hAnsi="Times New Roman" w:cs="Times New Roman"/>
          <w:b/>
          <w:sz w:val="24"/>
        </w:rPr>
      </w:pPr>
      <w:r w:rsidRPr="000B25E0">
        <w:rPr>
          <w:rFonts w:ascii="Times New Roman" w:eastAsia="宋体" w:hAnsi="Times New Roman" w:cs="Times New Roman"/>
          <w:sz w:val="24"/>
        </w:rPr>
        <w:t>1.</w:t>
      </w:r>
      <w:r w:rsidRPr="000B25E0">
        <w:rPr>
          <w:rFonts w:ascii="Times New Roman" w:eastAsia="宋体" w:hAnsi="Times New Roman" w:cs="Times New Roman"/>
        </w:rPr>
        <w:t xml:space="preserve"> </w:t>
      </w:r>
      <w:r w:rsidRPr="000B25E0">
        <w:rPr>
          <w:rFonts w:ascii="Times New Roman" w:eastAsia="宋体" w:hAnsi="Times New Roman" w:cs="Times New Roman"/>
          <w:sz w:val="24"/>
        </w:rPr>
        <w:t>能够明确瑜伽的不同坐姿类型及相应内容；</w:t>
      </w:r>
    </w:p>
    <w:p w14:paraId="13F70976"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2.</w:t>
      </w:r>
      <w:r w:rsidRPr="000B25E0">
        <w:rPr>
          <w:rFonts w:ascii="Times New Roman" w:eastAsia="宋体" w:hAnsi="Times New Roman" w:cs="Times New Roman"/>
        </w:rPr>
        <w:t xml:space="preserve"> </w:t>
      </w:r>
      <w:r w:rsidRPr="000B25E0">
        <w:rPr>
          <w:rFonts w:ascii="Times New Roman" w:eastAsia="宋体" w:hAnsi="Times New Roman" w:cs="Times New Roman"/>
          <w:sz w:val="24"/>
        </w:rPr>
        <w:t>能够明确瑜伽放松术的功效和教学指导意义；</w:t>
      </w:r>
    </w:p>
    <w:p w14:paraId="0732A71F"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3.</w:t>
      </w:r>
      <w:r w:rsidRPr="000B25E0">
        <w:rPr>
          <w:rFonts w:ascii="Times New Roman" w:eastAsia="宋体" w:hAnsi="Times New Roman" w:cs="Times New Roman"/>
        </w:rPr>
        <w:t xml:space="preserve"> </w:t>
      </w:r>
      <w:r w:rsidRPr="000B25E0">
        <w:rPr>
          <w:rFonts w:ascii="Times New Roman" w:eastAsia="宋体" w:hAnsi="Times New Roman" w:cs="Times New Roman"/>
          <w:sz w:val="24"/>
        </w:rPr>
        <w:t>知道如何正确练习瑜伽放松术。</w:t>
      </w:r>
    </w:p>
    <w:p w14:paraId="3D420D07"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【重点】</w:t>
      </w:r>
    </w:p>
    <w:p w14:paraId="29FAAB4C"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瑜伽坐姿和放松术</w:t>
      </w:r>
      <w:r w:rsidRPr="000B25E0">
        <w:rPr>
          <w:rFonts w:ascii="Times New Roman" w:eastAsia="宋体" w:hAnsi="Times New Roman" w:cs="Times New Roman" w:hint="eastAsia"/>
          <w:sz w:val="24"/>
        </w:rPr>
        <w:t>。</w:t>
      </w:r>
    </w:p>
    <w:p w14:paraId="108A4FB7"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【难点】</w:t>
      </w:r>
    </w:p>
    <w:p w14:paraId="2520CF70"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瑜伽坐姿</w:t>
      </w:r>
      <w:r w:rsidRPr="000B25E0">
        <w:rPr>
          <w:rFonts w:ascii="Times New Roman" w:eastAsia="宋体" w:hAnsi="Times New Roman" w:cs="Times New Roman" w:hint="eastAsia"/>
          <w:sz w:val="24"/>
        </w:rPr>
        <w:t>。</w:t>
      </w:r>
    </w:p>
    <w:p w14:paraId="76C2B8C0" w14:textId="77777777" w:rsidR="000B25E0" w:rsidRPr="000B25E0" w:rsidRDefault="000B25E0" w:rsidP="000B25E0">
      <w:pPr>
        <w:spacing w:line="440" w:lineRule="exact"/>
        <w:ind w:firstLineChars="200" w:firstLine="482"/>
        <w:rPr>
          <w:rFonts w:ascii="Times New Roman" w:eastAsia="宋体" w:hAnsi="Times New Roman" w:cs="Times New Roman"/>
          <w:sz w:val="24"/>
        </w:rPr>
      </w:pPr>
      <w:r w:rsidRPr="000B25E0">
        <w:rPr>
          <w:rFonts w:ascii="Times New Roman" w:eastAsia="宋体" w:hAnsi="Times New Roman" w:cs="Times New Roman"/>
          <w:b/>
          <w:bCs/>
          <w:sz w:val="24"/>
        </w:rPr>
        <w:t>【教学方法】</w:t>
      </w:r>
    </w:p>
    <w:p w14:paraId="27369F61"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通过多媒体课件和传统教学相结合，阐明瑜伽坐姿和放松术的基本内容，丰富学生课程与教学的基本知识结构，培养学生的职业规范；</w:t>
      </w:r>
    </w:p>
    <w:p w14:paraId="758D0901"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2. </w:t>
      </w:r>
      <w:r w:rsidRPr="000B25E0">
        <w:rPr>
          <w:rFonts w:ascii="Times New Roman" w:eastAsia="宋体" w:hAnsi="Times New Roman" w:cs="Times New Roman"/>
          <w:sz w:val="24"/>
        </w:rPr>
        <w:t>通过案例分析，强调理论与实践相结合，促进学生知识整合，培养学生的反思能力。</w:t>
      </w:r>
    </w:p>
    <w:p w14:paraId="3E9F511E" w14:textId="77777777" w:rsidR="000B25E0" w:rsidRPr="000B25E0" w:rsidRDefault="000B25E0" w:rsidP="000B25E0">
      <w:pPr>
        <w:spacing w:line="440" w:lineRule="exact"/>
        <w:ind w:firstLineChars="200" w:firstLine="482"/>
        <w:rPr>
          <w:rFonts w:ascii="Times New Roman" w:eastAsia="宋体" w:hAnsi="Times New Roman" w:cs="Times New Roman"/>
          <w:bCs/>
          <w:sz w:val="24"/>
        </w:rPr>
      </w:pPr>
      <w:r w:rsidRPr="000B25E0">
        <w:rPr>
          <w:rFonts w:ascii="Times New Roman" w:eastAsia="宋体" w:hAnsi="Times New Roman" w:cs="Times New Roman"/>
          <w:b/>
          <w:sz w:val="24"/>
        </w:rPr>
        <w:t>【复习思考】</w:t>
      </w:r>
    </w:p>
    <w:p w14:paraId="00F7B927"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半莲花坐和莲花坐的技术要点</w:t>
      </w:r>
      <w:r w:rsidRPr="000B25E0">
        <w:rPr>
          <w:rFonts w:ascii="Times New Roman" w:eastAsia="宋体" w:hAnsi="Times New Roman" w:cs="Times New Roman" w:hint="eastAsia"/>
          <w:sz w:val="24"/>
        </w:rPr>
        <w:t>；</w:t>
      </w:r>
    </w:p>
    <w:p w14:paraId="3A86CB0F"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2. </w:t>
      </w:r>
      <w:r w:rsidRPr="000B25E0">
        <w:rPr>
          <w:rFonts w:ascii="Times New Roman" w:eastAsia="宋体" w:hAnsi="Times New Roman" w:cs="Times New Roman"/>
          <w:sz w:val="24"/>
        </w:rPr>
        <w:t>如何避免莲花坐膝关节和踝关节疼痛</w:t>
      </w:r>
      <w:r w:rsidRPr="000B25E0">
        <w:rPr>
          <w:rFonts w:ascii="Times New Roman" w:eastAsia="宋体" w:hAnsi="Times New Roman" w:cs="Times New Roman" w:hint="eastAsia"/>
          <w:sz w:val="24"/>
        </w:rPr>
        <w:t>。</w:t>
      </w:r>
    </w:p>
    <w:p w14:paraId="6028D9A3" w14:textId="77777777" w:rsidR="000B25E0" w:rsidRPr="000B25E0" w:rsidRDefault="000B25E0" w:rsidP="000B25E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0B25E0">
        <w:rPr>
          <w:rFonts w:ascii="Times New Roman" w:eastAsia="黑体" w:hAnsi="Times New Roman" w:cs="Times New Roman"/>
          <w:sz w:val="28"/>
          <w:szCs w:val="28"/>
        </w:rPr>
        <w:t>第四章</w:t>
      </w:r>
      <w:r w:rsidRPr="000B25E0">
        <w:rPr>
          <w:rFonts w:ascii="Times New Roman" w:eastAsia="黑体" w:hAnsi="Times New Roman" w:cs="Times New Roman"/>
          <w:sz w:val="28"/>
          <w:szCs w:val="28"/>
        </w:rPr>
        <w:t xml:space="preserve">  </w:t>
      </w:r>
      <w:r w:rsidRPr="000B25E0">
        <w:rPr>
          <w:rFonts w:ascii="Times New Roman" w:eastAsia="黑体" w:hAnsi="Times New Roman" w:cs="Times New Roman"/>
          <w:sz w:val="28"/>
          <w:szCs w:val="28"/>
        </w:rPr>
        <w:t>瑜伽热身法和基础体式练习（</w:t>
      </w:r>
      <w:r w:rsidRPr="000B25E0">
        <w:rPr>
          <w:rFonts w:ascii="Times New Roman" w:eastAsia="黑体" w:hAnsi="Times New Roman" w:cs="Times New Roman"/>
          <w:sz w:val="28"/>
          <w:szCs w:val="28"/>
        </w:rPr>
        <w:t>2</w:t>
      </w:r>
      <w:r w:rsidRPr="000B25E0">
        <w:rPr>
          <w:rFonts w:ascii="Times New Roman" w:eastAsia="黑体" w:hAnsi="Times New Roman" w:cs="Times New Roman" w:hint="eastAsia"/>
          <w:sz w:val="28"/>
          <w:szCs w:val="28"/>
        </w:rPr>
        <w:t>6</w:t>
      </w:r>
      <w:r w:rsidRPr="000B25E0">
        <w:rPr>
          <w:rFonts w:ascii="Times New Roman" w:eastAsia="黑体" w:hAnsi="Times New Roman" w:cs="Times New Roman"/>
          <w:sz w:val="28"/>
          <w:szCs w:val="28"/>
        </w:rPr>
        <w:t>学时）</w:t>
      </w:r>
    </w:p>
    <w:p w14:paraId="1A3229B2"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【学习目标】</w:t>
      </w:r>
    </w:p>
    <w:p w14:paraId="11763F39"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认知类目标：</w:t>
      </w:r>
      <w:r w:rsidRPr="000B25E0">
        <w:rPr>
          <w:rFonts w:ascii="Times New Roman" w:eastAsia="宋体" w:hAnsi="Times New Roman" w:cs="Times New Roman"/>
          <w:kern w:val="0"/>
          <w:sz w:val="24"/>
        </w:rPr>
        <w:t>掌握瑜伽练习的基本体式及器械使用，要求对于健身瑜伽体式级别的划分、体式动作流程和规范重点关注</w:t>
      </w:r>
      <w:r w:rsidRPr="000B25E0">
        <w:rPr>
          <w:rFonts w:ascii="Times New Roman" w:eastAsia="宋体" w:hAnsi="Times New Roman" w:cs="Times New Roman"/>
          <w:sz w:val="24"/>
        </w:rPr>
        <w:t>；</w:t>
      </w:r>
    </w:p>
    <w:p w14:paraId="006431F9"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2. </w:t>
      </w:r>
      <w:r w:rsidRPr="000B25E0">
        <w:rPr>
          <w:rFonts w:ascii="Times New Roman" w:eastAsia="宋体" w:hAnsi="Times New Roman" w:cs="Times New Roman"/>
          <w:sz w:val="24"/>
        </w:rPr>
        <w:t>过程与方法类目标：</w:t>
      </w:r>
      <w:r w:rsidRPr="000B25E0">
        <w:rPr>
          <w:rFonts w:ascii="Times New Roman" w:eastAsia="宋体" w:hAnsi="Times New Roman" w:cs="Times New Roman"/>
          <w:kern w:val="0"/>
          <w:sz w:val="24"/>
        </w:rPr>
        <w:t>了解瑜伽热身的方法</w:t>
      </w:r>
      <w:r w:rsidRPr="000B25E0">
        <w:rPr>
          <w:rFonts w:ascii="Times New Roman" w:eastAsia="宋体" w:hAnsi="Times New Roman" w:cs="Times New Roman"/>
          <w:sz w:val="24"/>
        </w:rPr>
        <w:t>；</w:t>
      </w:r>
    </w:p>
    <w:p w14:paraId="1EDDBCC8"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3. </w:t>
      </w:r>
      <w:r w:rsidRPr="000B25E0">
        <w:rPr>
          <w:rFonts w:ascii="Times New Roman" w:eastAsia="宋体" w:hAnsi="Times New Roman" w:cs="Times New Roman"/>
          <w:sz w:val="24"/>
        </w:rPr>
        <w:t>情感、态度、价值观类目标：树立正确练习瑜伽的理念。</w:t>
      </w:r>
    </w:p>
    <w:p w14:paraId="3B9FF549"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w:t>
      </w:r>
      <w:r w:rsidRPr="000B25E0">
        <w:rPr>
          <w:rFonts w:ascii="Times New Roman" w:eastAsia="宋体" w:hAnsi="Times New Roman" w:cs="Times New Roman" w:hint="eastAsia"/>
          <w:b/>
          <w:sz w:val="24"/>
        </w:rPr>
        <w:t>课程思政</w:t>
      </w:r>
      <w:r w:rsidRPr="000B25E0">
        <w:rPr>
          <w:rFonts w:ascii="Times New Roman" w:eastAsia="宋体" w:hAnsi="Times New Roman" w:cs="Times New Roman"/>
          <w:b/>
          <w:sz w:val="24"/>
        </w:rPr>
        <w:t>】</w:t>
      </w:r>
    </w:p>
    <w:p w14:paraId="0291D554" w14:textId="77777777" w:rsidR="000B25E0" w:rsidRPr="000B25E0" w:rsidRDefault="000B25E0" w:rsidP="000B25E0">
      <w:pPr>
        <w:spacing w:line="440" w:lineRule="exact"/>
        <w:ind w:firstLineChars="200" w:firstLine="480"/>
        <w:rPr>
          <w:rFonts w:ascii="Times New Roman" w:eastAsia="宋体" w:hAnsi="Times New Roman" w:cs="Times New Roman"/>
          <w:kern w:val="0"/>
          <w:sz w:val="24"/>
        </w:rPr>
      </w:pPr>
      <w:r w:rsidRPr="000B25E0">
        <w:rPr>
          <w:rFonts w:ascii="Times New Roman" w:eastAsia="宋体" w:hAnsi="Times New Roman" w:cs="Times New Roman"/>
          <w:kern w:val="0"/>
          <w:sz w:val="24"/>
        </w:rPr>
        <w:t>瑜伽练习中每个动作</w:t>
      </w:r>
      <w:proofErr w:type="gramStart"/>
      <w:r w:rsidRPr="000B25E0">
        <w:rPr>
          <w:rFonts w:ascii="Times New Roman" w:eastAsia="宋体" w:hAnsi="Times New Roman" w:cs="Times New Roman"/>
          <w:kern w:val="0"/>
          <w:sz w:val="24"/>
        </w:rPr>
        <w:t>需要觉知肌肉</w:t>
      </w:r>
      <w:proofErr w:type="gramEnd"/>
      <w:r w:rsidRPr="000B25E0">
        <w:rPr>
          <w:rFonts w:ascii="Times New Roman" w:eastAsia="宋体" w:hAnsi="Times New Roman" w:cs="Times New Roman"/>
          <w:kern w:val="0"/>
          <w:sz w:val="24"/>
        </w:rPr>
        <w:t>的拉伸和收缩，通过不断练习体式，一次次突破自己的极限，培养学生勇于挑战、不畏困难、积极进取、精益求精的意志品质。</w:t>
      </w:r>
    </w:p>
    <w:p w14:paraId="2FB1A8E5"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【学习内容】</w:t>
      </w:r>
    </w:p>
    <w:p w14:paraId="4DA92791" w14:textId="77777777" w:rsidR="000B25E0" w:rsidRPr="000B25E0" w:rsidRDefault="000B25E0" w:rsidP="000B25E0">
      <w:pPr>
        <w:spacing w:line="440" w:lineRule="exact"/>
        <w:ind w:firstLineChars="200" w:firstLine="480"/>
        <w:rPr>
          <w:rFonts w:ascii="Times New Roman" w:eastAsia="宋体" w:hAnsi="Times New Roman" w:cs="Times New Roman"/>
          <w:b/>
          <w:sz w:val="24"/>
        </w:rPr>
      </w:pPr>
      <w:r w:rsidRPr="000B25E0">
        <w:rPr>
          <w:rFonts w:ascii="Times New Roman" w:eastAsia="宋体" w:hAnsi="Times New Roman" w:cs="Times New Roman"/>
          <w:sz w:val="24"/>
        </w:rPr>
        <w:lastRenderedPageBreak/>
        <w:t>1.</w:t>
      </w:r>
      <w:r w:rsidRPr="000B25E0">
        <w:rPr>
          <w:rFonts w:ascii="Times New Roman" w:eastAsia="宋体" w:hAnsi="Times New Roman" w:cs="Times New Roman"/>
        </w:rPr>
        <w:t xml:space="preserve"> </w:t>
      </w:r>
      <w:r w:rsidRPr="000B25E0">
        <w:rPr>
          <w:rFonts w:ascii="Times New Roman" w:eastAsia="宋体" w:hAnsi="Times New Roman" w:cs="Times New Roman"/>
          <w:sz w:val="24"/>
        </w:rPr>
        <w:t>能够认识瑜伽热身的重要性；</w:t>
      </w:r>
    </w:p>
    <w:p w14:paraId="6D5FD65E"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2.</w:t>
      </w:r>
      <w:r w:rsidRPr="000B25E0">
        <w:rPr>
          <w:rFonts w:ascii="Times New Roman" w:eastAsia="宋体" w:hAnsi="Times New Roman" w:cs="Times New Roman"/>
        </w:rPr>
        <w:t xml:space="preserve"> </w:t>
      </w:r>
      <w:r w:rsidRPr="000B25E0">
        <w:rPr>
          <w:rFonts w:ascii="Times New Roman" w:eastAsia="宋体" w:hAnsi="Times New Roman" w:cs="Times New Roman"/>
          <w:sz w:val="24"/>
        </w:rPr>
        <w:t>能够明确瑜伽体式练习的流程、功效和注意事项；</w:t>
      </w:r>
    </w:p>
    <w:p w14:paraId="10AFB52F"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3.</w:t>
      </w:r>
      <w:r w:rsidRPr="000B25E0">
        <w:rPr>
          <w:rFonts w:ascii="Times New Roman" w:eastAsia="宋体" w:hAnsi="Times New Roman" w:cs="Times New Roman"/>
        </w:rPr>
        <w:t xml:space="preserve"> </w:t>
      </w:r>
      <w:r w:rsidRPr="000B25E0">
        <w:rPr>
          <w:rFonts w:ascii="Times New Roman" w:eastAsia="宋体" w:hAnsi="Times New Roman" w:cs="Times New Roman"/>
          <w:sz w:val="24"/>
        </w:rPr>
        <w:t>知道如何正确练习瑜伽体式法；</w:t>
      </w:r>
    </w:p>
    <w:p w14:paraId="3FC6883E"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【重点】</w:t>
      </w:r>
    </w:p>
    <w:p w14:paraId="3E6586E5"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拜日式</w:t>
      </w:r>
      <w:r w:rsidRPr="000B25E0">
        <w:rPr>
          <w:rFonts w:ascii="Times New Roman" w:eastAsia="宋体" w:hAnsi="Times New Roman" w:cs="Times New Roman"/>
          <w:sz w:val="24"/>
        </w:rPr>
        <w:t>B</w:t>
      </w:r>
      <w:r w:rsidRPr="000B25E0">
        <w:rPr>
          <w:rFonts w:ascii="Times New Roman" w:eastAsia="宋体" w:hAnsi="Times New Roman" w:cs="Times New Roman" w:hint="eastAsia"/>
          <w:sz w:val="24"/>
        </w:rPr>
        <w:t>；</w:t>
      </w:r>
    </w:p>
    <w:p w14:paraId="57F4C6E6"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【难点】</w:t>
      </w:r>
    </w:p>
    <w:p w14:paraId="647F38E0" w14:textId="77777777" w:rsidR="000B25E0" w:rsidRPr="000B25E0" w:rsidRDefault="000B25E0" w:rsidP="000B25E0">
      <w:pPr>
        <w:spacing w:line="440" w:lineRule="exact"/>
        <w:ind w:firstLineChars="200" w:firstLine="480"/>
        <w:rPr>
          <w:rFonts w:ascii="Times New Roman" w:eastAsia="宋体" w:hAnsi="Times New Roman" w:cs="Times New Roman"/>
          <w:b/>
          <w:sz w:val="24"/>
        </w:rPr>
      </w:pPr>
      <w:r w:rsidRPr="000B25E0">
        <w:rPr>
          <w:rFonts w:ascii="Times New Roman" w:eastAsia="宋体" w:hAnsi="Times New Roman" w:cs="Times New Roman"/>
          <w:sz w:val="24"/>
        </w:rPr>
        <w:t>拜日式</w:t>
      </w:r>
      <w:r w:rsidRPr="000B25E0">
        <w:rPr>
          <w:rFonts w:ascii="Times New Roman" w:eastAsia="宋体" w:hAnsi="Times New Roman" w:cs="Times New Roman"/>
          <w:sz w:val="24"/>
        </w:rPr>
        <w:t>B</w:t>
      </w:r>
      <w:r w:rsidRPr="000B25E0">
        <w:rPr>
          <w:rFonts w:ascii="Times New Roman" w:eastAsia="宋体" w:hAnsi="Times New Roman" w:cs="Times New Roman"/>
          <w:sz w:val="24"/>
        </w:rPr>
        <w:t>的呼吸与动作配合</w:t>
      </w:r>
      <w:r w:rsidRPr="000B25E0">
        <w:rPr>
          <w:rFonts w:ascii="Times New Roman" w:eastAsia="宋体" w:hAnsi="Times New Roman" w:cs="Times New Roman" w:hint="eastAsia"/>
          <w:sz w:val="24"/>
        </w:rPr>
        <w:t>；</w:t>
      </w:r>
    </w:p>
    <w:p w14:paraId="7FB5C29C" w14:textId="77777777" w:rsidR="000B25E0" w:rsidRPr="000B25E0" w:rsidRDefault="000B25E0" w:rsidP="000B25E0">
      <w:pPr>
        <w:spacing w:line="440" w:lineRule="exact"/>
        <w:ind w:firstLineChars="200" w:firstLine="482"/>
        <w:rPr>
          <w:rFonts w:ascii="Times New Roman" w:eastAsia="宋体" w:hAnsi="Times New Roman" w:cs="Times New Roman"/>
          <w:sz w:val="24"/>
        </w:rPr>
      </w:pPr>
      <w:r w:rsidRPr="000B25E0">
        <w:rPr>
          <w:rFonts w:ascii="Times New Roman" w:eastAsia="宋体" w:hAnsi="Times New Roman" w:cs="Times New Roman"/>
          <w:b/>
          <w:bCs/>
          <w:sz w:val="24"/>
        </w:rPr>
        <w:t>【教学方法】</w:t>
      </w:r>
    </w:p>
    <w:p w14:paraId="7AF7E7AF"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通过多媒体课件和传统教学相结合，阐明瑜伽体式基本练习方法，丰富学生课程与教学的基本知识结构，培养学生的职业规范；</w:t>
      </w:r>
    </w:p>
    <w:p w14:paraId="13801F16"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2. </w:t>
      </w:r>
      <w:r w:rsidRPr="000B25E0">
        <w:rPr>
          <w:rFonts w:ascii="Times New Roman" w:eastAsia="宋体" w:hAnsi="Times New Roman" w:cs="Times New Roman"/>
          <w:sz w:val="24"/>
        </w:rPr>
        <w:t>通过案例分析，强调理论与实践相结合，促进学生知识整合，培养学生的反思能力；</w:t>
      </w:r>
    </w:p>
    <w:p w14:paraId="353541DF"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3. </w:t>
      </w:r>
      <w:r w:rsidRPr="000B25E0">
        <w:rPr>
          <w:rFonts w:ascii="Times New Roman" w:eastAsia="宋体" w:hAnsi="Times New Roman" w:cs="Times New Roman"/>
          <w:sz w:val="24"/>
        </w:rPr>
        <w:t>通过小组合作学习，树立育人意识，发展学生的独立分析能力和团队合作能力；</w:t>
      </w:r>
    </w:p>
    <w:p w14:paraId="572CC84D"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4. </w:t>
      </w:r>
      <w:r w:rsidRPr="000B25E0">
        <w:rPr>
          <w:rFonts w:ascii="Times New Roman" w:eastAsia="宋体" w:hAnsi="Times New Roman" w:cs="Times New Roman"/>
          <w:sz w:val="24"/>
        </w:rPr>
        <w:t>通过课堂汇报和课堂辩论，强化知识应用意识，发展学生的教学能力和反思能力。</w:t>
      </w:r>
    </w:p>
    <w:p w14:paraId="6C0D05F7" w14:textId="77777777" w:rsidR="000B25E0" w:rsidRPr="000B25E0" w:rsidRDefault="000B25E0" w:rsidP="000B25E0">
      <w:pPr>
        <w:spacing w:line="440" w:lineRule="exact"/>
        <w:ind w:firstLineChars="200" w:firstLine="482"/>
        <w:rPr>
          <w:rFonts w:ascii="Times New Roman" w:eastAsia="宋体" w:hAnsi="Times New Roman" w:cs="Times New Roman"/>
          <w:bCs/>
          <w:sz w:val="24"/>
        </w:rPr>
      </w:pPr>
      <w:r w:rsidRPr="000B25E0">
        <w:rPr>
          <w:rFonts w:ascii="Times New Roman" w:eastAsia="宋体" w:hAnsi="Times New Roman" w:cs="Times New Roman"/>
          <w:b/>
          <w:sz w:val="24"/>
        </w:rPr>
        <w:t>【复习思考】</w:t>
      </w:r>
    </w:p>
    <w:p w14:paraId="4AAAC652"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拜日式</w:t>
      </w:r>
      <w:r w:rsidRPr="000B25E0">
        <w:rPr>
          <w:rFonts w:ascii="Times New Roman" w:eastAsia="宋体" w:hAnsi="Times New Roman" w:cs="Times New Roman"/>
          <w:sz w:val="24"/>
        </w:rPr>
        <w:t>B</w:t>
      </w:r>
      <w:r w:rsidRPr="000B25E0">
        <w:rPr>
          <w:rFonts w:ascii="Times New Roman" w:eastAsia="宋体" w:hAnsi="Times New Roman" w:cs="Times New Roman"/>
          <w:sz w:val="24"/>
        </w:rPr>
        <w:t>的动作完成流程</w:t>
      </w:r>
      <w:r w:rsidRPr="000B25E0">
        <w:rPr>
          <w:rFonts w:ascii="Times New Roman" w:eastAsia="宋体" w:hAnsi="Times New Roman" w:cs="Times New Roman" w:hint="eastAsia"/>
          <w:sz w:val="24"/>
        </w:rPr>
        <w:t>；</w:t>
      </w:r>
    </w:p>
    <w:p w14:paraId="14871FB8"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2. </w:t>
      </w:r>
      <w:r w:rsidRPr="000B25E0">
        <w:rPr>
          <w:rFonts w:ascii="Times New Roman" w:eastAsia="宋体" w:hAnsi="Times New Roman" w:cs="Times New Roman"/>
          <w:sz w:val="24"/>
        </w:rPr>
        <w:t>器械如何与瑜伽动作结合</w:t>
      </w:r>
      <w:r w:rsidRPr="000B25E0">
        <w:rPr>
          <w:rFonts w:ascii="Times New Roman" w:eastAsia="宋体" w:hAnsi="Times New Roman" w:cs="Times New Roman" w:hint="eastAsia"/>
          <w:sz w:val="24"/>
        </w:rPr>
        <w:t>。</w:t>
      </w:r>
    </w:p>
    <w:p w14:paraId="1ED886D9"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p w14:paraId="73BA04BA" w14:textId="77777777" w:rsidR="000B25E0" w:rsidRPr="000B25E0" w:rsidRDefault="000B25E0" w:rsidP="000B25E0">
      <w:pPr>
        <w:widowControl/>
        <w:jc w:val="center"/>
        <w:rPr>
          <w:rFonts w:ascii="黑体" w:eastAsia="黑体" w:hAnsi="宋体" w:cs="黑体"/>
          <w:snapToGrid w:val="0"/>
          <w:color w:val="000000"/>
          <w:kern w:val="0"/>
          <w:sz w:val="28"/>
          <w:szCs w:val="28"/>
          <w:lang w:bidi="ar"/>
        </w:rPr>
      </w:pPr>
    </w:p>
    <w:p w14:paraId="425441DD" w14:textId="77777777" w:rsidR="000B25E0" w:rsidRPr="000B25E0" w:rsidRDefault="000B25E0" w:rsidP="000B25E0">
      <w:pPr>
        <w:widowControl/>
        <w:jc w:val="center"/>
        <w:rPr>
          <w:rFonts w:ascii="黑体" w:eastAsia="黑体" w:hAnsi="宋体" w:cs="黑体"/>
          <w:snapToGrid w:val="0"/>
          <w:color w:val="000000"/>
          <w:kern w:val="0"/>
          <w:sz w:val="28"/>
          <w:szCs w:val="28"/>
          <w:lang w:bidi="ar"/>
        </w:rPr>
      </w:pPr>
      <w:r w:rsidRPr="000B25E0">
        <w:rPr>
          <w:rFonts w:ascii="黑体" w:eastAsia="黑体" w:hAnsi="宋体" w:cs="黑体"/>
          <w:snapToGrid w:val="0"/>
          <w:color w:val="000000"/>
          <w:kern w:val="0"/>
          <w:sz w:val="28"/>
          <w:szCs w:val="28"/>
          <w:lang w:bidi="ar"/>
        </w:rPr>
        <w:t xml:space="preserve">第三学期 </w:t>
      </w:r>
      <w:r w:rsidRPr="000B25E0">
        <w:rPr>
          <w:rFonts w:ascii="黑体" w:eastAsia="黑体" w:hAnsi="宋体" w:cs="黑体" w:hint="eastAsia"/>
          <w:snapToGrid w:val="0"/>
          <w:color w:val="000000"/>
          <w:kern w:val="0"/>
          <w:sz w:val="28"/>
          <w:szCs w:val="28"/>
          <w:lang w:bidi="ar"/>
        </w:rPr>
        <w:t>瑜伽</w:t>
      </w:r>
      <w:r w:rsidRPr="000B25E0">
        <w:rPr>
          <w:rFonts w:ascii="黑体" w:eastAsia="黑体" w:hAnsi="宋体" w:cs="黑体"/>
          <w:snapToGrid w:val="0"/>
          <w:color w:val="000000"/>
          <w:kern w:val="0"/>
          <w:sz w:val="28"/>
          <w:szCs w:val="28"/>
          <w:lang w:bidi="ar"/>
        </w:rPr>
        <w:t xml:space="preserve"> 3</w:t>
      </w:r>
    </w:p>
    <w:p w14:paraId="356FA383" w14:textId="77777777" w:rsidR="000B25E0" w:rsidRPr="000B25E0" w:rsidRDefault="000B25E0" w:rsidP="000B25E0">
      <w:pPr>
        <w:widowControl/>
        <w:jc w:val="center"/>
        <w:rPr>
          <w:rFonts w:ascii="黑体" w:eastAsia="黑体" w:hAnsi="宋体" w:cs="黑体"/>
          <w:snapToGrid w:val="0"/>
          <w:color w:val="000000"/>
          <w:kern w:val="0"/>
          <w:sz w:val="28"/>
          <w:szCs w:val="28"/>
          <w:lang w:bidi="ar"/>
        </w:rPr>
      </w:pPr>
    </w:p>
    <w:p w14:paraId="16E0A578" w14:textId="77777777" w:rsidR="000B25E0" w:rsidRPr="000B25E0" w:rsidRDefault="000B25E0" w:rsidP="000B25E0">
      <w:pPr>
        <w:widowControl/>
        <w:ind w:firstLineChars="200" w:firstLine="482"/>
        <w:rPr>
          <w:rFonts w:ascii="Calibri" w:eastAsia="宋体" w:hAnsi="Calibri" w:cs="Times New Roman"/>
        </w:rPr>
      </w:pPr>
      <w:r w:rsidRPr="000B25E0">
        <w:rPr>
          <w:rFonts w:ascii="宋体" w:eastAsia="宋体" w:hAnsi="宋体" w:cs="宋体" w:hint="eastAsia"/>
          <w:b/>
          <w:bCs/>
          <w:snapToGrid w:val="0"/>
          <w:color w:val="000000"/>
          <w:kern w:val="0"/>
          <w:sz w:val="24"/>
          <w:szCs w:val="24"/>
          <w:lang w:bidi="ar"/>
        </w:rPr>
        <w:t>【学习目标】</w:t>
      </w:r>
    </w:p>
    <w:p w14:paraId="4338AE02"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1. </w:t>
      </w:r>
      <w:r w:rsidRPr="000B25E0">
        <w:rPr>
          <w:rFonts w:ascii="Times New Roman" w:eastAsia="宋体" w:hAnsi="Times New Roman" w:cs="Times New Roman" w:hint="eastAsia"/>
          <w:sz w:val="24"/>
        </w:rPr>
        <w:t>认知类目标：通过体能教学活动，了解《大学生体质健康标准测验》项目内容、考核方式、评价标准，掌握考核内容锻炼的方式方法。培养学生努力学习、不断进取、修身立业、顽强奋进的精神与品质。</w:t>
      </w:r>
    </w:p>
    <w:p w14:paraId="70784C27"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2. </w:t>
      </w:r>
      <w:r w:rsidRPr="000B25E0">
        <w:rPr>
          <w:rFonts w:ascii="Times New Roman" w:eastAsia="宋体" w:hAnsi="Times New Roman" w:cs="Times New Roman" w:hint="eastAsia"/>
          <w:sz w:val="24"/>
        </w:rPr>
        <w:t>过程与方法类目标：使学生学习和掌握体育与健康的基础知识、技能与方法。</w:t>
      </w:r>
    </w:p>
    <w:p w14:paraId="520E74AB"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3. </w:t>
      </w:r>
      <w:r w:rsidRPr="000B25E0">
        <w:rPr>
          <w:rFonts w:ascii="Times New Roman" w:eastAsia="宋体" w:hAnsi="Times New Roman" w:cs="Times New Roman" w:hint="eastAsia"/>
          <w:sz w:val="24"/>
        </w:rPr>
        <w:t>情感、态度、价值观类目标：发展学生的个性和创造性，培养学生的主体意识和活泼愉快、积极向上、勇于探索以及克服困难的精神。</w:t>
      </w:r>
    </w:p>
    <w:p w14:paraId="0F9EB1BF" w14:textId="77777777" w:rsidR="000B25E0" w:rsidRPr="000B25E0" w:rsidRDefault="000B25E0" w:rsidP="000B25E0">
      <w:pPr>
        <w:widowControl/>
        <w:ind w:firstLineChars="200" w:firstLine="482"/>
        <w:rPr>
          <w:rFonts w:ascii="Calibri" w:eastAsia="宋体" w:hAnsi="Calibri" w:cs="Times New Roman"/>
        </w:rPr>
      </w:pPr>
      <w:r w:rsidRPr="000B25E0">
        <w:rPr>
          <w:rFonts w:ascii="宋体" w:eastAsia="宋体" w:hAnsi="宋体" w:cs="宋体" w:hint="eastAsia"/>
          <w:b/>
          <w:bCs/>
          <w:snapToGrid w:val="0"/>
          <w:color w:val="000000"/>
          <w:kern w:val="0"/>
          <w:sz w:val="24"/>
          <w:szCs w:val="24"/>
          <w:lang w:bidi="ar"/>
        </w:rPr>
        <w:lastRenderedPageBreak/>
        <w:t>【学习内容】</w:t>
      </w:r>
    </w:p>
    <w:p w14:paraId="561595E5"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宋体" w:eastAsia="宋体" w:hAnsi="宋体" w:cs="宋体" w:hint="eastAsia"/>
          <w:snapToGrid w:val="0"/>
          <w:color w:val="000000"/>
          <w:kern w:val="0"/>
          <w:sz w:val="24"/>
          <w:szCs w:val="24"/>
          <w:lang w:bidi="ar"/>
        </w:rPr>
        <w:t>1</w:t>
      </w:r>
      <w:r w:rsidRPr="000B25E0">
        <w:rPr>
          <w:rFonts w:ascii="Times New Roman" w:eastAsia="宋体" w:hAnsi="Times New Roman" w:cs="Times New Roman" w:hint="eastAsia"/>
          <w:sz w:val="24"/>
        </w:rPr>
        <w:t xml:space="preserve">. </w:t>
      </w:r>
      <w:r w:rsidRPr="000B25E0">
        <w:rPr>
          <w:rFonts w:ascii="Times New Roman" w:eastAsia="宋体" w:hAnsi="Times New Roman" w:cs="Times New Roman" w:hint="eastAsia"/>
          <w:sz w:val="24"/>
        </w:rPr>
        <w:t>掌握《大学生体质健康标准测试》</w:t>
      </w:r>
      <w:r w:rsidRPr="000B25E0">
        <w:rPr>
          <w:rFonts w:ascii="Times New Roman" w:eastAsia="宋体" w:hAnsi="Times New Roman" w:cs="Times New Roman" w:hint="eastAsia"/>
          <w:sz w:val="24"/>
        </w:rPr>
        <w:t xml:space="preserve"> </w:t>
      </w:r>
      <w:r w:rsidRPr="000B25E0">
        <w:rPr>
          <w:rFonts w:ascii="Times New Roman" w:eastAsia="宋体" w:hAnsi="Times New Roman" w:cs="Times New Roman" w:hint="eastAsia"/>
          <w:sz w:val="24"/>
        </w:rPr>
        <w:t>项目内容，评分标准和平时练习和如何提高成绩的科学锻炼方式方法。理解申请</w:t>
      </w:r>
      <w:proofErr w:type="gramStart"/>
      <w:r w:rsidRPr="000B25E0">
        <w:rPr>
          <w:rFonts w:ascii="Times New Roman" w:eastAsia="宋体" w:hAnsi="Times New Roman" w:cs="Times New Roman" w:hint="eastAsia"/>
          <w:sz w:val="24"/>
        </w:rPr>
        <w:t>缓测免</w:t>
      </w:r>
      <w:proofErr w:type="gramEnd"/>
      <w:r w:rsidRPr="000B25E0">
        <w:rPr>
          <w:rFonts w:ascii="Times New Roman" w:eastAsia="宋体" w:hAnsi="Times New Roman" w:cs="Times New Roman" w:hint="eastAsia"/>
          <w:sz w:val="24"/>
        </w:rPr>
        <w:t>测的申请流程以及掌握测验时间。</w:t>
      </w:r>
    </w:p>
    <w:p w14:paraId="15246429"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2. </w:t>
      </w:r>
      <w:r w:rsidRPr="000B25E0">
        <w:rPr>
          <w:rFonts w:ascii="Times New Roman" w:eastAsia="宋体" w:hAnsi="Times New Roman" w:cs="Times New Roman" w:hint="eastAsia"/>
          <w:sz w:val="24"/>
        </w:rPr>
        <w:t>了解瑜伽的基本技术、基本技能和基础理论知识，并了解瑜伽的发展趋势。掌握锻炼身体的技能与方法，掌握部分体育项目的基本技术初步学会运用科学的方法锻炼身体，促进学生能力的发展能够初步运用获得的知识技能锻炼身体，进行自我调控，自我检测和自我评价。</w:t>
      </w:r>
    </w:p>
    <w:p w14:paraId="302336F0"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3. </w:t>
      </w:r>
      <w:r w:rsidRPr="000B25E0">
        <w:rPr>
          <w:rFonts w:ascii="Times New Roman" w:eastAsia="宋体" w:hAnsi="Times New Roman" w:cs="Times New Roman" w:hint="eastAsia"/>
          <w:sz w:val="24"/>
        </w:rPr>
        <w:t>发展学生的个性和创造性，培养学生的主体意识和活泼愉快、积极向上、</w:t>
      </w:r>
      <w:r w:rsidRPr="000B25E0">
        <w:rPr>
          <w:rFonts w:ascii="Times New Roman" w:eastAsia="宋体" w:hAnsi="Times New Roman" w:cs="Times New Roman" w:hint="eastAsia"/>
          <w:sz w:val="24"/>
        </w:rPr>
        <w:t xml:space="preserve"> </w:t>
      </w:r>
    </w:p>
    <w:p w14:paraId="51FF57F3"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勇于探索以及克服困难的精神。在体育活动中树立顽强拼搏的精神和团结合作的</w:t>
      </w:r>
      <w:r w:rsidRPr="000B25E0">
        <w:rPr>
          <w:rFonts w:ascii="Times New Roman" w:eastAsia="宋体" w:hAnsi="Times New Roman" w:cs="Times New Roman" w:hint="eastAsia"/>
          <w:sz w:val="24"/>
        </w:rPr>
        <w:t xml:space="preserve"> </w:t>
      </w:r>
    </w:p>
    <w:p w14:paraId="4BDDD90C"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意识，能正确对待个人和集体的成功与失败，具有组织纪律性和良好的人际关系。</w:t>
      </w:r>
    </w:p>
    <w:p w14:paraId="18DC7E0C" w14:textId="77777777" w:rsidR="000B25E0" w:rsidRPr="000B25E0" w:rsidRDefault="000B25E0" w:rsidP="000B25E0">
      <w:pPr>
        <w:widowControl/>
        <w:rPr>
          <w:rFonts w:ascii="宋体" w:eastAsia="宋体" w:hAnsi="宋体" w:cs="宋体"/>
          <w:snapToGrid w:val="0"/>
          <w:color w:val="000000"/>
          <w:kern w:val="0"/>
          <w:sz w:val="24"/>
          <w:szCs w:val="24"/>
          <w:lang w:bidi="ar"/>
        </w:rPr>
      </w:pPr>
    </w:p>
    <w:p w14:paraId="5DDC6049" w14:textId="77777777" w:rsidR="000B25E0" w:rsidRPr="000B25E0" w:rsidRDefault="000B25E0" w:rsidP="000B25E0">
      <w:pPr>
        <w:widowControl/>
        <w:rPr>
          <w:rFonts w:ascii="宋体" w:eastAsia="宋体" w:hAnsi="宋体" w:cs="宋体"/>
          <w:snapToGrid w:val="0"/>
          <w:color w:val="000000"/>
          <w:kern w:val="0"/>
          <w:sz w:val="24"/>
          <w:szCs w:val="24"/>
          <w:lang w:bidi="ar"/>
        </w:rPr>
      </w:pPr>
    </w:p>
    <w:p w14:paraId="6A66A6C2" w14:textId="77777777" w:rsidR="000B25E0" w:rsidRPr="000B25E0" w:rsidRDefault="000B25E0" w:rsidP="000B25E0">
      <w:pPr>
        <w:spacing w:line="440" w:lineRule="exact"/>
        <w:rPr>
          <w:rFonts w:ascii="Times New Roman" w:eastAsia="宋体" w:hAnsi="Times New Roman" w:cs="Times New Roman"/>
          <w:sz w:val="24"/>
        </w:rPr>
      </w:pPr>
    </w:p>
    <w:p w14:paraId="7F18634C" w14:textId="77777777" w:rsidR="000B25E0" w:rsidRPr="000B25E0" w:rsidRDefault="000B25E0" w:rsidP="000B25E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0B25E0">
        <w:rPr>
          <w:rFonts w:ascii="Times New Roman" w:eastAsia="黑体" w:hAnsi="Times New Roman" w:cs="Times New Roman"/>
          <w:sz w:val="28"/>
          <w:szCs w:val="28"/>
        </w:rPr>
        <w:t>第</w:t>
      </w:r>
      <w:r w:rsidRPr="000B25E0">
        <w:rPr>
          <w:rFonts w:ascii="Times New Roman" w:eastAsia="黑体" w:hAnsi="Times New Roman" w:cs="Times New Roman" w:hint="eastAsia"/>
          <w:sz w:val="28"/>
          <w:szCs w:val="28"/>
        </w:rPr>
        <w:t>一</w:t>
      </w:r>
      <w:r w:rsidRPr="000B25E0">
        <w:rPr>
          <w:rFonts w:ascii="Times New Roman" w:eastAsia="黑体" w:hAnsi="Times New Roman" w:cs="Times New Roman"/>
          <w:sz w:val="28"/>
          <w:szCs w:val="28"/>
        </w:rPr>
        <w:t>章</w:t>
      </w:r>
      <w:r w:rsidRPr="000B25E0">
        <w:rPr>
          <w:rFonts w:ascii="Times New Roman" w:eastAsia="黑体" w:hAnsi="Times New Roman" w:cs="Times New Roman"/>
          <w:sz w:val="28"/>
          <w:szCs w:val="28"/>
        </w:rPr>
        <w:t xml:space="preserve">  </w:t>
      </w:r>
      <w:r w:rsidRPr="000B25E0">
        <w:rPr>
          <w:rFonts w:ascii="Times New Roman" w:eastAsia="黑体" w:hAnsi="Times New Roman" w:cs="Times New Roman"/>
          <w:sz w:val="28"/>
          <w:szCs w:val="28"/>
        </w:rPr>
        <w:t>瑜伽冥想（</w:t>
      </w:r>
      <w:r w:rsidRPr="000B25E0">
        <w:rPr>
          <w:rFonts w:ascii="Times New Roman" w:eastAsia="黑体" w:hAnsi="Times New Roman" w:cs="Times New Roman"/>
          <w:sz w:val="28"/>
          <w:szCs w:val="28"/>
        </w:rPr>
        <w:t>2</w:t>
      </w:r>
      <w:r w:rsidRPr="000B25E0">
        <w:rPr>
          <w:rFonts w:ascii="Times New Roman" w:eastAsia="黑体" w:hAnsi="Times New Roman" w:cs="Times New Roman"/>
          <w:sz w:val="28"/>
          <w:szCs w:val="28"/>
        </w:rPr>
        <w:t>学时）</w:t>
      </w:r>
    </w:p>
    <w:p w14:paraId="65A6605B"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【学习目标】</w:t>
      </w:r>
    </w:p>
    <w:p w14:paraId="3ACB65BD"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认知类目标：</w:t>
      </w:r>
      <w:r w:rsidRPr="000B25E0">
        <w:rPr>
          <w:rFonts w:ascii="Times New Roman" w:eastAsia="宋体" w:hAnsi="Times New Roman" w:cs="Times New Roman"/>
          <w:kern w:val="0"/>
          <w:sz w:val="24"/>
        </w:rPr>
        <w:t>了解瑜伽冥想的内容和功效、使用范围</w:t>
      </w:r>
      <w:r w:rsidRPr="000B25E0">
        <w:rPr>
          <w:rFonts w:ascii="Times New Roman" w:eastAsia="宋体" w:hAnsi="Times New Roman" w:cs="Times New Roman"/>
          <w:sz w:val="24"/>
        </w:rPr>
        <w:t>；</w:t>
      </w:r>
    </w:p>
    <w:p w14:paraId="280AE5F8"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2. </w:t>
      </w:r>
      <w:r w:rsidRPr="000B25E0">
        <w:rPr>
          <w:rFonts w:ascii="Times New Roman" w:eastAsia="宋体" w:hAnsi="Times New Roman" w:cs="Times New Roman"/>
          <w:sz w:val="24"/>
        </w:rPr>
        <w:t>过程与方法类目标：</w:t>
      </w:r>
      <w:r w:rsidRPr="000B25E0">
        <w:rPr>
          <w:rFonts w:ascii="Times New Roman" w:eastAsia="宋体" w:hAnsi="Times New Roman" w:cs="Times New Roman"/>
          <w:kern w:val="0"/>
          <w:sz w:val="24"/>
        </w:rPr>
        <w:t>掌握语音冥想的方法</w:t>
      </w:r>
      <w:r w:rsidRPr="000B25E0">
        <w:rPr>
          <w:rFonts w:ascii="Times New Roman" w:eastAsia="宋体" w:hAnsi="Times New Roman" w:cs="Times New Roman"/>
          <w:sz w:val="24"/>
        </w:rPr>
        <w:t>；</w:t>
      </w:r>
    </w:p>
    <w:p w14:paraId="45251A8F"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3. </w:t>
      </w:r>
      <w:r w:rsidRPr="000B25E0">
        <w:rPr>
          <w:rFonts w:ascii="Times New Roman" w:eastAsia="宋体" w:hAnsi="Times New Roman" w:cs="Times New Roman"/>
          <w:sz w:val="24"/>
        </w:rPr>
        <w:t>情感、态度、价值观类目标：具备运用瑜伽冥想来达到静心目的的能力。</w:t>
      </w:r>
    </w:p>
    <w:p w14:paraId="3B78B405"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【学习内容】</w:t>
      </w:r>
    </w:p>
    <w:p w14:paraId="209EF604" w14:textId="77777777" w:rsidR="000B25E0" w:rsidRPr="000B25E0" w:rsidRDefault="000B25E0" w:rsidP="000B25E0">
      <w:pPr>
        <w:spacing w:line="440" w:lineRule="exact"/>
        <w:ind w:firstLineChars="200" w:firstLine="480"/>
        <w:rPr>
          <w:rFonts w:ascii="Times New Roman" w:eastAsia="宋体" w:hAnsi="Times New Roman" w:cs="Times New Roman"/>
          <w:b/>
          <w:sz w:val="24"/>
        </w:rPr>
      </w:pPr>
      <w:r w:rsidRPr="000B25E0">
        <w:rPr>
          <w:rFonts w:ascii="Times New Roman" w:eastAsia="宋体" w:hAnsi="Times New Roman" w:cs="Times New Roman"/>
          <w:sz w:val="24"/>
        </w:rPr>
        <w:t>1.</w:t>
      </w:r>
      <w:r w:rsidRPr="000B25E0">
        <w:rPr>
          <w:rFonts w:ascii="Times New Roman" w:eastAsia="宋体" w:hAnsi="Times New Roman" w:cs="Times New Roman"/>
        </w:rPr>
        <w:t xml:space="preserve"> </w:t>
      </w:r>
      <w:r w:rsidRPr="000B25E0">
        <w:rPr>
          <w:rFonts w:ascii="Times New Roman" w:eastAsia="宋体" w:hAnsi="Times New Roman" w:cs="Times New Roman"/>
          <w:sz w:val="24"/>
        </w:rPr>
        <w:t>能够认识什么是瑜伽冥想；</w:t>
      </w:r>
    </w:p>
    <w:p w14:paraId="0D50B4E6"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2.</w:t>
      </w:r>
      <w:r w:rsidRPr="000B25E0">
        <w:rPr>
          <w:rFonts w:ascii="Times New Roman" w:eastAsia="宋体" w:hAnsi="Times New Roman" w:cs="Times New Roman"/>
        </w:rPr>
        <w:t xml:space="preserve"> </w:t>
      </w:r>
      <w:r w:rsidRPr="000B25E0">
        <w:rPr>
          <w:rFonts w:ascii="Times New Roman" w:eastAsia="宋体" w:hAnsi="Times New Roman" w:cs="Times New Roman"/>
          <w:sz w:val="24"/>
        </w:rPr>
        <w:t>能够明确瑜伽冥想的分类、练习方法和教学指导意义；</w:t>
      </w:r>
    </w:p>
    <w:p w14:paraId="6C388CEE"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3.</w:t>
      </w:r>
      <w:r w:rsidRPr="000B25E0">
        <w:rPr>
          <w:rFonts w:ascii="Times New Roman" w:eastAsia="宋体" w:hAnsi="Times New Roman" w:cs="Times New Roman"/>
        </w:rPr>
        <w:t xml:space="preserve"> </w:t>
      </w:r>
      <w:r w:rsidRPr="000B25E0">
        <w:rPr>
          <w:rFonts w:ascii="Times New Roman" w:eastAsia="宋体" w:hAnsi="Times New Roman" w:cs="Times New Roman"/>
          <w:sz w:val="24"/>
        </w:rPr>
        <w:t>知道如何正确进行瑜伽冥想。</w:t>
      </w:r>
    </w:p>
    <w:p w14:paraId="50837B33"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【重点】</w:t>
      </w:r>
    </w:p>
    <w:p w14:paraId="5F1A2D5D" w14:textId="77777777" w:rsidR="000B25E0" w:rsidRPr="000B25E0" w:rsidRDefault="000B25E0" w:rsidP="000B25E0">
      <w:pPr>
        <w:spacing w:line="440" w:lineRule="exact"/>
        <w:ind w:firstLineChars="200" w:firstLine="480"/>
        <w:rPr>
          <w:rFonts w:ascii="Times New Roman" w:eastAsia="宋体" w:hAnsi="Times New Roman" w:cs="Times New Roman"/>
          <w:b/>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kern w:val="0"/>
          <w:sz w:val="24"/>
        </w:rPr>
        <w:t>瑜伽语音冥想内涵</w:t>
      </w:r>
      <w:r w:rsidRPr="000B25E0">
        <w:rPr>
          <w:rFonts w:ascii="Times New Roman" w:eastAsia="宋体" w:hAnsi="Times New Roman" w:cs="Times New Roman" w:hint="eastAsia"/>
          <w:kern w:val="0"/>
          <w:sz w:val="24"/>
        </w:rPr>
        <w:t>。</w:t>
      </w:r>
    </w:p>
    <w:p w14:paraId="0A4B40D3"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【难点】</w:t>
      </w:r>
    </w:p>
    <w:p w14:paraId="040291AF"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kern w:val="0"/>
          <w:sz w:val="24"/>
        </w:rPr>
        <w:t>瑜伽语音冥想内涵</w:t>
      </w:r>
      <w:r w:rsidRPr="000B25E0">
        <w:rPr>
          <w:rFonts w:ascii="Times New Roman" w:eastAsia="宋体" w:hAnsi="Times New Roman" w:cs="Times New Roman" w:hint="eastAsia"/>
          <w:kern w:val="0"/>
          <w:sz w:val="24"/>
        </w:rPr>
        <w:t>。</w:t>
      </w:r>
    </w:p>
    <w:p w14:paraId="719B8E6F" w14:textId="77777777" w:rsidR="000B25E0" w:rsidRPr="000B25E0" w:rsidRDefault="000B25E0" w:rsidP="000B25E0">
      <w:pPr>
        <w:spacing w:line="440" w:lineRule="exact"/>
        <w:ind w:firstLineChars="200" w:firstLine="482"/>
        <w:rPr>
          <w:rFonts w:ascii="Times New Roman" w:eastAsia="宋体" w:hAnsi="Times New Roman" w:cs="Times New Roman"/>
          <w:sz w:val="24"/>
        </w:rPr>
      </w:pPr>
      <w:r w:rsidRPr="000B25E0">
        <w:rPr>
          <w:rFonts w:ascii="Times New Roman" w:eastAsia="宋体" w:hAnsi="Times New Roman" w:cs="Times New Roman"/>
          <w:b/>
          <w:bCs/>
          <w:sz w:val="24"/>
        </w:rPr>
        <w:t>【教学方法】</w:t>
      </w:r>
    </w:p>
    <w:p w14:paraId="77B42A70"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通过多媒体课件和传统教学相结合，阐明瑜伽冥想的基本内容及语音冥想的方法，丰富学生课程与教学的基本知识结构，培养学生的职业规范；</w:t>
      </w:r>
    </w:p>
    <w:p w14:paraId="55CCFD1A"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2. </w:t>
      </w:r>
      <w:r w:rsidRPr="000B25E0">
        <w:rPr>
          <w:rFonts w:ascii="Times New Roman" w:eastAsia="宋体" w:hAnsi="Times New Roman" w:cs="Times New Roman"/>
          <w:sz w:val="24"/>
        </w:rPr>
        <w:t>通过案例分析，强调理论与实践相结合，促进学生知识整合，培养学生的反思能力。</w:t>
      </w:r>
    </w:p>
    <w:p w14:paraId="3416B65F" w14:textId="77777777" w:rsidR="000B25E0" w:rsidRPr="000B25E0" w:rsidRDefault="000B25E0" w:rsidP="000B25E0">
      <w:pPr>
        <w:spacing w:line="440" w:lineRule="exact"/>
        <w:ind w:firstLineChars="200" w:firstLine="482"/>
        <w:rPr>
          <w:rFonts w:ascii="Times New Roman" w:eastAsia="宋体" w:hAnsi="Times New Roman" w:cs="Times New Roman"/>
          <w:bCs/>
          <w:sz w:val="24"/>
        </w:rPr>
      </w:pPr>
      <w:r w:rsidRPr="000B25E0">
        <w:rPr>
          <w:rFonts w:ascii="Times New Roman" w:eastAsia="宋体" w:hAnsi="Times New Roman" w:cs="Times New Roman"/>
          <w:b/>
          <w:sz w:val="24"/>
        </w:rPr>
        <w:lastRenderedPageBreak/>
        <w:t>【复习思考】</w:t>
      </w:r>
    </w:p>
    <w:p w14:paraId="665F31E0" w14:textId="77777777" w:rsidR="000B25E0" w:rsidRPr="000B25E0" w:rsidRDefault="000B25E0" w:rsidP="00FE4508">
      <w:pPr>
        <w:numPr>
          <w:ilvl w:val="0"/>
          <w:numId w:val="47"/>
        </w:num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瑜伽冥想的种类</w:t>
      </w:r>
      <w:r w:rsidRPr="000B25E0">
        <w:rPr>
          <w:rFonts w:ascii="Times New Roman" w:eastAsia="宋体" w:hAnsi="Times New Roman" w:cs="Times New Roman" w:hint="eastAsia"/>
          <w:sz w:val="24"/>
        </w:rPr>
        <w:t>。</w:t>
      </w:r>
    </w:p>
    <w:p w14:paraId="6D0956A2" w14:textId="77777777" w:rsidR="000B25E0" w:rsidRPr="000B25E0" w:rsidRDefault="000B25E0" w:rsidP="000B25E0">
      <w:pPr>
        <w:widowControl/>
        <w:jc w:val="center"/>
        <w:rPr>
          <w:rFonts w:ascii="宋体" w:eastAsia="宋体" w:hAnsi="宋体" w:cs="宋体"/>
          <w:b/>
          <w:bCs/>
          <w:snapToGrid w:val="0"/>
          <w:color w:val="000000"/>
          <w:kern w:val="0"/>
          <w:sz w:val="28"/>
          <w:szCs w:val="28"/>
          <w:lang w:bidi="ar"/>
        </w:rPr>
      </w:pPr>
      <w:r w:rsidRPr="000B25E0">
        <w:rPr>
          <w:rFonts w:ascii="宋体" w:eastAsia="宋体" w:hAnsi="宋体" w:cs="宋体" w:hint="eastAsia"/>
          <w:b/>
          <w:bCs/>
          <w:snapToGrid w:val="0"/>
          <w:color w:val="000000"/>
          <w:kern w:val="0"/>
          <w:sz w:val="28"/>
          <w:szCs w:val="28"/>
          <w:lang w:bidi="ar"/>
        </w:rPr>
        <w:t>第二章 健身瑜伽第一--三级体式串联(18学时)</w:t>
      </w:r>
    </w:p>
    <w:p w14:paraId="1A4D7326" w14:textId="77777777" w:rsidR="000B25E0" w:rsidRPr="000B25E0" w:rsidRDefault="000B25E0" w:rsidP="000B25E0">
      <w:pPr>
        <w:widowControl/>
        <w:rPr>
          <w:rFonts w:ascii="宋体" w:eastAsia="宋体" w:hAnsi="宋体" w:cs="宋体"/>
          <w:b/>
          <w:bCs/>
          <w:snapToGrid w:val="0"/>
          <w:color w:val="000000"/>
          <w:kern w:val="0"/>
          <w:sz w:val="28"/>
          <w:szCs w:val="28"/>
          <w:lang w:bidi="ar"/>
        </w:rPr>
      </w:pPr>
    </w:p>
    <w:p w14:paraId="28473AAB" w14:textId="77777777" w:rsidR="000B25E0" w:rsidRPr="000B25E0" w:rsidRDefault="000B25E0" w:rsidP="000B25E0">
      <w:pPr>
        <w:widowControl/>
        <w:jc w:val="left"/>
        <w:rPr>
          <w:rFonts w:ascii="Calibri" w:eastAsia="宋体" w:hAnsi="Calibri" w:cs="Times New Roman"/>
        </w:rPr>
      </w:pPr>
      <w:r w:rsidRPr="000B25E0">
        <w:rPr>
          <w:rFonts w:ascii="宋体" w:eastAsia="宋体" w:hAnsi="宋体" w:cs="宋体" w:hint="eastAsia"/>
          <w:b/>
          <w:bCs/>
          <w:snapToGrid w:val="0"/>
          <w:color w:val="000000"/>
          <w:kern w:val="0"/>
          <w:sz w:val="24"/>
          <w:szCs w:val="24"/>
          <w:lang w:bidi="ar"/>
        </w:rPr>
        <w:t xml:space="preserve">本章主要教学内容： </w:t>
      </w:r>
    </w:p>
    <w:p w14:paraId="4FA27EFF"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2.1 </w:t>
      </w:r>
      <w:r w:rsidRPr="000B25E0">
        <w:rPr>
          <w:rFonts w:ascii="Times New Roman" w:eastAsia="宋体" w:hAnsi="Times New Roman" w:cs="Times New Roman" w:hint="eastAsia"/>
          <w:sz w:val="24"/>
        </w:rPr>
        <w:t>坐姿类；</w:t>
      </w:r>
      <w:r w:rsidRPr="000B25E0">
        <w:rPr>
          <w:rFonts w:ascii="Times New Roman" w:eastAsia="宋体" w:hAnsi="Times New Roman" w:cs="Times New Roman" w:hint="eastAsia"/>
          <w:sz w:val="24"/>
        </w:rPr>
        <w:t xml:space="preserve"> </w:t>
      </w:r>
    </w:p>
    <w:p w14:paraId="27EEE46A"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2.2 </w:t>
      </w:r>
      <w:r w:rsidRPr="000B25E0">
        <w:rPr>
          <w:rFonts w:ascii="Times New Roman" w:eastAsia="宋体" w:hAnsi="Times New Roman" w:cs="Times New Roman" w:hint="eastAsia"/>
          <w:sz w:val="24"/>
        </w:rPr>
        <w:t>前屈类；</w:t>
      </w:r>
      <w:r w:rsidRPr="000B25E0">
        <w:rPr>
          <w:rFonts w:ascii="Times New Roman" w:eastAsia="宋体" w:hAnsi="Times New Roman" w:cs="Times New Roman" w:hint="eastAsia"/>
          <w:sz w:val="24"/>
        </w:rPr>
        <w:t xml:space="preserve"> </w:t>
      </w:r>
    </w:p>
    <w:p w14:paraId="12BD7FF1" w14:textId="77777777" w:rsidR="000B25E0" w:rsidRPr="000B25E0" w:rsidRDefault="000B25E0" w:rsidP="000B25E0">
      <w:pPr>
        <w:widowControl/>
        <w:jc w:val="left"/>
        <w:rPr>
          <w:rFonts w:ascii="Times New Roman" w:eastAsia="宋体" w:hAnsi="Times New Roman" w:cs="Times New Roman"/>
          <w:sz w:val="24"/>
        </w:rPr>
      </w:pPr>
      <w:r w:rsidRPr="000B25E0">
        <w:rPr>
          <w:rFonts w:ascii="Times New Roman" w:eastAsia="宋体" w:hAnsi="Times New Roman" w:cs="Times New Roman" w:hint="eastAsia"/>
          <w:sz w:val="24"/>
        </w:rPr>
        <w:t xml:space="preserve">2.3 </w:t>
      </w:r>
      <w:r w:rsidRPr="000B25E0">
        <w:rPr>
          <w:rFonts w:ascii="Times New Roman" w:eastAsia="宋体" w:hAnsi="Times New Roman" w:cs="Times New Roman" w:hint="eastAsia"/>
          <w:sz w:val="24"/>
        </w:rPr>
        <w:t>后展类；</w:t>
      </w:r>
      <w:r w:rsidRPr="000B25E0">
        <w:rPr>
          <w:rFonts w:ascii="Times New Roman" w:eastAsia="宋体" w:hAnsi="Times New Roman" w:cs="Times New Roman" w:hint="eastAsia"/>
          <w:sz w:val="24"/>
        </w:rPr>
        <w:t xml:space="preserve"> </w:t>
      </w:r>
    </w:p>
    <w:p w14:paraId="0AE1F454"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2.4 </w:t>
      </w:r>
      <w:r w:rsidRPr="000B25E0">
        <w:rPr>
          <w:rFonts w:ascii="Times New Roman" w:eastAsia="宋体" w:hAnsi="Times New Roman" w:cs="Times New Roman" w:hint="eastAsia"/>
          <w:sz w:val="24"/>
        </w:rPr>
        <w:t>扭转类；</w:t>
      </w:r>
    </w:p>
    <w:p w14:paraId="196701B3"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2.5 </w:t>
      </w:r>
      <w:r w:rsidRPr="000B25E0">
        <w:rPr>
          <w:rFonts w:ascii="Times New Roman" w:eastAsia="宋体" w:hAnsi="Times New Roman" w:cs="Times New Roman" w:hint="eastAsia"/>
          <w:sz w:val="24"/>
        </w:rPr>
        <w:t>倒置类；</w:t>
      </w:r>
    </w:p>
    <w:p w14:paraId="1FB8F8EF"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2.6 </w:t>
      </w:r>
      <w:r w:rsidRPr="000B25E0">
        <w:rPr>
          <w:rFonts w:ascii="Times New Roman" w:eastAsia="宋体" w:hAnsi="Times New Roman" w:cs="Times New Roman" w:hint="eastAsia"/>
          <w:sz w:val="24"/>
        </w:rPr>
        <w:t>平衡类；</w:t>
      </w:r>
    </w:p>
    <w:p w14:paraId="1632B88D"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2.7 </w:t>
      </w:r>
      <w:r w:rsidRPr="000B25E0">
        <w:rPr>
          <w:rFonts w:ascii="Times New Roman" w:eastAsia="宋体" w:hAnsi="Times New Roman" w:cs="Times New Roman" w:hint="eastAsia"/>
          <w:sz w:val="24"/>
        </w:rPr>
        <w:t>其他类；</w:t>
      </w:r>
    </w:p>
    <w:p w14:paraId="32DEB6E4"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b/>
          <w:bCs/>
          <w:sz w:val="24"/>
        </w:rPr>
        <w:t>本章教学目的及要求</w:t>
      </w:r>
      <w:r w:rsidRPr="000B25E0">
        <w:rPr>
          <w:rFonts w:ascii="Times New Roman" w:eastAsia="宋体" w:hAnsi="Times New Roman" w:cs="Times New Roman" w:hint="eastAsia"/>
          <w:sz w:val="24"/>
        </w:rPr>
        <w:t>：使学生掌握瑜伽基体式技术要领，并能够安全有效练习。</w:t>
      </w:r>
      <w:r w:rsidRPr="000B25E0">
        <w:rPr>
          <w:rFonts w:ascii="Times New Roman" w:eastAsia="宋体" w:hAnsi="Times New Roman" w:cs="Times New Roman" w:hint="eastAsia"/>
          <w:sz w:val="24"/>
        </w:rPr>
        <w:t xml:space="preserve"> </w:t>
      </w:r>
    </w:p>
    <w:p w14:paraId="251B0F1D"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b/>
          <w:bCs/>
          <w:sz w:val="24"/>
        </w:rPr>
        <w:t>本章教学重点及难点</w:t>
      </w:r>
      <w:r w:rsidRPr="000B25E0">
        <w:rPr>
          <w:rFonts w:ascii="Times New Roman" w:eastAsia="宋体" w:hAnsi="Times New Roman" w:cs="Times New Roman" w:hint="eastAsia"/>
          <w:sz w:val="24"/>
        </w:rPr>
        <w:t>：体式和呼吸的配合</w:t>
      </w:r>
    </w:p>
    <w:p w14:paraId="1A1F8D8D" w14:textId="77777777" w:rsidR="000B25E0" w:rsidRPr="000B25E0" w:rsidRDefault="000B25E0" w:rsidP="000B25E0">
      <w:pPr>
        <w:spacing w:line="440" w:lineRule="exact"/>
        <w:rPr>
          <w:rFonts w:ascii="Times New Roman" w:eastAsia="宋体" w:hAnsi="Times New Roman" w:cs="Times New Roman"/>
          <w:sz w:val="24"/>
        </w:rPr>
      </w:pPr>
    </w:p>
    <w:p w14:paraId="47860EAC" w14:textId="77777777" w:rsidR="000B25E0" w:rsidRPr="000B25E0" w:rsidRDefault="000B25E0" w:rsidP="000B25E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0B25E0">
        <w:rPr>
          <w:rFonts w:ascii="Times New Roman" w:eastAsia="黑体" w:hAnsi="Times New Roman" w:cs="Times New Roman"/>
          <w:sz w:val="28"/>
          <w:szCs w:val="28"/>
        </w:rPr>
        <w:t>第</w:t>
      </w:r>
      <w:r w:rsidRPr="000B25E0">
        <w:rPr>
          <w:rFonts w:ascii="Times New Roman" w:eastAsia="黑体" w:hAnsi="Times New Roman" w:cs="Times New Roman" w:hint="eastAsia"/>
          <w:sz w:val="28"/>
          <w:szCs w:val="28"/>
        </w:rPr>
        <w:t>三</w:t>
      </w:r>
      <w:r w:rsidRPr="000B25E0">
        <w:rPr>
          <w:rFonts w:ascii="Times New Roman" w:eastAsia="黑体" w:hAnsi="Times New Roman" w:cs="Times New Roman"/>
          <w:sz w:val="28"/>
          <w:szCs w:val="28"/>
        </w:rPr>
        <w:t>章</w:t>
      </w:r>
      <w:r w:rsidRPr="000B25E0">
        <w:rPr>
          <w:rFonts w:ascii="Times New Roman" w:eastAsia="黑体" w:hAnsi="Times New Roman" w:cs="Times New Roman"/>
          <w:sz w:val="28"/>
          <w:szCs w:val="28"/>
        </w:rPr>
        <w:t xml:space="preserve">  </w:t>
      </w:r>
      <w:r w:rsidRPr="000B25E0">
        <w:rPr>
          <w:rFonts w:ascii="Times New Roman" w:eastAsia="黑体" w:hAnsi="Times New Roman" w:cs="Times New Roman"/>
          <w:sz w:val="28"/>
          <w:szCs w:val="28"/>
        </w:rPr>
        <w:t>双人瑜伽练习（</w:t>
      </w:r>
      <w:r w:rsidRPr="000B25E0">
        <w:rPr>
          <w:rFonts w:ascii="Times New Roman" w:eastAsia="黑体" w:hAnsi="Times New Roman" w:cs="Times New Roman" w:hint="eastAsia"/>
          <w:sz w:val="28"/>
          <w:szCs w:val="28"/>
        </w:rPr>
        <w:t>6</w:t>
      </w:r>
      <w:r w:rsidRPr="000B25E0">
        <w:rPr>
          <w:rFonts w:ascii="Times New Roman" w:eastAsia="黑体" w:hAnsi="Times New Roman" w:cs="Times New Roman"/>
          <w:sz w:val="28"/>
          <w:szCs w:val="28"/>
        </w:rPr>
        <w:t>学时）</w:t>
      </w:r>
    </w:p>
    <w:p w14:paraId="7CEDBC04"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【学习目标】</w:t>
      </w:r>
    </w:p>
    <w:p w14:paraId="4752D5FF"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认知类目标：了解双人瑜伽的基本原理和原则；</w:t>
      </w:r>
    </w:p>
    <w:p w14:paraId="4FE86AE2"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2. </w:t>
      </w:r>
      <w:r w:rsidRPr="000B25E0">
        <w:rPr>
          <w:rFonts w:ascii="Times New Roman" w:eastAsia="宋体" w:hAnsi="Times New Roman" w:cs="Times New Roman"/>
          <w:sz w:val="24"/>
        </w:rPr>
        <w:t>过程与方法类目标：掌握双人瑜伽练习的体式设计方法；</w:t>
      </w:r>
    </w:p>
    <w:p w14:paraId="22593260"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3. </w:t>
      </w:r>
      <w:r w:rsidRPr="000B25E0">
        <w:rPr>
          <w:rFonts w:ascii="Times New Roman" w:eastAsia="宋体" w:hAnsi="Times New Roman" w:cs="Times New Roman"/>
          <w:sz w:val="24"/>
        </w:rPr>
        <w:t>情感、态度、价值观类目标：具备进行瑜伽动作设计、编排的能力。</w:t>
      </w:r>
    </w:p>
    <w:p w14:paraId="52EE5149"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w:t>
      </w:r>
      <w:r w:rsidRPr="000B25E0">
        <w:rPr>
          <w:rFonts w:ascii="Times New Roman" w:eastAsia="宋体" w:hAnsi="Times New Roman" w:cs="Times New Roman" w:hint="eastAsia"/>
          <w:b/>
          <w:sz w:val="24"/>
        </w:rPr>
        <w:t>课程思政</w:t>
      </w:r>
      <w:r w:rsidRPr="000B25E0">
        <w:rPr>
          <w:rFonts w:ascii="Times New Roman" w:eastAsia="宋体" w:hAnsi="Times New Roman" w:cs="Times New Roman"/>
          <w:b/>
          <w:sz w:val="24"/>
        </w:rPr>
        <w:t>】</w:t>
      </w:r>
    </w:p>
    <w:p w14:paraId="1BB13124"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宋体" w:eastAsia="宋体" w:hAnsi="宋体" w:cs="宋体"/>
          <w:sz w:val="24"/>
          <w:szCs w:val="24"/>
        </w:rPr>
        <w:t>授课时，选择爱国题材的音乐，让学生从音乐中激发爱国的情感，营造爱国的集体氛围。</w:t>
      </w:r>
      <w:r w:rsidRPr="000B25E0">
        <w:rPr>
          <w:rFonts w:ascii="宋体" w:eastAsia="宋体" w:hAnsi="宋体" w:cs="宋体" w:hint="eastAsia"/>
          <w:sz w:val="24"/>
          <w:szCs w:val="24"/>
        </w:rPr>
        <w:t>通过双人瑜伽练习培养</w:t>
      </w:r>
      <w:r w:rsidRPr="000B25E0">
        <w:rPr>
          <w:rFonts w:ascii="Times New Roman" w:eastAsia="宋体" w:hAnsi="Times New Roman" w:cs="Times New Roman" w:hint="eastAsia"/>
          <w:sz w:val="24"/>
        </w:rPr>
        <w:t>学生团结协作，提高其责任感使命感、互帮互助的精神。</w:t>
      </w:r>
    </w:p>
    <w:p w14:paraId="77B700D3"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【学习内容】</w:t>
      </w:r>
    </w:p>
    <w:p w14:paraId="42A79B2F" w14:textId="77777777" w:rsidR="000B25E0" w:rsidRPr="000B25E0" w:rsidRDefault="000B25E0" w:rsidP="000B25E0">
      <w:pPr>
        <w:spacing w:line="440" w:lineRule="exact"/>
        <w:ind w:firstLineChars="200" w:firstLine="480"/>
        <w:rPr>
          <w:rFonts w:ascii="Times New Roman" w:eastAsia="宋体" w:hAnsi="Times New Roman" w:cs="Times New Roman"/>
          <w:b/>
          <w:sz w:val="24"/>
        </w:rPr>
      </w:pPr>
      <w:r w:rsidRPr="000B25E0">
        <w:rPr>
          <w:rFonts w:ascii="Times New Roman" w:eastAsia="宋体" w:hAnsi="Times New Roman" w:cs="Times New Roman"/>
          <w:sz w:val="24"/>
        </w:rPr>
        <w:t>1.</w:t>
      </w:r>
      <w:r w:rsidRPr="000B25E0">
        <w:rPr>
          <w:rFonts w:ascii="Times New Roman" w:eastAsia="宋体" w:hAnsi="Times New Roman" w:cs="Times New Roman"/>
        </w:rPr>
        <w:t xml:space="preserve"> </w:t>
      </w:r>
      <w:r w:rsidRPr="000B25E0">
        <w:rPr>
          <w:rFonts w:ascii="Times New Roman" w:eastAsia="宋体" w:hAnsi="Times New Roman" w:cs="Times New Roman"/>
          <w:sz w:val="24"/>
        </w:rPr>
        <w:t>能够认识什么是双人瑜伽；</w:t>
      </w:r>
    </w:p>
    <w:p w14:paraId="32F92FB8"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2.</w:t>
      </w:r>
      <w:r w:rsidRPr="000B25E0">
        <w:rPr>
          <w:rFonts w:ascii="Times New Roman" w:eastAsia="宋体" w:hAnsi="Times New Roman" w:cs="Times New Roman"/>
        </w:rPr>
        <w:t xml:space="preserve"> </w:t>
      </w:r>
      <w:r w:rsidRPr="000B25E0">
        <w:rPr>
          <w:rFonts w:ascii="Times New Roman" w:eastAsia="宋体" w:hAnsi="Times New Roman" w:cs="Times New Roman"/>
          <w:sz w:val="24"/>
        </w:rPr>
        <w:t>能够明确双人瑜伽练习与单人练习的功效区别和教学指导意义。</w:t>
      </w:r>
    </w:p>
    <w:p w14:paraId="1CA870ED"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【重点】</w:t>
      </w:r>
    </w:p>
    <w:p w14:paraId="0500E7BA"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双人瑜伽练习</w:t>
      </w:r>
      <w:r w:rsidRPr="000B25E0">
        <w:rPr>
          <w:rFonts w:ascii="Times New Roman" w:eastAsia="宋体" w:hAnsi="Times New Roman" w:cs="Times New Roman" w:hint="eastAsia"/>
          <w:sz w:val="24"/>
        </w:rPr>
        <w:t>。</w:t>
      </w:r>
    </w:p>
    <w:p w14:paraId="0EC683D2"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【难点】</w:t>
      </w:r>
    </w:p>
    <w:p w14:paraId="70BBBA12"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lastRenderedPageBreak/>
        <w:t xml:space="preserve">1. </w:t>
      </w:r>
      <w:r w:rsidRPr="000B25E0">
        <w:rPr>
          <w:rFonts w:ascii="Times New Roman" w:eastAsia="宋体" w:hAnsi="Times New Roman" w:cs="Times New Roman"/>
          <w:sz w:val="24"/>
        </w:rPr>
        <w:t>双人瑜伽练习</w:t>
      </w:r>
      <w:r w:rsidRPr="000B25E0">
        <w:rPr>
          <w:rFonts w:ascii="Times New Roman" w:eastAsia="宋体" w:hAnsi="Times New Roman" w:cs="Times New Roman" w:hint="eastAsia"/>
          <w:sz w:val="24"/>
        </w:rPr>
        <w:t>。</w:t>
      </w:r>
    </w:p>
    <w:p w14:paraId="6CDE39E0" w14:textId="77777777" w:rsidR="000B25E0" w:rsidRPr="000B25E0" w:rsidRDefault="000B25E0" w:rsidP="000B25E0">
      <w:pPr>
        <w:spacing w:line="440" w:lineRule="exact"/>
        <w:ind w:firstLineChars="200" w:firstLine="482"/>
        <w:rPr>
          <w:rFonts w:ascii="Times New Roman" w:eastAsia="宋体" w:hAnsi="Times New Roman" w:cs="Times New Roman"/>
          <w:sz w:val="24"/>
        </w:rPr>
      </w:pPr>
      <w:r w:rsidRPr="000B25E0">
        <w:rPr>
          <w:rFonts w:ascii="Times New Roman" w:eastAsia="宋体" w:hAnsi="Times New Roman" w:cs="Times New Roman"/>
          <w:b/>
          <w:bCs/>
          <w:sz w:val="24"/>
        </w:rPr>
        <w:t>【教学方法】</w:t>
      </w:r>
    </w:p>
    <w:p w14:paraId="245F3199"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通过多媒体课件和传统教学相结合，阐明双人瑜伽的设计原理和功效，丰富学生课程与教学的基本知识结构，培养学生的职业规范；</w:t>
      </w:r>
    </w:p>
    <w:p w14:paraId="72FE91B9"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2. </w:t>
      </w:r>
      <w:r w:rsidRPr="000B25E0">
        <w:rPr>
          <w:rFonts w:ascii="Times New Roman" w:eastAsia="宋体" w:hAnsi="Times New Roman" w:cs="Times New Roman"/>
          <w:sz w:val="24"/>
        </w:rPr>
        <w:t>通过案例分析，强调理论与实践相结合，促进学生知识整合，培养学生的反思能力；</w:t>
      </w:r>
    </w:p>
    <w:p w14:paraId="2B294990"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3. </w:t>
      </w:r>
      <w:r w:rsidRPr="000B25E0">
        <w:rPr>
          <w:rFonts w:ascii="Times New Roman" w:eastAsia="宋体" w:hAnsi="Times New Roman" w:cs="Times New Roman"/>
          <w:sz w:val="24"/>
        </w:rPr>
        <w:t>通过小组合作学习，树立育人意识，发展学生的独立分析能力和团队合作能力。</w:t>
      </w:r>
    </w:p>
    <w:p w14:paraId="69F7EDC1" w14:textId="77777777" w:rsidR="000B25E0" w:rsidRPr="000B25E0" w:rsidRDefault="000B25E0" w:rsidP="000B25E0">
      <w:pPr>
        <w:spacing w:line="440" w:lineRule="exact"/>
        <w:ind w:firstLineChars="200" w:firstLine="482"/>
        <w:rPr>
          <w:rFonts w:ascii="Times New Roman" w:eastAsia="宋体" w:hAnsi="Times New Roman" w:cs="Times New Roman"/>
          <w:bCs/>
          <w:sz w:val="24"/>
        </w:rPr>
      </w:pPr>
      <w:r w:rsidRPr="000B25E0">
        <w:rPr>
          <w:rFonts w:ascii="Times New Roman" w:eastAsia="宋体" w:hAnsi="Times New Roman" w:cs="Times New Roman"/>
          <w:b/>
          <w:sz w:val="24"/>
        </w:rPr>
        <w:t>【复习思考】</w:t>
      </w:r>
    </w:p>
    <w:p w14:paraId="6768FA26"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设计一个瑜伽展示动作（时长</w:t>
      </w:r>
      <w:r w:rsidRPr="000B25E0">
        <w:rPr>
          <w:rFonts w:ascii="Times New Roman" w:eastAsia="宋体" w:hAnsi="Times New Roman" w:cs="Times New Roman"/>
          <w:sz w:val="24"/>
        </w:rPr>
        <w:t>120±5</w:t>
      </w:r>
      <w:r w:rsidRPr="000B25E0">
        <w:rPr>
          <w:rFonts w:ascii="Times New Roman" w:eastAsia="宋体" w:hAnsi="Times New Roman" w:cs="Times New Roman"/>
          <w:sz w:val="24"/>
        </w:rPr>
        <w:t>秒）</w:t>
      </w:r>
      <w:r w:rsidRPr="000B25E0">
        <w:rPr>
          <w:rFonts w:ascii="Times New Roman" w:eastAsia="宋体" w:hAnsi="Times New Roman" w:cs="Times New Roman" w:hint="eastAsia"/>
          <w:sz w:val="24"/>
        </w:rPr>
        <w:t>。</w:t>
      </w:r>
    </w:p>
    <w:p w14:paraId="4151795E" w14:textId="77777777" w:rsidR="000B25E0" w:rsidRPr="000B25E0" w:rsidRDefault="000B25E0" w:rsidP="000B25E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0B25E0">
        <w:rPr>
          <w:rFonts w:ascii="Times New Roman" w:eastAsia="黑体" w:hAnsi="Times New Roman" w:cs="Times New Roman"/>
          <w:sz w:val="28"/>
          <w:szCs w:val="28"/>
        </w:rPr>
        <w:t>第</w:t>
      </w:r>
      <w:r w:rsidRPr="000B25E0">
        <w:rPr>
          <w:rFonts w:ascii="Times New Roman" w:eastAsia="黑体" w:hAnsi="Times New Roman" w:cs="Times New Roman" w:hint="eastAsia"/>
          <w:sz w:val="28"/>
          <w:szCs w:val="28"/>
        </w:rPr>
        <w:t>四</w:t>
      </w:r>
      <w:r w:rsidRPr="000B25E0">
        <w:rPr>
          <w:rFonts w:ascii="Times New Roman" w:eastAsia="黑体" w:hAnsi="Times New Roman" w:cs="Times New Roman"/>
          <w:sz w:val="28"/>
          <w:szCs w:val="28"/>
        </w:rPr>
        <w:t>章</w:t>
      </w:r>
      <w:r w:rsidRPr="000B25E0">
        <w:rPr>
          <w:rFonts w:ascii="Times New Roman" w:eastAsia="黑体" w:hAnsi="Times New Roman" w:cs="Times New Roman"/>
          <w:sz w:val="28"/>
          <w:szCs w:val="28"/>
        </w:rPr>
        <w:t xml:space="preserve">  </w:t>
      </w:r>
      <w:proofErr w:type="gramStart"/>
      <w:r w:rsidRPr="000B25E0">
        <w:rPr>
          <w:rFonts w:ascii="Times New Roman" w:eastAsia="黑体" w:hAnsi="Times New Roman" w:cs="Times New Roman"/>
          <w:sz w:val="28"/>
          <w:szCs w:val="28"/>
        </w:rPr>
        <w:t>瑜伽洁肠术</w:t>
      </w:r>
      <w:proofErr w:type="gramEnd"/>
      <w:r w:rsidRPr="000B25E0">
        <w:rPr>
          <w:rFonts w:ascii="Times New Roman" w:eastAsia="黑体" w:hAnsi="Times New Roman" w:cs="Times New Roman"/>
          <w:sz w:val="28"/>
          <w:szCs w:val="28"/>
        </w:rPr>
        <w:t>（</w:t>
      </w:r>
      <w:r w:rsidRPr="000B25E0">
        <w:rPr>
          <w:rFonts w:ascii="Times New Roman" w:eastAsia="黑体" w:hAnsi="Times New Roman" w:cs="Times New Roman"/>
          <w:sz w:val="28"/>
          <w:szCs w:val="28"/>
        </w:rPr>
        <w:t>2</w:t>
      </w:r>
      <w:r w:rsidRPr="000B25E0">
        <w:rPr>
          <w:rFonts w:ascii="Times New Roman" w:eastAsia="黑体" w:hAnsi="Times New Roman" w:cs="Times New Roman"/>
          <w:sz w:val="28"/>
          <w:szCs w:val="28"/>
        </w:rPr>
        <w:t>学时）</w:t>
      </w:r>
    </w:p>
    <w:p w14:paraId="6DA9E4C3"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【学习目标】</w:t>
      </w:r>
    </w:p>
    <w:p w14:paraId="29B9EFF9"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认知类目标：了解瑜伽</w:t>
      </w:r>
      <w:proofErr w:type="gramStart"/>
      <w:r w:rsidRPr="000B25E0">
        <w:rPr>
          <w:rFonts w:ascii="Times New Roman" w:eastAsia="宋体" w:hAnsi="Times New Roman" w:cs="Times New Roman"/>
          <w:sz w:val="24"/>
        </w:rPr>
        <w:t>洁肠术</w:t>
      </w:r>
      <w:proofErr w:type="gramEnd"/>
      <w:r w:rsidRPr="000B25E0">
        <w:rPr>
          <w:rFonts w:ascii="Times New Roman" w:eastAsia="宋体" w:hAnsi="Times New Roman" w:cs="Times New Roman"/>
          <w:sz w:val="24"/>
        </w:rPr>
        <w:t>的适用条件和要求；</w:t>
      </w:r>
    </w:p>
    <w:p w14:paraId="5D37E2EB"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2. </w:t>
      </w:r>
      <w:r w:rsidRPr="000B25E0">
        <w:rPr>
          <w:rFonts w:ascii="Times New Roman" w:eastAsia="宋体" w:hAnsi="Times New Roman" w:cs="Times New Roman"/>
          <w:sz w:val="24"/>
        </w:rPr>
        <w:t>过程与方法类目标：了解瑜伽</w:t>
      </w:r>
      <w:proofErr w:type="gramStart"/>
      <w:r w:rsidRPr="000B25E0">
        <w:rPr>
          <w:rFonts w:ascii="Times New Roman" w:eastAsia="宋体" w:hAnsi="Times New Roman" w:cs="Times New Roman"/>
          <w:sz w:val="24"/>
        </w:rPr>
        <w:t>洁肠术</w:t>
      </w:r>
      <w:proofErr w:type="gramEnd"/>
      <w:r w:rsidRPr="000B25E0">
        <w:rPr>
          <w:rFonts w:ascii="Times New Roman" w:eastAsia="宋体" w:hAnsi="Times New Roman" w:cs="Times New Roman"/>
          <w:sz w:val="24"/>
        </w:rPr>
        <w:t>练习方法和注意事项；</w:t>
      </w:r>
    </w:p>
    <w:p w14:paraId="44094BCE"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3. </w:t>
      </w:r>
      <w:r w:rsidRPr="000B25E0">
        <w:rPr>
          <w:rFonts w:ascii="Times New Roman" w:eastAsia="宋体" w:hAnsi="Times New Roman" w:cs="Times New Roman"/>
          <w:sz w:val="24"/>
        </w:rPr>
        <w:t>情感、态度、价值观类目标：具备应用</w:t>
      </w:r>
      <w:proofErr w:type="gramStart"/>
      <w:r w:rsidRPr="000B25E0">
        <w:rPr>
          <w:rFonts w:ascii="Times New Roman" w:eastAsia="宋体" w:hAnsi="Times New Roman" w:cs="Times New Roman"/>
          <w:sz w:val="24"/>
        </w:rPr>
        <w:t>洁肠术</w:t>
      </w:r>
      <w:proofErr w:type="gramEnd"/>
      <w:r w:rsidRPr="000B25E0">
        <w:rPr>
          <w:rFonts w:ascii="Times New Roman" w:eastAsia="宋体" w:hAnsi="Times New Roman" w:cs="Times New Roman"/>
          <w:sz w:val="24"/>
        </w:rPr>
        <w:t>的能力。</w:t>
      </w:r>
    </w:p>
    <w:p w14:paraId="33ADF009"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【学习内容】</w:t>
      </w:r>
    </w:p>
    <w:p w14:paraId="32DE46B6" w14:textId="77777777" w:rsidR="000B25E0" w:rsidRPr="000B25E0" w:rsidRDefault="000B25E0" w:rsidP="000B25E0">
      <w:pPr>
        <w:spacing w:line="440" w:lineRule="exact"/>
        <w:ind w:firstLineChars="200" w:firstLine="480"/>
        <w:rPr>
          <w:rFonts w:ascii="Times New Roman" w:eastAsia="宋体" w:hAnsi="Times New Roman" w:cs="Times New Roman"/>
          <w:b/>
          <w:sz w:val="24"/>
        </w:rPr>
      </w:pPr>
      <w:r w:rsidRPr="000B25E0">
        <w:rPr>
          <w:rFonts w:ascii="Times New Roman" w:eastAsia="宋体" w:hAnsi="Times New Roman" w:cs="Times New Roman"/>
          <w:sz w:val="24"/>
        </w:rPr>
        <w:t>1.</w:t>
      </w:r>
      <w:r w:rsidRPr="000B25E0">
        <w:rPr>
          <w:rFonts w:ascii="Times New Roman" w:eastAsia="宋体" w:hAnsi="Times New Roman" w:cs="Times New Roman"/>
        </w:rPr>
        <w:t xml:space="preserve"> </w:t>
      </w:r>
      <w:r w:rsidRPr="000B25E0">
        <w:rPr>
          <w:rFonts w:ascii="Times New Roman" w:eastAsia="宋体" w:hAnsi="Times New Roman" w:cs="Times New Roman"/>
          <w:sz w:val="24"/>
        </w:rPr>
        <w:t>能够认识什么是</w:t>
      </w:r>
      <w:proofErr w:type="gramStart"/>
      <w:r w:rsidRPr="000B25E0">
        <w:rPr>
          <w:rFonts w:ascii="Times New Roman" w:eastAsia="宋体" w:hAnsi="Times New Roman" w:cs="Times New Roman"/>
          <w:sz w:val="24"/>
        </w:rPr>
        <w:t>瑜伽洁肠术</w:t>
      </w:r>
      <w:proofErr w:type="gramEnd"/>
      <w:r w:rsidRPr="000B25E0">
        <w:rPr>
          <w:rFonts w:ascii="Times New Roman" w:eastAsia="宋体" w:hAnsi="Times New Roman" w:cs="Times New Roman"/>
          <w:sz w:val="24"/>
        </w:rPr>
        <w:t>；</w:t>
      </w:r>
    </w:p>
    <w:p w14:paraId="144B8BDC"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2.</w:t>
      </w:r>
      <w:r w:rsidRPr="000B25E0">
        <w:rPr>
          <w:rFonts w:ascii="Times New Roman" w:eastAsia="宋体" w:hAnsi="Times New Roman" w:cs="Times New Roman"/>
        </w:rPr>
        <w:t xml:space="preserve"> </w:t>
      </w:r>
      <w:r w:rsidRPr="000B25E0">
        <w:rPr>
          <w:rFonts w:ascii="Times New Roman" w:eastAsia="宋体" w:hAnsi="Times New Roman" w:cs="Times New Roman"/>
          <w:sz w:val="24"/>
        </w:rPr>
        <w:t>能够明确瑜伽</w:t>
      </w:r>
      <w:proofErr w:type="gramStart"/>
      <w:r w:rsidRPr="000B25E0">
        <w:rPr>
          <w:rFonts w:ascii="Times New Roman" w:eastAsia="宋体" w:hAnsi="Times New Roman" w:cs="Times New Roman"/>
          <w:sz w:val="24"/>
        </w:rPr>
        <w:t>洁肠术</w:t>
      </w:r>
      <w:proofErr w:type="gramEnd"/>
      <w:r w:rsidRPr="000B25E0">
        <w:rPr>
          <w:rFonts w:ascii="Times New Roman" w:eastAsia="宋体" w:hAnsi="Times New Roman" w:cs="Times New Roman"/>
          <w:sz w:val="24"/>
        </w:rPr>
        <w:t>的练习功效和教学指导意义；</w:t>
      </w:r>
    </w:p>
    <w:p w14:paraId="3141454C"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3.</w:t>
      </w:r>
      <w:r w:rsidRPr="000B25E0">
        <w:rPr>
          <w:rFonts w:ascii="Times New Roman" w:eastAsia="宋体" w:hAnsi="Times New Roman" w:cs="Times New Roman"/>
        </w:rPr>
        <w:t xml:space="preserve"> </w:t>
      </w:r>
      <w:r w:rsidRPr="000B25E0">
        <w:rPr>
          <w:rFonts w:ascii="Times New Roman" w:eastAsia="宋体" w:hAnsi="Times New Roman" w:cs="Times New Roman"/>
          <w:sz w:val="24"/>
        </w:rPr>
        <w:t>知道如何正确</w:t>
      </w:r>
      <w:proofErr w:type="gramStart"/>
      <w:r w:rsidRPr="000B25E0">
        <w:rPr>
          <w:rFonts w:ascii="Times New Roman" w:eastAsia="宋体" w:hAnsi="Times New Roman" w:cs="Times New Roman"/>
          <w:sz w:val="24"/>
        </w:rPr>
        <w:t>练习洁肠术</w:t>
      </w:r>
      <w:proofErr w:type="gramEnd"/>
      <w:r w:rsidRPr="000B25E0">
        <w:rPr>
          <w:rFonts w:ascii="Times New Roman" w:eastAsia="宋体" w:hAnsi="Times New Roman" w:cs="Times New Roman"/>
          <w:sz w:val="24"/>
        </w:rPr>
        <w:t>。</w:t>
      </w:r>
    </w:p>
    <w:p w14:paraId="300C4E4D"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【重点】</w:t>
      </w:r>
    </w:p>
    <w:p w14:paraId="6324A3B5" w14:textId="77777777" w:rsidR="000B25E0" w:rsidRPr="000B25E0" w:rsidRDefault="000B25E0" w:rsidP="000B25E0">
      <w:pPr>
        <w:spacing w:line="440" w:lineRule="exact"/>
        <w:ind w:firstLineChars="200" w:firstLine="480"/>
        <w:rPr>
          <w:rFonts w:ascii="Times New Roman" w:eastAsia="宋体" w:hAnsi="Times New Roman" w:cs="Times New Roman"/>
          <w:b/>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kern w:val="0"/>
          <w:sz w:val="24"/>
        </w:rPr>
        <w:t>瑜伽</w:t>
      </w:r>
      <w:proofErr w:type="gramStart"/>
      <w:r w:rsidRPr="000B25E0">
        <w:rPr>
          <w:rFonts w:ascii="Times New Roman" w:eastAsia="宋体" w:hAnsi="Times New Roman" w:cs="Times New Roman"/>
          <w:kern w:val="0"/>
          <w:sz w:val="24"/>
        </w:rPr>
        <w:t>洁肠术</w:t>
      </w:r>
      <w:proofErr w:type="gramEnd"/>
      <w:r w:rsidRPr="000B25E0">
        <w:rPr>
          <w:rFonts w:ascii="Times New Roman" w:eastAsia="宋体" w:hAnsi="Times New Roman" w:cs="Times New Roman"/>
          <w:kern w:val="0"/>
          <w:sz w:val="24"/>
        </w:rPr>
        <w:t>练习方法和注意事项</w:t>
      </w:r>
      <w:r w:rsidRPr="000B25E0">
        <w:rPr>
          <w:rFonts w:ascii="Times New Roman" w:eastAsia="宋体" w:hAnsi="Times New Roman" w:cs="Times New Roman" w:hint="eastAsia"/>
          <w:kern w:val="0"/>
          <w:sz w:val="24"/>
        </w:rPr>
        <w:t>。</w:t>
      </w:r>
    </w:p>
    <w:p w14:paraId="0FA93864"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【难点】</w:t>
      </w:r>
    </w:p>
    <w:p w14:paraId="69E4FB70"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kern w:val="0"/>
          <w:sz w:val="24"/>
        </w:rPr>
        <w:t>瑜伽</w:t>
      </w:r>
      <w:proofErr w:type="gramStart"/>
      <w:r w:rsidRPr="000B25E0">
        <w:rPr>
          <w:rFonts w:ascii="Times New Roman" w:eastAsia="宋体" w:hAnsi="Times New Roman" w:cs="Times New Roman"/>
          <w:kern w:val="0"/>
          <w:sz w:val="24"/>
        </w:rPr>
        <w:t>洁肠术</w:t>
      </w:r>
      <w:proofErr w:type="gramEnd"/>
      <w:r w:rsidRPr="000B25E0">
        <w:rPr>
          <w:rFonts w:ascii="Times New Roman" w:eastAsia="宋体" w:hAnsi="Times New Roman" w:cs="Times New Roman"/>
          <w:kern w:val="0"/>
          <w:sz w:val="24"/>
        </w:rPr>
        <w:t>练习方法和注意事项</w:t>
      </w:r>
      <w:r w:rsidRPr="000B25E0">
        <w:rPr>
          <w:rFonts w:ascii="Times New Roman" w:eastAsia="宋体" w:hAnsi="Times New Roman" w:cs="Times New Roman" w:hint="eastAsia"/>
          <w:kern w:val="0"/>
          <w:sz w:val="24"/>
        </w:rPr>
        <w:t>。</w:t>
      </w:r>
    </w:p>
    <w:p w14:paraId="108EF0DA" w14:textId="77777777" w:rsidR="000B25E0" w:rsidRPr="000B25E0" w:rsidRDefault="000B25E0" w:rsidP="000B25E0">
      <w:pPr>
        <w:spacing w:line="440" w:lineRule="exact"/>
        <w:ind w:firstLineChars="200" w:firstLine="482"/>
        <w:rPr>
          <w:rFonts w:ascii="Times New Roman" w:eastAsia="宋体" w:hAnsi="Times New Roman" w:cs="Times New Roman"/>
          <w:sz w:val="24"/>
        </w:rPr>
      </w:pPr>
      <w:r w:rsidRPr="000B25E0">
        <w:rPr>
          <w:rFonts w:ascii="Times New Roman" w:eastAsia="宋体" w:hAnsi="Times New Roman" w:cs="Times New Roman"/>
          <w:b/>
          <w:bCs/>
          <w:sz w:val="24"/>
        </w:rPr>
        <w:t>【教学方法】</w:t>
      </w:r>
    </w:p>
    <w:p w14:paraId="56BA83A8"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通过多媒体课件和传统教学相结合，阐明</w:t>
      </w:r>
      <w:proofErr w:type="gramStart"/>
      <w:r w:rsidRPr="000B25E0">
        <w:rPr>
          <w:rFonts w:ascii="Times New Roman" w:eastAsia="宋体" w:hAnsi="Times New Roman" w:cs="Times New Roman"/>
          <w:sz w:val="24"/>
        </w:rPr>
        <w:t>洁肠术</w:t>
      </w:r>
      <w:proofErr w:type="gramEnd"/>
      <w:r w:rsidRPr="000B25E0">
        <w:rPr>
          <w:rFonts w:ascii="Times New Roman" w:eastAsia="宋体" w:hAnsi="Times New Roman" w:cs="Times New Roman"/>
          <w:sz w:val="24"/>
        </w:rPr>
        <w:t>的基本要求和功效，丰富学生课程与教学的基本知识结构，培养学生的职业规范；</w:t>
      </w:r>
    </w:p>
    <w:p w14:paraId="4C59A12B"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2. </w:t>
      </w:r>
      <w:r w:rsidRPr="000B25E0">
        <w:rPr>
          <w:rFonts w:ascii="Times New Roman" w:eastAsia="宋体" w:hAnsi="Times New Roman" w:cs="Times New Roman"/>
          <w:sz w:val="24"/>
        </w:rPr>
        <w:t>通过案例分析，强调理论与实践相结合，促进学生知识整合，培养学生的反思能力。</w:t>
      </w:r>
    </w:p>
    <w:p w14:paraId="2588BFFF" w14:textId="77777777" w:rsidR="000B25E0" w:rsidRPr="000B25E0" w:rsidRDefault="000B25E0" w:rsidP="000B25E0">
      <w:pPr>
        <w:spacing w:line="440" w:lineRule="exact"/>
        <w:ind w:firstLineChars="200" w:firstLine="482"/>
        <w:rPr>
          <w:rFonts w:ascii="Times New Roman" w:eastAsia="宋体" w:hAnsi="Times New Roman" w:cs="Times New Roman"/>
          <w:bCs/>
          <w:sz w:val="24"/>
        </w:rPr>
      </w:pPr>
      <w:r w:rsidRPr="000B25E0">
        <w:rPr>
          <w:rFonts w:ascii="Times New Roman" w:eastAsia="宋体" w:hAnsi="Times New Roman" w:cs="Times New Roman"/>
          <w:b/>
          <w:sz w:val="24"/>
        </w:rPr>
        <w:t>【复习思考】</w:t>
      </w:r>
    </w:p>
    <w:p w14:paraId="0A3A5728"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瑜伽</w:t>
      </w:r>
      <w:proofErr w:type="gramStart"/>
      <w:r w:rsidRPr="000B25E0">
        <w:rPr>
          <w:rFonts w:ascii="Times New Roman" w:eastAsia="宋体" w:hAnsi="Times New Roman" w:cs="Times New Roman"/>
          <w:sz w:val="24"/>
        </w:rPr>
        <w:t>洁肠术</w:t>
      </w:r>
      <w:proofErr w:type="gramEnd"/>
      <w:r w:rsidRPr="000B25E0">
        <w:rPr>
          <w:rFonts w:ascii="Times New Roman" w:eastAsia="宋体" w:hAnsi="Times New Roman" w:cs="Times New Roman"/>
          <w:sz w:val="24"/>
        </w:rPr>
        <w:t>练习</w:t>
      </w:r>
      <w:r w:rsidRPr="000B25E0">
        <w:rPr>
          <w:rFonts w:ascii="Times New Roman" w:eastAsia="宋体" w:hAnsi="Times New Roman" w:cs="Times New Roman" w:hint="eastAsia"/>
          <w:sz w:val="24"/>
        </w:rPr>
        <w:t>。</w:t>
      </w:r>
    </w:p>
    <w:p w14:paraId="7B2E51E0" w14:textId="77777777" w:rsidR="000B25E0" w:rsidRPr="000B25E0" w:rsidRDefault="000B25E0" w:rsidP="000B25E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0B25E0">
        <w:rPr>
          <w:rFonts w:ascii="Times New Roman" w:eastAsia="黑体" w:hAnsi="Times New Roman" w:cs="Times New Roman"/>
          <w:sz w:val="28"/>
          <w:szCs w:val="28"/>
        </w:rPr>
        <w:lastRenderedPageBreak/>
        <w:t>第</w:t>
      </w:r>
      <w:r w:rsidRPr="000B25E0">
        <w:rPr>
          <w:rFonts w:ascii="Times New Roman" w:eastAsia="黑体" w:hAnsi="Times New Roman" w:cs="Times New Roman" w:hint="eastAsia"/>
          <w:sz w:val="28"/>
          <w:szCs w:val="28"/>
        </w:rPr>
        <w:t>五</w:t>
      </w:r>
      <w:r w:rsidRPr="000B25E0">
        <w:rPr>
          <w:rFonts w:ascii="Times New Roman" w:eastAsia="黑体" w:hAnsi="Times New Roman" w:cs="Times New Roman"/>
          <w:sz w:val="28"/>
          <w:szCs w:val="28"/>
        </w:rPr>
        <w:t>章</w:t>
      </w:r>
      <w:r w:rsidRPr="000B25E0">
        <w:rPr>
          <w:rFonts w:ascii="Times New Roman" w:eastAsia="黑体" w:hAnsi="Times New Roman" w:cs="Times New Roman"/>
          <w:sz w:val="28"/>
          <w:szCs w:val="28"/>
        </w:rPr>
        <w:t xml:space="preserve">  </w:t>
      </w:r>
      <w:r w:rsidRPr="000B25E0">
        <w:rPr>
          <w:rFonts w:ascii="Times New Roman" w:eastAsia="黑体" w:hAnsi="Times New Roman" w:cs="Times New Roman"/>
          <w:sz w:val="28"/>
          <w:szCs w:val="28"/>
        </w:rPr>
        <w:t>健身瑜伽竞赛规则与裁判法（</w:t>
      </w:r>
      <w:r w:rsidRPr="000B25E0">
        <w:rPr>
          <w:rFonts w:ascii="Times New Roman" w:eastAsia="黑体" w:hAnsi="Times New Roman" w:cs="Times New Roman"/>
          <w:sz w:val="28"/>
          <w:szCs w:val="28"/>
        </w:rPr>
        <w:t>2</w:t>
      </w:r>
      <w:r w:rsidRPr="000B25E0">
        <w:rPr>
          <w:rFonts w:ascii="Times New Roman" w:eastAsia="黑体" w:hAnsi="Times New Roman" w:cs="Times New Roman"/>
          <w:sz w:val="28"/>
          <w:szCs w:val="28"/>
        </w:rPr>
        <w:t>学时）</w:t>
      </w:r>
    </w:p>
    <w:p w14:paraId="3B07EEFE"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【学习目标】</w:t>
      </w:r>
    </w:p>
    <w:p w14:paraId="3A68606A"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认知类目标：了解健身瑜伽竞赛规则和裁判法内容，；</w:t>
      </w:r>
    </w:p>
    <w:p w14:paraId="514789B0"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2. </w:t>
      </w:r>
      <w:r w:rsidRPr="000B25E0">
        <w:rPr>
          <w:rFonts w:ascii="Times New Roman" w:eastAsia="宋体" w:hAnsi="Times New Roman" w:cs="Times New Roman"/>
          <w:sz w:val="24"/>
        </w:rPr>
        <w:t>过程与方法类目标：了解健身瑜伽比赛参赛和</w:t>
      </w:r>
      <w:proofErr w:type="gramStart"/>
      <w:r w:rsidRPr="000B25E0">
        <w:rPr>
          <w:rFonts w:ascii="Times New Roman" w:eastAsia="宋体" w:hAnsi="Times New Roman" w:cs="Times New Roman"/>
          <w:sz w:val="24"/>
        </w:rPr>
        <w:t>执裁</w:t>
      </w:r>
      <w:proofErr w:type="gramEnd"/>
      <w:r w:rsidRPr="000B25E0">
        <w:rPr>
          <w:rFonts w:ascii="Times New Roman" w:eastAsia="宋体" w:hAnsi="Times New Roman" w:cs="Times New Roman"/>
          <w:sz w:val="24"/>
        </w:rPr>
        <w:t>的基本方法；</w:t>
      </w:r>
    </w:p>
    <w:p w14:paraId="407A1435"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3. </w:t>
      </w:r>
      <w:r w:rsidRPr="000B25E0">
        <w:rPr>
          <w:rFonts w:ascii="Times New Roman" w:eastAsia="宋体" w:hAnsi="Times New Roman" w:cs="Times New Roman"/>
          <w:sz w:val="24"/>
        </w:rPr>
        <w:t>情感、态度、价值观类目标：初步具备可以参赛和</w:t>
      </w:r>
      <w:proofErr w:type="gramStart"/>
      <w:r w:rsidRPr="000B25E0">
        <w:rPr>
          <w:rFonts w:ascii="Times New Roman" w:eastAsia="宋体" w:hAnsi="Times New Roman" w:cs="Times New Roman"/>
          <w:sz w:val="24"/>
        </w:rPr>
        <w:t>执裁</w:t>
      </w:r>
      <w:proofErr w:type="gramEnd"/>
      <w:r w:rsidRPr="000B25E0">
        <w:rPr>
          <w:rFonts w:ascii="Times New Roman" w:eastAsia="宋体" w:hAnsi="Times New Roman" w:cs="Times New Roman"/>
          <w:sz w:val="24"/>
        </w:rPr>
        <w:t>的能力。</w:t>
      </w:r>
    </w:p>
    <w:p w14:paraId="266604FB"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w:t>
      </w:r>
      <w:r w:rsidRPr="000B25E0">
        <w:rPr>
          <w:rFonts w:ascii="Times New Roman" w:eastAsia="宋体" w:hAnsi="Times New Roman" w:cs="Times New Roman" w:hint="eastAsia"/>
          <w:b/>
          <w:sz w:val="24"/>
        </w:rPr>
        <w:t>课程思政</w:t>
      </w:r>
      <w:r w:rsidRPr="000B25E0">
        <w:rPr>
          <w:rFonts w:ascii="Times New Roman" w:eastAsia="宋体" w:hAnsi="Times New Roman" w:cs="Times New Roman"/>
          <w:b/>
          <w:sz w:val="24"/>
        </w:rPr>
        <w:t>】</w:t>
      </w:r>
    </w:p>
    <w:p w14:paraId="32D9CEDA" w14:textId="77777777" w:rsidR="000B25E0" w:rsidRPr="000B25E0" w:rsidRDefault="000B25E0" w:rsidP="000B25E0">
      <w:pPr>
        <w:spacing w:line="440" w:lineRule="exact"/>
        <w:ind w:firstLineChars="200" w:firstLine="480"/>
        <w:rPr>
          <w:rFonts w:ascii="宋体" w:eastAsia="宋体" w:hAnsi="宋体" w:cs="宋体"/>
          <w:sz w:val="24"/>
          <w:szCs w:val="24"/>
        </w:rPr>
      </w:pPr>
      <w:r w:rsidRPr="000B25E0">
        <w:rPr>
          <w:rFonts w:ascii="宋体" w:eastAsia="宋体" w:hAnsi="宋体" w:cs="宋体" w:hint="eastAsia"/>
          <w:sz w:val="24"/>
          <w:szCs w:val="24"/>
        </w:rPr>
        <w:t>培养学生</w:t>
      </w:r>
      <w:r w:rsidRPr="000B25E0">
        <w:rPr>
          <w:rFonts w:ascii="宋体" w:eastAsia="宋体" w:hAnsi="宋体" w:cs="宋体"/>
          <w:sz w:val="24"/>
          <w:szCs w:val="24"/>
        </w:rPr>
        <w:t>遵守和敬畏规则</w:t>
      </w:r>
      <w:r w:rsidRPr="000B25E0">
        <w:rPr>
          <w:rFonts w:ascii="宋体" w:eastAsia="宋体" w:hAnsi="宋体" w:cs="宋体" w:hint="eastAsia"/>
          <w:sz w:val="24"/>
          <w:szCs w:val="24"/>
        </w:rPr>
        <w:t>意识</w:t>
      </w:r>
    </w:p>
    <w:p w14:paraId="68E1477A"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【学习内容】</w:t>
      </w:r>
    </w:p>
    <w:p w14:paraId="257FFBB3" w14:textId="77777777" w:rsidR="000B25E0" w:rsidRPr="000B25E0" w:rsidRDefault="000B25E0" w:rsidP="000B25E0">
      <w:pPr>
        <w:spacing w:line="440" w:lineRule="exact"/>
        <w:ind w:firstLineChars="200" w:firstLine="480"/>
        <w:rPr>
          <w:rFonts w:ascii="Times New Roman" w:eastAsia="宋体" w:hAnsi="Times New Roman" w:cs="Times New Roman"/>
          <w:b/>
          <w:sz w:val="24"/>
        </w:rPr>
      </w:pPr>
      <w:r w:rsidRPr="000B25E0">
        <w:rPr>
          <w:rFonts w:ascii="Times New Roman" w:eastAsia="宋体" w:hAnsi="Times New Roman" w:cs="Times New Roman"/>
          <w:sz w:val="24"/>
        </w:rPr>
        <w:t>1.</w:t>
      </w:r>
      <w:r w:rsidRPr="000B25E0">
        <w:rPr>
          <w:rFonts w:ascii="Times New Roman" w:eastAsia="宋体" w:hAnsi="Times New Roman" w:cs="Times New Roman"/>
        </w:rPr>
        <w:t xml:space="preserve"> </w:t>
      </w:r>
      <w:r w:rsidRPr="000B25E0">
        <w:rPr>
          <w:rFonts w:ascii="Times New Roman" w:eastAsia="宋体" w:hAnsi="Times New Roman" w:cs="Times New Roman"/>
          <w:sz w:val="24"/>
        </w:rPr>
        <w:t>初步认识健身瑜伽竞赛规则；</w:t>
      </w:r>
    </w:p>
    <w:p w14:paraId="39E7B67A"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2.</w:t>
      </w:r>
      <w:r w:rsidRPr="000B25E0">
        <w:rPr>
          <w:rFonts w:ascii="Times New Roman" w:eastAsia="宋体" w:hAnsi="Times New Roman" w:cs="Times New Roman"/>
        </w:rPr>
        <w:t xml:space="preserve"> </w:t>
      </w:r>
      <w:r w:rsidRPr="000B25E0">
        <w:rPr>
          <w:rFonts w:ascii="Times New Roman" w:eastAsia="宋体" w:hAnsi="Times New Roman" w:cs="Times New Roman"/>
          <w:sz w:val="24"/>
        </w:rPr>
        <w:t>初步认识健身瑜伽裁判法；</w:t>
      </w:r>
    </w:p>
    <w:p w14:paraId="095045DC"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3.</w:t>
      </w:r>
      <w:r w:rsidRPr="000B25E0">
        <w:rPr>
          <w:rFonts w:ascii="Times New Roman" w:eastAsia="宋体" w:hAnsi="Times New Roman" w:cs="Times New Roman"/>
        </w:rPr>
        <w:t xml:space="preserve"> </w:t>
      </w:r>
      <w:r w:rsidRPr="000B25E0">
        <w:rPr>
          <w:rFonts w:ascii="Times New Roman" w:eastAsia="宋体" w:hAnsi="Times New Roman" w:cs="Times New Roman"/>
          <w:sz w:val="24"/>
        </w:rPr>
        <w:t>获得本课程的学习建议。</w:t>
      </w:r>
    </w:p>
    <w:p w14:paraId="6794ACBC"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【重点】</w:t>
      </w:r>
    </w:p>
    <w:p w14:paraId="4DB3A1C1" w14:textId="77777777" w:rsidR="000B25E0" w:rsidRPr="000B25E0" w:rsidRDefault="000B25E0" w:rsidP="000B25E0">
      <w:pPr>
        <w:spacing w:line="440" w:lineRule="exact"/>
        <w:ind w:firstLineChars="200" w:firstLine="480"/>
        <w:rPr>
          <w:rFonts w:ascii="Times New Roman" w:eastAsia="宋体" w:hAnsi="Times New Roman" w:cs="Times New Roman"/>
          <w:b/>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kern w:val="0"/>
          <w:sz w:val="24"/>
        </w:rPr>
        <w:t>健身瑜伽竞赛规则中具体要求</w:t>
      </w:r>
      <w:r w:rsidRPr="000B25E0">
        <w:rPr>
          <w:rFonts w:ascii="Times New Roman" w:eastAsia="宋体" w:hAnsi="Times New Roman" w:cs="Times New Roman" w:hint="eastAsia"/>
          <w:kern w:val="0"/>
          <w:sz w:val="24"/>
        </w:rPr>
        <w:t>。</w:t>
      </w:r>
    </w:p>
    <w:p w14:paraId="7F5153CF" w14:textId="77777777" w:rsidR="000B25E0" w:rsidRPr="000B25E0" w:rsidRDefault="000B25E0" w:rsidP="000B25E0">
      <w:pPr>
        <w:spacing w:line="440" w:lineRule="exact"/>
        <w:ind w:firstLineChars="200" w:firstLine="482"/>
        <w:rPr>
          <w:rFonts w:ascii="Times New Roman" w:eastAsia="宋体" w:hAnsi="Times New Roman" w:cs="Times New Roman"/>
          <w:b/>
          <w:sz w:val="24"/>
        </w:rPr>
      </w:pPr>
      <w:r w:rsidRPr="000B25E0">
        <w:rPr>
          <w:rFonts w:ascii="Times New Roman" w:eastAsia="宋体" w:hAnsi="Times New Roman" w:cs="Times New Roman"/>
          <w:b/>
          <w:sz w:val="24"/>
        </w:rPr>
        <w:t>【难点】</w:t>
      </w:r>
    </w:p>
    <w:p w14:paraId="6E091F36"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健身瑜伽裁判法</w:t>
      </w:r>
      <w:r w:rsidRPr="000B25E0">
        <w:rPr>
          <w:rFonts w:ascii="Times New Roman" w:eastAsia="宋体" w:hAnsi="Times New Roman" w:cs="Times New Roman" w:hint="eastAsia"/>
          <w:sz w:val="24"/>
        </w:rPr>
        <w:t>。</w:t>
      </w:r>
    </w:p>
    <w:p w14:paraId="6EFF53EC" w14:textId="77777777" w:rsidR="000B25E0" w:rsidRPr="000B25E0" w:rsidRDefault="000B25E0" w:rsidP="000B25E0">
      <w:pPr>
        <w:spacing w:line="440" w:lineRule="exact"/>
        <w:ind w:firstLineChars="200" w:firstLine="482"/>
        <w:rPr>
          <w:rFonts w:ascii="Times New Roman" w:eastAsia="宋体" w:hAnsi="Times New Roman" w:cs="Times New Roman"/>
          <w:sz w:val="24"/>
        </w:rPr>
      </w:pPr>
      <w:r w:rsidRPr="000B25E0">
        <w:rPr>
          <w:rFonts w:ascii="Times New Roman" w:eastAsia="宋体" w:hAnsi="Times New Roman" w:cs="Times New Roman"/>
          <w:b/>
          <w:bCs/>
          <w:sz w:val="24"/>
        </w:rPr>
        <w:t>【教学方法】</w:t>
      </w:r>
    </w:p>
    <w:p w14:paraId="544387EF"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通过多媒体课件和传统教学相结合，阐明健身瑜伽竞赛规则和裁判法的基本内容，丰富学生课程与教学的基本知识结构，培养学生的职业规范；</w:t>
      </w:r>
    </w:p>
    <w:p w14:paraId="3DC2B7C3"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2. </w:t>
      </w:r>
      <w:r w:rsidRPr="000B25E0">
        <w:rPr>
          <w:rFonts w:ascii="Times New Roman" w:eastAsia="宋体" w:hAnsi="Times New Roman" w:cs="Times New Roman"/>
          <w:sz w:val="24"/>
        </w:rPr>
        <w:t>通过案例分析，强调理论与实践相结合，促进学生知识整合，培养学生的反思能力。</w:t>
      </w:r>
    </w:p>
    <w:p w14:paraId="721088CE" w14:textId="77777777" w:rsidR="000B25E0" w:rsidRPr="000B25E0" w:rsidRDefault="000B25E0" w:rsidP="000B25E0">
      <w:pPr>
        <w:spacing w:line="440" w:lineRule="exact"/>
        <w:ind w:firstLineChars="200" w:firstLine="482"/>
        <w:rPr>
          <w:rFonts w:ascii="Times New Roman" w:eastAsia="宋体" w:hAnsi="Times New Roman" w:cs="Times New Roman"/>
          <w:bCs/>
          <w:sz w:val="24"/>
        </w:rPr>
      </w:pPr>
      <w:r w:rsidRPr="000B25E0">
        <w:rPr>
          <w:rFonts w:ascii="Times New Roman" w:eastAsia="宋体" w:hAnsi="Times New Roman" w:cs="Times New Roman"/>
          <w:b/>
          <w:sz w:val="24"/>
        </w:rPr>
        <w:t>【复习思考】</w:t>
      </w:r>
    </w:p>
    <w:p w14:paraId="7F5D4649"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 xml:space="preserve">1. </w:t>
      </w:r>
      <w:r w:rsidRPr="000B25E0">
        <w:rPr>
          <w:rFonts w:ascii="Times New Roman" w:eastAsia="宋体" w:hAnsi="Times New Roman" w:cs="Times New Roman"/>
          <w:sz w:val="24"/>
        </w:rPr>
        <w:t>针对健身瑜伽竞赛规则要求，设计参赛技术动作</w:t>
      </w:r>
      <w:r w:rsidRPr="000B25E0">
        <w:rPr>
          <w:rFonts w:ascii="Times New Roman" w:eastAsia="宋体" w:hAnsi="Times New Roman" w:cs="Times New Roman"/>
          <w:sz w:val="24"/>
        </w:rPr>
        <w:t xml:space="preserve"> </w:t>
      </w:r>
      <w:r w:rsidRPr="000B25E0">
        <w:rPr>
          <w:rFonts w:ascii="Times New Roman" w:eastAsia="宋体" w:hAnsi="Times New Roman" w:cs="Times New Roman" w:hint="eastAsia"/>
          <w:sz w:val="24"/>
        </w:rPr>
        <w:t>。</w:t>
      </w:r>
    </w:p>
    <w:p w14:paraId="385E5DAC" w14:textId="77777777" w:rsidR="000B25E0" w:rsidRPr="000B25E0" w:rsidRDefault="000B25E0" w:rsidP="000B25E0">
      <w:pPr>
        <w:spacing w:line="440" w:lineRule="exact"/>
        <w:rPr>
          <w:rFonts w:ascii="Times New Roman" w:eastAsia="宋体" w:hAnsi="Times New Roman" w:cs="Times New Roman"/>
          <w:sz w:val="24"/>
        </w:rPr>
      </w:pPr>
    </w:p>
    <w:p w14:paraId="173C72C4" w14:textId="77777777" w:rsidR="000B25E0" w:rsidRPr="000B25E0" w:rsidRDefault="000B25E0" w:rsidP="000B25E0">
      <w:pPr>
        <w:spacing w:line="440" w:lineRule="exact"/>
        <w:jc w:val="center"/>
        <w:rPr>
          <w:rFonts w:ascii="宋体" w:eastAsia="宋体" w:hAnsi="宋体" w:cs="宋体"/>
          <w:b/>
          <w:bCs/>
          <w:sz w:val="28"/>
          <w:szCs w:val="28"/>
        </w:rPr>
      </w:pPr>
      <w:r w:rsidRPr="000B25E0">
        <w:rPr>
          <w:rFonts w:ascii="宋体" w:eastAsia="宋体" w:hAnsi="宋体" w:cs="宋体" w:hint="eastAsia"/>
          <w:b/>
          <w:bCs/>
          <w:sz w:val="28"/>
          <w:szCs w:val="28"/>
        </w:rPr>
        <w:t>第六章 大学生体质健康测评（2学时）</w:t>
      </w:r>
    </w:p>
    <w:p w14:paraId="050B9688"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b/>
          <w:bCs/>
          <w:sz w:val="24"/>
        </w:rPr>
        <w:t>本章主要教学内容：</w:t>
      </w:r>
      <w:r w:rsidRPr="000B25E0">
        <w:rPr>
          <w:rFonts w:ascii="Times New Roman" w:eastAsia="宋体" w:hAnsi="Times New Roman" w:cs="Times New Roman" w:hint="eastAsia"/>
          <w:sz w:val="24"/>
        </w:rPr>
        <w:t xml:space="preserve"> </w:t>
      </w:r>
    </w:p>
    <w:p w14:paraId="289AA444"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3.1 </w:t>
      </w:r>
      <w:r w:rsidRPr="000B25E0">
        <w:rPr>
          <w:rFonts w:ascii="Times New Roman" w:eastAsia="宋体" w:hAnsi="Times New Roman" w:cs="Times New Roman" w:hint="eastAsia"/>
          <w:sz w:val="24"/>
        </w:rPr>
        <w:t>《国家学生体质健康标准》实施说明</w:t>
      </w:r>
      <w:r w:rsidRPr="000B25E0">
        <w:rPr>
          <w:rFonts w:ascii="Times New Roman" w:eastAsia="宋体" w:hAnsi="Times New Roman" w:cs="Times New Roman" w:hint="eastAsia"/>
          <w:sz w:val="24"/>
        </w:rPr>
        <w:t xml:space="preserve"> </w:t>
      </w:r>
    </w:p>
    <w:p w14:paraId="4F9C9BC5"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3.2 </w:t>
      </w:r>
      <w:r w:rsidRPr="000B25E0">
        <w:rPr>
          <w:rFonts w:ascii="Times New Roman" w:eastAsia="宋体" w:hAnsi="Times New Roman" w:cs="Times New Roman" w:hint="eastAsia"/>
          <w:sz w:val="24"/>
        </w:rPr>
        <w:t>《国家学生体质健康标准》测试评分表</w:t>
      </w:r>
      <w:r w:rsidRPr="000B25E0">
        <w:rPr>
          <w:rFonts w:ascii="Times New Roman" w:eastAsia="宋体" w:hAnsi="Times New Roman" w:cs="Times New Roman" w:hint="eastAsia"/>
          <w:sz w:val="24"/>
        </w:rPr>
        <w:t xml:space="preserve"> </w:t>
      </w:r>
    </w:p>
    <w:p w14:paraId="4610B0F4"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b/>
          <w:bCs/>
          <w:sz w:val="24"/>
        </w:rPr>
        <w:t>本章教学目的及要求</w:t>
      </w:r>
      <w:r w:rsidRPr="000B25E0">
        <w:rPr>
          <w:rFonts w:ascii="Times New Roman" w:eastAsia="宋体" w:hAnsi="Times New Roman" w:cs="Times New Roman" w:hint="eastAsia"/>
          <w:sz w:val="24"/>
        </w:rPr>
        <w:t>：使学生了解体质健康的主要内容及要求。</w:t>
      </w:r>
      <w:r w:rsidRPr="000B25E0">
        <w:rPr>
          <w:rFonts w:ascii="Times New Roman" w:eastAsia="宋体" w:hAnsi="Times New Roman" w:cs="Times New Roman" w:hint="eastAsia"/>
          <w:sz w:val="24"/>
        </w:rPr>
        <w:t xml:space="preserve"> </w:t>
      </w:r>
    </w:p>
    <w:p w14:paraId="0961590F"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b/>
          <w:bCs/>
          <w:sz w:val="24"/>
        </w:rPr>
        <w:t>本章教学重点及难点</w:t>
      </w:r>
      <w:r w:rsidRPr="000B25E0">
        <w:rPr>
          <w:rFonts w:ascii="Times New Roman" w:eastAsia="宋体" w:hAnsi="Times New Roman" w:cs="Times New Roman" w:hint="eastAsia"/>
          <w:sz w:val="24"/>
        </w:rPr>
        <w:t>：学生体质健康标准的重要性；如何激发学生锻炼身体</w:t>
      </w:r>
      <w:r w:rsidRPr="000B25E0">
        <w:rPr>
          <w:rFonts w:ascii="Times New Roman" w:eastAsia="宋体" w:hAnsi="Times New Roman" w:cs="Times New Roman" w:hint="eastAsia"/>
          <w:sz w:val="24"/>
        </w:rPr>
        <w:t xml:space="preserve"> </w:t>
      </w:r>
    </w:p>
    <w:p w14:paraId="76A254CF"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的积极性和自觉性。</w:t>
      </w:r>
      <w:r w:rsidRPr="000B25E0">
        <w:rPr>
          <w:rFonts w:ascii="Times New Roman" w:eastAsia="宋体" w:hAnsi="Times New Roman" w:cs="Times New Roman" w:hint="eastAsia"/>
          <w:sz w:val="24"/>
        </w:rPr>
        <w:t xml:space="preserve"> </w:t>
      </w:r>
    </w:p>
    <w:p w14:paraId="4C9C8A86"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b/>
          <w:bCs/>
          <w:sz w:val="24"/>
        </w:rPr>
        <w:lastRenderedPageBreak/>
        <w:t>【重点】</w:t>
      </w:r>
      <w:r w:rsidRPr="000B25E0">
        <w:rPr>
          <w:rFonts w:ascii="Times New Roman" w:eastAsia="宋体" w:hAnsi="Times New Roman" w:cs="Times New Roman" w:hint="eastAsia"/>
          <w:sz w:val="24"/>
        </w:rPr>
        <w:t xml:space="preserve"> </w:t>
      </w:r>
    </w:p>
    <w:p w14:paraId="2C7B244D"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1.</w:t>
      </w:r>
      <w:r w:rsidRPr="000B25E0">
        <w:rPr>
          <w:rFonts w:ascii="Times New Roman" w:eastAsia="宋体" w:hAnsi="Times New Roman" w:cs="Times New Roman" w:hint="eastAsia"/>
          <w:sz w:val="24"/>
        </w:rPr>
        <w:t>使同学们了解自身健康的重要性及如何维护、促进自身的健康。</w:t>
      </w:r>
      <w:r w:rsidRPr="000B25E0">
        <w:rPr>
          <w:rFonts w:ascii="Times New Roman" w:eastAsia="宋体" w:hAnsi="Times New Roman" w:cs="Times New Roman" w:hint="eastAsia"/>
          <w:sz w:val="24"/>
        </w:rPr>
        <w:t xml:space="preserve"> </w:t>
      </w:r>
    </w:p>
    <w:p w14:paraId="0B2C6DDA"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2.</w:t>
      </w:r>
      <w:r w:rsidRPr="000B25E0">
        <w:rPr>
          <w:rFonts w:ascii="Times New Roman" w:eastAsia="宋体" w:hAnsi="Times New Roman" w:cs="Times New Roman" w:hint="eastAsia"/>
          <w:sz w:val="24"/>
        </w:rPr>
        <w:t>使学生了解健身新理念及运动处方如何制定。</w:t>
      </w:r>
      <w:r w:rsidRPr="000B25E0">
        <w:rPr>
          <w:rFonts w:ascii="Times New Roman" w:eastAsia="宋体" w:hAnsi="Times New Roman" w:cs="Times New Roman" w:hint="eastAsia"/>
          <w:sz w:val="24"/>
        </w:rPr>
        <w:t xml:space="preserve"> </w:t>
      </w:r>
    </w:p>
    <w:p w14:paraId="427EE96F"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3.</w:t>
      </w:r>
      <w:r w:rsidRPr="000B25E0">
        <w:rPr>
          <w:rFonts w:ascii="Times New Roman" w:eastAsia="宋体" w:hAnsi="Times New Roman" w:cs="Times New Roman" w:hint="eastAsia"/>
          <w:sz w:val="24"/>
        </w:rPr>
        <w:t>使学生了解体质健康的主要内容及要求和重要性。</w:t>
      </w:r>
      <w:r w:rsidRPr="000B25E0">
        <w:rPr>
          <w:rFonts w:ascii="Times New Roman" w:eastAsia="宋体" w:hAnsi="Times New Roman" w:cs="Times New Roman" w:hint="eastAsia"/>
          <w:sz w:val="24"/>
        </w:rPr>
        <w:t xml:space="preserve"> </w:t>
      </w:r>
    </w:p>
    <w:p w14:paraId="19CE2BBB"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4.</w:t>
      </w:r>
      <w:r w:rsidRPr="000B25E0">
        <w:rPr>
          <w:rFonts w:ascii="Times New Roman" w:eastAsia="宋体" w:hAnsi="Times New Roman" w:cs="Times New Roman" w:hint="eastAsia"/>
          <w:sz w:val="24"/>
        </w:rPr>
        <w:t>瑜伽运动的基本理论、基本知识和基本技能。</w:t>
      </w:r>
      <w:r w:rsidRPr="000B25E0">
        <w:rPr>
          <w:rFonts w:ascii="Times New Roman" w:eastAsia="宋体" w:hAnsi="Times New Roman" w:cs="Times New Roman" w:hint="eastAsia"/>
          <w:sz w:val="24"/>
        </w:rPr>
        <w:t xml:space="preserve"> </w:t>
      </w:r>
    </w:p>
    <w:p w14:paraId="157067B3"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b/>
          <w:bCs/>
          <w:sz w:val="24"/>
        </w:rPr>
        <w:t>【难点】</w:t>
      </w:r>
      <w:r w:rsidRPr="000B25E0">
        <w:rPr>
          <w:rFonts w:ascii="Times New Roman" w:eastAsia="宋体" w:hAnsi="Times New Roman" w:cs="Times New Roman" w:hint="eastAsia"/>
          <w:sz w:val="24"/>
        </w:rPr>
        <w:t xml:space="preserve"> </w:t>
      </w:r>
    </w:p>
    <w:p w14:paraId="1446EB70"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1. </w:t>
      </w:r>
      <w:r w:rsidRPr="000B25E0">
        <w:rPr>
          <w:rFonts w:ascii="Times New Roman" w:eastAsia="宋体" w:hAnsi="Times New Roman" w:cs="Times New Roman" w:hint="eastAsia"/>
          <w:sz w:val="24"/>
        </w:rPr>
        <w:t>认识到健康的重要性；如何维护自身的健康。</w:t>
      </w:r>
      <w:r w:rsidRPr="000B25E0">
        <w:rPr>
          <w:rFonts w:ascii="Times New Roman" w:eastAsia="宋体" w:hAnsi="Times New Roman" w:cs="Times New Roman" w:hint="eastAsia"/>
          <w:sz w:val="24"/>
        </w:rPr>
        <w:t xml:space="preserve"> </w:t>
      </w:r>
    </w:p>
    <w:p w14:paraId="7FC2DE02"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2. </w:t>
      </w:r>
      <w:r w:rsidRPr="000B25E0">
        <w:rPr>
          <w:rFonts w:ascii="Times New Roman" w:eastAsia="宋体" w:hAnsi="Times New Roman" w:cs="Times New Roman" w:hint="eastAsia"/>
          <w:sz w:val="24"/>
        </w:rPr>
        <w:t>学生阶段的营养过剩与运动不足；补充营养的同时如何提高自身的健康。</w:t>
      </w:r>
      <w:r w:rsidRPr="000B25E0">
        <w:rPr>
          <w:rFonts w:ascii="Times New Roman" w:eastAsia="宋体" w:hAnsi="Times New Roman" w:cs="Times New Roman" w:hint="eastAsia"/>
          <w:sz w:val="24"/>
        </w:rPr>
        <w:t xml:space="preserve"> </w:t>
      </w:r>
    </w:p>
    <w:p w14:paraId="71CBE703" w14:textId="77777777" w:rsidR="000B25E0" w:rsidRPr="000B25E0" w:rsidRDefault="000B25E0" w:rsidP="000B25E0">
      <w:pPr>
        <w:rPr>
          <w:rFonts w:ascii="Calibri" w:eastAsia="宋体" w:hAnsi="Calibri" w:cs="Times New Roman"/>
          <w:bCs/>
          <w:lang w:val="zh-CN"/>
        </w:rPr>
      </w:pPr>
      <w:r w:rsidRPr="000B25E0">
        <w:rPr>
          <w:rFonts w:ascii="Times New Roman" w:eastAsia="宋体" w:hAnsi="Times New Roman" w:cs="Times New Roman" w:hint="eastAsia"/>
          <w:sz w:val="24"/>
        </w:rPr>
        <w:t xml:space="preserve">3. </w:t>
      </w:r>
      <w:r w:rsidRPr="000B25E0">
        <w:rPr>
          <w:rFonts w:ascii="Times New Roman" w:eastAsia="宋体" w:hAnsi="Times New Roman" w:cs="Times New Roman" w:hint="eastAsia"/>
          <w:sz w:val="24"/>
        </w:rPr>
        <w:t>如何激发学生锻炼身体的积极性和自觉性。</w:t>
      </w:r>
    </w:p>
    <w:p w14:paraId="366A5AB2"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4. </w:t>
      </w:r>
      <w:r w:rsidRPr="000B25E0">
        <w:rPr>
          <w:rFonts w:ascii="Times New Roman" w:eastAsia="宋体" w:hAnsi="Times New Roman" w:cs="Times New Roman" w:hint="eastAsia"/>
          <w:sz w:val="24"/>
        </w:rPr>
        <w:t>提高学生的自主学习能力，培养学生组织能力。达到理论联系实际，学</w:t>
      </w:r>
      <w:r w:rsidRPr="000B25E0">
        <w:rPr>
          <w:rFonts w:ascii="Times New Roman" w:eastAsia="宋体" w:hAnsi="Times New Roman" w:cs="Times New Roman" w:hint="eastAsia"/>
          <w:sz w:val="24"/>
        </w:rPr>
        <w:t xml:space="preserve"> </w:t>
      </w:r>
    </w:p>
    <w:p w14:paraId="29263B34"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以致用</w:t>
      </w:r>
    </w:p>
    <w:p w14:paraId="3AB9F9E1" w14:textId="77777777" w:rsidR="000B25E0" w:rsidRPr="000B25E0" w:rsidRDefault="000B25E0" w:rsidP="000B25E0">
      <w:pPr>
        <w:spacing w:line="440" w:lineRule="exact"/>
        <w:rPr>
          <w:rFonts w:ascii="Times New Roman" w:eastAsia="宋体" w:hAnsi="Times New Roman" w:cs="Times New Roman"/>
          <w:b/>
          <w:bCs/>
          <w:sz w:val="24"/>
        </w:rPr>
      </w:pPr>
      <w:r w:rsidRPr="000B25E0">
        <w:rPr>
          <w:rFonts w:ascii="Times New Roman" w:eastAsia="宋体" w:hAnsi="Times New Roman" w:cs="Times New Roman" w:hint="eastAsia"/>
          <w:b/>
          <w:bCs/>
          <w:sz w:val="24"/>
        </w:rPr>
        <w:t>【教学方法】</w:t>
      </w:r>
      <w:r w:rsidRPr="000B25E0">
        <w:rPr>
          <w:rFonts w:ascii="Times New Roman" w:eastAsia="宋体" w:hAnsi="Times New Roman" w:cs="Times New Roman" w:hint="eastAsia"/>
          <w:b/>
          <w:bCs/>
          <w:sz w:val="24"/>
        </w:rPr>
        <w:t xml:space="preserve"> </w:t>
      </w:r>
    </w:p>
    <w:p w14:paraId="0BB40B3A"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1. </w:t>
      </w:r>
      <w:r w:rsidRPr="000B25E0">
        <w:rPr>
          <w:rFonts w:ascii="Times New Roman" w:eastAsia="宋体" w:hAnsi="Times New Roman" w:cs="Times New Roman" w:hint="eastAsia"/>
          <w:sz w:val="24"/>
        </w:rPr>
        <w:t>采用多媒体学习法，传统教学与多媒体课件相结合的方法，用课堂讲授的方法详细阐述中学教育学的相关概念、基本原理，使学生掌握扎实的专业知识，丰富学生中学教育学学科素养，培养学生相应的职业道德规范；</w:t>
      </w:r>
      <w:r w:rsidRPr="000B25E0">
        <w:rPr>
          <w:rFonts w:ascii="Times New Roman" w:eastAsia="宋体" w:hAnsi="Times New Roman" w:cs="Times New Roman" w:hint="eastAsia"/>
          <w:sz w:val="24"/>
        </w:rPr>
        <w:t xml:space="preserve"> </w:t>
      </w:r>
    </w:p>
    <w:p w14:paraId="151F656C"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2. </w:t>
      </w:r>
      <w:r w:rsidRPr="000B25E0">
        <w:rPr>
          <w:rFonts w:ascii="Times New Roman" w:eastAsia="宋体" w:hAnsi="Times New Roman" w:cs="Times New Roman" w:hint="eastAsia"/>
          <w:sz w:val="24"/>
        </w:rPr>
        <w:t>采用讲解法、示范法，通过语言指导法、完整法、分解法、直观法、预防与纠正法，通过语言的形式达到指导学生的目的，能够清楚地了解学习内容。强调理论与实践相结合，促进学生知识整合；</w:t>
      </w:r>
      <w:r w:rsidRPr="000B25E0">
        <w:rPr>
          <w:rFonts w:ascii="Times New Roman" w:eastAsia="宋体" w:hAnsi="Times New Roman" w:cs="Times New Roman" w:hint="eastAsia"/>
          <w:sz w:val="24"/>
        </w:rPr>
        <w:t xml:space="preserve"> </w:t>
      </w:r>
    </w:p>
    <w:p w14:paraId="7082A04C"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3. </w:t>
      </w:r>
      <w:r w:rsidRPr="000B25E0">
        <w:rPr>
          <w:rFonts w:ascii="Times New Roman" w:eastAsia="宋体" w:hAnsi="Times New Roman" w:cs="Times New Roman" w:hint="eastAsia"/>
          <w:sz w:val="24"/>
        </w:rPr>
        <w:t>采用练习法，分解练习及完整练习法，熟练掌握体能锻炼的所有内容，</w:t>
      </w:r>
      <w:r w:rsidRPr="000B25E0">
        <w:rPr>
          <w:rFonts w:ascii="Times New Roman" w:eastAsia="宋体" w:hAnsi="Times New Roman" w:cs="Times New Roman" w:hint="eastAsia"/>
          <w:sz w:val="24"/>
        </w:rPr>
        <w:t xml:space="preserve"> </w:t>
      </w:r>
    </w:p>
    <w:p w14:paraId="5E4C6910"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需要同学之间分组进行自主练习方法进行练习散打基本技术；</w:t>
      </w:r>
      <w:r w:rsidRPr="000B25E0">
        <w:rPr>
          <w:rFonts w:ascii="Times New Roman" w:eastAsia="宋体" w:hAnsi="Times New Roman" w:cs="Times New Roman" w:hint="eastAsia"/>
          <w:sz w:val="24"/>
        </w:rPr>
        <w:t xml:space="preserve"> </w:t>
      </w:r>
    </w:p>
    <w:p w14:paraId="3467628E"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4. </w:t>
      </w:r>
      <w:r w:rsidRPr="000B25E0">
        <w:rPr>
          <w:rFonts w:ascii="Times New Roman" w:eastAsia="宋体" w:hAnsi="Times New Roman" w:cs="Times New Roman" w:hint="eastAsia"/>
          <w:sz w:val="24"/>
        </w:rPr>
        <w:t>通过小组合作学习，树立育人意识，发展学生的合作能力和校本课程设</w:t>
      </w:r>
      <w:r w:rsidRPr="000B25E0">
        <w:rPr>
          <w:rFonts w:ascii="Times New Roman" w:eastAsia="宋体" w:hAnsi="Times New Roman" w:cs="Times New Roman" w:hint="eastAsia"/>
          <w:sz w:val="24"/>
        </w:rPr>
        <w:t xml:space="preserve"> </w:t>
      </w:r>
    </w:p>
    <w:p w14:paraId="7D3CAFF5" w14:textId="77777777" w:rsidR="000B25E0" w:rsidRPr="000B25E0" w:rsidRDefault="000B25E0" w:rsidP="000B25E0">
      <w:pPr>
        <w:spacing w:line="440" w:lineRule="exact"/>
        <w:rPr>
          <w:rFonts w:ascii="Times New Roman" w:eastAsia="宋体" w:hAnsi="Times New Roman" w:cs="Times New Roman"/>
          <w:sz w:val="24"/>
        </w:rPr>
      </w:pPr>
      <w:proofErr w:type="gramStart"/>
      <w:r w:rsidRPr="000B25E0">
        <w:rPr>
          <w:rFonts w:ascii="Times New Roman" w:eastAsia="宋体" w:hAnsi="Times New Roman" w:cs="Times New Roman" w:hint="eastAsia"/>
          <w:sz w:val="24"/>
        </w:rPr>
        <w:t>计能力</w:t>
      </w:r>
      <w:proofErr w:type="gramEnd"/>
      <w:r w:rsidRPr="000B25E0">
        <w:rPr>
          <w:rFonts w:ascii="Times New Roman" w:eastAsia="宋体" w:hAnsi="Times New Roman" w:cs="Times New Roman" w:hint="eastAsia"/>
          <w:sz w:val="24"/>
        </w:rPr>
        <w:t>通过课堂汇报和课堂辩论，强化知识应用意识，发展学生的教学能力和反</w:t>
      </w:r>
      <w:r w:rsidRPr="000B25E0">
        <w:rPr>
          <w:rFonts w:ascii="Times New Roman" w:eastAsia="宋体" w:hAnsi="Times New Roman" w:cs="Times New Roman" w:hint="eastAsia"/>
          <w:sz w:val="24"/>
        </w:rPr>
        <w:t xml:space="preserve"> </w:t>
      </w:r>
    </w:p>
    <w:p w14:paraId="1C374A0F"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思能力；</w:t>
      </w:r>
      <w:r w:rsidRPr="000B25E0">
        <w:rPr>
          <w:rFonts w:ascii="Times New Roman" w:eastAsia="宋体" w:hAnsi="Times New Roman" w:cs="Times New Roman" w:hint="eastAsia"/>
          <w:sz w:val="24"/>
        </w:rPr>
        <w:t xml:space="preserve"> </w:t>
      </w:r>
    </w:p>
    <w:p w14:paraId="1020E543"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 xml:space="preserve">5. </w:t>
      </w:r>
      <w:r w:rsidRPr="000B25E0">
        <w:rPr>
          <w:rFonts w:ascii="Times New Roman" w:eastAsia="宋体" w:hAnsi="Times New Roman" w:cs="Times New Roman" w:hint="eastAsia"/>
          <w:sz w:val="24"/>
        </w:rPr>
        <w:t>通过组织学生观察课堂实录，从中培养</w:t>
      </w:r>
      <w:r w:rsidR="003B79D6">
        <w:rPr>
          <w:rFonts w:ascii="Times New Roman" w:eastAsia="宋体" w:hAnsi="Times New Roman" w:cs="Times New Roman" w:hint="eastAsia"/>
          <w:sz w:val="24"/>
        </w:rPr>
        <w:t>学</w:t>
      </w:r>
      <w:r w:rsidRPr="000B25E0">
        <w:rPr>
          <w:rFonts w:ascii="Times New Roman" w:eastAsia="宋体" w:hAnsi="Times New Roman" w:cs="Times New Roman" w:hint="eastAsia"/>
          <w:sz w:val="24"/>
        </w:rPr>
        <w:t>生发现问题、分析问题、解</w:t>
      </w:r>
      <w:r w:rsidRPr="000B25E0">
        <w:rPr>
          <w:rFonts w:ascii="Times New Roman" w:eastAsia="宋体" w:hAnsi="Times New Roman" w:cs="Times New Roman" w:hint="eastAsia"/>
          <w:sz w:val="24"/>
        </w:rPr>
        <w:t xml:space="preserve"> </w:t>
      </w:r>
    </w:p>
    <w:p w14:paraId="5907FD93" w14:textId="77777777" w:rsidR="000B25E0" w:rsidRPr="000B25E0" w:rsidRDefault="000B25E0" w:rsidP="000B25E0">
      <w:pPr>
        <w:spacing w:line="440" w:lineRule="exact"/>
        <w:rPr>
          <w:rFonts w:ascii="Times New Roman" w:eastAsia="宋体" w:hAnsi="Times New Roman" w:cs="Times New Roman"/>
          <w:sz w:val="24"/>
        </w:rPr>
      </w:pPr>
      <w:proofErr w:type="gramStart"/>
      <w:r w:rsidRPr="000B25E0">
        <w:rPr>
          <w:rFonts w:ascii="Times New Roman" w:eastAsia="宋体" w:hAnsi="Times New Roman" w:cs="Times New Roman" w:hint="eastAsia"/>
          <w:sz w:val="24"/>
        </w:rPr>
        <w:t>决问题</w:t>
      </w:r>
      <w:proofErr w:type="gramEnd"/>
      <w:r w:rsidRPr="000B25E0">
        <w:rPr>
          <w:rFonts w:ascii="Times New Roman" w:eastAsia="宋体" w:hAnsi="Times New Roman" w:cs="Times New Roman" w:hint="eastAsia"/>
          <w:sz w:val="24"/>
        </w:rPr>
        <w:t>的能力和探究意识。</w:t>
      </w:r>
      <w:r w:rsidRPr="000B25E0">
        <w:rPr>
          <w:rFonts w:ascii="Times New Roman" w:eastAsia="宋体" w:hAnsi="Times New Roman" w:cs="Times New Roman" w:hint="eastAsia"/>
          <w:sz w:val="24"/>
        </w:rPr>
        <w:t xml:space="preserve"> </w:t>
      </w:r>
    </w:p>
    <w:p w14:paraId="2297E01F"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b/>
          <w:bCs/>
          <w:sz w:val="24"/>
        </w:rPr>
        <w:t>【复习思考】</w:t>
      </w:r>
      <w:r w:rsidRPr="000B25E0">
        <w:rPr>
          <w:rFonts w:ascii="Times New Roman" w:eastAsia="宋体" w:hAnsi="Times New Roman" w:cs="Times New Roman" w:hint="eastAsia"/>
          <w:sz w:val="24"/>
        </w:rPr>
        <w:t xml:space="preserve"> </w:t>
      </w:r>
    </w:p>
    <w:p w14:paraId="377DD86F"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1.</w:t>
      </w:r>
      <w:r w:rsidRPr="000B25E0">
        <w:rPr>
          <w:rFonts w:ascii="Times New Roman" w:eastAsia="宋体" w:hAnsi="Times New Roman" w:cs="Times New Roman" w:hint="eastAsia"/>
          <w:sz w:val="24"/>
        </w:rPr>
        <w:t>如何计算自己的体质健康标准测验成绩。</w:t>
      </w:r>
      <w:r w:rsidRPr="000B25E0">
        <w:rPr>
          <w:rFonts w:ascii="Times New Roman" w:eastAsia="宋体" w:hAnsi="Times New Roman" w:cs="Times New Roman" w:hint="eastAsia"/>
          <w:sz w:val="24"/>
        </w:rPr>
        <w:t xml:space="preserve"> </w:t>
      </w:r>
    </w:p>
    <w:p w14:paraId="71E4E5A0"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2.</w:t>
      </w:r>
      <w:r w:rsidRPr="000B25E0">
        <w:rPr>
          <w:rFonts w:ascii="Times New Roman" w:eastAsia="宋体" w:hAnsi="Times New Roman" w:cs="Times New Roman" w:hint="eastAsia"/>
          <w:sz w:val="24"/>
        </w:rPr>
        <w:t>如何制定简单训练计划，制定运动处方。</w:t>
      </w:r>
      <w:r w:rsidRPr="000B25E0">
        <w:rPr>
          <w:rFonts w:ascii="Times New Roman" w:eastAsia="宋体" w:hAnsi="Times New Roman" w:cs="Times New Roman" w:hint="eastAsia"/>
          <w:sz w:val="24"/>
        </w:rPr>
        <w:t xml:space="preserve"> </w:t>
      </w:r>
    </w:p>
    <w:p w14:paraId="754A1A04"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3.</w:t>
      </w:r>
      <w:proofErr w:type="gramStart"/>
      <w:r w:rsidRPr="000B25E0">
        <w:rPr>
          <w:rFonts w:ascii="Times New Roman" w:eastAsia="宋体" w:hAnsi="Times New Roman" w:cs="Times New Roman" w:hint="eastAsia"/>
          <w:sz w:val="24"/>
        </w:rPr>
        <w:t>瑜伽赛事</w:t>
      </w:r>
      <w:proofErr w:type="gramEnd"/>
      <w:r w:rsidRPr="000B25E0">
        <w:rPr>
          <w:rFonts w:ascii="Times New Roman" w:eastAsia="宋体" w:hAnsi="Times New Roman" w:cs="Times New Roman" w:hint="eastAsia"/>
          <w:sz w:val="24"/>
        </w:rPr>
        <w:t>欣赏。</w:t>
      </w:r>
    </w:p>
    <w:p w14:paraId="36D50510" w14:textId="77777777" w:rsidR="000B25E0" w:rsidRPr="000B25E0" w:rsidRDefault="000B25E0" w:rsidP="000B25E0">
      <w:pPr>
        <w:spacing w:line="440" w:lineRule="exact"/>
        <w:rPr>
          <w:rFonts w:ascii="Times New Roman" w:eastAsia="宋体" w:hAnsi="Times New Roman" w:cs="Times New Roman"/>
          <w:sz w:val="24"/>
        </w:rPr>
      </w:pPr>
    </w:p>
    <w:p w14:paraId="25300929" w14:textId="77777777" w:rsidR="000B25E0" w:rsidRPr="000B25E0" w:rsidRDefault="000B25E0" w:rsidP="000B25E0">
      <w:pPr>
        <w:spacing w:line="440" w:lineRule="exact"/>
        <w:jc w:val="center"/>
        <w:rPr>
          <w:rFonts w:ascii="宋体" w:eastAsia="宋体" w:hAnsi="宋体" w:cs="宋体"/>
          <w:b/>
          <w:bCs/>
          <w:sz w:val="28"/>
          <w:szCs w:val="28"/>
        </w:rPr>
      </w:pPr>
      <w:r w:rsidRPr="000B25E0">
        <w:rPr>
          <w:rFonts w:ascii="宋体" w:eastAsia="宋体" w:hAnsi="宋体" w:cs="宋体" w:hint="eastAsia"/>
          <w:b/>
          <w:bCs/>
          <w:sz w:val="28"/>
          <w:szCs w:val="28"/>
        </w:rPr>
        <w:t>第四学期 瑜伽 4</w:t>
      </w:r>
    </w:p>
    <w:p w14:paraId="3EDC3546" w14:textId="77777777" w:rsidR="000B25E0" w:rsidRPr="000B25E0" w:rsidRDefault="000B25E0" w:rsidP="000B25E0">
      <w:pPr>
        <w:spacing w:line="440" w:lineRule="exact"/>
        <w:ind w:firstLineChars="100" w:firstLine="241"/>
        <w:rPr>
          <w:rFonts w:ascii="Times New Roman" w:eastAsia="宋体" w:hAnsi="Times New Roman" w:cs="Times New Roman"/>
          <w:sz w:val="24"/>
        </w:rPr>
      </w:pPr>
      <w:r w:rsidRPr="000B25E0">
        <w:rPr>
          <w:rFonts w:ascii="Times New Roman" w:eastAsia="宋体" w:hAnsi="Times New Roman" w:cs="Times New Roman" w:hint="eastAsia"/>
          <w:b/>
          <w:bCs/>
          <w:sz w:val="24"/>
        </w:rPr>
        <w:lastRenderedPageBreak/>
        <w:t>【学习目标】</w:t>
      </w:r>
      <w:r w:rsidRPr="000B25E0">
        <w:rPr>
          <w:rFonts w:ascii="Times New Roman" w:eastAsia="宋体" w:hAnsi="Times New Roman" w:cs="Times New Roman" w:hint="eastAsia"/>
          <w:sz w:val="24"/>
        </w:rPr>
        <w:t xml:space="preserve"> </w:t>
      </w:r>
    </w:p>
    <w:p w14:paraId="20F48DEE"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1. </w:t>
      </w:r>
      <w:r w:rsidRPr="000B25E0">
        <w:rPr>
          <w:rFonts w:ascii="Times New Roman" w:eastAsia="宋体" w:hAnsi="Times New Roman" w:cs="Times New Roman" w:hint="eastAsia"/>
          <w:sz w:val="24"/>
        </w:rPr>
        <w:t>认知类目标：了解《大学体育》课程的内容、性质和要求；树立现代化</w:t>
      </w:r>
      <w:r w:rsidRPr="000B25E0">
        <w:rPr>
          <w:rFonts w:ascii="Times New Roman" w:eastAsia="宋体" w:hAnsi="Times New Roman" w:cs="Times New Roman" w:hint="eastAsia"/>
          <w:sz w:val="24"/>
        </w:rPr>
        <w:t xml:space="preserve"> </w:t>
      </w:r>
      <w:r w:rsidRPr="000B25E0">
        <w:rPr>
          <w:rFonts w:ascii="Times New Roman" w:eastAsia="宋体" w:hAnsi="Times New Roman" w:cs="Times New Roman" w:hint="eastAsia"/>
          <w:sz w:val="24"/>
        </w:rPr>
        <w:t>体育意识，把健康与生存、学习、生活和自身的发展联系起来，提高体育的兴趣和体育比赛的欣赏能力，养成积极自觉参加体育锻炼的习惯。</w:t>
      </w:r>
      <w:r w:rsidRPr="000B25E0">
        <w:rPr>
          <w:rFonts w:ascii="Times New Roman" w:eastAsia="宋体" w:hAnsi="Times New Roman" w:cs="Times New Roman" w:hint="eastAsia"/>
          <w:sz w:val="24"/>
        </w:rPr>
        <w:t xml:space="preserve"> </w:t>
      </w:r>
    </w:p>
    <w:p w14:paraId="60F5B295" w14:textId="77777777" w:rsidR="000B25E0" w:rsidRPr="000B25E0" w:rsidRDefault="000B25E0" w:rsidP="000B25E0">
      <w:pPr>
        <w:rPr>
          <w:rFonts w:ascii="Calibri" w:eastAsia="宋体" w:hAnsi="Calibri" w:cs="Times New Roman"/>
          <w:bCs/>
          <w:lang w:val="zh-CN"/>
        </w:rPr>
      </w:pPr>
      <w:r w:rsidRPr="000B25E0">
        <w:rPr>
          <w:rFonts w:ascii="Times New Roman" w:eastAsia="宋体" w:hAnsi="Times New Roman" w:cs="Times New Roman" w:hint="eastAsia"/>
          <w:sz w:val="24"/>
        </w:rPr>
        <w:t xml:space="preserve">2. </w:t>
      </w:r>
      <w:r w:rsidRPr="000B25E0">
        <w:rPr>
          <w:rFonts w:ascii="Times New Roman" w:eastAsia="宋体" w:hAnsi="Times New Roman" w:cs="Times New Roman" w:hint="eastAsia"/>
          <w:sz w:val="24"/>
        </w:rPr>
        <w:t>过程与方法类目标：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使学生能够掌握篮球运动的一般规律</w:t>
      </w:r>
    </w:p>
    <w:p w14:paraId="4CD0F723"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和特点，使学生获得篮球运动的基本技术、基本技能和基础理论知识，并了解现代篮球的发展趋势。</w:t>
      </w:r>
      <w:r w:rsidRPr="000B25E0">
        <w:rPr>
          <w:rFonts w:ascii="Times New Roman" w:eastAsia="宋体" w:hAnsi="Times New Roman" w:cs="Times New Roman" w:hint="eastAsia"/>
          <w:sz w:val="24"/>
        </w:rPr>
        <w:t xml:space="preserve"> </w:t>
      </w:r>
    </w:p>
    <w:p w14:paraId="07A5E0F8"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3. </w:t>
      </w:r>
      <w:r w:rsidRPr="000B25E0">
        <w:rPr>
          <w:rFonts w:ascii="Times New Roman" w:eastAsia="宋体" w:hAnsi="Times New Roman" w:cs="Times New Roman" w:hint="eastAsia"/>
          <w:sz w:val="24"/>
        </w:rPr>
        <w:t>情感、态度、价值观类目标：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r w:rsidRPr="000B25E0">
        <w:rPr>
          <w:rFonts w:ascii="Times New Roman" w:eastAsia="宋体" w:hAnsi="Times New Roman" w:cs="Times New Roman" w:hint="eastAsia"/>
          <w:sz w:val="24"/>
        </w:rPr>
        <w:t xml:space="preserve"> </w:t>
      </w:r>
    </w:p>
    <w:p w14:paraId="01B4491D" w14:textId="77777777" w:rsidR="000B25E0" w:rsidRPr="000B25E0" w:rsidRDefault="000B25E0" w:rsidP="000B25E0">
      <w:pPr>
        <w:spacing w:line="440" w:lineRule="exact"/>
        <w:ind w:firstLineChars="100" w:firstLine="241"/>
        <w:rPr>
          <w:rFonts w:ascii="Times New Roman" w:eastAsia="宋体" w:hAnsi="Times New Roman" w:cs="Times New Roman"/>
          <w:sz w:val="24"/>
        </w:rPr>
      </w:pPr>
      <w:r w:rsidRPr="000B25E0">
        <w:rPr>
          <w:rFonts w:ascii="宋体" w:eastAsia="宋体" w:hAnsi="宋体" w:cs="宋体" w:hint="eastAsia"/>
          <w:b/>
          <w:bCs/>
          <w:sz w:val="24"/>
        </w:rPr>
        <w:t>【学习内容】</w:t>
      </w:r>
      <w:r w:rsidRPr="000B25E0">
        <w:rPr>
          <w:rFonts w:ascii="Times New Roman" w:eastAsia="宋体" w:hAnsi="Times New Roman" w:cs="Times New Roman" w:hint="eastAsia"/>
          <w:sz w:val="24"/>
        </w:rPr>
        <w:t xml:space="preserve"> </w:t>
      </w:r>
    </w:p>
    <w:p w14:paraId="7C6587CB"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1. </w:t>
      </w:r>
      <w:r w:rsidRPr="000B25E0">
        <w:rPr>
          <w:rFonts w:ascii="Times New Roman" w:eastAsia="宋体" w:hAnsi="Times New Roman" w:cs="Times New Roman" w:hint="eastAsia"/>
          <w:sz w:val="24"/>
        </w:rPr>
        <w:t>了解《大学体育》课程的内容、性质和要求，学分情况和进行网上选项课时，开设的选项课程</w:t>
      </w:r>
      <w:r w:rsidRPr="000B25E0">
        <w:rPr>
          <w:rFonts w:ascii="Times New Roman" w:eastAsia="宋体" w:hAnsi="Times New Roman" w:cs="Times New Roman" w:hint="eastAsia"/>
          <w:sz w:val="24"/>
        </w:rPr>
        <w:t>,</w:t>
      </w:r>
      <w:r w:rsidRPr="000B25E0">
        <w:rPr>
          <w:rFonts w:ascii="Times New Roman" w:eastAsia="宋体" w:hAnsi="Times New Roman" w:cs="Times New Roman" w:hint="eastAsia"/>
          <w:sz w:val="24"/>
        </w:rPr>
        <w:t>课堂常识和安全注意事项。</w:t>
      </w:r>
      <w:r w:rsidRPr="000B25E0">
        <w:rPr>
          <w:rFonts w:ascii="Times New Roman" w:eastAsia="宋体" w:hAnsi="Times New Roman" w:cs="Times New Roman" w:hint="eastAsia"/>
          <w:sz w:val="24"/>
        </w:rPr>
        <w:t xml:space="preserve"> </w:t>
      </w:r>
    </w:p>
    <w:p w14:paraId="5E1761AB"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2. </w:t>
      </w:r>
      <w:r w:rsidRPr="000B25E0">
        <w:rPr>
          <w:rFonts w:ascii="Times New Roman" w:eastAsia="宋体" w:hAnsi="Times New Roman" w:cs="Times New Roman" w:hint="eastAsia"/>
          <w:sz w:val="24"/>
        </w:rPr>
        <w:t>了解瑜伽运动的基本技术、基本技能和基础理论知识，并了解现代瑜伽的发展趋势。掌握锻炼身体的技能与方法，掌握部分体育项目的基本技术初步学会运用科学的方法锻炼身体，促进学生能力的发展能够初步运用获得的知识技能锻炼身体，进行自我调控，自我检测和自我评价。</w:t>
      </w:r>
      <w:r w:rsidRPr="000B25E0">
        <w:rPr>
          <w:rFonts w:ascii="Times New Roman" w:eastAsia="宋体" w:hAnsi="Times New Roman" w:cs="Times New Roman" w:hint="eastAsia"/>
          <w:sz w:val="24"/>
        </w:rPr>
        <w:t xml:space="preserve"> </w:t>
      </w:r>
    </w:p>
    <w:p w14:paraId="420AD5AE"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3. </w:t>
      </w:r>
      <w:r w:rsidRPr="000B25E0">
        <w:rPr>
          <w:rFonts w:ascii="Times New Roman" w:eastAsia="宋体" w:hAnsi="Times New Roman" w:cs="Times New Roman"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r w:rsidRPr="000B25E0">
        <w:rPr>
          <w:rFonts w:ascii="Times New Roman" w:eastAsia="宋体" w:hAnsi="Times New Roman" w:cs="Times New Roman" w:hint="eastAsia"/>
          <w:sz w:val="24"/>
        </w:rPr>
        <w:t xml:space="preserve"> </w:t>
      </w:r>
    </w:p>
    <w:p w14:paraId="34B45804" w14:textId="77777777" w:rsidR="000B25E0" w:rsidRPr="000B25E0" w:rsidRDefault="000B25E0" w:rsidP="000B25E0">
      <w:pPr>
        <w:spacing w:line="440" w:lineRule="exact"/>
        <w:jc w:val="center"/>
        <w:rPr>
          <w:rFonts w:ascii="宋体" w:eastAsia="宋体" w:hAnsi="宋体" w:cs="宋体"/>
          <w:b/>
          <w:bCs/>
          <w:sz w:val="28"/>
          <w:szCs w:val="28"/>
        </w:rPr>
      </w:pPr>
      <w:r w:rsidRPr="000B25E0">
        <w:rPr>
          <w:rFonts w:ascii="宋体" w:eastAsia="宋体" w:hAnsi="宋体" w:cs="宋体" w:hint="eastAsia"/>
          <w:b/>
          <w:bCs/>
          <w:sz w:val="28"/>
          <w:szCs w:val="28"/>
        </w:rPr>
        <w:t>第一章 瑜伽理论知识（2 学时）</w:t>
      </w:r>
    </w:p>
    <w:p w14:paraId="05A16933" w14:textId="77777777" w:rsidR="000B25E0" w:rsidRPr="000B25E0" w:rsidRDefault="000B25E0" w:rsidP="000B25E0">
      <w:pPr>
        <w:spacing w:line="440" w:lineRule="exact"/>
        <w:ind w:firstLineChars="200" w:firstLine="482"/>
        <w:rPr>
          <w:rFonts w:ascii="Times New Roman" w:eastAsia="宋体" w:hAnsi="Times New Roman" w:cs="Times New Roman"/>
          <w:sz w:val="24"/>
        </w:rPr>
      </w:pPr>
      <w:r w:rsidRPr="000B25E0">
        <w:rPr>
          <w:rFonts w:ascii="Times New Roman" w:eastAsia="宋体" w:hAnsi="Times New Roman" w:cs="Times New Roman" w:hint="eastAsia"/>
          <w:b/>
          <w:bCs/>
          <w:sz w:val="24"/>
        </w:rPr>
        <w:t>本章主要教学内容：</w:t>
      </w:r>
      <w:r w:rsidRPr="000B25E0">
        <w:rPr>
          <w:rFonts w:ascii="Times New Roman" w:eastAsia="宋体" w:hAnsi="Times New Roman" w:cs="Times New Roman" w:hint="eastAsia"/>
          <w:sz w:val="24"/>
        </w:rPr>
        <w:t xml:space="preserve"> </w:t>
      </w:r>
    </w:p>
    <w:p w14:paraId="1C4D718B"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1.1 </w:t>
      </w:r>
      <w:r w:rsidRPr="000B25E0">
        <w:rPr>
          <w:rFonts w:ascii="Times New Roman" w:eastAsia="宋体" w:hAnsi="Times New Roman" w:cs="Times New Roman" w:hint="eastAsia"/>
          <w:sz w:val="24"/>
        </w:rPr>
        <w:t>介绍瑜伽运动以及瑜伽课</w:t>
      </w:r>
      <w:r w:rsidRPr="000B25E0">
        <w:rPr>
          <w:rFonts w:ascii="Times New Roman" w:eastAsia="宋体" w:hAnsi="Times New Roman" w:cs="Times New Roman" w:hint="eastAsia"/>
          <w:sz w:val="24"/>
        </w:rPr>
        <w:t xml:space="preserve"> </w:t>
      </w:r>
    </w:p>
    <w:p w14:paraId="620994D2"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1.2 </w:t>
      </w:r>
      <w:r w:rsidRPr="000B25E0">
        <w:rPr>
          <w:rFonts w:ascii="Times New Roman" w:eastAsia="宋体" w:hAnsi="Times New Roman" w:cs="Times New Roman" w:hint="eastAsia"/>
          <w:sz w:val="24"/>
        </w:rPr>
        <w:t>讲解本课程的重难点</w:t>
      </w:r>
      <w:r w:rsidRPr="000B25E0">
        <w:rPr>
          <w:rFonts w:ascii="Times New Roman" w:eastAsia="宋体" w:hAnsi="Times New Roman" w:cs="Times New Roman" w:hint="eastAsia"/>
          <w:sz w:val="24"/>
        </w:rPr>
        <w:t>,</w:t>
      </w:r>
      <w:r w:rsidRPr="000B25E0">
        <w:rPr>
          <w:rFonts w:ascii="Times New Roman" w:eastAsia="宋体" w:hAnsi="Times New Roman" w:cs="Times New Roman" w:hint="eastAsia"/>
          <w:sz w:val="24"/>
        </w:rPr>
        <w:t>以及如何上好瑜伽课</w:t>
      </w:r>
      <w:r w:rsidRPr="000B25E0">
        <w:rPr>
          <w:rFonts w:ascii="Times New Roman" w:eastAsia="宋体" w:hAnsi="Times New Roman" w:cs="Times New Roman" w:hint="eastAsia"/>
          <w:sz w:val="24"/>
        </w:rPr>
        <w:t xml:space="preserve"> </w:t>
      </w:r>
    </w:p>
    <w:p w14:paraId="249F2664"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1.3 </w:t>
      </w:r>
      <w:r w:rsidRPr="000B25E0">
        <w:rPr>
          <w:rFonts w:ascii="Times New Roman" w:eastAsia="宋体" w:hAnsi="Times New Roman" w:cs="Times New Roman" w:hint="eastAsia"/>
          <w:sz w:val="24"/>
        </w:rPr>
        <w:t>强调上课纪律</w:t>
      </w:r>
      <w:r w:rsidRPr="000B25E0">
        <w:rPr>
          <w:rFonts w:ascii="Times New Roman" w:eastAsia="宋体" w:hAnsi="Times New Roman" w:cs="Times New Roman" w:hint="eastAsia"/>
          <w:sz w:val="24"/>
        </w:rPr>
        <w:t xml:space="preserve"> </w:t>
      </w:r>
    </w:p>
    <w:p w14:paraId="0890859A"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lastRenderedPageBreak/>
        <w:t xml:space="preserve">1.4 </w:t>
      </w:r>
      <w:r w:rsidRPr="000B25E0">
        <w:rPr>
          <w:rFonts w:ascii="Times New Roman" w:eastAsia="宋体" w:hAnsi="Times New Roman" w:cs="Times New Roman" w:hint="eastAsia"/>
          <w:sz w:val="24"/>
        </w:rPr>
        <w:t>以瑜伽为核心相关外延知识拓展</w:t>
      </w:r>
      <w:r w:rsidRPr="000B25E0">
        <w:rPr>
          <w:rFonts w:ascii="Times New Roman" w:eastAsia="宋体" w:hAnsi="Times New Roman" w:cs="Times New Roman" w:hint="eastAsia"/>
          <w:sz w:val="24"/>
        </w:rPr>
        <w:t xml:space="preserve"> </w:t>
      </w:r>
    </w:p>
    <w:p w14:paraId="2B620C0F" w14:textId="77777777" w:rsidR="000B25E0" w:rsidRPr="000B25E0" w:rsidRDefault="000B25E0" w:rsidP="000B25E0">
      <w:pPr>
        <w:spacing w:line="440" w:lineRule="exact"/>
        <w:ind w:firstLineChars="200" w:firstLine="482"/>
        <w:rPr>
          <w:rFonts w:ascii="Times New Roman" w:eastAsia="宋体" w:hAnsi="Times New Roman" w:cs="Times New Roman"/>
          <w:sz w:val="24"/>
        </w:rPr>
      </w:pPr>
      <w:r w:rsidRPr="000B25E0">
        <w:rPr>
          <w:rFonts w:ascii="Times New Roman" w:eastAsia="宋体" w:hAnsi="Times New Roman" w:cs="Times New Roman" w:hint="eastAsia"/>
          <w:b/>
          <w:bCs/>
          <w:sz w:val="24"/>
        </w:rPr>
        <w:t>本章教学目的及要求</w:t>
      </w:r>
      <w:r w:rsidRPr="000B25E0">
        <w:rPr>
          <w:rFonts w:ascii="Times New Roman" w:eastAsia="宋体" w:hAnsi="Times New Roman" w:cs="Times New Roman" w:hint="eastAsia"/>
          <w:sz w:val="24"/>
        </w:rPr>
        <w:t>：理论上对瑜伽运动的宏观认识、瑜伽运动发展史及发</w:t>
      </w:r>
      <w:r w:rsidRPr="000B25E0">
        <w:rPr>
          <w:rFonts w:ascii="Times New Roman" w:eastAsia="宋体" w:hAnsi="Times New Roman" w:cs="Times New Roman" w:hint="eastAsia"/>
          <w:sz w:val="24"/>
        </w:rPr>
        <w:t xml:space="preserve"> </w:t>
      </w:r>
    </w:p>
    <w:p w14:paraId="6B756E3E"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展现状；体育课的重要性；对上好瑜伽课有所认识。</w:t>
      </w:r>
      <w:r w:rsidRPr="000B25E0">
        <w:rPr>
          <w:rFonts w:ascii="Times New Roman" w:eastAsia="宋体" w:hAnsi="Times New Roman" w:cs="Times New Roman" w:hint="eastAsia"/>
          <w:sz w:val="24"/>
        </w:rPr>
        <w:t xml:space="preserve"> </w:t>
      </w:r>
    </w:p>
    <w:p w14:paraId="131335B7" w14:textId="77777777" w:rsidR="000B25E0" w:rsidRPr="000B25E0" w:rsidRDefault="000B25E0" w:rsidP="000B25E0">
      <w:pPr>
        <w:spacing w:line="440" w:lineRule="exact"/>
        <w:ind w:firstLineChars="200" w:firstLine="482"/>
        <w:rPr>
          <w:rFonts w:ascii="Times New Roman" w:eastAsia="宋体" w:hAnsi="Times New Roman" w:cs="Times New Roman"/>
          <w:sz w:val="24"/>
        </w:rPr>
      </w:pPr>
      <w:r w:rsidRPr="000B25E0">
        <w:rPr>
          <w:rFonts w:ascii="Times New Roman" w:eastAsia="宋体" w:hAnsi="Times New Roman" w:cs="Times New Roman" w:hint="eastAsia"/>
          <w:b/>
          <w:bCs/>
          <w:sz w:val="24"/>
        </w:rPr>
        <w:t>本章教学重点及难点</w:t>
      </w:r>
      <w:r w:rsidRPr="000B25E0">
        <w:rPr>
          <w:rFonts w:ascii="Times New Roman" w:eastAsia="宋体" w:hAnsi="Times New Roman" w:cs="Times New Roman" w:hint="eastAsia"/>
          <w:sz w:val="24"/>
        </w:rPr>
        <w:t>：建立对体育课的正确认识；对瑜伽运动初步了解；</w:t>
      </w:r>
      <w:r w:rsidRPr="000B25E0">
        <w:rPr>
          <w:rFonts w:ascii="Times New Roman" w:eastAsia="宋体" w:hAnsi="Times New Roman" w:cs="Times New Roman" w:hint="eastAsia"/>
          <w:sz w:val="24"/>
        </w:rPr>
        <w:t xml:space="preserve"> </w:t>
      </w:r>
    </w:p>
    <w:p w14:paraId="63006440" w14:textId="77777777" w:rsidR="000B25E0" w:rsidRPr="000B25E0" w:rsidRDefault="000B25E0" w:rsidP="00FE4508">
      <w:pPr>
        <w:numPr>
          <w:ilvl w:val="0"/>
          <w:numId w:val="48"/>
        </w:numPr>
        <w:spacing w:line="440" w:lineRule="exact"/>
        <w:jc w:val="center"/>
        <w:rPr>
          <w:rFonts w:ascii="宋体" w:eastAsia="宋体" w:hAnsi="宋体" w:cs="宋体"/>
          <w:b/>
          <w:bCs/>
          <w:sz w:val="28"/>
          <w:szCs w:val="28"/>
        </w:rPr>
      </w:pPr>
      <w:r w:rsidRPr="000B25E0">
        <w:rPr>
          <w:rFonts w:ascii="宋体" w:eastAsia="宋体" w:hAnsi="宋体" w:cs="宋体" w:hint="eastAsia"/>
          <w:b/>
          <w:bCs/>
          <w:snapToGrid w:val="0"/>
          <w:color w:val="000000"/>
          <w:kern w:val="0"/>
          <w:sz w:val="28"/>
          <w:szCs w:val="28"/>
          <w:lang w:bidi="ar"/>
        </w:rPr>
        <w:t>健身瑜伽基础体式串联</w:t>
      </w:r>
      <w:r w:rsidRPr="000B25E0">
        <w:rPr>
          <w:rFonts w:ascii="宋体" w:eastAsia="宋体" w:hAnsi="宋体" w:cs="宋体" w:hint="eastAsia"/>
          <w:b/>
          <w:bCs/>
          <w:sz w:val="28"/>
          <w:szCs w:val="28"/>
        </w:rPr>
        <w:t xml:space="preserve"> （ 30学时）</w:t>
      </w:r>
    </w:p>
    <w:p w14:paraId="2112E2FD" w14:textId="77777777" w:rsidR="000B25E0" w:rsidRPr="000B25E0" w:rsidRDefault="000B25E0" w:rsidP="000B25E0">
      <w:pPr>
        <w:kinsoku w:val="0"/>
        <w:autoSpaceDE w:val="0"/>
        <w:autoSpaceDN w:val="0"/>
        <w:adjustRightInd w:val="0"/>
        <w:snapToGrid w:val="0"/>
        <w:spacing w:line="440" w:lineRule="exact"/>
        <w:jc w:val="center"/>
        <w:textAlignment w:val="baseline"/>
        <w:rPr>
          <w:rFonts w:ascii="宋体" w:eastAsia="宋体" w:hAnsi="宋体" w:cs="宋体"/>
          <w:b/>
          <w:bCs/>
          <w:sz w:val="28"/>
          <w:szCs w:val="28"/>
        </w:rPr>
      </w:pPr>
    </w:p>
    <w:p w14:paraId="6C9AC16D" w14:textId="77777777" w:rsidR="000B25E0" w:rsidRPr="000B25E0" w:rsidRDefault="000B25E0" w:rsidP="000B25E0">
      <w:pPr>
        <w:widowControl/>
        <w:ind w:firstLineChars="200" w:firstLine="482"/>
        <w:jc w:val="left"/>
        <w:rPr>
          <w:rFonts w:ascii="Calibri" w:eastAsia="宋体" w:hAnsi="Calibri" w:cs="Times New Roman"/>
        </w:rPr>
      </w:pPr>
      <w:r w:rsidRPr="000B25E0">
        <w:rPr>
          <w:rFonts w:ascii="宋体" w:eastAsia="宋体" w:hAnsi="宋体" w:cs="宋体" w:hint="eastAsia"/>
          <w:b/>
          <w:bCs/>
          <w:snapToGrid w:val="0"/>
          <w:color w:val="000000"/>
          <w:kern w:val="0"/>
          <w:sz w:val="24"/>
          <w:szCs w:val="24"/>
          <w:lang w:bidi="ar"/>
        </w:rPr>
        <w:t xml:space="preserve">本章主要教学内容： </w:t>
      </w:r>
    </w:p>
    <w:p w14:paraId="07FB5150"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2.1 </w:t>
      </w:r>
      <w:r w:rsidRPr="000B25E0">
        <w:rPr>
          <w:rFonts w:ascii="Times New Roman" w:eastAsia="宋体" w:hAnsi="Times New Roman" w:cs="Times New Roman" w:hint="eastAsia"/>
          <w:sz w:val="24"/>
        </w:rPr>
        <w:t>坐姿类；</w:t>
      </w:r>
      <w:r w:rsidRPr="000B25E0">
        <w:rPr>
          <w:rFonts w:ascii="Times New Roman" w:eastAsia="宋体" w:hAnsi="Times New Roman" w:cs="Times New Roman" w:hint="eastAsia"/>
          <w:sz w:val="24"/>
        </w:rPr>
        <w:t xml:space="preserve"> </w:t>
      </w:r>
    </w:p>
    <w:p w14:paraId="4F6B0DF4"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2.2 </w:t>
      </w:r>
      <w:r w:rsidRPr="000B25E0">
        <w:rPr>
          <w:rFonts w:ascii="Times New Roman" w:eastAsia="宋体" w:hAnsi="Times New Roman" w:cs="Times New Roman" w:hint="eastAsia"/>
          <w:sz w:val="24"/>
        </w:rPr>
        <w:t>前屈类；</w:t>
      </w:r>
      <w:r w:rsidRPr="000B25E0">
        <w:rPr>
          <w:rFonts w:ascii="Times New Roman" w:eastAsia="宋体" w:hAnsi="Times New Roman" w:cs="Times New Roman" w:hint="eastAsia"/>
          <w:sz w:val="24"/>
        </w:rPr>
        <w:t xml:space="preserve"> </w:t>
      </w:r>
    </w:p>
    <w:p w14:paraId="590323B4" w14:textId="77777777" w:rsidR="000B25E0" w:rsidRPr="000B25E0" w:rsidRDefault="000B25E0" w:rsidP="000B25E0">
      <w:pPr>
        <w:widowControl/>
        <w:ind w:firstLineChars="200" w:firstLine="480"/>
        <w:jc w:val="left"/>
        <w:rPr>
          <w:rFonts w:ascii="Times New Roman" w:eastAsia="宋体" w:hAnsi="Times New Roman" w:cs="Times New Roman"/>
          <w:sz w:val="24"/>
        </w:rPr>
      </w:pPr>
      <w:r w:rsidRPr="000B25E0">
        <w:rPr>
          <w:rFonts w:ascii="Times New Roman" w:eastAsia="宋体" w:hAnsi="Times New Roman" w:cs="Times New Roman" w:hint="eastAsia"/>
          <w:sz w:val="24"/>
        </w:rPr>
        <w:t xml:space="preserve">2.3 </w:t>
      </w:r>
      <w:r w:rsidRPr="000B25E0">
        <w:rPr>
          <w:rFonts w:ascii="Times New Roman" w:eastAsia="宋体" w:hAnsi="Times New Roman" w:cs="Times New Roman" w:hint="eastAsia"/>
          <w:sz w:val="24"/>
        </w:rPr>
        <w:t>后展类；</w:t>
      </w:r>
      <w:r w:rsidRPr="000B25E0">
        <w:rPr>
          <w:rFonts w:ascii="Times New Roman" w:eastAsia="宋体" w:hAnsi="Times New Roman" w:cs="Times New Roman" w:hint="eastAsia"/>
          <w:sz w:val="24"/>
        </w:rPr>
        <w:t xml:space="preserve"> </w:t>
      </w:r>
    </w:p>
    <w:p w14:paraId="687D96F7"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2.4 </w:t>
      </w:r>
      <w:r w:rsidRPr="000B25E0">
        <w:rPr>
          <w:rFonts w:ascii="Times New Roman" w:eastAsia="宋体" w:hAnsi="Times New Roman" w:cs="Times New Roman" w:hint="eastAsia"/>
          <w:sz w:val="24"/>
        </w:rPr>
        <w:t>扭转类；</w:t>
      </w:r>
    </w:p>
    <w:p w14:paraId="3515751F"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2.5 </w:t>
      </w:r>
      <w:r w:rsidRPr="000B25E0">
        <w:rPr>
          <w:rFonts w:ascii="Times New Roman" w:eastAsia="宋体" w:hAnsi="Times New Roman" w:cs="Times New Roman" w:hint="eastAsia"/>
          <w:sz w:val="24"/>
        </w:rPr>
        <w:t>倒置类；</w:t>
      </w:r>
    </w:p>
    <w:p w14:paraId="133AF59D"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2.6 </w:t>
      </w:r>
      <w:r w:rsidRPr="000B25E0">
        <w:rPr>
          <w:rFonts w:ascii="Times New Roman" w:eastAsia="宋体" w:hAnsi="Times New Roman" w:cs="Times New Roman" w:hint="eastAsia"/>
          <w:sz w:val="24"/>
        </w:rPr>
        <w:t>平衡类；</w:t>
      </w:r>
    </w:p>
    <w:p w14:paraId="57ED4939"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2.7 </w:t>
      </w:r>
      <w:r w:rsidRPr="000B25E0">
        <w:rPr>
          <w:rFonts w:ascii="Times New Roman" w:eastAsia="宋体" w:hAnsi="Times New Roman" w:cs="Times New Roman" w:hint="eastAsia"/>
          <w:sz w:val="24"/>
        </w:rPr>
        <w:t>其他类；</w:t>
      </w:r>
    </w:p>
    <w:p w14:paraId="451EEA98" w14:textId="77777777" w:rsidR="000B25E0" w:rsidRPr="000B25E0" w:rsidRDefault="000B25E0" w:rsidP="000B25E0">
      <w:pPr>
        <w:spacing w:line="440" w:lineRule="exact"/>
        <w:ind w:firstLineChars="200" w:firstLine="482"/>
        <w:rPr>
          <w:rFonts w:ascii="Times New Roman" w:eastAsia="宋体" w:hAnsi="Times New Roman" w:cs="Times New Roman"/>
          <w:sz w:val="24"/>
        </w:rPr>
      </w:pPr>
      <w:r w:rsidRPr="000B25E0">
        <w:rPr>
          <w:rFonts w:ascii="Times New Roman" w:eastAsia="宋体" w:hAnsi="Times New Roman" w:cs="Times New Roman" w:hint="eastAsia"/>
          <w:b/>
          <w:bCs/>
          <w:sz w:val="24"/>
        </w:rPr>
        <w:t>本章教学目的及要求</w:t>
      </w:r>
      <w:r w:rsidRPr="000B25E0">
        <w:rPr>
          <w:rFonts w:ascii="Times New Roman" w:eastAsia="宋体" w:hAnsi="Times New Roman" w:cs="Times New Roman" w:hint="eastAsia"/>
          <w:sz w:val="24"/>
        </w:rPr>
        <w:t>：使学生掌握瑜伽基体式要领，并能够安全有效练习。</w:t>
      </w:r>
      <w:r w:rsidRPr="000B25E0">
        <w:rPr>
          <w:rFonts w:ascii="Times New Roman" w:eastAsia="宋体" w:hAnsi="Times New Roman" w:cs="Times New Roman" w:hint="eastAsia"/>
          <w:sz w:val="24"/>
        </w:rPr>
        <w:t xml:space="preserve"> </w:t>
      </w:r>
    </w:p>
    <w:p w14:paraId="4E1AAFB8" w14:textId="77777777" w:rsidR="000B25E0" w:rsidRPr="000B25E0" w:rsidRDefault="000B25E0" w:rsidP="000B25E0">
      <w:pPr>
        <w:spacing w:line="440" w:lineRule="exact"/>
        <w:ind w:firstLineChars="200" w:firstLine="482"/>
        <w:rPr>
          <w:rFonts w:ascii="Times New Roman" w:eastAsia="宋体" w:hAnsi="Times New Roman" w:cs="Times New Roman"/>
          <w:sz w:val="24"/>
        </w:rPr>
      </w:pPr>
      <w:r w:rsidRPr="000B25E0">
        <w:rPr>
          <w:rFonts w:ascii="Times New Roman" w:eastAsia="宋体" w:hAnsi="Times New Roman" w:cs="Times New Roman" w:hint="eastAsia"/>
          <w:b/>
          <w:bCs/>
          <w:sz w:val="24"/>
        </w:rPr>
        <w:t>本章教学重点及难点</w:t>
      </w:r>
      <w:r w:rsidRPr="000B25E0">
        <w:rPr>
          <w:rFonts w:ascii="Times New Roman" w:eastAsia="宋体" w:hAnsi="Times New Roman" w:cs="Times New Roman" w:hint="eastAsia"/>
          <w:sz w:val="24"/>
        </w:rPr>
        <w:t>：体式和呼吸的配合</w:t>
      </w:r>
    </w:p>
    <w:p w14:paraId="70D41243" w14:textId="77777777" w:rsidR="000B25E0" w:rsidRPr="000B25E0" w:rsidRDefault="000B25E0" w:rsidP="000B25E0">
      <w:pPr>
        <w:spacing w:line="440" w:lineRule="exact"/>
        <w:rPr>
          <w:rFonts w:ascii="Times New Roman" w:eastAsia="宋体" w:hAnsi="Times New Roman" w:cs="Times New Roman"/>
          <w:sz w:val="24"/>
        </w:rPr>
      </w:pPr>
    </w:p>
    <w:p w14:paraId="12CD8E2D" w14:textId="77777777" w:rsidR="000B25E0" w:rsidRPr="000B25E0" w:rsidRDefault="000B25E0" w:rsidP="000B25E0">
      <w:pPr>
        <w:spacing w:beforeLines="50" w:before="156" w:afterLines="50" w:after="156" w:line="440" w:lineRule="exact"/>
        <w:ind w:left="561"/>
        <w:rPr>
          <w:rFonts w:ascii="Times New Roman" w:eastAsia="仿宋" w:hAnsi="Times New Roman" w:cs="Times New Roman"/>
          <w:sz w:val="24"/>
        </w:rPr>
      </w:pPr>
      <w:r w:rsidRPr="000B25E0">
        <w:rPr>
          <w:rFonts w:ascii="Times New Roman" w:eastAsia="黑体" w:hAnsi="Times New Roman" w:cs="Times New Roman"/>
          <w:sz w:val="28"/>
          <w:szCs w:val="28"/>
        </w:rPr>
        <w:t>（二）课程学习内容与课程学习目标的对应关系</w:t>
      </w:r>
      <w:r w:rsidRPr="000B25E0">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3"/>
        <w:gridCol w:w="2977"/>
        <w:gridCol w:w="2551"/>
        <w:gridCol w:w="1276"/>
      </w:tblGrid>
      <w:tr w:rsidR="000B25E0" w:rsidRPr="000B25E0" w14:paraId="6018D929" w14:textId="77777777" w:rsidTr="00BF5EF3">
        <w:trPr>
          <w:trHeight w:val="660"/>
          <w:jc w:val="center"/>
        </w:trPr>
        <w:tc>
          <w:tcPr>
            <w:tcW w:w="2553" w:type="dxa"/>
            <w:vAlign w:val="center"/>
          </w:tcPr>
          <w:p w14:paraId="72D4154F" w14:textId="77777777" w:rsidR="000B25E0" w:rsidRPr="000B25E0" w:rsidRDefault="000B25E0" w:rsidP="000B25E0">
            <w:pPr>
              <w:spacing w:line="440" w:lineRule="exact"/>
              <w:rPr>
                <w:rFonts w:ascii="Times New Roman" w:eastAsia="宋体" w:hAnsi="Times New Roman" w:cs="Times New Roman"/>
                <w:b/>
                <w:bCs/>
                <w:sz w:val="24"/>
              </w:rPr>
            </w:pPr>
            <w:r w:rsidRPr="000B25E0">
              <w:rPr>
                <w:rFonts w:ascii="Times New Roman" w:eastAsia="宋体" w:hAnsi="Times New Roman" w:cs="Times New Roman" w:hint="eastAsia"/>
                <w:b/>
                <w:bCs/>
                <w:sz w:val="24"/>
              </w:rPr>
              <w:t>实践</w:t>
            </w:r>
            <w:r w:rsidRPr="000B25E0">
              <w:rPr>
                <w:rFonts w:ascii="Times New Roman" w:eastAsia="宋体" w:hAnsi="Times New Roman" w:cs="Times New Roman"/>
                <w:b/>
                <w:bCs/>
                <w:sz w:val="24"/>
              </w:rPr>
              <w:t>内容</w:t>
            </w:r>
          </w:p>
        </w:tc>
        <w:tc>
          <w:tcPr>
            <w:tcW w:w="2977" w:type="dxa"/>
            <w:vAlign w:val="center"/>
          </w:tcPr>
          <w:p w14:paraId="4D42640C" w14:textId="77777777" w:rsidR="000B25E0" w:rsidRPr="000B25E0" w:rsidRDefault="000B25E0" w:rsidP="000B25E0">
            <w:pPr>
              <w:spacing w:line="440" w:lineRule="exact"/>
              <w:jc w:val="center"/>
              <w:rPr>
                <w:rFonts w:ascii="Times New Roman" w:eastAsia="宋体" w:hAnsi="Times New Roman" w:cs="Times New Roman"/>
                <w:b/>
                <w:bCs/>
                <w:sz w:val="24"/>
              </w:rPr>
            </w:pPr>
            <w:r w:rsidRPr="000B25E0">
              <w:rPr>
                <w:rFonts w:ascii="Times New Roman" w:eastAsia="宋体" w:hAnsi="Times New Roman" w:cs="Times New Roman" w:hint="eastAsia"/>
                <w:b/>
                <w:bCs/>
                <w:sz w:val="24"/>
              </w:rPr>
              <w:t>实施</w:t>
            </w:r>
            <w:r w:rsidRPr="000B25E0">
              <w:rPr>
                <w:rFonts w:ascii="Times New Roman" w:eastAsia="宋体" w:hAnsi="Times New Roman" w:cs="Times New Roman"/>
                <w:b/>
                <w:bCs/>
                <w:sz w:val="24"/>
              </w:rPr>
              <w:t>方法</w:t>
            </w:r>
          </w:p>
        </w:tc>
        <w:tc>
          <w:tcPr>
            <w:tcW w:w="2551" w:type="dxa"/>
            <w:vAlign w:val="center"/>
          </w:tcPr>
          <w:p w14:paraId="0704ED04" w14:textId="77777777" w:rsidR="000B25E0" w:rsidRPr="000B25E0" w:rsidRDefault="000B25E0" w:rsidP="000B25E0">
            <w:pPr>
              <w:spacing w:line="440" w:lineRule="exact"/>
              <w:jc w:val="center"/>
              <w:rPr>
                <w:rFonts w:ascii="Times New Roman" w:eastAsia="宋体" w:hAnsi="Times New Roman" w:cs="Times New Roman"/>
                <w:b/>
                <w:bCs/>
                <w:sz w:val="24"/>
              </w:rPr>
            </w:pPr>
            <w:r w:rsidRPr="000B25E0">
              <w:rPr>
                <w:rFonts w:ascii="Times New Roman" w:eastAsia="宋体" w:hAnsi="Times New Roman" w:cs="Times New Roman"/>
                <w:b/>
                <w:bCs/>
                <w:sz w:val="24"/>
              </w:rPr>
              <w:t>支撑的课程目标</w:t>
            </w:r>
          </w:p>
        </w:tc>
        <w:tc>
          <w:tcPr>
            <w:tcW w:w="1276" w:type="dxa"/>
            <w:vAlign w:val="center"/>
          </w:tcPr>
          <w:p w14:paraId="63055EF5" w14:textId="77777777" w:rsidR="000B25E0" w:rsidRPr="000B25E0" w:rsidRDefault="000B25E0" w:rsidP="000B25E0">
            <w:pPr>
              <w:spacing w:line="440" w:lineRule="exact"/>
              <w:jc w:val="center"/>
              <w:rPr>
                <w:rFonts w:ascii="Times New Roman" w:eastAsia="宋体" w:hAnsi="Times New Roman" w:cs="Times New Roman"/>
                <w:b/>
                <w:bCs/>
                <w:sz w:val="24"/>
              </w:rPr>
            </w:pPr>
            <w:r w:rsidRPr="000B25E0">
              <w:rPr>
                <w:rFonts w:ascii="Times New Roman" w:eastAsia="宋体" w:hAnsi="Times New Roman" w:cs="Times New Roman"/>
                <w:b/>
                <w:bCs/>
                <w:sz w:val="24"/>
              </w:rPr>
              <w:t>学时安排</w:t>
            </w:r>
          </w:p>
        </w:tc>
      </w:tr>
      <w:tr w:rsidR="000B25E0" w:rsidRPr="000B25E0" w14:paraId="141033B3" w14:textId="77777777" w:rsidTr="00BF5EF3">
        <w:trPr>
          <w:trHeight w:val="1138"/>
          <w:jc w:val="center"/>
        </w:trPr>
        <w:tc>
          <w:tcPr>
            <w:tcW w:w="2553" w:type="dxa"/>
            <w:vAlign w:val="center"/>
          </w:tcPr>
          <w:p w14:paraId="344FD2E9" w14:textId="77777777" w:rsidR="000B25E0" w:rsidRPr="000B25E0" w:rsidRDefault="000B25E0" w:rsidP="000B25E0">
            <w:pPr>
              <w:spacing w:line="440" w:lineRule="exact"/>
              <w:jc w:val="left"/>
              <w:rPr>
                <w:rFonts w:ascii="Times New Roman" w:eastAsia="宋体" w:hAnsi="Times New Roman" w:cs="Times New Roman"/>
                <w:sz w:val="24"/>
              </w:rPr>
            </w:pPr>
            <w:r w:rsidRPr="000B25E0">
              <w:rPr>
                <w:rFonts w:ascii="Times New Roman" w:eastAsia="宋体" w:hAnsi="Times New Roman" w:cs="Times New Roman"/>
                <w:sz w:val="24"/>
              </w:rPr>
              <w:t>第一</w:t>
            </w:r>
            <w:r w:rsidRPr="000B25E0">
              <w:rPr>
                <w:rFonts w:ascii="Times New Roman" w:eastAsia="宋体" w:hAnsi="Times New Roman" w:cs="Times New Roman" w:hint="eastAsia"/>
                <w:sz w:val="24"/>
              </w:rPr>
              <w:t>学期</w:t>
            </w:r>
          </w:p>
        </w:tc>
        <w:tc>
          <w:tcPr>
            <w:tcW w:w="2977" w:type="dxa"/>
            <w:vAlign w:val="center"/>
          </w:tcPr>
          <w:p w14:paraId="755B0663" w14:textId="77777777" w:rsidR="000B25E0" w:rsidRPr="000B25E0" w:rsidRDefault="000B25E0" w:rsidP="000B25E0">
            <w:pPr>
              <w:widowControl/>
              <w:jc w:val="left"/>
              <w:rPr>
                <w:rFonts w:ascii="宋体" w:eastAsia="宋体" w:hAnsi="宋体" w:cs="宋体"/>
                <w:snapToGrid w:val="0"/>
                <w:color w:val="000000"/>
                <w:kern w:val="0"/>
                <w:sz w:val="24"/>
                <w:szCs w:val="24"/>
                <w:lang w:bidi="ar"/>
              </w:rPr>
            </w:pPr>
          </w:p>
          <w:p w14:paraId="40110AB0" w14:textId="77777777" w:rsidR="000B25E0" w:rsidRPr="000B25E0" w:rsidRDefault="000B25E0" w:rsidP="000B25E0">
            <w:pPr>
              <w:widowControl/>
              <w:jc w:val="left"/>
              <w:rPr>
                <w:rFonts w:ascii="Calibri" w:eastAsia="宋体" w:hAnsi="Calibri" w:cs="Times New Roman"/>
                <w:sz w:val="24"/>
                <w:szCs w:val="24"/>
              </w:rPr>
            </w:pPr>
            <w:r w:rsidRPr="000B25E0">
              <w:rPr>
                <w:rFonts w:ascii="宋体" w:eastAsia="宋体" w:hAnsi="宋体" w:cs="宋体" w:hint="eastAsia"/>
                <w:snapToGrid w:val="0"/>
                <w:color w:val="000000"/>
                <w:kern w:val="0"/>
                <w:sz w:val="24"/>
                <w:szCs w:val="24"/>
                <w:lang w:bidi="ar"/>
              </w:rPr>
              <w:t>利用</w:t>
            </w:r>
            <w:proofErr w:type="gramStart"/>
            <w:r w:rsidRPr="000B25E0">
              <w:rPr>
                <w:rFonts w:ascii="宋体" w:eastAsia="宋体" w:hAnsi="宋体" w:cs="宋体" w:hint="eastAsia"/>
                <w:snapToGrid w:val="0"/>
                <w:color w:val="000000"/>
                <w:kern w:val="0"/>
                <w:sz w:val="24"/>
                <w:szCs w:val="24"/>
                <w:lang w:bidi="ar"/>
              </w:rPr>
              <w:t>微信平台</w:t>
            </w:r>
            <w:proofErr w:type="gramEnd"/>
            <w:r w:rsidRPr="000B25E0">
              <w:rPr>
                <w:rFonts w:ascii="宋体" w:eastAsia="宋体" w:hAnsi="宋体" w:cs="宋体" w:hint="eastAsia"/>
                <w:snapToGrid w:val="0"/>
                <w:color w:val="000000"/>
                <w:kern w:val="0"/>
                <w:sz w:val="24"/>
                <w:szCs w:val="24"/>
                <w:lang w:bidi="ar"/>
              </w:rPr>
              <w:t xml:space="preserve">；讲解法、 </w:t>
            </w:r>
          </w:p>
          <w:p w14:paraId="68D3CC30" w14:textId="77777777" w:rsidR="000B25E0" w:rsidRPr="000B25E0" w:rsidRDefault="000B25E0" w:rsidP="000B25E0">
            <w:pPr>
              <w:widowControl/>
              <w:jc w:val="left"/>
              <w:rPr>
                <w:rFonts w:ascii="Calibri" w:eastAsia="宋体" w:hAnsi="Calibri" w:cs="Times New Roman"/>
                <w:sz w:val="24"/>
                <w:szCs w:val="24"/>
              </w:rPr>
            </w:pPr>
            <w:r w:rsidRPr="000B25E0">
              <w:rPr>
                <w:rFonts w:ascii="宋体" w:eastAsia="宋体" w:hAnsi="宋体" w:cs="宋体" w:hint="eastAsia"/>
                <w:snapToGrid w:val="0"/>
                <w:color w:val="000000"/>
                <w:kern w:val="0"/>
                <w:sz w:val="24"/>
                <w:szCs w:val="24"/>
                <w:lang w:bidi="ar"/>
              </w:rPr>
              <w:t xml:space="preserve">示范法；练习法；小组 </w:t>
            </w:r>
          </w:p>
          <w:p w14:paraId="204D4DDE" w14:textId="77777777" w:rsidR="000B25E0" w:rsidRPr="000B25E0" w:rsidRDefault="000B25E0" w:rsidP="000B25E0">
            <w:pPr>
              <w:widowControl/>
              <w:jc w:val="left"/>
              <w:rPr>
                <w:rFonts w:ascii="Calibri" w:eastAsia="宋体" w:hAnsi="Calibri" w:cs="Times New Roman"/>
                <w:sz w:val="24"/>
                <w:szCs w:val="24"/>
              </w:rPr>
            </w:pPr>
            <w:r w:rsidRPr="000B25E0">
              <w:rPr>
                <w:rFonts w:ascii="宋体" w:eastAsia="宋体" w:hAnsi="宋体" w:cs="宋体" w:hint="eastAsia"/>
                <w:snapToGrid w:val="0"/>
                <w:color w:val="000000"/>
                <w:kern w:val="0"/>
                <w:sz w:val="24"/>
                <w:szCs w:val="24"/>
                <w:lang w:bidi="ar"/>
              </w:rPr>
              <w:t>合作学习</w:t>
            </w:r>
          </w:p>
          <w:p w14:paraId="50B0FDDC" w14:textId="77777777" w:rsidR="000B25E0" w:rsidRPr="000B25E0" w:rsidRDefault="000B25E0" w:rsidP="000B25E0">
            <w:pPr>
              <w:spacing w:line="440" w:lineRule="exact"/>
              <w:jc w:val="center"/>
              <w:rPr>
                <w:rFonts w:ascii="Times New Roman" w:eastAsia="宋体" w:hAnsi="Times New Roman" w:cs="Times New Roman"/>
                <w:sz w:val="24"/>
              </w:rPr>
            </w:pPr>
          </w:p>
        </w:tc>
        <w:tc>
          <w:tcPr>
            <w:tcW w:w="2551" w:type="dxa"/>
            <w:vAlign w:val="center"/>
          </w:tcPr>
          <w:p w14:paraId="3107D450" w14:textId="77777777" w:rsidR="000B25E0" w:rsidRPr="000B25E0" w:rsidRDefault="000B25E0" w:rsidP="000B25E0">
            <w:pPr>
              <w:spacing w:line="440" w:lineRule="exact"/>
              <w:jc w:val="center"/>
              <w:rPr>
                <w:rFonts w:ascii="Times New Roman" w:eastAsia="宋体" w:hAnsi="Times New Roman" w:cs="Times New Roman"/>
                <w:sz w:val="24"/>
              </w:rPr>
            </w:pPr>
            <w:r w:rsidRPr="000B25E0">
              <w:rPr>
                <w:rFonts w:ascii="Times New Roman" w:eastAsia="宋体" w:hAnsi="Times New Roman" w:cs="Times New Roman"/>
                <w:sz w:val="24"/>
              </w:rPr>
              <w:t>课程目标</w:t>
            </w:r>
            <w:r w:rsidRPr="000B25E0">
              <w:rPr>
                <w:rFonts w:ascii="Times New Roman" w:eastAsia="宋体" w:hAnsi="Times New Roman" w:cs="Times New Roman"/>
                <w:sz w:val="24"/>
              </w:rPr>
              <w:t>1</w:t>
            </w:r>
            <w:r w:rsidRPr="000B25E0">
              <w:rPr>
                <w:rFonts w:ascii="Times New Roman" w:eastAsia="宋体" w:hAnsi="Times New Roman" w:cs="Times New Roman"/>
                <w:sz w:val="24"/>
              </w:rPr>
              <w:t>、</w:t>
            </w:r>
            <w:r w:rsidRPr="000B25E0">
              <w:rPr>
                <w:rFonts w:ascii="Times New Roman" w:eastAsia="宋体" w:hAnsi="Times New Roman" w:cs="Times New Roman"/>
                <w:sz w:val="24"/>
              </w:rPr>
              <w:t>2</w:t>
            </w:r>
            <w:r w:rsidRPr="000B25E0">
              <w:rPr>
                <w:rFonts w:ascii="Times New Roman" w:eastAsia="宋体" w:hAnsi="Times New Roman" w:cs="Times New Roman" w:hint="eastAsia"/>
                <w:sz w:val="24"/>
              </w:rPr>
              <w:t>、</w:t>
            </w:r>
            <w:r w:rsidRPr="000B25E0">
              <w:rPr>
                <w:rFonts w:ascii="Times New Roman" w:eastAsia="宋体" w:hAnsi="Times New Roman" w:cs="Times New Roman" w:hint="eastAsia"/>
                <w:sz w:val="24"/>
              </w:rPr>
              <w:t>3</w:t>
            </w:r>
          </w:p>
        </w:tc>
        <w:tc>
          <w:tcPr>
            <w:tcW w:w="1276" w:type="dxa"/>
            <w:vAlign w:val="center"/>
          </w:tcPr>
          <w:p w14:paraId="1468D06A" w14:textId="77777777" w:rsidR="000B25E0" w:rsidRPr="000B25E0" w:rsidRDefault="000B25E0" w:rsidP="000B25E0">
            <w:pPr>
              <w:spacing w:line="440" w:lineRule="exact"/>
              <w:jc w:val="center"/>
              <w:rPr>
                <w:rFonts w:ascii="Times New Roman" w:eastAsia="宋体" w:hAnsi="Times New Roman" w:cs="Times New Roman"/>
                <w:sz w:val="24"/>
              </w:rPr>
            </w:pPr>
            <w:r w:rsidRPr="000B25E0">
              <w:rPr>
                <w:rFonts w:ascii="Times New Roman" w:eastAsia="宋体" w:hAnsi="Times New Roman" w:cs="Times New Roman" w:hint="eastAsia"/>
                <w:sz w:val="24"/>
              </w:rPr>
              <w:t>3</w:t>
            </w:r>
            <w:r w:rsidRPr="000B25E0">
              <w:rPr>
                <w:rFonts w:ascii="Times New Roman" w:eastAsia="宋体" w:hAnsi="Times New Roman" w:cs="Times New Roman"/>
                <w:sz w:val="24"/>
              </w:rPr>
              <w:t>2</w:t>
            </w:r>
          </w:p>
        </w:tc>
      </w:tr>
      <w:tr w:rsidR="000B25E0" w:rsidRPr="000B25E0" w14:paraId="6D81ABDF" w14:textId="77777777" w:rsidTr="00BF5EF3">
        <w:trPr>
          <w:trHeight w:val="90"/>
          <w:jc w:val="center"/>
        </w:trPr>
        <w:tc>
          <w:tcPr>
            <w:tcW w:w="2553" w:type="dxa"/>
            <w:vAlign w:val="center"/>
          </w:tcPr>
          <w:p w14:paraId="4C9C0E8D" w14:textId="77777777" w:rsidR="000B25E0" w:rsidRPr="000B25E0" w:rsidRDefault="000B25E0" w:rsidP="000B25E0">
            <w:pPr>
              <w:spacing w:line="440" w:lineRule="exact"/>
              <w:jc w:val="left"/>
              <w:rPr>
                <w:rFonts w:ascii="Times New Roman" w:eastAsia="宋体" w:hAnsi="Times New Roman" w:cs="Times New Roman"/>
                <w:sz w:val="24"/>
              </w:rPr>
            </w:pPr>
            <w:r w:rsidRPr="000B25E0">
              <w:rPr>
                <w:rFonts w:ascii="Times New Roman" w:eastAsia="宋体" w:hAnsi="Times New Roman" w:cs="Times New Roman"/>
                <w:sz w:val="24"/>
              </w:rPr>
              <w:t>第二</w:t>
            </w:r>
            <w:r w:rsidRPr="000B25E0">
              <w:rPr>
                <w:rFonts w:ascii="Times New Roman" w:eastAsia="宋体" w:hAnsi="Times New Roman" w:cs="Times New Roman" w:hint="eastAsia"/>
                <w:sz w:val="24"/>
              </w:rPr>
              <w:t>学期</w:t>
            </w:r>
          </w:p>
        </w:tc>
        <w:tc>
          <w:tcPr>
            <w:tcW w:w="2977" w:type="dxa"/>
            <w:vAlign w:val="center"/>
          </w:tcPr>
          <w:p w14:paraId="19E71DBA" w14:textId="77777777" w:rsidR="000B25E0" w:rsidRPr="000B25E0" w:rsidRDefault="000B25E0" w:rsidP="000B25E0">
            <w:pPr>
              <w:widowControl/>
              <w:jc w:val="left"/>
              <w:rPr>
                <w:rFonts w:ascii="宋体" w:eastAsia="宋体" w:hAnsi="宋体" w:cs="宋体"/>
                <w:snapToGrid w:val="0"/>
                <w:color w:val="000000"/>
                <w:kern w:val="0"/>
                <w:sz w:val="24"/>
                <w:szCs w:val="24"/>
                <w:lang w:bidi="ar"/>
              </w:rPr>
            </w:pPr>
          </w:p>
          <w:p w14:paraId="526C2EA1" w14:textId="77777777" w:rsidR="000B25E0" w:rsidRPr="000B25E0" w:rsidRDefault="000B25E0" w:rsidP="000B25E0">
            <w:pPr>
              <w:widowControl/>
              <w:jc w:val="left"/>
              <w:rPr>
                <w:rFonts w:ascii="Calibri" w:eastAsia="宋体" w:hAnsi="Calibri" w:cs="Times New Roman"/>
              </w:rPr>
            </w:pPr>
            <w:r w:rsidRPr="000B25E0">
              <w:rPr>
                <w:rFonts w:ascii="宋体" w:eastAsia="宋体" w:hAnsi="宋体" w:cs="宋体" w:hint="eastAsia"/>
                <w:snapToGrid w:val="0"/>
                <w:color w:val="000000"/>
                <w:kern w:val="0"/>
                <w:sz w:val="24"/>
                <w:szCs w:val="24"/>
                <w:lang w:bidi="ar"/>
              </w:rPr>
              <w:t>利用</w:t>
            </w:r>
            <w:proofErr w:type="gramStart"/>
            <w:r w:rsidRPr="000B25E0">
              <w:rPr>
                <w:rFonts w:ascii="宋体" w:eastAsia="宋体" w:hAnsi="宋体" w:cs="宋体" w:hint="eastAsia"/>
                <w:snapToGrid w:val="0"/>
                <w:color w:val="000000"/>
                <w:kern w:val="0"/>
                <w:sz w:val="24"/>
                <w:szCs w:val="24"/>
                <w:lang w:bidi="ar"/>
              </w:rPr>
              <w:t>微信平台</w:t>
            </w:r>
            <w:proofErr w:type="gramEnd"/>
            <w:r w:rsidRPr="000B25E0">
              <w:rPr>
                <w:rFonts w:ascii="宋体" w:eastAsia="宋体" w:hAnsi="宋体" w:cs="宋体" w:hint="eastAsia"/>
                <w:snapToGrid w:val="0"/>
                <w:color w:val="000000"/>
                <w:kern w:val="0"/>
                <w:sz w:val="24"/>
                <w:szCs w:val="24"/>
                <w:lang w:bidi="ar"/>
              </w:rPr>
              <w:t xml:space="preserve">；讲解法、 </w:t>
            </w:r>
          </w:p>
          <w:p w14:paraId="1B45A9F6" w14:textId="77777777" w:rsidR="000B25E0" w:rsidRPr="000B25E0" w:rsidRDefault="000B25E0" w:rsidP="000B25E0">
            <w:pPr>
              <w:widowControl/>
              <w:jc w:val="left"/>
              <w:rPr>
                <w:rFonts w:ascii="Calibri" w:eastAsia="宋体" w:hAnsi="Calibri" w:cs="Times New Roman"/>
              </w:rPr>
            </w:pPr>
            <w:r w:rsidRPr="000B25E0">
              <w:rPr>
                <w:rFonts w:ascii="宋体" w:eastAsia="宋体" w:hAnsi="宋体" w:cs="宋体" w:hint="eastAsia"/>
                <w:snapToGrid w:val="0"/>
                <w:color w:val="000000"/>
                <w:kern w:val="0"/>
                <w:sz w:val="24"/>
                <w:szCs w:val="24"/>
                <w:lang w:bidi="ar"/>
              </w:rPr>
              <w:t xml:space="preserve">示范法；练习法；小组 </w:t>
            </w:r>
          </w:p>
          <w:p w14:paraId="5A96032E" w14:textId="77777777" w:rsidR="000B25E0" w:rsidRPr="000B25E0" w:rsidRDefault="000B25E0" w:rsidP="000B25E0">
            <w:pPr>
              <w:widowControl/>
              <w:jc w:val="left"/>
              <w:rPr>
                <w:rFonts w:ascii="Calibri" w:eastAsia="宋体" w:hAnsi="Calibri" w:cs="Times New Roman"/>
              </w:rPr>
            </w:pPr>
            <w:r w:rsidRPr="000B25E0">
              <w:rPr>
                <w:rFonts w:ascii="宋体" w:eastAsia="宋体" w:hAnsi="宋体" w:cs="宋体" w:hint="eastAsia"/>
                <w:snapToGrid w:val="0"/>
                <w:color w:val="000000"/>
                <w:kern w:val="0"/>
                <w:sz w:val="24"/>
                <w:szCs w:val="24"/>
                <w:lang w:bidi="ar"/>
              </w:rPr>
              <w:t>合作学习</w:t>
            </w:r>
          </w:p>
          <w:p w14:paraId="4804DA1F" w14:textId="77777777" w:rsidR="000B25E0" w:rsidRPr="000B25E0" w:rsidRDefault="000B25E0" w:rsidP="000B25E0">
            <w:pPr>
              <w:spacing w:line="440" w:lineRule="exact"/>
              <w:jc w:val="center"/>
              <w:rPr>
                <w:rFonts w:ascii="Times New Roman" w:eastAsia="宋体" w:hAnsi="Times New Roman" w:cs="Times New Roman"/>
                <w:sz w:val="24"/>
              </w:rPr>
            </w:pPr>
          </w:p>
        </w:tc>
        <w:tc>
          <w:tcPr>
            <w:tcW w:w="2551" w:type="dxa"/>
            <w:vAlign w:val="center"/>
          </w:tcPr>
          <w:p w14:paraId="7D30AC01" w14:textId="77777777" w:rsidR="000B25E0" w:rsidRPr="000B25E0" w:rsidRDefault="000B25E0" w:rsidP="000B25E0">
            <w:pPr>
              <w:jc w:val="center"/>
              <w:rPr>
                <w:rFonts w:ascii="Times New Roman" w:eastAsia="宋体" w:hAnsi="Times New Roman" w:cs="Times New Roman"/>
              </w:rPr>
            </w:pPr>
            <w:r w:rsidRPr="000B25E0">
              <w:rPr>
                <w:rFonts w:ascii="Times New Roman" w:eastAsia="宋体" w:hAnsi="Times New Roman" w:cs="Times New Roman"/>
                <w:sz w:val="24"/>
              </w:rPr>
              <w:t>课程目标</w:t>
            </w:r>
            <w:r w:rsidRPr="000B25E0">
              <w:rPr>
                <w:rFonts w:ascii="Times New Roman" w:eastAsia="宋体" w:hAnsi="Times New Roman" w:cs="Times New Roman" w:hint="eastAsia"/>
                <w:sz w:val="24"/>
              </w:rPr>
              <w:t>1</w:t>
            </w:r>
            <w:r w:rsidRPr="000B25E0">
              <w:rPr>
                <w:rFonts w:ascii="Times New Roman" w:eastAsia="宋体" w:hAnsi="Times New Roman" w:cs="Times New Roman" w:hint="eastAsia"/>
                <w:sz w:val="24"/>
              </w:rPr>
              <w:t>、</w:t>
            </w:r>
            <w:r w:rsidRPr="000B25E0">
              <w:rPr>
                <w:rFonts w:ascii="Times New Roman" w:eastAsia="宋体" w:hAnsi="Times New Roman" w:cs="Times New Roman"/>
                <w:sz w:val="24"/>
              </w:rPr>
              <w:t>2</w:t>
            </w:r>
            <w:r w:rsidRPr="000B25E0">
              <w:rPr>
                <w:rFonts w:ascii="Times New Roman" w:eastAsia="宋体" w:hAnsi="Times New Roman" w:cs="Times New Roman"/>
                <w:sz w:val="24"/>
              </w:rPr>
              <w:t>、</w:t>
            </w:r>
            <w:r w:rsidRPr="000B25E0">
              <w:rPr>
                <w:rFonts w:ascii="Times New Roman" w:eastAsia="宋体" w:hAnsi="Times New Roman" w:cs="Times New Roman"/>
                <w:sz w:val="24"/>
              </w:rPr>
              <w:t>3</w:t>
            </w:r>
          </w:p>
        </w:tc>
        <w:tc>
          <w:tcPr>
            <w:tcW w:w="1276" w:type="dxa"/>
            <w:vAlign w:val="center"/>
          </w:tcPr>
          <w:p w14:paraId="4F438CE9" w14:textId="77777777" w:rsidR="000B25E0" w:rsidRPr="000B25E0" w:rsidRDefault="000B25E0" w:rsidP="000B25E0">
            <w:pPr>
              <w:spacing w:line="440" w:lineRule="exact"/>
              <w:jc w:val="center"/>
              <w:rPr>
                <w:rFonts w:ascii="Times New Roman" w:eastAsia="宋体" w:hAnsi="Times New Roman" w:cs="Times New Roman"/>
                <w:sz w:val="24"/>
              </w:rPr>
            </w:pPr>
            <w:r w:rsidRPr="000B25E0">
              <w:rPr>
                <w:rFonts w:ascii="Times New Roman" w:eastAsia="宋体" w:hAnsi="Times New Roman" w:cs="Times New Roman" w:hint="eastAsia"/>
                <w:sz w:val="24"/>
              </w:rPr>
              <w:t>3</w:t>
            </w:r>
            <w:r w:rsidRPr="000B25E0">
              <w:rPr>
                <w:rFonts w:ascii="Times New Roman" w:eastAsia="宋体" w:hAnsi="Times New Roman" w:cs="Times New Roman"/>
                <w:sz w:val="24"/>
              </w:rPr>
              <w:t>2</w:t>
            </w:r>
          </w:p>
        </w:tc>
      </w:tr>
      <w:tr w:rsidR="000B25E0" w:rsidRPr="000B25E0" w14:paraId="5CA82A55" w14:textId="77777777" w:rsidTr="00BF5EF3">
        <w:trPr>
          <w:jc w:val="center"/>
        </w:trPr>
        <w:tc>
          <w:tcPr>
            <w:tcW w:w="2553" w:type="dxa"/>
            <w:vAlign w:val="center"/>
          </w:tcPr>
          <w:p w14:paraId="22AB7310" w14:textId="77777777" w:rsidR="000B25E0" w:rsidRPr="000B25E0" w:rsidRDefault="000B25E0" w:rsidP="000B25E0">
            <w:pPr>
              <w:spacing w:line="440" w:lineRule="exact"/>
              <w:jc w:val="left"/>
              <w:rPr>
                <w:rFonts w:ascii="Times New Roman" w:eastAsia="宋体" w:hAnsi="Times New Roman" w:cs="Times New Roman"/>
                <w:sz w:val="24"/>
              </w:rPr>
            </w:pPr>
            <w:r w:rsidRPr="000B25E0">
              <w:rPr>
                <w:rFonts w:ascii="Times New Roman" w:eastAsia="宋体" w:hAnsi="Times New Roman" w:cs="Times New Roman"/>
                <w:sz w:val="24"/>
              </w:rPr>
              <w:t>第三</w:t>
            </w:r>
            <w:r w:rsidRPr="000B25E0">
              <w:rPr>
                <w:rFonts w:ascii="Times New Roman" w:eastAsia="宋体" w:hAnsi="Times New Roman" w:cs="Times New Roman" w:hint="eastAsia"/>
                <w:sz w:val="24"/>
              </w:rPr>
              <w:t>学期</w:t>
            </w:r>
          </w:p>
        </w:tc>
        <w:tc>
          <w:tcPr>
            <w:tcW w:w="2977" w:type="dxa"/>
            <w:vAlign w:val="center"/>
          </w:tcPr>
          <w:p w14:paraId="2669F9C4" w14:textId="77777777" w:rsidR="000B25E0" w:rsidRPr="000B25E0" w:rsidRDefault="000B25E0" w:rsidP="000B25E0">
            <w:pPr>
              <w:widowControl/>
              <w:jc w:val="left"/>
              <w:rPr>
                <w:rFonts w:ascii="宋体" w:eastAsia="宋体" w:hAnsi="宋体" w:cs="宋体"/>
                <w:snapToGrid w:val="0"/>
                <w:color w:val="000000"/>
                <w:kern w:val="0"/>
                <w:sz w:val="24"/>
                <w:szCs w:val="24"/>
                <w:lang w:bidi="ar"/>
              </w:rPr>
            </w:pPr>
          </w:p>
          <w:p w14:paraId="4A9F9C95" w14:textId="77777777" w:rsidR="000B25E0" w:rsidRPr="000B25E0" w:rsidRDefault="000B25E0" w:rsidP="000B25E0">
            <w:pPr>
              <w:widowControl/>
              <w:jc w:val="left"/>
              <w:rPr>
                <w:rFonts w:ascii="Calibri" w:eastAsia="宋体" w:hAnsi="Calibri" w:cs="Times New Roman"/>
              </w:rPr>
            </w:pPr>
            <w:r w:rsidRPr="000B25E0">
              <w:rPr>
                <w:rFonts w:ascii="宋体" w:eastAsia="宋体" w:hAnsi="宋体" w:cs="宋体" w:hint="eastAsia"/>
                <w:snapToGrid w:val="0"/>
                <w:color w:val="000000"/>
                <w:kern w:val="0"/>
                <w:sz w:val="24"/>
                <w:szCs w:val="24"/>
                <w:lang w:bidi="ar"/>
              </w:rPr>
              <w:t>利用</w:t>
            </w:r>
            <w:proofErr w:type="gramStart"/>
            <w:r w:rsidRPr="000B25E0">
              <w:rPr>
                <w:rFonts w:ascii="宋体" w:eastAsia="宋体" w:hAnsi="宋体" w:cs="宋体" w:hint="eastAsia"/>
                <w:snapToGrid w:val="0"/>
                <w:color w:val="000000"/>
                <w:kern w:val="0"/>
                <w:sz w:val="24"/>
                <w:szCs w:val="24"/>
                <w:lang w:bidi="ar"/>
              </w:rPr>
              <w:t>微信平台</w:t>
            </w:r>
            <w:proofErr w:type="gramEnd"/>
            <w:r w:rsidRPr="000B25E0">
              <w:rPr>
                <w:rFonts w:ascii="宋体" w:eastAsia="宋体" w:hAnsi="宋体" w:cs="宋体" w:hint="eastAsia"/>
                <w:snapToGrid w:val="0"/>
                <w:color w:val="000000"/>
                <w:kern w:val="0"/>
                <w:sz w:val="24"/>
                <w:szCs w:val="24"/>
                <w:lang w:bidi="ar"/>
              </w:rPr>
              <w:t xml:space="preserve">；讲解法、 </w:t>
            </w:r>
          </w:p>
          <w:p w14:paraId="6846EBCC" w14:textId="77777777" w:rsidR="000B25E0" w:rsidRPr="000B25E0" w:rsidRDefault="000B25E0" w:rsidP="000B25E0">
            <w:pPr>
              <w:widowControl/>
              <w:jc w:val="left"/>
              <w:rPr>
                <w:rFonts w:ascii="Calibri" w:eastAsia="宋体" w:hAnsi="Calibri" w:cs="Times New Roman"/>
              </w:rPr>
            </w:pPr>
            <w:r w:rsidRPr="000B25E0">
              <w:rPr>
                <w:rFonts w:ascii="宋体" w:eastAsia="宋体" w:hAnsi="宋体" w:cs="宋体" w:hint="eastAsia"/>
                <w:snapToGrid w:val="0"/>
                <w:color w:val="000000"/>
                <w:kern w:val="0"/>
                <w:sz w:val="24"/>
                <w:szCs w:val="24"/>
                <w:lang w:bidi="ar"/>
              </w:rPr>
              <w:t xml:space="preserve">示范法；练习法；小组 </w:t>
            </w:r>
          </w:p>
          <w:p w14:paraId="03D0F1FD" w14:textId="77777777" w:rsidR="000B25E0" w:rsidRPr="000B25E0" w:rsidRDefault="000B25E0" w:rsidP="000B25E0">
            <w:pPr>
              <w:widowControl/>
              <w:jc w:val="left"/>
              <w:rPr>
                <w:rFonts w:ascii="Calibri" w:eastAsia="宋体" w:hAnsi="Calibri" w:cs="Times New Roman"/>
              </w:rPr>
            </w:pPr>
            <w:r w:rsidRPr="000B25E0">
              <w:rPr>
                <w:rFonts w:ascii="宋体" w:eastAsia="宋体" w:hAnsi="宋体" w:cs="宋体" w:hint="eastAsia"/>
                <w:snapToGrid w:val="0"/>
                <w:color w:val="000000"/>
                <w:kern w:val="0"/>
                <w:sz w:val="24"/>
                <w:szCs w:val="24"/>
                <w:lang w:bidi="ar"/>
              </w:rPr>
              <w:t>合作学习</w:t>
            </w:r>
          </w:p>
          <w:p w14:paraId="01E03A93" w14:textId="77777777" w:rsidR="000B25E0" w:rsidRPr="000B25E0" w:rsidRDefault="000B25E0" w:rsidP="000B25E0">
            <w:pPr>
              <w:spacing w:line="440" w:lineRule="exact"/>
              <w:jc w:val="center"/>
              <w:rPr>
                <w:rFonts w:ascii="Times New Roman" w:eastAsia="宋体" w:hAnsi="Times New Roman" w:cs="Times New Roman"/>
                <w:sz w:val="24"/>
              </w:rPr>
            </w:pPr>
          </w:p>
        </w:tc>
        <w:tc>
          <w:tcPr>
            <w:tcW w:w="2551" w:type="dxa"/>
            <w:vAlign w:val="center"/>
          </w:tcPr>
          <w:p w14:paraId="1233CDB5" w14:textId="77777777" w:rsidR="000B25E0" w:rsidRPr="000B25E0" w:rsidRDefault="000B25E0" w:rsidP="000B25E0">
            <w:pPr>
              <w:jc w:val="center"/>
              <w:rPr>
                <w:rFonts w:ascii="Times New Roman" w:eastAsia="宋体" w:hAnsi="Times New Roman" w:cs="Times New Roman"/>
              </w:rPr>
            </w:pPr>
            <w:r w:rsidRPr="000B25E0">
              <w:rPr>
                <w:rFonts w:ascii="Times New Roman" w:eastAsia="宋体" w:hAnsi="Times New Roman" w:cs="Times New Roman"/>
                <w:sz w:val="24"/>
              </w:rPr>
              <w:lastRenderedPageBreak/>
              <w:t>课程目标</w:t>
            </w:r>
            <w:r w:rsidRPr="000B25E0">
              <w:rPr>
                <w:rFonts w:ascii="Times New Roman" w:eastAsia="宋体" w:hAnsi="Times New Roman" w:cs="Times New Roman" w:hint="eastAsia"/>
                <w:sz w:val="24"/>
              </w:rPr>
              <w:t>1</w:t>
            </w:r>
            <w:r w:rsidRPr="000B25E0">
              <w:rPr>
                <w:rFonts w:ascii="Times New Roman" w:eastAsia="宋体" w:hAnsi="Times New Roman" w:cs="Times New Roman" w:hint="eastAsia"/>
                <w:sz w:val="24"/>
              </w:rPr>
              <w:t>、</w:t>
            </w:r>
            <w:r w:rsidRPr="000B25E0">
              <w:rPr>
                <w:rFonts w:ascii="Times New Roman" w:eastAsia="宋体" w:hAnsi="Times New Roman" w:cs="Times New Roman"/>
                <w:sz w:val="24"/>
              </w:rPr>
              <w:t>2</w:t>
            </w:r>
            <w:r w:rsidRPr="000B25E0">
              <w:rPr>
                <w:rFonts w:ascii="Times New Roman" w:eastAsia="宋体" w:hAnsi="Times New Roman" w:cs="Times New Roman" w:hint="eastAsia"/>
                <w:sz w:val="24"/>
              </w:rPr>
              <w:t>、</w:t>
            </w:r>
            <w:r w:rsidRPr="000B25E0">
              <w:rPr>
                <w:rFonts w:ascii="Times New Roman" w:eastAsia="宋体" w:hAnsi="Times New Roman" w:cs="Times New Roman" w:hint="eastAsia"/>
                <w:sz w:val="24"/>
              </w:rPr>
              <w:t>3</w:t>
            </w:r>
          </w:p>
        </w:tc>
        <w:tc>
          <w:tcPr>
            <w:tcW w:w="1276" w:type="dxa"/>
            <w:vAlign w:val="center"/>
          </w:tcPr>
          <w:p w14:paraId="686743FD" w14:textId="77777777" w:rsidR="000B25E0" w:rsidRPr="000B25E0" w:rsidRDefault="000B25E0" w:rsidP="000B25E0">
            <w:pPr>
              <w:spacing w:line="440" w:lineRule="exact"/>
              <w:jc w:val="center"/>
              <w:rPr>
                <w:rFonts w:ascii="Times New Roman" w:eastAsia="宋体" w:hAnsi="Times New Roman" w:cs="Times New Roman"/>
                <w:sz w:val="24"/>
              </w:rPr>
            </w:pPr>
            <w:r w:rsidRPr="000B25E0">
              <w:rPr>
                <w:rFonts w:ascii="Times New Roman" w:eastAsia="宋体" w:hAnsi="Times New Roman" w:cs="Times New Roman" w:hint="eastAsia"/>
                <w:sz w:val="24"/>
              </w:rPr>
              <w:t>3</w:t>
            </w:r>
            <w:r w:rsidRPr="000B25E0">
              <w:rPr>
                <w:rFonts w:ascii="Times New Roman" w:eastAsia="宋体" w:hAnsi="Times New Roman" w:cs="Times New Roman"/>
                <w:sz w:val="24"/>
              </w:rPr>
              <w:t>2</w:t>
            </w:r>
          </w:p>
        </w:tc>
      </w:tr>
      <w:tr w:rsidR="000B25E0" w:rsidRPr="000B25E0" w14:paraId="49B5A0E7" w14:textId="77777777" w:rsidTr="00BF5EF3">
        <w:trPr>
          <w:jc w:val="center"/>
        </w:trPr>
        <w:tc>
          <w:tcPr>
            <w:tcW w:w="2553" w:type="dxa"/>
            <w:vAlign w:val="center"/>
          </w:tcPr>
          <w:p w14:paraId="3A6CEE86" w14:textId="77777777" w:rsidR="000B25E0" w:rsidRPr="000B25E0" w:rsidRDefault="000B25E0" w:rsidP="000B25E0">
            <w:pPr>
              <w:spacing w:line="440" w:lineRule="exact"/>
              <w:jc w:val="left"/>
              <w:rPr>
                <w:rFonts w:ascii="Times New Roman" w:eastAsia="宋体" w:hAnsi="Times New Roman" w:cs="Times New Roman"/>
                <w:sz w:val="24"/>
              </w:rPr>
            </w:pPr>
            <w:r w:rsidRPr="000B25E0">
              <w:rPr>
                <w:rFonts w:ascii="Times New Roman" w:eastAsia="宋体" w:hAnsi="Times New Roman" w:cs="Times New Roman"/>
                <w:sz w:val="24"/>
              </w:rPr>
              <w:t>第四</w:t>
            </w:r>
            <w:r w:rsidRPr="000B25E0">
              <w:rPr>
                <w:rFonts w:ascii="Times New Roman" w:eastAsia="宋体" w:hAnsi="Times New Roman" w:cs="Times New Roman" w:hint="eastAsia"/>
                <w:sz w:val="24"/>
              </w:rPr>
              <w:t>学期</w:t>
            </w:r>
          </w:p>
        </w:tc>
        <w:tc>
          <w:tcPr>
            <w:tcW w:w="2977" w:type="dxa"/>
            <w:vAlign w:val="center"/>
          </w:tcPr>
          <w:p w14:paraId="000756E3" w14:textId="77777777" w:rsidR="000B25E0" w:rsidRPr="000B25E0" w:rsidRDefault="000B25E0" w:rsidP="000B25E0">
            <w:pPr>
              <w:widowControl/>
              <w:jc w:val="left"/>
              <w:rPr>
                <w:rFonts w:ascii="宋体" w:eastAsia="宋体" w:hAnsi="宋体" w:cs="宋体"/>
                <w:snapToGrid w:val="0"/>
                <w:color w:val="000000"/>
                <w:kern w:val="0"/>
                <w:sz w:val="24"/>
                <w:szCs w:val="24"/>
                <w:lang w:bidi="ar"/>
              </w:rPr>
            </w:pPr>
          </w:p>
          <w:p w14:paraId="349CEB87" w14:textId="77777777" w:rsidR="000B25E0" w:rsidRPr="000B25E0" w:rsidRDefault="000B25E0" w:rsidP="000B25E0">
            <w:pPr>
              <w:widowControl/>
              <w:jc w:val="left"/>
              <w:rPr>
                <w:rFonts w:ascii="Calibri" w:eastAsia="宋体" w:hAnsi="Calibri" w:cs="Times New Roman"/>
              </w:rPr>
            </w:pPr>
            <w:r w:rsidRPr="000B25E0">
              <w:rPr>
                <w:rFonts w:ascii="宋体" w:eastAsia="宋体" w:hAnsi="宋体" w:cs="宋体" w:hint="eastAsia"/>
                <w:snapToGrid w:val="0"/>
                <w:color w:val="000000"/>
                <w:kern w:val="0"/>
                <w:sz w:val="24"/>
                <w:szCs w:val="24"/>
                <w:lang w:bidi="ar"/>
              </w:rPr>
              <w:t>利用</w:t>
            </w:r>
            <w:proofErr w:type="gramStart"/>
            <w:r w:rsidRPr="000B25E0">
              <w:rPr>
                <w:rFonts w:ascii="宋体" w:eastAsia="宋体" w:hAnsi="宋体" w:cs="宋体" w:hint="eastAsia"/>
                <w:snapToGrid w:val="0"/>
                <w:color w:val="000000"/>
                <w:kern w:val="0"/>
                <w:sz w:val="24"/>
                <w:szCs w:val="24"/>
                <w:lang w:bidi="ar"/>
              </w:rPr>
              <w:t>微信平台</w:t>
            </w:r>
            <w:proofErr w:type="gramEnd"/>
            <w:r w:rsidRPr="000B25E0">
              <w:rPr>
                <w:rFonts w:ascii="宋体" w:eastAsia="宋体" w:hAnsi="宋体" w:cs="宋体" w:hint="eastAsia"/>
                <w:snapToGrid w:val="0"/>
                <w:color w:val="000000"/>
                <w:kern w:val="0"/>
                <w:sz w:val="24"/>
                <w:szCs w:val="24"/>
                <w:lang w:bidi="ar"/>
              </w:rPr>
              <w:t xml:space="preserve">；讲解法、 </w:t>
            </w:r>
          </w:p>
          <w:p w14:paraId="03046234" w14:textId="77777777" w:rsidR="000B25E0" w:rsidRPr="000B25E0" w:rsidRDefault="000B25E0" w:rsidP="000B25E0">
            <w:pPr>
              <w:widowControl/>
              <w:jc w:val="left"/>
              <w:rPr>
                <w:rFonts w:ascii="Calibri" w:eastAsia="宋体" w:hAnsi="Calibri" w:cs="Times New Roman"/>
              </w:rPr>
            </w:pPr>
            <w:r w:rsidRPr="000B25E0">
              <w:rPr>
                <w:rFonts w:ascii="宋体" w:eastAsia="宋体" w:hAnsi="宋体" w:cs="宋体" w:hint="eastAsia"/>
                <w:snapToGrid w:val="0"/>
                <w:color w:val="000000"/>
                <w:kern w:val="0"/>
                <w:sz w:val="24"/>
                <w:szCs w:val="24"/>
                <w:lang w:bidi="ar"/>
              </w:rPr>
              <w:t xml:space="preserve">示范法；练习法；小组 </w:t>
            </w:r>
          </w:p>
          <w:p w14:paraId="5A3822EE" w14:textId="77777777" w:rsidR="000B25E0" w:rsidRPr="000B25E0" w:rsidRDefault="000B25E0" w:rsidP="000B25E0">
            <w:pPr>
              <w:widowControl/>
              <w:jc w:val="left"/>
              <w:rPr>
                <w:rFonts w:ascii="Calibri" w:eastAsia="宋体" w:hAnsi="Calibri" w:cs="Times New Roman"/>
              </w:rPr>
            </w:pPr>
            <w:r w:rsidRPr="000B25E0">
              <w:rPr>
                <w:rFonts w:ascii="宋体" w:eastAsia="宋体" w:hAnsi="宋体" w:cs="宋体" w:hint="eastAsia"/>
                <w:snapToGrid w:val="0"/>
                <w:color w:val="000000"/>
                <w:kern w:val="0"/>
                <w:sz w:val="24"/>
                <w:szCs w:val="24"/>
                <w:lang w:bidi="ar"/>
              </w:rPr>
              <w:t>合作学习</w:t>
            </w:r>
          </w:p>
          <w:p w14:paraId="36A0ED97" w14:textId="77777777" w:rsidR="000B25E0" w:rsidRPr="000B25E0" w:rsidRDefault="000B25E0" w:rsidP="000B25E0">
            <w:pPr>
              <w:spacing w:line="440" w:lineRule="exact"/>
              <w:jc w:val="center"/>
              <w:rPr>
                <w:rFonts w:ascii="Times New Roman" w:eastAsia="宋体" w:hAnsi="Times New Roman" w:cs="Times New Roman"/>
                <w:sz w:val="24"/>
              </w:rPr>
            </w:pPr>
          </w:p>
        </w:tc>
        <w:tc>
          <w:tcPr>
            <w:tcW w:w="2551" w:type="dxa"/>
            <w:vAlign w:val="center"/>
          </w:tcPr>
          <w:p w14:paraId="56C77E44" w14:textId="77777777" w:rsidR="000B25E0" w:rsidRPr="000B25E0" w:rsidRDefault="000B25E0" w:rsidP="000B25E0">
            <w:pPr>
              <w:jc w:val="center"/>
              <w:rPr>
                <w:rFonts w:ascii="Times New Roman" w:eastAsia="宋体" w:hAnsi="Times New Roman" w:cs="Times New Roman"/>
              </w:rPr>
            </w:pPr>
            <w:r w:rsidRPr="000B25E0">
              <w:rPr>
                <w:rFonts w:ascii="Times New Roman" w:eastAsia="宋体" w:hAnsi="Times New Roman" w:cs="Times New Roman"/>
                <w:sz w:val="24"/>
              </w:rPr>
              <w:t>课程目标</w:t>
            </w:r>
            <w:r w:rsidRPr="000B25E0">
              <w:rPr>
                <w:rFonts w:ascii="Times New Roman" w:eastAsia="宋体" w:hAnsi="Times New Roman" w:cs="Times New Roman" w:hint="eastAsia"/>
                <w:sz w:val="24"/>
              </w:rPr>
              <w:t>1</w:t>
            </w:r>
            <w:r w:rsidRPr="000B25E0">
              <w:rPr>
                <w:rFonts w:ascii="Times New Roman" w:eastAsia="宋体" w:hAnsi="Times New Roman" w:cs="Times New Roman" w:hint="eastAsia"/>
                <w:sz w:val="24"/>
              </w:rPr>
              <w:t>、</w:t>
            </w:r>
            <w:r w:rsidRPr="000B25E0">
              <w:rPr>
                <w:rFonts w:ascii="Times New Roman" w:eastAsia="宋体" w:hAnsi="Times New Roman" w:cs="Times New Roman"/>
                <w:sz w:val="24"/>
              </w:rPr>
              <w:t>2</w:t>
            </w:r>
            <w:r w:rsidRPr="000B25E0">
              <w:rPr>
                <w:rFonts w:ascii="Times New Roman" w:eastAsia="宋体" w:hAnsi="Times New Roman" w:cs="Times New Roman"/>
                <w:sz w:val="24"/>
              </w:rPr>
              <w:t>、</w:t>
            </w:r>
            <w:r w:rsidRPr="000B25E0">
              <w:rPr>
                <w:rFonts w:ascii="Times New Roman" w:eastAsia="宋体" w:hAnsi="Times New Roman" w:cs="Times New Roman"/>
                <w:sz w:val="24"/>
              </w:rPr>
              <w:t>3</w:t>
            </w:r>
          </w:p>
        </w:tc>
        <w:tc>
          <w:tcPr>
            <w:tcW w:w="1276" w:type="dxa"/>
            <w:vAlign w:val="center"/>
          </w:tcPr>
          <w:p w14:paraId="3E43CA53" w14:textId="77777777" w:rsidR="000B25E0" w:rsidRPr="000B25E0" w:rsidRDefault="000B25E0" w:rsidP="000B25E0">
            <w:pPr>
              <w:spacing w:line="440" w:lineRule="exact"/>
              <w:jc w:val="center"/>
              <w:rPr>
                <w:rFonts w:ascii="Times New Roman" w:eastAsia="宋体" w:hAnsi="Times New Roman" w:cs="Times New Roman"/>
                <w:sz w:val="24"/>
              </w:rPr>
            </w:pPr>
            <w:r w:rsidRPr="000B25E0">
              <w:rPr>
                <w:rFonts w:ascii="Times New Roman" w:eastAsia="宋体" w:hAnsi="Times New Roman" w:cs="Times New Roman" w:hint="eastAsia"/>
                <w:sz w:val="24"/>
              </w:rPr>
              <w:t>32</w:t>
            </w:r>
          </w:p>
        </w:tc>
      </w:tr>
      <w:tr w:rsidR="000B25E0" w:rsidRPr="000B25E0" w14:paraId="7753A98C" w14:textId="77777777" w:rsidTr="00BF5EF3">
        <w:trPr>
          <w:jc w:val="center"/>
        </w:trPr>
        <w:tc>
          <w:tcPr>
            <w:tcW w:w="8081" w:type="dxa"/>
            <w:gridSpan w:val="3"/>
            <w:vAlign w:val="center"/>
          </w:tcPr>
          <w:p w14:paraId="57EA9416" w14:textId="77777777" w:rsidR="000B25E0" w:rsidRPr="000B25E0" w:rsidRDefault="000B25E0" w:rsidP="000B25E0">
            <w:pPr>
              <w:spacing w:line="440" w:lineRule="exact"/>
              <w:jc w:val="center"/>
              <w:rPr>
                <w:rFonts w:ascii="Times New Roman" w:eastAsia="宋体" w:hAnsi="Times New Roman" w:cs="Times New Roman"/>
                <w:b/>
                <w:sz w:val="24"/>
              </w:rPr>
            </w:pPr>
            <w:r w:rsidRPr="000B25E0">
              <w:rPr>
                <w:rFonts w:ascii="Times New Roman" w:eastAsia="宋体" w:hAnsi="Times New Roman" w:cs="Times New Roman"/>
                <w:b/>
                <w:sz w:val="24"/>
              </w:rPr>
              <w:t>合计</w:t>
            </w:r>
          </w:p>
        </w:tc>
        <w:tc>
          <w:tcPr>
            <w:tcW w:w="1276" w:type="dxa"/>
            <w:vAlign w:val="center"/>
          </w:tcPr>
          <w:p w14:paraId="5D3FE57C" w14:textId="77777777" w:rsidR="000B25E0" w:rsidRPr="000B25E0" w:rsidRDefault="000B25E0" w:rsidP="000B25E0">
            <w:pPr>
              <w:spacing w:line="440" w:lineRule="exact"/>
              <w:jc w:val="center"/>
              <w:rPr>
                <w:rFonts w:ascii="Times New Roman" w:eastAsia="宋体" w:hAnsi="Times New Roman" w:cs="Times New Roman"/>
                <w:sz w:val="24"/>
              </w:rPr>
            </w:pPr>
            <w:r w:rsidRPr="000B25E0">
              <w:rPr>
                <w:rFonts w:ascii="Times New Roman" w:eastAsia="宋体" w:hAnsi="Times New Roman" w:cs="Times New Roman" w:hint="eastAsia"/>
                <w:sz w:val="24"/>
              </w:rPr>
              <w:t>128</w:t>
            </w:r>
          </w:p>
        </w:tc>
      </w:tr>
    </w:tbl>
    <w:p w14:paraId="5F9C6874" w14:textId="77777777" w:rsidR="000B25E0" w:rsidRPr="000B25E0" w:rsidRDefault="000B25E0" w:rsidP="000B25E0">
      <w:pPr>
        <w:spacing w:beforeLines="50" w:before="156" w:afterLines="50" w:after="156" w:line="440" w:lineRule="exact"/>
        <w:ind w:firstLineChars="200" w:firstLine="560"/>
        <w:rPr>
          <w:rFonts w:ascii="Times New Roman" w:eastAsia="宋体" w:hAnsi="Times New Roman" w:cs="Times New Roman"/>
          <w:sz w:val="24"/>
        </w:rPr>
      </w:pPr>
      <w:r w:rsidRPr="000B25E0">
        <w:rPr>
          <w:rFonts w:ascii="Times New Roman" w:eastAsia="黑体" w:hAnsi="Times New Roman" w:cs="Times New Roman"/>
          <w:sz w:val="28"/>
          <w:szCs w:val="28"/>
        </w:rPr>
        <w:t>四、课程考核及与课程学习目标的对应关系</w:t>
      </w:r>
    </w:p>
    <w:p w14:paraId="0E600914" w14:textId="77777777" w:rsidR="000B25E0" w:rsidRPr="000B25E0" w:rsidRDefault="000B25E0" w:rsidP="000B25E0">
      <w:pPr>
        <w:spacing w:beforeLines="50" w:before="156" w:afterLines="50" w:after="156" w:line="440" w:lineRule="exact"/>
        <w:ind w:firstLineChars="200" w:firstLine="560"/>
        <w:rPr>
          <w:rFonts w:ascii="Times New Roman" w:eastAsia="黑体" w:hAnsi="Times New Roman" w:cs="Times New Roman"/>
          <w:sz w:val="28"/>
          <w:szCs w:val="28"/>
        </w:rPr>
      </w:pPr>
      <w:r w:rsidRPr="000B25E0">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9"/>
        <w:gridCol w:w="4823"/>
        <w:gridCol w:w="2218"/>
      </w:tblGrid>
      <w:tr w:rsidR="000B25E0" w:rsidRPr="000B25E0" w14:paraId="45EAC0B5" w14:textId="77777777" w:rsidTr="00BF5EF3">
        <w:trPr>
          <w:trHeight w:val="515"/>
          <w:jc w:val="center"/>
        </w:trPr>
        <w:tc>
          <w:tcPr>
            <w:tcW w:w="2299" w:type="dxa"/>
          </w:tcPr>
          <w:p w14:paraId="1548FD10" w14:textId="77777777" w:rsidR="000B25E0" w:rsidRPr="000B25E0" w:rsidRDefault="000B25E0" w:rsidP="000B25E0">
            <w:pPr>
              <w:spacing w:line="440" w:lineRule="exact"/>
              <w:jc w:val="center"/>
              <w:rPr>
                <w:rFonts w:ascii="Times New Roman" w:eastAsia="宋体" w:hAnsi="Times New Roman" w:cs="Times New Roman"/>
                <w:b/>
                <w:sz w:val="24"/>
              </w:rPr>
            </w:pPr>
            <w:r w:rsidRPr="000B25E0">
              <w:rPr>
                <w:rFonts w:ascii="Times New Roman" w:eastAsia="宋体" w:hAnsi="Times New Roman" w:cs="Times New Roman"/>
                <w:b/>
                <w:sz w:val="24"/>
              </w:rPr>
              <w:t>课程目标</w:t>
            </w:r>
          </w:p>
        </w:tc>
        <w:tc>
          <w:tcPr>
            <w:tcW w:w="4823" w:type="dxa"/>
            <w:vAlign w:val="center"/>
          </w:tcPr>
          <w:p w14:paraId="2C211C84" w14:textId="77777777" w:rsidR="000B25E0" w:rsidRPr="000B25E0" w:rsidRDefault="000B25E0" w:rsidP="000B25E0">
            <w:pPr>
              <w:spacing w:line="440" w:lineRule="exact"/>
              <w:jc w:val="center"/>
              <w:rPr>
                <w:rFonts w:ascii="Times New Roman" w:eastAsia="宋体" w:hAnsi="Times New Roman" w:cs="Times New Roman"/>
                <w:b/>
                <w:sz w:val="24"/>
              </w:rPr>
            </w:pPr>
            <w:r w:rsidRPr="000B25E0">
              <w:rPr>
                <w:rFonts w:ascii="Times New Roman" w:eastAsia="宋体" w:hAnsi="Times New Roman" w:cs="Times New Roman"/>
                <w:b/>
                <w:sz w:val="24"/>
              </w:rPr>
              <w:t>考核内容</w:t>
            </w:r>
          </w:p>
        </w:tc>
        <w:tc>
          <w:tcPr>
            <w:tcW w:w="2218" w:type="dxa"/>
            <w:vAlign w:val="center"/>
          </w:tcPr>
          <w:p w14:paraId="0D4FB54B" w14:textId="77777777" w:rsidR="000B25E0" w:rsidRPr="000B25E0" w:rsidRDefault="000B25E0" w:rsidP="000B25E0">
            <w:pPr>
              <w:spacing w:line="440" w:lineRule="exact"/>
              <w:jc w:val="center"/>
              <w:rPr>
                <w:rFonts w:ascii="Times New Roman" w:eastAsia="宋体" w:hAnsi="Times New Roman" w:cs="Times New Roman"/>
                <w:b/>
                <w:sz w:val="24"/>
              </w:rPr>
            </w:pPr>
            <w:r w:rsidRPr="000B25E0">
              <w:rPr>
                <w:rFonts w:ascii="Times New Roman" w:eastAsia="宋体" w:hAnsi="Times New Roman" w:cs="Times New Roman" w:hint="eastAsia"/>
                <w:b/>
                <w:sz w:val="24"/>
              </w:rPr>
              <w:t>考核方式</w:t>
            </w:r>
          </w:p>
        </w:tc>
      </w:tr>
      <w:tr w:rsidR="000B25E0" w:rsidRPr="000B25E0" w14:paraId="1977D235" w14:textId="77777777" w:rsidTr="00BF5EF3">
        <w:trPr>
          <w:trHeight w:val="626"/>
          <w:jc w:val="center"/>
        </w:trPr>
        <w:tc>
          <w:tcPr>
            <w:tcW w:w="2299" w:type="dxa"/>
            <w:vAlign w:val="center"/>
          </w:tcPr>
          <w:p w14:paraId="59EFBE03" w14:textId="77777777" w:rsidR="000B25E0" w:rsidRPr="000B25E0" w:rsidRDefault="000B25E0" w:rsidP="000B25E0">
            <w:pPr>
              <w:spacing w:line="440" w:lineRule="exact"/>
              <w:rPr>
                <w:rFonts w:ascii="Times New Roman" w:eastAsia="宋体" w:hAnsi="Times New Roman" w:cs="Times New Roman"/>
                <w:b/>
                <w:sz w:val="24"/>
              </w:rPr>
            </w:pPr>
            <w:r w:rsidRPr="000B25E0">
              <w:rPr>
                <w:rFonts w:ascii="Times New Roman" w:eastAsia="宋体" w:hAnsi="Times New Roman" w:cs="Times New Roman"/>
                <w:bCs/>
                <w:sz w:val="24"/>
              </w:rPr>
              <w:t>课程目标</w:t>
            </w:r>
            <w:r w:rsidRPr="000B25E0">
              <w:rPr>
                <w:rFonts w:ascii="Times New Roman" w:eastAsia="宋体" w:hAnsi="Times New Roman" w:cs="Times New Roman" w:hint="eastAsia"/>
                <w:bCs/>
                <w:sz w:val="24"/>
              </w:rPr>
              <w:t>1</w:t>
            </w:r>
            <w:r w:rsidRPr="000B25E0">
              <w:rPr>
                <w:rFonts w:ascii="Times New Roman" w:eastAsia="宋体" w:hAnsi="Times New Roman" w:cs="Times New Roman" w:hint="eastAsia"/>
                <w:bCs/>
                <w:sz w:val="24"/>
              </w:rPr>
              <w:t>、</w:t>
            </w:r>
            <w:r w:rsidRPr="000B25E0">
              <w:rPr>
                <w:rFonts w:ascii="Times New Roman" w:eastAsia="宋体" w:hAnsi="Times New Roman" w:cs="Times New Roman" w:hint="eastAsia"/>
                <w:bCs/>
                <w:sz w:val="24"/>
              </w:rPr>
              <w:t>2</w:t>
            </w:r>
            <w:r w:rsidRPr="000B25E0">
              <w:rPr>
                <w:rFonts w:ascii="Times New Roman" w:eastAsia="宋体" w:hAnsi="Times New Roman" w:cs="Times New Roman" w:hint="eastAsia"/>
                <w:bCs/>
                <w:sz w:val="24"/>
              </w:rPr>
              <w:t>、</w:t>
            </w:r>
            <w:r w:rsidRPr="000B25E0">
              <w:rPr>
                <w:rFonts w:ascii="Times New Roman" w:eastAsia="宋体" w:hAnsi="Times New Roman" w:cs="Times New Roman" w:hint="eastAsia"/>
                <w:bCs/>
                <w:sz w:val="24"/>
              </w:rPr>
              <w:t>3</w:t>
            </w:r>
          </w:p>
        </w:tc>
        <w:tc>
          <w:tcPr>
            <w:tcW w:w="4823" w:type="dxa"/>
            <w:vAlign w:val="center"/>
          </w:tcPr>
          <w:p w14:paraId="5D596642" w14:textId="77777777" w:rsidR="000B25E0" w:rsidRPr="000B25E0" w:rsidRDefault="000B25E0" w:rsidP="000B25E0">
            <w:pPr>
              <w:jc w:val="left"/>
              <w:rPr>
                <w:rFonts w:ascii="Times New Roman" w:eastAsia="宋体" w:hAnsi="Times New Roman" w:cs="Times New Roman"/>
                <w:bCs/>
                <w:sz w:val="24"/>
              </w:rPr>
            </w:pPr>
            <w:r w:rsidRPr="000B25E0">
              <w:rPr>
                <w:rFonts w:ascii="Times New Roman" w:eastAsia="宋体" w:hAnsi="Times New Roman" w:cs="Times New Roman" w:hint="eastAsia"/>
                <w:bCs/>
                <w:sz w:val="24"/>
              </w:rPr>
              <w:t>大学生体质健康标准测试</w:t>
            </w:r>
          </w:p>
          <w:p w14:paraId="49B4E4C4" w14:textId="77777777" w:rsidR="000B25E0" w:rsidRPr="000B25E0" w:rsidRDefault="000B25E0" w:rsidP="000B25E0">
            <w:pPr>
              <w:jc w:val="left"/>
              <w:rPr>
                <w:rFonts w:ascii="Times New Roman" w:eastAsia="宋体" w:hAnsi="Times New Roman" w:cs="Times New Roman"/>
                <w:bCs/>
                <w:sz w:val="24"/>
              </w:rPr>
            </w:pPr>
          </w:p>
        </w:tc>
        <w:tc>
          <w:tcPr>
            <w:tcW w:w="2218" w:type="dxa"/>
            <w:vAlign w:val="center"/>
          </w:tcPr>
          <w:p w14:paraId="3BB91788" w14:textId="77777777" w:rsidR="000B25E0" w:rsidRPr="000B25E0" w:rsidRDefault="000B25E0" w:rsidP="000B25E0">
            <w:pPr>
              <w:jc w:val="left"/>
              <w:rPr>
                <w:rFonts w:ascii="Times New Roman" w:eastAsia="宋体" w:hAnsi="Times New Roman" w:cs="Times New Roman"/>
                <w:bCs/>
                <w:sz w:val="24"/>
              </w:rPr>
            </w:pPr>
            <w:r w:rsidRPr="000B25E0">
              <w:rPr>
                <w:rFonts w:ascii="Times New Roman" w:eastAsia="宋体" w:hAnsi="Times New Roman" w:cs="Times New Roman" w:hint="eastAsia"/>
                <w:bCs/>
                <w:sz w:val="24"/>
              </w:rPr>
              <w:t>随堂技术考核</w:t>
            </w:r>
          </w:p>
          <w:p w14:paraId="46C89E90" w14:textId="77777777" w:rsidR="000B25E0" w:rsidRPr="000B25E0" w:rsidRDefault="000B25E0" w:rsidP="000B25E0">
            <w:pPr>
              <w:jc w:val="left"/>
              <w:rPr>
                <w:rFonts w:ascii="Times New Roman" w:eastAsia="宋体" w:hAnsi="Times New Roman" w:cs="Times New Roman"/>
                <w:bCs/>
                <w:sz w:val="24"/>
              </w:rPr>
            </w:pPr>
          </w:p>
        </w:tc>
      </w:tr>
      <w:tr w:rsidR="000B25E0" w:rsidRPr="000B25E0" w14:paraId="510DEC0A" w14:textId="77777777" w:rsidTr="00BF5EF3">
        <w:trPr>
          <w:trHeight w:val="682"/>
          <w:jc w:val="center"/>
        </w:trPr>
        <w:tc>
          <w:tcPr>
            <w:tcW w:w="2299" w:type="dxa"/>
            <w:vAlign w:val="center"/>
          </w:tcPr>
          <w:p w14:paraId="24C7F134" w14:textId="77777777" w:rsidR="000B25E0" w:rsidRPr="000B25E0" w:rsidRDefault="000B25E0" w:rsidP="000B25E0">
            <w:pPr>
              <w:spacing w:line="440" w:lineRule="exact"/>
              <w:jc w:val="center"/>
              <w:rPr>
                <w:rFonts w:ascii="Times New Roman" w:eastAsia="宋体" w:hAnsi="Times New Roman" w:cs="Times New Roman"/>
                <w:bCs/>
                <w:sz w:val="24"/>
              </w:rPr>
            </w:pPr>
            <w:r w:rsidRPr="000B25E0">
              <w:rPr>
                <w:rFonts w:ascii="Times New Roman" w:eastAsia="宋体" w:hAnsi="Times New Roman" w:cs="Times New Roman"/>
                <w:bCs/>
                <w:sz w:val="24"/>
              </w:rPr>
              <w:t>课程目标</w:t>
            </w:r>
            <w:r w:rsidRPr="000B25E0">
              <w:rPr>
                <w:rFonts w:ascii="Times New Roman" w:eastAsia="宋体" w:hAnsi="Times New Roman" w:cs="Times New Roman" w:hint="eastAsia"/>
                <w:bCs/>
                <w:sz w:val="24"/>
              </w:rPr>
              <w:t>2</w:t>
            </w:r>
            <w:r w:rsidRPr="000B25E0">
              <w:rPr>
                <w:rFonts w:ascii="Times New Roman" w:eastAsia="宋体" w:hAnsi="Times New Roman" w:cs="Times New Roman" w:hint="eastAsia"/>
                <w:bCs/>
                <w:sz w:val="24"/>
              </w:rPr>
              <w:t>、</w:t>
            </w:r>
            <w:r w:rsidRPr="000B25E0">
              <w:rPr>
                <w:rFonts w:ascii="Times New Roman" w:eastAsia="宋体" w:hAnsi="Times New Roman" w:cs="Times New Roman" w:hint="eastAsia"/>
                <w:bCs/>
                <w:sz w:val="24"/>
              </w:rPr>
              <w:t>3</w:t>
            </w:r>
          </w:p>
        </w:tc>
        <w:tc>
          <w:tcPr>
            <w:tcW w:w="4823" w:type="dxa"/>
            <w:vAlign w:val="center"/>
          </w:tcPr>
          <w:p w14:paraId="257D2957" w14:textId="77777777" w:rsidR="000B25E0" w:rsidRPr="000B25E0" w:rsidRDefault="000B25E0" w:rsidP="000B25E0">
            <w:pPr>
              <w:jc w:val="left"/>
              <w:rPr>
                <w:rFonts w:ascii="Times New Roman" w:eastAsia="宋体" w:hAnsi="Times New Roman" w:cs="Times New Roman"/>
                <w:bCs/>
                <w:sz w:val="24"/>
              </w:rPr>
            </w:pPr>
            <w:r w:rsidRPr="000B25E0">
              <w:rPr>
                <w:rFonts w:ascii="Times New Roman" w:eastAsia="宋体" w:hAnsi="Times New Roman" w:cs="Times New Roman" w:hint="eastAsia"/>
                <w:bCs/>
                <w:sz w:val="24"/>
              </w:rPr>
              <w:t>立定跳远</w:t>
            </w:r>
          </w:p>
          <w:p w14:paraId="4DA7B317" w14:textId="77777777" w:rsidR="000B25E0" w:rsidRPr="000B25E0" w:rsidRDefault="000B25E0" w:rsidP="000B25E0">
            <w:pPr>
              <w:jc w:val="left"/>
              <w:rPr>
                <w:rFonts w:ascii="Times New Roman" w:eastAsia="宋体" w:hAnsi="Times New Roman" w:cs="Times New Roman"/>
                <w:bCs/>
                <w:sz w:val="24"/>
              </w:rPr>
            </w:pPr>
          </w:p>
        </w:tc>
        <w:tc>
          <w:tcPr>
            <w:tcW w:w="2218" w:type="dxa"/>
            <w:vAlign w:val="center"/>
          </w:tcPr>
          <w:p w14:paraId="358E53F2" w14:textId="77777777" w:rsidR="000B25E0" w:rsidRPr="000B25E0" w:rsidRDefault="000B25E0" w:rsidP="000B25E0">
            <w:pPr>
              <w:jc w:val="left"/>
              <w:rPr>
                <w:rFonts w:ascii="Times New Roman" w:eastAsia="宋体" w:hAnsi="Times New Roman" w:cs="Times New Roman"/>
                <w:bCs/>
                <w:sz w:val="24"/>
              </w:rPr>
            </w:pPr>
            <w:r w:rsidRPr="000B25E0">
              <w:rPr>
                <w:rFonts w:ascii="Times New Roman" w:eastAsia="宋体" w:hAnsi="Times New Roman" w:cs="Times New Roman" w:hint="eastAsia"/>
                <w:bCs/>
                <w:sz w:val="24"/>
              </w:rPr>
              <w:t>随堂技术考核</w:t>
            </w:r>
          </w:p>
          <w:p w14:paraId="3037358B" w14:textId="77777777" w:rsidR="000B25E0" w:rsidRPr="000B25E0" w:rsidRDefault="000B25E0" w:rsidP="000B25E0">
            <w:pPr>
              <w:jc w:val="left"/>
              <w:rPr>
                <w:rFonts w:ascii="Times New Roman" w:eastAsia="宋体" w:hAnsi="Times New Roman" w:cs="Times New Roman"/>
                <w:bCs/>
                <w:sz w:val="24"/>
              </w:rPr>
            </w:pPr>
          </w:p>
        </w:tc>
      </w:tr>
      <w:tr w:rsidR="000B25E0" w:rsidRPr="000B25E0" w14:paraId="6A1B49AC" w14:textId="77777777" w:rsidTr="00BF5EF3">
        <w:trPr>
          <w:trHeight w:val="524"/>
          <w:jc w:val="center"/>
        </w:trPr>
        <w:tc>
          <w:tcPr>
            <w:tcW w:w="2299" w:type="dxa"/>
            <w:vAlign w:val="center"/>
          </w:tcPr>
          <w:p w14:paraId="1E250D9B" w14:textId="77777777" w:rsidR="000B25E0" w:rsidRPr="000B25E0" w:rsidRDefault="000B25E0" w:rsidP="000B25E0">
            <w:pPr>
              <w:spacing w:line="440" w:lineRule="exact"/>
              <w:jc w:val="center"/>
              <w:rPr>
                <w:rFonts w:ascii="Times New Roman" w:eastAsia="宋体" w:hAnsi="Times New Roman" w:cs="Times New Roman"/>
                <w:bCs/>
                <w:sz w:val="24"/>
                <w:szCs w:val="24"/>
              </w:rPr>
            </w:pPr>
            <w:r w:rsidRPr="000B25E0">
              <w:rPr>
                <w:rFonts w:ascii="Times New Roman" w:eastAsia="宋体" w:hAnsi="Times New Roman" w:cs="Times New Roman"/>
                <w:bCs/>
                <w:sz w:val="24"/>
              </w:rPr>
              <w:t>课程目标</w:t>
            </w:r>
            <w:r w:rsidRPr="000B25E0">
              <w:rPr>
                <w:rFonts w:ascii="Times New Roman" w:eastAsia="宋体" w:hAnsi="Times New Roman" w:cs="Times New Roman" w:hint="eastAsia"/>
                <w:bCs/>
                <w:sz w:val="24"/>
              </w:rPr>
              <w:t>2</w:t>
            </w:r>
            <w:r w:rsidRPr="000B25E0">
              <w:rPr>
                <w:rFonts w:ascii="Times New Roman" w:eastAsia="宋体" w:hAnsi="Times New Roman" w:cs="Times New Roman" w:hint="eastAsia"/>
                <w:bCs/>
                <w:sz w:val="24"/>
              </w:rPr>
              <w:t>、</w:t>
            </w:r>
            <w:r w:rsidRPr="000B25E0">
              <w:rPr>
                <w:rFonts w:ascii="Times New Roman" w:eastAsia="宋体" w:hAnsi="Times New Roman" w:cs="Times New Roman" w:hint="eastAsia"/>
                <w:bCs/>
                <w:sz w:val="24"/>
              </w:rPr>
              <w:t>3</w:t>
            </w:r>
          </w:p>
        </w:tc>
        <w:tc>
          <w:tcPr>
            <w:tcW w:w="4823" w:type="dxa"/>
            <w:vAlign w:val="center"/>
          </w:tcPr>
          <w:p w14:paraId="0E87C236" w14:textId="77777777" w:rsidR="000B25E0" w:rsidRPr="000B25E0" w:rsidRDefault="000B25E0" w:rsidP="000B25E0">
            <w:pPr>
              <w:jc w:val="left"/>
              <w:rPr>
                <w:rFonts w:ascii="Times New Roman" w:eastAsia="宋体" w:hAnsi="Times New Roman" w:cs="Times New Roman"/>
                <w:bCs/>
                <w:sz w:val="24"/>
                <w:szCs w:val="24"/>
              </w:rPr>
            </w:pPr>
            <w:r w:rsidRPr="000B25E0">
              <w:rPr>
                <w:rFonts w:ascii="Times New Roman" w:eastAsia="宋体" w:hAnsi="Times New Roman" w:cs="Times New Roman" w:hint="eastAsia"/>
                <w:bCs/>
                <w:sz w:val="24"/>
                <w:szCs w:val="24"/>
              </w:rPr>
              <w:t>拜日式</w:t>
            </w:r>
          </w:p>
        </w:tc>
        <w:tc>
          <w:tcPr>
            <w:tcW w:w="2218" w:type="dxa"/>
            <w:vAlign w:val="center"/>
          </w:tcPr>
          <w:p w14:paraId="09324F5D" w14:textId="77777777" w:rsidR="000B25E0" w:rsidRPr="000B25E0" w:rsidRDefault="000B25E0" w:rsidP="000B25E0">
            <w:pPr>
              <w:jc w:val="left"/>
              <w:rPr>
                <w:rFonts w:ascii="Times New Roman" w:eastAsia="宋体" w:hAnsi="Times New Roman" w:cs="Times New Roman"/>
                <w:sz w:val="24"/>
              </w:rPr>
            </w:pPr>
            <w:r w:rsidRPr="000B25E0">
              <w:rPr>
                <w:rFonts w:ascii="宋体" w:eastAsia="宋体" w:hAnsi="宋体" w:cs="宋体" w:hint="eastAsia"/>
                <w:snapToGrid w:val="0"/>
                <w:color w:val="000000"/>
                <w:kern w:val="0"/>
                <w:sz w:val="24"/>
                <w:szCs w:val="24"/>
                <w:lang w:bidi="ar"/>
              </w:rPr>
              <w:t>随堂技术考核</w:t>
            </w:r>
          </w:p>
        </w:tc>
      </w:tr>
      <w:tr w:rsidR="000B25E0" w:rsidRPr="000B25E0" w14:paraId="18AD5A69" w14:textId="77777777" w:rsidTr="00BF5EF3">
        <w:trPr>
          <w:jc w:val="center"/>
        </w:trPr>
        <w:tc>
          <w:tcPr>
            <w:tcW w:w="2299" w:type="dxa"/>
            <w:vAlign w:val="center"/>
          </w:tcPr>
          <w:p w14:paraId="33E62FBD" w14:textId="77777777" w:rsidR="000B25E0" w:rsidRPr="000B25E0" w:rsidRDefault="000B25E0" w:rsidP="000B25E0">
            <w:pPr>
              <w:spacing w:line="440" w:lineRule="exact"/>
              <w:jc w:val="center"/>
              <w:rPr>
                <w:rFonts w:ascii="Times New Roman" w:eastAsia="宋体" w:hAnsi="Times New Roman" w:cs="Times New Roman"/>
                <w:bCs/>
                <w:sz w:val="24"/>
              </w:rPr>
            </w:pPr>
            <w:r w:rsidRPr="000B25E0">
              <w:rPr>
                <w:rFonts w:ascii="Times New Roman" w:eastAsia="宋体" w:hAnsi="Times New Roman" w:cs="Times New Roman"/>
                <w:bCs/>
                <w:sz w:val="24"/>
              </w:rPr>
              <w:t>课程目标</w:t>
            </w:r>
            <w:r w:rsidRPr="000B25E0">
              <w:rPr>
                <w:rFonts w:ascii="Times New Roman" w:eastAsia="宋体" w:hAnsi="Times New Roman" w:cs="Times New Roman" w:hint="eastAsia"/>
                <w:bCs/>
                <w:sz w:val="24"/>
              </w:rPr>
              <w:t>2</w:t>
            </w:r>
            <w:r w:rsidRPr="000B25E0">
              <w:rPr>
                <w:rFonts w:ascii="Times New Roman" w:eastAsia="宋体" w:hAnsi="Times New Roman" w:cs="Times New Roman" w:hint="eastAsia"/>
                <w:bCs/>
                <w:sz w:val="24"/>
              </w:rPr>
              <w:t>、</w:t>
            </w:r>
            <w:r w:rsidRPr="000B25E0">
              <w:rPr>
                <w:rFonts w:ascii="Times New Roman" w:eastAsia="宋体" w:hAnsi="Times New Roman" w:cs="Times New Roman" w:hint="eastAsia"/>
                <w:bCs/>
                <w:sz w:val="24"/>
              </w:rPr>
              <w:t>3</w:t>
            </w:r>
          </w:p>
        </w:tc>
        <w:tc>
          <w:tcPr>
            <w:tcW w:w="4823" w:type="dxa"/>
            <w:vAlign w:val="center"/>
          </w:tcPr>
          <w:p w14:paraId="20C240DA" w14:textId="77777777" w:rsidR="000B25E0" w:rsidRPr="000B25E0" w:rsidRDefault="000B25E0" w:rsidP="000B25E0">
            <w:pPr>
              <w:jc w:val="left"/>
              <w:rPr>
                <w:rFonts w:ascii="Times New Roman" w:eastAsia="宋体" w:hAnsi="Times New Roman" w:cs="Times New Roman"/>
                <w:bCs/>
                <w:sz w:val="24"/>
                <w:szCs w:val="24"/>
              </w:rPr>
            </w:pPr>
            <w:proofErr w:type="gramStart"/>
            <w:r w:rsidRPr="000B25E0">
              <w:rPr>
                <w:rFonts w:ascii="Times New Roman" w:eastAsia="宋体" w:hAnsi="Times New Roman" w:cs="Times New Roman" w:hint="eastAsia"/>
                <w:bCs/>
                <w:sz w:val="24"/>
                <w:szCs w:val="24"/>
              </w:rPr>
              <w:t>一</w:t>
            </w:r>
            <w:proofErr w:type="gramEnd"/>
            <w:r w:rsidRPr="000B25E0">
              <w:rPr>
                <w:rFonts w:ascii="Times New Roman" w:eastAsia="宋体" w:hAnsi="Times New Roman" w:cs="Times New Roman" w:hint="eastAsia"/>
                <w:bCs/>
                <w:sz w:val="24"/>
                <w:szCs w:val="24"/>
              </w:rPr>
              <w:t>--</w:t>
            </w:r>
            <w:r w:rsidRPr="000B25E0">
              <w:rPr>
                <w:rFonts w:ascii="Times New Roman" w:eastAsia="宋体" w:hAnsi="Times New Roman" w:cs="Times New Roman" w:hint="eastAsia"/>
                <w:bCs/>
                <w:sz w:val="24"/>
                <w:szCs w:val="24"/>
              </w:rPr>
              <w:t>三级基础体式串联</w:t>
            </w:r>
          </w:p>
        </w:tc>
        <w:tc>
          <w:tcPr>
            <w:tcW w:w="2218" w:type="dxa"/>
            <w:vAlign w:val="center"/>
          </w:tcPr>
          <w:p w14:paraId="573EA0D8" w14:textId="77777777" w:rsidR="000B25E0" w:rsidRPr="000B25E0" w:rsidRDefault="000B25E0" w:rsidP="000B25E0">
            <w:pPr>
              <w:jc w:val="left"/>
              <w:rPr>
                <w:rFonts w:ascii="宋体" w:eastAsia="宋体" w:hAnsi="宋体" w:cs="宋体"/>
                <w:snapToGrid w:val="0"/>
                <w:color w:val="000000"/>
                <w:kern w:val="0"/>
                <w:sz w:val="24"/>
                <w:szCs w:val="24"/>
                <w:lang w:bidi="ar"/>
              </w:rPr>
            </w:pPr>
            <w:r w:rsidRPr="000B25E0">
              <w:rPr>
                <w:rFonts w:ascii="宋体" w:eastAsia="宋体" w:hAnsi="宋体" w:cs="宋体" w:hint="eastAsia"/>
                <w:snapToGrid w:val="0"/>
                <w:color w:val="000000"/>
                <w:kern w:val="0"/>
                <w:sz w:val="24"/>
                <w:szCs w:val="24"/>
                <w:lang w:bidi="ar"/>
              </w:rPr>
              <w:t>随堂技术考核</w:t>
            </w:r>
          </w:p>
        </w:tc>
      </w:tr>
      <w:tr w:rsidR="000B25E0" w:rsidRPr="000B25E0" w14:paraId="5758BE86" w14:textId="77777777" w:rsidTr="00BF5EF3">
        <w:trPr>
          <w:jc w:val="center"/>
        </w:trPr>
        <w:tc>
          <w:tcPr>
            <w:tcW w:w="2299" w:type="dxa"/>
            <w:vAlign w:val="center"/>
          </w:tcPr>
          <w:p w14:paraId="4D721CC0" w14:textId="77777777" w:rsidR="000B25E0" w:rsidRPr="000B25E0" w:rsidRDefault="000B25E0" w:rsidP="000B25E0">
            <w:pPr>
              <w:spacing w:line="440" w:lineRule="exact"/>
              <w:jc w:val="center"/>
              <w:rPr>
                <w:rFonts w:ascii="Times New Roman" w:eastAsia="宋体" w:hAnsi="Times New Roman" w:cs="Times New Roman"/>
                <w:bCs/>
                <w:sz w:val="24"/>
              </w:rPr>
            </w:pPr>
            <w:r w:rsidRPr="000B25E0">
              <w:rPr>
                <w:rFonts w:ascii="Times New Roman" w:eastAsia="宋体" w:hAnsi="Times New Roman" w:cs="Times New Roman"/>
                <w:bCs/>
                <w:sz w:val="24"/>
              </w:rPr>
              <w:t>课程目标</w:t>
            </w:r>
            <w:r w:rsidRPr="000B25E0">
              <w:rPr>
                <w:rFonts w:ascii="Times New Roman" w:eastAsia="宋体" w:hAnsi="Times New Roman" w:cs="Times New Roman" w:hint="eastAsia"/>
                <w:bCs/>
                <w:sz w:val="24"/>
              </w:rPr>
              <w:t>2</w:t>
            </w:r>
            <w:r w:rsidRPr="000B25E0">
              <w:rPr>
                <w:rFonts w:ascii="Times New Roman" w:eastAsia="宋体" w:hAnsi="Times New Roman" w:cs="Times New Roman" w:hint="eastAsia"/>
                <w:bCs/>
                <w:sz w:val="24"/>
              </w:rPr>
              <w:t>、</w:t>
            </w:r>
            <w:r w:rsidRPr="000B25E0">
              <w:rPr>
                <w:rFonts w:ascii="Times New Roman" w:eastAsia="宋体" w:hAnsi="Times New Roman" w:cs="Times New Roman" w:hint="eastAsia"/>
                <w:bCs/>
                <w:sz w:val="24"/>
              </w:rPr>
              <w:t>3</w:t>
            </w:r>
          </w:p>
        </w:tc>
        <w:tc>
          <w:tcPr>
            <w:tcW w:w="4823" w:type="dxa"/>
            <w:vAlign w:val="center"/>
          </w:tcPr>
          <w:p w14:paraId="2DC5CAD7" w14:textId="77777777" w:rsidR="000B25E0" w:rsidRPr="000B25E0" w:rsidRDefault="000B25E0" w:rsidP="000B25E0">
            <w:pPr>
              <w:jc w:val="left"/>
              <w:rPr>
                <w:rFonts w:ascii="Times New Roman" w:eastAsia="宋体" w:hAnsi="Times New Roman" w:cs="Times New Roman"/>
                <w:bCs/>
                <w:sz w:val="24"/>
                <w:szCs w:val="24"/>
              </w:rPr>
            </w:pPr>
            <w:r w:rsidRPr="000B25E0">
              <w:rPr>
                <w:rFonts w:ascii="Times New Roman" w:eastAsia="宋体" w:hAnsi="Times New Roman" w:cs="Times New Roman" w:hint="eastAsia"/>
                <w:bCs/>
                <w:sz w:val="24"/>
                <w:szCs w:val="24"/>
              </w:rPr>
              <w:t>自选体式串联</w:t>
            </w:r>
          </w:p>
        </w:tc>
        <w:tc>
          <w:tcPr>
            <w:tcW w:w="2218" w:type="dxa"/>
            <w:vAlign w:val="center"/>
          </w:tcPr>
          <w:p w14:paraId="180372D3" w14:textId="77777777" w:rsidR="000B25E0" w:rsidRPr="000B25E0" w:rsidRDefault="000B25E0" w:rsidP="000B25E0">
            <w:pPr>
              <w:jc w:val="left"/>
              <w:rPr>
                <w:rFonts w:ascii="宋体" w:eastAsia="宋体" w:hAnsi="宋体" w:cs="宋体"/>
                <w:snapToGrid w:val="0"/>
                <w:color w:val="000000"/>
                <w:kern w:val="0"/>
                <w:sz w:val="24"/>
                <w:szCs w:val="24"/>
                <w:lang w:bidi="ar"/>
              </w:rPr>
            </w:pPr>
            <w:r w:rsidRPr="000B25E0">
              <w:rPr>
                <w:rFonts w:ascii="宋体" w:eastAsia="宋体" w:hAnsi="宋体" w:cs="宋体" w:hint="eastAsia"/>
                <w:snapToGrid w:val="0"/>
                <w:color w:val="000000"/>
                <w:kern w:val="0"/>
                <w:sz w:val="24"/>
                <w:szCs w:val="24"/>
                <w:lang w:bidi="ar"/>
              </w:rPr>
              <w:t>随堂技术考核</w:t>
            </w:r>
          </w:p>
        </w:tc>
      </w:tr>
    </w:tbl>
    <w:p w14:paraId="02920B87" w14:textId="77777777" w:rsidR="000B25E0" w:rsidRPr="000B25E0" w:rsidRDefault="000B25E0" w:rsidP="000B25E0">
      <w:pPr>
        <w:spacing w:beforeLines="50" w:before="156" w:afterLines="50" w:after="156" w:line="440" w:lineRule="exact"/>
        <w:rPr>
          <w:rFonts w:ascii="Times New Roman" w:eastAsia="黑体" w:hAnsi="Times New Roman" w:cs="Times New Roman"/>
          <w:sz w:val="28"/>
          <w:szCs w:val="28"/>
        </w:rPr>
      </w:pPr>
    </w:p>
    <w:p w14:paraId="37D0DC49" w14:textId="77777777" w:rsidR="000B25E0" w:rsidRPr="000B25E0" w:rsidRDefault="000B25E0" w:rsidP="000B25E0">
      <w:pPr>
        <w:spacing w:beforeLines="50" w:before="156" w:afterLines="50" w:after="156" w:line="440" w:lineRule="exact"/>
        <w:rPr>
          <w:rFonts w:ascii="Times New Roman" w:eastAsia="黑体" w:hAnsi="Times New Roman" w:cs="Times New Roman"/>
          <w:sz w:val="28"/>
          <w:szCs w:val="28"/>
        </w:rPr>
      </w:pPr>
      <w:r w:rsidRPr="000B25E0">
        <w:rPr>
          <w:rFonts w:ascii="Times New Roman" w:eastAsia="黑体" w:hAnsi="Times New Roman" w:cs="Times New Roman"/>
          <w:sz w:val="28"/>
          <w:szCs w:val="28"/>
        </w:rPr>
        <w:t>（二）课程考核方式</w:t>
      </w:r>
    </w:p>
    <w:p w14:paraId="629FB6BC" w14:textId="77777777" w:rsidR="000B25E0" w:rsidRPr="000B25E0" w:rsidRDefault="000B25E0" w:rsidP="000B25E0">
      <w:pPr>
        <w:spacing w:line="440" w:lineRule="exact"/>
        <w:ind w:firstLineChars="200" w:firstLine="480"/>
        <w:rPr>
          <w:rFonts w:ascii="宋体" w:eastAsia="宋体" w:hAnsi="宋体" w:cs="宋体"/>
          <w:snapToGrid w:val="0"/>
          <w:color w:val="000000"/>
          <w:kern w:val="0"/>
          <w:sz w:val="24"/>
          <w:szCs w:val="24"/>
          <w:lang w:bidi="ar"/>
        </w:rPr>
      </w:pPr>
      <w:r w:rsidRPr="000B25E0">
        <w:rPr>
          <w:rFonts w:ascii="宋体" w:eastAsia="宋体" w:hAnsi="宋体" w:cs="宋体" w:hint="eastAsia"/>
          <w:snapToGrid w:val="0"/>
          <w:color w:val="000000"/>
          <w:kern w:val="0"/>
          <w:sz w:val="24"/>
          <w:szCs w:val="24"/>
          <w:lang w:bidi="ar"/>
        </w:rPr>
        <w:t>课程考核方式分为每学期平时考核、期中考核和期末考核。平时考核方式包括课堂表现、平时作业、出勤率等，平时</w:t>
      </w:r>
      <w:proofErr w:type="gramStart"/>
      <w:r w:rsidRPr="000B25E0">
        <w:rPr>
          <w:rFonts w:ascii="宋体" w:eastAsia="宋体" w:hAnsi="宋体" w:cs="宋体" w:hint="eastAsia"/>
          <w:snapToGrid w:val="0"/>
          <w:color w:val="000000"/>
          <w:kern w:val="0"/>
          <w:sz w:val="24"/>
          <w:szCs w:val="24"/>
          <w:lang w:bidi="ar"/>
        </w:rPr>
        <w:t>考核占</w:t>
      </w:r>
      <w:proofErr w:type="gramEnd"/>
      <w:r w:rsidRPr="000B25E0">
        <w:rPr>
          <w:rFonts w:ascii="宋体" w:eastAsia="宋体" w:hAnsi="宋体" w:cs="宋体" w:hint="eastAsia"/>
          <w:snapToGrid w:val="0"/>
          <w:color w:val="000000"/>
          <w:kern w:val="0"/>
          <w:sz w:val="24"/>
          <w:szCs w:val="24"/>
          <w:lang w:bidi="ar"/>
        </w:rPr>
        <w:t>总分值的10%；期中考核和期末考核为技术考核通过考核检验瑜伽技术教学效果和学生掌握情况，让学生了解选项课内容和科学体育锻炼方式方法。数量及技术评定分值各为100分，期中</w:t>
      </w:r>
      <w:proofErr w:type="gramStart"/>
      <w:r w:rsidRPr="000B25E0">
        <w:rPr>
          <w:rFonts w:ascii="宋体" w:eastAsia="宋体" w:hAnsi="宋体" w:cs="宋体" w:hint="eastAsia"/>
          <w:snapToGrid w:val="0"/>
          <w:color w:val="000000"/>
          <w:kern w:val="0"/>
          <w:sz w:val="24"/>
          <w:szCs w:val="24"/>
          <w:lang w:bidi="ar"/>
        </w:rPr>
        <w:t>考核占</w:t>
      </w:r>
      <w:proofErr w:type="gramEnd"/>
      <w:r w:rsidRPr="000B25E0">
        <w:rPr>
          <w:rFonts w:ascii="宋体" w:eastAsia="宋体" w:hAnsi="宋体" w:cs="宋体" w:hint="eastAsia"/>
          <w:snapToGrid w:val="0"/>
          <w:color w:val="000000"/>
          <w:kern w:val="0"/>
          <w:sz w:val="24"/>
          <w:szCs w:val="24"/>
          <w:lang w:bidi="ar"/>
        </w:rPr>
        <w:t>总分值的20%，期末</w:t>
      </w:r>
      <w:proofErr w:type="gramStart"/>
      <w:r w:rsidRPr="000B25E0">
        <w:rPr>
          <w:rFonts w:ascii="宋体" w:eastAsia="宋体" w:hAnsi="宋体" w:cs="宋体" w:hint="eastAsia"/>
          <w:snapToGrid w:val="0"/>
          <w:color w:val="000000"/>
          <w:kern w:val="0"/>
          <w:sz w:val="24"/>
          <w:szCs w:val="24"/>
          <w:lang w:bidi="ar"/>
        </w:rPr>
        <w:t>考核占</w:t>
      </w:r>
      <w:proofErr w:type="gramEnd"/>
      <w:r w:rsidRPr="000B25E0">
        <w:rPr>
          <w:rFonts w:ascii="宋体" w:eastAsia="宋体" w:hAnsi="宋体" w:cs="宋体" w:hint="eastAsia"/>
          <w:snapToGrid w:val="0"/>
          <w:color w:val="000000"/>
          <w:kern w:val="0"/>
          <w:sz w:val="24"/>
          <w:szCs w:val="24"/>
          <w:lang w:bidi="ar"/>
        </w:rPr>
        <w:t>总分值的70%，总分值为100分。考试得分按照每项考试具体要求分为A、B、C、D、E五档，A档为优秀，E档为不及格。</w:t>
      </w:r>
    </w:p>
    <w:p w14:paraId="24322F74" w14:textId="77777777" w:rsidR="000B25E0" w:rsidRPr="000B25E0" w:rsidRDefault="000B25E0" w:rsidP="000B25E0">
      <w:pPr>
        <w:widowControl/>
        <w:jc w:val="left"/>
        <w:rPr>
          <w:rFonts w:ascii="黑体" w:eastAsia="黑体" w:hAnsi="宋体" w:cs="黑体"/>
          <w:snapToGrid w:val="0"/>
          <w:color w:val="000000"/>
          <w:kern w:val="0"/>
          <w:sz w:val="28"/>
          <w:szCs w:val="28"/>
          <w:lang w:bidi="ar"/>
        </w:rPr>
      </w:pPr>
    </w:p>
    <w:p w14:paraId="345330DC" w14:textId="77777777" w:rsidR="000B25E0" w:rsidRPr="000B25E0" w:rsidRDefault="000B25E0" w:rsidP="000B25E0">
      <w:pPr>
        <w:widowControl/>
        <w:jc w:val="left"/>
        <w:rPr>
          <w:rFonts w:ascii="Calibri" w:eastAsia="宋体" w:hAnsi="Calibri" w:cs="Times New Roman"/>
        </w:rPr>
      </w:pPr>
      <w:r w:rsidRPr="000B25E0">
        <w:rPr>
          <w:rFonts w:ascii="黑体" w:eastAsia="黑体" w:hAnsi="宋体" w:cs="黑体"/>
          <w:snapToGrid w:val="0"/>
          <w:color w:val="000000"/>
          <w:kern w:val="0"/>
          <w:sz w:val="28"/>
          <w:szCs w:val="28"/>
          <w:lang w:bidi="ar"/>
        </w:rPr>
        <w:t xml:space="preserve">（三）课程目标达成评价方式及考核比例 </w:t>
      </w:r>
    </w:p>
    <w:p w14:paraId="768638D7"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瑜伽课程</w:t>
      </w:r>
      <w:proofErr w:type="gramStart"/>
      <w:r w:rsidRPr="000B25E0">
        <w:rPr>
          <w:rFonts w:ascii="宋体" w:eastAsia="宋体" w:hAnsi="宋体" w:cs="Times New Roman" w:hint="eastAsia"/>
          <w:sz w:val="24"/>
        </w:rPr>
        <w:t>1、2、3、4每</w:t>
      </w:r>
      <w:proofErr w:type="gramEnd"/>
      <w:r w:rsidRPr="000B25E0">
        <w:rPr>
          <w:rFonts w:ascii="宋体" w:eastAsia="宋体" w:hAnsi="宋体" w:cs="Times New Roman" w:hint="eastAsia"/>
          <w:sz w:val="24"/>
        </w:rPr>
        <w:t>学期考核方式及成绩比例为：课堂表现20%</w:t>
      </w:r>
      <w:r w:rsidRPr="000B25E0">
        <w:rPr>
          <w:rFonts w:ascii="宋体" w:eastAsia="宋体" w:hAnsi="宋体" w:cs="Times New Roman"/>
          <w:sz w:val="24"/>
        </w:rPr>
        <w:t>+</w:t>
      </w:r>
      <w:r w:rsidRPr="000B25E0">
        <w:rPr>
          <w:rFonts w:ascii="宋体" w:eastAsia="宋体" w:hAnsi="宋体" w:cs="Times New Roman" w:hint="eastAsia"/>
          <w:sz w:val="24"/>
        </w:rPr>
        <w:t>期中考核30%</w:t>
      </w:r>
      <w:r w:rsidRPr="000B25E0">
        <w:rPr>
          <w:rFonts w:ascii="宋体" w:eastAsia="宋体" w:hAnsi="宋体" w:cs="Times New Roman"/>
          <w:sz w:val="24"/>
        </w:rPr>
        <w:t>+</w:t>
      </w:r>
      <w:r w:rsidRPr="000B25E0">
        <w:rPr>
          <w:rFonts w:ascii="宋体" w:eastAsia="宋体" w:hAnsi="宋体" w:cs="Times New Roman" w:hint="eastAsia"/>
          <w:sz w:val="24"/>
        </w:rPr>
        <w:t>课期</w:t>
      </w:r>
      <w:proofErr w:type="gramStart"/>
      <w:r w:rsidRPr="000B25E0">
        <w:rPr>
          <w:rFonts w:ascii="宋体" w:eastAsia="宋体" w:hAnsi="宋体" w:cs="Times New Roman" w:hint="eastAsia"/>
          <w:sz w:val="24"/>
        </w:rPr>
        <w:t>末考试</w:t>
      </w:r>
      <w:proofErr w:type="gramEnd"/>
      <w:r w:rsidRPr="000B25E0">
        <w:rPr>
          <w:rFonts w:ascii="宋体" w:eastAsia="宋体" w:hAnsi="宋体" w:cs="Times New Roman" w:hint="eastAsia"/>
          <w:sz w:val="24"/>
        </w:rPr>
        <w:t>5</w:t>
      </w:r>
      <w:r w:rsidRPr="000B25E0">
        <w:rPr>
          <w:rFonts w:ascii="宋体" w:eastAsia="宋体" w:hAnsi="宋体" w:cs="Times New Roman"/>
          <w:sz w:val="24"/>
        </w:rPr>
        <w:t>0</w:t>
      </w:r>
      <w:r w:rsidRPr="000B25E0">
        <w:rPr>
          <w:rFonts w:ascii="宋体" w:eastAsia="宋体" w:hAnsi="宋体" w:cs="Times New Roman" w:hint="eastAsia"/>
          <w:sz w:val="24"/>
        </w:rPr>
        <w:t>%；本课程共有四个课程目标，考核方式及成绩比例分别为：</w:t>
      </w:r>
    </w:p>
    <w:p w14:paraId="163F96E8"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lastRenderedPageBreak/>
        <w:t>课程目标1：课堂表现5%</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期末考试20%</w:t>
      </w:r>
    </w:p>
    <w:p w14:paraId="208CED11"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课程目标2：课堂表现10%</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期末考试20%</w:t>
      </w:r>
    </w:p>
    <w:p w14:paraId="596F7426"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课程目标3：课堂表现5%</w:t>
      </w:r>
      <w:r w:rsidRPr="000B25E0">
        <w:rPr>
          <w:rFonts w:ascii="宋体" w:eastAsia="宋体" w:hAnsi="宋体" w:cs="Times New Roman"/>
          <w:sz w:val="24"/>
        </w:rPr>
        <w:t>+</w:t>
      </w:r>
      <w:r w:rsidRPr="000B25E0">
        <w:rPr>
          <w:rFonts w:ascii="宋体" w:eastAsia="宋体" w:hAnsi="宋体" w:cs="Times New Roman" w:hint="eastAsia"/>
          <w:sz w:val="24"/>
        </w:rPr>
        <w:t>阶段测试10%</w:t>
      </w:r>
      <w:r w:rsidRPr="000B25E0">
        <w:rPr>
          <w:rFonts w:ascii="宋体" w:eastAsia="宋体" w:hAnsi="宋体" w:cs="Times New Roman"/>
          <w:sz w:val="24"/>
        </w:rPr>
        <w:t>+</w:t>
      </w:r>
      <w:r w:rsidRPr="000B25E0">
        <w:rPr>
          <w:rFonts w:ascii="宋体" w:eastAsia="宋体" w:hAnsi="宋体" w:cs="Times New Roman" w:hint="eastAsia"/>
          <w:sz w:val="24"/>
        </w:rPr>
        <w:t>期末考试10%</w:t>
      </w:r>
    </w:p>
    <w:p w14:paraId="23C7C0E1"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0B25E0" w:rsidRPr="000B25E0" w14:paraId="61A79646" w14:textId="77777777" w:rsidTr="00BF5EF3">
        <w:trPr>
          <w:trHeight w:val="540"/>
          <w:jc w:val="center"/>
        </w:trPr>
        <w:tc>
          <w:tcPr>
            <w:tcW w:w="1422" w:type="dxa"/>
            <w:vMerge w:val="restart"/>
            <w:vAlign w:val="center"/>
          </w:tcPr>
          <w:p w14:paraId="413F40DE"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课程目标</w:t>
            </w:r>
          </w:p>
        </w:tc>
        <w:tc>
          <w:tcPr>
            <w:tcW w:w="6271" w:type="dxa"/>
            <w:gridSpan w:val="4"/>
            <w:vAlign w:val="center"/>
          </w:tcPr>
          <w:p w14:paraId="32A86947"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考核方式及成绩比例（%）</w:t>
            </w:r>
          </w:p>
        </w:tc>
        <w:tc>
          <w:tcPr>
            <w:tcW w:w="1559" w:type="dxa"/>
            <w:vMerge w:val="restart"/>
            <w:vAlign w:val="center"/>
          </w:tcPr>
          <w:p w14:paraId="01DBA077"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合计</w:t>
            </w:r>
          </w:p>
        </w:tc>
      </w:tr>
      <w:tr w:rsidR="000B25E0" w:rsidRPr="000B25E0" w14:paraId="30149F30" w14:textId="77777777" w:rsidTr="00BF5EF3">
        <w:trPr>
          <w:trHeight w:val="578"/>
          <w:jc w:val="center"/>
        </w:trPr>
        <w:tc>
          <w:tcPr>
            <w:tcW w:w="1422" w:type="dxa"/>
            <w:vMerge/>
            <w:vAlign w:val="center"/>
          </w:tcPr>
          <w:p w14:paraId="753CD93D" w14:textId="77777777" w:rsidR="000B25E0" w:rsidRPr="000B25E0" w:rsidRDefault="000B25E0" w:rsidP="000B25E0">
            <w:pPr>
              <w:spacing w:line="440" w:lineRule="exact"/>
              <w:jc w:val="center"/>
              <w:rPr>
                <w:rFonts w:ascii="宋体" w:eastAsia="宋体" w:hAnsi="宋体" w:cs="Times New Roman"/>
                <w:b/>
                <w:sz w:val="24"/>
              </w:rPr>
            </w:pPr>
          </w:p>
        </w:tc>
        <w:tc>
          <w:tcPr>
            <w:tcW w:w="1452" w:type="dxa"/>
            <w:vAlign w:val="center"/>
          </w:tcPr>
          <w:p w14:paraId="3A66F9E3"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课堂表现</w:t>
            </w:r>
          </w:p>
        </w:tc>
        <w:tc>
          <w:tcPr>
            <w:tcW w:w="1559" w:type="dxa"/>
            <w:vAlign w:val="center"/>
          </w:tcPr>
          <w:p w14:paraId="1B8D55B4"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阶段测试</w:t>
            </w:r>
          </w:p>
        </w:tc>
        <w:tc>
          <w:tcPr>
            <w:tcW w:w="1701" w:type="dxa"/>
            <w:vAlign w:val="center"/>
          </w:tcPr>
          <w:p w14:paraId="181DA4DF"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课程论文</w:t>
            </w:r>
          </w:p>
        </w:tc>
        <w:tc>
          <w:tcPr>
            <w:tcW w:w="1559" w:type="dxa"/>
            <w:vAlign w:val="center"/>
          </w:tcPr>
          <w:p w14:paraId="444AC79E" w14:textId="77777777" w:rsidR="000B25E0" w:rsidRPr="000B25E0" w:rsidRDefault="000B25E0" w:rsidP="000B25E0">
            <w:pPr>
              <w:spacing w:line="440" w:lineRule="exact"/>
              <w:jc w:val="center"/>
              <w:rPr>
                <w:rFonts w:ascii="宋体" w:eastAsia="宋体" w:hAnsi="宋体" w:cs="Times New Roman"/>
                <w:b/>
                <w:sz w:val="24"/>
              </w:rPr>
            </w:pPr>
            <w:r w:rsidRPr="000B25E0">
              <w:rPr>
                <w:rFonts w:ascii="宋体" w:eastAsia="宋体" w:hAnsi="宋体" w:cs="Times New Roman" w:hint="eastAsia"/>
                <w:b/>
                <w:sz w:val="24"/>
              </w:rPr>
              <w:t>期末考试</w:t>
            </w:r>
          </w:p>
        </w:tc>
        <w:tc>
          <w:tcPr>
            <w:tcW w:w="1559" w:type="dxa"/>
            <w:vMerge/>
          </w:tcPr>
          <w:p w14:paraId="03D8D29E" w14:textId="77777777" w:rsidR="000B25E0" w:rsidRPr="000B25E0" w:rsidRDefault="000B25E0" w:rsidP="000B25E0">
            <w:pPr>
              <w:spacing w:line="440" w:lineRule="exact"/>
              <w:jc w:val="center"/>
              <w:rPr>
                <w:rFonts w:ascii="宋体" w:eastAsia="宋体" w:hAnsi="宋体" w:cs="Times New Roman"/>
                <w:b/>
                <w:sz w:val="24"/>
              </w:rPr>
            </w:pPr>
          </w:p>
        </w:tc>
      </w:tr>
      <w:tr w:rsidR="000B25E0" w:rsidRPr="000B25E0" w14:paraId="7D43CE27" w14:textId="77777777" w:rsidTr="00BF5EF3">
        <w:trPr>
          <w:jc w:val="center"/>
        </w:trPr>
        <w:tc>
          <w:tcPr>
            <w:tcW w:w="1422" w:type="dxa"/>
            <w:vAlign w:val="center"/>
          </w:tcPr>
          <w:p w14:paraId="222BB939"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课程目标1</w:t>
            </w:r>
          </w:p>
        </w:tc>
        <w:tc>
          <w:tcPr>
            <w:tcW w:w="1452" w:type="dxa"/>
            <w:vAlign w:val="center"/>
          </w:tcPr>
          <w:p w14:paraId="026D8FCF"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5</w:t>
            </w:r>
          </w:p>
        </w:tc>
        <w:tc>
          <w:tcPr>
            <w:tcW w:w="1559" w:type="dxa"/>
            <w:vAlign w:val="center"/>
          </w:tcPr>
          <w:p w14:paraId="4032B258"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73F0B202" w14:textId="77777777" w:rsidR="000B25E0" w:rsidRPr="000B25E0" w:rsidRDefault="000B25E0" w:rsidP="000B25E0">
            <w:pPr>
              <w:spacing w:line="440" w:lineRule="exact"/>
              <w:jc w:val="center"/>
              <w:rPr>
                <w:rFonts w:ascii="宋体" w:eastAsia="宋体" w:hAnsi="宋体" w:cs="Times New Roman"/>
                <w:bCs/>
                <w:sz w:val="24"/>
              </w:rPr>
            </w:pPr>
          </w:p>
        </w:tc>
        <w:tc>
          <w:tcPr>
            <w:tcW w:w="1559" w:type="dxa"/>
            <w:vAlign w:val="center"/>
          </w:tcPr>
          <w:p w14:paraId="73E9F7FA"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20</w:t>
            </w:r>
          </w:p>
        </w:tc>
        <w:tc>
          <w:tcPr>
            <w:tcW w:w="1559" w:type="dxa"/>
          </w:tcPr>
          <w:p w14:paraId="71DB1865"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35</w:t>
            </w:r>
          </w:p>
        </w:tc>
      </w:tr>
      <w:tr w:rsidR="000B25E0" w:rsidRPr="000B25E0" w14:paraId="1B9FFB54" w14:textId="77777777" w:rsidTr="00BF5EF3">
        <w:trPr>
          <w:jc w:val="center"/>
        </w:trPr>
        <w:tc>
          <w:tcPr>
            <w:tcW w:w="1422" w:type="dxa"/>
            <w:vAlign w:val="center"/>
          </w:tcPr>
          <w:p w14:paraId="2D48AAED"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课程目标2</w:t>
            </w:r>
          </w:p>
        </w:tc>
        <w:tc>
          <w:tcPr>
            <w:tcW w:w="1452" w:type="dxa"/>
            <w:vAlign w:val="center"/>
          </w:tcPr>
          <w:p w14:paraId="57D20A35"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10</w:t>
            </w:r>
          </w:p>
        </w:tc>
        <w:tc>
          <w:tcPr>
            <w:tcW w:w="1559" w:type="dxa"/>
            <w:vAlign w:val="center"/>
          </w:tcPr>
          <w:p w14:paraId="2FDE715D"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03AFDC06" w14:textId="77777777" w:rsidR="000B25E0" w:rsidRPr="000B25E0" w:rsidRDefault="000B25E0" w:rsidP="000B25E0">
            <w:pPr>
              <w:spacing w:line="440" w:lineRule="exact"/>
              <w:jc w:val="center"/>
              <w:rPr>
                <w:rFonts w:ascii="宋体" w:eastAsia="宋体" w:hAnsi="宋体" w:cs="Times New Roman"/>
                <w:bCs/>
                <w:sz w:val="24"/>
              </w:rPr>
            </w:pPr>
          </w:p>
        </w:tc>
        <w:tc>
          <w:tcPr>
            <w:tcW w:w="1559" w:type="dxa"/>
            <w:vAlign w:val="center"/>
          </w:tcPr>
          <w:p w14:paraId="0C98807D"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20</w:t>
            </w:r>
          </w:p>
        </w:tc>
        <w:tc>
          <w:tcPr>
            <w:tcW w:w="1559" w:type="dxa"/>
          </w:tcPr>
          <w:p w14:paraId="5185F8A0"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40</w:t>
            </w:r>
          </w:p>
        </w:tc>
      </w:tr>
      <w:tr w:rsidR="000B25E0" w:rsidRPr="000B25E0" w14:paraId="1DF01ADA" w14:textId="77777777" w:rsidTr="00BF5EF3">
        <w:trPr>
          <w:jc w:val="center"/>
        </w:trPr>
        <w:tc>
          <w:tcPr>
            <w:tcW w:w="1422" w:type="dxa"/>
            <w:vAlign w:val="center"/>
          </w:tcPr>
          <w:p w14:paraId="637979E3"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课程目标3</w:t>
            </w:r>
          </w:p>
        </w:tc>
        <w:tc>
          <w:tcPr>
            <w:tcW w:w="1452" w:type="dxa"/>
            <w:vAlign w:val="center"/>
          </w:tcPr>
          <w:p w14:paraId="4645F865"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5</w:t>
            </w:r>
          </w:p>
        </w:tc>
        <w:tc>
          <w:tcPr>
            <w:tcW w:w="1559" w:type="dxa"/>
            <w:vAlign w:val="center"/>
          </w:tcPr>
          <w:p w14:paraId="055708FF"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10</w:t>
            </w:r>
          </w:p>
        </w:tc>
        <w:tc>
          <w:tcPr>
            <w:tcW w:w="1701" w:type="dxa"/>
            <w:vAlign w:val="center"/>
          </w:tcPr>
          <w:p w14:paraId="7700CAFE" w14:textId="77777777" w:rsidR="000B25E0" w:rsidRPr="000B25E0" w:rsidRDefault="000B25E0" w:rsidP="000B25E0">
            <w:pPr>
              <w:spacing w:line="440" w:lineRule="exact"/>
              <w:jc w:val="center"/>
              <w:rPr>
                <w:rFonts w:ascii="宋体" w:eastAsia="宋体" w:hAnsi="宋体" w:cs="Times New Roman"/>
                <w:bCs/>
                <w:sz w:val="24"/>
              </w:rPr>
            </w:pPr>
          </w:p>
        </w:tc>
        <w:tc>
          <w:tcPr>
            <w:tcW w:w="1559" w:type="dxa"/>
            <w:vAlign w:val="center"/>
          </w:tcPr>
          <w:p w14:paraId="7478607D"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10</w:t>
            </w:r>
          </w:p>
        </w:tc>
        <w:tc>
          <w:tcPr>
            <w:tcW w:w="1559" w:type="dxa"/>
          </w:tcPr>
          <w:p w14:paraId="491AA31B"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25</w:t>
            </w:r>
          </w:p>
        </w:tc>
      </w:tr>
      <w:tr w:rsidR="000B25E0" w:rsidRPr="000B25E0" w14:paraId="47018ADE" w14:textId="77777777" w:rsidTr="00BF5EF3">
        <w:trPr>
          <w:jc w:val="center"/>
        </w:trPr>
        <w:tc>
          <w:tcPr>
            <w:tcW w:w="1422" w:type="dxa"/>
            <w:vAlign w:val="center"/>
          </w:tcPr>
          <w:p w14:paraId="1F42E115"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合计</w:t>
            </w:r>
          </w:p>
        </w:tc>
        <w:tc>
          <w:tcPr>
            <w:tcW w:w="1452" w:type="dxa"/>
            <w:vAlign w:val="center"/>
          </w:tcPr>
          <w:p w14:paraId="63C1ABD5"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20</w:t>
            </w:r>
          </w:p>
        </w:tc>
        <w:tc>
          <w:tcPr>
            <w:tcW w:w="1559" w:type="dxa"/>
            <w:vAlign w:val="center"/>
          </w:tcPr>
          <w:p w14:paraId="17E9F5FB"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30</w:t>
            </w:r>
          </w:p>
        </w:tc>
        <w:tc>
          <w:tcPr>
            <w:tcW w:w="1701" w:type="dxa"/>
            <w:vAlign w:val="center"/>
          </w:tcPr>
          <w:p w14:paraId="058E4B5F" w14:textId="77777777" w:rsidR="000B25E0" w:rsidRPr="000B25E0" w:rsidRDefault="000B25E0" w:rsidP="000B25E0">
            <w:pPr>
              <w:spacing w:line="440" w:lineRule="exact"/>
              <w:jc w:val="center"/>
              <w:rPr>
                <w:rFonts w:ascii="宋体" w:eastAsia="宋体" w:hAnsi="宋体" w:cs="Times New Roman"/>
                <w:bCs/>
                <w:sz w:val="24"/>
              </w:rPr>
            </w:pPr>
          </w:p>
        </w:tc>
        <w:tc>
          <w:tcPr>
            <w:tcW w:w="1559" w:type="dxa"/>
            <w:vAlign w:val="center"/>
          </w:tcPr>
          <w:p w14:paraId="3EEE1CEE"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50</w:t>
            </w:r>
          </w:p>
        </w:tc>
        <w:tc>
          <w:tcPr>
            <w:tcW w:w="1559" w:type="dxa"/>
          </w:tcPr>
          <w:p w14:paraId="4FD8B0C0" w14:textId="77777777" w:rsidR="000B25E0" w:rsidRPr="000B25E0" w:rsidRDefault="000B25E0" w:rsidP="000B25E0">
            <w:pPr>
              <w:spacing w:line="440" w:lineRule="exact"/>
              <w:jc w:val="center"/>
              <w:rPr>
                <w:rFonts w:ascii="宋体" w:eastAsia="宋体" w:hAnsi="宋体" w:cs="Times New Roman"/>
                <w:bCs/>
                <w:sz w:val="24"/>
              </w:rPr>
            </w:pPr>
            <w:r w:rsidRPr="000B25E0">
              <w:rPr>
                <w:rFonts w:ascii="宋体" w:eastAsia="宋体" w:hAnsi="宋体" w:cs="Times New Roman" w:hint="eastAsia"/>
                <w:bCs/>
                <w:sz w:val="24"/>
              </w:rPr>
              <w:t>1</w:t>
            </w:r>
            <w:r w:rsidRPr="000B25E0">
              <w:rPr>
                <w:rFonts w:ascii="宋体" w:eastAsia="宋体" w:hAnsi="宋体" w:cs="Times New Roman"/>
                <w:bCs/>
                <w:sz w:val="24"/>
              </w:rPr>
              <w:t>00</w:t>
            </w:r>
          </w:p>
        </w:tc>
      </w:tr>
    </w:tbl>
    <w:p w14:paraId="21394DAD"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五、成绩评定</w:t>
      </w:r>
    </w:p>
    <w:p w14:paraId="2E65B652"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（一）总成绩评定</w:t>
      </w:r>
    </w:p>
    <w:p w14:paraId="0F1044C7"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总成绩=平时成绩×20%+期中成绩×30%+期末成绩×50%</w:t>
      </w:r>
    </w:p>
    <w:p w14:paraId="7E2B49BA"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备注：每学期总成绩</w:t>
      </w:r>
    </w:p>
    <w:p w14:paraId="5DB850B1" w14:textId="77777777" w:rsidR="000B25E0" w:rsidRPr="000B25E0" w:rsidRDefault="000B25E0" w:rsidP="000B25E0">
      <w:pPr>
        <w:spacing w:beforeLines="50" w:before="156" w:afterLines="50" w:after="156" w:line="440" w:lineRule="exact"/>
        <w:ind w:firstLineChars="200" w:firstLine="560"/>
        <w:rPr>
          <w:rFonts w:ascii="宋体" w:eastAsia="宋体" w:hAnsi="宋体" w:cs="Times New Roman"/>
          <w:color w:val="FF0000"/>
          <w:sz w:val="24"/>
        </w:rPr>
      </w:pPr>
      <w:r w:rsidRPr="000B25E0">
        <w:rPr>
          <w:rFonts w:ascii="黑体" w:eastAsia="黑体" w:hAnsi="黑体" w:cs="Times New Roman" w:hint="eastAsia"/>
          <w:sz w:val="28"/>
          <w:szCs w:val="28"/>
        </w:rPr>
        <w:t>（二）平时成绩评定</w:t>
      </w:r>
    </w:p>
    <w:p w14:paraId="02FC7457"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（1）课堂表现：通过学生在课堂上的表现情况、发言与主体参与和练习情况，来评价学生相关的能力。</w:t>
      </w:r>
    </w:p>
    <w:p w14:paraId="2A07DF82" w14:textId="77777777" w:rsidR="000B25E0" w:rsidRPr="000B25E0" w:rsidRDefault="000B25E0" w:rsidP="000B25E0">
      <w:pPr>
        <w:spacing w:line="440" w:lineRule="exact"/>
        <w:ind w:firstLineChars="200" w:firstLine="480"/>
        <w:rPr>
          <w:rFonts w:ascii="宋体" w:eastAsia="宋体" w:hAnsi="宋体" w:cs="Times New Roman"/>
          <w:sz w:val="24"/>
        </w:rPr>
      </w:pPr>
      <w:r w:rsidRPr="000B25E0">
        <w:rPr>
          <w:rFonts w:ascii="宋体" w:eastAsia="宋体" w:hAnsi="宋体" w:cs="Times New Roman" w:hint="eastAsia"/>
          <w:sz w:val="24"/>
        </w:rPr>
        <w:t>（2）作业完成情况：围绕课程的学习目标进行作业的设计。如让学生简述对知识的认识，建议</w:t>
      </w:r>
      <w:proofErr w:type="gramStart"/>
      <w:r w:rsidRPr="000B25E0">
        <w:rPr>
          <w:rFonts w:ascii="宋体" w:eastAsia="宋体" w:hAnsi="宋体" w:cs="Times New Roman" w:hint="eastAsia"/>
          <w:sz w:val="24"/>
        </w:rPr>
        <w:t>带准备</w:t>
      </w:r>
      <w:proofErr w:type="gramEnd"/>
      <w:r w:rsidRPr="000B25E0">
        <w:rPr>
          <w:rFonts w:ascii="宋体" w:eastAsia="宋体" w:hAnsi="宋体" w:cs="Times New Roman" w:hint="eastAsia"/>
          <w:sz w:val="24"/>
        </w:rPr>
        <w:t>部分和基本部分中的复习内容，帮助学生将定义转化为自己的理解。学生在小组合作学习中测验掌握课程的情况</w:t>
      </w:r>
    </w:p>
    <w:p w14:paraId="0B165706" w14:textId="77777777" w:rsidR="000B25E0" w:rsidRPr="000B25E0" w:rsidRDefault="000B25E0" w:rsidP="000B25E0">
      <w:pPr>
        <w:spacing w:line="440" w:lineRule="exact"/>
        <w:ind w:firstLineChars="200" w:firstLine="480"/>
        <w:rPr>
          <w:rFonts w:ascii="宋体" w:eastAsia="宋体" w:hAnsi="宋体" w:cs="Times New Roman"/>
          <w:color w:val="FF0000"/>
          <w:sz w:val="24"/>
        </w:rPr>
      </w:pPr>
      <w:r w:rsidRPr="000B25E0">
        <w:rPr>
          <w:rFonts w:ascii="宋体" w:eastAsia="宋体" w:hAnsi="宋体" w:cs="Times New Roman" w:hint="eastAsia"/>
          <w:sz w:val="24"/>
        </w:rPr>
        <w:t>（3）课堂考勤：留存辅导员开具的事假条、校医院开具的病假条。缺课达到本学期三分之一课时，按照考试无资格处理。</w:t>
      </w:r>
    </w:p>
    <w:p w14:paraId="73152EA9" w14:textId="77777777" w:rsidR="000B25E0" w:rsidRPr="000B25E0" w:rsidRDefault="000B25E0" w:rsidP="000B25E0">
      <w:pPr>
        <w:spacing w:line="440" w:lineRule="exact"/>
        <w:ind w:firstLineChars="200" w:firstLine="480"/>
        <w:rPr>
          <w:rFonts w:ascii="宋体" w:eastAsia="宋体" w:hAnsi="宋体" w:cs="Times New Roman"/>
          <w:sz w:val="24"/>
        </w:rPr>
      </w:pPr>
    </w:p>
    <w:p w14:paraId="0EABED0D"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（三）期中、期末成绩评定</w:t>
      </w:r>
    </w:p>
    <w:p w14:paraId="74B1D5AD" w14:textId="77777777" w:rsidR="000B25E0" w:rsidRPr="000B25E0" w:rsidRDefault="000B25E0" w:rsidP="000B25E0">
      <w:pPr>
        <w:spacing w:beforeLines="50" w:before="156" w:afterLines="50" w:after="156" w:line="440" w:lineRule="exact"/>
        <w:ind w:firstLineChars="200" w:firstLine="560"/>
        <w:rPr>
          <w:rFonts w:ascii="黑体" w:eastAsia="黑体" w:hAnsi="黑体" w:cs="Times New Roman"/>
          <w:sz w:val="28"/>
          <w:szCs w:val="28"/>
        </w:rPr>
      </w:pPr>
      <w:r w:rsidRPr="000B25E0">
        <w:rPr>
          <w:rFonts w:ascii="黑体" w:eastAsia="黑体" w:hAnsi="黑体" w:cs="Times New Roman" w:hint="eastAsia"/>
          <w:sz w:val="28"/>
          <w:szCs w:val="28"/>
        </w:rPr>
        <w:t>第一学期</w:t>
      </w:r>
    </w:p>
    <w:p w14:paraId="655F3266" w14:textId="77777777" w:rsidR="000B25E0" w:rsidRPr="000B25E0" w:rsidRDefault="000B25E0" w:rsidP="000B25E0">
      <w:pPr>
        <w:adjustRightInd w:val="0"/>
        <w:snapToGrid w:val="0"/>
        <w:spacing w:line="500" w:lineRule="exact"/>
        <w:jc w:val="center"/>
        <w:rPr>
          <w:rFonts w:ascii="宋体" w:eastAsia="宋体" w:hAnsi="Calibri" w:cs="Times New Roman"/>
          <w:b/>
          <w:bCs/>
          <w:kern w:val="0"/>
          <w:sz w:val="24"/>
        </w:rPr>
      </w:pPr>
      <w:r w:rsidRPr="000B25E0">
        <w:rPr>
          <w:rFonts w:ascii="宋体" w:eastAsia="宋体" w:hAnsi="Calibri" w:cs="Times New Roman" w:hint="eastAsia"/>
          <w:b/>
          <w:bCs/>
          <w:kern w:val="0"/>
          <w:sz w:val="24"/>
        </w:rPr>
        <w:t>期中考试</w:t>
      </w:r>
    </w:p>
    <w:p w14:paraId="101D6A45" w14:textId="77777777" w:rsidR="000B25E0" w:rsidRPr="000B25E0" w:rsidRDefault="000B25E0" w:rsidP="000B25E0">
      <w:pPr>
        <w:adjustRightInd w:val="0"/>
        <w:snapToGrid w:val="0"/>
        <w:spacing w:line="500" w:lineRule="exact"/>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通过考核检验体能训练教学效果和学生掌握情况，让学生了解体质</w:t>
      </w:r>
      <w:r w:rsidRPr="000B25E0">
        <w:rPr>
          <w:rFonts w:ascii="宋体" w:eastAsia="宋体" w:hAnsi="Calibri" w:cs="Times New Roman" w:hint="eastAsia"/>
          <w:bCs/>
          <w:kern w:val="0"/>
          <w:sz w:val="24"/>
        </w:rPr>
        <w:lastRenderedPageBreak/>
        <w:t>健康标准测验的重要性。</w:t>
      </w:r>
    </w:p>
    <w:p w14:paraId="53828C2B"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立定跳远。</w:t>
      </w:r>
    </w:p>
    <w:p w14:paraId="524822D0"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3.课程考核方式：</w:t>
      </w:r>
      <w:r w:rsidRPr="000B25E0">
        <w:rPr>
          <w:rFonts w:ascii="宋体" w:eastAsia="宋体" w:hAnsi="Calibri" w:cs="Times New Roman" w:hint="eastAsia"/>
          <w:bCs/>
          <w:kern w:val="0"/>
          <w:sz w:val="24"/>
        </w:rPr>
        <w:t>沙坑场地，每人跳两次，取最好成绩。</w:t>
      </w:r>
    </w:p>
    <w:p w14:paraId="346C738F"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
          <w:kern w:val="0"/>
          <w:sz w:val="24"/>
        </w:rPr>
        <w:t>4.成绩构成及分值：</w:t>
      </w:r>
      <w:r w:rsidRPr="000B25E0">
        <w:rPr>
          <w:rFonts w:ascii="宋体" w:eastAsia="宋体" w:hAnsi="Calibri" w:cs="Times New Roman" w:hint="eastAsia"/>
          <w:bCs/>
          <w:kern w:val="0"/>
          <w:sz w:val="24"/>
        </w:rPr>
        <w:t>数量及技术评定分值各为100分，各占总分值的20%，</w:t>
      </w:r>
    </w:p>
    <w:p w14:paraId="3F9A014D" w14:textId="77777777" w:rsidR="000B25E0" w:rsidRPr="000B25E0" w:rsidRDefault="000B25E0" w:rsidP="000B25E0">
      <w:pPr>
        <w:adjustRightInd w:val="0"/>
        <w:snapToGrid w:val="0"/>
        <w:spacing w:line="500" w:lineRule="exact"/>
        <w:jc w:val="left"/>
        <w:rPr>
          <w:rFonts w:ascii="宋体" w:eastAsia="宋体" w:hAnsi="Calibri" w:cs="Times New Roman"/>
          <w:bCs/>
          <w:kern w:val="0"/>
          <w:sz w:val="24"/>
        </w:rPr>
      </w:pPr>
      <w:r w:rsidRPr="000B25E0">
        <w:rPr>
          <w:rFonts w:ascii="宋体" w:eastAsia="宋体" w:hAnsi="Calibri" w:cs="Times New Roman" w:hint="eastAsia"/>
          <w:bCs/>
          <w:kern w:val="0"/>
          <w:sz w:val="24"/>
        </w:rPr>
        <w:t>总分值为100分。</w:t>
      </w:r>
    </w:p>
    <w:p w14:paraId="1230C456" w14:textId="77777777" w:rsidR="000B25E0" w:rsidRPr="000B25E0" w:rsidRDefault="000B25E0" w:rsidP="00FE4508">
      <w:pPr>
        <w:numPr>
          <w:ilvl w:val="0"/>
          <w:numId w:val="49"/>
        </w:numPr>
        <w:adjustRightInd w:val="0"/>
        <w:snapToGrid w:val="0"/>
        <w:spacing w:line="500" w:lineRule="exact"/>
        <w:jc w:val="left"/>
        <w:rPr>
          <w:rFonts w:ascii="宋体" w:eastAsia="宋体" w:hAnsi="Calibri" w:cs="Times New Roman"/>
          <w:b/>
          <w:kern w:val="0"/>
          <w:sz w:val="24"/>
        </w:rPr>
      </w:pPr>
      <w:r w:rsidRPr="000B25E0">
        <w:rPr>
          <w:rFonts w:ascii="宋体" w:eastAsia="宋体" w:hAnsi="Calibri" w:cs="Times New Roman" w:hint="eastAsia"/>
          <w:b/>
          <w:kern w:val="0"/>
          <w:sz w:val="24"/>
        </w:rPr>
        <w:t>评分记分原则</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0B25E0" w:rsidRPr="000B25E0" w14:paraId="2A3D7E2C" w14:textId="77777777" w:rsidTr="00BF5E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3E8D727"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4692F10C"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E363932"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大</w:t>
            </w:r>
            <w:proofErr w:type="gramStart"/>
            <w:r w:rsidRPr="000B25E0">
              <w:rPr>
                <w:rFonts w:ascii="宋体" w:eastAsia="宋体" w:hAnsi="宋体" w:cs="宋体" w:hint="eastAsia"/>
                <w:b/>
                <w:kern w:val="0"/>
                <w:sz w:val="24"/>
                <w:lang w:bidi="ar"/>
              </w:rPr>
              <w:t>一</w:t>
            </w:r>
            <w:proofErr w:type="gramEnd"/>
            <w:r w:rsidRPr="000B25E0">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513CF2DA"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大</w:t>
            </w:r>
            <w:proofErr w:type="gramStart"/>
            <w:r w:rsidRPr="000B25E0">
              <w:rPr>
                <w:rFonts w:ascii="宋体" w:eastAsia="宋体" w:hAnsi="宋体" w:cs="宋体" w:hint="eastAsia"/>
                <w:b/>
                <w:kern w:val="0"/>
                <w:sz w:val="24"/>
                <w:lang w:bidi="ar"/>
              </w:rPr>
              <w:t>一</w:t>
            </w:r>
            <w:proofErr w:type="gramEnd"/>
            <w:r w:rsidRPr="000B25E0">
              <w:rPr>
                <w:rFonts w:ascii="宋体" w:eastAsia="宋体" w:hAnsi="宋体" w:cs="宋体" w:hint="eastAsia"/>
                <w:b/>
                <w:kern w:val="0"/>
                <w:sz w:val="24"/>
                <w:lang w:bidi="ar"/>
              </w:rPr>
              <w:t>女生</w:t>
            </w:r>
          </w:p>
        </w:tc>
      </w:tr>
      <w:tr w:rsidR="000B25E0" w:rsidRPr="000B25E0" w14:paraId="7795276F" w14:textId="77777777" w:rsidTr="00BF5E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41E23D2"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350EDDA"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32C1B7BC" w14:textId="77777777" w:rsidR="000B25E0" w:rsidRPr="000B25E0" w:rsidRDefault="000B25E0" w:rsidP="000B25E0">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4CB28495" w14:textId="77777777" w:rsidR="000B25E0" w:rsidRPr="000B25E0" w:rsidRDefault="000B25E0" w:rsidP="000B25E0">
            <w:pPr>
              <w:jc w:val="center"/>
              <w:rPr>
                <w:rFonts w:ascii="宋体" w:eastAsia="宋体" w:hAnsi="宋体" w:cs="宋体"/>
                <w:b/>
                <w:sz w:val="24"/>
              </w:rPr>
            </w:pPr>
          </w:p>
        </w:tc>
      </w:tr>
      <w:tr w:rsidR="000B25E0" w:rsidRPr="000B25E0" w14:paraId="4E69ABB6"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016CF53"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761C82AF"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3ECE641E"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0EE3A62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207</w:t>
            </w:r>
          </w:p>
        </w:tc>
      </w:tr>
      <w:tr w:rsidR="000B25E0" w:rsidRPr="000B25E0" w14:paraId="2777691D"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6ED4FE4"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91EB173"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498A5787"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5B4CAC3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201</w:t>
            </w:r>
          </w:p>
        </w:tc>
      </w:tr>
      <w:tr w:rsidR="000B25E0" w:rsidRPr="000B25E0" w14:paraId="4EAECD7D"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B083AAE"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5BFE113"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D2A9B2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68DF2F7"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195</w:t>
            </w:r>
          </w:p>
        </w:tc>
      </w:tr>
      <w:tr w:rsidR="000B25E0" w:rsidRPr="000B25E0" w14:paraId="1E8774A7"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30E137F"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6E0EB5DE"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4563F178"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2633711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188</w:t>
            </w:r>
          </w:p>
        </w:tc>
      </w:tr>
      <w:tr w:rsidR="000B25E0" w:rsidRPr="000B25E0" w14:paraId="7A5FF381"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D92DB98"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5FF4783"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D6738A3"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BF4D36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181</w:t>
            </w:r>
          </w:p>
        </w:tc>
      </w:tr>
      <w:tr w:rsidR="000B25E0" w:rsidRPr="000B25E0" w14:paraId="7EA009B3"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E0DA641"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7CAFF855"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05D6C43A"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1B32958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178</w:t>
            </w:r>
          </w:p>
        </w:tc>
      </w:tr>
      <w:tr w:rsidR="000B25E0" w:rsidRPr="000B25E0" w14:paraId="087FF7F2"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CA1232B"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CCF0E4D"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1E64661C"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0CADF44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175</w:t>
            </w:r>
          </w:p>
        </w:tc>
      </w:tr>
      <w:tr w:rsidR="000B25E0" w:rsidRPr="000B25E0" w14:paraId="74AAB4B0"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057B756"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0212F77"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0426BE2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5D5A84E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172</w:t>
            </w:r>
          </w:p>
        </w:tc>
      </w:tr>
      <w:tr w:rsidR="000B25E0" w:rsidRPr="000B25E0" w14:paraId="52D286F5"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3E2CB68"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EA23E35"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71394088"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3C6D93F9"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169</w:t>
            </w:r>
          </w:p>
        </w:tc>
      </w:tr>
      <w:tr w:rsidR="000B25E0" w:rsidRPr="000B25E0" w14:paraId="21CEA12B"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1903420"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42CA8A2"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004E362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538148B1"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166</w:t>
            </w:r>
          </w:p>
        </w:tc>
      </w:tr>
      <w:tr w:rsidR="000B25E0" w:rsidRPr="000B25E0" w14:paraId="700F3FEE"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F09C1F2"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46213CB"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419E1309"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684D1443"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163</w:t>
            </w:r>
          </w:p>
        </w:tc>
      </w:tr>
      <w:tr w:rsidR="000B25E0" w:rsidRPr="000B25E0" w14:paraId="641CD8E0"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4147564"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FE82E67"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394924A6"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460FB844"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160</w:t>
            </w:r>
          </w:p>
        </w:tc>
      </w:tr>
      <w:tr w:rsidR="000B25E0" w:rsidRPr="000B25E0" w14:paraId="0C6CECB5"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1B8F0DA"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EFCAF1D"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6ED6D628"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42E2A8A7"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157</w:t>
            </w:r>
          </w:p>
        </w:tc>
      </w:tr>
      <w:tr w:rsidR="000B25E0" w:rsidRPr="000B25E0" w14:paraId="39A9501E"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9C18DA8"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1643ED3"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1DCAE17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0B398B7F"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154</w:t>
            </w:r>
          </w:p>
        </w:tc>
      </w:tr>
      <w:tr w:rsidR="000B25E0" w:rsidRPr="000B25E0" w14:paraId="6470665F"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F736598"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90D31C3"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A3AF2D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283C6DA"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151</w:t>
            </w:r>
          </w:p>
        </w:tc>
      </w:tr>
      <w:tr w:rsidR="000B25E0" w:rsidRPr="000B25E0" w14:paraId="1B8FC505" w14:textId="77777777" w:rsidTr="00BF5E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71427CC"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B479C6A"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35489082"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3BDCAAC3"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146</w:t>
            </w:r>
          </w:p>
        </w:tc>
      </w:tr>
      <w:tr w:rsidR="000B25E0" w:rsidRPr="000B25E0" w14:paraId="227B02A6"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58623E9"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61C8C58"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0040D8A0"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52C31EA2"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141</w:t>
            </w:r>
          </w:p>
        </w:tc>
      </w:tr>
      <w:tr w:rsidR="000B25E0" w:rsidRPr="000B25E0" w14:paraId="528E4C95" w14:textId="77777777" w:rsidTr="00BF5E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4215B57" w14:textId="77777777" w:rsidR="000B25E0" w:rsidRPr="000B25E0" w:rsidRDefault="000B25E0" w:rsidP="000B25E0">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EBA0BEB" w14:textId="77777777" w:rsidR="000B25E0" w:rsidRPr="000B25E0" w:rsidRDefault="000B25E0" w:rsidP="000B25E0">
            <w:pPr>
              <w:widowControl/>
              <w:jc w:val="center"/>
              <w:textAlignment w:val="center"/>
              <w:rPr>
                <w:rFonts w:ascii="宋体" w:eastAsia="宋体" w:hAnsi="宋体" w:cs="宋体"/>
                <w:b/>
                <w:sz w:val="24"/>
              </w:rPr>
            </w:pPr>
            <w:r w:rsidRPr="000B25E0">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7268251D"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2064B55C" w14:textId="77777777" w:rsidR="000B25E0" w:rsidRPr="000B25E0" w:rsidRDefault="000B25E0" w:rsidP="000B25E0">
            <w:pPr>
              <w:widowControl/>
              <w:jc w:val="center"/>
              <w:textAlignment w:val="center"/>
              <w:rPr>
                <w:rFonts w:ascii="宋体" w:eastAsia="宋体" w:hAnsi="宋体" w:cs="宋体"/>
                <w:sz w:val="24"/>
              </w:rPr>
            </w:pPr>
            <w:r w:rsidRPr="000B25E0">
              <w:rPr>
                <w:rFonts w:ascii="宋体" w:eastAsia="宋体" w:hAnsi="宋体" w:cs="宋体" w:hint="eastAsia"/>
                <w:kern w:val="0"/>
                <w:sz w:val="24"/>
                <w:lang w:bidi="ar"/>
              </w:rPr>
              <w:t>136</w:t>
            </w:r>
          </w:p>
        </w:tc>
      </w:tr>
    </w:tbl>
    <w:p w14:paraId="381CD8E1" w14:textId="77777777" w:rsidR="000B25E0" w:rsidRPr="000B25E0" w:rsidRDefault="000B25E0" w:rsidP="000B25E0">
      <w:pPr>
        <w:rPr>
          <w:rFonts w:ascii="Calibri" w:eastAsia="宋体" w:hAnsi="Calibri" w:cs="Times New Roman"/>
          <w:bCs/>
          <w:lang w:val="zh-CN"/>
        </w:rPr>
      </w:pPr>
    </w:p>
    <w:p w14:paraId="45B90708" w14:textId="77777777" w:rsidR="000B25E0" w:rsidRPr="000B25E0" w:rsidRDefault="000B25E0" w:rsidP="000B25E0">
      <w:pPr>
        <w:rPr>
          <w:rFonts w:ascii="Calibri" w:eastAsia="宋体" w:hAnsi="Calibri" w:cs="Times New Roman"/>
          <w:bCs/>
          <w:lang w:val="zh-CN"/>
        </w:rPr>
      </w:pPr>
    </w:p>
    <w:p w14:paraId="664F88D5" w14:textId="77777777" w:rsidR="000B25E0" w:rsidRPr="000B25E0" w:rsidRDefault="000B25E0" w:rsidP="000B25E0">
      <w:pPr>
        <w:rPr>
          <w:rFonts w:ascii="Calibri" w:eastAsia="宋体" w:hAnsi="Calibri" w:cs="Times New Roman"/>
          <w:bCs/>
          <w:lang w:val="zh-CN"/>
        </w:rPr>
      </w:pPr>
    </w:p>
    <w:p w14:paraId="144145CC" w14:textId="77777777" w:rsidR="000B25E0" w:rsidRPr="000B25E0" w:rsidRDefault="000B25E0" w:rsidP="000B25E0">
      <w:pPr>
        <w:spacing w:beforeLines="50" w:before="156" w:afterLines="50" w:after="156" w:line="440" w:lineRule="exact"/>
        <w:jc w:val="center"/>
        <w:rPr>
          <w:rFonts w:ascii="Times New Roman" w:eastAsia="黑体" w:hAnsi="Times New Roman" w:cs="Times New Roman"/>
          <w:sz w:val="28"/>
          <w:szCs w:val="28"/>
        </w:rPr>
      </w:pPr>
      <w:r w:rsidRPr="000B25E0">
        <w:rPr>
          <w:rFonts w:ascii="Times New Roman" w:eastAsia="黑体" w:hAnsi="Times New Roman" w:cs="Times New Roman"/>
          <w:sz w:val="28"/>
          <w:szCs w:val="28"/>
        </w:rPr>
        <w:t>期末</w:t>
      </w:r>
      <w:r w:rsidRPr="000B25E0">
        <w:rPr>
          <w:rFonts w:ascii="Times New Roman" w:eastAsia="黑体" w:hAnsi="Times New Roman" w:cs="Times New Roman" w:hint="eastAsia"/>
          <w:sz w:val="28"/>
          <w:szCs w:val="28"/>
        </w:rPr>
        <w:t>考试</w:t>
      </w:r>
    </w:p>
    <w:p w14:paraId="271F6499" w14:textId="77777777" w:rsidR="000B25E0" w:rsidRPr="000B25E0" w:rsidRDefault="000B25E0" w:rsidP="000B25E0">
      <w:pPr>
        <w:spacing w:line="44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Times New Roman" w:eastAsia="宋体" w:hAnsi="Times New Roman" w:cs="Times New Roman"/>
          <w:sz w:val="24"/>
        </w:rPr>
        <w:t>考察学生对于瑜伽基本技术的掌握情况</w:t>
      </w:r>
      <w:r w:rsidRPr="000B25E0">
        <w:rPr>
          <w:rFonts w:ascii="Times New Roman" w:eastAsia="宋体" w:hAnsi="Times New Roman" w:cs="Times New Roman" w:hint="eastAsia"/>
          <w:sz w:val="24"/>
        </w:rPr>
        <w:t>，</w:t>
      </w:r>
      <w:r w:rsidRPr="000B25E0">
        <w:rPr>
          <w:rFonts w:ascii="宋体" w:eastAsia="宋体" w:hAnsi="Calibri" w:cs="Times New Roman" w:hint="eastAsia"/>
          <w:bCs/>
          <w:kern w:val="0"/>
          <w:sz w:val="24"/>
        </w:rPr>
        <w:t>让学生了解选项课内容和科学体育锻炼方式方法。</w:t>
      </w:r>
    </w:p>
    <w:p w14:paraId="7A6311FA" w14:textId="77777777" w:rsidR="000B25E0" w:rsidRPr="000B25E0" w:rsidRDefault="000B25E0" w:rsidP="000B25E0">
      <w:pPr>
        <w:adjustRightInd w:val="0"/>
        <w:snapToGrid w:val="0"/>
        <w:spacing w:line="500" w:lineRule="exact"/>
        <w:ind w:firstLineChars="200" w:firstLine="482"/>
        <w:rPr>
          <w:rFonts w:ascii="宋体" w:eastAsia="宋体" w:hAnsi="宋体" w:cs="宋体"/>
          <w:bCs/>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规定动作、体式串联</w:t>
      </w:r>
    </w:p>
    <w:p w14:paraId="45B5A034" w14:textId="77777777" w:rsidR="000B25E0" w:rsidRPr="000B25E0" w:rsidRDefault="000B25E0" w:rsidP="000B25E0">
      <w:pPr>
        <w:spacing w:line="440" w:lineRule="exact"/>
        <w:ind w:firstLineChars="200" w:firstLine="482"/>
        <w:rPr>
          <w:rFonts w:ascii="宋体" w:eastAsia="宋体" w:hAnsi="宋体" w:cs="宋体"/>
          <w:sz w:val="24"/>
        </w:rPr>
      </w:pPr>
      <w:r w:rsidRPr="000B25E0">
        <w:rPr>
          <w:rFonts w:ascii="宋体" w:eastAsia="宋体" w:hAnsi="Calibri" w:cs="Times New Roman" w:hint="eastAsia"/>
          <w:b/>
          <w:kern w:val="0"/>
          <w:sz w:val="24"/>
        </w:rPr>
        <w:lastRenderedPageBreak/>
        <w:t>3.课程考核方式：</w:t>
      </w:r>
      <w:r w:rsidRPr="000B25E0">
        <w:rPr>
          <w:rFonts w:ascii="宋体" w:eastAsia="宋体" w:hAnsi="宋体" w:cs="宋体" w:hint="eastAsia"/>
          <w:sz w:val="24"/>
        </w:rPr>
        <w:t>学生自编套路表演，可自选音乐，也可用原音乐，时间为２分钟。主要以</w:t>
      </w:r>
      <w:r w:rsidRPr="000B25E0">
        <w:rPr>
          <w:rFonts w:ascii="Times New Roman" w:eastAsia="宋体" w:hAnsi="Times New Roman" w:cs="Times New Roman"/>
          <w:sz w:val="24"/>
        </w:rPr>
        <w:t>动作技术</w:t>
      </w:r>
      <w:r w:rsidRPr="000B25E0">
        <w:rPr>
          <w:rFonts w:ascii="Times New Roman" w:eastAsia="宋体" w:hAnsi="Times New Roman" w:cs="Times New Roman" w:hint="eastAsia"/>
          <w:sz w:val="24"/>
        </w:rPr>
        <w:t>完成情况、</w:t>
      </w:r>
      <w:r w:rsidRPr="000B25E0">
        <w:rPr>
          <w:rFonts w:ascii="Times New Roman" w:eastAsia="宋体" w:hAnsi="Times New Roman" w:cs="Times New Roman"/>
          <w:sz w:val="24"/>
        </w:rPr>
        <w:t>连贯程度、</w:t>
      </w:r>
      <w:r w:rsidRPr="000B25E0">
        <w:rPr>
          <w:rFonts w:ascii="Times New Roman" w:eastAsia="宋体" w:hAnsi="Times New Roman" w:cs="Times New Roman" w:hint="eastAsia"/>
          <w:sz w:val="24"/>
        </w:rPr>
        <w:t>身体控制、</w:t>
      </w:r>
      <w:r w:rsidRPr="000B25E0">
        <w:rPr>
          <w:rFonts w:ascii="Times New Roman" w:eastAsia="宋体" w:hAnsi="Times New Roman" w:cs="Times New Roman"/>
          <w:sz w:val="24"/>
        </w:rPr>
        <w:t>动作优美度</w:t>
      </w:r>
      <w:r w:rsidRPr="000B25E0">
        <w:rPr>
          <w:rFonts w:ascii="宋体" w:eastAsia="宋体" w:hAnsi="宋体" w:cs="宋体" w:hint="eastAsia"/>
          <w:sz w:val="24"/>
        </w:rPr>
        <w:t>等方面评分。</w:t>
      </w:r>
    </w:p>
    <w:p w14:paraId="63CFB272" w14:textId="77777777" w:rsidR="000B25E0" w:rsidRPr="000B25E0" w:rsidRDefault="000B25E0" w:rsidP="000B25E0">
      <w:pPr>
        <w:adjustRightInd w:val="0"/>
        <w:snapToGrid w:val="0"/>
        <w:spacing w:line="440" w:lineRule="exact"/>
        <w:ind w:firstLineChars="200" w:firstLine="482"/>
        <w:rPr>
          <w:rFonts w:ascii="宋体" w:eastAsia="宋体" w:hAnsi="宋体" w:cs="宋体"/>
          <w:sz w:val="24"/>
        </w:rPr>
      </w:pPr>
      <w:r w:rsidRPr="000B25E0">
        <w:rPr>
          <w:rFonts w:ascii="宋体" w:eastAsia="宋体" w:hAnsi="Calibri" w:cs="Times New Roman" w:hint="eastAsia"/>
          <w:b/>
          <w:kern w:val="0"/>
          <w:sz w:val="24"/>
        </w:rPr>
        <w:t>4.成绩构成及分值：</w:t>
      </w:r>
      <w:r w:rsidRPr="000B25E0">
        <w:rPr>
          <w:rFonts w:ascii="宋体" w:eastAsia="宋体" w:hAnsi="宋体" w:cs="宋体" w:hint="eastAsia"/>
          <w:sz w:val="24"/>
        </w:rPr>
        <w:t>成绩考核采用百分制，90分以上为优秀；80—89分为良好；70—79为中等；60—69为及格；60分以下为不及格。</w:t>
      </w:r>
    </w:p>
    <w:p w14:paraId="31FDAB2A"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hint="eastAsia"/>
          <w:b/>
          <w:sz w:val="24"/>
        </w:rPr>
        <w:t>5.</w:t>
      </w:r>
      <w:r w:rsidRPr="000B25E0">
        <w:rPr>
          <w:rFonts w:ascii="Calibri" w:eastAsia="宋体" w:hAnsi="Calibri" w:cs="Times New Roman" w:hint="eastAsia"/>
          <w:b/>
          <w:sz w:val="24"/>
        </w:rPr>
        <w:t>技术动作评分标准：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0B25E0" w:rsidRPr="000B25E0" w14:paraId="532B3F5C" w14:textId="77777777" w:rsidTr="00BF5EF3">
        <w:tc>
          <w:tcPr>
            <w:tcW w:w="1008" w:type="dxa"/>
            <w:tcBorders>
              <w:top w:val="single" w:sz="4" w:space="0" w:color="auto"/>
              <w:left w:val="single" w:sz="4" w:space="0" w:color="auto"/>
              <w:bottom w:val="single" w:sz="4" w:space="0" w:color="auto"/>
              <w:right w:val="single" w:sz="4" w:space="0" w:color="auto"/>
            </w:tcBorders>
          </w:tcPr>
          <w:p w14:paraId="6B9C2560"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6052B9C7"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60</w:t>
            </w:r>
            <w:r w:rsidRPr="000B25E0">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60ADE254"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09D0A4F5"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245508D2"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6D403482"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90</w:t>
            </w:r>
            <w:r w:rsidRPr="000B25E0">
              <w:rPr>
                <w:rFonts w:ascii="Times New Roman" w:eastAsia="宋体" w:hAnsi="Times New Roman" w:cs="Times New Roman" w:hint="eastAsia"/>
                <w:sz w:val="24"/>
              </w:rPr>
              <w:t>以上</w:t>
            </w:r>
          </w:p>
        </w:tc>
      </w:tr>
      <w:tr w:rsidR="000B25E0" w:rsidRPr="000B25E0" w14:paraId="285B2977" w14:textId="77777777" w:rsidTr="00BF5EF3">
        <w:tc>
          <w:tcPr>
            <w:tcW w:w="1008" w:type="dxa"/>
            <w:tcBorders>
              <w:top w:val="single" w:sz="4" w:space="0" w:color="auto"/>
              <w:left w:val="single" w:sz="4" w:space="0" w:color="auto"/>
              <w:bottom w:val="single" w:sz="4" w:space="0" w:color="auto"/>
              <w:right w:val="single" w:sz="4" w:space="0" w:color="auto"/>
            </w:tcBorders>
          </w:tcPr>
          <w:p w14:paraId="3D2A880F"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p w14:paraId="23B286E9"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评</w:t>
            </w:r>
          </w:p>
          <w:p w14:paraId="12EE5BDC"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分</w:t>
            </w:r>
          </w:p>
          <w:p w14:paraId="5D46B7C6"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标</w:t>
            </w:r>
          </w:p>
          <w:p w14:paraId="7D051140"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4673BAC9"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规定体式和自选体式流程不规范，出现动作顺序错误、不能顺利地完成全套动作。</w:t>
            </w:r>
          </w:p>
          <w:p w14:paraId="60D198A5"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63D9D3CC"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体式展示缺乏表现力、感染力；节奏混乱；体式脱节，出现明显的喘息、憋气；自编套路中体式与音乐</w:t>
            </w:r>
            <w:proofErr w:type="gramStart"/>
            <w:r w:rsidRPr="000B25E0">
              <w:rPr>
                <w:rFonts w:ascii="Times New Roman" w:eastAsia="宋体" w:hAnsi="Times New Roman" w:cs="Times New Roman" w:hint="eastAsia"/>
                <w:sz w:val="24"/>
              </w:rPr>
              <w:t>不</w:t>
            </w:r>
            <w:proofErr w:type="gramEnd"/>
            <w:r w:rsidRPr="000B25E0">
              <w:rPr>
                <w:rFonts w:ascii="Times New Roman" w:eastAsia="宋体" w:hAnsi="Times New Roman" w:cs="Times New Roman" w:hint="eastAsia"/>
                <w:sz w:val="24"/>
              </w:rPr>
              <w:t>契合。</w:t>
            </w:r>
          </w:p>
        </w:tc>
        <w:tc>
          <w:tcPr>
            <w:tcW w:w="1425" w:type="dxa"/>
            <w:tcBorders>
              <w:top w:val="single" w:sz="4" w:space="0" w:color="auto"/>
              <w:left w:val="single" w:sz="4" w:space="0" w:color="auto"/>
              <w:bottom w:val="single" w:sz="4" w:space="0" w:color="auto"/>
              <w:right w:val="single" w:sz="4" w:space="0" w:color="auto"/>
            </w:tcBorders>
          </w:tcPr>
          <w:p w14:paraId="369F1B7E"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10EE7736"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275FFC34"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体式展示富有表现力、感染力；节奏分明；体式连贯流畅，姿势优雅舒展；自编套路中体式与音乐契合。</w:t>
            </w:r>
          </w:p>
        </w:tc>
      </w:tr>
    </w:tbl>
    <w:p w14:paraId="4C527426" w14:textId="77777777" w:rsidR="000B25E0" w:rsidRPr="000B25E0" w:rsidRDefault="000B25E0" w:rsidP="000B25E0">
      <w:pPr>
        <w:spacing w:beforeLines="50" w:before="156" w:afterLines="50" w:after="156" w:line="440" w:lineRule="exact"/>
        <w:rPr>
          <w:rFonts w:ascii="黑体" w:eastAsia="黑体" w:hAnsi="黑体" w:cs="Times New Roman"/>
          <w:sz w:val="28"/>
          <w:szCs w:val="28"/>
        </w:rPr>
      </w:pPr>
      <w:r w:rsidRPr="000B25E0">
        <w:rPr>
          <w:rFonts w:ascii="黑体" w:eastAsia="黑体" w:hAnsi="黑体" w:cs="Times New Roman" w:hint="eastAsia"/>
          <w:sz w:val="28"/>
          <w:szCs w:val="28"/>
        </w:rPr>
        <w:t>第二学期</w:t>
      </w:r>
    </w:p>
    <w:p w14:paraId="123EBF4F"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期中考试</w:t>
      </w:r>
    </w:p>
    <w:p w14:paraId="0C3DE396" w14:textId="77777777" w:rsidR="000B25E0" w:rsidRPr="000B25E0" w:rsidRDefault="000B25E0" w:rsidP="000B25E0">
      <w:pPr>
        <w:adjustRightInd w:val="0"/>
        <w:snapToGrid w:val="0"/>
        <w:spacing w:line="500" w:lineRule="exact"/>
        <w:ind w:leftChars="114" w:left="239"/>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通过考核检验瑜伽技术教学效果和学生掌握情况，让学生了解选项课内容和科学体育锻炼方式方法。</w:t>
      </w:r>
    </w:p>
    <w:p w14:paraId="3D50B993" w14:textId="77777777" w:rsidR="000B25E0" w:rsidRPr="000B25E0" w:rsidRDefault="000B25E0" w:rsidP="000B25E0">
      <w:pPr>
        <w:adjustRightInd w:val="0"/>
        <w:snapToGrid w:val="0"/>
        <w:spacing w:line="440" w:lineRule="exact"/>
        <w:ind w:firstLineChars="100" w:firstLine="241"/>
        <w:rPr>
          <w:rFonts w:ascii="宋体" w:eastAsia="宋体" w:hAnsi="宋体" w:cs="宋体"/>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拜日式</w:t>
      </w:r>
    </w:p>
    <w:p w14:paraId="5CEC0C33" w14:textId="77777777" w:rsidR="000B25E0" w:rsidRPr="000B25E0" w:rsidRDefault="000B25E0" w:rsidP="000B25E0">
      <w:pPr>
        <w:adjustRightInd w:val="0"/>
        <w:snapToGrid w:val="0"/>
        <w:spacing w:line="440" w:lineRule="exact"/>
        <w:ind w:leftChars="114" w:left="239"/>
        <w:rPr>
          <w:rFonts w:ascii="宋体" w:eastAsia="宋体" w:hAnsi="宋体" w:cs="宋体"/>
          <w:sz w:val="24"/>
        </w:rPr>
      </w:pPr>
      <w:r w:rsidRPr="000B25E0">
        <w:rPr>
          <w:rFonts w:ascii="宋体" w:eastAsia="宋体" w:hAnsi="Calibri" w:cs="Times New Roman" w:hint="eastAsia"/>
          <w:b/>
          <w:kern w:val="0"/>
          <w:sz w:val="24"/>
        </w:rPr>
        <w:t>3.课程考核方式：</w:t>
      </w:r>
      <w:r w:rsidRPr="000B25E0">
        <w:rPr>
          <w:rFonts w:ascii="宋体" w:eastAsia="宋体" w:hAnsi="宋体" w:cs="宋体" w:hint="eastAsia"/>
          <w:sz w:val="24"/>
        </w:rPr>
        <w:t>规定套路表演，音乐可自选，</w:t>
      </w:r>
    </w:p>
    <w:p w14:paraId="669CEB86" w14:textId="77777777" w:rsidR="000B25E0" w:rsidRPr="000B25E0" w:rsidRDefault="000B25E0" w:rsidP="000B25E0">
      <w:pPr>
        <w:adjustRightInd w:val="0"/>
        <w:snapToGrid w:val="0"/>
        <w:spacing w:line="440" w:lineRule="exact"/>
        <w:ind w:leftChars="114" w:left="239"/>
        <w:rPr>
          <w:rFonts w:ascii="宋体" w:eastAsia="宋体" w:hAnsi="宋体" w:cs="宋体"/>
          <w:sz w:val="24"/>
        </w:rPr>
      </w:pPr>
      <w:r w:rsidRPr="000B25E0">
        <w:rPr>
          <w:rFonts w:ascii="宋体" w:eastAsia="宋体" w:hAnsi="Calibri" w:cs="Times New Roman" w:hint="eastAsia"/>
          <w:b/>
          <w:kern w:val="0"/>
          <w:sz w:val="24"/>
        </w:rPr>
        <w:t>4.成绩构成及分值：</w:t>
      </w:r>
      <w:r w:rsidRPr="000B25E0">
        <w:rPr>
          <w:rFonts w:ascii="宋体" w:eastAsia="宋体" w:hAnsi="宋体" w:cs="宋体" w:hint="eastAsia"/>
          <w:sz w:val="24"/>
        </w:rPr>
        <w:t>成绩考核采用百分制，90分以上为优秀；80—89分为良好；70—79为中等；60—69为及格；60分以下为不及格。</w:t>
      </w:r>
    </w:p>
    <w:p w14:paraId="2D045C35" w14:textId="77777777" w:rsidR="000B25E0" w:rsidRPr="000B25E0" w:rsidRDefault="000B25E0" w:rsidP="000B25E0">
      <w:pPr>
        <w:adjustRightInd w:val="0"/>
        <w:snapToGrid w:val="0"/>
        <w:spacing w:line="500" w:lineRule="exact"/>
        <w:ind w:firstLineChars="100" w:firstLine="241"/>
        <w:rPr>
          <w:rFonts w:ascii="Times New Roman" w:eastAsia="宋体" w:hAnsi="Times New Roman" w:cs="Times New Roman"/>
          <w:sz w:val="24"/>
        </w:rPr>
      </w:pPr>
      <w:r w:rsidRPr="000B25E0">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0B25E0" w:rsidRPr="000B25E0" w14:paraId="66B6F93E" w14:textId="77777777" w:rsidTr="00BF5EF3">
        <w:tc>
          <w:tcPr>
            <w:tcW w:w="1008" w:type="dxa"/>
            <w:tcBorders>
              <w:top w:val="single" w:sz="4" w:space="0" w:color="auto"/>
              <w:left w:val="single" w:sz="4" w:space="0" w:color="auto"/>
              <w:bottom w:val="single" w:sz="4" w:space="0" w:color="auto"/>
              <w:right w:val="single" w:sz="4" w:space="0" w:color="auto"/>
            </w:tcBorders>
          </w:tcPr>
          <w:p w14:paraId="1B521FA5"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3894ADDF"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60</w:t>
            </w:r>
            <w:r w:rsidRPr="000B25E0">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3ADF0EF1"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1A4CFF9B"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16F69ECC"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0E36C883"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90</w:t>
            </w:r>
            <w:r w:rsidRPr="000B25E0">
              <w:rPr>
                <w:rFonts w:ascii="Times New Roman" w:eastAsia="宋体" w:hAnsi="Times New Roman" w:cs="Times New Roman" w:hint="eastAsia"/>
                <w:sz w:val="24"/>
              </w:rPr>
              <w:t>以上</w:t>
            </w:r>
          </w:p>
        </w:tc>
      </w:tr>
      <w:tr w:rsidR="000B25E0" w:rsidRPr="000B25E0" w14:paraId="6D0F35D1" w14:textId="77777777" w:rsidTr="00BF5EF3">
        <w:tc>
          <w:tcPr>
            <w:tcW w:w="1008" w:type="dxa"/>
            <w:tcBorders>
              <w:top w:val="single" w:sz="4" w:space="0" w:color="auto"/>
              <w:left w:val="single" w:sz="4" w:space="0" w:color="auto"/>
              <w:bottom w:val="single" w:sz="4" w:space="0" w:color="auto"/>
              <w:right w:val="single" w:sz="4" w:space="0" w:color="auto"/>
            </w:tcBorders>
          </w:tcPr>
          <w:p w14:paraId="1484AD72"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p w14:paraId="40FEB3CC"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评</w:t>
            </w:r>
          </w:p>
          <w:p w14:paraId="06447A98"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分</w:t>
            </w:r>
          </w:p>
          <w:p w14:paraId="0C1FD8C3"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标</w:t>
            </w:r>
          </w:p>
          <w:p w14:paraId="3CCB6584"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62024707"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规定体式和自选体式流程不规范，出现动作顺序错误、不能顺利地完成全套动作。</w:t>
            </w:r>
          </w:p>
          <w:p w14:paraId="0C6BBBBA"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1C0D7C6E"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体式展示缺乏表现力、感染力；节奏混乱；体式脱节，出现明显的喘息、憋气；自编套路中体式与音乐</w:t>
            </w:r>
            <w:proofErr w:type="gramStart"/>
            <w:r w:rsidRPr="000B25E0">
              <w:rPr>
                <w:rFonts w:ascii="Times New Roman" w:eastAsia="宋体" w:hAnsi="Times New Roman" w:cs="Times New Roman" w:hint="eastAsia"/>
                <w:sz w:val="24"/>
              </w:rPr>
              <w:t>不</w:t>
            </w:r>
            <w:proofErr w:type="gramEnd"/>
            <w:r w:rsidRPr="000B25E0">
              <w:rPr>
                <w:rFonts w:ascii="Times New Roman" w:eastAsia="宋体" w:hAnsi="Times New Roman" w:cs="Times New Roman" w:hint="eastAsia"/>
                <w:sz w:val="24"/>
              </w:rPr>
              <w:t>契合。</w:t>
            </w:r>
          </w:p>
        </w:tc>
        <w:tc>
          <w:tcPr>
            <w:tcW w:w="1425" w:type="dxa"/>
            <w:tcBorders>
              <w:top w:val="single" w:sz="4" w:space="0" w:color="auto"/>
              <w:left w:val="single" w:sz="4" w:space="0" w:color="auto"/>
              <w:bottom w:val="single" w:sz="4" w:space="0" w:color="auto"/>
              <w:right w:val="single" w:sz="4" w:space="0" w:color="auto"/>
            </w:tcBorders>
          </w:tcPr>
          <w:p w14:paraId="4C6B41BB"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49C57E7F"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3892A6A1"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体式展示富有表现力、感染力；节奏分明；体式连贯流畅，姿势优雅舒展；自编套路中体式与音乐契合。</w:t>
            </w:r>
          </w:p>
        </w:tc>
      </w:tr>
    </w:tbl>
    <w:p w14:paraId="7B909021" w14:textId="77777777" w:rsidR="000B25E0" w:rsidRPr="000B25E0" w:rsidRDefault="000B25E0" w:rsidP="000B25E0">
      <w:pPr>
        <w:spacing w:beforeLines="50" w:before="156" w:afterLines="50" w:after="156" w:line="440" w:lineRule="exact"/>
        <w:jc w:val="center"/>
        <w:rPr>
          <w:rFonts w:ascii="Times New Roman" w:eastAsia="黑体" w:hAnsi="Times New Roman" w:cs="Times New Roman"/>
          <w:sz w:val="28"/>
          <w:szCs w:val="28"/>
        </w:rPr>
      </w:pPr>
      <w:r w:rsidRPr="000B25E0">
        <w:rPr>
          <w:rFonts w:ascii="Times New Roman" w:eastAsia="黑体" w:hAnsi="Times New Roman" w:cs="Times New Roman"/>
          <w:sz w:val="28"/>
          <w:szCs w:val="28"/>
        </w:rPr>
        <w:t>期末</w:t>
      </w:r>
      <w:r w:rsidRPr="000B25E0">
        <w:rPr>
          <w:rFonts w:ascii="Times New Roman" w:eastAsia="黑体" w:hAnsi="Times New Roman" w:cs="Times New Roman" w:hint="eastAsia"/>
          <w:sz w:val="28"/>
          <w:szCs w:val="28"/>
        </w:rPr>
        <w:t>考试</w:t>
      </w:r>
    </w:p>
    <w:p w14:paraId="73F62FE8" w14:textId="77777777" w:rsidR="000B25E0" w:rsidRPr="000B25E0" w:rsidRDefault="000B25E0" w:rsidP="000B25E0">
      <w:pPr>
        <w:spacing w:line="44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Times New Roman" w:eastAsia="宋体" w:hAnsi="Times New Roman" w:cs="Times New Roman"/>
          <w:sz w:val="24"/>
        </w:rPr>
        <w:t>考察学生对于瑜伽基本技术的掌握情况</w:t>
      </w:r>
      <w:r w:rsidRPr="000B25E0">
        <w:rPr>
          <w:rFonts w:ascii="Times New Roman" w:eastAsia="宋体" w:hAnsi="Times New Roman" w:cs="Times New Roman" w:hint="eastAsia"/>
          <w:sz w:val="24"/>
        </w:rPr>
        <w:t>，</w:t>
      </w:r>
      <w:r w:rsidRPr="000B25E0">
        <w:rPr>
          <w:rFonts w:ascii="宋体" w:eastAsia="宋体" w:hAnsi="Calibri" w:cs="Times New Roman" w:hint="eastAsia"/>
          <w:bCs/>
          <w:kern w:val="0"/>
          <w:sz w:val="24"/>
        </w:rPr>
        <w:t>让学生了解选项课内容和科学体育锻炼方式方法。</w:t>
      </w:r>
    </w:p>
    <w:p w14:paraId="4698C31A" w14:textId="77777777" w:rsidR="000B25E0" w:rsidRPr="000B25E0" w:rsidRDefault="000B25E0" w:rsidP="000B25E0">
      <w:pPr>
        <w:adjustRightInd w:val="0"/>
        <w:snapToGrid w:val="0"/>
        <w:spacing w:line="500" w:lineRule="exact"/>
        <w:ind w:firstLineChars="200" w:firstLine="482"/>
        <w:rPr>
          <w:rFonts w:ascii="宋体" w:eastAsia="宋体" w:hAnsi="宋体" w:cs="宋体"/>
          <w:bCs/>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规定动作、体式串联</w:t>
      </w:r>
    </w:p>
    <w:p w14:paraId="6D81A4F8" w14:textId="77777777" w:rsidR="000B25E0" w:rsidRPr="000B25E0" w:rsidRDefault="000B25E0" w:rsidP="000B25E0">
      <w:pPr>
        <w:spacing w:line="440" w:lineRule="exact"/>
        <w:ind w:firstLineChars="200" w:firstLine="482"/>
        <w:rPr>
          <w:rFonts w:ascii="宋体" w:eastAsia="宋体" w:hAnsi="宋体" w:cs="宋体"/>
          <w:sz w:val="24"/>
        </w:rPr>
      </w:pPr>
      <w:r w:rsidRPr="000B25E0">
        <w:rPr>
          <w:rFonts w:ascii="宋体" w:eastAsia="宋体" w:hAnsi="Calibri" w:cs="Times New Roman" w:hint="eastAsia"/>
          <w:b/>
          <w:kern w:val="0"/>
          <w:sz w:val="24"/>
        </w:rPr>
        <w:t>3.课程考核方式：</w:t>
      </w:r>
      <w:r w:rsidRPr="000B25E0">
        <w:rPr>
          <w:rFonts w:ascii="宋体" w:eastAsia="宋体" w:hAnsi="宋体" w:cs="宋体" w:hint="eastAsia"/>
          <w:sz w:val="24"/>
        </w:rPr>
        <w:t>学生自编套路表演，可自选音乐，也可用原音乐，时间为２分钟。主要以</w:t>
      </w:r>
      <w:r w:rsidRPr="000B25E0">
        <w:rPr>
          <w:rFonts w:ascii="Times New Roman" w:eastAsia="宋体" w:hAnsi="Times New Roman" w:cs="Times New Roman"/>
          <w:sz w:val="24"/>
        </w:rPr>
        <w:t>动作技术</w:t>
      </w:r>
      <w:r w:rsidRPr="000B25E0">
        <w:rPr>
          <w:rFonts w:ascii="Times New Roman" w:eastAsia="宋体" w:hAnsi="Times New Roman" w:cs="Times New Roman" w:hint="eastAsia"/>
          <w:sz w:val="24"/>
        </w:rPr>
        <w:t>完成情况、</w:t>
      </w:r>
      <w:r w:rsidRPr="000B25E0">
        <w:rPr>
          <w:rFonts w:ascii="Times New Roman" w:eastAsia="宋体" w:hAnsi="Times New Roman" w:cs="Times New Roman"/>
          <w:sz w:val="24"/>
        </w:rPr>
        <w:t>连贯程度、</w:t>
      </w:r>
      <w:r w:rsidRPr="000B25E0">
        <w:rPr>
          <w:rFonts w:ascii="Times New Roman" w:eastAsia="宋体" w:hAnsi="Times New Roman" w:cs="Times New Roman" w:hint="eastAsia"/>
          <w:sz w:val="24"/>
        </w:rPr>
        <w:t>身体控制、</w:t>
      </w:r>
      <w:r w:rsidRPr="000B25E0">
        <w:rPr>
          <w:rFonts w:ascii="Times New Roman" w:eastAsia="宋体" w:hAnsi="Times New Roman" w:cs="Times New Roman"/>
          <w:sz w:val="24"/>
        </w:rPr>
        <w:t>动作优美度</w:t>
      </w:r>
      <w:r w:rsidRPr="000B25E0">
        <w:rPr>
          <w:rFonts w:ascii="宋体" w:eastAsia="宋体" w:hAnsi="宋体" w:cs="宋体" w:hint="eastAsia"/>
          <w:sz w:val="24"/>
        </w:rPr>
        <w:t>等方面评分。</w:t>
      </w:r>
    </w:p>
    <w:p w14:paraId="21A2A6D8" w14:textId="77777777" w:rsidR="000B25E0" w:rsidRPr="000B25E0" w:rsidRDefault="000B25E0" w:rsidP="000B25E0">
      <w:pPr>
        <w:adjustRightInd w:val="0"/>
        <w:snapToGrid w:val="0"/>
        <w:spacing w:line="440" w:lineRule="exact"/>
        <w:ind w:firstLineChars="200" w:firstLine="482"/>
        <w:rPr>
          <w:rFonts w:ascii="宋体" w:eastAsia="宋体" w:hAnsi="宋体" w:cs="宋体"/>
          <w:sz w:val="24"/>
        </w:rPr>
      </w:pPr>
      <w:r w:rsidRPr="000B25E0">
        <w:rPr>
          <w:rFonts w:ascii="宋体" w:eastAsia="宋体" w:hAnsi="Calibri" w:cs="Times New Roman" w:hint="eastAsia"/>
          <w:b/>
          <w:kern w:val="0"/>
          <w:sz w:val="24"/>
        </w:rPr>
        <w:t>4.成绩构成及分值：</w:t>
      </w:r>
      <w:r w:rsidRPr="000B25E0">
        <w:rPr>
          <w:rFonts w:ascii="宋体" w:eastAsia="宋体" w:hAnsi="宋体" w:cs="宋体" w:hint="eastAsia"/>
          <w:sz w:val="24"/>
        </w:rPr>
        <w:t>成绩考核采用百分制，90分以上为优秀；80—89分为良好；70—79为中等；60—69为及格；60分以下为不及格。</w:t>
      </w:r>
    </w:p>
    <w:p w14:paraId="77E783E8"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hint="eastAsia"/>
          <w:b/>
          <w:sz w:val="24"/>
        </w:rPr>
        <w:t>5.</w:t>
      </w:r>
      <w:r w:rsidRPr="000B25E0">
        <w:rPr>
          <w:rFonts w:ascii="Calibri" w:eastAsia="宋体" w:hAnsi="Calibri" w:cs="Times New Roman" w:hint="eastAsia"/>
          <w:b/>
          <w:sz w:val="24"/>
        </w:rPr>
        <w:t>技术动作评分标准：</w:t>
      </w:r>
    </w:p>
    <w:p w14:paraId="07BC5A83"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0B25E0" w:rsidRPr="000B25E0" w14:paraId="5CFCAAE3" w14:textId="77777777" w:rsidTr="00BF5EF3">
        <w:tc>
          <w:tcPr>
            <w:tcW w:w="1008" w:type="dxa"/>
            <w:tcBorders>
              <w:top w:val="single" w:sz="4" w:space="0" w:color="auto"/>
              <w:left w:val="single" w:sz="4" w:space="0" w:color="auto"/>
              <w:bottom w:val="single" w:sz="4" w:space="0" w:color="auto"/>
              <w:right w:val="single" w:sz="4" w:space="0" w:color="auto"/>
            </w:tcBorders>
          </w:tcPr>
          <w:p w14:paraId="5FE9178C"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0C394C66"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60</w:t>
            </w:r>
            <w:r w:rsidRPr="000B25E0">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0D34A62C"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37D7938B"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6443FFC1"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1FB77B2A"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90</w:t>
            </w:r>
            <w:r w:rsidRPr="000B25E0">
              <w:rPr>
                <w:rFonts w:ascii="Times New Roman" w:eastAsia="宋体" w:hAnsi="Times New Roman" w:cs="Times New Roman" w:hint="eastAsia"/>
                <w:sz w:val="24"/>
              </w:rPr>
              <w:t>以上</w:t>
            </w:r>
          </w:p>
        </w:tc>
      </w:tr>
      <w:tr w:rsidR="000B25E0" w:rsidRPr="000B25E0" w14:paraId="3C226AE8" w14:textId="77777777" w:rsidTr="00BF5EF3">
        <w:tc>
          <w:tcPr>
            <w:tcW w:w="1008" w:type="dxa"/>
            <w:tcBorders>
              <w:top w:val="single" w:sz="4" w:space="0" w:color="auto"/>
              <w:left w:val="single" w:sz="4" w:space="0" w:color="auto"/>
              <w:bottom w:val="single" w:sz="4" w:space="0" w:color="auto"/>
              <w:right w:val="single" w:sz="4" w:space="0" w:color="auto"/>
            </w:tcBorders>
          </w:tcPr>
          <w:p w14:paraId="64349BE2"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p w14:paraId="514D09A3"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评</w:t>
            </w:r>
          </w:p>
          <w:p w14:paraId="13779892"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分</w:t>
            </w:r>
          </w:p>
          <w:p w14:paraId="6E24D128"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标</w:t>
            </w:r>
          </w:p>
          <w:p w14:paraId="1578ED9C"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5B4039BC"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规定体式和自选体式流程不规范，出现动作顺序错误、不能顺利地完成全套动作。</w:t>
            </w:r>
          </w:p>
          <w:p w14:paraId="49F3C6C0"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281C8B58"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体式展示缺乏表现力、感染力；节奏混乱；体式脱节，出现明显的喘息、憋气；自编套路中体式与</w:t>
            </w:r>
            <w:r w:rsidRPr="000B25E0">
              <w:rPr>
                <w:rFonts w:ascii="Times New Roman" w:eastAsia="宋体" w:hAnsi="Times New Roman" w:cs="Times New Roman" w:hint="eastAsia"/>
                <w:sz w:val="24"/>
              </w:rPr>
              <w:lastRenderedPageBreak/>
              <w:t>音乐</w:t>
            </w:r>
            <w:proofErr w:type="gramStart"/>
            <w:r w:rsidRPr="000B25E0">
              <w:rPr>
                <w:rFonts w:ascii="Times New Roman" w:eastAsia="宋体" w:hAnsi="Times New Roman" w:cs="Times New Roman" w:hint="eastAsia"/>
                <w:sz w:val="24"/>
              </w:rPr>
              <w:t>不</w:t>
            </w:r>
            <w:proofErr w:type="gramEnd"/>
            <w:r w:rsidRPr="000B25E0">
              <w:rPr>
                <w:rFonts w:ascii="Times New Roman" w:eastAsia="宋体" w:hAnsi="Times New Roman" w:cs="Times New Roman" w:hint="eastAsia"/>
                <w:sz w:val="24"/>
              </w:rPr>
              <w:t>契合。</w:t>
            </w:r>
          </w:p>
        </w:tc>
        <w:tc>
          <w:tcPr>
            <w:tcW w:w="1425" w:type="dxa"/>
            <w:tcBorders>
              <w:top w:val="single" w:sz="4" w:space="0" w:color="auto"/>
              <w:left w:val="single" w:sz="4" w:space="0" w:color="auto"/>
              <w:bottom w:val="single" w:sz="4" w:space="0" w:color="auto"/>
              <w:right w:val="single" w:sz="4" w:space="0" w:color="auto"/>
            </w:tcBorders>
          </w:tcPr>
          <w:p w14:paraId="6A1A6F68"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lastRenderedPageBreak/>
              <w:t>体式展示有表现力；节奏混乱；体式脱节，姿势舒展；自编套路中体式与音乐契</w:t>
            </w:r>
            <w:r w:rsidRPr="000B25E0">
              <w:rPr>
                <w:rFonts w:ascii="Times New Roman" w:eastAsia="宋体" w:hAnsi="Times New Roman" w:cs="Times New Roman" w:hint="eastAsia"/>
                <w:sz w:val="24"/>
              </w:rPr>
              <w:lastRenderedPageBreak/>
              <w:t>合。</w:t>
            </w:r>
          </w:p>
        </w:tc>
        <w:tc>
          <w:tcPr>
            <w:tcW w:w="1369" w:type="dxa"/>
            <w:tcBorders>
              <w:top w:val="single" w:sz="4" w:space="0" w:color="auto"/>
              <w:left w:val="single" w:sz="4" w:space="0" w:color="auto"/>
              <w:bottom w:val="single" w:sz="4" w:space="0" w:color="auto"/>
              <w:right w:val="single" w:sz="4" w:space="0" w:color="auto"/>
            </w:tcBorders>
          </w:tcPr>
          <w:p w14:paraId="1330CAB7"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lastRenderedPageBreak/>
              <w:t>体式展示有表现力、感染力；节奏较分明；体式较流畅，姿势舒展；自编套</w:t>
            </w:r>
            <w:r w:rsidRPr="000B25E0">
              <w:rPr>
                <w:rFonts w:ascii="Times New Roman" w:eastAsia="宋体" w:hAnsi="Times New Roman" w:cs="Times New Roman" w:hint="eastAsia"/>
                <w:sz w:val="24"/>
              </w:rPr>
              <w:lastRenderedPageBreak/>
              <w:t>路中体式与音乐契合。</w:t>
            </w:r>
          </w:p>
        </w:tc>
        <w:tc>
          <w:tcPr>
            <w:tcW w:w="1312" w:type="dxa"/>
            <w:tcBorders>
              <w:top w:val="single" w:sz="4" w:space="0" w:color="auto"/>
              <w:left w:val="single" w:sz="4" w:space="0" w:color="auto"/>
              <w:bottom w:val="single" w:sz="4" w:space="0" w:color="auto"/>
              <w:right w:val="single" w:sz="4" w:space="0" w:color="auto"/>
            </w:tcBorders>
          </w:tcPr>
          <w:p w14:paraId="51DD9177"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lastRenderedPageBreak/>
              <w:t>体式展示富有表现力、感染力；节奏分明；体式连贯流畅，姿势优雅舒</w:t>
            </w:r>
            <w:r w:rsidRPr="000B25E0">
              <w:rPr>
                <w:rFonts w:ascii="Times New Roman" w:eastAsia="宋体" w:hAnsi="Times New Roman" w:cs="Times New Roman" w:hint="eastAsia"/>
                <w:sz w:val="24"/>
              </w:rPr>
              <w:lastRenderedPageBreak/>
              <w:t>展；自编套路中体式与音乐契合。</w:t>
            </w:r>
          </w:p>
        </w:tc>
      </w:tr>
    </w:tbl>
    <w:p w14:paraId="0F6C169C" w14:textId="77777777" w:rsidR="000B25E0" w:rsidRPr="000B25E0" w:rsidRDefault="000B25E0" w:rsidP="000B25E0">
      <w:pPr>
        <w:spacing w:beforeLines="50" w:before="156" w:afterLines="50" w:after="156" w:line="440" w:lineRule="exact"/>
        <w:rPr>
          <w:rFonts w:ascii="黑体" w:eastAsia="黑体" w:hAnsi="黑体" w:cs="Times New Roman"/>
          <w:sz w:val="28"/>
          <w:szCs w:val="28"/>
        </w:rPr>
      </w:pPr>
    </w:p>
    <w:p w14:paraId="40AC075C" w14:textId="77777777" w:rsidR="000B25E0" w:rsidRPr="000B25E0" w:rsidRDefault="000B25E0" w:rsidP="000B25E0">
      <w:pPr>
        <w:spacing w:beforeLines="50" w:before="156" w:afterLines="50" w:after="156" w:line="440" w:lineRule="exact"/>
        <w:rPr>
          <w:rFonts w:ascii="黑体" w:eastAsia="黑体" w:hAnsi="黑体" w:cs="Times New Roman"/>
          <w:sz w:val="28"/>
          <w:szCs w:val="28"/>
        </w:rPr>
      </w:pPr>
      <w:r w:rsidRPr="000B25E0">
        <w:rPr>
          <w:rFonts w:ascii="黑体" w:eastAsia="黑体" w:hAnsi="黑体" w:cs="Times New Roman" w:hint="eastAsia"/>
          <w:sz w:val="28"/>
          <w:szCs w:val="28"/>
        </w:rPr>
        <w:t>第三学期</w:t>
      </w:r>
    </w:p>
    <w:p w14:paraId="22A3201A"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期中考试</w:t>
      </w:r>
    </w:p>
    <w:p w14:paraId="67134A74" w14:textId="77777777" w:rsidR="000B25E0" w:rsidRPr="000B25E0" w:rsidRDefault="000B25E0" w:rsidP="000B25E0">
      <w:pPr>
        <w:adjustRightInd w:val="0"/>
        <w:snapToGrid w:val="0"/>
        <w:spacing w:line="500" w:lineRule="exact"/>
        <w:ind w:leftChars="114" w:left="239"/>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通过考核检验瑜伽技术教学效果和学生掌握情况，让学生了解选项课内容和科学体育锻炼方式方法。</w:t>
      </w:r>
    </w:p>
    <w:p w14:paraId="6A1C2924" w14:textId="77777777" w:rsidR="000B25E0" w:rsidRPr="000B25E0" w:rsidRDefault="000B25E0" w:rsidP="000B25E0">
      <w:pPr>
        <w:adjustRightInd w:val="0"/>
        <w:snapToGrid w:val="0"/>
        <w:spacing w:line="440" w:lineRule="exact"/>
        <w:ind w:firstLineChars="100" w:firstLine="241"/>
        <w:rPr>
          <w:rFonts w:ascii="宋体" w:eastAsia="宋体" w:hAnsi="宋体" w:cs="宋体"/>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拜日式B</w:t>
      </w:r>
    </w:p>
    <w:p w14:paraId="55634496" w14:textId="77777777" w:rsidR="000B25E0" w:rsidRPr="000B25E0" w:rsidRDefault="000B25E0" w:rsidP="000B25E0">
      <w:pPr>
        <w:adjustRightInd w:val="0"/>
        <w:snapToGrid w:val="0"/>
        <w:spacing w:line="440" w:lineRule="exact"/>
        <w:ind w:leftChars="114" w:left="239"/>
        <w:rPr>
          <w:rFonts w:ascii="宋体" w:eastAsia="宋体" w:hAnsi="宋体" w:cs="宋体"/>
          <w:sz w:val="24"/>
        </w:rPr>
      </w:pPr>
      <w:r w:rsidRPr="000B25E0">
        <w:rPr>
          <w:rFonts w:ascii="宋体" w:eastAsia="宋体" w:hAnsi="Calibri" w:cs="Times New Roman" w:hint="eastAsia"/>
          <w:b/>
          <w:kern w:val="0"/>
          <w:sz w:val="24"/>
        </w:rPr>
        <w:t>3.课程考核方式：</w:t>
      </w:r>
      <w:r w:rsidRPr="000B25E0">
        <w:rPr>
          <w:rFonts w:ascii="宋体" w:eastAsia="宋体" w:hAnsi="宋体" w:cs="宋体" w:hint="eastAsia"/>
          <w:sz w:val="24"/>
        </w:rPr>
        <w:t>规定套路表演，音乐可自选，</w:t>
      </w:r>
    </w:p>
    <w:p w14:paraId="5C4B07A8" w14:textId="77777777" w:rsidR="000B25E0" w:rsidRPr="000B25E0" w:rsidRDefault="000B25E0" w:rsidP="000B25E0">
      <w:pPr>
        <w:adjustRightInd w:val="0"/>
        <w:snapToGrid w:val="0"/>
        <w:spacing w:line="440" w:lineRule="exact"/>
        <w:ind w:leftChars="114" w:left="239"/>
        <w:rPr>
          <w:rFonts w:ascii="宋体" w:eastAsia="宋体" w:hAnsi="宋体" w:cs="宋体"/>
          <w:sz w:val="24"/>
        </w:rPr>
      </w:pPr>
      <w:r w:rsidRPr="000B25E0">
        <w:rPr>
          <w:rFonts w:ascii="宋体" w:eastAsia="宋体" w:hAnsi="Calibri" w:cs="Times New Roman" w:hint="eastAsia"/>
          <w:b/>
          <w:kern w:val="0"/>
          <w:sz w:val="24"/>
        </w:rPr>
        <w:t>4.成绩构成及分值：</w:t>
      </w:r>
      <w:r w:rsidRPr="000B25E0">
        <w:rPr>
          <w:rFonts w:ascii="宋体" w:eastAsia="宋体" w:hAnsi="宋体" w:cs="宋体" w:hint="eastAsia"/>
          <w:sz w:val="24"/>
        </w:rPr>
        <w:t>成绩考核采用百分制，90分以上为优秀；80—89分为良好；70—79为中等；60—69为及格；60分以下为不及格。</w:t>
      </w:r>
    </w:p>
    <w:p w14:paraId="457197B7" w14:textId="77777777" w:rsidR="000B25E0" w:rsidRPr="000B25E0" w:rsidRDefault="000B25E0" w:rsidP="000B25E0">
      <w:pPr>
        <w:adjustRightInd w:val="0"/>
        <w:snapToGrid w:val="0"/>
        <w:spacing w:line="500" w:lineRule="exact"/>
        <w:ind w:firstLineChars="100" w:firstLine="241"/>
        <w:rPr>
          <w:rFonts w:ascii="Times New Roman" w:eastAsia="宋体" w:hAnsi="Times New Roman" w:cs="Times New Roman"/>
          <w:sz w:val="24"/>
        </w:rPr>
      </w:pPr>
      <w:r w:rsidRPr="000B25E0">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0B25E0" w:rsidRPr="000B25E0" w14:paraId="2424461C" w14:textId="77777777" w:rsidTr="00BF5EF3">
        <w:tc>
          <w:tcPr>
            <w:tcW w:w="1008" w:type="dxa"/>
            <w:tcBorders>
              <w:top w:val="single" w:sz="4" w:space="0" w:color="auto"/>
              <w:left w:val="single" w:sz="4" w:space="0" w:color="auto"/>
              <w:bottom w:val="single" w:sz="4" w:space="0" w:color="auto"/>
              <w:right w:val="single" w:sz="4" w:space="0" w:color="auto"/>
            </w:tcBorders>
          </w:tcPr>
          <w:p w14:paraId="31D61F99"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7E86FB6F"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60</w:t>
            </w:r>
            <w:r w:rsidRPr="000B25E0">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1B68BCC6"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1C1EBDB1"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625FE6E5"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1429D6DB"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90</w:t>
            </w:r>
            <w:r w:rsidRPr="000B25E0">
              <w:rPr>
                <w:rFonts w:ascii="Times New Roman" w:eastAsia="宋体" w:hAnsi="Times New Roman" w:cs="Times New Roman" w:hint="eastAsia"/>
                <w:sz w:val="24"/>
              </w:rPr>
              <w:t>以上</w:t>
            </w:r>
          </w:p>
        </w:tc>
      </w:tr>
      <w:tr w:rsidR="000B25E0" w:rsidRPr="000B25E0" w14:paraId="2933FA6B" w14:textId="77777777" w:rsidTr="00BF5EF3">
        <w:tc>
          <w:tcPr>
            <w:tcW w:w="1008" w:type="dxa"/>
            <w:tcBorders>
              <w:top w:val="single" w:sz="4" w:space="0" w:color="auto"/>
              <w:left w:val="single" w:sz="4" w:space="0" w:color="auto"/>
              <w:bottom w:val="single" w:sz="4" w:space="0" w:color="auto"/>
              <w:right w:val="single" w:sz="4" w:space="0" w:color="auto"/>
            </w:tcBorders>
          </w:tcPr>
          <w:p w14:paraId="1EA25CA4"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p w14:paraId="55C8C975"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评</w:t>
            </w:r>
          </w:p>
          <w:p w14:paraId="12E56B18"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分</w:t>
            </w:r>
          </w:p>
          <w:p w14:paraId="064A262E"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标</w:t>
            </w:r>
          </w:p>
          <w:p w14:paraId="65A75780"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5FD4AA75"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规定体式和自选体式流程不规范，出现动作顺序错误、不能顺利地完成全套动作。</w:t>
            </w:r>
          </w:p>
          <w:p w14:paraId="7C9C25FD"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0D6A52CD"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体式展示缺乏表现力、感染力；节奏混乱；体式脱节，出现明显的喘息、憋气；自编套路中体式与音乐</w:t>
            </w:r>
            <w:proofErr w:type="gramStart"/>
            <w:r w:rsidRPr="000B25E0">
              <w:rPr>
                <w:rFonts w:ascii="Times New Roman" w:eastAsia="宋体" w:hAnsi="Times New Roman" w:cs="Times New Roman" w:hint="eastAsia"/>
                <w:sz w:val="24"/>
              </w:rPr>
              <w:t>不</w:t>
            </w:r>
            <w:proofErr w:type="gramEnd"/>
            <w:r w:rsidRPr="000B25E0">
              <w:rPr>
                <w:rFonts w:ascii="Times New Roman" w:eastAsia="宋体" w:hAnsi="Times New Roman" w:cs="Times New Roman" w:hint="eastAsia"/>
                <w:sz w:val="24"/>
              </w:rPr>
              <w:t>契合。</w:t>
            </w:r>
          </w:p>
        </w:tc>
        <w:tc>
          <w:tcPr>
            <w:tcW w:w="1425" w:type="dxa"/>
            <w:tcBorders>
              <w:top w:val="single" w:sz="4" w:space="0" w:color="auto"/>
              <w:left w:val="single" w:sz="4" w:space="0" w:color="auto"/>
              <w:bottom w:val="single" w:sz="4" w:space="0" w:color="auto"/>
              <w:right w:val="single" w:sz="4" w:space="0" w:color="auto"/>
            </w:tcBorders>
          </w:tcPr>
          <w:p w14:paraId="42F72790"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1EB595C8"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373FE4A9"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体式展示富有表现力、感染力；节奏分明；体式连贯流畅，姿势优雅舒展；自编套路中体式与音乐契合。</w:t>
            </w:r>
          </w:p>
        </w:tc>
      </w:tr>
    </w:tbl>
    <w:p w14:paraId="4A1A983D" w14:textId="77777777" w:rsidR="000B25E0" w:rsidRPr="000B25E0" w:rsidRDefault="000B25E0" w:rsidP="000B25E0">
      <w:pPr>
        <w:spacing w:beforeLines="50" w:before="156" w:afterLines="50" w:after="156" w:line="440" w:lineRule="exact"/>
        <w:ind w:firstLineChars="200" w:firstLine="560"/>
        <w:rPr>
          <w:rFonts w:ascii="Times New Roman" w:eastAsia="黑体" w:hAnsi="Times New Roman" w:cs="Times New Roman"/>
          <w:sz w:val="28"/>
          <w:szCs w:val="28"/>
        </w:rPr>
      </w:pPr>
    </w:p>
    <w:p w14:paraId="794F2CEE" w14:textId="77777777" w:rsidR="000B25E0" w:rsidRPr="000B25E0" w:rsidRDefault="000B25E0" w:rsidP="000B25E0">
      <w:pPr>
        <w:spacing w:beforeLines="50" w:before="156" w:afterLines="50" w:after="156" w:line="440" w:lineRule="exact"/>
        <w:jc w:val="center"/>
        <w:rPr>
          <w:rFonts w:ascii="Times New Roman" w:eastAsia="黑体" w:hAnsi="Times New Roman" w:cs="Times New Roman"/>
          <w:sz w:val="28"/>
          <w:szCs w:val="28"/>
        </w:rPr>
      </w:pPr>
      <w:r w:rsidRPr="000B25E0">
        <w:rPr>
          <w:rFonts w:ascii="Times New Roman" w:eastAsia="黑体" w:hAnsi="Times New Roman" w:cs="Times New Roman"/>
          <w:sz w:val="28"/>
          <w:szCs w:val="28"/>
        </w:rPr>
        <w:lastRenderedPageBreak/>
        <w:t>期末</w:t>
      </w:r>
      <w:r w:rsidRPr="000B25E0">
        <w:rPr>
          <w:rFonts w:ascii="Times New Roman" w:eastAsia="黑体" w:hAnsi="Times New Roman" w:cs="Times New Roman" w:hint="eastAsia"/>
          <w:sz w:val="28"/>
          <w:szCs w:val="28"/>
        </w:rPr>
        <w:t>考试</w:t>
      </w:r>
    </w:p>
    <w:p w14:paraId="6D7B9F51" w14:textId="77777777" w:rsidR="000B25E0" w:rsidRPr="000B25E0" w:rsidRDefault="000B25E0" w:rsidP="000B25E0">
      <w:pPr>
        <w:spacing w:line="44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Times New Roman" w:eastAsia="宋体" w:hAnsi="Times New Roman" w:cs="Times New Roman"/>
          <w:sz w:val="24"/>
        </w:rPr>
        <w:t>考察学生对于瑜伽基本技术的掌握情况</w:t>
      </w:r>
      <w:r w:rsidRPr="000B25E0">
        <w:rPr>
          <w:rFonts w:ascii="Times New Roman" w:eastAsia="宋体" w:hAnsi="Times New Roman" w:cs="Times New Roman" w:hint="eastAsia"/>
          <w:sz w:val="24"/>
        </w:rPr>
        <w:t>，</w:t>
      </w:r>
      <w:r w:rsidRPr="000B25E0">
        <w:rPr>
          <w:rFonts w:ascii="宋体" w:eastAsia="宋体" w:hAnsi="Calibri" w:cs="Times New Roman" w:hint="eastAsia"/>
          <w:bCs/>
          <w:kern w:val="0"/>
          <w:sz w:val="24"/>
        </w:rPr>
        <w:t>让学生了解选项课内容和科学体育锻炼方式方法。</w:t>
      </w:r>
    </w:p>
    <w:p w14:paraId="3A9BE62E" w14:textId="77777777" w:rsidR="000B25E0" w:rsidRPr="000B25E0" w:rsidRDefault="000B25E0" w:rsidP="000B25E0">
      <w:pPr>
        <w:adjustRightInd w:val="0"/>
        <w:snapToGrid w:val="0"/>
        <w:spacing w:line="500" w:lineRule="exact"/>
        <w:ind w:firstLineChars="200" w:firstLine="482"/>
        <w:rPr>
          <w:rFonts w:ascii="宋体" w:eastAsia="宋体" w:hAnsi="宋体" w:cs="宋体"/>
          <w:bCs/>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规定动作、体式串联</w:t>
      </w:r>
    </w:p>
    <w:p w14:paraId="09DA4104" w14:textId="77777777" w:rsidR="000B25E0" w:rsidRPr="000B25E0" w:rsidRDefault="000B25E0" w:rsidP="000B25E0">
      <w:pPr>
        <w:spacing w:line="440" w:lineRule="exact"/>
        <w:ind w:firstLineChars="200" w:firstLine="482"/>
        <w:rPr>
          <w:rFonts w:ascii="宋体" w:eastAsia="宋体" w:hAnsi="宋体" w:cs="宋体"/>
          <w:sz w:val="24"/>
        </w:rPr>
      </w:pPr>
      <w:r w:rsidRPr="000B25E0">
        <w:rPr>
          <w:rFonts w:ascii="宋体" w:eastAsia="宋体" w:hAnsi="Calibri" w:cs="Times New Roman" w:hint="eastAsia"/>
          <w:b/>
          <w:kern w:val="0"/>
          <w:sz w:val="24"/>
        </w:rPr>
        <w:t>3.课程考核方式：</w:t>
      </w:r>
      <w:r w:rsidRPr="000B25E0">
        <w:rPr>
          <w:rFonts w:ascii="宋体" w:eastAsia="宋体" w:hAnsi="宋体" w:cs="宋体" w:hint="eastAsia"/>
          <w:sz w:val="24"/>
        </w:rPr>
        <w:t>学生自编套路表演，可自选音乐，也可用原音乐，时间为２分钟。主要以</w:t>
      </w:r>
      <w:r w:rsidRPr="000B25E0">
        <w:rPr>
          <w:rFonts w:ascii="Times New Roman" w:eastAsia="宋体" w:hAnsi="Times New Roman" w:cs="Times New Roman"/>
          <w:sz w:val="24"/>
        </w:rPr>
        <w:t>动作技术</w:t>
      </w:r>
      <w:r w:rsidRPr="000B25E0">
        <w:rPr>
          <w:rFonts w:ascii="Times New Roman" w:eastAsia="宋体" w:hAnsi="Times New Roman" w:cs="Times New Roman" w:hint="eastAsia"/>
          <w:sz w:val="24"/>
        </w:rPr>
        <w:t>完成情况、</w:t>
      </w:r>
      <w:r w:rsidRPr="000B25E0">
        <w:rPr>
          <w:rFonts w:ascii="Times New Roman" w:eastAsia="宋体" w:hAnsi="Times New Roman" w:cs="Times New Roman"/>
          <w:sz w:val="24"/>
        </w:rPr>
        <w:t>连贯程度、</w:t>
      </w:r>
      <w:r w:rsidRPr="000B25E0">
        <w:rPr>
          <w:rFonts w:ascii="Times New Roman" w:eastAsia="宋体" w:hAnsi="Times New Roman" w:cs="Times New Roman" w:hint="eastAsia"/>
          <w:sz w:val="24"/>
        </w:rPr>
        <w:t>身体控制、</w:t>
      </w:r>
      <w:r w:rsidRPr="000B25E0">
        <w:rPr>
          <w:rFonts w:ascii="Times New Roman" w:eastAsia="宋体" w:hAnsi="Times New Roman" w:cs="Times New Roman"/>
          <w:sz w:val="24"/>
        </w:rPr>
        <w:t>动作优美度</w:t>
      </w:r>
      <w:r w:rsidRPr="000B25E0">
        <w:rPr>
          <w:rFonts w:ascii="宋体" w:eastAsia="宋体" w:hAnsi="宋体" w:cs="宋体" w:hint="eastAsia"/>
          <w:sz w:val="24"/>
        </w:rPr>
        <w:t>等方面评分。</w:t>
      </w:r>
    </w:p>
    <w:p w14:paraId="14FCE2D0" w14:textId="77777777" w:rsidR="000B25E0" w:rsidRPr="000B25E0" w:rsidRDefault="000B25E0" w:rsidP="000B25E0">
      <w:pPr>
        <w:adjustRightInd w:val="0"/>
        <w:snapToGrid w:val="0"/>
        <w:spacing w:line="440" w:lineRule="exact"/>
        <w:ind w:firstLineChars="200" w:firstLine="482"/>
        <w:rPr>
          <w:rFonts w:ascii="宋体" w:eastAsia="宋体" w:hAnsi="宋体" w:cs="宋体"/>
          <w:sz w:val="24"/>
        </w:rPr>
      </w:pPr>
      <w:r w:rsidRPr="000B25E0">
        <w:rPr>
          <w:rFonts w:ascii="宋体" w:eastAsia="宋体" w:hAnsi="Calibri" w:cs="Times New Roman" w:hint="eastAsia"/>
          <w:b/>
          <w:kern w:val="0"/>
          <w:sz w:val="24"/>
        </w:rPr>
        <w:t>4.成绩构成及分值：</w:t>
      </w:r>
      <w:r w:rsidRPr="000B25E0">
        <w:rPr>
          <w:rFonts w:ascii="宋体" w:eastAsia="宋体" w:hAnsi="宋体" w:cs="宋体" w:hint="eastAsia"/>
          <w:sz w:val="24"/>
        </w:rPr>
        <w:t>成绩考核采用百分制，90分以上为优秀；80—89分为良好；70—79为中等；60—69为及格；60分以下为不及格。</w:t>
      </w:r>
    </w:p>
    <w:p w14:paraId="44960D6B"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hint="eastAsia"/>
          <w:b/>
          <w:sz w:val="24"/>
        </w:rPr>
        <w:t>5.</w:t>
      </w:r>
      <w:r w:rsidRPr="000B25E0">
        <w:rPr>
          <w:rFonts w:ascii="Calibri" w:eastAsia="宋体" w:hAnsi="Calibri" w:cs="Times New Roman" w:hint="eastAsia"/>
          <w:b/>
          <w:sz w:val="24"/>
        </w:rPr>
        <w:t>技术动作评分标准：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0B25E0" w:rsidRPr="000B25E0" w14:paraId="21BF6C50" w14:textId="77777777" w:rsidTr="00BF5EF3">
        <w:tc>
          <w:tcPr>
            <w:tcW w:w="1008" w:type="dxa"/>
            <w:tcBorders>
              <w:top w:val="single" w:sz="4" w:space="0" w:color="auto"/>
              <w:left w:val="single" w:sz="4" w:space="0" w:color="auto"/>
              <w:bottom w:val="single" w:sz="4" w:space="0" w:color="auto"/>
              <w:right w:val="single" w:sz="4" w:space="0" w:color="auto"/>
            </w:tcBorders>
          </w:tcPr>
          <w:p w14:paraId="4B8DA321"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13B7F9FD"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60</w:t>
            </w:r>
            <w:r w:rsidRPr="000B25E0">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13FE1FF3"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171C7A3B"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3A89F1D1"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590EA43C"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90</w:t>
            </w:r>
            <w:r w:rsidRPr="000B25E0">
              <w:rPr>
                <w:rFonts w:ascii="Times New Roman" w:eastAsia="宋体" w:hAnsi="Times New Roman" w:cs="Times New Roman" w:hint="eastAsia"/>
                <w:sz w:val="24"/>
              </w:rPr>
              <w:t>以上</w:t>
            </w:r>
          </w:p>
        </w:tc>
      </w:tr>
      <w:tr w:rsidR="000B25E0" w:rsidRPr="000B25E0" w14:paraId="25EFFDFB" w14:textId="77777777" w:rsidTr="00BF5EF3">
        <w:tc>
          <w:tcPr>
            <w:tcW w:w="1008" w:type="dxa"/>
            <w:tcBorders>
              <w:top w:val="single" w:sz="4" w:space="0" w:color="auto"/>
              <w:left w:val="single" w:sz="4" w:space="0" w:color="auto"/>
              <w:bottom w:val="single" w:sz="4" w:space="0" w:color="auto"/>
              <w:right w:val="single" w:sz="4" w:space="0" w:color="auto"/>
            </w:tcBorders>
          </w:tcPr>
          <w:p w14:paraId="47AAFCB9"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p w14:paraId="05AE1FE0"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评</w:t>
            </w:r>
          </w:p>
          <w:p w14:paraId="04097F9D"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分</w:t>
            </w:r>
          </w:p>
          <w:p w14:paraId="7B715617"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标</w:t>
            </w:r>
          </w:p>
          <w:p w14:paraId="4600A911"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2262BCA1"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规定体式和自选体式流程不规范，出现动作顺序错误、不能顺利地完成全套动作。</w:t>
            </w:r>
          </w:p>
          <w:p w14:paraId="40EB42F5"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1C747C02"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体式展示缺乏表现力、感染力；节奏混乱；体式脱节，出现明显的喘息、憋气；自编套路中体式与音乐</w:t>
            </w:r>
            <w:proofErr w:type="gramStart"/>
            <w:r w:rsidRPr="000B25E0">
              <w:rPr>
                <w:rFonts w:ascii="Times New Roman" w:eastAsia="宋体" w:hAnsi="Times New Roman" w:cs="Times New Roman" w:hint="eastAsia"/>
                <w:sz w:val="24"/>
              </w:rPr>
              <w:t>不</w:t>
            </w:r>
            <w:proofErr w:type="gramEnd"/>
            <w:r w:rsidRPr="000B25E0">
              <w:rPr>
                <w:rFonts w:ascii="Times New Roman" w:eastAsia="宋体" w:hAnsi="Times New Roman" w:cs="Times New Roman" w:hint="eastAsia"/>
                <w:sz w:val="24"/>
              </w:rPr>
              <w:t>契合。</w:t>
            </w:r>
          </w:p>
        </w:tc>
        <w:tc>
          <w:tcPr>
            <w:tcW w:w="1425" w:type="dxa"/>
            <w:tcBorders>
              <w:top w:val="single" w:sz="4" w:space="0" w:color="auto"/>
              <w:left w:val="single" w:sz="4" w:space="0" w:color="auto"/>
              <w:bottom w:val="single" w:sz="4" w:space="0" w:color="auto"/>
              <w:right w:val="single" w:sz="4" w:space="0" w:color="auto"/>
            </w:tcBorders>
          </w:tcPr>
          <w:p w14:paraId="3BC62BBF"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3C89221E"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73EEA9AB"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体式展示富有表现力、感染力；节奏分明；体式连贯流畅，姿势优雅舒展；自编套路中体式与音乐契合。</w:t>
            </w:r>
          </w:p>
        </w:tc>
      </w:tr>
    </w:tbl>
    <w:p w14:paraId="02EF5F94" w14:textId="77777777" w:rsidR="000B25E0" w:rsidRPr="000B25E0" w:rsidRDefault="000B25E0" w:rsidP="000B25E0">
      <w:pPr>
        <w:rPr>
          <w:rFonts w:ascii="Calibri" w:eastAsia="宋体" w:hAnsi="Calibri" w:cs="Times New Roman"/>
          <w:bCs/>
          <w:lang w:val="zh-CN"/>
        </w:rPr>
      </w:pPr>
    </w:p>
    <w:p w14:paraId="343258A1" w14:textId="77777777" w:rsidR="000B25E0" w:rsidRPr="000B25E0" w:rsidRDefault="000B25E0" w:rsidP="000B25E0">
      <w:pPr>
        <w:rPr>
          <w:rFonts w:ascii="Calibri" w:eastAsia="宋体" w:hAnsi="Calibri" w:cs="Times New Roman"/>
          <w:bCs/>
          <w:lang w:val="zh-CN"/>
        </w:rPr>
      </w:pPr>
    </w:p>
    <w:p w14:paraId="0A7EE43F" w14:textId="77777777" w:rsidR="000B25E0" w:rsidRPr="000B25E0" w:rsidRDefault="000B25E0" w:rsidP="000B25E0">
      <w:pPr>
        <w:rPr>
          <w:rFonts w:ascii="Calibri" w:eastAsia="宋体" w:hAnsi="Calibri" w:cs="Times New Roman"/>
          <w:bCs/>
          <w:lang w:val="zh-CN"/>
        </w:rPr>
      </w:pPr>
    </w:p>
    <w:p w14:paraId="41070181" w14:textId="77777777" w:rsidR="000B25E0" w:rsidRPr="000B25E0" w:rsidRDefault="000B25E0" w:rsidP="000B25E0">
      <w:pPr>
        <w:spacing w:beforeLines="50" w:before="156" w:afterLines="50" w:after="156" w:line="440" w:lineRule="exact"/>
        <w:rPr>
          <w:rFonts w:ascii="黑体" w:eastAsia="黑体" w:hAnsi="黑体" w:cs="Times New Roman"/>
          <w:sz w:val="28"/>
          <w:szCs w:val="28"/>
        </w:rPr>
      </w:pPr>
      <w:r w:rsidRPr="000B25E0">
        <w:rPr>
          <w:rFonts w:ascii="黑体" w:eastAsia="黑体" w:hAnsi="黑体" w:cs="Times New Roman" w:hint="eastAsia"/>
          <w:sz w:val="28"/>
          <w:szCs w:val="28"/>
        </w:rPr>
        <w:t>第四学期</w:t>
      </w:r>
    </w:p>
    <w:p w14:paraId="44D189AE" w14:textId="77777777" w:rsidR="000B25E0" w:rsidRPr="000B25E0" w:rsidRDefault="000B25E0" w:rsidP="000B25E0">
      <w:pPr>
        <w:adjustRightInd w:val="0"/>
        <w:snapToGrid w:val="0"/>
        <w:spacing w:line="500" w:lineRule="exact"/>
        <w:jc w:val="center"/>
        <w:rPr>
          <w:rFonts w:ascii="宋体" w:eastAsia="宋体" w:hAnsi="Calibri" w:cs="Times New Roman"/>
          <w:b/>
          <w:kern w:val="0"/>
          <w:sz w:val="24"/>
        </w:rPr>
      </w:pPr>
      <w:r w:rsidRPr="000B25E0">
        <w:rPr>
          <w:rFonts w:ascii="宋体" w:eastAsia="宋体" w:hAnsi="Calibri" w:cs="Times New Roman" w:hint="eastAsia"/>
          <w:b/>
          <w:kern w:val="0"/>
          <w:sz w:val="24"/>
        </w:rPr>
        <w:t>期中考试</w:t>
      </w:r>
    </w:p>
    <w:p w14:paraId="359BAD8E" w14:textId="77777777" w:rsidR="000B25E0" w:rsidRPr="000B25E0" w:rsidRDefault="000B25E0" w:rsidP="000B25E0">
      <w:pPr>
        <w:adjustRightInd w:val="0"/>
        <w:snapToGrid w:val="0"/>
        <w:spacing w:line="500" w:lineRule="exact"/>
        <w:ind w:leftChars="114" w:left="239"/>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宋体" w:eastAsia="宋体" w:hAnsi="Calibri" w:cs="Times New Roman" w:hint="eastAsia"/>
          <w:bCs/>
          <w:kern w:val="0"/>
          <w:sz w:val="24"/>
        </w:rPr>
        <w:t>通过考核检验瑜伽技术教学效果和学生掌握情况，让学生了解选项课内容和科学体育锻炼方式方法。</w:t>
      </w:r>
    </w:p>
    <w:p w14:paraId="305DF628" w14:textId="77777777" w:rsidR="000B25E0" w:rsidRPr="000B25E0" w:rsidRDefault="000B25E0" w:rsidP="000B25E0">
      <w:pPr>
        <w:adjustRightInd w:val="0"/>
        <w:snapToGrid w:val="0"/>
        <w:spacing w:line="440" w:lineRule="exact"/>
        <w:ind w:firstLineChars="100" w:firstLine="241"/>
        <w:rPr>
          <w:rFonts w:ascii="宋体" w:eastAsia="宋体" w:hAnsi="宋体" w:cs="宋体"/>
          <w:bCs/>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规定体式、自选体式</w:t>
      </w:r>
    </w:p>
    <w:p w14:paraId="1FB920A5" w14:textId="77777777" w:rsidR="000B25E0" w:rsidRPr="000B25E0" w:rsidRDefault="000B25E0" w:rsidP="000B25E0">
      <w:pPr>
        <w:adjustRightInd w:val="0"/>
        <w:snapToGrid w:val="0"/>
        <w:spacing w:line="440" w:lineRule="exact"/>
        <w:ind w:leftChars="114" w:left="239"/>
        <w:rPr>
          <w:rFonts w:ascii="宋体" w:eastAsia="宋体" w:hAnsi="宋体" w:cs="宋体"/>
          <w:bCs/>
          <w:sz w:val="24"/>
        </w:rPr>
      </w:pPr>
      <w:r w:rsidRPr="000B25E0">
        <w:rPr>
          <w:rFonts w:ascii="宋体" w:eastAsia="宋体" w:hAnsi="Calibri" w:cs="Times New Roman" w:hint="eastAsia"/>
          <w:b/>
          <w:kern w:val="0"/>
          <w:sz w:val="24"/>
        </w:rPr>
        <w:lastRenderedPageBreak/>
        <w:t>3.课程考核方式：</w:t>
      </w:r>
      <w:r w:rsidRPr="000B25E0">
        <w:rPr>
          <w:rFonts w:ascii="宋体" w:eastAsia="宋体" w:hAnsi="Calibri" w:cs="Times New Roman" w:hint="eastAsia"/>
          <w:bCs/>
          <w:kern w:val="0"/>
          <w:sz w:val="24"/>
        </w:rPr>
        <w:t>单人单独演练</w:t>
      </w:r>
    </w:p>
    <w:p w14:paraId="1C2611B1" w14:textId="77777777" w:rsidR="000B25E0" w:rsidRPr="000B25E0" w:rsidRDefault="000B25E0" w:rsidP="000B25E0">
      <w:pPr>
        <w:adjustRightInd w:val="0"/>
        <w:snapToGrid w:val="0"/>
        <w:spacing w:line="440" w:lineRule="exact"/>
        <w:ind w:leftChars="114" w:left="239"/>
        <w:rPr>
          <w:rFonts w:ascii="宋体" w:eastAsia="宋体" w:hAnsi="宋体" w:cs="宋体"/>
          <w:sz w:val="24"/>
        </w:rPr>
      </w:pPr>
      <w:r w:rsidRPr="000B25E0">
        <w:rPr>
          <w:rFonts w:ascii="宋体" w:eastAsia="宋体" w:hAnsi="Calibri" w:cs="Times New Roman" w:hint="eastAsia"/>
          <w:b/>
          <w:kern w:val="0"/>
          <w:sz w:val="24"/>
        </w:rPr>
        <w:t>4.成绩构成及分值：</w:t>
      </w:r>
      <w:r w:rsidRPr="000B25E0">
        <w:rPr>
          <w:rFonts w:ascii="宋体" w:eastAsia="宋体" w:hAnsi="宋体" w:cs="宋体" w:hint="eastAsia"/>
          <w:sz w:val="24"/>
        </w:rPr>
        <w:t>成绩考核采用百分制，90分以上为优秀；80—89分为良好；70—79为中等；60—69为及格；60分以下为不及格。</w:t>
      </w:r>
    </w:p>
    <w:p w14:paraId="7B816C2B" w14:textId="77777777" w:rsidR="000B25E0" w:rsidRPr="000B25E0" w:rsidRDefault="000B25E0" w:rsidP="000B25E0">
      <w:pPr>
        <w:adjustRightInd w:val="0"/>
        <w:snapToGrid w:val="0"/>
        <w:spacing w:line="500" w:lineRule="exact"/>
        <w:ind w:firstLineChars="100" w:firstLine="241"/>
        <w:rPr>
          <w:rFonts w:ascii="Times New Roman" w:eastAsia="宋体" w:hAnsi="Times New Roman" w:cs="Times New Roman"/>
          <w:sz w:val="24"/>
        </w:rPr>
      </w:pPr>
      <w:r w:rsidRPr="000B25E0">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0B25E0" w:rsidRPr="000B25E0" w14:paraId="6092CD69" w14:textId="77777777" w:rsidTr="00BF5EF3">
        <w:tc>
          <w:tcPr>
            <w:tcW w:w="1008" w:type="dxa"/>
            <w:tcBorders>
              <w:top w:val="single" w:sz="4" w:space="0" w:color="auto"/>
              <w:left w:val="single" w:sz="4" w:space="0" w:color="auto"/>
              <w:bottom w:val="single" w:sz="4" w:space="0" w:color="auto"/>
              <w:right w:val="single" w:sz="4" w:space="0" w:color="auto"/>
            </w:tcBorders>
          </w:tcPr>
          <w:p w14:paraId="2F1FA8A8"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6C95F265"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60</w:t>
            </w:r>
            <w:r w:rsidRPr="000B25E0">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4F8103D4"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237CAEAA"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014570A6"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5FFF4F51"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90</w:t>
            </w:r>
            <w:r w:rsidRPr="000B25E0">
              <w:rPr>
                <w:rFonts w:ascii="Times New Roman" w:eastAsia="宋体" w:hAnsi="Times New Roman" w:cs="Times New Roman" w:hint="eastAsia"/>
                <w:sz w:val="24"/>
              </w:rPr>
              <w:t>以上</w:t>
            </w:r>
          </w:p>
        </w:tc>
      </w:tr>
      <w:tr w:rsidR="000B25E0" w:rsidRPr="000B25E0" w14:paraId="0BBA0421" w14:textId="77777777" w:rsidTr="00BF5EF3">
        <w:tc>
          <w:tcPr>
            <w:tcW w:w="1008" w:type="dxa"/>
            <w:tcBorders>
              <w:top w:val="single" w:sz="4" w:space="0" w:color="auto"/>
              <w:left w:val="single" w:sz="4" w:space="0" w:color="auto"/>
              <w:bottom w:val="single" w:sz="4" w:space="0" w:color="auto"/>
              <w:right w:val="single" w:sz="4" w:space="0" w:color="auto"/>
            </w:tcBorders>
          </w:tcPr>
          <w:p w14:paraId="7ADF2B87"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p w14:paraId="5E95D9F2"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评</w:t>
            </w:r>
          </w:p>
          <w:p w14:paraId="35D6F527"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分</w:t>
            </w:r>
          </w:p>
          <w:p w14:paraId="1287A3A6"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标</w:t>
            </w:r>
          </w:p>
          <w:p w14:paraId="789DDFE8"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5BA3C7DB"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规定体式和自选体式流程不规范，出现动作顺序错误、不能顺利地完成全套动作。</w:t>
            </w:r>
          </w:p>
          <w:p w14:paraId="35371113"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1C96CAB0"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体式展示缺乏表现力、感染力；节奏混乱；体式脱节，出现明显的喘息、憋气；自编套路中体式与音乐</w:t>
            </w:r>
            <w:proofErr w:type="gramStart"/>
            <w:r w:rsidRPr="000B25E0">
              <w:rPr>
                <w:rFonts w:ascii="Times New Roman" w:eastAsia="宋体" w:hAnsi="Times New Roman" w:cs="Times New Roman" w:hint="eastAsia"/>
                <w:sz w:val="24"/>
              </w:rPr>
              <w:t>不</w:t>
            </w:r>
            <w:proofErr w:type="gramEnd"/>
            <w:r w:rsidRPr="000B25E0">
              <w:rPr>
                <w:rFonts w:ascii="Times New Roman" w:eastAsia="宋体" w:hAnsi="Times New Roman" w:cs="Times New Roman" w:hint="eastAsia"/>
                <w:sz w:val="24"/>
              </w:rPr>
              <w:t>契合。</w:t>
            </w:r>
          </w:p>
        </w:tc>
        <w:tc>
          <w:tcPr>
            <w:tcW w:w="1425" w:type="dxa"/>
            <w:tcBorders>
              <w:top w:val="single" w:sz="4" w:space="0" w:color="auto"/>
              <w:left w:val="single" w:sz="4" w:space="0" w:color="auto"/>
              <w:bottom w:val="single" w:sz="4" w:space="0" w:color="auto"/>
              <w:right w:val="single" w:sz="4" w:space="0" w:color="auto"/>
            </w:tcBorders>
          </w:tcPr>
          <w:p w14:paraId="5FEA9209"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44F143C7"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76C20155"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体式展示富有表现力、感染力；节奏分明；体式连贯流畅，姿势优雅舒展；自编套路中体式与音乐契合。</w:t>
            </w:r>
          </w:p>
        </w:tc>
      </w:tr>
    </w:tbl>
    <w:p w14:paraId="7A3D2F57" w14:textId="77777777" w:rsidR="000B25E0" w:rsidRPr="000B25E0" w:rsidRDefault="000B25E0" w:rsidP="000B25E0">
      <w:pPr>
        <w:spacing w:beforeLines="50" w:before="156" w:afterLines="50" w:after="156" w:line="440" w:lineRule="exact"/>
        <w:jc w:val="center"/>
        <w:rPr>
          <w:rFonts w:ascii="Times New Roman" w:eastAsia="黑体" w:hAnsi="Times New Roman" w:cs="Times New Roman"/>
          <w:sz w:val="28"/>
          <w:szCs w:val="28"/>
        </w:rPr>
      </w:pPr>
      <w:r w:rsidRPr="000B25E0">
        <w:rPr>
          <w:rFonts w:ascii="Times New Roman" w:eastAsia="黑体" w:hAnsi="Times New Roman" w:cs="Times New Roman"/>
          <w:sz w:val="28"/>
          <w:szCs w:val="28"/>
        </w:rPr>
        <w:t>期末</w:t>
      </w:r>
      <w:r w:rsidRPr="000B25E0">
        <w:rPr>
          <w:rFonts w:ascii="Times New Roman" w:eastAsia="黑体" w:hAnsi="Times New Roman" w:cs="Times New Roman" w:hint="eastAsia"/>
          <w:sz w:val="28"/>
          <w:szCs w:val="28"/>
        </w:rPr>
        <w:t>考试</w:t>
      </w:r>
    </w:p>
    <w:p w14:paraId="184E1624" w14:textId="77777777" w:rsidR="000B25E0" w:rsidRPr="000B25E0" w:rsidRDefault="000B25E0" w:rsidP="000B25E0">
      <w:pPr>
        <w:spacing w:line="440" w:lineRule="exact"/>
        <w:ind w:firstLineChars="200" w:firstLine="482"/>
        <w:rPr>
          <w:rFonts w:ascii="宋体" w:eastAsia="宋体" w:hAnsi="Calibri" w:cs="Times New Roman"/>
          <w:bCs/>
          <w:kern w:val="0"/>
          <w:sz w:val="24"/>
        </w:rPr>
      </w:pPr>
      <w:r w:rsidRPr="000B25E0">
        <w:rPr>
          <w:rFonts w:ascii="宋体" w:eastAsia="宋体" w:hAnsi="Calibri" w:cs="Times New Roman" w:hint="eastAsia"/>
          <w:b/>
          <w:kern w:val="0"/>
          <w:sz w:val="24"/>
        </w:rPr>
        <w:t>1.课程考核目标:</w:t>
      </w:r>
      <w:r w:rsidRPr="000B25E0">
        <w:rPr>
          <w:rFonts w:ascii="Times New Roman" w:eastAsia="宋体" w:hAnsi="Times New Roman" w:cs="Times New Roman"/>
          <w:sz w:val="24"/>
        </w:rPr>
        <w:t>考察学生对于瑜伽基本技术的掌握情况</w:t>
      </w:r>
      <w:r w:rsidRPr="000B25E0">
        <w:rPr>
          <w:rFonts w:ascii="Times New Roman" w:eastAsia="宋体" w:hAnsi="Times New Roman" w:cs="Times New Roman" w:hint="eastAsia"/>
          <w:sz w:val="24"/>
        </w:rPr>
        <w:t>，</w:t>
      </w:r>
      <w:r w:rsidRPr="000B25E0">
        <w:rPr>
          <w:rFonts w:ascii="宋体" w:eastAsia="宋体" w:hAnsi="Calibri" w:cs="Times New Roman" w:hint="eastAsia"/>
          <w:bCs/>
          <w:kern w:val="0"/>
          <w:sz w:val="24"/>
        </w:rPr>
        <w:t>让学生了解选项课内容和科学体育锻炼方式方法。</w:t>
      </w:r>
    </w:p>
    <w:p w14:paraId="06B42E89" w14:textId="77777777" w:rsidR="000B25E0" w:rsidRPr="000B25E0" w:rsidRDefault="000B25E0" w:rsidP="000B25E0">
      <w:pPr>
        <w:adjustRightInd w:val="0"/>
        <w:snapToGrid w:val="0"/>
        <w:spacing w:line="500" w:lineRule="exact"/>
        <w:ind w:firstLineChars="200" w:firstLine="482"/>
        <w:rPr>
          <w:rFonts w:ascii="宋体" w:eastAsia="宋体" w:hAnsi="宋体" w:cs="宋体"/>
          <w:bCs/>
          <w:sz w:val="24"/>
        </w:rPr>
      </w:pPr>
      <w:r w:rsidRPr="000B25E0">
        <w:rPr>
          <w:rFonts w:ascii="宋体" w:eastAsia="宋体" w:hAnsi="Calibri" w:cs="Times New Roman" w:hint="eastAsia"/>
          <w:b/>
          <w:kern w:val="0"/>
          <w:sz w:val="24"/>
        </w:rPr>
        <w:t>2.课程考核的内容：</w:t>
      </w:r>
      <w:r w:rsidRPr="000B25E0">
        <w:rPr>
          <w:rFonts w:ascii="宋体" w:eastAsia="宋体" w:hAnsi="Calibri" w:cs="Times New Roman" w:hint="eastAsia"/>
          <w:bCs/>
          <w:kern w:val="0"/>
          <w:sz w:val="24"/>
        </w:rPr>
        <w:t>规定动作、体式串联</w:t>
      </w:r>
    </w:p>
    <w:p w14:paraId="4969EDE0" w14:textId="77777777" w:rsidR="000B25E0" w:rsidRPr="000B25E0" w:rsidRDefault="000B25E0" w:rsidP="000B25E0">
      <w:pPr>
        <w:spacing w:line="440" w:lineRule="exact"/>
        <w:ind w:firstLineChars="200" w:firstLine="482"/>
        <w:rPr>
          <w:rFonts w:ascii="宋体" w:eastAsia="宋体" w:hAnsi="宋体" w:cs="宋体"/>
          <w:sz w:val="24"/>
        </w:rPr>
      </w:pPr>
      <w:r w:rsidRPr="000B25E0">
        <w:rPr>
          <w:rFonts w:ascii="宋体" w:eastAsia="宋体" w:hAnsi="Calibri" w:cs="Times New Roman" w:hint="eastAsia"/>
          <w:b/>
          <w:kern w:val="0"/>
          <w:sz w:val="24"/>
        </w:rPr>
        <w:t>3.课程考核方式：</w:t>
      </w:r>
      <w:r w:rsidRPr="000B25E0">
        <w:rPr>
          <w:rFonts w:ascii="宋体" w:eastAsia="宋体" w:hAnsi="宋体" w:cs="宋体" w:hint="eastAsia"/>
          <w:sz w:val="24"/>
        </w:rPr>
        <w:t>学生自编套路表演，可自选音乐，也可用原音乐，时间为２分钟。主要以</w:t>
      </w:r>
      <w:r w:rsidRPr="000B25E0">
        <w:rPr>
          <w:rFonts w:ascii="Times New Roman" w:eastAsia="宋体" w:hAnsi="Times New Roman" w:cs="Times New Roman"/>
          <w:sz w:val="24"/>
        </w:rPr>
        <w:t>动作技术</w:t>
      </w:r>
      <w:r w:rsidRPr="000B25E0">
        <w:rPr>
          <w:rFonts w:ascii="Times New Roman" w:eastAsia="宋体" w:hAnsi="Times New Roman" w:cs="Times New Roman" w:hint="eastAsia"/>
          <w:sz w:val="24"/>
        </w:rPr>
        <w:t>完成情况、</w:t>
      </w:r>
      <w:r w:rsidRPr="000B25E0">
        <w:rPr>
          <w:rFonts w:ascii="Times New Roman" w:eastAsia="宋体" w:hAnsi="Times New Roman" w:cs="Times New Roman"/>
          <w:sz w:val="24"/>
        </w:rPr>
        <w:t>连贯程度、</w:t>
      </w:r>
      <w:r w:rsidRPr="000B25E0">
        <w:rPr>
          <w:rFonts w:ascii="Times New Roman" w:eastAsia="宋体" w:hAnsi="Times New Roman" w:cs="Times New Roman" w:hint="eastAsia"/>
          <w:sz w:val="24"/>
        </w:rPr>
        <w:t>身体控制、</w:t>
      </w:r>
      <w:r w:rsidRPr="000B25E0">
        <w:rPr>
          <w:rFonts w:ascii="Times New Roman" w:eastAsia="宋体" w:hAnsi="Times New Roman" w:cs="Times New Roman"/>
          <w:sz w:val="24"/>
        </w:rPr>
        <w:t>动作优美度</w:t>
      </w:r>
      <w:r w:rsidRPr="000B25E0">
        <w:rPr>
          <w:rFonts w:ascii="宋体" w:eastAsia="宋体" w:hAnsi="宋体" w:cs="宋体" w:hint="eastAsia"/>
          <w:sz w:val="24"/>
        </w:rPr>
        <w:t>等方面评分。</w:t>
      </w:r>
    </w:p>
    <w:p w14:paraId="7FD77560" w14:textId="77777777" w:rsidR="000B25E0" w:rsidRPr="000B25E0" w:rsidRDefault="000B25E0" w:rsidP="000B25E0">
      <w:pPr>
        <w:adjustRightInd w:val="0"/>
        <w:snapToGrid w:val="0"/>
        <w:spacing w:line="440" w:lineRule="exact"/>
        <w:ind w:firstLineChars="200" w:firstLine="482"/>
        <w:rPr>
          <w:rFonts w:ascii="宋体" w:eastAsia="宋体" w:hAnsi="宋体" w:cs="宋体"/>
          <w:sz w:val="24"/>
        </w:rPr>
      </w:pPr>
      <w:r w:rsidRPr="000B25E0">
        <w:rPr>
          <w:rFonts w:ascii="宋体" w:eastAsia="宋体" w:hAnsi="Calibri" w:cs="Times New Roman" w:hint="eastAsia"/>
          <w:b/>
          <w:kern w:val="0"/>
          <w:sz w:val="24"/>
        </w:rPr>
        <w:t>4.成绩构成及分值：</w:t>
      </w:r>
      <w:r w:rsidRPr="000B25E0">
        <w:rPr>
          <w:rFonts w:ascii="宋体" w:eastAsia="宋体" w:hAnsi="宋体" w:cs="宋体" w:hint="eastAsia"/>
          <w:sz w:val="24"/>
        </w:rPr>
        <w:t>成绩考核采用百分制，90分以上为优秀；80—89分为良好；70—79为中等；60—69为及格；60分以下为不及格。</w:t>
      </w:r>
    </w:p>
    <w:p w14:paraId="07BEDD43"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r w:rsidRPr="000B25E0">
        <w:rPr>
          <w:rFonts w:ascii="Calibri" w:eastAsia="宋体" w:hAnsi="Calibri" w:cs="Times New Roman" w:hint="eastAsia"/>
          <w:b/>
          <w:sz w:val="24"/>
        </w:rPr>
        <w:t>5.</w:t>
      </w:r>
      <w:r w:rsidRPr="000B25E0">
        <w:rPr>
          <w:rFonts w:ascii="Calibri" w:eastAsia="宋体" w:hAnsi="Calibri" w:cs="Times New Roman" w:hint="eastAsia"/>
          <w:b/>
          <w:sz w:val="24"/>
        </w:rPr>
        <w:t>技术动作评分标准：</w:t>
      </w:r>
    </w:p>
    <w:p w14:paraId="403B10B5" w14:textId="77777777" w:rsidR="000B25E0" w:rsidRPr="000B25E0" w:rsidRDefault="000B25E0" w:rsidP="000B25E0">
      <w:pPr>
        <w:adjustRightInd w:val="0"/>
        <w:snapToGrid w:val="0"/>
        <w:spacing w:line="500" w:lineRule="exact"/>
        <w:ind w:firstLineChars="200" w:firstLine="482"/>
        <w:rPr>
          <w:rFonts w:ascii="Calibri" w:eastAsia="宋体" w:hAnsi="Calibri" w:cs="Times New Roman"/>
          <w:b/>
          <w:sz w:val="24"/>
        </w:rPr>
      </w:pPr>
    </w:p>
    <w:p w14:paraId="34FCC087"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0B25E0" w:rsidRPr="000B25E0" w14:paraId="5E79E32D" w14:textId="77777777" w:rsidTr="00BF5EF3">
        <w:tc>
          <w:tcPr>
            <w:tcW w:w="1008" w:type="dxa"/>
            <w:tcBorders>
              <w:top w:val="single" w:sz="4" w:space="0" w:color="auto"/>
              <w:left w:val="single" w:sz="4" w:space="0" w:color="auto"/>
              <w:bottom w:val="single" w:sz="4" w:space="0" w:color="auto"/>
              <w:right w:val="single" w:sz="4" w:space="0" w:color="auto"/>
            </w:tcBorders>
          </w:tcPr>
          <w:p w14:paraId="5F72CD8A"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分</w:t>
            </w:r>
            <w:r w:rsidRPr="000B25E0">
              <w:rPr>
                <w:rFonts w:ascii="Times New Roman" w:eastAsia="宋体" w:hAnsi="Times New Roman" w:cs="Times New Roman" w:hint="eastAsia"/>
                <w:sz w:val="24"/>
              </w:rPr>
              <w:lastRenderedPageBreak/>
              <w:t>值</w:t>
            </w:r>
          </w:p>
        </w:tc>
        <w:tc>
          <w:tcPr>
            <w:tcW w:w="1838" w:type="dxa"/>
            <w:tcBorders>
              <w:top w:val="single" w:sz="4" w:space="0" w:color="auto"/>
              <w:left w:val="single" w:sz="4" w:space="0" w:color="auto"/>
              <w:bottom w:val="single" w:sz="4" w:space="0" w:color="auto"/>
              <w:right w:val="single" w:sz="4" w:space="0" w:color="auto"/>
            </w:tcBorders>
          </w:tcPr>
          <w:p w14:paraId="52440072"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lastRenderedPageBreak/>
              <w:t>60</w:t>
            </w:r>
            <w:r w:rsidRPr="000B25E0">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15D20309"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34CB4025"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7468970B"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6B776566"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90</w:t>
            </w:r>
            <w:r w:rsidRPr="000B25E0">
              <w:rPr>
                <w:rFonts w:ascii="Times New Roman" w:eastAsia="宋体" w:hAnsi="Times New Roman" w:cs="Times New Roman" w:hint="eastAsia"/>
                <w:sz w:val="24"/>
              </w:rPr>
              <w:t>以</w:t>
            </w:r>
            <w:r w:rsidRPr="000B25E0">
              <w:rPr>
                <w:rFonts w:ascii="Times New Roman" w:eastAsia="宋体" w:hAnsi="Times New Roman" w:cs="Times New Roman" w:hint="eastAsia"/>
                <w:sz w:val="24"/>
              </w:rPr>
              <w:lastRenderedPageBreak/>
              <w:t>上</w:t>
            </w:r>
          </w:p>
        </w:tc>
      </w:tr>
      <w:tr w:rsidR="000B25E0" w:rsidRPr="000B25E0" w14:paraId="41E58E81" w14:textId="77777777" w:rsidTr="00BF5EF3">
        <w:tc>
          <w:tcPr>
            <w:tcW w:w="1008" w:type="dxa"/>
            <w:tcBorders>
              <w:top w:val="single" w:sz="4" w:space="0" w:color="auto"/>
              <w:left w:val="single" w:sz="4" w:space="0" w:color="auto"/>
              <w:bottom w:val="single" w:sz="4" w:space="0" w:color="auto"/>
              <w:right w:val="single" w:sz="4" w:space="0" w:color="auto"/>
            </w:tcBorders>
          </w:tcPr>
          <w:p w14:paraId="050D2F8F"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p w14:paraId="65E63E3D"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评</w:t>
            </w:r>
          </w:p>
          <w:p w14:paraId="4CEE9A54"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分</w:t>
            </w:r>
          </w:p>
          <w:p w14:paraId="78A35F21"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标</w:t>
            </w:r>
          </w:p>
          <w:p w14:paraId="2E85744B"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50CB2C19"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规定体式和自选体式流程不规范，出现动作顺序错误、不能顺利地完成全套动作。</w:t>
            </w:r>
          </w:p>
          <w:p w14:paraId="1D67A688" w14:textId="77777777" w:rsidR="000B25E0" w:rsidRPr="000B25E0" w:rsidRDefault="000B25E0" w:rsidP="000B25E0">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2C6C7504"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体式展示缺乏表现力、感染力；节奏混乱；体式脱节，出现明显的喘息、憋气；自编套路中体式与音乐</w:t>
            </w:r>
            <w:proofErr w:type="gramStart"/>
            <w:r w:rsidRPr="000B25E0">
              <w:rPr>
                <w:rFonts w:ascii="Times New Roman" w:eastAsia="宋体" w:hAnsi="Times New Roman" w:cs="Times New Roman" w:hint="eastAsia"/>
                <w:sz w:val="24"/>
              </w:rPr>
              <w:t>不</w:t>
            </w:r>
            <w:proofErr w:type="gramEnd"/>
            <w:r w:rsidRPr="000B25E0">
              <w:rPr>
                <w:rFonts w:ascii="Times New Roman" w:eastAsia="宋体" w:hAnsi="Times New Roman" w:cs="Times New Roman" w:hint="eastAsia"/>
                <w:sz w:val="24"/>
              </w:rPr>
              <w:t>契合。</w:t>
            </w:r>
          </w:p>
        </w:tc>
        <w:tc>
          <w:tcPr>
            <w:tcW w:w="1425" w:type="dxa"/>
            <w:tcBorders>
              <w:top w:val="single" w:sz="4" w:space="0" w:color="auto"/>
              <w:left w:val="single" w:sz="4" w:space="0" w:color="auto"/>
              <w:bottom w:val="single" w:sz="4" w:space="0" w:color="auto"/>
              <w:right w:val="single" w:sz="4" w:space="0" w:color="auto"/>
            </w:tcBorders>
          </w:tcPr>
          <w:p w14:paraId="57D1EA7A"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2B1D23DC"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17F58B16" w14:textId="77777777" w:rsidR="000B25E0" w:rsidRPr="000B25E0" w:rsidRDefault="000B25E0" w:rsidP="000B25E0">
            <w:pPr>
              <w:spacing w:line="440" w:lineRule="exact"/>
              <w:rPr>
                <w:rFonts w:ascii="Times New Roman" w:eastAsia="宋体" w:hAnsi="Times New Roman" w:cs="Times New Roman"/>
                <w:sz w:val="24"/>
              </w:rPr>
            </w:pPr>
            <w:r w:rsidRPr="000B25E0">
              <w:rPr>
                <w:rFonts w:ascii="Times New Roman" w:eastAsia="宋体" w:hAnsi="Times New Roman" w:cs="Times New Roman" w:hint="eastAsia"/>
                <w:sz w:val="24"/>
              </w:rPr>
              <w:t>体式展示富有表现力、感染力；节奏分明；体式连贯流畅，姿势优雅舒展；自编套路中体式与音乐契合。</w:t>
            </w:r>
          </w:p>
        </w:tc>
      </w:tr>
    </w:tbl>
    <w:p w14:paraId="1E98B798" w14:textId="77777777" w:rsidR="000B25E0" w:rsidRPr="000B25E0" w:rsidRDefault="000B25E0" w:rsidP="000B25E0">
      <w:pPr>
        <w:spacing w:beforeLines="50" w:before="156" w:afterLines="50" w:after="156" w:line="440" w:lineRule="exact"/>
        <w:rPr>
          <w:rFonts w:ascii="Times New Roman" w:eastAsia="黑体" w:hAnsi="Times New Roman" w:cs="Times New Roman"/>
          <w:sz w:val="28"/>
          <w:szCs w:val="28"/>
        </w:rPr>
      </w:pPr>
    </w:p>
    <w:p w14:paraId="63C7F5B1" w14:textId="77777777" w:rsidR="000B25E0" w:rsidRPr="000B25E0" w:rsidRDefault="000B25E0" w:rsidP="000B25E0">
      <w:pPr>
        <w:spacing w:beforeLines="50" w:before="156" w:afterLines="50" w:after="156" w:line="440" w:lineRule="exact"/>
        <w:ind w:firstLineChars="200" w:firstLine="560"/>
        <w:rPr>
          <w:rFonts w:ascii="Times New Roman" w:eastAsia="宋体" w:hAnsi="Times New Roman" w:cs="Times New Roman"/>
          <w:sz w:val="24"/>
        </w:rPr>
      </w:pPr>
      <w:r w:rsidRPr="000B25E0">
        <w:rPr>
          <w:rFonts w:ascii="Times New Roman" w:eastAsia="黑体" w:hAnsi="Times New Roman" w:cs="Times New Roman"/>
          <w:sz w:val="28"/>
          <w:szCs w:val="28"/>
        </w:rPr>
        <w:t>六、使用教材、相关推荐书目及课程资源</w:t>
      </w:r>
    </w:p>
    <w:p w14:paraId="09297F57" w14:textId="77777777" w:rsidR="000B25E0" w:rsidRPr="000B25E0" w:rsidRDefault="000B25E0" w:rsidP="000B25E0">
      <w:pPr>
        <w:spacing w:line="440" w:lineRule="exact"/>
        <w:ind w:firstLineChars="200" w:firstLine="560"/>
        <w:rPr>
          <w:rFonts w:ascii="Times New Roman" w:eastAsia="宋体" w:hAnsi="Times New Roman" w:cs="Times New Roman"/>
          <w:sz w:val="24"/>
        </w:rPr>
      </w:pPr>
      <w:r w:rsidRPr="000B25E0">
        <w:rPr>
          <w:rFonts w:ascii="Times New Roman" w:eastAsia="黑体" w:hAnsi="Times New Roman" w:cs="Times New Roman"/>
          <w:sz w:val="28"/>
          <w:szCs w:val="28"/>
        </w:rPr>
        <w:t>（一）使用教材</w:t>
      </w:r>
    </w:p>
    <w:p w14:paraId="1806DFA2"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 xml:space="preserve">1. </w:t>
      </w:r>
      <w:r w:rsidRPr="000B25E0">
        <w:rPr>
          <w:rFonts w:ascii="Times New Roman" w:eastAsia="宋体" w:hAnsi="Times New Roman" w:cs="Times New Roman"/>
          <w:sz w:val="24"/>
        </w:rPr>
        <w:t>1.</w:t>
      </w:r>
      <w:r w:rsidRPr="000B25E0">
        <w:rPr>
          <w:rFonts w:ascii="Times New Roman" w:eastAsia="宋体" w:hAnsi="Times New Roman" w:cs="Times New Roman" w:hint="eastAsia"/>
          <w:sz w:val="24"/>
        </w:rPr>
        <w:t xml:space="preserve"> </w:t>
      </w:r>
      <w:proofErr w:type="gramStart"/>
      <w:r w:rsidRPr="000B25E0">
        <w:rPr>
          <w:rFonts w:ascii="Times New Roman" w:eastAsia="宋体" w:hAnsi="Times New Roman" w:cs="Times New Roman"/>
          <w:sz w:val="24"/>
        </w:rPr>
        <w:t>王韵主编</w:t>
      </w:r>
      <w:proofErr w:type="gramEnd"/>
      <w:r w:rsidRPr="000B25E0">
        <w:rPr>
          <w:rFonts w:ascii="Times New Roman" w:eastAsia="宋体" w:hAnsi="Times New Roman" w:cs="Times New Roman"/>
          <w:sz w:val="24"/>
        </w:rPr>
        <w:t>：《健身瑜伽》，北京体育大学出版社，</w:t>
      </w:r>
      <w:r w:rsidRPr="000B25E0">
        <w:rPr>
          <w:rFonts w:ascii="Times New Roman" w:eastAsia="宋体" w:hAnsi="Times New Roman" w:cs="Times New Roman"/>
          <w:sz w:val="24"/>
        </w:rPr>
        <w:t>2003</w:t>
      </w:r>
      <w:r w:rsidRPr="000B25E0">
        <w:rPr>
          <w:rFonts w:ascii="Times New Roman" w:eastAsia="宋体" w:hAnsi="Times New Roman" w:cs="Times New Roman"/>
          <w:sz w:val="24"/>
        </w:rPr>
        <w:t>版；</w:t>
      </w:r>
    </w:p>
    <w:p w14:paraId="5ABE1813" w14:textId="77777777" w:rsidR="000B25E0" w:rsidRPr="000B25E0" w:rsidRDefault="000B25E0" w:rsidP="000B25E0">
      <w:pPr>
        <w:spacing w:line="440" w:lineRule="exact"/>
        <w:ind w:firstLineChars="200" w:firstLine="560"/>
        <w:rPr>
          <w:rFonts w:ascii="Times New Roman" w:eastAsia="宋体" w:hAnsi="Times New Roman" w:cs="Times New Roman"/>
          <w:sz w:val="24"/>
        </w:rPr>
      </w:pPr>
      <w:r w:rsidRPr="000B25E0">
        <w:rPr>
          <w:rFonts w:ascii="Times New Roman" w:eastAsia="黑体" w:hAnsi="Times New Roman" w:cs="Times New Roman"/>
          <w:sz w:val="28"/>
          <w:szCs w:val="28"/>
        </w:rPr>
        <w:t>（二）相关推荐书目</w:t>
      </w:r>
    </w:p>
    <w:p w14:paraId="49AE8305"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1</w:t>
      </w:r>
      <w:r w:rsidRPr="000B25E0">
        <w:rPr>
          <w:rFonts w:ascii="Times New Roman" w:eastAsia="宋体" w:hAnsi="Times New Roman" w:cs="Times New Roman"/>
          <w:sz w:val="24"/>
        </w:rPr>
        <w:t>.</w:t>
      </w:r>
      <w:r w:rsidRPr="000B25E0">
        <w:rPr>
          <w:rFonts w:ascii="Times New Roman" w:eastAsia="宋体" w:hAnsi="Times New Roman" w:cs="Times New Roman" w:hint="eastAsia"/>
          <w:sz w:val="24"/>
        </w:rPr>
        <w:t xml:space="preserve"> </w:t>
      </w:r>
      <w:r w:rsidRPr="000B25E0">
        <w:rPr>
          <w:rFonts w:ascii="Times New Roman" w:eastAsia="宋体" w:hAnsi="Times New Roman" w:cs="Times New Roman"/>
          <w:sz w:val="24"/>
        </w:rPr>
        <w:t>张蕙兰主编：《瑜伽的赠予》，人民体育出版社出版社，</w:t>
      </w:r>
      <w:r w:rsidRPr="000B25E0">
        <w:rPr>
          <w:rFonts w:ascii="Times New Roman" w:eastAsia="宋体" w:hAnsi="Times New Roman" w:cs="Times New Roman"/>
          <w:sz w:val="24"/>
        </w:rPr>
        <w:t>2006</w:t>
      </w:r>
      <w:r w:rsidRPr="000B25E0">
        <w:rPr>
          <w:rFonts w:ascii="Times New Roman" w:eastAsia="宋体" w:hAnsi="Times New Roman" w:cs="Times New Roman"/>
          <w:sz w:val="24"/>
        </w:rPr>
        <w:t>版；</w:t>
      </w:r>
    </w:p>
    <w:p w14:paraId="46E522CB"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hint="eastAsia"/>
          <w:sz w:val="24"/>
        </w:rPr>
        <w:t>2</w:t>
      </w:r>
      <w:r w:rsidRPr="000B25E0">
        <w:rPr>
          <w:rFonts w:ascii="Times New Roman" w:eastAsia="宋体" w:hAnsi="Times New Roman" w:cs="Times New Roman"/>
          <w:sz w:val="24"/>
        </w:rPr>
        <w:t>.</w:t>
      </w:r>
      <w:r w:rsidRPr="000B25E0">
        <w:rPr>
          <w:rFonts w:ascii="Times New Roman" w:eastAsia="宋体" w:hAnsi="Times New Roman" w:cs="Times New Roman" w:hint="eastAsia"/>
          <w:sz w:val="24"/>
        </w:rPr>
        <w:t xml:space="preserve"> </w:t>
      </w:r>
      <w:r w:rsidRPr="000B25E0">
        <w:rPr>
          <w:rFonts w:ascii="Times New Roman" w:eastAsia="宋体" w:hAnsi="Times New Roman" w:cs="Times New Roman"/>
          <w:sz w:val="24"/>
        </w:rPr>
        <w:t>海伦塔登特主编：《美丽普拉提》，世界图书出版公司，</w:t>
      </w:r>
      <w:r w:rsidRPr="000B25E0">
        <w:rPr>
          <w:rFonts w:ascii="Times New Roman" w:eastAsia="宋体" w:hAnsi="Times New Roman" w:cs="Times New Roman"/>
          <w:sz w:val="24"/>
        </w:rPr>
        <w:t>2006</w:t>
      </w:r>
      <w:r w:rsidRPr="000B25E0">
        <w:rPr>
          <w:rFonts w:ascii="Times New Roman" w:eastAsia="宋体" w:hAnsi="Times New Roman" w:cs="Times New Roman"/>
          <w:sz w:val="24"/>
        </w:rPr>
        <w:t>版。</w:t>
      </w:r>
    </w:p>
    <w:p w14:paraId="5F74A6A0" w14:textId="77777777" w:rsidR="000B25E0" w:rsidRPr="000B25E0" w:rsidRDefault="000B25E0" w:rsidP="000B25E0">
      <w:pPr>
        <w:spacing w:beforeLines="50" w:before="156" w:afterLines="50" w:after="156" w:line="440" w:lineRule="exact"/>
        <w:ind w:firstLineChars="200" w:firstLine="560"/>
        <w:rPr>
          <w:rFonts w:ascii="Times New Roman" w:eastAsia="黑体" w:hAnsi="Times New Roman" w:cs="Times New Roman"/>
          <w:sz w:val="28"/>
          <w:szCs w:val="28"/>
        </w:rPr>
      </w:pPr>
      <w:r w:rsidRPr="000B25E0">
        <w:rPr>
          <w:rFonts w:ascii="Times New Roman" w:eastAsia="黑体" w:hAnsi="Times New Roman" w:cs="Times New Roman"/>
          <w:sz w:val="28"/>
          <w:szCs w:val="28"/>
        </w:rPr>
        <w:t>（三）课程资源</w:t>
      </w:r>
    </w:p>
    <w:p w14:paraId="19294303" w14:textId="77777777" w:rsidR="000B25E0" w:rsidRPr="000B25E0" w:rsidRDefault="000B25E0" w:rsidP="000B25E0">
      <w:pPr>
        <w:spacing w:line="440" w:lineRule="exact"/>
        <w:ind w:firstLineChars="200" w:firstLine="480"/>
        <w:rPr>
          <w:rFonts w:ascii="Times New Roman" w:eastAsia="宋体" w:hAnsi="Times New Roman" w:cs="Times New Roman"/>
          <w:sz w:val="24"/>
        </w:rPr>
      </w:pPr>
      <w:r w:rsidRPr="000B25E0">
        <w:rPr>
          <w:rFonts w:ascii="Times New Roman" w:eastAsia="宋体" w:hAnsi="Times New Roman" w:cs="Times New Roman"/>
          <w:sz w:val="24"/>
        </w:rPr>
        <w:t>本课程通过课堂教学和学生实践来完成学习，可充分利用网络数据库资源，如知网、维普网、</w:t>
      </w:r>
      <w:proofErr w:type="spellStart"/>
      <w:r w:rsidRPr="000B25E0">
        <w:rPr>
          <w:rFonts w:ascii="Times New Roman" w:eastAsia="宋体" w:hAnsi="Times New Roman" w:cs="Times New Roman"/>
          <w:sz w:val="24"/>
        </w:rPr>
        <w:t>pubmed</w:t>
      </w:r>
      <w:proofErr w:type="spellEnd"/>
      <w:r w:rsidRPr="000B25E0">
        <w:rPr>
          <w:rFonts w:ascii="Times New Roman" w:eastAsia="宋体" w:hAnsi="Times New Roman" w:cs="Times New Roman"/>
          <w:sz w:val="24"/>
        </w:rPr>
        <w:t>、</w:t>
      </w:r>
      <w:proofErr w:type="spellStart"/>
      <w:r w:rsidRPr="000B25E0">
        <w:rPr>
          <w:rFonts w:ascii="Times New Roman" w:eastAsia="宋体" w:hAnsi="Times New Roman" w:cs="Times New Roman"/>
          <w:sz w:val="24"/>
        </w:rPr>
        <w:t>elvisier</w:t>
      </w:r>
      <w:proofErr w:type="spellEnd"/>
      <w:r w:rsidRPr="000B25E0">
        <w:rPr>
          <w:rFonts w:ascii="Times New Roman" w:eastAsia="宋体" w:hAnsi="Times New Roman" w:cs="Times New Roman"/>
          <w:sz w:val="24"/>
        </w:rPr>
        <w:t>等。</w:t>
      </w:r>
    </w:p>
    <w:p w14:paraId="5EFC795E" w14:textId="77777777" w:rsidR="000B25E0" w:rsidRPr="000B25E0" w:rsidRDefault="000D2337" w:rsidP="000D2337">
      <w:pPr>
        <w:spacing w:beforeLines="50" w:before="156" w:afterLines="50" w:after="156" w:line="440" w:lineRule="exact"/>
        <w:ind w:left="560"/>
        <w:rPr>
          <w:rFonts w:ascii="Times New Roman" w:eastAsia="黑体" w:hAnsi="Times New Roman" w:cs="Times New Roman"/>
          <w:sz w:val="28"/>
          <w:szCs w:val="28"/>
        </w:rPr>
      </w:pPr>
      <w:r>
        <w:rPr>
          <w:rFonts w:ascii="Times New Roman" w:eastAsia="黑体" w:hAnsi="Times New Roman" w:cs="Times New Roman" w:hint="eastAsia"/>
          <w:sz w:val="28"/>
          <w:szCs w:val="28"/>
          <w:highlight w:val="lightGray"/>
        </w:rPr>
        <w:t>七、</w:t>
      </w:r>
      <w:r w:rsidR="000B25E0" w:rsidRPr="000B25E0">
        <w:rPr>
          <w:rFonts w:ascii="Times New Roman" w:eastAsia="黑体" w:hAnsi="Times New Roman" w:cs="Times New Roman"/>
          <w:sz w:val="28"/>
          <w:szCs w:val="28"/>
        </w:rPr>
        <w:t>课程大纲制定依据</w:t>
      </w:r>
    </w:p>
    <w:p w14:paraId="16C8FC98" w14:textId="77777777" w:rsidR="000B25E0" w:rsidRPr="000B25E0" w:rsidRDefault="000B25E0" w:rsidP="000B25E0">
      <w:pPr>
        <w:spacing w:beforeLines="50" w:before="156" w:afterLines="50" w:after="156" w:line="440" w:lineRule="exact"/>
        <w:ind w:firstLineChars="200" w:firstLine="480"/>
        <w:rPr>
          <w:rFonts w:ascii="Times New Roman" w:eastAsia="黑体" w:hAnsi="Times New Roman" w:cs="Times New Roman"/>
          <w:sz w:val="28"/>
          <w:szCs w:val="28"/>
        </w:rPr>
      </w:pPr>
      <w:r w:rsidRPr="000B25E0">
        <w:rPr>
          <w:rFonts w:ascii="Times New Roman" w:eastAsia="宋体" w:hAnsi="Times New Roman" w:cs="Times New Roman"/>
          <w:sz w:val="24"/>
        </w:rPr>
        <w:t>本课程大纲依据</w:t>
      </w:r>
      <w:r w:rsidRPr="000B25E0">
        <w:rPr>
          <w:rFonts w:ascii="Times New Roman" w:eastAsia="宋体" w:hAnsi="Times New Roman" w:cs="Times New Roman"/>
          <w:sz w:val="24"/>
        </w:rPr>
        <w:t>20</w:t>
      </w:r>
      <w:r w:rsidRPr="000B25E0">
        <w:rPr>
          <w:rFonts w:ascii="Times New Roman" w:eastAsia="宋体" w:hAnsi="Times New Roman" w:cs="Times New Roman" w:hint="eastAsia"/>
          <w:sz w:val="24"/>
        </w:rPr>
        <w:t>23</w:t>
      </w:r>
      <w:r w:rsidRPr="000B25E0">
        <w:rPr>
          <w:rFonts w:ascii="Times New Roman" w:eastAsia="宋体" w:hAnsi="Times New Roman" w:cs="Times New Roman" w:hint="eastAsia"/>
          <w:sz w:val="24"/>
        </w:rPr>
        <w:t>级</w:t>
      </w:r>
      <w:r w:rsidRPr="000B25E0">
        <w:rPr>
          <w:rFonts w:ascii="Times New Roman" w:eastAsia="宋体" w:hAnsi="Times New Roman" w:cs="Times New Roman"/>
          <w:sz w:val="24"/>
        </w:rPr>
        <w:t>人才培养方案</w:t>
      </w:r>
      <w:r w:rsidR="002E4147">
        <w:rPr>
          <w:rFonts w:ascii="Times New Roman" w:eastAsia="宋体" w:hAnsi="Times New Roman" w:cs="Times New Roman" w:hint="eastAsia"/>
          <w:sz w:val="24"/>
        </w:rPr>
        <w:t>药物分析专业</w:t>
      </w:r>
      <w:r w:rsidRPr="000B25E0">
        <w:rPr>
          <w:rFonts w:ascii="Times New Roman" w:eastAsia="宋体" w:hAnsi="Times New Roman" w:cs="Times New Roman"/>
          <w:sz w:val="24"/>
        </w:rPr>
        <w:t>制定。</w:t>
      </w:r>
    </w:p>
    <w:p w14:paraId="2F3E5808" w14:textId="77777777" w:rsidR="00895319" w:rsidRDefault="00895319">
      <w:pPr>
        <w:widowControl/>
        <w:jc w:val="left"/>
        <w:rPr>
          <w:rFonts w:ascii="Calibri" w:eastAsia="宋体" w:hAnsi="Calibri" w:cs="Times New Roman"/>
          <w:bCs/>
          <w:lang w:val="zh-CN"/>
        </w:rPr>
      </w:pPr>
      <w:bookmarkStart w:id="79" w:name="_Toc149662348"/>
      <w:r>
        <w:rPr>
          <w:rFonts w:ascii="Calibri" w:hAnsi="Calibri" w:cs="Times New Roman"/>
          <w:b/>
          <w:bCs/>
          <w:lang w:val="zh-CN"/>
        </w:rPr>
        <w:br w:type="page"/>
      </w:r>
    </w:p>
    <w:p w14:paraId="2472A8C1" w14:textId="0DB68CA5" w:rsidR="00800011" w:rsidRPr="00800011" w:rsidRDefault="00800011" w:rsidP="00870B51">
      <w:pPr>
        <w:pStyle w:val="1"/>
        <w:rPr>
          <w:rFonts w:ascii="宋体" w:cs="宋体"/>
          <w:spacing w:val="5"/>
          <w:sz w:val="24"/>
        </w:rPr>
      </w:pPr>
      <w:r w:rsidRPr="00800011">
        <w:rPr>
          <w:rFonts w:hint="eastAsia"/>
        </w:rPr>
        <w:lastRenderedPageBreak/>
        <w:t>《</w:t>
      </w:r>
      <w:r w:rsidR="003C75C2">
        <w:rPr>
          <w:rFonts w:hint="eastAsia"/>
        </w:rPr>
        <w:t>大</w:t>
      </w:r>
      <w:r w:rsidRPr="00800011">
        <w:rPr>
          <w:rFonts w:hint="eastAsia"/>
        </w:rPr>
        <w:t>学生体质健康标准》说明</w:t>
      </w:r>
      <w:bookmarkEnd w:id="79"/>
    </w:p>
    <w:p w14:paraId="5DC0B1A1" w14:textId="77777777" w:rsidR="00800011" w:rsidRPr="00800011" w:rsidRDefault="00800011" w:rsidP="00800011">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800011">
        <w:rPr>
          <w:rFonts w:ascii="Calibri" w:eastAsia="宋体" w:hAnsi="Calibri" w:cs="宋体" w:hint="eastAsia"/>
          <w:b/>
          <w:bCs/>
          <w:sz w:val="28"/>
          <w:szCs w:val="28"/>
        </w:rPr>
        <w:t>一、测试简介</w:t>
      </w:r>
    </w:p>
    <w:p w14:paraId="446B4C33"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63570AC8"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800011">
        <w:rPr>
          <w:rFonts w:ascii="宋体" w:eastAsia="宋体" w:hAnsi="Calibri" w:cs="宋体" w:hint="eastAsia"/>
          <w:spacing w:val="5"/>
          <w:kern w:val="0"/>
          <w:sz w:val="24"/>
        </w:rPr>
        <w:t>教体艺</w:t>
      </w:r>
      <w:proofErr w:type="gramEnd"/>
      <w:r w:rsidRPr="00800011">
        <w:rPr>
          <w:rFonts w:ascii="宋体" w:eastAsia="宋体" w:hAnsi="Calibri" w:cs="宋体" w:hint="eastAsia"/>
          <w:spacing w:val="5"/>
          <w:kern w:val="0"/>
          <w:sz w:val="24"/>
        </w:rPr>
        <w:t>〔2014〕3号）有关要求，着重提高《标准》应用的信度、效度和区分度，着重强化其教育激励、反馈调整和引导锻炼的功能，着重提高其教育监测和绩效评价的支撑能力。</w:t>
      </w:r>
    </w:p>
    <w:p w14:paraId="1D4574B9"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0C9B9D6D"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4.本标准将适用对象划分为以下组别：大学一、二年级为一组，三、四年级为一组。</w:t>
      </w:r>
    </w:p>
    <w:p w14:paraId="48F30543"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2E1DAAB1"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w:t>
      </w:r>
      <w:proofErr w:type="gramStart"/>
      <w:r w:rsidRPr="00800011">
        <w:rPr>
          <w:rFonts w:ascii="宋体" w:eastAsia="宋体" w:hAnsi="Calibri" w:cs="宋体" w:hint="eastAsia"/>
          <w:spacing w:val="5"/>
          <w:kern w:val="0"/>
          <w:sz w:val="24"/>
        </w:rPr>
        <w:t>分根据</w:t>
      </w:r>
      <w:proofErr w:type="gramEnd"/>
      <w:r w:rsidRPr="00800011">
        <w:rPr>
          <w:rFonts w:ascii="宋体" w:eastAsia="宋体" w:hAnsi="Calibri" w:cs="宋体" w:hint="eastAsia"/>
          <w:spacing w:val="5"/>
          <w:kern w:val="0"/>
          <w:sz w:val="24"/>
        </w:rPr>
        <w:t>实测成绩确定，即对成绩超过100分的加分指标进行加分，满分为20分；大学的加分指标为男生引体向上和1000米跑，女生1分钟仰卧起坐和800米跑，各指标加分幅度均为</w:t>
      </w:r>
      <w:r w:rsidRPr="00800011">
        <w:rPr>
          <w:rFonts w:ascii="宋体" w:eastAsia="宋体" w:hAnsi="Calibri" w:cs="宋体" w:hint="eastAsia"/>
          <w:spacing w:val="5"/>
          <w:kern w:val="0"/>
          <w:sz w:val="24"/>
        </w:rPr>
        <w:lastRenderedPageBreak/>
        <w:t>10分。</w:t>
      </w:r>
    </w:p>
    <w:p w14:paraId="432A097D"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7．根据学生学年总分评定等级：90.0分及以上为优秀，80.0～89.9分为良好，60.0～79.9分为及格，59.9分及以下为不及格。</w:t>
      </w:r>
    </w:p>
    <w:p w14:paraId="3EBADB4C"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217BD91D"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2744F398"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1B41E1B1"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w:t>
      </w:r>
      <w:proofErr w:type="gramStart"/>
      <w:r w:rsidRPr="00800011">
        <w:rPr>
          <w:rFonts w:ascii="宋体" w:eastAsia="宋体" w:hAnsi="Calibri" w:cs="宋体" w:hint="eastAsia"/>
          <w:spacing w:val="5"/>
          <w:kern w:val="0"/>
          <w:sz w:val="24"/>
        </w:rPr>
        <w:t>传时间</w:t>
      </w:r>
      <w:proofErr w:type="gramEnd"/>
      <w:r w:rsidRPr="00800011">
        <w:rPr>
          <w:rFonts w:ascii="宋体" w:eastAsia="宋体" w:hAnsi="Calibri" w:cs="宋体" w:hint="eastAsia"/>
          <w:spacing w:val="5"/>
          <w:kern w:val="0"/>
          <w:sz w:val="24"/>
        </w:rPr>
        <w:t>由教育行政部门确定。</w:t>
      </w:r>
    </w:p>
    <w:p w14:paraId="497C041D"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12．本标准按教育部相关文件执行。</w:t>
      </w:r>
    </w:p>
    <w:p w14:paraId="35B6AAF2" w14:textId="77777777" w:rsidR="00800011" w:rsidRPr="00800011" w:rsidRDefault="00800011" w:rsidP="00800011">
      <w:pPr>
        <w:adjustRightInd w:val="0"/>
        <w:snapToGrid w:val="0"/>
        <w:spacing w:line="500" w:lineRule="exact"/>
        <w:ind w:firstLineChars="200" w:firstLine="562"/>
        <w:rPr>
          <w:rFonts w:ascii="仿宋_GB2312" w:eastAsia="仿宋_GB2312" w:hAnsi="Calibri" w:cs="Times New Roman"/>
          <w:sz w:val="28"/>
          <w:szCs w:val="28"/>
        </w:rPr>
      </w:pPr>
      <w:r w:rsidRPr="00800011">
        <w:rPr>
          <w:rFonts w:ascii="宋体" w:eastAsia="宋体" w:hAnsi="宋体" w:cs="宋体" w:hint="eastAsia"/>
          <w:b/>
          <w:bCs/>
          <w:kern w:val="0"/>
          <w:sz w:val="28"/>
          <w:szCs w:val="28"/>
        </w:rPr>
        <w:t>二、</w:t>
      </w:r>
      <w:r w:rsidRPr="00800011">
        <w:rPr>
          <w:rFonts w:ascii="宋体" w:eastAsia="宋体" w:hAnsi="宋体" w:cs="宋体" w:hint="eastAsia"/>
          <w:b/>
          <w:bCs/>
          <w:sz w:val="28"/>
          <w:szCs w:val="28"/>
        </w:rPr>
        <w:t>测试内容：</w:t>
      </w:r>
    </w:p>
    <w:p w14:paraId="3BC8DAA9" w14:textId="77777777" w:rsidR="00800011" w:rsidRPr="00800011" w:rsidRDefault="00800011" w:rsidP="00800011">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800011">
        <w:rPr>
          <w:rFonts w:ascii="宋体" w:eastAsia="宋体" w:hAnsi="Calibri" w:cs="宋体" w:hint="eastAsia"/>
          <w:spacing w:val="5"/>
          <w:kern w:val="0"/>
          <w:sz w:val="24"/>
        </w:rPr>
        <w:t>身高与体重、肺活量、坐位体前屈、50米、立定跳远、引体向上（男生）、仰卧起坐（女生）、1000米（男生）、800米（女生）。</w:t>
      </w:r>
    </w:p>
    <w:p w14:paraId="23794995" w14:textId="77777777" w:rsidR="00800011" w:rsidRPr="00800011" w:rsidRDefault="00800011" w:rsidP="008000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800011">
        <w:rPr>
          <w:rFonts w:ascii="宋体" w:eastAsia="宋体" w:hAnsi="宋体" w:cs="宋体" w:hint="eastAsia"/>
          <w:b/>
          <w:bCs/>
          <w:kern w:val="0"/>
          <w:sz w:val="28"/>
          <w:szCs w:val="28"/>
        </w:rPr>
        <w:t>三、</w:t>
      </w:r>
      <w:r w:rsidRPr="00800011">
        <w:rPr>
          <w:rFonts w:ascii="宋体" w:eastAsia="宋体" w:hAnsi="宋体" w:cs="宋体" w:hint="eastAsia"/>
          <w:b/>
          <w:bCs/>
          <w:sz w:val="28"/>
          <w:szCs w:val="28"/>
        </w:rPr>
        <w:t>测试地点：</w:t>
      </w:r>
    </w:p>
    <w:p w14:paraId="7F0897D7" w14:textId="77777777" w:rsidR="00800011" w:rsidRPr="00800011" w:rsidRDefault="00800011" w:rsidP="00800011">
      <w:pPr>
        <w:widowControl/>
        <w:spacing w:line="440" w:lineRule="atLeast"/>
        <w:ind w:firstLine="480"/>
        <w:jc w:val="left"/>
        <w:rPr>
          <w:rFonts w:ascii="宋体" w:eastAsia="宋体" w:hAnsi="Calibri" w:cs="宋体"/>
          <w:spacing w:val="5"/>
          <w:kern w:val="0"/>
          <w:sz w:val="24"/>
        </w:rPr>
      </w:pPr>
      <w:r w:rsidRPr="00800011">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07B61496" w14:textId="77777777" w:rsidR="00800011" w:rsidRPr="00800011" w:rsidRDefault="00800011" w:rsidP="00800011">
      <w:pPr>
        <w:autoSpaceDE w:val="0"/>
        <w:autoSpaceDN w:val="0"/>
        <w:adjustRightInd w:val="0"/>
        <w:snapToGrid w:val="0"/>
        <w:spacing w:beforeLines="50" w:before="156" w:afterLines="50" w:after="156" w:line="500" w:lineRule="exact"/>
        <w:ind w:firstLineChars="196" w:firstLine="551"/>
        <w:rPr>
          <w:rFonts w:ascii="Calibri" w:eastAsia="宋体" w:hAnsi="Calibri" w:cs="宋体"/>
          <w:b/>
          <w:bCs/>
          <w:sz w:val="28"/>
          <w:szCs w:val="28"/>
        </w:rPr>
      </w:pPr>
      <w:r w:rsidRPr="00800011">
        <w:rPr>
          <w:rFonts w:ascii="Calibri" w:eastAsia="宋体" w:hAnsi="Calibri" w:cs="宋体" w:hint="eastAsia"/>
          <w:b/>
          <w:bCs/>
          <w:sz w:val="28"/>
          <w:szCs w:val="28"/>
        </w:rPr>
        <w:lastRenderedPageBreak/>
        <w:t>四、测试对象：</w:t>
      </w:r>
    </w:p>
    <w:p w14:paraId="6F406D2C" w14:textId="77777777" w:rsidR="00800011" w:rsidRPr="00800011" w:rsidRDefault="00800011" w:rsidP="00800011">
      <w:pPr>
        <w:widowControl/>
        <w:spacing w:line="440" w:lineRule="atLeast"/>
        <w:ind w:firstLine="480"/>
        <w:jc w:val="left"/>
        <w:rPr>
          <w:rFonts w:ascii="宋体" w:eastAsia="宋体" w:hAnsi="Calibri" w:cs="宋体"/>
          <w:spacing w:val="5"/>
          <w:kern w:val="0"/>
          <w:sz w:val="24"/>
        </w:rPr>
      </w:pPr>
      <w:r w:rsidRPr="00800011">
        <w:rPr>
          <w:rFonts w:ascii="宋体" w:eastAsia="宋体" w:hAnsi="Calibri" w:cs="宋体" w:hint="eastAsia"/>
          <w:spacing w:val="5"/>
          <w:kern w:val="0"/>
          <w:sz w:val="24"/>
        </w:rPr>
        <w:t>在校本科、专接本学生</w:t>
      </w:r>
    </w:p>
    <w:p w14:paraId="15A9110C" w14:textId="77777777" w:rsidR="00800011" w:rsidRPr="00800011" w:rsidRDefault="00800011" w:rsidP="00800011">
      <w:pPr>
        <w:autoSpaceDE w:val="0"/>
        <w:autoSpaceDN w:val="0"/>
        <w:adjustRightInd w:val="0"/>
        <w:snapToGrid w:val="0"/>
        <w:spacing w:beforeLines="50" w:before="156" w:afterLines="50" w:after="156" w:line="500" w:lineRule="exact"/>
        <w:ind w:firstLineChars="196" w:firstLine="551"/>
        <w:rPr>
          <w:rFonts w:ascii="Calibri" w:eastAsia="宋体" w:hAnsi="Calibri" w:cs="宋体"/>
          <w:b/>
          <w:bCs/>
          <w:sz w:val="28"/>
          <w:szCs w:val="28"/>
        </w:rPr>
      </w:pPr>
      <w:r w:rsidRPr="00800011">
        <w:rPr>
          <w:rFonts w:ascii="Calibri" w:eastAsia="宋体" w:hAnsi="Calibri" w:cs="宋体" w:hint="eastAsia"/>
          <w:b/>
          <w:bCs/>
          <w:sz w:val="28"/>
          <w:szCs w:val="28"/>
        </w:rPr>
        <w:t>五、测试时间：</w:t>
      </w:r>
    </w:p>
    <w:p w14:paraId="11FFA7BE"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大</w:t>
      </w:r>
      <w:proofErr w:type="gramStart"/>
      <w:r w:rsidRPr="00800011">
        <w:rPr>
          <w:rFonts w:ascii="宋体" w:eastAsia="宋体" w:hAnsi="Calibri" w:cs="宋体" w:hint="eastAsia"/>
          <w:spacing w:val="5"/>
          <w:kern w:val="0"/>
          <w:sz w:val="24"/>
        </w:rPr>
        <w:t>一</w:t>
      </w:r>
      <w:proofErr w:type="gramEnd"/>
      <w:r w:rsidRPr="00800011">
        <w:rPr>
          <w:rFonts w:ascii="宋体" w:eastAsia="宋体" w:hAnsi="Calibri" w:cs="宋体" w:hint="eastAsia"/>
          <w:spacing w:val="5"/>
          <w:kern w:val="0"/>
          <w:sz w:val="24"/>
        </w:rPr>
        <w:t>在校生每年10月1开学后测验</w:t>
      </w:r>
    </w:p>
    <w:p w14:paraId="17D2E836"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大二开学后第三周测验</w:t>
      </w:r>
    </w:p>
    <w:p w14:paraId="11231E56"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大三开学后第三周测验</w:t>
      </w:r>
    </w:p>
    <w:p w14:paraId="0B4F7DFF"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大四开学后第三周测验</w:t>
      </w:r>
    </w:p>
    <w:p w14:paraId="03A14E52" w14:textId="77777777" w:rsidR="00800011" w:rsidRPr="00800011" w:rsidRDefault="00800011" w:rsidP="00800011">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800011">
        <w:rPr>
          <w:rFonts w:ascii="宋体" w:eastAsia="宋体" w:hAnsi="Calibri" w:cs="宋体" w:hint="eastAsia"/>
          <w:spacing w:val="5"/>
          <w:kern w:val="0"/>
          <w:sz w:val="24"/>
        </w:rPr>
        <w:t>补测时间每学年第二学期第十周</w:t>
      </w:r>
    </w:p>
    <w:p w14:paraId="5E46597B" w14:textId="77777777" w:rsidR="00800011" w:rsidRPr="00800011" w:rsidRDefault="00800011" w:rsidP="00800011">
      <w:pPr>
        <w:spacing w:beforeLines="50" w:before="156" w:afterLines="50" w:after="156" w:line="360" w:lineRule="auto"/>
        <w:ind w:firstLineChars="200" w:firstLine="562"/>
        <w:rPr>
          <w:rFonts w:ascii="仿宋_GB2312" w:eastAsia="仿宋_GB2312" w:hAnsi="Calibri" w:cs="Times New Roman"/>
          <w:sz w:val="28"/>
          <w:szCs w:val="28"/>
        </w:rPr>
      </w:pPr>
      <w:r w:rsidRPr="00800011">
        <w:rPr>
          <w:rFonts w:ascii="Arial" w:eastAsia="宋体" w:hAnsi="Calibri" w:cs="Arial" w:hint="eastAsia"/>
          <w:b/>
          <w:sz w:val="28"/>
          <w:szCs w:val="28"/>
        </w:rPr>
        <w:t>六、测试要求：</w:t>
      </w:r>
    </w:p>
    <w:p w14:paraId="4BE3BEA4"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1. 各学院请与体育学院负责学生体质健康测试的老师联系，并提交各学院指派参与体测辅助工作教师姓名及联系方式。</w:t>
      </w:r>
    </w:p>
    <w:p w14:paraId="7B157630"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2.各学院要及时了解测试时间、地点，督促学生</w:t>
      </w:r>
      <w:proofErr w:type="gramStart"/>
      <w:r w:rsidRPr="00800011">
        <w:rPr>
          <w:rFonts w:ascii="宋体" w:eastAsia="宋体" w:hAnsi="Calibri" w:cs="宋体" w:hint="eastAsia"/>
          <w:spacing w:val="5"/>
          <w:kern w:val="0"/>
          <w:sz w:val="24"/>
        </w:rPr>
        <w:t>学积极</w:t>
      </w:r>
      <w:proofErr w:type="gramEnd"/>
      <w:r w:rsidRPr="00800011">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0163FCC3"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73E478EA"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4.测试时，各学院必须派带队教师，协助完成测试工作。</w:t>
      </w:r>
    </w:p>
    <w:p w14:paraId="1EFF8C11"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5.测验时必须</w:t>
      </w:r>
      <w:proofErr w:type="gramStart"/>
      <w:r w:rsidRPr="00800011">
        <w:rPr>
          <w:rFonts w:ascii="宋体" w:eastAsia="宋体" w:hAnsi="Calibri" w:cs="宋体" w:hint="eastAsia"/>
          <w:spacing w:val="5"/>
          <w:kern w:val="0"/>
          <w:sz w:val="24"/>
        </w:rPr>
        <w:t>穿运动</w:t>
      </w:r>
      <w:proofErr w:type="gramEnd"/>
      <w:r w:rsidRPr="00800011">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4CAD2C23"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6.有心脏病、哮喘病等心肺功能疾病病史的同学，出具医院诊断证明后，可免予测试耐力素质项目。</w:t>
      </w:r>
    </w:p>
    <w:p w14:paraId="2A830AE4"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00458DF2"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8.测验时请保管好自己的衣物，勿带贵重物品。</w:t>
      </w:r>
    </w:p>
    <w:p w14:paraId="07632A79" w14:textId="77777777" w:rsidR="00800011" w:rsidRPr="00800011" w:rsidRDefault="00800011" w:rsidP="00800011">
      <w:pPr>
        <w:autoSpaceDE w:val="0"/>
        <w:autoSpaceDN w:val="0"/>
        <w:adjustRightInd w:val="0"/>
        <w:snapToGrid w:val="0"/>
        <w:spacing w:line="500" w:lineRule="exact"/>
        <w:ind w:firstLineChars="200" w:firstLine="500"/>
        <w:jc w:val="left"/>
        <w:rPr>
          <w:rFonts w:ascii="Calibri" w:eastAsia="宋体" w:hAnsi="Calibri" w:cs="Times New Roman"/>
          <w:b/>
        </w:rPr>
      </w:pPr>
      <w:r w:rsidRPr="00800011">
        <w:rPr>
          <w:rFonts w:ascii="宋体" w:eastAsia="宋体" w:hAnsi="Calibri" w:cs="宋体" w:hint="eastAsia"/>
          <w:spacing w:val="5"/>
          <w:kern w:val="0"/>
          <w:sz w:val="24"/>
        </w:rPr>
        <w:lastRenderedPageBreak/>
        <w:t>9.确实有身体机能问题的学生可领取《免于执行体质健康标准申请表》。（石家庄学院体育学院主页下载）</w:t>
      </w:r>
    </w:p>
    <w:p w14:paraId="02612839" w14:textId="77777777" w:rsidR="00800011" w:rsidRPr="003C75C2" w:rsidRDefault="00800011" w:rsidP="003C75C2">
      <w:pPr>
        <w:spacing w:beforeLines="50" w:before="156" w:afterLines="50" w:after="156" w:line="360" w:lineRule="auto"/>
        <w:ind w:firstLineChars="294" w:firstLine="826"/>
        <w:rPr>
          <w:rFonts w:ascii="仿宋_GB2312" w:eastAsia="仿宋_GB2312" w:hAnsi="Calibri" w:cs="Times New Roman"/>
          <w:sz w:val="28"/>
          <w:szCs w:val="28"/>
        </w:rPr>
      </w:pPr>
      <w:r w:rsidRPr="00800011">
        <w:rPr>
          <w:rFonts w:ascii="Arial" w:eastAsia="宋体" w:hAnsi="Calibri" w:cs="Arial" w:hint="eastAsia"/>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800011" w:rsidRPr="00800011" w14:paraId="2867FD2A" w14:textId="77777777" w:rsidTr="00800011">
        <w:trPr>
          <w:trHeight w:hRule="exact" w:val="454"/>
        </w:trPr>
        <w:tc>
          <w:tcPr>
            <w:tcW w:w="3446" w:type="dxa"/>
            <w:vAlign w:val="center"/>
          </w:tcPr>
          <w:p w14:paraId="6450C067"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测试对象</w:t>
            </w:r>
          </w:p>
        </w:tc>
        <w:tc>
          <w:tcPr>
            <w:tcW w:w="4042" w:type="dxa"/>
            <w:vAlign w:val="center"/>
          </w:tcPr>
          <w:p w14:paraId="08F218BA"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单项指标</w:t>
            </w:r>
          </w:p>
        </w:tc>
        <w:tc>
          <w:tcPr>
            <w:tcW w:w="1260" w:type="dxa"/>
            <w:vAlign w:val="center"/>
          </w:tcPr>
          <w:p w14:paraId="4AAB4AF9"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权重（%）</w:t>
            </w:r>
          </w:p>
        </w:tc>
      </w:tr>
      <w:tr w:rsidR="00800011" w:rsidRPr="00800011" w14:paraId="0ECEFC36" w14:textId="77777777" w:rsidTr="00800011">
        <w:trPr>
          <w:trHeight w:hRule="exact" w:val="454"/>
        </w:trPr>
        <w:tc>
          <w:tcPr>
            <w:tcW w:w="3446" w:type="dxa"/>
            <w:vMerge w:val="restart"/>
            <w:vAlign w:val="center"/>
          </w:tcPr>
          <w:p w14:paraId="3867EB68"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大学四年级</w:t>
            </w:r>
          </w:p>
        </w:tc>
        <w:tc>
          <w:tcPr>
            <w:tcW w:w="4042" w:type="dxa"/>
          </w:tcPr>
          <w:p w14:paraId="05BEC2A3"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体重指数（BMI）</w:t>
            </w:r>
          </w:p>
        </w:tc>
        <w:tc>
          <w:tcPr>
            <w:tcW w:w="1260" w:type="dxa"/>
          </w:tcPr>
          <w:p w14:paraId="023D9021"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15</w:t>
            </w:r>
          </w:p>
        </w:tc>
      </w:tr>
      <w:tr w:rsidR="00800011" w:rsidRPr="00800011" w14:paraId="216A4992" w14:textId="77777777" w:rsidTr="00800011">
        <w:trPr>
          <w:trHeight w:hRule="exact" w:val="454"/>
        </w:trPr>
        <w:tc>
          <w:tcPr>
            <w:tcW w:w="3446" w:type="dxa"/>
            <w:vMerge/>
            <w:vAlign w:val="center"/>
          </w:tcPr>
          <w:p w14:paraId="35AE5C44"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D167377"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肺活量</w:t>
            </w:r>
          </w:p>
        </w:tc>
        <w:tc>
          <w:tcPr>
            <w:tcW w:w="1260" w:type="dxa"/>
          </w:tcPr>
          <w:p w14:paraId="6158A978"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15</w:t>
            </w:r>
          </w:p>
        </w:tc>
      </w:tr>
      <w:tr w:rsidR="00800011" w:rsidRPr="00800011" w14:paraId="4DDA9CDB" w14:textId="77777777" w:rsidTr="00800011">
        <w:trPr>
          <w:trHeight w:hRule="exact" w:val="454"/>
        </w:trPr>
        <w:tc>
          <w:tcPr>
            <w:tcW w:w="3446" w:type="dxa"/>
            <w:vMerge w:val="restart"/>
            <w:vAlign w:val="center"/>
          </w:tcPr>
          <w:p w14:paraId="05952BE0"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大学各年级</w:t>
            </w:r>
          </w:p>
        </w:tc>
        <w:tc>
          <w:tcPr>
            <w:tcW w:w="4042" w:type="dxa"/>
          </w:tcPr>
          <w:p w14:paraId="46C0EEF1"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50米跑</w:t>
            </w:r>
          </w:p>
        </w:tc>
        <w:tc>
          <w:tcPr>
            <w:tcW w:w="1260" w:type="dxa"/>
          </w:tcPr>
          <w:p w14:paraId="729B60B9"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20</w:t>
            </w:r>
          </w:p>
        </w:tc>
      </w:tr>
      <w:tr w:rsidR="00800011" w:rsidRPr="00800011" w14:paraId="1157CF9A" w14:textId="77777777" w:rsidTr="00800011">
        <w:trPr>
          <w:trHeight w:hRule="exact" w:val="454"/>
        </w:trPr>
        <w:tc>
          <w:tcPr>
            <w:tcW w:w="3446" w:type="dxa"/>
            <w:vMerge/>
          </w:tcPr>
          <w:p w14:paraId="56C05CF1"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CBA6C28"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坐位体前屈</w:t>
            </w:r>
          </w:p>
        </w:tc>
        <w:tc>
          <w:tcPr>
            <w:tcW w:w="1260" w:type="dxa"/>
          </w:tcPr>
          <w:p w14:paraId="06D415DF"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10</w:t>
            </w:r>
          </w:p>
        </w:tc>
      </w:tr>
      <w:tr w:rsidR="00800011" w:rsidRPr="00800011" w14:paraId="0E37CF16" w14:textId="77777777" w:rsidTr="00800011">
        <w:trPr>
          <w:trHeight w:hRule="exact" w:val="454"/>
        </w:trPr>
        <w:tc>
          <w:tcPr>
            <w:tcW w:w="3446" w:type="dxa"/>
            <w:vMerge/>
          </w:tcPr>
          <w:p w14:paraId="70C3F446"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87F1D83"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立定跳远</w:t>
            </w:r>
          </w:p>
        </w:tc>
        <w:tc>
          <w:tcPr>
            <w:tcW w:w="1260" w:type="dxa"/>
          </w:tcPr>
          <w:p w14:paraId="2F9BFCA3"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10</w:t>
            </w:r>
          </w:p>
        </w:tc>
      </w:tr>
      <w:tr w:rsidR="00800011" w:rsidRPr="00800011" w14:paraId="52495D77" w14:textId="77777777" w:rsidTr="00800011">
        <w:trPr>
          <w:trHeight w:hRule="exact" w:val="454"/>
        </w:trPr>
        <w:tc>
          <w:tcPr>
            <w:tcW w:w="3446" w:type="dxa"/>
            <w:vMerge/>
          </w:tcPr>
          <w:p w14:paraId="0E10389E"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F58ACAA"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引体向上（男）/1分钟仰卧起坐（女）</w:t>
            </w:r>
          </w:p>
          <w:p w14:paraId="27E4B021"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B45A893"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A60C6EE"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DBC3C6D"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96702A0"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坐（女）</w:t>
            </w:r>
          </w:p>
        </w:tc>
        <w:tc>
          <w:tcPr>
            <w:tcW w:w="1260" w:type="dxa"/>
          </w:tcPr>
          <w:p w14:paraId="7FDCBCF1"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10</w:t>
            </w:r>
          </w:p>
        </w:tc>
      </w:tr>
      <w:tr w:rsidR="00800011" w:rsidRPr="00800011" w14:paraId="4CB2A3F4" w14:textId="77777777" w:rsidTr="00800011">
        <w:trPr>
          <w:trHeight w:hRule="exact" w:val="454"/>
        </w:trPr>
        <w:tc>
          <w:tcPr>
            <w:tcW w:w="3446" w:type="dxa"/>
            <w:vMerge/>
          </w:tcPr>
          <w:p w14:paraId="63937811"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B721C36"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1000米跑（男）/800米跑（女）</w:t>
            </w:r>
          </w:p>
        </w:tc>
        <w:tc>
          <w:tcPr>
            <w:tcW w:w="1260" w:type="dxa"/>
          </w:tcPr>
          <w:p w14:paraId="53B11D01"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20</w:t>
            </w:r>
          </w:p>
        </w:tc>
      </w:tr>
    </w:tbl>
    <w:p w14:paraId="7C489364"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注：体重指数（BMI）=体重（千克）/身高2（米2）。</w:t>
      </w:r>
    </w:p>
    <w:p w14:paraId="074B55AC" w14:textId="77777777" w:rsidR="00800011" w:rsidRPr="00800011" w:rsidRDefault="00800011" w:rsidP="00800011">
      <w:pPr>
        <w:spacing w:beforeLines="50" w:before="156" w:afterLines="50" w:after="156" w:line="360" w:lineRule="auto"/>
        <w:ind w:firstLineChars="200" w:firstLine="562"/>
        <w:rPr>
          <w:rFonts w:ascii="仿宋_GB2312" w:eastAsia="仿宋_GB2312" w:hAnsi="Calibri" w:cs="Times New Roman"/>
          <w:sz w:val="28"/>
          <w:szCs w:val="28"/>
        </w:rPr>
      </w:pPr>
      <w:r w:rsidRPr="00800011">
        <w:rPr>
          <w:rFonts w:ascii="Arial" w:eastAsia="宋体" w:hAnsi="Calibri" w:cs="Arial" w:hint="eastAsia"/>
          <w:b/>
          <w:sz w:val="28"/>
          <w:szCs w:val="28"/>
        </w:rPr>
        <w:t>八、评分表：</w:t>
      </w:r>
    </w:p>
    <w:p w14:paraId="70226227"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1.单项指标评分表</w:t>
      </w:r>
    </w:p>
    <w:p w14:paraId="721C549F"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表1-1  男生体重指数（BMI）单项评分表</w:t>
      </w:r>
    </w:p>
    <w:p w14:paraId="43E74BAD"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表1-2  女生体重指数（BMI）单项评分表（单位：</w:t>
      </w:r>
      <w:proofErr w:type="gramStart"/>
      <w:r w:rsidRPr="00800011">
        <w:rPr>
          <w:rFonts w:ascii="宋体" w:eastAsia="宋体" w:hAnsi="Calibri" w:cs="宋体" w:hint="eastAsia"/>
          <w:spacing w:val="5"/>
          <w:kern w:val="0"/>
          <w:sz w:val="24"/>
        </w:rPr>
        <w:t>千克/</w:t>
      </w:r>
      <w:proofErr w:type="gramEnd"/>
      <w:r w:rsidRPr="00800011">
        <w:rPr>
          <w:rFonts w:ascii="宋体" w:eastAsia="宋体" w:hAnsi="Calibri" w:cs="宋体" w:hint="eastAsia"/>
          <w:spacing w:val="5"/>
          <w:kern w:val="0"/>
          <w:sz w:val="24"/>
        </w:rPr>
        <w:t>米2）</w:t>
      </w:r>
    </w:p>
    <w:p w14:paraId="1B4F05B0" w14:textId="77777777" w:rsidR="00800011" w:rsidRPr="00800011" w:rsidRDefault="00800011" w:rsidP="00800011">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800011" w:rsidRPr="00800011" w14:paraId="4521C363" w14:textId="77777777" w:rsidTr="00800011">
        <w:trPr>
          <w:trHeight w:val="567"/>
        </w:trPr>
        <w:tc>
          <w:tcPr>
            <w:tcW w:w="982" w:type="dxa"/>
            <w:vAlign w:val="center"/>
          </w:tcPr>
          <w:p w14:paraId="419A029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等级</w:t>
            </w:r>
          </w:p>
        </w:tc>
        <w:tc>
          <w:tcPr>
            <w:tcW w:w="706" w:type="dxa"/>
            <w:vAlign w:val="center"/>
          </w:tcPr>
          <w:p w14:paraId="4C62F41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单项得分</w:t>
            </w:r>
          </w:p>
        </w:tc>
        <w:tc>
          <w:tcPr>
            <w:tcW w:w="1117" w:type="dxa"/>
            <w:vAlign w:val="center"/>
          </w:tcPr>
          <w:p w14:paraId="0B39D80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大学</w:t>
            </w:r>
          </w:p>
        </w:tc>
      </w:tr>
      <w:tr w:rsidR="00800011" w:rsidRPr="00800011" w14:paraId="11B9D81D" w14:textId="77777777" w:rsidTr="00800011">
        <w:trPr>
          <w:trHeight w:val="567"/>
        </w:trPr>
        <w:tc>
          <w:tcPr>
            <w:tcW w:w="982" w:type="dxa"/>
            <w:vAlign w:val="center"/>
          </w:tcPr>
          <w:p w14:paraId="3B5178F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正常</w:t>
            </w:r>
          </w:p>
        </w:tc>
        <w:tc>
          <w:tcPr>
            <w:tcW w:w="706" w:type="dxa"/>
            <w:vAlign w:val="center"/>
          </w:tcPr>
          <w:p w14:paraId="3F99966F" w14:textId="77777777" w:rsidR="00800011" w:rsidRPr="00800011" w:rsidRDefault="00800011" w:rsidP="00800011">
            <w:pPr>
              <w:jc w:val="center"/>
              <w:rPr>
                <w:rFonts w:ascii="宋体" w:eastAsia="宋体" w:hAnsi="宋体" w:cs="Times New Roman"/>
                <w:b/>
                <w:sz w:val="22"/>
              </w:rPr>
            </w:pPr>
            <w:r w:rsidRPr="00800011">
              <w:rPr>
                <w:rFonts w:ascii="宋体" w:eastAsia="宋体" w:hAnsi="宋体" w:cs="宋体" w:hint="eastAsia"/>
                <w:b/>
                <w:bCs/>
                <w:kern w:val="0"/>
                <w:sz w:val="22"/>
              </w:rPr>
              <w:t>100</w:t>
            </w:r>
          </w:p>
        </w:tc>
        <w:tc>
          <w:tcPr>
            <w:tcW w:w="1117" w:type="dxa"/>
            <w:vAlign w:val="center"/>
          </w:tcPr>
          <w:p w14:paraId="022CF4D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17.2~23.9</w:t>
            </w:r>
          </w:p>
        </w:tc>
      </w:tr>
      <w:tr w:rsidR="00800011" w:rsidRPr="00800011" w14:paraId="4556D3F7" w14:textId="77777777" w:rsidTr="00800011">
        <w:trPr>
          <w:trHeight w:val="567"/>
        </w:trPr>
        <w:tc>
          <w:tcPr>
            <w:tcW w:w="982" w:type="dxa"/>
            <w:vAlign w:val="center"/>
          </w:tcPr>
          <w:p w14:paraId="21A49B9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低体重</w:t>
            </w:r>
          </w:p>
        </w:tc>
        <w:tc>
          <w:tcPr>
            <w:tcW w:w="706" w:type="dxa"/>
            <w:vMerge w:val="restart"/>
            <w:vAlign w:val="center"/>
          </w:tcPr>
          <w:p w14:paraId="42F2C70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80</w:t>
            </w:r>
          </w:p>
        </w:tc>
        <w:tc>
          <w:tcPr>
            <w:tcW w:w="1117" w:type="dxa"/>
            <w:vAlign w:val="center"/>
          </w:tcPr>
          <w:p w14:paraId="76CA2E1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≤17.1</w:t>
            </w:r>
          </w:p>
        </w:tc>
      </w:tr>
      <w:tr w:rsidR="00800011" w:rsidRPr="00800011" w14:paraId="5A70C541" w14:textId="77777777" w:rsidTr="00800011">
        <w:trPr>
          <w:trHeight w:val="567"/>
        </w:trPr>
        <w:tc>
          <w:tcPr>
            <w:tcW w:w="982" w:type="dxa"/>
            <w:vAlign w:val="center"/>
          </w:tcPr>
          <w:p w14:paraId="2F0E79C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超重</w:t>
            </w:r>
          </w:p>
        </w:tc>
        <w:tc>
          <w:tcPr>
            <w:tcW w:w="706" w:type="dxa"/>
            <w:vMerge/>
            <w:vAlign w:val="center"/>
          </w:tcPr>
          <w:p w14:paraId="5962B955" w14:textId="77777777" w:rsidR="00800011" w:rsidRPr="00800011" w:rsidRDefault="00800011" w:rsidP="00800011">
            <w:pPr>
              <w:widowControl/>
              <w:jc w:val="center"/>
              <w:rPr>
                <w:rFonts w:ascii="宋体" w:eastAsia="宋体" w:hAnsi="宋体" w:cs="宋体"/>
                <w:b/>
                <w:bCs/>
                <w:kern w:val="0"/>
                <w:sz w:val="22"/>
              </w:rPr>
            </w:pPr>
          </w:p>
        </w:tc>
        <w:tc>
          <w:tcPr>
            <w:tcW w:w="1117" w:type="dxa"/>
            <w:vAlign w:val="center"/>
          </w:tcPr>
          <w:p w14:paraId="3B6CDD40"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24.0~27.9</w:t>
            </w:r>
          </w:p>
        </w:tc>
      </w:tr>
      <w:tr w:rsidR="00800011" w:rsidRPr="00800011" w14:paraId="2338D675" w14:textId="77777777" w:rsidTr="00800011">
        <w:trPr>
          <w:trHeight w:val="567"/>
        </w:trPr>
        <w:tc>
          <w:tcPr>
            <w:tcW w:w="982" w:type="dxa"/>
            <w:vAlign w:val="center"/>
          </w:tcPr>
          <w:p w14:paraId="334C22C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肥胖</w:t>
            </w:r>
          </w:p>
        </w:tc>
        <w:tc>
          <w:tcPr>
            <w:tcW w:w="706" w:type="dxa"/>
            <w:vAlign w:val="center"/>
          </w:tcPr>
          <w:p w14:paraId="0ADE45A5" w14:textId="77777777" w:rsidR="00800011" w:rsidRPr="00800011" w:rsidRDefault="00800011" w:rsidP="00800011">
            <w:pPr>
              <w:jc w:val="center"/>
              <w:rPr>
                <w:rFonts w:ascii="Calibri" w:eastAsia="宋体" w:hAnsi="Calibri" w:cs="Times New Roman"/>
                <w:b/>
                <w:sz w:val="22"/>
              </w:rPr>
            </w:pPr>
            <w:r w:rsidRPr="00800011">
              <w:rPr>
                <w:rFonts w:ascii="宋体" w:eastAsia="宋体" w:hAnsi="宋体" w:cs="宋体" w:hint="eastAsia"/>
                <w:b/>
                <w:bCs/>
                <w:kern w:val="0"/>
                <w:sz w:val="22"/>
              </w:rPr>
              <w:t>60</w:t>
            </w:r>
          </w:p>
        </w:tc>
        <w:tc>
          <w:tcPr>
            <w:tcW w:w="1117" w:type="dxa"/>
            <w:vAlign w:val="center"/>
          </w:tcPr>
          <w:p w14:paraId="0C22844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800011" w:rsidRPr="00800011" w14:paraId="53D1DCBE" w14:textId="77777777" w:rsidTr="00800011">
        <w:trPr>
          <w:trHeight w:val="454"/>
        </w:trPr>
        <w:tc>
          <w:tcPr>
            <w:tcW w:w="964" w:type="dxa"/>
            <w:vAlign w:val="center"/>
          </w:tcPr>
          <w:p w14:paraId="5688115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等级</w:t>
            </w:r>
          </w:p>
        </w:tc>
        <w:tc>
          <w:tcPr>
            <w:tcW w:w="708" w:type="dxa"/>
            <w:vAlign w:val="center"/>
          </w:tcPr>
          <w:p w14:paraId="3D0EBB8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单项</w:t>
            </w:r>
          </w:p>
          <w:p w14:paraId="793C2FD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得分</w:t>
            </w:r>
          </w:p>
        </w:tc>
        <w:tc>
          <w:tcPr>
            <w:tcW w:w="1115" w:type="dxa"/>
            <w:vAlign w:val="center"/>
          </w:tcPr>
          <w:p w14:paraId="1503F4C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大学</w:t>
            </w:r>
          </w:p>
        </w:tc>
      </w:tr>
      <w:tr w:rsidR="00800011" w:rsidRPr="00800011" w14:paraId="12F5D435" w14:textId="77777777" w:rsidTr="00800011">
        <w:trPr>
          <w:trHeight w:val="454"/>
        </w:trPr>
        <w:tc>
          <w:tcPr>
            <w:tcW w:w="964" w:type="dxa"/>
            <w:vAlign w:val="center"/>
          </w:tcPr>
          <w:p w14:paraId="350E413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正常</w:t>
            </w:r>
          </w:p>
        </w:tc>
        <w:tc>
          <w:tcPr>
            <w:tcW w:w="708" w:type="dxa"/>
            <w:vAlign w:val="center"/>
          </w:tcPr>
          <w:p w14:paraId="7EE791F2" w14:textId="77777777" w:rsidR="00800011" w:rsidRPr="00800011" w:rsidRDefault="00800011" w:rsidP="00800011">
            <w:pPr>
              <w:jc w:val="center"/>
              <w:rPr>
                <w:rFonts w:ascii="宋体" w:eastAsia="宋体" w:hAnsi="宋体" w:cs="Times New Roman"/>
                <w:b/>
                <w:sz w:val="22"/>
              </w:rPr>
            </w:pPr>
            <w:r w:rsidRPr="00800011">
              <w:rPr>
                <w:rFonts w:ascii="宋体" w:eastAsia="宋体" w:hAnsi="宋体" w:cs="Times New Roman"/>
                <w:b/>
                <w:bCs/>
                <w:kern w:val="0"/>
                <w:sz w:val="22"/>
              </w:rPr>
              <w:t>100</w:t>
            </w:r>
          </w:p>
        </w:tc>
        <w:tc>
          <w:tcPr>
            <w:tcW w:w="1115" w:type="dxa"/>
            <w:vAlign w:val="center"/>
          </w:tcPr>
          <w:p w14:paraId="14D6E40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17.9~23.9</w:t>
            </w:r>
          </w:p>
        </w:tc>
      </w:tr>
      <w:tr w:rsidR="00800011" w:rsidRPr="00800011" w14:paraId="03EA5907" w14:textId="77777777" w:rsidTr="00800011">
        <w:trPr>
          <w:trHeight w:val="454"/>
        </w:trPr>
        <w:tc>
          <w:tcPr>
            <w:tcW w:w="964" w:type="dxa"/>
            <w:vAlign w:val="center"/>
          </w:tcPr>
          <w:p w14:paraId="7BDAA08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低体重</w:t>
            </w:r>
          </w:p>
        </w:tc>
        <w:tc>
          <w:tcPr>
            <w:tcW w:w="708" w:type="dxa"/>
            <w:vMerge w:val="restart"/>
            <w:vAlign w:val="center"/>
          </w:tcPr>
          <w:p w14:paraId="0D4E8DB5" w14:textId="77777777" w:rsidR="00800011" w:rsidRPr="00800011" w:rsidRDefault="00800011" w:rsidP="00800011">
            <w:pPr>
              <w:widowControl/>
              <w:jc w:val="center"/>
              <w:rPr>
                <w:rFonts w:ascii="宋体" w:eastAsia="宋体" w:hAnsi="宋体" w:cs="Times New Roman"/>
                <w:b/>
                <w:bCs/>
                <w:kern w:val="0"/>
                <w:sz w:val="22"/>
              </w:rPr>
            </w:pPr>
            <w:r w:rsidRPr="00800011">
              <w:rPr>
                <w:rFonts w:ascii="宋体" w:eastAsia="宋体" w:hAnsi="宋体" w:cs="Times New Roman"/>
                <w:b/>
                <w:bCs/>
                <w:kern w:val="0"/>
                <w:sz w:val="22"/>
              </w:rPr>
              <w:t>80</w:t>
            </w:r>
          </w:p>
        </w:tc>
        <w:tc>
          <w:tcPr>
            <w:tcW w:w="1115" w:type="dxa"/>
            <w:vAlign w:val="center"/>
          </w:tcPr>
          <w:p w14:paraId="199F00B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≤17.8</w:t>
            </w:r>
          </w:p>
        </w:tc>
      </w:tr>
      <w:tr w:rsidR="00800011" w:rsidRPr="00800011" w14:paraId="202B5C1C" w14:textId="77777777" w:rsidTr="00800011">
        <w:trPr>
          <w:trHeight w:val="454"/>
        </w:trPr>
        <w:tc>
          <w:tcPr>
            <w:tcW w:w="964" w:type="dxa"/>
            <w:vAlign w:val="center"/>
          </w:tcPr>
          <w:p w14:paraId="5066030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超重</w:t>
            </w:r>
          </w:p>
        </w:tc>
        <w:tc>
          <w:tcPr>
            <w:tcW w:w="708" w:type="dxa"/>
            <w:vMerge/>
            <w:vAlign w:val="center"/>
          </w:tcPr>
          <w:p w14:paraId="748F5186" w14:textId="77777777" w:rsidR="00800011" w:rsidRPr="00800011" w:rsidRDefault="00800011" w:rsidP="00800011">
            <w:pPr>
              <w:widowControl/>
              <w:jc w:val="center"/>
              <w:rPr>
                <w:rFonts w:ascii="宋体" w:eastAsia="宋体" w:hAnsi="宋体" w:cs="Times New Roman"/>
                <w:b/>
                <w:bCs/>
                <w:kern w:val="0"/>
                <w:sz w:val="22"/>
              </w:rPr>
            </w:pPr>
          </w:p>
        </w:tc>
        <w:tc>
          <w:tcPr>
            <w:tcW w:w="1115" w:type="dxa"/>
            <w:vAlign w:val="center"/>
          </w:tcPr>
          <w:p w14:paraId="3937790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24</w:t>
            </w:r>
            <w:r w:rsidRPr="00800011">
              <w:rPr>
                <w:rFonts w:ascii="Calibri" w:eastAsia="宋体" w:hAnsi="Calibri" w:cs="Times New Roman" w:hint="eastAsia"/>
                <w:sz w:val="22"/>
              </w:rPr>
              <w:t>.0</w:t>
            </w:r>
            <w:r w:rsidRPr="00800011">
              <w:rPr>
                <w:rFonts w:ascii="Calibri" w:eastAsia="宋体" w:hAnsi="Calibri" w:cs="Times New Roman"/>
                <w:sz w:val="22"/>
              </w:rPr>
              <w:t>~27.9</w:t>
            </w:r>
          </w:p>
        </w:tc>
      </w:tr>
      <w:tr w:rsidR="00800011" w:rsidRPr="00800011" w14:paraId="6A3B2BA3" w14:textId="77777777" w:rsidTr="00800011">
        <w:trPr>
          <w:trHeight w:val="859"/>
        </w:trPr>
        <w:tc>
          <w:tcPr>
            <w:tcW w:w="964" w:type="dxa"/>
            <w:vAlign w:val="center"/>
          </w:tcPr>
          <w:p w14:paraId="3A79721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肥胖</w:t>
            </w:r>
          </w:p>
        </w:tc>
        <w:tc>
          <w:tcPr>
            <w:tcW w:w="708" w:type="dxa"/>
            <w:vAlign w:val="center"/>
          </w:tcPr>
          <w:p w14:paraId="601AC6FA" w14:textId="77777777" w:rsidR="00800011" w:rsidRPr="00800011" w:rsidRDefault="00800011" w:rsidP="00800011">
            <w:pPr>
              <w:jc w:val="center"/>
              <w:rPr>
                <w:rFonts w:ascii="宋体" w:eastAsia="宋体" w:hAnsi="宋体" w:cs="Times New Roman"/>
                <w:b/>
                <w:sz w:val="22"/>
              </w:rPr>
            </w:pPr>
            <w:r w:rsidRPr="00800011">
              <w:rPr>
                <w:rFonts w:ascii="宋体" w:eastAsia="宋体" w:hAnsi="宋体" w:cs="Times New Roman"/>
                <w:b/>
                <w:bCs/>
                <w:kern w:val="0"/>
                <w:sz w:val="22"/>
              </w:rPr>
              <w:t>60</w:t>
            </w:r>
          </w:p>
        </w:tc>
        <w:tc>
          <w:tcPr>
            <w:tcW w:w="1115" w:type="dxa"/>
            <w:vAlign w:val="center"/>
          </w:tcPr>
          <w:p w14:paraId="7E5050D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≥28.0</w:t>
            </w:r>
          </w:p>
        </w:tc>
      </w:tr>
    </w:tbl>
    <w:p w14:paraId="7B060811" w14:textId="77777777" w:rsidR="00800011" w:rsidRPr="00800011" w:rsidRDefault="00800011" w:rsidP="00800011">
      <w:pPr>
        <w:rPr>
          <w:rFonts w:ascii="仿宋_GB2312" w:eastAsia="仿宋_GB2312" w:hAnsi="仿宋" w:cs="Times New Roman"/>
          <w:sz w:val="32"/>
          <w:szCs w:val="32"/>
        </w:rPr>
      </w:pPr>
    </w:p>
    <w:p w14:paraId="31707E0C" w14:textId="77777777" w:rsidR="00800011" w:rsidRPr="00800011" w:rsidRDefault="00800011" w:rsidP="00800011">
      <w:pPr>
        <w:rPr>
          <w:rFonts w:ascii="仿宋_GB2312" w:eastAsia="仿宋_GB2312" w:hAnsi="仿宋" w:cs="Times New Roman"/>
          <w:sz w:val="32"/>
          <w:szCs w:val="32"/>
        </w:rPr>
      </w:pPr>
    </w:p>
    <w:p w14:paraId="43A04E3A" w14:textId="77777777" w:rsidR="00800011" w:rsidRPr="00800011" w:rsidRDefault="00800011" w:rsidP="00800011">
      <w:pPr>
        <w:rPr>
          <w:rFonts w:ascii="仿宋_GB2312" w:eastAsia="仿宋_GB2312" w:hAnsi="仿宋" w:cs="Times New Roman"/>
          <w:sz w:val="32"/>
          <w:szCs w:val="32"/>
        </w:rPr>
      </w:pPr>
    </w:p>
    <w:p w14:paraId="77E5E5ED" w14:textId="77777777" w:rsidR="00800011" w:rsidRPr="00800011" w:rsidRDefault="00800011" w:rsidP="00800011">
      <w:pPr>
        <w:rPr>
          <w:rFonts w:ascii="宋体" w:eastAsia="宋体" w:hAnsi="宋体" w:cs="Times New Roman"/>
          <w:b/>
          <w:sz w:val="28"/>
          <w:szCs w:val="28"/>
        </w:rPr>
      </w:pPr>
    </w:p>
    <w:p w14:paraId="49B2B3A7" w14:textId="77777777" w:rsidR="00800011" w:rsidRPr="00800011" w:rsidRDefault="00800011" w:rsidP="00800011">
      <w:pPr>
        <w:rPr>
          <w:rFonts w:ascii="仿宋_GB2312" w:eastAsia="仿宋_GB2312" w:hAnsi="仿宋" w:cs="Times New Roman"/>
          <w:sz w:val="32"/>
          <w:szCs w:val="32"/>
        </w:rPr>
      </w:pPr>
    </w:p>
    <w:p w14:paraId="67A2DF90" w14:textId="77777777" w:rsidR="00800011" w:rsidRPr="00800011" w:rsidRDefault="00800011" w:rsidP="00800011">
      <w:pPr>
        <w:ind w:firstLineChars="300" w:firstLine="960"/>
        <w:rPr>
          <w:rFonts w:ascii="仿宋_GB2312" w:eastAsia="仿宋_GB2312" w:hAnsi="仿宋" w:cs="Times New Roman"/>
          <w:sz w:val="32"/>
          <w:szCs w:val="32"/>
        </w:rPr>
      </w:pPr>
      <w:r w:rsidRPr="00800011">
        <w:rPr>
          <w:rFonts w:ascii="仿宋_GB2312" w:eastAsia="仿宋_GB2312" w:hAnsi="仿宋" w:cs="Times New Roman" w:hint="eastAsia"/>
          <w:sz w:val="32"/>
          <w:szCs w:val="32"/>
        </w:rPr>
        <w:t>男                              女</w:t>
      </w:r>
    </w:p>
    <w:p w14:paraId="6E67859B" w14:textId="77777777" w:rsid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AF52984" w14:textId="77777777" w:rsid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A46A4EA" w14:textId="77777777" w:rsid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3317780" w14:textId="77777777" w:rsid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BC2692D"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800011">
        <w:rPr>
          <w:rFonts w:ascii="宋体" w:eastAsia="宋体" w:hAnsi="Calibri" w:cs="宋体" w:hint="eastAsia"/>
          <w:spacing w:val="5"/>
          <w:kern w:val="0"/>
          <w:sz w:val="24"/>
        </w:rPr>
        <w:t>表1-3  男生肺活量单项评分表    表1-4  女生肺活量单项评分表</w:t>
      </w:r>
    </w:p>
    <w:p w14:paraId="7C49D0F7" w14:textId="77777777" w:rsidR="003C75C2"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800011">
        <w:rPr>
          <w:rFonts w:ascii="宋体" w:eastAsia="宋体" w:hAnsi="Calibri" w:cs="宋体" w:hint="eastAsia"/>
          <w:spacing w:val="5"/>
          <w:kern w:val="0"/>
          <w:sz w:val="24"/>
        </w:rPr>
        <w:t>（单位：毫升）</w:t>
      </w:r>
    </w:p>
    <w:p w14:paraId="36E289F8" w14:textId="77777777" w:rsidR="003C75C2" w:rsidRPr="00800011" w:rsidRDefault="003C75C2"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tbl>
      <w:tblPr>
        <w:tblpPr w:leftFromText="180" w:rightFromText="180" w:vertAnchor="text" w:horzAnchor="page" w:tblpX="1619" w:tblpY="24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800011" w:rsidRPr="00800011" w14:paraId="72EF43FC" w14:textId="77777777" w:rsidTr="00800011">
        <w:trPr>
          <w:trHeight w:val="288"/>
        </w:trPr>
        <w:tc>
          <w:tcPr>
            <w:tcW w:w="538" w:type="dxa"/>
            <w:vAlign w:val="center"/>
          </w:tcPr>
          <w:p w14:paraId="2BD3BAD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等级</w:t>
            </w:r>
          </w:p>
        </w:tc>
        <w:tc>
          <w:tcPr>
            <w:tcW w:w="1099" w:type="dxa"/>
            <w:vAlign w:val="center"/>
          </w:tcPr>
          <w:p w14:paraId="74B3E2C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单项</w:t>
            </w:r>
          </w:p>
          <w:p w14:paraId="3411001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得分</w:t>
            </w:r>
          </w:p>
        </w:tc>
        <w:tc>
          <w:tcPr>
            <w:tcW w:w="896" w:type="dxa"/>
            <w:vAlign w:val="center"/>
          </w:tcPr>
          <w:p w14:paraId="0B3CFA3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大一</w:t>
            </w:r>
          </w:p>
          <w:p w14:paraId="3D58395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大二</w:t>
            </w:r>
          </w:p>
        </w:tc>
        <w:tc>
          <w:tcPr>
            <w:tcW w:w="890" w:type="dxa"/>
            <w:vAlign w:val="center"/>
          </w:tcPr>
          <w:p w14:paraId="7C9BC5B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大三</w:t>
            </w:r>
          </w:p>
          <w:p w14:paraId="7EFE0AB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大四</w:t>
            </w:r>
          </w:p>
        </w:tc>
      </w:tr>
      <w:tr w:rsidR="00800011" w:rsidRPr="00800011" w14:paraId="7B5E1672" w14:textId="77777777" w:rsidTr="00800011">
        <w:trPr>
          <w:trHeight w:val="288"/>
        </w:trPr>
        <w:tc>
          <w:tcPr>
            <w:tcW w:w="538" w:type="dxa"/>
            <w:vMerge w:val="restart"/>
            <w:vAlign w:val="center"/>
          </w:tcPr>
          <w:p w14:paraId="60100B7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优秀</w:t>
            </w:r>
          </w:p>
        </w:tc>
        <w:tc>
          <w:tcPr>
            <w:tcW w:w="1099" w:type="dxa"/>
            <w:vAlign w:val="center"/>
          </w:tcPr>
          <w:p w14:paraId="6294A3E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100</w:t>
            </w:r>
          </w:p>
        </w:tc>
        <w:tc>
          <w:tcPr>
            <w:tcW w:w="896" w:type="dxa"/>
            <w:vAlign w:val="center"/>
          </w:tcPr>
          <w:p w14:paraId="7B5FCBC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5040</w:t>
            </w:r>
          </w:p>
        </w:tc>
        <w:tc>
          <w:tcPr>
            <w:tcW w:w="890" w:type="dxa"/>
            <w:vAlign w:val="center"/>
          </w:tcPr>
          <w:p w14:paraId="251A41E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5140</w:t>
            </w:r>
          </w:p>
        </w:tc>
      </w:tr>
      <w:tr w:rsidR="00800011" w:rsidRPr="00800011" w14:paraId="69B99C25" w14:textId="77777777" w:rsidTr="00800011">
        <w:trPr>
          <w:trHeight w:val="288"/>
        </w:trPr>
        <w:tc>
          <w:tcPr>
            <w:tcW w:w="538" w:type="dxa"/>
            <w:vMerge/>
            <w:vAlign w:val="center"/>
          </w:tcPr>
          <w:p w14:paraId="63901F14" w14:textId="77777777" w:rsidR="00800011" w:rsidRPr="00800011" w:rsidRDefault="00800011" w:rsidP="00800011">
            <w:pPr>
              <w:widowControl/>
              <w:jc w:val="center"/>
              <w:rPr>
                <w:rFonts w:ascii="宋体" w:eastAsia="宋体" w:hAnsi="宋体" w:cs="宋体"/>
                <w:b/>
                <w:bCs/>
                <w:kern w:val="0"/>
                <w:sz w:val="22"/>
              </w:rPr>
            </w:pPr>
          </w:p>
        </w:tc>
        <w:tc>
          <w:tcPr>
            <w:tcW w:w="1099" w:type="dxa"/>
            <w:vAlign w:val="center"/>
          </w:tcPr>
          <w:p w14:paraId="2B05324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95</w:t>
            </w:r>
          </w:p>
        </w:tc>
        <w:tc>
          <w:tcPr>
            <w:tcW w:w="896" w:type="dxa"/>
            <w:vAlign w:val="center"/>
          </w:tcPr>
          <w:p w14:paraId="0166E33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4920</w:t>
            </w:r>
          </w:p>
        </w:tc>
        <w:tc>
          <w:tcPr>
            <w:tcW w:w="890" w:type="dxa"/>
            <w:vAlign w:val="center"/>
          </w:tcPr>
          <w:p w14:paraId="6326FCB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5020</w:t>
            </w:r>
          </w:p>
        </w:tc>
      </w:tr>
      <w:tr w:rsidR="00800011" w:rsidRPr="00800011" w14:paraId="77E5A504" w14:textId="77777777" w:rsidTr="00800011">
        <w:trPr>
          <w:trHeight w:val="288"/>
        </w:trPr>
        <w:tc>
          <w:tcPr>
            <w:tcW w:w="538" w:type="dxa"/>
            <w:vMerge/>
            <w:shd w:val="clear" w:color="auto" w:fill="auto"/>
            <w:vAlign w:val="center"/>
          </w:tcPr>
          <w:p w14:paraId="10A82E6E" w14:textId="77777777" w:rsidR="00800011" w:rsidRPr="00800011" w:rsidRDefault="00800011" w:rsidP="00800011">
            <w:pPr>
              <w:widowControl/>
              <w:jc w:val="center"/>
              <w:rPr>
                <w:rFonts w:ascii="宋体" w:eastAsia="宋体" w:hAnsi="宋体" w:cs="宋体"/>
                <w:b/>
                <w:bCs/>
                <w:kern w:val="0"/>
                <w:sz w:val="22"/>
              </w:rPr>
            </w:pPr>
          </w:p>
        </w:tc>
        <w:tc>
          <w:tcPr>
            <w:tcW w:w="1099" w:type="dxa"/>
            <w:shd w:val="clear" w:color="auto" w:fill="D9D9D9"/>
            <w:vAlign w:val="center"/>
          </w:tcPr>
          <w:p w14:paraId="1F09F68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90</w:t>
            </w:r>
          </w:p>
        </w:tc>
        <w:tc>
          <w:tcPr>
            <w:tcW w:w="896" w:type="dxa"/>
            <w:shd w:val="clear" w:color="auto" w:fill="D9D9D9"/>
            <w:vAlign w:val="center"/>
          </w:tcPr>
          <w:p w14:paraId="5C432DD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4800</w:t>
            </w:r>
          </w:p>
        </w:tc>
        <w:tc>
          <w:tcPr>
            <w:tcW w:w="890" w:type="dxa"/>
            <w:shd w:val="clear" w:color="auto" w:fill="D9D9D9"/>
            <w:vAlign w:val="center"/>
          </w:tcPr>
          <w:p w14:paraId="1843B0E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4900</w:t>
            </w:r>
          </w:p>
        </w:tc>
      </w:tr>
      <w:tr w:rsidR="00800011" w:rsidRPr="00800011" w14:paraId="56D389F8" w14:textId="77777777" w:rsidTr="00800011">
        <w:trPr>
          <w:trHeight w:val="288"/>
        </w:trPr>
        <w:tc>
          <w:tcPr>
            <w:tcW w:w="538" w:type="dxa"/>
            <w:vMerge w:val="restart"/>
            <w:vAlign w:val="center"/>
          </w:tcPr>
          <w:p w14:paraId="3FF87F4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良好</w:t>
            </w:r>
          </w:p>
        </w:tc>
        <w:tc>
          <w:tcPr>
            <w:tcW w:w="1099" w:type="dxa"/>
            <w:vAlign w:val="center"/>
          </w:tcPr>
          <w:p w14:paraId="3B37347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85</w:t>
            </w:r>
          </w:p>
        </w:tc>
        <w:tc>
          <w:tcPr>
            <w:tcW w:w="896" w:type="dxa"/>
            <w:vAlign w:val="center"/>
          </w:tcPr>
          <w:p w14:paraId="4FE3734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4550</w:t>
            </w:r>
          </w:p>
        </w:tc>
        <w:tc>
          <w:tcPr>
            <w:tcW w:w="890" w:type="dxa"/>
            <w:vAlign w:val="center"/>
          </w:tcPr>
          <w:p w14:paraId="63C9FBF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4650</w:t>
            </w:r>
          </w:p>
        </w:tc>
      </w:tr>
      <w:tr w:rsidR="00800011" w:rsidRPr="00800011" w14:paraId="25E42631" w14:textId="77777777" w:rsidTr="00800011">
        <w:trPr>
          <w:trHeight w:val="288"/>
        </w:trPr>
        <w:tc>
          <w:tcPr>
            <w:tcW w:w="538" w:type="dxa"/>
            <w:vMerge/>
            <w:shd w:val="clear" w:color="auto" w:fill="auto"/>
            <w:vAlign w:val="center"/>
          </w:tcPr>
          <w:p w14:paraId="0C60D021" w14:textId="77777777" w:rsidR="00800011" w:rsidRPr="00800011" w:rsidRDefault="00800011" w:rsidP="00800011">
            <w:pPr>
              <w:widowControl/>
              <w:jc w:val="center"/>
              <w:rPr>
                <w:rFonts w:ascii="宋体" w:eastAsia="宋体" w:hAnsi="宋体" w:cs="宋体"/>
                <w:b/>
                <w:bCs/>
                <w:kern w:val="0"/>
                <w:sz w:val="22"/>
              </w:rPr>
            </w:pPr>
          </w:p>
        </w:tc>
        <w:tc>
          <w:tcPr>
            <w:tcW w:w="1099" w:type="dxa"/>
            <w:shd w:val="clear" w:color="auto" w:fill="D9D9D9"/>
            <w:vAlign w:val="center"/>
          </w:tcPr>
          <w:p w14:paraId="791D3E1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80</w:t>
            </w:r>
          </w:p>
        </w:tc>
        <w:tc>
          <w:tcPr>
            <w:tcW w:w="896" w:type="dxa"/>
            <w:shd w:val="clear" w:color="auto" w:fill="D9D9D9"/>
            <w:vAlign w:val="center"/>
          </w:tcPr>
          <w:p w14:paraId="71E3790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4300</w:t>
            </w:r>
          </w:p>
        </w:tc>
        <w:tc>
          <w:tcPr>
            <w:tcW w:w="890" w:type="dxa"/>
            <w:shd w:val="clear" w:color="auto" w:fill="D9D9D9"/>
            <w:vAlign w:val="center"/>
          </w:tcPr>
          <w:p w14:paraId="3EA6F3C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4400</w:t>
            </w:r>
          </w:p>
        </w:tc>
      </w:tr>
      <w:tr w:rsidR="00800011" w:rsidRPr="00800011" w14:paraId="7320C9D0" w14:textId="77777777" w:rsidTr="00800011">
        <w:trPr>
          <w:trHeight w:val="288"/>
        </w:trPr>
        <w:tc>
          <w:tcPr>
            <w:tcW w:w="538" w:type="dxa"/>
            <w:vMerge w:val="restart"/>
            <w:vAlign w:val="center"/>
          </w:tcPr>
          <w:p w14:paraId="3C99DF0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及格</w:t>
            </w:r>
          </w:p>
        </w:tc>
        <w:tc>
          <w:tcPr>
            <w:tcW w:w="1099" w:type="dxa"/>
            <w:vAlign w:val="center"/>
          </w:tcPr>
          <w:p w14:paraId="760EA08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78</w:t>
            </w:r>
          </w:p>
        </w:tc>
        <w:tc>
          <w:tcPr>
            <w:tcW w:w="896" w:type="dxa"/>
            <w:vAlign w:val="center"/>
          </w:tcPr>
          <w:p w14:paraId="2A306A3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4180</w:t>
            </w:r>
          </w:p>
        </w:tc>
        <w:tc>
          <w:tcPr>
            <w:tcW w:w="890" w:type="dxa"/>
            <w:vAlign w:val="center"/>
          </w:tcPr>
          <w:p w14:paraId="1E6711C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4280</w:t>
            </w:r>
          </w:p>
        </w:tc>
      </w:tr>
      <w:tr w:rsidR="00800011" w:rsidRPr="00800011" w14:paraId="7B1EE589" w14:textId="77777777" w:rsidTr="00800011">
        <w:trPr>
          <w:trHeight w:val="288"/>
        </w:trPr>
        <w:tc>
          <w:tcPr>
            <w:tcW w:w="538" w:type="dxa"/>
            <w:vMerge/>
            <w:vAlign w:val="center"/>
          </w:tcPr>
          <w:p w14:paraId="4BEB3350" w14:textId="77777777" w:rsidR="00800011" w:rsidRPr="00800011" w:rsidRDefault="00800011" w:rsidP="00800011">
            <w:pPr>
              <w:widowControl/>
              <w:jc w:val="center"/>
              <w:rPr>
                <w:rFonts w:ascii="宋体" w:eastAsia="宋体" w:hAnsi="宋体" w:cs="宋体"/>
                <w:b/>
                <w:bCs/>
                <w:kern w:val="0"/>
                <w:sz w:val="22"/>
              </w:rPr>
            </w:pPr>
          </w:p>
        </w:tc>
        <w:tc>
          <w:tcPr>
            <w:tcW w:w="1099" w:type="dxa"/>
            <w:vAlign w:val="center"/>
          </w:tcPr>
          <w:p w14:paraId="191C5C8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76</w:t>
            </w:r>
          </w:p>
        </w:tc>
        <w:tc>
          <w:tcPr>
            <w:tcW w:w="896" w:type="dxa"/>
            <w:vAlign w:val="center"/>
          </w:tcPr>
          <w:p w14:paraId="70177AE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4060</w:t>
            </w:r>
          </w:p>
        </w:tc>
        <w:tc>
          <w:tcPr>
            <w:tcW w:w="890" w:type="dxa"/>
            <w:vAlign w:val="center"/>
          </w:tcPr>
          <w:p w14:paraId="4FD3603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4160</w:t>
            </w:r>
          </w:p>
        </w:tc>
      </w:tr>
      <w:tr w:rsidR="00800011" w:rsidRPr="00800011" w14:paraId="4D28DF8B" w14:textId="77777777" w:rsidTr="00800011">
        <w:trPr>
          <w:trHeight w:val="288"/>
        </w:trPr>
        <w:tc>
          <w:tcPr>
            <w:tcW w:w="538" w:type="dxa"/>
            <w:vMerge/>
            <w:vAlign w:val="center"/>
          </w:tcPr>
          <w:p w14:paraId="6B58A484" w14:textId="77777777" w:rsidR="00800011" w:rsidRPr="00800011" w:rsidRDefault="00800011" w:rsidP="00800011">
            <w:pPr>
              <w:widowControl/>
              <w:jc w:val="center"/>
              <w:rPr>
                <w:rFonts w:ascii="宋体" w:eastAsia="宋体" w:hAnsi="宋体" w:cs="宋体"/>
                <w:b/>
                <w:bCs/>
                <w:kern w:val="0"/>
                <w:sz w:val="22"/>
              </w:rPr>
            </w:pPr>
          </w:p>
        </w:tc>
        <w:tc>
          <w:tcPr>
            <w:tcW w:w="1099" w:type="dxa"/>
            <w:vAlign w:val="center"/>
          </w:tcPr>
          <w:p w14:paraId="42AC3D9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74</w:t>
            </w:r>
          </w:p>
        </w:tc>
        <w:tc>
          <w:tcPr>
            <w:tcW w:w="896" w:type="dxa"/>
            <w:vAlign w:val="center"/>
          </w:tcPr>
          <w:p w14:paraId="64C3710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3940</w:t>
            </w:r>
          </w:p>
        </w:tc>
        <w:tc>
          <w:tcPr>
            <w:tcW w:w="890" w:type="dxa"/>
            <w:vAlign w:val="center"/>
          </w:tcPr>
          <w:p w14:paraId="38D48CC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4040</w:t>
            </w:r>
          </w:p>
        </w:tc>
      </w:tr>
      <w:tr w:rsidR="00800011" w:rsidRPr="00800011" w14:paraId="231BE8FE" w14:textId="77777777" w:rsidTr="00800011">
        <w:trPr>
          <w:trHeight w:val="288"/>
        </w:trPr>
        <w:tc>
          <w:tcPr>
            <w:tcW w:w="538" w:type="dxa"/>
            <w:vMerge/>
            <w:vAlign w:val="center"/>
          </w:tcPr>
          <w:p w14:paraId="3414B502" w14:textId="77777777" w:rsidR="00800011" w:rsidRPr="00800011" w:rsidRDefault="00800011" w:rsidP="00800011">
            <w:pPr>
              <w:widowControl/>
              <w:jc w:val="center"/>
              <w:rPr>
                <w:rFonts w:ascii="宋体" w:eastAsia="宋体" w:hAnsi="宋体" w:cs="宋体"/>
                <w:b/>
                <w:bCs/>
                <w:kern w:val="0"/>
                <w:sz w:val="22"/>
              </w:rPr>
            </w:pPr>
          </w:p>
        </w:tc>
        <w:tc>
          <w:tcPr>
            <w:tcW w:w="1099" w:type="dxa"/>
            <w:vAlign w:val="center"/>
          </w:tcPr>
          <w:p w14:paraId="1970DB9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72</w:t>
            </w:r>
          </w:p>
        </w:tc>
        <w:tc>
          <w:tcPr>
            <w:tcW w:w="896" w:type="dxa"/>
            <w:vAlign w:val="center"/>
          </w:tcPr>
          <w:p w14:paraId="19A48C0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3820</w:t>
            </w:r>
          </w:p>
        </w:tc>
        <w:tc>
          <w:tcPr>
            <w:tcW w:w="890" w:type="dxa"/>
            <w:vAlign w:val="center"/>
          </w:tcPr>
          <w:p w14:paraId="589D3C3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3920</w:t>
            </w:r>
          </w:p>
        </w:tc>
      </w:tr>
      <w:tr w:rsidR="00800011" w:rsidRPr="00800011" w14:paraId="097FEB2E" w14:textId="77777777" w:rsidTr="00800011">
        <w:trPr>
          <w:trHeight w:val="288"/>
        </w:trPr>
        <w:tc>
          <w:tcPr>
            <w:tcW w:w="538" w:type="dxa"/>
            <w:vMerge/>
            <w:vAlign w:val="center"/>
          </w:tcPr>
          <w:p w14:paraId="00C6180B" w14:textId="77777777" w:rsidR="00800011" w:rsidRPr="00800011" w:rsidRDefault="00800011" w:rsidP="00800011">
            <w:pPr>
              <w:widowControl/>
              <w:jc w:val="center"/>
              <w:rPr>
                <w:rFonts w:ascii="宋体" w:eastAsia="宋体" w:hAnsi="宋体" w:cs="宋体"/>
                <w:b/>
                <w:bCs/>
                <w:kern w:val="0"/>
                <w:sz w:val="22"/>
              </w:rPr>
            </w:pPr>
          </w:p>
        </w:tc>
        <w:tc>
          <w:tcPr>
            <w:tcW w:w="1099" w:type="dxa"/>
            <w:vAlign w:val="center"/>
          </w:tcPr>
          <w:p w14:paraId="4A95013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70</w:t>
            </w:r>
          </w:p>
        </w:tc>
        <w:tc>
          <w:tcPr>
            <w:tcW w:w="896" w:type="dxa"/>
            <w:vAlign w:val="center"/>
          </w:tcPr>
          <w:p w14:paraId="515C5CB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3700</w:t>
            </w:r>
          </w:p>
        </w:tc>
        <w:tc>
          <w:tcPr>
            <w:tcW w:w="890" w:type="dxa"/>
            <w:vAlign w:val="center"/>
          </w:tcPr>
          <w:p w14:paraId="5F5CE31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3800</w:t>
            </w:r>
          </w:p>
        </w:tc>
      </w:tr>
      <w:tr w:rsidR="00800011" w:rsidRPr="00800011" w14:paraId="3F41E707" w14:textId="77777777" w:rsidTr="00800011">
        <w:trPr>
          <w:trHeight w:val="288"/>
        </w:trPr>
        <w:tc>
          <w:tcPr>
            <w:tcW w:w="538" w:type="dxa"/>
            <w:vMerge/>
            <w:vAlign w:val="center"/>
          </w:tcPr>
          <w:p w14:paraId="0B6DFBB0" w14:textId="77777777" w:rsidR="00800011" w:rsidRPr="00800011" w:rsidRDefault="00800011" w:rsidP="00800011">
            <w:pPr>
              <w:widowControl/>
              <w:jc w:val="center"/>
              <w:rPr>
                <w:rFonts w:ascii="宋体" w:eastAsia="宋体" w:hAnsi="宋体" w:cs="宋体"/>
                <w:b/>
                <w:bCs/>
                <w:kern w:val="0"/>
                <w:sz w:val="22"/>
              </w:rPr>
            </w:pPr>
          </w:p>
        </w:tc>
        <w:tc>
          <w:tcPr>
            <w:tcW w:w="1099" w:type="dxa"/>
            <w:vAlign w:val="center"/>
          </w:tcPr>
          <w:p w14:paraId="155D365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68</w:t>
            </w:r>
          </w:p>
        </w:tc>
        <w:tc>
          <w:tcPr>
            <w:tcW w:w="896" w:type="dxa"/>
            <w:vAlign w:val="center"/>
          </w:tcPr>
          <w:p w14:paraId="33FAE30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3580</w:t>
            </w:r>
          </w:p>
        </w:tc>
        <w:tc>
          <w:tcPr>
            <w:tcW w:w="890" w:type="dxa"/>
            <w:vAlign w:val="center"/>
          </w:tcPr>
          <w:p w14:paraId="3AE35BB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3680</w:t>
            </w:r>
          </w:p>
        </w:tc>
      </w:tr>
      <w:tr w:rsidR="00800011" w:rsidRPr="00800011" w14:paraId="282873A4" w14:textId="77777777" w:rsidTr="00800011">
        <w:trPr>
          <w:trHeight w:val="288"/>
        </w:trPr>
        <w:tc>
          <w:tcPr>
            <w:tcW w:w="538" w:type="dxa"/>
            <w:vMerge/>
            <w:vAlign w:val="center"/>
          </w:tcPr>
          <w:p w14:paraId="5E48BAD4" w14:textId="77777777" w:rsidR="00800011" w:rsidRPr="00800011" w:rsidRDefault="00800011" w:rsidP="00800011">
            <w:pPr>
              <w:widowControl/>
              <w:jc w:val="center"/>
              <w:rPr>
                <w:rFonts w:ascii="宋体" w:eastAsia="宋体" w:hAnsi="宋体" w:cs="宋体"/>
                <w:b/>
                <w:bCs/>
                <w:kern w:val="0"/>
                <w:sz w:val="22"/>
              </w:rPr>
            </w:pPr>
          </w:p>
        </w:tc>
        <w:tc>
          <w:tcPr>
            <w:tcW w:w="1099" w:type="dxa"/>
            <w:vAlign w:val="center"/>
          </w:tcPr>
          <w:p w14:paraId="2734353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66</w:t>
            </w:r>
          </w:p>
        </w:tc>
        <w:tc>
          <w:tcPr>
            <w:tcW w:w="896" w:type="dxa"/>
            <w:vAlign w:val="center"/>
          </w:tcPr>
          <w:p w14:paraId="18E9CBB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3460</w:t>
            </w:r>
          </w:p>
        </w:tc>
        <w:tc>
          <w:tcPr>
            <w:tcW w:w="890" w:type="dxa"/>
            <w:vAlign w:val="center"/>
          </w:tcPr>
          <w:p w14:paraId="5C39957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3560</w:t>
            </w:r>
          </w:p>
        </w:tc>
      </w:tr>
      <w:tr w:rsidR="00800011" w:rsidRPr="00800011" w14:paraId="2545566E" w14:textId="77777777" w:rsidTr="00800011">
        <w:trPr>
          <w:trHeight w:val="288"/>
        </w:trPr>
        <w:tc>
          <w:tcPr>
            <w:tcW w:w="538" w:type="dxa"/>
            <w:vMerge/>
            <w:vAlign w:val="center"/>
          </w:tcPr>
          <w:p w14:paraId="32E919E5" w14:textId="77777777" w:rsidR="00800011" w:rsidRPr="00800011" w:rsidRDefault="00800011" w:rsidP="00800011">
            <w:pPr>
              <w:widowControl/>
              <w:jc w:val="center"/>
              <w:rPr>
                <w:rFonts w:ascii="宋体" w:eastAsia="宋体" w:hAnsi="宋体" w:cs="宋体"/>
                <w:b/>
                <w:bCs/>
                <w:kern w:val="0"/>
                <w:sz w:val="22"/>
              </w:rPr>
            </w:pPr>
          </w:p>
        </w:tc>
        <w:tc>
          <w:tcPr>
            <w:tcW w:w="1099" w:type="dxa"/>
            <w:vAlign w:val="center"/>
          </w:tcPr>
          <w:p w14:paraId="33932C5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64</w:t>
            </w:r>
          </w:p>
        </w:tc>
        <w:tc>
          <w:tcPr>
            <w:tcW w:w="896" w:type="dxa"/>
            <w:vAlign w:val="center"/>
          </w:tcPr>
          <w:p w14:paraId="3018469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3340</w:t>
            </w:r>
          </w:p>
        </w:tc>
        <w:tc>
          <w:tcPr>
            <w:tcW w:w="890" w:type="dxa"/>
            <w:vAlign w:val="center"/>
          </w:tcPr>
          <w:p w14:paraId="2E58F1E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3440</w:t>
            </w:r>
          </w:p>
        </w:tc>
      </w:tr>
      <w:tr w:rsidR="00800011" w:rsidRPr="00800011" w14:paraId="3D4DFE63" w14:textId="77777777" w:rsidTr="00800011">
        <w:trPr>
          <w:trHeight w:val="288"/>
        </w:trPr>
        <w:tc>
          <w:tcPr>
            <w:tcW w:w="538" w:type="dxa"/>
            <w:vMerge/>
            <w:vAlign w:val="center"/>
          </w:tcPr>
          <w:p w14:paraId="70118B2E" w14:textId="77777777" w:rsidR="00800011" w:rsidRPr="00800011" w:rsidRDefault="00800011" w:rsidP="00800011">
            <w:pPr>
              <w:widowControl/>
              <w:jc w:val="center"/>
              <w:rPr>
                <w:rFonts w:ascii="宋体" w:eastAsia="宋体" w:hAnsi="宋体" w:cs="宋体"/>
                <w:b/>
                <w:bCs/>
                <w:kern w:val="0"/>
                <w:sz w:val="22"/>
              </w:rPr>
            </w:pPr>
          </w:p>
        </w:tc>
        <w:tc>
          <w:tcPr>
            <w:tcW w:w="1099" w:type="dxa"/>
            <w:vAlign w:val="center"/>
          </w:tcPr>
          <w:p w14:paraId="6C15600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62</w:t>
            </w:r>
          </w:p>
        </w:tc>
        <w:tc>
          <w:tcPr>
            <w:tcW w:w="896" w:type="dxa"/>
            <w:vAlign w:val="center"/>
          </w:tcPr>
          <w:p w14:paraId="0B11607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3220</w:t>
            </w:r>
          </w:p>
        </w:tc>
        <w:tc>
          <w:tcPr>
            <w:tcW w:w="890" w:type="dxa"/>
            <w:vAlign w:val="center"/>
          </w:tcPr>
          <w:p w14:paraId="34AF1F3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3320</w:t>
            </w:r>
          </w:p>
        </w:tc>
      </w:tr>
      <w:tr w:rsidR="00800011" w:rsidRPr="00800011" w14:paraId="596BCA2D" w14:textId="77777777" w:rsidTr="00800011">
        <w:trPr>
          <w:trHeight w:val="288"/>
        </w:trPr>
        <w:tc>
          <w:tcPr>
            <w:tcW w:w="538" w:type="dxa"/>
            <w:vMerge/>
            <w:shd w:val="clear" w:color="auto" w:fill="auto"/>
            <w:vAlign w:val="center"/>
          </w:tcPr>
          <w:p w14:paraId="742501A4" w14:textId="77777777" w:rsidR="00800011" w:rsidRPr="00800011" w:rsidRDefault="00800011" w:rsidP="00800011">
            <w:pPr>
              <w:widowControl/>
              <w:jc w:val="center"/>
              <w:rPr>
                <w:rFonts w:ascii="宋体" w:eastAsia="宋体" w:hAnsi="宋体" w:cs="宋体"/>
                <w:b/>
                <w:bCs/>
                <w:kern w:val="0"/>
                <w:sz w:val="22"/>
              </w:rPr>
            </w:pPr>
          </w:p>
        </w:tc>
        <w:tc>
          <w:tcPr>
            <w:tcW w:w="1099" w:type="dxa"/>
            <w:shd w:val="clear" w:color="auto" w:fill="D9D9D9"/>
            <w:vAlign w:val="center"/>
          </w:tcPr>
          <w:p w14:paraId="4ABCDD1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60</w:t>
            </w:r>
          </w:p>
        </w:tc>
        <w:tc>
          <w:tcPr>
            <w:tcW w:w="896" w:type="dxa"/>
            <w:shd w:val="clear" w:color="auto" w:fill="D9D9D9"/>
            <w:vAlign w:val="center"/>
          </w:tcPr>
          <w:p w14:paraId="4A79FC5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3100</w:t>
            </w:r>
          </w:p>
        </w:tc>
        <w:tc>
          <w:tcPr>
            <w:tcW w:w="890" w:type="dxa"/>
            <w:shd w:val="clear" w:color="auto" w:fill="D9D9D9"/>
            <w:vAlign w:val="center"/>
          </w:tcPr>
          <w:p w14:paraId="44D278A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3200</w:t>
            </w:r>
          </w:p>
        </w:tc>
      </w:tr>
      <w:tr w:rsidR="00800011" w:rsidRPr="00800011" w14:paraId="401EDD61" w14:textId="77777777" w:rsidTr="00800011">
        <w:trPr>
          <w:trHeight w:val="288"/>
        </w:trPr>
        <w:tc>
          <w:tcPr>
            <w:tcW w:w="538" w:type="dxa"/>
            <w:vMerge w:val="restart"/>
            <w:vAlign w:val="center"/>
          </w:tcPr>
          <w:p w14:paraId="173817F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不及格</w:t>
            </w:r>
          </w:p>
        </w:tc>
        <w:tc>
          <w:tcPr>
            <w:tcW w:w="1099" w:type="dxa"/>
            <w:vAlign w:val="center"/>
          </w:tcPr>
          <w:p w14:paraId="5DFB01C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50</w:t>
            </w:r>
          </w:p>
        </w:tc>
        <w:tc>
          <w:tcPr>
            <w:tcW w:w="896" w:type="dxa"/>
            <w:vAlign w:val="center"/>
          </w:tcPr>
          <w:p w14:paraId="017FA32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2940</w:t>
            </w:r>
          </w:p>
        </w:tc>
        <w:tc>
          <w:tcPr>
            <w:tcW w:w="890" w:type="dxa"/>
            <w:vAlign w:val="center"/>
          </w:tcPr>
          <w:p w14:paraId="18A2FF0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3030</w:t>
            </w:r>
          </w:p>
        </w:tc>
      </w:tr>
      <w:tr w:rsidR="00800011" w:rsidRPr="00800011" w14:paraId="089035E1" w14:textId="77777777" w:rsidTr="00800011">
        <w:trPr>
          <w:trHeight w:val="288"/>
        </w:trPr>
        <w:tc>
          <w:tcPr>
            <w:tcW w:w="538" w:type="dxa"/>
            <w:vMerge/>
            <w:vAlign w:val="center"/>
          </w:tcPr>
          <w:p w14:paraId="7B1FA0CC" w14:textId="77777777" w:rsidR="00800011" w:rsidRPr="00800011" w:rsidRDefault="00800011" w:rsidP="00800011">
            <w:pPr>
              <w:widowControl/>
              <w:jc w:val="center"/>
              <w:rPr>
                <w:rFonts w:ascii="宋体" w:eastAsia="宋体" w:hAnsi="宋体" w:cs="宋体"/>
                <w:b/>
                <w:bCs/>
                <w:kern w:val="0"/>
                <w:sz w:val="22"/>
              </w:rPr>
            </w:pPr>
          </w:p>
        </w:tc>
        <w:tc>
          <w:tcPr>
            <w:tcW w:w="1099" w:type="dxa"/>
            <w:vAlign w:val="center"/>
          </w:tcPr>
          <w:p w14:paraId="0768B07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40</w:t>
            </w:r>
          </w:p>
        </w:tc>
        <w:tc>
          <w:tcPr>
            <w:tcW w:w="896" w:type="dxa"/>
            <w:vAlign w:val="center"/>
          </w:tcPr>
          <w:p w14:paraId="56459C1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2780</w:t>
            </w:r>
          </w:p>
        </w:tc>
        <w:tc>
          <w:tcPr>
            <w:tcW w:w="890" w:type="dxa"/>
            <w:vAlign w:val="center"/>
          </w:tcPr>
          <w:p w14:paraId="4783062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2860</w:t>
            </w:r>
          </w:p>
        </w:tc>
      </w:tr>
      <w:tr w:rsidR="00800011" w:rsidRPr="00800011" w14:paraId="503351A3" w14:textId="77777777" w:rsidTr="00800011">
        <w:trPr>
          <w:trHeight w:val="288"/>
        </w:trPr>
        <w:tc>
          <w:tcPr>
            <w:tcW w:w="538" w:type="dxa"/>
            <w:vMerge/>
            <w:vAlign w:val="center"/>
          </w:tcPr>
          <w:p w14:paraId="1F6FAA31" w14:textId="77777777" w:rsidR="00800011" w:rsidRPr="00800011" w:rsidRDefault="00800011" w:rsidP="00800011">
            <w:pPr>
              <w:widowControl/>
              <w:jc w:val="center"/>
              <w:rPr>
                <w:rFonts w:ascii="宋体" w:eastAsia="宋体" w:hAnsi="宋体" w:cs="宋体"/>
                <w:b/>
                <w:bCs/>
                <w:kern w:val="0"/>
                <w:sz w:val="22"/>
              </w:rPr>
            </w:pPr>
          </w:p>
        </w:tc>
        <w:tc>
          <w:tcPr>
            <w:tcW w:w="1099" w:type="dxa"/>
            <w:vAlign w:val="center"/>
          </w:tcPr>
          <w:p w14:paraId="19E0EF2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30</w:t>
            </w:r>
          </w:p>
        </w:tc>
        <w:tc>
          <w:tcPr>
            <w:tcW w:w="896" w:type="dxa"/>
            <w:vAlign w:val="center"/>
          </w:tcPr>
          <w:p w14:paraId="6543340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2620</w:t>
            </w:r>
          </w:p>
        </w:tc>
        <w:tc>
          <w:tcPr>
            <w:tcW w:w="890" w:type="dxa"/>
            <w:vAlign w:val="center"/>
          </w:tcPr>
          <w:p w14:paraId="5E2F1B3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2690</w:t>
            </w:r>
          </w:p>
        </w:tc>
      </w:tr>
      <w:tr w:rsidR="00800011" w:rsidRPr="00800011" w14:paraId="5C5482B2" w14:textId="77777777" w:rsidTr="00800011">
        <w:trPr>
          <w:trHeight w:val="288"/>
        </w:trPr>
        <w:tc>
          <w:tcPr>
            <w:tcW w:w="538" w:type="dxa"/>
            <w:vMerge/>
            <w:vAlign w:val="center"/>
          </w:tcPr>
          <w:p w14:paraId="5BCFB973" w14:textId="77777777" w:rsidR="00800011" w:rsidRPr="00800011" w:rsidRDefault="00800011" w:rsidP="00800011">
            <w:pPr>
              <w:widowControl/>
              <w:jc w:val="center"/>
              <w:rPr>
                <w:rFonts w:ascii="宋体" w:eastAsia="宋体" w:hAnsi="宋体" w:cs="宋体"/>
                <w:b/>
                <w:bCs/>
                <w:kern w:val="0"/>
                <w:sz w:val="22"/>
              </w:rPr>
            </w:pPr>
          </w:p>
        </w:tc>
        <w:tc>
          <w:tcPr>
            <w:tcW w:w="1099" w:type="dxa"/>
            <w:vAlign w:val="center"/>
          </w:tcPr>
          <w:p w14:paraId="4B0A457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20</w:t>
            </w:r>
          </w:p>
        </w:tc>
        <w:tc>
          <w:tcPr>
            <w:tcW w:w="896" w:type="dxa"/>
            <w:vAlign w:val="center"/>
          </w:tcPr>
          <w:p w14:paraId="641709F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2460</w:t>
            </w:r>
          </w:p>
        </w:tc>
        <w:tc>
          <w:tcPr>
            <w:tcW w:w="890" w:type="dxa"/>
            <w:vAlign w:val="center"/>
          </w:tcPr>
          <w:p w14:paraId="62E73E7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2520</w:t>
            </w:r>
          </w:p>
        </w:tc>
      </w:tr>
      <w:tr w:rsidR="00800011" w:rsidRPr="00800011" w14:paraId="505D11BE" w14:textId="77777777" w:rsidTr="00800011">
        <w:trPr>
          <w:trHeight w:val="288"/>
        </w:trPr>
        <w:tc>
          <w:tcPr>
            <w:tcW w:w="538" w:type="dxa"/>
            <w:vMerge/>
            <w:vAlign w:val="center"/>
          </w:tcPr>
          <w:p w14:paraId="3126BF3B" w14:textId="77777777" w:rsidR="00800011" w:rsidRPr="00800011" w:rsidRDefault="00800011" w:rsidP="00800011">
            <w:pPr>
              <w:widowControl/>
              <w:jc w:val="center"/>
              <w:rPr>
                <w:rFonts w:ascii="宋体" w:eastAsia="宋体" w:hAnsi="宋体" w:cs="宋体"/>
                <w:b/>
                <w:bCs/>
                <w:kern w:val="0"/>
                <w:sz w:val="22"/>
              </w:rPr>
            </w:pPr>
          </w:p>
        </w:tc>
        <w:tc>
          <w:tcPr>
            <w:tcW w:w="1099" w:type="dxa"/>
            <w:vAlign w:val="center"/>
          </w:tcPr>
          <w:p w14:paraId="368308B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w:t>
            </w:r>
          </w:p>
        </w:tc>
        <w:tc>
          <w:tcPr>
            <w:tcW w:w="896" w:type="dxa"/>
            <w:vAlign w:val="center"/>
          </w:tcPr>
          <w:p w14:paraId="5BF2E70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2300</w:t>
            </w:r>
          </w:p>
        </w:tc>
        <w:tc>
          <w:tcPr>
            <w:tcW w:w="890" w:type="dxa"/>
            <w:vAlign w:val="center"/>
          </w:tcPr>
          <w:p w14:paraId="109572A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2350</w:t>
            </w:r>
          </w:p>
        </w:tc>
      </w:tr>
    </w:tbl>
    <w:tbl>
      <w:tblPr>
        <w:tblpPr w:leftFromText="180" w:rightFromText="180" w:vertAnchor="text" w:horzAnchor="page" w:tblpX="6652" w:tblpY="31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800011" w:rsidRPr="00800011" w14:paraId="7752927F" w14:textId="77777777" w:rsidTr="00800011">
        <w:trPr>
          <w:trHeight w:val="288"/>
        </w:trPr>
        <w:tc>
          <w:tcPr>
            <w:tcW w:w="539" w:type="dxa"/>
            <w:vAlign w:val="center"/>
          </w:tcPr>
          <w:p w14:paraId="1D7E770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等级</w:t>
            </w:r>
          </w:p>
        </w:tc>
        <w:tc>
          <w:tcPr>
            <w:tcW w:w="1100" w:type="dxa"/>
            <w:vAlign w:val="center"/>
          </w:tcPr>
          <w:p w14:paraId="17A8E23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单项</w:t>
            </w:r>
          </w:p>
          <w:p w14:paraId="44FB4B4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得分</w:t>
            </w:r>
          </w:p>
        </w:tc>
        <w:tc>
          <w:tcPr>
            <w:tcW w:w="895" w:type="dxa"/>
            <w:vAlign w:val="center"/>
          </w:tcPr>
          <w:p w14:paraId="77846AF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大一</w:t>
            </w:r>
          </w:p>
          <w:p w14:paraId="2E09579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大二</w:t>
            </w:r>
          </w:p>
        </w:tc>
        <w:tc>
          <w:tcPr>
            <w:tcW w:w="896" w:type="dxa"/>
            <w:vAlign w:val="center"/>
          </w:tcPr>
          <w:p w14:paraId="3771C9B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大三</w:t>
            </w:r>
          </w:p>
          <w:p w14:paraId="2354627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大四</w:t>
            </w:r>
          </w:p>
        </w:tc>
      </w:tr>
      <w:tr w:rsidR="00800011" w:rsidRPr="00800011" w14:paraId="2C7F9363" w14:textId="77777777" w:rsidTr="00800011">
        <w:trPr>
          <w:trHeight w:val="288"/>
        </w:trPr>
        <w:tc>
          <w:tcPr>
            <w:tcW w:w="539" w:type="dxa"/>
            <w:vMerge w:val="restart"/>
            <w:vAlign w:val="center"/>
          </w:tcPr>
          <w:p w14:paraId="35CB0A7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优秀</w:t>
            </w:r>
          </w:p>
        </w:tc>
        <w:tc>
          <w:tcPr>
            <w:tcW w:w="1100" w:type="dxa"/>
            <w:vAlign w:val="center"/>
          </w:tcPr>
          <w:p w14:paraId="495D930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100</w:t>
            </w:r>
          </w:p>
        </w:tc>
        <w:tc>
          <w:tcPr>
            <w:tcW w:w="895" w:type="dxa"/>
            <w:vAlign w:val="center"/>
          </w:tcPr>
          <w:p w14:paraId="25DD7F6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3400</w:t>
            </w:r>
          </w:p>
        </w:tc>
        <w:tc>
          <w:tcPr>
            <w:tcW w:w="896" w:type="dxa"/>
            <w:vAlign w:val="center"/>
          </w:tcPr>
          <w:p w14:paraId="3D6D7DC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3450</w:t>
            </w:r>
          </w:p>
        </w:tc>
      </w:tr>
      <w:tr w:rsidR="00800011" w:rsidRPr="00800011" w14:paraId="6AB9DED5" w14:textId="77777777" w:rsidTr="00800011">
        <w:trPr>
          <w:trHeight w:val="288"/>
        </w:trPr>
        <w:tc>
          <w:tcPr>
            <w:tcW w:w="539" w:type="dxa"/>
            <w:vMerge/>
            <w:vAlign w:val="center"/>
          </w:tcPr>
          <w:p w14:paraId="3546111C"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C0B385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95</w:t>
            </w:r>
          </w:p>
        </w:tc>
        <w:tc>
          <w:tcPr>
            <w:tcW w:w="895" w:type="dxa"/>
            <w:vAlign w:val="center"/>
          </w:tcPr>
          <w:p w14:paraId="357D1AE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3350</w:t>
            </w:r>
          </w:p>
        </w:tc>
        <w:tc>
          <w:tcPr>
            <w:tcW w:w="896" w:type="dxa"/>
            <w:vAlign w:val="center"/>
          </w:tcPr>
          <w:p w14:paraId="1B7ECE3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3400</w:t>
            </w:r>
          </w:p>
        </w:tc>
      </w:tr>
      <w:tr w:rsidR="00800011" w:rsidRPr="00800011" w14:paraId="0B417D06" w14:textId="77777777" w:rsidTr="00800011">
        <w:trPr>
          <w:trHeight w:val="288"/>
        </w:trPr>
        <w:tc>
          <w:tcPr>
            <w:tcW w:w="539" w:type="dxa"/>
            <w:vMerge/>
            <w:shd w:val="clear" w:color="auto" w:fill="auto"/>
            <w:vAlign w:val="center"/>
          </w:tcPr>
          <w:p w14:paraId="77A67CD3"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490F96A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90</w:t>
            </w:r>
          </w:p>
        </w:tc>
        <w:tc>
          <w:tcPr>
            <w:tcW w:w="895" w:type="dxa"/>
            <w:shd w:val="clear" w:color="auto" w:fill="D9D9D9"/>
            <w:vAlign w:val="center"/>
          </w:tcPr>
          <w:p w14:paraId="7612483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3300</w:t>
            </w:r>
          </w:p>
        </w:tc>
        <w:tc>
          <w:tcPr>
            <w:tcW w:w="896" w:type="dxa"/>
            <w:shd w:val="clear" w:color="auto" w:fill="D9D9D9"/>
            <w:vAlign w:val="center"/>
          </w:tcPr>
          <w:p w14:paraId="3669933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3350</w:t>
            </w:r>
          </w:p>
        </w:tc>
      </w:tr>
      <w:tr w:rsidR="00800011" w:rsidRPr="00800011" w14:paraId="1D464FAB" w14:textId="77777777" w:rsidTr="00800011">
        <w:trPr>
          <w:trHeight w:val="288"/>
        </w:trPr>
        <w:tc>
          <w:tcPr>
            <w:tcW w:w="539" w:type="dxa"/>
            <w:vMerge w:val="restart"/>
            <w:vAlign w:val="center"/>
          </w:tcPr>
          <w:p w14:paraId="6A66131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良好</w:t>
            </w:r>
          </w:p>
        </w:tc>
        <w:tc>
          <w:tcPr>
            <w:tcW w:w="1100" w:type="dxa"/>
            <w:vAlign w:val="center"/>
          </w:tcPr>
          <w:p w14:paraId="68F63C6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85</w:t>
            </w:r>
          </w:p>
        </w:tc>
        <w:tc>
          <w:tcPr>
            <w:tcW w:w="895" w:type="dxa"/>
            <w:vAlign w:val="center"/>
          </w:tcPr>
          <w:p w14:paraId="497740D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3150</w:t>
            </w:r>
          </w:p>
        </w:tc>
        <w:tc>
          <w:tcPr>
            <w:tcW w:w="896" w:type="dxa"/>
            <w:vAlign w:val="center"/>
          </w:tcPr>
          <w:p w14:paraId="7EFF254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3200</w:t>
            </w:r>
          </w:p>
        </w:tc>
      </w:tr>
      <w:tr w:rsidR="00800011" w:rsidRPr="00800011" w14:paraId="7105DB6E" w14:textId="77777777" w:rsidTr="00800011">
        <w:trPr>
          <w:trHeight w:val="288"/>
        </w:trPr>
        <w:tc>
          <w:tcPr>
            <w:tcW w:w="539" w:type="dxa"/>
            <w:vMerge/>
            <w:shd w:val="clear" w:color="auto" w:fill="auto"/>
            <w:vAlign w:val="center"/>
          </w:tcPr>
          <w:p w14:paraId="2D6B0733"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7DFFEC3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80</w:t>
            </w:r>
          </w:p>
        </w:tc>
        <w:tc>
          <w:tcPr>
            <w:tcW w:w="895" w:type="dxa"/>
            <w:shd w:val="clear" w:color="auto" w:fill="D9D9D9"/>
            <w:vAlign w:val="center"/>
          </w:tcPr>
          <w:p w14:paraId="5E15FF20"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3000</w:t>
            </w:r>
          </w:p>
        </w:tc>
        <w:tc>
          <w:tcPr>
            <w:tcW w:w="896" w:type="dxa"/>
            <w:shd w:val="clear" w:color="auto" w:fill="D9D9D9"/>
            <w:vAlign w:val="center"/>
          </w:tcPr>
          <w:p w14:paraId="0CE9664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3050</w:t>
            </w:r>
          </w:p>
        </w:tc>
      </w:tr>
      <w:tr w:rsidR="00800011" w:rsidRPr="00800011" w14:paraId="50DDD98B" w14:textId="77777777" w:rsidTr="00800011">
        <w:trPr>
          <w:trHeight w:val="288"/>
        </w:trPr>
        <w:tc>
          <w:tcPr>
            <w:tcW w:w="539" w:type="dxa"/>
            <w:vMerge w:val="restart"/>
            <w:vAlign w:val="center"/>
          </w:tcPr>
          <w:p w14:paraId="08BFEDC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及格</w:t>
            </w:r>
          </w:p>
        </w:tc>
        <w:tc>
          <w:tcPr>
            <w:tcW w:w="1100" w:type="dxa"/>
            <w:vAlign w:val="center"/>
          </w:tcPr>
          <w:p w14:paraId="46124EB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78</w:t>
            </w:r>
          </w:p>
        </w:tc>
        <w:tc>
          <w:tcPr>
            <w:tcW w:w="895" w:type="dxa"/>
            <w:vAlign w:val="center"/>
          </w:tcPr>
          <w:p w14:paraId="47620D9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2900</w:t>
            </w:r>
          </w:p>
        </w:tc>
        <w:tc>
          <w:tcPr>
            <w:tcW w:w="896" w:type="dxa"/>
            <w:vAlign w:val="center"/>
          </w:tcPr>
          <w:p w14:paraId="17AFDDD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2950</w:t>
            </w:r>
          </w:p>
        </w:tc>
      </w:tr>
      <w:tr w:rsidR="00800011" w:rsidRPr="00800011" w14:paraId="5E9E839E" w14:textId="77777777" w:rsidTr="00800011">
        <w:trPr>
          <w:trHeight w:val="288"/>
        </w:trPr>
        <w:tc>
          <w:tcPr>
            <w:tcW w:w="539" w:type="dxa"/>
            <w:vMerge/>
            <w:vAlign w:val="center"/>
          </w:tcPr>
          <w:p w14:paraId="69EF86EE"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251845B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76</w:t>
            </w:r>
          </w:p>
        </w:tc>
        <w:tc>
          <w:tcPr>
            <w:tcW w:w="895" w:type="dxa"/>
            <w:vAlign w:val="center"/>
          </w:tcPr>
          <w:p w14:paraId="2F37042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2800</w:t>
            </w:r>
          </w:p>
        </w:tc>
        <w:tc>
          <w:tcPr>
            <w:tcW w:w="896" w:type="dxa"/>
            <w:vAlign w:val="center"/>
          </w:tcPr>
          <w:p w14:paraId="6CA7060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2850</w:t>
            </w:r>
          </w:p>
        </w:tc>
      </w:tr>
      <w:tr w:rsidR="00800011" w:rsidRPr="00800011" w14:paraId="2C882C28" w14:textId="77777777" w:rsidTr="00800011">
        <w:trPr>
          <w:trHeight w:val="288"/>
        </w:trPr>
        <w:tc>
          <w:tcPr>
            <w:tcW w:w="539" w:type="dxa"/>
            <w:vMerge/>
            <w:vAlign w:val="center"/>
          </w:tcPr>
          <w:p w14:paraId="022C3F36"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7681A2E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74</w:t>
            </w:r>
          </w:p>
        </w:tc>
        <w:tc>
          <w:tcPr>
            <w:tcW w:w="895" w:type="dxa"/>
            <w:vAlign w:val="center"/>
          </w:tcPr>
          <w:p w14:paraId="665453A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2700</w:t>
            </w:r>
          </w:p>
        </w:tc>
        <w:tc>
          <w:tcPr>
            <w:tcW w:w="896" w:type="dxa"/>
            <w:vAlign w:val="center"/>
          </w:tcPr>
          <w:p w14:paraId="4C1A6B0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2750</w:t>
            </w:r>
          </w:p>
        </w:tc>
      </w:tr>
      <w:tr w:rsidR="00800011" w:rsidRPr="00800011" w14:paraId="3AA63136" w14:textId="77777777" w:rsidTr="00800011">
        <w:trPr>
          <w:trHeight w:val="288"/>
        </w:trPr>
        <w:tc>
          <w:tcPr>
            <w:tcW w:w="539" w:type="dxa"/>
            <w:vMerge/>
            <w:vAlign w:val="center"/>
          </w:tcPr>
          <w:p w14:paraId="7F12BABE"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0C92FE6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72</w:t>
            </w:r>
          </w:p>
        </w:tc>
        <w:tc>
          <w:tcPr>
            <w:tcW w:w="895" w:type="dxa"/>
            <w:vAlign w:val="center"/>
          </w:tcPr>
          <w:p w14:paraId="7E36F7D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2600</w:t>
            </w:r>
          </w:p>
        </w:tc>
        <w:tc>
          <w:tcPr>
            <w:tcW w:w="896" w:type="dxa"/>
            <w:vAlign w:val="center"/>
          </w:tcPr>
          <w:p w14:paraId="1DCF741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2650</w:t>
            </w:r>
          </w:p>
        </w:tc>
      </w:tr>
      <w:tr w:rsidR="00800011" w:rsidRPr="00800011" w14:paraId="1FE6CA4A" w14:textId="77777777" w:rsidTr="00800011">
        <w:trPr>
          <w:trHeight w:val="288"/>
        </w:trPr>
        <w:tc>
          <w:tcPr>
            <w:tcW w:w="539" w:type="dxa"/>
            <w:vMerge/>
            <w:vAlign w:val="center"/>
          </w:tcPr>
          <w:p w14:paraId="14BAB2B2"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966147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70</w:t>
            </w:r>
          </w:p>
        </w:tc>
        <w:tc>
          <w:tcPr>
            <w:tcW w:w="895" w:type="dxa"/>
            <w:vAlign w:val="center"/>
          </w:tcPr>
          <w:p w14:paraId="3C2C86E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2500</w:t>
            </w:r>
          </w:p>
        </w:tc>
        <w:tc>
          <w:tcPr>
            <w:tcW w:w="896" w:type="dxa"/>
            <w:vAlign w:val="center"/>
          </w:tcPr>
          <w:p w14:paraId="13402C0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2550</w:t>
            </w:r>
          </w:p>
        </w:tc>
      </w:tr>
      <w:tr w:rsidR="00800011" w:rsidRPr="00800011" w14:paraId="445D652A" w14:textId="77777777" w:rsidTr="00800011">
        <w:trPr>
          <w:trHeight w:val="288"/>
        </w:trPr>
        <w:tc>
          <w:tcPr>
            <w:tcW w:w="539" w:type="dxa"/>
            <w:vMerge/>
            <w:vAlign w:val="center"/>
          </w:tcPr>
          <w:p w14:paraId="73EB2B02"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1FDDD96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68</w:t>
            </w:r>
          </w:p>
        </w:tc>
        <w:tc>
          <w:tcPr>
            <w:tcW w:w="895" w:type="dxa"/>
            <w:vAlign w:val="center"/>
          </w:tcPr>
          <w:p w14:paraId="1CEADB1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2400</w:t>
            </w:r>
          </w:p>
        </w:tc>
        <w:tc>
          <w:tcPr>
            <w:tcW w:w="896" w:type="dxa"/>
            <w:vAlign w:val="center"/>
          </w:tcPr>
          <w:p w14:paraId="78E355B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2450</w:t>
            </w:r>
          </w:p>
        </w:tc>
      </w:tr>
      <w:tr w:rsidR="00800011" w:rsidRPr="00800011" w14:paraId="146A146A" w14:textId="77777777" w:rsidTr="00800011">
        <w:trPr>
          <w:trHeight w:val="288"/>
        </w:trPr>
        <w:tc>
          <w:tcPr>
            <w:tcW w:w="539" w:type="dxa"/>
            <w:vMerge/>
            <w:vAlign w:val="center"/>
          </w:tcPr>
          <w:p w14:paraId="4DFEE1EF"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462E7A5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66</w:t>
            </w:r>
          </w:p>
        </w:tc>
        <w:tc>
          <w:tcPr>
            <w:tcW w:w="895" w:type="dxa"/>
            <w:vAlign w:val="center"/>
          </w:tcPr>
          <w:p w14:paraId="0017763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2300</w:t>
            </w:r>
          </w:p>
        </w:tc>
        <w:tc>
          <w:tcPr>
            <w:tcW w:w="896" w:type="dxa"/>
            <w:vAlign w:val="center"/>
          </w:tcPr>
          <w:p w14:paraId="1F1F722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2350</w:t>
            </w:r>
          </w:p>
        </w:tc>
      </w:tr>
      <w:tr w:rsidR="00800011" w:rsidRPr="00800011" w14:paraId="41800728" w14:textId="77777777" w:rsidTr="00800011">
        <w:trPr>
          <w:trHeight w:val="288"/>
        </w:trPr>
        <w:tc>
          <w:tcPr>
            <w:tcW w:w="539" w:type="dxa"/>
            <w:vMerge/>
            <w:vAlign w:val="center"/>
          </w:tcPr>
          <w:p w14:paraId="449DDF01"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7781018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64</w:t>
            </w:r>
          </w:p>
        </w:tc>
        <w:tc>
          <w:tcPr>
            <w:tcW w:w="895" w:type="dxa"/>
            <w:vAlign w:val="center"/>
          </w:tcPr>
          <w:p w14:paraId="2B25766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2200</w:t>
            </w:r>
          </w:p>
        </w:tc>
        <w:tc>
          <w:tcPr>
            <w:tcW w:w="896" w:type="dxa"/>
            <w:vAlign w:val="center"/>
          </w:tcPr>
          <w:p w14:paraId="573C5B1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2250</w:t>
            </w:r>
          </w:p>
        </w:tc>
      </w:tr>
      <w:tr w:rsidR="00800011" w:rsidRPr="00800011" w14:paraId="41F9E893" w14:textId="77777777" w:rsidTr="00800011">
        <w:trPr>
          <w:trHeight w:val="288"/>
        </w:trPr>
        <w:tc>
          <w:tcPr>
            <w:tcW w:w="539" w:type="dxa"/>
            <w:vMerge/>
            <w:vAlign w:val="center"/>
          </w:tcPr>
          <w:p w14:paraId="679F5608"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66B45C3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62</w:t>
            </w:r>
          </w:p>
        </w:tc>
        <w:tc>
          <w:tcPr>
            <w:tcW w:w="895" w:type="dxa"/>
            <w:vAlign w:val="center"/>
          </w:tcPr>
          <w:p w14:paraId="304214E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2100</w:t>
            </w:r>
          </w:p>
        </w:tc>
        <w:tc>
          <w:tcPr>
            <w:tcW w:w="896" w:type="dxa"/>
            <w:vAlign w:val="center"/>
          </w:tcPr>
          <w:p w14:paraId="7229A05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2150</w:t>
            </w:r>
          </w:p>
        </w:tc>
      </w:tr>
      <w:tr w:rsidR="00800011" w:rsidRPr="00800011" w14:paraId="7513ECCE" w14:textId="77777777" w:rsidTr="00800011">
        <w:trPr>
          <w:trHeight w:val="288"/>
        </w:trPr>
        <w:tc>
          <w:tcPr>
            <w:tcW w:w="539" w:type="dxa"/>
            <w:vMerge/>
            <w:shd w:val="clear" w:color="auto" w:fill="auto"/>
            <w:vAlign w:val="center"/>
          </w:tcPr>
          <w:p w14:paraId="2B5C32AF"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0B1130E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60</w:t>
            </w:r>
          </w:p>
        </w:tc>
        <w:tc>
          <w:tcPr>
            <w:tcW w:w="895" w:type="dxa"/>
            <w:shd w:val="clear" w:color="auto" w:fill="D9D9D9"/>
            <w:vAlign w:val="center"/>
          </w:tcPr>
          <w:p w14:paraId="2D8DD2C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2000</w:t>
            </w:r>
          </w:p>
        </w:tc>
        <w:tc>
          <w:tcPr>
            <w:tcW w:w="896" w:type="dxa"/>
            <w:shd w:val="clear" w:color="auto" w:fill="D9D9D9"/>
            <w:vAlign w:val="center"/>
          </w:tcPr>
          <w:p w14:paraId="34DBF35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2050</w:t>
            </w:r>
          </w:p>
        </w:tc>
      </w:tr>
      <w:tr w:rsidR="00800011" w:rsidRPr="00800011" w14:paraId="3AF3EBDA" w14:textId="77777777" w:rsidTr="00800011">
        <w:trPr>
          <w:trHeight w:val="288"/>
        </w:trPr>
        <w:tc>
          <w:tcPr>
            <w:tcW w:w="539" w:type="dxa"/>
            <w:vMerge w:val="restart"/>
            <w:vAlign w:val="center"/>
          </w:tcPr>
          <w:p w14:paraId="1870999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不及格</w:t>
            </w:r>
          </w:p>
        </w:tc>
        <w:tc>
          <w:tcPr>
            <w:tcW w:w="1100" w:type="dxa"/>
            <w:vAlign w:val="center"/>
          </w:tcPr>
          <w:p w14:paraId="32C202C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50</w:t>
            </w:r>
          </w:p>
        </w:tc>
        <w:tc>
          <w:tcPr>
            <w:tcW w:w="895" w:type="dxa"/>
            <w:vAlign w:val="center"/>
          </w:tcPr>
          <w:p w14:paraId="57F0CDC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1960</w:t>
            </w:r>
          </w:p>
        </w:tc>
        <w:tc>
          <w:tcPr>
            <w:tcW w:w="896" w:type="dxa"/>
            <w:vAlign w:val="center"/>
          </w:tcPr>
          <w:p w14:paraId="4C141EF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2010</w:t>
            </w:r>
          </w:p>
        </w:tc>
      </w:tr>
      <w:tr w:rsidR="00800011" w:rsidRPr="00800011" w14:paraId="7AC8AB65" w14:textId="77777777" w:rsidTr="00800011">
        <w:trPr>
          <w:trHeight w:val="288"/>
        </w:trPr>
        <w:tc>
          <w:tcPr>
            <w:tcW w:w="539" w:type="dxa"/>
            <w:vMerge/>
            <w:vAlign w:val="center"/>
          </w:tcPr>
          <w:p w14:paraId="3AABDE0A"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6E72094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40</w:t>
            </w:r>
          </w:p>
        </w:tc>
        <w:tc>
          <w:tcPr>
            <w:tcW w:w="895" w:type="dxa"/>
            <w:vAlign w:val="center"/>
          </w:tcPr>
          <w:p w14:paraId="27DB25B0"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1920</w:t>
            </w:r>
          </w:p>
        </w:tc>
        <w:tc>
          <w:tcPr>
            <w:tcW w:w="896" w:type="dxa"/>
            <w:vAlign w:val="center"/>
          </w:tcPr>
          <w:p w14:paraId="1D41A7A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1970</w:t>
            </w:r>
          </w:p>
        </w:tc>
      </w:tr>
      <w:tr w:rsidR="00800011" w:rsidRPr="00800011" w14:paraId="6F8C9948" w14:textId="77777777" w:rsidTr="00800011">
        <w:trPr>
          <w:trHeight w:val="288"/>
        </w:trPr>
        <w:tc>
          <w:tcPr>
            <w:tcW w:w="539" w:type="dxa"/>
            <w:vMerge/>
            <w:vAlign w:val="center"/>
          </w:tcPr>
          <w:p w14:paraId="7F642EB5"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4160E10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30</w:t>
            </w:r>
          </w:p>
        </w:tc>
        <w:tc>
          <w:tcPr>
            <w:tcW w:w="895" w:type="dxa"/>
            <w:vAlign w:val="center"/>
          </w:tcPr>
          <w:p w14:paraId="3CA6569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1880</w:t>
            </w:r>
          </w:p>
        </w:tc>
        <w:tc>
          <w:tcPr>
            <w:tcW w:w="896" w:type="dxa"/>
            <w:vAlign w:val="center"/>
          </w:tcPr>
          <w:p w14:paraId="545582E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1930</w:t>
            </w:r>
          </w:p>
        </w:tc>
      </w:tr>
      <w:tr w:rsidR="00800011" w:rsidRPr="00800011" w14:paraId="1CAFFC67" w14:textId="77777777" w:rsidTr="00800011">
        <w:trPr>
          <w:trHeight w:val="288"/>
        </w:trPr>
        <w:tc>
          <w:tcPr>
            <w:tcW w:w="539" w:type="dxa"/>
            <w:vMerge/>
            <w:vAlign w:val="center"/>
          </w:tcPr>
          <w:p w14:paraId="7FE16187"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04677A5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20</w:t>
            </w:r>
          </w:p>
        </w:tc>
        <w:tc>
          <w:tcPr>
            <w:tcW w:w="895" w:type="dxa"/>
            <w:vAlign w:val="center"/>
          </w:tcPr>
          <w:p w14:paraId="10CD570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1840</w:t>
            </w:r>
          </w:p>
        </w:tc>
        <w:tc>
          <w:tcPr>
            <w:tcW w:w="896" w:type="dxa"/>
            <w:vAlign w:val="center"/>
          </w:tcPr>
          <w:p w14:paraId="308FEE2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1890</w:t>
            </w:r>
          </w:p>
        </w:tc>
      </w:tr>
      <w:tr w:rsidR="00800011" w:rsidRPr="00800011" w14:paraId="64B25B4E" w14:textId="77777777" w:rsidTr="00800011">
        <w:trPr>
          <w:trHeight w:val="288"/>
        </w:trPr>
        <w:tc>
          <w:tcPr>
            <w:tcW w:w="539" w:type="dxa"/>
            <w:vMerge/>
            <w:vAlign w:val="center"/>
          </w:tcPr>
          <w:p w14:paraId="2672B1AB"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1916B41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w:t>
            </w:r>
          </w:p>
        </w:tc>
        <w:tc>
          <w:tcPr>
            <w:tcW w:w="895" w:type="dxa"/>
            <w:vAlign w:val="center"/>
          </w:tcPr>
          <w:p w14:paraId="17073DA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1800</w:t>
            </w:r>
          </w:p>
        </w:tc>
        <w:tc>
          <w:tcPr>
            <w:tcW w:w="896" w:type="dxa"/>
            <w:vAlign w:val="center"/>
          </w:tcPr>
          <w:p w14:paraId="0BD4259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1850</w:t>
            </w:r>
          </w:p>
        </w:tc>
      </w:tr>
    </w:tbl>
    <w:p w14:paraId="2965B68C" w14:textId="77777777" w:rsidR="00800011" w:rsidRDefault="00800011" w:rsidP="00800011">
      <w:pPr>
        <w:rPr>
          <w:rFonts w:ascii="宋体" w:eastAsia="宋体" w:hAnsi="宋体" w:cs="Times New Roman"/>
          <w:b/>
          <w:sz w:val="28"/>
          <w:szCs w:val="28"/>
        </w:rPr>
      </w:pPr>
    </w:p>
    <w:p w14:paraId="3E18F253" w14:textId="77777777" w:rsidR="003C75C2" w:rsidRPr="00800011" w:rsidRDefault="003C75C2" w:rsidP="00800011">
      <w:pPr>
        <w:rPr>
          <w:rFonts w:ascii="仿宋_GB2312" w:eastAsia="仿宋_GB2312" w:hAnsi="仿宋" w:cs="Times New Roman"/>
          <w:sz w:val="32"/>
          <w:szCs w:val="32"/>
        </w:rPr>
      </w:pPr>
    </w:p>
    <w:p w14:paraId="5E152F58"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6DC630F6"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67514015"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33144311"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B5DAA0F"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351D4D8"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55F42AD"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28DC961"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473629C"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99AC261"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11FD68F"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D770530"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A0EE916"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5910EB59" w14:textId="77777777" w:rsidR="00800011" w:rsidRPr="00800011" w:rsidRDefault="00800011" w:rsidP="00800011">
      <w:pPr>
        <w:autoSpaceDE w:val="0"/>
        <w:autoSpaceDN w:val="0"/>
        <w:adjustRightInd w:val="0"/>
        <w:snapToGrid w:val="0"/>
        <w:spacing w:line="500" w:lineRule="exact"/>
        <w:ind w:firstLineChars="200" w:firstLine="500"/>
        <w:rPr>
          <w:rFonts w:ascii="宋体" w:eastAsia="宋体" w:hAnsi="Calibri" w:cs="宋体"/>
          <w:spacing w:val="5"/>
          <w:kern w:val="0"/>
          <w:sz w:val="24"/>
        </w:rPr>
      </w:pPr>
    </w:p>
    <w:p w14:paraId="7921A6EC" w14:textId="77777777" w:rsidR="00800011" w:rsidRPr="00800011" w:rsidRDefault="00800011" w:rsidP="00800011">
      <w:pPr>
        <w:autoSpaceDE w:val="0"/>
        <w:autoSpaceDN w:val="0"/>
        <w:adjustRightInd w:val="0"/>
        <w:snapToGrid w:val="0"/>
        <w:spacing w:line="500" w:lineRule="exact"/>
        <w:ind w:firstLineChars="200" w:firstLine="500"/>
        <w:rPr>
          <w:rFonts w:ascii="宋体" w:eastAsia="宋体" w:hAnsi="Calibri" w:cs="宋体"/>
          <w:spacing w:val="5"/>
          <w:kern w:val="0"/>
          <w:sz w:val="24"/>
        </w:rPr>
      </w:pPr>
    </w:p>
    <w:p w14:paraId="1B0D93AA" w14:textId="77777777" w:rsidR="00800011" w:rsidRPr="00800011" w:rsidRDefault="00800011" w:rsidP="00800011">
      <w:pPr>
        <w:autoSpaceDE w:val="0"/>
        <w:autoSpaceDN w:val="0"/>
        <w:adjustRightInd w:val="0"/>
        <w:snapToGrid w:val="0"/>
        <w:spacing w:line="500" w:lineRule="exact"/>
        <w:ind w:firstLineChars="200" w:firstLine="500"/>
        <w:rPr>
          <w:rFonts w:ascii="宋体" w:eastAsia="宋体" w:hAnsi="Calibri" w:cs="宋体"/>
          <w:spacing w:val="5"/>
          <w:kern w:val="0"/>
          <w:sz w:val="24"/>
        </w:rPr>
      </w:pPr>
    </w:p>
    <w:p w14:paraId="72E691D5" w14:textId="77777777" w:rsidR="00800011" w:rsidRPr="00800011" w:rsidRDefault="00800011" w:rsidP="00800011">
      <w:pPr>
        <w:autoSpaceDE w:val="0"/>
        <w:autoSpaceDN w:val="0"/>
        <w:adjustRightInd w:val="0"/>
        <w:snapToGrid w:val="0"/>
        <w:spacing w:line="500" w:lineRule="exact"/>
        <w:ind w:firstLineChars="200" w:firstLine="500"/>
        <w:rPr>
          <w:rFonts w:ascii="宋体" w:eastAsia="宋体" w:hAnsi="Calibri" w:cs="宋体"/>
          <w:spacing w:val="5"/>
          <w:kern w:val="0"/>
          <w:sz w:val="24"/>
        </w:rPr>
      </w:pPr>
    </w:p>
    <w:p w14:paraId="1275979C" w14:textId="77777777" w:rsidR="00800011" w:rsidRPr="00800011" w:rsidRDefault="00800011" w:rsidP="00800011">
      <w:pPr>
        <w:autoSpaceDE w:val="0"/>
        <w:autoSpaceDN w:val="0"/>
        <w:adjustRightInd w:val="0"/>
        <w:snapToGrid w:val="0"/>
        <w:spacing w:line="500" w:lineRule="exact"/>
        <w:ind w:firstLineChars="200" w:firstLine="500"/>
        <w:rPr>
          <w:rFonts w:ascii="宋体" w:eastAsia="宋体" w:hAnsi="Calibri" w:cs="宋体"/>
          <w:spacing w:val="5"/>
          <w:kern w:val="0"/>
          <w:sz w:val="24"/>
        </w:rPr>
      </w:pPr>
    </w:p>
    <w:p w14:paraId="4445FFA2" w14:textId="77777777" w:rsidR="00800011" w:rsidRPr="00800011" w:rsidRDefault="00800011" w:rsidP="00800011">
      <w:pPr>
        <w:autoSpaceDE w:val="0"/>
        <w:autoSpaceDN w:val="0"/>
        <w:adjustRightInd w:val="0"/>
        <w:snapToGrid w:val="0"/>
        <w:spacing w:line="500" w:lineRule="exact"/>
        <w:ind w:firstLineChars="200" w:firstLine="500"/>
        <w:rPr>
          <w:rFonts w:ascii="宋体" w:eastAsia="宋体" w:hAnsi="Calibri" w:cs="宋体"/>
          <w:spacing w:val="5"/>
          <w:kern w:val="0"/>
          <w:sz w:val="24"/>
        </w:rPr>
      </w:pPr>
    </w:p>
    <w:p w14:paraId="4C6CBA06" w14:textId="77777777" w:rsidR="00800011" w:rsidRPr="00800011" w:rsidRDefault="00800011" w:rsidP="00800011">
      <w:pPr>
        <w:autoSpaceDE w:val="0"/>
        <w:autoSpaceDN w:val="0"/>
        <w:adjustRightInd w:val="0"/>
        <w:snapToGrid w:val="0"/>
        <w:spacing w:line="500" w:lineRule="exact"/>
        <w:ind w:firstLineChars="200" w:firstLine="500"/>
        <w:rPr>
          <w:rFonts w:ascii="宋体" w:eastAsia="宋体" w:hAnsi="Calibri" w:cs="宋体"/>
          <w:spacing w:val="5"/>
          <w:kern w:val="0"/>
          <w:sz w:val="24"/>
        </w:rPr>
      </w:pPr>
    </w:p>
    <w:p w14:paraId="02295FA9" w14:textId="77777777" w:rsidR="00800011" w:rsidRPr="00800011" w:rsidRDefault="00800011" w:rsidP="00800011">
      <w:pPr>
        <w:autoSpaceDE w:val="0"/>
        <w:autoSpaceDN w:val="0"/>
        <w:adjustRightInd w:val="0"/>
        <w:snapToGrid w:val="0"/>
        <w:spacing w:line="500" w:lineRule="exact"/>
        <w:ind w:firstLineChars="200" w:firstLine="500"/>
        <w:rPr>
          <w:rFonts w:ascii="宋体" w:eastAsia="宋体" w:hAnsi="Calibri" w:cs="宋体"/>
          <w:spacing w:val="5"/>
          <w:kern w:val="0"/>
          <w:sz w:val="24"/>
        </w:rPr>
      </w:pPr>
    </w:p>
    <w:p w14:paraId="084783F4" w14:textId="77777777" w:rsidR="00800011" w:rsidRPr="00800011" w:rsidRDefault="00800011" w:rsidP="00800011">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800011">
        <w:rPr>
          <w:rFonts w:ascii="宋体" w:eastAsia="宋体" w:hAnsi="Calibri" w:cs="宋体" w:hint="eastAsia"/>
          <w:spacing w:val="5"/>
          <w:kern w:val="0"/>
          <w:sz w:val="24"/>
        </w:rPr>
        <w:t>表1-5男生50米跑单项评分表     表1-6女生50米跑单项评分表</w:t>
      </w:r>
    </w:p>
    <w:p w14:paraId="3A9DEBE7" w14:textId="77777777" w:rsidR="00800011" w:rsidRPr="00800011" w:rsidRDefault="00800011" w:rsidP="00800011">
      <w:pPr>
        <w:autoSpaceDE w:val="0"/>
        <w:autoSpaceDN w:val="0"/>
        <w:adjustRightInd w:val="0"/>
        <w:snapToGrid w:val="0"/>
        <w:spacing w:line="500" w:lineRule="exact"/>
        <w:ind w:firstLineChars="1300" w:firstLine="3250"/>
        <w:rPr>
          <w:rFonts w:ascii="仿宋_GB2312" w:eastAsia="仿宋_GB2312" w:hAnsi="仿宋" w:cs="Times New Roman"/>
          <w:sz w:val="32"/>
          <w:szCs w:val="32"/>
        </w:rPr>
      </w:pPr>
      <w:r w:rsidRPr="00800011">
        <w:rPr>
          <w:rFonts w:ascii="宋体" w:eastAsia="宋体" w:hAnsi="Calibri" w:cs="宋体" w:hint="eastAsia"/>
          <w:spacing w:val="5"/>
          <w:kern w:val="0"/>
          <w:sz w:val="24"/>
        </w:rPr>
        <w:t>（单位：秒）</w:t>
      </w: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800011" w:rsidRPr="00800011" w14:paraId="3FCD6E18" w14:textId="77777777" w:rsidTr="00800011">
        <w:trPr>
          <w:trHeight w:val="288"/>
        </w:trPr>
        <w:tc>
          <w:tcPr>
            <w:tcW w:w="537" w:type="dxa"/>
            <w:vAlign w:val="center"/>
          </w:tcPr>
          <w:p w14:paraId="576FD998" w14:textId="77777777" w:rsidR="00800011" w:rsidRPr="00800011" w:rsidRDefault="00800011" w:rsidP="00800011">
            <w:pPr>
              <w:widowControl/>
              <w:rPr>
                <w:rFonts w:ascii="宋体" w:eastAsia="宋体" w:hAnsi="宋体" w:cs="宋体"/>
                <w:b/>
                <w:bCs/>
                <w:kern w:val="0"/>
                <w:sz w:val="22"/>
              </w:rPr>
            </w:pPr>
            <w:r w:rsidRPr="00800011">
              <w:rPr>
                <w:rFonts w:ascii="宋体" w:eastAsia="宋体" w:hAnsi="宋体" w:cs="宋体" w:hint="eastAsia"/>
                <w:b/>
                <w:bCs/>
                <w:kern w:val="0"/>
                <w:sz w:val="22"/>
              </w:rPr>
              <w:t>等级</w:t>
            </w:r>
          </w:p>
        </w:tc>
        <w:tc>
          <w:tcPr>
            <w:tcW w:w="1097" w:type="dxa"/>
            <w:vAlign w:val="center"/>
          </w:tcPr>
          <w:p w14:paraId="78FB813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单项</w:t>
            </w:r>
          </w:p>
          <w:p w14:paraId="63993BD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得分</w:t>
            </w:r>
          </w:p>
        </w:tc>
        <w:tc>
          <w:tcPr>
            <w:tcW w:w="896" w:type="dxa"/>
            <w:vAlign w:val="center"/>
          </w:tcPr>
          <w:p w14:paraId="0899F37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大一</w:t>
            </w:r>
          </w:p>
          <w:p w14:paraId="151CCFF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大二</w:t>
            </w:r>
          </w:p>
        </w:tc>
        <w:tc>
          <w:tcPr>
            <w:tcW w:w="896" w:type="dxa"/>
            <w:vAlign w:val="center"/>
          </w:tcPr>
          <w:p w14:paraId="0D637DD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大三</w:t>
            </w:r>
          </w:p>
          <w:p w14:paraId="3CDE862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大四</w:t>
            </w:r>
          </w:p>
        </w:tc>
      </w:tr>
      <w:tr w:rsidR="00800011" w:rsidRPr="00800011" w14:paraId="2F747145" w14:textId="77777777" w:rsidTr="00800011">
        <w:trPr>
          <w:trHeight w:val="288"/>
        </w:trPr>
        <w:tc>
          <w:tcPr>
            <w:tcW w:w="537" w:type="dxa"/>
            <w:vMerge w:val="restart"/>
            <w:vAlign w:val="center"/>
          </w:tcPr>
          <w:p w14:paraId="4705661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优秀</w:t>
            </w:r>
          </w:p>
        </w:tc>
        <w:tc>
          <w:tcPr>
            <w:tcW w:w="1097" w:type="dxa"/>
            <w:vAlign w:val="center"/>
          </w:tcPr>
          <w:p w14:paraId="352A2BE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100</w:t>
            </w:r>
          </w:p>
        </w:tc>
        <w:tc>
          <w:tcPr>
            <w:tcW w:w="896" w:type="dxa"/>
            <w:vAlign w:val="center"/>
          </w:tcPr>
          <w:p w14:paraId="2DE291C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7.5</w:t>
            </w:r>
          </w:p>
        </w:tc>
        <w:tc>
          <w:tcPr>
            <w:tcW w:w="896" w:type="dxa"/>
            <w:vAlign w:val="center"/>
          </w:tcPr>
          <w:p w14:paraId="67FEA7B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7.4</w:t>
            </w:r>
          </w:p>
        </w:tc>
      </w:tr>
      <w:tr w:rsidR="00800011" w:rsidRPr="00800011" w14:paraId="32E6EED0" w14:textId="77777777" w:rsidTr="00800011">
        <w:trPr>
          <w:trHeight w:val="288"/>
        </w:trPr>
        <w:tc>
          <w:tcPr>
            <w:tcW w:w="537" w:type="dxa"/>
            <w:vMerge/>
            <w:vAlign w:val="center"/>
          </w:tcPr>
          <w:p w14:paraId="212A257B" w14:textId="77777777" w:rsidR="00800011" w:rsidRPr="00800011" w:rsidRDefault="00800011" w:rsidP="00800011">
            <w:pPr>
              <w:widowControl/>
              <w:jc w:val="center"/>
              <w:rPr>
                <w:rFonts w:ascii="宋体" w:eastAsia="宋体" w:hAnsi="宋体" w:cs="宋体"/>
                <w:b/>
                <w:bCs/>
                <w:kern w:val="0"/>
                <w:sz w:val="22"/>
              </w:rPr>
            </w:pPr>
          </w:p>
        </w:tc>
        <w:tc>
          <w:tcPr>
            <w:tcW w:w="1097" w:type="dxa"/>
            <w:vAlign w:val="center"/>
          </w:tcPr>
          <w:p w14:paraId="68ECA91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95</w:t>
            </w:r>
          </w:p>
        </w:tc>
        <w:tc>
          <w:tcPr>
            <w:tcW w:w="896" w:type="dxa"/>
            <w:vAlign w:val="center"/>
          </w:tcPr>
          <w:p w14:paraId="5A2097A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7.6</w:t>
            </w:r>
          </w:p>
        </w:tc>
        <w:tc>
          <w:tcPr>
            <w:tcW w:w="896" w:type="dxa"/>
            <w:vAlign w:val="center"/>
          </w:tcPr>
          <w:p w14:paraId="2F678F0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7.5</w:t>
            </w:r>
          </w:p>
        </w:tc>
      </w:tr>
      <w:tr w:rsidR="00800011" w:rsidRPr="00800011" w14:paraId="0991EBFA" w14:textId="77777777" w:rsidTr="00800011">
        <w:trPr>
          <w:trHeight w:val="288"/>
        </w:trPr>
        <w:tc>
          <w:tcPr>
            <w:tcW w:w="537" w:type="dxa"/>
            <w:vMerge/>
            <w:shd w:val="clear" w:color="auto" w:fill="auto"/>
            <w:vAlign w:val="center"/>
          </w:tcPr>
          <w:p w14:paraId="60647149" w14:textId="77777777" w:rsidR="00800011" w:rsidRPr="00800011" w:rsidRDefault="00800011" w:rsidP="00800011">
            <w:pPr>
              <w:widowControl/>
              <w:jc w:val="center"/>
              <w:rPr>
                <w:rFonts w:ascii="宋体" w:eastAsia="宋体" w:hAnsi="宋体" w:cs="宋体"/>
                <w:b/>
                <w:bCs/>
                <w:kern w:val="0"/>
                <w:sz w:val="22"/>
              </w:rPr>
            </w:pPr>
          </w:p>
        </w:tc>
        <w:tc>
          <w:tcPr>
            <w:tcW w:w="1097" w:type="dxa"/>
            <w:shd w:val="clear" w:color="auto" w:fill="D9D9D9"/>
            <w:vAlign w:val="center"/>
          </w:tcPr>
          <w:p w14:paraId="085AE18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90</w:t>
            </w:r>
          </w:p>
        </w:tc>
        <w:tc>
          <w:tcPr>
            <w:tcW w:w="896" w:type="dxa"/>
            <w:shd w:val="clear" w:color="auto" w:fill="D9D9D9"/>
            <w:vAlign w:val="center"/>
          </w:tcPr>
          <w:p w14:paraId="218BA482"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7.7</w:t>
            </w:r>
          </w:p>
        </w:tc>
        <w:tc>
          <w:tcPr>
            <w:tcW w:w="896" w:type="dxa"/>
            <w:shd w:val="clear" w:color="auto" w:fill="D9D9D9"/>
            <w:vAlign w:val="center"/>
          </w:tcPr>
          <w:p w14:paraId="0532D13E"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7.6</w:t>
            </w:r>
          </w:p>
        </w:tc>
      </w:tr>
      <w:tr w:rsidR="00800011" w:rsidRPr="00800011" w14:paraId="493800CB" w14:textId="77777777" w:rsidTr="00800011">
        <w:trPr>
          <w:trHeight w:val="288"/>
        </w:trPr>
        <w:tc>
          <w:tcPr>
            <w:tcW w:w="537" w:type="dxa"/>
            <w:vMerge w:val="restart"/>
            <w:vAlign w:val="center"/>
          </w:tcPr>
          <w:p w14:paraId="3E168EF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良好</w:t>
            </w:r>
          </w:p>
        </w:tc>
        <w:tc>
          <w:tcPr>
            <w:tcW w:w="1097" w:type="dxa"/>
            <w:vAlign w:val="center"/>
          </w:tcPr>
          <w:p w14:paraId="0278707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85</w:t>
            </w:r>
          </w:p>
        </w:tc>
        <w:tc>
          <w:tcPr>
            <w:tcW w:w="896" w:type="dxa"/>
            <w:vAlign w:val="center"/>
          </w:tcPr>
          <w:p w14:paraId="617EE53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8.0</w:t>
            </w:r>
          </w:p>
        </w:tc>
        <w:tc>
          <w:tcPr>
            <w:tcW w:w="896" w:type="dxa"/>
            <w:vAlign w:val="center"/>
          </w:tcPr>
          <w:p w14:paraId="5C2D197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7.9</w:t>
            </w:r>
          </w:p>
        </w:tc>
      </w:tr>
      <w:tr w:rsidR="00800011" w:rsidRPr="00800011" w14:paraId="23CB6F58" w14:textId="77777777" w:rsidTr="00800011">
        <w:trPr>
          <w:trHeight w:val="288"/>
        </w:trPr>
        <w:tc>
          <w:tcPr>
            <w:tcW w:w="537" w:type="dxa"/>
            <w:vMerge/>
            <w:shd w:val="clear" w:color="auto" w:fill="auto"/>
            <w:vAlign w:val="center"/>
          </w:tcPr>
          <w:p w14:paraId="0483358E" w14:textId="77777777" w:rsidR="00800011" w:rsidRPr="00800011" w:rsidRDefault="00800011" w:rsidP="00800011">
            <w:pPr>
              <w:widowControl/>
              <w:jc w:val="center"/>
              <w:rPr>
                <w:rFonts w:ascii="宋体" w:eastAsia="宋体" w:hAnsi="宋体" w:cs="宋体"/>
                <w:b/>
                <w:bCs/>
                <w:kern w:val="0"/>
                <w:sz w:val="22"/>
              </w:rPr>
            </w:pPr>
          </w:p>
        </w:tc>
        <w:tc>
          <w:tcPr>
            <w:tcW w:w="1097" w:type="dxa"/>
            <w:shd w:val="clear" w:color="auto" w:fill="D9D9D9"/>
            <w:vAlign w:val="center"/>
          </w:tcPr>
          <w:p w14:paraId="38AA38D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80</w:t>
            </w:r>
          </w:p>
        </w:tc>
        <w:tc>
          <w:tcPr>
            <w:tcW w:w="896" w:type="dxa"/>
            <w:shd w:val="clear" w:color="auto" w:fill="D9D9D9"/>
            <w:vAlign w:val="center"/>
          </w:tcPr>
          <w:p w14:paraId="7553690B"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8.3</w:t>
            </w:r>
          </w:p>
        </w:tc>
        <w:tc>
          <w:tcPr>
            <w:tcW w:w="896" w:type="dxa"/>
            <w:shd w:val="clear" w:color="auto" w:fill="D9D9D9"/>
            <w:vAlign w:val="center"/>
          </w:tcPr>
          <w:p w14:paraId="1BF1BC24"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8.2</w:t>
            </w:r>
          </w:p>
        </w:tc>
      </w:tr>
      <w:tr w:rsidR="00800011" w:rsidRPr="00800011" w14:paraId="7E89F6FD" w14:textId="77777777" w:rsidTr="00800011">
        <w:trPr>
          <w:trHeight w:val="288"/>
        </w:trPr>
        <w:tc>
          <w:tcPr>
            <w:tcW w:w="537" w:type="dxa"/>
            <w:vMerge w:val="restart"/>
            <w:vAlign w:val="center"/>
          </w:tcPr>
          <w:p w14:paraId="4E7B5AA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及格</w:t>
            </w:r>
          </w:p>
        </w:tc>
        <w:tc>
          <w:tcPr>
            <w:tcW w:w="1097" w:type="dxa"/>
            <w:vAlign w:val="center"/>
          </w:tcPr>
          <w:p w14:paraId="6D50E69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78</w:t>
            </w:r>
          </w:p>
        </w:tc>
        <w:tc>
          <w:tcPr>
            <w:tcW w:w="896" w:type="dxa"/>
            <w:vAlign w:val="center"/>
          </w:tcPr>
          <w:p w14:paraId="53AC3F9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8.5</w:t>
            </w:r>
          </w:p>
        </w:tc>
        <w:tc>
          <w:tcPr>
            <w:tcW w:w="896" w:type="dxa"/>
            <w:vAlign w:val="center"/>
          </w:tcPr>
          <w:p w14:paraId="120FADC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8.4</w:t>
            </w:r>
          </w:p>
        </w:tc>
      </w:tr>
      <w:tr w:rsidR="00800011" w:rsidRPr="00800011" w14:paraId="6200B42A" w14:textId="77777777" w:rsidTr="00800011">
        <w:trPr>
          <w:trHeight w:val="288"/>
        </w:trPr>
        <w:tc>
          <w:tcPr>
            <w:tcW w:w="537" w:type="dxa"/>
            <w:vMerge/>
            <w:vAlign w:val="center"/>
          </w:tcPr>
          <w:p w14:paraId="0DD5505C" w14:textId="77777777" w:rsidR="00800011" w:rsidRPr="00800011" w:rsidRDefault="00800011" w:rsidP="00800011">
            <w:pPr>
              <w:widowControl/>
              <w:jc w:val="center"/>
              <w:rPr>
                <w:rFonts w:ascii="宋体" w:eastAsia="宋体" w:hAnsi="宋体" w:cs="宋体"/>
                <w:b/>
                <w:bCs/>
                <w:kern w:val="0"/>
                <w:sz w:val="22"/>
              </w:rPr>
            </w:pPr>
          </w:p>
        </w:tc>
        <w:tc>
          <w:tcPr>
            <w:tcW w:w="1097" w:type="dxa"/>
            <w:vAlign w:val="center"/>
          </w:tcPr>
          <w:p w14:paraId="4B78840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76</w:t>
            </w:r>
          </w:p>
        </w:tc>
        <w:tc>
          <w:tcPr>
            <w:tcW w:w="896" w:type="dxa"/>
            <w:vAlign w:val="center"/>
          </w:tcPr>
          <w:p w14:paraId="696EF47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8.7</w:t>
            </w:r>
          </w:p>
        </w:tc>
        <w:tc>
          <w:tcPr>
            <w:tcW w:w="896" w:type="dxa"/>
            <w:vAlign w:val="center"/>
          </w:tcPr>
          <w:p w14:paraId="60A62C5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8.6</w:t>
            </w:r>
          </w:p>
        </w:tc>
      </w:tr>
      <w:tr w:rsidR="00800011" w:rsidRPr="00800011" w14:paraId="36E184EE" w14:textId="77777777" w:rsidTr="00800011">
        <w:trPr>
          <w:trHeight w:val="288"/>
        </w:trPr>
        <w:tc>
          <w:tcPr>
            <w:tcW w:w="537" w:type="dxa"/>
            <w:vMerge/>
            <w:vAlign w:val="center"/>
          </w:tcPr>
          <w:p w14:paraId="500C9AEE" w14:textId="77777777" w:rsidR="00800011" w:rsidRPr="00800011" w:rsidRDefault="00800011" w:rsidP="00800011">
            <w:pPr>
              <w:widowControl/>
              <w:jc w:val="center"/>
              <w:rPr>
                <w:rFonts w:ascii="宋体" w:eastAsia="宋体" w:hAnsi="宋体" w:cs="宋体"/>
                <w:b/>
                <w:bCs/>
                <w:kern w:val="0"/>
                <w:sz w:val="22"/>
              </w:rPr>
            </w:pPr>
          </w:p>
        </w:tc>
        <w:tc>
          <w:tcPr>
            <w:tcW w:w="1097" w:type="dxa"/>
            <w:vAlign w:val="center"/>
          </w:tcPr>
          <w:p w14:paraId="0EA076F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74</w:t>
            </w:r>
          </w:p>
        </w:tc>
        <w:tc>
          <w:tcPr>
            <w:tcW w:w="896" w:type="dxa"/>
            <w:vAlign w:val="center"/>
          </w:tcPr>
          <w:p w14:paraId="3D01187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8.9</w:t>
            </w:r>
          </w:p>
        </w:tc>
        <w:tc>
          <w:tcPr>
            <w:tcW w:w="896" w:type="dxa"/>
            <w:vAlign w:val="center"/>
          </w:tcPr>
          <w:p w14:paraId="6E15015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8.8</w:t>
            </w:r>
          </w:p>
        </w:tc>
      </w:tr>
      <w:tr w:rsidR="00800011" w:rsidRPr="00800011" w14:paraId="5A700E66" w14:textId="77777777" w:rsidTr="00800011">
        <w:trPr>
          <w:trHeight w:val="288"/>
        </w:trPr>
        <w:tc>
          <w:tcPr>
            <w:tcW w:w="537" w:type="dxa"/>
            <w:vMerge/>
            <w:vAlign w:val="center"/>
          </w:tcPr>
          <w:p w14:paraId="04B570F6" w14:textId="77777777" w:rsidR="00800011" w:rsidRPr="00800011" w:rsidRDefault="00800011" w:rsidP="00800011">
            <w:pPr>
              <w:widowControl/>
              <w:jc w:val="center"/>
              <w:rPr>
                <w:rFonts w:ascii="宋体" w:eastAsia="宋体" w:hAnsi="宋体" w:cs="宋体"/>
                <w:b/>
                <w:bCs/>
                <w:kern w:val="0"/>
                <w:sz w:val="22"/>
              </w:rPr>
            </w:pPr>
          </w:p>
        </w:tc>
        <w:tc>
          <w:tcPr>
            <w:tcW w:w="1097" w:type="dxa"/>
            <w:vAlign w:val="center"/>
          </w:tcPr>
          <w:p w14:paraId="3FBB405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72</w:t>
            </w:r>
          </w:p>
        </w:tc>
        <w:tc>
          <w:tcPr>
            <w:tcW w:w="896" w:type="dxa"/>
            <w:vAlign w:val="center"/>
          </w:tcPr>
          <w:p w14:paraId="0D9F510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9.1</w:t>
            </w:r>
          </w:p>
        </w:tc>
        <w:tc>
          <w:tcPr>
            <w:tcW w:w="896" w:type="dxa"/>
            <w:vAlign w:val="center"/>
          </w:tcPr>
          <w:p w14:paraId="33F5093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9.0</w:t>
            </w:r>
          </w:p>
        </w:tc>
      </w:tr>
      <w:tr w:rsidR="00800011" w:rsidRPr="00800011" w14:paraId="0A1283C3" w14:textId="77777777" w:rsidTr="00800011">
        <w:trPr>
          <w:trHeight w:val="288"/>
        </w:trPr>
        <w:tc>
          <w:tcPr>
            <w:tcW w:w="537" w:type="dxa"/>
            <w:vMerge/>
            <w:vAlign w:val="center"/>
          </w:tcPr>
          <w:p w14:paraId="17E54376" w14:textId="77777777" w:rsidR="00800011" w:rsidRPr="00800011" w:rsidRDefault="00800011" w:rsidP="00800011">
            <w:pPr>
              <w:widowControl/>
              <w:jc w:val="center"/>
              <w:rPr>
                <w:rFonts w:ascii="宋体" w:eastAsia="宋体" w:hAnsi="宋体" w:cs="宋体"/>
                <w:b/>
                <w:bCs/>
                <w:kern w:val="0"/>
                <w:sz w:val="22"/>
              </w:rPr>
            </w:pPr>
          </w:p>
        </w:tc>
        <w:tc>
          <w:tcPr>
            <w:tcW w:w="1097" w:type="dxa"/>
            <w:vAlign w:val="center"/>
          </w:tcPr>
          <w:p w14:paraId="5159C8A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70</w:t>
            </w:r>
          </w:p>
        </w:tc>
        <w:tc>
          <w:tcPr>
            <w:tcW w:w="896" w:type="dxa"/>
            <w:vAlign w:val="center"/>
          </w:tcPr>
          <w:p w14:paraId="7C729C4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9.3</w:t>
            </w:r>
          </w:p>
        </w:tc>
        <w:tc>
          <w:tcPr>
            <w:tcW w:w="896" w:type="dxa"/>
            <w:vAlign w:val="center"/>
          </w:tcPr>
          <w:p w14:paraId="53E16CA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9.2</w:t>
            </w:r>
          </w:p>
        </w:tc>
      </w:tr>
      <w:tr w:rsidR="00800011" w:rsidRPr="00800011" w14:paraId="15E00D6E" w14:textId="77777777" w:rsidTr="00800011">
        <w:trPr>
          <w:trHeight w:val="288"/>
        </w:trPr>
        <w:tc>
          <w:tcPr>
            <w:tcW w:w="537" w:type="dxa"/>
            <w:vMerge/>
            <w:vAlign w:val="center"/>
          </w:tcPr>
          <w:p w14:paraId="035586B1" w14:textId="77777777" w:rsidR="00800011" w:rsidRPr="00800011" w:rsidRDefault="00800011" w:rsidP="00800011">
            <w:pPr>
              <w:widowControl/>
              <w:jc w:val="center"/>
              <w:rPr>
                <w:rFonts w:ascii="宋体" w:eastAsia="宋体" w:hAnsi="宋体" w:cs="宋体"/>
                <w:b/>
                <w:bCs/>
                <w:kern w:val="0"/>
                <w:sz w:val="22"/>
              </w:rPr>
            </w:pPr>
          </w:p>
        </w:tc>
        <w:tc>
          <w:tcPr>
            <w:tcW w:w="1097" w:type="dxa"/>
            <w:vAlign w:val="center"/>
          </w:tcPr>
          <w:p w14:paraId="031CE64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68</w:t>
            </w:r>
          </w:p>
        </w:tc>
        <w:tc>
          <w:tcPr>
            <w:tcW w:w="896" w:type="dxa"/>
            <w:vAlign w:val="center"/>
          </w:tcPr>
          <w:p w14:paraId="06BB118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9.5</w:t>
            </w:r>
          </w:p>
        </w:tc>
        <w:tc>
          <w:tcPr>
            <w:tcW w:w="896" w:type="dxa"/>
            <w:vAlign w:val="center"/>
          </w:tcPr>
          <w:p w14:paraId="519D2D4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9.4</w:t>
            </w:r>
          </w:p>
        </w:tc>
      </w:tr>
      <w:tr w:rsidR="00800011" w:rsidRPr="00800011" w14:paraId="13CE9FC6" w14:textId="77777777" w:rsidTr="00800011">
        <w:trPr>
          <w:trHeight w:val="288"/>
        </w:trPr>
        <w:tc>
          <w:tcPr>
            <w:tcW w:w="537" w:type="dxa"/>
            <w:vMerge/>
            <w:vAlign w:val="center"/>
          </w:tcPr>
          <w:p w14:paraId="4F6FE211" w14:textId="77777777" w:rsidR="00800011" w:rsidRPr="00800011" w:rsidRDefault="00800011" w:rsidP="00800011">
            <w:pPr>
              <w:widowControl/>
              <w:jc w:val="center"/>
              <w:rPr>
                <w:rFonts w:ascii="宋体" w:eastAsia="宋体" w:hAnsi="宋体" w:cs="宋体"/>
                <w:b/>
                <w:bCs/>
                <w:kern w:val="0"/>
                <w:sz w:val="22"/>
              </w:rPr>
            </w:pPr>
          </w:p>
        </w:tc>
        <w:tc>
          <w:tcPr>
            <w:tcW w:w="1097" w:type="dxa"/>
            <w:vAlign w:val="center"/>
          </w:tcPr>
          <w:p w14:paraId="12408D5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66</w:t>
            </w:r>
          </w:p>
        </w:tc>
        <w:tc>
          <w:tcPr>
            <w:tcW w:w="896" w:type="dxa"/>
            <w:vAlign w:val="center"/>
          </w:tcPr>
          <w:p w14:paraId="517B941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9.7</w:t>
            </w:r>
          </w:p>
        </w:tc>
        <w:tc>
          <w:tcPr>
            <w:tcW w:w="896" w:type="dxa"/>
            <w:vAlign w:val="center"/>
          </w:tcPr>
          <w:p w14:paraId="0CEDA48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9.6</w:t>
            </w:r>
          </w:p>
        </w:tc>
      </w:tr>
      <w:tr w:rsidR="00800011" w:rsidRPr="00800011" w14:paraId="429D4ED3" w14:textId="77777777" w:rsidTr="00800011">
        <w:trPr>
          <w:trHeight w:val="288"/>
        </w:trPr>
        <w:tc>
          <w:tcPr>
            <w:tcW w:w="537" w:type="dxa"/>
            <w:vMerge/>
            <w:vAlign w:val="center"/>
          </w:tcPr>
          <w:p w14:paraId="78D42DA4" w14:textId="77777777" w:rsidR="00800011" w:rsidRPr="00800011" w:rsidRDefault="00800011" w:rsidP="00800011">
            <w:pPr>
              <w:widowControl/>
              <w:jc w:val="center"/>
              <w:rPr>
                <w:rFonts w:ascii="宋体" w:eastAsia="宋体" w:hAnsi="宋体" w:cs="宋体"/>
                <w:b/>
                <w:bCs/>
                <w:kern w:val="0"/>
                <w:sz w:val="22"/>
              </w:rPr>
            </w:pPr>
          </w:p>
        </w:tc>
        <w:tc>
          <w:tcPr>
            <w:tcW w:w="1097" w:type="dxa"/>
            <w:vAlign w:val="center"/>
          </w:tcPr>
          <w:p w14:paraId="7EE7EE0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64</w:t>
            </w:r>
          </w:p>
        </w:tc>
        <w:tc>
          <w:tcPr>
            <w:tcW w:w="896" w:type="dxa"/>
            <w:vAlign w:val="center"/>
          </w:tcPr>
          <w:p w14:paraId="22A4642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9.9</w:t>
            </w:r>
          </w:p>
        </w:tc>
        <w:tc>
          <w:tcPr>
            <w:tcW w:w="896" w:type="dxa"/>
            <w:vAlign w:val="center"/>
          </w:tcPr>
          <w:p w14:paraId="17A22620"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9.8</w:t>
            </w:r>
          </w:p>
        </w:tc>
      </w:tr>
      <w:tr w:rsidR="00800011" w:rsidRPr="00800011" w14:paraId="107770ED" w14:textId="77777777" w:rsidTr="00800011">
        <w:trPr>
          <w:trHeight w:val="288"/>
        </w:trPr>
        <w:tc>
          <w:tcPr>
            <w:tcW w:w="537" w:type="dxa"/>
            <w:vMerge/>
            <w:vAlign w:val="center"/>
          </w:tcPr>
          <w:p w14:paraId="27E5CD25" w14:textId="77777777" w:rsidR="00800011" w:rsidRPr="00800011" w:rsidRDefault="00800011" w:rsidP="00800011">
            <w:pPr>
              <w:widowControl/>
              <w:jc w:val="center"/>
              <w:rPr>
                <w:rFonts w:ascii="宋体" w:eastAsia="宋体" w:hAnsi="宋体" w:cs="宋体"/>
                <w:b/>
                <w:bCs/>
                <w:kern w:val="0"/>
                <w:sz w:val="22"/>
              </w:rPr>
            </w:pPr>
          </w:p>
        </w:tc>
        <w:tc>
          <w:tcPr>
            <w:tcW w:w="1097" w:type="dxa"/>
            <w:vAlign w:val="center"/>
          </w:tcPr>
          <w:p w14:paraId="35FBCBC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62</w:t>
            </w:r>
          </w:p>
        </w:tc>
        <w:tc>
          <w:tcPr>
            <w:tcW w:w="896" w:type="dxa"/>
            <w:vAlign w:val="center"/>
          </w:tcPr>
          <w:p w14:paraId="17C541C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10.1</w:t>
            </w:r>
          </w:p>
        </w:tc>
        <w:tc>
          <w:tcPr>
            <w:tcW w:w="896" w:type="dxa"/>
            <w:vAlign w:val="center"/>
          </w:tcPr>
          <w:p w14:paraId="0579106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10.0</w:t>
            </w:r>
          </w:p>
        </w:tc>
      </w:tr>
      <w:tr w:rsidR="00800011" w:rsidRPr="00800011" w14:paraId="626497A4" w14:textId="77777777" w:rsidTr="00800011">
        <w:trPr>
          <w:trHeight w:val="288"/>
        </w:trPr>
        <w:tc>
          <w:tcPr>
            <w:tcW w:w="537" w:type="dxa"/>
            <w:vMerge/>
            <w:shd w:val="clear" w:color="auto" w:fill="auto"/>
            <w:vAlign w:val="center"/>
          </w:tcPr>
          <w:p w14:paraId="5133F356" w14:textId="77777777" w:rsidR="00800011" w:rsidRPr="00800011" w:rsidRDefault="00800011" w:rsidP="00800011">
            <w:pPr>
              <w:widowControl/>
              <w:jc w:val="center"/>
              <w:rPr>
                <w:rFonts w:ascii="宋体" w:eastAsia="宋体" w:hAnsi="宋体" w:cs="宋体"/>
                <w:b/>
                <w:bCs/>
                <w:kern w:val="0"/>
                <w:sz w:val="22"/>
              </w:rPr>
            </w:pPr>
          </w:p>
        </w:tc>
        <w:tc>
          <w:tcPr>
            <w:tcW w:w="1097" w:type="dxa"/>
            <w:shd w:val="clear" w:color="auto" w:fill="D9D9D9"/>
            <w:vAlign w:val="center"/>
          </w:tcPr>
          <w:p w14:paraId="510B0FC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60</w:t>
            </w:r>
          </w:p>
        </w:tc>
        <w:tc>
          <w:tcPr>
            <w:tcW w:w="896" w:type="dxa"/>
            <w:shd w:val="clear" w:color="auto" w:fill="D9D9D9"/>
            <w:vAlign w:val="center"/>
          </w:tcPr>
          <w:p w14:paraId="3068D721"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10.3</w:t>
            </w:r>
          </w:p>
        </w:tc>
        <w:tc>
          <w:tcPr>
            <w:tcW w:w="896" w:type="dxa"/>
            <w:shd w:val="clear" w:color="auto" w:fill="D9D9D9"/>
            <w:vAlign w:val="center"/>
          </w:tcPr>
          <w:p w14:paraId="4111C94E"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10.2</w:t>
            </w:r>
          </w:p>
        </w:tc>
      </w:tr>
      <w:tr w:rsidR="00800011" w:rsidRPr="00800011" w14:paraId="00531619" w14:textId="77777777" w:rsidTr="00800011">
        <w:trPr>
          <w:trHeight w:val="288"/>
        </w:trPr>
        <w:tc>
          <w:tcPr>
            <w:tcW w:w="537" w:type="dxa"/>
            <w:vMerge w:val="restart"/>
            <w:vAlign w:val="center"/>
          </w:tcPr>
          <w:p w14:paraId="481A546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不及格</w:t>
            </w:r>
          </w:p>
        </w:tc>
        <w:tc>
          <w:tcPr>
            <w:tcW w:w="1097" w:type="dxa"/>
            <w:vAlign w:val="center"/>
          </w:tcPr>
          <w:p w14:paraId="3524EDD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50</w:t>
            </w:r>
          </w:p>
        </w:tc>
        <w:tc>
          <w:tcPr>
            <w:tcW w:w="896" w:type="dxa"/>
            <w:vAlign w:val="center"/>
          </w:tcPr>
          <w:p w14:paraId="64C5966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10.5</w:t>
            </w:r>
          </w:p>
        </w:tc>
        <w:tc>
          <w:tcPr>
            <w:tcW w:w="896" w:type="dxa"/>
            <w:vAlign w:val="center"/>
          </w:tcPr>
          <w:p w14:paraId="0B275E2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10.4</w:t>
            </w:r>
          </w:p>
        </w:tc>
      </w:tr>
      <w:tr w:rsidR="00800011" w:rsidRPr="00800011" w14:paraId="406A8D7D" w14:textId="77777777" w:rsidTr="00800011">
        <w:trPr>
          <w:trHeight w:val="288"/>
        </w:trPr>
        <w:tc>
          <w:tcPr>
            <w:tcW w:w="537" w:type="dxa"/>
            <w:vMerge/>
            <w:vAlign w:val="center"/>
          </w:tcPr>
          <w:p w14:paraId="0E836519" w14:textId="77777777" w:rsidR="00800011" w:rsidRPr="00800011" w:rsidRDefault="00800011" w:rsidP="00800011">
            <w:pPr>
              <w:widowControl/>
              <w:jc w:val="center"/>
              <w:rPr>
                <w:rFonts w:ascii="宋体" w:eastAsia="宋体" w:hAnsi="宋体" w:cs="宋体"/>
                <w:b/>
                <w:bCs/>
                <w:kern w:val="0"/>
                <w:sz w:val="22"/>
              </w:rPr>
            </w:pPr>
          </w:p>
        </w:tc>
        <w:tc>
          <w:tcPr>
            <w:tcW w:w="1097" w:type="dxa"/>
            <w:vAlign w:val="center"/>
          </w:tcPr>
          <w:p w14:paraId="61CA236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40</w:t>
            </w:r>
          </w:p>
        </w:tc>
        <w:tc>
          <w:tcPr>
            <w:tcW w:w="896" w:type="dxa"/>
            <w:vAlign w:val="center"/>
          </w:tcPr>
          <w:p w14:paraId="22BD4540"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10.7</w:t>
            </w:r>
          </w:p>
        </w:tc>
        <w:tc>
          <w:tcPr>
            <w:tcW w:w="896" w:type="dxa"/>
            <w:vAlign w:val="center"/>
          </w:tcPr>
          <w:p w14:paraId="5216669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10.6</w:t>
            </w:r>
          </w:p>
        </w:tc>
      </w:tr>
      <w:tr w:rsidR="00800011" w:rsidRPr="00800011" w14:paraId="70EBF3CE" w14:textId="77777777" w:rsidTr="00800011">
        <w:trPr>
          <w:trHeight w:val="288"/>
        </w:trPr>
        <w:tc>
          <w:tcPr>
            <w:tcW w:w="537" w:type="dxa"/>
            <w:vMerge/>
            <w:vAlign w:val="center"/>
          </w:tcPr>
          <w:p w14:paraId="52C2DE0F" w14:textId="77777777" w:rsidR="00800011" w:rsidRPr="00800011" w:rsidRDefault="00800011" w:rsidP="00800011">
            <w:pPr>
              <w:widowControl/>
              <w:jc w:val="center"/>
              <w:rPr>
                <w:rFonts w:ascii="宋体" w:eastAsia="宋体" w:hAnsi="宋体" w:cs="宋体"/>
                <w:b/>
                <w:bCs/>
                <w:kern w:val="0"/>
                <w:sz w:val="22"/>
              </w:rPr>
            </w:pPr>
          </w:p>
        </w:tc>
        <w:tc>
          <w:tcPr>
            <w:tcW w:w="1097" w:type="dxa"/>
            <w:vAlign w:val="center"/>
          </w:tcPr>
          <w:p w14:paraId="18CDC3A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30</w:t>
            </w:r>
          </w:p>
        </w:tc>
        <w:tc>
          <w:tcPr>
            <w:tcW w:w="896" w:type="dxa"/>
            <w:vAlign w:val="center"/>
          </w:tcPr>
          <w:p w14:paraId="28D7040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10.9</w:t>
            </w:r>
          </w:p>
        </w:tc>
        <w:tc>
          <w:tcPr>
            <w:tcW w:w="896" w:type="dxa"/>
            <w:vAlign w:val="center"/>
          </w:tcPr>
          <w:p w14:paraId="5BC35DA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10.8</w:t>
            </w:r>
          </w:p>
        </w:tc>
      </w:tr>
      <w:tr w:rsidR="00800011" w:rsidRPr="00800011" w14:paraId="1FE8E284" w14:textId="77777777" w:rsidTr="00800011">
        <w:trPr>
          <w:trHeight w:val="288"/>
        </w:trPr>
        <w:tc>
          <w:tcPr>
            <w:tcW w:w="537" w:type="dxa"/>
            <w:vMerge/>
            <w:vAlign w:val="center"/>
          </w:tcPr>
          <w:p w14:paraId="26F50B84" w14:textId="77777777" w:rsidR="00800011" w:rsidRPr="00800011" w:rsidRDefault="00800011" w:rsidP="00800011">
            <w:pPr>
              <w:widowControl/>
              <w:jc w:val="center"/>
              <w:rPr>
                <w:rFonts w:ascii="宋体" w:eastAsia="宋体" w:hAnsi="宋体" w:cs="宋体"/>
                <w:b/>
                <w:bCs/>
                <w:kern w:val="0"/>
                <w:sz w:val="22"/>
              </w:rPr>
            </w:pPr>
          </w:p>
        </w:tc>
        <w:tc>
          <w:tcPr>
            <w:tcW w:w="1097" w:type="dxa"/>
            <w:vAlign w:val="center"/>
          </w:tcPr>
          <w:p w14:paraId="21C78D2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20</w:t>
            </w:r>
          </w:p>
        </w:tc>
        <w:tc>
          <w:tcPr>
            <w:tcW w:w="896" w:type="dxa"/>
            <w:vAlign w:val="center"/>
          </w:tcPr>
          <w:p w14:paraId="7F7F3F4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11.1</w:t>
            </w:r>
          </w:p>
        </w:tc>
        <w:tc>
          <w:tcPr>
            <w:tcW w:w="896" w:type="dxa"/>
            <w:vAlign w:val="center"/>
          </w:tcPr>
          <w:p w14:paraId="4FAC4BE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11.0</w:t>
            </w:r>
          </w:p>
        </w:tc>
      </w:tr>
      <w:tr w:rsidR="00800011" w:rsidRPr="00800011" w14:paraId="71283FF7" w14:textId="77777777" w:rsidTr="00800011">
        <w:trPr>
          <w:trHeight w:val="288"/>
        </w:trPr>
        <w:tc>
          <w:tcPr>
            <w:tcW w:w="537" w:type="dxa"/>
            <w:vMerge/>
            <w:vAlign w:val="center"/>
          </w:tcPr>
          <w:p w14:paraId="4446B69F" w14:textId="77777777" w:rsidR="00800011" w:rsidRPr="00800011" w:rsidRDefault="00800011" w:rsidP="00800011">
            <w:pPr>
              <w:widowControl/>
              <w:jc w:val="center"/>
              <w:rPr>
                <w:rFonts w:ascii="宋体" w:eastAsia="宋体" w:hAnsi="宋体" w:cs="宋体"/>
                <w:b/>
                <w:bCs/>
                <w:kern w:val="0"/>
                <w:sz w:val="22"/>
              </w:rPr>
            </w:pPr>
          </w:p>
        </w:tc>
        <w:tc>
          <w:tcPr>
            <w:tcW w:w="1097" w:type="dxa"/>
            <w:vAlign w:val="center"/>
          </w:tcPr>
          <w:p w14:paraId="67D8D55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w:t>
            </w:r>
          </w:p>
        </w:tc>
        <w:tc>
          <w:tcPr>
            <w:tcW w:w="896" w:type="dxa"/>
            <w:vAlign w:val="center"/>
          </w:tcPr>
          <w:p w14:paraId="047D53C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11.3</w:t>
            </w:r>
          </w:p>
        </w:tc>
        <w:tc>
          <w:tcPr>
            <w:tcW w:w="896" w:type="dxa"/>
            <w:vAlign w:val="center"/>
          </w:tcPr>
          <w:p w14:paraId="5704E09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800011" w:rsidRPr="00800011" w14:paraId="2031A9F4" w14:textId="77777777" w:rsidTr="00800011">
        <w:trPr>
          <w:trHeight w:val="288"/>
        </w:trPr>
        <w:tc>
          <w:tcPr>
            <w:tcW w:w="539" w:type="dxa"/>
            <w:vAlign w:val="center"/>
          </w:tcPr>
          <w:p w14:paraId="302ADB6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等级</w:t>
            </w:r>
          </w:p>
        </w:tc>
        <w:tc>
          <w:tcPr>
            <w:tcW w:w="1100" w:type="dxa"/>
            <w:vAlign w:val="center"/>
          </w:tcPr>
          <w:p w14:paraId="772F847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单项</w:t>
            </w:r>
          </w:p>
          <w:p w14:paraId="74FA7E3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得分</w:t>
            </w:r>
          </w:p>
        </w:tc>
        <w:tc>
          <w:tcPr>
            <w:tcW w:w="895" w:type="dxa"/>
            <w:vAlign w:val="center"/>
          </w:tcPr>
          <w:p w14:paraId="48C9A0E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大一</w:t>
            </w:r>
          </w:p>
          <w:p w14:paraId="7A2FC24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大二</w:t>
            </w:r>
          </w:p>
        </w:tc>
        <w:tc>
          <w:tcPr>
            <w:tcW w:w="896" w:type="dxa"/>
            <w:vAlign w:val="center"/>
          </w:tcPr>
          <w:p w14:paraId="153CBBE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大三</w:t>
            </w:r>
          </w:p>
          <w:p w14:paraId="5601DAB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大四</w:t>
            </w:r>
          </w:p>
        </w:tc>
      </w:tr>
      <w:tr w:rsidR="00800011" w:rsidRPr="00800011" w14:paraId="71B7A04A" w14:textId="77777777" w:rsidTr="00800011">
        <w:trPr>
          <w:trHeight w:val="288"/>
        </w:trPr>
        <w:tc>
          <w:tcPr>
            <w:tcW w:w="539" w:type="dxa"/>
            <w:vMerge w:val="restart"/>
            <w:vAlign w:val="center"/>
          </w:tcPr>
          <w:p w14:paraId="2C51C3F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优秀</w:t>
            </w:r>
          </w:p>
        </w:tc>
        <w:tc>
          <w:tcPr>
            <w:tcW w:w="1100" w:type="dxa"/>
            <w:vAlign w:val="center"/>
          </w:tcPr>
          <w:p w14:paraId="57D6C74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100</w:t>
            </w:r>
          </w:p>
        </w:tc>
        <w:tc>
          <w:tcPr>
            <w:tcW w:w="895" w:type="dxa"/>
            <w:vAlign w:val="center"/>
          </w:tcPr>
          <w:p w14:paraId="65A7904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6.7</w:t>
            </w:r>
          </w:p>
        </w:tc>
        <w:tc>
          <w:tcPr>
            <w:tcW w:w="896" w:type="dxa"/>
            <w:vAlign w:val="center"/>
          </w:tcPr>
          <w:p w14:paraId="685721C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6.6</w:t>
            </w:r>
          </w:p>
        </w:tc>
      </w:tr>
      <w:tr w:rsidR="00800011" w:rsidRPr="00800011" w14:paraId="3C91AA86" w14:textId="77777777" w:rsidTr="00800011">
        <w:trPr>
          <w:trHeight w:val="288"/>
        </w:trPr>
        <w:tc>
          <w:tcPr>
            <w:tcW w:w="539" w:type="dxa"/>
            <w:vMerge/>
            <w:vAlign w:val="center"/>
          </w:tcPr>
          <w:p w14:paraId="2C8D1E49"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3CCFA37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95</w:t>
            </w:r>
          </w:p>
        </w:tc>
        <w:tc>
          <w:tcPr>
            <w:tcW w:w="895" w:type="dxa"/>
            <w:vAlign w:val="center"/>
          </w:tcPr>
          <w:p w14:paraId="04BF215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6.8</w:t>
            </w:r>
          </w:p>
        </w:tc>
        <w:tc>
          <w:tcPr>
            <w:tcW w:w="896" w:type="dxa"/>
            <w:vAlign w:val="center"/>
          </w:tcPr>
          <w:p w14:paraId="336ECBE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6.7</w:t>
            </w:r>
          </w:p>
        </w:tc>
      </w:tr>
      <w:tr w:rsidR="00800011" w:rsidRPr="00800011" w14:paraId="7F07E90E" w14:textId="77777777" w:rsidTr="00800011">
        <w:trPr>
          <w:trHeight w:val="288"/>
        </w:trPr>
        <w:tc>
          <w:tcPr>
            <w:tcW w:w="539" w:type="dxa"/>
            <w:vMerge/>
            <w:shd w:val="clear" w:color="auto" w:fill="auto"/>
            <w:vAlign w:val="center"/>
          </w:tcPr>
          <w:p w14:paraId="3B479A57"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44F8D64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90</w:t>
            </w:r>
          </w:p>
        </w:tc>
        <w:tc>
          <w:tcPr>
            <w:tcW w:w="895" w:type="dxa"/>
            <w:shd w:val="clear" w:color="auto" w:fill="D9D9D9"/>
            <w:vAlign w:val="center"/>
          </w:tcPr>
          <w:p w14:paraId="1940E6A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6.9</w:t>
            </w:r>
          </w:p>
        </w:tc>
        <w:tc>
          <w:tcPr>
            <w:tcW w:w="896" w:type="dxa"/>
            <w:shd w:val="clear" w:color="auto" w:fill="D9D9D9"/>
            <w:vAlign w:val="center"/>
          </w:tcPr>
          <w:p w14:paraId="69DDDA2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6.8</w:t>
            </w:r>
          </w:p>
        </w:tc>
      </w:tr>
      <w:tr w:rsidR="00800011" w:rsidRPr="00800011" w14:paraId="46201B31" w14:textId="77777777" w:rsidTr="00800011">
        <w:trPr>
          <w:trHeight w:val="288"/>
        </w:trPr>
        <w:tc>
          <w:tcPr>
            <w:tcW w:w="539" w:type="dxa"/>
            <w:vMerge w:val="restart"/>
            <w:vAlign w:val="center"/>
          </w:tcPr>
          <w:p w14:paraId="6D84AFD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良好</w:t>
            </w:r>
          </w:p>
        </w:tc>
        <w:tc>
          <w:tcPr>
            <w:tcW w:w="1100" w:type="dxa"/>
            <w:vAlign w:val="center"/>
          </w:tcPr>
          <w:p w14:paraId="165A27A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85</w:t>
            </w:r>
          </w:p>
        </w:tc>
        <w:tc>
          <w:tcPr>
            <w:tcW w:w="895" w:type="dxa"/>
            <w:vAlign w:val="center"/>
          </w:tcPr>
          <w:p w14:paraId="1BB081E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7.0</w:t>
            </w:r>
          </w:p>
        </w:tc>
        <w:tc>
          <w:tcPr>
            <w:tcW w:w="896" w:type="dxa"/>
            <w:vAlign w:val="center"/>
          </w:tcPr>
          <w:p w14:paraId="5D73FF90"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6.9</w:t>
            </w:r>
          </w:p>
        </w:tc>
      </w:tr>
      <w:tr w:rsidR="00800011" w:rsidRPr="00800011" w14:paraId="4AAD7FA6" w14:textId="77777777" w:rsidTr="00800011">
        <w:trPr>
          <w:trHeight w:val="288"/>
        </w:trPr>
        <w:tc>
          <w:tcPr>
            <w:tcW w:w="539" w:type="dxa"/>
            <w:vMerge/>
            <w:shd w:val="clear" w:color="auto" w:fill="auto"/>
            <w:vAlign w:val="center"/>
          </w:tcPr>
          <w:p w14:paraId="58C00582"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59A03CD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80</w:t>
            </w:r>
          </w:p>
        </w:tc>
        <w:tc>
          <w:tcPr>
            <w:tcW w:w="895" w:type="dxa"/>
            <w:shd w:val="clear" w:color="auto" w:fill="D9D9D9"/>
            <w:vAlign w:val="center"/>
          </w:tcPr>
          <w:p w14:paraId="734B048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7.1</w:t>
            </w:r>
          </w:p>
        </w:tc>
        <w:tc>
          <w:tcPr>
            <w:tcW w:w="896" w:type="dxa"/>
            <w:shd w:val="clear" w:color="auto" w:fill="D9D9D9"/>
            <w:vAlign w:val="center"/>
          </w:tcPr>
          <w:p w14:paraId="1FF9BBF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7.0</w:t>
            </w:r>
          </w:p>
        </w:tc>
      </w:tr>
      <w:tr w:rsidR="00800011" w:rsidRPr="00800011" w14:paraId="5BC79C74" w14:textId="77777777" w:rsidTr="00800011">
        <w:trPr>
          <w:trHeight w:val="288"/>
        </w:trPr>
        <w:tc>
          <w:tcPr>
            <w:tcW w:w="539" w:type="dxa"/>
            <w:vMerge w:val="restart"/>
            <w:vAlign w:val="center"/>
          </w:tcPr>
          <w:p w14:paraId="7D06D99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及格</w:t>
            </w:r>
          </w:p>
        </w:tc>
        <w:tc>
          <w:tcPr>
            <w:tcW w:w="1100" w:type="dxa"/>
            <w:vAlign w:val="center"/>
          </w:tcPr>
          <w:p w14:paraId="0AD78C3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78</w:t>
            </w:r>
          </w:p>
        </w:tc>
        <w:tc>
          <w:tcPr>
            <w:tcW w:w="895" w:type="dxa"/>
            <w:vAlign w:val="center"/>
          </w:tcPr>
          <w:p w14:paraId="0A2A0F2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7.3</w:t>
            </w:r>
          </w:p>
        </w:tc>
        <w:tc>
          <w:tcPr>
            <w:tcW w:w="896" w:type="dxa"/>
            <w:vAlign w:val="center"/>
          </w:tcPr>
          <w:p w14:paraId="0A939BA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7.2</w:t>
            </w:r>
          </w:p>
        </w:tc>
      </w:tr>
      <w:tr w:rsidR="00800011" w:rsidRPr="00800011" w14:paraId="1CD26A53" w14:textId="77777777" w:rsidTr="00800011">
        <w:trPr>
          <w:trHeight w:val="288"/>
        </w:trPr>
        <w:tc>
          <w:tcPr>
            <w:tcW w:w="539" w:type="dxa"/>
            <w:vMerge/>
            <w:vAlign w:val="center"/>
          </w:tcPr>
          <w:p w14:paraId="13C9E3DD"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433740F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76</w:t>
            </w:r>
          </w:p>
        </w:tc>
        <w:tc>
          <w:tcPr>
            <w:tcW w:w="895" w:type="dxa"/>
            <w:vAlign w:val="center"/>
          </w:tcPr>
          <w:p w14:paraId="39C43FF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7.5</w:t>
            </w:r>
          </w:p>
        </w:tc>
        <w:tc>
          <w:tcPr>
            <w:tcW w:w="896" w:type="dxa"/>
            <w:vAlign w:val="center"/>
          </w:tcPr>
          <w:p w14:paraId="38D6A05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7.4</w:t>
            </w:r>
          </w:p>
        </w:tc>
      </w:tr>
      <w:tr w:rsidR="00800011" w:rsidRPr="00800011" w14:paraId="5C41B416" w14:textId="77777777" w:rsidTr="00800011">
        <w:trPr>
          <w:trHeight w:val="288"/>
        </w:trPr>
        <w:tc>
          <w:tcPr>
            <w:tcW w:w="539" w:type="dxa"/>
            <w:vMerge/>
            <w:vAlign w:val="center"/>
          </w:tcPr>
          <w:p w14:paraId="4F45AC85"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3EF8574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74</w:t>
            </w:r>
          </w:p>
        </w:tc>
        <w:tc>
          <w:tcPr>
            <w:tcW w:w="895" w:type="dxa"/>
            <w:vAlign w:val="center"/>
          </w:tcPr>
          <w:p w14:paraId="5838833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7.7</w:t>
            </w:r>
          </w:p>
        </w:tc>
        <w:tc>
          <w:tcPr>
            <w:tcW w:w="896" w:type="dxa"/>
            <w:vAlign w:val="center"/>
          </w:tcPr>
          <w:p w14:paraId="0B0F126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7.6</w:t>
            </w:r>
          </w:p>
        </w:tc>
      </w:tr>
      <w:tr w:rsidR="00800011" w:rsidRPr="00800011" w14:paraId="5020481A" w14:textId="77777777" w:rsidTr="00800011">
        <w:trPr>
          <w:trHeight w:val="288"/>
        </w:trPr>
        <w:tc>
          <w:tcPr>
            <w:tcW w:w="539" w:type="dxa"/>
            <w:vMerge/>
            <w:vAlign w:val="center"/>
          </w:tcPr>
          <w:p w14:paraId="5FA69272"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144D132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72</w:t>
            </w:r>
          </w:p>
        </w:tc>
        <w:tc>
          <w:tcPr>
            <w:tcW w:w="895" w:type="dxa"/>
            <w:vAlign w:val="center"/>
          </w:tcPr>
          <w:p w14:paraId="6BE5978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7.9</w:t>
            </w:r>
          </w:p>
        </w:tc>
        <w:tc>
          <w:tcPr>
            <w:tcW w:w="896" w:type="dxa"/>
            <w:vAlign w:val="center"/>
          </w:tcPr>
          <w:p w14:paraId="61F35C1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7.8</w:t>
            </w:r>
          </w:p>
        </w:tc>
      </w:tr>
      <w:tr w:rsidR="00800011" w:rsidRPr="00800011" w14:paraId="63080378" w14:textId="77777777" w:rsidTr="00800011">
        <w:trPr>
          <w:trHeight w:val="288"/>
        </w:trPr>
        <w:tc>
          <w:tcPr>
            <w:tcW w:w="539" w:type="dxa"/>
            <w:vMerge/>
            <w:vAlign w:val="center"/>
          </w:tcPr>
          <w:p w14:paraId="017AE950"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635549B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70</w:t>
            </w:r>
          </w:p>
        </w:tc>
        <w:tc>
          <w:tcPr>
            <w:tcW w:w="895" w:type="dxa"/>
            <w:vAlign w:val="center"/>
          </w:tcPr>
          <w:p w14:paraId="59F9353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8.1</w:t>
            </w:r>
          </w:p>
        </w:tc>
        <w:tc>
          <w:tcPr>
            <w:tcW w:w="896" w:type="dxa"/>
            <w:vAlign w:val="center"/>
          </w:tcPr>
          <w:p w14:paraId="487C48F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8.0</w:t>
            </w:r>
          </w:p>
        </w:tc>
      </w:tr>
      <w:tr w:rsidR="00800011" w:rsidRPr="00800011" w14:paraId="5FED03C9" w14:textId="77777777" w:rsidTr="00800011">
        <w:trPr>
          <w:trHeight w:val="288"/>
        </w:trPr>
        <w:tc>
          <w:tcPr>
            <w:tcW w:w="539" w:type="dxa"/>
            <w:vMerge/>
            <w:vAlign w:val="center"/>
          </w:tcPr>
          <w:p w14:paraId="457A0755"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7578219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68</w:t>
            </w:r>
          </w:p>
        </w:tc>
        <w:tc>
          <w:tcPr>
            <w:tcW w:w="895" w:type="dxa"/>
            <w:vAlign w:val="center"/>
          </w:tcPr>
          <w:p w14:paraId="1CACA1C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8.3</w:t>
            </w:r>
          </w:p>
        </w:tc>
        <w:tc>
          <w:tcPr>
            <w:tcW w:w="896" w:type="dxa"/>
            <w:vAlign w:val="center"/>
          </w:tcPr>
          <w:p w14:paraId="25C70A90"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8.2</w:t>
            </w:r>
          </w:p>
        </w:tc>
      </w:tr>
      <w:tr w:rsidR="00800011" w:rsidRPr="00800011" w14:paraId="7B496DB2" w14:textId="77777777" w:rsidTr="00800011">
        <w:trPr>
          <w:trHeight w:val="288"/>
        </w:trPr>
        <w:tc>
          <w:tcPr>
            <w:tcW w:w="539" w:type="dxa"/>
            <w:vMerge/>
            <w:vAlign w:val="center"/>
          </w:tcPr>
          <w:p w14:paraId="22B72F2E"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6899C68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66</w:t>
            </w:r>
          </w:p>
        </w:tc>
        <w:tc>
          <w:tcPr>
            <w:tcW w:w="895" w:type="dxa"/>
            <w:vAlign w:val="center"/>
          </w:tcPr>
          <w:p w14:paraId="6E6252E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8.5</w:t>
            </w:r>
          </w:p>
        </w:tc>
        <w:tc>
          <w:tcPr>
            <w:tcW w:w="896" w:type="dxa"/>
            <w:vAlign w:val="center"/>
          </w:tcPr>
          <w:p w14:paraId="4D135FA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8.4</w:t>
            </w:r>
          </w:p>
        </w:tc>
      </w:tr>
      <w:tr w:rsidR="00800011" w:rsidRPr="00800011" w14:paraId="06A8B81E" w14:textId="77777777" w:rsidTr="00800011">
        <w:trPr>
          <w:trHeight w:val="288"/>
        </w:trPr>
        <w:tc>
          <w:tcPr>
            <w:tcW w:w="539" w:type="dxa"/>
            <w:vMerge/>
            <w:vAlign w:val="center"/>
          </w:tcPr>
          <w:p w14:paraId="4B02324F"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2E50E93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64</w:t>
            </w:r>
          </w:p>
        </w:tc>
        <w:tc>
          <w:tcPr>
            <w:tcW w:w="895" w:type="dxa"/>
            <w:vAlign w:val="center"/>
          </w:tcPr>
          <w:p w14:paraId="7110187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8.7</w:t>
            </w:r>
          </w:p>
        </w:tc>
        <w:tc>
          <w:tcPr>
            <w:tcW w:w="896" w:type="dxa"/>
            <w:vAlign w:val="center"/>
          </w:tcPr>
          <w:p w14:paraId="118717C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8.6</w:t>
            </w:r>
          </w:p>
        </w:tc>
      </w:tr>
      <w:tr w:rsidR="00800011" w:rsidRPr="00800011" w14:paraId="66C8D87E" w14:textId="77777777" w:rsidTr="00800011">
        <w:trPr>
          <w:trHeight w:val="288"/>
        </w:trPr>
        <w:tc>
          <w:tcPr>
            <w:tcW w:w="539" w:type="dxa"/>
            <w:vMerge/>
            <w:vAlign w:val="center"/>
          </w:tcPr>
          <w:p w14:paraId="11AC038F"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0F11425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62</w:t>
            </w:r>
          </w:p>
        </w:tc>
        <w:tc>
          <w:tcPr>
            <w:tcW w:w="895" w:type="dxa"/>
            <w:vAlign w:val="center"/>
          </w:tcPr>
          <w:p w14:paraId="2429EE3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8.9</w:t>
            </w:r>
          </w:p>
        </w:tc>
        <w:tc>
          <w:tcPr>
            <w:tcW w:w="896" w:type="dxa"/>
            <w:vAlign w:val="center"/>
          </w:tcPr>
          <w:p w14:paraId="77A3ED0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8.8</w:t>
            </w:r>
          </w:p>
        </w:tc>
      </w:tr>
      <w:tr w:rsidR="00800011" w:rsidRPr="00800011" w14:paraId="5046B64A" w14:textId="77777777" w:rsidTr="00800011">
        <w:trPr>
          <w:trHeight w:val="288"/>
        </w:trPr>
        <w:tc>
          <w:tcPr>
            <w:tcW w:w="539" w:type="dxa"/>
            <w:vMerge/>
            <w:shd w:val="clear" w:color="auto" w:fill="auto"/>
            <w:vAlign w:val="center"/>
          </w:tcPr>
          <w:p w14:paraId="42264765"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518DBD9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60</w:t>
            </w:r>
          </w:p>
        </w:tc>
        <w:tc>
          <w:tcPr>
            <w:tcW w:w="895" w:type="dxa"/>
            <w:shd w:val="clear" w:color="auto" w:fill="D9D9D9"/>
            <w:vAlign w:val="center"/>
          </w:tcPr>
          <w:p w14:paraId="45AE2F4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9.1</w:t>
            </w:r>
          </w:p>
        </w:tc>
        <w:tc>
          <w:tcPr>
            <w:tcW w:w="896" w:type="dxa"/>
            <w:shd w:val="clear" w:color="auto" w:fill="D9D9D9"/>
            <w:vAlign w:val="center"/>
          </w:tcPr>
          <w:p w14:paraId="46589B3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9.0</w:t>
            </w:r>
          </w:p>
        </w:tc>
      </w:tr>
      <w:tr w:rsidR="00800011" w:rsidRPr="00800011" w14:paraId="06949DEC" w14:textId="77777777" w:rsidTr="00800011">
        <w:trPr>
          <w:trHeight w:val="288"/>
        </w:trPr>
        <w:tc>
          <w:tcPr>
            <w:tcW w:w="539" w:type="dxa"/>
            <w:vMerge w:val="restart"/>
            <w:vAlign w:val="center"/>
          </w:tcPr>
          <w:p w14:paraId="43CC08A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不及格</w:t>
            </w:r>
          </w:p>
        </w:tc>
        <w:tc>
          <w:tcPr>
            <w:tcW w:w="1100" w:type="dxa"/>
            <w:vAlign w:val="center"/>
          </w:tcPr>
          <w:p w14:paraId="0574CB5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50</w:t>
            </w:r>
          </w:p>
        </w:tc>
        <w:tc>
          <w:tcPr>
            <w:tcW w:w="895" w:type="dxa"/>
            <w:vAlign w:val="center"/>
          </w:tcPr>
          <w:p w14:paraId="6CAA2FF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9.3</w:t>
            </w:r>
          </w:p>
        </w:tc>
        <w:tc>
          <w:tcPr>
            <w:tcW w:w="896" w:type="dxa"/>
            <w:vAlign w:val="center"/>
          </w:tcPr>
          <w:p w14:paraId="57FFACC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9.2</w:t>
            </w:r>
          </w:p>
        </w:tc>
      </w:tr>
      <w:tr w:rsidR="00800011" w:rsidRPr="00800011" w14:paraId="3F0CED68" w14:textId="77777777" w:rsidTr="00800011">
        <w:trPr>
          <w:trHeight w:val="288"/>
        </w:trPr>
        <w:tc>
          <w:tcPr>
            <w:tcW w:w="539" w:type="dxa"/>
            <w:vMerge/>
            <w:vAlign w:val="center"/>
          </w:tcPr>
          <w:p w14:paraId="0E7B26BA"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258965B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40</w:t>
            </w:r>
          </w:p>
        </w:tc>
        <w:tc>
          <w:tcPr>
            <w:tcW w:w="895" w:type="dxa"/>
            <w:vAlign w:val="center"/>
          </w:tcPr>
          <w:p w14:paraId="230F130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9.5</w:t>
            </w:r>
          </w:p>
        </w:tc>
        <w:tc>
          <w:tcPr>
            <w:tcW w:w="896" w:type="dxa"/>
            <w:vAlign w:val="center"/>
          </w:tcPr>
          <w:p w14:paraId="1459408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9.4</w:t>
            </w:r>
          </w:p>
        </w:tc>
      </w:tr>
      <w:tr w:rsidR="00800011" w:rsidRPr="00800011" w14:paraId="0AFE9471" w14:textId="77777777" w:rsidTr="00800011">
        <w:trPr>
          <w:trHeight w:val="288"/>
        </w:trPr>
        <w:tc>
          <w:tcPr>
            <w:tcW w:w="539" w:type="dxa"/>
            <w:vMerge/>
            <w:vAlign w:val="center"/>
          </w:tcPr>
          <w:p w14:paraId="6DFC865F"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0BBBD15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30</w:t>
            </w:r>
          </w:p>
        </w:tc>
        <w:tc>
          <w:tcPr>
            <w:tcW w:w="895" w:type="dxa"/>
            <w:vAlign w:val="center"/>
          </w:tcPr>
          <w:p w14:paraId="3F59CBF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9.7</w:t>
            </w:r>
          </w:p>
        </w:tc>
        <w:tc>
          <w:tcPr>
            <w:tcW w:w="896" w:type="dxa"/>
            <w:vAlign w:val="center"/>
          </w:tcPr>
          <w:p w14:paraId="72F3B89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9.6</w:t>
            </w:r>
          </w:p>
        </w:tc>
      </w:tr>
      <w:tr w:rsidR="00800011" w:rsidRPr="00800011" w14:paraId="637F536B" w14:textId="77777777" w:rsidTr="00800011">
        <w:trPr>
          <w:trHeight w:val="288"/>
        </w:trPr>
        <w:tc>
          <w:tcPr>
            <w:tcW w:w="539" w:type="dxa"/>
            <w:vMerge/>
            <w:vAlign w:val="center"/>
          </w:tcPr>
          <w:p w14:paraId="63915D15"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AACEB0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20</w:t>
            </w:r>
          </w:p>
        </w:tc>
        <w:tc>
          <w:tcPr>
            <w:tcW w:w="895" w:type="dxa"/>
            <w:vAlign w:val="center"/>
          </w:tcPr>
          <w:p w14:paraId="36C099A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9.9</w:t>
            </w:r>
          </w:p>
        </w:tc>
        <w:tc>
          <w:tcPr>
            <w:tcW w:w="896" w:type="dxa"/>
            <w:vAlign w:val="center"/>
          </w:tcPr>
          <w:p w14:paraId="15D33AB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9.8</w:t>
            </w:r>
          </w:p>
        </w:tc>
      </w:tr>
      <w:tr w:rsidR="00800011" w:rsidRPr="00800011" w14:paraId="56DBE8B1" w14:textId="77777777" w:rsidTr="00800011">
        <w:trPr>
          <w:trHeight w:val="288"/>
        </w:trPr>
        <w:tc>
          <w:tcPr>
            <w:tcW w:w="539" w:type="dxa"/>
            <w:vMerge/>
            <w:vAlign w:val="center"/>
          </w:tcPr>
          <w:p w14:paraId="26B015C7"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4C4027F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w:t>
            </w:r>
          </w:p>
        </w:tc>
        <w:tc>
          <w:tcPr>
            <w:tcW w:w="895" w:type="dxa"/>
            <w:vAlign w:val="center"/>
          </w:tcPr>
          <w:p w14:paraId="544A232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10.1</w:t>
            </w:r>
          </w:p>
        </w:tc>
        <w:tc>
          <w:tcPr>
            <w:tcW w:w="896" w:type="dxa"/>
            <w:vAlign w:val="center"/>
          </w:tcPr>
          <w:p w14:paraId="3B340CC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10.0</w:t>
            </w:r>
          </w:p>
        </w:tc>
      </w:tr>
    </w:tbl>
    <w:p w14:paraId="4D7AAE6F" w14:textId="77777777" w:rsidR="00800011" w:rsidRPr="00800011" w:rsidRDefault="00800011" w:rsidP="00800011">
      <w:pPr>
        <w:jc w:val="left"/>
        <w:rPr>
          <w:rFonts w:ascii="仿宋_GB2312" w:eastAsia="仿宋_GB2312" w:hAnsi="仿宋" w:cs="Times New Roman"/>
          <w:sz w:val="32"/>
          <w:szCs w:val="32"/>
        </w:rPr>
      </w:pPr>
    </w:p>
    <w:p w14:paraId="7682B3E2" w14:textId="77777777" w:rsidR="00800011" w:rsidRPr="00800011" w:rsidRDefault="00800011" w:rsidP="00800011">
      <w:pPr>
        <w:jc w:val="left"/>
        <w:rPr>
          <w:rFonts w:ascii="仿宋_GB2312" w:eastAsia="仿宋_GB2312" w:hAnsi="仿宋" w:cs="Times New Roman"/>
          <w:sz w:val="32"/>
          <w:szCs w:val="32"/>
        </w:rPr>
      </w:pPr>
    </w:p>
    <w:p w14:paraId="0F3BE3F5" w14:textId="77777777" w:rsidR="00800011" w:rsidRPr="00800011" w:rsidRDefault="00800011" w:rsidP="00800011">
      <w:pPr>
        <w:jc w:val="left"/>
        <w:rPr>
          <w:rFonts w:ascii="仿宋_GB2312" w:eastAsia="仿宋_GB2312" w:hAnsi="仿宋" w:cs="Times New Roman"/>
          <w:sz w:val="32"/>
          <w:szCs w:val="32"/>
        </w:rPr>
      </w:pPr>
    </w:p>
    <w:p w14:paraId="07A4F56A" w14:textId="77777777" w:rsidR="00800011" w:rsidRPr="00800011" w:rsidRDefault="00800011" w:rsidP="00800011">
      <w:pPr>
        <w:jc w:val="left"/>
        <w:rPr>
          <w:rFonts w:ascii="仿宋_GB2312" w:eastAsia="仿宋_GB2312" w:hAnsi="仿宋" w:cs="Times New Roman"/>
          <w:sz w:val="32"/>
          <w:szCs w:val="32"/>
        </w:rPr>
      </w:pPr>
    </w:p>
    <w:p w14:paraId="5E679AF4" w14:textId="77777777" w:rsidR="00800011" w:rsidRPr="00800011" w:rsidRDefault="00800011" w:rsidP="00800011">
      <w:pPr>
        <w:jc w:val="left"/>
        <w:rPr>
          <w:rFonts w:ascii="仿宋_GB2312" w:eastAsia="仿宋_GB2312" w:hAnsi="仿宋" w:cs="Times New Roman"/>
          <w:sz w:val="32"/>
          <w:szCs w:val="32"/>
        </w:rPr>
      </w:pPr>
    </w:p>
    <w:p w14:paraId="47B06C5D" w14:textId="77777777" w:rsidR="00800011" w:rsidRPr="00800011" w:rsidRDefault="00800011" w:rsidP="00800011">
      <w:pPr>
        <w:jc w:val="left"/>
        <w:rPr>
          <w:rFonts w:ascii="仿宋_GB2312" w:eastAsia="仿宋_GB2312" w:hAnsi="仿宋" w:cs="Times New Roman"/>
          <w:sz w:val="32"/>
          <w:szCs w:val="32"/>
        </w:rPr>
      </w:pPr>
    </w:p>
    <w:p w14:paraId="563A10F0" w14:textId="77777777" w:rsidR="00800011" w:rsidRPr="00800011" w:rsidRDefault="00800011" w:rsidP="00800011">
      <w:pPr>
        <w:jc w:val="left"/>
        <w:rPr>
          <w:rFonts w:ascii="仿宋_GB2312" w:eastAsia="仿宋_GB2312" w:hAnsi="仿宋" w:cs="Times New Roman"/>
          <w:sz w:val="32"/>
          <w:szCs w:val="32"/>
        </w:rPr>
      </w:pPr>
    </w:p>
    <w:p w14:paraId="0CA8A946" w14:textId="77777777" w:rsidR="00800011" w:rsidRPr="00800011" w:rsidRDefault="00800011" w:rsidP="00800011">
      <w:pPr>
        <w:jc w:val="left"/>
        <w:rPr>
          <w:rFonts w:ascii="仿宋_GB2312" w:eastAsia="仿宋_GB2312" w:hAnsi="仿宋" w:cs="Times New Roman"/>
          <w:sz w:val="32"/>
          <w:szCs w:val="32"/>
        </w:rPr>
      </w:pPr>
    </w:p>
    <w:p w14:paraId="3D728CFD" w14:textId="77777777" w:rsidR="00800011" w:rsidRPr="00800011" w:rsidRDefault="00800011" w:rsidP="00800011">
      <w:pPr>
        <w:jc w:val="left"/>
        <w:rPr>
          <w:rFonts w:ascii="仿宋_GB2312" w:eastAsia="仿宋_GB2312" w:hAnsi="仿宋" w:cs="Times New Roman"/>
          <w:sz w:val="32"/>
          <w:szCs w:val="32"/>
        </w:rPr>
      </w:pPr>
    </w:p>
    <w:p w14:paraId="6E97A657" w14:textId="77777777" w:rsidR="00800011" w:rsidRPr="00800011" w:rsidRDefault="00800011" w:rsidP="00800011">
      <w:pPr>
        <w:jc w:val="left"/>
        <w:rPr>
          <w:rFonts w:ascii="仿宋_GB2312" w:eastAsia="仿宋_GB2312" w:hAnsi="仿宋" w:cs="Times New Roman"/>
          <w:sz w:val="32"/>
          <w:szCs w:val="32"/>
        </w:rPr>
      </w:pPr>
    </w:p>
    <w:p w14:paraId="4AD54F0A"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74462126"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172ABEF"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73AD6D9"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75139AB"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21E321B"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B751F9C"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74A696F"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CBB7EEC"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000F508"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FC510D2"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62304C1"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87A505B"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800011">
        <w:rPr>
          <w:rFonts w:ascii="宋体" w:eastAsia="宋体" w:hAnsi="Calibri" w:cs="宋体" w:hint="eastAsia"/>
          <w:spacing w:val="5"/>
          <w:kern w:val="0"/>
          <w:sz w:val="24"/>
        </w:rPr>
        <w:t>表1-7男生坐位体前屈单项评分表 1-8女生坐位体前屈单项评分表</w:t>
      </w:r>
    </w:p>
    <w:p w14:paraId="376990A5"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800011">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800011" w:rsidRPr="00800011" w14:paraId="7EFD11A5" w14:textId="77777777" w:rsidTr="00800011">
        <w:trPr>
          <w:trHeight w:val="288"/>
        </w:trPr>
        <w:tc>
          <w:tcPr>
            <w:tcW w:w="539" w:type="dxa"/>
            <w:vAlign w:val="center"/>
          </w:tcPr>
          <w:p w14:paraId="67DEDEC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等级</w:t>
            </w:r>
          </w:p>
        </w:tc>
        <w:tc>
          <w:tcPr>
            <w:tcW w:w="1100" w:type="dxa"/>
            <w:vAlign w:val="center"/>
          </w:tcPr>
          <w:p w14:paraId="6C14A9F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单项</w:t>
            </w:r>
          </w:p>
          <w:p w14:paraId="6FCA563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得分</w:t>
            </w:r>
          </w:p>
        </w:tc>
        <w:tc>
          <w:tcPr>
            <w:tcW w:w="895" w:type="dxa"/>
            <w:vAlign w:val="center"/>
          </w:tcPr>
          <w:p w14:paraId="405AF11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大一</w:t>
            </w:r>
          </w:p>
          <w:p w14:paraId="7BDF1F1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大二</w:t>
            </w:r>
          </w:p>
        </w:tc>
        <w:tc>
          <w:tcPr>
            <w:tcW w:w="896" w:type="dxa"/>
            <w:vAlign w:val="center"/>
          </w:tcPr>
          <w:p w14:paraId="39B7E61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大三</w:t>
            </w:r>
          </w:p>
          <w:p w14:paraId="5F0286D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大四</w:t>
            </w:r>
          </w:p>
        </w:tc>
      </w:tr>
      <w:tr w:rsidR="00800011" w:rsidRPr="00800011" w14:paraId="59869B93" w14:textId="77777777" w:rsidTr="00800011">
        <w:trPr>
          <w:trHeight w:val="288"/>
        </w:trPr>
        <w:tc>
          <w:tcPr>
            <w:tcW w:w="539" w:type="dxa"/>
            <w:vMerge w:val="restart"/>
            <w:vAlign w:val="center"/>
          </w:tcPr>
          <w:p w14:paraId="4D9AD1B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优秀</w:t>
            </w:r>
          </w:p>
        </w:tc>
        <w:tc>
          <w:tcPr>
            <w:tcW w:w="1100" w:type="dxa"/>
            <w:vAlign w:val="center"/>
          </w:tcPr>
          <w:p w14:paraId="476C2D2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100</w:t>
            </w:r>
          </w:p>
        </w:tc>
        <w:tc>
          <w:tcPr>
            <w:tcW w:w="895" w:type="dxa"/>
            <w:vAlign w:val="center"/>
          </w:tcPr>
          <w:p w14:paraId="1C0DED1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24.9</w:t>
            </w:r>
          </w:p>
        </w:tc>
        <w:tc>
          <w:tcPr>
            <w:tcW w:w="896" w:type="dxa"/>
            <w:vAlign w:val="center"/>
          </w:tcPr>
          <w:p w14:paraId="5D4C773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25.1</w:t>
            </w:r>
          </w:p>
        </w:tc>
      </w:tr>
      <w:tr w:rsidR="00800011" w:rsidRPr="00800011" w14:paraId="1C277F72" w14:textId="77777777" w:rsidTr="00800011">
        <w:trPr>
          <w:trHeight w:val="288"/>
        </w:trPr>
        <w:tc>
          <w:tcPr>
            <w:tcW w:w="539" w:type="dxa"/>
            <w:vMerge/>
            <w:vAlign w:val="center"/>
          </w:tcPr>
          <w:p w14:paraId="1C0B3663"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7532419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95</w:t>
            </w:r>
          </w:p>
        </w:tc>
        <w:tc>
          <w:tcPr>
            <w:tcW w:w="895" w:type="dxa"/>
            <w:vAlign w:val="center"/>
          </w:tcPr>
          <w:p w14:paraId="240B1E9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23.1</w:t>
            </w:r>
          </w:p>
        </w:tc>
        <w:tc>
          <w:tcPr>
            <w:tcW w:w="896" w:type="dxa"/>
            <w:vAlign w:val="center"/>
          </w:tcPr>
          <w:p w14:paraId="59A14D8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23.3</w:t>
            </w:r>
          </w:p>
        </w:tc>
      </w:tr>
      <w:tr w:rsidR="00800011" w:rsidRPr="00800011" w14:paraId="0ADFF217" w14:textId="77777777" w:rsidTr="00800011">
        <w:trPr>
          <w:trHeight w:val="288"/>
        </w:trPr>
        <w:tc>
          <w:tcPr>
            <w:tcW w:w="539" w:type="dxa"/>
            <w:vMerge/>
            <w:shd w:val="clear" w:color="auto" w:fill="auto"/>
            <w:vAlign w:val="center"/>
          </w:tcPr>
          <w:p w14:paraId="3250FE9F"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6844FB2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90</w:t>
            </w:r>
          </w:p>
        </w:tc>
        <w:tc>
          <w:tcPr>
            <w:tcW w:w="895" w:type="dxa"/>
            <w:shd w:val="clear" w:color="auto" w:fill="D9D9D9"/>
            <w:vAlign w:val="center"/>
          </w:tcPr>
          <w:p w14:paraId="39647F8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21.3</w:t>
            </w:r>
          </w:p>
        </w:tc>
        <w:tc>
          <w:tcPr>
            <w:tcW w:w="896" w:type="dxa"/>
            <w:shd w:val="clear" w:color="auto" w:fill="D9D9D9"/>
            <w:vAlign w:val="center"/>
          </w:tcPr>
          <w:p w14:paraId="5F7E49B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21.5</w:t>
            </w:r>
          </w:p>
        </w:tc>
      </w:tr>
      <w:tr w:rsidR="00800011" w:rsidRPr="00800011" w14:paraId="222291DC" w14:textId="77777777" w:rsidTr="00800011">
        <w:trPr>
          <w:trHeight w:val="288"/>
        </w:trPr>
        <w:tc>
          <w:tcPr>
            <w:tcW w:w="539" w:type="dxa"/>
            <w:vMerge w:val="restart"/>
            <w:vAlign w:val="center"/>
          </w:tcPr>
          <w:p w14:paraId="4C571DB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良好</w:t>
            </w:r>
          </w:p>
        </w:tc>
        <w:tc>
          <w:tcPr>
            <w:tcW w:w="1100" w:type="dxa"/>
            <w:vAlign w:val="center"/>
          </w:tcPr>
          <w:p w14:paraId="451AF82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85</w:t>
            </w:r>
          </w:p>
        </w:tc>
        <w:tc>
          <w:tcPr>
            <w:tcW w:w="895" w:type="dxa"/>
            <w:vAlign w:val="center"/>
          </w:tcPr>
          <w:p w14:paraId="36ADC1E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19.5</w:t>
            </w:r>
          </w:p>
        </w:tc>
        <w:tc>
          <w:tcPr>
            <w:tcW w:w="896" w:type="dxa"/>
            <w:vAlign w:val="center"/>
          </w:tcPr>
          <w:p w14:paraId="42F3E84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19.9</w:t>
            </w:r>
          </w:p>
        </w:tc>
      </w:tr>
      <w:tr w:rsidR="00800011" w:rsidRPr="00800011" w14:paraId="0AC54BA2" w14:textId="77777777" w:rsidTr="00800011">
        <w:trPr>
          <w:trHeight w:val="288"/>
        </w:trPr>
        <w:tc>
          <w:tcPr>
            <w:tcW w:w="539" w:type="dxa"/>
            <w:vMerge/>
            <w:shd w:val="clear" w:color="auto" w:fill="auto"/>
            <w:vAlign w:val="center"/>
          </w:tcPr>
          <w:p w14:paraId="234262E4"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44D8809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80</w:t>
            </w:r>
          </w:p>
        </w:tc>
        <w:tc>
          <w:tcPr>
            <w:tcW w:w="895" w:type="dxa"/>
            <w:shd w:val="clear" w:color="auto" w:fill="D9D9D9"/>
            <w:vAlign w:val="center"/>
          </w:tcPr>
          <w:p w14:paraId="40CB2BA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17.7</w:t>
            </w:r>
          </w:p>
        </w:tc>
        <w:tc>
          <w:tcPr>
            <w:tcW w:w="896" w:type="dxa"/>
            <w:shd w:val="clear" w:color="auto" w:fill="D9D9D9"/>
            <w:vAlign w:val="center"/>
          </w:tcPr>
          <w:p w14:paraId="4D5681F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18.2</w:t>
            </w:r>
          </w:p>
        </w:tc>
      </w:tr>
      <w:tr w:rsidR="00800011" w:rsidRPr="00800011" w14:paraId="3515E10A" w14:textId="77777777" w:rsidTr="00800011">
        <w:trPr>
          <w:trHeight w:val="288"/>
        </w:trPr>
        <w:tc>
          <w:tcPr>
            <w:tcW w:w="539" w:type="dxa"/>
            <w:vMerge w:val="restart"/>
            <w:vAlign w:val="center"/>
          </w:tcPr>
          <w:p w14:paraId="4DF34A5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及格</w:t>
            </w:r>
          </w:p>
        </w:tc>
        <w:tc>
          <w:tcPr>
            <w:tcW w:w="1100" w:type="dxa"/>
            <w:vAlign w:val="center"/>
          </w:tcPr>
          <w:p w14:paraId="09779FD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78</w:t>
            </w:r>
          </w:p>
        </w:tc>
        <w:tc>
          <w:tcPr>
            <w:tcW w:w="895" w:type="dxa"/>
            <w:vAlign w:val="center"/>
          </w:tcPr>
          <w:p w14:paraId="4D3B790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16.3</w:t>
            </w:r>
          </w:p>
        </w:tc>
        <w:tc>
          <w:tcPr>
            <w:tcW w:w="896" w:type="dxa"/>
            <w:vAlign w:val="center"/>
          </w:tcPr>
          <w:p w14:paraId="7D9E184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16.8</w:t>
            </w:r>
          </w:p>
        </w:tc>
      </w:tr>
      <w:tr w:rsidR="00800011" w:rsidRPr="00800011" w14:paraId="2AAF3159" w14:textId="77777777" w:rsidTr="00800011">
        <w:trPr>
          <w:trHeight w:val="288"/>
        </w:trPr>
        <w:tc>
          <w:tcPr>
            <w:tcW w:w="539" w:type="dxa"/>
            <w:vMerge/>
            <w:vAlign w:val="center"/>
          </w:tcPr>
          <w:p w14:paraId="23670BAF"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4338044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76</w:t>
            </w:r>
          </w:p>
        </w:tc>
        <w:tc>
          <w:tcPr>
            <w:tcW w:w="895" w:type="dxa"/>
            <w:vAlign w:val="center"/>
          </w:tcPr>
          <w:p w14:paraId="5707F69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14.9</w:t>
            </w:r>
          </w:p>
        </w:tc>
        <w:tc>
          <w:tcPr>
            <w:tcW w:w="896" w:type="dxa"/>
            <w:vAlign w:val="center"/>
          </w:tcPr>
          <w:p w14:paraId="678D16C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15.4</w:t>
            </w:r>
          </w:p>
        </w:tc>
      </w:tr>
      <w:tr w:rsidR="00800011" w:rsidRPr="00800011" w14:paraId="441C2160" w14:textId="77777777" w:rsidTr="00800011">
        <w:trPr>
          <w:trHeight w:val="288"/>
        </w:trPr>
        <w:tc>
          <w:tcPr>
            <w:tcW w:w="539" w:type="dxa"/>
            <w:vMerge/>
            <w:vAlign w:val="center"/>
          </w:tcPr>
          <w:p w14:paraId="1E04FC80"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405773D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74</w:t>
            </w:r>
          </w:p>
        </w:tc>
        <w:tc>
          <w:tcPr>
            <w:tcW w:w="895" w:type="dxa"/>
            <w:vAlign w:val="center"/>
          </w:tcPr>
          <w:p w14:paraId="7603176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13.5</w:t>
            </w:r>
          </w:p>
        </w:tc>
        <w:tc>
          <w:tcPr>
            <w:tcW w:w="896" w:type="dxa"/>
            <w:vAlign w:val="center"/>
          </w:tcPr>
          <w:p w14:paraId="6FA5BBA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14.0</w:t>
            </w:r>
          </w:p>
        </w:tc>
      </w:tr>
      <w:tr w:rsidR="00800011" w:rsidRPr="00800011" w14:paraId="6710FD28" w14:textId="77777777" w:rsidTr="00800011">
        <w:trPr>
          <w:trHeight w:val="288"/>
        </w:trPr>
        <w:tc>
          <w:tcPr>
            <w:tcW w:w="539" w:type="dxa"/>
            <w:vMerge/>
            <w:vAlign w:val="center"/>
          </w:tcPr>
          <w:p w14:paraId="06392C88"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A6E09E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72</w:t>
            </w:r>
          </w:p>
        </w:tc>
        <w:tc>
          <w:tcPr>
            <w:tcW w:w="895" w:type="dxa"/>
            <w:vAlign w:val="center"/>
          </w:tcPr>
          <w:p w14:paraId="4A7F2BC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12.1</w:t>
            </w:r>
          </w:p>
        </w:tc>
        <w:tc>
          <w:tcPr>
            <w:tcW w:w="896" w:type="dxa"/>
            <w:vAlign w:val="center"/>
          </w:tcPr>
          <w:p w14:paraId="0BC0307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12.6</w:t>
            </w:r>
          </w:p>
        </w:tc>
      </w:tr>
      <w:tr w:rsidR="00800011" w:rsidRPr="00800011" w14:paraId="0E54975D" w14:textId="77777777" w:rsidTr="00800011">
        <w:trPr>
          <w:trHeight w:val="288"/>
        </w:trPr>
        <w:tc>
          <w:tcPr>
            <w:tcW w:w="539" w:type="dxa"/>
            <w:vMerge/>
            <w:vAlign w:val="center"/>
          </w:tcPr>
          <w:p w14:paraId="11CCC7E4"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781D3FE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70</w:t>
            </w:r>
          </w:p>
        </w:tc>
        <w:tc>
          <w:tcPr>
            <w:tcW w:w="895" w:type="dxa"/>
            <w:vAlign w:val="center"/>
          </w:tcPr>
          <w:p w14:paraId="152A7FF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10.7</w:t>
            </w:r>
          </w:p>
        </w:tc>
        <w:tc>
          <w:tcPr>
            <w:tcW w:w="896" w:type="dxa"/>
            <w:vAlign w:val="center"/>
          </w:tcPr>
          <w:p w14:paraId="1A7B7C1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11.2</w:t>
            </w:r>
          </w:p>
        </w:tc>
      </w:tr>
      <w:tr w:rsidR="00800011" w:rsidRPr="00800011" w14:paraId="1EF0A56D" w14:textId="77777777" w:rsidTr="00800011">
        <w:trPr>
          <w:trHeight w:val="288"/>
        </w:trPr>
        <w:tc>
          <w:tcPr>
            <w:tcW w:w="539" w:type="dxa"/>
            <w:vMerge/>
            <w:vAlign w:val="center"/>
          </w:tcPr>
          <w:p w14:paraId="5E3F7AD0"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445767F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68</w:t>
            </w:r>
          </w:p>
        </w:tc>
        <w:tc>
          <w:tcPr>
            <w:tcW w:w="895" w:type="dxa"/>
            <w:vAlign w:val="center"/>
          </w:tcPr>
          <w:p w14:paraId="683C1F8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9.3</w:t>
            </w:r>
          </w:p>
        </w:tc>
        <w:tc>
          <w:tcPr>
            <w:tcW w:w="896" w:type="dxa"/>
            <w:vAlign w:val="center"/>
          </w:tcPr>
          <w:p w14:paraId="6591A19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9.8</w:t>
            </w:r>
          </w:p>
        </w:tc>
      </w:tr>
      <w:tr w:rsidR="00800011" w:rsidRPr="00800011" w14:paraId="7EB90585" w14:textId="77777777" w:rsidTr="00800011">
        <w:trPr>
          <w:trHeight w:val="288"/>
        </w:trPr>
        <w:tc>
          <w:tcPr>
            <w:tcW w:w="539" w:type="dxa"/>
            <w:vMerge/>
            <w:vAlign w:val="center"/>
          </w:tcPr>
          <w:p w14:paraId="11070757"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5B145A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66</w:t>
            </w:r>
          </w:p>
        </w:tc>
        <w:tc>
          <w:tcPr>
            <w:tcW w:w="895" w:type="dxa"/>
            <w:vAlign w:val="center"/>
          </w:tcPr>
          <w:p w14:paraId="0CCB237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7.9</w:t>
            </w:r>
          </w:p>
        </w:tc>
        <w:tc>
          <w:tcPr>
            <w:tcW w:w="896" w:type="dxa"/>
            <w:vAlign w:val="center"/>
          </w:tcPr>
          <w:p w14:paraId="681B69D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8.4</w:t>
            </w:r>
          </w:p>
        </w:tc>
      </w:tr>
      <w:tr w:rsidR="00800011" w:rsidRPr="00800011" w14:paraId="7957684D" w14:textId="77777777" w:rsidTr="00800011">
        <w:trPr>
          <w:trHeight w:val="288"/>
        </w:trPr>
        <w:tc>
          <w:tcPr>
            <w:tcW w:w="539" w:type="dxa"/>
            <w:vMerge/>
            <w:vAlign w:val="center"/>
          </w:tcPr>
          <w:p w14:paraId="1B15AF09"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29E8BF8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64</w:t>
            </w:r>
          </w:p>
        </w:tc>
        <w:tc>
          <w:tcPr>
            <w:tcW w:w="895" w:type="dxa"/>
            <w:vAlign w:val="center"/>
          </w:tcPr>
          <w:p w14:paraId="6107FD3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6.5</w:t>
            </w:r>
          </w:p>
        </w:tc>
        <w:tc>
          <w:tcPr>
            <w:tcW w:w="896" w:type="dxa"/>
            <w:vAlign w:val="center"/>
          </w:tcPr>
          <w:p w14:paraId="0A8A5E7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7.0</w:t>
            </w:r>
          </w:p>
        </w:tc>
      </w:tr>
      <w:tr w:rsidR="00800011" w:rsidRPr="00800011" w14:paraId="17B60DC6" w14:textId="77777777" w:rsidTr="00800011">
        <w:trPr>
          <w:trHeight w:val="288"/>
        </w:trPr>
        <w:tc>
          <w:tcPr>
            <w:tcW w:w="539" w:type="dxa"/>
            <w:vMerge/>
            <w:vAlign w:val="center"/>
          </w:tcPr>
          <w:p w14:paraId="29494716"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7B38ED3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62</w:t>
            </w:r>
          </w:p>
        </w:tc>
        <w:tc>
          <w:tcPr>
            <w:tcW w:w="895" w:type="dxa"/>
            <w:vAlign w:val="center"/>
          </w:tcPr>
          <w:p w14:paraId="51F1F34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5.1</w:t>
            </w:r>
          </w:p>
        </w:tc>
        <w:tc>
          <w:tcPr>
            <w:tcW w:w="896" w:type="dxa"/>
            <w:vAlign w:val="center"/>
          </w:tcPr>
          <w:p w14:paraId="4A0E0A8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5.6</w:t>
            </w:r>
          </w:p>
        </w:tc>
      </w:tr>
      <w:tr w:rsidR="00800011" w:rsidRPr="00800011" w14:paraId="61DC3C43" w14:textId="77777777" w:rsidTr="00800011">
        <w:trPr>
          <w:trHeight w:val="288"/>
        </w:trPr>
        <w:tc>
          <w:tcPr>
            <w:tcW w:w="539" w:type="dxa"/>
            <w:vMerge/>
            <w:shd w:val="clear" w:color="auto" w:fill="auto"/>
            <w:vAlign w:val="center"/>
          </w:tcPr>
          <w:p w14:paraId="3E3B11AA"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7B216B1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60</w:t>
            </w:r>
          </w:p>
        </w:tc>
        <w:tc>
          <w:tcPr>
            <w:tcW w:w="895" w:type="dxa"/>
            <w:shd w:val="clear" w:color="auto" w:fill="D9D9D9"/>
            <w:vAlign w:val="center"/>
          </w:tcPr>
          <w:p w14:paraId="4C16445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3.7</w:t>
            </w:r>
          </w:p>
        </w:tc>
        <w:tc>
          <w:tcPr>
            <w:tcW w:w="896" w:type="dxa"/>
            <w:shd w:val="clear" w:color="auto" w:fill="D9D9D9"/>
            <w:vAlign w:val="center"/>
          </w:tcPr>
          <w:p w14:paraId="0D49C37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4.2</w:t>
            </w:r>
          </w:p>
        </w:tc>
      </w:tr>
      <w:tr w:rsidR="00800011" w:rsidRPr="00800011" w14:paraId="09BDDCD4" w14:textId="77777777" w:rsidTr="00800011">
        <w:trPr>
          <w:trHeight w:val="288"/>
        </w:trPr>
        <w:tc>
          <w:tcPr>
            <w:tcW w:w="539" w:type="dxa"/>
            <w:vMerge w:val="restart"/>
            <w:vAlign w:val="center"/>
          </w:tcPr>
          <w:p w14:paraId="5900D19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不及格</w:t>
            </w:r>
          </w:p>
        </w:tc>
        <w:tc>
          <w:tcPr>
            <w:tcW w:w="1100" w:type="dxa"/>
            <w:vAlign w:val="center"/>
          </w:tcPr>
          <w:p w14:paraId="0F75ACB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50</w:t>
            </w:r>
          </w:p>
        </w:tc>
        <w:tc>
          <w:tcPr>
            <w:tcW w:w="895" w:type="dxa"/>
            <w:vAlign w:val="center"/>
          </w:tcPr>
          <w:p w14:paraId="306F523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2.7</w:t>
            </w:r>
          </w:p>
        </w:tc>
        <w:tc>
          <w:tcPr>
            <w:tcW w:w="896" w:type="dxa"/>
            <w:vAlign w:val="center"/>
          </w:tcPr>
          <w:p w14:paraId="39B256E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3.2</w:t>
            </w:r>
          </w:p>
        </w:tc>
      </w:tr>
      <w:tr w:rsidR="00800011" w:rsidRPr="00800011" w14:paraId="7777E72B" w14:textId="77777777" w:rsidTr="00800011">
        <w:trPr>
          <w:trHeight w:val="288"/>
        </w:trPr>
        <w:tc>
          <w:tcPr>
            <w:tcW w:w="539" w:type="dxa"/>
            <w:vMerge/>
            <w:vAlign w:val="center"/>
          </w:tcPr>
          <w:p w14:paraId="53CD67DD"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0A1661A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40</w:t>
            </w:r>
          </w:p>
        </w:tc>
        <w:tc>
          <w:tcPr>
            <w:tcW w:w="895" w:type="dxa"/>
            <w:vAlign w:val="center"/>
          </w:tcPr>
          <w:p w14:paraId="17AC16E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1.7</w:t>
            </w:r>
          </w:p>
        </w:tc>
        <w:tc>
          <w:tcPr>
            <w:tcW w:w="896" w:type="dxa"/>
            <w:vAlign w:val="center"/>
          </w:tcPr>
          <w:p w14:paraId="3FF6BB30"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2.2</w:t>
            </w:r>
          </w:p>
        </w:tc>
      </w:tr>
      <w:tr w:rsidR="00800011" w:rsidRPr="00800011" w14:paraId="1BF2378A" w14:textId="77777777" w:rsidTr="00800011">
        <w:trPr>
          <w:trHeight w:val="288"/>
        </w:trPr>
        <w:tc>
          <w:tcPr>
            <w:tcW w:w="539" w:type="dxa"/>
            <w:vMerge/>
            <w:vAlign w:val="center"/>
          </w:tcPr>
          <w:p w14:paraId="4DEC4871"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7CA3FF9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30</w:t>
            </w:r>
          </w:p>
        </w:tc>
        <w:tc>
          <w:tcPr>
            <w:tcW w:w="895" w:type="dxa"/>
            <w:vAlign w:val="center"/>
          </w:tcPr>
          <w:p w14:paraId="3A90932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0.7</w:t>
            </w:r>
          </w:p>
        </w:tc>
        <w:tc>
          <w:tcPr>
            <w:tcW w:w="896" w:type="dxa"/>
            <w:vAlign w:val="center"/>
          </w:tcPr>
          <w:p w14:paraId="576A169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1.2</w:t>
            </w:r>
          </w:p>
        </w:tc>
      </w:tr>
      <w:tr w:rsidR="00800011" w:rsidRPr="00800011" w14:paraId="1CF31480" w14:textId="77777777" w:rsidTr="00800011">
        <w:trPr>
          <w:trHeight w:val="288"/>
        </w:trPr>
        <w:tc>
          <w:tcPr>
            <w:tcW w:w="539" w:type="dxa"/>
            <w:vMerge/>
            <w:vAlign w:val="center"/>
          </w:tcPr>
          <w:p w14:paraId="36496CF2"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39E5422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20</w:t>
            </w:r>
          </w:p>
        </w:tc>
        <w:tc>
          <w:tcPr>
            <w:tcW w:w="895" w:type="dxa"/>
            <w:vAlign w:val="center"/>
          </w:tcPr>
          <w:p w14:paraId="2B279B8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-0.3</w:t>
            </w:r>
          </w:p>
        </w:tc>
        <w:tc>
          <w:tcPr>
            <w:tcW w:w="896" w:type="dxa"/>
            <w:vAlign w:val="center"/>
          </w:tcPr>
          <w:p w14:paraId="298636D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0.2</w:t>
            </w:r>
          </w:p>
        </w:tc>
      </w:tr>
      <w:tr w:rsidR="00800011" w:rsidRPr="00800011" w14:paraId="73CD4C7C" w14:textId="77777777" w:rsidTr="00800011">
        <w:trPr>
          <w:trHeight w:val="288"/>
        </w:trPr>
        <w:tc>
          <w:tcPr>
            <w:tcW w:w="539" w:type="dxa"/>
            <w:vMerge/>
            <w:vAlign w:val="center"/>
          </w:tcPr>
          <w:p w14:paraId="34663B08"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0F3752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w:t>
            </w:r>
          </w:p>
        </w:tc>
        <w:tc>
          <w:tcPr>
            <w:tcW w:w="895" w:type="dxa"/>
            <w:vAlign w:val="center"/>
          </w:tcPr>
          <w:p w14:paraId="26E22B7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-1.3</w:t>
            </w:r>
          </w:p>
        </w:tc>
        <w:tc>
          <w:tcPr>
            <w:tcW w:w="896" w:type="dxa"/>
            <w:vAlign w:val="center"/>
          </w:tcPr>
          <w:p w14:paraId="4DA9527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800011" w:rsidRPr="00800011" w14:paraId="40D7BF31" w14:textId="77777777" w:rsidTr="00800011">
        <w:trPr>
          <w:trHeight w:val="288"/>
        </w:trPr>
        <w:tc>
          <w:tcPr>
            <w:tcW w:w="539" w:type="dxa"/>
            <w:vAlign w:val="center"/>
          </w:tcPr>
          <w:p w14:paraId="25FC262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等级</w:t>
            </w:r>
          </w:p>
        </w:tc>
        <w:tc>
          <w:tcPr>
            <w:tcW w:w="1100" w:type="dxa"/>
            <w:vAlign w:val="center"/>
          </w:tcPr>
          <w:p w14:paraId="5550C92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单项</w:t>
            </w:r>
          </w:p>
          <w:p w14:paraId="1741202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得分</w:t>
            </w:r>
          </w:p>
        </w:tc>
        <w:tc>
          <w:tcPr>
            <w:tcW w:w="895" w:type="dxa"/>
            <w:vAlign w:val="center"/>
          </w:tcPr>
          <w:p w14:paraId="387C3DB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大一</w:t>
            </w:r>
          </w:p>
          <w:p w14:paraId="1159118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大二</w:t>
            </w:r>
          </w:p>
        </w:tc>
        <w:tc>
          <w:tcPr>
            <w:tcW w:w="896" w:type="dxa"/>
            <w:vAlign w:val="center"/>
          </w:tcPr>
          <w:p w14:paraId="2102B67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大三</w:t>
            </w:r>
          </w:p>
          <w:p w14:paraId="001F038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大四</w:t>
            </w:r>
          </w:p>
        </w:tc>
      </w:tr>
      <w:tr w:rsidR="00800011" w:rsidRPr="00800011" w14:paraId="18F7863A" w14:textId="77777777" w:rsidTr="00800011">
        <w:trPr>
          <w:trHeight w:val="288"/>
        </w:trPr>
        <w:tc>
          <w:tcPr>
            <w:tcW w:w="539" w:type="dxa"/>
            <w:vMerge w:val="restart"/>
            <w:vAlign w:val="center"/>
          </w:tcPr>
          <w:p w14:paraId="2FCE908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优秀</w:t>
            </w:r>
          </w:p>
        </w:tc>
        <w:tc>
          <w:tcPr>
            <w:tcW w:w="1100" w:type="dxa"/>
            <w:vAlign w:val="center"/>
          </w:tcPr>
          <w:p w14:paraId="228B1EC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100</w:t>
            </w:r>
          </w:p>
        </w:tc>
        <w:tc>
          <w:tcPr>
            <w:tcW w:w="895" w:type="dxa"/>
            <w:vAlign w:val="center"/>
          </w:tcPr>
          <w:p w14:paraId="4E277CD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25.8</w:t>
            </w:r>
          </w:p>
        </w:tc>
        <w:tc>
          <w:tcPr>
            <w:tcW w:w="896" w:type="dxa"/>
            <w:vAlign w:val="center"/>
          </w:tcPr>
          <w:p w14:paraId="5BEC72A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26.3</w:t>
            </w:r>
          </w:p>
        </w:tc>
      </w:tr>
      <w:tr w:rsidR="00800011" w:rsidRPr="00800011" w14:paraId="7E4D6770" w14:textId="77777777" w:rsidTr="00800011">
        <w:trPr>
          <w:trHeight w:val="288"/>
        </w:trPr>
        <w:tc>
          <w:tcPr>
            <w:tcW w:w="539" w:type="dxa"/>
            <w:vMerge/>
            <w:vAlign w:val="center"/>
          </w:tcPr>
          <w:p w14:paraId="6AE527D3"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7435B1C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95</w:t>
            </w:r>
          </w:p>
        </w:tc>
        <w:tc>
          <w:tcPr>
            <w:tcW w:w="895" w:type="dxa"/>
            <w:vAlign w:val="center"/>
          </w:tcPr>
          <w:p w14:paraId="4AF2F1E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24.0</w:t>
            </w:r>
          </w:p>
        </w:tc>
        <w:tc>
          <w:tcPr>
            <w:tcW w:w="896" w:type="dxa"/>
            <w:vAlign w:val="center"/>
          </w:tcPr>
          <w:p w14:paraId="6536B1B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24.4</w:t>
            </w:r>
          </w:p>
        </w:tc>
      </w:tr>
      <w:tr w:rsidR="00800011" w:rsidRPr="00800011" w14:paraId="0E9D2E26" w14:textId="77777777" w:rsidTr="00800011">
        <w:trPr>
          <w:trHeight w:val="288"/>
        </w:trPr>
        <w:tc>
          <w:tcPr>
            <w:tcW w:w="539" w:type="dxa"/>
            <w:vMerge/>
            <w:shd w:val="clear" w:color="auto" w:fill="auto"/>
            <w:vAlign w:val="center"/>
          </w:tcPr>
          <w:p w14:paraId="7A863456"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0992C2C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90</w:t>
            </w:r>
          </w:p>
        </w:tc>
        <w:tc>
          <w:tcPr>
            <w:tcW w:w="895" w:type="dxa"/>
            <w:shd w:val="clear" w:color="auto" w:fill="D9D9D9"/>
            <w:vAlign w:val="center"/>
          </w:tcPr>
          <w:p w14:paraId="5E47FA2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22.2</w:t>
            </w:r>
          </w:p>
        </w:tc>
        <w:tc>
          <w:tcPr>
            <w:tcW w:w="896" w:type="dxa"/>
            <w:shd w:val="clear" w:color="auto" w:fill="D9D9D9"/>
            <w:vAlign w:val="center"/>
          </w:tcPr>
          <w:p w14:paraId="0A558A0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22.4</w:t>
            </w:r>
          </w:p>
        </w:tc>
      </w:tr>
      <w:tr w:rsidR="00800011" w:rsidRPr="00800011" w14:paraId="54D46894" w14:textId="77777777" w:rsidTr="00800011">
        <w:trPr>
          <w:trHeight w:val="288"/>
        </w:trPr>
        <w:tc>
          <w:tcPr>
            <w:tcW w:w="539" w:type="dxa"/>
            <w:vMerge w:val="restart"/>
            <w:vAlign w:val="center"/>
          </w:tcPr>
          <w:p w14:paraId="3F00281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良好</w:t>
            </w:r>
          </w:p>
        </w:tc>
        <w:tc>
          <w:tcPr>
            <w:tcW w:w="1100" w:type="dxa"/>
            <w:vAlign w:val="center"/>
          </w:tcPr>
          <w:p w14:paraId="040EF4B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85</w:t>
            </w:r>
          </w:p>
        </w:tc>
        <w:tc>
          <w:tcPr>
            <w:tcW w:w="895" w:type="dxa"/>
            <w:vAlign w:val="center"/>
          </w:tcPr>
          <w:p w14:paraId="4CCEDBB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20.6</w:t>
            </w:r>
          </w:p>
        </w:tc>
        <w:tc>
          <w:tcPr>
            <w:tcW w:w="896" w:type="dxa"/>
            <w:vAlign w:val="center"/>
          </w:tcPr>
          <w:p w14:paraId="36CF96A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21.0</w:t>
            </w:r>
          </w:p>
        </w:tc>
      </w:tr>
      <w:tr w:rsidR="00800011" w:rsidRPr="00800011" w14:paraId="1F47FC21" w14:textId="77777777" w:rsidTr="00800011">
        <w:trPr>
          <w:trHeight w:val="288"/>
        </w:trPr>
        <w:tc>
          <w:tcPr>
            <w:tcW w:w="539" w:type="dxa"/>
            <w:vMerge/>
            <w:shd w:val="clear" w:color="auto" w:fill="auto"/>
            <w:vAlign w:val="center"/>
          </w:tcPr>
          <w:p w14:paraId="73BCC7A9"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2C448CB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80</w:t>
            </w:r>
          </w:p>
        </w:tc>
        <w:tc>
          <w:tcPr>
            <w:tcW w:w="895" w:type="dxa"/>
            <w:shd w:val="clear" w:color="auto" w:fill="D9D9D9"/>
            <w:vAlign w:val="center"/>
          </w:tcPr>
          <w:p w14:paraId="5CD6242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19.0</w:t>
            </w:r>
          </w:p>
        </w:tc>
        <w:tc>
          <w:tcPr>
            <w:tcW w:w="896" w:type="dxa"/>
            <w:shd w:val="clear" w:color="auto" w:fill="D9D9D9"/>
            <w:vAlign w:val="center"/>
          </w:tcPr>
          <w:p w14:paraId="1E362C2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19.5</w:t>
            </w:r>
          </w:p>
        </w:tc>
      </w:tr>
      <w:tr w:rsidR="00800011" w:rsidRPr="00800011" w14:paraId="167A10F8" w14:textId="77777777" w:rsidTr="00800011">
        <w:trPr>
          <w:trHeight w:val="288"/>
        </w:trPr>
        <w:tc>
          <w:tcPr>
            <w:tcW w:w="539" w:type="dxa"/>
            <w:vMerge w:val="restart"/>
            <w:vAlign w:val="center"/>
          </w:tcPr>
          <w:p w14:paraId="27A0476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及格</w:t>
            </w:r>
          </w:p>
        </w:tc>
        <w:tc>
          <w:tcPr>
            <w:tcW w:w="1100" w:type="dxa"/>
            <w:vAlign w:val="center"/>
          </w:tcPr>
          <w:p w14:paraId="4AE0AE0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78</w:t>
            </w:r>
          </w:p>
        </w:tc>
        <w:tc>
          <w:tcPr>
            <w:tcW w:w="895" w:type="dxa"/>
            <w:vAlign w:val="center"/>
          </w:tcPr>
          <w:p w14:paraId="2880704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17.7</w:t>
            </w:r>
          </w:p>
        </w:tc>
        <w:tc>
          <w:tcPr>
            <w:tcW w:w="896" w:type="dxa"/>
            <w:vAlign w:val="center"/>
          </w:tcPr>
          <w:p w14:paraId="625FF65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18.2</w:t>
            </w:r>
          </w:p>
        </w:tc>
      </w:tr>
      <w:tr w:rsidR="00800011" w:rsidRPr="00800011" w14:paraId="67A32B13" w14:textId="77777777" w:rsidTr="00800011">
        <w:trPr>
          <w:trHeight w:val="288"/>
        </w:trPr>
        <w:tc>
          <w:tcPr>
            <w:tcW w:w="539" w:type="dxa"/>
            <w:vMerge/>
            <w:vAlign w:val="center"/>
          </w:tcPr>
          <w:p w14:paraId="63E9B7C2"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183B7A2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76</w:t>
            </w:r>
          </w:p>
        </w:tc>
        <w:tc>
          <w:tcPr>
            <w:tcW w:w="895" w:type="dxa"/>
            <w:vAlign w:val="center"/>
          </w:tcPr>
          <w:p w14:paraId="3CC8DFA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16.4</w:t>
            </w:r>
          </w:p>
        </w:tc>
        <w:tc>
          <w:tcPr>
            <w:tcW w:w="896" w:type="dxa"/>
            <w:vAlign w:val="center"/>
          </w:tcPr>
          <w:p w14:paraId="01384B0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16.9</w:t>
            </w:r>
          </w:p>
        </w:tc>
      </w:tr>
      <w:tr w:rsidR="00800011" w:rsidRPr="00800011" w14:paraId="3CFA286D" w14:textId="77777777" w:rsidTr="00800011">
        <w:trPr>
          <w:trHeight w:val="288"/>
        </w:trPr>
        <w:tc>
          <w:tcPr>
            <w:tcW w:w="539" w:type="dxa"/>
            <w:vMerge/>
            <w:vAlign w:val="center"/>
          </w:tcPr>
          <w:p w14:paraId="79B86871"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328BBBF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74</w:t>
            </w:r>
          </w:p>
        </w:tc>
        <w:tc>
          <w:tcPr>
            <w:tcW w:w="895" w:type="dxa"/>
            <w:vAlign w:val="center"/>
          </w:tcPr>
          <w:p w14:paraId="35B7224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15.1</w:t>
            </w:r>
          </w:p>
        </w:tc>
        <w:tc>
          <w:tcPr>
            <w:tcW w:w="896" w:type="dxa"/>
            <w:vAlign w:val="center"/>
          </w:tcPr>
          <w:p w14:paraId="4DAB3AC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15.6</w:t>
            </w:r>
          </w:p>
        </w:tc>
      </w:tr>
      <w:tr w:rsidR="00800011" w:rsidRPr="00800011" w14:paraId="441CC37D" w14:textId="77777777" w:rsidTr="00800011">
        <w:trPr>
          <w:trHeight w:val="288"/>
        </w:trPr>
        <w:tc>
          <w:tcPr>
            <w:tcW w:w="539" w:type="dxa"/>
            <w:vMerge/>
            <w:vAlign w:val="center"/>
          </w:tcPr>
          <w:p w14:paraId="63EDB26A"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30E27E0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72</w:t>
            </w:r>
          </w:p>
        </w:tc>
        <w:tc>
          <w:tcPr>
            <w:tcW w:w="895" w:type="dxa"/>
            <w:vAlign w:val="center"/>
          </w:tcPr>
          <w:p w14:paraId="7C098D2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13.8</w:t>
            </w:r>
          </w:p>
        </w:tc>
        <w:tc>
          <w:tcPr>
            <w:tcW w:w="896" w:type="dxa"/>
            <w:vAlign w:val="center"/>
          </w:tcPr>
          <w:p w14:paraId="1578533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14.3</w:t>
            </w:r>
          </w:p>
        </w:tc>
      </w:tr>
      <w:tr w:rsidR="00800011" w:rsidRPr="00800011" w14:paraId="69CB257D" w14:textId="77777777" w:rsidTr="00800011">
        <w:trPr>
          <w:trHeight w:val="288"/>
        </w:trPr>
        <w:tc>
          <w:tcPr>
            <w:tcW w:w="539" w:type="dxa"/>
            <w:vMerge/>
            <w:vAlign w:val="center"/>
          </w:tcPr>
          <w:p w14:paraId="1E8464D5"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81D11B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70</w:t>
            </w:r>
          </w:p>
        </w:tc>
        <w:tc>
          <w:tcPr>
            <w:tcW w:w="895" w:type="dxa"/>
            <w:vAlign w:val="center"/>
          </w:tcPr>
          <w:p w14:paraId="6E3DD7F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12.5</w:t>
            </w:r>
          </w:p>
        </w:tc>
        <w:tc>
          <w:tcPr>
            <w:tcW w:w="896" w:type="dxa"/>
            <w:vAlign w:val="center"/>
          </w:tcPr>
          <w:p w14:paraId="559254C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13.0</w:t>
            </w:r>
          </w:p>
        </w:tc>
      </w:tr>
      <w:tr w:rsidR="00800011" w:rsidRPr="00800011" w14:paraId="36335FC4" w14:textId="77777777" w:rsidTr="00800011">
        <w:trPr>
          <w:trHeight w:val="288"/>
        </w:trPr>
        <w:tc>
          <w:tcPr>
            <w:tcW w:w="539" w:type="dxa"/>
            <w:vMerge/>
            <w:vAlign w:val="center"/>
          </w:tcPr>
          <w:p w14:paraId="316A2C64"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135B51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68</w:t>
            </w:r>
          </w:p>
        </w:tc>
        <w:tc>
          <w:tcPr>
            <w:tcW w:w="895" w:type="dxa"/>
            <w:vAlign w:val="center"/>
          </w:tcPr>
          <w:p w14:paraId="14713F7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11.2</w:t>
            </w:r>
          </w:p>
        </w:tc>
        <w:tc>
          <w:tcPr>
            <w:tcW w:w="896" w:type="dxa"/>
            <w:vAlign w:val="center"/>
          </w:tcPr>
          <w:p w14:paraId="579CD20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11.7</w:t>
            </w:r>
          </w:p>
        </w:tc>
      </w:tr>
      <w:tr w:rsidR="00800011" w:rsidRPr="00800011" w14:paraId="1FEBC3B1" w14:textId="77777777" w:rsidTr="00800011">
        <w:trPr>
          <w:trHeight w:val="288"/>
        </w:trPr>
        <w:tc>
          <w:tcPr>
            <w:tcW w:w="539" w:type="dxa"/>
            <w:vMerge/>
            <w:vAlign w:val="center"/>
          </w:tcPr>
          <w:p w14:paraId="6BEDC5A1"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1BC3B31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66</w:t>
            </w:r>
          </w:p>
        </w:tc>
        <w:tc>
          <w:tcPr>
            <w:tcW w:w="895" w:type="dxa"/>
            <w:vAlign w:val="center"/>
          </w:tcPr>
          <w:p w14:paraId="3DBB42A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9.9</w:t>
            </w:r>
          </w:p>
        </w:tc>
        <w:tc>
          <w:tcPr>
            <w:tcW w:w="896" w:type="dxa"/>
            <w:vAlign w:val="center"/>
          </w:tcPr>
          <w:p w14:paraId="53F9598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10.4</w:t>
            </w:r>
          </w:p>
        </w:tc>
      </w:tr>
      <w:tr w:rsidR="00800011" w:rsidRPr="00800011" w14:paraId="1C9E0490" w14:textId="77777777" w:rsidTr="00800011">
        <w:trPr>
          <w:trHeight w:val="288"/>
        </w:trPr>
        <w:tc>
          <w:tcPr>
            <w:tcW w:w="539" w:type="dxa"/>
            <w:vMerge/>
            <w:vAlign w:val="center"/>
          </w:tcPr>
          <w:p w14:paraId="32BF339F"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6C2C17D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64</w:t>
            </w:r>
          </w:p>
        </w:tc>
        <w:tc>
          <w:tcPr>
            <w:tcW w:w="895" w:type="dxa"/>
            <w:vAlign w:val="center"/>
          </w:tcPr>
          <w:p w14:paraId="729AFB4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8.6</w:t>
            </w:r>
          </w:p>
        </w:tc>
        <w:tc>
          <w:tcPr>
            <w:tcW w:w="896" w:type="dxa"/>
            <w:vAlign w:val="center"/>
          </w:tcPr>
          <w:p w14:paraId="3EA6B5E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9.1</w:t>
            </w:r>
          </w:p>
        </w:tc>
      </w:tr>
      <w:tr w:rsidR="00800011" w:rsidRPr="00800011" w14:paraId="53414404" w14:textId="77777777" w:rsidTr="00800011">
        <w:trPr>
          <w:trHeight w:val="288"/>
        </w:trPr>
        <w:tc>
          <w:tcPr>
            <w:tcW w:w="539" w:type="dxa"/>
            <w:vMerge/>
            <w:vAlign w:val="center"/>
          </w:tcPr>
          <w:p w14:paraId="7521DC61"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2F106DC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62</w:t>
            </w:r>
          </w:p>
        </w:tc>
        <w:tc>
          <w:tcPr>
            <w:tcW w:w="895" w:type="dxa"/>
            <w:vAlign w:val="center"/>
          </w:tcPr>
          <w:p w14:paraId="24510EF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7.3</w:t>
            </w:r>
          </w:p>
        </w:tc>
        <w:tc>
          <w:tcPr>
            <w:tcW w:w="896" w:type="dxa"/>
            <w:vAlign w:val="center"/>
          </w:tcPr>
          <w:p w14:paraId="54B8DE9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7.8</w:t>
            </w:r>
          </w:p>
        </w:tc>
      </w:tr>
      <w:tr w:rsidR="00800011" w:rsidRPr="00800011" w14:paraId="03D1161D" w14:textId="77777777" w:rsidTr="00800011">
        <w:trPr>
          <w:trHeight w:val="288"/>
        </w:trPr>
        <w:tc>
          <w:tcPr>
            <w:tcW w:w="539" w:type="dxa"/>
            <w:vMerge/>
            <w:shd w:val="clear" w:color="auto" w:fill="auto"/>
            <w:vAlign w:val="center"/>
          </w:tcPr>
          <w:p w14:paraId="09DB2785"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3787D98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60</w:t>
            </w:r>
          </w:p>
        </w:tc>
        <w:tc>
          <w:tcPr>
            <w:tcW w:w="895" w:type="dxa"/>
            <w:shd w:val="clear" w:color="auto" w:fill="D9D9D9"/>
            <w:vAlign w:val="center"/>
          </w:tcPr>
          <w:p w14:paraId="71B1036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6.0</w:t>
            </w:r>
          </w:p>
        </w:tc>
        <w:tc>
          <w:tcPr>
            <w:tcW w:w="896" w:type="dxa"/>
            <w:shd w:val="clear" w:color="auto" w:fill="D9D9D9"/>
            <w:vAlign w:val="center"/>
          </w:tcPr>
          <w:p w14:paraId="2EDD88A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6.5</w:t>
            </w:r>
          </w:p>
        </w:tc>
      </w:tr>
      <w:tr w:rsidR="00800011" w:rsidRPr="00800011" w14:paraId="2CE7B4A2" w14:textId="77777777" w:rsidTr="00800011">
        <w:trPr>
          <w:trHeight w:val="288"/>
        </w:trPr>
        <w:tc>
          <w:tcPr>
            <w:tcW w:w="539" w:type="dxa"/>
            <w:vMerge w:val="restart"/>
            <w:vAlign w:val="center"/>
          </w:tcPr>
          <w:p w14:paraId="074A120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不及格</w:t>
            </w:r>
          </w:p>
        </w:tc>
        <w:tc>
          <w:tcPr>
            <w:tcW w:w="1100" w:type="dxa"/>
            <w:vAlign w:val="center"/>
          </w:tcPr>
          <w:p w14:paraId="3FA278E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50</w:t>
            </w:r>
          </w:p>
        </w:tc>
        <w:tc>
          <w:tcPr>
            <w:tcW w:w="895" w:type="dxa"/>
            <w:vAlign w:val="center"/>
          </w:tcPr>
          <w:p w14:paraId="5705E28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5.2</w:t>
            </w:r>
          </w:p>
        </w:tc>
        <w:tc>
          <w:tcPr>
            <w:tcW w:w="896" w:type="dxa"/>
            <w:vAlign w:val="center"/>
          </w:tcPr>
          <w:p w14:paraId="17D04B5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5.7</w:t>
            </w:r>
          </w:p>
        </w:tc>
      </w:tr>
      <w:tr w:rsidR="00800011" w:rsidRPr="00800011" w14:paraId="4B767702" w14:textId="77777777" w:rsidTr="00800011">
        <w:trPr>
          <w:trHeight w:val="288"/>
        </w:trPr>
        <w:tc>
          <w:tcPr>
            <w:tcW w:w="539" w:type="dxa"/>
            <w:vMerge/>
            <w:vAlign w:val="center"/>
          </w:tcPr>
          <w:p w14:paraId="500964C5"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136BC31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40</w:t>
            </w:r>
          </w:p>
        </w:tc>
        <w:tc>
          <w:tcPr>
            <w:tcW w:w="895" w:type="dxa"/>
            <w:vAlign w:val="center"/>
          </w:tcPr>
          <w:p w14:paraId="2827336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4.4</w:t>
            </w:r>
          </w:p>
        </w:tc>
        <w:tc>
          <w:tcPr>
            <w:tcW w:w="896" w:type="dxa"/>
            <w:vAlign w:val="center"/>
          </w:tcPr>
          <w:p w14:paraId="02ECA4A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4.9</w:t>
            </w:r>
          </w:p>
        </w:tc>
      </w:tr>
      <w:tr w:rsidR="00800011" w:rsidRPr="00800011" w14:paraId="53AA22D3" w14:textId="77777777" w:rsidTr="00800011">
        <w:trPr>
          <w:trHeight w:val="288"/>
        </w:trPr>
        <w:tc>
          <w:tcPr>
            <w:tcW w:w="539" w:type="dxa"/>
            <w:vMerge/>
            <w:vAlign w:val="center"/>
          </w:tcPr>
          <w:p w14:paraId="1AC072BB"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63FE22B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30</w:t>
            </w:r>
          </w:p>
        </w:tc>
        <w:tc>
          <w:tcPr>
            <w:tcW w:w="895" w:type="dxa"/>
            <w:vAlign w:val="center"/>
          </w:tcPr>
          <w:p w14:paraId="278765F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3.6</w:t>
            </w:r>
          </w:p>
        </w:tc>
        <w:tc>
          <w:tcPr>
            <w:tcW w:w="896" w:type="dxa"/>
            <w:vAlign w:val="center"/>
          </w:tcPr>
          <w:p w14:paraId="1060264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4.1</w:t>
            </w:r>
          </w:p>
        </w:tc>
      </w:tr>
      <w:tr w:rsidR="00800011" w:rsidRPr="00800011" w14:paraId="69FC8D47" w14:textId="77777777" w:rsidTr="00800011">
        <w:trPr>
          <w:trHeight w:val="288"/>
        </w:trPr>
        <w:tc>
          <w:tcPr>
            <w:tcW w:w="539" w:type="dxa"/>
            <w:vMerge/>
            <w:vAlign w:val="center"/>
          </w:tcPr>
          <w:p w14:paraId="4106E41A"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40697F0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20</w:t>
            </w:r>
          </w:p>
        </w:tc>
        <w:tc>
          <w:tcPr>
            <w:tcW w:w="895" w:type="dxa"/>
            <w:vAlign w:val="center"/>
          </w:tcPr>
          <w:p w14:paraId="2A3C0C1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2.8</w:t>
            </w:r>
          </w:p>
        </w:tc>
        <w:tc>
          <w:tcPr>
            <w:tcW w:w="896" w:type="dxa"/>
            <w:vAlign w:val="center"/>
          </w:tcPr>
          <w:p w14:paraId="5CA967B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3.3</w:t>
            </w:r>
          </w:p>
        </w:tc>
      </w:tr>
      <w:tr w:rsidR="00800011" w:rsidRPr="00800011" w14:paraId="5E1C9FEB" w14:textId="77777777" w:rsidTr="00800011">
        <w:trPr>
          <w:trHeight w:val="288"/>
        </w:trPr>
        <w:tc>
          <w:tcPr>
            <w:tcW w:w="539" w:type="dxa"/>
            <w:vMerge/>
            <w:vAlign w:val="center"/>
          </w:tcPr>
          <w:p w14:paraId="18C4C6AB"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0065AD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w:t>
            </w:r>
          </w:p>
        </w:tc>
        <w:tc>
          <w:tcPr>
            <w:tcW w:w="895" w:type="dxa"/>
            <w:vAlign w:val="center"/>
          </w:tcPr>
          <w:p w14:paraId="1ED810A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2.0</w:t>
            </w:r>
          </w:p>
        </w:tc>
        <w:tc>
          <w:tcPr>
            <w:tcW w:w="896" w:type="dxa"/>
            <w:vAlign w:val="center"/>
          </w:tcPr>
          <w:p w14:paraId="6204682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2.5</w:t>
            </w:r>
          </w:p>
        </w:tc>
      </w:tr>
    </w:tbl>
    <w:p w14:paraId="0B2FEEF7" w14:textId="77777777" w:rsidR="00800011" w:rsidRPr="00800011" w:rsidRDefault="00800011" w:rsidP="00800011">
      <w:pPr>
        <w:jc w:val="left"/>
        <w:rPr>
          <w:rFonts w:ascii="仿宋_GB2312" w:eastAsia="仿宋_GB2312" w:hAnsi="仿宋" w:cs="Times New Roman"/>
          <w:sz w:val="32"/>
          <w:szCs w:val="32"/>
        </w:rPr>
      </w:pPr>
    </w:p>
    <w:p w14:paraId="48EF1F1F" w14:textId="77777777" w:rsidR="00800011" w:rsidRPr="00800011" w:rsidRDefault="00800011" w:rsidP="00800011">
      <w:pPr>
        <w:jc w:val="left"/>
        <w:rPr>
          <w:rFonts w:ascii="仿宋_GB2312" w:eastAsia="仿宋_GB2312" w:hAnsi="仿宋" w:cs="Times New Roman"/>
          <w:sz w:val="32"/>
          <w:szCs w:val="32"/>
        </w:rPr>
      </w:pPr>
    </w:p>
    <w:p w14:paraId="1889B43E" w14:textId="77777777" w:rsidR="00800011" w:rsidRPr="00800011" w:rsidRDefault="00800011" w:rsidP="00800011">
      <w:pPr>
        <w:jc w:val="left"/>
        <w:rPr>
          <w:rFonts w:ascii="仿宋_GB2312" w:eastAsia="仿宋_GB2312" w:hAnsi="仿宋" w:cs="Times New Roman"/>
          <w:sz w:val="32"/>
          <w:szCs w:val="32"/>
        </w:rPr>
      </w:pPr>
    </w:p>
    <w:p w14:paraId="75D4690A" w14:textId="77777777" w:rsidR="00800011" w:rsidRPr="00800011" w:rsidRDefault="00800011" w:rsidP="00800011">
      <w:pPr>
        <w:jc w:val="left"/>
        <w:rPr>
          <w:rFonts w:ascii="仿宋_GB2312" w:eastAsia="仿宋_GB2312" w:hAnsi="仿宋" w:cs="Times New Roman"/>
          <w:sz w:val="32"/>
          <w:szCs w:val="32"/>
        </w:rPr>
      </w:pPr>
    </w:p>
    <w:p w14:paraId="70CE9F83" w14:textId="77777777" w:rsidR="00800011" w:rsidRPr="00800011" w:rsidRDefault="00800011" w:rsidP="00800011">
      <w:pPr>
        <w:jc w:val="left"/>
        <w:rPr>
          <w:rFonts w:ascii="仿宋_GB2312" w:eastAsia="仿宋_GB2312" w:hAnsi="仿宋" w:cs="Times New Roman"/>
          <w:sz w:val="32"/>
          <w:szCs w:val="32"/>
        </w:rPr>
      </w:pPr>
    </w:p>
    <w:p w14:paraId="41CA6099" w14:textId="77777777" w:rsidR="00800011" w:rsidRPr="00800011" w:rsidRDefault="00800011" w:rsidP="00800011">
      <w:pPr>
        <w:jc w:val="left"/>
        <w:rPr>
          <w:rFonts w:ascii="仿宋_GB2312" w:eastAsia="仿宋_GB2312" w:hAnsi="仿宋" w:cs="Times New Roman"/>
          <w:sz w:val="32"/>
          <w:szCs w:val="32"/>
        </w:rPr>
      </w:pPr>
    </w:p>
    <w:p w14:paraId="0BE898BD" w14:textId="77777777" w:rsidR="00800011" w:rsidRPr="00800011" w:rsidRDefault="00800011" w:rsidP="00800011">
      <w:pPr>
        <w:jc w:val="left"/>
        <w:rPr>
          <w:rFonts w:ascii="仿宋_GB2312" w:eastAsia="仿宋_GB2312" w:hAnsi="仿宋" w:cs="Times New Roman"/>
          <w:sz w:val="32"/>
          <w:szCs w:val="32"/>
        </w:rPr>
      </w:pPr>
    </w:p>
    <w:p w14:paraId="75384540" w14:textId="77777777" w:rsidR="00800011" w:rsidRPr="00800011" w:rsidRDefault="00800011" w:rsidP="00800011">
      <w:pPr>
        <w:jc w:val="left"/>
        <w:rPr>
          <w:rFonts w:ascii="仿宋_GB2312" w:eastAsia="仿宋_GB2312" w:hAnsi="仿宋" w:cs="Times New Roman"/>
          <w:sz w:val="32"/>
          <w:szCs w:val="32"/>
        </w:rPr>
      </w:pPr>
    </w:p>
    <w:p w14:paraId="0AC5AA1B" w14:textId="77777777" w:rsidR="00800011" w:rsidRPr="00800011" w:rsidRDefault="00800011" w:rsidP="00800011">
      <w:pPr>
        <w:jc w:val="left"/>
        <w:rPr>
          <w:rFonts w:ascii="仿宋_GB2312" w:eastAsia="仿宋_GB2312" w:hAnsi="仿宋" w:cs="Times New Roman"/>
          <w:sz w:val="32"/>
          <w:szCs w:val="32"/>
        </w:rPr>
      </w:pPr>
    </w:p>
    <w:p w14:paraId="5C1B790A" w14:textId="77777777" w:rsidR="00800011" w:rsidRPr="00800011" w:rsidRDefault="00800011" w:rsidP="00800011">
      <w:pPr>
        <w:jc w:val="left"/>
        <w:rPr>
          <w:rFonts w:ascii="仿宋_GB2312" w:eastAsia="仿宋_GB2312" w:hAnsi="仿宋" w:cs="Times New Roman"/>
          <w:sz w:val="32"/>
          <w:szCs w:val="32"/>
        </w:rPr>
      </w:pPr>
    </w:p>
    <w:p w14:paraId="24FF6D6B" w14:textId="77777777" w:rsidR="00800011" w:rsidRPr="00800011" w:rsidRDefault="00800011" w:rsidP="00800011">
      <w:pPr>
        <w:jc w:val="left"/>
        <w:rPr>
          <w:rFonts w:ascii="仿宋_GB2312" w:eastAsia="仿宋_GB2312" w:hAnsi="仿宋" w:cs="Times New Roman"/>
          <w:sz w:val="32"/>
          <w:szCs w:val="32"/>
        </w:rPr>
      </w:pPr>
    </w:p>
    <w:p w14:paraId="76157437" w14:textId="77777777" w:rsidR="00800011" w:rsidRPr="00800011" w:rsidRDefault="00800011" w:rsidP="00800011">
      <w:pPr>
        <w:jc w:val="left"/>
        <w:rPr>
          <w:rFonts w:ascii="仿宋_GB2312" w:eastAsia="仿宋_GB2312" w:hAnsi="仿宋" w:cs="Times New Roman"/>
          <w:sz w:val="32"/>
          <w:szCs w:val="32"/>
        </w:rPr>
      </w:pPr>
    </w:p>
    <w:p w14:paraId="301853B9"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3050AFDB"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277419F"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41D3B2A"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073A243"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F249C4F"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A8D76D6"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014E9F3"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D5FF2EE"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4F784A0"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6A7EB1B"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800011">
        <w:rPr>
          <w:rFonts w:ascii="宋体" w:eastAsia="宋体" w:hAnsi="Calibri" w:cs="宋体" w:hint="eastAsia"/>
          <w:spacing w:val="5"/>
          <w:kern w:val="0"/>
          <w:sz w:val="24"/>
        </w:rPr>
        <w:t>表1-9男生立定跳远单项评分表    1-10女生立定跳远单项评分表</w:t>
      </w:r>
    </w:p>
    <w:p w14:paraId="02F343C1"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宋体" w:cs="Times New Roman"/>
          <w:b/>
          <w:sz w:val="28"/>
          <w:szCs w:val="28"/>
        </w:rPr>
      </w:pPr>
      <w:r w:rsidRPr="00800011">
        <w:rPr>
          <w:rFonts w:ascii="宋体" w:eastAsia="宋体" w:hAnsi="Calibri" w:cs="宋体" w:hint="eastAsia"/>
          <w:spacing w:val="5"/>
          <w:kern w:val="0"/>
          <w:sz w:val="24"/>
        </w:rPr>
        <w:t>（单位：厘米）</w:t>
      </w: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800011" w:rsidRPr="00800011" w14:paraId="3F24C8DA" w14:textId="77777777" w:rsidTr="00800011">
        <w:trPr>
          <w:trHeight w:val="288"/>
        </w:trPr>
        <w:tc>
          <w:tcPr>
            <w:tcW w:w="538" w:type="dxa"/>
            <w:vAlign w:val="center"/>
          </w:tcPr>
          <w:p w14:paraId="497AE78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等级</w:t>
            </w:r>
          </w:p>
        </w:tc>
        <w:tc>
          <w:tcPr>
            <w:tcW w:w="1102" w:type="dxa"/>
            <w:vAlign w:val="center"/>
          </w:tcPr>
          <w:p w14:paraId="0B110A8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单项</w:t>
            </w:r>
          </w:p>
          <w:p w14:paraId="27CD976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得分</w:t>
            </w:r>
          </w:p>
        </w:tc>
        <w:tc>
          <w:tcPr>
            <w:tcW w:w="1567" w:type="dxa"/>
            <w:vAlign w:val="center"/>
          </w:tcPr>
          <w:p w14:paraId="1536841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大一大二</w:t>
            </w:r>
          </w:p>
        </w:tc>
        <w:tc>
          <w:tcPr>
            <w:tcW w:w="1567" w:type="dxa"/>
            <w:vAlign w:val="center"/>
          </w:tcPr>
          <w:p w14:paraId="6776443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大三大四</w:t>
            </w:r>
          </w:p>
        </w:tc>
      </w:tr>
      <w:tr w:rsidR="00800011" w:rsidRPr="00800011" w14:paraId="049BB196" w14:textId="77777777" w:rsidTr="00800011">
        <w:trPr>
          <w:trHeight w:val="288"/>
        </w:trPr>
        <w:tc>
          <w:tcPr>
            <w:tcW w:w="538" w:type="dxa"/>
            <w:vMerge w:val="restart"/>
            <w:vAlign w:val="center"/>
          </w:tcPr>
          <w:p w14:paraId="013A343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优秀</w:t>
            </w:r>
          </w:p>
        </w:tc>
        <w:tc>
          <w:tcPr>
            <w:tcW w:w="1102" w:type="dxa"/>
            <w:vAlign w:val="center"/>
          </w:tcPr>
          <w:p w14:paraId="30F2778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100</w:t>
            </w:r>
          </w:p>
        </w:tc>
        <w:tc>
          <w:tcPr>
            <w:tcW w:w="1567" w:type="dxa"/>
            <w:vAlign w:val="center"/>
          </w:tcPr>
          <w:p w14:paraId="60E0437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273</w:t>
            </w:r>
          </w:p>
        </w:tc>
        <w:tc>
          <w:tcPr>
            <w:tcW w:w="1567" w:type="dxa"/>
            <w:vAlign w:val="center"/>
          </w:tcPr>
          <w:p w14:paraId="168843B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275</w:t>
            </w:r>
          </w:p>
        </w:tc>
      </w:tr>
      <w:tr w:rsidR="00800011" w:rsidRPr="00800011" w14:paraId="24916DF8" w14:textId="77777777" w:rsidTr="00800011">
        <w:trPr>
          <w:trHeight w:val="288"/>
        </w:trPr>
        <w:tc>
          <w:tcPr>
            <w:tcW w:w="538" w:type="dxa"/>
            <w:vMerge/>
            <w:vAlign w:val="center"/>
          </w:tcPr>
          <w:p w14:paraId="63F867A2"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4BACAF2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95</w:t>
            </w:r>
          </w:p>
        </w:tc>
        <w:tc>
          <w:tcPr>
            <w:tcW w:w="1567" w:type="dxa"/>
            <w:vAlign w:val="center"/>
          </w:tcPr>
          <w:p w14:paraId="3AC779C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268</w:t>
            </w:r>
          </w:p>
        </w:tc>
        <w:tc>
          <w:tcPr>
            <w:tcW w:w="1567" w:type="dxa"/>
            <w:vAlign w:val="center"/>
          </w:tcPr>
          <w:p w14:paraId="11988E2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270</w:t>
            </w:r>
          </w:p>
        </w:tc>
      </w:tr>
      <w:tr w:rsidR="00800011" w:rsidRPr="00800011" w14:paraId="0CDFF702" w14:textId="77777777" w:rsidTr="00800011">
        <w:trPr>
          <w:trHeight w:val="288"/>
        </w:trPr>
        <w:tc>
          <w:tcPr>
            <w:tcW w:w="538" w:type="dxa"/>
            <w:vMerge/>
            <w:shd w:val="clear" w:color="auto" w:fill="auto"/>
            <w:vAlign w:val="center"/>
          </w:tcPr>
          <w:p w14:paraId="7A347EBC"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AEEE29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90</w:t>
            </w:r>
          </w:p>
        </w:tc>
        <w:tc>
          <w:tcPr>
            <w:tcW w:w="1567" w:type="dxa"/>
            <w:shd w:val="clear" w:color="auto" w:fill="D9D9D9"/>
            <w:vAlign w:val="center"/>
          </w:tcPr>
          <w:p w14:paraId="497885A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263</w:t>
            </w:r>
          </w:p>
        </w:tc>
        <w:tc>
          <w:tcPr>
            <w:tcW w:w="1567" w:type="dxa"/>
            <w:shd w:val="clear" w:color="auto" w:fill="D9D9D9"/>
            <w:vAlign w:val="center"/>
          </w:tcPr>
          <w:p w14:paraId="2FACA26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265</w:t>
            </w:r>
          </w:p>
        </w:tc>
      </w:tr>
      <w:tr w:rsidR="00800011" w:rsidRPr="00800011" w14:paraId="178EA6C9" w14:textId="77777777" w:rsidTr="00800011">
        <w:trPr>
          <w:trHeight w:val="288"/>
        </w:trPr>
        <w:tc>
          <w:tcPr>
            <w:tcW w:w="538" w:type="dxa"/>
            <w:vMerge w:val="restart"/>
            <w:vAlign w:val="center"/>
          </w:tcPr>
          <w:p w14:paraId="0713BF2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良好</w:t>
            </w:r>
          </w:p>
        </w:tc>
        <w:tc>
          <w:tcPr>
            <w:tcW w:w="1102" w:type="dxa"/>
            <w:vAlign w:val="center"/>
          </w:tcPr>
          <w:p w14:paraId="1B99E4B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85</w:t>
            </w:r>
          </w:p>
        </w:tc>
        <w:tc>
          <w:tcPr>
            <w:tcW w:w="1567" w:type="dxa"/>
            <w:vAlign w:val="center"/>
          </w:tcPr>
          <w:p w14:paraId="79E7D8E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256</w:t>
            </w:r>
          </w:p>
        </w:tc>
        <w:tc>
          <w:tcPr>
            <w:tcW w:w="1567" w:type="dxa"/>
            <w:vAlign w:val="center"/>
          </w:tcPr>
          <w:p w14:paraId="4E791E5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258</w:t>
            </w:r>
          </w:p>
        </w:tc>
      </w:tr>
      <w:tr w:rsidR="00800011" w:rsidRPr="00800011" w14:paraId="150B40AC" w14:textId="77777777" w:rsidTr="00800011">
        <w:trPr>
          <w:trHeight w:val="288"/>
        </w:trPr>
        <w:tc>
          <w:tcPr>
            <w:tcW w:w="538" w:type="dxa"/>
            <w:vMerge/>
            <w:shd w:val="clear" w:color="auto" w:fill="auto"/>
            <w:vAlign w:val="center"/>
          </w:tcPr>
          <w:p w14:paraId="56A12E0E"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070C26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80</w:t>
            </w:r>
          </w:p>
        </w:tc>
        <w:tc>
          <w:tcPr>
            <w:tcW w:w="1567" w:type="dxa"/>
            <w:shd w:val="clear" w:color="auto" w:fill="D9D9D9"/>
            <w:vAlign w:val="center"/>
          </w:tcPr>
          <w:p w14:paraId="00DEB1C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248</w:t>
            </w:r>
          </w:p>
        </w:tc>
        <w:tc>
          <w:tcPr>
            <w:tcW w:w="1567" w:type="dxa"/>
            <w:shd w:val="clear" w:color="auto" w:fill="D9D9D9"/>
            <w:vAlign w:val="center"/>
          </w:tcPr>
          <w:p w14:paraId="7A57CAC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250</w:t>
            </w:r>
          </w:p>
        </w:tc>
      </w:tr>
      <w:tr w:rsidR="00800011" w:rsidRPr="00800011" w14:paraId="0C9347CD" w14:textId="77777777" w:rsidTr="00800011">
        <w:trPr>
          <w:trHeight w:val="288"/>
        </w:trPr>
        <w:tc>
          <w:tcPr>
            <w:tcW w:w="538" w:type="dxa"/>
            <w:vMerge w:val="restart"/>
            <w:vAlign w:val="center"/>
          </w:tcPr>
          <w:p w14:paraId="6BBCC1E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及格</w:t>
            </w:r>
          </w:p>
        </w:tc>
        <w:tc>
          <w:tcPr>
            <w:tcW w:w="1102" w:type="dxa"/>
            <w:vAlign w:val="center"/>
          </w:tcPr>
          <w:p w14:paraId="4367965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78</w:t>
            </w:r>
          </w:p>
        </w:tc>
        <w:tc>
          <w:tcPr>
            <w:tcW w:w="1567" w:type="dxa"/>
            <w:vAlign w:val="center"/>
          </w:tcPr>
          <w:p w14:paraId="77FF056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244</w:t>
            </w:r>
          </w:p>
        </w:tc>
        <w:tc>
          <w:tcPr>
            <w:tcW w:w="1567" w:type="dxa"/>
            <w:vAlign w:val="center"/>
          </w:tcPr>
          <w:p w14:paraId="0D8042E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246</w:t>
            </w:r>
          </w:p>
        </w:tc>
      </w:tr>
      <w:tr w:rsidR="00800011" w:rsidRPr="00800011" w14:paraId="7D907062" w14:textId="77777777" w:rsidTr="00800011">
        <w:trPr>
          <w:trHeight w:val="288"/>
        </w:trPr>
        <w:tc>
          <w:tcPr>
            <w:tcW w:w="538" w:type="dxa"/>
            <w:vMerge/>
            <w:vAlign w:val="center"/>
          </w:tcPr>
          <w:p w14:paraId="09363993"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004B756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76</w:t>
            </w:r>
          </w:p>
        </w:tc>
        <w:tc>
          <w:tcPr>
            <w:tcW w:w="1567" w:type="dxa"/>
            <w:vAlign w:val="center"/>
          </w:tcPr>
          <w:p w14:paraId="69E492D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240</w:t>
            </w:r>
          </w:p>
        </w:tc>
        <w:tc>
          <w:tcPr>
            <w:tcW w:w="1567" w:type="dxa"/>
            <w:vAlign w:val="center"/>
          </w:tcPr>
          <w:p w14:paraId="00E21D7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242</w:t>
            </w:r>
          </w:p>
        </w:tc>
      </w:tr>
      <w:tr w:rsidR="00800011" w:rsidRPr="00800011" w14:paraId="3EDC2382" w14:textId="77777777" w:rsidTr="00800011">
        <w:trPr>
          <w:trHeight w:val="288"/>
        </w:trPr>
        <w:tc>
          <w:tcPr>
            <w:tcW w:w="538" w:type="dxa"/>
            <w:vMerge/>
            <w:vAlign w:val="center"/>
          </w:tcPr>
          <w:p w14:paraId="293454DE"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57A8920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74</w:t>
            </w:r>
          </w:p>
        </w:tc>
        <w:tc>
          <w:tcPr>
            <w:tcW w:w="1567" w:type="dxa"/>
            <w:vAlign w:val="center"/>
          </w:tcPr>
          <w:p w14:paraId="78F6038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236</w:t>
            </w:r>
          </w:p>
        </w:tc>
        <w:tc>
          <w:tcPr>
            <w:tcW w:w="1567" w:type="dxa"/>
            <w:vAlign w:val="center"/>
          </w:tcPr>
          <w:p w14:paraId="10F26A1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238</w:t>
            </w:r>
          </w:p>
        </w:tc>
      </w:tr>
      <w:tr w:rsidR="00800011" w:rsidRPr="00800011" w14:paraId="5138346C" w14:textId="77777777" w:rsidTr="00800011">
        <w:trPr>
          <w:trHeight w:val="288"/>
        </w:trPr>
        <w:tc>
          <w:tcPr>
            <w:tcW w:w="538" w:type="dxa"/>
            <w:vMerge/>
            <w:vAlign w:val="center"/>
          </w:tcPr>
          <w:p w14:paraId="1E4B0C71"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4029193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72</w:t>
            </w:r>
          </w:p>
        </w:tc>
        <w:tc>
          <w:tcPr>
            <w:tcW w:w="1567" w:type="dxa"/>
            <w:vAlign w:val="center"/>
          </w:tcPr>
          <w:p w14:paraId="03B8A4A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232</w:t>
            </w:r>
          </w:p>
        </w:tc>
        <w:tc>
          <w:tcPr>
            <w:tcW w:w="1567" w:type="dxa"/>
            <w:vAlign w:val="center"/>
          </w:tcPr>
          <w:p w14:paraId="5D9250F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234</w:t>
            </w:r>
          </w:p>
        </w:tc>
      </w:tr>
      <w:tr w:rsidR="00800011" w:rsidRPr="00800011" w14:paraId="72402322" w14:textId="77777777" w:rsidTr="00800011">
        <w:trPr>
          <w:trHeight w:val="288"/>
        </w:trPr>
        <w:tc>
          <w:tcPr>
            <w:tcW w:w="538" w:type="dxa"/>
            <w:vMerge/>
            <w:vAlign w:val="center"/>
          </w:tcPr>
          <w:p w14:paraId="743FEB46"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5331C6A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70</w:t>
            </w:r>
          </w:p>
        </w:tc>
        <w:tc>
          <w:tcPr>
            <w:tcW w:w="1567" w:type="dxa"/>
            <w:vAlign w:val="center"/>
          </w:tcPr>
          <w:p w14:paraId="379FCA9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228</w:t>
            </w:r>
          </w:p>
        </w:tc>
        <w:tc>
          <w:tcPr>
            <w:tcW w:w="1567" w:type="dxa"/>
            <w:vAlign w:val="center"/>
          </w:tcPr>
          <w:p w14:paraId="082AEFD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230</w:t>
            </w:r>
          </w:p>
        </w:tc>
      </w:tr>
      <w:tr w:rsidR="00800011" w:rsidRPr="00800011" w14:paraId="58AD8D63" w14:textId="77777777" w:rsidTr="00800011">
        <w:trPr>
          <w:trHeight w:val="288"/>
        </w:trPr>
        <w:tc>
          <w:tcPr>
            <w:tcW w:w="538" w:type="dxa"/>
            <w:vMerge/>
            <w:vAlign w:val="center"/>
          </w:tcPr>
          <w:p w14:paraId="2190BE3F"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48DF4A2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68</w:t>
            </w:r>
          </w:p>
        </w:tc>
        <w:tc>
          <w:tcPr>
            <w:tcW w:w="1567" w:type="dxa"/>
            <w:vAlign w:val="center"/>
          </w:tcPr>
          <w:p w14:paraId="392BCCA0"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224</w:t>
            </w:r>
          </w:p>
        </w:tc>
        <w:tc>
          <w:tcPr>
            <w:tcW w:w="1567" w:type="dxa"/>
            <w:vAlign w:val="center"/>
          </w:tcPr>
          <w:p w14:paraId="6055DA8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226</w:t>
            </w:r>
          </w:p>
        </w:tc>
      </w:tr>
      <w:tr w:rsidR="00800011" w:rsidRPr="00800011" w14:paraId="65547B31" w14:textId="77777777" w:rsidTr="00800011">
        <w:trPr>
          <w:trHeight w:val="288"/>
        </w:trPr>
        <w:tc>
          <w:tcPr>
            <w:tcW w:w="538" w:type="dxa"/>
            <w:vMerge/>
            <w:vAlign w:val="center"/>
          </w:tcPr>
          <w:p w14:paraId="15160415"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08A7497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66</w:t>
            </w:r>
          </w:p>
        </w:tc>
        <w:tc>
          <w:tcPr>
            <w:tcW w:w="1567" w:type="dxa"/>
            <w:vAlign w:val="center"/>
          </w:tcPr>
          <w:p w14:paraId="14B8FCD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220</w:t>
            </w:r>
          </w:p>
        </w:tc>
        <w:tc>
          <w:tcPr>
            <w:tcW w:w="1567" w:type="dxa"/>
            <w:vAlign w:val="center"/>
          </w:tcPr>
          <w:p w14:paraId="17C7C16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222</w:t>
            </w:r>
          </w:p>
        </w:tc>
      </w:tr>
      <w:tr w:rsidR="00800011" w:rsidRPr="00800011" w14:paraId="60327833" w14:textId="77777777" w:rsidTr="00800011">
        <w:trPr>
          <w:trHeight w:val="288"/>
        </w:trPr>
        <w:tc>
          <w:tcPr>
            <w:tcW w:w="538" w:type="dxa"/>
            <w:vMerge/>
            <w:vAlign w:val="center"/>
          </w:tcPr>
          <w:p w14:paraId="7506E5A8"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24A55C9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64</w:t>
            </w:r>
          </w:p>
        </w:tc>
        <w:tc>
          <w:tcPr>
            <w:tcW w:w="1567" w:type="dxa"/>
            <w:vAlign w:val="center"/>
          </w:tcPr>
          <w:p w14:paraId="76DDB86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216</w:t>
            </w:r>
          </w:p>
        </w:tc>
        <w:tc>
          <w:tcPr>
            <w:tcW w:w="1567" w:type="dxa"/>
            <w:vAlign w:val="center"/>
          </w:tcPr>
          <w:p w14:paraId="32F79C4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218</w:t>
            </w:r>
          </w:p>
        </w:tc>
      </w:tr>
      <w:tr w:rsidR="00800011" w:rsidRPr="00800011" w14:paraId="3B7D9588" w14:textId="77777777" w:rsidTr="00800011">
        <w:trPr>
          <w:trHeight w:val="288"/>
        </w:trPr>
        <w:tc>
          <w:tcPr>
            <w:tcW w:w="538" w:type="dxa"/>
            <w:vMerge/>
            <w:vAlign w:val="center"/>
          </w:tcPr>
          <w:p w14:paraId="0B3A2FC5"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524759F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62</w:t>
            </w:r>
          </w:p>
        </w:tc>
        <w:tc>
          <w:tcPr>
            <w:tcW w:w="1567" w:type="dxa"/>
            <w:vAlign w:val="center"/>
          </w:tcPr>
          <w:p w14:paraId="1653BB9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212</w:t>
            </w:r>
          </w:p>
        </w:tc>
        <w:tc>
          <w:tcPr>
            <w:tcW w:w="1567" w:type="dxa"/>
            <w:vAlign w:val="center"/>
          </w:tcPr>
          <w:p w14:paraId="2551502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214</w:t>
            </w:r>
          </w:p>
        </w:tc>
      </w:tr>
      <w:tr w:rsidR="00800011" w:rsidRPr="00800011" w14:paraId="4D5FB59C" w14:textId="77777777" w:rsidTr="00800011">
        <w:trPr>
          <w:trHeight w:val="288"/>
        </w:trPr>
        <w:tc>
          <w:tcPr>
            <w:tcW w:w="538" w:type="dxa"/>
            <w:vMerge/>
            <w:shd w:val="clear" w:color="auto" w:fill="auto"/>
            <w:vAlign w:val="center"/>
          </w:tcPr>
          <w:p w14:paraId="5BDE4B4F"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9FC0BC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60</w:t>
            </w:r>
          </w:p>
        </w:tc>
        <w:tc>
          <w:tcPr>
            <w:tcW w:w="1567" w:type="dxa"/>
            <w:shd w:val="clear" w:color="auto" w:fill="D9D9D9"/>
            <w:vAlign w:val="center"/>
          </w:tcPr>
          <w:p w14:paraId="555D020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208</w:t>
            </w:r>
          </w:p>
        </w:tc>
        <w:tc>
          <w:tcPr>
            <w:tcW w:w="1567" w:type="dxa"/>
            <w:shd w:val="clear" w:color="auto" w:fill="D9D9D9"/>
            <w:vAlign w:val="center"/>
          </w:tcPr>
          <w:p w14:paraId="6C24731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210</w:t>
            </w:r>
          </w:p>
        </w:tc>
      </w:tr>
      <w:tr w:rsidR="00800011" w:rsidRPr="00800011" w14:paraId="7A4486AA" w14:textId="77777777" w:rsidTr="00800011">
        <w:trPr>
          <w:trHeight w:val="288"/>
        </w:trPr>
        <w:tc>
          <w:tcPr>
            <w:tcW w:w="538" w:type="dxa"/>
            <w:vMerge w:val="restart"/>
            <w:vAlign w:val="center"/>
          </w:tcPr>
          <w:p w14:paraId="6BC6F88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不及格</w:t>
            </w:r>
          </w:p>
        </w:tc>
        <w:tc>
          <w:tcPr>
            <w:tcW w:w="1102" w:type="dxa"/>
            <w:vAlign w:val="center"/>
          </w:tcPr>
          <w:p w14:paraId="4B38A76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50</w:t>
            </w:r>
          </w:p>
        </w:tc>
        <w:tc>
          <w:tcPr>
            <w:tcW w:w="1567" w:type="dxa"/>
            <w:vAlign w:val="center"/>
          </w:tcPr>
          <w:p w14:paraId="577C3240"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203</w:t>
            </w:r>
          </w:p>
        </w:tc>
        <w:tc>
          <w:tcPr>
            <w:tcW w:w="1567" w:type="dxa"/>
            <w:vAlign w:val="center"/>
          </w:tcPr>
          <w:p w14:paraId="52A0B4C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205</w:t>
            </w:r>
          </w:p>
        </w:tc>
      </w:tr>
      <w:tr w:rsidR="00800011" w:rsidRPr="00800011" w14:paraId="0B455279" w14:textId="77777777" w:rsidTr="00800011">
        <w:trPr>
          <w:trHeight w:val="288"/>
        </w:trPr>
        <w:tc>
          <w:tcPr>
            <w:tcW w:w="538" w:type="dxa"/>
            <w:vMerge/>
            <w:vAlign w:val="center"/>
          </w:tcPr>
          <w:p w14:paraId="31EF2D6E"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3FAEB09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40</w:t>
            </w:r>
          </w:p>
        </w:tc>
        <w:tc>
          <w:tcPr>
            <w:tcW w:w="1567" w:type="dxa"/>
            <w:vAlign w:val="center"/>
          </w:tcPr>
          <w:p w14:paraId="2BB9BD0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198</w:t>
            </w:r>
          </w:p>
        </w:tc>
        <w:tc>
          <w:tcPr>
            <w:tcW w:w="1567" w:type="dxa"/>
            <w:vAlign w:val="center"/>
          </w:tcPr>
          <w:p w14:paraId="0F96123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200</w:t>
            </w:r>
          </w:p>
        </w:tc>
      </w:tr>
      <w:tr w:rsidR="00800011" w:rsidRPr="00800011" w14:paraId="1BEB0A48" w14:textId="77777777" w:rsidTr="00800011">
        <w:trPr>
          <w:trHeight w:val="288"/>
        </w:trPr>
        <w:tc>
          <w:tcPr>
            <w:tcW w:w="538" w:type="dxa"/>
            <w:vMerge/>
            <w:vAlign w:val="center"/>
          </w:tcPr>
          <w:p w14:paraId="7D79AFEA"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405E9A8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30</w:t>
            </w:r>
          </w:p>
        </w:tc>
        <w:tc>
          <w:tcPr>
            <w:tcW w:w="1567" w:type="dxa"/>
            <w:vAlign w:val="center"/>
          </w:tcPr>
          <w:p w14:paraId="085BAE20"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193</w:t>
            </w:r>
          </w:p>
        </w:tc>
        <w:tc>
          <w:tcPr>
            <w:tcW w:w="1567" w:type="dxa"/>
            <w:vAlign w:val="center"/>
          </w:tcPr>
          <w:p w14:paraId="4033BD1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195</w:t>
            </w:r>
          </w:p>
        </w:tc>
      </w:tr>
      <w:tr w:rsidR="00800011" w:rsidRPr="00800011" w14:paraId="34332850" w14:textId="77777777" w:rsidTr="00800011">
        <w:trPr>
          <w:trHeight w:val="288"/>
        </w:trPr>
        <w:tc>
          <w:tcPr>
            <w:tcW w:w="538" w:type="dxa"/>
            <w:vMerge/>
            <w:vAlign w:val="center"/>
          </w:tcPr>
          <w:p w14:paraId="22F63297"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59FF9AC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20</w:t>
            </w:r>
          </w:p>
        </w:tc>
        <w:tc>
          <w:tcPr>
            <w:tcW w:w="1567" w:type="dxa"/>
            <w:vAlign w:val="center"/>
          </w:tcPr>
          <w:p w14:paraId="3DE2A36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188</w:t>
            </w:r>
          </w:p>
        </w:tc>
        <w:tc>
          <w:tcPr>
            <w:tcW w:w="1567" w:type="dxa"/>
            <w:vAlign w:val="center"/>
          </w:tcPr>
          <w:p w14:paraId="3AA3AD1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190</w:t>
            </w:r>
          </w:p>
        </w:tc>
      </w:tr>
      <w:tr w:rsidR="00800011" w:rsidRPr="00800011" w14:paraId="7AC30B0E" w14:textId="77777777" w:rsidTr="00800011">
        <w:trPr>
          <w:trHeight w:val="288"/>
        </w:trPr>
        <w:tc>
          <w:tcPr>
            <w:tcW w:w="538" w:type="dxa"/>
            <w:vMerge/>
            <w:vAlign w:val="center"/>
          </w:tcPr>
          <w:p w14:paraId="299E5550"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3A3BA62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w:t>
            </w:r>
          </w:p>
        </w:tc>
        <w:tc>
          <w:tcPr>
            <w:tcW w:w="1567" w:type="dxa"/>
            <w:vAlign w:val="center"/>
          </w:tcPr>
          <w:p w14:paraId="1D61A93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183</w:t>
            </w:r>
          </w:p>
        </w:tc>
        <w:tc>
          <w:tcPr>
            <w:tcW w:w="1567" w:type="dxa"/>
            <w:vAlign w:val="center"/>
          </w:tcPr>
          <w:p w14:paraId="46A6742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800011" w:rsidRPr="00800011" w14:paraId="306AAA89" w14:textId="77777777" w:rsidTr="00800011">
        <w:trPr>
          <w:trHeight w:val="288"/>
        </w:trPr>
        <w:tc>
          <w:tcPr>
            <w:tcW w:w="538" w:type="dxa"/>
            <w:vAlign w:val="center"/>
          </w:tcPr>
          <w:p w14:paraId="278C00D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等级</w:t>
            </w:r>
          </w:p>
        </w:tc>
        <w:tc>
          <w:tcPr>
            <w:tcW w:w="1102" w:type="dxa"/>
            <w:vAlign w:val="center"/>
          </w:tcPr>
          <w:p w14:paraId="4108E92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单项</w:t>
            </w:r>
          </w:p>
          <w:p w14:paraId="0DE688F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得分</w:t>
            </w:r>
          </w:p>
        </w:tc>
        <w:tc>
          <w:tcPr>
            <w:tcW w:w="1567" w:type="dxa"/>
            <w:vAlign w:val="center"/>
          </w:tcPr>
          <w:p w14:paraId="6020495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大一大二</w:t>
            </w:r>
          </w:p>
        </w:tc>
        <w:tc>
          <w:tcPr>
            <w:tcW w:w="1567" w:type="dxa"/>
            <w:vAlign w:val="center"/>
          </w:tcPr>
          <w:p w14:paraId="51AB370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大三大四</w:t>
            </w:r>
          </w:p>
        </w:tc>
      </w:tr>
      <w:tr w:rsidR="00800011" w:rsidRPr="00800011" w14:paraId="3C075C38" w14:textId="77777777" w:rsidTr="00800011">
        <w:trPr>
          <w:trHeight w:val="288"/>
        </w:trPr>
        <w:tc>
          <w:tcPr>
            <w:tcW w:w="538" w:type="dxa"/>
            <w:vMerge w:val="restart"/>
            <w:vAlign w:val="center"/>
          </w:tcPr>
          <w:p w14:paraId="071D1CF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优秀</w:t>
            </w:r>
          </w:p>
        </w:tc>
        <w:tc>
          <w:tcPr>
            <w:tcW w:w="1102" w:type="dxa"/>
            <w:vAlign w:val="center"/>
          </w:tcPr>
          <w:p w14:paraId="02EC14D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100</w:t>
            </w:r>
          </w:p>
        </w:tc>
        <w:tc>
          <w:tcPr>
            <w:tcW w:w="1567" w:type="dxa"/>
            <w:vAlign w:val="center"/>
          </w:tcPr>
          <w:p w14:paraId="35E8DE1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207</w:t>
            </w:r>
          </w:p>
        </w:tc>
        <w:tc>
          <w:tcPr>
            <w:tcW w:w="1567" w:type="dxa"/>
            <w:vAlign w:val="center"/>
          </w:tcPr>
          <w:p w14:paraId="419CEB9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208</w:t>
            </w:r>
          </w:p>
        </w:tc>
      </w:tr>
      <w:tr w:rsidR="00800011" w:rsidRPr="00800011" w14:paraId="4A214A07" w14:textId="77777777" w:rsidTr="00800011">
        <w:trPr>
          <w:trHeight w:val="288"/>
        </w:trPr>
        <w:tc>
          <w:tcPr>
            <w:tcW w:w="538" w:type="dxa"/>
            <w:vMerge/>
            <w:vAlign w:val="center"/>
          </w:tcPr>
          <w:p w14:paraId="0169B20E"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4EE0712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95</w:t>
            </w:r>
          </w:p>
        </w:tc>
        <w:tc>
          <w:tcPr>
            <w:tcW w:w="1567" w:type="dxa"/>
            <w:vAlign w:val="center"/>
          </w:tcPr>
          <w:p w14:paraId="13624D4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201</w:t>
            </w:r>
          </w:p>
        </w:tc>
        <w:tc>
          <w:tcPr>
            <w:tcW w:w="1567" w:type="dxa"/>
            <w:vAlign w:val="center"/>
          </w:tcPr>
          <w:p w14:paraId="3D3C374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202</w:t>
            </w:r>
          </w:p>
        </w:tc>
      </w:tr>
      <w:tr w:rsidR="00800011" w:rsidRPr="00800011" w14:paraId="38DE5503" w14:textId="77777777" w:rsidTr="00800011">
        <w:trPr>
          <w:trHeight w:val="288"/>
        </w:trPr>
        <w:tc>
          <w:tcPr>
            <w:tcW w:w="538" w:type="dxa"/>
            <w:vMerge/>
            <w:shd w:val="clear" w:color="auto" w:fill="auto"/>
            <w:vAlign w:val="center"/>
          </w:tcPr>
          <w:p w14:paraId="7A21C0F6"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BF4961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90</w:t>
            </w:r>
          </w:p>
        </w:tc>
        <w:tc>
          <w:tcPr>
            <w:tcW w:w="1567" w:type="dxa"/>
            <w:shd w:val="clear" w:color="auto" w:fill="D9D9D9"/>
            <w:vAlign w:val="center"/>
          </w:tcPr>
          <w:p w14:paraId="712E48B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195</w:t>
            </w:r>
          </w:p>
        </w:tc>
        <w:tc>
          <w:tcPr>
            <w:tcW w:w="1567" w:type="dxa"/>
            <w:shd w:val="clear" w:color="auto" w:fill="D9D9D9"/>
            <w:vAlign w:val="center"/>
          </w:tcPr>
          <w:p w14:paraId="17A8916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196</w:t>
            </w:r>
          </w:p>
        </w:tc>
      </w:tr>
      <w:tr w:rsidR="00800011" w:rsidRPr="00800011" w14:paraId="47D7F985" w14:textId="77777777" w:rsidTr="00800011">
        <w:trPr>
          <w:trHeight w:val="288"/>
        </w:trPr>
        <w:tc>
          <w:tcPr>
            <w:tcW w:w="538" w:type="dxa"/>
            <w:vMerge w:val="restart"/>
            <w:vAlign w:val="center"/>
          </w:tcPr>
          <w:p w14:paraId="447029F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良好</w:t>
            </w:r>
          </w:p>
        </w:tc>
        <w:tc>
          <w:tcPr>
            <w:tcW w:w="1102" w:type="dxa"/>
            <w:vAlign w:val="center"/>
          </w:tcPr>
          <w:p w14:paraId="1E067BF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85</w:t>
            </w:r>
          </w:p>
        </w:tc>
        <w:tc>
          <w:tcPr>
            <w:tcW w:w="1567" w:type="dxa"/>
            <w:vAlign w:val="center"/>
          </w:tcPr>
          <w:p w14:paraId="79CF668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188</w:t>
            </w:r>
          </w:p>
        </w:tc>
        <w:tc>
          <w:tcPr>
            <w:tcW w:w="1567" w:type="dxa"/>
            <w:vAlign w:val="center"/>
          </w:tcPr>
          <w:p w14:paraId="249D768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189</w:t>
            </w:r>
          </w:p>
        </w:tc>
      </w:tr>
      <w:tr w:rsidR="00800011" w:rsidRPr="00800011" w14:paraId="79C8FF98" w14:textId="77777777" w:rsidTr="00800011">
        <w:trPr>
          <w:trHeight w:val="288"/>
        </w:trPr>
        <w:tc>
          <w:tcPr>
            <w:tcW w:w="538" w:type="dxa"/>
            <w:vMerge/>
            <w:shd w:val="clear" w:color="auto" w:fill="auto"/>
            <w:vAlign w:val="center"/>
          </w:tcPr>
          <w:p w14:paraId="438C482C"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7B9863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80</w:t>
            </w:r>
          </w:p>
        </w:tc>
        <w:tc>
          <w:tcPr>
            <w:tcW w:w="1567" w:type="dxa"/>
            <w:shd w:val="clear" w:color="auto" w:fill="D9D9D9"/>
            <w:vAlign w:val="center"/>
          </w:tcPr>
          <w:p w14:paraId="235DE73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181</w:t>
            </w:r>
          </w:p>
        </w:tc>
        <w:tc>
          <w:tcPr>
            <w:tcW w:w="1567" w:type="dxa"/>
            <w:shd w:val="clear" w:color="auto" w:fill="D9D9D9"/>
            <w:vAlign w:val="center"/>
          </w:tcPr>
          <w:p w14:paraId="647BBB30"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182</w:t>
            </w:r>
          </w:p>
        </w:tc>
      </w:tr>
      <w:tr w:rsidR="00800011" w:rsidRPr="00800011" w14:paraId="6F22AB4B" w14:textId="77777777" w:rsidTr="00800011">
        <w:trPr>
          <w:trHeight w:val="288"/>
        </w:trPr>
        <w:tc>
          <w:tcPr>
            <w:tcW w:w="538" w:type="dxa"/>
            <w:vMerge w:val="restart"/>
            <w:vAlign w:val="center"/>
          </w:tcPr>
          <w:p w14:paraId="2F025E4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及格</w:t>
            </w:r>
          </w:p>
        </w:tc>
        <w:tc>
          <w:tcPr>
            <w:tcW w:w="1102" w:type="dxa"/>
            <w:vAlign w:val="center"/>
          </w:tcPr>
          <w:p w14:paraId="08E7D7F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78</w:t>
            </w:r>
          </w:p>
        </w:tc>
        <w:tc>
          <w:tcPr>
            <w:tcW w:w="1567" w:type="dxa"/>
            <w:vAlign w:val="center"/>
          </w:tcPr>
          <w:p w14:paraId="4153B54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178</w:t>
            </w:r>
          </w:p>
        </w:tc>
        <w:tc>
          <w:tcPr>
            <w:tcW w:w="1567" w:type="dxa"/>
            <w:vAlign w:val="center"/>
          </w:tcPr>
          <w:p w14:paraId="435D58C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179</w:t>
            </w:r>
          </w:p>
        </w:tc>
      </w:tr>
      <w:tr w:rsidR="00800011" w:rsidRPr="00800011" w14:paraId="6BB23C78" w14:textId="77777777" w:rsidTr="00800011">
        <w:trPr>
          <w:trHeight w:val="288"/>
        </w:trPr>
        <w:tc>
          <w:tcPr>
            <w:tcW w:w="538" w:type="dxa"/>
            <w:vMerge/>
            <w:vAlign w:val="center"/>
          </w:tcPr>
          <w:p w14:paraId="20124B84"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78E7D6C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76</w:t>
            </w:r>
          </w:p>
        </w:tc>
        <w:tc>
          <w:tcPr>
            <w:tcW w:w="1567" w:type="dxa"/>
            <w:vAlign w:val="center"/>
          </w:tcPr>
          <w:p w14:paraId="71266EB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175</w:t>
            </w:r>
          </w:p>
        </w:tc>
        <w:tc>
          <w:tcPr>
            <w:tcW w:w="1567" w:type="dxa"/>
            <w:vAlign w:val="center"/>
          </w:tcPr>
          <w:p w14:paraId="6A737DE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176</w:t>
            </w:r>
          </w:p>
        </w:tc>
      </w:tr>
      <w:tr w:rsidR="00800011" w:rsidRPr="00800011" w14:paraId="6781C63C" w14:textId="77777777" w:rsidTr="00800011">
        <w:trPr>
          <w:trHeight w:val="288"/>
        </w:trPr>
        <w:tc>
          <w:tcPr>
            <w:tcW w:w="538" w:type="dxa"/>
            <w:vMerge/>
            <w:vAlign w:val="center"/>
          </w:tcPr>
          <w:p w14:paraId="2FC6A5DB"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72D5898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74</w:t>
            </w:r>
          </w:p>
        </w:tc>
        <w:tc>
          <w:tcPr>
            <w:tcW w:w="1567" w:type="dxa"/>
            <w:vAlign w:val="center"/>
          </w:tcPr>
          <w:p w14:paraId="0509675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172</w:t>
            </w:r>
          </w:p>
        </w:tc>
        <w:tc>
          <w:tcPr>
            <w:tcW w:w="1567" w:type="dxa"/>
            <w:vAlign w:val="center"/>
          </w:tcPr>
          <w:p w14:paraId="54CD6AA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173</w:t>
            </w:r>
          </w:p>
        </w:tc>
      </w:tr>
      <w:tr w:rsidR="00800011" w:rsidRPr="00800011" w14:paraId="1685874C" w14:textId="77777777" w:rsidTr="00800011">
        <w:trPr>
          <w:trHeight w:val="288"/>
        </w:trPr>
        <w:tc>
          <w:tcPr>
            <w:tcW w:w="538" w:type="dxa"/>
            <w:vMerge/>
            <w:vAlign w:val="center"/>
          </w:tcPr>
          <w:p w14:paraId="789EDAC3"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013B6B6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72</w:t>
            </w:r>
          </w:p>
        </w:tc>
        <w:tc>
          <w:tcPr>
            <w:tcW w:w="1567" w:type="dxa"/>
            <w:vAlign w:val="center"/>
          </w:tcPr>
          <w:p w14:paraId="5F94B60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169</w:t>
            </w:r>
          </w:p>
        </w:tc>
        <w:tc>
          <w:tcPr>
            <w:tcW w:w="1567" w:type="dxa"/>
            <w:vAlign w:val="center"/>
          </w:tcPr>
          <w:p w14:paraId="6717C8F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170</w:t>
            </w:r>
          </w:p>
        </w:tc>
      </w:tr>
      <w:tr w:rsidR="00800011" w:rsidRPr="00800011" w14:paraId="217BEF06" w14:textId="77777777" w:rsidTr="00800011">
        <w:trPr>
          <w:trHeight w:val="288"/>
        </w:trPr>
        <w:tc>
          <w:tcPr>
            <w:tcW w:w="538" w:type="dxa"/>
            <w:vMerge/>
            <w:vAlign w:val="center"/>
          </w:tcPr>
          <w:p w14:paraId="1BA420BD"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0288B9F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70</w:t>
            </w:r>
          </w:p>
        </w:tc>
        <w:tc>
          <w:tcPr>
            <w:tcW w:w="1567" w:type="dxa"/>
            <w:vAlign w:val="center"/>
          </w:tcPr>
          <w:p w14:paraId="52541C1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166</w:t>
            </w:r>
          </w:p>
        </w:tc>
        <w:tc>
          <w:tcPr>
            <w:tcW w:w="1567" w:type="dxa"/>
            <w:vAlign w:val="center"/>
          </w:tcPr>
          <w:p w14:paraId="7FC7726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167</w:t>
            </w:r>
          </w:p>
        </w:tc>
      </w:tr>
      <w:tr w:rsidR="00800011" w:rsidRPr="00800011" w14:paraId="5C1FE523" w14:textId="77777777" w:rsidTr="00800011">
        <w:trPr>
          <w:trHeight w:val="288"/>
        </w:trPr>
        <w:tc>
          <w:tcPr>
            <w:tcW w:w="538" w:type="dxa"/>
            <w:vMerge/>
            <w:vAlign w:val="center"/>
          </w:tcPr>
          <w:p w14:paraId="2A8D6F5B"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0EF5B60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68</w:t>
            </w:r>
          </w:p>
        </w:tc>
        <w:tc>
          <w:tcPr>
            <w:tcW w:w="1567" w:type="dxa"/>
            <w:vAlign w:val="center"/>
          </w:tcPr>
          <w:p w14:paraId="0355C8D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163</w:t>
            </w:r>
          </w:p>
        </w:tc>
        <w:tc>
          <w:tcPr>
            <w:tcW w:w="1567" w:type="dxa"/>
            <w:vAlign w:val="center"/>
          </w:tcPr>
          <w:p w14:paraId="0D06E22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164</w:t>
            </w:r>
          </w:p>
        </w:tc>
      </w:tr>
      <w:tr w:rsidR="00800011" w:rsidRPr="00800011" w14:paraId="09D0E3D3" w14:textId="77777777" w:rsidTr="00800011">
        <w:trPr>
          <w:trHeight w:val="288"/>
        </w:trPr>
        <w:tc>
          <w:tcPr>
            <w:tcW w:w="538" w:type="dxa"/>
            <w:vMerge/>
            <w:vAlign w:val="center"/>
          </w:tcPr>
          <w:p w14:paraId="4EA6552B"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5E1E2A3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66</w:t>
            </w:r>
          </w:p>
        </w:tc>
        <w:tc>
          <w:tcPr>
            <w:tcW w:w="1567" w:type="dxa"/>
            <w:vAlign w:val="center"/>
          </w:tcPr>
          <w:p w14:paraId="4646406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160</w:t>
            </w:r>
          </w:p>
        </w:tc>
        <w:tc>
          <w:tcPr>
            <w:tcW w:w="1567" w:type="dxa"/>
            <w:vAlign w:val="center"/>
          </w:tcPr>
          <w:p w14:paraId="10222AC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161</w:t>
            </w:r>
          </w:p>
        </w:tc>
      </w:tr>
      <w:tr w:rsidR="00800011" w:rsidRPr="00800011" w14:paraId="78AB5CB2" w14:textId="77777777" w:rsidTr="00800011">
        <w:trPr>
          <w:trHeight w:val="288"/>
        </w:trPr>
        <w:tc>
          <w:tcPr>
            <w:tcW w:w="538" w:type="dxa"/>
            <w:vMerge/>
            <w:vAlign w:val="center"/>
          </w:tcPr>
          <w:p w14:paraId="2DC0D7F7"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5A29EF0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64</w:t>
            </w:r>
          </w:p>
        </w:tc>
        <w:tc>
          <w:tcPr>
            <w:tcW w:w="1567" w:type="dxa"/>
            <w:vAlign w:val="center"/>
          </w:tcPr>
          <w:p w14:paraId="15C4BB2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157</w:t>
            </w:r>
          </w:p>
        </w:tc>
        <w:tc>
          <w:tcPr>
            <w:tcW w:w="1567" w:type="dxa"/>
            <w:vAlign w:val="center"/>
          </w:tcPr>
          <w:p w14:paraId="374BF96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158</w:t>
            </w:r>
          </w:p>
        </w:tc>
      </w:tr>
      <w:tr w:rsidR="00800011" w:rsidRPr="00800011" w14:paraId="0ED747ED" w14:textId="77777777" w:rsidTr="00800011">
        <w:trPr>
          <w:trHeight w:val="288"/>
        </w:trPr>
        <w:tc>
          <w:tcPr>
            <w:tcW w:w="538" w:type="dxa"/>
            <w:vMerge/>
            <w:vAlign w:val="center"/>
          </w:tcPr>
          <w:p w14:paraId="61102407"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43431B0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62</w:t>
            </w:r>
          </w:p>
        </w:tc>
        <w:tc>
          <w:tcPr>
            <w:tcW w:w="1567" w:type="dxa"/>
            <w:vAlign w:val="center"/>
          </w:tcPr>
          <w:p w14:paraId="00719AE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154</w:t>
            </w:r>
          </w:p>
        </w:tc>
        <w:tc>
          <w:tcPr>
            <w:tcW w:w="1567" w:type="dxa"/>
            <w:vAlign w:val="center"/>
          </w:tcPr>
          <w:p w14:paraId="214FD62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155</w:t>
            </w:r>
          </w:p>
        </w:tc>
      </w:tr>
      <w:tr w:rsidR="00800011" w:rsidRPr="00800011" w14:paraId="574AA3FF" w14:textId="77777777" w:rsidTr="00800011">
        <w:trPr>
          <w:trHeight w:val="288"/>
        </w:trPr>
        <w:tc>
          <w:tcPr>
            <w:tcW w:w="538" w:type="dxa"/>
            <w:vMerge/>
            <w:shd w:val="clear" w:color="auto" w:fill="auto"/>
            <w:vAlign w:val="center"/>
          </w:tcPr>
          <w:p w14:paraId="73EEFF16"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2BCE91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60</w:t>
            </w:r>
          </w:p>
        </w:tc>
        <w:tc>
          <w:tcPr>
            <w:tcW w:w="1567" w:type="dxa"/>
            <w:shd w:val="clear" w:color="auto" w:fill="D9D9D9"/>
            <w:vAlign w:val="center"/>
          </w:tcPr>
          <w:p w14:paraId="1446DD6B"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151</w:t>
            </w:r>
          </w:p>
        </w:tc>
        <w:tc>
          <w:tcPr>
            <w:tcW w:w="1567" w:type="dxa"/>
            <w:shd w:val="clear" w:color="auto" w:fill="D9D9D9"/>
            <w:vAlign w:val="center"/>
          </w:tcPr>
          <w:p w14:paraId="7DA8FEF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152</w:t>
            </w:r>
          </w:p>
        </w:tc>
      </w:tr>
      <w:tr w:rsidR="00800011" w:rsidRPr="00800011" w14:paraId="21A6E82E" w14:textId="77777777" w:rsidTr="00800011">
        <w:trPr>
          <w:trHeight w:val="288"/>
        </w:trPr>
        <w:tc>
          <w:tcPr>
            <w:tcW w:w="538" w:type="dxa"/>
            <w:vMerge w:val="restart"/>
            <w:vAlign w:val="center"/>
          </w:tcPr>
          <w:p w14:paraId="65824C1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不及格</w:t>
            </w:r>
          </w:p>
        </w:tc>
        <w:tc>
          <w:tcPr>
            <w:tcW w:w="1102" w:type="dxa"/>
            <w:vAlign w:val="center"/>
          </w:tcPr>
          <w:p w14:paraId="52AF1CF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50</w:t>
            </w:r>
          </w:p>
        </w:tc>
        <w:tc>
          <w:tcPr>
            <w:tcW w:w="1567" w:type="dxa"/>
            <w:vAlign w:val="center"/>
          </w:tcPr>
          <w:p w14:paraId="22F762E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146</w:t>
            </w:r>
          </w:p>
        </w:tc>
        <w:tc>
          <w:tcPr>
            <w:tcW w:w="1567" w:type="dxa"/>
            <w:vAlign w:val="center"/>
          </w:tcPr>
          <w:p w14:paraId="07995D8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147</w:t>
            </w:r>
          </w:p>
        </w:tc>
      </w:tr>
      <w:tr w:rsidR="00800011" w:rsidRPr="00800011" w14:paraId="202530B9" w14:textId="77777777" w:rsidTr="00800011">
        <w:trPr>
          <w:trHeight w:val="288"/>
        </w:trPr>
        <w:tc>
          <w:tcPr>
            <w:tcW w:w="538" w:type="dxa"/>
            <w:vMerge/>
            <w:vAlign w:val="center"/>
          </w:tcPr>
          <w:p w14:paraId="1B25ED27"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1907ACB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40</w:t>
            </w:r>
          </w:p>
        </w:tc>
        <w:tc>
          <w:tcPr>
            <w:tcW w:w="1567" w:type="dxa"/>
            <w:vAlign w:val="center"/>
          </w:tcPr>
          <w:p w14:paraId="567A91A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141</w:t>
            </w:r>
          </w:p>
        </w:tc>
        <w:tc>
          <w:tcPr>
            <w:tcW w:w="1567" w:type="dxa"/>
            <w:vAlign w:val="center"/>
          </w:tcPr>
          <w:p w14:paraId="37324F9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142</w:t>
            </w:r>
          </w:p>
        </w:tc>
      </w:tr>
      <w:tr w:rsidR="00800011" w:rsidRPr="00800011" w14:paraId="1E555A3B" w14:textId="77777777" w:rsidTr="00800011">
        <w:trPr>
          <w:trHeight w:val="288"/>
        </w:trPr>
        <w:tc>
          <w:tcPr>
            <w:tcW w:w="538" w:type="dxa"/>
            <w:vMerge/>
            <w:vAlign w:val="center"/>
          </w:tcPr>
          <w:p w14:paraId="4DCAF842"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7EA2C7A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30</w:t>
            </w:r>
          </w:p>
        </w:tc>
        <w:tc>
          <w:tcPr>
            <w:tcW w:w="1567" w:type="dxa"/>
            <w:vAlign w:val="center"/>
          </w:tcPr>
          <w:p w14:paraId="45D23D0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136</w:t>
            </w:r>
          </w:p>
        </w:tc>
        <w:tc>
          <w:tcPr>
            <w:tcW w:w="1567" w:type="dxa"/>
            <w:vAlign w:val="center"/>
          </w:tcPr>
          <w:p w14:paraId="2D7C8DB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137</w:t>
            </w:r>
          </w:p>
        </w:tc>
      </w:tr>
      <w:tr w:rsidR="00800011" w:rsidRPr="00800011" w14:paraId="1A03AD3C" w14:textId="77777777" w:rsidTr="00800011">
        <w:trPr>
          <w:trHeight w:val="288"/>
        </w:trPr>
        <w:tc>
          <w:tcPr>
            <w:tcW w:w="538" w:type="dxa"/>
            <w:vMerge/>
            <w:vAlign w:val="center"/>
          </w:tcPr>
          <w:p w14:paraId="4B735E7A"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23FC4E6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20</w:t>
            </w:r>
          </w:p>
        </w:tc>
        <w:tc>
          <w:tcPr>
            <w:tcW w:w="1567" w:type="dxa"/>
            <w:vAlign w:val="center"/>
          </w:tcPr>
          <w:p w14:paraId="2157B3D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131</w:t>
            </w:r>
          </w:p>
        </w:tc>
        <w:tc>
          <w:tcPr>
            <w:tcW w:w="1567" w:type="dxa"/>
            <w:vAlign w:val="center"/>
          </w:tcPr>
          <w:p w14:paraId="3C9ACEF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132</w:t>
            </w:r>
          </w:p>
        </w:tc>
      </w:tr>
      <w:tr w:rsidR="00800011" w:rsidRPr="00800011" w14:paraId="5FF63F6D" w14:textId="77777777" w:rsidTr="00800011">
        <w:trPr>
          <w:trHeight w:val="288"/>
        </w:trPr>
        <w:tc>
          <w:tcPr>
            <w:tcW w:w="538" w:type="dxa"/>
            <w:vMerge/>
            <w:vAlign w:val="center"/>
          </w:tcPr>
          <w:p w14:paraId="1A198ACD" w14:textId="77777777" w:rsidR="00800011" w:rsidRPr="00800011" w:rsidRDefault="00800011" w:rsidP="00800011">
            <w:pPr>
              <w:widowControl/>
              <w:spacing w:line="360" w:lineRule="auto"/>
              <w:jc w:val="center"/>
              <w:rPr>
                <w:rFonts w:ascii="宋体" w:eastAsia="宋体" w:hAnsi="宋体" w:cs="宋体"/>
                <w:b/>
                <w:bCs/>
                <w:kern w:val="0"/>
                <w:sz w:val="22"/>
              </w:rPr>
            </w:pPr>
          </w:p>
        </w:tc>
        <w:tc>
          <w:tcPr>
            <w:tcW w:w="1102" w:type="dxa"/>
            <w:vAlign w:val="center"/>
          </w:tcPr>
          <w:p w14:paraId="60EE903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w:t>
            </w:r>
          </w:p>
        </w:tc>
        <w:tc>
          <w:tcPr>
            <w:tcW w:w="1567" w:type="dxa"/>
            <w:vAlign w:val="center"/>
          </w:tcPr>
          <w:p w14:paraId="3B1EB11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hint="eastAsia"/>
                <w:sz w:val="22"/>
              </w:rPr>
              <w:t>126</w:t>
            </w:r>
          </w:p>
        </w:tc>
        <w:tc>
          <w:tcPr>
            <w:tcW w:w="1567" w:type="dxa"/>
            <w:vAlign w:val="center"/>
          </w:tcPr>
          <w:p w14:paraId="237BD06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hint="eastAsia"/>
                <w:sz w:val="22"/>
              </w:rPr>
              <w:t>127</w:t>
            </w:r>
          </w:p>
        </w:tc>
      </w:tr>
    </w:tbl>
    <w:p w14:paraId="04EC3429"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7499AA29"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621D99C"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BA6131C"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D37E00E"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39B4C7A"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7D1EAE5"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B2D0F5C"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AB310CA"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2980374"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CC94C76"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800011">
        <w:rPr>
          <w:rFonts w:ascii="宋体" w:eastAsia="宋体" w:hAnsi="Calibri" w:cs="宋体" w:hint="eastAsia"/>
          <w:spacing w:val="5"/>
          <w:kern w:val="0"/>
          <w:sz w:val="24"/>
        </w:rPr>
        <w:t>表1-11男生引体向上               表1-12女生一分钟仰卧起坐</w:t>
      </w:r>
    </w:p>
    <w:p w14:paraId="4187241B"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宋体" w:cs="Times New Roman"/>
          <w:b/>
          <w:sz w:val="28"/>
          <w:szCs w:val="28"/>
        </w:rPr>
      </w:pPr>
      <w:r w:rsidRPr="00800011">
        <w:rPr>
          <w:rFonts w:ascii="宋体" w:eastAsia="宋体" w:hAnsi="Calibri" w:cs="宋体" w:hint="eastAsia"/>
          <w:spacing w:val="5"/>
          <w:kern w:val="0"/>
          <w:sz w:val="24"/>
        </w:rPr>
        <w:t>单项评分表（单位：次）</w:t>
      </w:r>
    </w:p>
    <w:p w14:paraId="78810675" w14:textId="77777777" w:rsidR="00800011" w:rsidRPr="00800011" w:rsidRDefault="00800011" w:rsidP="00800011">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800011" w:rsidRPr="00800011" w14:paraId="2FA41568" w14:textId="77777777" w:rsidTr="00800011">
        <w:trPr>
          <w:trHeight w:val="288"/>
        </w:trPr>
        <w:tc>
          <w:tcPr>
            <w:tcW w:w="540" w:type="dxa"/>
            <w:vAlign w:val="center"/>
          </w:tcPr>
          <w:p w14:paraId="08E1B0D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等级</w:t>
            </w:r>
          </w:p>
        </w:tc>
        <w:tc>
          <w:tcPr>
            <w:tcW w:w="1100" w:type="dxa"/>
            <w:vAlign w:val="center"/>
          </w:tcPr>
          <w:p w14:paraId="554AD99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单项</w:t>
            </w:r>
          </w:p>
          <w:p w14:paraId="338A3E6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得分</w:t>
            </w:r>
          </w:p>
        </w:tc>
        <w:tc>
          <w:tcPr>
            <w:tcW w:w="1044" w:type="dxa"/>
            <w:vAlign w:val="center"/>
          </w:tcPr>
          <w:p w14:paraId="59882F3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大一</w:t>
            </w:r>
          </w:p>
          <w:p w14:paraId="5887FCE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大二</w:t>
            </w:r>
          </w:p>
        </w:tc>
        <w:tc>
          <w:tcPr>
            <w:tcW w:w="1045" w:type="dxa"/>
            <w:vAlign w:val="center"/>
          </w:tcPr>
          <w:p w14:paraId="73FD7B3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大三</w:t>
            </w:r>
          </w:p>
          <w:p w14:paraId="5E6DA6C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大四</w:t>
            </w:r>
          </w:p>
        </w:tc>
      </w:tr>
      <w:tr w:rsidR="00800011" w:rsidRPr="00800011" w14:paraId="7A5EA06C" w14:textId="77777777" w:rsidTr="00800011">
        <w:trPr>
          <w:trHeight w:val="288"/>
        </w:trPr>
        <w:tc>
          <w:tcPr>
            <w:tcW w:w="540" w:type="dxa"/>
            <w:vMerge w:val="restart"/>
            <w:vAlign w:val="center"/>
          </w:tcPr>
          <w:p w14:paraId="44D60CF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优秀</w:t>
            </w:r>
          </w:p>
        </w:tc>
        <w:tc>
          <w:tcPr>
            <w:tcW w:w="1100" w:type="dxa"/>
            <w:vAlign w:val="center"/>
          </w:tcPr>
          <w:p w14:paraId="62BB9BC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100</w:t>
            </w:r>
          </w:p>
        </w:tc>
        <w:tc>
          <w:tcPr>
            <w:tcW w:w="1044" w:type="dxa"/>
            <w:vAlign w:val="center"/>
          </w:tcPr>
          <w:p w14:paraId="5253B812"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19</w:t>
            </w:r>
          </w:p>
        </w:tc>
        <w:tc>
          <w:tcPr>
            <w:tcW w:w="1045" w:type="dxa"/>
            <w:vAlign w:val="center"/>
          </w:tcPr>
          <w:p w14:paraId="70C96CC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20</w:t>
            </w:r>
          </w:p>
        </w:tc>
      </w:tr>
      <w:tr w:rsidR="00800011" w:rsidRPr="00800011" w14:paraId="2D13B5F6" w14:textId="77777777" w:rsidTr="00800011">
        <w:trPr>
          <w:trHeight w:val="288"/>
        </w:trPr>
        <w:tc>
          <w:tcPr>
            <w:tcW w:w="540" w:type="dxa"/>
            <w:vMerge/>
            <w:vAlign w:val="center"/>
          </w:tcPr>
          <w:p w14:paraId="1B3D4DF1"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19E3D00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95</w:t>
            </w:r>
          </w:p>
        </w:tc>
        <w:tc>
          <w:tcPr>
            <w:tcW w:w="1044" w:type="dxa"/>
            <w:vAlign w:val="center"/>
          </w:tcPr>
          <w:p w14:paraId="53B035D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18</w:t>
            </w:r>
          </w:p>
        </w:tc>
        <w:tc>
          <w:tcPr>
            <w:tcW w:w="1045" w:type="dxa"/>
            <w:vAlign w:val="center"/>
          </w:tcPr>
          <w:p w14:paraId="2A0F6EA0"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19</w:t>
            </w:r>
          </w:p>
        </w:tc>
      </w:tr>
      <w:tr w:rsidR="00800011" w:rsidRPr="00800011" w14:paraId="1B398AA8" w14:textId="77777777" w:rsidTr="00800011">
        <w:trPr>
          <w:trHeight w:val="288"/>
        </w:trPr>
        <w:tc>
          <w:tcPr>
            <w:tcW w:w="540" w:type="dxa"/>
            <w:vMerge/>
            <w:shd w:val="clear" w:color="auto" w:fill="auto"/>
            <w:vAlign w:val="center"/>
          </w:tcPr>
          <w:p w14:paraId="68385CEE"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55520A0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90</w:t>
            </w:r>
          </w:p>
        </w:tc>
        <w:tc>
          <w:tcPr>
            <w:tcW w:w="1044" w:type="dxa"/>
            <w:shd w:val="clear" w:color="auto" w:fill="D9D9D9"/>
            <w:vAlign w:val="center"/>
          </w:tcPr>
          <w:p w14:paraId="47567F4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17</w:t>
            </w:r>
          </w:p>
        </w:tc>
        <w:tc>
          <w:tcPr>
            <w:tcW w:w="1045" w:type="dxa"/>
            <w:shd w:val="clear" w:color="auto" w:fill="D9D9D9"/>
            <w:vAlign w:val="center"/>
          </w:tcPr>
          <w:p w14:paraId="5C5DF2D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18</w:t>
            </w:r>
          </w:p>
        </w:tc>
      </w:tr>
      <w:tr w:rsidR="00800011" w:rsidRPr="00800011" w14:paraId="3B90C182" w14:textId="77777777" w:rsidTr="00800011">
        <w:trPr>
          <w:trHeight w:val="288"/>
        </w:trPr>
        <w:tc>
          <w:tcPr>
            <w:tcW w:w="540" w:type="dxa"/>
            <w:vMerge w:val="restart"/>
            <w:vAlign w:val="center"/>
          </w:tcPr>
          <w:p w14:paraId="0989082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良好</w:t>
            </w:r>
          </w:p>
        </w:tc>
        <w:tc>
          <w:tcPr>
            <w:tcW w:w="1100" w:type="dxa"/>
            <w:vAlign w:val="center"/>
          </w:tcPr>
          <w:p w14:paraId="69099D3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85</w:t>
            </w:r>
          </w:p>
        </w:tc>
        <w:tc>
          <w:tcPr>
            <w:tcW w:w="1044" w:type="dxa"/>
            <w:vAlign w:val="center"/>
          </w:tcPr>
          <w:p w14:paraId="30E084B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16</w:t>
            </w:r>
          </w:p>
        </w:tc>
        <w:tc>
          <w:tcPr>
            <w:tcW w:w="1045" w:type="dxa"/>
            <w:vAlign w:val="center"/>
          </w:tcPr>
          <w:p w14:paraId="3051575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17</w:t>
            </w:r>
          </w:p>
        </w:tc>
      </w:tr>
      <w:tr w:rsidR="00800011" w:rsidRPr="00800011" w14:paraId="1FFCA5F6" w14:textId="77777777" w:rsidTr="00800011">
        <w:trPr>
          <w:trHeight w:val="288"/>
        </w:trPr>
        <w:tc>
          <w:tcPr>
            <w:tcW w:w="540" w:type="dxa"/>
            <w:vMerge/>
            <w:shd w:val="clear" w:color="auto" w:fill="auto"/>
            <w:vAlign w:val="center"/>
          </w:tcPr>
          <w:p w14:paraId="3B5C5957"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60DC328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80</w:t>
            </w:r>
          </w:p>
        </w:tc>
        <w:tc>
          <w:tcPr>
            <w:tcW w:w="1044" w:type="dxa"/>
            <w:shd w:val="clear" w:color="auto" w:fill="D9D9D9"/>
            <w:vAlign w:val="center"/>
          </w:tcPr>
          <w:p w14:paraId="7A8B294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15</w:t>
            </w:r>
          </w:p>
        </w:tc>
        <w:tc>
          <w:tcPr>
            <w:tcW w:w="1045" w:type="dxa"/>
            <w:shd w:val="clear" w:color="auto" w:fill="D9D9D9"/>
            <w:vAlign w:val="center"/>
          </w:tcPr>
          <w:p w14:paraId="47BC5B0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16</w:t>
            </w:r>
          </w:p>
        </w:tc>
      </w:tr>
      <w:tr w:rsidR="00800011" w:rsidRPr="00800011" w14:paraId="21EE0FE8" w14:textId="77777777" w:rsidTr="00800011">
        <w:trPr>
          <w:trHeight w:val="288"/>
        </w:trPr>
        <w:tc>
          <w:tcPr>
            <w:tcW w:w="540" w:type="dxa"/>
            <w:vMerge w:val="restart"/>
            <w:vAlign w:val="center"/>
          </w:tcPr>
          <w:p w14:paraId="3A778B5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及格</w:t>
            </w:r>
          </w:p>
        </w:tc>
        <w:tc>
          <w:tcPr>
            <w:tcW w:w="1100" w:type="dxa"/>
            <w:vAlign w:val="center"/>
          </w:tcPr>
          <w:p w14:paraId="172A1CB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78</w:t>
            </w:r>
          </w:p>
        </w:tc>
        <w:tc>
          <w:tcPr>
            <w:tcW w:w="1044" w:type="dxa"/>
            <w:vAlign w:val="center"/>
          </w:tcPr>
          <w:p w14:paraId="459C7F95" w14:textId="77777777" w:rsidR="00800011" w:rsidRPr="00800011" w:rsidRDefault="00800011" w:rsidP="00800011">
            <w:pPr>
              <w:jc w:val="center"/>
              <w:rPr>
                <w:rFonts w:ascii="Calibri" w:eastAsia="宋体" w:hAnsi="Calibri" w:cs="Times New Roman"/>
                <w:sz w:val="22"/>
              </w:rPr>
            </w:pPr>
          </w:p>
        </w:tc>
        <w:tc>
          <w:tcPr>
            <w:tcW w:w="1045" w:type="dxa"/>
            <w:vAlign w:val="center"/>
          </w:tcPr>
          <w:p w14:paraId="1FD74E93" w14:textId="77777777" w:rsidR="00800011" w:rsidRPr="00800011" w:rsidRDefault="00800011" w:rsidP="00800011">
            <w:pPr>
              <w:jc w:val="center"/>
              <w:rPr>
                <w:rFonts w:ascii="Calibri" w:eastAsia="宋体" w:hAnsi="Calibri" w:cs="Times New Roman"/>
                <w:sz w:val="22"/>
              </w:rPr>
            </w:pPr>
          </w:p>
        </w:tc>
      </w:tr>
      <w:tr w:rsidR="00800011" w:rsidRPr="00800011" w14:paraId="07E36B87" w14:textId="77777777" w:rsidTr="00800011">
        <w:trPr>
          <w:trHeight w:val="288"/>
        </w:trPr>
        <w:tc>
          <w:tcPr>
            <w:tcW w:w="540" w:type="dxa"/>
            <w:vMerge/>
            <w:vAlign w:val="center"/>
          </w:tcPr>
          <w:p w14:paraId="44E4FB17"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1F8189F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76</w:t>
            </w:r>
          </w:p>
        </w:tc>
        <w:tc>
          <w:tcPr>
            <w:tcW w:w="1044" w:type="dxa"/>
            <w:vAlign w:val="center"/>
          </w:tcPr>
          <w:p w14:paraId="4796455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14</w:t>
            </w:r>
          </w:p>
        </w:tc>
        <w:tc>
          <w:tcPr>
            <w:tcW w:w="1045" w:type="dxa"/>
            <w:vAlign w:val="center"/>
          </w:tcPr>
          <w:p w14:paraId="6AEFAD9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15</w:t>
            </w:r>
          </w:p>
        </w:tc>
      </w:tr>
      <w:tr w:rsidR="00800011" w:rsidRPr="00800011" w14:paraId="26EB1C90" w14:textId="77777777" w:rsidTr="00800011">
        <w:trPr>
          <w:trHeight w:val="288"/>
        </w:trPr>
        <w:tc>
          <w:tcPr>
            <w:tcW w:w="540" w:type="dxa"/>
            <w:vMerge/>
            <w:vAlign w:val="center"/>
          </w:tcPr>
          <w:p w14:paraId="3AA0BC49"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436416B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74</w:t>
            </w:r>
          </w:p>
        </w:tc>
        <w:tc>
          <w:tcPr>
            <w:tcW w:w="1044" w:type="dxa"/>
            <w:vAlign w:val="center"/>
          </w:tcPr>
          <w:p w14:paraId="71C8F872" w14:textId="77777777" w:rsidR="00800011" w:rsidRPr="00800011" w:rsidRDefault="00800011" w:rsidP="00800011">
            <w:pPr>
              <w:jc w:val="center"/>
              <w:rPr>
                <w:rFonts w:ascii="Calibri" w:eastAsia="宋体" w:hAnsi="Calibri" w:cs="Times New Roman"/>
                <w:sz w:val="22"/>
              </w:rPr>
            </w:pPr>
          </w:p>
        </w:tc>
        <w:tc>
          <w:tcPr>
            <w:tcW w:w="1045" w:type="dxa"/>
            <w:vAlign w:val="center"/>
          </w:tcPr>
          <w:p w14:paraId="45F01890" w14:textId="77777777" w:rsidR="00800011" w:rsidRPr="00800011" w:rsidRDefault="00800011" w:rsidP="00800011">
            <w:pPr>
              <w:jc w:val="center"/>
              <w:rPr>
                <w:rFonts w:ascii="Calibri" w:eastAsia="宋体" w:hAnsi="Calibri" w:cs="Times New Roman"/>
                <w:sz w:val="22"/>
              </w:rPr>
            </w:pPr>
          </w:p>
        </w:tc>
      </w:tr>
      <w:tr w:rsidR="00800011" w:rsidRPr="00800011" w14:paraId="37737729" w14:textId="77777777" w:rsidTr="00800011">
        <w:trPr>
          <w:trHeight w:val="288"/>
        </w:trPr>
        <w:tc>
          <w:tcPr>
            <w:tcW w:w="540" w:type="dxa"/>
            <w:vMerge/>
            <w:vAlign w:val="center"/>
          </w:tcPr>
          <w:p w14:paraId="24B38865"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16845A7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72</w:t>
            </w:r>
          </w:p>
        </w:tc>
        <w:tc>
          <w:tcPr>
            <w:tcW w:w="1044" w:type="dxa"/>
            <w:vAlign w:val="center"/>
          </w:tcPr>
          <w:p w14:paraId="6E90586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13</w:t>
            </w:r>
          </w:p>
        </w:tc>
        <w:tc>
          <w:tcPr>
            <w:tcW w:w="1045" w:type="dxa"/>
            <w:vAlign w:val="center"/>
          </w:tcPr>
          <w:p w14:paraId="329C764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14</w:t>
            </w:r>
          </w:p>
        </w:tc>
      </w:tr>
      <w:tr w:rsidR="00800011" w:rsidRPr="00800011" w14:paraId="3F2EB7F4" w14:textId="77777777" w:rsidTr="00800011">
        <w:trPr>
          <w:trHeight w:val="288"/>
        </w:trPr>
        <w:tc>
          <w:tcPr>
            <w:tcW w:w="540" w:type="dxa"/>
            <w:vMerge/>
            <w:vAlign w:val="center"/>
          </w:tcPr>
          <w:p w14:paraId="63AF3E27"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4F04B5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70</w:t>
            </w:r>
          </w:p>
        </w:tc>
        <w:tc>
          <w:tcPr>
            <w:tcW w:w="1044" w:type="dxa"/>
            <w:vAlign w:val="center"/>
          </w:tcPr>
          <w:p w14:paraId="21871509" w14:textId="77777777" w:rsidR="00800011" w:rsidRPr="00800011" w:rsidRDefault="00800011" w:rsidP="00800011">
            <w:pPr>
              <w:jc w:val="center"/>
              <w:rPr>
                <w:rFonts w:ascii="Calibri" w:eastAsia="宋体" w:hAnsi="Calibri" w:cs="Times New Roman"/>
                <w:sz w:val="22"/>
              </w:rPr>
            </w:pPr>
          </w:p>
        </w:tc>
        <w:tc>
          <w:tcPr>
            <w:tcW w:w="1045" w:type="dxa"/>
            <w:vAlign w:val="center"/>
          </w:tcPr>
          <w:p w14:paraId="563EB83C" w14:textId="77777777" w:rsidR="00800011" w:rsidRPr="00800011" w:rsidRDefault="00800011" w:rsidP="00800011">
            <w:pPr>
              <w:jc w:val="center"/>
              <w:rPr>
                <w:rFonts w:ascii="Calibri" w:eastAsia="宋体" w:hAnsi="Calibri" w:cs="Times New Roman"/>
                <w:sz w:val="22"/>
              </w:rPr>
            </w:pPr>
          </w:p>
        </w:tc>
      </w:tr>
      <w:tr w:rsidR="00800011" w:rsidRPr="00800011" w14:paraId="4CB42564" w14:textId="77777777" w:rsidTr="00800011">
        <w:trPr>
          <w:trHeight w:val="288"/>
        </w:trPr>
        <w:tc>
          <w:tcPr>
            <w:tcW w:w="540" w:type="dxa"/>
            <w:vMerge/>
            <w:vAlign w:val="center"/>
          </w:tcPr>
          <w:p w14:paraId="7E53E387"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734CB4B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68</w:t>
            </w:r>
          </w:p>
        </w:tc>
        <w:tc>
          <w:tcPr>
            <w:tcW w:w="1044" w:type="dxa"/>
            <w:vAlign w:val="center"/>
          </w:tcPr>
          <w:p w14:paraId="60BDC84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12</w:t>
            </w:r>
          </w:p>
        </w:tc>
        <w:tc>
          <w:tcPr>
            <w:tcW w:w="1045" w:type="dxa"/>
            <w:vAlign w:val="center"/>
          </w:tcPr>
          <w:p w14:paraId="6BB9A9C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13</w:t>
            </w:r>
          </w:p>
        </w:tc>
      </w:tr>
      <w:tr w:rsidR="00800011" w:rsidRPr="00800011" w14:paraId="6CE5F422" w14:textId="77777777" w:rsidTr="00800011">
        <w:trPr>
          <w:trHeight w:val="288"/>
        </w:trPr>
        <w:tc>
          <w:tcPr>
            <w:tcW w:w="540" w:type="dxa"/>
            <w:vMerge/>
            <w:vAlign w:val="center"/>
          </w:tcPr>
          <w:p w14:paraId="360B5A5A"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6C95ED2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66</w:t>
            </w:r>
          </w:p>
        </w:tc>
        <w:tc>
          <w:tcPr>
            <w:tcW w:w="1044" w:type="dxa"/>
            <w:vAlign w:val="center"/>
          </w:tcPr>
          <w:p w14:paraId="4EB910A5" w14:textId="77777777" w:rsidR="00800011" w:rsidRPr="00800011" w:rsidRDefault="00800011" w:rsidP="00800011">
            <w:pPr>
              <w:jc w:val="center"/>
              <w:rPr>
                <w:rFonts w:ascii="Calibri" w:eastAsia="宋体" w:hAnsi="Calibri" w:cs="Times New Roman"/>
                <w:sz w:val="22"/>
              </w:rPr>
            </w:pPr>
          </w:p>
        </w:tc>
        <w:tc>
          <w:tcPr>
            <w:tcW w:w="1045" w:type="dxa"/>
            <w:vAlign w:val="center"/>
          </w:tcPr>
          <w:p w14:paraId="2CC06B6D" w14:textId="77777777" w:rsidR="00800011" w:rsidRPr="00800011" w:rsidRDefault="00800011" w:rsidP="00800011">
            <w:pPr>
              <w:jc w:val="center"/>
              <w:rPr>
                <w:rFonts w:ascii="Calibri" w:eastAsia="宋体" w:hAnsi="Calibri" w:cs="Times New Roman"/>
                <w:sz w:val="22"/>
              </w:rPr>
            </w:pPr>
          </w:p>
        </w:tc>
      </w:tr>
      <w:tr w:rsidR="00800011" w:rsidRPr="00800011" w14:paraId="202DE67A" w14:textId="77777777" w:rsidTr="00800011">
        <w:trPr>
          <w:trHeight w:val="288"/>
        </w:trPr>
        <w:tc>
          <w:tcPr>
            <w:tcW w:w="540" w:type="dxa"/>
            <w:vMerge/>
            <w:vAlign w:val="center"/>
          </w:tcPr>
          <w:p w14:paraId="4CD3BDC1"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7223634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64</w:t>
            </w:r>
          </w:p>
        </w:tc>
        <w:tc>
          <w:tcPr>
            <w:tcW w:w="1044" w:type="dxa"/>
            <w:vAlign w:val="center"/>
          </w:tcPr>
          <w:p w14:paraId="52A3EC7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11</w:t>
            </w:r>
          </w:p>
        </w:tc>
        <w:tc>
          <w:tcPr>
            <w:tcW w:w="1045" w:type="dxa"/>
            <w:vAlign w:val="center"/>
          </w:tcPr>
          <w:p w14:paraId="75B447A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12</w:t>
            </w:r>
          </w:p>
        </w:tc>
      </w:tr>
      <w:tr w:rsidR="00800011" w:rsidRPr="00800011" w14:paraId="65949276" w14:textId="77777777" w:rsidTr="00800011">
        <w:trPr>
          <w:trHeight w:val="288"/>
        </w:trPr>
        <w:tc>
          <w:tcPr>
            <w:tcW w:w="540" w:type="dxa"/>
            <w:vMerge/>
            <w:vAlign w:val="center"/>
          </w:tcPr>
          <w:p w14:paraId="1BEFA645"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3CA77A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62</w:t>
            </w:r>
          </w:p>
        </w:tc>
        <w:tc>
          <w:tcPr>
            <w:tcW w:w="1044" w:type="dxa"/>
            <w:vAlign w:val="center"/>
          </w:tcPr>
          <w:p w14:paraId="195C8880" w14:textId="77777777" w:rsidR="00800011" w:rsidRPr="00800011" w:rsidRDefault="00800011" w:rsidP="00800011">
            <w:pPr>
              <w:jc w:val="center"/>
              <w:rPr>
                <w:rFonts w:ascii="Calibri" w:eastAsia="宋体" w:hAnsi="Calibri" w:cs="Times New Roman"/>
                <w:sz w:val="22"/>
              </w:rPr>
            </w:pPr>
          </w:p>
        </w:tc>
        <w:tc>
          <w:tcPr>
            <w:tcW w:w="1045" w:type="dxa"/>
            <w:vAlign w:val="center"/>
          </w:tcPr>
          <w:p w14:paraId="0DED59A4" w14:textId="77777777" w:rsidR="00800011" w:rsidRPr="00800011" w:rsidRDefault="00800011" w:rsidP="00800011">
            <w:pPr>
              <w:jc w:val="center"/>
              <w:rPr>
                <w:rFonts w:ascii="Calibri" w:eastAsia="宋体" w:hAnsi="Calibri" w:cs="Times New Roman"/>
                <w:sz w:val="22"/>
              </w:rPr>
            </w:pPr>
          </w:p>
        </w:tc>
      </w:tr>
      <w:tr w:rsidR="00800011" w:rsidRPr="00800011" w14:paraId="76ED41F0" w14:textId="77777777" w:rsidTr="00800011">
        <w:trPr>
          <w:trHeight w:val="288"/>
        </w:trPr>
        <w:tc>
          <w:tcPr>
            <w:tcW w:w="540" w:type="dxa"/>
            <w:vMerge/>
            <w:shd w:val="clear" w:color="auto" w:fill="auto"/>
            <w:vAlign w:val="center"/>
          </w:tcPr>
          <w:p w14:paraId="0FC3A751"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5FF677D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60</w:t>
            </w:r>
          </w:p>
        </w:tc>
        <w:tc>
          <w:tcPr>
            <w:tcW w:w="1044" w:type="dxa"/>
            <w:shd w:val="clear" w:color="auto" w:fill="D9D9D9"/>
            <w:vAlign w:val="center"/>
          </w:tcPr>
          <w:p w14:paraId="0D611DE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10</w:t>
            </w:r>
          </w:p>
        </w:tc>
        <w:tc>
          <w:tcPr>
            <w:tcW w:w="1045" w:type="dxa"/>
            <w:shd w:val="clear" w:color="auto" w:fill="D9D9D9"/>
            <w:vAlign w:val="center"/>
          </w:tcPr>
          <w:p w14:paraId="61C5A8E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11</w:t>
            </w:r>
          </w:p>
        </w:tc>
      </w:tr>
      <w:tr w:rsidR="00800011" w:rsidRPr="00800011" w14:paraId="2AA86612" w14:textId="77777777" w:rsidTr="00800011">
        <w:trPr>
          <w:trHeight w:val="288"/>
        </w:trPr>
        <w:tc>
          <w:tcPr>
            <w:tcW w:w="540" w:type="dxa"/>
            <w:vMerge w:val="restart"/>
            <w:vAlign w:val="center"/>
          </w:tcPr>
          <w:p w14:paraId="070791D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不及格</w:t>
            </w:r>
          </w:p>
        </w:tc>
        <w:tc>
          <w:tcPr>
            <w:tcW w:w="1100" w:type="dxa"/>
            <w:vAlign w:val="center"/>
          </w:tcPr>
          <w:p w14:paraId="4872D67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50</w:t>
            </w:r>
          </w:p>
        </w:tc>
        <w:tc>
          <w:tcPr>
            <w:tcW w:w="1044" w:type="dxa"/>
            <w:vAlign w:val="center"/>
          </w:tcPr>
          <w:p w14:paraId="789AB2F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w:t>
            </w:r>
          </w:p>
        </w:tc>
        <w:tc>
          <w:tcPr>
            <w:tcW w:w="1045" w:type="dxa"/>
            <w:vAlign w:val="center"/>
          </w:tcPr>
          <w:p w14:paraId="61D1048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10</w:t>
            </w:r>
          </w:p>
        </w:tc>
      </w:tr>
      <w:tr w:rsidR="00800011" w:rsidRPr="00800011" w14:paraId="29CB2A0C" w14:textId="77777777" w:rsidTr="00800011">
        <w:trPr>
          <w:trHeight w:val="288"/>
        </w:trPr>
        <w:tc>
          <w:tcPr>
            <w:tcW w:w="540" w:type="dxa"/>
            <w:vMerge/>
            <w:vAlign w:val="center"/>
          </w:tcPr>
          <w:p w14:paraId="19609A02"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2A00ED8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40</w:t>
            </w:r>
          </w:p>
        </w:tc>
        <w:tc>
          <w:tcPr>
            <w:tcW w:w="1044" w:type="dxa"/>
            <w:vAlign w:val="center"/>
          </w:tcPr>
          <w:p w14:paraId="00A64E9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w:t>
            </w:r>
          </w:p>
        </w:tc>
        <w:tc>
          <w:tcPr>
            <w:tcW w:w="1045" w:type="dxa"/>
            <w:vAlign w:val="center"/>
          </w:tcPr>
          <w:p w14:paraId="0721767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9</w:t>
            </w:r>
          </w:p>
        </w:tc>
      </w:tr>
      <w:tr w:rsidR="00800011" w:rsidRPr="00800011" w14:paraId="6F27A7BF" w14:textId="77777777" w:rsidTr="00800011">
        <w:trPr>
          <w:trHeight w:val="288"/>
        </w:trPr>
        <w:tc>
          <w:tcPr>
            <w:tcW w:w="540" w:type="dxa"/>
            <w:vMerge/>
            <w:vAlign w:val="center"/>
          </w:tcPr>
          <w:p w14:paraId="7218D9C6"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3E67671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30</w:t>
            </w:r>
          </w:p>
        </w:tc>
        <w:tc>
          <w:tcPr>
            <w:tcW w:w="1044" w:type="dxa"/>
            <w:vAlign w:val="center"/>
          </w:tcPr>
          <w:p w14:paraId="1FEAE40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w:t>
            </w:r>
          </w:p>
        </w:tc>
        <w:tc>
          <w:tcPr>
            <w:tcW w:w="1045" w:type="dxa"/>
            <w:vAlign w:val="center"/>
          </w:tcPr>
          <w:p w14:paraId="1139BD8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8</w:t>
            </w:r>
          </w:p>
        </w:tc>
      </w:tr>
      <w:tr w:rsidR="00800011" w:rsidRPr="00800011" w14:paraId="5EF032ED" w14:textId="77777777" w:rsidTr="00800011">
        <w:trPr>
          <w:trHeight w:val="288"/>
        </w:trPr>
        <w:tc>
          <w:tcPr>
            <w:tcW w:w="540" w:type="dxa"/>
            <w:vMerge/>
            <w:vAlign w:val="center"/>
          </w:tcPr>
          <w:p w14:paraId="5F5B38D4"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49A0135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20</w:t>
            </w:r>
          </w:p>
        </w:tc>
        <w:tc>
          <w:tcPr>
            <w:tcW w:w="1044" w:type="dxa"/>
            <w:vAlign w:val="center"/>
          </w:tcPr>
          <w:p w14:paraId="1D12501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6</w:t>
            </w:r>
          </w:p>
        </w:tc>
        <w:tc>
          <w:tcPr>
            <w:tcW w:w="1045" w:type="dxa"/>
            <w:vAlign w:val="center"/>
          </w:tcPr>
          <w:p w14:paraId="62973C4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7</w:t>
            </w:r>
          </w:p>
        </w:tc>
      </w:tr>
      <w:tr w:rsidR="00800011" w:rsidRPr="00800011" w14:paraId="34F5E755" w14:textId="77777777" w:rsidTr="00800011">
        <w:trPr>
          <w:trHeight w:val="288"/>
        </w:trPr>
        <w:tc>
          <w:tcPr>
            <w:tcW w:w="540" w:type="dxa"/>
            <w:vMerge/>
            <w:vAlign w:val="center"/>
          </w:tcPr>
          <w:p w14:paraId="3FDEA4B6"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B61A23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w:t>
            </w:r>
          </w:p>
        </w:tc>
        <w:tc>
          <w:tcPr>
            <w:tcW w:w="1044" w:type="dxa"/>
            <w:vAlign w:val="center"/>
          </w:tcPr>
          <w:p w14:paraId="4B984E5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5</w:t>
            </w:r>
          </w:p>
        </w:tc>
        <w:tc>
          <w:tcPr>
            <w:tcW w:w="1045" w:type="dxa"/>
            <w:vAlign w:val="center"/>
          </w:tcPr>
          <w:p w14:paraId="2D01B12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800011" w:rsidRPr="00800011" w14:paraId="1EF02C92" w14:textId="77777777" w:rsidTr="00800011">
        <w:trPr>
          <w:trHeight w:val="288"/>
        </w:trPr>
        <w:tc>
          <w:tcPr>
            <w:tcW w:w="540" w:type="dxa"/>
            <w:vAlign w:val="center"/>
          </w:tcPr>
          <w:p w14:paraId="58B86A4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等级</w:t>
            </w:r>
          </w:p>
        </w:tc>
        <w:tc>
          <w:tcPr>
            <w:tcW w:w="1103" w:type="dxa"/>
            <w:vAlign w:val="center"/>
          </w:tcPr>
          <w:p w14:paraId="35D189F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单项</w:t>
            </w:r>
          </w:p>
          <w:p w14:paraId="42A7C69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得分</w:t>
            </w:r>
          </w:p>
        </w:tc>
        <w:tc>
          <w:tcPr>
            <w:tcW w:w="1043" w:type="dxa"/>
            <w:vAlign w:val="center"/>
          </w:tcPr>
          <w:p w14:paraId="397974B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大一</w:t>
            </w:r>
          </w:p>
          <w:p w14:paraId="037FEB6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大二</w:t>
            </w:r>
          </w:p>
        </w:tc>
        <w:tc>
          <w:tcPr>
            <w:tcW w:w="1043" w:type="dxa"/>
            <w:vAlign w:val="center"/>
          </w:tcPr>
          <w:p w14:paraId="5D775EA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大三</w:t>
            </w:r>
          </w:p>
          <w:p w14:paraId="477642D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大四</w:t>
            </w:r>
          </w:p>
        </w:tc>
      </w:tr>
      <w:tr w:rsidR="00800011" w:rsidRPr="00800011" w14:paraId="6EE8E18B" w14:textId="77777777" w:rsidTr="00800011">
        <w:trPr>
          <w:trHeight w:val="288"/>
        </w:trPr>
        <w:tc>
          <w:tcPr>
            <w:tcW w:w="540" w:type="dxa"/>
            <w:vMerge w:val="restart"/>
            <w:vAlign w:val="center"/>
          </w:tcPr>
          <w:p w14:paraId="7EEAA26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优秀</w:t>
            </w:r>
          </w:p>
        </w:tc>
        <w:tc>
          <w:tcPr>
            <w:tcW w:w="1103" w:type="dxa"/>
            <w:vAlign w:val="center"/>
          </w:tcPr>
          <w:p w14:paraId="0A65EAB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100</w:t>
            </w:r>
          </w:p>
        </w:tc>
        <w:tc>
          <w:tcPr>
            <w:tcW w:w="1043" w:type="dxa"/>
            <w:vAlign w:val="center"/>
          </w:tcPr>
          <w:p w14:paraId="02EA5476"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56</w:t>
            </w:r>
          </w:p>
        </w:tc>
        <w:tc>
          <w:tcPr>
            <w:tcW w:w="1043" w:type="dxa"/>
            <w:vAlign w:val="center"/>
          </w:tcPr>
          <w:p w14:paraId="72B6EE82"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57</w:t>
            </w:r>
          </w:p>
        </w:tc>
      </w:tr>
      <w:tr w:rsidR="00800011" w:rsidRPr="00800011" w14:paraId="12D9D80E" w14:textId="77777777" w:rsidTr="00800011">
        <w:trPr>
          <w:trHeight w:val="288"/>
        </w:trPr>
        <w:tc>
          <w:tcPr>
            <w:tcW w:w="540" w:type="dxa"/>
            <w:vMerge/>
            <w:vAlign w:val="center"/>
          </w:tcPr>
          <w:p w14:paraId="77218D0D" w14:textId="77777777" w:rsidR="00800011" w:rsidRPr="00800011" w:rsidRDefault="00800011" w:rsidP="00800011">
            <w:pPr>
              <w:widowControl/>
              <w:jc w:val="center"/>
              <w:rPr>
                <w:rFonts w:ascii="宋体" w:eastAsia="宋体" w:hAnsi="宋体" w:cs="宋体"/>
                <w:b/>
                <w:bCs/>
                <w:kern w:val="0"/>
                <w:sz w:val="22"/>
              </w:rPr>
            </w:pPr>
          </w:p>
        </w:tc>
        <w:tc>
          <w:tcPr>
            <w:tcW w:w="1103" w:type="dxa"/>
            <w:vAlign w:val="center"/>
          </w:tcPr>
          <w:p w14:paraId="5D2D19C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95</w:t>
            </w:r>
          </w:p>
        </w:tc>
        <w:tc>
          <w:tcPr>
            <w:tcW w:w="1043" w:type="dxa"/>
            <w:vAlign w:val="center"/>
          </w:tcPr>
          <w:p w14:paraId="2643542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54</w:t>
            </w:r>
          </w:p>
        </w:tc>
        <w:tc>
          <w:tcPr>
            <w:tcW w:w="1043" w:type="dxa"/>
            <w:vAlign w:val="center"/>
          </w:tcPr>
          <w:p w14:paraId="7FFFC94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55</w:t>
            </w:r>
          </w:p>
        </w:tc>
      </w:tr>
      <w:tr w:rsidR="00800011" w:rsidRPr="00800011" w14:paraId="66C7A5B1" w14:textId="77777777" w:rsidTr="00800011">
        <w:trPr>
          <w:trHeight w:val="288"/>
        </w:trPr>
        <w:tc>
          <w:tcPr>
            <w:tcW w:w="540" w:type="dxa"/>
            <w:vMerge/>
            <w:shd w:val="clear" w:color="auto" w:fill="auto"/>
            <w:vAlign w:val="center"/>
          </w:tcPr>
          <w:p w14:paraId="4A423F2B" w14:textId="77777777" w:rsidR="00800011" w:rsidRPr="00800011" w:rsidRDefault="00800011" w:rsidP="00800011">
            <w:pPr>
              <w:widowControl/>
              <w:jc w:val="center"/>
              <w:rPr>
                <w:rFonts w:ascii="宋体" w:eastAsia="宋体" w:hAnsi="宋体" w:cs="宋体"/>
                <w:b/>
                <w:bCs/>
                <w:kern w:val="0"/>
                <w:sz w:val="22"/>
              </w:rPr>
            </w:pPr>
          </w:p>
        </w:tc>
        <w:tc>
          <w:tcPr>
            <w:tcW w:w="1103" w:type="dxa"/>
            <w:shd w:val="clear" w:color="auto" w:fill="D9D9D9"/>
            <w:vAlign w:val="center"/>
          </w:tcPr>
          <w:p w14:paraId="6A7E234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90</w:t>
            </w:r>
          </w:p>
        </w:tc>
        <w:tc>
          <w:tcPr>
            <w:tcW w:w="1043" w:type="dxa"/>
            <w:shd w:val="clear" w:color="auto" w:fill="D9D9D9"/>
            <w:vAlign w:val="center"/>
          </w:tcPr>
          <w:p w14:paraId="041CE9D0"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52</w:t>
            </w:r>
          </w:p>
        </w:tc>
        <w:tc>
          <w:tcPr>
            <w:tcW w:w="1043" w:type="dxa"/>
            <w:shd w:val="clear" w:color="auto" w:fill="D9D9D9"/>
            <w:vAlign w:val="center"/>
          </w:tcPr>
          <w:p w14:paraId="644283D0"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53</w:t>
            </w:r>
          </w:p>
        </w:tc>
      </w:tr>
      <w:tr w:rsidR="00800011" w:rsidRPr="00800011" w14:paraId="218DCCC3" w14:textId="77777777" w:rsidTr="00800011">
        <w:trPr>
          <w:trHeight w:val="288"/>
        </w:trPr>
        <w:tc>
          <w:tcPr>
            <w:tcW w:w="540" w:type="dxa"/>
            <w:vMerge w:val="restart"/>
            <w:vAlign w:val="center"/>
          </w:tcPr>
          <w:p w14:paraId="142C5D0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良好</w:t>
            </w:r>
          </w:p>
        </w:tc>
        <w:tc>
          <w:tcPr>
            <w:tcW w:w="1103" w:type="dxa"/>
            <w:vAlign w:val="center"/>
          </w:tcPr>
          <w:p w14:paraId="04FAAF3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85</w:t>
            </w:r>
          </w:p>
        </w:tc>
        <w:tc>
          <w:tcPr>
            <w:tcW w:w="1043" w:type="dxa"/>
            <w:vAlign w:val="center"/>
          </w:tcPr>
          <w:p w14:paraId="201F9AC2"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49</w:t>
            </w:r>
          </w:p>
        </w:tc>
        <w:tc>
          <w:tcPr>
            <w:tcW w:w="1043" w:type="dxa"/>
            <w:vAlign w:val="center"/>
          </w:tcPr>
          <w:p w14:paraId="7780C18A"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50</w:t>
            </w:r>
          </w:p>
        </w:tc>
      </w:tr>
      <w:tr w:rsidR="00800011" w:rsidRPr="00800011" w14:paraId="0643E188" w14:textId="77777777" w:rsidTr="00800011">
        <w:trPr>
          <w:trHeight w:val="288"/>
        </w:trPr>
        <w:tc>
          <w:tcPr>
            <w:tcW w:w="540" w:type="dxa"/>
            <w:vMerge/>
            <w:shd w:val="clear" w:color="auto" w:fill="auto"/>
            <w:vAlign w:val="center"/>
          </w:tcPr>
          <w:p w14:paraId="57F5119B" w14:textId="77777777" w:rsidR="00800011" w:rsidRPr="00800011" w:rsidRDefault="00800011" w:rsidP="00800011">
            <w:pPr>
              <w:widowControl/>
              <w:jc w:val="center"/>
              <w:rPr>
                <w:rFonts w:ascii="宋体" w:eastAsia="宋体" w:hAnsi="宋体" w:cs="宋体"/>
                <w:b/>
                <w:bCs/>
                <w:kern w:val="0"/>
                <w:sz w:val="22"/>
              </w:rPr>
            </w:pPr>
          </w:p>
        </w:tc>
        <w:tc>
          <w:tcPr>
            <w:tcW w:w="1103" w:type="dxa"/>
            <w:shd w:val="clear" w:color="auto" w:fill="D9D9D9"/>
            <w:vAlign w:val="center"/>
          </w:tcPr>
          <w:p w14:paraId="6FB14D0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80</w:t>
            </w:r>
          </w:p>
        </w:tc>
        <w:tc>
          <w:tcPr>
            <w:tcW w:w="1043" w:type="dxa"/>
            <w:shd w:val="clear" w:color="auto" w:fill="D9D9D9"/>
            <w:vAlign w:val="center"/>
          </w:tcPr>
          <w:p w14:paraId="7FE62BE9"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46</w:t>
            </w:r>
          </w:p>
        </w:tc>
        <w:tc>
          <w:tcPr>
            <w:tcW w:w="1043" w:type="dxa"/>
            <w:shd w:val="clear" w:color="auto" w:fill="D9D9D9"/>
            <w:vAlign w:val="center"/>
          </w:tcPr>
          <w:p w14:paraId="3C2F8667"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47</w:t>
            </w:r>
          </w:p>
        </w:tc>
      </w:tr>
      <w:tr w:rsidR="00800011" w:rsidRPr="00800011" w14:paraId="4F26F421" w14:textId="77777777" w:rsidTr="00800011">
        <w:trPr>
          <w:trHeight w:val="288"/>
        </w:trPr>
        <w:tc>
          <w:tcPr>
            <w:tcW w:w="540" w:type="dxa"/>
            <w:vMerge w:val="restart"/>
            <w:vAlign w:val="center"/>
          </w:tcPr>
          <w:p w14:paraId="752FD62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及格</w:t>
            </w:r>
          </w:p>
        </w:tc>
        <w:tc>
          <w:tcPr>
            <w:tcW w:w="1103" w:type="dxa"/>
            <w:vAlign w:val="center"/>
          </w:tcPr>
          <w:p w14:paraId="4737756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78</w:t>
            </w:r>
          </w:p>
        </w:tc>
        <w:tc>
          <w:tcPr>
            <w:tcW w:w="1043" w:type="dxa"/>
            <w:vAlign w:val="center"/>
          </w:tcPr>
          <w:p w14:paraId="359FC52A"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44</w:t>
            </w:r>
          </w:p>
        </w:tc>
        <w:tc>
          <w:tcPr>
            <w:tcW w:w="1043" w:type="dxa"/>
            <w:vAlign w:val="center"/>
          </w:tcPr>
          <w:p w14:paraId="4D5BA071"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45</w:t>
            </w:r>
          </w:p>
        </w:tc>
      </w:tr>
      <w:tr w:rsidR="00800011" w:rsidRPr="00800011" w14:paraId="524C340C" w14:textId="77777777" w:rsidTr="00800011">
        <w:trPr>
          <w:trHeight w:val="288"/>
        </w:trPr>
        <w:tc>
          <w:tcPr>
            <w:tcW w:w="540" w:type="dxa"/>
            <w:vMerge/>
            <w:vAlign w:val="center"/>
          </w:tcPr>
          <w:p w14:paraId="2470711A" w14:textId="77777777" w:rsidR="00800011" w:rsidRPr="00800011" w:rsidRDefault="00800011" w:rsidP="00800011">
            <w:pPr>
              <w:widowControl/>
              <w:jc w:val="center"/>
              <w:rPr>
                <w:rFonts w:ascii="宋体" w:eastAsia="宋体" w:hAnsi="宋体" w:cs="宋体"/>
                <w:b/>
                <w:bCs/>
                <w:kern w:val="0"/>
                <w:sz w:val="22"/>
              </w:rPr>
            </w:pPr>
          </w:p>
        </w:tc>
        <w:tc>
          <w:tcPr>
            <w:tcW w:w="1103" w:type="dxa"/>
            <w:vAlign w:val="center"/>
          </w:tcPr>
          <w:p w14:paraId="08AFC77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76</w:t>
            </w:r>
          </w:p>
        </w:tc>
        <w:tc>
          <w:tcPr>
            <w:tcW w:w="1043" w:type="dxa"/>
            <w:vAlign w:val="center"/>
          </w:tcPr>
          <w:p w14:paraId="5A84E678"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42</w:t>
            </w:r>
          </w:p>
        </w:tc>
        <w:tc>
          <w:tcPr>
            <w:tcW w:w="1043" w:type="dxa"/>
            <w:vAlign w:val="center"/>
          </w:tcPr>
          <w:p w14:paraId="378A5E30"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43</w:t>
            </w:r>
          </w:p>
        </w:tc>
      </w:tr>
      <w:tr w:rsidR="00800011" w:rsidRPr="00800011" w14:paraId="7E1F6345" w14:textId="77777777" w:rsidTr="00800011">
        <w:trPr>
          <w:trHeight w:val="288"/>
        </w:trPr>
        <w:tc>
          <w:tcPr>
            <w:tcW w:w="540" w:type="dxa"/>
            <w:vMerge/>
            <w:vAlign w:val="center"/>
          </w:tcPr>
          <w:p w14:paraId="50759DAE" w14:textId="77777777" w:rsidR="00800011" w:rsidRPr="00800011" w:rsidRDefault="00800011" w:rsidP="00800011">
            <w:pPr>
              <w:widowControl/>
              <w:jc w:val="center"/>
              <w:rPr>
                <w:rFonts w:ascii="宋体" w:eastAsia="宋体" w:hAnsi="宋体" w:cs="宋体"/>
                <w:b/>
                <w:bCs/>
                <w:kern w:val="0"/>
                <w:sz w:val="22"/>
              </w:rPr>
            </w:pPr>
          </w:p>
        </w:tc>
        <w:tc>
          <w:tcPr>
            <w:tcW w:w="1103" w:type="dxa"/>
            <w:vAlign w:val="center"/>
          </w:tcPr>
          <w:p w14:paraId="4B2EF69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74</w:t>
            </w:r>
          </w:p>
        </w:tc>
        <w:tc>
          <w:tcPr>
            <w:tcW w:w="1043" w:type="dxa"/>
            <w:vAlign w:val="center"/>
          </w:tcPr>
          <w:p w14:paraId="63B6417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40</w:t>
            </w:r>
          </w:p>
        </w:tc>
        <w:tc>
          <w:tcPr>
            <w:tcW w:w="1043" w:type="dxa"/>
            <w:vAlign w:val="center"/>
          </w:tcPr>
          <w:p w14:paraId="61FB3B50"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41</w:t>
            </w:r>
          </w:p>
        </w:tc>
      </w:tr>
      <w:tr w:rsidR="00800011" w:rsidRPr="00800011" w14:paraId="24DC2355" w14:textId="77777777" w:rsidTr="00800011">
        <w:trPr>
          <w:trHeight w:val="288"/>
        </w:trPr>
        <w:tc>
          <w:tcPr>
            <w:tcW w:w="540" w:type="dxa"/>
            <w:vMerge/>
            <w:vAlign w:val="center"/>
          </w:tcPr>
          <w:p w14:paraId="15304DE6" w14:textId="77777777" w:rsidR="00800011" w:rsidRPr="00800011" w:rsidRDefault="00800011" w:rsidP="00800011">
            <w:pPr>
              <w:widowControl/>
              <w:jc w:val="center"/>
              <w:rPr>
                <w:rFonts w:ascii="宋体" w:eastAsia="宋体" w:hAnsi="宋体" w:cs="宋体"/>
                <w:b/>
                <w:bCs/>
                <w:kern w:val="0"/>
                <w:sz w:val="22"/>
              </w:rPr>
            </w:pPr>
          </w:p>
        </w:tc>
        <w:tc>
          <w:tcPr>
            <w:tcW w:w="1103" w:type="dxa"/>
            <w:vAlign w:val="center"/>
          </w:tcPr>
          <w:p w14:paraId="79291F8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72</w:t>
            </w:r>
          </w:p>
        </w:tc>
        <w:tc>
          <w:tcPr>
            <w:tcW w:w="1043" w:type="dxa"/>
            <w:vAlign w:val="center"/>
          </w:tcPr>
          <w:p w14:paraId="39ABA057"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38</w:t>
            </w:r>
          </w:p>
        </w:tc>
        <w:tc>
          <w:tcPr>
            <w:tcW w:w="1043" w:type="dxa"/>
            <w:vAlign w:val="center"/>
          </w:tcPr>
          <w:p w14:paraId="0832EDDE"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39</w:t>
            </w:r>
          </w:p>
        </w:tc>
      </w:tr>
      <w:tr w:rsidR="00800011" w:rsidRPr="00800011" w14:paraId="167CD1E6" w14:textId="77777777" w:rsidTr="00800011">
        <w:trPr>
          <w:trHeight w:val="288"/>
        </w:trPr>
        <w:tc>
          <w:tcPr>
            <w:tcW w:w="540" w:type="dxa"/>
            <w:vMerge/>
            <w:vAlign w:val="center"/>
          </w:tcPr>
          <w:p w14:paraId="2C444ADF" w14:textId="77777777" w:rsidR="00800011" w:rsidRPr="00800011" w:rsidRDefault="00800011" w:rsidP="00800011">
            <w:pPr>
              <w:widowControl/>
              <w:jc w:val="center"/>
              <w:rPr>
                <w:rFonts w:ascii="宋体" w:eastAsia="宋体" w:hAnsi="宋体" w:cs="宋体"/>
                <w:b/>
                <w:bCs/>
                <w:kern w:val="0"/>
                <w:sz w:val="22"/>
              </w:rPr>
            </w:pPr>
          </w:p>
        </w:tc>
        <w:tc>
          <w:tcPr>
            <w:tcW w:w="1103" w:type="dxa"/>
            <w:vAlign w:val="center"/>
          </w:tcPr>
          <w:p w14:paraId="52F9226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70</w:t>
            </w:r>
          </w:p>
        </w:tc>
        <w:tc>
          <w:tcPr>
            <w:tcW w:w="1043" w:type="dxa"/>
            <w:vAlign w:val="center"/>
          </w:tcPr>
          <w:p w14:paraId="3AAAB27F"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36</w:t>
            </w:r>
          </w:p>
        </w:tc>
        <w:tc>
          <w:tcPr>
            <w:tcW w:w="1043" w:type="dxa"/>
            <w:vAlign w:val="center"/>
          </w:tcPr>
          <w:p w14:paraId="418E987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37</w:t>
            </w:r>
          </w:p>
        </w:tc>
      </w:tr>
      <w:tr w:rsidR="00800011" w:rsidRPr="00800011" w14:paraId="1FE52D75" w14:textId="77777777" w:rsidTr="00800011">
        <w:trPr>
          <w:trHeight w:val="288"/>
        </w:trPr>
        <w:tc>
          <w:tcPr>
            <w:tcW w:w="540" w:type="dxa"/>
            <w:vMerge/>
            <w:vAlign w:val="center"/>
          </w:tcPr>
          <w:p w14:paraId="4D8D19E7" w14:textId="77777777" w:rsidR="00800011" w:rsidRPr="00800011" w:rsidRDefault="00800011" w:rsidP="00800011">
            <w:pPr>
              <w:widowControl/>
              <w:jc w:val="center"/>
              <w:rPr>
                <w:rFonts w:ascii="宋体" w:eastAsia="宋体" w:hAnsi="宋体" w:cs="宋体"/>
                <w:b/>
                <w:bCs/>
                <w:kern w:val="0"/>
                <w:sz w:val="22"/>
              </w:rPr>
            </w:pPr>
          </w:p>
        </w:tc>
        <w:tc>
          <w:tcPr>
            <w:tcW w:w="1103" w:type="dxa"/>
            <w:vAlign w:val="center"/>
          </w:tcPr>
          <w:p w14:paraId="3927995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68</w:t>
            </w:r>
          </w:p>
        </w:tc>
        <w:tc>
          <w:tcPr>
            <w:tcW w:w="1043" w:type="dxa"/>
            <w:vAlign w:val="center"/>
          </w:tcPr>
          <w:p w14:paraId="3F32AA6C"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34</w:t>
            </w:r>
          </w:p>
        </w:tc>
        <w:tc>
          <w:tcPr>
            <w:tcW w:w="1043" w:type="dxa"/>
            <w:vAlign w:val="center"/>
          </w:tcPr>
          <w:p w14:paraId="15C0C8D4"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35</w:t>
            </w:r>
          </w:p>
        </w:tc>
      </w:tr>
      <w:tr w:rsidR="00800011" w:rsidRPr="00800011" w14:paraId="2916C878" w14:textId="77777777" w:rsidTr="00800011">
        <w:trPr>
          <w:trHeight w:val="288"/>
        </w:trPr>
        <w:tc>
          <w:tcPr>
            <w:tcW w:w="540" w:type="dxa"/>
            <w:vMerge/>
            <w:vAlign w:val="center"/>
          </w:tcPr>
          <w:p w14:paraId="360D9D13" w14:textId="77777777" w:rsidR="00800011" w:rsidRPr="00800011" w:rsidRDefault="00800011" w:rsidP="00800011">
            <w:pPr>
              <w:widowControl/>
              <w:jc w:val="center"/>
              <w:rPr>
                <w:rFonts w:ascii="宋体" w:eastAsia="宋体" w:hAnsi="宋体" w:cs="宋体"/>
                <w:b/>
                <w:bCs/>
                <w:kern w:val="0"/>
                <w:sz w:val="22"/>
              </w:rPr>
            </w:pPr>
          </w:p>
        </w:tc>
        <w:tc>
          <w:tcPr>
            <w:tcW w:w="1103" w:type="dxa"/>
            <w:vAlign w:val="center"/>
          </w:tcPr>
          <w:p w14:paraId="434FA4E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66</w:t>
            </w:r>
          </w:p>
        </w:tc>
        <w:tc>
          <w:tcPr>
            <w:tcW w:w="1043" w:type="dxa"/>
            <w:vAlign w:val="center"/>
          </w:tcPr>
          <w:p w14:paraId="61758123"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32</w:t>
            </w:r>
          </w:p>
        </w:tc>
        <w:tc>
          <w:tcPr>
            <w:tcW w:w="1043" w:type="dxa"/>
            <w:vAlign w:val="center"/>
          </w:tcPr>
          <w:p w14:paraId="73E8126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33</w:t>
            </w:r>
          </w:p>
        </w:tc>
      </w:tr>
      <w:tr w:rsidR="00800011" w:rsidRPr="00800011" w14:paraId="509935F2" w14:textId="77777777" w:rsidTr="00800011">
        <w:trPr>
          <w:trHeight w:val="288"/>
        </w:trPr>
        <w:tc>
          <w:tcPr>
            <w:tcW w:w="540" w:type="dxa"/>
            <w:vMerge/>
            <w:vAlign w:val="center"/>
          </w:tcPr>
          <w:p w14:paraId="6A156F58" w14:textId="77777777" w:rsidR="00800011" w:rsidRPr="00800011" w:rsidRDefault="00800011" w:rsidP="00800011">
            <w:pPr>
              <w:widowControl/>
              <w:jc w:val="center"/>
              <w:rPr>
                <w:rFonts w:ascii="宋体" w:eastAsia="宋体" w:hAnsi="宋体" w:cs="宋体"/>
                <w:b/>
                <w:bCs/>
                <w:kern w:val="0"/>
                <w:sz w:val="22"/>
              </w:rPr>
            </w:pPr>
          </w:p>
        </w:tc>
        <w:tc>
          <w:tcPr>
            <w:tcW w:w="1103" w:type="dxa"/>
            <w:vAlign w:val="center"/>
          </w:tcPr>
          <w:p w14:paraId="535D754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64</w:t>
            </w:r>
          </w:p>
        </w:tc>
        <w:tc>
          <w:tcPr>
            <w:tcW w:w="1043" w:type="dxa"/>
            <w:vAlign w:val="center"/>
          </w:tcPr>
          <w:p w14:paraId="436A3895"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30</w:t>
            </w:r>
          </w:p>
        </w:tc>
        <w:tc>
          <w:tcPr>
            <w:tcW w:w="1043" w:type="dxa"/>
            <w:vAlign w:val="center"/>
          </w:tcPr>
          <w:p w14:paraId="5D0980A6"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31</w:t>
            </w:r>
          </w:p>
        </w:tc>
      </w:tr>
      <w:tr w:rsidR="00800011" w:rsidRPr="00800011" w14:paraId="15B15280" w14:textId="77777777" w:rsidTr="00800011">
        <w:trPr>
          <w:trHeight w:val="288"/>
        </w:trPr>
        <w:tc>
          <w:tcPr>
            <w:tcW w:w="540" w:type="dxa"/>
            <w:vMerge/>
            <w:vAlign w:val="center"/>
          </w:tcPr>
          <w:p w14:paraId="20B7765C" w14:textId="77777777" w:rsidR="00800011" w:rsidRPr="00800011" w:rsidRDefault="00800011" w:rsidP="00800011">
            <w:pPr>
              <w:widowControl/>
              <w:jc w:val="center"/>
              <w:rPr>
                <w:rFonts w:ascii="宋体" w:eastAsia="宋体" w:hAnsi="宋体" w:cs="宋体"/>
                <w:b/>
                <w:bCs/>
                <w:kern w:val="0"/>
                <w:sz w:val="22"/>
              </w:rPr>
            </w:pPr>
          </w:p>
        </w:tc>
        <w:tc>
          <w:tcPr>
            <w:tcW w:w="1103" w:type="dxa"/>
            <w:vAlign w:val="center"/>
          </w:tcPr>
          <w:p w14:paraId="39445B0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62</w:t>
            </w:r>
          </w:p>
        </w:tc>
        <w:tc>
          <w:tcPr>
            <w:tcW w:w="1043" w:type="dxa"/>
            <w:vAlign w:val="center"/>
          </w:tcPr>
          <w:p w14:paraId="0E65BAF9"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28</w:t>
            </w:r>
          </w:p>
        </w:tc>
        <w:tc>
          <w:tcPr>
            <w:tcW w:w="1043" w:type="dxa"/>
            <w:vAlign w:val="center"/>
          </w:tcPr>
          <w:p w14:paraId="6FC28D3D" w14:textId="77777777" w:rsidR="00800011" w:rsidRPr="00800011" w:rsidRDefault="00800011" w:rsidP="00800011">
            <w:pPr>
              <w:jc w:val="center"/>
              <w:rPr>
                <w:rFonts w:ascii="Calibri" w:eastAsia="宋体" w:hAnsi="Calibri" w:cs="Times New Roman"/>
                <w:sz w:val="22"/>
              </w:rPr>
            </w:pPr>
            <w:r w:rsidRPr="00800011">
              <w:rPr>
                <w:rFonts w:ascii="Calibri" w:eastAsia="宋体" w:hAnsi="Calibri" w:cs="Times New Roman"/>
                <w:sz w:val="22"/>
              </w:rPr>
              <w:t>29</w:t>
            </w:r>
          </w:p>
        </w:tc>
      </w:tr>
      <w:tr w:rsidR="00800011" w:rsidRPr="00800011" w14:paraId="50AB7968" w14:textId="77777777" w:rsidTr="00800011">
        <w:trPr>
          <w:trHeight w:val="288"/>
        </w:trPr>
        <w:tc>
          <w:tcPr>
            <w:tcW w:w="540" w:type="dxa"/>
            <w:vMerge/>
            <w:shd w:val="clear" w:color="auto" w:fill="auto"/>
            <w:vAlign w:val="center"/>
          </w:tcPr>
          <w:p w14:paraId="4EB6BD5C" w14:textId="77777777" w:rsidR="00800011" w:rsidRPr="00800011" w:rsidRDefault="00800011" w:rsidP="00800011">
            <w:pPr>
              <w:widowControl/>
              <w:jc w:val="center"/>
              <w:rPr>
                <w:rFonts w:ascii="宋体" w:eastAsia="宋体" w:hAnsi="宋体" w:cs="宋体"/>
                <w:b/>
                <w:bCs/>
                <w:kern w:val="0"/>
                <w:sz w:val="22"/>
              </w:rPr>
            </w:pPr>
          </w:p>
        </w:tc>
        <w:tc>
          <w:tcPr>
            <w:tcW w:w="1103" w:type="dxa"/>
            <w:shd w:val="clear" w:color="auto" w:fill="D9D9D9"/>
            <w:vAlign w:val="center"/>
          </w:tcPr>
          <w:p w14:paraId="538B497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60</w:t>
            </w:r>
          </w:p>
        </w:tc>
        <w:tc>
          <w:tcPr>
            <w:tcW w:w="1043" w:type="dxa"/>
            <w:shd w:val="clear" w:color="auto" w:fill="D9D9D9"/>
            <w:vAlign w:val="center"/>
          </w:tcPr>
          <w:p w14:paraId="218F1CCD"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26</w:t>
            </w:r>
          </w:p>
        </w:tc>
        <w:tc>
          <w:tcPr>
            <w:tcW w:w="1043" w:type="dxa"/>
            <w:shd w:val="clear" w:color="auto" w:fill="D9D9D9"/>
            <w:vAlign w:val="center"/>
          </w:tcPr>
          <w:p w14:paraId="0A509687"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27</w:t>
            </w:r>
          </w:p>
        </w:tc>
      </w:tr>
      <w:tr w:rsidR="00800011" w:rsidRPr="00800011" w14:paraId="1BDC0C0B" w14:textId="77777777" w:rsidTr="00800011">
        <w:trPr>
          <w:trHeight w:val="288"/>
        </w:trPr>
        <w:tc>
          <w:tcPr>
            <w:tcW w:w="540" w:type="dxa"/>
            <w:vMerge w:val="restart"/>
            <w:vAlign w:val="center"/>
          </w:tcPr>
          <w:p w14:paraId="5D5D65B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不及格</w:t>
            </w:r>
          </w:p>
        </w:tc>
        <w:tc>
          <w:tcPr>
            <w:tcW w:w="1103" w:type="dxa"/>
            <w:vAlign w:val="center"/>
          </w:tcPr>
          <w:p w14:paraId="6315177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50</w:t>
            </w:r>
          </w:p>
        </w:tc>
        <w:tc>
          <w:tcPr>
            <w:tcW w:w="1043" w:type="dxa"/>
            <w:vAlign w:val="center"/>
          </w:tcPr>
          <w:p w14:paraId="3B332513"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color w:val="000000"/>
                <w:sz w:val="22"/>
              </w:rPr>
              <w:t>24</w:t>
            </w:r>
          </w:p>
        </w:tc>
        <w:tc>
          <w:tcPr>
            <w:tcW w:w="1043" w:type="dxa"/>
            <w:vAlign w:val="center"/>
          </w:tcPr>
          <w:p w14:paraId="34221DC0"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color w:val="000000"/>
                <w:sz w:val="22"/>
              </w:rPr>
              <w:t>25</w:t>
            </w:r>
          </w:p>
        </w:tc>
      </w:tr>
      <w:tr w:rsidR="00800011" w:rsidRPr="00800011" w14:paraId="036CD973" w14:textId="77777777" w:rsidTr="00800011">
        <w:trPr>
          <w:trHeight w:val="288"/>
        </w:trPr>
        <w:tc>
          <w:tcPr>
            <w:tcW w:w="540" w:type="dxa"/>
            <w:vMerge/>
            <w:vAlign w:val="center"/>
          </w:tcPr>
          <w:p w14:paraId="63C6CBCC" w14:textId="77777777" w:rsidR="00800011" w:rsidRPr="00800011" w:rsidRDefault="00800011" w:rsidP="00800011">
            <w:pPr>
              <w:widowControl/>
              <w:jc w:val="center"/>
              <w:rPr>
                <w:rFonts w:ascii="宋体" w:eastAsia="宋体" w:hAnsi="宋体" w:cs="宋体"/>
                <w:b/>
                <w:bCs/>
                <w:kern w:val="0"/>
                <w:sz w:val="22"/>
              </w:rPr>
            </w:pPr>
          </w:p>
        </w:tc>
        <w:tc>
          <w:tcPr>
            <w:tcW w:w="1103" w:type="dxa"/>
            <w:vAlign w:val="center"/>
          </w:tcPr>
          <w:p w14:paraId="5C854E1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40</w:t>
            </w:r>
          </w:p>
        </w:tc>
        <w:tc>
          <w:tcPr>
            <w:tcW w:w="1043" w:type="dxa"/>
            <w:vAlign w:val="center"/>
          </w:tcPr>
          <w:p w14:paraId="0111A14D"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color w:val="000000"/>
                <w:sz w:val="22"/>
              </w:rPr>
              <w:t>22</w:t>
            </w:r>
          </w:p>
        </w:tc>
        <w:tc>
          <w:tcPr>
            <w:tcW w:w="1043" w:type="dxa"/>
            <w:vAlign w:val="center"/>
          </w:tcPr>
          <w:p w14:paraId="1C65AB64"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color w:val="000000"/>
                <w:sz w:val="22"/>
              </w:rPr>
              <w:t>23</w:t>
            </w:r>
          </w:p>
        </w:tc>
      </w:tr>
      <w:tr w:rsidR="00800011" w:rsidRPr="00800011" w14:paraId="7495FA01" w14:textId="77777777" w:rsidTr="00800011">
        <w:trPr>
          <w:trHeight w:val="288"/>
        </w:trPr>
        <w:tc>
          <w:tcPr>
            <w:tcW w:w="540" w:type="dxa"/>
            <w:vMerge/>
            <w:vAlign w:val="center"/>
          </w:tcPr>
          <w:p w14:paraId="01DEBFA6" w14:textId="77777777" w:rsidR="00800011" w:rsidRPr="00800011" w:rsidRDefault="00800011" w:rsidP="00800011">
            <w:pPr>
              <w:widowControl/>
              <w:jc w:val="center"/>
              <w:rPr>
                <w:rFonts w:ascii="宋体" w:eastAsia="宋体" w:hAnsi="宋体" w:cs="宋体"/>
                <w:b/>
                <w:bCs/>
                <w:kern w:val="0"/>
                <w:sz w:val="22"/>
              </w:rPr>
            </w:pPr>
          </w:p>
        </w:tc>
        <w:tc>
          <w:tcPr>
            <w:tcW w:w="1103" w:type="dxa"/>
            <w:vAlign w:val="center"/>
          </w:tcPr>
          <w:p w14:paraId="596AFB3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30</w:t>
            </w:r>
          </w:p>
        </w:tc>
        <w:tc>
          <w:tcPr>
            <w:tcW w:w="1043" w:type="dxa"/>
            <w:vAlign w:val="center"/>
          </w:tcPr>
          <w:p w14:paraId="783530A2"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color w:val="000000"/>
                <w:sz w:val="22"/>
              </w:rPr>
              <w:t>20</w:t>
            </w:r>
          </w:p>
        </w:tc>
        <w:tc>
          <w:tcPr>
            <w:tcW w:w="1043" w:type="dxa"/>
            <w:vAlign w:val="center"/>
          </w:tcPr>
          <w:p w14:paraId="2B97AB5E"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color w:val="000000"/>
                <w:sz w:val="22"/>
              </w:rPr>
              <w:t>21</w:t>
            </w:r>
          </w:p>
        </w:tc>
      </w:tr>
      <w:tr w:rsidR="00800011" w:rsidRPr="00800011" w14:paraId="42FF13E8" w14:textId="77777777" w:rsidTr="00800011">
        <w:trPr>
          <w:trHeight w:val="288"/>
        </w:trPr>
        <w:tc>
          <w:tcPr>
            <w:tcW w:w="540" w:type="dxa"/>
            <w:vMerge/>
            <w:vAlign w:val="center"/>
          </w:tcPr>
          <w:p w14:paraId="38A4F5CB" w14:textId="77777777" w:rsidR="00800011" w:rsidRPr="00800011" w:rsidRDefault="00800011" w:rsidP="00800011">
            <w:pPr>
              <w:widowControl/>
              <w:jc w:val="center"/>
              <w:rPr>
                <w:rFonts w:ascii="宋体" w:eastAsia="宋体" w:hAnsi="宋体" w:cs="宋体"/>
                <w:b/>
                <w:bCs/>
                <w:kern w:val="0"/>
                <w:sz w:val="22"/>
              </w:rPr>
            </w:pPr>
          </w:p>
        </w:tc>
        <w:tc>
          <w:tcPr>
            <w:tcW w:w="1103" w:type="dxa"/>
            <w:vAlign w:val="center"/>
          </w:tcPr>
          <w:p w14:paraId="2B76494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20</w:t>
            </w:r>
          </w:p>
        </w:tc>
        <w:tc>
          <w:tcPr>
            <w:tcW w:w="1043" w:type="dxa"/>
            <w:vAlign w:val="center"/>
          </w:tcPr>
          <w:p w14:paraId="73E63581"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color w:val="000000"/>
                <w:sz w:val="22"/>
              </w:rPr>
              <w:t>18</w:t>
            </w:r>
          </w:p>
        </w:tc>
        <w:tc>
          <w:tcPr>
            <w:tcW w:w="1043" w:type="dxa"/>
            <w:vAlign w:val="center"/>
          </w:tcPr>
          <w:p w14:paraId="619F9AB6"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color w:val="000000"/>
                <w:sz w:val="22"/>
              </w:rPr>
              <w:t>19</w:t>
            </w:r>
          </w:p>
        </w:tc>
      </w:tr>
      <w:tr w:rsidR="00800011" w:rsidRPr="00800011" w14:paraId="78984C63" w14:textId="77777777" w:rsidTr="00800011">
        <w:trPr>
          <w:trHeight w:val="288"/>
        </w:trPr>
        <w:tc>
          <w:tcPr>
            <w:tcW w:w="540" w:type="dxa"/>
            <w:vMerge/>
            <w:vAlign w:val="center"/>
          </w:tcPr>
          <w:p w14:paraId="4EAB7250" w14:textId="77777777" w:rsidR="00800011" w:rsidRPr="00800011" w:rsidRDefault="00800011" w:rsidP="00800011">
            <w:pPr>
              <w:widowControl/>
              <w:jc w:val="center"/>
              <w:rPr>
                <w:rFonts w:ascii="宋体" w:eastAsia="宋体" w:hAnsi="宋体" w:cs="宋体"/>
                <w:b/>
                <w:bCs/>
                <w:kern w:val="0"/>
                <w:sz w:val="22"/>
              </w:rPr>
            </w:pPr>
          </w:p>
        </w:tc>
        <w:tc>
          <w:tcPr>
            <w:tcW w:w="1103" w:type="dxa"/>
            <w:vAlign w:val="center"/>
          </w:tcPr>
          <w:p w14:paraId="224D486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w:t>
            </w:r>
          </w:p>
        </w:tc>
        <w:tc>
          <w:tcPr>
            <w:tcW w:w="1043" w:type="dxa"/>
            <w:vAlign w:val="center"/>
          </w:tcPr>
          <w:p w14:paraId="09DF22A9" w14:textId="77777777" w:rsidR="00800011" w:rsidRPr="00800011" w:rsidRDefault="00800011" w:rsidP="00800011">
            <w:pPr>
              <w:jc w:val="center"/>
              <w:rPr>
                <w:rFonts w:ascii="Calibri" w:eastAsia="宋体" w:hAnsi="Calibri" w:cs="Times New Roman"/>
                <w:bCs/>
                <w:color w:val="000000"/>
                <w:sz w:val="22"/>
              </w:rPr>
            </w:pPr>
            <w:r w:rsidRPr="00800011">
              <w:rPr>
                <w:rFonts w:ascii="Calibri" w:eastAsia="宋体" w:hAnsi="Calibri" w:cs="Times New Roman"/>
                <w:bCs/>
                <w:color w:val="000000"/>
                <w:sz w:val="22"/>
              </w:rPr>
              <w:t>16</w:t>
            </w:r>
          </w:p>
        </w:tc>
        <w:tc>
          <w:tcPr>
            <w:tcW w:w="1043" w:type="dxa"/>
            <w:vAlign w:val="center"/>
          </w:tcPr>
          <w:p w14:paraId="50416A50" w14:textId="77777777" w:rsidR="00800011" w:rsidRPr="00800011" w:rsidRDefault="00800011" w:rsidP="00800011">
            <w:pPr>
              <w:jc w:val="center"/>
              <w:rPr>
                <w:rFonts w:ascii="Calibri" w:eastAsia="宋体" w:hAnsi="Calibri" w:cs="Times New Roman"/>
                <w:bCs/>
                <w:color w:val="000000"/>
                <w:sz w:val="22"/>
              </w:rPr>
            </w:pPr>
            <w:r w:rsidRPr="00800011">
              <w:rPr>
                <w:rFonts w:ascii="Calibri" w:eastAsia="宋体" w:hAnsi="Calibri" w:cs="Times New Roman"/>
                <w:bCs/>
                <w:color w:val="000000"/>
                <w:sz w:val="22"/>
              </w:rPr>
              <w:t>17</w:t>
            </w:r>
          </w:p>
        </w:tc>
      </w:tr>
    </w:tbl>
    <w:p w14:paraId="05B75D31"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667ED194"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2A3AFE1F"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3433BF8F"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404891B0"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3B09E461"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058B361B"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48A76D9E"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5A252EFF"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5F88DC5A"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207A623B"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12173CBD"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2081E731"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328F160C"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364D9CA2"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p w14:paraId="5A7EB743" w14:textId="77777777" w:rsidR="00800011" w:rsidRPr="00800011" w:rsidRDefault="00800011" w:rsidP="00800011">
      <w:pPr>
        <w:autoSpaceDE w:val="0"/>
        <w:autoSpaceDN w:val="0"/>
        <w:adjustRightInd w:val="0"/>
        <w:snapToGrid w:val="0"/>
        <w:spacing w:line="500" w:lineRule="exact"/>
        <w:ind w:firstLineChars="400" w:firstLine="1000"/>
        <w:rPr>
          <w:rFonts w:ascii="宋体" w:eastAsia="宋体" w:hAnsi="Calibri" w:cs="宋体"/>
          <w:spacing w:val="5"/>
          <w:kern w:val="0"/>
          <w:sz w:val="24"/>
        </w:rPr>
      </w:pPr>
    </w:p>
    <w:p w14:paraId="4A4958F6" w14:textId="77777777" w:rsidR="00800011" w:rsidRPr="00800011" w:rsidRDefault="00800011" w:rsidP="00800011">
      <w:pPr>
        <w:autoSpaceDE w:val="0"/>
        <w:autoSpaceDN w:val="0"/>
        <w:adjustRightInd w:val="0"/>
        <w:snapToGrid w:val="0"/>
        <w:spacing w:line="500" w:lineRule="exact"/>
        <w:ind w:firstLineChars="400" w:firstLine="1000"/>
        <w:rPr>
          <w:rFonts w:ascii="宋体" w:eastAsia="宋体" w:hAnsi="Calibri" w:cs="宋体"/>
          <w:spacing w:val="5"/>
          <w:kern w:val="0"/>
          <w:sz w:val="24"/>
        </w:rPr>
      </w:pPr>
    </w:p>
    <w:p w14:paraId="7AE6A41D" w14:textId="77777777" w:rsidR="00800011" w:rsidRPr="00800011" w:rsidRDefault="00800011" w:rsidP="00800011">
      <w:pPr>
        <w:autoSpaceDE w:val="0"/>
        <w:autoSpaceDN w:val="0"/>
        <w:adjustRightInd w:val="0"/>
        <w:snapToGrid w:val="0"/>
        <w:spacing w:line="500" w:lineRule="exact"/>
        <w:ind w:firstLineChars="400" w:firstLine="1000"/>
        <w:rPr>
          <w:rFonts w:ascii="宋体" w:eastAsia="宋体" w:hAnsi="Calibri" w:cs="宋体"/>
          <w:spacing w:val="5"/>
          <w:kern w:val="0"/>
          <w:sz w:val="24"/>
        </w:rPr>
      </w:pPr>
    </w:p>
    <w:p w14:paraId="7D32E910" w14:textId="77777777" w:rsidR="00800011" w:rsidRPr="00800011" w:rsidRDefault="00800011" w:rsidP="00800011">
      <w:pPr>
        <w:autoSpaceDE w:val="0"/>
        <w:autoSpaceDN w:val="0"/>
        <w:adjustRightInd w:val="0"/>
        <w:snapToGrid w:val="0"/>
        <w:spacing w:line="500" w:lineRule="exact"/>
        <w:ind w:firstLineChars="400" w:firstLine="1000"/>
        <w:rPr>
          <w:rFonts w:ascii="宋体" w:eastAsia="宋体" w:hAnsi="Calibri" w:cs="宋体"/>
          <w:spacing w:val="5"/>
          <w:kern w:val="0"/>
          <w:sz w:val="24"/>
        </w:rPr>
      </w:pPr>
    </w:p>
    <w:p w14:paraId="252406D2" w14:textId="77777777" w:rsidR="00800011" w:rsidRPr="00800011" w:rsidRDefault="00800011" w:rsidP="00800011">
      <w:pPr>
        <w:autoSpaceDE w:val="0"/>
        <w:autoSpaceDN w:val="0"/>
        <w:adjustRightInd w:val="0"/>
        <w:snapToGrid w:val="0"/>
        <w:spacing w:line="500" w:lineRule="exact"/>
        <w:ind w:firstLineChars="400" w:firstLine="1000"/>
        <w:rPr>
          <w:rFonts w:ascii="宋体" w:eastAsia="宋体" w:hAnsi="Calibri" w:cs="宋体"/>
          <w:spacing w:val="5"/>
          <w:kern w:val="0"/>
          <w:sz w:val="24"/>
        </w:rPr>
      </w:pPr>
    </w:p>
    <w:p w14:paraId="72267170" w14:textId="77777777" w:rsidR="00800011" w:rsidRPr="00800011" w:rsidRDefault="00800011" w:rsidP="00800011">
      <w:pPr>
        <w:autoSpaceDE w:val="0"/>
        <w:autoSpaceDN w:val="0"/>
        <w:adjustRightInd w:val="0"/>
        <w:snapToGrid w:val="0"/>
        <w:spacing w:line="500" w:lineRule="exact"/>
        <w:ind w:firstLineChars="400" w:firstLine="1000"/>
        <w:rPr>
          <w:rFonts w:ascii="宋体" w:eastAsia="宋体" w:hAnsi="Calibri" w:cs="宋体"/>
          <w:spacing w:val="5"/>
          <w:kern w:val="0"/>
          <w:sz w:val="24"/>
        </w:rPr>
      </w:pPr>
    </w:p>
    <w:p w14:paraId="47DADD02" w14:textId="77777777" w:rsidR="00800011" w:rsidRPr="00800011" w:rsidRDefault="00800011" w:rsidP="00800011">
      <w:pPr>
        <w:autoSpaceDE w:val="0"/>
        <w:autoSpaceDN w:val="0"/>
        <w:adjustRightInd w:val="0"/>
        <w:snapToGrid w:val="0"/>
        <w:spacing w:line="500" w:lineRule="exact"/>
        <w:ind w:firstLineChars="400" w:firstLine="1000"/>
        <w:rPr>
          <w:rFonts w:ascii="宋体" w:eastAsia="宋体" w:hAnsi="Calibri" w:cs="宋体"/>
          <w:spacing w:val="5"/>
          <w:kern w:val="0"/>
          <w:sz w:val="24"/>
        </w:rPr>
      </w:pPr>
    </w:p>
    <w:p w14:paraId="325D715D" w14:textId="77777777" w:rsidR="00800011" w:rsidRPr="00800011" w:rsidRDefault="00800011" w:rsidP="00800011">
      <w:pPr>
        <w:autoSpaceDE w:val="0"/>
        <w:autoSpaceDN w:val="0"/>
        <w:adjustRightInd w:val="0"/>
        <w:snapToGrid w:val="0"/>
        <w:spacing w:line="500" w:lineRule="exact"/>
        <w:ind w:firstLineChars="400" w:firstLine="1000"/>
        <w:rPr>
          <w:rFonts w:ascii="宋体" w:eastAsia="宋体" w:hAnsi="Calibri" w:cs="宋体"/>
          <w:spacing w:val="5"/>
          <w:kern w:val="0"/>
          <w:sz w:val="24"/>
        </w:rPr>
      </w:pPr>
    </w:p>
    <w:p w14:paraId="45D2DC3E" w14:textId="77777777" w:rsidR="00800011" w:rsidRPr="00800011" w:rsidRDefault="00800011" w:rsidP="00800011">
      <w:pPr>
        <w:autoSpaceDE w:val="0"/>
        <w:autoSpaceDN w:val="0"/>
        <w:adjustRightInd w:val="0"/>
        <w:snapToGrid w:val="0"/>
        <w:spacing w:line="500" w:lineRule="exact"/>
        <w:ind w:firstLineChars="400" w:firstLine="1000"/>
        <w:rPr>
          <w:rFonts w:ascii="宋体" w:eastAsia="宋体" w:hAnsi="Calibri" w:cs="宋体"/>
          <w:spacing w:val="5"/>
          <w:kern w:val="0"/>
          <w:sz w:val="24"/>
        </w:rPr>
      </w:pPr>
      <w:r w:rsidRPr="00800011">
        <w:rPr>
          <w:rFonts w:ascii="宋体" w:eastAsia="宋体" w:hAnsi="Calibri" w:cs="宋体" w:hint="eastAsia"/>
          <w:spacing w:val="5"/>
          <w:kern w:val="0"/>
          <w:sz w:val="24"/>
        </w:rPr>
        <w:t>表1-13男生耐力跑                   表1-14 女生耐力跑</w:t>
      </w:r>
    </w:p>
    <w:p w14:paraId="45582019"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800011">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800011" w:rsidRPr="00800011" w14:paraId="47C50875" w14:textId="77777777" w:rsidTr="00800011">
        <w:trPr>
          <w:trHeight w:val="288"/>
        </w:trPr>
        <w:tc>
          <w:tcPr>
            <w:tcW w:w="539" w:type="dxa"/>
            <w:vAlign w:val="center"/>
          </w:tcPr>
          <w:p w14:paraId="60D4364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等级</w:t>
            </w:r>
          </w:p>
        </w:tc>
        <w:tc>
          <w:tcPr>
            <w:tcW w:w="1100" w:type="dxa"/>
            <w:vAlign w:val="center"/>
          </w:tcPr>
          <w:p w14:paraId="4833EBE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单项</w:t>
            </w:r>
          </w:p>
          <w:p w14:paraId="0AEF000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得分</w:t>
            </w:r>
          </w:p>
        </w:tc>
        <w:tc>
          <w:tcPr>
            <w:tcW w:w="1256" w:type="dxa"/>
            <w:vAlign w:val="center"/>
          </w:tcPr>
          <w:p w14:paraId="0DDFC11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大一</w:t>
            </w:r>
          </w:p>
          <w:p w14:paraId="5C00497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大二</w:t>
            </w:r>
          </w:p>
        </w:tc>
        <w:tc>
          <w:tcPr>
            <w:tcW w:w="1256" w:type="dxa"/>
            <w:vAlign w:val="center"/>
          </w:tcPr>
          <w:p w14:paraId="120ED1C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大三</w:t>
            </w:r>
          </w:p>
          <w:p w14:paraId="5D9211E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大四</w:t>
            </w:r>
          </w:p>
        </w:tc>
      </w:tr>
      <w:tr w:rsidR="00800011" w:rsidRPr="00800011" w14:paraId="2F312FAA" w14:textId="77777777" w:rsidTr="00800011">
        <w:trPr>
          <w:trHeight w:val="288"/>
        </w:trPr>
        <w:tc>
          <w:tcPr>
            <w:tcW w:w="539" w:type="dxa"/>
            <w:vMerge w:val="restart"/>
            <w:vAlign w:val="center"/>
          </w:tcPr>
          <w:p w14:paraId="6CE245E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优秀</w:t>
            </w:r>
          </w:p>
        </w:tc>
        <w:tc>
          <w:tcPr>
            <w:tcW w:w="1100" w:type="dxa"/>
            <w:vAlign w:val="center"/>
          </w:tcPr>
          <w:p w14:paraId="3FA14B4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100</w:t>
            </w:r>
          </w:p>
        </w:tc>
        <w:tc>
          <w:tcPr>
            <w:tcW w:w="1256" w:type="dxa"/>
            <w:vAlign w:val="center"/>
          </w:tcPr>
          <w:p w14:paraId="29D17C7F"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3'17"</w:t>
            </w:r>
          </w:p>
        </w:tc>
        <w:tc>
          <w:tcPr>
            <w:tcW w:w="1256" w:type="dxa"/>
            <w:vAlign w:val="center"/>
          </w:tcPr>
          <w:p w14:paraId="64A1D339"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3'15"</w:t>
            </w:r>
          </w:p>
        </w:tc>
      </w:tr>
      <w:tr w:rsidR="00800011" w:rsidRPr="00800011" w14:paraId="47F06E85" w14:textId="77777777" w:rsidTr="00800011">
        <w:trPr>
          <w:trHeight w:val="288"/>
        </w:trPr>
        <w:tc>
          <w:tcPr>
            <w:tcW w:w="539" w:type="dxa"/>
            <w:vMerge/>
            <w:vAlign w:val="center"/>
          </w:tcPr>
          <w:p w14:paraId="0CFE4D33"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12E4591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95</w:t>
            </w:r>
          </w:p>
        </w:tc>
        <w:tc>
          <w:tcPr>
            <w:tcW w:w="1256" w:type="dxa"/>
            <w:vAlign w:val="center"/>
          </w:tcPr>
          <w:p w14:paraId="5D3AD711"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3'22"</w:t>
            </w:r>
          </w:p>
        </w:tc>
        <w:tc>
          <w:tcPr>
            <w:tcW w:w="1256" w:type="dxa"/>
            <w:vAlign w:val="center"/>
          </w:tcPr>
          <w:p w14:paraId="35598FDA"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3'20"</w:t>
            </w:r>
          </w:p>
        </w:tc>
      </w:tr>
      <w:tr w:rsidR="00800011" w:rsidRPr="00800011" w14:paraId="60115400" w14:textId="77777777" w:rsidTr="00800011">
        <w:trPr>
          <w:trHeight w:val="288"/>
        </w:trPr>
        <w:tc>
          <w:tcPr>
            <w:tcW w:w="539" w:type="dxa"/>
            <w:vMerge/>
            <w:shd w:val="clear" w:color="auto" w:fill="auto"/>
            <w:vAlign w:val="center"/>
          </w:tcPr>
          <w:p w14:paraId="6DCCB35D"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6109E8D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90</w:t>
            </w:r>
          </w:p>
        </w:tc>
        <w:tc>
          <w:tcPr>
            <w:tcW w:w="1256" w:type="dxa"/>
            <w:shd w:val="clear" w:color="auto" w:fill="D9D9D9"/>
            <w:vAlign w:val="center"/>
          </w:tcPr>
          <w:p w14:paraId="5435D22C"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3'27"</w:t>
            </w:r>
          </w:p>
        </w:tc>
        <w:tc>
          <w:tcPr>
            <w:tcW w:w="1256" w:type="dxa"/>
            <w:shd w:val="clear" w:color="auto" w:fill="D9D9D9"/>
            <w:vAlign w:val="center"/>
          </w:tcPr>
          <w:p w14:paraId="2FCCD4ED"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3'25"</w:t>
            </w:r>
          </w:p>
        </w:tc>
      </w:tr>
      <w:tr w:rsidR="00800011" w:rsidRPr="00800011" w14:paraId="78334397" w14:textId="77777777" w:rsidTr="00800011">
        <w:trPr>
          <w:trHeight w:val="288"/>
        </w:trPr>
        <w:tc>
          <w:tcPr>
            <w:tcW w:w="539" w:type="dxa"/>
            <w:vMerge w:val="restart"/>
            <w:vAlign w:val="center"/>
          </w:tcPr>
          <w:p w14:paraId="13D05DE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良好</w:t>
            </w:r>
          </w:p>
        </w:tc>
        <w:tc>
          <w:tcPr>
            <w:tcW w:w="1100" w:type="dxa"/>
            <w:vAlign w:val="center"/>
          </w:tcPr>
          <w:p w14:paraId="3BAFB2A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85</w:t>
            </w:r>
          </w:p>
        </w:tc>
        <w:tc>
          <w:tcPr>
            <w:tcW w:w="1256" w:type="dxa"/>
            <w:vAlign w:val="center"/>
          </w:tcPr>
          <w:p w14:paraId="5E655F92"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3'34"</w:t>
            </w:r>
          </w:p>
        </w:tc>
        <w:tc>
          <w:tcPr>
            <w:tcW w:w="1256" w:type="dxa"/>
            <w:vAlign w:val="center"/>
          </w:tcPr>
          <w:p w14:paraId="72105900"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3'32"</w:t>
            </w:r>
          </w:p>
        </w:tc>
      </w:tr>
      <w:tr w:rsidR="00800011" w:rsidRPr="00800011" w14:paraId="023EAB28" w14:textId="77777777" w:rsidTr="00800011">
        <w:trPr>
          <w:trHeight w:val="288"/>
        </w:trPr>
        <w:tc>
          <w:tcPr>
            <w:tcW w:w="539" w:type="dxa"/>
            <w:vMerge/>
            <w:shd w:val="clear" w:color="auto" w:fill="auto"/>
            <w:vAlign w:val="center"/>
          </w:tcPr>
          <w:p w14:paraId="61B4FBF4"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7732A27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80</w:t>
            </w:r>
          </w:p>
        </w:tc>
        <w:tc>
          <w:tcPr>
            <w:tcW w:w="1256" w:type="dxa"/>
            <w:shd w:val="clear" w:color="auto" w:fill="D9D9D9"/>
            <w:vAlign w:val="center"/>
          </w:tcPr>
          <w:p w14:paraId="6C8FC5D5"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3'42"</w:t>
            </w:r>
          </w:p>
        </w:tc>
        <w:tc>
          <w:tcPr>
            <w:tcW w:w="1256" w:type="dxa"/>
            <w:shd w:val="clear" w:color="auto" w:fill="D9D9D9"/>
            <w:vAlign w:val="center"/>
          </w:tcPr>
          <w:p w14:paraId="62A5807A"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3'40"</w:t>
            </w:r>
          </w:p>
        </w:tc>
      </w:tr>
      <w:tr w:rsidR="00800011" w:rsidRPr="00800011" w14:paraId="3FAC8A51" w14:textId="77777777" w:rsidTr="00800011">
        <w:trPr>
          <w:trHeight w:val="288"/>
        </w:trPr>
        <w:tc>
          <w:tcPr>
            <w:tcW w:w="539" w:type="dxa"/>
            <w:vMerge w:val="restart"/>
            <w:vAlign w:val="center"/>
          </w:tcPr>
          <w:p w14:paraId="3938C10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及格</w:t>
            </w:r>
          </w:p>
        </w:tc>
        <w:tc>
          <w:tcPr>
            <w:tcW w:w="1100" w:type="dxa"/>
            <w:vAlign w:val="center"/>
          </w:tcPr>
          <w:p w14:paraId="5152C6F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78</w:t>
            </w:r>
          </w:p>
        </w:tc>
        <w:tc>
          <w:tcPr>
            <w:tcW w:w="1256" w:type="dxa"/>
            <w:vAlign w:val="center"/>
          </w:tcPr>
          <w:p w14:paraId="6FA71DBC"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3'47"</w:t>
            </w:r>
          </w:p>
        </w:tc>
        <w:tc>
          <w:tcPr>
            <w:tcW w:w="1256" w:type="dxa"/>
            <w:vAlign w:val="center"/>
          </w:tcPr>
          <w:p w14:paraId="792C9DBE"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3'45"</w:t>
            </w:r>
          </w:p>
        </w:tc>
      </w:tr>
      <w:tr w:rsidR="00800011" w:rsidRPr="00800011" w14:paraId="4EE4396E" w14:textId="77777777" w:rsidTr="00800011">
        <w:trPr>
          <w:trHeight w:val="288"/>
        </w:trPr>
        <w:tc>
          <w:tcPr>
            <w:tcW w:w="539" w:type="dxa"/>
            <w:vMerge/>
            <w:vAlign w:val="center"/>
          </w:tcPr>
          <w:p w14:paraId="59432ED9"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01692A7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76</w:t>
            </w:r>
          </w:p>
        </w:tc>
        <w:tc>
          <w:tcPr>
            <w:tcW w:w="1256" w:type="dxa"/>
            <w:vAlign w:val="center"/>
          </w:tcPr>
          <w:p w14:paraId="3A8F5686"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3'52"</w:t>
            </w:r>
          </w:p>
        </w:tc>
        <w:tc>
          <w:tcPr>
            <w:tcW w:w="1256" w:type="dxa"/>
            <w:vAlign w:val="center"/>
          </w:tcPr>
          <w:p w14:paraId="27F7221B"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3'50"</w:t>
            </w:r>
          </w:p>
        </w:tc>
      </w:tr>
      <w:tr w:rsidR="00800011" w:rsidRPr="00800011" w14:paraId="75151872" w14:textId="77777777" w:rsidTr="00800011">
        <w:trPr>
          <w:trHeight w:val="288"/>
        </w:trPr>
        <w:tc>
          <w:tcPr>
            <w:tcW w:w="539" w:type="dxa"/>
            <w:vMerge/>
            <w:vAlign w:val="center"/>
          </w:tcPr>
          <w:p w14:paraId="247BFFB6"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440DBF4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74</w:t>
            </w:r>
          </w:p>
        </w:tc>
        <w:tc>
          <w:tcPr>
            <w:tcW w:w="1256" w:type="dxa"/>
            <w:vAlign w:val="center"/>
          </w:tcPr>
          <w:p w14:paraId="5E702903"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3'57"</w:t>
            </w:r>
          </w:p>
        </w:tc>
        <w:tc>
          <w:tcPr>
            <w:tcW w:w="1256" w:type="dxa"/>
            <w:vAlign w:val="center"/>
          </w:tcPr>
          <w:p w14:paraId="0FE23B99"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3'55"</w:t>
            </w:r>
          </w:p>
        </w:tc>
      </w:tr>
      <w:tr w:rsidR="00800011" w:rsidRPr="00800011" w14:paraId="262EBCE5" w14:textId="77777777" w:rsidTr="00800011">
        <w:trPr>
          <w:trHeight w:val="288"/>
        </w:trPr>
        <w:tc>
          <w:tcPr>
            <w:tcW w:w="539" w:type="dxa"/>
            <w:vMerge/>
            <w:vAlign w:val="center"/>
          </w:tcPr>
          <w:p w14:paraId="4557D2A3"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5388F8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72</w:t>
            </w:r>
          </w:p>
        </w:tc>
        <w:tc>
          <w:tcPr>
            <w:tcW w:w="1256" w:type="dxa"/>
            <w:vAlign w:val="center"/>
          </w:tcPr>
          <w:p w14:paraId="75E81A57"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4'02"</w:t>
            </w:r>
          </w:p>
        </w:tc>
        <w:tc>
          <w:tcPr>
            <w:tcW w:w="1256" w:type="dxa"/>
            <w:vAlign w:val="center"/>
          </w:tcPr>
          <w:p w14:paraId="6447810D"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4'00"</w:t>
            </w:r>
          </w:p>
        </w:tc>
      </w:tr>
      <w:tr w:rsidR="00800011" w:rsidRPr="00800011" w14:paraId="42041D2E" w14:textId="77777777" w:rsidTr="00800011">
        <w:trPr>
          <w:trHeight w:val="288"/>
        </w:trPr>
        <w:tc>
          <w:tcPr>
            <w:tcW w:w="539" w:type="dxa"/>
            <w:vMerge/>
            <w:vAlign w:val="center"/>
          </w:tcPr>
          <w:p w14:paraId="6A11699E"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390DB6B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70</w:t>
            </w:r>
          </w:p>
        </w:tc>
        <w:tc>
          <w:tcPr>
            <w:tcW w:w="1256" w:type="dxa"/>
            <w:vAlign w:val="center"/>
          </w:tcPr>
          <w:p w14:paraId="5E27DFBA"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4'07"</w:t>
            </w:r>
          </w:p>
        </w:tc>
        <w:tc>
          <w:tcPr>
            <w:tcW w:w="1256" w:type="dxa"/>
            <w:vAlign w:val="center"/>
          </w:tcPr>
          <w:p w14:paraId="3ABEBA76"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4'05"</w:t>
            </w:r>
          </w:p>
        </w:tc>
      </w:tr>
      <w:tr w:rsidR="00800011" w:rsidRPr="00800011" w14:paraId="6FFA3A7B" w14:textId="77777777" w:rsidTr="00800011">
        <w:trPr>
          <w:trHeight w:val="288"/>
        </w:trPr>
        <w:tc>
          <w:tcPr>
            <w:tcW w:w="539" w:type="dxa"/>
            <w:vMerge/>
            <w:vAlign w:val="center"/>
          </w:tcPr>
          <w:p w14:paraId="32E03F29"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FE3CC6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68</w:t>
            </w:r>
          </w:p>
        </w:tc>
        <w:tc>
          <w:tcPr>
            <w:tcW w:w="1256" w:type="dxa"/>
            <w:vAlign w:val="center"/>
          </w:tcPr>
          <w:p w14:paraId="41247FD4"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4'12"</w:t>
            </w:r>
          </w:p>
        </w:tc>
        <w:tc>
          <w:tcPr>
            <w:tcW w:w="1256" w:type="dxa"/>
            <w:vAlign w:val="center"/>
          </w:tcPr>
          <w:p w14:paraId="3048B2A5"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4'10"</w:t>
            </w:r>
          </w:p>
        </w:tc>
      </w:tr>
      <w:tr w:rsidR="00800011" w:rsidRPr="00800011" w14:paraId="16A19194" w14:textId="77777777" w:rsidTr="00800011">
        <w:trPr>
          <w:trHeight w:val="288"/>
        </w:trPr>
        <w:tc>
          <w:tcPr>
            <w:tcW w:w="539" w:type="dxa"/>
            <w:vMerge/>
            <w:vAlign w:val="center"/>
          </w:tcPr>
          <w:p w14:paraId="6DA27904"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0D0983D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66</w:t>
            </w:r>
          </w:p>
        </w:tc>
        <w:tc>
          <w:tcPr>
            <w:tcW w:w="1256" w:type="dxa"/>
            <w:vAlign w:val="center"/>
          </w:tcPr>
          <w:p w14:paraId="4114A767"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4'17"</w:t>
            </w:r>
          </w:p>
        </w:tc>
        <w:tc>
          <w:tcPr>
            <w:tcW w:w="1256" w:type="dxa"/>
            <w:vAlign w:val="center"/>
          </w:tcPr>
          <w:p w14:paraId="5066E665"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4'15"</w:t>
            </w:r>
          </w:p>
        </w:tc>
      </w:tr>
      <w:tr w:rsidR="00800011" w:rsidRPr="00800011" w14:paraId="38A1A61E" w14:textId="77777777" w:rsidTr="00800011">
        <w:trPr>
          <w:trHeight w:val="288"/>
        </w:trPr>
        <w:tc>
          <w:tcPr>
            <w:tcW w:w="539" w:type="dxa"/>
            <w:vMerge/>
            <w:vAlign w:val="center"/>
          </w:tcPr>
          <w:p w14:paraId="4F5A88EC"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F439B6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64</w:t>
            </w:r>
          </w:p>
        </w:tc>
        <w:tc>
          <w:tcPr>
            <w:tcW w:w="1256" w:type="dxa"/>
            <w:vAlign w:val="center"/>
          </w:tcPr>
          <w:p w14:paraId="3FACA351"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4'22"</w:t>
            </w:r>
          </w:p>
        </w:tc>
        <w:tc>
          <w:tcPr>
            <w:tcW w:w="1256" w:type="dxa"/>
            <w:vAlign w:val="center"/>
          </w:tcPr>
          <w:p w14:paraId="5D02346A"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4'20"</w:t>
            </w:r>
          </w:p>
        </w:tc>
      </w:tr>
      <w:tr w:rsidR="00800011" w:rsidRPr="00800011" w14:paraId="58FEE332" w14:textId="77777777" w:rsidTr="00800011">
        <w:trPr>
          <w:trHeight w:val="288"/>
        </w:trPr>
        <w:tc>
          <w:tcPr>
            <w:tcW w:w="539" w:type="dxa"/>
            <w:vMerge/>
            <w:vAlign w:val="center"/>
          </w:tcPr>
          <w:p w14:paraId="2C6E9E0C"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2AB2015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62</w:t>
            </w:r>
          </w:p>
        </w:tc>
        <w:tc>
          <w:tcPr>
            <w:tcW w:w="1256" w:type="dxa"/>
            <w:vAlign w:val="center"/>
          </w:tcPr>
          <w:p w14:paraId="09EA04F4"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4'27"</w:t>
            </w:r>
          </w:p>
        </w:tc>
        <w:tc>
          <w:tcPr>
            <w:tcW w:w="1256" w:type="dxa"/>
            <w:vAlign w:val="center"/>
          </w:tcPr>
          <w:p w14:paraId="71CCCDC5"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4'25"</w:t>
            </w:r>
          </w:p>
        </w:tc>
      </w:tr>
      <w:tr w:rsidR="00800011" w:rsidRPr="00800011" w14:paraId="270D272F" w14:textId="77777777" w:rsidTr="00800011">
        <w:trPr>
          <w:trHeight w:val="288"/>
        </w:trPr>
        <w:tc>
          <w:tcPr>
            <w:tcW w:w="539" w:type="dxa"/>
            <w:vMerge/>
            <w:shd w:val="clear" w:color="auto" w:fill="auto"/>
            <w:vAlign w:val="center"/>
          </w:tcPr>
          <w:p w14:paraId="455ECCE8"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60E7AEA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60</w:t>
            </w:r>
          </w:p>
        </w:tc>
        <w:tc>
          <w:tcPr>
            <w:tcW w:w="1256" w:type="dxa"/>
            <w:shd w:val="clear" w:color="auto" w:fill="D9D9D9"/>
            <w:vAlign w:val="center"/>
          </w:tcPr>
          <w:p w14:paraId="33243CB9"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4'32"</w:t>
            </w:r>
          </w:p>
        </w:tc>
        <w:tc>
          <w:tcPr>
            <w:tcW w:w="1256" w:type="dxa"/>
            <w:shd w:val="clear" w:color="auto" w:fill="D9D9D9"/>
            <w:vAlign w:val="center"/>
          </w:tcPr>
          <w:p w14:paraId="103A48F2"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4'30"</w:t>
            </w:r>
          </w:p>
        </w:tc>
      </w:tr>
      <w:tr w:rsidR="00800011" w:rsidRPr="00800011" w14:paraId="4B12A2DA" w14:textId="77777777" w:rsidTr="00800011">
        <w:trPr>
          <w:trHeight w:val="288"/>
        </w:trPr>
        <w:tc>
          <w:tcPr>
            <w:tcW w:w="539" w:type="dxa"/>
            <w:vMerge w:val="restart"/>
            <w:vAlign w:val="center"/>
          </w:tcPr>
          <w:p w14:paraId="3EA5038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不及格</w:t>
            </w:r>
          </w:p>
        </w:tc>
        <w:tc>
          <w:tcPr>
            <w:tcW w:w="1100" w:type="dxa"/>
            <w:vAlign w:val="center"/>
          </w:tcPr>
          <w:p w14:paraId="5B860B0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50</w:t>
            </w:r>
          </w:p>
        </w:tc>
        <w:tc>
          <w:tcPr>
            <w:tcW w:w="1256" w:type="dxa"/>
            <w:vAlign w:val="center"/>
          </w:tcPr>
          <w:p w14:paraId="40618DA4"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4'52"</w:t>
            </w:r>
          </w:p>
        </w:tc>
        <w:tc>
          <w:tcPr>
            <w:tcW w:w="1256" w:type="dxa"/>
            <w:vAlign w:val="center"/>
          </w:tcPr>
          <w:p w14:paraId="7983A9B6"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4'50"</w:t>
            </w:r>
          </w:p>
        </w:tc>
      </w:tr>
      <w:tr w:rsidR="00800011" w:rsidRPr="00800011" w14:paraId="6F4EEE3A" w14:textId="77777777" w:rsidTr="00800011">
        <w:trPr>
          <w:trHeight w:val="288"/>
        </w:trPr>
        <w:tc>
          <w:tcPr>
            <w:tcW w:w="539" w:type="dxa"/>
            <w:vMerge/>
            <w:vAlign w:val="center"/>
          </w:tcPr>
          <w:p w14:paraId="24FE693A"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4F179C5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40</w:t>
            </w:r>
          </w:p>
        </w:tc>
        <w:tc>
          <w:tcPr>
            <w:tcW w:w="1256" w:type="dxa"/>
            <w:vAlign w:val="center"/>
          </w:tcPr>
          <w:p w14:paraId="57D61112"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5'12"</w:t>
            </w:r>
          </w:p>
        </w:tc>
        <w:tc>
          <w:tcPr>
            <w:tcW w:w="1256" w:type="dxa"/>
            <w:vAlign w:val="center"/>
          </w:tcPr>
          <w:p w14:paraId="4A59BA5A"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5'10"</w:t>
            </w:r>
          </w:p>
        </w:tc>
      </w:tr>
      <w:tr w:rsidR="00800011" w:rsidRPr="00800011" w14:paraId="37405522" w14:textId="77777777" w:rsidTr="00800011">
        <w:trPr>
          <w:trHeight w:val="288"/>
        </w:trPr>
        <w:tc>
          <w:tcPr>
            <w:tcW w:w="539" w:type="dxa"/>
            <w:vMerge/>
            <w:vAlign w:val="center"/>
          </w:tcPr>
          <w:p w14:paraId="4216179D"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6494B54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30</w:t>
            </w:r>
          </w:p>
        </w:tc>
        <w:tc>
          <w:tcPr>
            <w:tcW w:w="1256" w:type="dxa"/>
            <w:vAlign w:val="center"/>
          </w:tcPr>
          <w:p w14:paraId="37FB5D6E"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5'32"</w:t>
            </w:r>
          </w:p>
        </w:tc>
        <w:tc>
          <w:tcPr>
            <w:tcW w:w="1256" w:type="dxa"/>
            <w:vAlign w:val="center"/>
          </w:tcPr>
          <w:p w14:paraId="413C095F"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5'30"</w:t>
            </w:r>
          </w:p>
        </w:tc>
      </w:tr>
      <w:tr w:rsidR="00800011" w:rsidRPr="00800011" w14:paraId="3F0AEE17" w14:textId="77777777" w:rsidTr="00800011">
        <w:trPr>
          <w:trHeight w:val="288"/>
        </w:trPr>
        <w:tc>
          <w:tcPr>
            <w:tcW w:w="539" w:type="dxa"/>
            <w:vMerge/>
            <w:vAlign w:val="center"/>
          </w:tcPr>
          <w:p w14:paraId="3A0EC81A"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641F639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20</w:t>
            </w:r>
          </w:p>
        </w:tc>
        <w:tc>
          <w:tcPr>
            <w:tcW w:w="1256" w:type="dxa"/>
            <w:vAlign w:val="center"/>
          </w:tcPr>
          <w:p w14:paraId="233D5388"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5'52"</w:t>
            </w:r>
          </w:p>
        </w:tc>
        <w:tc>
          <w:tcPr>
            <w:tcW w:w="1256" w:type="dxa"/>
            <w:vAlign w:val="center"/>
          </w:tcPr>
          <w:p w14:paraId="02BA458D"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5'50"</w:t>
            </w:r>
          </w:p>
        </w:tc>
      </w:tr>
      <w:tr w:rsidR="00800011" w:rsidRPr="00800011" w14:paraId="6F10635C" w14:textId="77777777" w:rsidTr="00800011">
        <w:trPr>
          <w:trHeight w:val="288"/>
        </w:trPr>
        <w:tc>
          <w:tcPr>
            <w:tcW w:w="539" w:type="dxa"/>
            <w:vMerge/>
            <w:vAlign w:val="center"/>
          </w:tcPr>
          <w:p w14:paraId="215CC738"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7F53782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w:t>
            </w:r>
          </w:p>
        </w:tc>
        <w:tc>
          <w:tcPr>
            <w:tcW w:w="1256" w:type="dxa"/>
            <w:vAlign w:val="center"/>
          </w:tcPr>
          <w:p w14:paraId="40361F1A"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6'12"</w:t>
            </w:r>
          </w:p>
        </w:tc>
        <w:tc>
          <w:tcPr>
            <w:tcW w:w="1256" w:type="dxa"/>
            <w:vAlign w:val="center"/>
          </w:tcPr>
          <w:p w14:paraId="775410AB"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6'10"</w:t>
            </w:r>
          </w:p>
        </w:tc>
      </w:tr>
    </w:tbl>
    <w:p w14:paraId="62C0A858" w14:textId="77777777" w:rsidR="00800011" w:rsidRPr="00800011" w:rsidRDefault="00800011" w:rsidP="00800011">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800011" w:rsidRPr="00800011" w14:paraId="7F8896FE" w14:textId="77777777" w:rsidTr="00800011">
        <w:trPr>
          <w:trHeight w:val="288"/>
        </w:trPr>
        <w:tc>
          <w:tcPr>
            <w:tcW w:w="539" w:type="dxa"/>
            <w:vAlign w:val="center"/>
          </w:tcPr>
          <w:p w14:paraId="140735C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等级</w:t>
            </w:r>
          </w:p>
        </w:tc>
        <w:tc>
          <w:tcPr>
            <w:tcW w:w="1100" w:type="dxa"/>
            <w:vAlign w:val="center"/>
          </w:tcPr>
          <w:p w14:paraId="73A6C5C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单项</w:t>
            </w:r>
          </w:p>
          <w:p w14:paraId="5FFEE6E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得分</w:t>
            </w:r>
          </w:p>
        </w:tc>
        <w:tc>
          <w:tcPr>
            <w:tcW w:w="1255" w:type="dxa"/>
            <w:vAlign w:val="center"/>
          </w:tcPr>
          <w:p w14:paraId="50EDAE0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大一</w:t>
            </w:r>
          </w:p>
          <w:p w14:paraId="493AD2A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大二</w:t>
            </w:r>
          </w:p>
        </w:tc>
        <w:tc>
          <w:tcPr>
            <w:tcW w:w="1256" w:type="dxa"/>
            <w:vAlign w:val="center"/>
          </w:tcPr>
          <w:p w14:paraId="70B1529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大三</w:t>
            </w:r>
          </w:p>
          <w:p w14:paraId="5DBB8FC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大四</w:t>
            </w:r>
          </w:p>
        </w:tc>
      </w:tr>
      <w:tr w:rsidR="00800011" w:rsidRPr="00800011" w14:paraId="61EA2E22" w14:textId="77777777" w:rsidTr="00800011">
        <w:trPr>
          <w:trHeight w:val="288"/>
        </w:trPr>
        <w:tc>
          <w:tcPr>
            <w:tcW w:w="539" w:type="dxa"/>
            <w:vMerge w:val="restart"/>
            <w:vAlign w:val="center"/>
          </w:tcPr>
          <w:p w14:paraId="3615813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优秀</w:t>
            </w:r>
          </w:p>
        </w:tc>
        <w:tc>
          <w:tcPr>
            <w:tcW w:w="1100" w:type="dxa"/>
            <w:vAlign w:val="center"/>
          </w:tcPr>
          <w:p w14:paraId="720AE70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100</w:t>
            </w:r>
          </w:p>
        </w:tc>
        <w:tc>
          <w:tcPr>
            <w:tcW w:w="1255" w:type="dxa"/>
            <w:vAlign w:val="center"/>
          </w:tcPr>
          <w:p w14:paraId="274E05C2"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3'18"</w:t>
            </w:r>
          </w:p>
        </w:tc>
        <w:tc>
          <w:tcPr>
            <w:tcW w:w="1256" w:type="dxa"/>
            <w:vAlign w:val="center"/>
          </w:tcPr>
          <w:p w14:paraId="773FB405"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3'16"</w:t>
            </w:r>
          </w:p>
        </w:tc>
      </w:tr>
      <w:tr w:rsidR="00800011" w:rsidRPr="00800011" w14:paraId="4DB4C486" w14:textId="77777777" w:rsidTr="00800011">
        <w:trPr>
          <w:trHeight w:val="288"/>
        </w:trPr>
        <w:tc>
          <w:tcPr>
            <w:tcW w:w="539" w:type="dxa"/>
            <w:vMerge/>
            <w:vAlign w:val="center"/>
          </w:tcPr>
          <w:p w14:paraId="6FF8B42D"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33251CC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95</w:t>
            </w:r>
          </w:p>
        </w:tc>
        <w:tc>
          <w:tcPr>
            <w:tcW w:w="1255" w:type="dxa"/>
            <w:vAlign w:val="center"/>
          </w:tcPr>
          <w:p w14:paraId="31CDF701"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3'24"</w:t>
            </w:r>
          </w:p>
        </w:tc>
        <w:tc>
          <w:tcPr>
            <w:tcW w:w="1256" w:type="dxa"/>
            <w:vAlign w:val="center"/>
          </w:tcPr>
          <w:p w14:paraId="4589ACBE"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3'22"</w:t>
            </w:r>
          </w:p>
        </w:tc>
      </w:tr>
      <w:tr w:rsidR="00800011" w:rsidRPr="00800011" w14:paraId="45BFB283" w14:textId="77777777" w:rsidTr="00800011">
        <w:trPr>
          <w:trHeight w:val="288"/>
        </w:trPr>
        <w:tc>
          <w:tcPr>
            <w:tcW w:w="539" w:type="dxa"/>
            <w:vMerge/>
            <w:shd w:val="clear" w:color="auto" w:fill="auto"/>
            <w:vAlign w:val="center"/>
          </w:tcPr>
          <w:p w14:paraId="2AE417CE"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0B720C7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90</w:t>
            </w:r>
          </w:p>
        </w:tc>
        <w:tc>
          <w:tcPr>
            <w:tcW w:w="1255" w:type="dxa"/>
            <w:shd w:val="clear" w:color="auto" w:fill="D9D9D9"/>
            <w:vAlign w:val="center"/>
          </w:tcPr>
          <w:p w14:paraId="3155B1F0"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3'30"</w:t>
            </w:r>
          </w:p>
        </w:tc>
        <w:tc>
          <w:tcPr>
            <w:tcW w:w="1256" w:type="dxa"/>
            <w:shd w:val="clear" w:color="auto" w:fill="D9D9D9"/>
            <w:vAlign w:val="center"/>
          </w:tcPr>
          <w:p w14:paraId="3F980334"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3'28"</w:t>
            </w:r>
          </w:p>
        </w:tc>
      </w:tr>
      <w:tr w:rsidR="00800011" w:rsidRPr="00800011" w14:paraId="08B1EFA3" w14:textId="77777777" w:rsidTr="00800011">
        <w:trPr>
          <w:trHeight w:val="288"/>
        </w:trPr>
        <w:tc>
          <w:tcPr>
            <w:tcW w:w="539" w:type="dxa"/>
            <w:vMerge w:val="restart"/>
            <w:vAlign w:val="center"/>
          </w:tcPr>
          <w:p w14:paraId="6630368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良好</w:t>
            </w:r>
          </w:p>
        </w:tc>
        <w:tc>
          <w:tcPr>
            <w:tcW w:w="1100" w:type="dxa"/>
            <w:vAlign w:val="center"/>
          </w:tcPr>
          <w:p w14:paraId="62A8212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85</w:t>
            </w:r>
          </w:p>
        </w:tc>
        <w:tc>
          <w:tcPr>
            <w:tcW w:w="1255" w:type="dxa"/>
            <w:vAlign w:val="center"/>
          </w:tcPr>
          <w:p w14:paraId="670C754F"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3'37"</w:t>
            </w:r>
          </w:p>
        </w:tc>
        <w:tc>
          <w:tcPr>
            <w:tcW w:w="1256" w:type="dxa"/>
            <w:vAlign w:val="center"/>
          </w:tcPr>
          <w:p w14:paraId="63FD54FA"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3'35"</w:t>
            </w:r>
          </w:p>
        </w:tc>
      </w:tr>
      <w:tr w:rsidR="00800011" w:rsidRPr="00800011" w14:paraId="45D607C8" w14:textId="77777777" w:rsidTr="00800011">
        <w:trPr>
          <w:trHeight w:val="288"/>
        </w:trPr>
        <w:tc>
          <w:tcPr>
            <w:tcW w:w="539" w:type="dxa"/>
            <w:vMerge/>
            <w:shd w:val="clear" w:color="auto" w:fill="auto"/>
            <w:vAlign w:val="center"/>
          </w:tcPr>
          <w:p w14:paraId="2D42FA83"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7D91333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80</w:t>
            </w:r>
          </w:p>
        </w:tc>
        <w:tc>
          <w:tcPr>
            <w:tcW w:w="1255" w:type="dxa"/>
            <w:shd w:val="clear" w:color="auto" w:fill="D9D9D9"/>
            <w:vAlign w:val="center"/>
          </w:tcPr>
          <w:p w14:paraId="466633E6"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3'44"</w:t>
            </w:r>
          </w:p>
        </w:tc>
        <w:tc>
          <w:tcPr>
            <w:tcW w:w="1256" w:type="dxa"/>
            <w:shd w:val="clear" w:color="auto" w:fill="D9D9D9"/>
            <w:vAlign w:val="center"/>
          </w:tcPr>
          <w:p w14:paraId="59E1C882"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3'42"</w:t>
            </w:r>
          </w:p>
        </w:tc>
      </w:tr>
      <w:tr w:rsidR="00800011" w:rsidRPr="00800011" w14:paraId="6DFD195D" w14:textId="77777777" w:rsidTr="00800011">
        <w:trPr>
          <w:trHeight w:val="288"/>
        </w:trPr>
        <w:tc>
          <w:tcPr>
            <w:tcW w:w="539" w:type="dxa"/>
            <w:vMerge w:val="restart"/>
            <w:vAlign w:val="center"/>
          </w:tcPr>
          <w:p w14:paraId="3EF5545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及格</w:t>
            </w:r>
          </w:p>
        </w:tc>
        <w:tc>
          <w:tcPr>
            <w:tcW w:w="1100" w:type="dxa"/>
            <w:vAlign w:val="center"/>
          </w:tcPr>
          <w:p w14:paraId="64B1F29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78</w:t>
            </w:r>
          </w:p>
        </w:tc>
        <w:tc>
          <w:tcPr>
            <w:tcW w:w="1255" w:type="dxa"/>
            <w:vAlign w:val="center"/>
          </w:tcPr>
          <w:p w14:paraId="19B441EE"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3'49"</w:t>
            </w:r>
          </w:p>
        </w:tc>
        <w:tc>
          <w:tcPr>
            <w:tcW w:w="1256" w:type="dxa"/>
            <w:vAlign w:val="center"/>
          </w:tcPr>
          <w:p w14:paraId="33520E58"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3'47"</w:t>
            </w:r>
          </w:p>
        </w:tc>
      </w:tr>
      <w:tr w:rsidR="00800011" w:rsidRPr="00800011" w14:paraId="6F65F1AF" w14:textId="77777777" w:rsidTr="00800011">
        <w:trPr>
          <w:trHeight w:val="288"/>
        </w:trPr>
        <w:tc>
          <w:tcPr>
            <w:tcW w:w="539" w:type="dxa"/>
            <w:vMerge/>
            <w:vAlign w:val="center"/>
          </w:tcPr>
          <w:p w14:paraId="21C2E4FF"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4CD7C6C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76</w:t>
            </w:r>
          </w:p>
        </w:tc>
        <w:tc>
          <w:tcPr>
            <w:tcW w:w="1255" w:type="dxa"/>
            <w:vAlign w:val="center"/>
          </w:tcPr>
          <w:p w14:paraId="0CF2A135"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3'54"</w:t>
            </w:r>
          </w:p>
        </w:tc>
        <w:tc>
          <w:tcPr>
            <w:tcW w:w="1256" w:type="dxa"/>
            <w:vAlign w:val="center"/>
          </w:tcPr>
          <w:p w14:paraId="531F35F6"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3'52"</w:t>
            </w:r>
          </w:p>
        </w:tc>
      </w:tr>
      <w:tr w:rsidR="00800011" w:rsidRPr="00800011" w14:paraId="729B3D69" w14:textId="77777777" w:rsidTr="00800011">
        <w:trPr>
          <w:trHeight w:val="288"/>
        </w:trPr>
        <w:tc>
          <w:tcPr>
            <w:tcW w:w="539" w:type="dxa"/>
            <w:vMerge/>
            <w:vAlign w:val="center"/>
          </w:tcPr>
          <w:p w14:paraId="34F5C62E"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3C0931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74</w:t>
            </w:r>
          </w:p>
        </w:tc>
        <w:tc>
          <w:tcPr>
            <w:tcW w:w="1255" w:type="dxa"/>
            <w:vAlign w:val="center"/>
          </w:tcPr>
          <w:p w14:paraId="1DD71ADE"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3'59"</w:t>
            </w:r>
          </w:p>
        </w:tc>
        <w:tc>
          <w:tcPr>
            <w:tcW w:w="1256" w:type="dxa"/>
            <w:vAlign w:val="center"/>
          </w:tcPr>
          <w:p w14:paraId="602E7DC1"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3'57"</w:t>
            </w:r>
          </w:p>
        </w:tc>
      </w:tr>
      <w:tr w:rsidR="00800011" w:rsidRPr="00800011" w14:paraId="63BE5E1D" w14:textId="77777777" w:rsidTr="00800011">
        <w:trPr>
          <w:trHeight w:val="288"/>
        </w:trPr>
        <w:tc>
          <w:tcPr>
            <w:tcW w:w="539" w:type="dxa"/>
            <w:vMerge/>
            <w:vAlign w:val="center"/>
          </w:tcPr>
          <w:p w14:paraId="488FDF5A"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278636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72</w:t>
            </w:r>
          </w:p>
        </w:tc>
        <w:tc>
          <w:tcPr>
            <w:tcW w:w="1255" w:type="dxa"/>
            <w:vAlign w:val="center"/>
          </w:tcPr>
          <w:p w14:paraId="6F8B1D5E"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4'04"</w:t>
            </w:r>
          </w:p>
        </w:tc>
        <w:tc>
          <w:tcPr>
            <w:tcW w:w="1256" w:type="dxa"/>
            <w:vAlign w:val="center"/>
          </w:tcPr>
          <w:p w14:paraId="46F29802"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4'02"</w:t>
            </w:r>
          </w:p>
        </w:tc>
      </w:tr>
      <w:tr w:rsidR="00800011" w:rsidRPr="00800011" w14:paraId="673A2B8B" w14:textId="77777777" w:rsidTr="00800011">
        <w:trPr>
          <w:trHeight w:val="288"/>
        </w:trPr>
        <w:tc>
          <w:tcPr>
            <w:tcW w:w="539" w:type="dxa"/>
            <w:vMerge/>
            <w:vAlign w:val="center"/>
          </w:tcPr>
          <w:p w14:paraId="192D7320"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7FA65E6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70</w:t>
            </w:r>
          </w:p>
        </w:tc>
        <w:tc>
          <w:tcPr>
            <w:tcW w:w="1255" w:type="dxa"/>
            <w:vAlign w:val="center"/>
          </w:tcPr>
          <w:p w14:paraId="2C7F7B38"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4'09"</w:t>
            </w:r>
          </w:p>
        </w:tc>
        <w:tc>
          <w:tcPr>
            <w:tcW w:w="1256" w:type="dxa"/>
            <w:vAlign w:val="center"/>
          </w:tcPr>
          <w:p w14:paraId="31A6CE04"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4'07"</w:t>
            </w:r>
          </w:p>
        </w:tc>
      </w:tr>
      <w:tr w:rsidR="00800011" w:rsidRPr="00800011" w14:paraId="51892195" w14:textId="77777777" w:rsidTr="00800011">
        <w:trPr>
          <w:trHeight w:val="288"/>
        </w:trPr>
        <w:tc>
          <w:tcPr>
            <w:tcW w:w="539" w:type="dxa"/>
            <w:vMerge/>
            <w:vAlign w:val="center"/>
          </w:tcPr>
          <w:p w14:paraId="3DA56743"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0D77412C"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68</w:t>
            </w:r>
          </w:p>
        </w:tc>
        <w:tc>
          <w:tcPr>
            <w:tcW w:w="1255" w:type="dxa"/>
            <w:vAlign w:val="center"/>
          </w:tcPr>
          <w:p w14:paraId="330BE191"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4'14"</w:t>
            </w:r>
          </w:p>
        </w:tc>
        <w:tc>
          <w:tcPr>
            <w:tcW w:w="1256" w:type="dxa"/>
            <w:vAlign w:val="center"/>
          </w:tcPr>
          <w:p w14:paraId="69D9546F"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4'12"</w:t>
            </w:r>
          </w:p>
        </w:tc>
      </w:tr>
      <w:tr w:rsidR="00800011" w:rsidRPr="00800011" w14:paraId="5E048429" w14:textId="77777777" w:rsidTr="00800011">
        <w:trPr>
          <w:trHeight w:val="288"/>
        </w:trPr>
        <w:tc>
          <w:tcPr>
            <w:tcW w:w="539" w:type="dxa"/>
            <w:vMerge/>
            <w:vAlign w:val="center"/>
          </w:tcPr>
          <w:p w14:paraId="14DA2341"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0F872B1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66</w:t>
            </w:r>
          </w:p>
        </w:tc>
        <w:tc>
          <w:tcPr>
            <w:tcW w:w="1255" w:type="dxa"/>
            <w:vAlign w:val="center"/>
          </w:tcPr>
          <w:p w14:paraId="4F8CC6DB"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4'19"</w:t>
            </w:r>
          </w:p>
        </w:tc>
        <w:tc>
          <w:tcPr>
            <w:tcW w:w="1256" w:type="dxa"/>
            <w:vAlign w:val="center"/>
          </w:tcPr>
          <w:p w14:paraId="66B58D8F"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4'17"</w:t>
            </w:r>
          </w:p>
        </w:tc>
      </w:tr>
      <w:tr w:rsidR="00800011" w:rsidRPr="00800011" w14:paraId="1FEE1E96" w14:textId="77777777" w:rsidTr="00800011">
        <w:trPr>
          <w:trHeight w:val="288"/>
        </w:trPr>
        <w:tc>
          <w:tcPr>
            <w:tcW w:w="539" w:type="dxa"/>
            <w:vMerge/>
            <w:vAlign w:val="center"/>
          </w:tcPr>
          <w:p w14:paraId="6E4EF13C"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65896A8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64</w:t>
            </w:r>
          </w:p>
        </w:tc>
        <w:tc>
          <w:tcPr>
            <w:tcW w:w="1255" w:type="dxa"/>
            <w:vAlign w:val="center"/>
          </w:tcPr>
          <w:p w14:paraId="63C9A8D1"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4'24"</w:t>
            </w:r>
          </w:p>
        </w:tc>
        <w:tc>
          <w:tcPr>
            <w:tcW w:w="1256" w:type="dxa"/>
            <w:vAlign w:val="center"/>
          </w:tcPr>
          <w:p w14:paraId="4A5E54F5"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4'22"</w:t>
            </w:r>
          </w:p>
        </w:tc>
      </w:tr>
      <w:tr w:rsidR="00800011" w:rsidRPr="00800011" w14:paraId="0AD79AA1" w14:textId="77777777" w:rsidTr="00800011">
        <w:trPr>
          <w:trHeight w:val="288"/>
        </w:trPr>
        <w:tc>
          <w:tcPr>
            <w:tcW w:w="539" w:type="dxa"/>
            <w:vMerge/>
            <w:vAlign w:val="center"/>
          </w:tcPr>
          <w:p w14:paraId="0D182355"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7210284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62</w:t>
            </w:r>
          </w:p>
        </w:tc>
        <w:tc>
          <w:tcPr>
            <w:tcW w:w="1255" w:type="dxa"/>
            <w:vAlign w:val="center"/>
          </w:tcPr>
          <w:p w14:paraId="70E51E2D"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4'29"</w:t>
            </w:r>
          </w:p>
        </w:tc>
        <w:tc>
          <w:tcPr>
            <w:tcW w:w="1256" w:type="dxa"/>
            <w:vAlign w:val="center"/>
          </w:tcPr>
          <w:p w14:paraId="20C3992A"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4'27"</w:t>
            </w:r>
          </w:p>
        </w:tc>
      </w:tr>
      <w:tr w:rsidR="00800011" w:rsidRPr="00800011" w14:paraId="61F5D571" w14:textId="77777777" w:rsidTr="00800011">
        <w:trPr>
          <w:trHeight w:val="288"/>
        </w:trPr>
        <w:tc>
          <w:tcPr>
            <w:tcW w:w="539" w:type="dxa"/>
            <w:vMerge/>
            <w:shd w:val="clear" w:color="auto" w:fill="auto"/>
            <w:vAlign w:val="center"/>
          </w:tcPr>
          <w:p w14:paraId="0C53D913" w14:textId="77777777" w:rsidR="00800011" w:rsidRPr="00800011" w:rsidRDefault="00800011" w:rsidP="00800011">
            <w:pPr>
              <w:widowControl/>
              <w:jc w:val="center"/>
              <w:rPr>
                <w:rFonts w:ascii="宋体" w:eastAsia="宋体" w:hAnsi="宋体" w:cs="宋体"/>
                <w:b/>
                <w:bCs/>
                <w:kern w:val="0"/>
                <w:sz w:val="22"/>
              </w:rPr>
            </w:pPr>
          </w:p>
        </w:tc>
        <w:tc>
          <w:tcPr>
            <w:tcW w:w="1100" w:type="dxa"/>
            <w:shd w:val="clear" w:color="auto" w:fill="D9D9D9"/>
            <w:vAlign w:val="center"/>
          </w:tcPr>
          <w:p w14:paraId="07BB656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60</w:t>
            </w:r>
          </w:p>
        </w:tc>
        <w:tc>
          <w:tcPr>
            <w:tcW w:w="1255" w:type="dxa"/>
            <w:shd w:val="clear" w:color="auto" w:fill="D9D9D9"/>
            <w:vAlign w:val="center"/>
          </w:tcPr>
          <w:p w14:paraId="3B2ED0ED"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4'34"</w:t>
            </w:r>
          </w:p>
        </w:tc>
        <w:tc>
          <w:tcPr>
            <w:tcW w:w="1256" w:type="dxa"/>
            <w:shd w:val="clear" w:color="auto" w:fill="D9D9D9"/>
            <w:vAlign w:val="center"/>
          </w:tcPr>
          <w:p w14:paraId="0E11F522"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4'32"</w:t>
            </w:r>
          </w:p>
        </w:tc>
      </w:tr>
      <w:tr w:rsidR="00800011" w:rsidRPr="00800011" w14:paraId="225E5383" w14:textId="77777777" w:rsidTr="00800011">
        <w:trPr>
          <w:trHeight w:val="288"/>
        </w:trPr>
        <w:tc>
          <w:tcPr>
            <w:tcW w:w="539" w:type="dxa"/>
            <w:vMerge w:val="restart"/>
            <w:vAlign w:val="center"/>
          </w:tcPr>
          <w:p w14:paraId="2F0A43D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不及格</w:t>
            </w:r>
          </w:p>
        </w:tc>
        <w:tc>
          <w:tcPr>
            <w:tcW w:w="1100" w:type="dxa"/>
            <w:vAlign w:val="center"/>
          </w:tcPr>
          <w:p w14:paraId="37D874C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50</w:t>
            </w:r>
          </w:p>
        </w:tc>
        <w:tc>
          <w:tcPr>
            <w:tcW w:w="1255" w:type="dxa"/>
            <w:vAlign w:val="center"/>
          </w:tcPr>
          <w:p w14:paraId="0603E310"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4'44"</w:t>
            </w:r>
          </w:p>
        </w:tc>
        <w:tc>
          <w:tcPr>
            <w:tcW w:w="1256" w:type="dxa"/>
            <w:vAlign w:val="center"/>
          </w:tcPr>
          <w:p w14:paraId="5E2A9335"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4'42"</w:t>
            </w:r>
          </w:p>
        </w:tc>
      </w:tr>
      <w:tr w:rsidR="00800011" w:rsidRPr="00800011" w14:paraId="21D28580" w14:textId="77777777" w:rsidTr="00800011">
        <w:trPr>
          <w:trHeight w:val="288"/>
        </w:trPr>
        <w:tc>
          <w:tcPr>
            <w:tcW w:w="539" w:type="dxa"/>
            <w:vMerge/>
            <w:vAlign w:val="center"/>
          </w:tcPr>
          <w:p w14:paraId="17B69AB7"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535A14F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40</w:t>
            </w:r>
          </w:p>
        </w:tc>
        <w:tc>
          <w:tcPr>
            <w:tcW w:w="1255" w:type="dxa"/>
            <w:vAlign w:val="center"/>
          </w:tcPr>
          <w:p w14:paraId="41E2B081"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4'54"</w:t>
            </w:r>
          </w:p>
        </w:tc>
        <w:tc>
          <w:tcPr>
            <w:tcW w:w="1256" w:type="dxa"/>
            <w:vAlign w:val="center"/>
          </w:tcPr>
          <w:p w14:paraId="309A12DD"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4'52"</w:t>
            </w:r>
          </w:p>
        </w:tc>
      </w:tr>
      <w:tr w:rsidR="00800011" w:rsidRPr="00800011" w14:paraId="1087AF6C" w14:textId="77777777" w:rsidTr="00800011">
        <w:trPr>
          <w:trHeight w:val="288"/>
        </w:trPr>
        <w:tc>
          <w:tcPr>
            <w:tcW w:w="539" w:type="dxa"/>
            <w:vMerge/>
            <w:vAlign w:val="center"/>
          </w:tcPr>
          <w:p w14:paraId="2458317B"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666EF51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30</w:t>
            </w:r>
          </w:p>
        </w:tc>
        <w:tc>
          <w:tcPr>
            <w:tcW w:w="1255" w:type="dxa"/>
            <w:vAlign w:val="center"/>
          </w:tcPr>
          <w:p w14:paraId="49BCDF59"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5'04"</w:t>
            </w:r>
          </w:p>
        </w:tc>
        <w:tc>
          <w:tcPr>
            <w:tcW w:w="1256" w:type="dxa"/>
            <w:vAlign w:val="center"/>
          </w:tcPr>
          <w:p w14:paraId="6DD1466D"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5'02"</w:t>
            </w:r>
          </w:p>
        </w:tc>
      </w:tr>
      <w:tr w:rsidR="00800011" w:rsidRPr="00800011" w14:paraId="1B29667B" w14:textId="77777777" w:rsidTr="00800011">
        <w:trPr>
          <w:trHeight w:val="288"/>
        </w:trPr>
        <w:tc>
          <w:tcPr>
            <w:tcW w:w="539" w:type="dxa"/>
            <w:vMerge/>
            <w:vAlign w:val="center"/>
          </w:tcPr>
          <w:p w14:paraId="40618465"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7820FF7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20</w:t>
            </w:r>
          </w:p>
        </w:tc>
        <w:tc>
          <w:tcPr>
            <w:tcW w:w="1255" w:type="dxa"/>
            <w:vAlign w:val="center"/>
          </w:tcPr>
          <w:p w14:paraId="24F46958"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5'14"</w:t>
            </w:r>
          </w:p>
        </w:tc>
        <w:tc>
          <w:tcPr>
            <w:tcW w:w="1256" w:type="dxa"/>
            <w:vAlign w:val="center"/>
          </w:tcPr>
          <w:p w14:paraId="4F7A1FF9"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5'12"</w:t>
            </w:r>
          </w:p>
        </w:tc>
      </w:tr>
      <w:tr w:rsidR="00800011" w:rsidRPr="00800011" w14:paraId="48482BE1" w14:textId="77777777" w:rsidTr="00800011">
        <w:trPr>
          <w:trHeight w:val="288"/>
        </w:trPr>
        <w:tc>
          <w:tcPr>
            <w:tcW w:w="539" w:type="dxa"/>
            <w:vMerge/>
            <w:vAlign w:val="center"/>
          </w:tcPr>
          <w:p w14:paraId="1E4D3A0D" w14:textId="77777777" w:rsidR="00800011" w:rsidRPr="00800011" w:rsidRDefault="00800011" w:rsidP="00800011">
            <w:pPr>
              <w:widowControl/>
              <w:jc w:val="center"/>
              <w:rPr>
                <w:rFonts w:ascii="宋体" w:eastAsia="宋体" w:hAnsi="宋体" w:cs="宋体"/>
                <w:b/>
                <w:bCs/>
                <w:kern w:val="0"/>
                <w:sz w:val="22"/>
              </w:rPr>
            </w:pPr>
          </w:p>
        </w:tc>
        <w:tc>
          <w:tcPr>
            <w:tcW w:w="1100" w:type="dxa"/>
            <w:vAlign w:val="center"/>
          </w:tcPr>
          <w:p w14:paraId="13B8D58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w:t>
            </w:r>
          </w:p>
        </w:tc>
        <w:tc>
          <w:tcPr>
            <w:tcW w:w="1255" w:type="dxa"/>
            <w:vAlign w:val="center"/>
          </w:tcPr>
          <w:p w14:paraId="34E33BA2"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5'24"</w:t>
            </w:r>
          </w:p>
        </w:tc>
        <w:tc>
          <w:tcPr>
            <w:tcW w:w="1256" w:type="dxa"/>
            <w:vAlign w:val="center"/>
          </w:tcPr>
          <w:p w14:paraId="0C738F2B" w14:textId="77777777" w:rsidR="00800011" w:rsidRPr="00800011" w:rsidRDefault="00800011" w:rsidP="00800011">
            <w:pPr>
              <w:jc w:val="center"/>
              <w:rPr>
                <w:rFonts w:ascii="Calibri" w:eastAsia="宋体" w:hAnsi="Calibri" w:cs="Times New Roman"/>
                <w:bCs/>
                <w:sz w:val="22"/>
              </w:rPr>
            </w:pPr>
            <w:r w:rsidRPr="00800011">
              <w:rPr>
                <w:rFonts w:ascii="Calibri" w:eastAsia="宋体" w:hAnsi="Calibri" w:cs="Times New Roman"/>
                <w:bCs/>
                <w:sz w:val="22"/>
              </w:rPr>
              <w:t>5'22"</w:t>
            </w:r>
          </w:p>
        </w:tc>
      </w:tr>
    </w:tbl>
    <w:p w14:paraId="13C8269D" w14:textId="77777777" w:rsidR="00800011" w:rsidRPr="00800011" w:rsidRDefault="00800011" w:rsidP="00800011">
      <w:pPr>
        <w:widowControl/>
        <w:rPr>
          <w:rFonts w:ascii="仿宋_GB2312" w:eastAsia="仿宋_GB2312" w:hAnsi="仿宋" w:cs="Times New Roman"/>
          <w:sz w:val="32"/>
          <w:szCs w:val="32"/>
        </w:rPr>
      </w:pPr>
    </w:p>
    <w:p w14:paraId="007E20A4" w14:textId="77777777" w:rsidR="00800011" w:rsidRPr="00800011" w:rsidRDefault="00800011" w:rsidP="00800011">
      <w:pPr>
        <w:rPr>
          <w:rFonts w:ascii="Calibri" w:eastAsia="宋体" w:hAnsi="Calibri" w:cs="Times New Roman"/>
          <w:b/>
        </w:rPr>
      </w:pPr>
    </w:p>
    <w:p w14:paraId="01B6F19F" w14:textId="77777777" w:rsidR="00800011" w:rsidRPr="00800011" w:rsidRDefault="00800011" w:rsidP="00800011">
      <w:pPr>
        <w:rPr>
          <w:rFonts w:ascii="Calibri" w:eastAsia="宋体" w:hAnsi="Calibri" w:cs="Times New Roman"/>
          <w:b/>
        </w:rPr>
      </w:pPr>
    </w:p>
    <w:p w14:paraId="62602386" w14:textId="77777777" w:rsidR="00800011" w:rsidRPr="00800011" w:rsidRDefault="00800011" w:rsidP="00800011">
      <w:pPr>
        <w:rPr>
          <w:rFonts w:ascii="Calibri" w:eastAsia="宋体" w:hAnsi="Calibri" w:cs="Times New Roman"/>
          <w:b/>
        </w:rPr>
      </w:pPr>
    </w:p>
    <w:p w14:paraId="1D3FAAF3" w14:textId="77777777" w:rsidR="00800011" w:rsidRPr="00800011" w:rsidRDefault="00800011" w:rsidP="00800011">
      <w:pPr>
        <w:rPr>
          <w:rFonts w:ascii="Calibri" w:eastAsia="宋体" w:hAnsi="Calibri" w:cs="Times New Roman"/>
          <w:b/>
        </w:rPr>
      </w:pPr>
    </w:p>
    <w:p w14:paraId="2E8E00A6" w14:textId="77777777" w:rsidR="00800011" w:rsidRPr="00800011" w:rsidRDefault="00800011" w:rsidP="00800011">
      <w:pPr>
        <w:rPr>
          <w:rFonts w:ascii="Calibri" w:eastAsia="宋体" w:hAnsi="Calibri" w:cs="Times New Roman"/>
          <w:b/>
        </w:rPr>
      </w:pPr>
    </w:p>
    <w:p w14:paraId="18BBA804" w14:textId="77777777" w:rsidR="00800011" w:rsidRPr="00800011" w:rsidRDefault="00800011" w:rsidP="00800011">
      <w:pPr>
        <w:rPr>
          <w:rFonts w:ascii="Calibri" w:eastAsia="宋体" w:hAnsi="Calibri" w:cs="Times New Roman"/>
          <w:b/>
        </w:rPr>
      </w:pPr>
    </w:p>
    <w:p w14:paraId="72294E68" w14:textId="77777777" w:rsidR="00800011" w:rsidRPr="00800011" w:rsidRDefault="00800011" w:rsidP="00800011">
      <w:pPr>
        <w:rPr>
          <w:rFonts w:ascii="Calibri" w:eastAsia="宋体" w:hAnsi="Calibri" w:cs="Times New Roman"/>
          <w:b/>
        </w:rPr>
      </w:pPr>
    </w:p>
    <w:p w14:paraId="35B1EB63" w14:textId="77777777" w:rsidR="00800011" w:rsidRPr="00800011" w:rsidRDefault="00800011" w:rsidP="00800011">
      <w:pPr>
        <w:rPr>
          <w:rFonts w:ascii="Calibri" w:eastAsia="宋体" w:hAnsi="Calibri" w:cs="Times New Roman"/>
          <w:b/>
        </w:rPr>
      </w:pPr>
    </w:p>
    <w:p w14:paraId="059FF555" w14:textId="77777777" w:rsidR="00800011" w:rsidRPr="00800011" w:rsidRDefault="00800011" w:rsidP="00800011">
      <w:pPr>
        <w:rPr>
          <w:rFonts w:ascii="Calibri" w:eastAsia="宋体" w:hAnsi="Calibri" w:cs="Times New Roman"/>
          <w:b/>
        </w:rPr>
      </w:pPr>
    </w:p>
    <w:p w14:paraId="6493727A" w14:textId="77777777" w:rsidR="00800011" w:rsidRPr="00800011" w:rsidRDefault="00800011" w:rsidP="00800011">
      <w:pPr>
        <w:rPr>
          <w:rFonts w:ascii="Calibri" w:eastAsia="宋体" w:hAnsi="Calibri" w:cs="Times New Roman"/>
          <w:b/>
        </w:rPr>
      </w:pPr>
    </w:p>
    <w:p w14:paraId="079B9FCB" w14:textId="77777777" w:rsidR="00800011" w:rsidRPr="00800011" w:rsidRDefault="00800011" w:rsidP="00800011">
      <w:pPr>
        <w:rPr>
          <w:rFonts w:ascii="Calibri" w:eastAsia="宋体" w:hAnsi="Calibri" w:cs="Times New Roman"/>
          <w:b/>
        </w:rPr>
      </w:pPr>
    </w:p>
    <w:p w14:paraId="784DF0AE"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1173D6B"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39C159A"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5F585B8"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717B657"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3BB00EC"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81F24FD"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DDAF425" w14:textId="77777777" w:rsidR="00800011" w:rsidRPr="00800011" w:rsidRDefault="00800011" w:rsidP="00800011">
      <w:pPr>
        <w:autoSpaceDE w:val="0"/>
        <w:autoSpaceDN w:val="0"/>
        <w:adjustRightInd w:val="0"/>
        <w:snapToGrid w:val="0"/>
        <w:spacing w:line="500" w:lineRule="exact"/>
        <w:jc w:val="left"/>
        <w:rPr>
          <w:rFonts w:ascii="宋体" w:eastAsia="宋体" w:hAnsi="Calibri" w:cs="宋体"/>
          <w:spacing w:val="5"/>
          <w:kern w:val="0"/>
          <w:sz w:val="24"/>
        </w:rPr>
      </w:pPr>
    </w:p>
    <w:p w14:paraId="33D5218F" w14:textId="77777777" w:rsidR="00800011" w:rsidRPr="00800011" w:rsidRDefault="00800011" w:rsidP="00800011">
      <w:pPr>
        <w:autoSpaceDE w:val="0"/>
        <w:autoSpaceDN w:val="0"/>
        <w:adjustRightInd w:val="0"/>
        <w:snapToGrid w:val="0"/>
        <w:spacing w:line="500" w:lineRule="exact"/>
        <w:jc w:val="left"/>
        <w:rPr>
          <w:rFonts w:ascii="宋体" w:eastAsia="宋体" w:hAnsi="Calibri" w:cs="宋体"/>
          <w:spacing w:val="5"/>
          <w:kern w:val="0"/>
          <w:sz w:val="24"/>
        </w:rPr>
      </w:pPr>
    </w:p>
    <w:p w14:paraId="127536EE" w14:textId="77777777" w:rsidR="00800011" w:rsidRPr="00800011" w:rsidRDefault="00800011" w:rsidP="00800011">
      <w:pPr>
        <w:autoSpaceDE w:val="0"/>
        <w:autoSpaceDN w:val="0"/>
        <w:adjustRightInd w:val="0"/>
        <w:snapToGrid w:val="0"/>
        <w:spacing w:line="500" w:lineRule="exact"/>
        <w:jc w:val="left"/>
        <w:rPr>
          <w:rFonts w:ascii="宋体" w:eastAsia="宋体" w:hAnsi="Calibri" w:cs="宋体"/>
          <w:spacing w:val="5"/>
          <w:kern w:val="0"/>
          <w:sz w:val="24"/>
        </w:rPr>
      </w:pPr>
    </w:p>
    <w:p w14:paraId="35C902FB" w14:textId="77777777" w:rsidR="00800011" w:rsidRPr="00800011" w:rsidRDefault="00800011" w:rsidP="00800011">
      <w:pPr>
        <w:autoSpaceDE w:val="0"/>
        <w:autoSpaceDN w:val="0"/>
        <w:adjustRightInd w:val="0"/>
        <w:snapToGrid w:val="0"/>
        <w:spacing w:line="500" w:lineRule="exact"/>
        <w:jc w:val="left"/>
        <w:rPr>
          <w:rFonts w:ascii="宋体" w:eastAsia="宋体" w:hAnsi="Calibri" w:cs="宋体"/>
          <w:spacing w:val="5"/>
          <w:kern w:val="0"/>
          <w:sz w:val="24"/>
        </w:rPr>
      </w:pPr>
    </w:p>
    <w:p w14:paraId="7B842BB3" w14:textId="77777777" w:rsidR="00800011" w:rsidRPr="00800011" w:rsidRDefault="00800011" w:rsidP="00800011">
      <w:pPr>
        <w:autoSpaceDE w:val="0"/>
        <w:autoSpaceDN w:val="0"/>
        <w:adjustRightInd w:val="0"/>
        <w:snapToGrid w:val="0"/>
        <w:spacing w:line="500" w:lineRule="exact"/>
        <w:jc w:val="left"/>
        <w:rPr>
          <w:rFonts w:ascii="宋体" w:eastAsia="宋体" w:hAnsi="Calibri" w:cs="宋体"/>
          <w:spacing w:val="5"/>
          <w:kern w:val="0"/>
          <w:sz w:val="24"/>
        </w:rPr>
      </w:pPr>
    </w:p>
    <w:p w14:paraId="188D6E09" w14:textId="77777777" w:rsidR="00800011" w:rsidRPr="00800011" w:rsidRDefault="00800011" w:rsidP="00FE4508">
      <w:pPr>
        <w:numPr>
          <w:ilvl w:val="0"/>
          <w:numId w:val="39"/>
        </w:num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引体向上、一分钟仰卧起坐均为高优指标，学生成绩超过单项评分100分后，以超过的次数所对应的分数进行加分。</w:t>
      </w:r>
    </w:p>
    <w:p w14:paraId="04C31A6D" w14:textId="77777777" w:rsidR="00800011" w:rsidRPr="00800011" w:rsidRDefault="00800011" w:rsidP="00800011">
      <w:pPr>
        <w:autoSpaceDE w:val="0"/>
        <w:autoSpaceDN w:val="0"/>
        <w:adjustRightInd w:val="0"/>
        <w:snapToGrid w:val="0"/>
        <w:spacing w:line="500" w:lineRule="exact"/>
        <w:jc w:val="left"/>
        <w:rPr>
          <w:rFonts w:ascii="宋体" w:eastAsia="宋体" w:hAnsi="Calibri" w:cs="宋体"/>
          <w:spacing w:val="5"/>
          <w:kern w:val="0"/>
          <w:sz w:val="24"/>
        </w:rPr>
      </w:pPr>
    </w:p>
    <w:p w14:paraId="4BD98231"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800011">
        <w:rPr>
          <w:rFonts w:ascii="宋体" w:eastAsia="宋体" w:hAnsi="Calibri" w:cs="宋体" w:hint="eastAsia"/>
          <w:spacing w:val="5"/>
          <w:kern w:val="0"/>
          <w:sz w:val="24"/>
        </w:rPr>
        <w:t>表2-1 男生引体向上                表2-2 女生一分钟仰卧起坐</w:t>
      </w:r>
    </w:p>
    <w:p w14:paraId="72646D49"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800011">
        <w:rPr>
          <w:rFonts w:ascii="宋体" w:eastAsia="宋体" w:hAnsi="Calibri" w:cs="宋体" w:hint="eastAsia"/>
          <w:spacing w:val="5"/>
          <w:kern w:val="0"/>
          <w:sz w:val="24"/>
        </w:rPr>
        <w:t>评分表（单位：次）</w:t>
      </w:r>
    </w:p>
    <w:p w14:paraId="11C18168"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78E3E3C" w14:textId="77777777" w:rsidR="00800011" w:rsidRPr="00800011" w:rsidRDefault="00800011" w:rsidP="00800011">
      <w:pPr>
        <w:autoSpaceDE w:val="0"/>
        <w:autoSpaceDN w:val="0"/>
        <w:adjustRightInd w:val="0"/>
        <w:snapToGrid w:val="0"/>
        <w:spacing w:line="500" w:lineRule="exact"/>
        <w:rPr>
          <w:rFonts w:ascii="宋体" w:eastAsia="宋体" w:hAnsi="Calibri" w:cs="宋体"/>
          <w:spacing w:val="5"/>
          <w:kern w:val="0"/>
          <w:sz w:val="24"/>
        </w:rPr>
      </w:pP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800011" w:rsidRPr="00800011" w14:paraId="1F134EA9" w14:textId="77777777" w:rsidTr="00800011">
        <w:trPr>
          <w:trHeight w:val="340"/>
        </w:trPr>
        <w:tc>
          <w:tcPr>
            <w:tcW w:w="1508" w:type="dxa"/>
            <w:vAlign w:val="center"/>
          </w:tcPr>
          <w:p w14:paraId="36F65A4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加分</w:t>
            </w:r>
          </w:p>
        </w:tc>
        <w:tc>
          <w:tcPr>
            <w:tcW w:w="1510" w:type="dxa"/>
            <w:vAlign w:val="center"/>
          </w:tcPr>
          <w:p w14:paraId="23F1ADB5"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大一大二</w:t>
            </w:r>
          </w:p>
        </w:tc>
        <w:tc>
          <w:tcPr>
            <w:tcW w:w="1502" w:type="dxa"/>
            <w:vAlign w:val="center"/>
          </w:tcPr>
          <w:p w14:paraId="09A1CBC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大三大四</w:t>
            </w:r>
          </w:p>
        </w:tc>
      </w:tr>
      <w:tr w:rsidR="00800011" w:rsidRPr="00800011" w14:paraId="1DC9C33D" w14:textId="77777777" w:rsidTr="00800011">
        <w:trPr>
          <w:trHeight w:val="320"/>
        </w:trPr>
        <w:tc>
          <w:tcPr>
            <w:tcW w:w="1508" w:type="dxa"/>
            <w:vAlign w:val="center"/>
          </w:tcPr>
          <w:p w14:paraId="42BD7A2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w:t>
            </w:r>
          </w:p>
        </w:tc>
        <w:tc>
          <w:tcPr>
            <w:tcW w:w="1510" w:type="dxa"/>
            <w:vAlign w:val="center"/>
          </w:tcPr>
          <w:p w14:paraId="7A04961D"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10</w:t>
            </w:r>
          </w:p>
        </w:tc>
        <w:tc>
          <w:tcPr>
            <w:tcW w:w="1502" w:type="dxa"/>
            <w:vAlign w:val="center"/>
          </w:tcPr>
          <w:p w14:paraId="1CFFD637"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10</w:t>
            </w:r>
          </w:p>
        </w:tc>
      </w:tr>
      <w:tr w:rsidR="00800011" w:rsidRPr="00800011" w14:paraId="0E92B9A3" w14:textId="77777777" w:rsidTr="00800011">
        <w:trPr>
          <w:trHeight w:val="320"/>
        </w:trPr>
        <w:tc>
          <w:tcPr>
            <w:tcW w:w="1508" w:type="dxa"/>
            <w:vAlign w:val="center"/>
          </w:tcPr>
          <w:p w14:paraId="6053CB0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w:t>
            </w:r>
          </w:p>
        </w:tc>
        <w:tc>
          <w:tcPr>
            <w:tcW w:w="1510" w:type="dxa"/>
            <w:vAlign w:val="center"/>
          </w:tcPr>
          <w:p w14:paraId="09A0E3E0"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9</w:t>
            </w:r>
          </w:p>
        </w:tc>
        <w:tc>
          <w:tcPr>
            <w:tcW w:w="1502" w:type="dxa"/>
            <w:vAlign w:val="center"/>
          </w:tcPr>
          <w:p w14:paraId="7C52C66A"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9</w:t>
            </w:r>
          </w:p>
        </w:tc>
      </w:tr>
      <w:tr w:rsidR="00800011" w:rsidRPr="00800011" w14:paraId="23B31FD7" w14:textId="77777777" w:rsidTr="00800011">
        <w:trPr>
          <w:trHeight w:val="320"/>
        </w:trPr>
        <w:tc>
          <w:tcPr>
            <w:tcW w:w="1508" w:type="dxa"/>
            <w:shd w:val="clear" w:color="auto" w:fill="FFFFFF"/>
            <w:vAlign w:val="center"/>
          </w:tcPr>
          <w:p w14:paraId="2DE84FB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w:t>
            </w:r>
          </w:p>
        </w:tc>
        <w:tc>
          <w:tcPr>
            <w:tcW w:w="1510" w:type="dxa"/>
            <w:shd w:val="clear" w:color="auto" w:fill="FFFFFF"/>
            <w:vAlign w:val="center"/>
          </w:tcPr>
          <w:p w14:paraId="44464352"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8</w:t>
            </w:r>
          </w:p>
        </w:tc>
        <w:tc>
          <w:tcPr>
            <w:tcW w:w="1502" w:type="dxa"/>
            <w:shd w:val="clear" w:color="auto" w:fill="FFFFFF"/>
            <w:vAlign w:val="center"/>
          </w:tcPr>
          <w:p w14:paraId="56916A98"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8</w:t>
            </w:r>
          </w:p>
        </w:tc>
      </w:tr>
      <w:tr w:rsidR="00800011" w:rsidRPr="00800011" w14:paraId="0D0ACA15" w14:textId="77777777" w:rsidTr="00800011">
        <w:trPr>
          <w:trHeight w:val="320"/>
        </w:trPr>
        <w:tc>
          <w:tcPr>
            <w:tcW w:w="1508" w:type="dxa"/>
            <w:shd w:val="clear" w:color="auto" w:fill="FFFFFF"/>
            <w:vAlign w:val="center"/>
          </w:tcPr>
          <w:p w14:paraId="29D92DA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w:t>
            </w:r>
          </w:p>
        </w:tc>
        <w:tc>
          <w:tcPr>
            <w:tcW w:w="1510" w:type="dxa"/>
            <w:shd w:val="clear" w:color="auto" w:fill="FFFFFF"/>
            <w:vAlign w:val="center"/>
          </w:tcPr>
          <w:p w14:paraId="0BBA5D5B"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7</w:t>
            </w:r>
          </w:p>
        </w:tc>
        <w:tc>
          <w:tcPr>
            <w:tcW w:w="1502" w:type="dxa"/>
            <w:shd w:val="clear" w:color="auto" w:fill="FFFFFF"/>
            <w:vAlign w:val="center"/>
          </w:tcPr>
          <w:p w14:paraId="079C2A2E"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7</w:t>
            </w:r>
          </w:p>
        </w:tc>
      </w:tr>
      <w:tr w:rsidR="00800011" w:rsidRPr="00800011" w14:paraId="70EA9F4A" w14:textId="77777777" w:rsidTr="00800011">
        <w:trPr>
          <w:trHeight w:val="320"/>
        </w:trPr>
        <w:tc>
          <w:tcPr>
            <w:tcW w:w="1508" w:type="dxa"/>
            <w:shd w:val="clear" w:color="auto" w:fill="FFFFFF"/>
            <w:vAlign w:val="center"/>
          </w:tcPr>
          <w:p w14:paraId="71F730E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w:t>
            </w:r>
          </w:p>
        </w:tc>
        <w:tc>
          <w:tcPr>
            <w:tcW w:w="1510" w:type="dxa"/>
            <w:shd w:val="clear" w:color="auto" w:fill="FFFFFF"/>
            <w:vAlign w:val="center"/>
          </w:tcPr>
          <w:p w14:paraId="331C5E12"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6</w:t>
            </w:r>
          </w:p>
        </w:tc>
        <w:tc>
          <w:tcPr>
            <w:tcW w:w="1502" w:type="dxa"/>
            <w:shd w:val="clear" w:color="auto" w:fill="FFFFFF"/>
            <w:vAlign w:val="center"/>
          </w:tcPr>
          <w:p w14:paraId="6251A317"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6</w:t>
            </w:r>
          </w:p>
        </w:tc>
      </w:tr>
      <w:tr w:rsidR="00800011" w:rsidRPr="00800011" w14:paraId="7DB74DA6" w14:textId="77777777" w:rsidTr="00800011">
        <w:trPr>
          <w:trHeight w:val="320"/>
        </w:trPr>
        <w:tc>
          <w:tcPr>
            <w:tcW w:w="1508" w:type="dxa"/>
            <w:shd w:val="clear" w:color="auto" w:fill="FFFFFF"/>
            <w:vAlign w:val="center"/>
          </w:tcPr>
          <w:p w14:paraId="73EDD65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5</w:t>
            </w:r>
          </w:p>
        </w:tc>
        <w:tc>
          <w:tcPr>
            <w:tcW w:w="1510" w:type="dxa"/>
            <w:shd w:val="clear" w:color="auto" w:fill="FFFFFF"/>
            <w:vAlign w:val="center"/>
          </w:tcPr>
          <w:p w14:paraId="06449636"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5</w:t>
            </w:r>
          </w:p>
        </w:tc>
        <w:tc>
          <w:tcPr>
            <w:tcW w:w="1502" w:type="dxa"/>
            <w:shd w:val="clear" w:color="auto" w:fill="FFFFFF"/>
            <w:vAlign w:val="center"/>
          </w:tcPr>
          <w:p w14:paraId="10433790"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5</w:t>
            </w:r>
          </w:p>
        </w:tc>
      </w:tr>
      <w:tr w:rsidR="00800011" w:rsidRPr="00800011" w14:paraId="5C7461E0" w14:textId="77777777" w:rsidTr="00800011">
        <w:trPr>
          <w:trHeight w:val="320"/>
        </w:trPr>
        <w:tc>
          <w:tcPr>
            <w:tcW w:w="1508" w:type="dxa"/>
            <w:shd w:val="clear" w:color="auto" w:fill="FFFFFF"/>
            <w:vAlign w:val="center"/>
          </w:tcPr>
          <w:p w14:paraId="7C2ADE4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4</w:t>
            </w:r>
          </w:p>
        </w:tc>
        <w:tc>
          <w:tcPr>
            <w:tcW w:w="1510" w:type="dxa"/>
            <w:shd w:val="clear" w:color="auto" w:fill="FFFFFF"/>
            <w:vAlign w:val="center"/>
          </w:tcPr>
          <w:p w14:paraId="139F19B3"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4</w:t>
            </w:r>
          </w:p>
        </w:tc>
        <w:tc>
          <w:tcPr>
            <w:tcW w:w="1502" w:type="dxa"/>
            <w:shd w:val="clear" w:color="auto" w:fill="FFFFFF"/>
            <w:vAlign w:val="center"/>
          </w:tcPr>
          <w:p w14:paraId="59A9A6E4"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4</w:t>
            </w:r>
          </w:p>
        </w:tc>
      </w:tr>
      <w:tr w:rsidR="00800011" w:rsidRPr="00800011" w14:paraId="5CF96135" w14:textId="77777777" w:rsidTr="00800011">
        <w:trPr>
          <w:trHeight w:val="320"/>
        </w:trPr>
        <w:tc>
          <w:tcPr>
            <w:tcW w:w="1508" w:type="dxa"/>
            <w:shd w:val="clear" w:color="auto" w:fill="FFFFFF"/>
            <w:vAlign w:val="center"/>
          </w:tcPr>
          <w:p w14:paraId="77DBC18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3</w:t>
            </w:r>
          </w:p>
        </w:tc>
        <w:tc>
          <w:tcPr>
            <w:tcW w:w="1510" w:type="dxa"/>
            <w:shd w:val="clear" w:color="auto" w:fill="FFFFFF"/>
            <w:vAlign w:val="center"/>
          </w:tcPr>
          <w:p w14:paraId="449CABF1"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3</w:t>
            </w:r>
          </w:p>
        </w:tc>
        <w:tc>
          <w:tcPr>
            <w:tcW w:w="1502" w:type="dxa"/>
            <w:shd w:val="clear" w:color="auto" w:fill="FFFFFF"/>
            <w:vAlign w:val="center"/>
          </w:tcPr>
          <w:p w14:paraId="497D0A1A"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3</w:t>
            </w:r>
          </w:p>
        </w:tc>
      </w:tr>
      <w:tr w:rsidR="00800011" w:rsidRPr="00800011" w14:paraId="7D1042EC" w14:textId="77777777" w:rsidTr="00800011">
        <w:trPr>
          <w:trHeight w:val="320"/>
        </w:trPr>
        <w:tc>
          <w:tcPr>
            <w:tcW w:w="1508" w:type="dxa"/>
            <w:shd w:val="clear" w:color="auto" w:fill="FFFFFF"/>
            <w:vAlign w:val="center"/>
          </w:tcPr>
          <w:p w14:paraId="66131F5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2</w:t>
            </w:r>
          </w:p>
        </w:tc>
        <w:tc>
          <w:tcPr>
            <w:tcW w:w="1510" w:type="dxa"/>
            <w:shd w:val="clear" w:color="auto" w:fill="FFFFFF"/>
            <w:vAlign w:val="center"/>
          </w:tcPr>
          <w:p w14:paraId="06A56A4E"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2</w:t>
            </w:r>
          </w:p>
        </w:tc>
        <w:tc>
          <w:tcPr>
            <w:tcW w:w="1502" w:type="dxa"/>
            <w:shd w:val="clear" w:color="auto" w:fill="FFFFFF"/>
            <w:vAlign w:val="center"/>
          </w:tcPr>
          <w:p w14:paraId="12EBD9D4"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2</w:t>
            </w:r>
          </w:p>
        </w:tc>
      </w:tr>
      <w:tr w:rsidR="00800011" w:rsidRPr="00800011" w14:paraId="5043EF4C" w14:textId="77777777" w:rsidTr="00800011">
        <w:trPr>
          <w:trHeight w:val="350"/>
        </w:trPr>
        <w:tc>
          <w:tcPr>
            <w:tcW w:w="1508" w:type="dxa"/>
            <w:shd w:val="clear" w:color="auto" w:fill="FFFFFF"/>
            <w:vAlign w:val="center"/>
          </w:tcPr>
          <w:p w14:paraId="73E45EA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w:t>
            </w:r>
          </w:p>
        </w:tc>
        <w:tc>
          <w:tcPr>
            <w:tcW w:w="1510" w:type="dxa"/>
            <w:shd w:val="clear" w:color="auto" w:fill="FFFFFF"/>
            <w:vAlign w:val="center"/>
          </w:tcPr>
          <w:p w14:paraId="1B11184C"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w:t>
            </w:r>
          </w:p>
        </w:tc>
        <w:tc>
          <w:tcPr>
            <w:tcW w:w="1502" w:type="dxa"/>
            <w:shd w:val="clear" w:color="auto" w:fill="FFFFFF"/>
            <w:vAlign w:val="center"/>
          </w:tcPr>
          <w:p w14:paraId="79DDE26A"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800011" w:rsidRPr="00800011" w14:paraId="61CC423B" w14:textId="77777777" w:rsidTr="00800011">
        <w:trPr>
          <w:trHeight w:val="370"/>
        </w:trPr>
        <w:tc>
          <w:tcPr>
            <w:tcW w:w="1493" w:type="dxa"/>
            <w:vAlign w:val="center"/>
          </w:tcPr>
          <w:p w14:paraId="59401AF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加分</w:t>
            </w:r>
          </w:p>
        </w:tc>
        <w:tc>
          <w:tcPr>
            <w:tcW w:w="1493" w:type="dxa"/>
            <w:vAlign w:val="center"/>
          </w:tcPr>
          <w:p w14:paraId="0B564B5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大一大二</w:t>
            </w:r>
          </w:p>
        </w:tc>
        <w:tc>
          <w:tcPr>
            <w:tcW w:w="1494" w:type="dxa"/>
            <w:vAlign w:val="center"/>
          </w:tcPr>
          <w:p w14:paraId="089546D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大三大四</w:t>
            </w:r>
          </w:p>
        </w:tc>
      </w:tr>
      <w:tr w:rsidR="00800011" w:rsidRPr="00800011" w14:paraId="225D54D2" w14:textId="77777777" w:rsidTr="00800011">
        <w:trPr>
          <w:trHeight w:val="331"/>
        </w:trPr>
        <w:tc>
          <w:tcPr>
            <w:tcW w:w="1493" w:type="dxa"/>
            <w:vAlign w:val="center"/>
          </w:tcPr>
          <w:p w14:paraId="7415C93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w:t>
            </w:r>
          </w:p>
        </w:tc>
        <w:tc>
          <w:tcPr>
            <w:tcW w:w="1493" w:type="dxa"/>
            <w:vAlign w:val="center"/>
          </w:tcPr>
          <w:p w14:paraId="02D63A60"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13</w:t>
            </w:r>
          </w:p>
        </w:tc>
        <w:tc>
          <w:tcPr>
            <w:tcW w:w="1494" w:type="dxa"/>
            <w:vAlign w:val="center"/>
          </w:tcPr>
          <w:p w14:paraId="6F8A293F"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13</w:t>
            </w:r>
          </w:p>
        </w:tc>
      </w:tr>
      <w:tr w:rsidR="00800011" w:rsidRPr="00800011" w14:paraId="39AD09A8" w14:textId="77777777" w:rsidTr="00800011">
        <w:trPr>
          <w:trHeight w:val="331"/>
        </w:trPr>
        <w:tc>
          <w:tcPr>
            <w:tcW w:w="1493" w:type="dxa"/>
            <w:vAlign w:val="center"/>
          </w:tcPr>
          <w:p w14:paraId="718BBB4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w:t>
            </w:r>
          </w:p>
        </w:tc>
        <w:tc>
          <w:tcPr>
            <w:tcW w:w="1493" w:type="dxa"/>
            <w:vAlign w:val="center"/>
          </w:tcPr>
          <w:p w14:paraId="189D6FF6"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12</w:t>
            </w:r>
          </w:p>
        </w:tc>
        <w:tc>
          <w:tcPr>
            <w:tcW w:w="1494" w:type="dxa"/>
            <w:vAlign w:val="center"/>
          </w:tcPr>
          <w:p w14:paraId="6ADCF4ED"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12</w:t>
            </w:r>
          </w:p>
        </w:tc>
      </w:tr>
      <w:tr w:rsidR="00800011" w:rsidRPr="00800011" w14:paraId="39A9BB0C" w14:textId="77777777" w:rsidTr="00800011">
        <w:trPr>
          <w:trHeight w:val="331"/>
        </w:trPr>
        <w:tc>
          <w:tcPr>
            <w:tcW w:w="1493" w:type="dxa"/>
            <w:shd w:val="clear" w:color="auto" w:fill="FFFFFF"/>
            <w:vAlign w:val="center"/>
          </w:tcPr>
          <w:p w14:paraId="3E5838B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w:t>
            </w:r>
          </w:p>
        </w:tc>
        <w:tc>
          <w:tcPr>
            <w:tcW w:w="1493" w:type="dxa"/>
            <w:shd w:val="clear" w:color="auto" w:fill="FFFFFF"/>
            <w:vAlign w:val="center"/>
          </w:tcPr>
          <w:p w14:paraId="59839CCA"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11</w:t>
            </w:r>
          </w:p>
        </w:tc>
        <w:tc>
          <w:tcPr>
            <w:tcW w:w="1494" w:type="dxa"/>
            <w:shd w:val="clear" w:color="auto" w:fill="FFFFFF"/>
            <w:vAlign w:val="center"/>
          </w:tcPr>
          <w:p w14:paraId="2922DDF5"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11</w:t>
            </w:r>
          </w:p>
        </w:tc>
      </w:tr>
      <w:tr w:rsidR="00800011" w:rsidRPr="00800011" w14:paraId="4D6B4B62" w14:textId="77777777" w:rsidTr="00800011">
        <w:trPr>
          <w:trHeight w:val="331"/>
        </w:trPr>
        <w:tc>
          <w:tcPr>
            <w:tcW w:w="1493" w:type="dxa"/>
            <w:shd w:val="clear" w:color="auto" w:fill="FFFFFF"/>
            <w:vAlign w:val="center"/>
          </w:tcPr>
          <w:p w14:paraId="3F799A4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w:t>
            </w:r>
          </w:p>
        </w:tc>
        <w:tc>
          <w:tcPr>
            <w:tcW w:w="1493" w:type="dxa"/>
            <w:shd w:val="clear" w:color="auto" w:fill="FFFFFF"/>
            <w:vAlign w:val="center"/>
          </w:tcPr>
          <w:p w14:paraId="37210E68"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10</w:t>
            </w:r>
          </w:p>
        </w:tc>
        <w:tc>
          <w:tcPr>
            <w:tcW w:w="1494" w:type="dxa"/>
            <w:shd w:val="clear" w:color="auto" w:fill="FFFFFF"/>
            <w:vAlign w:val="center"/>
          </w:tcPr>
          <w:p w14:paraId="0A32797C"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10</w:t>
            </w:r>
          </w:p>
        </w:tc>
      </w:tr>
      <w:tr w:rsidR="00800011" w:rsidRPr="00800011" w14:paraId="489E165D" w14:textId="77777777" w:rsidTr="00800011">
        <w:trPr>
          <w:trHeight w:val="331"/>
        </w:trPr>
        <w:tc>
          <w:tcPr>
            <w:tcW w:w="1493" w:type="dxa"/>
            <w:shd w:val="clear" w:color="auto" w:fill="FFFFFF"/>
            <w:vAlign w:val="center"/>
          </w:tcPr>
          <w:p w14:paraId="2837D76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w:t>
            </w:r>
          </w:p>
        </w:tc>
        <w:tc>
          <w:tcPr>
            <w:tcW w:w="1493" w:type="dxa"/>
            <w:shd w:val="clear" w:color="auto" w:fill="FFFFFF"/>
            <w:vAlign w:val="center"/>
          </w:tcPr>
          <w:p w14:paraId="01504EDD"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9</w:t>
            </w:r>
          </w:p>
        </w:tc>
        <w:tc>
          <w:tcPr>
            <w:tcW w:w="1494" w:type="dxa"/>
            <w:shd w:val="clear" w:color="auto" w:fill="FFFFFF"/>
            <w:vAlign w:val="center"/>
          </w:tcPr>
          <w:p w14:paraId="00EE14BC"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9</w:t>
            </w:r>
          </w:p>
        </w:tc>
      </w:tr>
      <w:tr w:rsidR="00800011" w:rsidRPr="00800011" w14:paraId="0614C5CF" w14:textId="77777777" w:rsidTr="00800011">
        <w:trPr>
          <w:trHeight w:val="331"/>
        </w:trPr>
        <w:tc>
          <w:tcPr>
            <w:tcW w:w="1493" w:type="dxa"/>
            <w:shd w:val="clear" w:color="auto" w:fill="FFFFFF"/>
            <w:vAlign w:val="center"/>
          </w:tcPr>
          <w:p w14:paraId="73CCB73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5</w:t>
            </w:r>
          </w:p>
        </w:tc>
        <w:tc>
          <w:tcPr>
            <w:tcW w:w="1493" w:type="dxa"/>
            <w:shd w:val="clear" w:color="auto" w:fill="FFFFFF"/>
            <w:vAlign w:val="center"/>
          </w:tcPr>
          <w:p w14:paraId="0F9EEC18"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8</w:t>
            </w:r>
          </w:p>
        </w:tc>
        <w:tc>
          <w:tcPr>
            <w:tcW w:w="1494" w:type="dxa"/>
            <w:shd w:val="clear" w:color="auto" w:fill="FFFFFF"/>
            <w:vAlign w:val="center"/>
          </w:tcPr>
          <w:p w14:paraId="5ED4001A"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8</w:t>
            </w:r>
          </w:p>
        </w:tc>
      </w:tr>
      <w:tr w:rsidR="00800011" w:rsidRPr="00800011" w14:paraId="16840967" w14:textId="77777777" w:rsidTr="00800011">
        <w:trPr>
          <w:trHeight w:val="331"/>
        </w:trPr>
        <w:tc>
          <w:tcPr>
            <w:tcW w:w="1493" w:type="dxa"/>
            <w:shd w:val="clear" w:color="auto" w:fill="FFFFFF"/>
            <w:vAlign w:val="center"/>
          </w:tcPr>
          <w:p w14:paraId="65F539F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4</w:t>
            </w:r>
          </w:p>
        </w:tc>
        <w:tc>
          <w:tcPr>
            <w:tcW w:w="1493" w:type="dxa"/>
            <w:shd w:val="clear" w:color="auto" w:fill="FFFFFF"/>
            <w:vAlign w:val="center"/>
          </w:tcPr>
          <w:p w14:paraId="0BBC9EAE"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7</w:t>
            </w:r>
          </w:p>
        </w:tc>
        <w:tc>
          <w:tcPr>
            <w:tcW w:w="1494" w:type="dxa"/>
            <w:shd w:val="clear" w:color="auto" w:fill="FFFFFF"/>
            <w:vAlign w:val="center"/>
          </w:tcPr>
          <w:p w14:paraId="5E2041AA"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7</w:t>
            </w:r>
          </w:p>
        </w:tc>
      </w:tr>
      <w:tr w:rsidR="00800011" w:rsidRPr="00800011" w14:paraId="616FC1BF" w14:textId="77777777" w:rsidTr="00800011">
        <w:trPr>
          <w:trHeight w:val="331"/>
        </w:trPr>
        <w:tc>
          <w:tcPr>
            <w:tcW w:w="1493" w:type="dxa"/>
            <w:shd w:val="clear" w:color="auto" w:fill="FFFFFF"/>
            <w:vAlign w:val="center"/>
          </w:tcPr>
          <w:p w14:paraId="6269647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3</w:t>
            </w:r>
          </w:p>
        </w:tc>
        <w:tc>
          <w:tcPr>
            <w:tcW w:w="1493" w:type="dxa"/>
            <w:shd w:val="clear" w:color="auto" w:fill="FFFFFF"/>
            <w:vAlign w:val="center"/>
          </w:tcPr>
          <w:p w14:paraId="003F53D1"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6</w:t>
            </w:r>
          </w:p>
        </w:tc>
        <w:tc>
          <w:tcPr>
            <w:tcW w:w="1494" w:type="dxa"/>
            <w:shd w:val="clear" w:color="auto" w:fill="FFFFFF"/>
            <w:vAlign w:val="center"/>
          </w:tcPr>
          <w:p w14:paraId="187F29B5"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6</w:t>
            </w:r>
          </w:p>
        </w:tc>
      </w:tr>
      <w:tr w:rsidR="00800011" w:rsidRPr="00800011" w14:paraId="0A4EF916" w14:textId="77777777" w:rsidTr="00800011">
        <w:trPr>
          <w:trHeight w:val="331"/>
        </w:trPr>
        <w:tc>
          <w:tcPr>
            <w:tcW w:w="1493" w:type="dxa"/>
            <w:shd w:val="clear" w:color="auto" w:fill="FFFFFF"/>
            <w:vAlign w:val="center"/>
          </w:tcPr>
          <w:p w14:paraId="17689F0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2</w:t>
            </w:r>
          </w:p>
        </w:tc>
        <w:tc>
          <w:tcPr>
            <w:tcW w:w="1493" w:type="dxa"/>
            <w:shd w:val="clear" w:color="auto" w:fill="FFFFFF"/>
            <w:vAlign w:val="center"/>
          </w:tcPr>
          <w:p w14:paraId="23AA7989"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4</w:t>
            </w:r>
          </w:p>
        </w:tc>
        <w:tc>
          <w:tcPr>
            <w:tcW w:w="1494" w:type="dxa"/>
            <w:shd w:val="clear" w:color="auto" w:fill="FFFFFF"/>
            <w:vAlign w:val="center"/>
          </w:tcPr>
          <w:p w14:paraId="5E053F01"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4</w:t>
            </w:r>
          </w:p>
        </w:tc>
      </w:tr>
      <w:tr w:rsidR="00800011" w:rsidRPr="00800011" w14:paraId="381B5FE6" w14:textId="77777777" w:rsidTr="00800011">
        <w:trPr>
          <w:trHeight w:val="391"/>
        </w:trPr>
        <w:tc>
          <w:tcPr>
            <w:tcW w:w="1493" w:type="dxa"/>
            <w:shd w:val="clear" w:color="auto" w:fill="FFFFFF"/>
            <w:vAlign w:val="center"/>
          </w:tcPr>
          <w:p w14:paraId="12B66DC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w:t>
            </w:r>
          </w:p>
        </w:tc>
        <w:tc>
          <w:tcPr>
            <w:tcW w:w="1493" w:type="dxa"/>
            <w:shd w:val="clear" w:color="auto" w:fill="FFFFFF"/>
            <w:vAlign w:val="center"/>
          </w:tcPr>
          <w:p w14:paraId="7B9F1CC6"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2</w:t>
            </w:r>
          </w:p>
        </w:tc>
        <w:tc>
          <w:tcPr>
            <w:tcW w:w="1494" w:type="dxa"/>
            <w:shd w:val="clear" w:color="auto" w:fill="FFFFFF"/>
            <w:vAlign w:val="center"/>
          </w:tcPr>
          <w:p w14:paraId="221FC6D3"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2</w:t>
            </w:r>
          </w:p>
        </w:tc>
      </w:tr>
    </w:tbl>
    <w:p w14:paraId="0D3ACCD4" w14:textId="77777777" w:rsidR="00800011" w:rsidRPr="00800011" w:rsidRDefault="00800011" w:rsidP="00800011">
      <w:pPr>
        <w:rPr>
          <w:rFonts w:ascii="Calibri" w:eastAsia="宋体" w:hAnsi="Calibri" w:cs="Times New Roman"/>
          <w:b/>
        </w:rPr>
      </w:pPr>
    </w:p>
    <w:p w14:paraId="23D0A56D" w14:textId="77777777" w:rsidR="00800011" w:rsidRPr="00800011" w:rsidRDefault="00800011" w:rsidP="00800011">
      <w:pPr>
        <w:rPr>
          <w:rFonts w:ascii="Calibri" w:eastAsia="宋体" w:hAnsi="Calibri" w:cs="Times New Roman"/>
        </w:rPr>
      </w:pPr>
    </w:p>
    <w:p w14:paraId="16671A38" w14:textId="77777777" w:rsidR="00800011" w:rsidRPr="00800011" w:rsidRDefault="00800011" w:rsidP="00800011">
      <w:pPr>
        <w:rPr>
          <w:rFonts w:ascii="Calibri" w:eastAsia="宋体" w:hAnsi="Calibri" w:cs="Times New Roman"/>
        </w:rPr>
      </w:pPr>
    </w:p>
    <w:p w14:paraId="0C65A519" w14:textId="77777777" w:rsidR="00800011" w:rsidRPr="00800011" w:rsidRDefault="00800011" w:rsidP="00800011">
      <w:pPr>
        <w:rPr>
          <w:rFonts w:ascii="Calibri" w:eastAsia="宋体" w:hAnsi="Calibri" w:cs="Times New Roman"/>
        </w:rPr>
      </w:pPr>
    </w:p>
    <w:p w14:paraId="327B5FE3" w14:textId="77777777" w:rsidR="00800011" w:rsidRPr="00800011" w:rsidRDefault="00800011" w:rsidP="00800011">
      <w:pPr>
        <w:rPr>
          <w:rFonts w:ascii="Calibri" w:eastAsia="宋体" w:hAnsi="Calibri" w:cs="Times New Roman"/>
        </w:rPr>
      </w:pPr>
    </w:p>
    <w:p w14:paraId="421A5CF5" w14:textId="77777777" w:rsidR="00800011" w:rsidRPr="00800011" w:rsidRDefault="00800011" w:rsidP="00800011">
      <w:pPr>
        <w:rPr>
          <w:rFonts w:ascii="Calibri" w:eastAsia="宋体" w:hAnsi="Calibri" w:cs="Times New Roman"/>
        </w:rPr>
      </w:pPr>
    </w:p>
    <w:p w14:paraId="086D0683" w14:textId="77777777" w:rsidR="00800011" w:rsidRPr="00800011" w:rsidRDefault="00800011" w:rsidP="00800011">
      <w:pPr>
        <w:rPr>
          <w:rFonts w:ascii="Calibri" w:eastAsia="宋体" w:hAnsi="Calibri" w:cs="Times New Roman"/>
        </w:rPr>
      </w:pPr>
    </w:p>
    <w:p w14:paraId="599F8B75" w14:textId="77777777" w:rsidR="00800011" w:rsidRPr="00800011" w:rsidRDefault="00800011" w:rsidP="00800011">
      <w:pPr>
        <w:rPr>
          <w:rFonts w:ascii="Calibri" w:eastAsia="宋体" w:hAnsi="Calibri" w:cs="Times New Roman"/>
        </w:rPr>
      </w:pPr>
    </w:p>
    <w:p w14:paraId="58B5E65D" w14:textId="77777777" w:rsidR="00800011" w:rsidRPr="00800011" w:rsidRDefault="00800011" w:rsidP="00800011">
      <w:pPr>
        <w:rPr>
          <w:rFonts w:ascii="Calibri" w:eastAsia="宋体" w:hAnsi="Calibri" w:cs="Times New Roman"/>
        </w:rPr>
      </w:pPr>
    </w:p>
    <w:p w14:paraId="555355FA" w14:textId="77777777" w:rsidR="00800011" w:rsidRPr="00800011" w:rsidRDefault="00800011" w:rsidP="00800011">
      <w:pPr>
        <w:rPr>
          <w:rFonts w:ascii="Calibri" w:eastAsia="宋体" w:hAnsi="Calibri" w:cs="Times New Roman"/>
        </w:rPr>
      </w:pPr>
    </w:p>
    <w:p w14:paraId="791629A4" w14:textId="77777777" w:rsidR="00800011" w:rsidRPr="00800011" w:rsidRDefault="00800011" w:rsidP="00800011">
      <w:pPr>
        <w:rPr>
          <w:rFonts w:ascii="Calibri" w:eastAsia="宋体" w:hAnsi="Calibri" w:cs="Times New Roman"/>
        </w:rPr>
      </w:pPr>
    </w:p>
    <w:p w14:paraId="62485FE7" w14:textId="77777777" w:rsidR="00800011" w:rsidRPr="00800011" w:rsidRDefault="00800011" w:rsidP="00800011">
      <w:pPr>
        <w:rPr>
          <w:rFonts w:ascii="Calibri" w:eastAsia="宋体" w:hAnsi="Calibri" w:cs="Times New Roman"/>
        </w:rPr>
      </w:pPr>
    </w:p>
    <w:p w14:paraId="0D940D58" w14:textId="77777777" w:rsidR="00800011" w:rsidRPr="00800011" w:rsidRDefault="00800011" w:rsidP="00800011">
      <w:pPr>
        <w:rPr>
          <w:rFonts w:ascii="Calibri" w:eastAsia="宋体" w:hAnsi="Calibri" w:cs="Times New Roman"/>
        </w:rPr>
      </w:pPr>
    </w:p>
    <w:p w14:paraId="03D09614" w14:textId="77777777" w:rsidR="00800011" w:rsidRPr="00800011" w:rsidRDefault="00800011" w:rsidP="00800011">
      <w:pPr>
        <w:rPr>
          <w:rFonts w:ascii="Calibri" w:eastAsia="宋体" w:hAnsi="Calibri" w:cs="Times New Roman"/>
        </w:rPr>
      </w:pPr>
    </w:p>
    <w:p w14:paraId="741A3E13" w14:textId="77777777" w:rsidR="00800011" w:rsidRPr="00800011" w:rsidRDefault="00800011" w:rsidP="00800011">
      <w:pPr>
        <w:rPr>
          <w:rFonts w:ascii="Calibri" w:eastAsia="宋体" w:hAnsi="Calibri" w:cs="Times New Roman"/>
        </w:rPr>
      </w:pPr>
    </w:p>
    <w:p w14:paraId="2DCC63AD"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518B898"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06E6367"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5E84B7F"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BA52253"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22A62B"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14D7531"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395D421"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5F7F571"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48FC8D8"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B18C350"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099A6C" w14:textId="77777777" w:rsidR="00800011" w:rsidRPr="00800011" w:rsidRDefault="00800011" w:rsidP="00800011">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800011">
        <w:rPr>
          <w:rFonts w:ascii="宋体" w:eastAsia="宋体" w:hAnsi="Calibri" w:cs="宋体" w:hint="eastAsia"/>
          <w:spacing w:val="5"/>
          <w:kern w:val="0"/>
          <w:sz w:val="24"/>
        </w:rPr>
        <w:t>3.1000米跑、800米跑均为低优指标，学生成绩低于单项评分100分后，以减少的秒数所对应的分数进行加分。</w:t>
      </w:r>
    </w:p>
    <w:p w14:paraId="4B75EA37"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800011">
        <w:rPr>
          <w:rFonts w:ascii="宋体" w:eastAsia="宋体" w:hAnsi="Calibri" w:cs="宋体" w:hint="eastAsia"/>
          <w:spacing w:val="5"/>
          <w:kern w:val="0"/>
          <w:sz w:val="24"/>
        </w:rPr>
        <w:t>表3-1  男生1000米跑                   表3-2  女生800米跑</w:t>
      </w:r>
    </w:p>
    <w:p w14:paraId="05A716AD" w14:textId="77777777" w:rsidR="00800011" w:rsidRPr="00800011" w:rsidRDefault="00800011" w:rsidP="00800011">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800011">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800011" w:rsidRPr="00800011" w14:paraId="36036B84" w14:textId="77777777" w:rsidTr="00800011">
        <w:trPr>
          <w:trHeight w:val="288"/>
        </w:trPr>
        <w:tc>
          <w:tcPr>
            <w:tcW w:w="1574" w:type="dxa"/>
            <w:vAlign w:val="center"/>
          </w:tcPr>
          <w:p w14:paraId="761DA46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加分</w:t>
            </w:r>
          </w:p>
        </w:tc>
        <w:tc>
          <w:tcPr>
            <w:tcW w:w="1575" w:type="dxa"/>
            <w:vAlign w:val="center"/>
          </w:tcPr>
          <w:p w14:paraId="6A387D5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大一大二</w:t>
            </w:r>
          </w:p>
        </w:tc>
        <w:tc>
          <w:tcPr>
            <w:tcW w:w="1575" w:type="dxa"/>
            <w:vAlign w:val="center"/>
          </w:tcPr>
          <w:p w14:paraId="142DA44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大三大四</w:t>
            </w:r>
          </w:p>
        </w:tc>
      </w:tr>
      <w:tr w:rsidR="00800011" w:rsidRPr="00800011" w14:paraId="2B15C0E5" w14:textId="77777777" w:rsidTr="00800011">
        <w:trPr>
          <w:trHeight w:val="288"/>
        </w:trPr>
        <w:tc>
          <w:tcPr>
            <w:tcW w:w="1574" w:type="dxa"/>
            <w:vAlign w:val="center"/>
          </w:tcPr>
          <w:p w14:paraId="3C40843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w:t>
            </w:r>
          </w:p>
        </w:tc>
        <w:tc>
          <w:tcPr>
            <w:tcW w:w="1575" w:type="dxa"/>
            <w:vAlign w:val="center"/>
          </w:tcPr>
          <w:p w14:paraId="121DF779"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-35"</w:t>
            </w:r>
          </w:p>
        </w:tc>
        <w:tc>
          <w:tcPr>
            <w:tcW w:w="1575" w:type="dxa"/>
            <w:vAlign w:val="center"/>
          </w:tcPr>
          <w:p w14:paraId="22AB923C"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-35"</w:t>
            </w:r>
          </w:p>
        </w:tc>
      </w:tr>
      <w:tr w:rsidR="00800011" w:rsidRPr="00800011" w14:paraId="184A7586" w14:textId="77777777" w:rsidTr="00800011">
        <w:trPr>
          <w:trHeight w:val="288"/>
        </w:trPr>
        <w:tc>
          <w:tcPr>
            <w:tcW w:w="1574" w:type="dxa"/>
            <w:vAlign w:val="center"/>
          </w:tcPr>
          <w:p w14:paraId="7C95D46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w:t>
            </w:r>
          </w:p>
        </w:tc>
        <w:tc>
          <w:tcPr>
            <w:tcW w:w="1575" w:type="dxa"/>
            <w:vAlign w:val="center"/>
          </w:tcPr>
          <w:p w14:paraId="1B024AA3"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-32"</w:t>
            </w:r>
          </w:p>
        </w:tc>
        <w:tc>
          <w:tcPr>
            <w:tcW w:w="1575" w:type="dxa"/>
            <w:vAlign w:val="center"/>
          </w:tcPr>
          <w:p w14:paraId="41F6132D"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-32"</w:t>
            </w:r>
          </w:p>
        </w:tc>
      </w:tr>
      <w:tr w:rsidR="00800011" w:rsidRPr="00800011" w14:paraId="1545EE4A" w14:textId="77777777" w:rsidTr="00800011">
        <w:trPr>
          <w:trHeight w:val="288"/>
        </w:trPr>
        <w:tc>
          <w:tcPr>
            <w:tcW w:w="1574" w:type="dxa"/>
            <w:shd w:val="clear" w:color="auto" w:fill="FFFFFF"/>
            <w:vAlign w:val="center"/>
          </w:tcPr>
          <w:p w14:paraId="7B8B56C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w:t>
            </w:r>
          </w:p>
        </w:tc>
        <w:tc>
          <w:tcPr>
            <w:tcW w:w="1575" w:type="dxa"/>
            <w:shd w:val="clear" w:color="auto" w:fill="FFFFFF"/>
            <w:vAlign w:val="center"/>
          </w:tcPr>
          <w:p w14:paraId="2B8D7DAB"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-29"</w:t>
            </w:r>
          </w:p>
        </w:tc>
        <w:tc>
          <w:tcPr>
            <w:tcW w:w="1575" w:type="dxa"/>
            <w:shd w:val="clear" w:color="auto" w:fill="FFFFFF"/>
            <w:vAlign w:val="center"/>
          </w:tcPr>
          <w:p w14:paraId="6E1ACD61"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-29"</w:t>
            </w:r>
          </w:p>
        </w:tc>
      </w:tr>
      <w:tr w:rsidR="00800011" w:rsidRPr="00800011" w14:paraId="57AE1619" w14:textId="77777777" w:rsidTr="00800011">
        <w:trPr>
          <w:trHeight w:val="288"/>
        </w:trPr>
        <w:tc>
          <w:tcPr>
            <w:tcW w:w="1574" w:type="dxa"/>
            <w:shd w:val="clear" w:color="auto" w:fill="FFFFFF"/>
            <w:vAlign w:val="center"/>
          </w:tcPr>
          <w:p w14:paraId="36D33DA9"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w:t>
            </w:r>
          </w:p>
        </w:tc>
        <w:tc>
          <w:tcPr>
            <w:tcW w:w="1575" w:type="dxa"/>
            <w:shd w:val="clear" w:color="auto" w:fill="FFFFFF"/>
            <w:vAlign w:val="center"/>
          </w:tcPr>
          <w:p w14:paraId="60F15FBF"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-26"</w:t>
            </w:r>
          </w:p>
        </w:tc>
        <w:tc>
          <w:tcPr>
            <w:tcW w:w="1575" w:type="dxa"/>
            <w:shd w:val="clear" w:color="auto" w:fill="FFFFFF"/>
            <w:vAlign w:val="center"/>
          </w:tcPr>
          <w:p w14:paraId="26F31D0C"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-26"</w:t>
            </w:r>
          </w:p>
        </w:tc>
      </w:tr>
      <w:tr w:rsidR="00800011" w:rsidRPr="00800011" w14:paraId="65EC87B8" w14:textId="77777777" w:rsidTr="00800011">
        <w:trPr>
          <w:trHeight w:val="288"/>
        </w:trPr>
        <w:tc>
          <w:tcPr>
            <w:tcW w:w="1574" w:type="dxa"/>
            <w:shd w:val="clear" w:color="auto" w:fill="FFFFFF"/>
            <w:vAlign w:val="center"/>
          </w:tcPr>
          <w:p w14:paraId="4C929486"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w:t>
            </w:r>
          </w:p>
        </w:tc>
        <w:tc>
          <w:tcPr>
            <w:tcW w:w="1575" w:type="dxa"/>
            <w:shd w:val="clear" w:color="auto" w:fill="FFFFFF"/>
            <w:vAlign w:val="center"/>
          </w:tcPr>
          <w:p w14:paraId="2E58B18C"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-23"</w:t>
            </w:r>
          </w:p>
        </w:tc>
        <w:tc>
          <w:tcPr>
            <w:tcW w:w="1575" w:type="dxa"/>
            <w:shd w:val="clear" w:color="auto" w:fill="FFFFFF"/>
            <w:vAlign w:val="center"/>
          </w:tcPr>
          <w:p w14:paraId="1BA00BAC"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-23"</w:t>
            </w:r>
          </w:p>
        </w:tc>
      </w:tr>
      <w:tr w:rsidR="00800011" w:rsidRPr="00800011" w14:paraId="3E93C53A" w14:textId="77777777" w:rsidTr="00800011">
        <w:trPr>
          <w:trHeight w:val="288"/>
        </w:trPr>
        <w:tc>
          <w:tcPr>
            <w:tcW w:w="1574" w:type="dxa"/>
            <w:shd w:val="clear" w:color="auto" w:fill="FFFFFF"/>
            <w:vAlign w:val="center"/>
          </w:tcPr>
          <w:p w14:paraId="3E1F8D9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5</w:t>
            </w:r>
          </w:p>
        </w:tc>
        <w:tc>
          <w:tcPr>
            <w:tcW w:w="1575" w:type="dxa"/>
            <w:shd w:val="clear" w:color="auto" w:fill="FFFFFF"/>
            <w:vAlign w:val="center"/>
          </w:tcPr>
          <w:p w14:paraId="5B86A07B"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-20"</w:t>
            </w:r>
          </w:p>
        </w:tc>
        <w:tc>
          <w:tcPr>
            <w:tcW w:w="1575" w:type="dxa"/>
            <w:shd w:val="clear" w:color="auto" w:fill="FFFFFF"/>
            <w:vAlign w:val="center"/>
          </w:tcPr>
          <w:p w14:paraId="56C78059"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-20"</w:t>
            </w:r>
          </w:p>
        </w:tc>
      </w:tr>
      <w:tr w:rsidR="00800011" w:rsidRPr="00800011" w14:paraId="24D53D4F" w14:textId="77777777" w:rsidTr="00800011">
        <w:trPr>
          <w:trHeight w:val="288"/>
        </w:trPr>
        <w:tc>
          <w:tcPr>
            <w:tcW w:w="1574" w:type="dxa"/>
            <w:shd w:val="clear" w:color="auto" w:fill="FFFFFF"/>
            <w:vAlign w:val="center"/>
          </w:tcPr>
          <w:p w14:paraId="46021551"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4</w:t>
            </w:r>
          </w:p>
        </w:tc>
        <w:tc>
          <w:tcPr>
            <w:tcW w:w="1575" w:type="dxa"/>
            <w:shd w:val="clear" w:color="auto" w:fill="FFFFFF"/>
            <w:vAlign w:val="center"/>
          </w:tcPr>
          <w:p w14:paraId="58F896B2"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-16"</w:t>
            </w:r>
          </w:p>
        </w:tc>
        <w:tc>
          <w:tcPr>
            <w:tcW w:w="1575" w:type="dxa"/>
            <w:shd w:val="clear" w:color="auto" w:fill="FFFFFF"/>
            <w:vAlign w:val="center"/>
          </w:tcPr>
          <w:p w14:paraId="53BA1570"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-16"</w:t>
            </w:r>
          </w:p>
        </w:tc>
      </w:tr>
      <w:tr w:rsidR="00800011" w:rsidRPr="00800011" w14:paraId="36D5ED5D" w14:textId="77777777" w:rsidTr="00800011">
        <w:trPr>
          <w:trHeight w:val="288"/>
        </w:trPr>
        <w:tc>
          <w:tcPr>
            <w:tcW w:w="1574" w:type="dxa"/>
            <w:shd w:val="clear" w:color="auto" w:fill="FFFFFF"/>
            <w:vAlign w:val="center"/>
          </w:tcPr>
          <w:p w14:paraId="239DCE7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3</w:t>
            </w:r>
          </w:p>
        </w:tc>
        <w:tc>
          <w:tcPr>
            <w:tcW w:w="1575" w:type="dxa"/>
            <w:shd w:val="clear" w:color="auto" w:fill="FFFFFF"/>
            <w:vAlign w:val="center"/>
          </w:tcPr>
          <w:p w14:paraId="7805E7F1"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-12"</w:t>
            </w:r>
          </w:p>
        </w:tc>
        <w:tc>
          <w:tcPr>
            <w:tcW w:w="1575" w:type="dxa"/>
            <w:shd w:val="clear" w:color="auto" w:fill="FFFFFF"/>
            <w:vAlign w:val="center"/>
          </w:tcPr>
          <w:p w14:paraId="15A00469"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-12"</w:t>
            </w:r>
          </w:p>
        </w:tc>
      </w:tr>
      <w:tr w:rsidR="00800011" w:rsidRPr="00800011" w14:paraId="7C957A79" w14:textId="77777777" w:rsidTr="00800011">
        <w:trPr>
          <w:trHeight w:val="288"/>
        </w:trPr>
        <w:tc>
          <w:tcPr>
            <w:tcW w:w="1574" w:type="dxa"/>
            <w:shd w:val="clear" w:color="auto" w:fill="FFFFFF"/>
            <w:vAlign w:val="center"/>
          </w:tcPr>
          <w:p w14:paraId="47FFCB9F"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2</w:t>
            </w:r>
          </w:p>
        </w:tc>
        <w:tc>
          <w:tcPr>
            <w:tcW w:w="1575" w:type="dxa"/>
            <w:shd w:val="clear" w:color="auto" w:fill="FFFFFF"/>
            <w:vAlign w:val="center"/>
          </w:tcPr>
          <w:p w14:paraId="3B336D80"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-8"</w:t>
            </w:r>
          </w:p>
        </w:tc>
        <w:tc>
          <w:tcPr>
            <w:tcW w:w="1575" w:type="dxa"/>
            <w:shd w:val="clear" w:color="auto" w:fill="FFFFFF"/>
            <w:vAlign w:val="center"/>
          </w:tcPr>
          <w:p w14:paraId="3EFCA011"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-8"</w:t>
            </w:r>
          </w:p>
        </w:tc>
      </w:tr>
      <w:tr w:rsidR="00800011" w:rsidRPr="00800011" w14:paraId="2510C524" w14:textId="77777777" w:rsidTr="00800011">
        <w:trPr>
          <w:trHeight w:val="288"/>
        </w:trPr>
        <w:tc>
          <w:tcPr>
            <w:tcW w:w="1574" w:type="dxa"/>
            <w:shd w:val="clear" w:color="auto" w:fill="FFFFFF"/>
            <w:vAlign w:val="center"/>
          </w:tcPr>
          <w:p w14:paraId="0D886D0B"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w:t>
            </w:r>
          </w:p>
        </w:tc>
        <w:tc>
          <w:tcPr>
            <w:tcW w:w="1575" w:type="dxa"/>
            <w:shd w:val="clear" w:color="auto" w:fill="FFFFFF"/>
            <w:vAlign w:val="center"/>
          </w:tcPr>
          <w:p w14:paraId="45CC06DA"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-4"</w:t>
            </w:r>
          </w:p>
        </w:tc>
        <w:tc>
          <w:tcPr>
            <w:tcW w:w="1575" w:type="dxa"/>
            <w:shd w:val="clear" w:color="auto" w:fill="FFFFFF"/>
            <w:vAlign w:val="center"/>
          </w:tcPr>
          <w:p w14:paraId="3F2FBA74"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-4"</w:t>
            </w:r>
          </w:p>
        </w:tc>
      </w:tr>
    </w:tbl>
    <w:p w14:paraId="0F67B71F" w14:textId="77777777" w:rsidR="00800011" w:rsidRPr="00800011" w:rsidRDefault="00800011" w:rsidP="00800011">
      <w:pPr>
        <w:rPr>
          <w:rFonts w:ascii="仿宋_GB2312" w:eastAsia="仿宋_GB2312" w:hAnsi="仿宋" w:cs="Times New Roman"/>
          <w:sz w:val="32"/>
          <w:szCs w:val="32"/>
        </w:rPr>
      </w:pPr>
    </w:p>
    <w:tbl>
      <w:tblPr>
        <w:tblpPr w:leftFromText="180" w:rightFromText="180" w:vertAnchor="text" w:horzAnchor="page" w:tblpXSpec="center"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800011" w:rsidRPr="00800011" w14:paraId="61A6236A" w14:textId="77777777" w:rsidTr="003C75C2">
        <w:trPr>
          <w:trHeight w:val="288"/>
        </w:trPr>
        <w:tc>
          <w:tcPr>
            <w:tcW w:w="1574" w:type="dxa"/>
            <w:vAlign w:val="center"/>
          </w:tcPr>
          <w:p w14:paraId="18E8C6DA"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加分</w:t>
            </w:r>
          </w:p>
        </w:tc>
        <w:tc>
          <w:tcPr>
            <w:tcW w:w="1575" w:type="dxa"/>
            <w:vAlign w:val="center"/>
          </w:tcPr>
          <w:p w14:paraId="35216194"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大一大二</w:t>
            </w:r>
          </w:p>
        </w:tc>
        <w:tc>
          <w:tcPr>
            <w:tcW w:w="1575" w:type="dxa"/>
            <w:vAlign w:val="center"/>
          </w:tcPr>
          <w:p w14:paraId="5CA93013"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大三大四</w:t>
            </w:r>
          </w:p>
        </w:tc>
      </w:tr>
      <w:tr w:rsidR="00800011" w:rsidRPr="00800011" w14:paraId="7358B022" w14:textId="77777777" w:rsidTr="003C75C2">
        <w:trPr>
          <w:trHeight w:val="288"/>
        </w:trPr>
        <w:tc>
          <w:tcPr>
            <w:tcW w:w="1574" w:type="dxa"/>
            <w:vAlign w:val="center"/>
          </w:tcPr>
          <w:p w14:paraId="3DA9838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10</w:t>
            </w:r>
          </w:p>
        </w:tc>
        <w:tc>
          <w:tcPr>
            <w:tcW w:w="1575" w:type="dxa"/>
            <w:vAlign w:val="center"/>
          </w:tcPr>
          <w:p w14:paraId="2B27D312"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-50"</w:t>
            </w:r>
          </w:p>
        </w:tc>
        <w:tc>
          <w:tcPr>
            <w:tcW w:w="1575" w:type="dxa"/>
            <w:vAlign w:val="center"/>
          </w:tcPr>
          <w:p w14:paraId="31D92B23"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-50"</w:t>
            </w:r>
          </w:p>
        </w:tc>
      </w:tr>
      <w:tr w:rsidR="00800011" w:rsidRPr="00800011" w14:paraId="646F6C23" w14:textId="77777777" w:rsidTr="003C75C2">
        <w:trPr>
          <w:trHeight w:val="288"/>
        </w:trPr>
        <w:tc>
          <w:tcPr>
            <w:tcW w:w="1574" w:type="dxa"/>
            <w:vAlign w:val="center"/>
          </w:tcPr>
          <w:p w14:paraId="2C6A011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9</w:t>
            </w:r>
          </w:p>
        </w:tc>
        <w:tc>
          <w:tcPr>
            <w:tcW w:w="1575" w:type="dxa"/>
            <w:vAlign w:val="center"/>
          </w:tcPr>
          <w:p w14:paraId="79B78E43"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-45"</w:t>
            </w:r>
          </w:p>
        </w:tc>
        <w:tc>
          <w:tcPr>
            <w:tcW w:w="1575" w:type="dxa"/>
            <w:vAlign w:val="center"/>
          </w:tcPr>
          <w:p w14:paraId="11D99D2C"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-45"</w:t>
            </w:r>
          </w:p>
        </w:tc>
      </w:tr>
      <w:tr w:rsidR="00800011" w:rsidRPr="00800011" w14:paraId="727D95A2" w14:textId="77777777" w:rsidTr="003C75C2">
        <w:trPr>
          <w:trHeight w:val="288"/>
        </w:trPr>
        <w:tc>
          <w:tcPr>
            <w:tcW w:w="1574" w:type="dxa"/>
            <w:shd w:val="clear" w:color="auto" w:fill="FFFFFF"/>
            <w:vAlign w:val="center"/>
          </w:tcPr>
          <w:p w14:paraId="21945BA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8</w:t>
            </w:r>
          </w:p>
        </w:tc>
        <w:tc>
          <w:tcPr>
            <w:tcW w:w="1575" w:type="dxa"/>
            <w:shd w:val="clear" w:color="auto" w:fill="FFFFFF"/>
            <w:vAlign w:val="center"/>
          </w:tcPr>
          <w:p w14:paraId="538DB0F9"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-40"</w:t>
            </w:r>
          </w:p>
        </w:tc>
        <w:tc>
          <w:tcPr>
            <w:tcW w:w="1575" w:type="dxa"/>
            <w:shd w:val="clear" w:color="auto" w:fill="FFFFFF"/>
            <w:vAlign w:val="center"/>
          </w:tcPr>
          <w:p w14:paraId="7DCB11FA"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-40"</w:t>
            </w:r>
          </w:p>
        </w:tc>
      </w:tr>
      <w:tr w:rsidR="00800011" w:rsidRPr="00800011" w14:paraId="3296D4D8" w14:textId="77777777" w:rsidTr="003C75C2">
        <w:trPr>
          <w:trHeight w:val="288"/>
        </w:trPr>
        <w:tc>
          <w:tcPr>
            <w:tcW w:w="1574" w:type="dxa"/>
            <w:shd w:val="clear" w:color="auto" w:fill="FFFFFF"/>
            <w:vAlign w:val="center"/>
          </w:tcPr>
          <w:p w14:paraId="56E264C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7</w:t>
            </w:r>
          </w:p>
        </w:tc>
        <w:tc>
          <w:tcPr>
            <w:tcW w:w="1575" w:type="dxa"/>
            <w:shd w:val="clear" w:color="auto" w:fill="FFFFFF"/>
            <w:vAlign w:val="center"/>
          </w:tcPr>
          <w:p w14:paraId="46403886"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-35"</w:t>
            </w:r>
          </w:p>
        </w:tc>
        <w:tc>
          <w:tcPr>
            <w:tcW w:w="1575" w:type="dxa"/>
            <w:shd w:val="clear" w:color="auto" w:fill="FFFFFF"/>
            <w:vAlign w:val="center"/>
          </w:tcPr>
          <w:p w14:paraId="28C5428D"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-35"</w:t>
            </w:r>
          </w:p>
        </w:tc>
      </w:tr>
      <w:tr w:rsidR="00800011" w:rsidRPr="00800011" w14:paraId="3202103E" w14:textId="77777777" w:rsidTr="003C75C2">
        <w:trPr>
          <w:trHeight w:val="288"/>
        </w:trPr>
        <w:tc>
          <w:tcPr>
            <w:tcW w:w="1574" w:type="dxa"/>
            <w:shd w:val="clear" w:color="auto" w:fill="FFFFFF"/>
            <w:vAlign w:val="center"/>
          </w:tcPr>
          <w:p w14:paraId="5F703018"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6</w:t>
            </w:r>
          </w:p>
        </w:tc>
        <w:tc>
          <w:tcPr>
            <w:tcW w:w="1575" w:type="dxa"/>
            <w:shd w:val="clear" w:color="auto" w:fill="FFFFFF"/>
            <w:vAlign w:val="center"/>
          </w:tcPr>
          <w:p w14:paraId="6DF1E973"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-30"</w:t>
            </w:r>
          </w:p>
        </w:tc>
        <w:tc>
          <w:tcPr>
            <w:tcW w:w="1575" w:type="dxa"/>
            <w:shd w:val="clear" w:color="auto" w:fill="FFFFFF"/>
            <w:vAlign w:val="center"/>
          </w:tcPr>
          <w:p w14:paraId="7495CDB8"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-30"</w:t>
            </w:r>
          </w:p>
        </w:tc>
      </w:tr>
      <w:tr w:rsidR="00800011" w:rsidRPr="00800011" w14:paraId="64D4656F" w14:textId="77777777" w:rsidTr="003C75C2">
        <w:trPr>
          <w:trHeight w:val="288"/>
        </w:trPr>
        <w:tc>
          <w:tcPr>
            <w:tcW w:w="1574" w:type="dxa"/>
            <w:shd w:val="clear" w:color="auto" w:fill="FFFFFF"/>
            <w:vAlign w:val="center"/>
          </w:tcPr>
          <w:p w14:paraId="1435F2DE"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5</w:t>
            </w:r>
          </w:p>
        </w:tc>
        <w:tc>
          <w:tcPr>
            <w:tcW w:w="1575" w:type="dxa"/>
            <w:shd w:val="clear" w:color="auto" w:fill="FFFFFF"/>
            <w:vAlign w:val="center"/>
          </w:tcPr>
          <w:p w14:paraId="74B2E80A"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-25"</w:t>
            </w:r>
          </w:p>
        </w:tc>
        <w:tc>
          <w:tcPr>
            <w:tcW w:w="1575" w:type="dxa"/>
            <w:shd w:val="clear" w:color="auto" w:fill="FFFFFF"/>
            <w:vAlign w:val="center"/>
          </w:tcPr>
          <w:p w14:paraId="0E7CCD15"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-25"</w:t>
            </w:r>
          </w:p>
        </w:tc>
      </w:tr>
      <w:tr w:rsidR="00800011" w:rsidRPr="00800011" w14:paraId="65AD40F1" w14:textId="77777777" w:rsidTr="003C75C2">
        <w:trPr>
          <w:trHeight w:val="288"/>
        </w:trPr>
        <w:tc>
          <w:tcPr>
            <w:tcW w:w="1574" w:type="dxa"/>
            <w:shd w:val="clear" w:color="auto" w:fill="FFFFFF"/>
            <w:vAlign w:val="center"/>
          </w:tcPr>
          <w:p w14:paraId="4344461D"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4</w:t>
            </w:r>
          </w:p>
        </w:tc>
        <w:tc>
          <w:tcPr>
            <w:tcW w:w="1575" w:type="dxa"/>
            <w:shd w:val="clear" w:color="auto" w:fill="FFFFFF"/>
            <w:vAlign w:val="center"/>
          </w:tcPr>
          <w:p w14:paraId="2D42AADE"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-20"</w:t>
            </w:r>
          </w:p>
        </w:tc>
        <w:tc>
          <w:tcPr>
            <w:tcW w:w="1575" w:type="dxa"/>
            <w:shd w:val="clear" w:color="auto" w:fill="FFFFFF"/>
            <w:vAlign w:val="center"/>
          </w:tcPr>
          <w:p w14:paraId="71A1C270"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-20"</w:t>
            </w:r>
          </w:p>
        </w:tc>
      </w:tr>
      <w:tr w:rsidR="00800011" w:rsidRPr="00800011" w14:paraId="5E281772" w14:textId="77777777" w:rsidTr="003C75C2">
        <w:trPr>
          <w:trHeight w:val="288"/>
        </w:trPr>
        <w:tc>
          <w:tcPr>
            <w:tcW w:w="1574" w:type="dxa"/>
            <w:shd w:val="clear" w:color="auto" w:fill="FFFFFF"/>
            <w:vAlign w:val="center"/>
          </w:tcPr>
          <w:p w14:paraId="42A139F0"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3</w:t>
            </w:r>
          </w:p>
        </w:tc>
        <w:tc>
          <w:tcPr>
            <w:tcW w:w="1575" w:type="dxa"/>
            <w:shd w:val="clear" w:color="auto" w:fill="FFFFFF"/>
            <w:vAlign w:val="center"/>
          </w:tcPr>
          <w:p w14:paraId="3E38849A"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-15"</w:t>
            </w:r>
          </w:p>
        </w:tc>
        <w:tc>
          <w:tcPr>
            <w:tcW w:w="1575" w:type="dxa"/>
            <w:shd w:val="clear" w:color="auto" w:fill="FFFFFF"/>
            <w:vAlign w:val="center"/>
          </w:tcPr>
          <w:p w14:paraId="1943EEAD"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-15"</w:t>
            </w:r>
          </w:p>
        </w:tc>
      </w:tr>
      <w:tr w:rsidR="00800011" w:rsidRPr="00800011" w14:paraId="3F568BFF" w14:textId="77777777" w:rsidTr="003C75C2">
        <w:trPr>
          <w:trHeight w:val="288"/>
        </w:trPr>
        <w:tc>
          <w:tcPr>
            <w:tcW w:w="1574" w:type="dxa"/>
            <w:shd w:val="clear" w:color="auto" w:fill="FFFFFF"/>
            <w:vAlign w:val="center"/>
          </w:tcPr>
          <w:p w14:paraId="43185DE2"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2</w:t>
            </w:r>
          </w:p>
        </w:tc>
        <w:tc>
          <w:tcPr>
            <w:tcW w:w="1575" w:type="dxa"/>
            <w:shd w:val="clear" w:color="auto" w:fill="FFFFFF"/>
            <w:vAlign w:val="center"/>
          </w:tcPr>
          <w:p w14:paraId="18D68F68"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-10"</w:t>
            </w:r>
          </w:p>
        </w:tc>
        <w:tc>
          <w:tcPr>
            <w:tcW w:w="1575" w:type="dxa"/>
            <w:shd w:val="clear" w:color="auto" w:fill="FFFFFF"/>
            <w:vAlign w:val="center"/>
          </w:tcPr>
          <w:p w14:paraId="7A483642"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-10"</w:t>
            </w:r>
          </w:p>
        </w:tc>
      </w:tr>
      <w:tr w:rsidR="00800011" w:rsidRPr="00800011" w14:paraId="3C01ADBD" w14:textId="77777777" w:rsidTr="003C75C2">
        <w:trPr>
          <w:trHeight w:val="288"/>
        </w:trPr>
        <w:tc>
          <w:tcPr>
            <w:tcW w:w="1574" w:type="dxa"/>
            <w:shd w:val="clear" w:color="auto" w:fill="FFFFFF"/>
            <w:vAlign w:val="center"/>
          </w:tcPr>
          <w:p w14:paraId="76457F97" w14:textId="77777777" w:rsidR="00800011" w:rsidRPr="00800011" w:rsidRDefault="00800011" w:rsidP="00800011">
            <w:pPr>
              <w:widowControl/>
              <w:jc w:val="center"/>
              <w:rPr>
                <w:rFonts w:ascii="宋体" w:eastAsia="宋体" w:hAnsi="宋体" w:cs="宋体"/>
                <w:b/>
                <w:bCs/>
                <w:kern w:val="0"/>
                <w:sz w:val="22"/>
              </w:rPr>
            </w:pPr>
            <w:r w:rsidRPr="00800011">
              <w:rPr>
                <w:rFonts w:ascii="宋体" w:eastAsia="宋体" w:hAnsi="宋体" w:cs="宋体" w:hint="eastAsia"/>
                <w:b/>
                <w:bCs/>
                <w:kern w:val="0"/>
                <w:sz w:val="22"/>
              </w:rPr>
              <w:t>1</w:t>
            </w:r>
          </w:p>
        </w:tc>
        <w:tc>
          <w:tcPr>
            <w:tcW w:w="1575" w:type="dxa"/>
            <w:shd w:val="clear" w:color="auto" w:fill="FFFFFF"/>
            <w:vAlign w:val="center"/>
          </w:tcPr>
          <w:p w14:paraId="633CA868"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-5"</w:t>
            </w:r>
          </w:p>
        </w:tc>
        <w:tc>
          <w:tcPr>
            <w:tcW w:w="1575" w:type="dxa"/>
            <w:shd w:val="clear" w:color="auto" w:fill="FFFFFF"/>
            <w:vAlign w:val="center"/>
          </w:tcPr>
          <w:p w14:paraId="291594FE" w14:textId="77777777" w:rsidR="00800011" w:rsidRPr="00800011" w:rsidRDefault="00800011" w:rsidP="00800011">
            <w:pPr>
              <w:jc w:val="center"/>
              <w:rPr>
                <w:rFonts w:ascii="Calibri" w:eastAsia="宋体" w:hAnsi="Calibri" w:cs="Times New Roman"/>
                <w:color w:val="000000"/>
                <w:sz w:val="22"/>
              </w:rPr>
            </w:pPr>
            <w:r w:rsidRPr="00800011">
              <w:rPr>
                <w:rFonts w:ascii="Calibri" w:eastAsia="宋体" w:hAnsi="Calibri" w:cs="Times New Roman" w:hint="eastAsia"/>
                <w:color w:val="000000"/>
                <w:sz w:val="22"/>
              </w:rPr>
              <w:t>-5"</w:t>
            </w:r>
          </w:p>
        </w:tc>
      </w:tr>
    </w:tbl>
    <w:p w14:paraId="277300DB" w14:textId="77777777" w:rsidR="00800011" w:rsidRPr="00800011" w:rsidRDefault="00800011" w:rsidP="00800011">
      <w:pPr>
        <w:spacing w:beforeLines="100" w:before="312" w:afterLines="100" w:after="312" w:line="440" w:lineRule="exact"/>
        <w:jc w:val="center"/>
        <w:rPr>
          <w:rFonts w:ascii="黑体" w:eastAsia="黑体" w:hAnsi="黑体" w:cs="Times New Roman"/>
          <w:bCs/>
          <w:sz w:val="36"/>
          <w:szCs w:val="36"/>
        </w:rPr>
      </w:pPr>
    </w:p>
    <w:p w14:paraId="01F49932" w14:textId="77777777" w:rsidR="00800011" w:rsidRPr="00800011" w:rsidRDefault="00800011" w:rsidP="00800011">
      <w:pPr>
        <w:spacing w:line="440" w:lineRule="exact"/>
        <w:ind w:firstLineChars="200" w:firstLine="480"/>
        <w:rPr>
          <w:rFonts w:ascii="宋体" w:eastAsia="宋体" w:hAnsi="宋体" w:cs="Times New Roman"/>
          <w:sz w:val="24"/>
        </w:rPr>
        <w:sectPr w:rsidR="00800011" w:rsidRPr="00800011" w:rsidSect="00BE4524">
          <w:footerReference w:type="default" r:id="rId19"/>
          <w:pgSz w:w="11907" w:h="16840"/>
          <w:pgMar w:top="1418" w:right="1418" w:bottom="1418" w:left="1418" w:header="851" w:footer="992" w:gutter="284"/>
          <w:pgNumType w:start="1"/>
          <w:cols w:space="720"/>
          <w:docGrid w:type="lines" w:linePitch="312"/>
        </w:sectPr>
      </w:pPr>
    </w:p>
    <w:p w14:paraId="1FA5B928" w14:textId="77777777" w:rsidR="003C75C2" w:rsidRPr="003C75C2" w:rsidRDefault="003C75C2" w:rsidP="006D6C0A">
      <w:pPr>
        <w:pStyle w:val="1"/>
        <w:spacing w:before="100" w:beforeAutospacing="1"/>
      </w:pPr>
      <w:bookmarkStart w:id="80" w:name="_Toc149662349"/>
      <w:r w:rsidRPr="003C75C2">
        <w:rPr>
          <w:rFonts w:hint="eastAsia"/>
        </w:rPr>
        <w:lastRenderedPageBreak/>
        <w:t>《计算思维与信息技术》课程大纲</w:t>
      </w:r>
      <w:bookmarkEnd w:id="80"/>
    </w:p>
    <w:p w14:paraId="33BCEA88" w14:textId="77777777" w:rsidR="003C75C2" w:rsidRPr="003C75C2" w:rsidRDefault="003C75C2" w:rsidP="003C75C2">
      <w:pPr>
        <w:spacing w:beforeLines="50" w:before="156" w:afterLines="50" w:after="156" w:line="440" w:lineRule="exact"/>
        <w:ind w:firstLineChars="200" w:firstLine="560"/>
        <w:rPr>
          <w:rFonts w:ascii="黑体" w:eastAsia="黑体" w:hAnsi="黑体" w:cs="Times New Roman"/>
          <w:sz w:val="28"/>
          <w:szCs w:val="28"/>
        </w:rPr>
      </w:pPr>
      <w:r w:rsidRPr="003C75C2">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7"/>
        <w:gridCol w:w="2751"/>
        <w:gridCol w:w="1523"/>
        <w:gridCol w:w="2876"/>
      </w:tblGrid>
      <w:tr w:rsidR="003C75C2" w:rsidRPr="003C75C2" w14:paraId="2E2E42A2" w14:textId="77777777" w:rsidTr="00423AD2">
        <w:trPr>
          <w:trHeight w:val="886"/>
          <w:jc w:val="center"/>
        </w:trPr>
        <w:tc>
          <w:tcPr>
            <w:tcW w:w="1668" w:type="dxa"/>
            <w:vAlign w:val="center"/>
          </w:tcPr>
          <w:p w14:paraId="717E3A52"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课程名称</w:t>
            </w:r>
          </w:p>
        </w:tc>
        <w:tc>
          <w:tcPr>
            <w:tcW w:w="2833" w:type="dxa"/>
            <w:vAlign w:val="center"/>
          </w:tcPr>
          <w:p w14:paraId="1290509B"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计算思维与信息技术</w:t>
            </w:r>
          </w:p>
        </w:tc>
        <w:tc>
          <w:tcPr>
            <w:tcW w:w="1561" w:type="dxa"/>
            <w:vAlign w:val="center"/>
          </w:tcPr>
          <w:p w14:paraId="457104AD"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课程代码</w:t>
            </w:r>
          </w:p>
        </w:tc>
        <w:tc>
          <w:tcPr>
            <w:tcW w:w="2941" w:type="dxa"/>
            <w:vAlign w:val="center"/>
          </w:tcPr>
          <w:p w14:paraId="1BCD4DCC"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1311Q74</w:t>
            </w:r>
          </w:p>
        </w:tc>
      </w:tr>
      <w:tr w:rsidR="003C75C2" w:rsidRPr="003C75C2" w14:paraId="437F8D3D" w14:textId="77777777" w:rsidTr="00423AD2">
        <w:trPr>
          <w:trHeight w:val="829"/>
          <w:jc w:val="center"/>
        </w:trPr>
        <w:tc>
          <w:tcPr>
            <w:tcW w:w="1668" w:type="dxa"/>
            <w:vAlign w:val="center"/>
          </w:tcPr>
          <w:p w14:paraId="3FBF0B2E"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课程类别</w:t>
            </w:r>
          </w:p>
        </w:tc>
        <w:tc>
          <w:tcPr>
            <w:tcW w:w="2833" w:type="dxa"/>
            <w:vAlign w:val="center"/>
          </w:tcPr>
          <w:p w14:paraId="1F1CC4BF"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学科基础课程</w:t>
            </w:r>
          </w:p>
        </w:tc>
        <w:tc>
          <w:tcPr>
            <w:tcW w:w="1561" w:type="dxa"/>
            <w:vAlign w:val="center"/>
          </w:tcPr>
          <w:p w14:paraId="2DB48F7B"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学时</w:t>
            </w:r>
          </w:p>
          <w:p w14:paraId="02F12F17"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/学分</w:t>
            </w:r>
          </w:p>
        </w:tc>
        <w:tc>
          <w:tcPr>
            <w:tcW w:w="2941" w:type="dxa"/>
            <w:vAlign w:val="center"/>
          </w:tcPr>
          <w:p w14:paraId="79A82AD1"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64/2</w:t>
            </w:r>
          </w:p>
        </w:tc>
      </w:tr>
      <w:tr w:rsidR="003C75C2" w:rsidRPr="003C75C2" w14:paraId="08D08E73" w14:textId="77777777" w:rsidTr="00423AD2">
        <w:trPr>
          <w:trHeight w:val="811"/>
          <w:jc w:val="center"/>
        </w:trPr>
        <w:tc>
          <w:tcPr>
            <w:tcW w:w="1668" w:type="dxa"/>
            <w:vAlign w:val="center"/>
          </w:tcPr>
          <w:p w14:paraId="0F5A2A90"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开课单位</w:t>
            </w:r>
          </w:p>
        </w:tc>
        <w:tc>
          <w:tcPr>
            <w:tcW w:w="2833" w:type="dxa"/>
            <w:vAlign w:val="center"/>
          </w:tcPr>
          <w:p w14:paraId="111FA225"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未来信息技术学院</w:t>
            </w:r>
          </w:p>
        </w:tc>
        <w:tc>
          <w:tcPr>
            <w:tcW w:w="1561" w:type="dxa"/>
            <w:vAlign w:val="center"/>
          </w:tcPr>
          <w:p w14:paraId="059C1207"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适用专业</w:t>
            </w:r>
          </w:p>
        </w:tc>
        <w:tc>
          <w:tcPr>
            <w:tcW w:w="2941" w:type="dxa"/>
            <w:vAlign w:val="center"/>
          </w:tcPr>
          <w:p w14:paraId="4F6C4CF1"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全校理工科专业</w:t>
            </w:r>
          </w:p>
        </w:tc>
      </w:tr>
      <w:tr w:rsidR="003C75C2" w:rsidRPr="003C75C2" w14:paraId="47258F2C" w14:textId="77777777" w:rsidTr="00423AD2">
        <w:trPr>
          <w:trHeight w:val="811"/>
          <w:jc w:val="center"/>
        </w:trPr>
        <w:tc>
          <w:tcPr>
            <w:tcW w:w="1668" w:type="dxa"/>
            <w:vAlign w:val="center"/>
          </w:tcPr>
          <w:p w14:paraId="43F57D89"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课程负责人</w:t>
            </w:r>
          </w:p>
        </w:tc>
        <w:tc>
          <w:tcPr>
            <w:tcW w:w="7335" w:type="dxa"/>
            <w:gridSpan w:val="3"/>
            <w:vAlign w:val="center"/>
          </w:tcPr>
          <w:p w14:paraId="3BDDCD9B"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张静</w:t>
            </w:r>
          </w:p>
        </w:tc>
      </w:tr>
      <w:tr w:rsidR="003C75C2" w:rsidRPr="003C75C2" w14:paraId="076497A9" w14:textId="77777777" w:rsidTr="00423AD2">
        <w:trPr>
          <w:trHeight w:val="836"/>
          <w:jc w:val="center"/>
        </w:trPr>
        <w:tc>
          <w:tcPr>
            <w:tcW w:w="1668" w:type="dxa"/>
            <w:vAlign w:val="center"/>
          </w:tcPr>
          <w:p w14:paraId="06F258FD"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大纲撰写人</w:t>
            </w:r>
          </w:p>
        </w:tc>
        <w:tc>
          <w:tcPr>
            <w:tcW w:w="2833" w:type="dxa"/>
            <w:vAlign w:val="center"/>
          </w:tcPr>
          <w:p w14:paraId="1A4C98C3"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计算中心</w:t>
            </w:r>
          </w:p>
        </w:tc>
        <w:tc>
          <w:tcPr>
            <w:tcW w:w="1561" w:type="dxa"/>
            <w:vAlign w:val="center"/>
          </w:tcPr>
          <w:p w14:paraId="078D22D2"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大纲审核人</w:t>
            </w:r>
          </w:p>
        </w:tc>
        <w:tc>
          <w:tcPr>
            <w:tcW w:w="2941" w:type="dxa"/>
            <w:vAlign w:val="center"/>
          </w:tcPr>
          <w:p w14:paraId="4C7D8BAF"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计算中心</w:t>
            </w:r>
          </w:p>
        </w:tc>
      </w:tr>
      <w:tr w:rsidR="003C75C2" w:rsidRPr="003C75C2" w14:paraId="19C2D5DE" w14:textId="77777777" w:rsidTr="00423AD2">
        <w:trPr>
          <w:trHeight w:val="848"/>
          <w:jc w:val="center"/>
        </w:trPr>
        <w:tc>
          <w:tcPr>
            <w:tcW w:w="1668" w:type="dxa"/>
            <w:vAlign w:val="center"/>
          </w:tcPr>
          <w:p w14:paraId="391AF521"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先修课程</w:t>
            </w:r>
          </w:p>
        </w:tc>
        <w:tc>
          <w:tcPr>
            <w:tcW w:w="7335" w:type="dxa"/>
            <w:gridSpan w:val="3"/>
            <w:vAlign w:val="center"/>
          </w:tcPr>
          <w:p w14:paraId="5A3AB872"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无</w:t>
            </w:r>
          </w:p>
        </w:tc>
      </w:tr>
      <w:tr w:rsidR="003C75C2" w:rsidRPr="003C75C2" w14:paraId="4C59FF69" w14:textId="77777777" w:rsidTr="00423AD2">
        <w:trPr>
          <w:trHeight w:val="848"/>
          <w:jc w:val="center"/>
        </w:trPr>
        <w:tc>
          <w:tcPr>
            <w:tcW w:w="1668" w:type="dxa"/>
            <w:vAlign w:val="center"/>
          </w:tcPr>
          <w:p w14:paraId="62936111"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课程网址</w:t>
            </w:r>
          </w:p>
        </w:tc>
        <w:tc>
          <w:tcPr>
            <w:tcW w:w="7335" w:type="dxa"/>
            <w:gridSpan w:val="3"/>
            <w:vAlign w:val="center"/>
          </w:tcPr>
          <w:p w14:paraId="4AFFA497" w14:textId="77777777" w:rsidR="003C75C2" w:rsidRPr="003C75C2" w:rsidRDefault="003C75C2" w:rsidP="003C75C2">
            <w:p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校内精品课程</w:t>
            </w:r>
          </w:p>
        </w:tc>
      </w:tr>
    </w:tbl>
    <w:p w14:paraId="33A82EB8" w14:textId="77777777" w:rsidR="003C75C2" w:rsidRPr="003C75C2" w:rsidRDefault="003C75C2" w:rsidP="003C75C2">
      <w:pPr>
        <w:spacing w:beforeLines="50" w:before="156" w:afterLines="50" w:after="156" w:line="440" w:lineRule="exact"/>
        <w:ind w:firstLineChars="200" w:firstLine="560"/>
        <w:rPr>
          <w:rFonts w:ascii="黑体" w:eastAsia="黑体" w:hAnsi="黑体" w:cs="Times New Roman"/>
          <w:sz w:val="28"/>
          <w:szCs w:val="28"/>
        </w:rPr>
      </w:pPr>
      <w:r w:rsidRPr="003C75C2">
        <w:rPr>
          <w:rFonts w:ascii="黑体" w:eastAsia="黑体" w:hAnsi="黑体" w:cs="Times New Roman" w:hint="eastAsia"/>
          <w:sz w:val="28"/>
          <w:szCs w:val="28"/>
        </w:rPr>
        <w:t>二、课程学习目标及与毕业要求的对应关系</w:t>
      </w:r>
    </w:p>
    <w:p w14:paraId="56151EEF" w14:textId="77777777" w:rsidR="003C75C2" w:rsidRPr="003C75C2" w:rsidRDefault="003C75C2" w:rsidP="003C75C2">
      <w:pPr>
        <w:spacing w:beforeLines="50" w:before="156" w:afterLines="50" w:after="156" w:line="440" w:lineRule="exact"/>
        <w:ind w:firstLineChars="200" w:firstLine="560"/>
        <w:rPr>
          <w:rFonts w:ascii="黑体" w:eastAsia="黑体" w:hAnsi="黑体" w:cs="Times New Roman"/>
          <w:sz w:val="28"/>
          <w:szCs w:val="28"/>
        </w:rPr>
      </w:pPr>
      <w:r w:rsidRPr="003C75C2">
        <w:rPr>
          <w:rFonts w:ascii="黑体" w:eastAsia="黑体" w:hAnsi="黑体" w:cs="Times New Roman" w:hint="eastAsia"/>
          <w:sz w:val="28"/>
          <w:szCs w:val="28"/>
        </w:rPr>
        <w:t>（一）课程学习目标</w:t>
      </w:r>
    </w:p>
    <w:p w14:paraId="0350ABB7" w14:textId="77777777" w:rsidR="003C75C2" w:rsidRPr="003C75C2" w:rsidRDefault="003C75C2" w:rsidP="003C75C2">
      <w:pPr>
        <w:spacing w:line="440" w:lineRule="exact"/>
        <w:ind w:firstLineChars="200" w:firstLine="480"/>
        <w:rPr>
          <w:rFonts w:ascii="Times New Roman" w:eastAsia="宋体" w:hAnsi="Times New Roman" w:cs="Times New Roman"/>
          <w:sz w:val="24"/>
          <w:szCs w:val="24"/>
        </w:rPr>
      </w:pPr>
      <w:r w:rsidRPr="003C75C2">
        <w:rPr>
          <w:rFonts w:ascii="Times New Roman" w:eastAsia="宋体" w:hAnsi="Times New Roman" w:cs="Times New Roman" w:hint="eastAsia"/>
          <w:sz w:val="24"/>
          <w:szCs w:val="24"/>
        </w:rPr>
        <w:t>课程的核心是使学生在了解计算机整体概念的基础上，加强计算机基础知识的学习，以思维能力培养和创新能力训练为目标，加强人才培养的针对性、应用性、实践性，提升学生的知识结构和能力素质，使学生具有初步使用计算机解决问题的能力以及掌握科学分析问题的方法，提高计算机文化素养，逐步构建计算思维能力。为后继计算机相关基础课程的学习打下必要基础，</w:t>
      </w:r>
      <w:r w:rsidRPr="003C75C2">
        <w:rPr>
          <w:rFonts w:ascii="宋体" w:eastAsia="宋体" w:hAnsi="宋体" w:cs="Times New Roman" w:hint="eastAsia"/>
          <w:sz w:val="24"/>
          <w:szCs w:val="24"/>
        </w:rPr>
        <w:t>通过本课程的学习，使学生达到以下目标：</w:t>
      </w:r>
    </w:p>
    <w:p w14:paraId="48D84CBE" w14:textId="77777777" w:rsidR="003C75C2" w:rsidRPr="003C75C2" w:rsidRDefault="003C75C2" w:rsidP="00747ECA">
      <w:pPr>
        <w:numPr>
          <w:ilvl w:val="0"/>
          <w:numId w:val="84"/>
        </w:numPr>
        <w:adjustRightInd w:val="0"/>
        <w:snapToGrid w:val="0"/>
        <w:spacing w:line="440" w:lineRule="exact"/>
        <w:ind w:firstLineChars="200" w:firstLine="480"/>
        <w:jc w:val="left"/>
        <w:rPr>
          <w:rFonts w:ascii="宋体" w:eastAsia="宋体" w:hAnsi="宋体" w:cs="宋体"/>
          <w:szCs w:val="24"/>
        </w:rPr>
      </w:pPr>
      <w:r w:rsidRPr="003C75C2">
        <w:rPr>
          <w:rFonts w:ascii="宋体" w:eastAsia="宋体" w:hAnsi="宋体" w:cs="宋体" w:hint="eastAsia"/>
          <w:sz w:val="24"/>
          <w:szCs w:val="24"/>
        </w:rPr>
        <w:t>理解计算机系统的组成、计算机中的信息编码，计算机的软硬件系统和操作系统；</w:t>
      </w:r>
    </w:p>
    <w:p w14:paraId="2D04F6E2" w14:textId="77777777" w:rsidR="003C75C2" w:rsidRPr="003C75C2" w:rsidRDefault="003C75C2" w:rsidP="00747ECA">
      <w:pPr>
        <w:numPr>
          <w:ilvl w:val="0"/>
          <w:numId w:val="84"/>
        </w:numPr>
        <w:adjustRightInd w:val="0"/>
        <w:snapToGrid w:val="0"/>
        <w:spacing w:line="440" w:lineRule="exact"/>
        <w:ind w:firstLineChars="200" w:firstLine="480"/>
        <w:jc w:val="left"/>
        <w:rPr>
          <w:rFonts w:ascii="宋体" w:eastAsia="宋体" w:hAnsi="宋体" w:cs="宋体"/>
          <w:sz w:val="24"/>
          <w:szCs w:val="24"/>
        </w:rPr>
      </w:pPr>
      <w:r w:rsidRPr="003C75C2">
        <w:rPr>
          <w:rFonts w:ascii="宋体" w:eastAsia="宋体" w:hAnsi="宋体" w:cs="宋体" w:hint="eastAsia"/>
          <w:sz w:val="24"/>
          <w:szCs w:val="24"/>
        </w:rPr>
        <w:t>了解信息技术的发展历史以及新一代信息技术的概念、内容和特点，掌握信息技术在日常生活中的应用。</w:t>
      </w:r>
    </w:p>
    <w:p w14:paraId="32800F20" w14:textId="77777777" w:rsidR="003C75C2" w:rsidRPr="003C75C2" w:rsidRDefault="003C75C2" w:rsidP="00747ECA">
      <w:pPr>
        <w:numPr>
          <w:ilvl w:val="0"/>
          <w:numId w:val="84"/>
        </w:numPr>
        <w:adjustRightInd w:val="0"/>
        <w:snapToGrid w:val="0"/>
        <w:spacing w:line="440" w:lineRule="exact"/>
        <w:ind w:firstLineChars="200" w:firstLine="480"/>
        <w:jc w:val="left"/>
        <w:rPr>
          <w:rFonts w:ascii="宋体" w:eastAsia="宋体" w:hAnsi="宋体" w:cs="Times New Roman"/>
          <w:sz w:val="24"/>
          <w:szCs w:val="24"/>
        </w:rPr>
      </w:pPr>
      <w:r w:rsidRPr="003C75C2">
        <w:rPr>
          <w:rFonts w:ascii="宋体" w:eastAsia="宋体" w:hAnsi="宋体" w:cs="宋体" w:hint="eastAsia"/>
          <w:sz w:val="24"/>
          <w:szCs w:val="24"/>
        </w:rPr>
        <w:t>掌握计算机网络基础概念和组成，</w:t>
      </w:r>
      <w:r w:rsidRPr="003C75C2">
        <w:rPr>
          <w:rFonts w:ascii="宋体" w:eastAsia="宋体" w:hAnsi="宋体" w:cs="Times New Roman" w:hint="eastAsia"/>
          <w:sz w:val="24"/>
          <w:szCs w:val="24"/>
        </w:rPr>
        <w:t>理解和掌握网络的各种应用，具有解决复</w:t>
      </w:r>
      <w:r w:rsidRPr="003C75C2">
        <w:rPr>
          <w:rFonts w:ascii="宋体" w:eastAsia="宋体" w:hAnsi="宋体" w:cs="Times New Roman" w:hint="eastAsia"/>
          <w:sz w:val="24"/>
          <w:szCs w:val="24"/>
        </w:rPr>
        <w:lastRenderedPageBreak/>
        <w:t>杂计算机网络问题所必需的计算机相关知识。</w:t>
      </w:r>
    </w:p>
    <w:p w14:paraId="6D60100B" w14:textId="77777777" w:rsidR="003C75C2" w:rsidRPr="003C75C2" w:rsidRDefault="003C75C2" w:rsidP="003C75C2">
      <w:pPr>
        <w:adjustRightInd w:val="0"/>
        <w:snapToGrid w:val="0"/>
        <w:spacing w:line="440" w:lineRule="exact"/>
        <w:ind w:firstLineChars="200" w:firstLine="480"/>
        <w:jc w:val="left"/>
        <w:rPr>
          <w:rFonts w:ascii="宋体" w:eastAsia="宋体" w:hAnsi="宋体" w:cs="Times New Roman"/>
          <w:b/>
          <w:sz w:val="24"/>
          <w:szCs w:val="24"/>
        </w:rPr>
      </w:pPr>
      <w:r w:rsidRPr="003C75C2">
        <w:rPr>
          <w:rFonts w:ascii="宋体" w:eastAsia="宋体" w:hAnsi="宋体" w:cs="宋体" w:hint="eastAsia"/>
          <w:sz w:val="24"/>
          <w:szCs w:val="32"/>
        </w:rPr>
        <w:t>4</w:t>
      </w:r>
      <w:r w:rsidRPr="003C75C2">
        <w:rPr>
          <w:rFonts w:ascii="宋体" w:eastAsia="宋体" w:hAnsi="宋体" w:cs="宋体" w:hint="eastAsia"/>
          <w:szCs w:val="24"/>
        </w:rPr>
        <w:t>、</w:t>
      </w:r>
      <w:r w:rsidRPr="003C75C2">
        <w:rPr>
          <w:rFonts w:ascii="宋体" w:eastAsia="宋体" w:hAnsi="宋体" w:cs="宋体" w:hint="eastAsia"/>
          <w:sz w:val="24"/>
          <w:szCs w:val="24"/>
        </w:rPr>
        <w:t>初步具备用计算思维解决问题的能力，</w:t>
      </w:r>
      <w:r w:rsidRPr="003C75C2">
        <w:rPr>
          <w:rFonts w:ascii="宋体" w:eastAsia="宋体" w:hAnsi="宋体" w:cs="Times New Roman" w:hint="eastAsia"/>
          <w:sz w:val="24"/>
          <w:szCs w:val="24"/>
        </w:rPr>
        <w:t>并用以指导教学</w:t>
      </w:r>
      <w:r w:rsidRPr="003C75C2">
        <w:rPr>
          <w:rFonts w:ascii="宋体" w:eastAsia="宋体" w:hAnsi="宋体" w:cs="宋体" w:hint="eastAsia"/>
          <w:sz w:val="24"/>
          <w:szCs w:val="24"/>
        </w:rPr>
        <w:t>，掌握程序设计的三种基本结构，程序设计的步骤和方法，数据结构与常用算法，算法实现的方式与方法，理解计算机解题全过程。</w:t>
      </w:r>
    </w:p>
    <w:p w14:paraId="19546F02" w14:textId="77777777" w:rsidR="003C75C2" w:rsidRPr="003C75C2" w:rsidRDefault="003C75C2" w:rsidP="003C75C2">
      <w:pPr>
        <w:adjustRightInd w:val="0"/>
        <w:snapToGrid w:val="0"/>
        <w:spacing w:line="440" w:lineRule="exact"/>
        <w:ind w:firstLineChars="200" w:firstLine="480"/>
        <w:jc w:val="left"/>
        <w:rPr>
          <w:rFonts w:ascii="宋体" w:eastAsia="宋体" w:hAnsi="宋体" w:cs="宋体"/>
          <w:szCs w:val="24"/>
        </w:rPr>
      </w:pPr>
      <w:r w:rsidRPr="003C75C2">
        <w:rPr>
          <w:rFonts w:ascii="宋体" w:eastAsia="宋体" w:hAnsi="宋体" w:cs="Times New Roman" w:hint="eastAsia"/>
          <w:sz w:val="24"/>
          <w:szCs w:val="24"/>
        </w:rPr>
        <w:t>5、能够形成终身学习的意识，在教学实践中运用所学理论知识优化课堂教学。</w:t>
      </w:r>
    </w:p>
    <w:p w14:paraId="573360B0" w14:textId="77777777" w:rsidR="003C75C2" w:rsidRPr="003C75C2" w:rsidRDefault="003C75C2" w:rsidP="003C75C2">
      <w:pPr>
        <w:spacing w:beforeLines="50" w:before="156" w:afterLines="50" w:after="156" w:line="440" w:lineRule="exact"/>
        <w:ind w:firstLineChars="200" w:firstLine="560"/>
        <w:rPr>
          <w:rFonts w:ascii="黑体" w:eastAsia="黑体" w:hAnsi="黑体" w:cs="Times New Roman"/>
          <w:sz w:val="28"/>
          <w:szCs w:val="28"/>
        </w:rPr>
      </w:pPr>
      <w:r w:rsidRPr="003C75C2">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2"/>
        <w:gridCol w:w="2268"/>
        <w:gridCol w:w="5009"/>
      </w:tblGrid>
      <w:tr w:rsidR="003C75C2" w:rsidRPr="003C75C2" w14:paraId="014C9693" w14:textId="77777777" w:rsidTr="00423AD2">
        <w:trPr>
          <w:trHeight w:val="815"/>
          <w:jc w:val="center"/>
        </w:trPr>
        <w:tc>
          <w:tcPr>
            <w:tcW w:w="1892" w:type="dxa"/>
            <w:vAlign w:val="center"/>
          </w:tcPr>
          <w:p w14:paraId="69112C48" w14:textId="77777777" w:rsidR="003C75C2" w:rsidRPr="003C75C2" w:rsidRDefault="003C75C2" w:rsidP="003C75C2">
            <w:pPr>
              <w:spacing w:line="440" w:lineRule="exact"/>
              <w:jc w:val="center"/>
              <w:rPr>
                <w:rFonts w:ascii="宋体" w:eastAsia="宋体" w:hAnsi="宋体" w:cs="Times New Roman"/>
                <w:b/>
                <w:sz w:val="24"/>
                <w:szCs w:val="24"/>
              </w:rPr>
            </w:pPr>
            <w:r w:rsidRPr="003C75C2">
              <w:rPr>
                <w:rFonts w:ascii="宋体" w:eastAsia="宋体" w:hAnsi="宋体" w:cs="Times New Roman" w:hint="eastAsia"/>
                <w:b/>
                <w:sz w:val="24"/>
                <w:szCs w:val="24"/>
              </w:rPr>
              <w:t>毕业要求</w:t>
            </w:r>
          </w:p>
        </w:tc>
        <w:tc>
          <w:tcPr>
            <w:tcW w:w="2268" w:type="dxa"/>
            <w:vAlign w:val="center"/>
          </w:tcPr>
          <w:p w14:paraId="52DCB905" w14:textId="77777777" w:rsidR="003C75C2" w:rsidRPr="003C75C2" w:rsidRDefault="003C75C2" w:rsidP="003C75C2">
            <w:pPr>
              <w:spacing w:line="440" w:lineRule="exact"/>
              <w:jc w:val="center"/>
              <w:rPr>
                <w:rFonts w:ascii="宋体" w:eastAsia="宋体" w:hAnsi="宋体" w:cs="Times New Roman"/>
                <w:b/>
                <w:sz w:val="24"/>
                <w:szCs w:val="24"/>
              </w:rPr>
            </w:pPr>
            <w:r w:rsidRPr="003C75C2">
              <w:rPr>
                <w:rFonts w:ascii="宋体" w:eastAsia="宋体" w:hAnsi="宋体" w:cs="Times New Roman" w:hint="eastAsia"/>
                <w:b/>
                <w:sz w:val="24"/>
                <w:szCs w:val="24"/>
              </w:rPr>
              <w:t>毕业要求指标点</w:t>
            </w:r>
          </w:p>
        </w:tc>
        <w:tc>
          <w:tcPr>
            <w:tcW w:w="5009" w:type="dxa"/>
            <w:vAlign w:val="center"/>
          </w:tcPr>
          <w:p w14:paraId="78B2E01C" w14:textId="77777777" w:rsidR="003C75C2" w:rsidRPr="003C75C2" w:rsidRDefault="003C75C2" w:rsidP="003C75C2">
            <w:pPr>
              <w:spacing w:line="440" w:lineRule="exact"/>
              <w:jc w:val="center"/>
              <w:rPr>
                <w:rFonts w:ascii="宋体" w:eastAsia="宋体" w:hAnsi="宋体" w:cs="Times New Roman"/>
                <w:b/>
                <w:sz w:val="24"/>
                <w:szCs w:val="24"/>
              </w:rPr>
            </w:pPr>
            <w:r w:rsidRPr="003C75C2">
              <w:rPr>
                <w:rFonts w:ascii="宋体" w:eastAsia="宋体" w:hAnsi="宋体" w:cs="Times New Roman" w:hint="eastAsia"/>
                <w:b/>
                <w:sz w:val="24"/>
                <w:szCs w:val="24"/>
              </w:rPr>
              <w:t>课程目标</w:t>
            </w:r>
          </w:p>
        </w:tc>
      </w:tr>
      <w:tr w:rsidR="003C75C2" w:rsidRPr="003C75C2" w14:paraId="3FF99E38" w14:textId="77777777" w:rsidTr="00423AD2">
        <w:trPr>
          <w:jc w:val="center"/>
        </w:trPr>
        <w:tc>
          <w:tcPr>
            <w:tcW w:w="1892" w:type="dxa"/>
            <w:vAlign w:val="center"/>
          </w:tcPr>
          <w:p w14:paraId="72393760"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课程目标1</w:t>
            </w:r>
          </w:p>
        </w:tc>
        <w:tc>
          <w:tcPr>
            <w:tcW w:w="2268" w:type="dxa"/>
            <w:vAlign w:val="center"/>
          </w:tcPr>
          <w:p w14:paraId="180E6400"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3</w:t>
            </w:r>
            <w:r w:rsidRPr="003C75C2">
              <w:rPr>
                <w:rFonts w:ascii="宋体" w:eastAsia="宋体" w:hAnsi="宋体" w:cs="Times New Roman"/>
                <w:sz w:val="24"/>
                <w:szCs w:val="24"/>
              </w:rPr>
              <w:t>.学科素养 (H)</w:t>
            </w:r>
          </w:p>
        </w:tc>
        <w:tc>
          <w:tcPr>
            <w:tcW w:w="5009" w:type="dxa"/>
            <w:vAlign w:val="center"/>
          </w:tcPr>
          <w:p w14:paraId="7B1F1842"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3-1 掌握计算机应用技术等相关基础知识与专业知识，具备进行日常教学、以及科学研究的知识与技能。</w:t>
            </w:r>
          </w:p>
          <w:p w14:paraId="72F28805"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3-2 掌握计算机软硬件知识、操作系统、办公软件、网络技术、多媒体技术以及使用计算思维分析问题、解决问题的能力。</w:t>
            </w:r>
          </w:p>
          <w:p w14:paraId="5D592552"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3-3 能够不断了解计算机应用领域的理论前沿、最新动态与前景需求，并依</w:t>
            </w:r>
            <w:proofErr w:type="gramStart"/>
            <w:r w:rsidRPr="003C75C2">
              <w:rPr>
                <w:rFonts w:ascii="宋体" w:eastAsia="宋体" w:hAnsi="宋体" w:cs="Times New Roman" w:hint="eastAsia"/>
                <w:sz w:val="24"/>
                <w:szCs w:val="24"/>
              </w:rPr>
              <w:t>此不断</w:t>
            </w:r>
            <w:proofErr w:type="gramEnd"/>
            <w:r w:rsidRPr="003C75C2">
              <w:rPr>
                <w:rFonts w:ascii="宋体" w:eastAsia="宋体" w:hAnsi="宋体" w:cs="Times New Roman" w:hint="eastAsia"/>
                <w:sz w:val="24"/>
                <w:szCs w:val="24"/>
              </w:rPr>
              <w:t>改进完善教学。</w:t>
            </w:r>
          </w:p>
        </w:tc>
      </w:tr>
      <w:tr w:rsidR="003C75C2" w:rsidRPr="003C75C2" w14:paraId="7A203E14" w14:textId="77777777" w:rsidTr="00423AD2">
        <w:trPr>
          <w:jc w:val="center"/>
        </w:trPr>
        <w:tc>
          <w:tcPr>
            <w:tcW w:w="1892" w:type="dxa"/>
            <w:vAlign w:val="center"/>
          </w:tcPr>
          <w:p w14:paraId="6637A59B"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课程目标2</w:t>
            </w:r>
          </w:p>
        </w:tc>
        <w:tc>
          <w:tcPr>
            <w:tcW w:w="2268" w:type="dxa"/>
            <w:vAlign w:val="center"/>
          </w:tcPr>
          <w:p w14:paraId="7FD90E49"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3</w:t>
            </w:r>
            <w:r w:rsidRPr="003C75C2">
              <w:rPr>
                <w:rFonts w:ascii="宋体" w:eastAsia="宋体" w:hAnsi="宋体" w:cs="Times New Roman"/>
                <w:sz w:val="24"/>
                <w:szCs w:val="24"/>
              </w:rPr>
              <w:t>.学科素养 (H)</w:t>
            </w:r>
          </w:p>
          <w:p w14:paraId="450604B3" w14:textId="77777777" w:rsidR="003C75C2" w:rsidRPr="003C75C2" w:rsidRDefault="003C75C2" w:rsidP="003C75C2">
            <w:pPr>
              <w:spacing w:line="440" w:lineRule="exact"/>
              <w:jc w:val="center"/>
              <w:rPr>
                <w:rFonts w:ascii="宋体" w:eastAsia="宋体" w:hAnsi="宋体" w:cs="Times New Roman"/>
                <w:sz w:val="24"/>
                <w:szCs w:val="24"/>
              </w:rPr>
            </w:pPr>
          </w:p>
        </w:tc>
        <w:tc>
          <w:tcPr>
            <w:tcW w:w="5009" w:type="dxa"/>
            <w:vAlign w:val="center"/>
          </w:tcPr>
          <w:p w14:paraId="12EF1C60"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3-1 掌握计算机应用技术等相关基础知识与专业知识，具备进行日常教学、以及科学研究的知识与技能。</w:t>
            </w:r>
          </w:p>
        </w:tc>
      </w:tr>
      <w:tr w:rsidR="003C75C2" w:rsidRPr="003C75C2" w14:paraId="5C07BA56" w14:textId="77777777" w:rsidTr="00423AD2">
        <w:trPr>
          <w:jc w:val="center"/>
        </w:trPr>
        <w:tc>
          <w:tcPr>
            <w:tcW w:w="1892" w:type="dxa"/>
            <w:vAlign w:val="center"/>
          </w:tcPr>
          <w:p w14:paraId="41FA6FBD"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课程目标3</w:t>
            </w:r>
          </w:p>
        </w:tc>
        <w:tc>
          <w:tcPr>
            <w:tcW w:w="2268" w:type="dxa"/>
            <w:vAlign w:val="center"/>
          </w:tcPr>
          <w:p w14:paraId="3F9D83D8" w14:textId="77777777" w:rsidR="003C75C2" w:rsidRPr="003C75C2" w:rsidRDefault="003C75C2" w:rsidP="00747ECA">
            <w:pPr>
              <w:numPr>
                <w:ilvl w:val="0"/>
                <w:numId w:val="85"/>
              </w:numPr>
              <w:spacing w:line="440" w:lineRule="exact"/>
              <w:jc w:val="center"/>
              <w:rPr>
                <w:rFonts w:ascii="宋体" w:eastAsia="宋体" w:hAnsi="宋体" w:cs="Times New Roman"/>
                <w:sz w:val="24"/>
                <w:szCs w:val="24"/>
              </w:rPr>
            </w:pPr>
            <w:r w:rsidRPr="003C75C2">
              <w:rPr>
                <w:rFonts w:ascii="宋体" w:eastAsia="宋体" w:hAnsi="宋体" w:cs="Times New Roman"/>
                <w:sz w:val="24"/>
                <w:szCs w:val="24"/>
              </w:rPr>
              <w:t>学科素养 (H)</w:t>
            </w:r>
          </w:p>
          <w:p w14:paraId="18D7DBAC" w14:textId="77777777" w:rsidR="003C75C2" w:rsidRPr="003C75C2" w:rsidRDefault="003C75C2" w:rsidP="003C75C2">
            <w:pPr>
              <w:spacing w:line="440" w:lineRule="exact"/>
              <w:ind w:firstLineChars="100" w:firstLine="240"/>
              <w:rPr>
                <w:rFonts w:ascii="宋体" w:eastAsia="宋体" w:hAnsi="宋体" w:cs="Times New Roman"/>
                <w:sz w:val="24"/>
                <w:szCs w:val="24"/>
              </w:rPr>
            </w:pPr>
            <w:r w:rsidRPr="003C75C2">
              <w:rPr>
                <w:rFonts w:ascii="宋体" w:eastAsia="宋体" w:hAnsi="宋体" w:cs="Times New Roman" w:hint="eastAsia"/>
                <w:sz w:val="24"/>
                <w:szCs w:val="24"/>
              </w:rPr>
              <w:t>4</w:t>
            </w:r>
            <w:r w:rsidRPr="003C75C2">
              <w:rPr>
                <w:rFonts w:ascii="宋体" w:eastAsia="宋体" w:hAnsi="宋体" w:cs="Times New Roman"/>
                <w:sz w:val="24"/>
                <w:szCs w:val="24"/>
              </w:rPr>
              <w:t>.</w:t>
            </w:r>
            <w:r w:rsidRPr="003C75C2">
              <w:rPr>
                <w:rFonts w:ascii="宋体" w:eastAsia="宋体" w:hAnsi="宋体" w:cs="Times New Roman" w:hint="eastAsia"/>
                <w:sz w:val="24"/>
                <w:szCs w:val="24"/>
              </w:rPr>
              <w:t>教学</w:t>
            </w:r>
            <w:r w:rsidRPr="003C75C2">
              <w:rPr>
                <w:rFonts w:ascii="宋体" w:eastAsia="宋体" w:hAnsi="宋体" w:cs="Times New Roman"/>
                <w:sz w:val="24"/>
                <w:szCs w:val="24"/>
              </w:rPr>
              <w:t>能力 (H)</w:t>
            </w:r>
          </w:p>
        </w:tc>
        <w:tc>
          <w:tcPr>
            <w:tcW w:w="5009" w:type="dxa"/>
            <w:vAlign w:val="center"/>
          </w:tcPr>
          <w:p w14:paraId="2C132609"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3-2 掌握计算机软硬件知识、操作系统、办公软件、网络技术、多媒体技术以及使用计算思维分析问题、解决问题的能力。</w:t>
            </w:r>
          </w:p>
          <w:p w14:paraId="75A6E4DC"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4-1 理解学生身心发展规律与生物学科认知特点，能够理解计算机应用基础课程标准与内涵，并依此组织教学。</w:t>
            </w:r>
          </w:p>
          <w:p w14:paraId="1EA6B19A"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4-2 具备教学设计、使用计算机应用技术与工具辅助教学等基本的教学技能。</w:t>
            </w:r>
          </w:p>
          <w:p w14:paraId="7BF82726"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4-3 能够在教学实践中通过了解学情、备课上课形成一定教学经验并以此完善教学。</w:t>
            </w:r>
          </w:p>
          <w:p w14:paraId="7A02E492"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4-4 具备使用计算思维发现问题与解决问题</w:t>
            </w:r>
            <w:r w:rsidRPr="003C75C2">
              <w:rPr>
                <w:rFonts w:ascii="宋体" w:eastAsia="宋体" w:hAnsi="宋体" w:cs="Times New Roman" w:hint="eastAsia"/>
                <w:sz w:val="24"/>
                <w:szCs w:val="24"/>
              </w:rPr>
              <w:lastRenderedPageBreak/>
              <w:t>的能力，能够完成基本的教学研究，并形成初步的研究成果。</w:t>
            </w:r>
          </w:p>
        </w:tc>
      </w:tr>
      <w:tr w:rsidR="003C75C2" w:rsidRPr="003C75C2" w14:paraId="6986FB69" w14:textId="77777777" w:rsidTr="00423AD2">
        <w:trPr>
          <w:jc w:val="center"/>
        </w:trPr>
        <w:tc>
          <w:tcPr>
            <w:tcW w:w="1892" w:type="dxa"/>
            <w:vAlign w:val="center"/>
          </w:tcPr>
          <w:p w14:paraId="2F84547A"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课程目标4</w:t>
            </w:r>
          </w:p>
        </w:tc>
        <w:tc>
          <w:tcPr>
            <w:tcW w:w="2268" w:type="dxa"/>
            <w:vAlign w:val="center"/>
          </w:tcPr>
          <w:p w14:paraId="02A9A0FE"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sz w:val="24"/>
                <w:szCs w:val="24"/>
              </w:rPr>
              <w:t>7.</w:t>
            </w:r>
            <w:r w:rsidRPr="003C75C2">
              <w:rPr>
                <w:rFonts w:ascii="宋体" w:eastAsia="宋体" w:hAnsi="宋体" w:cs="Times New Roman" w:hint="eastAsia"/>
                <w:sz w:val="24"/>
                <w:szCs w:val="24"/>
              </w:rPr>
              <w:t>学会反思</w:t>
            </w:r>
            <w:r w:rsidRPr="003C75C2">
              <w:rPr>
                <w:rFonts w:ascii="宋体" w:eastAsia="宋体" w:hAnsi="宋体" w:cs="Times New Roman"/>
                <w:sz w:val="24"/>
                <w:szCs w:val="24"/>
              </w:rPr>
              <w:t xml:space="preserve"> (M)</w:t>
            </w:r>
          </w:p>
        </w:tc>
        <w:tc>
          <w:tcPr>
            <w:tcW w:w="5009" w:type="dxa"/>
            <w:vAlign w:val="center"/>
          </w:tcPr>
          <w:p w14:paraId="4091ED7D"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7-1 了解国内外基础教育改革发展前沿动态，具备参与国际会议、竞赛与国际交流的能力，形成专业发展意识与终身学习理念。</w:t>
            </w:r>
          </w:p>
          <w:p w14:paraId="3950BD9D"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7-3 能够在教育实践过程中不断进行信息收集、自我诊断、自我改进与自我完善，优化课堂教学。</w:t>
            </w:r>
          </w:p>
        </w:tc>
      </w:tr>
      <w:tr w:rsidR="003C75C2" w:rsidRPr="003C75C2" w14:paraId="73C492AF" w14:textId="77777777" w:rsidTr="00423AD2">
        <w:trPr>
          <w:jc w:val="center"/>
        </w:trPr>
        <w:tc>
          <w:tcPr>
            <w:tcW w:w="1892" w:type="dxa"/>
            <w:vAlign w:val="center"/>
          </w:tcPr>
          <w:p w14:paraId="7A67E101"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课程目标5</w:t>
            </w:r>
          </w:p>
        </w:tc>
        <w:tc>
          <w:tcPr>
            <w:tcW w:w="2268" w:type="dxa"/>
            <w:vAlign w:val="center"/>
          </w:tcPr>
          <w:p w14:paraId="7E2FD8D9" w14:textId="77777777" w:rsidR="003C75C2" w:rsidRPr="003C75C2" w:rsidRDefault="003C75C2" w:rsidP="00747ECA">
            <w:pPr>
              <w:numPr>
                <w:ilvl w:val="0"/>
                <w:numId w:val="86"/>
              </w:num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教育</w:t>
            </w:r>
            <w:r w:rsidRPr="003C75C2">
              <w:rPr>
                <w:rFonts w:ascii="宋体" w:eastAsia="宋体" w:hAnsi="宋体" w:cs="Times New Roman"/>
                <w:sz w:val="24"/>
                <w:szCs w:val="24"/>
              </w:rPr>
              <w:t>情怀 (H)</w:t>
            </w:r>
          </w:p>
          <w:p w14:paraId="0C9EF5D8" w14:textId="77777777" w:rsidR="003C75C2" w:rsidRPr="003C75C2" w:rsidRDefault="003C75C2" w:rsidP="003C75C2">
            <w:pPr>
              <w:spacing w:line="440" w:lineRule="exact"/>
              <w:ind w:firstLineChars="100" w:firstLine="240"/>
              <w:rPr>
                <w:rFonts w:ascii="宋体" w:eastAsia="宋体" w:hAnsi="宋体" w:cs="Times New Roman"/>
                <w:sz w:val="24"/>
                <w:szCs w:val="24"/>
              </w:rPr>
            </w:pPr>
            <w:r w:rsidRPr="003C75C2">
              <w:rPr>
                <w:rFonts w:ascii="宋体" w:eastAsia="宋体" w:hAnsi="宋体" w:cs="Times New Roman"/>
                <w:sz w:val="24"/>
                <w:szCs w:val="24"/>
              </w:rPr>
              <w:t>8.</w:t>
            </w:r>
            <w:r w:rsidRPr="003C75C2">
              <w:rPr>
                <w:rFonts w:ascii="宋体" w:eastAsia="宋体" w:hAnsi="宋体" w:cs="Times New Roman" w:hint="eastAsia"/>
                <w:sz w:val="24"/>
                <w:szCs w:val="24"/>
              </w:rPr>
              <w:t>沟通</w:t>
            </w:r>
            <w:r w:rsidRPr="003C75C2">
              <w:rPr>
                <w:rFonts w:ascii="宋体" w:eastAsia="宋体" w:hAnsi="宋体" w:cs="Times New Roman"/>
                <w:sz w:val="24"/>
                <w:szCs w:val="24"/>
              </w:rPr>
              <w:t>合作 (L)</w:t>
            </w:r>
          </w:p>
        </w:tc>
        <w:tc>
          <w:tcPr>
            <w:tcW w:w="5009" w:type="dxa"/>
            <w:vAlign w:val="center"/>
          </w:tcPr>
          <w:p w14:paraId="494A206E"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2-1 能够认同教师工作的意义与价值，具备从教的意愿，立志成为优秀的“教育家型”教师。</w:t>
            </w:r>
          </w:p>
          <w:p w14:paraId="3BCB084F"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2-2 具有积极正确的情感态度价值观，对待工作有耐心、有责任心，尊重学生的人格。</w:t>
            </w:r>
          </w:p>
          <w:p w14:paraId="770A8B33"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2-3 具备人文底蕴与科学素养，能够帮助学生获取生物学知识、技能，树立正确的三观，引导学生成长。</w:t>
            </w:r>
          </w:p>
          <w:p w14:paraId="6A8B0ED3"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8-2 能够系统掌握团队协作与沟通交流的一般知识、方法与技能，并在教学实践中深入参与合作学习活动。</w:t>
            </w:r>
          </w:p>
        </w:tc>
      </w:tr>
    </w:tbl>
    <w:p w14:paraId="573C4234" w14:textId="77777777" w:rsidR="003C75C2" w:rsidRPr="003C75C2" w:rsidRDefault="003C75C2" w:rsidP="003C75C2">
      <w:pPr>
        <w:spacing w:beforeLines="50" w:before="156" w:afterLines="50" w:after="156" w:line="440" w:lineRule="exact"/>
        <w:ind w:firstLineChars="200" w:firstLine="560"/>
        <w:rPr>
          <w:rFonts w:ascii="黑体" w:eastAsia="黑体" w:hAnsi="黑体" w:cs="Times New Roman"/>
          <w:sz w:val="28"/>
          <w:szCs w:val="28"/>
        </w:rPr>
      </w:pPr>
      <w:r w:rsidRPr="003C75C2">
        <w:rPr>
          <w:rFonts w:ascii="黑体" w:eastAsia="黑体" w:hAnsi="黑体" w:cs="Times New Roman" w:hint="eastAsia"/>
          <w:sz w:val="28"/>
          <w:szCs w:val="28"/>
        </w:rPr>
        <w:t>三、课程学习内容与课程学习目标的对应关系</w:t>
      </w:r>
    </w:p>
    <w:p w14:paraId="3DC49DD5" w14:textId="77777777" w:rsidR="003C75C2" w:rsidRPr="003C75C2" w:rsidRDefault="003C75C2" w:rsidP="003C75C2">
      <w:pPr>
        <w:spacing w:beforeLines="50" w:before="156" w:afterLines="50" w:after="156" w:line="440" w:lineRule="exact"/>
        <w:ind w:firstLineChars="200" w:firstLine="562"/>
        <w:rPr>
          <w:rFonts w:ascii="黑体" w:eastAsia="黑体" w:hAnsi="黑体" w:cs="Times New Roman"/>
          <w:b/>
          <w:sz w:val="28"/>
          <w:szCs w:val="28"/>
        </w:rPr>
      </w:pPr>
      <w:r w:rsidRPr="003C75C2">
        <w:rPr>
          <w:rFonts w:ascii="黑体" w:eastAsia="黑体" w:hAnsi="黑体" w:cs="Times New Roman" w:hint="eastAsia"/>
          <w:b/>
          <w:sz w:val="28"/>
          <w:szCs w:val="28"/>
        </w:rPr>
        <w:t>（一）课程学习内容</w:t>
      </w:r>
    </w:p>
    <w:p w14:paraId="3AE7BF28" w14:textId="77777777" w:rsidR="003C75C2" w:rsidRPr="003C75C2" w:rsidRDefault="003C75C2" w:rsidP="003C75C2">
      <w:pPr>
        <w:spacing w:beforeLines="50" w:before="156" w:afterLines="50" w:after="156" w:line="440" w:lineRule="exact"/>
        <w:ind w:firstLineChars="200" w:firstLine="560"/>
        <w:jc w:val="center"/>
        <w:rPr>
          <w:rFonts w:ascii="黑体" w:eastAsia="黑体" w:hAnsi="黑体" w:cs="Times New Roman"/>
          <w:sz w:val="28"/>
          <w:szCs w:val="28"/>
        </w:rPr>
      </w:pPr>
      <w:r w:rsidRPr="003C75C2">
        <w:rPr>
          <w:rFonts w:ascii="黑体" w:eastAsia="黑体" w:hAnsi="黑体" w:cs="Times New Roman" w:hint="eastAsia"/>
          <w:sz w:val="28"/>
          <w:szCs w:val="28"/>
        </w:rPr>
        <w:t>第一章  信息技术基础知识</w:t>
      </w:r>
    </w:p>
    <w:p w14:paraId="679D4602"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【学习目标】</w:t>
      </w:r>
      <w:r w:rsidRPr="003C75C2">
        <w:rPr>
          <w:rFonts w:ascii="宋体" w:eastAsia="宋体" w:hAnsi="宋体" w:cs="Times New Roman" w:hint="eastAsia"/>
          <w:bCs/>
          <w:sz w:val="24"/>
          <w:szCs w:val="24"/>
        </w:rPr>
        <w:t>：</w:t>
      </w:r>
    </w:p>
    <w:p w14:paraId="1793AAD2"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1</w:t>
      </w:r>
      <w:r w:rsidRPr="003C75C2">
        <w:rPr>
          <w:rFonts w:ascii="宋体" w:eastAsia="宋体" w:hAnsi="宋体" w:cs="Times New Roman"/>
          <w:sz w:val="24"/>
          <w:szCs w:val="24"/>
        </w:rPr>
        <w:t>.</w:t>
      </w:r>
      <w:r w:rsidRPr="003C75C2">
        <w:rPr>
          <w:rFonts w:ascii="宋体" w:eastAsia="宋体" w:hAnsi="宋体" w:cs="Times New Roman" w:hint="eastAsia"/>
          <w:sz w:val="24"/>
          <w:szCs w:val="24"/>
        </w:rPr>
        <w:t>了解信息、信息存储的基本知识；掌握计算机的基本概念；</w:t>
      </w:r>
    </w:p>
    <w:p w14:paraId="170D09F1"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w:t>
      </w:r>
      <w:r w:rsidRPr="003C75C2">
        <w:rPr>
          <w:rFonts w:ascii="宋体" w:eastAsia="宋体" w:hAnsi="宋体" w:cs="Times New Roman"/>
          <w:sz w:val="24"/>
          <w:szCs w:val="24"/>
        </w:rPr>
        <w:t>.</w:t>
      </w:r>
      <w:r w:rsidRPr="003C75C2">
        <w:rPr>
          <w:rFonts w:ascii="宋体" w:eastAsia="宋体" w:hAnsi="宋体" w:cs="Times New Roman" w:hint="eastAsia"/>
          <w:sz w:val="24"/>
          <w:szCs w:val="24"/>
        </w:rPr>
        <w:t>了解计算机的应用及分类；</w:t>
      </w:r>
    </w:p>
    <w:p w14:paraId="6A43193F"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3.掌握计算机中信息的表示和处理。主要是数制的转换；数值、文本、图形图像、音频及视频等信息在计算机中的表示形式。</w:t>
      </w:r>
    </w:p>
    <w:p w14:paraId="2B2C76A8"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【学习内容】</w:t>
      </w:r>
    </w:p>
    <w:p w14:paraId="63D0CCAB" w14:textId="77777777" w:rsidR="003C75C2" w:rsidRPr="003C75C2" w:rsidRDefault="003C75C2" w:rsidP="003C75C2">
      <w:pPr>
        <w:spacing w:line="440" w:lineRule="exact"/>
        <w:ind w:firstLineChars="200" w:firstLine="480"/>
        <w:rPr>
          <w:rFonts w:ascii="宋体" w:eastAsia="宋体" w:hAnsi="宋体" w:cs="Times New Roman"/>
          <w:b/>
          <w:sz w:val="24"/>
          <w:szCs w:val="24"/>
        </w:rPr>
      </w:pPr>
      <w:r w:rsidRPr="003C75C2">
        <w:rPr>
          <w:rFonts w:ascii="宋体" w:eastAsia="宋体" w:hAnsi="宋体" w:cs="Times New Roman" w:hint="eastAsia"/>
          <w:sz w:val="24"/>
          <w:szCs w:val="24"/>
        </w:rPr>
        <w:t>1</w:t>
      </w:r>
      <w:r w:rsidRPr="003C75C2">
        <w:rPr>
          <w:rFonts w:ascii="宋体" w:eastAsia="宋体" w:hAnsi="宋体" w:cs="Times New Roman"/>
          <w:sz w:val="24"/>
          <w:szCs w:val="24"/>
        </w:rPr>
        <w:t>.</w:t>
      </w:r>
      <w:r w:rsidRPr="003C75C2">
        <w:rPr>
          <w:rFonts w:ascii="Times New Roman" w:eastAsia="宋体" w:hAnsi="Times New Roman" w:cs="Times New Roman" w:hint="eastAsia"/>
          <w:szCs w:val="24"/>
        </w:rPr>
        <w:t xml:space="preserve"> </w:t>
      </w:r>
      <w:r w:rsidRPr="003C75C2">
        <w:rPr>
          <w:rFonts w:ascii="宋体" w:eastAsia="宋体" w:hAnsi="宋体" w:cs="Times New Roman" w:hint="eastAsia"/>
          <w:sz w:val="24"/>
          <w:szCs w:val="24"/>
        </w:rPr>
        <w:t>能够认识信息存储的基础知识；</w:t>
      </w:r>
    </w:p>
    <w:p w14:paraId="5C489A74"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w:t>
      </w:r>
      <w:r w:rsidRPr="003C75C2">
        <w:rPr>
          <w:rFonts w:ascii="宋体" w:eastAsia="宋体" w:hAnsi="宋体" w:cs="Times New Roman"/>
          <w:sz w:val="24"/>
          <w:szCs w:val="24"/>
        </w:rPr>
        <w:t>.</w:t>
      </w:r>
      <w:r w:rsidRPr="003C75C2">
        <w:rPr>
          <w:rFonts w:ascii="Times New Roman" w:eastAsia="宋体" w:hAnsi="Times New Roman" w:cs="Times New Roman" w:hint="eastAsia"/>
          <w:szCs w:val="24"/>
        </w:rPr>
        <w:t xml:space="preserve"> </w:t>
      </w:r>
      <w:r w:rsidRPr="003C75C2">
        <w:rPr>
          <w:rFonts w:ascii="宋体" w:eastAsia="宋体" w:hAnsi="宋体" w:cs="Times New Roman" w:hint="eastAsia"/>
          <w:sz w:val="24"/>
          <w:szCs w:val="24"/>
        </w:rPr>
        <w:t>能够了解计算机的特点、应用及分类；</w:t>
      </w:r>
    </w:p>
    <w:p w14:paraId="685A4847"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lastRenderedPageBreak/>
        <w:t>3</w:t>
      </w:r>
      <w:r w:rsidRPr="003C75C2">
        <w:rPr>
          <w:rFonts w:ascii="宋体" w:eastAsia="宋体" w:hAnsi="宋体" w:cs="Times New Roman"/>
          <w:sz w:val="24"/>
          <w:szCs w:val="24"/>
        </w:rPr>
        <w:t>.</w:t>
      </w:r>
      <w:r w:rsidRPr="003C75C2">
        <w:rPr>
          <w:rFonts w:ascii="Times New Roman" w:eastAsia="宋体" w:hAnsi="Times New Roman" w:cs="Times New Roman" w:hint="eastAsia"/>
          <w:szCs w:val="24"/>
        </w:rPr>
        <w:t xml:space="preserve"> </w:t>
      </w:r>
      <w:r w:rsidRPr="003C75C2">
        <w:rPr>
          <w:rFonts w:ascii="宋体" w:eastAsia="宋体" w:hAnsi="宋体" w:cs="Times New Roman" w:hint="eastAsia"/>
          <w:sz w:val="24"/>
          <w:szCs w:val="24"/>
        </w:rPr>
        <w:t>知道计算机的发展与新发展；</w:t>
      </w:r>
    </w:p>
    <w:p w14:paraId="6A93BA76"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4</w:t>
      </w:r>
      <w:r w:rsidRPr="003C75C2">
        <w:rPr>
          <w:rFonts w:ascii="宋体" w:eastAsia="宋体" w:hAnsi="宋体" w:cs="Times New Roman"/>
          <w:sz w:val="24"/>
          <w:szCs w:val="24"/>
        </w:rPr>
        <w:t>.</w:t>
      </w:r>
      <w:r w:rsidRPr="003C75C2">
        <w:rPr>
          <w:rFonts w:ascii="Times New Roman" w:eastAsia="宋体" w:hAnsi="Times New Roman" w:cs="Times New Roman" w:hint="eastAsia"/>
          <w:szCs w:val="24"/>
        </w:rPr>
        <w:t xml:space="preserve"> </w:t>
      </w:r>
      <w:r w:rsidRPr="003C75C2">
        <w:rPr>
          <w:rFonts w:ascii="宋体" w:eastAsia="宋体" w:hAnsi="宋体" w:cs="Times New Roman" w:hint="eastAsia"/>
          <w:sz w:val="24"/>
          <w:szCs w:val="24"/>
        </w:rPr>
        <w:t>掌握计算机的数制编码、各</w:t>
      </w:r>
      <w:proofErr w:type="gramStart"/>
      <w:r w:rsidRPr="003C75C2">
        <w:rPr>
          <w:rFonts w:ascii="宋体" w:eastAsia="宋体" w:hAnsi="宋体" w:cs="Times New Roman" w:hint="eastAsia"/>
          <w:sz w:val="24"/>
          <w:szCs w:val="24"/>
        </w:rPr>
        <w:t>类数制间的</w:t>
      </w:r>
      <w:proofErr w:type="gramEnd"/>
      <w:r w:rsidRPr="003C75C2">
        <w:rPr>
          <w:rFonts w:ascii="宋体" w:eastAsia="宋体" w:hAnsi="宋体" w:cs="Times New Roman" w:hint="eastAsia"/>
          <w:sz w:val="24"/>
          <w:szCs w:val="24"/>
        </w:rPr>
        <w:t>转换；</w:t>
      </w:r>
    </w:p>
    <w:p w14:paraId="40652592"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5.</w:t>
      </w:r>
      <w:r w:rsidRPr="003C75C2">
        <w:rPr>
          <w:rFonts w:ascii="Times New Roman" w:eastAsia="宋体" w:hAnsi="Times New Roman" w:cs="Times New Roman" w:hint="eastAsia"/>
          <w:szCs w:val="24"/>
        </w:rPr>
        <w:t xml:space="preserve"> </w:t>
      </w:r>
      <w:r w:rsidRPr="003C75C2">
        <w:rPr>
          <w:rFonts w:ascii="宋体" w:eastAsia="宋体" w:hAnsi="宋体" w:cs="Times New Roman" w:hint="eastAsia"/>
          <w:sz w:val="24"/>
          <w:szCs w:val="24"/>
        </w:rPr>
        <w:t>掌握字符数据编码、汉字编码以及多媒体信息编码了解运算器组成结构。</w:t>
      </w:r>
    </w:p>
    <w:p w14:paraId="035F30AD"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【重点】</w:t>
      </w:r>
    </w:p>
    <w:p w14:paraId="75DB2021"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1</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计算机中数值与信息编码知识；</w:t>
      </w:r>
    </w:p>
    <w:p w14:paraId="726C9689" w14:textId="77777777" w:rsidR="003C75C2" w:rsidRPr="003C75C2" w:rsidRDefault="003C75C2" w:rsidP="003C75C2">
      <w:pPr>
        <w:spacing w:line="440" w:lineRule="exact"/>
        <w:ind w:firstLineChars="200" w:firstLine="480"/>
        <w:rPr>
          <w:rFonts w:ascii="宋体" w:eastAsia="宋体" w:hAnsi="宋体" w:cs="Times New Roman"/>
          <w:b/>
          <w:sz w:val="24"/>
          <w:szCs w:val="24"/>
        </w:rPr>
      </w:pPr>
      <w:r w:rsidRPr="003C75C2">
        <w:rPr>
          <w:rFonts w:ascii="宋体" w:eastAsia="宋体" w:hAnsi="宋体" w:cs="Times New Roman" w:hint="eastAsia"/>
          <w:sz w:val="24"/>
          <w:szCs w:val="24"/>
        </w:rPr>
        <w:t>2</w:t>
      </w:r>
      <w:r w:rsidRPr="003C75C2">
        <w:rPr>
          <w:rFonts w:ascii="宋体" w:eastAsia="宋体" w:hAnsi="宋体" w:cs="Times New Roman"/>
          <w:sz w:val="24"/>
          <w:szCs w:val="24"/>
        </w:rPr>
        <w:t>.</w:t>
      </w:r>
      <w:r w:rsidRPr="003C75C2">
        <w:rPr>
          <w:rFonts w:ascii="宋体" w:eastAsia="宋体" w:hAnsi="宋体" w:cs="Times New Roman" w:hint="eastAsia"/>
          <w:sz w:val="24"/>
          <w:szCs w:val="24"/>
        </w:rPr>
        <w:t>各</w:t>
      </w:r>
      <w:proofErr w:type="gramStart"/>
      <w:r w:rsidRPr="003C75C2">
        <w:rPr>
          <w:rFonts w:ascii="宋体" w:eastAsia="宋体" w:hAnsi="宋体" w:cs="Times New Roman" w:hint="eastAsia"/>
          <w:sz w:val="24"/>
          <w:szCs w:val="24"/>
        </w:rPr>
        <w:t>类数制间的</w:t>
      </w:r>
      <w:proofErr w:type="gramEnd"/>
      <w:r w:rsidRPr="003C75C2">
        <w:rPr>
          <w:rFonts w:ascii="宋体" w:eastAsia="宋体" w:hAnsi="宋体" w:cs="Times New Roman" w:hint="eastAsia"/>
          <w:sz w:val="24"/>
          <w:szCs w:val="24"/>
        </w:rPr>
        <w:t>转换。</w:t>
      </w:r>
    </w:p>
    <w:p w14:paraId="4AD7EC0C"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【难点】</w:t>
      </w:r>
    </w:p>
    <w:p w14:paraId="58875FF3" w14:textId="77777777" w:rsidR="003C75C2" w:rsidRPr="003C75C2" w:rsidRDefault="003C75C2" w:rsidP="003C75C2">
      <w:pPr>
        <w:spacing w:line="440" w:lineRule="exact"/>
        <w:ind w:firstLineChars="200" w:firstLine="480"/>
        <w:rPr>
          <w:rFonts w:ascii="宋体" w:eastAsia="宋体" w:hAnsi="宋体" w:cs="Times New Roman"/>
          <w:b/>
          <w:sz w:val="24"/>
          <w:szCs w:val="24"/>
        </w:rPr>
      </w:pPr>
      <w:r w:rsidRPr="003C75C2">
        <w:rPr>
          <w:rFonts w:ascii="宋体" w:eastAsia="宋体" w:hAnsi="宋体" w:cs="Times New Roman" w:hint="eastAsia"/>
          <w:sz w:val="24"/>
          <w:szCs w:val="24"/>
        </w:rPr>
        <w:t>1</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数制的转换。</w:t>
      </w:r>
    </w:p>
    <w:p w14:paraId="5C78D414" w14:textId="77777777" w:rsidR="003C75C2" w:rsidRPr="003C75C2" w:rsidRDefault="003C75C2" w:rsidP="003C75C2">
      <w:pPr>
        <w:spacing w:line="440" w:lineRule="exact"/>
        <w:ind w:firstLineChars="200" w:firstLine="482"/>
        <w:rPr>
          <w:rFonts w:ascii="宋体" w:eastAsia="宋体" w:hAnsi="宋体" w:cs="Times New Roman"/>
          <w:sz w:val="24"/>
          <w:szCs w:val="24"/>
        </w:rPr>
      </w:pPr>
      <w:r w:rsidRPr="003C75C2">
        <w:rPr>
          <w:rFonts w:ascii="宋体" w:eastAsia="宋体" w:hAnsi="宋体" w:cs="Times New Roman" w:hint="eastAsia"/>
          <w:b/>
          <w:bCs/>
          <w:sz w:val="24"/>
          <w:szCs w:val="24"/>
        </w:rPr>
        <w:t>【教学方法】</w:t>
      </w:r>
    </w:p>
    <w:p w14:paraId="226CE533"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1. 通过多媒体课件进行演示，阐明计算机的特点和发展历史，丰富学生对计算机的认知；</w:t>
      </w:r>
    </w:p>
    <w:p w14:paraId="46A19883"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 通过课堂汇报，大家搜集资料，更广泛地了解计算机的产生和发展，信息存储的方式、方法，发展学的教学能力和反思能力；</w:t>
      </w:r>
    </w:p>
    <w:p w14:paraId="4064C244" w14:textId="77777777" w:rsidR="003C75C2" w:rsidRPr="003C75C2" w:rsidRDefault="003C75C2" w:rsidP="003C75C2">
      <w:pPr>
        <w:spacing w:line="440" w:lineRule="exact"/>
        <w:ind w:firstLineChars="200" w:firstLine="482"/>
        <w:rPr>
          <w:rFonts w:ascii="宋体" w:eastAsia="宋体" w:hAnsi="宋体" w:cs="Times New Roman"/>
          <w:bCs/>
          <w:sz w:val="24"/>
          <w:szCs w:val="24"/>
        </w:rPr>
      </w:pPr>
      <w:r w:rsidRPr="003C75C2">
        <w:rPr>
          <w:rFonts w:ascii="宋体" w:eastAsia="宋体" w:hAnsi="宋体" w:cs="Times New Roman" w:hint="eastAsia"/>
          <w:b/>
          <w:sz w:val="24"/>
          <w:szCs w:val="24"/>
        </w:rPr>
        <w:t>【复习思考】</w:t>
      </w:r>
    </w:p>
    <w:p w14:paraId="747D7B06" w14:textId="77777777" w:rsidR="003C75C2" w:rsidRPr="003C75C2" w:rsidRDefault="003C75C2" w:rsidP="003C75C2">
      <w:pPr>
        <w:spacing w:line="440" w:lineRule="exact"/>
        <w:ind w:firstLineChars="200" w:firstLine="480"/>
        <w:rPr>
          <w:rFonts w:ascii="宋体" w:eastAsia="宋体" w:hAnsi="宋体" w:cs="Times New Roman"/>
          <w:b/>
          <w:sz w:val="24"/>
          <w:szCs w:val="24"/>
        </w:rPr>
      </w:pPr>
      <w:r w:rsidRPr="003C75C2">
        <w:rPr>
          <w:rFonts w:ascii="宋体" w:eastAsia="宋体" w:hAnsi="宋体" w:cs="Times New Roman" w:hint="eastAsia"/>
          <w:sz w:val="24"/>
          <w:szCs w:val="24"/>
        </w:rPr>
        <w:t>1</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计算机未来的发展方向；</w:t>
      </w:r>
    </w:p>
    <w:p w14:paraId="0CE58A99"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信息存储还有没有更好的方法。</w:t>
      </w:r>
    </w:p>
    <w:p w14:paraId="5D02B4F8" w14:textId="77777777" w:rsidR="003C75C2" w:rsidRPr="003C75C2" w:rsidRDefault="003C75C2" w:rsidP="003C75C2">
      <w:pPr>
        <w:spacing w:beforeLines="50" w:before="156" w:afterLines="50" w:after="156" w:line="440" w:lineRule="exact"/>
        <w:ind w:firstLineChars="200" w:firstLine="560"/>
        <w:jc w:val="center"/>
        <w:rPr>
          <w:rFonts w:ascii="黑体" w:eastAsia="黑体" w:hAnsi="黑体" w:cs="Times New Roman"/>
          <w:sz w:val="28"/>
          <w:szCs w:val="28"/>
        </w:rPr>
      </w:pPr>
      <w:r w:rsidRPr="003C75C2">
        <w:rPr>
          <w:rFonts w:ascii="黑体" w:eastAsia="黑体" w:hAnsi="黑体" w:cs="Times New Roman" w:hint="eastAsia"/>
          <w:sz w:val="28"/>
          <w:szCs w:val="28"/>
        </w:rPr>
        <w:t>第二章  计算机系统</w:t>
      </w:r>
    </w:p>
    <w:p w14:paraId="4BE5806F"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【学习目标】</w:t>
      </w:r>
      <w:r w:rsidRPr="003C75C2">
        <w:rPr>
          <w:rFonts w:ascii="宋体" w:eastAsia="宋体" w:hAnsi="宋体" w:cs="Times New Roman" w:hint="eastAsia"/>
          <w:bCs/>
          <w:sz w:val="24"/>
          <w:szCs w:val="24"/>
        </w:rPr>
        <w:t>：</w:t>
      </w:r>
    </w:p>
    <w:p w14:paraId="3E7D0335" w14:textId="77777777" w:rsidR="003C75C2" w:rsidRPr="003C75C2" w:rsidRDefault="003C75C2" w:rsidP="00747ECA">
      <w:pPr>
        <w:numPr>
          <w:ilvl w:val="0"/>
          <w:numId w:val="87"/>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了解计算机系统的结构，理解计算机的工作原理；</w:t>
      </w:r>
    </w:p>
    <w:p w14:paraId="5CF0DCC6" w14:textId="77777777" w:rsidR="003C75C2" w:rsidRPr="003C75C2" w:rsidRDefault="003C75C2" w:rsidP="00747ECA">
      <w:pPr>
        <w:numPr>
          <w:ilvl w:val="0"/>
          <w:numId w:val="87"/>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了解微型机硬件系统的各个组成部分；熟悉基本的计算机硬件设备；</w:t>
      </w:r>
    </w:p>
    <w:p w14:paraId="1F526D93" w14:textId="77777777" w:rsidR="003C75C2" w:rsidRPr="003C75C2" w:rsidRDefault="003C75C2" w:rsidP="00747ECA">
      <w:pPr>
        <w:numPr>
          <w:ilvl w:val="0"/>
          <w:numId w:val="87"/>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了解操作系统的基本知识与操作；</w:t>
      </w:r>
    </w:p>
    <w:p w14:paraId="38426B7B" w14:textId="77777777" w:rsidR="003C75C2" w:rsidRPr="003C75C2" w:rsidRDefault="003C75C2" w:rsidP="00747ECA">
      <w:pPr>
        <w:numPr>
          <w:ilvl w:val="0"/>
          <w:numId w:val="87"/>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掌握操作系统主要部件的应用；</w:t>
      </w:r>
    </w:p>
    <w:p w14:paraId="672227AC" w14:textId="77777777" w:rsidR="003C75C2" w:rsidRPr="003C75C2" w:rsidRDefault="003C75C2" w:rsidP="00747ECA">
      <w:pPr>
        <w:numPr>
          <w:ilvl w:val="0"/>
          <w:numId w:val="87"/>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了解操作系统操作环境定制</w:t>
      </w:r>
    </w:p>
    <w:p w14:paraId="2458D118"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【学习内容】</w:t>
      </w:r>
    </w:p>
    <w:p w14:paraId="7E5A56DD" w14:textId="77777777" w:rsidR="003C75C2" w:rsidRPr="003C75C2" w:rsidRDefault="003C75C2" w:rsidP="003C75C2">
      <w:pPr>
        <w:spacing w:line="440" w:lineRule="exact"/>
        <w:ind w:firstLineChars="200" w:firstLine="480"/>
        <w:rPr>
          <w:rFonts w:ascii="宋体" w:eastAsia="宋体" w:hAnsi="宋体" w:cs="Times New Roman"/>
          <w:b/>
          <w:sz w:val="24"/>
          <w:szCs w:val="24"/>
        </w:rPr>
      </w:pPr>
      <w:r w:rsidRPr="003C75C2">
        <w:rPr>
          <w:rFonts w:ascii="宋体" w:eastAsia="宋体" w:hAnsi="宋体" w:cs="Times New Roman" w:hint="eastAsia"/>
          <w:sz w:val="24"/>
          <w:szCs w:val="24"/>
        </w:rPr>
        <w:t>1</w:t>
      </w:r>
      <w:r w:rsidRPr="003C75C2">
        <w:rPr>
          <w:rFonts w:ascii="宋体" w:eastAsia="宋体" w:hAnsi="宋体" w:cs="Times New Roman"/>
          <w:sz w:val="24"/>
          <w:szCs w:val="24"/>
        </w:rPr>
        <w:t>.</w:t>
      </w:r>
      <w:r w:rsidRPr="003C75C2">
        <w:rPr>
          <w:rFonts w:ascii="宋体" w:eastAsia="宋体" w:hAnsi="宋体" w:cs="Times New Roman" w:hint="eastAsia"/>
          <w:sz w:val="24"/>
          <w:szCs w:val="24"/>
        </w:rPr>
        <w:t>计算机系统的基本组成；</w:t>
      </w:r>
    </w:p>
    <w:p w14:paraId="6AC3519F"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w:t>
      </w:r>
      <w:r w:rsidRPr="003C75C2">
        <w:rPr>
          <w:rFonts w:ascii="宋体" w:eastAsia="宋体" w:hAnsi="宋体" w:cs="Times New Roman"/>
          <w:sz w:val="24"/>
          <w:szCs w:val="24"/>
        </w:rPr>
        <w:t>.</w:t>
      </w:r>
      <w:r w:rsidRPr="003C75C2">
        <w:rPr>
          <w:rFonts w:ascii="宋体" w:eastAsia="宋体" w:hAnsi="宋体" w:cs="Times New Roman" w:hint="eastAsia"/>
          <w:sz w:val="24"/>
          <w:szCs w:val="24"/>
        </w:rPr>
        <w:t>计算机的工作原理；</w:t>
      </w:r>
    </w:p>
    <w:p w14:paraId="621F2BFB"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3</w:t>
      </w:r>
      <w:r w:rsidRPr="003C75C2">
        <w:rPr>
          <w:rFonts w:ascii="宋体" w:eastAsia="宋体" w:hAnsi="宋体" w:cs="Times New Roman"/>
          <w:sz w:val="24"/>
          <w:szCs w:val="24"/>
        </w:rPr>
        <w:t>.</w:t>
      </w:r>
      <w:r w:rsidRPr="003C75C2">
        <w:rPr>
          <w:rFonts w:ascii="宋体" w:eastAsia="宋体" w:hAnsi="宋体" w:cs="Times New Roman" w:hint="eastAsia"/>
          <w:sz w:val="24"/>
          <w:szCs w:val="24"/>
        </w:rPr>
        <w:t>计算机硬件系统；</w:t>
      </w:r>
    </w:p>
    <w:p w14:paraId="60E7399D"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4</w:t>
      </w:r>
      <w:r w:rsidRPr="003C75C2">
        <w:rPr>
          <w:rFonts w:ascii="宋体" w:eastAsia="宋体" w:hAnsi="宋体" w:cs="Times New Roman"/>
          <w:sz w:val="24"/>
          <w:szCs w:val="24"/>
        </w:rPr>
        <w:t>.</w:t>
      </w:r>
      <w:r w:rsidRPr="003C75C2">
        <w:rPr>
          <w:rFonts w:ascii="Times New Roman" w:eastAsia="宋体" w:hAnsi="Times New Roman" w:cs="Times New Roman" w:hint="eastAsia"/>
          <w:szCs w:val="24"/>
        </w:rPr>
        <w:t xml:space="preserve"> </w:t>
      </w:r>
      <w:r w:rsidRPr="003C75C2">
        <w:rPr>
          <w:rFonts w:ascii="宋体" w:eastAsia="宋体" w:hAnsi="宋体" w:cs="Times New Roman" w:hint="eastAsia"/>
          <w:sz w:val="24"/>
          <w:szCs w:val="24"/>
        </w:rPr>
        <w:t>计算机软件系统；</w:t>
      </w:r>
    </w:p>
    <w:p w14:paraId="219A186D"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5.</w:t>
      </w:r>
      <w:r w:rsidRPr="003C75C2">
        <w:rPr>
          <w:rFonts w:ascii="Times New Roman" w:eastAsia="宋体" w:hAnsi="Times New Roman" w:cs="Times New Roman" w:hint="eastAsia"/>
          <w:szCs w:val="24"/>
        </w:rPr>
        <w:t xml:space="preserve"> </w:t>
      </w:r>
      <w:r w:rsidRPr="003C75C2">
        <w:rPr>
          <w:rFonts w:ascii="宋体" w:eastAsia="宋体" w:hAnsi="宋体" w:cs="Times New Roman" w:hint="eastAsia"/>
          <w:sz w:val="24"/>
          <w:szCs w:val="24"/>
        </w:rPr>
        <w:t>操作系统的基本知识与操作。</w:t>
      </w:r>
    </w:p>
    <w:p w14:paraId="2FA7BFA7"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【重点】</w:t>
      </w:r>
    </w:p>
    <w:p w14:paraId="51702A08"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1</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计算机系统的构成、计算机的硬件及其性能指标、软件系统；；</w:t>
      </w:r>
    </w:p>
    <w:p w14:paraId="57094FDE" w14:textId="77777777" w:rsidR="003C75C2" w:rsidRPr="003C75C2" w:rsidRDefault="003C75C2" w:rsidP="003C75C2">
      <w:pPr>
        <w:spacing w:line="440" w:lineRule="exact"/>
        <w:ind w:firstLineChars="200" w:firstLine="480"/>
        <w:rPr>
          <w:rFonts w:ascii="宋体" w:eastAsia="宋体" w:hAnsi="宋体" w:cs="Times New Roman"/>
          <w:b/>
          <w:sz w:val="24"/>
          <w:szCs w:val="24"/>
        </w:rPr>
      </w:pPr>
      <w:r w:rsidRPr="003C75C2">
        <w:rPr>
          <w:rFonts w:ascii="宋体" w:eastAsia="宋体" w:hAnsi="宋体" w:cs="Times New Roman" w:hint="eastAsia"/>
          <w:sz w:val="24"/>
          <w:szCs w:val="24"/>
        </w:rPr>
        <w:lastRenderedPageBreak/>
        <w:t>2</w:t>
      </w:r>
      <w:r w:rsidRPr="003C75C2">
        <w:rPr>
          <w:rFonts w:ascii="宋体" w:eastAsia="宋体" w:hAnsi="宋体" w:cs="Times New Roman"/>
          <w:sz w:val="24"/>
          <w:szCs w:val="24"/>
        </w:rPr>
        <w:t>.</w:t>
      </w:r>
      <w:r w:rsidRPr="003C75C2">
        <w:rPr>
          <w:rFonts w:ascii="Times New Roman" w:eastAsia="宋体" w:hAnsi="Times New Roman" w:cs="Times New Roman" w:hint="eastAsia"/>
          <w:szCs w:val="24"/>
        </w:rPr>
        <w:t xml:space="preserve"> </w:t>
      </w:r>
      <w:r w:rsidRPr="003C75C2">
        <w:rPr>
          <w:rFonts w:ascii="宋体" w:eastAsia="宋体" w:hAnsi="宋体" w:cs="Times New Roman" w:hint="eastAsia"/>
          <w:sz w:val="24"/>
          <w:szCs w:val="24"/>
        </w:rPr>
        <w:t>操作系统的基本操作、系统设置以及维护。</w:t>
      </w:r>
    </w:p>
    <w:p w14:paraId="1B49E51F"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【难点】</w:t>
      </w:r>
    </w:p>
    <w:p w14:paraId="7CE79832" w14:textId="77777777" w:rsidR="003C75C2" w:rsidRPr="003C75C2" w:rsidRDefault="003C75C2" w:rsidP="00747ECA">
      <w:pPr>
        <w:numPr>
          <w:ilvl w:val="0"/>
          <w:numId w:val="88"/>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计算机系统构成；</w:t>
      </w:r>
    </w:p>
    <w:p w14:paraId="5BC6B05F" w14:textId="77777777" w:rsidR="003C75C2" w:rsidRPr="003C75C2" w:rsidRDefault="003C75C2" w:rsidP="00747ECA">
      <w:pPr>
        <w:numPr>
          <w:ilvl w:val="0"/>
          <w:numId w:val="88"/>
        </w:numPr>
        <w:spacing w:line="440" w:lineRule="exact"/>
        <w:rPr>
          <w:rFonts w:ascii="宋体" w:eastAsia="宋体" w:hAnsi="宋体" w:cs="Times New Roman"/>
          <w:b/>
          <w:sz w:val="24"/>
          <w:szCs w:val="24"/>
        </w:rPr>
      </w:pPr>
      <w:r w:rsidRPr="003C75C2">
        <w:rPr>
          <w:rFonts w:ascii="宋体" w:eastAsia="宋体" w:hAnsi="宋体" w:cs="Times New Roman" w:hint="eastAsia"/>
          <w:sz w:val="24"/>
          <w:szCs w:val="24"/>
        </w:rPr>
        <w:t>操作系统设置。</w:t>
      </w:r>
    </w:p>
    <w:p w14:paraId="7069103D" w14:textId="77777777" w:rsidR="003C75C2" w:rsidRPr="003C75C2" w:rsidRDefault="003C75C2" w:rsidP="003C75C2">
      <w:pPr>
        <w:spacing w:line="440" w:lineRule="exact"/>
        <w:ind w:firstLineChars="200" w:firstLine="482"/>
        <w:rPr>
          <w:rFonts w:ascii="宋体" w:eastAsia="宋体" w:hAnsi="宋体" w:cs="Times New Roman"/>
          <w:sz w:val="24"/>
          <w:szCs w:val="24"/>
        </w:rPr>
      </w:pPr>
      <w:r w:rsidRPr="003C75C2">
        <w:rPr>
          <w:rFonts w:ascii="宋体" w:eastAsia="宋体" w:hAnsi="宋体" w:cs="Times New Roman" w:hint="eastAsia"/>
          <w:b/>
          <w:bCs/>
          <w:sz w:val="24"/>
          <w:szCs w:val="24"/>
        </w:rPr>
        <w:t>【教学方法】</w:t>
      </w:r>
    </w:p>
    <w:p w14:paraId="09A0EB4D"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1. 通过网络电子商</w:t>
      </w:r>
      <w:proofErr w:type="gramStart"/>
      <w:r w:rsidRPr="003C75C2">
        <w:rPr>
          <w:rFonts w:ascii="宋体" w:eastAsia="宋体" w:hAnsi="宋体" w:cs="Times New Roman" w:hint="eastAsia"/>
          <w:sz w:val="24"/>
          <w:szCs w:val="24"/>
        </w:rPr>
        <w:t>城实际</w:t>
      </w:r>
      <w:proofErr w:type="gramEnd"/>
      <w:r w:rsidRPr="003C75C2">
        <w:rPr>
          <w:rFonts w:ascii="宋体" w:eastAsia="宋体" w:hAnsi="宋体" w:cs="Times New Roman" w:hint="eastAsia"/>
          <w:sz w:val="24"/>
          <w:szCs w:val="24"/>
        </w:rPr>
        <w:t>商品和多媒体课件相结合，阐明计算机的硬件组成和性能指标，丰富学生的认知；</w:t>
      </w:r>
    </w:p>
    <w:p w14:paraId="7D6F9540"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 通过组织学生观察网络平台的实际商品，从中培养学生发现问题、分析问题、解决问题的能力和探究意识；</w:t>
      </w:r>
    </w:p>
    <w:p w14:paraId="3CBDC5DD"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3. 通过案例分析，强调理论与实践相结合，促进学生知识整合，培养学生的反思能力，理解操作系统的功能。</w:t>
      </w:r>
    </w:p>
    <w:p w14:paraId="575C94D0"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4.通过大作业形式考核学生对计算机基础知识的掌握程度，计算机基础知识是计算思维的基础不烦，理解和掌握上述知识，便具有解决复杂计算机软硬件问题所必需的计算机相关知识。</w:t>
      </w:r>
    </w:p>
    <w:p w14:paraId="15C5CE20" w14:textId="77777777" w:rsidR="003C75C2" w:rsidRPr="003C75C2" w:rsidRDefault="003C75C2" w:rsidP="003C75C2">
      <w:pPr>
        <w:spacing w:line="440" w:lineRule="exact"/>
        <w:ind w:firstLineChars="200" w:firstLine="482"/>
        <w:rPr>
          <w:rFonts w:ascii="宋体" w:eastAsia="宋体" w:hAnsi="宋体" w:cs="Times New Roman"/>
          <w:bCs/>
          <w:sz w:val="24"/>
          <w:szCs w:val="24"/>
        </w:rPr>
      </w:pPr>
      <w:r w:rsidRPr="003C75C2">
        <w:rPr>
          <w:rFonts w:ascii="宋体" w:eastAsia="宋体" w:hAnsi="宋体" w:cs="Times New Roman" w:hint="eastAsia"/>
          <w:b/>
          <w:sz w:val="24"/>
          <w:szCs w:val="24"/>
        </w:rPr>
        <w:t>【复习思考】</w:t>
      </w:r>
    </w:p>
    <w:p w14:paraId="60815DF1" w14:textId="77777777" w:rsidR="003C75C2" w:rsidRPr="003C75C2" w:rsidRDefault="003C75C2" w:rsidP="003C75C2">
      <w:pPr>
        <w:spacing w:line="440" w:lineRule="exact"/>
        <w:ind w:firstLineChars="200" w:firstLine="480"/>
        <w:rPr>
          <w:rFonts w:ascii="宋体" w:eastAsia="宋体" w:hAnsi="宋体" w:cs="Times New Roman"/>
          <w:b/>
          <w:sz w:val="24"/>
          <w:szCs w:val="24"/>
        </w:rPr>
      </w:pPr>
      <w:r w:rsidRPr="003C75C2">
        <w:rPr>
          <w:rFonts w:ascii="宋体" w:eastAsia="宋体" w:hAnsi="宋体" w:cs="Times New Roman" w:hint="eastAsia"/>
          <w:sz w:val="24"/>
          <w:szCs w:val="24"/>
        </w:rPr>
        <w:t>1</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计算机硬件系统的发展方向；</w:t>
      </w:r>
    </w:p>
    <w:p w14:paraId="5DFDC8DB"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操作系统的主要功能；</w:t>
      </w:r>
    </w:p>
    <w:p w14:paraId="6C0F5F62"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3</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操作系统的实际应用。</w:t>
      </w:r>
    </w:p>
    <w:p w14:paraId="24CB2D09" w14:textId="77777777" w:rsidR="003C75C2" w:rsidRPr="003C75C2" w:rsidRDefault="003C75C2" w:rsidP="003C75C2">
      <w:pPr>
        <w:spacing w:beforeLines="50" w:before="156" w:afterLines="50" w:after="156" w:line="440" w:lineRule="exact"/>
        <w:ind w:firstLineChars="200" w:firstLine="560"/>
        <w:jc w:val="center"/>
        <w:rPr>
          <w:rFonts w:ascii="黑体" w:eastAsia="黑体" w:hAnsi="黑体" w:cs="Times New Roman"/>
          <w:sz w:val="28"/>
          <w:szCs w:val="28"/>
        </w:rPr>
      </w:pPr>
      <w:r w:rsidRPr="003C75C2">
        <w:rPr>
          <w:rFonts w:ascii="黑体" w:eastAsia="黑体" w:hAnsi="黑体" w:cs="Times New Roman" w:hint="eastAsia"/>
          <w:sz w:val="28"/>
          <w:szCs w:val="28"/>
        </w:rPr>
        <w:t>第三章  计算机网络与信息安全</w:t>
      </w:r>
    </w:p>
    <w:p w14:paraId="218B849E"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【学习目标】</w:t>
      </w:r>
      <w:r w:rsidRPr="003C75C2">
        <w:rPr>
          <w:rFonts w:ascii="宋体" w:eastAsia="宋体" w:hAnsi="宋体" w:cs="Times New Roman" w:hint="eastAsia"/>
          <w:bCs/>
          <w:sz w:val="24"/>
          <w:szCs w:val="24"/>
        </w:rPr>
        <w:t>：</w:t>
      </w:r>
    </w:p>
    <w:p w14:paraId="006B6CC8" w14:textId="77777777" w:rsidR="003C75C2" w:rsidRPr="003C75C2" w:rsidRDefault="003C75C2" w:rsidP="00747ECA">
      <w:pPr>
        <w:numPr>
          <w:ilvl w:val="0"/>
          <w:numId w:val="89"/>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掌握Internet基本知识；</w:t>
      </w:r>
    </w:p>
    <w:p w14:paraId="3438DDCB" w14:textId="77777777" w:rsidR="003C75C2" w:rsidRPr="003C75C2" w:rsidRDefault="003C75C2" w:rsidP="00747ECA">
      <w:pPr>
        <w:numPr>
          <w:ilvl w:val="0"/>
          <w:numId w:val="89"/>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了解IP地址与域名之间的关系，WWW的访问机制；</w:t>
      </w:r>
    </w:p>
    <w:p w14:paraId="04A183E0" w14:textId="77777777" w:rsidR="003C75C2" w:rsidRPr="003C75C2" w:rsidRDefault="003C75C2" w:rsidP="00747ECA">
      <w:pPr>
        <w:numPr>
          <w:ilvl w:val="0"/>
          <w:numId w:val="89"/>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掌握Internet典型应用，如电子邮件的收发、文件的传输、搜索引擎；</w:t>
      </w:r>
    </w:p>
    <w:p w14:paraId="434CE029" w14:textId="77777777" w:rsidR="003C75C2" w:rsidRPr="003C75C2" w:rsidRDefault="003C75C2" w:rsidP="00747ECA">
      <w:pPr>
        <w:numPr>
          <w:ilvl w:val="0"/>
          <w:numId w:val="89"/>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了解网络安全基础知识，防火墙的基本概念、功能及类型；</w:t>
      </w:r>
    </w:p>
    <w:p w14:paraId="7740546E" w14:textId="77777777" w:rsidR="003C75C2" w:rsidRPr="003C75C2" w:rsidRDefault="003C75C2" w:rsidP="00747ECA">
      <w:pPr>
        <w:numPr>
          <w:ilvl w:val="0"/>
          <w:numId w:val="89"/>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掌握局域网的互联技术；</w:t>
      </w:r>
    </w:p>
    <w:p w14:paraId="79F3E5B6" w14:textId="77777777" w:rsidR="003C75C2" w:rsidRPr="003C75C2" w:rsidRDefault="003C75C2" w:rsidP="00747ECA">
      <w:pPr>
        <w:numPr>
          <w:ilvl w:val="0"/>
          <w:numId w:val="89"/>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了解信息与网络安全以及网络道德规范。</w:t>
      </w:r>
    </w:p>
    <w:p w14:paraId="1CC06ABC"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【学习内容】</w:t>
      </w:r>
    </w:p>
    <w:p w14:paraId="1CCB6C44" w14:textId="77777777" w:rsidR="003C75C2" w:rsidRPr="003C75C2" w:rsidRDefault="003C75C2" w:rsidP="00747ECA">
      <w:pPr>
        <w:numPr>
          <w:ilvl w:val="0"/>
          <w:numId w:val="90"/>
        </w:numPr>
        <w:spacing w:line="360" w:lineRule="exact"/>
        <w:rPr>
          <w:rFonts w:ascii="Times New Roman" w:eastAsia="宋体" w:hAnsi="Times New Roman" w:cs="Times New Roman"/>
          <w:sz w:val="24"/>
          <w:szCs w:val="21"/>
        </w:rPr>
      </w:pPr>
      <w:r w:rsidRPr="003C75C2">
        <w:rPr>
          <w:rFonts w:ascii="Times New Roman" w:eastAsia="宋体" w:hAnsi="Times New Roman" w:cs="Times New Roman" w:hint="eastAsia"/>
          <w:sz w:val="24"/>
          <w:szCs w:val="21"/>
        </w:rPr>
        <w:t>计算机网络的基础知识；</w:t>
      </w:r>
    </w:p>
    <w:p w14:paraId="4305287F" w14:textId="77777777" w:rsidR="003C75C2" w:rsidRPr="003C75C2" w:rsidRDefault="003C75C2" w:rsidP="00747ECA">
      <w:pPr>
        <w:numPr>
          <w:ilvl w:val="0"/>
          <w:numId w:val="90"/>
        </w:numPr>
        <w:spacing w:line="360" w:lineRule="exact"/>
        <w:rPr>
          <w:rFonts w:ascii="Times New Roman" w:eastAsia="宋体" w:hAnsi="Times New Roman" w:cs="Times New Roman"/>
          <w:sz w:val="24"/>
          <w:szCs w:val="21"/>
        </w:rPr>
      </w:pPr>
      <w:r w:rsidRPr="003C75C2">
        <w:rPr>
          <w:rFonts w:ascii="Times New Roman" w:eastAsia="宋体" w:hAnsi="Times New Roman" w:cs="Times New Roman" w:hint="eastAsia"/>
          <w:sz w:val="24"/>
          <w:szCs w:val="21"/>
        </w:rPr>
        <w:t>Internet</w:t>
      </w:r>
      <w:r w:rsidRPr="003C75C2">
        <w:rPr>
          <w:rFonts w:ascii="Times New Roman" w:eastAsia="宋体" w:hAnsi="Times New Roman" w:cs="Times New Roman" w:hint="eastAsia"/>
          <w:sz w:val="24"/>
          <w:szCs w:val="21"/>
        </w:rPr>
        <w:t>基础及基本技术；</w:t>
      </w:r>
    </w:p>
    <w:p w14:paraId="37EF6807" w14:textId="77777777" w:rsidR="003C75C2" w:rsidRPr="003C75C2" w:rsidRDefault="003C75C2" w:rsidP="00747ECA">
      <w:pPr>
        <w:numPr>
          <w:ilvl w:val="0"/>
          <w:numId w:val="90"/>
        </w:numPr>
        <w:spacing w:line="360" w:lineRule="exact"/>
        <w:rPr>
          <w:rFonts w:ascii="Times New Roman" w:eastAsia="宋体" w:hAnsi="Times New Roman" w:cs="Times New Roman"/>
          <w:sz w:val="24"/>
          <w:szCs w:val="21"/>
        </w:rPr>
      </w:pPr>
      <w:r w:rsidRPr="003C75C2">
        <w:rPr>
          <w:rFonts w:ascii="Times New Roman" w:eastAsia="宋体" w:hAnsi="Times New Roman" w:cs="Times New Roman" w:hint="eastAsia"/>
          <w:sz w:val="24"/>
          <w:szCs w:val="21"/>
        </w:rPr>
        <w:t>网络通信协议概念；</w:t>
      </w:r>
    </w:p>
    <w:p w14:paraId="7676B0DA" w14:textId="77777777" w:rsidR="003C75C2" w:rsidRPr="003C75C2" w:rsidRDefault="003C75C2" w:rsidP="00747ECA">
      <w:pPr>
        <w:numPr>
          <w:ilvl w:val="0"/>
          <w:numId w:val="90"/>
        </w:numPr>
        <w:spacing w:line="360" w:lineRule="exact"/>
        <w:rPr>
          <w:rFonts w:ascii="Times New Roman" w:eastAsia="宋体" w:hAnsi="Times New Roman" w:cs="Times New Roman"/>
          <w:sz w:val="24"/>
          <w:szCs w:val="21"/>
        </w:rPr>
      </w:pPr>
      <w:r w:rsidRPr="003C75C2">
        <w:rPr>
          <w:rFonts w:ascii="Times New Roman" w:eastAsia="宋体" w:hAnsi="Times New Roman" w:cs="Times New Roman" w:hint="eastAsia"/>
          <w:sz w:val="24"/>
          <w:szCs w:val="21"/>
        </w:rPr>
        <w:t>Internet</w:t>
      </w:r>
      <w:r w:rsidRPr="003C75C2">
        <w:rPr>
          <w:rFonts w:ascii="Times New Roman" w:eastAsia="宋体" w:hAnsi="Times New Roman" w:cs="Times New Roman" w:hint="eastAsia"/>
          <w:sz w:val="24"/>
          <w:szCs w:val="21"/>
        </w:rPr>
        <w:t>应用；</w:t>
      </w:r>
    </w:p>
    <w:p w14:paraId="426B9301" w14:textId="77777777" w:rsidR="003C75C2" w:rsidRPr="003C75C2" w:rsidRDefault="003C75C2" w:rsidP="00747ECA">
      <w:pPr>
        <w:numPr>
          <w:ilvl w:val="0"/>
          <w:numId w:val="90"/>
        </w:numPr>
        <w:spacing w:line="360" w:lineRule="exact"/>
        <w:rPr>
          <w:rFonts w:ascii="Times New Roman" w:eastAsia="宋体" w:hAnsi="Times New Roman" w:cs="Times New Roman"/>
          <w:sz w:val="24"/>
          <w:szCs w:val="21"/>
        </w:rPr>
      </w:pPr>
      <w:r w:rsidRPr="003C75C2">
        <w:rPr>
          <w:rFonts w:ascii="Times New Roman" w:eastAsia="宋体" w:hAnsi="Times New Roman" w:cs="Times New Roman" w:hint="eastAsia"/>
          <w:sz w:val="24"/>
          <w:szCs w:val="21"/>
        </w:rPr>
        <w:t>信息与网络安全。</w:t>
      </w:r>
    </w:p>
    <w:p w14:paraId="33F37849"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lastRenderedPageBreak/>
        <w:t>【重点】</w:t>
      </w:r>
    </w:p>
    <w:p w14:paraId="1E5A6A14"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1</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计算机网络体系结构，以及典型应用的相关参数配置。</w:t>
      </w:r>
    </w:p>
    <w:p w14:paraId="0DA447C7"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【难点】</w:t>
      </w:r>
    </w:p>
    <w:p w14:paraId="72624DD8" w14:textId="77777777" w:rsidR="003C75C2" w:rsidRPr="003C75C2" w:rsidRDefault="003C75C2" w:rsidP="00747ECA">
      <w:pPr>
        <w:numPr>
          <w:ilvl w:val="0"/>
          <w:numId w:val="91"/>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TCP/IP协议和IP地址与域名的关系。</w:t>
      </w:r>
    </w:p>
    <w:p w14:paraId="40514C48" w14:textId="77777777" w:rsidR="003C75C2" w:rsidRPr="003C75C2" w:rsidRDefault="003C75C2" w:rsidP="003C75C2">
      <w:pPr>
        <w:spacing w:line="440" w:lineRule="exact"/>
        <w:ind w:firstLineChars="200" w:firstLine="482"/>
        <w:rPr>
          <w:rFonts w:ascii="宋体" w:eastAsia="宋体" w:hAnsi="宋体" w:cs="Times New Roman"/>
          <w:sz w:val="24"/>
          <w:szCs w:val="24"/>
        </w:rPr>
      </w:pPr>
      <w:r w:rsidRPr="003C75C2">
        <w:rPr>
          <w:rFonts w:ascii="宋体" w:eastAsia="宋体" w:hAnsi="宋体" w:cs="Times New Roman" w:hint="eastAsia"/>
          <w:b/>
          <w:bCs/>
          <w:sz w:val="24"/>
          <w:szCs w:val="24"/>
        </w:rPr>
        <w:t>【教学方法】</w:t>
      </w:r>
    </w:p>
    <w:p w14:paraId="09E846E4"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1. 通过多媒体课件和实际操作相结合，阐明计算机网络的发展历史和形成机制，丰富学生的认知；</w:t>
      </w:r>
    </w:p>
    <w:p w14:paraId="2EF45F69"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 通过组织学生观察网络的组成和各部件的功能，从中培养学生发现问题、分析问题、解决问题的能力和探究意识；</w:t>
      </w:r>
    </w:p>
    <w:p w14:paraId="6FFD1D07"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3.通过大作业形式考核学生对计算机网络知识的掌握程度，理解和掌握网络的各种应用，便具有解决复杂计算机网络问题所必需的计算机相关知识。</w:t>
      </w:r>
    </w:p>
    <w:p w14:paraId="5C4F863C" w14:textId="77777777" w:rsidR="003C75C2" w:rsidRPr="003C75C2" w:rsidRDefault="003C75C2" w:rsidP="003C75C2">
      <w:pPr>
        <w:spacing w:line="440" w:lineRule="exact"/>
        <w:ind w:firstLineChars="200" w:firstLine="482"/>
        <w:rPr>
          <w:rFonts w:ascii="宋体" w:eastAsia="宋体" w:hAnsi="宋体" w:cs="Times New Roman"/>
          <w:bCs/>
          <w:sz w:val="24"/>
          <w:szCs w:val="24"/>
        </w:rPr>
      </w:pPr>
      <w:r w:rsidRPr="003C75C2">
        <w:rPr>
          <w:rFonts w:ascii="宋体" w:eastAsia="宋体" w:hAnsi="宋体" w:cs="Times New Roman" w:hint="eastAsia"/>
          <w:b/>
          <w:sz w:val="24"/>
          <w:szCs w:val="24"/>
        </w:rPr>
        <w:t>【复习思考】</w:t>
      </w:r>
    </w:p>
    <w:p w14:paraId="71DD8CD4" w14:textId="77777777" w:rsidR="003C75C2" w:rsidRPr="003C75C2" w:rsidRDefault="003C75C2" w:rsidP="003C75C2">
      <w:pPr>
        <w:spacing w:line="440" w:lineRule="exact"/>
        <w:ind w:firstLineChars="200" w:firstLine="480"/>
        <w:rPr>
          <w:rFonts w:ascii="宋体" w:eastAsia="宋体" w:hAnsi="宋体" w:cs="Times New Roman"/>
          <w:b/>
          <w:sz w:val="24"/>
          <w:szCs w:val="24"/>
        </w:rPr>
      </w:pPr>
      <w:r w:rsidRPr="003C75C2">
        <w:rPr>
          <w:rFonts w:ascii="宋体" w:eastAsia="宋体" w:hAnsi="宋体" w:cs="Times New Roman" w:hint="eastAsia"/>
          <w:sz w:val="24"/>
          <w:szCs w:val="24"/>
        </w:rPr>
        <w:t>1</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计算机网络的形成；</w:t>
      </w:r>
    </w:p>
    <w:p w14:paraId="5B708378"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计算机网络的形成机制；</w:t>
      </w:r>
    </w:p>
    <w:p w14:paraId="06708683"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3</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网络应用的进一步发展。</w:t>
      </w:r>
    </w:p>
    <w:p w14:paraId="25E502FE" w14:textId="77777777" w:rsidR="003C75C2" w:rsidRPr="003C75C2" w:rsidRDefault="003C75C2" w:rsidP="003C75C2">
      <w:pPr>
        <w:spacing w:beforeLines="50" w:before="156" w:afterLines="50" w:after="156" w:line="440" w:lineRule="exact"/>
        <w:ind w:firstLineChars="200" w:firstLine="560"/>
        <w:jc w:val="center"/>
        <w:rPr>
          <w:rFonts w:ascii="黑体" w:eastAsia="黑体" w:hAnsi="黑体" w:cs="Times New Roman"/>
          <w:sz w:val="28"/>
          <w:szCs w:val="28"/>
        </w:rPr>
      </w:pPr>
      <w:r w:rsidRPr="003C75C2">
        <w:rPr>
          <w:rFonts w:ascii="黑体" w:eastAsia="黑体" w:hAnsi="黑体" w:cs="Times New Roman" w:hint="eastAsia"/>
          <w:sz w:val="28"/>
          <w:szCs w:val="28"/>
        </w:rPr>
        <w:t>第四章  新一代信息技术</w:t>
      </w:r>
    </w:p>
    <w:p w14:paraId="5DB094FA"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【学习目标】</w:t>
      </w:r>
      <w:r w:rsidRPr="003C75C2">
        <w:rPr>
          <w:rFonts w:ascii="宋体" w:eastAsia="宋体" w:hAnsi="宋体" w:cs="Times New Roman" w:hint="eastAsia"/>
          <w:bCs/>
          <w:sz w:val="24"/>
          <w:szCs w:val="24"/>
        </w:rPr>
        <w:t>：</w:t>
      </w:r>
    </w:p>
    <w:p w14:paraId="5A501854" w14:textId="77777777" w:rsidR="003C75C2" w:rsidRPr="003C75C2" w:rsidRDefault="003C75C2" w:rsidP="00747ECA">
      <w:pPr>
        <w:numPr>
          <w:ilvl w:val="0"/>
          <w:numId w:val="92"/>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了解物联网的发展和应用现状；</w:t>
      </w:r>
    </w:p>
    <w:p w14:paraId="4DC242BB" w14:textId="77777777" w:rsidR="003C75C2" w:rsidRPr="003C75C2" w:rsidRDefault="003C75C2" w:rsidP="00747ECA">
      <w:pPr>
        <w:numPr>
          <w:ilvl w:val="0"/>
          <w:numId w:val="92"/>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掌握大数据的主要思想和原理，掌握大数据的典型应用；</w:t>
      </w:r>
    </w:p>
    <w:p w14:paraId="3086CF36" w14:textId="77777777" w:rsidR="003C75C2" w:rsidRPr="003C75C2" w:rsidRDefault="003C75C2" w:rsidP="00747ECA">
      <w:pPr>
        <w:numPr>
          <w:ilvl w:val="0"/>
          <w:numId w:val="92"/>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掌握</w:t>
      </w:r>
      <w:proofErr w:type="gramStart"/>
      <w:r w:rsidRPr="003C75C2">
        <w:rPr>
          <w:rFonts w:ascii="宋体" w:eastAsia="宋体" w:hAnsi="宋体" w:cs="Times New Roman" w:hint="eastAsia"/>
          <w:sz w:val="24"/>
          <w:szCs w:val="24"/>
        </w:rPr>
        <w:t>云计算</w:t>
      </w:r>
      <w:proofErr w:type="gramEnd"/>
      <w:r w:rsidRPr="003C75C2">
        <w:rPr>
          <w:rFonts w:ascii="宋体" w:eastAsia="宋体" w:hAnsi="宋体" w:cs="Times New Roman" w:hint="eastAsia"/>
          <w:sz w:val="24"/>
          <w:szCs w:val="24"/>
        </w:rPr>
        <w:t>的概念和主要内容以及</w:t>
      </w:r>
      <w:proofErr w:type="gramStart"/>
      <w:r w:rsidRPr="003C75C2">
        <w:rPr>
          <w:rFonts w:ascii="宋体" w:eastAsia="宋体" w:hAnsi="宋体" w:cs="Times New Roman" w:hint="eastAsia"/>
          <w:sz w:val="24"/>
          <w:szCs w:val="24"/>
        </w:rPr>
        <w:t>云计算</w:t>
      </w:r>
      <w:proofErr w:type="gramEnd"/>
      <w:r w:rsidRPr="003C75C2">
        <w:rPr>
          <w:rFonts w:ascii="宋体" w:eastAsia="宋体" w:hAnsi="宋体" w:cs="Times New Roman" w:hint="eastAsia"/>
          <w:sz w:val="24"/>
          <w:szCs w:val="24"/>
        </w:rPr>
        <w:t>的重要应用价值；</w:t>
      </w:r>
    </w:p>
    <w:p w14:paraId="3EC804D6" w14:textId="77777777" w:rsidR="003C75C2" w:rsidRPr="003C75C2" w:rsidRDefault="003C75C2" w:rsidP="00747ECA">
      <w:pPr>
        <w:numPr>
          <w:ilvl w:val="0"/>
          <w:numId w:val="92"/>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能理解并简单分析</w:t>
      </w:r>
      <w:proofErr w:type="gramStart"/>
      <w:r w:rsidRPr="003C75C2">
        <w:rPr>
          <w:rFonts w:ascii="宋体" w:eastAsia="宋体" w:hAnsi="宋体" w:cs="Times New Roman" w:hint="eastAsia"/>
          <w:sz w:val="24"/>
          <w:szCs w:val="24"/>
        </w:rPr>
        <w:t>云计算</w:t>
      </w:r>
      <w:proofErr w:type="gramEnd"/>
      <w:r w:rsidRPr="003C75C2">
        <w:rPr>
          <w:rFonts w:ascii="宋体" w:eastAsia="宋体" w:hAnsi="宋体" w:cs="Times New Roman" w:hint="eastAsia"/>
          <w:sz w:val="24"/>
          <w:szCs w:val="24"/>
        </w:rPr>
        <w:t>的关键技术；能简单描述、分析比较</w:t>
      </w:r>
      <w:proofErr w:type="gramStart"/>
      <w:r w:rsidRPr="003C75C2">
        <w:rPr>
          <w:rFonts w:ascii="宋体" w:eastAsia="宋体" w:hAnsi="宋体" w:cs="Times New Roman" w:hint="eastAsia"/>
          <w:sz w:val="24"/>
          <w:szCs w:val="24"/>
        </w:rPr>
        <w:t>云计算</w:t>
      </w:r>
      <w:proofErr w:type="gramEnd"/>
      <w:r w:rsidRPr="003C75C2">
        <w:rPr>
          <w:rFonts w:ascii="宋体" w:eastAsia="宋体" w:hAnsi="宋体" w:cs="Times New Roman" w:hint="eastAsia"/>
          <w:sz w:val="24"/>
          <w:szCs w:val="24"/>
        </w:rPr>
        <w:t>的三种服务类型；认识部署</w:t>
      </w:r>
      <w:proofErr w:type="gramStart"/>
      <w:r w:rsidRPr="003C75C2">
        <w:rPr>
          <w:rFonts w:ascii="宋体" w:eastAsia="宋体" w:hAnsi="宋体" w:cs="Times New Roman" w:hint="eastAsia"/>
          <w:sz w:val="24"/>
          <w:szCs w:val="24"/>
        </w:rPr>
        <w:t>云计算</w:t>
      </w:r>
      <w:proofErr w:type="gramEnd"/>
      <w:r w:rsidRPr="003C75C2">
        <w:rPr>
          <w:rFonts w:ascii="宋体" w:eastAsia="宋体" w:hAnsi="宋体" w:cs="Times New Roman" w:hint="eastAsia"/>
          <w:sz w:val="24"/>
          <w:szCs w:val="24"/>
        </w:rPr>
        <w:t>部署的三大模式：公有云、私有云和混合云；能列举云计算技术在日常生活和工作中的应用。</w:t>
      </w:r>
    </w:p>
    <w:p w14:paraId="1A6E64C1" w14:textId="77777777" w:rsidR="003C75C2" w:rsidRPr="003C75C2" w:rsidRDefault="003C75C2" w:rsidP="00747ECA">
      <w:pPr>
        <w:numPr>
          <w:ilvl w:val="0"/>
          <w:numId w:val="92"/>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掌握机器学习、人工神经网络等人工智能核心技术的基本只是，会注册并使用百度AI；能列举人工智能技术在日常生活和工作中的应用。</w:t>
      </w:r>
    </w:p>
    <w:p w14:paraId="181BFFE1" w14:textId="77777777" w:rsidR="003C75C2" w:rsidRPr="003C75C2" w:rsidRDefault="003C75C2" w:rsidP="00747ECA">
      <w:pPr>
        <w:numPr>
          <w:ilvl w:val="0"/>
          <w:numId w:val="92"/>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了解新兴信息技术的发展情况和方向，能列举并理解常见现代通信技术；能列举现代通信技术在日常生活和工作中的应用。了解数字媒体、虚拟现实、区块链技术等技术的发展和应用。</w:t>
      </w:r>
    </w:p>
    <w:p w14:paraId="05342452"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【学习内容】</w:t>
      </w:r>
    </w:p>
    <w:p w14:paraId="3C621F80" w14:textId="77777777" w:rsidR="003C75C2" w:rsidRPr="003C75C2" w:rsidRDefault="003C75C2" w:rsidP="00747ECA">
      <w:pPr>
        <w:numPr>
          <w:ilvl w:val="0"/>
          <w:numId w:val="93"/>
        </w:numPr>
        <w:spacing w:line="440" w:lineRule="exact"/>
        <w:rPr>
          <w:rFonts w:ascii="Times New Roman" w:eastAsia="宋体" w:hAnsi="Times New Roman" w:cs="Times New Roman"/>
          <w:sz w:val="24"/>
          <w:szCs w:val="24"/>
        </w:rPr>
      </w:pPr>
      <w:r w:rsidRPr="003C75C2">
        <w:rPr>
          <w:rFonts w:ascii="Times New Roman" w:eastAsia="宋体" w:hAnsi="Times New Roman" w:cs="Times New Roman" w:hint="eastAsia"/>
          <w:sz w:val="24"/>
          <w:szCs w:val="24"/>
        </w:rPr>
        <w:t>新一代信息技术的发展以及标准；</w:t>
      </w:r>
    </w:p>
    <w:p w14:paraId="1B5F56CE" w14:textId="77777777" w:rsidR="003C75C2" w:rsidRPr="003C75C2" w:rsidRDefault="003C75C2" w:rsidP="00747ECA">
      <w:pPr>
        <w:numPr>
          <w:ilvl w:val="0"/>
          <w:numId w:val="93"/>
        </w:numPr>
        <w:spacing w:line="440" w:lineRule="exact"/>
        <w:rPr>
          <w:rFonts w:ascii="Times New Roman" w:eastAsia="宋体" w:hAnsi="Times New Roman" w:cs="Times New Roman"/>
          <w:sz w:val="24"/>
          <w:szCs w:val="24"/>
        </w:rPr>
      </w:pPr>
      <w:r w:rsidRPr="003C75C2">
        <w:rPr>
          <w:rFonts w:ascii="Times New Roman" w:eastAsia="宋体" w:hAnsi="Times New Roman" w:cs="Times New Roman" w:hint="eastAsia"/>
          <w:sz w:val="24"/>
          <w:szCs w:val="24"/>
        </w:rPr>
        <w:t>物联网的基本知识和应用；</w:t>
      </w:r>
    </w:p>
    <w:p w14:paraId="3391E67E" w14:textId="77777777" w:rsidR="003C75C2" w:rsidRPr="003C75C2" w:rsidRDefault="003C75C2" w:rsidP="00747ECA">
      <w:pPr>
        <w:numPr>
          <w:ilvl w:val="0"/>
          <w:numId w:val="93"/>
        </w:numPr>
        <w:spacing w:line="360" w:lineRule="exact"/>
        <w:rPr>
          <w:rFonts w:ascii="Times New Roman" w:eastAsia="宋体" w:hAnsi="Times New Roman" w:cs="Times New Roman"/>
          <w:sz w:val="24"/>
          <w:szCs w:val="21"/>
        </w:rPr>
      </w:pPr>
      <w:r w:rsidRPr="003C75C2">
        <w:rPr>
          <w:rFonts w:ascii="Times New Roman" w:eastAsia="宋体" w:hAnsi="Times New Roman" w:cs="Times New Roman" w:hint="eastAsia"/>
          <w:sz w:val="24"/>
          <w:szCs w:val="21"/>
        </w:rPr>
        <w:lastRenderedPageBreak/>
        <w:t>大数据思想的重要价值和应用案例；</w:t>
      </w:r>
    </w:p>
    <w:p w14:paraId="7F443873" w14:textId="77777777" w:rsidR="003C75C2" w:rsidRPr="003C75C2" w:rsidRDefault="003C75C2" w:rsidP="00747ECA">
      <w:pPr>
        <w:numPr>
          <w:ilvl w:val="0"/>
          <w:numId w:val="93"/>
        </w:numPr>
        <w:spacing w:line="440" w:lineRule="exact"/>
        <w:rPr>
          <w:rFonts w:ascii="Times New Roman" w:eastAsia="宋体" w:hAnsi="Times New Roman" w:cs="Times New Roman"/>
          <w:sz w:val="24"/>
          <w:szCs w:val="24"/>
        </w:rPr>
      </w:pPr>
      <w:proofErr w:type="gramStart"/>
      <w:r w:rsidRPr="003C75C2">
        <w:rPr>
          <w:rFonts w:ascii="Times New Roman" w:eastAsia="宋体" w:hAnsi="Times New Roman" w:cs="Times New Roman" w:hint="eastAsia"/>
          <w:sz w:val="24"/>
          <w:szCs w:val="21"/>
        </w:rPr>
        <w:t>云计算</w:t>
      </w:r>
      <w:proofErr w:type="gramEnd"/>
      <w:r w:rsidRPr="003C75C2">
        <w:rPr>
          <w:rFonts w:ascii="Times New Roman" w:eastAsia="宋体" w:hAnsi="Times New Roman" w:cs="Times New Roman" w:hint="eastAsia"/>
          <w:sz w:val="24"/>
          <w:szCs w:val="21"/>
        </w:rPr>
        <w:t>的概念、主要内容和应用；</w:t>
      </w:r>
    </w:p>
    <w:p w14:paraId="77369B52" w14:textId="77777777" w:rsidR="003C75C2" w:rsidRPr="003C75C2" w:rsidRDefault="003C75C2" w:rsidP="00747ECA">
      <w:pPr>
        <w:numPr>
          <w:ilvl w:val="0"/>
          <w:numId w:val="93"/>
        </w:numPr>
        <w:spacing w:line="440" w:lineRule="exact"/>
        <w:rPr>
          <w:rFonts w:ascii="Times New Roman" w:eastAsia="宋体" w:hAnsi="Times New Roman" w:cs="Times New Roman"/>
          <w:sz w:val="24"/>
          <w:szCs w:val="24"/>
        </w:rPr>
      </w:pPr>
      <w:r w:rsidRPr="003C75C2">
        <w:rPr>
          <w:rFonts w:ascii="Times New Roman" w:eastAsia="宋体" w:hAnsi="Times New Roman" w:cs="Times New Roman" w:hint="eastAsia"/>
          <w:sz w:val="24"/>
          <w:szCs w:val="21"/>
        </w:rPr>
        <w:t>人工智能的核心技术和典型应用；</w:t>
      </w:r>
    </w:p>
    <w:p w14:paraId="04F18943" w14:textId="77777777" w:rsidR="003C75C2" w:rsidRPr="003C75C2" w:rsidRDefault="003C75C2" w:rsidP="00747ECA">
      <w:pPr>
        <w:numPr>
          <w:ilvl w:val="0"/>
          <w:numId w:val="93"/>
        </w:numPr>
        <w:spacing w:line="440" w:lineRule="exact"/>
        <w:rPr>
          <w:rFonts w:ascii="Times New Roman" w:eastAsia="宋体" w:hAnsi="Times New Roman" w:cs="Times New Roman"/>
          <w:sz w:val="24"/>
          <w:szCs w:val="24"/>
        </w:rPr>
      </w:pPr>
      <w:r w:rsidRPr="003C75C2">
        <w:rPr>
          <w:rFonts w:ascii="Times New Roman" w:eastAsia="宋体" w:hAnsi="Times New Roman" w:cs="Times New Roman" w:hint="eastAsia"/>
          <w:sz w:val="24"/>
          <w:szCs w:val="24"/>
        </w:rPr>
        <w:t>现代通信技术、物联网、数字媒体、虚拟现实、区块链技术等技术的发展和应用。</w:t>
      </w:r>
    </w:p>
    <w:p w14:paraId="412B752E"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【重点】</w:t>
      </w:r>
    </w:p>
    <w:p w14:paraId="3B3B3523" w14:textId="77777777" w:rsidR="003C75C2" w:rsidRPr="003C75C2" w:rsidRDefault="003C75C2" w:rsidP="00747ECA">
      <w:pPr>
        <w:numPr>
          <w:ilvl w:val="0"/>
          <w:numId w:val="94"/>
        </w:numPr>
        <w:spacing w:line="440" w:lineRule="exact"/>
        <w:ind w:left="0"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物联网的发展和应用现状；</w:t>
      </w:r>
    </w:p>
    <w:p w14:paraId="697247DE" w14:textId="77777777" w:rsidR="003C75C2" w:rsidRPr="003C75C2" w:rsidRDefault="003C75C2" w:rsidP="00747ECA">
      <w:pPr>
        <w:numPr>
          <w:ilvl w:val="0"/>
          <w:numId w:val="94"/>
        </w:numPr>
        <w:spacing w:line="440" w:lineRule="exact"/>
        <w:ind w:left="0" w:firstLineChars="200" w:firstLine="480"/>
        <w:rPr>
          <w:rFonts w:ascii="宋体" w:eastAsia="宋体" w:hAnsi="宋体" w:cs="Times New Roman"/>
          <w:sz w:val="24"/>
          <w:szCs w:val="24"/>
        </w:rPr>
      </w:pPr>
      <w:proofErr w:type="gramStart"/>
      <w:r w:rsidRPr="003C75C2">
        <w:rPr>
          <w:rFonts w:ascii="宋体" w:eastAsia="宋体" w:hAnsi="宋体" w:cs="Times New Roman" w:hint="eastAsia"/>
          <w:sz w:val="24"/>
          <w:szCs w:val="24"/>
        </w:rPr>
        <w:t>云计算</w:t>
      </w:r>
      <w:proofErr w:type="gramEnd"/>
      <w:r w:rsidRPr="003C75C2">
        <w:rPr>
          <w:rFonts w:ascii="宋体" w:eastAsia="宋体" w:hAnsi="宋体" w:cs="Times New Roman" w:hint="eastAsia"/>
          <w:sz w:val="24"/>
          <w:szCs w:val="24"/>
        </w:rPr>
        <w:t>的关键技术和服务类型以及</w:t>
      </w:r>
      <w:proofErr w:type="gramStart"/>
      <w:r w:rsidRPr="003C75C2">
        <w:rPr>
          <w:rFonts w:ascii="宋体" w:eastAsia="宋体" w:hAnsi="宋体" w:cs="Times New Roman" w:hint="eastAsia"/>
          <w:sz w:val="24"/>
          <w:szCs w:val="24"/>
        </w:rPr>
        <w:t>云计算</w:t>
      </w:r>
      <w:proofErr w:type="gramEnd"/>
      <w:r w:rsidRPr="003C75C2">
        <w:rPr>
          <w:rFonts w:ascii="宋体" w:eastAsia="宋体" w:hAnsi="宋体" w:cs="Times New Roman" w:hint="eastAsia"/>
          <w:sz w:val="24"/>
          <w:szCs w:val="24"/>
        </w:rPr>
        <w:t>部署的模式；</w:t>
      </w:r>
    </w:p>
    <w:p w14:paraId="603C0CC7" w14:textId="77777777" w:rsidR="003C75C2" w:rsidRPr="003C75C2" w:rsidRDefault="003C75C2" w:rsidP="00747ECA">
      <w:pPr>
        <w:numPr>
          <w:ilvl w:val="0"/>
          <w:numId w:val="94"/>
        </w:numPr>
        <w:spacing w:line="440" w:lineRule="exact"/>
        <w:ind w:left="0"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大数据的主要思想和原理，掌握大数据的典型应用。</w:t>
      </w:r>
    </w:p>
    <w:p w14:paraId="7AC3152B"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【难点】</w:t>
      </w:r>
    </w:p>
    <w:p w14:paraId="290FFB86" w14:textId="77777777" w:rsidR="003C75C2" w:rsidRPr="003C75C2" w:rsidRDefault="003C75C2" w:rsidP="00747ECA">
      <w:pPr>
        <w:numPr>
          <w:ilvl w:val="0"/>
          <w:numId w:val="95"/>
        </w:numPr>
        <w:spacing w:line="440" w:lineRule="exact"/>
        <w:ind w:left="0"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物联网的技术原理和应用；</w:t>
      </w:r>
    </w:p>
    <w:p w14:paraId="6531028B" w14:textId="77777777" w:rsidR="003C75C2" w:rsidRPr="003C75C2" w:rsidRDefault="003C75C2" w:rsidP="00747ECA">
      <w:pPr>
        <w:numPr>
          <w:ilvl w:val="0"/>
          <w:numId w:val="96"/>
        </w:num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云计算技术的特点和典型应用。</w:t>
      </w:r>
    </w:p>
    <w:p w14:paraId="243B778C" w14:textId="77777777" w:rsidR="003C75C2" w:rsidRPr="003C75C2" w:rsidRDefault="003C75C2" w:rsidP="00747ECA">
      <w:pPr>
        <w:numPr>
          <w:ilvl w:val="0"/>
          <w:numId w:val="96"/>
        </w:num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大数据技术的技术原理和特点。</w:t>
      </w:r>
    </w:p>
    <w:p w14:paraId="186602AA" w14:textId="77777777" w:rsidR="003C75C2" w:rsidRPr="003C75C2" w:rsidRDefault="003C75C2" w:rsidP="003C75C2">
      <w:pPr>
        <w:spacing w:line="440" w:lineRule="exact"/>
        <w:ind w:firstLineChars="200" w:firstLine="482"/>
        <w:rPr>
          <w:rFonts w:ascii="宋体" w:eastAsia="宋体" w:hAnsi="宋体" w:cs="Times New Roman"/>
          <w:sz w:val="24"/>
          <w:szCs w:val="24"/>
        </w:rPr>
      </w:pPr>
      <w:r w:rsidRPr="003C75C2">
        <w:rPr>
          <w:rFonts w:ascii="宋体" w:eastAsia="宋体" w:hAnsi="宋体" w:cs="Times New Roman" w:hint="eastAsia"/>
          <w:b/>
          <w:bCs/>
          <w:sz w:val="24"/>
          <w:szCs w:val="24"/>
        </w:rPr>
        <w:t>【教学方法】</w:t>
      </w:r>
    </w:p>
    <w:p w14:paraId="1C80EE34"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 xml:space="preserve">1. 通过案例分析，强调理论与实践相结合，促进学生知识整合，培养学生的反思能力； </w:t>
      </w:r>
    </w:p>
    <w:p w14:paraId="193F0E72"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 xml:space="preserve">2. </w:t>
      </w:r>
      <w:proofErr w:type="gramStart"/>
      <w:r w:rsidRPr="003C75C2">
        <w:rPr>
          <w:rFonts w:ascii="宋体" w:eastAsia="宋体" w:hAnsi="宋体" w:cs="Times New Roman" w:hint="eastAsia"/>
          <w:sz w:val="24"/>
          <w:szCs w:val="24"/>
        </w:rPr>
        <w:t>通过微课和</w:t>
      </w:r>
      <w:proofErr w:type="gramEnd"/>
      <w:r w:rsidRPr="003C75C2">
        <w:rPr>
          <w:rFonts w:ascii="宋体" w:eastAsia="宋体" w:hAnsi="宋体" w:cs="Times New Roman" w:hint="eastAsia"/>
          <w:sz w:val="24"/>
          <w:szCs w:val="24"/>
        </w:rPr>
        <w:t>多媒体课件相结合，阐明新一代信息技术的各种应用，丰富学生基本知识结构，培养学生的信息素养。</w:t>
      </w:r>
    </w:p>
    <w:p w14:paraId="2319DED1" w14:textId="77777777" w:rsidR="003C75C2" w:rsidRPr="003C75C2" w:rsidRDefault="003C75C2" w:rsidP="003C75C2">
      <w:pPr>
        <w:spacing w:line="440" w:lineRule="exact"/>
        <w:ind w:firstLineChars="200" w:firstLine="482"/>
        <w:rPr>
          <w:rFonts w:ascii="宋体" w:eastAsia="宋体" w:hAnsi="宋体" w:cs="Times New Roman"/>
          <w:bCs/>
          <w:sz w:val="24"/>
          <w:szCs w:val="24"/>
        </w:rPr>
      </w:pPr>
      <w:r w:rsidRPr="003C75C2">
        <w:rPr>
          <w:rFonts w:ascii="宋体" w:eastAsia="宋体" w:hAnsi="宋体" w:cs="Times New Roman" w:hint="eastAsia"/>
          <w:b/>
          <w:sz w:val="24"/>
          <w:szCs w:val="24"/>
        </w:rPr>
        <w:t>【复习思考】</w:t>
      </w:r>
    </w:p>
    <w:p w14:paraId="3285C2A1" w14:textId="77777777" w:rsidR="003C75C2" w:rsidRPr="003C75C2" w:rsidRDefault="003C75C2" w:rsidP="003C75C2">
      <w:pPr>
        <w:spacing w:line="440" w:lineRule="exact"/>
        <w:ind w:firstLineChars="200" w:firstLine="480"/>
        <w:rPr>
          <w:rFonts w:ascii="宋体" w:eastAsia="宋体" w:hAnsi="宋体" w:cs="Times New Roman"/>
          <w:b/>
          <w:sz w:val="24"/>
          <w:szCs w:val="24"/>
        </w:rPr>
      </w:pPr>
      <w:r w:rsidRPr="003C75C2">
        <w:rPr>
          <w:rFonts w:ascii="宋体" w:eastAsia="宋体" w:hAnsi="宋体" w:cs="Times New Roman" w:hint="eastAsia"/>
          <w:sz w:val="24"/>
          <w:szCs w:val="24"/>
        </w:rPr>
        <w:t>1</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物联网关键技术与应用；</w:t>
      </w:r>
    </w:p>
    <w:p w14:paraId="50887800"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w:t>
      </w:r>
      <w:r w:rsidRPr="003C75C2">
        <w:rPr>
          <w:rFonts w:ascii="宋体" w:eastAsia="宋体" w:hAnsi="宋体" w:cs="Times New Roman"/>
          <w:sz w:val="24"/>
          <w:szCs w:val="24"/>
        </w:rPr>
        <w:t xml:space="preserve">. </w:t>
      </w:r>
      <w:proofErr w:type="gramStart"/>
      <w:r w:rsidRPr="003C75C2">
        <w:rPr>
          <w:rFonts w:ascii="宋体" w:eastAsia="宋体" w:hAnsi="宋体" w:cs="Times New Roman" w:hint="eastAsia"/>
          <w:sz w:val="24"/>
          <w:szCs w:val="24"/>
        </w:rPr>
        <w:t>云计算</w:t>
      </w:r>
      <w:proofErr w:type="gramEnd"/>
      <w:r w:rsidRPr="003C75C2">
        <w:rPr>
          <w:rFonts w:ascii="宋体" w:eastAsia="宋体" w:hAnsi="宋体" w:cs="Times New Roman" w:hint="eastAsia"/>
          <w:sz w:val="24"/>
          <w:szCs w:val="24"/>
        </w:rPr>
        <w:t>的服务类型和部署模式；</w:t>
      </w:r>
    </w:p>
    <w:p w14:paraId="1E7065DA"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3</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人工智能的核心技术和典型应用。</w:t>
      </w:r>
    </w:p>
    <w:p w14:paraId="59002B78" w14:textId="77777777" w:rsidR="003C75C2" w:rsidRPr="003C75C2" w:rsidRDefault="003C75C2" w:rsidP="003C75C2">
      <w:pPr>
        <w:spacing w:beforeLines="50" w:before="156" w:afterLines="50" w:after="156" w:line="440" w:lineRule="exact"/>
        <w:ind w:firstLineChars="200" w:firstLine="560"/>
        <w:jc w:val="center"/>
        <w:rPr>
          <w:rFonts w:ascii="黑体" w:eastAsia="黑体" w:hAnsi="黑体" w:cs="Times New Roman"/>
          <w:sz w:val="28"/>
          <w:szCs w:val="28"/>
        </w:rPr>
      </w:pPr>
      <w:r w:rsidRPr="003C75C2">
        <w:rPr>
          <w:rFonts w:ascii="黑体" w:eastAsia="黑体" w:hAnsi="黑体" w:cs="Times New Roman" w:hint="eastAsia"/>
          <w:sz w:val="28"/>
          <w:szCs w:val="28"/>
        </w:rPr>
        <w:t>第五章  数据处理</w:t>
      </w:r>
    </w:p>
    <w:p w14:paraId="76907B2C"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【学习目标】</w:t>
      </w:r>
      <w:r w:rsidRPr="003C75C2">
        <w:rPr>
          <w:rFonts w:ascii="宋体" w:eastAsia="宋体" w:hAnsi="宋体" w:cs="Times New Roman" w:hint="eastAsia"/>
          <w:bCs/>
          <w:sz w:val="24"/>
          <w:szCs w:val="24"/>
        </w:rPr>
        <w:t>：</w:t>
      </w:r>
    </w:p>
    <w:p w14:paraId="1FD24C5C" w14:textId="77777777" w:rsidR="003C75C2" w:rsidRPr="003C75C2" w:rsidRDefault="003C75C2" w:rsidP="00747ECA">
      <w:pPr>
        <w:numPr>
          <w:ilvl w:val="0"/>
          <w:numId w:val="97"/>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掌握Word文档版面设计，表格制作和图文处理的操作；</w:t>
      </w:r>
    </w:p>
    <w:p w14:paraId="61C8252F" w14:textId="77777777" w:rsidR="003C75C2" w:rsidRPr="003C75C2" w:rsidRDefault="003C75C2" w:rsidP="00747ECA">
      <w:pPr>
        <w:numPr>
          <w:ilvl w:val="0"/>
          <w:numId w:val="97"/>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掌握Excel基本操作，数据计算，图表操作和数据管理的操作。</w:t>
      </w:r>
    </w:p>
    <w:p w14:paraId="56476C04"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【学习内容】</w:t>
      </w:r>
    </w:p>
    <w:p w14:paraId="0D07BD88" w14:textId="77777777" w:rsidR="003C75C2" w:rsidRPr="003C75C2" w:rsidRDefault="003C75C2" w:rsidP="00747ECA">
      <w:pPr>
        <w:numPr>
          <w:ilvl w:val="0"/>
          <w:numId w:val="98"/>
        </w:numPr>
        <w:spacing w:line="400" w:lineRule="exact"/>
        <w:rPr>
          <w:rFonts w:ascii="Times New Roman" w:eastAsia="宋体" w:hAnsi="Times New Roman" w:cs="Times New Roman"/>
          <w:sz w:val="24"/>
          <w:szCs w:val="21"/>
        </w:rPr>
      </w:pPr>
      <w:r w:rsidRPr="003C75C2">
        <w:rPr>
          <w:rFonts w:ascii="Times New Roman" w:eastAsia="宋体" w:hAnsi="Times New Roman" w:cs="Times New Roman" w:hint="eastAsia"/>
          <w:sz w:val="24"/>
          <w:szCs w:val="21"/>
        </w:rPr>
        <w:t>文档排版操作</w:t>
      </w:r>
    </w:p>
    <w:p w14:paraId="7CFEC958" w14:textId="77777777" w:rsidR="003C75C2" w:rsidRPr="003C75C2" w:rsidRDefault="003C75C2" w:rsidP="00747ECA">
      <w:pPr>
        <w:numPr>
          <w:ilvl w:val="0"/>
          <w:numId w:val="98"/>
        </w:numPr>
        <w:spacing w:line="400" w:lineRule="exact"/>
        <w:rPr>
          <w:rFonts w:ascii="Times New Roman" w:eastAsia="宋体" w:hAnsi="Times New Roman" w:cs="Times New Roman"/>
          <w:sz w:val="24"/>
          <w:szCs w:val="24"/>
        </w:rPr>
      </w:pPr>
      <w:r w:rsidRPr="003C75C2">
        <w:rPr>
          <w:rFonts w:ascii="Times New Roman" w:eastAsia="宋体" w:hAnsi="Times New Roman" w:cs="Times New Roman" w:hint="eastAsia"/>
          <w:sz w:val="24"/>
          <w:szCs w:val="21"/>
        </w:rPr>
        <w:t>表格操作</w:t>
      </w:r>
    </w:p>
    <w:p w14:paraId="557F24FC" w14:textId="77777777" w:rsidR="003C75C2" w:rsidRPr="003C75C2" w:rsidRDefault="003C75C2" w:rsidP="00747ECA">
      <w:pPr>
        <w:numPr>
          <w:ilvl w:val="0"/>
          <w:numId w:val="98"/>
        </w:numPr>
        <w:spacing w:line="400" w:lineRule="exact"/>
        <w:rPr>
          <w:rFonts w:ascii="Times New Roman" w:eastAsia="宋体" w:hAnsi="Times New Roman" w:cs="Times New Roman"/>
          <w:sz w:val="24"/>
          <w:szCs w:val="21"/>
        </w:rPr>
      </w:pPr>
      <w:r w:rsidRPr="003C75C2">
        <w:rPr>
          <w:rFonts w:ascii="Times New Roman" w:eastAsia="宋体" w:hAnsi="Times New Roman" w:cs="Times New Roman" w:hint="eastAsia"/>
          <w:sz w:val="24"/>
          <w:szCs w:val="21"/>
        </w:rPr>
        <w:t>图文混排操作</w:t>
      </w:r>
    </w:p>
    <w:p w14:paraId="09BAC6AB" w14:textId="77777777" w:rsidR="003C75C2" w:rsidRPr="003C75C2" w:rsidRDefault="003C75C2" w:rsidP="00747ECA">
      <w:pPr>
        <w:numPr>
          <w:ilvl w:val="0"/>
          <w:numId w:val="98"/>
        </w:numPr>
        <w:spacing w:line="400" w:lineRule="exact"/>
        <w:rPr>
          <w:rFonts w:ascii="Times New Roman" w:eastAsia="宋体" w:hAnsi="Times New Roman" w:cs="Times New Roman"/>
          <w:sz w:val="24"/>
          <w:szCs w:val="21"/>
        </w:rPr>
      </w:pPr>
      <w:r w:rsidRPr="003C75C2">
        <w:rPr>
          <w:rFonts w:ascii="Times New Roman" w:eastAsia="宋体" w:hAnsi="Times New Roman" w:cs="Times New Roman" w:hint="eastAsia"/>
          <w:sz w:val="24"/>
          <w:szCs w:val="21"/>
        </w:rPr>
        <w:t>Excel</w:t>
      </w:r>
      <w:r w:rsidRPr="003C75C2">
        <w:rPr>
          <w:rFonts w:ascii="Times New Roman" w:eastAsia="宋体" w:hAnsi="Times New Roman" w:cs="Times New Roman" w:hint="eastAsia"/>
          <w:sz w:val="24"/>
          <w:szCs w:val="21"/>
        </w:rPr>
        <w:t>应用程序的基本操作</w:t>
      </w:r>
    </w:p>
    <w:p w14:paraId="5D644FE8" w14:textId="77777777" w:rsidR="003C75C2" w:rsidRPr="003C75C2" w:rsidRDefault="003C75C2" w:rsidP="00747ECA">
      <w:pPr>
        <w:numPr>
          <w:ilvl w:val="0"/>
          <w:numId w:val="98"/>
        </w:numPr>
        <w:spacing w:line="400" w:lineRule="exact"/>
        <w:rPr>
          <w:rFonts w:ascii="Times New Roman" w:eastAsia="宋体" w:hAnsi="Times New Roman" w:cs="Times New Roman"/>
          <w:sz w:val="24"/>
          <w:szCs w:val="21"/>
        </w:rPr>
      </w:pPr>
      <w:r w:rsidRPr="003C75C2">
        <w:rPr>
          <w:rFonts w:ascii="Times New Roman" w:eastAsia="宋体" w:hAnsi="Times New Roman" w:cs="Times New Roman" w:hint="eastAsia"/>
          <w:sz w:val="24"/>
          <w:szCs w:val="21"/>
        </w:rPr>
        <w:lastRenderedPageBreak/>
        <w:t>公式与函数</w:t>
      </w:r>
    </w:p>
    <w:p w14:paraId="6C5A638D" w14:textId="77777777" w:rsidR="003C75C2" w:rsidRPr="003C75C2" w:rsidRDefault="003C75C2" w:rsidP="00747ECA">
      <w:pPr>
        <w:numPr>
          <w:ilvl w:val="0"/>
          <w:numId w:val="98"/>
        </w:numPr>
        <w:spacing w:line="400" w:lineRule="exact"/>
        <w:rPr>
          <w:rFonts w:ascii="Times New Roman" w:eastAsia="宋体" w:hAnsi="Times New Roman" w:cs="Times New Roman"/>
          <w:sz w:val="24"/>
          <w:szCs w:val="21"/>
        </w:rPr>
      </w:pPr>
      <w:r w:rsidRPr="003C75C2">
        <w:rPr>
          <w:rFonts w:ascii="Times New Roman" w:eastAsia="宋体" w:hAnsi="Times New Roman" w:cs="Times New Roman" w:hint="eastAsia"/>
          <w:sz w:val="24"/>
          <w:szCs w:val="21"/>
        </w:rPr>
        <w:t>图表操作</w:t>
      </w:r>
    </w:p>
    <w:p w14:paraId="62AA041E" w14:textId="77777777" w:rsidR="003C75C2" w:rsidRPr="003C75C2" w:rsidRDefault="003C75C2" w:rsidP="00747ECA">
      <w:pPr>
        <w:numPr>
          <w:ilvl w:val="0"/>
          <w:numId w:val="98"/>
        </w:numPr>
        <w:spacing w:line="400" w:lineRule="exact"/>
        <w:rPr>
          <w:rFonts w:ascii="Times New Roman" w:eastAsia="宋体" w:hAnsi="Times New Roman" w:cs="Times New Roman"/>
          <w:sz w:val="24"/>
          <w:szCs w:val="21"/>
        </w:rPr>
      </w:pPr>
      <w:r w:rsidRPr="003C75C2">
        <w:rPr>
          <w:rFonts w:ascii="Times New Roman" w:eastAsia="宋体" w:hAnsi="Times New Roman" w:cs="Times New Roman" w:hint="eastAsia"/>
          <w:sz w:val="24"/>
          <w:szCs w:val="21"/>
        </w:rPr>
        <w:t>数据管理和分析</w:t>
      </w:r>
    </w:p>
    <w:p w14:paraId="2F6CE251" w14:textId="77777777" w:rsidR="003C75C2" w:rsidRPr="003C75C2" w:rsidRDefault="003C75C2" w:rsidP="00747ECA">
      <w:pPr>
        <w:numPr>
          <w:ilvl w:val="0"/>
          <w:numId w:val="98"/>
        </w:numPr>
        <w:spacing w:line="400" w:lineRule="exact"/>
        <w:rPr>
          <w:rFonts w:ascii="Times New Roman" w:eastAsia="宋体" w:hAnsi="Times New Roman" w:cs="Times New Roman"/>
          <w:sz w:val="24"/>
          <w:szCs w:val="21"/>
        </w:rPr>
      </w:pPr>
      <w:r w:rsidRPr="003C75C2">
        <w:rPr>
          <w:rFonts w:ascii="Times New Roman" w:eastAsia="宋体" w:hAnsi="Times New Roman" w:cs="Times New Roman" w:hint="eastAsia"/>
          <w:sz w:val="24"/>
          <w:szCs w:val="21"/>
        </w:rPr>
        <w:t>打印输出操作</w:t>
      </w:r>
    </w:p>
    <w:p w14:paraId="7F331B15" w14:textId="77777777" w:rsidR="003C75C2" w:rsidRPr="003C75C2" w:rsidRDefault="003C75C2" w:rsidP="00747ECA">
      <w:pPr>
        <w:numPr>
          <w:ilvl w:val="0"/>
          <w:numId w:val="98"/>
        </w:numPr>
        <w:spacing w:line="400" w:lineRule="exact"/>
        <w:rPr>
          <w:rFonts w:ascii="Times New Roman" w:eastAsia="宋体" w:hAnsi="Times New Roman" w:cs="Times New Roman"/>
          <w:sz w:val="24"/>
          <w:szCs w:val="21"/>
        </w:rPr>
      </w:pPr>
      <w:r w:rsidRPr="003C75C2">
        <w:rPr>
          <w:rFonts w:ascii="Times New Roman" w:eastAsia="宋体" w:hAnsi="Times New Roman" w:cs="Times New Roman" w:hint="eastAsia"/>
          <w:sz w:val="24"/>
          <w:szCs w:val="21"/>
        </w:rPr>
        <w:t>演示文稿</w:t>
      </w:r>
      <w:r w:rsidRPr="003C75C2">
        <w:rPr>
          <w:rFonts w:ascii="Times New Roman" w:eastAsia="宋体" w:hAnsi="Times New Roman" w:cs="Times New Roman"/>
          <w:sz w:val="24"/>
          <w:szCs w:val="21"/>
        </w:rPr>
        <w:t>的设计</w:t>
      </w:r>
    </w:p>
    <w:p w14:paraId="66A2F6C7" w14:textId="77777777" w:rsidR="003C75C2" w:rsidRPr="003C75C2" w:rsidRDefault="003C75C2" w:rsidP="00747ECA">
      <w:pPr>
        <w:numPr>
          <w:ilvl w:val="0"/>
          <w:numId w:val="98"/>
        </w:numPr>
        <w:spacing w:line="400" w:lineRule="exact"/>
        <w:rPr>
          <w:rFonts w:ascii="Times New Roman" w:eastAsia="宋体" w:hAnsi="Times New Roman" w:cs="Times New Roman"/>
          <w:sz w:val="24"/>
          <w:szCs w:val="21"/>
        </w:rPr>
      </w:pPr>
      <w:r w:rsidRPr="003C75C2">
        <w:rPr>
          <w:rFonts w:ascii="Times New Roman" w:eastAsia="宋体" w:hAnsi="Times New Roman" w:cs="Times New Roman" w:hint="eastAsia"/>
          <w:sz w:val="24"/>
          <w:szCs w:val="21"/>
        </w:rPr>
        <w:t>演示文稿</w:t>
      </w:r>
      <w:r w:rsidRPr="003C75C2">
        <w:rPr>
          <w:rFonts w:ascii="Times New Roman" w:eastAsia="宋体" w:hAnsi="Times New Roman" w:cs="Times New Roman"/>
          <w:sz w:val="24"/>
          <w:szCs w:val="21"/>
        </w:rPr>
        <w:t>的综合应用</w:t>
      </w:r>
    </w:p>
    <w:p w14:paraId="14E21DC4"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【重点】</w:t>
      </w:r>
    </w:p>
    <w:p w14:paraId="419CAA24" w14:textId="77777777" w:rsidR="003C75C2" w:rsidRPr="003C75C2" w:rsidRDefault="003C75C2" w:rsidP="00747ECA">
      <w:pPr>
        <w:numPr>
          <w:ilvl w:val="0"/>
          <w:numId w:val="99"/>
        </w:numPr>
        <w:spacing w:line="440" w:lineRule="exact"/>
        <w:ind w:firstLine="480"/>
        <w:rPr>
          <w:rFonts w:ascii="宋体" w:eastAsia="宋体" w:hAnsi="宋体" w:cs="Times New Roman"/>
          <w:sz w:val="24"/>
          <w:szCs w:val="24"/>
        </w:rPr>
      </w:pPr>
      <w:r w:rsidRPr="003C75C2">
        <w:rPr>
          <w:rFonts w:ascii="宋体" w:eastAsia="宋体" w:hAnsi="宋体" w:cs="Times New Roman" w:hint="eastAsia"/>
          <w:sz w:val="24"/>
          <w:szCs w:val="24"/>
        </w:rPr>
        <w:t>文档的格式设计与编排，表格的创建与编排，文档中对象的插入，文档的页面设置。</w:t>
      </w:r>
    </w:p>
    <w:p w14:paraId="3237FAED" w14:textId="77777777" w:rsidR="003C75C2" w:rsidRPr="003C75C2" w:rsidRDefault="003C75C2" w:rsidP="00747ECA">
      <w:pPr>
        <w:numPr>
          <w:ilvl w:val="0"/>
          <w:numId w:val="99"/>
        </w:numPr>
        <w:spacing w:line="440" w:lineRule="exact"/>
        <w:ind w:firstLine="480"/>
        <w:rPr>
          <w:rFonts w:ascii="宋体" w:eastAsia="宋体" w:hAnsi="宋体" w:cs="Times New Roman"/>
          <w:sz w:val="24"/>
          <w:szCs w:val="24"/>
        </w:rPr>
      </w:pPr>
      <w:r w:rsidRPr="003C75C2">
        <w:rPr>
          <w:rFonts w:ascii="宋体" w:eastAsia="宋体" w:hAnsi="宋体" w:cs="Times New Roman" w:hint="eastAsia"/>
          <w:sz w:val="24"/>
          <w:szCs w:val="24"/>
        </w:rPr>
        <w:t>Excel表格格式化，相对引用与绝对引用的概念，公式和函数的应用，数据图表化以及简单的数据管理功能。</w:t>
      </w:r>
    </w:p>
    <w:p w14:paraId="28A21364" w14:textId="77777777" w:rsidR="003C75C2" w:rsidRPr="003C75C2" w:rsidRDefault="003C75C2" w:rsidP="00747ECA">
      <w:pPr>
        <w:numPr>
          <w:ilvl w:val="0"/>
          <w:numId w:val="99"/>
        </w:numPr>
        <w:spacing w:line="440" w:lineRule="exact"/>
        <w:ind w:firstLine="480"/>
        <w:rPr>
          <w:rFonts w:ascii="宋体" w:eastAsia="宋体" w:hAnsi="宋体" w:cs="Times New Roman"/>
          <w:sz w:val="24"/>
          <w:szCs w:val="24"/>
        </w:rPr>
      </w:pPr>
      <w:r w:rsidRPr="003C75C2">
        <w:rPr>
          <w:rFonts w:ascii="宋体" w:eastAsia="宋体" w:hAnsi="宋体" w:cs="Times New Roman" w:hint="eastAsia"/>
          <w:sz w:val="24"/>
          <w:szCs w:val="24"/>
        </w:rPr>
        <w:t>演示文稿</w:t>
      </w:r>
      <w:r w:rsidRPr="003C75C2">
        <w:rPr>
          <w:rFonts w:ascii="宋体" w:eastAsia="宋体" w:hAnsi="宋体" w:cs="Times New Roman"/>
          <w:sz w:val="24"/>
          <w:szCs w:val="24"/>
        </w:rPr>
        <w:t>的模板设计和动画设计。</w:t>
      </w:r>
    </w:p>
    <w:p w14:paraId="6CCEAD21"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【难点】</w:t>
      </w:r>
    </w:p>
    <w:p w14:paraId="4FD4C7F8" w14:textId="77777777" w:rsidR="003C75C2" w:rsidRPr="003C75C2" w:rsidRDefault="003C75C2" w:rsidP="00747ECA">
      <w:pPr>
        <w:numPr>
          <w:ilvl w:val="0"/>
          <w:numId w:val="100"/>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页眉、页脚的设置。文档综合设置与排版，各种格式设置方法及工具编辑。</w:t>
      </w:r>
    </w:p>
    <w:p w14:paraId="31084E09" w14:textId="77777777" w:rsidR="003C75C2" w:rsidRPr="003C75C2" w:rsidRDefault="003C75C2" w:rsidP="00747ECA">
      <w:pPr>
        <w:numPr>
          <w:ilvl w:val="0"/>
          <w:numId w:val="100"/>
        </w:numPr>
        <w:spacing w:line="440" w:lineRule="exact"/>
        <w:ind w:firstLine="480"/>
        <w:rPr>
          <w:rFonts w:ascii="宋体" w:eastAsia="宋体" w:hAnsi="宋体" w:cs="Times New Roman"/>
          <w:sz w:val="24"/>
          <w:szCs w:val="24"/>
        </w:rPr>
      </w:pPr>
      <w:r w:rsidRPr="003C75C2">
        <w:rPr>
          <w:rFonts w:ascii="宋体" w:eastAsia="宋体" w:hAnsi="宋体" w:cs="Times New Roman" w:hint="eastAsia"/>
          <w:sz w:val="24"/>
          <w:szCs w:val="24"/>
        </w:rPr>
        <w:t>公式和函数的应用，熟练掌握公式的建立、编辑以及函数公式，实现电子表格数据运算的功能。</w:t>
      </w:r>
    </w:p>
    <w:p w14:paraId="26A67A0D" w14:textId="77777777" w:rsidR="003C75C2" w:rsidRPr="003C75C2" w:rsidRDefault="003C75C2" w:rsidP="00747ECA">
      <w:pPr>
        <w:numPr>
          <w:ilvl w:val="0"/>
          <w:numId w:val="100"/>
        </w:numPr>
        <w:spacing w:line="440" w:lineRule="exact"/>
        <w:ind w:firstLine="480"/>
        <w:rPr>
          <w:rFonts w:ascii="宋体" w:eastAsia="宋体" w:hAnsi="宋体" w:cs="Times New Roman"/>
          <w:sz w:val="24"/>
          <w:szCs w:val="24"/>
        </w:rPr>
      </w:pPr>
      <w:r w:rsidRPr="003C75C2">
        <w:rPr>
          <w:rFonts w:ascii="宋体" w:eastAsia="宋体" w:hAnsi="宋体" w:cs="Times New Roman" w:hint="eastAsia"/>
          <w:sz w:val="24"/>
          <w:szCs w:val="24"/>
        </w:rPr>
        <w:t>演示</w:t>
      </w:r>
      <w:r w:rsidRPr="003C75C2">
        <w:rPr>
          <w:rFonts w:ascii="宋体" w:eastAsia="宋体" w:hAnsi="宋体" w:cs="Times New Roman"/>
          <w:sz w:val="24"/>
          <w:szCs w:val="24"/>
        </w:rPr>
        <w:t>文稿的场景应用和设计特点。</w:t>
      </w:r>
    </w:p>
    <w:p w14:paraId="5BA502D6" w14:textId="77777777" w:rsidR="003C75C2" w:rsidRPr="003C75C2" w:rsidRDefault="003C75C2" w:rsidP="003C75C2">
      <w:pPr>
        <w:spacing w:line="440" w:lineRule="exact"/>
        <w:ind w:firstLineChars="200" w:firstLine="482"/>
        <w:rPr>
          <w:rFonts w:ascii="宋体" w:eastAsia="宋体" w:hAnsi="宋体" w:cs="Times New Roman"/>
          <w:sz w:val="24"/>
          <w:szCs w:val="24"/>
        </w:rPr>
      </w:pPr>
      <w:r w:rsidRPr="003C75C2">
        <w:rPr>
          <w:rFonts w:ascii="宋体" w:eastAsia="宋体" w:hAnsi="宋体" w:cs="Times New Roman" w:hint="eastAsia"/>
          <w:b/>
          <w:bCs/>
          <w:sz w:val="24"/>
          <w:szCs w:val="24"/>
        </w:rPr>
        <w:t>【教学方法】</w:t>
      </w:r>
    </w:p>
    <w:p w14:paraId="646ABBD5"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 xml:space="preserve">1. 通过案例分析，强调理论与实践相结合，促进学生知识整合，培养学生的反思能力； </w:t>
      </w:r>
    </w:p>
    <w:p w14:paraId="6DB4D063"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 xml:space="preserve">2. </w:t>
      </w:r>
      <w:proofErr w:type="gramStart"/>
      <w:r w:rsidRPr="003C75C2">
        <w:rPr>
          <w:rFonts w:ascii="宋体" w:eastAsia="宋体" w:hAnsi="宋体" w:cs="Times New Roman" w:hint="eastAsia"/>
          <w:sz w:val="24"/>
          <w:szCs w:val="24"/>
        </w:rPr>
        <w:t>通过微课和</w:t>
      </w:r>
      <w:proofErr w:type="gramEnd"/>
      <w:r w:rsidRPr="003C75C2">
        <w:rPr>
          <w:rFonts w:ascii="宋体" w:eastAsia="宋体" w:hAnsi="宋体" w:cs="Times New Roman" w:hint="eastAsia"/>
          <w:sz w:val="24"/>
          <w:szCs w:val="24"/>
        </w:rPr>
        <w:t>多媒体课件相结合，阐明OFFICE办公软件的各种应用，丰富学生基本知识结构，培养学生的职业规范。</w:t>
      </w:r>
    </w:p>
    <w:p w14:paraId="4CAB6963" w14:textId="77777777" w:rsidR="003C75C2" w:rsidRPr="003C75C2" w:rsidRDefault="003C75C2" w:rsidP="003C75C2">
      <w:pPr>
        <w:spacing w:line="440" w:lineRule="exact"/>
        <w:ind w:firstLineChars="200" w:firstLine="482"/>
        <w:rPr>
          <w:rFonts w:ascii="宋体" w:eastAsia="宋体" w:hAnsi="宋体" w:cs="Times New Roman"/>
          <w:bCs/>
          <w:sz w:val="24"/>
          <w:szCs w:val="24"/>
        </w:rPr>
      </w:pPr>
      <w:r w:rsidRPr="003C75C2">
        <w:rPr>
          <w:rFonts w:ascii="宋体" w:eastAsia="宋体" w:hAnsi="宋体" w:cs="Times New Roman" w:hint="eastAsia"/>
          <w:b/>
          <w:sz w:val="24"/>
          <w:szCs w:val="24"/>
        </w:rPr>
        <w:t>【复习思考】</w:t>
      </w:r>
    </w:p>
    <w:p w14:paraId="66F6EBE1" w14:textId="77777777" w:rsidR="003C75C2" w:rsidRPr="003C75C2" w:rsidRDefault="003C75C2" w:rsidP="003C75C2">
      <w:pPr>
        <w:spacing w:line="440" w:lineRule="exact"/>
        <w:ind w:firstLineChars="200" w:firstLine="480"/>
        <w:rPr>
          <w:rFonts w:ascii="宋体" w:eastAsia="宋体" w:hAnsi="宋体" w:cs="Times New Roman"/>
          <w:b/>
          <w:sz w:val="24"/>
          <w:szCs w:val="24"/>
        </w:rPr>
      </w:pPr>
      <w:r w:rsidRPr="003C75C2">
        <w:rPr>
          <w:rFonts w:ascii="宋体" w:eastAsia="宋体" w:hAnsi="宋体" w:cs="Times New Roman" w:hint="eastAsia"/>
          <w:sz w:val="24"/>
          <w:szCs w:val="24"/>
        </w:rPr>
        <w:t>1</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数据统计与分析；</w:t>
      </w:r>
    </w:p>
    <w:p w14:paraId="29C40CAD"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精美商务文档的制作；</w:t>
      </w:r>
    </w:p>
    <w:p w14:paraId="61271EF0" w14:textId="77777777" w:rsidR="003C75C2" w:rsidRPr="003C75C2" w:rsidRDefault="003C75C2" w:rsidP="003C75C2">
      <w:pPr>
        <w:spacing w:beforeLines="50" w:before="156" w:afterLines="50" w:after="156" w:line="440" w:lineRule="exact"/>
        <w:ind w:firstLineChars="200" w:firstLine="560"/>
        <w:jc w:val="center"/>
        <w:rPr>
          <w:rFonts w:ascii="黑体" w:eastAsia="黑体" w:hAnsi="黑体" w:cs="Times New Roman"/>
          <w:sz w:val="28"/>
          <w:szCs w:val="28"/>
        </w:rPr>
      </w:pPr>
      <w:r w:rsidRPr="003C75C2">
        <w:rPr>
          <w:rFonts w:ascii="黑体" w:eastAsia="黑体" w:hAnsi="黑体" w:cs="Times New Roman" w:hint="eastAsia"/>
          <w:sz w:val="28"/>
          <w:szCs w:val="28"/>
        </w:rPr>
        <w:t>第六章  计算思维</w:t>
      </w:r>
    </w:p>
    <w:p w14:paraId="34DAD214"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【学习目标】</w:t>
      </w:r>
      <w:r w:rsidRPr="003C75C2">
        <w:rPr>
          <w:rFonts w:ascii="宋体" w:eastAsia="宋体" w:hAnsi="宋体" w:cs="Times New Roman" w:hint="eastAsia"/>
          <w:bCs/>
          <w:sz w:val="24"/>
          <w:szCs w:val="24"/>
        </w:rPr>
        <w:t>：</w:t>
      </w:r>
    </w:p>
    <w:p w14:paraId="49BA0A87" w14:textId="77777777" w:rsidR="003C75C2" w:rsidRPr="003C75C2" w:rsidRDefault="003C75C2" w:rsidP="00747ECA">
      <w:pPr>
        <w:numPr>
          <w:ilvl w:val="0"/>
          <w:numId w:val="101"/>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理解计算思维的概念和计算思维的内容；</w:t>
      </w:r>
    </w:p>
    <w:p w14:paraId="0132BEE7" w14:textId="77777777" w:rsidR="003C75C2" w:rsidRPr="003C75C2" w:rsidRDefault="003C75C2" w:rsidP="00747ECA">
      <w:pPr>
        <w:numPr>
          <w:ilvl w:val="0"/>
          <w:numId w:val="101"/>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了解计算思维的培养途径；</w:t>
      </w:r>
    </w:p>
    <w:p w14:paraId="12D25FF0" w14:textId="77777777" w:rsidR="003C75C2" w:rsidRPr="003C75C2" w:rsidRDefault="003C75C2" w:rsidP="00747ECA">
      <w:pPr>
        <w:numPr>
          <w:ilvl w:val="0"/>
          <w:numId w:val="101"/>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了解一般问题的求解过程；</w:t>
      </w:r>
    </w:p>
    <w:p w14:paraId="2BB7409F" w14:textId="77777777" w:rsidR="003C75C2" w:rsidRPr="003C75C2" w:rsidRDefault="003C75C2" w:rsidP="00747ECA">
      <w:pPr>
        <w:numPr>
          <w:ilvl w:val="0"/>
          <w:numId w:val="101"/>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掌握利用计算机问题求解的基本过程；</w:t>
      </w:r>
    </w:p>
    <w:p w14:paraId="3036EF37"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lastRenderedPageBreak/>
        <w:t>【学习内容】</w:t>
      </w:r>
    </w:p>
    <w:p w14:paraId="4683CBD6" w14:textId="77777777" w:rsidR="003C75C2" w:rsidRPr="003C75C2" w:rsidRDefault="003C75C2" w:rsidP="00747ECA">
      <w:pPr>
        <w:numPr>
          <w:ilvl w:val="0"/>
          <w:numId w:val="102"/>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计算思维</w:t>
      </w:r>
    </w:p>
    <w:p w14:paraId="492FB170" w14:textId="77777777" w:rsidR="003C75C2" w:rsidRPr="003C75C2" w:rsidRDefault="003C75C2" w:rsidP="00747ECA">
      <w:pPr>
        <w:numPr>
          <w:ilvl w:val="0"/>
          <w:numId w:val="102"/>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计算思维的培养</w:t>
      </w:r>
    </w:p>
    <w:p w14:paraId="45B6EC01" w14:textId="77777777" w:rsidR="003C75C2" w:rsidRPr="003C75C2" w:rsidRDefault="003C75C2" w:rsidP="00747ECA">
      <w:pPr>
        <w:numPr>
          <w:ilvl w:val="0"/>
          <w:numId w:val="102"/>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一般问题求解过程</w:t>
      </w:r>
      <w:r w:rsidRPr="003C75C2">
        <w:rPr>
          <w:rFonts w:ascii="宋体" w:eastAsia="宋体" w:hAnsi="宋体" w:cs="Times New Roman" w:hint="eastAsia"/>
          <w:sz w:val="24"/>
          <w:szCs w:val="24"/>
        </w:rPr>
        <w:tab/>
      </w:r>
    </w:p>
    <w:p w14:paraId="1588C5CC" w14:textId="77777777" w:rsidR="003C75C2" w:rsidRPr="003C75C2" w:rsidRDefault="003C75C2" w:rsidP="00747ECA">
      <w:pPr>
        <w:numPr>
          <w:ilvl w:val="0"/>
          <w:numId w:val="102"/>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计算机求解问题的过程</w:t>
      </w:r>
    </w:p>
    <w:p w14:paraId="3B18D802"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【重点】</w:t>
      </w:r>
    </w:p>
    <w:p w14:paraId="4323A7B5" w14:textId="77777777" w:rsidR="003C75C2" w:rsidRPr="003C75C2" w:rsidRDefault="003C75C2" w:rsidP="00747ECA">
      <w:pPr>
        <w:numPr>
          <w:ilvl w:val="0"/>
          <w:numId w:val="103"/>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计算思维的重要性；</w:t>
      </w:r>
    </w:p>
    <w:p w14:paraId="49E5A292" w14:textId="77777777" w:rsidR="003C75C2" w:rsidRPr="003C75C2" w:rsidRDefault="003C75C2" w:rsidP="00747ECA">
      <w:pPr>
        <w:numPr>
          <w:ilvl w:val="0"/>
          <w:numId w:val="103"/>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计算思维培养的途径和方法。</w:t>
      </w:r>
    </w:p>
    <w:p w14:paraId="099A9063"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【难点】</w:t>
      </w:r>
    </w:p>
    <w:p w14:paraId="09A1D52C" w14:textId="77777777" w:rsidR="003C75C2" w:rsidRPr="003C75C2" w:rsidRDefault="003C75C2" w:rsidP="00747ECA">
      <w:pPr>
        <w:numPr>
          <w:ilvl w:val="0"/>
          <w:numId w:val="104"/>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问题求解算法设计。</w:t>
      </w:r>
    </w:p>
    <w:p w14:paraId="207BBD19" w14:textId="77777777" w:rsidR="003C75C2" w:rsidRPr="003C75C2" w:rsidRDefault="003C75C2" w:rsidP="003C75C2">
      <w:pPr>
        <w:spacing w:line="440" w:lineRule="exact"/>
        <w:ind w:firstLineChars="200" w:firstLine="482"/>
        <w:rPr>
          <w:rFonts w:ascii="宋体" w:eastAsia="宋体" w:hAnsi="宋体" w:cs="Times New Roman"/>
          <w:sz w:val="24"/>
          <w:szCs w:val="24"/>
        </w:rPr>
      </w:pPr>
      <w:r w:rsidRPr="003C75C2">
        <w:rPr>
          <w:rFonts w:ascii="宋体" w:eastAsia="宋体" w:hAnsi="宋体" w:cs="Times New Roman" w:hint="eastAsia"/>
          <w:b/>
          <w:bCs/>
          <w:sz w:val="24"/>
          <w:szCs w:val="24"/>
        </w:rPr>
        <w:t>【教学方法】</w:t>
      </w:r>
    </w:p>
    <w:p w14:paraId="46121FD4"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1.通过组织学生观察网络平台的火车票售票系统、学校学生管理系统、办公系统等网络平台，从中培养学生分析问题、解决问题的能力和；</w:t>
      </w:r>
    </w:p>
    <w:p w14:paraId="405BE740"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3. 通过案例分析，强调理论与实践相结合，促进学生知识整合，培养学生的反思能力，理解计算思维的概念和意义。</w:t>
      </w:r>
    </w:p>
    <w:p w14:paraId="20C356EC" w14:textId="77777777" w:rsidR="003C75C2" w:rsidRPr="003C75C2" w:rsidRDefault="003C75C2" w:rsidP="003C75C2">
      <w:pPr>
        <w:spacing w:line="440" w:lineRule="exact"/>
        <w:ind w:firstLineChars="200" w:firstLine="482"/>
        <w:rPr>
          <w:rFonts w:ascii="宋体" w:eastAsia="宋体" w:hAnsi="宋体" w:cs="Times New Roman"/>
          <w:bCs/>
          <w:sz w:val="24"/>
          <w:szCs w:val="24"/>
        </w:rPr>
      </w:pPr>
      <w:r w:rsidRPr="003C75C2">
        <w:rPr>
          <w:rFonts w:ascii="宋体" w:eastAsia="宋体" w:hAnsi="宋体" w:cs="Times New Roman" w:hint="eastAsia"/>
          <w:b/>
          <w:sz w:val="24"/>
          <w:szCs w:val="24"/>
        </w:rPr>
        <w:t>【复习思考】</w:t>
      </w:r>
    </w:p>
    <w:p w14:paraId="00EA58F4" w14:textId="77777777" w:rsidR="003C75C2" w:rsidRPr="003C75C2" w:rsidRDefault="003C75C2" w:rsidP="003C75C2">
      <w:pPr>
        <w:spacing w:line="440" w:lineRule="exact"/>
        <w:ind w:firstLineChars="200" w:firstLine="480"/>
        <w:rPr>
          <w:rFonts w:ascii="宋体" w:eastAsia="宋体" w:hAnsi="宋体" w:cs="Times New Roman"/>
          <w:b/>
          <w:sz w:val="24"/>
          <w:szCs w:val="24"/>
        </w:rPr>
      </w:pPr>
      <w:r w:rsidRPr="003C75C2">
        <w:rPr>
          <w:rFonts w:ascii="宋体" w:eastAsia="宋体" w:hAnsi="宋体" w:cs="Times New Roman" w:hint="eastAsia"/>
          <w:sz w:val="24"/>
          <w:szCs w:val="24"/>
        </w:rPr>
        <w:t>1</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什么是计算思维；</w:t>
      </w:r>
    </w:p>
    <w:p w14:paraId="39634B7A"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计算思维培养的主要途径。</w:t>
      </w:r>
    </w:p>
    <w:p w14:paraId="31536210" w14:textId="77777777" w:rsidR="003C75C2" w:rsidRPr="003C75C2" w:rsidRDefault="003C75C2" w:rsidP="003C75C2">
      <w:pPr>
        <w:spacing w:beforeLines="50" w:before="156" w:afterLines="50" w:after="156" w:line="440" w:lineRule="exact"/>
        <w:ind w:firstLineChars="200" w:firstLine="560"/>
        <w:jc w:val="center"/>
        <w:rPr>
          <w:rFonts w:ascii="黑体" w:eastAsia="黑体" w:hAnsi="黑体" w:cs="Times New Roman"/>
          <w:sz w:val="28"/>
          <w:szCs w:val="28"/>
        </w:rPr>
      </w:pPr>
      <w:r w:rsidRPr="003C75C2">
        <w:rPr>
          <w:rFonts w:ascii="黑体" w:eastAsia="黑体" w:hAnsi="黑体" w:cs="Times New Roman" w:hint="eastAsia"/>
          <w:sz w:val="28"/>
          <w:szCs w:val="28"/>
        </w:rPr>
        <w:t>第七章  算法设计</w:t>
      </w:r>
    </w:p>
    <w:p w14:paraId="66E5BD7A"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【学习目标】</w:t>
      </w:r>
      <w:r w:rsidRPr="003C75C2">
        <w:rPr>
          <w:rFonts w:ascii="宋体" w:eastAsia="宋体" w:hAnsi="宋体" w:cs="Times New Roman" w:hint="eastAsia"/>
          <w:bCs/>
          <w:sz w:val="24"/>
          <w:szCs w:val="24"/>
        </w:rPr>
        <w:t>：</w:t>
      </w:r>
    </w:p>
    <w:p w14:paraId="16A2DDF8" w14:textId="77777777" w:rsidR="003C75C2" w:rsidRPr="003C75C2" w:rsidRDefault="003C75C2" w:rsidP="00747ECA">
      <w:pPr>
        <w:numPr>
          <w:ilvl w:val="0"/>
          <w:numId w:val="105"/>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了解算法的基本特征、基本要素；</w:t>
      </w:r>
    </w:p>
    <w:p w14:paraId="012A351C" w14:textId="77777777" w:rsidR="003C75C2" w:rsidRPr="003C75C2" w:rsidRDefault="003C75C2" w:rsidP="00747ECA">
      <w:pPr>
        <w:numPr>
          <w:ilvl w:val="0"/>
          <w:numId w:val="105"/>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理解算法的概念、算法设计与算法描述；</w:t>
      </w:r>
    </w:p>
    <w:p w14:paraId="4B44279F" w14:textId="77777777" w:rsidR="003C75C2" w:rsidRPr="003C75C2" w:rsidRDefault="003C75C2" w:rsidP="00747ECA">
      <w:pPr>
        <w:numPr>
          <w:ilvl w:val="0"/>
          <w:numId w:val="105"/>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了解算法在程序设计中的意义及特点；</w:t>
      </w:r>
    </w:p>
    <w:p w14:paraId="10B0DE4D" w14:textId="77777777" w:rsidR="003C75C2" w:rsidRPr="003C75C2" w:rsidRDefault="003C75C2" w:rsidP="00747ECA">
      <w:pPr>
        <w:numPr>
          <w:ilvl w:val="0"/>
          <w:numId w:val="105"/>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了解算法的复杂度和算法的分类；</w:t>
      </w:r>
    </w:p>
    <w:p w14:paraId="6C4CDF40" w14:textId="77777777" w:rsidR="003C75C2" w:rsidRPr="003C75C2" w:rsidRDefault="003C75C2" w:rsidP="00747ECA">
      <w:pPr>
        <w:numPr>
          <w:ilvl w:val="0"/>
          <w:numId w:val="105"/>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掌握算法流程图的设计；</w:t>
      </w:r>
    </w:p>
    <w:p w14:paraId="5C1D8BB1" w14:textId="77777777" w:rsidR="003C75C2" w:rsidRPr="003C75C2" w:rsidRDefault="003C75C2" w:rsidP="00747ECA">
      <w:pPr>
        <w:numPr>
          <w:ilvl w:val="0"/>
          <w:numId w:val="105"/>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掌握算法设计的基本方法。</w:t>
      </w:r>
    </w:p>
    <w:p w14:paraId="7484DF70"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【学习内容】</w:t>
      </w:r>
    </w:p>
    <w:p w14:paraId="287CB93C" w14:textId="77777777" w:rsidR="003C75C2" w:rsidRPr="003C75C2" w:rsidRDefault="003C75C2" w:rsidP="00747ECA">
      <w:pPr>
        <w:numPr>
          <w:ilvl w:val="0"/>
          <w:numId w:val="106"/>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算法的基本概念</w:t>
      </w:r>
      <w:r w:rsidRPr="003C75C2">
        <w:rPr>
          <w:rFonts w:ascii="宋体" w:eastAsia="宋体" w:hAnsi="宋体" w:cs="Times New Roman"/>
          <w:sz w:val="24"/>
          <w:szCs w:val="24"/>
        </w:rPr>
        <w:tab/>
      </w:r>
    </w:p>
    <w:p w14:paraId="53DAFBDA" w14:textId="77777777" w:rsidR="003C75C2" w:rsidRPr="003C75C2" w:rsidRDefault="003C75C2" w:rsidP="00747ECA">
      <w:pPr>
        <w:numPr>
          <w:ilvl w:val="0"/>
          <w:numId w:val="106"/>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算法的表示方法</w:t>
      </w:r>
      <w:r w:rsidRPr="003C75C2">
        <w:rPr>
          <w:rFonts w:ascii="宋体" w:eastAsia="宋体" w:hAnsi="宋体" w:cs="Times New Roman"/>
          <w:sz w:val="24"/>
          <w:szCs w:val="24"/>
        </w:rPr>
        <w:tab/>
      </w:r>
    </w:p>
    <w:p w14:paraId="12FCB7DC" w14:textId="77777777" w:rsidR="003C75C2" w:rsidRPr="003C75C2" w:rsidRDefault="003C75C2" w:rsidP="00747ECA">
      <w:pPr>
        <w:numPr>
          <w:ilvl w:val="0"/>
          <w:numId w:val="106"/>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算法设计的基本方法</w:t>
      </w:r>
    </w:p>
    <w:p w14:paraId="0426285A"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【重点】</w:t>
      </w:r>
    </w:p>
    <w:p w14:paraId="46E6A55D" w14:textId="77777777" w:rsidR="003C75C2" w:rsidRPr="003C75C2" w:rsidRDefault="003C75C2" w:rsidP="00747ECA">
      <w:pPr>
        <w:numPr>
          <w:ilvl w:val="3"/>
          <w:numId w:val="107"/>
        </w:numPr>
        <w:spacing w:line="440" w:lineRule="exact"/>
        <w:ind w:leftChars="269" w:left="889" w:hangingChars="135" w:hanging="324"/>
        <w:rPr>
          <w:rFonts w:ascii="Times New Roman" w:eastAsia="宋体" w:hAnsi="Times New Roman" w:cs="Times New Roman"/>
          <w:sz w:val="24"/>
          <w:szCs w:val="24"/>
        </w:rPr>
      </w:pPr>
      <w:r w:rsidRPr="003C75C2">
        <w:rPr>
          <w:rFonts w:ascii="Times New Roman" w:eastAsia="宋体" w:hAnsi="Times New Roman" w:cs="Times New Roman" w:hint="eastAsia"/>
          <w:sz w:val="24"/>
          <w:szCs w:val="24"/>
        </w:rPr>
        <w:lastRenderedPageBreak/>
        <w:t>算法设计的重要性；</w:t>
      </w:r>
    </w:p>
    <w:p w14:paraId="1962C21F" w14:textId="77777777" w:rsidR="003C75C2" w:rsidRPr="003C75C2" w:rsidRDefault="003C75C2" w:rsidP="00747ECA">
      <w:pPr>
        <w:numPr>
          <w:ilvl w:val="3"/>
          <w:numId w:val="107"/>
        </w:numPr>
        <w:spacing w:line="440" w:lineRule="exact"/>
        <w:ind w:leftChars="269" w:left="889" w:hangingChars="135" w:hanging="324"/>
        <w:rPr>
          <w:rFonts w:ascii="宋体" w:eastAsia="宋体" w:hAnsi="宋体" w:cs="Times New Roman"/>
          <w:sz w:val="24"/>
          <w:szCs w:val="24"/>
        </w:rPr>
      </w:pPr>
      <w:r w:rsidRPr="003C75C2">
        <w:rPr>
          <w:rFonts w:ascii="Times New Roman" w:eastAsia="宋体" w:hAnsi="Times New Roman" w:cs="Times New Roman" w:hint="eastAsia"/>
          <w:sz w:val="24"/>
          <w:szCs w:val="24"/>
        </w:rPr>
        <w:t>算法的表示方法；</w:t>
      </w:r>
    </w:p>
    <w:p w14:paraId="7CBDD0DC" w14:textId="77777777" w:rsidR="003C75C2" w:rsidRPr="003C75C2" w:rsidRDefault="003C75C2" w:rsidP="00747ECA">
      <w:pPr>
        <w:numPr>
          <w:ilvl w:val="3"/>
          <w:numId w:val="107"/>
        </w:numPr>
        <w:spacing w:line="440" w:lineRule="exact"/>
        <w:ind w:leftChars="269" w:left="889" w:hangingChars="135" w:hanging="324"/>
        <w:rPr>
          <w:rFonts w:ascii="宋体" w:eastAsia="宋体" w:hAnsi="宋体" w:cs="Times New Roman"/>
          <w:sz w:val="24"/>
          <w:szCs w:val="24"/>
        </w:rPr>
      </w:pPr>
      <w:r w:rsidRPr="003C75C2">
        <w:rPr>
          <w:rFonts w:ascii="Times New Roman" w:eastAsia="宋体" w:hAnsi="Times New Roman" w:cs="Times New Roman" w:hint="eastAsia"/>
          <w:sz w:val="24"/>
          <w:szCs w:val="24"/>
        </w:rPr>
        <w:t>算法设计的基本方法。</w:t>
      </w:r>
    </w:p>
    <w:p w14:paraId="19029191"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【难点】</w:t>
      </w:r>
    </w:p>
    <w:p w14:paraId="12973514" w14:textId="77777777" w:rsidR="003C75C2" w:rsidRPr="003C75C2" w:rsidRDefault="003C75C2" w:rsidP="00747ECA">
      <w:pPr>
        <w:numPr>
          <w:ilvl w:val="1"/>
          <w:numId w:val="108"/>
        </w:numPr>
        <w:spacing w:line="440" w:lineRule="exact"/>
        <w:ind w:left="993"/>
        <w:rPr>
          <w:rFonts w:ascii="Times New Roman" w:eastAsia="宋体" w:hAnsi="Times New Roman" w:cs="Times New Roman"/>
          <w:sz w:val="24"/>
          <w:szCs w:val="24"/>
        </w:rPr>
      </w:pPr>
      <w:r w:rsidRPr="003C75C2">
        <w:rPr>
          <w:rFonts w:ascii="Times New Roman" w:eastAsia="宋体" w:hAnsi="Times New Roman" w:cs="Times New Roman" w:hint="eastAsia"/>
          <w:sz w:val="24"/>
          <w:szCs w:val="24"/>
        </w:rPr>
        <w:t>流程图设计；</w:t>
      </w:r>
    </w:p>
    <w:p w14:paraId="4DDC0C18" w14:textId="77777777" w:rsidR="003C75C2" w:rsidRPr="003C75C2" w:rsidRDefault="003C75C2" w:rsidP="00747ECA">
      <w:pPr>
        <w:numPr>
          <w:ilvl w:val="1"/>
          <w:numId w:val="108"/>
        </w:numPr>
        <w:spacing w:line="440" w:lineRule="exact"/>
        <w:ind w:left="993"/>
        <w:rPr>
          <w:rFonts w:ascii="Times New Roman" w:eastAsia="宋体" w:hAnsi="Times New Roman" w:cs="Times New Roman"/>
          <w:sz w:val="24"/>
          <w:szCs w:val="24"/>
        </w:rPr>
      </w:pPr>
      <w:r w:rsidRPr="003C75C2">
        <w:rPr>
          <w:rFonts w:ascii="Times New Roman" w:eastAsia="宋体" w:hAnsi="Times New Roman" w:cs="Times New Roman" w:hint="eastAsia"/>
          <w:sz w:val="24"/>
          <w:szCs w:val="24"/>
        </w:rPr>
        <w:t>算法设计的方法</w:t>
      </w:r>
    </w:p>
    <w:p w14:paraId="0DC8C7AB" w14:textId="77777777" w:rsidR="003C75C2" w:rsidRPr="003C75C2" w:rsidRDefault="003C75C2" w:rsidP="003C75C2">
      <w:pPr>
        <w:spacing w:line="440" w:lineRule="exact"/>
        <w:ind w:firstLineChars="200" w:firstLine="482"/>
        <w:rPr>
          <w:rFonts w:ascii="宋体" w:eastAsia="宋体" w:hAnsi="宋体" w:cs="Times New Roman"/>
          <w:sz w:val="24"/>
          <w:szCs w:val="24"/>
        </w:rPr>
      </w:pPr>
      <w:r w:rsidRPr="003C75C2">
        <w:rPr>
          <w:rFonts w:ascii="宋体" w:eastAsia="宋体" w:hAnsi="宋体" w:cs="Times New Roman" w:hint="eastAsia"/>
          <w:b/>
          <w:bCs/>
          <w:sz w:val="24"/>
          <w:szCs w:val="24"/>
        </w:rPr>
        <w:t>【教学方法】</w:t>
      </w:r>
    </w:p>
    <w:p w14:paraId="6AA0A184"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1. 通过典型案例分析，多结合实例，将理论与实践相结合，促进学生知识整合，培养学生的反思能力，理解算法设计的基本方法。</w:t>
      </w:r>
    </w:p>
    <w:p w14:paraId="2F614036"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2.通过大作业形式考核学生对算法设计的掌握程度。</w:t>
      </w:r>
    </w:p>
    <w:p w14:paraId="40E929BD" w14:textId="77777777" w:rsidR="003C75C2" w:rsidRPr="003C75C2" w:rsidRDefault="003C75C2" w:rsidP="003C75C2">
      <w:pPr>
        <w:spacing w:line="440" w:lineRule="exact"/>
        <w:ind w:firstLineChars="200" w:firstLine="482"/>
        <w:rPr>
          <w:rFonts w:ascii="宋体" w:eastAsia="宋体" w:hAnsi="宋体" w:cs="Times New Roman"/>
          <w:bCs/>
          <w:sz w:val="24"/>
          <w:szCs w:val="24"/>
        </w:rPr>
      </w:pPr>
      <w:r w:rsidRPr="003C75C2">
        <w:rPr>
          <w:rFonts w:ascii="宋体" w:eastAsia="宋体" w:hAnsi="宋体" w:cs="Times New Roman" w:hint="eastAsia"/>
          <w:b/>
          <w:sz w:val="24"/>
          <w:szCs w:val="24"/>
        </w:rPr>
        <w:t>【复习思考】</w:t>
      </w:r>
    </w:p>
    <w:p w14:paraId="4BF3147F" w14:textId="77777777" w:rsidR="003C75C2" w:rsidRPr="003C75C2" w:rsidRDefault="003C75C2" w:rsidP="003C75C2">
      <w:pPr>
        <w:spacing w:line="440" w:lineRule="exact"/>
        <w:ind w:firstLineChars="200" w:firstLine="480"/>
        <w:rPr>
          <w:rFonts w:ascii="宋体" w:eastAsia="宋体" w:hAnsi="宋体" w:cs="Times New Roman"/>
          <w:b/>
          <w:sz w:val="24"/>
          <w:szCs w:val="24"/>
        </w:rPr>
      </w:pPr>
      <w:r w:rsidRPr="003C75C2">
        <w:rPr>
          <w:rFonts w:ascii="宋体" w:eastAsia="宋体" w:hAnsi="宋体" w:cs="Times New Roman" w:hint="eastAsia"/>
          <w:sz w:val="24"/>
          <w:szCs w:val="24"/>
        </w:rPr>
        <w:t>1</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典型算法的设计思路；</w:t>
      </w:r>
    </w:p>
    <w:p w14:paraId="47662800"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典型算法解决的问题；</w:t>
      </w:r>
    </w:p>
    <w:p w14:paraId="35195600"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3</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算法设计的重要性。</w:t>
      </w:r>
    </w:p>
    <w:p w14:paraId="28051B36" w14:textId="77777777" w:rsidR="003C75C2" w:rsidRPr="003C75C2" w:rsidRDefault="003C75C2" w:rsidP="003C75C2">
      <w:pPr>
        <w:spacing w:beforeLines="50" w:before="156" w:afterLines="50" w:after="156" w:line="440" w:lineRule="exact"/>
        <w:ind w:firstLineChars="200" w:firstLine="560"/>
        <w:jc w:val="center"/>
        <w:rPr>
          <w:rFonts w:ascii="黑体" w:eastAsia="黑体" w:hAnsi="黑体" w:cs="Times New Roman"/>
          <w:sz w:val="28"/>
          <w:szCs w:val="28"/>
        </w:rPr>
      </w:pPr>
      <w:r w:rsidRPr="003C75C2">
        <w:rPr>
          <w:rFonts w:ascii="黑体" w:eastAsia="黑体" w:hAnsi="黑体" w:cs="Times New Roman" w:hint="eastAsia"/>
          <w:sz w:val="28"/>
          <w:szCs w:val="28"/>
        </w:rPr>
        <w:t>第八章  程序设计</w:t>
      </w:r>
    </w:p>
    <w:p w14:paraId="66F1BEF5"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【学习目标】</w:t>
      </w:r>
      <w:r w:rsidRPr="003C75C2">
        <w:rPr>
          <w:rFonts w:ascii="宋体" w:eastAsia="宋体" w:hAnsi="宋体" w:cs="Times New Roman" w:hint="eastAsia"/>
          <w:bCs/>
          <w:sz w:val="24"/>
          <w:szCs w:val="24"/>
        </w:rPr>
        <w:t>：</w:t>
      </w:r>
    </w:p>
    <w:p w14:paraId="63379CC3" w14:textId="77777777" w:rsidR="003C75C2" w:rsidRPr="003C75C2" w:rsidRDefault="003C75C2" w:rsidP="00747ECA">
      <w:pPr>
        <w:numPr>
          <w:ilvl w:val="0"/>
          <w:numId w:val="109"/>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了解计算机语言，计算机语言与程序设计之间的关系；</w:t>
      </w:r>
    </w:p>
    <w:p w14:paraId="6785C3EC" w14:textId="77777777" w:rsidR="003C75C2" w:rsidRPr="003C75C2" w:rsidRDefault="003C75C2" w:rsidP="00747ECA">
      <w:pPr>
        <w:numPr>
          <w:ilvl w:val="0"/>
          <w:numId w:val="109"/>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掌握程序的基本编写规则；</w:t>
      </w:r>
    </w:p>
    <w:p w14:paraId="11BA21D5" w14:textId="77777777" w:rsidR="003C75C2" w:rsidRPr="003C75C2" w:rsidRDefault="003C75C2" w:rsidP="00747ECA">
      <w:pPr>
        <w:numPr>
          <w:ilvl w:val="0"/>
          <w:numId w:val="109"/>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掌握程序设计的三种基本结构的应用；</w:t>
      </w:r>
    </w:p>
    <w:p w14:paraId="2CB0ADD7" w14:textId="77777777" w:rsidR="003C75C2" w:rsidRPr="003C75C2" w:rsidRDefault="003C75C2" w:rsidP="00747ECA">
      <w:pPr>
        <w:numPr>
          <w:ilvl w:val="0"/>
          <w:numId w:val="109"/>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理解常用算法的程序实现；</w:t>
      </w:r>
    </w:p>
    <w:p w14:paraId="1109D332" w14:textId="77777777" w:rsidR="003C75C2" w:rsidRPr="003C75C2" w:rsidRDefault="003C75C2" w:rsidP="00747ECA">
      <w:pPr>
        <w:numPr>
          <w:ilvl w:val="0"/>
          <w:numId w:val="109"/>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掌握程序设计方法。</w:t>
      </w:r>
    </w:p>
    <w:p w14:paraId="40F7E095"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【学习内容】</w:t>
      </w:r>
    </w:p>
    <w:p w14:paraId="006F8F8C" w14:textId="77777777" w:rsidR="003C75C2" w:rsidRPr="003C75C2" w:rsidRDefault="003C75C2" w:rsidP="00747ECA">
      <w:pPr>
        <w:numPr>
          <w:ilvl w:val="0"/>
          <w:numId w:val="110"/>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程序设计语言的发展与应用</w:t>
      </w:r>
      <w:r w:rsidRPr="003C75C2">
        <w:rPr>
          <w:rFonts w:ascii="宋体" w:eastAsia="宋体" w:hAnsi="宋体" w:cs="Times New Roman" w:hint="eastAsia"/>
          <w:sz w:val="24"/>
          <w:szCs w:val="24"/>
        </w:rPr>
        <w:tab/>
      </w:r>
    </w:p>
    <w:p w14:paraId="52E2920D" w14:textId="77777777" w:rsidR="003C75C2" w:rsidRPr="003C75C2" w:rsidRDefault="003C75C2" w:rsidP="00747ECA">
      <w:pPr>
        <w:numPr>
          <w:ilvl w:val="0"/>
          <w:numId w:val="110"/>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程序设计语言基础</w:t>
      </w:r>
    </w:p>
    <w:p w14:paraId="5909CC4C" w14:textId="77777777" w:rsidR="003C75C2" w:rsidRPr="003C75C2" w:rsidRDefault="003C75C2" w:rsidP="00747ECA">
      <w:pPr>
        <w:numPr>
          <w:ilvl w:val="0"/>
          <w:numId w:val="110"/>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高级程序设计的流程控制结构</w:t>
      </w:r>
    </w:p>
    <w:p w14:paraId="67EF612A" w14:textId="77777777" w:rsidR="003C75C2" w:rsidRPr="003C75C2" w:rsidRDefault="003C75C2" w:rsidP="00747ECA">
      <w:pPr>
        <w:numPr>
          <w:ilvl w:val="0"/>
          <w:numId w:val="110"/>
        </w:numPr>
        <w:spacing w:line="440" w:lineRule="exact"/>
        <w:rPr>
          <w:rFonts w:ascii="宋体" w:eastAsia="宋体" w:hAnsi="宋体" w:cs="Times New Roman"/>
          <w:b/>
          <w:sz w:val="24"/>
          <w:szCs w:val="24"/>
        </w:rPr>
      </w:pPr>
      <w:r w:rsidRPr="003C75C2">
        <w:rPr>
          <w:rFonts w:ascii="宋体" w:eastAsia="宋体" w:hAnsi="宋体" w:cs="Times New Roman" w:hint="eastAsia"/>
          <w:sz w:val="24"/>
          <w:szCs w:val="24"/>
        </w:rPr>
        <w:t>程序设计方法</w:t>
      </w:r>
    </w:p>
    <w:p w14:paraId="656F7520" w14:textId="77777777" w:rsidR="003C75C2" w:rsidRPr="003C75C2" w:rsidRDefault="003C75C2" w:rsidP="003C75C2">
      <w:pPr>
        <w:spacing w:line="440" w:lineRule="exact"/>
        <w:ind w:left="480"/>
        <w:rPr>
          <w:rFonts w:ascii="宋体" w:eastAsia="宋体" w:hAnsi="宋体" w:cs="Times New Roman"/>
          <w:b/>
          <w:sz w:val="24"/>
          <w:szCs w:val="24"/>
        </w:rPr>
      </w:pPr>
      <w:r w:rsidRPr="003C75C2">
        <w:rPr>
          <w:rFonts w:ascii="宋体" w:eastAsia="宋体" w:hAnsi="宋体" w:cs="Times New Roman" w:hint="eastAsia"/>
          <w:b/>
          <w:sz w:val="24"/>
          <w:szCs w:val="24"/>
        </w:rPr>
        <w:t>【重点】</w:t>
      </w:r>
    </w:p>
    <w:p w14:paraId="7FED49E7" w14:textId="77777777" w:rsidR="003C75C2" w:rsidRPr="003C75C2" w:rsidRDefault="003C75C2" w:rsidP="00747ECA">
      <w:pPr>
        <w:numPr>
          <w:ilvl w:val="3"/>
          <w:numId w:val="111"/>
        </w:numPr>
        <w:spacing w:line="440" w:lineRule="exact"/>
        <w:ind w:leftChars="228" w:left="479" w:firstLineChars="36" w:firstLine="86"/>
        <w:rPr>
          <w:rFonts w:ascii="Times New Roman" w:eastAsia="宋体" w:hAnsi="Times New Roman" w:cs="Times New Roman"/>
          <w:sz w:val="24"/>
          <w:szCs w:val="24"/>
        </w:rPr>
      </w:pPr>
      <w:r w:rsidRPr="003C75C2">
        <w:rPr>
          <w:rFonts w:ascii="Times New Roman" w:eastAsia="宋体" w:hAnsi="Times New Roman" w:cs="Times New Roman" w:hint="eastAsia"/>
          <w:sz w:val="24"/>
          <w:szCs w:val="24"/>
        </w:rPr>
        <w:t>了解计算机解题全过程；</w:t>
      </w:r>
    </w:p>
    <w:p w14:paraId="4D3917BB" w14:textId="77777777" w:rsidR="003C75C2" w:rsidRPr="003C75C2" w:rsidRDefault="003C75C2" w:rsidP="00747ECA">
      <w:pPr>
        <w:numPr>
          <w:ilvl w:val="3"/>
          <w:numId w:val="111"/>
        </w:numPr>
        <w:spacing w:line="440" w:lineRule="exact"/>
        <w:ind w:leftChars="228" w:left="479" w:firstLineChars="36" w:firstLine="86"/>
        <w:rPr>
          <w:rFonts w:ascii="Times New Roman" w:eastAsia="宋体" w:hAnsi="Times New Roman" w:cs="Times New Roman"/>
          <w:sz w:val="24"/>
          <w:szCs w:val="24"/>
        </w:rPr>
      </w:pPr>
      <w:r w:rsidRPr="003C75C2">
        <w:rPr>
          <w:rFonts w:ascii="Times New Roman" w:eastAsia="宋体" w:hAnsi="Times New Roman" w:cs="Times New Roman" w:hint="eastAsia"/>
          <w:sz w:val="24"/>
          <w:szCs w:val="24"/>
        </w:rPr>
        <w:t>掌握程序实现的基本方式与方法。；</w:t>
      </w:r>
    </w:p>
    <w:p w14:paraId="225041AB" w14:textId="77777777" w:rsidR="003C75C2" w:rsidRPr="003C75C2" w:rsidRDefault="003C75C2" w:rsidP="003C75C2">
      <w:pPr>
        <w:spacing w:line="440" w:lineRule="exact"/>
        <w:ind w:firstLineChars="200" w:firstLine="482"/>
        <w:rPr>
          <w:rFonts w:ascii="宋体" w:eastAsia="宋体" w:hAnsi="宋体" w:cs="Times New Roman"/>
          <w:b/>
          <w:sz w:val="24"/>
          <w:szCs w:val="24"/>
        </w:rPr>
      </w:pPr>
      <w:r w:rsidRPr="003C75C2">
        <w:rPr>
          <w:rFonts w:ascii="宋体" w:eastAsia="宋体" w:hAnsi="宋体" w:cs="Times New Roman" w:hint="eastAsia"/>
          <w:b/>
          <w:sz w:val="24"/>
          <w:szCs w:val="24"/>
        </w:rPr>
        <w:t>【难点】</w:t>
      </w:r>
    </w:p>
    <w:p w14:paraId="7BF403B3" w14:textId="77777777" w:rsidR="003C75C2" w:rsidRPr="003C75C2" w:rsidRDefault="003C75C2" w:rsidP="00747ECA">
      <w:pPr>
        <w:numPr>
          <w:ilvl w:val="3"/>
          <w:numId w:val="112"/>
        </w:numPr>
        <w:spacing w:line="440" w:lineRule="exact"/>
        <w:ind w:left="993"/>
        <w:rPr>
          <w:rFonts w:ascii="Times New Roman" w:eastAsia="宋体" w:hAnsi="Times New Roman" w:cs="Times New Roman"/>
          <w:sz w:val="24"/>
          <w:szCs w:val="24"/>
        </w:rPr>
      </w:pPr>
      <w:r w:rsidRPr="003C75C2">
        <w:rPr>
          <w:rFonts w:ascii="Times New Roman" w:eastAsia="宋体" w:hAnsi="Times New Roman" w:cs="Times New Roman" w:hint="eastAsia"/>
          <w:sz w:val="24"/>
          <w:szCs w:val="24"/>
        </w:rPr>
        <w:t>程序设计的编写规则；</w:t>
      </w:r>
    </w:p>
    <w:p w14:paraId="5B3EEE46" w14:textId="77777777" w:rsidR="003C75C2" w:rsidRPr="003C75C2" w:rsidRDefault="003C75C2" w:rsidP="00747ECA">
      <w:pPr>
        <w:numPr>
          <w:ilvl w:val="3"/>
          <w:numId w:val="112"/>
        </w:numPr>
        <w:spacing w:line="440" w:lineRule="exact"/>
        <w:ind w:left="993"/>
        <w:rPr>
          <w:rFonts w:ascii="Times New Roman" w:eastAsia="宋体" w:hAnsi="Times New Roman" w:cs="Times New Roman"/>
          <w:sz w:val="24"/>
          <w:szCs w:val="24"/>
        </w:rPr>
      </w:pPr>
      <w:r w:rsidRPr="003C75C2">
        <w:rPr>
          <w:rFonts w:ascii="Times New Roman" w:eastAsia="宋体" w:hAnsi="Times New Roman" w:cs="Times New Roman" w:hint="eastAsia"/>
          <w:sz w:val="24"/>
          <w:szCs w:val="24"/>
        </w:rPr>
        <w:lastRenderedPageBreak/>
        <w:t>程序设计基本结构的应用。</w:t>
      </w:r>
    </w:p>
    <w:p w14:paraId="1847E433" w14:textId="77777777" w:rsidR="003C75C2" w:rsidRPr="003C75C2" w:rsidRDefault="003C75C2" w:rsidP="003C75C2">
      <w:pPr>
        <w:spacing w:line="440" w:lineRule="exact"/>
        <w:ind w:firstLineChars="200" w:firstLine="482"/>
        <w:rPr>
          <w:rFonts w:ascii="宋体" w:eastAsia="宋体" w:hAnsi="宋体" w:cs="Times New Roman"/>
          <w:sz w:val="24"/>
          <w:szCs w:val="24"/>
        </w:rPr>
      </w:pPr>
      <w:r w:rsidRPr="003C75C2">
        <w:rPr>
          <w:rFonts w:ascii="宋体" w:eastAsia="宋体" w:hAnsi="宋体" w:cs="Times New Roman" w:hint="eastAsia"/>
          <w:b/>
          <w:bCs/>
          <w:sz w:val="24"/>
          <w:szCs w:val="24"/>
        </w:rPr>
        <w:t>【教学方法】</w:t>
      </w:r>
    </w:p>
    <w:p w14:paraId="190A3A2B"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1.通过典型案例分析，讲解程序设计的流程控制结构。</w:t>
      </w:r>
    </w:p>
    <w:p w14:paraId="38663B98"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2.通过大作业形式考核学生对程序设计的掌握程度。</w:t>
      </w:r>
    </w:p>
    <w:p w14:paraId="450903FF" w14:textId="77777777" w:rsidR="003C75C2" w:rsidRPr="003C75C2" w:rsidRDefault="003C75C2" w:rsidP="003C75C2">
      <w:pPr>
        <w:spacing w:line="440" w:lineRule="exact"/>
        <w:ind w:firstLineChars="200" w:firstLine="482"/>
        <w:rPr>
          <w:rFonts w:ascii="宋体" w:eastAsia="宋体" w:hAnsi="宋体" w:cs="Times New Roman"/>
          <w:bCs/>
          <w:sz w:val="24"/>
          <w:szCs w:val="24"/>
        </w:rPr>
      </w:pPr>
      <w:r w:rsidRPr="003C75C2">
        <w:rPr>
          <w:rFonts w:ascii="宋体" w:eastAsia="宋体" w:hAnsi="宋体" w:cs="Times New Roman" w:hint="eastAsia"/>
          <w:b/>
          <w:sz w:val="24"/>
          <w:szCs w:val="24"/>
        </w:rPr>
        <w:t>【复习思考】</w:t>
      </w:r>
    </w:p>
    <w:p w14:paraId="05EB15F2" w14:textId="77777777" w:rsidR="003C75C2" w:rsidRPr="003C75C2" w:rsidRDefault="003C75C2" w:rsidP="003C75C2">
      <w:pPr>
        <w:spacing w:line="440" w:lineRule="exact"/>
        <w:ind w:firstLineChars="200" w:firstLine="480"/>
        <w:rPr>
          <w:rFonts w:ascii="宋体" w:eastAsia="宋体" w:hAnsi="宋体" w:cs="Times New Roman"/>
          <w:b/>
          <w:sz w:val="24"/>
          <w:szCs w:val="24"/>
        </w:rPr>
      </w:pPr>
      <w:r w:rsidRPr="003C75C2">
        <w:rPr>
          <w:rFonts w:ascii="宋体" w:eastAsia="宋体" w:hAnsi="宋体" w:cs="Times New Roman" w:hint="eastAsia"/>
          <w:sz w:val="24"/>
          <w:szCs w:val="24"/>
        </w:rPr>
        <w:t>1</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程序设计的发展历程和方向；</w:t>
      </w:r>
    </w:p>
    <w:p w14:paraId="26B5A342"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程序设计的流程控制结构；</w:t>
      </w:r>
    </w:p>
    <w:p w14:paraId="2144D340"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3</w:t>
      </w:r>
      <w:r w:rsidRPr="003C75C2">
        <w:rPr>
          <w:rFonts w:ascii="宋体" w:eastAsia="宋体" w:hAnsi="宋体" w:cs="Times New Roman"/>
          <w:sz w:val="24"/>
          <w:szCs w:val="24"/>
        </w:rPr>
        <w:t xml:space="preserve">. </w:t>
      </w:r>
      <w:r w:rsidRPr="003C75C2">
        <w:rPr>
          <w:rFonts w:ascii="宋体" w:eastAsia="宋体" w:hAnsi="宋体" w:cs="Times New Roman" w:hint="eastAsia"/>
          <w:sz w:val="24"/>
          <w:szCs w:val="24"/>
        </w:rPr>
        <w:t>复杂的程序设计的解决方法。</w:t>
      </w:r>
    </w:p>
    <w:p w14:paraId="68690189" w14:textId="77777777" w:rsidR="003C75C2" w:rsidRPr="003C75C2" w:rsidRDefault="003C75C2" w:rsidP="003C75C2">
      <w:pPr>
        <w:spacing w:beforeLines="50" w:before="156" w:afterLines="50" w:after="156" w:line="440" w:lineRule="exact"/>
        <w:ind w:left="561"/>
        <w:rPr>
          <w:rFonts w:ascii="仿宋" w:eastAsia="仿宋" w:hAnsi="仿宋" w:cs="Times New Roman"/>
          <w:sz w:val="24"/>
          <w:szCs w:val="24"/>
        </w:rPr>
      </w:pPr>
      <w:r w:rsidRPr="003C75C2">
        <w:rPr>
          <w:rFonts w:ascii="黑体" w:eastAsia="黑体" w:hAnsi="黑体" w:cs="Times New Roman" w:hint="eastAsia"/>
          <w:sz w:val="28"/>
          <w:szCs w:val="28"/>
        </w:rPr>
        <w:t>（二）课程学习内容与课程学习目标的对应关系</w:t>
      </w:r>
      <w:r w:rsidRPr="003C75C2">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6"/>
        <w:gridCol w:w="2550"/>
        <w:gridCol w:w="1985"/>
        <w:gridCol w:w="1276"/>
      </w:tblGrid>
      <w:tr w:rsidR="003C75C2" w:rsidRPr="003C75C2" w14:paraId="4ABD7B75" w14:textId="77777777" w:rsidTr="00423AD2">
        <w:trPr>
          <w:trHeight w:val="660"/>
          <w:jc w:val="center"/>
        </w:trPr>
        <w:tc>
          <w:tcPr>
            <w:tcW w:w="3546" w:type="dxa"/>
            <w:vAlign w:val="center"/>
          </w:tcPr>
          <w:p w14:paraId="1F6CC2F5" w14:textId="77777777" w:rsidR="003C75C2" w:rsidRPr="003C75C2" w:rsidRDefault="003C75C2" w:rsidP="003C75C2">
            <w:pPr>
              <w:spacing w:line="440" w:lineRule="exact"/>
              <w:jc w:val="center"/>
              <w:rPr>
                <w:rFonts w:ascii="宋体" w:eastAsia="宋体" w:hAnsi="宋体" w:cs="Times New Roman"/>
                <w:b/>
                <w:bCs/>
                <w:sz w:val="24"/>
                <w:szCs w:val="24"/>
              </w:rPr>
            </w:pPr>
            <w:r w:rsidRPr="003C75C2">
              <w:rPr>
                <w:rFonts w:ascii="宋体" w:eastAsia="宋体" w:hAnsi="宋体" w:cs="Times New Roman" w:hint="eastAsia"/>
                <w:b/>
                <w:bCs/>
                <w:sz w:val="24"/>
                <w:szCs w:val="24"/>
              </w:rPr>
              <w:t>课程学习内容</w:t>
            </w:r>
          </w:p>
        </w:tc>
        <w:tc>
          <w:tcPr>
            <w:tcW w:w="2550" w:type="dxa"/>
            <w:vAlign w:val="center"/>
          </w:tcPr>
          <w:p w14:paraId="2A7FF0D8" w14:textId="77777777" w:rsidR="003C75C2" w:rsidRPr="003C75C2" w:rsidRDefault="003C75C2" w:rsidP="003C75C2">
            <w:pPr>
              <w:spacing w:line="440" w:lineRule="exact"/>
              <w:jc w:val="center"/>
              <w:rPr>
                <w:rFonts w:ascii="宋体" w:eastAsia="宋体" w:hAnsi="宋体" w:cs="Times New Roman"/>
                <w:b/>
                <w:bCs/>
                <w:sz w:val="24"/>
                <w:szCs w:val="24"/>
              </w:rPr>
            </w:pPr>
            <w:r w:rsidRPr="003C75C2">
              <w:rPr>
                <w:rFonts w:ascii="宋体" w:eastAsia="宋体" w:hAnsi="宋体" w:cs="Times New Roman" w:hint="eastAsia"/>
                <w:b/>
                <w:bCs/>
                <w:sz w:val="24"/>
                <w:szCs w:val="24"/>
              </w:rPr>
              <w:t>教学方法</w:t>
            </w:r>
          </w:p>
        </w:tc>
        <w:tc>
          <w:tcPr>
            <w:tcW w:w="1985" w:type="dxa"/>
            <w:vAlign w:val="center"/>
          </w:tcPr>
          <w:p w14:paraId="09475F05" w14:textId="77777777" w:rsidR="003C75C2" w:rsidRPr="003C75C2" w:rsidRDefault="003C75C2" w:rsidP="003C75C2">
            <w:pPr>
              <w:spacing w:line="440" w:lineRule="exact"/>
              <w:jc w:val="center"/>
              <w:rPr>
                <w:rFonts w:ascii="宋体" w:eastAsia="宋体" w:hAnsi="宋体" w:cs="Times New Roman"/>
                <w:b/>
                <w:bCs/>
                <w:sz w:val="24"/>
                <w:szCs w:val="24"/>
              </w:rPr>
            </w:pPr>
            <w:r w:rsidRPr="003C75C2">
              <w:rPr>
                <w:rFonts w:ascii="宋体" w:eastAsia="宋体" w:hAnsi="宋体" w:cs="Times New Roman" w:hint="eastAsia"/>
                <w:b/>
                <w:bCs/>
                <w:sz w:val="24"/>
                <w:szCs w:val="24"/>
              </w:rPr>
              <w:t>支撑的课程目标</w:t>
            </w:r>
          </w:p>
        </w:tc>
        <w:tc>
          <w:tcPr>
            <w:tcW w:w="1276" w:type="dxa"/>
            <w:vAlign w:val="center"/>
          </w:tcPr>
          <w:p w14:paraId="12150069" w14:textId="77777777" w:rsidR="003C75C2" w:rsidRPr="003C75C2" w:rsidRDefault="003C75C2" w:rsidP="003C75C2">
            <w:pPr>
              <w:spacing w:line="440" w:lineRule="exact"/>
              <w:jc w:val="center"/>
              <w:rPr>
                <w:rFonts w:ascii="宋体" w:eastAsia="宋体" w:hAnsi="宋体" w:cs="Times New Roman"/>
                <w:b/>
                <w:bCs/>
                <w:sz w:val="24"/>
                <w:szCs w:val="24"/>
              </w:rPr>
            </w:pPr>
            <w:r w:rsidRPr="003C75C2">
              <w:rPr>
                <w:rFonts w:ascii="宋体" w:eastAsia="宋体" w:hAnsi="宋体" w:cs="Times New Roman" w:hint="eastAsia"/>
                <w:b/>
                <w:bCs/>
                <w:sz w:val="24"/>
                <w:szCs w:val="24"/>
              </w:rPr>
              <w:t>学时安排</w:t>
            </w:r>
          </w:p>
        </w:tc>
      </w:tr>
      <w:tr w:rsidR="003C75C2" w:rsidRPr="003C75C2" w14:paraId="18E45A6D" w14:textId="77777777" w:rsidTr="00423AD2">
        <w:trPr>
          <w:trHeight w:val="514"/>
          <w:jc w:val="center"/>
        </w:trPr>
        <w:tc>
          <w:tcPr>
            <w:tcW w:w="3546" w:type="dxa"/>
            <w:vAlign w:val="center"/>
          </w:tcPr>
          <w:p w14:paraId="62362400"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第一章 信息技术基础知识</w:t>
            </w:r>
          </w:p>
        </w:tc>
        <w:tc>
          <w:tcPr>
            <w:tcW w:w="2550" w:type="dxa"/>
            <w:vAlign w:val="center"/>
          </w:tcPr>
          <w:p w14:paraId="520FEE70"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讲授法</w:t>
            </w:r>
          </w:p>
        </w:tc>
        <w:tc>
          <w:tcPr>
            <w:tcW w:w="1985" w:type="dxa"/>
            <w:vAlign w:val="center"/>
          </w:tcPr>
          <w:p w14:paraId="483B21BE"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w:t>
            </w:r>
            <w:r w:rsidRPr="003C75C2">
              <w:rPr>
                <w:rFonts w:ascii="宋体" w:eastAsia="宋体" w:hAnsi="宋体" w:cs="Times New Roman"/>
                <w:sz w:val="24"/>
                <w:szCs w:val="24"/>
              </w:rPr>
              <w:t>目标</w:t>
            </w:r>
            <w:r w:rsidRPr="003C75C2">
              <w:rPr>
                <w:rFonts w:ascii="宋体" w:eastAsia="宋体" w:hAnsi="宋体" w:cs="Times New Roman" w:hint="eastAsia"/>
                <w:sz w:val="24"/>
                <w:szCs w:val="24"/>
              </w:rPr>
              <w:t>1</w:t>
            </w:r>
          </w:p>
        </w:tc>
        <w:tc>
          <w:tcPr>
            <w:tcW w:w="1276" w:type="dxa"/>
            <w:vAlign w:val="center"/>
          </w:tcPr>
          <w:p w14:paraId="1F8A54CF"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4</w:t>
            </w:r>
          </w:p>
        </w:tc>
      </w:tr>
      <w:tr w:rsidR="003C75C2" w:rsidRPr="003C75C2" w14:paraId="7662EF05" w14:textId="77777777" w:rsidTr="00423AD2">
        <w:trPr>
          <w:trHeight w:val="90"/>
          <w:jc w:val="center"/>
        </w:trPr>
        <w:tc>
          <w:tcPr>
            <w:tcW w:w="3546" w:type="dxa"/>
            <w:vAlign w:val="center"/>
          </w:tcPr>
          <w:p w14:paraId="0B6DB72E"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第二章 计算机系统</w:t>
            </w:r>
          </w:p>
        </w:tc>
        <w:tc>
          <w:tcPr>
            <w:tcW w:w="2550" w:type="dxa"/>
            <w:vAlign w:val="center"/>
          </w:tcPr>
          <w:p w14:paraId="0B19204D"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讲授法、专题</w:t>
            </w:r>
            <w:r w:rsidRPr="003C75C2">
              <w:rPr>
                <w:rFonts w:ascii="宋体" w:eastAsia="宋体" w:hAnsi="宋体" w:cs="Times New Roman"/>
                <w:sz w:val="24"/>
                <w:szCs w:val="24"/>
              </w:rPr>
              <w:t>研讨</w:t>
            </w:r>
          </w:p>
        </w:tc>
        <w:tc>
          <w:tcPr>
            <w:tcW w:w="1985" w:type="dxa"/>
            <w:vAlign w:val="center"/>
          </w:tcPr>
          <w:p w14:paraId="5DF8F37A"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课程目标2、3</w:t>
            </w:r>
          </w:p>
        </w:tc>
        <w:tc>
          <w:tcPr>
            <w:tcW w:w="1276" w:type="dxa"/>
            <w:vAlign w:val="center"/>
          </w:tcPr>
          <w:p w14:paraId="32A1706E"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4</w:t>
            </w:r>
          </w:p>
        </w:tc>
      </w:tr>
      <w:tr w:rsidR="003C75C2" w:rsidRPr="003C75C2" w14:paraId="3ACA0CB7" w14:textId="77777777" w:rsidTr="00423AD2">
        <w:trPr>
          <w:jc w:val="center"/>
        </w:trPr>
        <w:tc>
          <w:tcPr>
            <w:tcW w:w="3546" w:type="dxa"/>
            <w:vAlign w:val="center"/>
          </w:tcPr>
          <w:p w14:paraId="4C788276"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第三章 计算机网络与信息安全</w:t>
            </w:r>
          </w:p>
        </w:tc>
        <w:tc>
          <w:tcPr>
            <w:tcW w:w="2550" w:type="dxa"/>
            <w:vAlign w:val="center"/>
          </w:tcPr>
          <w:p w14:paraId="4631B538"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讲授法、案例教学</w:t>
            </w:r>
          </w:p>
        </w:tc>
        <w:tc>
          <w:tcPr>
            <w:tcW w:w="1985" w:type="dxa"/>
            <w:vAlign w:val="center"/>
          </w:tcPr>
          <w:p w14:paraId="7C0202B3"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课程目标4、5</w:t>
            </w:r>
          </w:p>
        </w:tc>
        <w:tc>
          <w:tcPr>
            <w:tcW w:w="1276" w:type="dxa"/>
            <w:vAlign w:val="center"/>
          </w:tcPr>
          <w:p w14:paraId="742E99AA"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4</w:t>
            </w:r>
          </w:p>
        </w:tc>
      </w:tr>
      <w:tr w:rsidR="003C75C2" w:rsidRPr="003C75C2" w14:paraId="594176EC" w14:textId="77777777" w:rsidTr="00423AD2">
        <w:trPr>
          <w:jc w:val="center"/>
        </w:trPr>
        <w:tc>
          <w:tcPr>
            <w:tcW w:w="3546" w:type="dxa"/>
            <w:vAlign w:val="center"/>
          </w:tcPr>
          <w:p w14:paraId="745688FE"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第四章 新一代信息技术</w:t>
            </w:r>
          </w:p>
        </w:tc>
        <w:tc>
          <w:tcPr>
            <w:tcW w:w="2550" w:type="dxa"/>
            <w:vAlign w:val="center"/>
          </w:tcPr>
          <w:p w14:paraId="36D2612D"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实地调研、</w:t>
            </w:r>
            <w:r w:rsidRPr="003C75C2">
              <w:rPr>
                <w:rFonts w:ascii="宋体" w:eastAsia="宋体" w:hAnsi="宋体" w:cs="Times New Roman"/>
                <w:sz w:val="24"/>
                <w:szCs w:val="24"/>
              </w:rPr>
              <w:t>课堂汇报</w:t>
            </w:r>
          </w:p>
        </w:tc>
        <w:tc>
          <w:tcPr>
            <w:tcW w:w="1985" w:type="dxa"/>
            <w:vAlign w:val="center"/>
          </w:tcPr>
          <w:p w14:paraId="3FE6BA36"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课程目标</w:t>
            </w:r>
            <w:r w:rsidRPr="003C75C2">
              <w:rPr>
                <w:rFonts w:ascii="宋体" w:eastAsia="宋体" w:hAnsi="宋体" w:cs="Times New Roman"/>
                <w:sz w:val="24"/>
                <w:szCs w:val="24"/>
              </w:rPr>
              <w:t>3</w:t>
            </w:r>
            <w:r w:rsidRPr="003C75C2">
              <w:rPr>
                <w:rFonts w:ascii="宋体" w:eastAsia="宋体" w:hAnsi="宋体" w:cs="Times New Roman" w:hint="eastAsia"/>
                <w:sz w:val="24"/>
                <w:szCs w:val="24"/>
              </w:rPr>
              <w:t>、4</w:t>
            </w:r>
          </w:p>
        </w:tc>
        <w:tc>
          <w:tcPr>
            <w:tcW w:w="1276" w:type="dxa"/>
            <w:vAlign w:val="center"/>
          </w:tcPr>
          <w:p w14:paraId="118292AB"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4</w:t>
            </w:r>
          </w:p>
        </w:tc>
      </w:tr>
      <w:tr w:rsidR="003C75C2" w:rsidRPr="003C75C2" w14:paraId="0D9E4E08" w14:textId="77777777" w:rsidTr="00423AD2">
        <w:trPr>
          <w:jc w:val="center"/>
        </w:trPr>
        <w:tc>
          <w:tcPr>
            <w:tcW w:w="3546" w:type="dxa"/>
            <w:vAlign w:val="center"/>
          </w:tcPr>
          <w:p w14:paraId="3F7C1C8B"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第五章 数据处理</w:t>
            </w:r>
          </w:p>
        </w:tc>
        <w:tc>
          <w:tcPr>
            <w:tcW w:w="2550" w:type="dxa"/>
            <w:vAlign w:val="center"/>
          </w:tcPr>
          <w:p w14:paraId="175FCE0D"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讲授法、案例教学</w:t>
            </w:r>
          </w:p>
        </w:tc>
        <w:tc>
          <w:tcPr>
            <w:tcW w:w="1985" w:type="dxa"/>
            <w:vAlign w:val="center"/>
          </w:tcPr>
          <w:p w14:paraId="51707C1F"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课程目标5</w:t>
            </w:r>
          </w:p>
        </w:tc>
        <w:tc>
          <w:tcPr>
            <w:tcW w:w="1276" w:type="dxa"/>
            <w:vAlign w:val="center"/>
          </w:tcPr>
          <w:p w14:paraId="6356A254"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12</w:t>
            </w:r>
          </w:p>
        </w:tc>
      </w:tr>
      <w:tr w:rsidR="003C75C2" w:rsidRPr="003C75C2" w14:paraId="37EE6DAB" w14:textId="77777777" w:rsidTr="00423AD2">
        <w:trPr>
          <w:jc w:val="center"/>
        </w:trPr>
        <w:tc>
          <w:tcPr>
            <w:tcW w:w="3546" w:type="dxa"/>
            <w:vAlign w:val="center"/>
          </w:tcPr>
          <w:p w14:paraId="0D243066"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第六章 计算思维</w:t>
            </w:r>
          </w:p>
        </w:tc>
        <w:tc>
          <w:tcPr>
            <w:tcW w:w="2550" w:type="dxa"/>
            <w:vAlign w:val="center"/>
          </w:tcPr>
          <w:p w14:paraId="406161F7"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案例教学</w:t>
            </w:r>
          </w:p>
        </w:tc>
        <w:tc>
          <w:tcPr>
            <w:tcW w:w="1985" w:type="dxa"/>
            <w:vAlign w:val="center"/>
          </w:tcPr>
          <w:p w14:paraId="72F8214F"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课程目标</w:t>
            </w:r>
            <w:r w:rsidRPr="003C75C2">
              <w:rPr>
                <w:rFonts w:ascii="宋体" w:eastAsia="宋体" w:hAnsi="宋体" w:cs="Times New Roman"/>
                <w:sz w:val="24"/>
                <w:szCs w:val="24"/>
              </w:rPr>
              <w:t>3</w:t>
            </w:r>
            <w:r w:rsidRPr="003C75C2">
              <w:rPr>
                <w:rFonts w:ascii="宋体" w:eastAsia="宋体" w:hAnsi="宋体" w:cs="Times New Roman" w:hint="eastAsia"/>
                <w:sz w:val="24"/>
                <w:szCs w:val="24"/>
              </w:rPr>
              <w:t>、4</w:t>
            </w:r>
          </w:p>
        </w:tc>
        <w:tc>
          <w:tcPr>
            <w:tcW w:w="1276" w:type="dxa"/>
            <w:vAlign w:val="center"/>
          </w:tcPr>
          <w:p w14:paraId="3422D913"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4</w:t>
            </w:r>
          </w:p>
        </w:tc>
      </w:tr>
      <w:tr w:rsidR="003C75C2" w:rsidRPr="003C75C2" w14:paraId="67003476" w14:textId="77777777" w:rsidTr="00423AD2">
        <w:trPr>
          <w:jc w:val="center"/>
        </w:trPr>
        <w:tc>
          <w:tcPr>
            <w:tcW w:w="3546" w:type="dxa"/>
            <w:vAlign w:val="center"/>
          </w:tcPr>
          <w:p w14:paraId="50F202B3"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第七章 算法设计</w:t>
            </w:r>
          </w:p>
        </w:tc>
        <w:tc>
          <w:tcPr>
            <w:tcW w:w="2550" w:type="dxa"/>
            <w:vAlign w:val="center"/>
          </w:tcPr>
          <w:p w14:paraId="6F5E751A"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典型案例分析</w:t>
            </w:r>
          </w:p>
        </w:tc>
        <w:tc>
          <w:tcPr>
            <w:tcW w:w="1985" w:type="dxa"/>
            <w:vAlign w:val="center"/>
          </w:tcPr>
          <w:p w14:paraId="15BF4BC0"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课程目标2、3</w:t>
            </w:r>
          </w:p>
        </w:tc>
        <w:tc>
          <w:tcPr>
            <w:tcW w:w="1276" w:type="dxa"/>
            <w:vAlign w:val="center"/>
          </w:tcPr>
          <w:p w14:paraId="66C9CE67"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8</w:t>
            </w:r>
          </w:p>
        </w:tc>
      </w:tr>
      <w:tr w:rsidR="003C75C2" w:rsidRPr="003C75C2" w14:paraId="595553C7" w14:textId="77777777" w:rsidTr="00423AD2">
        <w:trPr>
          <w:jc w:val="center"/>
        </w:trPr>
        <w:tc>
          <w:tcPr>
            <w:tcW w:w="3546" w:type="dxa"/>
            <w:vAlign w:val="center"/>
          </w:tcPr>
          <w:p w14:paraId="0DE9740D" w14:textId="77777777" w:rsidR="003C75C2" w:rsidRPr="003C75C2" w:rsidRDefault="003C75C2" w:rsidP="003C75C2">
            <w:pPr>
              <w:spacing w:line="440" w:lineRule="exact"/>
              <w:jc w:val="left"/>
              <w:rPr>
                <w:rFonts w:ascii="宋体" w:eastAsia="宋体" w:hAnsi="宋体" w:cs="Times New Roman"/>
                <w:sz w:val="24"/>
                <w:szCs w:val="24"/>
              </w:rPr>
            </w:pPr>
            <w:r w:rsidRPr="003C75C2">
              <w:rPr>
                <w:rFonts w:ascii="宋体" w:eastAsia="宋体" w:hAnsi="宋体" w:cs="Times New Roman" w:hint="eastAsia"/>
                <w:sz w:val="24"/>
                <w:szCs w:val="24"/>
              </w:rPr>
              <w:t>第八章 程序设计</w:t>
            </w:r>
          </w:p>
        </w:tc>
        <w:tc>
          <w:tcPr>
            <w:tcW w:w="2550" w:type="dxa"/>
            <w:vAlign w:val="center"/>
          </w:tcPr>
          <w:p w14:paraId="5015E0C0"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讲授法、专题</w:t>
            </w:r>
            <w:r w:rsidRPr="003C75C2">
              <w:rPr>
                <w:rFonts w:ascii="宋体" w:eastAsia="宋体" w:hAnsi="宋体" w:cs="Times New Roman"/>
                <w:sz w:val="24"/>
                <w:szCs w:val="24"/>
              </w:rPr>
              <w:t>研讨</w:t>
            </w:r>
          </w:p>
        </w:tc>
        <w:tc>
          <w:tcPr>
            <w:tcW w:w="1985" w:type="dxa"/>
            <w:vAlign w:val="center"/>
          </w:tcPr>
          <w:p w14:paraId="725C1145"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课程目标4、5</w:t>
            </w:r>
          </w:p>
        </w:tc>
        <w:tc>
          <w:tcPr>
            <w:tcW w:w="1276" w:type="dxa"/>
            <w:vAlign w:val="center"/>
          </w:tcPr>
          <w:p w14:paraId="510F7701"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24</w:t>
            </w:r>
          </w:p>
        </w:tc>
      </w:tr>
      <w:tr w:rsidR="003C75C2" w:rsidRPr="003C75C2" w14:paraId="20BAC620" w14:textId="77777777" w:rsidTr="00423AD2">
        <w:trPr>
          <w:jc w:val="center"/>
        </w:trPr>
        <w:tc>
          <w:tcPr>
            <w:tcW w:w="8081" w:type="dxa"/>
            <w:gridSpan w:val="3"/>
            <w:vAlign w:val="center"/>
          </w:tcPr>
          <w:p w14:paraId="397BE125" w14:textId="77777777" w:rsidR="003C75C2" w:rsidRPr="003C75C2" w:rsidRDefault="003C75C2" w:rsidP="003C75C2">
            <w:pPr>
              <w:spacing w:line="440" w:lineRule="exact"/>
              <w:jc w:val="center"/>
              <w:rPr>
                <w:rFonts w:ascii="宋体" w:eastAsia="宋体" w:hAnsi="宋体" w:cs="Times New Roman"/>
                <w:b/>
                <w:sz w:val="24"/>
                <w:szCs w:val="24"/>
              </w:rPr>
            </w:pPr>
            <w:r w:rsidRPr="003C75C2">
              <w:rPr>
                <w:rFonts w:ascii="宋体" w:eastAsia="宋体" w:hAnsi="宋体" w:cs="Times New Roman" w:hint="eastAsia"/>
                <w:b/>
                <w:sz w:val="24"/>
                <w:szCs w:val="24"/>
              </w:rPr>
              <w:t>合计</w:t>
            </w:r>
          </w:p>
        </w:tc>
        <w:tc>
          <w:tcPr>
            <w:tcW w:w="1276" w:type="dxa"/>
            <w:vAlign w:val="center"/>
          </w:tcPr>
          <w:p w14:paraId="607918D6" w14:textId="77777777" w:rsidR="003C75C2" w:rsidRPr="003C75C2" w:rsidRDefault="003C75C2" w:rsidP="003C75C2">
            <w:pPr>
              <w:spacing w:line="440" w:lineRule="exact"/>
              <w:jc w:val="center"/>
              <w:rPr>
                <w:rFonts w:ascii="宋体" w:eastAsia="宋体" w:hAnsi="宋体" w:cs="Times New Roman"/>
                <w:sz w:val="24"/>
                <w:szCs w:val="24"/>
              </w:rPr>
            </w:pPr>
            <w:r w:rsidRPr="003C75C2">
              <w:rPr>
                <w:rFonts w:ascii="宋体" w:eastAsia="宋体" w:hAnsi="宋体" w:cs="Times New Roman" w:hint="eastAsia"/>
                <w:sz w:val="24"/>
                <w:szCs w:val="24"/>
              </w:rPr>
              <w:t>64</w:t>
            </w:r>
          </w:p>
        </w:tc>
      </w:tr>
    </w:tbl>
    <w:p w14:paraId="384F812F" w14:textId="77777777" w:rsidR="003C75C2" w:rsidRPr="003C75C2" w:rsidRDefault="003C75C2" w:rsidP="003C75C2">
      <w:pPr>
        <w:spacing w:beforeLines="50" w:before="156" w:afterLines="50" w:after="156" w:line="440" w:lineRule="exact"/>
        <w:ind w:firstLineChars="200" w:firstLine="560"/>
        <w:rPr>
          <w:rFonts w:ascii="宋体" w:eastAsia="宋体" w:hAnsi="宋体" w:cs="Times New Roman"/>
          <w:sz w:val="24"/>
          <w:szCs w:val="24"/>
        </w:rPr>
      </w:pPr>
      <w:r w:rsidRPr="003C75C2">
        <w:rPr>
          <w:rFonts w:ascii="黑体" w:eastAsia="黑体" w:hAnsi="黑体" w:cs="Times New Roman" w:hint="eastAsia"/>
          <w:sz w:val="28"/>
          <w:szCs w:val="28"/>
        </w:rPr>
        <w:t>四、课程考核及与课程学习目标的对应关系</w:t>
      </w:r>
    </w:p>
    <w:p w14:paraId="5D1BAD75" w14:textId="77777777" w:rsidR="003C75C2" w:rsidRPr="003C75C2" w:rsidRDefault="003C75C2" w:rsidP="003C75C2">
      <w:pPr>
        <w:spacing w:beforeLines="50" w:before="156" w:afterLines="50" w:after="156" w:line="440" w:lineRule="exact"/>
        <w:ind w:firstLineChars="200" w:firstLine="560"/>
        <w:rPr>
          <w:rFonts w:ascii="黑体" w:eastAsia="黑体" w:hAnsi="黑体" w:cs="Times New Roman"/>
          <w:sz w:val="28"/>
          <w:szCs w:val="28"/>
        </w:rPr>
      </w:pPr>
      <w:r w:rsidRPr="003C75C2">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3C75C2" w:rsidRPr="003C75C2" w14:paraId="1EB34DD1" w14:textId="77777777" w:rsidTr="00423AD2">
        <w:trPr>
          <w:trHeight w:val="515"/>
          <w:jc w:val="center"/>
        </w:trPr>
        <w:tc>
          <w:tcPr>
            <w:tcW w:w="1422" w:type="dxa"/>
          </w:tcPr>
          <w:p w14:paraId="09DA42FD" w14:textId="77777777" w:rsidR="003C75C2" w:rsidRPr="003C75C2" w:rsidRDefault="003C75C2" w:rsidP="003C75C2">
            <w:pPr>
              <w:spacing w:line="440" w:lineRule="exact"/>
              <w:jc w:val="center"/>
              <w:rPr>
                <w:rFonts w:ascii="宋体" w:eastAsia="宋体" w:hAnsi="宋体" w:cs="Times New Roman"/>
                <w:b/>
                <w:sz w:val="24"/>
                <w:szCs w:val="24"/>
              </w:rPr>
            </w:pPr>
            <w:r w:rsidRPr="003C75C2">
              <w:rPr>
                <w:rFonts w:ascii="宋体" w:eastAsia="宋体" w:hAnsi="宋体" w:cs="Times New Roman" w:hint="eastAsia"/>
                <w:b/>
                <w:sz w:val="24"/>
                <w:szCs w:val="24"/>
              </w:rPr>
              <w:t>课程目标</w:t>
            </w:r>
          </w:p>
        </w:tc>
        <w:tc>
          <w:tcPr>
            <w:tcW w:w="7918" w:type="dxa"/>
            <w:vAlign w:val="center"/>
          </w:tcPr>
          <w:p w14:paraId="1548A374" w14:textId="77777777" w:rsidR="003C75C2" w:rsidRPr="003C75C2" w:rsidRDefault="003C75C2" w:rsidP="003C75C2">
            <w:pPr>
              <w:spacing w:line="440" w:lineRule="exact"/>
              <w:jc w:val="center"/>
              <w:rPr>
                <w:rFonts w:ascii="宋体" w:eastAsia="宋体" w:hAnsi="宋体" w:cs="Times New Roman"/>
                <w:b/>
                <w:sz w:val="24"/>
                <w:szCs w:val="24"/>
              </w:rPr>
            </w:pPr>
            <w:r w:rsidRPr="003C75C2">
              <w:rPr>
                <w:rFonts w:ascii="宋体" w:eastAsia="宋体" w:hAnsi="宋体" w:cs="Times New Roman" w:hint="eastAsia"/>
                <w:b/>
                <w:sz w:val="24"/>
                <w:szCs w:val="24"/>
              </w:rPr>
              <w:t>考核内容</w:t>
            </w:r>
          </w:p>
        </w:tc>
      </w:tr>
      <w:tr w:rsidR="003C75C2" w:rsidRPr="003C75C2" w14:paraId="7156E397" w14:textId="77777777" w:rsidTr="00423AD2">
        <w:trPr>
          <w:jc w:val="center"/>
        </w:trPr>
        <w:tc>
          <w:tcPr>
            <w:tcW w:w="1422" w:type="dxa"/>
            <w:vAlign w:val="center"/>
          </w:tcPr>
          <w:p w14:paraId="5FBD1900" w14:textId="77777777" w:rsidR="003C75C2" w:rsidRPr="003C75C2" w:rsidRDefault="003C75C2" w:rsidP="003C75C2">
            <w:pPr>
              <w:spacing w:line="440" w:lineRule="exact"/>
              <w:jc w:val="center"/>
              <w:rPr>
                <w:rFonts w:ascii="宋体" w:eastAsia="宋体" w:hAnsi="宋体" w:cs="Times New Roman"/>
                <w:bCs/>
                <w:sz w:val="24"/>
                <w:szCs w:val="24"/>
              </w:rPr>
            </w:pPr>
            <w:r w:rsidRPr="003C75C2">
              <w:rPr>
                <w:rFonts w:ascii="宋体" w:eastAsia="宋体" w:hAnsi="宋体" w:cs="Times New Roman" w:hint="eastAsia"/>
                <w:bCs/>
                <w:sz w:val="24"/>
                <w:szCs w:val="24"/>
              </w:rPr>
              <w:t>课程目标1</w:t>
            </w:r>
          </w:p>
        </w:tc>
        <w:tc>
          <w:tcPr>
            <w:tcW w:w="7918" w:type="dxa"/>
            <w:vAlign w:val="center"/>
          </w:tcPr>
          <w:p w14:paraId="7474F92D" w14:textId="77777777" w:rsidR="003C75C2" w:rsidRPr="003C75C2" w:rsidRDefault="003C75C2" w:rsidP="003C75C2">
            <w:pPr>
              <w:spacing w:line="440" w:lineRule="exact"/>
              <w:rPr>
                <w:rFonts w:ascii="宋体" w:eastAsia="宋体" w:hAnsi="宋体" w:cs="Times New Roman"/>
                <w:bCs/>
                <w:sz w:val="24"/>
                <w:szCs w:val="24"/>
              </w:rPr>
            </w:pPr>
            <w:r w:rsidRPr="003C75C2">
              <w:rPr>
                <w:rFonts w:ascii="宋体" w:eastAsia="宋体" w:hAnsi="宋体" w:cs="Times New Roman" w:hint="eastAsia"/>
                <w:bCs/>
                <w:sz w:val="24"/>
                <w:szCs w:val="24"/>
              </w:rPr>
              <w:t>1.1掌握信息技术等相关基础知识与专业知识，具备进行日常教学、以及科学研究的知识与技能。</w:t>
            </w:r>
          </w:p>
          <w:p w14:paraId="46882DEE" w14:textId="77777777" w:rsidR="003C75C2" w:rsidRPr="003C75C2" w:rsidRDefault="003C75C2" w:rsidP="003C75C2">
            <w:pPr>
              <w:spacing w:line="440" w:lineRule="exact"/>
              <w:rPr>
                <w:rFonts w:ascii="宋体" w:eastAsia="宋体" w:hAnsi="宋体" w:cs="Times New Roman"/>
                <w:bCs/>
                <w:sz w:val="24"/>
                <w:szCs w:val="24"/>
              </w:rPr>
            </w:pPr>
            <w:r w:rsidRPr="003C75C2">
              <w:rPr>
                <w:rFonts w:ascii="宋体" w:eastAsia="宋体" w:hAnsi="宋体" w:cs="Times New Roman" w:hint="eastAsia"/>
                <w:bCs/>
                <w:sz w:val="24"/>
                <w:szCs w:val="24"/>
              </w:rPr>
              <w:t>1.2掌握分析计算机软硬件系统所需的数学、自然科学知识以及计算机软硬件基本原理，识别、分析、判断计算机软硬件系统中复杂工程问题的关键环节、参数和影响因素。</w:t>
            </w:r>
          </w:p>
        </w:tc>
      </w:tr>
      <w:tr w:rsidR="003C75C2" w:rsidRPr="003C75C2" w14:paraId="2CBC7457" w14:textId="77777777" w:rsidTr="00423AD2">
        <w:trPr>
          <w:jc w:val="center"/>
        </w:trPr>
        <w:tc>
          <w:tcPr>
            <w:tcW w:w="1422" w:type="dxa"/>
            <w:vAlign w:val="center"/>
          </w:tcPr>
          <w:p w14:paraId="2D6619C8" w14:textId="77777777" w:rsidR="003C75C2" w:rsidRPr="003C75C2" w:rsidRDefault="003C75C2" w:rsidP="003C75C2">
            <w:pPr>
              <w:spacing w:line="440" w:lineRule="exact"/>
              <w:jc w:val="center"/>
              <w:rPr>
                <w:rFonts w:ascii="宋体" w:eastAsia="宋体" w:hAnsi="宋体" w:cs="Times New Roman"/>
                <w:bCs/>
                <w:sz w:val="24"/>
                <w:szCs w:val="24"/>
              </w:rPr>
            </w:pPr>
            <w:r w:rsidRPr="003C75C2">
              <w:rPr>
                <w:rFonts w:ascii="宋体" w:eastAsia="宋体" w:hAnsi="宋体" w:cs="Times New Roman" w:hint="eastAsia"/>
                <w:bCs/>
                <w:sz w:val="24"/>
                <w:szCs w:val="24"/>
              </w:rPr>
              <w:t>课程目标2</w:t>
            </w:r>
          </w:p>
        </w:tc>
        <w:tc>
          <w:tcPr>
            <w:tcW w:w="7918" w:type="dxa"/>
            <w:vAlign w:val="center"/>
          </w:tcPr>
          <w:p w14:paraId="40F7E64C" w14:textId="77777777" w:rsidR="003C75C2" w:rsidRPr="003C75C2" w:rsidRDefault="003C75C2" w:rsidP="003C75C2">
            <w:pPr>
              <w:spacing w:line="440" w:lineRule="exact"/>
              <w:rPr>
                <w:rFonts w:ascii="宋体" w:eastAsia="宋体" w:hAnsi="宋体" w:cs="Times New Roman"/>
                <w:bCs/>
                <w:sz w:val="24"/>
                <w:szCs w:val="24"/>
              </w:rPr>
            </w:pPr>
            <w:r w:rsidRPr="003C75C2">
              <w:rPr>
                <w:rFonts w:ascii="宋体" w:eastAsia="宋体" w:hAnsi="宋体" w:cs="Times New Roman" w:hint="eastAsia"/>
                <w:bCs/>
                <w:sz w:val="24"/>
                <w:szCs w:val="24"/>
              </w:rPr>
              <w:t>2.1了解计算机操作系统的发展历史、主要的操作系统和不同的操作系统</w:t>
            </w:r>
            <w:r w:rsidRPr="003C75C2">
              <w:rPr>
                <w:rFonts w:ascii="宋体" w:eastAsia="宋体" w:hAnsi="宋体" w:cs="Times New Roman" w:hint="eastAsia"/>
                <w:bCs/>
                <w:sz w:val="24"/>
                <w:szCs w:val="24"/>
              </w:rPr>
              <w:lastRenderedPageBreak/>
              <w:t>的应用方向；</w:t>
            </w:r>
          </w:p>
          <w:p w14:paraId="014AC6E2" w14:textId="77777777" w:rsidR="003C75C2" w:rsidRPr="003C75C2" w:rsidRDefault="003C75C2" w:rsidP="003C75C2">
            <w:pPr>
              <w:spacing w:line="440" w:lineRule="exact"/>
              <w:rPr>
                <w:rFonts w:ascii="宋体" w:eastAsia="宋体" w:hAnsi="宋体" w:cs="Times New Roman"/>
                <w:bCs/>
                <w:sz w:val="24"/>
                <w:szCs w:val="24"/>
              </w:rPr>
            </w:pPr>
            <w:r w:rsidRPr="003C75C2">
              <w:rPr>
                <w:rFonts w:ascii="宋体" w:eastAsia="宋体" w:hAnsi="宋体" w:cs="Times New Roman" w:hint="eastAsia"/>
                <w:bCs/>
                <w:sz w:val="24"/>
                <w:szCs w:val="24"/>
              </w:rPr>
              <w:t>2.2 掌握操作系统的主要功能和主要操作。</w:t>
            </w:r>
          </w:p>
        </w:tc>
      </w:tr>
      <w:tr w:rsidR="003C75C2" w:rsidRPr="003C75C2" w14:paraId="5708BF54" w14:textId="77777777" w:rsidTr="00423AD2">
        <w:trPr>
          <w:jc w:val="center"/>
        </w:trPr>
        <w:tc>
          <w:tcPr>
            <w:tcW w:w="1422" w:type="dxa"/>
            <w:vAlign w:val="center"/>
          </w:tcPr>
          <w:p w14:paraId="54C7F5D6" w14:textId="77777777" w:rsidR="003C75C2" w:rsidRPr="003C75C2" w:rsidRDefault="003C75C2" w:rsidP="003C75C2">
            <w:pPr>
              <w:spacing w:line="440" w:lineRule="exact"/>
              <w:jc w:val="center"/>
              <w:rPr>
                <w:rFonts w:ascii="宋体" w:eastAsia="宋体" w:hAnsi="宋体" w:cs="Times New Roman"/>
                <w:bCs/>
                <w:sz w:val="24"/>
                <w:szCs w:val="24"/>
              </w:rPr>
            </w:pPr>
            <w:r w:rsidRPr="003C75C2">
              <w:rPr>
                <w:rFonts w:ascii="宋体" w:eastAsia="宋体" w:hAnsi="宋体" w:cs="Times New Roman" w:hint="eastAsia"/>
                <w:bCs/>
                <w:sz w:val="24"/>
                <w:szCs w:val="24"/>
              </w:rPr>
              <w:lastRenderedPageBreak/>
              <w:t>课程目标3</w:t>
            </w:r>
          </w:p>
        </w:tc>
        <w:tc>
          <w:tcPr>
            <w:tcW w:w="7918" w:type="dxa"/>
            <w:vAlign w:val="center"/>
          </w:tcPr>
          <w:p w14:paraId="162EFBFB" w14:textId="77777777" w:rsidR="003C75C2" w:rsidRPr="003C75C2" w:rsidRDefault="003C75C2" w:rsidP="003C75C2">
            <w:pPr>
              <w:spacing w:line="440" w:lineRule="exact"/>
              <w:rPr>
                <w:rFonts w:ascii="宋体" w:eastAsia="宋体" w:hAnsi="宋体" w:cs="Times New Roman"/>
                <w:bCs/>
                <w:sz w:val="24"/>
                <w:szCs w:val="24"/>
              </w:rPr>
            </w:pPr>
            <w:r w:rsidRPr="003C75C2">
              <w:rPr>
                <w:rFonts w:ascii="宋体" w:eastAsia="宋体" w:hAnsi="宋体" w:cs="Times New Roman" w:hint="eastAsia"/>
                <w:bCs/>
                <w:sz w:val="24"/>
                <w:szCs w:val="24"/>
              </w:rPr>
              <w:t>3.1 了解计算机网络的发展历史，计算机网络的基本构成，信息安全知识；</w:t>
            </w:r>
          </w:p>
          <w:p w14:paraId="23859744" w14:textId="77777777" w:rsidR="003C75C2" w:rsidRPr="003C75C2" w:rsidRDefault="003C75C2" w:rsidP="003C75C2">
            <w:pPr>
              <w:spacing w:line="440" w:lineRule="exact"/>
              <w:rPr>
                <w:rFonts w:ascii="宋体" w:eastAsia="宋体" w:hAnsi="宋体" w:cs="Times New Roman"/>
                <w:bCs/>
                <w:sz w:val="24"/>
                <w:szCs w:val="24"/>
              </w:rPr>
            </w:pPr>
            <w:r w:rsidRPr="003C75C2">
              <w:rPr>
                <w:rFonts w:ascii="宋体" w:eastAsia="宋体" w:hAnsi="宋体" w:cs="Times New Roman" w:hint="eastAsia"/>
                <w:bCs/>
                <w:sz w:val="24"/>
                <w:szCs w:val="24"/>
              </w:rPr>
              <w:t>3.2 了解网络的主要应用。能够在教育实践过程中不断进行信息收集、自我诊断、自我改进与自我完善。</w:t>
            </w:r>
          </w:p>
        </w:tc>
      </w:tr>
      <w:tr w:rsidR="003C75C2" w:rsidRPr="003C75C2" w14:paraId="3812940C" w14:textId="77777777" w:rsidTr="00423AD2">
        <w:trPr>
          <w:jc w:val="center"/>
        </w:trPr>
        <w:tc>
          <w:tcPr>
            <w:tcW w:w="1422" w:type="dxa"/>
            <w:vAlign w:val="center"/>
          </w:tcPr>
          <w:p w14:paraId="05A0D921" w14:textId="77777777" w:rsidR="003C75C2" w:rsidRPr="003C75C2" w:rsidRDefault="003C75C2" w:rsidP="003C75C2">
            <w:pPr>
              <w:spacing w:line="440" w:lineRule="exact"/>
              <w:jc w:val="center"/>
              <w:rPr>
                <w:rFonts w:ascii="宋体" w:eastAsia="宋体" w:hAnsi="宋体" w:cs="Times New Roman"/>
                <w:bCs/>
                <w:sz w:val="24"/>
                <w:szCs w:val="24"/>
              </w:rPr>
            </w:pPr>
            <w:r w:rsidRPr="003C75C2">
              <w:rPr>
                <w:rFonts w:ascii="宋体" w:eastAsia="宋体" w:hAnsi="宋体" w:cs="Times New Roman" w:hint="eastAsia"/>
                <w:bCs/>
                <w:sz w:val="24"/>
                <w:szCs w:val="24"/>
              </w:rPr>
              <w:t>课程目标4</w:t>
            </w:r>
          </w:p>
        </w:tc>
        <w:tc>
          <w:tcPr>
            <w:tcW w:w="7918" w:type="dxa"/>
            <w:vAlign w:val="center"/>
          </w:tcPr>
          <w:p w14:paraId="06B671C7" w14:textId="77777777" w:rsidR="003C75C2" w:rsidRPr="003C75C2" w:rsidRDefault="003C75C2" w:rsidP="003C75C2">
            <w:pPr>
              <w:spacing w:line="440" w:lineRule="exact"/>
              <w:rPr>
                <w:rFonts w:ascii="宋体" w:eastAsia="宋体" w:hAnsi="宋体" w:cs="Times New Roman"/>
                <w:bCs/>
                <w:sz w:val="24"/>
                <w:szCs w:val="24"/>
              </w:rPr>
            </w:pPr>
            <w:r w:rsidRPr="003C75C2">
              <w:rPr>
                <w:rFonts w:ascii="宋体" w:eastAsia="宋体" w:hAnsi="宋体" w:cs="Times New Roman" w:hint="eastAsia"/>
                <w:bCs/>
                <w:sz w:val="24"/>
                <w:szCs w:val="24"/>
              </w:rPr>
              <w:t>4.1了解物联网的发展和应用现状；掌握大数据的主要思想和原理，掌握大数据的典型应用；掌握</w:t>
            </w:r>
            <w:proofErr w:type="gramStart"/>
            <w:r w:rsidRPr="003C75C2">
              <w:rPr>
                <w:rFonts w:ascii="宋体" w:eastAsia="宋体" w:hAnsi="宋体" w:cs="Times New Roman" w:hint="eastAsia"/>
                <w:bCs/>
                <w:sz w:val="24"/>
                <w:szCs w:val="24"/>
              </w:rPr>
              <w:t>云计算</w:t>
            </w:r>
            <w:proofErr w:type="gramEnd"/>
            <w:r w:rsidRPr="003C75C2">
              <w:rPr>
                <w:rFonts w:ascii="宋体" w:eastAsia="宋体" w:hAnsi="宋体" w:cs="Times New Roman" w:hint="eastAsia"/>
                <w:bCs/>
                <w:sz w:val="24"/>
                <w:szCs w:val="24"/>
              </w:rPr>
              <w:t>的概念和主要内容以及</w:t>
            </w:r>
            <w:proofErr w:type="gramStart"/>
            <w:r w:rsidRPr="003C75C2">
              <w:rPr>
                <w:rFonts w:ascii="宋体" w:eastAsia="宋体" w:hAnsi="宋体" w:cs="Times New Roman" w:hint="eastAsia"/>
                <w:bCs/>
                <w:sz w:val="24"/>
                <w:szCs w:val="24"/>
              </w:rPr>
              <w:t>云计算</w:t>
            </w:r>
            <w:proofErr w:type="gramEnd"/>
            <w:r w:rsidRPr="003C75C2">
              <w:rPr>
                <w:rFonts w:ascii="宋体" w:eastAsia="宋体" w:hAnsi="宋体" w:cs="Times New Roman" w:hint="eastAsia"/>
                <w:bCs/>
                <w:sz w:val="24"/>
                <w:szCs w:val="24"/>
              </w:rPr>
              <w:t>的重要应用价值；</w:t>
            </w:r>
          </w:p>
          <w:p w14:paraId="203787E8" w14:textId="77777777" w:rsidR="003C75C2" w:rsidRPr="003C75C2" w:rsidRDefault="003C75C2" w:rsidP="003C75C2">
            <w:pPr>
              <w:spacing w:line="440" w:lineRule="exact"/>
              <w:rPr>
                <w:rFonts w:ascii="宋体" w:eastAsia="宋体" w:hAnsi="宋体" w:cs="Times New Roman"/>
                <w:bCs/>
                <w:sz w:val="24"/>
                <w:szCs w:val="24"/>
              </w:rPr>
            </w:pPr>
            <w:r w:rsidRPr="003C75C2">
              <w:rPr>
                <w:rFonts w:ascii="宋体" w:eastAsia="宋体" w:hAnsi="宋体" w:cs="Times New Roman" w:hint="eastAsia"/>
                <w:bCs/>
                <w:sz w:val="24"/>
                <w:szCs w:val="24"/>
              </w:rPr>
              <w:t>4.2能理解并简单分析</w:t>
            </w:r>
            <w:proofErr w:type="gramStart"/>
            <w:r w:rsidRPr="003C75C2">
              <w:rPr>
                <w:rFonts w:ascii="宋体" w:eastAsia="宋体" w:hAnsi="宋体" w:cs="Times New Roman" w:hint="eastAsia"/>
                <w:bCs/>
                <w:sz w:val="24"/>
                <w:szCs w:val="24"/>
              </w:rPr>
              <w:t>云计算</w:t>
            </w:r>
            <w:proofErr w:type="gramEnd"/>
            <w:r w:rsidRPr="003C75C2">
              <w:rPr>
                <w:rFonts w:ascii="宋体" w:eastAsia="宋体" w:hAnsi="宋体" w:cs="Times New Roman" w:hint="eastAsia"/>
                <w:bCs/>
                <w:sz w:val="24"/>
                <w:szCs w:val="24"/>
              </w:rPr>
              <w:t>的关键技术和典型应用</w:t>
            </w:r>
          </w:p>
          <w:p w14:paraId="0D6593FE" w14:textId="77777777" w:rsidR="003C75C2" w:rsidRPr="003C75C2" w:rsidRDefault="003C75C2" w:rsidP="003C75C2">
            <w:pPr>
              <w:spacing w:line="440" w:lineRule="exact"/>
              <w:rPr>
                <w:rFonts w:ascii="宋体" w:eastAsia="宋体" w:hAnsi="宋体" w:cs="Times New Roman"/>
                <w:bCs/>
                <w:sz w:val="24"/>
                <w:szCs w:val="24"/>
              </w:rPr>
            </w:pPr>
            <w:r w:rsidRPr="003C75C2">
              <w:rPr>
                <w:rFonts w:ascii="宋体" w:eastAsia="宋体" w:hAnsi="宋体" w:cs="Times New Roman" w:hint="eastAsia"/>
                <w:bCs/>
                <w:sz w:val="24"/>
                <w:szCs w:val="24"/>
              </w:rPr>
              <w:t>4.3掌握机器学习、人工神经网络等人工智能核心技术以及在日常生活和工作中的应用。</w:t>
            </w:r>
          </w:p>
          <w:p w14:paraId="0CEB4068" w14:textId="77777777" w:rsidR="003C75C2" w:rsidRPr="003C75C2" w:rsidRDefault="003C75C2" w:rsidP="003C75C2">
            <w:pPr>
              <w:spacing w:line="440" w:lineRule="exact"/>
              <w:rPr>
                <w:rFonts w:ascii="宋体" w:eastAsia="宋体" w:hAnsi="宋体" w:cs="Times New Roman"/>
                <w:bCs/>
                <w:sz w:val="24"/>
                <w:szCs w:val="24"/>
              </w:rPr>
            </w:pPr>
            <w:r w:rsidRPr="003C75C2">
              <w:rPr>
                <w:rFonts w:ascii="宋体" w:eastAsia="宋体" w:hAnsi="宋体" w:cs="Times New Roman" w:hint="eastAsia"/>
                <w:bCs/>
                <w:sz w:val="24"/>
                <w:szCs w:val="24"/>
              </w:rPr>
              <w:t>4.4了解新一代信息技术的发展情况、方向及应用。</w:t>
            </w:r>
          </w:p>
        </w:tc>
      </w:tr>
      <w:tr w:rsidR="003C75C2" w:rsidRPr="003C75C2" w14:paraId="05E87CA4" w14:textId="77777777" w:rsidTr="00423AD2">
        <w:trPr>
          <w:jc w:val="center"/>
        </w:trPr>
        <w:tc>
          <w:tcPr>
            <w:tcW w:w="1422" w:type="dxa"/>
            <w:vAlign w:val="center"/>
          </w:tcPr>
          <w:p w14:paraId="3BC66807" w14:textId="77777777" w:rsidR="003C75C2" w:rsidRPr="003C75C2" w:rsidRDefault="003C75C2" w:rsidP="003C75C2">
            <w:pPr>
              <w:spacing w:line="440" w:lineRule="exact"/>
              <w:jc w:val="center"/>
              <w:rPr>
                <w:rFonts w:ascii="宋体" w:eastAsia="宋体" w:hAnsi="宋体" w:cs="Times New Roman"/>
                <w:bCs/>
                <w:sz w:val="24"/>
                <w:szCs w:val="24"/>
              </w:rPr>
            </w:pPr>
            <w:r w:rsidRPr="003C75C2">
              <w:rPr>
                <w:rFonts w:ascii="宋体" w:eastAsia="宋体" w:hAnsi="宋体" w:cs="Times New Roman" w:hint="eastAsia"/>
                <w:bCs/>
                <w:sz w:val="24"/>
                <w:szCs w:val="24"/>
              </w:rPr>
              <w:t>课程目标5</w:t>
            </w:r>
          </w:p>
        </w:tc>
        <w:tc>
          <w:tcPr>
            <w:tcW w:w="7918" w:type="dxa"/>
            <w:vAlign w:val="center"/>
          </w:tcPr>
          <w:p w14:paraId="45919BF3" w14:textId="77777777" w:rsidR="003C75C2" w:rsidRPr="003C75C2" w:rsidRDefault="003C75C2" w:rsidP="003C75C2">
            <w:pPr>
              <w:spacing w:line="440" w:lineRule="exact"/>
              <w:rPr>
                <w:rFonts w:ascii="宋体" w:eastAsia="宋体" w:hAnsi="宋体" w:cs="Times New Roman"/>
                <w:bCs/>
                <w:sz w:val="24"/>
                <w:szCs w:val="24"/>
              </w:rPr>
            </w:pPr>
            <w:r w:rsidRPr="003C75C2">
              <w:rPr>
                <w:rFonts w:ascii="宋体" w:eastAsia="宋体" w:hAnsi="宋体" w:cs="Times New Roman" w:hint="eastAsia"/>
                <w:bCs/>
                <w:sz w:val="24"/>
                <w:szCs w:val="24"/>
              </w:rPr>
              <w:t>5.1了解计算思维概念和程序设计的基本方法；</w:t>
            </w:r>
          </w:p>
          <w:p w14:paraId="7E189716" w14:textId="77777777" w:rsidR="003C75C2" w:rsidRPr="003C75C2" w:rsidRDefault="003C75C2" w:rsidP="003C75C2">
            <w:pPr>
              <w:spacing w:line="440" w:lineRule="exact"/>
              <w:rPr>
                <w:rFonts w:ascii="宋体" w:eastAsia="宋体" w:hAnsi="宋体" w:cs="Times New Roman"/>
                <w:bCs/>
                <w:sz w:val="24"/>
                <w:szCs w:val="24"/>
              </w:rPr>
            </w:pPr>
            <w:r w:rsidRPr="003C75C2">
              <w:rPr>
                <w:rFonts w:ascii="宋体" w:eastAsia="宋体" w:hAnsi="宋体" w:cs="Times New Roman" w:hint="eastAsia"/>
                <w:bCs/>
                <w:sz w:val="24"/>
                <w:szCs w:val="24"/>
              </w:rPr>
              <w:t>5.2掌握程序设计的流程和常见算法。</w:t>
            </w:r>
          </w:p>
          <w:p w14:paraId="106910B8" w14:textId="77777777" w:rsidR="003C75C2" w:rsidRPr="003C75C2" w:rsidRDefault="003C75C2" w:rsidP="003C75C2">
            <w:pPr>
              <w:spacing w:line="440" w:lineRule="exact"/>
              <w:rPr>
                <w:rFonts w:ascii="宋体" w:eastAsia="宋体" w:hAnsi="宋体" w:cs="Times New Roman"/>
                <w:bCs/>
                <w:sz w:val="24"/>
                <w:szCs w:val="24"/>
              </w:rPr>
            </w:pPr>
            <w:r w:rsidRPr="003C75C2">
              <w:rPr>
                <w:rFonts w:ascii="宋体" w:eastAsia="宋体" w:hAnsi="宋体" w:cs="Times New Roman" w:hint="eastAsia"/>
                <w:bCs/>
                <w:sz w:val="24"/>
                <w:szCs w:val="24"/>
              </w:rPr>
              <w:t>5.3具有积极正确的情感态度价值观，对待工作有耐心、有责任心，尊重学生的人格。具备人文底蕴与科学素养，能够帮助学生获取生物学知识、技能，树立正确的三观，引导学生成长。</w:t>
            </w:r>
          </w:p>
          <w:p w14:paraId="29B321B6" w14:textId="77777777" w:rsidR="003C75C2" w:rsidRPr="003C75C2" w:rsidRDefault="003C75C2" w:rsidP="003C75C2">
            <w:pPr>
              <w:spacing w:line="440" w:lineRule="exact"/>
              <w:rPr>
                <w:rFonts w:ascii="宋体" w:eastAsia="宋体" w:hAnsi="宋体" w:cs="Times New Roman"/>
                <w:bCs/>
                <w:sz w:val="24"/>
                <w:szCs w:val="24"/>
              </w:rPr>
            </w:pPr>
            <w:r w:rsidRPr="003C75C2">
              <w:rPr>
                <w:rFonts w:ascii="宋体" w:eastAsia="宋体" w:hAnsi="宋体" w:cs="Times New Roman" w:hint="eastAsia"/>
                <w:bCs/>
                <w:sz w:val="24"/>
                <w:szCs w:val="24"/>
              </w:rPr>
              <w:t>5.4 能够系统掌握团队协作与沟通交流的一般知识、方法与技能，并在教学实践中深入参与合作学习活动。</w:t>
            </w:r>
          </w:p>
          <w:p w14:paraId="582105CD" w14:textId="77777777" w:rsidR="003C75C2" w:rsidRPr="003C75C2" w:rsidRDefault="003C75C2" w:rsidP="003C75C2">
            <w:pPr>
              <w:spacing w:line="440" w:lineRule="exact"/>
              <w:rPr>
                <w:rFonts w:ascii="宋体" w:eastAsia="宋体" w:hAnsi="宋体" w:cs="Times New Roman"/>
                <w:bCs/>
                <w:sz w:val="24"/>
                <w:szCs w:val="24"/>
              </w:rPr>
            </w:pPr>
            <w:r w:rsidRPr="003C75C2">
              <w:rPr>
                <w:rFonts w:ascii="宋体" w:eastAsia="宋体" w:hAnsi="宋体" w:cs="Times New Roman" w:hint="eastAsia"/>
                <w:bCs/>
                <w:sz w:val="24"/>
                <w:szCs w:val="24"/>
              </w:rPr>
              <w:t>5.5能够</w:t>
            </w:r>
            <w:proofErr w:type="gramStart"/>
            <w:r w:rsidRPr="003C75C2">
              <w:rPr>
                <w:rFonts w:ascii="宋体" w:eastAsia="宋体" w:hAnsi="宋体" w:cs="Times New Roman" w:hint="eastAsia"/>
                <w:bCs/>
                <w:sz w:val="24"/>
                <w:szCs w:val="24"/>
              </w:rPr>
              <w:t>用相关</w:t>
            </w:r>
            <w:proofErr w:type="gramEnd"/>
            <w:r w:rsidRPr="003C75C2">
              <w:rPr>
                <w:rFonts w:ascii="宋体" w:eastAsia="宋体" w:hAnsi="宋体" w:cs="Times New Roman" w:hint="eastAsia"/>
                <w:bCs/>
                <w:sz w:val="24"/>
                <w:szCs w:val="24"/>
              </w:rPr>
              <w:t>程序设计语言解决生活中简单问题。</w:t>
            </w:r>
          </w:p>
        </w:tc>
      </w:tr>
    </w:tbl>
    <w:p w14:paraId="43025A06" w14:textId="77777777" w:rsidR="003C75C2" w:rsidRPr="003C75C2" w:rsidRDefault="003C75C2" w:rsidP="003C75C2">
      <w:pPr>
        <w:spacing w:beforeLines="50" w:before="156" w:afterLines="50" w:after="156" w:line="440" w:lineRule="exact"/>
        <w:ind w:firstLineChars="200" w:firstLine="560"/>
        <w:rPr>
          <w:rFonts w:ascii="黑体" w:eastAsia="黑体" w:hAnsi="黑体" w:cs="Times New Roman"/>
          <w:sz w:val="28"/>
          <w:szCs w:val="28"/>
        </w:rPr>
      </w:pPr>
      <w:r w:rsidRPr="003C75C2">
        <w:rPr>
          <w:rFonts w:ascii="黑体" w:eastAsia="黑体" w:hAnsi="黑体" w:cs="Times New Roman" w:hint="eastAsia"/>
          <w:sz w:val="28"/>
          <w:szCs w:val="28"/>
        </w:rPr>
        <w:t>（二）课程考核方式</w:t>
      </w:r>
    </w:p>
    <w:p w14:paraId="4C4465BB" w14:textId="77777777" w:rsidR="003C75C2" w:rsidRPr="003C75C2" w:rsidRDefault="003C75C2" w:rsidP="003C75C2">
      <w:pPr>
        <w:spacing w:line="320" w:lineRule="exact"/>
        <w:ind w:firstLineChars="200" w:firstLine="480"/>
        <w:jc w:val="left"/>
        <w:rPr>
          <w:rFonts w:ascii="宋体" w:eastAsia="宋体" w:hAnsi="宋体" w:cs="Times New Roman"/>
          <w:szCs w:val="21"/>
        </w:rPr>
      </w:pPr>
      <w:r w:rsidRPr="003C75C2">
        <w:rPr>
          <w:rFonts w:ascii="宋体" w:eastAsia="宋体" w:hAnsi="宋体" w:cs="Times New Roman" w:hint="eastAsia"/>
          <w:sz w:val="24"/>
          <w:szCs w:val="24"/>
        </w:rPr>
        <w:t>课程考核采用阶段性考核：</w:t>
      </w:r>
    </w:p>
    <w:p w14:paraId="76FF90B2" w14:textId="77777777" w:rsidR="003C75C2" w:rsidRPr="003C75C2" w:rsidRDefault="003C75C2" w:rsidP="003C75C2">
      <w:pPr>
        <w:spacing w:line="320" w:lineRule="exact"/>
        <w:ind w:firstLineChars="200" w:firstLine="420"/>
        <w:jc w:val="center"/>
        <w:rPr>
          <w:rFonts w:ascii="Arial" w:eastAsia="宋体" w:hAnsi="Arial" w:cs="Arial"/>
          <w:kern w:val="0"/>
          <w:szCs w:val="21"/>
        </w:rPr>
      </w:pPr>
      <w:r w:rsidRPr="003C75C2">
        <w:rPr>
          <w:rFonts w:ascii="宋体" w:eastAsia="宋体" w:hAnsi="宋体" w:cs="Times New Roman" w:hint="eastAsia"/>
          <w:szCs w:val="21"/>
        </w:rPr>
        <w:t>表2 课程考核设计</w:t>
      </w:r>
      <w:r w:rsidRPr="003C75C2">
        <w:rPr>
          <w:rFonts w:ascii="Arial" w:eastAsia="宋体" w:hAnsi="Arial" w:cs="Arial"/>
          <w:kern w:val="0"/>
          <w:szCs w:val="21"/>
        </w:rPr>
        <w:t> </w:t>
      </w:r>
    </w:p>
    <w:tbl>
      <w:tblPr>
        <w:tblW w:w="495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41"/>
        <w:gridCol w:w="1590"/>
        <w:gridCol w:w="1590"/>
        <w:gridCol w:w="1590"/>
        <w:gridCol w:w="1590"/>
        <w:gridCol w:w="1588"/>
      </w:tblGrid>
      <w:tr w:rsidR="003C75C2" w:rsidRPr="003C75C2" w14:paraId="6A2E4F22" w14:textId="77777777" w:rsidTr="00423AD2">
        <w:tc>
          <w:tcPr>
            <w:tcW w:w="416" w:type="pct"/>
            <w:vMerge w:val="restart"/>
            <w:tcBorders>
              <w:top w:val="single" w:sz="4" w:space="0" w:color="000000"/>
              <w:left w:val="single" w:sz="4" w:space="0" w:color="000000"/>
              <w:bottom w:val="single" w:sz="4" w:space="0" w:color="000000"/>
              <w:right w:val="single" w:sz="4" w:space="0" w:color="000000"/>
            </w:tcBorders>
            <w:vAlign w:val="center"/>
          </w:tcPr>
          <w:p w14:paraId="455EEDBB"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宋体" w:eastAsia="宋体" w:hAnsi="宋体" w:cs="Arial" w:hint="eastAsia"/>
                <w:kern w:val="0"/>
                <w:szCs w:val="21"/>
              </w:rPr>
              <w:t>考核环节</w:t>
            </w:r>
          </w:p>
        </w:tc>
        <w:tc>
          <w:tcPr>
            <w:tcW w:w="4584" w:type="pct"/>
            <w:gridSpan w:val="5"/>
            <w:tcBorders>
              <w:top w:val="single" w:sz="4" w:space="0" w:color="000000"/>
              <w:left w:val="single" w:sz="4" w:space="0" w:color="000000"/>
              <w:bottom w:val="single" w:sz="4" w:space="0" w:color="000000"/>
              <w:right w:val="single" w:sz="4" w:space="0" w:color="auto"/>
            </w:tcBorders>
          </w:tcPr>
          <w:p w14:paraId="65D2FC84"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阶段考核</w:t>
            </w:r>
          </w:p>
        </w:tc>
      </w:tr>
      <w:tr w:rsidR="003C75C2" w:rsidRPr="003C75C2" w14:paraId="329B2AD7" w14:textId="77777777" w:rsidTr="00423AD2">
        <w:tc>
          <w:tcPr>
            <w:tcW w:w="416" w:type="pct"/>
            <w:vMerge/>
            <w:tcBorders>
              <w:top w:val="single" w:sz="4" w:space="0" w:color="000000"/>
              <w:left w:val="single" w:sz="4" w:space="0" w:color="000000"/>
              <w:bottom w:val="single" w:sz="4" w:space="0" w:color="000000"/>
              <w:right w:val="single" w:sz="4" w:space="0" w:color="000000"/>
            </w:tcBorders>
            <w:vAlign w:val="center"/>
          </w:tcPr>
          <w:p w14:paraId="0D9EBCDF" w14:textId="77777777" w:rsidR="003C75C2" w:rsidRPr="003C75C2" w:rsidRDefault="003C75C2" w:rsidP="003C75C2">
            <w:pPr>
              <w:widowControl/>
              <w:jc w:val="left"/>
              <w:rPr>
                <w:rFonts w:ascii="Arial" w:eastAsia="宋体" w:hAnsi="Arial" w:cs="Arial"/>
                <w:kern w:val="0"/>
                <w:szCs w:val="21"/>
              </w:rPr>
            </w:pPr>
          </w:p>
        </w:tc>
        <w:tc>
          <w:tcPr>
            <w:tcW w:w="917" w:type="pct"/>
            <w:tcBorders>
              <w:top w:val="single" w:sz="4" w:space="0" w:color="000000"/>
              <w:left w:val="single" w:sz="4" w:space="0" w:color="000000"/>
              <w:bottom w:val="single" w:sz="4" w:space="0" w:color="000000"/>
              <w:right w:val="single" w:sz="4" w:space="0" w:color="000000"/>
            </w:tcBorders>
            <w:vAlign w:val="center"/>
          </w:tcPr>
          <w:p w14:paraId="1DC0719C"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第一阶段</w:t>
            </w:r>
          </w:p>
        </w:tc>
        <w:tc>
          <w:tcPr>
            <w:tcW w:w="917" w:type="pct"/>
            <w:tcBorders>
              <w:top w:val="single" w:sz="4" w:space="0" w:color="000000"/>
              <w:left w:val="single" w:sz="4" w:space="0" w:color="000000"/>
              <w:bottom w:val="single" w:sz="4" w:space="0" w:color="000000"/>
              <w:right w:val="single" w:sz="4" w:space="0" w:color="000000"/>
            </w:tcBorders>
            <w:vAlign w:val="center"/>
          </w:tcPr>
          <w:p w14:paraId="7AD322CB"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第二阶段</w:t>
            </w:r>
          </w:p>
        </w:tc>
        <w:tc>
          <w:tcPr>
            <w:tcW w:w="917" w:type="pct"/>
            <w:tcBorders>
              <w:top w:val="single" w:sz="4" w:space="0" w:color="000000"/>
              <w:left w:val="single" w:sz="4" w:space="0" w:color="000000"/>
              <w:bottom w:val="single" w:sz="4" w:space="0" w:color="000000"/>
              <w:right w:val="single" w:sz="4" w:space="0" w:color="auto"/>
            </w:tcBorders>
            <w:vAlign w:val="center"/>
          </w:tcPr>
          <w:p w14:paraId="10EABDA2"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第三阶段</w:t>
            </w:r>
          </w:p>
        </w:tc>
        <w:tc>
          <w:tcPr>
            <w:tcW w:w="917" w:type="pct"/>
            <w:tcBorders>
              <w:top w:val="single" w:sz="4" w:space="0" w:color="000000"/>
              <w:left w:val="single" w:sz="4" w:space="0" w:color="auto"/>
              <w:bottom w:val="single" w:sz="4" w:space="0" w:color="000000"/>
              <w:right w:val="single" w:sz="4" w:space="0" w:color="auto"/>
            </w:tcBorders>
            <w:vAlign w:val="center"/>
          </w:tcPr>
          <w:p w14:paraId="1879BB4F"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第四阶段</w:t>
            </w:r>
          </w:p>
        </w:tc>
        <w:tc>
          <w:tcPr>
            <w:tcW w:w="918" w:type="pct"/>
            <w:tcBorders>
              <w:top w:val="single" w:sz="4" w:space="0" w:color="000000"/>
              <w:left w:val="single" w:sz="4" w:space="0" w:color="auto"/>
              <w:bottom w:val="single" w:sz="4" w:space="0" w:color="000000"/>
              <w:right w:val="single" w:sz="4" w:space="0" w:color="auto"/>
            </w:tcBorders>
            <w:vAlign w:val="center"/>
          </w:tcPr>
          <w:p w14:paraId="111375CE"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宋体" w:eastAsia="宋体" w:hAnsi="宋体" w:cs="Arial" w:hint="eastAsia"/>
                <w:kern w:val="0"/>
                <w:szCs w:val="21"/>
              </w:rPr>
              <w:t>第五阶段</w:t>
            </w:r>
          </w:p>
        </w:tc>
      </w:tr>
      <w:tr w:rsidR="003C75C2" w:rsidRPr="003C75C2" w14:paraId="64D88CD2" w14:textId="77777777" w:rsidTr="00423AD2">
        <w:tc>
          <w:tcPr>
            <w:tcW w:w="416" w:type="pct"/>
            <w:tcBorders>
              <w:top w:val="single" w:sz="4" w:space="0" w:color="000000"/>
              <w:left w:val="single" w:sz="4" w:space="0" w:color="000000"/>
              <w:bottom w:val="single" w:sz="4" w:space="0" w:color="000000"/>
              <w:right w:val="single" w:sz="4" w:space="0" w:color="000000"/>
            </w:tcBorders>
          </w:tcPr>
          <w:p w14:paraId="05C74D21"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宋体" w:eastAsia="宋体" w:hAnsi="宋体" w:cs="Arial" w:hint="eastAsia"/>
                <w:kern w:val="0"/>
                <w:szCs w:val="21"/>
              </w:rPr>
              <w:t>权重（%）</w:t>
            </w:r>
          </w:p>
        </w:tc>
        <w:tc>
          <w:tcPr>
            <w:tcW w:w="917" w:type="pct"/>
            <w:tcBorders>
              <w:top w:val="single" w:sz="4" w:space="0" w:color="000000"/>
              <w:left w:val="single" w:sz="4" w:space="0" w:color="000000"/>
              <w:bottom w:val="single" w:sz="4" w:space="0" w:color="000000"/>
              <w:right w:val="single" w:sz="4" w:space="0" w:color="000000"/>
            </w:tcBorders>
            <w:vAlign w:val="center"/>
          </w:tcPr>
          <w:p w14:paraId="49E6A85B"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20</w:t>
            </w:r>
          </w:p>
        </w:tc>
        <w:tc>
          <w:tcPr>
            <w:tcW w:w="917" w:type="pct"/>
            <w:tcBorders>
              <w:top w:val="single" w:sz="4" w:space="0" w:color="000000"/>
              <w:left w:val="single" w:sz="4" w:space="0" w:color="000000"/>
              <w:bottom w:val="single" w:sz="4" w:space="0" w:color="000000"/>
              <w:right w:val="single" w:sz="4" w:space="0" w:color="000000"/>
            </w:tcBorders>
            <w:vAlign w:val="center"/>
          </w:tcPr>
          <w:p w14:paraId="30D57BD5"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20</w:t>
            </w:r>
          </w:p>
        </w:tc>
        <w:tc>
          <w:tcPr>
            <w:tcW w:w="917" w:type="pct"/>
            <w:tcBorders>
              <w:top w:val="single" w:sz="4" w:space="0" w:color="000000"/>
              <w:left w:val="single" w:sz="4" w:space="0" w:color="000000"/>
              <w:bottom w:val="single" w:sz="4" w:space="0" w:color="000000"/>
              <w:right w:val="single" w:sz="4" w:space="0" w:color="000000"/>
            </w:tcBorders>
            <w:vAlign w:val="center"/>
          </w:tcPr>
          <w:p w14:paraId="08FC6CE1"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20</w:t>
            </w:r>
          </w:p>
        </w:tc>
        <w:tc>
          <w:tcPr>
            <w:tcW w:w="917" w:type="pct"/>
            <w:tcBorders>
              <w:top w:val="single" w:sz="4" w:space="0" w:color="000000"/>
              <w:left w:val="single" w:sz="4" w:space="0" w:color="000000"/>
              <w:bottom w:val="single" w:sz="4" w:space="0" w:color="000000"/>
              <w:right w:val="single" w:sz="4" w:space="0" w:color="auto"/>
            </w:tcBorders>
            <w:vAlign w:val="center"/>
          </w:tcPr>
          <w:p w14:paraId="56E9A6B0"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20</w:t>
            </w:r>
          </w:p>
        </w:tc>
        <w:tc>
          <w:tcPr>
            <w:tcW w:w="918" w:type="pct"/>
            <w:tcBorders>
              <w:top w:val="single" w:sz="4" w:space="0" w:color="000000"/>
              <w:left w:val="single" w:sz="4" w:space="0" w:color="auto"/>
              <w:bottom w:val="single" w:sz="4" w:space="0" w:color="000000"/>
              <w:right w:val="single" w:sz="4" w:space="0" w:color="000000"/>
            </w:tcBorders>
            <w:vAlign w:val="center"/>
          </w:tcPr>
          <w:p w14:paraId="5CAC9B8E"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20</w:t>
            </w:r>
          </w:p>
        </w:tc>
      </w:tr>
      <w:tr w:rsidR="003C75C2" w:rsidRPr="003C75C2" w14:paraId="36180B34" w14:textId="77777777" w:rsidTr="00423AD2">
        <w:tc>
          <w:tcPr>
            <w:tcW w:w="416" w:type="pct"/>
            <w:tcBorders>
              <w:top w:val="single" w:sz="4" w:space="0" w:color="000000"/>
              <w:left w:val="single" w:sz="4" w:space="0" w:color="000000"/>
              <w:bottom w:val="single" w:sz="4" w:space="0" w:color="000000"/>
              <w:right w:val="single" w:sz="4" w:space="0" w:color="000000"/>
            </w:tcBorders>
            <w:vAlign w:val="center"/>
          </w:tcPr>
          <w:p w14:paraId="629F4641"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宋体" w:eastAsia="宋体" w:hAnsi="宋体" w:cs="Arial" w:hint="eastAsia"/>
                <w:kern w:val="0"/>
                <w:szCs w:val="21"/>
              </w:rPr>
              <w:t>考核内容</w:t>
            </w:r>
          </w:p>
        </w:tc>
        <w:tc>
          <w:tcPr>
            <w:tcW w:w="917" w:type="pct"/>
            <w:tcBorders>
              <w:top w:val="single" w:sz="4" w:space="0" w:color="000000"/>
              <w:left w:val="single" w:sz="4" w:space="0" w:color="000000"/>
              <w:bottom w:val="single" w:sz="4" w:space="0" w:color="000000"/>
              <w:right w:val="single" w:sz="4" w:space="0" w:color="000000"/>
            </w:tcBorders>
            <w:vAlign w:val="center"/>
          </w:tcPr>
          <w:p w14:paraId="13571005"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计算机系统</w:t>
            </w:r>
          </w:p>
        </w:tc>
        <w:tc>
          <w:tcPr>
            <w:tcW w:w="917" w:type="pct"/>
            <w:tcBorders>
              <w:top w:val="single" w:sz="4" w:space="0" w:color="000000"/>
              <w:left w:val="single" w:sz="4" w:space="0" w:color="000000"/>
              <w:bottom w:val="single" w:sz="4" w:space="0" w:color="000000"/>
              <w:right w:val="single" w:sz="4" w:space="0" w:color="000000"/>
            </w:tcBorders>
            <w:vAlign w:val="center"/>
          </w:tcPr>
          <w:p w14:paraId="0E0E5295"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宋体" w:eastAsia="宋体" w:hAnsi="宋体" w:cs="Arial" w:hint="eastAsia"/>
                <w:kern w:val="0"/>
                <w:szCs w:val="21"/>
              </w:rPr>
              <w:t>计算机网络技术</w:t>
            </w:r>
          </w:p>
        </w:tc>
        <w:tc>
          <w:tcPr>
            <w:tcW w:w="917" w:type="pct"/>
            <w:tcBorders>
              <w:top w:val="single" w:sz="4" w:space="0" w:color="000000"/>
              <w:left w:val="single" w:sz="4" w:space="0" w:color="000000"/>
              <w:bottom w:val="single" w:sz="4" w:space="0" w:color="000000"/>
              <w:right w:val="single" w:sz="4" w:space="0" w:color="000000"/>
            </w:tcBorders>
            <w:vAlign w:val="center"/>
          </w:tcPr>
          <w:p w14:paraId="5682CB89"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宋体" w:eastAsia="宋体" w:hAnsi="宋体" w:cs="Arial" w:hint="eastAsia"/>
                <w:kern w:val="0"/>
                <w:szCs w:val="21"/>
              </w:rPr>
              <w:t>新一代信息技术</w:t>
            </w:r>
          </w:p>
        </w:tc>
        <w:tc>
          <w:tcPr>
            <w:tcW w:w="917" w:type="pct"/>
            <w:tcBorders>
              <w:top w:val="single" w:sz="4" w:space="0" w:color="000000"/>
              <w:left w:val="single" w:sz="4" w:space="0" w:color="000000"/>
              <w:bottom w:val="single" w:sz="4" w:space="0" w:color="000000"/>
              <w:right w:val="single" w:sz="4" w:space="0" w:color="auto"/>
            </w:tcBorders>
            <w:vAlign w:val="center"/>
          </w:tcPr>
          <w:p w14:paraId="72C72374"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宋体" w:eastAsia="宋体" w:hAnsi="宋体" w:cs="Arial" w:hint="eastAsia"/>
                <w:kern w:val="0"/>
                <w:szCs w:val="21"/>
              </w:rPr>
              <w:t>算法设计</w:t>
            </w:r>
          </w:p>
        </w:tc>
        <w:tc>
          <w:tcPr>
            <w:tcW w:w="918" w:type="pct"/>
            <w:tcBorders>
              <w:top w:val="single" w:sz="4" w:space="0" w:color="000000"/>
              <w:left w:val="single" w:sz="4" w:space="0" w:color="auto"/>
              <w:bottom w:val="single" w:sz="4" w:space="0" w:color="000000"/>
              <w:right w:val="single" w:sz="4" w:space="0" w:color="000000"/>
            </w:tcBorders>
            <w:vAlign w:val="center"/>
          </w:tcPr>
          <w:p w14:paraId="5CA80D6E"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计算思维综合</w:t>
            </w:r>
          </w:p>
        </w:tc>
      </w:tr>
      <w:tr w:rsidR="003C75C2" w:rsidRPr="003C75C2" w14:paraId="5F0A3AE9" w14:textId="77777777" w:rsidTr="00423AD2">
        <w:tc>
          <w:tcPr>
            <w:tcW w:w="416" w:type="pct"/>
            <w:tcBorders>
              <w:top w:val="single" w:sz="4" w:space="0" w:color="000000"/>
              <w:left w:val="single" w:sz="4" w:space="0" w:color="000000"/>
              <w:bottom w:val="single" w:sz="4" w:space="0" w:color="000000"/>
              <w:right w:val="single" w:sz="4" w:space="0" w:color="000000"/>
            </w:tcBorders>
            <w:vAlign w:val="center"/>
          </w:tcPr>
          <w:p w14:paraId="5372A65A"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宋体" w:eastAsia="宋体" w:hAnsi="宋体" w:cs="Arial" w:hint="eastAsia"/>
                <w:kern w:val="0"/>
                <w:szCs w:val="21"/>
              </w:rPr>
              <w:t>毕业要求指标点</w:t>
            </w:r>
          </w:p>
        </w:tc>
        <w:tc>
          <w:tcPr>
            <w:tcW w:w="917" w:type="pct"/>
            <w:tcBorders>
              <w:top w:val="single" w:sz="4" w:space="0" w:color="000000"/>
              <w:left w:val="single" w:sz="4" w:space="0" w:color="000000"/>
              <w:bottom w:val="single" w:sz="4" w:space="0" w:color="000000"/>
              <w:right w:val="single" w:sz="4" w:space="0" w:color="000000"/>
            </w:tcBorders>
            <w:vAlign w:val="center"/>
          </w:tcPr>
          <w:p w14:paraId="7064AA14"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4、6</w:t>
            </w:r>
          </w:p>
        </w:tc>
        <w:tc>
          <w:tcPr>
            <w:tcW w:w="917" w:type="pct"/>
            <w:tcBorders>
              <w:top w:val="single" w:sz="4" w:space="0" w:color="000000"/>
              <w:left w:val="single" w:sz="4" w:space="0" w:color="000000"/>
              <w:bottom w:val="single" w:sz="4" w:space="0" w:color="000000"/>
              <w:right w:val="single" w:sz="4" w:space="0" w:color="000000"/>
            </w:tcBorders>
            <w:vAlign w:val="center"/>
          </w:tcPr>
          <w:p w14:paraId="60DDA3DF"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宋体" w:eastAsia="宋体" w:hAnsi="宋体" w:cs="Arial" w:hint="eastAsia"/>
                <w:kern w:val="0"/>
                <w:szCs w:val="21"/>
              </w:rPr>
              <w:t>6、8</w:t>
            </w:r>
          </w:p>
        </w:tc>
        <w:tc>
          <w:tcPr>
            <w:tcW w:w="917" w:type="pct"/>
            <w:tcBorders>
              <w:top w:val="single" w:sz="4" w:space="0" w:color="000000"/>
              <w:left w:val="single" w:sz="4" w:space="0" w:color="000000"/>
              <w:bottom w:val="single" w:sz="4" w:space="0" w:color="000000"/>
              <w:right w:val="single" w:sz="4" w:space="0" w:color="000000"/>
            </w:tcBorders>
            <w:vAlign w:val="center"/>
          </w:tcPr>
          <w:p w14:paraId="31E47D5A"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宋体" w:eastAsia="宋体" w:hAnsi="宋体" w:cs="Arial" w:hint="eastAsia"/>
                <w:kern w:val="0"/>
                <w:szCs w:val="21"/>
              </w:rPr>
              <w:t>6、8</w:t>
            </w:r>
          </w:p>
        </w:tc>
        <w:tc>
          <w:tcPr>
            <w:tcW w:w="917" w:type="pct"/>
            <w:tcBorders>
              <w:top w:val="single" w:sz="4" w:space="0" w:color="000000"/>
              <w:left w:val="single" w:sz="4" w:space="0" w:color="000000"/>
              <w:bottom w:val="single" w:sz="4" w:space="0" w:color="000000"/>
              <w:right w:val="single" w:sz="4" w:space="0" w:color="auto"/>
            </w:tcBorders>
            <w:vAlign w:val="center"/>
          </w:tcPr>
          <w:p w14:paraId="25A9A948"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宋体" w:eastAsia="宋体" w:hAnsi="宋体" w:cs="Arial" w:hint="eastAsia"/>
                <w:kern w:val="0"/>
                <w:szCs w:val="21"/>
              </w:rPr>
              <w:t>6</w:t>
            </w:r>
          </w:p>
        </w:tc>
        <w:tc>
          <w:tcPr>
            <w:tcW w:w="918" w:type="pct"/>
            <w:tcBorders>
              <w:top w:val="single" w:sz="4" w:space="0" w:color="000000"/>
              <w:left w:val="single" w:sz="4" w:space="0" w:color="auto"/>
              <w:bottom w:val="single" w:sz="4" w:space="0" w:color="000000"/>
              <w:right w:val="single" w:sz="4" w:space="0" w:color="000000"/>
            </w:tcBorders>
            <w:vAlign w:val="center"/>
          </w:tcPr>
          <w:p w14:paraId="78D002D9"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4、6</w:t>
            </w:r>
          </w:p>
        </w:tc>
      </w:tr>
      <w:tr w:rsidR="003C75C2" w:rsidRPr="003C75C2" w14:paraId="1DDD61F3" w14:textId="77777777" w:rsidTr="00423AD2">
        <w:tc>
          <w:tcPr>
            <w:tcW w:w="416" w:type="pct"/>
            <w:tcBorders>
              <w:top w:val="single" w:sz="4" w:space="0" w:color="000000"/>
              <w:left w:val="single" w:sz="4" w:space="0" w:color="000000"/>
              <w:bottom w:val="single" w:sz="4" w:space="0" w:color="000000"/>
              <w:right w:val="single" w:sz="4" w:space="0" w:color="000000"/>
            </w:tcBorders>
            <w:vAlign w:val="center"/>
          </w:tcPr>
          <w:p w14:paraId="2682F50E"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宋体" w:eastAsia="宋体" w:hAnsi="宋体" w:cs="宋体" w:hint="eastAsia"/>
                <w:b/>
                <w:bCs/>
                <w:kern w:val="0"/>
                <w:szCs w:val="21"/>
              </w:rPr>
              <w:lastRenderedPageBreak/>
              <w:t>考核方式的</w:t>
            </w:r>
          </w:p>
          <w:p w14:paraId="08FFEFF5"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宋体" w:eastAsia="宋体" w:hAnsi="宋体" w:cs="宋体" w:hint="eastAsia"/>
                <w:b/>
                <w:bCs/>
                <w:kern w:val="0"/>
                <w:szCs w:val="21"/>
              </w:rPr>
              <w:t>合理性说明</w:t>
            </w:r>
          </w:p>
        </w:tc>
        <w:tc>
          <w:tcPr>
            <w:tcW w:w="917" w:type="pct"/>
            <w:tcBorders>
              <w:top w:val="single" w:sz="4" w:space="0" w:color="000000"/>
              <w:left w:val="single" w:sz="4" w:space="0" w:color="000000"/>
              <w:bottom w:val="single" w:sz="4" w:space="0" w:color="000000"/>
              <w:right w:val="single" w:sz="4" w:space="0" w:color="000000"/>
            </w:tcBorders>
            <w:vAlign w:val="center"/>
          </w:tcPr>
          <w:p w14:paraId="5DA5439F"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通过大作业形式考核学生对计算机软硬件系统的掌握程度，计算机系统是计算思维的基础部分，理解和掌握上述知识，便具有解决计算机软硬件问题所必需的计算机相关知识</w:t>
            </w:r>
          </w:p>
        </w:tc>
        <w:tc>
          <w:tcPr>
            <w:tcW w:w="917" w:type="pct"/>
            <w:tcBorders>
              <w:top w:val="single" w:sz="4" w:space="0" w:color="000000"/>
              <w:left w:val="single" w:sz="4" w:space="0" w:color="000000"/>
              <w:bottom w:val="single" w:sz="4" w:space="0" w:color="000000"/>
              <w:right w:val="single" w:sz="4" w:space="0" w:color="000000"/>
            </w:tcBorders>
            <w:vAlign w:val="center"/>
          </w:tcPr>
          <w:p w14:paraId="28201EC1"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Arial" w:eastAsia="宋体" w:hAnsi="Arial" w:cs="Arial" w:hint="eastAsia"/>
                <w:kern w:val="0"/>
                <w:szCs w:val="21"/>
              </w:rPr>
              <w:t>通过大作业形式考核学生对计算机网络知识的掌握程度，网络技术也是实际工作中必要的技能，也是计算机应用关键部分。</w:t>
            </w:r>
          </w:p>
        </w:tc>
        <w:tc>
          <w:tcPr>
            <w:tcW w:w="917" w:type="pct"/>
            <w:tcBorders>
              <w:top w:val="single" w:sz="4" w:space="0" w:color="000000"/>
              <w:left w:val="single" w:sz="4" w:space="0" w:color="000000"/>
              <w:bottom w:val="single" w:sz="4" w:space="0" w:color="000000"/>
              <w:right w:val="single" w:sz="4" w:space="0" w:color="000000"/>
            </w:tcBorders>
            <w:vAlign w:val="center"/>
          </w:tcPr>
          <w:p w14:paraId="73488C7B" w14:textId="77777777" w:rsidR="003C75C2" w:rsidRPr="003C75C2" w:rsidRDefault="003C75C2" w:rsidP="003C75C2">
            <w:pPr>
              <w:widowControl/>
              <w:snapToGrid w:val="0"/>
              <w:jc w:val="center"/>
              <w:rPr>
                <w:rFonts w:ascii="Arial" w:eastAsia="宋体" w:hAnsi="Arial" w:cs="Arial"/>
                <w:kern w:val="0"/>
                <w:szCs w:val="21"/>
              </w:rPr>
            </w:pPr>
            <w:r w:rsidRPr="003C75C2">
              <w:rPr>
                <w:rFonts w:ascii="Arial" w:eastAsia="宋体" w:hAnsi="Arial" w:cs="Arial" w:hint="eastAsia"/>
                <w:kern w:val="0"/>
                <w:szCs w:val="21"/>
              </w:rPr>
              <w:t>通过大作业形式考核学生对新一代信息技术的掌握程度，新一代信息技术代表了技术前沿，了解并思考与专业的结合关系和应用方向。</w:t>
            </w:r>
          </w:p>
        </w:tc>
        <w:tc>
          <w:tcPr>
            <w:tcW w:w="917" w:type="pct"/>
            <w:tcBorders>
              <w:top w:val="single" w:sz="4" w:space="0" w:color="000000"/>
              <w:left w:val="single" w:sz="4" w:space="0" w:color="000000"/>
              <w:bottom w:val="single" w:sz="4" w:space="0" w:color="000000"/>
              <w:right w:val="single" w:sz="4" w:space="0" w:color="auto"/>
            </w:tcBorders>
            <w:vAlign w:val="center"/>
          </w:tcPr>
          <w:p w14:paraId="414237A1"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Arial" w:eastAsia="宋体" w:hAnsi="Arial" w:cs="Arial" w:hint="eastAsia"/>
                <w:kern w:val="0"/>
                <w:szCs w:val="21"/>
              </w:rPr>
              <w:t>通过大作业形式考核学生对经典算法的了解和对算法设计的掌握程度，算法设计是程序设计的首要内容，是程序设计的基础。同时也是计算思维的基础</w:t>
            </w:r>
          </w:p>
        </w:tc>
        <w:tc>
          <w:tcPr>
            <w:tcW w:w="918" w:type="pct"/>
            <w:tcBorders>
              <w:top w:val="single" w:sz="4" w:space="0" w:color="000000"/>
              <w:left w:val="single" w:sz="4" w:space="0" w:color="auto"/>
              <w:bottom w:val="single" w:sz="4" w:space="0" w:color="000000"/>
              <w:right w:val="single" w:sz="4" w:space="0" w:color="000000"/>
            </w:tcBorders>
            <w:vAlign w:val="center"/>
          </w:tcPr>
          <w:p w14:paraId="245CF986"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通过大作业形式考核学生对计算思维概念和程序设计编写的掌握程度，计算思维综合是计算思维的核心部分，掌握程序设计语言基础、编写规则和程序设计方法，可以对问题分析、设计程序和完成结果。</w:t>
            </w:r>
          </w:p>
        </w:tc>
      </w:tr>
      <w:tr w:rsidR="003C75C2" w:rsidRPr="003C75C2" w14:paraId="060632EF" w14:textId="77777777" w:rsidTr="00423AD2">
        <w:tc>
          <w:tcPr>
            <w:tcW w:w="416" w:type="pct"/>
            <w:tcBorders>
              <w:top w:val="single" w:sz="4" w:space="0" w:color="000000"/>
              <w:left w:val="single" w:sz="4" w:space="0" w:color="000000"/>
              <w:bottom w:val="single" w:sz="4" w:space="0" w:color="000000"/>
              <w:right w:val="single" w:sz="4" w:space="0" w:color="000000"/>
            </w:tcBorders>
            <w:vAlign w:val="center"/>
          </w:tcPr>
          <w:p w14:paraId="510359B4"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宋体" w:eastAsia="宋体" w:hAnsi="宋体" w:cs="Arial" w:hint="eastAsia"/>
                <w:kern w:val="0"/>
                <w:szCs w:val="21"/>
              </w:rPr>
              <w:t>考核时间</w:t>
            </w:r>
          </w:p>
        </w:tc>
        <w:tc>
          <w:tcPr>
            <w:tcW w:w="917" w:type="pct"/>
            <w:tcBorders>
              <w:top w:val="single" w:sz="4" w:space="0" w:color="000000"/>
              <w:left w:val="single" w:sz="4" w:space="0" w:color="000000"/>
              <w:bottom w:val="single" w:sz="4" w:space="0" w:color="000000"/>
              <w:right w:val="single" w:sz="4" w:space="0" w:color="000000"/>
            </w:tcBorders>
            <w:vAlign w:val="center"/>
          </w:tcPr>
          <w:p w14:paraId="08953199" w14:textId="77777777" w:rsidR="003C75C2" w:rsidRPr="003C75C2" w:rsidRDefault="003C75C2" w:rsidP="003C75C2">
            <w:pPr>
              <w:widowControl/>
              <w:spacing w:line="320" w:lineRule="exact"/>
              <w:jc w:val="center"/>
              <w:rPr>
                <w:rFonts w:ascii="宋体" w:eastAsia="宋体" w:hAnsi="宋体" w:cs="Arial"/>
                <w:kern w:val="0"/>
                <w:szCs w:val="21"/>
              </w:rPr>
            </w:pPr>
            <w:r w:rsidRPr="003C75C2">
              <w:rPr>
                <w:rFonts w:ascii="宋体" w:eastAsia="宋体" w:hAnsi="宋体" w:cs="Arial" w:hint="eastAsia"/>
                <w:kern w:val="0"/>
                <w:szCs w:val="21"/>
              </w:rPr>
              <w:t>第一周</w:t>
            </w:r>
          </w:p>
        </w:tc>
        <w:tc>
          <w:tcPr>
            <w:tcW w:w="917" w:type="pct"/>
            <w:tcBorders>
              <w:top w:val="single" w:sz="4" w:space="0" w:color="000000"/>
              <w:left w:val="single" w:sz="4" w:space="0" w:color="000000"/>
              <w:bottom w:val="single" w:sz="4" w:space="0" w:color="000000"/>
              <w:right w:val="single" w:sz="4" w:space="0" w:color="000000"/>
            </w:tcBorders>
            <w:vAlign w:val="center"/>
          </w:tcPr>
          <w:p w14:paraId="5E9C80F0"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Arial" w:eastAsia="宋体" w:hAnsi="Arial" w:cs="Arial" w:hint="eastAsia"/>
                <w:kern w:val="0"/>
                <w:szCs w:val="21"/>
              </w:rPr>
              <w:t>第三周</w:t>
            </w:r>
          </w:p>
        </w:tc>
        <w:tc>
          <w:tcPr>
            <w:tcW w:w="917" w:type="pct"/>
            <w:tcBorders>
              <w:top w:val="single" w:sz="4" w:space="0" w:color="000000"/>
              <w:left w:val="single" w:sz="4" w:space="0" w:color="000000"/>
              <w:bottom w:val="single" w:sz="4" w:space="0" w:color="000000"/>
              <w:right w:val="single" w:sz="4" w:space="0" w:color="000000"/>
            </w:tcBorders>
            <w:vAlign w:val="center"/>
          </w:tcPr>
          <w:p w14:paraId="350B6688"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Arial" w:eastAsia="宋体" w:hAnsi="Arial" w:cs="Arial" w:hint="eastAsia"/>
                <w:kern w:val="0"/>
                <w:szCs w:val="21"/>
              </w:rPr>
              <w:t>第四周</w:t>
            </w:r>
          </w:p>
        </w:tc>
        <w:tc>
          <w:tcPr>
            <w:tcW w:w="917" w:type="pct"/>
            <w:tcBorders>
              <w:top w:val="single" w:sz="4" w:space="0" w:color="000000"/>
              <w:left w:val="single" w:sz="4" w:space="0" w:color="000000"/>
              <w:bottom w:val="single" w:sz="4" w:space="0" w:color="000000"/>
              <w:right w:val="single" w:sz="4" w:space="0" w:color="auto"/>
            </w:tcBorders>
            <w:vAlign w:val="center"/>
          </w:tcPr>
          <w:p w14:paraId="1169461A"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Arial" w:eastAsia="宋体" w:hAnsi="Arial" w:cs="Arial" w:hint="eastAsia"/>
                <w:kern w:val="0"/>
                <w:szCs w:val="21"/>
              </w:rPr>
              <w:t>第七周</w:t>
            </w:r>
          </w:p>
        </w:tc>
        <w:tc>
          <w:tcPr>
            <w:tcW w:w="918" w:type="pct"/>
            <w:tcBorders>
              <w:top w:val="single" w:sz="4" w:space="0" w:color="000000"/>
              <w:left w:val="single" w:sz="4" w:space="0" w:color="auto"/>
              <w:bottom w:val="single" w:sz="4" w:space="0" w:color="000000"/>
              <w:right w:val="single" w:sz="4" w:space="0" w:color="000000"/>
            </w:tcBorders>
            <w:vAlign w:val="center"/>
          </w:tcPr>
          <w:p w14:paraId="0EB30CFE" w14:textId="77777777" w:rsidR="003C75C2" w:rsidRPr="003C75C2" w:rsidRDefault="003C75C2" w:rsidP="003C75C2">
            <w:pPr>
              <w:widowControl/>
              <w:spacing w:line="320" w:lineRule="exact"/>
              <w:jc w:val="center"/>
              <w:rPr>
                <w:rFonts w:ascii="Arial" w:eastAsia="宋体" w:hAnsi="Arial" w:cs="Arial"/>
                <w:kern w:val="0"/>
                <w:szCs w:val="21"/>
              </w:rPr>
            </w:pPr>
            <w:r w:rsidRPr="003C75C2">
              <w:rPr>
                <w:rFonts w:ascii="Arial" w:eastAsia="宋体" w:hAnsi="Arial" w:cs="Arial" w:hint="eastAsia"/>
                <w:kern w:val="0"/>
                <w:szCs w:val="21"/>
              </w:rPr>
              <w:t>第十六周</w:t>
            </w:r>
          </w:p>
        </w:tc>
      </w:tr>
    </w:tbl>
    <w:p w14:paraId="36DCB951" w14:textId="77777777" w:rsidR="003C75C2" w:rsidRPr="003C75C2" w:rsidRDefault="003C75C2" w:rsidP="003C75C2">
      <w:pPr>
        <w:spacing w:beforeLines="50" w:before="156" w:afterLines="50" w:after="156" w:line="440" w:lineRule="exact"/>
        <w:ind w:firstLineChars="200" w:firstLine="560"/>
        <w:rPr>
          <w:rFonts w:ascii="黑体" w:eastAsia="黑体" w:hAnsi="黑体" w:cs="Times New Roman"/>
          <w:sz w:val="28"/>
          <w:szCs w:val="28"/>
        </w:rPr>
      </w:pPr>
      <w:r w:rsidRPr="003C75C2">
        <w:rPr>
          <w:rFonts w:ascii="黑体" w:eastAsia="黑体" w:hAnsi="黑体" w:cs="Times New Roman" w:hint="eastAsia"/>
          <w:sz w:val="28"/>
          <w:szCs w:val="28"/>
        </w:rPr>
        <w:t>（三）课程目标达成评价方式及考核比例</w:t>
      </w:r>
    </w:p>
    <w:p w14:paraId="4CBE1EA2"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课程考核阶段性考核为百分制，最终折合成五级制。本课程共有五个课程目标，阶段性考核100%,考核方式及成绩比例分别为：</w:t>
      </w:r>
    </w:p>
    <w:p w14:paraId="34AA0E42"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课程目标1：计算机系统,阶段性测试20%</w:t>
      </w:r>
    </w:p>
    <w:p w14:paraId="7AF1D8E8"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课程目标2：计算机网络技术,阶段测试20%</w:t>
      </w:r>
    </w:p>
    <w:p w14:paraId="2B1B41CE"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课程目标3：新一代信息技术,阶段测试20%</w:t>
      </w:r>
    </w:p>
    <w:p w14:paraId="4FB849B0"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课程目标4：算法设计,阶段测试20%</w:t>
      </w:r>
    </w:p>
    <w:p w14:paraId="6BEFB436" w14:textId="77777777" w:rsidR="003C75C2" w:rsidRPr="003C75C2" w:rsidRDefault="003C75C2" w:rsidP="003C75C2">
      <w:pPr>
        <w:tabs>
          <w:tab w:val="left" w:pos="6780"/>
        </w:tabs>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课程目标5：计算思维综合,阶段测试20%</w:t>
      </w:r>
      <w:r w:rsidRPr="003C75C2">
        <w:rPr>
          <w:rFonts w:ascii="宋体" w:eastAsia="宋体" w:hAnsi="宋体" w:cs="Times New Roman"/>
          <w:sz w:val="24"/>
          <w:szCs w:val="24"/>
        </w:rPr>
        <w:tab/>
      </w:r>
    </w:p>
    <w:p w14:paraId="65E15C33" w14:textId="77777777" w:rsidR="003C75C2" w:rsidRPr="003C75C2" w:rsidRDefault="003C75C2" w:rsidP="003C75C2">
      <w:pPr>
        <w:spacing w:beforeLines="50" w:before="156" w:afterLines="50" w:after="156" w:line="440" w:lineRule="exact"/>
        <w:ind w:firstLineChars="200" w:firstLine="560"/>
        <w:rPr>
          <w:rFonts w:ascii="黑体" w:eastAsia="黑体" w:hAnsi="黑体" w:cs="Times New Roman"/>
          <w:sz w:val="28"/>
          <w:szCs w:val="28"/>
        </w:rPr>
      </w:pPr>
      <w:r w:rsidRPr="003C75C2">
        <w:rPr>
          <w:rFonts w:ascii="黑体" w:eastAsia="黑体" w:hAnsi="黑体" w:cs="Times New Roman" w:hint="eastAsia"/>
          <w:sz w:val="28"/>
          <w:szCs w:val="28"/>
        </w:rPr>
        <w:t>五、成绩评定</w:t>
      </w:r>
    </w:p>
    <w:p w14:paraId="119AEF9D" w14:textId="77777777" w:rsidR="003C75C2" w:rsidRPr="003C75C2" w:rsidRDefault="003C75C2" w:rsidP="003C75C2">
      <w:pPr>
        <w:spacing w:beforeLines="50" w:before="156" w:afterLines="50" w:after="156" w:line="440" w:lineRule="exact"/>
        <w:ind w:firstLineChars="200" w:firstLine="560"/>
        <w:rPr>
          <w:rFonts w:ascii="黑体" w:eastAsia="黑体" w:hAnsi="黑体" w:cs="Times New Roman"/>
          <w:sz w:val="28"/>
          <w:szCs w:val="28"/>
        </w:rPr>
      </w:pPr>
      <w:r w:rsidRPr="003C75C2">
        <w:rPr>
          <w:rFonts w:ascii="黑体" w:eastAsia="黑体" w:hAnsi="黑体" w:cs="Times New Roman" w:hint="eastAsia"/>
          <w:sz w:val="28"/>
          <w:szCs w:val="28"/>
        </w:rPr>
        <w:t>（一）总成绩评定</w:t>
      </w:r>
    </w:p>
    <w:p w14:paraId="7FE720C4"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总成绩=阶段性成绩×100%</w:t>
      </w:r>
    </w:p>
    <w:p w14:paraId="60E0EB06" w14:textId="77777777" w:rsidR="003C75C2" w:rsidRPr="003C75C2" w:rsidRDefault="003C75C2" w:rsidP="003C75C2">
      <w:pPr>
        <w:spacing w:beforeLines="50" w:before="156" w:afterLines="50" w:after="156" w:line="440" w:lineRule="exact"/>
        <w:ind w:firstLineChars="200" w:firstLine="560"/>
        <w:rPr>
          <w:rFonts w:ascii="宋体" w:eastAsia="宋体" w:hAnsi="宋体" w:cs="Times New Roman"/>
          <w:sz w:val="24"/>
          <w:szCs w:val="24"/>
        </w:rPr>
      </w:pPr>
      <w:r w:rsidRPr="003C75C2">
        <w:rPr>
          <w:rFonts w:ascii="黑体" w:eastAsia="黑体" w:hAnsi="黑体" w:cs="Times New Roman" w:hint="eastAsia"/>
          <w:sz w:val="28"/>
          <w:szCs w:val="28"/>
        </w:rPr>
        <w:t>（二）平时成绩评定</w:t>
      </w:r>
    </w:p>
    <w:p w14:paraId="2FA52DB5"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阶段性测验：学生在平时测试、测验中掌握课程的情况；</w:t>
      </w:r>
    </w:p>
    <w:p w14:paraId="6ED73B23" w14:textId="77777777" w:rsidR="003C75C2" w:rsidRPr="003C75C2" w:rsidRDefault="003C75C2" w:rsidP="003C75C2">
      <w:pPr>
        <w:spacing w:beforeLines="50" w:before="156" w:afterLines="50" w:after="156" w:line="440" w:lineRule="exact"/>
        <w:ind w:firstLineChars="200" w:firstLine="560"/>
        <w:rPr>
          <w:rFonts w:ascii="黑体" w:eastAsia="黑体" w:hAnsi="黑体" w:cs="Times New Roman"/>
          <w:sz w:val="28"/>
          <w:szCs w:val="28"/>
        </w:rPr>
      </w:pPr>
      <w:r w:rsidRPr="003C75C2">
        <w:rPr>
          <w:rFonts w:ascii="黑体" w:eastAsia="黑体" w:hAnsi="黑体" w:cs="Times New Roman" w:hint="eastAsia"/>
          <w:sz w:val="28"/>
          <w:szCs w:val="28"/>
        </w:rPr>
        <w:t>（三）期末成绩评定</w:t>
      </w:r>
    </w:p>
    <w:p w14:paraId="5204AB5E"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过程性考核：学生在平时大作业中掌握课程的情况；</w:t>
      </w:r>
    </w:p>
    <w:p w14:paraId="182F2685"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lastRenderedPageBreak/>
        <w:t>备注：过程性考核主要考察学生对讲授内容和具体方法的理解与运用等。方式为开放式考试。要求学生掌握基本概念、运用具体方法解决相关问题，完成大作业要求。</w:t>
      </w:r>
    </w:p>
    <w:p w14:paraId="63E568F9" w14:textId="77777777" w:rsidR="003C75C2" w:rsidRPr="003C75C2" w:rsidRDefault="003C75C2" w:rsidP="003C75C2">
      <w:pPr>
        <w:spacing w:beforeLines="50" w:before="156" w:afterLines="50" w:after="156" w:line="440" w:lineRule="exact"/>
        <w:ind w:firstLineChars="200" w:firstLine="560"/>
        <w:rPr>
          <w:rFonts w:ascii="宋体" w:eastAsia="宋体" w:hAnsi="宋体" w:cs="Times New Roman"/>
          <w:sz w:val="24"/>
          <w:szCs w:val="24"/>
        </w:rPr>
      </w:pPr>
      <w:r w:rsidRPr="003C75C2">
        <w:rPr>
          <w:rFonts w:ascii="黑体" w:eastAsia="黑体" w:hAnsi="黑体" w:cs="Times New Roman" w:hint="eastAsia"/>
          <w:sz w:val="28"/>
          <w:szCs w:val="28"/>
        </w:rPr>
        <w:t>六、使用教材、相关推荐书目及课程资源</w:t>
      </w:r>
    </w:p>
    <w:p w14:paraId="72F8FC2F" w14:textId="77777777" w:rsidR="003C75C2" w:rsidRPr="003C75C2" w:rsidRDefault="003C75C2" w:rsidP="003C75C2">
      <w:pPr>
        <w:spacing w:line="440" w:lineRule="exact"/>
        <w:ind w:firstLineChars="200" w:firstLine="560"/>
        <w:rPr>
          <w:rFonts w:ascii="宋体" w:eastAsia="宋体" w:hAnsi="宋体" w:cs="Times New Roman"/>
          <w:sz w:val="24"/>
          <w:szCs w:val="24"/>
        </w:rPr>
      </w:pPr>
      <w:r w:rsidRPr="003C75C2">
        <w:rPr>
          <w:rFonts w:ascii="黑体" w:eastAsia="黑体" w:hAnsi="黑体" w:cs="Times New Roman" w:hint="eastAsia"/>
          <w:sz w:val="28"/>
          <w:szCs w:val="28"/>
        </w:rPr>
        <w:t>（一）使用教材</w:t>
      </w:r>
    </w:p>
    <w:p w14:paraId="54EF8E36"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《计算思维与信息技术》讲义，未来信息技术学院计算中心主编。</w:t>
      </w:r>
    </w:p>
    <w:p w14:paraId="052F8044" w14:textId="77777777" w:rsidR="003C75C2" w:rsidRPr="003C75C2" w:rsidRDefault="003C75C2" w:rsidP="003C75C2">
      <w:pPr>
        <w:spacing w:line="440" w:lineRule="exact"/>
        <w:ind w:firstLineChars="200" w:firstLine="560"/>
        <w:rPr>
          <w:rFonts w:ascii="宋体" w:eastAsia="宋体" w:hAnsi="宋体" w:cs="Times New Roman"/>
          <w:sz w:val="24"/>
          <w:szCs w:val="24"/>
        </w:rPr>
      </w:pPr>
      <w:r w:rsidRPr="003C75C2">
        <w:rPr>
          <w:rFonts w:ascii="黑体" w:eastAsia="黑体" w:hAnsi="黑体" w:cs="Times New Roman" w:hint="eastAsia"/>
          <w:sz w:val="28"/>
          <w:szCs w:val="28"/>
        </w:rPr>
        <w:t>（二）相关推荐书目</w:t>
      </w:r>
    </w:p>
    <w:p w14:paraId="0A587198" w14:textId="77777777" w:rsidR="003C75C2" w:rsidRPr="003C75C2" w:rsidRDefault="003C75C2" w:rsidP="00747ECA">
      <w:pPr>
        <w:numPr>
          <w:ilvl w:val="0"/>
          <w:numId w:val="113"/>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《大学计算机基础与计算思维》，赵英豪主编，中国铁道出版社，2020年，第1版；</w:t>
      </w:r>
    </w:p>
    <w:p w14:paraId="7E0A933B" w14:textId="77777777" w:rsidR="003C75C2" w:rsidRPr="003C75C2" w:rsidRDefault="003C75C2" w:rsidP="00747ECA">
      <w:pPr>
        <w:numPr>
          <w:ilvl w:val="0"/>
          <w:numId w:val="113"/>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《大学计算机》，</w:t>
      </w:r>
      <w:proofErr w:type="gramStart"/>
      <w:r w:rsidRPr="003C75C2">
        <w:rPr>
          <w:rFonts w:ascii="宋体" w:eastAsia="宋体" w:hAnsi="宋体" w:cs="Times New Roman" w:hint="eastAsia"/>
          <w:sz w:val="24"/>
          <w:szCs w:val="24"/>
        </w:rPr>
        <w:t>王移芝</w:t>
      </w:r>
      <w:proofErr w:type="gramEnd"/>
      <w:r w:rsidRPr="003C75C2">
        <w:rPr>
          <w:rFonts w:ascii="宋体" w:eastAsia="宋体" w:hAnsi="宋体" w:cs="Times New Roman" w:hint="eastAsia"/>
          <w:sz w:val="24"/>
          <w:szCs w:val="24"/>
        </w:rPr>
        <w:t xml:space="preserve"> 主编，高等教育出版社，2015年，第5版。</w:t>
      </w:r>
    </w:p>
    <w:p w14:paraId="76BF356B" w14:textId="77777777" w:rsidR="003C75C2" w:rsidRPr="003C75C2" w:rsidRDefault="003C75C2" w:rsidP="00747ECA">
      <w:pPr>
        <w:numPr>
          <w:ilvl w:val="0"/>
          <w:numId w:val="113"/>
        </w:numPr>
        <w:spacing w:line="440" w:lineRule="exact"/>
        <w:rPr>
          <w:rFonts w:ascii="宋体" w:eastAsia="宋体" w:hAnsi="宋体" w:cs="Times New Roman"/>
          <w:sz w:val="24"/>
          <w:szCs w:val="24"/>
        </w:rPr>
      </w:pPr>
      <w:r w:rsidRPr="003C75C2">
        <w:rPr>
          <w:rFonts w:ascii="宋体" w:eastAsia="宋体" w:hAnsi="宋体" w:cs="Times New Roman" w:hint="eastAsia"/>
          <w:sz w:val="24"/>
          <w:szCs w:val="24"/>
        </w:rPr>
        <w:t xml:space="preserve">《计算机应用基础－综合练习指导》，张兴华、宋宏伟等编著，人民邮电出版社，2014年9月，第1版。 </w:t>
      </w:r>
    </w:p>
    <w:p w14:paraId="207134CC" w14:textId="77777777" w:rsidR="003C75C2" w:rsidRPr="003C75C2" w:rsidRDefault="003C75C2" w:rsidP="003C75C2">
      <w:pPr>
        <w:spacing w:beforeLines="50" w:before="156" w:afterLines="50" w:after="156" w:line="440" w:lineRule="exact"/>
        <w:ind w:firstLineChars="200" w:firstLine="560"/>
        <w:rPr>
          <w:rFonts w:ascii="黑体" w:eastAsia="黑体" w:hAnsi="黑体" w:cs="Times New Roman"/>
          <w:sz w:val="28"/>
          <w:szCs w:val="28"/>
        </w:rPr>
      </w:pPr>
      <w:r w:rsidRPr="003C75C2">
        <w:rPr>
          <w:rFonts w:ascii="黑体" w:eastAsia="黑体" w:hAnsi="黑体" w:cs="Times New Roman" w:hint="eastAsia"/>
          <w:sz w:val="28"/>
          <w:szCs w:val="28"/>
        </w:rPr>
        <w:t>（三）课程资源</w:t>
      </w:r>
    </w:p>
    <w:p w14:paraId="32033161"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1. 校内网上面有《计算思维》精品</w:t>
      </w:r>
      <w:proofErr w:type="gramStart"/>
      <w:r w:rsidRPr="003C75C2">
        <w:rPr>
          <w:rFonts w:ascii="宋体" w:eastAsia="宋体" w:hAnsi="宋体" w:cs="Times New Roman" w:hint="eastAsia"/>
          <w:sz w:val="24"/>
          <w:szCs w:val="24"/>
        </w:rPr>
        <w:t>课丰富</w:t>
      </w:r>
      <w:proofErr w:type="gramEnd"/>
      <w:r w:rsidRPr="003C75C2">
        <w:rPr>
          <w:rFonts w:ascii="宋体" w:eastAsia="宋体" w:hAnsi="宋体" w:cs="Times New Roman" w:hint="eastAsia"/>
          <w:sz w:val="24"/>
          <w:szCs w:val="24"/>
        </w:rPr>
        <w:t>的资源</w:t>
      </w:r>
    </w:p>
    <w:p w14:paraId="3F8A23B7" w14:textId="77777777"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2. 爱课程平台上有大量的在线课程。</w:t>
      </w:r>
    </w:p>
    <w:p w14:paraId="3188F647" w14:textId="77777777" w:rsidR="003C75C2" w:rsidRPr="003C75C2" w:rsidRDefault="003C75C2" w:rsidP="003C75C2">
      <w:pPr>
        <w:spacing w:beforeLines="50" w:before="156" w:afterLines="50" w:after="156" w:line="440" w:lineRule="exact"/>
        <w:ind w:firstLineChars="200" w:firstLine="560"/>
        <w:rPr>
          <w:rFonts w:ascii="黑体" w:eastAsia="黑体" w:hAnsi="黑体" w:cs="Times New Roman"/>
          <w:sz w:val="28"/>
          <w:szCs w:val="28"/>
        </w:rPr>
      </w:pPr>
      <w:r w:rsidRPr="003C75C2">
        <w:rPr>
          <w:rFonts w:ascii="黑体" w:eastAsia="黑体" w:hAnsi="黑体" w:cs="Times New Roman" w:hint="eastAsia"/>
          <w:sz w:val="28"/>
          <w:szCs w:val="28"/>
        </w:rPr>
        <w:t>七、课程大纲制定依据</w:t>
      </w:r>
    </w:p>
    <w:p w14:paraId="6E5CD09D" w14:textId="06182A0E" w:rsidR="003C75C2" w:rsidRPr="003C75C2" w:rsidRDefault="003C75C2" w:rsidP="003C75C2">
      <w:pPr>
        <w:spacing w:line="440" w:lineRule="exact"/>
        <w:ind w:firstLineChars="200" w:firstLine="480"/>
        <w:rPr>
          <w:rFonts w:ascii="宋体" w:eastAsia="宋体" w:hAnsi="宋体" w:cs="Times New Roman"/>
          <w:sz w:val="24"/>
          <w:szCs w:val="24"/>
        </w:rPr>
      </w:pPr>
      <w:r w:rsidRPr="003C75C2">
        <w:rPr>
          <w:rFonts w:ascii="宋体" w:eastAsia="宋体" w:hAnsi="宋体" w:cs="Times New Roman" w:hint="eastAsia"/>
          <w:sz w:val="24"/>
          <w:szCs w:val="24"/>
        </w:rPr>
        <w:t>本课程大纲依据202</w:t>
      </w:r>
      <w:r w:rsidRPr="003C75C2">
        <w:rPr>
          <w:rFonts w:ascii="宋体" w:eastAsia="宋体" w:hAnsi="宋体" w:cs="Times New Roman"/>
          <w:sz w:val="24"/>
          <w:szCs w:val="24"/>
        </w:rPr>
        <w:t>3</w:t>
      </w:r>
      <w:r w:rsidRPr="003C75C2">
        <w:rPr>
          <w:rFonts w:ascii="宋体" w:eastAsia="宋体" w:hAnsi="宋体" w:cs="Times New Roman" w:hint="eastAsia"/>
          <w:sz w:val="24"/>
          <w:szCs w:val="24"/>
        </w:rPr>
        <w:t>年</w:t>
      </w:r>
      <w:r w:rsidR="00093144">
        <w:rPr>
          <w:rFonts w:ascii="宋体" w:eastAsia="宋体" w:hAnsi="宋体" w:cs="Times New Roman" w:hint="eastAsia"/>
          <w:sz w:val="24"/>
          <w:szCs w:val="24"/>
        </w:rPr>
        <w:t>药物分析</w:t>
      </w:r>
      <w:r w:rsidRPr="003C75C2">
        <w:rPr>
          <w:rFonts w:ascii="宋体" w:eastAsia="宋体" w:hAnsi="宋体" w:cs="Times New Roman" w:hint="eastAsia"/>
          <w:sz w:val="24"/>
          <w:szCs w:val="24"/>
        </w:rPr>
        <w:t>专业人才培养方案制定。</w:t>
      </w:r>
    </w:p>
    <w:p w14:paraId="79BC1A88" w14:textId="77777777" w:rsidR="003C75C2" w:rsidRPr="003C75C2" w:rsidRDefault="003C75C2" w:rsidP="003C75C2">
      <w:pPr>
        <w:spacing w:line="440" w:lineRule="exact"/>
        <w:ind w:firstLineChars="200" w:firstLine="480"/>
        <w:rPr>
          <w:rFonts w:ascii="宋体" w:eastAsia="宋体" w:hAnsi="宋体" w:cs="Times New Roman"/>
          <w:sz w:val="24"/>
          <w:szCs w:val="24"/>
        </w:rPr>
      </w:pPr>
    </w:p>
    <w:p w14:paraId="4767D991" w14:textId="77777777" w:rsidR="00895319" w:rsidRDefault="00895319">
      <w:pPr>
        <w:widowControl/>
        <w:jc w:val="left"/>
        <w:rPr>
          <w:rFonts w:ascii="Calibri" w:eastAsia="宋体" w:hAnsi="Calibri" w:cs="Times New Roman"/>
          <w:bCs/>
        </w:rPr>
      </w:pPr>
      <w:bookmarkStart w:id="81" w:name="_Toc23275"/>
      <w:bookmarkStart w:id="82" w:name="_Toc149662350"/>
      <w:r>
        <w:rPr>
          <w:rFonts w:ascii="Calibri" w:eastAsia="宋体" w:hAnsi="Calibri" w:cs="Times New Roman"/>
          <w:bCs/>
        </w:rPr>
        <w:br w:type="page"/>
      </w:r>
    </w:p>
    <w:p w14:paraId="35892F8A" w14:textId="05C3E654" w:rsidR="002E0E2F" w:rsidRPr="002E0E2F" w:rsidRDefault="002E0E2F" w:rsidP="00C62405">
      <w:pPr>
        <w:keepNext/>
        <w:keepLines/>
        <w:spacing w:before="340" w:after="330" w:line="576" w:lineRule="auto"/>
        <w:jc w:val="center"/>
        <w:outlineLvl w:val="0"/>
        <w:rPr>
          <w:rFonts w:ascii="Calibri" w:eastAsia="黑体" w:hAnsi="Calibri" w:cs="Times New Roman"/>
          <w:b/>
          <w:kern w:val="44"/>
          <w:sz w:val="36"/>
        </w:rPr>
      </w:pPr>
      <w:r w:rsidRPr="002E0E2F">
        <w:rPr>
          <w:rFonts w:ascii="Calibri" w:eastAsia="黑体" w:hAnsi="Calibri" w:cs="Times New Roman" w:hint="eastAsia"/>
          <w:b/>
          <w:kern w:val="44"/>
          <w:sz w:val="36"/>
        </w:rPr>
        <w:lastRenderedPageBreak/>
        <w:t>《大学生职业指导与创新创业教育》课程大纲</w:t>
      </w:r>
      <w:bookmarkEnd w:id="81"/>
      <w:bookmarkEnd w:id="82"/>
    </w:p>
    <w:p w14:paraId="6AF18E4F" w14:textId="77777777" w:rsidR="002E0E2F" w:rsidRPr="002E0E2F" w:rsidRDefault="002E0E2F" w:rsidP="00C63ECC">
      <w:pPr>
        <w:pStyle w:val="afc"/>
      </w:pPr>
      <w:bookmarkStart w:id="83" w:name="_Toc29426"/>
      <w:bookmarkStart w:id="84" w:name="_Toc16626"/>
      <w:bookmarkStart w:id="85" w:name="_Toc28606"/>
      <w:bookmarkStart w:id="86" w:name="_Toc26003"/>
      <w:bookmarkStart w:id="87" w:name="_Toc17697"/>
      <w:r w:rsidRPr="002E0E2F">
        <w:rPr>
          <w:rFonts w:hint="eastAsia"/>
        </w:rPr>
        <w:t>一、课程基本信息</w:t>
      </w:r>
      <w:bookmarkEnd w:id="83"/>
      <w:bookmarkEnd w:id="84"/>
      <w:bookmarkEnd w:id="85"/>
      <w:bookmarkEnd w:id="86"/>
      <w:bookmarkEnd w:id="87"/>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5"/>
        <w:gridCol w:w="2748"/>
        <w:gridCol w:w="1522"/>
        <w:gridCol w:w="2882"/>
      </w:tblGrid>
      <w:tr w:rsidR="002E0E2F" w:rsidRPr="002E0E2F" w14:paraId="12DF6E8B" w14:textId="77777777" w:rsidTr="00423AD2">
        <w:trPr>
          <w:trHeight w:val="886"/>
          <w:jc w:val="center"/>
        </w:trPr>
        <w:tc>
          <w:tcPr>
            <w:tcW w:w="1668" w:type="dxa"/>
            <w:vAlign w:val="center"/>
          </w:tcPr>
          <w:p w14:paraId="4FED49FC"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课程名称</w:t>
            </w:r>
          </w:p>
        </w:tc>
        <w:tc>
          <w:tcPr>
            <w:tcW w:w="2833" w:type="dxa"/>
            <w:vAlign w:val="center"/>
          </w:tcPr>
          <w:p w14:paraId="5D3C27EE"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大学生职业指导与创新创业教育</w:t>
            </w:r>
          </w:p>
        </w:tc>
        <w:tc>
          <w:tcPr>
            <w:tcW w:w="1561" w:type="dxa"/>
            <w:vAlign w:val="center"/>
          </w:tcPr>
          <w:p w14:paraId="67D4B811"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课程代码</w:t>
            </w:r>
          </w:p>
        </w:tc>
        <w:tc>
          <w:tcPr>
            <w:tcW w:w="2941" w:type="dxa"/>
            <w:vAlign w:val="center"/>
          </w:tcPr>
          <w:p w14:paraId="66A63F83"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0011010、0011011</w:t>
            </w:r>
          </w:p>
        </w:tc>
      </w:tr>
      <w:tr w:rsidR="002E0E2F" w:rsidRPr="002E0E2F" w14:paraId="15F5C1F1" w14:textId="77777777" w:rsidTr="00423AD2">
        <w:trPr>
          <w:trHeight w:val="829"/>
          <w:jc w:val="center"/>
        </w:trPr>
        <w:tc>
          <w:tcPr>
            <w:tcW w:w="1668" w:type="dxa"/>
            <w:vAlign w:val="center"/>
          </w:tcPr>
          <w:p w14:paraId="20A077D4"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课程类别</w:t>
            </w:r>
          </w:p>
        </w:tc>
        <w:tc>
          <w:tcPr>
            <w:tcW w:w="2833" w:type="dxa"/>
            <w:vAlign w:val="center"/>
          </w:tcPr>
          <w:p w14:paraId="4721D5BC"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通识教育课程</w:t>
            </w:r>
          </w:p>
        </w:tc>
        <w:tc>
          <w:tcPr>
            <w:tcW w:w="1561" w:type="dxa"/>
            <w:vAlign w:val="center"/>
          </w:tcPr>
          <w:p w14:paraId="78115F57"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学时</w:t>
            </w:r>
          </w:p>
          <w:p w14:paraId="4D8388D6"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/学分</w:t>
            </w:r>
          </w:p>
        </w:tc>
        <w:tc>
          <w:tcPr>
            <w:tcW w:w="2941" w:type="dxa"/>
            <w:vAlign w:val="center"/>
          </w:tcPr>
          <w:p w14:paraId="4A2559E0"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48/3</w:t>
            </w:r>
          </w:p>
        </w:tc>
      </w:tr>
      <w:tr w:rsidR="002E0E2F" w:rsidRPr="002E0E2F" w14:paraId="48994EC5" w14:textId="77777777" w:rsidTr="00423AD2">
        <w:trPr>
          <w:trHeight w:val="811"/>
          <w:jc w:val="center"/>
        </w:trPr>
        <w:tc>
          <w:tcPr>
            <w:tcW w:w="1668" w:type="dxa"/>
            <w:vAlign w:val="center"/>
          </w:tcPr>
          <w:p w14:paraId="101DECAE"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开课单位</w:t>
            </w:r>
          </w:p>
        </w:tc>
        <w:tc>
          <w:tcPr>
            <w:tcW w:w="2833" w:type="dxa"/>
            <w:vAlign w:val="center"/>
          </w:tcPr>
          <w:p w14:paraId="670D968A"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党委学生工作部</w:t>
            </w:r>
          </w:p>
        </w:tc>
        <w:tc>
          <w:tcPr>
            <w:tcW w:w="1561" w:type="dxa"/>
            <w:vAlign w:val="center"/>
          </w:tcPr>
          <w:p w14:paraId="0F552957"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适用专业</w:t>
            </w:r>
          </w:p>
        </w:tc>
        <w:tc>
          <w:tcPr>
            <w:tcW w:w="2941" w:type="dxa"/>
            <w:vAlign w:val="center"/>
          </w:tcPr>
          <w:p w14:paraId="511FB616"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其他专业类</w:t>
            </w:r>
          </w:p>
        </w:tc>
      </w:tr>
      <w:tr w:rsidR="002E0E2F" w:rsidRPr="002E0E2F" w14:paraId="443EB45D" w14:textId="77777777" w:rsidTr="00423AD2">
        <w:trPr>
          <w:trHeight w:val="811"/>
          <w:jc w:val="center"/>
        </w:trPr>
        <w:tc>
          <w:tcPr>
            <w:tcW w:w="1668" w:type="dxa"/>
            <w:vAlign w:val="center"/>
          </w:tcPr>
          <w:p w14:paraId="3C6FC12B"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课程负责人</w:t>
            </w:r>
          </w:p>
        </w:tc>
        <w:tc>
          <w:tcPr>
            <w:tcW w:w="7335" w:type="dxa"/>
            <w:gridSpan w:val="3"/>
            <w:vAlign w:val="center"/>
          </w:tcPr>
          <w:p w14:paraId="26527427" w14:textId="77777777" w:rsidR="002E0E2F" w:rsidRPr="002E0E2F" w:rsidRDefault="002E0E2F" w:rsidP="002E0E2F">
            <w:pPr>
              <w:spacing w:line="440" w:lineRule="exact"/>
              <w:jc w:val="center"/>
              <w:rPr>
                <w:rFonts w:ascii="宋体" w:eastAsia="宋体" w:hAnsi="宋体" w:cs="Times New Roman"/>
                <w:sz w:val="24"/>
              </w:rPr>
            </w:pPr>
          </w:p>
        </w:tc>
      </w:tr>
      <w:tr w:rsidR="002E0E2F" w:rsidRPr="002E0E2F" w14:paraId="2CB23404" w14:textId="77777777" w:rsidTr="00423AD2">
        <w:trPr>
          <w:trHeight w:val="836"/>
          <w:jc w:val="center"/>
        </w:trPr>
        <w:tc>
          <w:tcPr>
            <w:tcW w:w="1668" w:type="dxa"/>
            <w:vAlign w:val="center"/>
          </w:tcPr>
          <w:p w14:paraId="349A3677"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大纲撰写人</w:t>
            </w:r>
          </w:p>
        </w:tc>
        <w:tc>
          <w:tcPr>
            <w:tcW w:w="2833" w:type="dxa"/>
            <w:vAlign w:val="center"/>
          </w:tcPr>
          <w:p w14:paraId="1B28558A"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杨洪瑞</w:t>
            </w:r>
          </w:p>
        </w:tc>
        <w:tc>
          <w:tcPr>
            <w:tcW w:w="1561" w:type="dxa"/>
            <w:vAlign w:val="center"/>
          </w:tcPr>
          <w:p w14:paraId="75664E98"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大纲审核人</w:t>
            </w:r>
          </w:p>
        </w:tc>
        <w:tc>
          <w:tcPr>
            <w:tcW w:w="2941" w:type="dxa"/>
            <w:vAlign w:val="center"/>
          </w:tcPr>
          <w:p w14:paraId="70E217A6"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王震</w:t>
            </w:r>
          </w:p>
        </w:tc>
      </w:tr>
      <w:tr w:rsidR="002E0E2F" w:rsidRPr="002E0E2F" w14:paraId="3CC30AC1" w14:textId="77777777" w:rsidTr="00423AD2">
        <w:trPr>
          <w:trHeight w:val="848"/>
          <w:jc w:val="center"/>
        </w:trPr>
        <w:tc>
          <w:tcPr>
            <w:tcW w:w="1668" w:type="dxa"/>
            <w:vAlign w:val="center"/>
          </w:tcPr>
          <w:p w14:paraId="4B8248E8"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先修课程</w:t>
            </w:r>
          </w:p>
        </w:tc>
        <w:tc>
          <w:tcPr>
            <w:tcW w:w="7335" w:type="dxa"/>
            <w:gridSpan w:val="3"/>
            <w:vAlign w:val="center"/>
          </w:tcPr>
          <w:p w14:paraId="6033C2BF" w14:textId="77777777" w:rsidR="002E0E2F" w:rsidRPr="002E0E2F" w:rsidRDefault="002E0E2F" w:rsidP="002E0E2F">
            <w:pPr>
              <w:spacing w:line="440" w:lineRule="exact"/>
              <w:jc w:val="center"/>
              <w:rPr>
                <w:rFonts w:ascii="宋体" w:eastAsia="宋体" w:hAnsi="宋体" w:cs="Times New Roman"/>
                <w:sz w:val="24"/>
              </w:rPr>
            </w:pPr>
          </w:p>
        </w:tc>
      </w:tr>
      <w:tr w:rsidR="002E0E2F" w:rsidRPr="002E0E2F" w14:paraId="1069AB68" w14:textId="77777777" w:rsidTr="00423AD2">
        <w:trPr>
          <w:trHeight w:val="848"/>
          <w:jc w:val="center"/>
        </w:trPr>
        <w:tc>
          <w:tcPr>
            <w:tcW w:w="1668" w:type="dxa"/>
            <w:vAlign w:val="center"/>
          </w:tcPr>
          <w:p w14:paraId="21806123"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课程网址</w:t>
            </w:r>
          </w:p>
        </w:tc>
        <w:tc>
          <w:tcPr>
            <w:tcW w:w="7335" w:type="dxa"/>
            <w:gridSpan w:val="3"/>
            <w:vAlign w:val="center"/>
          </w:tcPr>
          <w:p w14:paraId="551B3915" w14:textId="77777777" w:rsidR="002E0E2F" w:rsidRPr="002E0E2F" w:rsidRDefault="002E0E2F" w:rsidP="002E0E2F">
            <w:pPr>
              <w:spacing w:line="440" w:lineRule="exact"/>
              <w:rPr>
                <w:rFonts w:ascii="宋体" w:eastAsia="宋体" w:hAnsi="宋体" w:cs="Times New Roman"/>
                <w:color w:val="FF0000"/>
                <w:sz w:val="24"/>
              </w:rPr>
            </w:pPr>
          </w:p>
        </w:tc>
      </w:tr>
    </w:tbl>
    <w:p w14:paraId="40E160EA" w14:textId="77777777" w:rsidR="002E0E2F" w:rsidRPr="002E0E2F" w:rsidRDefault="002E0E2F" w:rsidP="00C63ECC">
      <w:pPr>
        <w:pStyle w:val="afc"/>
      </w:pPr>
      <w:bookmarkStart w:id="88" w:name="_Toc2277"/>
      <w:bookmarkStart w:id="89" w:name="_Toc22764"/>
      <w:bookmarkStart w:id="90" w:name="_Toc16615"/>
      <w:bookmarkStart w:id="91" w:name="_Toc22609"/>
      <w:bookmarkStart w:id="92" w:name="_Toc26641"/>
      <w:r w:rsidRPr="002E0E2F">
        <w:rPr>
          <w:rFonts w:hint="eastAsia"/>
        </w:rPr>
        <w:t>二、课程学习目标及与毕业要求的对应关系</w:t>
      </w:r>
      <w:bookmarkEnd w:id="88"/>
      <w:bookmarkEnd w:id="89"/>
      <w:bookmarkEnd w:id="90"/>
      <w:bookmarkEnd w:id="91"/>
      <w:bookmarkEnd w:id="92"/>
    </w:p>
    <w:p w14:paraId="214FCA53" w14:textId="77777777" w:rsidR="002E0E2F" w:rsidRPr="002E0E2F" w:rsidRDefault="002E0E2F" w:rsidP="002E0E2F">
      <w:pPr>
        <w:spacing w:beforeLines="50" w:before="156" w:afterLines="50" w:after="156" w:line="440" w:lineRule="exact"/>
        <w:ind w:firstLineChars="200" w:firstLine="560"/>
        <w:outlineLvl w:val="1"/>
        <w:rPr>
          <w:rFonts w:ascii="黑体" w:eastAsia="黑体" w:hAnsi="黑体" w:cs="Times New Roman"/>
          <w:sz w:val="28"/>
          <w:szCs w:val="28"/>
        </w:rPr>
      </w:pPr>
      <w:r w:rsidRPr="002E0E2F">
        <w:rPr>
          <w:rFonts w:ascii="黑体" w:eastAsia="黑体" w:hAnsi="黑体" w:cs="Times New Roman" w:hint="eastAsia"/>
          <w:sz w:val="28"/>
          <w:szCs w:val="28"/>
        </w:rPr>
        <w:t>（一）课程学习目标</w:t>
      </w:r>
    </w:p>
    <w:p w14:paraId="0D11996A"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通过</w:t>
      </w:r>
      <w:r w:rsidRPr="002E0E2F">
        <w:rPr>
          <w:rFonts w:ascii="宋体" w:eastAsia="宋体" w:hAnsi="宋体" w:cs="Times New Roman"/>
          <w:sz w:val="24"/>
        </w:rPr>
        <w:t>本课程的学习，</w:t>
      </w:r>
      <w:r w:rsidRPr="002E0E2F">
        <w:rPr>
          <w:rFonts w:ascii="宋体" w:eastAsia="宋体" w:hAnsi="宋体" w:cs="Times New Roman" w:hint="eastAsia"/>
          <w:sz w:val="24"/>
        </w:rPr>
        <w:t>使学生达到以下</w:t>
      </w:r>
      <w:r w:rsidRPr="002E0E2F">
        <w:rPr>
          <w:rFonts w:ascii="宋体" w:eastAsia="宋体" w:hAnsi="宋体" w:cs="Times New Roman"/>
          <w:sz w:val="24"/>
        </w:rPr>
        <w:t>目标：</w:t>
      </w:r>
    </w:p>
    <w:p w14:paraId="77372104" w14:textId="77777777" w:rsidR="002E0E2F" w:rsidRPr="002E0E2F" w:rsidRDefault="002E0E2F" w:rsidP="00747ECA">
      <w:pPr>
        <w:numPr>
          <w:ilvl w:val="0"/>
          <w:numId w:val="50"/>
        </w:numPr>
        <w:spacing w:line="440" w:lineRule="exact"/>
        <w:ind w:firstLineChars="200" w:firstLine="480"/>
        <w:rPr>
          <w:rFonts w:ascii="宋体" w:eastAsia="宋体" w:hAnsi="宋体" w:cs="Times New Roman"/>
          <w:sz w:val="24"/>
        </w:rPr>
      </w:pPr>
      <w:r w:rsidRPr="002E0E2F">
        <w:rPr>
          <w:rFonts w:ascii="Calibri" w:eastAsia="宋体" w:hAnsi="Calibri" w:cs="Times New Roman" w:hint="eastAsia"/>
          <w:sz w:val="24"/>
        </w:rPr>
        <w:t>以习近平新时代中国特色社会主义思想为指导，</w:t>
      </w:r>
      <w:r w:rsidRPr="002E0E2F">
        <w:rPr>
          <w:rFonts w:ascii="宋体" w:eastAsia="宋体" w:hAnsi="宋体" w:cs="Times New Roman" w:hint="eastAsia"/>
          <w:sz w:val="24"/>
        </w:rPr>
        <w:t>理解大学生职业指导和创新创业的有关理论，掌握科学规划自己未来职业生涯的理论、步骤和方法，掌握相应的求职步骤、途径和方法，掌握提升自身就业竞争力、创新创业精神及能力的主要途径和方法。</w:t>
      </w:r>
    </w:p>
    <w:p w14:paraId="18FA886C" w14:textId="77777777" w:rsidR="002E0E2F" w:rsidRPr="002E0E2F" w:rsidRDefault="002E0E2F" w:rsidP="00747ECA">
      <w:pPr>
        <w:numPr>
          <w:ilvl w:val="0"/>
          <w:numId w:val="50"/>
        </w:numPr>
        <w:spacing w:line="440" w:lineRule="exact"/>
        <w:ind w:firstLineChars="200" w:firstLine="480"/>
        <w:rPr>
          <w:rFonts w:ascii="宋体" w:eastAsia="宋体" w:hAnsi="宋体" w:cs="Times New Roman"/>
          <w:sz w:val="24"/>
        </w:rPr>
      </w:pPr>
      <w:r w:rsidRPr="002E0E2F">
        <w:rPr>
          <w:rFonts w:ascii="Calibri" w:eastAsia="宋体" w:hAnsi="Calibri" w:cs="Times New Roman" w:hint="eastAsia"/>
          <w:sz w:val="24"/>
        </w:rPr>
        <w:t>初步树立职业规划意识，掌握国家的就业创业政策和法律法规，了解职业现状、社会需求和就业形势，树立正确的择业观、就业观、创业观和发展观，掌握职业生涯规划的理论与方法，并在进行自我认知和职业探索的基础上，科学地进行职业生涯规划、学</w:t>
      </w:r>
      <w:proofErr w:type="gramStart"/>
      <w:r w:rsidRPr="002E0E2F">
        <w:rPr>
          <w:rFonts w:ascii="Calibri" w:eastAsia="宋体" w:hAnsi="Calibri" w:cs="Times New Roman" w:hint="eastAsia"/>
          <w:sz w:val="24"/>
        </w:rPr>
        <w:t>涯</w:t>
      </w:r>
      <w:proofErr w:type="gramEnd"/>
      <w:r w:rsidRPr="002E0E2F">
        <w:rPr>
          <w:rFonts w:ascii="Calibri" w:eastAsia="宋体" w:hAnsi="Calibri" w:cs="Times New Roman" w:hint="eastAsia"/>
          <w:sz w:val="24"/>
        </w:rPr>
        <w:t>规划和创新创业规划，进而充分利用大学时光出色完成学业和创业准备，全面提升自己的就业创业核心竞争力</w:t>
      </w:r>
      <w:r w:rsidRPr="002E0E2F">
        <w:rPr>
          <w:rFonts w:ascii="宋体" w:eastAsia="宋体" w:hAnsi="宋体" w:cs="Times New Roman" w:hint="eastAsia"/>
          <w:sz w:val="24"/>
        </w:rPr>
        <w:t>。</w:t>
      </w:r>
    </w:p>
    <w:p w14:paraId="5E505559"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 具备沟通交流能力与团队合作精神，具备相应的职业素养与创新创业精神，</w:t>
      </w:r>
      <w:r w:rsidRPr="002E0E2F">
        <w:rPr>
          <w:rFonts w:ascii="宋体" w:eastAsia="宋体" w:hAnsi="宋体" w:cs="Times New Roman" w:hint="eastAsia"/>
          <w:sz w:val="24"/>
        </w:rPr>
        <w:lastRenderedPageBreak/>
        <w:t>能够养成认真、求实、勤奋的良好科研精神与学风。</w:t>
      </w:r>
    </w:p>
    <w:p w14:paraId="4AE7276D" w14:textId="77777777" w:rsidR="002E0E2F" w:rsidRPr="002E0E2F" w:rsidRDefault="002E0E2F" w:rsidP="002E0E2F">
      <w:pPr>
        <w:spacing w:beforeLines="50" w:before="156" w:afterLines="50" w:after="156" w:line="440" w:lineRule="exact"/>
        <w:ind w:firstLineChars="200" w:firstLine="560"/>
        <w:outlineLvl w:val="1"/>
        <w:rPr>
          <w:rFonts w:ascii="黑体" w:eastAsia="黑体" w:hAnsi="黑体" w:cs="Times New Roman"/>
          <w:sz w:val="28"/>
          <w:szCs w:val="28"/>
        </w:rPr>
      </w:pPr>
      <w:r w:rsidRPr="002E0E2F">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25"/>
        <w:gridCol w:w="4785"/>
        <w:gridCol w:w="1959"/>
      </w:tblGrid>
      <w:tr w:rsidR="002E0E2F" w:rsidRPr="002E0E2F" w14:paraId="4AFBE436" w14:textId="77777777" w:rsidTr="00423AD2">
        <w:trPr>
          <w:trHeight w:val="815"/>
          <w:jc w:val="center"/>
        </w:trPr>
        <w:tc>
          <w:tcPr>
            <w:tcW w:w="2425" w:type="dxa"/>
            <w:noWrap/>
            <w:vAlign w:val="center"/>
          </w:tcPr>
          <w:p w14:paraId="20E05040" w14:textId="77777777" w:rsidR="002E0E2F" w:rsidRPr="002E0E2F" w:rsidRDefault="002E0E2F" w:rsidP="002E0E2F">
            <w:pPr>
              <w:spacing w:line="440" w:lineRule="exact"/>
              <w:jc w:val="center"/>
              <w:rPr>
                <w:rFonts w:ascii="宋体" w:eastAsia="宋体" w:hAnsi="宋体" w:cs="Times New Roman"/>
                <w:b/>
                <w:sz w:val="24"/>
              </w:rPr>
            </w:pPr>
            <w:r w:rsidRPr="002E0E2F">
              <w:rPr>
                <w:rFonts w:ascii="宋体" w:eastAsia="宋体" w:hAnsi="宋体" w:cs="Times New Roman" w:hint="eastAsia"/>
                <w:b/>
                <w:sz w:val="24"/>
              </w:rPr>
              <w:t>毕业要求</w:t>
            </w:r>
          </w:p>
        </w:tc>
        <w:tc>
          <w:tcPr>
            <w:tcW w:w="4785" w:type="dxa"/>
            <w:noWrap/>
            <w:vAlign w:val="center"/>
          </w:tcPr>
          <w:p w14:paraId="58735DF2" w14:textId="77777777" w:rsidR="002E0E2F" w:rsidRPr="002E0E2F" w:rsidRDefault="002E0E2F" w:rsidP="002E0E2F">
            <w:pPr>
              <w:spacing w:line="440" w:lineRule="exact"/>
              <w:jc w:val="center"/>
              <w:rPr>
                <w:rFonts w:ascii="宋体" w:eastAsia="宋体" w:hAnsi="宋体" w:cs="Times New Roman"/>
                <w:b/>
                <w:sz w:val="24"/>
              </w:rPr>
            </w:pPr>
            <w:r w:rsidRPr="002E0E2F">
              <w:rPr>
                <w:rFonts w:ascii="宋体" w:eastAsia="宋体" w:hAnsi="宋体" w:cs="Times New Roman" w:hint="eastAsia"/>
                <w:b/>
                <w:sz w:val="24"/>
              </w:rPr>
              <w:t>毕业要求指标点</w:t>
            </w:r>
          </w:p>
        </w:tc>
        <w:tc>
          <w:tcPr>
            <w:tcW w:w="1959" w:type="dxa"/>
            <w:noWrap/>
            <w:vAlign w:val="center"/>
          </w:tcPr>
          <w:p w14:paraId="5CE7FDAE" w14:textId="77777777" w:rsidR="002E0E2F" w:rsidRPr="002E0E2F" w:rsidRDefault="002E0E2F" w:rsidP="002E0E2F">
            <w:pPr>
              <w:spacing w:line="440" w:lineRule="exact"/>
              <w:jc w:val="center"/>
              <w:rPr>
                <w:rFonts w:ascii="宋体" w:eastAsia="宋体" w:hAnsi="宋体" w:cs="Times New Roman"/>
                <w:b/>
                <w:sz w:val="24"/>
              </w:rPr>
            </w:pPr>
            <w:r w:rsidRPr="002E0E2F">
              <w:rPr>
                <w:rFonts w:ascii="宋体" w:eastAsia="宋体" w:hAnsi="宋体" w:cs="Times New Roman" w:hint="eastAsia"/>
                <w:b/>
                <w:sz w:val="24"/>
              </w:rPr>
              <w:t>课程目标</w:t>
            </w:r>
          </w:p>
        </w:tc>
      </w:tr>
      <w:tr w:rsidR="002E0E2F" w:rsidRPr="002E0E2F" w14:paraId="0FEC4B0E" w14:textId="77777777" w:rsidTr="00423AD2">
        <w:trPr>
          <w:jc w:val="center"/>
        </w:trPr>
        <w:tc>
          <w:tcPr>
            <w:tcW w:w="2425" w:type="dxa"/>
            <w:noWrap/>
            <w:vAlign w:val="center"/>
          </w:tcPr>
          <w:p w14:paraId="3C6EC9F4" w14:textId="77777777" w:rsidR="002E0E2F" w:rsidRPr="002E0E2F" w:rsidRDefault="002E0E2F" w:rsidP="002E0E2F">
            <w:pPr>
              <w:spacing w:line="440" w:lineRule="exact"/>
              <w:ind w:firstLineChars="100" w:firstLine="240"/>
              <w:rPr>
                <w:rFonts w:ascii="宋体" w:eastAsia="宋体" w:hAnsi="宋体" w:cs="Times New Roman"/>
                <w:color w:val="000000"/>
                <w:sz w:val="24"/>
              </w:rPr>
            </w:pPr>
          </w:p>
        </w:tc>
        <w:tc>
          <w:tcPr>
            <w:tcW w:w="4785" w:type="dxa"/>
            <w:noWrap/>
            <w:vAlign w:val="center"/>
          </w:tcPr>
          <w:p w14:paraId="0146636C" w14:textId="77777777" w:rsidR="002E0E2F" w:rsidRPr="002E0E2F" w:rsidRDefault="002E0E2F" w:rsidP="002E0E2F">
            <w:pPr>
              <w:spacing w:line="440" w:lineRule="exact"/>
              <w:jc w:val="center"/>
              <w:rPr>
                <w:rFonts w:ascii="宋体" w:eastAsia="宋体" w:hAnsi="宋体" w:cs="Times New Roman"/>
                <w:color w:val="000000"/>
                <w:sz w:val="24"/>
              </w:rPr>
            </w:pPr>
          </w:p>
        </w:tc>
        <w:tc>
          <w:tcPr>
            <w:tcW w:w="1959" w:type="dxa"/>
            <w:noWrap/>
            <w:vAlign w:val="center"/>
          </w:tcPr>
          <w:p w14:paraId="0460C82E" w14:textId="77777777" w:rsidR="002E0E2F" w:rsidRPr="002E0E2F" w:rsidRDefault="002E0E2F" w:rsidP="002E0E2F">
            <w:pPr>
              <w:spacing w:line="440" w:lineRule="exact"/>
              <w:ind w:firstLineChars="100" w:firstLine="240"/>
              <w:jc w:val="left"/>
              <w:rPr>
                <w:rFonts w:ascii="宋体" w:eastAsia="宋体" w:hAnsi="宋体" w:cs="Times New Roman"/>
                <w:sz w:val="24"/>
              </w:rPr>
            </w:pPr>
          </w:p>
        </w:tc>
      </w:tr>
      <w:tr w:rsidR="002E0E2F" w:rsidRPr="002E0E2F" w14:paraId="661752F5" w14:textId="77777777" w:rsidTr="00423AD2">
        <w:trPr>
          <w:jc w:val="center"/>
        </w:trPr>
        <w:tc>
          <w:tcPr>
            <w:tcW w:w="2425" w:type="dxa"/>
            <w:noWrap/>
            <w:vAlign w:val="center"/>
          </w:tcPr>
          <w:p w14:paraId="77081BDA" w14:textId="77777777" w:rsidR="002E0E2F" w:rsidRPr="002E0E2F" w:rsidRDefault="002E0E2F" w:rsidP="002E0E2F">
            <w:pPr>
              <w:spacing w:line="440" w:lineRule="exact"/>
              <w:jc w:val="center"/>
              <w:rPr>
                <w:rFonts w:ascii="宋体" w:eastAsia="宋体" w:hAnsi="宋体" w:cs="Times New Roman"/>
                <w:color w:val="000000"/>
                <w:sz w:val="24"/>
              </w:rPr>
            </w:pPr>
          </w:p>
        </w:tc>
        <w:tc>
          <w:tcPr>
            <w:tcW w:w="4785" w:type="dxa"/>
            <w:noWrap/>
            <w:vAlign w:val="center"/>
          </w:tcPr>
          <w:p w14:paraId="0D216ADF" w14:textId="77777777" w:rsidR="002E0E2F" w:rsidRPr="002E0E2F" w:rsidRDefault="002E0E2F" w:rsidP="002E0E2F">
            <w:pPr>
              <w:spacing w:line="440" w:lineRule="exact"/>
              <w:jc w:val="center"/>
              <w:rPr>
                <w:rFonts w:ascii="宋体" w:eastAsia="宋体" w:hAnsi="宋体" w:cs="Times New Roman"/>
                <w:color w:val="000000"/>
                <w:sz w:val="24"/>
              </w:rPr>
            </w:pPr>
          </w:p>
        </w:tc>
        <w:tc>
          <w:tcPr>
            <w:tcW w:w="1959" w:type="dxa"/>
            <w:noWrap/>
            <w:vAlign w:val="center"/>
          </w:tcPr>
          <w:p w14:paraId="560DAF9F" w14:textId="77777777" w:rsidR="002E0E2F" w:rsidRPr="002E0E2F" w:rsidRDefault="002E0E2F" w:rsidP="002E0E2F">
            <w:pPr>
              <w:spacing w:line="440" w:lineRule="exact"/>
              <w:ind w:firstLineChars="100" w:firstLine="240"/>
              <w:jc w:val="left"/>
              <w:rPr>
                <w:rFonts w:ascii="宋体" w:eastAsia="宋体" w:hAnsi="宋体" w:cs="Times New Roman"/>
                <w:sz w:val="24"/>
              </w:rPr>
            </w:pPr>
          </w:p>
        </w:tc>
      </w:tr>
    </w:tbl>
    <w:p w14:paraId="27D665EF" w14:textId="77777777" w:rsidR="002E0E2F" w:rsidRPr="002E0E2F" w:rsidRDefault="002E0E2F" w:rsidP="00C63ECC">
      <w:pPr>
        <w:pStyle w:val="afc"/>
      </w:pPr>
      <w:bookmarkStart w:id="93" w:name="_Toc30432"/>
      <w:bookmarkStart w:id="94" w:name="_Toc9181"/>
      <w:bookmarkStart w:id="95" w:name="_Toc2962"/>
      <w:bookmarkStart w:id="96" w:name="_Toc22283"/>
      <w:bookmarkStart w:id="97" w:name="_Toc28777"/>
      <w:r w:rsidRPr="002E0E2F">
        <w:rPr>
          <w:rFonts w:hint="eastAsia"/>
        </w:rPr>
        <w:t>三、课程学习内容及与课程学习目标的对应关系</w:t>
      </w:r>
      <w:bookmarkEnd w:id="93"/>
      <w:bookmarkEnd w:id="94"/>
      <w:bookmarkEnd w:id="95"/>
      <w:bookmarkEnd w:id="96"/>
      <w:bookmarkEnd w:id="97"/>
    </w:p>
    <w:p w14:paraId="67114F00" w14:textId="77777777" w:rsidR="002E0E2F" w:rsidRPr="002E0E2F" w:rsidRDefault="002E0E2F" w:rsidP="002E0E2F">
      <w:pPr>
        <w:spacing w:beforeLines="50" w:before="156" w:afterLines="50" w:after="156" w:line="440" w:lineRule="exact"/>
        <w:ind w:firstLineChars="200" w:firstLine="562"/>
        <w:outlineLvl w:val="1"/>
        <w:rPr>
          <w:rFonts w:ascii="黑体" w:eastAsia="黑体" w:hAnsi="黑体" w:cs="Times New Roman"/>
          <w:b/>
          <w:sz w:val="28"/>
          <w:szCs w:val="28"/>
        </w:rPr>
      </w:pPr>
      <w:r w:rsidRPr="002E0E2F">
        <w:rPr>
          <w:rFonts w:ascii="黑体" w:eastAsia="黑体" w:hAnsi="黑体" w:cs="Times New Roman" w:hint="eastAsia"/>
          <w:b/>
          <w:sz w:val="28"/>
          <w:szCs w:val="28"/>
        </w:rPr>
        <w:t>（一）课程学习内容</w:t>
      </w:r>
    </w:p>
    <w:p w14:paraId="1E10904A"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第一章   职业导论</w:t>
      </w:r>
    </w:p>
    <w:p w14:paraId="7C7C1FD3"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40DDE3A7"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认知类目标：了解《大学生职业指导与创新创业教育》课程的主要内容、性质和要求；</w:t>
      </w:r>
    </w:p>
    <w:p w14:paraId="1B735D34"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过程与方法类目标：</w:t>
      </w:r>
      <w:r w:rsidRPr="002E0E2F">
        <w:rPr>
          <w:rFonts w:ascii="宋体" w:eastAsia="宋体" w:hAnsi="宋体" w:cs="Times New Roman" w:hint="eastAsia"/>
          <w:color w:val="000000"/>
          <w:kern w:val="0"/>
          <w:sz w:val="24"/>
        </w:rPr>
        <w:t>初步掌握职业及职业分类知识，认清职业与专业的关系，</w:t>
      </w:r>
      <w:r w:rsidRPr="002E0E2F">
        <w:rPr>
          <w:rFonts w:ascii="宋体" w:eastAsia="宋体" w:hAnsi="宋体" w:cs="宋体" w:hint="eastAsia"/>
          <w:color w:val="000000"/>
          <w:kern w:val="0"/>
          <w:sz w:val="24"/>
        </w:rPr>
        <w:t>增强角色意识，提高适应能力，树立科学的职业价值观、成才观。</w:t>
      </w:r>
    </w:p>
    <w:p w14:paraId="33CB5E12"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1BE4ABA3" w14:textId="77777777" w:rsidR="002E0E2F" w:rsidRPr="002E0E2F" w:rsidRDefault="002E0E2F" w:rsidP="00747ECA">
      <w:pPr>
        <w:numPr>
          <w:ilvl w:val="0"/>
          <w:numId w:val="51"/>
        </w:numPr>
        <w:spacing w:line="440" w:lineRule="exact"/>
        <w:ind w:firstLineChars="200" w:firstLine="480"/>
        <w:rPr>
          <w:rFonts w:ascii="宋体" w:eastAsia="宋体" w:hAnsi="宋体" w:cs="Times New Roman"/>
          <w:sz w:val="24"/>
        </w:rPr>
      </w:pPr>
      <w:r w:rsidRPr="002E0E2F">
        <w:rPr>
          <w:rFonts w:ascii="宋体" w:eastAsia="宋体" w:hAnsi="宋体" w:cs="Times New Roman" w:hint="eastAsia"/>
          <w:color w:val="000000"/>
          <w:sz w:val="24"/>
        </w:rPr>
        <w:t>职业与专业</w:t>
      </w:r>
    </w:p>
    <w:p w14:paraId="2E99508D" w14:textId="77777777" w:rsidR="002E0E2F" w:rsidRPr="002E0E2F" w:rsidRDefault="002E0E2F" w:rsidP="00747ECA">
      <w:pPr>
        <w:numPr>
          <w:ilvl w:val="0"/>
          <w:numId w:val="51"/>
        </w:numPr>
        <w:spacing w:line="440" w:lineRule="exact"/>
        <w:ind w:firstLineChars="200" w:firstLine="480"/>
        <w:rPr>
          <w:rFonts w:ascii="宋体" w:eastAsia="宋体" w:hAnsi="宋体" w:cs="Times New Roman"/>
          <w:sz w:val="24"/>
        </w:rPr>
      </w:pPr>
      <w:r w:rsidRPr="002E0E2F">
        <w:rPr>
          <w:rFonts w:ascii="宋体" w:eastAsia="宋体" w:hAnsi="宋体" w:cs="Times New Roman" w:hint="eastAsia"/>
          <w:color w:val="000000"/>
          <w:sz w:val="24"/>
        </w:rPr>
        <w:t>职业分类与发展</w:t>
      </w:r>
    </w:p>
    <w:p w14:paraId="4AB3FDE0" w14:textId="77777777" w:rsidR="002E0E2F" w:rsidRPr="002E0E2F" w:rsidRDefault="002E0E2F" w:rsidP="00747ECA">
      <w:pPr>
        <w:numPr>
          <w:ilvl w:val="0"/>
          <w:numId w:val="51"/>
        </w:num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掌握职业标准、职业资格及发展趋势</w:t>
      </w:r>
    </w:p>
    <w:p w14:paraId="761F4D3E"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29E33FAE"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color w:val="000000"/>
          <w:sz w:val="24"/>
        </w:rPr>
        <w:t>职业的分类及相关知识，职业与专业的关系</w:t>
      </w:r>
    </w:p>
    <w:p w14:paraId="0E0ECF4E" w14:textId="77777777" w:rsidR="002E0E2F" w:rsidRPr="002E0E2F" w:rsidRDefault="002E0E2F" w:rsidP="002E0E2F">
      <w:pPr>
        <w:spacing w:line="440" w:lineRule="exact"/>
        <w:ind w:firstLineChars="200" w:firstLine="480"/>
        <w:rPr>
          <w:rFonts w:ascii="宋体" w:eastAsia="宋体" w:hAnsi="宋体" w:cs="Times New Roman"/>
          <w:b/>
          <w:sz w:val="24"/>
        </w:rPr>
      </w:pPr>
      <w:r w:rsidRPr="002E0E2F">
        <w:rPr>
          <w:rFonts w:ascii="宋体" w:eastAsia="宋体" w:hAnsi="宋体" w:cs="Times New Roman" w:hint="eastAsia"/>
          <w:sz w:val="24"/>
        </w:rPr>
        <w:t>2</w:t>
      </w:r>
      <w:r w:rsidRPr="002E0E2F">
        <w:rPr>
          <w:rFonts w:ascii="宋体" w:eastAsia="宋体" w:hAnsi="宋体" w:cs="Times New Roman"/>
          <w:sz w:val="24"/>
        </w:rPr>
        <w:t xml:space="preserve">. </w:t>
      </w:r>
      <w:r w:rsidRPr="002E0E2F">
        <w:rPr>
          <w:rFonts w:ascii="宋体" w:eastAsia="宋体" w:hAnsi="宋体" w:cs="Times New Roman" w:hint="eastAsia"/>
          <w:sz w:val="24"/>
        </w:rPr>
        <w:t>职业标准及发展趋势</w:t>
      </w:r>
    </w:p>
    <w:p w14:paraId="693395B0"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7B025D2C" w14:textId="77777777" w:rsidR="002E0E2F" w:rsidRPr="002E0E2F" w:rsidRDefault="002E0E2F" w:rsidP="002E0E2F">
      <w:pPr>
        <w:spacing w:line="440" w:lineRule="exact"/>
        <w:ind w:firstLineChars="200" w:firstLine="480"/>
        <w:rPr>
          <w:rFonts w:ascii="宋体" w:eastAsia="宋体" w:hAnsi="宋体" w:cs="Times New Roman"/>
          <w:b/>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color w:val="000000"/>
          <w:kern w:val="0"/>
          <w:sz w:val="24"/>
        </w:rPr>
        <w:t>与专业相关的职业分类知识，职业与专业的关系</w:t>
      </w:r>
    </w:p>
    <w:p w14:paraId="24BD51D4"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w:t>
      </w:r>
      <w:r w:rsidRPr="002E0E2F">
        <w:rPr>
          <w:rFonts w:ascii="宋体" w:eastAsia="宋体" w:hAnsi="宋体" w:cs="Times New Roman"/>
          <w:sz w:val="24"/>
        </w:rPr>
        <w:t xml:space="preserve">. </w:t>
      </w:r>
      <w:r w:rsidRPr="002E0E2F">
        <w:rPr>
          <w:rFonts w:ascii="宋体" w:eastAsia="宋体" w:hAnsi="宋体" w:cs="宋体" w:hint="eastAsia"/>
          <w:sz w:val="24"/>
        </w:rPr>
        <w:t>职业的发展趋势</w:t>
      </w:r>
    </w:p>
    <w:p w14:paraId="0DF8FAC6"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23B93FB8" w14:textId="77777777" w:rsidR="002E0E2F" w:rsidRPr="002E0E2F" w:rsidRDefault="002E0E2F" w:rsidP="00747ECA">
      <w:pPr>
        <w:numPr>
          <w:ilvl w:val="0"/>
          <w:numId w:val="52"/>
        </w:num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通过多媒体课件和传统教学相结合，阐明课程与教学基本原理，丰富学生课程与教学的基本知识结构，培养学生的职业规范；</w:t>
      </w:r>
    </w:p>
    <w:p w14:paraId="14CE3BC1" w14:textId="77777777" w:rsidR="002E0E2F" w:rsidRPr="002E0E2F" w:rsidRDefault="002E0E2F" w:rsidP="00747ECA">
      <w:pPr>
        <w:numPr>
          <w:ilvl w:val="0"/>
          <w:numId w:val="52"/>
        </w:num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通过课堂汇报和课堂讨论，强化学生的参与意识和反思能力。</w:t>
      </w:r>
    </w:p>
    <w:p w14:paraId="46D720A6"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460C495C"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lastRenderedPageBreak/>
        <w:t>1</w:t>
      </w:r>
      <w:r w:rsidRPr="002E0E2F">
        <w:rPr>
          <w:rFonts w:ascii="宋体" w:eastAsia="宋体" w:hAnsi="宋体" w:cs="Times New Roman"/>
          <w:sz w:val="24"/>
        </w:rPr>
        <w:t>.</w:t>
      </w:r>
      <w:r w:rsidRPr="002E0E2F">
        <w:rPr>
          <w:rFonts w:ascii="宋体" w:eastAsia="宋体" w:hAnsi="宋体" w:cs="Times New Roman" w:hint="eastAsia"/>
          <w:color w:val="000000"/>
          <w:kern w:val="0"/>
          <w:sz w:val="24"/>
        </w:rPr>
        <w:t xml:space="preserve"> 职业分类的主要特点</w:t>
      </w:r>
    </w:p>
    <w:p w14:paraId="60672C15"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w:t>
      </w:r>
      <w:r w:rsidRPr="002E0E2F">
        <w:rPr>
          <w:rFonts w:ascii="宋体" w:eastAsia="宋体" w:hAnsi="宋体" w:cs="Times New Roman"/>
          <w:sz w:val="24"/>
        </w:rPr>
        <w:t xml:space="preserve">. </w:t>
      </w:r>
      <w:r w:rsidRPr="002E0E2F">
        <w:rPr>
          <w:rFonts w:ascii="宋体" w:eastAsia="宋体" w:hAnsi="宋体" w:cs="Times New Roman" w:hint="eastAsia"/>
          <w:color w:val="000000"/>
          <w:kern w:val="0"/>
          <w:sz w:val="24"/>
        </w:rPr>
        <w:t>职业与专业有哪些异同？</w:t>
      </w:r>
    </w:p>
    <w:p w14:paraId="7112FD6A"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w:t>
      </w:r>
      <w:r w:rsidRPr="002E0E2F">
        <w:rPr>
          <w:rFonts w:ascii="宋体" w:eastAsia="宋体" w:hAnsi="宋体" w:cs="Times New Roman"/>
          <w:sz w:val="24"/>
        </w:rPr>
        <w:t>. 职业发展的主要趋势</w:t>
      </w:r>
    </w:p>
    <w:p w14:paraId="0090B8E8"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 xml:space="preserve">第二章  </w:t>
      </w:r>
      <w:r w:rsidRPr="002E0E2F">
        <w:rPr>
          <w:rFonts w:ascii="宋体" w:eastAsia="宋体" w:hAnsi="宋体" w:cs="Times New Roman" w:hint="eastAsia"/>
          <w:b/>
          <w:sz w:val="28"/>
          <w:szCs w:val="28"/>
        </w:rPr>
        <w:t>大学</w:t>
      </w:r>
      <w:proofErr w:type="gramStart"/>
      <w:r w:rsidRPr="002E0E2F">
        <w:rPr>
          <w:rFonts w:ascii="宋体" w:eastAsia="宋体" w:hAnsi="宋体" w:cs="Times New Roman" w:hint="eastAsia"/>
          <w:b/>
          <w:sz w:val="28"/>
          <w:szCs w:val="28"/>
        </w:rPr>
        <w:t>学涯</w:t>
      </w:r>
      <w:proofErr w:type="gramEnd"/>
      <w:r w:rsidRPr="002E0E2F">
        <w:rPr>
          <w:rFonts w:ascii="宋体" w:eastAsia="宋体" w:hAnsi="宋体" w:cs="Times New Roman" w:hint="eastAsia"/>
          <w:b/>
          <w:sz w:val="28"/>
          <w:szCs w:val="28"/>
        </w:rPr>
        <w:t>与职业生涯规划</w:t>
      </w:r>
    </w:p>
    <w:p w14:paraId="4B125740"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19AA0A38"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w:t>
      </w:r>
      <w:r w:rsidRPr="002E0E2F">
        <w:rPr>
          <w:rFonts w:ascii="宋体" w:eastAsia="宋体" w:hAnsi="宋体" w:cs="Times New Roman" w:hint="eastAsia"/>
          <w:color w:val="000000"/>
          <w:kern w:val="0"/>
          <w:sz w:val="24"/>
        </w:rPr>
        <w:t>正确认识大学</w:t>
      </w:r>
      <w:proofErr w:type="gramStart"/>
      <w:r w:rsidRPr="002E0E2F">
        <w:rPr>
          <w:rFonts w:ascii="宋体" w:eastAsia="宋体" w:hAnsi="宋体" w:cs="Times New Roman" w:hint="eastAsia"/>
          <w:color w:val="000000"/>
          <w:kern w:val="0"/>
          <w:sz w:val="24"/>
        </w:rPr>
        <w:t>学涯</w:t>
      </w:r>
      <w:proofErr w:type="gramEnd"/>
      <w:r w:rsidRPr="002E0E2F">
        <w:rPr>
          <w:rFonts w:ascii="宋体" w:eastAsia="宋体" w:hAnsi="宋体" w:cs="Times New Roman" w:hint="eastAsia"/>
          <w:color w:val="000000"/>
          <w:kern w:val="0"/>
          <w:sz w:val="24"/>
        </w:rPr>
        <w:t>与职业生涯的关系，</w:t>
      </w:r>
      <w:r w:rsidRPr="002E0E2F">
        <w:rPr>
          <w:rFonts w:ascii="宋体" w:eastAsia="宋体" w:hAnsi="宋体" w:cs="Times New Roman" w:hint="eastAsia"/>
          <w:sz w:val="24"/>
        </w:rPr>
        <w:t>了解职业生涯规划的基本概念和相关理论，</w:t>
      </w:r>
      <w:r w:rsidRPr="002E0E2F">
        <w:rPr>
          <w:rFonts w:ascii="宋体" w:eastAsia="宋体" w:hAnsi="宋体" w:cs="Times New Roman" w:hint="eastAsia"/>
          <w:color w:val="000000"/>
          <w:kern w:val="0"/>
          <w:sz w:val="24"/>
        </w:rPr>
        <w:t xml:space="preserve">掌握科学的职业生涯规划的基本理论； </w:t>
      </w:r>
    </w:p>
    <w:p w14:paraId="2B56CEBA"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过程与方法类目标：通过教学使</w:t>
      </w:r>
      <w:r w:rsidRPr="002E0E2F">
        <w:rPr>
          <w:rFonts w:ascii="宋体" w:eastAsia="宋体" w:hAnsi="宋体" w:cs="Times New Roman" w:hint="eastAsia"/>
          <w:color w:val="000000"/>
          <w:kern w:val="0"/>
          <w:sz w:val="24"/>
        </w:rPr>
        <w:t>学生认识到大学</w:t>
      </w:r>
      <w:proofErr w:type="gramStart"/>
      <w:r w:rsidRPr="002E0E2F">
        <w:rPr>
          <w:rFonts w:ascii="宋体" w:eastAsia="宋体" w:hAnsi="宋体" w:cs="Times New Roman" w:hint="eastAsia"/>
          <w:color w:val="000000"/>
          <w:kern w:val="0"/>
          <w:sz w:val="24"/>
        </w:rPr>
        <w:t>学涯</w:t>
      </w:r>
      <w:proofErr w:type="gramEnd"/>
      <w:r w:rsidRPr="002E0E2F">
        <w:rPr>
          <w:rFonts w:ascii="宋体" w:eastAsia="宋体" w:hAnsi="宋体" w:cs="Times New Roman" w:hint="eastAsia"/>
          <w:color w:val="000000"/>
          <w:kern w:val="0"/>
          <w:sz w:val="24"/>
        </w:rPr>
        <w:t>对未来职业生涯的重要价值，初步了解生涯发展理论，树立生涯意识，为职业生涯规划的实施打好理论基础。</w:t>
      </w:r>
    </w:p>
    <w:p w14:paraId="3C457AE1"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5087E440"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bCs/>
          <w:sz w:val="24"/>
        </w:rPr>
        <w:t>1.</w:t>
      </w:r>
      <w:r w:rsidRPr="002E0E2F">
        <w:rPr>
          <w:rFonts w:ascii="宋体" w:eastAsia="宋体" w:hAnsi="宋体" w:cs="Times New Roman" w:hint="eastAsia"/>
          <w:color w:val="000000"/>
          <w:sz w:val="24"/>
        </w:rPr>
        <w:t xml:space="preserve"> 大学</w:t>
      </w:r>
      <w:proofErr w:type="gramStart"/>
      <w:r w:rsidRPr="002E0E2F">
        <w:rPr>
          <w:rFonts w:ascii="宋体" w:eastAsia="宋体" w:hAnsi="宋体" w:cs="Times New Roman" w:hint="eastAsia"/>
          <w:color w:val="000000"/>
          <w:sz w:val="24"/>
        </w:rPr>
        <w:t>学涯</w:t>
      </w:r>
      <w:proofErr w:type="gramEnd"/>
      <w:r w:rsidRPr="002E0E2F">
        <w:rPr>
          <w:rFonts w:ascii="宋体" w:eastAsia="宋体" w:hAnsi="宋体" w:cs="Times New Roman" w:hint="eastAsia"/>
          <w:color w:val="000000"/>
          <w:sz w:val="24"/>
        </w:rPr>
        <w:t>与职业生涯</w:t>
      </w:r>
    </w:p>
    <w:p w14:paraId="084C5547"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w:t>
      </w:r>
      <w:r w:rsidRPr="002E0E2F">
        <w:rPr>
          <w:rFonts w:ascii="宋体" w:eastAsia="宋体" w:hAnsi="宋体" w:cs="Times New Roman" w:hint="eastAsia"/>
          <w:bCs/>
          <w:color w:val="000000"/>
          <w:kern w:val="0"/>
          <w:sz w:val="24"/>
        </w:rPr>
        <w:t xml:space="preserve"> 职业生涯规划概述</w:t>
      </w:r>
    </w:p>
    <w:p w14:paraId="73703917"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 职业生涯规划的基本理论</w:t>
      </w:r>
    </w:p>
    <w:p w14:paraId="334B1F51"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63FD38EC" w14:textId="77777777" w:rsidR="002E0E2F" w:rsidRPr="002E0E2F" w:rsidRDefault="002E0E2F" w:rsidP="00747ECA">
      <w:pPr>
        <w:numPr>
          <w:ilvl w:val="0"/>
          <w:numId w:val="53"/>
        </w:num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bCs/>
          <w:color w:val="000000"/>
          <w:kern w:val="0"/>
          <w:sz w:val="24"/>
        </w:rPr>
        <w:t>霍兰德职业兴趣理论</w:t>
      </w:r>
    </w:p>
    <w:p w14:paraId="047D8F0E" w14:textId="77777777" w:rsidR="002E0E2F" w:rsidRPr="002E0E2F" w:rsidRDefault="002E0E2F" w:rsidP="00747ECA">
      <w:pPr>
        <w:numPr>
          <w:ilvl w:val="0"/>
          <w:numId w:val="53"/>
        </w:num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bCs/>
          <w:color w:val="000000"/>
          <w:kern w:val="0"/>
          <w:sz w:val="24"/>
        </w:rPr>
        <w:t>认知信息加工理论</w:t>
      </w:r>
    </w:p>
    <w:p w14:paraId="5FE5ACFA" w14:textId="77777777" w:rsidR="002E0E2F" w:rsidRPr="002E0E2F" w:rsidRDefault="002E0E2F" w:rsidP="00747ECA">
      <w:pPr>
        <w:numPr>
          <w:ilvl w:val="0"/>
          <w:numId w:val="53"/>
        </w:num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bCs/>
          <w:color w:val="000000"/>
          <w:kern w:val="0"/>
          <w:sz w:val="24"/>
        </w:rPr>
        <w:t>生涯混沌理论</w:t>
      </w:r>
    </w:p>
    <w:p w14:paraId="0929E910"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27DEB00E" w14:textId="77777777" w:rsidR="002E0E2F" w:rsidRPr="002E0E2F" w:rsidRDefault="002E0E2F" w:rsidP="00747ECA">
      <w:pPr>
        <w:numPr>
          <w:ilvl w:val="0"/>
          <w:numId w:val="54"/>
        </w:numPr>
        <w:spacing w:line="440" w:lineRule="exact"/>
        <w:ind w:firstLineChars="200" w:firstLine="480"/>
        <w:rPr>
          <w:rFonts w:ascii="宋体" w:eastAsia="宋体" w:hAnsi="宋体" w:cs="楷体_GB2312"/>
          <w:color w:val="000000"/>
          <w:kern w:val="0"/>
          <w:sz w:val="24"/>
        </w:rPr>
      </w:pPr>
      <w:r w:rsidRPr="002E0E2F">
        <w:rPr>
          <w:rFonts w:ascii="宋体" w:eastAsia="宋体" w:hAnsi="宋体" w:cs="Times New Roman" w:hint="eastAsia"/>
          <w:bCs/>
          <w:color w:val="000000"/>
          <w:kern w:val="0"/>
          <w:sz w:val="24"/>
        </w:rPr>
        <w:t>学</w:t>
      </w:r>
      <w:proofErr w:type="gramStart"/>
      <w:r w:rsidRPr="002E0E2F">
        <w:rPr>
          <w:rFonts w:ascii="宋体" w:eastAsia="宋体" w:hAnsi="宋体" w:cs="Times New Roman" w:hint="eastAsia"/>
          <w:bCs/>
          <w:color w:val="000000"/>
          <w:kern w:val="0"/>
          <w:sz w:val="24"/>
        </w:rPr>
        <w:t>涯</w:t>
      </w:r>
      <w:proofErr w:type="gramEnd"/>
      <w:r w:rsidRPr="002E0E2F">
        <w:rPr>
          <w:rFonts w:ascii="宋体" w:eastAsia="宋体" w:hAnsi="宋体" w:cs="Times New Roman" w:hint="eastAsia"/>
          <w:bCs/>
          <w:color w:val="000000"/>
          <w:kern w:val="0"/>
          <w:sz w:val="24"/>
        </w:rPr>
        <w:t>规划的重要性</w:t>
      </w:r>
    </w:p>
    <w:p w14:paraId="2514C721" w14:textId="77777777" w:rsidR="002E0E2F" w:rsidRPr="002E0E2F" w:rsidRDefault="002E0E2F" w:rsidP="00747ECA">
      <w:pPr>
        <w:numPr>
          <w:ilvl w:val="0"/>
          <w:numId w:val="54"/>
        </w:numPr>
        <w:spacing w:line="440" w:lineRule="exact"/>
        <w:ind w:firstLineChars="200" w:firstLine="480"/>
        <w:rPr>
          <w:rFonts w:ascii="宋体" w:eastAsia="宋体" w:hAnsi="宋体" w:cs="Times New Roman"/>
          <w:sz w:val="24"/>
        </w:rPr>
      </w:pPr>
      <w:r w:rsidRPr="002E0E2F">
        <w:rPr>
          <w:rFonts w:ascii="宋体" w:eastAsia="宋体" w:hAnsi="宋体" w:cs="Times New Roman" w:hint="eastAsia"/>
          <w:bCs/>
          <w:color w:val="000000"/>
          <w:kern w:val="0"/>
          <w:sz w:val="24"/>
        </w:rPr>
        <w:t>霍兰德职业兴趣理论，认知信息加工理论，生涯混沌理论</w:t>
      </w:r>
    </w:p>
    <w:p w14:paraId="2927FFC0"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7E8B3C84"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3E9D9701"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通过案例分析，强调理论与实践相结合，促进学生知识整合，培养学生参与意识和反思能力。</w:t>
      </w:r>
    </w:p>
    <w:p w14:paraId="3EB6CF5D"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063E0000"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proofErr w:type="gramStart"/>
      <w:r w:rsidRPr="002E0E2F">
        <w:rPr>
          <w:rFonts w:ascii="宋体" w:eastAsia="宋体" w:hAnsi="宋体" w:cs="Times New Roman" w:hint="eastAsia"/>
          <w:bCs/>
          <w:color w:val="000000"/>
          <w:kern w:val="0"/>
          <w:sz w:val="24"/>
        </w:rPr>
        <w:t>舒伯的</w:t>
      </w:r>
      <w:proofErr w:type="gramEnd"/>
      <w:r w:rsidRPr="002E0E2F">
        <w:rPr>
          <w:rFonts w:ascii="宋体" w:eastAsia="宋体" w:hAnsi="宋体" w:cs="Times New Roman" w:hint="eastAsia"/>
          <w:bCs/>
          <w:color w:val="000000"/>
          <w:kern w:val="0"/>
          <w:sz w:val="24"/>
        </w:rPr>
        <w:t>职业</w:t>
      </w:r>
      <w:r w:rsidRPr="002E0E2F">
        <w:rPr>
          <w:rFonts w:ascii="宋体" w:eastAsia="宋体" w:hAnsi="宋体" w:cs="Times New Roman" w:hint="eastAsia"/>
          <w:sz w:val="24"/>
        </w:rPr>
        <w:t>生涯发展理论划分为哪几个主要阶段？</w:t>
      </w:r>
    </w:p>
    <w:p w14:paraId="1392B1FB"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如何分析和解读生涯彩虹图？</w:t>
      </w:r>
    </w:p>
    <w:p w14:paraId="7DC2A393"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3．霍兰德职业兴</w:t>
      </w:r>
      <w:r w:rsidRPr="002E0E2F">
        <w:rPr>
          <w:rFonts w:ascii="宋体" w:eastAsia="宋体" w:hAnsi="宋体" w:cs="Times New Roman" w:hint="eastAsia"/>
          <w:bCs/>
          <w:color w:val="000000"/>
          <w:kern w:val="0"/>
          <w:sz w:val="24"/>
        </w:rPr>
        <w:t>趣理论的重要结论和应用价值</w:t>
      </w:r>
    </w:p>
    <w:p w14:paraId="2F0A43DA"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 xml:space="preserve">第三章  </w:t>
      </w:r>
      <w:r w:rsidRPr="002E0E2F">
        <w:rPr>
          <w:rFonts w:ascii="宋体" w:eastAsia="宋体" w:hAnsi="宋体" w:cs="Times New Roman" w:hint="eastAsia"/>
          <w:b/>
          <w:sz w:val="28"/>
          <w:szCs w:val="28"/>
        </w:rPr>
        <w:t>职业生涯规划实务</w:t>
      </w:r>
    </w:p>
    <w:p w14:paraId="37D9C901"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lastRenderedPageBreak/>
        <w:t>【学习目标】</w:t>
      </w:r>
    </w:p>
    <w:p w14:paraId="3900F7CA"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w:t>
      </w:r>
      <w:r w:rsidRPr="002E0E2F">
        <w:rPr>
          <w:rFonts w:ascii="宋体" w:eastAsia="宋体" w:hAnsi="宋体" w:cs="宋体" w:hint="eastAsia"/>
          <w:color w:val="000000"/>
          <w:kern w:val="0"/>
          <w:sz w:val="24"/>
        </w:rPr>
        <w:t>认识到做好职业生涯发展规划的作用和意义，使学生</w:t>
      </w:r>
      <w:r w:rsidRPr="002E0E2F">
        <w:rPr>
          <w:rFonts w:ascii="宋体" w:eastAsia="宋体" w:hAnsi="宋体" w:cs="Times New Roman" w:hint="eastAsia"/>
          <w:color w:val="000000"/>
          <w:kern w:val="0"/>
          <w:sz w:val="24"/>
        </w:rPr>
        <w:t>提高自我管理技能。</w:t>
      </w:r>
    </w:p>
    <w:p w14:paraId="752EE4B5"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2.过程与方法类目标：掌握</w:t>
      </w:r>
      <w:r w:rsidRPr="002E0E2F">
        <w:rPr>
          <w:rFonts w:ascii="宋体" w:eastAsia="宋体" w:hAnsi="宋体" w:cs="宋体" w:hint="eastAsia"/>
          <w:color w:val="000000"/>
          <w:kern w:val="0"/>
          <w:sz w:val="24"/>
        </w:rPr>
        <w:t>职业生涯规划理论及应用的方法与步骤，</w:t>
      </w:r>
      <w:r w:rsidRPr="002E0E2F">
        <w:rPr>
          <w:rFonts w:ascii="宋体" w:eastAsia="宋体" w:hAnsi="宋体" w:cs="Times New Roman" w:hint="eastAsia"/>
          <w:color w:val="000000"/>
          <w:kern w:val="0"/>
          <w:sz w:val="24"/>
        </w:rPr>
        <w:t>学会结合自身情况，科学合理地进行职业生涯规划</w:t>
      </w:r>
      <w:r w:rsidRPr="002E0E2F">
        <w:rPr>
          <w:rFonts w:ascii="宋体" w:eastAsia="宋体" w:hAnsi="宋体" w:cs="Times New Roman" w:hint="eastAsia"/>
          <w:sz w:val="24"/>
        </w:rPr>
        <w:t>。</w:t>
      </w:r>
    </w:p>
    <w:p w14:paraId="2308FC46"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2AC2E179"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bCs/>
          <w:sz w:val="24"/>
        </w:rPr>
        <w:t>1.</w:t>
      </w:r>
      <w:r w:rsidRPr="002E0E2F">
        <w:rPr>
          <w:rFonts w:ascii="宋体" w:eastAsia="宋体" w:hAnsi="宋体" w:cs="Times New Roman" w:hint="eastAsia"/>
          <w:color w:val="000000"/>
          <w:sz w:val="24"/>
        </w:rPr>
        <w:t xml:space="preserve"> 自我认知</w:t>
      </w:r>
    </w:p>
    <w:p w14:paraId="1150A2D8" w14:textId="77777777" w:rsidR="002E0E2F" w:rsidRPr="002E0E2F" w:rsidRDefault="002E0E2F" w:rsidP="002E0E2F">
      <w:pPr>
        <w:widowControl/>
        <w:wordWrap w:val="0"/>
        <w:spacing w:line="500" w:lineRule="exact"/>
        <w:ind w:firstLineChars="200" w:firstLine="480"/>
        <w:jc w:val="left"/>
        <w:rPr>
          <w:rFonts w:ascii="宋体" w:eastAsia="宋体" w:hAnsi="宋体" w:cs="Times New Roman"/>
          <w:bCs/>
          <w:color w:val="000000"/>
          <w:kern w:val="0"/>
          <w:sz w:val="24"/>
        </w:rPr>
      </w:pPr>
      <w:r w:rsidRPr="002E0E2F">
        <w:rPr>
          <w:rFonts w:ascii="宋体" w:eastAsia="宋体" w:hAnsi="宋体" w:cs="Times New Roman" w:hint="eastAsia"/>
          <w:sz w:val="24"/>
        </w:rPr>
        <w:t>2.</w:t>
      </w:r>
      <w:r w:rsidRPr="002E0E2F">
        <w:rPr>
          <w:rFonts w:ascii="宋体" w:eastAsia="宋体" w:hAnsi="宋体" w:cs="Times New Roman" w:hint="eastAsia"/>
          <w:bCs/>
          <w:color w:val="000000"/>
          <w:kern w:val="0"/>
          <w:sz w:val="24"/>
        </w:rPr>
        <w:t xml:space="preserve"> 职业探索</w:t>
      </w:r>
    </w:p>
    <w:p w14:paraId="5D8401AC" w14:textId="77777777" w:rsidR="002E0E2F" w:rsidRPr="002E0E2F" w:rsidRDefault="002E0E2F" w:rsidP="002E0E2F">
      <w:pPr>
        <w:widowControl/>
        <w:wordWrap w:val="0"/>
        <w:spacing w:line="500" w:lineRule="exact"/>
        <w:ind w:firstLineChars="200" w:firstLine="480"/>
        <w:jc w:val="left"/>
        <w:rPr>
          <w:rFonts w:ascii="宋体" w:eastAsia="宋体" w:hAnsi="宋体" w:cs="Times New Roman"/>
          <w:bCs/>
          <w:color w:val="000000"/>
          <w:kern w:val="0"/>
          <w:sz w:val="24"/>
        </w:rPr>
      </w:pPr>
      <w:r w:rsidRPr="002E0E2F">
        <w:rPr>
          <w:rFonts w:ascii="宋体" w:eastAsia="宋体" w:hAnsi="宋体" w:cs="Times New Roman" w:hint="eastAsia"/>
          <w:bCs/>
          <w:color w:val="000000"/>
          <w:kern w:val="0"/>
          <w:sz w:val="24"/>
        </w:rPr>
        <w:t>3．</w:t>
      </w:r>
      <w:r w:rsidRPr="002E0E2F">
        <w:rPr>
          <w:rFonts w:ascii="宋体" w:eastAsia="宋体" w:hAnsi="宋体" w:cs="Times New Roman" w:hint="eastAsia"/>
          <w:color w:val="000000"/>
          <w:sz w:val="24"/>
        </w:rPr>
        <w:t>职业</w:t>
      </w:r>
      <w:r w:rsidRPr="002E0E2F">
        <w:rPr>
          <w:rFonts w:ascii="宋体" w:eastAsia="宋体" w:hAnsi="宋体" w:cs="Times New Roman" w:hint="eastAsia"/>
          <w:bCs/>
          <w:color w:val="000000"/>
          <w:kern w:val="0"/>
          <w:sz w:val="24"/>
        </w:rPr>
        <w:t>生涯决策</w:t>
      </w:r>
    </w:p>
    <w:p w14:paraId="2C410F15" w14:textId="77777777" w:rsidR="002E0E2F" w:rsidRPr="002E0E2F" w:rsidRDefault="002E0E2F" w:rsidP="002E0E2F">
      <w:pPr>
        <w:widowControl/>
        <w:wordWrap w:val="0"/>
        <w:spacing w:line="500" w:lineRule="exact"/>
        <w:ind w:firstLineChars="200" w:firstLine="480"/>
        <w:jc w:val="left"/>
        <w:rPr>
          <w:rFonts w:ascii="宋体" w:eastAsia="宋体" w:hAnsi="宋体" w:cs="Times New Roman"/>
          <w:bCs/>
          <w:color w:val="000000"/>
          <w:kern w:val="0"/>
          <w:sz w:val="24"/>
        </w:rPr>
      </w:pPr>
      <w:r w:rsidRPr="002E0E2F">
        <w:rPr>
          <w:rFonts w:ascii="宋体" w:eastAsia="宋体" w:hAnsi="宋体" w:cs="Times New Roman" w:hint="eastAsia"/>
          <w:bCs/>
          <w:color w:val="000000"/>
          <w:kern w:val="0"/>
          <w:sz w:val="24"/>
        </w:rPr>
        <w:t>4．行动计划制定</w:t>
      </w:r>
    </w:p>
    <w:p w14:paraId="56EC6C2C" w14:textId="77777777" w:rsidR="002E0E2F" w:rsidRPr="002E0E2F" w:rsidRDefault="002E0E2F" w:rsidP="002E0E2F">
      <w:pPr>
        <w:widowControl/>
        <w:wordWrap w:val="0"/>
        <w:spacing w:line="500" w:lineRule="exact"/>
        <w:ind w:firstLineChars="200" w:firstLine="480"/>
        <w:jc w:val="left"/>
        <w:rPr>
          <w:rFonts w:ascii="宋体" w:eastAsia="宋体" w:hAnsi="宋体" w:cs="Times New Roman"/>
          <w:bCs/>
          <w:color w:val="000000"/>
          <w:kern w:val="0"/>
          <w:sz w:val="24"/>
        </w:rPr>
      </w:pPr>
      <w:r w:rsidRPr="002E0E2F">
        <w:rPr>
          <w:rFonts w:ascii="宋体" w:eastAsia="宋体" w:hAnsi="宋体" w:cs="Times New Roman" w:hint="eastAsia"/>
          <w:bCs/>
          <w:color w:val="000000"/>
          <w:kern w:val="0"/>
          <w:sz w:val="24"/>
        </w:rPr>
        <w:t>5．评估与调整</w:t>
      </w:r>
    </w:p>
    <w:p w14:paraId="46FEC221"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366A4647" w14:textId="77777777" w:rsidR="002E0E2F" w:rsidRPr="002E0E2F" w:rsidRDefault="002E0E2F" w:rsidP="002E0E2F">
      <w:pPr>
        <w:spacing w:line="440" w:lineRule="exact"/>
        <w:ind w:firstLineChars="200" w:firstLine="480"/>
        <w:rPr>
          <w:rFonts w:ascii="宋体" w:eastAsia="宋体" w:hAnsi="宋体" w:cs="Times New Roman"/>
          <w:b/>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color w:val="000000"/>
          <w:sz w:val="24"/>
        </w:rPr>
        <w:t>自我认知、职业探索、生涯决策和行动计划</w:t>
      </w:r>
    </w:p>
    <w:p w14:paraId="2616E6EA"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57A55FAB" w14:textId="77777777" w:rsidR="002E0E2F" w:rsidRPr="002E0E2F" w:rsidRDefault="002E0E2F" w:rsidP="002E0E2F">
      <w:pPr>
        <w:spacing w:line="440" w:lineRule="exact"/>
        <w:ind w:firstLineChars="200" w:firstLine="480"/>
        <w:rPr>
          <w:rFonts w:ascii="宋体" w:eastAsia="宋体" w:hAnsi="宋体" w:cs="楷体_GB2312"/>
          <w:color w:val="000000"/>
          <w:kern w:val="0"/>
          <w:sz w:val="24"/>
        </w:rPr>
      </w:pPr>
      <w:r w:rsidRPr="002E0E2F">
        <w:rPr>
          <w:rFonts w:ascii="宋体" w:eastAsia="宋体" w:hAnsi="宋体" w:cs="楷体_GB2312" w:hint="eastAsia"/>
          <w:color w:val="000000"/>
          <w:kern w:val="0"/>
          <w:sz w:val="24"/>
        </w:rPr>
        <w:t>1.</w:t>
      </w:r>
      <w:r w:rsidRPr="002E0E2F">
        <w:rPr>
          <w:rFonts w:ascii="宋体" w:eastAsia="宋体" w:hAnsi="宋体" w:cs="Times New Roman" w:hint="eastAsia"/>
          <w:color w:val="000000"/>
          <w:sz w:val="24"/>
        </w:rPr>
        <w:t xml:space="preserve"> 自我认知、职业探索、生涯决策和行动计划</w:t>
      </w:r>
    </w:p>
    <w:p w14:paraId="7E5419F4"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7B74A8FD"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4583DBC9"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通过案例分析，强调理论与实践相结合，促进学生知识整合，培养学生参与意识和反思能力。</w:t>
      </w:r>
    </w:p>
    <w:p w14:paraId="6E937AD2"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3.通过小组合作学习，树立育人意识，发展学生的合作能力和相应课程设计能力；</w:t>
      </w:r>
    </w:p>
    <w:p w14:paraId="2ADBAB19"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483FABA2"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宋体" w:hint="eastAsia"/>
          <w:color w:val="000000"/>
          <w:kern w:val="0"/>
          <w:sz w:val="24"/>
        </w:rPr>
        <w:t>自我认知需要认知自己的哪几个主要方面</w:t>
      </w:r>
      <w:r w:rsidRPr="002E0E2F">
        <w:rPr>
          <w:rFonts w:ascii="宋体" w:eastAsia="宋体" w:hAnsi="宋体" w:cs="Times New Roman" w:hint="eastAsia"/>
          <w:sz w:val="24"/>
        </w:rPr>
        <w:t>？</w:t>
      </w:r>
    </w:p>
    <w:p w14:paraId="4DA83F9D" w14:textId="77777777" w:rsidR="002E0E2F" w:rsidRPr="002E0E2F" w:rsidRDefault="002E0E2F" w:rsidP="002E0E2F">
      <w:pPr>
        <w:widowControl/>
        <w:spacing w:line="500" w:lineRule="exact"/>
        <w:ind w:firstLineChars="196" w:firstLine="470"/>
        <w:rPr>
          <w:rFonts w:ascii="宋体" w:eastAsia="宋体" w:hAnsi="宋体" w:cs="Times New Roman"/>
          <w:sz w:val="24"/>
        </w:rPr>
      </w:pPr>
      <w:r w:rsidRPr="002E0E2F">
        <w:rPr>
          <w:rFonts w:ascii="宋体" w:eastAsia="宋体" w:hAnsi="宋体" w:cs="Times New Roman" w:hint="eastAsia"/>
          <w:sz w:val="24"/>
        </w:rPr>
        <w:t>2.</w:t>
      </w:r>
      <w:r w:rsidRPr="002E0E2F">
        <w:rPr>
          <w:rFonts w:ascii="宋体" w:eastAsia="宋体" w:hAnsi="宋体" w:cs="宋体" w:hint="eastAsia"/>
          <w:color w:val="000000"/>
          <w:kern w:val="0"/>
          <w:sz w:val="24"/>
        </w:rPr>
        <w:t xml:space="preserve"> 职业探索需要从哪几个方面进行</w:t>
      </w:r>
      <w:r w:rsidRPr="002E0E2F">
        <w:rPr>
          <w:rFonts w:ascii="宋体" w:eastAsia="宋体" w:hAnsi="宋体" w:cs="Times New Roman" w:hint="eastAsia"/>
          <w:sz w:val="24"/>
        </w:rPr>
        <w:t>？</w:t>
      </w:r>
    </w:p>
    <w:p w14:paraId="4A9D5B1A" w14:textId="77777777" w:rsidR="002E0E2F" w:rsidRPr="002E0E2F" w:rsidRDefault="002E0E2F" w:rsidP="002E0E2F">
      <w:pPr>
        <w:widowControl/>
        <w:spacing w:line="500" w:lineRule="exact"/>
        <w:ind w:firstLineChars="196" w:firstLine="470"/>
        <w:rPr>
          <w:rFonts w:ascii="宋体" w:eastAsia="宋体" w:hAnsi="宋体" w:cs="Times New Roman"/>
          <w:bCs/>
          <w:color w:val="000000"/>
          <w:kern w:val="0"/>
          <w:sz w:val="24"/>
        </w:rPr>
      </w:pPr>
      <w:r w:rsidRPr="002E0E2F">
        <w:rPr>
          <w:rFonts w:ascii="宋体" w:eastAsia="宋体" w:hAnsi="宋体" w:cs="Times New Roman" w:hint="eastAsia"/>
          <w:sz w:val="24"/>
        </w:rPr>
        <w:t>3．</w:t>
      </w:r>
      <w:r w:rsidRPr="002E0E2F">
        <w:rPr>
          <w:rFonts w:ascii="宋体" w:eastAsia="宋体" w:hAnsi="宋体" w:cs="宋体" w:hint="eastAsia"/>
          <w:color w:val="000000"/>
          <w:kern w:val="0"/>
          <w:sz w:val="24"/>
        </w:rPr>
        <w:t>如何运用</w:t>
      </w:r>
      <w:r w:rsidRPr="002E0E2F">
        <w:rPr>
          <w:rFonts w:ascii="宋体" w:eastAsia="宋体" w:hAnsi="宋体" w:cs="Times New Roman" w:hint="eastAsia"/>
          <w:bCs/>
          <w:color w:val="000000"/>
          <w:kern w:val="0"/>
          <w:sz w:val="24"/>
        </w:rPr>
        <w:t>生涯决策</w:t>
      </w:r>
      <w:proofErr w:type="gramStart"/>
      <w:r w:rsidRPr="002E0E2F">
        <w:rPr>
          <w:rFonts w:ascii="宋体" w:eastAsia="宋体" w:hAnsi="宋体" w:cs="Times New Roman" w:hint="eastAsia"/>
          <w:bCs/>
          <w:color w:val="000000"/>
          <w:kern w:val="0"/>
          <w:sz w:val="24"/>
        </w:rPr>
        <w:t>平衡单</w:t>
      </w:r>
      <w:proofErr w:type="gramEnd"/>
      <w:r w:rsidRPr="002E0E2F">
        <w:rPr>
          <w:rFonts w:ascii="宋体" w:eastAsia="宋体" w:hAnsi="宋体" w:cs="Times New Roman" w:hint="eastAsia"/>
          <w:bCs/>
          <w:color w:val="000000"/>
          <w:kern w:val="0"/>
          <w:sz w:val="24"/>
        </w:rPr>
        <w:t>进行职业生涯决策？</w:t>
      </w:r>
    </w:p>
    <w:p w14:paraId="11BCD1F5" w14:textId="77777777" w:rsidR="002E0E2F" w:rsidRPr="002E0E2F" w:rsidRDefault="002E0E2F" w:rsidP="002E0E2F">
      <w:pPr>
        <w:widowControl/>
        <w:spacing w:line="500" w:lineRule="exact"/>
        <w:ind w:firstLineChars="196" w:firstLine="470"/>
        <w:rPr>
          <w:rFonts w:ascii="宋体" w:eastAsia="宋体" w:hAnsi="宋体" w:cs="宋体"/>
          <w:color w:val="000000"/>
          <w:kern w:val="0"/>
          <w:sz w:val="24"/>
        </w:rPr>
      </w:pPr>
      <w:r w:rsidRPr="002E0E2F">
        <w:rPr>
          <w:rFonts w:ascii="宋体" w:eastAsia="宋体" w:hAnsi="宋体" w:cs="Times New Roman" w:hint="eastAsia"/>
          <w:bCs/>
          <w:color w:val="000000"/>
          <w:kern w:val="0"/>
          <w:sz w:val="24"/>
        </w:rPr>
        <w:t>4．如何制订自己的职业生涯规划中的行动计划？</w:t>
      </w:r>
    </w:p>
    <w:p w14:paraId="13CF71DC" w14:textId="77777777" w:rsidR="002E0E2F" w:rsidRPr="002E0E2F" w:rsidRDefault="002E0E2F" w:rsidP="002E0E2F">
      <w:pPr>
        <w:widowControl/>
        <w:spacing w:line="500" w:lineRule="exact"/>
        <w:ind w:firstLineChars="196" w:firstLine="470"/>
        <w:rPr>
          <w:rFonts w:ascii="宋体" w:eastAsia="宋体" w:hAnsi="宋体" w:cs="宋体"/>
          <w:color w:val="000000"/>
          <w:kern w:val="0"/>
          <w:sz w:val="24"/>
        </w:rPr>
      </w:pPr>
      <w:r w:rsidRPr="002E0E2F">
        <w:rPr>
          <w:rFonts w:ascii="宋体" w:eastAsia="宋体" w:hAnsi="宋体" w:cs="宋体" w:hint="eastAsia"/>
          <w:color w:val="000000"/>
          <w:kern w:val="0"/>
          <w:sz w:val="24"/>
        </w:rPr>
        <w:t>5．</w:t>
      </w:r>
      <w:r w:rsidRPr="002E0E2F">
        <w:rPr>
          <w:rFonts w:ascii="宋体" w:eastAsia="宋体" w:hAnsi="宋体" w:cs="Times New Roman" w:hint="eastAsia"/>
          <w:bCs/>
          <w:color w:val="000000"/>
          <w:kern w:val="0"/>
          <w:sz w:val="24"/>
        </w:rPr>
        <w:t>职业生涯规划评估与调整的方法和步骤</w:t>
      </w:r>
    </w:p>
    <w:p w14:paraId="184FADD6"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第四章  职业形象管理</w:t>
      </w:r>
    </w:p>
    <w:p w14:paraId="43CCA4F6"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1CE15061"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认知类目标：通过教学使学生认识形象管理的重要性，</w:t>
      </w:r>
      <w:r w:rsidRPr="002E0E2F">
        <w:rPr>
          <w:rFonts w:ascii="宋体" w:eastAsia="宋体" w:hAnsi="宋体" w:cs="Times New Roman" w:hint="eastAsia"/>
          <w:color w:val="000000"/>
          <w:kern w:val="0"/>
          <w:sz w:val="24"/>
        </w:rPr>
        <w:t>初步掌握职业形象管</w:t>
      </w:r>
      <w:r w:rsidRPr="002E0E2F">
        <w:rPr>
          <w:rFonts w:ascii="宋体" w:eastAsia="宋体" w:hAnsi="宋体" w:cs="Times New Roman" w:hint="eastAsia"/>
          <w:color w:val="000000"/>
          <w:kern w:val="0"/>
          <w:sz w:val="24"/>
        </w:rPr>
        <w:lastRenderedPageBreak/>
        <w:t>理的基本知识及必要的规范和技巧。</w:t>
      </w:r>
    </w:p>
    <w:p w14:paraId="0AD55901"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35C444F2"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1.</w:t>
      </w:r>
      <w:r w:rsidRPr="002E0E2F">
        <w:rPr>
          <w:rFonts w:ascii="宋体" w:eastAsia="宋体" w:hAnsi="宋体" w:cs="Times New Roman" w:hint="eastAsia"/>
          <w:color w:val="000000"/>
          <w:sz w:val="24"/>
        </w:rPr>
        <w:t xml:space="preserve"> 仪容管理</w:t>
      </w:r>
    </w:p>
    <w:p w14:paraId="4595B9A0"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2.</w:t>
      </w:r>
      <w:r w:rsidRPr="002E0E2F">
        <w:rPr>
          <w:rFonts w:ascii="宋体" w:eastAsia="宋体" w:hAnsi="宋体" w:cs="Times New Roman" w:hint="eastAsia"/>
          <w:color w:val="000000"/>
          <w:sz w:val="24"/>
        </w:rPr>
        <w:t xml:space="preserve"> 服饰管理</w:t>
      </w:r>
    </w:p>
    <w:p w14:paraId="1BFF146E"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3.</w:t>
      </w:r>
      <w:r w:rsidRPr="002E0E2F">
        <w:rPr>
          <w:rFonts w:ascii="宋体" w:eastAsia="宋体" w:hAnsi="宋体" w:cs="Times New Roman" w:hint="eastAsia"/>
          <w:color w:val="000000"/>
          <w:sz w:val="24"/>
        </w:rPr>
        <w:t xml:space="preserve"> 仪态管理</w:t>
      </w:r>
    </w:p>
    <w:p w14:paraId="23BF899E"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060F3B15"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proofErr w:type="gramStart"/>
      <w:r w:rsidRPr="002E0E2F">
        <w:rPr>
          <w:rFonts w:ascii="宋体" w:eastAsia="宋体" w:hAnsi="宋体" w:cs="Times New Roman" w:hint="eastAsia"/>
          <w:color w:val="000000"/>
          <w:sz w:val="24"/>
        </w:rPr>
        <w:t>男士着</w:t>
      </w:r>
      <w:proofErr w:type="gramEnd"/>
      <w:r w:rsidRPr="002E0E2F">
        <w:rPr>
          <w:rFonts w:ascii="宋体" w:eastAsia="宋体" w:hAnsi="宋体" w:cs="Times New Roman" w:hint="eastAsia"/>
          <w:color w:val="000000"/>
          <w:sz w:val="24"/>
        </w:rPr>
        <w:t>西装的礼仪，女士职业服饰礼仪</w:t>
      </w:r>
    </w:p>
    <w:p w14:paraId="115A4F73"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50A6B8CE" w14:textId="77777777" w:rsidR="002E0E2F" w:rsidRPr="002E0E2F" w:rsidRDefault="002E0E2F" w:rsidP="002E0E2F">
      <w:pPr>
        <w:spacing w:line="440" w:lineRule="exact"/>
        <w:ind w:firstLineChars="200" w:firstLine="480"/>
        <w:rPr>
          <w:rFonts w:ascii="宋体" w:eastAsia="宋体" w:hAnsi="宋体" w:cs="楷体_GB2312"/>
          <w:color w:val="000000"/>
          <w:kern w:val="0"/>
          <w:sz w:val="24"/>
        </w:rPr>
      </w:pPr>
      <w:r w:rsidRPr="002E0E2F">
        <w:rPr>
          <w:rFonts w:ascii="宋体" w:eastAsia="宋体" w:hAnsi="宋体" w:cs="楷体_GB2312" w:hint="eastAsia"/>
          <w:color w:val="000000"/>
          <w:kern w:val="0"/>
          <w:sz w:val="24"/>
        </w:rPr>
        <w:t>1.</w:t>
      </w:r>
      <w:r w:rsidRPr="002E0E2F">
        <w:rPr>
          <w:rFonts w:ascii="宋体" w:eastAsia="宋体" w:hAnsi="宋体" w:cs="Times New Roman" w:hint="eastAsia"/>
          <w:color w:val="000000"/>
          <w:kern w:val="0"/>
          <w:sz w:val="24"/>
        </w:rPr>
        <w:t xml:space="preserve"> 化妆、服饰、仪态管理</w:t>
      </w:r>
    </w:p>
    <w:p w14:paraId="270CA25C"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2ABD7000"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407E7BE7"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通过案例分析，强调理论与实践相结合，促进学生知识整合，培养学生参与意识和反思能力。</w:t>
      </w:r>
    </w:p>
    <w:p w14:paraId="4F6426D5"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3.通过小组合作学习，树立育人意识，发展学生的合作能力和相应设计能力。</w:t>
      </w:r>
    </w:p>
    <w:p w14:paraId="50329205"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3F189F16"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proofErr w:type="gramStart"/>
      <w:r w:rsidRPr="002E0E2F">
        <w:rPr>
          <w:rFonts w:ascii="宋体" w:eastAsia="宋体" w:hAnsi="宋体" w:cs="Times New Roman" w:hint="eastAsia"/>
          <w:color w:val="000000"/>
          <w:sz w:val="24"/>
        </w:rPr>
        <w:t>男士着</w:t>
      </w:r>
      <w:proofErr w:type="gramEnd"/>
      <w:r w:rsidRPr="002E0E2F">
        <w:rPr>
          <w:rFonts w:ascii="宋体" w:eastAsia="宋体" w:hAnsi="宋体" w:cs="Times New Roman" w:hint="eastAsia"/>
          <w:color w:val="000000"/>
          <w:sz w:val="24"/>
        </w:rPr>
        <w:t>西装注意哪些方面</w:t>
      </w:r>
      <w:r w:rsidRPr="002E0E2F">
        <w:rPr>
          <w:rFonts w:ascii="宋体" w:eastAsia="宋体" w:hAnsi="宋体" w:cs="Times New Roman" w:hint="eastAsia"/>
          <w:sz w:val="24"/>
        </w:rPr>
        <w:t>？</w:t>
      </w:r>
    </w:p>
    <w:p w14:paraId="2E9BDD98"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w:t>
      </w:r>
      <w:r w:rsidRPr="002E0E2F">
        <w:rPr>
          <w:rFonts w:ascii="宋体" w:eastAsia="宋体" w:hAnsi="宋体" w:cs="Times New Roman" w:hint="eastAsia"/>
          <w:color w:val="000000"/>
          <w:sz w:val="24"/>
        </w:rPr>
        <w:t xml:space="preserve"> 女士的职业服饰注意哪些方面</w:t>
      </w:r>
      <w:r w:rsidRPr="002E0E2F">
        <w:rPr>
          <w:rFonts w:ascii="宋体" w:eastAsia="宋体" w:hAnsi="宋体" w:cs="Times New Roman" w:hint="eastAsia"/>
          <w:sz w:val="24"/>
        </w:rPr>
        <w:t>？</w:t>
      </w:r>
    </w:p>
    <w:p w14:paraId="2C90D873"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 xml:space="preserve">第五章  </w:t>
      </w:r>
      <w:proofErr w:type="gramStart"/>
      <w:r w:rsidRPr="002E0E2F">
        <w:rPr>
          <w:rFonts w:ascii="黑体" w:eastAsia="黑体" w:hAnsi="黑体" w:cs="Times New Roman" w:hint="eastAsia"/>
          <w:sz w:val="28"/>
          <w:szCs w:val="28"/>
        </w:rPr>
        <w:t>职场礼仪</w:t>
      </w:r>
      <w:proofErr w:type="gramEnd"/>
      <w:r w:rsidRPr="002E0E2F">
        <w:rPr>
          <w:rFonts w:ascii="黑体" w:eastAsia="黑体" w:hAnsi="黑体" w:cs="Times New Roman" w:hint="eastAsia"/>
          <w:sz w:val="28"/>
          <w:szCs w:val="28"/>
        </w:rPr>
        <w:t>修炼</w:t>
      </w:r>
    </w:p>
    <w:p w14:paraId="4BCC9183"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01F73159"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认知类目标：通过教学使学生掌握正确</w:t>
      </w:r>
      <w:proofErr w:type="gramStart"/>
      <w:r w:rsidRPr="002E0E2F">
        <w:rPr>
          <w:rFonts w:ascii="宋体" w:eastAsia="宋体" w:hAnsi="宋体" w:cs="Times New Roman" w:hint="eastAsia"/>
          <w:sz w:val="24"/>
        </w:rPr>
        <w:t>的职场礼仪</w:t>
      </w:r>
      <w:proofErr w:type="gramEnd"/>
      <w:r w:rsidRPr="002E0E2F">
        <w:rPr>
          <w:rFonts w:ascii="宋体" w:eastAsia="宋体" w:hAnsi="宋体" w:cs="Times New Roman" w:hint="eastAsia"/>
          <w:sz w:val="24"/>
        </w:rPr>
        <w:t>基本规范，</w:t>
      </w:r>
      <w:r w:rsidRPr="002E0E2F">
        <w:rPr>
          <w:rFonts w:ascii="宋体" w:eastAsia="宋体" w:hAnsi="宋体" w:cs="Times New Roman" w:hint="eastAsia"/>
          <w:color w:val="000000"/>
          <w:kern w:val="0"/>
          <w:sz w:val="24"/>
        </w:rPr>
        <w:t>并在日常生活中将规范内化为习惯。</w:t>
      </w:r>
    </w:p>
    <w:p w14:paraId="032CE63F"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6C89BA3B"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1.</w:t>
      </w:r>
      <w:r w:rsidRPr="002E0E2F">
        <w:rPr>
          <w:rFonts w:ascii="Calibri" w:eastAsia="宋体" w:hAnsi="Calibri" w:cs="Times New Roman" w:hint="eastAsia"/>
          <w:color w:val="000000"/>
          <w:sz w:val="24"/>
        </w:rPr>
        <w:t xml:space="preserve"> </w:t>
      </w:r>
      <w:proofErr w:type="gramStart"/>
      <w:r w:rsidRPr="002E0E2F">
        <w:rPr>
          <w:rFonts w:ascii="Calibri" w:eastAsia="宋体" w:hAnsi="Calibri" w:cs="Times New Roman" w:hint="eastAsia"/>
          <w:color w:val="000000"/>
          <w:sz w:val="24"/>
        </w:rPr>
        <w:t>职场礼仪</w:t>
      </w:r>
      <w:proofErr w:type="gramEnd"/>
    </w:p>
    <w:p w14:paraId="7ABA54DF"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2.</w:t>
      </w:r>
      <w:r w:rsidRPr="002E0E2F">
        <w:rPr>
          <w:rFonts w:ascii="宋体" w:eastAsia="宋体" w:hAnsi="宋体" w:cs="Times New Roman" w:hint="eastAsia"/>
          <w:bCs/>
          <w:color w:val="000000"/>
          <w:kern w:val="0"/>
          <w:sz w:val="24"/>
        </w:rPr>
        <w:t xml:space="preserve"> 社交礼仪</w:t>
      </w:r>
    </w:p>
    <w:p w14:paraId="5956F9DA"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3.</w:t>
      </w:r>
      <w:r w:rsidRPr="002E0E2F">
        <w:rPr>
          <w:rFonts w:ascii="宋体" w:eastAsia="宋体" w:hAnsi="宋体" w:cs="Times New Roman" w:hint="eastAsia"/>
          <w:bCs/>
          <w:color w:val="000000"/>
          <w:kern w:val="0"/>
          <w:sz w:val="24"/>
        </w:rPr>
        <w:t xml:space="preserve"> 宴会礼仪</w:t>
      </w:r>
    </w:p>
    <w:p w14:paraId="78BC105C"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61CC9667"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proofErr w:type="gramStart"/>
      <w:r w:rsidRPr="002E0E2F">
        <w:rPr>
          <w:rFonts w:ascii="宋体" w:eastAsia="宋体" w:hAnsi="宋体" w:cs="Times New Roman" w:hint="eastAsia"/>
          <w:bCs/>
          <w:color w:val="000000"/>
          <w:kern w:val="0"/>
          <w:sz w:val="24"/>
        </w:rPr>
        <w:t>职场礼仪</w:t>
      </w:r>
      <w:proofErr w:type="gramEnd"/>
      <w:r w:rsidRPr="002E0E2F">
        <w:rPr>
          <w:rFonts w:ascii="宋体" w:eastAsia="宋体" w:hAnsi="宋体" w:cs="Times New Roman" w:hint="eastAsia"/>
          <w:bCs/>
          <w:color w:val="000000"/>
          <w:kern w:val="0"/>
          <w:sz w:val="24"/>
        </w:rPr>
        <w:t>与宴会的主要礼仪</w:t>
      </w:r>
    </w:p>
    <w:p w14:paraId="00B2C65D"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65708233" w14:textId="77777777" w:rsidR="002E0E2F" w:rsidRPr="002E0E2F" w:rsidRDefault="002E0E2F" w:rsidP="00747ECA">
      <w:pPr>
        <w:numPr>
          <w:ilvl w:val="0"/>
          <w:numId w:val="55"/>
        </w:numPr>
        <w:spacing w:line="440" w:lineRule="exact"/>
        <w:ind w:firstLineChars="200" w:firstLine="480"/>
        <w:rPr>
          <w:rFonts w:ascii="宋体" w:eastAsia="宋体" w:hAnsi="宋体" w:cs="Times New Roman"/>
          <w:sz w:val="24"/>
        </w:rPr>
      </w:pPr>
      <w:proofErr w:type="gramStart"/>
      <w:r w:rsidRPr="002E0E2F">
        <w:rPr>
          <w:rFonts w:ascii="宋体" w:eastAsia="宋体" w:hAnsi="宋体" w:cs="Times New Roman" w:hint="eastAsia"/>
          <w:bCs/>
          <w:color w:val="000000"/>
          <w:kern w:val="0"/>
          <w:sz w:val="24"/>
        </w:rPr>
        <w:t>职场礼仪</w:t>
      </w:r>
      <w:proofErr w:type="gramEnd"/>
      <w:r w:rsidRPr="002E0E2F">
        <w:rPr>
          <w:rFonts w:ascii="宋体" w:eastAsia="宋体" w:hAnsi="宋体" w:cs="Times New Roman" w:hint="eastAsia"/>
          <w:bCs/>
          <w:color w:val="000000"/>
          <w:kern w:val="0"/>
          <w:sz w:val="24"/>
        </w:rPr>
        <w:t>与宴会的主要礼仪</w:t>
      </w:r>
    </w:p>
    <w:p w14:paraId="283FC302"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3128F8EC"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lastRenderedPageBreak/>
        <w:t>1.通过多媒体课件和传统教学相结合，阐明课程与教学基本原理，丰富学生课程与教学的基本知识结构，培养学生的职业规范。</w:t>
      </w:r>
    </w:p>
    <w:p w14:paraId="0BE23D5F"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通过案例分析，强调理论与实践相结合，促进学生知识整合，培养学生参与意识和反思能力。</w:t>
      </w:r>
    </w:p>
    <w:p w14:paraId="01590B81"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3.通过小组合作学习，树立育人意识，发展学生的合作能力和相应设计能力。</w:t>
      </w:r>
    </w:p>
    <w:p w14:paraId="501B0ADC"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387C8033"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w:t>
      </w:r>
      <w:r w:rsidRPr="002E0E2F">
        <w:rPr>
          <w:rFonts w:ascii="宋体" w:eastAsia="宋体" w:hAnsi="宋体" w:cs="Times New Roman" w:hint="eastAsia"/>
          <w:color w:val="000000"/>
          <w:kern w:val="0"/>
          <w:sz w:val="24"/>
        </w:rPr>
        <w:t xml:space="preserve"> </w:t>
      </w:r>
      <w:proofErr w:type="gramStart"/>
      <w:r w:rsidRPr="002E0E2F">
        <w:rPr>
          <w:rFonts w:ascii="宋体" w:eastAsia="宋体" w:hAnsi="宋体" w:cs="Times New Roman" w:hint="eastAsia"/>
          <w:color w:val="000000"/>
          <w:kern w:val="0"/>
          <w:sz w:val="24"/>
        </w:rPr>
        <w:t>在职场交往</w:t>
      </w:r>
      <w:proofErr w:type="gramEnd"/>
      <w:r w:rsidRPr="002E0E2F">
        <w:rPr>
          <w:rFonts w:ascii="宋体" w:eastAsia="宋体" w:hAnsi="宋体" w:cs="Times New Roman" w:hint="eastAsia"/>
          <w:color w:val="000000"/>
          <w:kern w:val="0"/>
          <w:sz w:val="24"/>
        </w:rPr>
        <w:t>中需要注重哪些主要的社交礼仪</w:t>
      </w:r>
      <w:r w:rsidRPr="002E0E2F">
        <w:rPr>
          <w:rFonts w:ascii="宋体" w:eastAsia="宋体" w:hAnsi="宋体" w:cs="Times New Roman" w:hint="eastAsia"/>
          <w:sz w:val="24"/>
        </w:rPr>
        <w:t>？</w:t>
      </w:r>
    </w:p>
    <w:p w14:paraId="1B4F0783"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2.</w:t>
      </w:r>
      <w:r w:rsidRPr="002E0E2F">
        <w:rPr>
          <w:rFonts w:ascii="宋体" w:eastAsia="宋体" w:hAnsi="宋体" w:cs="Times New Roman" w:hint="eastAsia"/>
          <w:color w:val="000000"/>
          <w:kern w:val="0"/>
          <w:sz w:val="24"/>
        </w:rPr>
        <w:t xml:space="preserve"> 常用的宴会礼仪主要有哪些？</w:t>
      </w:r>
    </w:p>
    <w:p w14:paraId="41DFDE0B"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第六章  职业化素养提升</w:t>
      </w:r>
    </w:p>
    <w:p w14:paraId="44562157"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3749DC2D"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认知类目标：通过教学使学生掌握</w:t>
      </w:r>
      <w:r w:rsidRPr="002E0E2F">
        <w:rPr>
          <w:rFonts w:ascii="宋体" w:eastAsia="宋体" w:hAnsi="宋体" w:cs="Times New Roman" w:hint="eastAsia"/>
          <w:color w:val="000000"/>
          <w:kern w:val="0"/>
          <w:sz w:val="24"/>
        </w:rPr>
        <w:t>职业化的内涵、特征、价值以及要求，提高职业化的意识；掌握职业化素养的基本内涵及外延。</w:t>
      </w:r>
    </w:p>
    <w:p w14:paraId="27906E76"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6AEA5C9D"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1.</w:t>
      </w:r>
      <w:r w:rsidRPr="002E0E2F">
        <w:rPr>
          <w:rFonts w:ascii="宋体" w:eastAsia="宋体" w:hAnsi="宋体" w:cs="Times New Roman" w:hint="eastAsia"/>
          <w:color w:val="000000"/>
          <w:sz w:val="24"/>
        </w:rPr>
        <w:t>解读职业化</w:t>
      </w:r>
    </w:p>
    <w:p w14:paraId="3BEFD245"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2.</w:t>
      </w:r>
      <w:r w:rsidRPr="002E0E2F">
        <w:rPr>
          <w:rFonts w:ascii="宋体" w:eastAsia="宋体" w:hAnsi="宋体" w:cs="Times New Roman" w:hint="eastAsia"/>
          <w:color w:val="000000"/>
          <w:sz w:val="24"/>
        </w:rPr>
        <w:t>职业化的灵魂——敬业</w:t>
      </w:r>
    </w:p>
    <w:p w14:paraId="7A6275CF" w14:textId="77777777" w:rsidR="002E0E2F" w:rsidRPr="002E0E2F" w:rsidRDefault="002E0E2F" w:rsidP="002E0E2F">
      <w:pPr>
        <w:widowControl/>
        <w:spacing w:line="500" w:lineRule="exact"/>
        <w:ind w:firstLineChars="200" w:firstLine="480"/>
        <w:rPr>
          <w:rFonts w:ascii="宋体" w:eastAsia="宋体" w:hAnsi="宋体" w:cs="Times New Roman"/>
          <w:color w:val="000000"/>
          <w:sz w:val="24"/>
        </w:rPr>
      </w:pPr>
      <w:r w:rsidRPr="002E0E2F">
        <w:rPr>
          <w:rFonts w:ascii="宋体" w:eastAsia="宋体" w:hAnsi="宋体" w:cs="Times New Roman" w:hint="eastAsia"/>
          <w:bCs/>
          <w:sz w:val="24"/>
        </w:rPr>
        <w:t>3.</w:t>
      </w:r>
      <w:r w:rsidRPr="002E0E2F">
        <w:rPr>
          <w:rFonts w:ascii="宋体" w:eastAsia="宋体" w:hAnsi="宋体" w:cs="Times New Roman" w:hint="eastAsia"/>
          <w:color w:val="000000"/>
          <w:sz w:val="24"/>
        </w:rPr>
        <w:t>职业化的使命——责任</w:t>
      </w:r>
    </w:p>
    <w:p w14:paraId="2E4E70C0" w14:textId="77777777" w:rsidR="002E0E2F" w:rsidRPr="002E0E2F" w:rsidRDefault="002E0E2F" w:rsidP="002E0E2F">
      <w:pPr>
        <w:widowControl/>
        <w:spacing w:line="500" w:lineRule="exact"/>
        <w:ind w:firstLineChars="200" w:firstLine="480"/>
        <w:rPr>
          <w:rFonts w:ascii="宋体" w:eastAsia="宋体" w:hAnsi="宋体" w:cs="Times New Roman"/>
          <w:color w:val="000000"/>
          <w:sz w:val="24"/>
        </w:rPr>
      </w:pPr>
      <w:r w:rsidRPr="002E0E2F">
        <w:rPr>
          <w:rFonts w:ascii="宋体" w:eastAsia="宋体" w:hAnsi="宋体" w:cs="Times New Roman" w:hint="eastAsia"/>
          <w:color w:val="000000"/>
          <w:sz w:val="24"/>
        </w:rPr>
        <w:t>4．职业化的核心——协作</w:t>
      </w:r>
    </w:p>
    <w:p w14:paraId="1248349E" w14:textId="77777777" w:rsidR="002E0E2F" w:rsidRPr="002E0E2F" w:rsidRDefault="002E0E2F" w:rsidP="002E0E2F">
      <w:pPr>
        <w:widowControl/>
        <w:spacing w:line="500" w:lineRule="exact"/>
        <w:rPr>
          <w:rFonts w:ascii="宋体" w:eastAsia="宋体" w:hAnsi="宋体" w:cs="Times New Roman"/>
          <w:bCs/>
          <w:color w:val="000000"/>
          <w:kern w:val="0"/>
          <w:sz w:val="24"/>
        </w:rPr>
      </w:pPr>
      <w:r w:rsidRPr="002E0E2F">
        <w:rPr>
          <w:rFonts w:ascii="宋体" w:eastAsia="宋体" w:hAnsi="宋体" w:cs="Times New Roman" w:hint="eastAsia"/>
          <w:color w:val="000000"/>
          <w:sz w:val="24"/>
        </w:rPr>
        <w:t xml:space="preserve">    5．职业化的信条——诚信</w:t>
      </w:r>
    </w:p>
    <w:p w14:paraId="77175415"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55019CCB"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color w:val="000000"/>
          <w:sz w:val="24"/>
        </w:rPr>
        <w:t>恪守职业道德，打造敬业精神，增强责任意识。</w:t>
      </w:r>
    </w:p>
    <w:p w14:paraId="39E8F8A1"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39970D02" w14:textId="77777777" w:rsidR="002E0E2F" w:rsidRPr="002E0E2F" w:rsidRDefault="002E0E2F" w:rsidP="00747ECA">
      <w:pPr>
        <w:numPr>
          <w:ilvl w:val="0"/>
          <w:numId w:val="56"/>
        </w:numPr>
        <w:tabs>
          <w:tab w:val="left" w:pos="312"/>
        </w:tabs>
        <w:spacing w:line="440" w:lineRule="exact"/>
        <w:rPr>
          <w:rFonts w:ascii="宋体" w:eastAsia="宋体" w:hAnsi="宋体" w:cs="Times New Roman"/>
          <w:sz w:val="24"/>
        </w:rPr>
      </w:pPr>
      <w:r w:rsidRPr="002E0E2F">
        <w:rPr>
          <w:rFonts w:ascii="宋体" w:eastAsia="宋体" w:hAnsi="宋体" w:cs="Times New Roman" w:hint="eastAsia"/>
          <w:bCs/>
          <w:color w:val="000000"/>
          <w:kern w:val="0"/>
          <w:sz w:val="24"/>
        </w:rPr>
        <w:t>职业化的价值、职业化意识的外延</w:t>
      </w:r>
    </w:p>
    <w:p w14:paraId="72DADB5E"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511E9697"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1D83F8FF"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通过案例分析，强调理论与实践相结合，促进学生知识整合，培养学生参与意识和反思能力。</w:t>
      </w:r>
    </w:p>
    <w:p w14:paraId="6AF415D1"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3.通过小组合作学习，树立育人意识，发展学生的合作能力和相应设计能力。</w:t>
      </w:r>
    </w:p>
    <w:p w14:paraId="30F5E232"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63F367F6"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w:t>
      </w:r>
      <w:r w:rsidRPr="002E0E2F">
        <w:rPr>
          <w:rFonts w:ascii="宋体" w:eastAsia="宋体" w:hAnsi="宋体" w:cs="Times New Roman" w:hint="eastAsia"/>
          <w:bCs/>
          <w:color w:val="000000"/>
          <w:kern w:val="0"/>
          <w:sz w:val="24"/>
        </w:rPr>
        <w:t>如何恪守</w:t>
      </w:r>
      <w:r w:rsidRPr="002E0E2F">
        <w:rPr>
          <w:rFonts w:ascii="宋体" w:eastAsia="宋体" w:hAnsi="宋体" w:cs="Times New Roman" w:hint="eastAsia"/>
          <w:color w:val="000000"/>
          <w:sz w:val="24"/>
        </w:rPr>
        <w:t>职业道德，打造敬业精神</w:t>
      </w:r>
      <w:r w:rsidRPr="002E0E2F">
        <w:rPr>
          <w:rFonts w:ascii="宋体" w:eastAsia="宋体" w:hAnsi="宋体" w:cs="Times New Roman" w:hint="eastAsia"/>
          <w:sz w:val="24"/>
        </w:rPr>
        <w:t>？</w:t>
      </w:r>
    </w:p>
    <w:p w14:paraId="0BE8335E"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lastRenderedPageBreak/>
        <w:t>2.</w:t>
      </w:r>
      <w:r w:rsidRPr="002E0E2F">
        <w:rPr>
          <w:rFonts w:ascii="宋体" w:eastAsia="宋体" w:hAnsi="宋体" w:cs="Times New Roman" w:hint="eastAsia"/>
          <w:color w:val="000000"/>
          <w:sz w:val="24"/>
        </w:rPr>
        <w:t>如何锻炼和培养自身的责任意识</w:t>
      </w:r>
      <w:r w:rsidRPr="002E0E2F">
        <w:rPr>
          <w:rFonts w:ascii="宋体" w:eastAsia="宋体" w:hAnsi="宋体" w:cs="Times New Roman" w:hint="eastAsia"/>
          <w:color w:val="000000"/>
          <w:kern w:val="0"/>
          <w:sz w:val="24"/>
        </w:rPr>
        <w:t>？</w:t>
      </w:r>
    </w:p>
    <w:p w14:paraId="66075F4F"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第七章  职业化能力培养</w:t>
      </w:r>
    </w:p>
    <w:p w14:paraId="43E04273"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0D620D12"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认知类目标：通过教学使学生掌握</w:t>
      </w:r>
      <w:r w:rsidRPr="002E0E2F">
        <w:rPr>
          <w:rFonts w:ascii="宋体" w:eastAsia="宋体" w:hAnsi="宋体" w:cs="Times New Roman" w:hint="eastAsia"/>
          <w:color w:val="000000"/>
          <w:kern w:val="0"/>
          <w:sz w:val="24"/>
        </w:rPr>
        <w:t>职业化能力的外延，着重培养高效执行能力、沟通能力、时间管理能力、决策能力、创新能力等，逐步实现自我的职业化。。</w:t>
      </w:r>
    </w:p>
    <w:p w14:paraId="059C3679"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54E265A5"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1.</w:t>
      </w:r>
      <w:r w:rsidRPr="002E0E2F">
        <w:rPr>
          <w:rFonts w:ascii="宋体" w:eastAsia="宋体" w:hAnsi="宋体" w:cs="Times New Roman" w:hint="eastAsia"/>
          <w:color w:val="000000"/>
          <w:sz w:val="24"/>
        </w:rPr>
        <w:t>高效执行能力</w:t>
      </w:r>
    </w:p>
    <w:p w14:paraId="0C6252CC"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2.</w:t>
      </w:r>
      <w:r w:rsidRPr="002E0E2F">
        <w:rPr>
          <w:rFonts w:ascii="宋体" w:eastAsia="宋体" w:hAnsi="宋体" w:cs="Times New Roman" w:hint="eastAsia"/>
          <w:color w:val="000000"/>
          <w:sz w:val="24"/>
        </w:rPr>
        <w:t>时间管理能力</w:t>
      </w:r>
    </w:p>
    <w:p w14:paraId="330F0625" w14:textId="77777777" w:rsidR="002E0E2F" w:rsidRPr="002E0E2F" w:rsidRDefault="002E0E2F" w:rsidP="002E0E2F">
      <w:pPr>
        <w:spacing w:line="500" w:lineRule="exact"/>
        <w:ind w:firstLineChars="200" w:firstLine="480"/>
        <w:rPr>
          <w:rFonts w:ascii="宋体" w:eastAsia="宋体" w:hAnsi="宋体" w:cs="Times New Roman"/>
          <w:color w:val="000000"/>
          <w:sz w:val="24"/>
        </w:rPr>
      </w:pPr>
      <w:r w:rsidRPr="002E0E2F">
        <w:rPr>
          <w:rFonts w:ascii="宋体" w:eastAsia="宋体" w:hAnsi="宋体" w:cs="Times New Roman" w:hint="eastAsia"/>
          <w:bCs/>
          <w:sz w:val="24"/>
        </w:rPr>
        <w:t>3.</w:t>
      </w:r>
      <w:r w:rsidRPr="002E0E2F">
        <w:rPr>
          <w:rFonts w:ascii="宋体" w:eastAsia="宋体" w:hAnsi="宋体" w:cs="Times New Roman" w:hint="eastAsia"/>
          <w:color w:val="000000"/>
          <w:sz w:val="24"/>
        </w:rPr>
        <w:t>沟通协调能力</w:t>
      </w:r>
    </w:p>
    <w:p w14:paraId="626B8F75" w14:textId="77777777" w:rsidR="002E0E2F" w:rsidRPr="002E0E2F" w:rsidRDefault="002E0E2F" w:rsidP="002E0E2F">
      <w:pPr>
        <w:spacing w:line="500" w:lineRule="exact"/>
        <w:rPr>
          <w:rFonts w:ascii="宋体" w:eastAsia="宋体" w:hAnsi="宋体" w:cs="Times New Roman"/>
          <w:color w:val="000000"/>
          <w:sz w:val="24"/>
        </w:rPr>
      </w:pPr>
      <w:r w:rsidRPr="002E0E2F">
        <w:rPr>
          <w:rFonts w:ascii="宋体" w:eastAsia="宋体" w:hAnsi="宋体" w:cs="Times New Roman" w:hint="eastAsia"/>
          <w:color w:val="000000"/>
          <w:sz w:val="24"/>
        </w:rPr>
        <w:t xml:space="preserve">    4．再学习能力</w:t>
      </w:r>
    </w:p>
    <w:p w14:paraId="536B696C" w14:textId="77777777" w:rsidR="002E0E2F" w:rsidRPr="002E0E2F" w:rsidRDefault="002E0E2F" w:rsidP="002E0E2F">
      <w:pPr>
        <w:spacing w:line="500" w:lineRule="exact"/>
        <w:ind w:firstLineChars="200" w:firstLine="480"/>
        <w:rPr>
          <w:rFonts w:ascii="宋体" w:eastAsia="宋体" w:hAnsi="宋体" w:cs="Times New Roman"/>
          <w:color w:val="000000"/>
          <w:sz w:val="24"/>
        </w:rPr>
      </w:pPr>
      <w:r w:rsidRPr="002E0E2F">
        <w:rPr>
          <w:rFonts w:ascii="宋体" w:eastAsia="宋体" w:hAnsi="宋体" w:cs="Times New Roman" w:hint="eastAsia"/>
          <w:color w:val="000000"/>
          <w:sz w:val="24"/>
        </w:rPr>
        <w:t>5．创新能力</w:t>
      </w:r>
    </w:p>
    <w:p w14:paraId="5AB83FFB" w14:textId="77777777" w:rsidR="002E0E2F" w:rsidRPr="002E0E2F" w:rsidRDefault="002E0E2F" w:rsidP="002E0E2F">
      <w:pPr>
        <w:spacing w:line="500" w:lineRule="exact"/>
        <w:ind w:firstLineChars="200" w:firstLine="480"/>
        <w:rPr>
          <w:rFonts w:ascii="宋体" w:eastAsia="宋体" w:hAnsi="宋体" w:cs="Times New Roman"/>
          <w:color w:val="000000"/>
          <w:sz w:val="24"/>
        </w:rPr>
      </w:pPr>
      <w:r w:rsidRPr="002E0E2F">
        <w:rPr>
          <w:rFonts w:ascii="宋体" w:eastAsia="宋体" w:hAnsi="宋体" w:cs="Times New Roman" w:hint="eastAsia"/>
          <w:color w:val="000000"/>
          <w:sz w:val="24"/>
        </w:rPr>
        <w:t>6．大学生的自我职业化</w:t>
      </w:r>
    </w:p>
    <w:p w14:paraId="697B61AA"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3D5E9CA9"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Calibri" w:eastAsia="宋体" w:hAnsi="Calibri" w:cs="Times New Roman" w:hint="eastAsia"/>
          <w:color w:val="000000"/>
          <w:sz w:val="24"/>
        </w:rPr>
        <w:t>高效执行能力，时间管理能力，沟通协调能力，大学生的自我职业化。</w:t>
      </w:r>
    </w:p>
    <w:p w14:paraId="71ACDA6E"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0F44A267" w14:textId="77777777" w:rsidR="002E0E2F" w:rsidRPr="002E0E2F" w:rsidRDefault="002E0E2F" w:rsidP="002E0E2F">
      <w:pPr>
        <w:tabs>
          <w:tab w:val="left" w:pos="312"/>
        </w:tabs>
        <w:spacing w:line="440" w:lineRule="exact"/>
        <w:ind w:firstLineChars="200" w:firstLine="480"/>
        <w:rPr>
          <w:rFonts w:ascii="宋体" w:eastAsia="宋体" w:hAnsi="宋体" w:cs="Times New Roman"/>
          <w:sz w:val="24"/>
        </w:rPr>
      </w:pPr>
      <w:r w:rsidRPr="002E0E2F">
        <w:rPr>
          <w:rFonts w:ascii="Calibri" w:eastAsia="宋体" w:hAnsi="Calibri" w:cs="Times New Roman" w:hint="eastAsia"/>
          <w:color w:val="000000"/>
          <w:sz w:val="24"/>
        </w:rPr>
        <w:t>1</w:t>
      </w:r>
      <w:r w:rsidRPr="002E0E2F">
        <w:rPr>
          <w:rFonts w:ascii="Calibri" w:eastAsia="宋体" w:hAnsi="Calibri" w:cs="Times New Roman" w:hint="eastAsia"/>
          <w:color w:val="000000"/>
          <w:sz w:val="24"/>
        </w:rPr>
        <w:t>．与职业目标对应的职业化能力外延，大学生的自我职业化。</w:t>
      </w:r>
    </w:p>
    <w:p w14:paraId="57170762"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29831CC2"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25F3165F"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通过案例分析，强调理论与实践相结合，促进学生知识整合，培养学生参与意识和反思能力。</w:t>
      </w:r>
    </w:p>
    <w:p w14:paraId="79ADF075"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3.通过小组合作学习，树立育人意识，发展学生的合作能力、管理和设计能力。</w:t>
      </w:r>
    </w:p>
    <w:p w14:paraId="20EEB051"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7FEED7FB"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w:t>
      </w:r>
      <w:r w:rsidRPr="002E0E2F">
        <w:rPr>
          <w:rFonts w:ascii="Calibri" w:eastAsia="宋体" w:hAnsi="Calibri" w:cs="Times New Roman" w:hint="eastAsia"/>
          <w:color w:val="000000"/>
          <w:sz w:val="24"/>
        </w:rPr>
        <w:t>如何培养和提高自己的高效执行能力、沟通协调能力</w:t>
      </w:r>
      <w:r w:rsidRPr="002E0E2F">
        <w:rPr>
          <w:rFonts w:ascii="宋体" w:eastAsia="宋体" w:hAnsi="宋体" w:cs="Times New Roman" w:hint="eastAsia"/>
          <w:sz w:val="24"/>
        </w:rPr>
        <w:t>？</w:t>
      </w:r>
    </w:p>
    <w:p w14:paraId="08E0C01B"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2.</w:t>
      </w:r>
      <w:r w:rsidRPr="002E0E2F">
        <w:rPr>
          <w:rFonts w:ascii="Calibri" w:eastAsia="宋体" w:hAnsi="Calibri" w:cs="Times New Roman" w:hint="eastAsia"/>
          <w:color w:val="000000"/>
          <w:sz w:val="24"/>
        </w:rPr>
        <w:t>在校大学生如何进行自我职业化训练</w:t>
      </w:r>
      <w:r w:rsidRPr="002E0E2F">
        <w:rPr>
          <w:rFonts w:ascii="宋体" w:eastAsia="宋体" w:hAnsi="宋体" w:cs="Times New Roman" w:hint="eastAsia"/>
          <w:color w:val="000000"/>
          <w:kern w:val="0"/>
          <w:sz w:val="24"/>
        </w:rPr>
        <w:t>？</w:t>
      </w:r>
    </w:p>
    <w:p w14:paraId="31369278"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第八章  创新思维</w:t>
      </w:r>
    </w:p>
    <w:p w14:paraId="159DC416"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60784633" w14:textId="77777777" w:rsidR="002E0E2F" w:rsidRPr="002E0E2F" w:rsidRDefault="002E0E2F" w:rsidP="002E0E2F">
      <w:pPr>
        <w:spacing w:line="440" w:lineRule="exact"/>
        <w:ind w:firstLineChars="200" w:firstLine="480"/>
        <w:rPr>
          <w:rFonts w:ascii="宋体" w:eastAsia="宋体" w:hAnsi="宋体" w:cs="Times New Roman"/>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w:t>
      </w:r>
      <w:r w:rsidRPr="002E0E2F">
        <w:rPr>
          <w:rFonts w:ascii="宋体" w:eastAsia="宋体" w:hAnsi="宋体" w:cs="Times New Roman" w:hint="eastAsia"/>
          <w:kern w:val="0"/>
          <w:sz w:val="24"/>
        </w:rPr>
        <w:t>初步掌握创新、创造的概念及其相互关系,掌握创新思维的类别以及不同的特征，了解创新思维的特征、方法及其作用。</w:t>
      </w:r>
    </w:p>
    <w:p w14:paraId="0129F3F0"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lastRenderedPageBreak/>
        <w:t>2. 过程与方法类目标：</w:t>
      </w:r>
      <w:r w:rsidRPr="002E0E2F">
        <w:rPr>
          <w:rFonts w:ascii="宋体" w:eastAsia="宋体" w:hAnsi="宋体" w:cs="Times New Roman" w:hint="eastAsia"/>
          <w:kern w:val="0"/>
          <w:sz w:val="24"/>
        </w:rPr>
        <w:t>通过相应案例初步掌握具体思维形式的实践应用，在实践中开发创新思维，培养和提高自己的创新能力。</w:t>
      </w:r>
    </w:p>
    <w:p w14:paraId="417FF6C2"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652A4FA2"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1.</w:t>
      </w:r>
      <w:r w:rsidRPr="002E0E2F">
        <w:rPr>
          <w:rFonts w:ascii="宋体" w:eastAsia="宋体" w:hAnsi="宋体" w:cs="Times New Roman" w:hint="eastAsia"/>
          <w:sz w:val="24"/>
        </w:rPr>
        <w:t>创新思维概述</w:t>
      </w:r>
    </w:p>
    <w:p w14:paraId="233DF962" w14:textId="77777777" w:rsidR="002E0E2F" w:rsidRPr="002E0E2F" w:rsidRDefault="002E0E2F" w:rsidP="002E0E2F">
      <w:pPr>
        <w:widowControl/>
        <w:spacing w:line="400" w:lineRule="exact"/>
        <w:ind w:firstLineChars="200" w:firstLine="480"/>
        <w:rPr>
          <w:rFonts w:ascii="宋体" w:eastAsia="宋体" w:hAnsi="宋体" w:cs="Times New Roman"/>
          <w:sz w:val="24"/>
        </w:rPr>
      </w:pPr>
      <w:r w:rsidRPr="002E0E2F">
        <w:rPr>
          <w:rFonts w:ascii="宋体" w:eastAsia="宋体" w:hAnsi="宋体" w:cs="Times New Roman" w:hint="eastAsia"/>
          <w:bCs/>
          <w:sz w:val="24"/>
        </w:rPr>
        <w:t>2.</w:t>
      </w:r>
      <w:r w:rsidRPr="002E0E2F">
        <w:rPr>
          <w:rFonts w:ascii="宋体" w:eastAsia="宋体" w:hAnsi="宋体" w:cs="Tahoma"/>
          <w:sz w:val="24"/>
        </w:rPr>
        <w:t>创新思维及其特性</w:t>
      </w:r>
    </w:p>
    <w:p w14:paraId="1B94DDED" w14:textId="77777777" w:rsidR="002E0E2F" w:rsidRPr="002E0E2F" w:rsidRDefault="002E0E2F" w:rsidP="002E0E2F">
      <w:pPr>
        <w:widowControl/>
        <w:spacing w:line="400" w:lineRule="exact"/>
        <w:ind w:firstLineChars="200" w:firstLine="480"/>
        <w:rPr>
          <w:rFonts w:ascii="宋体" w:eastAsia="宋体" w:hAnsi="宋体" w:cs="Times New Roman"/>
          <w:sz w:val="24"/>
        </w:rPr>
      </w:pPr>
      <w:r w:rsidRPr="002E0E2F">
        <w:rPr>
          <w:rFonts w:ascii="宋体" w:eastAsia="宋体" w:hAnsi="宋体" w:cs="Times New Roman" w:hint="eastAsia"/>
          <w:sz w:val="24"/>
        </w:rPr>
        <w:t>3．创新思维与相关科学</w:t>
      </w:r>
    </w:p>
    <w:p w14:paraId="39127EDA"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ahoma" w:hint="eastAsia"/>
          <w:sz w:val="24"/>
        </w:rPr>
        <w:t>4．创新能力的培养</w:t>
      </w:r>
      <w:r w:rsidRPr="002E0E2F">
        <w:rPr>
          <w:rFonts w:ascii="宋体" w:eastAsia="宋体" w:hAnsi="宋体" w:cs="Times New Roman" w:hint="eastAsia"/>
          <w:sz w:val="24"/>
        </w:rPr>
        <w:t> </w:t>
      </w:r>
    </w:p>
    <w:p w14:paraId="15993C0D" w14:textId="77777777" w:rsidR="002E0E2F" w:rsidRPr="002E0E2F" w:rsidRDefault="002E0E2F" w:rsidP="002E0E2F">
      <w:pPr>
        <w:widowControl/>
        <w:spacing w:line="400" w:lineRule="exact"/>
        <w:ind w:firstLineChars="200" w:firstLine="480"/>
        <w:rPr>
          <w:rFonts w:ascii="Calibri" w:eastAsia="宋体" w:hAnsi="Calibri" w:cs="Times New Roman"/>
          <w:sz w:val="24"/>
        </w:rPr>
      </w:pPr>
      <w:r w:rsidRPr="002E0E2F">
        <w:rPr>
          <w:rFonts w:ascii="宋体" w:eastAsia="宋体" w:hAnsi="宋体" w:cs="Times New Roman" w:hint="eastAsia"/>
          <w:bCs/>
          <w:sz w:val="24"/>
        </w:rPr>
        <w:t>5.</w:t>
      </w:r>
      <w:r w:rsidRPr="002E0E2F">
        <w:rPr>
          <w:rFonts w:ascii="Calibri" w:eastAsia="宋体" w:hAnsi="Calibri" w:cs="Times New Roman" w:hint="eastAsia"/>
          <w:sz w:val="24"/>
        </w:rPr>
        <w:t> </w:t>
      </w:r>
      <w:r w:rsidRPr="002E0E2F">
        <w:rPr>
          <w:rFonts w:ascii="Calibri" w:eastAsia="宋体" w:hAnsi="Calibri" w:cs="Times New Roman" w:hint="eastAsia"/>
          <w:sz w:val="24"/>
        </w:rPr>
        <w:t>创新思维的分类及其特征：</w:t>
      </w:r>
    </w:p>
    <w:p w14:paraId="32A183CF" w14:textId="77777777" w:rsidR="002E0E2F" w:rsidRPr="002E0E2F" w:rsidRDefault="002E0E2F" w:rsidP="002E0E2F">
      <w:pPr>
        <w:widowControl/>
        <w:spacing w:line="400" w:lineRule="exact"/>
        <w:ind w:firstLineChars="500" w:firstLine="1200"/>
        <w:rPr>
          <w:rFonts w:ascii="宋体" w:eastAsia="宋体" w:hAnsi="宋体" w:cs="Times New Roman"/>
          <w:bCs/>
          <w:kern w:val="0"/>
          <w:sz w:val="24"/>
        </w:rPr>
      </w:pPr>
      <w:r w:rsidRPr="002E0E2F">
        <w:rPr>
          <w:rFonts w:ascii="Calibri" w:eastAsia="宋体" w:hAnsi="Calibri" w:cs="Times New Roman" w:hint="eastAsia"/>
          <w:sz w:val="24"/>
        </w:rPr>
        <w:t>形象思维、</w:t>
      </w:r>
      <w:r w:rsidRPr="002E0E2F">
        <w:rPr>
          <w:rFonts w:ascii="Calibri" w:eastAsia="宋体" w:hAnsi="Calibri" w:cs="Times New Roman" w:hint="eastAsia"/>
          <w:sz w:val="24"/>
        </w:rPr>
        <w:t> </w:t>
      </w:r>
      <w:r w:rsidRPr="002E0E2F">
        <w:rPr>
          <w:rFonts w:ascii="Calibri" w:eastAsia="宋体" w:hAnsi="Calibri" w:cs="Times New Roman" w:hint="eastAsia"/>
          <w:sz w:val="24"/>
        </w:rPr>
        <w:t>直觉思维、灵感思维、发散思维、收敛思维、逆向思维</w:t>
      </w:r>
    </w:p>
    <w:p w14:paraId="794A61CE"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35971239"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w:t>
      </w:r>
      <w:r w:rsidRPr="002E0E2F">
        <w:rPr>
          <w:rFonts w:ascii="宋体" w:eastAsia="宋体" w:hAnsi="宋体" w:cs="Times New Roman" w:hint="eastAsia"/>
          <w:bCs/>
          <w:kern w:val="0"/>
          <w:sz w:val="24"/>
        </w:rPr>
        <w:t>创新思维的分类和</w:t>
      </w:r>
      <w:r w:rsidRPr="002E0E2F">
        <w:rPr>
          <w:rFonts w:ascii="宋体" w:eastAsia="宋体" w:hAnsi="宋体" w:cs="Times New Roman" w:hint="eastAsia"/>
          <w:kern w:val="0"/>
          <w:sz w:val="24"/>
        </w:rPr>
        <w:t>创新能力的培养</w:t>
      </w:r>
    </w:p>
    <w:p w14:paraId="7FA2EE3E"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289AC30D" w14:textId="77777777" w:rsidR="002E0E2F" w:rsidRPr="002E0E2F" w:rsidRDefault="002E0E2F" w:rsidP="00747ECA">
      <w:pPr>
        <w:numPr>
          <w:ilvl w:val="0"/>
          <w:numId w:val="57"/>
        </w:numPr>
        <w:tabs>
          <w:tab w:val="left" w:pos="312"/>
        </w:tabs>
        <w:spacing w:line="440" w:lineRule="exact"/>
        <w:rPr>
          <w:rFonts w:ascii="宋体" w:eastAsia="宋体" w:hAnsi="宋体" w:cs="Times New Roman"/>
          <w:sz w:val="24"/>
        </w:rPr>
      </w:pPr>
      <w:r w:rsidRPr="002E0E2F">
        <w:rPr>
          <w:rFonts w:ascii="宋体" w:eastAsia="宋体" w:hAnsi="宋体" w:cs="Times New Roman" w:hint="eastAsia"/>
          <w:bCs/>
          <w:kern w:val="0"/>
          <w:sz w:val="24"/>
        </w:rPr>
        <w:t>各</w:t>
      </w:r>
      <w:proofErr w:type="gramStart"/>
      <w:r w:rsidRPr="002E0E2F">
        <w:rPr>
          <w:rFonts w:ascii="宋体" w:eastAsia="宋体" w:hAnsi="宋体" w:cs="Times New Roman" w:hint="eastAsia"/>
          <w:bCs/>
          <w:kern w:val="0"/>
          <w:sz w:val="24"/>
        </w:rPr>
        <w:t>类创新</w:t>
      </w:r>
      <w:proofErr w:type="gramEnd"/>
      <w:r w:rsidRPr="002E0E2F">
        <w:rPr>
          <w:rFonts w:ascii="宋体" w:eastAsia="宋体" w:hAnsi="宋体" w:cs="Times New Roman" w:hint="eastAsia"/>
          <w:bCs/>
          <w:kern w:val="0"/>
          <w:sz w:val="24"/>
        </w:rPr>
        <w:t>思维形式的实践应用，创新能力的培养。</w:t>
      </w:r>
    </w:p>
    <w:p w14:paraId="54398D62"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3EF1C344"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1.通过多媒体课件和传统教学相结合，阐明课程与教学基本原理，丰富学生课程与教学的基本知识结构，培养学生的职业规范和创新思维。</w:t>
      </w:r>
    </w:p>
    <w:p w14:paraId="5BDCD94C"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通过案例分析，强调理论与实践相结合，促进学生知识整合，培养学生创新意识和反思能力。</w:t>
      </w:r>
    </w:p>
    <w:p w14:paraId="42893165"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3.通过小组合作学习，树立育人意识，发展学生的合作能力和相应管理设计能力。</w:t>
      </w:r>
    </w:p>
    <w:p w14:paraId="2438C20A"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3078C503"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w:t>
      </w:r>
      <w:r w:rsidRPr="002E0E2F">
        <w:rPr>
          <w:rFonts w:ascii="宋体" w:eastAsia="宋体" w:hAnsi="宋体" w:cs="Times New Roman" w:hint="eastAsia"/>
          <w:bCs/>
          <w:kern w:val="0"/>
          <w:sz w:val="24"/>
        </w:rPr>
        <w:t xml:space="preserve"> 创新思维主要包括哪些</w:t>
      </w:r>
      <w:r w:rsidRPr="002E0E2F">
        <w:rPr>
          <w:rFonts w:ascii="宋体" w:eastAsia="宋体" w:hAnsi="宋体" w:cs="Times New Roman" w:hint="eastAsia"/>
          <w:sz w:val="24"/>
        </w:rPr>
        <w:t>？</w:t>
      </w:r>
    </w:p>
    <w:p w14:paraId="242AD397"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2.</w:t>
      </w:r>
      <w:r w:rsidRPr="002E0E2F">
        <w:rPr>
          <w:rFonts w:ascii="宋体" w:eastAsia="宋体" w:hAnsi="宋体" w:cs="Times New Roman" w:hint="eastAsia"/>
          <w:bCs/>
          <w:kern w:val="0"/>
          <w:sz w:val="24"/>
        </w:rPr>
        <w:t xml:space="preserve"> 各</w:t>
      </w:r>
      <w:proofErr w:type="gramStart"/>
      <w:r w:rsidRPr="002E0E2F">
        <w:rPr>
          <w:rFonts w:ascii="宋体" w:eastAsia="宋体" w:hAnsi="宋体" w:cs="Times New Roman" w:hint="eastAsia"/>
          <w:bCs/>
          <w:kern w:val="0"/>
          <w:sz w:val="24"/>
        </w:rPr>
        <w:t>类创新</w:t>
      </w:r>
      <w:proofErr w:type="gramEnd"/>
      <w:r w:rsidRPr="002E0E2F">
        <w:rPr>
          <w:rFonts w:ascii="宋体" w:eastAsia="宋体" w:hAnsi="宋体" w:cs="Times New Roman" w:hint="eastAsia"/>
          <w:bCs/>
          <w:kern w:val="0"/>
          <w:sz w:val="24"/>
        </w:rPr>
        <w:t>思维形式在实践中有哪些应用</w:t>
      </w:r>
      <w:r w:rsidRPr="002E0E2F">
        <w:rPr>
          <w:rFonts w:ascii="宋体" w:eastAsia="宋体" w:hAnsi="宋体" w:cs="Times New Roman" w:hint="eastAsia"/>
          <w:color w:val="000000"/>
          <w:kern w:val="0"/>
          <w:sz w:val="24"/>
        </w:rPr>
        <w:t>？</w:t>
      </w:r>
    </w:p>
    <w:p w14:paraId="1A0416FB"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第九章  创新技法</w:t>
      </w:r>
    </w:p>
    <w:p w14:paraId="29F26DD5"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546C4544"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认知类目标：通过教学使学生掌握</w:t>
      </w:r>
      <w:r w:rsidRPr="002E0E2F">
        <w:rPr>
          <w:rFonts w:ascii="宋体" w:eastAsia="宋体" w:hAnsi="宋体" w:cs="Times New Roman" w:hint="eastAsia"/>
          <w:kern w:val="0"/>
          <w:sz w:val="24"/>
        </w:rPr>
        <w:t>创新技法的种类以及各自的特征、原则和应用，掌握各</w:t>
      </w:r>
      <w:proofErr w:type="gramStart"/>
      <w:r w:rsidRPr="002E0E2F">
        <w:rPr>
          <w:rFonts w:ascii="宋体" w:eastAsia="宋体" w:hAnsi="宋体" w:cs="Times New Roman" w:hint="eastAsia"/>
          <w:kern w:val="0"/>
          <w:sz w:val="24"/>
        </w:rPr>
        <w:t>类创新</w:t>
      </w:r>
      <w:proofErr w:type="gramEnd"/>
      <w:r w:rsidRPr="002E0E2F">
        <w:rPr>
          <w:rFonts w:ascii="宋体" w:eastAsia="宋体" w:hAnsi="宋体" w:cs="Times New Roman" w:hint="eastAsia"/>
          <w:kern w:val="0"/>
          <w:sz w:val="24"/>
        </w:rPr>
        <w:t>技法的规律和方法</w:t>
      </w:r>
      <w:r w:rsidRPr="002E0E2F">
        <w:rPr>
          <w:rFonts w:ascii="宋体" w:eastAsia="宋体" w:hAnsi="宋体" w:cs="Times New Roman" w:hint="eastAsia"/>
          <w:color w:val="000000"/>
          <w:kern w:val="0"/>
          <w:sz w:val="24"/>
        </w:rPr>
        <w:t>。</w:t>
      </w:r>
    </w:p>
    <w:p w14:paraId="58AA2714"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12AA2141"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1.</w:t>
      </w:r>
      <w:r w:rsidRPr="002E0E2F">
        <w:rPr>
          <w:rFonts w:ascii="Calibri" w:eastAsia="宋体" w:hAnsi="Calibri" w:cs="Times New Roman" w:hint="eastAsia"/>
          <w:sz w:val="24"/>
        </w:rPr>
        <w:t>创新技法的概念与内涵</w:t>
      </w:r>
    </w:p>
    <w:p w14:paraId="23CA7F2D"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2.</w:t>
      </w:r>
      <w:r w:rsidRPr="002E0E2F">
        <w:rPr>
          <w:rFonts w:ascii="Calibri" w:eastAsia="宋体" w:hAnsi="Calibri" w:cs="Times New Roman" w:hint="eastAsia"/>
          <w:sz w:val="24"/>
        </w:rPr>
        <w:t>创新技法</w:t>
      </w:r>
      <w:r w:rsidRPr="002E0E2F">
        <w:rPr>
          <w:rFonts w:ascii="Calibri" w:eastAsia="宋体" w:hAnsi="Calibri" w:cs="Times New Roman" w:hint="eastAsia"/>
          <w:sz w:val="24"/>
        </w:rPr>
        <w:t>----</w:t>
      </w:r>
      <w:r w:rsidRPr="002E0E2F">
        <w:rPr>
          <w:rFonts w:ascii="Calibri" w:eastAsia="宋体" w:hAnsi="Calibri" w:cs="Times New Roman" w:hint="eastAsia"/>
          <w:sz w:val="24"/>
        </w:rPr>
        <w:t>设问法</w:t>
      </w:r>
    </w:p>
    <w:p w14:paraId="2A7D9C8B" w14:textId="77777777" w:rsidR="002E0E2F" w:rsidRPr="002E0E2F" w:rsidRDefault="002E0E2F" w:rsidP="002E0E2F">
      <w:pPr>
        <w:widowControl/>
        <w:spacing w:line="400" w:lineRule="exact"/>
        <w:ind w:firstLineChars="200" w:firstLine="480"/>
        <w:rPr>
          <w:rFonts w:ascii="Calibri" w:eastAsia="宋体" w:hAnsi="Calibri" w:cs="Times New Roman"/>
          <w:sz w:val="24"/>
        </w:rPr>
      </w:pPr>
      <w:r w:rsidRPr="002E0E2F">
        <w:rPr>
          <w:rFonts w:ascii="宋体" w:eastAsia="宋体" w:hAnsi="宋体" w:cs="Times New Roman" w:hint="eastAsia"/>
          <w:bCs/>
          <w:sz w:val="24"/>
        </w:rPr>
        <w:t>3.</w:t>
      </w:r>
      <w:r w:rsidRPr="002E0E2F">
        <w:rPr>
          <w:rFonts w:ascii="Calibri" w:eastAsia="宋体" w:hAnsi="Calibri" w:cs="Times New Roman" w:hint="eastAsia"/>
          <w:sz w:val="24"/>
        </w:rPr>
        <w:t>创新技法</w:t>
      </w:r>
      <w:r w:rsidRPr="002E0E2F">
        <w:rPr>
          <w:rFonts w:ascii="Calibri" w:eastAsia="宋体" w:hAnsi="Calibri" w:cs="Times New Roman" w:hint="eastAsia"/>
          <w:sz w:val="24"/>
        </w:rPr>
        <w:t>----</w:t>
      </w:r>
      <w:r w:rsidRPr="002E0E2F">
        <w:rPr>
          <w:rFonts w:ascii="Calibri" w:eastAsia="宋体" w:hAnsi="Calibri" w:cs="Times New Roman" w:hint="eastAsia"/>
          <w:sz w:val="24"/>
        </w:rPr>
        <w:t>组合型技法</w:t>
      </w:r>
      <w:r w:rsidRPr="002E0E2F">
        <w:rPr>
          <w:rFonts w:ascii="Calibri" w:eastAsia="宋体" w:hAnsi="Calibri" w:cs="Times New Roman" w:hint="eastAsia"/>
          <w:sz w:val="24"/>
        </w:rPr>
        <w:t> </w:t>
      </w:r>
    </w:p>
    <w:p w14:paraId="2FEB4701" w14:textId="77777777" w:rsidR="002E0E2F" w:rsidRPr="002E0E2F" w:rsidRDefault="002E0E2F" w:rsidP="002E0E2F">
      <w:pPr>
        <w:widowControl/>
        <w:spacing w:line="400" w:lineRule="exact"/>
        <w:ind w:firstLineChars="200" w:firstLine="480"/>
        <w:rPr>
          <w:rFonts w:ascii="Calibri" w:eastAsia="宋体" w:hAnsi="Calibri" w:cs="Times New Roman"/>
          <w:sz w:val="24"/>
        </w:rPr>
      </w:pPr>
      <w:r w:rsidRPr="002E0E2F">
        <w:rPr>
          <w:rFonts w:ascii="Calibri" w:eastAsia="宋体" w:hAnsi="Calibri" w:cs="Times New Roman" w:hint="eastAsia"/>
          <w:sz w:val="24"/>
        </w:rPr>
        <w:t>4</w:t>
      </w:r>
      <w:r w:rsidRPr="002E0E2F">
        <w:rPr>
          <w:rFonts w:ascii="Calibri" w:eastAsia="宋体" w:hAnsi="Calibri" w:cs="Times New Roman" w:hint="eastAsia"/>
          <w:sz w:val="24"/>
        </w:rPr>
        <w:t>．创新技法</w:t>
      </w:r>
      <w:r w:rsidRPr="002E0E2F">
        <w:rPr>
          <w:rFonts w:ascii="Calibri" w:eastAsia="宋体" w:hAnsi="Calibri" w:cs="Times New Roman" w:hint="eastAsia"/>
          <w:sz w:val="24"/>
        </w:rPr>
        <w:t>----</w:t>
      </w:r>
      <w:r w:rsidRPr="002E0E2F">
        <w:rPr>
          <w:rFonts w:ascii="Calibri" w:eastAsia="宋体" w:hAnsi="Calibri" w:cs="Times New Roman" w:hint="eastAsia"/>
          <w:sz w:val="24"/>
        </w:rPr>
        <w:t>逆向转换技法</w:t>
      </w:r>
    </w:p>
    <w:p w14:paraId="700FC847" w14:textId="77777777" w:rsidR="002E0E2F" w:rsidRPr="002E0E2F" w:rsidRDefault="002E0E2F" w:rsidP="002E0E2F">
      <w:pPr>
        <w:widowControl/>
        <w:spacing w:line="400" w:lineRule="exact"/>
        <w:ind w:firstLineChars="200" w:firstLine="480"/>
        <w:rPr>
          <w:rFonts w:ascii="Calibri" w:eastAsia="宋体" w:hAnsi="Calibri" w:cs="Times New Roman"/>
          <w:sz w:val="24"/>
        </w:rPr>
      </w:pPr>
      <w:r w:rsidRPr="002E0E2F">
        <w:rPr>
          <w:rFonts w:ascii="Calibri" w:eastAsia="宋体" w:hAnsi="Calibri" w:cs="Times New Roman" w:hint="eastAsia"/>
          <w:sz w:val="24"/>
        </w:rPr>
        <w:lastRenderedPageBreak/>
        <w:t>5</w:t>
      </w:r>
      <w:r w:rsidRPr="002E0E2F">
        <w:rPr>
          <w:rFonts w:ascii="Calibri" w:eastAsia="宋体" w:hAnsi="Calibri" w:cs="Times New Roman" w:hint="eastAsia"/>
          <w:sz w:val="24"/>
        </w:rPr>
        <w:t>．创新技法</w:t>
      </w:r>
      <w:r w:rsidRPr="002E0E2F">
        <w:rPr>
          <w:rFonts w:ascii="Calibri" w:eastAsia="宋体" w:hAnsi="Calibri" w:cs="Times New Roman" w:hint="eastAsia"/>
          <w:sz w:val="24"/>
        </w:rPr>
        <w:t>----</w:t>
      </w:r>
      <w:r w:rsidRPr="002E0E2F">
        <w:rPr>
          <w:rFonts w:ascii="Calibri" w:eastAsia="宋体" w:hAnsi="Calibri" w:cs="Times New Roman" w:hint="eastAsia"/>
          <w:sz w:val="24"/>
        </w:rPr>
        <w:t>列举法</w:t>
      </w:r>
    </w:p>
    <w:p w14:paraId="2883409C"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color w:val="000000"/>
          <w:sz w:val="24"/>
        </w:rPr>
        <w:t>6．创新技法---其他技法</w:t>
      </w:r>
    </w:p>
    <w:p w14:paraId="4E525B0A"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487B7B94"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kern w:val="0"/>
          <w:sz w:val="24"/>
        </w:rPr>
        <w:t>各</w:t>
      </w:r>
      <w:proofErr w:type="gramStart"/>
      <w:r w:rsidRPr="002E0E2F">
        <w:rPr>
          <w:rFonts w:ascii="宋体" w:eastAsia="宋体" w:hAnsi="宋体" w:cs="Times New Roman" w:hint="eastAsia"/>
          <w:kern w:val="0"/>
          <w:sz w:val="24"/>
        </w:rPr>
        <w:t>类创新</w:t>
      </w:r>
      <w:proofErr w:type="gramEnd"/>
      <w:r w:rsidRPr="002E0E2F">
        <w:rPr>
          <w:rFonts w:ascii="宋体" w:eastAsia="宋体" w:hAnsi="宋体" w:cs="Times New Roman" w:hint="eastAsia"/>
          <w:kern w:val="0"/>
          <w:sz w:val="24"/>
        </w:rPr>
        <w:t>技法的规律和方法及其实践运用。</w:t>
      </w:r>
    </w:p>
    <w:p w14:paraId="4440BAA7"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02456300" w14:textId="77777777" w:rsidR="002E0E2F" w:rsidRPr="002E0E2F" w:rsidRDefault="002E0E2F" w:rsidP="00747ECA">
      <w:pPr>
        <w:numPr>
          <w:ilvl w:val="0"/>
          <w:numId w:val="58"/>
        </w:numPr>
        <w:tabs>
          <w:tab w:val="left" w:pos="312"/>
        </w:tabs>
        <w:spacing w:line="440" w:lineRule="exact"/>
        <w:rPr>
          <w:rFonts w:ascii="宋体" w:eastAsia="宋体" w:hAnsi="宋体" w:cs="Times New Roman"/>
          <w:sz w:val="24"/>
        </w:rPr>
      </w:pPr>
      <w:r w:rsidRPr="002E0E2F">
        <w:rPr>
          <w:rFonts w:ascii="宋体" w:eastAsia="宋体" w:hAnsi="宋体" w:cs="Times New Roman" w:hint="eastAsia"/>
          <w:kern w:val="0"/>
          <w:sz w:val="24"/>
        </w:rPr>
        <w:t>各</w:t>
      </w:r>
      <w:proofErr w:type="gramStart"/>
      <w:r w:rsidRPr="002E0E2F">
        <w:rPr>
          <w:rFonts w:ascii="宋体" w:eastAsia="宋体" w:hAnsi="宋体" w:cs="Times New Roman" w:hint="eastAsia"/>
          <w:kern w:val="0"/>
          <w:sz w:val="24"/>
        </w:rPr>
        <w:t>类创新</w:t>
      </w:r>
      <w:proofErr w:type="gramEnd"/>
      <w:r w:rsidRPr="002E0E2F">
        <w:rPr>
          <w:rFonts w:ascii="宋体" w:eastAsia="宋体" w:hAnsi="宋体" w:cs="Times New Roman" w:hint="eastAsia"/>
          <w:kern w:val="0"/>
          <w:sz w:val="24"/>
        </w:rPr>
        <w:t>技法的规律和方法及其实践运用。</w:t>
      </w:r>
    </w:p>
    <w:p w14:paraId="3AF3B1AB"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31F3CF95"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716F452B"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通过案例分析，强调理论与实践相结合，促进学生知识整合，培养学生创新意识和反思能力。</w:t>
      </w:r>
    </w:p>
    <w:p w14:paraId="54BD6BBF"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3.通过小组合作学习，树立育人意识，发展学生的合作能力和创新能力。</w:t>
      </w:r>
    </w:p>
    <w:p w14:paraId="01DB523C"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55EE8516"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w:t>
      </w:r>
      <w:r w:rsidRPr="002E0E2F">
        <w:rPr>
          <w:rFonts w:ascii="宋体" w:eastAsia="宋体" w:hAnsi="宋体" w:cs="Times New Roman" w:hint="eastAsia"/>
          <w:color w:val="000000"/>
          <w:kern w:val="0"/>
          <w:sz w:val="24"/>
        </w:rPr>
        <w:t xml:space="preserve"> 创新技法主要哪几种</w:t>
      </w:r>
      <w:r w:rsidRPr="002E0E2F">
        <w:rPr>
          <w:rFonts w:ascii="宋体" w:eastAsia="宋体" w:hAnsi="宋体" w:cs="Times New Roman" w:hint="eastAsia"/>
          <w:sz w:val="24"/>
        </w:rPr>
        <w:t>？</w:t>
      </w:r>
    </w:p>
    <w:p w14:paraId="3A748D2A"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2.</w:t>
      </w:r>
      <w:r w:rsidRPr="002E0E2F">
        <w:rPr>
          <w:rFonts w:ascii="宋体" w:eastAsia="宋体" w:hAnsi="宋体" w:cs="Times New Roman" w:hint="eastAsia"/>
          <w:color w:val="000000"/>
          <w:kern w:val="0"/>
          <w:sz w:val="24"/>
        </w:rPr>
        <w:t>在实践中如何利用创新技法，提高创新能力？</w:t>
      </w:r>
    </w:p>
    <w:p w14:paraId="24584B84"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第十章  大学生就业形势与就业政策</w:t>
      </w:r>
    </w:p>
    <w:p w14:paraId="6A55D6D3"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7A1F4E9D"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w:t>
      </w:r>
      <w:r w:rsidRPr="002E0E2F">
        <w:rPr>
          <w:rFonts w:ascii="宋体" w:eastAsia="宋体" w:hAnsi="宋体" w:cs="Times New Roman" w:hint="eastAsia"/>
          <w:color w:val="000000"/>
          <w:kern w:val="0"/>
          <w:sz w:val="24"/>
        </w:rPr>
        <w:t>初步掌握当前大学生就业的总体形势，明确优势和挑战，了解有关的就业政策。</w:t>
      </w:r>
    </w:p>
    <w:p w14:paraId="1E17E7CE"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16248C9A"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1.</w:t>
      </w:r>
      <w:r w:rsidRPr="002E0E2F">
        <w:rPr>
          <w:rFonts w:ascii="宋体" w:eastAsia="宋体" w:hAnsi="宋体" w:cs="Times New Roman" w:hint="eastAsia"/>
          <w:color w:val="000000"/>
          <w:sz w:val="24"/>
        </w:rPr>
        <w:t>大学生就业形势分析</w:t>
      </w:r>
    </w:p>
    <w:p w14:paraId="13329D5B"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2.</w:t>
      </w:r>
      <w:r w:rsidRPr="002E0E2F">
        <w:rPr>
          <w:rFonts w:ascii="宋体" w:eastAsia="宋体" w:hAnsi="宋体" w:cs="Times New Roman" w:hint="eastAsia"/>
          <w:color w:val="000000"/>
          <w:sz w:val="24"/>
        </w:rPr>
        <w:t>高校毕业生就业政策选读</w:t>
      </w:r>
    </w:p>
    <w:p w14:paraId="17CB6262"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708A1786"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color w:val="000000"/>
          <w:kern w:val="0"/>
          <w:sz w:val="24"/>
        </w:rPr>
        <w:t>就业的机遇与挑战，鼓励和促进毕业生就业的政策。</w:t>
      </w:r>
    </w:p>
    <w:p w14:paraId="7CB56C48"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5708090E" w14:textId="77777777" w:rsidR="002E0E2F" w:rsidRPr="002E0E2F" w:rsidRDefault="002E0E2F" w:rsidP="00747ECA">
      <w:pPr>
        <w:numPr>
          <w:ilvl w:val="0"/>
          <w:numId w:val="59"/>
        </w:numPr>
        <w:tabs>
          <w:tab w:val="left" w:pos="312"/>
        </w:tabs>
        <w:spacing w:line="440" w:lineRule="exact"/>
        <w:rPr>
          <w:rFonts w:ascii="宋体" w:eastAsia="宋体" w:hAnsi="宋体" w:cs="Times New Roman"/>
          <w:sz w:val="24"/>
        </w:rPr>
      </w:pPr>
      <w:r w:rsidRPr="002E0E2F">
        <w:rPr>
          <w:rFonts w:ascii="宋体" w:eastAsia="宋体" w:hAnsi="宋体" w:cs="Times New Roman" w:hint="eastAsia"/>
          <w:color w:val="000000"/>
          <w:kern w:val="0"/>
          <w:sz w:val="24"/>
        </w:rPr>
        <w:t>就业的机遇与挑战，鼓励和促进毕业生就业的政策。</w:t>
      </w:r>
    </w:p>
    <w:p w14:paraId="6A504483"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24613B0B"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4122EC96"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通过案例分析，强调理论与实践相结合，促进学生知识整合，培养学生参与意识和反思能力。</w:t>
      </w:r>
    </w:p>
    <w:p w14:paraId="73DB1D4A"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lastRenderedPageBreak/>
        <w:t>3.通过小组合作学习，树立育人意识，发展学生的合作能力和相应设计能力。</w:t>
      </w:r>
    </w:p>
    <w:p w14:paraId="37FFA82E"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65E3AFC5"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w:t>
      </w:r>
      <w:r w:rsidRPr="002E0E2F">
        <w:rPr>
          <w:rFonts w:ascii="宋体" w:eastAsia="宋体" w:hAnsi="宋体" w:cs="宋体" w:hint="eastAsia"/>
          <w:color w:val="000000"/>
          <w:kern w:val="0"/>
          <w:sz w:val="24"/>
        </w:rPr>
        <w:t>大</w:t>
      </w:r>
      <w:r w:rsidRPr="002E0E2F">
        <w:rPr>
          <w:rFonts w:ascii="宋体" w:eastAsia="宋体" w:hAnsi="宋体" w:cs="Times New Roman" w:hint="eastAsia"/>
          <w:sz w:val="24"/>
        </w:rPr>
        <w:t>学毕业生有哪些主要去向？</w:t>
      </w:r>
    </w:p>
    <w:p w14:paraId="6ADB0835"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国家、地方政府制定了哪些促进毕业生就业的有关政策？</w:t>
      </w:r>
    </w:p>
    <w:p w14:paraId="6FD6CBD1"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第十一章  就业准备</w:t>
      </w:r>
    </w:p>
    <w:p w14:paraId="1E5606CA"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654F4294"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w:t>
      </w:r>
      <w:r w:rsidRPr="002E0E2F">
        <w:rPr>
          <w:rFonts w:ascii="宋体" w:eastAsia="宋体" w:hAnsi="宋体" w:cs="Times New Roman" w:hint="eastAsia"/>
          <w:color w:val="000000"/>
          <w:kern w:val="0"/>
          <w:sz w:val="24"/>
        </w:rPr>
        <w:t>帮助即将毕业的学生树立正确的择业观和务实的就业观，为未来就业和发展做好充分的准备。</w:t>
      </w:r>
    </w:p>
    <w:p w14:paraId="2CBA27BF"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7C938726"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1.</w:t>
      </w:r>
      <w:r w:rsidRPr="002E0E2F">
        <w:rPr>
          <w:rFonts w:ascii="宋体" w:eastAsia="宋体" w:hAnsi="宋体" w:cs="Times New Roman" w:hint="eastAsia"/>
          <w:color w:val="000000"/>
          <w:sz w:val="24"/>
        </w:rPr>
        <w:t>就业</w:t>
      </w:r>
      <w:r w:rsidRPr="002E0E2F">
        <w:rPr>
          <w:rFonts w:ascii="宋体" w:eastAsia="宋体" w:hAnsi="宋体" w:cs="Times New Roman" w:hint="eastAsia"/>
          <w:bCs/>
          <w:color w:val="000000"/>
          <w:kern w:val="0"/>
          <w:sz w:val="24"/>
        </w:rPr>
        <w:t>观念准备</w:t>
      </w:r>
    </w:p>
    <w:p w14:paraId="42B4C8EC"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2.</w:t>
      </w:r>
      <w:r w:rsidRPr="002E0E2F">
        <w:rPr>
          <w:rFonts w:ascii="宋体" w:eastAsia="宋体" w:hAnsi="宋体" w:cs="Times New Roman" w:hint="eastAsia"/>
          <w:bCs/>
          <w:color w:val="000000"/>
          <w:kern w:val="0"/>
          <w:sz w:val="24"/>
        </w:rPr>
        <w:t xml:space="preserve"> 就业心理准备</w:t>
      </w:r>
    </w:p>
    <w:p w14:paraId="2C8CD2FD" w14:textId="77777777" w:rsidR="002E0E2F" w:rsidRPr="002E0E2F" w:rsidRDefault="002E0E2F" w:rsidP="002E0E2F">
      <w:pPr>
        <w:widowControl/>
        <w:spacing w:line="500" w:lineRule="exact"/>
        <w:ind w:firstLineChars="200" w:firstLine="480"/>
        <w:rPr>
          <w:rFonts w:ascii="宋体" w:eastAsia="宋体" w:hAnsi="宋体" w:cs="Times New Roman"/>
          <w:bCs/>
          <w:color w:val="000000"/>
          <w:kern w:val="0"/>
          <w:sz w:val="24"/>
        </w:rPr>
      </w:pPr>
      <w:r w:rsidRPr="002E0E2F">
        <w:rPr>
          <w:rFonts w:ascii="宋体" w:eastAsia="宋体" w:hAnsi="宋体" w:cs="Times New Roman" w:hint="eastAsia"/>
          <w:bCs/>
          <w:sz w:val="24"/>
        </w:rPr>
        <w:t>3.</w:t>
      </w:r>
      <w:r w:rsidRPr="002E0E2F">
        <w:rPr>
          <w:rFonts w:ascii="宋体" w:eastAsia="宋体" w:hAnsi="宋体" w:cs="Times New Roman" w:hint="eastAsia"/>
          <w:bCs/>
          <w:color w:val="000000"/>
          <w:kern w:val="0"/>
          <w:sz w:val="24"/>
        </w:rPr>
        <w:t xml:space="preserve"> 就业条件准备</w:t>
      </w:r>
    </w:p>
    <w:p w14:paraId="3186F1CD"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20F720AA"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bCs/>
          <w:color w:val="000000"/>
          <w:kern w:val="0"/>
          <w:sz w:val="24"/>
        </w:rPr>
        <w:t>就业观念准备，就业条件准备，就业心理问题的调适。</w:t>
      </w:r>
    </w:p>
    <w:p w14:paraId="43ACCF68"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579DA4B8" w14:textId="77777777" w:rsidR="002E0E2F" w:rsidRPr="002E0E2F" w:rsidRDefault="002E0E2F" w:rsidP="00747ECA">
      <w:pPr>
        <w:numPr>
          <w:ilvl w:val="0"/>
          <w:numId w:val="60"/>
        </w:numPr>
        <w:tabs>
          <w:tab w:val="left" w:pos="312"/>
        </w:tabs>
        <w:spacing w:line="440" w:lineRule="exact"/>
        <w:rPr>
          <w:rFonts w:ascii="宋体" w:eastAsia="宋体" w:hAnsi="宋体" w:cs="Times New Roman"/>
          <w:sz w:val="24"/>
        </w:rPr>
      </w:pPr>
      <w:r w:rsidRPr="002E0E2F">
        <w:rPr>
          <w:rFonts w:ascii="宋体" w:eastAsia="宋体" w:hAnsi="宋体" w:cs="Times New Roman" w:hint="eastAsia"/>
          <w:bCs/>
          <w:color w:val="000000"/>
          <w:kern w:val="0"/>
          <w:sz w:val="24"/>
        </w:rPr>
        <w:t>就业观念准备，就业条件准备，就业心理问题的调适。</w:t>
      </w:r>
    </w:p>
    <w:p w14:paraId="55C4FBD0"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00FD33A8"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0CB36663"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通过案例分析，强调理论与实践相结合，促进学生知识整合，培养学生参与意识和反思能力。</w:t>
      </w:r>
    </w:p>
    <w:p w14:paraId="596B99D7"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3.通过小组合作学习，树立育人意识，发展学生的合作能力和相应管理设计能力。</w:t>
      </w:r>
    </w:p>
    <w:p w14:paraId="0FF9A317"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76F25A35"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w:t>
      </w:r>
      <w:r w:rsidRPr="002E0E2F">
        <w:rPr>
          <w:rFonts w:ascii="宋体" w:eastAsia="宋体" w:hAnsi="宋体" w:cs="宋体" w:hint="eastAsia"/>
          <w:color w:val="000000"/>
          <w:kern w:val="0"/>
          <w:sz w:val="24"/>
        </w:rPr>
        <w:t>求职就业过程中常见的心理问题及</w:t>
      </w:r>
      <w:r w:rsidRPr="002E0E2F">
        <w:rPr>
          <w:rFonts w:ascii="宋体" w:eastAsia="宋体" w:hAnsi="宋体" w:cs="Times New Roman" w:hint="eastAsia"/>
          <w:bCs/>
          <w:color w:val="000000"/>
          <w:kern w:val="0"/>
          <w:sz w:val="24"/>
        </w:rPr>
        <w:t>调适</w:t>
      </w:r>
      <w:r w:rsidRPr="002E0E2F">
        <w:rPr>
          <w:rFonts w:ascii="宋体" w:eastAsia="宋体" w:hAnsi="宋体" w:cs="宋体" w:hint="eastAsia"/>
          <w:color w:val="000000"/>
          <w:kern w:val="0"/>
          <w:sz w:val="24"/>
        </w:rPr>
        <w:t>方法有哪些</w:t>
      </w:r>
      <w:r w:rsidRPr="002E0E2F">
        <w:rPr>
          <w:rFonts w:ascii="宋体" w:eastAsia="宋体" w:hAnsi="宋体" w:cs="Times New Roman" w:hint="eastAsia"/>
          <w:sz w:val="24"/>
        </w:rPr>
        <w:t>？</w:t>
      </w:r>
    </w:p>
    <w:p w14:paraId="4A7B8D94"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2.</w:t>
      </w:r>
      <w:r w:rsidRPr="002E0E2F">
        <w:rPr>
          <w:rFonts w:ascii="宋体" w:eastAsia="宋体" w:hAnsi="宋体" w:cs="宋体" w:hint="eastAsia"/>
          <w:color w:val="000000"/>
          <w:kern w:val="0"/>
          <w:sz w:val="24"/>
        </w:rPr>
        <w:t>求职前，需要做哪些就业准备</w:t>
      </w:r>
      <w:r w:rsidRPr="002E0E2F">
        <w:rPr>
          <w:rFonts w:ascii="宋体" w:eastAsia="宋体" w:hAnsi="宋体" w:cs="Times New Roman" w:hint="eastAsia"/>
          <w:color w:val="000000"/>
          <w:kern w:val="0"/>
          <w:sz w:val="24"/>
        </w:rPr>
        <w:t>？</w:t>
      </w:r>
    </w:p>
    <w:p w14:paraId="00F33705"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第十二章  求职指导</w:t>
      </w:r>
    </w:p>
    <w:p w14:paraId="0D925C8A"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42F4C392"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w:t>
      </w:r>
      <w:r w:rsidRPr="002E0E2F">
        <w:rPr>
          <w:rFonts w:ascii="宋体" w:eastAsia="宋体" w:hAnsi="宋体" w:cs="Times New Roman" w:hint="eastAsia"/>
          <w:color w:val="000000"/>
          <w:kern w:val="0"/>
          <w:sz w:val="24"/>
        </w:rPr>
        <w:t>了解用人单位招聘的工作流程和常用的面试方法，优化求职材料的内容与形式，为面试做好有效的准备，提高毕业生的就业竞争力。</w:t>
      </w:r>
    </w:p>
    <w:p w14:paraId="42FF882D"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6017F71E"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lastRenderedPageBreak/>
        <w:t>1.</w:t>
      </w:r>
      <w:r w:rsidRPr="002E0E2F">
        <w:rPr>
          <w:rFonts w:ascii="宋体" w:eastAsia="宋体" w:hAnsi="宋体" w:cs="Times New Roman" w:hint="eastAsia"/>
          <w:bCs/>
          <w:color w:val="000000"/>
          <w:kern w:val="0"/>
          <w:sz w:val="24"/>
        </w:rPr>
        <w:t>招聘的主要流程</w:t>
      </w:r>
    </w:p>
    <w:p w14:paraId="127032C3"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bCs/>
          <w:sz w:val="24"/>
        </w:rPr>
        <w:t xml:space="preserve">2. </w:t>
      </w:r>
      <w:r w:rsidRPr="002E0E2F">
        <w:rPr>
          <w:rFonts w:ascii="宋体" w:eastAsia="宋体" w:hAnsi="宋体" w:cs="Times New Roman" w:hint="eastAsia"/>
          <w:sz w:val="24"/>
        </w:rPr>
        <w:t>求职的方法与技巧</w:t>
      </w:r>
    </w:p>
    <w:p w14:paraId="755815CA"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 求职材料（简历）的制作</w:t>
      </w:r>
    </w:p>
    <w:p w14:paraId="4F48D401"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sz w:val="24"/>
        </w:rPr>
        <w:t>4．面试的</w:t>
      </w:r>
      <w:r w:rsidRPr="002E0E2F">
        <w:rPr>
          <w:rFonts w:ascii="宋体" w:eastAsia="宋体" w:hAnsi="宋体" w:cs="Times New Roman" w:hint="eastAsia"/>
          <w:bCs/>
          <w:color w:val="000000"/>
          <w:kern w:val="0"/>
          <w:sz w:val="24"/>
        </w:rPr>
        <w:t>应对策略</w:t>
      </w:r>
    </w:p>
    <w:p w14:paraId="37F9FA50"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0C04A1A3"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color w:val="000000"/>
          <w:sz w:val="24"/>
        </w:rPr>
        <w:t>求职简历的制作，面试的应对策略。</w:t>
      </w:r>
    </w:p>
    <w:p w14:paraId="28B9A423"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74DA95D9" w14:textId="77777777" w:rsidR="002E0E2F" w:rsidRPr="002E0E2F" w:rsidRDefault="002E0E2F" w:rsidP="00747ECA">
      <w:pPr>
        <w:numPr>
          <w:ilvl w:val="0"/>
          <w:numId w:val="61"/>
        </w:numPr>
        <w:tabs>
          <w:tab w:val="left" w:pos="312"/>
        </w:tabs>
        <w:spacing w:line="440" w:lineRule="exact"/>
        <w:rPr>
          <w:rFonts w:ascii="宋体" w:eastAsia="宋体" w:hAnsi="宋体" w:cs="Times New Roman"/>
          <w:sz w:val="24"/>
        </w:rPr>
      </w:pPr>
      <w:r w:rsidRPr="002E0E2F">
        <w:rPr>
          <w:rFonts w:ascii="宋体" w:eastAsia="宋体" w:hAnsi="宋体" w:cs="Times New Roman" w:hint="eastAsia"/>
          <w:color w:val="000000"/>
          <w:sz w:val="24"/>
        </w:rPr>
        <w:t>求职</w:t>
      </w:r>
      <w:r w:rsidRPr="002E0E2F">
        <w:rPr>
          <w:rFonts w:ascii="宋体" w:eastAsia="宋体" w:hAnsi="宋体" w:cs="Times New Roman" w:hint="eastAsia"/>
          <w:bCs/>
          <w:color w:val="000000"/>
          <w:kern w:val="0"/>
          <w:sz w:val="24"/>
        </w:rPr>
        <w:t>简历的制作、面试沟通技巧</w:t>
      </w:r>
    </w:p>
    <w:p w14:paraId="00B39C73"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05858993"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6EFB7CCE"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通过案例分析，强调理论与实践相结合，促进学生知识整合，培养学生参与意识和反思能力。</w:t>
      </w:r>
    </w:p>
    <w:p w14:paraId="40EFDD36"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3.通过小组合作学习，树立育人意识，发展学生的合作能力和相应管理设计能力。</w:t>
      </w:r>
    </w:p>
    <w:p w14:paraId="4D062A45"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0090881D"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w:t>
      </w:r>
      <w:r w:rsidRPr="002E0E2F">
        <w:rPr>
          <w:rFonts w:ascii="宋体" w:eastAsia="宋体" w:hAnsi="宋体" w:cs="Times New Roman" w:hint="eastAsia"/>
          <w:bCs/>
          <w:color w:val="000000"/>
          <w:kern w:val="0"/>
          <w:sz w:val="24"/>
        </w:rPr>
        <w:t>简历的主要内容和撰写要求</w:t>
      </w:r>
    </w:p>
    <w:p w14:paraId="43C27B5B"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2.</w:t>
      </w:r>
      <w:r w:rsidRPr="002E0E2F">
        <w:rPr>
          <w:rFonts w:ascii="宋体" w:eastAsia="宋体" w:hAnsi="宋体" w:cs="Times New Roman" w:hint="eastAsia"/>
          <w:bCs/>
          <w:color w:val="000000"/>
          <w:kern w:val="0"/>
          <w:sz w:val="24"/>
        </w:rPr>
        <w:t>求职面试过程中常遇的问题</w:t>
      </w:r>
    </w:p>
    <w:p w14:paraId="17031C17"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bCs/>
          <w:color w:val="000000"/>
          <w:kern w:val="0"/>
          <w:sz w:val="24"/>
        </w:rPr>
        <w:t>3．求职面试过程中的注意事项</w:t>
      </w:r>
    </w:p>
    <w:p w14:paraId="6D596EFA"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第十三章  求职就业权益保护</w:t>
      </w:r>
    </w:p>
    <w:p w14:paraId="1B0357BF"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6A49F5A7"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w:t>
      </w:r>
      <w:r w:rsidRPr="002E0E2F">
        <w:rPr>
          <w:rFonts w:ascii="宋体" w:eastAsia="宋体" w:hAnsi="宋体" w:cs="Times New Roman" w:hint="eastAsia"/>
          <w:color w:val="000000"/>
          <w:kern w:val="0"/>
          <w:sz w:val="24"/>
        </w:rPr>
        <w:t>了解求职</w:t>
      </w:r>
      <w:r w:rsidRPr="002E0E2F">
        <w:rPr>
          <w:rFonts w:ascii="宋体" w:eastAsia="宋体" w:hAnsi="宋体" w:cs="宋体" w:hint="eastAsia"/>
          <w:color w:val="000000"/>
          <w:kern w:val="0"/>
          <w:sz w:val="24"/>
        </w:rPr>
        <w:t>就业</w:t>
      </w:r>
      <w:r w:rsidRPr="002E0E2F">
        <w:rPr>
          <w:rFonts w:ascii="宋体" w:eastAsia="宋体" w:hAnsi="宋体" w:cs="Times New Roman" w:hint="eastAsia"/>
          <w:color w:val="000000"/>
          <w:kern w:val="0"/>
          <w:sz w:val="24"/>
        </w:rPr>
        <w:t>过程中可能出现的损害求职者权益的</w:t>
      </w:r>
      <w:r w:rsidRPr="002E0E2F">
        <w:rPr>
          <w:rFonts w:ascii="宋体" w:eastAsia="宋体" w:hAnsi="宋体" w:cs="宋体" w:hint="eastAsia"/>
          <w:color w:val="000000"/>
          <w:kern w:val="0"/>
          <w:sz w:val="24"/>
        </w:rPr>
        <w:t>行为</w:t>
      </w:r>
      <w:r w:rsidRPr="002E0E2F">
        <w:rPr>
          <w:rFonts w:ascii="宋体" w:eastAsia="宋体" w:hAnsi="宋体" w:cs="Times New Roman" w:hint="eastAsia"/>
          <w:color w:val="000000"/>
          <w:kern w:val="0"/>
          <w:sz w:val="24"/>
        </w:rPr>
        <w:t>，明了《劳动合同法》赋予劳动者的合法权利和义务，掌握劳动争议发生后的解决途径，</w:t>
      </w:r>
      <w:r w:rsidRPr="002E0E2F">
        <w:rPr>
          <w:rFonts w:ascii="宋体" w:eastAsia="宋体" w:hAnsi="宋体" w:cs="宋体" w:hint="eastAsia"/>
          <w:color w:val="000000"/>
          <w:kern w:val="0"/>
          <w:sz w:val="24"/>
        </w:rPr>
        <w:t>维护个人的合法权益。</w:t>
      </w:r>
    </w:p>
    <w:p w14:paraId="3261FB82"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73FA7D05"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1.</w:t>
      </w:r>
      <w:r w:rsidRPr="002E0E2F">
        <w:rPr>
          <w:rFonts w:ascii="宋体" w:eastAsia="宋体" w:hAnsi="宋体" w:cs="Times New Roman" w:hint="eastAsia"/>
          <w:color w:val="000000"/>
          <w:sz w:val="24"/>
        </w:rPr>
        <w:t>熟知就业权益懂得自我保护</w:t>
      </w:r>
    </w:p>
    <w:p w14:paraId="6B9B1E00"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2.</w:t>
      </w:r>
      <w:r w:rsidRPr="002E0E2F">
        <w:rPr>
          <w:rFonts w:ascii="宋体" w:eastAsia="宋体" w:hAnsi="宋体" w:cs="Times New Roman" w:hint="eastAsia"/>
          <w:bCs/>
          <w:color w:val="000000"/>
          <w:kern w:val="0"/>
          <w:sz w:val="24"/>
        </w:rPr>
        <w:t xml:space="preserve"> 招聘陷阱的识别与防范</w:t>
      </w:r>
    </w:p>
    <w:p w14:paraId="38DAE980" w14:textId="77777777" w:rsidR="002E0E2F" w:rsidRPr="002E0E2F" w:rsidRDefault="002E0E2F" w:rsidP="002E0E2F">
      <w:pPr>
        <w:widowControl/>
        <w:spacing w:line="500" w:lineRule="exact"/>
        <w:ind w:firstLineChars="200" w:firstLine="480"/>
        <w:rPr>
          <w:rFonts w:ascii="宋体" w:eastAsia="宋体" w:hAnsi="宋体" w:cs="Times New Roman"/>
          <w:bCs/>
          <w:color w:val="000000"/>
          <w:kern w:val="0"/>
          <w:sz w:val="24"/>
        </w:rPr>
      </w:pPr>
      <w:r w:rsidRPr="002E0E2F">
        <w:rPr>
          <w:rFonts w:ascii="宋体" w:eastAsia="宋体" w:hAnsi="宋体" w:cs="Times New Roman" w:hint="eastAsia"/>
          <w:bCs/>
          <w:sz w:val="24"/>
        </w:rPr>
        <w:t>3.</w:t>
      </w:r>
      <w:r w:rsidRPr="002E0E2F">
        <w:rPr>
          <w:rFonts w:ascii="宋体" w:eastAsia="宋体" w:hAnsi="宋体" w:cs="Times New Roman" w:hint="eastAsia"/>
          <w:bCs/>
          <w:color w:val="000000"/>
          <w:kern w:val="0"/>
          <w:sz w:val="24"/>
        </w:rPr>
        <w:t xml:space="preserve"> 签订劳动合同</w:t>
      </w:r>
    </w:p>
    <w:p w14:paraId="413CA4F3" w14:textId="77777777" w:rsidR="002E0E2F" w:rsidRPr="002E0E2F" w:rsidRDefault="002E0E2F" w:rsidP="002E0E2F">
      <w:pPr>
        <w:widowControl/>
        <w:spacing w:line="500" w:lineRule="exact"/>
        <w:ind w:firstLineChars="200" w:firstLine="480"/>
        <w:rPr>
          <w:rFonts w:ascii="宋体" w:eastAsia="宋体" w:hAnsi="宋体" w:cs="Times New Roman"/>
          <w:bCs/>
          <w:color w:val="000000"/>
          <w:kern w:val="0"/>
          <w:sz w:val="24"/>
        </w:rPr>
      </w:pPr>
      <w:r w:rsidRPr="002E0E2F">
        <w:rPr>
          <w:rFonts w:ascii="宋体" w:eastAsia="宋体" w:hAnsi="宋体" w:cs="Times New Roman" w:hint="eastAsia"/>
          <w:color w:val="000000"/>
          <w:sz w:val="24"/>
        </w:rPr>
        <w:t>4．</w:t>
      </w:r>
      <w:r w:rsidRPr="002E0E2F">
        <w:rPr>
          <w:rFonts w:ascii="宋体" w:eastAsia="宋体" w:hAnsi="宋体" w:cs="Times New Roman" w:hint="eastAsia"/>
          <w:bCs/>
          <w:color w:val="000000"/>
          <w:kern w:val="0"/>
          <w:sz w:val="24"/>
        </w:rPr>
        <w:t>劳动争议处理</w:t>
      </w:r>
    </w:p>
    <w:p w14:paraId="4E90C2C3"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228C8D6E"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color w:val="000000"/>
          <w:sz w:val="24"/>
        </w:rPr>
        <w:t>招聘陷阱的识别与防范，《</w:t>
      </w:r>
      <w:r w:rsidRPr="002E0E2F">
        <w:rPr>
          <w:rFonts w:ascii="宋体" w:eastAsia="宋体" w:hAnsi="宋体" w:cs="Times New Roman" w:hint="eastAsia"/>
          <w:color w:val="000000"/>
          <w:kern w:val="0"/>
          <w:sz w:val="24"/>
        </w:rPr>
        <w:t>劳动合同法》赋予劳动者的基本权利。</w:t>
      </w:r>
    </w:p>
    <w:p w14:paraId="051A7F98"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lastRenderedPageBreak/>
        <w:t>【难点】</w:t>
      </w:r>
    </w:p>
    <w:p w14:paraId="649D9A65" w14:textId="77777777" w:rsidR="002E0E2F" w:rsidRPr="002E0E2F" w:rsidRDefault="002E0E2F" w:rsidP="00747ECA">
      <w:pPr>
        <w:numPr>
          <w:ilvl w:val="0"/>
          <w:numId w:val="62"/>
        </w:numPr>
        <w:tabs>
          <w:tab w:val="left" w:pos="312"/>
        </w:tabs>
        <w:spacing w:line="440" w:lineRule="exact"/>
        <w:rPr>
          <w:rFonts w:ascii="宋体" w:eastAsia="宋体" w:hAnsi="宋体" w:cs="Times New Roman"/>
          <w:sz w:val="24"/>
        </w:rPr>
      </w:pPr>
      <w:r w:rsidRPr="002E0E2F">
        <w:rPr>
          <w:rFonts w:ascii="宋体" w:eastAsia="宋体" w:hAnsi="宋体" w:cs="Times New Roman" w:hint="eastAsia"/>
          <w:color w:val="000000"/>
          <w:sz w:val="24"/>
        </w:rPr>
        <w:t>《</w:t>
      </w:r>
      <w:r w:rsidRPr="002E0E2F">
        <w:rPr>
          <w:rFonts w:ascii="宋体" w:eastAsia="宋体" w:hAnsi="宋体" w:cs="Times New Roman" w:hint="eastAsia"/>
          <w:color w:val="000000"/>
          <w:kern w:val="0"/>
          <w:sz w:val="24"/>
        </w:rPr>
        <w:t>劳动合同法》赋予劳动者的基本权利，劳动争议的解决途径。</w:t>
      </w:r>
    </w:p>
    <w:p w14:paraId="0D390D08"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60B59471"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310C9728"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通过案例分析，强调理论与实践相结合，促进学生知识整合，培养学生参与意识和反思能力。</w:t>
      </w:r>
    </w:p>
    <w:p w14:paraId="4B0FA6C8"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3.通过小组合作学习，树立育人意识，发展学生的合作能力和相应管理设计能力。</w:t>
      </w:r>
    </w:p>
    <w:p w14:paraId="327E2AE9"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2D4107D5"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w:t>
      </w:r>
      <w:r w:rsidRPr="002E0E2F">
        <w:rPr>
          <w:rFonts w:ascii="宋体" w:eastAsia="宋体" w:hAnsi="宋体" w:cs="Times New Roman" w:hint="eastAsia"/>
          <w:bCs/>
          <w:color w:val="000000"/>
          <w:kern w:val="0"/>
          <w:sz w:val="24"/>
        </w:rPr>
        <w:t>如何识别和防范招聘陷阱、合同陷阱</w:t>
      </w:r>
      <w:r w:rsidRPr="002E0E2F">
        <w:rPr>
          <w:rFonts w:ascii="宋体" w:eastAsia="宋体" w:hAnsi="宋体" w:cs="Times New Roman" w:hint="eastAsia"/>
          <w:sz w:val="24"/>
        </w:rPr>
        <w:t>？</w:t>
      </w:r>
    </w:p>
    <w:p w14:paraId="32D65264"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2.</w:t>
      </w:r>
      <w:r w:rsidRPr="002E0E2F">
        <w:rPr>
          <w:rFonts w:ascii="宋体" w:eastAsia="宋体" w:hAnsi="宋体" w:cs="Times New Roman" w:hint="eastAsia"/>
          <w:bCs/>
          <w:color w:val="000000"/>
          <w:kern w:val="0"/>
          <w:sz w:val="24"/>
        </w:rPr>
        <w:t>签订劳动合同需要注意哪些方面</w:t>
      </w:r>
      <w:r w:rsidRPr="002E0E2F">
        <w:rPr>
          <w:rFonts w:ascii="宋体" w:eastAsia="宋体" w:hAnsi="宋体" w:cs="Times New Roman" w:hint="eastAsia"/>
          <w:color w:val="000000"/>
          <w:kern w:val="0"/>
          <w:sz w:val="24"/>
        </w:rPr>
        <w:t>？</w:t>
      </w:r>
    </w:p>
    <w:p w14:paraId="6323A243"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第十四章  毕业生相关手续的办理</w:t>
      </w:r>
    </w:p>
    <w:p w14:paraId="6914DFAB"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60D5A293"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w:t>
      </w:r>
      <w:r w:rsidRPr="002E0E2F">
        <w:rPr>
          <w:rFonts w:ascii="宋体" w:eastAsia="宋体" w:hAnsi="宋体" w:cs="Times New Roman" w:hint="eastAsia"/>
          <w:bCs/>
          <w:color w:val="000000"/>
          <w:kern w:val="0"/>
          <w:sz w:val="24"/>
        </w:rPr>
        <w:t>了解毕业生需要办理的主要手续和方法，从而实现顺利就业。</w:t>
      </w:r>
    </w:p>
    <w:p w14:paraId="7ECABA1D"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4252ED23"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1.</w:t>
      </w:r>
      <w:r w:rsidRPr="002E0E2F">
        <w:rPr>
          <w:rFonts w:ascii="宋体" w:eastAsia="宋体" w:hAnsi="宋体" w:cs="Times New Roman" w:hint="eastAsia"/>
          <w:bCs/>
          <w:color w:val="000000"/>
          <w:kern w:val="0"/>
          <w:sz w:val="24"/>
        </w:rPr>
        <w:t>就业协议书的作用与签订</w:t>
      </w:r>
    </w:p>
    <w:p w14:paraId="02602246" w14:textId="77777777" w:rsidR="002E0E2F" w:rsidRPr="002E0E2F" w:rsidRDefault="002E0E2F" w:rsidP="002E0E2F">
      <w:pPr>
        <w:spacing w:line="440" w:lineRule="exact"/>
        <w:ind w:firstLineChars="200" w:firstLine="480"/>
        <w:rPr>
          <w:rFonts w:ascii="宋体" w:eastAsia="宋体" w:hAnsi="宋体" w:cs="Times New Roman"/>
          <w:bCs/>
          <w:color w:val="000000"/>
          <w:kern w:val="0"/>
          <w:sz w:val="24"/>
        </w:rPr>
      </w:pPr>
      <w:r w:rsidRPr="002E0E2F">
        <w:rPr>
          <w:rFonts w:ascii="宋体" w:eastAsia="宋体" w:hAnsi="宋体" w:cs="Times New Roman" w:hint="eastAsia"/>
          <w:bCs/>
          <w:sz w:val="24"/>
        </w:rPr>
        <w:t>2.</w:t>
      </w:r>
      <w:r w:rsidRPr="002E0E2F">
        <w:rPr>
          <w:rFonts w:ascii="宋体" w:eastAsia="宋体" w:hAnsi="宋体" w:cs="Times New Roman" w:hint="eastAsia"/>
          <w:bCs/>
          <w:color w:val="000000"/>
          <w:kern w:val="0"/>
          <w:sz w:val="24"/>
        </w:rPr>
        <w:t>毕业生档案管理</w:t>
      </w:r>
    </w:p>
    <w:p w14:paraId="3D0F80A4"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16C6E9AD"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bCs/>
          <w:color w:val="000000"/>
          <w:kern w:val="0"/>
          <w:sz w:val="24"/>
        </w:rPr>
        <w:t>就业协议书的</w:t>
      </w:r>
      <w:r w:rsidRPr="002E0E2F">
        <w:rPr>
          <w:rFonts w:ascii="宋体" w:eastAsia="宋体" w:hAnsi="宋体" w:cs="Times New Roman" w:hint="eastAsia"/>
          <w:color w:val="000000"/>
          <w:sz w:val="24"/>
        </w:rPr>
        <w:t>签订，就业手续的办理。</w:t>
      </w:r>
    </w:p>
    <w:p w14:paraId="67FF5103"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48D3BEA6" w14:textId="77777777" w:rsidR="002E0E2F" w:rsidRPr="002E0E2F" w:rsidRDefault="002E0E2F" w:rsidP="00747ECA">
      <w:pPr>
        <w:numPr>
          <w:ilvl w:val="0"/>
          <w:numId w:val="63"/>
        </w:numPr>
        <w:tabs>
          <w:tab w:val="left" w:pos="312"/>
        </w:tabs>
        <w:spacing w:line="440" w:lineRule="exact"/>
        <w:rPr>
          <w:rFonts w:ascii="宋体" w:eastAsia="宋体" w:hAnsi="宋体" w:cs="Times New Roman"/>
          <w:sz w:val="24"/>
        </w:rPr>
      </w:pPr>
      <w:r w:rsidRPr="002E0E2F">
        <w:rPr>
          <w:rFonts w:ascii="宋体" w:eastAsia="宋体" w:hAnsi="宋体" w:cs="Times New Roman" w:hint="eastAsia"/>
          <w:bCs/>
          <w:color w:val="000000"/>
          <w:kern w:val="0"/>
          <w:sz w:val="24"/>
        </w:rPr>
        <w:t>就业协议书的</w:t>
      </w:r>
      <w:r w:rsidRPr="002E0E2F">
        <w:rPr>
          <w:rFonts w:ascii="宋体" w:eastAsia="宋体" w:hAnsi="宋体" w:cs="Times New Roman" w:hint="eastAsia"/>
          <w:color w:val="000000"/>
          <w:sz w:val="24"/>
        </w:rPr>
        <w:t>签订，就业手续的办理。</w:t>
      </w:r>
    </w:p>
    <w:p w14:paraId="7E45C8FB"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563C4DDA"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62838A05"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通过案例分析，强调理论与实践相结合，促进学生知识整合，培养学生参与意识和反思能力。</w:t>
      </w:r>
    </w:p>
    <w:p w14:paraId="6B52DC3F"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3.通过小组合作学习，树立育人意识，发展学生的合作能力和相应管理设计能力。</w:t>
      </w:r>
    </w:p>
    <w:p w14:paraId="64D85572"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5A52DA4B"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w:t>
      </w:r>
      <w:r w:rsidRPr="002E0E2F">
        <w:rPr>
          <w:rFonts w:ascii="宋体" w:eastAsia="宋体" w:hAnsi="宋体" w:cs="Times New Roman" w:hint="eastAsia"/>
          <w:bCs/>
          <w:color w:val="000000"/>
          <w:kern w:val="0"/>
          <w:sz w:val="24"/>
        </w:rPr>
        <w:t>就业协议书签订的程序和要求</w:t>
      </w:r>
    </w:p>
    <w:p w14:paraId="378D4DF5"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2.</w:t>
      </w:r>
      <w:r w:rsidRPr="002E0E2F">
        <w:rPr>
          <w:rFonts w:ascii="宋体" w:eastAsia="宋体" w:hAnsi="宋体" w:cs="Times New Roman" w:hint="eastAsia"/>
          <w:bCs/>
          <w:color w:val="000000"/>
          <w:kern w:val="0"/>
          <w:sz w:val="24"/>
        </w:rPr>
        <w:t>如何办理相应的就业手续？</w:t>
      </w:r>
    </w:p>
    <w:p w14:paraId="42F47A42"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lastRenderedPageBreak/>
        <w:t xml:space="preserve">第十五章  </w:t>
      </w:r>
      <w:proofErr w:type="gramStart"/>
      <w:r w:rsidRPr="002E0E2F">
        <w:rPr>
          <w:rFonts w:ascii="黑体" w:eastAsia="黑体" w:hAnsi="黑体" w:cs="Times New Roman" w:hint="eastAsia"/>
          <w:sz w:val="28"/>
          <w:szCs w:val="28"/>
        </w:rPr>
        <w:t>职场适应</w:t>
      </w:r>
      <w:proofErr w:type="gramEnd"/>
      <w:r w:rsidRPr="002E0E2F">
        <w:rPr>
          <w:rFonts w:ascii="黑体" w:eastAsia="黑体" w:hAnsi="黑体" w:cs="Times New Roman" w:hint="eastAsia"/>
          <w:sz w:val="28"/>
          <w:szCs w:val="28"/>
        </w:rPr>
        <w:t>与职业发展</w:t>
      </w:r>
    </w:p>
    <w:p w14:paraId="3803100B"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688B3635"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w:t>
      </w:r>
      <w:r w:rsidRPr="002E0E2F">
        <w:rPr>
          <w:rFonts w:ascii="宋体" w:eastAsia="宋体" w:hAnsi="宋体" w:cs="Times New Roman" w:hint="eastAsia"/>
          <w:color w:val="000000"/>
          <w:kern w:val="0"/>
          <w:sz w:val="24"/>
        </w:rPr>
        <w:t>了解</w:t>
      </w:r>
      <w:proofErr w:type="gramStart"/>
      <w:r w:rsidRPr="002E0E2F">
        <w:rPr>
          <w:rFonts w:ascii="宋体" w:eastAsia="宋体" w:hAnsi="宋体" w:cs="Times New Roman" w:hint="eastAsia"/>
          <w:color w:val="000000"/>
          <w:sz w:val="24"/>
        </w:rPr>
        <w:t>作为职场新人</w:t>
      </w:r>
      <w:proofErr w:type="gramEnd"/>
      <w:r w:rsidRPr="002E0E2F">
        <w:rPr>
          <w:rFonts w:ascii="宋体" w:eastAsia="宋体" w:hAnsi="宋体" w:cs="Times New Roman" w:hint="eastAsia"/>
          <w:color w:val="000000"/>
          <w:sz w:val="24"/>
        </w:rPr>
        <w:t>在工作适应、人际交往方面的一般方法和技巧，</w:t>
      </w:r>
      <w:r w:rsidRPr="002E0E2F">
        <w:rPr>
          <w:rFonts w:ascii="宋体" w:eastAsia="宋体" w:hAnsi="宋体" w:cs="宋体" w:hint="eastAsia"/>
          <w:color w:val="000000"/>
          <w:kern w:val="0"/>
          <w:sz w:val="24"/>
        </w:rPr>
        <w:t>实现从学生到职业人的转变，</w:t>
      </w:r>
      <w:r w:rsidRPr="002E0E2F">
        <w:rPr>
          <w:rFonts w:ascii="宋体" w:eastAsia="宋体" w:hAnsi="宋体" w:cs="Times New Roman" w:hint="eastAsia"/>
          <w:color w:val="000000"/>
          <w:sz w:val="24"/>
        </w:rPr>
        <w:t>提高职业适应力和职业稳定性。</w:t>
      </w:r>
    </w:p>
    <w:p w14:paraId="3FAB82A5"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31BFC34B"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1.</w:t>
      </w:r>
      <w:r w:rsidRPr="002E0E2F">
        <w:rPr>
          <w:rFonts w:ascii="宋体" w:eastAsia="宋体" w:hAnsi="宋体" w:cs="Times New Roman" w:hint="eastAsia"/>
          <w:color w:val="000000"/>
          <w:sz w:val="24"/>
        </w:rPr>
        <w:t>角色转换</w:t>
      </w:r>
    </w:p>
    <w:p w14:paraId="24B3D570"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2.</w:t>
      </w:r>
      <w:r w:rsidRPr="002E0E2F">
        <w:rPr>
          <w:rFonts w:ascii="Calibri" w:eastAsia="宋体" w:hAnsi="Calibri" w:cs="Times New Roman" w:hint="eastAsia"/>
          <w:color w:val="000000"/>
          <w:sz w:val="24"/>
        </w:rPr>
        <w:t>顺利度过试用期</w:t>
      </w:r>
    </w:p>
    <w:p w14:paraId="220FDE37" w14:textId="77777777" w:rsidR="002E0E2F" w:rsidRPr="002E0E2F" w:rsidRDefault="002E0E2F" w:rsidP="002E0E2F">
      <w:pPr>
        <w:adjustRightInd w:val="0"/>
        <w:snapToGrid w:val="0"/>
        <w:spacing w:line="500" w:lineRule="exact"/>
        <w:ind w:firstLineChars="200" w:firstLine="480"/>
        <w:rPr>
          <w:rFonts w:ascii="宋体" w:eastAsia="宋体" w:hAnsi="宋体" w:cs="Times New Roman"/>
          <w:color w:val="000000"/>
          <w:sz w:val="24"/>
        </w:rPr>
      </w:pPr>
      <w:r w:rsidRPr="002E0E2F">
        <w:rPr>
          <w:rFonts w:ascii="宋体" w:eastAsia="宋体" w:hAnsi="宋体" w:cs="Times New Roman" w:hint="eastAsia"/>
          <w:bCs/>
          <w:sz w:val="24"/>
        </w:rPr>
        <w:t>3.</w:t>
      </w:r>
      <w:proofErr w:type="gramStart"/>
      <w:r w:rsidRPr="002E0E2F">
        <w:rPr>
          <w:rFonts w:ascii="Calibri" w:eastAsia="宋体" w:hAnsi="Calibri" w:cs="Times New Roman" w:hint="eastAsia"/>
          <w:color w:val="000000"/>
          <w:sz w:val="24"/>
        </w:rPr>
        <w:t>职场人际</w:t>
      </w:r>
      <w:proofErr w:type="gramEnd"/>
      <w:r w:rsidRPr="002E0E2F">
        <w:rPr>
          <w:rFonts w:ascii="Calibri" w:eastAsia="宋体" w:hAnsi="Calibri" w:cs="Times New Roman" w:hint="eastAsia"/>
          <w:color w:val="000000"/>
          <w:sz w:val="24"/>
        </w:rPr>
        <w:t>交往</w:t>
      </w:r>
    </w:p>
    <w:p w14:paraId="55CCA41E" w14:textId="77777777" w:rsidR="002E0E2F" w:rsidRPr="002E0E2F" w:rsidRDefault="002E0E2F" w:rsidP="002E0E2F">
      <w:pPr>
        <w:adjustRightInd w:val="0"/>
        <w:snapToGrid w:val="0"/>
        <w:spacing w:line="500" w:lineRule="exact"/>
        <w:ind w:firstLineChars="200" w:firstLine="480"/>
        <w:rPr>
          <w:rFonts w:ascii="宋体" w:eastAsia="宋体" w:hAnsi="宋体" w:cs="Times New Roman"/>
          <w:color w:val="000000"/>
          <w:sz w:val="24"/>
        </w:rPr>
      </w:pPr>
      <w:r w:rsidRPr="002E0E2F">
        <w:rPr>
          <w:rFonts w:ascii="宋体" w:eastAsia="宋体" w:hAnsi="宋体" w:cs="Times New Roman" w:hint="eastAsia"/>
          <w:color w:val="000000"/>
          <w:sz w:val="24"/>
        </w:rPr>
        <w:t>4．如何</w:t>
      </w:r>
      <w:r w:rsidRPr="002E0E2F">
        <w:rPr>
          <w:rFonts w:ascii="Calibri" w:eastAsia="宋体" w:hAnsi="Calibri" w:cs="Times New Roman" w:hint="eastAsia"/>
          <w:color w:val="000000"/>
          <w:sz w:val="24"/>
        </w:rPr>
        <w:t>脱颖而出</w:t>
      </w:r>
    </w:p>
    <w:p w14:paraId="26C0FF52"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550FC042"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proofErr w:type="gramStart"/>
      <w:r w:rsidRPr="002E0E2F">
        <w:rPr>
          <w:rFonts w:ascii="宋体" w:eastAsia="宋体" w:hAnsi="宋体" w:cs="宋体" w:hint="eastAsia"/>
          <w:color w:val="000000"/>
          <w:kern w:val="0"/>
          <w:sz w:val="24"/>
        </w:rPr>
        <w:t>初入职场可能</w:t>
      </w:r>
      <w:proofErr w:type="gramEnd"/>
      <w:r w:rsidRPr="002E0E2F">
        <w:rPr>
          <w:rFonts w:ascii="宋体" w:eastAsia="宋体" w:hAnsi="宋体" w:cs="宋体" w:hint="eastAsia"/>
          <w:color w:val="000000"/>
          <w:kern w:val="0"/>
          <w:sz w:val="24"/>
        </w:rPr>
        <w:t>面临的问题及应对方式。</w:t>
      </w:r>
    </w:p>
    <w:p w14:paraId="584F8B27"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7E9A3593" w14:textId="77777777" w:rsidR="002E0E2F" w:rsidRPr="002E0E2F" w:rsidRDefault="002E0E2F" w:rsidP="00747ECA">
      <w:pPr>
        <w:numPr>
          <w:ilvl w:val="0"/>
          <w:numId w:val="64"/>
        </w:numPr>
        <w:tabs>
          <w:tab w:val="left" w:pos="312"/>
        </w:tabs>
        <w:spacing w:line="440" w:lineRule="exact"/>
        <w:rPr>
          <w:rFonts w:ascii="宋体" w:eastAsia="宋体" w:hAnsi="宋体" w:cs="Times New Roman"/>
          <w:sz w:val="24"/>
        </w:rPr>
      </w:pPr>
      <w:proofErr w:type="gramStart"/>
      <w:r w:rsidRPr="002E0E2F">
        <w:rPr>
          <w:rFonts w:ascii="宋体" w:eastAsia="宋体" w:hAnsi="宋体" w:cs="Times New Roman" w:hint="eastAsia"/>
          <w:color w:val="000000"/>
          <w:sz w:val="24"/>
        </w:rPr>
        <w:t>职场人际</w:t>
      </w:r>
      <w:proofErr w:type="gramEnd"/>
      <w:r w:rsidRPr="002E0E2F">
        <w:rPr>
          <w:rFonts w:ascii="宋体" w:eastAsia="宋体" w:hAnsi="宋体" w:cs="Times New Roman" w:hint="eastAsia"/>
          <w:color w:val="000000"/>
          <w:sz w:val="24"/>
        </w:rPr>
        <w:t>交往能力的培养。</w:t>
      </w:r>
    </w:p>
    <w:p w14:paraId="7D064382"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7458BCD9"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0B51BCF5"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通过案例分析，强调理论与实践相结合，促进学生知识整合，培养学生参与意识和反思能力。</w:t>
      </w:r>
    </w:p>
    <w:p w14:paraId="59CABAAD"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3.通过小组合作学习，树立育人意识，发展学生的合作能力和相应管理设计能力。</w:t>
      </w:r>
    </w:p>
    <w:p w14:paraId="5168571D"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2AE2CC54"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w:t>
      </w:r>
      <w:proofErr w:type="gramStart"/>
      <w:r w:rsidRPr="002E0E2F">
        <w:rPr>
          <w:rFonts w:ascii="宋体" w:eastAsia="宋体" w:hAnsi="宋体" w:cs="宋体" w:hint="eastAsia"/>
          <w:color w:val="000000"/>
          <w:kern w:val="0"/>
          <w:sz w:val="24"/>
        </w:rPr>
        <w:t>初入职场可能</w:t>
      </w:r>
      <w:proofErr w:type="gramEnd"/>
      <w:r w:rsidRPr="002E0E2F">
        <w:rPr>
          <w:rFonts w:ascii="宋体" w:eastAsia="宋体" w:hAnsi="宋体" w:cs="宋体" w:hint="eastAsia"/>
          <w:color w:val="000000"/>
          <w:kern w:val="0"/>
          <w:sz w:val="24"/>
        </w:rPr>
        <w:t>面临哪些问题？如何积极应对</w:t>
      </w:r>
      <w:r w:rsidRPr="002E0E2F">
        <w:rPr>
          <w:rFonts w:ascii="宋体" w:eastAsia="宋体" w:hAnsi="宋体" w:cs="Times New Roman" w:hint="eastAsia"/>
          <w:sz w:val="24"/>
        </w:rPr>
        <w:t>？</w:t>
      </w:r>
    </w:p>
    <w:p w14:paraId="59C56F5B"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2.</w:t>
      </w:r>
      <w:proofErr w:type="gramStart"/>
      <w:r w:rsidRPr="002E0E2F">
        <w:rPr>
          <w:rFonts w:ascii="Calibri" w:eastAsia="宋体" w:hAnsi="Calibri" w:cs="Times New Roman" w:hint="eastAsia"/>
          <w:color w:val="000000"/>
          <w:sz w:val="24"/>
        </w:rPr>
        <w:t>职场人际</w:t>
      </w:r>
      <w:proofErr w:type="gramEnd"/>
      <w:r w:rsidRPr="002E0E2F">
        <w:rPr>
          <w:rFonts w:ascii="Calibri" w:eastAsia="宋体" w:hAnsi="Calibri" w:cs="Times New Roman" w:hint="eastAsia"/>
          <w:color w:val="000000"/>
          <w:sz w:val="24"/>
        </w:rPr>
        <w:t>交往的注意事项</w:t>
      </w:r>
      <w:r w:rsidRPr="002E0E2F">
        <w:rPr>
          <w:rFonts w:ascii="宋体" w:eastAsia="宋体" w:hAnsi="宋体" w:cs="Times New Roman" w:hint="eastAsia"/>
          <w:color w:val="000000"/>
          <w:kern w:val="0"/>
          <w:sz w:val="24"/>
        </w:rPr>
        <w:t>有哪些？</w:t>
      </w:r>
    </w:p>
    <w:p w14:paraId="064DE2C9"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第十六章  自主创业导论</w:t>
      </w:r>
    </w:p>
    <w:p w14:paraId="7501DBA2"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6353D2E8"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w:t>
      </w:r>
      <w:r w:rsidRPr="002E0E2F">
        <w:rPr>
          <w:rFonts w:ascii="宋体" w:eastAsia="宋体" w:hAnsi="宋体" w:cs="Times New Roman" w:hint="eastAsia"/>
          <w:color w:val="000000"/>
          <w:kern w:val="0"/>
          <w:sz w:val="24"/>
        </w:rPr>
        <w:t>了解创业的基本内涵、类型和</w:t>
      </w:r>
      <w:r w:rsidRPr="002E0E2F">
        <w:rPr>
          <w:rFonts w:ascii="宋体" w:eastAsia="宋体" w:hAnsi="宋体" w:cs="宋体" w:hint="eastAsia"/>
          <w:color w:val="000000"/>
          <w:kern w:val="0"/>
          <w:sz w:val="24"/>
        </w:rPr>
        <w:t>一般过程</w:t>
      </w:r>
      <w:r w:rsidRPr="002E0E2F">
        <w:rPr>
          <w:rFonts w:ascii="宋体" w:eastAsia="宋体" w:hAnsi="宋体" w:cs="Times New Roman" w:hint="eastAsia"/>
          <w:color w:val="000000"/>
          <w:kern w:val="0"/>
          <w:sz w:val="24"/>
        </w:rPr>
        <w:t>，当前的创业政策、创业环境以及大学生创业的基本现状</w:t>
      </w:r>
      <w:r w:rsidRPr="002E0E2F">
        <w:rPr>
          <w:rFonts w:ascii="宋体" w:eastAsia="宋体" w:hAnsi="宋体" w:cs="Times New Roman" w:hint="eastAsia"/>
          <w:color w:val="000000"/>
          <w:sz w:val="24"/>
        </w:rPr>
        <w:t>。</w:t>
      </w:r>
    </w:p>
    <w:p w14:paraId="21CEEE44"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1A977455"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1.</w:t>
      </w:r>
      <w:r w:rsidRPr="002E0E2F">
        <w:rPr>
          <w:rFonts w:ascii="宋体" w:eastAsia="宋体" w:hAnsi="宋体" w:cs="Times New Roman" w:hint="eastAsia"/>
          <w:color w:val="000000"/>
          <w:kern w:val="0"/>
          <w:sz w:val="24"/>
        </w:rPr>
        <w:t>创业概述</w:t>
      </w:r>
    </w:p>
    <w:p w14:paraId="3F569B40"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2.</w:t>
      </w:r>
      <w:r w:rsidRPr="002E0E2F">
        <w:rPr>
          <w:rFonts w:ascii="宋体" w:eastAsia="宋体" w:hAnsi="宋体" w:cs="Times New Roman" w:hint="eastAsia"/>
          <w:color w:val="000000"/>
          <w:sz w:val="24"/>
        </w:rPr>
        <w:t>大学生</w:t>
      </w:r>
      <w:r w:rsidRPr="002E0E2F">
        <w:rPr>
          <w:rFonts w:ascii="Calibri" w:eastAsia="宋体" w:hAnsi="Calibri" w:cs="Times New Roman" w:hint="eastAsia"/>
          <w:color w:val="000000"/>
          <w:sz w:val="24"/>
        </w:rPr>
        <w:t>创业环境分析</w:t>
      </w:r>
    </w:p>
    <w:p w14:paraId="788EACD4"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14894544"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lastRenderedPageBreak/>
        <w:t>1</w:t>
      </w:r>
      <w:r w:rsidRPr="002E0E2F">
        <w:rPr>
          <w:rFonts w:ascii="宋体" w:eastAsia="宋体" w:hAnsi="宋体" w:cs="Times New Roman"/>
          <w:sz w:val="24"/>
        </w:rPr>
        <w:t xml:space="preserve">. </w:t>
      </w:r>
      <w:r w:rsidRPr="002E0E2F">
        <w:rPr>
          <w:rFonts w:ascii="宋体" w:eastAsia="宋体" w:hAnsi="宋体" w:cs="Times New Roman" w:hint="eastAsia"/>
          <w:color w:val="000000"/>
          <w:sz w:val="24"/>
        </w:rPr>
        <w:t>大学生创业政策</w:t>
      </w:r>
    </w:p>
    <w:p w14:paraId="71330C1B"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4E644FCF" w14:textId="77777777" w:rsidR="002E0E2F" w:rsidRPr="002E0E2F" w:rsidRDefault="002E0E2F" w:rsidP="002E0E2F">
      <w:pPr>
        <w:tabs>
          <w:tab w:val="left" w:pos="312"/>
        </w:tabs>
        <w:spacing w:line="440" w:lineRule="exact"/>
        <w:ind w:firstLineChars="200" w:firstLine="480"/>
        <w:rPr>
          <w:rFonts w:ascii="宋体" w:eastAsia="宋体" w:hAnsi="宋体" w:cs="Times New Roman"/>
          <w:sz w:val="24"/>
        </w:rPr>
      </w:pPr>
      <w:r w:rsidRPr="002E0E2F">
        <w:rPr>
          <w:rFonts w:ascii="宋体" w:eastAsia="宋体" w:hAnsi="宋体" w:cs="宋体" w:hint="eastAsia"/>
          <w:color w:val="000000"/>
          <w:kern w:val="0"/>
          <w:sz w:val="24"/>
        </w:rPr>
        <w:t>1．大学生创业政策环境分析，</w:t>
      </w:r>
      <w:r w:rsidRPr="002E0E2F">
        <w:rPr>
          <w:rFonts w:ascii="宋体" w:eastAsia="宋体" w:hAnsi="宋体" w:cs="Times New Roman" w:hint="eastAsia"/>
          <w:color w:val="000000"/>
          <w:sz w:val="24"/>
        </w:rPr>
        <w:t>大学生创业率和创业成功率的现状及原因分析。</w:t>
      </w:r>
    </w:p>
    <w:p w14:paraId="79569688"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09D9D38C"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04956A52"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通过案例分析，强调理论与实践相结合，促进学生知识整合，培养学生创业精神、参与意识和反思能力。</w:t>
      </w:r>
    </w:p>
    <w:p w14:paraId="731C71B3"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3.通过小组合作学习，树立育人意识，发展学生的合作能力和相应管理设计能力。</w:t>
      </w:r>
    </w:p>
    <w:p w14:paraId="2542DCC9"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111CCF22"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w:t>
      </w:r>
      <w:r w:rsidRPr="002E0E2F">
        <w:rPr>
          <w:rFonts w:ascii="宋体" w:eastAsia="宋体" w:hAnsi="宋体" w:cs="Times New Roman" w:hint="eastAsia"/>
          <w:color w:val="000000"/>
          <w:sz w:val="24"/>
        </w:rPr>
        <w:t>鼓励和支持大学生创业的政策有哪些</w:t>
      </w:r>
      <w:r w:rsidRPr="002E0E2F">
        <w:rPr>
          <w:rFonts w:ascii="宋体" w:eastAsia="宋体" w:hAnsi="宋体" w:cs="Times New Roman" w:hint="eastAsia"/>
          <w:sz w:val="24"/>
        </w:rPr>
        <w:t>？</w:t>
      </w:r>
    </w:p>
    <w:p w14:paraId="1943031A"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第十七章  创业准备</w:t>
      </w:r>
    </w:p>
    <w:p w14:paraId="3ADAB551"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736AB918"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w:t>
      </w:r>
      <w:r w:rsidRPr="002E0E2F">
        <w:rPr>
          <w:rFonts w:ascii="Calibri" w:eastAsia="宋体" w:hAnsi="Calibri" w:cs="Times New Roman" w:hint="eastAsia"/>
          <w:color w:val="000000"/>
          <w:sz w:val="24"/>
        </w:rPr>
        <w:t>了解创业者的一般特质，明确为创业需要进行初步准备，选择适合自身条件的创业领域、创业机会和创业项目，组建互信高效的创业团队。</w:t>
      </w:r>
    </w:p>
    <w:p w14:paraId="604BB14C"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52DD99E2"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1.</w:t>
      </w:r>
      <w:r w:rsidRPr="002E0E2F">
        <w:rPr>
          <w:rFonts w:ascii="Calibri" w:eastAsia="宋体" w:hAnsi="Calibri" w:cs="Times New Roman" w:hint="eastAsia"/>
          <w:color w:val="000000"/>
          <w:sz w:val="24"/>
        </w:rPr>
        <w:t xml:space="preserve"> </w:t>
      </w:r>
      <w:r w:rsidRPr="002E0E2F">
        <w:rPr>
          <w:rFonts w:ascii="Calibri" w:eastAsia="宋体" w:hAnsi="Calibri" w:cs="Times New Roman" w:hint="eastAsia"/>
          <w:color w:val="000000"/>
          <w:sz w:val="24"/>
        </w:rPr>
        <w:t>创业意识的树立和培养</w:t>
      </w:r>
    </w:p>
    <w:p w14:paraId="1A6554D0"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2.</w:t>
      </w:r>
      <w:r w:rsidRPr="002E0E2F">
        <w:rPr>
          <w:rFonts w:ascii="Calibri" w:eastAsia="宋体" w:hAnsi="Calibri" w:cs="Times New Roman" w:hint="eastAsia"/>
          <w:color w:val="000000"/>
          <w:sz w:val="24"/>
        </w:rPr>
        <w:t>创业者必备的基本素质和能力储备</w:t>
      </w:r>
    </w:p>
    <w:p w14:paraId="3C735DA5" w14:textId="77777777" w:rsidR="002E0E2F" w:rsidRPr="002E0E2F" w:rsidRDefault="002E0E2F" w:rsidP="002E0E2F">
      <w:pPr>
        <w:adjustRightInd w:val="0"/>
        <w:snapToGrid w:val="0"/>
        <w:spacing w:line="500" w:lineRule="exact"/>
        <w:ind w:firstLineChars="196" w:firstLine="470"/>
        <w:jc w:val="left"/>
        <w:rPr>
          <w:rFonts w:ascii="宋体" w:eastAsia="宋体" w:hAnsi="宋体" w:cs="Times New Roman"/>
          <w:color w:val="000000"/>
          <w:sz w:val="24"/>
        </w:rPr>
      </w:pPr>
      <w:r w:rsidRPr="002E0E2F">
        <w:rPr>
          <w:rFonts w:ascii="宋体" w:eastAsia="宋体" w:hAnsi="宋体" w:cs="Times New Roman" w:hint="eastAsia"/>
          <w:bCs/>
          <w:sz w:val="24"/>
        </w:rPr>
        <w:t>3.</w:t>
      </w:r>
      <w:r w:rsidRPr="002E0E2F">
        <w:rPr>
          <w:rFonts w:ascii="宋体" w:eastAsia="宋体" w:hAnsi="宋体" w:cs="Times New Roman" w:hint="eastAsia"/>
          <w:color w:val="000000"/>
          <w:sz w:val="24"/>
        </w:rPr>
        <w:t>创业领域和项目的选择</w:t>
      </w:r>
    </w:p>
    <w:p w14:paraId="30DC519E" w14:textId="77777777" w:rsidR="002E0E2F" w:rsidRPr="002E0E2F" w:rsidRDefault="002E0E2F" w:rsidP="002E0E2F">
      <w:pPr>
        <w:adjustRightInd w:val="0"/>
        <w:snapToGrid w:val="0"/>
        <w:spacing w:line="500" w:lineRule="exact"/>
        <w:ind w:firstLineChars="200" w:firstLine="480"/>
        <w:rPr>
          <w:rFonts w:ascii="宋体" w:eastAsia="宋体" w:hAnsi="宋体" w:cs="Times New Roman"/>
          <w:color w:val="000000"/>
          <w:sz w:val="24"/>
        </w:rPr>
      </w:pPr>
      <w:r w:rsidRPr="002E0E2F">
        <w:rPr>
          <w:rFonts w:ascii="宋体" w:eastAsia="宋体" w:hAnsi="宋体" w:cs="Times New Roman" w:hint="eastAsia"/>
          <w:color w:val="000000"/>
          <w:sz w:val="24"/>
        </w:rPr>
        <w:t>4．创业机会的选择与把握</w:t>
      </w:r>
    </w:p>
    <w:p w14:paraId="0F33E99A" w14:textId="77777777" w:rsidR="002E0E2F" w:rsidRPr="002E0E2F" w:rsidRDefault="002E0E2F" w:rsidP="002E0E2F">
      <w:pPr>
        <w:adjustRightInd w:val="0"/>
        <w:snapToGrid w:val="0"/>
        <w:spacing w:line="500" w:lineRule="exact"/>
        <w:ind w:firstLineChars="200" w:firstLine="480"/>
        <w:rPr>
          <w:rFonts w:ascii="宋体" w:eastAsia="宋体" w:hAnsi="宋体" w:cs="Times New Roman"/>
          <w:color w:val="000000"/>
          <w:sz w:val="24"/>
        </w:rPr>
      </w:pPr>
      <w:r w:rsidRPr="002E0E2F">
        <w:rPr>
          <w:rFonts w:ascii="宋体" w:eastAsia="宋体" w:hAnsi="宋体" w:cs="Times New Roman" w:hint="eastAsia"/>
          <w:color w:val="000000"/>
          <w:sz w:val="24"/>
        </w:rPr>
        <w:t>5．组建创业团队</w:t>
      </w:r>
    </w:p>
    <w:p w14:paraId="55956C32"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60649D4B"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Calibri" w:eastAsia="宋体" w:hAnsi="Calibri" w:cs="Times New Roman" w:hint="eastAsia"/>
          <w:color w:val="000000"/>
          <w:sz w:val="24"/>
        </w:rPr>
        <w:t>创业能力和创业经验的准备，创业机会、创业项目的选择与把握。</w:t>
      </w:r>
    </w:p>
    <w:p w14:paraId="0EF32C01"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21EBC91A" w14:textId="77777777" w:rsidR="002E0E2F" w:rsidRPr="002E0E2F" w:rsidRDefault="002E0E2F" w:rsidP="00747ECA">
      <w:pPr>
        <w:numPr>
          <w:ilvl w:val="0"/>
          <w:numId w:val="65"/>
        </w:numPr>
        <w:tabs>
          <w:tab w:val="left" w:pos="312"/>
        </w:tabs>
        <w:spacing w:line="440" w:lineRule="exact"/>
        <w:rPr>
          <w:rFonts w:ascii="宋体" w:eastAsia="宋体" w:hAnsi="宋体" w:cs="Times New Roman"/>
          <w:sz w:val="24"/>
        </w:rPr>
      </w:pPr>
      <w:r w:rsidRPr="002E0E2F">
        <w:rPr>
          <w:rFonts w:ascii="Calibri" w:eastAsia="宋体" w:hAnsi="Calibri" w:cs="Times New Roman" w:hint="eastAsia"/>
          <w:color w:val="000000"/>
          <w:sz w:val="24"/>
        </w:rPr>
        <w:t>创业能力和创业经验的准备，创业机会、创业项目的选择与把握。</w:t>
      </w:r>
    </w:p>
    <w:p w14:paraId="6D8EC0C3"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1885DC46"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62601E67"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通过案例分析，强调理论与实践相结合，促进学生知识整合，培养学生的创</w:t>
      </w:r>
      <w:r w:rsidRPr="002E0E2F">
        <w:rPr>
          <w:rFonts w:ascii="宋体" w:eastAsia="宋体" w:hAnsi="宋体" w:cs="Times New Roman" w:hint="eastAsia"/>
          <w:sz w:val="24"/>
        </w:rPr>
        <w:lastRenderedPageBreak/>
        <w:t>业能力和反思能力。</w:t>
      </w:r>
    </w:p>
    <w:p w14:paraId="1C7B3F5E"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3.通过小组合作学习，树立育人意识，发展学生的合作能力和相应管理设计能力。</w:t>
      </w:r>
    </w:p>
    <w:p w14:paraId="3F3ACCD8"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4DD15030"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w:t>
      </w:r>
      <w:r w:rsidRPr="002E0E2F">
        <w:rPr>
          <w:rFonts w:ascii="宋体" w:eastAsia="宋体" w:hAnsi="宋体" w:cs="Times New Roman" w:hint="eastAsia"/>
          <w:color w:val="000000"/>
          <w:sz w:val="24"/>
        </w:rPr>
        <w:t>创业者需要做哪些准备</w:t>
      </w:r>
      <w:r w:rsidRPr="002E0E2F">
        <w:rPr>
          <w:rFonts w:ascii="宋体" w:eastAsia="宋体" w:hAnsi="宋体" w:cs="Times New Roman" w:hint="eastAsia"/>
          <w:sz w:val="24"/>
        </w:rPr>
        <w:t>？</w:t>
      </w:r>
    </w:p>
    <w:p w14:paraId="71FE137B"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2.</w:t>
      </w:r>
      <w:r w:rsidRPr="002E0E2F">
        <w:rPr>
          <w:rFonts w:ascii="宋体" w:eastAsia="宋体" w:hAnsi="宋体" w:cs="Times New Roman" w:hint="eastAsia"/>
          <w:color w:val="000000"/>
          <w:sz w:val="24"/>
        </w:rPr>
        <w:t>如何选择创业项目、把握创业机会</w:t>
      </w:r>
      <w:r w:rsidRPr="002E0E2F">
        <w:rPr>
          <w:rFonts w:ascii="宋体" w:eastAsia="宋体" w:hAnsi="宋体" w:cs="Times New Roman" w:hint="eastAsia"/>
          <w:color w:val="000000"/>
          <w:kern w:val="0"/>
          <w:sz w:val="24"/>
        </w:rPr>
        <w:t>？</w:t>
      </w:r>
    </w:p>
    <w:p w14:paraId="3B3E51EA"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第十八章  创业筹划</w:t>
      </w:r>
    </w:p>
    <w:p w14:paraId="60D95E24"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0DFD66A5"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w:t>
      </w:r>
      <w:r w:rsidRPr="002E0E2F">
        <w:rPr>
          <w:rFonts w:ascii="宋体" w:eastAsia="宋体" w:hAnsi="宋体" w:cs="Times New Roman" w:hint="eastAsia"/>
          <w:color w:val="000000"/>
          <w:kern w:val="0"/>
          <w:sz w:val="24"/>
        </w:rPr>
        <w:t>了解开展</w:t>
      </w:r>
      <w:r w:rsidRPr="002E0E2F">
        <w:rPr>
          <w:rFonts w:ascii="Calibri" w:eastAsia="宋体" w:hAnsi="Calibri" w:cs="Times New Roman" w:hint="eastAsia"/>
          <w:color w:val="000000"/>
          <w:sz w:val="24"/>
        </w:rPr>
        <w:t>创业活动需要进行的有关事项，掌握每项创业活动当中需要开展的具体工作，提高创业能力。</w:t>
      </w:r>
    </w:p>
    <w:p w14:paraId="4D577A11"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2FF2CBDF"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1.</w:t>
      </w:r>
      <w:r w:rsidRPr="002E0E2F">
        <w:rPr>
          <w:rFonts w:ascii="宋体" w:eastAsia="宋体" w:hAnsi="宋体" w:cs="Times New Roman" w:hint="eastAsia"/>
          <w:color w:val="000000"/>
          <w:sz w:val="24"/>
        </w:rPr>
        <w:t>市场调查与市场预测</w:t>
      </w:r>
    </w:p>
    <w:p w14:paraId="108400DB"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2.</w:t>
      </w:r>
      <w:r w:rsidRPr="002E0E2F">
        <w:rPr>
          <w:rFonts w:ascii="宋体" w:eastAsia="宋体" w:hAnsi="宋体" w:cs="Times New Roman" w:hint="eastAsia"/>
          <w:color w:val="000000"/>
          <w:sz w:val="24"/>
        </w:rPr>
        <w:t>撰写创业计划书</w:t>
      </w:r>
    </w:p>
    <w:p w14:paraId="3321990B" w14:textId="77777777" w:rsidR="002E0E2F" w:rsidRPr="002E0E2F" w:rsidRDefault="002E0E2F" w:rsidP="002E0E2F">
      <w:pPr>
        <w:adjustRightInd w:val="0"/>
        <w:snapToGrid w:val="0"/>
        <w:spacing w:line="500" w:lineRule="exact"/>
        <w:ind w:firstLineChars="200" w:firstLine="480"/>
        <w:rPr>
          <w:rFonts w:ascii="宋体" w:eastAsia="宋体" w:hAnsi="宋体" w:cs="Times New Roman"/>
          <w:color w:val="000000"/>
          <w:sz w:val="24"/>
        </w:rPr>
      </w:pPr>
      <w:r w:rsidRPr="002E0E2F">
        <w:rPr>
          <w:rFonts w:ascii="宋体" w:eastAsia="宋体" w:hAnsi="宋体" w:cs="Times New Roman" w:hint="eastAsia"/>
          <w:bCs/>
          <w:sz w:val="24"/>
        </w:rPr>
        <w:t>3.</w:t>
      </w:r>
      <w:r w:rsidRPr="002E0E2F">
        <w:rPr>
          <w:rFonts w:ascii="宋体" w:eastAsia="宋体" w:hAnsi="宋体" w:cs="Times New Roman" w:hint="eastAsia"/>
          <w:color w:val="000000"/>
          <w:sz w:val="24"/>
        </w:rPr>
        <w:t>创业融资和新创企业的资本需求</w:t>
      </w:r>
    </w:p>
    <w:p w14:paraId="2AF8F96A"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2C8516C0"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Calibri" w:eastAsia="宋体" w:hAnsi="Calibri" w:cs="Times New Roman" w:hint="eastAsia"/>
          <w:color w:val="000000"/>
          <w:sz w:val="24"/>
        </w:rPr>
        <w:t>创业计划书、创业融资和创业风险</w:t>
      </w:r>
      <w:r w:rsidRPr="002E0E2F">
        <w:rPr>
          <w:rFonts w:ascii="Calibri" w:eastAsia="宋体" w:hAnsi="Calibri" w:cs="Times New Roman"/>
          <w:color w:val="000000"/>
          <w:sz w:val="24"/>
        </w:rPr>
        <w:t>。</w:t>
      </w:r>
    </w:p>
    <w:p w14:paraId="08C682EB"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42992991" w14:textId="77777777" w:rsidR="002E0E2F" w:rsidRPr="002E0E2F" w:rsidRDefault="002E0E2F" w:rsidP="00747ECA">
      <w:pPr>
        <w:numPr>
          <w:ilvl w:val="0"/>
          <w:numId w:val="66"/>
        </w:numPr>
        <w:tabs>
          <w:tab w:val="left" w:pos="312"/>
        </w:tabs>
        <w:spacing w:line="440" w:lineRule="exact"/>
        <w:rPr>
          <w:rFonts w:ascii="宋体" w:eastAsia="宋体" w:hAnsi="宋体" w:cs="Times New Roman"/>
          <w:sz w:val="24"/>
        </w:rPr>
      </w:pPr>
      <w:r w:rsidRPr="002E0E2F">
        <w:rPr>
          <w:rFonts w:ascii="Calibri" w:eastAsia="宋体" w:hAnsi="Calibri" w:cs="Times New Roman" w:hint="eastAsia"/>
          <w:color w:val="000000"/>
          <w:sz w:val="24"/>
        </w:rPr>
        <w:t>创业计划书、创业融资和创业风险</w:t>
      </w:r>
      <w:r w:rsidRPr="002E0E2F">
        <w:rPr>
          <w:rFonts w:ascii="Calibri" w:eastAsia="宋体" w:hAnsi="Calibri" w:cs="Times New Roman"/>
          <w:color w:val="000000"/>
          <w:sz w:val="24"/>
        </w:rPr>
        <w:t>。</w:t>
      </w:r>
    </w:p>
    <w:p w14:paraId="08DC825C"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0E81BF5E"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2297389D"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通过案例分析，强调理论与实践相结合，促进学生知识整合，培养学生创业能力和反思能力。</w:t>
      </w:r>
    </w:p>
    <w:p w14:paraId="1E63B31B"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3.通过小组合作学习，树立育人意识，发展学生的合作能力和相应管理设计能力。</w:t>
      </w:r>
    </w:p>
    <w:p w14:paraId="71DAE501"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75903B2A"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w:t>
      </w:r>
      <w:r w:rsidRPr="002E0E2F">
        <w:rPr>
          <w:rFonts w:ascii="Calibri" w:eastAsia="宋体" w:hAnsi="Calibri" w:cs="Times New Roman" w:hint="eastAsia"/>
          <w:color w:val="000000"/>
          <w:sz w:val="24"/>
        </w:rPr>
        <w:t>如何撰写创业计划书</w:t>
      </w:r>
      <w:r w:rsidRPr="002E0E2F">
        <w:rPr>
          <w:rFonts w:ascii="宋体" w:eastAsia="宋体" w:hAnsi="宋体" w:cs="Times New Roman" w:hint="eastAsia"/>
          <w:sz w:val="24"/>
        </w:rPr>
        <w:t>？</w:t>
      </w:r>
    </w:p>
    <w:p w14:paraId="393AB85D"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2.</w:t>
      </w:r>
      <w:r w:rsidRPr="002E0E2F">
        <w:rPr>
          <w:rFonts w:ascii="Calibri" w:eastAsia="宋体" w:hAnsi="Calibri" w:cs="Times New Roman" w:hint="eastAsia"/>
          <w:color w:val="000000"/>
          <w:sz w:val="24"/>
        </w:rPr>
        <w:t>新创企业的资本需求</w:t>
      </w:r>
    </w:p>
    <w:p w14:paraId="1CBF963D"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第十九章  创业启动</w:t>
      </w:r>
    </w:p>
    <w:p w14:paraId="7CF35C73"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1F2EB41F"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w:t>
      </w:r>
      <w:r w:rsidRPr="002E0E2F">
        <w:rPr>
          <w:rFonts w:ascii="宋体" w:eastAsia="宋体" w:hAnsi="宋体" w:cs="宋体" w:hint="eastAsia"/>
          <w:color w:val="000000"/>
          <w:kern w:val="0"/>
          <w:sz w:val="24"/>
        </w:rPr>
        <w:t>了解创办企业的要求和相关流程，掌握创业企业初期运营的相关规律和方法，降低相应风险，提高创业成功率</w:t>
      </w:r>
      <w:r w:rsidRPr="002E0E2F">
        <w:rPr>
          <w:rFonts w:ascii="宋体" w:eastAsia="宋体" w:hAnsi="宋体" w:cs="宋体" w:hint="eastAsia"/>
          <w:color w:val="000000"/>
          <w:sz w:val="24"/>
        </w:rPr>
        <w:t>。</w:t>
      </w:r>
    </w:p>
    <w:p w14:paraId="5DC0C4FA"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lastRenderedPageBreak/>
        <w:t>【学习内容】</w:t>
      </w:r>
    </w:p>
    <w:p w14:paraId="4751A21B"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1.</w:t>
      </w:r>
      <w:r w:rsidRPr="002E0E2F">
        <w:rPr>
          <w:rFonts w:ascii="宋体" w:eastAsia="宋体" w:hAnsi="宋体" w:cs="宋体" w:hint="eastAsia"/>
          <w:color w:val="000000"/>
          <w:sz w:val="24"/>
        </w:rPr>
        <w:t>企业注册登记</w:t>
      </w:r>
    </w:p>
    <w:p w14:paraId="21C4C63E"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2.</w:t>
      </w:r>
      <w:r w:rsidRPr="002E0E2F">
        <w:rPr>
          <w:rFonts w:ascii="宋体" w:eastAsia="宋体" w:hAnsi="宋体" w:cs="宋体" w:hint="eastAsia"/>
          <w:color w:val="000000"/>
          <w:sz w:val="24"/>
        </w:rPr>
        <w:t>企业的宣传与推广</w:t>
      </w:r>
    </w:p>
    <w:p w14:paraId="14F60999" w14:textId="77777777" w:rsidR="002E0E2F" w:rsidRPr="002E0E2F" w:rsidRDefault="002E0E2F" w:rsidP="002E0E2F">
      <w:pPr>
        <w:adjustRightInd w:val="0"/>
        <w:snapToGrid w:val="0"/>
        <w:spacing w:line="500" w:lineRule="exact"/>
        <w:ind w:firstLineChars="200" w:firstLine="480"/>
        <w:rPr>
          <w:rFonts w:ascii="宋体" w:eastAsia="宋体" w:hAnsi="宋体" w:cs="宋体"/>
          <w:color w:val="000000"/>
          <w:sz w:val="24"/>
        </w:rPr>
      </w:pPr>
      <w:r w:rsidRPr="002E0E2F">
        <w:rPr>
          <w:rFonts w:ascii="宋体" w:eastAsia="宋体" w:hAnsi="宋体" w:cs="Times New Roman" w:hint="eastAsia"/>
          <w:bCs/>
          <w:sz w:val="24"/>
        </w:rPr>
        <w:t>3.</w:t>
      </w:r>
      <w:r w:rsidRPr="002E0E2F">
        <w:rPr>
          <w:rFonts w:ascii="宋体" w:eastAsia="宋体" w:hAnsi="宋体" w:cs="宋体" w:hint="eastAsia"/>
          <w:color w:val="000000"/>
          <w:sz w:val="24"/>
        </w:rPr>
        <w:t>市场营销、市场细分与市场定位</w:t>
      </w:r>
    </w:p>
    <w:p w14:paraId="3DDAFA97"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14CC3BB0"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Calibri" w:eastAsia="宋体" w:hAnsi="Calibri" w:cs="宋体" w:hint="eastAsia"/>
          <w:color w:val="000000"/>
          <w:sz w:val="24"/>
        </w:rPr>
        <w:t>企业注册登记、市场营销的价格策略和分销策略。</w:t>
      </w:r>
    </w:p>
    <w:p w14:paraId="7A1A97B1"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693A4973" w14:textId="77777777" w:rsidR="002E0E2F" w:rsidRPr="002E0E2F" w:rsidRDefault="002E0E2F" w:rsidP="002E0E2F">
      <w:pPr>
        <w:tabs>
          <w:tab w:val="left" w:pos="312"/>
        </w:tabs>
        <w:spacing w:line="440" w:lineRule="exact"/>
        <w:ind w:firstLineChars="200" w:firstLine="480"/>
        <w:rPr>
          <w:rFonts w:ascii="宋体" w:eastAsia="宋体" w:hAnsi="宋体" w:cs="Times New Roman"/>
          <w:sz w:val="24"/>
        </w:rPr>
      </w:pPr>
      <w:r w:rsidRPr="002E0E2F">
        <w:rPr>
          <w:rFonts w:ascii="Calibri" w:eastAsia="宋体" w:hAnsi="Calibri" w:cs="宋体" w:hint="eastAsia"/>
          <w:color w:val="000000"/>
          <w:sz w:val="24"/>
        </w:rPr>
        <w:t>1</w:t>
      </w:r>
      <w:r w:rsidRPr="002E0E2F">
        <w:rPr>
          <w:rFonts w:ascii="Calibri" w:eastAsia="宋体" w:hAnsi="Calibri" w:cs="宋体" w:hint="eastAsia"/>
          <w:color w:val="000000"/>
          <w:sz w:val="24"/>
        </w:rPr>
        <w:t>．企业注册登记、市场营销的价格策略和分销策略。</w:t>
      </w:r>
    </w:p>
    <w:p w14:paraId="7C20AD32"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t>【教学方法】</w:t>
      </w:r>
    </w:p>
    <w:p w14:paraId="0CA15100"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23AD2DF7"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通过案例分析，强调理论与实践相结合，促进学生知识整合，培养学生创业能力和反思能力。</w:t>
      </w:r>
    </w:p>
    <w:p w14:paraId="45C922B7"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3.通过小组合作学习，树立育人意识，发展学生的合作能力和相应管理设计能力。</w:t>
      </w:r>
    </w:p>
    <w:p w14:paraId="504592FB"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1824927C"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w:t>
      </w:r>
      <w:r w:rsidRPr="002E0E2F">
        <w:rPr>
          <w:rFonts w:ascii="Calibri" w:eastAsia="宋体" w:hAnsi="Calibri" w:cs="宋体" w:hint="eastAsia"/>
          <w:color w:val="000000"/>
          <w:sz w:val="24"/>
        </w:rPr>
        <w:t>企业注册登记的主要步骤</w:t>
      </w:r>
    </w:p>
    <w:p w14:paraId="4E1456B8"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2.</w:t>
      </w:r>
      <w:r w:rsidRPr="002E0E2F">
        <w:rPr>
          <w:rFonts w:ascii="Calibri" w:eastAsia="宋体" w:hAnsi="Calibri" w:cs="宋体" w:hint="eastAsia"/>
          <w:color w:val="000000"/>
          <w:sz w:val="24"/>
        </w:rPr>
        <w:t>市场营销的价格策略和分销策略</w:t>
      </w:r>
    </w:p>
    <w:p w14:paraId="7D4FA91B" w14:textId="77777777" w:rsidR="002E0E2F" w:rsidRPr="002E0E2F" w:rsidRDefault="002E0E2F" w:rsidP="002E0E2F">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2E0E2F">
        <w:rPr>
          <w:rFonts w:ascii="黑体" w:eastAsia="黑体" w:hAnsi="黑体" w:cs="Times New Roman" w:hint="eastAsia"/>
          <w:sz w:val="28"/>
          <w:szCs w:val="28"/>
        </w:rPr>
        <w:t>第二十章  创业企业管理与发展</w:t>
      </w:r>
    </w:p>
    <w:p w14:paraId="74176FF6"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【学习目标】</w:t>
      </w:r>
    </w:p>
    <w:p w14:paraId="422F13A6"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宋体" w:eastAsia="宋体" w:hAnsi="宋体" w:cs="Times New Roman" w:hint="eastAsia"/>
          <w:sz w:val="24"/>
        </w:rPr>
        <w:t>认知类目标：通过教学使学生</w:t>
      </w:r>
      <w:r w:rsidRPr="002E0E2F">
        <w:rPr>
          <w:rFonts w:ascii="宋体" w:eastAsia="宋体" w:hAnsi="宋体" w:cs="Times New Roman" w:hint="eastAsia"/>
          <w:color w:val="000000"/>
          <w:kern w:val="0"/>
          <w:sz w:val="24"/>
        </w:rPr>
        <w:t>了解新创企业管理的相关理论与主要的方法，掌握新创企业运营和管理的相关规律和方法，降低创业管理风险，提高创业成功率</w:t>
      </w:r>
      <w:r w:rsidRPr="002E0E2F">
        <w:rPr>
          <w:rFonts w:ascii="Calibri" w:eastAsia="宋体" w:hAnsi="Calibri" w:cs="Times New Roman" w:hint="eastAsia"/>
          <w:color w:val="000000"/>
          <w:sz w:val="24"/>
        </w:rPr>
        <w:t>。</w:t>
      </w:r>
    </w:p>
    <w:p w14:paraId="231194B5"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【学习内容】</w:t>
      </w:r>
    </w:p>
    <w:p w14:paraId="7482AF94"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1.</w:t>
      </w:r>
      <w:r w:rsidRPr="002E0E2F">
        <w:rPr>
          <w:rFonts w:ascii="Calibri" w:eastAsia="宋体" w:hAnsi="Calibri" w:cs="Times New Roman" w:hint="eastAsia"/>
          <w:color w:val="000000"/>
          <w:sz w:val="24"/>
        </w:rPr>
        <w:t xml:space="preserve"> </w:t>
      </w:r>
      <w:r w:rsidRPr="002E0E2F">
        <w:rPr>
          <w:rFonts w:ascii="Calibri" w:eastAsia="宋体" w:hAnsi="Calibri" w:cs="Times New Roman" w:hint="eastAsia"/>
          <w:color w:val="000000"/>
          <w:sz w:val="24"/>
        </w:rPr>
        <w:t>组织设计与人力资源管理</w:t>
      </w:r>
    </w:p>
    <w:p w14:paraId="5496BA13" w14:textId="77777777" w:rsidR="002E0E2F" w:rsidRPr="002E0E2F" w:rsidRDefault="002E0E2F" w:rsidP="002E0E2F">
      <w:pPr>
        <w:spacing w:line="440" w:lineRule="exact"/>
        <w:ind w:firstLineChars="200" w:firstLine="480"/>
        <w:rPr>
          <w:rFonts w:ascii="宋体" w:eastAsia="宋体" w:hAnsi="宋体" w:cs="Times New Roman"/>
          <w:bCs/>
          <w:sz w:val="24"/>
        </w:rPr>
      </w:pPr>
      <w:r w:rsidRPr="002E0E2F">
        <w:rPr>
          <w:rFonts w:ascii="宋体" w:eastAsia="宋体" w:hAnsi="宋体" w:cs="Times New Roman" w:hint="eastAsia"/>
          <w:bCs/>
          <w:sz w:val="24"/>
        </w:rPr>
        <w:t>2.</w:t>
      </w:r>
      <w:r w:rsidRPr="002E0E2F">
        <w:rPr>
          <w:rFonts w:ascii="Calibri" w:eastAsia="宋体" w:hAnsi="Calibri" w:cs="Times New Roman" w:hint="eastAsia"/>
          <w:color w:val="000000"/>
          <w:sz w:val="24"/>
        </w:rPr>
        <w:t>技术管理</w:t>
      </w:r>
    </w:p>
    <w:p w14:paraId="356D47BD" w14:textId="77777777" w:rsidR="002E0E2F" w:rsidRPr="002E0E2F" w:rsidRDefault="002E0E2F" w:rsidP="002E0E2F">
      <w:pPr>
        <w:adjustRightInd w:val="0"/>
        <w:snapToGrid w:val="0"/>
        <w:spacing w:line="500" w:lineRule="exact"/>
        <w:ind w:firstLineChars="200" w:firstLine="480"/>
        <w:rPr>
          <w:rFonts w:ascii="Calibri" w:eastAsia="宋体" w:hAnsi="Calibri" w:cs="Times New Roman"/>
          <w:color w:val="000000"/>
          <w:sz w:val="24"/>
        </w:rPr>
      </w:pPr>
      <w:r w:rsidRPr="002E0E2F">
        <w:rPr>
          <w:rFonts w:ascii="宋体" w:eastAsia="宋体" w:hAnsi="宋体" w:cs="Times New Roman" w:hint="eastAsia"/>
          <w:bCs/>
          <w:sz w:val="24"/>
        </w:rPr>
        <w:t>3.</w:t>
      </w:r>
      <w:r w:rsidRPr="002E0E2F">
        <w:rPr>
          <w:rFonts w:ascii="Calibri" w:eastAsia="宋体" w:hAnsi="Calibri" w:cs="Times New Roman" w:hint="eastAsia"/>
          <w:color w:val="000000"/>
          <w:sz w:val="24"/>
        </w:rPr>
        <w:t>企业文化创建</w:t>
      </w:r>
    </w:p>
    <w:p w14:paraId="3C65F986" w14:textId="77777777" w:rsidR="002E0E2F" w:rsidRPr="002E0E2F" w:rsidRDefault="002E0E2F" w:rsidP="002E0E2F">
      <w:pPr>
        <w:adjustRightInd w:val="0"/>
        <w:snapToGrid w:val="0"/>
        <w:spacing w:line="500" w:lineRule="exact"/>
        <w:ind w:firstLineChars="200" w:firstLine="480"/>
        <w:rPr>
          <w:rFonts w:ascii="Calibri" w:eastAsia="宋体" w:hAnsi="Calibri" w:cs="Times New Roman"/>
          <w:color w:val="000000"/>
          <w:sz w:val="24"/>
        </w:rPr>
      </w:pPr>
      <w:r w:rsidRPr="002E0E2F">
        <w:rPr>
          <w:rFonts w:ascii="Calibri" w:eastAsia="宋体" w:hAnsi="Calibri" w:cs="Times New Roman" w:hint="eastAsia"/>
          <w:color w:val="000000"/>
          <w:sz w:val="24"/>
        </w:rPr>
        <w:t>4</w:t>
      </w:r>
      <w:r w:rsidRPr="002E0E2F">
        <w:rPr>
          <w:rFonts w:ascii="Calibri" w:eastAsia="宋体" w:hAnsi="Calibri" w:cs="Times New Roman" w:hint="eastAsia"/>
          <w:color w:val="000000"/>
          <w:sz w:val="24"/>
        </w:rPr>
        <w:t>．财务管理和风险管理</w:t>
      </w:r>
    </w:p>
    <w:p w14:paraId="2F2257AE"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【重点】</w:t>
      </w:r>
    </w:p>
    <w:p w14:paraId="538A8B6C"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1</w:t>
      </w:r>
      <w:r w:rsidRPr="002E0E2F">
        <w:rPr>
          <w:rFonts w:ascii="宋体" w:eastAsia="宋体" w:hAnsi="宋体" w:cs="Times New Roman"/>
          <w:sz w:val="24"/>
        </w:rPr>
        <w:t xml:space="preserve">. </w:t>
      </w:r>
      <w:r w:rsidRPr="002E0E2F">
        <w:rPr>
          <w:rFonts w:ascii="Calibri" w:eastAsia="宋体" w:hAnsi="Calibri" w:cs="Times New Roman" w:hint="eastAsia"/>
          <w:color w:val="000000"/>
          <w:sz w:val="24"/>
        </w:rPr>
        <w:t>组织设计、财务管理和风险管理</w:t>
      </w:r>
      <w:r w:rsidRPr="002E0E2F">
        <w:rPr>
          <w:rFonts w:ascii="Calibri" w:eastAsia="宋体" w:hAnsi="Calibri" w:cs="Times New Roman"/>
          <w:color w:val="000000"/>
          <w:sz w:val="24"/>
        </w:rPr>
        <w:t>。</w:t>
      </w:r>
    </w:p>
    <w:p w14:paraId="05138694" w14:textId="77777777" w:rsidR="002E0E2F" w:rsidRPr="002E0E2F" w:rsidRDefault="002E0E2F" w:rsidP="002E0E2F">
      <w:pPr>
        <w:spacing w:line="440" w:lineRule="exact"/>
        <w:ind w:firstLineChars="200" w:firstLine="482"/>
        <w:rPr>
          <w:rFonts w:ascii="宋体" w:eastAsia="宋体" w:hAnsi="宋体" w:cs="Times New Roman"/>
          <w:b/>
          <w:sz w:val="24"/>
        </w:rPr>
      </w:pPr>
      <w:r w:rsidRPr="002E0E2F">
        <w:rPr>
          <w:rFonts w:ascii="宋体" w:eastAsia="宋体" w:hAnsi="宋体" w:cs="Times New Roman" w:hint="eastAsia"/>
          <w:b/>
          <w:sz w:val="24"/>
        </w:rPr>
        <w:t>【难点】</w:t>
      </w:r>
    </w:p>
    <w:p w14:paraId="591E9529" w14:textId="77777777" w:rsidR="002E0E2F" w:rsidRPr="002E0E2F" w:rsidRDefault="002E0E2F" w:rsidP="00747ECA">
      <w:pPr>
        <w:numPr>
          <w:ilvl w:val="0"/>
          <w:numId w:val="67"/>
        </w:numPr>
        <w:spacing w:line="440" w:lineRule="exact"/>
        <w:rPr>
          <w:rFonts w:ascii="宋体" w:eastAsia="宋体" w:hAnsi="宋体" w:cs="Times New Roman"/>
          <w:sz w:val="24"/>
        </w:rPr>
      </w:pPr>
      <w:r w:rsidRPr="002E0E2F">
        <w:rPr>
          <w:rFonts w:ascii="Calibri" w:eastAsia="宋体" w:hAnsi="Calibri" w:cs="Times New Roman" w:hint="eastAsia"/>
          <w:color w:val="000000"/>
          <w:sz w:val="24"/>
        </w:rPr>
        <w:t>组织设计、财务管理和风险管理</w:t>
      </w:r>
      <w:r w:rsidRPr="002E0E2F">
        <w:rPr>
          <w:rFonts w:ascii="Calibri" w:eastAsia="宋体" w:hAnsi="Calibri" w:cs="Times New Roman"/>
          <w:color w:val="000000"/>
          <w:sz w:val="24"/>
        </w:rPr>
        <w:t>。</w:t>
      </w:r>
    </w:p>
    <w:p w14:paraId="054D24FC" w14:textId="77777777" w:rsidR="002E0E2F" w:rsidRPr="002E0E2F" w:rsidRDefault="002E0E2F" w:rsidP="002E0E2F">
      <w:pPr>
        <w:spacing w:line="440" w:lineRule="exact"/>
        <w:ind w:firstLineChars="200" w:firstLine="482"/>
        <w:rPr>
          <w:rFonts w:ascii="宋体" w:eastAsia="宋体" w:hAnsi="宋体" w:cs="Times New Roman"/>
          <w:color w:val="FF0000"/>
          <w:sz w:val="24"/>
        </w:rPr>
      </w:pPr>
      <w:r w:rsidRPr="002E0E2F">
        <w:rPr>
          <w:rFonts w:ascii="宋体" w:eastAsia="宋体" w:hAnsi="宋体" w:cs="Times New Roman" w:hint="eastAsia"/>
          <w:b/>
          <w:bCs/>
          <w:sz w:val="24"/>
        </w:rPr>
        <w:lastRenderedPageBreak/>
        <w:t>【教学方法】</w:t>
      </w:r>
    </w:p>
    <w:p w14:paraId="7B9077EA"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705537D4"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 通过案例分析，强调理论与实践相结合，促进学生知识整合，培养学生创业能力和反思能力。</w:t>
      </w:r>
    </w:p>
    <w:p w14:paraId="104BA88B"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3.通过小组合作学习，树立育人意识，发展学生的合作能力和相应管理设计能力。</w:t>
      </w:r>
    </w:p>
    <w:p w14:paraId="418D9EF5" w14:textId="77777777" w:rsidR="002E0E2F" w:rsidRPr="002E0E2F" w:rsidRDefault="002E0E2F" w:rsidP="002E0E2F">
      <w:pPr>
        <w:spacing w:line="440" w:lineRule="exact"/>
        <w:ind w:firstLineChars="200" w:firstLine="482"/>
        <w:rPr>
          <w:rFonts w:ascii="宋体" w:eastAsia="宋体" w:hAnsi="宋体" w:cs="Times New Roman"/>
          <w:bCs/>
          <w:color w:val="FF0000"/>
          <w:sz w:val="24"/>
        </w:rPr>
      </w:pPr>
      <w:r w:rsidRPr="002E0E2F">
        <w:rPr>
          <w:rFonts w:ascii="宋体" w:eastAsia="宋体" w:hAnsi="宋体" w:cs="Times New Roman" w:hint="eastAsia"/>
          <w:b/>
          <w:sz w:val="24"/>
        </w:rPr>
        <w:t>【复习思考】</w:t>
      </w:r>
    </w:p>
    <w:p w14:paraId="7117FB43"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w:t>
      </w:r>
      <w:r w:rsidRPr="002E0E2F">
        <w:rPr>
          <w:rFonts w:ascii="宋体" w:eastAsia="宋体" w:hAnsi="宋体" w:cs="Times New Roman"/>
          <w:sz w:val="24"/>
        </w:rPr>
        <w:t>.</w:t>
      </w:r>
      <w:r w:rsidRPr="002E0E2F">
        <w:rPr>
          <w:rFonts w:ascii="宋体" w:eastAsia="宋体" w:hAnsi="宋体" w:cs="Times New Roman" w:hint="eastAsia"/>
          <w:sz w:val="24"/>
        </w:rPr>
        <w:t>如何进行创业企业的组织设计？</w:t>
      </w:r>
    </w:p>
    <w:p w14:paraId="400F2683" w14:textId="77777777" w:rsidR="002E0E2F" w:rsidRPr="002E0E2F" w:rsidRDefault="002E0E2F" w:rsidP="002E0E2F">
      <w:pPr>
        <w:spacing w:line="440" w:lineRule="exact"/>
        <w:ind w:firstLineChars="200" w:firstLine="480"/>
        <w:rPr>
          <w:rFonts w:ascii="宋体" w:eastAsia="宋体" w:hAnsi="宋体" w:cs="Times New Roman"/>
          <w:color w:val="000000"/>
          <w:kern w:val="0"/>
          <w:sz w:val="24"/>
        </w:rPr>
      </w:pPr>
      <w:r w:rsidRPr="002E0E2F">
        <w:rPr>
          <w:rFonts w:ascii="宋体" w:eastAsia="宋体" w:hAnsi="宋体" w:cs="Times New Roman" w:hint="eastAsia"/>
          <w:sz w:val="24"/>
        </w:rPr>
        <w:t>2.如何进行创业企业的风险管理</w:t>
      </w:r>
      <w:r w:rsidRPr="002E0E2F">
        <w:rPr>
          <w:rFonts w:ascii="宋体" w:eastAsia="宋体" w:hAnsi="宋体" w:cs="Times New Roman" w:hint="eastAsia"/>
          <w:color w:val="000000"/>
          <w:kern w:val="0"/>
          <w:sz w:val="24"/>
        </w:rPr>
        <w:t>？</w:t>
      </w:r>
    </w:p>
    <w:p w14:paraId="20453C18" w14:textId="77777777" w:rsidR="002E0E2F" w:rsidRPr="002E0E2F" w:rsidRDefault="002E0E2F" w:rsidP="002E0E2F">
      <w:pPr>
        <w:spacing w:beforeLines="50" w:before="156" w:afterLines="50" w:after="156" w:line="440" w:lineRule="exact"/>
        <w:ind w:left="561"/>
        <w:outlineLvl w:val="1"/>
        <w:rPr>
          <w:rFonts w:ascii="仿宋" w:eastAsia="仿宋" w:hAnsi="仿宋" w:cs="Times New Roman"/>
          <w:sz w:val="24"/>
        </w:rPr>
      </w:pPr>
      <w:r w:rsidRPr="002E0E2F">
        <w:rPr>
          <w:rFonts w:ascii="黑体" w:eastAsia="黑体" w:hAnsi="黑体" w:cs="Times New Roman" w:hint="eastAsia"/>
          <w:sz w:val="28"/>
          <w:szCs w:val="28"/>
        </w:rPr>
        <w:t>（二）课程学习内容与课程学习目标的对应关系</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2E0E2F" w:rsidRPr="002E0E2F" w14:paraId="1F173292" w14:textId="77777777" w:rsidTr="00423AD2">
        <w:trPr>
          <w:trHeight w:val="660"/>
          <w:jc w:val="center"/>
        </w:trPr>
        <w:tc>
          <w:tcPr>
            <w:tcW w:w="3403" w:type="dxa"/>
            <w:vAlign w:val="center"/>
          </w:tcPr>
          <w:p w14:paraId="1B1F29A8" w14:textId="77777777" w:rsidR="002E0E2F" w:rsidRPr="002E0E2F" w:rsidRDefault="002E0E2F" w:rsidP="002E0E2F">
            <w:pPr>
              <w:spacing w:line="440" w:lineRule="exact"/>
              <w:jc w:val="center"/>
              <w:rPr>
                <w:rFonts w:ascii="宋体" w:eastAsia="宋体" w:hAnsi="宋体" w:cs="Times New Roman"/>
                <w:bCs/>
                <w:sz w:val="24"/>
              </w:rPr>
            </w:pPr>
            <w:r w:rsidRPr="002E0E2F">
              <w:rPr>
                <w:rFonts w:ascii="宋体" w:eastAsia="宋体" w:hAnsi="宋体" w:cs="Times New Roman" w:hint="eastAsia"/>
                <w:bCs/>
                <w:sz w:val="24"/>
              </w:rPr>
              <w:t>课程学习内容</w:t>
            </w:r>
          </w:p>
        </w:tc>
        <w:tc>
          <w:tcPr>
            <w:tcW w:w="2693" w:type="dxa"/>
            <w:vAlign w:val="center"/>
          </w:tcPr>
          <w:p w14:paraId="158DC9B5" w14:textId="77777777" w:rsidR="002E0E2F" w:rsidRPr="002E0E2F" w:rsidRDefault="002E0E2F" w:rsidP="002E0E2F">
            <w:pPr>
              <w:spacing w:line="440" w:lineRule="exact"/>
              <w:jc w:val="center"/>
              <w:rPr>
                <w:rFonts w:ascii="宋体" w:eastAsia="宋体" w:hAnsi="宋体" w:cs="Times New Roman"/>
                <w:b/>
                <w:bCs/>
                <w:sz w:val="24"/>
              </w:rPr>
            </w:pPr>
            <w:r w:rsidRPr="002E0E2F">
              <w:rPr>
                <w:rFonts w:ascii="宋体" w:eastAsia="宋体" w:hAnsi="宋体" w:cs="Times New Roman" w:hint="eastAsia"/>
                <w:b/>
                <w:bCs/>
                <w:sz w:val="24"/>
              </w:rPr>
              <w:t>教学方法</w:t>
            </w:r>
          </w:p>
        </w:tc>
        <w:tc>
          <w:tcPr>
            <w:tcW w:w="1985" w:type="dxa"/>
            <w:vAlign w:val="center"/>
          </w:tcPr>
          <w:p w14:paraId="7B7FD6A7" w14:textId="77777777" w:rsidR="002E0E2F" w:rsidRPr="002E0E2F" w:rsidRDefault="002E0E2F" w:rsidP="002E0E2F">
            <w:pPr>
              <w:spacing w:line="440" w:lineRule="exact"/>
              <w:jc w:val="center"/>
              <w:rPr>
                <w:rFonts w:ascii="宋体" w:eastAsia="宋体" w:hAnsi="宋体" w:cs="Times New Roman"/>
                <w:b/>
                <w:bCs/>
                <w:sz w:val="24"/>
              </w:rPr>
            </w:pPr>
            <w:r w:rsidRPr="002E0E2F">
              <w:rPr>
                <w:rFonts w:ascii="宋体" w:eastAsia="宋体" w:hAnsi="宋体" w:cs="Times New Roman" w:hint="eastAsia"/>
                <w:b/>
                <w:bCs/>
                <w:sz w:val="24"/>
              </w:rPr>
              <w:t>支撑的课程目标</w:t>
            </w:r>
          </w:p>
        </w:tc>
        <w:tc>
          <w:tcPr>
            <w:tcW w:w="1276" w:type="dxa"/>
            <w:vAlign w:val="center"/>
          </w:tcPr>
          <w:p w14:paraId="725AC3D2" w14:textId="77777777" w:rsidR="002E0E2F" w:rsidRPr="002E0E2F" w:rsidRDefault="002E0E2F" w:rsidP="002E0E2F">
            <w:pPr>
              <w:spacing w:line="440" w:lineRule="exact"/>
              <w:jc w:val="center"/>
              <w:rPr>
                <w:rFonts w:ascii="宋体" w:eastAsia="宋体" w:hAnsi="宋体" w:cs="Times New Roman"/>
                <w:b/>
                <w:bCs/>
                <w:sz w:val="24"/>
              </w:rPr>
            </w:pPr>
            <w:r w:rsidRPr="002E0E2F">
              <w:rPr>
                <w:rFonts w:ascii="宋体" w:eastAsia="宋体" w:hAnsi="宋体" w:cs="Times New Roman" w:hint="eastAsia"/>
                <w:b/>
                <w:bCs/>
                <w:sz w:val="24"/>
              </w:rPr>
              <w:t>学时安排</w:t>
            </w:r>
          </w:p>
        </w:tc>
      </w:tr>
      <w:tr w:rsidR="002E0E2F" w:rsidRPr="002E0E2F" w14:paraId="2667EA02" w14:textId="77777777" w:rsidTr="00423AD2">
        <w:trPr>
          <w:trHeight w:val="514"/>
          <w:jc w:val="center"/>
        </w:trPr>
        <w:tc>
          <w:tcPr>
            <w:tcW w:w="3403" w:type="dxa"/>
            <w:vAlign w:val="center"/>
          </w:tcPr>
          <w:p w14:paraId="57FBD870"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第一章 职业导论</w:t>
            </w:r>
          </w:p>
        </w:tc>
        <w:tc>
          <w:tcPr>
            <w:tcW w:w="2693" w:type="dxa"/>
            <w:vAlign w:val="center"/>
          </w:tcPr>
          <w:p w14:paraId="73AB32E0"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讲授法、小组讨论</w:t>
            </w:r>
          </w:p>
        </w:tc>
        <w:tc>
          <w:tcPr>
            <w:tcW w:w="1985" w:type="dxa"/>
            <w:vAlign w:val="center"/>
          </w:tcPr>
          <w:p w14:paraId="09CBB4B0"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课程目标1</w:t>
            </w:r>
          </w:p>
        </w:tc>
        <w:tc>
          <w:tcPr>
            <w:tcW w:w="1276" w:type="dxa"/>
            <w:vAlign w:val="center"/>
          </w:tcPr>
          <w:p w14:paraId="66DF7A69"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05FBD7C7" w14:textId="77777777" w:rsidTr="00423AD2">
        <w:trPr>
          <w:trHeight w:val="90"/>
          <w:jc w:val="center"/>
        </w:trPr>
        <w:tc>
          <w:tcPr>
            <w:tcW w:w="3403" w:type="dxa"/>
            <w:vAlign w:val="center"/>
          </w:tcPr>
          <w:p w14:paraId="7B891CB9"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第二章 大学</w:t>
            </w:r>
            <w:proofErr w:type="gramStart"/>
            <w:r w:rsidRPr="002E0E2F">
              <w:rPr>
                <w:rFonts w:ascii="宋体" w:eastAsia="宋体" w:hAnsi="宋体" w:cs="Times New Roman" w:hint="eastAsia"/>
                <w:sz w:val="24"/>
              </w:rPr>
              <w:t>学涯</w:t>
            </w:r>
            <w:proofErr w:type="gramEnd"/>
            <w:r w:rsidRPr="002E0E2F">
              <w:rPr>
                <w:rFonts w:ascii="宋体" w:eastAsia="宋体" w:hAnsi="宋体" w:cs="Times New Roman" w:hint="eastAsia"/>
                <w:sz w:val="24"/>
              </w:rPr>
              <w:t>与职业生涯规划</w:t>
            </w:r>
          </w:p>
        </w:tc>
        <w:tc>
          <w:tcPr>
            <w:tcW w:w="2693" w:type="dxa"/>
            <w:vAlign w:val="center"/>
          </w:tcPr>
          <w:p w14:paraId="561FE8C8"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讲授法、案例教学</w:t>
            </w:r>
          </w:p>
        </w:tc>
        <w:tc>
          <w:tcPr>
            <w:tcW w:w="1985" w:type="dxa"/>
            <w:vAlign w:val="center"/>
          </w:tcPr>
          <w:p w14:paraId="21321900"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课程目标2、3</w:t>
            </w:r>
          </w:p>
        </w:tc>
        <w:tc>
          <w:tcPr>
            <w:tcW w:w="1276" w:type="dxa"/>
            <w:vAlign w:val="center"/>
          </w:tcPr>
          <w:p w14:paraId="19F5CE66"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42800870" w14:textId="77777777" w:rsidTr="00423AD2">
        <w:trPr>
          <w:jc w:val="center"/>
        </w:trPr>
        <w:tc>
          <w:tcPr>
            <w:tcW w:w="3403" w:type="dxa"/>
            <w:vAlign w:val="center"/>
          </w:tcPr>
          <w:p w14:paraId="2991B407"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第三章  职业生涯规划实务</w:t>
            </w:r>
          </w:p>
        </w:tc>
        <w:tc>
          <w:tcPr>
            <w:tcW w:w="2693" w:type="dxa"/>
            <w:vAlign w:val="center"/>
          </w:tcPr>
          <w:p w14:paraId="55B43600"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讲授法、案例教学</w:t>
            </w:r>
          </w:p>
        </w:tc>
        <w:tc>
          <w:tcPr>
            <w:tcW w:w="1985" w:type="dxa"/>
            <w:vAlign w:val="center"/>
          </w:tcPr>
          <w:p w14:paraId="7D888672"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课程目标2、3</w:t>
            </w:r>
          </w:p>
        </w:tc>
        <w:tc>
          <w:tcPr>
            <w:tcW w:w="1276" w:type="dxa"/>
            <w:vAlign w:val="center"/>
          </w:tcPr>
          <w:p w14:paraId="799ACB8E"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6</w:t>
            </w:r>
          </w:p>
        </w:tc>
      </w:tr>
      <w:tr w:rsidR="002E0E2F" w:rsidRPr="002E0E2F" w14:paraId="19952D7A" w14:textId="77777777" w:rsidTr="00423AD2">
        <w:trPr>
          <w:jc w:val="center"/>
        </w:trPr>
        <w:tc>
          <w:tcPr>
            <w:tcW w:w="3403" w:type="dxa"/>
            <w:vAlign w:val="center"/>
          </w:tcPr>
          <w:p w14:paraId="44D08249"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第四章  职业形象管理</w:t>
            </w:r>
          </w:p>
        </w:tc>
        <w:tc>
          <w:tcPr>
            <w:tcW w:w="2693" w:type="dxa"/>
            <w:vAlign w:val="center"/>
          </w:tcPr>
          <w:p w14:paraId="0E22FCF2"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讲授法、小组讨论</w:t>
            </w:r>
          </w:p>
        </w:tc>
        <w:tc>
          <w:tcPr>
            <w:tcW w:w="1985" w:type="dxa"/>
            <w:vAlign w:val="center"/>
          </w:tcPr>
          <w:p w14:paraId="6F4E7BE5"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课程目标1、3</w:t>
            </w:r>
          </w:p>
        </w:tc>
        <w:tc>
          <w:tcPr>
            <w:tcW w:w="1276" w:type="dxa"/>
            <w:vAlign w:val="center"/>
          </w:tcPr>
          <w:p w14:paraId="30F3F1EF"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2A99CA1E" w14:textId="77777777" w:rsidTr="00423AD2">
        <w:trPr>
          <w:jc w:val="center"/>
        </w:trPr>
        <w:tc>
          <w:tcPr>
            <w:tcW w:w="3403" w:type="dxa"/>
            <w:vAlign w:val="center"/>
          </w:tcPr>
          <w:p w14:paraId="0AFE5806"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 xml:space="preserve">第五章  </w:t>
            </w:r>
            <w:proofErr w:type="gramStart"/>
            <w:r w:rsidRPr="002E0E2F">
              <w:rPr>
                <w:rFonts w:ascii="宋体" w:eastAsia="宋体" w:hAnsi="宋体" w:cs="Times New Roman" w:hint="eastAsia"/>
                <w:sz w:val="24"/>
              </w:rPr>
              <w:t>职场礼仪</w:t>
            </w:r>
            <w:proofErr w:type="gramEnd"/>
            <w:r w:rsidRPr="002E0E2F">
              <w:rPr>
                <w:rFonts w:ascii="宋体" w:eastAsia="宋体" w:hAnsi="宋体" w:cs="Times New Roman" w:hint="eastAsia"/>
                <w:sz w:val="24"/>
              </w:rPr>
              <w:t>修炼</w:t>
            </w:r>
          </w:p>
        </w:tc>
        <w:tc>
          <w:tcPr>
            <w:tcW w:w="2693" w:type="dxa"/>
            <w:vAlign w:val="center"/>
          </w:tcPr>
          <w:p w14:paraId="5A838238"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讲授法、专题研讨</w:t>
            </w:r>
          </w:p>
        </w:tc>
        <w:tc>
          <w:tcPr>
            <w:tcW w:w="1985" w:type="dxa"/>
            <w:vAlign w:val="center"/>
          </w:tcPr>
          <w:p w14:paraId="02278659"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课程目标1、3</w:t>
            </w:r>
          </w:p>
        </w:tc>
        <w:tc>
          <w:tcPr>
            <w:tcW w:w="1276" w:type="dxa"/>
            <w:vAlign w:val="center"/>
          </w:tcPr>
          <w:p w14:paraId="4159BC4E"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31387B03" w14:textId="77777777" w:rsidTr="00423AD2">
        <w:trPr>
          <w:jc w:val="center"/>
        </w:trPr>
        <w:tc>
          <w:tcPr>
            <w:tcW w:w="3403" w:type="dxa"/>
            <w:vAlign w:val="center"/>
          </w:tcPr>
          <w:p w14:paraId="68EB99D7"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第六章  职业化素养提升</w:t>
            </w:r>
          </w:p>
        </w:tc>
        <w:tc>
          <w:tcPr>
            <w:tcW w:w="2693" w:type="dxa"/>
            <w:vAlign w:val="center"/>
          </w:tcPr>
          <w:p w14:paraId="3179CF1B"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讲授法、专题研讨</w:t>
            </w:r>
          </w:p>
        </w:tc>
        <w:tc>
          <w:tcPr>
            <w:tcW w:w="1985" w:type="dxa"/>
            <w:vAlign w:val="center"/>
          </w:tcPr>
          <w:p w14:paraId="290B1E45"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课程目标1、2</w:t>
            </w:r>
          </w:p>
        </w:tc>
        <w:tc>
          <w:tcPr>
            <w:tcW w:w="1276" w:type="dxa"/>
            <w:vAlign w:val="center"/>
          </w:tcPr>
          <w:p w14:paraId="2A950047"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0B0C2D43" w14:textId="77777777" w:rsidTr="00423AD2">
        <w:trPr>
          <w:jc w:val="center"/>
        </w:trPr>
        <w:tc>
          <w:tcPr>
            <w:tcW w:w="3403" w:type="dxa"/>
            <w:vAlign w:val="center"/>
          </w:tcPr>
          <w:p w14:paraId="5ED3E60C"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第七章  职业化能力培养</w:t>
            </w:r>
          </w:p>
        </w:tc>
        <w:tc>
          <w:tcPr>
            <w:tcW w:w="2693" w:type="dxa"/>
            <w:vAlign w:val="center"/>
          </w:tcPr>
          <w:p w14:paraId="022D50E6"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讲授法、案例教学</w:t>
            </w:r>
          </w:p>
        </w:tc>
        <w:tc>
          <w:tcPr>
            <w:tcW w:w="1985" w:type="dxa"/>
            <w:vAlign w:val="center"/>
          </w:tcPr>
          <w:p w14:paraId="1F8548AB"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课程目标2、3</w:t>
            </w:r>
          </w:p>
        </w:tc>
        <w:tc>
          <w:tcPr>
            <w:tcW w:w="1276" w:type="dxa"/>
            <w:vAlign w:val="center"/>
          </w:tcPr>
          <w:p w14:paraId="57419C0B"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08DCA97F" w14:textId="77777777" w:rsidTr="00423AD2">
        <w:trPr>
          <w:jc w:val="center"/>
        </w:trPr>
        <w:tc>
          <w:tcPr>
            <w:tcW w:w="3403" w:type="dxa"/>
            <w:vAlign w:val="center"/>
          </w:tcPr>
          <w:p w14:paraId="6D311FF4"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第八章  创新思维</w:t>
            </w:r>
          </w:p>
        </w:tc>
        <w:tc>
          <w:tcPr>
            <w:tcW w:w="2693" w:type="dxa"/>
            <w:vAlign w:val="center"/>
          </w:tcPr>
          <w:p w14:paraId="10A3D1D3"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讲授法、案例教学</w:t>
            </w:r>
          </w:p>
        </w:tc>
        <w:tc>
          <w:tcPr>
            <w:tcW w:w="1985" w:type="dxa"/>
            <w:vAlign w:val="center"/>
          </w:tcPr>
          <w:p w14:paraId="77B53AA1"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课程目标1、2</w:t>
            </w:r>
          </w:p>
        </w:tc>
        <w:tc>
          <w:tcPr>
            <w:tcW w:w="1276" w:type="dxa"/>
            <w:vAlign w:val="center"/>
          </w:tcPr>
          <w:p w14:paraId="7E972E6B"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738A5FE8" w14:textId="77777777" w:rsidTr="00423AD2">
        <w:trPr>
          <w:jc w:val="center"/>
        </w:trPr>
        <w:tc>
          <w:tcPr>
            <w:tcW w:w="3403" w:type="dxa"/>
            <w:vAlign w:val="center"/>
          </w:tcPr>
          <w:p w14:paraId="145F32E6"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第九章  创新技法</w:t>
            </w:r>
          </w:p>
        </w:tc>
        <w:tc>
          <w:tcPr>
            <w:tcW w:w="2693" w:type="dxa"/>
            <w:vAlign w:val="center"/>
          </w:tcPr>
          <w:p w14:paraId="23305927"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讲授法、案例教学</w:t>
            </w:r>
          </w:p>
        </w:tc>
        <w:tc>
          <w:tcPr>
            <w:tcW w:w="1985" w:type="dxa"/>
            <w:vAlign w:val="center"/>
          </w:tcPr>
          <w:p w14:paraId="10D8FE78"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课程目标1、3</w:t>
            </w:r>
          </w:p>
        </w:tc>
        <w:tc>
          <w:tcPr>
            <w:tcW w:w="1276" w:type="dxa"/>
            <w:vAlign w:val="center"/>
          </w:tcPr>
          <w:p w14:paraId="6FA6F824"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4</w:t>
            </w:r>
          </w:p>
        </w:tc>
      </w:tr>
      <w:tr w:rsidR="002E0E2F" w:rsidRPr="002E0E2F" w14:paraId="24D984E9" w14:textId="77777777" w:rsidTr="00423AD2">
        <w:trPr>
          <w:jc w:val="center"/>
        </w:trPr>
        <w:tc>
          <w:tcPr>
            <w:tcW w:w="3403" w:type="dxa"/>
            <w:vAlign w:val="center"/>
          </w:tcPr>
          <w:p w14:paraId="1E8E379A"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第十章  大学生就业形势与就业政策</w:t>
            </w:r>
          </w:p>
        </w:tc>
        <w:tc>
          <w:tcPr>
            <w:tcW w:w="2693" w:type="dxa"/>
            <w:vAlign w:val="center"/>
          </w:tcPr>
          <w:p w14:paraId="50F7CD36"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讲授法、案例教学</w:t>
            </w:r>
          </w:p>
        </w:tc>
        <w:tc>
          <w:tcPr>
            <w:tcW w:w="1985" w:type="dxa"/>
            <w:vAlign w:val="center"/>
          </w:tcPr>
          <w:p w14:paraId="4D886848"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课程目标2、3</w:t>
            </w:r>
          </w:p>
        </w:tc>
        <w:tc>
          <w:tcPr>
            <w:tcW w:w="1276" w:type="dxa"/>
            <w:vAlign w:val="center"/>
          </w:tcPr>
          <w:p w14:paraId="05157FEE"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45B46D3C" w14:textId="77777777" w:rsidTr="00423AD2">
        <w:trPr>
          <w:jc w:val="center"/>
        </w:trPr>
        <w:tc>
          <w:tcPr>
            <w:tcW w:w="3403" w:type="dxa"/>
            <w:vAlign w:val="center"/>
          </w:tcPr>
          <w:p w14:paraId="47CCA201"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第十一章  就业准备</w:t>
            </w:r>
          </w:p>
        </w:tc>
        <w:tc>
          <w:tcPr>
            <w:tcW w:w="2693" w:type="dxa"/>
            <w:vAlign w:val="center"/>
          </w:tcPr>
          <w:p w14:paraId="106FE585"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讲授法、案例教学</w:t>
            </w:r>
          </w:p>
        </w:tc>
        <w:tc>
          <w:tcPr>
            <w:tcW w:w="1985" w:type="dxa"/>
            <w:vAlign w:val="center"/>
          </w:tcPr>
          <w:p w14:paraId="2FC4DB09"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课程目标1、2</w:t>
            </w:r>
          </w:p>
        </w:tc>
        <w:tc>
          <w:tcPr>
            <w:tcW w:w="1276" w:type="dxa"/>
            <w:vAlign w:val="center"/>
          </w:tcPr>
          <w:p w14:paraId="2E13B932"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2B5E6A9A" w14:textId="77777777" w:rsidTr="00423AD2">
        <w:trPr>
          <w:jc w:val="center"/>
        </w:trPr>
        <w:tc>
          <w:tcPr>
            <w:tcW w:w="3403" w:type="dxa"/>
            <w:vAlign w:val="center"/>
          </w:tcPr>
          <w:p w14:paraId="35CF67DF"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第十二章  求职指导</w:t>
            </w:r>
          </w:p>
        </w:tc>
        <w:tc>
          <w:tcPr>
            <w:tcW w:w="2693" w:type="dxa"/>
            <w:vAlign w:val="center"/>
          </w:tcPr>
          <w:p w14:paraId="70D09E04"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讲授法、小组讨论</w:t>
            </w:r>
          </w:p>
        </w:tc>
        <w:tc>
          <w:tcPr>
            <w:tcW w:w="1985" w:type="dxa"/>
            <w:vAlign w:val="center"/>
          </w:tcPr>
          <w:p w14:paraId="0E4AEEA6"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课程目标2、3</w:t>
            </w:r>
          </w:p>
        </w:tc>
        <w:tc>
          <w:tcPr>
            <w:tcW w:w="1276" w:type="dxa"/>
            <w:vAlign w:val="center"/>
          </w:tcPr>
          <w:p w14:paraId="6BB21F0F"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4</w:t>
            </w:r>
          </w:p>
        </w:tc>
      </w:tr>
      <w:tr w:rsidR="002E0E2F" w:rsidRPr="002E0E2F" w14:paraId="65575761" w14:textId="77777777" w:rsidTr="00423AD2">
        <w:trPr>
          <w:jc w:val="center"/>
        </w:trPr>
        <w:tc>
          <w:tcPr>
            <w:tcW w:w="3403" w:type="dxa"/>
            <w:vAlign w:val="center"/>
          </w:tcPr>
          <w:p w14:paraId="602C5C00" w14:textId="77777777" w:rsidR="002E0E2F" w:rsidRPr="002E0E2F" w:rsidRDefault="002E0E2F" w:rsidP="002E0E2F">
            <w:pPr>
              <w:spacing w:beforeLines="50" w:before="156" w:afterLines="50" w:after="156" w:line="440" w:lineRule="exact"/>
              <w:rPr>
                <w:rFonts w:ascii="宋体" w:eastAsia="宋体" w:hAnsi="宋体" w:cs="Times New Roman"/>
                <w:sz w:val="24"/>
              </w:rPr>
            </w:pPr>
            <w:r w:rsidRPr="002E0E2F">
              <w:rPr>
                <w:rFonts w:ascii="宋体" w:eastAsia="宋体" w:hAnsi="宋体" w:cs="Times New Roman" w:hint="eastAsia"/>
                <w:sz w:val="24"/>
              </w:rPr>
              <w:t>第十三章  求职就业权益保护</w:t>
            </w:r>
          </w:p>
        </w:tc>
        <w:tc>
          <w:tcPr>
            <w:tcW w:w="2693" w:type="dxa"/>
            <w:vAlign w:val="center"/>
          </w:tcPr>
          <w:p w14:paraId="20D265D6"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讲授法、案例教学</w:t>
            </w:r>
          </w:p>
        </w:tc>
        <w:tc>
          <w:tcPr>
            <w:tcW w:w="1985" w:type="dxa"/>
            <w:vAlign w:val="center"/>
          </w:tcPr>
          <w:p w14:paraId="4299838E"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课程目标2、3</w:t>
            </w:r>
          </w:p>
        </w:tc>
        <w:tc>
          <w:tcPr>
            <w:tcW w:w="1276" w:type="dxa"/>
            <w:vAlign w:val="center"/>
          </w:tcPr>
          <w:p w14:paraId="1658BD00"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70E8644F" w14:textId="77777777" w:rsidTr="00423AD2">
        <w:trPr>
          <w:jc w:val="center"/>
        </w:trPr>
        <w:tc>
          <w:tcPr>
            <w:tcW w:w="3403" w:type="dxa"/>
            <w:vAlign w:val="center"/>
          </w:tcPr>
          <w:p w14:paraId="62C00EC9"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第十四章  毕业生相关手续的办理</w:t>
            </w:r>
          </w:p>
        </w:tc>
        <w:tc>
          <w:tcPr>
            <w:tcW w:w="2693" w:type="dxa"/>
            <w:vAlign w:val="center"/>
          </w:tcPr>
          <w:p w14:paraId="7D041A18"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讲授法、案例教学</w:t>
            </w:r>
          </w:p>
        </w:tc>
        <w:tc>
          <w:tcPr>
            <w:tcW w:w="1985" w:type="dxa"/>
            <w:vAlign w:val="center"/>
          </w:tcPr>
          <w:p w14:paraId="216A0C32"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课程目标1、3</w:t>
            </w:r>
          </w:p>
        </w:tc>
        <w:tc>
          <w:tcPr>
            <w:tcW w:w="1276" w:type="dxa"/>
            <w:vAlign w:val="center"/>
          </w:tcPr>
          <w:p w14:paraId="7C62AF34"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1FA02124" w14:textId="77777777" w:rsidTr="00423AD2">
        <w:trPr>
          <w:jc w:val="center"/>
        </w:trPr>
        <w:tc>
          <w:tcPr>
            <w:tcW w:w="3403" w:type="dxa"/>
            <w:vAlign w:val="center"/>
          </w:tcPr>
          <w:p w14:paraId="1E5D25CF"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 xml:space="preserve">第十五章  </w:t>
            </w:r>
            <w:proofErr w:type="gramStart"/>
            <w:r w:rsidRPr="002E0E2F">
              <w:rPr>
                <w:rFonts w:ascii="宋体" w:eastAsia="宋体" w:hAnsi="宋体" w:cs="Times New Roman" w:hint="eastAsia"/>
                <w:sz w:val="24"/>
              </w:rPr>
              <w:t>职场适应</w:t>
            </w:r>
            <w:proofErr w:type="gramEnd"/>
            <w:r w:rsidRPr="002E0E2F">
              <w:rPr>
                <w:rFonts w:ascii="宋体" w:eastAsia="宋体" w:hAnsi="宋体" w:cs="Times New Roman" w:hint="eastAsia"/>
                <w:sz w:val="24"/>
              </w:rPr>
              <w:t>与职业发</w:t>
            </w:r>
            <w:r w:rsidRPr="002E0E2F">
              <w:rPr>
                <w:rFonts w:ascii="宋体" w:eastAsia="宋体" w:hAnsi="宋体" w:cs="Times New Roman" w:hint="eastAsia"/>
                <w:sz w:val="24"/>
              </w:rPr>
              <w:lastRenderedPageBreak/>
              <w:t>展</w:t>
            </w:r>
          </w:p>
        </w:tc>
        <w:tc>
          <w:tcPr>
            <w:tcW w:w="2693" w:type="dxa"/>
            <w:vAlign w:val="center"/>
          </w:tcPr>
          <w:p w14:paraId="76803A75"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lastRenderedPageBreak/>
              <w:t>讲授法、专题研讨</w:t>
            </w:r>
          </w:p>
        </w:tc>
        <w:tc>
          <w:tcPr>
            <w:tcW w:w="1985" w:type="dxa"/>
            <w:vAlign w:val="center"/>
          </w:tcPr>
          <w:p w14:paraId="304F868D"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课程目标2、3</w:t>
            </w:r>
          </w:p>
        </w:tc>
        <w:tc>
          <w:tcPr>
            <w:tcW w:w="1276" w:type="dxa"/>
            <w:vAlign w:val="center"/>
          </w:tcPr>
          <w:p w14:paraId="75E9A65C"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5CA833FC" w14:textId="77777777" w:rsidTr="00423AD2">
        <w:trPr>
          <w:jc w:val="center"/>
        </w:trPr>
        <w:tc>
          <w:tcPr>
            <w:tcW w:w="3403" w:type="dxa"/>
            <w:vAlign w:val="center"/>
          </w:tcPr>
          <w:p w14:paraId="5D243685"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第十六章  自主创业导论</w:t>
            </w:r>
          </w:p>
        </w:tc>
        <w:tc>
          <w:tcPr>
            <w:tcW w:w="2693" w:type="dxa"/>
            <w:vAlign w:val="center"/>
          </w:tcPr>
          <w:p w14:paraId="514C815B"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讲授法、案例教学</w:t>
            </w:r>
          </w:p>
        </w:tc>
        <w:tc>
          <w:tcPr>
            <w:tcW w:w="1985" w:type="dxa"/>
            <w:vAlign w:val="center"/>
          </w:tcPr>
          <w:p w14:paraId="7F0B4F41"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课程目标1、2</w:t>
            </w:r>
          </w:p>
        </w:tc>
        <w:tc>
          <w:tcPr>
            <w:tcW w:w="1276" w:type="dxa"/>
            <w:vAlign w:val="center"/>
          </w:tcPr>
          <w:p w14:paraId="6FEC7097"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738E536E" w14:textId="77777777" w:rsidTr="00423AD2">
        <w:trPr>
          <w:jc w:val="center"/>
        </w:trPr>
        <w:tc>
          <w:tcPr>
            <w:tcW w:w="3403" w:type="dxa"/>
            <w:vAlign w:val="center"/>
          </w:tcPr>
          <w:p w14:paraId="3BDF3060"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第十七章  创业准备</w:t>
            </w:r>
          </w:p>
        </w:tc>
        <w:tc>
          <w:tcPr>
            <w:tcW w:w="2693" w:type="dxa"/>
            <w:vAlign w:val="center"/>
          </w:tcPr>
          <w:p w14:paraId="7C4FA6F1"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讲授法、案例教学</w:t>
            </w:r>
          </w:p>
        </w:tc>
        <w:tc>
          <w:tcPr>
            <w:tcW w:w="1985" w:type="dxa"/>
            <w:vAlign w:val="center"/>
          </w:tcPr>
          <w:p w14:paraId="16C4641D"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课程目标2、3</w:t>
            </w:r>
          </w:p>
        </w:tc>
        <w:tc>
          <w:tcPr>
            <w:tcW w:w="1276" w:type="dxa"/>
            <w:vAlign w:val="center"/>
          </w:tcPr>
          <w:p w14:paraId="07416A0E"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34EFBD71" w14:textId="77777777" w:rsidTr="00423AD2">
        <w:trPr>
          <w:jc w:val="center"/>
        </w:trPr>
        <w:tc>
          <w:tcPr>
            <w:tcW w:w="3403" w:type="dxa"/>
            <w:vAlign w:val="center"/>
          </w:tcPr>
          <w:p w14:paraId="36239394"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第十八章  创业筹划</w:t>
            </w:r>
          </w:p>
        </w:tc>
        <w:tc>
          <w:tcPr>
            <w:tcW w:w="2693" w:type="dxa"/>
            <w:vAlign w:val="center"/>
          </w:tcPr>
          <w:p w14:paraId="0DE16EE8"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讲授法、案例教学</w:t>
            </w:r>
          </w:p>
        </w:tc>
        <w:tc>
          <w:tcPr>
            <w:tcW w:w="1985" w:type="dxa"/>
            <w:vAlign w:val="center"/>
          </w:tcPr>
          <w:p w14:paraId="1C688177"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课程目标2、3</w:t>
            </w:r>
          </w:p>
        </w:tc>
        <w:tc>
          <w:tcPr>
            <w:tcW w:w="1276" w:type="dxa"/>
            <w:vAlign w:val="center"/>
          </w:tcPr>
          <w:p w14:paraId="703B7B22"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550A66BF" w14:textId="77777777" w:rsidTr="00423AD2">
        <w:trPr>
          <w:jc w:val="center"/>
        </w:trPr>
        <w:tc>
          <w:tcPr>
            <w:tcW w:w="3403" w:type="dxa"/>
            <w:vAlign w:val="center"/>
          </w:tcPr>
          <w:p w14:paraId="6C4355B7"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第十九章  创业启动</w:t>
            </w:r>
          </w:p>
        </w:tc>
        <w:tc>
          <w:tcPr>
            <w:tcW w:w="2693" w:type="dxa"/>
            <w:vAlign w:val="center"/>
          </w:tcPr>
          <w:p w14:paraId="6E3C3A20"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讲授法、案例教学</w:t>
            </w:r>
          </w:p>
        </w:tc>
        <w:tc>
          <w:tcPr>
            <w:tcW w:w="1985" w:type="dxa"/>
            <w:vAlign w:val="center"/>
          </w:tcPr>
          <w:p w14:paraId="178EC627"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课程目标2、3</w:t>
            </w:r>
          </w:p>
        </w:tc>
        <w:tc>
          <w:tcPr>
            <w:tcW w:w="1276" w:type="dxa"/>
            <w:vAlign w:val="center"/>
          </w:tcPr>
          <w:p w14:paraId="5B5488A1"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10D81841" w14:textId="77777777" w:rsidTr="00423AD2">
        <w:trPr>
          <w:jc w:val="center"/>
        </w:trPr>
        <w:tc>
          <w:tcPr>
            <w:tcW w:w="3403" w:type="dxa"/>
            <w:vAlign w:val="center"/>
          </w:tcPr>
          <w:p w14:paraId="0B149A90" w14:textId="77777777" w:rsidR="002E0E2F" w:rsidRPr="002E0E2F" w:rsidRDefault="002E0E2F" w:rsidP="002E0E2F">
            <w:pPr>
              <w:spacing w:line="440" w:lineRule="exact"/>
              <w:jc w:val="left"/>
              <w:rPr>
                <w:rFonts w:ascii="宋体" w:eastAsia="宋体" w:hAnsi="宋体" w:cs="Times New Roman"/>
                <w:sz w:val="24"/>
              </w:rPr>
            </w:pPr>
            <w:r w:rsidRPr="002E0E2F">
              <w:rPr>
                <w:rFonts w:ascii="宋体" w:eastAsia="宋体" w:hAnsi="宋体" w:cs="Times New Roman" w:hint="eastAsia"/>
                <w:sz w:val="24"/>
              </w:rPr>
              <w:t>第二十章  创业企业管理与发展</w:t>
            </w:r>
          </w:p>
        </w:tc>
        <w:tc>
          <w:tcPr>
            <w:tcW w:w="2693" w:type="dxa"/>
            <w:vAlign w:val="center"/>
          </w:tcPr>
          <w:p w14:paraId="307A2C61"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讲授法、专题研讨</w:t>
            </w:r>
          </w:p>
        </w:tc>
        <w:tc>
          <w:tcPr>
            <w:tcW w:w="1985" w:type="dxa"/>
            <w:vAlign w:val="center"/>
          </w:tcPr>
          <w:p w14:paraId="5A054334" w14:textId="77777777" w:rsidR="002E0E2F" w:rsidRPr="002E0E2F" w:rsidRDefault="002E0E2F" w:rsidP="002E0E2F">
            <w:pPr>
              <w:spacing w:line="440" w:lineRule="exact"/>
              <w:ind w:firstLineChars="100" w:firstLine="240"/>
              <w:rPr>
                <w:rFonts w:ascii="宋体" w:eastAsia="宋体" w:hAnsi="宋体" w:cs="Times New Roman"/>
                <w:sz w:val="24"/>
              </w:rPr>
            </w:pPr>
            <w:r w:rsidRPr="002E0E2F">
              <w:rPr>
                <w:rFonts w:ascii="宋体" w:eastAsia="宋体" w:hAnsi="宋体" w:cs="Times New Roman" w:hint="eastAsia"/>
                <w:sz w:val="24"/>
              </w:rPr>
              <w:t>课程目标1、3</w:t>
            </w:r>
          </w:p>
        </w:tc>
        <w:tc>
          <w:tcPr>
            <w:tcW w:w="1276" w:type="dxa"/>
            <w:vAlign w:val="center"/>
          </w:tcPr>
          <w:p w14:paraId="16F0040D"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2</w:t>
            </w:r>
          </w:p>
        </w:tc>
      </w:tr>
      <w:tr w:rsidR="002E0E2F" w:rsidRPr="002E0E2F" w14:paraId="25267154" w14:textId="77777777" w:rsidTr="00423AD2">
        <w:trPr>
          <w:jc w:val="center"/>
        </w:trPr>
        <w:tc>
          <w:tcPr>
            <w:tcW w:w="8081" w:type="dxa"/>
            <w:gridSpan w:val="3"/>
            <w:vAlign w:val="center"/>
          </w:tcPr>
          <w:p w14:paraId="4D272B90"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合计</w:t>
            </w:r>
          </w:p>
        </w:tc>
        <w:tc>
          <w:tcPr>
            <w:tcW w:w="1276" w:type="dxa"/>
            <w:vAlign w:val="center"/>
          </w:tcPr>
          <w:p w14:paraId="72BF04C2"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48</w:t>
            </w:r>
          </w:p>
        </w:tc>
      </w:tr>
    </w:tbl>
    <w:p w14:paraId="4ED657E4" w14:textId="77777777" w:rsidR="002E0E2F" w:rsidRPr="002E0E2F" w:rsidRDefault="002E0E2F" w:rsidP="00C63ECC">
      <w:pPr>
        <w:pStyle w:val="afc"/>
        <w:rPr>
          <w:rFonts w:ascii="宋体" w:eastAsia="宋体" w:hAnsi="宋体"/>
          <w:sz w:val="24"/>
        </w:rPr>
      </w:pPr>
      <w:bookmarkStart w:id="98" w:name="_Toc14732"/>
      <w:bookmarkStart w:id="99" w:name="_Toc31726"/>
      <w:bookmarkStart w:id="100" w:name="_Toc29803"/>
      <w:bookmarkStart w:id="101" w:name="_Toc599"/>
      <w:bookmarkStart w:id="102" w:name="_Toc16537"/>
      <w:r w:rsidRPr="002E0E2F">
        <w:rPr>
          <w:rFonts w:hint="eastAsia"/>
        </w:rPr>
        <w:t>四、课程考核及与课程学习目标的对应关系</w:t>
      </w:r>
      <w:bookmarkEnd w:id="98"/>
      <w:bookmarkEnd w:id="99"/>
      <w:bookmarkEnd w:id="100"/>
      <w:bookmarkEnd w:id="101"/>
      <w:bookmarkEnd w:id="102"/>
    </w:p>
    <w:p w14:paraId="0FF69E66" w14:textId="77777777" w:rsidR="002E0E2F" w:rsidRPr="002E0E2F" w:rsidRDefault="002E0E2F" w:rsidP="002E0E2F">
      <w:pPr>
        <w:spacing w:beforeLines="50" w:before="156" w:afterLines="50" w:after="156" w:line="440" w:lineRule="exact"/>
        <w:ind w:firstLineChars="200" w:firstLine="560"/>
        <w:outlineLvl w:val="1"/>
        <w:rPr>
          <w:rFonts w:ascii="黑体" w:eastAsia="黑体" w:hAnsi="黑体" w:cs="Times New Roman"/>
          <w:sz w:val="28"/>
          <w:szCs w:val="28"/>
        </w:rPr>
      </w:pPr>
      <w:r w:rsidRPr="002E0E2F">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2E0E2F" w:rsidRPr="002E0E2F" w14:paraId="389B9E7F" w14:textId="77777777" w:rsidTr="00423AD2">
        <w:trPr>
          <w:trHeight w:val="515"/>
          <w:jc w:val="center"/>
        </w:trPr>
        <w:tc>
          <w:tcPr>
            <w:tcW w:w="1422" w:type="dxa"/>
          </w:tcPr>
          <w:p w14:paraId="032756FF" w14:textId="77777777" w:rsidR="002E0E2F" w:rsidRPr="002E0E2F" w:rsidRDefault="002E0E2F" w:rsidP="002E0E2F">
            <w:pPr>
              <w:spacing w:line="440" w:lineRule="exact"/>
              <w:jc w:val="center"/>
              <w:rPr>
                <w:rFonts w:ascii="宋体" w:eastAsia="宋体" w:hAnsi="宋体" w:cs="Times New Roman"/>
                <w:b/>
                <w:sz w:val="24"/>
              </w:rPr>
            </w:pPr>
            <w:r w:rsidRPr="002E0E2F">
              <w:rPr>
                <w:rFonts w:ascii="宋体" w:eastAsia="宋体" w:hAnsi="宋体" w:cs="Times New Roman" w:hint="eastAsia"/>
                <w:b/>
                <w:sz w:val="24"/>
              </w:rPr>
              <w:t>课程目标</w:t>
            </w:r>
          </w:p>
        </w:tc>
        <w:tc>
          <w:tcPr>
            <w:tcW w:w="7918" w:type="dxa"/>
            <w:vAlign w:val="center"/>
          </w:tcPr>
          <w:p w14:paraId="174120FF" w14:textId="77777777" w:rsidR="002E0E2F" w:rsidRPr="002E0E2F" w:rsidRDefault="002E0E2F" w:rsidP="002E0E2F">
            <w:pPr>
              <w:spacing w:line="440" w:lineRule="exact"/>
              <w:jc w:val="center"/>
              <w:rPr>
                <w:rFonts w:ascii="宋体" w:eastAsia="宋体" w:hAnsi="宋体" w:cs="Times New Roman"/>
                <w:b/>
                <w:sz w:val="24"/>
              </w:rPr>
            </w:pPr>
            <w:r w:rsidRPr="002E0E2F">
              <w:rPr>
                <w:rFonts w:ascii="宋体" w:eastAsia="宋体" w:hAnsi="宋体" w:cs="Times New Roman" w:hint="eastAsia"/>
                <w:b/>
                <w:sz w:val="24"/>
              </w:rPr>
              <w:t>考核内容</w:t>
            </w:r>
          </w:p>
        </w:tc>
      </w:tr>
      <w:tr w:rsidR="002E0E2F" w:rsidRPr="002E0E2F" w14:paraId="756ABDFD" w14:textId="77777777" w:rsidTr="00423AD2">
        <w:trPr>
          <w:jc w:val="center"/>
        </w:trPr>
        <w:tc>
          <w:tcPr>
            <w:tcW w:w="1422" w:type="dxa"/>
            <w:vAlign w:val="center"/>
          </w:tcPr>
          <w:p w14:paraId="451C4009" w14:textId="77777777" w:rsidR="002E0E2F" w:rsidRPr="002E0E2F" w:rsidRDefault="002E0E2F" w:rsidP="002E0E2F">
            <w:pPr>
              <w:spacing w:line="440" w:lineRule="exact"/>
              <w:jc w:val="center"/>
              <w:rPr>
                <w:rFonts w:ascii="宋体" w:eastAsia="宋体" w:hAnsi="宋体" w:cs="Times New Roman"/>
                <w:bCs/>
                <w:sz w:val="24"/>
              </w:rPr>
            </w:pPr>
            <w:r w:rsidRPr="002E0E2F">
              <w:rPr>
                <w:rFonts w:ascii="宋体" w:eastAsia="宋体" w:hAnsi="宋体" w:cs="Times New Roman" w:hint="eastAsia"/>
                <w:bCs/>
                <w:sz w:val="24"/>
              </w:rPr>
              <w:t>课程目标1</w:t>
            </w:r>
          </w:p>
        </w:tc>
        <w:tc>
          <w:tcPr>
            <w:tcW w:w="7918" w:type="dxa"/>
            <w:vAlign w:val="center"/>
          </w:tcPr>
          <w:p w14:paraId="67D16133" w14:textId="77777777" w:rsidR="002E0E2F" w:rsidRPr="002E0E2F" w:rsidRDefault="002E0E2F" w:rsidP="002E0E2F">
            <w:pPr>
              <w:spacing w:line="440" w:lineRule="exact"/>
              <w:rPr>
                <w:rFonts w:ascii="宋体" w:eastAsia="宋体" w:hAnsi="宋体" w:cs="Times New Roman"/>
                <w:bCs/>
                <w:sz w:val="24"/>
              </w:rPr>
            </w:pPr>
            <w:r w:rsidRPr="002E0E2F">
              <w:rPr>
                <w:rFonts w:ascii="宋体" w:eastAsia="宋体" w:hAnsi="宋体" w:cs="Times New Roman" w:hint="eastAsia"/>
                <w:bCs/>
                <w:sz w:val="24"/>
              </w:rPr>
              <w:t>1.1</w:t>
            </w:r>
            <w:r w:rsidRPr="002E0E2F">
              <w:rPr>
                <w:rFonts w:ascii="Calibri" w:eastAsia="宋体" w:hAnsi="Calibri" w:cs="Times New Roman" w:hint="eastAsia"/>
                <w:sz w:val="24"/>
              </w:rPr>
              <w:t>国家的就业创业政策和法律法规，社会需求状况和就业形势</w:t>
            </w:r>
            <w:r w:rsidRPr="002E0E2F">
              <w:rPr>
                <w:rFonts w:ascii="宋体" w:eastAsia="宋体" w:hAnsi="宋体" w:cs="Times New Roman" w:hint="eastAsia"/>
                <w:bCs/>
                <w:sz w:val="24"/>
              </w:rPr>
              <w:t>。</w:t>
            </w:r>
          </w:p>
          <w:p w14:paraId="668AC9C0" w14:textId="77777777" w:rsidR="002E0E2F" w:rsidRPr="002E0E2F" w:rsidRDefault="002E0E2F" w:rsidP="002E0E2F">
            <w:pPr>
              <w:spacing w:line="440" w:lineRule="exact"/>
              <w:rPr>
                <w:rFonts w:ascii="宋体" w:eastAsia="宋体" w:hAnsi="宋体" w:cs="Times New Roman"/>
                <w:bCs/>
                <w:sz w:val="24"/>
              </w:rPr>
            </w:pPr>
            <w:r w:rsidRPr="002E0E2F">
              <w:rPr>
                <w:rFonts w:ascii="宋体" w:eastAsia="宋体" w:hAnsi="宋体" w:cs="Times New Roman" w:hint="eastAsia"/>
                <w:bCs/>
                <w:sz w:val="24"/>
              </w:rPr>
              <w:t>1.2</w:t>
            </w:r>
            <w:r w:rsidRPr="002E0E2F">
              <w:rPr>
                <w:rFonts w:ascii="Calibri" w:eastAsia="宋体" w:hAnsi="Calibri" w:cs="Times New Roman" w:hint="eastAsia"/>
                <w:sz w:val="24"/>
              </w:rPr>
              <w:t>职业生涯规划的理论</w:t>
            </w:r>
            <w:r w:rsidRPr="002E0E2F">
              <w:rPr>
                <w:rFonts w:ascii="宋体" w:eastAsia="宋体" w:hAnsi="宋体" w:cs="Times New Roman" w:hint="eastAsia"/>
                <w:sz w:val="24"/>
              </w:rPr>
              <w:t>和创新创业的有关理论，相应的求职步骤、途径和方法。</w:t>
            </w:r>
          </w:p>
        </w:tc>
      </w:tr>
      <w:tr w:rsidR="002E0E2F" w:rsidRPr="002E0E2F" w14:paraId="20410AF5" w14:textId="77777777" w:rsidTr="00423AD2">
        <w:trPr>
          <w:jc w:val="center"/>
        </w:trPr>
        <w:tc>
          <w:tcPr>
            <w:tcW w:w="1422" w:type="dxa"/>
            <w:vAlign w:val="center"/>
          </w:tcPr>
          <w:p w14:paraId="1B077AB0" w14:textId="77777777" w:rsidR="002E0E2F" w:rsidRPr="002E0E2F" w:rsidRDefault="002E0E2F" w:rsidP="002E0E2F">
            <w:pPr>
              <w:spacing w:line="440" w:lineRule="exact"/>
              <w:jc w:val="center"/>
              <w:rPr>
                <w:rFonts w:ascii="宋体" w:eastAsia="宋体" w:hAnsi="宋体" w:cs="Times New Roman"/>
                <w:bCs/>
                <w:sz w:val="24"/>
              </w:rPr>
            </w:pPr>
            <w:r w:rsidRPr="002E0E2F">
              <w:rPr>
                <w:rFonts w:ascii="宋体" w:eastAsia="宋体" w:hAnsi="宋体" w:cs="Times New Roman" w:hint="eastAsia"/>
                <w:bCs/>
                <w:sz w:val="24"/>
              </w:rPr>
              <w:t>课程目标2</w:t>
            </w:r>
          </w:p>
        </w:tc>
        <w:tc>
          <w:tcPr>
            <w:tcW w:w="7918" w:type="dxa"/>
            <w:vAlign w:val="center"/>
          </w:tcPr>
          <w:p w14:paraId="08FA7B72" w14:textId="77777777" w:rsidR="002E0E2F" w:rsidRPr="002E0E2F" w:rsidRDefault="002E0E2F" w:rsidP="002E0E2F">
            <w:pPr>
              <w:spacing w:line="440" w:lineRule="exact"/>
              <w:rPr>
                <w:rFonts w:ascii="宋体" w:eastAsia="宋体" w:hAnsi="宋体" w:cs="Times New Roman"/>
                <w:bCs/>
                <w:sz w:val="24"/>
              </w:rPr>
            </w:pPr>
            <w:r w:rsidRPr="002E0E2F">
              <w:rPr>
                <w:rFonts w:ascii="宋体" w:eastAsia="宋体" w:hAnsi="宋体" w:cs="Times New Roman" w:hint="eastAsia"/>
                <w:bCs/>
                <w:sz w:val="24"/>
              </w:rPr>
              <w:t>2.1科学合理地制定自己的大学</w:t>
            </w:r>
            <w:proofErr w:type="gramStart"/>
            <w:r w:rsidRPr="002E0E2F">
              <w:rPr>
                <w:rFonts w:ascii="宋体" w:eastAsia="宋体" w:hAnsi="宋体" w:cs="Times New Roman" w:hint="eastAsia"/>
                <w:bCs/>
                <w:sz w:val="24"/>
              </w:rPr>
              <w:t>学涯</w:t>
            </w:r>
            <w:proofErr w:type="gramEnd"/>
            <w:r w:rsidRPr="002E0E2F">
              <w:rPr>
                <w:rFonts w:ascii="宋体" w:eastAsia="宋体" w:hAnsi="宋体" w:cs="Times New Roman" w:hint="eastAsia"/>
                <w:bCs/>
                <w:sz w:val="24"/>
              </w:rPr>
              <w:t>规划和职业生涯规划。</w:t>
            </w:r>
          </w:p>
          <w:p w14:paraId="0C5E7F29" w14:textId="77777777" w:rsidR="002E0E2F" w:rsidRPr="002E0E2F" w:rsidRDefault="002E0E2F" w:rsidP="002E0E2F">
            <w:pPr>
              <w:spacing w:line="440" w:lineRule="exact"/>
              <w:rPr>
                <w:rFonts w:ascii="宋体" w:eastAsia="宋体" w:hAnsi="宋体" w:cs="Times New Roman"/>
                <w:bCs/>
                <w:sz w:val="24"/>
              </w:rPr>
            </w:pPr>
            <w:r w:rsidRPr="002E0E2F">
              <w:rPr>
                <w:rFonts w:ascii="宋体" w:eastAsia="宋体" w:hAnsi="宋体" w:cs="Times New Roman" w:hint="eastAsia"/>
                <w:bCs/>
                <w:sz w:val="24"/>
              </w:rPr>
              <w:t>2.2</w:t>
            </w:r>
            <w:r w:rsidRPr="002E0E2F">
              <w:rPr>
                <w:rFonts w:ascii="Calibri" w:eastAsia="宋体" w:hAnsi="Calibri" w:cs="Times New Roman" w:hint="eastAsia"/>
                <w:sz w:val="24"/>
              </w:rPr>
              <w:t>了解职业现状、</w:t>
            </w:r>
            <w:r w:rsidRPr="002E0E2F">
              <w:rPr>
                <w:rFonts w:ascii="宋体" w:eastAsia="宋体" w:hAnsi="宋体" w:cs="Times New Roman" w:hint="eastAsia"/>
                <w:bCs/>
                <w:sz w:val="24"/>
              </w:rPr>
              <w:t>制定自己的求职准备方案和行动计划，或制订相应的创业实施计划。</w:t>
            </w:r>
          </w:p>
        </w:tc>
      </w:tr>
      <w:tr w:rsidR="002E0E2F" w:rsidRPr="002E0E2F" w14:paraId="00969CE2" w14:textId="77777777" w:rsidTr="00423AD2">
        <w:trPr>
          <w:jc w:val="center"/>
        </w:trPr>
        <w:tc>
          <w:tcPr>
            <w:tcW w:w="1422" w:type="dxa"/>
            <w:vAlign w:val="center"/>
          </w:tcPr>
          <w:p w14:paraId="7A4E2248" w14:textId="77777777" w:rsidR="002E0E2F" w:rsidRPr="002E0E2F" w:rsidRDefault="002E0E2F" w:rsidP="002E0E2F">
            <w:pPr>
              <w:spacing w:line="440" w:lineRule="exact"/>
              <w:jc w:val="center"/>
              <w:rPr>
                <w:rFonts w:ascii="宋体" w:eastAsia="宋体" w:hAnsi="宋体" w:cs="Times New Roman"/>
                <w:bCs/>
                <w:sz w:val="24"/>
              </w:rPr>
            </w:pPr>
            <w:r w:rsidRPr="002E0E2F">
              <w:rPr>
                <w:rFonts w:ascii="宋体" w:eastAsia="宋体" w:hAnsi="宋体" w:cs="Times New Roman" w:hint="eastAsia"/>
                <w:bCs/>
                <w:sz w:val="24"/>
              </w:rPr>
              <w:t>课程目标3</w:t>
            </w:r>
          </w:p>
        </w:tc>
        <w:tc>
          <w:tcPr>
            <w:tcW w:w="7918" w:type="dxa"/>
            <w:vAlign w:val="center"/>
          </w:tcPr>
          <w:p w14:paraId="228616B9" w14:textId="77777777" w:rsidR="002E0E2F" w:rsidRPr="002E0E2F" w:rsidRDefault="002E0E2F" w:rsidP="002E0E2F">
            <w:pPr>
              <w:spacing w:line="440" w:lineRule="exact"/>
              <w:rPr>
                <w:rFonts w:ascii="宋体" w:eastAsia="宋体" w:hAnsi="宋体" w:cs="Times New Roman"/>
                <w:bCs/>
                <w:sz w:val="24"/>
              </w:rPr>
            </w:pPr>
            <w:r w:rsidRPr="002E0E2F">
              <w:rPr>
                <w:rFonts w:ascii="宋体" w:eastAsia="宋体" w:hAnsi="宋体" w:cs="Times New Roman" w:hint="eastAsia"/>
                <w:bCs/>
                <w:sz w:val="24"/>
              </w:rPr>
              <w:t>3.1小组讨论合作完成相关作业，在实践中体会职业生涯规划理论和求职面试策略。</w:t>
            </w:r>
          </w:p>
          <w:p w14:paraId="0D2286B6" w14:textId="77777777" w:rsidR="002E0E2F" w:rsidRPr="002E0E2F" w:rsidRDefault="002E0E2F" w:rsidP="002E0E2F">
            <w:pPr>
              <w:spacing w:line="440" w:lineRule="exact"/>
              <w:rPr>
                <w:rFonts w:ascii="宋体" w:eastAsia="宋体" w:hAnsi="宋体" w:cs="Times New Roman"/>
                <w:bCs/>
                <w:sz w:val="24"/>
              </w:rPr>
            </w:pPr>
            <w:r w:rsidRPr="002E0E2F">
              <w:rPr>
                <w:rFonts w:ascii="宋体" w:eastAsia="宋体" w:hAnsi="宋体" w:cs="Times New Roman" w:hint="eastAsia"/>
                <w:bCs/>
                <w:sz w:val="24"/>
              </w:rPr>
              <w:t>3.2主动完成职业探索和相关活动，培养</w:t>
            </w:r>
            <w:r w:rsidRPr="002E0E2F">
              <w:rPr>
                <w:rFonts w:ascii="宋体" w:eastAsia="宋体" w:hAnsi="宋体" w:cs="Times New Roman" w:hint="eastAsia"/>
                <w:sz w:val="24"/>
              </w:rPr>
              <w:t>相应的职业素养与创新创业精神，为顺利就业创业打好基础</w:t>
            </w:r>
            <w:r w:rsidRPr="002E0E2F">
              <w:rPr>
                <w:rFonts w:ascii="宋体" w:eastAsia="宋体" w:hAnsi="宋体" w:cs="Times New Roman" w:hint="eastAsia"/>
                <w:bCs/>
                <w:sz w:val="24"/>
              </w:rPr>
              <w:t>。</w:t>
            </w:r>
          </w:p>
        </w:tc>
      </w:tr>
    </w:tbl>
    <w:p w14:paraId="2D0D3663" w14:textId="77777777" w:rsidR="002E0E2F" w:rsidRPr="002E0E2F" w:rsidRDefault="002E0E2F" w:rsidP="002E0E2F">
      <w:pPr>
        <w:spacing w:beforeLines="50" w:before="156" w:afterLines="50" w:after="156" w:line="440" w:lineRule="exact"/>
        <w:ind w:firstLineChars="200" w:firstLine="560"/>
        <w:outlineLvl w:val="1"/>
        <w:rPr>
          <w:rFonts w:ascii="黑体" w:eastAsia="黑体" w:hAnsi="黑体" w:cs="Times New Roman"/>
          <w:sz w:val="28"/>
          <w:szCs w:val="28"/>
        </w:rPr>
      </w:pPr>
      <w:r w:rsidRPr="002E0E2F">
        <w:rPr>
          <w:rFonts w:ascii="黑体" w:eastAsia="黑体" w:hAnsi="黑体" w:cs="Times New Roman" w:hint="eastAsia"/>
          <w:sz w:val="28"/>
          <w:szCs w:val="28"/>
        </w:rPr>
        <w:t>（二）课程考核方式</w:t>
      </w:r>
    </w:p>
    <w:p w14:paraId="6EEC34DA" w14:textId="77777777" w:rsidR="002E0E2F" w:rsidRPr="002E0E2F" w:rsidRDefault="002E0E2F" w:rsidP="002E0E2F">
      <w:pPr>
        <w:spacing w:line="440" w:lineRule="exact"/>
        <w:ind w:firstLineChars="300" w:firstLine="720"/>
        <w:rPr>
          <w:rFonts w:ascii="宋体" w:eastAsia="宋体" w:hAnsi="宋体" w:cs="Times New Roman"/>
          <w:sz w:val="24"/>
        </w:rPr>
      </w:pPr>
      <w:r w:rsidRPr="002E0E2F">
        <w:rPr>
          <w:rFonts w:ascii="宋体" w:eastAsia="宋体" w:hAnsi="宋体" w:cs="Times New Roman" w:hint="eastAsia"/>
          <w:sz w:val="24"/>
        </w:rPr>
        <w:t>本课程的考核形式为平时考核和期末考核相结合的方式。</w:t>
      </w:r>
    </w:p>
    <w:p w14:paraId="76B48012"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1.平时考核包括：</w:t>
      </w:r>
    </w:p>
    <w:p w14:paraId="05A2384A" w14:textId="77777777" w:rsidR="002E0E2F" w:rsidRPr="002E0E2F" w:rsidRDefault="002E0E2F" w:rsidP="002E0E2F">
      <w:pPr>
        <w:spacing w:line="440" w:lineRule="exact"/>
        <w:ind w:firstLineChars="300" w:firstLine="720"/>
        <w:rPr>
          <w:rFonts w:ascii="宋体" w:eastAsia="宋体" w:hAnsi="宋体" w:cs="Times New Roman"/>
          <w:sz w:val="24"/>
        </w:rPr>
      </w:pPr>
      <w:r w:rsidRPr="002E0E2F">
        <w:rPr>
          <w:rFonts w:ascii="宋体" w:eastAsia="宋体" w:hAnsi="宋体" w:cs="Times New Roman" w:hint="eastAsia"/>
          <w:sz w:val="24"/>
        </w:rPr>
        <w:t>（1）课堂出勤率和课堂表现；</w:t>
      </w:r>
    </w:p>
    <w:p w14:paraId="3B562B33" w14:textId="77777777" w:rsidR="002E0E2F" w:rsidRPr="002E0E2F" w:rsidRDefault="002E0E2F" w:rsidP="002E0E2F">
      <w:pPr>
        <w:spacing w:line="440" w:lineRule="exact"/>
        <w:ind w:firstLineChars="300" w:firstLine="720"/>
        <w:rPr>
          <w:rFonts w:ascii="宋体" w:eastAsia="宋体" w:hAnsi="宋体" w:cs="Times New Roman"/>
          <w:sz w:val="24"/>
        </w:rPr>
      </w:pPr>
      <w:r w:rsidRPr="002E0E2F">
        <w:rPr>
          <w:rFonts w:ascii="宋体" w:eastAsia="宋体" w:hAnsi="宋体" w:cs="Times New Roman" w:hint="eastAsia"/>
          <w:sz w:val="24"/>
        </w:rPr>
        <w:t>（2）平时作业情况，包含随堂作业、课后作业。</w:t>
      </w:r>
    </w:p>
    <w:p w14:paraId="73C425D5"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2.期末考核：</w:t>
      </w:r>
      <w:proofErr w:type="gramStart"/>
      <w:r w:rsidRPr="002E0E2F">
        <w:rPr>
          <w:rFonts w:ascii="宋体" w:eastAsia="宋体" w:hAnsi="宋体" w:cs="Times New Roman" w:hint="eastAsia"/>
          <w:sz w:val="24"/>
        </w:rPr>
        <w:t>课程结课论文</w:t>
      </w:r>
      <w:proofErr w:type="gramEnd"/>
    </w:p>
    <w:p w14:paraId="46EC4235" w14:textId="77777777" w:rsidR="002E0E2F" w:rsidRPr="002E0E2F" w:rsidRDefault="002E0E2F" w:rsidP="002E0E2F">
      <w:pPr>
        <w:spacing w:beforeLines="50" w:before="156" w:afterLines="50" w:after="156" w:line="440" w:lineRule="exact"/>
        <w:ind w:firstLineChars="200" w:firstLine="560"/>
        <w:outlineLvl w:val="1"/>
        <w:rPr>
          <w:rFonts w:ascii="黑体" w:eastAsia="黑体" w:hAnsi="黑体" w:cs="Times New Roman"/>
          <w:sz w:val="28"/>
          <w:szCs w:val="28"/>
        </w:rPr>
      </w:pPr>
      <w:r w:rsidRPr="002E0E2F">
        <w:rPr>
          <w:rFonts w:ascii="黑体" w:eastAsia="黑体" w:hAnsi="黑体" w:cs="Times New Roman" w:hint="eastAsia"/>
          <w:sz w:val="28"/>
          <w:szCs w:val="28"/>
        </w:rPr>
        <w:t>（三）课程目标达成评价方式及考核比例</w:t>
      </w:r>
    </w:p>
    <w:p w14:paraId="70B4BF65"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lastRenderedPageBreak/>
        <w:t>本课程考核方式及成绩比例为：课堂表现15%</w:t>
      </w:r>
      <w:r w:rsidRPr="002E0E2F">
        <w:rPr>
          <w:rFonts w:ascii="宋体" w:eastAsia="宋体" w:hAnsi="宋体" w:cs="Times New Roman"/>
          <w:sz w:val="24"/>
        </w:rPr>
        <w:t>+</w:t>
      </w:r>
      <w:r w:rsidRPr="002E0E2F">
        <w:rPr>
          <w:rFonts w:ascii="宋体" w:eastAsia="宋体" w:hAnsi="宋体" w:cs="Times New Roman" w:hint="eastAsia"/>
          <w:sz w:val="24"/>
        </w:rPr>
        <w:t>平时作业3</w:t>
      </w:r>
      <w:r w:rsidRPr="002E0E2F">
        <w:rPr>
          <w:rFonts w:ascii="宋体" w:eastAsia="宋体" w:hAnsi="宋体" w:cs="Times New Roman"/>
          <w:sz w:val="24"/>
        </w:rPr>
        <w:t>0</w:t>
      </w:r>
      <w:r w:rsidRPr="002E0E2F">
        <w:rPr>
          <w:rFonts w:ascii="宋体" w:eastAsia="宋体" w:hAnsi="宋体" w:cs="Times New Roman" w:hint="eastAsia"/>
          <w:sz w:val="24"/>
        </w:rPr>
        <w:t>%</w:t>
      </w:r>
      <w:r w:rsidRPr="002E0E2F">
        <w:rPr>
          <w:rFonts w:ascii="宋体" w:eastAsia="宋体" w:hAnsi="宋体" w:cs="Times New Roman"/>
          <w:sz w:val="24"/>
        </w:rPr>
        <w:t>+</w:t>
      </w:r>
      <w:r w:rsidRPr="002E0E2F">
        <w:rPr>
          <w:rFonts w:ascii="宋体" w:eastAsia="宋体" w:hAnsi="宋体" w:cs="Times New Roman" w:hint="eastAsia"/>
          <w:sz w:val="24"/>
        </w:rPr>
        <w:t>期末考核55%；本课程共有三个课程目标，考核方式及成绩比例分别为：</w:t>
      </w:r>
    </w:p>
    <w:p w14:paraId="611F8538"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课程目标1：课堂表现5%+平时作业10%+期末考核20%</w:t>
      </w:r>
    </w:p>
    <w:p w14:paraId="1146952E"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课程目标2：课堂表现5%+平时作业10%+期末考核25%</w:t>
      </w:r>
    </w:p>
    <w:p w14:paraId="5BD5C566"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课程目标3：课堂表现5%+平时作业10%+期末考核10%</w:t>
      </w:r>
    </w:p>
    <w:p w14:paraId="3302C308"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如下图：</w:t>
      </w:r>
    </w:p>
    <w:tbl>
      <w:tblPr>
        <w:tblW w:w="7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559"/>
        <w:gridCol w:w="1559"/>
      </w:tblGrid>
      <w:tr w:rsidR="002E0E2F" w:rsidRPr="002E0E2F" w14:paraId="7DF44030" w14:textId="77777777" w:rsidTr="00423AD2">
        <w:trPr>
          <w:trHeight w:val="540"/>
          <w:jc w:val="center"/>
        </w:trPr>
        <w:tc>
          <w:tcPr>
            <w:tcW w:w="1422" w:type="dxa"/>
            <w:vMerge w:val="restart"/>
            <w:vAlign w:val="center"/>
          </w:tcPr>
          <w:p w14:paraId="0C00CFBE" w14:textId="77777777" w:rsidR="002E0E2F" w:rsidRPr="002E0E2F" w:rsidRDefault="002E0E2F" w:rsidP="002E0E2F">
            <w:pPr>
              <w:spacing w:line="440" w:lineRule="exact"/>
              <w:jc w:val="center"/>
              <w:rPr>
                <w:rFonts w:ascii="宋体" w:eastAsia="宋体" w:hAnsi="宋体" w:cs="Times New Roman"/>
                <w:b/>
                <w:sz w:val="24"/>
              </w:rPr>
            </w:pPr>
            <w:r w:rsidRPr="002E0E2F">
              <w:rPr>
                <w:rFonts w:ascii="宋体" w:eastAsia="宋体" w:hAnsi="宋体" w:cs="Times New Roman" w:hint="eastAsia"/>
                <w:b/>
                <w:sz w:val="24"/>
              </w:rPr>
              <w:t>课程目标</w:t>
            </w:r>
          </w:p>
        </w:tc>
        <w:tc>
          <w:tcPr>
            <w:tcW w:w="4570" w:type="dxa"/>
            <w:gridSpan w:val="3"/>
            <w:vAlign w:val="center"/>
          </w:tcPr>
          <w:p w14:paraId="162E6A97" w14:textId="77777777" w:rsidR="002E0E2F" w:rsidRPr="002E0E2F" w:rsidRDefault="002E0E2F" w:rsidP="002E0E2F">
            <w:pPr>
              <w:spacing w:line="440" w:lineRule="exact"/>
              <w:jc w:val="center"/>
              <w:rPr>
                <w:rFonts w:ascii="宋体" w:eastAsia="宋体" w:hAnsi="宋体" w:cs="Times New Roman"/>
                <w:b/>
                <w:sz w:val="24"/>
              </w:rPr>
            </w:pPr>
            <w:r w:rsidRPr="002E0E2F">
              <w:rPr>
                <w:rFonts w:ascii="宋体" w:eastAsia="宋体" w:hAnsi="宋体" w:cs="Times New Roman" w:hint="eastAsia"/>
                <w:b/>
                <w:sz w:val="24"/>
              </w:rPr>
              <w:t>考核方式及成绩比例（%）</w:t>
            </w:r>
          </w:p>
        </w:tc>
        <w:tc>
          <w:tcPr>
            <w:tcW w:w="1559" w:type="dxa"/>
            <w:vAlign w:val="center"/>
          </w:tcPr>
          <w:p w14:paraId="0DBBF009" w14:textId="77777777" w:rsidR="002E0E2F" w:rsidRPr="002E0E2F" w:rsidRDefault="002E0E2F" w:rsidP="002E0E2F">
            <w:pPr>
              <w:spacing w:line="440" w:lineRule="exact"/>
              <w:jc w:val="center"/>
              <w:rPr>
                <w:rFonts w:ascii="宋体" w:eastAsia="宋体" w:hAnsi="宋体" w:cs="Times New Roman"/>
                <w:b/>
                <w:sz w:val="24"/>
              </w:rPr>
            </w:pPr>
            <w:r w:rsidRPr="002E0E2F">
              <w:rPr>
                <w:rFonts w:ascii="宋体" w:eastAsia="宋体" w:hAnsi="宋体" w:cs="Times New Roman" w:hint="eastAsia"/>
                <w:b/>
                <w:sz w:val="24"/>
              </w:rPr>
              <w:t>合计</w:t>
            </w:r>
          </w:p>
        </w:tc>
      </w:tr>
      <w:tr w:rsidR="002E0E2F" w:rsidRPr="002E0E2F" w14:paraId="4AFDAE01" w14:textId="77777777" w:rsidTr="00423AD2">
        <w:trPr>
          <w:trHeight w:val="578"/>
          <w:jc w:val="center"/>
        </w:trPr>
        <w:tc>
          <w:tcPr>
            <w:tcW w:w="1422" w:type="dxa"/>
            <w:vMerge/>
            <w:vAlign w:val="center"/>
          </w:tcPr>
          <w:p w14:paraId="1E4F771D" w14:textId="77777777" w:rsidR="002E0E2F" w:rsidRPr="002E0E2F" w:rsidRDefault="002E0E2F" w:rsidP="002E0E2F">
            <w:pPr>
              <w:spacing w:line="440" w:lineRule="exact"/>
              <w:jc w:val="center"/>
              <w:rPr>
                <w:rFonts w:ascii="宋体" w:eastAsia="宋体" w:hAnsi="宋体" w:cs="Times New Roman"/>
                <w:b/>
                <w:sz w:val="24"/>
              </w:rPr>
            </w:pPr>
          </w:p>
        </w:tc>
        <w:tc>
          <w:tcPr>
            <w:tcW w:w="1452" w:type="dxa"/>
            <w:vAlign w:val="center"/>
          </w:tcPr>
          <w:p w14:paraId="699948CF"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课堂表现</w:t>
            </w:r>
          </w:p>
        </w:tc>
        <w:tc>
          <w:tcPr>
            <w:tcW w:w="1559" w:type="dxa"/>
            <w:vAlign w:val="center"/>
          </w:tcPr>
          <w:p w14:paraId="388B0CA9"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平时作业</w:t>
            </w:r>
          </w:p>
        </w:tc>
        <w:tc>
          <w:tcPr>
            <w:tcW w:w="1559" w:type="dxa"/>
            <w:vAlign w:val="center"/>
          </w:tcPr>
          <w:p w14:paraId="4971729B" w14:textId="77777777" w:rsidR="002E0E2F" w:rsidRPr="002E0E2F" w:rsidRDefault="002E0E2F" w:rsidP="002E0E2F">
            <w:pPr>
              <w:spacing w:line="440" w:lineRule="exact"/>
              <w:jc w:val="center"/>
              <w:rPr>
                <w:rFonts w:ascii="宋体" w:eastAsia="宋体" w:hAnsi="宋体" w:cs="Times New Roman"/>
                <w:sz w:val="24"/>
              </w:rPr>
            </w:pPr>
            <w:r w:rsidRPr="002E0E2F">
              <w:rPr>
                <w:rFonts w:ascii="宋体" w:eastAsia="宋体" w:hAnsi="宋体" w:cs="Times New Roman" w:hint="eastAsia"/>
                <w:sz w:val="24"/>
              </w:rPr>
              <w:t>期末考核</w:t>
            </w:r>
          </w:p>
        </w:tc>
        <w:tc>
          <w:tcPr>
            <w:tcW w:w="1559" w:type="dxa"/>
          </w:tcPr>
          <w:p w14:paraId="20467B87" w14:textId="77777777" w:rsidR="002E0E2F" w:rsidRPr="002E0E2F" w:rsidRDefault="002E0E2F" w:rsidP="002E0E2F">
            <w:pPr>
              <w:spacing w:line="440" w:lineRule="exact"/>
              <w:ind w:firstLineChars="200" w:firstLine="480"/>
              <w:rPr>
                <w:rFonts w:ascii="宋体" w:eastAsia="宋体" w:hAnsi="宋体" w:cs="Times New Roman"/>
                <w:sz w:val="24"/>
              </w:rPr>
            </w:pPr>
          </w:p>
        </w:tc>
      </w:tr>
      <w:tr w:rsidR="002E0E2F" w:rsidRPr="002E0E2F" w14:paraId="0E96E57E" w14:textId="77777777" w:rsidTr="00423AD2">
        <w:trPr>
          <w:jc w:val="center"/>
        </w:trPr>
        <w:tc>
          <w:tcPr>
            <w:tcW w:w="1422" w:type="dxa"/>
            <w:vAlign w:val="center"/>
          </w:tcPr>
          <w:p w14:paraId="01092C8A" w14:textId="77777777" w:rsidR="002E0E2F" w:rsidRPr="002E0E2F" w:rsidRDefault="002E0E2F" w:rsidP="002E0E2F">
            <w:pPr>
              <w:spacing w:line="440" w:lineRule="exact"/>
              <w:jc w:val="center"/>
              <w:rPr>
                <w:rFonts w:ascii="宋体" w:eastAsia="宋体" w:hAnsi="宋体" w:cs="Times New Roman"/>
                <w:bCs/>
                <w:sz w:val="24"/>
              </w:rPr>
            </w:pPr>
            <w:r w:rsidRPr="002E0E2F">
              <w:rPr>
                <w:rFonts w:ascii="宋体" w:eastAsia="宋体" w:hAnsi="宋体" w:cs="Times New Roman" w:hint="eastAsia"/>
                <w:bCs/>
                <w:sz w:val="24"/>
              </w:rPr>
              <w:t>课程目标1</w:t>
            </w:r>
          </w:p>
        </w:tc>
        <w:tc>
          <w:tcPr>
            <w:tcW w:w="1452" w:type="dxa"/>
            <w:vAlign w:val="center"/>
          </w:tcPr>
          <w:p w14:paraId="57FE6B3F"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5</w:t>
            </w:r>
          </w:p>
        </w:tc>
        <w:tc>
          <w:tcPr>
            <w:tcW w:w="1559" w:type="dxa"/>
            <w:vAlign w:val="center"/>
          </w:tcPr>
          <w:p w14:paraId="566523CE"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10</w:t>
            </w:r>
          </w:p>
        </w:tc>
        <w:tc>
          <w:tcPr>
            <w:tcW w:w="1559" w:type="dxa"/>
            <w:vAlign w:val="center"/>
          </w:tcPr>
          <w:p w14:paraId="011B8BED"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20</w:t>
            </w:r>
          </w:p>
        </w:tc>
        <w:tc>
          <w:tcPr>
            <w:tcW w:w="1559" w:type="dxa"/>
          </w:tcPr>
          <w:p w14:paraId="18D3C0C4"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35</w:t>
            </w:r>
          </w:p>
        </w:tc>
      </w:tr>
      <w:tr w:rsidR="002E0E2F" w:rsidRPr="002E0E2F" w14:paraId="15245832" w14:textId="77777777" w:rsidTr="00423AD2">
        <w:trPr>
          <w:jc w:val="center"/>
        </w:trPr>
        <w:tc>
          <w:tcPr>
            <w:tcW w:w="1422" w:type="dxa"/>
            <w:vAlign w:val="center"/>
          </w:tcPr>
          <w:p w14:paraId="4DEEB9EC" w14:textId="77777777" w:rsidR="002E0E2F" w:rsidRPr="002E0E2F" w:rsidRDefault="002E0E2F" w:rsidP="002E0E2F">
            <w:pPr>
              <w:spacing w:line="440" w:lineRule="exact"/>
              <w:jc w:val="center"/>
              <w:rPr>
                <w:rFonts w:ascii="宋体" w:eastAsia="宋体" w:hAnsi="宋体" w:cs="Times New Roman"/>
                <w:bCs/>
                <w:sz w:val="24"/>
              </w:rPr>
            </w:pPr>
            <w:r w:rsidRPr="002E0E2F">
              <w:rPr>
                <w:rFonts w:ascii="宋体" w:eastAsia="宋体" w:hAnsi="宋体" w:cs="Times New Roman" w:hint="eastAsia"/>
                <w:bCs/>
                <w:sz w:val="24"/>
              </w:rPr>
              <w:t>课程目标2</w:t>
            </w:r>
          </w:p>
        </w:tc>
        <w:tc>
          <w:tcPr>
            <w:tcW w:w="1452" w:type="dxa"/>
            <w:vAlign w:val="center"/>
          </w:tcPr>
          <w:p w14:paraId="5A5F7C32"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5</w:t>
            </w:r>
          </w:p>
        </w:tc>
        <w:tc>
          <w:tcPr>
            <w:tcW w:w="1559" w:type="dxa"/>
            <w:vAlign w:val="center"/>
          </w:tcPr>
          <w:p w14:paraId="1C2C6A13"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10</w:t>
            </w:r>
          </w:p>
        </w:tc>
        <w:tc>
          <w:tcPr>
            <w:tcW w:w="1559" w:type="dxa"/>
            <w:vAlign w:val="center"/>
          </w:tcPr>
          <w:p w14:paraId="6EEE218F"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25</w:t>
            </w:r>
          </w:p>
        </w:tc>
        <w:tc>
          <w:tcPr>
            <w:tcW w:w="1559" w:type="dxa"/>
          </w:tcPr>
          <w:p w14:paraId="408A4FCE"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40</w:t>
            </w:r>
          </w:p>
        </w:tc>
      </w:tr>
      <w:tr w:rsidR="002E0E2F" w:rsidRPr="002E0E2F" w14:paraId="1FABF3FC" w14:textId="77777777" w:rsidTr="00423AD2">
        <w:trPr>
          <w:jc w:val="center"/>
        </w:trPr>
        <w:tc>
          <w:tcPr>
            <w:tcW w:w="1422" w:type="dxa"/>
            <w:vAlign w:val="center"/>
          </w:tcPr>
          <w:p w14:paraId="2E583F25" w14:textId="77777777" w:rsidR="002E0E2F" w:rsidRPr="002E0E2F" w:rsidRDefault="002E0E2F" w:rsidP="002E0E2F">
            <w:pPr>
              <w:spacing w:line="440" w:lineRule="exact"/>
              <w:jc w:val="center"/>
              <w:rPr>
                <w:rFonts w:ascii="宋体" w:eastAsia="宋体" w:hAnsi="宋体" w:cs="Times New Roman"/>
                <w:bCs/>
                <w:sz w:val="24"/>
              </w:rPr>
            </w:pPr>
            <w:r w:rsidRPr="002E0E2F">
              <w:rPr>
                <w:rFonts w:ascii="宋体" w:eastAsia="宋体" w:hAnsi="宋体" w:cs="Times New Roman" w:hint="eastAsia"/>
                <w:bCs/>
                <w:sz w:val="24"/>
              </w:rPr>
              <w:t>课程目标3</w:t>
            </w:r>
          </w:p>
        </w:tc>
        <w:tc>
          <w:tcPr>
            <w:tcW w:w="1452" w:type="dxa"/>
            <w:vAlign w:val="center"/>
          </w:tcPr>
          <w:p w14:paraId="0A7B4523"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5</w:t>
            </w:r>
          </w:p>
        </w:tc>
        <w:tc>
          <w:tcPr>
            <w:tcW w:w="1559" w:type="dxa"/>
            <w:vAlign w:val="center"/>
          </w:tcPr>
          <w:p w14:paraId="36180943"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10</w:t>
            </w:r>
          </w:p>
        </w:tc>
        <w:tc>
          <w:tcPr>
            <w:tcW w:w="1559" w:type="dxa"/>
            <w:vAlign w:val="center"/>
          </w:tcPr>
          <w:p w14:paraId="532815FF" w14:textId="77777777" w:rsidR="002E0E2F" w:rsidRPr="002E0E2F" w:rsidRDefault="002E0E2F" w:rsidP="002E0E2F">
            <w:pPr>
              <w:spacing w:line="440" w:lineRule="exact"/>
              <w:rPr>
                <w:rFonts w:ascii="宋体" w:eastAsia="宋体" w:hAnsi="宋体" w:cs="Times New Roman"/>
                <w:sz w:val="24"/>
              </w:rPr>
            </w:pPr>
            <w:r w:rsidRPr="002E0E2F">
              <w:rPr>
                <w:rFonts w:ascii="宋体" w:eastAsia="宋体" w:hAnsi="宋体" w:cs="Times New Roman" w:hint="eastAsia"/>
                <w:sz w:val="24"/>
              </w:rPr>
              <w:t xml:space="preserve">    10</w:t>
            </w:r>
          </w:p>
        </w:tc>
        <w:tc>
          <w:tcPr>
            <w:tcW w:w="1559" w:type="dxa"/>
          </w:tcPr>
          <w:p w14:paraId="43E0BC7E"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25</w:t>
            </w:r>
          </w:p>
        </w:tc>
      </w:tr>
      <w:tr w:rsidR="002E0E2F" w:rsidRPr="002E0E2F" w14:paraId="2323AE1D" w14:textId="77777777" w:rsidTr="00423AD2">
        <w:trPr>
          <w:jc w:val="center"/>
        </w:trPr>
        <w:tc>
          <w:tcPr>
            <w:tcW w:w="1422" w:type="dxa"/>
            <w:vAlign w:val="center"/>
          </w:tcPr>
          <w:p w14:paraId="22BBC598" w14:textId="77777777" w:rsidR="002E0E2F" w:rsidRPr="002E0E2F" w:rsidRDefault="002E0E2F" w:rsidP="002E0E2F">
            <w:pPr>
              <w:spacing w:line="440" w:lineRule="exact"/>
              <w:jc w:val="center"/>
              <w:rPr>
                <w:rFonts w:ascii="宋体" w:eastAsia="宋体" w:hAnsi="宋体" w:cs="Times New Roman"/>
                <w:bCs/>
                <w:sz w:val="24"/>
              </w:rPr>
            </w:pPr>
            <w:r w:rsidRPr="002E0E2F">
              <w:rPr>
                <w:rFonts w:ascii="宋体" w:eastAsia="宋体" w:hAnsi="宋体" w:cs="Times New Roman" w:hint="eastAsia"/>
                <w:bCs/>
                <w:sz w:val="24"/>
              </w:rPr>
              <w:t>合计</w:t>
            </w:r>
          </w:p>
        </w:tc>
        <w:tc>
          <w:tcPr>
            <w:tcW w:w="1452" w:type="dxa"/>
            <w:vAlign w:val="center"/>
          </w:tcPr>
          <w:p w14:paraId="189810CB"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15</w:t>
            </w:r>
          </w:p>
        </w:tc>
        <w:tc>
          <w:tcPr>
            <w:tcW w:w="1559" w:type="dxa"/>
            <w:vAlign w:val="center"/>
          </w:tcPr>
          <w:p w14:paraId="1CC8F48B"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30</w:t>
            </w:r>
          </w:p>
        </w:tc>
        <w:tc>
          <w:tcPr>
            <w:tcW w:w="1559" w:type="dxa"/>
            <w:vAlign w:val="center"/>
          </w:tcPr>
          <w:p w14:paraId="645A4632"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55</w:t>
            </w:r>
          </w:p>
        </w:tc>
        <w:tc>
          <w:tcPr>
            <w:tcW w:w="1559" w:type="dxa"/>
          </w:tcPr>
          <w:p w14:paraId="7643D3DD"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100</w:t>
            </w:r>
          </w:p>
        </w:tc>
      </w:tr>
    </w:tbl>
    <w:p w14:paraId="2ADB4682" w14:textId="77777777" w:rsidR="002E0E2F" w:rsidRPr="002E0E2F" w:rsidRDefault="002E0E2F" w:rsidP="00C63ECC">
      <w:pPr>
        <w:pStyle w:val="afc"/>
      </w:pPr>
      <w:bookmarkStart w:id="103" w:name="_Toc9713"/>
      <w:bookmarkStart w:id="104" w:name="_Toc3133"/>
      <w:bookmarkStart w:id="105" w:name="_Toc31840"/>
      <w:bookmarkStart w:id="106" w:name="_Toc14119"/>
      <w:bookmarkStart w:id="107" w:name="_Toc32497"/>
      <w:r w:rsidRPr="002E0E2F">
        <w:rPr>
          <w:rFonts w:hint="eastAsia"/>
        </w:rPr>
        <w:t>五、成绩评定</w:t>
      </w:r>
      <w:bookmarkEnd w:id="103"/>
      <w:bookmarkEnd w:id="104"/>
      <w:bookmarkEnd w:id="105"/>
      <w:bookmarkEnd w:id="106"/>
      <w:bookmarkEnd w:id="107"/>
    </w:p>
    <w:p w14:paraId="392CB701" w14:textId="77777777" w:rsidR="002E0E2F" w:rsidRPr="002E0E2F" w:rsidRDefault="002E0E2F" w:rsidP="002E0E2F">
      <w:pPr>
        <w:spacing w:beforeLines="50" w:before="156" w:afterLines="50" w:after="156" w:line="440" w:lineRule="exact"/>
        <w:ind w:firstLineChars="200" w:firstLine="560"/>
        <w:outlineLvl w:val="1"/>
        <w:rPr>
          <w:rFonts w:ascii="黑体" w:eastAsia="黑体" w:hAnsi="黑体" w:cs="Times New Roman"/>
          <w:sz w:val="28"/>
          <w:szCs w:val="28"/>
        </w:rPr>
      </w:pPr>
      <w:r w:rsidRPr="002E0E2F">
        <w:rPr>
          <w:rFonts w:ascii="黑体" w:eastAsia="黑体" w:hAnsi="黑体" w:cs="Times New Roman" w:hint="eastAsia"/>
          <w:sz w:val="28"/>
          <w:szCs w:val="28"/>
        </w:rPr>
        <w:t>（一）总成绩评定</w:t>
      </w:r>
    </w:p>
    <w:p w14:paraId="037569AC"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总成绩=平时成绩×30%+期末成绩×70%</w:t>
      </w:r>
    </w:p>
    <w:p w14:paraId="4A63A9D3" w14:textId="77777777" w:rsidR="002E0E2F" w:rsidRPr="002E0E2F" w:rsidRDefault="002E0E2F" w:rsidP="002E0E2F">
      <w:pPr>
        <w:spacing w:beforeLines="50" w:before="156" w:afterLines="50" w:after="156" w:line="440" w:lineRule="exact"/>
        <w:ind w:firstLineChars="200" w:firstLine="560"/>
        <w:outlineLvl w:val="1"/>
        <w:rPr>
          <w:rFonts w:ascii="宋体" w:eastAsia="宋体" w:hAnsi="宋体" w:cs="Times New Roman"/>
          <w:color w:val="FF0000"/>
          <w:sz w:val="24"/>
        </w:rPr>
      </w:pPr>
      <w:r w:rsidRPr="002E0E2F">
        <w:rPr>
          <w:rFonts w:ascii="黑体" w:eastAsia="黑体" w:hAnsi="黑体" w:cs="Times New Roman" w:hint="eastAsia"/>
          <w:sz w:val="28"/>
          <w:szCs w:val="28"/>
        </w:rPr>
        <w:t>（二）平时成绩评定</w:t>
      </w:r>
    </w:p>
    <w:p w14:paraId="6C76E249" w14:textId="77777777" w:rsidR="002E0E2F" w:rsidRPr="002E0E2F" w:rsidRDefault="002E0E2F" w:rsidP="002E0E2F">
      <w:pPr>
        <w:spacing w:line="440" w:lineRule="exact"/>
        <w:ind w:firstLineChars="200" w:firstLine="480"/>
        <w:rPr>
          <w:rFonts w:ascii="宋体" w:eastAsia="宋体" w:hAnsi="宋体" w:cs="Times New Roman"/>
          <w:color w:val="FF0000"/>
          <w:sz w:val="24"/>
        </w:rPr>
      </w:pPr>
      <w:r w:rsidRPr="002E0E2F">
        <w:rPr>
          <w:rFonts w:ascii="宋体" w:eastAsia="宋体" w:hAnsi="宋体" w:cs="Times New Roman" w:hint="eastAsia"/>
          <w:sz w:val="24"/>
        </w:rPr>
        <w:t>平时成绩（100%）=课堂表现（30%）+作业完成情况（60%）+课堂考勤（10%）</w:t>
      </w:r>
    </w:p>
    <w:p w14:paraId="27D3F42C" w14:textId="77777777" w:rsidR="002E0E2F" w:rsidRPr="002E0E2F" w:rsidRDefault="002E0E2F" w:rsidP="002E0E2F">
      <w:pPr>
        <w:spacing w:beforeLines="50" w:before="156" w:afterLines="50" w:after="156" w:line="440" w:lineRule="exact"/>
        <w:ind w:firstLineChars="200" w:firstLine="560"/>
        <w:outlineLvl w:val="1"/>
        <w:rPr>
          <w:rFonts w:ascii="黑体" w:eastAsia="黑体" w:hAnsi="黑体" w:cs="Times New Roman"/>
          <w:sz w:val="28"/>
          <w:szCs w:val="28"/>
        </w:rPr>
      </w:pPr>
      <w:r w:rsidRPr="002E0E2F">
        <w:rPr>
          <w:rFonts w:ascii="黑体" w:eastAsia="黑体" w:hAnsi="黑体" w:cs="Times New Roman" w:hint="eastAsia"/>
          <w:sz w:val="28"/>
          <w:szCs w:val="28"/>
        </w:rPr>
        <w:t>（三）期末成绩评定</w:t>
      </w:r>
    </w:p>
    <w:p w14:paraId="094AF3F6"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期末考核主要考察学生对基本概念、理论、相关技能操作和具体方法的理解与运用等。期末考核方式为</w:t>
      </w:r>
      <w:proofErr w:type="gramStart"/>
      <w:r w:rsidRPr="002E0E2F">
        <w:rPr>
          <w:rFonts w:ascii="宋体" w:eastAsia="宋体" w:hAnsi="宋体" w:cs="Times New Roman" w:hint="eastAsia"/>
          <w:sz w:val="24"/>
        </w:rPr>
        <w:t>课程结课论文</w:t>
      </w:r>
      <w:proofErr w:type="gramEnd"/>
      <w:r w:rsidRPr="002E0E2F">
        <w:rPr>
          <w:rFonts w:ascii="宋体" w:eastAsia="宋体" w:hAnsi="宋体" w:cs="Times New Roman" w:hint="eastAsia"/>
          <w:sz w:val="24"/>
        </w:rPr>
        <w:t>。要求学生掌握基本概念、方法、技能操作，运用具体理论方法解决相关问题。</w:t>
      </w:r>
    </w:p>
    <w:p w14:paraId="1B7DCBC8" w14:textId="77777777" w:rsidR="002E0E2F" w:rsidRPr="002E0E2F" w:rsidRDefault="002E0E2F" w:rsidP="00C63ECC">
      <w:pPr>
        <w:pStyle w:val="afc"/>
        <w:rPr>
          <w:rFonts w:ascii="宋体" w:eastAsia="宋体" w:hAnsi="宋体"/>
          <w:sz w:val="24"/>
        </w:rPr>
      </w:pPr>
      <w:bookmarkStart w:id="108" w:name="_Toc23504"/>
      <w:bookmarkStart w:id="109" w:name="_Toc20768"/>
      <w:bookmarkStart w:id="110" w:name="_Toc5651"/>
      <w:bookmarkStart w:id="111" w:name="_Toc11453"/>
      <w:bookmarkStart w:id="112" w:name="_Toc30681"/>
      <w:r w:rsidRPr="002E0E2F">
        <w:rPr>
          <w:rFonts w:hint="eastAsia"/>
        </w:rPr>
        <w:t>六、使用教材、相关推荐书目及课程资源</w:t>
      </w:r>
      <w:bookmarkEnd w:id="108"/>
      <w:bookmarkEnd w:id="109"/>
      <w:bookmarkEnd w:id="110"/>
      <w:bookmarkEnd w:id="111"/>
      <w:bookmarkEnd w:id="112"/>
    </w:p>
    <w:p w14:paraId="43FF7FF6" w14:textId="77777777" w:rsidR="002E0E2F" w:rsidRPr="002E0E2F" w:rsidRDefault="002E0E2F" w:rsidP="002E0E2F">
      <w:pPr>
        <w:spacing w:line="440" w:lineRule="exact"/>
        <w:ind w:firstLineChars="200" w:firstLine="560"/>
        <w:outlineLvl w:val="1"/>
        <w:rPr>
          <w:rFonts w:ascii="宋体" w:eastAsia="宋体" w:hAnsi="宋体" w:cs="Times New Roman"/>
          <w:sz w:val="24"/>
        </w:rPr>
      </w:pPr>
      <w:r w:rsidRPr="002E0E2F">
        <w:rPr>
          <w:rFonts w:ascii="黑体" w:eastAsia="黑体" w:hAnsi="黑体" w:cs="Times New Roman" w:hint="eastAsia"/>
          <w:sz w:val="28"/>
          <w:szCs w:val="28"/>
        </w:rPr>
        <w:t>（一）使用教材</w:t>
      </w:r>
    </w:p>
    <w:p w14:paraId="3BDCE512" w14:textId="77777777" w:rsidR="002E0E2F" w:rsidRPr="002E0E2F" w:rsidRDefault="002E0E2F" w:rsidP="002E0E2F">
      <w:pPr>
        <w:spacing w:line="440" w:lineRule="exact"/>
        <w:ind w:firstLineChars="100" w:firstLine="240"/>
        <w:rPr>
          <w:rFonts w:ascii="宋体" w:eastAsia="宋体" w:hAnsi="宋体" w:cs="Times New Roman"/>
          <w:sz w:val="24"/>
        </w:rPr>
      </w:pPr>
      <w:proofErr w:type="gramStart"/>
      <w:r w:rsidRPr="002E0E2F">
        <w:rPr>
          <w:rFonts w:ascii="宋体" w:eastAsia="宋体" w:hAnsi="宋体" w:cs="Times New Roman" w:hint="eastAsia"/>
          <w:sz w:val="24"/>
        </w:rPr>
        <w:t>宋建卫等</w:t>
      </w:r>
      <w:proofErr w:type="gramEnd"/>
      <w:r w:rsidRPr="002E0E2F">
        <w:rPr>
          <w:rFonts w:ascii="宋体" w:eastAsia="宋体" w:hAnsi="宋体" w:cs="Times New Roman" w:hint="eastAsia"/>
          <w:sz w:val="24"/>
        </w:rPr>
        <w:t>主编：《大学生职业生涯规划与就业指导》北京理工大学出版社，2021年版；</w:t>
      </w:r>
    </w:p>
    <w:p w14:paraId="244CC22D" w14:textId="77777777" w:rsidR="002E0E2F" w:rsidRPr="002E0E2F" w:rsidRDefault="002E0E2F" w:rsidP="002E0E2F">
      <w:pPr>
        <w:spacing w:line="440" w:lineRule="exact"/>
        <w:ind w:firstLineChars="100" w:firstLine="240"/>
        <w:rPr>
          <w:rFonts w:ascii="宋体" w:eastAsia="宋体" w:hAnsi="宋体" w:cs="Times New Roman"/>
          <w:color w:val="FF0000"/>
          <w:sz w:val="24"/>
        </w:rPr>
      </w:pPr>
      <w:proofErr w:type="gramStart"/>
      <w:r w:rsidRPr="002E0E2F">
        <w:rPr>
          <w:rFonts w:ascii="宋体" w:eastAsia="宋体" w:hAnsi="宋体" w:cs="Times New Roman" w:hint="eastAsia"/>
          <w:sz w:val="24"/>
        </w:rPr>
        <w:t>宋建卫等</w:t>
      </w:r>
      <w:proofErr w:type="gramEnd"/>
      <w:r w:rsidRPr="002E0E2F">
        <w:rPr>
          <w:rFonts w:ascii="宋体" w:eastAsia="宋体" w:hAnsi="宋体" w:cs="Times New Roman" w:hint="eastAsia"/>
          <w:sz w:val="24"/>
        </w:rPr>
        <w:t>主编：《大学生创新与创业教育》北京理工大学出版社，2021年版。</w:t>
      </w:r>
      <w:r w:rsidRPr="002E0E2F">
        <w:rPr>
          <w:rFonts w:ascii="宋体" w:eastAsia="宋体" w:hAnsi="宋体" w:cs="Times New Roman"/>
          <w:color w:val="FF0000"/>
          <w:sz w:val="24"/>
        </w:rPr>
        <w:t xml:space="preserve"> </w:t>
      </w:r>
    </w:p>
    <w:p w14:paraId="2FC1FBA2" w14:textId="77777777" w:rsidR="002E0E2F" w:rsidRPr="002E0E2F" w:rsidRDefault="002E0E2F" w:rsidP="002E0E2F">
      <w:pPr>
        <w:spacing w:line="440" w:lineRule="exact"/>
        <w:ind w:firstLineChars="200" w:firstLine="560"/>
        <w:outlineLvl w:val="1"/>
        <w:rPr>
          <w:rFonts w:ascii="宋体" w:eastAsia="宋体" w:hAnsi="宋体" w:cs="Times New Roman"/>
          <w:sz w:val="24"/>
        </w:rPr>
      </w:pPr>
      <w:r w:rsidRPr="002E0E2F">
        <w:rPr>
          <w:rFonts w:ascii="黑体" w:eastAsia="黑体" w:hAnsi="黑体" w:cs="Times New Roman" w:hint="eastAsia"/>
          <w:sz w:val="28"/>
          <w:szCs w:val="28"/>
        </w:rPr>
        <w:t>（二）相关推荐书目</w:t>
      </w:r>
    </w:p>
    <w:p w14:paraId="3FDF5409" w14:textId="77777777" w:rsidR="002E0E2F" w:rsidRPr="002E0E2F" w:rsidRDefault="002E0E2F" w:rsidP="002E0E2F">
      <w:pPr>
        <w:spacing w:line="440" w:lineRule="exact"/>
        <w:ind w:firstLineChars="200" w:firstLine="480"/>
        <w:jc w:val="left"/>
        <w:rPr>
          <w:rFonts w:ascii="宋体" w:eastAsia="宋体" w:hAnsi="宋体" w:cs="Times New Roman"/>
          <w:sz w:val="24"/>
        </w:rPr>
      </w:pPr>
      <w:r w:rsidRPr="002E0E2F">
        <w:rPr>
          <w:rFonts w:ascii="宋体" w:eastAsia="宋体" w:hAnsi="宋体" w:cs="Times New Roman" w:hint="eastAsia"/>
          <w:sz w:val="24"/>
        </w:rPr>
        <w:lastRenderedPageBreak/>
        <w:t>1. 赵军合主编：《大学生职业生涯规划与就业创业指导》河北人民出版社，2016年版</w:t>
      </w:r>
    </w:p>
    <w:p w14:paraId="75A7C378" w14:textId="77777777" w:rsidR="002E0E2F" w:rsidRPr="002E0E2F" w:rsidRDefault="002E0E2F" w:rsidP="002E0E2F">
      <w:pPr>
        <w:spacing w:line="440" w:lineRule="exact"/>
        <w:ind w:firstLineChars="200" w:firstLine="480"/>
        <w:jc w:val="left"/>
        <w:rPr>
          <w:rFonts w:ascii="宋体" w:eastAsia="宋体" w:hAnsi="宋体" w:cs="Times New Roman"/>
          <w:sz w:val="24"/>
        </w:rPr>
      </w:pPr>
      <w:r w:rsidRPr="002E0E2F">
        <w:rPr>
          <w:rFonts w:ascii="宋体" w:eastAsia="宋体" w:hAnsi="宋体" w:cs="Times New Roman" w:hint="eastAsia"/>
          <w:sz w:val="24"/>
        </w:rPr>
        <w:t>2. 张海燕主编：《大学生职业发展与就业指导》，河北人民出版社，2008版；</w:t>
      </w:r>
    </w:p>
    <w:p w14:paraId="4002C981" w14:textId="77777777" w:rsidR="002E0E2F" w:rsidRPr="002E0E2F" w:rsidRDefault="002E0E2F" w:rsidP="002E0E2F">
      <w:pPr>
        <w:spacing w:line="440" w:lineRule="exact"/>
        <w:ind w:firstLineChars="200" w:firstLine="480"/>
        <w:jc w:val="left"/>
        <w:rPr>
          <w:rFonts w:ascii="宋体" w:eastAsia="宋体" w:hAnsi="宋体" w:cs="Times New Roman"/>
          <w:sz w:val="24"/>
        </w:rPr>
      </w:pPr>
      <w:r w:rsidRPr="002E0E2F">
        <w:rPr>
          <w:rFonts w:ascii="宋体" w:eastAsia="宋体" w:hAnsi="宋体" w:cs="Times New Roman" w:hint="eastAsia"/>
          <w:sz w:val="24"/>
        </w:rPr>
        <w:t xml:space="preserve">3. </w:t>
      </w:r>
      <w:proofErr w:type="gramStart"/>
      <w:r w:rsidRPr="002E0E2F">
        <w:rPr>
          <w:rFonts w:ascii="宋体" w:eastAsia="宋体" w:hAnsi="宋体" w:cs="Times New Roman" w:hint="eastAsia"/>
          <w:sz w:val="24"/>
        </w:rPr>
        <w:t>姬振旗</w:t>
      </w:r>
      <w:proofErr w:type="gramEnd"/>
      <w:r w:rsidRPr="002E0E2F">
        <w:rPr>
          <w:rFonts w:ascii="宋体" w:eastAsia="宋体" w:hAnsi="宋体" w:cs="Times New Roman" w:hint="eastAsia"/>
          <w:sz w:val="24"/>
        </w:rPr>
        <w:t>、周锋主编：《职业生涯发展》，高等教育出版社，2011版；</w:t>
      </w:r>
    </w:p>
    <w:p w14:paraId="45F93DE4" w14:textId="77777777" w:rsidR="002E0E2F" w:rsidRPr="002E0E2F" w:rsidRDefault="002E0E2F" w:rsidP="002E0E2F">
      <w:pPr>
        <w:spacing w:line="440" w:lineRule="exact"/>
        <w:ind w:firstLineChars="200" w:firstLine="480"/>
        <w:jc w:val="left"/>
        <w:rPr>
          <w:rFonts w:ascii="宋体" w:eastAsia="宋体" w:hAnsi="宋体" w:cs="Times New Roman"/>
          <w:sz w:val="24"/>
        </w:rPr>
      </w:pPr>
      <w:r w:rsidRPr="002E0E2F">
        <w:rPr>
          <w:rFonts w:ascii="宋体" w:eastAsia="宋体" w:hAnsi="宋体" w:cs="Times New Roman" w:hint="eastAsia"/>
          <w:sz w:val="24"/>
        </w:rPr>
        <w:t xml:space="preserve">4. </w:t>
      </w:r>
      <w:proofErr w:type="gramStart"/>
      <w:r w:rsidRPr="002E0E2F">
        <w:rPr>
          <w:rFonts w:ascii="宋体" w:eastAsia="宋体" w:hAnsi="宋体" w:cs="Times New Roman" w:hint="eastAsia"/>
          <w:sz w:val="24"/>
        </w:rPr>
        <w:t>姬振旗</w:t>
      </w:r>
      <w:proofErr w:type="gramEnd"/>
      <w:r w:rsidRPr="002E0E2F">
        <w:rPr>
          <w:rFonts w:ascii="宋体" w:eastAsia="宋体" w:hAnsi="宋体" w:cs="Times New Roman" w:hint="eastAsia"/>
          <w:sz w:val="24"/>
        </w:rPr>
        <w:t>、周锋主编：《求职择业指导》，高等教育出版社，2011年版；</w:t>
      </w:r>
    </w:p>
    <w:p w14:paraId="05C8407A" w14:textId="77777777" w:rsidR="002E0E2F" w:rsidRPr="002E0E2F" w:rsidRDefault="002E0E2F" w:rsidP="002E0E2F">
      <w:pPr>
        <w:spacing w:line="440" w:lineRule="exact"/>
        <w:ind w:firstLineChars="200" w:firstLine="480"/>
        <w:jc w:val="left"/>
        <w:rPr>
          <w:rFonts w:ascii="宋体" w:eastAsia="宋体" w:hAnsi="宋体" w:cs="Times New Roman"/>
          <w:sz w:val="24"/>
        </w:rPr>
      </w:pPr>
      <w:r w:rsidRPr="002E0E2F">
        <w:rPr>
          <w:rFonts w:ascii="宋体" w:eastAsia="宋体" w:hAnsi="宋体" w:cs="Times New Roman" w:hint="eastAsia"/>
          <w:sz w:val="24"/>
        </w:rPr>
        <w:t xml:space="preserve">5. 丁木金主编：《新编大学生职业生涯规划》，南开大学出版社，2018年版； </w:t>
      </w:r>
    </w:p>
    <w:p w14:paraId="6E5E4A54" w14:textId="77777777" w:rsidR="002E0E2F" w:rsidRPr="002E0E2F" w:rsidRDefault="002E0E2F" w:rsidP="002E0E2F">
      <w:pPr>
        <w:spacing w:line="440" w:lineRule="exact"/>
        <w:ind w:firstLineChars="200" w:firstLine="480"/>
        <w:rPr>
          <w:rFonts w:ascii="Calibri" w:eastAsia="宋体" w:hAnsi="Calibri" w:cs="Times New Roman"/>
          <w:sz w:val="24"/>
        </w:rPr>
      </w:pPr>
      <w:r w:rsidRPr="002E0E2F">
        <w:rPr>
          <w:rFonts w:ascii="宋体" w:eastAsia="宋体" w:hAnsi="宋体" w:cs="Times New Roman" w:hint="eastAsia"/>
          <w:sz w:val="24"/>
        </w:rPr>
        <w:t>6. 丁木金主编：《新编大学生就业与创业指导》，上海交通大学出版社，2018版。</w:t>
      </w:r>
    </w:p>
    <w:p w14:paraId="325679B1" w14:textId="77777777" w:rsidR="002E0E2F" w:rsidRPr="002E0E2F" w:rsidRDefault="002E0E2F" w:rsidP="002E0E2F">
      <w:pPr>
        <w:spacing w:beforeLines="50" w:before="156" w:afterLines="50" w:after="156" w:line="440" w:lineRule="exact"/>
        <w:ind w:firstLineChars="200" w:firstLine="560"/>
        <w:outlineLvl w:val="1"/>
        <w:rPr>
          <w:rFonts w:ascii="黑体" w:eastAsia="黑体" w:hAnsi="黑体" w:cs="Times New Roman"/>
          <w:sz w:val="28"/>
          <w:szCs w:val="28"/>
        </w:rPr>
      </w:pPr>
      <w:r w:rsidRPr="002E0E2F">
        <w:rPr>
          <w:rFonts w:ascii="黑体" w:eastAsia="黑体" w:hAnsi="黑体" w:cs="Times New Roman" w:hint="eastAsia"/>
          <w:sz w:val="28"/>
          <w:szCs w:val="28"/>
        </w:rPr>
        <w:t>（三）课程资源</w:t>
      </w:r>
    </w:p>
    <w:p w14:paraId="3A875AD6" w14:textId="77777777" w:rsidR="002E0E2F" w:rsidRPr="002E0E2F" w:rsidRDefault="002E0E2F" w:rsidP="002E0E2F">
      <w:pPr>
        <w:spacing w:line="440" w:lineRule="exact"/>
        <w:ind w:firstLineChars="200" w:firstLine="480"/>
        <w:rPr>
          <w:rFonts w:ascii="宋体" w:eastAsia="宋体" w:hAnsi="宋体" w:cs="Times New Roman"/>
          <w:sz w:val="24"/>
        </w:rPr>
      </w:pPr>
      <w:r w:rsidRPr="002E0E2F">
        <w:rPr>
          <w:rFonts w:ascii="宋体" w:eastAsia="宋体" w:hAnsi="宋体" w:cs="Times New Roman" w:hint="eastAsia"/>
          <w:sz w:val="24"/>
        </w:rPr>
        <w:t>1.本课程网络学习资源，可以通过《学习通》软件，搜索《大学生职业生涯规划与就业指导》和《大学生创新创业教育》，学生可以自主搜索和学习。</w:t>
      </w:r>
    </w:p>
    <w:p w14:paraId="75B48DEB" w14:textId="77777777" w:rsidR="002E0E2F" w:rsidRPr="002E0E2F" w:rsidRDefault="002E0E2F" w:rsidP="00C63ECC">
      <w:pPr>
        <w:pStyle w:val="afc"/>
      </w:pPr>
      <w:bookmarkStart w:id="113" w:name="_Toc17541"/>
      <w:bookmarkStart w:id="114" w:name="_Toc11291"/>
      <w:bookmarkStart w:id="115" w:name="_Toc18714"/>
      <w:bookmarkStart w:id="116" w:name="_Toc21276"/>
      <w:bookmarkStart w:id="117" w:name="_Toc30317"/>
      <w:r w:rsidRPr="002E0E2F">
        <w:rPr>
          <w:rFonts w:hint="eastAsia"/>
        </w:rPr>
        <w:t>七、课程大纲制定依据</w:t>
      </w:r>
      <w:bookmarkEnd w:id="113"/>
      <w:bookmarkEnd w:id="114"/>
      <w:bookmarkEnd w:id="115"/>
      <w:bookmarkEnd w:id="116"/>
      <w:bookmarkEnd w:id="117"/>
    </w:p>
    <w:p w14:paraId="2AB569D5" w14:textId="42EE8477" w:rsidR="002E0E2F" w:rsidRPr="002E0E2F" w:rsidRDefault="002E0E2F" w:rsidP="002E0E2F">
      <w:pPr>
        <w:spacing w:line="440" w:lineRule="exact"/>
        <w:ind w:firstLineChars="200" w:firstLine="480"/>
        <w:rPr>
          <w:rFonts w:ascii="宋体" w:eastAsia="宋体" w:hAnsi="宋体" w:cs="Times New Roman"/>
          <w:sz w:val="24"/>
        </w:rPr>
        <w:sectPr w:rsidR="002E0E2F" w:rsidRPr="002E0E2F">
          <w:footerReference w:type="default" r:id="rId20"/>
          <w:pgSz w:w="11907" w:h="16840"/>
          <w:pgMar w:top="1418" w:right="1418" w:bottom="1418" w:left="1418" w:header="851" w:footer="992" w:gutter="284"/>
          <w:cols w:space="720"/>
          <w:docGrid w:type="lines" w:linePitch="312"/>
        </w:sectPr>
      </w:pPr>
      <w:r w:rsidRPr="002E0E2F">
        <w:rPr>
          <w:rFonts w:ascii="宋体" w:eastAsia="宋体" w:hAnsi="宋体" w:cs="Times New Roman" w:hint="eastAsia"/>
          <w:sz w:val="24"/>
        </w:rPr>
        <w:t>本课程大纲依据2023年</w:t>
      </w:r>
      <w:r w:rsidR="00093144">
        <w:rPr>
          <w:rFonts w:ascii="宋体" w:eastAsia="宋体" w:hAnsi="宋体" w:cs="Times New Roman" w:hint="eastAsia"/>
          <w:sz w:val="24"/>
        </w:rPr>
        <w:t>药物分析</w:t>
      </w:r>
      <w:r w:rsidRPr="002E0E2F">
        <w:rPr>
          <w:rFonts w:ascii="宋体" w:eastAsia="宋体" w:hAnsi="宋体" w:cs="Times New Roman" w:hint="eastAsia"/>
          <w:sz w:val="24"/>
        </w:rPr>
        <w:t>专业类人才培养方案制定。</w:t>
      </w:r>
    </w:p>
    <w:p w14:paraId="0CA9D4CB" w14:textId="77777777" w:rsidR="00C62405" w:rsidRPr="00C62405" w:rsidRDefault="00C62405" w:rsidP="00C62405">
      <w:pPr>
        <w:keepNext/>
        <w:keepLines/>
        <w:spacing w:before="340" w:after="330" w:line="576" w:lineRule="auto"/>
        <w:jc w:val="center"/>
        <w:outlineLvl w:val="0"/>
        <w:rPr>
          <w:rFonts w:ascii="Calibri" w:eastAsia="黑体" w:hAnsi="Calibri" w:cs="Times New Roman"/>
          <w:b/>
          <w:kern w:val="44"/>
          <w:sz w:val="36"/>
        </w:rPr>
      </w:pPr>
      <w:bookmarkStart w:id="118" w:name="_Toc9843"/>
      <w:bookmarkStart w:id="119" w:name="_Toc149662351"/>
      <w:r w:rsidRPr="00C62405">
        <w:rPr>
          <w:rFonts w:ascii="Calibri" w:eastAsia="黑体" w:hAnsi="Calibri" w:cs="Times New Roman" w:hint="eastAsia"/>
          <w:b/>
          <w:kern w:val="44"/>
          <w:sz w:val="36"/>
        </w:rPr>
        <w:lastRenderedPageBreak/>
        <w:t>《大学生心理健康教育》课程大纲</w:t>
      </w:r>
      <w:bookmarkEnd w:id="118"/>
      <w:bookmarkEnd w:id="119"/>
    </w:p>
    <w:p w14:paraId="6A551D00" w14:textId="77777777" w:rsidR="00C62405" w:rsidRPr="00C62405" w:rsidRDefault="00C62405" w:rsidP="00C63ECC">
      <w:pPr>
        <w:pStyle w:val="afc"/>
      </w:pPr>
      <w:bookmarkStart w:id="120" w:name="_Toc19036"/>
      <w:bookmarkStart w:id="121" w:name="_Toc21089"/>
      <w:bookmarkStart w:id="122" w:name="_Toc31277"/>
      <w:bookmarkStart w:id="123" w:name="_Toc22223"/>
      <w:r w:rsidRPr="00C62405">
        <w:rPr>
          <w:rFonts w:hint="eastAsia"/>
        </w:rPr>
        <w:t>一、课程基本信息</w:t>
      </w:r>
      <w:bookmarkEnd w:id="120"/>
      <w:bookmarkEnd w:id="121"/>
      <w:bookmarkEnd w:id="122"/>
      <w:bookmarkEnd w:id="123"/>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3"/>
        <w:gridCol w:w="2763"/>
        <w:gridCol w:w="1520"/>
        <w:gridCol w:w="2871"/>
      </w:tblGrid>
      <w:tr w:rsidR="00C62405" w:rsidRPr="00C62405" w14:paraId="44A1BB8A" w14:textId="77777777" w:rsidTr="00423AD2">
        <w:trPr>
          <w:trHeight w:val="886"/>
          <w:jc w:val="center"/>
        </w:trPr>
        <w:tc>
          <w:tcPr>
            <w:tcW w:w="1668" w:type="dxa"/>
            <w:vAlign w:val="center"/>
          </w:tcPr>
          <w:p w14:paraId="5E467E1D"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课程名称</w:t>
            </w:r>
          </w:p>
        </w:tc>
        <w:tc>
          <w:tcPr>
            <w:tcW w:w="2833" w:type="dxa"/>
            <w:vAlign w:val="center"/>
          </w:tcPr>
          <w:p w14:paraId="5160F4B4"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大学生心理健康教育</w:t>
            </w:r>
          </w:p>
        </w:tc>
        <w:tc>
          <w:tcPr>
            <w:tcW w:w="1561" w:type="dxa"/>
            <w:vAlign w:val="center"/>
          </w:tcPr>
          <w:p w14:paraId="0F9872E3"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课程代码</w:t>
            </w:r>
          </w:p>
        </w:tc>
        <w:tc>
          <w:tcPr>
            <w:tcW w:w="2941" w:type="dxa"/>
            <w:vAlign w:val="center"/>
          </w:tcPr>
          <w:p w14:paraId="667C2B9B"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1211001</w:t>
            </w:r>
          </w:p>
        </w:tc>
      </w:tr>
      <w:tr w:rsidR="00C62405" w:rsidRPr="00C62405" w14:paraId="74FE7841" w14:textId="77777777" w:rsidTr="00423AD2">
        <w:trPr>
          <w:trHeight w:val="829"/>
          <w:jc w:val="center"/>
        </w:trPr>
        <w:tc>
          <w:tcPr>
            <w:tcW w:w="1668" w:type="dxa"/>
            <w:vAlign w:val="center"/>
          </w:tcPr>
          <w:p w14:paraId="0BA47BFF"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课程类别</w:t>
            </w:r>
          </w:p>
        </w:tc>
        <w:tc>
          <w:tcPr>
            <w:tcW w:w="2833" w:type="dxa"/>
            <w:vAlign w:val="center"/>
          </w:tcPr>
          <w:p w14:paraId="40359777"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通识教育课程</w:t>
            </w:r>
          </w:p>
        </w:tc>
        <w:tc>
          <w:tcPr>
            <w:tcW w:w="1561" w:type="dxa"/>
            <w:vAlign w:val="center"/>
          </w:tcPr>
          <w:p w14:paraId="6300820D"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学时</w:t>
            </w:r>
          </w:p>
          <w:p w14:paraId="258A140D"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/学分</w:t>
            </w:r>
          </w:p>
        </w:tc>
        <w:tc>
          <w:tcPr>
            <w:tcW w:w="2941" w:type="dxa"/>
            <w:vAlign w:val="center"/>
          </w:tcPr>
          <w:p w14:paraId="3D2FFCB5"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32/2</w:t>
            </w:r>
          </w:p>
        </w:tc>
      </w:tr>
      <w:tr w:rsidR="00C62405" w:rsidRPr="00C62405" w14:paraId="254EBD61" w14:textId="77777777" w:rsidTr="00423AD2">
        <w:trPr>
          <w:trHeight w:val="811"/>
          <w:jc w:val="center"/>
        </w:trPr>
        <w:tc>
          <w:tcPr>
            <w:tcW w:w="1668" w:type="dxa"/>
            <w:vAlign w:val="center"/>
          </w:tcPr>
          <w:p w14:paraId="615840E9"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开课单位</w:t>
            </w:r>
          </w:p>
        </w:tc>
        <w:tc>
          <w:tcPr>
            <w:tcW w:w="2833" w:type="dxa"/>
            <w:vAlign w:val="center"/>
          </w:tcPr>
          <w:p w14:paraId="11BF08AF"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学生工作部（处）</w:t>
            </w:r>
          </w:p>
        </w:tc>
        <w:tc>
          <w:tcPr>
            <w:tcW w:w="1561" w:type="dxa"/>
            <w:vAlign w:val="center"/>
          </w:tcPr>
          <w:p w14:paraId="68BCD379"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适用专业</w:t>
            </w:r>
          </w:p>
        </w:tc>
        <w:tc>
          <w:tcPr>
            <w:tcW w:w="2941" w:type="dxa"/>
            <w:vAlign w:val="center"/>
          </w:tcPr>
          <w:p w14:paraId="2F09C81D"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其他专业类</w:t>
            </w:r>
          </w:p>
        </w:tc>
      </w:tr>
      <w:tr w:rsidR="00C62405" w:rsidRPr="00C62405" w14:paraId="2C154102" w14:textId="77777777" w:rsidTr="00423AD2">
        <w:trPr>
          <w:trHeight w:val="811"/>
          <w:jc w:val="center"/>
        </w:trPr>
        <w:tc>
          <w:tcPr>
            <w:tcW w:w="1668" w:type="dxa"/>
            <w:vAlign w:val="center"/>
          </w:tcPr>
          <w:p w14:paraId="58C3F898"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课程负责人</w:t>
            </w:r>
          </w:p>
        </w:tc>
        <w:tc>
          <w:tcPr>
            <w:tcW w:w="7335" w:type="dxa"/>
            <w:gridSpan w:val="3"/>
            <w:vAlign w:val="center"/>
          </w:tcPr>
          <w:p w14:paraId="7124CE8F"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王震</w:t>
            </w:r>
          </w:p>
        </w:tc>
      </w:tr>
      <w:tr w:rsidR="00C62405" w:rsidRPr="00C62405" w14:paraId="2A748E69" w14:textId="77777777" w:rsidTr="00423AD2">
        <w:trPr>
          <w:trHeight w:val="836"/>
          <w:jc w:val="center"/>
        </w:trPr>
        <w:tc>
          <w:tcPr>
            <w:tcW w:w="1668" w:type="dxa"/>
            <w:vAlign w:val="center"/>
          </w:tcPr>
          <w:p w14:paraId="466BA359"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大纲撰写人</w:t>
            </w:r>
          </w:p>
        </w:tc>
        <w:tc>
          <w:tcPr>
            <w:tcW w:w="2833" w:type="dxa"/>
            <w:vAlign w:val="center"/>
          </w:tcPr>
          <w:p w14:paraId="2A665AF6"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陈慧洁、封晓伟</w:t>
            </w:r>
          </w:p>
        </w:tc>
        <w:tc>
          <w:tcPr>
            <w:tcW w:w="1561" w:type="dxa"/>
            <w:vAlign w:val="center"/>
          </w:tcPr>
          <w:p w14:paraId="33BC49BD"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大纲审核人</w:t>
            </w:r>
          </w:p>
        </w:tc>
        <w:tc>
          <w:tcPr>
            <w:tcW w:w="2941" w:type="dxa"/>
            <w:vAlign w:val="center"/>
          </w:tcPr>
          <w:p w14:paraId="59659E3E"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贾立敏</w:t>
            </w:r>
          </w:p>
        </w:tc>
      </w:tr>
      <w:tr w:rsidR="00C62405" w:rsidRPr="00C62405" w14:paraId="4F4C825E" w14:textId="77777777" w:rsidTr="00423AD2">
        <w:trPr>
          <w:trHeight w:val="848"/>
          <w:jc w:val="center"/>
        </w:trPr>
        <w:tc>
          <w:tcPr>
            <w:tcW w:w="1668" w:type="dxa"/>
            <w:vAlign w:val="center"/>
          </w:tcPr>
          <w:p w14:paraId="54881C79"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先修课程</w:t>
            </w:r>
          </w:p>
        </w:tc>
        <w:tc>
          <w:tcPr>
            <w:tcW w:w="7335" w:type="dxa"/>
            <w:gridSpan w:val="3"/>
            <w:vAlign w:val="center"/>
          </w:tcPr>
          <w:p w14:paraId="04B92EFE" w14:textId="77777777" w:rsidR="00C62405" w:rsidRPr="00C62405" w:rsidRDefault="00C62405" w:rsidP="00C62405">
            <w:pPr>
              <w:spacing w:line="440" w:lineRule="exact"/>
              <w:jc w:val="center"/>
              <w:rPr>
                <w:rFonts w:ascii="宋体" w:eastAsia="宋体" w:hAnsi="宋体" w:cs="Times New Roman"/>
                <w:sz w:val="24"/>
              </w:rPr>
            </w:pPr>
          </w:p>
        </w:tc>
      </w:tr>
      <w:tr w:rsidR="00C62405" w:rsidRPr="00C62405" w14:paraId="7651A3AA" w14:textId="77777777" w:rsidTr="00423AD2">
        <w:trPr>
          <w:trHeight w:val="848"/>
          <w:jc w:val="center"/>
        </w:trPr>
        <w:tc>
          <w:tcPr>
            <w:tcW w:w="1668" w:type="dxa"/>
            <w:vAlign w:val="center"/>
          </w:tcPr>
          <w:p w14:paraId="45321D8D"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课程网址</w:t>
            </w:r>
          </w:p>
        </w:tc>
        <w:tc>
          <w:tcPr>
            <w:tcW w:w="7335" w:type="dxa"/>
            <w:gridSpan w:val="3"/>
            <w:vAlign w:val="center"/>
          </w:tcPr>
          <w:p w14:paraId="2EA4760D" w14:textId="77777777" w:rsidR="00C62405" w:rsidRPr="00C62405" w:rsidRDefault="00C62405" w:rsidP="00C62405">
            <w:pPr>
              <w:spacing w:line="440" w:lineRule="exact"/>
              <w:rPr>
                <w:rFonts w:ascii="宋体" w:eastAsia="宋体" w:hAnsi="宋体" w:cs="Times New Roman"/>
                <w:color w:val="FF0000"/>
                <w:sz w:val="24"/>
              </w:rPr>
            </w:pPr>
          </w:p>
        </w:tc>
      </w:tr>
    </w:tbl>
    <w:p w14:paraId="3500B3E2" w14:textId="77777777" w:rsidR="00C62405" w:rsidRPr="00C62405" w:rsidRDefault="00C62405" w:rsidP="00C63ECC">
      <w:pPr>
        <w:pStyle w:val="afc"/>
      </w:pPr>
      <w:bookmarkStart w:id="124" w:name="_Toc11639"/>
      <w:bookmarkStart w:id="125" w:name="_Toc30835"/>
      <w:bookmarkStart w:id="126" w:name="_Toc3427"/>
      <w:bookmarkStart w:id="127" w:name="_Toc24575"/>
      <w:r w:rsidRPr="00C62405">
        <w:rPr>
          <w:rFonts w:hint="eastAsia"/>
        </w:rPr>
        <w:t>二、课程学习目标及与毕业要求的对应关系</w:t>
      </w:r>
      <w:bookmarkEnd w:id="124"/>
      <w:bookmarkEnd w:id="125"/>
      <w:bookmarkEnd w:id="126"/>
      <w:bookmarkEnd w:id="127"/>
    </w:p>
    <w:p w14:paraId="7701BA24" w14:textId="77777777" w:rsidR="00C62405" w:rsidRPr="00C62405" w:rsidRDefault="00C62405" w:rsidP="00C62405">
      <w:pPr>
        <w:spacing w:beforeLines="50" w:before="156" w:afterLines="50" w:after="156" w:line="440" w:lineRule="exact"/>
        <w:ind w:firstLineChars="200" w:firstLine="560"/>
        <w:outlineLvl w:val="1"/>
        <w:rPr>
          <w:rFonts w:ascii="黑体" w:eastAsia="黑体" w:hAnsi="黑体" w:cs="Times New Roman"/>
          <w:sz w:val="28"/>
          <w:szCs w:val="28"/>
        </w:rPr>
      </w:pPr>
      <w:r w:rsidRPr="00C62405">
        <w:rPr>
          <w:rFonts w:ascii="黑体" w:eastAsia="黑体" w:hAnsi="黑体" w:cs="Times New Roman" w:hint="eastAsia"/>
          <w:sz w:val="28"/>
          <w:szCs w:val="28"/>
        </w:rPr>
        <w:t>（一）课程学习目标</w:t>
      </w:r>
    </w:p>
    <w:p w14:paraId="184EFD81"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通过</w:t>
      </w:r>
      <w:r w:rsidRPr="00C62405">
        <w:rPr>
          <w:rFonts w:ascii="宋体" w:eastAsia="宋体" w:hAnsi="宋体" w:cs="Times New Roman"/>
          <w:sz w:val="24"/>
        </w:rPr>
        <w:t>本课程的学习，</w:t>
      </w:r>
      <w:r w:rsidRPr="00C62405">
        <w:rPr>
          <w:rFonts w:ascii="宋体" w:eastAsia="宋体" w:hAnsi="宋体" w:cs="Times New Roman" w:hint="eastAsia"/>
          <w:sz w:val="24"/>
        </w:rPr>
        <w:t>使学生达到以下</w:t>
      </w:r>
      <w:r w:rsidRPr="00C62405">
        <w:rPr>
          <w:rFonts w:ascii="宋体" w:eastAsia="宋体" w:hAnsi="宋体" w:cs="Times New Roman"/>
          <w:sz w:val="24"/>
        </w:rPr>
        <w:t>目标：</w:t>
      </w:r>
    </w:p>
    <w:p w14:paraId="295FEC3F" w14:textId="77777777" w:rsidR="00C62405" w:rsidRPr="00C62405" w:rsidRDefault="00C62405" w:rsidP="00747ECA">
      <w:pPr>
        <w:numPr>
          <w:ilvl w:val="0"/>
          <w:numId w:val="50"/>
        </w:num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理解大学生心理健康的有关理论，包括对心理健康的标准、情绪调节等基本理论的理解与应用、对科学本质的理解及科学教育理论的应用。</w:t>
      </w:r>
    </w:p>
    <w:p w14:paraId="5FF6F112" w14:textId="77777777" w:rsidR="00C62405" w:rsidRPr="00C62405" w:rsidRDefault="00C62405" w:rsidP="00747ECA">
      <w:pPr>
        <w:numPr>
          <w:ilvl w:val="0"/>
          <w:numId w:val="50"/>
        </w:num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初步具备识别心理健康与否和积极介入调适的能力，即能依据国家心理健康标准的有关要求，运用所学心理学科及相关学科知识，在实际教学过程中渗透心理学知识、发现异常心理问题的学生、维护好学生心理健康。</w:t>
      </w:r>
    </w:p>
    <w:p w14:paraId="1F8B249F"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3. 具备沟通交流能力与团队合作精神，能够养成认真、求实、勤奋良好科研精神与学风。</w:t>
      </w:r>
    </w:p>
    <w:p w14:paraId="38089C83" w14:textId="77777777" w:rsidR="00C62405" w:rsidRPr="00C62405" w:rsidRDefault="00C62405" w:rsidP="00C62405">
      <w:pPr>
        <w:spacing w:beforeLines="50" w:before="156" w:afterLines="50" w:after="156" w:line="440" w:lineRule="exact"/>
        <w:ind w:firstLineChars="200" w:firstLine="560"/>
        <w:outlineLvl w:val="1"/>
        <w:rPr>
          <w:rFonts w:ascii="黑体" w:eastAsia="黑体" w:hAnsi="黑体" w:cs="Times New Roman"/>
          <w:sz w:val="28"/>
          <w:szCs w:val="28"/>
        </w:rPr>
      </w:pPr>
      <w:r w:rsidRPr="00C62405">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25"/>
        <w:gridCol w:w="4785"/>
        <w:gridCol w:w="1959"/>
      </w:tblGrid>
      <w:tr w:rsidR="00C62405" w:rsidRPr="00C62405" w14:paraId="049EE3C7" w14:textId="77777777" w:rsidTr="00423AD2">
        <w:trPr>
          <w:trHeight w:val="815"/>
          <w:jc w:val="center"/>
        </w:trPr>
        <w:tc>
          <w:tcPr>
            <w:tcW w:w="2425" w:type="dxa"/>
            <w:vAlign w:val="center"/>
          </w:tcPr>
          <w:p w14:paraId="3D6922A2" w14:textId="77777777" w:rsidR="00C62405" w:rsidRPr="00C62405" w:rsidRDefault="00C62405" w:rsidP="00C62405">
            <w:pPr>
              <w:spacing w:line="440" w:lineRule="exact"/>
              <w:jc w:val="center"/>
              <w:rPr>
                <w:rFonts w:ascii="宋体" w:eastAsia="宋体" w:hAnsi="宋体" w:cs="Times New Roman"/>
                <w:b/>
                <w:sz w:val="24"/>
              </w:rPr>
            </w:pPr>
            <w:r w:rsidRPr="00C62405">
              <w:rPr>
                <w:rFonts w:ascii="宋体" w:eastAsia="宋体" w:hAnsi="宋体" w:cs="Times New Roman" w:hint="eastAsia"/>
                <w:b/>
                <w:sz w:val="24"/>
              </w:rPr>
              <w:lastRenderedPageBreak/>
              <w:t>毕业要求</w:t>
            </w:r>
          </w:p>
        </w:tc>
        <w:tc>
          <w:tcPr>
            <w:tcW w:w="4785" w:type="dxa"/>
            <w:vAlign w:val="center"/>
          </w:tcPr>
          <w:p w14:paraId="056280EA" w14:textId="77777777" w:rsidR="00C62405" w:rsidRPr="00C62405" w:rsidRDefault="00C62405" w:rsidP="00C62405">
            <w:pPr>
              <w:spacing w:line="440" w:lineRule="exact"/>
              <w:jc w:val="center"/>
              <w:rPr>
                <w:rFonts w:ascii="宋体" w:eastAsia="宋体" w:hAnsi="宋体" w:cs="Times New Roman"/>
                <w:b/>
                <w:sz w:val="24"/>
              </w:rPr>
            </w:pPr>
            <w:r w:rsidRPr="00C62405">
              <w:rPr>
                <w:rFonts w:ascii="宋体" w:eastAsia="宋体" w:hAnsi="宋体" w:cs="Times New Roman" w:hint="eastAsia"/>
                <w:b/>
                <w:sz w:val="24"/>
              </w:rPr>
              <w:t>毕业要求指标点</w:t>
            </w:r>
          </w:p>
        </w:tc>
        <w:tc>
          <w:tcPr>
            <w:tcW w:w="1959" w:type="dxa"/>
            <w:vAlign w:val="center"/>
          </w:tcPr>
          <w:p w14:paraId="2EF83F3D" w14:textId="77777777" w:rsidR="00C62405" w:rsidRPr="00C62405" w:rsidRDefault="00C62405" w:rsidP="00C62405">
            <w:pPr>
              <w:spacing w:line="440" w:lineRule="exact"/>
              <w:jc w:val="center"/>
              <w:rPr>
                <w:rFonts w:ascii="宋体" w:eastAsia="宋体" w:hAnsi="宋体" w:cs="Times New Roman"/>
                <w:b/>
                <w:sz w:val="24"/>
              </w:rPr>
            </w:pPr>
            <w:r w:rsidRPr="00C62405">
              <w:rPr>
                <w:rFonts w:ascii="宋体" w:eastAsia="宋体" w:hAnsi="宋体" w:cs="Times New Roman" w:hint="eastAsia"/>
                <w:b/>
                <w:sz w:val="24"/>
              </w:rPr>
              <w:t>课程目标</w:t>
            </w:r>
          </w:p>
        </w:tc>
      </w:tr>
      <w:tr w:rsidR="00C62405" w:rsidRPr="00C62405" w14:paraId="67D02059" w14:textId="77777777" w:rsidTr="00423AD2">
        <w:trPr>
          <w:jc w:val="center"/>
        </w:trPr>
        <w:tc>
          <w:tcPr>
            <w:tcW w:w="2425" w:type="dxa"/>
            <w:vAlign w:val="center"/>
          </w:tcPr>
          <w:p w14:paraId="5E94E9E3" w14:textId="77777777" w:rsidR="00C62405" w:rsidRPr="00C62405" w:rsidRDefault="00C62405" w:rsidP="00C62405">
            <w:pPr>
              <w:spacing w:line="440" w:lineRule="exact"/>
              <w:ind w:firstLineChars="100" w:firstLine="240"/>
              <w:rPr>
                <w:rFonts w:ascii="宋体" w:eastAsia="宋体" w:hAnsi="宋体" w:cs="Times New Roman"/>
                <w:color w:val="000000"/>
                <w:sz w:val="24"/>
              </w:rPr>
            </w:pPr>
          </w:p>
        </w:tc>
        <w:tc>
          <w:tcPr>
            <w:tcW w:w="4785" w:type="dxa"/>
            <w:vAlign w:val="center"/>
          </w:tcPr>
          <w:p w14:paraId="11DD83D5" w14:textId="77777777" w:rsidR="00C62405" w:rsidRPr="00C62405" w:rsidRDefault="00C62405" w:rsidP="00C62405">
            <w:pPr>
              <w:spacing w:line="440" w:lineRule="exact"/>
              <w:jc w:val="center"/>
              <w:rPr>
                <w:rFonts w:ascii="宋体" w:eastAsia="宋体" w:hAnsi="宋体" w:cs="Times New Roman"/>
                <w:color w:val="000000"/>
                <w:sz w:val="24"/>
              </w:rPr>
            </w:pPr>
          </w:p>
        </w:tc>
        <w:tc>
          <w:tcPr>
            <w:tcW w:w="1959" w:type="dxa"/>
            <w:vAlign w:val="center"/>
          </w:tcPr>
          <w:p w14:paraId="7A173819" w14:textId="77777777" w:rsidR="00C62405" w:rsidRPr="00C62405" w:rsidRDefault="00C62405" w:rsidP="00C62405">
            <w:pPr>
              <w:spacing w:line="440" w:lineRule="exact"/>
              <w:ind w:firstLineChars="100" w:firstLine="240"/>
              <w:jc w:val="left"/>
              <w:rPr>
                <w:rFonts w:ascii="宋体" w:eastAsia="宋体" w:hAnsi="宋体" w:cs="Times New Roman"/>
                <w:sz w:val="24"/>
              </w:rPr>
            </w:pPr>
          </w:p>
        </w:tc>
      </w:tr>
      <w:tr w:rsidR="00C62405" w:rsidRPr="00C62405" w14:paraId="223B7BF2" w14:textId="77777777" w:rsidTr="00423AD2">
        <w:trPr>
          <w:jc w:val="center"/>
        </w:trPr>
        <w:tc>
          <w:tcPr>
            <w:tcW w:w="2425" w:type="dxa"/>
            <w:vAlign w:val="center"/>
          </w:tcPr>
          <w:p w14:paraId="3675ED8B" w14:textId="77777777" w:rsidR="00C62405" w:rsidRPr="00C62405" w:rsidRDefault="00C62405" w:rsidP="00C62405">
            <w:pPr>
              <w:spacing w:line="440" w:lineRule="exact"/>
              <w:jc w:val="center"/>
              <w:rPr>
                <w:rFonts w:ascii="宋体" w:eastAsia="宋体" w:hAnsi="宋体" w:cs="Times New Roman"/>
                <w:color w:val="000000"/>
                <w:sz w:val="24"/>
              </w:rPr>
            </w:pPr>
          </w:p>
        </w:tc>
        <w:tc>
          <w:tcPr>
            <w:tcW w:w="4785" w:type="dxa"/>
            <w:vAlign w:val="center"/>
          </w:tcPr>
          <w:p w14:paraId="6526C6F5" w14:textId="77777777" w:rsidR="00C62405" w:rsidRPr="00C62405" w:rsidRDefault="00C62405" w:rsidP="00C62405">
            <w:pPr>
              <w:spacing w:line="440" w:lineRule="exact"/>
              <w:jc w:val="center"/>
              <w:rPr>
                <w:rFonts w:ascii="宋体" w:eastAsia="宋体" w:hAnsi="宋体" w:cs="Times New Roman"/>
                <w:color w:val="000000"/>
                <w:sz w:val="24"/>
              </w:rPr>
            </w:pPr>
          </w:p>
        </w:tc>
        <w:tc>
          <w:tcPr>
            <w:tcW w:w="1959" w:type="dxa"/>
            <w:vAlign w:val="center"/>
          </w:tcPr>
          <w:p w14:paraId="1BABA090" w14:textId="77777777" w:rsidR="00C62405" w:rsidRPr="00C62405" w:rsidRDefault="00C62405" w:rsidP="00C62405">
            <w:pPr>
              <w:spacing w:line="440" w:lineRule="exact"/>
              <w:ind w:firstLineChars="100" w:firstLine="240"/>
              <w:jc w:val="left"/>
              <w:rPr>
                <w:rFonts w:ascii="宋体" w:eastAsia="宋体" w:hAnsi="宋体" w:cs="Times New Roman"/>
                <w:sz w:val="24"/>
              </w:rPr>
            </w:pPr>
          </w:p>
        </w:tc>
      </w:tr>
      <w:tr w:rsidR="00C62405" w:rsidRPr="00C62405" w14:paraId="3ED89EDF" w14:textId="77777777" w:rsidTr="00423AD2">
        <w:trPr>
          <w:jc w:val="center"/>
        </w:trPr>
        <w:tc>
          <w:tcPr>
            <w:tcW w:w="2425" w:type="dxa"/>
            <w:vAlign w:val="center"/>
          </w:tcPr>
          <w:p w14:paraId="5F0EBF44" w14:textId="77777777" w:rsidR="00C62405" w:rsidRPr="00C62405" w:rsidRDefault="00C62405" w:rsidP="00C62405">
            <w:pPr>
              <w:spacing w:line="440" w:lineRule="exact"/>
              <w:jc w:val="center"/>
              <w:rPr>
                <w:rFonts w:ascii="宋体" w:eastAsia="宋体" w:hAnsi="宋体" w:cs="Times New Roman"/>
                <w:color w:val="000000"/>
                <w:sz w:val="24"/>
              </w:rPr>
            </w:pPr>
          </w:p>
        </w:tc>
        <w:tc>
          <w:tcPr>
            <w:tcW w:w="4785" w:type="dxa"/>
            <w:vAlign w:val="center"/>
          </w:tcPr>
          <w:p w14:paraId="53CC7110" w14:textId="77777777" w:rsidR="00C62405" w:rsidRPr="00C62405" w:rsidRDefault="00C62405" w:rsidP="00C62405">
            <w:pPr>
              <w:spacing w:line="440" w:lineRule="exact"/>
              <w:jc w:val="center"/>
              <w:rPr>
                <w:rFonts w:ascii="宋体" w:eastAsia="宋体" w:hAnsi="宋体" w:cs="Times New Roman"/>
                <w:color w:val="000000"/>
                <w:sz w:val="24"/>
              </w:rPr>
            </w:pPr>
          </w:p>
        </w:tc>
        <w:tc>
          <w:tcPr>
            <w:tcW w:w="1959" w:type="dxa"/>
            <w:vAlign w:val="center"/>
          </w:tcPr>
          <w:p w14:paraId="651A5916" w14:textId="77777777" w:rsidR="00C62405" w:rsidRPr="00C62405" w:rsidRDefault="00C62405" w:rsidP="00C62405">
            <w:pPr>
              <w:spacing w:line="440" w:lineRule="exact"/>
              <w:ind w:firstLineChars="100" w:firstLine="240"/>
              <w:jc w:val="left"/>
              <w:rPr>
                <w:rFonts w:ascii="宋体" w:eastAsia="宋体" w:hAnsi="宋体" w:cs="Times New Roman"/>
                <w:sz w:val="24"/>
              </w:rPr>
            </w:pPr>
          </w:p>
        </w:tc>
      </w:tr>
    </w:tbl>
    <w:p w14:paraId="1753B0D9" w14:textId="77777777" w:rsidR="00C62405" w:rsidRPr="00C62405" w:rsidRDefault="00C62405" w:rsidP="00C63ECC">
      <w:pPr>
        <w:pStyle w:val="afc"/>
      </w:pPr>
      <w:bookmarkStart w:id="128" w:name="_Toc14304"/>
      <w:bookmarkStart w:id="129" w:name="_Toc20405"/>
      <w:bookmarkStart w:id="130" w:name="_Toc30073"/>
      <w:bookmarkStart w:id="131" w:name="_Toc20369"/>
      <w:r w:rsidRPr="00C62405">
        <w:rPr>
          <w:rFonts w:hint="eastAsia"/>
        </w:rPr>
        <w:t>三、课程学习内容及与课程学习目标的对应关系</w:t>
      </w:r>
      <w:bookmarkEnd w:id="128"/>
      <w:bookmarkEnd w:id="129"/>
      <w:bookmarkEnd w:id="130"/>
      <w:bookmarkEnd w:id="131"/>
    </w:p>
    <w:p w14:paraId="00B43486" w14:textId="77777777" w:rsidR="00C62405" w:rsidRPr="00C62405" w:rsidRDefault="00C62405" w:rsidP="00C62405">
      <w:pPr>
        <w:spacing w:beforeLines="50" w:before="156" w:afterLines="50" w:after="156" w:line="440" w:lineRule="exact"/>
        <w:ind w:firstLineChars="200" w:firstLine="562"/>
        <w:outlineLvl w:val="1"/>
        <w:rPr>
          <w:rFonts w:ascii="黑体" w:eastAsia="黑体" w:hAnsi="黑体" w:cs="Times New Roman"/>
          <w:b/>
          <w:sz w:val="28"/>
          <w:szCs w:val="28"/>
        </w:rPr>
      </w:pPr>
      <w:r w:rsidRPr="00C62405">
        <w:rPr>
          <w:rFonts w:ascii="黑体" w:eastAsia="黑体" w:hAnsi="黑体" w:cs="Times New Roman" w:hint="eastAsia"/>
          <w:b/>
          <w:sz w:val="28"/>
          <w:szCs w:val="28"/>
        </w:rPr>
        <w:t>（一）课程学习内容</w:t>
      </w:r>
    </w:p>
    <w:p w14:paraId="1C4FBB4B" w14:textId="77777777" w:rsidR="00C62405" w:rsidRPr="00C62405" w:rsidRDefault="00C62405" w:rsidP="00C62405">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C62405">
        <w:rPr>
          <w:rFonts w:ascii="黑体" w:eastAsia="黑体" w:hAnsi="黑体" w:cs="Times New Roman" w:hint="eastAsia"/>
          <w:sz w:val="28"/>
          <w:szCs w:val="28"/>
        </w:rPr>
        <w:t>第一章   大学生心理健康导论</w:t>
      </w:r>
    </w:p>
    <w:p w14:paraId="39D0F215"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【学习目标】</w:t>
      </w:r>
    </w:p>
    <w:p w14:paraId="1FE3D9B3"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认知类目标：了解《大学生心理健康教育》课程的内容/性质和要求；</w:t>
      </w:r>
    </w:p>
    <w:p w14:paraId="03235D88"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 过程与方法类目标：掌握维护心理健康的途径；能够通过图书馆或网络检索查询心理健康的期刊；</w:t>
      </w:r>
    </w:p>
    <w:p w14:paraId="7EC7D20A"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【学习内容】</w:t>
      </w:r>
    </w:p>
    <w:p w14:paraId="52D1CD35" w14:textId="77777777" w:rsidR="00C62405" w:rsidRPr="00C62405" w:rsidRDefault="00C62405" w:rsidP="00747ECA">
      <w:pPr>
        <w:numPr>
          <w:ilvl w:val="0"/>
          <w:numId w:val="51"/>
        </w:num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心理健康的概念</w:t>
      </w:r>
    </w:p>
    <w:p w14:paraId="55BA59AC" w14:textId="77777777" w:rsidR="00C62405" w:rsidRPr="00C62405" w:rsidRDefault="00C62405" w:rsidP="00747ECA">
      <w:pPr>
        <w:numPr>
          <w:ilvl w:val="0"/>
          <w:numId w:val="51"/>
        </w:num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认识心理活动的特点和实质</w:t>
      </w:r>
    </w:p>
    <w:p w14:paraId="690EF924" w14:textId="77777777" w:rsidR="00C62405" w:rsidRPr="00C62405" w:rsidRDefault="00C62405" w:rsidP="00747ECA">
      <w:pPr>
        <w:numPr>
          <w:ilvl w:val="0"/>
          <w:numId w:val="51"/>
        </w:num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掌握大学生心理健康的标准</w:t>
      </w:r>
    </w:p>
    <w:p w14:paraId="7E78DC3A" w14:textId="77777777" w:rsidR="00C62405" w:rsidRPr="00C62405" w:rsidRDefault="00C62405" w:rsidP="00747ECA">
      <w:pPr>
        <w:numPr>
          <w:ilvl w:val="0"/>
          <w:numId w:val="51"/>
        </w:num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了解影响大学生心理健康的主要因素</w:t>
      </w:r>
    </w:p>
    <w:p w14:paraId="7DA58A76"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【重点】</w:t>
      </w:r>
    </w:p>
    <w:p w14:paraId="52BDD890"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color w:val="000000"/>
          <w:kern w:val="0"/>
          <w:sz w:val="24"/>
        </w:rPr>
        <w:t>了解大学生</w:t>
      </w:r>
      <w:r w:rsidRPr="00C62405">
        <w:rPr>
          <w:rFonts w:ascii="宋体" w:eastAsia="宋体" w:hAnsi="宋体" w:cs="宋体"/>
          <w:sz w:val="24"/>
          <w:szCs w:val="24"/>
        </w:rPr>
        <w:t>心理健康的概念和大学生心理健康的标准</w:t>
      </w:r>
    </w:p>
    <w:p w14:paraId="5829E45A" w14:textId="77777777" w:rsidR="00C62405" w:rsidRPr="00C62405" w:rsidRDefault="00C62405" w:rsidP="00C62405">
      <w:pPr>
        <w:spacing w:line="440" w:lineRule="exact"/>
        <w:ind w:firstLineChars="200" w:firstLine="480"/>
        <w:rPr>
          <w:rFonts w:ascii="宋体" w:eastAsia="宋体" w:hAnsi="宋体" w:cs="Times New Roman"/>
          <w:b/>
          <w:sz w:val="24"/>
        </w:rPr>
      </w:pPr>
      <w:r w:rsidRPr="00C62405">
        <w:rPr>
          <w:rFonts w:ascii="宋体" w:eastAsia="宋体" w:hAnsi="宋体" w:cs="Times New Roman" w:hint="eastAsia"/>
          <w:sz w:val="24"/>
        </w:rPr>
        <w:t>2</w:t>
      </w:r>
      <w:r w:rsidRPr="00C62405">
        <w:rPr>
          <w:rFonts w:ascii="宋体" w:eastAsia="宋体" w:hAnsi="宋体" w:cs="Times New Roman"/>
          <w:sz w:val="24"/>
        </w:rPr>
        <w:t xml:space="preserve">. </w:t>
      </w:r>
      <w:r w:rsidRPr="00C62405">
        <w:rPr>
          <w:rFonts w:ascii="宋体" w:eastAsia="宋体" w:hAnsi="宋体" w:cs="Times New Roman" w:hint="eastAsia"/>
          <w:sz w:val="24"/>
        </w:rPr>
        <w:t>树立科学思辨的思维，能够对心理学科进行正确的认识</w:t>
      </w:r>
    </w:p>
    <w:p w14:paraId="5A2A3AF1"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【难点】</w:t>
      </w:r>
    </w:p>
    <w:p w14:paraId="21241F1F" w14:textId="77777777" w:rsidR="00C62405" w:rsidRPr="00C62405" w:rsidRDefault="00C62405" w:rsidP="00C62405">
      <w:pPr>
        <w:spacing w:line="440" w:lineRule="exact"/>
        <w:ind w:firstLineChars="200" w:firstLine="480"/>
        <w:rPr>
          <w:rFonts w:ascii="宋体" w:eastAsia="宋体" w:hAnsi="宋体" w:cs="Times New Roman"/>
          <w:b/>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楷体_GB2312" w:hint="eastAsia"/>
          <w:color w:val="000000"/>
          <w:kern w:val="0"/>
          <w:sz w:val="24"/>
        </w:rPr>
        <w:t>大学生心理</w:t>
      </w:r>
      <w:r w:rsidRPr="00C62405">
        <w:rPr>
          <w:rFonts w:ascii="宋体" w:eastAsia="宋体" w:hAnsi="宋体" w:cs="宋体"/>
          <w:sz w:val="24"/>
          <w:szCs w:val="24"/>
        </w:rPr>
        <w:t>心理活动的特点</w:t>
      </w:r>
      <w:r w:rsidRPr="00C62405">
        <w:rPr>
          <w:rFonts w:ascii="宋体" w:eastAsia="宋体" w:hAnsi="宋体" w:cs="宋体" w:hint="eastAsia"/>
          <w:sz w:val="24"/>
          <w:szCs w:val="24"/>
        </w:rPr>
        <w:t>，</w:t>
      </w:r>
    </w:p>
    <w:p w14:paraId="01CAAD80"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w:t>
      </w:r>
      <w:r w:rsidRPr="00C62405">
        <w:rPr>
          <w:rFonts w:ascii="宋体" w:eastAsia="宋体" w:hAnsi="宋体" w:cs="Times New Roman"/>
          <w:sz w:val="24"/>
        </w:rPr>
        <w:t xml:space="preserve">. </w:t>
      </w:r>
      <w:r w:rsidRPr="00C62405">
        <w:rPr>
          <w:rFonts w:ascii="宋体" w:eastAsia="宋体" w:hAnsi="宋体" w:cs="宋体" w:hint="eastAsia"/>
          <w:sz w:val="24"/>
          <w:szCs w:val="24"/>
        </w:rPr>
        <w:t>影响心理健康的因素</w:t>
      </w:r>
    </w:p>
    <w:p w14:paraId="576EB4AE" w14:textId="77777777" w:rsidR="00C62405" w:rsidRPr="00C62405" w:rsidRDefault="00C62405" w:rsidP="00C62405">
      <w:pPr>
        <w:spacing w:line="440" w:lineRule="exact"/>
        <w:ind w:firstLineChars="200" w:firstLine="482"/>
        <w:rPr>
          <w:rFonts w:ascii="宋体" w:eastAsia="宋体" w:hAnsi="宋体" w:cs="Times New Roman"/>
          <w:color w:val="FF0000"/>
          <w:sz w:val="24"/>
        </w:rPr>
      </w:pPr>
      <w:r w:rsidRPr="00C62405">
        <w:rPr>
          <w:rFonts w:ascii="宋体" w:eastAsia="宋体" w:hAnsi="宋体" w:cs="Times New Roman" w:hint="eastAsia"/>
          <w:b/>
          <w:bCs/>
          <w:sz w:val="24"/>
        </w:rPr>
        <w:t>【教学方法】</w:t>
      </w:r>
    </w:p>
    <w:p w14:paraId="4D16655B" w14:textId="77777777" w:rsidR="00C62405" w:rsidRPr="00C62405" w:rsidRDefault="00C62405" w:rsidP="00747ECA">
      <w:pPr>
        <w:numPr>
          <w:ilvl w:val="0"/>
          <w:numId w:val="52"/>
        </w:num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通过多媒体课件和传统教学相结合，阐明课程与教学基本原理，丰富学生课程与教学的基本知识结构，培养学生的职业规范；</w:t>
      </w:r>
    </w:p>
    <w:p w14:paraId="6F3B4559" w14:textId="77777777" w:rsidR="00C62405" w:rsidRPr="00C62405" w:rsidRDefault="00C62405" w:rsidP="00747ECA">
      <w:pPr>
        <w:numPr>
          <w:ilvl w:val="0"/>
          <w:numId w:val="52"/>
        </w:num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通过课堂汇报和课堂辩论，强化知识应用意识，发展学生的教学能力和反思能力；</w:t>
      </w:r>
    </w:p>
    <w:p w14:paraId="4FE059BF" w14:textId="77777777" w:rsidR="00C62405" w:rsidRPr="00C62405" w:rsidRDefault="00C62405" w:rsidP="00C62405">
      <w:pPr>
        <w:spacing w:line="440" w:lineRule="exact"/>
        <w:ind w:firstLineChars="200" w:firstLine="482"/>
        <w:rPr>
          <w:rFonts w:ascii="宋体" w:eastAsia="宋体" w:hAnsi="宋体" w:cs="Times New Roman"/>
          <w:bCs/>
          <w:color w:val="FF0000"/>
          <w:sz w:val="24"/>
        </w:rPr>
      </w:pPr>
      <w:r w:rsidRPr="00C62405">
        <w:rPr>
          <w:rFonts w:ascii="宋体" w:eastAsia="宋体" w:hAnsi="宋体" w:cs="Times New Roman" w:hint="eastAsia"/>
          <w:b/>
          <w:sz w:val="24"/>
        </w:rPr>
        <w:t>【复习思考】</w:t>
      </w:r>
    </w:p>
    <w:p w14:paraId="6CDFDC4F"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什么是心理健康</w:t>
      </w:r>
    </w:p>
    <w:p w14:paraId="6313C06D"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lastRenderedPageBreak/>
        <w:t>2</w:t>
      </w:r>
      <w:r w:rsidRPr="00C62405">
        <w:rPr>
          <w:rFonts w:ascii="宋体" w:eastAsia="宋体" w:hAnsi="宋体" w:cs="Times New Roman"/>
          <w:sz w:val="24"/>
        </w:rPr>
        <w:t xml:space="preserve">. </w:t>
      </w:r>
      <w:r w:rsidRPr="00C62405">
        <w:rPr>
          <w:rFonts w:ascii="宋体" w:eastAsia="宋体" w:hAnsi="宋体" w:cs="Times New Roman" w:hint="eastAsia"/>
          <w:sz w:val="24"/>
        </w:rPr>
        <w:t>大学生心理活动的特点和实质</w:t>
      </w:r>
    </w:p>
    <w:p w14:paraId="07CA0E03"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3</w:t>
      </w:r>
      <w:r w:rsidRPr="00C62405">
        <w:rPr>
          <w:rFonts w:ascii="宋体" w:eastAsia="宋体" w:hAnsi="宋体" w:cs="Times New Roman"/>
          <w:sz w:val="24"/>
        </w:rPr>
        <w:t xml:space="preserve">. </w:t>
      </w:r>
      <w:r w:rsidRPr="00C62405">
        <w:rPr>
          <w:rFonts w:ascii="宋体" w:eastAsia="宋体" w:hAnsi="宋体" w:cs="Times New Roman" w:hint="eastAsia"/>
          <w:sz w:val="24"/>
        </w:rPr>
        <w:t>影响大学生心理健康的主要因素</w:t>
      </w:r>
    </w:p>
    <w:p w14:paraId="6D883898" w14:textId="77777777" w:rsidR="00C62405" w:rsidRPr="00C62405" w:rsidRDefault="00C62405" w:rsidP="00C62405">
      <w:pPr>
        <w:spacing w:line="440" w:lineRule="exact"/>
        <w:ind w:firstLineChars="200" w:firstLine="482"/>
        <w:rPr>
          <w:rFonts w:ascii="宋体" w:eastAsia="宋体" w:hAnsi="宋体" w:cs="Times New Roman"/>
          <w:color w:val="FF0000"/>
          <w:sz w:val="24"/>
        </w:rPr>
      </w:pPr>
      <w:r w:rsidRPr="00C62405">
        <w:rPr>
          <w:rFonts w:ascii="宋体" w:eastAsia="宋体" w:hAnsi="宋体" w:cs="Times New Roman" w:hint="eastAsia"/>
          <w:b/>
          <w:bCs/>
          <w:sz w:val="24"/>
        </w:rPr>
        <w:t>【教学方法】</w:t>
      </w:r>
    </w:p>
    <w:p w14:paraId="1DEFFF34" w14:textId="77777777" w:rsidR="00C62405" w:rsidRPr="00C62405" w:rsidRDefault="00C62405" w:rsidP="00747ECA">
      <w:pPr>
        <w:numPr>
          <w:ilvl w:val="0"/>
          <w:numId w:val="52"/>
        </w:num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通过多媒体课件和传统教学相结合，阐明课程与教学基本原理，丰富学生课程与教学的基本知识结构，培养学生的职业规范；</w:t>
      </w:r>
    </w:p>
    <w:p w14:paraId="1B1E3B98" w14:textId="77777777" w:rsidR="00C62405" w:rsidRPr="00C62405" w:rsidRDefault="00C62405" w:rsidP="00747ECA">
      <w:pPr>
        <w:numPr>
          <w:ilvl w:val="0"/>
          <w:numId w:val="52"/>
        </w:num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通过课堂汇报和课堂辩论，强化知识应用意识，发展学生的教学能力和反思能力；</w:t>
      </w:r>
    </w:p>
    <w:p w14:paraId="71E0F78E" w14:textId="77777777" w:rsidR="00C62405" w:rsidRPr="00C62405" w:rsidRDefault="00C62405" w:rsidP="00C62405">
      <w:pPr>
        <w:spacing w:line="440" w:lineRule="exact"/>
        <w:ind w:firstLineChars="200" w:firstLine="482"/>
        <w:rPr>
          <w:rFonts w:ascii="宋体" w:eastAsia="宋体" w:hAnsi="宋体" w:cs="Times New Roman"/>
          <w:bCs/>
          <w:color w:val="FF0000"/>
          <w:sz w:val="24"/>
        </w:rPr>
      </w:pPr>
      <w:r w:rsidRPr="00C62405">
        <w:rPr>
          <w:rFonts w:ascii="宋体" w:eastAsia="宋体" w:hAnsi="宋体" w:cs="Times New Roman" w:hint="eastAsia"/>
          <w:b/>
          <w:sz w:val="24"/>
        </w:rPr>
        <w:t>【复习思考】</w:t>
      </w:r>
    </w:p>
    <w:p w14:paraId="5E85EB69"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什么是心理健康</w:t>
      </w:r>
    </w:p>
    <w:p w14:paraId="52A4F97A"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w:t>
      </w:r>
      <w:r w:rsidRPr="00C62405">
        <w:rPr>
          <w:rFonts w:ascii="宋体" w:eastAsia="宋体" w:hAnsi="宋体" w:cs="Times New Roman"/>
          <w:sz w:val="24"/>
        </w:rPr>
        <w:t xml:space="preserve">. </w:t>
      </w:r>
      <w:r w:rsidRPr="00C62405">
        <w:rPr>
          <w:rFonts w:ascii="宋体" w:eastAsia="宋体" w:hAnsi="宋体" w:cs="Times New Roman" w:hint="eastAsia"/>
          <w:sz w:val="24"/>
        </w:rPr>
        <w:t>大学生心理活动的特点和实质</w:t>
      </w:r>
    </w:p>
    <w:p w14:paraId="1E03B176"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3</w:t>
      </w:r>
      <w:r w:rsidRPr="00C62405">
        <w:rPr>
          <w:rFonts w:ascii="宋体" w:eastAsia="宋体" w:hAnsi="宋体" w:cs="Times New Roman"/>
          <w:sz w:val="24"/>
        </w:rPr>
        <w:t xml:space="preserve">. </w:t>
      </w:r>
      <w:r w:rsidRPr="00C62405">
        <w:rPr>
          <w:rFonts w:ascii="宋体" w:eastAsia="宋体" w:hAnsi="宋体" w:cs="Times New Roman" w:hint="eastAsia"/>
          <w:sz w:val="24"/>
        </w:rPr>
        <w:t>影响大学生心理健康的主要因素</w:t>
      </w:r>
    </w:p>
    <w:p w14:paraId="0EBBC42D" w14:textId="77777777" w:rsidR="00C62405" w:rsidRPr="00C62405" w:rsidRDefault="00C62405" w:rsidP="00C62405">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C62405">
        <w:rPr>
          <w:rFonts w:ascii="黑体" w:eastAsia="黑体" w:hAnsi="黑体" w:cs="Times New Roman" w:hint="eastAsia"/>
          <w:sz w:val="28"/>
          <w:szCs w:val="28"/>
        </w:rPr>
        <w:t>第二章  大学生心理咨询</w:t>
      </w:r>
    </w:p>
    <w:p w14:paraId="5461B0B0"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【学习目标】</w:t>
      </w:r>
    </w:p>
    <w:p w14:paraId="42C42E92"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认知类目标：通过教学使学生了解心理咨询的基本概念和功能、心理咨询的内容和类型，建立正确的心理咨询观念以及自助求助的意识。</w:t>
      </w:r>
    </w:p>
    <w:p w14:paraId="7B3B80AF"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【学习内容】</w:t>
      </w:r>
    </w:p>
    <w:p w14:paraId="34C4BE20"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bCs/>
          <w:sz w:val="24"/>
        </w:rPr>
        <w:t>1.</w:t>
      </w:r>
      <w:r w:rsidRPr="00C62405">
        <w:rPr>
          <w:rFonts w:ascii="宋体" w:eastAsia="宋体" w:hAnsi="宋体" w:cs="Times New Roman" w:hint="eastAsia"/>
          <w:sz w:val="24"/>
        </w:rPr>
        <w:t>心理咨询的概述</w:t>
      </w:r>
    </w:p>
    <w:p w14:paraId="7ABE9189"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2.心理咨询的功能</w:t>
      </w:r>
    </w:p>
    <w:p w14:paraId="7BE232A5"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3.大学生心理咨询的内容和类型</w:t>
      </w:r>
    </w:p>
    <w:p w14:paraId="2FBDEA24"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4.大学生心理问题的种类</w:t>
      </w:r>
    </w:p>
    <w:p w14:paraId="23CC26D8"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5.大学生的求助心理</w:t>
      </w:r>
    </w:p>
    <w:p w14:paraId="69FAF60C"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【重点】</w:t>
      </w:r>
    </w:p>
    <w:p w14:paraId="5BBE126F" w14:textId="77777777" w:rsidR="00C62405" w:rsidRPr="00C62405" w:rsidRDefault="00C62405" w:rsidP="00747ECA">
      <w:pPr>
        <w:numPr>
          <w:ilvl w:val="0"/>
          <w:numId w:val="53"/>
        </w:numPr>
        <w:spacing w:line="440" w:lineRule="exact"/>
        <w:ind w:firstLineChars="200" w:firstLine="480"/>
        <w:rPr>
          <w:rFonts w:ascii="宋体" w:eastAsia="宋体" w:hAnsi="宋体" w:cs="Times New Roman"/>
          <w:color w:val="000000"/>
          <w:kern w:val="0"/>
          <w:sz w:val="24"/>
        </w:rPr>
      </w:pPr>
      <w:r w:rsidRPr="00C62405">
        <w:rPr>
          <w:rFonts w:ascii="宋体" w:eastAsia="宋体" w:hAnsi="宋体" w:cs="Times New Roman" w:hint="eastAsia"/>
          <w:color w:val="000000"/>
          <w:kern w:val="0"/>
          <w:sz w:val="24"/>
        </w:rPr>
        <w:t>心理咨询的过程和意义</w:t>
      </w:r>
    </w:p>
    <w:p w14:paraId="25D611A1" w14:textId="77777777" w:rsidR="00C62405" w:rsidRPr="00C62405" w:rsidRDefault="00C62405" w:rsidP="00747ECA">
      <w:pPr>
        <w:numPr>
          <w:ilvl w:val="0"/>
          <w:numId w:val="53"/>
        </w:numPr>
        <w:spacing w:line="440" w:lineRule="exact"/>
        <w:ind w:firstLineChars="200" w:firstLine="480"/>
        <w:rPr>
          <w:rFonts w:ascii="宋体" w:eastAsia="宋体" w:hAnsi="宋体" w:cs="Times New Roman"/>
          <w:color w:val="000000"/>
          <w:kern w:val="0"/>
          <w:sz w:val="24"/>
        </w:rPr>
      </w:pPr>
      <w:r w:rsidRPr="00C62405">
        <w:rPr>
          <w:rFonts w:ascii="宋体" w:eastAsia="宋体" w:hAnsi="宋体" w:cs="Times New Roman" w:hint="eastAsia"/>
          <w:color w:val="000000"/>
          <w:kern w:val="0"/>
          <w:sz w:val="24"/>
        </w:rPr>
        <w:t>心理咨询的内容和类型</w:t>
      </w:r>
    </w:p>
    <w:p w14:paraId="206F1725"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【难点】</w:t>
      </w:r>
    </w:p>
    <w:p w14:paraId="60D7AF1F" w14:textId="77777777" w:rsidR="00C62405" w:rsidRPr="00C62405" w:rsidRDefault="00C62405" w:rsidP="00747ECA">
      <w:pPr>
        <w:numPr>
          <w:ilvl w:val="0"/>
          <w:numId w:val="54"/>
        </w:numPr>
        <w:spacing w:line="440" w:lineRule="exact"/>
        <w:ind w:firstLineChars="200" w:firstLine="480"/>
        <w:rPr>
          <w:rFonts w:ascii="宋体" w:eastAsia="宋体" w:hAnsi="宋体" w:cs="楷体_GB2312"/>
          <w:color w:val="000000"/>
          <w:kern w:val="0"/>
          <w:sz w:val="24"/>
        </w:rPr>
      </w:pPr>
      <w:r w:rsidRPr="00C62405">
        <w:rPr>
          <w:rFonts w:ascii="宋体" w:eastAsia="宋体" w:hAnsi="宋体" w:cs="楷体_GB2312" w:hint="eastAsia"/>
          <w:color w:val="000000"/>
          <w:kern w:val="0"/>
          <w:sz w:val="24"/>
        </w:rPr>
        <w:t>树立正确的心理咨询观念</w:t>
      </w:r>
    </w:p>
    <w:p w14:paraId="4D661971" w14:textId="77777777" w:rsidR="00C62405" w:rsidRPr="00C62405" w:rsidRDefault="00C62405" w:rsidP="00747ECA">
      <w:pPr>
        <w:numPr>
          <w:ilvl w:val="0"/>
          <w:numId w:val="54"/>
        </w:num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如何理解心理咨询的优缺点</w:t>
      </w:r>
    </w:p>
    <w:p w14:paraId="60EAF471" w14:textId="77777777" w:rsidR="00C62405" w:rsidRPr="00C62405" w:rsidRDefault="00C62405" w:rsidP="00C62405">
      <w:pPr>
        <w:spacing w:line="440" w:lineRule="exact"/>
        <w:ind w:firstLineChars="200" w:firstLine="482"/>
        <w:rPr>
          <w:rFonts w:ascii="宋体" w:eastAsia="宋体" w:hAnsi="宋体" w:cs="Times New Roman"/>
          <w:color w:val="FF0000"/>
          <w:sz w:val="24"/>
        </w:rPr>
      </w:pPr>
      <w:r w:rsidRPr="00C62405">
        <w:rPr>
          <w:rFonts w:ascii="宋体" w:eastAsia="宋体" w:hAnsi="宋体" w:cs="Times New Roman" w:hint="eastAsia"/>
          <w:b/>
          <w:bCs/>
          <w:sz w:val="24"/>
        </w:rPr>
        <w:t>【教学方法】</w:t>
      </w:r>
    </w:p>
    <w:p w14:paraId="30B07E93"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7DF499FA"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 通过案例分析，强调理论与实践相结合，促进学生知识整合，培养学生的反</w:t>
      </w:r>
      <w:r w:rsidRPr="00C62405">
        <w:rPr>
          <w:rFonts w:ascii="宋体" w:eastAsia="宋体" w:hAnsi="宋体" w:cs="Times New Roman" w:hint="eastAsia"/>
          <w:sz w:val="24"/>
        </w:rPr>
        <w:lastRenderedPageBreak/>
        <w:t>思能力；</w:t>
      </w:r>
    </w:p>
    <w:p w14:paraId="2BC3FE16" w14:textId="77777777" w:rsidR="00C62405" w:rsidRPr="00C62405" w:rsidRDefault="00C62405" w:rsidP="00C62405">
      <w:pPr>
        <w:spacing w:line="440" w:lineRule="exact"/>
        <w:ind w:firstLineChars="200" w:firstLine="482"/>
        <w:rPr>
          <w:rFonts w:ascii="宋体" w:eastAsia="宋体" w:hAnsi="宋体" w:cs="Times New Roman"/>
          <w:bCs/>
          <w:color w:val="FF0000"/>
          <w:sz w:val="24"/>
        </w:rPr>
      </w:pPr>
      <w:r w:rsidRPr="00C62405">
        <w:rPr>
          <w:rFonts w:ascii="宋体" w:eastAsia="宋体" w:hAnsi="宋体" w:cs="Times New Roman" w:hint="eastAsia"/>
          <w:b/>
          <w:sz w:val="24"/>
        </w:rPr>
        <w:t>【复习思考】</w:t>
      </w:r>
    </w:p>
    <w:p w14:paraId="18F76BFC"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心理咨询的功能是什么？</w:t>
      </w:r>
    </w:p>
    <w:p w14:paraId="66F65BCA"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2.心理咨询的内容有些什么？</w:t>
      </w:r>
    </w:p>
    <w:p w14:paraId="142C4BE5" w14:textId="77777777" w:rsidR="00C62405" w:rsidRPr="00C62405" w:rsidRDefault="00C62405" w:rsidP="00C62405">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C62405">
        <w:rPr>
          <w:rFonts w:ascii="黑体" w:eastAsia="黑体" w:hAnsi="黑体" w:cs="Times New Roman" w:hint="eastAsia"/>
          <w:sz w:val="28"/>
          <w:szCs w:val="28"/>
        </w:rPr>
        <w:t>第三章  大学生心理困惑及异常心理</w:t>
      </w:r>
    </w:p>
    <w:p w14:paraId="02685F2B"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【学习目标】</w:t>
      </w:r>
    </w:p>
    <w:p w14:paraId="7917B954"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认知类目标：通过教学使学生了解常见的大学生心理困惑及异常心理，了解心理疾病，懂得哪些状态可以通过自我调整或心理咨询进行解决，哪些心理疾病需要专业医疗机构诊治。</w:t>
      </w:r>
    </w:p>
    <w:p w14:paraId="1E2DBB03"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2.过程与方法类目标：能够大致识别心理困惑的类型和异常心理的表现。</w:t>
      </w:r>
    </w:p>
    <w:p w14:paraId="5B6C376F"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【学习内容】</w:t>
      </w:r>
    </w:p>
    <w:p w14:paraId="619772E4"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bCs/>
          <w:sz w:val="24"/>
        </w:rPr>
        <w:t>1.</w:t>
      </w:r>
      <w:r w:rsidRPr="00C62405">
        <w:rPr>
          <w:rFonts w:ascii="宋体" w:eastAsia="宋体" w:hAnsi="宋体" w:cs="Times New Roman" w:hint="eastAsia"/>
          <w:sz w:val="24"/>
        </w:rPr>
        <w:t>大学生常见的心理困惑及异常心理</w:t>
      </w:r>
    </w:p>
    <w:p w14:paraId="0A1F7F4E"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2.大学生常见的心理疾病及其应对</w:t>
      </w:r>
    </w:p>
    <w:p w14:paraId="75638B14"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【重点】</w:t>
      </w:r>
    </w:p>
    <w:p w14:paraId="06DB83DE" w14:textId="77777777" w:rsidR="00C62405" w:rsidRPr="00C62405" w:rsidRDefault="00C62405" w:rsidP="00C62405">
      <w:pPr>
        <w:spacing w:line="440" w:lineRule="exact"/>
        <w:ind w:firstLineChars="200" w:firstLine="480"/>
        <w:rPr>
          <w:rFonts w:ascii="宋体" w:eastAsia="宋体" w:hAnsi="宋体" w:cs="Times New Roman"/>
          <w:b/>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color w:val="000000"/>
          <w:kern w:val="0"/>
          <w:sz w:val="24"/>
        </w:rPr>
        <w:t>心理困惑和异常心理的识别</w:t>
      </w:r>
    </w:p>
    <w:p w14:paraId="2E5E8A08"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【难点】</w:t>
      </w:r>
    </w:p>
    <w:p w14:paraId="7BE21916" w14:textId="77777777" w:rsidR="00C62405" w:rsidRPr="00C62405" w:rsidRDefault="00C62405" w:rsidP="00C62405">
      <w:pPr>
        <w:spacing w:line="440" w:lineRule="exact"/>
        <w:ind w:firstLineChars="200" w:firstLine="480"/>
        <w:rPr>
          <w:rFonts w:ascii="宋体" w:eastAsia="宋体" w:hAnsi="宋体" w:cs="楷体_GB2312"/>
          <w:color w:val="000000"/>
          <w:kern w:val="0"/>
          <w:sz w:val="24"/>
        </w:rPr>
      </w:pPr>
      <w:r w:rsidRPr="00C62405">
        <w:rPr>
          <w:rFonts w:ascii="宋体" w:eastAsia="宋体" w:hAnsi="宋体" w:cs="楷体_GB2312" w:hint="eastAsia"/>
          <w:color w:val="000000"/>
          <w:kern w:val="0"/>
          <w:sz w:val="24"/>
        </w:rPr>
        <w:t>1.异常心理的接纳和帮助意识的建立</w:t>
      </w:r>
    </w:p>
    <w:p w14:paraId="2BE96C6F"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2.对自身心理健康的维护，避免异常心理的发展</w:t>
      </w:r>
    </w:p>
    <w:p w14:paraId="34F1B983" w14:textId="77777777" w:rsidR="00C62405" w:rsidRPr="00C62405" w:rsidRDefault="00C62405" w:rsidP="00C62405">
      <w:pPr>
        <w:spacing w:line="440" w:lineRule="exact"/>
        <w:ind w:firstLineChars="200" w:firstLine="482"/>
        <w:rPr>
          <w:rFonts w:ascii="宋体" w:eastAsia="宋体" w:hAnsi="宋体" w:cs="Times New Roman"/>
          <w:color w:val="FF0000"/>
          <w:sz w:val="24"/>
        </w:rPr>
      </w:pPr>
      <w:r w:rsidRPr="00C62405">
        <w:rPr>
          <w:rFonts w:ascii="宋体" w:eastAsia="宋体" w:hAnsi="宋体" w:cs="Times New Roman" w:hint="eastAsia"/>
          <w:b/>
          <w:bCs/>
          <w:sz w:val="24"/>
        </w:rPr>
        <w:t>【教学方法】</w:t>
      </w:r>
    </w:p>
    <w:p w14:paraId="3866B29A"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56DE99E2"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 通过案例分析，强调理论与实践相结合，促进学生知识整合，培养学生的反思能力；</w:t>
      </w:r>
    </w:p>
    <w:p w14:paraId="34C24812" w14:textId="77777777" w:rsidR="00C62405" w:rsidRPr="00C62405" w:rsidRDefault="00C62405" w:rsidP="00C62405">
      <w:pPr>
        <w:spacing w:line="440" w:lineRule="exact"/>
        <w:ind w:firstLineChars="200" w:firstLine="482"/>
        <w:rPr>
          <w:rFonts w:ascii="宋体" w:eastAsia="宋体" w:hAnsi="宋体" w:cs="Times New Roman"/>
          <w:bCs/>
          <w:color w:val="FF0000"/>
          <w:sz w:val="24"/>
        </w:rPr>
      </w:pPr>
      <w:r w:rsidRPr="00C62405">
        <w:rPr>
          <w:rFonts w:ascii="宋体" w:eastAsia="宋体" w:hAnsi="宋体" w:cs="Times New Roman" w:hint="eastAsia"/>
          <w:b/>
          <w:sz w:val="24"/>
        </w:rPr>
        <w:t>【复习思考】</w:t>
      </w:r>
    </w:p>
    <w:p w14:paraId="1C53B3A2"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大学生常见的心理困惑有哪些？</w:t>
      </w:r>
    </w:p>
    <w:p w14:paraId="521F0034"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2.心理问题及其鉴别方法是什么？</w:t>
      </w:r>
    </w:p>
    <w:p w14:paraId="0A57A722" w14:textId="77777777" w:rsidR="00C62405" w:rsidRPr="00C62405" w:rsidRDefault="00C62405" w:rsidP="00C62405">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C62405">
        <w:rPr>
          <w:rFonts w:ascii="黑体" w:eastAsia="黑体" w:hAnsi="黑体" w:cs="Times New Roman" w:hint="eastAsia"/>
          <w:sz w:val="28"/>
          <w:szCs w:val="28"/>
        </w:rPr>
        <w:t>第四章  大学生的自我意识与培养</w:t>
      </w:r>
    </w:p>
    <w:p w14:paraId="5FB36777"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【学习目标】</w:t>
      </w:r>
    </w:p>
    <w:p w14:paraId="00952F34"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认知类目标：通过教学使学生认识自我发展的重要性，了解并掌握自我意识发展的特点，能够识别在自我意识发展过程中出现的偏差及原因，并能够对其进行调</w:t>
      </w:r>
      <w:r w:rsidRPr="00C62405">
        <w:rPr>
          <w:rFonts w:ascii="宋体" w:eastAsia="宋体" w:hAnsi="宋体" w:cs="Times New Roman" w:hint="eastAsia"/>
          <w:sz w:val="24"/>
        </w:rPr>
        <w:lastRenderedPageBreak/>
        <w:t>适，建立自尊自信的自我意识。</w:t>
      </w:r>
    </w:p>
    <w:p w14:paraId="764091BD"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【学习内容】</w:t>
      </w:r>
    </w:p>
    <w:p w14:paraId="2623F42D"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1.自我意识是什么？</w:t>
      </w:r>
    </w:p>
    <w:p w14:paraId="4C5B32BF"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2.大学生自我意识发展中的冲突和偏差</w:t>
      </w:r>
    </w:p>
    <w:p w14:paraId="61B69F67"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3.影响自我意识发展的因素</w:t>
      </w:r>
    </w:p>
    <w:p w14:paraId="360E2057"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4.大学生自我意识的培养</w:t>
      </w:r>
    </w:p>
    <w:p w14:paraId="56FB6EFD"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【重点】</w:t>
      </w:r>
    </w:p>
    <w:p w14:paraId="06DDC165" w14:textId="77777777" w:rsidR="00C62405" w:rsidRPr="00C62405" w:rsidRDefault="00C62405" w:rsidP="00C62405">
      <w:pPr>
        <w:spacing w:line="440" w:lineRule="exact"/>
        <w:ind w:firstLineChars="200" w:firstLine="480"/>
        <w:rPr>
          <w:rFonts w:ascii="宋体" w:eastAsia="宋体" w:hAnsi="宋体" w:cs="Times New Roman"/>
          <w:color w:val="000000"/>
          <w:kern w:val="0"/>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color w:val="000000"/>
          <w:kern w:val="0"/>
          <w:sz w:val="24"/>
        </w:rPr>
        <w:t>大学生自我意识发展的特点</w:t>
      </w:r>
    </w:p>
    <w:p w14:paraId="0450FF3C"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【难点】</w:t>
      </w:r>
    </w:p>
    <w:p w14:paraId="325C5579" w14:textId="77777777" w:rsidR="00C62405" w:rsidRPr="00C62405" w:rsidRDefault="00C62405" w:rsidP="00C62405">
      <w:pPr>
        <w:spacing w:line="440" w:lineRule="exact"/>
        <w:ind w:firstLineChars="200" w:firstLine="480"/>
        <w:rPr>
          <w:rFonts w:ascii="宋体" w:eastAsia="宋体" w:hAnsi="宋体" w:cs="楷体_GB2312"/>
          <w:color w:val="000000"/>
          <w:kern w:val="0"/>
          <w:sz w:val="24"/>
        </w:rPr>
      </w:pPr>
      <w:r w:rsidRPr="00C62405">
        <w:rPr>
          <w:rFonts w:ascii="宋体" w:eastAsia="宋体" w:hAnsi="宋体" w:cs="楷体_GB2312" w:hint="eastAsia"/>
          <w:color w:val="000000"/>
          <w:kern w:val="0"/>
          <w:sz w:val="24"/>
        </w:rPr>
        <w:t>1.健康自我意识的培养方法</w:t>
      </w:r>
    </w:p>
    <w:p w14:paraId="1B47D109"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2.调适自我概念的方法</w:t>
      </w:r>
    </w:p>
    <w:p w14:paraId="2D2B0416" w14:textId="77777777" w:rsidR="00C62405" w:rsidRPr="00C62405" w:rsidRDefault="00C62405" w:rsidP="00C62405">
      <w:pPr>
        <w:spacing w:line="440" w:lineRule="exact"/>
        <w:ind w:firstLineChars="200" w:firstLine="482"/>
        <w:rPr>
          <w:rFonts w:ascii="宋体" w:eastAsia="宋体" w:hAnsi="宋体" w:cs="Times New Roman"/>
          <w:color w:val="FF0000"/>
          <w:sz w:val="24"/>
        </w:rPr>
      </w:pPr>
      <w:r w:rsidRPr="00C62405">
        <w:rPr>
          <w:rFonts w:ascii="宋体" w:eastAsia="宋体" w:hAnsi="宋体" w:cs="Times New Roman" w:hint="eastAsia"/>
          <w:b/>
          <w:bCs/>
          <w:sz w:val="24"/>
        </w:rPr>
        <w:t>【教学方法】</w:t>
      </w:r>
    </w:p>
    <w:p w14:paraId="66489436"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096ABBC1"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 通过案例分析，强调理论与实践相结合，促进学生知识整合，培养学生的反思能力；</w:t>
      </w:r>
    </w:p>
    <w:p w14:paraId="5EB19050"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3.通过小组合作学习，树立育人意识，发展学生的合作能力和校本课程设计能力；</w:t>
      </w:r>
    </w:p>
    <w:p w14:paraId="5CFA258D" w14:textId="77777777" w:rsidR="00C62405" w:rsidRPr="00C62405" w:rsidRDefault="00C62405" w:rsidP="00C62405">
      <w:pPr>
        <w:spacing w:line="440" w:lineRule="exact"/>
        <w:ind w:firstLineChars="200" w:firstLine="482"/>
        <w:rPr>
          <w:rFonts w:ascii="宋体" w:eastAsia="宋体" w:hAnsi="宋体" w:cs="Times New Roman"/>
          <w:bCs/>
          <w:color w:val="FF0000"/>
          <w:sz w:val="24"/>
        </w:rPr>
      </w:pPr>
      <w:r w:rsidRPr="00C62405">
        <w:rPr>
          <w:rFonts w:ascii="宋体" w:eastAsia="宋体" w:hAnsi="宋体" w:cs="Times New Roman" w:hint="eastAsia"/>
          <w:b/>
          <w:sz w:val="24"/>
        </w:rPr>
        <w:t>【复习思考】</w:t>
      </w:r>
    </w:p>
    <w:p w14:paraId="037F7FEC"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大学生常见的心理困惑有哪些？</w:t>
      </w:r>
    </w:p>
    <w:p w14:paraId="4D5B3136"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2.心理问题及其鉴别方法是什么？</w:t>
      </w:r>
    </w:p>
    <w:p w14:paraId="3E7BD276" w14:textId="77777777" w:rsidR="00C62405" w:rsidRPr="00C62405" w:rsidRDefault="00C62405" w:rsidP="00C62405">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C62405">
        <w:rPr>
          <w:rFonts w:ascii="黑体" w:eastAsia="黑体" w:hAnsi="黑体" w:cs="Times New Roman" w:hint="eastAsia"/>
          <w:sz w:val="28"/>
          <w:szCs w:val="28"/>
        </w:rPr>
        <w:t>第五章  大学生人格发展与心理健康</w:t>
      </w:r>
    </w:p>
    <w:p w14:paraId="2F45DDA6"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【学习目标】</w:t>
      </w:r>
    </w:p>
    <w:p w14:paraId="2654E88C"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认知类目标：通过教学使学生了解人格的基本知识、当代大学生的人格特征和自我人格发展状况，掌握大学生常见人格缺陷的表现、形成原因及调试方法。</w:t>
      </w:r>
    </w:p>
    <w:p w14:paraId="226A0207"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【学习内容】</w:t>
      </w:r>
    </w:p>
    <w:p w14:paraId="57DC7EBD"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1.人格概述</w:t>
      </w:r>
    </w:p>
    <w:p w14:paraId="40F6FB57"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2.大学生的人格特征</w:t>
      </w:r>
    </w:p>
    <w:p w14:paraId="5E151AE9"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3.人格发展异常的表现与评估</w:t>
      </w:r>
    </w:p>
    <w:p w14:paraId="6AB64278"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4.大学生人格完善的途径和调适方法</w:t>
      </w:r>
    </w:p>
    <w:p w14:paraId="6D20F006"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【重点】</w:t>
      </w:r>
    </w:p>
    <w:p w14:paraId="23A50EBE" w14:textId="77777777" w:rsidR="00C62405" w:rsidRPr="00C62405" w:rsidRDefault="00C62405" w:rsidP="00C62405">
      <w:pPr>
        <w:spacing w:line="440" w:lineRule="exact"/>
        <w:ind w:firstLineChars="200" w:firstLine="480"/>
        <w:rPr>
          <w:rFonts w:ascii="宋体" w:eastAsia="宋体" w:hAnsi="宋体" w:cs="Times New Roman"/>
          <w:color w:val="000000"/>
          <w:kern w:val="0"/>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proofErr w:type="gramStart"/>
      <w:r w:rsidRPr="00C62405">
        <w:rPr>
          <w:rFonts w:ascii="宋体" w:eastAsia="宋体" w:hAnsi="宋体" w:cs="Times New Roman" w:hint="eastAsia"/>
          <w:color w:val="000000"/>
          <w:kern w:val="0"/>
          <w:sz w:val="24"/>
        </w:rPr>
        <w:t>异常人</w:t>
      </w:r>
      <w:proofErr w:type="gramEnd"/>
      <w:r w:rsidRPr="00C62405">
        <w:rPr>
          <w:rFonts w:ascii="宋体" w:eastAsia="宋体" w:hAnsi="宋体" w:cs="Times New Roman" w:hint="eastAsia"/>
          <w:color w:val="000000"/>
          <w:kern w:val="0"/>
          <w:sz w:val="24"/>
        </w:rPr>
        <w:t>格的种类和评估</w:t>
      </w:r>
    </w:p>
    <w:p w14:paraId="0E334C8B"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lastRenderedPageBreak/>
        <w:t>【难点】</w:t>
      </w:r>
    </w:p>
    <w:p w14:paraId="610C28D7" w14:textId="77777777" w:rsidR="00C62405" w:rsidRPr="00C62405" w:rsidRDefault="00C62405" w:rsidP="00747ECA">
      <w:pPr>
        <w:numPr>
          <w:ilvl w:val="0"/>
          <w:numId w:val="55"/>
        </w:numPr>
        <w:spacing w:line="440" w:lineRule="exact"/>
        <w:ind w:firstLineChars="200" w:firstLine="480"/>
        <w:rPr>
          <w:rFonts w:ascii="宋体" w:eastAsia="宋体" w:hAnsi="宋体" w:cs="楷体_GB2312"/>
          <w:color w:val="000000"/>
          <w:kern w:val="0"/>
          <w:sz w:val="24"/>
        </w:rPr>
      </w:pPr>
      <w:r w:rsidRPr="00C62405">
        <w:rPr>
          <w:rFonts w:ascii="宋体" w:eastAsia="宋体" w:hAnsi="宋体" w:cs="楷体_GB2312" w:hint="eastAsia"/>
          <w:color w:val="000000"/>
          <w:kern w:val="0"/>
          <w:sz w:val="24"/>
        </w:rPr>
        <w:t>完善人格的途径和调适的方法</w:t>
      </w:r>
    </w:p>
    <w:p w14:paraId="2A87B0B9" w14:textId="77777777" w:rsidR="00C62405" w:rsidRPr="00C62405" w:rsidRDefault="00C62405" w:rsidP="00747ECA">
      <w:pPr>
        <w:numPr>
          <w:ilvl w:val="0"/>
          <w:numId w:val="55"/>
        </w:num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认识自己性格和人格的方法</w:t>
      </w:r>
    </w:p>
    <w:p w14:paraId="32938346" w14:textId="77777777" w:rsidR="00C62405" w:rsidRPr="00C62405" w:rsidRDefault="00C62405" w:rsidP="00C62405">
      <w:pPr>
        <w:spacing w:line="440" w:lineRule="exact"/>
        <w:ind w:firstLineChars="200" w:firstLine="482"/>
        <w:rPr>
          <w:rFonts w:ascii="宋体" w:eastAsia="宋体" w:hAnsi="宋体" w:cs="Times New Roman"/>
          <w:color w:val="FF0000"/>
          <w:sz w:val="24"/>
        </w:rPr>
      </w:pPr>
      <w:r w:rsidRPr="00C62405">
        <w:rPr>
          <w:rFonts w:ascii="宋体" w:eastAsia="宋体" w:hAnsi="宋体" w:cs="Times New Roman" w:hint="eastAsia"/>
          <w:b/>
          <w:bCs/>
          <w:sz w:val="24"/>
        </w:rPr>
        <w:t>【教学方法】</w:t>
      </w:r>
    </w:p>
    <w:p w14:paraId="601FD4A4"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402D8AF8"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 通过案例分析，强调理论与实践相结合，促进学生知识整合，培养学生的反思能力；</w:t>
      </w:r>
    </w:p>
    <w:p w14:paraId="2E391B72"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3.通过小组合作学习，树立育人意识，发展学生的合作能力和校本课程设计能力；</w:t>
      </w:r>
    </w:p>
    <w:p w14:paraId="5FDEA59A" w14:textId="77777777" w:rsidR="00C62405" w:rsidRPr="00C62405" w:rsidRDefault="00C62405" w:rsidP="00C62405">
      <w:pPr>
        <w:spacing w:line="440" w:lineRule="exact"/>
        <w:ind w:firstLineChars="200" w:firstLine="482"/>
        <w:rPr>
          <w:rFonts w:ascii="宋体" w:eastAsia="宋体" w:hAnsi="宋体" w:cs="Times New Roman"/>
          <w:bCs/>
          <w:color w:val="FF0000"/>
          <w:sz w:val="24"/>
        </w:rPr>
      </w:pPr>
      <w:r w:rsidRPr="00C62405">
        <w:rPr>
          <w:rFonts w:ascii="宋体" w:eastAsia="宋体" w:hAnsi="宋体" w:cs="Times New Roman" w:hint="eastAsia"/>
          <w:b/>
          <w:sz w:val="24"/>
        </w:rPr>
        <w:t>【复习思考】</w:t>
      </w:r>
    </w:p>
    <w:p w14:paraId="7B83DFD4"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w:t>
      </w:r>
      <w:r w:rsidRPr="00C62405">
        <w:rPr>
          <w:rFonts w:ascii="宋体" w:eastAsia="宋体" w:hAnsi="宋体" w:cs="Times New Roman" w:hint="eastAsia"/>
          <w:sz w:val="24"/>
        </w:rPr>
        <w:t>人格异常的种类和表现有些什么？</w:t>
      </w:r>
    </w:p>
    <w:p w14:paraId="0D2ED4E2"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2.如何在人生路程完善自己的人格。</w:t>
      </w:r>
    </w:p>
    <w:p w14:paraId="58A9A829" w14:textId="77777777" w:rsidR="00C62405" w:rsidRPr="00C62405" w:rsidRDefault="00C62405" w:rsidP="00C62405">
      <w:pPr>
        <w:spacing w:beforeLines="50" w:before="156" w:afterLines="50" w:after="156" w:line="440" w:lineRule="exact"/>
        <w:ind w:firstLineChars="200" w:firstLine="560"/>
        <w:jc w:val="center"/>
        <w:outlineLvl w:val="2"/>
        <w:rPr>
          <w:rFonts w:ascii="黑体" w:eastAsia="黑体" w:hAnsi="黑体" w:cs="Times New Roman"/>
          <w:sz w:val="28"/>
          <w:szCs w:val="28"/>
        </w:rPr>
      </w:pPr>
      <w:r w:rsidRPr="00C62405">
        <w:rPr>
          <w:rFonts w:ascii="黑体" w:eastAsia="黑体" w:hAnsi="黑体" w:cs="Times New Roman" w:hint="eastAsia"/>
          <w:sz w:val="28"/>
          <w:szCs w:val="28"/>
        </w:rPr>
        <w:t>第六章  大学生学习心理培养</w:t>
      </w:r>
    </w:p>
    <w:p w14:paraId="7FA5005C"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【学习目标】</w:t>
      </w:r>
    </w:p>
    <w:p w14:paraId="780BD6F5"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认知类目标：通过教学使学生了解大学学习活动的基本特点与学习心理特点，了解大学生学习心理障碍的表现及成因，学会调</w:t>
      </w:r>
      <w:proofErr w:type="gramStart"/>
      <w:r w:rsidRPr="00C62405">
        <w:rPr>
          <w:rFonts w:ascii="宋体" w:eastAsia="宋体" w:hAnsi="宋体" w:cs="Times New Roman" w:hint="eastAsia"/>
          <w:sz w:val="24"/>
        </w:rPr>
        <w:t>适学习</w:t>
      </w:r>
      <w:proofErr w:type="gramEnd"/>
      <w:r w:rsidRPr="00C62405">
        <w:rPr>
          <w:rFonts w:ascii="宋体" w:eastAsia="宋体" w:hAnsi="宋体" w:cs="Times New Roman" w:hint="eastAsia"/>
          <w:sz w:val="24"/>
        </w:rPr>
        <w:t>心理障碍，使自己拥有良好的学习心理状态。</w:t>
      </w:r>
    </w:p>
    <w:p w14:paraId="794279D9"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【学习内容】</w:t>
      </w:r>
    </w:p>
    <w:p w14:paraId="06497BFC"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1.大学生的学习心理</w:t>
      </w:r>
    </w:p>
    <w:p w14:paraId="4C2639A7"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2.大学生常见的学习心理困扰及其调适</w:t>
      </w:r>
    </w:p>
    <w:p w14:paraId="717EA3F7"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3.大学生智力的培养</w:t>
      </w:r>
    </w:p>
    <w:p w14:paraId="226534F1"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【重点】</w:t>
      </w:r>
    </w:p>
    <w:p w14:paraId="1FACBEEB" w14:textId="77777777" w:rsidR="00C62405" w:rsidRPr="00C62405" w:rsidRDefault="00C62405" w:rsidP="00C62405">
      <w:pPr>
        <w:spacing w:line="440" w:lineRule="exact"/>
        <w:ind w:firstLineChars="200" w:firstLine="480"/>
        <w:rPr>
          <w:rFonts w:ascii="宋体" w:eastAsia="宋体" w:hAnsi="宋体" w:cs="Times New Roman"/>
          <w:color w:val="000000"/>
          <w:kern w:val="0"/>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color w:val="000000"/>
          <w:kern w:val="0"/>
          <w:sz w:val="24"/>
        </w:rPr>
        <w:t>学生学习能力培养的方法</w:t>
      </w:r>
    </w:p>
    <w:p w14:paraId="41250E25"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【难点】</w:t>
      </w:r>
    </w:p>
    <w:p w14:paraId="459C73F0" w14:textId="77777777" w:rsidR="00C62405" w:rsidRPr="00C62405" w:rsidRDefault="00C62405" w:rsidP="00C62405">
      <w:pPr>
        <w:spacing w:line="440" w:lineRule="exact"/>
        <w:ind w:firstLineChars="200" w:firstLine="480"/>
        <w:rPr>
          <w:rFonts w:ascii="宋体" w:eastAsia="宋体" w:hAnsi="宋体" w:cs="楷体_GB2312"/>
          <w:color w:val="000000"/>
          <w:kern w:val="0"/>
          <w:sz w:val="24"/>
        </w:rPr>
      </w:pPr>
      <w:r w:rsidRPr="00C62405">
        <w:rPr>
          <w:rFonts w:ascii="宋体" w:eastAsia="宋体" w:hAnsi="宋体" w:cs="楷体_GB2312" w:hint="eastAsia"/>
          <w:color w:val="000000"/>
          <w:kern w:val="0"/>
          <w:sz w:val="24"/>
        </w:rPr>
        <w:t>1.</w:t>
      </w:r>
      <w:r w:rsidRPr="00C62405">
        <w:rPr>
          <w:rFonts w:ascii="宋体" w:eastAsia="宋体" w:hAnsi="宋体" w:cs="Times New Roman" w:hint="eastAsia"/>
          <w:sz w:val="24"/>
        </w:rPr>
        <w:t>大学生常见的学习障碍有哪些及如何调适</w:t>
      </w:r>
    </w:p>
    <w:p w14:paraId="1E189781"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2.大学生学习方法和学习能力的培养</w:t>
      </w:r>
    </w:p>
    <w:p w14:paraId="3078F71F" w14:textId="77777777" w:rsidR="00C62405" w:rsidRPr="00C62405" w:rsidRDefault="00C62405" w:rsidP="00C62405">
      <w:pPr>
        <w:spacing w:line="440" w:lineRule="exact"/>
        <w:ind w:firstLineChars="200" w:firstLine="482"/>
        <w:rPr>
          <w:rFonts w:ascii="宋体" w:eastAsia="宋体" w:hAnsi="宋体" w:cs="Times New Roman"/>
          <w:color w:val="FF0000"/>
          <w:sz w:val="24"/>
        </w:rPr>
      </w:pPr>
      <w:r w:rsidRPr="00C62405">
        <w:rPr>
          <w:rFonts w:ascii="宋体" w:eastAsia="宋体" w:hAnsi="宋体" w:cs="Times New Roman" w:hint="eastAsia"/>
          <w:b/>
          <w:bCs/>
          <w:sz w:val="24"/>
        </w:rPr>
        <w:t>【教学方法】</w:t>
      </w:r>
    </w:p>
    <w:p w14:paraId="2BAD3023"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2E1C7A52"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 通过案例分析，强调理论与实践相结合，促进学生知识整合，培养学生的反思能力；</w:t>
      </w:r>
    </w:p>
    <w:p w14:paraId="158D59D5"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lastRenderedPageBreak/>
        <w:t>3.通过小组合作学习，树立育人意识，发展学生的合作能力和校本课程设计能力；</w:t>
      </w:r>
    </w:p>
    <w:p w14:paraId="6ABC0323" w14:textId="77777777" w:rsidR="00C62405" w:rsidRPr="00C62405" w:rsidRDefault="00C62405" w:rsidP="00C62405">
      <w:pPr>
        <w:spacing w:line="440" w:lineRule="exact"/>
        <w:ind w:firstLineChars="200" w:firstLine="482"/>
        <w:rPr>
          <w:rFonts w:ascii="宋体" w:eastAsia="宋体" w:hAnsi="宋体" w:cs="Times New Roman"/>
          <w:bCs/>
          <w:color w:val="FF0000"/>
          <w:sz w:val="24"/>
        </w:rPr>
      </w:pPr>
      <w:r w:rsidRPr="00C62405">
        <w:rPr>
          <w:rFonts w:ascii="宋体" w:eastAsia="宋体" w:hAnsi="宋体" w:cs="Times New Roman" w:hint="eastAsia"/>
          <w:b/>
          <w:sz w:val="24"/>
        </w:rPr>
        <w:t>【复习思考】</w:t>
      </w:r>
    </w:p>
    <w:p w14:paraId="49D14FD9" w14:textId="77777777" w:rsidR="00C62405" w:rsidRPr="00C62405" w:rsidRDefault="00C62405" w:rsidP="00C62405">
      <w:pPr>
        <w:spacing w:beforeLines="50" w:before="156" w:afterLines="50" w:after="156" w:line="440" w:lineRule="exact"/>
        <w:ind w:firstLineChars="200" w:firstLine="480"/>
        <w:jc w:val="left"/>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w:t>
      </w:r>
      <w:r w:rsidRPr="00C62405">
        <w:rPr>
          <w:rFonts w:ascii="宋体" w:eastAsia="宋体" w:hAnsi="宋体" w:cs="Times New Roman" w:hint="eastAsia"/>
          <w:sz w:val="24"/>
        </w:rPr>
        <w:t>学习能力如何培养。</w:t>
      </w:r>
    </w:p>
    <w:p w14:paraId="7DF11484" w14:textId="77777777" w:rsidR="00C62405" w:rsidRPr="00C62405" w:rsidRDefault="00C62405" w:rsidP="00C62405">
      <w:pPr>
        <w:spacing w:beforeLines="50" w:before="156" w:afterLines="50" w:after="156"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2.学习障碍有哪些？该如何调整？</w:t>
      </w:r>
    </w:p>
    <w:p w14:paraId="24AD003E" w14:textId="77777777" w:rsidR="00C62405" w:rsidRPr="00C62405" w:rsidRDefault="00C62405" w:rsidP="00C62405">
      <w:pPr>
        <w:spacing w:beforeLines="50" w:before="156" w:afterLines="50" w:after="156" w:line="440" w:lineRule="exact"/>
        <w:ind w:firstLineChars="700" w:firstLine="1960"/>
        <w:outlineLvl w:val="2"/>
        <w:rPr>
          <w:rFonts w:ascii="黑体" w:eastAsia="黑体" w:hAnsi="黑体" w:cs="Times New Roman"/>
          <w:sz w:val="28"/>
          <w:szCs w:val="28"/>
        </w:rPr>
      </w:pPr>
      <w:r w:rsidRPr="00C62405">
        <w:rPr>
          <w:rFonts w:ascii="黑体" w:eastAsia="黑体" w:hAnsi="黑体" w:cs="Times New Roman" w:hint="eastAsia"/>
          <w:sz w:val="28"/>
          <w:szCs w:val="28"/>
        </w:rPr>
        <w:t>第七章  大学生情绪管理和心理调试</w:t>
      </w:r>
    </w:p>
    <w:p w14:paraId="1BEF20C5"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【学习目标】</w:t>
      </w:r>
    </w:p>
    <w:p w14:paraId="3FC8DBAA"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认知类目标：通过教学使学生了解自身的情绪特点，掌握情绪调节的方法，自主控制情绪，保持良好的情绪状态。</w:t>
      </w:r>
    </w:p>
    <w:p w14:paraId="179FE825"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2.情感类目标：激发学生调节自己情绪和体恤他人情绪的能力。</w:t>
      </w:r>
    </w:p>
    <w:p w14:paraId="6C998FAE"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【学习内容】</w:t>
      </w:r>
    </w:p>
    <w:p w14:paraId="5A2A07E9"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1.情绪的概念及相关特征</w:t>
      </w:r>
    </w:p>
    <w:p w14:paraId="197E5FAC"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2.大学生的情绪与情感特点</w:t>
      </w:r>
    </w:p>
    <w:p w14:paraId="2028FDC9"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3.情绪健康的意义与调适</w:t>
      </w:r>
    </w:p>
    <w:p w14:paraId="5F9CD99D"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【重点】</w:t>
      </w:r>
    </w:p>
    <w:p w14:paraId="1F5554D2" w14:textId="77777777" w:rsidR="00C62405" w:rsidRPr="00C62405" w:rsidRDefault="00C62405" w:rsidP="00747ECA">
      <w:pPr>
        <w:numPr>
          <w:ilvl w:val="0"/>
          <w:numId w:val="68"/>
        </w:numPr>
        <w:spacing w:line="440" w:lineRule="exact"/>
        <w:ind w:firstLineChars="200" w:firstLine="480"/>
        <w:rPr>
          <w:rFonts w:ascii="宋体" w:eastAsia="宋体" w:hAnsi="宋体" w:cs="Times New Roman"/>
          <w:color w:val="000000"/>
          <w:kern w:val="0"/>
          <w:sz w:val="24"/>
        </w:rPr>
      </w:pPr>
      <w:r w:rsidRPr="00C62405">
        <w:rPr>
          <w:rFonts w:ascii="宋体" w:eastAsia="宋体" w:hAnsi="宋体" w:cs="Times New Roman" w:hint="eastAsia"/>
          <w:color w:val="000000"/>
          <w:kern w:val="0"/>
          <w:sz w:val="24"/>
        </w:rPr>
        <w:t>大学生的情绪特点及影响</w:t>
      </w:r>
    </w:p>
    <w:p w14:paraId="27A3CEA3" w14:textId="77777777" w:rsidR="00C62405" w:rsidRPr="00C62405" w:rsidRDefault="00C62405" w:rsidP="00747ECA">
      <w:pPr>
        <w:numPr>
          <w:ilvl w:val="0"/>
          <w:numId w:val="68"/>
        </w:numPr>
        <w:spacing w:line="440" w:lineRule="exact"/>
        <w:ind w:firstLineChars="200" w:firstLine="480"/>
        <w:rPr>
          <w:rFonts w:ascii="宋体" w:eastAsia="宋体" w:hAnsi="宋体" w:cs="Times New Roman"/>
          <w:color w:val="000000"/>
          <w:kern w:val="0"/>
          <w:sz w:val="24"/>
        </w:rPr>
      </w:pPr>
      <w:r w:rsidRPr="00C62405">
        <w:rPr>
          <w:rFonts w:ascii="宋体" w:eastAsia="宋体" w:hAnsi="宋体" w:cs="Times New Roman" w:hint="eastAsia"/>
          <w:color w:val="000000"/>
          <w:kern w:val="0"/>
          <w:sz w:val="24"/>
        </w:rPr>
        <w:t>大学生情绪的自我管理方式有哪些</w:t>
      </w:r>
    </w:p>
    <w:p w14:paraId="523B0E98"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【难点】</w:t>
      </w:r>
    </w:p>
    <w:p w14:paraId="3EABACB8" w14:textId="77777777" w:rsidR="00C62405" w:rsidRPr="00C62405" w:rsidRDefault="00C62405" w:rsidP="00C62405">
      <w:pPr>
        <w:spacing w:line="440" w:lineRule="exact"/>
        <w:ind w:firstLineChars="200" w:firstLine="480"/>
        <w:rPr>
          <w:rFonts w:ascii="宋体" w:eastAsia="宋体" w:hAnsi="宋体" w:cs="楷体_GB2312"/>
          <w:color w:val="000000"/>
          <w:kern w:val="0"/>
          <w:sz w:val="24"/>
        </w:rPr>
      </w:pPr>
      <w:r w:rsidRPr="00C62405">
        <w:rPr>
          <w:rFonts w:ascii="宋体" w:eastAsia="宋体" w:hAnsi="宋体" w:cs="楷体_GB2312" w:hint="eastAsia"/>
          <w:color w:val="000000"/>
          <w:kern w:val="0"/>
          <w:sz w:val="24"/>
        </w:rPr>
        <w:t>1.</w:t>
      </w:r>
      <w:r w:rsidRPr="00C62405">
        <w:rPr>
          <w:rFonts w:ascii="宋体" w:eastAsia="宋体" w:hAnsi="宋体" w:cs="Times New Roman" w:hint="eastAsia"/>
          <w:sz w:val="24"/>
        </w:rPr>
        <w:t>大学生不良情绪的调适</w:t>
      </w:r>
    </w:p>
    <w:p w14:paraId="5B0DDDF7"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2.情绪稳定和情绪管理的训练</w:t>
      </w:r>
    </w:p>
    <w:p w14:paraId="3E0945BD" w14:textId="77777777" w:rsidR="00C62405" w:rsidRPr="00C62405" w:rsidRDefault="00C62405" w:rsidP="00C62405">
      <w:pPr>
        <w:spacing w:line="440" w:lineRule="exact"/>
        <w:ind w:firstLineChars="200" w:firstLine="482"/>
        <w:rPr>
          <w:rFonts w:ascii="宋体" w:eastAsia="宋体" w:hAnsi="宋体" w:cs="Times New Roman"/>
          <w:color w:val="FF0000"/>
          <w:sz w:val="24"/>
        </w:rPr>
      </w:pPr>
      <w:r w:rsidRPr="00C62405">
        <w:rPr>
          <w:rFonts w:ascii="宋体" w:eastAsia="宋体" w:hAnsi="宋体" w:cs="Times New Roman" w:hint="eastAsia"/>
          <w:b/>
          <w:bCs/>
          <w:sz w:val="24"/>
        </w:rPr>
        <w:t>【教学方法】</w:t>
      </w:r>
    </w:p>
    <w:p w14:paraId="04C54AEA"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1FD7B206"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 通过案例分析，强调理论与实践相结合，促进学生知识整合，培养学生的反思能力；</w:t>
      </w:r>
    </w:p>
    <w:p w14:paraId="30D560CE"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3.通过小组合作学习，树立育人意识，发展学生的合作能力和校本课程设计能力；</w:t>
      </w:r>
    </w:p>
    <w:p w14:paraId="04EF8366" w14:textId="77777777" w:rsidR="00C62405" w:rsidRPr="00C62405" w:rsidRDefault="00C62405" w:rsidP="00C62405">
      <w:pPr>
        <w:spacing w:line="440" w:lineRule="exact"/>
        <w:ind w:firstLineChars="200" w:firstLine="482"/>
        <w:rPr>
          <w:rFonts w:ascii="宋体" w:eastAsia="宋体" w:hAnsi="宋体" w:cs="Times New Roman"/>
          <w:bCs/>
          <w:color w:val="FF0000"/>
          <w:sz w:val="24"/>
        </w:rPr>
      </w:pPr>
      <w:r w:rsidRPr="00C62405">
        <w:rPr>
          <w:rFonts w:ascii="宋体" w:eastAsia="宋体" w:hAnsi="宋体" w:cs="Times New Roman" w:hint="eastAsia"/>
          <w:b/>
          <w:sz w:val="24"/>
        </w:rPr>
        <w:t>【复习思考】</w:t>
      </w:r>
    </w:p>
    <w:p w14:paraId="73909B3F"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w:t>
      </w:r>
      <w:r w:rsidRPr="00C62405">
        <w:rPr>
          <w:rFonts w:ascii="宋体" w:eastAsia="宋体" w:hAnsi="宋体" w:cs="Times New Roman" w:hint="eastAsia"/>
          <w:sz w:val="24"/>
        </w:rPr>
        <w:t>大学生情绪的特点有哪些</w:t>
      </w:r>
    </w:p>
    <w:p w14:paraId="0DA0ACC3"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2.不良情绪如何表现以及如何自我调适</w:t>
      </w:r>
    </w:p>
    <w:p w14:paraId="68106577" w14:textId="77777777" w:rsidR="00C62405" w:rsidRPr="00C62405" w:rsidRDefault="00C62405" w:rsidP="00C62405">
      <w:pPr>
        <w:spacing w:beforeLines="50" w:before="156" w:afterLines="50" w:after="156" w:line="440" w:lineRule="exact"/>
        <w:ind w:firstLineChars="700" w:firstLine="1960"/>
        <w:outlineLvl w:val="2"/>
        <w:rPr>
          <w:rFonts w:ascii="黑体" w:eastAsia="黑体" w:hAnsi="黑体" w:cs="Times New Roman"/>
          <w:sz w:val="28"/>
          <w:szCs w:val="28"/>
        </w:rPr>
      </w:pPr>
      <w:r w:rsidRPr="00C62405">
        <w:rPr>
          <w:rFonts w:ascii="黑体" w:eastAsia="黑体" w:hAnsi="黑体" w:cs="Times New Roman" w:hint="eastAsia"/>
          <w:sz w:val="28"/>
          <w:szCs w:val="28"/>
        </w:rPr>
        <w:t>第八章  大学生人际关系与人际交往</w:t>
      </w:r>
    </w:p>
    <w:p w14:paraId="58118203"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lastRenderedPageBreak/>
        <w:t>【学习目标】</w:t>
      </w:r>
    </w:p>
    <w:p w14:paraId="32B589A1"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认知类目标：通过教学使学生了解人际交往的意义、特点及类型，理解影响大学生人际交往的因素，掌握基本的交往原则和技巧，了解人际关系障碍的类型及调适方法，增强人际交往能力。</w:t>
      </w:r>
    </w:p>
    <w:p w14:paraId="796DA579"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【学习内容】</w:t>
      </w:r>
    </w:p>
    <w:p w14:paraId="7E7217CD"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1.人际关系概述</w:t>
      </w:r>
    </w:p>
    <w:p w14:paraId="7A08159F"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2.大学生人际关系特点及人际冲突</w:t>
      </w:r>
    </w:p>
    <w:p w14:paraId="2332623C"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3.人际关系增进的技巧</w:t>
      </w:r>
    </w:p>
    <w:p w14:paraId="5EEF59CF"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【重点】</w:t>
      </w:r>
    </w:p>
    <w:p w14:paraId="1F553504" w14:textId="77777777" w:rsidR="00C62405" w:rsidRPr="00C62405" w:rsidRDefault="00C62405" w:rsidP="00C62405">
      <w:pPr>
        <w:spacing w:line="440" w:lineRule="exact"/>
        <w:ind w:firstLineChars="200" w:firstLine="480"/>
        <w:rPr>
          <w:rFonts w:ascii="宋体" w:eastAsia="宋体" w:hAnsi="宋体" w:cs="Times New Roman"/>
          <w:color w:val="000000"/>
          <w:kern w:val="0"/>
          <w:sz w:val="24"/>
        </w:rPr>
      </w:pPr>
      <w:r w:rsidRPr="00C62405">
        <w:rPr>
          <w:rFonts w:ascii="宋体" w:eastAsia="宋体" w:hAnsi="宋体" w:cs="Times New Roman" w:hint="eastAsia"/>
          <w:color w:val="000000"/>
          <w:kern w:val="0"/>
          <w:sz w:val="24"/>
        </w:rPr>
        <w:t>1.</w:t>
      </w:r>
      <w:r w:rsidRPr="00C62405">
        <w:rPr>
          <w:rFonts w:ascii="宋体" w:eastAsia="宋体" w:hAnsi="宋体" w:cs="Times New Roman" w:hint="eastAsia"/>
          <w:sz w:val="24"/>
        </w:rPr>
        <w:t>大学生人际交往的原则及技巧</w:t>
      </w:r>
    </w:p>
    <w:p w14:paraId="22DF93A0" w14:textId="77777777" w:rsidR="00C62405" w:rsidRPr="00C62405" w:rsidRDefault="00C62405" w:rsidP="00C62405">
      <w:pPr>
        <w:spacing w:line="440" w:lineRule="exact"/>
        <w:ind w:firstLineChars="200" w:firstLine="480"/>
        <w:rPr>
          <w:rFonts w:ascii="宋体" w:eastAsia="宋体" w:hAnsi="宋体" w:cs="Times New Roman"/>
          <w:color w:val="000000"/>
          <w:kern w:val="0"/>
          <w:sz w:val="24"/>
        </w:rPr>
      </w:pPr>
      <w:r w:rsidRPr="00C62405">
        <w:rPr>
          <w:rFonts w:ascii="宋体" w:eastAsia="宋体" w:hAnsi="宋体" w:cs="Times New Roman" w:hint="eastAsia"/>
          <w:color w:val="000000"/>
          <w:kern w:val="0"/>
          <w:sz w:val="24"/>
        </w:rPr>
        <w:t>2.大学生人际关系的特点和作用</w:t>
      </w:r>
    </w:p>
    <w:p w14:paraId="762F2B4D"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【难点】</w:t>
      </w:r>
    </w:p>
    <w:p w14:paraId="0A9D226F" w14:textId="77777777" w:rsidR="00C62405" w:rsidRPr="00C62405" w:rsidRDefault="00C62405" w:rsidP="00C62405">
      <w:pPr>
        <w:spacing w:line="440" w:lineRule="exact"/>
        <w:ind w:firstLineChars="200" w:firstLine="480"/>
        <w:rPr>
          <w:rFonts w:ascii="宋体" w:eastAsia="宋体" w:hAnsi="宋体" w:cs="楷体_GB2312"/>
          <w:color w:val="000000"/>
          <w:kern w:val="0"/>
          <w:sz w:val="24"/>
        </w:rPr>
      </w:pPr>
      <w:r w:rsidRPr="00C62405">
        <w:rPr>
          <w:rFonts w:ascii="宋体" w:eastAsia="宋体" w:hAnsi="宋体" w:cs="楷体_GB2312" w:hint="eastAsia"/>
          <w:color w:val="000000"/>
          <w:kern w:val="0"/>
          <w:sz w:val="24"/>
        </w:rPr>
        <w:t>1.</w:t>
      </w:r>
      <w:r w:rsidRPr="00C62405">
        <w:rPr>
          <w:rFonts w:ascii="宋体" w:eastAsia="宋体" w:hAnsi="宋体" w:cs="Times New Roman" w:hint="eastAsia"/>
          <w:sz w:val="24"/>
        </w:rPr>
        <w:t>大学生人际关系如何建立和维护</w:t>
      </w:r>
    </w:p>
    <w:p w14:paraId="493EC0BC"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2.人际关系的特点和作用</w:t>
      </w:r>
    </w:p>
    <w:p w14:paraId="0774BFEC" w14:textId="77777777" w:rsidR="00C62405" w:rsidRPr="00C62405" w:rsidRDefault="00C62405" w:rsidP="00C62405">
      <w:pPr>
        <w:spacing w:line="440" w:lineRule="exact"/>
        <w:ind w:firstLineChars="200" w:firstLine="482"/>
        <w:rPr>
          <w:rFonts w:ascii="宋体" w:eastAsia="宋体" w:hAnsi="宋体" w:cs="Times New Roman"/>
          <w:color w:val="FF0000"/>
          <w:sz w:val="24"/>
        </w:rPr>
      </w:pPr>
      <w:r w:rsidRPr="00C62405">
        <w:rPr>
          <w:rFonts w:ascii="宋体" w:eastAsia="宋体" w:hAnsi="宋体" w:cs="Times New Roman" w:hint="eastAsia"/>
          <w:b/>
          <w:bCs/>
          <w:sz w:val="24"/>
        </w:rPr>
        <w:t>【教学方法】</w:t>
      </w:r>
    </w:p>
    <w:p w14:paraId="24F3691F"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2914A06E"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2.通过小组合作学习，树立育人意识，发展学生的合作能力和校本课程设计能力。</w:t>
      </w:r>
    </w:p>
    <w:p w14:paraId="175B7175" w14:textId="77777777" w:rsidR="00C62405" w:rsidRPr="00C62405" w:rsidRDefault="00C62405" w:rsidP="00C62405">
      <w:pPr>
        <w:spacing w:line="440" w:lineRule="exact"/>
        <w:ind w:firstLineChars="200" w:firstLine="482"/>
        <w:rPr>
          <w:rFonts w:ascii="宋体" w:eastAsia="宋体" w:hAnsi="宋体" w:cs="Times New Roman"/>
          <w:bCs/>
          <w:color w:val="FF0000"/>
          <w:sz w:val="24"/>
        </w:rPr>
      </w:pPr>
      <w:r w:rsidRPr="00C62405">
        <w:rPr>
          <w:rFonts w:ascii="宋体" w:eastAsia="宋体" w:hAnsi="宋体" w:cs="Times New Roman" w:hint="eastAsia"/>
          <w:b/>
          <w:sz w:val="24"/>
        </w:rPr>
        <w:t>【复习思考】</w:t>
      </w:r>
    </w:p>
    <w:p w14:paraId="2A1C52A6"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w:t>
      </w:r>
      <w:r w:rsidRPr="00C62405">
        <w:rPr>
          <w:rFonts w:ascii="宋体" w:eastAsia="宋体" w:hAnsi="宋体" w:cs="Times New Roman" w:hint="eastAsia"/>
          <w:sz w:val="24"/>
        </w:rPr>
        <w:t>大学生人际交往的原则有哪些？</w:t>
      </w:r>
    </w:p>
    <w:p w14:paraId="1B9B662D"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2.人际关系障碍该如何调适？</w:t>
      </w:r>
    </w:p>
    <w:p w14:paraId="33AB84D8" w14:textId="77777777" w:rsidR="00C62405" w:rsidRPr="00C62405" w:rsidRDefault="00C62405" w:rsidP="00C62405">
      <w:pPr>
        <w:spacing w:beforeLines="50" w:before="156" w:afterLines="50" w:after="156" w:line="440" w:lineRule="exact"/>
        <w:ind w:firstLineChars="700" w:firstLine="1960"/>
        <w:outlineLvl w:val="2"/>
        <w:rPr>
          <w:rFonts w:ascii="黑体" w:eastAsia="黑体" w:hAnsi="黑体" w:cs="Times New Roman"/>
          <w:sz w:val="28"/>
          <w:szCs w:val="28"/>
        </w:rPr>
      </w:pPr>
      <w:r w:rsidRPr="00C62405">
        <w:rPr>
          <w:rFonts w:ascii="黑体" w:eastAsia="黑体" w:hAnsi="黑体" w:cs="Times New Roman" w:hint="eastAsia"/>
          <w:sz w:val="28"/>
          <w:szCs w:val="28"/>
        </w:rPr>
        <w:t>第九章  大学生的恋爱心理</w:t>
      </w:r>
    </w:p>
    <w:p w14:paraId="56142AA9"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【学习目标】</w:t>
      </w:r>
    </w:p>
    <w:p w14:paraId="5EB56737"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认知类目标：通过教学使学生了解爱情的心理发展原理，认识大学生恋爱心理的特点，了解自己在恋爱方面存在的问题，形成对恋爱心理的正确认识。</w:t>
      </w:r>
    </w:p>
    <w:p w14:paraId="7045904E"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【学习内容】</w:t>
      </w:r>
    </w:p>
    <w:p w14:paraId="37BDECAF"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1.大学生恋爱心理的发展原理</w:t>
      </w:r>
    </w:p>
    <w:p w14:paraId="0C2DC23B"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2.大学生恋爱心理发展的规律特点和常见问题</w:t>
      </w:r>
    </w:p>
    <w:p w14:paraId="5280FDF1"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3.培养健康恋爱观和择偶观</w:t>
      </w:r>
    </w:p>
    <w:p w14:paraId="399ADC58"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【重点】</w:t>
      </w:r>
    </w:p>
    <w:p w14:paraId="0503F4FD" w14:textId="77777777" w:rsidR="00C62405" w:rsidRPr="00C62405" w:rsidRDefault="00C62405" w:rsidP="00C62405">
      <w:pPr>
        <w:spacing w:line="440" w:lineRule="exact"/>
        <w:ind w:firstLineChars="200" w:firstLine="480"/>
        <w:rPr>
          <w:rFonts w:ascii="宋体" w:eastAsia="宋体" w:hAnsi="宋体" w:cs="Times New Roman"/>
          <w:color w:val="000000"/>
          <w:kern w:val="0"/>
          <w:sz w:val="24"/>
        </w:rPr>
      </w:pPr>
      <w:r w:rsidRPr="00C62405">
        <w:rPr>
          <w:rFonts w:ascii="宋体" w:eastAsia="宋体" w:hAnsi="宋体" w:cs="Times New Roman" w:hint="eastAsia"/>
          <w:color w:val="000000"/>
          <w:kern w:val="0"/>
          <w:sz w:val="24"/>
        </w:rPr>
        <w:t>1.</w:t>
      </w:r>
      <w:r w:rsidRPr="00C62405">
        <w:rPr>
          <w:rFonts w:ascii="宋体" w:eastAsia="宋体" w:hAnsi="宋体" w:cs="Times New Roman" w:hint="eastAsia"/>
          <w:bCs/>
          <w:sz w:val="24"/>
        </w:rPr>
        <w:t>培养健康的恋爱观和择偶观</w:t>
      </w:r>
    </w:p>
    <w:p w14:paraId="03DA394C"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lastRenderedPageBreak/>
        <w:t>【难点】</w:t>
      </w:r>
    </w:p>
    <w:p w14:paraId="65D4D29A"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楷体_GB2312" w:hint="eastAsia"/>
          <w:color w:val="000000"/>
          <w:kern w:val="0"/>
          <w:sz w:val="24"/>
        </w:rPr>
        <w:t>1.</w:t>
      </w:r>
      <w:r w:rsidRPr="00C62405">
        <w:rPr>
          <w:rFonts w:ascii="宋体" w:eastAsia="宋体" w:hAnsi="宋体" w:cs="Times New Roman" w:hint="eastAsia"/>
          <w:sz w:val="24"/>
        </w:rPr>
        <w:t>恋爱心理的发展规律、特点和常见问题</w:t>
      </w:r>
    </w:p>
    <w:p w14:paraId="30A04E6A" w14:textId="77777777" w:rsidR="00C62405" w:rsidRPr="00C62405" w:rsidRDefault="00C62405" w:rsidP="00C62405">
      <w:pPr>
        <w:spacing w:line="440" w:lineRule="exact"/>
        <w:ind w:firstLineChars="200" w:firstLine="482"/>
        <w:rPr>
          <w:rFonts w:ascii="宋体" w:eastAsia="宋体" w:hAnsi="宋体" w:cs="Times New Roman"/>
          <w:color w:val="FF0000"/>
          <w:sz w:val="24"/>
        </w:rPr>
      </w:pPr>
      <w:r w:rsidRPr="00C62405">
        <w:rPr>
          <w:rFonts w:ascii="宋体" w:eastAsia="宋体" w:hAnsi="宋体" w:cs="Times New Roman" w:hint="eastAsia"/>
          <w:b/>
          <w:bCs/>
          <w:sz w:val="24"/>
        </w:rPr>
        <w:t>【教学方法】</w:t>
      </w:r>
    </w:p>
    <w:p w14:paraId="10ED04A3"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6FD7A9AB"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2.通过小组合作学习，树立育人意识，发展学生的合作能力和校本课程设计能力。</w:t>
      </w:r>
    </w:p>
    <w:p w14:paraId="3F94F7C3" w14:textId="77777777" w:rsidR="00C62405" w:rsidRPr="00C62405" w:rsidRDefault="00C62405" w:rsidP="00C62405">
      <w:pPr>
        <w:spacing w:line="440" w:lineRule="exact"/>
        <w:ind w:firstLineChars="200" w:firstLine="482"/>
        <w:rPr>
          <w:rFonts w:ascii="宋体" w:eastAsia="宋体" w:hAnsi="宋体" w:cs="Times New Roman"/>
          <w:bCs/>
          <w:color w:val="FF0000"/>
          <w:sz w:val="24"/>
        </w:rPr>
      </w:pPr>
      <w:r w:rsidRPr="00C62405">
        <w:rPr>
          <w:rFonts w:ascii="宋体" w:eastAsia="宋体" w:hAnsi="宋体" w:cs="Times New Roman" w:hint="eastAsia"/>
          <w:b/>
          <w:sz w:val="24"/>
        </w:rPr>
        <w:t>【复习思考】</w:t>
      </w:r>
    </w:p>
    <w:p w14:paraId="50F1CA62"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w:t>
      </w:r>
      <w:r w:rsidRPr="00C62405">
        <w:rPr>
          <w:rFonts w:ascii="宋体" w:eastAsia="宋体" w:hAnsi="宋体" w:cs="Times New Roman" w:hint="eastAsia"/>
          <w:sz w:val="24"/>
        </w:rPr>
        <w:t>大学生恋爱心理的发展特点</w:t>
      </w:r>
    </w:p>
    <w:p w14:paraId="66EDE392"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2.如何培养健康的恋爱观和择偶观</w:t>
      </w:r>
    </w:p>
    <w:p w14:paraId="4F404D4D" w14:textId="77777777" w:rsidR="00C62405" w:rsidRPr="00C62405" w:rsidRDefault="00C62405" w:rsidP="00C62405">
      <w:pPr>
        <w:spacing w:beforeLines="50" w:before="156" w:afterLines="50" w:after="156" w:line="440" w:lineRule="exact"/>
        <w:ind w:firstLineChars="700" w:firstLine="1960"/>
        <w:outlineLvl w:val="2"/>
        <w:rPr>
          <w:rFonts w:ascii="黑体" w:eastAsia="黑体" w:hAnsi="黑体" w:cs="Times New Roman"/>
          <w:sz w:val="28"/>
          <w:szCs w:val="28"/>
        </w:rPr>
      </w:pPr>
      <w:r w:rsidRPr="00C62405">
        <w:rPr>
          <w:rFonts w:ascii="黑体" w:eastAsia="黑体" w:hAnsi="黑体" w:cs="Times New Roman" w:hint="eastAsia"/>
          <w:sz w:val="28"/>
          <w:szCs w:val="28"/>
        </w:rPr>
        <w:t>第十章  大学生压力管理和挫折应对</w:t>
      </w:r>
    </w:p>
    <w:p w14:paraId="70E26713"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【学习目标】</w:t>
      </w:r>
    </w:p>
    <w:p w14:paraId="38993784"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认知类目标：通过教学使学生正确理解压力和挫折，了解大学生压力及挫折的主要来源，了解压力与挫折对人生的意义，学会正确管理压力和应对挫折。</w:t>
      </w:r>
    </w:p>
    <w:p w14:paraId="68F3A748"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【学习内容】</w:t>
      </w:r>
    </w:p>
    <w:p w14:paraId="6665574F"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1.压力和挫折概述</w:t>
      </w:r>
    </w:p>
    <w:p w14:paraId="58D36FF4"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2.大学生压力和挫折的产生</w:t>
      </w:r>
    </w:p>
    <w:p w14:paraId="427ABFF4"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3.压力和挫折对大学生心理的影响</w:t>
      </w:r>
    </w:p>
    <w:p w14:paraId="7A22C516"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【重点】</w:t>
      </w:r>
    </w:p>
    <w:p w14:paraId="22EFC7D8" w14:textId="77777777" w:rsidR="00C62405" w:rsidRPr="00C62405" w:rsidRDefault="00C62405" w:rsidP="00747ECA">
      <w:pPr>
        <w:numPr>
          <w:ilvl w:val="0"/>
          <w:numId w:val="69"/>
        </w:num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压力和挫折对大学生心理产生的影响</w:t>
      </w:r>
    </w:p>
    <w:p w14:paraId="63D25DD7" w14:textId="77777777" w:rsidR="00C62405" w:rsidRPr="00C62405" w:rsidRDefault="00C62405" w:rsidP="00747ECA">
      <w:pPr>
        <w:numPr>
          <w:ilvl w:val="0"/>
          <w:numId w:val="69"/>
        </w:num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压力的产生和应对</w:t>
      </w:r>
    </w:p>
    <w:p w14:paraId="18670009"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【难点】</w:t>
      </w:r>
    </w:p>
    <w:p w14:paraId="42792792"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楷体_GB2312" w:hint="eastAsia"/>
          <w:color w:val="000000"/>
          <w:kern w:val="0"/>
          <w:sz w:val="24"/>
        </w:rPr>
        <w:t>1.</w:t>
      </w:r>
      <w:r w:rsidRPr="00C62405">
        <w:rPr>
          <w:rFonts w:ascii="宋体" w:eastAsia="宋体" w:hAnsi="宋体" w:cs="Times New Roman" w:hint="eastAsia"/>
          <w:sz w:val="24"/>
        </w:rPr>
        <w:t>压力管理和挫折应对的方式</w:t>
      </w:r>
    </w:p>
    <w:p w14:paraId="3CEFDEC3" w14:textId="77777777" w:rsidR="00C62405" w:rsidRPr="00C62405" w:rsidRDefault="00C62405" w:rsidP="00C62405">
      <w:pPr>
        <w:spacing w:line="440" w:lineRule="exact"/>
        <w:ind w:firstLineChars="200" w:firstLine="482"/>
        <w:rPr>
          <w:rFonts w:ascii="宋体" w:eastAsia="宋体" w:hAnsi="宋体" w:cs="Times New Roman"/>
          <w:color w:val="FF0000"/>
          <w:sz w:val="24"/>
        </w:rPr>
      </w:pPr>
      <w:r w:rsidRPr="00C62405">
        <w:rPr>
          <w:rFonts w:ascii="宋体" w:eastAsia="宋体" w:hAnsi="宋体" w:cs="Times New Roman" w:hint="eastAsia"/>
          <w:b/>
          <w:bCs/>
          <w:sz w:val="24"/>
        </w:rPr>
        <w:t>【教学方法】</w:t>
      </w:r>
    </w:p>
    <w:p w14:paraId="5941A6B2"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46A4DBEC"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2.通过小组合作学习，树立育人意识，发展学生的合作能力和校本课程设计能力。</w:t>
      </w:r>
    </w:p>
    <w:p w14:paraId="3D95BDBB" w14:textId="77777777" w:rsidR="00C62405" w:rsidRPr="00C62405" w:rsidRDefault="00C62405" w:rsidP="00C62405">
      <w:pPr>
        <w:spacing w:line="440" w:lineRule="exact"/>
        <w:ind w:firstLineChars="200" w:firstLine="482"/>
        <w:rPr>
          <w:rFonts w:ascii="宋体" w:eastAsia="宋体" w:hAnsi="宋体" w:cs="Times New Roman"/>
          <w:bCs/>
          <w:color w:val="FF0000"/>
          <w:sz w:val="24"/>
        </w:rPr>
      </w:pPr>
      <w:r w:rsidRPr="00C62405">
        <w:rPr>
          <w:rFonts w:ascii="宋体" w:eastAsia="宋体" w:hAnsi="宋体" w:cs="Times New Roman" w:hint="eastAsia"/>
          <w:b/>
          <w:sz w:val="24"/>
        </w:rPr>
        <w:t>【复习思考】</w:t>
      </w:r>
    </w:p>
    <w:p w14:paraId="349C9656"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w:t>
      </w:r>
      <w:r w:rsidRPr="00C62405">
        <w:rPr>
          <w:rFonts w:ascii="宋体" w:eastAsia="宋体" w:hAnsi="宋体" w:cs="Times New Roman" w:hint="eastAsia"/>
          <w:sz w:val="24"/>
        </w:rPr>
        <w:t>大学生压力和挫折的特点是什么？</w:t>
      </w:r>
    </w:p>
    <w:p w14:paraId="76402E31"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2.如何进行压力管理和挫折应对？</w:t>
      </w:r>
    </w:p>
    <w:p w14:paraId="1738FC8C" w14:textId="77777777" w:rsidR="00C62405" w:rsidRPr="00C62405" w:rsidRDefault="00C62405" w:rsidP="00C62405">
      <w:pPr>
        <w:spacing w:beforeLines="50" w:before="156" w:afterLines="50" w:after="156" w:line="440" w:lineRule="exact"/>
        <w:ind w:firstLineChars="700" w:firstLine="1960"/>
        <w:outlineLvl w:val="2"/>
        <w:rPr>
          <w:rFonts w:ascii="黑体" w:eastAsia="黑体" w:hAnsi="黑体" w:cs="Times New Roman"/>
          <w:sz w:val="28"/>
          <w:szCs w:val="28"/>
        </w:rPr>
      </w:pPr>
      <w:r w:rsidRPr="00C62405">
        <w:rPr>
          <w:rFonts w:ascii="黑体" w:eastAsia="黑体" w:hAnsi="黑体" w:cs="Times New Roman" w:hint="eastAsia"/>
          <w:sz w:val="28"/>
          <w:szCs w:val="28"/>
        </w:rPr>
        <w:t>第十一章  大学生生命教育与心理危机应对</w:t>
      </w:r>
    </w:p>
    <w:p w14:paraId="003D4C52"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lastRenderedPageBreak/>
        <w:t>【学习目标】</w:t>
      </w:r>
    </w:p>
    <w:p w14:paraId="4AA5A7E0"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认知类目标：通过教学使学生正确理解压力和挫折，了解大学生压力及挫折的主要来源，了解压力与挫折对人生的意义，学会正确管理压力和应对挫折。</w:t>
      </w:r>
    </w:p>
    <w:p w14:paraId="50261E28"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【学习内容】</w:t>
      </w:r>
    </w:p>
    <w:p w14:paraId="615FCE54"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1.生命意义的探索</w:t>
      </w:r>
    </w:p>
    <w:p w14:paraId="337B58A3"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2.大学生的心理危机</w:t>
      </w:r>
    </w:p>
    <w:p w14:paraId="1E04432D"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3.大学生心理危机的特点</w:t>
      </w:r>
    </w:p>
    <w:p w14:paraId="2491E6A6"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4.大学生心理危机的预防和干预</w:t>
      </w:r>
    </w:p>
    <w:p w14:paraId="0C4A24DB"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5.校园自杀危机的预防和干预</w:t>
      </w:r>
    </w:p>
    <w:p w14:paraId="1374A207"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6.追求幸福人生</w:t>
      </w:r>
    </w:p>
    <w:p w14:paraId="7C78B06B"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【重点】</w:t>
      </w:r>
    </w:p>
    <w:p w14:paraId="3D14FCD2" w14:textId="77777777" w:rsidR="00C62405" w:rsidRPr="00C62405" w:rsidRDefault="00C62405" w:rsidP="00747ECA">
      <w:pPr>
        <w:numPr>
          <w:ilvl w:val="0"/>
          <w:numId w:val="70"/>
        </w:numPr>
        <w:spacing w:line="440" w:lineRule="exact"/>
        <w:rPr>
          <w:rFonts w:ascii="宋体" w:eastAsia="宋体" w:hAnsi="宋体" w:cs="Times New Roman"/>
          <w:sz w:val="24"/>
        </w:rPr>
      </w:pPr>
      <w:r w:rsidRPr="00C62405">
        <w:rPr>
          <w:rFonts w:ascii="宋体" w:eastAsia="宋体" w:hAnsi="宋体" w:cs="Times New Roman" w:hint="eastAsia"/>
          <w:sz w:val="24"/>
        </w:rPr>
        <w:t>大学生心理危机的类型</w:t>
      </w:r>
    </w:p>
    <w:p w14:paraId="6933D92E" w14:textId="77777777" w:rsidR="00C62405" w:rsidRPr="00C62405" w:rsidRDefault="00C62405" w:rsidP="00747ECA">
      <w:pPr>
        <w:numPr>
          <w:ilvl w:val="0"/>
          <w:numId w:val="70"/>
        </w:numPr>
        <w:spacing w:line="440" w:lineRule="exact"/>
        <w:rPr>
          <w:rFonts w:ascii="宋体" w:eastAsia="宋体" w:hAnsi="宋体" w:cs="Times New Roman"/>
          <w:sz w:val="24"/>
        </w:rPr>
      </w:pPr>
      <w:r w:rsidRPr="00C62405">
        <w:rPr>
          <w:rFonts w:ascii="宋体" w:eastAsia="宋体" w:hAnsi="宋体" w:cs="Times New Roman" w:hint="eastAsia"/>
          <w:sz w:val="24"/>
        </w:rPr>
        <w:t>大学生心理危机的成因</w:t>
      </w:r>
    </w:p>
    <w:p w14:paraId="051FB233"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【难点】</w:t>
      </w:r>
    </w:p>
    <w:p w14:paraId="2C040500" w14:textId="77777777" w:rsidR="00C62405" w:rsidRPr="00C62405" w:rsidRDefault="00C62405" w:rsidP="00747ECA">
      <w:pPr>
        <w:numPr>
          <w:ilvl w:val="0"/>
          <w:numId w:val="71"/>
        </w:num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心理危机成因理论</w:t>
      </w:r>
    </w:p>
    <w:p w14:paraId="3140ACDD" w14:textId="77777777" w:rsidR="00C62405" w:rsidRPr="00C62405" w:rsidRDefault="00C62405" w:rsidP="00747ECA">
      <w:pPr>
        <w:numPr>
          <w:ilvl w:val="0"/>
          <w:numId w:val="71"/>
        </w:num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如何干预心理危机事件</w:t>
      </w:r>
    </w:p>
    <w:p w14:paraId="1934684A" w14:textId="77777777" w:rsidR="00C62405" w:rsidRPr="00C62405" w:rsidRDefault="00C62405" w:rsidP="00C62405">
      <w:pPr>
        <w:spacing w:line="440" w:lineRule="exact"/>
        <w:ind w:firstLineChars="200" w:firstLine="482"/>
        <w:rPr>
          <w:rFonts w:ascii="宋体" w:eastAsia="宋体" w:hAnsi="宋体" w:cs="Times New Roman"/>
          <w:color w:val="FF0000"/>
          <w:sz w:val="24"/>
        </w:rPr>
      </w:pPr>
      <w:r w:rsidRPr="00C62405">
        <w:rPr>
          <w:rFonts w:ascii="宋体" w:eastAsia="宋体" w:hAnsi="宋体" w:cs="Times New Roman" w:hint="eastAsia"/>
          <w:b/>
          <w:bCs/>
          <w:sz w:val="24"/>
        </w:rPr>
        <w:t>【教学方法】</w:t>
      </w:r>
    </w:p>
    <w:p w14:paraId="0A9195BC"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0E29FF47"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2.通过小组合作学习，树立育人意识，发展学生的合作能力和校本课程设计能力。</w:t>
      </w:r>
    </w:p>
    <w:p w14:paraId="7C33002F" w14:textId="77777777" w:rsidR="00C62405" w:rsidRPr="00C62405" w:rsidRDefault="00C62405" w:rsidP="00C62405">
      <w:pPr>
        <w:spacing w:line="440" w:lineRule="exact"/>
        <w:ind w:firstLineChars="200" w:firstLine="482"/>
        <w:rPr>
          <w:rFonts w:ascii="宋体" w:eastAsia="宋体" w:hAnsi="宋体" w:cs="Times New Roman"/>
          <w:bCs/>
          <w:color w:val="FF0000"/>
          <w:sz w:val="24"/>
        </w:rPr>
      </w:pPr>
      <w:r w:rsidRPr="00C62405">
        <w:rPr>
          <w:rFonts w:ascii="宋体" w:eastAsia="宋体" w:hAnsi="宋体" w:cs="Times New Roman" w:hint="eastAsia"/>
          <w:b/>
          <w:sz w:val="24"/>
        </w:rPr>
        <w:t>【复习思考】</w:t>
      </w:r>
    </w:p>
    <w:p w14:paraId="4B9B1085"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w:t>
      </w:r>
      <w:r w:rsidRPr="00C62405">
        <w:rPr>
          <w:rFonts w:ascii="宋体" w:eastAsia="宋体" w:hAnsi="宋体" w:cs="Times New Roman" w:hint="eastAsia"/>
          <w:sz w:val="24"/>
        </w:rPr>
        <w:t>大学生的心理危机有哪些？</w:t>
      </w:r>
    </w:p>
    <w:p w14:paraId="16D5AB7D"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2.怎样预防和干预心理危机。</w:t>
      </w:r>
    </w:p>
    <w:p w14:paraId="1E20A6D7" w14:textId="77777777" w:rsidR="00C62405" w:rsidRPr="00C62405" w:rsidRDefault="00C62405" w:rsidP="00C62405">
      <w:pPr>
        <w:spacing w:beforeLines="50" w:before="156" w:afterLines="50" w:after="156" w:line="440" w:lineRule="exact"/>
        <w:ind w:firstLineChars="700" w:firstLine="1960"/>
        <w:outlineLvl w:val="2"/>
        <w:rPr>
          <w:rFonts w:ascii="黑体" w:eastAsia="黑体" w:hAnsi="黑体" w:cs="Times New Roman"/>
          <w:sz w:val="28"/>
          <w:szCs w:val="28"/>
        </w:rPr>
      </w:pPr>
      <w:r w:rsidRPr="00C62405">
        <w:rPr>
          <w:rFonts w:ascii="黑体" w:eastAsia="黑体" w:hAnsi="黑体" w:cs="Times New Roman" w:hint="eastAsia"/>
          <w:sz w:val="28"/>
          <w:szCs w:val="28"/>
        </w:rPr>
        <w:t>第十二章  大学期间生涯规划及能力发展</w:t>
      </w:r>
    </w:p>
    <w:p w14:paraId="65AD4412"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【学习目标】</w:t>
      </w:r>
    </w:p>
    <w:p w14:paraId="431948B2"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宋体" w:eastAsia="宋体" w:hAnsi="宋体" w:cs="Times New Roman" w:hint="eastAsia"/>
          <w:sz w:val="24"/>
        </w:rPr>
        <w:t>认知类目标：通过教学帮助学生了解在大学期间需要发展的能力目标，并在此基础上对自己的大学生涯规划，有目的地安排自己的时间，更好适应大学生活，获得自我发展。</w:t>
      </w:r>
    </w:p>
    <w:p w14:paraId="3C06AC8E" w14:textId="77777777" w:rsidR="00C62405" w:rsidRPr="00C62405" w:rsidRDefault="00C62405" w:rsidP="00C62405">
      <w:pPr>
        <w:spacing w:line="440" w:lineRule="exact"/>
        <w:ind w:firstLineChars="200" w:firstLine="480"/>
        <w:rPr>
          <w:rFonts w:ascii="宋体" w:eastAsia="宋体" w:hAnsi="宋体" w:cs="Times New Roman"/>
          <w:sz w:val="24"/>
        </w:rPr>
      </w:pPr>
    </w:p>
    <w:p w14:paraId="67169FE5"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【学习内容】</w:t>
      </w:r>
    </w:p>
    <w:p w14:paraId="6A010C00"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1.大学生活的特点及生涯规划</w:t>
      </w:r>
    </w:p>
    <w:p w14:paraId="453646D9"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lastRenderedPageBreak/>
        <w:t>2.大学生能力概述及发展目标</w:t>
      </w:r>
    </w:p>
    <w:p w14:paraId="4E48CD6B"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3.大学期间生涯规划的制定</w:t>
      </w:r>
    </w:p>
    <w:p w14:paraId="59FD72DD" w14:textId="77777777" w:rsidR="00C62405" w:rsidRPr="00C62405" w:rsidRDefault="00C62405" w:rsidP="00C62405">
      <w:pPr>
        <w:spacing w:line="440" w:lineRule="exact"/>
        <w:ind w:firstLineChars="200" w:firstLine="480"/>
        <w:rPr>
          <w:rFonts w:ascii="宋体" w:eastAsia="宋体" w:hAnsi="宋体" w:cs="Times New Roman"/>
          <w:bCs/>
          <w:sz w:val="24"/>
        </w:rPr>
      </w:pPr>
      <w:r w:rsidRPr="00C62405">
        <w:rPr>
          <w:rFonts w:ascii="宋体" w:eastAsia="宋体" w:hAnsi="宋体" w:cs="Times New Roman" w:hint="eastAsia"/>
          <w:bCs/>
          <w:sz w:val="24"/>
        </w:rPr>
        <w:t>4.学会时间管理</w:t>
      </w:r>
    </w:p>
    <w:p w14:paraId="6B2C5ED3"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【重点】</w:t>
      </w:r>
    </w:p>
    <w:p w14:paraId="203EBCFD" w14:textId="77777777" w:rsidR="00C62405" w:rsidRPr="00C62405" w:rsidRDefault="00C62405" w:rsidP="00C62405">
      <w:pPr>
        <w:spacing w:line="440" w:lineRule="exact"/>
        <w:ind w:left="480"/>
        <w:rPr>
          <w:rFonts w:ascii="宋体" w:eastAsia="宋体" w:hAnsi="宋体" w:cs="Times New Roman"/>
          <w:sz w:val="24"/>
        </w:rPr>
      </w:pPr>
      <w:r w:rsidRPr="00C62405">
        <w:rPr>
          <w:rFonts w:ascii="宋体" w:eastAsia="宋体" w:hAnsi="宋体" w:cs="Times New Roman" w:hint="eastAsia"/>
          <w:sz w:val="24"/>
        </w:rPr>
        <w:t>1.大学生生涯规划的制定</w:t>
      </w:r>
    </w:p>
    <w:p w14:paraId="21E504F6" w14:textId="77777777" w:rsidR="00C62405" w:rsidRPr="00C62405" w:rsidRDefault="00C62405" w:rsidP="00C62405">
      <w:pPr>
        <w:spacing w:line="440" w:lineRule="exact"/>
        <w:ind w:firstLineChars="200" w:firstLine="482"/>
        <w:rPr>
          <w:rFonts w:ascii="宋体" w:eastAsia="宋体" w:hAnsi="宋体" w:cs="Times New Roman"/>
          <w:b/>
          <w:sz w:val="24"/>
        </w:rPr>
      </w:pPr>
      <w:r w:rsidRPr="00C62405">
        <w:rPr>
          <w:rFonts w:ascii="宋体" w:eastAsia="宋体" w:hAnsi="宋体" w:cs="Times New Roman" w:hint="eastAsia"/>
          <w:b/>
          <w:sz w:val="24"/>
        </w:rPr>
        <w:t>【难点】</w:t>
      </w:r>
    </w:p>
    <w:p w14:paraId="69FC1D0B"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1.大学生择业心理与影响因素</w:t>
      </w:r>
    </w:p>
    <w:p w14:paraId="07F31A5F"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2.大学生规划职业能力的培养</w:t>
      </w:r>
    </w:p>
    <w:p w14:paraId="14476D28" w14:textId="77777777" w:rsidR="00C62405" w:rsidRPr="00C62405" w:rsidRDefault="00C62405" w:rsidP="00C62405">
      <w:pPr>
        <w:spacing w:line="440" w:lineRule="exact"/>
        <w:ind w:firstLineChars="200" w:firstLine="482"/>
        <w:rPr>
          <w:rFonts w:ascii="宋体" w:eastAsia="宋体" w:hAnsi="宋体" w:cs="Times New Roman"/>
          <w:color w:val="FF0000"/>
          <w:sz w:val="24"/>
        </w:rPr>
      </w:pPr>
      <w:r w:rsidRPr="00C62405">
        <w:rPr>
          <w:rFonts w:ascii="宋体" w:eastAsia="宋体" w:hAnsi="宋体" w:cs="Times New Roman" w:hint="eastAsia"/>
          <w:b/>
          <w:bCs/>
          <w:sz w:val="24"/>
        </w:rPr>
        <w:t>【教学方法】</w:t>
      </w:r>
    </w:p>
    <w:p w14:paraId="13334551"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30F6E73A"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2.通过小组合作学习，树立育人意识，发展学生的合作能力和校本课程设计能力。</w:t>
      </w:r>
    </w:p>
    <w:p w14:paraId="0B117BC2" w14:textId="77777777" w:rsidR="00C62405" w:rsidRPr="00C62405" w:rsidRDefault="00C62405" w:rsidP="00C62405">
      <w:pPr>
        <w:spacing w:beforeLines="50" w:before="156" w:afterLines="50" w:after="156" w:line="440" w:lineRule="exact"/>
        <w:ind w:left="561"/>
        <w:outlineLvl w:val="1"/>
        <w:rPr>
          <w:rFonts w:ascii="仿宋" w:eastAsia="仿宋" w:hAnsi="仿宋" w:cs="Times New Roman"/>
          <w:sz w:val="24"/>
        </w:rPr>
      </w:pPr>
      <w:r w:rsidRPr="00C62405">
        <w:rPr>
          <w:rFonts w:ascii="黑体" w:eastAsia="黑体" w:hAnsi="黑体" w:cs="Times New Roman" w:hint="eastAsia"/>
          <w:sz w:val="28"/>
          <w:szCs w:val="28"/>
        </w:rPr>
        <w:t>（二）课程学习内容与课程学习目标的对应关系</w:t>
      </w:r>
      <w:r w:rsidRPr="00C62405">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C62405" w:rsidRPr="00C62405" w14:paraId="4BA39C6A" w14:textId="77777777" w:rsidTr="00423AD2">
        <w:trPr>
          <w:trHeight w:val="660"/>
          <w:jc w:val="center"/>
        </w:trPr>
        <w:tc>
          <w:tcPr>
            <w:tcW w:w="3403" w:type="dxa"/>
            <w:vAlign w:val="center"/>
          </w:tcPr>
          <w:p w14:paraId="38C5733B" w14:textId="77777777" w:rsidR="00C62405" w:rsidRPr="00C62405" w:rsidRDefault="00C62405" w:rsidP="00C62405">
            <w:pPr>
              <w:spacing w:line="440" w:lineRule="exact"/>
              <w:jc w:val="center"/>
              <w:rPr>
                <w:rFonts w:ascii="宋体" w:eastAsia="宋体" w:hAnsi="宋体" w:cs="Times New Roman"/>
                <w:b/>
                <w:bCs/>
                <w:sz w:val="24"/>
              </w:rPr>
            </w:pPr>
            <w:r w:rsidRPr="00C62405">
              <w:rPr>
                <w:rFonts w:ascii="宋体" w:eastAsia="宋体" w:hAnsi="宋体" w:cs="Times New Roman" w:hint="eastAsia"/>
                <w:b/>
                <w:bCs/>
                <w:sz w:val="24"/>
              </w:rPr>
              <w:t>课程学习内容</w:t>
            </w:r>
          </w:p>
        </w:tc>
        <w:tc>
          <w:tcPr>
            <w:tcW w:w="2693" w:type="dxa"/>
            <w:vAlign w:val="center"/>
          </w:tcPr>
          <w:p w14:paraId="09E2694A" w14:textId="77777777" w:rsidR="00C62405" w:rsidRPr="00C62405" w:rsidRDefault="00C62405" w:rsidP="00C62405">
            <w:pPr>
              <w:spacing w:line="440" w:lineRule="exact"/>
              <w:jc w:val="center"/>
              <w:rPr>
                <w:rFonts w:ascii="宋体" w:eastAsia="宋体" w:hAnsi="宋体" w:cs="Times New Roman"/>
                <w:b/>
                <w:bCs/>
                <w:sz w:val="24"/>
              </w:rPr>
            </w:pPr>
            <w:r w:rsidRPr="00C62405">
              <w:rPr>
                <w:rFonts w:ascii="宋体" w:eastAsia="宋体" w:hAnsi="宋体" w:cs="Times New Roman" w:hint="eastAsia"/>
                <w:b/>
                <w:bCs/>
                <w:sz w:val="24"/>
              </w:rPr>
              <w:t>教学方法</w:t>
            </w:r>
          </w:p>
        </w:tc>
        <w:tc>
          <w:tcPr>
            <w:tcW w:w="1985" w:type="dxa"/>
            <w:vAlign w:val="center"/>
          </w:tcPr>
          <w:p w14:paraId="4DEE00F7" w14:textId="77777777" w:rsidR="00C62405" w:rsidRPr="00C62405" w:rsidRDefault="00C62405" w:rsidP="00C62405">
            <w:pPr>
              <w:spacing w:line="440" w:lineRule="exact"/>
              <w:jc w:val="center"/>
              <w:rPr>
                <w:rFonts w:ascii="宋体" w:eastAsia="宋体" w:hAnsi="宋体" w:cs="Times New Roman"/>
                <w:b/>
                <w:bCs/>
                <w:sz w:val="24"/>
              </w:rPr>
            </w:pPr>
            <w:r w:rsidRPr="00C62405">
              <w:rPr>
                <w:rFonts w:ascii="宋体" w:eastAsia="宋体" w:hAnsi="宋体" w:cs="Times New Roman" w:hint="eastAsia"/>
                <w:b/>
                <w:bCs/>
                <w:sz w:val="24"/>
              </w:rPr>
              <w:t>支撑的课程目标</w:t>
            </w:r>
          </w:p>
        </w:tc>
        <w:tc>
          <w:tcPr>
            <w:tcW w:w="1276" w:type="dxa"/>
            <w:vAlign w:val="center"/>
          </w:tcPr>
          <w:p w14:paraId="3EA7EFB4" w14:textId="77777777" w:rsidR="00C62405" w:rsidRPr="00C62405" w:rsidRDefault="00C62405" w:rsidP="00C62405">
            <w:pPr>
              <w:spacing w:line="440" w:lineRule="exact"/>
              <w:jc w:val="center"/>
              <w:rPr>
                <w:rFonts w:ascii="宋体" w:eastAsia="宋体" w:hAnsi="宋体" w:cs="Times New Roman"/>
                <w:b/>
                <w:bCs/>
                <w:sz w:val="24"/>
              </w:rPr>
            </w:pPr>
            <w:r w:rsidRPr="00C62405">
              <w:rPr>
                <w:rFonts w:ascii="宋体" w:eastAsia="宋体" w:hAnsi="宋体" w:cs="Times New Roman" w:hint="eastAsia"/>
                <w:b/>
                <w:bCs/>
                <w:sz w:val="24"/>
              </w:rPr>
              <w:t>学时安排</w:t>
            </w:r>
          </w:p>
        </w:tc>
      </w:tr>
      <w:tr w:rsidR="00C62405" w:rsidRPr="00C62405" w14:paraId="7CB5F0E1" w14:textId="77777777" w:rsidTr="00423AD2">
        <w:trPr>
          <w:trHeight w:val="514"/>
          <w:jc w:val="center"/>
        </w:trPr>
        <w:tc>
          <w:tcPr>
            <w:tcW w:w="3403" w:type="dxa"/>
            <w:vAlign w:val="center"/>
          </w:tcPr>
          <w:p w14:paraId="5EB4680C" w14:textId="77777777" w:rsidR="00C62405" w:rsidRPr="00C62405" w:rsidRDefault="00C62405" w:rsidP="00C62405">
            <w:pPr>
              <w:spacing w:line="440" w:lineRule="exact"/>
              <w:jc w:val="left"/>
              <w:rPr>
                <w:rFonts w:ascii="宋体" w:eastAsia="宋体" w:hAnsi="宋体" w:cs="Times New Roman"/>
                <w:sz w:val="24"/>
              </w:rPr>
            </w:pPr>
            <w:r w:rsidRPr="00C62405">
              <w:rPr>
                <w:rFonts w:ascii="宋体" w:eastAsia="宋体" w:hAnsi="宋体" w:cs="Times New Roman" w:hint="eastAsia"/>
                <w:sz w:val="24"/>
              </w:rPr>
              <w:t>第一章 大学生心理健康导论</w:t>
            </w:r>
          </w:p>
        </w:tc>
        <w:tc>
          <w:tcPr>
            <w:tcW w:w="2693" w:type="dxa"/>
            <w:vAlign w:val="center"/>
          </w:tcPr>
          <w:p w14:paraId="4A087085"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讲授法</w:t>
            </w:r>
          </w:p>
        </w:tc>
        <w:tc>
          <w:tcPr>
            <w:tcW w:w="1985" w:type="dxa"/>
            <w:vAlign w:val="center"/>
          </w:tcPr>
          <w:p w14:paraId="40D18831"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课程目标1</w:t>
            </w:r>
          </w:p>
        </w:tc>
        <w:tc>
          <w:tcPr>
            <w:tcW w:w="1276" w:type="dxa"/>
            <w:vAlign w:val="center"/>
          </w:tcPr>
          <w:p w14:paraId="41628C87"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2</w:t>
            </w:r>
          </w:p>
        </w:tc>
      </w:tr>
      <w:tr w:rsidR="00C62405" w:rsidRPr="00C62405" w14:paraId="7F2CF886" w14:textId="77777777" w:rsidTr="00423AD2">
        <w:trPr>
          <w:trHeight w:val="90"/>
          <w:jc w:val="center"/>
        </w:trPr>
        <w:tc>
          <w:tcPr>
            <w:tcW w:w="3403" w:type="dxa"/>
            <w:vAlign w:val="center"/>
          </w:tcPr>
          <w:p w14:paraId="6AE6DFC5" w14:textId="77777777" w:rsidR="00C62405" w:rsidRPr="00C62405" w:rsidRDefault="00C62405" w:rsidP="00C62405">
            <w:pPr>
              <w:spacing w:line="440" w:lineRule="exact"/>
              <w:jc w:val="left"/>
              <w:rPr>
                <w:rFonts w:ascii="宋体" w:eastAsia="宋体" w:hAnsi="宋体" w:cs="Times New Roman"/>
                <w:sz w:val="24"/>
              </w:rPr>
            </w:pPr>
            <w:r w:rsidRPr="00C62405">
              <w:rPr>
                <w:rFonts w:ascii="宋体" w:eastAsia="宋体" w:hAnsi="宋体" w:cs="Times New Roman" w:hint="eastAsia"/>
                <w:sz w:val="24"/>
              </w:rPr>
              <w:t>第二章 大学生心理咨询</w:t>
            </w:r>
          </w:p>
        </w:tc>
        <w:tc>
          <w:tcPr>
            <w:tcW w:w="2693" w:type="dxa"/>
            <w:vAlign w:val="center"/>
          </w:tcPr>
          <w:p w14:paraId="36238878"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讲授法、案例教学</w:t>
            </w:r>
          </w:p>
        </w:tc>
        <w:tc>
          <w:tcPr>
            <w:tcW w:w="1985" w:type="dxa"/>
            <w:vAlign w:val="center"/>
          </w:tcPr>
          <w:p w14:paraId="0C373FD5"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课程目标2、3</w:t>
            </w:r>
          </w:p>
        </w:tc>
        <w:tc>
          <w:tcPr>
            <w:tcW w:w="1276" w:type="dxa"/>
            <w:vAlign w:val="center"/>
          </w:tcPr>
          <w:p w14:paraId="3E9898DC"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2</w:t>
            </w:r>
          </w:p>
        </w:tc>
      </w:tr>
      <w:tr w:rsidR="00C62405" w:rsidRPr="00C62405" w14:paraId="352C5FD0" w14:textId="77777777" w:rsidTr="00423AD2">
        <w:trPr>
          <w:jc w:val="center"/>
        </w:trPr>
        <w:tc>
          <w:tcPr>
            <w:tcW w:w="3403" w:type="dxa"/>
            <w:vAlign w:val="center"/>
          </w:tcPr>
          <w:p w14:paraId="7B472D41" w14:textId="77777777" w:rsidR="00C62405" w:rsidRPr="00C62405" w:rsidRDefault="00C62405" w:rsidP="00C62405">
            <w:pPr>
              <w:spacing w:line="440" w:lineRule="exact"/>
              <w:jc w:val="left"/>
              <w:rPr>
                <w:rFonts w:ascii="宋体" w:eastAsia="宋体" w:hAnsi="宋体" w:cs="Times New Roman"/>
                <w:sz w:val="24"/>
              </w:rPr>
            </w:pPr>
            <w:r w:rsidRPr="00C62405">
              <w:rPr>
                <w:rFonts w:ascii="宋体" w:eastAsia="宋体" w:hAnsi="宋体" w:cs="Times New Roman" w:hint="eastAsia"/>
                <w:sz w:val="24"/>
              </w:rPr>
              <w:t>第三章 大学生心理困惑及异常心理</w:t>
            </w:r>
          </w:p>
        </w:tc>
        <w:tc>
          <w:tcPr>
            <w:tcW w:w="2693" w:type="dxa"/>
            <w:vAlign w:val="center"/>
          </w:tcPr>
          <w:p w14:paraId="74A00B20"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讲授法、案例教学</w:t>
            </w:r>
          </w:p>
        </w:tc>
        <w:tc>
          <w:tcPr>
            <w:tcW w:w="1985" w:type="dxa"/>
            <w:vAlign w:val="center"/>
          </w:tcPr>
          <w:p w14:paraId="3AD7B5D9"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课程目标2、3</w:t>
            </w:r>
          </w:p>
        </w:tc>
        <w:tc>
          <w:tcPr>
            <w:tcW w:w="1276" w:type="dxa"/>
            <w:vAlign w:val="center"/>
          </w:tcPr>
          <w:p w14:paraId="00681CFA"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2</w:t>
            </w:r>
          </w:p>
        </w:tc>
      </w:tr>
      <w:tr w:rsidR="00C62405" w:rsidRPr="00C62405" w14:paraId="01D979B7" w14:textId="77777777" w:rsidTr="00423AD2">
        <w:trPr>
          <w:jc w:val="center"/>
        </w:trPr>
        <w:tc>
          <w:tcPr>
            <w:tcW w:w="3403" w:type="dxa"/>
            <w:vAlign w:val="center"/>
          </w:tcPr>
          <w:p w14:paraId="026482DD" w14:textId="77777777" w:rsidR="00C62405" w:rsidRPr="00C62405" w:rsidRDefault="00C62405" w:rsidP="00C62405">
            <w:pPr>
              <w:spacing w:line="440" w:lineRule="exact"/>
              <w:jc w:val="left"/>
              <w:rPr>
                <w:rFonts w:ascii="宋体" w:eastAsia="宋体" w:hAnsi="宋体" w:cs="Times New Roman"/>
                <w:sz w:val="24"/>
              </w:rPr>
            </w:pPr>
            <w:r w:rsidRPr="00C62405">
              <w:rPr>
                <w:rFonts w:ascii="宋体" w:eastAsia="宋体" w:hAnsi="宋体" w:cs="Times New Roman" w:hint="eastAsia"/>
                <w:sz w:val="24"/>
              </w:rPr>
              <w:t>第四章 大学生的自我意识与培养</w:t>
            </w:r>
          </w:p>
        </w:tc>
        <w:tc>
          <w:tcPr>
            <w:tcW w:w="2693" w:type="dxa"/>
            <w:vAlign w:val="center"/>
          </w:tcPr>
          <w:p w14:paraId="64FD010B"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讲授法、小组讨论</w:t>
            </w:r>
          </w:p>
        </w:tc>
        <w:tc>
          <w:tcPr>
            <w:tcW w:w="1985" w:type="dxa"/>
            <w:vAlign w:val="center"/>
          </w:tcPr>
          <w:p w14:paraId="591DFC02"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课程目标3</w:t>
            </w:r>
          </w:p>
        </w:tc>
        <w:tc>
          <w:tcPr>
            <w:tcW w:w="1276" w:type="dxa"/>
            <w:vAlign w:val="center"/>
          </w:tcPr>
          <w:p w14:paraId="6E59B09D"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3</w:t>
            </w:r>
          </w:p>
        </w:tc>
      </w:tr>
      <w:tr w:rsidR="00C62405" w:rsidRPr="00C62405" w14:paraId="6355C0D2" w14:textId="77777777" w:rsidTr="00423AD2">
        <w:trPr>
          <w:jc w:val="center"/>
        </w:trPr>
        <w:tc>
          <w:tcPr>
            <w:tcW w:w="3403" w:type="dxa"/>
            <w:vAlign w:val="center"/>
          </w:tcPr>
          <w:p w14:paraId="0F1F0C91" w14:textId="77777777" w:rsidR="00C62405" w:rsidRPr="00C62405" w:rsidRDefault="00C62405" w:rsidP="00C62405">
            <w:pPr>
              <w:spacing w:line="440" w:lineRule="exact"/>
              <w:jc w:val="left"/>
              <w:rPr>
                <w:rFonts w:ascii="宋体" w:eastAsia="宋体" w:hAnsi="宋体" w:cs="Times New Roman"/>
                <w:sz w:val="24"/>
              </w:rPr>
            </w:pPr>
            <w:r w:rsidRPr="00C62405">
              <w:rPr>
                <w:rFonts w:ascii="宋体" w:eastAsia="宋体" w:hAnsi="宋体" w:cs="Times New Roman" w:hint="eastAsia"/>
                <w:sz w:val="24"/>
              </w:rPr>
              <w:t>第五章 大学生人格发展与心理健康</w:t>
            </w:r>
          </w:p>
        </w:tc>
        <w:tc>
          <w:tcPr>
            <w:tcW w:w="2693" w:type="dxa"/>
            <w:vAlign w:val="center"/>
          </w:tcPr>
          <w:p w14:paraId="3531DB2A"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讲授法、专题研讨</w:t>
            </w:r>
          </w:p>
        </w:tc>
        <w:tc>
          <w:tcPr>
            <w:tcW w:w="1985" w:type="dxa"/>
            <w:vAlign w:val="center"/>
          </w:tcPr>
          <w:p w14:paraId="54B1A57C"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课程目标1、3</w:t>
            </w:r>
          </w:p>
        </w:tc>
        <w:tc>
          <w:tcPr>
            <w:tcW w:w="1276" w:type="dxa"/>
            <w:vAlign w:val="center"/>
          </w:tcPr>
          <w:p w14:paraId="3E266DF9"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3</w:t>
            </w:r>
          </w:p>
        </w:tc>
      </w:tr>
      <w:tr w:rsidR="00C62405" w:rsidRPr="00C62405" w14:paraId="03A6F275" w14:textId="77777777" w:rsidTr="00423AD2">
        <w:trPr>
          <w:jc w:val="center"/>
        </w:trPr>
        <w:tc>
          <w:tcPr>
            <w:tcW w:w="3403" w:type="dxa"/>
            <w:vAlign w:val="center"/>
          </w:tcPr>
          <w:p w14:paraId="6BD3308C" w14:textId="77777777" w:rsidR="00C62405" w:rsidRPr="00C62405" w:rsidRDefault="00C62405" w:rsidP="00C62405">
            <w:pPr>
              <w:spacing w:line="440" w:lineRule="exact"/>
              <w:jc w:val="left"/>
              <w:rPr>
                <w:rFonts w:ascii="宋体" w:eastAsia="宋体" w:hAnsi="宋体" w:cs="Times New Roman"/>
                <w:sz w:val="24"/>
              </w:rPr>
            </w:pPr>
            <w:r w:rsidRPr="00C62405">
              <w:rPr>
                <w:rFonts w:ascii="宋体" w:eastAsia="宋体" w:hAnsi="宋体" w:cs="Times New Roman" w:hint="eastAsia"/>
                <w:sz w:val="24"/>
              </w:rPr>
              <w:t>第六章  大学生学习心理培养</w:t>
            </w:r>
          </w:p>
        </w:tc>
        <w:tc>
          <w:tcPr>
            <w:tcW w:w="2693" w:type="dxa"/>
            <w:vAlign w:val="center"/>
          </w:tcPr>
          <w:p w14:paraId="1FFA5928"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讲授法、专题研讨</w:t>
            </w:r>
          </w:p>
        </w:tc>
        <w:tc>
          <w:tcPr>
            <w:tcW w:w="1985" w:type="dxa"/>
            <w:vAlign w:val="center"/>
          </w:tcPr>
          <w:p w14:paraId="623B1564"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课程目标1、2</w:t>
            </w:r>
          </w:p>
        </w:tc>
        <w:tc>
          <w:tcPr>
            <w:tcW w:w="1276" w:type="dxa"/>
            <w:vAlign w:val="center"/>
          </w:tcPr>
          <w:p w14:paraId="0FB09092"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3</w:t>
            </w:r>
          </w:p>
        </w:tc>
      </w:tr>
      <w:tr w:rsidR="00C62405" w:rsidRPr="00C62405" w14:paraId="3EB30FCE" w14:textId="77777777" w:rsidTr="00423AD2">
        <w:trPr>
          <w:jc w:val="center"/>
        </w:trPr>
        <w:tc>
          <w:tcPr>
            <w:tcW w:w="3403" w:type="dxa"/>
            <w:vAlign w:val="center"/>
          </w:tcPr>
          <w:p w14:paraId="36B01592" w14:textId="77777777" w:rsidR="00C62405" w:rsidRPr="00C62405" w:rsidRDefault="00C62405" w:rsidP="00C62405">
            <w:pPr>
              <w:spacing w:line="440" w:lineRule="exact"/>
              <w:jc w:val="left"/>
              <w:rPr>
                <w:rFonts w:ascii="宋体" w:eastAsia="宋体" w:hAnsi="宋体" w:cs="Times New Roman"/>
                <w:sz w:val="24"/>
              </w:rPr>
            </w:pPr>
            <w:r w:rsidRPr="00C62405">
              <w:rPr>
                <w:rFonts w:ascii="宋体" w:eastAsia="宋体" w:hAnsi="宋体" w:cs="Times New Roman" w:hint="eastAsia"/>
                <w:sz w:val="24"/>
              </w:rPr>
              <w:t>第七章  大学生情绪管理和心理调试</w:t>
            </w:r>
          </w:p>
        </w:tc>
        <w:tc>
          <w:tcPr>
            <w:tcW w:w="2693" w:type="dxa"/>
            <w:vAlign w:val="center"/>
          </w:tcPr>
          <w:p w14:paraId="1C385C2E"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讲授法、案例教学</w:t>
            </w:r>
          </w:p>
        </w:tc>
        <w:tc>
          <w:tcPr>
            <w:tcW w:w="1985" w:type="dxa"/>
            <w:vAlign w:val="center"/>
          </w:tcPr>
          <w:p w14:paraId="393517E5"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课程目标2、3</w:t>
            </w:r>
          </w:p>
        </w:tc>
        <w:tc>
          <w:tcPr>
            <w:tcW w:w="1276" w:type="dxa"/>
            <w:vAlign w:val="center"/>
          </w:tcPr>
          <w:p w14:paraId="44E27519"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3</w:t>
            </w:r>
          </w:p>
        </w:tc>
      </w:tr>
      <w:tr w:rsidR="00C62405" w:rsidRPr="00C62405" w14:paraId="293BCFE7" w14:textId="77777777" w:rsidTr="00423AD2">
        <w:trPr>
          <w:jc w:val="center"/>
        </w:trPr>
        <w:tc>
          <w:tcPr>
            <w:tcW w:w="3403" w:type="dxa"/>
            <w:vAlign w:val="center"/>
          </w:tcPr>
          <w:p w14:paraId="767235DD" w14:textId="77777777" w:rsidR="00C62405" w:rsidRPr="00C62405" w:rsidRDefault="00C62405" w:rsidP="00C62405">
            <w:pPr>
              <w:spacing w:line="440" w:lineRule="exact"/>
              <w:jc w:val="left"/>
              <w:rPr>
                <w:rFonts w:ascii="宋体" w:eastAsia="宋体" w:hAnsi="宋体" w:cs="Times New Roman"/>
                <w:sz w:val="24"/>
              </w:rPr>
            </w:pPr>
            <w:r w:rsidRPr="00C62405">
              <w:rPr>
                <w:rFonts w:ascii="宋体" w:eastAsia="宋体" w:hAnsi="宋体" w:cs="Times New Roman" w:hint="eastAsia"/>
                <w:sz w:val="24"/>
              </w:rPr>
              <w:t>第八章  大学生人际关系与人际交往</w:t>
            </w:r>
          </w:p>
        </w:tc>
        <w:tc>
          <w:tcPr>
            <w:tcW w:w="2693" w:type="dxa"/>
            <w:vAlign w:val="center"/>
          </w:tcPr>
          <w:p w14:paraId="16894BEF"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讲授法、案例教学</w:t>
            </w:r>
          </w:p>
        </w:tc>
        <w:tc>
          <w:tcPr>
            <w:tcW w:w="1985" w:type="dxa"/>
            <w:vAlign w:val="center"/>
          </w:tcPr>
          <w:p w14:paraId="2C32D1FD"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课程目标2、3</w:t>
            </w:r>
          </w:p>
        </w:tc>
        <w:tc>
          <w:tcPr>
            <w:tcW w:w="1276" w:type="dxa"/>
            <w:vAlign w:val="center"/>
          </w:tcPr>
          <w:p w14:paraId="34AE994C"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3</w:t>
            </w:r>
          </w:p>
        </w:tc>
      </w:tr>
      <w:tr w:rsidR="00C62405" w:rsidRPr="00C62405" w14:paraId="0628A46A" w14:textId="77777777" w:rsidTr="00423AD2">
        <w:trPr>
          <w:jc w:val="center"/>
        </w:trPr>
        <w:tc>
          <w:tcPr>
            <w:tcW w:w="3403" w:type="dxa"/>
            <w:vAlign w:val="center"/>
          </w:tcPr>
          <w:p w14:paraId="76A39BD8" w14:textId="77777777" w:rsidR="00C62405" w:rsidRPr="00C62405" w:rsidRDefault="00C62405" w:rsidP="00C62405">
            <w:pPr>
              <w:spacing w:line="440" w:lineRule="exact"/>
              <w:jc w:val="left"/>
              <w:rPr>
                <w:rFonts w:ascii="宋体" w:eastAsia="宋体" w:hAnsi="宋体" w:cs="Times New Roman"/>
                <w:sz w:val="24"/>
              </w:rPr>
            </w:pPr>
            <w:r w:rsidRPr="00C62405">
              <w:rPr>
                <w:rFonts w:ascii="宋体" w:eastAsia="宋体" w:hAnsi="宋体" w:cs="Times New Roman" w:hint="eastAsia"/>
                <w:sz w:val="24"/>
              </w:rPr>
              <w:t>第九章  大学生的恋爱心理</w:t>
            </w:r>
          </w:p>
        </w:tc>
        <w:tc>
          <w:tcPr>
            <w:tcW w:w="2693" w:type="dxa"/>
            <w:vAlign w:val="center"/>
          </w:tcPr>
          <w:p w14:paraId="7D9E9FE1"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讲授法、案例教学</w:t>
            </w:r>
          </w:p>
        </w:tc>
        <w:tc>
          <w:tcPr>
            <w:tcW w:w="1985" w:type="dxa"/>
            <w:vAlign w:val="center"/>
          </w:tcPr>
          <w:p w14:paraId="49688907"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课程目标1、3</w:t>
            </w:r>
          </w:p>
        </w:tc>
        <w:tc>
          <w:tcPr>
            <w:tcW w:w="1276" w:type="dxa"/>
            <w:vAlign w:val="center"/>
          </w:tcPr>
          <w:p w14:paraId="4A5DA8FC"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3</w:t>
            </w:r>
          </w:p>
        </w:tc>
      </w:tr>
      <w:tr w:rsidR="00C62405" w:rsidRPr="00C62405" w14:paraId="498A6006" w14:textId="77777777" w:rsidTr="00423AD2">
        <w:trPr>
          <w:jc w:val="center"/>
        </w:trPr>
        <w:tc>
          <w:tcPr>
            <w:tcW w:w="3403" w:type="dxa"/>
            <w:vAlign w:val="center"/>
          </w:tcPr>
          <w:p w14:paraId="60383A51" w14:textId="77777777" w:rsidR="00C62405" w:rsidRPr="00C62405" w:rsidRDefault="00C62405" w:rsidP="00C62405">
            <w:pPr>
              <w:spacing w:line="440" w:lineRule="exact"/>
              <w:jc w:val="left"/>
              <w:rPr>
                <w:rFonts w:ascii="宋体" w:eastAsia="宋体" w:hAnsi="宋体" w:cs="Times New Roman"/>
                <w:sz w:val="24"/>
              </w:rPr>
            </w:pPr>
            <w:r w:rsidRPr="00C62405">
              <w:rPr>
                <w:rFonts w:ascii="宋体" w:eastAsia="宋体" w:hAnsi="宋体" w:cs="Times New Roman" w:hint="eastAsia"/>
                <w:sz w:val="24"/>
              </w:rPr>
              <w:t>第十章  大学生压力管理和挫折应对</w:t>
            </w:r>
          </w:p>
        </w:tc>
        <w:tc>
          <w:tcPr>
            <w:tcW w:w="2693" w:type="dxa"/>
            <w:vAlign w:val="center"/>
          </w:tcPr>
          <w:p w14:paraId="68221E06"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讲授法、案例教学</w:t>
            </w:r>
          </w:p>
        </w:tc>
        <w:tc>
          <w:tcPr>
            <w:tcW w:w="1985" w:type="dxa"/>
            <w:vAlign w:val="center"/>
          </w:tcPr>
          <w:p w14:paraId="7FE6BBE5"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课程目标2、3</w:t>
            </w:r>
          </w:p>
        </w:tc>
        <w:tc>
          <w:tcPr>
            <w:tcW w:w="1276" w:type="dxa"/>
            <w:vAlign w:val="center"/>
          </w:tcPr>
          <w:p w14:paraId="51C339B9"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3</w:t>
            </w:r>
          </w:p>
        </w:tc>
      </w:tr>
      <w:tr w:rsidR="00C62405" w:rsidRPr="00C62405" w14:paraId="03451A2E" w14:textId="77777777" w:rsidTr="00423AD2">
        <w:trPr>
          <w:jc w:val="center"/>
        </w:trPr>
        <w:tc>
          <w:tcPr>
            <w:tcW w:w="3403" w:type="dxa"/>
            <w:vAlign w:val="center"/>
          </w:tcPr>
          <w:p w14:paraId="5C929CA5" w14:textId="77777777" w:rsidR="00C62405" w:rsidRPr="00C62405" w:rsidRDefault="00C62405" w:rsidP="00C62405">
            <w:pPr>
              <w:spacing w:line="440" w:lineRule="exact"/>
              <w:jc w:val="left"/>
              <w:rPr>
                <w:rFonts w:ascii="宋体" w:eastAsia="宋体" w:hAnsi="宋体" w:cs="Times New Roman"/>
                <w:sz w:val="24"/>
              </w:rPr>
            </w:pPr>
            <w:r w:rsidRPr="00C62405">
              <w:rPr>
                <w:rFonts w:ascii="宋体" w:eastAsia="宋体" w:hAnsi="宋体" w:cs="Times New Roman" w:hint="eastAsia"/>
                <w:sz w:val="24"/>
              </w:rPr>
              <w:lastRenderedPageBreak/>
              <w:t>第十一章  大学生生命教育与心理危机应对</w:t>
            </w:r>
          </w:p>
        </w:tc>
        <w:tc>
          <w:tcPr>
            <w:tcW w:w="2693" w:type="dxa"/>
            <w:vAlign w:val="center"/>
          </w:tcPr>
          <w:p w14:paraId="7F90574E"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讲授法、案例教学</w:t>
            </w:r>
          </w:p>
        </w:tc>
        <w:tc>
          <w:tcPr>
            <w:tcW w:w="1985" w:type="dxa"/>
            <w:vAlign w:val="center"/>
          </w:tcPr>
          <w:p w14:paraId="5F7244B8"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课程目标1、2</w:t>
            </w:r>
          </w:p>
        </w:tc>
        <w:tc>
          <w:tcPr>
            <w:tcW w:w="1276" w:type="dxa"/>
            <w:vAlign w:val="center"/>
          </w:tcPr>
          <w:p w14:paraId="3DC32A93"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3</w:t>
            </w:r>
          </w:p>
        </w:tc>
      </w:tr>
      <w:tr w:rsidR="00C62405" w:rsidRPr="00C62405" w14:paraId="54B498F8" w14:textId="77777777" w:rsidTr="00423AD2">
        <w:trPr>
          <w:jc w:val="center"/>
        </w:trPr>
        <w:tc>
          <w:tcPr>
            <w:tcW w:w="3403" w:type="dxa"/>
            <w:vAlign w:val="center"/>
          </w:tcPr>
          <w:p w14:paraId="0D0A02D9" w14:textId="77777777" w:rsidR="00C62405" w:rsidRPr="00C62405" w:rsidRDefault="00C62405" w:rsidP="00C62405">
            <w:pPr>
              <w:spacing w:line="440" w:lineRule="exact"/>
              <w:jc w:val="left"/>
              <w:rPr>
                <w:rFonts w:ascii="宋体" w:eastAsia="宋体" w:hAnsi="宋体" w:cs="Times New Roman"/>
                <w:sz w:val="24"/>
              </w:rPr>
            </w:pPr>
            <w:r w:rsidRPr="00C62405">
              <w:rPr>
                <w:rFonts w:ascii="宋体" w:eastAsia="宋体" w:hAnsi="宋体" w:cs="Times New Roman" w:hint="eastAsia"/>
                <w:sz w:val="24"/>
              </w:rPr>
              <w:t>第十二章  大学期间生涯规划及能力发展</w:t>
            </w:r>
          </w:p>
        </w:tc>
        <w:tc>
          <w:tcPr>
            <w:tcW w:w="2693" w:type="dxa"/>
            <w:vAlign w:val="center"/>
          </w:tcPr>
          <w:p w14:paraId="541BF1C9"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讲授法、小组讨论</w:t>
            </w:r>
          </w:p>
        </w:tc>
        <w:tc>
          <w:tcPr>
            <w:tcW w:w="1985" w:type="dxa"/>
            <w:vAlign w:val="center"/>
          </w:tcPr>
          <w:p w14:paraId="4F178A45"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课程目标2、3</w:t>
            </w:r>
          </w:p>
        </w:tc>
        <w:tc>
          <w:tcPr>
            <w:tcW w:w="1276" w:type="dxa"/>
            <w:vAlign w:val="center"/>
          </w:tcPr>
          <w:p w14:paraId="552056F3"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2</w:t>
            </w:r>
          </w:p>
        </w:tc>
      </w:tr>
      <w:tr w:rsidR="00C62405" w:rsidRPr="00C62405" w14:paraId="1800C408" w14:textId="77777777" w:rsidTr="00423AD2">
        <w:trPr>
          <w:jc w:val="center"/>
        </w:trPr>
        <w:tc>
          <w:tcPr>
            <w:tcW w:w="8081" w:type="dxa"/>
            <w:gridSpan w:val="3"/>
            <w:vAlign w:val="center"/>
          </w:tcPr>
          <w:p w14:paraId="2F5D4321" w14:textId="77777777" w:rsidR="00C62405" w:rsidRPr="00C62405" w:rsidRDefault="00C62405" w:rsidP="00C62405">
            <w:pPr>
              <w:spacing w:line="440" w:lineRule="exact"/>
              <w:jc w:val="center"/>
              <w:rPr>
                <w:rFonts w:ascii="宋体" w:eastAsia="宋体" w:hAnsi="宋体" w:cs="Times New Roman"/>
                <w:b/>
                <w:sz w:val="24"/>
              </w:rPr>
            </w:pPr>
            <w:r w:rsidRPr="00C62405">
              <w:rPr>
                <w:rFonts w:ascii="宋体" w:eastAsia="宋体" w:hAnsi="宋体" w:cs="Times New Roman" w:hint="eastAsia"/>
                <w:b/>
                <w:sz w:val="24"/>
              </w:rPr>
              <w:t>合计</w:t>
            </w:r>
          </w:p>
        </w:tc>
        <w:tc>
          <w:tcPr>
            <w:tcW w:w="1276" w:type="dxa"/>
            <w:vAlign w:val="center"/>
          </w:tcPr>
          <w:p w14:paraId="27E50515"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32</w:t>
            </w:r>
          </w:p>
        </w:tc>
      </w:tr>
    </w:tbl>
    <w:p w14:paraId="706D32BB" w14:textId="77777777" w:rsidR="00C62405" w:rsidRPr="00C62405" w:rsidRDefault="00C62405" w:rsidP="00C63ECC">
      <w:pPr>
        <w:pStyle w:val="afc"/>
        <w:rPr>
          <w:rFonts w:ascii="宋体" w:eastAsia="宋体" w:hAnsi="宋体"/>
          <w:sz w:val="24"/>
        </w:rPr>
      </w:pPr>
      <w:bookmarkStart w:id="132" w:name="_Toc14065"/>
      <w:bookmarkStart w:id="133" w:name="_Toc8357"/>
      <w:bookmarkStart w:id="134" w:name="_Toc5695"/>
      <w:bookmarkStart w:id="135" w:name="_Toc7725"/>
      <w:r w:rsidRPr="00C62405">
        <w:rPr>
          <w:rFonts w:hint="eastAsia"/>
        </w:rPr>
        <w:t>四、课程考核及与课程学习目标的对应关系</w:t>
      </w:r>
      <w:bookmarkEnd w:id="132"/>
      <w:bookmarkEnd w:id="133"/>
      <w:bookmarkEnd w:id="134"/>
      <w:bookmarkEnd w:id="135"/>
    </w:p>
    <w:p w14:paraId="2840293F" w14:textId="77777777" w:rsidR="00C62405" w:rsidRPr="00C62405" w:rsidRDefault="00C62405" w:rsidP="00C62405">
      <w:pPr>
        <w:spacing w:beforeLines="50" w:before="156" w:afterLines="50" w:after="156" w:line="440" w:lineRule="exact"/>
        <w:ind w:firstLineChars="200" w:firstLine="560"/>
        <w:outlineLvl w:val="1"/>
        <w:rPr>
          <w:rFonts w:ascii="黑体" w:eastAsia="黑体" w:hAnsi="黑体" w:cs="Times New Roman"/>
          <w:sz w:val="28"/>
          <w:szCs w:val="28"/>
        </w:rPr>
      </w:pPr>
      <w:r w:rsidRPr="00C62405">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C62405" w:rsidRPr="00C62405" w14:paraId="54BC1B85" w14:textId="77777777" w:rsidTr="00423AD2">
        <w:trPr>
          <w:trHeight w:val="515"/>
          <w:jc w:val="center"/>
        </w:trPr>
        <w:tc>
          <w:tcPr>
            <w:tcW w:w="1422" w:type="dxa"/>
          </w:tcPr>
          <w:p w14:paraId="407B0C5C" w14:textId="77777777" w:rsidR="00C62405" w:rsidRPr="00C62405" w:rsidRDefault="00C62405" w:rsidP="00C62405">
            <w:pPr>
              <w:spacing w:line="440" w:lineRule="exact"/>
              <w:jc w:val="center"/>
              <w:rPr>
                <w:rFonts w:ascii="宋体" w:eastAsia="宋体" w:hAnsi="宋体" w:cs="Times New Roman"/>
                <w:b/>
                <w:sz w:val="24"/>
              </w:rPr>
            </w:pPr>
            <w:r w:rsidRPr="00C62405">
              <w:rPr>
                <w:rFonts w:ascii="宋体" w:eastAsia="宋体" w:hAnsi="宋体" w:cs="Times New Roman" w:hint="eastAsia"/>
                <w:b/>
                <w:sz w:val="24"/>
              </w:rPr>
              <w:t>课程目标</w:t>
            </w:r>
          </w:p>
        </w:tc>
        <w:tc>
          <w:tcPr>
            <w:tcW w:w="7918" w:type="dxa"/>
            <w:vAlign w:val="center"/>
          </w:tcPr>
          <w:p w14:paraId="4B960149" w14:textId="77777777" w:rsidR="00C62405" w:rsidRPr="00C62405" w:rsidRDefault="00C62405" w:rsidP="00C62405">
            <w:pPr>
              <w:spacing w:line="440" w:lineRule="exact"/>
              <w:jc w:val="center"/>
              <w:rPr>
                <w:rFonts w:ascii="宋体" w:eastAsia="宋体" w:hAnsi="宋体" w:cs="Times New Roman"/>
                <w:b/>
                <w:sz w:val="24"/>
              </w:rPr>
            </w:pPr>
            <w:r w:rsidRPr="00C62405">
              <w:rPr>
                <w:rFonts w:ascii="宋体" w:eastAsia="宋体" w:hAnsi="宋体" w:cs="Times New Roman" w:hint="eastAsia"/>
                <w:b/>
                <w:sz w:val="24"/>
              </w:rPr>
              <w:t>考核内容</w:t>
            </w:r>
          </w:p>
        </w:tc>
      </w:tr>
      <w:tr w:rsidR="00C62405" w:rsidRPr="00C62405" w14:paraId="24018882" w14:textId="77777777" w:rsidTr="00423AD2">
        <w:trPr>
          <w:jc w:val="center"/>
        </w:trPr>
        <w:tc>
          <w:tcPr>
            <w:tcW w:w="1422" w:type="dxa"/>
            <w:vAlign w:val="center"/>
          </w:tcPr>
          <w:p w14:paraId="4F789A87" w14:textId="77777777" w:rsidR="00C62405" w:rsidRPr="00C62405" w:rsidRDefault="00C62405" w:rsidP="00C62405">
            <w:pPr>
              <w:spacing w:line="440" w:lineRule="exact"/>
              <w:jc w:val="center"/>
              <w:rPr>
                <w:rFonts w:ascii="宋体" w:eastAsia="宋体" w:hAnsi="宋体" w:cs="Times New Roman"/>
                <w:bCs/>
                <w:sz w:val="24"/>
              </w:rPr>
            </w:pPr>
            <w:r w:rsidRPr="00C62405">
              <w:rPr>
                <w:rFonts w:ascii="宋体" w:eastAsia="宋体" w:hAnsi="宋体" w:cs="Times New Roman" w:hint="eastAsia"/>
                <w:bCs/>
                <w:sz w:val="24"/>
              </w:rPr>
              <w:t>课程目标1</w:t>
            </w:r>
          </w:p>
        </w:tc>
        <w:tc>
          <w:tcPr>
            <w:tcW w:w="7918" w:type="dxa"/>
            <w:vAlign w:val="center"/>
          </w:tcPr>
          <w:p w14:paraId="60CD0562" w14:textId="77777777" w:rsidR="00C62405" w:rsidRPr="00C62405" w:rsidRDefault="00C62405" w:rsidP="00C62405">
            <w:pPr>
              <w:spacing w:line="440" w:lineRule="exact"/>
              <w:rPr>
                <w:rFonts w:ascii="宋体" w:eastAsia="宋体" w:hAnsi="宋体" w:cs="Times New Roman"/>
                <w:bCs/>
                <w:sz w:val="24"/>
              </w:rPr>
            </w:pPr>
            <w:r w:rsidRPr="00C62405">
              <w:rPr>
                <w:rFonts w:ascii="宋体" w:eastAsia="宋体" w:hAnsi="宋体" w:cs="Times New Roman" w:hint="eastAsia"/>
                <w:bCs/>
                <w:sz w:val="24"/>
              </w:rPr>
              <w:t>1.1心理健康的相关概念，例如：心理健康的概念和标准等。</w:t>
            </w:r>
          </w:p>
          <w:p w14:paraId="3454605C" w14:textId="77777777" w:rsidR="00C62405" w:rsidRPr="00C62405" w:rsidRDefault="00C62405" w:rsidP="00C62405">
            <w:pPr>
              <w:spacing w:line="440" w:lineRule="exact"/>
              <w:rPr>
                <w:rFonts w:ascii="宋体" w:eastAsia="宋体" w:hAnsi="宋体" w:cs="Times New Roman"/>
                <w:bCs/>
                <w:sz w:val="24"/>
              </w:rPr>
            </w:pPr>
            <w:r w:rsidRPr="00C62405">
              <w:rPr>
                <w:rFonts w:ascii="宋体" w:eastAsia="宋体" w:hAnsi="宋体" w:cs="Times New Roman" w:hint="eastAsia"/>
                <w:bCs/>
                <w:sz w:val="24"/>
              </w:rPr>
              <w:t>1.2自觉心理训练、延伸阅读。</w:t>
            </w:r>
          </w:p>
        </w:tc>
      </w:tr>
      <w:tr w:rsidR="00C62405" w:rsidRPr="00C62405" w14:paraId="433B513A" w14:textId="77777777" w:rsidTr="00423AD2">
        <w:trPr>
          <w:jc w:val="center"/>
        </w:trPr>
        <w:tc>
          <w:tcPr>
            <w:tcW w:w="1422" w:type="dxa"/>
            <w:vAlign w:val="center"/>
          </w:tcPr>
          <w:p w14:paraId="69DEA9F5" w14:textId="77777777" w:rsidR="00C62405" w:rsidRPr="00C62405" w:rsidRDefault="00C62405" w:rsidP="00C62405">
            <w:pPr>
              <w:spacing w:line="440" w:lineRule="exact"/>
              <w:jc w:val="center"/>
              <w:rPr>
                <w:rFonts w:ascii="宋体" w:eastAsia="宋体" w:hAnsi="宋体" w:cs="Times New Roman"/>
                <w:bCs/>
                <w:sz w:val="24"/>
              </w:rPr>
            </w:pPr>
            <w:r w:rsidRPr="00C62405">
              <w:rPr>
                <w:rFonts w:ascii="宋体" w:eastAsia="宋体" w:hAnsi="宋体" w:cs="Times New Roman" w:hint="eastAsia"/>
                <w:bCs/>
                <w:sz w:val="24"/>
              </w:rPr>
              <w:t>课程目标2</w:t>
            </w:r>
          </w:p>
        </w:tc>
        <w:tc>
          <w:tcPr>
            <w:tcW w:w="7918" w:type="dxa"/>
            <w:vAlign w:val="center"/>
          </w:tcPr>
          <w:p w14:paraId="1E2B07D4" w14:textId="77777777" w:rsidR="00C62405" w:rsidRPr="00C62405" w:rsidRDefault="00C62405" w:rsidP="00C62405">
            <w:pPr>
              <w:spacing w:line="440" w:lineRule="exact"/>
              <w:rPr>
                <w:rFonts w:ascii="宋体" w:eastAsia="宋体" w:hAnsi="宋体" w:cs="Times New Roman"/>
                <w:bCs/>
                <w:sz w:val="24"/>
              </w:rPr>
            </w:pPr>
            <w:r w:rsidRPr="00C62405">
              <w:rPr>
                <w:rFonts w:ascii="宋体" w:eastAsia="宋体" w:hAnsi="宋体" w:cs="Times New Roman" w:hint="eastAsia"/>
                <w:bCs/>
                <w:sz w:val="24"/>
              </w:rPr>
              <w:t>2.1运用心理理论分析案例的能力。</w:t>
            </w:r>
          </w:p>
          <w:p w14:paraId="73D81219" w14:textId="77777777" w:rsidR="00C62405" w:rsidRPr="00C62405" w:rsidRDefault="00C62405" w:rsidP="00C62405">
            <w:pPr>
              <w:spacing w:line="440" w:lineRule="exact"/>
              <w:rPr>
                <w:rFonts w:ascii="宋体" w:eastAsia="宋体" w:hAnsi="宋体" w:cs="Times New Roman"/>
                <w:bCs/>
                <w:sz w:val="24"/>
              </w:rPr>
            </w:pPr>
            <w:r w:rsidRPr="00C62405">
              <w:rPr>
                <w:rFonts w:ascii="宋体" w:eastAsia="宋体" w:hAnsi="宋体" w:cs="Times New Roman" w:hint="eastAsia"/>
                <w:bCs/>
                <w:sz w:val="24"/>
              </w:rPr>
              <w:t>2.2设计解决心理问题的活动方案。</w:t>
            </w:r>
          </w:p>
        </w:tc>
      </w:tr>
      <w:tr w:rsidR="00C62405" w:rsidRPr="00C62405" w14:paraId="45BCFF9D" w14:textId="77777777" w:rsidTr="00423AD2">
        <w:trPr>
          <w:jc w:val="center"/>
        </w:trPr>
        <w:tc>
          <w:tcPr>
            <w:tcW w:w="1422" w:type="dxa"/>
            <w:vAlign w:val="center"/>
          </w:tcPr>
          <w:p w14:paraId="55A7F98F" w14:textId="77777777" w:rsidR="00C62405" w:rsidRPr="00C62405" w:rsidRDefault="00C62405" w:rsidP="00C62405">
            <w:pPr>
              <w:spacing w:line="440" w:lineRule="exact"/>
              <w:jc w:val="center"/>
              <w:rPr>
                <w:rFonts w:ascii="宋体" w:eastAsia="宋体" w:hAnsi="宋体" w:cs="Times New Roman"/>
                <w:bCs/>
                <w:sz w:val="24"/>
              </w:rPr>
            </w:pPr>
            <w:r w:rsidRPr="00C62405">
              <w:rPr>
                <w:rFonts w:ascii="宋体" w:eastAsia="宋体" w:hAnsi="宋体" w:cs="Times New Roman" w:hint="eastAsia"/>
                <w:bCs/>
                <w:sz w:val="24"/>
              </w:rPr>
              <w:t>课程目标3</w:t>
            </w:r>
          </w:p>
        </w:tc>
        <w:tc>
          <w:tcPr>
            <w:tcW w:w="7918" w:type="dxa"/>
            <w:vAlign w:val="center"/>
          </w:tcPr>
          <w:p w14:paraId="281DB479" w14:textId="77777777" w:rsidR="00C62405" w:rsidRPr="00C62405" w:rsidRDefault="00C62405" w:rsidP="00C62405">
            <w:pPr>
              <w:spacing w:line="440" w:lineRule="exact"/>
              <w:rPr>
                <w:rFonts w:ascii="宋体" w:eastAsia="宋体" w:hAnsi="宋体" w:cs="Times New Roman"/>
                <w:bCs/>
                <w:sz w:val="24"/>
              </w:rPr>
            </w:pPr>
            <w:r w:rsidRPr="00C62405">
              <w:rPr>
                <w:rFonts w:ascii="宋体" w:eastAsia="宋体" w:hAnsi="宋体" w:cs="Times New Roman" w:hint="eastAsia"/>
                <w:bCs/>
                <w:sz w:val="24"/>
              </w:rPr>
              <w:t>3.1小组讨论合作完成相关作业，在实践中体会心理学的概念和理论。</w:t>
            </w:r>
          </w:p>
          <w:p w14:paraId="16A1516A" w14:textId="77777777" w:rsidR="00C62405" w:rsidRPr="00C62405" w:rsidRDefault="00C62405" w:rsidP="00C62405">
            <w:pPr>
              <w:spacing w:line="440" w:lineRule="exact"/>
              <w:rPr>
                <w:rFonts w:ascii="宋体" w:eastAsia="宋体" w:hAnsi="宋体" w:cs="Times New Roman"/>
                <w:bCs/>
                <w:sz w:val="24"/>
              </w:rPr>
            </w:pPr>
            <w:r w:rsidRPr="00C62405">
              <w:rPr>
                <w:rFonts w:ascii="宋体" w:eastAsia="宋体" w:hAnsi="宋体" w:cs="Times New Roman" w:hint="eastAsia"/>
                <w:bCs/>
                <w:sz w:val="24"/>
              </w:rPr>
              <w:t>3.2主动完成心理实践和思考，开启身心维护和成长的窗口。</w:t>
            </w:r>
          </w:p>
        </w:tc>
      </w:tr>
    </w:tbl>
    <w:p w14:paraId="7EA6F509" w14:textId="77777777" w:rsidR="00C62405" w:rsidRPr="00C62405" w:rsidRDefault="00C62405" w:rsidP="00C62405">
      <w:pPr>
        <w:spacing w:beforeLines="50" w:before="156" w:afterLines="50" w:after="156" w:line="440" w:lineRule="exact"/>
        <w:ind w:firstLineChars="200" w:firstLine="560"/>
        <w:outlineLvl w:val="1"/>
        <w:rPr>
          <w:rFonts w:ascii="黑体" w:eastAsia="黑体" w:hAnsi="黑体" w:cs="Times New Roman"/>
          <w:sz w:val="28"/>
          <w:szCs w:val="28"/>
        </w:rPr>
      </w:pPr>
      <w:r w:rsidRPr="00C62405">
        <w:rPr>
          <w:rFonts w:ascii="黑体" w:eastAsia="黑体" w:hAnsi="黑体" w:cs="Times New Roman" w:hint="eastAsia"/>
          <w:sz w:val="28"/>
          <w:szCs w:val="28"/>
        </w:rPr>
        <w:t>（二）课程考核方式</w:t>
      </w:r>
    </w:p>
    <w:p w14:paraId="661353A7" w14:textId="77777777" w:rsidR="00C62405" w:rsidRPr="00C62405" w:rsidRDefault="00C62405" w:rsidP="00C62405">
      <w:pPr>
        <w:spacing w:line="440" w:lineRule="exact"/>
        <w:ind w:firstLineChars="300" w:firstLine="720"/>
        <w:rPr>
          <w:rFonts w:ascii="宋体" w:eastAsia="宋体" w:hAnsi="宋体" w:cs="Times New Roman"/>
          <w:sz w:val="24"/>
        </w:rPr>
      </w:pPr>
      <w:r w:rsidRPr="00C62405">
        <w:rPr>
          <w:rFonts w:ascii="宋体" w:eastAsia="宋体" w:hAnsi="宋体" w:cs="Times New Roman" w:hint="eastAsia"/>
          <w:sz w:val="24"/>
        </w:rPr>
        <w:t>本课程的考核形式为平时考试和期末考试相结合的方式。</w:t>
      </w:r>
    </w:p>
    <w:p w14:paraId="0E7D1167" w14:textId="77777777" w:rsidR="00C62405" w:rsidRPr="00C62405" w:rsidRDefault="00C62405" w:rsidP="00C62405">
      <w:pPr>
        <w:spacing w:line="440" w:lineRule="exact"/>
        <w:ind w:firstLineChars="200" w:firstLine="480"/>
        <w:outlineLvl w:val="2"/>
        <w:rPr>
          <w:rFonts w:ascii="宋体" w:eastAsia="宋体" w:hAnsi="宋体" w:cs="Times New Roman"/>
          <w:sz w:val="24"/>
        </w:rPr>
      </w:pPr>
      <w:r w:rsidRPr="00C62405">
        <w:rPr>
          <w:rFonts w:ascii="宋体" w:eastAsia="宋体" w:hAnsi="宋体" w:cs="Times New Roman" w:hint="eastAsia"/>
          <w:sz w:val="24"/>
        </w:rPr>
        <w:t>1.平时考核包括：</w:t>
      </w:r>
    </w:p>
    <w:p w14:paraId="6F1146D3" w14:textId="77777777" w:rsidR="00C62405" w:rsidRPr="00C62405" w:rsidRDefault="00C62405" w:rsidP="00C62405">
      <w:pPr>
        <w:spacing w:line="440" w:lineRule="exact"/>
        <w:ind w:firstLineChars="300" w:firstLine="720"/>
        <w:rPr>
          <w:rFonts w:ascii="宋体" w:eastAsia="宋体" w:hAnsi="宋体" w:cs="Times New Roman"/>
          <w:sz w:val="24"/>
        </w:rPr>
      </w:pPr>
      <w:r w:rsidRPr="00C62405">
        <w:rPr>
          <w:rFonts w:ascii="宋体" w:eastAsia="宋体" w:hAnsi="宋体" w:cs="Times New Roman" w:hint="eastAsia"/>
          <w:sz w:val="24"/>
        </w:rPr>
        <w:t>（1）课堂出勤率和课堂表现；</w:t>
      </w:r>
    </w:p>
    <w:p w14:paraId="04D70584" w14:textId="77777777" w:rsidR="00C62405" w:rsidRPr="00C62405" w:rsidRDefault="00C62405" w:rsidP="00C62405">
      <w:pPr>
        <w:spacing w:line="440" w:lineRule="exact"/>
        <w:ind w:firstLineChars="300" w:firstLine="720"/>
        <w:rPr>
          <w:rFonts w:ascii="宋体" w:eastAsia="宋体" w:hAnsi="宋体" w:cs="Times New Roman"/>
          <w:sz w:val="24"/>
        </w:rPr>
      </w:pPr>
      <w:r w:rsidRPr="00C62405">
        <w:rPr>
          <w:rFonts w:ascii="宋体" w:eastAsia="宋体" w:hAnsi="宋体" w:cs="Times New Roman" w:hint="eastAsia"/>
          <w:sz w:val="24"/>
        </w:rPr>
        <w:t>（2）平时作业情况，包含随堂作业、课后作业。</w:t>
      </w:r>
    </w:p>
    <w:p w14:paraId="47FB4BFB" w14:textId="77777777" w:rsidR="00C62405" w:rsidRPr="00C62405" w:rsidRDefault="00C62405" w:rsidP="00C62405">
      <w:pPr>
        <w:spacing w:line="440" w:lineRule="exact"/>
        <w:ind w:firstLineChars="200" w:firstLine="480"/>
        <w:outlineLvl w:val="2"/>
        <w:rPr>
          <w:rFonts w:ascii="宋体" w:eastAsia="宋体" w:hAnsi="宋体" w:cs="Times New Roman"/>
          <w:sz w:val="24"/>
        </w:rPr>
      </w:pPr>
      <w:r w:rsidRPr="00C62405">
        <w:rPr>
          <w:rFonts w:ascii="宋体" w:eastAsia="宋体" w:hAnsi="宋体" w:cs="Times New Roman" w:hint="eastAsia"/>
          <w:sz w:val="24"/>
        </w:rPr>
        <w:t>2.期末考试：采用开卷考试</w:t>
      </w:r>
    </w:p>
    <w:p w14:paraId="0E9EAA69" w14:textId="77777777" w:rsidR="00C62405" w:rsidRPr="00C62405" w:rsidRDefault="00C62405" w:rsidP="00C62405">
      <w:pPr>
        <w:spacing w:beforeLines="50" w:before="156" w:afterLines="50" w:after="156" w:line="440" w:lineRule="exact"/>
        <w:ind w:firstLineChars="200" w:firstLine="560"/>
        <w:outlineLvl w:val="1"/>
        <w:rPr>
          <w:rFonts w:ascii="黑体" w:eastAsia="黑体" w:hAnsi="黑体" w:cs="Times New Roman"/>
          <w:sz w:val="28"/>
          <w:szCs w:val="28"/>
        </w:rPr>
      </w:pPr>
      <w:r w:rsidRPr="00C62405">
        <w:rPr>
          <w:rFonts w:ascii="黑体" w:eastAsia="黑体" w:hAnsi="黑体" w:cs="Times New Roman" w:hint="eastAsia"/>
          <w:sz w:val="28"/>
          <w:szCs w:val="28"/>
        </w:rPr>
        <w:t>（三）课程目标达成评价方式及考核比例</w:t>
      </w:r>
    </w:p>
    <w:p w14:paraId="77FC49E5"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本课程考核方式及成绩比例为：课堂表现15%</w:t>
      </w:r>
      <w:r w:rsidRPr="00C62405">
        <w:rPr>
          <w:rFonts w:ascii="宋体" w:eastAsia="宋体" w:hAnsi="宋体" w:cs="Times New Roman"/>
          <w:sz w:val="24"/>
        </w:rPr>
        <w:t>+</w:t>
      </w:r>
      <w:r w:rsidRPr="00C62405">
        <w:rPr>
          <w:rFonts w:ascii="宋体" w:eastAsia="宋体" w:hAnsi="宋体" w:cs="Times New Roman" w:hint="eastAsia"/>
          <w:sz w:val="24"/>
        </w:rPr>
        <w:t>平时作业3</w:t>
      </w:r>
      <w:r w:rsidRPr="00C62405">
        <w:rPr>
          <w:rFonts w:ascii="宋体" w:eastAsia="宋体" w:hAnsi="宋体" w:cs="Times New Roman"/>
          <w:sz w:val="24"/>
        </w:rPr>
        <w:t>0</w:t>
      </w:r>
      <w:r w:rsidRPr="00C62405">
        <w:rPr>
          <w:rFonts w:ascii="宋体" w:eastAsia="宋体" w:hAnsi="宋体" w:cs="Times New Roman" w:hint="eastAsia"/>
          <w:sz w:val="24"/>
        </w:rPr>
        <w:t>%</w:t>
      </w:r>
      <w:r w:rsidRPr="00C62405">
        <w:rPr>
          <w:rFonts w:ascii="宋体" w:eastAsia="宋体" w:hAnsi="宋体" w:cs="Times New Roman"/>
          <w:sz w:val="24"/>
        </w:rPr>
        <w:t>+</w:t>
      </w:r>
      <w:r w:rsidRPr="00C62405">
        <w:rPr>
          <w:rFonts w:ascii="宋体" w:eastAsia="宋体" w:hAnsi="宋体" w:cs="Times New Roman" w:hint="eastAsia"/>
          <w:sz w:val="24"/>
        </w:rPr>
        <w:t>期末考试55%；本课程共有三个课程目标，考核方式及成绩比例分别为：</w:t>
      </w:r>
    </w:p>
    <w:p w14:paraId="24ABC889"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课程目标1：课堂表现5%+平时作业10%+期末考试35%</w:t>
      </w:r>
    </w:p>
    <w:p w14:paraId="6D38EA70"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课程目标2：课堂表现5%+平时作业10%+期末考试20%</w:t>
      </w:r>
    </w:p>
    <w:p w14:paraId="3B86AD25"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课程目标3：课堂表现5%+平时作业10%</w:t>
      </w:r>
    </w:p>
    <w:p w14:paraId="38AD31FE"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如下图：</w:t>
      </w:r>
    </w:p>
    <w:tbl>
      <w:tblPr>
        <w:tblW w:w="7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559"/>
        <w:gridCol w:w="1559"/>
      </w:tblGrid>
      <w:tr w:rsidR="00C62405" w:rsidRPr="00C62405" w14:paraId="07C926F8" w14:textId="77777777" w:rsidTr="00423AD2">
        <w:trPr>
          <w:trHeight w:val="540"/>
          <w:jc w:val="center"/>
        </w:trPr>
        <w:tc>
          <w:tcPr>
            <w:tcW w:w="1422" w:type="dxa"/>
            <w:vMerge w:val="restart"/>
            <w:vAlign w:val="center"/>
          </w:tcPr>
          <w:p w14:paraId="6763B709" w14:textId="77777777" w:rsidR="00C62405" w:rsidRPr="00C62405" w:rsidRDefault="00C62405" w:rsidP="00C62405">
            <w:pPr>
              <w:spacing w:line="440" w:lineRule="exact"/>
              <w:jc w:val="center"/>
              <w:rPr>
                <w:rFonts w:ascii="宋体" w:eastAsia="宋体" w:hAnsi="宋体" w:cs="Times New Roman"/>
                <w:b/>
                <w:sz w:val="24"/>
              </w:rPr>
            </w:pPr>
            <w:r w:rsidRPr="00C62405">
              <w:rPr>
                <w:rFonts w:ascii="宋体" w:eastAsia="宋体" w:hAnsi="宋体" w:cs="Times New Roman" w:hint="eastAsia"/>
                <w:b/>
                <w:sz w:val="24"/>
              </w:rPr>
              <w:t>课程目标</w:t>
            </w:r>
          </w:p>
        </w:tc>
        <w:tc>
          <w:tcPr>
            <w:tcW w:w="4570" w:type="dxa"/>
            <w:gridSpan w:val="3"/>
            <w:vAlign w:val="center"/>
          </w:tcPr>
          <w:p w14:paraId="7771C555" w14:textId="77777777" w:rsidR="00C62405" w:rsidRPr="00C62405" w:rsidRDefault="00C62405" w:rsidP="00C62405">
            <w:pPr>
              <w:spacing w:line="440" w:lineRule="exact"/>
              <w:jc w:val="center"/>
              <w:rPr>
                <w:rFonts w:ascii="宋体" w:eastAsia="宋体" w:hAnsi="宋体" w:cs="Times New Roman"/>
                <w:b/>
                <w:sz w:val="24"/>
              </w:rPr>
            </w:pPr>
            <w:r w:rsidRPr="00C62405">
              <w:rPr>
                <w:rFonts w:ascii="宋体" w:eastAsia="宋体" w:hAnsi="宋体" w:cs="Times New Roman" w:hint="eastAsia"/>
                <w:b/>
                <w:sz w:val="24"/>
              </w:rPr>
              <w:t>考核方式及成绩比例（%）</w:t>
            </w:r>
          </w:p>
        </w:tc>
        <w:tc>
          <w:tcPr>
            <w:tcW w:w="1559" w:type="dxa"/>
            <w:vAlign w:val="center"/>
          </w:tcPr>
          <w:p w14:paraId="62AC51C0" w14:textId="77777777" w:rsidR="00C62405" w:rsidRPr="00C62405" w:rsidRDefault="00C62405" w:rsidP="00C62405">
            <w:pPr>
              <w:spacing w:line="440" w:lineRule="exact"/>
              <w:jc w:val="center"/>
              <w:rPr>
                <w:rFonts w:ascii="宋体" w:eastAsia="宋体" w:hAnsi="宋体" w:cs="Times New Roman"/>
                <w:b/>
                <w:sz w:val="24"/>
              </w:rPr>
            </w:pPr>
            <w:r w:rsidRPr="00C62405">
              <w:rPr>
                <w:rFonts w:ascii="宋体" w:eastAsia="宋体" w:hAnsi="宋体" w:cs="Times New Roman" w:hint="eastAsia"/>
                <w:b/>
                <w:sz w:val="24"/>
              </w:rPr>
              <w:t>合计</w:t>
            </w:r>
          </w:p>
        </w:tc>
      </w:tr>
      <w:tr w:rsidR="00C62405" w:rsidRPr="00C62405" w14:paraId="63AB295C" w14:textId="77777777" w:rsidTr="00423AD2">
        <w:trPr>
          <w:trHeight w:val="578"/>
          <w:jc w:val="center"/>
        </w:trPr>
        <w:tc>
          <w:tcPr>
            <w:tcW w:w="1422" w:type="dxa"/>
            <w:vMerge/>
            <w:vAlign w:val="center"/>
          </w:tcPr>
          <w:p w14:paraId="4AE8A101" w14:textId="77777777" w:rsidR="00C62405" w:rsidRPr="00C62405" w:rsidRDefault="00C62405" w:rsidP="00C62405">
            <w:pPr>
              <w:spacing w:line="440" w:lineRule="exact"/>
              <w:jc w:val="center"/>
              <w:rPr>
                <w:rFonts w:ascii="宋体" w:eastAsia="宋体" w:hAnsi="宋体" w:cs="Times New Roman"/>
                <w:b/>
                <w:sz w:val="24"/>
              </w:rPr>
            </w:pPr>
          </w:p>
        </w:tc>
        <w:tc>
          <w:tcPr>
            <w:tcW w:w="1452" w:type="dxa"/>
            <w:vAlign w:val="center"/>
          </w:tcPr>
          <w:p w14:paraId="597583F2"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课堂表现</w:t>
            </w:r>
          </w:p>
        </w:tc>
        <w:tc>
          <w:tcPr>
            <w:tcW w:w="1559" w:type="dxa"/>
            <w:vAlign w:val="center"/>
          </w:tcPr>
          <w:p w14:paraId="0C53B9ED"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平时作业</w:t>
            </w:r>
          </w:p>
        </w:tc>
        <w:tc>
          <w:tcPr>
            <w:tcW w:w="1559" w:type="dxa"/>
            <w:vAlign w:val="center"/>
          </w:tcPr>
          <w:p w14:paraId="031078DE" w14:textId="77777777" w:rsidR="00C62405" w:rsidRPr="00C62405" w:rsidRDefault="00C62405" w:rsidP="00C62405">
            <w:pPr>
              <w:spacing w:line="440" w:lineRule="exact"/>
              <w:jc w:val="center"/>
              <w:rPr>
                <w:rFonts w:ascii="宋体" w:eastAsia="宋体" w:hAnsi="宋体" w:cs="Times New Roman"/>
                <w:sz w:val="24"/>
              </w:rPr>
            </w:pPr>
            <w:r w:rsidRPr="00C62405">
              <w:rPr>
                <w:rFonts w:ascii="宋体" w:eastAsia="宋体" w:hAnsi="宋体" w:cs="Times New Roman" w:hint="eastAsia"/>
                <w:sz w:val="24"/>
              </w:rPr>
              <w:t>期末考试</w:t>
            </w:r>
          </w:p>
        </w:tc>
        <w:tc>
          <w:tcPr>
            <w:tcW w:w="1559" w:type="dxa"/>
          </w:tcPr>
          <w:p w14:paraId="29F97FDE" w14:textId="77777777" w:rsidR="00C62405" w:rsidRPr="00C62405" w:rsidRDefault="00C62405" w:rsidP="00C62405">
            <w:pPr>
              <w:spacing w:line="440" w:lineRule="exact"/>
              <w:ind w:firstLineChars="200" w:firstLine="480"/>
              <w:rPr>
                <w:rFonts w:ascii="宋体" w:eastAsia="宋体" w:hAnsi="宋体" w:cs="Times New Roman"/>
                <w:sz w:val="24"/>
              </w:rPr>
            </w:pPr>
          </w:p>
        </w:tc>
      </w:tr>
      <w:tr w:rsidR="00C62405" w:rsidRPr="00C62405" w14:paraId="313B9F00" w14:textId="77777777" w:rsidTr="00423AD2">
        <w:trPr>
          <w:jc w:val="center"/>
        </w:trPr>
        <w:tc>
          <w:tcPr>
            <w:tcW w:w="1422" w:type="dxa"/>
            <w:vAlign w:val="center"/>
          </w:tcPr>
          <w:p w14:paraId="385EAABB" w14:textId="77777777" w:rsidR="00C62405" w:rsidRPr="00C62405" w:rsidRDefault="00C62405" w:rsidP="00C62405">
            <w:pPr>
              <w:spacing w:line="440" w:lineRule="exact"/>
              <w:jc w:val="center"/>
              <w:rPr>
                <w:rFonts w:ascii="宋体" w:eastAsia="宋体" w:hAnsi="宋体" w:cs="Times New Roman"/>
                <w:bCs/>
                <w:sz w:val="24"/>
              </w:rPr>
            </w:pPr>
            <w:r w:rsidRPr="00C62405">
              <w:rPr>
                <w:rFonts w:ascii="宋体" w:eastAsia="宋体" w:hAnsi="宋体" w:cs="Times New Roman" w:hint="eastAsia"/>
                <w:bCs/>
                <w:sz w:val="24"/>
              </w:rPr>
              <w:t>课程目标1</w:t>
            </w:r>
          </w:p>
        </w:tc>
        <w:tc>
          <w:tcPr>
            <w:tcW w:w="1452" w:type="dxa"/>
            <w:vAlign w:val="center"/>
          </w:tcPr>
          <w:p w14:paraId="22C88886"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5</w:t>
            </w:r>
          </w:p>
        </w:tc>
        <w:tc>
          <w:tcPr>
            <w:tcW w:w="1559" w:type="dxa"/>
            <w:vAlign w:val="center"/>
          </w:tcPr>
          <w:p w14:paraId="022A4630"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10</w:t>
            </w:r>
          </w:p>
        </w:tc>
        <w:tc>
          <w:tcPr>
            <w:tcW w:w="1559" w:type="dxa"/>
            <w:vAlign w:val="center"/>
          </w:tcPr>
          <w:p w14:paraId="2AD35A2F"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35</w:t>
            </w:r>
          </w:p>
        </w:tc>
        <w:tc>
          <w:tcPr>
            <w:tcW w:w="1559" w:type="dxa"/>
          </w:tcPr>
          <w:p w14:paraId="09378024"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50</w:t>
            </w:r>
          </w:p>
        </w:tc>
      </w:tr>
      <w:tr w:rsidR="00C62405" w:rsidRPr="00C62405" w14:paraId="2956DB66" w14:textId="77777777" w:rsidTr="00423AD2">
        <w:trPr>
          <w:jc w:val="center"/>
        </w:trPr>
        <w:tc>
          <w:tcPr>
            <w:tcW w:w="1422" w:type="dxa"/>
            <w:vAlign w:val="center"/>
          </w:tcPr>
          <w:p w14:paraId="574F8622" w14:textId="77777777" w:rsidR="00C62405" w:rsidRPr="00C62405" w:rsidRDefault="00C62405" w:rsidP="00C62405">
            <w:pPr>
              <w:spacing w:line="440" w:lineRule="exact"/>
              <w:jc w:val="center"/>
              <w:rPr>
                <w:rFonts w:ascii="宋体" w:eastAsia="宋体" w:hAnsi="宋体" w:cs="Times New Roman"/>
                <w:bCs/>
                <w:sz w:val="24"/>
              </w:rPr>
            </w:pPr>
            <w:r w:rsidRPr="00C62405">
              <w:rPr>
                <w:rFonts w:ascii="宋体" w:eastAsia="宋体" w:hAnsi="宋体" w:cs="Times New Roman" w:hint="eastAsia"/>
                <w:bCs/>
                <w:sz w:val="24"/>
              </w:rPr>
              <w:t>课程目标2</w:t>
            </w:r>
          </w:p>
        </w:tc>
        <w:tc>
          <w:tcPr>
            <w:tcW w:w="1452" w:type="dxa"/>
            <w:vAlign w:val="center"/>
          </w:tcPr>
          <w:p w14:paraId="20D9BCF7"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5</w:t>
            </w:r>
          </w:p>
        </w:tc>
        <w:tc>
          <w:tcPr>
            <w:tcW w:w="1559" w:type="dxa"/>
            <w:vAlign w:val="center"/>
          </w:tcPr>
          <w:p w14:paraId="5C3317CF"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10</w:t>
            </w:r>
          </w:p>
        </w:tc>
        <w:tc>
          <w:tcPr>
            <w:tcW w:w="1559" w:type="dxa"/>
            <w:vAlign w:val="center"/>
          </w:tcPr>
          <w:p w14:paraId="2F25565D"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20</w:t>
            </w:r>
          </w:p>
        </w:tc>
        <w:tc>
          <w:tcPr>
            <w:tcW w:w="1559" w:type="dxa"/>
          </w:tcPr>
          <w:p w14:paraId="466EF26B"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35</w:t>
            </w:r>
          </w:p>
        </w:tc>
      </w:tr>
      <w:tr w:rsidR="00C62405" w:rsidRPr="00C62405" w14:paraId="5A12044B" w14:textId="77777777" w:rsidTr="00423AD2">
        <w:trPr>
          <w:jc w:val="center"/>
        </w:trPr>
        <w:tc>
          <w:tcPr>
            <w:tcW w:w="1422" w:type="dxa"/>
            <w:vAlign w:val="center"/>
          </w:tcPr>
          <w:p w14:paraId="042B9A72" w14:textId="77777777" w:rsidR="00C62405" w:rsidRPr="00C62405" w:rsidRDefault="00C62405" w:rsidP="00C62405">
            <w:pPr>
              <w:spacing w:line="440" w:lineRule="exact"/>
              <w:jc w:val="center"/>
              <w:rPr>
                <w:rFonts w:ascii="宋体" w:eastAsia="宋体" w:hAnsi="宋体" w:cs="Times New Roman"/>
                <w:bCs/>
                <w:sz w:val="24"/>
              </w:rPr>
            </w:pPr>
            <w:r w:rsidRPr="00C62405">
              <w:rPr>
                <w:rFonts w:ascii="宋体" w:eastAsia="宋体" w:hAnsi="宋体" w:cs="Times New Roman" w:hint="eastAsia"/>
                <w:bCs/>
                <w:sz w:val="24"/>
              </w:rPr>
              <w:t>课程目标3</w:t>
            </w:r>
          </w:p>
        </w:tc>
        <w:tc>
          <w:tcPr>
            <w:tcW w:w="1452" w:type="dxa"/>
            <w:vAlign w:val="center"/>
          </w:tcPr>
          <w:p w14:paraId="17D0B858"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5</w:t>
            </w:r>
          </w:p>
        </w:tc>
        <w:tc>
          <w:tcPr>
            <w:tcW w:w="1559" w:type="dxa"/>
            <w:vAlign w:val="center"/>
          </w:tcPr>
          <w:p w14:paraId="3D3CD2E6"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10</w:t>
            </w:r>
          </w:p>
        </w:tc>
        <w:tc>
          <w:tcPr>
            <w:tcW w:w="1559" w:type="dxa"/>
            <w:vAlign w:val="center"/>
          </w:tcPr>
          <w:p w14:paraId="61738D9B" w14:textId="77777777" w:rsidR="00C62405" w:rsidRPr="00C62405" w:rsidRDefault="00C62405" w:rsidP="00C62405">
            <w:pPr>
              <w:spacing w:line="440" w:lineRule="exact"/>
              <w:ind w:firstLineChars="200" w:firstLine="480"/>
              <w:jc w:val="center"/>
              <w:rPr>
                <w:rFonts w:ascii="宋体" w:eastAsia="宋体" w:hAnsi="宋体" w:cs="Times New Roman"/>
                <w:sz w:val="24"/>
              </w:rPr>
            </w:pPr>
          </w:p>
        </w:tc>
        <w:tc>
          <w:tcPr>
            <w:tcW w:w="1559" w:type="dxa"/>
          </w:tcPr>
          <w:p w14:paraId="290C5B29"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15</w:t>
            </w:r>
          </w:p>
        </w:tc>
      </w:tr>
      <w:tr w:rsidR="00C62405" w:rsidRPr="00C62405" w14:paraId="283A15F7" w14:textId="77777777" w:rsidTr="00423AD2">
        <w:trPr>
          <w:jc w:val="center"/>
        </w:trPr>
        <w:tc>
          <w:tcPr>
            <w:tcW w:w="1422" w:type="dxa"/>
            <w:vAlign w:val="center"/>
          </w:tcPr>
          <w:p w14:paraId="003B8745" w14:textId="77777777" w:rsidR="00C62405" w:rsidRPr="00C62405" w:rsidRDefault="00C62405" w:rsidP="00C62405">
            <w:pPr>
              <w:spacing w:line="440" w:lineRule="exact"/>
              <w:jc w:val="center"/>
              <w:rPr>
                <w:rFonts w:ascii="宋体" w:eastAsia="宋体" w:hAnsi="宋体" w:cs="Times New Roman"/>
                <w:bCs/>
                <w:sz w:val="24"/>
              </w:rPr>
            </w:pPr>
            <w:r w:rsidRPr="00C62405">
              <w:rPr>
                <w:rFonts w:ascii="宋体" w:eastAsia="宋体" w:hAnsi="宋体" w:cs="Times New Roman" w:hint="eastAsia"/>
                <w:bCs/>
                <w:sz w:val="24"/>
              </w:rPr>
              <w:t>合计</w:t>
            </w:r>
          </w:p>
        </w:tc>
        <w:tc>
          <w:tcPr>
            <w:tcW w:w="1452" w:type="dxa"/>
            <w:vAlign w:val="center"/>
          </w:tcPr>
          <w:p w14:paraId="06C10343"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15</w:t>
            </w:r>
          </w:p>
        </w:tc>
        <w:tc>
          <w:tcPr>
            <w:tcW w:w="1559" w:type="dxa"/>
            <w:vAlign w:val="center"/>
          </w:tcPr>
          <w:p w14:paraId="35A6E6BA"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30</w:t>
            </w:r>
          </w:p>
        </w:tc>
        <w:tc>
          <w:tcPr>
            <w:tcW w:w="1559" w:type="dxa"/>
            <w:vAlign w:val="center"/>
          </w:tcPr>
          <w:p w14:paraId="5EEE3710"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55</w:t>
            </w:r>
          </w:p>
        </w:tc>
        <w:tc>
          <w:tcPr>
            <w:tcW w:w="1559" w:type="dxa"/>
          </w:tcPr>
          <w:p w14:paraId="73C358FF"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100</w:t>
            </w:r>
          </w:p>
        </w:tc>
      </w:tr>
    </w:tbl>
    <w:p w14:paraId="57696ACA" w14:textId="77777777" w:rsidR="00C62405" w:rsidRPr="00C62405" w:rsidRDefault="00C62405" w:rsidP="00C63ECC">
      <w:pPr>
        <w:pStyle w:val="afc"/>
      </w:pPr>
      <w:bookmarkStart w:id="136" w:name="_Toc18422"/>
      <w:bookmarkStart w:id="137" w:name="_Toc22033"/>
      <w:bookmarkStart w:id="138" w:name="_Toc2218"/>
      <w:bookmarkStart w:id="139" w:name="_Toc10390"/>
      <w:r w:rsidRPr="00C62405">
        <w:rPr>
          <w:rFonts w:hint="eastAsia"/>
        </w:rPr>
        <w:t>五、成绩评定</w:t>
      </w:r>
      <w:bookmarkEnd w:id="136"/>
      <w:bookmarkEnd w:id="137"/>
      <w:bookmarkEnd w:id="138"/>
      <w:bookmarkEnd w:id="139"/>
    </w:p>
    <w:p w14:paraId="02329ADB" w14:textId="77777777" w:rsidR="00C62405" w:rsidRPr="00C62405" w:rsidRDefault="00C62405" w:rsidP="00C62405">
      <w:pPr>
        <w:spacing w:beforeLines="50" w:before="156" w:afterLines="50" w:after="156" w:line="440" w:lineRule="exact"/>
        <w:ind w:firstLineChars="200" w:firstLine="560"/>
        <w:outlineLvl w:val="1"/>
        <w:rPr>
          <w:rFonts w:ascii="黑体" w:eastAsia="黑体" w:hAnsi="黑体" w:cs="Times New Roman"/>
          <w:sz w:val="28"/>
          <w:szCs w:val="28"/>
        </w:rPr>
      </w:pPr>
      <w:r w:rsidRPr="00C62405">
        <w:rPr>
          <w:rFonts w:ascii="黑体" w:eastAsia="黑体" w:hAnsi="黑体" w:cs="Times New Roman" w:hint="eastAsia"/>
          <w:sz w:val="28"/>
          <w:szCs w:val="28"/>
        </w:rPr>
        <w:t>（一）总成绩评定</w:t>
      </w:r>
    </w:p>
    <w:p w14:paraId="6A6B845F"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总成绩=平时成绩×30%+期末成绩×70%</w:t>
      </w:r>
    </w:p>
    <w:p w14:paraId="39C20EED" w14:textId="77777777" w:rsidR="00C62405" w:rsidRPr="00C62405" w:rsidRDefault="00C62405" w:rsidP="00C62405">
      <w:pPr>
        <w:spacing w:beforeLines="50" w:before="156" w:afterLines="50" w:after="156" w:line="440" w:lineRule="exact"/>
        <w:ind w:firstLineChars="200" w:firstLine="560"/>
        <w:outlineLvl w:val="1"/>
        <w:rPr>
          <w:rFonts w:ascii="宋体" w:eastAsia="宋体" w:hAnsi="宋体" w:cs="Times New Roman"/>
          <w:color w:val="FF0000"/>
          <w:sz w:val="24"/>
        </w:rPr>
      </w:pPr>
      <w:r w:rsidRPr="00C62405">
        <w:rPr>
          <w:rFonts w:ascii="黑体" w:eastAsia="黑体" w:hAnsi="黑体" w:cs="Times New Roman" w:hint="eastAsia"/>
          <w:sz w:val="28"/>
          <w:szCs w:val="28"/>
        </w:rPr>
        <w:t>（二）平时成绩评定</w:t>
      </w:r>
    </w:p>
    <w:p w14:paraId="64C35F7B" w14:textId="77777777" w:rsidR="00C62405" w:rsidRPr="00C62405" w:rsidRDefault="00C62405" w:rsidP="00C62405">
      <w:pPr>
        <w:spacing w:line="440" w:lineRule="exact"/>
        <w:ind w:firstLineChars="200" w:firstLine="480"/>
        <w:rPr>
          <w:rFonts w:ascii="宋体" w:eastAsia="宋体" w:hAnsi="宋体" w:cs="Times New Roman"/>
          <w:color w:val="FF0000"/>
          <w:sz w:val="24"/>
        </w:rPr>
      </w:pPr>
      <w:r w:rsidRPr="00C62405">
        <w:rPr>
          <w:rFonts w:ascii="宋体" w:eastAsia="宋体" w:hAnsi="宋体" w:cs="Times New Roman" w:hint="eastAsia"/>
          <w:sz w:val="24"/>
        </w:rPr>
        <w:t>平时成绩（100%）=课堂表现（30%）+作业完成情况（60%）+课堂考勤（10%）</w:t>
      </w:r>
    </w:p>
    <w:p w14:paraId="3632D32B" w14:textId="77777777" w:rsidR="00C62405" w:rsidRPr="00C62405" w:rsidRDefault="00C62405" w:rsidP="00C62405">
      <w:pPr>
        <w:spacing w:beforeLines="50" w:before="156" w:afterLines="50" w:after="156" w:line="440" w:lineRule="exact"/>
        <w:ind w:firstLineChars="200" w:firstLine="560"/>
        <w:outlineLvl w:val="1"/>
        <w:rPr>
          <w:rFonts w:ascii="黑体" w:eastAsia="黑体" w:hAnsi="黑体" w:cs="Times New Roman"/>
          <w:sz w:val="28"/>
          <w:szCs w:val="28"/>
        </w:rPr>
      </w:pPr>
      <w:r w:rsidRPr="00C62405">
        <w:rPr>
          <w:rFonts w:ascii="黑体" w:eastAsia="黑体" w:hAnsi="黑体" w:cs="Times New Roman" w:hint="eastAsia"/>
          <w:sz w:val="28"/>
          <w:szCs w:val="28"/>
        </w:rPr>
        <w:t>（三）期末成绩评定</w:t>
      </w:r>
    </w:p>
    <w:p w14:paraId="56DBD829"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期末考核主要考察学生对基本概念、理论、相关技能操作和具体方法的理解与运用等。方式为开卷考试。要求学生掌握基本概念、技能操作，运用具体方法解决相关问题。</w:t>
      </w:r>
    </w:p>
    <w:p w14:paraId="4B0077EF" w14:textId="77777777" w:rsidR="00C62405" w:rsidRPr="00C62405" w:rsidRDefault="00C62405" w:rsidP="00C63ECC">
      <w:pPr>
        <w:pStyle w:val="afc"/>
        <w:rPr>
          <w:rFonts w:ascii="宋体" w:eastAsia="宋体" w:hAnsi="宋体"/>
          <w:sz w:val="24"/>
        </w:rPr>
      </w:pPr>
      <w:bookmarkStart w:id="140" w:name="_Toc7929"/>
      <w:bookmarkStart w:id="141" w:name="_Toc17655"/>
      <w:bookmarkStart w:id="142" w:name="_Toc28391"/>
      <w:bookmarkStart w:id="143" w:name="_Toc25557"/>
      <w:r w:rsidRPr="00C62405">
        <w:rPr>
          <w:rFonts w:hint="eastAsia"/>
        </w:rPr>
        <w:t>六、使用教材、相关推荐书目及课程资源</w:t>
      </w:r>
      <w:bookmarkEnd w:id="140"/>
      <w:bookmarkEnd w:id="141"/>
      <w:bookmarkEnd w:id="142"/>
      <w:bookmarkEnd w:id="143"/>
    </w:p>
    <w:p w14:paraId="6C05D9E6" w14:textId="77777777" w:rsidR="00C62405" w:rsidRPr="00C62405" w:rsidRDefault="00C62405" w:rsidP="00C62405">
      <w:pPr>
        <w:spacing w:line="440" w:lineRule="exact"/>
        <w:ind w:firstLineChars="200" w:firstLine="560"/>
        <w:outlineLvl w:val="1"/>
        <w:rPr>
          <w:rFonts w:ascii="宋体" w:eastAsia="宋体" w:hAnsi="宋体" w:cs="Times New Roman"/>
          <w:sz w:val="24"/>
        </w:rPr>
      </w:pPr>
      <w:r w:rsidRPr="00C62405">
        <w:rPr>
          <w:rFonts w:ascii="黑体" w:eastAsia="黑体" w:hAnsi="黑体" w:cs="Times New Roman" w:hint="eastAsia"/>
          <w:sz w:val="28"/>
          <w:szCs w:val="28"/>
        </w:rPr>
        <w:t>（一）使用教材</w:t>
      </w:r>
    </w:p>
    <w:p w14:paraId="378530BC" w14:textId="77777777" w:rsidR="00C62405" w:rsidRPr="00C62405" w:rsidRDefault="00C62405" w:rsidP="00C62405">
      <w:pPr>
        <w:spacing w:line="440" w:lineRule="exact"/>
        <w:ind w:firstLineChars="200" w:firstLine="480"/>
        <w:rPr>
          <w:rFonts w:ascii="宋体" w:eastAsia="宋体" w:hAnsi="宋体" w:cs="Times New Roman"/>
          <w:color w:val="FF0000"/>
          <w:sz w:val="24"/>
        </w:rPr>
      </w:pPr>
      <w:r w:rsidRPr="00C62405">
        <w:rPr>
          <w:rFonts w:ascii="宋体" w:eastAsia="宋体" w:hAnsi="宋体" w:cs="Times New Roman" w:hint="eastAsia"/>
          <w:sz w:val="24"/>
        </w:rPr>
        <w:t>樊富珉，</w:t>
      </w:r>
      <w:proofErr w:type="gramStart"/>
      <w:r w:rsidRPr="00C62405">
        <w:rPr>
          <w:rFonts w:ascii="宋体" w:eastAsia="宋体" w:hAnsi="宋体" w:cs="Times New Roman" w:hint="eastAsia"/>
          <w:sz w:val="24"/>
        </w:rPr>
        <w:t>费俊峰</w:t>
      </w:r>
      <w:proofErr w:type="gramEnd"/>
      <w:r w:rsidRPr="00C62405">
        <w:rPr>
          <w:rFonts w:ascii="宋体" w:eastAsia="宋体" w:hAnsi="宋体" w:cs="Times New Roman" w:hint="eastAsia"/>
          <w:sz w:val="24"/>
        </w:rPr>
        <w:t>主编；《大学生心理健康十六讲》，高等教育出版社，2013版</w:t>
      </w:r>
    </w:p>
    <w:p w14:paraId="0BAB7098" w14:textId="77777777" w:rsidR="00C62405" w:rsidRPr="00C62405" w:rsidRDefault="00C62405" w:rsidP="00C62405">
      <w:pPr>
        <w:spacing w:line="440" w:lineRule="exact"/>
        <w:ind w:firstLineChars="200" w:firstLine="560"/>
        <w:outlineLvl w:val="1"/>
        <w:rPr>
          <w:rFonts w:ascii="宋体" w:eastAsia="宋体" w:hAnsi="宋体" w:cs="Times New Roman"/>
          <w:sz w:val="24"/>
        </w:rPr>
      </w:pPr>
      <w:r w:rsidRPr="00C62405">
        <w:rPr>
          <w:rFonts w:ascii="黑体" w:eastAsia="黑体" w:hAnsi="黑体" w:cs="Times New Roman" w:hint="eastAsia"/>
          <w:sz w:val="28"/>
          <w:szCs w:val="28"/>
        </w:rPr>
        <w:t>（二）相关推荐书目</w:t>
      </w:r>
    </w:p>
    <w:p w14:paraId="4B0B37F5"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w:t>
      </w:r>
      <w:r w:rsidRPr="00C62405">
        <w:rPr>
          <w:rFonts w:ascii="宋体" w:eastAsia="宋体" w:hAnsi="宋体" w:cs="Times New Roman"/>
          <w:sz w:val="24"/>
        </w:rPr>
        <w:t xml:space="preserve">. </w:t>
      </w:r>
      <w:r w:rsidRPr="00C62405">
        <w:rPr>
          <w:rFonts w:ascii="Calibri" w:eastAsia="宋体" w:hAnsi="Calibri" w:cs="Times New Roman" w:hint="eastAsia"/>
          <w:sz w:val="24"/>
        </w:rPr>
        <w:t>樊富珉主编；《当代大学生心理健康教育课程，第</w:t>
      </w:r>
      <w:r w:rsidRPr="00C62405">
        <w:rPr>
          <w:rFonts w:ascii="Calibri" w:eastAsia="宋体" w:hAnsi="Calibri" w:cs="Times New Roman" w:hint="eastAsia"/>
          <w:sz w:val="24"/>
        </w:rPr>
        <w:t>2</w:t>
      </w:r>
      <w:r w:rsidRPr="00C62405">
        <w:rPr>
          <w:rFonts w:ascii="Calibri" w:eastAsia="宋体" w:hAnsi="Calibri" w:cs="Times New Roman" w:hint="eastAsia"/>
          <w:sz w:val="24"/>
        </w:rPr>
        <w:t>版》，武汉大学出版，</w:t>
      </w:r>
      <w:r w:rsidRPr="00C62405">
        <w:rPr>
          <w:rFonts w:ascii="Calibri" w:eastAsia="宋体" w:hAnsi="Calibri" w:cs="Times New Roman" w:hint="eastAsia"/>
          <w:sz w:val="24"/>
        </w:rPr>
        <w:t>2014</w:t>
      </w:r>
      <w:r w:rsidRPr="00C62405">
        <w:rPr>
          <w:rFonts w:ascii="宋体" w:eastAsia="宋体" w:hAnsi="宋体" w:cs="Times New Roman" w:hint="eastAsia"/>
          <w:sz w:val="24"/>
        </w:rPr>
        <w:t>版；</w:t>
      </w:r>
    </w:p>
    <w:p w14:paraId="086E8973"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w:t>
      </w:r>
      <w:r w:rsidRPr="00C62405">
        <w:rPr>
          <w:rFonts w:ascii="宋体" w:eastAsia="宋体" w:hAnsi="宋体" w:cs="Times New Roman"/>
          <w:sz w:val="24"/>
        </w:rPr>
        <w:t xml:space="preserve">. </w:t>
      </w:r>
      <w:r w:rsidRPr="00C62405">
        <w:rPr>
          <w:rFonts w:ascii="宋体" w:eastAsia="宋体" w:hAnsi="宋体" w:cs="Times New Roman" w:hint="eastAsia"/>
          <w:sz w:val="24"/>
        </w:rPr>
        <w:t>张敏生主编；《大学生心理健康教育与训练》，高等教育出版社，2015版；</w:t>
      </w:r>
    </w:p>
    <w:p w14:paraId="139BB348" w14:textId="77777777" w:rsidR="00C62405" w:rsidRPr="00C62405" w:rsidRDefault="00C62405" w:rsidP="00C62405">
      <w:pPr>
        <w:spacing w:line="440" w:lineRule="exact"/>
        <w:ind w:leftChars="228" w:left="479"/>
        <w:rPr>
          <w:rFonts w:ascii="宋体" w:eastAsia="宋体" w:hAnsi="宋体" w:cs="Times New Roman"/>
          <w:sz w:val="24"/>
        </w:rPr>
      </w:pPr>
      <w:r w:rsidRPr="00C62405">
        <w:rPr>
          <w:rFonts w:ascii="宋体" w:eastAsia="宋体" w:hAnsi="宋体" w:cs="Times New Roman" w:hint="eastAsia"/>
          <w:sz w:val="24"/>
        </w:rPr>
        <w:t>3</w:t>
      </w:r>
      <w:r w:rsidRPr="00C62405">
        <w:rPr>
          <w:rFonts w:ascii="宋体" w:eastAsia="宋体" w:hAnsi="宋体" w:cs="Times New Roman"/>
          <w:sz w:val="24"/>
        </w:rPr>
        <w:t xml:space="preserve">. </w:t>
      </w:r>
      <w:r w:rsidRPr="00C62405">
        <w:rPr>
          <w:rFonts w:ascii="Calibri" w:eastAsia="宋体" w:hAnsi="Calibri" w:cs="Times New Roman" w:hint="eastAsia"/>
          <w:sz w:val="24"/>
        </w:rPr>
        <w:t>龙瑞全、戴益信主编；《大学生心理健康教育》，江苏大学出版社，</w:t>
      </w:r>
      <w:r w:rsidRPr="00C62405">
        <w:rPr>
          <w:rFonts w:ascii="Calibri" w:eastAsia="宋体" w:hAnsi="Calibri" w:cs="Times New Roman" w:hint="eastAsia"/>
          <w:sz w:val="24"/>
        </w:rPr>
        <w:t>20</w:t>
      </w:r>
      <w:r w:rsidRPr="00C62405">
        <w:rPr>
          <w:rFonts w:ascii="Calibri" w:eastAsia="宋体" w:hAnsi="Calibri" w:cs="Times New Roman"/>
          <w:sz w:val="24"/>
        </w:rPr>
        <w:t>15</w:t>
      </w:r>
      <w:r w:rsidRPr="00C62405">
        <w:rPr>
          <w:rFonts w:ascii="宋体" w:eastAsia="宋体" w:hAnsi="宋体" w:cs="Times New Roman" w:hint="eastAsia"/>
          <w:sz w:val="24"/>
        </w:rPr>
        <w:t>版；4</w:t>
      </w:r>
      <w:r w:rsidRPr="00C62405">
        <w:rPr>
          <w:rFonts w:ascii="宋体" w:eastAsia="宋体" w:hAnsi="宋体" w:cs="Times New Roman"/>
          <w:sz w:val="24"/>
        </w:rPr>
        <w:t xml:space="preserve">. </w:t>
      </w:r>
      <w:r w:rsidRPr="00C62405">
        <w:rPr>
          <w:rFonts w:ascii="宋体" w:eastAsia="宋体" w:hAnsi="宋体" w:cs="Times New Roman" w:hint="eastAsia"/>
          <w:sz w:val="24"/>
        </w:rPr>
        <w:t>严玲主编；《大学生心理健康教育》，高等教育出版社，2016版；</w:t>
      </w:r>
    </w:p>
    <w:p w14:paraId="573994F7" w14:textId="77777777" w:rsidR="00C62405" w:rsidRPr="00C62405" w:rsidRDefault="00C62405" w:rsidP="00C62405">
      <w:pPr>
        <w:spacing w:line="440" w:lineRule="exact"/>
        <w:ind w:firstLineChars="200" w:firstLine="480"/>
        <w:rPr>
          <w:rFonts w:ascii="Calibri" w:eastAsia="宋体" w:hAnsi="Calibri" w:cs="Times New Roman"/>
          <w:sz w:val="24"/>
        </w:rPr>
      </w:pPr>
      <w:r w:rsidRPr="00C62405">
        <w:rPr>
          <w:rFonts w:ascii="Calibri" w:eastAsia="宋体" w:hAnsi="Calibri" w:cs="Times New Roman" w:hint="eastAsia"/>
          <w:sz w:val="24"/>
        </w:rPr>
        <w:t xml:space="preserve">5. </w:t>
      </w:r>
      <w:r w:rsidRPr="00C62405">
        <w:rPr>
          <w:rFonts w:ascii="Calibri" w:eastAsia="宋体" w:hAnsi="Calibri" w:cs="Times New Roman" w:hint="eastAsia"/>
          <w:sz w:val="24"/>
        </w:rPr>
        <w:t>高兰主编；《大学生心理健康教育——心灵成长自主手册（第</w:t>
      </w:r>
      <w:r w:rsidRPr="00C62405">
        <w:rPr>
          <w:rFonts w:ascii="Calibri" w:eastAsia="宋体" w:hAnsi="Calibri" w:cs="Times New Roman" w:hint="eastAsia"/>
          <w:sz w:val="24"/>
        </w:rPr>
        <w:t>2</w:t>
      </w:r>
      <w:r w:rsidRPr="00C62405">
        <w:rPr>
          <w:rFonts w:ascii="Calibri" w:eastAsia="宋体" w:hAnsi="Calibri" w:cs="Times New Roman" w:hint="eastAsia"/>
          <w:sz w:val="24"/>
        </w:rPr>
        <w:t>版）》，教育科学出版社，</w:t>
      </w:r>
      <w:r w:rsidRPr="00C62405">
        <w:rPr>
          <w:rFonts w:ascii="Calibri" w:eastAsia="宋体" w:hAnsi="Calibri" w:cs="Times New Roman" w:hint="eastAsia"/>
          <w:sz w:val="24"/>
        </w:rPr>
        <w:t>2018</w:t>
      </w:r>
      <w:r w:rsidRPr="00C62405">
        <w:rPr>
          <w:rFonts w:ascii="Calibri" w:eastAsia="宋体" w:hAnsi="Calibri" w:cs="Times New Roman" w:hint="eastAsia"/>
          <w:sz w:val="24"/>
        </w:rPr>
        <w:t>版。</w:t>
      </w:r>
    </w:p>
    <w:p w14:paraId="5714B054" w14:textId="77777777" w:rsidR="00C62405" w:rsidRPr="00C62405" w:rsidRDefault="00C62405" w:rsidP="00C62405">
      <w:pPr>
        <w:spacing w:beforeLines="50" w:before="156" w:afterLines="50" w:after="156" w:line="440" w:lineRule="exact"/>
        <w:ind w:firstLineChars="200" w:firstLine="560"/>
        <w:outlineLvl w:val="1"/>
        <w:rPr>
          <w:rFonts w:ascii="黑体" w:eastAsia="黑体" w:hAnsi="黑体" w:cs="Times New Roman"/>
          <w:sz w:val="28"/>
          <w:szCs w:val="28"/>
        </w:rPr>
      </w:pPr>
      <w:r w:rsidRPr="00C62405">
        <w:rPr>
          <w:rFonts w:ascii="黑体" w:eastAsia="黑体" w:hAnsi="黑体" w:cs="Times New Roman" w:hint="eastAsia"/>
          <w:sz w:val="28"/>
          <w:szCs w:val="28"/>
        </w:rPr>
        <w:t>（三）课程资源</w:t>
      </w:r>
    </w:p>
    <w:p w14:paraId="4FBD763C"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1.本课程网络学习资源，可以通过《学习通》软件，搜索《大学生心理健康教育》</w:t>
      </w:r>
      <w:r w:rsidRPr="00C62405">
        <w:rPr>
          <w:rFonts w:ascii="宋体" w:eastAsia="宋体" w:hAnsi="宋体" w:cs="Times New Roman" w:hint="eastAsia"/>
          <w:sz w:val="24"/>
        </w:rPr>
        <w:lastRenderedPageBreak/>
        <w:t>李子</w:t>
      </w:r>
      <w:proofErr w:type="gramStart"/>
      <w:r w:rsidRPr="00C62405">
        <w:rPr>
          <w:rFonts w:ascii="宋体" w:eastAsia="宋体" w:hAnsi="宋体" w:cs="Times New Roman" w:hint="eastAsia"/>
          <w:sz w:val="24"/>
        </w:rPr>
        <w:t>勋</w:t>
      </w:r>
      <w:proofErr w:type="gramEnd"/>
      <w:r w:rsidRPr="00C62405">
        <w:rPr>
          <w:rFonts w:ascii="宋体" w:eastAsia="宋体" w:hAnsi="宋体" w:cs="Times New Roman" w:hint="eastAsia"/>
          <w:sz w:val="24"/>
        </w:rPr>
        <w:t>讲授，学生可以自主搜索和学习。</w:t>
      </w:r>
    </w:p>
    <w:p w14:paraId="326DAEF8"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2.课程必读书目包括：</w:t>
      </w:r>
    </w:p>
    <w:p w14:paraId="34DE2B66" w14:textId="77777777" w:rsidR="00C62405" w:rsidRPr="00C62405" w:rsidRDefault="00C62405" w:rsidP="00C62405">
      <w:pPr>
        <w:spacing w:line="440" w:lineRule="exact"/>
        <w:ind w:firstLineChars="200" w:firstLine="480"/>
        <w:rPr>
          <w:rFonts w:ascii="宋体" w:eastAsia="宋体" w:hAnsi="宋体" w:cs="Times New Roman"/>
          <w:sz w:val="24"/>
        </w:rPr>
      </w:pPr>
      <w:r w:rsidRPr="00C62405">
        <w:rPr>
          <w:rFonts w:ascii="宋体" w:eastAsia="宋体" w:hAnsi="宋体" w:cs="Times New Roman" w:hint="eastAsia"/>
          <w:sz w:val="24"/>
        </w:rPr>
        <w:t>刘玉华等《大学生心理发展与心理健康》安徽大学出版社，2000年；</w:t>
      </w:r>
    </w:p>
    <w:p w14:paraId="4A33B096" w14:textId="77777777" w:rsidR="00C62405" w:rsidRPr="00C62405" w:rsidRDefault="00C62405" w:rsidP="00C62405">
      <w:pPr>
        <w:spacing w:line="440" w:lineRule="exact"/>
        <w:ind w:firstLineChars="200" w:firstLine="480"/>
        <w:rPr>
          <w:rFonts w:ascii="宋体" w:eastAsia="宋体" w:hAnsi="宋体" w:cs="宋体"/>
          <w:sz w:val="24"/>
        </w:rPr>
      </w:pPr>
      <w:r w:rsidRPr="00C62405">
        <w:rPr>
          <w:rFonts w:ascii="宋体" w:eastAsia="宋体" w:hAnsi="宋体" w:cs="宋体" w:hint="eastAsia"/>
          <w:sz w:val="24"/>
        </w:rPr>
        <w:t>马歇尔·卢森堡.非暴力沟通［M］.</w:t>
      </w:r>
      <w:r w:rsidRPr="00C62405">
        <w:rPr>
          <w:rFonts w:ascii="Calibri" w:eastAsia="宋体" w:hAnsi="Calibri" w:cs="Times New Roman" w:hint="eastAsia"/>
        </w:rPr>
        <w:t xml:space="preserve"> </w:t>
      </w:r>
      <w:r w:rsidRPr="00C62405">
        <w:rPr>
          <w:rFonts w:ascii="宋体" w:eastAsia="宋体" w:hAnsi="宋体" w:cs="宋体" w:hint="eastAsia"/>
          <w:sz w:val="24"/>
        </w:rPr>
        <w:t>阮胤华译.北京：华夏出版社，20</w:t>
      </w:r>
      <w:r w:rsidRPr="00C62405">
        <w:rPr>
          <w:rFonts w:ascii="宋体" w:eastAsia="宋体" w:hAnsi="宋体" w:cs="宋体"/>
          <w:sz w:val="24"/>
        </w:rPr>
        <w:t>09</w:t>
      </w:r>
      <w:r w:rsidRPr="00C62405">
        <w:rPr>
          <w:rFonts w:ascii="宋体" w:eastAsia="宋体" w:hAnsi="宋体" w:cs="宋体" w:hint="eastAsia"/>
          <w:sz w:val="24"/>
        </w:rPr>
        <w:t>；</w:t>
      </w:r>
    </w:p>
    <w:p w14:paraId="3C0A3DBD" w14:textId="77777777" w:rsidR="00C62405" w:rsidRPr="00C62405" w:rsidRDefault="00C62405" w:rsidP="00C62405">
      <w:pPr>
        <w:spacing w:line="440" w:lineRule="exact"/>
        <w:ind w:firstLineChars="200" w:firstLine="480"/>
        <w:rPr>
          <w:rFonts w:ascii="宋体" w:eastAsia="宋体" w:hAnsi="宋体" w:cs="宋体"/>
          <w:sz w:val="24"/>
        </w:rPr>
      </w:pPr>
      <w:r w:rsidRPr="00C62405">
        <w:rPr>
          <w:rFonts w:ascii="宋体" w:eastAsia="宋体" w:hAnsi="宋体" w:cs="宋体" w:hint="eastAsia"/>
          <w:sz w:val="24"/>
        </w:rPr>
        <w:t xml:space="preserve">Jerry </w:t>
      </w:r>
      <w:proofErr w:type="spellStart"/>
      <w:r w:rsidRPr="00C62405">
        <w:rPr>
          <w:rFonts w:ascii="宋体" w:eastAsia="宋体" w:hAnsi="宋体" w:cs="宋体" w:hint="eastAsia"/>
          <w:sz w:val="24"/>
        </w:rPr>
        <w:t>M.Burger</w:t>
      </w:r>
      <w:proofErr w:type="spellEnd"/>
      <w:r>
        <w:fldChar w:fldCharType="begin"/>
      </w:r>
      <w:r>
        <w:instrText>HYPERLINK "https://book.douban.com/search/Jerry%20M.%20Burger"</w:instrText>
      </w:r>
      <w:r w:rsidR="00000000">
        <w:fldChar w:fldCharType="separate"/>
      </w:r>
      <w:r>
        <w:fldChar w:fldCharType="end"/>
      </w:r>
      <w:hyperlink r:id="rId21" w:history="1"/>
      <w:hyperlink r:id="rId22" w:history="1"/>
      <w:r w:rsidRPr="00C62405">
        <w:rPr>
          <w:rFonts w:ascii="宋体" w:eastAsia="宋体" w:hAnsi="宋体" w:cs="宋体" w:hint="eastAsia"/>
          <w:sz w:val="24"/>
        </w:rPr>
        <w:t>.人格心理学［M］.陈会昌译.北京：中国轻工业出版社，2010。</w:t>
      </w:r>
    </w:p>
    <w:p w14:paraId="6FEF4DEE" w14:textId="77777777" w:rsidR="00C62405" w:rsidRPr="00C62405" w:rsidRDefault="00C62405" w:rsidP="00C63ECC">
      <w:pPr>
        <w:pStyle w:val="afc"/>
      </w:pPr>
      <w:bookmarkStart w:id="144" w:name="_Toc8984"/>
      <w:bookmarkStart w:id="145" w:name="_Toc7619"/>
      <w:bookmarkStart w:id="146" w:name="_Toc24821"/>
      <w:bookmarkStart w:id="147" w:name="_Toc10900"/>
      <w:r w:rsidRPr="00C62405">
        <w:rPr>
          <w:rFonts w:hint="eastAsia"/>
        </w:rPr>
        <w:t>七、课程大纲制定依据</w:t>
      </w:r>
      <w:bookmarkEnd w:id="144"/>
      <w:bookmarkEnd w:id="145"/>
      <w:bookmarkEnd w:id="146"/>
      <w:bookmarkEnd w:id="147"/>
    </w:p>
    <w:p w14:paraId="4A8D8E3C" w14:textId="162E9FED" w:rsidR="00C62405" w:rsidRPr="00C62405" w:rsidRDefault="00C62405" w:rsidP="00C62405">
      <w:pPr>
        <w:spacing w:line="440" w:lineRule="exact"/>
        <w:ind w:firstLineChars="200" w:firstLine="480"/>
        <w:rPr>
          <w:rFonts w:ascii="宋体" w:eastAsia="宋体" w:hAnsi="宋体" w:cs="Times New Roman"/>
          <w:sz w:val="24"/>
        </w:rPr>
        <w:sectPr w:rsidR="00C62405" w:rsidRPr="00C62405">
          <w:pgSz w:w="11907" w:h="16840"/>
          <w:pgMar w:top="1418" w:right="1418" w:bottom="1418" w:left="1418" w:header="851" w:footer="992" w:gutter="284"/>
          <w:cols w:space="720"/>
          <w:docGrid w:type="lines" w:linePitch="312"/>
        </w:sectPr>
      </w:pPr>
      <w:r w:rsidRPr="00C62405">
        <w:rPr>
          <w:rFonts w:ascii="宋体" w:eastAsia="宋体" w:hAnsi="宋体" w:cs="Times New Roman" w:hint="eastAsia"/>
          <w:sz w:val="24"/>
        </w:rPr>
        <w:t>本课程大纲依据2023年</w:t>
      </w:r>
      <w:r w:rsidR="00093144">
        <w:rPr>
          <w:rFonts w:ascii="宋体" w:eastAsia="宋体" w:hAnsi="宋体" w:cs="Times New Roman" w:hint="eastAsia"/>
          <w:sz w:val="24"/>
        </w:rPr>
        <w:t>药物分析</w:t>
      </w:r>
      <w:r w:rsidRPr="00C62405">
        <w:rPr>
          <w:rFonts w:ascii="宋体" w:eastAsia="宋体" w:hAnsi="宋体" w:cs="Times New Roman" w:hint="eastAsia"/>
          <w:sz w:val="24"/>
        </w:rPr>
        <w:t>专业人才培养方案制定。</w:t>
      </w:r>
    </w:p>
    <w:p w14:paraId="3396677E" w14:textId="77777777" w:rsidR="00423AD2" w:rsidRPr="00423AD2" w:rsidRDefault="00423AD2" w:rsidP="00423AD2">
      <w:pPr>
        <w:keepNext/>
        <w:keepLines/>
        <w:spacing w:before="340" w:after="330" w:line="576" w:lineRule="auto"/>
        <w:jc w:val="center"/>
        <w:outlineLvl w:val="0"/>
        <w:rPr>
          <w:rFonts w:ascii="Calibri" w:eastAsia="黑体" w:hAnsi="Calibri" w:cs="Times New Roman"/>
          <w:b/>
          <w:kern w:val="44"/>
          <w:sz w:val="36"/>
        </w:rPr>
      </w:pPr>
      <w:bookmarkStart w:id="148" w:name="_Toc27364"/>
      <w:bookmarkStart w:id="149" w:name="_Toc149662352"/>
      <w:r w:rsidRPr="00423AD2">
        <w:rPr>
          <w:rFonts w:ascii="Calibri" w:eastAsia="黑体" w:hAnsi="Calibri" w:cs="Times New Roman" w:hint="eastAsia"/>
          <w:b/>
          <w:kern w:val="44"/>
          <w:sz w:val="36"/>
        </w:rPr>
        <w:lastRenderedPageBreak/>
        <w:t>《军事理论》（其他类）课程教学大纲</w:t>
      </w:r>
      <w:bookmarkEnd w:id="148"/>
      <w:bookmarkEnd w:id="149"/>
    </w:p>
    <w:p w14:paraId="2C0D227E" w14:textId="77777777" w:rsidR="00423AD2" w:rsidRPr="00423AD2" w:rsidRDefault="00423AD2" w:rsidP="00747ECA">
      <w:pPr>
        <w:numPr>
          <w:ilvl w:val="0"/>
          <w:numId w:val="72"/>
        </w:numPr>
        <w:spacing w:beforeLines="50" w:before="156" w:afterLines="50" w:after="156" w:line="440" w:lineRule="exact"/>
        <w:ind w:firstLineChars="200" w:firstLine="560"/>
        <w:rPr>
          <w:rFonts w:ascii="黑体" w:eastAsia="黑体" w:hAnsi="黑体" w:cs="Times New Roman"/>
          <w:color w:val="000000"/>
          <w:sz w:val="28"/>
          <w:szCs w:val="28"/>
        </w:rPr>
      </w:pPr>
      <w:r w:rsidRPr="00423AD2">
        <w:rPr>
          <w:rFonts w:ascii="黑体" w:eastAsia="黑体" w:hAnsi="黑体" w:cs="Times New Roman" w:hint="eastAsia"/>
          <w:color w:val="000000"/>
          <w:sz w:val="28"/>
          <w:szCs w:val="28"/>
        </w:rPr>
        <w:t>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7"/>
        <w:gridCol w:w="2751"/>
        <w:gridCol w:w="1523"/>
        <w:gridCol w:w="2876"/>
      </w:tblGrid>
      <w:tr w:rsidR="00423AD2" w:rsidRPr="00423AD2" w14:paraId="5BA1A07F" w14:textId="77777777" w:rsidTr="00423AD2">
        <w:trPr>
          <w:trHeight w:val="886"/>
          <w:jc w:val="center"/>
        </w:trPr>
        <w:tc>
          <w:tcPr>
            <w:tcW w:w="1668" w:type="dxa"/>
            <w:vAlign w:val="center"/>
          </w:tcPr>
          <w:p w14:paraId="0EF10DD3"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课程名称</w:t>
            </w:r>
          </w:p>
        </w:tc>
        <w:tc>
          <w:tcPr>
            <w:tcW w:w="2833" w:type="dxa"/>
            <w:vAlign w:val="center"/>
          </w:tcPr>
          <w:p w14:paraId="50AC0728"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军事理论</w:t>
            </w:r>
          </w:p>
        </w:tc>
        <w:tc>
          <w:tcPr>
            <w:tcW w:w="1561" w:type="dxa"/>
            <w:vAlign w:val="center"/>
          </w:tcPr>
          <w:p w14:paraId="729B6983"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课程代码</w:t>
            </w:r>
          </w:p>
        </w:tc>
        <w:tc>
          <w:tcPr>
            <w:tcW w:w="2941" w:type="dxa"/>
            <w:vAlign w:val="center"/>
          </w:tcPr>
          <w:p w14:paraId="4F2BBA94"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0021D00</w:t>
            </w:r>
          </w:p>
        </w:tc>
      </w:tr>
      <w:tr w:rsidR="00423AD2" w:rsidRPr="00423AD2" w14:paraId="7867E676" w14:textId="77777777" w:rsidTr="00423AD2">
        <w:trPr>
          <w:trHeight w:val="829"/>
          <w:jc w:val="center"/>
        </w:trPr>
        <w:tc>
          <w:tcPr>
            <w:tcW w:w="1668" w:type="dxa"/>
            <w:vAlign w:val="center"/>
          </w:tcPr>
          <w:p w14:paraId="62971515"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课程类别</w:t>
            </w:r>
          </w:p>
        </w:tc>
        <w:tc>
          <w:tcPr>
            <w:tcW w:w="2833" w:type="dxa"/>
            <w:vAlign w:val="center"/>
          </w:tcPr>
          <w:p w14:paraId="5910A483"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通识教育课程</w:t>
            </w:r>
          </w:p>
        </w:tc>
        <w:tc>
          <w:tcPr>
            <w:tcW w:w="1561" w:type="dxa"/>
            <w:vAlign w:val="center"/>
          </w:tcPr>
          <w:p w14:paraId="6E842648"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学时</w:t>
            </w:r>
          </w:p>
          <w:p w14:paraId="5EBD7930"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/学分</w:t>
            </w:r>
          </w:p>
        </w:tc>
        <w:tc>
          <w:tcPr>
            <w:tcW w:w="2941" w:type="dxa"/>
            <w:vAlign w:val="center"/>
          </w:tcPr>
          <w:p w14:paraId="25DF08F8"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32/2</w:t>
            </w:r>
          </w:p>
        </w:tc>
      </w:tr>
      <w:tr w:rsidR="00423AD2" w:rsidRPr="00423AD2" w14:paraId="106A214D" w14:textId="77777777" w:rsidTr="00423AD2">
        <w:trPr>
          <w:trHeight w:val="811"/>
          <w:jc w:val="center"/>
        </w:trPr>
        <w:tc>
          <w:tcPr>
            <w:tcW w:w="1668" w:type="dxa"/>
            <w:vAlign w:val="center"/>
          </w:tcPr>
          <w:p w14:paraId="45012AF0"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开课单位</w:t>
            </w:r>
          </w:p>
        </w:tc>
        <w:tc>
          <w:tcPr>
            <w:tcW w:w="2833" w:type="dxa"/>
            <w:vAlign w:val="center"/>
          </w:tcPr>
          <w:p w14:paraId="58D90C95"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党委学生工作部</w:t>
            </w:r>
          </w:p>
        </w:tc>
        <w:tc>
          <w:tcPr>
            <w:tcW w:w="1561" w:type="dxa"/>
            <w:vAlign w:val="center"/>
          </w:tcPr>
          <w:p w14:paraId="19C49057"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适用专业</w:t>
            </w:r>
          </w:p>
        </w:tc>
        <w:tc>
          <w:tcPr>
            <w:tcW w:w="2941" w:type="dxa"/>
            <w:vAlign w:val="center"/>
          </w:tcPr>
          <w:p w14:paraId="24E215C6"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其他类专业</w:t>
            </w:r>
          </w:p>
        </w:tc>
      </w:tr>
      <w:tr w:rsidR="00423AD2" w:rsidRPr="00423AD2" w14:paraId="562606A5" w14:textId="77777777" w:rsidTr="00423AD2">
        <w:trPr>
          <w:trHeight w:val="811"/>
          <w:jc w:val="center"/>
        </w:trPr>
        <w:tc>
          <w:tcPr>
            <w:tcW w:w="1668" w:type="dxa"/>
            <w:vAlign w:val="center"/>
          </w:tcPr>
          <w:p w14:paraId="528C4EAE"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课程负责人</w:t>
            </w:r>
          </w:p>
        </w:tc>
        <w:tc>
          <w:tcPr>
            <w:tcW w:w="7335" w:type="dxa"/>
            <w:gridSpan w:val="3"/>
            <w:vAlign w:val="center"/>
          </w:tcPr>
          <w:p w14:paraId="6BB33C87" w14:textId="77777777" w:rsidR="00423AD2" w:rsidRPr="00423AD2" w:rsidRDefault="00423AD2" w:rsidP="00423AD2">
            <w:pPr>
              <w:spacing w:line="440" w:lineRule="exact"/>
              <w:jc w:val="center"/>
              <w:rPr>
                <w:rFonts w:ascii="宋体" w:eastAsia="宋体" w:hAnsi="宋体" w:cs="Times New Roman"/>
                <w:b/>
                <w:bCs/>
                <w:color w:val="FF0000"/>
                <w:sz w:val="24"/>
              </w:rPr>
            </w:pPr>
            <w:r w:rsidRPr="00423AD2">
              <w:rPr>
                <w:rFonts w:ascii="宋体" w:eastAsia="宋体" w:hAnsi="宋体" w:cs="Times New Roman" w:hint="eastAsia"/>
                <w:color w:val="000000"/>
                <w:sz w:val="24"/>
              </w:rPr>
              <w:t>王震</w:t>
            </w:r>
          </w:p>
        </w:tc>
      </w:tr>
      <w:tr w:rsidR="00423AD2" w:rsidRPr="00423AD2" w14:paraId="3B23AE72" w14:textId="77777777" w:rsidTr="00423AD2">
        <w:trPr>
          <w:trHeight w:val="836"/>
          <w:jc w:val="center"/>
        </w:trPr>
        <w:tc>
          <w:tcPr>
            <w:tcW w:w="1668" w:type="dxa"/>
            <w:vAlign w:val="center"/>
          </w:tcPr>
          <w:p w14:paraId="0BD9CEAC"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大纲撰写人</w:t>
            </w:r>
          </w:p>
        </w:tc>
        <w:tc>
          <w:tcPr>
            <w:tcW w:w="2833" w:type="dxa"/>
            <w:vAlign w:val="center"/>
          </w:tcPr>
          <w:p w14:paraId="3DDA5116"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武丽</w:t>
            </w:r>
            <w:proofErr w:type="gramStart"/>
            <w:r w:rsidRPr="00423AD2">
              <w:rPr>
                <w:rFonts w:ascii="宋体" w:eastAsia="宋体" w:hAnsi="宋体" w:cs="Times New Roman" w:hint="eastAsia"/>
                <w:color w:val="000000"/>
                <w:sz w:val="24"/>
              </w:rPr>
              <w:t>丽</w:t>
            </w:r>
            <w:proofErr w:type="gramEnd"/>
          </w:p>
        </w:tc>
        <w:tc>
          <w:tcPr>
            <w:tcW w:w="1561" w:type="dxa"/>
            <w:vAlign w:val="center"/>
          </w:tcPr>
          <w:p w14:paraId="7B658019"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大纲审核人</w:t>
            </w:r>
          </w:p>
        </w:tc>
        <w:tc>
          <w:tcPr>
            <w:tcW w:w="2941" w:type="dxa"/>
            <w:vAlign w:val="center"/>
          </w:tcPr>
          <w:p w14:paraId="7FF02761"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王震</w:t>
            </w:r>
          </w:p>
        </w:tc>
      </w:tr>
      <w:tr w:rsidR="00423AD2" w:rsidRPr="00423AD2" w14:paraId="4E68637A" w14:textId="77777777" w:rsidTr="00423AD2">
        <w:trPr>
          <w:trHeight w:val="848"/>
          <w:jc w:val="center"/>
        </w:trPr>
        <w:tc>
          <w:tcPr>
            <w:tcW w:w="1668" w:type="dxa"/>
            <w:vAlign w:val="center"/>
          </w:tcPr>
          <w:p w14:paraId="62E82F24"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先修课程</w:t>
            </w:r>
          </w:p>
        </w:tc>
        <w:tc>
          <w:tcPr>
            <w:tcW w:w="7335" w:type="dxa"/>
            <w:gridSpan w:val="3"/>
            <w:vAlign w:val="center"/>
          </w:tcPr>
          <w:p w14:paraId="00656F38" w14:textId="77777777" w:rsidR="00423AD2" w:rsidRPr="00423AD2" w:rsidRDefault="00423AD2" w:rsidP="00423AD2">
            <w:pPr>
              <w:spacing w:line="440" w:lineRule="exact"/>
              <w:jc w:val="center"/>
              <w:rPr>
                <w:rFonts w:ascii="宋体" w:eastAsia="宋体" w:hAnsi="宋体" w:cs="Times New Roman"/>
                <w:color w:val="000000"/>
                <w:sz w:val="24"/>
              </w:rPr>
            </w:pPr>
          </w:p>
        </w:tc>
      </w:tr>
      <w:tr w:rsidR="00423AD2" w:rsidRPr="00423AD2" w14:paraId="13B29501" w14:textId="77777777" w:rsidTr="00423AD2">
        <w:trPr>
          <w:trHeight w:val="848"/>
          <w:jc w:val="center"/>
        </w:trPr>
        <w:tc>
          <w:tcPr>
            <w:tcW w:w="1668" w:type="dxa"/>
            <w:vAlign w:val="center"/>
          </w:tcPr>
          <w:p w14:paraId="15BD18A4"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课程网址</w:t>
            </w:r>
          </w:p>
        </w:tc>
        <w:tc>
          <w:tcPr>
            <w:tcW w:w="7335" w:type="dxa"/>
            <w:gridSpan w:val="3"/>
            <w:vAlign w:val="center"/>
          </w:tcPr>
          <w:p w14:paraId="1266FADC" w14:textId="77777777" w:rsidR="00423AD2" w:rsidRPr="00423AD2" w:rsidRDefault="00423AD2" w:rsidP="00423AD2">
            <w:pPr>
              <w:spacing w:line="440" w:lineRule="exact"/>
              <w:rPr>
                <w:rFonts w:ascii="宋体" w:eastAsia="宋体" w:hAnsi="宋体" w:cs="Times New Roman"/>
                <w:color w:val="000000"/>
                <w:sz w:val="24"/>
              </w:rPr>
            </w:pPr>
          </w:p>
        </w:tc>
      </w:tr>
    </w:tbl>
    <w:p w14:paraId="450AFAFD" w14:textId="77777777" w:rsidR="00423AD2" w:rsidRPr="00423AD2" w:rsidRDefault="00423AD2" w:rsidP="00423AD2">
      <w:pPr>
        <w:spacing w:beforeLines="50" w:before="156" w:afterLines="50" w:after="156" w:line="440" w:lineRule="exact"/>
        <w:rPr>
          <w:rFonts w:ascii="黑体" w:eastAsia="黑体" w:hAnsi="黑体" w:cs="Times New Roman"/>
          <w:color w:val="000000"/>
          <w:sz w:val="28"/>
          <w:szCs w:val="28"/>
        </w:rPr>
      </w:pPr>
      <w:r w:rsidRPr="00423AD2">
        <w:rPr>
          <w:rFonts w:ascii="黑体" w:eastAsia="黑体" w:hAnsi="黑体" w:cs="Times New Roman" w:hint="eastAsia"/>
          <w:color w:val="000000"/>
          <w:sz w:val="28"/>
          <w:szCs w:val="28"/>
        </w:rPr>
        <w:t>二、课程学习目标及与毕业要求的对应关系</w:t>
      </w:r>
    </w:p>
    <w:p w14:paraId="514B9B85" w14:textId="77777777" w:rsidR="00423AD2" w:rsidRPr="00423AD2" w:rsidRDefault="00423AD2" w:rsidP="00423AD2">
      <w:pPr>
        <w:spacing w:beforeLines="50" w:before="156" w:afterLines="50" w:after="156" w:line="440" w:lineRule="exact"/>
        <w:ind w:firstLineChars="200" w:firstLine="560"/>
        <w:rPr>
          <w:rFonts w:ascii="Calibri" w:eastAsia="宋体" w:hAnsi="Calibri" w:cs="Times New Roman"/>
          <w:color w:val="000000"/>
        </w:rPr>
      </w:pPr>
      <w:r w:rsidRPr="00423AD2">
        <w:rPr>
          <w:rFonts w:ascii="黑体" w:eastAsia="黑体" w:hAnsi="黑体" w:cs="Times New Roman" w:hint="eastAsia"/>
          <w:color w:val="000000"/>
          <w:sz w:val="28"/>
          <w:szCs w:val="28"/>
        </w:rPr>
        <w:t>（一）课程学习目标</w:t>
      </w:r>
    </w:p>
    <w:p w14:paraId="5C9A0E76" w14:textId="77777777" w:rsidR="00423AD2" w:rsidRPr="00423AD2" w:rsidRDefault="00423AD2" w:rsidP="00895319">
      <w:pPr>
        <w:spacing w:line="440" w:lineRule="exact"/>
        <w:ind w:firstLineChars="200" w:firstLine="480"/>
        <w:rPr>
          <w:rFonts w:ascii="Calibri" w:eastAsia="宋体" w:hAnsi="Calibri" w:cs="Times New Roman"/>
          <w:bCs/>
          <w:color w:val="000000"/>
          <w:sz w:val="24"/>
        </w:rPr>
      </w:pPr>
      <w:r w:rsidRPr="00423AD2">
        <w:rPr>
          <w:rFonts w:ascii="Calibri" w:eastAsia="宋体" w:hAnsi="Calibri" w:cs="Times New Roman" w:hint="eastAsia"/>
          <w:bCs/>
          <w:color w:val="000000"/>
          <w:sz w:val="24"/>
        </w:rPr>
        <w:t xml:space="preserve">1. </w:t>
      </w:r>
      <w:r w:rsidRPr="00423AD2">
        <w:rPr>
          <w:rFonts w:ascii="Calibri" w:eastAsia="宋体" w:hAnsi="Calibri" w:cs="Times New Roman" w:hint="eastAsia"/>
          <w:bCs/>
          <w:color w:val="000000"/>
          <w:sz w:val="24"/>
        </w:rPr>
        <w:t>通过对国防相关基础概念的学习，对中国古代、近现代军事思想，外国军事思想的学习，对现代化战争、信息化作战平台的学习，进行理想信念教育，增强社会责任感和使命感，形成正确的人生观、价值观、国防观，培养理性国防思维，培养积极投身国防建设的理念和意识；</w:t>
      </w:r>
    </w:p>
    <w:p w14:paraId="1D29BA35" w14:textId="77777777" w:rsidR="00423AD2" w:rsidRPr="00423AD2" w:rsidRDefault="00423AD2" w:rsidP="00895319">
      <w:pPr>
        <w:spacing w:beforeAutospacing="1" w:afterAutospacing="1" w:line="360" w:lineRule="auto"/>
        <w:ind w:firstLineChars="200" w:firstLine="480"/>
        <w:jc w:val="left"/>
        <w:rPr>
          <w:rFonts w:ascii="Calibri" w:eastAsia="宋体" w:hAnsi="Calibri" w:cs="Times New Roman"/>
          <w:bCs/>
          <w:sz w:val="24"/>
        </w:rPr>
      </w:pPr>
      <w:r w:rsidRPr="00423AD2">
        <w:rPr>
          <w:rFonts w:ascii="Calibri" w:eastAsia="宋体" w:hAnsi="Calibri" w:cs="Times New Roman" w:hint="eastAsia"/>
          <w:bCs/>
          <w:sz w:val="24"/>
        </w:rPr>
        <w:t xml:space="preserve">2.  </w:t>
      </w:r>
      <w:r w:rsidRPr="00423AD2">
        <w:rPr>
          <w:rFonts w:ascii="Calibri" w:eastAsia="宋体" w:hAnsi="Calibri" w:cs="Times New Roman" w:hint="eastAsia"/>
          <w:bCs/>
          <w:sz w:val="24"/>
        </w:rPr>
        <w:t>提升与他人良好的沟通习惯和能力</w:t>
      </w:r>
      <w:r w:rsidRPr="00423AD2">
        <w:rPr>
          <w:rFonts w:ascii="Calibri" w:eastAsia="宋体" w:hAnsi="Calibri" w:cs="Times New Roman" w:hint="eastAsia"/>
          <w:b/>
          <w:kern w:val="0"/>
          <w:sz w:val="24"/>
        </w:rPr>
        <w:t>。</w:t>
      </w:r>
    </w:p>
    <w:p w14:paraId="64D947F6" w14:textId="77777777" w:rsidR="00423AD2" w:rsidRPr="00423AD2" w:rsidRDefault="00423AD2" w:rsidP="00423AD2">
      <w:pPr>
        <w:spacing w:beforeLines="50" w:before="156" w:afterLines="50" w:after="156" w:line="440" w:lineRule="exact"/>
        <w:ind w:firstLineChars="200" w:firstLine="560"/>
        <w:rPr>
          <w:rFonts w:ascii="黑体" w:eastAsia="黑体" w:hAnsi="黑体" w:cs="Times New Roman"/>
          <w:color w:val="000000"/>
          <w:sz w:val="28"/>
          <w:szCs w:val="28"/>
        </w:rPr>
      </w:pPr>
      <w:r w:rsidRPr="00423AD2">
        <w:rPr>
          <w:rFonts w:ascii="黑体" w:eastAsia="黑体" w:hAnsi="黑体" w:cs="Times New Roman" w:hint="eastAsia"/>
          <w:color w:val="000000"/>
          <w:sz w:val="28"/>
          <w:szCs w:val="28"/>
        </w:rPr>
        <w:t>（二）课程学习目标与毕业要求指标点的对应关系</w:t>
      </w:r>
    </w:p>
    <w:tbl>
      <w:tblPr>
        <w:tblW w:w="0" w:type="auto"/>
        <w:tblInd w:w="-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23"/>
        <w:gridCol w:w="2235"/>
        <w:gridCol w:w="5011"/>
      </w:tblGrid>
      <w:tr w:rsidR="00423AD2" w:rsidRPr="00423AD2" w14:paraId="0C13992F" w14:textId="77777777" w:rsidTr="00423AD2">
        <w:tc>
          <w:tcPr>
            <w:tcW w:w="1923" w:type="dxa"/>
          </w:tcPr>
          <w:p w14:paraId="7EAA97DB" w14:textId="77777777" w:rsidR="00423AD2" w:rsidRPr="00423AD2" w:rsidRDefault="00423AD2" w:rsidP="00423AD2">
            <w:pPr>
              <w:spacing w:line="440" w:lineRule="exact"/>
              <w:jc w:val="center"/>
              <w:rPr>
                <w:rFonts w:ascii="宋体" w:eastAsia="宋体" w:hAnsi="宋体" w:cs="Times New Roman"/>
                <w:b/>
                <w:color w:val="000000"/>
                <w:sz w:val="24"/>
              </w:rPr>
            </w:pPr>
            <w:r w:rsidRPr="00423AD2">
              <w:rPr>
                <w:rFonts w:ascii="宋体" w:eastAsia="宋体" w:hAnsi="宋体" w:cs="Times New Roman" w:hint="eastAsia"/>
                <w:b/>
                <w:color w:val="000000"/>
                <w:sz w:val="24"/>
              </w:rPr>
              <w:t>课程目标</w:t>
            </w:r>
          </w:p>
        </w:tc>
        <w:tc>
          <w:tcPr>
            <w:tcW w:w="2235" w:type="dxa"/>
          </w:tcPr>
          <w:p w14:paraId="7190B78C" w14:textId="77777777" w:rsidR="00423AD2" w:rsidRPr="00423AD2" w:rsidRDefault="00423AD2" w:rsidP="00423AD2">
            <w:pPr>
              <w:spacing w:line="440" w:lineRule="exact"/>
              <w:jc w:val="center"/>
              <w:rPr>
                <w:rFonts w:ascii="宋体" w:eastAsia="宋体" w:hAnsi="宋体" w:cs="Times New Roman"/>
                <w:b/>
                <w:color w:val="000000"/>
                <w:sz w:val="24"/>
              </w:rPr>
            </w:pPr>
            <w:r w:rsidRPr="00423AD2">
              <w:rPr>
                <w:rFonts w:ascii="宋体" w:eastAsia="宋体" w:hAnsi="宋体" w:cs="Times New Roman" w:hint="eastAsia"/>
                <w:b/>
                <w:color w:val="000000"/>
                <w:sz w:val="24"/>
              </w:rPr>
              <w:t>支撑的毕业要求</w:t>
            </w:r>
          </w:p>
        </w:tc>
        <w:tc>
          <w:tcPr>
            <w:tcW w:w="5011" w:type="dxa"/>
          </w:tcPr>
          <w:p w14:paraId="57DE73F6" w14:textId="77777777" w:rsidR="00423AD2" w:rsidRPr="00423AD2" w:rsidRDefault="00423AD2" w:rsidP="00423AD2">
            <w:pPr>
              <w:spacing w:line="440" w:lineRule="exact"/>
              <w:jc w:val="center"/>
              <w:rPr>
                <w:rFonts w:ascii="宋体" w:eastAsia="宋体" w:hAnsi="宋体" w:cs="Times New Roman"/>
                <w:b/>
                <w:color w:val="000000"/>
                <w:sz w:val="24"/>
              </w:rPr>
            </w:pPr>
            <w:r w:rsidRPr="00423AD2">
              <w:rPr>
                <w:rFonts w:ascii="宋体" w:eastAsia="宋体" w:hAnsi="宋体" w:cs="Times New Roman" w:hint="eastAsia"/>
                <w:b/>
                <w:color w:val="000000"/>
                <w:sz w:val="24"/>
              </w:rPr>
              <w:t>支撑的毕业要求指标点</w:t>
            </w:r>
          </w:p>
        </w:tc>
      </w:tr>
      <w:tr w:rsidR="00423AD2" w:rsidRPr="00423AD2" w14:paraId="7F5487CD" w14:textId="77777777" w:rsidTr="00423AD2">
        <w:trPr>
          <w:trHeight w:val="565"/>
        </w:trPr>
        <w:tc>
          <w:tcPr>
            <w:tcW w:w="1923" w:type="dxa"/>
            <w:vAlign w:val="center"/>
          </w:tcPr>
          <w:p w14:paraId="66E85A5E"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课程目标1</w:t>
            </w:r>
          </w:p>
        </w:tc>
        <w:tc>
          <w:tcPr>
            <w:tcW w:w="2235" w:type="dxa"/>
            <w:vAlign w:val="center"/>
          </w:tcPr>
          <w:p w14:paraId="7ADFAE1F" w14:textId="77777777" w:rsidR="00423AD2" w:rsidRPr="00423AD2" w:rsidRDefault="00423AD2" w:rsidP="00423AD2">
            <w:pPr>
              <w:spacing w:line="440" w:lineRule="exact"/>
              <w:rPr>
                <w:rFonts w:ascii="宋体" w:eastAsia="宋体" w:hAnsi="宋体" w:cs="Times New Roman"/>
                <w:color w:val="000000"/>
                <w:sz w:val="24"/>
              </w:rPr>
            </w:pPr>
          </w:p>
        </w:tc>
        <w:tc>
          <w:tcPr>
            <w:tcW w:w="5011" w:type="dxa"/>
          </w:tcPr>
          <w:p w14:paraId="7227E3A1" w14:textId="77777777" w:rsidR="00423AD2" w:rsidRPr="00423AD2" w:rsidRDefault="00423AD2" w:rsidP="00423AD2">
            <w:pPr>
              <w:spacing w:line="440" w:lineRule="exact"/>
              <w:rPr>
                <w:rFonts w:ascii="宋体" w:eastAsia="宋体" w:hAnsi="宋体" w:cs="Times New Roman"/>
                <w:color w:val="000000"/>
                <w:sz w:val="24"/>
              </w:rPr>
            </w:pPr>
          </w:p>
        </w:tc>
      </w:tr>
      <w:tr w:rsidR="00423AD2" w:rsidRPr="00423AD2" w14:paraId="786CBD11" w14:textId="77777777" w:rsidTr="00423AD2">
        <w:tc>
          <w:tcPr>
            <w:tcW w:w="1923" w:type="dxa"/>
            <w:vAlign w:val="center"/>
          </w:tcPr>
          <w:p w14:paraId="68EACE76"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lastRenderedPageBreak/>
              <w:t>课程目标2</w:t>
            </w:r>
          </w:p>
        </w:tc>
        <w:tc>
          <w:tcPr>
            <w:tcW w:w="2235" w:type="dxa"/>
            <w:vAlign w:val="center"/>
          </w:tcPr>
          <w:p w14:paraId="12FF82F9" w14:textId="77777777" w:rsidR="00423AD2" w:rsidRPr="00423AD2" w:rsidRDefault="00423AD2" w:rsidP="00423AD2">
            <w:pPr>
              <w:spacing w:line="440" w:lineRule="exact"/>
              <w:rPr>
                <w:rFonts w:ascii="宋体" w:eastAsia="宋体" w:hAnsi="宋体" w:cs="Times New Roman"/>
                <w:color w:val="000000"/>
                <w:sz w:val="24"/>
              </w:rPr>
            </w:pPr>
          </w:p>
        </w:tc>
        <w:tc>
          <w:tcPr>
            <w:tcW w:w="5011" w:type="dxa"/>
          </w:tcPr>
          <w:p w14:paraId="6F5058D4" w14:textId="77777777" w:rsidR="00423AD2" w:rsidRPr="00423AD2" w:rsidRDefault="00423AD2" w:rsidP="00423AD2">
            <w:pPr>
              <w:spacing w:line="440" w:lineRule="exact"/>
              <w:rPr>
                <w:rFonts w:ascii="宋体" w:eastAsia="宋体" w:hAnsi="宋体" w:cs="Times New Roman"/>
                <w:color w:val="000000"/>
                <w:sz w:val="24"/>
              </w:rPr>
            </w:pPr>
          </w:p>
        </w:tc>
      </w:tr>
    </w:tbl>
    <w:p w14:paraId="7E9E1F58" w14:textId="77777777" w:rsidR="00423AD2" w:rsidRPr="00423AD2" w:rsidRDefault="00423AD2" w:rsidP="00423AD2">
      <w:pPr>
        <w:spacing w:beforeLines="50" w:before="156" w:afterLines="50" w:after="156" w:line="440" w:lineRule="exact"/>
        <w:rPr>
          <w:rFonts w:ascii="黑体" w:eastAsia="黑体" w:hAnsi="黑体" w:cs="Times New Roman"/>
          <w:color w:val="000000"/>
          <w:sz w:val="28"/>
          <w:szCs w:val="28"/>
        </w:rPr>
      </w:pPr>
      <w:r w:rsidRPr="00423AD2">
        <w:rPr>
          <w:rFonts w:ascii="黑体" w:eastAsia="黑体" w:hAnsi="黑体" w:cs="Times New Roman" w:hint="eastAsia"/>
          <w:color w:val="000000"/>
          <w:sz w:val="28"/>
          <w:szCs w:val="28"/>
        </w:rPr>
        <w:t>三、教学内容及与课程学习目标的对应关系</w:t>
      </w:r>
    </w:p>
    <w:p w14:paraId="13258203" w14:textId="77777777" w:rsidR="00423AD2" w:rsidRPr="00423AD2" w:rsidRDefault="00423AD2" w:rsidP="00423AD2">
      <w:pPr>
        <w:spacing w:beforeLines="50" w:before="156" w:afterLines="50" w:after="156" w:line="440" w:lineRule="exact"/>
        <w:ind w:firstLineChars="200" w:firstLine="562"/>
        <w:rPr>
          <w:rFonts w:ascii="黑体" w:eastAsia="黑体" w:hAnsi="黑体" w:cs="Times New Roman"/>
          <w:b/>
          <w:color w:val="000000"/>
          <w:sz w:val="28"/>
          <w:szCs w:val="28"/>
        </w:rPr>
      </w:pPr>
      <w:r w:rsidRPr="00423AD2">
        <w:rPr>
          <w:rFonts w:ascii="黑体" w:eastAsia="黑体" w:hAnsi="黑体" w:cs="Times New Roman" w:hint="eastAsia"/>
          <w:b/>
          <w:color w:val="000000"/>
          <w:sz w:val="28"/>
          <w:szCs w:val="28"/>
        </w:rPr>
        <w:t>（一）课程学习内容</w:t>
      </w:r>
    </w:p>
    <w:p w14:paraId="20F95720" w14:textId="77777777" w:rsidR="00423AD2" w:rsidRPr="00423AD2" w:rsidRDefault="00423AD2" w:rsidP="00423AD2">
      <w:pPr>
        <w:adjustRightInd w:val="0"/>
        <w:snapToGrid w:val="0"/>
        <w:spacing w:beforeLines="50" w:before="156" w:afterLines="50" w:after="156" w:line="500" w:lineRule="exact"/>
        <w:ind w:firstLineChars="1100" w:firstLine="3092"/>
        <w:rPr>
          <w:rFonts w:ascii="Calibri" w:eastAsia="宋体" w:hAnsi="Calibri" w:cs="Times New Roman"/>
          <w:b/>
          <w:bCs/>
          <w:color w:val="000000"/>
          <w:sz w:val="28"/>
        </w:rPr>
      </w:pPr>
      <w:r w:rsidRPr="00423AD2">
        <w:rPr>
          <w:rFonts w:ascii="Calibri" w:eastAsia="宋体" w:hAnsi="Calibri" w:cs="Times New Roman" w:hint="eastAsia"/>
          <w:b/>
          <w:bCs/>
          <w:color w:val="000000"/>
          <w:sz w:val="28"/>
        </w:rPr>
        <w:t>第一章</w:t>
      </w:r>
      <w:r w:rsidRPr="00423AD2">
        <w:rPr>
          <w:rFonts w:ascii="Calibri" w:eastAsia="宋体" w:hAnsi="Calibri" w:cs="Times New Roman" w:hint="eastAsia"/>
          <w:b/>
          <w:bCs/>
          <w:color w:val="000000"/>
          <w:sz w:val="28"/>
        </w:rPr>
        <w:t xml:space="preserve">  </w:t>
      </w:r>
      <w:r w:rsidRPr="00423AD2">
        <w:rPr>
          <w:rFonts w:ascii="Calibri" w:eastAsia="宋体" w:hAnsi="Calibri" w:cs="Times New Roman" w:hint="eastAsia"/>
          <w:b/>
          <w:bCs/>
          <w:color w:val="000000"/>
          <w:sz w:val="28"/>
        </w:rPr>
        <w:t>中国国防</w:t>
      </w:r>
      <w:r w:rsidRPr="00423AD2">
        <w:rPr>
          <w:rFonts w:ascii="Calibri" w:eastAsia="宋体" w:hAnsi="Calibri" w:cs="Times New Roman" w:hint="eastAsia"/>
          <w:b/>
          <w:bCs/>
          <w:color w:val="000000"/>
          <w:sz w:val="28"/>
        </w:rPr>
        <w:t xml:space="preserve"> </w:t>
      </w:r>
    </w:p>
    <w:p w14:paraId="18903CA5" w14:textId="77777777" w:rsidR="00423AD2" w:rsidRPr="00423AD2" w:rsidRDefault="00423AD2" w:rsidP="00423AD2">
      <w:pPr>
        <w:spacing w:line="360" w:lineRule="auto"/>
        <w:ind w:firstLineChars="200" w:firstLine="482"/>
        <w:rPr>
          <w:rFonts w:ascii="宋体" w:eastAsia="宋体" w:hAnsi="宋体" w:cs="Times New Roman"/>
          <w:color w:val="000000"/>
          <w:sz w:val="24"/>
        </w:rPr>
      </w:pPr>
      <w:r w:rsidRPr="00423AD2">
        <w:rPr>
          <w:rFonts w:ascii="宋体" w:eastAsia="宋体" w:hAnsi="宋体" w:cs="Times New Roman" w:hint="eastAsia"/>
          <w:b/>
          <w:color w:val="000000"/>
          <w:sz w:val="24"/>
        </w:rPr>
        <w:t>【学习目标】</w:t>
      </w:r>
    </w:p>
    <w:p w14:paraId="70734D7F" w14:textId="77777777" w:rsidR="00423AD2" w:rsidRPr="00423AD2" w:rsidRDefault="00423AD2" w:rsidP="00423AD2">
      <w:pPr>
        <w:spacing w:afterLines="50" w:after="156" w:line="300" w:lineRule="auto"/>
        <w:ind w:firstLineChars="200" w:firstLine="480"/>
        <w:rPr>
          <w:rFonts w:ascii="宋体" w:eastAsia="宋体" w:hAnsi="宋体" w:cs="Times New Roman"/>
          <w:b/>
          <w:color w:val="000000"/>
          <w:sz w:val="24"/>
        </w:rPr>
      </w:pPr>
      <w:r w:rsidRPr="00423AD2">
        <w:rPr>
          <w:rFonts w:ascii="宋体" w:eastAsia="宋体" w:hAnsi="宋体" w:cs="Times New Roman" w:hint="eastAsia"/>
          <w:color w:val="000000"/>
          <w:sz w:val="24"/>
        </w:rPr>
        <w:t>了解我国国防历史，熟悉国防法规和作为一个国家保卫者接班人的责任，掌握国防建设和国防动员的主要内容，增强国防意识和战略思维，树立大国防观和总体国家安全观。</w:t>
      </w:r>
    </w:p>
    <w:p w14:paraId="1270ECE3" w14:textId="77777777" w:rsidR="00423AD2" w:rsidRPr="00423AD2" w:rsidRDefault="00423AD2" w:rsidP="00423AD2">
      <w:pPr>
        <w:spacing w:line="360" w:lineRule="auto"/>
        <w:ind w:firstLineChars="200" w:firstLine="482"/>
        <w:rPr>
          <w:rFonts w:ascii="宋体" w:eastAsia="宋体" w:hAnsi="宋体" w:cs="Times New Roman"/>
          <w:b/>
          <w:color w:val="000000"/>
          <w:sz w:val="24"/>
        </w:rPr>
      </w:pPr>
      <w:r w:rsidRPr="00423AD2">
        <w:rPr>
          <w:rFonts w:ascii="宋体" w:eastAsia="宋体" w:hAnsi="宋体" w:cs="Times New Roman" w:hint="eastAsia"/>
          <w:b/>
          <w:color w:val="000000"/>
          <w:sz w:val="24"/>
        </w:rPr>
        <w:t>【学习内容】</w:t>
      </w:r>
    </w:p>
    <w:p w14:paraId="113C7BBC" w14:textId="77777777" w:rsidR="00423AD2" w:rsidRPr="00423AD2" w:rsidRDefault="00423AD2" w:rsidP="00747ECA">
      <w:pPr>
        <w:numPr>
          <w:ilvl w:val="0"/>
          <w:numId w:val="73"/>
        </w:numPr>
        <w:spacing w:afterLines="50" w:after="156"/>
        <w:ind w:firstLineChars="300" w:firstLine="720"/>
        <w:rPr>
          <w:rFonts w:ascii="宋体" w:eastAsia="宋体" w:hAnsi="宋体" w:cs="Times New Roman"/>
          <w:color w:val="000000"/>
          <w:sz w:val="24"/>
        </w:rPr>
      </w:pPr>
      <w:r w:rsidRPr="00423AD2">
        <w:rPr>
          <w:rFonts w:ascii="宋体" w:eastAsia="宋体" w:hAnsi="宋体" w:cs="Times New Roman" w:hint="eastAsia"/>
          <w:color w:val="000000"/>
          <w:sz w:val="24"/>
        </w:rPr>
        <w:t>国防概述</w:t>
      </w:r>
    </w:p>
    <w:p w14:paraId="5863A8C6" w14:textId="77777777" w:rsidR="00423AD2" w:rsidRPr="00423AD2" w:rsidRDefault="00423AD2" w:rsidP="00747ECA">
      <w:pPr>
        <w:numPr>
          <w:ilvl w:val="0"/>
          <w:numId w:val="73"/>
        </w:numPr>
        <w:spacing w:afterLines="50" w:after="156"/>
        <w:ind w:firstLineChars="300" w:firstLine="720"/>
        <w:rPr>
          <w:rFonts w:ascii="宋体" w:eastAsia="宋体" w:hAnsi="宋体" w:cs="Times New Roman"/>
          <w:color w:val="000000"/>
          <w:sz w:val="24"/>
        </w:rPr>
      </w:pPr>
      <w:r w:rsidRPr="00423AD2">
        <w:rPr>
          <w:rFonts w:ascii="宋体" w:eastAsia="宋体" w:hAnsi="宋体" w:cs="Times New Roman" w:hint="eastAsia"/>
          <w:color w:val="000000"/>
          <w:sz w:val="24"/>
        </w:rPr>
        <w:t>国防法规</w:t>
      </w:r>
    </w:p>
    <w:p w14:paraId="024E86BB" w14:textId="77777777" w:rsidR="00423AD2" w:rsidRPr="00423AD2" w:rsidRDefault="00423AD2" w:rsidP="00747ECA">
      <w:pPr>
        <w:numPr>
          <w:ilvl w:val="0"/>
          <w:numId w:val="73"/>
        </w:numPr>
        <w:spacing w:afterLines="50" w:after="156"/>
        <w:ind w:firstLineChars="300" w:firstLine="720"/>
        <w:rPr>
          <w:rFonts w:ascii="宋体" w:eastAsia="宋体" w:hAnsi="宋体" w:cs="Times New Roman"/>
          <w:color w:val="000000"/>
          <w:sz w:val="24"/>
        </w:rPr>
      </w:pPr>
      <w:r w:rsidRPr="00423AD2">
        <w:rPr>
          <w:rFonts w:ascii="宋体" w:eastAsia="宋体" w:hAnsi="宋体" w:cs="Times New Roman" w:hint="eastAsia"/>
          <w:color w:val="000000"/>
          <w:sz w:val="24"/>
        </w:rPr>
        <w:t>国防建设</w:t>
      </w:r>
    </w:p>
    <w:p w14:paraId="19935C66" w14:textId="77777777" w:rsidR="00423AD2" w:rsidRPr="00423AD2" w:rsidRDefault="00423AD2" w:rsidP="00747ECA">
      <w:pPr>
        <w:numPr>
          <w:ilvl w:val="0"/>
          <w:numId w:val="73"/>
        </w:numPr>
        <w:spacing w:afterLines="50" w:after="156"/>
        <w:ind w:firstLineChars="300" w:firstLine="720"/>
        <w:rPr>
          <w:rFonts w:ascii="宋体" w:eastAsia="宋体" w:hAnsi="宋体" w:cs="Times New Roman"/>
          <w:color w:val="000000"/>
          <w:sz w:val="24"/>
        </w:rPr>
      </w:pPr>
      <w:r w:rsidRPr="00423AD2">
        <w:rPr>
          <w:rFonts w:ascii="宋体" w:eastAsia="宋体" w:hAnsi="宋体" w:cs="Times New Roman" w:hint="eastAsia"/>
          <w:color w:val="000000"/>
          <w:sz w:val="24"/>
        </w:rPr>
        <w:t>武装力量</w:t>
      </w:r>
    </w:p>
    <w:p w14:paraId="454C6BD4" w14:textId="77777777" w:rsidR="00423AD2" w:rsidRPr="00423AD2" w:rsidRDefault="00423AD2" w:rsidP="00747ECA">
      <w:pPr>
        <w:numPr>
          <w:ilvl w:val="0"/>
          <w:numId w:val="73"/>
        </w:numPr>
        <w:spacing w:afterLines="50" w:after="156"/>
        <w:ind w:firstLineChars="300" w:firstLine="720"/>
        <w:rPr>
          <w:rFonts w:ascii="宋体" w:eastAsia="宋体" w:hAnsi="宋体" w:cs="Times New Roman"/>
          <w:color w:val="000000"/>
          <w:sz w:val="24"/>
        </w:rPr>
      </w:pPr>
      <w:r w:rsidRPr="00423AD2">
        <w:rPr>
          <w:rFonts w:ascii="宋体" w:eastAsia="宋体" w:hAnsi="宋体" w:cs="Times New Roman" w:hint="eastAsia"/>
          <w:color w:val="000000"/>
          <w:sz w:val="24"/>
        </w:rPr>
        <w:t>国防动员</w:t>
      </w:r>
    </w:p>
    <w:p w14:paraId="1FD18C65" w14:textId="77777777" w:rsidR="00423AD2" w:rsidRPr="00423AD2" w:rsidRDefault="00423AD2" w:rsidP="00423AD2">
      <w:pPr>
        <w:spacing w:line="360" w:lineRule="auto"/>
        <w:ind w:firstLineChars="200" w:firstLine="482"/>
        <w:rPr>
          <w:rFonts w:ascii="宋体" w:eastAsia="宋体" w:hAnsi="宋体" w:cs="Times New Roman"/>
          <w:color w:val="000000"/>
          <w:sz w:val="24"/>
        </w:rPr>
      </w:pPr>
      <w:r w:rsidRPr="00423AD2">
        <w:rPr>
          <w:rFonts w:ascii="宋体" w:eastAsia="宋体" w:hAnsi="宋体" w:cs="Times New Roman" w:hint="eastAsia"/>
          <w:b/>
          <w:color w:val="000000"/>
          <w:sz w:val="24"/>
        </w:rPr>
        <w:t>【重点】</w:t>
      </w:r>
    </w:p>
    <w:p w14:paraId="4503B324" w14:textId="77777777" w:rsidR="00423AD2" w:rsidRPr="00423AD2" w:rsidRDefault="00423AD2" w:rsidP="00423AD2">
      <w:pPr>
        <w:spacing w:afterLines="50" w:after="156" w:line="300" w:lineRule="auto"/>
        <w:ind w:firstLineChars="200" w:firstLine="480"/>
        <w:rPr>
          <w:rFonts w:ascii="宋体" w:eastAsia="宋体" w:hAnsi="宋体" w:cs="Times New Roman"/>
          <w:b/>
          <w:color w:val="000000"/>
          <w:sz w:val="24"/>
        </w:rPr>
      </w:pPr>
      <w:r w:rsidRPr="00423AD2">
        <w:rPr>
          <w:rFonts w:ascii="宋体" w:eastAsia="宋体" w:hAnsi="宋体" w:cs="Times New Roman" w:hint="eastAsia"/>
          <w:color w:val="000000"/>
          <w:sz w:val="24"/>
        </w:rPr>
        <w:t>国防的含义和特征、国防法规和国防建设</w:t>
      </w:r>
    </w:p>
    <w:p w14:paraId="39FC4B9D" w14:textId="77777777" w:rsidR="00423AD2" w:rsidRPr="00423AD2" w:rsidRDefault="00423AD2" w:rsidP="00423AD2">
      <w:pPr>
        <w:spacing w:line="360" w:lineRule="auto"/>
        <w:ind w:firstLineChars="200" w:firstLine="482"/>
        <w:rPr>
          <w:rFonts w:ascii="宋体" w:eastAsia="宋体" w:hAnsi="宋体" w:cs="Times New Roman"/>
          <w:b/>
          <w:color w:val="000000"/>
          <w:sz w:val="24"/>
        </w:rPr>
      </w:pPr>
      <w:r w:rsidRPr="00423AD2">
        <w:rPr>
          <w:rFonts w:ascii="宋体" w:eastAsia="宋体" w:hAnsi="宋体" w:cs="Times New Roman" w:hint="eastAsia"/>
          <w:b/>
          <w:color w:val="000000"/>
          <w:sz w:val="24"/>
        </w:rPr>
        <w:t>【难点】</w:t>
      </w:r>
    </w:p>
    <w:p w14:paraId="1EED9037" w14:textId="77777777" w:rsidR="00423AD2" w:rsidRPr="00423AD2" w:rsidRDefault="00423AD2" w:rsidP="00423AD2">
      <w:pPr>
        <w:spacing w:afterLines="50" w:after="156" w:line="300" w:lineRule="auto"/>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武装力量、国防动员</w:t>
      </w:r>
    </w:p>
    <w:p w14:paraId="1AC26114" w14:textId="77777777" w:rsidR="00423AD2" w:rsidRPr="00423AD2" w:rsidRDefault="00423AD2" w:rsidP="00423AD2">
      <w:pPr>
        <w:spacing w:line="360" w:lineRule="auto"/>
        <w:ind w:firstLineChars="200" w:firstLine="482"/>
        <w:rPr>
          <w:rFonts w:ascii="宋体" w:eastAsia="宋体" w:hAnsi="宋体" w:cs="Times New Roman"/>
          <w:b/>
          <w:color w:val="000000"/>
          <w:sz w:val="24"/>
        </w:rPr>
      </w:pPr>
      <w:r w:rsidRPr="00423AD2">
        <w:rPr>
          <w:rFonts w:ascii="宋体" w:eastAsia="宋体" w:hAnsi="宋体" w:cs="Times New Roman" w:hint="eastAsia"/>
          <w:b/>
          <w:color w:val="000000"/>
          <w:sz w:val="24"/>
        </w:rPr>
        <w:t>【教学方法】</w:t>
      </w:r>
    </w:p>
    <w:p w14:paraId="2E13009A" w14:textId="77777777" w:rsidR="00423AD2" w:rsidRPr="00423AD2" w:rsidRDefault="00423AD2" w:rsidP="00423AD2">
      <w:pPr>
        <w:spacing w:afterLines="50" w:after="156" w:line="300" w:lineRule="auto"/>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传统讲授法和案例教学的形式，引导学生了解国防历史，国防建设基本知识</w:t>
      </w:r>
    </w:p>
    <w:p w14:paraId="2A0AE099" w14:textId="77777777" w:rsidR="00423AD2" w:rsidRPr="00423AD2" w:rsidRDefault="00423AD2" w:rsidP="00423AD2">
      <w:pPr>
        <w:spacing w:line="360" w:lineRule="auto"/>
        <w:ind w:firstLineChars="200" w:firstLine="482"/>
        <w:rPr>
          <w:rFonts w:ascii="宋体" w:eastAsia="宋体" w:hAnsi="宋体" w:cs="Times New Roman"/>
          <w:b/>
          <w:color w:val="000000"/>
          <w:sz w:val="24"/>
        </w:rPr>
      </w:pPr>
      <w:r w:rsidRPr="00423AD2">
        <w:rPr>
          <w:rFonts w:ascii="宋体" w:eastAsia="宋体" w:hAnsi="宋体" w:cs="Times New Roman" w:hint="eastAsia"/>
          <w:b/>
          <w:color w:val="000000"/>
          <w:sz w:val="24"/>
        </w:rPr>
        <w:t>【复习思考】</w:t>
      </w:r>
    </w:p>
    <w:p w14:paraId="7E572073" w14:textId="77777777" w:rsidR="00423AD2" w:rsidRPr="00423AD2" w:rsidRDefault="00423AD2" w:rsidP="00747ECA">
      <w:pPr>
        <w:numPr>
          <w:ilvl w:val="0"/>
          <w:numId w:val="74"/>
        </w:numPr>
        <w:spacing w:afterLines="50" w:after="156" w:line="300" w:lineRule="auto"/>
        <w:rPr>
          <w:rFonts w:ascii="宋体" w:eastAsia="宋体" w:hAnsi="宋体" w:cs="Times New Roman"/>
          <w:color w:val="000000"/>
          <w:sz w:val="24"/>
        </w:rPr>
      </w:pPr>
      <w:r w:rsidRPr="00423AD2">
        <w:rPr>
          <w:rFonts w:ascii="宋体" w:eastAsia="宋体" w:hAnsi="宋体" w:cs="Times New Roman" w:hint="eastAsia"/>
          <w:color w:val="000000"/>
          <w:sz w:val="24"/>
        </w:rPr>
        <w:t>国防有哪几种类型</w:t>
      </w:r>
    </w:p>
    <w:p w14:paraId="6F84D7EE" w14:textId="77777777" w:rsidR="00423AD2" w:rsidRPr="00423AD2" w:rsidRDefault="00423AD2" w:rsidP="00747ECA">
      <w:pPr>
        <w:numPr>
          <w:ilvl w:val="0"/>
          <w:numId w:val="74"/>
        </w:numPr>
        <w:spacing w:afterLines="50" w:after="156" w:line="300" w:lineRule="auto"/>
        <w:rPr>
          <w:rFonts w:ascii="宋体" w:eastAsia="宋体" w:hAnsi="宋体" w:cs="Times New Roman"/>
          <w:color w:val="000000"/>
          <w:sz w:val="24"/>
        </w:rPr>
      </w:pPr>
      <w:r w:rsidRPr="00423AD2">
        <w:rPr>
          <w:rFonts w:ascii="宋体" w:eastAsia="宋体" w:hAnsi="宋体" w:cs="Times New Roman" w:hint="eastAsia"/>
          <w:color w:val="000000"/>
          <w:sz w:val="24"/>
        </w:rPr>
        <w:t>中国国防历史的启示有哪些</w:t>
      </w:r>
    </w:p>
    <w:p w14:paraId="565CC4EA" w14:textId="77777777" w:rsidR="00423AD2" w:rsidRPr="00423AD2" w:rsidRDefault="00423AD2" w:rsidP="00747ECA">
      <w:pPr>
        <w:numPr>
          <w:ilvl w:val="0"/>
          <w:numId w:val="74"/>
        </w:numPr>
        <w:spacing w:afterLines="50" w:after="156" w:line="300" w:lineRule="auto"/>
        <w:rPr>
          <w:rFonts w:ascii="宋体" w:eastAsia="宋体" w:hAnsi="宋体" w:cs="Times New Roman"/>
          <w:color w:val="000000"/>
          <w:sz w:val="24"/>
        </w:rPr>
      </w:pPr>
      <w:r w:rsidRPr="00423AD2">
        <w:rPr>
          <w:rFonts w:ascii="宋体" w:eastAsia="宋体" w:hAnsi="宋体" w:cs="Times New Roman" w:hint="eastAsia"/>
          <w:color w:val="000000"/>
          <w:sz w:val="24"/>
        </w:rPr>
        <w:t>我国的国防政策是什么</w:t>
      </w:r>
    </w:p>
    <w:p w14:paraId="3FFB1DCC" w14:textId="77777777" w:rsidR="00423AD2" w:rsidRPr="00423AD2" w:rsidRDefault="00423AD2" w:rsidP="00747ECA">
      <w:pPr>
        <w:numPr>
          <w:ilvl w:val="0"/>
          <w:numId w:val="74"/>
        </w:numPr>
        <w:spacing w:afterLines="50" w:after="156" w:line="300" w:lineRule="auto"/>
        <w:rPr>
          <w:rFonts w:ascii="宋体" w:eastAsia="宋体" w:hAnsi="宋体" w:cs="Times New Roman"/>
          <w:color w:val="000000"/>
          <w:sz w:val="24"/>
        </w:rPr>
      </w:pPr>
      <w:r w:rsidRPr="00423AD2">
        <w:rPr>
          <w:rFonts w:ascii="宋体" w:eastAsia="宋体" w:hAnsi="宋体" w:cs="Times New Roman" w:hint="eastAsia"/>
          <w:color w:val="000000"/>
          <w:sz w:val="24"/>
        </w:rPr>
        <w:t>国防动员的内容有哪些</w:t>
      </w:r>
    </w:p>
    <w:p w14:paraId="1FB2FE51" w14:textId="77777777" w:rsidR="00423AD2" w:rsidRPr="00423AD2" w:rsidRDefault="00423AD2" w:rsidP="00423AD2">
      <w:pPr>
        <w:adjustRightInd w:val="0"/>
        <w:snapToGrid w:val="0"/>
        <w:spacing w:beforeLines="50" w:before="156" w:afterLines="50" w:after="156" w:line="500" w:lineRule="exact"/>
        <w:ind w:firstLineChars="1000" w:firstLine="2811"/>
        <w:rPr>
          <w:rFonts w:ascii="Calibri" w:eastAsia="宋体" w:hAnsi="Calibri" w:cs="Times New Roman"/>
          <w:b/>
          <w:bCs/>
          <w:color w:val="000000"/>
          <w:sz w:val="28"/>
        </w:rPr>
      </w:pPr>
      <w:r w:rsidRPr="00423AD2">
        <w:rPr>
          <w:rFonts w:ascii="Calibri" w:eastAsia="宋体" w:hAnsi="Calibri" w:cs="Times New Roman"/>
          <w:b/>
          <w:bCs/>
          <w:color w:val="000000"/>
          <w:sz w:val="28"/>
        </w:rPr>
        <w:t>第</w:t>
      </w:r>
      <w:r w:rsidRPr="00423AD2">
        <w:rPr>
          <w:rFonts w:ascii="Calibri" w:eastAsia="宋体" w:hAnsi="Calibri" w:cs="Times New Roman" w:hint="eastAsia"/>
          <w:b/>
          <w:bCs/>
          <w:color w:val="000000"/>
          <w:sz w:val="28"/>
        </w:rPr>
        <w:t>二</w:t>
      </w:r>
      <w:r w:rsidRPr="00423AD2">
        <w:rPr>
          <w:rFonts w:ascii="Calibri" w:eastAsia="宋体" w:hAnsi="Calibri" w:cs="Times New Roman"/>
          <w:b/>
          <w:bCs/>
          <w:color w:val="000000"/>
          <w:sz w:val="28"/>
        </w:rPr>
        <w:t>章</w:t>
      </w:r>
      <w:r w:rsidRPr="00423AD2">
        <w:rPr>
          <w:rFonts w:ascii="Calibri" w:eastAsia="宋体" w:hAnsi="Calibri" w:cs="Times New Roman"/>
          <w:b/>
          <w:bCs/>
          <w:color w:val="000000"/>
          <w:sz w:val="28"/>
        </w:rPr>
        <w:t xml:space="preserve">  </w:t>
      </w:r>
      <w:r w:rsidRPr="00423AD2">
        <w:rPr>
          <w:rFonts w:ascii="Calibri" w:eastAsia="宋体" w:hAnsi="Calibri" w:cs="Times New Roman" w:hint="eastAsia"/>
          <w:b/>
          <w:bCs/>
          <w:color w:val="000000"/>
          <w:sz w:val="28"/>
        </w:rPr>
        <w:t>国家安全</w:t>
      </w:r>
      <w:r w:rsidRPr="00423AD2">
        <w:rPr>
          <w:rFonts w:ascii="Calibri" w:eastAsia="宋体" w:hAnsi="Calibri" w:cs="Times New Roman"/>
          <w:b/>
          <w:bCs/>
          <w:color w:val="000000"/>
          <w:sz w:val="28"/>
        </w:rPr>
        <w:t xml:space="preserve"> </w:t>
      </w:r>
    </w:p>
    <w:p w14:paraId="30D32FC9" w14:textId="77777777" w:rsidR="00423AD2" w:rsidRPr="00423AD2" w:rsidRDefault="00423AD2" w:rsidP="00423AD2">
      <w:pPr>
        <w:spacing w:line="360" w:lineRule="auto"/>
        <w:rPr>
          <w:rFonts w:ascii="Calibri" w:eastAsia="宋体" w:hAnsi="Calibri" w:cs="Times New Roman"/>
          <w:color w:val="000000"/>
          <w:sz w:val="24"/>
        </w:rPr>
      </w:pPr>
      <w:r w:rsidRPr="00423AD2">
        <w:rPr>
          <w:rFonts w:ascii="宋体" w:eastAsia="宋体" w:hAnsi="宋体" w:cs="Times New Roman" w:hint="eastAsia"/>
          <w:b/>
          <w:color w:val="000000"/>
          <w:sz w:val="24"/>
        </w:rPr>
        <w:t>【学习目标】</w:t>
      </w:r>
    </w:p>
    <w:p w14:paraId="30DCFB00" w14:textId="77777777" w:rsidR="00423AD2" w:rsidRPr="00423AD2" w:rsidRDefault="00423AD2" w:rsidP="00423AD2">
      <w:pPr>
        <w:adjustRightInd w:val="0"/>
        <w:snapToGrid w:val="0"/>
        <w:spacing w:line="500" w:lineRule="exact"/>
        <w:ind w:firstLineChars="200" w:firstLine="480"/>
        <w:rPr>
          <w:rFonts w:ascii="Calibri" w:eastAsia="宋体" w:hAnsi="Calibri" w:cs="Times New Roman"/>
          <w:b/>
          <w:color w:val="000000"/>
          <w:sz w:val="24"/>
        </w:rPr>
      </w:pPr>
      <w:r w:rsidRPr="00423AD2">
        <w:rPr>
          <w:rFonts w:ascii="Calibri" w:eastAsia="宋体" w:hAnsi="Calibri" w:cs="Times New Roman" w:hint="eastAsia"/>
          <w:color w:val="000000"/>
          <w:sz w:val="24"/>
        </w:rPr>
        <w:lastRenderedPageBreak/>
        <w:t>了解国家安全的内涵，总体国家安全观，了解我国的地缘环境，熟悉新形势下的国家安全，新兴领域的国家安全，熟悉国际战略形势。激发爱国热情，提高维护国家安全的自觉性。</w:t>
      </w:r>
    </w:p>
    <w:p w14:paraId="289605B2" w14:textId="77777777" w:rsidR="00423AD2" w:rsidRPr="00423AD2" w:rsidRDefault="00423AD2" w:rsidP="00423AD2">
      <w:pPr>
        <w:spacing w:line="360" w:lineRule="auto"/>
        <w:rPr>
          <w:rFonts w:ascii="宋体" w:eastAsia="宋体" w:hAnsi="宋体" w:cs="Times New Roman"/>
          <w:color w:val="000000"/>
          <w:sz w:val="24"/>
        </w:rPr>
      </w:pPr>
      <w:r w:rsidRPr="00423AD2">
        <w:rPr>
          <w:rFonts w:ascii="宋体" w:eastAsia="宋体" w:hAnsi="宋体" w:cs="Times New Roman" w:hint="eastAsia"/>
          <w:b/>
          <w:color w:val="000000"/>
          <w:sz w:val="24"/>
        </w:rPr>
        <w:t>【学习内容】</w:t>
      </w:r>
    </w:p>
    <w:p w14:paraId="1E653736" w14:textId="77777777" w:rsidR="00423AD2" w:rsidRPr="00423AD2" w:rsidRDefault="00423AD2" w:rsidP="00747ECA">
      <w:pPr>
        <w:numPr>
          <w:ilvl w:val="0"/>
          <w:numId w:val="75"/>
        </w:numPr>
        <w:spacing w:afterLines="50" w:after="156"/>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国家安全的内涵和原则，总体国家安全观</w:t>
      </w:r>
    </w:p>
    <w:p w14:paraId="2C03D947" w14:textId="77777777" w:rsidR="00423AD2" w:rsidRPr="00423AD2" w:rsidRDefault="00423AD2" w:rsidP="00747ECA">
      <w:pPr>
        <w:numPr>
          <w:ilvl w:val="0"/>
          <w:numId w:val="75"/>
        </w:numPr>
        <w:spacing w:afterLines="50" w:after="156"/>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中国地缘环境、地缘安全</w:t>
      </w:r>
    </w:p>
    <w:p w14:paraId="2AB33749" w14:textId="77777777" w:rsidR="00423AD2" w:rsidRPr="00423AD2" w:rsidRDefault="00423AD2" w:rsidP="00747ECA">
      <w:pPr>
        <w:numPr>
          <w:ilvl w:val="0"/>
          <w:numId w:val="75"/>
        </w:numPr>
        <w:spacing w:afterLines="50" w:after="156"/>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新形势下的国家安全</w:t>
      </w:r>
    </w:p>
    <w:p w14:paraId="385CB1BA" w14:textId="77777777" w:rsidR="00423AD2" w:rsidRPr="00423AD2" w:rsidRDefault="00423AD2" w:rsidP="00747ECA">
      <w:pPr>
        <w:numPr>
          <w:ilvl w:val="0"/>
          <w:numId w:val="75"/>
        </w:numPr>
        <w:spacing w:afterLines="50" w:after="156"/>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新兴领域的国家安全</w:t>
      </w:r>
    </w:p>
    <w:p w14:paraId="571B0DFA" w14:textId="77777777" w:rsidR="00423AD2" w:rsidRPr="00423AD2" w:rsidRDefault="00423AD2" w:rsidP="00747ECA">
      <w:pPr>
        <w:numPr>
          <w:ilvl w:val="0"/>
          <w:numId w:val="75"/>
        </w:numPr>
        <w:spacing w:afterLines="50" w:after="156"/>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国际战略形势</w:t>
      </w:r>
    </w:p>
    <w:p w14:paraId="43F40EC1" w14:textId="77777777" w:rsidR="00423AD2" w:rsidRPr="00423AD2" w:rsidRDefault="00423AD2" w:rsidP="00423AD2">
      <w:pPr>
        <w:adjustRightInd w:val="0"/>
        <w:snapToGrid w:val="0"/>
        <w:spacing w:line="360" w:lineRule="auto"/>
        <w:rPr>
          <w:rFonts w:ascii="Calibri" w:eastAsia="宋体" w:hAnsi="Calibri" w:cs="Times New Roman"/>
          <w:b/>
          <w:color w:val="000000"/>
          <w:sz w:val="24"/>
        </w:rPr>
      </w:pPr>
      <w:r w:rsidRPr="00423AD2">
        <w:rPr>
          <w:rFonts w:ascii="宋体" w:eastAsia="宋体" w:hAnsi="宋体" w:cs="Times New Roman" w:hint="eastAsia"/>
          <w:b/>
          <w:color w:val="000000"/>
          <w:sz w:val="24"/>
        </w:rPr>
        <w:t>【重点】</w:t>
      </w:r>
      <w:r w:rsidRPr="00423AD2">
        <w:rPr>
          <w:rFonts w:ascii="宋体" w:eastAsia="宋体" w:hAnsi="宋体" w:cs="Times New Roman" w:hint="eastAsia"/>
          <w:color w:val="000000"/>
          <w:sz w:val="24"/>
        </w:rPr>
        <w:t>国家安全的内涵和原则，总体国家安全观，中国地缘环境、地缘安全</w:t>
      </w:r>
    </w:p>
    <w:p w14:paraId="04E6E147" w14:textId="77777777" w:rsidR="00423AD2" w:rsidRPr="00423AD2" w:rsidRDefault="00423AD2" w:rsidP="00423AD2">
      <w:pPr>
        <w:spacing w:afterLines="50" w:after="156" w:line="360" w:lineRule="auto"/>
        <w:rPr>
          <w:rFonts w:ascii="宋体" w:eastAsia="宋体" w:hAnsi="宋体" w:cs="Times New Roman"/>
          <w:color w:val="000000"/>
          <w:sz w:val="24"/>
        </w:rPr>
      </w:pPr>
      <w:r w:rsidRPr="00423AD2">
        <w:rPr>
          <w:rFonts w:ascii="宋体" w:eastAsia="宋体" w:hAnsi="宋体" w:cs="Times New Roman" w:hint="eastAsia"/>
          <w:b/>
          <w:color w:val="000000"/>
          <w:sz w:val="24"/>
        </w:rPr>
        <w:t>【难点】</w:t>
      </w:r>
      <w:r w:rsidRPr="00423AD2">
        <w:rPr>
          <w:rFonts w:ascii="宋体" w:eastAsia="宋体" w:hAnsi="宋体" w:cs="Times New Roman" w:hint="eastAsia"/>
          <w:color w:val="000000"/>
          <w:sz w:val="24"/>
        </w:rPr>
        <w:t>新形势下的国家安全，新兴领域的国家安全，国际战略形势</w:t>
      </w:r>
    </w:p>
    <w:p w14:paraId="285D0822" w14:textId="77777777" w:rsidR="00423AD2" w:rsidRPr="00423AD2" w:rsidRDefault="00423AD2" w:rsidP="00423AD2">
      <w:pPr>
        <w:spacing w:afterLines="50" w:after="156" w:line="360" w:lineRule="auto"/>
        <w:rPr>
          <w:rFonts w:ascii="宋体" w:eastAsia="宋体" w:hAnsi="宋体" w:cs="Times New Roman"/>
          <w:b/>
          <w:color w:val="000000"/>
          <w:sz w:val="24"/>
        </w:rPr>
      </w:pPr>
      <w:r w:rsidRPr="00423AD2">
        <w:rPr>
          <w:rFonts w:ascii="宋体" w:eastAsia="宋体" w:hAnsi="宋体" w:cs="Times New Roman" w:hint="eastAsia"/>
          <w:b/>
          <w:color w:val="000000"/>
          <w:sz w:val="24"/>
        </w:rPr>
        <w:t>【教学方法】</w:t>
      </w:r>
    </w:p>
    <w:p w14:paraId="140DC1B1" w14:textId="77777777" w:rsidR="00423AD2" w:rsidRPr="00423AD2" w:rsidRDefault="00423AD2" w:rsidP="00423AD2">
      <w:pPr>
        <w:spacing w:afterLines="50" w:after="156" w:line="360" w:lineRule="auto"/>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传统讲授法、小组研讨、专题学习形式，教育学生</w:t>
      </w:r>
      <w:r w:rsidRPr="00423AD2">
        <w:rPr>
          <w:rFonts w:ascii="Calibri" w:eastAsia="宋体" w:hAnsi="Calibri" w:cs="Times New Roman" w:hint="eastAsia"/>
          <w:color w:val="000000"/>
          <w:sz w:val="24"/>
        </w:rPr>
        <w:t>熟悉中国周边安全环境的基本情况，了解中国周边安全环境现状，总体国家安全观。</w:t>
      </w:r>
    </w:p>
    <w:p w14:paraId="6ECC65C2" w14:textId="77777777" w:rsidR="00423AD2" w:rsidRPr="00423AD2" w:rsidRDefault="00423AD2" w:rsidP="00423AD2">
      <w:pPr>
        <w:spacing w:afterLines="50" w:after="156" w:line="360" w:lineRule="auto"/>
        <w:rPr>
          <w:rFonts w:ascii="宋体" w:eastAsia="宋体" w:hAnsi="宋体" w:cs="Times New Roman"/>
          <w:color w:val="000000"/>
          <w:sz w:val="24"/>
        </w:rPr>
      </w:pPr>
      <w:r w:rsidRPr="00423AD2">
        <w:rPr>
          <w:rFonts w:ascii="宋体" w:eastAsia="宋体" w:hAnsi="宋体" w:cs="Times New Roman" w:hint="eastAsia"/>
          <w:b/>
          <w:color w:val="000000"/>
          <w:sz w:val="24"/>
        </w:rPr>
        <w:t>【复习思考】</w:t>
      </w:r>
    </w:p>
    <w:p w14:paraId="3268C81A" w14:textId="77777777" w:rsidR="00423AD2" w:rsidRPr="00423AD2" w:rsidRDefault="00423AD2" w:rsidP="00747ECA">
      <w:pPr>
        <w:numPr>
          <w:ilvl w:val="0"/>
          <w:numId w:val="76"/>
        </w:numPr>
        <w:spacing w:afterLines="50" w:after="156"/>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国家安全的内涵和原则是什么</w:t>
      </w:r>
    </w:p>
    <w:p w14:paraId="78D15466" w14:textId="77777777" w:rsidR="00423AD2" w:rsidRPr="00423AD2" w:rsidRDefault="00423AD2" w:rsidP="00747ECA">
      <w:pPr>
        <w:numPr>
          <w:ilvl w:val="0"/>
          <w:numId w:val="76"/>
        </w:numPr>
        <w:spacing w:afterLines="50" w:after="156"/>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如何深入理解和把握总体国家安全观</w:t>
      </w:r>
    </w:p>
    <w:p w14:paraId="119FCDC9" w14:textId="77777777" w:rsidR="00423AD2" w:rsidRPr="00423AD2" w:rsidRDefault="00423AD2" w:rsidP="00747ECA">
      <w:pPr>
        <w:numPr>
          <w:ilvl w:val="0"/>
          <w:numId w:val="76"/>
        </w:numPr>
        <w:spacing w:afterLines="50" w:after="156"/>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面对当前世界战略格局，谈谈增强国家安全意识的必要性</w:t>
      </w:r>
    </w:p>
    <w:p w14:paraId="3AA64DE5" w14:textId="77777777" w:rsidR="00423AD2" w:rsidRPr="00423AD2" w:rsidRDefault="00423AD2" w:rsidP="00423AD2">
      <w:pPr>
        <w:spacing w:afterLines="50" w:after="156" w:line="300" w:lineRule="auto"/>
        <w:ind w:firstLineChars="100" w:firstLine="240"/>
        <w:rPr>
          <w:rFonts w:ascii="宋体" w:eastAsia="宋体" w:hAnsi="宋体" w:cs="Times New Roman"/>
          <w:color w:val="000000"/>
          <w:sz w:val="24"/>
        </w:rPr>
      </w:pPr>
    </w:p>
    <w:p w14:paraId="190714AC" w14:textId="77777777" w:rsidR="00423AD2" w:rsidRPr="00423AD2" w:rsidRDefault="00423AD2" w:rsidP="00423AD2">
      <w:pPr>
        <w:spacing w:line="180" w:lineRule="auto"/>
        <w:ind w:firstLineChars="1100" w:firstLine="3092"/>
        <w:rPr>
          <w:rFonts w:ascii="宋体" w:eastAsia="宋体" w:hAnsi="宋体" w:cs="Times New Roman"/>
          <w:b/>
          <w:color w:val="000000"/>
          <w:sz w:val="28"/>
          <w:szCs w:val="28"/>
        </w:rPr>
      </w:pPr>
      <w:r w:rsidRPr="00423AD2">
        <w:rPr>
          <w:rFonts w:ascii="宋体" w:eastAsia="宋体" w:hAnsi="宋体" w:cs="Times New Roman" w:hint="eastAsia"/>
          <w:b/>
          <w:color w:val="000000"/>
          <w:sz w:val="28"/>
          <w:szCs w:val="28"/>
        </w:rPr>
        <w:t xml:space="preserve">第三章  军事思想 </w:t>
      </w:r>
    </w:p>
    <w:p w14:paraId="3FB0D317" w14:textId="77777777" w:rsidR="00423AD2" w:rsidRPr="00423AD2" w:rsidRDefault="00423AD2" w:rsidP="00423AD2">
      <w:pPr>
        <w:spacing w:afterLines="50" w:after="156" w:line="360" w:lineRule="auto"/>
        <w:rPr>
          <w:rFonts w:ascii="宋体" w:eastAsia="宋体" w:hAnsi="宋体" w:cs="Times New Roman"/>
          <w:color w:val="000000"/>
          <w:sz w:val="24"/>
        </w:rPr>
      </w:pPr>
      <w:r w:rsidRPr="00423AD2">
        <w:rPr>
          <w:rFonts w:ascii="宋体" w:eastAsia="宋体" w:hAnsi="宋体" w:cs="Times New Roman" w:hint="eastAsia"/>
          <w:b/>
          <w:color w:val="000000"/>
          <w:sz w:val="24"/>
        </w:rPr>
        <w:t>【学习目标】</w:t>
      </w:r>
    </w:p>
    <w:p w14:paraId="7D9EF391" w14:textId="77777777" w:rsidR="00423AD2" w:rsidRPr="00423AD2" w:rsidRDefault="00423AD2" w:rsidP="00423AD2">
      <w:pPr>
        <w:spacing w:afterLines="50" w:after="156" w:line="300" w:lineRule="auto"/>
        <w:ind w:firstLineChars="200" w:firstLine="480"/>
        <w:rPr>
          <w:rFonts w:ascii="宋体" w:eastAsia="宋体" w:hAnsi="宋体" w:cs="Times New Roman"/>
          <w:b/>
          <w:color w:val="000000"/>
          <w:sz w:val="24"/>
        </w:rPr>
      </w:pPr>
      <w:r w:rsidRPr="00423AD2">
        <w:rPr>
          <w:rFonts w:ascii="宋体" w:eastAsia="宋体" w:hAnsi="宋体" w:cs="Times New Roman" w:hint="eastAsia"/>
          <w:color w:val="000000"/>
          <w:sz w:val="24"/>
        </w:rPr>
        <w:t>了解军事思想的形成与发展过程，我国古代、近代、现代军事思想，初步掌握毛泽东军事思想、邓小平新时期军队建设思想、江泽民军事思想、胡锦涛军事思想、习近平国防和军队建设重要论述的基本观点，树立科学的战争观和方法论。学习和研究军事思想，了解和掌握战争的一般规律，拓宽视野、思路，增强全局意识，从战略的高度去观察、设计、分析、处理问题，促进自身能力向更高层次发展。</w:t>
      </w:r>
    </w:p>
    <w:p w14:paraId="55F2F630" w14:textId="77777777" w:rsidR="00423AD2" w:rsidRPr="00423AD2" w:rsidRDefault="00423AD2" w:rsidP="00423AD2">
      <w:pPr>
        <w:spacing w:afterLines="50" w:after="156" w:line="360" w:lineRule="auto"/>
        <w:rPr>
          <w:rFonts w:ascii="宋体" w:eastAsia="宋体" w:hAnsi="宋体" w:cs="Times New Roman"/>
          <w:color w:val="000000"/>
          <w:sz w:val="24"/>
        </w:rPr>
      </w:pPr>
      <w:r w:rsidRPr="00423AD2">
        <w:rPr>
          <w:rFonts w:ascii="宋体" w:eastAsia="宋体" w:hAnsi="宋体" w:cs="Times New Roman" w:hint="eastAsia"/>
          <w:b/>
          <w:color w:val="000000"/>
          <w:sz w:val="24"/>
        </w:rPr>
        <w:t>【学习内容】</w:t>
      </w:r>
    </w:p>
    <w:p w14:paraId="64DB7AA8" w14:textId="77777777" w:rsidR="00423AD2" w:rsidRPr="00423AD2" w:rsidRDefault="00423AD2" w:rsidP="00747ECA">
      <w:pPr>
        <w:numPr>
          <w:ilvl w:val="0"/>
          <w:numId w:val="77"/>
        </w:numPr>
        <w:spacing w:afterLines="50" w:after="156"/>
        <w:ind w:firstLineChars="100" w:firstLine="240"/>
        <w:rPr>
          <w:rFonts w:ascii="宋体" w:eastAsia="宋体" w:hAnsi="宋体" w:cs="Times New Roman"/>
          <w:color w:val="000000"/>
          <w:sz w:val="24"/>
        </w:rPr>
      </w:pPr>
      <w:r w:rsidRPr="00423AD2">
        <w:rPr>
          <w:rFonts w:ascii="宋体" w:eastAsia="宋体" w:hAnsi="宋体" w:cs="Times New Roman" w:hint="eastAsia"/>
          <w:color w:val="000000"/>
          <w:sz w:val="24"/>
        </w:rPr>
        <w:t>军事思想概述</w:t>
      </w:r>
    </w:p>
    <w:p w14:paraId="52FD7C76" w14:textId="77777777" w:rsidR="00423AD2" w:rsidRPr="00423AD2" w:rsidRDefault="00423AD2" w:rsidP="00747ECA">
      <w:pPr>
        <w:numPr>
          <w:ilvl w:val="0"/>
          <w:numId w:val="77"/>
        </w:numPr>
        <w:spacing w:afterLines="50" w:after="156"/>
        <w:ind w:firstLineChars="100" w:firstLine="240"/>
        <w:rPr>
          <w:rFonts w:ascii="宋体" w:eastAsia="宋体" w:hAnsi="宋体" w:cs="Times New Roman"/>
          <w:color w:val="000000"/>
          <w:sz w:val="24"/>
        </w:rPr>
      </w:pPr>
      <w:r w:rsidRPr="00423AD2">
        <w:rPr>
          <w:rFonts w:ascii="宋体" w:eastAsia="宋体" w:hAnsi="宋体" w:cs="Times New Roman" w:hint="eastAsia"/>
          <w:color w:val="000000"/>
          <w:sz w:val="24"/>
        </w:rPr>
        <w:lastRenderedPageBreak/>
        <w:t>中国古代、近代、现代军事思想</w:t>
      </w:r>
    </w:p>
    <w:p w14:paraId="619C9741" w14:textId="77777777" w:rsidR="00423AD2" w:rsidRPr="00423AD2" w:rsidRDefault="00423AD2" w:rsidP="00747ECA">
      <w:pPr>
        <w:numPr>
          <w:ilvl w:val="0"/>
          <w:numId w:val="77"/>
        </w:numPr>
        <w:spacing w:afterLines="50" w:after="156"/>
        <w:ind w:firstLineChars="100" w:firstLine="240"/>
        <w:rPr>
          <w:rFonts w:ascii="宋体" w:eastAsia="宋体" w:hAnsi="宋体" w:cs="Times New Roman"/>
          <w:color w:val="000000"/>
          <w:sz w:val="24"/>
        </w:rPr>
      </w:pPr>
      <w:r w:rsidRPr="00423AD2">
        <w:rPr>
          <w:rFonts w:ascii="宋体" w:eastAsia="宋体" w:hAnsi="宋体" w:cs="Times New Roman" w:hint="eastAsia"/>
          <w:color w:val="000000"/>
          <w:sz w:val="24"/>
        </w:rPr>
        <w:t>外国军事思想</w:t>
      </w:r>
    </w:p>
    <w:p w14:paraId="4F637107" w14:textId="77777777" w:rsidR="00423AD2" w:rsidRPr="00423AD2" w:rsidRDefault="00423AD2" w:rsidP="00747ECA">
      <w:pPr>
        <w:numPr>
          <w:ilvl w:val="0"/>
          <w:numId w:val="77"/>
        </w:numPr>
        <w:spacing w:afterLines="50" w:after="156"/>
        <w:ind w:firstLineChars="100" w:firstLine="240"/>
        <w:rPr>
          <w:rFonts w:ascii="宋体" w:eastAsia="宋体" w:hAnsi="宋体" w:cs="Times New Roman"/>
          <w:color w:val="000000"/>
          <w:sz w:val="24"/>
        </w:rPr>
      </w:pPr>
      <w:r w:rsidRPr="00423AD2">
        <w:rPr>
          <w:rFonts w:ascii="宋体" w:eastAsia="宋体" w:hAnsi="宋体" w:cs="Times New Roman" w:hint="eastAsia"/>
          <w:color w:val="000000"/>
          <w:sz w:val="24"/>
        </w:rPr>
        <w:t>当代中国军事思想，包含毛泽东、邓小平、江泽民、胡锦涛、习近平的国防和军队建设思想</w:t>
      </w:r>
    </w:p>
    <w:p w14:paraId="34F40045" w14:textId="77777777" w:rsidR="00423AD2" w:rsidRPr="00423AD2" w:rsidRDefault="00423AD2" w:rsidP="00423AD2">
      <w:pPr>
        <w:spacing w:afterLines="50" w:after="156" w:line="360" w:lineRule="auto"/>
        <w:rPr>
          <w:rFonts w:ascii="宋体" w:eastAsia="宋体" w:hAnsi="宋体" w:cs="Times New Roman"/>
          <w:b/>
          <w:color w:val="000000"/>
          <w:sz w:val="24"/>
        </w:rPr>
      </w:pPr>
      <w:r w:rsidRPr="00423AD2">
        <w:rPr>
          <w:rFonts w:ascii="宋体" w:eastAsia="宋体" w:hAnsi="宋体" w:cs="Times New Roman" w:hint="eastAsia"/>
          <w:b/>
          <w:color w:val="000000"/>
          <w:sz w:val="24"/>
        </w:rPr>
        <w:t>【重点】</w:t>
      </w:r>
      <w:r w:rsidRPr="00423AD2">
        <w:rPr>
          <w:rFonts w:ascii="宋体" w:eastAsia="宋体" w:hAnsi="宋体" w:cs="Times New Roman" w:hint="eastAsia"/>
          <w:color w:val="000000"/>
          <w:sz w:val="24"/>
        </w:rPr>
        <w:t>军事思想形成与发展</w:t>
      </w:r>
    </w:p>
    <w:p w14:paraId="0FBB3208" w14:textId="77777777" w:rsidR="00423AD2" w:rsidRPr="00423AD2" w:rsidRDefault="00423AD2" w:rsidP="00423AD2">
      <w:pPr>
        <w:spacing w:afterLines="50" w:after="156" w:line="360" w:lineRule="auto"/>
        <w:rPr>
          <w:rFonts w:ascii="宋体" w:eastAsia="宋体" w:hAnsi="宋体" w:cs="Times New Roman"/>
          <w:color w:val="000000"/>
          <w:sz w:val="24"/>
        </w:rPr>
      </w:pPr>
      <w:r w:rsidRPr="00423AD2">
        <w:rPr>
          <w:rFonts w:ascii="宋体" w:eastAsia="宋体" w:hAnsi="宋体" w:cs="Times New Roman" w:hint="eastAsia"/>
          <w:b/>
          <w:color w:val="000000"/>
          <w:sz w:val="24"/>
        </w:rPr>
        <w:t>【难点】</w:t>
      </w:r>
      <w:r w:rsidRPr="00423AD2">
        <w:rPr>
          <w:rFonts w:ascii="宋体" w:eastAsia="宋体" w:hAnsi="宋体" w:cs="Times New Roman" w:hint="eastAsia"/>
          <w:color w:val="000000"/>
          <w:sz w:val="24"/>
        </w:rPr>
        <w:t>毛泽东、邓小平、江泽民、胡锦涛关于军队建设的思想，习近平国防和军队建设重要论述</w:t>
      </w:r>
    </w:p>
    <w:p w14:paraId="1B7B2404" w14:textId="77777777" w:rsidR="00423AD2" w:rsidRPr="00423AD2" w:rsidRDefault="00423AD2" w:rsidP="00423AD2">
      <w:pPr>
        <w:spacing w:afterLines="50" w:after="156" w:line="360" w:lineRule="auto"/>
        <w:rPr>
          <w:rFonts w:ascii="宋体" w:eastAsia="宋体" w:hAnsi="宋体" w:cs="Times New Roman"/>
          <w:color w:val="000000"/>
          <w:sz w:val="24"/>
        </w:rPr>
      </w:pPr>
      <w:r w:rsidRPr="00423AD2">
        <w:rPr>
          <w:rFonts w:ascii="宋体" w:eastAsia="宋体" w:hAnsi="宋体" w:cs="Times New Roman" w:hint="eastAsia"/>
          <w:b/>
          <w:color w:val="000000"/>
          <w:sz w:val="24"/>
        </w:rPr>
        <w:t>【教学方法】</w:t>
      </w:r>
    </w:p>
    <w:p w14:paraId="5E216F63" w14:textId="77777777" w:rsidR="00423AD2" w:rsidRPr="00423AD2" w:rsidRDefault="00423AD2" w:rsidP="00423AD2">
      <w:pPr>
        <w:spacing w:afterLines="50" w:after="156" w:line="360" w:lineRule="auto"/>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翻转课堂，专题研讨的形式，掌握毛泽东军事思想、邓小平新时期军队建设思想、江泽民军事思想、胡锦涛军事思想、习近平国防和军队建设重要论述的基本观点。</w:t>
      </w:r>
    </w:p>
    <w:p w14:paraId="43BB232C" w14:textId="77777777" w:rsidR="00423AD2" w:rsidRPr="00423AD2" w:rsidRDefault="00423AD2" w:rsidP="00423AD2">
      <w:pPr>
        <w:spacing w:afterLines="50" w:after="156" w:line="300" w:lineRule="auto"/>
        <w:rPr>
          <w:rFonts w:ascii="宋体" w:eastAsia="宋体" w:hAnsi="宋体" w:cs="Times New Roman"/>
          <w:b/>
          <w:color w:val="000000"/>
          <w:sz w:val="24"/>
        </w:rPr>
      </w:pPr>
      <w:r w:rsidRPr="00423AD2">
        <w:rPr>
          <w:rFonts w:ascii="宋体" w:eastAsia="宋体" w:hAnsi="宋体" w:cs="Times New Roman" w:hint="eastAsia"/>
          <w:b/>
          <w:color w:val="000000"/>
          <w:sz w:val="24"/>
        </w:rPr>
        <w:t>【复习思考】</w:t>
      </w:r>
    </w:p>
    <w:p w14:paraId="7D4132A3" w14:textId="77777777" w:rsidR="00423AD2" w:rsidRPr="00423AD2" w:rsidRDefault="00423AD2" w:rsidP="00747ECA">
      <w:pPr>
        <w:numPr>
          <w:ilvl w:val="0"/>
          <w:numId w:val="78"/>
        </w:numPr>
        <w:spacing w:afterLines="50" w:after="156" w:line="300" w:lineRule="auto"/>
        <w:rPr>
          <w:rFonts w:ascii="宋体" w:eastAsia="宋体" w:hAnsi="宋体" w:cs="Times New Roman"/>
          <w:color w:val="000000"/>
          <w:sz w:val="24"/>
        </w:rPr>
      </w:pPr>
      <w:r w:rsidRPr="00423AD2">
        <w:rPr>
          <w:rFonts w:ascii="宋体" w:eastAsia="宋体" w:hAnsi="宋体" w:cs="Times New Roman" w:hint="eastAsia"/>
          <w:color w:val="000000"/>
          <w:sz w:val="24"/>
        </w:rPr>
        <w:t>《孙子兵法》有哪些精辟的思想</w:t>
      </w:r>
    </w:p>
    <w:p w14:paraId="49408762" w14:textId="77777777" w:rsidR="00423AD2" w:rsidRPr="00423AD2" w:rsidRDefault="00423AD2" w:rsidP="00423AD2">
      <w:pPr>
        <w:spacing w:afterLines="50" w:after="156" w:line="300" w:lineRule="auto"/>
        <w:rPr>
          <w:rFonts w:ascii="Calibri" w:eastAsia="宋体" w:hAnsi="Calibri" w:cs="Times New Roman"/>
          <w:b/>
          <w:bCs/>
          <w:color w:val="000000"/>
          <w:sz w:val="28"/>
        </w:rPr>
      </w:pPr>
      <w:r w:rsidRPr="00423AD2">
        <w:rPr>
          <w:rFonts w:ascii="宋体" w:eastAsia="宋体" w:hAnsi="宋体" w:cs="Times New Roman" w:hint="eastAsia"/>
          <w:color w:val="000000"/>
          <w:sz w:val="24"/>
        </w:rPr>
        <w:t>2. 习近平强军思想的主要内容有哪些</w:t>
      </w:r>
    </w:p>
    <w:p w14:paraId="4B96914B" w14:textId="77777777" w:rsidR="00423AD2" w:rsidRPr="00423AD2" w:rsidRDefault="00423AD2" w:rsidP="00423AD2">
      <w:pPr>
        <w:spacing w:line="180" w:lineRule="auto"/>
        <w:ind w:firstLineChars="1100" w:firstLine="3092"/>
        <w:rPr>
          <w:rFonts w:ascii="宋体" w:eastAsia="宋体" w:hAnsi="宋体" w:cs="Times New Roman"/>
          <w:b/>
          <w:color w:val="000000"/>
          <w:sz w:val="28"/>
          <w:szCs w:val="28"/>
        </w:rPr>
      </w:pPr>
      <w:r w:rsidRPr="00423AD2">
        <w:rPr>
          <w:rFonts w:ascii="宋体" w:eastAsia="宋体" w:hAnsi="宋体" w:cs="Times New Roman" w:hint="eastAsia"/>
          <w:b/>
          <w:color w:val="000000"/>
          <w:sz w:val="28"/>
          <w:szCs w:val="28"/>
        </w:rPr>
        <w:t xml:space="preserve">第四章  现代战争 </w:t>
      </w:r>
    </w:p>
    <w:p w14:paraId="6A50CA27" w14:textId="77777777" w:rsidR="00423AD2" w:rsidRPr="00423AD2" w:rsidRDefault="00423AD2" w:rsidP="00423AD2">
      <w:pPr>
        <w:spacing w:afterLines="50" w:after="156" w:line="300" w:lineRule="auto"/>
        <w:rPr>
          <w:rFonts w:ascii="宋体" w:eastAsia="宋体" w:hAnsi="宋体" w:cs="Times New Roman"/>
          <w:b/>
          <w:color w:val="000000"/>
          <w:sz w:val="28"/>
          <w:szCs w:val="28"/>
        </w:rPr>
      </w:pPr>
      <w:r w:rsidRPr="00423AD2">
        <w:rPr>
          <w:rFonts w:ascii="宋体" w:eastAsia="宋体" w:hAnsi="宋体" w:cs="Times New Roman" w:hint="eastAsia"/>
          <w:b/>
          <w:color w:val="000000"/>
          <w:sz w:val="24"/>
        </w:rPr>
        <w:t>【学习目标】</w:t>
      </w:r>
    </w:p>
    <w:p w14:paraId="38682730" w14:textId="77777777" w:rsidR="00423AD2" w:rsidRPr="00423AD2" w:rsidRDefault="00423AD2" w:rsidP="00423AD2">
      <w:pPr>
        <w:spacing w:afterLines="50" w:after="156" w:line="300" w:lineRule="auto"/>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了解战争的内涵、基本特征、发展历程、新军事革命的内涵、发展演变、主要内容、机械化战争内涵、形态、特征、信息化战争内涵、形态、特征、战争形态的发展趋势。</w:t>
      </w:r>
    </w:p>
    <w:p w14:paraId="0EB4414B" w14:textId="77777777" w:rsidR="00423AD2" w:rsidRPr="00423AD2" w:rsidRDefault="00423AD2" w:rsidP="00423AD2">
      <w:pPr>
        <w:spacing w:afterLines="50" w:after="156" w:line="300" w:lineRule="auto"/>
        <w:rPr>
          <w:rFonts w:ascii="宋体" w:eastAsia="宋体" w:hAnsi="宋体" w:cs="Times New Roman"/>
          <w:color w:val="000000"/>
          <w:sz w:val="24"/>
        </w:rPr>
      </w:pPr>
      <w:r w:rsidRPr="00423AD2">
        <w:rPr>
          <w:rFonts w:ascii="宋体" w:eastAsia="宋体" w:hAnsi="宋体" w:cs="Times New Roman" w:hint="eastAsia"/>
          <w:b/>
          <w:color w:val="000000"/>
          <w:sz w:val="24"/>
        </w:rPr>
        <w:t>【学习内容】</w:t>
      </w:r>
    </w:p>
    <w:p w14:paraId="3439A074" w14:textId="77777777" w:rsidR="00423AD2" w:rsidRPr="00423AD2" w:rsidRDefault="00423AD2" w:rsidP="00747ECA">
      <w:pPr>
        <w:numPr>
          <w:ilvl w:val="0"/>
          <w:numId w:val="79"/>
        </w:numPr>
        <w:spacing w:afterLines="50" w:after="156" w:line="300" w:lineRule="auto"/>
        <w:ind w:firstLineChars="100" w:firstLine="240"/>
        <w:rPr>
          <w:rFonts w:ascii="宋体" w:eastAsia="宋体" w:hAnsi="宋体" w:cs="Times New Roman"/>
          <w:color w:val="000000"/>
          <w:sz w:val="24"/>
        </w:rPr>
      </w:pPr>
      <w:r w:rsidRPr="00423AD2">
        <w:rPr>
          <w:rFonts w:ascii="宋体" w:eastAsia="宋体" w:hAnsi="宋体" w:cs="Times New Roman" w:hint="eastAsia"/>
          <w:color w:val="000000"/>
          <w:sz w:val="24"/>
        </w:rPr>
        <w:t>新军事革命的内涵、发展演变、主要内容</w:t>
      </w:r>
    </w:p>
    <w:p w14:paraId="21CD638D" w14:textId="77777777" w:rsidR="00423AD2" w:rsidRPr="00423AD2" w:rsidRDefault="00423AD2" w:rsidP="00747ECA">
      <w:pPr>
        <w:numPr>
          <w:ilvl w:val="0"/>
          <w:numId w:val="79"/>
        </w:numPr>
        <w:spacing w:afterLines="50" w:after="156" w:line="300" w:lineRule="auto"/>
        <w:ind w:firstLineChars="100" w:firstLine="240"/>
        <w:rPr>
          <w:rFonts w:ascii="宋体" w:eastAsia="宋体" w:hAnsi="宋体" w:cs="Times New Roman"/>
          <w:color w:val="000000"/>
          <w:sz w:val="24"/>
        </w:rPr>
      </w:pPr>
      <w:r w:rsidRPr="00423AD2">
        <w:rPr>
          <w:rFonts w:ascii="宋体" w:eastAsia="宋体" w:hAnsi="宋体" w:cs="Times New Roman" w:hint="eastAsia"/>
          <w:color w:val="000000"/>
          <w:sz w:val="24"/>
        </w:rPr>
        <w:t xml:space="preserve">信息化战争的内涵、主要形态和特征、发展趋势 </w:t>
      </w:r>
    </w:p>
    <w:p w14:paraId="5F70D0CB" w14:textId="77777777" w:rsidR="00423AD2" w:rsidRPr="00423AD2" w:rsidRDefault="00423AD2" w:rsidP="00423AD2">
      <w:pPr>
        <w:spacing w:afterLines="50" w:after="156" w:line="300" w:lineRule="auto"/>
        <w:rPr>
          <w:rFonts w:ascii="宋体" w:eastAsia="宋体" w:hAnsi="宋体" w:cs="Times New Roman"/>
          <w:color w:val="000000"/>
          <w:sz w:val="24"/>
        </w:rPr>
      </w:pPr>
      <w:r w:rsidRPr="00423AD2">
        <w:rPr>
          <w:rFonts w:ascii="宋体" w:eastAsia="宋体" w:hAnsi="宋体" w:cs="Times New Roman" w:hint="eastAsia"/>
          <w:b/>
          <w:color w:val="000000"/>
          <w:sz w:val="24"/>
        </w:rPr>
        <w:t>【重点】</w:t>
      </w:r>
      <w:r w:rsidRPr="00423AD2">
        <w:rPr>
          <w:rFonts w:ascii="宋体" w:eastAsia="宋体" w:hAnsi="宋体" w:cs="Times New Roman" w:hint="eastAsia"/>
          <w:color w:val="000000"/>
          <w:sz w:val="24"/>
        </w:rPr>
        <w:t>新军事革命的内涵、内容</w:t>
      </w:r>
    </w:p>
    <w:p w14:paraId="0606DAE9" w14:textId="77777777" w:rsidR="00423AD2" w:rsidRPr="00423AD2" w:rsidRDefault="00423AD2" w:rsidP="00423AD2">
      <w:pPr>
        <w:spacing w:afterLines="50" w:after="156" w:line="300" w:lineRule="auto"/>
        <w:rPr>
          <w:rFonts w:ascii="宋体" w:eastAsia="宋体" w:hAnsi="宋体" w:cs="Times New Roman"/>
          <w:color w:val="000000"/>
          <w:sz w:val="24"/>
        </w:rPr>
      </w:pPr>
      <w:r w:rsidRPr="00423AD2">
        <w:rPr>
          <w:rFonts w:ascii="宋体" w:eastAsia="宋体" w:hAnsi="宋体" w:cs="Times New Roman" w:hint="eastAsia"/>
          <w:b/>
          <w:color w:val="000000"/>
          <w:sz w:val="24"/>
        </w:rPr>
        <w:t>【难点】</w:t>
      </w:r>
      <w:r w:rsidRPr="00423AD2">
        <w:rPr>
          <w:rFonts w:ascii="宋体" w:eastAsia="宋体" w:hAnsi="宋体" w:cs="Times New Roman" w:hint="eastAsia"/>
          <w:color w:val="000000"/>
          <w:sz w:val="24"/>
        </w:rPr>
        <w:t>信息化战争的内涵、主要形态和特征、发展趋势</w:t>
      </w:r>
    </w:p>
    <w:p w14:paraId="5008C3FB" w14:textId="77777777" w:rsidR="00423AD2" w:rsidRPr="00423AD2" w:rsidRDefault="00423AD2" w:rsidP="00423AD2">
      <w:pPr>
        <w:spacing w:afterLines="50" w:after="156" w:line="300" w:lineRule="auto"/>
        <w:rPr>
          <w:rFonts w:ascii="宋体" w:eastAsia="宋体" w:hAnsi="宋体" w:cs="Times New Roman"/>
          <w:b/>
          <w:color w:val="000000"/>
          <w:sz w:val="28"/>
          <w:szCs w:val="28"/>
        </w:rPr>
      </w:pPr>
      <w:r w:rsidRPr="00423AD2">
        <w:rPr>
          <w:rFonts w:ascii="宋体" w:eastAsia="宋体" w:hAnsi="宋体" w:cs="Times New Roman" w:hint="eastAsia"/>
          <w:b/>
          <w:color w:val="000000"/>
          <w:sz w:val="24"/>
        </w:rPr>
        <w:t>【教学方法】</w:t>
      </w:r>
    </w:p>
    <w:p w14:paraId="7B535BE2" w14:textId="77777777" w:rsidR="00423AD2" w:rsidRPr="00423AD2" w:rsidRDefault="00423AD2" w:rsidP="00423AD2">
      <w:pPr>
        <w:spacing w:afterLines="50" w:after="156" w:line="300" w:lineRule="auto"/>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传统讲授法，“战例+军事类影视作品进课堂”的方法，熟悉新军事革命演变历史，信息化战争内涵、形态、特征、战争形态的发展趋势。</w:t>
      </w:r>
    </w:p>
    <w:p w14:paraId="47F8D5ED" w14:textId="77777777" w:rsidR="00423AD2" w:rsidRPr="00423AD2" w:rsidRDefault="00423AD2" w:rsidP="00423AD2">
      <w:pPr>
        <w:spacing w:afterLines="50" w:after="156" w:line="300" w:lineRule="auto"/>
        <w:rPr>
          <w:rFonts w:ascii="宋体" w:eastAsia="宋体" w:hAnsi="宋体" w:cs="Times New Roman"/>
          <w:b/>
          <w:color w:val="000000"/>
          <w:sz w:val="28"/>
          <w:szCs w:val="28"/>
        </w:rPr>
      </w:pPr>
      <w:r w:rsidRPr="00423AD2">
        <w:rPr>
          <w:rFonts w:ascii="宋体" w:eastAsia="宋体" w:hAnsi="宋体" w:cs="Times New Roman" w:hint="eastAsia"/>
          <w:b/>
          <w:color w:val="000000"/>
          <w:sz w:val="24"/>
        </w:rPr>
        <w:t>【复习思考】</w:t>
      </w:r>
    </w:p>
    <w:p w14:paraId="3033C36F" w14:textId="77777777" w:rsidR="00423AD2" w:rsidRPr="00423AD2" w:rsidRDefault="00423AD2" w:rsidP="00747ECA">
      <w:pPr>
        <w:numPr>
          <w:ilvl w:val="0"/>
          <w:numId w:val="80"/>
        </w:numPr>
        <w:spacing w:afterLines="50" w:after="156" w:line="300" w:lineRule="auto"/>
        <w:ind w:firstLineChars="100" w:firstLine="240"/>
        <w:rPr>
          <w:rFonts w:ascii="宋体" w:eastAsia="宋体" w:hAnsi="宋体" w:cs="Times New Roman"/>
          <w:color w:val="000000"/>
          <w:sz w:val="24"/>
        </w:rPr>
      </w:pPr>
      <w:r w:rsidRPr="00423AD2">
        <w:rPr>
          <w:rFonts w:ascii="宋体" w:eastAsia="宋体" w:hAnsi="宋体" w:cs="Times New Roman" w:hint="eastAsia"/>
          <w:color w:val="000000"/>
          <w:sz w:val="24"/>
        </w:rPr>
        <w:lastRenderedPageBreak/>
        <w:t>什么是新军事革命？它的主要内容有哪些</w:t>
      </w:r>
    </w:p>
    <w:p w14:paraId="4CDD4719" w14:textId="77777777" w:rsidR="00423AD2" w:rsidRPr="00423AD2" w:rsidRDefault="00423AD2" w:rsidP="00747ECA">
      <w:pPr>
        <w:numPr>
          <w:ilvl w:val="0"/>
          <w:numId w:val="80"/>
        </w:numPr>
        <w:spacing w:afterLines="50" w:after="156" w:line="300" w:lineRule="auto"/>
        <w:ind w:firstLineChars="100" w:firstLine="240"/>
        <w:rPr>
          <w:rFonts w:ascii="Calibri" w:eastAsia="宋体" w:hAnsi="Calibri" w:cs="Times New Roman"/>
          <w:color w:val="000000"/>
          <w:sz w:val="24"/>
        </w:rPr>
      </w:pPr>
      <w:r w:rsidRPr="00423AD2">
        <w:rPr>
          <w:rFonts w:ascii="宋体" w:eastAsia="宋体" w:hAnsi="宋体" w:cs="Times New Roman" w:hint="eastAsia"/>
          <w:color w:val="000000"/>
          <w:sz w:val="24"/>
        </w:rPr>
        <w:t>信息化战争有哪些基本特征</w:t>
      </w:r>
    </w:p>
    <w:p w14:paraId="5FFD78C0" w14:textId="77777777" w:rsidR="00423AD2" w:rsidRPr="00423AD2" w:rsidRDefault="00423AD2" w:rsidP="00423AD2">
      <w:pPr>
        <w:adjustRightInd w:val="0"/>
        <w:snapToGrid w:val="0"/>
        <w:spacing w:beforeLines="50" w:before="156" w:afterLines="50" w:after="156" w:line="500" w:lineRule="exact"/>
        <w:ind w:firstLineChars="900" w:firstLine="2530"/>
        <w:rPr>
          <w:rFonts w:ascii="Calibri" w:eastAsia="宋体" w:hAnsi="Calibri" w:cs="Times New Roman"/>
          <w:b/>
          <w:bCs/>
          <w:color w:val="000000"/>
          <w:sz w:val="28"/>
        </w:rPr>
      </w:pPr>
      <w:r w:rsidRPr="00423AD2">
        <w:rPr>
          <w:rFonts w:ascii="Calibri" w:eastAsia="宋体" w:hAnsi="Calibri" w:cs="Times New Roman"/>
          <w:b/>
          <w:bCs/>
          <w:color w:val="000000"/>
          <w:sz w:val="28"/>
        </w:rPr>
        <w:t>第</w:t>
      </w:r>
      <w:r w:rsidRPr="00423AD2">
        <w:rPr>
          <w:rFonts w:ascii="Calibri" w:eastAsia="宋体" w:hAnsi="Calibri" w:cs="Times New Roman" w:hint="eastAsia"/>
          <w:b/>
          <w:bCs/>
          <w:color w:val="000000"/>
          <w:sz w:val="28"/>
        </w:rPr>
        <w:t>五</w:t>
      </w:r>
      <w:r w:rsidRPr="00423AD2">
        <w:rPr>
          <w:rFonts w:ascii="Calibri" w:eastAsia="宋体" w:hAnsi="Calibri" w:cs="Times New Roman"/>
          <w:b/>
          <w:bCs/>
          <w:color w:val="000000"/>
          <w:sz w:val="28"/>
        </w:rPr>
        <w:t>章</w:t>
      </w:r>
      <w:r w:rsidRPr="00423AD2">
        <w:rPr>
          <w:rFonts w:ascii="Calibri" w:eastAsia="宋体" w:hAnsi="Calibri" w:cs="Times New Roman"/>
          <w:b/>
          <w:bCs/>
          <w:color w:val="000000"/>
          <w:sz w:val="28"/>
        </w:rPr>
        <w:t xml:space="preserve">  </w:t>
      </w:r>
      <w:r w:rsidRPr="00423AD2">
        <w:rPr>
          <w:rFonts w:ascii="Calibri" w:eastAsia="宋体" w:hAnsi="Calibri" w:cs="Times New Roman" w:hint="eastAsia"/>
          <w:b/>
          <w:bCs/>
          <w:color w:val="000000"/>
          <w:sz w:val="28"/>
        </w:rPr>
        <w:t>信息化装备</w:t>
      </w:r>
      <w:r w:rsidRPr="00423AD2">
        <w:rPr>
          <w:rFonts w:ascii="Calibri" w:eastAsia="宋体" w:hAnsi="Calibri" w:cs="Times New Roman"/>
          <w:b/>
          <w:bCs/>
          <w:color w:val="000000"/>
          <w:sz w:val="28"/>
        </w:rPr>
        <w:t xml:space="preserve"> </w:t>
      </w:r>
    </w:p>
    <w:p w14:paraId="1A0E4275" w14:textId="77777777" w:rsidR="00423AD2" w:rsidRPr="00423AD2" w:rsidRDefault="00423AD2" w:rsidP="00423AD2">
      <w:pPr>
        <w:spacing w:afterLines="50" w:after="156" w:line="300" w:lineRule="auto"/>
        <w:rPr>
          <w:rFonts w:ascii="宋体" w:eastAsia="宋体" w:hAnsi="宋体" w:cs="Times New Roman"/>
          <w:b/>
          <w:color w:val="000000"/>
          <w:sz w:val="28"/>
          <w:szCs w:val="28"/>
        </w:rPr>
      </w:pPr>
      <w:r w:rsidRPr="00423AD2">
        <w:rPr>
          <w:rFonts w:ascii="宋体" w:eastAsia="宋体" w:hAnsi="宋体" w:cs="Times New Roman" w:hint="eastAsia"/>
          <w:b/>
          <w:color w:val="000000"/>
          <w:sz w:val="24"/>
        </w:rPr>
        <w:t>【学习目标】</w:t>
      </w:r>
    </w:p>
    <w:p w14:paraId="30183AC7" w14:textId="77777777" w:rsidR="00423AD2" w:rsidRPr="00423AD2" w:rsidRDefault="00423AD2" w:rsidP="00423AD2">
      <w:pPr>
        <w:adjustRightInd w:val="0"/>
        <w:snapToGrid w:val="0"/>
        <w:spacing w:line="50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把握信息化战争与国防建设的关系，树立打赢信息化战争和为国防建设服务的理想信念。</w:t>
      </w:r>
    </w:p>
    <w:p w14:paraId="2C93A795" w14:textId="77777777" w:rsidR="00423AD2" w:rsidRPr="00423AD2" w:rsidRDefault="00423AD2" w:rsidP="00423AD2">
      <w:pPr>
        <w:spacing w:afterLines="50" w:after="156" w:line="300" w:lineRule="auto"/>
        <w:rPr>
          <w:rFonts w:ascii="宋体" w:eastAsia="宋体" w:hAnsi="宋体" w:cs="Times New Roman"/>
          <w:color w:val="000000"/>
          <w:sz w:val="24"/>
        </w:rPr>
      </w:pPr>
      <w:r w:rsidRPr="00423AD2">
        <w:rPr>
          <w:rFonts w:ascii="宋体" w:eastAsia="宋体" w:hAnsi="宋体" w:cs="Times New Roman" w:hint="eastAsia"/>
          <w:b/>
          <w:color w:val="000000"/>
          <w:sz w:val="24"/>
        </w:rPr>
        <w:t>【学习内容】</w:t>
      </w:r>
    </w:p>
    <w:p w14:paraId="3790B6F4" w14:textId="77777777" w:rsidR="00423AD2" w:rsidRPr="00423AD2" w:rsidRDefault="00423AD2" w:rsidP="00423AD2">
      <w:pPr>
        <w:spacing w:line="56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（1）信息化装备的内涵、分类、信息化装备对现代作战的影响</w:t>
      </w:r>
    </w:p>
    <w:p w14:paraId="45C76E7B" w14:textId="77777777" w:rsidR="00423AD2" w:rsidRPr="00423AD2" w:rsidRDefault="00423AD2" w:rsidP="00423AD2">
      <w:pPr>
        <w:spacing w:line="56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（2）信息化作战平台—坦克的定义，分类，典型战例，发展趋势</w:t>
      </w:r>
    </w:p>
    <w:p w14:paraId="0EE6353C" w14:textId="77777777" w:rsidR="00423AD2" w:rsidRPr="00423AD2" w:rsidRDefault="00423AD2" w:rsidP="00423AD2">
      <w:pPr>
        <w:spacing w:line="56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（3）信息化作战平台—军舰的定义，分类，典型战例，发展趋势</w:t>
      </w:r>
    </w:p>
    <w:p w14:paraId="3094FC64" w14:textId="77777777" w:rsidR="00423AD2" w:rsidRPr="00423AD2" w:rsidRDefault="00423AD2" w:rsidP="00423AD2">
      <w:pPr>
        <w:adjustRightInd w:val="0"/>
        <w:snapToGrid w:val="0"/>
        <w:spacing w:line="50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（4）信息化作战平台—飞机的定义，分类，典型战例，发展趋势</w:t>
      </w:r>
    </w:p>
    <w:p w14:paraId="5EA347A4" w14:textId="77777777" w:rsidR="00423AD2" w:rsidRPr="00423AD2" w:rsidRDefault="00423AD2" w:rsidP="00423AD2">
      <w:pPr>
        <w:spacing w:afterLines="50" w:after="156" w:line="300" w:lineRule="auto"/>
        <w:rPr>
          <w:rFonts w:ascii="Calibri" w:eastAsia="宋体" w:hAnsi="Calibri" w:cs="Times New Roman"/>
          <w:b/>
          <w:color w:val="000000"/>
          <w:sz w:val="24"/>
        </w:rPr>
      </w:pPr>
      <w:r w:rsidRPr="00423AD2">
        <w:rPr>
          <w:rFonts w:ascii="宋体" w:eastAsia="宋体" w:hAnsi="宋体" w:cs="Times New Roman" w:hint="eastAsia"/>
          <w:b/>
          <w:color w:val="000000"/>
          <w:sz w:val="24"/>
        </w:rPr>
        <w:t>【重点】</w:t>
      </w:r>
      <w:r w:rsidRPr="00423AD2">
        <w:rPr>
          <w:rFonts w:ascii="Calibri" w:eastAsia="宋体" w:hAnsi="Calibri" w:cs="Times New Roman" w:hint="eastAsia"/>
          <w:b/>
          <w:color w:val="000000"/>
          <w:sz w:val="24"/>
        </w:rPr>
        <w:t>三种装备的定义、分类</w:t>
      </w:r>
    </w:p>
    <w:p w14:paraId="39004B13" w14:textId="77777777" w:rsidR="00423AD2" w:rsidRPr="00423AD2" w:rsidRDefault="00423AD2" w:rsidP="00423AD2">
      <w:pPr>
        <w:adjustRightInd w:val="0"/>
        <w:snapToGrid w:val="0"/>
        <w:spacing w:line="500" w:lineRule="exact"/>
        <w:rPr>
          <w:rFonts w:ascii="Calibri" w:eastAsia="宋体" w:hAnsi="Calibri" w:cs="Times New Roman"/>
          <w:b/>
          <w:color w:val="000000"/>
          <w:sz w:val="24"/>
        </w:rPr>
      </w:pPr>
      <w:r w:rsidRPr="00423AD2">
        <w:rPr>
          <w:rFonts w:ascii="宋体" w:eastAsia="宋体" w:hAnsi="宋体" w:cs="Times New Roman" w:hint="eastAsia"/>
          <w:b/>
          <w:color w:val="000000"/>
          <w:sz w:val="24"/>
        </w:rPr>
        <w:t>【难点】</w:t>
      </w:r>
      <w:r w:rsidRPr="00423AD2">
        <w:rPr>
          <w:rFonts w:ascii="Calibri" w:eastAsia="宋体" w:hAnsi="Calibri" w:cs="Times New Roman" w:hint="eastAsia"/>
          <w:b/>
          <w:color w:val="000000"/>
          <w:sz w:val="24"/>
        </w:rPr>
        <w:t>对战例的分析</w:t>
      </w:r>
    </w:p>
    <w:p w14:paraId="5B4CF257" w14:textId="77777777" w:rsidR="00423AD2" w:rsidRPr="00423AD2" w:rsidRDefault="00423AD2" w:rsidP="00423AD2">
      <w:pPr>
        <w:adjustRightInd w:val="0"/>
        <w:snapToGrid w:val="0"/>
        <w:spacing w:line="500" w:lineRule="exact"/>
        <w:rPr>
          <w:rFonts w:ascii="宋体" w:eastAsia="宋体" w:hAnsi="宋体" w:cs="Times New Roman"/>
          <w:b/>
          <w:color w:val="000000"/>
          <w:sz w:val="24"/>
        </w:rPr>
      </w:pPr>
      <w:r w:rsidRPr="00423AD2">
        <w:rPr>
          <w:rFonts w:ascii="宋体" w:eastAsia="宋体" w:hAnsi="宋体" w:cs="Times New Roman" w:hint="eastAsia"/>
          <w:b/>
          <w:color w:val="000000"/>
          <w:sz w:val="24"/>
        </w:rPr>
        <w:t>【教学方法】</w:t>
      </w:r>
    </w:p>
    <w:p w14:paraId="31F9D6A9" w14:textId="77777777" w:rsidR="00423AD2" w:rsidRPr="00423AD2" w:rsidRDefault="00423AD2" w:rsidP="00423AD2">
      <w:pPr>
        <w:adjustRightInd w:val="0"/>
        <w:snapToGrid w:val="0"/>
        <w:spacing w:line="500" w:lineRule="exact"/>
        <w:ind w:firstLineChars="200" w:firstLine="480"/>
        <w:rPr>
          <w:rFonts w:ascii="宋体" w:eastAsia="宋体" w:hAnsi="宋体" w:cs="Times New Roman"/>
          <w:b/>
          <w:color w:val="000000"/>
          <w:sz w:val="24"/>
        </w:rPr>
      </w:pPr>
      <w:r w:rsidRPr="00423AD2">
        <w:rPr>
          <w:rFonts w:ascii="宋体" w:eastAsia="宋体" w:hAnsi="宋体" w:cs="Times New Roman" w:hint="eastAsia"/>
          <w:color w:val="000000"/>
          <w:sz w:val="24"/>
        </w:rPr>
        <w:t>翻转课堂教学法，“战例+军事类影视作品进课堂”的方法，让学生了解三种常见的作战平台，了解信息化战争与国防建设的关系。</w:t>
      </w:r>
    </w:p>
    <w:p w14:paraId="58ACF02D" w14:textId="77777777" w:rsidR="00423AD2" w:rsidRPr="00423AD2" w:rsidRDefault="00423AD2" w:rsidP="00423AD2">
      <w:pPr>
        <w:adjustRightInd w:val="0"/>
        <w:snapToGrid w:val="0"/>
        <w:spacing w:line="500" w:lineRule="exact"/>
        <w:rPr>
          <w:rFonts w:ascii="宋体" w:eastAsia="宋体" w:hAnsi="宋体" w:cs="Times New Roman"/>
          <w:b/>
          <w:color w:val="000000"/>
          <w:sz w:val="24"/>
        </w:rPr>
      </w:pPr>
      <w:r w:rsidRPr="00423AD2">
        <w:rPr>
          <w:rFonts w:ascii="宋体" w:eastAsia="宋体" w:hAnsi="宋体" w:cs="Times New Roman" w:hint="eastAsia"/>
          <w:b/>
          <w:color w:val="000000"/>
          <w:sz w:val="24"/>
        </w:rPr>
        <w:t>【复习思考】</w:t>
      </w:r>
    </w:p>
    <w:p w14:paraId="7D86E5EE" w14:textId="77777777" w:rsidR="00423AD2" w:rsidRPr="00423AD2" w:rsidRDefault="00423AD2" w:rsidP="00747ECA">
      <w:pPr>
        <w:numPr>
          <w:ilvl w:val="0"/>
          <w:numId w:val="81"/>
        </w:numPr>
        <w:adjustRightInd w:val="0"/>
        <w:snapToGrid w:val="0"/>
        <w:spacing w:line="500" w:lineRule="exact"/>
        <w:ind w:firstLineChars="100" w:firstLine="240"/>
        <w:rPr>
          <w:rFonts w:ascii="Calibri" w:eastAsia="宋体" w:hAnsi="Calibri" w:cs="Times New Roman"/>
          <w:bCs/>
          <w:color w:val="000000"/>
          <w:sz w:val="24"/>
        </w:rPr>
      </w:pPr>
      <w:r w:rsidRPr="00423AD2">
        <w:rPr>
          <w:rFonts w:ascii="Calibri" w:eastAsia="宋体" w:hAnsi="Calibri" w:cs="Times New Roman" w:hint="eastAsia"/>
          <w:bCs/>
          <w:color w:val="000000"/>
          <w:sz w:val="24"/>
        </w:rPr>
        <w:t>信息化装备对现代作战有哪些影响</w:t>
      </w:r>
    </w:p>
    <w:p w14:paraId="3B2FD7C5" w14:textId="77777777" w:rsidR="00423AD2" w:rsidRPr="00423AD2" w:rsidRDefault="00423AD2" w:rsidP="00747ECA">
      <w:pPr>
        <w:numPr>
          <w:ilvl w:val="0"/>
          <w:numId w:val="81"/>
        </w:numPr>
        <w:adjustRightInd w:val="0"/>
        <w:snapToGrid w:val="0"/>
        <w:spacing w:line="500" w:lineRule="exact"/>
        <w:ind w:firstLineChars="100" w:firstLine="240"/>
        <w:rPr>
          <w:rFonts w:ascii="Calibri" w:eastAsia="宋体" w:hAnsi="Calibri" w:cs="Times New Roman"/>
          <w:b/>
          <w:color w:val="000000"/>
          <w:sz w:val="24"/>
        </w:rPr>
      </w:pPr>
      <w:r w:rsidRPr="00423AD2">
        <w:rPr>
          <w:rFonts w:ascii="Calibri" w:eastAsia="宋体" w:hAnsi="Calibri" w:cs="Times New Roman" w:hint="eastAsia"/>
          <w:bCs/>
          <w:color w:val="000000"/>
          <w:sz w:val="24"/>
        </w:rPr>
        <w:t>坦克、军舰、飞机的发展趋势是什么</w:t>
      </w:r>
    </w:p>
    <w:p w14:paraId="3575613B" w14:textId="77777777" w:rsidR="00423AD2" w:rsidRPr="00423AD2" w:rsidRDefault="00423AD2" w:rsidP="00423AD2">
      <w:pPr>
        <w:spacing w:beforeLines="50" w:before="156" w:afterLines="50" w:after="156" w:line="440" w:lineRule="exact"/>
        <w:ind w:left="561"/>
        <w:rPr>
          <w:rFonts w:ascii="仿宋" w:eastAsia="仿宋" w:hAnsi="仿宋" w:cs="Times New Roman"/>
          <w:color w:val="000000"/>
          <w:sz w:val="24"/>
        </w:rPr>
      </w:pPr>
      <w:r w:rsidRPr="00423AD2">
        <w:rPr>
          <w:rFonts w:ascii="黑体" w:eastAsia="黑体" w:hAnsi="黑体" w:cs="Times New Roman" w:hint="eastAsia"/>
          <w:color w:val="000000"/>
          <w:sz w:val="28"/>
          <w:szCs w:val="28"/>
        </w:rPr>
        <w:t>（二）课程学习内容与课程学习目标的对应关系</w:t>
      </w:r>
      <w:r w:rsidRPr="00423AD2">
        <w:rPr>
          <w:rFonts w:ascii="仿宋" w:eastAsia="仿宋" w:hAnsi="仿宋" w:cs="Times New Roman" w:hint="eastAsia"/>
          <w:color w:val="000000"/>
          <w:sz w:val="24"/>
        </w:rPr>
        <w:t xml:space="preserve"> </w:t>
      </w:r>
    </w:p>
    <w:tbl>
      <w:tblP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19"/>
        <w:gridCol w:w="3795"/>
        <w:gridCol w:w="2125"/>
        <w:gridCol w:w="1198"/>
      </w:tblGrid>
      <w:tr w:rsidR="00423AD2" w:rsidRPr="00423AD2" w14:paraId="23C1409D" w14:textId="77777777" w:rsidTr="00423AD2">
        <w:trPr>
          <w:trHeight w:val="660"/>
          <w:jc w:val="center"/>
        </w:trPr>
        <w:tc>
          <w:tcPr>
            <w:tcW w:w="2319" w:type="dxa"/>
            <w:vAlign w:val="center"/>
          </w:tcPr>
          <w:p w14:paraId="731FE4E7" w14:textId="77777777" w:rsidR="00423AD2" w:rsidRPr="00423AD2" w:rsidRDefault="00423AD2" w:rsidP="00423AD2">
            <w:pPr>
              <w:spacing w:line="440" w:lineRule="exact"/>
              <w:jc w:val="center"/>
              <w:rPr>
                <w:rFonts w:ascii="宋体" w:eastAsia="宋体" w:hAnsi="宋体" w:cs="Times New Roman"/>
                <w:b/>
                <w:bCs/>
                <w:color w:val="000000"/>
                <w:sz w:val="24"/>
              </w:rPr>
            </w:pPr>
            <w:r w:rsidRPr="00423AD2">
              <w:rPr>
                <w:rFonts w:ascii="宋体" w:eastAsia="宋体" w:hAnsi="宋体" w:cs="Times New Roman" w:hint="eastAsia"/>
                <w:b/>
                <w:bCs/>
                <w:color w:val="000000"/>
                <w:sz w:val="24"/>
              </w:rPr>
              <w:t>课程学习内容</w:t>
            </w:r>
          </w:p>
        </w:tc>
        <w:tc>
          <w:tcPr>
            <w:tcW w:w="3795" w:type="dxa"/>
            <w:vAlign w:val="center"/>
          </w:tcPr>
          <w:p w14:paraId="299D7545" w14:textId="77777777" w:rsidR="00423AD2" w:rsidRPr="00423AD2" w:rsidRDefault="00423AD2" w:rsidP="00423AD2">
            <w:pPr>
              <w:spacing w:line="440" w:lineRule="exact"/>
              <w:jc w:val="center"/>
              <w:rPr>
                <w:rFonts w:ascii="宋体" w:eastAsia="宋体" w:hAnsi="宋体" w:cs="Times New Roman"/>
                <w:b/>
                <w:bCs/>
                <w:color w:val="000000"/>
                <w:sz w:val="24"/>
              </w:rPr>
            </w:pPr>
            <w:r w:rsidRPr="00423AD2">
              <w:rPr>
                <w:rFonts w:ascii="宋体" w:eastAsia="宋体" w:hAnsi="宋体" w:cs="Times New Roman" w:hint="eastAsia"/>
                <w:b/>
                <w:bCs/>
                <w:color w:val="000000"/>
                <w:sz w:val="24"/>
              </w:rPr>
              <w:t>教学方法</w:t>
            </w:r>
          </w:p>
        </w:tc>
        <w:tc>
          <w:tcPr>
            <w:tcW w:w="2125" w:type="dxa"/>
            <w:vAlign w:val="center"/>
          </w:tcPr>
          <w:p w14:paraId="18A89B94" w14:textId="77777777" w:rsidR="00423AD2" w:rsidRPr="00423AD2" w:rsidRDefault="00423AD2" w:rsidP="00423AD2">
            <w:pPr>
              <w:spacing w:line="440" w:lineRule="exact"/>
              <w:jc w:val="center"/>
              <w:rPr>
                <w:rFonts w:ascii="宋体" w:eastAsia="宋体" w:hAnsi="宋体" w:cs="Times New Roman"/>
                <w:b/>
                <w:bCs/>
                <w:color w:val="000000"/>
                <w:sz w:val="24"/>
              </w:rPr>
            </w:pPr>
            <w:r w:rsidRPr="00423AD2">
              <w:rPr>
                <w:rFonts w:ascii="宋体" w:eastAsia="宋体" w:hAnsi="宋体" w:cs="Times New Roman" w:hint="eastAsia"/>
                <w:b/>
                <w:bCs/>
                <w:color w:val="000000"/>
                <w:sz w:val="24"/>
              </w:rPr>
              <w:t>支撑的课程目标</w:t>
            </w:r>
          </w:p>
        </w:tc>
        <w:tc>
          <w:tcPr>
            <w:tcW w:w="1198" w:type="dxa"/>
            <w:vAlign w:val="center"/>
          </w:tcPr>
          <w:p w14:paraId="1765497F" w14:textId="77777777" w:rsidR="00423AD2" w:rsidRPr="00423AD2" w:rsidRDefault="00423AD2" w:rsidP="00423AD2">
            <w:pPr>
              <w:spacing w:line="440" w:lineRule="exact"/>
              <w:jc w:val="center"/>
              <w:rPr>
                <w:rFonts w:ascii="宋体" w:eastAsia="宋体" w:hAnsi="宋体" w:cs="Times New Roman"/>
                <w:b/>
                <w:bCs/>
                <w:color w:val="000000"/>
                <w:sz w:val="24"/>
              </w:rPr>
            </w:pPr>
            <w:r w:rsidRPr="00423AD2">
              <w:rPr>
                <w:rFonts w:ascii="宋体" w:eastAsia="宋体" w:hAnsi="宋体" w:cs="Times New Roman" w:hint="eastAsia"/>
                <w:b/>
                <w:bCs/>
                <w:color w:val="000000"/>
                <w:sz w:val="24"/>
              </w:rPr>
              <w:t>学时安排</w:t>
            </w:r>
          </w:p>
        </w:tc>
      </w:tr>
      <w:tr w:rsidR="00423AD2" w:rsidRPr="00423AD2" w14:paraId="2A6E125B" w14:textId="77777777" w:rsidTr="00423AD2">
        <w:trPr>
          <w:trHeight w:val="514"/>
          <w:jc w:val="center"/>
        </w:trPr>
        <w:tc>
          <w:tcPr>
            <w:tcW w:w="2319" w:type="dxa"/>
          </w:tcPr>
          <w:p w14:paraId="47D898B5"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第一章 中国国防</w:t>
            </w:r>
          </w:p>
        </w:tc>
        <w:tc>
          <w:tcPr>
            <w:tcW w:w="3795" w:type="dxa"/>
            <w:vAlign w:val="center"/>
          </w:tcPr>
          <w:p w14:paraId="5B673124"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讲授法、案例教学</w:t>
            </w:r>
          </w:p>
        </w:tc>
        <w:tc>
          <w:tcPr>
            <w:tcW w:w="2125" w:type="dxa"/>
            <w:vAlign w:val="center"/>
          </w:tcPr>
          <w:p w14:paraId="20D526AB"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课程目标1,2</w:t>
            </w:r>
          </w:p>
        </w:tc>
        <w:tc>
          <w:tcPr>
            <w:tcW w:w="1198" w:type="dxa"/>
            <w:vAlign w:val="center"/>
          </w:tcPr>
          <w:p w14:paraId="2C3939E0"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10</w:t>
            </w:r>
          </w:p>
        </w:tc>
      </w:tr>
      <w:tr w:rsidR="00423AD2" w:rsidRPr="00423AD2" w14:paraId="0F73D262" w14:textId="77777777" w:rsidTr="00423AD2">
        <w:trPr>
          <w:trHeight w:val="90"/>
          <w:jc w:val="center"/>
        </w:trPr>
        <w:tc>
          <w:tcPr>
            <w:tcW w:w="2319" w:type="dxa"/>
          </w:tcPr>
          <w:p w14:paraId="5BC2E794"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第二章 国家安全</w:t>
            </w:r>
          </w:p>
        </w:tc>
        <w:tc>
          <w:tcPr>
            <w:tcW w:w="3795" w:type="dxa"/>
            <w:vAlign w:val="center"/>
          </w:tcPr>
          <w:p w14:paraId="5F3AED48"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讲授法、小组研讨、专题学习</w:t>
            </w:r>
          </w:p>
        </w:tc>
        <w:tc>
          <w:tcPr>
            <w:tcW w:w="2125" w:type="dxa"/>
            <w:vAlign w:val="center"/>
          </w:tcPr>
          <w:p w14:paraId="72ADDF29"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课程目标1,2</w:t>
            </w:r>
          </w:p>
        </w:tc>
        <w:tc>
          <w:tcPr>
            <w:tcW w:w="1198" w:type="dxa"/>
            <w:vAlign w:val="center"/>
          </w:tcPr>
          <w:p w14:paraId="13571957"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8</w:t>
            </w:r>
          </w:p>
        </w:tc>
      </w:tr>
      <w:tr w:rsidR="00423AD2" w:rsidRPr="00423AD2" w14:paraId="7ABBEA12" w14:textId="77777777" w:rsidTr="00423AD2">
        <w:trPr>
          <w:jc w:val="center"/>
        </w:trPr>
        <w:tc>
          <w:tcPr>
            <w:tcW w:w="2319" w:type="dxa"/>
          </w:tcPr>
          <w:p w14:paraId="695AC0C8"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第三章 军事思想</w:t>
            </w:r>
          </w:p>
        </w:tc>
        <w:tc>
          <w:tcPr>
            <w:tcW w:w="3795" w:type="dxa"/>
            <w:vAlign w:val="center"/>
          </w:tcPr>
          <w:p w14:paraId="59A2A7EC"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翻转课堂；专题研讨</w:t>
            </w:r>
          </w:p>
        </w:tc>
        <w:tc>
          <w:tcPr>
            <w:tcW w:w="2125" w:type="dxa"/>
            <w:vAlign w:val="center"/>
          </w:tcPr>
          <w:p w14:paraId="5010FED2"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课程目标1，2</w:t>
            </w:r>
          </w:p>
        </w:tc>
        <w:tc>
          <w:tcPr>
            <w:tcW w:w="1198" w:type="dxa"/>
            <w:vAlign w:val="center"/>
          </w:tcPr>
          <w:p w14:paraId="370CA252"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6</w:t>
            </w:r>
          </w:p>
        </w:tc>
      </w:tr>
      <w:tr w:rsidR="00423AD2" w:rsidRPr="00423AD2" w14:paraId="015F8C07" w14:textId="77777777" w:rsidTr="00423AD2">
        <w:trPr>
          <w:jc w:val="center"/>
        </w:trPr>
        <w:tc>
          <w:tcPr>
            <w:tcW w:w="2319" w:type="dxa"/>
          </w:tcPr>
          <w:p w14:paraId="160F9CEB"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第四章 现代战争</w:t>
            </w:r>
          </w:p>
        </w:tc>
        <w:tc>
          <w:tcPr>
            <w:tcW w:w="3795" w:type="dxa"/>
            <w:vAlign w:val="center"/>
          </w:tcPr>
          <w:p w14:paraId="700397E5"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讲授法；</w:t>
            </w:r>
          </w:p>
          <w:p w14:paraId="54E712B1"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“战例+军事类影视作品进课堂”</w:t>
            </w:r>
          </w:p>
        </w:tc>
        <w:tc>
          <w:tcPr>
            <w:tcW w:w="2125" w:type="dxa"/>
            <w:vAlign w:val="center"/>
          </w:tcPr>
          <w:p w14:paraId="3FC4FCB9"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课程目标1</w:t>
            </w:r>
          </w:p>
        </w:tc>
        <w:tc>
          <w:tcPr>
            <w:tcW w:w="1198" w:type="dxa"/>
            <w:vAlign w:val="center"/>
          </w:tcPr>
          <w:p w14:paraId="032018AE"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4</w:t>
            </w:r>
          </w:p>
        </w:tc>
      </w:tr>
      <w:tr w:rsidR="00423AD2" w:rsidRPr="00423AD2" w14:paraId="1C33DD8F" w14:textId="77777777" w:rsidTr="00423AD2">
        <w:trPr>
          <w:jc w:val="center"/>
        </w:trPr>
        <w:tc>
          <w:tcPr>
            <w:tcW w:w="2319" w:type="dxa"/>
          </w:tcPr>
          <w:p w14:paraId="498BA097"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lastRenderedPageBreak/>
              <w:t>第五章 信息化装备</w:t>
            </w:r>
          </w:p>
        </w:tc>
        <w:tc>
          <w:tcPr>
            <w:tcW w:w="3795" w:type="dxa"/>
            <w:vAlign w:val="center"/>
          </w:tcPr>
          <w:p w14:paraId="0C9CAC9A"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翻转课堂；</w:t>
            </w:r>
          </w:p>
          <w:p w14:paraId="719637F4"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“战例+军事类影视作品进课堂”</w:t>
            </w:r>
          </w:p>
        </w:tc>
        <w:tc>
          <w:tcPr>
            <w:tcW w:w="2125" w:type="dxa"/>
            <w:vAlign w:val="center"/>
          </w:tcPr>
          <w:p w14:paraId="2AED8BB2"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课程目标1</w:t>
            </w:r>
          </w:p>
        </w:tc>
        <w:tc>
          <w:tcPr>
            <w:tcW w:w="1198" w:type="dxa"/>
            <w:vAlign w:val="center"/>
          </w:tcPr>
          <w:p w14:paraId="7614EF79"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4</w:t>
            </w:r>
          </w:p>
        </w:tc>
      </w:tr>
      <w:tr w:rsidR="00423AD2" w:rsidRPr="00423AD2" w14:paraId="689D5D87" w14:textId="77777777" w:rsidTr="00423AD2">
        <w:trPr>
          <w:jc w:val="center"/>
        </w:trPr>
        <w:tc>
          <w:tcPr>
            <w:tcW w:w="8239" w:type="dxa"/>
            <w:gridSpan w:val="3"/>
            <w:vAlign w:val="center"/>
          </w:tcPr>
          <w:p w14:paraId="0CC7804F" w14:textId="77777777" w:rsidR="00423AD2" w:rsidRPr="00423AD2" w:rsidRDefault="00423AD2" w:rsidP="00423AD2">
            <w:pPr>
              <w:spacing w:line="440" w:lineRule="exact"/>
              <w:jc w:val="center"/>
              <w:rPr>
                <w:rFonts w:ascii="宋体" w:eastAsia="宋体" w:hAnsi="宋体" w:cs="Times New Roman"/>
                <w:b/>
                <w:color w:val="000000"/>
                <w:sz w:val="24"/>
              </w:rPr>
            </w:pPr>
            <w:r w:rsidRPr="00423AD2">
              <w:rPr>
                <w:rFonts w:ascii="宋体" w:eastAsia="宋体" w:hAnsi="宋体" w:cs="Times New Roman" w:hint="eastAsia"/>
                <w:b/>
                <w:color w:val="000000"/>
                <w:sz w:val="24"/>
              </w:rPr>
              <w:t>合计</w:t>
            </w:r>
          </w:p>
        </w:tc>
        <w:tc>
          <w:tcPr>
            <w:tcW w:w="1198" w:type="dxa"/>
            <w:vAlign w:val="center"/>
          </w:tcPr>
          <w:p w14:paraId="5C920381"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32</w:t>
            </w:r>
          </w:p>
        </w:tc>
      </w:tr>
    </w:tbl>
    <w:p w14:paraId="7819F2EF" w14:textId="77777777" w:rsidR="00423AD2" w:rsidRPr="00423AD2" w:rsidRDefault="00423AD2" w:rsidP="00747ECA">
      <w:pPr>
        <w:numPr>
          <w:ilvl w:val="0"/>
          <w:numId w:val="82"/>
        </w:numPr>
        <w:spacing w:beforeLines="50" w:before="156" w:afterLines="50" w:after="156" w:line="440" w:lineRule="exact"/>
        <w:ind w:firstLineChars="200" w:firstLine="560"/>
        <w:rPr>
          <w:rFonts w:ascii="黑体" w:eastAsia="黑体" w:hAnsi="黑体" w:cs="Times New Roman"/>
          <w:color w:val="000000"/>
          <w:sz w:val="28"/>
          <w:szCs w:val="28"/>
        </w:rPr>
      </w:pPr>
      <w:r w:rsidRPr="00423AD2">
        <w:rPr>
          <w:rFonts w:ascii="黑体" w:eastAsia="黑体" w:hAnsi="黑体" w:cs="Times New Roman" w:hint="eastAsia"/>
          <w:color w:val="000000"/>
          <w:sz w:val="28"/>
          <w:szCs w:val="28"/>
        </w:rPr>
        <w:t>课程考核内容及与课程学习目标的关系</w:t>
      </w:r>
    </w:p>
    <w:p w14:paraId="1689B470" w14:textId="77777777" w:rsidR="00423AD2" w:rsidRPr="00423AD2" w:rsidRDefault="00423AD2" w:rsidP="00747ECA">
      <w:pPr>
        <w:numPr>
          <w:ilvl w:val="0"/>
          <w:numId w:val="83"/>
        </w:numPr>
        <w:spacing w:beforeLines="50" w:before="156" w:afterLines="50" w:after="156" w:line="440" w:lineRule="exact"/>
        <w:rPr>
          <w:rFonts w:ascii="黑体" w:eastAsia="黑体" w:hAnsi="黑体" w:cs="Times New Roman"/>
          <w:color w:val="000000"/>
          <w:sz w:val="28"/>
          <w:szCs w:val="28"/>
        </w:rPr>
      </w:pPr>
      <w:r w:rsidRPr="00423AD2">
        <w:rPr>
          <w:rFonts w:ascii="黑体" w:eastAsia="黑体" w:hAnsi="黑体" w:cs="Times New Roman" w:hint="eastAsia"/>
          <w:color w:val="000000"/>
          <w:sz w:val="28"/>
          <w:szCs w:val="28"/>
        </w:rPr>
        <w:t>课程考核内容及与课程学习目标的关系</w:t>
      </w:r>
    </w:p>
    <w:tbl>
      <w:tblPr>
        <w:tblW w:w="9420"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5"/>
        <w:gridCol w:w="7775"/>
      </w:tblGrid>
      <w:tr w:rsidR="00423AD2" w:rsidRPr="00423AD2" w14:paraId="27CB32C9" w14:textId="77777777" w:rsidTr="00423AD2">
        <w:trPr>
          <w:trHeight w:val="515"/>
        </w:trPr>
        <w:tc>
          <w:tcPr>
            <w:tcW w:w="1645" w:type="dxa"/>
          </w:tcPr>
          <w:p w14:paraId="3BDBD8AC" w14:textId="77777777" w:rsidR="00423AD2" w:rsidRPr="00423AD2" w:rsidRDefault="00423AD2" w:rsidP="00423AD2">
            <w:pPr>
              <w:spacing w:line="440" w:lineRule="exact"/>
              <w:jc w:val="center"/>
              <w:rPr>
                <w:rFonts w:ascii="宋体" w:eastAsia="宋体" w:hAnsi="宋体" w:cs="Times New Roman"/>
                <w:b/>
                <w:color w:val="000000"/>
                <w:sz w:val="24"/>
              </w:rPr>
            </w:pPr>
            <w:r w:rsidRPr="00423AD2">
              <w:rPr>
                <w:rFonts w:ascii="宋体" w:eastAsia="宋体" w:hAnsi="宋体" w:cs="Times New Roman" w:hint="eastAsia"/>
                <w:b/>
                <w:color w:val="000000"/>
                <w:sz w:val="24"/>
              </w:rPr>
              <w:t>课程目标</w:t>
            </w:r>
          </w:p>
        </w:tc>
        <w:tc>
          <w:tcPr>
            <w:tcW w:w="7775" w:type="dxa"/>
          </w:tcPr>
          <w:p w14:paraId="7C1409DC" w14:textId="77777777" w:rsidR="00423AD2" w:rsidRPr="00423AD2" w:rsidRDefault="00423AD2" w:rsidP="00423AD2">
            <w:pPr>
              <w:spacing w:line="440" w:lineRule="exact"/>
              <w:jc w:val="center"/>
              <w:rPr>
                <w:rFonts w:ascii="宋体" w:eastAsia="宋体" w:hAnsi="宋体" w:cs="Times New Roman"/>
                <w:b/>
                <w:color w:val="000000"/>
                <w:sz w:val="24"/>
              </w:rPr>
            </w:pPr>
            <w:r w:rsidRPr="00423AD2">
              <w:rPr>
                <w:rFonts w:ascii="宋体" w:eastAsia="宋体" w:hAnsi="宋体" w:cs="Times New Roman" w:hint="eastAsia"/>
                <w:b/>
                <w:color w:val="000000"/>
                <w:sz w:val="24"/>
              </w:rPr>
              <w:t>考核内容</w:t>
            </w:r>
          </w:p>
        </w:tc>
      </w:tr>
      <w:tr w:rsidR="00423AD2" w:rsidRPr="00423AD2" w14:paraId="20A7D210" w14:textId="77777777" w:rsidTr="00423AD2">
        <w:tc>
          <w:tcPr>
            <w:tcW w:w="1645" w:type="dxa"/>
            <w:vAlign w:val="center"/>
          </w:tcPr>
          <w:p w14:paraId="39681838" w14:textId="77777777" w:rsidR="00423AD2" w:rsidRPr="00423AD2" w:rsidRDefault="00423AD2" w:rsidP="00423AD2">
            <w:pPr>
              <w:spacing w:line="440" w:lineRule="exact"/>
              <w:jc w:val="center"/>
              <w:rPr>
                <w:rFonts w:ascii="宋体" w:eastAsia="宋体" w:hAnsi="宋体" w:cs="Times New Roman"/>
                <w:bCs/>
                <w:color w:val="000000"/>
                <w:sz w:val="24"/>
              </w:rPr>
            </w:pPr>
            <w:r w:rsidRPr="00423AD2">
              <w:rPr>
                <w:rFonts w:ascii="宋体" w:eastAsia="宋体" w:hAnsi="宋体" w:cs="Times New Roman" w:hint="eastAsia"/>
                <w:bCs/>
                <w:color w:val="000000"/>
                <w:sz w:val="24"/>
              </w:rPr>
              <w:t>课程目标1</w:t>
            </w:r>
          </w:p>
        </w:tc>
        <w:tc>
          <w:tcPr>
            <w:tcW w:w="7775" w:type="dxa"/>
            <w:vAlign w:val="center"/>
          </w:tcPr>
          <w:p w14:paraId="6975F5F5" w14:textId="77777777" w:rsidR="00423AD2" w:rsidRPr="00423AD2" w:rsidRDefault="00423AD2" w:rsidP="00423AD2">
            <w:pPr>
              <w:spacing w:line="440" w:lineRule="exact"/>
              <w:rPr>
                <w:rFonts w:ascii="宋体" w:eastAsia="宋体" w:hAnsi="宋体" w:cs="Times New Roman"/>
                <w:bCs/>
                <w:color w:val="000000"/>
                <w:sz w:val="24"/>
              </w:rPr>
            </w:pPr>
            <w:r w:rsidRPr="00423AD2">
              <w:rPr>
                <w:rFonts w:ascii="宋体" w:eastAsia="宋体" w:hAnsi="宋体" w:cs="Times New Roman" w:hint="eastAsia"/>
                <w:bCs/>
                <w:color w:val="000000"/>
                <w:sz w:val="24"/>
              </w:rPr>
              <w:t>1.1国防的相关概念，例如国防，国防体制，武装力量，国防建设，国防动员，国家安全等；</w:t>
            </w:r>
          </w:p>
          <w:p w14:paraId="6D699B22" w14:textId="77777777" w:rsidR="00423AD2" w:rsidRPr="00423AD2" w:rsidRDefault="00423AD2" w:rsidP="00423AD2">
            <w:pPr>
              <w:spacing w:line="440" w:lineRule="exact"/>
              <w:rPr>
                <w:rFonts w:ascii="宋体" w:eastAsia="宋体" w:hAnsi="宋体" w:cs="Times New Roman"/>
                <w:bCs/>
                <w:color w:val="000000"/>
                <w:sz w:val="24"/>
              </w:rPr>
            </w:pPr>
            <w:r w:rsidRPr="00423AD2">
              <w:rPr>
                <w:rFonts w:ascii="宋体" w:eastAsia="宋体" w:hAnsi="宋体" w:cs="Times New Roman" w:hint="eastAsia"/>
                <w:bCs/>
                <w:color w:val="000000"/>
                <w:sz w:val="24"/>
              </w:rPr>
              <w:t>1.2熟知并自觉遵守国家相关法律法规，《国防法》、《国防教育法》、《国防动员法》、《人民防空法》等；</w:t>
            </w:r>
          </w:p>
          <w:p w14:paraId="07714D1C" w14:textId="77777777" w:rsidR="00423AD2" w:rsidRPr="00423AD2" w:rsidRDefault="00423AD2" w:rsidP="00423AD2">
            <w:pPr>
              <w:spacing w:line="440" w:lineRule="exact"/>
              <w:rPr>
                <w:rFonts w:ascii="宋体" w:eastAsia="宋体" w:hAnsi="宋体" w:cs="Times New Roman"/>
                <w:bCs/>
                <w:color w:val="000000"/>
                <w:sz w:val="24"/>
              </w:rPr>
            </w:pPr>
            <w:r w:rsidRPr="00423AD2">
              <w:rPr>
                <w:rFonts w:ascii="宋体" w:eastAsia="宋体" w:hAnsi="宋体" w:cs="Times New Roman" w:hint="eastAsia"/>
                <w:bCs/>
                <w:color w:val="000000"/>
                <w:sz w:val="24"/>
              </w:rPr>
              <w:t>1.3全面贯彻落实《兵役法》，培养学生积极投身祖国国防事业的意识。</w:t>
            </w:r>
          </w:p>
        </w:tc>
      </w:tr>
      <w:tr w:rsidR="00423AD2" w:rsidRPr="00423AD2" w14:paraId="57FF1467" w14:textId="77777777" w:rsidTr="00423AD2">
        <w:tc>
          <w:tcPr>
            <w:tcW w:w="1645" w:type="dxa"/>
            <w:vAlign w:val="center"/>
          </w:tcPr>
          <w:p w14:paraId="61326DB4" w14:textId="77777777" w:rsidR="00423AD2" w:rsidRPr="00423AD2" w:rsidRDefault="00423AD2" w:rsidP="00423AD2">
            <w:pPr>
              <w:spacing w:line="440" w:lineRule="exact"/>
              <w:jc w:val="center"/>
              <w:rPr>
                <w:rFonts w:ascii="宋体" w:eastAsia="宋体" w:hAnsi="宋体" w:cs="Times New Roman"/>
                <w:bCs/>
                <w:color w:val="000000"/>
                <w:sz w:val="24"/>
              </w:rPr>
            </w:pPr>
            <w:r w:rsidRPr="00423AD2">
              <w:rPr>
                <w:rFonts w:ascii="宋体" w:eastAsia="宋体" w:hAnsi="宋体" w:cs="Times New Roman" w:hint="eastAsia"/>
                <w:bCs/>
                <w:color w:val="000000"/>
                <w:sz w:val="24"/>
              </w:rPr>
              <w:t>课程目标2</w:t>
            </w:r>
          </w:p>
        </w:tc>
        <w:tc>
          <w:tcPr>
            <w:tcW w:w="7775" w:type="dxa"/>
            <w:vAlign w:val="center"/>
          </w:tcPr>
          <w:p w14:paraId="66A76D94" w14:textId="77777777" w:rsidR="00423AD2" w:rsidRPr="00423AD2" w:rsidRDefault="00423AD2" w:rsidP="00423AD2">
            <w:pPr>
              <w:spacing w:line="440" w:lineRule="exact"/>
              <w:rPr>
                <w:rFonts w:ascii="宋体" w:eastAsia="宋体" w:hAnsi="宋体" w:cs="Times New Roman"/>
                <w:bCs/>
                <w:color w:val="000000"/>
                <w:sz w:val="24"/>
              </w:rPr>
            </w:pPr>
            <w:r w:rsidRPr="00423AD2">
              <w:rPr>
                <w:rFonts w:ascii="宋体" w:eastAsia="宋体" w:hAnsi="宋体" w:cs="Times New Roman" w:hint="eastAsia"/>
                <w:bCs/>
                <w:color w:val="000000"/>
                <w:sz w:val="24"/>
              </w:rPr>
              <w:t>2.1掌握战争的一般规律，增强全局意识，从战略的高度观察、分析处理问题，促进自身能力向更高层次发展；</w:t>
            </w:r>
          </w:p>
          <w:p w14:paraId="4023A2C7" w14:textId="77777777" w:rsidR="00423AD2" w:rsidRPr="00423AD2" w:rsidRDefault="00423AD2" w:rsidP="00423AD2">
            <w:pPr>
              <w:spacing w:line="440" w:lineRule="exact"/>
              <w:rPr>
                <w:rFonts w:ascii="宋体" w:eastAsia="宋体" w:hAnsi="宋体" w:cs="Times New Roman"/>
                <w:bCs/>
                <w:color w:val="000000"/>
                <w:sz w:val="24"/>
              </w:rPr>
            </w:pPr>
            <w:r w:rsidRPr="00423AD2">
              <w:rPr>
                <w:rFonts w:ascii="宋体" w:eastAsia="宋体" w:hAnsi="宋体" w:cs="Times New Roman" w:hint="eastAsia"/>
                <w:bCs/>
                <w:color w:val="000000"/>
                <w:sz w:val="24"/>
              </w:rPr>
              <w:t>2.2战争的发展历程，机械化、信息化战争，新军事革命的演变历程及主要内容，信息化战争发展态势，信息化装备的发展趋势，及三种常见的信息化作战平台；</w:t>
            </w:r>
          </w:p>
          <w:p w14:paraId="3228883B" w14:textId="77777777" w:rsidR="00423AD2" w:rsidRPr="00423AD2" w:rsidRDefault="00423AD2" w:rsidP="00423AD2">
            <w:pPr>
              <w:spacing w:line="440" w:lineRule="exact"/>
              <w:rPr>
                <w:rFonts w:ascii="宋体" w:eastAsia="宋体" w:hAnsi="宋体" w:cs="Times New Roman"/>
                <w:bCs/>
                <w:color w:val="000000"/>
                <w:sz w:val="24"/>
              </w:rPr>
            </w:pPr>
            <w:r w:rsidRPr="00423AD2">
              <w:rPr>
                <w:rFonts w:ascii="宋体" w:eastAsia="宋体" w:hAnsi="宋体" w:cs="Times New Roman" w:hint="eastAsia"/>
                <w:bCs/>
                <w:color w:val="000000"/>
                <w:sz w:val="24"/>
              </w:rPr>
              <w:t>2.3能够通过小组学习、专题学习、翻转课堂等学习模式，在与同伴的协作、互动、成果共享中，完善并夯实军事理论基础，增加学生对所学专业的认知感 ，从而培养学生的独立思考能力和理论联系实践能力，培养学生自主学习、自我探究学习方法的意识和能力等。</w:t>
            </w:r>
          </w:p>
        </w:tc>
      </w:tr>
    </w:tbl>
    <w:p w14:paraId="6FBE8C81" w14:textId="77777777" w:rsidR="00423AD2" w:rsidRPr="00423AD2" w:rsidRDefault="00423AD2" w:rsidP="00423AD2">
      <w:pPr>
        <w:spacing w:beforeLines="50" w:before="156" w:afterLines="50" w:after="156" w:line="440" w:lineRule="exact"/>
        <w:ind w:firstLineChars="200" w:firstLine="560"/>
        <w:rPr>
          <w:rFonts w:ascii="黑体" w:eastAsia="黑体" w:hAnsi="黑体" w:cs="Times New Roman"/>
          <w:color w:val="000000"/>
          <w:sz w:val="28"/>
          <w:szCs w:val="28"/>
        </w:rPr>
      </w:pPr>
      <w:r w:rsidRPr="00423AD2">
        <w:rPr>
          <w:rFonts w:ascii="黑体" w:eastAsia="黑体" w:hAnsi="黑体" w:cs="Times New Roman" w:hint="eastAsia"/>
          <w:color w:val="000000"/>
          <w:sz w:val="28"/>
          <w:szCs w:val="28"/>
        </w:rPr>
        <w:t>（二）课程考核方式</w:t>
      </w:r>
    </w:p>
    <w:p w14:paraId="7C212FF0" w14:textId="77777777" w:rsidR="00423AD2" w:rsidRPr="00423AD2" w:rsidRDefault="00423AD2" w:rsidP="00423AD2">
      <w:pPr>
        <w:spacing w:line="440" w:lineRule="exact"/>
        <w:ind w:firstLineChars="300" w:firstLine="720"/>
        <w:rPr>
          <w:rFonts w:ascii="宋体" w:eastAsia="宋体" w:hAnsi="宋体" w:cs="Times New Roman"/>
          <w:color w:val="000000"/>
          <w:sz w:val="24"/>
        </w:rPr>
      </w:pPr>
      <w:r w:rsidRPr="00423AD2">
        <w:rPr>
          <w:rFonts w:ascii="宋体" w:eastAsia="宋体" w:hAnsi="宋体" w:cs="Times New Roman" w:hint="eastAsia"/>
          <w:color w:val="000000"/>
          <w:sz w:val="24"/>
        </w:rPr>
        <w:t>本课程的考核形式为平时考试和期末考试相结合的方式。</w:t>
      </w:r>
    </w:p>
    <w:p w14:paraId="20390CCA"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1.平时考核包括：</w:t>
      </w:r>
    </w:p>
    <w:p w14:paraId="47AC6BF0" w14:textId="77777777" w:rsidR="00423AD2" w:rsidRPr="00423AD2" w:rsidRDefault="00423AD2" w:rsidP="00423AD2">
      <w:pPr>
        <w:spacing w:line="440" w:lineRule="exact"/>
        <w:ind w:firstLineChars="300" w:firstLine="720"/>
        <w:rPr>
          <w:rFonts w:ascii="宋体" w:eastAsia="宋体" w:hAnsi="宋体" w:cs="Times New Roman"/>
          <w:color w:val="000000"/>
          <w:sz w:val="24"/>
        </w:rPr>
      </w:pPr>
      <w:r w:rsidRPr="00423AD2">
        <w:rPr>
          <w:rFonts w:ascii="宋体" w:eastAsia="宋体" w:hAnsi="宋体" w:cs="Times New Roman" w:hint="eastAsia"/>
          <w:color w:val="000000"/>
          <w:sz w:val="24"/>
        </w:rPr>
        <w:t>（1）课堂出勤率和课堂表现；</w:t>
      </w:r>
    </w:p>
    <w:p w14:paraId="3CB5A5C3" w14:textId="77777777" w:rsidR="00423AD2" w:rsidRPr="00423AD2" w:rsidRDefault="00423AD2" w:rsidP="00423AD2">
      <w:pPr>
        <w:spacing w:line="440" w:lineRule="exact"/>
        <w:ind w:firstLineChars="300" w:firstLine="720"/>
        <w:rPr>
          <w:rFonts w:ascii="宋体" w:eastAsia="宋体" w:hAnsi="宋体" w:cs="Times New Roman"/>
          <w:color w:val="000000"/>
          <w:sz w:val="24"/>
        </w:rPr>
      </w:pPr>
      <w:r w:rsidRPr="00423AD2">
        <w:rPr>
          <w:rFonts w:ascii="宋体" w:eastAsia="宋体" w:hAnsi="宋体" w:cs="Times New Roman" w:hint="eastAsia"/>
          <w:color w:val="000000"/>
          <w:sz w:val="24"/>
        </w:rPr>
        <w:t>（2）平时作业情况，包含随堂作业、课后作业。</w:t>
      </w:r>
    </w:p>
    <w:p w14:paraId="1FA4FFEF"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2.期末考试：开卷考试</w:t>
      </w:r>
    </w:p>
    <w:p w14:paraId="17FB425A" w14:textId="77777777" w:rsidR="00423AD2" w:rsidRPr="00423AD2" w:rsidRDefault="00423AD2" w:rsidP="00423AD2">
      <w:pPr>
        <w:spacing w:beforeLines="50" w:before="156" w:afterLines="50" w:after="156" w:line="440" w:lineRule="exact"/>
        <w:ind w:firstLineChars="200" w:firstLine="560"/>
        <w:rPr>
          <w:rFonts w:ascii="黑体" w:eastAsia="黑体" w:hAnsi="黑体" w:cs="Times New Roman"/>
          <w:color w:val="000000"/>
          <w:sz w:val="28"/>
          <w:szCs w:val="28"/>
        </w:rPr>
      </w:pPr>
      <w:r w:rsidRPr="00423AD2">
        <w:rPr>
          <w:rFonts w:ascii="黑体" w:eastAsia="黑体" w:hAnsi="黑体" w:cs="Times New Roman" w:hint="eastAsia"/>
          <w:color w:val="000000"/>
          <w:sz w:val="28"/>
          <w:szCs w:val="28"/>
        </w:rPr>
        <w:t>（三）课程目标达成评价方式及考核比例</w:t>
      </w:r>
    </w:p>
    <w:p w14:paraId="1D2D37F6"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本课程考核方式及成绩比例为：课堂表现2</w:t>
      </w:r>
      <w:r w:rsidRPr="00423AD2">
        <w:rPr>
          <w:rFonts w:ascii="宋体" w:eastAsia="宋体" w:hAnsi="宋体" w:cs="Times New Roman"/>
          <w:color w:val="000000"/>
          <w:sz w:val="24"/>
        </w:rPr>
        <w:t>0</w:t>
      </w:r>
      <w:r w:rsidRPr="00423AD2">
        <w:rPr>
          <w:rFonts w:ascii="宋体" w:eastAsia="宋体" w:hAnsi="宋体" w:cs="Times New Roman" w:hint="eastAsia"/>
          <w:color w:val="000000"/>
          <w:sz w:val="24"/>
        </w:rPr>
        <w:t>%</w:t>
      </w:r>
      <w:r w:rsidRPr="00423AD2">
        <w:rPr>
          <w:rFonts w:ascii="宋体" w:eastAsia="宋体" w:hAnsi="宋体" w:cs="Times New Roman"/>
          <w:color w:val="000000"/>
          <w:sz w:val="24"/>
        </w:rPr>
        <w:t>+</w:t>
      </w:r>
      <w:r w:rsidRPr="00423AD2">
        <w:rPr>
          <w:rFonts w:ascii="宋体" w:eastAsia="宋体" w:hAnsi="宋体" w:cs="Times New Roman" w:hint="eastAsia"/>
          <w:color w:val="000000"/>
          <w:sz w:val="24"/>
        </w:rPr>
        <w:t>平时作业</w:t>
      </w:r>
      <w:r w:rsidRPr="00423AD2">
        <w:rPr>
          <w:rFonts w:ascii="宋体" w:eastAsia="宋体" w:hAnsi="宋体" w:cs="Times New Roman"/>
          <w:color w:val="000000"/>
          <w:sz w:val="24"/>
        </w:rPr>
        <w:t>3</w:t>
      </w:r>
      <w:r w:rsidRPr="00423AD2">
        <w:rPr>
          <w:rFonts w:ascii="宋体" w:eastAsia="宋体" w:hAnsi="宋体" w:cs="Times New Roman" w:hint="eastAsia"/>
          <w:color w:val="000000"/>
          <w:sz w:val="24"/>
        </w:rPr>
        <w:t>0%</w:t>
      </w:r>
      <w:r w:rsidRPr="00423AD2">
        <w:rPr>
          <w:rFonts w:ascii="宋体" w:eastAsia="宋体" w:hAnsi="宋体" w:cs="Times New Roman"/>
          <w:color w:val="000000"/>
          <w:sz w:val="24"/>
        </w:rPr>
        <w:t>+</w:t>
      </w:r>
      <w:r w:rsidRPr="00423AD2">
        <w:rPr>
          <w:rFonts w:ascii="宋体" w:eastAsia="宋体" w:hAnsi="宋体" w:cs="Times New Roman" w:hint="eastAsia"/>
          <w:color w:val="000000"/>
          <w:sz w:val="24"/>
        </w:rPr>
        <w:t>期末考试</w:t>
      </w:r>
      <w:r w:rsidRPr="00423AD2">
        <w:rPr>
          <w:rFonts w:ascii="宋体" w:eastAsia="宋体" w:hAnsi="宋体" w:cs="Times New Roman"/>
          <w:color w:val="000000"/>
          <w:sz w:val="24"/>
        </w:rPr>
        <w:t>5</w:t>
      </w:r>
      <w:r w:rsidRPr="00423AD2">
        <w:rPr>
          <w:rFonts w:ascii="宋体" w:eastAsia="宋体" w:hAnsi="宋体" w:cs="Times New Roman" w:hint="eastAsia"/>
          <w:color w:val="000000"/>
          <w:sz w:val="24"/>
        </w:rPr>
        <w:t>0%；本课程共有两个课程目标，考核方式及成绩比例分别为：</w:t>
      </w:r>
    </w:p>
    <w:p w14:paraId="6AC893DC"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lastRenderedPageBreak/>
        <w:t>课程目标1：  课堂表现10%+平时作业10%+期末考试</w:t>
      </w:r>
      <w:r w:rsidRPr="00423AD2">
        <w:rPr>
          <w:rFonts w:ascii="宋体" w:eastAsia="宋体" w:hAnsi="宋体" w:cs="Times New Roman"/>
          <w:color w:val="000000"/>
          <w:sz w:val="24"/>
        </w:rPr>
        <w:t>3</w:t>
      </w:r>
      <w:r w:rsidRPr="00423AD2">
        <w:rPr>
          <w:rFonts w:ascii="宋体" w:eastAsia="宋体" w:hAnsi="宋体" w:cs="Times New Roman" w:hint="eastAsia"/>
          <w:color w:val="000000"/>
          <w:sz w:val="24"/>
        </w:rPr>
        <w:t>0%</w:t>
      </w:r>
    </w:p>
    <w:p w14:paraId="2BDD414E"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课程目标2：  课堂表现10%+平时作业</w:t>
      </w:r>
      <w:r w:rsidRPr="00423AD2">
        <w:rPr>
          <w:rFonts w:ascii="宋体" w:eastAsia="宋体" w:hAnsi="宋体" w:cs="Times New Roman"/>
          <w:color w:val="000000"/>
          <w:sz w:val="24"/>
        </w:rPr>
        <w:t>2</w:t>
      </w:r>
      <w:r w:rsidRPr="00423AD2">
        <w:rPr>
          <w:rFonts w:ascii="宋体" w:eastAsia="宋体" w:hAnsi="宋体" w:cs="Times New Roman" w:hint="eastAsia"/>
          <w:color w:val="000000"/>
          <w:sz w:val="24"/>
        </w:rPr>
        <w:t>0%+期末考试20%</w:t>
      </w:r>
    </w:p>
    <w:p w14:paraId="621F13D7"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如下图：</w:t>
      </w:r>
    </w:p>
    <w:tbl>
      <w:tblPr>
        <w:tblW w:w="7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559"/>
        <w:gridCol w:w="1559"/>
      </w:tblGrid>
      <w:tr w:rsidR="00423AD2" w:rsidRPr="00423AD2" w14:paraId="4A8D583C" w14:textId="77777777" w:rsidTr="00423AD2">
        <w:trPr>
          <w:trHeight w:val="540"/>
          <w:jc w:val="center"/>
        </w:trPr>
        <w:tc>
          <w:tcPr>
            <w:tcW w:w="1422" w:type="dxa"/>
            <w:vMerge w:val="restart"/>
            <w:vAlign w:val="center"/>
          </w:tcPr>
          <w:p w14:paraId="5D491C62"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课程目标</w:t>
            </w:r>
          </w:p>
        </w:tc>
        <w:tc>
          <w:tcPr>
            <w:tcW w:w="4570" w:type="dxa"/>
            <w:gridSpan w:val="3"/>
            <w:vAlign w:val="center"/>
          </w:tcPr>
          <w:p w14:paraId="58D2D06A"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考核方式及成绩比例（%）</w:t>
            </w:r>
          </w:p>
        </w:tc>
        <w:tc>
          <w:tcPr>
            <w:tcW w:w="1559" w:type="dxa"/>
            <w:vAlign w:val="center"/>
          </w:tcPr>
          <w:p w14:paraId="2A92532B"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合计</w:t>
            </w:r>
          </w:p>
        </w:tc>
      </w:tr>
      <w:tr w:rsidR="00423AD2" w:rsidRPr="00423AD2" w14:paraId="19925FB6" w14:textId="77777777" w:rsidTr="00423AD2">
        <w:trPr>
          <w:trHeight w:val="578"/>
          <w:jc w:val="center"/>
        </w:trPr>
        <w:tc>
          <w:tcPr>
            <w:tcW w:w="1422" w:type="dxa"/>
            <w:vMerge/>
            <w:vAlign w:val="center"/>
          </w:tcPr>
          <w:p w14:paraId="2B7ED7CE" w14:textId="77777777" w:rsidR="00423AD2" w:rsidRPr="00423AD2" w:rsidRDefault="00423AD2" w:rsidP="00423AD2">
            <w:pPr>
              <w:spacing w:line="440" w:lineRule="exact"/>
              <w:jc w:val="center"/>
              <w:rPr>
                <w:rFonts w:ascii="宋体" w:eastAsia="宋体" w:hAnsi="宋体" w:cs="Times New Roman"/>
                <w:color w:val="000000"/>
                <w:sz w:val="24"/>
              </w:rPr>
            </w:pPr>
          </w:p>
        </w:tc>
        <w:tc>
          <w:tcPr>
            <w:tcW w:w="1452" w:type="dxa"/>
            <w:vAlign w:val="center"/>
          </w:tcPr>
          <w:p w14:paraId="3C29C3CA"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课堂表现</w:t>
            </w:r>
          </w:p>
        </w:tc>
        <w:tc>
          <w:tcPr>
            <w:tcW w:w="1559" w:type="dxa"/>
            <w:vAlign w:val="center"/>
          </w:tcPr>
          <w:p w14:paraId="294900F0"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平时作业</w:t>
            </w:r>
          </w:p>
        </w:tc>
        <w:tc>
          <w:tcPr>
            <w:tcW w:w="1559" w:type="dxa"/>
            <w:vAlign w:val="center"/>
          </w:tcPr>
          <w:p w14:paraId="70B5C7E2"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期末考试</w:t>
            </w:r>
          </w:p>
        </w:tc>
        <w:tc>
          <w:tcPr>
            <w:tcW w:w="1559" w:type="dxa"/>
          </w:tcPr>
          <w:p w14:paraId="08C21AFF" w14:textId="77777777" w:rsidR="00423AD2" w:rsidRPr="00423AD2" w:rsidRDefault="00423AD2" w:rsidP="00423AD2">
            <w:pPr>
              <w:spacing w:line="440" w:lineRule="exact"/>
              <w:ind w:firstLineChars="200" w:firstLine="480"/>
              <w:rPr>
                <w:rFonts w:ascii="宋体" w:eastAsia="宋体" w:hAnsi="宋体" w:cs="Times New Roman"/>
                <w:color w:val="000000"/>
                <w:sz w:val="24"/>
              </w:rPr>
            </w:pPr>
          </w:p>
        </w:tc>
      </w:tr>
      <w:tr w:rsidR="00423AD2" w:rsidRPr="00423AD2" w14:paraId="20EA9EA5" w14:textId="77777777" w:rsidTr="00423AD2">
        <w:trPr>
          <w:jc w:val="center"/>
        </w:trPr>
        <w:tc>
          <w:tcPr>
            <w:tcW w:w="1422" w:type="dxa"/>
            <w:vAlign w:val="center"/>
          </w:tcPr>
          <w:p w14:paraId="1F6E9000"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课程目标1</w:t>
            </w:r>
          </w:p>
        </w:tc>
        <w:tc>
          <w:tcPr>
            <w:tcW w:w="1452" w:type="dxa"/>
            <w:vAlign w:val="center"/>
          </w:tcPr>
          <w:p w14:paraId="6F972365"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10</w:t>
            </w:r>
          </w:p>
        </w:tc>
        <w:tc>
          <w:tcPr>
            <w:tcW w:w="1559" w:type="dxa"/>
            <w:vAlign w:val="center"/>
          </w:tcPr>
          <w:p w14:paraId="1435B9E7"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color w:val="000000"/>
                <w:sz w:val="24"/>
              </w:rPr>
              <w:t>10</w:t>
            </w:r>
          </w:p>
        </w:tc>
        <w:tc>
          <w:tcPr>
            <w:tcW w:w="1559" w:type="dxa"/>
            <w:vAlign w:val="center"/>
          </w:tcPr>
          <w:p w14:paraId="6C298F15"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color w:val="000000"/>
                <w:sz w:val="24"/>
              </w:rPr>
              <w:t>3</w:t>
            </w:r>
            <w:r w:rsidRPr="00423AD2">
              <w:rPr>
                <w:rFonts w:ascii="宋体" w:eastAsia="宋体" w:hAnsi="宋体" w:cs="Times New Roman" w:hint="eastAsia"/>
                <w:color w:val="000000"/>
                <w:sz w:val="24"/>
              </w:rPr>
              <w:t>0</w:t>
            </w:r>
          </w:p>
        </w:tc>
        <w:tc>
          <w:tcPr>
            <w:tcW w:w="1559" w:type="dxa"/>
          </w:tcPr>
          <w:p w14:paraId="1163135D"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5</w:t>
            </w:r>
            <w:r w:rsidRPr="00423AD2">
              <w:rPr>
                <w:rFonts w:ascii="宋体" w:eastAsia="宋体" w:hAnsi="宋体" w:cs="Times New Roman"/>
                <w:color w:val="000000"/>
                <w:sz w:val="24"/>
              </w:rPr>
              <w:t>0</w:t>
            </w:r>
          </w:p>
        </w:tc>
      </w:tr>
      <w:tr w:rsidR="00423AD2" w:rsidRPr="00423AD2" w14:paraId="71EC22CC" w14:textId="77777777" w:rsidTr="00423AD2">
        <w:trPr>
          <w:jc w:val="center"/>
        </w:trPr>
        <w:tc>
          <w:tcPr>
            <w:tcW w:w="1422" w:type="dxa"/>
            <w:vAlign w:val="center"/>
          </w:tcPr>
          <w:p w14:paraId="63D4DAD5"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课程目标2</w:t>
            </w:r>
          </w:p>
        </w:tc>
        <w:tc>
          <w:tcPr>
            <w:tcW w:w="1452" w:type="dxa"/>
            <w:vAlign w:val="center"/>
          </w:tcPr>
          <w:p w14:paraId="77DC14BD"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10</w:t>
            </w:r>
          </w:p>
        </w:tc>
        <w:tc>
          <w:tcPr>
            <w:tcW w:w="1559" w:type="dxa"/>
            <w:vAlign w:val="center"/>
          </w:tcPr>
          <w:p w14:paraId="51147E0F"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color w:val="000000"/>
                <w:sz w:val="24"/>
              </w:rPr>
              <w:t>20</w:t>
            </w:r>
          </w:p>
        </w:tc>
        <w:tc>
          <w:tcPr>
            <w:tcW w:w="1559" w:type="dxa"/>
            <w:vAlign w:val="center"/>
          </w:tcPr>
          <w:p w14:paraId="1A34F8C4"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20</w:t>
            </w:r>
          </w:p>
        </w:tc>
        <w:tc>
          <w:tcPr>
            <w:tcW w:w="1559" w:type="dxa"/>
          </w:tcPr>
          <w:p w14:paraId="7D383F95"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5</w:t>
            </w:r>
            <w:r w:rsidRPr="00423AD2">
              <w:rPr>
                <w:rFonts w:ascii="宋体" w:eastAsia="宋体" w:hAnsi="宋体" w:cs="Times New Roman"/>
                <w:color w:val="000000"/>
                <w:sz w:val="24"/>
              </w:rPr>
              <w:t>0</w:t>
            </w:r>
          </w:p>
        </w:tc>
      </w:tr>
      <w:tr w:rsidR="00423AD2" w:rsidRPr="00423AD2" w14:paraId="46D3EF80" w14:textId="77777777" w:rsidTr="00423AD2">
        <w:trPr>
          <w:jc w:val="center"/>
        </w:trPr>
        <w:tc>
          <w:tcPr>
            <w:tcW w:w="1422" w:type="dxa"/>
            <w:vAlign w:val="center"/>
          </w:tcPr>
          <w:p w14:paraId="0AFFED11" w14:textId="77777777" w:rsidR="00423AD2" w:rsidRPr="00423AD2" w:rsidRDefault="00423AD2" w:rsidP="00423AD2">
            <w:pPr>
              <w:spacing w:line="440" w:lineRule="exact"/>
              <w:jc w:val="center"/>
              <w:rPr>
                <w:rFonts w:ascii="宋体" w:eastAsia="宋体" w:hAnsi="宋体" w:cs="Times New Roman"/>
                <w:color w:val="000000"/>
                <w:sz w:val="24"/>
              </w:rPr>
            </w:pPr>
            <w:r w:rsidRPr="00423AD2">
              <w:rPr>
                <w:rFonts w:ascii="宋体" w:eastAsia="宋体" w:hAnsi="宋体" w:cs="Times New Roman" w:hint="eastAsia"/>
                <w:color w:val="000000"/>
                <w:sz w:val="24"/>
              </w:rPr>
              <w:t>合计</w:t>
            </w:r>
          </w:p>
        </w:tc>
        <w:tc>
          <w:tcPr>
            <w:tcW w:w="1452" w:type="dxa"/>
            <w:vAlign w:val="center"/>
          </w:tcPr>
          <w:p w14:paraId="17364985"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20</w:t>
            </w:r>
          </w:p>
        </w:tc>
        <w:tc>
          <w:tcPr>
            <w:tcW w:w="1559" w:type="dxa"/>
            <w:vAlign w:val="center"/>
          </w:tcPr>
          <w:p w14:paraId="18AF2A77"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color w:val="000000"/>
                <w:sz w:val="24"/>
              </w:rPr>
              <w:t>3</w:t>
            </w:r>
            <w:r w:rsidRPr="00423AD2">
              <w:rPr>
                <w:rFonts w:ascii="宋体" w:eastAsia="宋体" w:hAnsi="宋体" w:cs="Times New Roman" w:hint="eastAsia"/>
                <w:color w:val="000000"/>
                <w:sz w:val="24"/>
              </w:rPr>
              <w:t>0</w:t>
            </w:r>
          </w:p>
        </w:tc>
        <w:tc>
          <w:tcPr>
            <w:tcW w:w="1559" w:type="dxa"/>
            <w:vAlign w:val="center"/>
          </w:tcPr>
          <w:p w14:paraId="12FCE516"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color w:val="000000"/>
                <w:sz w:val="24"/>
              </w:rPr>
              <w:t>5</w:t>
            </w:r>
            <w:r w:rsidRPr="00423AD2">
              <w:rPr>
                <w:rFonts w:ascii="宋体" w:eastAsia="宋体" w:hAnsi="宋体" w:cs="Times New Roman" w:hint="eastAsia"/>
                <w:color w:val="000000"/>
                <w:sz w:val="24"/>
              </w:rPr>
              <w:t>0</w:t>
            </w:r>
          </w:p>
        </w:tc>
        <w:tc>
          <w:tcPr>
            <w:tcW w:w="1559" w:type="dxa"/>
          </w:tcPr>
          <w:p w14:paraId="0AED25E8"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100</w:t>
            </w:r>
          </w:p>
        </w:tc>
      </w:tr>
    </w:tbl>
    <w:p w14:paraId="4B97E082" w14:textId="77777777" w:rsidR="00423AD2" w:rsidRPr="00423AD2" w:rsidRDefault="00423AD2" w:rsidP="00423AD2">
      <w:pPr>
        <w:spacing w:beforeLines="50" w:before="156" w:afterLines="50" w:after="156" w:line="440" w:lineRule="exact"/>
        <w:ind w:firstLineChars="200" w:firstLine="560"/>
        <w:rPr>
          <w:rFonts w:ascii="黑体" w:eastAsia="黑体" w:hAnsi="黑体" w:cs="Times New Roman"/>
          <w:sz w:val="28"/>
          <w:szCs w:val="28"/>
        </w:rPr>
      </w:pPr>
      <w:r w:rsidRPr="00423AD2">
        <w:rPr>
          <w:rFonts w:ascii="黑体" w:eastAsia="黑体" w:hAnsi="黑体" w:cs="Times New Roman" w:hint="eastAsia"/>
          <w:sz w:val="28"/>
          <w:szCs w:val="28"/>
        </w:rPr>
        <w:t>五、成绩评定</w:t>
      </w:r>
    </w:p>
    <w:p w14:paraId="1C8CC15B" w14:textId="77777777" w:rsidR="00423AD2" w:rsidRPr="00423AD2" w:rsidRDefault="00423AD2" w:rsidP="00423AD2">
      <w:pPr>
        <w:spacing w:beforeLines="50" w:before="156" w:afterLines="50" w:after="156" w:line="440" w:lineRule="exact"/>
        <w:ind w:firstLineChars="200" w:firstLine="560"/>
        <w:rPr>
          <w:rFonts w:ascii="黑体" w:eastAsia="黑体" w:hAnsi="黑体" w:cs="Times New Roman"/>
          <w:color w:val="000000"/>
          <w:sz w:val="28"/>
          <w:szCs w:val="28"/>
        </w:rPr>
      </w:pPr>
      <w:r w:rsidRPr="00423AD2">
        <w:rPr>
          <w:rFonts w:ascii="黑体" w:eastAsia="黑体" w:hAnsi="黑体" w:cs="Times New Roman" w:hint="eastAsia"/>
          <w:color w:val="000000"/>
          <w:sz w:val="28"/>
          <w:szCs w:val="28"/>
        </w:rPr>
        <w:t>（一）总成绩评定</w:t>
      </w:r>
    </w:p>
    <w:p w14:paraId="5EE289A3" w14:textId="77777777" w:rsidR="00423AD2" w:rsidRPr="00423AD2" w:rsidRDefault="00423AD2" w:rsidP="00423AD2">
      <w:pPr>
        <w:spacing w:line="440" w:lineRule="exact"/>
        <w:ind w:firstLineChars="200" w:firstLine="480"/>
        <w:rPr>
          <w:rFonts w:ascii="宋体" w:eastAsia="宋体" w:hAnsi="宋体" w:cs="Times New Roman"/>
          <w:b/>
          <w:bCs/>
          <w:color w:val="FF0000"/>
          <w:sz w:val="24"/>
        </w:rPr>
      </w:pPr>
      <w:r w:rsidRPr="00423AD2">
        <w:rPr>
          <w:rFonts w:ascii="宋体" w:eastAsia="宋体" w:hAnsi="宋体" w:cs="Times New Roman" w:hint="eastAsia"/>
          <w:color w:val="000000"/>
          <w:sz w:val="24"/>
        </w:rPr>
        <w:t>总成绩=平时成绩×</w:t>
      </w:r>
      <w:r w:rsidRPr="00423AD2">
        <w:rPr>
          <w:rFonts w:ascii="宋体" w:eastAsia="宋体" w:hAnsi="宋体" w:cs="Times New Roman"/>
          <w:color w:val="000000"/>
          <w:sz w:val="24"/>
        </w:rPr>
        <w:t>5</w:t>
      </w:r>
      <w:r w:rsidRPr="00423AD2">
        <w:rPr>
          <w:rFonts w:ascii="宋体" w:eastAsia="宋体" w:hAnsi="宋体" w:cs="Times New Roman" w:hint="eastAsia"/>
          <w:color w:val="000000"/>
          <w:sz w:val="24"/>
        </w:rPr>
        <w:t>0%+期末成绩×</w:t>
      </w:r>
      <w:r w:rsidRPr="00423AD2">
        <w:rPr>
          <w:rFonts w:ascii="宋体" w:eastAsia="宋体" w:hAnsi="宋体" w:cs="Times New Roman"/>
          <w:color w:val="000000"/>
          <w:sz w:val="24"/>
        </w:rPr>
        <w:t>5</w:t>
      </w:r>
      <w:r w:rsidRPr="00423AD2">
        <w:rPr>
          <w:rFonts w:ascii="宋体" w:eastAsia="宋体" w:hAnsi="宋体" w:cs="Times New Roman" w:hint="eastAsia"/>
          <w:color w:val="000000"/>
          <w:sz w:val="24"/>
        </w:rPr>
        <w:t>0%</w:t>
      </w:r>
    </w:p>
    <w:p w14:paraId="33C71A4B" w14:textId="77777777" w:rsidR="00423AD2" w:rsidRPr="00423AD2" w:rsidRDefault="00423AD2" w:rsidP="00423AD2">
      <w:pPr>
        <w:spacing w:beforeLines="50" w:before="156" w:afterLines="50" w:after="156" w:line="440" w:lineRule="exact"/>
        <w:ind w:firstLineChars="200" w:firstLine="560"/>
        <w:rPr>
          <w:rFonts w:ascii="宋体" w:eastAsia="宋体" w:hAnsi="宋体" w:cs="Times New Roman"/>
          <w:color w:val="000000"/>
          <w:sz w:val="24"/>
        </w:rPr>
      </w:pPr>
      <w:r w:rsidRPr="00423AD2">
        <w:rPr>
          <w:rFonts w:ascii="黑体" w:eastAsia="黑体" w:hAnsi="黑体" w:cs="Times New Roman" w:hint="eastAsia"/>
          <w:color w:val="000000"/>
          <w:sz w:val="28"/>
          <w:szCs w:val="28"/>
        </w:rPr>
        <w:t>（二）平时成绩评定</w:t>
      </w:r>
    </w:p>
    <w:p w14:paraId="78486E2F"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平时成绩（100%）=课堂表现（25%）+作业完成情况（50%）+课堂考勤（25%）</w:t>
      </w:r>
    </w:p>
    <w:p w14:paraId="0DB7F118" w14:textId="77777777" w:rsidR="00423AD2" w:rsidRPr="00423AD2" w:rsidRDefault="00423AD2" w:rsidP="00423AD2">
      <w:pPr>
        <w:spacing w:beforeLines="50" w:before="156" w:afterLines="50" w:after="156" w:line="440" w:lineRule="exact"/>
        <w:ind w:firstLineChars="200" w:firstLine="560"/>
        <w:rPr>
          <w:rFonts w:ascii="黑体" w:eastAsia="黑体" w:hAnsi="黑体" w:cs="Times New Roman"/>
          <w:color w:val="000000"/>
          <w:sz w:val="28"/>
          <w:szCs w:val="28"/>
        </w:rPr>
      </w:pPr>
      <w:r w:rsidRPr="00423AD2">
        <w:rPr>
          <w:rFonts w:ascii="黑体" w:eastAsia="黑体" w:hAnsi="黑体" w:cs="Times New Roman" w:hint="eastAsia"/>
          <w:color w:val="000000"/>
          <w:sz w:val="28"/>
          <w:szCs w:val="28"/>
        </w:rPr>
        <w:t>（三）期末成绩评定</w:t>
      </w:r>
    </w:p>
    <w:p w14:paraId="64A8EE79"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期末考核主要考察学生对基本概念、理论、具体方法的理解与运用等。方式为开卷考试。要求学生掌握基本概念，运用基础理论分析实际相关问题。</w:t>
      </w:r>
    </w:p>
    <w:p w14:paraId="3FD1801C" w14:textId="77777777" w:rsidR="00423AD2" w:rsidRPr="00423AD2" w:rsidRDefault="00423AD2" w:rsidP="00423AD2">
      <w:pPr>
        <w:spacing w:beforeLines="50" w:before="156" w:afterLines="50" w:after="156" w:line="440" w:lineRule="exact"/>
        <w:ind w:firstLineChars="200" w:firstLine="560"/>
        <w:rPr>
          <w:rFonts w:ascii="宋体" w:eastAsia="宋体" w:hAnsi="宋体" w:cs="Times New Roman"/>
          <w:sz w:val="24"/>
        </w:rPr>
      </w:pPr>
      <w:r w:rsidRPr="00423AD2">
        <w:rPr>
          <w:rFonts w:ascii="黑体" w:eastAsia="黑体" w:hAnsi="黑体" w:cs="Times New Roman" w:hint="eastAsia"/>
          <w:sz w:val="28"/>
          <w:szCs w:val="28"/>
        </w:rPr>
        <w:t>六、使用教材、相关推荐书目及课程资源</w:t>
      </w:r>
    </w:p>
    <w:p w14:paraId="632C7814" w14:textId="77777777" w:rsidR="00423AD2" w:rsidRPr="00423AD2" w:rsidRDefault="00423AD2" w:rsidP="00423AD2">
      <w:pPr>
        <w:spacing w:line="440" w:lineRule="exact"/>
        <w:ind w:firstLineChars="200" w:firstLine="560"/>
        <w:rPr>
          <w:rFonts w:ascii="宋体" w:eastAsia="宋体" w:hAnsi="宋体" w:cs="Times New Roman"/>
          <w:color w:val="000000"/>
          <w:sz w:val="24"/>
        </w:rPr>
      </w:pPr>
      <w:r w:rsidRPr="00423AD2">
        <w:rPr>
          <w:rFonts w:ascii="黑体" w:eastAsia="黑体" w:hAnsi="黑体" w:cs="Times New Roman" w:hint="eastAsia"/>
          <w:color w:val="000000"/>
          <w:sz w:val="28"/>
          <w:szCs w:val="28"/>
        </w:rPr>
        <w:t>（一）使用教材</w:t>
      </w:r>
    </w:p>
    <w:p w14:paraId="3C07832A"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崔运生、王建华主编；《普通高等学校学生军训教程》，河北教育出版社，2019版</w:t>
      </w:r>
    </w:p>
    <w:p w14:paraId="073FAB51" w14:textId="77777777" w:rsidR="00423AD2" w:rsidRPr="00423AD2" w:rsidRDefault="00423AD2" w:rsidP="00747ECA">
      <w:pPr>
        <w:numPr>
          <w:ilvl w:val="0"/>
          <w:numId w:val="83"/>
        </w:numPr>
        <w:spacing w:line="440" w:lineRule="exact"/>
        <w:rPr>
          <w:rFonts w:ascii="黑体" w:eastAsia="黑体" w:hAnsi="黑体" w:cs="Times New Roman"/>
          <w:sz w:val="28"/>
          <w:szCs w:val="28"/>
        </w:rPr>
      </w:pPr>
      <w:r w:rsidRPr="00423AD2">
        <w:rPr>
          <w:rFonts w:ascii="黑体" w:eastAsia="黑体" w:hAnsi="黑体" w:cs="Times New Roman" w:hint="eastAsia"/>
          <w:sz w:val="28"/>
          <w:szCs w:val="28"/>
        </w:rPr>
        <w:t>相关推荐书目</w:t>
      </w:r>
    </w:p>
    <w:p w14:paraId="309BF9B9" w14:textId="77777777" w:rsidR="00423AD2" w:rsidRPr="00423AD2" w:rsidRDefault="00423AD2" w:rsidP="00423AD2">
      <w:pPr>
        <w:spacing w:line="440" w:lineRule="exact"/>
        <w:ind w:firstLineChars="200" w:firstLine="480"/>
        <w:rPr>
          <w:rFonts w:ascii="宋体" w:eastAsia="宋体" w:hAnsi="宋体" w:cs="Times New Roman"/>
          <w:sz w:val="24"/>
        </w:rPr>
      </w:pPr>
      <w:r w:rsidRPr="00423AD2">
        <w:rPr>
          <w:rFonts w:ascii="宋体" w:eastAsia="宋体" w:hAnsi="宋体" w:cs="Times New Roman" w:hint="eastAsia"/>
          <w:sz w:val="24"/>
        </w:rPr>
        <w:t>1</w:t>
      </w:r>
      <w:r w:rsidRPr="00423AD2">
        <w:rPr>
          <w:rFonts w:ascii="宋体" w:eastAsia="宋体" w:hAnsi="宋体" w:cs="Times New Roman"/>
          <w:sz w:val="24"/>
        </w:rPr>
        <w:t xml:space="preserve">. </w:t>
      </w:r>
      <w:r w:rsidRPr="00423AD2">
        <w:rPr>
          <w:rFonts w:ascii="宋体" w:eastAsia="宋体" w:hAnsi="宋体" w:cs="Times New Roman" w:hint="eastAsia"/>
          <w:sz w:val="24"/>
        </w:rPr>
        <w:t>李国强</w:t>
      </w:r>
      <w:r w:rsidRPr="00423AD2">
        <w:rPr>
          <w:rFonts w:ascii="Calibri" w:eastAsia="宋体" w:hAnsi="Calibri" w:cs="Times New Roman" w:hint="eastAsia"/>
          <w:sz w:val="24"/>
        </w:rPr>
        <w:t>主编；《新时代</w:t>
      </w:r>
      <w:r w:rsidRPr="00423AD2">
        <w:rPr>
          <w:rFonts w:ascii="Calibri" w:eastAsia="宋体" w:hAnsi="Calibri" w:cs="Times New Roman" w:hint="eastAsia"/>
          <w:sz w:val="24"/>
        </w:rPr>
        <w:t xml:space="preserve"> </w:t>
      </w:r>
      <w:r w:rsidRPr="00423AD2">
        <w:rPr>
          <w:rFonts w:ascii="Calibri" w:eastAsia="宋体" w:hAnsi="Calibri" w:cs="Times New Roman" w:hint="eastAsia"/>
          <w:sz w:val="24"/>
        </w:rPr>
        <w:t>大视野——大学军事教程》，航空工业出版，</w:t>
      </w:r>
      <w:r w:rsidRPr="00423AD2">
        <w:rPr>
          <w:rFonts w:ascii="Calibri" w:eastAsia="宋体" w:hAnsi="Calibri" w:cs="Times New Roman" w:hint="eastAsia"/>
          <w:sz w:val="24"/>
        </w:rPr>
        <w:t>2019</w:t>
      </w:r>
      <w:r w:rsidRPr="00423AD2">
        <w:rPr>
          <w:rFonts w:ascii="宋体" w:eastAsia="宋体" w:hAnsi="宋体" w:cs="Times New Roman" w:hint="eastAsia"/>
          <w:sz w:val="24"/>
        </w:rPr>
        <w:t>版；</w:t>
      </w:r>
    </w:p>
    <w:p w14:paraId="6AC809FE" w14:textId="77777777" w:rsidR="00423AD2" w:rsidRPr="00423AD2" w:rsidRDefault="00423AD2" w:rsidP="00423AD2">
      <w:pPr>
        <w:spacing w:line="440" w:lineRule="exact"/>
        <w:ind w:firstLineChars="200" w:firstLine="480"/>
        <w:rPr>
          <w:rFonts w:ascii="宋体" w:eastAsia="宋体" w:hAnsi="宋体" w:cs="Times New Roman"/>
          <w:sz w:val="24"/>
        </w:rPr>
      </w:pPr>
      <w:r w:rsidRPr="00423AD2">
        <w:rPr>
          <w:rFonts w:ascii="宋体" w:eastAsia="宋体" w:hAnsi="宋体" w:cs="Times New Roman" w:hint="eastAsia"/>
          <w:sz w:val="24"/>
        </w:rPr>
        <w:t>2</w:t>
      </w:r>
      <w:r w:rsidRPr="00423AD2">
        <w:rPr>
          <w:rFonts w:ascii="宋体" w:eastAsia="宋体" w:hAnsi="宋体" w:cs="Times New Roman"/>
          <w:sz w:val="24"/>
        </w:rPr>
        <w:t xml:space="preserve">. </w:t>
      </w:r>
      <w:r w:rsidRPr="00423AD2">
        <w:rPr>
          <w:rFonts w:ascii="宋体" w:eastAsia="宋体" w:hAnsi="宋体" w:cs="Times New Roman" w:hint="eastAsia"/>
          <w:sz w:val="24"/>
        </w:rPr>
        <w:t>王威  杨德宇 张亚利主编；《知军事 观天下——大学军事教程》，</w:t>
      </w:r>
      <w:r w:rsidRPr="00423AD2">
        <w:rPr>
          <w:rFonts w:ascii="Calibri" w:eastAsia="宋体" w:hAnsi="Calibri" w:cs="Times New Roman" w:hint="eastAsia"/>
          <w:sz w:val="24"/>
        </w:rPr>
        <w:t>航空工业</w:t>
      </w:r>
      <w:r w:rsidRPr="00423AD2">
        <w:rPr>
          <w:rFonts w:ascii="宋体" w:eastAsia="宋体" w:hAnsi="宋体" w:cs="Times New Roman" w:hint="eastAsia"/>
          <w:sz w:val="24"/>
        </w:rPr>
        <w:t>出版社，2019版；</w:t>
      </w:r>
    </w:p>
    <w:p w14:paraId="173442AC" w14:textId="77777777" w:rsidR="00423AD2" w:rsidRPr="00423AD2" w:rsidRDefault="00423AD2" w:rsidP="00423AD2">
      <w:pPr>
        <w:spacing w:line="440" w:lineRule="exact"/>
        <w:ind w:firstLineChars="200" w:firstLine="480"/>
        <w:rPr>
          <w:rFonts w:ascii="宋体" w:eastAsia="宋体" w:hAnsi="宋体" w:cs="Times New Roman"/>
          <w:sz w:val="24"/>
        </w:rPr>
      </w:pPr>
      <w:r w:rsidRPr="00423AD2">
        <w:rPr>
          <w:rFonts w:ascii="宋体" w:eastAsia="宋体" w:hAnsi="宋体" w:cs="Times New Roman" w:hint="eastAsia"/>
          <w:sz w:val="24"/>
        </w:rPr>
        <w:t>3. 袁野主编；《新编军事理论与技能训练教程》，国防大学出版社，2019版。</w:t>
      </w:r>
    </w:p>
    <w:p w14:paraId="4AEE7B74" w14:textId="77777777" w:rsidR="00423AD2" w:rsidRPr="00423AD2" w:rsidRDefault="00423AD2" w:rsidP="00423AD2">
      <w:pPr>
        <w:spacing w:beforeLines="50" w:before="156" w:afterLines="50" w:after="156" w:line="440" w:lineRule="exact"/>
        <w:ind w:firstLineChars="200" w:firstLine="560"/>
        <w:rPr>
          <w:rFonts w:ascii="黑体" w:eastAsia="黑体" w:hAnsi="黑体" w:cs="Times New Roman"/>
          <w:color w:val="000000"/>
          <w:sz w:val="28"/>
          <w:szCs w:val="28"/>
        </w:rPr>
      </w:pPr>
      <w:r w:rsidRPr="00423AD2">
        <w:rPr>
          <w:rFonts w:ascii="黑体" w:eastAsia="黑体" w:hAnsi="黑体" w:cs="Times New Roman" w:hint="eastAsia"/>
          <w:color w:val="000000"/>
          <w:sz w:val="28"/>
          <w:szCs w:val="28"/>
        </w:rPr>
        <w:t>（三）课程资源</w:t>
      </w:r>
    </w:p>
    <w:p w14:paraId="3A02E91B" w14:textId="77777777" w:rsidR="00423AD2" w:rsidRPr="00423AD2" w:rsidRDefault="00423AD2" w:rsidP="00423AD2">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1.本课程的视频学习资源，主要依据河北省教育出版社下发的与教材配套的视频素材。</w:t>
      </w:r>
    </w:p>
    <w:p w14:paraId="1CB59417" w14:textId="77777777" w:rsidR="00423AD2" w:rsidRPr="00423AD2" w:rsidRDefault="00423AD2" w:rsidP="00423AD2">
      <w:pPr>
        <w:spacing w:beforeLines="50" w:before="156" w:afterLines="50" w:after="156" w:line="440" w:lineRule="exact"/>
        <w:ind w:firstLineChars="200" w:firstLine="560"/>
        <w:rPr>
          <w:rFonts w:ascii="黑体" w:eastAsia="黑体" w:hAnsi="黑体" w:cs="Times New Roman"/>
          <w:color w:val="000000"/>
          <w:sz w:val="28"/>
          <w:szCs w:val="28"/>
        </w:rPr>
      </w:pPr>
      <w:r w:rsidRPr="00423AD2">
        <w:rPr>
          <w:rFonts w:ascii="黑体" w:eastAsia="黑体" w:hAnsi="黑体" w:cs="Times New Roman" w:hint="eastAsia"/>
          <w:color w:val="000000"/>
          <w:sz w:val="28"/>
          <w:szCs w:val="28"/>
        </w:rPr>
        <w:lastRenderedPageBreak/>
        <w:t>七、课程大纲制定依据</w:t>
      </w:r>
    </w:p>
    <w:p w14:paraId="7CFF03AE" w14:textId="77777777" w:rsidR="00F01C49" w:rsidRPr="00F01C49" w:rsidRDefault="00423AD2" w:rsidP="00F01C49">
      <w:pPr>
        <w:spacing w:line="440" w:lineRule="exact"/>
        <w:ind w:firstLineChars="200" w:firstLine="480"/>
        <w:rPr>
          <w:rFonts w:ascii="宋体" w:eastAsia="宋体" w:hAnsi="宋体" w:cs="Times New Roman"/>
          <w:color w:val="000000"/>
          <w:sz w:val="24"/>
        </w:rPr>
      </w:pPr>
      <w:r w:rsidRPr="00423AD2">
        <w:rPr>
          <w:rFonts w:ascii="宋体" w:eastAsia="宋体" w:hAnsi="宋体" w:cs="Times New Roman" w:hint="eastAsia"/>
          <w:color w:val="000000"/>
          <w:sz w:val="24"/>
        </w:rPr>
        <w:t>本课程大纲依据202</w:t>
      </w:r>
      <w:r w:rsidRPr="00423AD2">
        <w:rPr>
          <w:rFonts w:ascii="宋体" w:eastAsia="宋体" w:hAnsi="宋体" w:cs="Times New Roman"/>
          <w:color w:val="000000"/>
          <w:sz w:val="24"/>
        </w:rPr>
        <w:t>3</w:t>
      </w:r>
      <w:r w:rsidRPr="00423AD2">
        <w:rPr>
          <w:rFonts w:ascii="宋体" w:eastAsia="宋体" w:hAnsi="宋体" w:cs="Times New Roman" w:hint="eastAsia"/>
          <w:color w:val="000000"/>
          <w:sz w:val="24"/>
        </w:rPr>
        <w:t>年</w:t>
      </w:r>
      <w:r w:rsidR="004702E8">
        <w:rPr>
          <w:rFonts w:ascii="宋体" w:eastAsia="宋体" w:hAnsi="宋体" w:cs="Times New Roman" w:hint="eastAsia"/>
          <w:color w:val="000000"/>
          <w:sz w:val="24"/>
        </w:rPr>
        <w:t>药物分析</w:t>
      </w:r>
      <w:r w:rsidR="00F01C49" w:rsidRPr="00F01C49">
        <w:rPr>
          <w:rFonts w:ascii="宋体" w:eastAsia="宋体" w:hAnsi="宋体" w:cs="Times New Roman" w:hint="eastAsia"/>
          <w:color w:val="000000"/>
          <w:sz w:val="24"/>
        </w:rPr>
        <w:t>专业人才培养方案制定。</w:t>
      </w:r>
    </w:p>
    <w:p w14:paraId="5E3D156F" w14:textId="77777777" w:rsidR="00214B05" w:rsidRDefault="00214B05" w:rsidP="00423AD2">
      <w:pPr>
        <w:rPr>
          <w:rFonts w:ascii="Calibri" w:eastAsia="宋体" w:hAnsi="Calibri" w:cs="Times New Roman"/>
          <w:bCs/>
        </w:rPr>
      </w:pPr>
    </w:p>
    <w:p w14:paraId="70F8F577" w14:textId="76125A3A" w:rsidR="00895319" w:rsidRDefault="00895319">
      <w:pPr>
        <w:widowControl/>
        <w:jc w:val="left"/>
        <w:rPr>
          <w:rFonts w:ascii="Calibri" w:eastAsia="宋体" w:hAnsi="Calibri" w:cs="Times New Roman"/>
          <w:bCs/>
        </w:rPr>
      </w:pPr>
      <w:bookmarkStart w:id="150" w:name="_Toc27387"/>
      <w:r>
        <w:rPr>
          <w:rFonts w:ascii="Calibri" w:eastAsia="宋体" w:hAnsi="Calibri" w:cs="Times New Roman"/>
          <w:bCs/>
        </w:rPr>
        <w:br w:type="page"/>
      </w:r>
    </w:p>
    <w:p w14:paraId="19EDDB61" w14:textId="77777777" w:rsidR="00CA386B" w:rsidRPr="00CA386B" w:rsidRDefault="00CA386B" w:rsidP="00CA386B">
      <w:pPr>
        <w:pStyle w:val="1"/>
      </w:pPr>
      <w:bookmarkStart w:id="151" w:name="_Toc149662353"/>
      <w:r w:rsidRPr="00CA386B">
        <w:rPr>
          <w:rFonts w:hint="eastAsia"/>
        </w:rPr>
        <w:lastRenderedPageBreak/>
        <w:t>《</w:t>
      </w:r>
      <w:r w:rsidRPr="00CA386B">
        <w:rPr>
          <w:rFonts w:hint="eastAsia"/>
          <w:kern w:val="0"/>
        </w:rPr>
        <w:t>高等数学</w:t>
      </w:r>
      <w:r w:rsidRPr="00CA386B">
        <w:rPr>
          <w:rFonts w:ascii="黑体" w:hAnsi="黑体"/>
          <w:kern w:val="0"/>
        </w:rPr>
        <w:t>D</w:t>
      </w:r>
      <w:r w:rsidRPr="00CA386B">
        <w:rPr>
          <w:rFonts w:hint="eastAsia"/>
          <w:kern w:val="0"/>
        </w:rPr>
        <w:t>1</w:t>
      </w:r>
      <w:r w:rsidRPr="00CA386B">
        <w:rPr>
          <w:rFonts w:hint="eastAsia"/>
        </w:rPr>
        <w:t>》课程大纲</w:t>
      </w:r>
      <w:bookmarkEnd w:id="150"/>
      <w:bookmarkEnd w:id="151"/>
    </w:p>
    <w:p w14:paraId="5505E989" w14:textId="77777777" w:rsidR="00CA386B" w:rsidRPr="00CA386B" w:rsidRDefault="00CA386B" w:rsidP="00CA386B">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386B">
        <w:rPr>
          <w:rFonts w:ascii="Times New Roman" w:eastAsia="黑体" w:hAnsi="Times New Roman"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400"/>
        <w:gridCol w:w="1650"/>
        <w:gridCol w:w="2259"/>
      </w:tblGrid>
      <w:tr w:rsidR="00CA386B" w:rsidRPr="00CA386B" w14:paraId="51B1F62F" w14:textId="77777777" w:rsidTr="00B602D6">
        <w:trPr>
          <w:trHeight w:val="886"/>
          <w:jc w:val="center"/>
        </w:trPr>
        <w:tc>
          <w:tcPr>
            <w:tcW w:w="1602" w:type="dxa"/>
            <w:vAlign w:val="center"/>
          </w:tcPr>
          <w:p w14:paraId="5EDD09AE"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课程名称</w:t>
            </w:r>
          </w:p>
        </w:tc>
        <w:tc>
          <w:tcPr>
            <w:tcW w:w="2400" w:type="dxa"/>
            <w:vAlign w:val="center"/>
          </w:tcPr>
          <w:p w14:paraId="60C93B0A"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宋体" w:hint="eastAsia"/>
                <w:color w:val="000000"/>
                <w:kern w:val="0"/>
                <w:sz w:val="24"/>
                <w:szCs w:val="24"/>
              </w:rPr>
              <w:t>高等数学</w:t>
            </w:r>
            <w:r w:rsidRPr="00CA386B">
              <w:rPr>
                <w:rFonts w:ascii="宋体" w:eastAsia="宋体" w:hAnsi="宋体" w:cs="宋体"/>
                <w:color w:val="000000"/>
                <w:kern w:val="0"/>
                <w:sz w:val="24"/>
                <w:szCs w:val="24"/>
              </w:rPr>
              <w:t>D</w:t>
            </w:r>
            <w:r w:rsidRPr="00CA386B">
              <w:rPr>
                <w:rFonts w:ascii="宋体" w:eastAsia="宋体" w:hAnsi="宋体" w:cs="宋体" w:hint="eastAsia"/>
                <w:color w:val="000000"/>
                <w:kern w:val="0"/>
                <w:sz w:val="24"/>
                <w:szCs w:val="24"/>
              </w:rPr>
              <w:t>1</w:t>
            </w:r>
          </w:p>
        </w:tc>
        <w:tc>
          <w:tcPr>
            <w:tcW w:w="1650" w:type="dxa"/>
            <w:vAlign w:val="center"/>
          </w:tcPr>
          <w:p w14:paraId="22EADEE1"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课程代码</w:t>
            </w:r>
          </w:p>
        </w:tc>
        <w:tc>
          <w:tcPr>
            <w:tcW w:w="2259" w:type="dxa"/>
            <w:vAlign w:val="center"/>
          </w:tcPr>
          <w:p w14:paraId="277514F6"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0501086</w:t>
            </w:r>
          </w:p>
        </w:tc>
      </w:tr>
      <w:tr w:rsidR="00CA386B" w:rsidRPr="00CA386B" w14:paraId="38B0BFF7" w14:textId="77777777" w:rsidTr="00B602D6">
        <w:trPr>
          <w:trHeight w:val="829"/>
          <w:jc w:val="center"/>
        </w:trPr>
        <w:tc>
          <w:tcPr>
            <w:tcW w:w="1602" w:type="dxa"/>
            <w:vAlign w:val="center"/>
          </w:tcPr>
          <w:p w14:paraId="333E5A97"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课程类别</w:t>
            </w:r>
          </w:p>
        </w:tc>
        <w:tc>
          <w:tcPr>
            <w:tcW w:w="2400" w:type="dxa"/>
            <w:vAlign w:val="center"/>
          </w:tcPr>
          <w:p w14:paraId="7A2633CF"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kern w:val="0"/>
                <w:sz w:val="24"/>
                <w:szCs w:val="24"/>
              </w:rPr>
              <w:t>专业教育基础课程</w:t>
            </w:r>
          </w:p>
        </w:tc>
        <w:tc>
          <w:tcPr>
            <w:tcW w:w="1650" w:type="dxa"/>
            <w:vAlign w:val="center"/>
          </w:tcPr>
          <w:p w14:paraId="269E8E0D"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学时</w:t>
            </w:r>
          </w:p>
          <w:p w14:paraId="2BBC5A52"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/学分</w:t>
            </w:r>
          </w:p>
        </w:tc>
        <w:tc>
          <w:tcPr>
            <w:tcW w:w="2259" w:type="dxa"/>
            <w:vAlign w:val="center"/>
          </w:tcPr>
          <w:p w14:paraId="73E1CE35"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宋体"/>
                <w:color w:val="000000"/>
                <w:kern w:val="0"/>
                <w:sz w:val="24"/>
                <w:szCs w:val="24"/>
              </w:rPr>
              <w:t>64</w:t>
            </w:r>
            <w:r w:rsidRPr="00CA386B">
              <w:rPr>
                <w:rFonts w:ascii="宋体" w:eastAsia="宋体" w:hAnsi="宋体" w:cs="Times New Roman" w:hint="eastAsia"/>
                <w:sz w:val="24"/>
                <w:szCs w:val="24"/>
              </w:rPr>
              <w:t>/</w:t>
            </w:r>
            <w:r w:rsidRPr="00CA386B">
              <w:rPr>
                <w:rFonts w:ascii="宋体" w:eastAsia="宋体" w:hAnsi="宋体" w:cs="宋体"/>
                <w:color w:val="000000"/>
                <w:kern w:val="0"/>
                <w:sz w:val="24"/>
                <w:szCs w:val="24"/>
              </w:rPr>
              <w:t>4</w:t>
            </w:r>
            <w:r w:rsidRPr="00CA386B">
              <w:rPr>
                <w:rFonts w:ascii="宋体" w:eastAsia="宋体" w:hAnsi="宋体" w:cs="宋体" w:hint="eastAsia"/>
                <w:color w:val="000000"/>
                <w:kern w:val="0"/>
                <w:sz w:val="24"/>
                <w:szCs w:val="24"/>
              </w:rPr>
              <w:t xml:space="preserve"> </w:t>
            </w:r>
          </w:p>
        </w:tc>
      </w:tr>
      <w:tr w:rsidR="00CA386B" w:rsidRPr="00CA386B" w14:paraId="0D4010D5" w14:textId="77777777" w:rsidTr="00B602D6">
        <w:trPr>
          <w:trHeight w:val="811"/>
          <w:jc w:val="center"/>
        </w:trPr>
        <w:tc>
          <w:tcPr>
            <w:tcW w:w="1602" w:type="dxa"/>
            <w:vAlign w:val="center"/>
          </w:tcPr>
          <w:p w14:paraId="6FC1322E"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开课单位</w:t>
            </w:r>
          </w:p>
        </w:tc>
        <w:tc>
          <w:tcPr>
            <w:tcW w:w="2400" w:type="dxa"/>
            <w:vAlign w:val="center"/>
          </w:tcPr>
          <w:p w14:paraId="61AF0B8A"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理学院</w:t>
            </w:r>
          </w:p>
        </w:tc>
        <w:tc>
          <w:tcPr>
            <w:tcW w:w="1650" w:type="dxa"/>
            <w:vAlign w:val="center"/>
          </w:tcPr>
          <w:p w14:paraId="135A9EA7"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适用专业</w:t>
            </w:r>
          </w:p>
        </w:tc>
        <w:tc>
          <w:tcPr>
            <w:tcW w:w="2259" w:type="dxa"/>
            <w:vAlign w:val="center"/>
          </w:tcPr>
          <w:p w14:paraId="16852744"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药物分析</w:t>
            </w:r>
          </w:p>
        </w:tc>
      </w:tr>
      <w:tr w:rsidR="00CA386B" w:rsidRPr="00CA386B" w14:paraId="17C25C0A" w14:textId="77777777" w:rsidTr="00B602D6">
        <w:trPr>
          <w:trHeight w:val="811"/>
          <w:jc w:val="center"/>
        </w:trPr>
        <w:tc>
          <w:tcPr>
            <w:tcW w:w="1602" w:type="dxa"/>
            <w:vAlign w:val="center"/>
          </w:tcPr>
          <w:p w14:paraId="6DD26689"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课程负责人</w:t>
            </w:r>
          </w:p>
        </w:tc>
        <w:tc>
          <w:tcPr>
            <w:tcW w:w="6309" w:type="dxa"/>
            <w:gridSpan w:val="3"/>
            <w:vAlign w:val="center"/>
          </w:tcPr>
          <w:p w14:paraId="3BB48796"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孙庆利、张敏静、刘学军</w:t>
            </w:r>
          </w:p>
        </w:tc>
      </w:tr>
      <w:tr w:rsidR="00CA386B" w:rsidRPr="00CA386B" w14:paraId="098322D1" w14:textId="77777777" w:rsidTr="00B602D6">
        <w:trPr>
          <w:trHeight w:val="836"/>
          <w:jc w:val="center"/>
        </w:trPr>
        <w:tc>
          <w:tcPr>
            <w:tcW w:w="1602" w:type="dxa"/>
            <w:vAlign w:val="center"/>
          </w:tcPr>
          <w:p w14:paraId="1651973E"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大纲撰写人</w:t>
            </w:r>
          </w:p>
        </w:tc>
        <w:tc>
          <w:tcPr>
            <w:tcW w:w="2400" w:type="dxa"/>
            <w:vAlign w:val="center"/>
          </w:tcPr>
          <w:p w14:paraId="5323F46C"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刘学军</w:t>
            </w:r>
          </w:p>
        </w:tc>
        <w:tc>
          <w:tcPr>
            <w:tcW w:w="1650" w:type="dxa"/>
            <w:vAlign w:val="center"/>
          </w:tcPr>
          <w:p w14:paraId="2564B757"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大纲审核人</w:t>
            </w:r>
          </w:p>
        </w:tc>
        <w:tc>
          <w:tcPr>
            <w:tcW w:w="2259" w:type="dxa"/>
            <w:vAlign w:val="center"/>
          </w:tcPr>
          <w:p w14:paraId="23DA51DC"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赵英慧</w:t>
            </w:r>
          </w:p>
        </w:tc>
      </w:tr>
      <w:tr w:rsidR="00CA386B" w:rsidRPr="00CA386B" w14:paraId="1F4DF1C7" w14:textId="77777777" w:rsidTr="00B602D6">
        <w:trPr>
          <w:trHeight w:val="848"/>
          <w:jc w:val="center"/>
        </w:trPr>
        <w:tc>
          <w:tcPr>
            <w:tcW w:w="1602" w:type="dxa"/>
            <w:vAlign w:val="center"/>
          </w:tcPr>
          <w:p w14:paraId="06DB60C1"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先修课程</w:t>
            </w:r>
          </w:p>
        </w:tc>
        <w:tc>
          <w:tcPr>
            <w:tcW w:w="6309" w:type="dxa"/>
            <w:gridSpan w:val="3"/>
            <w:vAlign w:val="center"/>
          </w:tcPr>
          <w:p w14:paraId="291B81C3"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高中数学</w:t>
            </w:r>
          </w:p>
        </w:tc>
      </w:tr>
      <w:tr w:rsidR="00CA386B" w:rsidRPr="00CA386B" w14:paraId="66B59FAD" w14:textId="77777777" w:rsidTr="00B602D6">
        <w:trPr>
          <w:trHeight w:val="848"/>
          <w:jc w:val="center"/>
        </w:trPr>
        <w:tc>
          <w:tcPr>
            <w:tcW w:w="1602" w:type="dxa"/>
            <w:vAlign w:val="center"/>
          </w:tcPr>
          <w:p w14:paraId="0C413444"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课程网址</w:t>
            </w:r>
          </w:p>
        </w:tc>
        <w:tc>
          <w:tcPr>
            <w:tcW w:w="6309" w:type="dxa"/>
            <w:gridSpan w:val="3"/>
            <w:vAlign w:val="center"/>
          </w:tcPr>
          <w:p w14:paraId="3C7EC76E" w14:textId="77777777" w:rsidR="00CA386B" w:rsidRPr="00CA386B" w:rsidRDefault="00CA386B" w:rsidP="00CA386B">
            <w:pPr>
              <w:spacing w:line="440" w:lineRule="exact"/>
              <w:jc w:val="left"/>
              <w:rPr>
                <w:rFonts w:ascii="宋体" w:eastAsia="宋体" w:hAnsi="宋体" w:cs="Times New Roman"/>
                <w:sz w:val="24"/>
                <w:szCs w:val="24"/>
              </w:rPr>
            </w:pPr>
          </w:p>
        </w:tc>
      </w:tr>
    </w:tbl>
    <w:p w14:paraId="60BB8C15" w14:textId="77777777" w:rsidR="00CA386B" w:rsidRPr="00CA386B" w:rsidRDefault="00CA386B" w:rsidP="00CA386B">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386B">
        <w:rPr>
          <w:rFonts w:ascii="Times New Roman" w:eastAsia="黑体" w:hAnsi="Times New Roman" w:cs="Times New Roman" w:hint="eastAsia"/>
          <w:sz w:val="28"/>
          <w:szCs w:val="28"/>
        </w:rPr>
        <w:t>二、课程学习目标及与毕业要求的对应关系</w:t>
      </w:r>
    </w:p>
    <w:p w14:paraId="15F9F279" w14:textId="77777777" w:rsidR="00CA386B" w:rsidRPr="00CA386B" w:rsidRDefault="00CA386B" w:rsidP="00CA386B">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A386B">
        <w:rPr>
          <w:rFonts w:ascii="Times New Roman" w:eastAsia="黑体" w:hAnsi="Times New Roman" w:cs="Times New Roman" w:hint="eastAsia"/>
          <w:sz w:val="28"/>
          <w:szCs w:val="28"/>
        </w:rPr>
        <w:t>（一）课程学习目标</w:t>
      </w:r>
    </w:p>
    <w:p w14:paraId="30D7D490" w14:textId="77777777" w:rsidR="00CA386B" w:rsidRPr="00CA386B" w:rsidRDefault="00CA386B" w:rsidP="00CA386B">
      <w:pPr>
        <w:widowControl/>
        <w:spacing w:line="440" w:lineRule="exact"/>
        <w:ind w:firstLineChars="200" w:firstLine="480"/>
        <w:contextualSpacing/>
        <w:rPr>
          <w:rFonts w:ascii="宋体" w:eastAsia="宋体" w:hAnsi="宋体" w:cs="宋体"/>
          <w:kern w:val="0"/>
          <w:sz w:val="24"/>
          <w:szCs w:val="24"/>
        </w:rPr>
      </w:pPr>
      <w:r w:rsidRPr="00CA386B">
        <w:rPr>
          <w:rFonts w:ascii="宋体" w:eastAsia="宋体" w:hAnsi="宋体" w:cs="宋体" w:hint="eastAsia"/>
          <w:sz w:val="24"/>
          <w:szCs w:val="24"/>
        </w:rPr>
        <w:t>《高等数学</w:t>
      </w:r>
      <w:r w:rsidRPr="00CA386B">
        <w:rPr>
          <w:rFonts w:ascii="宋体" w:eastAsia="宋体" w:hAnsi="宋体" w:cs="宋体"/>
          <w:color w:val="000000"/>
          <w:kern w:val="0"/>
          <w:sz w:val="24"/>
          <w:szCs w:val="24"/>
        </w:rPr>
        <w:t>D</w:t>
      </w:r>
      <w:r w:rsidRPr="00CA386B">
        <w:rPr>
          <w:rFonts w:ascii="宋体" w:eastAsia="宋体" w:hAnsi="宋体" w:cs="宋体" w:hint="eastAsia"/>
          <w:sz w:val="24"/>
          <w:szCs w:val="24"/>
        </w:rPr>
        <w:t>》（包括《高等数学</w:t>
      </w:r>
      <w:r w:rsidRPr="00CA386B">
        <w:rPr>
          <w:rFonts w:ascii="宋体" w:eastAsia="宋体" w:hAnsi="宋体" w:cs="宋体"/>
          <w:color w:val="000000"/>
          <w:kern w:val="0"/>
          <w:sz w:val="24"/>
          <w:szCs w:val="24"/>
        </w:rPr>
        <w:t>D</w:t>
      </w:r>
      <w:r w:rsidRPr="00CA386B">
        <w:rPr>
          <w:rFonts w:ascii="宋体" w:eastAsia="宋体" w:hAnsi="宋体" w:cs="宋体" w:hint="eastAsia"/>
          <w:color w:val="000000"/>
          <w:kern w:val="0"/>
          <w:sz w:val="24"/>
          <w:szCs w:val="24"/>
        </w:rPr>
        <w:t>1</w:t>
      </w:r>
      <w:r w:rsidRPr="00CA386B">
        <w:rPr>
          <w:rFonts w:ascii="宋体" w:eastAsia="宋体" w:hAnsi="宋体" w:cs="宋体" w:hint="eastAsia"/>
          <w:sz w:val="24"/>
          <w:szCs w:val="24"/>
        </w:rPr>
        <w:t>》和《高等数学</w:t>
      </w:r>
      <w:r w:rsidRPr="00CA386B">
        <w:rPr>
          <w:rFonts w:ascii="宋体" w:eastAsia="宋体" w:hAnsi="宋体" w:cs="宋体"/>
          <w:color w:val="000000"/>
          <w:kern w:val="0"/>
          <w:sz w:val="24"/>
          <w:szCs w:val="24"/>
        </w:rPr>
        <w:t>D</w:t>
      </w:r>
      <w:r w:rsidRPr="00CA386B">
        <w:rPr>
          <w:rFonts w:ascii="宋体" w:eastAsia="宋体" w:hAnsi="宋体" w:cs="宋体" w:hint="eastAsia"/>
          <w:sz w:val="24"/>
          <w:szCs w:val="24"/>
        </w:rPr>
        <w:t>2》）是高等学校理工类、经管类</w:t>
      </w:r>
      <w:r w:rsidRPr="00CA386B">
        <w:rPr>
          <w:rFonts w:ascii="宋体" w:eastAsia="宋体" w:hAnsi="宋体" w:cs="宋体" w:hint="eastAsia"/>
          <w:color w:val="000000"/>
          <w:kern w:val="0"/>
          <w:sz w:val="24"/>
          <w:szCs w:val="24"/>
        </w:rPr>
        <w:t>本科</w:t>
      </w:r>
      <w:r w:rsidRPr="00CA386B">
        <w:rPr>
          <w:rFonts w:ascii="宋体" w:eastAsia="宋体" w:hAnsi="宋体" w:cs="宋体" w:hint="eastAsia"/>
          <w:sz w:val="24"/>
          <w:szCs w:val="24"/>
        </w:rPr>
        <w:t>各专业的一门重要的</w:t>
      </w:r>
      <w:r w:rsidRPr="00CA386B">
        <w:rPr>
          <w:rFonts w:ascii="宋体" w:eastAsia="宋体" w:hAnsi="宋体" w:cs="Times New Roman" w:hint="eastAsia"/>
          <w:kern w:val="0"/>
          <w:sz w:val="24"/>
          <w:szCs w:val="24"/>
        </w:rPr>
        <w:t>专业教育基础课程</w:t>
      </w:r>
      <w:r w:rsidRPr="00CA386B">
        <w:rPr>
          <w:rFonts w:ascii="宋体" w:eastAsia="宋体" w:hAnsi="宋体" w:cs="宋体" w:hint="eastAsia"/>
          <w:sz w:val="24"/>
          <w:szCs w:val="24"/>
        </w:rPr>
        <w:t>，因为内容较多，分成两个学期完成。</w:t>
      </w:r>
      <w:r w:rsidRPr="00CA386B">
        <w:rPr>
          <w:rFonts w:ascii="宋体" w:eastAsia="宋体" w:hAnsi="宋体" w:cs="宋体" w:hint="eastAsia"/>
          <w:kern w:val="0"/>
          <w:sz w:val="24"/>
          <w:szCs w:val="24"/>
        </w:rPr>
        <w:t>通过学习本课程</w:t>
      </w:r>
      <w:r w:rsidRPr="00CA386B">
        <w:rPr>
          <w:rFonts w:ascii="宋体" w:eastAsia="宋体" w:hAnsi="宋体" w:cs="宋体" w:hint="eastAsia"/>
          <w:sz w:val="24"/>
          <w:szCs w:val="24"/>
        </w:rPr>
        <w:t>《高等数学</w:t>
      </w:r>
      <w:r w:rsidRPr="00CA386B">
        <w:rPr>
          <w:rFonts w:ascii="宋体" w:eastAsia="宋体" w:hAnsi="宋体" w:cs="宋体"/>
          <w:color w:val="000000"/>
          <w:kern w:val="0"/>
          <w:sz w:val="24"/>
          <w:szCs w:val="24"/>
        </w:rPr>
        <w:t>D</w:t>
      </w:r>
      <w:r w:rsidRPr="00CA386B">
        <w:rPr>
          <w:rFonts w:ascii="宋体" w:eastAsia="宋体" w:hAnsi="宋体" w:cs="宋体" w:hint="eastAsia"/>
          <w:color w:val="000000"/>
          <w:kern w:val="0"/>
          <w:sz w:val="24"/>
          <w:szCs w:val="24"/>
        </w:rPr>
        <w:t>1</w:t>
      </w:r>
      <w:r w:rsidRPr="00CA386B">
        <w:rPr>
          <w:rFonts w:ascii="宋体" w:eastAsia="宋体" w:hAnsi="宋体" w:cs="宋体" w:hint="eastAsia"/>
          <w:sz w:val="24"/>
          <w:szCs w:val="24"/>
        </w:rPr>
        <w:t>》</w:t>
      </w:r>
      <w:r w:rsidRPr="00CA386B">
        <w:rPr>
          <w:rFonts w:ascii="宋体" w:eastAsia="宋体" w:hAnsi="宋体" w:cs="宋体" w:hint="eastAsia"/>
          <w:kern w:val="0"/>
          <w:sz w:val="24"/>
          <w:szCs w:val="24"/>
        </w:rPr>
        <w:t>，使学生达到以下目标：</w:t>
      </w:r>
    </w:p>
    <w:p w14:paraId="63027286" w14:textId="77777777" w:rsidR="00CA386B" w:rsidRPr="00CA386B" w:rsidRDefault="00CA386B" w:rsidP="00CA386B">
      <w:pPr>
        <w:spacing w:line="440" w:lineRule="exact"/>
        <w:ind w:firstLineChars="200" w:firstLine="480"/>
        <w:rPr>
          <w:rFonts w:ascii="宋体" w:eastAsia="宋体" w:hAnsi="宋体" w:cs="宋体"/>
          <w:sz w:val="24"/>
          <w:szCs w:val="21"/>
        </w:rPr>
      </w:pPr>
      <w:r w:rsidRPr="00CA386B">
        <w:rPr>
          <w:rFonts w:ascii="宋体" w:eastAsia="宋体" w:hAnsi="宋体" w:cs="宋体" w:hint="eastAsia"/>
          <w:sz w:val="24"/>
          <w:szCs w:val="21"/>
        </w:rPr>
        <w:t>1. 理解并掌握函数、极限、一元函数微分学和一元函数积分学的基本概念及基本理论，用于支撑描述药物分析</w:t>
      </w:r>
      <w:r w:rsidRPr="00CA386B">
        <w:rPr>
          <w:rFonts w:ascii="宋体" w:eastAsia="宋体" w:hAnsi="宋体" w:cs="宋体"/>
          <w:sz w:val="24"/>
          <w:szCs w:val="21"/>
        </w:rPr>
        <w:t>领域</w:t>
      </w:r>
      <w:r w:rsidRPr="00CA386B">
        <w:rPr>
          <w:rFonts w:ascii="宋体" w:eastAsia="宋体" w:hAnsi="宋体" w:cs="宋体" w:hint="eastAsia"/>
          <w:sz w:val="24"/>
          <w:szCs w:val="21"/>
        </w:rPr>
        <w:t>的工程问题。【毕业要求</w:t>
      </w:r>
      <w:r w:rsidRPr="00CA386B">
        <w:rPr>
          <w:rFonts w:ascii="宋体" w:eastAsia="宋体" w:hAnsi="宋体" w:cs="宋体" w:hint="eastAsia"/>
          <w:color w:val="000000"/>
          <w:kern w:val="0"/>
          <w:sz w:val="24"/>
          <w:szCs w:val="21"/>
        </w:rPr>
        <w:t>1</w:t>
      </w:r>
      <w:r w:rsidRPr="00CA386B">
        <w:rPr>
          <w:rFonts w:ascii="宋体" w:eastAsia="宋体" w:hAnsi="宋体" w:cs="宋体" w:hint="eastAsia"/>
          <w:sz w:val="24"/>
          <w:szCs w:val="21"/>
        </w:rPr>
        <w:t>工程知识】</w:t>
      </w:r>
    </w:p>
    <w:p w14:paraId="6FF07331"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宋体" w:hint="eastAsia"/>
          <w:sz w:val="24"/>
          <w:szCs w:val="24"/>
        </w:rPr>
        <w:t>2. 掌握高等数学的基本方法，具备一定的数学推理能力、逻辑思维能力和计算思维能力，</w:t>
      </w:r>
      <w:r w:rsidRPr="00CA386B">
        <w:rPr>
          <w:rFonts w:ascii="宋体" w:eastAsia="宋体" w:hAnsi="宋体" w:cs="宋体" w:hint="eastAsia"/>
          <w:bCs/>
          <w:sz w:val="24"/>
          <w:szCs w:val="24"/>
        </w:rPr>
        <w:t>支撑</w:t>
      </w:r>
      <w:r w:rsidRPr="00CA386B">
        <w:rPr>
          <w:rFonts w:ascii="宋体" w:eastAsia="宋体" w:hAnsi="宋体" w:cs="宋体" w:hint="eastAsia"/>
          <w:sz w:val="24"/>
          <w:szCs w:val="24"/>
        </w:rPr>
        <w:t>化工领域药物分析</w:t>
      </w:r>
      <w:r w:rsidRPr="00CA386B">
        <w:rPr>
          <w:rFonts w:ascii="宋体" w:eastAsia="宋体" w:hAnsi="宋体" w:cs="宋体" w:hint="eastAsia"/>
          <w:bCs/>
          <w:sz w:val="24"/>
          <w:szCs w:val="24"/>
        </w:rPr>
        <w:t>专业所需的数学知识</w:t>
      </w:r>
      <w:r w:rsidRPr="00CA386B">
        <w:rPr>
          <w:rFonts w:ascii="宋体" w:eastAsia="宋体" w:hAnsi="宋体" w:cs="宋体" w:hint="eastAsia"/>
          <w:sz w:val="24"/>
          <w:szCs w:val="24"/>
        </w:rPr>
        <w:t>。【毕业要求</w:t>
      </w:r>
      <w:r w:rsidRPr="00CA386B">
        <w:rPr>
          <w:rFonts w:ascii="宋体" w:eastAsia="宋体" w:hAnsi="宋体" w:cs="宋体" w:hint="eastAsia"/>
          <w:color w:val="000000"/>
          <w:kern w:val="0"/>
          <w:sz w:val="24"/>
          <w:szCs w:val="24"/>
        </w:rPr>
        <w:t>1</w:t>
      </w:r>
      <w:r w:rsidRPr="00CA386B">
        <w:rPr>
          <w:rFonts w:ascii="宋体" w:eastAsia="宋体" w:hAnsi="宋体" w:cs="宋体" w:hint="eastAsia"/>
          <w:sz w:val="24"/>
          <w:szCs w:val="24"/>
        </w:rPr>
        <w:t>工程知识】</w:t>
      </w:r>
    </w:p>
    <w:p w14:paraId="768009F2"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宋体" w:hint="eastAsia"/>
          <w:sz w:val="24"/>
          <w:szCs w:val="24"/>
        </w:rPr>
        <w:t>3. 具备发现问题、分析问题和研究问题的能力，能够运用高等数学的知识对化工过程中简单工程问题涉及到的动量传递、热量传递、质量传递和化学反应过程等过程进行识别。【毕业要求2问题分析】</w:t>
      </w:r>
    </w:p>
    <w:p w14:paraId="290A7F87" w14:textId="77777777" w:rsidR="00CA386B" w:rsidRPr="00CA386B" w:rsidRDefault="00CA386B" w:rsidP="00CA386B">
      <w:pPr>
        <w:widowControl/>
        <w:spacing w:line="440" w:lineRule="exact"/>
        <w:ind w:firstLineChars="200" w:firstLine="480"/>
        <w:contextualSpacing/>
        <w:jc w:val="left"/>
        <w:rPr>
          <w:rFonts w:ascii="宋体" w:eastAsia="宋体" w:hAnsi="宋体" w:cs="宋体"/>
          <w:sz w:val="24"/>
          <w:szCs w:val="24"/>
        </w:rPr>
      </w:pPr>
      <w:r w:rsidRPr="00CA386B">
        <w:rPr>
          <w:rFonts w:ascii="宋体" w:eastAsia="宋体" w:hAnsi="宋体" w:cs="宋体" w:hint="eastAsia"/>
          <w:sz w:val="24"/>
          <w:szCs w:val="24"/>
        </w:rPr>
        <w:lastRenderedPageBreak/>
        <w:t>4. 能够运用</w:t>
      </w:r>
      <w:r w:rsidRPr="00CA386B">
        <w:rPr>
          <w:rFonts w:ascii="宋体" w:eastAsia="宋体" w:hAnsi="宋体" w:cs="宋体" w:hint="eastAsia"/>
          <w:kern w:val="0"/>
          <w:sz w:val="24"/>
          <w:szCs w:val="24"/>
        </w:rPr>
        <w:t>高等数学</w:t>
      </w:r>
      <w:r w:rsidRPr="00CA386B">
        <w:rPr>
          <w:rFonts w:ascii="宋体" w:eastAsia="宋体" w:hAnsi="宋体" w:cs="宋体" w:hint="eastAsia"/>
          <w:sz w:val="24"/>
          <w:szCs w:val="24"/>
        </w:rPr>
        <w:t>的思想方法，为解决药物分析领域的实际问题提供思路和解决方案</w:t>
      </w:r>
      <w:r w:rsidRPr="00CA386B">
        <w:rPr>
          <w:rFonts w:ascii="宋体" w:eastAsia="宋体" w:hAnsi="宋体" w:cs="宋体" w:hint="eastAsia"/>
          <w:color w:val="000000"/>
          <w:kern w:val="0"/>
          <w:sz w:val="24"/>
          <w:szCs w:val="24"/>
        </w:rPr>
        <w:t>。</w:t>
      </w:r>
      <w:r w:rsidRPr="00CA386B">
        <w:rPr>
          <w:rFonts w:ascii="宋体" w:eastAsia="宋体" w:hAnsi="宋体" w:cs="宋体" w:hint="eastAsia"/>
          <w:sz w:val="24"/>
          <w:szCs w:val="24"/>
        </w:rPr>
        <w:t>【毕业要求</w:t>
      </w:r>
      <w:r w:rsidRPr="00CA386B">
        <w:rPr>
          <w:rFonts w:ascii="宋体" w:eastAsia="宋体" w:hAnsi="宋体" w:cs="宋体" w:hint="eastAsia"/>
          <w:color w:val="000000"/>
          <w:kern w:val="0"/>
          <w:sz w:val="24"/>
          <w:szCs w:val="24"/>
        </w:rPr>
        <w:t>2</w:t>
      </w:r>
      <w:r w:rsidRPr="00CA386B">
        <w:rPr>
          <w:rFonts w:ascii="宋体" w:eastAsia="宋体" w:hAnsi="宋体" w:cs="宋体" w:hint="eastAsia"/>
          <w:sz w:val="24"/>
          <w:szCs w:val="24"/>
        </w:rPr>
        <w:t>问题分析】</w:t>
      </w:r>
    </w:p>
    <w:p w14:paraId="12CB2634" w14:textId="77777777" w:rsidR="00CA386B" w:rsidRPr="00CA386B" w:rsidRDefault="00CA386B" w:rsidP="00CA386B">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A386B">
        <w:rPr>
          <w:rFonts w:ascii="Times New Roman" w:eastAsia="黑体" w:hAnsi="Times New Roman" w:cs="Times New Roman"/>
          <w:sz w:val="28"/>
          <w:szCs w:val="28"/>
        </w:rP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0"/>
        <w:gridCol w:w="4618"/>
        <w:gridCol w:w="1375"/>
      </w:tblGrid>
      <w:tr w:rsidR="00CA386B" w:rsidRPr="00CA386B" w14:paraId="3CB25120" w14:textId="77777777" w:rsidTr="00B602D6">
        <w:trPr>
          <w:trHeight w:val="815"/>
          <w:jc w:val="center"/>
        </w:trPr>
        <w:tc>
          <w:tcPr>
            <w:tcW w:w="1970" w:type="dxa"/>
            <w:vAlign w:val="center"/>
          </w:tcPr>
          <w:p w14:paraId="1685494C" w14:textId="77777777" w:rsidR="00CA386B" w:rsidRPr="00CA386B" w:rsidRDefault="00CA386B" w:rsidP="00CA386B">
            <w:pPr>
              <w:spacing w:line="440" w:lineRule="exact"/>
              <w:jc w:val="center"/>
              <w:rPr>
                <w:rFonts w:ascii="宋体" w:eastAsia="宋体" w:hAnsi="宋体" w:cs="Times New Roman"/>
                <w:b/>
                <w:sz w:val="24"/>
                <w:szCs w:val="24"/>
              </w:rPr>
            </w:pPr>
            <w:r w:rsidRPr="00CA386B">
              <w:rPr>
                <w:rFonts w:ascii="宋体" w:eastAsia="宋体" w:hAnsi="宋体" w:cs="Times New Roman"/>
                <w:b/>
                <w:sz w:val="24"/>
                <w:szCs w:val="24"/>
              </w:rPr>
              <w:t>毕业要求</w:t>
            </w:r>
          </w:p>
        </w:tc>
        <w:tc>
          <w:tcPr>
            <w:tcW w:w="4618" w:type="dxa"/>
            <w:vAlign w:val="center"/>
          </w:tcPr>
          <w:p w14:paraId="1259A920" w14:textId="77777777" w:rsidR="00CA386B" w:rsidRPr="00CA386B" w:rsidRDefault="00CA386B" w:rsidP="00CA386B">
            <w:pPr>
              <w:spacing w:line="440" w:lineRule="exact"/>
              <w:jc w:val="center"/>
              <w:rPr>
                <w:rFonts w:ascii="宋体" w:eastAsia="宋体" w:hAnsi="宋体" w:cs="Times New Roman"/>
                <w:b/>
                <w:sz w:val="24"/>
                <w:szCs w:val="24"/>
              </w:rPr>
            </w:pPr>
            <w:r w:rsidRPr="00CA386B">
              <w:rPr>
                <w:rFonts w:ascii="宋体" w:eastAsia="宋体" w:hAnsi="宋体" w:cs="Times New Roman"/>
                <w:b/>
                <w:sz w:val="24"/>
                <w:szCs w:val="24"/>
              </w:rPr>
              <w:t>毕业要求指标点</w:t>
            </w:r>
          </w:p>
        </w:tc>
        <w:tc>
          <w:tcPr>
            <w:tcW w:w="1375" w:type="dxa"/>
            <w:vAlign w:val="center"/>
          </w:tcPr>
          <w:p w14:paraId="14B9F32A" w14:textId="77777777" w:rsidR="00CA386B" w:rsidRPr="00CA386B" w:rsidRDefault="00CA386B" w:rsidP="00CA386B">
            <w:pPr>
              <w:spacing w:line="440" w:lineRule="exact"/>
              <w:jc w:val="center"/>
              <w:rPr>
                <w:rFonts w:ascii="宋体" w:eastAsia="宋体" w:hAnsi="宋体" w:cs="Times New Roman"/>
                <w:b/>
                <w:sz w:val="24"/>
                <w:szCs w:val="24"/>
              </w:rPr>
            </w:pPr>
            <w:r w:rsidRPr="00CA386B">
              <w:rPr>
                <w:rFonts w:ascii="宋体" w:eastAsia="宋体" w:hAnsi="宋体" w:cs="Times New Roman"/>
                <w:b/>
                <w:sz w:val="24"/>
                <w:szCs w:val="24"/>
              </w:rPr>
              <w:t>课程目标</w:t>
            </w:r>
          </w:p>
        </w:tc>
      </w:tr>
      <w:tr w:rsidR="00CA386B" w:rsidRPr="00CA386B" w14:paraId="181C4DD5" w14:textId="77777777" w:rsidTr="00B602D6">
        <w:trPr>
          <w:trHeight w:val="860"/>
          <w:jc w:val="center"/>
        </w:trPr>
        <w:tc>
          <w:tcPr>
            <w:tcW w:w="1970" w:type="dxa"/>
            <w:vAlign w:val="center"/>
          </w:tcPr>
          <w:p w14:paraId="1FDEFB50" w14:textId="77777777" w:rsidR="00CA386B" w:rsidRPr="00CA386B" w:rsidRDefault="00CA386B" w:rsidP="00CA386B">
            <w:pPr>
              <w:spacing w:line="440" w:lineRule="exact"/>
              <w:jc w:val="center"/>
              <w:rPr>
                <w:rFonts w:ascii="宋体" w:eastAsia="宋体" w:hAnsi="宋体" w:cs="宋体"/>
                <w:color w:val="FF0000"/>
                <w:sz w:val="24"/>
                <w:szCs w:val="24"/>
              </w:rPr>
            </w:pPr>
            <w:r w:rsidRPr="00CA386B">
              <w:rPr>
                <w:rFonts w:ascii="宋体" w:eastAsia="宋体" w:hAnsi="宋体" w:cs="宋体" w:hint="eastAsia"/>
                <w:sz w:val="24"/>
                <w:szCs w:val="24"/>
              </w:rPr>
              <w:t>1. 工程知识</w:t>
            </w:r>
          </w:p>
        </w:tc>
        <w:tc>
          <w:tcPr>
            <w:tcW w:w="4618" w:type="dxa"/>
            <w:vAlign w:val="center"/>
          </w:tcPr>
          <w:p w14:paraId="485BF8DD" w14:textId="77777777" w:rsidR="00CA386B" w:rsidRPr="00CA386B" w:rsidRDefault="00CA386B" w:rsidP="00CA386B">
            <w:pPr>
              <w:widowControl/>
              <w:spacing w:line="440" w:lineRule="exact"/>
              <w:rPr>
                <w:rFonts w:ascii="宋体" w:eastAsia="宋体" w:hAnsi="宋体" w:cs="宋体"/>
                <w:kern w:val="0"/>
                <w:sz w:val="24"/>
                <w:szCs w:val="24"/>
              </w:rPr>
            </w:pPr>
            <w:r w:rsidRPr="00CA386B">
              <w:rPr>
                <w:rFonts w:ascii="宋体" w:eastAsia="宋体" w:hAnsi="宋体" w:cs="宋体" w:hint="eastAsia"/>
                <w:kern w:val="0"/>
                <w:sz w:val="24"/>
                <w:szCs w:val="24"/>
              </w:rPr>
              <w:t>1.1掌握无机化学、有机化学、分析化学和物理化学、数学等基础理论知识和实验技能</w:t>
            </w:r>
            <w:r w:rsidRPr="00CA386B">
              <w:rPr>
                <w:rFonts w:ascii="宋体" w:eastAsia="宋体" w:hAnsi="宋体" w:cs="宋体" w:hint="eastAsia"/>
                <w:sz w:val="24"/>
                <w:szCs w:val="24"/>
              </w:rPr>
              <w:t>（M）</w:t>
            </w:r>
          </w:p>
        </w:tc>
        <w:tc>
          <w:tcPr>
            <w:tcW w:w="1375" w:type="dxa"/>
            <w:vAlign w:val="center"/>
          </w:tcPr>
          <w:p w14:paraId="0B671719"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课程目标1</w:t>
            </w:r>
          </w:p>
          <w:p w14:paraId="0CEDC146"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课程目标2</w:t>
            </w:r>
          </w:p>
        </w:tc>
      </w:tr>
      <w:tr w:rsidR="00CA386B" w:rsidRPr="00CA386B" w14:paraId="0C103208" w14:textId="77777777" w:rsidTr="00B602D6">
        <w:trPr>
          <w:trHeight w:val="1740"/>
          <w:jc w:val="center"/>
        </w:trPr>
        <w:tc>
          <w:tcPr>
            <w:tcW w:w="1970" w:type="dxa"/>
            <w:vAlign w:val="center"/>
          </w:tcPr>
          <w:p w14:paraId="10E2AF16"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2. 问题分析</w:t>
            </w:r>
          </w:p>
        </w:tc>
        <w:tc>
          <w:tcPr>
            <w:tcW w:w="4618" w:type="dxa"/>
            <w:vAlign w:val="center"/>
          </w:tcPr>
          <w:p w14:paraId="63639623" w14:textId="77777777" w:rsidR="00CA386B" w:rsidRPr="00CA386B" w:rsidRDefault="00CA386B" w:rsidP="00CA386B">
            <w:pPr>
              <w:spacing w:line="440" w:lineRule="exact"/>
              <w:rPr>
                <w:rFonts w:ascii="宋体" w:eastAsia="宋体" w:hAnsi="宋体" w:cs="宋体"/>
                <w:kern w:val="0"/>
                <w:sz w:val="24"/>
                <w:szCs w:val="21"/>
              </w:rPr>
            </w:pPr>
            <w:r w:rsidRPr="00CA386B">
              <w:rPr>
                <w:rFonts w:ascii="宋体" w:eastAsia="宋体" w:hAnsi="宋体" w:cs="宋体" w:hint="eastAsia"/>
                <w:kern w:val="0"/>
                <w:sz w:val="24"/>
                <w:szCs w:val="21"/>
              </w:rPr>
              <w:t>2.1能够运用数学、化学、药学基本原理，识别、定义药物分析学的实践问题</w:t>
            </w:r>
            <w:r w:rsidRPr="00CA386B">
              <w:rPr>
                <w:rFonts w:ascii="宋体" w:eastAsia="宋体" w:hAnsi="宋体" w:cs="宋体" w:hint="eastAsia"/>
                <w:sz w:val="24"/>
                <w:szCs w:val="21"/>
              </w:rPr>
              <w:t>（H）</w:t>
            </w:r>
          </w:p>
        </w:tc>
        <w:tc>
          <w:tcPr>
            <w:tcW w:w="1375" w:type="dxa"/>
            <w:vAlign w:val="center"/>
          </w:tcPr>
          <w:p w14:paraId="7E83B0ED"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课程目标3</w:t>
            </w:r>
          </w:p>
          <w:p w14:paraId="1D2769BD"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课程目标4</w:t>
            </w:r>
          </w:p>
        </w:tc>
      </w:tr>
    </w:tbl>
    <w:p w14:paraId="645C237D" w14:textId="77777777" w:rsidR="00CA386B" w:rsidRPr="00CA386B" w:rsidRDefault="00CA386B" w:rsidP="00CA386B">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386B">
        <w:rPr>
          <w:rFonts w:ascii="Times New Roman" w:eastAsia="黑体" w:hAnsi="Times New Roman" w:cs="Times New Roman" w:hint="eastAsia"/>
          <w:sz w:val="28"/>
          <w:szCs w:val="28"/>
        </w:rPr>
        <w:t>三、课程学习内容及与课程学习目标的对应关系</w:t>
      </w:r>
    </w:p>
    <w:p w14:paraId="3DCA504C" w14:textId="77777777" w:rsidR="00CA386B" w:rsidRPr="00CA386B" w:rsidRDefault="00CA386B" w:rsidP="00CA386B">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A386B">
        <w:rPr>
          <w:rFonts w:ascii="Times New Roman" w:eastAsia="黑体" w:hAnsi="Times New Roman" w:cs="Times New Roman" w:hint="eastAsia"/>
          <w:sz w:val="28"/>
          <w:szCs w:val="28"/>
        </w:rPr>
        <w:t>（一）课程学习内容</w:t>
      </w:r>
    </w:p>
    <w:p w14:paraId="15773DF1" w14:textId="77777777" w:rsidR="00CA386B" w:rsidRPr="00CA386B" w:rsidRDefault="00CA386B" w:rsidP="00CA386B">
      <w:pPr>
        <w:spacing w:beforeLines="50" w:before="156" w:afterLines="50" w:after="156" w:line="440" w:lineRule="exact"/>
        <w:ind w:firstLineChars="200" w:firstLine="560"/>
        <w:jc w:val="center"/>
        <w:rPr>
          <w:rFonts w:ascii="黑体" w:eastAsia="黑体" w:hAnsi="黑体" w:cs="Times New Roman"/>
          <w:bCs/>
          <w:sz w:val="28"/>
          <w:szCs w:val="28"/>
        </w:rPr>
      </w:pPr>
      <w:r w:rsidRPr="00CA386B">
        <w:rPr>
          <w:rFonts w:ascii="黑体" w:eastAsia="黑体" w:hAnsi="黑体" w:cs="黑体" w:hint="eastAsia"/>
          <w:bCs/>
          <w:sz w:val="28"/>
          <w:szCs w:val="28"/>
        </w:rPr>
        <w:t>第一章  函数与极限</w:t>
      </w:r>
    </w:p>
    <w:p w14:paraId="1A900139"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【学习目标】</w:t>
      </w:r>
    </w:p>
    <w:p w14:paraId="218BA3CD" w14:textId="77777777" w:rsidR="00CA386B" w:rsidRPr="00CA386B" w:rsidRDefault="00CA386B" w:rsidP="00CA386B">
      <w:pPr>
        <w:widowControl/>
        <w:spacing w:line="440" w:lineRule="exact"/>
        <w:ind w:firstLineChars="200" w:firstLine="480"/>
        <w:rPr>
          <w:rFonts w:ascii="宋体" w:eastAsia="宋体" w:hAnsi="宋体" w:cs="宋体"/>
          <w:kern w:val="0"/>
          <w:sz w:val="24"/>
          <w:szCs w:val="24"/>
        </w:rPr>
      </w:pPr>
      <w:r w:rsidRPr="00CA386B">
        <w:rPr>
          <w:rFonts w:ascii="宋体" w:eastAsia="宋体" w:hAnsi="宋体" w:cs="Times New Roman" w:hint="eastAsia"/>
          <w:sz w:val="24"/>
          <w:szCs w:val="24"/>
        </w:rPr>
        <w:t>理解函数的概念</w:t>
      </w:r>
      <w:r w:rsidRPr="00CA386B">
        <w:rPr>
          <w:rFonts w:ascii="宋体" w:eastAsia="宋体" w:hAnsi="宋体" w:cs="Times New Roman" w:hint="eastAsia"/>
          <w:color w:val="000000"/>
          <w:sz w:val="24"/>
          <w:szCs w:val="24"/>
        </w:rPr>
        <w:t>；</w:t>
      </w:r>
      <w:r w:rsidRPr="00CA386B">
        <w:rPr>
          <w:rFonts w:ascii="宋体" w:eastAsia="宋体" w:hAnsi="宋体" w:cs="Times New Roman" w:hint="eastAsia"/>
          <w:sz w:val="24"/>
          <w:szCs w:val="24"/>
        </w:rPr>
        <w:t>了解函数奇偶性、单调性、周期性和有界性</w:t>
      </w:r>
      <w:r w:rsidRPr="00CA386B">
        <w:rPr>
          <w:rFonts w:ascii="宋体" w:eastAsia="宋体" w:hAnsi="宋体" w:cs="Times New Roman" w:hint="eastAsia"/>
          <w:color w:val="000000"/>
          <w:sz w:val="24"/>
          <w:szCs w:val="24"/>
        </w:rPr>
        <w:t>；</w:t>
      </w:r>
      <w:r w:rsidRPr="00CA386B">
        <w:rPr>
          <w:rFonts w:ascii="宋体" w:eastAsia="宋体" w:hAnsi="宋体" w:cs="Times New Roman" w:hint="eastAsia"/>
          <w:sz w:val="24"/>
          <w:szCs w:val="24"/>
        </w:rPr>
        <w:t xml:space="preserve"> 理解初等函数的概念，</w:t>
      </w:r>
      <w:r w:rsidRPr="00CA386B">
        <w:rPr>
          <w:rFonts w:ascii="Times New Roman" w:eastAsia="宋体" w:hAnsi="Times New Roman" w:cs="Times New Roman" w:hint="eastAsia"/>
          <w:sz w:val="24"/>
          <w:szCs w:val="24"/>
        </w:rPr>
        <w:t>掌握基本初等函数的性质及其图形</w:t>
      </w:r>
      <w:r w:rsidRPr="00CA386B">
        <w:rPr>
          <w:rFonts w:ascii="宋体" w:eastAsia="宋体" w:hAnsi="宋体" w:cs="Times New Roman" w:hint="eastAsia"/>
          <w:color w:val="000000"/>
          <w:sz w:val="24"/>
          <w:szCs w:val="24"/>
        </w:rPr>
        <w:t>；</w:t>
      </w:r>
      <w:r w:rsidRPr="00CA386B">
        <w:rPr>
          <w:rFonts w:ascii="宋体" w:eastAsia="宋体" w:hAnsi="宋体" w:cs="Times New Roman" w:hint="eastAsia"/>
          <w:sz w:val="24"/>
          <w:szCs w:val="24"/>
        </w:rPr>
        <w:t>理解极限的概念及分析定义</w:t>
      </w:r>
      <w:r w:rsidRPr="00CA386B">
        <w:rPr>
          <w:rFonts w:ascii="宋体" w:eastAsia="宋体" w:hAnsi="宋体" w:cs="Times New Roman" w:hint="eastAsia"/>
          <w:color w:val="000000"/>
          <w:sz w:val="24"/>
          <w:szCs w:val="24"/>
        </w:rPr>
        <w:t>；</w:t>
      </w:r>
      <w:r w:rsidRPr="00CA386B">
        <w:rPr>
          <w:rFonts w:ascii="宋体" w:eastAsia="宋体" w:hAnsi="宋体" w:cs="Times New Roman" w:hint="eastAsia"/>
          <w:sz w:val="24"/>
          <w:szCs w:val="24"/>
        </w:rPr>
        <w:t>理解无穷小的概念、无穷小的性质及函数极限与无穷小关系；了解两个极限存在准则，</w:t>
      </w:r>
      <w:r w:rsidRPr="00CA386B">
        <w:rPr>
          <w:rFonts w:ascii="Times New Roman" w:eastAsia="宋体" w:hAnsi="Times New Roman" w:cs="Times New Roman" w:hint="eastAsia"/>
          <w:sz w:val="24"/>
          <w:szCs w:val="24"/>
        </w:rPr>
        <w:t>掌握极限的四则运算法则，</w:t>
      </w:r>
      <w:r w:rsidRPr="00CA386B">
        <w:rPr>
          <w:rFonts w:ascii="宋体" w:eastAsia="宋体" w:hAnsi="宋体" w:cs="Times New Roman" w:hint="eastAsia"/>
          <w:sz w:val="24"/>
          <w:szCs w:val="24"/>
        </w:rPr>
        <w:t>会用两个重要极限求极限；了解无穷小的比较；理解函数在一点连续与间断的概念，了解间断点的类型</w:t>
      </w:r>
      <w:r w:rsidRPr="00CA386B">
        <w:rPr>
          <w:rFonts w:ascii="宋体" w:eastAsia="宋体" w:hAnsi="宋体" w:cs="宋体" w:hint="eastAsia"/>
          <w:kern w:val="0"/>
          <w:sz w:val="24"/>
          <w:szCs w:val="24"/>
        </w:rPr>
        <w:t>。</w:t>
      </w:r>
    </w:p>
    <w:p w14:paraId="0517BCE1"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【学习内容】</w:t>
      </w:r>
    </w:p>
    <w:p w14:paraId="7AB5A933" w14:textId="77777777" w:rsidR="00CA386B" w:rsidRPr="00CA386B" w:rsidRDefault="00CA386B" w:rsidP="00CA386B">
      <w:pPr>
        <w:adjustRightInd w:val="0"/>
        <w:snapToGrid w:val="0"/>
        <w:spacing w:line="440" w:lineRule="exact"/>
        <w:ind w:firstLineChars="236" w:firstLine="566"/>
        <w:rPr>
          <w:rFonts w:ascii="宋体" w:eastAsia="宋体" w:hAnsi="宋体" w:cs="Times New Roman"/>
          <w:color w:val="000000"/>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 xml:space="preserve">. </w:t>
      </w:r>
      <w:r w:rsidRPr="00CA386B">
        <w:rPr>
          <w:rFonts w:ascii="宋体" w:eastAsia="宋体" w:hAnsi="宋体" w:cs="Times New Roman" w:hint="eastAsia"/>
          <w:color w:val="000000"/>
          <w:sz w:val="24"/>
          <w:szCs w:val="24"/>
        </w:rPr>
        <w:t>函数；</w:t>
      </w:r>
    </w:p>
    <w:p w14:paraId="262902D7" w14:textId="77777777" w:rsidR="00CA386B" w:rsidRPr="00CA386B" w:rsidRDefault="00CA386B" w:rsidP="00CA386B">
      <w:pPr>
        <w:adjustRightInd w:val="0"/>
        <w:snapToGrid w:val="0"/>
        <w:spacing w:line="440" w:lineRule="exact"/>
        <w:ind w:firstLineChars="236" w:firstLine="566"/>
        <w:rPr>
          <w:rFonts w:ascii="宋体" w:eastAsia="宋体" w:hAnsi="宋体" w:cs="Times New Roman"/>
          <w:color w:val="000000"/>
          <w:sz w:val="24"/>
          <w:szCs w:val="24"/>
        </w:rPr>
      </w:pPr>
      <w:r w:rsidRPr="00CA386B">
        <w:rPr>
          <w:rFonts w:ascii="宋体" w:eastAsia="宋体" w:hAnsi="宋体" w:cs="Times New Roman" w:hint="eastAsia"/>
          <w:color w:val="000000"/>
          <w:sz w:val="24"/>
          <w:szCs w:val="24"/>
        </w:rPr>
        <w:t>2.</w:t>
      </w:r>
      <w:r w:rsidRPr="00CA386B">
        <w:rPr>
          <w:rFonts w:ascii="宋体" w:eastAsia="宋体" w:hAnsi="宋体" w:cs="Times New Roman"/>
          <w:color w:val="000000"/>
          <w:sz w:val="24"/>
          <w:szCs w:val="24"/>
        </w:rPr>
        <w:t xml:space="preserve"> </w:t>
      </w:r>
      <w:r w:rsidRPr="00CA386B">
        <w:rPr>
          <w:rFonts w:ascii="宋体" w:eastAsia="宋体" w:hAnsi="宋体" w:cs="Times New Roman" w:hint="eastAsia"/>
          <w:color w:val="000000"/>
          <w:sz w:val="24"/>
          <w:szCs w:val="24"/>
        </w:rPr>
        <w:t>数列的极限；</w:t>
      </w:r>
    </w:p>
    <w:p w14:paraId="0E5EA895" w14:textId="77777777" w:rsidR="00CA386B" w:rsidRPr="00CA386B" w:rsidRDefault="00CA386B" w:rsidP="00CA386B">
      <w:pPr>
        <w:adjustRightInd w:val="0"/>
        <w:snapToGrid w:val="0"/>
        <w:spacing w:line="440" w:lineRule="exact"/>
        <w:ind w:firstLineChars="236" w:firstLine="566"/>
        <w:rPr>
          <w:rFonts w:ascii="宋体" w:eastAsia="宋体" w:hAnsi="宋体" w:cs="Times New Roman"/>
          <w:color w:val="000000"/>
          <w:sz w:val="24"/>
          <w:szCs w:val="24"/>
        </w:rPr>
      </w:pPr>
      <w:r w:rsidRPr="00CA386B">
        <w:rPr>
          <w:rFonts w:ascii="宋体" w:eastAsia="宋体" w:hAnsi="宋体" w:cs="Times New Roman" w:hint="eastAsia"/>
          <w:color w:val="000000"/>
          <w:sz w:val="24"/>
          <w:szCs w:val="24"/>
        </w:rPr>
        <w:t>3. 函数的极限；</w:t>
      </w:r>
    </w:p>
    <w:p w14:paraId="607611A0" w14:textId="77777777" w:rsidR="00CA386B" w:rsidRPr="00CA386B" w:rsidRDefault="00CA386B" w:rsidP="00CA386B">
      <w:pPr>
        <w:adjustRightInd w:val="0"/>
        <w:snapToGrid w:val="0"/>
        <w:spacing w:line="440" w:lineRule="exact"/>
        <w:ind w:firstLineChars="236" w:firstLine="566"/>
        <w:rPr>
          <w:rFonts w:ascii="宋体" w:eastAsia="宋体" w:hAnsi="宋体" w:cs="Times New Roman"/>
          <w:color w:val="000000"/>
          <w:sz w:val="24"/>
          <w:szCs w:val="24"/>
        </w:rPr>
      </w:pPr>
      <w:r w:rsidRPr="00CA386B">
        <w:rPr>
          <w:rFonts w:ascii="宋体" w:eastAsia="宋体" w:hAnsi="宋体" w:cs="Times New Roman" w:hint="eastAsia"/>
          <w:color w:val="000000"/>
          <w:sz w:val="24"/>
          <w:szCs w:val="24"/>
        </w:rPr>
        <w:t>4.</w:t>
      </w:r>
      <w:r w:rsidRPr="00CA386B">
        <w:rPr>
          <w:rFonts w:ascii="宋体" w:eastAsia="宋体" w:hAnsi="宋体" w:cs="Times New Roman"/>
          <w:color w:val="000000"/>
          <w:sz w:val="24"/>
          <w:szCs w:val="24"/>
        </w:rPr>
        <w:t xml:space="preserve"> </w:t>
      </w:r>
      <w:r w:rsidRPr="00CA386B">
        <w:rPr>
          <w:rFonts w:ascii="宋体" w:eastAsia="宋体" w:hAnsi="宋体" w:cs="Times New Roman" w:hint="eastAsia"/>
          <w:color w:val="000000"/>
          <w:sz w:val="24"/>
          <w:szCs w:val="24"/>
        </w:rPr>
        <w:t>无穷小与无穷大；</w:t>
      </w:r>
    </w:p>
    <w:p w14:paraId="2C8F1B7D" w14:textId="77777777" w:rsidR="00CA386B" w:rsidRPr="00CA386B" w:rsidRDefault="00CA386B" w:rsidP="00CA386B">
      <w:pPr>
        <w:adjustRightInd w:val="0"/>
        <w:snapToGrid w:val="0"/>
        <w:spacing w:line="440" w:lineRule="exact"/>
        <w:ind w:firstLineChars="236" w:firstLine="566"/>
        <w:rPr>
          <w:rFonts w:ascii="宋体" w:eastAsia="宋体" w:hAnsi="宋体" w:cs="Times New Roman"/>
          <w:color w:val="000000"/>
          <w:sz w:val="24"/>
          <w:szCs w:val="24"/>
        </w:rPr>
      </w:pPr>
      <w:r w:rsidRPr="00CA386B">
        <w:rPr>
          <w:rFonts w:ascii="宋体" w:eastAsia="宋体" w:hAnsi="宋体" w:cs="Times New Roman" w:hint="eastAsia"/>
          <w:color w:val="000000"/>
          <w:sz w:val="24"/>
          <w:szCs w:val="24"/>
        </w:rPr>
        <w:t>5. 极限运算法则；</w:t>
      </w:r>
    </w:p>
    <w:p w14:paraId="091E67A0" w14:textId="77777777" w:rsidR="00CA386B" w:rsidRPr="00CA386B" w:rsidRDefault="00CA386B" w:rsidP="00CA386B">
      <w:pPr>
        <w:adjustRightInd w:val="0"/>
        <w:snapToGrid w:val="0"/>
        <w:spacing w:line="440" w:lineRule="exact"/>
        <w:ind w:firstLineChars="236" w:firstLine="566"/>
        <w:rPr>
          <w:rFonts w:ascii="宋体" w:eastAsia="宋体" w:hAnsi="宋体" w:cs="Times New Roman"/>
          <w:color w:val="000000"/>
          <w:sz w:val="24"/>
          <w:szCs w:val="24"/>
        </w:rPr>
      </w:pPr>
      <w:r w:rsidRPr="00CA386B">
        <w:rPr>
          <w:rFonts w:ascii="宋体" w:eastAsia="宋体" w:hAnsi="宋体" w:cs="Times New Roman" w:hint="eastAsia"/>
          <w:color w:val="000000"/>
          <w:sz w:val="24"/>
          <w:szCs w:val="24"/>
        </w:rPr>
        <w:t>6. 极限存在准则、两个重要极限；</w:t>
      </w:r>
    </w:p>
    <w:p w14:paraId="6E7A171A" w14:textId="77777777" w:rsidR="00CA386B" w:rsidRPr="00CA386B" w:rsidRDefault="00CA386B" w:rsidP="00CA386B">
      <w:pPr>
        <w:adjustRightInd w:val="0"/>
        <w:snapToGrid w:val="0"/>
        <w:spacing w:line="440" w:lineRule="exact"/>
        <w:ind w:firstLineChars="236" w:firstLine="566"/>
        <w:rPr>
          <w:rFonts w:ascii="宋体" w:eastAsia="宋体" w:hAnsi="宋体" w:cs="Times New Roman"/>
          <w:color w:val="000000"/>
          <w:sz w:val="24"/>
          <w:szCs w:val="24"/>
        </w:rPr>
      </w:pPr>
      <w:r w:rsidRPr="00CA386B">
        <w:rPr>
          <w:rFonts w:ascii="宋体" w:eastAsia="宋体" w:hAnsi="宋体" w:cs="Times New Roman" w:hint="eastAsia"/>
          <w:color w:val="000000"/>
          <w:sz w:val="24"/>
          <w:szCs w:val="24"/>
        </w:rPr>
        <w:t xml:space="preserve">7. </w:t>
      </w:r>
      <w:r w:rsidRPr="00CA386B">
        <w:rPr>
          <w:rFonts w:ascii="宋体" w:eastAsia="宋体" w:hAnsi="宋体" w:cs="Times New Roman" w:hint="eastAsia"/>
          <w:sz w:val="24"/>
          <w:szCs w:val="24"/>
        </w:rPr>
        <w:t>无穷小的比较；</w:t>
      </w:r>
    </w:p>
    <w:p w14:paraId="5CD52034" w14:textId="77777777" w:rsidR="00CA386B" w:rsidRPr="00CA386B" w:rsidRDefault="00CA386B" w:rsidP="00CA386B">
      <w:pPr>
        <w:adjustRightInd w:val="0"/>
        <w:snapToGrid w:val="0"/>
        <w:spacing w:line="440" w:lineRule="exact"/>
        <w:ind w:firstLineChars="236" w:firstLine="566"/>
        <w:rPr>
          <w:rFonts w:ascii="宋体" w:eastAsia="宋体" w:hAnsi="宋体" w:cs="Times New Roman"/>
          <w:color w:val="000000"/>
          <w:sz w:val="24"/>
          <w:szCs w:val="24"/>
        </w:rPr>
      </w:pPr>
      <w:r w:rsidRPr="00CA386B">
        <w:rPr>
          <w:rFonts w:ascii="宋体" w:eastAsia="宋体" w:hAnsi="宋体" w:cs="Times New Roman" w:hint="eastAsia"/>
          <w:color w:val="000000"/>
          <w:sz w:val="24"/>
          <w:szCs w:val="24"/>
        </w:rPr>
        <w:lastRenderedPageBreak/>
        <w:t>8. 函数的连续性；</w:t>
      </w:r>
    </w:p>
    <w:p w14:paraId="77414A1F" w14:textId="77777777" w:rsidR="00CA386B" w:rsidRPr="00CA386B" w:rsidRDefault="00CA386B" w:rsidP="00CA386B">
      <w:pPr>
        <w:adjustRightInd w:val="0"/>
        <w:snapToGrid w:val="0"/>
        <w:spacing w:line="440" w:lineRule="exact"/>
        <w:ind w:firstLineChars="235" w:firstLine="564"/>
        <w:rPr>
          <w:rFonts w:ascii="宋体" w:eastAsia="宋体" w:hAnsi="宋体" w:cs="Times New Roman"/>
          <w:sz w:val="24"/>
          <w:szCs w:val="24"/>
        </w:rPr>
      </w:pPr>
      <w:r w:rsidRPr="00CA386B">
        <w:rPr>
          <w:rFonts w:ascii="宋体" w:eastAsia="宋体" w:hAnsi="宋体" w:cs="Times New Roman" w:hint="eastAsia"/>
          <w:color w:val="000000"/>
          <w:sz w:val="24"/>
          <w:szCs w:val="24"/>
        </w:rPr>
        <w:t>9. 闭区间上连续函数的性质。</w:t>
      </w:r>
      <w:r w:rsidRPr="00CA386B">
        <w:rPr>
          <w:rFonts w:ascii="宋体" w:eastAsia="宋体" w:hAnsi="宋体" w:cs="Times New Roman"/>
          <w:sz w:val="24"/>
          <w:szCs w:val="24"/>
        </w:rPr>
        <w:t xml:space="preserve"> </w:t>
      </w:r>
    </w:p>
    <w:p w14:paraId="1EC5824C"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【重点】</w:t>
      </w:r>
    </w:p>
    <w:p w14:paraId="1A245AFA"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函数和初等函数的概念，基本初等函数的性质；</w:t>
      </w:r>
    </w:p>
    <w:p w14:paraId="7FC2F997"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2</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无穷小量的主要性质，高阶无穷小；</w:t>
      </w:r>
    </w:p>
    <w:p w14:paraId="75EE0EB6"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3.</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极限运算</w:t>
      </w:r>
      <w:r w:rsidRPr="00CA386B">
        <w:rPr>
          <w:rFonts w:ascii="宋体" w:eastAsia="宋体" w:hAnsi="宋体" w:cs="Times New Roman"/>
          <w:sz w:val="24"/>
          <w:szCs w:val="24"/>
        </w:rPr>
        <w:t>法则</w:t>
      </w:r>
      <w:r w:rsidRPr="00CA386B">
        <w:rPr>
          <w:rFonts w:ascii="宋体" w:eastAsia="宋体" w:hAnsi="宋体" w:cs="Times New Roman" w:hint="eastAsia"/>
          <w:sz w:val="24"/>
          <w:szCs w:val="24"/>
        </w:rPr>
        <w:t>，两个</w:t>
      </w:r>
      <w:r w:rsidRPr="00CA386B">
        <w:rPr>
          <w:rFonts w:ascii="宋体" w:eastAsia="宋体" w:hAnsi="宋体" w:cs="Times New Roman"/>
          <w:sz w:val="24"/>
          <w:szCs w:val="24"/>
        </w:rPr>
        <w:t>重要极限；</w:t>
      </w:r>
    </w:p>
    <w:p w14:paraId="48B75BDF" w14:textId="77777777" w:rsidR="00CA386B" w:rsidRPr="00CA386B" w:rsidRDefault="00CA386B" w:rsidP="00CA386B">
      <w:pPr>
        <w:spacing w:line="440" w:lineRule="exact"/>
        <w:ind w:firstLineChars="200" w:firstLine="480"/>
        <w:rPr>
          <w:rFonts w:ascii="宋体" w:eastAsia="宋体" w:hAnsi="宋体" w:cs="Times New Roman"/>
          <w:b/>
          <w:sz w:val="24"/>
          <w:szCs w:val="24"/>
        </w:rPr>
      </w:pPr>
      <w:r w:rsidRPr="00CA386B">
        <w:rPr>
          <w:rFonts w:ascii="宋体" w:eastAsia="宋体" w:hAnsi="宋体" w:cs="Times New Roman" w:hint="eastAsia"/>
          <w:sz w:val="24"/>
          <w:szCs w:val="24"/>
        </w:rPr>
        <w:t>3.</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函数的连续性，函数的间断点，连续函数的运算法则，初等函数的连续性。</w:t>
      </w:r>
    </w:p>
    <w:p w14:paraId="3D4C4850"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【难点】</w:t>
      </w:r>
    </w:p>
    <w:p w14:paraId="327EF7C9" w14:textId="77777777" w:rsidR="00CA386B" w:rsidRPr="00CA386B" w:rsidRDefault="00CA386B" w:rsidP="00CA386B">
      <w:pPr>
        <w:spacing w:line="440" w:lineRule="exact"/>
        <w:ind w:firstLineChars="196" w:firstLine="470"/>
        <w:rPr>
          <w:rFonts w:ascii="宋体" w:eastAsia="宋体" w:hAnsi="宋体" w:cs="Times New Roman"/>
          <w:b/>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复合函数；</w:t>
      </w:r>
    </w:p>
    <w:p w14:paraId="4BF4A1E0"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2</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极限的概念与性质，两个重要极限，极限的计算；</w:t>
      </w:r>
    </w:p>
    <w:p w14:paraId="02F2EFA3"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Times New Roman" w:hint="eastAsia"/>
          <w:sz w:val="24"/>
          <w:szCs w:val="24"/>
        </w:rPr>
        <w:t>3.</w:t>
      </w:r>
      <w:r w:rsidRPr="00CA386B">
        <w:rPr>
          <w:rFonts w:ascii="宋体" w:eastAsia="宋体" w:hAnsi="宋体" w:cs="宋体" w:hint="eastAsia"/>
          <w:sz w:val="24"/>
          <w:szCs w:val="24"/>
        </w:rPr>
        <w:t xml:space="preserve"> 函数的连续性。</w:t>
      </w:r>
    </w:p>
    <w:p w14:paraId="3CDFEAD9" w14:textId="77777777" w:rsidR="00CA386B" w:rsidRPr="00CA386B" w:rsidRDefault="00CA386B" w:rsidP="00CA386B">
      <w:pPr>
        <w:spacing w:line="440" w:lineRule="exact"/>
        <w:ind w:firstLineChars="200" w:firstLine="482"/>
        <w:rPr>
          <w:rFonts w:ascii="宋体" w:eastAsia="宋体" w:hAnsi="宋体" w:cs="宋体"/>
          <w:color w:val="FF0000"/>
          <w:sz w:val="24"/>
          <w:szCs w:val="24"/>
        </w:rPr>
      </w:pPr>
      <w:r w:rsidRPr="00CA386B">
        <w:rPr>
          <w:rFonts w:ascii="宋体" w:eastAsia="宋体" w:hAnsi="宋体" w:cs="宋体" w:hint="eastAsia"/>
          <w:b/>
          <w:bCs/>
          <w:sz w:val="24"/>
          <w:szCs w:val="24"/>
        </w:rPr>
        <w:t>【教学方法】</w:t>
      </w:r>
    </w:p>
    <w:p w14:paraId="75416E3C" w14:textId="77777777" w:rsidR="00CA386B" w:rsidRPr="00CA386B" w:rsidRDefault="00CA386B" w:rsidP="00CA386B">
      <w:pPr>
        <w:widowControl/>
        <w:spacing w:line="440" w:lineRule="exact"/>
        <w:ind w:firstLineChars="200" w:firstLine="480"/>
        <w:rPr>
          <w:rFonts w:ascii="宋体" w:eastAsia="宋体" w:hAnsi="宋体" w:cs="宋体"/>
          <w:kern w:val="0"/>
          <w:sz w:val="24"/>
          <w:szCs w:val="24"/>
        </w:rPr>
      </w:pPr>
      <w:r w:rsidRPr="00CA386B">
        <w:rPr>
          <w:rFonts w:ascii="宋体" w:eastAsia="宋体" w:hAnsi="宋体" w:cs="宋体" w:hint="eastAsia"/>
          <w:kern w:val="0"/>
          <w:sz w:val="24"/>
          <w:szCs w:val="24"/>
        </w:rPr>
        <w:t>1.</w:t>
      </w:r>
      <w:r w:rsidRPr="00CA386B">
        <w:rPr>
          <w:rFonts w:ascii="宋体" w:eastAsia="宋体" w:hAnsi="宋体" w:cs="宋体"/>
          <w:kern w:val="0"/>
          <w:sz w:val="24"/>
          <w:szCs w:val="24"/>
        </w:rPr>
        <w:t xml:space="preserve"> </w:t>
      </w:r>
      <w:r w:rsidRPr="00CA386B">
        <w:rPr>
          <w:rFonts w:ascii="宋体" w:eastAsia="宋体" w:hAnsi="宋体" w:cs="宋体" w:hint="eastAsia"/>
          <w:kern w:val="0"/>
          <w:sz w:val="24"/>
          <w:szCs w:val="24"/>
        </w:rPr>
        <w:t>采用传统教学与多媒体课件相结合的方法，用课堂讲授的方法详细阐述本课程的基本概念、基本理论及计算方法，培养学生基本数学素养和数学能力；</w:t>
      </w:r>
    </w:p>
    <w:p w14:paraId="6A2ED7C0" w14:textId="77777777" w:rsidR="00CA386B" w:rsidRPr="00CA386B" w:rsidRDefault="00CA386B" w:rsidP="00CA386B">
      <w:pPr>
        <w:widowControl/>
        <w:spacing w:line="440" w:lineRule="exact"/>
        <w:ind w:firstLineChars="200" w:firstLine="480"/>
        <w:rPr>
          <w:rFonts w:ascii="宋体" w:eastAsia="宋体" w:hAnsi="宋体" w:cs="宋体"/>
          <w:kern w:val="0"/>
          <w:sz w:val="24"/>
          <w:szCs w:val="24"/>
        </w:rPr>
      </w:pPr>
      <w:r w:rsidRPr="00CA386B">
        <w:rPr>
          <w:rFonts w:ascii="宋体" w:eastAsia="宋体" w:hAnsi="宋体" w:cs="宋体" w:hint="eastAsia"/>
          <w:kern w:val="0"/>
          <w:sz w:val="24"/>
          <w:szCs w:val="24"/>
        </w:rPr>
        <w:t>2. 采用启发式教学方法进行授课，培养学生发现问题、分析问题、解决问题的能力；</w:t>
      </w:r>
    </w:p>
    <w:p w14:paraId="2217C694" w14:textId="77777777" w:rsidR="00CA386B" w:rsidRPr="00CA386B" w:rsidRDefault="00CA386B" w:rsidP="00CA386B">
      <w:pPr>
        <w:widowControl/>
        <w:spacing w:line="440" w:lineRule="exact"/>
        <w:ind w:firstLineChars="200" w:firstLine="480"/>
        <w:rPr>
          <w:rFonts w:ascii="宋体" w:eastAsia="宋体" w:hAnsi="宋体" w:cs="宋体"/>
          <w:kern w:val="0"/>
          <w:sz w:val="24"/>
          <w:szCs w:val="24"/>
        </w:rPr>
      </w:pPr>
      <w:r w:rsidRPr="00CA386B">
        <w:rPr>
          <w:rFonts w:ascii="宋体" w:eastAsia="宋体" w:hAnsi="宋体" w:cs="宋体" w:hint="eastAsia"/>
          <w:kern w:val="0"/>
          <w:sz w:val="24"/>
          <w:szCs w:val="24"/>
        </w:rPr>
        <w:t>3. 采用以教师讲授为主，课堂练习、讨论为辅的讲练结合授课方式，强化学生数学计算能力和应用能力的培养。</w:t>
      </w:r>
    </w:p>
    <w:p w14:paraId="0529EFD7" w14:textId="77777777" w:rsidR="00CA386B" w:rsidRPr="00CA386B" w:rsidRDefault="00CA386B" w:rsidP="00CA386B">
      <w:pPr>
        <w:spacing w:line="440" w:lineRule="exact"/>
        <w:ind w:firstLineChars="200" w:firstLine="482"/>
        <w:rPr>
          <w:rFonts w:ascii="宋体" w:eastAsia="宋体" w:hAnsi="宋体" w:cs="Times New Roman"/>
          <w:bCs/>
          <w:color w:val="FF0000"/>
          <w:sz w:val="24"/>
          <w:szCs w:val="24"/>
        </w:rPr>
      </w:pPr>
      <w:r w:rsidRPr="00CA386B">
        <w:rPr>
          <w:rFonts w:ascii="宋体" w:eastAsia="宋体" w:hAnsi="宋体" w:cs="Times New Roman" w:hint="eastAsia"/>
          <w:b/>
          <w:sz w:val="24"/>
          <w:szCs w:val="24"/>
        </w:rPr>
        <w:t>【复习思考】</w:t>
      </w:r>
    </w:p>
    <w:p w14:paraId="34E2B6F1" w14:textId="77777777" w:rsidR="00CA386B" w:rsidRPr="00CA386B" w:rsidRDefault="00CA386B" w:rsidP="00CA386B">
      <w:pPr>
        <w:spacing w:line="440" w:lineRule="exact"/>
        <w:ind w:left="480"/>
        <w:rPr>
          <w:rFonts w:ascii="宋体" w:eastAsia="宋体" w:hAnsi="宋体" w:cs="Times New Roman"/>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无穷小量的主要性质；</w:t>
      </w:r>
      <w:r w:rsidRPr="00CA386B">
        <w:rPr>
          <w:rFonts w:ascii="宋体" w:eastAsia="宋体" w:hAnsi="宋体" w:cs="Times New Roman"/>
          <w:sz w:val="24"/>
          <w:szCs w:val="24"/>
        </w:rPr>
        <w:t xml:space="preserve"> </w:t>
      </w:r>
    </w:p>
    <w:p w14:paraId="7890F8FD"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2. 计算函数的极限；</w:t>
      </w:r>
      <w:r w:rsidRPr="00CA386B">
        <w:rPr>
          <w:rFonts w:ascii="宋体" w:eastAsia="宋体" w:hAnsi="宋体" w:cs="Times New Roman"/>
          <w:sz w:val="24"/>
          <w:szCs w:val="24"/>
        </w:rPr>
        <w:t xml:space="preserve"> </w:t>
      </w:r>
    </w:p>
    <w:p w14:paraId="6CAD0003"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3</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判断函数间断点类型。</w:t>
      </w:r>
    </w:p>
    <w:p w14:paraId="43E667E7" w14:textId="77777777" w:rsidR="00CA386B" w:rsidRPr="00CA386B" w:rsidRDefault="00CA386B" w:rsidP="00CA386B">
      <w:pPr>
        <w:spacing w:beforeLines="50" w:before="156" w:afterLines="50" w:after="156" w:line="440" w:lineRule="exact"/>
        <w:ind w:firstLineChars="200" w:firstLine="560"/>
        <w:jc w:val="center"/>
        <w:rPr>
          <w:rFonts w:ascii="黑体" w:eastAsia="黑体" w:hAnsi="黑体" w:cs="黑体"/>
          <w:bCs/>
          <w:sz w:val="28"/>
          <w:szCs w:val="28"/>
        </w:rPr>
      </w:pPr>
      <w:r w:rsidRPr="00CA386B">
        <w:rPr>
          <w:rFonts w:ascii="黑体" w:eastAsia="黑体" w:hAnsi="黑体" w:cs="黑体" w:hint="eastAsia"/>
          <w:bCs/>
          <w:sz w:val="28"/>
          <w:szCs w:val="28"/>
        </w:rPr>
        <w:t>第二章  导数与微分</w:t>
      </w:r>
    </w:p>
    <w:p w14:paraId="792CE9A6"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【学习目标】</w:t>
      </w:r>
    </w:p>
    <w:p w14:paraId="4B0C7240" w14:textId="77777777" w:rsidR="00CA386B" w:rsidRPr="00CA386B" w:rsidRDefault="00CA386B" w:rsidP="00CA386B">
      <w:pPr>
        <w:widowControl/>
        <w:spacing w:line="440" w:lineRule="exact"/>
        <w:ind w:firstLineChars="200" w:firstLine="480"/>
        <w:rPr>
          <w:rFonts w:ascii="宋体" w:eastAsia="宋体" w:hAnsi="宋体" w:cs="宋体"/>
          <w:kern w:val="0"/>
          <w:sz w:val="24"/>
          <w:szCs w:val="24"/>
        </w:rPr>
      </w:pPr>
      <w:r w:rsidRPr="00CA386B">
        <w:rPr>
          <w:rFonts w:ascii="宋体" w:eastAsia="宋体" w:hAnsi="宋体" w:cs="宋体" w:hint="eastAsia"/>
          <w:kern w:val="0"/>
          <w:sz w:val="24"/>
          <w:szCs w:val="24"/>
        </w:rPr>
        <w:t>理解导数的概念及可导性与连续性之间的关系，了解导数的几何意义，</w:t>
      </w:r>
      <w:proofErr w:type="gramStart"/>
      <w:r w:rsidRPr="00CA386B">
        <w:rPr>
          <w:rFonts w:ascii="宋体" w:eastAsia="宋体" w:hAnsi="宋体" w:cs="宋体" w:hint="eastAsia"/>
          <w:kern w:val="0"/>
          <w:sz w:val="24"/>
          <w:szCs w:val="24"/>
        </w:rPr>
        <w:t>会求平面曲线</w:t>
      </w:r>
      <w:proofErr w:type="gramEnd"/>
      <w:r w:rsidRPr="00CA386B">
        <w:rPr>
          <w:rFonts w:ascii="宋体" w:eastAsia="宋体" w:hAnsi="宋体" w:cs="宋体" w:hint="eastAsia"/>
          <w:kern w:val="0"/>
          <w:sz w:val="24"/>
          <w:szCs w:val="24"/>
        </w:rPr>
        <w:t>的切线方程和法线方程；</w:t>
      </w:r>
      <w:r w:rsidRPr="00CA386B">
        <w:rPr>
          <w:rFonts w:ascii="宋体" w:eastAsia="宋体" w:hAnsi="宋体" w:cs="Times New Roman" w:hint="eastAsia"/>
          <w:sz w:val="24"/>
          <w:szCs w:val="24"/>
        </w:rPr>
        <w:t>掌握求导的基本公式和计算初等函数导数的方法；掌握复合函数的求导方法；</w:t>
      </w:r>
      <w:proofErr w:type="gramStart"/>
      <w:r w:rsidRPr="00CA386B">
        <w:rPr>
          <w:rFonts w:ascii="宋体" w:eastAsia="宋体" w:hAnsi="宋体" w:cs="宋体" w:hint="eastAsia"/>
          <w:kern w:val="0"/>
          <w:sz w:val="24"/>
          <w:szCs w:val="24"/>
        </w:rPr>
        <w:t>会求隐函数</w:t>
      </w:r>
      <w:proofErr w:type="gramEnd"/>
      <w:r w:rsidRPr="00CA386B">
        <w:rPr>
          <w:rFonts w:ascii="宋体" w:eastAsia="宋体" w:hAnsi="宋体" w:cs="宋体" w:hint="eastAsia"/>
          <w:kern w:val="0"/>
          <w:sz w:val="24"/>
          <w:szCs w:val="24"/>
        </w:rPr>
        <w:t>的导数以及</w:t>
      </w:r>
      <w:r w:rsidRPr="00CA386B">
        <w:rPr>
          <w:rFonts w:ascii="宋体" w:eastAsia="宋体" w:hAnsi="宋体" w:cs="Times New Roman" w:hint="eastAsia"/>
          <w:sz w:val="24"/>
          <w:szCs w:val="24"/>
        </w:rPr>
        <w:t>参数方程所确定的函数的导数</w:t>
      </w:r>
      <w:r w:rsidRPr="00CA386B">
        <w:rPr>
          <w:rFonts w:ascii="宋体" w:eastAsia="宋体" w:hAnsi="宋体" w:cs="宋体" w:hint="eastAsia"/>
          <w:kern w:val="0"/>
          <w:sz w:val="24"/>
          <w:szCs w:val="24"/>
        </w:rPr>
        <w:t>；了解高阶导数的概念，理解微分的概念。</w:t>
      </w:r>
    </w:p>
    <w:p w14:paraId="3787DF49"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【学习内容】</w:t>
      </w:r>
    </w:p>
    <w:p w14:paraId="728DCBC8" w14:textId="77777777" w:rsidR="00CA386B" w:rsidRPr="00CA386B" w:rsidRDefault="00CA386B" w:rsidP="00CA386B">
      <w:pPr>
        <w:spacing w:line="440" w:lineRule="exact"/>
        <w:ind w:firstLineChars="200" w:firstLine="480"/>
        <w:rPr>
          <w:rFonts w:ascii="宋体" w:eastAsia="宋体" w:hAnsi="宋体" w:cs="Times New Roman"/>
          <w:b/>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w:t>
      </w:r>
      <w:r w:rsidRPr="00CA386B">
        <w:rPr>
          <w:rFonts w:ascii="宋体" w:eastAsia="宋体" w:hAnsi="宋体" w:cs="Times New Roman" w:hint="eastAsia"/>
          <w:sz w:val="24"/>
          <w:szCs w:val="24"/>
        </w:rPr>
        <w:t xml:space="preserve"> 导数的概念；</w:t>
      </w:r>
    </w:p>
    <w:p w14:paraId="44CFB6CF"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2</w:t>
      </w:r>
      <w:r w:rsidRPr="00CA386B">
        <w:rPr>
          <w:rFonts w:ascii="宋体" w:eastAsia="宋体" w:hAnsi="宋体" w:cs="Times New Roman"/>
          <w:sz w:val="24"/>
          <w:szCs w:val="24"/>
        </w:rPr>
        <w:t>.</w:t>
      </w:r>
      <w:r w:rsidRPr="00CA386B">
        <w:rPr>
          <w:rFonts w:ascii="宋体" w:eastAsia="宋体" w:hAnsi="宋体" w:cs="Times New Roman" w:hint="eastAsia"/>
          <w:sz w:val="24"/>
          <w:szCs w:val="24"/>
        </w:rPr>
        <w:t xml:space="preserve"> </w:t>
      </w:r>
      <w:r w:rsidRPr="00CA386B">
        <w:rPr>
          <w:rFonts w:ascii="宋体" w:eastAsia="宋体" w:hAnsi="宋体" w:cs="Times New Roman" w:hint="eastAsia"/>
          <w:color w:val="000000"/>
          <w:sz w:val="24"/>
          <w:szCs w:val="24"/>
        </w:rPr>
        <w:t>函数的和、积、商的</w:t>
      </w:r>
      <w:r w:rsidRPr="00CA386B">
        <w:rPr>
          <w:rFonts w:ascii="宋体" w:eastAsia="宋体" w:hAnsi="宋体" w:cs="Times New Roman" w:hint="eastAsia"/>
          <w:sz w:val="24"/>
          <w:szCs w:val="24"/>
        </w:rPr>
        <w:t>求导法则；</w:t>
      </w:r>
    </w:p>
    <w:p w14:paraId="6FA5067A"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lastRenderedPageBreak/>
        <w:t>3</w:t>
      </w:r>
      <w:r w:rsidRPr="00CA386B">
        <w:rPr>
          <w:rFonts w:ascii="宋体" w:eastAsia="宋体" w:hAnsi="宋体" w:cs="Times New Roman"/>
          <w:sz w:val="24"/>
          <w:szCs w:val="24"/>
        </w:rPr>
        <w:t xml:space="preserve">. </w:t>
      </w:r>
      <w:r w:rsidRPr="00CA386B">
        <w:rPr>
          <w:rFonts w:ascii="宋体" w:eastAsia="宋体" w:hAnsi="宋体" w:cs="Times New Roman" w:hint="eastAsia"/>
          <w:color w:val="000000"/>
          <w:sz w:val="24"/>
          <w:szCs w:val="24"/>
        </w:rPr>
        <w:t>复合函数的求导法则</w:t>
      </w:r>
      <w:r w:rsidRPr="00CA386B">
        <w:rPr>
          <w:rFonts w:ascii="宋体" w:eastAsia="宋体" w:hAnsi="宋体" w:cs="Times New Roman" w:hint="eastAsia"/>
          <w:sz w:val="24"/>
          <w:szCs w:val="24"/>
        </w:rPr>
        <w:t>；</w:t>
      </w:r>
    </w:p>
    <w:p w14:paraId="28F66A03"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4</w:t>
      </w:r>
      <w:r w:rsidRPr="00CA386B">
        <w:rPr>
          <w:rFonts w:ascii="宋体" w:eastAsia="宋体" w:hAnsi="宋体" w:cs="Times New Roman"/>
          <w:sz w:val="24"/>
          <w:szCs w:val="24"/>
        </w:rPr>
        <w:t>.</w:t>
      </w:r>
      <w:r w:rsidRPr="00CA386B">
        <w:rPr>
          <w:rFonts w:ascii="宋体" w:eastAsia="宋体" w:hAnsi="宋体" w:cs="Times New Roman" w:hint="eastAsia"/>
          <w:sz w:val="24"/>
          <w:szCs w:val="24"/>
        </w:rPr>
        <w:t xml:space="preserve"> 高阶导数；</w:t>
      </w:r>
    </w:p>
    <w:p w14:paraId="104DB9F4"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5. 隐函数的</w:t>
      </w:r>
      <w:r w:rsidRPr="00CA386B">
        <w:rPr>
          <w:rFonts w:ascii="宋体" w:eastAsia="宋体" w:hAnsi="宋体" w:cs="Times New Roman"/>
          <w:sz w:val="24"/>
          <w:szCs w:val="24"/>
        </w:rPr>
        <w:t>导数</w:t>
      </w:r>
      <w:r w:rsidRPr="00CA386B">
        <w:rPr>
          <w:rFonts w:ascii="宋体" w:eastAsia="宋体" w:hAnsi="宋体" w:cs="Times New Roman" w:hint="eastAsia"/>
          <w:sz w:val="24"/>
          <w:szCs w:val="24"/>
        </w:rPr>
        <w:t>及由参数方程所确定的函数的导数；</w:t>
      </w:r>
    </w:p>
    <w:p w14:paraId="10E37659"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sz w:val="24"/>
          <w:szCs w:val="24"/>
        </w:rPr>
        <w:t>6</w:t>
      </w:r>
      <w:r w:rsidRPr="00CA386B">
        <w:rPr>
          <w:rFonts w:ascii="宋体" w:eastAsia="宋体" w:hAnsi="宋体" w:cs="Times New Roman" w:hint="eastAsia"/>
          <w:sz w:val="24"/>
          <w:szCs w:val="24"/>
        </w:rPr>
        <w:t>.</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函数的微分。</w:t>
      </w:r>
    </w:p>
    <w:p w14:paraId="013FEA5C"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【重点】</w:t>
      </w:r>
    </w:p>
    <w:p w14:paraId="0C0E7D7A" w14:textId="77777777" w:rsidR="00CA386B" w:rsidRPr="00CA386B" w:rsidRDefault="00CA386B" w:rsidP="00CA386B">
      <w:pPr>
        <w:spacing w:line="440" w:lineRule="exact"/>
        <w:ind w:left="480"/>
        <w:rPr>
          <w:rFonts w:ascii="宋体" w:eastAsia="宋体" w:hAnsi="宋体" w:cs="Times New Roman"/>
          <w:sz w:val="24"/>
          <w:szCs w:val="24"/>
        </w:rPr>
      </w:pPr>
      <w:r w:rsidRPr="00CA386B">
        <w:rPr>
          <w:rFonts w:ascii="宋体" w:eastAsia="宋体" w:hAnsi="宋体" w:cs="Times New Roman" w:hint="eastAsia"/>
          <w:sz w:val="24"/>
          <w:szCs w:val="24"/>
        </w:rPr>
        <w:t>1. 导数的概念，函数的可导性与函教的连续性之间的关系；</w:t>
      </w:r>
    </w:p>
    <w:p w14:paraId="22F071B0"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2. 基本初等函数的导数，函数的和、差、积、商的导数，复合函数的导数，隐函数的导数，由参数方程所</w:t>
      </w:r>
      <w:r w:rsidRPr="00CA386B">
        <w:rPr>
          <w:rFonts w:ascii="宋体" w:eastAsia="宋体" w:hAnsi="宋体" w:cs="Times New Roman"/>
          <w:sz w:val="24"/>
          <w:szCs w:val="24"/>
        </w:rPr>
        <w:t>确定的函数</w:t>
      </w:r>
      <w:r w:rsidRPr="00CA386B">
        <w:rPr>
          <w:rFonts w:ascii="宋体" w:eastAsia="宋体" w:hAnsi="宋体" w:cs="Times New Roman" w:hint="eastAsia"/>
          <w:sz w:val="24"/>
          <w:szCs w:val="24"/>
        </w:rPr>
        <w:t>的导数；</w:t>
      </w:r>
    </w:p>
    <w:p w14:paraId="7D462D09" w14:textId="77777777" w:rsidR="00CA386B" w:rsidRPr="00CA386B" w:rsidRDefault="00CA386B" w:rsidP="00CA386B">
      <w:pPr>
        <w:spacing w:line="440" w:lineRule="exact"/>
        <w:ind w:left="480"/>
        <w:rPr>
          <w:rFonts w:ascii="宋体" w:eastAsia="宋体" w:hAnsi="宋体" w:cs="Times New Roman"/>
          <w:sz w:val="24"/>
          <w:szCs w:val="24"/>
        </w:rPr>
      </w:pPr>
      <w:r w:rsidRPr="00CA386B">
        <w:rPr>
          <w:rFonts w:ascii="宋体" w:eastAsia="宋体" w:hAnsi="宋体" w:cs="Times New Roman" w:hint="eastAsia"/>
          <w:sz w:val="24"/>
          <w:szCs w:val="24"/>
        </w:rPr>
        <w:t>3.</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微分概念，微分的几何意义，微分基本公式、微分法则，微分形式不</w:t>
      </w:r>
    </w:p>
    <w:p w14:paraId="083AAE64" w14:textId="77777777" w:rsidR="00CA386B" w:rsidRPr="00CA386B" w:rsidRDefault="00CA386B" w:rsidP="00CA386B">
      <w:pPr>
        <w:spacing w:line="440" w:lineRule="exact"/>
        <w:rPr>
          <w:rFonts w:ascii="宋体" w:eastAsia="宋体" w:hAnsi="宋体" w:cs="Times New Roman"/>
          <w:sz w:val="24"/>
          <w:szCs w:val="24"/>
        </w:rPr>
      </w:pPr>
      <w:r w:rsidRPr="00CA386B">
        <w:rPr>
          <w:rFonts w:ascii="宋体" w:eastAsia="宋体" w:hAnsi="宋体" w:cs="Times New Roman" w:hint="eastAsia"/>
          <w:sz w:val="24"/>
          <w:szCs w:val="24"/>
        </w:rPr>
        <w:t>变性。</w:t>
      </w:r>
    </w:p>
    <w:p w14:paraId="4E40F4CA"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【难点】</w:t>
      </w:r>
    </w:p>
    <w:p w14:paraId="2CFBC7A5" w14:textId="77777777" w:rsidR="00CA386B" w:rsidRPr="00CA386B" w:rsidRDefault="00CA386B" w:rsidP="00CA386B">
      <w:pPr>
        <w:spacing w:line="440" w:lineRule="exact"/>
        <w:ind w:firstLineChars="200" w:firstLine="480"/>
        <w:rPr>
          <w:rFonts w:ascii="宋体" w:eastAsia="宋体" w:hAnsi="宋体" w:cs="Times New Roman"/>
          <w:b/>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导数和微分的概念；</w:t>
      </w:r>
    </w:p>
    <w:p w14:paraId="5226CBBF"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2</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复合函数的导数，隐函数的导数，参数方程的导数。</w:t>
      </w:r>
    </w:p>
    <w:p w14:paraId="3563512E"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【教学方法】</w:t>
      </w:r>
    </w:p>
    <w:p w14:paraId="3E2E0FAD" w14:textId="77777777" w:rsidR="00CA386B" w:rsidRPr="00CA386B" w:rsidRDefault="00CA386B" w:rsidP="00CA386B">
      <w:pPr>
        <w:spacing w:line="440" w:lineRule="exact"/>
        <w:ind w:firstLineChars="200" w:firstLine="480"/>
        <w:rPr>
          <w:rFonts w:ascii="宋体" w:eastAsia="宋体" w:hAnsi="宋体" w:cs="宋体"/>
          <w:kern w:val="0"/>
          <w:sz w:val="24"/>
          <w:szCs w:val="24"/>
        </w:rPr>
      </w:pPr>
      <w:r w:rsidRPr="00CA386B">
        <w:rPr>
          <w:rFonts w:ascii="宋体" w:eastAsia="宋体" w:hAnsi="宋体" w:cs="宋体" w:hint="eastAsia"/>
          <w:kern w:val="0"/>
          <w:sz w:val="24"/>
          <w:szCs w:val="24"/>
        </w:rPr>
        <w:t>1. 采用传统教学与多媒体课件相结合的方法，用课堂讲授的方法详细阐述本课程的基本概念、基本理论及计算方法，培养学生基本数学素养和数学能力；</w:t>
      </w:r>
    </w:p>
    <w:p w14:paraId="081C4202" w14:textId="77777777" w:rsidR="00CA386B" w:rsidRPr="00CA386B" w:rsidRDefault="00CA386B" w:rsidP="00CA386B">
      <w:pPr>
        <w:widowControl/>
        <w:spacing w:line="440" w:lineRule="exact"/>
        <w:ind w:firstLineChars="200" w:firstLine="480"/>
        <w:rPr>
          <w:rFonts w:ascii="宋体" w:eastAsia="宋体" w:hAnsi="宋体" w:cs="宋体"/>
          <w:kern w:val="0"/>
          <w:sz w:val="24"/>
          <w:szCs w:val="24"/>
        </w:rPr>
      </w:pPr>
      <w:r w:rsidRPr="00CA386B">
        <w:rPr>
          <w:rFonts w:ascii="宋体" w:eastAsia="宋体" w:hAnsi="宋体" w:cs="宋体" w:hint="eastAsia"/>
          <w:kern w:val="0"/>
          <w:sz w:val="24"/>
          <w:szCs w:val="24"/>
        </w:rPr>
        <w:t>2. 采用启发式教学方法进行授课，培养学生发现问题、分析问题、解决问题的能力；</w:t>
      </w:r>
    </w:p>
    <w:p w14:paraId="3F1CF841" w14:textId="77777777" w:rsidR="00CA386B" w:rsidRPr="00CA386B" w:rsidRDefault="00CA386B" w:rsidP="00CA386B">
      <w:pPr>
        <w:widowControl/>
        <w:spacing w:line="440" w:lineRule="exact"/>
        <w:ind w:firstLineChars="200" w:firstLine="480"/>
        <w:rPr>
          <w:rFonts w:ascii="宋体" w:eastAsia="宋体" w:hAnsi="宋体" w:cs="宋体"/>
          <w:kern w:val="0"/>
          <w:sz w:val="24"/>
          <w:szCs w:val="24"/>
        </w:rPr>
      </w:pPr>
      <w:r w:rsidRPr="00CA386B">
        <w:rPr>
          <w:rFonts w:ascii="宋体" w:eastAsia="宋体" w:hAnsi="宋体" w:cs="宋体" w:hint="eastAsia"/>
          <w:kern w:val="0"/>
          <w:sz w:val="24"/>
          <w:szCs w:val="24"/>
        </w:rPr>
        <w:t>3. 采用以教师讲授为主，课堂练习、讨论为辅的讲练结合授课方式，强化学生数学计算能力和应用能力的培养。</w:t>
      </w:r>
    </w:p>
    <w:p w14:paraId="556CB1ED" w14:textId="77777777" w:rsidR="00CA386B" w:rsidRPr="00CA386B" w:rsidRDefault="00CA386B" w:rsidP="00CA386B">
      <w:pPr>
        <w:spacing w:line="440" w:lineRule="exact"/>
        <w:ind w:firstLineChars="200" w:firstLine="482"/>
        <w:rPr>
          <w:rFonts w:ascii="宋体" w:eastAsia="宋体" w:hAnsi="宋体" w:cs="Times New Roman"/>
          <w:bCs/>
          <w:color w:val="FF0000"/>
          <w:sz w:val="24"/>
          <w:szCs w:val="24"/>
        </w:rPr>
      </w:pPr>
      <w:r w:rsidRPr="00CA386B">
        <w:rPr>
          <w:rFonts w:ascii="宋体" w:eastAsia="宋体" w:hAnsi="宋体" w:cs="Times New Roman" w:hint="eastAsia"/>
          <w:b/>
          <w:sz w:val="24"/>
          <w:szCs w:val="24"/>
        </w:rPr>
        <w:t>【复习思考】</w:t>
      </w:r>
    </w:p>
    <w:p w14:paraId="45F2A28B" w14:textId="77777777" w:rsidR="00CA386B" w:rsidRPr="00CA386B" w:rsidRDefault="00CA386B" w:rsidP="00CA386B">
      <w:pPr>
        <w:spacing w:line="440" w:lineRule="exact"/>
        <w:ind w:firstLineChars="200" w:firstLine="480"/>
        <w:rPr>
          <w:rFonts w:ascii="宋体" w:eastAsia="宋体" w:hAnsi="宋体" w:cs="Times New Roman"/>
          <w:b/>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判断函数的可导性与连续性；</w:t>
      </w:r>
    </w:p>
    <w:p w14:paraId="08529959"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2</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计算复合函数的导数；</w:t>
      </w:r>
    </w:p>
    <w:p w14:paraId="63D19F8E"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3</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计算隐函数、参数方程的导数。</w:t>
      </w:r>
    </w:p>
    <w:p w14:paraId="7BE2FB93" w14:textId="77777777" w:rsidR="00CA386B" w:rsidRPr="00CA386B" w:rsidRDefault="00CA386B" w:rsidP="00CA386B">
      <w:pPr>
        <w:spacing w:beforeLines="50" w:before="156" w:afterLines="50" w:after="156" w:line="440" w:lineRule="exact"/>
        <w:ind w:firstLineChars="200" w:firstLine="560"/>
        <w:jc w:val="center"/>
        <w:rPr>
          <w:rFonts w:ascii="黑体" w:eastAsia="黑体" w:hAnsi="黑体" w:cs="黑体"/>
          <w:bCs/>
          <w:sz w:val="28"/>
          <w:szCs w:val="28"/>
        </w:rPr>
      </w:pPr>
      <w:r w:rsidRPr="00CA386B">
        <w:rPr>
          <w:rFonts w:ascii="黑体" w:eastAsia="黑体" w:hAnsi="黑体" w:cs="黑体" w:hint="eastAsia"/>
          <w:bCs/>
          <w:sz w:val="28"/>
          <w:szCs w:val="28"/>
        </w:rPr>
        <w:t>第三章  中值定理与导数的应用</w:t>
      </w:r>
    </w:p>
    <w:p w14:paraId="4DDA334F"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【学习目标】</w:t>
      </w:r>
    </w:p>
    <w:p w14:paraId="46EF2FBF" w14:textId="77777777" w:rsidR="00CA386B" w:rsidRPr="00CA386B" w:rsidRDefault="00CA386B" w:rsidP="00CA386B">
      <w:pPr>
        <w:widowControl/>
        <w:spacing w:line="440" w:lineRule="exact"/>
        <w:ind w:firstLineChars="200" w:firstLine="480"/>
        <w:rPr>
          <w:rFonts w:ascii="宋体" w:eastAsia="宋体" w:hAnsi="宋体" w:cs="宋体"/>
          <w:kern w:val="0"/>
          <w:sz w:val="24"/>
          <w:szCs w:val="24"/>
        </w:rPr>
      </w:pPr>
      <w:r w:rsidRPr="00CA386B">
        <w:rPr>
          <w:rFonts w:ascii="宋体" w:eastAsia="宋体" w:hAnsi="宋体" w:cs="宋体" w:hint="eastAsia"/>
          <w:kern w:val="0"/>
          <w:sz w:val="24"/>
          <w:szCs w:val="24"/>
        </w:rPr>
        <w:t>理解罗尔定理、拉格朗日中值定理、柯西中值定理的条件</w:t>
      </w:r>
      <w:r w:rsidRPr="00CA386B">
        <w:rPr>
          <w:rFonts w:ascii="宋体" w:eastAsia="宋体" w:hAnsi="宋体" w:cs="宋体"/>
          <w:kern w:val="0"/>
          <w:sz w:val="24"/>
          <w:szCs w:val="24"/>
        </w:rPr>
        <w:t>及结论</w:t>
      </w:r>
      <w:r w:rsidRPr="00CA386B">
        <w:rPr>
          <w:rFonts w:ascii="宋体" w:eastAsia="宋体" w:hAnsi="宋体" w:cs="宋体" w:hint="eastAsia"/>
          <w:kern w:val="0"/>
          <w:sz w:val="24"/>
          <w:szCs w:val="24"/>
        </w:rPr>
        <w:t>，简单</w:t>
      </w:r>
      <w:r w:rsidRPr="00CA386B">
        <w:rPr>
          <w:rFonts w:ascii="宋体" w:eastAsia="宋体" w:hAnsi="宋体" w:cs="宋体"/>
          <w:kern w:val="0"/>
          <w:sz w:val="24"/>
          <w:szCs w:val="24"/>
        </w:rPr>
        <w:t>了解泰勒中值定理；</w:t>
      </w:r>
      <w:r w:rsidRPr="00CA386B">
        <w:rPr>
          <w:rFonts w:ascii="宋体" w:eastAsia="宋体" w:hAnsi="宋体" w:cs="宋体" w:hint="eastAsia"/>
          <w:kern w:val="0"/>
          <w:sz w:val="24"/>
          <w:szCs w:val="24"/>
        </w:rPr>
        <w:t>会用洛必达法则求极限；会应用导数</w:t>
      </w:r>
      <w:r w:rsidRPr="00CA386B">
        <w:rPr>
          <w:rFonts w:ascii="宋体" w:eastAsia="宋体" w:hAnsi="宋体" w:cs="宋体"/>
          <w:kern w:val="0"/>
          <w:sz w:val="24"/>
          <w:szCs w:val="24"/>
        </w:rPr>
        <w:t>的性质</w:t>
      </w:r>
      <w:r w:rsidRPr="00CA386B">
        <w:rPr>
          <w:rFonts w:ascii="宋体" w:eastAsia="宋体" w:hAnsi="宋体" w:cs="宋体" w:hint="eastAsia"/>
          <w:kern w:val="0"/>
          <w:sz w:val="24"/>
          <w:szCs w:val="24"/>
        </w:rPr>
        <w:t>讨论</w:t>
      </w:r>
      <w:r w:rsidRPr="00CA386B">
        <w:rPr>
          <w:rFonts w:ascii="宋体" w:eastAsia="宋体" w:hAnsi="宋体" w:cs="Times New Roman" w:hint="eastAsia"/>
          <w:sz w:val="24"/>
          <w:szCs w:val="24"/>
        </w:rPr>
        <w:t>函数的单调性、曲线</w:t>
      </w:r>
      <w:r w:rsidRPr="00CA386B">
        <w:rPr>
          <w:rFonts w:ascii="宋体" w:eastAsia="宋体" w:hAnsi="宋体" w:cs="Times New Roman"/>
          <w:sz w:val="24"/>
          <w:szCs w:val="24"/>
        </w:rPr>
        <w:t>的</w:t>
      </w:r>
      <w:r w:rsidRPr="00CA386B">
        <w:rPr>
          <w:rFonts w:ascii="宋体" w:eastAsia="宋体" w:hAnsi="宋体" w:cs="Times New Roman" w:hint="eastAsia"/>
          <w:sz w:val="24"/>
          <w:szCs w:val="24"/>
        </w:rPr>
        <w:t>凹凸性，</w:t>
      </w:r>
      <w:proofErr w:type="gramStart"/>
      <w:r w:rsidRPr="00CA386B">
        <w:rPr>
          <w:rFonts w:ascii="宋体" w:eastAsia="宋体" w:hAnsi="宋体" w:cs="Times New Roman" w:hint="eastAsia"/>
          <w:sz w:val="24"/>
          <w:szCs w:val="24"/>
        </w:rPr>
        <w:t>会求函数</w:t>
      </w:r>
      <w:proofErr w:type="gramEnd"/>
      <w:r w:rsidRPr="00CA386B">
        <w:rPr>
          <w:rFonts w:ascii="宋体" w:eastAsia="宋体" w:hAnsi="宋体" w:cs="Times New Roman"/>
          <w:sz w:val="24"/>
          <w:szCs w:val="24"/>
        </w:rPr>
        <w:t>的</w:t>
      </w:r>
      <w:r w:rsidRPr="00CA386B">
        <w:rPr>
          <w:rFonts w:ascii="宋体" w:eastAsia="宋体" w:hAnsi="宋体" w:cs="Times New Roman" w:hint="eastAsia"/>
          <w:sz w:val="24"/>
          <w:szCs w:val="24"/>
        </w:rPr>
        <w:t>极值、曲线</w:t>
      </w:r>
      <w:r w:rsidRPr="00CA386B">
        <w:rPr>
          <w:rFonts w:ascii="宋体" w:eastAsia="宋体" w:hAnsi="宋体" w:cs="Times New Roman"/>
          <w:sz w:val="24"/>
          <w:szCs w:val="24"/>
        </w:rPr>
        <w:t>的</w:t>
      </w:r>
      <w:r w:rsidRPr="00CA386B">
        <w:rPr>
          <w:rFonts w:ascii="宋体" w:eastAsia="宋体" w:hAnsi="宋体" w:cs="Times New Roman" w:hint="eastAsia"/>
          <w:sz w:val="24"/>
          <w:szCs w:val="24"/>
        </w:rPr>
        <w:t>拐点</w:t>
      </w:r>
      <w:r w:rsidRPr="00CA386B">
        <w:rPr>
          <w:rFonts w:ascii="宋体" w:eastAsia="宋体" w:hAnsi="宋体" w:cs="宋体" w:hint="eastAsia"/>
          <w:kern w:val="0"/>
          <w:sz w:val="24"/>
          <w:szCs w:val="24"/>
        </w:rPr>
        <w:t>。</w:t>
      </w:r>
    </w:p>
    <w:p w14:paraId="61078841"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【学习内容】</w:t>
      </w:r>
    </w:p>
    <w:p w14:paraId="79030598" w14:textId="77777777" w:rsidR="00CA386B" w:rsidRPr="00CA386B" w:rsidRDefault="00CA386B" w:rsidP="00CA386B">
      <w:pPr>
        <w:spacing w:line="440" w:lineRule="exact"/>
        <w:ind w:firstLineChars="200" w:firstLine="480"/>
        <w:rPr>
          <w:rFonts w:ascii="宋体" w:eastAsia="宋体" w:hAnsi="宋体" w:cs="Times New Roman"/>
          <w:b/>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中值定理；</w:t>
      </w:r>
    </w:p>
    <w:p w14:paraId="03FA8C36"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lastRenderedPageBreak/>
        <w:t>2</w:t>
      </w:r>
      <w:r w:rsidRPr="00CA386B">
        <w:rPr>
          <w:rFonts w:ascii="宋体" w:eastAsia="宋体" w:hAnsi="宋体" w:cs="Times New Roman"/>
          <w:sz w:val="24"/>
          <w:szCs w:val="24"/>
        </w:rPr>
        <w:t>.</w:t>
      </w:r>
      <w:r w:rsidRPr="00CA386B">
        <w:rPr>
          <w:rFonts w:ascii="宋体" w:eastAsia="宋体" w:hAnsi="宋体" w:cs="Times New Roman" w:hint="eastAsia"/>
          <w:sz w:val="24"/>
          <w:szCs w:val="24"/>
        </w:rPr>
        <w:t xml:space="preserve"> 洛必达法则；</w:t>
      </w:r>
    </w:p>
    <w:p w14:paraId="3DE1ADFD"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3</w:t>
      </w:r>
      <w:r w:rsidRPr="00CA386B">
        <w:rPr>
          <w:rFonts w:ascii="宋体" w:eastAsia="宋体" w:hAnsi="宋体" w:cs="Times New Roman"/>
          <w:sz w:val="24"/>
          <w:szCs w:val="24"/>
        </w:rPr>
        <w:t>.</w:t>
      </w:r>
      <w:r w:rsidRPr="00CA386B">
        <w:rPr>
          <w:rFonts w:ascii="宋体" w:eastAsia="宋体" w:hAnsi="宋体" w:cs="Times New Roman" w:hint="eastAsia"/>
          <w:sz w:val="24"/>
          <w:szCs w:val="24"/>
        </w:rPr>
        <w:t xml:space="preserve"> 泰勒中值定理；</w:t>
      </w:r>
    </w:p>
    <w:p w14:paraId="15DC897F"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sz w:val="24"/>
          <w:szCs w:val="24"/>
        </w:rPr>
        <w:t>4.</w:t>
      </w:r>
      <w:r w:rsidRPr="00CA386B">
        <w:rPr>
          <w:rFonts w:ascii="宋体" w:eastAsia="宋体" w:hAnsi="宋体" w:cs="Times New Roman" w:hint="eastAsia"/>
          <w:sz w:val="24"/>
          <w:szCs w:val="24"/>
        </w:rPr>
        <w:t xml:space="preserve"> 函数的</w:t>
      </w:r>
      <w:r w:rsidRPr="00CA386B">
        <w:rPr>
          <w:rFonts w:ascii="宋体" w:eastAsia="宋体" w:hAnsi="宋体" w:cs="Times New Roman" w:hint="eastAsia"/>
          <w:color w:val="000000"/>
          <w:sz w:val="24"/>
          <w:szCs w:val="24"/>
        </w:rPr>
        <w:t>单调性和曲线的凹凸性</w:t>
      </w:r>
      <w:r w:rsidRPr="00CA386B">
        <w:rPr>
          <w:rFonts w:ascii="宋体" w:eastAsia="宋体" w:hAnsi="宋体" w:cs="Times New Roman" w:hint="eastAsia"/>
          <w:sz w:val="24"/>
          <w:szCs w:val="24"/>
        </w:rPr>
        <w:t>；</w:t>
      </w:r>
    </w:p>
    <w:p w14:paraId="489384A9" w14:textId="77777777" w:rsidR="00CA386B" w:rsidRPr="00CA386B" w:rsidRDefault="00CA386B" w:rsidP="00CA386B">
      <w:pPr>
        <w:spacing w:line="440" w:lineRule="exact"/>
        <w:ind w:firstLineChars="200" w:firstLine="480"/>
        <w:rPr>
          <w:rFonts w:ascii="宋体" w:eastAsia="宋体" w:hAnsi="宋体" w:cs="Times New Roman"/>
          <w:color w:val="000000"/>
          <w:sz w:val="24"/>
          <w:szCs w:val="24"/>
        </w:rPr>
      </w:pPr>
      <w:r w:rsidRPr="00CA386B">
        <w:rPr>
          <w:rFonts w:ascii="宋体" w:eastAsia="宋体" w:hAnsi="宋体" w:cs="Times New Roman"/>
          <w:sz w:val="24"/>
          <w:szCs w:val="24"/>
        </w:rPr>
        <w:t>5.</w:t>
      </w:r>
      <w:r w:rsidRPr="00CA386B">
        <w:rPr>
          <w:rFonts w:ascii="宋体" w:eastAsia="宋体" w:hAnsi="宋体" w:cs="Times New Roman" w:hint="eastAsia"/>
          <w:color w:val="000000"/>
          <w:sz w:val="24"/>
          <w:szCs w:val="24"/>
        </w:rPr>
        <w:t xml:space="preserve"> 函数的极值和最大值最小值。</w:t>
      </w:r>
    </w:p>
    <w:p w14:paraId="5E5511B9"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【重点】</w:t>
      </w:r>
    </w:p>
    <w:p w14:paraId="0095C73E" w14:textId="77777777" w:rsidR="00CA386B" w:rsidRPr="00CA386B" w:rsidRDefault="00CA386B" w:rsidP="00CA386B">
      <w:pPr>
        <w:widowControl/>
        <w:spacing w:line="440" w:lineRule="exact"/>
        <w:ind w:firstLineChars="196" w:firstLine="470"/>
        <w:rPr>
          <w:rFonts w:ascii="宋体" w:eastAsia="宋体" w:hAnsi="宋体" w:cs="Times New Roman"/>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罗尔定理、拉格朗日中值定理、柯西中值定理，洛必达法则；</w:t>
      </w:r>
    </w:p>
    <w:p w14:paraId="0D09519F" w14:textId="77777777" w:rsidR="00CA386B" w:rsidRPr="00CA386B" w:rsidRDefault="00CA386B" w:rsidP="00CA386B">
      <w:pPr>
        <w:widowControl/>
        <w:spacing w:line="440" w:lineRule="exact"/>
        <w:ind w:firstLineChars="196" w:firstLine="470"/>
        <w:rPr>
          <w:rFonts w:ascii="宋体" w:eastAsia="宋体" w:hAnsi="宋体" w:cs="Times New Roman"/>
          <w:sz w:val="24"/>
          <w:szCs w:val="24"/>
        </w:rPr>
      </w:pPr>
      <w:r w:rsidRPr="00CA386B">
        <w:rPr>
          <w:rFonts w:ascii="宋体" w:eastAsia="宋体" w:hAnsi="宋体" w:cs="Times New Roman" w:hint="eastAsia"/>
          <w:sz w:val="24"/>
          <w:szCs w:val="24"/>
        </w:rPr>
        <w:t>2</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函数的单调性及其判别，函数的极值及其求法，函数的最值及其应用；</w:t>
      </w:r>
    </w:p>
    <w:p w14:paraId="398CE7CD" w14:textId="77777777" w:rsidR="00CA386B" w:rsidRPr="00CA386B" w:rsidRDefault="00CA386B" w:rsidP="00CA386B">
      <w:pPr>
        <w:widowControl/>
        <w:spacing w:line="440" w:lineRule="exact"/>
        <w:ind w:firstLineChars="196" w:firstLine="470"/>
        <w:rPr>
          <w:rFonts w:ascii="宋体" w:eastAsia="宋体" w:hAnsi="宋体" w:cs="Times New Roman"/>
          <w:b/>
          <w:sz w:val="24"/>
          <w:szCs w:val="24"/>
        </w:rPr>
      </w:pPr>
      <w:r w:rsidRPr="00CA386B">
        <w:rPr>
          <w:rFonts w:ascii="宋体" w:eastAsia="宋体" w:hAnsi="宋体" w:cs="Times New Roman" w:hint="eastAsia"/>
          <w:sz w:val="24"/>
          <w:szCs w:val="24"/>
        </w:rPr>
        <w:t>3. 曲线的凹凸性与拐点。</w:t>
      </w:r>
    </w:p>
    <w:p w14:paraId="6DA57ACD"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【难点】</w:t>
      </w:r>
    </w:p>
    <w:p w14:paraId="0064EC09"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洛必达法则的应用。</w:t>
      </w:r>
    </w:p>
    <w:p w14:paraId="3ABFB590" w14:textId="77777777" w:rsidR="00CA386B" w:rsidRPr="00CA386B" w:rsidRDefault="00CA386B" w:rsidP="00CA386B">
      <w:pPr>
        <w:spacing w:line="440" w:lineRule="exact"/>
        <w:ind w:firstLineChars="200" w:firstLine="482"/>
        <w:rPr>
          <w:rFonts w:ascii="宋体" w:eastAsia="宋体" w:hAnsi="宋体" w:cs="Times New Roman"/>
          <w:b/>
          <w:bCs/>
          <w:sz w:val="24"/>
          <w:szCs w:val="24"/>
        </w:rPr>
      </w:pPr>
      <w:r w:rsidRPr="00CA386B">
        <w:rPr>
          <w:rFonts w:ascii="宋体" w:eastAsia="宋体" w:hAnsi="宋体" w:cs="Times New Roman" w:hint="eastAsia"/>
          <w:b/>
          <w:bCs/>
          <w:sz w:val="24"/>
          <w:szCs w:val="24"/>
        </w:rPr>
        <w:t>【教学方法】</w:t>
      </w:r>
    </w:p>
    <w:p w14:paraId="67A53A2A" w14:textId="77777777" w:rsidR="00CA386B" w:rsidRPr="00CA386B" w:rsidRDefault="00CA386B" w:rsidP="00CA386B">
      <w:pPr>
        <w:spacing w:line="440" w:lineRule="exact"/>
        <w:ind w:firstLineChars="200" w:firstLine="480"/>
        <w:rPr>
          <w:rFonts w:ascii="宋体" w:eastAsia="宋体" w:hAnsi="宋体" w:cs="宋体"/>
          <w:kern w:val="0"/>
          <w:sz w:val="24"/>
          <w:szCs w:val="24"/>
        </w:rPr>
      </w:pPr>
      <w:r w:rsidRPr="00CA386B">
        <w:rPr>
          <w:rFonts w:ascii="宋体" w:eastAsia="宋体" w:hAnsi="宋体" w:cs="宋体" w:hint="eastAsia"/>
          <w:kern w:val="0"/>
          <w:sz w:val="24"/>
          <w:szCs w:val="24"/>
        </w:rPr>
        <w:t>1. 采用传统教学与多媒体课件相结合的方法，用课堂讲授的方法详细阐述本课程的基本概念、基本理论及计算方法，培养学生基本数学素养和数学能力；</w:t>
      </w:r>
    </w:p>
    <w:p w14:paraId="48B55837" w14:textId="77777777" w:rsidR="00CA386B" w:rsidRPr="00CA386B" w:rsidRDefault="00CA386B" w:rsidP="00CA386B">
      <w:pPr>
        <w:widowControl/>
        <w:spacing w:line="440" w:lineRule="exact"/>
        <w:ind w:firstLineChars="200" w:firstLine="480"/>
        <w:rPr>
          <w:rFonts w:ascii="宋体" w:eastAsia="宋体" w:hAnsi="宋体" w:cs="宋体"/>
          <w:kern w:val="0"/>
          <w:sz w:val="24"/>
          <w:szCs w:val="24"/>
        </w:rPr>
      </w:pPr>
      <w:r w:rsidRPr="00CA386B">
        <w:rPr>
          <w:rFonts w:ascii="宋体" w:eastAsia="宋体" w:hAnsi="宋体" w:cs="宋体" w:hint="eastAsia"/>
          <w:kern w:val="0"/>
          <w:sz w:val="24"/>
          <w:szCs w:val="24"/>
        </w:rPr>
        <w:t>2. 采用以教师讲授为主，课堂练习、讨论为辅的讲练结合授课方式，强化学生数学计算能力和应用能力的培养。</w:t>
      </w:r>
    </w:p>
    <w:p w14:paraId="70061297" w14:textId="77777777" w:rsidR="00CA386B" w:rsidRPr="00CA386B" w:rsidRDefault="00CA386B" w:rsidP="00CA386B">
      <w:pPr>
        <w:spacing w:line="440" w:lineRule="exact"/>
        <w:ind w:firstLineChars="200" w:firstLine="482"/>
        <w:rPr>
          <w:rFonts w:ascii="宋体" w:eastAsia="宋体" w:hAnsi="宋体" w:cs="Times New Roman"/>
          <w:bCs/>
          <w:color w:val="FF0000"/>
          <w:sz w:val="24"/>
          <w:szCs w:val="24"/>
        </w:rPr>
      </w:pPr>
      <w:r w:rsidRPr="00CA386B">
        <w:rPr>
          <w:rFonts w:ascii="宋体" w:eastAsia="宋体" w:hAnsi="宋体" w:cs="Times New Roman" w:hint="eastAsia"/>
          <w:b/>
          <w:sz w:val="24"/>
          <w:szCs w:val="24"/>
        </w:rPr>
        <w:t>【复习思考】</w:t>
      </w:r>
    </w:p>
    <w:p w14:paraId="3404182D"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sz w:val="24"/>
          <w:szCs w:val="24"/>
        </w:rPr>
        <w:t xml:space="preserve">1. </w:t>
      </w:r>
      <w:r w:rsidRPr="00CA386B">
        <w:rPr>
          <w:rFonts w:ascii="宋体" w:eastAsia="宋体" w:hAnsi="宋体" w:cs="Times New Roman" w:hint="eastAsia"/>
          <w:sz w:val="24"/>
          <w:szCs w:val="24"/>
        </w:rPr>
        <w:t>利用洛必达法则求函数极限；</w:t>
      </w:r>
    </w:p>
    <w:p w14:paraId="1C2050CA"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sz w:val="24"/>
          <w:szCs w:val="24"/>
        </w:rPr>
        <w:t xml:space="preserve">2. </w:t>
      </w:r>
      <w:r w:rsidRPr="00CA386B">
        <w:rPr>
          <w:rFonts w:ascii="宋体" w:eastAsia="宋体" w:hAnsi="宋体" w:cs="Times New Roman" w:hint="eastAsia"/>
          <w:sz w:val="24"/>
          <w:szCs w:val="24"/>
        </w:rPr>
        <w:t>判断函数的单调性、凹凸性与拐点；</w:t>
      </w:r>
    </w:p>
    <w:p w14:paraId="1EC81214"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sz w:val="24"/>
          <w:szCs w:val="24"/>
        </w:rPr>
        <w:t>3</w:t>
      </w:r>
      <w:r w:rsidRPr="00CA386B">
        <w:rPr>
          <w:rFonts w:ascii="宋体" w:eastAsia="宋体" w:hAnsi="宋体" w:cs="Times New Roman" w:hint="eastAsia"/>
          <w:sz w:val="24"/>
          <w:szCs w:val="24"/>
        </w:rPr>
        <w:t>. 计算函数的极值、最值。</w:t>
      </w:r>
    </w:p>
    <w:p w14:paraId="7C6A41AF" w14:textId="77777777" w:rsidR="00CA386B" w:rsidRPr="00CA386B" w:rsidRDefault="00CA386B" w:rsidP="00CA386B">
      <w:pPr>
        <w:spacing w:beforeLines="50" w:before="156" w:afterLines="50" w:after="156" w:line="440" w:lineRule="exact"/>
        <w:ind w:firstLineChars="200" w:firstLine="560"/>
        <w:jc w:val="center"/>
        <w:rPr>
          <w:rFonts w:ascii="黑体" w:eastAsia="黑体" w:hAnsi="黑体" w:cs="黑体"/>
          <w:bCs/>
          <w:sz w:val="28"/>
          <w:szCs w:val="28"/>
        </w:rPr>
      </w:pPr>
      <w:r w:rsidRPr="00CA386B">
        <w:rPr>
          <w:rFonts w:ascii="黑体" w:eastAsia="黑体" w:hAnsi="黑体" w:cs="黑体" w:hint="eastAsia"/>
          <w:bCs/>
          <w:sz w:val="28"/>
          <w:szCs w:val="28"/>
        </w:rPr>
        <w:t>第四章  不定积分</w:t>
      </w:r>
    </w:p>
    <w:p w14:paraId="1366CE2A"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【学习目标】</w:t>
      </w:r>
    </w:p>
    <w:p w14:paraId="69FFD0D6" w14:textId="77777777" w:rsidR="00CA386B" w:rsidRPr="00CA386B" w:rsidRDefault="00CA386B" w:rsidP="00CA386B">
      <w:pPr>
        <w:spacing w:line="440" w:lineRule="exact"/>
        <w:ind w:firstLineChars="200" w:firstLine="480"/>
        <w:rPr>
          <w:rFonts w:ascii="宋体" w:eastAsia="宋体" w:hAnsi="宋体" w:cs="宋体"/>
          <w:kern w:val="0"/>
          <w:sz w:val="24"/>
          <w:szCs w:val="24"/>
        </w:rPr>
      </w:pPr>
      <w:r w:rsidRPr="00CA386B">
        <w:rPr>
          <w:rFonts w:ascii="宋体" w:eastAsia="宋体" w:hAnsi="宋体" w:cs="宋体" w:hint="eastAsia"/>
          <w:kern w:val="0"/>
          <w:sz w:val="24"/>
          <w:szCs w:val="24"/>
        </w:rPr>
        <w:t>理解原函数与不定积分的概念，掌握不定积分的基本性质和基本积分公式，掌握不定积分的换元积分法与分部积分法。</w:t>
      </w:r>
    </w:p>
    <w:p w14:paraId="15FB88B2"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【学习内容】</w:t>
      </w:r>
    </w:p>
    <w:p w14:paraId="6DB7DE2B" w14:textId="77777777" w:rsidR="00CA386B" w:rsidRPr="00CA386B" w:rsidRDefault="00CA386B" w:rsidP="00CA386B">
      <w:pPr>
        <w:spacing w:line="440" w:lineRule="exact"/>
        <w:ind w:firstLineChars="200" w:firstLine="480"/>
        <w:rPr>
          <w:rFonts w:ascii="宋体" w:eastAsia="宋体" w:hAnsi="宋体" w:cs="Times New Roman"/>
          <w:b/>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w:t>
      </w:r>
      <w:r w:rsidRPr="00CA386B">
        <w:rPr>
          <w:rFonts w:ascii="宋体" w:eastAsia="宋体" w:hAnsi="宋体" w:cs="Times New Roman" w:hint="eastAsia"/>
          <w:sz w:val="24"/>
          <w:szCs w:val="24"/>
        </w:rPr>
        <w:t xml:space="preserve"> 不定积分的概念与性质；</w:t>
      </w:r>
    </w:p>
    <w:p w14:paraId="41D2F8BA"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2</w:t>
      </w:r>
      <w:r w:rsidRPr="00CA386B">
        <w:rPr>
          <w:rFonts w:ascii="宋体" w:eastAsia="宋体" w:hAnsi="宋体" w:cs="Times New Roman"/>
          <w:sz w:val="24"/>
          <w:szCs w:val="24"/>
        </w:rPr>
        <w:t>.</w:t>
      </w:r>
      <w:r w:rsidRPr="00CA386B">
        <w:rPr>
          <w:rFonts w:ascii="宋体" w:eastAsia="宋体" w:hAnsi="宋体" w:cs="Times New Roman" w:hint="eastAsia"/>
          <w:sz w:val="24"/>
          <w:szCs w:val="24"/>
        </w:rPr>
        <w:t xml:space="preserve"> 换元积分法；</w:t>
      </w:r>
    </w:p>
    <w:p w14:paraId="559CE0FE"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3</w:t>
      </w:r>
      <w:r w:rsidRPr="00CA386B">
        <w:rPr>
          <w:rFonts w:ascii="宋体" w:eastAsia="宋体" w:hAnsi="宋体" w:cs="Times New Roman"/>
          <w:sz w:val="24"/>
          <w:szCs w:val="24"/>
        </w:rPr>
        <w:t>.</w:t>
      </w:r>
      <w:r w:rsidRPr="00CA386B">
        <w:rPr>
          <w:rFonts w:ascii="宋体" w:eastAsia="宋体" w:hAnsi="宋体" w:cs="Times New Roman" w:hint="eastAsia"/>
          <w:sz w:val="24"/>
          <w:szCs w:val="24"/>
        </w:rPr>
        <w:t xml:space="preserve"> 分部积分法。</w:t>
      </w:r>
    </w:p>
    <w:p w14:paraId="7E705FEA"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【重点】</w:t>
      </w:r>
    </w:p>
    <w:p w14:paraId="381C8693" w14:textId="77777777" w:rsidR="00CA386B" w:rsidRPr="00CA386B" w:rsidRDefault="00CA386B" w:rsidP="00CA386B">
      <w:pPr>
        <w:spacing w:line="440" w:lineRule="exact"/>
        <w:ind w:firstLineChars="200" w:firstLine="480"/>
        <w:rPr>
          <w:rFonts w:ascii="宋体" w:eastAsia="宋体" w:hAnsi="宋体" w:cs="Times New Roman"/>
          <w:color w:val="000000"/>
          <w:sz w:val="24"/>
          <w:szCs w:val="24"/>
        </w:rPr>
      </w:pPr>
      <w:r w:rsidRPr="00CA386B">
        <w:rPr>
          <w:rFonts w:ascii="宋体" w:eastAsia="宋体" w:hAnsi="宋体" w:cs="Times New Roman" w:hint="eastAsia"/>
          <w:color w:val="000000"/>
          <w:sz w:val="24"/>
          <w:szCs w:val="24"/>
        </w:rPr>
        <w:t>1. 不定积分概念，不定积分的基本性质；</w:t>
      </w:r>
    </w:p>
    <w:p w14:paraId="396384E7" w14:textId="77777777" w:rsidR="00CA386B" w:rsidRPr="00CA386B" w:rsidRDefault="00CA386B" w:rsidP="00CA386B">
      <w:pPr>
        <w:spacing w:line="440" w:lineRule="exact"/>
        <w:ind w:firstLineChars="200" w:firstLine="480"/>
        <w:rPr>
          <w:rFonts w:ascii="宋体" w:eastAsia="宋体" w:hAnsi="宋体" w:cs="Times New Roman"/>
          <w:b/>
          <w:sz w:val="24"/>
          <w:szCs w:val="24"/>
        </w:rPr>
      </w:pPr>
      <w:r w:rsidRPr="00CA386B">
        <w:rPr>
          <w:rFonts w:ascii="宋体" w:eastAsia="宋体" w:hAnsi="宋体" w:cs="Times New Roman" w:hint="eastAsia"/>
          <w:sz w:val="24"/>
          <w:szCs w:val="24"/>
        </w:rPr>
        <w:t>2</w:t>
      </w:r>
      <w:r w:rsidRPr="00CA386B">
        <w:rPr>
          <w:rFonts w:ascii="宋体" w:eastAsia="宋体" w:hAnsi="宋体" w:cs="Times New Roman"/>
          <w:sz w:val="24"/>
          <w:szCs w:val="24"/>
        </w:rPr>
        <w:t xml:space="preserve">. </w:t>
      </w:r>
      <w:r w:rsidRPr="00CA386B">
        <w:rPr>
          <w:rFonts w:ascii="宋体" w:eastAsia="宋体" w:hAnsi="宋体" w:cs="Times New Roman" w:hint="eastAsia"/>
          <w:color w:val="000000"/>
          <w:sz w:val="24"/>
          <w:szCs w:val="24"/>
        </w:rPr>
        <w:t>不定积分的换元积分法和分部积分法。</w:t>
      </w:r>
    </w:p>
    <w:p w14:paraId="39EE610B"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【难点】</w:t>
      </w:r>
    </w:p>
    <w:p w14:paraId="090DB5A5" w14:textId="77777777" w:rsidR="00CA386B" w:rsidRPr="00CA386B" w:rsidRDefault="00CA386B" w:rsidP="00CA386B">
      <w:pPr>
        <w:spacing w:line="440" w:lineRule="exact"/>
        <w:ind w:firstLineChars="200" w:firstLine="480"/>
        <w:rPr>
          <w:rFonts w:ascii="宋体" w:eastAsia="宋体" w:hAnsi="宋体" w:cs="Times New Roman"/>
          <w:b/>
          <w:sz w:val="24"/>
          <w:szCs w:val="24"/>
        </w:rPr>
      </w:pPr>
      <w:r w:rsidRPr="00CA386B">
        <w:rPr>
          <w:rFonts w:ascii="宋体" w:eastAsia="宋体" w:hAnsi="宋体" w:cs="Times New Roman" w:hint="eastAsia"/>
          <w:sz w:val="24"/>
          <w:szCs w:val="24"/>
        </w:rPr>
        <w:lastRenderedPageBreak/>
        <w:t>1</w:t>
      </w:r>
      <w:r w:rsidRPr="00CA386B">
        <w:rPr>
          <w:rFonts w:ascii="宋体" w:eastAsia="宋体" w:hAnsi="宋体" w:cs="Times New Roman"/>
          <w:sz w:val="24"/>
          <w:szCs w:val="24"/>
        </w:rPr>
        <w:t xml:space="preserve">. </w:t>
      </w:r>
      <w:r w:rsidRPr="00CA386B">
        <w:rPr>
          <w:rFonts w:ascii="宋体" w:eastAsia="宋体" w:hAnsi="宋体" w:cs="Times New Roman" w:hint="eastAsia"/>
          <w:color w:val="000000"/>
          <w:sz w:val="24"/>
          <w:szCs w:val="24"/>
        </w:rPr>
        <w:t>不定积分的换元积分法；</w:t>
      </w:r>
    </w:p>
    <w:p w14:paraId="6DFE3BD4"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2</w:t>
      </w:r>
      <w:r w:rsidRPr="00CA386B">
        <w:rPr>
          <w:rFonts w:ascii="宋体" w:eastAsia="宋体" w:hAnsi="宋体" w:cs="Times New Roman"/>
          <w:sz w:val="24"/>
          <w:szCs w:val="24"/>
        </w:rPr>
        <w:t xml:space="preserve">. </w:t>
      </w:r>
      <w:r w:rsidRPr="00CA386B">
        <w:rPr>
          <w:rFonts w:ascii="宋体" w:eastAsia="宋体" w:hAnsi="宋体" w:cs="Times New Roman" w:hint="eastAsia"/>
          <w:color w:val="000000"/>
          <w:sz w:val="24"/>
          <w:szCs w:val="24"/>
        </w:rPr>
        <w:t>不定积分的分部积分法。</w:t>
      </w:r>
    </w:p>
    <w:p w14:paraId="4D4A1965" w14:textId="77777777" w:rsidR="00CA386B" w:rsidRPr="00CA386B" w:rsidRDefault="00CA386B" w:rsidP="00CA386B">
      <w:pPr>
        <w:spacing w:line="440" w:lineRule="exact"/>
        <w:ind w:firstLineChars="200" w:firstLine="482"/>
        <w:rPr>
          <w:rFonts w:ascii="宋体" w:eastAsia="宋体" w:hAnsi="宋体" w:cs="Times New Roman"/>
          <w:b/>
          <w:bCs/>
          <w:sz w:val="24"/>
          <w:szCs w:val="24"/>
        </w:rPr>
      </w:pPr>
      <w:r w:rsidRPr="00CA386B">
        <w:rPr>
          <w:rFonts w:ascii="宋体" w:eastAsia="宋体" w:hAnsi="宋体" w:cs="Times New Roman" w:hint="eastAsia"/>
          <w:b/>
          <w:bCs/>
          <w:sz w:val="24"/>
          <w:szCs w:val="24"/>
        </w:rPr>
        <w:t>【教学方法】</w:t>
      </w:r>
    </w:p>
    <w:p w14:paraId="2EBD0864" w14:textId="77777777" w:rsidR="00CA386B" w:rsidRPr="00CA386B" w:rsidRDefault="00CA386B" w:rsidP="00CA386B">
      <w:pPr>
        <w:spacing w:line="440" w:lineRule="exact"/>
        <w:ind w:left="480"/>
        <w:rPr>
          <w:rFonts w:ascii="宋体" w:eastAsia="宋体" w:hAnsi="宋体" w:cs="宋体"/>
          <w:kern w:val="0"/>
          <w:sz w:val="24"/>
          <w:szCs w:val="24"/>
        </w:rPr>
      </w:pPr>
      <w:r w:rsidRPr="00CA386B">
        <w:rPr>
          <w:rFonts w:ascii="宋体" w:eastAsia="宋体" w:hAnsi="宋体" w:cs="宋体" w:hint="eastAsia"/>
          <w:kern w:val="0"/>
          <w:sz w:val="24"/>
          <w:szCs w:val="24"/>
        </w:rPr>
        <w:t>1.</w:t>
      </w:r>
      <w:r w:rsidRPr="00CA386B">
        <w:rPr>
          <w:rFonts w:ascii="宋体" w:eastAsia="宋体" w:hAnsi="宋体" w:cs="宋体"/>
          <w:kern w:val="0"/>
          <w:sz w:val="24"/>
          <w:szCs w:val="24"/>
        </w:rPr>
        <w:t xml:space="preserve"> </w:t>
      </w:r>
      <w:r w:rsidRPr="00CA386B">
        <w:rPr>
          <w:rFonts w:ascii="宋体" w:eastAsia="宋体" w:hAnsi="宋体" w:cs="宋体" w:hint="eastAsia"/>
          <w:kern w:val="0"/>
          <w:sz w:val="24"/>
          <w:szCs w:val="24"/>
        </w:rPr>
        <w:t>采用传统教学与多媒体课件相结合的方法，用课堂讲授的方法详细</w:t>
      </w:r>
      <w:proofErr w:type="gramStart"/>
      <w:r w:rsidRPr="00CA386B">
        <w:rPr>
          <w:rFonts w:ascii="宋体" w:eastAsia="宋体" w:hAnsi="宋体" w:cs="宋体" w:hint="eastAsia"/>
          <w:kern w:val="0"/>
          <w:sz w:val="24"/>
          <w:szCs w:val="24"/>
        </w:rPr>
        <w:t>阐</w:t>
      </w:r>
      <w:proofErr w:type="gramEnd"/>
    </w:p>
    <w:p w14:paraId="24F7AFDC" w14:textId="77777777" w:rsidR="00CA386B" w:rsidRPr="00CA386B" w:rsidRDefault="00CA386B" w:rsidP="00CA386B">
      <w:pPr>
        <w:spacing w:line="440" w:lineRule="exact"/>
        <w:rPr>
          <w:rFonts w:ascii="宋体" w:eastAsia="宋体" w:hAnsi="宋体" w:cs="宋体"/>
          <w:kern w:val="0"/>
          <w:sz w:val="24"/>
          <w:szCs w:val="24"/>
        </w:rPr>
      </w:pPr>
      <w:proofErr w:type="gramStart"/>
      <w:r w:rsidRPr="00CA386B">
        <w:rPr>
          <w:rFonts w:ascii="宋体" w:eastAsia="宋体" w:hAnsi="宋体" w:cs="宋体" w:hint="eastAsia"/>
          <w:kern w:val="0"/>
          <w:sz w:val="24"/>
          <w:szCs w:val="24"/>
        </w:rPr>
        <w:t>述本课程</w:t>
      </w:r>
      <w:proofErr w:type="gramEnd"/>
      <w:r w:rsidRPr="00CA386B">
        <w:rPr>
          <w:rFonts w:ascii="宋体" w:eastAsia="宋体" w:hAnsi="宋体" w:cs="宋体" w:hint="eastAsia"/>
          <w:kern w:val="0"/>
          <w:sz w:val="24"/>
          <w:szCs w:val="24"/>
        </w:rPr>
        <w:t>的基本概念、基本理论及计算方法，培养学生基本数学素养和数学能力；</w:t>
      </w:r>
    </w:p>
    <w:p w14:paraId="4D2241FE" w14:textId="77777777" w:rsidR="00CA386B" w:rsidRPr="00CA386B" w:rsidRDefault="00CA386B" w:rsidP="00CA386B">
      <w:pPr>
        <w:widowControl/>
        <w:spacing w:line="440" w:lineRule="exact"/>
        <w:ind w:firstLineChars="200" w:firstLine="480"/>
        <w:rPr>
          <w:rFonts w:ascii="宋体" w:eastAsia="宋体" w:hAnsi="宋体" w:cs="宋体"/>
          <w:kern w:val="0"/>
          <w:sz w:val="24"/>
          <w:szCs w:val="24"/>
        </w:rPr>
      </w:pPr>
      <w:r w:rsidRPr="00CA386B">
        <w:rPr>
          <w:rFonts w:ascii="宋体" w:eastAsia="宋体" w:hAnsi="宋体" w:cs="宋体" w:hint="eastAsia"/>
          <w:kern w:val="0"/>
          <w:sz w:val="24"/>
          <w:szCs w:val="24"/>
        </w:rPr>
        <w:t>2. 采用启发式教学方法进行授课，培养学生发现问题、分析问题、解决问题的能力；</w:t>
      </w:r>
    </w:p>
    <w:p w14:paraId="364A9A85" w14:textId="77777777" w:rsidR="00CA386B" w:rsidRPr="00CA386B" w:rsidRDefault="00CA386B" w:rsidP="00CA386B">
      <w:pPr>
        <w:widowControl/>
        <w:spacing w:line="440" w:lineRule="exact"/>
        <w:ind w:firstLineChars="200" w:firstLine="480"/>
        <w:rPr>
          <w:rFonts w:ascii="宋体" w:eastAsia="宋体" w:hAnsi="宋体" w:cs="宋体"/>
          <w:kern w:val="0"/>
          <w:sz w:val="24"/>
          <w:szCs w:val="24"/>
        </w:rPr>
      </w:pPr>
      <w:r w:rsidRPr="00CA386B">
        <w:rPr>
          <w:rFonts w:ascii="宋体" w:eastAsia="宋体" w:hAnsi="宋体" w:cs="宋体" w:hint="eastAsia"/>
          <w:kern w:val="0"/>
          <w:sz w:val="24"/>
          <w:szCs w:val="24"/>
        </w:rPr>
        <w:t>3. 采用以教师讲授为主，课堂练习、讨论为辅的讲练结合授课方式，强化学生数学计算能力和应用能力的培养。</w:t>
      </w:r>
    </w:p>
    <w:p w14:paraId="6716B3B6" w14:textId="77777777" w:rsidR="00CA386B" w:rsidRPr="00CA386B" w:rsidRDefault="00CA386B" w:rsidP="00CA386B">
      <w:pPr>
        <w:spacing w:line="440" w:lineRule="exact"/>
        <w:ind w:firstLineChars="200" w:firstLine="482"/>
        <w:rPr>
          <w:rFonts w:ascii="宋体" w:eastAsia="宋体" w:hAnsi="宋体" w:cs="Times New Roman"/>
          <w:bCs/>
          <w:color w:val="FF0000"/>
          <w:sz w:val="24"/>
          <w:szCs w:val="24"/>
        </w:rPr>
      </w:pPr>
      <w:r w:rsidRPr="00CA386B">
        <w:rPr>
          <w:rFonts w:ascii="宋体" w:eastAsia="宋体" w:hAnsi="宋体" w:cs="Times New Roman" w:hint="eastAsia"/>
          <w:b/>
          <w:sz w:val="24"/>
          <w:szCs w:val="24"/>
        </w:rPr>
        <w:t>【复习思考】</w:t>
      </w:r>
    </w:p>
    <w:p w14:paraId="6CF92D53"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1. 运用换元积分法计算不定积分；</w:t>
      </w:r>
      <w:r w:rsidRPr="00CA386B">
        <w:rPr>
          <w:rFonts w:ascii="宋体" w:eastAsia="宋体" w:hAnsi="宋体" w:cs="Times New Roman"/>
          <w:sz w:val="24"/>
          <w:szCs w:val="24"/>
        </w:rPr>
        <w:t xml:space="preserve"> </w:t>
      </w:r>
    </w:p>
    <w:p w14:paraId="2E4CABAF"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2</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运用分部积分法计算不定积分。</w:t>
      </w:r>
    </w:p>
    <w:p w14:paraId="4E632D05" w14:textId="77777777" w:rsidR="00CA386B" w:rsidRPr="00CA386B" w:rsidRDefault="00CA386B" w:rsidP="00CA386B">
      <w:pPr>
        <w:spacing w:beforeLines="50" w:before="156" w:afterLines="50" w:after="156" w:line="440" w:lineRule="exact"/>
        <w:ind w:firstLineChars="200" w:firstLine="560"/>
        <w:jc w:val="center"/>
        <w:rPr>
          <w:rFonts w:ascii="黑体" w:eastAsia="黑体" w:hAnsi="黑体" w:cs="黑体"/>
          <w:sz w:val="28"/>
          <w:szCs w:val="28"/>
        </w:rPr>
      </w:pPr>
      <w:r w:rsidRPr="00CA386B">
        <w:rPr>
          <w:rFonts w:ascii="黑体" w:eastAsia="黑体" w:hAnsi="黑体" w:cs="黑体" w:hint="eastAsia"/>
          <w:sz w:val="28"/>
          <w:szCs w:val="28"/>
        </w:rPr>
        <w:t>第五章  定积分及其</w:t>
      </w:r>
      <w:r w:rsidRPr="00CA386B">
        <w:rPr>
          <w:rFonts w:ascii="黑体" w:eastAsia="黑体" w:hAnsi="黑体" w:cs="黑体"/>
          <w:sz w:val="28"/>
          <w:szCs w:val="28"/>
        </w:rPr>
        <w:t>应用</w:t>
      </w:r>
    </w:p>
    <w:p w14:paraId="4DC2E77E"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【学习目标】</w:t>
      </w:r>
    </w:p>
    <w:p w14:paraId="49379BF9" w14:textId="77777777" w:rsidR="00CA386B" w:rsidRPr="00CA386B" w:rsidRDefault="00CA386B" w:rsidP="00CA386B">
      <w:pPr>
        <w:spacing w:line="440" w:lineRule="exact"/>
        <w:ind w:firstLineChars="200" w:firstLine="480"/>
        <w:rPr>
          <w:rFonts w:ascii="宋体" w:eastAsia="宋体" w:hAnsi="宋体" w:cs="宋体"/>
          <w:kern w:val="0"/>
          <w:sz w:val="24"/>
          <w:szCs w:val="24"/>
        </w:rPr>
      </w:pPr>
      <w:r w:rsidRPr="00CA386B">
        <w:rPr>
          <w:rFonts w:ascii="宋体" w:eastAsia="宋体" w:hAnsi="宋体" w:cs="宋体" w:hint="eastAsia"/>
          <w:kern w:val="0"/>
          <w:sz w:val="24"/>
          <w:szCs w:val="24"/>
        </w:rPr>
        <w:t>了解定积分的概念、基本性质和几何意义，理解积分上限函数，</w:t>
      </w:r>
      <w:proofErr w:type="gramStart"/>
      <w:r w:rsidRPr="00CA386B">
        <w:rPr>
          <w:rFonts w:ascii="宋体" w:eastAsia="宋体" w:hAnsi="宋体" w:cs="宋体" w:hint="eastAsia"/>
          <w:kern w:val="0"/>
          <w:sz w:val="24"/>
          <w:szCs w:val="24"/>
        </w:rPr>
        <w:t>会求它</w:t>
      </w:r>
      <w:proofErr w:type="gramEnd"/>
      <w:r w:rsidRPr="00CA386B">
        <w:rPr>
          <w:rFonts w:ascii="宋体" w:eastAsia="宋体" w:hAnsi="宋体" w:cs="宋体" w:hint="eastAsia"/>
          <w:kern w:val="0"/>
          <w:sz w:val="24"/>
          <w:szCs w:val="24"/>
        </w:rPr>
        <w:t>的导数；掌握</w:t>
      </w:r>
      <w:proofErr w:type="gramStart"/>
      <w:r w:rsidRPr="00CA386B">
        <w:rPr>
          <w:rFonts w:ascii="宋体" w:eastAsia="宋体" w:hAnsi="宋体" w:cs="宋体" w:hint="eastAsia"/>
          <w:kern w:val="0"/>
          <w:sz w:val="24"/>
          <w:szCs w:val="24"/>
        </w:rPr>
        <w:t>牛顿-</w:t>
      </w:r>
      <w:proofErr w:type="gramEnd"/>
      <w:r w:rsidRPr="00CA386B">
        <w:rPr>
          <w:rFonts w:ascii="宋体" w:eastAsia="宋体" w:hAnsi="宋体" w:cs="宋体" w:hint="eastAsia"/>
          <w:kern w:val="0"/>
          <w:sz w:val="24"/>
          <w:szCs w:val="24"/>
        </w:rPr>
        <w:t>莱布尼茨公式以及定积分的换元积分法和分部积分法，</w:t>
      </w:r>
      <w:r w:rsidRPr="00CA386B">
        <w:rPr>
          <w:rFonts w:ascii="宋体" w:eastAsia="宋体" w:hAnsi="宋体" w:cs="Times New Roman" w:hint="eastAsia"/>
          <w:color w:val="000000"/>
          <w:sz w:val="24"/>
          <w:szCs w:val="24"/>
        </w:rPr>
        <w:t>了解定积分在几何上的应用</w:t>
      </w:r>
      <w:r w:rsidRPr="00CA386B">
        <w:rPr>
          <w:rFonts w:ascii="宋体" w:eastAsia="宋体" w:hAnsi="宋体" w:cs="宋体" w:hint="eastAsia"/>
          <w:kern w:val="0"/>
          <w:sz w:val="24"/>
          <w:szCs w:val="24"/>
        </w:rPr>
        <w:t>。</w:t>
      </w:r>
    </w:p>
    <w:p w14:paraId="75677911"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【学习内容】</w:t>
      </w:r>
    </w:p>
    <w:p w14:paraId="1D9C8AAC" w14:textId="77777777" w:rsidR="00CA386B" w:rsidRPr="00CA386B" w:rsidRDefault="00CA386B" w:rsidP="00CA386B">
      <w:pPr>
        <w:adjustRightInd w:val="0"/>
        <w:snapToGrid w:val="0"/>
        <w:spacing w:line="440" w:lineRule="exact"/>
        <w:ind w:firstLineChars="200" w:firstLine="480"/>
        <w:rPr>
          <w:rFonts w:ascii="宋体" w:eastAsia="宋体" w:hAnsi="宋体" w:cs="Times New Roman"/>
          <w:b/>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w:t>
      </w:r>
      <w:r w:rsidRPr="00CA386B">
        <w:rPr>
          <w:rFonts w:ascii="宋体" w:eastAsia="宋体" w:hAnsi="宋体" w:cs="Times New Roman" w:hint="eastAsia"/>
          <w:sz w:val="24"/>
          <w:szCs w:val="24"/>
        </w:rPr>
        <w:t xml:space="preserve"> 定积分的概念与性质；</w:t>
      </w:r>
    </w:p>
    <w:p w14:paraId="1980A7F4"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2</w:t>
      </w:r>
      <w:r w:rsidRPr="00CA386B">
        <w:rPr>
          <w:rFonts w:ascii="宋体" w:eastAsia="宋体" w:hAnsi="宋体" w:cs="Times New Roman"/>
          <w:sz w:val="24"/>
          <w:szCs w:val="24"/>
        </w:rPr>
        <w:t>.</w:t>
      </w:r>
      <w:r w:rsidRPr="00CA386B">
        <w:rPr>
          <w:rFonts w:ascii="宋体" w:eastAsia="宋体" w:hAnsi="宋体" w:cs="Times New Roman" w:hint="eastAsia"/>
          <w:sz w:val="24"/>
          <w:szCs w:val="24"/>
        </w:rPr>
        <w:t xml:space="preserve"> 微积分基本公式；</w:t>
      </w:r>
    </w:p>
    <w:p w14:paraId="77B7E958"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3</w:t>
      </w:r>
      <w:r w:rsidRPr="00CA386B">
        <w:rPr>
          <w:rFonts w:ascii="宋体" w:eastAsia="宋体" w:hAnsi="宋体" w:cs="Times New Roman"/>
          <w:sz w:val="24"/>
          <w:szCs w:val="24"/>
        </w:rPr>
        <w:t>.</w:t>
      </w:r>
      <w:r w:rsidRPr="00CA386B">
        <w:rPr>
          <w:rFonts w:ascii="宋体" w:eastAsia="宋体" w:hAnsi="宋体" w:cs="Times New Roman" w:hint="eastAsia"/>
          <w:sz w:val="24"/>
          <w:szCs w:val="24"/>
        </w:rPr>
        <w:t xml:space="preserve"> 定积分的换元法与分部积分法；</w:t>
      </w:r>
    </w:p>
    <w:p w14:paraId="657FCD87"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4</w:t>
      </w:r>
      <w:r w:rsidRPr="00CA386B">
        <w:rPr>
          <w:rFonts w:ascii="宋体" w:eastAsia="宋体" w:hAnsi="宋体" w:cs="Times New Roman"/>
          <w:sz w:val="24"/>
          <w:szCs w:val="24"/>
        </w:rPr>
        <w:t>.</w:t>
      </w:r>
      <w:r w:rsidRPr="00CA386B">
        <w:rPr>
          <w:rFonts w:ascii="宋体" w:eastAsia="宋体" w:hAnsi="宋体" w:cs="Times New Roman" w:hint="eastAsia"/>
          <w:sz w:val="24"/>
          <w:szCs w:val="24"/>
        </w:rPr>
        <w:t xml:space="preserve"> 定积分在</w:t>
      </w:r>
      <w:r w:rsidRPr="00CA386B">
        <w:rPr>
          <w:rFonts w:ascii="宋体" w:eastAsia="宋体" w:hAnsi="宋体" w:cs="Times New Roman"/>
          <w:sz w:val="24"/>
          <w:szCs w:val="24"/>
        </w:rPr>
        <w:t>几何上的应用</w:t>
      </w:r>
      <w:r w:rsidRPr="00CA386B">
        <w:rPr>
          <w:rFonts w:ascii="宋体" w:eastAsia="宋体" w:hAnsi="宋体" w:cs="Times New Roman" w:hint="eastAsia"/>
          <w:sz w:val="24"/>
          <w:szCs w:val="24"/>
        </w:rPr>
        <w:t>。</w:t>
      </w:r>
    </w:p>
    <w:p w14:paraId="72FC97EB"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【重点】</w:t>
      </w:r>
    </w:p>
    <w:p w14:paraId="5F5D1771"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定积分概念，定积分的几何意义，定积分的基本性质；</w:t>
      </w:r>
    </w:p>
    <w:p w14:paraId="11593AAC" w14:textId="77777777" w:rsidR="00CA386B" w:rsidRPr="00CA386B" w:rsidRDefault="00CA386B" w:rsidP="00CA386B">
      <w:pPr>
        <w:spacing w:line="440" w:lineRule="exact"/>
        <w:ind w:firstLineChars="200" w:firstLine="480"/>
        <w:rPr>
          <w:rFonts w:ascii="宋体" w:eastAsia="宋体" w:hAnsi="宋体" w:cs="宋体"/>
          <w:kern w:val="0"/>
          <w:sz w:val="24"/>
          <w:szCs w:val="24"/>
        </w:rPr>
      </w:pPr>
      <w:r w:rsidRPr="00CA386B">
        <w:rPr>
          <w:rFonts w:ascii="宋体" w:eastAsia="宋体" w:hAnsi="宋体" w:cs="Times New Roman" w:hint="eastAsia"/>
          <w:sz w:val="24"/>
          <w:szCs w:val="24"/>
        </w:rPr>
        <w:t>2</w:t>
      </w:r>
      <w:r w:rsidRPr="00CA386B">
        <w:rPr>
          <w:rFonts w:ascii="宋体" w:eastAsia="宋体" w:hAnsi="宋体" w:cs="Times New Roman"/>
          <w:sz w:val="24"/>
          <w:szCs w:val="24"/>
        </w:rPr>
        <w:t xml:space="preserve">. </w:t>
      </w:r>
      <w:proofErr w:type="gramStart"/>
      <w:r w:rsidRPr="00CA386B">
        <w:rPr>
          <w:rFonts w:ascii="宋体" w:eastAsia="宋体" w:hAnsi="宋体" w:cs="宋体" w:hint="eastAsia"/>
          <w:kern w:val="0"/>
          <w:sz w:val="24"/>
          <w:szCs w:val="24"/>
        </w:rPr>
        <w:t>牛顿-</w:t>
      </w:r>
      <w:proofErr w:type="gramEnd"/>
      <w:r w:rsidRPr="00CA386B">
        <w:rPr>
          <w:rFonts w:ascii="宋体" w:eastAsia="宋体" w:hAnsi="宋体" w:cs="宋体" w:hint="eastAsia"/>
          <w:kern w:val="0"/>
          <w:sz w:val="24"/>
          <w:szCs w:val="24"/>
        </w:rPr>
        <w:t>莱布尼茨公式；</w:t>
      </w:r>
    </w:p>
    <w:p w14:paraId="272C8C30"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宋体" w:hint="eastAsia"/>
          <w:kern w:val="0"/>
          <w:sz w:val="24"/>
          <w:szCs w:val="24"/>
        </w:rPr>
        <w:t xml:space="preserve">3. </w:t>
      </w:r>
      <w:r w:rsidRPr="00CA386B">
        <w:rPr>
          <w:rFonts w:ascii="宋体" w:eastAsia="宋体" w:hAnsi="宋体" w:cs="Times New Roman" w:hint="eastAsia"/>
          <w:sz w:val="24"/>
          <w:szCs w:val="24"/>
        </w:rPr>
        <w:t>定积分的换元积分法和分部积分法。</w:t>
      </w:r>
    </w:p>
    <w:p w14:paraId="730ACDA6" w14:textId="77777777" w:rsidR="00CA386B" w:rsidRPr="00CA386B" w:rsidRDefault="00CA386B" w:rsidP="00CA386B">
      <w:pPr>
        <w:spacing w:line="440" w:lineRule="exact"/>
        <w:ind w:firstLineChars="200" w:firstLine="482"/>
        <w:rPr>
          <w:rFonts w:ascii="宋体" w:eastAsia="宋体" w:hAnsi="宋体" w:cs="Times New Roman"/>
          <w:b/>
          <w:sz w:val="24"/>
          <w:szCs w:val="24"/>
        </w:rPr>
      </w:pPr>
      <w:r w:rsidRPr="00CA386B">
        <w:rPr>
          <w:rFonts w:ascii="宋体" w:eastAsia="宋体" w:hAnsi="宋体" w:cs="Times New Roman" w:hint="eastAsia"/>
          <w:b/>
          <w:sz w:val="24"/>
          <w:szCs w:val="24"/>
        </w:rPr>
        <w:t>【难点】</w:t>
      </w:r>
    </w:p>
    <w:p w14:paraId="00804CB3" w14:textId="77777777" w:rsidR="00CA386B" w:rsidRPr="00CA386B" w:rsidRDefault="00CA386B" w:rsidP="00CA386B">
      <w:pPr>
        <w:spacing w:line="440" w:lineRule="exact"/>
        <w:ind w:firstLineChars="200" w:firstLine="480"/>
        <w:rPr>
          <w:rFonts w:ascii="宋体" w:eastAsia="宋体" w:hAnsi="宋体" w:cs="Times New Roman"/>
          <w:b/>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定积分的换元积分法；</w:t>
      </w:r>
    </w:p>
    <w:p w14:paraId="550B1803"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2</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定积分的分部积分法。</w:t>
      </w:r>
    </w:p>
    <w:p w14:paraId="25A512A5" w14:textId="77777777" w:rsidR="00CA386B" w:rsidRPr="00CA386B" w:rsidRDefault="00CA386B" w:rsidP="00CA386B">
      <w:pPr>
        <w:spacing w:line="440" w:lineRule="exact"/>
        <w:ind w:firstLineChars="200" w:firstLine="482"/>
        <w:rPr>
          <w:rFonts w:ascii="宋体" w:eastAsia="宋体" w:hAnsi="宋体" w:cs="Times New Roman"/>
          <w:b/>
          <w:bCs/>
          <w:sz w:val="24"/>
          <w:szCs w:val="24"/>
        </w:rPr>
      </w:pPr>
      <w:r w:rsidRPr="00CA386B">
        <w:rPr>
          <w:rFonts w:ascii="宋体" w:eastAsia="宋体" w:hAnsi="宋体" w:cs="Times New Roman" w:hint="eastAsia"/>
          <w:b/>
          <w:bCs/>
          <w:sz w:val="24"/>
          <w:szCs w:val="24"/>
        </w:rPr>
        <w:t>【教学方法】</w:t>
      </w:r>
    </w:p>
    <w:p w14:paraId="48C903EE" w14:textId="77777777" w:rsidR="00CA386B" w:rsidRPr="00CA386B" w:rsidRDefault="00CA386B" w:rsidP="00CA386B">
      <w:pPr>
        <w:spacing w:line="440" w:lineRule="exact"/>
        <w:ind w:firstLineChars="200" w:firstLine="480"/>
        <w:rPr>
          <w:rFonts w:ascii="宋体" w:eastAsia="宋体" w:hAnsi="宋体" w:cs="宋体"/>
          <w:kern w:val="0"/>
          <w:sz w:val="24"/>
          <w:szCs w:val="24"/>
        </w:rPr>
      </w:pPr>
      <w:r w:rsidRPr="00CA386B">
        <w:rPr>
          <w:rFonts w:ascii="宋体" w:eastAsia="宋体" w:hAnsi="宋体" w:cs="宋体" w:hint="eastAsia"/>
          <w:kern w:val="0"/>
          <w:sz w:val="24"/>
          <w:szCs w:val="24"/>
        </w:rPr>
        <w:t>1.</w:t>
      </w:r>
      <w:r w:rsidRPr="00CA386B">
        <w:rPr>
          <w:rFonts w:ascii="宋体" w:eastAsia="宋体" w:hAnsi="宋体" w:cs="宋体"/>
          <w:kern w:val="0"/>
          <w:sz w:val="24"/>
          <w:szCs w:val="24"/>
        </w:rPr>
        <w:t xml:space="preserve"> </w:t>
      </w:r>
      <w:r w:rsidRPr="00CA386B">
        <w:rPr>
          <w:rFonts w:ascii="宋体" w:eastAsia="宋体" w:hAnsi="宋体" w:cs="宋体" w:hint="eastAsia"/>
          <w:kern w:val="0"/>
          <w:sz w:val="24"/>
          <w:szCs w:val="24"/>
        </w:rPr>
        <w:t>采用传统教学与多媒体课件相结合的方法，用课堂讲授的方法详细阐述本课</w:t>
      </w:r>
      <w:r w:rsidRPr="00CA386B">
        <w:rPr>
          <w:rFonts w:ascii="宋体" w:eastAsia="宋体" w:hAnsi="宋体" w:cs="宋体" w:hint="eastAsia"/>
          <w:kern w:val="0"/>
          <w:sz w:val="24"/>
          <w:szCs w:val="24"/>
        </w:rPr>
        <w:lastRenderedPageBreak/>
        <w:t>程的基本概念、基本理论及计算方法，培养学生基本数学素养和数学能力；</w:t>
      </w:r>
    </w:p>
    <w:p w14:paraId="62A89FF2" w14:textId="77777777" w:rsidR="00CA386B" w:rsidRPr="00CA386B" w:rsidRDefault="00CA386B" w:rsidP="00CA386B">
      <w:pPr>
        <w:widowControl/>
        <w:spacing w:line="440" w:lineRule="exact"/>
        <w:ind w:firstLineChars="200" w:firstLine="480"/>
        <w:rPr>
          <w:rFonts w:ascii="宋体" w:eastAsia="宋体" w:hAnsi="宋体" w:cs="Times New Roman"/>
          <w:sz w:val="24"/>
          <w:szCs w:val="24"/>
        </w:rPr>
      </w:pPr>
      <w:r w:rsidRPr="00CA386B">
        <w:rPr>
          <w:rFonts w:ascii="宋体" w:eastAsia="宋体" w:hAnsi="宋体" w:cs="宋体" w:hint="eastAsia"/>
          <w:kern w:val="0"/>
          <w:sz w:val="24"/>
          <w:szCs w:val="24"/>
        </w:rPr>
        <w:t>2. 采用以教师讲授为主，课堂练习、讨论为辅的讲练结合授课方式，强化学生数学计算能力和应用能力的培养。</w:t>
      </w:r>
    </w:p>
    <w:p w14:paraId="7A0CE2A0" w14:textId="77777777" w:rsidR="00CA386B" w:rsidRPr="00CA386B" w:rsidRDefault="00CA386B" w:rsidP="00CA386B">
      <w:pPr>
        <w:spacing w:line="440" w:lineRule="exact"/>
        <w:ind w:firstLineChars="200" w:firstLine="482"/>
        <w:rPr>
          <w:rFonts w:ascii="宋体" w:eastAsia="宋体" w:hAnsi="宋体" w:cs="Times New Roman"/>
          <w:bCs/>
          <w:color w:val="FF0000"/>
          <w:sz w:val="24"/>
          <w:szCs w:val="24"/>
        </w:rPr>
      </w:pPr>
      <w:r w:rsidRPr="00CA386B">
        <w:rPr>
          <w:rFonts w:ascii="宋体" w:eastAsia="宋体" w:hAnsi="宋体" w:cs="Times New Roman" w:hint="eastAsia"/>
          <w:b/>
          <w:sz w:val="24"/>
          <w:szCs w:val="24"/>
        </w:rPr>
        <w:t>【复习思考】</w:t>
      </w:r>
    </w:p>
    <w:p w14:paraId="5B5EFA8D" w14:textId="77777777" w:rsidR="00CA386B" w:rsidRPr="00CA386B" w:rsidRDefault="00CA386B" w:rsidP="00CA386B">
      <w:pPr>
        <w:spacing w:line="440" w:lineRule="exact"/>
        <w:ind w:firstLineChars="200" w:firstLine="480"/>
        <w:rPr>
          <w:rFonts w:ascii="宋体" w:eastAsia="宋体" w:hAnsi="宋体" w:cs="Times New Roman"/>
          <w:b/>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 xml:space="preserve">. </w:t>
      </w:r>
      <w:proofErr w:type="gramStart"/>
      <w:r w:rsidRPr="00CA386B">
        <w:rPr>
          <w:rFonts w:ascii="宋体" w:eastAsia="宋体" w:hAnsi="宋体" w:cs="宋体" w:hint="eastAsia"/>
          <w:kern w:val="0"/>
          <w:sz w:val="24"/>
          <w:szCs w:val="24"/>
        </w:rPr>
        <w:t>牛顿-</w:t>
      </w:r>
      <w:proofErr w:type="gramEnd"/>
      <w:r w:rsidRPr="00CA386B">
        <w:rPr>
          <w:rFonts w:ascii="宋体" w:eastAsia="宋体" w:hAnsi="宋体" w:cs="宋体" w:hint="eastAsia"/>
          <w:kern w:val="0"/>
          <w:sz w:val="24"/>
          <w:szCs w:val="24"/>
        </w:rPr>
        <w:t>莱布尼茨公式的运用；</w:t>
      </w:r>
    </w:p>
    <w:p w14:paraId="65BED8C0"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2</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运用换元积分法计算定积分；</w:t>
      </w:r>
    </w:p>
    <w:p w14:paraId="658E1C4F"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hint="eastAsia"/>
          <w:sz w:val="24"/>
          <w:szCs w:val="24"/>
        </w:rPr>
        <w:t>3</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运用分部积分法计算定积分。</w:t>
      </w:r>
    </w:p>
    <w:p w14:paraId="17E0E562" w14:textId="77777777" w:rsidR="00CA386B" w:rsidRPr="00CA386B" w:rsidRDefault="00CA386B" w:rsidP="00CA386B">
      <w:pPr>
        <w:spacing w:beforeLines="50" w:before="156" w:afterLines="50" w:after="156" w:line="440" w:lineRule="exact"/>
        <w:ind w:firstLineChars="200" w:firstLine="560"/>
        <w:outlineLvl w:val="2"/>
        <w:rPr>
          <w:rFonts w:ascii="仿宋" w:eastAsia="仿宋" w:hAnsi="仿宋" w:cs="Times New Roman"/>
          <w:sz w:val="24"/>
          <w:szCs w:val="28"/>
        </w:rPr>
      </w:pPr>
      <w:r w:rsidRPr="00CA386B">
        <w:rPr>
          <w:rFonts w:ascii="Times New Roman" w:eastAsia="黑体" w:hAnsi="Times New Roman" w:cs="Times New Roman" w:hint="eastAsia"/>
          <w:sz w:val="28"/>
          <w:szCs w:val="28"/>
        </w:rPr>
        <w:t>（二）课程学习内容与课程学习目标的对应关系</w:t>
      </w:r>
      <w:r w:rsidRPr="00CA386B">
        <w:rPr>
          <w:rFonts w:ascii="仿宋" w:eastAsia="仿宋" w:hAnsi="仿宋" w:cs="Times New Roman" w:hint="eastAsia"/>
          <w:sz w:val="24"/>
          <w:szCs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81"/>
        <w:gridCol w:w="2398"/>
        <w:gridCol w:w="1999"/>
        <w:gridCol w:w="1260"/>
      </w:tblGrid>
      <w:tr w:rsidR="00CA386B" w:rsidRPr="00CA386B" w14:paraId="696C4FB8" w14:textId="77777777" w:rsidTr="00B602D6">
        <w:trPr>
          <w:trHeight w:val="660"/>
          <w:jc w:val="center"/>
        </w:trPr>
        <w:tc>
          <w:tcPr>
            <w:tcW w:w="2281" w:type="dxa"/>
            <w:vAlign w:val="center"/>
          </w:tcPr>
          <w:p w14:paraId="29CC9C8C" w14:textId="77777777" w:rsidR="00CA386B" w:rsidRPr="00CA386B" w:rsidRDefault="00CA386B" w:rsidP="00CA386B">
            <w:pPr>
              <w:spacing w:line="440" w:lineRule="exact"/>
              <w:jc w:val="center"/>
              <w:rPr>
                <w:rFonts w:ascii="宋体" w:eastAsia="宋体" w:hAnsi="宋体" w:cs="Times New Roman"/>
                <w:b/>
                <w:bCs/>
                <w:sz w:val="24"/>
                <w:szCs w:val="24"/>
              </w:rPr>
            </w:pPr>
            <w:r w:rsidRPr="00CA386B">
              <w:rPr>
                <w:rFonts w:ascii="宋体" w:eastAsia="宋体" w:hAnsi="宋体" w:cs="Times New Roman" w:hint="eastAsia"/>
                <w:b/>
                <w:bCs/>
                <w:sz w:val="24"/>
                <w:szCs w:val="24"/>
              </w:rPr>
              <w:t>课程学习内容</w:t>
            </w:r>
          </w:p>
        </w:tc>
        <w:tc>
          <w:tcPr>
            <w:tcW w:w="2398" w:type="dxa"/>
            <w:vAlign w:val="center"/>
          </w:tcPr>
          <w:p w14:paraId="299E6653" w14:textId="77777777" w:rsidR="00CA386B" w:rsidRPr="00CA386B" w:rsidRDefault="00CA386B" w:rsidP="00CA386B">
            <w:pPr>
              <w:spacing w:line="440" w:lineRule="exact"/>
              <w:jc w:val="center"/>
              <w:rPr>
                <w:rFonts w:ascii="宋体" w:eastAsia="宋体" w:hAnsi="宋体" w:cs="Times New Roman"/>
                <w:b/>
                <w:bCs/>
                <w:sz w:val="24"/>
                <w:szCs w:val="24"/>
              </w:rPr>
            </w:pPr>
            <w:r w:rsidRPr="00CA386B">
              <w:rPr>
                <w:rFonts w:ascii="宋体" w:eastAsia="宋体" w:hAnsi="宋体" w:cs="Times New Roman" w:hint="eastAsia"/>
                <w:b/>
                <w:bCs/>
                <w:sz w:val="24"/>
                <w:szCs w:val="24"/>
              </w:rPr>
              <w:t>教学方法</w:t>
            </w:r>
          </w:p>
        </w:tc>
        <w:tc>
          <w:tcPr>
            <w:tcW w:w="1999" w:type="dxa"/>
            <w:vAlign w:val="center"/>
          </w:tcPr>
          <w:p w14:paraId="3CC85239" w14:textId="77777777" w:rsidR="00CA386B" w:rsidRPr="00CA386B" w:rsidRDefault="00CA386B" w:rsidP="00CA386B">
            <w:pPr>
              <w:spacing w:line="440" w:lineRule="exact"/>
              <w:jc w:val="center"/>
              <w:rPr>
                <w:rFonts w:ascii="宋体" w:eastAsia="宋体" w:hAnsi="宋体" w:cs="Times New Roman"/>
                <w:b/>
                <w:bCs/>
                <w:sz w:val="24"/>
                <w:szCs w:val="24"/>
              </w:rPr>
            </w:pPr>
            <w:r w:rsidRPr="00CA386B">
              <w:rPr>
                <w:rFonts w:ascii="宋体" w:eastAsia="宋体" w:hAnsi="宋体" w:cs="Times New Roman" w:hint="eastAsia"/>
                <w:b/>
                <w:bCs/>
                <w:sz w:val="24"/>
                <w:szCs w:val="24"/>
              </w:rPr>
              <w:t>支撑的课程目标</w:t>
            </w:r>
          </w:p>
        </w:tc>
        <w:tc>
          <w:tcPr>
            <w:tcW w:w="1260" w:type="dxa"/>
            <w:vAlign w:val="center"/>
          </w:tcPr>
          <w:p w14:paraId="6C0726E7" w14:textId="77777777" w:rsidR="00CA386B" w:rsidRPr="00CA386B" w:rsidRDefault="00CA386B" w:rsidP="00CA386B">
            <w:pPr>
              <w:spacing w:line="440" w:lineRule="exact"/>
              <w:jc w:val="center"/>
              <w:rPr>
                <w:rFonts w:ascii="宋体" w:eastAsia="宋体" w:hAnsi="宋体" w:cs="Times New Roman"/>
                <w:b/>
                <w:bCs/>
                <w:sz w:val="24"/>
                <w:szCs w:val="24"/>
              </w:rPr>
            </w:pPr>
            <w:r w:rsidRPr="00CA386B">
              <w:rPr>
                <w:rFonts w:ascii="宋体" w:eastAsia="宋体" w:hAnsi="宋体" w:cs="Times New Roman" w:hint="eastAsia"/>
                <w:b/>
                <w:bCs/>
                <w:sz w:val="24"/>
                <w:szCs w:val="24"/>
              </w:rPr>
              <w:t>学时安排</w:t>
            </w:r>
          </w:p>
        </w:tc>
      </w:tr>
      <w:tr w:rsidR="00CA386B" w:rsidRPr="00CA386B" w14:paraId="1F5C97F2" w14:textId="77777777" w:rsidTr="00B602D6">
        <w:trPr>
          <w:trHeight w:val="514"/>
          <w:jc w:val="center"/>
        </w:trPr>
        <w:tc>
          <w:tcPr>
            <w:tcW w:w="2281" w:type="dxa"/>
            <w:vAlign w:val="center"/>
          </w:tcPr>
          <w:p w14:paraId="7B3B43F2" w14:textId="77777777" w:rsidR="00CA386B" w:rsidRPr="00CA386B" w:rsidRDefault="00CA386B" w:rsidP="00CA386B">
            <w:pPr>
              <w:spacing w:line="440" w:lineRule="exact"/>
              <w:jc w:val="left"/>
              <w:rPr>
                <w:rFonts w:ascii="宋体" w:eastAsia="宋体" w:hAnsi="宋体" w:cs="Times New Roman"/>
                <w:sz w:val="24"/>
                <w:szCs w:val="24"/>
              </w:rPr>
            </w:pPr>
            <w:r w:rsidRPr="00CA386B">
              <w:rPr>
                <w:rFonts w:ascii="宋体" w:eastAsia="宋体" w:hAnsi="宋体" w:cs="Times New Roman" w:hint="eastAsia"/>
                <w:sz w:val="24"/>
                <w:szCs w:val="24"/>
              </w:rPr>
              <w:t xml:space="preserve">第一章 函数与极限 </w:t>
            </w:r>
          </w:p>
        </w:tc>
        <w:tc>
          <w:tcPr>
            <w:tcW w:w="2398" w:type="dxa"/>
            <w:vAlign w:val="center"/>
          </w:tcPr>
          <w:p w14:paraId="2BAA8FA7"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讲授法、启发式教学、讲练结合</w:t>
            </w:r>
          </w:p>
        </w:tc>
        <w:tc>
          <w:tcPr>
            <w:tcW w:w="1999" w:type="dxa"/>
            <w:vAlign w:val="center"/>
          </w:tcPr>
          <w:p w14:paraId="4955D382"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课程</w:t>
            </w:r>
            <w:r w:rsidRPr="00CA386B">
              <w:rPr>
                <w:rFonts w:ascii="宋体" w:eastAsia="宋体" w:hAnsi="宋体" w:cs="Times New Roman"/>
                <w:sz w:val="24"/>
                <w:szCs w:val="24"/>
              </w:rPr>
              <w:t>目标</w:t>
            </w:r>
            <w:r w:rsidRPr="00CA386B">
              <w:rPr>
                <w:rFonts w:ascii="宋体" w:eastAsia="宋体" w:hAnsi="宋体" w:cs="Times New Roman" w:hint="eastAsia"/>
                <w:sz w:val="24"/>
                <w:szCs w:val="24"/>
              </w:rPr>
              <w:t>1、2、3、4</w:t>
            </w:r>
          </w:p>
        </w:tc>
        <w:tc>
          <w:tcPr>
            <w:tcW w:w="1260" w:type="dxa"/>
            <w:vAlign w:val="center"/>
          </w:tcPr>
          <w:p w14:paraId="7C9FF3E5"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sz w:val="24"/>
                <w:szCs w:val="24"/>
              </w:rPr>
              <w:t>14</w:t>
            </w:r>
          </w:p>
        </w:tc>
      </w:tr>
      <w:tr w:rsidR="00CA386B" w:rsidRPr="00CA386B" w14:paraId="73E07C96" w14:textId="77777777" w:rsidTr="00B602D6">
        <w:trPr>
          <w:trHeight w:val="825"/>
          <w:jc w:val="center"/>
        </w:trPr>
        <w:tc>
          <w:tcPr>
            <w:tcW w:w="2281" w:type="dxa"/>
            <w:vAlign w:val="center"/>
          </w:tcPr>
          <w:p w14:paraId="3E3DED37" w14:textId="77777777" w:rsidR="00CA386B" w:rsidRPr="00CA386B" w:rsidRDefault="00CA386B" w:rsidP="00CA386B">
            <w:pPr>
              <w:spacing w:line="440" w:lineRule="exact"/>
              <w:jc w:val="left"/>
              <w:rPr>
                <w:rFonts w:ascii="宋体" w:eastAsia="宋体" w:hAnsi="宋体" w:cs="Times New Roman"/>
                <w:sz w:val="24"/>
                <w:szCs w:val="24"/>
              </w:rPr>
            </w:pPr>
            <w:r w:rsidRPr="00CA386B">
              <w:rPr>
                <w:rFonts w:ascii="宋体" w:eastAsia="宋体" w:hAnsi="宋体" w:cs="Times New Roman" w:hint="eastAsia"/>
                <w:sz w:val="24"/>
                <w:szCs w:val="24"/>
              </w:rPr>
              <w:t>第二章 导数与微分</w:t>
            </w:r>
          </w:p>
        </w:tc>
        <w:tc>
          <w:tcPr>
            <w:tcW w:w="2398" w:type="dxa"/>
            <w:vAlign w:val="center"/>
          </w:tcPr>
          <w:p w14:paraId="68C229B3"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讲授法、启发式教学、讲练结合</w:t>
            </w:r>
          </w:p>
        </w:tc>
        <w:tc>
          <w:tcPr>
            <w:tcW w:w="1999" w:type="dxa"/>
            <w:vAlign w:val="center"/>
          </w:tcPr>
          <w:p w14:paraId="7BC6A63E"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课程目标1、2、3</w:t>
            </w:r>
          </w:p>
        </w:tc>
        <w:tc>
          <w:tcPr>
            <w:tcW w:w="1260" w:type="dxa"/>
            <w:vAlign w:val="center"/>
          </w:tcPr>
          <w:p w14:paraId="0EE4A026"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2</w:t>
            </w:r>
          </w:p>
        </w:tc>
      </w:tr>
      <w:tr w:rsidR="00CA386B" w:rsidRPr="00CA386B" w14:paraId="1D5047AA" w14:textId="77777777" w:rsidTr="00B602D6">
        <w:trPr>
          <w:jc w:val="center"/>
        </w:trPr>
        <w:tc>
          <w:tcPr>
            <w:tcW w:w="2281" w:type="dxa"/>
            <w:vAlign w:val="center"/>
          </w:tcPr>
          <w:p w14:paraId="06187BD5" w14:textId="77777777" w:rsidR="00CA386B" w:rsidRPr="00CA386B" w:rsidRDefault="00CA386B" w:rsidP="00CA386B">
            <w:pPr>
              <w:spacing w:line="440" w:lineRule="exact"/>
              <w:jc w:val="left"/>
              <w:rPr>
                <w:rFonts w:ascii="宋体" w:eastAsia="宋体" w:hAnsi="宋体" w:cs="Times New Roman"/>
                <w:sz w:val="24"/>
                <w:szCs w:val="24"/>
              </w:rPr>
            </w:pPr>
            <w:r w:rsidRPr="00CA386B">
              <w:rPr>
                <w:rFonts w:ascii="宋体" w:eastAsia="宋体" w:hAnsi="宋体" w:cs="Times New Roman" w:hint="eastAsia"/>
                <w:sz w:val="24"/>
                <w:szCs w:val="24"/>
              </w:rPr>
              <w:t>第三章 中值定理与导数的应用</w:t>
            </w:r>
          </w:p>
        </w:tc>
        <w:tc>
          <w:tcPr>
            <w:tcW w:w="2398" w:type="dxa"/>
            <w:vAlign w:val="center"/>
          </w:tcPr>
          <w:p w14:paraId="74535F3C"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讲授法、讲练结合</w:t>
            </w:r>
          </w:p>
        </w:tc>
        <w:tc>
          <w:tcPr>
            <w:tcW w:w="1999" w:type="dxa"/>
            <w:vAlign w:val="center"/>
          </w:tcPr>
          <w:p w14:paraId="3D797E3A"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课程目标1、2、3、4</w:t>
            </w:r>
          </w:p>
        </w:tc>
        <w:tc>
          <w:tcPr>
            <w:tcW w:w="1260" w:type="dxa"/>
            <w:vAlign w:val="center"/>
          </w:tcPr>
          <w:p w14:paraId="78EC539B"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sz w:val="24"/>
                <w:szCs w:val="24"/>
              </w:rPr>
              <w:t>10</w:t>
            </w:r>
          </w:p>
        </w:tc>
      </w:tr>
      <w:tr w:rsidR="00CA386B" w:rsidRPr="00CA386B" w14:paraId="0DDDF34D" w14:textId="77777777" w:rsidTr="00B602D6">
        <w:trPr>
          <w:jc w:val="center"/>
        </w:trPr>
        <w:tc>
          <w:tcPr>
            <w:tcW w:w="2281" w:type="dxa"/>
            <w:vAlign w:val="center"/>
          </w:tcPr>
          <w:p w14:paraId="2BD9FD08" w14:textId="77777777" w:rsidR="00CA386B" w:rsidRPr="00CA386B" w:rsidRDefault="00CA386B" w:rsidP="00CA386B">
            <w:pPr>
              <w:spacing w:line="440" w:lineRule="exact"/>
              <w:jc w:val="left"/>
              <w:rPr>
                <w:rFonts w:ascii="宋体" w:eastAsia="宋体" w:hAnsi="宋体" w:cs="Times New Roman"/>
                <w:sz w:val="24"/>
                <w:szCs w:val="24"/>
              </w:rPr>
            </w:pPr>
            <w:r w:rsidRPr="00CA386B">
              <w:rPr>
                <w:rFonts w:ascii="宋体" w:eastAsia="宋体" w:hAnsi="宋体" w:cs="Times New Roman" w:hint="eastAsia"/>
                <w:sz w:val="24"/>
                <w:szCs w:val="24"/>
              </w:rPr>
              <w:t>第四章 不定积分</w:t>
            </w:r>
          </w:p>
        </w:tc>
        <w:tc>
          <w:tcPr>
            <w:tcW w:w="2398" w:type="dxa"/>
            <w:vAlign w:val="center"/>
          </w:tcPr>
          <w:p w14:paraId="64CCDF31"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讲授法、启发式教学、讲练结合</w:t>
            </w:r>
          </w:p>
        </w:tc>
        <w:tc>
          <w:tcPr>
            <w:tcW w:w="1999" w:type="dxa"/>
            <w:vAlign w:val="center"/>
          </w:tcPr>
          <w:p w14:paraId="229B38FD"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课程目标1、2、3</w:t>
            </w:r>
          </w:p>
        </w:tc>
        <w:tc>
          <w:tcPr>
            <w:tcW w:w="1260" w:type="dxa"/>
            <w:vAlign w:val="center"/>
          </w:tcPr>
          <w:p w14:paraId="37E601C0"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4</w:t>
            </w:r>
          </w:p>
        </w:tc>
      </w:tr>
      <w:tr w:rsidR="00CA386B" w:rsidRPr="00CA386B" w14:paraId="2D774867" w14:textId="77777777" w:rsidTr="00B602D6">
        <w:trPr>
          <w:jc w:val="center"/>
        </w:trPr>
        <w:tc>
          <w:tcPr>
            <w:tcW w:w="2281" w:type="dxa"/>
            <w:vAlign w:val="center"/>
          </w:tcPr>
          <w:p w14:paraId="16CB8E91" w14:textId="77777777" w:rsidR="00CA386B" w:rsidRPr="00CA386B" w:rsidRDefault="00CA386B" w:rsidP="00CA386B">
            <w:pPr>
              <w:spacing w:line="440" w:lineRule="exact"/>
              <w:jc w:val="left"/>
              <w:rPr>
                <w:rFonts w:ascii="宋体" w:eastAsia="宋体" w:hAnsi="宋体" w:cs="Times New Roman"/>
                <w:sz w:val="24"/>
                <w:szCs w:val="24"/>
              </w:rPr>
            </w:pPr>
            <w:r w:rsidRPr="00CA386B">
              <w:rPr>
                <w:rFonts w:ascii="宋体" w:eastAsia="宋体" w:hAnsi="宋体" w:cs="Times New Roman" w:hint="eastAsia"/>
                <w:sz w:val="24"/>
                <w:szCs w:val="24"/>
              </w:rPr>
              <w:t>第五章  定积分及其</w:t>
            </w:r>
            <w:r w:rsidRPr="00CA386B">
              <w:rPr>
                <w:rFonts w:ascii="宋体" w:eastAsia="宋体" w:hAnsi="宋体" w:cs="Times New Roman"/>
                <w:sz w:val="24"/>
                <w:szCs w:val="24"/>
              </w:rPr>
              <w:t>应用</w:t>
            </w:r>
          </w:p>
        </w:tc>
        <w:tc>
          <w:tcPr>
            <w:tcW w:w="2398" w:type="dxa"/>
            <w:vAlign w:val="center"/>
          </w:tcPr>
          <w:p w14:paraId="1A290FFE"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讲授法、讲练结合</w:t>
            </w:r>
          </w:p>
        </w:tc>
        <w:tc>
          <w:tcPr>
            <w:tcW w:w="1999" w:type="dxa"/>
            <w:vAlign w:val="center"/>
          </w:tcPr>
          <w:p w14:paraId="34574968"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课程目标1、2、3、4</w:t>
            </w:r>
          </w:p>
        </w:tc>
        <w:tc>
          <w:tcPr>
            <w:tcW w:w="1260" w:type="dxa"/>
            <w:vAlign w:val="center"/>
          </w:tcPr>
          <w:p w14:paraId="13A7F539"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hint="eastAsia"/>
                <w:sz w:val="24"/>
                <w:szCs w:val="24"/>
              </w:rPr>
              <w:t>1</w:t>
            </w:r>
            <w:r w:rsidRPr="00CA386B">
              <w:rPr>
                <w:rFonts w:ascii="宋体" w:eastAsia="宋体" w:hAnsi="宋体" w:cs="Times New Roman"/>
                <w:sz w:val="24"/>
                <w:szCs w:val="24"/>
              </w:rPr>
              <w:t>4</w:t>
            </w:r>
          </w:p>
        </w:tc>
      </w:tr>
      <w:tr w:rsidR="00CA386B" w:rsidRPr="00CA386B" w14:paraId="4045B875" w14:textId="77777777" w:rsidTr="00B602D6">
        <w:trPr>
          <w:jc w:val="center"/>
        </w:trPr>
        <w:tc>
          <w:tcPr>
            <w:tcW w:w="6678" w:type="dxa"/>
            <w:gridSpan w:val="3"/>
            <w:vAlign w:val="center"/>
          </w:tcPr>
          <w:p w14:paraId="54214FD7" w14:textId="77777777" w:rsidR="00CA386B" w:rsidRPr="00CA386B" w:rsidRDefault="00CA386B" w:rsidP="00CA386B">
            <w:pPr>
              <w:spacing w:line="440" w:lineRule="exact"/>
              <w:jc w:val="center"/>
              <w:rPr>
                <w:rFonts w:ascii="宋体" w:eastAsia="宋体" w:hAnsi="宋体" w:cs="Times New Roman"/>
                <w:b/>
                <w:sz w:val="24"/>
                <w:szCs w:val="24"/>
              </w:rPr>
            </w:pPr>
            <w:r w:rsidRPr="00CA386B">
              <w:rPr>
                <w:rFonts w:ascii="宋体" w:eastAsia="宋体" w:hAnsi="宋体" w:cs="Times New Roman" w:hint="eastAsia"/>
                <w:b/>
                <w:sz w:val="24"/>
                <w:szCs w:val="24"/>
              </w:rPr>
              <w:t>合计</w:t>
            </w:r>
          </w:p>
        </w:tc>
        <w:tc>
          <w:tcPr>
            <w:tcW w:w="1260" w:type="dxa"/>
            <w:vAlign w:val="center"/>
          </w:tcPr>
          <w:p w14:paraId="1D00BC55" w14:textId="77777777" w:rsidR="00CA386B" w:rsidRPr="00CA386B" w:rsidRDefault="00CA386B" w:rsidP="00CA386B">
            <w:pPr>
              <w:spacing w:line="440" w:lineRule="exact"/>
              <w:jc w:val="center"/>
              <w:rPr>
                <w:rFonts w:ascii="宋体" w:eastAsia="宋体" w:hAnsi="宋体" w:cs="Times New Roman"/>
                <w:sz w:val="24"/>
                <w:szCs w:val="24"/>
              </w:rPr>
            </w:pPr>
            <w:r w:rsidRPr="00CA386B">
              <w:rPr>
                <w:rFonts w:ascii="宋体" w:eastAsia="宋体" w:hAnsi="宋体" w:cs="Times New Roman"/>
                <w:sz w:val="24"/>
                <w:szCs w:val="24"/>
              </w:rPr>
              <w:t>64</w:t>
            </w:r>
          </w:p>
        </w:tc>
      </w:tr>
    </w:tbl>
    <w:p w14:paraId="4DC24774" w14:textId="77777777" w:rsidR="00CA386B" w:rsidRPr="00CA386B" w:rsidRDefault="00CA386B" w:rsidP="00CA386B">
      <w:pPr>
        <w:spacing w:beforeLines="50" w:before="156" w:afterLines="50" w:after="156" w:line="440" w:lineRule="exact"/>
        <w:ind w:firstLineChars="200" w:firstLine="560"/>
        <w:outlineLvl w:val="1"/>
        <w:rPr>
          <w:rFonts w:ascii="宋体" w:eastAsia="黑体" w:hAnsi="宋体" w:cs="Times New Roman"/>
          <w:sz w:val="24"/>
          <w:szCs w:val="28"/>
        </w:rPr>
      </w:pPr>
      <w:r w:rsidRPr="00CA386B">
        <w:rPr>
          <w:rFonts w:ascii="Times New Roman" w:eastAsia="黑体" w:hAnsi="Times New Roman" w:cs="Times New Roman" w:hint="eastAsia"/>
          <w:sz w:val="28"/>
          <w:szCs w:val="28"/>
        </w:rPr>
        <w:t>四、课程考核及与课程学习目标的对应关系</w:t>
      </w:r>
    </w:p>
    <w:p w14:paraId="313C1D03" w14:textId="77777777" w:rsidR="00CA386B" w:rsidRPr="00CA386B" w:rsidRDefault="00CA386B" w:rsidP="00CA386B">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A386B">
        <w:rPr>
          <w:rFonts w:ascii="Times New Roman" w:eastAsia="黑体" w:hAnsi="Times New Roman" w:cs="Times New Roman" w:hint="eastAsia"/>
          <w:sz w:val="28"/>
          <w:szCs w:val="28"/>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6492"/>
      </w:tblGrid>
      <w:tr w:rsidR="00CA386B" w:rsidRPr="00CA386B" w14:paraId="0052921F" w14:textId="77777777" w:rsidTr="00B602D6">
        <w:trPr>
          <w:trHeight w:val="515"/>
          <w:jc w:val="center"/>
        </w:trPr>
        <w:tc>
          <w:tcPr>
            <w:tcW w:w="1422" w:type="dxa"/>
          </w:tcPr>
          <w:p w14:paraId="6A31B6D5" w14:textId="77777777" w:rsidR="00CA386B" w:rsidRPr="00CA386B" w:rsidRDefault="00CA386B" w:rsidP="00CA386B">
            <w:pPr>
              <w:spacing w:line="440" w:lineRule="exact"/>
              <w:jc w:val="center"/>
              <w:rPr>
                <w:rFonts w:ascii="宋体" w:eastAsia="宋体" w:hAnsi="宋体" w:cs="Times New Roman"/>
                <w:b/>
                <w:sz w:val="24"/>
                <w:szCs w:val="24"/>
              </w:rPr>
            </w:pPr>
            <w:r w:rsidRPr="00CA386B">
              <w:rPr>
                <w:rFonts w:ascii="宋体" w:eastAsia="宋体" w:hAnsi="宋体" w:cs="Times New Roman" w:hint="eastAsia"/>
                <w:b/>
                <w:sz w:val="24"/>
                <w:szCs w:val="24"/>
              </w:rPr>
              <w:t>课程目标</w:t>
            </w:r>
          </w:p>
        </w:tc>
        <w:tc>
          <w:tcPr>
            <w:tcW w:w="6492" w:type="dxa"/>
            <w:vAlign w:val="center"/>
          </w:tcPr>
          <w:p w14:paraId="103FF2CE" w14:textId="77777777" w:rsidR="00CA386B" w:rsidRPr="00CA386B" w:rsidRDefault="00CA386B" w:rsidP="00CA386B">
            <w:pPr>
              <w:spacing w:line="440" w:lineRule="exact"/>
              <w:jc w:val="center"/>
              <w:rPr>
                <w:rFonts w:ascii="宋体" w:eastAsia="宋体" w:hAnsi="宋体" w:cs="Times New Roman"/>
                <w:b/>
                <w:sz w:val="24"/>
                <w:szCs w:val="24"/>
              </w:rPr>
            </w:pPr>
            <w:r w:rsidRPr="00CA386B">
              <w:rPr>
                <w:rFonts w:ascii="宋体" w:eastAsia="宋体" w:hAnsi="宋体" w:cs="Times New Roman" w:hint="eastAsia"/>
                <w:b/>
                <w:sz w:val="24"/>
                <w:szCs w:val="24"/>
              </w:rPr>
              <w:t>考核内容</w:t>
            </w:r>
          </w:p>
        </w:tc>
      </w:tr>
      <w:tr w:rsidR="00CA386B" w:rsidRPr="00CA386B" w14:paraId="18842771" w14:textId="77777777" w:rsidTr="00B602D6">
        <w:trPr>
          <w:jc w:val="center"/>
        </w:trPr>
        <w:tc>
          <w:tcPr>
            <w:tcW w:w="1422" w:type="dxa"/>
            <w:vAlign w:val="center"/>
          </w:tcPr>
          <w:p w14:paraId="7ABC5519" w14:textId="77777777" w:rsidR="00CA386B" w:rsidRPr="00CA386B" w:rsidRDefault="00CA386B" w:rsidP="00CA386B">
            <w:pPr>
              <w:spacing w:line="440" w:lineRule="exact"/>
              <w:jc w:val="center"/>
              <w:rPr>
                <w:rFonts w:ascii="宋体" w:eastAsia="宋体" w:hAnsi="宋体" w:cs="Times New Roman"/>
                <w:bCs/>
                <w:sz w:val="24"/>
                <w:szCs w:val="24"/>
              </w:rPr>
            </w:pPr>
            <w:r w:rsidRPr="00CA386B">
              <w:rPr>
                <w:rFonts w:ascii="宋体" w:eastAsia="宋体" w:hAnsi="宋体" w:cs="Times New Roman" w:hint="eastAsia"/>
                <w:bCs/>
                <w:sz w:val="24"/>
                <w:szCs w:val="24"/>
              </w:rPr>
              <w:t>课程目标1</w:t>
            </w:r>
          </w:p>
        </w:tc>
        <w:tc>
          <w:tcPr>
            <w:tcW w:w="6492" w:type="dxa"/>
            <w:vAlign w:val="center"/>
          </w:tcPr>
          <w:p w14:paraId="261995DF" w14:textId="77777777" w:rsidR="00CA386B" w:rsidRPr="00CA386B" w:rsidRDefault="00CA386B" w:rsidP="00CA386B">
            <w:pPr>
              <w:spacing w:line="440" w:lineRule="exact"/>
              <w:rPr>
                <w:rFonts w:ascii="宋体" w:eastAsia="宋体" w:hAnsi="宋体" w:cs="Times New Roman"/>
                <w:bCs/>
                <w:sz w:val="24"/>
                <w:szCs w:val="24"/>
              </w:rPr>
            </w:pPr>
            <w:r w:rsidRPr="00CA386B">
              <w:rPr>
                <w:rFonts w:ascii="宋体" w:eastAsia="宋体" w:hAnsi="宋体" w:cs="Times New Roman" w:hint="eastAsia"/>
                <w:bCs/>
                <w:sz w:val="24"/>
                <w:szCs w:val="24"/>
              </w:rPr>
              <w:t xml:space="preserve">1.1 </w:t>
            </w:r>
            <w:r w:rsidRPr="00CA386B">
              <w:rPr>
                <w:rFonts w:ascii="宋体" w:eastAsia="宋体" w:hAnsi="宋体" w:cs="Times New Roman" w:hint="eastAsia"/>
                <w:sz w:val="24"/>
                <w:szCs w:val="24"/>
              </w:rPr>
              <w:t>函数与极限；</w:t>
            </w:r>
          </w:p>
          <w:p w14:paraId="3E97628E" w14:textId="77777777" w:rsidR="00CA386B" w:rsidRPr="00CA386B" w:rsidRDefault="00CA386B" w:rsidP="00CA386B">
            <w:pPr>
              <w:spacing w:line="440" w:lineRule="exact"/>
              <w:rPr>
                <w:rFonts w:ascii="宋体" w:eastAsia="宋体" w:hAnsi="宋体" w:cs="Times New Roman"/>
                <w:sz w:val="24"/>
                <w:szCs w:val="24"/>
              </w:rPr>
            </w:pPr>
            <w:r w:rsidRPr="00CA386B">
              <w:rPr>
                <w:rFonts w:ascii="宋体" w:eastAsia="宋体" w:hAnsi="宋体" w:cs="Times New Roman" w:hint="eastAsia"/>
                <w:bCs/>
                <w:sz w:val="24"/>
                <w:szCs w:val="24"/>
              </w:rPr>
              <w:t xml:space="preserve">1.2 </w:t>
            </w:r>
            <w:r w:rsidRPr="00CA386B">
              <w:rPr>
                <w:rFonts w:ascii="宋体" w:eastAsia="宋体" w:hAnsi="宋体" w:cs="Times New Roman" w:hint="eastAsia"/>
                <w:sz w:val="24"/>
                <w:szCs w:val="24"/>
              </w:rPr>
              <w:t>导数与微分；</w:t>
            </w:r>
          </w:p>
          <w:p w14:paraId="50ACB38F" w14:textId="77777777" w:rsidR="00CA386B" w:rsidRPr="00CA386B" w:rsidRDefault="00CA386B" w:rsidP="00CA386B">
            <w:pPr>
              <w:spacing w:line="440" w:lineRule="exact"/>
              <w:rPr>
                <w:rFonts w:ascii="宋体" w:eastAsia="宋体" w:hAnsi="宋体" w:cs="Times New Roman"/>
                <w:sz w:val="24"/>
                <w:szCs w:val="24"/>
              </w:rPr>
            </w:pPr>
            <w:r w:rsidRPr="00CA386B">
              <w:rPr>
                <w:rFonts w:ascii="宋体" w:eastAsia="宋体" w:hAnsi="宋体" w:cs="Times New Roman" w:hint="eastAsia"/>
                <w:sz w:val="24"/>
                <w:szCs w:val="24"/>
              </w:rPr>
              <w:t>1.3 中值定理与导数的应用；</w:t>
            </w:r>
          </w:p>
          <w:p w14:paraId="0C7143DA" w14:textId="77777777" w:rsidR="00CA386B" w:rsidRPr="00CA386B" w:rsidRDefault="00CA386B" w:rsidP="00CA386B">
            <w:pPr>
              <w:adjustRightInd w:val="0"/>
              <w:snapToGrid w:val="0"/>
              <w:spacing w:line="440" w:lineRule="exact"/>
              <w:rPr>
                <w:rFonts w:ascii="宋体" w:eastAsia="宋体" w:hAnsi="宋体" w:cs="Times New Roman"/>
                <w:sz w:val="24"/>
                <w:szCs w:val="24"/>
              </w:rPr>
            </w:pPr>
            <w:r w:rsidRPr="00CA386B">
              <w:rPr>
                <w:rFonts w:ascii="宋体" w:eastAsia="宋体" w:hAnsi="宋体" w:cs="Times New Roman" w:hint="eastAsia"/>
                <w:sz w:val="24"/>
                <w:szCs w:val="24"/>
              </w:rPr>
              <w:t>1.4 不定积分；</w:t>
            </w:r>
          </w:p>
          <w:p w14:paraId="7044BFEF" w14:textId="77777777" w:rsidR="00CA386B" w:rsidRPr="00CA386B" w:rsidRDefault="00CA386B" w:rsidP="00CA386B">
            <w:pPr>
              <w:adjustRightInd w:val="0"/>
              <w:snapToGrid w:val="0"/>
              <w:spacing w:line="440" w:lineRule="exact"/>
              <w:rPr>
                <w:rFonts w:ascii="宋体" w:eastAsia="宋体" w:hAnsi="宋体" w:cs="Times New Roman"/>
                <w:sz w:val="24"/>
                <w:szCs w:val="24"/>
              </w:rPr>
            </w:pPr>
            <w:r w:rsidRPr="00CA386B">
              <w:rPr>
                <w:rFonts w:ascii="宋体" w:eastAsia="宋体" w:hAnsi="宋体" w:cs="Times New Roman" w:hint="eastAsia"/>
                <w:sz w:val="24"/>
                <w:szCs w:val="24"/>
              </w:rPr>
              <w:t>1.5 定积分及其</w:t>
            </w:r>
            <w:r w:rsidRPr="00CA386B">
              <w:rPr>
                <w:rFonts w:ascii="宋体" w:eastAsia="宋体" w:hAnsi="宋体" w:cs="Times New Roman"/>
                <w:sz w:val="24"/>
                <w:szCs w:val="24"/>
              </w:rPr>
              <w:t>应用</w:t>
            </w:r>
            <w:r w:rsidRPr="00CA386B">
              <w:rPr>
                <w:rFonts w:ascii="宋体" w:eastAsia="宋体" w:hAnsi="宋体" w:cs="Times New Roman" w:hint="eastAsia"/>
                <w:sz w:val="24"/>
                <w:szCs w:val="24"/>
              </w:rPr>
              <w:t>。</w:t>
            </w:r>
          </w:p>
        </w:tc>
      </w:tr>
      <w:tr w:rsidR="00CA386B" w:rsidRPr="00CA386B" w14:paraId="0421E00F" w14:textId="77777777" w:rsidTr="00B602D6">
        <w:trPr>
          <w:jc w:val="center"/>
        </w:trPr>
        <w:tc>
          <w:tcPr>
            <w:tcW w:w="1422" w:type="dxa"/>
            <w:vAlign w:val="center"/>
          </w:tcPr>
          <w:p w14:paraId="20E9D805" w14:textId="77777777" w:rsidR="00CA386B" w:rsidRPr="00CA386B" w:rsidRDefault="00CA386B" w:rsidP="00CA386B">
            <w:pPr>
              <w:spacing w:line="440" w:lineRule="exact"/>
              <w:jc w:val="center"/>
              <w:rPr>
                <w:rFonts w:ascii="宋体" w:eastAsia="宋体" w:hAnsi="宋体" w:cs="Times New Roman"/>
                <w:bCs/>
                <w:sz w:val="24"/>
                <w:szCs w:val="24"/>
              </w:rPr>
            </w:pPr>
            <w:r w:rsidRPr="00CA386B">
              <w:rPr>
                <w:rFonts w:ascii="宋体" w:eastAsia="宋体" w:hAnsi="宋体" w:cs="Times New Roman" w:hint="eastAsia"/>
                <w:bCs/>
                <w:sz w:val="24"/>
                <w:szCs w:val="24"/>
              </w:rPr>
              <w:t>课程目标2</w:t>
            </w:r>
          </w:p>
        </w:tc>
        <w:tc>
          <w:tcPr>
            <w:tcW w:w="6492" w:type="dxa"/>
            <w:vAlign w:val="center"/>
          </w:tcPr>
          <w:p w14:paraId="4610F39C" w14:textId="77777777" w:rsidR="00CA386B" w:rsidRPr="00CA386B" w:rsidRDefault="00CA386B" w:rsidP="00CA386B">
            <w:pPr>
              <w:spacing w:line="440" w:lineRule="exact"/>
              <w:rPr>
                <w:rFonts w:ascii="宋体" w:eastAsia="宋体" w:hAnsi="宋体" w:cs="Times New Roman"/>
                <w:bCs/>
                <w:sz w:val="24"/>
                <w:szCs w:val="24"/>
              </w:rPr>
            </w:pPr>
            <w:r w:rsidRPr="00CA386B">
              <w:rPr>
                <w:rFonts w:ascii="宋体" w:eastAsia="宋体" w:hAnsi="宋体" w:cs="Times New Roman" w:hint="eastAsia"/>
                <w:bCs/>
                <w:sz w:val="24"/>
                <w:szCs w:val="24"/>
              </w:rPr>
              <w:t>2.1</w:t>
            </w:r>
            <w:r w:rsidRPr="00CA386B">
              <w:rPr>
                <w:rFonts w:ascii="宋体" w:eastAsia="宋体" w:hAnsi="宋体" w:cs="Times New Roman"/>
                <w:bCs/>
                <w:sz w:val="24"/>
                <w:szCs w:val="24"/>
              </w:rPr>
              <w:t xml:space="preserve"> </w:t>
            </w:r>
            <w:r w:rsidRPr="00CA386B">
              <w:rPr>
                <w:rFonts w:ascii="宋体" w:eastAsia="宋体" w:hAnsi="宋体" w:cs="Times New Roman" w:hint="eastAsia"/>
                <w:sz w:val="24"/>
                <w:szCs w:val="24"/>
              </w:rPr>
              <w:t>函数与极限；</w:t>
            </w:r>
          </w:p>
          <w:p w14:paraId="135E7F91" w14:textId="77777777" w:rsidR="00CA386B" w:rsidRPr="00CA386B" w:rsidRDefault="00CA386B" w:rsidP="00CA386B">
            <w:pPr>
              <w:spacing w:line="440" w:lineRule="exact"/>
              <w:rPr>
                <w:rFonts w:ascii="宋体" w:eastAsia="宋体" w:hAnsi="宋体" w:cs="Times New Roman"/>
                <w:sz w:val="24"/>
                <w:szCs w:val="24"/>
              </w:rPr>
            </w:pPr>
            <w:r w:rsidRPr="00CA386B">
              <w:rPr>
                <w:rFonts w:ascii="宋体" w:eastAsia="宋体" w:hAnsi="宋体" w:cs="Times New Roman" w:hint="eastAsia"/>
                <w:bCs/>
                <w:sz w:val="24"/>
                <w:szCs w:val="24"/>
              </w:rPr>
              <w:lastRenderedPageBreak/>
              <w:t xml:space="preserve">2.2 </w:t>
            </w:r>
            <w:r w:rsidRPr="00CA386B">
              <w:rPr>
                <w:rFonts w:ascii="宋体" w:eastAsia="宋体" w:hAnsi="宋体" w:cs="Times New Roman" w:hint="eastAsia"/>
                <w:sz w:val="24"/>
                <w:szCs w:val="24"/>
              </w:rPr>
              <w:t>导数与微分；</w:t>
            </w:r>
          </w:p>
          <w:p w14:paraId="2B5093A0" w14:textId="77777777" w:rsidR="00CA386B" w:rsidRPr="00CA386B" w:rsidRDefault="00CA386B" w:rsidP="00CA386B">
            <w:pPr>
              <w:spacing w:line="440" w:lineRule="exact"/>
              <w:rPr>
                <w:rFonts w:ascii="宋体" w:eastAsia="宋体" w:hAnsi="宋体" w:cs="Times New Roman"/>
                <w:sz w:val="24"/>
                <w:szCs w:val="24"/>
              </w:rPr>
            </w:pPr>
            <w:r w:rsidRPr="00CA386B">
              <w:rPr>
                <w:rFonts w:ascii="宋体" w:eastAsia="宋体" w:hAnsi="宋体" w:cs="Times New Roman" w:hint="eastAsia"/>
                <w:sz w:val="24"/>
                <w:szCs w:val="24"/>
              </w:rPr>
              <w:t>2.3 中值定理与导数的应用；</w:t>
            </w:r>
          </w:p>
          <w:p w14:paraId="4D3C3292" w14:textId="77777777" w:rsidR="00CA386B" w:rsidRPr="00CA386B" w:rsidRDefault="00CA386B" w:rsidP="00CA386B">
            <w:pPr>
              <w:adjustRightInd w:val="0"/>
              <w:snapToGrid w:val="0"/>
              <w:spacing w:line="440" w:lineRule="exact"/>
              <w:rPr>
                <w:rFonts w:ascii="宋体" w:eastAsia="宋体" w:hAnsi="宋体" w:cs="Times New Roman"/>
                <w:sz w:val="24"/>
                <w:szCs w:val="24"/>
              </w:rPr>
            </w:pPr>
            <w:r w:rsidRPr="00CA386B">
              <w:rPr>
                <w:rFonts w:ascii="宋体" w:eastAsia="宋体" w:hAnsi="宋体" w:cs="Times New Roman" w:hint="eastAsia"/>
                <w:sz w:val="24"/>
                <w:szCs w:val="24"/>
              </w:rPr>
              <w:t>2.4 不定积分；</w:t>
            </w:r>
          </w:p>
          <w:p w14:paraId="196CF5E4" w14:textId="77777777" w:rsidR="00CA386B" w:rsidRPr="00CA386B" w:rsidRDefault="00CA386B" w:rsidP="00CA386B">
            <w:pPr>
              <w:adjustRightInd w:val="0"/>
              <w:snapToGrid w:val="0"/>
              <w:spacing w:line="440" w:lineRule="exact"/>
              <w:rPr>
                <w:rFonts w:ascii="宋体" w:eastAsia="宋体" w:hAnsi="宋体" w:cs="Times New Roman"/>
                <w:bCs/>
                <w:sz w:val="24"/>
                <w:szCs w:val="24"/>
              </w:rPr>
            </w:pPr>
            <w:r w:rsidRPr="00CA386B">
              <w:rPr>
                <w:rFonts w:ascii="宋体" w:eastAsia="宋体" w:hAnsi="宋体" w:cs="Times New Roman" w:hint="eastAsia"/>
                <w:sz w:val="24"/>
                <w:szCs w:val="24"/>
              </w:rPr>
              <w:t>2.5</w:t>
            </w:r>
            <w:r w:rsidRPr="00CA386B">
              <w:rPr>
                <w:rFonts w:ascii="宋体" w:eastAsia="宋体" w:hAnsi="宋体" w:cs="Times New Roman"/>
                <w:sz w:val="24"/>
                <w:szCs w:val="24"/>
              </w:rPr>
              <w:t xml:space="preserve"> </w:t>
            </w:r>
            <w:r w:rsidRPr="00CA386B">
              <w:rPr>
                <w:rFonts w:ascii="宋体" w:eastAsia="宋体" w:hAnsi="宋体" w:cs="Times New Roman" w:hint="eastAsia"/>
                <w:sz w:val="24"/>
                <w:szCs w:val="24"/>
              </w:rPr>
              <w:t>定积分及其</w:t>
            </w:r>
            <w:r w:rsidRPr="00CA386B">
              <w:rPr>
                <w:rFonts w:ascii="宋体" w:eastAsia="宋体" w:hAnsi="宋体" w:cs="Times New Roman"/>
                <w:sz w:val="24"/>
                <w:szCs w:val="24"/>
              </w:rPr>
              <w:t>应用</w:t>
            </w:r>
            <w:r w:rsidRPr="00CA386B">
              <w:rPr>
                <w:rFonts w:ascii="宋体" w:eastAsia="宋体" w:hAnsi="宋体" w:cs="Times New Roman" w:hint="eastAsia"/>
                <w:sz w:val="24"/>
                <w:szCs w:val="24"/>
              </w:rPr>
              <w:t>。</w:t>
            </w:r>
          </w:p>
        </w:tc>
      </w:tr>
      <w:tr w:rsidR="00CA386B" w:rsidRPr="00CA386B" w14:paraId="383D521C" w14:textId="77777777" w:rsidTr="00B602D6">
        <w:trPr>
          <w:jc w:val="center"/>
        </w:trPr>
        <w:tc>
          <w:tcPr>
            <w:tcW w:w="1422" w:type="dxa"/>
            <w:vAlign w:val="center"/>
          </w:tcPr>
          <w:p w14:paraId="229D43B7" w14:textId="77777777" w:rsidR="00CA386B" w:rsidRPr="00CA386B" w:rsidRDefault="00CA386B" w:rsidP="00CA386B">
            <w:pPr>
              <w:spacing w:line="440" w:lineRule="exact"/>
              <w:jc w:val="center"/>
              <w:rPr>
                <w:rFonts w:ascii="宋体" w:eastAsia="宋体" w:hAnsi="宋体" w:cs="Times New Roman"/>
                <w:bCs/>
                <w:sz w:val="24"/>
                <w:szCs w:val="24"/>
              </w:rPr>
            </w:pPr>
            <w:r w:rsidRPr="00CA386B">
              <w:rPr>
                <w:rFonts w:ascii="宋体" w:eastAsia="宋体" w:hAnsi="宋体" w:cs="Times New Roman" w:hint="eastAsia"/>
                <w:bCs/>
                <w:sz w:val="24"/>
                <w:szCs w:val="24"/>
              </w:rPr>
              <w:lastRenderedPageBreak/>
              <w:t>课程目标3</w:t>
            </w:r>
          </w:p>
        </w:tc>
        <w:tc>
          <w:tcPr>
            <w:tcW w:w="6492" w:type="dxa"/>
            <w:vAlign w:val="center"/>
          </w:tcPr>
          <w:p w14:paraId="063B9A07" w14:textId="77777777" w:rsidR="00CA386B" w:rsidRPr="00CA386B" w:rsidRDefault="00CA386B" w:rsidP="00CA386B">
            <w:pPr>
              <w:spacing w:line="440" w:lineRule="exact"/>
              <w:rPr>
                <w:rFonts w:ascii="宋体" w:eastAsia="宋体" w:hAnsi="宋体" w:cs="Times New Roman"/>
                <w:bCs/>
                <w:sz w:val="24"/>
                <w:szCs w:val="24"/>
              </w:rPr>
            </w:pPr>
            <w:r w:rsidRPr="00CA386B">
              <w:rPr>
                <w:rFonts w:ascii="宋体" w:eastAsia="宋体" w:hAnsi="宋体" w:cs="Times New Roman" w:hint="eastAsia"/>
                <w:bCs/>
                <w:sz w:val="24"/>
                <w:szCs w:val="24"/>
              </w:rPr>
              <w:t>3.1</w:t>
            </w:r>
            <w:r w:rsidRPr="00CA386B">
              <w:rPr>
                <w:rFonts w:ascii="宋体" w:eastAsia="宋体" w:hAnsi="宋体" w:cs="Times New Roman"/>
                <w:bCs/>
                <w:sz w:val="24"/>
                <w:szCs w:val="24"/>
              </w:rPr>
              <w:t xml:space="preserve"> </w:t>
            </w:r>
            <w:r w:rsidRPr="00CA386B">
              <w:rPr>
                <w:rFonts w:ascii="宋体" w:eastAsia="宋体" w:hAnsi="宋体" w:cs="Times New Roman" w:hint="eastAsia"/>
                <w:sz w:val="24"/>
                <w:szCs w:val="24"/>
              </w:rPr>
              <w:t>极限；</w:t>
            </w:r>
          </w:p>
          <w:p w14:paraId="3790AA27" w14:textId="77777777" w:rsidR="00CA386B" w:rsidRPr="00CA386B" w:rsidRDefault="00CA386B" w:rsidP="00CA386B">
            <w:pPr>
              <w:spacing w:line="440" w:lineRule="exact"/>
              <w:rPr>
                <w:rFonts w:ascii="宋体" w:eastAsia="宋体" w:hAnsi="宋体" w:cs="Times New Roman"/>
                <w:sz w:val="24"/>
                <w:szCs w:val="24"/>
              </w:rPr>
            </w:pPr>
            <w:r w:rsidRPr="00CA386B">
              <w:rPr>
                <w:rFonts w:ascii="宋体" w:eastAsia="宋体" w:hAnsi="宋体" w:cs="Times New Roman" w:hint="eastAsia"/>
                <w:bCs/>
                <w:sz w:val="24"/>
                <w:szCs w:val="24"/>
              </w:rPr>
              <w:t xml:space="preserve">3.2 </w:t>
            </w:r>
            <w:r w:rsidRPr="00CA386B">
              <w:rPr>
                <w:rFonts w:ascii="宋体" w:eastAsia="宋体" w:hAnsi="宋体" w:cs="Times New Roman" w:hint="eastAsia"/>
                <w:sz w:val="24"/>
                <w:szCs w:val="24"/>
              </w:rPr>
              <w:t>导数与微分；</w:t>
            </w:r>
          </w:p>
          <w:p w14:paraId="43DC6911" w14:textId="77777777" w:rsidR="00CA386B" w:rsidRPr="00CA386B" w:rsidRDefault="00CA386B" w:rsidP="00CA386B">
            <w:pPr>
              <w:spacing w:line="440" w:lineRule="exact"/>
              <w:rPr>
                <w:rFonts w:ascii="宋体" w:eastAsia="宋体" w:hAnsi="宋体" w:cs="Times New Roman"/>
                <w:sz w:val="24"/>
                <w:szCs w:val="24"/>
              </w:rPr>
            </w:pPr>
            <w:r w:rsidRPr="00CA386B">
              <w:rPr>
                <w:rFonts w:ascii="宋体" w:eastAsia="宋体" w:hAnsi="宋体" w:cs="Times New Roman" w:hint="eastAsia"/>
                <w:sz w:val="24"/>
                <w:szCs w:val="24"/>
              </w:rPr>
              <w:t>3.3 导数的</w:t>
            </w:r>
            <w:r w:rsidRPr="00CA386B">
              <w:rPr>
                <w:rFonts w:ascii="宋体" w:eastAsia="宋体" w:hAnsi="宋体" w:cs="Times New Roman"/>
                <w:sz w:val="24"/>
                <w:szCs w:val="24"/>
              </w:rPr>
              <w:t>应用</w:t>
            </w:r>
            <w:r w:rsidRPr="00CA386B">
              <w:rPr>
                <w:rFonts w:ascii="宋体" w:eastAsia="宋体" w:hAnsi="宋体" w:cs="Times New Roman" w:hint="eastAsia"/>
                <w:sz w:val="24"/>
                <w:szCs w:val="24"/>
              </w:rPr>
              <w:t>；</w:t>
            </w:r>
          </w:p>
          <w:p w14:paraId="79B79547" w14:textId="77777777" w:rsidR="00CA386B" w:rsidRPr="00CA386B" w:rsidRDefault="00CA386B" w:rsidP="00CA386B">
            <w:pPr>
              <w:adjustRightInd w:val="0"/>
              <w:snapToGrid w:val="0"/>
              <w:spacing w:line="440" w:lineRule="exact"/>
              <w:rPr>
                <w:rFonts w:ascii="宋体" w:eastAsia="宋体" w:hAnsi="宋体" w:cs="Times New Roman"/>
                <w:sz w:val="24"/>
                <w:szCs w:val="24"/>
              </w:rPr>
            </w:pPr>
            <w:r w:rsidRPr="00CA386B">
              <w:rPr>
                <w:rFonts w:ascii="宋体" w:eastAsia="宋体" w:hAnsi="宋体" w:cs="Times New Roman" w:hint="eastAsia"/>
                <w:sz w:val="24"/>
                <w:szCs w:val="24"/>
              </w:rPr>
              <w:t>3.4 不定积分；</w:t>
            </w:r>
          </w:p>
          <w:p w14:paraId="12E6B869" w14:textId="77777777" w:rsidR="00CA386B" w:rsidRPr="00CA386B" w:rsidRDefault="00CA386B" w:rsidP="00CA386B">
            <w:pPr>
              <w:adjustRightInd w:val="0"/>
              <w:snapToGrid w:val="0"/>
              <w:spacing w:line="440" w:lineRule="exact"/>
              <w:rPr>
                <w:rFonts w:ascii="宋体" w:eastAsia="宋体" w:hAnsi="宋体" w:cs="Times New Roman"/>
                <w:bCs/>
                <w:sz w:val="24"/>
                <w:szCs w:val="24"/>
              </w:rPr>
            </w:pPr>
            <w:r w:rsidRPr="00CA386B">
              <w:rPr>
                <w:rFonts w:ascii="宋体" w:eastAsia="宋体" w:hAnsi="宋体" w:cs="Times New Roman" w:hint="eastAsia"/>
                <w:sz w:val="24"/>
                <w:szCs w:val="24"/>
              </w:rPr>
              <w:t>3.5 定积分及其</w:t>
            </w:r>
            <w:r w:rsidRPr="00CA386B">
              <w:rPr>
                <w:rFonts w:ascii="宋体" w:eastAsia="宋体" w:hAnsi="宋体" w:cs="Times New Roman"/>
                <w:sz w:val="24"/>
                <w:szCs w:val="24"/>
              </w:rPr>
              <w:t>应用</w:t>
            </w:r>
            <w:r w:rsidRPr="00CA386B">
              <w:rPr>
                <w:rFonts w:ascii="宋体" w:eastAsia="宋体" w:hAnsi="宋体" w:cs="Times New Roman" w:hint="eastAsia"/>
                <w:sz w:val="24"/>
                <w:szCs w:val="24"/>
              </w:rPr>
              <w:t>。</w:t>
            </w:r>
          </w:p>
        </w:tc>
      </w:tr>
      <w:tr w:rsidR="00CA386B" w:rsidRPr="00CA386B" w14:paraId="13AE9E1C" w14:textId="77777777" w:rsidTr="00B602D6">
        <w:trPr>
          <w:jc w:val="center"/>
        </w:trPr>
        <w:tc>
          <w:tcPr>
            <w:tcW w:w="1422" w:type="dxa"/>
            <w:vAlign w:val="center"/>
          </w:tcPr>
          <w:p w14:paraId="2383DE54" w14:textId="77777777" w:rsidR="00CA386B" w:rsidRPr="00CA386B" w:rsidRDefault="00CA386B" w:rsidP="00CA386B">
            <w:pPr>
              <w:spacing w:line="440" w:lineRule="exact"/>
              <w:jc w:val="center"/>
              <w:rPr>
                <w:rFonts w:ascii="宋体" w:eastAsia="宋体" w:hAnsi="宋体" w:cs="Times New Roman"/>
                <w:bCs/>
                <w:sz w:val="24"/>
                <w:szCs w:val="24"/>
              </w:rPr>
            </w:pPr>
            <w:r w:rsidRPr="00CA386B">
              <w:rPr>
                <w:rFonts w:ascii="宋体" w:eastAsia="宋体" w:hAnsi="宋体" w:cs="Times New Roman" w:hint="eastAsia"/>
                <w:bCs/>
                <w:sz w:val="24"/>
                <w:szCs w:val="24"/>
              </w:rPr>
              <w:t>课程目标4</w:t>
            </w:r>
          </w:p>
        </w:tc>
        <w:tc>
          <w:tcPr>
            <w:tcW w:w="6492" w:type="dxa"/>
            <w:vAlign w:val="center"/>
          </w:tcPr>
          <w:p w14:paraId="14F51469" w14:textId="77777777" w:rsidR="00CA386B" w:rsidRPr="00CA386B" w:rsidRDefault="00CA386B" w:rsidP="00CA386B">
            <w:pPr>
              <w:adjustRightInd w:val="0"/>
              <w:snapToGrid w:val="0"/>
              <w:spacing w:line="440" w:lineRule="exact"/>
              <w:rPr>
                <w:rFonts w:ascii="宋体" w:eastAsia="宋体" w:hAnsi="宋体" w:cs="Times New Roman"/>
                <w:bCs/>
                <w:sz w:val="24"/>
                <w:szCs w:val="24"/>
              </w:rPr>
            </w:pPr>
            <w:r w:rsidRPr="00CA386B">
              <w:rPr>
                <w:rFonts w:ascii="宋体" w:eastAsia="宋体" w:hAnsi="宋体" w:cs="Times New Roman" w:hint="eastAsia"/>
                <w:bCs/>
                <w:sz w:val="24"/>
                <w:szCs w:val="24"/>
              </w:rPr>
              <w:t xml:space="preserve">4.1 </w:t>
            </w:r>
            <w:r w:rsidRPr="00CA386B">
              <w:rPr>
                <w:rFonts w:ascii="宋体" w:eastAsia="宋体" w:hAnsi="宋体" w:cs="Times New Roman" w:hint="eastAsia"/>
                <w:sz w:val="24"/>
                <w:szCs w:val="24"/>
              </w:rPr>
              <w:t>极限；</w:t>
            </w:r>
          </w:p>
          <w:p w14:paraId="191CB618" w14:textId="77777777" w:rsidR="00CA386B" w:rsidRPr="00CA386B" w:rsidRDefault="00CA386B" w:rsidP="00CA386B">
            <w:pPr>
              <w:adjustRightInd w:val="0"/>
              <w:snapToGrid w:val="0"/>
              <w:spacing w:line="440" w:lineRule="exact"/>
              <w:rPr>
                <w:rFonts w:ascii="宋体" w:eastAsia="宋体" w:hAnsi="宋体" w:cs="Times New Roman"/>
                <w:bCs/>
                <w:sz w:val="24"/>
                <w:szCs w:val="24"/>
              </w:rPr>
            </w:pPr>
            <w:r w:rsidRPr="00CA386B">
              <w:rPr>
                <w:rFonts w:ascii="宋体" w:eastAsia="宋体" w:hAnsi="宋体" w:cs="Times New Roman" w:hint="eastAsia"/>
                <w:bCs/>
                <w:sz w:val="24"/>
                <w:szCs w:val="24"/>
              </w:rPr>
              <w:t xml:space="preserve">4.2 </w:t>
            </w:r>
            <w:r w:rsidRPr="00CA386B">
              <w:rPr>
                <w:rFonts w:ascii="宋体" w:eastAsia="宋体" w:hAnsi="宋体" w:cs="Times New Roman" w:hint="eastAsia"/>
                <w:sz w:val="24"/>
                <w:szCs w:val="24"/>
              </w:rPr>
              <w:t>导数的应用；</w:t>
            </w:r>
          </w:p>
          <w:p w14:paraId="7D82882A" w14:textId="77777777" w:rsidR="00CA386B" w:rsidRPr="00CA386B" w:rsidRDefault="00CA386B" w:rsidP="00CA386B">
            <w:pPr>
              <w:adjustRightInd w:val="0"/>
              <w:snapToGrid w:val="0"/>
              <w:spacing w:line="440" w:lineRule="exact"/>
              <w:rPr>
                <w:rFonts w:ascii="宋体" w:eastAsia="宋体" w:hAnsi="宋体" w:cs="Times New Roman"/>
                <w:bCs/>
                <w:sz w:val="24"/>
                <w:szCs w:val="24"/>
              </w:rPr>
            </w:pPr>
            <w:r w:rsidRPr="00CA386B">
              <w:rPr>
                <w:rFonts w:ascii="宋体" w:eastAsia="宋体" w:hAnsi="宋体" w:cs="Times New Roman" w:hint="eastAsia"/>
                <w:bCs/>
                <w:sz w:val="24"/>
                <w:szCs w:val="24"/>
              </w:rPr>
              <w:t xml:space="preserve">4.3 </w:t>
            </w:r>
            <w:r w:rsidRPr="00CA386B">
              <w:rPr>
                <w:rFonts w:ascii="宋体" w:eastAsia="宋体" w:hAnsi="宋体" w:cs="Times New Roman" w:hint="eastAsia"/>
                <w:sz w:val="24"/>
                <w:szCs w:val="24"/>
              </w:rPr>
              <w:t>定积分的应用。</w:t>
            </w:r>
          </w:p>
        </w:tc>
      </w:tr>
    </w:tbl>
    <w:p w14:paraId="2CF44C8C" w14:textId="77777777" w:rsidR="00CA386B" w:rsidRPr="00CA386B" w:rsidRDefault="00CA386B" w:rsidP="00CA386B">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A386B">
        <w:rPr>
          <w:rFonts w:ascii="Times New Roman" w:eastAsia="黑体" w:hAnsi="Times New Roman" w:cs="Times New Roman"/>
          <w:sz w:val="28"/>
          <w:szCs w:val="28"/>
        </w:rPr>
        <w:t>（二）课程考核方式</w:t>
      </w:r>
    </w:p>
    <w:p w14:paraId="33296F6D"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sz w:val="24"/>
          <w:szCs w:val="24"/>
        </w:rPr>
        <w:t>课程考核方式分为平时考核和期末考核。平时考核方式包括课堂表现、平时作业和阶段测试等；期末考核采用闭卷考试。</w:t>
      </w:r>
    </w:p>
    <w:p w14:paraId="57A476E6" w14:textId="77777777" w:rsidR="00CA386B" w:rsidRPr="00CA386B" w:rsidRDefault="00CA386B" w:rsidP="00CA386B">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A386B">
        <w:rPr>
          <w:rFonts w:ascii="Times New Roman" w:eastAsia="黑体" w:hAnsi="Times New Roman" w:cs="Times New Roman"/>
          <w:sz w:val="28"/>
          <w:szCs w:val="28"/>
        </w:rPr>
        <w:t>（三）课程目标达成评价方式及考核比例</w:t>
      </w:r>
    </w:p>
    <w:p w14:paraId="5B722846"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宋体" w:hint="eastAsia"/>
          <w:sz w:val="24"/>
          <w:szCs w:val="24"/>
        </w:rPr>
        <w:t>课程考核方式及成绩比例为：课堂表现10%+平时作业及测试30%+期末考核60%；本课程共有四个课程目标，考核方式及成绩比例分别为：</w:t>
      </w:r>
    </w:p>
    <w:p w14:paraId="457FF3A6"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宋体" w:hint="eastAsia"/>
          <w:sz w:val="24"/>
          <w:szCs w:val="24"/>
        </w:rPr>
        <w:t>课程目标1：课堂表现5%+平时作业及测试10%+期末考试30%</w:t>
      </w:r>
    </w:p>
    <w:p w14:paraId="58B3088F"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宋体" w:hint="eastAsia"/>
          <w:sz w:val="24"/>
          <w:szCs w:val="24"/>
        </w:rPr>
        <w:t>课程目标2：平时作业及测试10%+期末考试10%</w:t>
      </w:r>
    </w:p>
    <w:p w14:paraId="675C4D4F"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宋体" w:hint="eastAsia"/>
          <w:sz w:val="24"/>
          <w:szCs w:val="24"/>
        </w:rPr>
        <w:t>课程目标3：课堂表现5%+平时作业及测试5%+期末考试10%</w:t>
      </w:r>
    </w:p>
    <w:p w14:paraId="5B0EB719"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宋体" w:hint="eastAsia"/>
          <w:sz w:val="24"/>
          <w:szCs w:val="24"/>
        </w:rPr>
        <w:t>课程目标4：平时作业及测试5%+期末考试10%</w:t>
      </w:r>
    </w:p>
    <w:p w14:paraId="5E932D65"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宋体" w:hint="eastAsia"/>
          <w:sz w:val="24"/>
          <w:szCs w:val="24"/>
        </w:rPr>
        <w:t>如下</w:t>
      </w:r>
      <w:r w:rsidRPr="00CA386B">
        <w:rPr>
          <w:rFonts w:ascii="宋体" w:eastAsia="宋体" w:hAnsi="宋体" w:cs="宋体"/>
          <w:sz w:val="24"/>
          <w:szCs w:val="24"/>
        </w:rPr>
        <w:t>表</w:t>
      </w:r>
      <w:r w:rsidRPr="00CA386B">
        <w:rPr>
          <w:rFonts w:ascii="宋体" w:eastAsia="宋体" w:hAnsi="宋体" w:cs="宋体" w:hint="eastAsia"/>
          <w:sz w:val="24"/>
          <w:szCs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1500"/>
        <w:gridCol w:w="1928"/>
        <w:gridCol w:w="1417"/>
        <w:gridCol w:w="1393"/>
      </w:tblGrid>
      <w:tr w:rsidR="00CA386B" w:rsidRPr="00CA386B" w14:paraId="64898FD4" w14:textId="77777777" w:rsidTr="00B602D6">
        <w:trPr>
          <w:jc w:val="center"/>
        </w:trPr>
        <w:tc>
          <w:tcPr>
            <w:tcW w:w="1500" w:type="dxa"/>
            <w:vMerge w:val="restart"/>
            <w:vAlign w:val="center"/>
          </w:tcPr>
          <w:p w14:paraId="4F416A6F" w14:textId="77777777" w:rsidR="00CA386B" w:rsidRPr="00CA386B" w:rsidRDefault="00CA386B" w:rsidP="00CA386B">
            <w:pPr>
              <w:spacing w:line="440" w:lineRule="exact"/>
              <w:jc w:val="center"/>
              <w:rPr>
                <w:rFonts w:ascii="宋体" w:eastAsia="宋体" w:hAnsi="宋体" w:cs="宋体"/>
                <w:color w:val="FF0000"/>
                <w:sz w:val="24"/>
                <w:szCs w:val="24"/>
              </w:rPr>
            </w:pPr>
            <w:r w:rsidRPr="00CA386B">
              <w:rPr>
                <w:rFonts w:ascii="宋体" w:eastAsia="宋体" w:hAnsi="宋体" w:cs="宋体" w:hint="eastAsia"/>
                <w:b/>
                <w:sz w:val="24"/>
                <w:szCs w:val="24"/>
              </w:rPr>
              <w:t>课程目标</w:t>
            </w:r>
          </w:p>
        </w:tc>
        <w:tc>
          <w:tcPr>
            <w:tcW w:w="4845" w:type="dxa"/>
            <w:gridSpan w:val="3"/>
          </w:tcPr>
          <w:p w14:paraId="1B9D1000" w14:textId="77777777" w:rsidR="00CA386B" w:rsidRPr="00CA386B" w:rsidRDefault="00CA386B" w:rsidP="00CA386B">
            <w:pPr>
              <w:spacing w:line="440" w:lineRule="exact"/>
              <w:jc w:val="center"/>
              <w:rPr>
                <w:rFonts w:ascii="宋体" w:eastAsia="宋体" w:hAnsi="宋体" w:cs="宋体"/>
                <w:color w:val="FF0000"/>
                <w:sz w:val="24"/>
                <w:szCs w:val="24"/>
              </w:rPr>
            </w:pPr>
            <w:r w:rsidRPr="00CA386B">
              <w:rPr>
                <w:rFonts w:ascii="宋体" w:eastAsia="宋体" w:hAnsi="宋体" w:cs="宋体" w:hint="eastAsia"/>
                <w:b/>
                <w:sz w:val="24"/>
                <w:szCs w:val="24"/>
              </w:rPr>
              <w:t>考核方式及成绩比例（%）</w:t>
            </w:r>
          </w:p>
        </w:tc>
        <w:tc>
          <w:tcPr>
            <w:tcW w:w="1393" w:type="dxa"/>
            <w:vMerge w:val="restart"/>
            <w:vAlign w:val="center"/>
          </w:tcPr>
          <w:p w14:paraId="737B8426" w14:textId="77777777" w:rsidR="00CA386B" w:rsidRPr="00CA386B" w:rsidRDefault="00CA386B" w:rsidP="00CA386B">
            <w:pPr>
              <w:spacing w:line="440" w:lineRule="exact"/>
              <w:jc w:val="center"/>
              <w:rPr>
                <w:rFonts w:ascii="宋体" w:eastAsia="宋体" w:hAnsi="宋体" w:cs="宋体"/>
                <w:color w:val="FF0000"/>
                <w:sz w:val="24"/>
                <w:szCs w:val="24"/>
              </w:rPr>
            </w:pPr>
            <w:r w:rsidRPr="00CA386B">
              <w:rPr>
                <w:rFonts w:ascii="宋体" w:eastAsia="宋体" w:hAnsi="宋体" w:cs="宋体" w:hint="eastAsia"/>
                <w:b/>
                <w:sz w:val="24"/>
                <w:szCs w:val="24"/>
              </w:rPr>
              <w:t>合计</w:t>
            </w:r>
          </w:p>
        </w:tc>
      </w:tr>
      <w:tr w:rsidR="00CA386B" w:rsidRPr="00CA386B" w14:paraId="2397F3A1" w14:textId="77777777" w:rsidTr="00B602D6">
        <w:trPr>
          <w:jc w:val="center"/>
        </w:trPr>
        <w:tc>
          <w:tcPr>
            <w:tcW w:w="1500" w:type="dxa"/>
            <w:vMerge/>
          </w:tcPr>
          <w:p w14:paraId="0C5F92C2" w14:textId="77777777" w:rsidR="00CA386B" w:rsidRPr="00CA386B" w:rsidRDefault="00CA386B" w:rsidP="00CA386B">
            <w:pPr>
              <w:spacing w:line="440" w:lineRule="exact"/>
              <w:rPr>
                <w:rFonts w:ascii="宋体" w:eastAsia="宋体" w:hAnsi="宋体" w:cs="宋体"/>
                <w:color w:val="FF0000"/>
                <w:sz w:val="24"/>
                <w:szCs w:val="24"/>
              </w:rPr>
            </w:pPr>
          </w:p>
        </w:tc>
        <w:tc>
          <w:tcPr>
            <w:tcW w:w="1500" w:type="dxa"/>
          </w:tcPr>
          <w:p w14:paraId="498DCEAE"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课堂表现</w:t>
            </w:r>
          </w:p>
        </w:tc>
        <w:tc>
          <w:tcPr>
            <w:tcW w:w="1928" w:type="dxa"/>
          </w:tcPr>
          <w:p w14:paraId="603EB782"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平时作业及测试</w:t>
            </w:r>
          </w:p>
        </w:tc>
        <w:tc>
          <w:tcPr>
            <w:tcW w:w="1417" w:type="dxa"/>
          </w:tcPr>
          <w:p w14:paraId="6112EF4F"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期末考试</w:t>
            </w:r>
          </w:p>
        </w:tc>
        <w:tc>
          <w:tcPr>
            <w:tcW w:w="1393" w:type="dxa"/>
            <w:vMerge/>
          </w:tcPr>
          <w:p w14:paraId="2E7397EC" w14:textId="77777777" w:rsidR="00CA386B" w:rsidRPr="00CA386B" w:rsidRDefault="00CA386B" w:rsidP="00CA386B">
            <w:pPr>
              <w:spacing w:line="440" w:lineRule="exact"/>
              <w:rPr>
                <w:rFonts w:ascii="宋体" w:eastAsia="宋体" w:hAnsi="宋体" w:cs="宋体"/>
                <w:color w:val="FF0000"/>
                <w:sz w:val="24"/>
                <w:szCs w:val="24"/>
              </w:rPr>
            </w:pPr>
          </w:p>
        </w:tc>
      </w:tr>
      <w:tr w:rsidR="00CA386B" w:rsidRPr="00CA386B" w14:paraId="6EA948CF" w14:textId="77777777" w:rsidTr="00B602D6">
        <w:trPr>
          <w:jc w:val="center"/>
        </w:trPr>
        <w:tc>
          <w:tcPr>
            <w:tcW w:w="1500" w:type="dxa"/>
          </w:tcPr>
          <w:p w14:paraId="176A387D" w14:textId="77777777" w:rsidR="00CA386B" w:rsidRPr="00CA386B" w:rsidRDefault="00CA386B" w:rsidP="00CA386B">
            <w:pPr>
              <w:spacing w:line="440" w:lineRule="exact"/>
              <w:rPr>
                <w:rFonts w:ascii="宋体" w:eastAsia="宋体" w:hAnsi="宋体" w:cs="宋体"/>
                <w:color w:val="FF0000"/>
                <w:sz w:val="24"/>
                <w:szCs w:val="24"/>
              </w:rPr>
            </w:pPr>
            <w:r w:rsidRPr="00CA386B">
              <w:rPr>
                <w:rFonts w:ascii="宋体" w:eastAsia="宋体" w:hAnsi="宋体" w:cs="宋体" w:hint="eastAsia"/>
                <w:bCs/>
                <w:sz w:val="24"/>
                <w:szCs w:val="24"/>
              </w:rPr>
              <w:t>课程目标1</w:t>
            </w:r>
          </w:p>
        </w:tc>
        <w:tc>
          <w:tcPr>
            <w:tcW w:w="1500" w:type="dxa"/>
          </w:tcPr>
          <w:p w14:paraId="6105D472"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5</w:t>
            </w:r>
          </w:p>
        </w:tc>
        <w:tc>
          <w:tcPr>
            <w:tcW w:w="1928" w:type="dxa"/>
          </w:tcPr>
          <w:p w14:paraId="37B40CBB"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10</w:t>
            </w:r>
          </w:p>
        </w:tc>
        <w:tc>
          <w:tcPr>
            <w:tcW w:w="1417" w:type="dxa"/>
            <w:vAlign w:val="center"/>
          </w:tcPr>
          <w:p w14:paraId="11592A51"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30</w:t>
            </w:r>
          </w:p>
        </w:tc>
        <w:tc>
          <w:tcPr>
            <w:tcW w:w="1393" w:type="dxa"/>
          </w:tcPr>
          <w:p w14:paraId="24B92ABD"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45</w:t>
            </w:r>
          </w:p>
        </w:tc>
      </w:tr>
      <w:tr w:rsidR="00CA386B" w:rsidRPr="00CA386B" w14:paraId="40D42C5E" w14:textId="77777777" w:rsidTr="00B602D6">
        <w:trPr>
          <w:jc w:val="center"/>
        </w:trPr>
        <w:tc>
          <w:tcPr>
            <w:tcW w:w="1500" w:type="dxa"/>
          </w:tcPr>
          <w:p w14:paraId="6F5B1738" w14:textId="77777777" w:rsidR="00CA386B" w:rsidRPr="00CA386B" w:rsidRDefault="00CA386B" w:rsidP="00CA386B">
            <w:pPr>
              <w:spacing w:line="440" w:lineRule="exact"/>
              <w:rPr>
                <w:rFonts w:ascii="宋体" w:eastAsia="宋体" w:hAnsi="宋体" w:cs="宋体"/>
                <w:color w:val="FF0000"/>
                <w:sz w:val="24"/>
                <w:szCs w:val="24"/>
              </w:rPr>
            </w:pPr>
            <w:r w:rsidRPr="00CA386B">
              <w:rPr>
                <w:rFonts w:ascii="宋体" w:eastAsia="宋体" w:hAnsi="宋体" w:cs="宋体" w:hint="eastAsia"/>
                <w:bCs/>
                <w:sz w:val="24"/>
                <w:szCs w:val="24"/>
              </w:rPr>
              <w:t>课程目标2</w:t>
            </w:r>
          </w:p>
        </w:tc>
        <w:tc>
          <w:tcPr>
            <w:tcW w:w="1500" w:type="dxa"/>
          </w:tcPr>
          <w:p w14:paraId="1496C073" w14:textId="77777777" w:rsidR="00CA386B" w:rsidRPr="00CA386B" w:rsidRDefault="00CA386B" w:rsidP="00CA386B">
            <w:pPr>
              <w:spacing w:line="440" w:lineRule="exact"/>
              <w:jc w:val="center"/>
              <w:rPr>
                <w:rFonts w:ascii="宋体" w:eastAsia="宋体" w:hAnsi="宋体" w:cs="宋体"/>
                <w:sz w:val="24"/>
                <w:szCs w:val="24"/>
              </w:rPr>
            </w:pPr>
          </w:p>
        </w:tc>
        <w:tc>
          <w:tcPr>
            <w:tcW w:w="1928" w:type="dxa"/>
          </w:tcPr>
          <w:p w14:paraId="7661AE0D"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10</w:t>
            </w:r>
          </w:p>
        </w:tc>
        <w:tc>
          <w:tcPr>
            <w:tcW w:w="1417" w:type="dxa"/>
            <w:vAlign w:val="center"/>
          </w:tcPr>
          <w:p w14:paraId="1C5F245B"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10</w:t>
            </w:r>
          </w:p>
        </w:tc>
        <w:tc>
          <w:tcPr>
            <w:tcW w:w="1393" w:type="dxa"/>
          </w:tcPr>
          <w:p w14:paraId="090285D0"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20</w:t>
            </w:r>
          </w:p>
        </w:tc>
      </w:tr>
      <w:tr w:rsidR="00CA386B" w:rsidRPr="00CA386B" w14:paraId="45CD11A7" w14:textId="77777777" w:rsidTr="00B602D6">
        <w:trPr>
          <w:jc w:val="center"/>
        </w:trPr>
        <w:tc>
          <w:tcPr>
            <w:tcW w:w="1500" w:type="dxa"/>
          </w:tcPr>
          <w:p w14:paraId="26B6E7A5" w14:textId="77777777" w:rsidR="00CA386B" w:rsidRPr="00CA386B" w:rsidRDefault="00CA386B" w:rsidP="00CA386B">
            <w:pPr>
              <w:spacing w:line="440" w:lineRule="exact"/>
              <w:rPr>
                <w:rFonts w:ascii="宋体" w:eastAsia="宋体" w:hAnsi="宋体" w:cs="宋体"/>
                <w:color w:val="FF0000"/>
                <w:sz w:val="24"/>
                <w:szCs w:val="24"/>
              </w:rPr>
            </w:pPr>
            <w:r w:rsidRPr="00CA386B">
              <w:rPr>
                <w:rFonts w:ascii="宋体" w:eastAsia="宋体" w:hAnsi="宋体" w:cs="宋体" w:hint="eastAsia"/>
                <w:bCs/>
                <w:sz w:val="24"/>
                <w:szCs w:val="24"/>
              </w:rPr>
              <w:t>课程目标3</w:t>
            </w:r>
          </w:p>
        </w:tc>
        <w:tc>
          <w:tcPr>
            <w:tcW w:w="1500" w:type="dxa"/>
          </w:tcPr>
          <w:p w14:paraId="51E16215"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5</w:t>
            </w:r>
          </w:p>
        </w:tc>
        <w:tc>
          <w:tcPr>
            <w:tcW w:w="1928" w:type="dxa"/>
          </w:tcPr>
          <w:p w14:paraId="4E7CA1DC"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5</w:t>
            </w:r>
          </w:p>
        </w:tc>
        <w:tc>
          <w:tcPr>
            <w:tcW w:w="1417" w:type="dxa"/>
            <w:vAlign w:val="center"/>
          </w:tcPr>
          <w:p w14:paraId="1E5A53C9"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10</w:t>
            </w:r>
          </w:p>
        </w:tc>
        <w:tc>
          <w:tcPr>
            <w:tcW w:w="1393" w:type="dxa"/>
          </w:tcPr>
          <w:p w14:paraId="0A4CF7DA"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20</w:t>
            </w:r>
          </w:p>
        </w:tc>
      </w:tr>
      <w:tr w:rsidR="00CA386B" w:rsidRPr="00CA386B" w14:paraId="04AC6369" w14:textId="77777777" w:rsidTr="00B602D6">
        <w:trPr>
          <w:jc w:val="center"/>
        </w:trPr>
        <w:tc>
          <w:tcPr>
            <w:tcW w:w="1500" w:type="dxa"/>
          </w:tcPr>
          <w:p w14:paraId="672B1AFE" w14:textId="77777777" w:rsidR="00CA386B" w:rsidRPr="00CA386B" w:rsidRDefault="00CA386B" w:rsidP="00CA386B">
            <w:pPr>
              <w:spacing w:line="440" w:lineRule="exact"/>
              <w:rPr>
                <w:rFonts w:ascii="宋体" w:eastAsia="宋体" w:hAnsi="宋体" w:cs="宋体"/>
                <w:color w:val="FF0000"/>
                <w:sz w:val="24"/>
                <w:szCs w:val="24"/>
              </w:rPr>
            </w:pPr>
            <w:r w:rsidRPr="00CA386B">
              <w:rPr>
                <w:rFonts w:ascii="宋体" w:eastAsia="宋体" w:hAnsi="宋体" w:cs="宋体" w:hint="eastAsia"/>
                <w:bCs/>
                <w:sz w:val="24"/>
                <w:szCs w:val="24"/>
              </w:rPr>
              <w:t>课程目标4</w:t>
            </w:r>
          </w:p>
        </w:tc>
        <w:tc>
          <w:tcPr>
            <w:tcW w:w="1500" w:type="dxa"/>
          </w:tcPr>
          <w:p w14:paraId="7BB76E9E" w14:textId="77777777" w:rsidR="00CA386B" w:rsidRPr="00CA386B" w:rsidRDefault="00CA386B" w:rsidP="00CA386B">
            <w:pPr>
              <w:spacing w:line="440" w:lineRule="exact"/>
              <w:jc w:val="center"/>
              <w:rPr>
                <w:rFonts w:ascii="宋体" w:eastAsia="宋体" w:hAnsi="宋体" w:cs="宋体"/>
                <w:sz w:val="24"/>
                <w:szCs w:val="24"/>
              </w:rPr>
            </w:pPr>
          </w:p>
        </w:tc>
        <w:tc>
          <w:tcPr>
            <w:tcW w:w="1928" w:type="dxa"/>
          </w:tcPr>
          <w:p w14:paraId="471B9643"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5</w:t>
            </w:r>
          </w:p>
        </w:tc>
        <w:tc>
          <w:tcPr>
            <w:tcW w:w="1417" w:type="dxa"/>
            <w:vAlign w:val="center"/>
          </w:tcPr>
          <w:p w14:paraId="086073B7"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10</w:t>
            </w:r>
          </w:p>
        </w:tc>
        <w:tc>
          <w:tcPr>
            <w:tcW w:w="1393" w:type="dxa"/>
          </w:tcPr>
          <w:p w14:paraId="7743F21E"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15</w:t>
            </w:r>
          </w:p>
        </w:tc>
      </w:tr>
      <w:tr w:rsidR="00CA386B" w:rsidRPr="00CA386B" w14:paraId="3516ECCA" w14:textId="77777777" w:rsidTr="00B602D6">
        <w:trPr>
          <w:jc w:val="center"/>
        </w:trPr>
        <w:tc>
          <w:tcPr>
            <w:tcW w:w="1500" w:type="dxa"/>
          </w:tcPr>
          <w:p w14:paraId="646E6605"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合计</w:t>
            </w:r>
          </w:p>
        </w:tc>
        <w:tc>
          <w:tcPr>
            <w:tcW w:w="1500" w:type="dxa"/>
          </w:tcPr>
          <w:p w14:paraId="7A4CB477"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10</w:t>
            </w:r>
          </w:p>
        </w:tc>
        <w:tc>
          <w:tcPr>
            <w:tcW w:w="1928" w:type="dxa"/>
          </w:tcPr>
          <w:p w14:paraId="6BB43396"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30</w:t>
            </w:r>
          </w:p>
        </w:tc>
        <w:tc>
          <w:tcPr>
            <w:tcW w:w="1417" w:type="dxa"/>
            <w:vAlign w:val="center"/>
          </w:tcPr>
          <w:p w14:paraId="7B2BF328"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60</w:t>
            </w:r>
          </w:p>
        </w:tc>
        <w:tc>
          <w:tcPr>
            <w:tcW w:w="1393" w:type="dxa"/>
          </w:tcPr>
          <w:p w14:paraId="601C3480" w14:textId="77777777" w:rsidR="00CA386B" w:rsidRPr="00CA386B" w:rsidRDefault="00CA386B" w:rsidP="00CA386B">
            <w:pPr>
              <w:spacing w:line="440" w:lineRule="exact"/>
              <w:jc w:val="center"/>
              <w:rPr>
                <w:rFonts w:ascii="宋体" w:eastAsia="宋体" w:hAnsi="宋体" w:cs="宋体"/>
                <w:sz w:val="24"/>
                <w:szCs w:val="24"/>
              </w:rPr>
            </w:pPr>
            <w:r w:rsidRPr="00CA386B">
              <w:rPr>
                <w:rFonts w:ascii="宋体" w:eastAsia="宋体" w:hAnsi="宋体" w:cs="宋体" w:hint="eastAsia"/>
                <w:sz w:val="24"/>
                <w:szCs w:val="24"/>
              </w:rPr>
              <w:t>100</w:t>
            </w:r>
          </w:p>
        </w:tc>
      </w:tr>
    </w:tbl>
    <w:p w14:paraId="4B86D680" w14:textId="77777777" w:rsidR="00CA386B" w:rsidRPr="00CA386B" w:rsidRDefault="00CA386B" w:rsidP="00CA386B">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386B">
        <w:rPr>
          <w:rFonts w:ascii="Times New Roman" w:eastAsia="黑体" w:hAnsi="Times New Roman" w:cs="Times New Roman"/>
          <w:sz w:val="28"/>
          <w:szCs w:val="28"/>
        </w:rPr>
        <w:lastRenderedPageBreak/>
        <w:t>五、成绩评定</w:t>
      </w:r>
    </w:p>
    <w:p w14:paraId="0EDFD388" w14:textId="77777777" w:rsidR="00CA386B" w:rsidRPr="00CA386B" w:rsidRDefault="00CA386B" w:rsidP="00CA386B">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A386B">
        <w:rPr>
          <w:rFonts w:ascii="Times New Roman" w:eastAsia="黑体" w:hAnsi="Times New Roman" w:cs="Times New Roman"/>
          <w:sz w:val="28"/>
          <w:szCs w:val="28"/>
        </w:rPr>
        <w:t>（一）总成绩评定</w:t>
      </w:r>
    </w:p>
    <w:p w14:paraId="3BC2B284"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宋体" w:hint="eastAsia"/>
          <w:sz w:val="24"/>
          <w:szCs w:val="24"/>
        </w:rPr>
        <w:t>总成绩=平时成绩×40%+期末成绩×60%</w:t>
      </w:r>
    </w:p>
    <w:p w14:paraId="37474EF1" w14:textId="77777777" w:rsidR="00CA386B" w:rsidRPr="00CA386B" w:rsidRDefault="00CA386B" w:rsidP="00CA386B">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A386B">
        <w:rPr>
          <w:rFonts w:ascii="Times New Roman" w:eastAsia="黑体" w:hAnsi="Times New Roman" w:cs="Times New Roman"/>
          <w:sz w:val="28"/>
          <w:szCs w:val="28"/>
        </w:rPr>
        <w:t>（二）平时成绩评定</w:t>
      </w:r>
    </w:p>
    <w:p w14:paraId="45AC36FC"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宋体" w:hint="eastAsia"/>
          <w:sz w:val="24"/>
          <w:szCs w:val="24"/>
        </w:rPr>
        <w:t xml:space="preserve">平时成绩（100%）=课堂表现（25%）+平时作业及测试（75%） </w:t>
      </w:r>
    </w:p>
    <w:p w14:paraId="7AC64DAA" w14:textId="77777777" w:rsidR="00CA386B" w:rsidRPr="00CA386B" w:rsidRDefault="00CA386B" w:rsidP="00CA386B">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A386B">
        <w:rPr>
          <w:rFonts w:ascii="Times New Roman" w:eastAsia="黑体" w:hAnsi="Times New Roman" w:cs="Times New Roman"/>
          <w:sz w:val="28"/>
          <w:szCs w:val="28"/>
        </w:rPr>
        <w:t>（三）期末成绩评定</w:t>
      </w:r>
    </w:p>
    <w:p w14:paraId="249E7715"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Times New Roman"/>
          <w:sz w:val="24"/>
          <w:szCs w:val="24"/>
        </w:rPr>
        <w:t>期末考核主要考</w:t>
      </w:r>
      <w:r w:rsidRPr="00CA386B">
        <w:rPr>
          <w:rFonts w:ascii="宋体" w:eastAsia="宋体" w:hAnsi="宋体" w:cs="Times New Roman" w:hint="eastAsia"/>
          <w:sz w:val="24"/>
          <w:szCs w:val="24"/>
        </w:rPr>
        <w:t>查</w:t>
      </w:r>
      <w:r w:rsidRPr="00CA386B">
        <w:rPr>
          <w:rFonts w:ascii="宋体" w:eastAsia="宋体" w:hAnsi="宋体" w:cs="Times New Roman"/>
          <w:sz w:val="24"/>
          <w:szCs w:val="24"/>
        </w:rPr>
        <w:t>学生对</w:t>
      </w:r>
      <w:r w:rsidRPr="00CA386B">
        <w:rPr>
          <w:rFonts w:ascii="宋体" w:eastAsia="宋体" w:hAnsi="宋体" w:cs="Times New Roman" w:hint="eastAsia"/>
          <w:sz w:val="24"/>
          <w:szCs w:val="24"/>
        </w:rPr>
        <w:t>极限论</w:t>
      </w:r>
      <w:r w:rsidRPr="00CA386B">
        <w:rPr>
          <w:rFonts w:ascii="宋体" w:eastAsia="宋体" w:hAnsi="宋体" w:cs="Times New Roman"/>
          <w:sz w:val="24"/>
          <w:szCs w:val="24"/>
        </w:rPr>
        <w:t>与</w:t>
      </w:r>
      <w:r w:rsidRPr="00CA386B">
        <w:rPr>
          <w:rFonts w:ascii="宋体" w:eastAsia="宋体" w:hAnsi="宋体" w:cs="Times New Roman" w:hint="eastAsia"/>
          <w:sz w:val="24"/>
          <w:szCs w:val="24"/>
        </w:rPr>
        <w:t>一元微积分</w:t>
      </w:r>
      <w:r w:rsidRPr="00CA386B">
        <w:rPr>
          <w:rFonts w:ascii="宋体" w:eastAsia="宋体" w:hAnsi="宋体" w:cs="Times New Roman"/>
          <w:sz w:val="24"/>
          <w:szCs w:val="24"/>
        </w:rPr>
        <w:t>的基本概念、基本理论的理解，以及运用这些知识解决问题的能力等。方式为闭卷考试。要求学生掌握</w:t>
      </w:r>
      <w:r w:rsidRPr="00CA386B">
        <w:rPr>
          <w:rFonts w:ascii="宋体" w:eastAsia="宋体" w:hAnsi="宋体" w:cs="Times New Roman" w:hint="eastAsia"/>
          <w:sz w:val="24"/>
          <w:szCs w:val="24"/>
        </w:rPr>
        <w:t>极限论</w:t>
      </w:r>
      <w:r w:rsidRPr="00CA386B">
        <w:rPr>
          <w:rFonts w:ascii="宋体" w:eastAsia="宋体" w:hAnsi="宋体" w:cs="Times New Roman"/>
          <w:sz w:val="24"/>
          <w:szCs w:val="24"/>
        </w:rPr>
        <w:t>与</w:t>
      </w:r>
      <w:r w:rsidRPr="00CA386B">
        <w:rPr>
          <w:rFonts w:ascii="宋体" w:eastAsia="宋体" w:hAnsi="宋体" w:cs="Times New Roman" w:hint="eastAsia"/>
          <w:sz w:val="24"/>
          <w:szCs w:val="24"/>
        </w:rPr>
        <w:t>一元微积分</w:t>
      </w:r>
      <w:r w:rsidRPr="00CA386B">
        <w:rPr>
          <w:rFonts w:ascii="宋体" w:eastAsia="宋体" w:hAnsi="宋体" w:cs="Times New Roman"/>
          <w:sz w:val="24"/>
          <w:szCs w:val="24"/>
        </w:rPr>
        <w:t>的基本概念</w:t>
      </w:r>
      <w:r w:rsidRPr="00CA386B">
        <w:rPr>
          <w:rFonts w:ascii="宋体" w:eastAsia="宋体" w:hAnsi="宋体" w:cs="Times New Roman" w:hint="eastAsia"/>
          <w:sz w:val="24"/>
          <w:szCs w:val="24"/>
        </w:rPr>
        <w:t>、基本理论以及</w:t>
      </w:r>
      <w:r w:rsidRPr="00CA386B">
        <w:rPr>
          <w:rFonts w:ascii="宋体" w:eastAsia="宋体" w:hAnsi="宋体" w:cs="Times New Roman"/>
          <w:sz w:val="24"/>
          <w:szCs w:val="24"/>
        </w:rPr>
        <w:t>基本的计算方法，能运用所学知识解决相关问题。</w:t>
      </w:r>
    </w:p>
    <w:p w14:paraId="6E4B3213" w14:textId="77777777" w:rsidR="00CA386B" w:rsidRPr="00CA386B" w:rsidRDefault="00CA386B" w:rsidP="00CA386B">
      <w:pPr>
        <w:spacing w:beforeLines="50" w:before="156" w:afterLines="50" w:after="156" w:line="440" w:lineRule="exact"/>
        <w:ind w:firstLineChars="200" w:firstLine="560"/>
        <w:outlineLvl w:val="1"/>
        <w:rPr>
          <w:rFonts w:ascii="宋体" w:eastAsia="黑体" w:hAnsi="宋体" w:cs="Times New Roman"/>
          <w:sz w:val="24"/>
          <w:szCs w:val="28"/>
        </w:rPr>
      </w:pPr>
      <w:r w:rsidRPr="00CA386B">
        <w:rPr>
          <w:rFonts w:ascii="Times New Roman" w:eastAsia="黑体" w:hAnsi="Times New Roman" w:cs="Times New Roman" w:hint="eastAsia"/>
          <w:sz w:val="28"/>
          <w:szCs w:val="28"/>
        </w:rPr>
        <w:t>六、推荐教材、相关推荐书目及课程资源</w:t>
      </w:r>
    </w:p>
    <w:p w14:paraId="55CCEDC0" w14:textId="77777777" w:rsidR="00CA386B" w:rsidRPr="00CA386B" w:rsidRDefault="00CA386B" w:rsidP="00CA386B">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A386B">
        <w:rPr>
          <w:rFonts w:ascii="Times New Roman" w:eastAsia="黑体" w:hAnsi="Times New Roman" w:cs="Times New Roman" w:hint="eastAsia"/>
          <w:sz w:val="28"/>
          <w:szCs w:val="28"/>
        </w:rPr>
        <w:t>（一）推荐教材</w:t>
      </w:r>
    </w:p>
    <w:p w14:paraId="31C9B97D" w14:textId="77777777" w:rsidR="00CA386B" w:rsidRPr="00CA386B" w:rsidRDefault="00CA386B" w:rsidP="00CA386B">
      <w:pPr>
        <w:spacing w:line="440" w:lineRule="exact"/>
        <w:ind w:firstLineChars="200" w:firstLine="480"/>
        <w:rPr>
          <w:rFonts w:ascii="宋体" w:eastAsia="宋体" w:hAnsi="宋体" w:cs="Times New Roman"/>
          <w:color w:val="000000"/>
          <w:sz w:val="24"/>
          <w:szCs w:val="24"/>
        </w:rPr>
      </w:pPr>
      <w:r w:rsidRPr="00CA386B">
        <w:rPr>
          <w:rFonts w:ascii="宋体" w:eastAsia="宋体" w:hAnsi="宋体" w:cs="Times New Roman" w:hint="eastAsia"/>
          <w:color w:val="000000"/>
          <w:sz w:val="24"/>
          <w:szCs w:val="24"/>
        </w:rPr>
        <w:t>同济大学数学系编</w:t>
      </w:r>
      <w:r w:rsidRPr="00CA386B">
        <w:rPr>
          <w:rFonts w:ascii="宋体" w:eastAsia="宋体" w:hAnsi="宋体" w:cs="Times New Roman" w:hint="eastAsia"/>
          <w:sz w:val="24"/>
          <w:szCs w:val="24"/>
        </w:rPr>
        <w:t>：</w:t>
      </w:r>
      <w:r w:rsidRPr="00CA386B">
        <w:rPr>
          <w:rFonts w:ascii="宋体" w:eastAsia="宋体" w:hAnsi="宋体" w:cs="Times New Roman" w:hint="eastAsia"/>
          <w:color w:val="000000"/>
          <w:sz w:val="24"/>
          <w:szCs w:val="24"/>
        </w:rPr>
        <w:t>《高等数学（本科</w:t>
      </w:r>
      <w:r w:rsidRPr="00CA386B">
        <w:rPr>
          <w:rFonts w:ascii="宋体" w:eastAsia="宋体" w:hAnsi="宋体" w:cs="Times New Roman"/>
          <w:color w:val="000000"/>
          <w:sz w:val="24"/>
          <w:szCs w:val="24"/>
        </w:rPr>
        <w:t>少学时类型</w:t>
      </w:r>
      <w:r w:rsidRPr="00CA386B">
        <w:rPr>
          <w:rFonts w:ascii="宋体" w:eastAsia="宋体" w:hAnsi="宋体" w:cs="Times New Roman" w:hint="eastAsia"/>
          <w:color w:val="000000"/>
          <w:sz w:val="24"/>
          <w:szCs w:val="24"/>
        </w:rPr>
        <w:t>）》（</w:t>
      </w:r>
      <w:r w:rsidRPr="00CA386B">
        <w:rPr>
          <w:rFonts w:ascii="宋体" w:eastAsia="宋体" w:hAnsi="宋体" w:cs="Times New Roman"/>
          <w:color w:val="000000"/>
          <w:sz w:val="24"/>
          <w:szCs w:val="24"/>
        </w:rPr>
        <w:t>第</w:t>
      </w:r>
      <w:r w:rsidRPr="00CA386B">
        <w:rPr>
          <w:rFonts w:ascii="宋体" w:eastAsia="宋体" w:hAnsi="宋体" w:cs="Times New Roman" w:hint="eastAsia"/>
          <w:color w:val="000000"/>
          <w:sz w:val="24"/>
          <w:szCs w:val="24"/>
        </w:rPr>
        <w:t>四</w:t>
      </w:r>
      <w:r w:rsidRPr="00CA386B">
        <w:rPr>
          <w:rFonts w:ascii="宋体" w:eastAsia="宋体" w:hAnsi="宋体" w:cs="Times New Roman"/>
          <w:color w:val="000000"/>
          <w:sz w:val="24"/>
          <w:szCs w:val="24"/>
        </w:rPr>
        <w:t>版</w:t>
      </w:r>
      <w:r w:rsidRPr="00CA386B">
        <w:rPr>
          <w:rFonts w:ascii="宋体" w:eastAsia="宋体" w:hAnsi="宋体" w:cs="Times New Roman" w:hint="eastAsia"/>
          <w:color w:val="000000"/>
          <w:sz w:val="24"/>
          <w:szCs w:val="24"/>
        </w:rPr>
        <w:t>）</w:t>
      </w:r>
      <w:r w:rsidRPr="00CA386B">
        <w:rPr>
          <w:rFonts w:ascii="宋体" w:eastAsia="宋体" w:hAnsi="宋体" w:cs="Times New Roman"/>
          <w:color w:val="000000"/>
          <w:sz w:val="24"/>
          <w:szCs w:val="24"/>
        </w:rPr>
        <w:t>，</w:t>
      </w:r>
      <w:r w:rsidRPr="00CA386B">
        <w:rPr>
          <w:rFonts w:ascii="宋体" w:eastAsia="宋体" w:hAnsi="宋体" w:cs="Times New Roman" w:hint="eastAsia"/>
          <w:color w:val="000000"/>
          <w:sz w:val="24"/>
          <w:szCs w:val="24"/>
        </w:rPr>
        <w:t>高等教育</w:t>
      </w:r>
      <w:r w:rsidRPr="00CA386B">
        <w:rPr>
          <w:rFonts w:ascii="宋体" w:eastAsia="宋体" w:hAnsi="宋体" w:cs="Times New Roman"/>
          <w:color w:val="000000"/>
          <w:sz w:val="24"/>
          <w:szCs w:val="24"/>
        </w:rPr>
        <w:t>出版社，</w:t>
      </w:r>
      <w:r w:rsidRPr="00CA386B">
        <w:rPr>
          <w:rFonts w:ascii="宋体" w:eastAsia="宋体" w:hAnsi="宋体" w:cs="Times New Roman" w:hint="eastAsia"/>
          <w:color w:val="000000"/>
          <w:sz w:val="24"/>
          <w:szCs w:val="24"/>
        </w:rPr>
        <w:t>2015年。</w:t>
      </w:r>
    </w:p>
    <w:p w14:paraId="22DDC8FA" w14:textId="77777777" w:rsidR="00CA386B" w:rsidRPr="00CA386B" w:rsidRDefault="00CA386B" w:rsidP="00CA386B">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A386B">
        <w:rPr>
          <w:rFonts w:ascii="Times New Roman" w:eastAsia="黑体" w:hAnsi="Times New Roman" w:cs="Times New Roman" w:hint="eastAsia"/>
          <w:sz w:val="28"/>
          <w:szCs w:val="28"/>
        </w:rPr>
        <w:t>（二）相关推荐书目</w:t>
      </w:r>
    </w:p>
    <w:p w14:paraId="3173ED1F" w14:textId="77777777" w:rsidR="00CA386B" w:rsidRPr="00CA386B" w:rsidRDefault="00CA386B" w:rsidP="00CA386B">
      <w:pPr>
        <w:spacing w:line="440" w:lineRule="exact"/>
        <w:ind w:firstLineChars="200" w:firstLine="480"/>
        <w:rPr>
          <w:rFonts w:ascii="宋体" w:eastAsia="宋体" w:hAnsi="宋体" w:cs="Times New Roman"/>
          <w:color w:val="000000"/>
          <w:sz w:val="24"/>
          <w:szCs w:val="24"/>
        </w:rPr>
      </w:pPr>
      <w:r w:rsidRPr="00CA386B">
        <w:rPr>
          <w:rFonts w:ascii="宋体" w:eastAsia="宋体" w:hAnsi="宋体" w:cs="宋体" w:hint="eastAsia"/>
          <w:sz w:val="24"/>
          <w:szCs w:val="24"/>
        </w:rPr>
        <w:t xml:space="preserve">1. </w:t>
      </w:r>
      <w:r w:rsidRPr="00CA386B">
        <w:rPr>
          <w:rFonts w:ascii="宋体" w:eastAsia="宋体" w:hAnsi="宋体" w:cs="Times New Roman" w:hint="eastAsia"/>
          <w:color w:val="000000"/>
          <w:sz w:val="24"/>
          <w:szCs w:val="24"/>
        </w:rPr>
        <w:t>同济大学数学系编</w:t>
      </w:r>
      <w:r w:rsidRPr="00CA386B">
        <w:rPr>
          <w:rFonts w:ascii="宋体" w:eastAsia="宋体" w:hAnsi="宋体" w:cs="Times New Roman" w:hint="eastAsia"/>
          <w:sz w:val="24"/>
          <w:szCs w:val="24"/>
        </w:rPr>
        <w:t>：</w:t>
      </w:r>
      <w:r w:rsidRPr="00CA386B">
        <w:rPr>
          <w:rFonts w:ascii="宋体" w:eastAsia="宋体" w:hAnsi="宋体" w:cs="Times New Roman" w:hint="eastAsia"/>
          <w:color w:val="000000"/>
          <w:sz w:val="24"/>
          <w:szCs w:val="24"/>
        </w:rPr>
        <w:t>《高等数学》（</w:t>
      </w:r>
      <w:r w:rsidRPr="00CA386B">
        <w:rPr>
          <w:rFonts w:ascii="宋体" w:eastAsia="宋体" w:hAnsi="宋体" w:cs="Times New Roman"/>
          <w:color w:val="000000"/>
          <w:sz w:val="24"/>
          <w:szCs w:val="24"/>
        </w:rPr>
        <w:t>第</w:t>
      </w:r>
      <w:r w:rsidRPr="00CA386B">
        <w:rPr>
          <w:rFonts w:ascii="宋体" w:eastAsia="宋体" w:hAnsi="宋体" w:cs="Times New Roman" w:hint="eastAsia"/>
          <w:color w:val="000000"/>
          <w:sz w:val="24"/>
          <w:szCs w:val="24"/>
        </w:rPr>
        <w:t>七</w:t>
      </w:r>
      <w:r w:rsidRPr="00CA386B">
        <w:rPr>
          <w:rFonts w:ascii="宋体" w:eastAsia="宋体" w:hAnsi="宋体" w:cs="Times New Roman"/>
          <w:color w:val="000000"/>
          <w:sz w:val="24"/>
          <w:szCs w:val="24"/>
        </w:rPr>
        <w:t>版</w:t>
      </w:r>
      <w:r w:rsidRPr="00CA386B">
        <w:rPr>
          <w:rFonts w:ascii="宋体" w:eastAsia="宋体" w:hAnsi="宋体" w:cs="Times New Roman" w:hint="eastAsia"/>
          <w:color w:val="000000"/>
          <w:sz w:val="24"/>
          <w:szCs w:val="24"/>
        </w:rPr>
        <w:t>）</w:t>
      </w:r>
      <w:r w:rsidRPr="00CA386B">
        <w:rPr>
          <w:rFonts w:ascii="宋体" w:eastAsia="宋体" w:hAnsi="宋体" w:cs="Times New Roman"/>
          <w:color w:val="000000"/>
          <w:sz w:val="24"/>
          <w:szCs w:val="24"/>
        </w:rPr>
        <w:t>，</w:t>
      </w:r>
      <w:r w:rsidRPr="00CA386B">
        <w:rPr>
          <w:rFonts w:ascii="宋体" w:eastAsia="宋体" w:hAnsi="宋体" w:cs="Times New Roman" w:hint="eastAsia"/>
          <w:color w:val="000000"/>
          <w:sz w:val="24"/>
          <w:szCs w:val="24"/>
        </w:rPr>
        <w:t>高等教育</w:t>
      </w:r>
      <w:r w:rsidRPr="00CA386B">
        <w:rPr>
          <w:rFonts w:ascii="宋体" w:eastAsia="宋体" w:hAnsi="宋体" w:cs="Times New Roman"/>
          <w:color w:val="000000"/>
          <w:sz w:val="24"/>
          <w:szCs w:val="24"/>
        </w:rPr>
        <w:t>出版社，</w:t>
      </w:r>
      <w:r w:rsidRPr="00CA386B">
        <w:rPr>
          <w:rFonts w:ascii="宋体" w:eastAsia="宋体" w:hAnsi="宋体" w:cs="Times New Roman" w:hint="eastAsia"/>
          <w:color w:val="000000"/>
          <w:sz w:val="24"/>
          <w:szCs w:val="24"/>
        </w:rPr>
        <w:t>2014年</w:t>
      </w:r>
      <w:r w:rsidRPr="00CA386B">
        <w:rPr>
          <w:rFonts w:ascii="宋体" w:eastAsia="宋体" w:hAnsi="宋体" w:cs="宋体" w:hint="eastAsia"/>
          <w:sz w:val="24"/>
          <w:szCs w:val="24"/>
        </w:rPr>
        <w:t xml:space="preserve">； </w:t>
      </w:r>
    </w:p>
    <w:p w14:paraId="475C90FC"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宋体" w:hint="eastAsia"/>
          <w:sz w:val="24"/>
          <w:szCs w:val="24"/>
        </w:rPr>
        <w:t>2. 华东师范大学数学系编：《数学分析》（第四版），高等教育出版社，2010年；</w:t>
      </w:r>
    </w:p>
    <w:p w14:paraId="4532DB67"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宋体" w:hint="eastAsia"/>
          <w:sz w:val="24"/>
          <w:szCs w:val="24"/>
        </w:rPr>
        <w:t>3. 同济大学数学系编：《高等数学习题全解指南》，高等教育出版社，2014年；</w:t>
      </w:r>
    </w:p>
    <w:p w14:paraId="4B17DFAD"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宋体" w:hint="eastAsia"/>
          <w:sz w:val="24"/>
          <w:szCs w:val="24"/>
        </w:rPr>
        <w:t>4. 李永乐，王式安，季文铎编：《数学历年真题权威解析》，西安交通大学出版社，2016年；</w:t>
      </w:r>
    </w:p>
    <w:p w14:paraId="6DECC0D8" w14:textId="77777777" w:rsidR="00CA386B" w:rsidRPr="00CA386B" w:rsidRDefault="00CA386B" w:rsidP="00CA386B">
      <w:pPr>
        <w:spacing w:line="440" w:lineRule="exact"/>
        <w:ind w:firstLineChars="200" w:firstLine="480"/>
        <w:rPr>
          <w:rFonts w:ascii="宋体" w:eastAsia="宋体" w:hAnsi="宋体" w:cs="Times New Roman"/>
          <w:sz w:val="24"/>
          <w:szCs w:val="24"/>
        </w:rPr>
      </w:pPr>
      <w:r w:rsidRPr="00CA386B">
        <w:rPr>
          <w:rFonts w:ascii="宋体" w:eastAsia="宋体" w:hAnsi="宋体" w:cs="宋体" w:hint="eastAsia"/>
          <w:sz w:val="24"/>
          <w:szCs w:val="24"/>
        </w:rPr>
        <w:t>5. 张宇主编：《张宇高等数学18讲》，高等教育出版社，2019年。</w:t>
      </w:r>
    </w:p>
    <w:p w14:paraId="2EAF05DF" w14:textId="77777777" w:rsidR="00CA386B" w:rsidRPr="00CA386B" w:rsidRDefault="00CA386B" w:rsidP="00CA386B">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A386B">
        <w:rPr>
          <w:rFonts w:ascii="Times New Roman" w:eastAsia="黑体" w:hAnsi="Times New Roman" w:cs="Times New Roman" w:hint="eastAsia"/>
          <w:sz w:val="28"/>
          <w:szCs w:val="28"/>
        </w:rPr>
        <w:t>（三）课程资源</w:t>
      </w:r>
    </w:p>
    <w:p w14:paraId="0B8108F7"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宋体" w:hint="eastAsia"/>
          <w:sz w:val="24"/>
          <w:szCs w:val="24"/>
        </w:rPr>
        <w:t>1. 本课程的学习资源包括教材、图书馆相关书籍、网络平台相关资料等；</w:t>
      </w:r>
    </w:p>
    <w:p w14:paraId="7041B41C"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宋体" w:hint="eastAsia"/>
          <w:sz w:val="24"/>
          <w:szCs w:val="24"/>
        </w:rPr>
        <w:t>2.  学生可以通过</w:t>
      </w:r>
      <w:proofErr w:type="gramStart"/>
      <w:r w:rsidRPr="00CA386B">
        <w:rPr>
          <w:rFonts w:ascii="宋体" w:eastAsia="宋体" w:hAnsi="宋体" w:cs="宋体" w:hint="eastAsia"/>
          <w:sz w:val="24"/>
          <w:szCs w:val="24"/>
        </w:rPr>
        <w:t>微信公众号</w:t>
      </w:r>
      <w:proofErr w:type="gramEnd"/>
      <w:r w:rsidRPr="00CA386B">
        <w:rPr>
          <w:rFonts w:ascii="宋体" w:eastAsia="宋体" w:hAnsi="宋体" w:cs="宋体" w:hint="eastAsia"/>
          <w:sz w:val="24"/>
          <w:szCs w:val="24"/>
        </w:rPr>
        <w:t>：高数叔，进行自主学习；</w:t>
      </w:r>
    </w:p>
    <w:p w14:paraId="23A781D9" w14:textId="77777777" w:rsidR="00CA386B" w:rsidRPr="00CA386B" w:rsidRDefault="00CA386B" w:rsidP="00CA386B">
      <w:pPr>
        <w:spacing w:line="440" w:lineRule="exact"/>
        <w:ind w:firstLineChars="200" w:firstLine="480"/>
        <w:rPr>
          <w:rFonts w:ascii="宋体" w:eastAsia="宋体" w:hAnsi="宋体" w:cs="宋体"/>
          <w:sz w:val="24"/>
          <w:szCs w:val="24"/>
        </w:rPr>
      </w:pPr>
      <w:r w:rsidRPr="00CA386B">
        <w:rPr>
          <w:rFonts w:ascii="宋体" w:eastAsia="宋体" w:hAnsi="宋体" w:cs="宋体" w:hint="eastAsia"/>
          <w:sz w:val="24"/>
          <w:szCs w:val="24"/>
        </w:rPr>
        <w:t>3. 学生可以通过中国</w:t>
      </w:r>
      <w:proofErr w:type="gramStart"/>
      <w:r w:rsidRPr="00CA386B">
        <w:rPr>
          <w:rFonts w:ascii="宋体" w:eastAsia="宋体" w:hAnsi="宋体" w:cs="宋体" w:hint="eastAsia"/>
          <w:sz w:val="24"/>
          <w:szCs w:val="24"/>
        </w:rPr>
        <w:t>大学慕课自主学习</w:t>
      </w:r>
      <w:proofErr w:type="gramEnd"/>
      <w:r w:rsidRPr="00CA386B">
        <w:rPr>
          <w:rFonts w:ascii="宋体" w:eastAsia="宋体" w:hAnsi="宋体" w:cs="宋体" w:hint="eastAsia"/>
          <w:sz w:val="24"/>
          <w:szCs w:val="24"/>
        </w:rPr>
        <w:t>。</w:t>
      </w:r>
    </w:p>
    <w:p w14:paraId="6C2D160E" w14:textId="77777777" w:rsidR="00CA386B" w:rsidRPr="00CA386B" w:rsidRDefault="00CA386B" w:rsidP="00CA386B">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386B">
        <w:rPr>
          <w:rFonts w:ascii="Times New Roman" w:eastAsia="黑体" w:hAnsi="Times New Roman" w:cs="Times New Roman" w:hint="eastAsia"/>
          <w:sz w:val="28"/>
          <w:szCs w:val="28"/>
        </w:rPr>
        <w:t>七、课程大纲制定依据</w:t>
      </w:r>
    </w:p>
    <w:p w14:paraId="18B40815" w14:textId="77777777" w:rsidR="00CA386B" w:rsidRPr="00CA386B" w:rsidRDefault="00CA386B" w:rsidP="00B602D6">
      <w:pPr>
        <w:ind w:firstLineChars="200" w:firstLine="480"/>
        <w:rPr>
          <w:rFonts w:ascii="Times New Roman" w:eastAsia="宋体" w:hAnsi="Times New Roman" w:cs="Times New Roman"/>
          <w:szCs w:val="24"/>
        </w:rPr>
      </w:pPr>
      <w:r w:rsidRPr="00CA386B">
        <w:rPr>
          <w:rFonts w:ascii="宋体" w:eastAsia="宋体" w:hAnsi="宋体" w:cs="宋体" w:hint="eastAsia"/>
          <w:sz w:val="24"/>
          <w:szCs w:val="24"/>
        </w:rPr>
        <w:t>本课程大纲依据2023年药物分析专业人才培养方案制定。</w:t>
      </w:r>
    </w:p>
    <w:p w14:paraId="4DA6BDCF" w14:textId="77777777" w:rsidR="00AB7A5F" w:rsidRDefault="00AB7A5F" w:rsidP="00423AD2">
      <w:pPr>
        <w:rPr>
          <w:rFonts w:ascii="Calibri" w:eastAsia="宋体" w:hAnsi="Calibri" w:cs="Times New Roman"/>
          <w:bCs/>
        </w:rPr>
      </w:pPr>
    </w:p>
    <w:p w14:paraId="10CC802D" w14:textId="77777777" w:rsidR="00AB7A5F" w:rsidRPr="00AB7A5F" w:rsidRDefault="00AB7A5F" w:rsidP="00884E21">
      <w:pPr>
        <w:pStyle w:val="1"/>
      </w:pPr>
      <w:bookmarkStart w:id="152" w:name="_Toc149662354"/>
      <w:r w:rsidRPr="00AB7A5F">
        <w:lastRenderedPageBreak/>
        <w:t>《无机化学》课程大纲</w:t>
      </w:r>
      <w:bookmarkEnd w:id="152"/>
    </w:p>
    <w:p w14:paraId="105DE6E3"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7"/>
        <w:gridCol w:w="2751"/>
        <w:gridCol w:w="1523"/>
        <w:gridCol w:w="2876"/>
      </w:tblGrid>
      <w:tr w:rsidR="00AB7A5F" w:rsidRPr="00AB7A5F" w14:paraId="164A0AE6" w14:textId="77777777" w:rsidTr="00AB7A5F">
        <w:trPr>
          <w:trHeight w:val="886"/>
          <w:jc w:val="center"/>
        </w:trPr>
        <w:tc>
          <w:tcPr>
            <w:tcW w:w="1668" w:type="dxa"/>
            <w:vAlign w:val="center"/>
          </w:tcPr>
          <w:p w14:paraId="7D6F5034"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课程名称</w:t>
            </w:r>
          </w:p>
        </w:tc>
        <w:tc>
          <w:tcPr>
            <w:tcW w:w="2833" w:type="dxa"/>
            <w:vAlign w:val="center"/>
          </w:tcPr>
          <w:p w14:paraId="3264CE82"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color w:val="000000"/>
                <w:kern w:val="0"/>
                <w:sz w:val="24"/>
                <w:szCs w:val="24"/>
              </w:rPr>
              <w:t>无机化学</w:t>
            </w:r>
          </w:p>
        </w:tc>
        <w:tc>
          <w:tcPr>
            <w:tcW w:w="1561" w:type="dxa"/>
            <w:vAlign w:val="center"/>
          </w:tcPr>
          <w:p w14:paraId="60530F31"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课程代码</w:t>
            </w:r>
          </w:p>
        </w:tc>
        <w:tc>
          <w:tcPr>
            <w:tcW w:w="2941" w:type="dxa"/>
            <w:vAlign w:val="center"/>
          </w:tcPr>
          <w:p w14:paraId="6D7AACF4"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color w:val="000000"/>
                <w:kern w:val="0"/>
                <w:sz w:val="24"/>
                <w:szCs w:val="24"/>
              </w:rPr>
              <w:t>0701202</w:t>
            </w:r>
          </w:p>
        </w:tc>
      </w:tr>
      <w:tr w:rsidR="00AB7A5F" w:rsidRPr="00AB7A5F" w14:paraId="180647F9" w14:textId="77777777" w:rsidTr="00AB7A5F">
        <w:trPr>
          <w:trHeight w:val="829"/>
          <w:jc w:val="center"/>
        </w:trPr>
        <w:tc>
          <w:tcPr>
            <w:tcW w:w="1668" w:type="dxa"/>
            <w:vAlign w:val="center"/>
          </w:tcPr>
          <w:p w14:paraId="3190CF94"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课程类别</w:t>
            </w:r>
          </w:p>
        </w:tc>
        <w:tc>
          <w:tcPr>
            <w:tcW w:w="2833" w:type="dxa"/>
            <w:vAlign w:val="center"/>
          </w:tcPr>
          <w:p w14:paraId="1B78392F"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专业基础课</w:t>
            </w:r>
          </w:p>
        </w:tc>
        <w:tc>
          <w:tcPr>
            <w:tcW w:w="1561" w:type="dxa"/>
            <w:vAlign w:val="center"/>
          </w:tcPr>
          <w:p w14:paraId="6E36806F"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学时</w:t>
            </w:r>
          </w:p>
          <w:p w14:paraId="3BEA23A7"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w:t>
            </w:r>
            <w:r w:rsidRPr="00AB7A5F">
              <w:rPr>
                <w:rFonts w:ascii="Times New Roman" w:eastAsia="宋体" w:hAnsi="Times New Roman" w:cs="Times New Roman"/>
                <w:sz w:val="24"/>
                <w:szCs w:val="24"/>
              </w:rPr>
              <w:t>学分</w:t>
            </w:r>
          </w:p>
        </w:tc>
        <w:tc>
          <w:tcPr>
            <w:tcW w:w="2941" w:type="dxa"/>
            <w:vAlign w:val="center"/>
          </w:tcPr>
          <w:p w14:paraId="206684ED"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48/3</w:t>
            </w:r>
          </w:p>
        </w:tc>
      </w:tr>
      <w:tr w:rsidR="00AB7A5F" w:rsidRPr="00AB7A5F" w14:paraId="43614DA3" w14:textId="77777777" w:rsidTr="00AB7A5F">
        <w:trPr>
          <w:trHeight w:val="811"/>
          <w:jc w:val="center"/>
        </w:trPr>
        <w:tc>
          <w:tcPr>
            <w:tcW w:w="1668" w:type="dxa"/>
            <w:vAlign w:val="center"/>
          </w:tcPr>
          <w:p w14:paraId="4403E70F"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开课单位</w:t>
            </w:r>
          </w:p>
        </w:tc>
        <w:tc>
          <w:tcPr>
            <w:tcW w:w="2833" w:type="dxa"/>
            <w:vAlign w:val="center"/>
          </w:tcPr>
          <w:p w14:paraId="64C40EDA"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化工学院</w:t>
            </w:r>
          </w:p>
        </w:tc>
        <w:tc>
          <w:tcPr>
            <w:tcW w:w="1561" w:type="dxa"/>
            <w:vAlign w:val="center"/>
          </w:tcPr>
          <w:p w14:paraId="507AAA52"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适用专业</w:t>
            </w:r>
          </w:p>
        </w:tc>
        <w:tc>
          <w:tcPr>
            <w:tcW w:w="2941" w:type="dxa"/>
            <w:vAlign w:val="center"/>
          </w:tcPr>
          <w:p w14:paraId="0CE4DF90"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hint="eastAsia"/>
                <w:color w:val="000000"/>
                <w:kern w:val="0"/>
                <w:sz w:val="24"/>
                <w:szCs w:val="24"/>
              </w:rPr>
              <w:t>药物分析</w:t>
            </w:r>
          </w:p>
        </w:tc>
      </w:tr>
      <w:tr w:rsidR="00AB7A5F" w:rsidRPr="00AB7A5F" w14:paraId="43536940" w14:textId="77777777" w:rsidTr="00AB7A5F">
        <w:trPr>
          <w:trHeight w:val="811"/>
          <w:jc w:val="center"/>
        </w:trPr>
        <w:tc>
          <w:tcPr>
            <w:tcW w:w="1668" w:type="dxa"/>
            <w:vAlign w:val="center"/>
          </w:tcPr>
          <w:p w14:paraId="06EC3425"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课程负责人</w:t>
            </w:r>
          </w:p>
        </w:tc>
        <w:tc>
          <w:tcPr>
            <w:tcW w:w="7335" w:type="dxa"/>
            <w:gridSpan w:val="3"/>
            <w:vAlign w:val="center"/>
          </w:tcPr>
          <w:p w14:paraId="2E991F52" w14:textId="77777777" w:rsidR="00AB7A5F" w:rsidRPr="00AB7A5F" w:rsidRDefault="00AB7A5F" w:rsidP="00AB7A5F">
            <w:pPr>
              <w:spacing w:line="440" w:lineRule="exact"/>
              <w:jc w:val="center"/>
              <w:rPr>
                <w:rFonts w:ascii="Times New Roman" w:eastAsia="宋体" w:hAnsi="Times New Roman" w:cs="Times New Roman"/>
                <w:sz w:val="24"/>
                <w:szCs w:val="24"/>
              </w:rPr>
            </w:pPr>
            <w:proofErr w:type="gramStart"/>
            <w:r w:rsidRPr="00AB7A5F">
              <w:rPr>
                <w:rFonts w:ascii="Times New Roman" w:eastAsia="宋体" w:hAnsi="Times New Roman" w:cs="Times New Roman" w:hint="eastAsia"/>
                <w:sz w:val="24"/>
                <w:szCs w:val="24"/>
              </w:rPr>
              <w:t>陈丁龙</w:t>
            </w:r>
            <w:proofErr w:type="gramEnd"/>
          </w:p>
        </w:tc>
      </w:tr>
      <w:tr w:rsidR="00AB7A5F" w:rsidRPr="00AB7A5F" w14:paraId="795959C7" w14:textId="77777777" w:rsidTr="00AB7A5F">
        <w:trPr>
          <w:trHeight w:val="836"/>
          <w:jc w:val="center"/>
        </w:trPr>
        <w:tc>
          <w:tcPr>
            <w:tcW w:w="1668" w:type="dxa"/>
            <w:vAlign w:val="center"/>
          </w:tcPr>
          <w:p w14:paraId="71F99BA2"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大纲撰写人</w:t>
            </w:r>
          </w:p>
        </w:tc>
        <w:tc>
          <w:tcPr>
            <w:tcW w:w="2833" w:type="dxa"/>
            <w:vAlign w:val="center"/>
          </w:tcPr>
          <w:p w14:paraId="0FD47876" w14:textId="77777777" w:rsidR="00AB7A5F" w:rsidRPr="00AB7A5F" w:rsidRDefault="00AB7A5F" w:rsidP="00AB7A5F">
            <w:pPr>
              <w:spacing w:line="440" w:lineRule="exact"/>
              <w:jc w:val="center"/>
              <w:rPr>
                <w:rFonts w:ascii="Times New Roman" w:eastAsia="宋体" w:hAnsi="Times New Roman" w:cs="Times New Roman"/>
                <w:sz w:val="24"/>
                <w:szCs w:val="24"/>
              </w:rPr>
            </w:pPr>
            <w:proofErr w:type="gramStart"/>
            <w:r w:rsidRPr="00AB7A5F">
              <w:rPr>
                <w:rFonts w:ascii="Times New Roman" w:eastAsia="宋体" w:hAnsi="Times New Roman" w:cs="Times New Roman" w:hint="eastAsia"/>
                <w:sz w:val="24"/>
                <w:szCs w:val="24"/>
              </w:rPr>
              <w:t>陈丁龙</w:t>
            </w:r>
            <w:proofErr w:type="gramEnd"/>
          </w:p>
        </w:tc>
        <w:tc>
          <w:tcPr>
            <w:tcW w:w="1561" w:type="dxa"/>
            <w:vAlign w:val="center"/>
          </w:tcPr>
          <w:p w14:paraId="651DFBD7"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大纲审核人</w:t>
            </w:r>
          </w:p>
        </w:tc>
        <w:tc>
          <w:tcPr>
            <w:tcW w:w="2941" w:type="dxa"/>
            <w:vAlign w:val="center"/>
          </w:tcPr>
          <w:p w14:paraId="4A53510E"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吕立强</w:t>
            </w:r>
          </w:p>
        </w:tc>
      </w:tr>
      <w:tr w:rsidR="00AB7A5F" w:rsidRPr="00AB7A5F" w14:paraId="25C292AE" w14:textId="77777777" w:rsidTr="00AB7A5F">
        <w:trPr>
          <w:trHeight w:val="848"/>
          <w:jc w:val="center"/>
        </w:trPr>
        <w:tc>
          <w:tcPr>
            <w:tcW w:w="1668" w:type="dxa"/>
            <w:vAlign w:val="center"/>
          </w:tcPr>
          <w:p w14:paraId="73D6235F"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先修课程</w:t>
            </w:r>
          </w:p>
        </w:tc>
        <w:tc>
          <w:tcPr>
            <w:tcW w:w="7335" w:type="dxa"/>
            <w:gridSpan w:val="3"/>
            <w:vAlign w:val="center"/>
          </w:tcPr>
          <w:p w14:paraId="7917EBEB"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无</w:t>
            </w:r>
          </w:p>
        </w:tc>
      </w:tr>
      <w:tr w:rsidR="00AB7A5F" w:rsidRPr="00AB7A5F" w14:paraId="5A8C23D1" w14:textId="77777777" w:rsidTr="00AB7A5F">
        <w:trPr>
          <w:trHeight w:val="848"/>
          <w:jc w:val="center"/>
        </w:trPr>
        <w:tc>
          <w:tcPr>
            <w:tcW w:w="1668" w:type="dxa"/>
            <w:vAlign w:val="center"/>
          </w:tcPr>
          <w:p w14:paraId="3481DDE0"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课程网址</w:t>
            </w:r>
          </w:p>
        </w:tc>
        <w:tc>
          <w:tcPr>
            <w:tcW w:w="7335" w:type="dxa"/>
            <w:gridSpan w:val="3"/>
            <w:vAlign w:val="center"/>
          </w:tcPr>
          <w:p w14:paraId="7529AAD8" w14:textId="77777777" w:rsidR="00AB7A5F" w:rsidRPr="00AB7A5F" w:rsidRDefault="00AB7A5F" w:rsidP="00AB7A5F">
            <w:pPr>
              <w:spacing w:line="440" w:lineRule="exact"/>
              <w:rPr>
                <w:rFonts w:ascii="Times New Roman" w:eastAsia="宋体" w:hAnsi="Times New Roman" w:cs="Times New Roman"/>
                <w:color w:val="FF0000"/>
                <w:sz w:val="24"/>
                <w:szCs w:val="24"/>
              </w:rPr>
            </w:pPr>
          </w:p>
        </w:tc>
      </w:tr>
    </w:tbl>
    <w:p w14:paraId="4D46F2CD"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二、课程学习目标及与毕业要求的对应关系</w:t>
      </w:r>
    </w:p>
    <w:p w14:paraId="35DD6F33"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（一）课程学习目标</w:t>
      </w:r>
    </w:p>
    <w:p w14:paraId="0AFFD15F"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通过本课程的学习，使学生达到以下目标：</w:t>
      </w:r>
    </w:p>
    <w:p w14:paraId="130FD4D3" w14:textId="77777777" w:rsidR="00AB7A5F" w:rsidRPr="00AB7A5F" w:rsidRDefault="00AB7A5F" w:rsidP="00AB7A5F">
      <w:pPr>
        <w:spacing w:line="440" w:lineRule="exact"/>
        <w:ind w:firstLineChars="200" w:firstLine="480"/>
        <w:rPr>
          <w:rFonts w:ascii="Times New Roman" w:eastAsia="宋体" w:hAnsi="Times New Roman" w:cs="Times New Roman"/>
          <w:b/>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hint="eastAsia"/>
          <w:sz w:val="24"/>
          <w:szCs w:val="24"/>
        </w:rPr>
        <w:t>能够将无机化学知识用于识别、分析和解决药物分析学的实践问题。</w:t>
      </w:r>
      <w:r w:rsidRPr="00AB7A5F">
        <w:rPr>
          <w:rFonts w:ascii="Times New Roman" w:eastAsia="宋体" w:hAnsi="Times New Roman" w:cs="Times New Roman"/>
          <w:b/>
          <w:sz w:val="24"/>
          <w:szCs w:val="24"/>
        </w:rPr>
        <w:t>【毕业要求</w:t>
      </w:r>
      <w:r w:rsidRPr="00AB7A5F">
        <w:rPr>
          <w:rFonts w:ascii="Times New Roman" w:eastAsia="宋体" w:hAnsi="Times New Roman" w:cs="Times New Roman"/>
          <w:b/>
          <w:sz w:val="24"/>
          <w:szCs w:val="24"/>
        </w:rPr>
        <w:t>1</w:t>
      </w:r>
      <w:r w:rsidRPr="00AB7A5F">
        <w:rPr>
          <w:rFonts w:ascii="Times New Roman" w:eastAsia="宋体" w:hAnsi="Times New Roman" w:cs="Times New Roman" w:hint="eastAsia"/>
          <w:b/>
          <w:sz w:val="24"/>
          <w:szCs w:val="24"/>
        </w:rPr>
        <w:t xml:space="preserve"> </w:t>
      </w:r>
      <w:r w:rsidRPr="00AB7A5F">
        <w:rPr>
          <w:rFonts w:ascii="Times New Roman" w:eastAsia="宋体" w:hAnsi="Times New Roman" w:cs="Times New Roman" w:hint="eastAsia"/>
          <w:b/>
          <w:sz w:val="24"/>
          <w:szCs w:val="24"/>
        </w:rPr>
        <w:t>药学</w:t>
      </w:r>
      <w:r w:rsidRPr="00AB7A5F">
        <w:rPr>
          <w:rFonts w:ascii="Times New Roman" w:eastAsia="宋体" w:hAnsi="Times New Roman" w:cs="Times New Roman"/>
          <w:b/>
          <w:sz w:val="24"/>
          <w:szCs w:val="24"/>
        </w:rPr>
        <w:t>知识】</w:t>
      </w:r>
    </w:p>
    <w:p w14:paraId="616455AD"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2.</w:t>
      </w:r>
      <w:r w:rsidRPr="00AB7A5F">
        <w:rPr>
          <w:rFonts w:ascii="Times New Roman" w:eastAsia="宋体" w:hAnsi="Times New Roman" w:cs="Times New Roman" w:hint="eastAsia"/>
          <w:sz w:val="24"/>
          <w:szCs w:val="24"/>
        </w:rPr>
        <w:t xml:space="preserve"> </w:t>
      </w:r>
      <w:r w:rsidRPr="00AB7A5F">
        <w:rPr>
          <w:rFonts w:ascii="Times New Roman" w:eastAsia="宋体" w:hAnsi="Times New Roman" w:cs="Times New Roman" w:hint="eastAsia"/>
          <w:sz w:val="24"/>
          <w:szCs w:val="24"/>
        </w:rPr>
        <w:t>能够运用无机化学基本原理，识别、定义药物分析学的实践问题。【</w:t>
      </w:r>
      <w:r w:rsidRPr="00AB7A5F">
        <w:rPr>
          <w:rFonts w:ascii="Times New Roman" w:eastAsia="宋体" w:hAnsi="Times New Roman" w:cs="Times New Roman"/>
          <w:b/>
          <w:sz w:val="24"/>
          <w:szCs w:val="24"/>
        </w:rPr>
        <w:t>毕业要求</w:t>
      </w:r>
      <w:r w:rsidRPr="00AB7A5F">
        <w:rPr>
          <w:rFonts w:ascii="Times New Roman" w:eastAsia="宋体" w:hAnsi="Times New Roman" w:cs="Times New Roman"/>
          <w:b/>
          <w:sz w:val="24"/>
          <w:szCs w:val="24"/>
        </w:rPr>
        <w:t>2</w:t>
      </w:r>
      <w:r w:rsidRPr="00AB7A5F">
        <w:rPr>
          <w:rFonts w:ascii="Times New Roman" w:eastAsia="宋体" w:hAnsi="Times New Roman" w:cs="Times New Roman" w:hint="eastAsia"/>
          <w:b/>
          <w:sz w:val="24"/>
          <w:szCs w:val="24"/>
        </w:rPr>
        <w:t xml:space="preserve"> </w:t>
      </w:r>
      <w:r w:rsidRPr="00AB7A5F">
        <w:rPr>
          <w:rFonts w:ascii="Times New Roman" w:eastAsia="宋体" w:hAnsi="Times New Roman" w:cs="Times New Roman" w:hint="eastAsia"/>
          <w:b/>
          <w:sz w:val="24"/>
          <w:szCs w:val="24"/>
        </w:rPr>
        <w:t>问题分析】</w:t>
      </w:r>
    </w:p>
    <w:p w14:paraId="6137C26F"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3.</w:t>
      </w:r>
      <w:r w:rsidRPr="00AB7A5F">
        <w:rPr>
          <w:rFonts w:ascii="Times New Roman" w:eastAsia="宋体" w:hAnsi="Times New Roman" w:cs="Times New Roman" w:hint="eastAsia"/>
          <w:sz w:val="24"/>
          <w:szCs w:val="24"/>
        </w:rPr>
        <w:t xml:space="preserve"> </w:t>
      </w:r>
      <w:r w:rsidRPr="00AB7A5F">
        <w:rPr>
          <w:rFonts w:ascii="Times New Roman" w:eastAsia="宋体" w:hAnsi="Times New Roman" w:cs="Times New Roman"/>
          <w:sz w:val="24"/>
          <w:szCs w:val="24"/>
        </w:rPr>
        <w:t>具有线上学习和终身学习的意识，有不断学习和适应发展的能力，能够根据职业认知合理规划职业生涯，具备创新能力和可持续发展能力。</w:t>
      </w:r>
      <w:r w:rsidRPr="00AB7A5F">
        <w:rPr>
          <w:rFonts w:ascii="Times New Roman" w:eastAsia="宋体" w:hAnsi="Times New Roman" w:cs="Times New Roman" w:hint="eastAsia"/>
          <w:sz w:val="24"/>
          <w:szCs w:val="24"/>
        </w:rPr>
        <w:t>【</w:t>
      </w:r>
      <w:r w:rsidRPr="00AB7A5F">
        <w:rPr>
          <w:rFonts w:ascii="Times New Roman" w:eastAsia="宋体" w:hAnsi="Times New Roman" w:cs="Times New Roman"/>
          <w:b/>
          <w:sz w:val="24"/>
          <w:szCs w:val="24"/>
        </w:rPr>
        <w:t>毕业要求</w:t>
      </w:r>
      <w:r w:rsidRPr="00AB7A5F">
        <w:rPr>
          <w:rFonts w:ascii="Times New Roman" w:eastAsia="宋体" w:hAnsi="Times New Roman" w:cs="Times New Roman" w:hint="eastAsia"/>
          <w:b/>
          <w:sz w:val="24"/>
          <w:szCs w:val="24"/>
        </w:rPr>
        <w:t>1</w:t>
      </w:r>
      <w:r w:rsidRPr="00AB7A5F">
        <w:rPr>
          <w:rFonts w:ascii="Times New Roman" w:eastAsia="宋体" w:hAnsi="Times New Roman" w:cs="Times New Roman"/>
          <w:b/>
          <w:sz w:val="24"/>
          <w:szCs w:val="24"/>
        </w:rPr>
        <w:t>2</w:t>
      </w:r>
      <w:r w:rsidRPr="00AB7A5F">
        <w:rPr>
          <w:rFonts w:ascii="Times New Roman" w:eastAsia="宋体" w:hAnsi="Times New Roman" w:cs="Times New Roman" w:hint="eastAsia"/>
          <w:b/>
          <w:sz w:val="24"/>
          <w:szCs w:val="24"/>
        </w:rPr>
        <w:t xml:space="preserve"> </w:t>
      </w:r>
      <w:r w:rsidRPr="00AB7A5F">
        <w:rPr>
          <w:rFonts w:ascii="Times New Roman" w:eastAsia="宋体" w:hAnsi="Times New Roman" w:cs="Times New Roman" w:hint="eastAsia"/>
          <w:b/>
          <w:sz w:val="24"/>
          <w:szCs w:val="24"/>
        </w:rPr>
        <w:t>终身学习】</w:t>
      </w:r>
    </w:p>
    <w:p w14:paraId="332B0E71"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（二）课程学习目标与毕业要求指标点的对应关系</w:t>
      </w:r>
    </w:p>
    <w:tbl>
      <w:tblPr>
        <w:tblW w:w="45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68"/>
        <w:gridCol w:w="4975"/>
        <w:gridCol w:w="1467"/>
      </w:tblGrid>
      <w:tr w:rsidR="00AB7A5F" w:rsidRPr="00AB7A5F" w14:paraId="5D42C08A" w14:textId="77777777" w:rsidTr="00AB7A5F">
        <w:trPr>
          <w:trHeight w:val="815"/>
          <w:jc w:val="center"/>
        </w:trPr>
        <w:tc>
          <w:tcPr>
            <w:tcW w:w="928" w:type="pct"/>
            <w:tcBorders>
              <w:top w:val="single" w:sz="4" w:space="0" w:color="auto"/>
              <w:left w:val="single" w:sz="4" w:space="0" w:color="auto"/>
              <w:bottom w:val="single" w:sz="4" w:space="0" w:color="auto"/>
              <w:right w:val="single" w:sz="4" w:space="0" w:color="auto"/>
            </w:tcBorders>
            <w:vAlign w:val="center"/>
          </w:tcPr>
          <w:p w14:paraId="15D5D108" w14:textId="77777777" w:rsidR="00AB7A5F" w:rsidRPr="00AB7A5F" w:rsidRDefault="00AB7A5F" w:rsidP="00AB7A5F">
            <w:pPr>
              <w:spacing w:line="440" w:lineRule="exact"/>
              <w:jc w:val="center"/>
              <w:rPr>
                <w:rFonts w:ascii="Times New Roman" w:eastAsia="宋体" w:hAnsi="Times New Roman" w:cs="Times New Roman"/>
                <w:b/>
                <w:sz w:val="24"/>
                <w:szCs w:val="24"/>
              </w:rPr>
            </w:pPr>
            <w:r w:rsidRPr="00AB7A5F">
              <w:rPr>
                <w:rFonts w:ascii="Times New Roman" w:eastAsia="宋体" w:hAnsi="Times New Roman" w:cs="Times New Roman"/>
                <w:b/>
                <w:sz w:val="24"/>
                <w:szCs w:val="24"/>
              </w:rPr>
              <w:lastRenderedPageBreak/>
              <w:t>毕业要求</w:t>
            </w:r>
          </w:p>
        </w:tc>
        <w:tc>
          <w:tcPr>
            <w:tcW w:w="3145" w:type="pct"/>
            <w:tcBorders>
              <w:top w:val="single" w:sz="4" w:space="0" w:color="auto"/>
              <w:left w:val="single" w:sz="4" w:space="0" w:color="auto"/>
              <w:bottom w:val="single" w:sz="4" w:space="0" w:color="auto"/>
              <w:right w:val="single" w:sz="4" w:space="0" w:color="auto"/>
            </w:tcBorders>
            <w:vAlign w:val="center"/>
          </w:tcPr>
          <w:p w14:paraId="46C0DA6D" w14:textId="77777777" w:rsidR="00AB7A5F" w:rsidRPr="00AB7A5F" w:rsidRDefault="00AB7A5F" w:rsidP="00AB7A5F">
            <w:pPr>
              <w:spacing w:line="440" w:lineRule="exact"/>
              <w:jc w:val="center"/>
              <w:rPr>
                <w:rFonts w:ascii="Times New Roman" w:eastAsia="宋体" w:hAnsi="Times New Roman" w:cs="Times New Roman"/>
                <w:b/>
                <w:sz w:val="24"/>
                <w:szCs w:val="24"/>
              </w:rPr>
            </w:pPr>
            <w:r w:rsidRPr="00AB7A5F">
              <w:rPr>
                <w:rFonts w:ascii="Times New Roman" w:eastAsia="宋体" w:hAnsi="Times New Roman" w:cs="Times New Roman"/>
                <w:b/>
                <w:sz w:val="24"/>
                <w:szCs w:val="24"/>
              </w:rPr>
              <w:t>毕业要求指标点</w:t>
            </w:r>
          </w:p>
        </w:tc>
        <w:tc>
          <w:tcPr>
            <w:tcW w:w="927" w:type="pct"/>
            <w:tcBorders>
              <w:top w:val="single" w:sz="4" w:space="0" w:color="auto"/>
              <w:left w:val="single" w:sz="4" w:space="0" w:color="auto"/>
              <w:bottom w:val="single" w:sz="4" w:space="0" w:color="auto"/>
              <w:right w:val="single" w:sz="4" w:space="0" w:color="auto"/>
            </w:tcBorders>
            <w:vAlign w:val="center"/>
          </w:tcPr>
          <w:p w14:paraId="6F885C1D" w14:textId="77777777" w:rsidR="00AB7A5F" w:rsidRPr="00AB7A5F" w:rsidRDefault="00AB7A5F" w:rsidP="00AB7A5F">
            <w:pPr>
              <w:jc w:val="center"/>
              <w:rPr>
                <w:rFonts w:ascii="Times New Roman" w:eastAsia="宋体" w:hAnsi="Times New Roman" w:cs="Times New Roman"/>
                <w:b/>
                <w:sz w:val="24"/>
                <w:szCs w:val="24"/>
              </w:rPr>
            </w:pPr>
            <w:r w:rsidRPr="00AB7A5F">
              <w:rPr>
                <w:rFonts w:ascii="Times New Roman" w:eastAsia="宋体" w:hAnsi="Times New Roman" w:cs="Times New Roman"/>
                <w:b/>
                <w:sz w:val="24"/>
                <w:szCs w:val="24"/>
              </w:rPr>
              <w:t>课程目标</w:t>
            </w:r>
          </w:p>
        </w:tc>
      </w:tr>
      <w:tr w:rsidR="00AB7A5F" w:rsidRPr="00AB7A5F" w14:paraId="5F3C2B89" w14:textId="77777777" w:rsidTr="00AB7A5F">
        <w:trPr>
          <w:trHeight w:val="1050"/>
          <w:jc w:val="center"/>
        </w:trPr>
        <w:tc>
          <w:tcPr>
            <w:tcW w:w="928" w:type="pct"/>
            <w:tcBorders>
              <w:top w:val="single" w:sz="4" w:space="0" w:color="auto"/>
              <w:left w:val="single" w:sz="4" w:space="0" w:color="auto"/>
              <w:bottom w:val="single" w:sz="4" w:space="0" w:color="auto"/>
              <w:right w:val="single" w:sz="4" w:space="0" w:color="auto"/>
            </w:tcBorders>
            <w:vAlign w:val="center"/>
          </w:tcPr>
          <w:p w14:paraId="64E15FA6"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hint="eastAsia"/>
                <w:sz w:val="24"/>
                <w:szCs w:val="24"/>
              </w:rPr>
              <w:t>1</w:t>
            </w:r>
            <w:r w:rsidRPr="00AB7A5F">
              <w:rPr>
                <w:rFonts w:ascii="Times New Roman" w:eastAsia="宋体" w:hAnsi="Times New Roman" w:cs="Times New Roman"/>
                <w:sz w:val="24"/>
                <w:szCs w:val="24"/>
              </w:rPr>
              <w:t>.</w:t>
            </w:r>
            <w:r w:rsidRPr="00AB7A5F">
              <w:rPr>
                <w:rFonts w:ascii="Times New Roman" w:eastAsia="宋体" w:hAnsi="Times New Roman" w:cs="Times New Roman" w:hint="eastAsia"/>
                <w:sz w:val="24"/>
                <w:szCs w:val="24"/>
              </w:rPr>
              <w:t>药学</w:t>
            </w:r>
            <w:r w:rsidRPr="00AB7A5F">
              <w:rPr>
                <w:rFonts w:ascii="Times New Roman" w:eastAsia="宋体" w:hAnsi="Times New Roman" w:cs="Times New Roman"/>
                <w:sz w:val="24"/>
                <w:szCs w:val="24"/>
              </w:rPr>
              <w:t>知识</w:t>
            </w:r>
            <w:r w:rsidRPr="00AB7A5F">
              <w:rPr>
                <w:rFonts w:ascii="Times New Roman" w:eastAsia="宋体" w:hAnsi="Times New Roman" w:cs="Times New Roman"/>
                <w:sz w:val="24"/>
                <w:szCs w:val="24"/>
              </w:rPr>
              <w:t xml:space="preserve"> </w:t>
            </w:r>
          </w:p>
        </w:tc>
        <w:tc>
          <w:tcPr>
            <w:tcW w:w="3145" w:type="pct"/>
            <w:tcBorders>
              <w:top w:val="single" w:sz="4" w:space="0" w:color="auto"/>
              <w:left w:val="single" w:sz="4" w:space="0" w:color="auto"/>
              <w:bottom w:val="single" w:sz="4" w:space="0" w:color="auto"/>
              <w:right w:val="single" w:sz="4" w:space="0" w:color="auto"/>
            </w:tcBorders>
            <w:vAlign w:val="center"/>
          </w:tcPr>
          <w:p w14:paraId="351F4443" w14:textId="77777777" w:rsidR="00AB7A5F" w:rsidRPr="00AB7A5F" w:rsidRDefault="00AB7A5F" w:rsidP="00AB7A5F">
            <w:pPr>
              <w:spacing w:line="440" w:lineRule="exact"/>
              <w:jc w:val="left"/>
              <w:rPr>
                <w:rFonts w:ascii="Times New Roman" w:eastAsia="宋体" w:hAnsi="Times New Roman" w:cs="Times New Roman"/>
                <w:sz w:val="24"/>
                <w:szCs w:val="24"/>
              </w:rPr>
            </w:pPr>
            <w:r w:rsidRPr="00AB7A5F">
              <w:rPr>
                <w:rFonts w:ascii="Times New Roman" w:eastAsia="宋体" w:hAnsi="Times New Roman" w:cs="Times New Roman"/>
                <w:sz w:val="24"/>
                <w:szCs w:val="24"/>
              </w:rPr>
              <w:t>1.1</w:t>
            </w:r>
            <w:r w:rsidRPr="00AB7A5F">
              <w:rPr>
                <w:rFonts w:ascii="Times New Roman" w:eastAsia="宋体" w:hAnsi="Times New Roman" w:cs="Times New Roman" w:hint="eastAsia"/>
                <w:sz w:val="24"/>
                <w:szCs w:val="24"/>
              </w:rPr>
              <w:t>掌握无机化学、有机化学、分析化学和物理化学等基础化学理论知识和实验技能</w:t>
            </w:r>
            <w:r w:rsidRPr="00AB7A5F">
              <w:rPr>
                <w:rFonts w:ascii="Times New Roman" w:eastAsia="宋体" w:hAnsi="Times New Roman" w:cs="Times New Roman"/>
                <w:sz w:val="24"/>
                <w:szCs w:val="24"/>
              </w:rPr>
              <w:t>。</w:t>
            </w:r>
            <w:r w:rsidRPr="00AB7A5F">
              <w:rPr>
                <w:rFonts w:ascii="Times New Roman" w:eastAsia="宋体" w:hAnsi="Times New Roman" w:cs="Times New Roman"/>
                <w:sz w:val="24"/>
                <w:szCs w:val="24"/>
              </w:rPr>
              <w:t>(H)</w:t>
            </w:r>
          </w:p>
        </w:tc>
        <w:tc>
          <w:tcPr>
            <w:tcW w:w="927" w:type="pct"/>
            <w:tcBorders>
              <w:top w:val="single" w:sz="4" w:space="0" w:color="auto"/>
              <w:left w:val="single" w:sz="4" w:space="0" w:color="auto"/>
              <w:bottom w:val="single" w:sz="4" w:space="0" w:color="auto"/>
              <w:right w:val="single" w:sz="4" w:space="0" w:color="auto"/>
            </w:tcBorders>
            <w:vAlign w:val="center"/>
          </w:tcPr>
          <w:p w14:paraId="0B8A99D5" w14:textId="77777777" w:rsidR="00AB7A5F" w:rsidRPr="00AB7A5F" w:rsidRDefault="00AB7A5F" w:rsidP="00AB7A5F">
            <w:pPr>
              <w:jc w:val="center"/>
              <w:rPr>
                <w:rFonts w:ascii="Times New Roman" w:eastAsia="宋体" w:hAnsi="Times New Roman" w:cs="Times New Roman"/>
                <w:szCs w:val="24"/>
              </w:rPr>
            </w:pPr>
            <w:r w:rsidRPr="00AB7A5F">
              <w:rPr>
                <w:rFonts w:ascii="Times New Roman" w:eastAsia="宋体" w:hAnsi="Times New Roman" w:cs="Times New Roman"/>
                <w:sz w:val="24"/>
                <w:szCs w:val="24"/>
              </w:rPr>
              <w:t>课程目标</w:t>
            </w:r>
            <w:r w:rsidRPr="00AB7A5F">
              <w:rPr>
                <w:rFonts w:ascii="Times New Roman" w:eastAsia="宋体" w:hAnsi="Times New Roman" w:cs="Times New Roman"/>
                <w:sz w:val="24"/>
                <w:szCs w:val="24"/>
              </w:rPr>
              <w:t>1</w:t>
            </w:r>
          </w:p>
        </w:tc>
      </w:tr>
      <w:tr w:rsidR="00AB7A5F" w:rsidRPr="00AB7A5F" w14:paraId="2A7A5F89" w14:textId="77777777" w:rsidTr="00AB7A5F">
        <w:trPr>
          <w:trHeight w:val="1050"/>
          <w:jc w:val="center"/>
        </w:trPr>
        <w:tc>
          <w:tcPr>
            <w:tcW w:w="928" w:type="pct"/>
            <w:tcBorders>
              <w:top w:val="single" w:sz="4" w:space="0" w:color="auto"/>
              <w:left w:val="single" w:sz="4" w:space="0" w:color="auto"/>
              <w:bottom w:val="single" w:sz="4" w:space="0" w:color="auto"/>
              <w:right w:val="single" w:sz="4" w:space="0" w:color="auto"/>
            </w:tcBorders>
            <w:vAlign w:val="center"/>
          </w:tcPr>
          <w:p w14:paraId="225F1896"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2.</w:t>
            </w:r>
            <w:r w:rsidRPr="00AB7A5F">
              <w:rPr>
                <w:rFonts w:ascii="Times New Roman" w:eastAsia="宋体" w:hAnsi="Times New Roman" w:cs="Times New Roman" w:hint="eastAsia"/>
                <w:sz w:val="24"/>
                <w:szCs w:val="24"/>
              </w:rPr>
              <w:t>问题分析</w:t>
            </w:r>
            <w:r w:rsidRPr="00AB7A5F">
              <w:rPr>
                <w:rFonts w:ascii="Times New Roman" w:eastAsia="宋体" w:hAnsi="Times New Roman" w:cs="Times New Roman"/>
                <w:sz w:val="24"/>
                <w:szCs w:val="24"/>
              </w:rPr>
              <w:t xml:space="preserve"> </w:t>
            </w:r>
          </w:p>
        </w:tc>
        <w:tc>
          <w:tcPr>
            <w:tcW w:w="3145" w:type="pct"/>
            <w:tcBorders>
              <w:top w:val="single" w:sz="4" w:space="0" w:color="auto"/>
              <w:left w:val="single" w:sz="4" w:space="0" w:color="auto"/>
              <w:bottom w:val="single" w:sz="4" w:space="0" w:color="auto"/>
              <w:right w:val="single" w:sz="4" w:space="0" w:color="auto"/>
            </w:tcBorders>
            <w:vAlign w:val="center"/>
          </w:tcPr>
          <w:p w14:paraId="353F08F6" w14:textId="77777777" w:rsidR="00AB7A5F" w:rsidRPr="00AB7A5F" w:rsidRDefault="00AB7A5F" w:rsidP="00AB7A5F">
            <w:pPr>
              <w:spacing w:line="440" w:lineRule="exact"/>
              <w:jc w:val="left"/>
              <w:rPr>
                <w:rFonts w:ascii="Times New Roman" w:eastAsia="宋体" w:hAnsi="Times New Roman" w:cs="Times New Roman"/>
                <w:sz w:val="24"/>
                <w:szCs w:val="24"/>
              </w:rPr>
            </w:pPr>
            <w:r w:rsidRPr="00AB7A5F">
              <w:rPr>
                <w:rFonts w:ascii="Times New Roman" w:eastAsia="宋体" w:hAnsi="Times New Roman" w:cs="Times New Roman"/>
                <w:sz w:val="24"/>
                <w:szCs w:val="24"/>
              </w:rPr>
              <w:t>2.1</w:t>
            </w:r>
            <w:r w:rsidRPr="00AB7A5F">
              <w:rPr>
                <w:rFonts w:ascii="Times New Roman" w:eastAsia="宋体" w:hAnsi="Times New Roman" w:cs="Times New Roman" w:hint="eastAsia"/>
                <w:sz w:val="24"/>
                <w:szCs w:val="24"/>
              </w:rPr>
              <w:t>能够运用数学、化学、药学基本原理，识别、定义药物分析学的实践问</w:t>
            </w:r>
            <w:r w:rsidRPr="00AB7A5F">
              <w:rPr>
                <w:rFonts w:ascii="Times New Roman" w:eastAsia="宋体" w:hAnsi="Times New Roman" w:cs="Times New Roman"/>
                <w:sz w:val="24"/>
                <w:szCs w:val="24"/>
              </w:rPr>
              <w:t>。</w:t>
            </w:r>
            <w:r w:rsidRPr="00AB7A5F">
              <w:rPr>
                <w:rFonts w:ascii="Times New Roman" w:eastAsia="宋体" w:hAnsi="Times New Roman" w:cs="Times New Roman"/>
                <w:sz w:val="24"/>
                <w:szCs w:val="24"/>
              </w:rPr>
              <w:t>(M)</w:t>
            </w:r>
          </w:p>
        </w:tc>
        <w:tc>
          <w:tcPr>
            <w:tcW w:w="927" w:type="pct"/>
            <w:tcBorders>
              <w:top w:val="single" w:sz="4" w:space="0" w:color="auto"/>
              <w:left w:val="single" w:sz="4" w:space="0" w:color="auto"/>
              <w:bottom w:val="single" w:sz="4" w:space="0" w:color="auto"/>
              <w:right w:val="single" w:sz="4" w:space="0" w:color="auto"/>
            </w:tcBorders>
            <w:vAlign w:val="center"/>
          </w:tcPr>
          <w:p w14:paraId="4E47905F" w14:textId="77777777" w:rsidR="00AB7A5F" w:rsidRPr="00AB7A5F" w:rsidRDefault="00AB7A5F" w:rsidP="00AB7A5F">
            <w:pPr>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课程目标</w:t>
            </w:r>
            <w:r w:rsidRPr="00AB7A5F">
              <w:rPr>
                <w:rFonts w:ascii="Times New Roman" w:eastAsia="宋体" w:hAnsi="Times New Roman" w:cs="Times New Roman"/>
                <w:sz w:val="24"/>
                <w:szCs w:val="24"/>
              </w:rPr>
              <w:t>2</w:t>
            </w:r>
          </w:p>
        </w:tc>
      </w:tr>
      <w:tr w:rsidR="00AB7A5F" w:rsidRPr="00AB7A5F" w14:paraId="1A8385AC" w14:textId="77777777" w:rsidTr="00AB7A5F">
        <w:trPr>
          <w:trHeight w:val="1050"/>
          <w:jc w:val="center"/>
        </w:trPr>
        <w:tc>
          <w:tcPr>
            <w:tcW w:w="928" w:type="pct"/>
            <w:tcBorders>
              <w:top w:val="single" w:sz="4" w:space="0" w:color="auto"/>
              <w:left w:val="single" w:sz="4" w:space="0" w:color="auto"/>
              <w:right w:val="single" w:sz="4" w:space="0" w:color="auto"/>
            </w:tcBorders>
            <w:vAlign w:val="center"/>
          </w:tcPr>
          <w:p w14:paraId="33AFC823"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12.</w:t>
            </w:r>
            <w:r w:rsidRPr="00AB7A5F">
              <w:rPr>
                <w:rFonts w:ascii="Times New Roman" w:eastAsia="宋体" w:hAnsi="Times New Roman" w:cs="Times New Roman" w:hint="eastAsia"/>
                <w:sz w:val="24"/>
                <w:szCs w:val="24"/>
              </w:rPr>
              <w:t>终身学习</w:t>
            </w:r>
            <w:r w:rsidRPr="00AB7A5F">
              <w:rPr>
                <w:rFonts w:ascii="Times New Roman" w:eastAsia="宋体" w:hAnsi="Times New Roman" w:cs="Times New Roman"/>
                <w:sz w:val="24"/>
                <w:szCs w:val="24"/>
              </w:rPr>
              <w:t xml:space="preserve"> </w:t>
            </w:r>
          </w:p>
        </w:tc>
        <w:tc>
          <w:tcPr>
            <w:tcW w:w="3145" w:type="pct"/>
            <w:tcBorders>
              <w:top w:val="single" w:sz="4" w:space="0" w:color="auto"/>
              <w:left w:val="single" w:sz="4" w:space="0" w:color="auto"/>
              <w:right w:val="single" w:sz="4" w:space="0" w:color="auto"/>
            </w:tcBorders>
            <w:vAlign w:val="center"/>
          </w:tcPr>
          <w:p w14:paraId="799DB77C" w14:textId="77777777" w:rsidR="00AB7A5F" w:rsidRPr="00AB7A5F" w:rsidRDefault="00AB7A5F" w:rsidP="00AB7A5F">
            <w:pPr>
              <w:spacing w:line="440" w:lineRule="exact"/>
              <w:jc w:val="left"/>
              <w:rPr>
                <w:rFonts w:ascii="Times New Roman" w:eastAsia="宋体" w:hAnsi="Times New Roman" w:cs="Times New Roman"/>
                <w:sz w:val="24"/>
                <w:szCs w:val="24"/>
              </w:rPr>
            </w:pPr>
            <w:r w:rsidRPr="00AB7A5F">
              <w:rPr>
                <w:rFonts w:ascii="Times New Roman" w:eastAsia="宋体" w:hAnsi="Times New Roman" w:cs="Times New Roman"/>
                <w:sz w:val="24"/>
                <w:szCs w:val="24"/>
              </w:rPr>
              <w:t>12.1</w:t>
            </w:r>
            <w:r w:rsidRPr="00AB7A5F">
              <w:rPr>
                <w:rFonts w:ascii="Times New Roman" w:eastAsia="宋体" w:hAnsi="Times New Roman" w:cs="Times New Roman" w:hint="eastAsia"/>
                <w:sz w:val="24"/>
                <w:szCs w:val="24"/>
              </w:rPr>
              <w:t>具有线上学习和终身学习的意识，有不断学习和适应发展的能力，能够根据职业认知合理规划职业生涯，具备创新能力和可持续发展能力。</w:t>
            </w:r>
            <w:r w:rsidRPr="00AB7A5F">
              <w:rPr>
                <w:rFonts w:ascii="Times New Roman" w:eastAsia="宋体" w:hAnsi="Times New Roman" w:cs="Times New Roman"/>
                <w:sz w:val="24"/>
                <w:szCs w:val="24"/>
              </w:rPr>
              <w:t xml:space="preserve"> (L)</w:t>
            </w:r>
          </w:p>
        </w:tc>
        <w:tc>
          <w:tcPr>
            <w:tcW w:w="927" w:type="pct"/>
            <w:tcBorders>
              <w:top w:val="single" w:sz="4" w:space="0" w:color="auto"/>
              <w:left w:val="single" w:sz="4" w:space="0" w:color="auto"/>
              <w:bottom w:val="single" w:sz="4" w:space="0" w:color="auto"/>
              <w:right w:val="single" w:sz="4" w:space="0" w:color="auto"/>
            </w:tcBorders>
            <w:vAlign w:val="center"/>
          </w:tcPr>
          <w:p w14:paraId="329508E8" w14:textId="77777777" w:rsidR="00AB7A5F" w:rsidRPr="00AB7A5F" w:rsidRDefault="00AB7A5F" w:rsidP="00AB7A5F">
            <w:pPr>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课程目标</w:t>
            </w:r>
            <w:r w:rsidRPr="00AB7A5F">
              <w:rPr>
                <w:rFonts w:ascii="Times New Roman" w:eastAsia="宋体" w:hAnsi="Times New Roman" w:cs="Times New Roman"/>
                <w:sz w:val="24"/>
                <w:szCs w:val="24"/>
              </w:rPr>
              <w:t>3</w:t>
            </w:r>
          </w:p>
        </w:tc>
      </w:tr>
    </w:tbl>
    <w:p w14:paraId="42ABE5B6"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三、课程学习内容及与课程学习目标的对应关系</w:t>
      </w:r>
    </w:p>
    <w:p w14:paraId="579842DE"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（一）课程学习内容</w:t>
      </w:r>
    </w:p>
    <w:p w14:paraId="074A30FE" w14:textId="77777777" w:rsidR="00AB7A5F" w:rsidRPr="00AB7A5F" w:rsidRDefault="00AB7A5F" w:rsidP="00AB7A5F">
      <w:pPr>
        <w:adjustRightInd w:val="0"/>
        <w:snapToGrid w:val="0"/>
        <w:spacing w:line="440" w:lineRule="exact"/>
        <w:jc w:val="center"/>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第二章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color w:val="000000"/>
          <w:kern w:val="0"/>
          <w:sz w:val="24"/>
          <w:szCs w:val="32"/>
        </w:rPr>
        <w:t>化学热力学基础</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color w:val="000000"/>
          <w:sz w:val="24"/>
          <w:szCs w:val="24"/>
        </w:rPr>
        <w:t>（</w:t>
      </w:r>
      <w:r w:rsidRPr="00AB7A5F">
        <w:rPr>
          <w:rFonts w:ascii="Times New Roman" w:eastAsia="宋体" w:hAnsi="Times New Roman" w:cs="Times New Roman"/>
          <w:b/>
          <w:color w:val="000000"/>
          <w:sz w:val="24"/>
          <w:szCs w:val="24"/>
        </w:rPr>
        <w:t>6</w:t>
      </w:r>
      <w:r w:rsidRPr="00AB7A5F">
        <w:rPr>
          <w:rFonts w:ascii="Times New Roman" w:eastAsia="宋体" w:hAnsi="Times New Roman" w:cs="Times New Roman"/>
          <w:b/>
          <w:color w:val="000000"/>
          <w:sz w:val="24"/>
          <w:szCs w:val="24"/>
        </w:rPr>
        <w:t>学时）</w:t>
      </w:r>
    </w:p>
    <w:p w14:paraId="44463ACB"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【学习目标】</w:t>
      </w:r>
    </w:p>
    <w:p w14:paraId="554A5244"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4"/>
        </w:rPr>
        <w:t>认知类目标：</w:t>
      </w:r>
      <w:r w:rsidRPr="00AB7A5F">
        <w:rPr>
          <w:rFonts w:ascii="Times New Roman" w:eastAsia="宋体" w:hAnsi="Times New Roman" w:cs="Times New Roman"/>
          <w:color w:val="000000"/>
          <w:sz w:val="24"/>
          <w:szCs w:val="24"/>
        </w:rPr>
        <w:t>了解</w:t>
      </w:r>
      <w:r w:rsidRPr="00AB7A5F">
        <w:rPr>
          <w:rFonts w:ascii="Times New Roman" w:eastAsia="宋体" w:hAnsi="Times New Roman" w:cs="Times New Roman"/>
          <w:color w:val="000000"/>
          <w:kern w:val="0"/>
          <w:sz w:val="24"/>
          <w:szCs w:val="32"/>
        </w:rPr>
        <w:t>化学热力学基础的基本概念</w:t>
      </w:r>
      <w:r w:rsidRPr="00AB7A5F">
        <w:rPr>
          <w:rFonts w:ascii="Times New Roman" w:eastAsia="宋体" w:hAnsi="Times New Roman" w:cs="Times New Roman"/>
          <w:color w:val="000000"/>
          <w:sz w:val="24"/>
          <w:szCs w:val="24"/>
        </w:rPr>
        <w:t>。</w:t>
      </w:r>
    </w:p>
    <w:p w14:paraId="1F42D059"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sz w:val="24"/>
          <w:szCs w:val="24"/>
        </w:rPr>
        <w:t>过程与方法类目标：</w:t>
      </w:r>
      <w:r w:rsidRPr="00AB7A5F">
        <w:rPr>
          <w:rFonts w:ascii="Times New Roman" w:eastAsia="宋体" w:hAnsi="Times New Roman" w:cs="Times New Roman"/>
          <w:color w:val="000000"/>
          <w:sz w:val="24"/>
          <w:szCs w:val="24"/>
        </w:rPr>
        <w:t>掌握</w:t>
      </w:r>
      <w:r w:rsidRPr="00AB7A5F">
        <w:rPr>
          <w:rFonts w:ascii="Times New Roman" w:eastAsia="宋体" w:hAnsi="Times New Roman" w:cs="Times New Roman"/>
          <w:sz w:val="24"/>
          <w:szCs w:val="21"/>
        </w:rPr>
        <w:t>反应热效应的表示方法、盖斯定律的运用以及反应焓变的计算；掌握熵的定义、物质熵值的规律以及标准摩尔熵变的定义和计算</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1"/>
        </w:rPr>
        <w:t>掌握吉布斯自由能和吉布斯自由能变的概念、反应方向的判据、标准摩尔生成吉布斯自由能与标准摩尔生成吉布斯自由能变的计算。</w:t>
      </w:r>
    </w:p>
    <w:p w14:paraId="613FB169"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3. </w:t>
      </w:r>
      <w:r w:rsidRPr="00AB7A5F">
        <w:rPr>
          <w:rFonts w:ascii="Times New Roman" w:eastAsia="宋体" w:hAnsi="Times New Roman" w:cs="Times New Roman"/>
          <w:sz w:val="24"/>
          <w:szCs w:val="24"/>
        </w:rPr>
        <w:t>情感、态度、价值观类目标：</w:t>
      </w:r>
      <w:r w:rsidRPr="00AB7A5F">
        <w:rPr>
          <w:rFonts w:ascii="Times New Roman" w:eastAsia="宋体" w:hAnsi="Times New Roman" w:cs="Times New Roman"/>
          <w:color w:val="000000"/>
          <w:sz w:val="24"/>
          <w:szCs w:val="24"/>
        </w:rPr>
        <w:t>通过学习热力学第一定律和热力学第二定律，理解不可能造出第一类永动机和第二类永动机。</w:t>
      </w:r>
    </w:p>
    <w:p w14:paraId="6385E322"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【学习内容】</w:t>
      </w:r>
    </w:p>
    <w:p w14:paraId="22676EF6"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1"/>
        </w:rPr>
        <w:t>理解热力学有关基本概念及热力学第一定律。</w:t>
      </w:r>
    </w:p>
    <w:p w14:paraId="7518A483"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1"/>
        </w:rPr>
        <w:t>掌握化学反应热效应的表示方法、盖斯定律的运用以及反应焓变的计算。</w:t>
      </w:r>
    </w:p>
    <w:p w14:paraId="4D6C2AED"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3</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1"/>
        </w:rPr>
        <w:t>掌握熵的定义、物质熵值的规律以及标准摩尔熵变的定义和计算。</w:t>
      </w:r>
    </w:p>
    <w:p w14:paraId="49B7B152"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4</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1"/>
        </w:rPr>
        <w:t>掌握吉布斯自由能和吉布斯自由能变的概念、反应方向的判据、标准摩尔生成吉布斯自由能与标准摩尔生成吉布斯自由能变的计算。</w:t>
      </w:r>
    </w:p>
    <w:p w14:paraId="271A6DDC"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【重点】</w:t>
      </w:r>
    </w:p>
    <w:p w14:paraId="3BF546F2"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1. </w:t>
      </w:r>
      <w:proofErr w:type="gramStart"/>
      <w:r w:rsidRPr="00AB7A5F">
        <w:rPr>
          <w:rFonts w:ascii="Times New Roman" w:eastAsia="宋体" w:hAnsi="Times New Roman" w:cs="Times New Roman"/>
          <w:color w:val="000000"/>
          <w:sz w:val="24"/>
          <w:szCs w:val="24"/>
        </w:rPr>
        <w:t>焓</w:t>
      </w:r>
      <w:proofErr w:type="gramEnd"/>
      <w:r w:rsidRPr="00AB7A5F">
        <w:rPr>
          <w:rFonts w:ascii="Times New Roman" w:eastAsia="宋体" w:hAnsi="Times New Roman" w:cs="Times New Roman"/>
          <w:color w:val="000000"/>
          <w:sz w:val="24"/>
          <w:szCs w:val="24"/>
        </w:rPr>
        <w:t>和</w:t>
      </w:r>
      <w:proofErr w:type="gramStart"/>
      <w:r w:rsidRPr="00AB7A5F">
        <w:rPr>
          <w:rFonts w:ascii="Times New Roman" w:eastAsia="宋体" w:hAnsi="Times New Roman" w:cs="Times New Roman"/>
          <w:color w:val="000000"/>
          <w:sz w:val="24"/>
          <w:szCs w:val="24"/>
        </w:rPr>
        <w:t>焓</w:t>
      </w:r>
      <w:proofErr w:type="gramEnd"/>
      <w:r w:rsidRPr="00AB7A5F">
        <w:rPr>
          <w:rFonts w:ascii="Times New Roman" w:eastAsia="宋体" w:hAnsi="Times New Roman" w:cs="Times New Roman"/>
          <w:color w:val="000000"/>
          <w:sz w:val="24"/>
          <w:szCs w:val="24"/>
        </w:rPr>
        <w:t>变、熵和</w:t>
      </w:r>
      <w:proofErr w:type="gramStart"/>
      <w:r w:rsidRPr="00AB7A5F">
        <w:rPr>
          <w:rFonts w:ascii="Times New Roman" w:eastAsia="宋体" w:hAnsi="Times New Roman" w:cs="Times New Roman"/>
          <w:color w:val="000000"/>
          <w:sz w:val="24"/>
          <w:szCs w:val="24"/>
        </w:rPr>
        <w:t>熵变</w:t>
      </w:r>
      <w:proofErr w:type="gramEnd"/>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1"/>
        </w:rPr>
        <w:t>吉布斯自由能和吉布斯自由能变</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4"/>
        </w:rPr>
        <w:t xml:space="preserve"> </w:t>
      </w:r>
    </w:p>
    <w:p w14:paraId="4BAF8A54" w14:textId="77777777" w:rsidR="00AB7A5F" w:rsidRPr="00AB7A5F" w:rsidRDefault="00AB7A5F" w:rsidP="00AB7A5F">
      <w:pPr>
        <w:spacing w:line="440" w:lineRule="exact"/>
        <w:ind w:firstLineChars="200" w:firstLine="480"/>
        <w:rPr>
          <w:rFonts w:ascii="Times New Roman" w:eastAsia="宋体" w:hAnsi="Times New Roman" w:cs="Times New Roman"/>
          <w:b/>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sz w:val="24"/>
          <w:szCs w:val="21"/>
        </w:rPr>
        <w:t>反应方向的判据、</w:t>
      </w:r>
      <w:r w:rsidRPr="00AB7A5F">
        <w:rPr>
          <w:rFonts w:ascii="Times New Roman" w:eastAsia="宋体" w:hAnsi="Times New Roman" w:cs="Times New Roman"/>
          <w:color w:val="000000"/>
          <w:sz w:val="24"/>
          <w:szCs w:val="24"/>
        </w:rPr>
        <w:t>化学反应等温式。</w:t>
      </w:r>
    </w:p>
    <w:p w14:paraId="285A9F3E"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lastRenderedPageBreak/>
        <w:t>【难点】</w:t>
      </w:r>
    </w:p>
    <w:p w14:paraId="379BE87D" w14:textId="77777777" w:rsidR="00AB7A5F" w:rsidRPr="00AB7A5F" w:rsidRDefault="00AB7A5F" w:rsidP="00AB7A5F">
      <w:pPr>
        <w:spacing w:line="440" w:lineRule="exact"/>
        <w:ind w:firstLineChars="200" w:firstLine="480"/>
        <w:rPr>
          <w:rFonts w:ascii="Times New Roman" w:eastAsia="宋体" w:hAnsi="Times New Roman" w:cs="Times New Roman"/>
          <w:b/>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1"/>
        </w:rPr>
        <w:t>反应方向的判据。</w:t>
      </w:r>
    </w:p>
    <w:p w14:paraId="7332CA84"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color w:val="000000"/>
          <w:sz w:val="24"/>
          <w:szCs w:val="24"/>
        </w:rPr>
        <w:t>化学反应等温式。</w:t>
      </w:r>
    </w:p>
    <w:p w14:paraId="7E901240" w14:textId="77777777" w:rsidR="00AB7A5F" w:rsidRPr="00AB7A5F" w:rsidRDefault="00AB7A5F" w:rsidP="00AB7A5F">
      <w:pPr>
        <w:spacing w:line="440" w:lineRule="exact"/>
        <w:ind w:firstLineChars="200" w:firstLine="482"/>
        <w:rPr>
          <w:rFonts w:ascii="Times New Roman" w:eastAsia="宋体" w:hAnsi="Times New Roman" w:cs="Times New Roman"/>
          <w:b/>
          <w:bCs/>
          <w:sz w:val="24"/>
          <w:szCs w:val="24"/>
        </w:rPr>
      </w:pPr>
      <w:r w:rsidRPr="00AB7A5F">
        <w:rPr>
          <w:rFonts w:ascii="Times New Roman" w:eastAsia="宋体" w:hAnsi="Times New Roman" w:cs="Times New Roman"/>
          <w:b/>
          <w:bCs/>
          <w:sz w:val="24"/>
          <w:szCs w:val="24"/>
        </w:rPr>
        <w:t>【教学方法】</w:t>
      </w:r>
    </w:p>
    <w:p w14:paraId="78191B74" w14:textId="77777777" w:rsidR="00AB7A5F" w:rsidRPr="00AB7A5F" w:rsidRDefault="00AB7A5F" w:rsidP="00AB7A5F">
      <w:pPr>
        <w:spacing w:line="440" w:lineRule="exact"/>
        <w:ind w:firstLineChars="200" w:firstLine="480"/>
        <w:rPr>
          <w:rFonts w:ascii="Times New Roman" w:eastAsia="宋体" w:hAnsi="Times New Roman" w:cs="Times New Roman"/>
          <w:b/>
          <w:bCs/>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color w:val="000000"/>
          <w:sz w:val="24"/>
          <w:szCs w:val="24"/>
        </w:rPr>
        <w:t>通过多媒体课件和传统教学相结合，阐明化学热力学的基本概念和基本原理，使学生扎实掌握基础知识。</w:t>
      </w:r>
      <w:r w:rsidRPr="00AB7A5F">
        <w:rPr>
          <w:rFonts w:ascii="Times New Roman" w:eastAsia="宋体" w:hAnsi="Times New Roman" w:cs="Times New Roman"/>
          <w:color w:val="000000"/>
          <w:sz w:val="24"/>
          <w:szCs w:val="24"/>
        </w:rPr>
        <w:t xml:space="preserve"> </w:t>
      </w:r>
    </w:p>
    <w:p w14:paraId="763F3B3B"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．通过例题分析，强调理论与实践相结合，促进学生知识整合，培养学生的反思能力。</w:t>
      </w:r>
    </w:p>
    <w:p w14:paraId="72D03DA4" w14:textId="77777777" w:rsidR="00AB7A5F" w:rsidRPr="00AB7A5F" w:rsidRDefault="00AB7A5F" w:rsidP="00AB7A5F">
      <w:pPr>
        <w:spacing w:line="440" w:lineRule="exact"/>
        <w:ind w:firstLineChars="200" w:firstLine="482"/>
        <w:rPr>
          <w:rFonts w:ascii="Times New Roman" w:eastAsia="宋体" w:hAnsi="Times New Roman" w:cs="Times New Roman"/>
          <w:bCs/>
          <w:color w:val="FF0000"/>
          <w:sz w:val="24"/>
          <w:szCs w:val="24"/>
        </w:rPr>
      </w:pPr>
      <w:r w:rsidRPr="00AB7A5F">
        <w:rPr>
          <w:rFonts w:ascii="Times New Roman" w:eastAsia="宋体" w:hAnsi="Times New Roman" w:cs="Times New Roman"/>
          <w:b/>
          <w:sz w:val="24"/>
          <w:szCs w:val="24"/>
        </w:rPr>
        <w:t>【复习思考】</w:t>
      </w:r>
    </w:p>
    <w:p w14:paraId="39D9BC7B"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课后思考题。</w:t>
      </w:r>
    </w:p>
    <w:p w14:paraId="712096EB" w14:textId="77777777" w:rsidR="00AB7A5F" w:rsidRPr="00AB7A5F" w:rsidRDefault="00AB7A5F" w:rsidP="00AB7A5F">
      <w:pPr>
        <w:adjustRightInd w:val="0"/>
        <w:snapToGrid w:val="0"/>
        <w:spacing w:line="440" w:lineRule="exact"/>
        <w:jc w:val="center"/>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第三章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sz w:val="24"/>
          <w:szCs w:val="32"/>
        </w:rPr>
        <w:t>化学平衡</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color w:val="000000"/>
          <w:sz w:val="24"/>
          <w:szCs w:val="24"/>
        </w:rPr>
        <w:t>（</w:t>
      </w:r>
      <w:r w:rsidRPr="00AB7A5F">
        <w:rPr>
          <w:rFonts w:ascii="Times New Roman" w:eastAsia="宋体" w:hAnsi="Times New Roman" w:cs="Times New Roman"/>
          <w:b/>
          <w:color w:val="000000"/>
          <w:sz w:val="24"/>
          <w:szCs w:val="24"/>
        </w:rPr>
        <w:t>4</w:t>
      </w:r>
      <w:r w:rsidRPr="00AB7A5F">
        <w:rPr>
          <w:rFonts w:ascii="Times New Roman" w:eastAsia="宋体" w:hAnsi="Times New Roman" w:cs="Times New Roman"/>
          <w:b/>
          <w:color w:val="000000"/>
          <w:sz w:val="24"/>
          <w:szCs w:val="24"/>
        </w:rPr>
        <w:t>学时）</w:t>
      </w:r>
    </w:p>
    <w:p w14:paraId="0A4AA637"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b/>
          <w:color w:val="000000"/>
          <w:sz w:val="24"/>
          <w:szCs w:val="24"/>
        </w:rPr>
      </w:pPr>
      <w:r w:rsidRPr="00AB7A5F">
        <w:rPr>
          <w:rFonts w:ascii="Times New Roman" w:eastAsia="宋体" w:hAnsi="Times New Roman" w:cs="Times New Roman"/>
          <w:b/>
          <w:sz w:val="24"/>
          <w:szCs w:val="24"/>
        </w:rPr>
        <w:t>【学习目标】</w:t>
      </w:r>
    </w:p>
    <w:p w14:paraId="6CD754BC"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4"/>
        </w:rPr>
        <w:t>认知类目标：</w:t>
      </w:r>
      <w:r w:rsidRPr="00AB7A5F">
        <w:rPr>
          <w:rFonts w:ascii="Times New Roman" w:eastAsia="宋体" w:hAnsi="Times New Roman" w:cs="Times New Roman"/>
          <w:color w:val="000000"/>
          <w:sz w:val="24"/>
          <w:szCs w:val="24"/>
        </w:rPr>
        <w:t>了解</w:t>
      </w:r>
      <w:r w:rsidRPr="00AB7A5F">
        <w:rPr>
          <w:rFonts w:ascii="Times New Roman" w:eastAsia="宋体" w:hAnsi="Times New Roman" w:cs="Times New Roman"/>
          <w:color w:val="000000"/>
          <w:kern w:val="0"/>
          <w:sz w:val="24"/>
          <w:szCs w:val="32"/>
        </w:rPr>
        <w:t>化学平衡的基本概念</w:t>
      </w:r>
      <w:r w:rsidRPr="00AB7A5F">
        <w:rPr>
          <w:rFonts w:ascii="Times New Roman" w:eastAsia="宋体" w:hAnsi="Times New Roman" w:cs="Times New Roman"/>
          <w:color w:val="000000"/>
          <w:sz w:val="24"/>
          <w:szCs w:val="24"/>
        </w:rPr>
        <w:t>。</w:t>
      </w:r>
    </w:p>
    <w:p w14:paraId="1BDA9873"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sz w:val="24"/>
          <w:szCs w:val="24"/>
        </w:rPr>
        <w:t>过程与方法类目标：</w:t>
      </w:r>
      <w:r w:rsidRPr="00AB7A5F">
        <w:rPr>
          <w:rFonts w:ascii="Times New Roman" w:eastAsia="宋体" w:hAnsi="Times New Roman" w:cs="Times New Roman"/>
          <w:color w:val="000000"/>
          <w:kern w:val="0"/>
          <w:sz w:val="24"/>
          <w:szCs w:val="21"/>
        </w:rPr>
        <w:t>熟练运用</w:t>
      </w:r>
      <w:hyperlink r:id="rId23" w:anchor="1-2" w:tgtFrame="main" w:history="1">
        <w:r w:rsidRPr="00AB7A5F">
          <w:rPr>
            <w:rFonts w:ascii="Times New Roman" w:eastAsia="宋体" w:hAnsi="Times New Roman" w:cs="Times New Roman"/>
            <w:color w:val="000000"/>
            <w:kern w:val="0"/>
            <w:sz w:val="24"/>
            <w:szCs w:val="21"/>
          </w:rPr>
          <w:t>标准平衡常数</w:t>
        </w:r>
      </w:hyperlink>
      <w:hyperlink r:id="rId24" w:anchor="1-4" w:tgtFrame="main" w:history="1">
        <w:r w:rsidRPr="00AB7A5F">
          <w:rPr>
            <w:rFonts w:ascii="Times New Roman" w:eastAsia="宋体" w:hAnsi="Times New Roman" w:cs="Times New Roman"/>
            <w:color w:val="000000"/>
            <w:kern w:val="0"/>
            <w:sz w:val="24"/>
            <w:szCs w:val="21"/>
          </w:rPr>
          <w:t>判断化学反应的方向</w:t>
        </w:r>
      </w:hyperlink>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1"/>
        </w:rPr>
        <w:t>掌握浓度、压力和</w:t>
      </w:r>
      <w:r w:rsidRPr="00AB7A5F">
        <w:rPr>
          <w:rFonts w:ascii="Times New Roman" w:eastAsia="宋体" w:hAnsi="Times New Roman" w:cs="Times New Roman"/>
          <w:bCs/>
          <w:color w:val="000000"/>
          <w:kern w:val="0"/>
          <w:sz w:val="24"/>
          <w:szCs w:val="21"/>
        </w:rPr>
        <w:t>温度对化学平衡的影响</w:t>
      </w:r>
      <w:r w:rsidRPr="00AB7A5F">
        <w:rPr>
          <w:rFonts w:ascii="Times New Roman" w:eastAsia="宋体" w:hAnsi="Times New Roman" w:cs="Times New Roman"/>
          <w:color w:val="000000"/>
          <w:kern w:val="0"/>
          <w:sz w:val="24"/>
          <w:szCs w:val="21"/>
        </w:rPr>
        <w:t>以及相关计算</w:t>
      </w:r>
      <w:r w:rsidRPr="00AB7A5F">
        <w:rPr>
          <w:rFonts w:ascii="Times New Roman" w:eastAsia="宋体" w:hAnsi="Times New Roman" w:cs="Times New Roman"/>
          <w:sz w:val="24"/>
          <w:szCs w:val="21"/>
        </w:rPr>
        <w:t>。</w:t>
      </w:r>
    </w:p>
    <w:p w14:paraId="2C1739D6"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3. </w:t>
      </w:r>
      <w:r w:rsidRPr="00AB7A5F">
        <w:rPr>
          <w:rFonts w:ascii="Times New Roman" w:eastAsia="宋体" w:hAnsi="Times New Roman" w:cs="Times New Roman"/>
          <w:sz w:val="24"/>
          <w:szCs w:val="24"/>
        </w:rPr>
        <w:t>情感、态度、价值观类目标：</w:t>
      </w:r>
      <w:r w:rsidRPr="00AB7A5F">
        <w:rPr>
          <w:rFonts w:ascii="Times New Roman" w:eastAsia="宋体" w:hAnsi="Times New Roman" w:cs="Times New Roman"/>
          <w:color w:val="000000"/>
          <w:sz w:val="24"/>
          <w:szCs w:val="24"/>
        </w:rPr>
        <w:t>通过学习化学平衡的移动，掌握使原料充分利用的方法，培养节能环保意识。</w:t>
      </w:r>
    </w:p>
    <w:p w14:paraId="12129A37"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【学习内容】</w:t>
      </w:r>
    </w:p>
    <w:p w14:paraId="6EB2F0CA"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kern w:val="0"/>
          <w:sz w:val="24"/>
          <w:szCs w:val="21"/>
        </w:rPr>
        <w:t>掌握</w:t>
      </w:r>
      <w:hyperlink r:id="rId25" w:anchor="1-2" w:tgtFrame="main" w:history="1">
        <w:r w:rsidRPr="00AB7A5F">
          <w:rPr>
            <w:rFonts w:ascii="Times New Roman" w:eastAsia="宋体" w:hAnsi="Times New Roman" w:cs="Times New Roman"/>
            <w:color w:val="000000"/>
            <w:kern w:val="0"/>
            <w:sz w:val="24"/>
            <w:szCs w:val="21"/>
          </w:rPr>
          <w:t>标准平衡常数</w:t>
        </w:r>
      </w:hyperlink>
      <w:r w:rsidRPr="00AB7A5F">
        <w:rPr>
          <w:rFonts w:ascii="Times New Roman" w:eastAsia="宋体" w:hAnsi="Times New Roman" w:cs="Times New Roman"/>
          <w:color w:val="000000"/>
          <w:kern w:val="0"/>
          <w:sz w:val="24"/>
          <w:szCs w:val="21"/>
        </w:rPr>
        <w:t>的表达式。</w:t>
      </w:r>
    </w:p>
    <w:p w14:paraId="61CC7A27"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1"/>
        </w:rPr>
        <w:t>掌握</w:t>
      </w:r>
      <w:hyperlink r:id="rId26" w:anchor="1-2" w:tgtFrame="main" w:history="1">
        <w:r w:rsidRPr="00AB7A5F">
          <w:rPr>
            <w:rFonts w:ascii="Times New Roman" w:eastAsia="宋体" w:hAnsi="Times New Roman" w:cs="Times New Roman"/>
            <w:color w:val="000000"/>
            <w:kern w:val="0"/>
            <w:sz w:val="24"/>
            <w:szCs w:val="21"/>
          </w:rPr>
          <w:t>平衡常数</w:t>
        </w:r>
      </w:hyperlink>
      <w:r w:rsidRPr="00AB7A5F">
        <w:rPr>
          <w:rFonts w:ascii="Times New Roman" w:eastAsia="宋体" w:hAnsi="Times New Roman" w:cs="Times New Roman"/>
          <w:color w:val="000000"/>
          <w:kern w:val="0"/>
          <w:sz w:val="24"/>
          <w:szCs w:val="21"/>
        </w:rPr>
        <w:t>与</w:t>
      </w:r>
      <w:hyperlink r:id="rId27" w:anchor="1-3" w:tgtFrame="main" w:history="1">
        <w:r w:rsidRPr="00AB7A5F">
          <w:rPr>
            <w:rFonts w:ascii="Times New Roman" w:eastAsia="宋体" w:hAnsi="Times New Roman" w:cs="Times New Roman"/>
            <w:color w:val="000000"/>
            <w:kern w:val="0"/>
            <w:sz w:val="24"/>
            <w:szCs w:val="21"/>
          </w:rPr>
          <w:t>平衡转化率</w:t>
        </w:r>
      </w:hyperlink>
      <w:r w:rsidRPr="00AB7A5F">
        <w:rPr>
          <w:rFonts w:ascii="Times New Roman" w:eastAsia="宋体" w:hAnsi="Times New Roman" w:cs="Times New Roman"/>
          <w:color w:val="000000"/>
          <w:kern w:val="0"/>
          <w:sz w:val="24"/>
          <w:szCs w:val="21"/>
        </w:rPr>
        <w:t>的相关计算，熟练运用</w:t>
      </w:r>
      <w:hyperlink r:id="rId28" w:anchor="1-2" w:tgtFrame="main" w:history="1">
        <w:r w:rsidRPr="00AB7A5F">
          <w:rPr>
            <w:rFonts w:ascii="Times New Roman" w:eastAsia="宋体" w:hAnsi="Times New Roman" w:cs="Times New Roman"/>
            <w:color w:val="000000"/>
            <w:kern w:val="0"/>
            <w:sz w:val="24"/>
            <w:szCs w:val="21"/>
          </w:rPr>
          <w:t>标准平衡常数</w:t>
        </w:r>
      </w:hyperlink>
      <w:hyperlink r:id="rId29" w:anchor="1-4" w:tgtFrame="main" w:history="1">
        <w:r w:rsidRPr="00AB7A5F">
          <w:rPr>
            <w:rFonts w:ascii="Times New Roman" w:eastAsia="宋体" w:hAnsi="Times New Roman" w:cs="Times New Roman"/>
            <w:color w:val="000000"/>
            <w:kern w:val="0"/>
            <w:sz w:val="24"/>
            <w:szCs w:val="21"/>
          </w:rPr>
          <w:t>判断化学反应的方向</w:t>
        </w:r>
      </w:hyperlink>
      <w:r w:rsidRPr="00AB7A5F">
        <w:rPr>
          <w:rFonts w:ascii="Times New Roman" w:eastAsia="宋体" w:hAnsi="Times New Roman" w:cs="Times New Roman"/>
          <w:color w:val="000000"/>
          <w:kern w:val="0"/>
          <w:sz w:val="24"/>
          <w:szCs w:val="21"/>
        </w:rPr>
        <w:t>。</w:t>
      </w:r>
    </w:p>
    <w:p w14:paraId="7C772546"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3</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1"/>
        </w:rPr>
        <w:t>掌握浓度、压力和</w:t>
      </w:r>
      <w:r w:rsidRPr="00AB7A5F">
        <w:rPr>
          <w:rFonts w:ascii="Times New Roman" w:eastAsia="宋体" w:hAnsi="Times New Roman" w:cs="Times New Roman"/>
          <w:bCs/>
          <w:color w:val="000000"/>
          <w:kern w:val="0"/>
          <w:sz w:val="24"/>
          <w:szCs w:val="21"/>
        </w:rPr>
        <w:t>温度对化学平衡的影响</w:t>
      </w:r>
      <w:r w:rsidRPr="00AB7A5F">
        <w:rPr>
          <w:rFonts w:ascii="Times New Roman" w:eastAsia="宋体" w:hAnsi="Times New Roman" w:cs="Times New Roman"/>
          <w:color w:val="000000"/>
          <w:kern w:val="0"/>
          <w:sz w:val="24"/>
          <w:szCs w:val="21"/>
        </w:rPr>
        <w:t>以及相关计算。</w:t>
      </w:r>
    </w:p>
    <w:p w14:paraId="01DDD8FB"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【重点】</w:t>
      </w:r>
    </w:p>
    <w:p w14:paraId="36D9D40D"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color w:val="000000"/>
          <w:sz w:val="24"/>
          <w:szCs w:val="24"/>
        </w:rPr>
        <w:t>标准平衡常数与反应标准</w:t>
      </w:r>
      <w:r w:rsidRPr="00AB7A5F">
        <w:rPr>
          <w:rFonts w:ascii="Times New Roman" w:eastAsia="宋体" w:hAnsi="Times New Roman" w:cs="Times New Roman"/>
          <w:sz w:val="24"/>
          <w:szCs w:val="21"/>
        </w:rPr>
        <w:t>吉布斯自由能变</w:t>
      </w:r>
      <w:r w:rsidRPr="00AB7A5F">
        <w:rPr>
          <w:rFonts w:ascii="Times New Roman" w:eastAsia="宋体" w:hAnsi="Times New Roman" w:cs="Times New Roman"/>
          <w:color w:val="000000"/>
          <w:sz w:val="24"/>
          <w:szCs w:val="24"/>
        </w:rPr>
        <w:t>的关系。</w:t>
      </w:r>
      <w:r w:rsidRPr="00AB7A5F">
        <w:rPr>
          <w:rFonts w:ascii="Times New Roman" w:eastAsia="宋体" w:hAnsi="Times New Roman" w:cs="Times New Roman"/>
          <w:sz w:val="24"/>
          <w:szCs w:val="24"/>
        </w:rPr>
        <w:t xml:space="preserve"> </w:t>
      </w:r>
    </w:p>
    <w:p w14:paraId="5DA8B969" w14:textId="77777777" w:rsidR="00AB7A5F" w:rsidRPr="00AB7A5F" w:rsidRDefault="00AB7A5F" w:rsidP="00AB7A5F">
      <w:pPr>
        <w:spacing w:line="440" w:lineRule="exact"/>
        <w:ind w:firstLineChars="200" w:firstLine="480"/>
        <w:rPr>
          <w:rFonts w:ascii="Times New Roman" w:eastAsia="宋体" w:hAnsi="Times New Roman" w:cs="Times New Roman"/>
          <w:b/>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color w:val="000000"/>
          <w:sz w:val="24"/>
          <w:szCs w:val="21"/>
        </w:rPr>
        <w:t>浓度、压力和</w:t>
      </w:r>
      <w:r w:rsidRPr="00AB7A5F">
        <w:rPr>
          <w:rFonts w:ascii="Times New Roman" w:eastAsia="宋体" w:hAnsi="Times New Roman" w:cs="Times New Roman"/>
          <w:bCs/>
          <w:color w:val="000000"/>
          <w:kern w:val="0"/>
          <w:sz w:val="24"/>
          <w:szCs w:val="21"/>
        </w:rPr>
        <w:t>温度对化学平衡的影响。</w:t>
      </w:r>
    </w:p>
    <w:p w14:paraId="2CDDD4F3"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【难点】</w:t>
      </w:r>
    </w:p>
    <w:p w14:paraId="553F4604" w14:textId="77777777" w:rsidR="00AB7A5F" w:rsidRPr="00AB7A5F" w:rsidRDefault="00AB7A5F" w:rsidP="00AB7A5F">
      <w:pPr>
        <w:spacing w:line="440" w:lineRule="exact"/>
        <w:ind w:firstLineChars="200" w:firstLine="480"/>
        <w:rPr>
          <w:rFonts w:ascii="Times New Roman" w:eastAsia="宋体" w:hAnsi="Times New Roman" w:cs="Times New Roman"/>
          <w:b/>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color w:val="000000"/>
          <w:sz w:val="24"/>
          <w:szCs w:val="24"/>
        </w:rPr>
        <w:t>温度对化学平衡的影响。</w:t>
      </w:r>
    </w:p>
    <w:p w14:paraId="776DFC30" w14:textId="77777777" w:rsidR="00AB7A5F" w:rsidRPr="00AB7A5F" w:rsidRDefault="00AB7A5F" w:rsidP="00AB7A5F">
      <w:pPr>
        <w:spacing w:line="440" w:lineRule="exact"/>
        <w:ind w:firstLineChars="200" w:firstLine="482"/>
        <w:rPr>
          <w:rFonts w:ascii="Times New Roman" w:eastAsia="宋体" w:hAnsi="Times New Roman" w:cs="Times New Roman"/>
          <w:b/>
          <w:bCs/>
          <w:sz w:val="24"/>
          <w:szCs w:val="24"/>
        </w:rPr>
      </w:pPr>
      <w:r w:rsidRPr="00AB7A5F">
        <w:rPr>
          <w:rFonts w:ascii="Times New Roman" w:eastAsia="宋体" w:hAnsi="Times New Roman" w:cs="Times New Roman"/>
          <w:b/>
          <w:bCs/>
          <w:sz w:val="24"/>
          <w:szCs w:val="24"/>
        </w:rPr>
        <w:t>【教学方法】</w:t>
      </w:r>
    </w:p>
    <w:p w14:paraId="5170BD7D"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通过多媒体课件和传统教学相结合，阐明化学平衡的基本概念和基本原理，使学生扎实掌握基础知识。</w:t>
      </w:r>
      <w:r w:rsidRPr="00AB7A5F">
        <w:rPr>
          <w:rFonts w:ascii="Times New Roman" w:eastAsia="宋体" w:hAnsi="Times New Roman" w:cs="Times New Roman"/>
          <w:color w:val="000000"/>
          <w:sz w:val="24"/>
          <w:szCs w:val="24"/>
        </w:rPr>
        <w:t xml:space="preserve"> </w:t>
      </w:r>
    </w:p>
    <w:p w14:paraId="6D224E95"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．通过例题分析，强调理论与实践相结合，促进学生知识整合，培养学生的反</w:t>
      </w:r>
      <w:r w:rsidRPr="00AB7A5F">
        <w:rPr>
          <w:rFonts w:ascii="Times New Roman" w:eastAsia="宋体" w:hAnsi="Times New Roman" w:cs="Times New Roman"/>
          <w:color w:val="000000"/>
          <w:sz w:val="24"/>
          <w:szCs w:val="24"/>
        </w:rPr>
        <w:lastRenderedPageBreak/>
        <w:t>思能力。</w:t>
      </w:r>
    </w:p>
    <w:p w14:paraId="582D92BA" w14:textId="77777777" w:rsidR="00AB7A5F" w:rsidRPr="00AB7A5F" w:rsidRDefault="00AB7A5F" w:rsidP="00AB7A5F">
      <w:pPr>
        <w:spacing w:line="440" w:lineRule="exact"/>
        <w:ind w:firstLineChars="200" w:firstLine="482"/>
        <w:rPr>
          <w:rFonts w:ascii="Times New Roman" w:eastAsia="宋体" w:hAnsi="Times New Roman" w:cs="Times New Roman"/>
          <w:bCs/>
          <w:color w:val="FF0000"/>
          <w:sz w:val="24"/>
          <w:szCs w:val="24"/>
        </w:rPr>
      </w:pPr>
      <w:r w:rsidRPr="00AB7A5F">
        <w:rPr>
          <w:rFonts w:ascii="Times New Roman" w:eastAsia="宋体" w:hAnsi="Times New Roman" w:cs="Times New Roman"/>
          <w:b/>
          <w:sz w:val="24"/>
          <w:szCs w:val="24"/>
        </w:rPr>
        <w:t>【复习思考】</w:t>
      </w:r>
    </w:p>
    <w:p w14:paraId="6762D949"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课后思考题。</w:t>
      </w:r>
    </w:p>
    <w:p w14:paraId="5636BF0D" w14:textId="77777777" w:rsidR="00AB7A5F" w:rsidRPr="00AB7A5F" w:rsidRDefault="00AB7A5F" w:rsidP="00AB7A5F">
      <w:pPr>
        <w:adjustRightInd w:val="0"/>
        <w:snapToGrid w:val="0"/>
        <w:spacing w:line="440" w:lineRule="exact"/>
        <w:jc w:val="center"/>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第四章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sz w:val="24"/>
          <w:szCs w:val="32"/>
        </w:rPr>
        <w:t>化学反应速率</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color w:val="000000"/>
          <w:sz w:val="24"/>
          <w:szCs w:val="24"/>
        </w:rPr>
        <w:t>（</w:t>
      </w:r>
      <w:r w:rsidRPr="00AB7A5F">
        <w:rPr>
          <w:rFonts w:ascii="Times New Roman" w:eastAsia="宋体" w:hAnsi="Times New Roman" w:cs="Times New Roman"/>
          <w:b/>
          <w:color w:val="000000"/>
          <w:sz w:val="24"/>
          <w:szCs w:val="24"/>
        </w:rPr>
        <w:t>4</w:t>
      </w:r>
      <w:r w:rsidRPr="00AB7A5F">
        <w:rPr>
          <w:rFonts w:ascii="Times New Roman" w:eastAsia="宋体" w:hAnsi="Times New Roman" w:cs="Times New Roman"/>
          <w:b/>
          <w:color w:val="000000"/>
          <w:sz w:val="24"/>
          <w:szCs w:val="24"/>
        </w:rPr>
        <w:t>学时）</w:t>
      </w:r>
    </w:p>
    <w:p w14:paraId="0D4C4764"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b/>
          <w:color w:val="000000"/>
          <w:sz w:val="24"/>
          <w:szCs w:val="24"/>
        </w:rPr>
      </w:pPr>
      <w:r w:rsidRPr="00AB7A5F">
        <w:rPr>
          <w:rFonts w:ascii="Times New Roman" w:eastAsia="宋体" w:hAnsi="Times New Roman" w:cs="Times New Roman"/>
          <w:b/>
          <w:sz w:val="24"/>
          <w:szCs w:val="24"/>
        </w:rPr>
        <w:t>【学习目标】</w:t>
      </w:r>
    </w:p>
    <w:p w14:paraId="425B8FDC"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4"/>
        </w:rPr>
        <w:t>认知类目标：</w:t>
      </w:r>
      <w:r w:rsidRPr="00AB7A5F">
        <w:rPr>
          <w:rFonts w:ascii="Times New Roman" w:eastAsia="宋体" w:hAnsi="Times New Roman" w:cs="Times New Roman"/>
          <w:color w:val="000000"/>
          <w:sz w:val="24"/>
          <w:szCs w:val="24"/>
        </w:rPr>
        <w:t>了解</w:t>
      </w:r>
      <w:r w:rsidRPr="00AB7A5F">
        <w:rPr>
          <w:rFonts w:ascii="Times New Roman" w:eastAsia="宋体" w:hAnsi="Times New Roman" w:cs="Times New Roman"/>
          <w:bCs/>
          <w:sz w:val="24"/>
          <w:szCs w:val="32"/>
        </w:rPr>
        <w:t>化学反应速率</w:t>
      </w:r>
      <w:r w:rsidRPr="00AB7A5F">
        <w:rPr>
          <w:rFonts w:ascii="Times New Roman" w:eastAsia="宋体" w:hAnsi="Times New Roman" w:cs="Times New Roman"/>
          <w:color w:val="000000"/>
          <w:kern w:val="0"/>
          <w:sz w:val="24"/>
          <w:szCs w:val="32"/>
        </w:rPr>
        <w:t>的基本概念</w:t>
      </w:r>
      <w:r w:rsidRPr="00AB7A5F">
        <w:rPr>
          <w:rFonts w:ascii="Times New Roman" w:eastAsia="宋体" w:hAnsi="Times New Roman" w:cs="Times New Roman"/>
          <w:color w:val="000000"/>
          <w:sz w:val="24"/>
          <w:szCs w:val="24"/>
        </w:rPr>
        <w:t>。</w:t>
      </w:r>
    </w:p>
    <w:p w14:paraId="4DAABE2B"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sz w:val="24"/>
          <w:szCs w:val="24"/>
        </w:rPr>
        <w:t>过程与方法类目标：</w:t>
      </w:r>
      <w:r w:rsidRPr="00AB7A5F">
        <w:rPr>
          <w:rFonts w:ascii="Times New Roman" w:eastAsia="宋体" w:hAnsi="Times New Roman" w:cs="Times New Roman"/>
          <w:color w:val="000000"/>
          <w:sz w:val="24"/>
          <w:szCs w:val="21"/>
        </w:rPr>
        <w:t>掌握</w:t>
      </w:r>
      <w:r w:rsidRPr="00AB7A5F">
        <w:rPr>
          <w:rFonts w:ascii="Times New Roman" w:eastAsia="宋体" w:hAnsi="Times New Roman" w:cs="Times New Roman"/>
          <w:bCs/>
          <w:color w:val="000000"/>
          <w:kern w:val="0"/>
          <w:sz w:val="24"/>
          <w:szCs w:val="21"/>
        </w:rPr>
        <w:t>浓度和温度对反应速率影响</w:t>
      </w:r>
      <w:r w:rsidRPr="00AB7A5F">
        <w:rPr>
          <w:rFonts w:ascii="Times New Roman" w:eastAsia="宋体" w:hAnsi="Times New Roman" w:cs="Times New Roman"/>
          <w:color w:val="000000"/>
          <w:kern w:val="0"/>
          <w:sz w:val="24"/>
          <w:szCs w:val="21"/>
        </w:rPr>
        <w:t>，理解</w:t>
      </w:r>
      <w:hyperlink r:id="rId30" w:anchor="4-2" w:tgtFrame="main" w:history="1">
        <w:r w:rsidRPr="00AB7A5F">
          <w:rPr>
            <w:rFonts w:ascii="Times New Roman" w:eastAsia="宋体" w:hAnsi="Times New Roman" w:cs="Times New Roman"/>
            <w:color w:val="000000"/>
            <w:kern w:val="0"/>
            <w:sz w:val="24"/>
            <w:szCs w:val="21"/>
          </w:rPr>
          <w:t>活化能</w:t>
        </w:r>
      </w:hyperlink>
      <w:r w:rsidRPr="00AB7A5F">
        <w:rPr>
          <w:rFonts w:ascii="Times New Roman" w:eastAsia="宋体" w:hAnsi="Times New Roman" w:cs="Times New Roman"/>
          <w:color w:val="000000"/>
          <w:kern w:val="0"/>
          <w:sz w:val="24"/>
          <w:szCs w:val="21"/>
        </w:rPr>
        <w:t>概念并掌握相关计算</w:t>
      </w:r>
      <w:r w:rsidRPr="00AB7A5F">
        <w:rPr>
          <w:rFonts w:ascii="Times New Roman" w:eastAsia="宋体" w:hAnsi="Times New Roman" w:cs="Times New Roman"/>
          <w:color w:val="000000"/>
          <w:sz w:val="24"/>
          <w:szCs w:val="24"/>
        </w:rPr>
        <w:t>。</w:t>
      </w:r>
    </w:p>
    <w:p w14:paraId="2A4E49E5"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3. </w:t>
      </w:r>
      <w:r w:rsidRPr="00AB7A5F">
        <w:rPr>
          <w:rFonts w:ascii="Times New Roman" w:eastAsia="宋体" w:hAnsi="Times New Roman" w:cs="Times New Roman"/>
          <w:sz w:val="24"/>
          <w:szCs w:val="24"/>
        </w:rPr>
        <w:t>情感、态度、价值观类目标：</w:t>
      </w:r>
      <w:r w:rsidRPr="00AB7A5F">
        <w:rPr>
          <w:rFonts w:ascii="Times New Roman" w:eastAsia="宋体" w:hAnsi="Times New Roman" w:cs="Times New Roman"/>
          <w:color w:val="000000"/>
          <w:sz w:val="24"/>
          <w:szCs w:val="24"/>
        </w:rPr>
        <w:t>通过学习</w:t>
      </w:r>
      <w:r w:rsidRPr="00AB7A5F">
        <w:rPr>
          <w:rFonts w:ascii="Times New Roman" w:eastAsia="宋体" w:hAnsi="Times New Roman" w:cs="Times New Roman"/>
          <w:bCs/>
          <w:sz w:val="24"/>
          <w:szCs w:val="32"/>
        </w:rPr>
        <w:t>化学反应速率</w:t>
      </w:r>
      <w:r w:rsidRPr="00AB7A5F">
        <w:rPr>
          <w:rFonts w:ascii="Times New Roman" w:eastAsia="宋体" w:hAnsi="Times New Roman" w:cs="Times New Roman"/>
          <w:color w:val="000000"/>
          <w:sz w:val="24"/>
          <w:szCs w:val="24"/>
        </w:rPr>
        <w:t>，掌握催化剂不能改变化学反应的方向，培养辩证讨论问题的观念。</w:t>
      </w:r>
    </w:p>
    <w:p w14:paraId="18759A9B"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【学习内容】</w:t>
      </w:r>
    </w:p>
    <w:p w14:paraId="72B8D990"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1"/>
        </w:rPr>
        <w:t>理解</w:t>
      </w:r>
      <w:hyperlink r:id="rId31" w:anchor="1-2" w:tgtFrame="main" w:history="1">
        <w:r w:rsidRPr="00AB7A5F">
          <w:rPr>
            <w:rFonts w:ascii="Times New Roman" w:eastAsia="宋体" w:hAnsi="Times New Roman" w:cs="Times New Roman"/>
            <w:color w:val="000000"/>
            <w:kern w:val="0"/>
            <w:sz w:val="24"/>
            <w:szCs w:val="21"/>
          </w:rPr>
          <w:t>反应速率</w:t>
        </w:r>
      </w:hyperlink>
      <w:r w:rsidRPr="00AB7A5F">
        <w:rPr>
          <w:rFonts w:ascii="Times New Roman" w:eastAsia="宋体" w:hAnsi="Times New Roman" w:cs="Times New Roman"/>
          <w:color w:val="000000"/>
          <w:sz w:val="24"/>
          <w:szCs w:val="21"/>
        </w:rPr>
        <w:t>概念</w:t>
      </w:r>
      <w:r w:rsidRPr="00AB7A5F">
        <w:rPr>
          <w:rFonts w:ascii="Times New Roman" w:eastAsia="宋体" w:hAnsi="Times New Roman" w:cs="Times New Roman"/>
          <w:color w:val="000000"/>
          <w:kern w:val="0"/>
          <w:sz w:val="24"/>
          <w:szCs w:val="21"/>
        </w:rPr>
        <w:t>。</w:t>
      </w:r>
    </w:p>
    <w:p w14:paraId="387F5E6D"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1"/>
        </w:rPr>
        <w:t>了解</w:t>
      </w:r>
      <w:hyperlink r:id="rId32" w:anchor="2-1" w:tgtFrame="main" w:history="1">
        <w:r w:rsidRPr="00AB7A5F">
          <w:rPr>
            <w:rFonts w:ascii="Times New Roman" w:eastAsia="宋体" w:hAnsi="Times New Roman" w:cs="Times New Roman"/>
            <w:color w:val="000000"/>
            <w:kern w:val="0"/>
            <w:sz w:val="24"/>
            <w:szCs w:val="21"/>
          </w:rPr>
          <w:t>碰撞理论</w:t>
        </w:r>
      </w:hyperlink>
      <w:r w:rsidRPr="00AB7A5F">
        <w:rPr>
          <w:rFonts w:ascii="Times New Roman" w:eastAsia="宋体" w:hAnsi="Times New Roman" w:cs="Times New Roman"/>
          <w:color w:val="000000"/>
          <w:kern w:val="0"/>
          <w:sz w:val="24"/>
          <w:szCs w:val="21"/>
        </w:rPr>
        <w:t>和</w:t>
      </w:r>
      <w:hyperlink r:id="rId33" w:anchor="2-2" w:tgtFrame="main" w:history="1">
        <w:r w:rsidRPr="00AB7A5F">
          <w:rPr>
            <w:rFonts w:ascii="Times New Roman" w:eastAsia="宋体" w:hAnsi="Times New Roman" w:cs="Times New Roman"/>
            <w:color w:val="000000"/>
            <w:kern w:val="0"/>
            <w:sz w:val="24"/>
            <w:szCs w:val="21"/>
          </w:rPr>
          <w:t>过渡状态理论</w:t>
        </w:r>
      </w:hyperlink>
      <w:r w:rsidRPr="00AB7A5F">
        <w:rPr>
          <w:rFonts w:ascii="Times New Roman" w:eastAsia="宋体" w:hAnsi="Times New Roman" w:cs="Times New Roman"/>
          <w:color w:val="000000"/>
          <w:kern w:val="0"/>
          <w:sz w:val="24"/>
          <w:szCs w:val="21"/>
        </w:rPr>
        <w:t>。</w:t>
      </w:r>
    </w:p>
    <w:p w14:paraId="095651D8"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kern w:val="0"/>
          <w:sz w:val="24"/>
          <w:szCs w:val="21"/>
        </w:rPr>
      </w:pPr>
      <w:r w:rsidRPr="00AB7A5F">
        <w:rPr>
          <w:rFonts w:ascii="Times New Roman" w:eastAsia="宋体" w:hAnsi="Times New Roman" w:cs="Times New Roman"/>
          <w:color w:val="000000"/>
          <w:sz w:val="24"/>
          <w:szCs w:val="24"/>
        </w:rPr>
        <w:t>3</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1"/>
        </w:rPr>
        <w:t>掌握</w:t>
      </w:r>
      <w:r w:rsidRPr="00AB7A5F">
        <w:rPr>
          <w:rFonts w:ascii="Times New Roman" w:eastAsia="宋体" w:hAnsi="Times New Roman" w:cs="Times New Roman"/>
          <w:bCs/>
          <w:color w:val="000000"/>
          <w:kern w:val="0"/>
          <w:sz w:val="24"/>
          <w:szCs w:val="21"/>
        </w:rPr>
        <w:t>浓度和温度对反应速率影响</w:t>
      </w:r>
      <w:r w:rsidRPr="00AB7A5F">
        <w:rPr>
          <w:rFonts w:ascii="Times New Roman" w:eastAsia="宋体" w:hAnsi="Times New Roman" w:cs="Times New Roman"/>
          <w:color w:val="000000"/>
          <w:kern w:val="0"/>
          <w:sz w:val="24"/>
          <w:szCs w:val="21"/>
        </w:rPr>
        <w:t>，理解</w:t>
      </w:r>
      <w:hyperlink r:id="rId34" w:anchor="4-2" w:tgtFrame="main" w:history="1">
        <w:r w:rsidRPr="00AB7A5F">
          <w:rPr>
            <w:rFonts w:ascii="Times New Roman" w:eastAsia="宋体" w:hAnsi="Times New Roman" w:cs="Times New Roman"/>
            <w:color w:val="000000"/>
            <w:kern w:val="0"/>
            <w:sz w:val="24"/>
            <w:szCs w:val="21"/>
          </w:rPr>
          <w:t>活化能</w:t>
        </w:r>
      </w:hyperlink>
      <w:r w:rsidRPr="00AB7A5F">
        <w:rPr>
          <w:rFonts w:ascii="Times New Roman" w:eastAsia="宋体" w:hAnsi="Times New Roman" w:cs="Times New Roman"/>
          <w:color w:val="000000"/>
          <w:kern w:val="0"/>
          <w:sz w:val="24"/>
          <w:szCs w:val="21"/>
        </w:rPr>
        <w:t>概念并掌握相关计算。</w:t>
      </w:r>
    </w:p>
    <w:p w14:paraId="4F8E8191"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kern w:val="0"/>
          <w:sz w:val="24"/>
          <w:szCs w:val="21"/>
        </w:rPr>
        <w:t>4</w:t>
      </w:r>
      <w:r w:rsidRPr="00AB7A5F">
        <w:rPr>
          <w:rFonts w:ascii="Times New Roman" w:eastAsia="宋体" w:hAnsi="Times New Roman" w:cs="Times New Roman"/>
          <w:color w:val="000000"/>
          <w:kern w:val="0"/>
          <w:sz w:val="24"/>
          <w:szCs w:val="21"/>
        </w:rPr>
        <w:t>．理解</w:t>
      </w:r>
      <w:r w:rsidRPr="00AB7A5F">
        <w:rPr>
          <w:rFonts w:ascii="Times New Roman" w:eastAsia="宋体" w:hAnsi="Times New Roman" w:cs="Times New Roman"/>
          <w:bCs/>
          <w:color w:val="000000"/>
          <w:kern w:val="0"/>
          <w:sz w:val="24"/>
          <w:szCs w:val="21"/>
        </w:rPr>
        <w:t>催化剂对反应速率的影响。</w:t>
      </w:r>
    </w:p>
    <w:p w14:paraId="290D7710"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【重点】</w:t>
      </w:r>
    </w:p>
    <w:p w14:paraId="049D5D0F"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4"/>
        </w:rPr>
        <w:t>分子碰撞理论和过渡状态理论</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4"/>
        </w:rPr>
        <w:t xml:space="preserve"> </w:t>
      </w:r>
    </w:p>
    <w:p w14:paraId="2407BD6D" w14:textId="77777777" w:rsidR="00AB7A5F" w:rsidRPr="00AB7A5F" w:rsidRDefault="00AB7A5F" w:rsidP="00AB7A5F">
      <w:pPr>
        <w:spacing w:line="440" w:lineRule="exact"/>
        <w:ind w:firstLineChars="200" w:firstLine="480"/>
        <w:rPr>
          <w:rFonts w:ascii="Times New Roman" w:eastAsia="宋体" w:hAnsi="Times New Roman" w:cs="Times New Roman"/>
          <w:b/>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bCs/>
          <w:color w:val="000000"/>
          <w:kern w:val="0"/>
          <w:sz w:val="24"/>
          <w:szCs w:val="21"/>
        </w:rPr>
        <w:t>浓度和温度对反应速率影响。</w:t>
      </w:r>
    </w:p>
    <w:p w14:paraId="57FAC22F"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【难点】</w:t>
      </w:r>
    </w:p>
    <w:p w14:paraId="49F858C5" w14:textId="77777777" w:rsidR="00AB7A5F" w:rsidRPr="00AB7A5F" w:rsidRDefault="00AB7A5F" w:rsidP="00AB7A5F">
      <w:pPr>
        <w:spacing w:line="440" w:lineRule="exact"/>
        <w:ind w:firstLineChars="200" w:firstLine="480"/>
        <w:rPr>
          <w:rFonts w:ascii="Times New Roman" w:eastAsia="宋体" w:hAnsi="Times New Roman" w:cs="Times New Roman"/>
          <w:b/>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color w:val="000000"/>
          <w:sz w:val="24"/>
          <w:szCs w:val="24"/>
        </w:rPr>
        <w:t>温度对反应速度的影响</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阿仑尼乌斯公式。</w:t>
      </w:r>
    </w:p>
    <w:p w14:paraId="57725349" w14:textId="77777777" w:rsidR="00AB7A5F" w:rsidRPr="00AB7A5F" w:rsidRDefault="00AB7A5F" w:rsidP="00AB7A5F">
      <w:pPr>
        <w:spacing w:line="440" w:lineRule="exact"/>
        <w:ind w:firstLineChars="200" w:firstLine="482"/>
        <w:rPr>
          <w:rFonts w:ascii="Times New Roman" w:eastAsia="宋体" w:hAnsi="Times New Roman" w:cs="Times New Roman"/>
          <w:b/>
          <w:bCs/>
          <w:sz w:val="24"/>
          <w:szCs w:val="24"/>
        </w:rPr>
      </w:pPr>
      <w:r w:rsidRPr="00AB7A5F">
        <w:rPr>
          <w:rFonts w:ascii="Times New Roman" w:eastAsia="宋体" w:hAnsi="Times New Roman" w:cs="Times New Roman"/>
          <w:b/>
          <w:bCs/>
          <w:sz w:val="24"/>
          <w:szCs w:val="24"/>
        </w:rPr>
        <w:t>【教学方法】</w:t>
      </w:r>
    </w:p>
    <w:p w14:paraId="57F1E991"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通过多媒体课件和传统教学相结合，阐明</w:t>
      </w:r>
      <w:r w:rsidRPr="00AB7A5F">
        <w:rPr>
          <w:rFonts w:ascii="Times New Roman" w:eastAsia="宋体" w:hAnsi="Times New Roman" w:cs="Times New Roman"/>
          <w:bCs/>
          <w:sz w:val="24"/>
          <w:szCs w:val="32"/>
        </w:rPr>
        <w:t>化学反应速率</w:t>
      </w:r>
      <w:r w:rsidRPr="00AB7A5F">
        <w:rPr>
          <w:rFonts w:ascii="Times New Roman" w:eastAsia="宋体" w:hAnsi="Times New Roman" w:cs="Times New Roman"/>
          <w:color w:val="000000"/>
          <w:sz w:val="24"/>
          <w:szCs w:val="24"/>
        </w:rPr>
        <w:t>的基本概念和基本原理，使学生扎实掌握基础知识。</w:t>
      </w:r>
      <w:r w:rsidRPr="00AB7A5F">
        <w:rPr>
          <w:rFonts w:ascii="Times New Roman" w:eastAsia="宋体" w:hAnsi="Times New Roman" w:cs="Times New Roman"/>
          <w:color w:val="000000"/>
          <w:sz w:val="24"/>
          <w:szCs w:val="24"/>
        </w:rPr>
        <w:t xml:space="preserve"> </w:t>
      </w:r>
    </w:p>
    <w:p w14:paraId="769A358A"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．通过例题分析，强调理论与实践相结合，促进学生知识整合，培养学生的反思能力。</w:t>
      </w:r>
    </w:p>
    <w:p w14:paraId="1504F57B" w14:textId="77777777" w:rsidR="00AB7A5F" w:rsidRPr="00AB7A5F" w:rsidRDefault="00AB7A5F" w:rsidP="00AB7A5F">
      <w:pPr>
        <w:spacing w:line="440" w:lineRule="exact"/>
        <w:ind w:firstLineChars="200" w:firstLine="482"/>
        <w:rPr>
          <w:rFonts w:ascii="Times New Roman" w:eastAsia="宋体" w:hAnsi="Times New Roman" w:cs="Times New Roman"/>
          <w:bCs/>
          <w:color w:val="FF0000"/>
          <w:sz w:val="24"/>
          <w:szCs w:val="24"/>
        </w:rPr>
      </w:pPr>
      <w:r w:rsidRPr="00AB7A5F">
        <w:rPr>
          <w:rFonts w:ascii="Times New Roman" w:eastAsia="宋体" w:hAnsi="Times New Roman" w:cs="Times New Roman"/>
          <w:b/>
          <w:sz w:val="24"/>
          <w:szCs w:val="24"/>
        </w:rPr>
        <w:t>【复习思考】</w:t>
      </w:r>
    </w:p>
    <w:p w14:paraId="7A4A3D62"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课后思考题。</w:t>
      </w:r>
    </w:p>
    <w:p w14:paraId="0D21C04E" w14:textId="77777777" w:rsidR="00AB7A5F" w:rsidRPr="00AB7A5F" w:rsidRDefault="00AB7A5F" w:rsidP="00AB7A5F">
      <w:pPr>
        <w:adjustRightInd w:val="0"/>
        <w:snapToGrid w:val="0"/>
        <w:spacing w:line="440" w:lineRule="exact"/>
        <w:jc w:val="center"/>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第五章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bCs/>
          <w:sz w:val="24"/>
          <w:szCs w:val="32"/>
        </w:rPr>
        <w:t>酸碱解离平衡</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color w:val="000000"/>
          <w:sz w:val="24"/>
          <w:szCs w:val="24"/>
        </w:rPr>
        <w:t>（</w:t>
      </w:r>
      <w:r w:rsidRPr="00AB7A5F">
        <w:rPr>
          <w:rFonts w:ascii="Times New Roman" w:eastAsia="宋体" w:hAnsi="Times New Roman" w:cs="Times New Roman"/>
          <w:b/>
          <w:color w:val="000000"/>
          <w:sz w:val="24"/>
          <w:szCs w:val="24"/>
        </w:rPr>
        <w:t>6</w:t>
      </w:r>
      <w:r w:rsidRPr="00AB7A5F">
        <w:rPr>
          <w:rFonts w:ascii="Times New Roman" w:eastAsia="宋体" w:hAnsi="Times New Roman" w:cs="Times New Roman"/>
          <w:b/>
          <w:color w:val="000000"/>
          <w:sz w:val="24"/>
          <w:szCs w:val="24"/>
        </w:rPr>
        <w:t>学时）</w:t>
      </w:r>
    </w:p>
    <w:p w14:paraId="62DB32CC"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b/>
          <w:color w:val="000000"/>
          <w:sz w:val="24"/>
          <w:szCs w:val="24"/>
        </w:rPr>
      </w:pPr>
      <w:r w:rsidRPr="00AB7A5F">
        <w:rPr>
          <w:rFonts w:ascii="Times New Roman" w:eastAsia="宋体" w:hAnsi="Times New Roman" w:cs="Times New Roman"/>
          <w:b/>
          <w:sz w:val="24"/>
          <w:szCs w:val="24"/>
        </w:rPr>
        <w:t>【学习目标】</w:t>
      </w:r>
    </w:p>
    <w:p w14:paraId="0E389A5F"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4"/>
        </w:rPr>
        <w:t>认知类目标：</w:t>
      </w:r>
      <w:r w:rsidRPr="00AB7A5F">
        <w:rPr>
          <w:rFonts w:ascii="Times New Roman" w:eastAsia="宋体" w:hAnsi="Times New Roman" w:cs="Times New Roman"/>
          <w:color w:val="000000"/>
          <w:sz w:val="24"/>
          <w:szCs w:val="24"/>
        </w:rPr>
        <w:t>了解</w:t>
      </w:r>
      <w:r w:rsidRPr="00AB7A5F">
        <w:rPr>
          <w:rFonts w:ascii="Times New Roman" w:eastAsia="宋体" w:hAnsi="Times New Roman" w:cs="Times New Roman"/>
          <w:bCs/>
          <w:sz w:val="24"/>
          <w:szCs w:val="32"/>
        </w:rPr>
        <w:t>酸碱理论</w:t>
      </w:r>
      <w:r w:rsidRPr="00AB7A5F">
        <w:rPr>
          <w:rFonts w:ascii="Times New Roman" w:eastAsia="宋体" w:hAnsi="Times New Roman" w:cs="Times New Roman"/>
          <w:color w:val="000000"/>
          <w:kern w:val="0"/>
          <w:sz w:val="24"/>
          <w:szCs w:val="32"/>
        </w:rPr>
        <w:t>的基本概念</w:t>
      </w:r>
      <w:r w:rsidRPr="00AB7A5F">
        <w:rPr>
          <w:rFonts w:ascii="Times New Roman" w:eastAsia="宋体" w:hAnsi="Times New Roman" w:cs="Times New Roman"/>
          <w:color w:val="000000"/>
          <w:sz w:val="24"/>
          <w:szCs w:val="24"/>
        </w:rPr>
        <w:t>。</w:t>
      </w:r>
    </w:p>
    <w:p w14:paraId="2C86F552"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sz w:val="24"/>
          <w:szCs w:val="24"/>
        </w:rPr>
        <w:t>过程与方法类目标：</w:t>
      </w:r>
      <w:r w:rsidRPr="00AB7A5F">
        <w:rPr>
          <w:rFonts w:ascii="Times New Roman" w:eastAsia="宋体" w:hAnsi="Times New Roman" w:cs="Times New Roman"/>
          <w:sz w:val="24"/>
          <w:szCs w:val="21"/>
        </w:rPr>
        <w:t>熟练掌握弱酸、弱碱溶液有关离子浓度的计算</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1"/>
        </w:rPr>
        <w:t>熟练掌握</w:t>
      </w:r>
      <w:r w:rsidRPr="00AB7A5F">
        <w:rPr>
          <w:rFonts w:ascii="Times New Roman" w:eastAsia="宋体" w:hAnsi="Times New Roman" w:cs="Times New Roman"/>
          <w:sz w:val="24"/>
          <w:szCs w:val="21"/>
        </w:rPr>
        <w:lastRenderedPageBreak/>
        <w:t>缓冲作用原理及有关计算</w:t>
      </w:r>
      <w:r w:rsidRPr="00AB7A5F">
        <w:rPr>
          <w:rFonts w:ascii="Times New Roman" w:eastAsia="宋体" w:hAnsi="Times New Roman" w:cs="Times New Roman"/>
          <w:color w:val="000000"/>
          <w:sz w:val="24"/>
          <w:szCs w:val="24"/>
        </w:rPr>
        <w:t>。</w:t>
      </w:r>
    </w:p>
    <w:p w14:paraId="507E1737" w14:textId="77777777" w:rsidR="00AB7A5F" w:rsidRPr="00AB7A5F" w:rsidRDefault="00AB7A5F" w:rsidP="00AB7A5F">
      <w:pPr>
        <w:adjustRightInd w:val="0"/>
        <w:snapToGrid w:val="0"/>
        <w:spacing w:line="440" w:lineRule="exact"/>
        <w:ind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3. </w:t>
      </w:r>
      <w:r w:rsidRPr="00AB7A5F">
        <w:rPr>
          <w:rFonts w:ascii="Times New Roman" w:eastAsia="宋体" w:hAnsi="Times New Roman" w:cs="Times New Roman"/>
          <w:sz w:val="24"/>
          <w:szCs w:val="24"/>
        </w:rPr>
        <w:t>情感、态度、价值观类目标：</w:t>
      </w:r>
      <w:r w:rsidRPr="00AB7A5F">
        <w:rPr>
          <w:rFonts w:ascii="Times New Roman" w:eastAsia="宋体" w:hAnsi="Times New Roman" w:cs="Times New Roman"/>
          <w:color w:val="000000"/>
          <w:sz w:val="24"/>
          <w:szCs w:val="24"/>
        </w:rPr>
        <w:t>通过学习</w:t>
      </w:r>
      <w:r w:rsidRPr="00AB7A5F">
        <w:rPr>
          <w:rFonts w:ascii="Times New Roman" w:eastAsia="宋体" w:hAnsi="Times New Roman" w:cs="Times New Roman"/>
          <w:bCs/>
          <w:sz w:val="24"/>
          <w:szCs w:val="32"/>
        </w:rPr>
        <w:t>缓冲溶液</w:t>
      </w:r>
      <w:r w:rsidRPr="00AB7A5F">
        <w:rPr>
          <w:rFonts w:ascii="Times New Roman" w:eastAsia="宋体" w:hAnsi="Times New Roman" w:cs="Times New Roman"/>
          <w:color w:val="000000"/>
          <w:sz w:val="24"/>
          <w:szCs w:val="24"/>
        </w:rPr>
        <w:t>，理解缓冲溶液在医学上的意义。</w:t>
      </w:r>
    </w:p>
    <w:p w14:paraId="104D7D50"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【学习内容】</w:t>
      </w:r>
    </w:p>
    <w:p w14:paraId="07CD21DC"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1"/>
        </w:rPr>
        <w:t>熟悉酸碱质子论，了解酸碱电子理论</w:t>
      </w:r>
      <w:r w:rsidRPr="00AB7A5F">
        <w:rPr>
          <w:rFonts w:ascii="Times New Roman" w:eastAsia="宋体" w:hAnsi="Times New Roman" w:cs="Times New Roman"/>
          <w:color w:val="000000"/>
          <w:kern w:val="0"/>
          <w:sz w:val="24"/>
          <w:szCs w:val="21"/>
        </w:rPr>
        <w:t>。</w:t>
      </w:r>
    </w:p>
    <w:p w14:paraId="6398A673"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1"/>
        </w:rPr>
        <w:t>掌握弱电解质解离常数及解离度的意义和影响因素</w:t>
      </w:r>
      <w:r w:rsidRPr="00AB7A5F">
        <w:rPr>
          <w:rFonts w:ascii="Times New Roman" w:eastAsia="宋体" w:hAnsi="Times New Roman" w:cs="Times New Roman"/>
          <w:color w:val="000000"/>
          <w:kern w:val="0"/>
          <w:sz w:val="24"/>
          <w:szCs w:val="21"/>
        </w:rPr>
        <w:t>。</w:t>
      </w:r>
    </w:p>
    <w:p w14:paraId="72366616"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kern w:val="0"/>
          <w:sz w:val="24"/>
          <w:szCs w:val="21"/>
        </w:rPr>
      </w:pPr>
      <w:r w:rsidRPr="00AB7A5F">
        <w:rPr>
          <w:rFonts w:ascii="Times New Roman" w:eastAsia="宋体" w:hAnsi="Times New Roman" w:cs="Times New Roman"/>
          <w:color w:val="000000"/>
          <w:sz w:val="24"/>
          <w:szCs w:val="24"/>
        </w:rPr>
        <w:t>3</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1"/>
        </w:rPr>
        <w:t>能用化学平衡移动原理分析弱酸、弱碱在水溶液中的解离平衡和同离子效应对解离平衡的影响</w:t>
      </w:r>
      <w:r w:rsidRPr="00AB7A5F">
        <w:rPr>
          <w:rFonts w:ascii="Times New Roman" w:eastAsia="宋体" w:hAnsi="Times New Roman" w:cs="Times New Roman"/>
          <w:color w:val="000000"/>
          <w:kern w:val="0"/>
          <w:sz w:val="24"/>
          <w:szCs w:val="21"/>
        </w:rPr>
        <w:t>。</w:t>
      </w:r>
    </w:p>
    <w:p w14:paraId="2BF751CE" w14:textId="77777777" w:rsidR="00AB7A5F" w:rsidRPr="00AB7A5F" w:rsidRDefault="00AB7A5F" w:rsidP="00AB7A5F">
      <w:pPr>
        <w:adjustRightInd w:val="0"/>
        <w:snapToGrid w:val="0"/>
        <w:spacing w:line="440" w:lineRule="exact"/>
        <w:ind w:firstLine="480"/>
        <w:rPr>
          <w:rFonts w:ascii="Times New Roman" w:eastAsia="宋体" w:hAnsi="Times New Roman" w:cs="Times New Roman"/>
          <w:bCs/>
          <w:color w:val="000000"/>
          <w:kern w:val="0"/>
          <w:sz w:val="24"/>
          <w:szCs w:val="21"/>
        </w:rPr>
      </w:pPr>
      <w:r w:rsidRPr="00AB7A5F">
        <w:rPr>
          <w:rFonts w:ascii="Times New Roman" w:eastAsia="宋体" w:hAnsi="Times New Roman" w:cs="Times New Roman"/>
          <w:color w:val="000000"/>
          <w:kern w:val="0"/>
          <w:sz w:val="24"/>
          <w:szCs w:val="21"/>
        </w:rPr>
        <w:t>4</w:t>
      </w:r>
      <w:r w:rsidRPr="00AB7A5F">
        <w:rPr>
          <w:rFonts w:ascii="Times New Roman" w:eastAsia="宋体" w:hAnsi="Times New Roman" w:cs="Times New Roman"/>
          <w:color w:val="000000"/>
          <w:kern w:val="0"/>
          <w:sz w:val="24"/>
          <w:szCs w:val="21"/>
        </w:rPr>
        <w:t>．</w:t>
      </w:r>
      <w:r w:rsidRPr="00AB7A5F">
        <w:rPr>
          <w:rFonts w:ascii="Times New Roman" w:eastAsia="宋体" w:hAnsi="Times New Roman" w:cs="Times New Roman"/>
          <w:sz w:val="24"/>
          <w:szCs w:val="21"/>
        </w:rPr>
        <w:t>熟练掌握弱酸、弱碱溶液有关离子浓度的计算</w:t>
      </w:r>
      <w:r w:rsidRPr="00AB7A5F">
        <w:rPr>
          <w:rFonts w:ascii="Times New Roman" w:eastAsia="宋体" w:hAnsi="Times New Roman" w:cs="Times New Roman"/>
          <w:bCs/>
          <w:color w:val="000000"/>
          <w:kern w:val="0"/>
          <w:sz w:val="24"/>
          <w:szCs w:val="21"/>
        </w:rPr>
        <w:t>。</w:t>
      </w:r>
    </w:p>
    <w:p w14:paraId="4A0A1065"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bCs/>
          <w:color w:val="000000"/>
          <w:kern w:val="0"/>
          <w:sz w:val="24"/>
          <w:szCs w:val="21"/>
        </w:rPr>
        <w:t>5</w:t>
      </w:r>
      <w:r w:rsidRPr="00AB7A5F">
        <w:rPr>
          <w:rFonts w:ascii="Times New Roman" w:eastAsia="宋体" w:hAnsi="Times New Roman" w:cs="Times New Roman"/>
          <w:bCs/>
          <w:color w:val="000000"/>
          <w:kern w:val="0"/>
          <w:sz w:val="24"/>
          <w:szCs w:val="21"/>
        </w:rPr>
        <w:t>．</w:t>
      </w:r>
      <w:r w:rsidRPr="00AB7A5F">
        <w:rPr>
          <w:rFonts w:ascii="Times New Roman" w:eastAsia="宋体" w:hAnsi="Times New Roman" w:cs="Times New Roman"/>
          <w:sz w:val="24"/>
          <w:szCs w:val="21"/>
        </w:rPr>
        <w:t>熟练掌握缓冲作用原理及有关计算。</w:t>
      </w:r>
    </w:p>
    <w:p w14:paraId="7F23D43F"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【重点】</w:t>
      </w:r>
    </w:p>
    <w:p w14:paraId="1C9261C3"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1"/>
        </w:rPr>
        <w:t>弱酸、弱碱溶液有关离子浓度的计算</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4"/>
        </w:rPr>
        <w:t xml:space="preserve"> </w:t>
      </w:r>
    </w:p>
    <w:p w14:paraId="36BD2678"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sz w:val="24"/>
          <w:szCs w:val="21"/>
        </w:rPr>
        <w:t>缓冲作用原理及有关计算</w:t>
      </w:r>
      <w:r w:rsidRPr="00AB7A5F">
        <w:rPr>
          <w:rFonts w:ascii="Times New Roman" w:eastAsia="宋体" w:hAnsi="Times New Roman" w:cs="Times New Roman"/>
          <w:color w:val="000000"/>
          <w:sz w:val="24"/>
          <w:szCs w:val="24"/>
        </w:rPr>
        <w:t>。</w:t>
      </w:r>
    </w:p>
    <w:p w14:paraId="11799F04"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【难点】</w:t>
      </w:r>
    </w:p>
    <w:p w14:paraId="01D612A1"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1"/>
        </w:rPr>
        <w:t>缓冲作用原理及有关计算</w:t>
      </w:r>
      <w:r w:rsidRPr="00AB7A5F">
        <w:rPr>
          <w:rFonts w:ascii="Times New Roman" w:eastAsia="宋体" w:hAnsi="Times New Roman" w:cs="Times New Roman"/>
          <w:color w:val="000000"/>
          <w:sz w:val="24"/>
          <w:szCs w:val="24"/>
        </w:rPr>
        <w:t>。</w:t>
      </w:r>
    </w:p>
    <w:p w14:paraId="0C956A7B" w14:textId="77777777" w:rsidR="00AB7A5F" w:rsidRPr="00AB7A5F" w:rsidRDefault="00AB7A5F" w:rsidP="00AB7A5F">
      <w:pPr>
        <w:spacing w:line="440" w:lineRule="exact"/>
        <w:ind w:firstLineChars="200" w:firstLine="482"/>
        <w:rPr>
          <w:rFonts w:ascii="Times New Roman" w:eastAsia="宋体" w:hAnsi="Times New Roman" w:cs="Times New Roman"/>
          <w:b/>
          <w:bCs/>
          <w:sz w:val="24"/>
          <w:szCs w:val="24"/>
        </w:rPr>
      </w:pPr>
      <w:r w:rsidRPr="00AB7A5F">
        <w:rPr>
          <w:rFonts w:ascii="Times New Roman" w:eastAsia="宋体" w:hAnsi="Times New Roman" w:cs="Times New Roman"/>
          <w:b/>
          <w:bCs/>
          <w:sz w:val="24"/>
          <w:szCs w:val="24"/>
        </w:rPr>
        <w:t>【教学方法】</w:t>
      </w:r>
    </w:p>
    <w:p w14:paraId="5B22A8CE"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通过多媒体课件和传统教学相结合，阐明</w:t>
      </w:r>
      <w:r w:rsidRPr="00AB7A5F">
        <w:rPr>
          <w:rFonts w:ascii="Times New Roman" w:eastAsia="宋体" w:hAnsi="Times New Roman" w:cs="Times New Roman"/>
          <w:bCs/>
          <w:sz w:val="24"/>
          <w:szCs w:val="32"/>
        </w:rPr>
        <w:t>酸碱解离平衡</w:t>
      </w:r>
      <w:r w:rsidRPr="00AB7A5F">
        <w:rPr>
          <w:rFonts w:ascii="Times New Roman" w:eastAsia="宋体" w:hAnsi="Times New Roman" w:cs="Times New Roman"/>
          <w:color w:val="000000"/>
          <w:sz w:val="24"/>
          <w:szCs w:val="24"/>
        </w:rPr>
        <w:t>的基本概念和基本原理，使学生扎实掌握基础知识。</w:t>
      </w:r>
      <w:r w:rsidRPr="00AB7A5F">
        <w:rPr>
          <w:rFonts w:ascii="Times New Roman" w:eastAsia="宋体" w:hAnsi="Times New Roman" w:cs="Times New Roman"/>
          <w:color w:val="000000"/>
          <w:sz w:val="24"/>
          <w:szCs w:val="24"/>
        </w:rPr>
        <w:t xml:space="preserve"> </w:t>
      </w:r>
    </w:p>
    <w:p w14:paraId="5BB2D98A"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．通过例题分析，强调理论与实践相结合，促进学生知识整合，培养学生的反思能力。</w:t>
      </w:r>
    </w:p>
    <w:p w14:paraId="77507791" w14:textId="77777777" w:rsidR="00AB7A5F" w:rsidRPr="00AB7A5F" w:rsidRDefault="00AB7A5F" w:rsidP="00AB7A5F">
      <w:pPr>
        <w:spacing w:line="440" w:lineRule="exact"/>
        <w:ind w:firstLineChars="200" w:firstLine="482"/>
        <w:rPr>
          <w:rFonts w:ascii="Times New Roman" w:eastAsia="宋体" w:hAnsi="Times New Roman" w:cs="Times New Roman"/>
          <w:bCs/>
          <w:color w:val="FF0000"/>
          <w:sz w:val="24"/>
          <w:szCs w:val="24"/>
        </w:rPr>
      </w:pPr>
      <w:r w:rsidRPr="00AB7A5F">
        <w:rPr>
          <w:rFonts w:ascii="Times New Roman" w:eastAsia="宋体" w:hAnsi="Times New Roman" w:cs="Times New Roman"/>
          <w:b/>
          <w:sz w:val="24"/>
          <w:szCs w:val="24"/>
        </w:rPr>
        <w:t>【复习思考】</w:t>
      </w:r>
    </w:p>
    <w:p w14:paraId="65080037"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课后思考题。</w:t>
      </w:r>
    </w:p>
    <w:p w14:paraId="7EFD38A2" w14:textId="77777777" w:rsidR="00AB7A5F" w:rsidRPr="00AB7A5F" w:rsidRDefault="00AB7A5F" w:rsidP="00AB7A5F">
      <w:pPr>
        <w:adjustRightInd w:val="0"/>
        <w:snapToGrid w:val="0"/>
        <w:spacing w:line="440" w:lineRule="exact"/>
        <w:jc w:val="center"/>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第六章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color w:val="000000"/>
          <w:sz w:val="24"/>
          <w:szCs w:val="24"/>
        </w:rPr>
        <w:t>难溶强电解质的</w:t>
      </w:r>
      <w:r w:rsidRPr="00AB7A5F">
        <w:rPr>
          <w:rFonts w:ascii="Times New Roman" w:eastAsia="宋体" w:hAnsi="Times New Roman" w:cs="Times New Roman"/>
          <w:b/>
          <w:bCs/>
          <w:sz w:val="24"/>
          <w:szCs w:val="32"/>
        </w:rPr>
        <w:t>沉淀</w:t>
      </w:r>
      <w:r w:rsidRPr="00AB7A5F">
        <w:rPr>
          <w:rFonts w:ascii="Times New Roman" w:eastAsia="宋体" w:hAnsi="Times New Roman" w:cs="Times New Roman"/>
          <w:b/>
          <w:bCs/>
          <w:sz w:val="24"/>
          <w:szCs w:val="32"/>
        </w:rPr>
        <w:t>—</w:t>
      </w:r>
      <w:r w:rsidRPr="00AB7A5F">
        <w:rPr>
          <w:rFonts w:ascii="Times New Roman" w:eastAsia="宋体" w:hAnsi="Times New Roman" w:cs="Times New Roman"/>
          <w:b/>
          <w:bCs/>
          <w:sz w:val="24"/>
          <w:szCs w:val="32"/>
        </w:rPr>
        <w:t>溶解平衡</w:t>
      </w:r>
      <w:r w:rsidRPr="00AB7A5F">
        <w:rPr>
          <w:rFonts w:ascii="Times New Roman" w:eastAsia="宋体" w:hAnsi="Times New Roman" w:cs="Times New Roman"/>
          <w:b/>
          <w:color w:val="000000"/>
          <w:sz w:val="24"/>
          <w:szCs w:val="24"/>
        </w:rPr>
        <w:t>（</w:t>
      </w:r>
      <w:r w:rsidRPr="00AB7A5F">
        <w:rPr>
          <w:rFonts w:ascii="Times New Roman" w:eastAsia="宋体" w:hAnsi="Times New Roman" w:cs="Times New Roman"/>
          <w:b/>
          <w:color w:val="000000"/>
          <w:sz w:val="24"/>
          <w:szCs w:val="24"/>
        </w:rPr>
        <w:t>3</w:t>
      </w:r>
      <w:r w:rsidRPr="00AB7A5F">
        <w:rPr>
          <w:rFonts w:ascii="Times New Roman" w:eastAsia="宋体" w:hAnsi="Times New Roman" w:cs="Times New Roman"/>
          <w:b/>
          <w:color w:val="000000"/>
          <w:sz w:val="24"/>
          <w:szCs w:val="24"/>
        </w:rPr>
        <w:t>学时）</w:t>
      </w:r>
    </w:p>
    <w:p w14:paraId="5372AC51"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b/>
          <w:color w:val="000000"/>
          <w:sz w:val="24"/>
          <w:szCs w:val="24"/>
        </w:rPr>
      </w:pPr>
      <w:r w:rsidRPr="00AB7A5F">
        <w:rPr>
          <w:rFonts w:ascii="Times New Roman" w:eastAsia="宋体" w:hAnsi="Times New Roman" w:cs="Times New Roman"/>
          <w:b/>
          <w:sz w:val="24"/>
          <w:szCs w:val="24"/>
        </w:rPr>
        <w:t>【学习目标】</w:t>
      </w:r>
    </w:p>
    <w:p w14:paraId="714976DD"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4"/>
        </w:rPr>
        <w:t>认知类目标：</w:t>
      </w:r>
      <w:r w:rsidRPr="00AB7A5F">
        <w:rPr>
          <w:rFonts w:ascii="Times New Roman" w:eastAsia="宋体" w:hAnsi="Times New Roman" w:cs="Times New Roman"/>
          <w:color w:val="000000"/>
          <w:sz w:val="24"/>
          <w:szCs w:val="24"/>
        </w:rPr>
        <w:t>了解</w:t>
      </w:r>
      <w:r w:rsidRPr="00AB7A5F">
        <w:rPr>
          <w:rFonts w:ascii="Times New Roman" w:eastAsia="宋体" w:hAnsi="Times New Roman" w:cs="Times New Roman"/>
          <w:bCs/>
          <w:color w:val="000000"/>
          <w:sz w:val="24"/>
          <w:szCs w:val="24"/>
        </w:rPr>
        <w:t>难</w:t>
      </w:r>
      <w:proofErr w:type="gramStart"/>
      <w:r w:rsidRPr="00AB7A5F">
        <w:rPr>
          <w:rFonts w:ascii="Times New Roman" w:eastAsia="宋体" w:hAnsi="Times New Roman" w:cs="Times New Roman"/>
          <w:bCs/>
          <w:color w:val="000000"/>
          <w:sz w:val="24"/>
          <w:szCs w:val="24"/>
        </w:rPr>
        <w:t>溶</w:t>
      </w:r>
      <w:proofErr w:type="gramEnd"/>
      <w:r w:rsidRPr="00AB7A5F">
        <w:rPr>
          <w:rFonts w:ascii="Times New Roman" w:eastAsia="宋体" w:hAnsi="Times New Roman" w:cs="Times New Roman"/>
          <w:bCs/>
          <w:color w:val="000000"/>
          <w:sz w:val="24"/>
          <w:szCs w:val="24"/>
        </w:rPr>
        <w:t>强电解质的</w:t>
      </w:r>
      <w:r w:rsidRPr="00AB7A5F">
        <w:rPr>
          <w:rFonts w:ascii="Times New Roman" w:eastAsia="宋体" w:hAnsi="Times New Roman" w:cs="Times New Roman"/>
          <w:bCs/>
          <w:sz w:val="24"/>
          <w:szCs w:val="32"/>
        </w:rPr>
        <w:t>沉淀</w:t>
      </w:r>
      <w:r w:rsidRPr="00AB7A5F">
        <w:rPr>
          <w:rFonts w:ascii="Times New Roman" w:eastAsia="宋体" w:hAnsi="Times New Roman" w:cs="Times New Roman"/>
          <w:bCs/>
          <w:sz w:val="24"/>
          <w:szCs w:val="32"/>
        </w:rPr>
        <w:t>—</w:t>
      </w:r>
      <w:r w:rsidRPr="00AB7A5F">
        <w:rPr>
          <w:rFonts w:ascii="Times New Roman" w:eastAsia="宋体" w:hAnsi="Times New Roman" w:cs="Times New Roman"/>
          <w:bCs/>
          <w:sz w:val="24"/>
          <w:szCs w:val="32"/>
        </w:rPr>
        <w:t>溶解平衡</w:t>
      </w:r>
      <w:r w:rsidRPr="00AB7A5F">
        <w:rPr>
          <w:rFonts w:ascii="Times New Roman" w:eastAsia="宋体" w:hAnsi="Times New Roman" w:cs="Times New Roman"/>
          <w:color w:val="000000"/>
          <w:kern w:val="0"/>
          <w:sz w:val="24"/>
          <w:szCs w:val="32"/>
        </w:rPr>
        <w:t>的基本概念</w:t>
      </w:r>
      <w:r w:rsidRPr="00AB7A5F">
        <w:rPr>
          <w:rFonts w:ascii="Times New Roman" w:eastAsia="宋体" w:hAnsi="Times New Roman" w:cs="Times New Roman"/>
          <w:color w:val="000000"/>
          <w:sz w:val="24"/>
          <w:szCs w:val="24"/>
        </w:rPr>
        <w:t>。</w:t>
      </w:r>
    </w:p>
    <w:p w14:paraId="2A61FB84"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sz w:val="24"/>
          <w:szCs w:val="24"/>
        </w:rPr>
        <w:t>过程与方法类目标：熟悉溶度积规则的应用</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4"/>
        </w:rPr>
        <w:t>掌握沉淀溶解平衡的计算</w:t>
      </w:r>
      <w:r w:rsidRPr="00AB7A5F">
        <w:rPr>
          <w:rFonts w:ascii="Times New Roman" w:eastAsia="宋体" w:hAnsi="Times New Roman" w:cs="Times New Roman"/>
          <w:color w:val="000000"/>
          <w:sz w:val="24"/>
          <w:szCs w:val="24"/>
        </w:rPr>
        <w:t>。</w:t>
      </w:r>
    </w:p>
    <w:p w14:paraId="0BFABAEB" w14:textId="77777777" w:rsidR="00AB7A5F" w:rsidRPr="00AB7A5F" w:rsidRDefault="00AB7A5F" w:rsidP="00AB7A5F">
      <w:pPr>
        <w:adjustRightInd w:val="0"/>
        <w:snapToGrid w:val="0"/>
        <w:spacing w:line="440" w:lineRule="exact"/>
        <w:ind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3. </w:t>
      </w:r>
      <w:r w:rsidRPr="00AB7A5F">
        <w:rPr>
          <w:rFonts w:ascii="Times New Roman" w:eastAsia="宋体" w:hAnsi="Times New Roman" w:cs="Times New Roman"/>
          <w:sz w:val="24"/>
          <w:szCs w:val="24"/>
        </w:rPr>
        <w:t>情感、态度、价值观类目标：</w:t>
      </w:r>
      <w:r w:rsidRPr="00AB7A5F">
        <w:rPr>
          <w:rFonts w:ascii="Times New Roman" w:eastAsia="宋体" w:hAnsi="Times New Roman" w:cs="Times New Roman"/>
          <w:color w:val="000000"/>
          <w:sz w:val="24"/>
          <w:szCs w:val="24"/>
        </w:rPr>
        <w:t>通过学习</w:t>
      </w:r>
      <w:r w:rsidRPr="00AB7A5F">
        <w:rPr>
          <w:rFonts w:ascii="Times New Roman" w:eastAsia="宋体" w:hAnsi="Times New Roman" w:cs="Times New Roman"/>
          <w:bCs/>
          <w:color w:val="000000"/>
          <w:sz w:val="24"/>
          <w:szCs w:val="24"/>
        </w:rPr>
        <w:t>难溶强电解质的</w:t>
      </w:r>
      <w:r w:rsidRPr="00AB7A5F">
        <w:rPr>
          <w:rFonts w:ascii="Times New Roman" w:eastAsia="宋体" w:hAnsi="Times New Roman" w:cs="Times New Roman"/>
          <w:bCs/>
          <w:sz w:val="24"/>
          <w:szCs w:val="32"/>
        </w:rPr>
        <w:t>沉淀</w:t>
      </w:r>
      <w:r w:rsidRPr="00AB7A5F">
        <w:rPr>
          <w:rFonts w:ascii="Times New Roman" w:eastAsia="宋体" w:hAnsi="Times New Roman" w:cs="Times New Roman"/>
          <w:bCs/>
          <w:sz w:val="24"/>
          <w:szCs w:val="32"/>
        </w:rPr>
        <w:t>—</w:t>
      </w:r>
      <w:r w:rsidRPr="00AB7A5F">
        <w:rPr>
          <w:rFonts w:ascii="Times New Roman" w:eastAsia="宋体" w:hAnsi="Times New Roman" w:cs="Times New Roman"/>
          <w:bCs/>
          <w:sz w:val="24"/>
          <w:szCs w:val="32"/>
        </w:rPr>
        <w:t>溶解平衡</w:t>
      </w:r>
      <w:r w:rsidRPr="00AB7A5F">
        <w:rPr>
          <w:rFonts w:ascii="Times New Roman" w:eastAsia="宋体" w:hAnsi="Times New Roman" w:cs="Times New Roman"/>
          <w:color w:val="000000"/>
          <w:sz w:val="24"/>
          <w:szCs w:val="24"/>
        </w:rPr>
        <w:t>，理解沉淀完全的含义，培养辩证看待问题的观念。</w:t>
      </w:r>
    </w:p>
    <w:p w14:paraId="2CE1732F"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【学习内容】</w:t>
      </w:r>
    </w:p>
    <w:p w14:paraId="600C932F"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4"/>
        </w:rPr>
        <w:t>掌握溶度积的概念、溶度积与溶解度的互换</w:t>
      </w:r>
      <w:r w:rsidRPr="00AB7A5F">
        <w:rPr>
          <w:rFonts w:ascii="Times New Roman" w:eastAsia="宋体" w:hAnsi="Times New Roman" w:cs="Times New Roman"/>
          <w:color w:val="000000"/>
          <w:kern w:val="0"/>
          <w:sz w:val="24"/>
          <w:szCs w:val="21"/>
        </w:rPr>
        <w:t>。</w:t>
      </w:r>
    </w:p>
    <w:p w14:paraId="5D776C5B"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4"/>
        </w:rPr>
        <w:t>了解影响沉淀溶解平衡的因素，熟悉溶度积规则的应用</w:t>
      </w:r>
      <w:r w:rsidRPr="00AB7A5F">
        <w:rPr>
          <w:rFonts w:ascii="Times New Roman" w:eastAsia="宋体" w:hAnsi="Times New Roman" w:cs="Times New Roman"/>
          <w:color w:val="000000"/>
          <w:kern w:val="0"/>
          <w:sz w:val="24"/>
          <w:szCs w:val="21"/>
        </w:rPr>
        <w:t>。</w:t>
      </w:r>
    </w:p>
    <w:p w14:paraId="4984C9AE"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kern w:val="0"/>
          <w:sz w:val="24"/>
          <w:szCs w:val="21"/>
        </w:rPr>
      </w:pPr>
      <w:r w:rsidRPr="00AB7A5F">
        <w:rPr>
          <w:rFonts w:ascii="Times New Roman" w:eastAsia="宋体" w:hAnsi="Times New Roman" w:cs="Times New Roman"/>
          <w:color w:val="000000"/>
          <w:sz w:val="24"/>
          <w:szCs w:val="24"/>
        </w:rPr>
        <w:lastRenderedPageBreak/>
        <w:t>3</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4"/>
        </w:rPr>
        <w:t>掌握沉淀溶解平衡的计算</w:t>
      </w:r>
      <w:r w:rsidRPr="00AB7A5F">
        <w:rPr>
          <w:rFonts w:ascii="Times New Roman" w:eastAsia="宋体" w:hAnsi="Times New Roman" w:cs="Times New Roman"/>
          <w:color w:val="000000"/>
          <w:kern w:val="0"/>
          <w:sz w:val="24"/>
          <w:szCs w:val="21"/>
        </w:rPr>
        <w:t>。</w:t>
      </w:r>
    </w:p>
    <w:p w14:paraId="063A0443"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【重点】</w:t>
      </w:r>
    </w:p>
    <w:p w14:paraId="7AC22EF7"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4"/>
        </w:rPr>
        <w:t>溶度积规则的应用</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4"/>
        </w:rPr>
        <w:t xml:space="preserve"> </w:t>
      </w:r>
    </w:p>
    <w:p w14:paraId="0690B584"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sz w:val="24"/>
          <w:szCs w:val="24"/>
        </w:rPr>
        <w:t>沉淀溶解平衡的计算</w:t>
      </w:r>
      <w:r w:rsidRPr="00AB7A5F">
        <w:rPr>
          <w:rFonts w:ascii="Times New Roman" w:eastAsia="宋体" w:hAnsi="Times New Roman" w:cs="Times New Roman"/>
          <w:color w:val="000000"/>
          <w:sz w:val="24"/>
          <w:szCs w:val="24"/>
        </w:rPr>
        <w:t>。</w:t>
      </w:r>
    </w:p>
    <w:p w14:paraId="78903F20"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【难点】</w:t>
      </w:r>
    </w:p>
    <w:p w14:paraId="50D294FA"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4"/>
        </w:rPr>
        <w:t>沉淀溶解平衡的计算</w:t>
      </w:r>
      <w:r w:rsidRPr="00AB7A5F">
        <w:rPr>
          <w:rFonts w:ascii="Times New Roman" w:eastAsia="宋体" w:hAnsi="Times New Roman" w:cs="Times New Roman"/>
          <w:color w:val="000000"/>
          <w:sz w:val="24"/>
          <w:szCs w:val="24"/>
        </w:rPr>
        <w:t>。</w:t>
      </w:r>
    </w:p>
    <w:p w14:paraId="39AA1975" w14:textId="77777777" w:rsidR="00AB7A5F" w:rsidRPr="00AB7A5F" w:rsidRDefault="00AB7A5F" w:rsidP="00AB7A5F">
      <w:pPr>
        <w:spacing w:line="440" w:lineRule="exact"/>
        <w:ind w:firstLineChars="200" w:firstLine="482"/>
        <w:rPr>
          <w:rFonts w:ascii="Times New Roman" w:eastAsia="宋体" w:hAnsi="Times New Roman" w:cs="Times New Roman"/>
          <w:b/>
          <w:bCs/>
          <w:sz w:val="24"/>
          <w:szCs w:val="24"/>
        </w:rPr>
      </w:pPr>
      <w:r w:rsidRPr="00AB7A5F">
        <w:rPr>
          <w:rFonts w:ascii="Times New Roman" w:eastAsia="宋体" w:hAnsi="Times New Roman" w:cs="Times New Roman"/>
          <w:b/>
          <w:bCs/>
          <w:sz w:val="24"/>
          <w:szCs w:val="24"/>
        </w:rPr>
        <w:t>【教学方法】</w:t>
      </w:r>
    </w:p>
    <w:p w14:paraId="4D9F60CA"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通过多媒体课件和传统教学相结合，阐明</w:t>
      </w:r>
      <w:r w:rsidRPr="00AB7A5F">
        <w:rPr>
          <w:rFonts w:ascii="Times New Roman" w:eastAsia="宋体" w:hAnsi="Times New Roman" w:cs="Times New Roman"/>
          <w:bCs/>
          <w:color w:val="000000"/>
          <w:sz w:val="24"/>
          <w:szCs w:val="24"/>
        </w:rPr>
        <w:t>难溶强电解质的</w:t>
      </w:r>
      <w:r w:rsidRPr="00AB7A5F">
        <w:rPr>
          <w:rFonts w:ascii="Times New Roman" w:eastAsia="宋体" w:hAnsi="Times New Roman" w:cs="Times New Roman"/>
          <w:bCs/>
          <w:sz w:val="24"/>
          <w:szCs w:val="32"/>
        </w:rPr>
        <w:t>沉淀</w:t>
      </w:r>
      <w:r w:rsidRPr="00AB7A5F">
        <w:rPr>
          <w:rFonts w:ascii="Times New Roman" w:eastAsia="宋体" w:hAnsi="Times New Roman" w:cs="Times New Roman"/>
          <w:bCs/>
          <w:sz w:val="24"/>
          <w:szCs w:val="32"/>
        </w:rPr>
        <w:t>—</w:t>
      </w:r>
      <w:r w:rsidRPr="00AB7A5F">
        <w:rPr>
          <w:rFonts w:ascii="Times New Roman" w:eastAsia="宋体" w:hAnsi="Times New Roman" w:cs="Times New Roman"/>
          <w:bCs/>
          <w:sz w:val="24"/>
          <w:szCs w:val="32"/>
        </w:rPr>
        <w:t>溶解平衡</w:t>
      </w:r>
      <w:r w:rsidRPr="00AB7A5F">
        <w:rPr>
          <w:rFonts w:ascii="Times New Roman" w:eastAsia="宋体" w:hAnsi="Times New Roman" w:cs="Times New Roman"/>
          <w:color w:val="000000"/>
          <w:sz w:val="24"/>
          <w:szCs w:val="24"/>
        </w:rPr>
        <w:t>的基本概念和基本原理，使学生扎实掌握基础知识。</w:t>
      </w:r>
      <w:r w:rsidRPr="00AB7A5F">
        <w:rPr>
          <w:rFonts w:ascii="Times New Roman" w:eastAsia="宋体" w:hAnsi="Times New Roman" w:cs="Times New Roman"/>
          <w:color w:val="000000"/>
          <w:sz w:val="24"/>
          <w:szCs w:val="24"/>
        </w:rPr>
        <w:t xml:space="preserve"> </w:t>
      </w:r>
    </w:p>
    <w:p w14:paraId="76510391"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．通过例题分析，强调理论与实践相结合，促进学生知识整合，培养学生的反思能力。</w:t>
      </w:r>
    </w:p>
    <w:p w14:paraId="1D02B7E1" w14:textId="77777777" w:rsidR="00AB7A5F" w:rsidRPr="00AB7A5F" w:rsidRDefault="00AB7A5F" w:rsidP="00AB7A5F">
      <w:pPr>
        <w:spacing w:line="440" w:lineRule="exact"/>
        <w:ind w:firstLineChars="200" w:firstLine="482"/>
        <w:rPr>
          <w:rFonts w:ascii="Times New Roman" w:eastAsia="宋体" w:hAnsi="Times New Roman" w:cs="Times New Roman"/>
          <w:bCs/>
          <w:color w:val="FF0000"/>
          <w:sz w:val="24"/>
          <w:szCs w:val="24"/>
        </w:rPr>
      </w:pPr>
      <w:r w:rsidRPr="00AB7A5F">
        <w:rPr>
          <w:rFonts w:ascii="Times New Roman" w:eastAsia="宋体" w:hAnsi="Times New Roman" w:cs="Times New Roman"/>
          <w:b/>
          <w:sz w:val="24"/>
          <w:szCs w:val="24"/>
        </w:rPr>
        <w:t>【复习思考】</w:t>
      </w:r>
    </w:p>
    <w:p w14:paraId="0C55034A"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课后思考题。</w:t>
      </w:r>
    </w:p>
    <w:p w14:paraId="346BEB7A"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w:t>
      </w:r>
    </w:p>
    <w:p w14:paraId="2B3566A3" w14:textId="77777777" w:rsidR="00AB7A5F" w:rsidRPr="00AB7A5F" w:rsidRDefault="00AB7A5F" w:rsidP="00AB7A5F">
      <w:pPr>
        <w:adjustRightInd w:val="0"/>
        <w:snapToGrid w:val="0"/>
        <w:spacing w:line="440" w:lineRule="exact"/>
        <w:jc w:val="center"/>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第七章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bCs/>
          <w:sz w:val="24"/>
          <w:szCs w:val="32"/>
        </w:rPr>
        <w:t>氧化还原反应和电极电势</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color w:val="000000"/>
          <w:sz w:val="24"/>
          <w:szCs w:val="24"/>
        </w:rPr>
        <w:t>（</w:t>
      </w:r>
      <w:r w:rsidRPr="00AB7A5F">
        <w:rPr>
          <w:rFonts w:ascii="Times New Roman" w:eastAsia="宋体" w:hAnsi="Times New Roman" w:cs="Times New Roman"/>
          <w:b/>
          <w:color w:val="000000"/>
          <w:sz w:val="24"/>
          <w:szCs w:val="24"/>
        </w:rPr>
        <w:t>7</w:t>
      </w:r>
      <w:r w:rsidRPr="00AB7A5F">
        <w:rPr>
          <w:rFonts w:ascii="Times New Roman" w:eastAsia="宋体" w:hAnsi="Times New Roman" w:cs="Times New Roman"/>
          <w:b/>
          <w:color w:val="000000"/>
          <w:sz w:val="24"/>
          <w:szCs w:val="24"/>
        </w:rPr>
        <w:t>学时）</w:t>
      </w:r>
    </w:p>
    <w:p w14:paraId="3AAF4159"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b/>
          <w:color w:val="000000"/>
          <w:sz w:val="24"/>
          <w:szCs w:val="24"/>
        </w:rPr>
      </w:pPr>
      <w:r w:rsidRPr="00AB7A5F">
        <w:rPr>
          <w:rFonts w:ascii="Times New Roman" w:eastAsia="宋体" w:hAnsi="Times New Roman" w:cs="Times New Roman"/>
          <w:b/>
          <w:sz w:val="24"/>
          <w:szCs w:val="24"/>
        </w:rPr>
        <w:t>【学习目标】</w:t>
      </w:r>
    </w:p>
    <w:p w14:paraId="706ACDC5"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4"/>
        </w:rPr>
        <w:t>认知类目标：</w:t>
      </w:r>
      <w:r w:rsidRPr="00AB7A5F">
        <w:rPr>
          <w:rFonts w:ascii="Times New Roman" w:eastAsia="宋体" w:hAnsi="Times New Roman" w:cs="Times New Roman"/>
          <w:color w:val="000000"/>
          <w:sz w:val="24"/>
          <w:szCs w:val="24"/>
        </w:rPr>
        <w:t>了解</w:t>
      </w:r>
      <w:r w:rsidRPr="00AB7A5F">
        <w:rPr>
          <w:rFonts w:ascii="Times New Roman" w:eastAsia="宋体" w:hAnsi="Times New Roman" w:cs="Times New Roman"/>
          <w:sz w:val="24"/>
          <w:szCs w:val="32"/>
        </w:rPr>
        <w:t>氧化还原反应</w:t>
      </w:r>
      <w:r w:rsidRPr="00AB7A5F">
        <w:rPr>
          <w:rFonts w:ascii="Times New Roman" w:eastAsia="宋体" w:hAnsi="Times New Roman" w:cs="Times New Roman"/>
          <w:color w:val="000000"/>
          <w:kern w:val="0"/>
          <w:sz w:val="24"/>
          <w:szCs w:val="32"/>
        </w:rPr>
        <w:t>的基本概念</w:t>
      </w:r>
      <w:r w:rsidRPr="00AB7A5F">
        <w:rPr>
          <w:rFonts w:ascii="Times New Roman" w:eastAsia="宋体" w:hAnsi="Times New Roman" w:cs="Times New Roman"/>
          <w:color w:val="000000"/>
          <w:sz w:val="24"/>
          <w:szCs w:val="24"/>
        </w:rPr>
        <w:t>。</w:t>
      </w:r>
    </w:p>
    <w:p w14:paraId="4C64E19F"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sz w:val="24"/>
          <w:szCs w:val="24"/>
        </w:rPr>
        <w:t>过程与方法类目标：</w:t>
      </w:r>
      <w:r w:rsidRPr="00AB7A5F">
        <w:rPr>
          <w:rFonts w:ascii="Times New Roman" w:eastAsia="宋体" w:hAnsi="Times New Roman" w:cs="Times New Roman"/>
          <w:sz w:val="24"/>
          <w:szCs w:val="21"/>
        </w:rPr>
        <w:t>掌握氧化还原反应的基本概念以及氧化还原方程式的配平</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1"/>
        </w:rPr>
        <w:t>掌握用能斯特方程进行有关计算。掌握电极电势的应用</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1"/>
        </w:rPr>
        <w:t>掌握元素</w:t>
      </w:r>
      <w:proofErr w:type="gramStart"/>
      <w:r w:rsidRPr="00AB7A5F">
        <w:rPr>
          <w:rFonts w:ascii="Times New Roman" w:eastAsia="宋体" w:hAnsi="Times New Roman" w:cs="Times New Roman"/>
          <w:sz w:val="24"/>
          <w:szCs w:val="21"/>
        </w:rPr>
        <w:t>电势图</w:t>
      </w:r>
      <w:proofErr w:type="gramEnd"/>
      <w:r w:rsidRPr="00AB7A5F">
        <w:rPr>
          <w:rFonts w:ascii="Times New Roman" w:eastAsia="宋体" w:hAnsi="Times New Roman" w:cs="Times New Roman"/>
          <w:sz w:val="24"/>
          <w:szCs w:val="21"/>
        </w:rPr>
        <w:t>及其应用</w:t>
      </w:r>
      <w:r w:rsidRPr="00AB7A5F">
        <w:rPr>
          <w:rFonts w:ascii="Times New Roman" w:eastAsia="宋体" w:hAnsi="Times New Roman" w:cs="Times New Roman"/>
          <w:color w:val="000000"/>
          <w:sz w:val="24"/>
          <w:szCs w:val="24"/>
        </w:rPr>
        <w:t>。</w:t>
      </w:r>
    </w:p>
    <w:p w14:paraId="55306FB2" w14:textId="77777777" w:rsidR="00AB7A5F" w:rsidRPr="00AB7A5F" w:rsidRDefault="00AB7A5F" w:rsidP="00AB7A5F">
      <w:pPr>
        <w:adjustRightInd w:val="0"/>
        <w:snapToGrid w:val="0"/>
        <w:spacing w:line="440" w:lineRule="exact"/>
        <w:ind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3. </w:t>
      </w:r>
      <w:r w:rsidRPr="00AB7A5F">
        <w:rPr>
          <w:rFonts w:ascii="Times New Roman" w:eastAsia="宋体" w:hAnsi="Times New Roman" w:cs="Times New Roman"/>
          <w:sz w:val="24"/>
          <w:szCs w:val="24"/>
        </w:rPr>
        <w:t>情感、态度、价值观类目标：</w:t>
      </w:r>
      <w:r w:rsidRPr="00AB7A5F">
        <w:rPr>
          <w:rFonts w:ascii="Times New Roman" w:eastAsia="宋体" w:hAnsi="Times New Roman" w:cs="Times New Roman"/>
          <w:color w:val="000000"/>
          <w:sz w:val="24"/>
          <w:szCs w:val="24"/>
        </w:rPr>
        <w:t>通过学习</w:t>
      </w:r>
      <w:r w:rsidRPr="00AB7A5F">
        <w:rPr>
          <w:rFonts w:ascii="Times New Roman" w:eastAsia="宋体" w:hAnsi="Times New Roman" w:cs="Times New Roman"/>
          <w:sz w:val="24"/>
          <w:szCs w:val="32"/>
        </w:rPr>
        <w:t>氧化还原反应</w:t>
      </w:r>
      <w:r w:rsidRPr="00AB7A5F">
        <w:rPr>
          <w:rFonts w:ascii="Times New Roman" w:eastAsia="宋体" w:hAnsi="Times New Roman" w:cs="Times New Roman"/>
          <w:color w:val="000000"/>
          <w:sz w:val="24"/>
          <w:szCs w:val="24"/>
        </w:rPr>
        <w:t>，理解有些反应由于反应条件不同而使反应方向不同，培养辩证看待问题的观念。</w:t>
      </w:r>
    </w:p>
    <w:p w14:paraId="3E39DED3"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【学习内容】</w:t>
      </w:r>
    </w:p>
    <w:p w14:paraId="4D26125A"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1"/>
        </w:rPr>
        <w:t>掌握氧化还原反应的基本概念以及氧化还原方程式的配平</w:t>
      </w:r>
      <w:r w:rsidRPr="00AB7A5F">
        <w:rPr>
          <w:rFonts w:ascii="Times New Roman" w:eastAsia="宋体" w:hAnsi="Times New Roman" w:cs="Times New Roman"/>
          <w:color w:val="000000"/>
          <w:kern w:val="0"/>
          <w:sz w:val="24"/>
          <w:szCs w:val="21"/>
        </w:rPr>
        <w:t>。</w:t>
      </w:r>
    </w:p>
    <w:p w14:paraId="489AEE65"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1"/>
        </w:rPr>
        <w:t>理解电极电势的概念，能用能斯特方程进行有关计算</w:t>
      </w:r>
      <w:r w:rsidRPr="00AB7A5F">
        <w:rPr>
          <w:rFonts w:ascii="Times New Roman" w:eastAsia="宋体" w:hAnsi="Times New Roman" w:cs="Times New Roman"/>
          <w:color w:val="000000"/>
          <w:kern w:val="0"/>
          <w:sz w:val="24"/>
          <w:szCs w:val="21"/>
        </w:rPr>
        <w:t>。</w:t>
      </w:r>
    </w:p>
    <w:p w14:paraId="7AB88183"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kern w:val="0"/>
          <w:sz w:val="24"/>
          <w:szCs w:val="21"/>
        </w:rPr>
      </w:pPr>
      <w:r w:rsidRPr="00AB7A5F">
        <w:rPr>
          <w:rFonts w:ascii="Times New Roman" w:eastAsia="宋体" w:hAnsi="Times New Roman" w:cs="Times New Roman"/>
          <w:color w:val="000000"/>
          <w:sz w:val="24"/>
          <w:szCs w:val="24"/>
        </w:rPr>
        <w:t>3</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1"/>
        </w:rPr>
        <w:t>掌握电极电势的应用</w:t>
      </w:r>
      <w:r w:rsidRPr="00AB7A5F">
        <w:rPr>
          <w:rFonts w:ascii="Times New Roman" w:eastAsia="宋体" w:hAnsi="Times New Roman" w:cs="Times New Roman"/>
          <w:color w:val="000000"/>
          <w:kern w:val="0"/>
          <w:sz w:val="24"/>
          <w:szCs w:val="21"/>
        </w:rPr>
        <w:t>。</w:t>
      </w:r>
    </w:p>
    <w:p w14:paraId="134D8337"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kern w:val="0"/>
          <w:sz w:val="24"/>
          <w:szCs w:val="21"/>
        </w:rPr>
      </w:pPr>
      <w:r w:rsidRPr="00AB7A5F">
        <w:rPr>
          <w:rFonts w:ascii="Times New Roman" w:eastAsia="宋体" w:hAnsi="Times New Roman" w:cs="Times New Roman"/>
          <w:color w:val="000000"/>
          <w:kern w:val="0"/>
          <w:sz w:val="24"/>
          <w:szCs w:val="21"/>
        </w:rPr>
        <w:t>4</w:t>
      </w:r>
      <w:r w:rsidRPr="00AB7A5F">
        <w:rPr>
          <w:rFonts w:ascii="Times New Roman" w:eastAsia="宋体" w:hAnsi="Times New Roman" w:cs="Times New Roman"/>
          <w:color w:val="000000"/>
          <w:kern w:val="0"/>
          <w:sz w:val="24"/>
          <w:szCs w:val="21"/>
        </w:rPr>
        <w:t>．</w:t>
      </w:r>
      <w:r w:rsidRPr="00AB7A5F">
        <w:rPr>
          <w:rFonts w:ascii="Times New Roman" w:eastAsia="宋体" w:hAnsi="Times New Roman" w:cs="Times New Roman"/>
          <w:sz w:val="24"/>
          <w:szCs w:val="21"/>
        </w:rPr>
        <w:t>掌握元素</w:t>
      </w:r>
      <w:proofErr w:type="gramStart"/>
      <w:r w:rsidRPr="00AB7A5F">
        <w:rPr>
          <w:rFonts w:ascii="Times New Roman" w:eastAsia="宋体" w:hAnsi="Times New Roman" w:cs="Times New Roman"/>
          <w:sz w:val="24"/>
          <w:szCs w:val="21"/>
        </w:rPr>
        <w:t>电势图</w:t>
      </w:r>
      <w:proofErr w:type="gramEnd"/>
      <w:r w:rsidRPr="00AB7A5F">
        <w:rPr>
          <w:rFonts w:ascii="Times New Roman" w:eastAsia="宋体" w:hAnsi="Times New Roman" w:cs="Times New Roman"/>
          <w:sz w:val="24"/>
          <w:szCs w:val="21"/>
        </w:rPr>
        <w:t>及其应用。</w:t>
      </w:r>
    </w:p>
    <w:p w14:paraId="1FAF9BF1"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【重点】</w:t>
      </w:r>
    </w:p>
    <w:p w14:paraId="2EFE208D"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1"/>
        </w:rPr>
        <w:t>能斯特方程及其</w:t>
      </w:r>
      <w:r w:rsidRPr="00AB7A5F">
        <w:rPr>
          <w:rFonts w:ascii="Times New Roman" w:eastAsia="宋体" w:hAnsi="Times New Roman" w:cs="Times New Roman"/>
          <w:sz w:val="24"/>
          <w:szCs w:val="24"/>
        </w:rPr>
        <w:t>应用</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4"/>
        </w:rPr>
        <w:t xml:space="preserve"> </w:t>
      </w:r>
    </w:p>
    <w:p w14:paraId="66339D4F"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color w:val="000000"/>
          <w:sz w:val="24"/>
          <w:szCs w:val="24"/>
        </w:rPr>
        <w:t>元素</w:t>
      </w:r>
      <w:proofErr w:type="gramStart"/>
      <w:r w:rsidRPr="00AB7A5F">
        <w:rPr>
          <w:rFonts w:ascii="Times New Roman" w:eastAsia="宋体" w:hAnsi="Times New Roman" w:cs="Times New Roman"/>
          <w:sz w:val="24"/>
          <w:szCs w:val="21"/>
        </w:rPr>
        <w:t>电势图</w:t>
      </w:r>
      <w:proofErr w:type="gramEnd"/>
      <w:r w:rsidRPr="00AB7A5F">
        <w:rPr>
          <w:rFonts w:ascii="Times New Roman" w:eastAsia="宋体" w:hAnsi="Times New Roman" w:cs="Times New Roman"/>
          <w:sz w:val="24"/>
          <w:szCs w:val="21"/>
        </w:rPr>
        <w:t>及其应用</w:t>
      </w:r>
      <w:r w:rsidRPr="00AB7A5F">
        <w:rPr>
          <w:rFonts w:ascii="Times New Roman" w:eastAsia="宋体" w:hAnsi="Times New Roman" w:cs="Times New Roman"/>
          <w:color w:val="000000"/>
          <w:sz w:val="24"/>
          <w:szCs w:val="24"/>
        </w:rPr>
        <w:t>。</w:t>
      </w:r>
    </w:p>
    <w:p w14:paraId="6526C29A"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【难点】</w:t>
      </w:r>
    </w:p>
    <w:p w14:paraId="1B048529"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lastRenderedPageBreak/>
        <w:t xml:space="preserve">1. </w:t>
      </w:r>
      <w:r w:rsidRPr="00AB7A5F">
        <w:rPr>
          <w:rFonts w:ascii="Times New Roman" w:eastAsia="宋体" w:hAnsi="Times New Roman" w:cs="Times New Roman"/>
          <w:sz w:val="24"/>
          <w:szCs w:val="21"/>
        </w:rPr>
        <w:t>能斯特方程及其</w:t>
      </w:r>
      <w:r w:rsidRPr="00AB7A5F">
        <w:rPr>
          <w:rFonts w:ascii="Times New Roman" w:eastAsia="宋体" w:hAnsi="Times New Roman" w:cs="Times New Roman"/>
          <w:sz w:val="24"/>
          <w:szCs w:val="24"/>
        </w:rPr>
        <w:t>应用</w:t>
      </w:r>
      <w:r w:rsidRPr="00AB7A5F">
        <w:rPr>
          <w:rFonts w:ascii="Times New Roman" w:eastAsia="宋体" w:hAnsi="Times New Roman" w:cs="Times New Roman"/>
          <w:color w:val="000000"/>
          <w:sz w:val="24"/>
          <w:szCs w:val="24"/>
        </w:rPr>
        <w:t>。</w:t>
      </w:r>
    </w:p>
    <w:p w14:paraId="17752900" w14:textId="77777777" w:rsidR="00AB7A5F" w:rsidRPr="00AB7A5F" w:rsidRDefault="00AB7A5F" w:rsidP="00AB7A5F">
      <w:pPr>
        <w:spacing w:line="440" w:lineRule="exact"/>
        <w:ind w:firstLineChars="200" w:firstLine="482"/>
        <w:rPr>
          <w:rFonts w:ascii="Times New Roman" w:eastAsia="宋体" w:hAnsi="Times New Roman" w:cs="Times New Roman"/>
          <w:b/>
          <w:bCs/>
          <w:sz w:val="24"/>
          <w:szCs w:val="24"/>
        </w:rPr>
      </w:pPr>
      <w:r w:rsidRPr="00AB7A5F">
        <w:rPr>
          <w:rFonts w:ascii="Times New Roman" w:eastAsia="宋体" w:hAnsi="Times New Roman" w:cs="Times New Roman"/>
          <w:b/>
          <w:bCs/>
          <w:sz w:val="24"/>
          <w:szCs w:val="24"/>
        </w:rPr>
        <w:t>【教学方法】</w:t>
      </w:r>
    </w:p>
    <w:p w14:paraId="04B293D6"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通过多媒体课件和传统教学相结合，阐明</w:t>
      </w:r>
      <w:r w:rsidRPr="00AB7A5F">
        <w:rPr>
          <w:rFonts w:ascii="Times New Roman" w:eastAsia="宋体" w:hAnsi="Times New Roman" w:cs="Times New Roman"/>
          <w:sz w:val="24"/>
          <w:szCs w:val="21"/>
        </w:rPr>
        <w:t>氧化还原反应</w:t>
      </w:r>
      <w:r w:rsidRPr="00AB7A5F">
        <w:rPr>
          <w:rFonts w:ascii="Times New Roman" w:eastAsia="宋体" w:hAnsi="Times New Roman" w:cs="Times New Roman"/>
          <w:color w:val="000000"/>
          <w:sz w:val="24"/>
          <w:szCs w:val="24"/>
        </w:rPr>
        <w:t>的基本概念和基本原理，使学生扎实掌握基础知识。</w:t>
      </w:r>
      <w:r w:rsidRPr="00AB7A5F">
        <w:rPr>
          <w:rFonts w:ascii="Times New Roman" w:eastAsia="宋体" w:hAnsi="Times New Roman" w:cs="Times New Roman"/>
          <w:color w:val="000000"/>
          <w:sz w:val="24"/>
          <w:szCs w:val="24"/>
        </w:rPr>
        <w:t xml:space="preserve"> </w:t>
      </w:r>
    </w:p>
    <w:p w14:paraId="51DE1A02"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．通过例题分析，强调理论与实践相结合，促进学生知识整合，培养学生的反思能力。</w:t>
      </w:r>
    </w:p>
    <w:p w14:paraId="5098B171" w14:textId="77777777" w:rsidR="00AB7A5F" w:rsidRPr="00AB7A5F" w:rsidRDefault="00AB7A5F" w:rsidP="00AB7A5F">
      <w:pPr>
        <w:spacing w:line="440" w:lineRule="exact"/>
        <w:ind w:firstLineChars="200" w:firstLine="482"/>
        <w:rPr>
          <w:rFonts w:ascii="Times New Roman" w:eastAsia="宋体" w:hAnsi="Times New Roman" w:cs="Times New Roman"/>
          <w:bCs/>
          <w:color w:val="FF0000"/>
          <w:sz w:val="24"/>
          <w:szCs w:val="24"/>
        </w:rPr>
      </w:pPr>
      <w:r w:rsidRPr="00AB7A5F">
        <w:rPr>
          <w:rFonts w:ascii="Times New Roman" w:eastAsia="宋体" w:hAnsi="Times New Roman" w:cs="Times New Roman"/>
          <w:b/>
          <w:sz w:val="24"/>
          <w:szCs w:val="24"/>
        </w:rPr>
        <w:t>【复习思考】</w:t>
      </w:r>
    </w:p>
    <w:p w14:paraId="0CDC196A"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课后思考题。</w:t>
      </w:r>
    </w:p>
    <w:p w14:paraId="72C7B76B" w14:textId="77777777" w:rsidR="00AB7A5F" w:rsidRPr="00AB7A5F" w:rsidRDefault="00AB7A5F" w:rsidP="00AB7A5F">
      <w:pPr>
        <w:adjustRightInd w:val="0"/>
        <w:snapToGrid w:val="0"/>
        <w:spacing w:line="440" w:lineRule="exact"/>
        <w:jc w:val="center"/>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第八章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sz w:val="24"/>
          <w:szCs w:val="32"/>
        </w:rPr>
        <w:t>原子结构和元素周期律</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color w:val="000000"/>
          <w:sz w:val="24"/>
          <w:szCs w:val="24"/>
        </w:rPr>
        <w:t>（</w:t>
      </w:r>
      <w:r w:rsidRPr="00AB7A5F">
        <w:rPr>
          <w:rFonts w:ascii="Times New Roman" w:eastAsia="宋体" w:hAnsi="Times New Roman" w:cs="Times New Roman"/>
          <w:b/>
          <w:color w:val="000000"/>
          <w:sz w:val="24"/>
          <w:szCs w:val="24"/>
        </w:rPr>
        <w:t>7</w:t>
      </w:r>
      <w:r w:rsidRPr="00AB7A5F">
        <w:rPr>
          <w:rFonts w:ascii="Times New Roman" w:eastAsia="宋体" w:hAnsi="Times New Roman" w:cs="Times New Roman"/>
          <w:b/>
          <w:color w:val="000000"/>
          <w:sz w:val="24"/>
          <w:szCs w:val="24"/>
        </w:rPr>
        <w:t>学时）</w:t>
      </w:r>
    </w:p>
    <w:p w14:paraId="72D481BF"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b/>
          <w:color w:val="000000"/>
          <w:sz w:val="24"/>
          <w:szCs w:val="24"/>
        </w:rPr>
      </w:pPr>
      <w:r w:rsidRPr="00AB7A5F">
        <w:rPr>
          <w:rFonts w:ascii="Times New Roman" w:eastAsia="宋体" w:hAnsi="Times New Roman" w:cs="Times New Roman"/>
          <w:b/>
          <w:sz w:val="24"/>
          <w:szCs w:val="24"/>
        </w:rPr>
        <w:t>【学习目标】</w:t>
      </w:r>
    </w:p>
    <w:p w14:paraId="5D828295"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4"/>
        </w:rPr>
        <w:t>认知类目标：</w:t>
      </w:r>
      <w:r w:rsidRPr="00AB7A5F">
        <w:rPr>
          <w:rFonts w:ascii="Times New Roman" w:eastAsia="宋体" w:hAnsi="Times New Roman" w:cs="Times New Roman"/>
          <w:color w:val="000000"/>
          <w:sz w:val="24"/>
          <w:szCs w:val="24"/>
        </w:rPr>
        <w:t>了解</w:t>
      </w:r>
      <w:r w:rsidRPr="00AB7A5F">
        <w:rPr>
          <w:rFonts w:ascii="Times New Roman" w:eastAsia="宋体" w:hAnsi="Times New Roman" w:cs="Times New Roman"/>
          <w:bCs/>
          <w:sz w:val="24"/>
          <w:szCs w:val="32"/>
        </w:rPr>
        <w:t>原子结构和元素周期律</w:t>
      </w:r>
      <w:r w:rsidRPr="00AB7A5F">
        <w:rPr>
          <w:rFonts w:ascii="Times New Roman" w:eastAsia="宋体" w:hAnsi="Times New Roman" w:cs="Times New Roman"/>
          <w:color w:val="000000"/>
          <w:kern w:val="0"/>
          <w:sz w:val="24"/>
          <w:szCs w:val="32"/>
        </w:rPr>
        <w:t>的基本概念</w:t>
      </w:r>
      <w:r w:rsidRPr="00AB7A5F">
        <w:rPr>
          <w:rFonts w:ascii="Times New Roman" w:eastAsia="宋体" w:hAnsi="Times New Roman" w:cs="Times New Roman"/>
          <w:color w:val="000000"/>
          <w:sz w:val="24"/>
          <w:szCs w:val="24"/>
        </w:rPr>
        <w:t>。</w:t>
      </w:r>
    </w:p>
    <w:p w14:paraId="72D87441"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bCs/>
          <w:color w:val="000000"/>
          <w:kern w:val="0"/>
          <w:sz w:val="24"/>
          <w:szCs w:val="21"/>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sz w:val="24"/>
          <w:szCs w:val="24"/>
        </w:rPr>
        <w:t>过程与方法类目标：</w:t>
      </w:r>
      <w:proofErr w:type="gramStart"/>
      <w:r w:rsidRPr="00AB7A5F">
        <w:rPr>
          <w:rFonts w:ascii="Times New Roman" w:eastAsia="宋体" w:hAnsi="Times New Roman" w:cs="Times New Roman"/>
          <w:color w:val="000000"/>
          <w:sz w:val="24"/>
          <w:szCs w:val="21"/>
        </w:rPr>
        <w:t>熟练</w:t>
      </w:r>
      <w:r w:rsidRPr="00AB7A5F">
        <w:rPr>
          <w:rFonts w:ascii="Times New Roman" w:eastAsia="宋体" w:hAnsi="Times New Roman" w:cs="Times New Roman"/>
          <w:color w:val="000000"/>
          <w:kern w:val="0"/>
          <w:sz w:val="24"/>
          <w:szCs w:val="21"/>
        </w:rPr>
        <w:t>用</w:t>
      </w:r>
      <w:proofErr w:type="gramEnd"/>
      <w:r w:rsidRPr="00AB7A5F">
        <w:rPr>
          <w:rFonts w:ascii="Times New Roman" w:eastAsia="宋体" w:hAnsi="Times New Roman" w:cs="Times New Roman"/>
          <w:color w:val="000000"/>
          <w:kern w:val="0"/>
          <w:sz w:val="24"/>
          <w:szCs w:val="21"/>
        </w:rPr>
        <w:t>四个量子数描述电子的运动状态</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1"/>
        </w:rPr>
        <w:t>掌握</w:t>
      </w:r>
      <w:r w:rsidRPr="00AB7A5F">
        <w:rPr>
          <w:rFonts w:ascii="Times New Roman" w:eastAsia="宋体" w:hAnsi="Times New Roman" w:cs="Times New Roman"/>
          <w:bCs/>
          <w:color w:val="000000"/>
          <w:kern w:val="0"/>
          <w:sz w:val="24"/>
          <w:szCs w:val="21"/>
        </w:rPr>
        <w:t>核外电子排布和元素周期系的关系</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1"/>
        </w:rPr>
        <w:t>熟悉</w:t>
      </w:r>
      <w:r w:rsidRPr="00AB7A5F">
        <w:rPr>
          <w:rFonts w:ascii="Times New Roman" w:eastAsia="宋体" w:hAnsi="Times New Roman" w:cs="Times New Roman"/>
          <w:bCs/>
          <w:color w:val="000000"/>
          <w:kern w:val="0"/>
          <w:sz w:val="24"/>
          <w:szCs w:val="21"/>
        </w:rPr>
        <w:t>元素基本性质的周期性。</w:t>
      </w:r>
    </w:p>
    <w:p w14:paraId="74F0D18E"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3. </w:t>
      </w:r>
      <w:r w:rsidRPr="00AB7A5F">
        <w:rPr>
          <w:rFonts w:ascii="Times New Roman" w:eastAsia="宋体" w:hAnsi="Times New Roman" w:cs="Times New Roman"/>
          <w:sz w:val="24"/>
          <w:szCs w:val="24"/>
        </w:rPr>
        <w:t>情感、态度、价值观类目标：</w:t>
      </w:r>
      <w:r w:rsidRPr="00AB7A5F">
        <w:rPr>
          <w:rFonts w:ascii="Times New Roman" w:eastAsia="宋体" w:hAnsi="Times New Roman" w:cs="Times New Roman"/>
          <w:color w:val="000000"/>
          <w:sz w:val="24"/>
          <w:szCs w:val="24"/>
        </w:rPr>
        <w:t>通过学习</w:t>
      </w:r>
      <w:r w:rsidRPr="00AB7A5F">
        <w:rPr>
          <w:rFonts w:ascii="Times New Roman" w:eastAsia="宋体" w:hAnsi="Times New Roman" w:cs="Times New Roman"/>
          <w:sz w:val="24"/>
          <w:szCs w:val="32"/>
        </w:rPr>
        <w:t>不确定原理</w:t>
      </w:r>
      <w:r w:rsidRPr="00AB7A5F">
        <w:rPr>
          <w:rFonts w:ascii="Times New Roman" w:eastAsia="宋体" w:hAnsi="Times New Roman" w:cs="Times New Roman"/>
          <w:color w:val="000000"/>
          <w:sz w:val="24"/>
          <w:szCs w:val="24"/>
        </w:rPr>
        <w:t>，理解微观粒子速率和位置不能同时测准，培养辩证看待问题的观念。</w:t>
      </w:r>
    </w:p>
    <w:p w14:paraId="55A41CCF"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【学习内容】</w:t>
      </w:r>
    </w:p>
    <w:p w14:paraId="13F22484"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proofErr w:type="gramStart"/>
      <w:r w:rsidRPr="00AB7A5F">
        <w:rPr>
          <w:rFonts w:ascii="Times New Roman" w:eastAsia="宋体" w:hAnsi="Times New Roman" w:cs="Times New Roman"/>
          <w:color w:val="000000"/>
          <w:sz w:val="24"/>
          <w:szCs w:val="21"/>
        </w:rPr>
        <w:t>熟练</w:t>
      </w:r>
      <w:r w:rsidRPr="00AB7A5F">
        <w:rPr>
          <w:rFonts w:ascii="Times New Roman" w:eastAsia="宋体" w:hAnsi="Times New Roman" w:cs="Times New Roman"/>
          <w:color w:val="000000"/>
          <w:kern w:val="0"/>
          <w:sz w:val="24"/>
          <w:szCs w:val="21"/>
        </w:rPr>
        <w:t>用</w:t>
      </w:r>
      <w:proofErr w:type="gramEnd"/>
      <w:r w:rsidRPr="00AB7A5F">
        <w:rPr>
          <w:rFonts w:ascii="Times New Roman" w:eastAsia="宋体" w:hAnsi="Times New Roman" w:cs="Times New Roman"/>
          <w:color w:val="000000"/>
          <w:kern w:val="0"/>
          <w:sz w:val="24"/>
          <w:szCs w:val="21"/>
        </w:rPr>
        <w:t>四个量子数描述电子的运动状态。</w:t>
      </w:r>
    </w:p>
    <w:p w14:paraId="4B6FA455"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1"/>
        </w:rPr>
        <w:t>掌握</w:t>
      </w:r>
      <w:r w:rsidRPr="00AB7A5F">
        <w:rPr>
          <w:rFonts w:ascii="Times New Roman" w:eastAsia="宋体" w:hAnsi="Times New Roman" w:cs="Times New Roman"/>
          <w:bCs/>
          <w:color w:val="000000"/>
          <w:kern w:val="0"/>
          <w:sz w:val="24"/>
          <w:szCs w:val="21"/>
        </w:rPr>
        <w:t>核外电子排布和元素周期系的关系</w:t>
      </w:r>
      <w:r w:rsidRPr="00AB7A5F">
        <w:rPr>
          <w:rFonts w:ascii="Times New Roman" w:eastAsia="宋体" w:hAnsi="Times New Roman" w:cs="Times New Roman"/>
          <w:color w:val="000000"/>
          <w:kern w:val="0"/>
          <w:sz w:val="24"/>
          <w:szCs w:val="21"/>
        </w:rPr>
        <w:t>。</w:t>
      </w:r>
    </w:p>
    <w:p w14:paraId="15003C8E"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kern w:val="0"/>
          <w:sz w:val="24"/>
          <w:szCs w:val="21"/>
        </w:rPr>
      </w:pPr>
      <w:r w:rsidRPr="00AB7A5F">
        <w:rPr>
          <w:rFonts w:ascii="Times New Roman" w:eastAsia="宋体" w:hAnsi="Times New Roman" w:cs="Times New Roman"/>
          <w:color w:val="000000"/>
          <w:sz w:val="24"/>
          <w:szCs w:val="24"/>
        </w:rPr>
        <w:t>3</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1"/>
        </w:rPr>
        <w:t>熟悉</w:t>
      </w:r>
      <w:r w:rsidRPr="00AB7A5F">
        <w:rPr>
          <w:rFonts w:ascii="Times New Roman" w:eastAsia="宋体" w:hAnsi="Times New Roman" w:cs="Times New Roman"/>
          <w:bCs/>
          <w:color w:val="000000"/>
          <w:kern w:val="0"/>
          <w:sz w:val="24"/>
          <w:szCs w:val="21"/>
        </w:rPr>
        <w:t>元素基本性质的周期性</w:t>
      </w:r>
      <w:r w:rsidRPr="00AB7A5F">
        <w:rPr>
          <w:rFonts w:ascii="Times New Roman" w:eastAsia="宋体" w:hAnsi="Times New Roman" w:cs="Times New Roman"/>
          <w:color w:val="000000"/>
          <w:kern w:val="0"/>
          <w:sz w:val="24"/>
          <w:szCs w:val="21"/>
        </w:rPr>
        <w:t>。</w:t>
      </w:r>
    </w:p>
    <w:p w14:paraId="451FC7BC"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【重点】</w:t>
      </w:r>
    </w:p>
    <w:p w14:paraId="6F3E6151"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color w:val="000000"/>
          <w:sz w:val="24"/>
          <w:szCs w:val="24"/>
        </w:rPr>
        <w:t>四个量子数的含义。</w:t>
      </w:r>
      <w:r w:rsidRPr="00AB7A5F">
        <w:rPr>
          <w:rFonts w:ascii="Times New Roman" w:eastAsia="宋体" w:hAnsi="Times New Roman" w:cs="Times New Roman"/>
          <w:sz w:val="24"/>
          <w:szCs w:val="24"/>
        </w:rPr>
        <w:t xml:space="preserve"> </w:t>
      </w:r>
    </w:p>
    <w:p w14:paraId="47286174"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color w:val="000000"/>
          <w:sz w:val="24"/>
          <w:szCs w:val="24"/>
        </w:rPr>
        <w:t>核外电子的排布。</w:t>
      </w:r>
    </w:p>
    <w:p w14:paraId="732F70E2"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3</w:t>
      </w:r>
      <w:r w:rsidRPr="00AB7A5F">
        <w:rPr>
          <w:rFonts w:ascii="Times New Roman" w:eastAsia="宋体" w:hAnsi="Times New Roman" w:cs="Times New Roman"/>
          <w:color w:val="000000"/>
          <w:sz w:val="24"/>
          <w:szCs w:val="24"/>
        </w:rPr>
        <w:t>．元素性质的周期性变化。</w:t>
      </w:r>
    </w:p>
    <w:p w14:paraId="7E0A94D2"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【难点】</w:t>
      </w:r>
    </w:p>
    <w:p w14:paraId="76FC2CE7"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color w:val="000000"/>
          <w:sz w:val="24"/>
          <w:szCs w:val="24"/>
        </w:rPr>
        <w:t>元素性质的周期性变化。</w:t>
      </w:r>
    </w:p>
    <w:p w14:paraId="43539A6C" w14:textId="77777777" w:rsidR="00AB7A5F" w:rsidRPr="00AB7A5F" w:rsidRDefault="00AB7A5F" w:rsidP="00AB7A5F">
      <w:pPr>
        <w:spacing w:line="440" w:lineRule="exact"/>
        <w:ind w:firstLineChars="200" w:firstLine="482"/>
        <w:rPr>
          <w:rFonts w:ascii="Times New Roman" w:eastAsia="宋体" w:hAnsi="Times New Roman" w:cs="Times New Roman"/>
          <w:b/>
          <w:bCs/>
          <w:sz w:val="24"/>
          <w:szCs w:val="24"/>
        </w:rPr>
      </w:pPr>
      <w:r w:rsidRPr="00AB7A5F">
        <w:rPr>
          <w:rFonts w:ascii="Times New Roman" w:eastAsia="宋体" w:hAnsi="Times New Roman" w:cs="Times New Roman"/>
          <w:b/>
          <w:bCs/>
          <w:sz w:val="24"/>
          <w:szCs w:val="24"/>
        </w:rPr>
        <w:t>【教学方法】</w:t>
      </w:r>
    </w:p>
    <w:p w14:paraId="7957E87D"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通过多媒体课件和传统教学相结合，阐明</w:t>
      </w:r>
      <w:r w:rsidRPr="00AB7A5F">
        <w:rPr>
          <w:rFonts w:ascii="Times New Roman" w:eastAsia="宋体" w:hAnsi="Times New Roman" w:cs="Times New Roman"/>
          <w:bCs/>
          <w:sz w:val="24"/>
          <w:szCs w:val="32"/>
        </w:rPr>
        <w:t>原子结构和元素周期律</w:t>
      </w:r>
      <w:r w:rsidRPr="00AB7A5F">
        <w:rPr>
          <w:rFonts w:ascii="Times New Roman" w:eastAsia="宋体" w:hAnsi="Times New Roman" w:cs="Times New Roman"/>
          <w:color w:val="000000"/>
          <w:sz w:val="24"/>
          <w:szCs w:val="24"/>
        </w:rPr>
        <w:t>的基本概念和基本原理，使学生扎实掌握基础知识。</w:t>
      </w:r>
      <w:r w:rsidRPr="00AB7A5F">
        <w:rPr>
          <w:rFonts w:ascii="Times New Roman" w:eastAsia="宋体" w:hAnsi="Times New Roman" w:cs="Times New Roman"/>
          <w:color w:val="000000"/>
          <w:sz w:val="24"/>
          <w:szCs w:val="24"/>
        </w:rPr>
        <w:t xml:space="preserve"> </w:t>
      </w:r>
    </w:p>
    <w:p w14:paraId="3C7EF9A6"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．通过例题分析，强调理论与实践相结合，促进学生知识整合，培养学生的反思能力。</w:t>
      </w:r>
    </w:p>
    <w:p w14:paraId="6E3C210E" w14:textId="77777777" w:rsidR="00AB7A5F" w:rsidRPr="00AB7A5F" w:rsidRDefault="00AB7A5F" w:rsidP="00AB7A5F">
      <w:pPr>
        <w:spacing w:line="440" w:lineRule="exact"/>
        <w:ind w:firstLineChars="200" w:firstLine="482"/>
        <w:rPr>
          <w:rFonts w:ascii="Times New Roman" w:eastAsia="宋体" w:hAnsi="Times New Roman" w:cs="Times New Roman"/>
          <w:bCs/>
          <w:color w:val="FF0000"/>
          <w:sz w:val="24"/>
          <w:szCs w:val="24"/>
        </w:rPr>
      </w:pPr>
      <w:r w:rsidRPr="00AB7A5F">
        <w:rPr>
          <w:rFonts w:ascii="Times New Roman" w:eastAsia="宋体" w:hAnsi="Times New Roman" w:cs="Times New Roman"/>
          <w:b/>
          <w:sz w:val="24"/>
          <w:szCs w:val="24"/>
        </w:rPr>
        <w:t>【复习思考】</w:t>
      </w:r>
    </w:p>
    <w:p w14:paraId="13CD086E"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lastRenderedPageBreak/>
        <w:t>课后思考题。</w:t>
      </w:r>
    </w:p>
    <w:p w14:paraId="3BC91EA1" w14:textId="77777777" w:rsidR="00AB7A5F" w:rsidRPr="00AB7A5F" w:rsidRDefault="00AB7A5F" w:rsidP="00AB7A5F">
      <w:pPr>
        <w:adjustRightInd w:val="0"/>
        <w:snapToGrid w:val="0"/>
        <w:spacing w:line="440" w:lineRule="exact"/>
        <w:ind w:firstLine="482"/>
        <w:jc w:val="center"/>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第九章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sz w:val="24"/>
          <w:szCs w:val="32"/>
        </w:rPr>
        <w:t>离子键和离子晶体</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color w:val="000000"/>
          <w:sz w:val="24"/>
          <w:szCs w:val="24"/>
        </w:rPr>
        <w:t>（</w:t>
      </w:r>
      <w:r w:rsidRPr="00AB7A5F">
        <w:rPr>
          <w:rFonts w:ascii="Times New Roman" w:eastAsia="宋体" w:hAnsi="Times New Roman" w:cs="Times New Roman"/>
          <w:b/>
          <w:color w:val="000000"/>
          <w:sz w:val="24"/>
          <w:szCs w:val="24"/>
        </w:rPr>
        <w:t>3</w:t>
      </w:r>
      <w:r w:rsidRPr="00AB7A5F">
        <w:rPr>
          <w:rFonts w:ascii="Times New Roman" w:eastAsia="宋体" w:hAnsi="Times New Roman" w:cs="Times New Roman"/>
          <w:b/>
          <w:color w:val="000000"/>
          <w:sz w:val="24"/>
          <w:szCs w:val="24"/>
        </w:rPr>
        <w:t>学时）</w:t>
      </w:r>
    </w:p>
    <w:p w14:paraId="2DA8E8F2"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b/>
          <w:color w:val="000000"/>
          <w:sz w:val="24"/>
          <w:szCs w:val="24"/>
        </w:rPr>
      </w:pPr>
      <w:r w:rsidRPr="00AB7A5F">
        <w:rPr>
          <w:rFonts w:ascii="Times New Roman" w:eastAsia="宋体" w:hAnsi="Times New Roman" w:cs="Times New Roman"/>
          <w:b/>
          <w:sz w:val="24"/>
          <w:szCs w:val="24"/>
        </w:rPr>
        <w:t>【学习目标】</w:t>
      </w:r>
    </w:p>
    <w:p w14:paraId="43FD5951"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4"/>
        </w:rPr>
        <w:t>认知类目标：</w:t>
      </w:r>
      <w:r w:rsidRPr="00AB7A5F">
        <w:rPr>
          <w:rFonts w:ascii="Times New Roman" w:eastAsia="宋体" w:hAnsi="Times New Roman" w:cs="Times New Roman"/>
          <w:color w:val="000000"/>
          <w:sz w:val="24"/>
          <w:szCs w:val="24"/>
        </w:rPr>
        <w:t>了解</w:t>
      </w:r>
      <w:r w:rsidRPr="00AB7A5F">
        <w:rPr>
          <w:rFonts w:ascii="Times New Roman" w:eastAsia="宋体" w:hAnsi="Times New Roman" w:cs="Times New Roman"/>
          <w:bCs/>
          <w:sz w:val="24"/>
          <w:szCs w:val="32"/>
        </w:rPr>
        <w:t>离子键和离子晶体</w:t>
      </w:r>
      <w:r w:rsidRPr="00AB7A5F">
        <w:rPr>
          <w:rFonts w:ascii="Times New Roman" w:eastAsia="宋体" w:hAnsi="Times New Roman" w:cs="Times New Roman"/>
          <w:color w:val="000000"/>
          <w:kern w:val="0"/>
          <w:sz w:val="24"/>
          <w:szCs w:val="32"/>
        </w:rPr>
        <w:t>的基本概念</w:t>
      </w:r>
      <w:r w:rsidRPr="00AB7A5F">
        <w:rPr>
          <w:rFonts w:ascii="Times New Roman" w:eastAsia="宋体" w:hAnsi="Times New Roman" w:cs="Times New Roman"/>
          <w:color w:val="000000"/>
          <w:sz w:val="24"/>
          <w:szCs w:val="24"/>
        </w:rPr>
        <w:t>。</w:t>
      </w:r>
    </w:p>
    <w:p w14:paraId="69584440"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sz w:val="24"/>
          <w:szCs w:val="24"/>
        </w:rPr>
        <w:t>过程与方法类目标：</w:t>
      </w:r>
      <w:r w:rsidRPr="00AB7A5F">
        <w:rPr>
          <w:rFonts w:ascii="Times New Roman" w:eastAsia="宋体" w:hAnsi="Times New Roman" w:cs="Times New Roman"/>
          <w:color w:val="000000"/>
          <w:sz w:val="24"/>
          <w:szCs w:val="21"/>
        </w:rPr>
        <w:t>掌握离子键和离子晶体的基本概念和特征</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1"/>
        </w:rPr>
        <w:t>掌握</w:t>
      </w:r>
      <w:r w:rsidRPr="00AB7A5F">
        <w:rPr>
          <w:rFonts w:ascii="Times New Roman" w:eastAsia="宋体" w:hAnsi="Times New Roman" w:cs="Times New Roman"/>
          <w:bCs/>
          <w:color w:val="000000"/>
          <w:kern w:val="0"/>
          <w:sz w:val="24"/>
          <w:szCs w:val="21"/>
        </w:rPr>
        <w:t>离子晶体晶格能的概念</w:t>
      </w:r>
      <w:r w:rsidRPr="00AB7A5F">
        <w:rPr>
          <w:rFonts w:ascii="Times New Roman" w:eastAsia="宋体" w:hAnsi="Times New Roman" w:cs="Times New Roman"/>
          <w:color w:val="000000"/>
          <w:sz w:val="24"/>
          <w:szCs w:val="24"/>
        </w:rPr>
        <w:t>。</w:t>
      </w:r>
    </w:p>
    <w:p w14:paraId="7A3F448E"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【学习内容】</w:t>
      </w:r>
    </w:p>
    <w:p w14:paraId="6835FEB5"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1"/>
        </w:rPr>
        <w:t>掌握离子键和离子晶体的基本概念和特征</w:t>
      </w:r>
      <w:r w:rsidRPr="00AB7A5F">
        <w:rPr>
          <w:rFonts w:ascii="Times New Roman" w:eastAsia="宋体" w:hAnsi="Times New Roman" w:cs="Times New Roman"/>
          <w:color w:val="000000"/>
          <w:kern w:val="0"/>
          <w:sz w:val="24"/>
          <w:szCs w:val="21"/>
        </w:rPr>
        <w:t>。</w:t>
      </w:r>
    </w:p>
    <w:p w14:paraId="7A796128"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1"/>
        </w:rPr>
        <w:t>掌握</w:t>
      </w:r>
      <w:r w:rsidRPr="00AB7A5F">
        <w:rPr>
          <w:rFonts w:ascii="Times New Roman" w:eastAsia="宋体" w:hAnsi="Times New Roman" w:cs="Times New Roman"/>
          <w:bCs/>
          <w:color w:val="000000"/>
          <w:kern w:val="0"/>
          <w:sz w:val="24"/>
          <w:szCs w:val="21"/>
        </w:rPr>
        <w:t>离子晶体晶格能的概念</w:t>
      </w:r>
      <w:r w:rsidRPr="00AB7A5F">
        <w:rPr>
          <w:rFonts w:ascii="Times New Roman" w:eastAsia="宋体" w:hAnsi="Times New Roman" w:cs="Times New Roman"/>
          <w:color w:val="000000"/>
          <w:kern w:val="0"/>
          <w:sz w:val="24"/>
          <w:szCs w:val="21"/>
        </w:rPr>
        <w:t>。</w:t>
      </w:r>
    </w:p>
    <w:p w14:paraId="1D9141F4"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【重点】</w:t>
      </w:r>
    </w:p>
    <w:p w14:paraId="689C0262"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color w:val="000000"/>
          <w:sz w:val="24"/>
          <w:szCs w:val="21"/>
        </w:rPr>
        <w:t>离子晶体的基本概念和特征</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4"/>
        </w:rPr>
        <w:t xml:space="preserve"> </w:t>
      </w:r>
    </w:p>
    <w:p w14:paraId="44145426"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color w:val="000000"/>
          <w:sz w:val="24"/>
          <w:szCs w:val="24"/>
        </w:rPr>
        <w:t>晶格能的概念</w:t>
      </w:r>
      <w:r w:rsidRPr="00AB7A5F">
        <w:rPr>
          <w:rFonts w:ascii="Times New Roman" w:eastAsia="宋体" w:hAnsi="Times New Roman" w:cs="Times New Roman"/>
          <w:bCs/>
          <w:color w:val="000000"/>
          <w:kern w:val="0"/>
          <w:sz w:val="24"/>
          <w:szCs w:val="21"/>
        </w:rPr>
        <w:t>。</w:t>
      </w:r>
    </w:p>
    <w:p w14:paraId="5AED1AE2"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【难点】</w:t>
      </w:r>
    </w:p>
    <w:p w14:paraId="552D2B37"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color w:val="000000"/>
          <w:sz w:val="24"/>
          <w:szCs w:val="24"/>
        </w:rPr>
        <w:t>晶格能的概念</w:t>
      </w:r>
      <w:r w:rsidRPr="00AB7A5F">
        <w:rPr>
          <w:rFonts w:ascii="Times New Roman" w:eastAsia="宋体" w:hAnsi="Times New Roman" w:cs="Times New Roman"/>
          <w:bCs/>
          <w:color w:val="000000"/>
          <w:kern w:val="0"/>
          <w:sz w:val="24"/>
          <w:szCs w:val="21"/>
        </w:rPr>
        <w:t>。</w:t>
      </w:r>
    </w:p>
    <w:p w14:paraId="40DFB206" w14:textId="77777777" w:rsidR="00AB7A5F" w:rsidRPr="00AB7A5F" w:rsidRDefault="00AB7A5F" w:rsidP="00AB7A5F">
      <w:pPr>
        <w:spacing w:line="440" w:lineRule="exact"/>
        <w:ind w:firstLineChars="200" w:firstLine="482"/>
        <w:rPr>
          <w:rFonts w:ascii="Times New Roman" w:eastAsia="宋体" w:hAnsi="Times New Roman" w:cs="Times New Roman"/>
          <w:b/>
          <w:bCs/>
          <w:sz w:val="24"/>
          <w:szCs w:val="24"/>
        </w:rPr>
      </w:pPr>
      <w:r w:rsidRPr="00AB7A5F">
        <w:rPr>
          <w:rFonts w:ascii="Times New Roman" w:eastAsia="宋体" w:hAnsi="Times New Roman" w:cs="Times New Roman"/>
          <w:b/>
          <w:bCs/>
          <w:sz w:val="24"/>
          <w:szCs w:val="24"/>
        </w:rPr>
        <w:t>【教学方法】</w:t>
      </w:r>
    </w:p>
    <w:p w14:paraId="60BD703C"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通过多媒体课件和传统教学相结合，阐明</w:t>
      </w:r>
      <w:r w:rsidRPr="00AB7A5F">
        <w:rPr>
          <w:rFonts w:ascii="Times New Roman" w:eastAsia="宋体" w:hAnsi="Times New Roman" w:cs="Times New Roman"/>
          <w:bCs/>
          <w:sz w:val="24"/>
          <w:szCs w:val="32"/>
        </w:rPr>
        <w:t>离子键和离子晶体</w:t>
      </w:r>
      <w:r w:rsidRPr="00AB7A5F">
        <w:rPr>
          <w:rFonts w:ascii="Times New Roman" w:eastAsia="宋体" w:hAnsi="Times New Roman" w:cs="Times New Roman"/>
          <w:color w:val="000000"/>
          <w:sz w:val="24"/>
          <w:szCs w:val="24"/>
        </w:rPr>
        <w:t>的基本概念和基本原理，使学生扎实掌握基础知识。</w:t>
      </w:r>
      <w:r w:rsidRPr="00AB7A5F">
        <w:rPr>
          <w:rFonts w:ascii="Times New Roman" w:eastAsia="宋体" w:hAnsi="Times New Roman" w:cs="Times New Roman"/>
          <w:color w:val="000000"/>
          <w:sz w:val="24"/>
          <w:szCs w:val="24"/>
        </w:rPr>
        <w:t xml:space="preserve"> </w:t>
      </w:r>
    </w:p>
    <w:p w14:paraId="5E87A8C1"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．通过例题分析，强调理论与实践相结合，促进学生知识整合，培养学生的反思能力。</w:t>
      </w:r>
    </w:p>
    <w:p w14:paraId="1561D0BA" w14:textId="77777777" w:rsidR="00AB7A5F" w:rsidRPr="00AB7A5F" w:rsidRDefault="00AB7A5F" w:rsidP="00AB7A5F">
      <w:pPr>
        <w:spacing w:line="440" w:lineRule="exact"/>
        <w:ind w:firstLineChars="200" w:firstLine="482"/>
        <w:rPr>
          <w:rFonts w:ascii="Times New Roman" w:eastAsia="宋体" w:hAnsi="Times New Roman" w:cs="Times New Roman"/>
          <w:bCs/>
          <w:color w:val="FF0000"/>
          <w:sz w:val="24"/>
          <w:szCs w:val="24"/>
        </w:rPr>
      </w:pPr>
      <w:r w:rsidRPr="00AB7A5F">
        <w:rPr>
          <w:rFonts w:ascii="Times New Roman" w:eastAsia="宋体" w:hAnsi="Times New Roman" w:cs="Times New Roman"/>
          <w:b/>
          <w:sz w:val="24"/>
          <w:szCs w:val="24"/>
        </w:rPr>
        <w:t>【复习思考】</w:t>
      </w:r>
    </w:p>
    <w:p w14:paraId="64913687"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课后思考题。</w:t>
      </w:r>
    </w:p>
    <w:p w14:paraId="31E5B368" w14:textId="77777777" w:rsidR="00AB7A5F" w:rsidRPr="00AB7A5F" w:rsidRDefault="00AB7A5F" w:rsidP="00AB7A5F">
      <w:pPr>
        <w:adjustRightInd w:val="0"/>
        <w:snapToGrid w:val="0"/>
        <w:spacing w:line="440" w:lineRule="exact"/>
        <w:ind w:firstLine="482"/>
        <w:jc w:val="center"/>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第十章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sz w:val="24"/>
          <w:szCs w:val="32"/>
        </w:rPr>
        <w:t>共价键与分子结构</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color w:val="000000"/>
          <w:sz w:val="24"/>
          <w:szCs w:val="24"/>
        </w:rPr>
        <w:t>（</w:t>
      </w:r>
      <w:r w:rsidRPr="00AB7A5F">
        <w:rPr>
          <w:rFonts w:ascii="Times New Roman" w:eastAsia="宋体" w:hAnsi="Times New Roman" w:cs="Times New Roman"/>
          <w:b/>
          <w:color w:val="000000"/>
          <w:sz w:val="24"/>
          <w:szCs w:val="24"/>
        </w:rPr>
        <w:t>8</w:t>
      </w:r>
      <w:r w:rsidRPr="00AB7A5F">
        <w:rPr>
          <w:rFonts w:ascii="Times New Roman" w:eastAsia="宋体" w:hAnsi="Times New Roman" w:cs="Times New Roman"/>
          <w:b/>
          <w:color w:val="000000"/>
          <w:sz w:val="24"/>
          <w:szCs w:val="24"/>
        </w:rPr>
        <w:t>学时）</w:t>
      </w:r>
    </w:p>
    <w:p w14:paraId="542078DE"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b/>
          <w:color w:val="000000"/>
          <w:sz w:val="24"/>
          <w:szCs w:val="24"/>
        </w:rPr>
      </w:pPr>
      <w:r w:rsidRPr="00AB7A5F">
        <w:rPr>
          <w:rFonts w:ascii="Times New Roman" w:eastAsia="宋体" w:hAnsi="Times New Roman" w:cs="Times New Roman"/>
          <w:b/>
          <w:sz w:val="24"/>
          <w:szCs w:val="24"/>
        </w:rPr>
        <w:t>【学习目标】</w:t>
      </w:r>
    </w:p>
    <w:p w14:paraId="7CC9BF8D"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4"/>
        </w:rPr>
        <w:t>认知类目标：</w:t>
      </w:r>
      <w:r w:rsidRPr="00AB7A5F">
        <w:rPr>
          <w:rFonts w:ascii="Times New Roman" w:eastAsia="宋体" w:hAnsi="Times New Roman" w:cs="Times New Roman"/>
          <w:color w:val="000000"/>
          <w:sz w:val="24"/>
          <w:szCs w:val="24"/>
        </w:rPr>
        <w:t>了解</w:t>
      </w:r>
      <w:r w:rsidRPr="00AB7A5F">
        <w:rPr>
          <w:rFonts w:ascii="Times New Roman" w:eastAsia="宋体" w:hAnsi="Times New Roman" w:cs="Times New Roman"/>
          <w:bCs/>
          <w:sz w:val="24"/>
          <w:szCs w:val="32"/>
        </w:rPr>
        <w:t>共价键与分子结构</w:t>
      </w:r>
      <w:r w:rsidRPr="00AB7A5F">
        <w:rPr>
          <w:rFonts w:ascii="Times New Roman" w:eastAsia="宋体" w:hAnsi="Times New Roman" w:cs="Times New Roman"/>
          <w:color w:val="000000"/>
          <w:kern w:val="0"/>
          <w:sz w:val="24"/>
          <w:szCs w:val="32"/>
        </w:rPr>
        <w:t>的基本概念</w:t>
      </w:r>
      <w:r w:rsidRPr="00AB7A5F">
        <w:rPr>
          <w:rFonts w:ascii="Times New Roman" w:eastAsia="宋体" w:hAnsi="Times New Roman" w:cs="Times New Roman"/>
          <w:color w:val="000000"/>
          <w:sz w:val="24"/>
          <w:szCs w:val="24"/>
        </w:rPr>
        <w:t>。</w:t>
      </w:r>
    </w:p>
    <w:p w14:paraId="62C67B6F"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sz w:val="24"/>
          <w:szCs w:val="24"/>
        </w:rPr>
        <w:t>过程与方法类目标：</w:t>
      </w:r>
      <w:r w:rsidRPr="00AB7A5F">
        <w:rPr>
          <w:rFonts w:ascii="Times New Roman" w:eastAsia="宋体" w:hAnsi="Times New Roman" w:cs="Times New Roman"/>
          <w:color w:val="000000"/>
          <w:sz w:val="24"/>
          <w:szCs w:val="21"/>
        </w:rPr>
        <w:t>掌握</w:t>
      </w:r>
      <w:r w:rsidRPr="00AB7A5F">
        <w:rPr>
          <w:rFonts w:ascii="Times New Roman" w:eastAsia="宋体" w:hAnsi="Times New Roman" w:cs="Times New Roman"/>
          <w:color w:val="000000"/>
          <w:kern w:val="0"/>
          <w:sz w:val="24"/>
          <w:szCs w:val="21"/>
        </w:rPr>
        <w:t>价键理论、</w:t>
      </w:r>
      <w:hyperlink r:id="rId35" w:anchor="2-4" w:tgtFrame="main" w:history="1">
        <w:r w:rsidRPr="00AB7A5F">
          <w:rPr>
            <w:rFonts w:ascii="Times New Roman" w:eastAsia="宋体" w:hAnsi="Times New Roman" w:cs="Times New Roman"/>
            <w:color w:val="000000"/>
            <w:kern w:val="0"/>
            <w:sz w:val="24"/>
            <w:szCs w:val="21"/>
          </w:rPr>
          <w:t>杂化轨道理论</w:t>
        </w:r>
      </w:hyperlink>
      <w:r w:rsidRPr="00AB7A5F">
        <w:rPr>
          <w:rFonts w:ascii="Times New Roman" w:eastAsia="宋体" w:hAnsi="Times New Roman" w:cs="Times New Roman"/>
          <w:color w:val="000000"/>
          <w:kern w:val="0"/>
          <w:sz w:val="24"/>
          <w:szCs w:val="21"/>
        </w:rPr>
        <w:t>及其应用。</w:t>
      </w:r>
      <w:r w:rsidRPr="00AB7A5F">
        <w:rPr>
          <w:rFonts w:ascii="Times New Roman" w:eastAsia="宋体" w:hAnsi="Times New Roman" w:cs="Times New Roman"/>
          <w:color w:val="000000"/>
          <w:sz w:val="24"/>
          <w:szCs w:val="21"/>
        </w:rPr>
        <w:t>掌握</w:t>
      </w:r>
      <w:r w:rsidRPr="00AB7A5F">
        <w:rPr>
          <w:rFonts w:ascii="Times New Roman" w:eastAsia="宋体" w:hAnsi="Times New Roman" w:cs="Times New Roman"/>
          <w:color w:val="000000"/>
          <w:kern w:val="0"/>
          <w:sz w:val="24"/>
          <w:szCs w:val="21"/>
        </w:rPr>
        <w:t>分子的极性、分子间作用力、氢键相关理论及运用。</w:t>
      </w:r>
    </w:p>
    <w:p w14:paraId="737A2ADC" w14:textId="77777777" w:rsidR="00AB7A5F" w:rsidRPr="00AB7A5F" w:rsidRDefault="00AB7A5F" w:rsidP="00AB7A5F">
      <w:pPr>
        <w:adjustRightInd w:val="0"/>
        <w:snapToGrid w:val="0"/>
        <w:spacing w:line="440" w:lineRule="exact"/>
        <w:ind w:firstLineChars="200" w:firstLine="482"/>
        <w:rPr>
          <w:rFonts w:ascii="Times New Roman" w:eastAsia="宋体" w:hAnsi="Times New Roman" w:cs="Times New Roman"/>
          <w:color w:val="000000"/>
          <w:sz w:val="24"/>
          <w:szCs w:val="24"/>
        </w:rPr>
      </w:pPr>
      <w:r w:rsidRPr="00AB7A5F">
        <w:rPr>
          <w:rFonts w:ascii="Times New Roman" w:eastAsia="宋体" w:hAnsi="Times New Roman" w:cs="Times New Roman"/>
          <w:b/>
          <w:sz w:val="24"/>
          <w:szCs w:val="24"/>
        </w:rPr>
        <w:t>【学习内容】</w:t>
      </w:r>
    </w:p>
    <w:p w14:paraId="30CB3C73"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1"/>
        </w:rPr>
        <w:t>掌握</w:t>
      </w:r>
      <w:r w:rsidRPr="00AB7A5F">
        <w:rPr>
          <w:rFonts w:ascii="Times New Roman" w:eastAsia="宋体" w:hAnsi="Times New Roman" w:cs="Times New Roman"/>
          <w:color w:val="000000"/>
          <w:kern w:val="0"/>
          <w:sz w:val="24"/>
          <w:szCs w:val="21"/>
        </w:rPr>
        <w:t>价键理论、</w:t>
      </w:r>
      <w:hyperlink r:id="rId36" w:anchor="2-4" w:tgtFrame="main" w:history="1">
        <w:r w:rsidRPr="00AB7A5F">
          <w:rPr>
            <w:rFonts w:ascii="Times New Roman" w:eastAsia="宋体" w:hAnsi="Times New Roman" w:cs="Times New Roman"/>
            <w:color w:val="000000"/>
            <w:kern w:val="0"/>
            <w:sz w:val="24"/>
            <w:szCs w:val="21"/>
          </w:rPr>
          <w:t>杂化轨道理论</w:t>
        </w:r>
      </w:hyperlink>
      <w:r w:rsidRPr="00AB7A5F">
        <w:rPr>
          <w:rFonts w:ascii="Times New Roman" w:eastAsia="宋体" w:hAnsi="Times New Roman" w:cs="Times New Roman"/>
          <w:color w:val="000000"/>
          <w:kern w:val="0"/>
          <w:sz w:val="24"/>
          <w:szCs w:val="21"/>
        </w:rPr>
        <w:t>及其应用。</w:t>
      </w:r>
    </w:p>
    <w:p w14:paraId="7FDACB6F"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kern w:val="0"/>
          <w:sz w:val="24"/>
          <w:szCs w:val="21"/>
        </w:rPr>
      </w:pP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1"/>
        </w:rPr>
        <w:t>掌握</w:t>
      </w:r>
      <w:r w:rsidRPr="00AB7A5F">
        <w:rPr>
          <w:rFonts w:ascii="Times New Roman" w:eastAsia="宋体" w:hAnsi="Times New Roman" w:cs="Times New Roman"/>
          <w:color w:val="000000"/>
          <w:kern w:val="0"/>
          <w:sz w:val="24"/>
          <w:szCs w:val="21"/>
        </w:rPr>
        <w:t>分子的极性、分子间作用力、氢键相关理论及运用。</w:t>
      </w:r>
    </w:p>
    <w:p w14:paraId="07BB625B"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bCs/>
          <w:color w:val="000000"/>
          <w:kern w:val="0"/>
          <w:sz w:val="24"/>
          <w:szCs w:val="21"/>
        </w:rPr>
        <w:t>3.</w:t>
      </w:r>
      <w:r w:rsidRPr="00AB7A5F">
        <w:rPr>
          <w:rFonts w:ascii="Times New Roman" w:eastAsia="宋体" w:hAnsi="Times New Roman" w:cs="Times New Roman"/>
          <w:color w:val="000000"/>
          <w:kern w:val="0"/>
          <w:sz w:val="24"/>
          <w:szCs w:val="21"/>
        </w:rPr>
        <w:t xml:space="preserve"> </w:t>
      </w:r>
      <w:r w:rsidRPr="00AB7A5F">
        <w:rPr>
          <w:rFonts w:ascii="Times New Roman" w:eastAsia="宋体" w:hAnsi="Times New Roman" w:cs="Times New Roman"/>
          <w:color w:val="000000"/>
          <w:kern w:val="0"/>
          <w:sz w:val="24"/>
          <w:szCs w:val="21"/>
        </w:rPr>
        <w:t>掌握原子晶体和分子晶体的结构特征和性质。</w:t>
      </w:r>
    </w:p>
    <w:p w14:paraId="3AB8E871"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【重点】</w:t>
      </w:r>
    </w:p>
    <w:p w14:paraId="62BA1768"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lastRenderedPageBreak/>
        <w:t>1</w:t>
      </w:r>
      <w:r w:rsidRPr="00AB7A5F">
        <w:rPr>
          <w:rFonts w:ascii="Times New Roman" w:eastAsia="宋体" w:hAnsi="Times New Roman" w:cs="Times New Roman"/>
          <w:sz w:val="24"/>
          <w:szCs w:val="24"/>
        </w:rPr>
        <w:t>．</w:t>
      </w:r>
      <w:r w:rsidRPr="00AB7A5F">
        <w:rPr>
          <w:rFonts w:ascii="Times New Roman" w:eastAsia="宋体" w:hAnsi="Times New Roman" w:cs="Times New Roman"/>
          <w:color w:val="000000"/>
          <w:kern w:val="0"/>
          <w:sz w:val="24"/>
          <w:szCs w:val="21"/>
        </w:rPr>
        <w:t>价键理论</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4"/>
        </w:rPr>
        <w:t xml:space="preserve"> </w:t>
      </w:r>
    </w:p>
    <w:p w14:paraId="1820E140" w14:textId="77777777" w:rsidR="00AB7A5F" w:rsidRPr="00AB7A5F" w:rsidRDefault="00AB7A5F" w:rsidP="00AB7A5F">
      <w:pPr>
        <w:adjustRightInd w:val="0"/>
        <w:snapToGrid w:val="0"/>
        <w:spacing w:line="440" w:lineRule="exact"/>
        <w:ind w:firstLine="480"/>
        <w:rPr>
          <w:rFonts w:ascii="Times New Roman" w:eastAsia="宋体" w:hAnsi="Times New Roman" w:cs="Times New Roman"/>
          <w:bCs/>
          <w:color w:val="000000"/>
          <w:kern w:val="0"/>
          <w:sz w:val="24"/>
          <w:szCs w:val="21"/>
        </w:rPr>
      </w:pPr>
      <w:r w:rsidRPr="00AB7A5F">
        <w:rPr>
          <w:rFonts w:ascii="Times New Roman" w:eastAsia="宋体" w:hAnsi="Times New Roman" w:cs="Times New Roman"/>
          <w:sz w:val="24"/>
          <w:szCs w:val="24"/>
        </w:rPr>
        <w:t>2</w:t>
      </w:r>
      <w:r w:rsidRPr="00AB7A5F">
        <w:rPr>
          <w:rFonts w:ascii="Times New Roman" w:eastAsia="宋体" w:hAnsi="Times New Roman" w:cs="Times New Roman"/>
          <w:sz w:val="24"/>
          <w:szCs w:val="24"/>
        </w:rPr>
        <w:t>．</w:t>
      </w:r>
      <w:r>
        <w:fldChar w:fldCharType="begin"/>
      </w:r>
      <w:r>
        <w:instrText>HYPERLINK "http://eol.jlu.edu.cn/software/songtianyou/inorchem/inorchem/class/chpt10/10-2c.htm" \l "2-4" \t "main"</w:instrText>
      </w:r>
      <w:r>
        <w:fldChar w:fldCharType="separate"/>
      </w:r>
      <w:r w:rsidRPr="00AB7A5F">
        <w:rPr>
          <w:rFonts w:ascii="Times New Roman" w:eastAsia="宋体" w:hAnsi="Times New Roman" w:cs="Times New Roman"/>
          <w:color w:val="000000"/>
          <w:kern w:val="0"/>
          <w:sz w:val="24"/>
          <w:szCs w:val="21"/>
        </w:rPr>
        <w:t>杂化轨道理论</w:t>
      </w:r>
      <w:r>
        <w:rPr>
          <w:rFonts w:ascii="Times New Roman" w:eastAsia="宋体" w:hAnsi="Times New Roman" w:cs="Times New Roman"/>
          <w:color w:val="000000"/>
          <w:kern w:val="0"/>
          <w:sz w:val="24"/>
          <w:szCs w:val="21"/>
        </w:rPr>
        <w:fldChar w:fldCharType="end"/>
      </w:r>
      <w:r w:rsidRPr="00AB7A5F">
        <w:rPr>
          <w:rFonts w:ascii="Times New Roman" w:eastAsia="宋体" w:hAnsi="Times New Roman" w:cs="Times New Roman"/>
          <w:bCs/>
          <w:color w:val="000000"/>
          <w:kern w:val="0"/>
          <w:sz w:val="24"/>
          <w:szCs w:val="21"/>
        </w:rPr>
        <w:t>。</w:t>
      </w:r>
    </w:p>
    <w:p w14:paraId="406E2061" w14:textId="77777777" w:rsidR="00AB7A5F" w:rsidRPr="00AB7A5F" w:rsidRDefault="00AB7A5F" w:rsidP="00AB7A5F">
      <w:pPr>
        <w:spacing w:line="440" w:lineRule="exact"/>
        <w:ind w:firstLineChars="200" w:firstLine="482"/>
        <w:rPr>
          <w:rFonts w:ascii="Times New Roman" w:eastAsia="宋体" w:hAnsi="Times New Roman" w:cs="Times New Roman"/>
          <w:b/>
          <w:sz w:val="24"/>
          <w:szCs w:val="24"/>
        </w:rPr>
      </w:pPr>
      <w:r w:rsidRPr="00AB7A5F">
        <w:rPr>
          <w:rFonts w:ascii="Times New Roman" w:eastAsia="宋体" w:hAnsi="Times New Roman" w:cs="Times New Roman"/>
          <w:b/>
          <w:sz w:val="24"/>
          <w:szCs w:val="24"/>
        </w:rPr>
        <w:t>【难点】</w:t>
      </w:r>
    </w:p>
    <w:p w14:paraId="5BDCF1B1"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color w:val="000000"/>
          <w:kern w:val="0"/>
          <w:sz w:val="24"/>
          <w:szCs w:val="21"/>
        </w:rPr>
        <w:t>氢键相关理论及运用。</w:t>
      </w:r>
    </w:p>
    <w:p w14:paraId="463105F1" w14:textId="77777777" w:rsidR="00AB7A5F" w:rsidRPr="00AB7A5F" w:rsidRDefault="00AB7A5F" w:rsidP="00AB7A5F">
      <w:pPr>
        <w:spacing w:line="440" w:lineRule="exact"/>
        <w:ind w:firstLineChars="200" w:firstLine="482"/>
        <w:rPr>
          <w:rFonts w:ascii="Times New Roman" w:eastAsia="宋体" w:hAnsi="Times New Roman" w:cs="Times New Roman"/>
          <w:b/>
          <w:bCs/>
          <w:sz w:val="24"/>
          <w:szCs w:val="24"/>
        </w:rPr>
      </w:pPr>
      <w:r w:rsidRPr="00AB7A5F">
        <w:rPr>
          <w:rFonts w:ascii="Times New Roman" w:eastAsia="宋体" w:hAnsi="Times New Roman" w:cs="Times New Roman"/>
          <w:b/>
          <w:bCs/>
          <w:sz w:val="24"/>
          <w:szCs w:val="24"/>
        </w:rPr>
        <w:t>【教学方法】</w:t>
      </w:r>
    </w:p>
    <w:p w14:paraId="61BDC4F1"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通过多媒体课件和传统教学相结合，阐明</w:t>
      </w:r>
      <w:r w:rsidRPr="00AB7A5F">
        <w:rPr>
          <w:rFonts w:ascii="Times New Roman" w:eastAsia="宋体" w:hAnsi="Times New Roman" w:cs="Times New Roman"/>
          <w:bCs/>
          <w:sz w:val="24"/>
          <w:szCs w:val="32"/>
        </w:rPr>
        <w:t>共价键与分子结构</w:t>
      </w:r>
      <w:r w:rsidRPr="00AB7A5F">
        <w:rPr>
          <w:rFonts w:ascii="Times New Roman" w:eastAsia="宋体" w:hAnsi="Times New Roman" w:cs="Times New Roman"/>
          <w:color w:val="000000"/>
          <w:sz w:val="24"/>
          <w:szCs w:val="24"/>
        </w:rPr>
        <w:t>的基本概念和基本原理，使学生扎实掌握基础知识。</w:t>
      </w:r>
      <w:r w:rsidRPr="00AB7A5F">
        <w:rPr>
          <w:rFonts w:ascii="Times New Roman" w:eastAsia="宋体" w:hAnsi="Times New Roman" w:cs="Times New Roman"/>
          <w:color w:val="000000"/>
          <w:sz w:val="24"/>
          <w:szCs w:val="24"/>
        </w:rPr>
        <w:t xml:space="preserve"> </w:t>
      </w:r>
    </w:p>
    <w:p w14:paraId="48393BF3" w14:textId="77777777" w:rsidR="00AB7A5F" w:rsidRPr="00AB7A5F" w:rsidRDefault="00AB7A5F" w:rsidP="00AB7A5F">
      <w:pPr>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．通过例题分析，强调理论与实践相结合，促进学生知识整合，培养学生的反思能力。</w:t>
      </w:r>
    </w:p>
    <w:p w14:paraId="56BDB06B" w14:textId="77777777" w:rsidR="00AB7A5F" w:rsidRPr="00AB7A5F" w:rsidRDefault="00AB7A5F" w:rsidP="00AB7A5F">
      <w:pPr>
        <w:spacing w:line="440" w:lineRule="exact"/>
        <w:ind w:firstLineChars="200" w:firstLine="482"/>
        <w:rPr>
          <w:rFonts w:ascii="Times New Roman" w:eastAsia="宋体" w:hAnsi="Times New Roman" w:cs="Times New Roman"/>
          <w:bCs/>
          <w:color w:val="FF0000"/>
          <w:sz w:val="24"/>
          <w:szCs w:val="24"/>
        </w:rPr>
      </w:pPr>
      <w:r w:rsidRPr="00AB7A5F">
        <w:rPr>
          <w:rFonts w:ascii="Times New Roman" w:eastAsia="宋体" w:hAnsi="Times New Roman" w:cs="Times New Roman"/>
          <w:b/>
          <w:sz w:val="24"/>
          <w:szCs w:val="24"/>
        </w:rPr>
        <w:t>【复习思考】</w:t>
      </w:r>
    </w:p>
    <w:p w14:paraId="4625DC3A"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课后思考题。</w:t>
      </w:r>
    </w:p>
    <w:p w14:paraId="357E715E"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（二）课程学习内容与课程学习目标的对应关系</w:t>
      </w:r>
      <w:r w:rsidRPr="00AB7A5F">
        <w:rPr>
          <w:rFonts w:ascii="Times New Roman" w:eastAsia="黑体" w:hAnsi="Times New Roman" w:cs="Times New Roman"/>
          <w:sz w:val="28"/>
          <w:szCs w:val="28"/>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80"/>
        <w:gridCol w:w="1416"/>
        <w:gridCol w:w="1985"/>
        <w:gridCol w:w="1276"/>
      </w:tblGrid>
      <w:tr w:rsidR="00AB7A5F" w:rsidRPr="00AB7A5F" w14:paraId="5091CFA2" w14:textId="77777777" w:rsidTr="00AB7A5F">
        <w:trPr>
          <w:trHeight w:val="660"/>
          <w:jc w:val="center"/>
        </w:trPr>
        <w:tc>
          <w:tcPr>
            <w:tcW w:w="4680" w:type="dxa"/>
            <w:vAlign w:val="center"/>
          </w:tcPr>
          <w:p w14:paraId="4ECFE3E3" w14:textId="77777777" w:rsidR="00AB7A5F" w:rsidRPr="00AB7A5F" w:rsidRDefault="00AB7A5F" w:rsidP="00AB7A5F">
            <w:pPr>
              <w:spacing w:line="440" w:lineRule="exact"/>
              <w:jc w:val="center"/>
              <w:rPr>
                <w:rFonts w:ascii="Times New Roman" w:eastAsia="宋体" w:hAnsi="Times New Roman" w:cs="Times New Roman"/>
                <w:b/>
                <w:bCs/>
                <w:sz w:val="24"/>
                <w:szCs w:val="24"/>
              </w:rPr>
            </w:pPr>
            <w:r w:rsidRPr="00AB7A5F">
              <w:rPr>
                <w:rFonts w:ascii="Times New Roman" w:eastAsia="宋体" w:hAnsi="Times New Roman" w:cs="Times New Roman"/>
                <w:b/>
                <w:bCs/>
                <w:sz w:val="24"/>
                <w:szCs w:val="24"/>
              </w:rPr>
              <w:t>课程学习内容</w:t>
            </w:r>
          </w:p>
        </w:tc>
        <w:tc>
          <w:tcPr>
            <w:tcW w:w="1416" w:type="dxa"/>
            <w:vAlign w:val="center"/>
          </w:tcPr>
          <w:p w14:paraId="186652E9" w14:textId="77777777" w:rsidR="00AB7A5F" w:rsidRPr="00AB7A5F" w:rsidRDefault="00AB7A5F" w:rsidP="00AB7A5F">
            <w:pPr>
              <w:spacing w:line="440" w:lineRule="exact"/>
              <w:jc w:val="center"/>
              <w:rPr>
                <w:rFonts w:ascii="Times New Roman" w:eastAsia="宋体" w:hAnsi="Times New Roman" w:cs="Times New Roman"/>
                <w:b/>
                <w:bCs/>
                <w:sz w:val="24"/>
                <w:szCs w:val="24"/>
              </w:rPr>
            </w:pPr>
            <w:r w:rsidRPr="00AB7A5F">
              <w:rPr>
                <w:rFonts w:ascii="Times New Roman" w:eastAsia="宋体" w:hAnsi="Times New Roman" w:cs="Times New Roman"/>
                <w:b/>
                <w:bCs/>
                <w:sz w:val="24"/>
                <w:szCs w:val="24"/>
              </w:rPr>
              <w:t>教学方法</w:t>
            </w:r>
          </w:p>
        </w:tc>
        <w:tc>
          <w:tcPr>
            <w:tcW w:w="1985" w:type="dxa"/>
            <w:vAlign w:val="center"/>
          </w:tcPr>
          <w:p w14:paraId="28876726" w14:textId="77777777" w:rsidR="00AB7A5F" w:rsidRPr="00AB7A5F" w:rsidRDefault="00AB7A5F" w:rsidP="00AB7A5F">
            <w:pPr>
              <w:spacing w:line="440" w:lineRule="exact"/>
              <w:jc w:val="center"/>
              <w:rPr>
                <w:rFonts w:ascii="Times New Roman" w:eastAsia="宋体" w:hAnsi="Times New Roman" w:cs="Times New Roman"/>
                <w:b/>
                <w:bCs/>
                <w:sz w:val="24"/>
                <w:szCs w:val="24"/>
              </w:rPr>
            </w:pPr>
            <w:r w:rsidRPr="00AB7A5F">
              <w:rPr>
                <w:rFonts w:ascii="Times New Roman" w:eastAsia="宋体" w:hAnsi="Times New Roman" w:cs="Times New Roman"/>
                <w:b/>
                <w:bCs/>
                <w:sz w:val="24"/>
                <w:szCs w:val="24"/>
              </w:rPr>
              <w:t>支撑的课程目标</w:t>
            </w:r>
          </w:p>
        </w:tc>
        <w:tc>
          <w:tcPr>
            <w:tcW w:w="1276" w:type="dxa"/>
            <w:vAlign w:val="center"/>
          </w:tcPr>
          <w:p w14:paraId="6D8CE09D" w14:textId="77777777" w:rsidR="00AB7A5F" w:rsidRPr="00AB7A5F" w:rsidRDefault="00AB7A5F" w:rsidP="00AB7A5F">
            <w:pPr>
              <w:spacing w:line="440" w:lineRule="exact"/>
              <w:jc w:val="center"/>
              <w:rPr>
                <w:rFonts w:ascii="Times New Roman" w:eastAsia="宋体" w:hAnsi="Times New Roman" w:cs="Times New Roman"/>
                <w:b/>
                <w:bCs/>
                <w:sz w:val="24"/>
                <w:szCs w:val="24"/>
              </w:rPr>
            </w:pPr>
            <w:r w:rsidRPr="00AB7A5F">
              <w:rPr>
                <w:rFonts w:ascii="Times New Roman" w:eastAsia="宋体" w:hAnsi="Times New Roman" w:cs="Times New Roman"/>
                <w:b/>
                <w:bCs/>
                <w:sz w:val="24"/>
                <w:szCs w:val="24"/>
              </w:rPr>
              <w:t>学时安排</w:t>
            </w:r>
          </w:p>
        </w:tc>
      </w:tr>
      <w:tr w:rsidR="00AB7A5F" w:rsidRPr="00AB7A5F" w14:paraId="2CE180F3" w14:textId="77777777" w:rsidTr="00AB7A5F">
        <w:trPr>
          <w:trHeight w:val="514"/>
          <w:jc w:val="center"/>
        </w:trPr>
        <w:tc>
          <w:tcPr>
            <w:tcW w:w="4680" w:type="dxa"/>
            <w:vAlign w:val="center"/>
          </w:tcPr>
          <w:p w14:paraId="04D76993" w14:textId="77777777" w:rsidR="00AB7A5F" w:rsidRPr="00AB7A5F" w:rsidRDefault="00AB7A5F" w:rsidP="00AB7A5F">
            <w:pPr>
              <w:spacing w:line="440" w:lineRule="exact"/>
              <w:jc w:val="left"/>
              <w:rPr>
                <w:rFonts w:ascii="Times New Roman" w:eastAsia="宋体" w:hAnsi="Times New Roman" w:cs="Times New Roman"/>
                <w:bCs/>
                <w:sz w:val="24"/>
                <w:szCs w:val="24"/>
              </w:rPr>
            </w:pPr>
            <w:r w:rsidRPr="00AB7A5F">
              <w:rPr>
                <w:rFonts w:ascii="Times New Roman" w:eastAsia="宋体" w:hAnsi="Times New Roman" w:cs="Times New Roman"/>
                <w:bCs/>
                <w:color w:val="000000"/>
                <w:sz w:val="24"/>
                <w:szCs w:val="24"/>
              </w:rPr>
              <w:t>第二章</w:t>
            </w:r>
            <w:r w:rsidRPr="00AB7A5F">
              <w:rPr>
                <w:rFonts w:ascii="Times New Roman" w:eastAsia="宋体" w:hAnsi="Times New Roman" w:cs="Times New Roman"/>
                <w:bCs/>
                <w:color w:val="000000"/>
                <w:sz w:val="24"/>
                <w:szCs w:val="24"/>
              </w:rPr>
              <w:t xml:space="preserve">  </w:t>
            </w:r>
            <w:r w:rsidRPr="00AB7A5F">
              <w:rPr>
                <w:rFonts w:ascii="Times New Roman" w:eastAsia="宋体" w:hAnsi="Times New Roman" w:cs="Times New Roman"/>
                <w:bCs/>
                <w:color w:val="000000"/>
                <w:kern w:val="0"/>
                <w:sz w:val="24"/>
                <w:szCs w:val="32"/>
              </w:rPr>
              <w:t>化学热力学基础</w:t>
            </w:r>
          </w:p>
        </w:tc>
        <w:tc>
          <w:tcPr>
            <w:tcW w:w="1416" w:type="dxa"/>
            <w:vAlign w:val="center"/>
          </w:tcPr>
          <w:p w14:paraId="56F9D935"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讲授法</w:t>
            </w:r>
          </w:p>
        </w:tc>
        <w:tc>
          <w:tcPr>
            <w:tcW w:w="1985" w:type="dxa"/>
            <w:vAlign w:val="center"/>
          </w:tcPr>
          <w:p w14:paraId="4A0EB7EB"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课程目标</w:t>
            </w: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3</w:t>
            </w:r>
          </w:p>
        </w:tc>
        <w:tc>
          <w:tcPr>
            <w:tcW w:w="1276" w:type="dxa"/>
            <w:vAlign w:val="center"/>
          </w:tcPr>
          <w:p w14:paraId="31B2A144"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6</w:t>
            </w:r>
          </w:p>
        </w:tc>
      </w:tr>
      <w:tr w:rsidR="00AB7A5F" w:rsidRPr="00AB7A5F" w14:paraId="120384ED" w14:textId="77777777" w:rsidTr="00AB7A5F">
        <w:trPr>
          <w:trHeight w:val="90"/>
          <w:jc w:val="center"/>
        </w:trPr>
        <w:tc>
          <w:tcPr>
            <w:tcW w:w="4680" w:type="dxa"/>
            <w:vAlign w:val="center"/>
          </w:tcPr>
          <w:p w14:paraId="621CBC8C" w14:textId="77777777" w:rsidR="00AB7A5F" w:rsidRPr="00AB7A5F" w:rsidRDefault="00AB7A5F" w:rsidP="00AB7A5F">
            <w:pPr>
              <w:spacing w:line="440" w:lineRule="exact"/>
              <w:jc w:val="left"/>
              <w:rPr>
                <w:rFonts w:ascii="Times New Roman" w:eastAsia="宋体" w:hAnsi="Times New Roman" w:cs="Times New Roman"/>
                <w:bCs/>
                <w:sz w:val="24"/>
                <w:szCs w:val="24"/>
              </w:rPr>
            </w:pPr>
            <w:r w:rsidRPr="00AB7A5F">
              <w:rPr>
                <w:rFonts w:ascii="Times New Roman" w:eastAsia="宋体" w:hAnsi="Times New Roman" w:cs="Times New Roman"/>
                <w:bCs/>
                <w:color w:val="000000"/>
                <w:sz w:val="24"/>
                <w:szCs w:val="24"/>
              </w:rPr>
              <w:t>第三章</w:t>
            </w:r>
            <w:r w:rsidRPr="00AB7A5F">
              <w:rPr>
                <w:rFonts w:ascii="Times New Roman" w:eastAsia="宋体" w:hAnsi="Times New Roman" w:cs="Times New Roman"/>
                <w:bCs/>
                <w:color w:val="000000"/>
                <w:sz w:val="24"/>
                <w:szCs w:val="24"/>
              </w:rPr>
              <w:t xml:space="preserve">  </w:t>
            </w:r>
            <w:r w:rsidRPr="00AB7A5F">
              <w:rPr>
                <w:rFonts w:ascii="Times New Roman" w:eastAsia="宋体" w:hAnsi="Times New Roman" w:cs="Times New Roman"/>
                <w:bCs/>
                <w:sz w:val="24"/>
                <w:szCs w:val="32"/>
              </w:rPr>
              <w:t>化学平衡</w:t>
            </w:r>
          </w:p>
        </w:tc>
        <w:tc>
          <w:tcPr>
            <w:tcW w:w="1416" w:type="dxa"/>
            <w:vAlign w:val="center"/>
          </w:tcPr>
          <w:p w14:paraId="037A31A3"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讲授法</w:t>
            </w:r>
          </w:p>
        </w:tc>
        <w:tc>
          <w:tcPr>
            <w:tcW w:w="1985" w:type="dxa"/>
            <w:vAlign w:val="center"/>
          </w:tcPr>
          <w:p w14:paraId="01CEE77A"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课程目标</w:t>
            </w: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3</w:t>
            </w:r>
          </w:p>
        </w:tc>
        <w:tc>
          <w:tcPr>
            <w:tcW w:w="1276" w:type="dxa"/>
            <w:vAlign w:val="center"/>
          </w:tcPr>
          <w:p w14:paraId="7992DBB4"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4</w:t>
            </w:r>
          </w:p>
        </w:tc>
      </w:tr>
      <w:tr w:rsidR="00AB7A5F" w:rsidRPr="00AB7A5F" w14:paraId="303158F6" w14:textId="77777777" w:rsidTr="00AB7A5F">
        <w:trPr>
          <w:jc w:val="center"/>
        </w:trPr>
        <w:tc>
          <w:tcPr>
            <w:tcW w:w="4680" w:type="dxa"/>
            <w:vAlign w:val="center"/>
          </w:tcPr>
          <w:p w14:paraId="2C0F3E4F" w14:textId="77777777" w:rsidR="00AB7A5F" w:rsidRPr="00AB7A5F" w:rsidRDefault="00AB7A5F" w:rsidP="00AB7A5F">
            <w:pPr>
              <w:spacing w:line="440" w:lineRule="exact"/>
              <w:jc w:val="left"/>
              <w:rPr>
                <w:rFonts w:ascii="Times New Roman" w:eastAsia="宋体" w:hAnsi="Times New Roman" w:cs="Times New Roman"/>
                <w:bCs/>
                <w:sz w:val="24"/>
                <w:szCs w:val="24"/>
              </w:rPr>
            </w:pPr>
            <w:r w:rsidRPr="00AB7A5F">
              <w:rPr>
                <w:rFonts w:ascii="Times New Roman" w:eastAsia="宋体" w:hAnsi="Times New Roman" w:cs="Times New Roman"/>
                <w:bCs/>
                <w:color w:val="000000"/>
                <w:sz w:val="24"/>
                <w:szCs w:val="24"/>
              </w:rPr>
              <w:t>第四章</w:t>
            </w:r>
            <w:r w:rsidRPr="00AB7A5F">
              <w:rPr>
                <w:rFonts w:ascii="Times New Roman" w:eastAsia="宋体" w:hAnsi="Times New Roman" w:cs="Times New Roman"/>
                <w:bCs/>
                <w:color w:val="000000"/>
                <w:sz w:val="24"/>
                <w:szCs w:val="24"/>
              </w:rPr>
              <w:t xml:space="preserve">  </w:t>
            </w:r>
            <w:r w:rsidRPr="00AB7A5F">
              <w:rPr>
                <w:rFonts w:ascii="Times New Roman" w:eastAsia="宋体" w:hAnsi="Times New Roman" w:cs="Times New Roman"/>
                <w:bCs/>
                <w:sz w:val="24"/>
                <w:szCs w:val="32"/>
              </w:rPr>
              <w:t>化学反应速率</w:t>
            </w:r>
          </w:p>
        </w:tc>
        <w:tc>
          <w:tcPr>
            <w:tcW w:w="1416" w:type="dxa"/>
            <w:vAlign w:val="center"/>
          </w:tcPr>
          <w:p w14:paraId="5FD617BE"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讲授法</w:t>
            </w:r>
          </w:p>
        </w:tc>
        <w:tc>
          <w:tcPr>
            <w:tcW w:w="1985" w:type="dxa"/>
            <w:vAlign w:val="center"/>
          </w:tcPr>
          <w:p w14:paraId="3359B2F5"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课程目标</w:t>
            </w: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3</w:t>
            </w:r>
          </w:p>
        </w:tc>
        <w:tc>
          <w:tcPr>
            <w:tcW w:w="1276" w:type="dxa"/>
            <w:vAlign w:val="center"/>
          </w:tcPr>
          <w:p w14:paraId="1333402A"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4</w:t>
            </w:r>
          </w:p>
        </w:tc>
      </w:tr>
      <w:tr w:rsidR="00AB7A5F" w:rsidRPr="00AB7A5F" w14:paraId="6EE2FC32" w14:textId="77777777" w:rsidTr="00AB7A5F">
        <w:trPr>
          <w:jc w:val="center"/>
        </w:trPr>
        <w:tc>
          <w:tcPr>
            <w:tcW w:w="4680" w:type="dxa"/>
            <w:vAlign w:val="center"/>
          </w:tcPr>
          <w:p w14:paraId="702E96B4" w14:textId="77777777" w:rsidR="00AB7A5F" w:rsidRPr="00AB7A5F" w:rsidRDefault="00AB7A5F" w:rsidP="00AB7A5F">
            <w:pPr>
              <w:spacing w:line="440" w:lineRule="exact"/>
              <w:jc w:val="left"/>
              <w:rPr>
                <w:rFonts w:ascii="Times New Roman" w:eastAsia="宋体" w:hAnsi="Times New Roman" w:cs="Times New Roman"/>
                <w:bCs/>
                <w:sz w:val="24"/>
                <w:szCs w:val="24"/>
              </w:rPr>
            </w:pPr>
            <w:r w:rsidRPr="00AB7A5F">
              <w:rPr>
                <w:rFonts w:ascii="Times New Roman" w:eastAsia="宋体" w:hAnsi="Times New Roman" w:cs="Times New Roman"/>
                <w:bCs/>
                <w:color w:val="000000"/>
                <w:sz w:val="24"/>
                <w:szCs w:val="24"/>
              </w:rPr>
              <w:t>第五章</w:t>
            </w:r>
            <w:r w:rsidRPr="00AB7A5F">
              <w:rPr>
                <w:rFonts w:ascii="Times New Roman" w:eastAsia="宋体" w:hAnsi="Times New Roman" w:cs="Times New Roman"/>
                <w:bCs/>
                <w:color w:val="000000"/>
                <w:sz w:val="24"/>
                <w:szCs w:val="24"/>
              </w:rPr>
              <w:t xml:space="preserve">  </w:t>
            </w:r>
            <w:r w:rsidRPr="00AB7A5F">
              <w:rPr>
                <w:rFonts w:ascii="Times New Roman" w:eastAsia="宋体" w:hAnsi="Times New Roman" w:cs="Times New Roman"/>
                <w:bCs/>
                <w:sz w:val="24"/>
                <w:szCs w:val="32"/>
              </w:rPr>
              <w:t>酸碱解离平衡</w:t>
            </w:r>
          </w:p>
        </w:tc>
        <w:tc>
          <w:tcPr>
            <w:tcW w:w="1416" w:type="dxa"/>
            <w:vAlign w:val="center"/>
          </w:tcPr>
          <w:p w14:paraId="46586037"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讲授法</w:t>
            </w:r>
          </w:p>
        </w:tc>
        <w:tc>
          <w:tcPr>
            <w:tcW w:w="1985" w:type="dxa"/>
            <w:vAlign w:val="center"/>
          </w:tcPr>
          <w:p w14:paraId="476FFC51"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课程目标</w:t>
            </w: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3</w:t>
            </w:r>
          </w:p>
        </w:tc>
        <w:tc>
          <w:tcPr>
            <w:tcW w:w="1276" w:type="dxa"/>
            <w:vAlign w:val="center"/>
          </w:tcPr>
          <w:p w14:paraId="2E2F7D34"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6</w:t>
            </w:r>
          </w:p>
        </w:tc>
      </w:tr>
      <w:tr w:rsidR="00AB7A5F" w:rsidRPr="00AB7A5F" w14:paraId="6645D717" w14:textId="77777777" w:rsidTr="00AB7A5F">
        <w:trPr>
          <w:jc w:val="center"/>
        </w:trPr>
        <w:tc>
          <w:tcPr>
            <w:tcW w:w="4680" w:type="dxa"/>
            <w:vAlign w:val="center"/>
          </w:tcPr>
          <w:p w14:paraId="14F1EEDF" w14:textId="77777777" w:rsidR="00AB7A5F" w:rsidRPr="00AB7A5F" w:rsidRDefault="00AB7A5F" w:rsidP="00AB7A5F">
            <w:pPr>
              <w:adjustRightInd w:val="0"/>
              <w:snapToGrid w:val="0"/>
              <w:spacing w:line="440" w:lineRule="exact"/>
              <w:rPr>
                <w:rFonts w:ascii="Times New Roman" w:eastAsia="宋体" w:hAnsi="Times New Roman" w:cs="Times New Roman"/>
                <w:bCs/>
                <w:color w:val="000000"/>
                <w:sz w:val="24"/>
                <w:szCs w:val="24"/>
              </w:rPr>
            </w:pPr>
            <w:r w:rsidRPr="00AB7A5F">
              <w:rPr>
                <w:rFonts w:ascii="Times New Roman" w:eastAsia="宋体" w:hAnsi="Times New Roman" w:cs="Times New Roman"/>
                <w:bCs/>
                <w:color w:val="000000"/>
                <w:sz w:val="24"/>
                <w:szCs w:val="24"/>
              </w:rPr>
              <w:t>第六章</w:t>
            </w:r>
            <w:r w:rsidRPr="00AB7A5F">
              <w:rPr>
                <w:rFonts w:ascii="Times New Roman" w:eastAsia="宋体" w:hAnsi="Times New Roman" w:cs="Times New Roman"/>
                <w:bCs/>
                <w:color w:val="000000"/>
                <w:sz w:val="24"/>
                <w:szCs w:val="24"/>
              </w:rPr>
              <w:t xml:space="preserve">  </w:t>
            </w:r>
            <w:r w:rsidRPr="00AB7A5F">
              <w:rPr>
                <w:rFonts w:ascii="Times New Roman" w:eastAsia="宋体" w:hAnsi="Times New Roman" w:cs="Times New Roman"/>
                <w:bCs/>
                <w:color w:val="000000"/>
                <w:sz w:val="24"/>
                <w:szCs w:val="24"/>
              </w:rPr>
              <w:t>难溶强电解质的</w:t>
            </w:r>
            <w:r w:rsidRPr="00AB7A5F">
              <w:rPr>
                <w:rFonts w:ascii="Times New Roman" w:eastAsia="宋体" w:hAnsi="Times New Roman" w:cs="Times New Roman"/>
                <w:bCs/>
                <w:sz w:val="24"/>
                <w:szCs w:val="32"/>
              </w:rPr>
              <w:t>沉淀</w:t>
            </w:r>
            <w:r w:rsidRPr="00AB7A5F">
              <w:rPr>
                <w:rFonts w:ascii="Times New Roman" w:eastAsia="宋体" w:hAnsi="Times New Roman" w:cs="Times New Roman"/>
                <w:bCs/>
                <w:sz w:val="24"/>
                <w:szCs w:val="32"/>
              </w:rPr>
              <w:t>—</w:t>
            </w:r>
            <w:r w:rsidRPr="00AB7A5F">
              <w:rPr>
                <w:rFonts w:ascii="Times New Roman" w:eastAsia="宋体" w:hAnsi="Times New Roman" w:cs="Times New Roman"/>
                <w:bCs/>
                <w:sz w:val="24"/>
                <w:szCs w:val="32"/>
              </w:rPr>
              <w:t>溶解平衡</w:t>
            </w:r>
          </w:p>
        </w:tc>
        <w:tc>
          <w:tcPr>
            <w:tcW w:w="1416" w:type="dxa"/>
            <w:vAlign w:val="center"/>
          </w:tcPr>
          <w:p w14:paraId="20659949"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讲授法</w:t>
            </w:r>
          </w:p>
        </w:tc>
        <w:tc>
          <w:tcPr>
            <w:tcW w:w="1985" w:type="dxa"/>
            <w:vAlign w:val="center"/>
          </w:tcPr>
          <w:p w14:paraId="74B648CD"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课程目标</w:t>
            </w: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3</w:t>
            </w:r>
          </w:p>
        </w:tc>
        <w:tc>
          <w:tcPr>
            <w:tcW w:w="1276" w:type="dxa"/>
            <w:vAlign w:val="center"/>
          </w:tcPr>
          <w:p w14:paraId="1013E506"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3</w:t>
            </w:r>
          </w:p>
        </w:tc>
      </w:tr>
      <w:tr w:rsidR="00AB7A5F" w:rsidRPr="00AB7A5F" w14:paraId="254B5502" w14:textId="77777777" w:rsidTr="00AB7A5F">
        <w:trPr>
          <w:jc w:val="center"/>
        </w:trPr>
        <w:tc>
          <w:tcPr>
            <w:tcW w:w="4680" w:type="dxa"/>
            <w:vAlign w:val="center"/>
          </w:tcPr>
          <w:p w14:paraId="20598B3D" w14:textId="77777777" w:rsidR="00AB7A5F" w:rsidRPr="00AB7A5F" w:rsidRDefault="00AB7A5F" w:rsidP="00AB7A5F">
            <w:pPr>
              <w:spacing w:line="440" w:lineRule="exact"/>
              <w:jc w:val="left"/>
              <w:rPr>
                <w:rFonts w:ascii="Times New Roman" w:eastAsia="宋体" w:hAnsi="Times New Roman" w:cs="Times New Roman"/>
                <w:bCs/>
                <w:sz w:val="24"/>
                <w:szCs w:val="24"/>
              </w:rPr>
            </w:pPr>
            <w:r w:rsidRPr="00AB7A5F">
              <w:rPr>
                <w:rFonts w:ascii="Times New Roman" w:eastAsia="宋体" w:hAnsi="Times New Roman" w:cs="Times New Roman"/>
                <w:bCs/>
                <w:color w:val="000000"/>
                <w:sz w:val="24"/>
                <w:szCs w:val="24"/>
              </w:rPr>
              <w:t>第七章</w:t>
            </w:r>
            <w:r w:rsidRPr="00AB7A5F">
              <w:rPr>
                <w:rFonts w:ascii="Times New Roman" w:eastAsia="宋体" w:hAnsi="Times New Roman" w:cs="Times New Roman"/>
                <w:bCs/>
                <w:color w:val="000000"/>
                <w:sz w:val="24"/>
                <w:szCs w:val="24"/>
              </w:rPr>
              <w:t xml:space="preserve">  </w:t>
            </w:r>
            <w:r w:rsidRPr="00AB7A5F">
              <w:rPr>
                <w:rFonts w:ascii="Times New Roman" w:eastAsia="宋体" w:hAnsi="Times New Roman" w:cs="Times New Roman"/>
                <w:bCs/>
                <w:sz w:val="24"/>
                <w:szCs w:val="32"/>
              </w:rPr>
              <w:t>氧化还原反应和电极电势</w:t>
            </w:r>
          </w:p>
        </w:tc>
        <w:tc>
          <w:tcPr>
            <w:tcW w:w="1416" w:type="dxa"/>
            <w:vAlign w:val="center"/>
          </w:tcPr>
          <w:p w14:paraId="263F5CA2"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讲授法</w:t>
            </w:r>
          </w:p>
        </w:tc>
        <w:tc>
          <w:tcPr>
            <w:tcW w:w="1985" w:type="dxa"/>
            <w:vAlign w:val="center"/>
          </w:tcPr>
          <w:p w14:paraId="67D1728A"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课程目标</w:t>
            </w: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3</w:t>
            </w:r>
          </w:p>
        </w:tc>
        <w:tc>
          <w:tcPr>
            <w:tcW w:w="1276" w:type="dxa"/>
            <w:vAlign w:val="center"/>
          </w:tcPr>
          <w:p w14:paraId="6924011B"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7</w:t>
            </w:r>
          </w:p>
        </w:tc>
      </w:tr>
      <w:tr w:rsidR="00AB7A5F" w:rsidRPr="00AB7A5F" w14:paraId="65AC98C3" w14:textId="77777777" w:rsidTr="00AB7A5F">
        <w:trPr>
          <w:jc w:val="center"/>
        </w:trPr>
        <w:tc>
          <w:tcPr>
            <w:tcW w:w="4680" w:type="dxa"/>
            <w:vAlign w:val="center"/>
          </w:tcPr>
          <w:p w14:paraId="5608EC4A" w14:textId="77777777" w:rsidR="00AB7A5F" w:rsidRPr="00AB7A5F" w:rsidRDefault="00AB7A5F" w:rsidP="00AB7A5F">
            <w:pPr>
              <w:spacing w:line="440" w:lineRule="exact"/>
              <w:jc w:val="left"/>
              <w:rPr>
                <w:rFonts w:ascii="Times New Roman" w:eastAsia="宋体" w:hAnsi="Times New Roman" w:cs="Times New Roman"/>
                <w:bCs/>
                <w:sz w:val="24"/>
                <w:szCs w:val="24"/>
              </w:rPr>
            </w:pPr>
            <w:r w:rsidRPr="00AB7A5F">
              <w:rPr>
                <w:rFonts w:ascii="Times New Roman" w:eastAsia="宋体" w:hAnsi="Times New Roman" w:cs="Times New Roman"/>
                <w:bCs/>
                <w:color w:val="000000"/>
                <w:sz w:val="24"/>
                <w:szCs w:val="24"/>
              </w:rPr>
              <w:t>第八章</w:t>
            </w:r>
            <w:r w:rsidRPr="00AB7A5F">
              <w:rPr>
                <w:rFonts w:ascii="Times New Roman" w:eastAsia="宋体" w:hAnsi="Times New Roman" w:cs="Times New Roman"/>
                <w:bCs/>
                <w:color w:val="000000"/>
                <w:sz w:val="24"/>
                <w:szCs w:val="24"/>
              </w:rPr>
              <w:t xml:space="preserve">  </w:t>
            </w:r>
            <w:r w:rsidRPr="00AB7A5F">
              <w:rPr>
                <w:rFonts w:ascii="Times New Roman" w:eastAsia="宋体" w:hAnsi="Times New Roman" w:cs="Times New Roman"/>
                <w:bCs/>
                <w:sz w:val="24"/>
                <w:szCs w:val="32"/>
              </w:rPr>
              <w:t>原子结构和元素周期律</w:t>
            </w:r>
          </w:p>
        </w:tc>
        <w:tc>
          <w:tcPr>
            <w:tcW w:w="1416" w:type="dxa"/>
            <w:vAlign w:val="center"/>
          </w:tcPr>
          <w:p w14:paraId="2F5DC66C"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讲授法</w:t>
            </w:r>
          </w:p>
        </w:tc>
        <w:tc>
          <w:tcPr>
            <w:tcW w:w="1985" w:type="dxa"/>
            <w:vAlign w:val="center"/>
          </w:tcPr>
          <w:p w14:paraId="3B91FA85"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课程目标</w:t>
            </w: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3</w:t>
            </w:r>
          </w:p>
        </w:tc>
        <w:tc>
          <w:tcPr>
            <w:tcW w:w="1276" w:type="dxa"/>
            <w:vAlign w:val="center"/>
          </w:tcPr>
          <w:p w14:paraId="6A449F9F"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7</w:t>
            </w:r>
          </w:p>
        </w:tc>
      </w:tr>
      <w:tr w:rsidR="00AB7A5F" w:rsidRPr="00AB7A5F" w14:paraId="59796180" w14:textId="77777777" w:rsidTr="00AB7A5F">
        <w:trPr>
          <w:jc w:val="center"/>
        </w:trPr>
        <w:tc>
          <w:tcPr>
            <w:tcW w:w="4680" w:type="dxa"/>
            <w:vAlign w:val="center"/>
          </w:tcPr>
          <w:p w14:paraId="296D504D" w14:textId="77777777" w:rsidR="00AB7A5F" w:rsidRPr="00AB7A5F" w:rsidRDefault="00AB7A5F" w:rsidP="00AB7A5F">
            <w:pPr>
              <w:spacing w:line="440" w:lineRule="exact"/>
              <w:jc w:val="left"/>
              <w:rPr>
                <w:rFonts w:ascii="Times New Roman" w:eastAsia="宋体" w:hAnsi="Times New Roman" w:cs="Times New Roman"/>
                <w:bCs/>
                <w:sz w:val="24"/>
                <w:szCs w:val="24"/>
              </w:rPr>
            </w:pPr>
            <w:r w:rsidRPr="00AB7A5F">
              <w:rPr>
                <w:rFonts w:ascii="Times New Roman" w:eastAsia="宋体" w:hAnsi="Times New Roman" w:cs="Times New Roman"/>
                <w:bCs/>
                <w:color w:val="000000"/>
                <w:sz w:val="24"/>
                <w:szCs w:val="24"/>
              </w:rPr>
              <w:t>第九章</w:t>
            </w:r>
            <w:r w:rsidRPr="00AB7A5F">
              <w:rPr>
                <w:rFonts w:ascii="Times New Roman" w:eastAsia="宋体" w:hAnsi="Times New Roman" w:cs="Times New Roman"/>
                <w:bCs/>
                <w:color w:val="000000"/>
                <w:sz w:val="24"/>
                <w:szCs w:val="24"/>
              </w:rPr>
              <w:t xml:space="preserve">  </w:t>
            </w:r>
            <w:r w:rsidRPr="00AB7A5F">
              <w:rPr>
                <w:rFonts w:ascii="Times New Roman" w:eastAsia="宋体" w:hAnsi="Times New Roman" w:cs="Times New Roman"/>
                <w:bCs/>
                <w:sz w:val="24"/>
                <w:szCs w:val="32"/>
              </w:rPr>
              <w:t>离子键和离子晶体</w:t>
            </w:r>
          </w:p>
        </w:tc>
        <w:tc>
          <w:tcPr>
            <w:tcW w:w="1416" w:type="dxa"/>
            <w:vAlign w:val="center"/>
          </w:tcPr>
          <w:p w14:paraId="61AE5D2E"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讲授法</w:t>
            </w:r>
          </w:p>
        </w:tc>
        <w:tc>
          <w:tcPr>
            <w:tcW w:w="1985" w:type="dxa"/>
            <w:vAlign w:val="center"/>
          </w:tcPr>
          <w:p w14:paraId="7939AB4A"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课程目标</w:t>
            </w: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3</w:t>
            </w:r>
          </w:p>
        </w:tc>
        <w:tc>
          <w:tcPr>
            <w:tcW w:w="1276" w:type="dxa"/>
            <w:vAlign w:val="center"/>
          </w:tcPr>
          <w:p w14:paraId="346D2035"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3</w:t>
            </w:r>
          </w:p>
        </w:tc>
      </w:tr>
      <w:tr w:rsidR="00AB7A5F" w:rsidRPr="00AB7A5F" w14:paraId="0C984634" w14:textId="77777777" w:rsidTr="00AB7A5F">
        <w:trPr>
          <w:jc w:val="center"/>
        </w:trPr>
        <w:tc>
          <w:tcPr>
            <w:tcW w:w="4680" w:type="dxa"/>
            <w:vAlign w:val="center"/>
          </w:tcPr>
          <w:p w14:paraId="209E59F2" w14:textId="77777777" w:rsidR="00AB7A5F" w:rsidRPr="00AB7A5F" w:rsidRDefault="00AB7A5F" w:rsidP="00AB7A5F">
            <w:pPr>
              <w:spacing w:line="440" w:lineRule="exact"/>
              <w:jc w:val="left"/>
              <w:rPr>
                <w:rFonts w:ascii="Times New Roman" w:eastAsia="宋体" w:hAnsi="Times New Roman" w:cs="Times New Roman"/>
                <w:bCs/>
                <w:sz w:val="24"/>
                <w:szCs w:val="24"/>
              </w:rPr>
            </w:pPr>
            <w:r w:rsidRPr="00AB7A5F">
              <w:rPr>
                <w:rFonts w:ascii="Times New Roman" w:eastAsia="宋体" w:hAnsi="Times New Roman" w:cs="Times New Roman"/>
                <w:bCs/>
                <w:color w:val="000000"/>
                <w:sz w:val="24"/>
                <w:szCs w:val="24"/>
              </w:rPr>
              <w:t>第十章</w:t>
            </w:r>
            <w:r w:rsidRPr="00AB7A5F">
              <w:rPr>
                <w:rFonts w:ascii="Times New Roman" w:eastAsia="宋体" w:hAnsi="Times New Roman" w:cs="Times New Roman"/>
                <w:bCs/>
                <w:color w:val="000000"/>
                <w:sz w:val="24"/>
                <w:szCs w:val="24"/>
              </w:rPr>
              <w:t xml:space="preserve">  </w:t>
            </w:r>
            <w:r w:rsidRPr="00AB7A5F">
              <w:rPr>
                <w:rFonts w:ascii="Times New Roman" w:eastAsia="宋体" w:hAnsi="Times New Roman" w:cs="Times New Roman"/>
                <w:bCs/>
                <w:sz w:val="24"/>
                <w:szCs w:val="32"/>
              </w:rPr>
              <w:t>共价键与分子结构</w:t>
            </w:r>
            <w:r w:rsidRPr="00AB7A5F">
              <w:rPr>
                <w:rFonts w:ascii="Times New Roman" w:eastAsia="宋体" w:hAnsi="Times New Roman" w:cs="Times New Roman"/>
                <w:bCs/>
                <w:color w:val="000000"/>
                <w:sz w:val="24"/>
                <w:szCs w:val="24"/>
              </w:rPr>
              <w:t xml:space="preserve">  </w:t>
            </w:r>
          </w:p>
        </w:tc>
        <w:tc>
          <w:tcPr>
            <w:tcW w:w="1416" w:type="dxa"/>
            <w:vAlign w:val="center"/>
          </w:tcPr>
          <w:p w14:paraId="75ED68B6"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讲授法</w:t>
            </w:r>
          </w:p>
        </w:tc>
        <w:tc>
          <w:tcPr>
            <w:tcW w:w="1985" w:type="dxa"/>
            <w:vAlign w:val="center"/>
          </w:tcPr>
          <w:p w14:paraId="2FD6F91E" w14:textId="77777777" w:rsidR="00AB7A5F" w:rsidRPr="00AB7A5F" w:rsidRDefault="00AB7A5F" w:rsidP="00AB7A5F">
            <w:pPr>
              <w:spacing w:line="440" w:lineRule="exact"/>
              <w:jc w:val="center"/>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课程目标</w:t>
            </w:r>
            <w:r w:rsidRPr="00AB7A5F">
              <w:rPr>
                <w:rFonts w:ascii="Times New Roman" w:eastAsia="宋体" w:hAnsi="Times New Roman" w:cs="Times New Roman"/>
                <w:color w:val="000000"/>
                <w:sz w:val="24"/>
                <w:szCs w:val="24"/>
              </w:rPr>
              <w:t>1</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t>2</w:t>
            </w:r>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color w:val="000000"/>
                <w:sz w:val="24"/>
                <w:szCs w:val="24"/>
              </w:rPr>
              <w:lastRenderedPageBreak/>
              <w:t>3</w:t>
            </w:r>
          </w:p>
        </w:tc>
        <w:tc>
          <w:tcPr>
            <w:tcW w:w="1276" w:type="dxa"/>
            <w:vAlign w:val="center"/>
          </w:tcPr>
          <w:p w14:paraId="651FB60F"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lastRenderedPageBreak/>
              <w:t>8</w:t>
            </w:r>
          </w:p>
        </w:tc>
      </w:tr>
      <w:tr w:rsidR="00AB7A5F" w:rsidRPr="00AB7A5F" w14:paraId="1AA87866" w14:textId="77777777" w:rsidTr="00AB7A5F">
        <w:trPr>
          <w:jc w:val="center"/>
        </w:trPr>
        <w:tc>
          <w:tcPr>
            <w:tcW w:w="8081" w:type="dxa"/>
            <w:gridSpan w:val="3"/>
            <w:vAlign w:val="center"/>
          </w:tcPr>
          <w:p w14:paraId="48C9E9D2" w14:textId="77777777" w:rsidR="00AB7A5F" w:rsidRPr="00AB7A5F" w:rsidRDefault="00AB7A5F" w:rsidP="00AB7A5F">
            <w:pPr>
              <w:spacing w:line="440" w:lineRule="exact"/>
              <w:jc w:val="center"/>
              <w:rPr>
                <w:rFonts w:ascii="Times New Roman" w:eastAsia="宋体" w:hAnsi="Times New Roman" w:cs="Times New Roman"/>
                <w:b/>
                <w:sz w:val="24"/>
                <w:szCs w:val="24"/>
              </w:rPr>
            </w:pPr>
            <w:r w:rsidRPr="00AB7A5F">
              <w:rPr>
                <w:rFonts w:ascii="Times New Roman" w:eastAsia="宋体" w:hAnsi="Times New Roman" w:cs="Times New Roman"/>
                <w:b/>
                <w:sz w:val="24"/>
                <w:szCs w:val="24"/>
              </w:rPr>
              <w:t>合计</w:t>
            </w:r>
          </w:p>
        </w:tc>
        <w:tc>
          <w:tcPr>
            <w:tcW w:w="1276" w:type="dxa"/>
            <w:vAlign w:val="center"/>
          </w:tcPr>
          <w:p w14:paraId="051BE839" w14:textId="77777777" w:rsidR="00AB7A5F" w:rsidRPr="00AB7A5F" w:rsidRDefault="00AB7A5F" w:rsidP="00AB7A5F">
            <w:pPr>
              <w:spacing w:line="440" w:lineRule="exact"/>
              <w:jc w:val="center"/>
              <w:rPr>
                <w:rFonts w:ascii="Times New Roman" w:eastAsia="宋体" w:hAnsi="Times New Roman" w:cs="Times New Roman"/>
                <w:sz w:val="24"/>
                <w:szCs w:val="24"/>
              </w:rPr>
            </w:pPr>
            <w:r w:rsidRPr="00AB7A5F">
              <w:rPr>
                <w:rFonts w:ascii="Times New Roman" w:eastAsia="宋体" w:hAnsi="Times New Roman" w:cs="Times New Roman"/>
                <w:sz w:val="24"/>
                <w:szCs w:val="24"/>
              </w:rPr>
              <w:t>48</w:t>
            </w:r>
          </w:p>
        </w:tc>
      </w:tr>
    </w:tbl>
    <w:p w14:paraId="4C1FA28B"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四、课程考核及与课程学习目标的对应关系</w:t>
      </w:r>
    </w:p>
    <w:p w14:paraId="74AB7EE4"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AB7A5F" w:rsidRPr="00AB7A5F" w14:paraId="675C9BCE" w14:textId="77777777" w:rsidTr="00AB7A5F">
        <w:trPr>
          <w:trHeight w:val="515"/>
          <w:jc w:val="center"/>
        </w:trPr>
        <w:tc>
          <w:tcPr>
            <w:tcW w:w="1422" w:type="dxa"/>
          </w:tcPr>
          <w:p w14:paraId="722FED35" w14:textId="77777777" w:rsidR="00AB7A5F" w:rsidRPr="00AB7A5F" w:rsidRDefault="00AB7A5F" w:rsidP="00AB7A5F">
            <w:pPr>
              <w:spacing w:line="440" w:lineRule="exact"/>
              <w:jc w:val="center"/>
              <w:rPr>
                <w:rFonts w:ascii="Times New Roman" w:eastAsia="宋体" w:hAnsi="Times New Roman" w:cs="Times New Roman"/>
                <w:b/>
                <w:sz w:val="24"/>
                <w:szCs w:val="24"/>
              </w:rPr>
            </w:pPr>
            <w:r w:rsidRPr="00AB7A5F">
              <w:rPr>
                <w:rFonts w:ascii="Times New Roman" w:eastAsia="宋体" w:hAnsi="Times New Roman" w:cs="Times New Roman"/>
                <w:b/>
                <w:sz w:val="24"/>
                <w:szCs w:val="24"/>
              </w:rPr>
              <w:t>课程目标</w:t>
            </w:r>
          </w:p>
        </w:tc>
        <w:tc>
          <w:tcPr>
            <w:tcW w:w="7918" w:type="dxa"/>
            <w:vAlign w:val="center"/>
          </w:tcPr>
          <w:p w14:paraId="33ABF82D" w14:textId="77777777" w:rsidR="00AB7A5F" w:rsidRPr="00AB7A5F" w:rsidRDefault="00AB7A5F" w:rsidP="00AB7A5F">
            <w:pPr>
              <w:spacing w:line="440" w:lineRule="exact"/>
              <w:jc w:val="center"/>
              <w:rPr>
                <w:rFonts w:ascii="Times New Roman" w:eastAsia="宋体" w:hAnsi="Times New Roman" w:cs="Times New Roman"/>
                <w:b/>
                <w:sz w:val="24"/>
                <w:szCs w:val="24"/>
              </w:rPr>
            </w:pPr>
            <w:r w:rsidRPr="00AB7A5F">
              <w:rPr>
                <w:rFonts w:ascii="Times New Roman" w:eastAsia="宋体" w:hAnsi="Times New Roman" w:cs="Times New Roman"/>
                <w:b/>
                <w:sz w:val="24"/>
                <w:szCs w:val="24"/>
              </w:rPr>
              <w:t>考核内容</w:t>
            </w:r>
          </w:p>
        </w:tc>
      </w:tr>
      <w:tr w:rsidR="00AB7A5F" w:rsidRPr="00AB7A5F" w14:paraId="6ABD09D4" w14:textId="77777777" w:rsidTr="00AB7A5F">
        <w:trPr>
          <w:jc w:val="center"/>
        </w:trPr>
        <w:tc>
          <w:tcPr>
            <w:tcW w:w="1422" w:type="dxa"/>
            <w:vAlign w:val="center"/>
          </w:tcPr>
          <w:p w14:paraId="66D21649" w14:textId="77777777" w:rsidR="00AB7A5F" w:rsidRPr="00AB7A5F" w:rsidRDefault="00AB7A5F" w:rsidP="00AB7A5F">
            <w:pPr>
              <w:spacing w:line="440" w:lineRule="exact"/>
              <w:jc w:val="center"/>
              <w:rPr>
                <w:rFonts w:ascii="Times New Roman" w:eastAsia="宋体" w:hAnsi="Times New Roman" w:cs="Times New Roman"/>
                <w:bCs/>
                <w:sz w:val="24"/>
                <w:szCs w:val="24"/>
              </w:rPr>
            </w:pPr>
            <w:r w:rsidRPr="00AB7A5F">
              <w:rPr>
                <w:rFonts w:ascii="Times New Roman" w:eastAsia="宋体" w:hAnsi="Times New Roman" w:cs="Times New Roman"/>
                <w:bCs/>
                <w:sz w:val="24"/>
                <w:szCs w:val="24"/>
              </w:rPr>
              <w:t>课程目标</w:t>
            </w:r>
            <w:r w:rsidRPr="00AB7A5F">
              <w:rPr>
                <w:rFonts w:ascii="Times New Roman" w:eastAsia="宋体" w:hAnsi="Times New Roman" w:cs="Times New Roman"/>
                <w:bCs/>
                <w:sz w:val="24"/>
                <w:szCs w:val="24"/>
              </w:rPr>
              <w:t>1</w:t>
            </w:r>
            <w:r w:rsidRPr="00AB7A5F">
              <w:rPr>
                <w:rFonts w:ascii="Times New Roman" w:eastAsia="宋体" w:hAnsi="Times New Roman" w:cs="Times New Roman"/>
                <w:bCs/>
                <w:sz w:val="24"/>
                <w:szCs w:val="24"/>
              </w:rPr>
              <w:t>、</w:t>
            </w:r>
            <w:r w:rsidRPr="00AB7A5F">
              <w:rPr>
                <w:rFonts w:ascii="Times New Roman" w:eastAsia="宋体" w:hAnsi="Times New Roman" w:cs="Times New Roman"/>
                <w:bCs/>
                <w:sz w:val="24"/>
                <w:szCs w:val="24"/>
              </w:rPr>
              <w:t>2</w:t>
            </w:r>
            <w:r w:rsidRPr="00AB7A5F">
              <w:rPr>
                <w:rFonts w:ascii="Times New Roman" w:eastAsia="宋体" w:hAnsi="Times New Roman" w:cs="Times New Roman"/>
                <w:bCs/>
                <w:sz w:val="24"/>
                <w:szCs w:val="24"/>
              </w:rPr>
              <w:t>、</w:t>
            </w:r>
            <w:r w:rsidRPr="00AB7A5F">
              <w:rPr>
                <w:rFonts w:ascii="Times New Roman" w:eastAsia="宋体" w:hAnsi="Times New Roman" w:cs="Times New Roman"/>
                <w:bCs/>
                <w:sz w:val="24"/>
                <w:szCs w:val="24"/>
              </w:rPr>
              <w:t>3</w:t>
            </w:r>
          </w:p>
        </w:tc>
        <w:tc>
          <w:tcPr>
            <w:tcW w:w="7918" w:type="dxa"/>
            <w:vAlign w:val="center"/>
          </w:tcPr>
          <w:p w14:paraId="24ADD04E" w14:textId="77777777" w:rsidR="00AB7A5F" w:rsidRPr="00AB7A5F" w:rsidRDefault="00AB7A5F" w:rsidP="00AB7A5F">
            <w:pPr>
              <w:adjustRightInd w:val="0"/>
              <w:snapToGrid w:val="0"/>
              <w:spacing w:line="440" w:lineRule="exact"/>
              <w:ind w:firstLineChars="300" w:firstLine="723"/>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第二章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color w:val="000000"/>
                <w:kern w:val="0"/>
                <w:sz w:val="24"/>
                <w:szCs w:val="32"/>
              </w:rPr>
              <w:t>化学热力学基础</w:t>
            </w:r>
            <w:r w:rsidRPr="00AB7A5F">
              <w:rPr>
                <w:rFonts w:ascii="Times New Roman" w:eastAsia="宋体" w:hAnsi="Times New Roman" w:cs="Times New Roman"/>
                <w:b/>
                <w:color w:val="000000"/>
                <w:sz w:val="24"/>
                <w:szCs w:val="24"/>
              </w:rPr>
              <w:t xml:space="preserve"> </w:t>
            </w:r>
          </w:p>
          <w:p w14:paraId="3B1CF563" w14:textId="77777777" w:rsidR="00AB7A5F" w:rsidRPr="00AB7A5F" w:rsidRDefault="00AB7A5F" w:rsidP="00AB7A5F">
            <w:pPr>
              <w:adjustRightInd w:val="0"/>
              <w:snapToGrid w:val="0"/>
              <w:spacing w:line="440" w:lineRule="exact"/>
              <w:ind w:firstLine="480"/>
              <w:rPr>
                <w:rFonts w:ascii="Times New Roman" w:eastAsia="宋体" w:hAnsi="Times New Roman" w:cs="Times New Roman"/>
                <w:sz w:val="24"/>
                <w:szCs w:val="21"/>
              </w:rPr>
            </w:pPr>
            <w:r w:rsidRPr="00AB7A5F">
              <w:rPr>
                <w:rFonts w:ascii="宋体" w:eastAsia="宋体" w:hAnsi="宋体" w:cs="宋体" w:hint="eastAsia"/>
                <w:sz w:val="24"/>
                <w:szCs w:val="24"/>
              </w:rPr>
              <w:t>①</w:t>
            </w:r>
            <w:proofErr w:type="gramStart"/>
            <w:r w:rsidRPr="00AB7A5F">
              <w:rPr>
                <w:rFonts w:ascii="Times New Roman" w:eastAsia="宋体" w:hAnsi="Times New Roman" w:cs="Times New Roman"/>
                <w:color w:val="000000"/>
                <w:sz w:val="24"/>
                <w:szCs w:val="24"/>
              </w:rPr>
              <w:t>焓</w:t>
            </w:r>
            <w:proofErr w:type="gramEnd"/>
            <w:r w:rsidRPr="00AB7A5F">
              <w:rPr>
                <w:rFonts w:ascii="Times New Roman" w:eastAsia="宋体" w:hAnsi="Times New Roman" w:cs="Times New Roman"/>
                <w:color w:val="000000"/>
                <w:sz w:val="24"/>
                <w:szCs w:val="24"/>
              </w:rPr>
              <w:t>和</w:t>
            </w:r>
            <w:proofErr w:type="gramStart"/>
            <w:r w:rsidRPr="00AB7A5F">
              <w:rPr>
                <w:rFonts w:ascii="Times New Roman" w:eastAsia="宋体" w:hAnsi="Times New Roman" w:cs="Times New Roman"/>
                <w:color w:val="000000"/>
                <w:sz w:val="24"/>
                <w:szCs w:val="24"/>
              </w:rPr>
              <w:t>焓</w:t>
            </w:r>
            <w:proofErr w:type="gramEnd"/>
            <w:r w:rsidRPr="00AB7A5F">
              <w:rPr>
                <w:rFonts w:ascii="Times New Roman" w:eastAsia="宋体" w:hAnsi="Times New Roman" w:cs="Times New Roman"/>
                <w:color w:val="000000"/>
                <w:sz w:val="24"/>
                <w:szCs w:val="24"/>
              </w:rPr>
              <w:t>变、熵和</w:t>
            </w:r>
            <w:proofErr w:type="gramStart"/>
            <w:r w:rsidRPr="00AB7A5F">
              <w:rPr>
                <w:rFonts w:ascii="Times New Roman" w:eastAsia="宋体" w:hAnsi="Times New Roman" w:cs="Times New Roman"/>
                <w:color w:val="000000"/>
                <w:sz w:val="24"/>
                <w:szCs w:val="24"/>
              </w:rPr>
              <w:t>熵变</w:t>
            </w:r>
            <w:proofErr w:type="gramEnd"/>
            <w:r w:rsidRPr="00AB7A5F">
              <w:rPr>
                <w:rFonts w:ascii="Times New Roman" w:eastAsia="宋体" w:hAnsi="Times New Roman" w:cs="Times New Roman"/>
                <w:color w:val="000000"/>
                <w:sz w:val="24"/>
                <w:szCs w:val="24"/>
              </w:rPr>
              <w:t>、</w:t>
            </w:r>
            <w:r w:rsidRPr="00AB7A5F">
              <w:rPr>
                <w:rFonts w:ascii="Times New Roman" w:eastAsia="宋体" w:hAnsi="Times New Roman" w:cs="Times New Roman"/>
                <w:sz w:val="24"/>
                <w:szCs w:val="21"/>
              </w:rPr>
              <w:t>吉布斯自由能和吉布斯自由能变的计算</w:t>
            </w:r>
          </w:p>
          <w:p w14:paraId="60FEA184" w14:textId="77777777" w:rsidR="00AB7A5F" w:rsidRPr="00AB7A5F" w:rsidRDefault="00AB7A5F" w:rsidP="00AB7A5F">
            <w:pPr>
              <w:adjustRightInd w:val="0"/>
              <w:snapToGrid w:val="0"/>
              <w:spacing w:line="440" w:lineRule="exact"/>
              <w:ind w:firstLine="480"/>
              <w:rPr>
                <w:rFonts w:ascii="Times New Roman" w:eastAsia="宋体" w:hAnsi="Times New Roman" w:cs="Times New Roman"/>
                <w:sz w:val="24"/>
                <w:szCs w:val="21"/>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2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②</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sz w:val="24"/>
                <w:szCs w:val="24"/>
              </w:rPr>
              <w:t>利用吉布斯</w:t>
            </w:r>
            <w:r w:rsidRPr="00AB7A5F">
              <w:rPr>
                <w:rFonts w:ascii="Times New Roman" w:eastAsia="宋体" w:hAnsi="Times New Roman" w:cs="Times New Roman"/>
                <w:sz w:val="24"/>
                <w:szCs w:val="24"/>
              </w:rPr>
              <w:t>-</w:t>
            </w:r>
            <w:proofErr w:type="gramStart"/>
            <w:r w:rsidRPr="00AB7A5F">
              <w:rPr>
                <w:rFonts w:ascii="Times New Roman" w:eastAsia="宋体" w:hAnsi="Times New Roman" w:cs="Times New Roman"/>
                <w:sz w:val="24"/>
                <w:szCs w:val="24"/>
              </w:rPr>
              <w:t>亥姆霍兹</w:t>
            </w:r>
            <w:proofErr w:type="gramEnd"/>
            <w:r w:rsidRPr="00AB7A5F">
              <w:rPr>
                <w:rFonts w:ascii="Times New Roman" w:eastAsia="宋体" w:hAnsi="Times New Roman" w:cs="Times New Roman"/>
                <w:sz w:val="24"/>
                <w:szCs w:val="24"/>
              </w:rPr>
              <w:t>公式</w:t>
            </w:r>
            <w:r w:rsidRPr="00AB7A5F">
              <w:rPr>
                <w:rFonts w:ascii="Times New Roman" w:eastAsia="宋体" w:hAnsi="Times New Roman" w:cs="Times New Roman"/>
                <w:sz w:val="24"/>
                <w:szCs w:val="21"/>
              </w:rPr>
              <w:t>判断</w:t>
            </w:r>
            <w:r w:rsidRPr="00AB7A5F">
              <w:rPr>
                <w:rFonts w:ascii="Times New Roman" w:eastAsia="宋体" w:hAnsi="Times New Roman" w:cs="Times New Roman"/>
                <w:sz w:val="24"/>
                <w:szCs w:val="24"/>
              </w:rPr>
              <w:t>化学</w:t>
            </w:r>
            <w:r w:rsidRPr="00AB7A5F">
              <w:rPr>
                <w:rFonts w:ascii="Times New Roman" w:eastAsia="宋体" w:hAnsi="Times New Roman" w:cs="Times New Roman"/>
                <w:sz w:val="24"/>
                <w:szCs w:val="21"/>
              </w:rPr>
              <w:t>反应进行的方向，计算反应自发进行的最高温度或最低温度</w:t>
            </w:r>
          </w:p>
          <w:p w14:paraId="23873AE4"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3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③</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sz w:val="24"/>
                <w:szCs w:val="24"/>
              </w:rPr>
              <w:t>利用</w:t>
            </w:r>
            <w:r w:rsidRPr="00AB7A5F">
              <w:rPr>
                <w:rFonts w:ascii="Times New Roman" w:eastAsia="宋体" w:hAnsi="Times New Roman" w:cs="Times New Roman"/>
                <w:color w:val="000000"/>
                <w:sz w:val="24"/>
                <w:szCs w:val="24"/>
              </w:rPr>
              <w:t>化学反应等温式，</w:t>
            </w:r>
            <w:proofErr w:type="gramStart"/>
            <w:r w:rsidRPr="00AB7A5F">
              <w:rPr>
                <w:rFonts w:ascii="Times New Roman" w:eastAsia="宋体" w:hAnsi="Times New Roman" w:cs="Times New Roman"/>
                <w:color w:val="000000"/>
                <w:sz w:val="24"/>
                <w:szCs w:val="24"/>
              </w:rPr>
              <w:t>判断非</w:t>
            </w:r>
            <w:proofErr w:type="gramEnd"/>
            <w:r w:rsidRPr="00AB7A5F">
              <w:rPr>
                <w:rFonts w:ascii="Times New Roman" w:eastAsia="宋体" w:hAnsi="Times New Roman" w:cs="Times New Roman"/>
                <w:color w:val="000000"/>
                <w:sz w:val="24"/>
                <w:szCs w:val="24"/>
              </w:rPr>
              <w:t>标准状态下</w:t>
            </w:r>
            <w:r w:rsidRPr="00AB7A5F">
              <w:rPr>
                <w:rFonts w:ascii="Times New Roman" w:eastAsia="宋体" w:hAnsi="Times New Roman" w:cs="Times New Roman"/>
                <w:sz w:val="24"/>
                <w:szCs w:val="24"/>
              </w:rPr>
              <w:t>化学</w:t>
            </w:r>
            <w:r w:rsidRPr="00AB7A5F">
              <w:rPr>
                <w:rFonts w:ascii="Times New Roman" w:eastAsia="宋体" w:hAnsi="Times New Roman" w:cs="Times New Roman"/>
                <w:sz w:val="24"/>
                <w:szCs w:val="21"/>
              </w:rPr>
              <w:t>反应进行的方向</w:t>
            </w:r>
          </w:p>
          <w:p w14:paraId="15EB12EC" w14:textId="77777777" w:rsidR="00AB7A5F" w:rsidRPr="00AB7A5F" w:rsidRDefault="00AB7A5F" w:rsidP="00AB7A5F">
            <w:pPr>
              <w:adjustRightInd w:val="0"/>
              <w:snapToGrid w:val="0"/>
              <w:spacing w:line="440" w:lineRule="exact"/>
              <w:ind w:firstLineChars="300" w:firstLine="723"/>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第三章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sz w:val="24"/>
                <w:szCs w:val="32"/>
              </w:rPr>
              <w:t>化学平衡</w:t>
            </w:r>
            <w:r w:rsidRPr="00AB7A5F">
              <w:rPr>
                <w:rFonts w:ascii="Times New Roman" w:eastAsia="宋体" w:hAnsi="Times New Roman" w:cs="Times New Roman"/>
                <w:b/>
                <w:color w:val="000000"/>
                <w:sz w:val="24"/>
                <w:szCs w:val="24"/>
              </w:rPr>
              <w:t xml:space="preserve">  </w:t>
            </w:r>
          </w:p>
          <w:p w14:paraId="7641B642"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w:t>
            </w:r>
            <w:r w:rsidRPr="00AB7A5F">
              <w:rPr>
                <w:rFonts w:ascii="宋体" w:eastAsia="宋体" w:hAnsi="宋体" w:cs="宋体" w:hint="eastAsia"/>
                <w:sz w:val="24"/>
                <w:szCs w:val="24"/>
              </w:rPr>
              <w:t>①</w:t>
            </w:r>
            <w:r w:rsidRPr="00AB7A5F">
              <w:rPr>
                <w:rFonts w:ascii="Times New Roman" w:eastAsia="宋体" w:hAnsi="Times New Roman" w:cs="Times New Roman"/>
                <w:sz w:val="24"/>
                <w:szCs w:val="24"/>
              </w:rPr>
              <w:t>利用</w:t>
            </w:r>
            <w:r w:rsidRPr="00AB7A5F">
              <w:rPr>
                <w:rFonts w:ascii="Times New Roman" w:eastAsia="宋体" w:hAnsi="Times New Roman" w:cs="Times New Roman"/>
                <w:color w:val="000000"/>
                <w:sz w:val="24"/>
                <w:szCs w:val="24"/>
              </w:rPr>
              <w:t>标准平衡常数与反应标准摩尔</w:t>
            </w:r>
            <w:r w:rsidRPr="00AB7A5F">
              <w:rPr>
                <w:rFonts w:ascii="Times New Roman" w:eastAsia="宋体" w:hAnsi="Times New Roman" w:cs="Times New Roman"/>
                <w:sz w:val="24"/>
                <w:szCs w:val="21"/>
              </w:rPr>
              <w:t>吉布斯自由能变</w:t>
            </w:r>
            <w:r w:rsidRPr="00AB7A5F">
              <w:rPr>
                <w:rFonts w:ascii="Times New Roman" w:eastAsia="宋体" w:hAnsi="Times New Roman" w:cs="Times New Roman"/>
                <w:color w:val="000000"/>
                <w:sz w:val="24"/>
                <w:szCs w:val="24"/>
              </w:rPr>
              <w:t>的关系，计算标准平衡常数</w:t>
            </w:r>
          </w:p>
          <w:p w14:paraId="51F9E99A" w14:textId="77777777" w:rsidR="00AB7A5F" w:rsidRPr="00AB7A5F" w:rsidRDefault="00AB7A5F" w:rsidP="00AB7A5F">
            <w:pPr>
              <w:adjustRightInd w:val="0"/>
              <w:snapToGrid w:val="0"/>
              <w:spacing w:line="440" w:lineRule="exact"/>
              <w:ind w:firstLine="480"/>
              <w:rPr>
                <w:rFonts w:ascii="Times New Roman" w:eastAsia="宋体" w:hAnsi="Times New Roman" w:cs="Times New Roman"/>
                <w:bCs/>
                <w:color w:val="000000"/>
                <w:kern w:val="0"/>
                <w:sz w:val="24"/>
                <w:szCs w:val="21"/>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2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②</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sz w:val="24"/>
                <w:szCs w:val="24"/>
              </w:rPr>
              <w:t>利用</w:t>
            </w:r>
            <w:r w:rsidRPr="00AB7A5F">
              <w:rPr>
                <w:rFonts w:ascii="Times New Roman" w:eastAsia="宋体" w:hAnsi="Times New Roman" w:cs="Times New Roman"/>
                <w:color w:val="000000"/>
                <w:sz w:val="24"/>
                <w:szCs w:val="21"/>
              </w:rPr>
              <w:t>浓度、压力和</w:t>
            </w:r>
            <w:r w:rsidRPr="00AB7A5F">
              <w:rPr>
                <w:rFonts w:ascii="Times New Roman" w:eastAsia="宋体" w:hAnsi="Times New Roman" w:cs="Times New Roman"/>
                <w:bCs/>
                <w:color w:val="000000"/>
                <w:kern w:val="0"/>
                <w:sz w:val="24"/>
                <w:szCs w:val="21"/>
              </w:rPr>
              <w:t>温度对化学平衡的影响，判断化学平衡的移动方向</w:t>
            </w:r>
          </w:p>
          <w:p w14:paraId="7B839AE0"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3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③</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sz w:val="24"/>
                <w:szCs w:val="24"/>
              </w:rPr>
              <w:t>利用</w:t>
            </w:r>
            <w:r w:rsidRPr="00AB7A5F">
              <w:rPr>
                <w:rFonts w:ascii="Times New Roman" w:eastAsia="宋体" w:hAnsi="Times New Roman" w:cs="Times New Roman"/>
                <w:bCs/>
                <w:color w:val="000000"/>
                <w:kern w:val="0"/>
                <w:sz w:val="24"/>
                <w:szCs w:val="21"/>
              </w:rPr>
              <w:t>温度对化学平衡的影响，计算不同温度时反应的标准平衡常数</w:t>
            </w:r>
          </w:p>
          <w:p w14:paraId="02D96CBA" w14:textId="77777777" w:rsidR="00AB7A5F" w:rsidRPr="00AB7A5F" w:rsidRDefault="00AB7A5F" w:rsidP="00AB7A5F">
            <w:pPr>
              <w:adjustRightInd w:val="0"/>
              <w:snapToGrid w:val="0"/>
              <w:spacing w:line="440" w:lineRule="exact"/>
              <w:ind w:firstLineChars="300" w:firstLine="723"/>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第四章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sz w:val="24"/>
                <w:szCs w:val="32"/>
              </w:rPr>
              <w:t>化学反应速率</w:t>
            </w:r>
            <w:r w:rsidRPr="00AB7A5F">
              <w:rPr>
                <w:rFonts w:ascii="Times New Roman" w:eastAsia="宋体" w:hAnsi="Times New Roman" w:cs="Times New Roman"/>
                <w:b/>
                <w:color w:val="000000"/>
                <w:sz w:val="24"/>
                <w:szCs w:val="24"/>
              </w:rPr>
              <w:t xml:space="preserve">  </w:t>
            </w:r>
          </w:p>
          <w:p w14:paraId="6A2CDE08"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w:t>
            </w:r>
            <w:r w:rsidRPr="00AB7A5F">
              <w:rPr>
                <w:rFonts w:ascii="宋体" w:eastAsia="宋体" w:hAnsi="宋体" w:cs="宋体" w:hint="eastAsia"/>
                <w:sz w:val="24"/>
                <w:szCs w:val="24"/>
              </w:rPr>
              <w:t>①</w:t>
            </w:r>
            <w:r w:rsidRPr="00AB7A5F">
              <w:rPr>
                <w:rFonts w:ascii="Times New Roman" w:eastAsia="宋体" w:hAnsi="Times New Roman" w:cs="Times New Roman"/>
                <w:sz w:val="24"/>
                <w:szCs w:val="24"/>
              </w:rPr>
              <w:t>利用质量作用定律书写元反应的速率方程</w:t>
            </w:r>
          </w:p>
          <w:p w14:paraId="564EB72B" w14:textId="77777777" w:rsidR="00AB7A5F" w:rsidRPr="00AB7A5F" w:rsidRDefault="00AB7A5F" w:rsidP="00AB7A5F">
            <w:pPr>
              <w:adjustRightInd w:val="0"/>
              <w:snapToGrid w:val="0"/>
              <w:spacing w:line="440" w:lineRule="exact"/>
              <w:ind w:firstLine="480"/>
              <w:rPr>
                <w:rFonts w:ascii="Times New Roman" w:eastAsia="宋体" w:hAnsi="Times New Roman" w:cs="Times New Roman"/>
                <w:bCs/>
                <w:color w:val="000000"/>
                <w:kern w:val="0"/>
                <w:sz w:val="24"/>
                <w:szCs w:val="21"/>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2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②</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sz w:val="24"/>
                <w:szCs w:val="24"/>
              </w:rPr>
              <w:t>利用实验数据计算并判断反应级数，写出速率方程</w:t>
            </w:r>
          </w:p>
          <w:p w14:paraId="24D5CA6F"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3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③</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sz w:val="24"/>
                <w:szCs w:val="24"/>
              </w:rPr>
              <w:t>利用阿伦尼乌斯方程判断活化能、温度对反应速率的影响</w:t>
            </w:r>
          </w:p>
          <w:p w14:paraId="38C3C7AF" w14:textId="77777777" w:rsidR="00AB7A5F" w:rsidRPr="00AB7A5F" w:rsidRDefault="00AB7A5F" w:rsidP="00AB7A5F">
            <w:pPr>
              <w:adjustRightInd w:val="0"/>
              <w:snapToGrid w:val="0"/>
              <w:spacing w:line="440" w:lineRule="exact"/>
              <w:ind w:firstLineChars="300" w:firstLine="723"/>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第五章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bCs/>
                <w:sz w:val="24"/>
                <w:szCs w:val="32"/>
              </w:rPr>
              <w:t>酸碱解离平衡</w:t>
            </w:r>
            <w:r w:rsidRPr="00AB7A5F">
              <w:rPr>
                <w:rFonts w:ascii="Times New Roman" w:eastAsia="宋体" w:hAnsi="Times New Roman" w:cs="Times New Roman"/>
                <w:b/>
                <w:color w:val="000000"/>
                <w:sz w:val="24"/>
                <w:szCs w:val="24"/>
              </w:rPr>
              <w:t xml:space="preserve"> </w:t>
            </w:r>
          </w:p>
          <w:p w14:paraId="49D069BA"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宋体" w:eastAsia="宋体" w:hAnsi="宋体" w:cs="宋体" w:hint="eastAsia"/>
                <w:sz w:val="24"/>
                <w:szCs w:val="24"/>
              </w:rPr>
              <w:t>①</w:t>
            </w:r>
            <w:r w:rsidRPr="00AB7A5F">
              <w:rPr>
                <w:rFonts w:ascii="Times New Roman" w:eastAsia="宋体" w:hAnsi="Times New Roman" w:cs="Times New Roman"/>
                <w:sz w:val="24"/>
                <w:szCs w:val="21"/>
              </w:rPr>
              <w:t>弱酸、弱碱溶液有关离子浓度的计算以及近似计算的条件</w:t>
            </w:r>
          </w:p>
          <w:p w14:paraId="5B74E6A6" w14:textId="77777777" w:rsidR="00AB7A5F" w:rsidRPr="00AB7A5F" w:rsidRDefault="00AB7A5F" w:rsidP="00AB7A5F">
            <w:pPr>
              <w:adjustRightInd w:val="0"/>
              <w:snapToGrid w:val="0"/>
              <w:spacing w:line="440" w:lineRule="exact"/>
              <w:ind w:firstLine="480"/>
              <w:rPr>
                <w:rFonts w:ascii="Times New Roman" w:eastAsia="宋体" w:hAnsi="Times New Roman" w:cs="Times New Roman"/>
                <w:bCs/>
                <w:color w:val="000000"/>
                <w:kern w:val="0"/>
                <w:sz w:val="24"/>
                <w:szCs w:val="21"/>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2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②</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bCs/>
                <w:color w:val="000000"/>
                <w:kern w:val="0"/>
                <w:sz w:val="24"/>
                <w:szCs w:val="21"/>
              </w:rPr>
              <w:t>利用缓冲溶液的定义判断缓冲溶液，确定缓冲溶液的缓冲范围</w:t>
            </w:r>
          </w:p>
          <w:p w14:paraId="2EC16598"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3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③</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sz w:val="24"/>
                <w:szCs w:val="24"/>
              </w:rPr>
              <w:t>利用缓冲公式计算缓冲溶液的</w:t>
            </w:r>
            <w:r w:rsidRPr="00AB7A5F">
              <w:rPr>
                <w:rFonts w:ascii="Times New Roman" w:eastAsia="宋体" w:hAnsi="Times New Roman" w:cs="Times New Roman"/>
                <w:sz w:val="24"/>
                <w:szCs w:val="24"/>
              </w:rPr>
              <w:t>pH</w:t>
            </w:r>
            <w:r w:rsidRPr="00AB7A5F">
              <w:rPr>
                <w:rFonts w:ascii="Times New Roman" w:eastAsia="宋体" w:hAnsi="Times New Roman" w:cs="Times New Roman"/>
                <w:sz w:val="24"/>
                <w:szCs w:val="24"/>
              </w:rPr>
              <w:t>并会配制缓冲溶液</w:t>
            </w:r>
          </w:p>
          <w:p w14:paraId="4C63324A" w14:textId="77777777" w:rsidR="00AB7A5F" w:rsidRPr="00AB7A5F" w:rsidRDefault="00AB7A5F" w:rsidP="00AB7A5F">
            <w:pPr>
              <w:adjustRightInd w:val="0"/>
              <w:snapToGrid w:val="0"/>
              <w:spacing w:line="440" w:lineRule="exact"/>
              <w:ind w:firstLineChars="300" w:firstLine="723"/>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第六章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color w:val="000000"/>
                <w:sz w:val="24"/>
                <w:szCs w:val="24"/>
              </w:rPr>
              <w:t>难溶强电解质的</w:t>
            </w:r>
            <w:r w:rsidRPr="00AB7A5F">
              <w:rPr>
                <w:rFonts w:ascii="Times New Roman" w:eastAsia="宋体" w:hAnsi="Times New Roman" w:cs="Times New Roman"/>
                <w:b/>
                <w:bCs/>
                <w:sz w:val="24"/>
                <w:szCs w:val="32"/>
              </w:rPr>
              <w:t>沉淀</w:t>
            </w:r>
            <w:r w:rsidRPr="00AB7A5F">
              <w:rPr>
                <w:rFonts w:ascii="Times New Roman" w:eastAsia="宋体" w:hAnsi="Times New Roman" w:cs="Times New Roman"/>
                <w:b/>
                <w:bCs/>
                <w:sz w:val="24"/>
                <w:szCs w:val="32"/>
              </w:rPr>
              <w:t>—</w:t>
            </w:r>
            <w:r w:rsidRPr="00AB7A5F">
              <w:rPr>
                <w:rFonts w:ascii="Times New Roman" w:eastAsia="宋体" w:hAnsi="Times New Roman" w:cs="Times New Roman"/>
                <w:b/>
                <w:bCs/>
                <w:sz w:val="24"/>
                <w:szCs w:val="32"/>
              </w:rPr>
              <w:t>溶解平衡</w:t>
            </w:r>
          </w:p>
          <w:p w14:paraId="148D11F5"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w:t>
            </w:r>
            <w:r w:rsidRPr="00AB7A5F">
              <w:rPr>
                <w:rFonts w:ascii="宋体" w:eastAsia="宋体" w:hAnsi="宋体" w:cs="宋体" w:hint="eastAsia"/>
                <w:sz w:val="24"/>
                <w:szCs w:val="24"/>
              </w:rPr>
              <w:t>①</w:t>
            </w:r>
            <w:r w:rsidRPr="00AB7A5F">
              <w:rPr>
                <w:rFonts w:ascii="Times New Roman" w:eastAsia="宋体" w:hAnsi="Times New Roman" w:cs="Times New Roman"/>
                <w:sz w:val="24"/>
                <w:szCs w:val="24"/>
              </w:rPr>
              <w:t>溶度积与溶解度的相互换算</w:t>
            </w:r>
          </w:p>
          <w:p w14:paraId="02F6AC04"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2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②</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sz w:val="24"/>
                <w:szCs w:val="24"/>
              </w:rPr>
              <w:t>利用溶度积规则判断沉淀的生成和溶解</w:t>
            </w:r>
          </w:p>
          <w:p w14:paraId="4C31B7EB"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3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③</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bCs/>
                <w:color w:val="000000"/>
                <w:kern w:val="0"/>
                <w:sz w:val="24"/>
                <w:szCs w:val="21"/>
              </w:rPr>
              <w:t>利用溶度积常数进行分步沉淀和沉淀转化的相关计算</w:t>
            </w:r>
          </w:p>
          <w:p w14:paraId="2A69A17E" w14:textId="77777777" w:rsidR="00AB7A5F" w:rsidRPr="00AB7A5F" w:rsidRDefault="00AB7A5F" w:rsidP="00AB7A5F">
            <w:pPr>
              <w:adjustRightInd w:val="0"/>
              <w:snapToGrid w:val="0"/>
              <w:spacing w:line="440" w:lineRule="exact"/>
              <w:ind w:firstLineChars="300" w:firstLine="723"/>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第七章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bCs/>
                <w:sz w:val="24"/>
                <w:szCs w:val="32"/>
              </w:rPr>
              <w:t>氧化还原反应和电极电势</w:t>
            </w:r>
            <w:r w:rsidRPr="00AB7A5F">
              <w:rPr>
                <w:rFonts w:ascii="Times New Roman" w:eastAsia="宋体" w:hAnsi="Times New Roman" w:cs="Times New Roman"/>
                <w:b/>
                <w:color w:val="000000"/>
                <w:sz w:val="24"/>
                <w:szCs w:val="24"/>
              </w:rPr>
              <w:t xml:space="preserve"> </w:t>
            </w:r>
          </w:p>
          <w:p w14:paraId="31653791"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w:t>
            </w:r>
            <w:r w:rsidRPr="00AB7A5F">
              <w:rPr>
                <w:rFonts w:ascii="宋体" w:eastAsia="宋体" w:hAnsi="宋体" w:cs="宋体" w:hint="eastAsia"/>
                <w:sz w:val="24"/>
                <w:szCs w:val="24"/>
              </w:rPr>
              <w:t>①</w:t>
            </w:r>
            <w:r w:rsidRPr="00AB7A5F">
              <w:rPr>
                <w:rFonts w:ascii="Times New Roman" w:eastAsia="宋体" w:hAnsi="Times New Roman" w:cs="Times New Roman"/>
                <w:sz w:val="24"/>
                <w:szCs w:val="24"/>
              </w:rPr>
              <w:t>利用氧化数的概念，确定分子中某一原子的氧化数</w:t>
            </w:r>
          </w:p>
          <w:p w14:paraId="13117285"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lastRenderedPageBreak/>
              <w:fldChar w:fldCharType="begin"/>
            </w:r>
            <w:r w:rsidRPr="00AB7A5F">
              <w:rPr>
                <w:rFonts w:ascii="Times New Roman" w:eastAsia="宋体" w:hAnsi="Times New Roman" w:cs="Times New Roman"/>
                <w:sz w:val="24"/>
                <w:szCs w:val="24"/>
              </w:rPr>
              <w:instrText xml:space="preserve"> = 2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②</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sz w:val="24"/>
                <w:szCs w:val="24"/>
              </w:rPr>
              <w:t>会写原电池符号以及正负极反应</w:t>
            </w:r>
          </w:p>
          <w:p w14:paraId="1F631EAD"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3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③</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bCs/>
                <w:color w:val="000000"/>
                <w:kern w:val="0"/>
                <w:sz w:val="24"/>
                <w:szCs w:val="21"/>
              </w:rPr>
              <w:t>利用</w:t>
            </w:r>
            <w:r w:rsidRPr="00AB7A5F">
              <w:rPr>
                <w:rFonts w:ascii="Times New Roman" w:eastAsia="宋体" w:hAnsi="Times New Roman" w:cs="Times New Roman"/>
                <w:sz w:val="24"/>
                <w:szCs w:val="21"/>
              </w:rPr>
              <w:t>能斯特方程</w:t>
            </w:r>
            <w:proofErr w:type="gramStart"/>
            <w:r w:rsidRPr="00AB7A5F">
              <w:rPr>
                <w:rFonts w:ascii="Times New Roman" w:eastAsia="宋体" w:hAnsi="Times New Roman" w:cs="Times New Roman"/>
                <w:sz w:val="24"/>
                <w:szCs w:val="21"/>
              </w:rPr>
              <w:t>计算非</w:t>
            </w:r>
            <w:proofErr w:type="gramEnd"/>
            <w:r w:rsidRPr="00AB7A5F">
              <w:rPr>
                <w:rFonts w:ascii="Times New Roman" w:eastAsia="宋体" w:hAnsi="Times New Roman" w:cs="Times New Roman"/>
                <w:sz w:val="24"/>
                <w:szCs w:val="21"/>
              </w:rPr>
              <w:t>标准状态时的电极电势</w:t>
            </w:r>
          </w:p>
          <w:p w14:paraId="389C9BD4" w14:textId="77777777" w:rsidR="00AB7A5F" w:rsidRPr="00AB7A5F" w:rsidRDefault="00AB7A5F" w:rsidP="00AB7A5F">
            <w:pPr>
              <w:adjustRightInd w:val="0"/>
              <w:snapToGrid w:val="0"/>
              <w:spacing w:line="440" w:lineRule="exact"/>
              <w:ind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4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④</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sz w:val="24"/>
                <w:szCs w:val="24"/>
              </w:rPr>
              <w:t>利用电极电势计算原电池的电动势、判断氧化还原反应进行的方向、计算平衡常数</w:t>
            </w:r>
          </w:p>
          <w:p w14:paraId="6B12EAB5" w14:textId="77777777" w:rsidR="00AB7A5F" w:rsidRPr="00AB7A5F" w:rsidRDefault="00AB7A5F" w:rsidP="00AB7A5F">
            <w:pPr>
              <w:adjustRightInd w:val="0"/>
              <w:snapToGrid w:val="0"/>
              <w:spacing w:line="440" w:lineRule="exact"/>
              <w:ind w:firstLine="480"/>
              <w:rPr>
                <w:rFonts w:ascii="Times New Roman" w:eastAsia="宋体" w:hAnsi="Times New Roman" w:cs="Times New Roman"/>
                <w:b/>
                <w:color w:val="000000"/>
                <w:sz w:val="24"/>
                <w:szCs w:val="24"/>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5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⑤</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sz w:val="24"/>
                <w:szCs w:val="24"/>
              </w:rPr>
              <w:t>利用元素</w:t>
            </w:r>
            <w:proofErr w:type="gramStart"/>
            <w:r w:rsidRPr="00AB7A5F">
              <w:rPr>
                <w:rFonts w:ascii="Times New Roman" w:eastAsia="宋体" w:hAnsi="Times New Roman" w:cs="Times New Roman"/>
                <w:sz w:val="24"/>
                <w:szCs w:val="24"/>
              </w:rPr>
              <w:t>电势图计算未知电对</w:t>
            </w:r>
            <w:proofErr w:type="gramEnd"/>
            <w:r w:rsidRPr="00AB7A5F">
              <w:rPr>
                <w:rFonts w:ascii="Times New Roman" w:eastAsia="宋体" w:hAnsi="Times New Roman" w:cs="Times New Roman"/>
                <w:sz w:val="24"/>
                <w:szCs w:val="24"/>
              </w:rPr>
              <w:t>的电极电势，判断处于</w:t>
            </w:r>
            <w:proofErr w:type="gramStart"/>
            <w:r w:rsidRPr="00AB7A5F">
              <w:rPr>
                <w:rFonts w:ascii="Times New Roman" w:eastAsia="宋体" w:hAnsi="Times New Roman" w:cs="Times New Roman"/>
                <w:sz w:val="24"/>
                <w:szCs w:val="24"/>
              </w:rPr>
              <w:t>中间氧化态</w:t>
            </w:r>
            <w:proofErr w:type="gramEnd"/>
            <w:r w:rsidRPr="00AB7A5F">
              <w:rPr>
                <w:rFonts w:ascii="Times New Roman" w:eastAsia="宋体" w:hAnsi="Times New Roman" w:cs="Times New Roman"/>
                <w:sz w:val="24"/>
                <w:szCs w:val="24"/>
              </w:rPr>
              <w:t>的物质能否发生歧化反应</w:t>
            </w:r>
          </w:p>
          <w:p w14:paraId="4FC301A9" w14:textId="77777777" w:rsidR="00AB7A5F" w:rsidRPr="00AB7A5F" w:rsidRDefault="00AB7A5F" w:rsidP="00AB7A5F">
            <w:pPr>
              <w:adjustRightInd w:val="0"/>
              <w:snapToGrid w:val="0"/>
              <w:spacing w:line="440" w:lineRule="exact"/>
              <w:ind w:firstLineChars="300" w:firstLine="723"/>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第八章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sz w:val="24"/>
                <w:szCs w:val="32"/>
              </w:rPr>
              <w:t>原子结构和元素周期律</w:t>
            </w:r>
            <w:r w:rsidRPr="00AB7A5F">
              <w:rPr>
                <w:rFonts w:ascii="Times New Roman" w:eastAsia="宋体" w:hAnsi="Times New Roman" w:cs="Times New Roman"/>
                <w:b/>
                <w:color w:val="000000"/>
                <w:sz w:val="24"/>
                <w:szCs w:val="24"/>
              </w:rPr>
              <w:t xml:space="preserve"> </w:t>
            </w:r>
          </w:p>
          <w:p w14:paraId="07239D6B" w14:textId="77777777" w:rsidR="00AB7A5F" w:rsidRPr="00AB7A5F" w:rsidRDefault="00AB7A5F" w:rsidP="00AB7A5F">
            <w:pPr>
              <w:adjustRightInd w:val="0"/>
              <w:snapToGrid w:val="0"/>
              <w:spacing w:line="440" w:lineRule="exact"/>
              <w:rPr>
                <w:rFonts w:ascii="Times New Roman" w:eastAsia="宋体" w:hAnsi="Times New Roman" w:cs="Times New Roman"/>
                <w:color w:val="000000"/>
                <w:sz w:val="24"/>
                <w:szCs w:val="24"/>
              </w:rPr>
            </w:pPr>
            <w:r w:rsidRPr="00AB7A5F">
              <w:rPr>
                <w:rFonts w:ascii="Times New Roman" w:eastAsia="宋体" w:hAnsi="Times New Roman" w:cs="Times New Roman"/>
                <w:color w:val="000000"/>
                <w:sz w:val="24"/>
                <w:szCs w:val="24"/>
              </w:rPr>
              <w:t xml:space="preserve">    </w:t>
            </w:r>
            <w:r w:rsidRPr="00AB7A5F">
              <w:rPr>
                <w:rFonts w:ascii="宋体" w:eastAsia="宋体" w:hAnsi="宋体" w:cs="宋体" w:hint="eastAsia"/>
                <w:sz w:val="24"/>
                <w:szCs w:val="24"/>
              </w:rPr>
              <w:t>①</w:t>
            </w:r>
            <w:r w:rsidRPr="00AB7A5F">
              <w:rPr>
                <w:rFonts w:ascii="Times New Roman" w:eastAsia="宋体" w:hAnsi="Times New Roman" w:cs="Times New Roman"/>
                <w:sz w:val="24"/>
                <w:szCs w:val="24"/>
              </w:rPr>
              <w:t>通过</w:t>
            </w:r>
            <w:r w:rsidRPr="00AB7A5F">
              <w:rPr>
                <w:rFonts w:ascii="Times New Roman" w:eastAsia="宋体" w:hAnsi="Times New Roman" w:cs="Times New Roman"/>
                <w:color w:val="000000"/>
                <w:sz w:val="24"/>
                <w:szCs w:val="24"/>
              </w:rPr>
              <w:t>四个量子数的含义，判断四个量子数是否合理，判断轨道能量的高低</w:t>
            </w:r>
          </w:p>
          <w:p w14:paraId="7C5AD05C"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2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②</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sz w:val="24"/>
                <w:szCs w:val="24"/>
              </w:rPr>
              <w:t>利用鲍林能级图的顺序，进行核外电子的排布</w:t>
            </w:r>
          </w:p>
          <w:p w14:paraId="42F845FE" w14:textId="77777777" w:rsidR="00AB7A5F" w:rsidRPr="00AB7A5F" w:rsidRDefault="00AB7A5F" w:rsidP="00AB7A5F">
            <w:pPr>
              <w:adjustRightInd w:val="0"/>
              <w:snapToGrid w:val="0"/>
              <w:spacing w:line="440" w:lineRule="exact"/>
              <w:ind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3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③</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sz w:val="24"/>
                <w:szCs w:val="24"/>
              </w:rPr>
              <w:t>电离能、电子亲和能、电负性的周期性变化规律以及电离能和电子亲和</w:t>
            </w:r>
            <w:proofErr w:type="gramStart"/>
            <w:r w:rsidRPr="00AB7A5F">
              <w:rPr>
                <w:rFonts w:ascii="Times New Roman" w:eastAsia="宋体" w:hAnsi="Times New Roman" w:cs="Times New Roman"/>
                <w:sz w:val="24"/>
                <w:szCs w:val="24"/>
              </w:rPr>
              <w:t>能某些</w:t>
            </w:r>
            <w:proofErr w:type="gramEnd"/>
            <w:r w:rsidRPr="00AB7A5F">
              <w:rPr>
                <w:rFonts w:ascii="Times New Roman" w:eastAsia="宋体" w:hAnsi="Times New Roman" w:cs="Times New Roman"/>
                <w:sz w:val="24"/>
                <w:szCs w:val="24"/>
              </w:rPr>
              <w:t>特殊性</w:t>
            </w:r>
          </w:p>
          <w:p w14:paraId="49A202C1" w14:textId="77777777" w:rsidR="00AB7A5F" w:rsidRPr="00AB7A5F" w:rsidRDefault="00AB7A5F" w:rsidP="00AB7A5F">
            <w:pPr>
              <w:adjustRightInd w:val="0"/>
              <w:snapToGrid w:val="0"/>
              <w:spacing w:line="440" w:lineRule="exact"/>
              <w:ind w:firstLineChars="300" w:firstLine="723"/>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第九章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sz w:val="24"/>
                <w:szCs w:val="32"/>
              </w:rPr>
              <w:t>离子键和离子晶体</w:t>
            </w:r>
            <w:r w:rsidRPr="00AB7A5F">
              <w:rPr>
                <w:rFonts w:ascii="Times New Roman" w:eastAsia="宋体" w:hAnsi="Times New Roman" w:cs="Times New Roman"/>
                <w:b/>
                <w:color w:val="000000"/>
                <w:sz w:val="24"/>
                <w:szCs w:val="24"/>
              </w:rPr>
              <w:t xml:space="preserve">  </w:t>
            </w:r>
          </w:p>
          <w:p w14:paraId="67508C04"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宋体" w:eastAsia="宋体" w:hAnsi="宋体" w:cs="宋体" w:hint="eastAsia"/>
                <w:sz w:val="24"/>
                <w:szCs w:val="24"/>
              </w:rPr>
              <w:t>①</w:t>
            </w:r>
            <w:r w:rsidRPr="00AB7A5F">
              <w:rPr>
                <w:rFonts w:ascii="Times New Roman" w:eastAsia="宋体" w:hAnsi="Times New Roman" w:cs="Times New Roman"/>
                <w:sz w:val="24"/>
                <w:szCs w:val="24"/>
              </w:rPr>
              <w:t>离子键的特征</w:t>
            </w:r>
          </w:p>
          <w:p w14:paraId="1818507E"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2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②</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sz w:val="24"/>
                <w:szCs w:val="24"/>
              </w:rPr>
              <w:t>定性判断离子晶体晶格能的大小以及对化合物熔点高低的影响</w:t>
            </w:r>
          </w:p>
          <w:p w14:paraId="77D4BFD8" w14:textId="77777777" w:rsidR="00AB7A5F" w:rsidRPr="00AB7A5F" w:rsidRDefault="00AB7A5F" w:rsidP="00AB7A5F">
            <w:pPr>
              <w:adjustRightInd w:val="0"/>
              <w:snapToGrid w:val="0"/>
              <w:spacing w:line="440" w:lineRule="exact"/>
              <w:ind w:firstLineChars="300" w:firstLine="723"/>
              <w:rPr>
                <w:rFonts w:ascii="Times New Roman" w:eastAsia="宋体" w:hAnsi="Times New Roman" w:cs="Times New Roman"/>
                <w:b/>
                <w:color w:val="000000"/>
                <w:sz w:val="24"/>
                <w:szCs w:val="24"/>
              </w:rPr>
            </w:pPr>
            <w:r w:rsidRPr="00AB7A5F">
              <w:rPr>
                <w:rFonts w:ascii="Times New Roman" w:eastAsia="宋体" w:hAnsi="Times New Roman" w:cs="Times New Roman"/>
                <w:b/>
                <w:color w:val="000000"/>
                <w:sz w:val="24"/>
                <w:szCs w:val="24"/>
              </w:rPr>
              <w:t>第十章</w:t>
            </w:r>
            <w:r w:rsidRPr="00AB7A5F">
              <w:rPr>
                <w:rFonts w:ascii="Times New Roman" w:eastAsia="宋体" w:hAnsi="Times New Roman" w:cs="Times New Roman"/>
                <w:b/>
                <w:color w:val="000000"/>
                <w:sz w:val="24"/>
                <w:szCs w:val="24"/>
              </w:rPr>
              <w:t xml:space="preserve">  </w:t>
            </w:r>
            <w:r w:rsidRPr="00AB7A5F">
              <w:rPr>
                <w:rFonts w:ascii="Times New Roman" w:eastAsia="宋体" w:hAnsi="Times New Roman" w:cs="Times New Roman"/>
                <w:b/>
                <w:sz w:val="24"/>
                <w:szCs w:val="32"/>
              </w:rPr>
              <w:t>共价键与分子结构</w:t>
            </w:r>
            <w:r w:rsidRPr="00AB7A5F">
              <w:rPr>
                <w:rFonts w:ascii="Times New Roman" w:eastAsia="宋体" w:hAnsi="Times New Roman" w:cs="Times New Roman"/>
                <w:b/>
                <w:color w:val="000000"/>
                <w:sz w:val="24"/>
                <w:szCs w:val="24"/>
              </w:rPr>
              <w:t xml:space="preserve">  </w:t>
            </w:r>
          </w:p>
          <w:p w14:paraId="37D0CC03"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宋体" w:eastAsia="宋体" w:hAnsi="宋体" w:cs="宋体" w:hint="eastAsia"/>
                <w:sz w:val="24"/>
                <w:szCs w:val="24"/>
              </w:rPr>
              <w:t>①</w:t>
            </w:r>
            <w:r w:rsidRPr="00AB7A5F">
              <w:rPr>
                <w:rFonts w:ascii="Times New Roman" w:eastAsia="宋体" w:hAnsi="Times New Roman" w:cs="Times New Roman"/>
                <w:sz w:val="24"/>
                <w:szCs w:val="24"/>
              </w:rPr>
              <w:t>共价键的特点</w:t>
            </w:r>
          </w:p>
          <w:p w14:paraId="602F6362" w14:textId="77777777" w:rsidR="00AB7A5F" w:rsidRPr="00AB7A5F" w:rsidRDefault="00AB7A5F" w:rsidP="00AB7A5F">
            <w:pPr>
              <w:adjustRightInd w:val="0"/>
              <w:snapToGrid w:val="0"/>
              <w:spacing w:line="440" w:lineRule="exact"/>
              <w:ind w:firstLineChars="200" w:firstLine="480"/>
              <w:rPr>
                <w:rFonts w:ascii="Times New Roman" w:eastAsia="宋体" w:hAnsi="Times New Roman" w:cs="Times New Roman"/>
                <w:color w:val="000000"/>
                <w:sz w:val="24"/>
                <w:szCs w:val="24"/>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2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②</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sz w:val="24"/>
                <w:szCs w:val="24"/>
              </w:rPr>
              <w:t>利用分子极性的判断确定分子间存在何种作用力</w:t>
            </w:r>
          </w:p>
          <w:p w14:paraId="15048DB5" w14:textId="77777777" w:rsidR="00AB7A5F" w:rsidRPr="00AB7A5F" w:rsidRDefault="00AB7A5F" w:rsidP="00AB7A5F">
            <w:pPr>
              <w:spacing w:line="440" w:lineRule="exact"/>
              <w:rPr>
                <w:rFonts w:ascii="Times New Roman" w:eastAsia="宋体" w:hAnsi="Times New Roman" w:cs="Times New Roman"/>
                <w:bCs/>
                <w:sz w:val="24"/>
                <w:szCs w:val="24"/>
              </w:rPr>
            </w:pPr>
            <w:r w:rsidRPr="00AB7A5F">
              <w:rPr>
                <w:rFonts w:ascii="Times New Roman" w:eastAsia="宋体" w:hAnsi="Times New Roman" w:cs="Times New Roman"/>
                <w:sz w:val="24"/>
                <w:szCs w:val="24"/>
              </w:rPr>
              <w:fldChar w:fldCharType="begin"/>
            </w:r>
            <w:r w:rsidRPr="00AB7A5F">
              <w:rPr>
                <w:rFonts w:ascii="Times New Roman" w:eastAsia="宋体" w:hAnsi="Times New Roman" w:cs="Times New Roman"/>
                <w:sz w:val="24"/>
                <w:szCs w:val="24"/>
              </w:rPr>
              <w:instrText xml:space="preserve"> = 3 \* GB3 </w:instrText>
            </w:r>
            <w:r w:rsidRPr="00AB7A5F">
              <w:rPr>
                <w:rFonts w:ascii="Times New Roman" w:eastAsia="宋体" w:hAnsi="Times New Roman" w:cs="Times New Roman"/>
                <w:sz w:val="24"/>
                <w:szCs w:val="24"/>
              </w:rPr>
              <w:fldChar w:fldCharType="separate"/>
            </w:r>
            <w:r w:rsidRPr="00AB7A5F">
              <w:rPr>
                <w:rFonts w:ascii="宋体" w:eastAsia="宋体" w:hAnsi="宋体" w:cs="宋体" w:hint="eastAsia"/>
                <w:sz w:val="24"/>
                <w:szCs w:val="24"/>
              </w:rPr>
              <w:t>③</w:t>
            </w:r>
            <w:r w:rsidRPr="00AB7A5F">
              <w:rPr>
                <w:rFonts w:ascii="Times New Roman" w:eastAsia="宋体" w:hAnsi="Times New Roman" w:cs="Times New Roman"/>
                <w:sz w:val="24"/>
                <w:szCs w:val="24"/>
              </w:rPr>
              <w:fldChar w:fldCharType="end"/>
            </w:r>
            <w:r w:rsidRPr="00AB7A5F">
              <w:rPr>
                <w:rFonts w:ascii="Times New Roman" w:eastAsia="宋体" w:hAnsi="Times New Roman" w:cs="Times New Roman"/>
                <w:sz w:val="24"/>
                <w:szCs w:val="24"/>
              </w:rPr>
              <w:t>利用氢键的形成判断分子内氢键和分子间氢键并确定对熔沸点的影响</w:t>
            </w:r>
          </w:p>
        </w:tc>
      </w:tr>
    </w:tbl>
    <w:p w14:paraId="712F093E"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（二）课程考核方式</w:t>
      </w:r>
    </w:p>
    <w:p w14:paraId="348279B3"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课程考核方式分为平时考核和期末考核。平时考核方式包括课堂表现、平时作业等；期末考核采用闭卷考试。</w:t>
      </w:r>
    </w:p>
    <w:p w14:paraId="0C838A58"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（三）课程目标达成评价方式及考核比例</w:t>
      </w:r>
    </w:p>
    <w:p w14:paraId="2D5EFBEE"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课程考核方式及成绩比例为：课堂表现</w:t>
      </w:r>
      <w:r w:rsidRPr="00AB7A5F">
        <w:rPr>
          <w:rFonts w:ascii="Times New Roman" w:eastAsia="宋体" w:hAnsi="Times New Roman" w:cs="Times New Roman"/>
          <w:sz w:val="24"/>
          <w:szCs w:val="24"/>
        </w:rPr>
        <w:t>20%+</w:t>
      </w:r>
      <w:r w:rsidRPr="00AB7A5F">
        <w:rPr>
          <w:rFonts w:ascii="Times New Roman" w:eastAsia="宋体" w:hAnsi="Times New Roman" w:cs="Times New Roman" w:hint="eastAsia"/>
          <w:sz w:val="24"/>
          <w:szCs w:val="24"/>
        </w:rPr>
        <w:t>平时作业</w:t>
      </w:r>
      <w:r w:rsidRPr="00AB7A5F">
        <w:rPr>
          <w:rFonts w:ascii="Times New Roman" w:eastAsia="宋体" w:hAnsi="Times New Roman" w:cs="Times New Roman"/>
          <w:sz w:val="24"/>
          <w:szCs w:val="24"/>
        </w:rPr>
        <w:t>30%+</w:t>
      </w:r>
      <w:r w:rsidRPr="00AB7A5F">
        <w:rPr>
          <w:rFonts w:ascii="Times New Roman" w:eastAsia="宋体" w:hAnsi="Times New Roman" w:cs="Times New Roman"/>
          <w:sz w:val="24"/>
          <w:szCs w:val="24"/>
        </w:rPr>
        <w:t>期末考试</w:t>
      </w:r>
      <w:r w:rsidRPr="00AB7A5F">
        <w:rPr>
          <w:rFonts w:ascii="Times New Roman" w:eastAsia="宋体" w:hAnsi="Times New Roman" w:cs="Times New Roman" w:hint="eastAsia"/>
          <w:sz w:val="24"/>
          <w:szCs w:val="24"/>
        </w:rPr>
        <w:t>5</w:t>
      </w:r>
      <w:r w:rsidRPr="00AB7A5F">
        <w:rPr>
          <w:rFonts w:ascii="Times New Roman" w:eastAsia="宋体" w:hAnsi="Times New Roman" w:cs="Times New Roman"/>
          <w:sz w:val="24"/>
          <w:szCs w:val="24"/>
        </w:rPr>
        <w:t>0%</w:t>
      </w:r>
      <w:r w:rsidRPr="00AB7A5F">
        <w:rPr>
          <w:rFonts w:ascii="Times New Roman" w:eastAsia="宋体" w:hAnsi="Times New Roman" w:cs="Times New Roman"/>
          <w:sz w:val="24"/>
          <w:szCs w:val="24"/>
        </w:rPr>
        <w:t>；本课程共有</w:t>
      </w:r>
      <w:r w:rsidRPr="00AB7A5F">
        <w:rPr>
          <w:rFonts w:ascii="Times New Roman" w:eastAsia="宋体" w:hAnsi="Times New Roman" w:cs="Times New Roman"/>
          <w:sz w:val="24"/>
          <w:szCs w:val="24"/>
        </w:rPr>
        <w:t>3</w:t>
      </w:r>
      <w:r w:rsidRPr="00AB7A5F">
        <w:rPr>
          <w:rFonts w:ascii="Times New Roman" w:eastAsia="宋体" w:hAnsi="Times New Roman" w:cs="Times New Roman"/>
          <w:sz w:val="24"/>
          <w:szCs w:val="24"/>
        </w:rPr>
        <w:t>个课程目标，考核方式及成绩比例分别为：</w:t>
      </w:r>
    </w:p>
    <w:p w14:paraId="2FF3A883"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课程目标</w:t>
      </w:r>
      <w:r w:rsidRPr="00AB7A5F">
        <w:rPr>
          <w:rFonts w:ascii="Times New Roman" w:eastAsia="宋体" w:hAnsi="Times New Roman" w:cs="Times New Roman"/>
          <w:sz w:val="24"/>
          <w:szCs w:val="24"/>
        </w:rPr>
        <w:t>1</w:t>
      </w:r>
      <w:r w:rsidRPr="00AB7A5F">
        <w:rPr>
          <w:rFonts w:ascii="Times New Roman" w:eastAsia="宋体" w:hAnsi="Times New Roman" w:cs="Times New Roman"/>
          <w:sz w:val="24"/>
          <w:szCs w:val="24"/>
        </w:rPr>
        <w:t>：期末考试</w:t>
      </w:r>
      <w:r w:rsidRPr="00AB7A5F">
        <w:rPr>
          <w:rFonts w:ascii="Times New Roman" w:eastAsia="宋体" w:hAnsi="Times New Roman" w:cs="Times New Roman"/>
          <w:sz w:val="24"/>
          <w:szCs w:val="24"/>
        </w:rPr>
        <w:t>5</w:t>
      </w:r>
      <w:r w:rsidRPr="00AB7A5F">
        <w:rPr>
          <w:rFonts w:ascii="Times New Roman" w:eastAsia="宋体" w:hAnsi="Times New Roman" w:cs="Times New Roman" w:hint="eastAsia"/>
          <w:sz w:val="24"/>
          <w:szCs w:val="24"/>
        </w:rPr>
        <w:t>0</w:t>
      </w:r>
      <w:r w:rsidRPr="00AB7A5F">
        <w:rPr>
          <w:rFonts w:ascii="Times New Roman" w:eastAsia="宋体" w:hAnsi="Times New Roman" w:cs="Times New Roman"/>
          <w:sz w:val="24"/>
          <w:szCs w:val="24"/>
        </w:rPr>
        <w:t>%</w:t>
      </w:r>
    </w:p>
    <w:p w14:paraId="31947545"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课程目标</w:t>
      </w:r>
      <w:r w:rsidRPr="00AB7A5F">
        <w:rPr>
          <w:rFonts w:ascii="Times New Roman" w:eastAsia="宋体" w:hAnsi="Times New Roman" w:cs="Times New Roman"/>
          <w:sz w:val="24"/>
          <w:szCs w:val="24"/>
        </w:rPr>
        <w:t>2</w:t>
      </w:r>
      <w:r w:rsidRPr="00AB7A5F">
        <w:rPr>
          <w:rFonts w:ascii="Times New Roman" w:eastAsia="宋体" w:hAnsi="Times New Roman" w:cs="Times New Roman"/>
          <w:sz w:val="24"/>
          <w:szCs w:val="24"/>
        </w:rPr>
        <w:t>：</w:t>
      </w:r>
      <w:r w:rsidRPr="00AB7A5F">
        <w:rPr>
          <w:rFonts w:ascii="Times New Roman" w:eastAsia="宋体" w:hAnsi="Times New Roman" w:cs="Times New Roman" w:hint="eastAsia"/>
          <w:sz w:val="24"/>
          <w:szCs w:val="24"/>
        </w:rPr>
        <w:t>平时作业</w:t>
      </w:r>
      <w:r w:rsidRPr="00AB7A5F">
        <w:rPr>
          <w:rFonts w:ascii="Times New Roman" w:eastAsia="宋体" w:hAnsi="Times New Roman" w:cs="Times New Roman" w:hint="eastAsia"/>
          <w:sz w:val="24"/>
          <w:szCs w:val="24"/>
        </w:rPr>
        <w:t>30</w:t>
      </w:r>
      <w:r w:rsidRPr="00AB7A5F">
        <w:rPr>
          <w:rFonts w:ascii="Times New Roman" w:eastAsia="宋体" w:hAnsi="Times New Roman" w:cs="Times New Roman"/>
          <w:sz w:val="24"/>
          <w:szCs w:val="24"/>
        </w:rPr>
        <w:t>%</w:t>
      </w:r>
    </w:p>
    <w:p w14:paraId="27639D14"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课程目标</w:t>
      </w:r>
      <w:r w:rsidRPr="00AB7A5F">
        <w:rPr>
          <w:rFonts w:ascii="Times New Roman" w:eastAsia="宋体" w:hAnsi="Times New Roman" w:cs="Times New Roman"/>
          <w:sz w:val="24"/>
          <w:szCs w:val="24"/>
        </w:rPr>
        <w:t>3</w:t>
      </w:r>
      <w:r w:rsidRPr="00AB7A5F">
        <w:rPr>
          <w:rFonts w:ascii="Times New Roman" w:eastAsia="宋体" w:hAnsi="Times New Roman" w:cs="Times New Roman"/>
          <w:sz w:val="24"/>
          <w:szCs w:val="24"/>
        </w:rPr>
        <w:t>：课堂表现</w:t>
      </w:r>
      <w:r w:rsidRPr="00AB7A5F">
        <w:rPr>
          <w:rFonts w:ascii="Times New Roman" w:eastAsia="宋体" w:hAnsi="Times New Roman" w:cs="Times New Roman"/>
          <w:sz w:val="24"/>
          <w:szCs w:val="24"/>
        </w:rPr>
        <w:t>20%</w:t>
      </w:r>
    </w:p>
    <w:p w14:paraId="338DC6E8"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如下图：</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3"/>
        <w:gridCol w:w="1687"/>
        <w:gridCol w:w="1812"/>
        <w:gridCol w:w="1813"/>
        <w:gridCol w:w="1812"/>
      </w:tblGrid>
      <w:tr w:rsidR="00AB7A5F" w:rsidRPr="00AB7A5F" w14:paraId="3FF160DF" w14:textId="77777777" w:rsidTr="00AB7A5F">
        <w:trPr>
          <w:trHeight w:val="540"/>
          <w:jc w:val="center"/>
        </w:trPr>
        <w:tc>
          <w:tcPr>
            <w:tcW w:w="942" w:type="pct"/>
            <w:vMerge w:val="restart"/>
            <w:vAlign w:val="center"/>
          </w:tcPr>
          <w:p w14:paraId="6114866D" w14:textId="77777777" w:rsidR="00AB7A5F" w:rsidRPr="00AB7A5F" w:rsidRDefault="00AB7A5F" w:rsidP="00AB7A5F">
            <w:pPr>
              <w:spacing w:line="440" w:lineRule="exact"/>
              <w:jc w:val="center"/>
              <w:rPr>
                <w:rFonts w:ascii="Times New Roman" w:eastAsia="宋体" w:hAnsi="Times New Roman" w:cs="Times New Roman"/>
                <w:b/>
                <w:sz w:val="24"/>
                <w:szCs w:val="24"/>
              </w:rPr>
            </w:pPr>
            <w:r w:rsidRPr="00AB7A5F">
              <w:rPr>
                <w:rFonts w:ascii="Times New Roman" w:eastAsia="宋体" w:hAnsi="Times New Roman" w:cs="Times New Roman"/>
                <w:b/>
                <w:sz w:val="24"/>
                <w:szCs w:val="24"/>
              </w:rPr>
              <w:t>课程目标</w:t>
            </w:r>
          </w:p>
        </w:tc>
        <w:tc>
          <w:tcPr>
            <w:tcW w:w="3026" w:type="pct"/>
            <w:gridSpan w:val="3"/>
            <w:vAlign w:val="center"/>
          </w:tcPr>
          <w:p w14:paraId="6B75DCC3" w14:textId="77777777" w:rsidR="00AB7A5F" w:rsidRPr="00AB7A5F" w:rsidRDefault="00AB7A5F" w:rsidP="00AB7A5F">
            <w:pPr>
              <w:spacing w:line="440" w:lineRule="exact"/>
              <w:jc w:val="center"/>
              <w:rPr>
                <w:rFonts w:ascii="Times New Roman" w:eastAsia="宋体" w:hAnsi="Times New Roman" w:cs="Times New Roman"/>
                <w:b/>
                <w:sz w:val="24"/>
                <w:szCs w:val="24"/>
              </w:rPr>
            </w:pPr>
            <w:r w:rsidRPr="00AB7A5F">
              <w:rPr>
                <w:rFonts w:ascii="Times New Roman" w:eastAsia="宋体" w:hAnsi="Times New Roman" w:cs="Times New Roman"/>
                <w:b/>
                <w:sz w:val="24"/>
                <w:szCs w:val="24"/>
              </w:rPr>
              <w:t>考核方式及成绩比例（</w:t>
            </w:r>
            <w:r w:rsidRPr="00AB7A5F">
              <w:rPr>
                <w:rFonts w:ascii="Times New Roman" w:eastAsia="宋体" w:hAnsi="Times New Roman" w:cs="Times New Roman"/>
                <w:b/>
                <w:sz w:val="24"/>
                <w:szCs w:val="24"/>
              </w:rPr>
              <w:t>%</w:t>
            </w:r>
            <w:r w:rsidRPr="00AB7A5F">
              <w:rPr>
                <w:rFonts w:ascii="Times New Roman" w:eastAsia="宋体" w:hAnsi="Times New Roman" w:cs="Times New Roman"/>
                <w:b/>
                <w:sz w:val="24"/>
                <w:szCs w:val="24"/>
              </w:rPr>
              <w:t>）</w:t>
            </w:r>
          </w:p>
        </w:tc>
        <w:tc>
          <w:tcPr>
            <w:tcW w:w="1032" w:type="pct"/>
            <w:vAlign w:val="center"/>
          </w:tcPr>
          <w:p w14:paraId="23A30486" w14:textId="77777777" w:rsidR="00AB7A5F" w:rsidRPr="00AB7A5F" w:rsidRDefault="00AB7A5F" w:rsidP="00AB7A5F">
            <w:pPr>
              <w:spacing w:line="440" w:lineRule="exact"/>
              <w:jc w:val="center"/>
              <w:rPr>
                <w:rFonts w:ascii="Times New Roman" w:eastAsia="宋体" w:hAnsi="Times New Roman" w:cs="Times New Roman"/>
                <w:b/>
                <w:sz w:val="24"/>
                <w:szCs w:val="24"/>
              </w:rPr>
            </w:pPr>
            <w:r w:rsidRPr="00AB7A5F">
              <w:rPr>
                <w:rFonts w:ascii="Times New Roman" w:eastAsia="宋体" w:hAnsi="Times New Roman" w:cs="Times New Roman"/>
                <w:b/>
                <w:sz w:val="24"/>
                <w:szCs w:val="24"/>
              </w:rPr>
              <w:t>合计</w:t>
            </w:r>
          </w:p>
        </w:tc>
      </w:tr>
      <w:tr w:rsidR="00AB7A5F" w:rsidRPr="00AB7A5F" w14:paraId="21C233D7" w14:textId="77777777" w:rsidTr="00AB7A5F">
        <w:trPr>
          <w:trHeight w:val="578"/>
          <w:jc w:val="center"/>
        </w:trPr>
        <w:tc>
          <w:tcPr>
            <w:tcW w:w="942" w:type="pct"/>
            <w:vMerge/>
            <w:vAlign w:val="center"/>
          </w:tcPr>
          <w:p w14:paraId="2A1E1CD6" w14:textId="77777777" w:rsidR="00AB7A5F" w:rsidRPr="00AB7A5F" w:rsidRDefault="00AB7A5F" w:rsidP="00AB7A5F">
            <w:pPr>
              <w:spacing w:line="440" w:lineRule="exact"/>
              <w:jc w:val="center"/>
              <w:rPr>
                <w:rFonts w:ascii="Times New Roman" w:eastAsia="宋体" w:hAnsi="Times New Roman" w:cs="Times New Roman"/>
                <w:b/>
                <w:sz w:val="24"/>
                <w:szCs w:val="24"/>
              </w:rPr>
            </w:pPr>
          </w:p>
        </w:tc>
        <w:tc>
          <w:tcPr>
            <w:tcW w:w="961" w:type="pct"/>
            <w:vAlign w:val="center"/>
          </w:tcPr>
          <w:p w14:paraId="6044FEB4" w14:textId="77777777" w:rsidR="00AB7A5F" w:rsidRPr="00AB7A5F" w:rsidRDefault="00AB7A5F" w:rsidP="00AB7A5F">
            <w:pPr>
              <w:spacing w:line="440" w:lineRule="exact"/>
              <w:jc w:val="center"/>
              <w:rPr>
                <w:rFonts w:ascii="Times New Roman" w:eastAsia="宋体" w:hAnsi="Times New Roman" w:cs="Times New Roman"/>
                <w:b/>
                <w:sz w:val="24"/>
                <w:szCs w:val="24"/>
              </w:rPr>
            </w:pPr>
            <w:r w:rsidRPr="00AB7A5F">
              <w:rPr>
                <w:rFonts w:ascii="Times New Roman" w:eastAsia="宋体" w:hAnsi="Times New Roman" w:cs="Times New Roman"/>
                <w:b/>
                <w:sz w:val="24"/>
                <w:szCs w:val="24"/>
              </w:rPr>
              <w:t>课堂表现</w:t>
            </w:r>
          </w:p>
        </w:tc>
        <w:tc>
          <w:tcPr>
            <w:tcW w:w="1032" w:type="pct"/>
            <w:vAlign w:val="center"/>
          </w:tcPr>
          <w:p w14:paraId="51EC2BBC" w14:textId="77777777" w:rsidR="00AB7A5F" w:rsidRPr="00AB7A5F" w:rsidRDefault="00AB7A5F" w:rsidP="00AB7A5F">
            <w:pPr>
              <w:spacing w:line="440" w:lineRule="exact"/>
              <w:jc w:val="center"/>
              <w:rPr>
                <w:rFonts w:ascii="Times New Roman" w:eastAsia="宋体" w:hAnsi="Times New Roman" w:cs="Times New Roman"/>
                <w:b/>
                <w:sz w:val="24"/>
                <w:szCs w:val="24"/>
              </w:rPr>
            </w:pPr>
            <w:r w:rsidRPr="00AB7A5F">
              <w:rPr>
                <w:rFonts w:ascii="Times New Roman" w:eastAsia="宋体" w:hAnsi="Times New Roman" w:cs="Times New Roman" w:hint="eastAsia"/>
                <w:b/>
                <w:sz w:val="24"/>
                <w:szCs w:val="24"/>
              </w:rPr>
              <w:t>平时作业</w:t>
            </w:r>
          </w:p>
        </w:tc>
        <w:tc>
          <w:tcPr>
            <w:tcW w:w="1032" w:type="pct"/>
            <w:vAlign w:val="center"/>
          </w:tcPr>
          <w:p w14:paraId="6C56BE29" w14:textId="77777777" w:rsidR="00AB7A5F" w:rsidRPr="00AB7A5F" w:rsidRDefault="00AB7A5F" w:rsidP="00AB7A5F">
            <w:pPr>
              <w:spacing w:line="440" w:lineRule="exact"/>
              <w:jc w:val="center"/>
              <w:rPr>
                <w:rFonts w:ascii="Times New Roman" w:eastAsia="宋体" w:hAnsi="Times New Roman" w:cs="Times New Roman"/>
                <w:b/>
                <w:sz w:val="24"/>
                <w:szCs w:val="24"/>
              </w:rPr>
            </w:pPr>
            <w:r w:rsidRPr="00AB7A5F">
              <w:rPr>
                <w:rFonts w:ascii="Times New Roman" w:eastAsia="宋体" w:hAnsi="Times New Roman" w:cs="Times New Roman"/>
                <w:b/>
                <w:sz w:val="24"/>
                <w:szCs w:val="24"/>
              </w:rPr>
              <w:t>期末考试</w:t>
            </w:r>
          </w:p>
        </w:tc>
        <w:tc>
          <w:tcPr>
            <w:tcW w:w="1032" w:type="pct"/>
          </w:tcPr>
          <w:p w14:paraId="56CA1631" w14:textId="77777777" w:rsidR="00AB7A5F" w:rsidRPr="00AB7A5F" w:rsidRDefault="00AB7A5F" w:rsidP="00AB7A5F">
            <w:pPr>
              <w:spacing w:line="440" w:lineRule="exact"/>
              <w:jc w:val="center"/>
              <w:rPr>
                <w:rFonts w:ascii="Times New Roman" w:eastAsia="宋体" w:hAnsi="Times New Roman" w:cs="Times New Roman"/>
                <w:b/>
                <w:sz w:val="24"/>
                <w:szCs w:val="24"/>
              </w:rPr>
            </w:pPr>
          </w:p>
        </w:tc>
      </w:tr>
      <w:tr w:rsidR="00AB7A5F" w:rsidRPr="00AB7A5F" w14:paraId="1B3CF7EA" w14:textId="77777777" w:rsidTr="00AB7A5F">
        <w:trPr>
          <w:jc w:val="center"/>
        </w:trPr>
        <w:tc>
          <w:tcPr>
            <w:tcW w:w="942" w:type="pct"/>
            <w:vAlign w:val="center"/>
          </w:tcPr>
          <w:p w14:paraId="324B7102" w14:textId="77777777" w:rsidR="00AB7A5F" w:rsidRPr="00AB7A5F" w:rsidRDefault="00AB7A5F" w:rsidP="00AB7A5F">
            <w:pPr>
              <w:spacing w:line="440" w:lineRule="exact"/>
              <w:jc w:val="center"/>
              <w:rPr>
                <w:rFonts w:ascii="Times New Roman" w:eastAsia="宋体" w:hAnsi="Times New Roman" w:cs="Times New Roman"/>
                <w:bCs/>
                <w:sz w:val="24"/>
                <w:szCs w:val="24"/>
              </w:rPr>
            </w:pPr>
            <w:r w:rsidRPr="00AB7A5F">
              <w:rPr>
                <w:rFonts w:ascii="Times New Roman" w:eastAsia="宋体" w:hAnsi="Times New Roman" w:cs="Times New Roman"/>
                <w:bCs/>
                <w:sz w:val="24"/>
                <w:szCs w:val="24"/>
              </w:rPr>
              <w:t>课程目标</w:t>
            </w:r>
            <w:r w:rsidRPr="00AB7A5F">
              <w:rPr>
                <w:rFonts w:ascii="Times New Roman" w:eastAsia="宋体" w:hAnsi="Times New Roman" w:cs="Times New Roman"/>
                <w:bCs/>
                <w:sz w:val="24"/>
                <w:szCs w:val="24"/>
              </w:rPr>
              <w:t>1</w:t>
            </w:r>
          </w:p>
        </w:tc>
        <w:tc>
          <w:tcPr>
            <w:tcW w:w="961" w:type="pct"/>
            <w:vAlign w:val="center"/>
          </w:tcPr>
          <w:p w14:paraId="133B3285" w14:textId="77777777" w:rsidR="00AB7A5F" w:rsidRPr="00AB7A5F" w:rsidRDefault="00AB7A5F" w:rsidP="00AB7A5F">
            <w:pPr>
              <w:spacing w:line="440" w:lineRule="exact"/>
              <w:jc w:val="center"/>
              <w:rPr>
                <w:rFonts w:ascii="Times New Roman" w:eastAsia="宋体" w:hAnsi="Times New Roman" w:cs="Times New Roman"/>
                <w:bCs/>
                <w:sz w:val="24"/>
                <w:szCs w:val="24"/>
              </w:rPr>
            </w:pPr>
          </w:p>
        </w:tc>
        <w:tc>
          <w:tcPr>
            <w:tcW w:w="1032" w:type="pct"/>
            <w:vAlign w:val="center"/>
          </w:tcPr>
          <w:p w14:paraId="610DD528" w14:textId="77777777" w:rsidR="00AB7A5F" w:rsidRPr="00AB7A5F" w:rsidRDefault="00AB7A5F" w:rsidP="00AB7A5F">
            <w:pPr>
              <w:spacing w:line="440" w:lineRule="exact"/>
              <w:jc w:val="center"/>
              <w:rPr>
                <w:rFonts w:ascii="Times New Roman" w:eastAsia="宋体" w:hAnsi="Times New Roman" w:cs="Times New Roman"/>
                <w:bCs/>
                <w:sz w:val="24"/>
                <w:szCs w:val="24"/>
              </w:rPr>
            </w:pPr>
          </w:p>
        </w:tc>
        <w:tc>
          <w:tcPr>
            <w:tcW w:w="1032" w:type="pct"/>
            <w:vAlign w:val="center"/>
          </w:tcPr>
          <w:p w14:paraId="6AB74C40" w14:textId="77777777" w:rsidR="00AB7A5F" w:rsidRPr="00AB7A5F" w:rsidRDefault="00AB7A5F" w:rsidP="00AB7A5F">
            <w:pPr>
              <w:spacing w:line="440" w:lineRule="exact"/>
              <w:jc w:val="center"/>
              <w:rPr>
                <w:rFonts w:ascii="Times New Roman" w:eastAsia="宋体" w:hAnsi="Times New Roman" w:cs="Times New Roman"/>
                <w:bCs/>
                <w:sz w:val="24"/>
                <w:szCs w:val="24"/>
              </w:rPr>
            </w:pPr>
            <w:r w:rsidRPr="00AB7A5F">
              <w:rPr>
                <w:rFonts w:ascii="Times New Roman" w:eastAsia="宋体" w:hAnsi="Times New Roman" w:cs="Times New Roman" w:hint="eastAsia"/>
                <w:bCs/>
                <w:sz w:val="24"/>
                <w:szCs w:val="24"/>
              </w:rPr>
              <w:t>50</w:t>
            </w:r>
          </w:p>
        </w:tc>
        <w:tc>
          <w:tcPr>
            <w:tcW w:w="1032" w:type="pct"/>
          </w:tcPr>
          <w:p w14:paraId="14F52299" w14:textId="77777777" w:rsidR="00AB7A5F" w:rsidRPr="00AB7A5F" w:rsidRDefault="00AB7A5F" w:rsidP="00AB7A5F">
            <w:pPr>
              <w:spacing w:line="440" w:lineRule="exact"/>
              <w:jc w:val="center"/>
              <w:rPr>
                <w:rFonts w:ascii="Times New Roman" w:eastAsia="宋体" w:hAnsi="Times New Roman" w:cs="Times New Roman"/>
                <w:bCs/>
                <w:sz w:val="24"/>
                <w:szCs w:val="24"/>
              </w:rPr>
            </w:pPr>
            <w:r w:rsidRPr="00AB7A5F">
              <w:rPr>
                <w:rFonts w:ascii="Times New Roman" w:eastAsia="宋体" w:hAnsi="Times New Roman" w:cs="Times New Roman"/>
                <w:bCs/>
                <w:sz w:val="24"/>
                <w:szCs w:val="24"/>
              </w:rPr>
              <w:t>50</w:t>
            </w:r>
          </w:p>
        </w:tc>
      </w:tr>
      <w:tr w:rsidR="00AB7A5F" w:rsidRPr="00AB7A5F" w14:paraId="1227363A" w14:textId="77777777" w:rsidTr="00AB7A5F">
        <w:trPr>
          <w:jc w:val="center"/>
        </w:trPr>
        <w:tc>
          <w:tcPr>
            <w:tcW w:w="942" w:type="pct"/>
            <w:vAlign w:val="center"/>
          </w:tcPr>
          <w:p w14:paraId="0CFF858E" w14:textId="77777777" w:rsidR="00AB7A5F" w:rsidRPr="00AB7A5F" w:rsidRDefault="00AB7A5F" w:rsidP="00AB7A5F">
            <w:pPr>
              <w:spacing w:line="440" w:lineRule="exact"/>
              <w:jc w:val="center"/>
              <w:rPr>
                <w:rFonts w:ascii="Times New Roman" w:eastAsia="宋体" w:hAnsi="Times New Roman" w:cs="Times New Roman"/>
                <w:bCs/>
                <w:sz w:val="24"/>
                <w:szCs w:val="24"/>
              </w:rPr>
            </w:pPr>
            <w:r w:rsidRPr="00AB7A5F">
              <w:rPr>
                <w:rFonts w:ascii="Times New Roman" w:eastAsia="宋体" w:hAnsi="Times New Roman" w:cs="Times New Roman"/>
                <w:bCs/>
                <w:sz w:val="24"/>
                <w:szCs w:val="24"/>
              </w:rPr>
              <w:t>课程目标</w:t>
            </w:r>
            <w:r w:rsidRPr="00AB7A5F">
              <w:rPr>
                <w:rFonts w:ascii="Times New Roman" w:eastAsia="宋体" w:hAnsi="Times New Roman" w:cs="Times New Roman"/>
                <w:bCs/>
                <w:sz w:val="24"/>
                <w:szCs w:val="24"/>
              </w:rPr>
              <w:t>2</w:t>
            </w:r>
          </w:p>
        </w:tc>
        <w:tc>
          <w:tcPr>
            <w:tcW w:w="961" w:type="pct"/>
            <w:vAlign w:val="center"/>
          </w:tcPr>
          <w:p w14:paraId="41B35F3E" w14:textId="77777777" w:rsidR="00AB7A5F" w:rsidRPr="00AB7A5F" w:rsidRDefault="00AB7A5F" w:rsidP="00AB7A5F">
            <w:pPr>
              <w:spacing w:line="440" w:lineRule="exact"/>
              <w:jc w:val="center"/>
              <w:rPr>
                <w:rFonts w:ascii="Times New Roman" w:eastAsia="宋体" w:hAnsi="Times New Roman" w:cs="Times New Roman"/>
                <w:bCs/>
                <w:sz w:val="24"/>
                <w:szCs w:val="24"/>
              </w:rPr>
            </w:pPr>
          </w:p>
        </w:tc>
        <w:tc>
          <w:tcPr>
            <w:tcW w:w="1032" w:type="pct"/>
            <w:vAlign w:val="center"/>
          </w:tcPr>
          <w:p w14:paraId="1959B261" w14:textId="77777777" w:rsidR="00AB7A5F" w:rsidRPr="00AB7A5F" w:rsidRDefault="00AB7A5F" w:rsidP="00AB7A5F">
            <w:pPr>
              <w:spacing w:line="440" w:lineRule="exact"/>
              <w:jc w:val="center"/>
              <w:rPr>
                <w:rFonts w:ascii="Times New Roman" w:eastAsia="宋体" w:hAnsi="Times New Roman" w:cs="Times New Roman"/>
                <w:bCs/>
                <w:sz w:val="24"/>
                <w:szCs w:val="24"/>
              </w:rPr>
            </w:pPr>
            <w:r w:rsidRPr="00AB7A5F">
              <w:rPr>
                <w:rFonts w:ascii="Times New Roman" w:eastAsia="宋体" w:hAnsi="Times New Roman" w:cs="Times New Roman"/>
                <w:bCs/>
                <w:sz w:val="24"/>
                <w:szCs w:val="24"/>
              </w:rPr>
              <w:t>30</w:t>
            </w:r>
          </w:p>
        </w:tc>
        <w:tc>
          <w:tcPr>
            <w:tcW w:w="1032" w:type="pct"/>
            <w:vAlign w:val="center"/>
          </w:tcPr>
          <w:p w14:paraId="211CF973" w14:textId="77777777" w:rsidR="00AB7A5F" w:rsidRPr="00AB7A5F" w:rsidRDefault="00AB7A5F" w:rsidP="00AB7A5F">
            <w:pPr>
              <w:spacing w:line="440" w:lineRule="exact"/>
              <w:jc w:val="center"/>
              <w:rPr>
                <w:rFonts w:ascii="Times New Roman" w:eastAsia="宋体" w:hAnsi="Times New Roman" w:cs="Times New Roman"/>
                <w:bCs/>
                <w:sz w:val="24"/>
                <w:szCs w:val="24"/>
              </w:rPr>
            </w:pPr>
          </w:p>
        </w:tc>
        <w:tc>
          <w:tcPr>
            <w:tcW w:w="1032" w:type="pct"/>
          </w:tcPr>
          <w:p w14:paraId="6F9A6BD1" w14:textId="77777777" w:rsidR="00AB7A5F" w:rsidRPr="00AB7A5F" w:rsidRDefault="00AB7A5F" w:rsidP="00AB7A5F">
            <w:pPr>
              <w:spacing w:line="440" w:lineRule="exact"/>
              <w:jc w:val="center"/>
              <w:rPr>
                <w:rFonts w:ascii="Times New Roman" w:eastAsia="宋体" w:hAnsi="Times New Roman" w:cs="Times New Roman"/>
                <w:bCs/>
                <w:sz w:val="24"/>
                <w:szCs w:val="24"/>
              </w:rPr>
            </w:pPr>
            <w:r w:rsidRPr="00AB7A5F">
              <w:rPr>
                <w:rFonts w:ascii="Times New Roman" w:eastAsia="宋体" w:hAnsi="Times New Roman" w:cs="Times New Roman"/>
                <w:bCs/>
                <w:sz w:val="24"/>
                <w:szCs w:val="24"/>
              </w:rPr>
              <w:t>30</w:t>
            </w:r>
          </w:p>
        </w:tc>
      </w:tr>
      <w:tr w:rsidR="00AB7A5F" w:rsidRPr="00AB7A5F" w14:paraId="159FF1E1" w14:textId="77777777" w:rsidTr="00AB7A5F">
        <w:trPr>
          <w:jc w:val="center"/>
        </w:trPr>
        <w:tc>
          <w:tcPr>
            <w:tcW w:w="942" w:type="pct"/>
            <w:vAlign w:val="center"/>
          </w:tcPr>
          <w:p w14:paraId="055807F2" w14:textId="77777777" w:rsidR="00AB7A5F" w:rsidRPr="00AB7A5F" w:rsidRDefault="00AB7A5F" w:rsidP="00AB7A5F">
            <w:pPr>
              <w:spacing w:line="440" w:lineRule="exact"/>
              <w:jc w:val="center"/>
              <w:rPr>
                <w:rFonts w:ascii="Times New Roman" w:eastAsia="宋体" w:hAnsi="Times New Roman" w:cs="Times New Roman"/>
                <w:bCs/>
                <w:sz w:val="24"/>
                <w:szCs w:val="24"/>
              </w:rPr>
            </w:pPr>
            <w:r w:rsidRPr="00AB7A5F">
              <w:rPr>
                <w:rFonts w:ascii="Times New Roman" w:eastAsia="宋体" w:hAnsi="Times New Roman" w:cs="Times New Roman"/>
                <w:bCs/>
                <w:sz w:val="24"/>
                <w:szCs w:val="24"/>
              </w:rPr>
              <w:t>课程目标</w:t>
            </w:r>
            <w:r w:rsidRPr="00AB7A5F">
              <w:rPr>
                <w:rFonts w:ascii="Times New Roman" w:eastAsia="宋体" w:hAnsi="Times New Roman" w:cs="Times New Roman"/>
                <w:bCs/>
                <w:sz w:val="24"/>
                <w:szCs w:val="24"/>
              </w:rPr>
              <w:t>3</w:t>
            </w:r>
          </w:p>
        </w:tc>
        <w:tc>
          <w:tcPr>
            <w:tcW w:w="961" w:type="pct"/>
            <w:vAlign w:val="center"/>
          </w:tcPr>
          <w:p w14:paraId="1D357D39" w14:textId="77777777" w:rsidR="00AB7A5F" w:rsidRPr="00AB7A5F" w:rsidRDefault="00AB7A5F" w:rsidP="00AB7A5F">
            <w:pPr>
              <w:spacing w:line="440" w:lineRule="exact"/>
              <w:jc w:val="center"/>
              <w:rPr>
                <w:rFonts w:ascii="Times New Roman" w:eastAsia="宋体" w:hAnsi="Times New Roman" w:cs="Times New Roman"/>
                <w:bCs/>
                <w:sz w:val="24"/>
                <w:szCs w:val="24"/>
              </w:rPr>
            </w:pPr>
            <w:r w:rsidRPr="00AB7A5F">
              <w:rPr>
                <w:rFonts w:ascii="Times New Roman" w:eastAsia="宋体" w:hAnsi="Times New Roman" w:cs="Times New Roman"/>
                <w:bCs/>
                <w:sz w:val="24"/>
                <w:szCs w:val="24"/>
              </w:rPr>
              <w:t>20</w:t>
            </w:r>
          </w:p>
        </w:tc>
        <w:tc>
          <w:tcPr>
            <w:tcW w:w="1032" w:type="pct"/>
            <w:vAlign w:val="center"/>
          </w:tcPr>
          <w:p w14:paraId="2811B0ED" w14:textId="77777777" w:rsidR="00AB7A5F" w:rsidRPr="00AB7A5F" w:rsidRDefault="00AB7A5F" w:rsidP="00AB7A5F">
            <w:pPr>
              <w:spacing w:line="440" w:lineRule="exact"/>
              <w:jc w:val="center"/>
              <w:rPr>
                <w:rFonts w:ascii="Times New Roman" w:eastAsia="宋体" w:hAnsi="Times New Roman" w:cs="Times New Roman"/>
                <w:bCs/>
                <w:sz w:val="24"/>
                <w:szCs w:val="24"/>
              </w:rPr>
            </w:pPr>
          </w:p>
        </w:tc>
        <w:tc>
          <w:tcPr>
            <w:tcW w:w="1032" w:type="pct"/>
            <w:vAlign w:val="center"/>
          </w:tcPr>
          <w:p w14:paraId="49BD36EF" w14:textId="77777777" w:rsidR="00AB7A5F" w:rsidRPr="00AB7A5F" w:rsidRDefault="00AB7A5F" w:rsidP="00AB7A5F">
            <w:pPr>
              <w:spacing w:line="440" w:lineRule="exact"/>
              <w:jc w:val="center"/>
              <w:rPr>
                <w:rFonts w:ascii="Times New Roman" w:eastAsia="宋体" w:hAnsi="Times New Roman" w:cs="Times New Roman"/>
                <w:bCs/>
                <w:sz w:val="24"/>
                <w:szCs w:val="24"/>
              </w:rPr>
            </w:pPr>
          </w:p>
        </w:tc>
        <w:tc>
          <w:tcPr>
            <w:tcW w:w="1032" w:type="pct"/>
          </w:tcPr>
          <w:p w14:paraId="7AF1498F" w14:textId="77777777" w:rsidR="00AB7A5F" w:rsidRPr="00AB7A5F" w:rsidRDefault="00AB7A5F" w:rsidP="00AB7A5F">
            <w:pPr>
              <w:spacing w:line="440" w:lineRule="exact"/>
              <w:jc w:val="center"/>
              <w:rPr>
                <w:rFonts w:ascii="Times New Roman" w:eastAsia="宋体" w:hAnsi="Times New Roman" w:cs="Times New Roman"/>
                <w:bCs/>
                <w:sz w:val="24"/>
                <w:szCs w:val="24"/>
              </w:rPr>
            </w:pPr>
            <w:r w:rsidRPr="00AB7A5F">
              <w:rPr>
                <w:rFonts w:ascii="Times New Roman" w:eastAsia="宋体" w:hAnsi="Times New Roman" w:cs="Times New Roman"/>
                <w:bCs/>
                <w:sz w:val="24"/>
                <w:szCs w:val="24"/>
              </w:rPr>
              <w:t>20</w:t>
            </w:r>
          </w:p>
        </w:tc>
      </w:tr>
      <w:tr w:rsidR="00AB7A5F" w:rsidRPr="00AB7A5F" w14:paraId="09B03A3F" w14:textId="77777777" w:rsidTr="00AB7A5F">
        <w:trPr>
          <w:jc w:val="center"/>
        </w:trPr>
        <w:tc>
          <w:tcPr>
            <w:tcW w:w="942" w:type="pct"/>
            <w:vAlign w:val="center"/>
          </w:tcPr>
          <w:p w14:paraId="340F1330" w14:textId="77777777" w:rsidR="00AB7A5F" w:rsidRPr="00AB7A5F" w:rsidRDefault="00AB7A5F" w:rsidP="00AB7A5F">
            <w:pPr>
              <w:spacing w:line="440" w:lineRule="exact"/>
              <w:jc w:val="center"/>
              <w:rPr>
                <w:rFonts w:ascii="Times New Roman" w:eastAsia="宋体" w:hAnsi="Times New Roman" w:cs="Times New Roman"/>
                <w:bCs/>
                <w:sz w:val="24"/>
                <w:szCs w:val="24"/>
              </w:rPr>
            </w:pPr>
            <w:r w:rsidRPr="00AB7A5F">
              <w:rPr>
                <w:rFonts w:ascii="Times New Roman" w:eastAsia="宋体" w:hAnsi="Times New Roman" w:cs="Times New Roman"/>
                <w:bCs/>
                <w:sz w:val="24"/>
                <w:szCs w:val="24"/>
              </w:rPr>
              <w:t>合计</w:t>
            </w:r>
          </w:p>
        </w:tc>
        <w:tc>
          <w:tcPr>
            <w:tcW w:w="961" w:type="pct"/>
            <w:vAlign w:val="center"/>
          </w:tcPr>
          <w:p w14:paraId="415FF918" w14:textId="77777777" w:rsidR="00AB7A5F" w:rsidRPr="00AB7A5F" w:rsidRDefault="00AB7A5F" w:rsidP="00AB7A5F">
            <w:pPr>
              <w:spacing w:line="440" w:lineRule="exact"/>
              <w:jc w:val="center"/>
              <w:rPr>
                <w:rFonts w:ascii="Times New Roman" w:eastAsia="宋体" w:hAnsi="Times New Roman" w:cs="Times New Roman"/>
                <w:bCs/>
                <w:sz w:val="24"/>
                <w:szCs w:val="24"/>
              </w:rPr>
            </w:pPr>
            <w:r w:rsidRPr="00AB7A5F">
              <w:rPr>
                <w:rFonts w:ascii="Times New Roman" w:eastAsia="宋体" w:hAnsi="Times New Roman" w:cs="Times New Roman"/>
                <w:bCs/>
                <w:sz w:val="24"/>
                <w:szCs w:val="24"/>
              </w:rPr>
              <w:t>20</w:t>
            </w:r>
          </w:p>
        </w:tc>
        <w:tc>
          <w:tcPr>
            <w:tcW w:w="1032" w:type="pct"/>
            <w:vAlign w:val="center"/>
          </w:tcPr>
          <w:p w14:paraId="19E3F3B3" w14:textId="77777777" w:rsidR="00AB7A5F" w:rsidRPr="00AB7A5F" w:rsidRDefault="00AB7A5F" w:rsidP="00AB7A5F">
            <w:pPr>
              <w:spacing w:line="440" w:lineRule="exact"/>
              <w:jc w:val="center"/>
              <w:rPr>
                <w:rFonts w:ascii="Times New Roman" w:eastAsia="宋体" w:hAnsi="Times New Roman" w:cs="Times New Roman"/>
                <w:bCs/>
                <w:sz w:val="24"/>
                <w:szCs w:val="24"/>
              </w:rPr>
            </w:pPr>
            <w:r w:rsidRPr="00AB7A5F">
              <w:rPr>
                <w:rFonts w:ascii="Times New Roman" w:eastAsia="宋体" w:hAnsi="Times New Roman" w:cs="Times New Roman"/>
                <w:bCs/>
                <w:sz w:val="24"/>
                <w:szCs w:val="24"/>
              </w:rPr>
              <w:t>30</w:t>
            </w:r>
          </w:p>
        </w:tc>
        <w:tc>
          <w:tcPr>
            <w:tcW w:w="1032" w:type="pct"/>
            <w:vAlign w:val="center"/>
          </w:tcPr>
          <w:p w14:paraId="5908D5AB" w14:textId="77777777" w:rsidR="00AB7A5F" w:rsidRPr="00AB7A5F" w:rsidRDefault="00AB7A5F" w:rsidP="00AB7A5F">
            <w:pPr>
              <w:spacing w:line="440" w:lineRule="exact"/>
              <w:jc w:val="center"/>
              <w:rPr>
                <w:rFonts w:ascii="Times New Roman" w:eastAsia="宋体" w:hAnsi="Times New Roman" w:cs="Times New Roman"/>
                <w:bCs/>
                <w:sz w:val="24"/>
                <w:szCs w:val="24"/>
              </w:rPr>
            </w:pPr>
            <w:r w:rsidRPr="00AB7A5F">
              <w:rPr>
                <w:rFonts w:ascii="Times New Roman" w:eastAsia="宋体" w:hAnsi="Times New Roman" w:cs="Times New Roman" w:hint="eastAsia"/>
                <w:bCs/>
                <w:sz w:val="24"/>
                <w:szCs w:val="24"/>
              </w:rPr>
              <w:t>5</w:t>
            </w:r>
            <w:r w:rsidRPr="00AB7A5F">
              <w:rPr>
                <w:rFonts w:ascii="Times New Roman" w:eastAsia="宋体" w:hAnsi="Times New Roman" w:cs="Times New Roman"/>
                <w:bCs/>
                <w:sz w:val="24"/>
                <w:szCs w:val="24"/>
              </w:rPr>
              <w:t>0</w:t>
            </w:r>
          </w:p>
        </w:tc>
        <w:tc>
          <w:tcPr>
            <w:tcW w:w="1032" w:type="pct"/>
          </w:tcPr>
          <w:p w14:paraId="42F9F170" w14:textId="77777777" w:rsidR="00AB7A5F" w:rsidRPr="00AB7A5F" w:rsidRDefault="00AB7A5F" w:rsidP="00AB7A5F">
            <w:pPr>
              <w:spacing w:line="440" w:lineRule="exact"/>
              <w:jc w:val="center"/>
              <w:rPr>
                <w:rFonts w:ascii="Times New Roman" w:eastAsia="宋体" w:hAnsi="Times New Roman" w:cs="Times New Roman"/>
                <w:bCs/>
                <w:sz w:val="24"/>
                <w:szCs w:val="24"/>
              </w:rPr>
            </w:pPr>
            <w:r w:rsidRPr="00AB7A5F">
              <w:rPr>
                <w:rFonts w:ascii="Times New Roman" w:eastAsia="宋体" w:hAnsi="Times New Roman" w:cs="Times New Roman"/>
                <w:bCs/>
                <w:sz w:val="24"/>
                <w:szCs w:val="24"/>
              </w:rPr>
              <w:t>100</w:t>
            </w:r>
          </w:p>
        </w:tc>
      </w:tr>
    </w:tbl>
    <w:p w14:paraId="48B72D39"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五、成绩评定</w:t>
      </w:r>
    </w:p>
    <w:p w14:paraId="364EAF3C"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（一）总成绩评定</w:t>
      </w:r>
    </w:p>
    <w:p w14:paraId="03A56E3D"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总成绩</w:t>
      </w:r>
      <w:r w:rsidRPr="00AB7A5F">
        <w:rPr>
          <w:rFonts w:ascii="Times New Roman" w:eastAsia="宋体" w:hAnsi="Times New Roman" w:cs="Times New Roman"/>
          <w:sz w:val="24"/>
          <w:szCs w:val="24"/>
        </w:rPr>
        <w:t>=</w:t>
      </w:r>
      <w:r w:rsidRPr="00AB7A5F">
        <w:rPr>
          <w:rFonts w:ascii="Times New Roman" w:eastAsia="宋体" w:hAnsi="Times New Roman" w:cs="Times New Roman"/>
          <w:sz w:val="24"/>
          <w:szCs w:val="24"/>
        </w:rPr>
        <w:t>平时成绩</w:t>
      </w:r>
      <w:r w:rsidRPr="00AB7A5F">
        <w:rPr>
          <w:rFonts w:ascii="Times New Roman" w:eastAsia="宋体" w:hAnsi="Times New Roman" w:cs="Times New Roman"/>
          <w:sz w:val="24"/>
          <w:szCs w:val="24"/>
        </w:rPr>
        <w:t>×</w:t>
      </w:r>
      <w:r w:rsidRPr="00AB7A5F">
        <w:rPr>
          <w:rFonts w:ascii="Times New Roman" w:eastAsia="宋体" w:hAnsi="Times New Roman" w:cs="Times New Roman" w:hint="eastAsia"/>
          <w:sz w:val="24"/>
          <w:szCs w:val="24"/>
        </w:rPr>
        <w:t>50</w:t>
      </w:r>
      <w:r w:rsidRPr="00AB7A5F">
        <w:rPr>
          <w:rFonts w:ascii="Times New Roman" w:eastAsia="宋体" w:hAnsi="Times New Roman" w:cs="Times New Roman"/>
          <w:sz w:val="24"/>
          <w:szCs w:val="24"/>
        </w:rPr>
        <w:t>%+</w:t>
      </w:r>
      <w:r w:rsidRPr="00AB7A5F">
        <w:rPr>
          <w:rFonts w:ascii="Times New Roman" w:eastAsia="宋体" w:hAnsi="Times New Roman" w:cs="Times New Roman"/>
          <w:sz w:val="24"/>
          <w:szCs w:val="24"/>
        </w:rPr>
        <w:t>期末成绩</w:t>
      </w:r>
      <w:r w:rsidRPr="00AB7A5F">
        <w:rPr>
          <w:rFonts w:ascii="Times New Roman" w:eastAsia="宋体" w:hAnsi="Times New Roman" w:cs="Times New Roman"/>
          <w:sz w:val="24"/>
          <w:szCs w:val="24"/>
        </w:rPr>
        <w:t>×</w:t>
      </w:r>
      <w:r w:rsidRPr="00AB7A5F">
        <w:rPr>
          <w:rFonts w:ascii="Times New Roman" w:eastAsia="宋体" w:hAnsi="Times New Roman" w:cs="Times New Roman" w:hint="eastAsia"/>
          <w:sz w:val="24"/>
          <w:szCs w:val="24"/>
        </w:rPr>
        <w:t>5</w:t>
      </w:r>
      <w:r w:rsidRPr="00AB7A5F">
        <w:rPr>
          <w:rFonts w:ascii="Times New Roman" w:eastAsia="宋体" w:hAnsi="Times New Roman" w:cs="Times New Roman"/>
          <w:sz w:val="24"/>
          <w:szCs w:val="24"/>
        </w:rPr>
        <w:t>0%</w:t>
      </w:r>
    </w:p>
    <w:p w14:paraId="7C82BAAD"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（二）平时成绩评定</w:t>
      </w:r>
    </w:p>
    <w:p w14:paraId="3E40789B"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平时成绩（</w:t>
      </w:r>
      <w:r w:rsidRPr="00AB7A5F">
        <w:rPr>
          <w:rFonts w:ascii="Times New Roman" w:eastAsia="宋体" w:hAnsi="Times New Roman" w:cs="Times New Roman"/>
          <w:sz w:val="24"/>
          <w:szCs w:val="24"/>
        </w:rPr>
        <w:t>100%</w:t>
      </w:r>
      <w:r w:rsidRPr="00AB7A5F">
        <w:rPr>
          <w:rFonts w:ascii="Times New Roman" w:eastAsia="宋体" w:hAnsi="Times New Roman" w:cs="Times New Roman"/>
          <w:sz w:val="24"/>
          <w:szCs w:val="24"/>
        </w:rPr>
        <w:t>）</w:t>
      </w:r>
      <w:r w:rsidRPr="00AB7A5F">
        <w:rPr>
          <w:rFonts w:ascii="Times New Roman" w:eastAsia="宋体" w:hAnsi="Times New Roman" w:cs="Times New Roman"/>
          <w:sz w:val="24"/>
          <w:szCs w:val="24"/>
        </w:rPr>
        <w:t>=</w:t>
      </w:r>
      <w:r w:rsidRPr="00AB7A5F">
        <w:rPr>
          <w:rFonts w:ascii="Times New Roman" w:eastAsia="宋体" w:hAnsi="Times New Roman" w:cs="Times New Roman"/>
          <w:sz w:val="24"/>
          <w:szCs w:val="24"/>
        </w:rPr>
        <w:t>课堂表现（</w:t>
      </w:r>
      <w:r w:rsidRPr="00AB7A5F">
        <w:rPr>
          <w:rFonts w:ascii="Times New Roman" w:eastAsia="宋体" w:hAnsi="Times New Roman" w:cs="Times New Roman" w:hint="eastAsia"/>
          <w:sz w:val="24"/>
          <w:szCs w:val="24"/>
        </w:rPr>
        <w:t>40</w:t>
      </w:r>
      <w:r w:rsidRPr="00AB7A5F">
        <w:rPr>
          <w:rFonts w:ascii="Times New Roman" w:eastAsia="宋体" w:hAnsi="Times New Roman" w:cs="Times New Roman"/>
          <w:sz w:val="24"/>
          <w:szCs w:val="24"/>
        </w:rPr>
        <w:t>%</w:t>
      </w:r>
      <w:r w:rsidRPr="00AB7A5F">
        <w:rPr>
          <w:rFonts w:ascii="Times New Roman" w:eastAsia="宋体" w:hAnsi="Times New Roman" w:cs="Times New Roman"/>
          <w:sz w:val="24"/>
          <w:szCs w:val="24"/>
        </w:rPr>
        <w:t>）</w:t>
      </w:r>
      <w:r w:rsidRPr="00AB7A5F">
        <w:rPr>
          <w:rFonts w:ascii="Times New Roman" w:eastAsia="宋体" w:hAnsi="Times New Roman" w:cs="Times New Roman"/>
          <w:sz w:val="24"/>
          <w:szCs w:val="24"/>
        </w:rPr>
        <w:t>+</w:t>
      </w:r>
      <w:r w:rsidRPr="00AB7A5F">
        <w:rPr>
          <w:rFonts w:ascii="Times New Roman" w:eastAsia="宋体" w:hAnsi="Times New Roman" w:cs="Times New Roman" w:hint="eastAsia"/>
          <w:sz w:val="24"/>
          <w:szCs w:val="24"/>
        </w:rPr>
        <w:t>平时作业</w:t>
      </w:r>
      <w:r w:rsidRPr="00AB7A5F">
        <w:rPr>
          <w:rFonts w:ascii="Times New Roman" w:eastAsia="宋体" w:hAnsi="Times New Roman" w:cs="Times New Roman"/>
          <w:sz w:val="24"/>
          <w:szCs w:val="24"/>
        </w:rPr>
        <w:t>（</w:t>
      </w:r>
      <w:r w:rsidRPr="00AB7A5F">
        <w:rPr>
          <w:rFonts w:ascii="Times New Roman" w:eastAsia="宋体" w:hAnsi="Times New Roman" w:cs="Times New Roman" w:hint="eastAsia"/>
          <w:sz w:val="24"/>
          <w:szCs w:val="24"/>
        </w:rPr>
        <w:t>60</w:t>
      </w:r>
      <w:r w:rsidRPr="00AB7A5F">
        <w:rPr>
          <w:rFonts w:ascii="Times New Roman" w:eastAsia="宋体" w:hAnsi="Times New Roman" w:cs="Times New Roman"/>
          <w:sz w:val="24"/>
          <w:szCs w:val="24"/>
        </w:rPr>
        <w:t>%</w:t>
      </w:r>
      <w:r w:rsidRPr="00AB7A5F">
        <w:rPr>
          <w:rFonts w:ascii="Times New Roman" w:eastAsia="宋体" w:hAnsi="Times New Roman" w:cs="Times New Roman"/>
          <w:sz w:val="24"/>
          <w:szCs w:val="24"/>
        </w:rPr>
        <w:t>）</w:t>
      </w:r>
    </w:p>
    <w:p w14:paraId="4A5FB297"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考核方式</w:t>
      </w:r>
      <w:r w:rsidRPr="00AB7A5F">
        <w:rPr>
          <w:rFonts w:ascii="Times New Roman" w:eastAsia="宋体" w:hAnsi="Times New Roman" w:cs="Times New Roman"/>
          <w:sz w:val="24"/>
          <w:szCs w:val="24"/>
        </w:rPr>
        <w:t>:</w:t>
      </w:r>
    </w:p>
    <w:p w14:paraId="5453345B"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w:t>
      </w:r>
      <w:r w:rsidRPr="00AB7A5F">
        <w:rPr>
          <w:rFonts w:ascii="Times New Roman" w:eastAsia="宋体" w:hAnsi="Times New Roman" w:cs="Times New Roman"/>
          <w:sz w:val="24"/>
          <w:szCs w:val="24"/>
        </w:rPr>
        <w:t>1</w:t>
      </w:r>
      <w:r w:rsidRPr="00AB7A5F">
        <w:rPr>
          <w:rFonts w:ascii="Times New Roman" w:eastAsia="宋体" w:hAnsi="Times New Roman" w:cs="Times New Roman"/>
          <w:sz w:val="24"/>
          <w:szCs w:val="24"/>
        </w:rPr>
        <w:t>）课堂表现：通过学生在课堂上的表现情况、发言与提问情况</w:t>
      </w:r>
      <w:r w:rsidRPr="00AB7A5F">
        <w:rPr>
          <w:rFonts w:ascii="Times New Roman" w:eastAsia="宋体" w:hAnsi="Times New Roman" w:cs="Times New Roman" w:hint="eastAsia"/>
          <w:sz w:val="24"/>
          <w:szCs w:val="24"/>
        </w:rPr>
        <w:t>，</w:t>
      </w:r>
      <w:r w:rsidRPr="00AB7A5F">
        <w:rPr>
          <w:rFonts w:ascii="Times New Roman" w:eastAsia="宋体" w:hAnsi="Times New Roman" w:cs="Times New Roman"/>
          <w:sz w:val="24"/>
          <w:szCs w:val="24"/>
        </w:rPr>
        <w:t>来评价学生相关的能力；</w:t>
      </w:r>
    </w:p>
    <w:p w14:paraId="170C574F"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w:t>
      </w:r>
      <w:r w:rsidRPr="00AB7A5F">
        <w:rPr>
          <w:rFonts w:ascii="Times New Roman" w:eastAsia="宋体" w:hAnsi="Times New Roman" w:cs="Times New Roman"/>
          <w:sz w:val="24"/>
          <w:szCs w:val="24"/>
        </w:rPr>
        <w:t>2</w:t>
      </w:r>
      <w:r w:rsidRPr="00AB7A5F">
        <w:rPr>
          <w:rFonts w:ascii="Times New Roman" w:eastAsia="宋体" w:hAnsi="Times New Roman" w:cs="Times New Roman"/>
          <w:sz w:val="24"/>
          <w:szCs w:val="24"/>
        </w:rPr>
        <w:t>）</w:t>
      </w:r>
      <w:r w:rsidRPr="00AB7A5F">
        <w:rPr>
          <w:rFonts w:ascii="Times New Roman" w:eastAsia="宋体" w:hAnsi="Times New Roman" w:cs="Times New Roman" w:hint="eastAsia"/>
          <w:sz w:val="24"/>
          <w:szCs w:val="24"/>
        </w:rPr>
        <w:t>平时作业</w:t>
      </w:r>
      <w:r w:rsidRPr="00AB7A5F">
        <w:rPr>
          <w:rFonts w:ascii="Times New Roman" w:eastAsia="宋体" w:hAnsi="Times New Roman" w:cs="Times New Roman"/>
          <w:sz w:val="24"/>
          <w:szCs w:val="24"/>
        </w:rPr>
        <w:t>：学生在平时</w:t>
      </w:r>
      <w:r w:rsidRPr="00AB7A5F">
        <w:rPr>
          <w:rFonts w:ascii="Times New Roman" w:eastAsia="宋体" w:hAnsi="Times New Roman" w:cs="Times New Roman" w:hint="eastAsia"/>
          <w:sz w:val="24"/>
          <w:szCs w:val="24"/>
        </w:rPr>
        <w:t>作业</w:t>
      </w:r>
      <w:r w:rsidRPr="00AB7A5F">
        <w:rPr>
          <w:rFonts w:ascii="Times New Roman" w:eastAsia="宋体" w:hAnsi="Times New Roman" w:cs="Times New Roman"/>
          <w:sz w:val="24"/>
          <w:szCs w:val="24"/>
        </w:rPr>
        <w:t>中掌握课程的情况；</w:t>
      </w:r>
    </w:p>
    <w:p w14:paraId="4F7E39C8"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（三）期末成绩评定</w:t>
      </w:r>
    </w:p>
    <w:p w14:paraId="387B7D75"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期末考核主要考察学生对基本概念、操作程序和具体方法的理解与运用等。方式为闭卷考试。要求学生掌握基本概念、操作程序，运用具体方法解决相关问题。</w:t>
      </w:r>
    </w:p>
    <w:p w14:paraId="7488B623"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六、使用教材、相关推荐书目及课程资源</w:t>
      </w:r>
    </w:p>
    <w:p w14:paraId="3BC0453E"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（一）使用教材</w:t>
      </w:r>
    </w:p>
    <w:p w14:paraId="5A2D1DFC"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hint="eastAsia"/>
          <w:sz w:val="24"/>
          <w:szCs w:val="24"/>
        </w:rPr>
        <w:t>张乐华</w:t>
      </w:r>
      <w:r w:rsidRPr="00AB7A5F">
        <w:rPr>
          <w:rFonts w:ascii="Times New Roman" w:eastAsia="宋体" w:hAnsi="Times New Roman" w:cs="Times New Roman"/>
          <w:sz w:val="24"/>
          <w:szCs w:val="24"/>
        </w:rPr>
        <w:t>主编：《无机化学》（第</w:t>
      </w:r>
      <w:r w:rsidRPr="00AB7A5F">
        <w:rPr>
          <w:rFonts w:ascii="Times New Roman" w:eastAsia="宋体" w:hAnsi="Times New Roman" w:cs="Times New Roman" w:hint="eastAsia"/>
          <w:sz w:val="24"/>
          <w:szCs w:val="24"/>
        </w:rPr>
        <w:t>3</w:t>
      </w:r>
      <w:r w:rsidRPr="00AB7A5F">
        <w:rPr>
          <w:rFonts w:ascii="Times New Roman" w:eastAsia="宋体" w:hAnsi="Times New Roman" w:cs="Times New Roman"/>
          <w:sz w:val="24"/>
          <w:szCs w:val="24"/>
        </w:rPr>
        <w:t>版），高等教育出版社，</w:t>
      </w:r>
      <w:r w:rsidRPr="00AB7A5F">
        <w:rPr>
          <w:rFonts w:ascii="Times New Roman" w:eastAsia="宋体" w:hAnsi="Times New Roman" w:cs="Times New Roman"/>
          <w:sz w:val="24"/>
          <w:szCs w:val="24"/>
        </w:rPr>
        <w:t>20</w:t>
      </w:r>
      <w:r w:rsidRPr="00AB7A5F">
        <w:rPr>
          <w:rFonts w:ascii="Times New Roman" w:eastAsia="宋体" w:hAnsi="Times New Roman" w:cs="Times New Roman" w:hint="eastAsia"/>
          <w:sz w:val="24"/>
          <w:szCs w:val="24"/>
        </w:rPr>
        <w:t>17</w:t>
      </w:r>
      <w:r w:rsidRPr="00AB7A5F">
        <w:rPr>
          <w:rFonts w:ascii="Times New Roman" w:eastAsia="宋体" w:hAnsi="Times New Roman" w:cs="Times New Roman"/>
          <w:sz w:val="24"/>
          <w:szCs w:val="24"/>
        </w:rPr>
        <w:t>年版</w:t>
      </w:r>
    </w:p>
    <w:p w14:paraId="0FE42ACF"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（二）相关推荐书目</w:t>
      </w:r>
    </w:p>
    <w:p w14:paraId="3F4B0E02"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4"/>
        </w:rPr>
        <w:t>武汉大学、吉林大学等校编：《无机化学》（上册）（第一版），高等教育出版社，</w:t>
      </w:r>
      <w:r w:rsidRPr="00AB7A5F">
        <w:rPr>
          <w:rFonts w:ascii="Times New Roman" w:eastAsia="宋体" w:hAnsi="Times New Roman" w:cs="Times New Roman"/>
          <w:sz w:val="24"/>
          <w:szCs w:val="24"/>
        </w:rPr>
        <w:t xml:space="preserve"> 2004</w:t>
      </w:r>
      <w:r w:rsidRPr="00AB7A5F">
        <w:rPr>
          <w:rFonts w:ascii="Times New Roman" w:eastAsia="宋体" w:hAnsi="Times New Roman" w:cs="Times New Roman"/>
          <w:sz w:val="24"/>
          <w:szCs w:val="24"/>
        </w:rPr>
        <w:t>年版；</w:t>
      </w:r>
    </w:p>
    <w:p w14:paraId="3D652F27"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2. </w:t>
      </w:r>
      <w:r w:rsidRPr="00AB7A5F">
        <w:rPr>
          <w:rFonts w:ascii="Times New Roman" w:eastAsia="宋体" w:hAnsi="Times New Roman" w:cs="Times New Roman"/>
          <w:sz w:val="24"/>
          <w:szCs w:val="24"/>
        </w:rPr>
        <w:t>河北师范大学、辽宁师范大学等合编：《无机化学》（上册）（第一版），高等教育出版社，</w:t>
      </w:r>
      <w:r w:rsidRPr="00AB7A5F">
        <w:rPr>
          <w:rFonts w:ascii="Times New Roman" w:eastAsia="宋体" w:hAnsi="Times New Roman" w:cs="Times New Roman"/>
          <w:sz w:val="24"/>
          <w:szCs w:val="24"/>
        </w:rPr>
        <w:t xml:space="preserve"> 2005</w:t>
      </w:r>
      <w:r w:rsidRPr="00AB7A5F">
        <w:rPr>
          <w:rFonts w:ascii="Times New Roman" w:eastAsia="宋体" w:hAnsi="Times New Roman" w:cs="Times New Roman"/>
          <w:sz w:val="24"/>
          <w:szCs w:val="24"/>
        </w:rPr>
        <w:t>年版；</w:t>
      </w:r>
      <w:r w:rsidRPr="00AB7A5F">
        <w:rPr>
          <w:rFonts w:ascii="Times New Roman" w:eastAsia="宋体" w:hAnsi="Times New Roman" w:cs="Times New Roman"/>
          <w:sz w:val="24"/>
          <w:szCs w:val="24"/>
        </w:rPr>
        <w:t xml:space="preserve"> </w:t>
      </w:r>
    </w:p>
    <w:p w14:paraId="6DCECF7F"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3. </w:t>
      </w:r>
      <w:r w:rsidRPr="00AB7A5F">
        <w:rPr>
          <w:rFonts w:ascii="Times New Roman" w:eastAsia="宋体" w:hAnsi="Times New Roman" w:cs="Times New Roman"/>
          <w:sz w:val="24"/>
          <w:szCs w:val="24"/>
        </w:rPr>
        <w:t>北京师范大学、华中师范大学等编：《无机化学》（上册）（第三版），高等教育出版社，</w:t>
      </w:r>
      <w:r w:rsidRPr="00AB7A5F">
        <w:rPr>
          <w:rFonts w:ascii="Times New Roman" w:eastAsia="宋体" w:hAnsi="Times New Roman" w:cs="Times New Roman"/>
          <w:sz w:val="24"/>
          <w:szCs w:val="24"/>
        </w:rPr>
        <w:t>1992</w:t>
      </w:r>
      <w:r w:rsidRPr="00AB7A5F">
        <w:rPr>
          <w:rFonts w:ascii="Times New Roman" w:eastAsia="宋体" w:hAnsi="Times New Roman" w:cs="Times New Roman"/>
          <w:sz w:val="24"/>
          <w:szCs w:val="24"/>
        </w:rPr>
        <w:t>年版；</w:t>
      </w:r>
    </w:p>
    <w:p w14:paraId="31FB1D4B"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lastRenderedPageBreak/>
        <w:t xml:space="preserve">4. </w:t>
      </w:r>
      <w:r w:rsidRPr="00AB7A5F">
        <w:rPr>
          <w:rFonts w:ascii="Times New Roman" w:eastAsia="宋体" w:hAnsi="Times New Roman" w:cs="Times New Roman"/>
          <w:sz w:val="24"/>
          <w:szCs w:val="24"/>
        </w:rPr>
        <w:t>大连理工大学无机化学研究室编著：《无机化学》，高等教育出版社，</w:t>
      </w:r>
      <w:r w:rsidRPr="00AB7A5F">
        <w:rPr>
          <w:rFonts w:ascii="Times New Roman" w:eastAsia="宋体" w:hAnsi="Times New Roman" w:cs="Times New Roman"/>
          <w:sz w:val="24"/>
          <w:szCs w:val="24"/>
        </w:rPr>
        <w:t>2003</w:t>
      </w:r>
      <w:r w:rsidRPr="00AB7A5F">
        <w:rPr>
          <w:rFonts w:ascii="Times New Roman" w:eastAsia="宋体" w:hAnsi="Times New Roman" w:cs="Times New Roman"/>
          <w:sz w:val="24"/>
          <w:szCs w:val="24"/>
        </w:rPr>
        <w:t>年版；</w:t>
      </w:r>
    </w:p>
    <w:p w14:paraId="099F9E4A"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5. </w:t>
      </w:r>
      <w:r w:rsidRPr="00AB7A5F">
        <w:rPr>
          <w:rFonts w:ascii="Times New Roman" w:eastAsia="宋体" w:hAnsi="Times New Roman" w:cs="Times New Roman"/>
          <w:sz w:val="24"/>
          <w:szCs w:val="24"/>
        </w:rPr>
        <w:t>南京大学无机及分析化学编写组编：《无机及分析化学》，高等教育出版社，</w:t>
      </w:r>
      <w:r w:rsidRPr="00AB7A5F">
        <w:rPr>
          <w:rFonts w:ascii="Times New Roman" w:eastAsia="宋体" w:hAnsi="Times New Roman" w:cs="Times New Roman"/>
          <w:sz w:val="24"/>
          <w:szCs w:val="24"/>
        </w:rPr>
        <w:t>2006</w:t>
      </w:r>
      <w:r w:rsidRPr="00AB7A5F">
        <w:rPr>
          <w:rFonts w:ascii="Times New Roman" w:eastAsia="宋体" w:hAnsi="Times New Roman" w:cs="Times New Roman"/>
          <w:sz w:val="24"/>
          <w:szCs w:val="24"/>
        </w:rPr>
        <w:t>年版。</w:t>
      </w:r>
    </w:p>
    <w:p w14:paraId="4B8840C4"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（三）课程资源</w:t>
      </w:r>
    </w:p>
    <w:p w14:paraId="45298EC5"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1. </w:t>
      </w:r>
      <w:r w:rsidRPr="00AB7A5F">
        <w:rPr>
          <w:rFonts w:ascii="Times New Roman" w:eastAsia="宋体" w:hAnsi="Times New Roman" w:cs="Times New Roman"/>
          <w:sz w:val="24"/>
          <w:szCs w:val="24"/>
        </w:rPr>
        <w:t>在学习</w:t>
      </w:r>
      <w:proofErr w:type="gramStart"/>
      <w:r w:rsidRPr="00AB7A5F">
        <w:rPr>
          <w:rFonts w:ascii="Times New Roman" w:eastAsia="宋体" w:hAnsi="Times New Roman" w:cs="Times New Roman"/>
          <w:sz w:val="24"/>
          <w:szCs w:val="24"/>
        </w:rPr>
        <w:t>通或者雨</w:t>
      </w:r>
      <w:proofErr w:type="gramEnd"/>
      <w:r w:rsidRPr="00AB7A5F">
        <w:rPr>
          <w:rFonts w:ascii="Times New Roman" w:eastAsia="宋体" w:hAnsi="Times New Roman" w:cs="Times New Roman"/>
          <w:sz w:val="24"/>
          <w:szCs w:val="24"/>
        </w:rPr>
        <w:t>课堂等在线网站建立了网络课程</w:t>
      </w:r>
    </w:p>
    <w:p w14:paraId="66570729"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 xml:space="preserve">2. </w:t>
      </w:r>
      <w:hyperlink r:id="rId37" w:history="1">
        <w:r w:rsidRPr="00AB7A5F">
          <w:rPr>
            <w:rFonts w:ascii="Times New Roman" w:eastAsia="宋体" w:hAnsi="Times New Roman" w:cs="Times New Roman"/>
            <w:color w:val="3F5094"/>
            <w:sz w:val="24"/>
            <w:szCs w:val="24"/>
            <w:u w:val="single"/>
          </w:rPr>
          <w:t>https://www.icourse163.org/course/DLUT-1001630001</w:t>
        </w:r>
      </w:hyperlink>
      <w:r w:rsidRPr="00AB7A5F">
        <w:rPr>
          <w:rFonts w:ascii="Times New Roman" w:eastAsia="宋体" w:hAnsi="Times New Roman" w:cs="Times New Roman"/>
          <w:sz w:val="24"/>
          <w:szCs w:val="24"/>
        </w:rPr>
        <w:t>（大连理工大学无机化学在线课程）。</w:t>
      </w:r>
    </w:p>
    <w:p w14:paraId="33BAA9CE" w14:textId="77777777" w:rsidR="00AB7A5F" w:rsidRPr="00AB7A5F" w:rsidRDefault="00AB7A5F" w:rsidP="00AB7A5F">
      <w:pPr>
        <w:spacing w:beforeLines="50" w:before="156" w:afterLines="50" w:after="156" w:line="440" w:lineRule="exact"/>
        <w:ind w:firstLineChars="200" w:firstLine="560"/>
        <w:rPr>
          <w:rFonts w:ascii="Times New Roman" w:eastAsia="黑体" w:hAnsi="Times New Roman" w:cs="Times New Roman"/>
          <w:sz w:val="28"/>
          <w:szCs w:val="28"/>
        </w:rPr>
      </w:pPr>
      <w:r w:rsidRPr="00AB7A5F">
        <w:rPr>
          <w:rFonts w:ascii="Times New Roman" w:eastAsia="黑体" w:hAnsi="Times New Roman" w:cs="Times New Roman"/>
          <w:sz w:val="28"/>
          <w:szCs w:val="28"/>
        </w:rPr>
        <w:t>七、课程大纲制定依据</w:t>
      </w:r>
    </w:p>
    <w:p w14:paraId="1B110B9F" w14:textId="77777777" w:rsidR="00AB7A5F" w:rsidRPr="00AB7A5F" w:rsidRDefault="00AB7A5F" w:rsidP="00AB7A5F">
      <w:pPr>
        <w:spacing w:line="440" w:lineRule="exact"/>
        <w:ind w:firstLineChars="200" w:firstLine="480"/>
        <w:rPr>
          <w:rFonts w:ascii="Times New Roman" w:eastAsia="宋体" w:hAnsi="Times New Roman" w:cs="Times New Roman"/>
          <w:sz w:val="24"/>
          <w:szCs w:val="24"/>
        </w:rPr>
      </w:pPr>
      <w:r w:rsidRPr="00AB7A5F">
        <w:rPr>
          <w:rFonts w:ascii="Times New Roman" w:eastAsia="宋体" w:hAnsi="Times New Roman" w:cs="Times New Roman"/>
          <w:sz w:val="24"/>
          <w:szCs w:val="24"/>
        </w:rPr>
        <w:t>本课程大纲依据</w:t>
      </w:r>
      <w:r w:rsidRPr="00AB7A5F">
        <w:rPr>
          <w:rFonts w:ascii="Times New Roman" w:eastAsia="宋体" w:hAnsi="Times New Roman" w:cs="Times New Roman"/>
          <w:sz w:val="24"/>
          <w:szCs w:val="24"/>
        </w:rPr>
        <w:t>20</w:t>
      </w:r>
      <w:r w:rsidRPr="00AB7A5F">
        <w:rPr>
          <w:rFonts w:ascii="Times New Roman" w:eastAsia="宋体" w:hAnsi="Times New Roman" w:cs="Times New Roman" w:hint="eastAsia"/>
          <w:sz w:val="24"/>
          <w:szCs w:val="24"/>
        </w:rPr>
        <w:t>2</w:t>
      </w:r>
      <w:r w:rsidRPr="00AB7A5F">
        <w:rPr>
          <w:rFonts w:ascii="Times New Roman" w:eastAsia="宋体" w:hAnsi="Times New Roman" w:cs="Times New Roman"/>
          <w:sz w:val="24"/>
          <w:szCs w:val="24"/>
        </w:rPr>
        <w:t>3</w:t>
      </w:r>
      <w:r w:rsidRPr="00AB7A5F">
        <w:rPr>
          <w:rFonts w:ascii="Times New Roman" w:eastAsia="宋体" w:hAnsi="Times New Roman" w:cs="Times New Roman" w:hint="eastAsia"/>
          <w:sz w:val="24"/>
          <w:szCs w:val="24"/>
        </w:rPr>
        <w:t>年药物分析</w:t>
      </w:r>
      <w:r w:rsidRPr="00AB7A5F">
        <w:rPr>
          <w:rFonts w:ascii="Times New Roman" w:eastAsia="宋体" w:hAnsi="Times New Roman" w:cs="Times New Roman"/>
          <w:sz w:val="24"/>
          <w:szCs w:val="24"/>
        </w:rPr>
        <w:t>专业人才培养方案制定。</w:t>
      </w:r>
    </w:p>
    <w:p w14:paraId="77F786AF" w14:textId="77777777" w:rsidR="00AB7A5F" w:rsidRDefault="00AB7A5F" w:rsidP="00423AD2">
      <w:pPr>
        <w:rPr>
          <w:rFonts w:ascii="Calibri" w:eastAsia="宋体" w:hAnsi="Calibri" w:cs="Times New Roman"/>
          <w:bCs/>
        </w:rPr>
      </w:pPr>
    </w:p>
    <w:p w14:paraId="6DF6E30E" w14:textId="77777777" w:rsidR="00AB7A5F" w:rsidRDefault="00AB7A5F" w:rsidP="00423AD2">
      <w:pPr>
        <w:rPr>
          <w:rFonts w:ascii="Calibri" w:eastAsia="宋体" w:hAnsi="Calibri" w:cs="Times New Roman"/>
          <w:bCs/>
        </w:rPr>
      </w:pPr>
    </w:p>
    <w:p w14:paraId="3371771D" w14:textId="77777777" w:rsidR="00AB7A5F" w:rsidRDefault="00AB7A5F" w:rsidP="00423AD2">
      <w:pPr>
        <w:rPr>
          <w:rFonts w:ascii="Calibri" w:eastAsia="宋体" w:hAnsi="Calibri" w:cs="Times New Roman"/>
          <w:bCs/>
        </w:rPr>
      </w:pPr>
    </w:p>
    <w:p w14:paraId="22F36416" w14:textId="77777777" w:rsidR="00AB7A5F" w:rsidRDefault="00AB7A5F" w:rsidP="00423AD2">
      <w:pPr>
        <w:rPr>
          <w:rFonts w:ascii="Calibri" w:eastAsia="宋体" w:hAnsi="Calibri" w:cs="Times New Roman"/>
          <w:bCs/>
        </w:rPr>
      </w:pPr>
    </w:p>
    <w:p w14:paraId="6E535D95" w14:textId="77777777" w:rsidR="00AB7A5F" w:rsidRDefault="00AB7A5F" w:rsidP="00423AD2">
      <w:pPr>
        <w:rPr>
          <w:rFonts w:ascii="Calibri" w:eastAsia="宋体" w:hAnsi="Calibri" w:cs="Times New Roman"/>
          <w:bCs/>
        </w:rPr>
      </w:pPr>
    </w:p>
    <w:p w14:paraId="0F3A02CF" w14:textId="77777777" w:rsidR="00AB7A5F" w:rsidRDefault="00AB7A5F" w:rsidP="00423AD2">
      <w:pPr>
        <w:rPr>
          <w:rFonts w:ascii="Calibri" w:eastAsia="宋体" w:hAnsi="Calibri" w:cs="Times New Roman"/>
          <w:bCs/>
        </w:rPr>
      </w:pPr>
    </w:p>
    <w:p w14:paraId="3F8A8568" w14:textId="77777777" w:rsidR="00AB7A5F" w:rsidRDefault="00AB7A5F" w:rsidP="00423AD2">
      <w:pPr>
        <w:rPr>
          <w:rFonts w:ascii="Calibri" w:eastAsia="宋体" w:hAnsi="Calibri" w:cs="Times New Roman"/>
          <w:bCs/>
        </w:rPr>
      </w:pPr>
    </w:p>
    <w:p w14:paraId="402CC830" w14:textId="77777777" w:rsidR="00AB7A5F" w:rsidRDefault="00AB7A5F" w:rsidP="00423AD2">
      <w:pPr>
        <w:rPr>
          <w:rFonts w:ascii="Calibri" w:eastAsia="宋体" w:hAnsi="Calibri" w:cs="Times New Roman"/>
          <w:bCs/>
        </w:rPr>
      </w:pPr>
    </w:p>
    <w:p w14:paraId="1108B860" w14:textId="77777777" w:rsidR="00AB7A5F" w:rsidRDefault="00AB7A5F" w:rsidP="00423AD2">
      <w:pPr>
        <w:rPr>
          <w:rFonts w:ascii="Calibri" w:eastAsia="宋体" w:hAnsi="Calibri" w:cs="Times New Roman"/>
          <w:bCs/>
        </w:rPr>
      </w:pPr>
    </w:p>
    <w:p w14:paraId="1695F3AC" w14:textId="77777777" w:rsidR="00AB7A5F" w:rsidRDefault="00AB7A5F" w:rsidP="00423AD2">
      <w:pPr>
        <w:rPr>
          <w:rFonts w:ascii="Calibri" w:eastAsia="宋体" w:hAnsi="Calibri" w:cs="Times New Roman"/>
          <w:bCs/>
        </w:rPr>
      </w:pPr>
    </w:p>
    <w:p w14:paraId="11B1DB30" w14:textId="77777777" w:rsidR="00AB7A5F" w:rsidRDefault="00AB7A5F" w:rsidP="00423AD2">
      <w:pPr>
        <w:rPr>
          <w:rFonts w:ascii="Calibri" w:eastAsia="宋体" w:hAnsi="Calibri" w:cs="Times New Roman"/>
          <w:bCs/>
        </w:rPr>
      </w:pPr>
    </w:p>
    <w:p w14:paraId="6F3281C6" w14:textId="77777777" w:rsidR="00AB7A5F" w:rsidRDefault="00AB7A5F" w:rsidP="00423AD2">
      <w:pPr>
        <w:rPr>
          <w:rFonts w:ascii="Calibri" w:eastAsia="宋体" w:hAnsi="Calibri" w:cs="Times New Roman"/>
          <w:bCs/>
        </w:rPr>
      </w:pPr>
    </w:p>
    <w:p w14:paraId="7FA971C0" w14:textId="77777777" w:rsidR="00AB7A5F" w:rsidRDefault="00AB7A5F" w:rsidP="00423AD2">
      <w:pPr>
        <w:rPr>
          <w:rFonts w:ascii="Calibri" w:eastAsia="宋体" w:hAnsi="Calibri" w:cs="Times New Roman"/>
          <w:bCs/>
        </w:rPr>
      </w:pPr>
    </w:p>
    <w:p w14:paraId="227DD773" w14:textId="77777777" w:rsidR="00AB7A5F" w:rsidRDefault="00AB7A5F" w:rsidP="00423AD2">
      <w:pPr>
        <w:rPr>
          <w:rFonts w:ascii="Calibri" w:eastAsia="宋体" w:hAnsi="Calibri" w:cs="Times New Roman"/>
          <w:bCs/>
        </w:rPr>
      </w:pPr>
    </w:p>
    <w:p w14:paraId="50BF24A1" w14:textId="77777777" w:rsidR="00AB7A5F" w:rsidRDefault="00AB7A5F" w:rsidP="00423AD2">
      <w:pPr>
        <w:rPr>
          <w:rFonts w:ascii="Calibri" w:eastAsia="宋体" w:hAnsi="Calibri" w:cs="Times New Roman"/>
          <w:bCs/>
        </w:rPr>
      </w:pPr>
    </w:p>
    <w:p w14:paraId="4FED03C3" w14:textId="77777777" w:rsidR="00AB7A5F" w:rsidRDefault="00AB7A5F" w:rsidP="00423AD2">
      <w:pPr>
        <w:rPr>
          <w:rFonts w:ascii="Calibri" w:eastAsia="宋体" w:hAnsi="Calibri" w:cs="Times New Roman"/>
          <w:bCs/>
        </w:rPr>
      </w:pPr>
    </w:p>
    <w:p w14:paraId="52B6306C" w14:textId="77777777" w:rsidR="00AB7A5F" w:rsidRDefault="00AB7A5F" w:rsidP="00423AD2">
      <w:pPr>
        <w:rPr>
          <w:rFonts w:ascii="Calibri" w:eastAsia="宋体" w:hAnsi="Calibri" w:cs="Times New Roman"/>
          <w:bCs/>
        </w:rPr>
      </w:pPr>
    </w:p>
    <w:p w14:paraId="326C7E3F" w14:textId="77777777" w:rsidR="00AB7A5F" w:rsidRDefault="00AB7A5F" w:rsidP="00423AD2">
      <w:pPr>
        <w:rPr>
          <w:rFonts w:ascii="Calibri" w:eastAsia="宋体" w:hAnsi="Calibri" w:cs="Times New Roman"/>
          <w:bCs/>
        </w:rPr>
      </w:pPr>
    </w:p>
    <w:p w14:paraId="0733F6A8" w14:textId="77777777" w:rsidR="00AB7A5F" w:rsidRDefault="00AB7A5F" w:rsidP="00423AD2">
      <w:pPr>
        <w:rPr>
          <w:rFonts w:ascii="Calibri" w:eastAsia="宋体" w:hAnsi="Calibri" w:cs="Times New Roman"/>
          <w:bCs/>
        </w:rPr>
      </w:pPr>
    </w:p>
    <w:p w14:paraId="6F8A2E3F" w14:textId="77777777" w:rsidR="00AB7A5F" w:rsidRDefault="00AB7A5F" w:rsidP="00423AD2">
      <w:pPr>
        <w:rPr>
          <w:rFonts w:ascii="Calibri" w:eastAsia="宋体" w:hAnsi="Calibri" w:cs="Times New Roman"/>
          <w:bCs/>
        </w:rPr>
      </w:pPr>
    </w:p>
    <w:p w14:paraId="231D0EF7" w14:textId="77777777" w:rsidR="00AB7A5F" w:rsidRDefault="00AB7A5F" w:rsidP="00423AD2">
      <w:pPr>
        <w:rPr>
          <w:rFonts w:ascii="Calibri" w:eastAsia="宋体" w:hAnsi="Calibri" w:cs="Times New Roman"/>
          <w:bCs/>
        </w:rPr>
      </w:pPr>
    </w:p>
    <w:p w14:paraId="2CD3D8BF" w14:textId="77777777" w:rsidR="00AB7A5F" w:rsidRDefault="00AB7A5F" w:rsidP="00423AD2">
      <w:pPr>
        <w:rPr>
          <w:rFonts w:ascii="Calibri" w:eastAsia="宋体" w:hAnsi="Calibri" w:cs="Times New Roman"/>
          <w:bCs/>
        </w:rPr>
      </w:pPr>
    </w:p>
    <w:p w14:paraId="562EE802" w14:textId="77777777" w:rsidR="00AB7A5F" w:rsidRDefault="00AB7A5F" w:rsidP="00423AD2">
      <w:pPr>
        <w:rPr>
          <w:rFonts w:ascii="Calibri" w:eastAsia="宋体" w:hAnsi="Calibri" w:cs="Times New Roman"/>
          <w:bCs/>
        </w:rPr>
      </w:pPr>
    </w:p>
    <w:p w14:paraId="60877FA6" w14:textId="77777777" w:rsidR="00AB7A5F" w:rsidRDefault="00AB7A5F" w:rsidP="00423AD2">
      <w:pPr>
        <w:rPr>
          <w:rFonts w:ascii="Calibri" w:eastAsia="宋体" w:hAnsi="Calibri" w:cs="Times New Roman"/>
          <w:bCs/>
        </w:rPr>
      </w:pPr>
    </w:p>
    <w:p w14:paraId="4938E4DC" w14:textId="77777777" w:rsidR="00AB7A5F" w:rsidRDefault="00AB7A5F" w:rsidP="00423AD2">
      <w:pPr>
        <w:rPr>
          <w:rFonts w:ascii="Calibri" w:eastAsia="宋体" w:hAnsi="Calibri" w:cs="Times New Roman"/>
          <w:bCs/>
        </w:rPr>
      </w:pPr>
    </w:p>
    <w:p w14:paraId="26B0B8CB" w14:textId="77777777" w:rsidR="00AB7A5F" w:rsidRDefault="00AB7A5F" w:rsidP="00423AD2">
      <w:pPr>
        <w:rPr>
          <w:rFonts w:ascii="Calibri" w:eastAsia="宋体" w:hAnsi="Calibri" w:cs="Times New Roman"/>
          <w:bCs/>
        </w:rPr>
      </w:pPr>
    </w:p>
    <w:p w14:paraId="64AE1AA9" w14:textId="77777777" w:rsidR="00AB7A5F" w:rsidRDefault="00AB7A5F" w:rsidP="00423AD2">
      <w:pPr>
        <w:rPr>
          <w:rFonts w:ascii="Calibri" w:eastAsia="宋体" w:hAnsi="Calibri" w:cs="Times New Roman"/>
          <w:bCs/>
        </w:rPr>
      </w:pPr>
    </w:p>
    <w:p w14:paraId="0641BA36" w14:textId="77777777" w:rsidR="00092BC8" w:rsidRPr="00092BC8" w:rsidRDefault="00092BC8" w:rsidP="00092BC8">
      <w:pPr>
        <w:spacing w:beforeLines="100" w:before="312" w:afterLines="100" w:after="312" w:line="440" w:lineRule="exact"/>
        <w:jc w:val="center"/>
        <w:outlineLvl w:val="0"/>
        <w:rPr>
          <w:rFonts w:ascii="Times New Roman" w:eastAsia="黑体" w:hAnsi="Times New Roman" w:cs="Times New Roman"/>
          <w:bCs/>
          <w:sz w:val="36"/>
          <w:szCs w:val="36"/>
        </w:rPr>
      </w:pPr>
      <w:bookmarkStart w:id="153" w:name="_Toc29410"/>
      <w:bookmarkStart w:id="154" w:name="_Toc149662355"/>
      <w:r w:rsidRPr="00092BC8">
        <w:rPr>
          <w:rFonts w:ascii="Times New Roman" w:eastAsia="黑体" w:hAnsi="Times New Roman" w:cs="Times New Roman" w:hint="eastAsia"/>
          <w:bCs/>
          <w:sz w:val="36"/>
          <w:szCs w:val="36"/>
        </w:rPr>
        <w:lastRenderedPageBreak/>
        <w:t>《高等数学</w:t>
      </w:r>
      <w:r w:rsidRPr="00092BC8">
        <w:rPr>
          <w:rFonts w:ascii="黑体" w:eastAsia="黑体" w:hAnsi="黑体" w:cs="Times New Roman"/>
          <w:bCs/>
          <w:kern w:val="0"/>
          <w:sz w:val="36"/>
          <w:szCs w:val="36"/>
        </w:rPr>
        <w:t>D</w:t>
      </w:r>
      <w:r w:rsidRPr="00092BC8">
        <w:rPr>
          <w:rFonts w:ascii="黑体" w:eastAsia="黑体" w:hAnsi="黑体" w:cs="Times New Roman" w:hint="eastAsia"/>
          <w:bCs/>
          <w:kern w:val="0"/>
          <w:sz w:val="36"/>
          <w:szCs w:val="36"/>
        </w:rPr>
        <w:t>2</w:t>
      </w:r>
      <w:r w:rsidRPr="00092BC8">
        <w:rPr>
          <w:rFonts w:ascii="Times New Roman" w:eastAsia="黑体" w:hAnsi="Times New Roman" w:cs="Times New Roman" w:hint="eastAsia"/>
          <w:bCs/>
          <w:sz w:val="36"/>
          <w:szCs w:val="36"/>
        </w:rPr>
        <w:t>》课程大纲</w:t>
      </w:r>
      <w:bookmarkEnd w:id="153"/>
      <w:bookmarkEnd w:id="154"/>
    </w:p>
    <w:p w14:paraId="229163EA" w14:textId="77777777" w:rsidR="00092BC8" w:rsidRPr="00092BC8" w:rsidRDefault="00092BC8" w:rsidP="007902F0">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092BC8">
        <w:rPr>
          <w:rFonts w:ascii="Times New Roman" w:eastAsia="黑体" w:hAnsi="Times New Roman"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2"/>
        <w:gridCol w:w="2274"/>
        <w:gridCol w:w="1465"/>
        <w:gridCol w:w="2711"/>
      </w:tblGrid>
      <w:tr w:rsidR="00092BC8" w:rsidRPr="00092BC8" w14:paraId="38F96C95" w14:textId="77777777" w:rsidTr="00DB6C82">
        <w:trPr>
          <w:trHeight w:val="886"/>
          <w:jc w:val="center"/>
        </w:trPr>
        <w:tc>
          <w:tcPr>
            <w:tcW w:w="1542" w:type="dxa"/>
            <w:vAlign w:val="center"/>
          </w:tcPr>
          <w:p w14:paraId="3EB2C79F"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课程名称</w:t>
            </w:r>
          </w:p>
        </w:tc>
        <w:tc>
          <w:tcPr>
            <w:tcW w:w="2274" w:type="dxa"/>
            <w:vAlign w:val="center"/>
          </w:tcPr>
          <w:p w14:paraId="6BA100C4"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高等数学D2</w:t>
            </w:r>
          </w:p>
        </w:tc>
        <w:tc>
          <w:tcPr>
            <w:tcW w:w="1465" w:type="dxa"/>
            <w:vAlign w:val="center"/>
          </w:tcPr>
          <w:p w14:paraId="1AA74F86"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课程代码</w:t>
            </w:r>
          </w:p>
        </w:tc>
        <w:tc>
          <w:tcPr>
            <w:tcW w:w="2711" w:type="dxa"/>
            <w:vAlign w:val="center"/>
          </w:tcPr>
          <w:p w14:paraId="1FA285F3" w14:textId="77777777" w:rsidR="00092BC8" w:rsidRPr="00092BC8" w:rsidRDefault="00092BC8" w:rsidP="00092BC8">
            <w:pPr>
              <w:spacing w:line="440" w:lineRule="exact"/>
              <w:jc w:val="center"/>
              <w:rPr>
                <w:rFonts w:ascii="宋体" w:eastAsia="宋体" w:hAnsi="宋体" w:cs="Times New Roman"/>
                <w:color w:val="000000"/>
                <w:sz w:val="24"/>
                <w:szCs w:val="24"/>
              </w:rPr>
            </w:pPr>
            <w:r w:rsidRPr="00092BC8">
              <w:rPr>
                <w:rFonts w:ascii="宋体" w:eastAsia="宋体" w:hAnsi="宋体" w:cs="Times New Roman" w:hint="eastAsia"/>
                <w:color w:val="000000"/>
                <w:sz w:val="24"/>
                <w:szCs w:val="24"/>
              </w:rPr>
              <w:t>0501087</w:t>
            </w:r>
          </w:p>
        </w:tc>
      </w:tr>
      <w:tr w:rsidR="00092BC8" w:rsidRPr="00092BC8" w14:paraId="4B16E49D" w14:textId="77777777" w:rsidTr="00DB6C82">
        <w:trPr>
          <w:trHeight w:val="829"/>
          <w:jc w:val="center"/>
        </w:trPr>
        <w:tc>
          <w:tcPr>
            <w:tcW w:w="1542" w:type="dxa"/>
            <w:vAlign w:val="center"/>
          </w:tcPr>
          <w:p w14:paraId="53C75789"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课程类别</w:t>
            </w:r>
          </w:p>
        </w:tc>
        <w:tc>
          <w:tcPr>
            <w:tcW w:w="2274" w:type="dxa"/>
            <w:vAlign w:val="center"/>
          </w:tcPr>
          <w:p w14:paraId="21760095"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专业教育基础</w:t>
            </w:r>
            <w:r w:rsidRPr="00092BC8">
              <w:rPr>
                <w:rFonts w:ascii="宋体" w:eastAsia="宋体" w:hAnsi="宋体" w:cs="Times New Roman"/>
                <w:sz w:val="24"/>
                <w:szCs w:val="24"/>
              </w:rPr>
              <w:t>课程</w:t>
            </w:r>
          </w:p>
        </w:tc>
        <w:tc>
          <w:tcPr>
            <w:tcW w:w="1465" w:type="dxa"/>
            <w:vAlign w:val="center"/>
          </w:tcPr>
          <w:p w14:paraId="4701177D"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学时</w:t>
            </w:r>
          </w:p>
          <w:p w14:paraId="0FEEFB91"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/学分</w:t>
            </w:r>
          </w:p>
        </w:tc>
        <w:tc>
          <w:tcPr>
            <w:tcW w:w="2711" w:type="dxa"/>
            <w:vAlign w:val="center"/>
          </w:tcPr>
          <w:p w14:paraId="5E35A564"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48/3</w:t>
            </w:r>
          </w:p>
        </w:tc>
      </w:tr>
      <w:tr w:rsidR="00092BC8" w:rsidRPr="00092BC8" w14:paraId="0AECA20C" w14:textId="77777777" w:rsidTr="00DB6C82">
        <w:trPr>
          <w:trHeight w:val="811"/>
          <w:jc w:val="center"/>
        </w:trPr>
        <w:tc>
          <w:tcPr>
            <w:tcW w:w="1542" w:type="dxa"/>
            <w:vAlign w:val="center"/>
          </w:tcPr>
          <w:p w14:paraId="484D3B78"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开课单位</w:t>
            </w:r>
          </w:p>
        </w:tc>
        <w:tc>
          <w:tcPr>
            <w:tcW w:w="2274" w:type="dxa"/>
            <w:vAlign w:val="center"/>
          </w:tcPr>
          <w:p w14:paraId="55EF3BAA"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理学院</w:t>
            </w:r>
          </w:p>
        </w:tc>
        <w:tc>
          <w:tcPr>
            <w:tcW w:w="1465" w:type="dxa"/>
            <w:vAlign w:val="center"/>
          </w:tcPr>
          <w:p w14:paraId="55D0D720"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适用专业</w:t>
            </w:r>
          </w:p>
        </w:tc>
        <w:tc>
          <w:tcPr>
            <w:tcW w:w="2711" w:type="dxa"/>
            <w:vAlign w:val="center"/>
          </w:tcPr>
          <w:p w14:paraId="47D9D5D2"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药物分析</w:t>
            </w:r>
          </w:p>
        </w:tc>
      </w:tr>
      <w:tr w:rsidR="00092BC8" w:rsidRPr="00092BC8" w14:paraId="38FA1504" w14:textId="77777777" w:rsidTr="00DB6C82">
        <w:trPr>
          <w:trHeight w:val="811"/>
          <w:jc w:val="center"/>
        </w:trPr>
        <w:tc>
          <w:tcPr>
            <w:tcW w:w="1542" w:type="dxa"/>
            <w:vAlign w:val="center"/>
          </w:tcPr>
          <w:p w14:paraId="33116826"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课程负责人</w:t>
            </w:r>
          </w:p>
        </w:tc>
        <w:tc>
          <w:tcPr>
            <w:tcW w:w="6450" w:type="dxa"/>
            <w:gridSpan w:val="3"/>
            <w:vAlign w:val="center"/>
          </w:tcPr>
          <w:p w14:paraId="3DD53FB7"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张敏静、孙庆利、刘学军</w:t>
            </w:r>
          </w:p>
        </w:tc>
      </w:tr>
      <w:tr w:rsidR="00092BC8" w:rsidRPr="00092BC8" w14:paraId="73574DEC" w14:textId="77777777" w:rsidTr="00DB6C82">
        <w:trPr>
          <w:trHeight w:val="836"/>
          <w:jc w:val="center"/>
        </w:trPr>
        <w:tc>
          <w:tcPr>
            <w:tcW w:w="1542" w:type="dxa"/>
            <w:vAlign w:val="center"/>
          </w:tcPr>
          <w:p w14:paraId="6D050381"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大纲撰写人</w:t>
            </w:r>
          </w:p>
        </w:tc>
        <w:tc>
          <w:tcPr>
            <w:tcW w:w="2274" w:type="dxa"/>
            <w:vAlign w:val="center"/>
          </w:tcPr>
          <w:p w14:paraId="74646FE2"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刘学军</w:t>
            </w:r>
          </w:p>
        </w:tc>
        <w:tc>
          <w:tcPr>
            <w:tcW w:w="1465" w:type="dxa"/>
            <w:vAlign w:val="center"/>
          </w:tcPr>
          <w:p w14:paraId="4C253367"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大纲审核人</w:t>
            </w:r>
          </w:p>
        </w:tc>
        <w:tc>
          <w:tcPr>
            <w:tcW w:w="2711" w:type="dxa"/>
            <w:vAlign w:val="center"/>
          </w:tcPr>
          <w:p w14:paraId="4A31CB76"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赵英慧</w:t>
            </w:r>
          </w:p>
        </w:tc>
      </w:tr>
      <w:tr w:rsidR="00092BC8" w:rsidRPr="00092BC8" w14:paraId="6ED6EAE8" w14:textId="77777777" w:rsidTr="00DB6C82">
        <w:trPr>
          <w:trHeight w:val="848"/>
          <w:jc w:val="center"/>
        </w:trPr>
        <w:tc>
          <w:tcPr>
            <w:tcW w:w="1542" w:type="dxa"/>
            <w:vAlign w:val="center"/>
          </w:tcPr>
          <w:p w14:paraId="775551B0"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先修课程</w:t>
            </w:r>
          </w:p>
        </w:tc>
        <w:tc>
          <w:tcPr>
            <w:tcW w:w="6450" w:type="dxa"/>
            <w:gridSpan w:val="3"/>
            <w:vAlign w:val="center"/>
          </w:tcPr>
          <w:p w14:paraId="1F2BCFFD"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《高等数学D1》</w:t>
            </w:r>
          </w:p>
        </w:tc>
      </w:tr>
      <w:tr w:rsidR="00092BC8" w:rsidRPr="00092BC8" w14:paraId="484C8D50" w14:textId="77777777" w:rsidTr="00DB6C82">
        <w:trPr>
          <w:trHeight w:val="848"/>
          <w:jc w:val="center"/>
        </w:trPr>
        <w:tc>
          <w:tcPr>
            <w:tcW w:w="1542" w:type="dxa"/>
            <w:vAlign w:val="center"/>
          </w:tcPr>
          <w:p w14:paraId="45FEC9DB"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课程网址</w:t>
            </w:r>
          </w:p>
        </w:tc>
        <w:tc>
          <w:tcPr>
            <w:tcW w:w="6450" w:type="dxa"/>
            <w:gridSpan w:val="3"/>
            <w:vAlign w:val="center"/>
          </w:tcPr>
          <w:p w14:paraId="5A92AEE6" w14:textId="77777777" w:rsidR="00092BC8" w:rsidRPr="00092BC8" w:rsidRDefault="00092BC8" w:rsidP="00092BC8">
            <w:pPr>
              <w:spacing w:line="440" w:lineRule="exact"/>
              <w:rPr>
                <w:rFonts w:ascii="宋体" w:eastAsia="宋体" w:hAnsi="宋体" w:cs="Times New Roman"/>
                <w:sz w:val="24"/>
                <w:szCs w:val="24"/>
              </w:rPr>
            </w:pPr>
          </w:p>
        </w:tc>
      </w:tr>
    </w:tbl>
    <w:p w14:paraId="3BD61526" w14:textId="77777777" w:rsidR="00092BC8" w:rsidRPr="00092BC8" w:rsidRDefault="00092BC8" w:rsidP="00092BC8">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092BC8">
        <w:rPr>
          <w:rFonts w:ascii="Times New Roman" w:eastAsia="黑体" w:hAnsi="Times New Roman" w:cs="Times New Roman" w:hint="eastAsia"/>
          <w:sz w:val="28"/>
          <w:szCs w:val="28"/>
        </w:rPr>
        <w:t>二、课程学习目标及与毕业要求的对应关系</w:t>
      </w:r>
    </w:p>
    <w:p w14:paraId="1EF6198A" w14:textId="77777777" w:rsidR="00092BC8" w:rsidRPr="00092BC8" w:rsidRDefault="00092BC8" w:rsidP="00092BC8">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092BC8">
        <w:rPr>
          <w:rFonts w:ascii="Times New Roman" w:eastAsia="黑体" w:hAnsi="Times New Roman" w:cs="Times New Roman" w:hint="eastAsia"/>
          <w:sz w:val="28"/>
          <w:szCs w:val="28"/>
        </w:rPr>
        <w:t>（一）课程学习目标</w:t>
      </w:r>
    </w:p>
    <w:p w14:paraId="623E8897" w14:textId="77777777" w:rsidR="00092BC8" w:rsidRPr="00092BC8" w:rsidRDefault="00092BC8" w:rsidP="00092BC8">
      <w:pPr>
        <w:spacing w:line="440" w:lineRule="exact"/>
        <w:ind w:firstLineChars="200" w:firstLine="480"/>
        <w:rPr>
          <w:rFonts w:ascii="宋体" w:eastAsia="宋体" w:hAnsi="宋体" w:cs="Times New Roman"/>
          <w:kern w:val="0"/>
          <w:sz w:val="24"/>
          <w:szCs w:val="24"/>
        </w:rPr>
      </w:pPr>
      <w:r w:rsidRPr="00092BC8">
        <w:rPr>
          <w:rFonts w:ascii="宋体" w:eastAsia="宋体" w:hAnsi="宋体" w:cs="Times New Roman" w:hint="eastAsia"/>
          <w:sz w:val="24"/>
          <w:szCs w:val="24"/>
        </w:rPr>
        <w:t>《高等数学D》（包括《高等数学D</w:t>
      </w:r>
      <w:r w:rsidRPr="00092BC8">
        <w:rPr>
          <w:rFonts w:ascii="宋体" w:eastAsia="宋体" w:hAnsi="宋体" w:cs="宋体" w:hint="eastAsia"/>
          <w:color w:val="000000"/>
          <w:kern w:val="0"/>
          <w:sz w:val="24"/>
          <w:szCs w:val="24"/>
        </w:rPr>
        <w:t>1</w:t>
      </w:r>
      <w:r w:rsidRPr="00092BC8">
        <w:rPr>
          <w:rFonts w:ascii="宋体" w:eastAsia="宋体" w:hAnsi="宋体" w:cs="Times New Roman" w:hint="eastAsia"/>
          <w:sz w:val="24"/>
          <w:szCs w:val="24"/>
        </w:rPr>
        <w:t>》和《高等数学D2》）是高等学校理工类、经管类</w:t>
      </w:r>
      <w:r w:rsidRPr="00092BC8">
        <w:rPr>
          <w:rFonts w:ascii="宋体" w:eastAsia="宋体" w:hAnsi="宋体" w:cs="宋体" w:hint="eastAsia"/>
          <w:color w:val="000000"/>
          <w:kern w:val="0"/>
          <w:sz w:val="24"/>
          <w:szCs w:val="24"/>
        </w:rPr>
        <w:t>本科</w:t>
      </w:r>
      <w:r w:rsidRPr="00092BC8">
        <w:rPr>
          <w:rFonts w:ascii="宋体" w:eastAsia="宋体" w:hAnsi="宋体" w:cs="Times New Roman" w:hint="eastAsia"/>
          <w:sz w:val="24"/>
          <w:szCs w:val="24"/>
        </w:rPr>
        <w:t>各专业的一门重要的</w:t>
      </w:r>
      <w:r w:rsidRPr="00092BC8">
        <w:rPr>
          <w:rFonts w:ascii="宋体" w:eastAsia="宋体" w:hAnsi="宋体" w:cs="Times New Roman" w:hint="eastAsia"/>
          <w:kern w:val="0"/>
          <w:sz w:val="24"/>
          <w:szCs w:val="24"/>
        </w:rPr>
        <w:t>专业教育基础课程</w:t>
      </w:r>
      <w:r w:rsidRPr="00092BC8">
        <w:rPr>
          <w:rFonts w:ascii="宋体" w:eastAsia="宋体" w:hAnsi="宋体" w:cs="Times New Roman" w:hint="eastAsia"/>
          <w:sz w:val="24"/>
          <w:szCs w:val="24"/>
        </w:rPr>
        <w:t>，因为</w:t>
      </w:r>
      <w:r w:rsidRPr="00092BC8">
        <w:rPr>
          <w:rFonts w:ascii="宋体" w:eastAsia="宋体" w:hAnsi="宋体" w:cs="Times New Roman"/>
          <w:sz w:val="24"/>
          <w:szCs w:val="24"/>
        </w:rPr>
        <w:t>内容较多，分成两个学期完成</w:t>
      </w:r>
      <w:r w:rsidRPr="00092BC8">
        <w:rPr>
          <w:rFonts w:ascii="宋体" w:eastAsia="宋体" w:hAnsi="宋体" w:cs="Times New Roman" w:hint="eastAsia"/>
          <w:sz w:val="24"/>
          <w:szCs w:val="24"/>
        </w:rPr>
        <w:t>。</w:t>
      </w:r>
      <w:r w:rsidRPr="00092BC8">
        <w:rPr>
          <w:rFonts w:ascii="宋体" w:eastAsia="宋体" w:hAnsi="宋体" w:cs="Times New Roman"/>
          <w:kern w:val="0"/>
          <w:sz w:val="24"/>
          <w:szCs w:val="24"/>
        </w:rPr>
        <w:t>通过</w:t>
      </w:r>
      <w:r w:rsidRPr="00092BC8">
        <w:rPr>
          <w:rFonts w:ascii="宋体" w:eastAsia="宋体" w:hAnsi="宋体" w:cs="Times New Roman" w:hint="eastAsia"/>
          <w:kern w:val="0"/>
          <w:sz w:val="24"/>
          <w:szCs w:val="24"/>
        </w:rPr>
        <w:t>本课程</w:t>
      </w:r>
      <w:r w:rsidRPr="00092BC8">
        <w:rPr>
          <w:rFonts w:ascii="宋体" w:eastAsia="宋体" w:hAnsi="宋体" w:cs="Times New Roman" w:hint="eastAsia"/>
          <w:sz w:val="24"/>
          <w:szCs w:val="24"/>
        </w:rPr>
        <w:t>《高等数学D</w:t>
      </w:r>
      <w:r w:rsidRPr="00092BC8">
        <w:rPr>
          <w:rFonts w:ascii="宋体" w:eastAsia="宋体" w:hAnsi="宋体" w:cs="宋体"/>
          <w:color w:val="000000"/>
          <w:kern w:val="0"/>
          <w:sz w:val="24"/>
          <w:szCs w:val="24"/>
        </w:rPr>
        <w:t>2</w:t>
      </w:r>
      <w:r w:rsidRPr="00092BC8">
        <w:rPr>
          <w:rFonts w:ascii="宋体" w:eastAsia="宋体" w:hAnsi="宋体" w:cs="Times New Roman" w:hint="eastAsia"/>
          <w:sz w:val="24"/>
          <w:szCs w:val="24"/>
        </w:rPr>
        <w:t>》的</w:t>
      </w:r>
      <w:r w:rsidRPr="00092BC8">
        <w:rPr>
          <w:rFonts w:ascii="宋体" w:eastAsia="宋体" w:hAnsi="宋体" w:cs="Times New Roman"/>
          <w:sz w:val="24"/>
          <w:szCs w:val="24"/>
        </w:rPr>
        <w:t>学习</w:t>
      </w:r>
      <w:r w:rsidRPr="00092BC8">
        <w:rPr>
          <w:rFonts w:ascii="宋体" w:eastAsia="宋体" w:hAnsi="宋体" w:cs="Times New Roman"/>
          <w:kern w:val="0"/>
          <w:sz w:val="24"/>
          <w:szCs w:val="24"/>
        </w:rPr>
        <w:t>，使学生达到以下目标：</w:t>
      </w:r>
    </w:p>
    <w:p w14:paraId="140AF14F" w14:textId="77777777" w:rsidR="00092BC8" w:rsidRPr="00092BC8" w:rsidRDefault="00092BC8" w:rsidP="00092BC8">
      <w:pPr>
        <w:spacing w:line="440" w:lineRule="exact"/>
        <w:ind w:firstLineChars="200" w:firstLine="480"/>
        <w:rPr>
          <w:rFonts w:ascii="宋体" w:eastAsia="宋体" w:hAnsi="宋体" w:cs="宋体"/>
          <w:kern w:val="0"/>
          <w:sz w:val="24"/>
          <w:szCs w:val="24"/>
        </w:rPr>
      </w:pPr>
      <w:r w:rsidRPr="00092BC8">
        <w:rPr>
          <w:rFonts w:ascii="宋体" w:eastAsia="宋体" w:hAnsi="宋体" w:cs="Times New Roman" w:hint="eastAsia"/>
          <w:sz w:val="24"/>
          <w:szCs w:val="24"/>
        </w:rPr>
        <w:t>1.理解</w:t>
      </w:r>
      <w:r w:rsidRPr="00092BC8">
        <w:rPr>
          <w:rFonts w:ascii="宋体" w:eastAsia="宋体" w:hAnsi="宋体" w:cs="Times New Roman"/>
          <w:sz w:val="24"/>
          <w:szCs w:val="24"/>
        </w:rPr>
        <w:t>并</w:t>
      </w:r>
      <w:r w:rsidRPr="00092BC8">
        <w:rPr>
          <w:rFonts w:ascii="宋体" w:eastAsia="宋体" w:hAnsi="宋体" w:cs="Times New Roman"/>
          <w:color w:val="000000"/>
          <w:sz w:val="24"/>
          <w:szCs w:val="24"/>
        </w:rPr>
        <w:t>掌握</w:t>
      </w:r>
      <w:r w:rsidRPr="00092BC8">
        <w:rPr>
          <w:rFonts w:ascii="宋体" w:eastAsia="宋体" w:hAnsi="宋体" w:cs="宋体" w:hint="eastAsia"/>
          <w:kern w:val="0"/>
          <w:sz w:val="24"/>
          <w:szCs w:val="24"/>
        </w:rPr>
        <w:t>多元函数微分学、重积分、向量代数与空间解析几何、无穷级数</w:t>
      </w:r>
      <w:r w:rsidRPr="00092BC8">
        <w:rPr>
          <w:rFonts w:ascii="宋体" w:eastAsia="宋体" w:hAnsi="宋体" w:cs="宋体"/>
          <w:kern w:val="0"/>
          <w:sz w:val="24"/>
          <w:szCs w:val="24"/>
        </w:rPr>
        <w:t>和</w:t>
      </w:r>
      <w:r w:rsidRPr="00092BC8">
        <w:rPr>
          <w:rFonts w:ascii="宋体" w:eastAsia="宋体" w:hAnsi="宋体" w:cs="宋体" w:hint="eastAsia"/>
          <w:kern w:val="0"/>
          <w:sz w:val="24"/>
          <w:szCs w:val="24"/>
        </w:rPr>
        <w:t>微分方程的</w:t>
      </w:r>
      <w:r w:rsidRPr="00092BC8">
        <w:rPr>
          <w:rFonts w:ascii="宋体" w:eastAsia="宋体" w:hAnsi="宋体" w:cs="Times New Roman"/>
          <w:sz w:val="24"/>
          <w:szCs w:val="24"/>
        </w:rPr>
        <w:t>基本概念、基本理论</w:t>
      </w:r>
      <w:r w:rsidRPr="00092BC8">
        <w:rPr>
          <w:rFonts w:ascii="宋体" w:eastAsia="宋体" w:hAnsi="宋体" w:cs="Times New Roman" w:hint="eastAsia"/>
          <w:sz w:val="24"/>
          <w:szCs w:val="24"/>
        </w:rPr>
        <w:t>，</w:t>
      </w:r>
      <w:r w:rsidRPr="00092BC8">
        <w:rPr>
          <w:rFonts w:ascii="宋体" w:eastAsia="宋体" w:hAnsi="宋体" w:cs="Times New Roman"/>
          <w:sz w:val="24"/>
          <w:szCs w:val="24"/>
        </w:rPr>
        <w:t>用于支撑描述</w:t>
      </w:r>
      <w:r w:rsidRPr="00092BC8">
        <w:rPr>
          <w:rFonts w:ascii="Times New Roman" w:eastAsia="宋体" w:hAnsi="Times New Roman" w:cs="Times New Roman" w:hint="eastAsia"/>
          <w:sz w:val="24"/>
          <w:szCs w:val="24"/>
        </w:rPr>
        <w:t>药物分析</w:t>
      </w:r>
      <w:r w:rsidRPr="00092BC8">
        <w:rPr>
          <w:rFonts w:ascii="宋体" w:eastAsia="宋体" w:hAnsi="宋体" w:cs="Times New Roman"/>
          <w:sz w:val="24"/>
          <w:szCs w:val="24"/>
        </w:rPr>
        <w:t>领域的工程问题。【毕业要求1</w:t>
      </w:r>
      <w:r w:rsidRPr="00092BC8">
        <w:rPr>
          <w:rFonts w:ascii="宋体" w:eastAsia="宋体" w:hAnsi="宋体" w:cs="Times New Roman" w:hint="eastAsia"/>
          <w:sz w:val="24"/>
          <w:szCs w:val="24"/>
        </w:rPr>
        <w:t>工程</w:t>
      </w:r>
      <w:r w:rsidRPr="00092BC8">
        <w:rPr>
          <w:rFonts w:ascii="宋体" w:eastAsia="宋体" w:hAnsi="宋体" w:cs="Times New Roman"/>
          <w:sz w:val="24"/>
          <w:szCs w:val="24"/>
        </w:rPr>
        <w:t>知识】</w:t>
      </w:r>
    </w:p>
    <w:p w14:paraId="02D81F1F"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sz w:val="24"/>
          <w:szCs w:val="24"/>
        </w:rPr>
        <w:t>2.掌握</w:t>
      </w:r>
      <w:r w:rsidRPr="00092BC8">
        <w:rPr>
          <w:rFonts w:ascii="宋体" w:eastAsia="宋体" w:hAnsi="宋体" w:cs="Times New Roman" w:hint="eastAsia"/>
          <w:sz w:val="24"/>
          <w:szCs w:val="24"/>
        </w:rPr>
        <w:t>高等数学</w:t>
      </w:r>
      <w:r w:rsidRPr="00092BC8">
        <w:rPr>
          <w:rFonts w:ascii="宋体" w:eastAsia="宋体" w:hAnsi="宋体" w:cs="Times New Roman"/>
          <w:sz w:val="24"/>
          <w:szCs w:val="24"/>
        </w:rPr>
        <w:t>的基本方法，具备一定的数学推理能力、逻辑思维能力和计算思维能力，</w:t>
      </w:r>
      <w:r w:rsidRPr="00092BC8">
        <w:rPr>
          <w:rFonts w:ascii="宋体" w:eastAsia="宋体" w:hAnsi="宋体" w:cs="宋体" w:hint="eastAsia"/>
          <w:bCs/>
          <w:sz w:val="24"/>
          <w:szCs w:val="24"/>
        </w:rPr>
        <w:t>支撑</w:t>
      </w:r>
      <w:r w:rsidRPr="00092BC8">
        <w:rPr>
          <w:rFonts w:ascii="宋体" w:eastAsia="宋体" w:hAnsi="宋体" w:cs="宋体" w:hint="eastAsia"/>
          <w:sz w:val="24"/>
          <w:szCs w:val="24"/>
        </w:rPr>
        <w:t>化工领域药物分析</w:t>
      </w:r>
      <w:r w:rsidRPr="00092BC8">
        <w:rPr>
          <w:rFonts w:ascii="宋体" w:eastAsia="宋体" w:hAnsi="宋体" w:cs="宋体" w:hint="eastAsia"/>
          <w:bCs/>
          <w:sz w:val="24"/>
          <w:szCs w:val="24"/>
        </w:rPr>
        <w:t>专业所需的数学知识</w:t>
      </w:r>
      <w:r w:rsidRPr="00092BC8">
        <w:rPr>
          <w:rFonts w:ascii="宋体" w:eastAsia="宋体" w:hAnsi="宋体" w:cs="宋体" w:hint="eastAsia"/>
          <w:sz w:val="24"/>
          <w:szCs w:val="24"/>
        </w:rPr>
        <w:t>。</w:t>
      </w:r>
      <w:r w:rsidRPr="00092BC8">
        <w:rPr>
          <w:rFonts w:ascii="宋体" w:eastAsia="宋体" w:hAnsi="宋体" w:cs="Times New Roman"/>
          <w:sz w:val="24"/>
          <w:szCs w:val="24"/>
        </w:rPr>
        <w:t>【毕业要求1</w:t>
      </w:r>
      <w:r w:rsidRPr="00092BC8">
        <w:rPr>
          <w:rFonts w:ascii="宋体" w:eastAsia="宋体" w:hAnsi="宋体" w:cs="Times New Roman" w:hint="eastAsia"/>
          <w:sz w:val="24"/>
          <w:szCs w:val="24"/>
        </w:rPr>
        <w:t>工程</w:t>
      </w:r>
      <w:r w:rsidRPr="00092BC8">
        <w:rPr>
          <w:rFonts w:ascii="宋体" w:eastAsia="宋体" w:hAnsi="宋体" w:cs="Times New Roman"/>
          <w:sz w:val="24"/>
          <w:szCs w:val="24"/>
        </w:rPr>
        <w:t>知识】</w:t>
      </w:r>
    </w:p>
    <w:p w14:paraId="382E9D50"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sz w:val="24"/>
          <w:szCs w:val="24"/>
        </w:rPr>
        <w:t>3.具备发现问题、分析问题和研究问题的能力，能够运用</w:t>
      </w:r>
      <w:r w:rsidRPr="00092BC8">
        <w:rPr>
          <w:rFonts w:ascii="宋体" w:eastAsia="宋体" w:hAnsi="宋体" w:cs="Times New Roman" w:hint="eastAsia"/>
          <w:sz w:val="24"/>
          <w:szCs w:val="24"/>
        </w:rPr>
        <w:t>高等数学</w:t>
      </w:r>
      <w:r w:rsidRPr="00092BC8">
        <w:rPr>
          <w:rFonts w:ascii="宋体" w:eastAsia="宋体" w:hAnsi="宋体" w:cs="Times New Roman"/>
          <w:sz w:val="24"/>
          <w:szCs w:val="24"/>
        </w:rPr>
        <w:t>的知识支撑识别、表达</w:t>
      </w:r>
      <w:r w:rsidRPr="00092BC8">
        <w:rPr>
          <w:rFonts w:ascii="Times New Roman" w:eastAsia="宋体" w:hAnsi="Times New Roman" w:cs="Times New Roman" w:hint="eastAsia"/>
          <w:sz w:val="24"/>
          <w:szCs w:val="24"/>
        </w:rPr>
        <w:t>药物分析</w:t>
      </w:r>
      <w:r w:rsidRPr="00092BC8">
        <w:rPr>
          <w:rFonts w:ascii="宋体" w:eastAsia="宋体" w:hAnsi="宋体" w:cs="Times New Roman"/>
          <w:sz w:val="24"/>
          <w:szCs w:val="24"/>
        </w:rPr>
        <w:t>领域</w:t>
      </w:r>
      <w:r w:rsidRPr="00092BC8">
        <w:rPr>
          <w:rFonts w:ascii="宋体" w:eastAsia="宋体" w:hAnsi="宋体" w:cs="Times New Roman" w:hint="eastAsia"/>
          <w:sz w:val="24"/>
          <w:szCs w:val="24"/>
        </w:rPr>
        <w:t>简单</w:t>
      </w:r>
      <w:r w:rsidRPr="00092BC8">
        <w:rPr>
          <w:rFonts w:ascii="宋体" w:eastAsia="宋体" w:hAnsi="宋体" w:cs="Times New Roman"/>
          <w:sz w:val="24"/>
          <w:szCs w:val="24"/>
        </w:rPr>
        <w:t>工程问题。【毕业要求2</w:t>
      </w:r>
      <w:r w:rsidRPr="00092BC8">
        <w:rPr>
          <w:rFonts w:ascii="宋体" w:eastAsia="宋体" w:hAnsi="宋体" w:cs="Times New Roman" w:hint="eastAsia"/>
          <w:sz w:val="24"/>
          <w:szCs w:val="24"/>
        </w:rPr>
        <w:t>问题分析</w:t>
      </w:r>
      <w:r w:rsidRPr="00092BC8">
        <w:rPr>
          <w:rFonts w:ascii="宋体" w:eastAsia="宋体" w:hAnsi="宋体" w:cs="Times New Roman"/>
          <w:sz w:val="24"/>
          <w:szCs w:val="24"/>
        </w:rPr>
        <w:t>】</w:t>
      </w:r>
    </w:p>
    <w:p w14:paraId="6F55D09E"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sz w:val="24"/>
          <w:szCs w:val="24"/>
        </w:rPr>
        <w:t>4.能够运用</w:t>
      </w:r>
      <w:r w:rsidRPr="00092BC8">
        <w:rPr>
          <w:rFonts w:ascii="宋体" w:eastAsia="宋体" w:hAnsi="宋体" w:cs="Times New Roman" w:hint="eastAsia"/>
          <w:bCs/>
          <w:color w:val="000000"/>
          <w:sz w:val="24"/>
          <w:szCs w:val="24"/>
        </w:rPr>
        <w:t>高等数学</w:t>
      </w:r>
      <w:r w:rsidRPr="00092BC8">
        <w:rPr>
          <w:rFonts w:ascii="宋体" w:eastAsia="宋体" w:hAnsi="宋体" w:cs="Times New Roman"/>
          <w:sz w:val="24"/>
          <w:szCs w:val="24"/>
        </w:rPr>
        <w:t>的思想方法，为解决</w:t>
      </w:r>
      <w:r w:rsidRPr="00092BC8">
        <w:rPr>
          <w:rFonts w:ascii="Times New Roman" w:eastAsia="宋体" w:hAnsi="Times New Roman" w:cs="Times New Roman" w:hint="eastAsia"/>
          <w:sz w:val="24"/>
          <w:szCs w:val="24"/>
        </w:rPr>
        <w:t>药物分析</w:t>
      </w:r>
      <w:r w:rsidRPr="00092BC8">
        <w:rPr>
          <w:rFonts w:ascii="宋体" w:eastAsia="宋体" w:hAnsi="宋体" w:cs="Times New Roman"/>
          <w:sz w:val="24"/>
          <w:szCs w:val="24"/>
        </w:rPr>
        <w:t>领域的</w:t>
      </w:r>
      <w:r w:rsidRPr="00092BC8">
        <w:rPr>
          <w:rFonts w:ascii="宋体" w:eastAsia="宋体" w:hAnsi="宋体" w:cs="Times New Roman" w:hint="eastAsia"/>
          <w:sz w:val="24"/>
          <w:szCs w:val="24"/>
        </w:rPr>
        <w:t>实际</w:t>
      </w:r>
      <w:r w:rsidRPr="00092BC8">
        <w:rPr>
          <w:rFonts w:ascii="宋体" w:eastAsia="宋体" w:hAnsi="宋体" w:cs="Times New Roman"/>
          <w:sz w:val="24"/>
          <w:szCs w:val="24"/>
        </w:rPr>
        <w:t>问题提供思路和解决方案。【毕业要求2</w:t>
      </w:r>
      <w:r w:rsidRPr="00092BC8">
        <w:rPr>
          <w:rFonts w:ascii="宋体" w:eastAsia="宋体" w:hAnsi="宋体" w:cs="Times New Roman" w:hint="eastAsia"/>
          <w:sz w:val="24"/>
          <w:szCs w:val="24"/>
        </w:rPr>
        <w:t>问题分析</w:t>
      </w:r>
      <w:r w:rsidRPr="00092BC8">
        <w:rPr>
          <w:rFonts w:ascii="宋体" w:eastAsia="宋体" w:hAnsi="宋体" w:cs="Times New Roman"/>
          <w:sz w:val="24"/>
          <w:szCs w:val="24"/>
        </w:rPr>
        <w:t>】</w:t>
      </w:r>
    </w:p>
    <w:p w14:paraId="4A3123FA" w14:textId="77777777" w:rsidR="00092BC8" w:rsidRPr="00092BC8" w:rsidRDefault="00092BC8" w:rsidP="00092BC8">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092BC8">
        <w:rPr>
          <w:rFonts w:ascii="Times New Roman" w:eastAsia="黑体" w:hAnsi="Times New Roman" w:cs="Times New Roman" w:hint="eastAsia"/>
          <w:sz w:val="28"/>
          <w:szCs w:val="28"/>
        </w:rPr>
        <w:lastRenderedPageBreak/>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625"/>
        <w:gridCol w:w="1417"/>
      </w:tblGrid>
      <w:tr w:rsidR="00092BC8" w:rsidRPr="00092BC8" w14:paraId="1AFD276F" w14:textId="77777777" w:rsidTr="00DB6C82">
        <w:trPr>
          <w:trHeight w:val="815"/>
          <w:jc w:val="center"/>
        </w:trPr>
        <w:tc>
          <w:tcPr>
            <w:tcW w:w="1984" w:type="dxa"/>
            <w:vAlign w:val="center"/>
          </w:tcPr>
          <w:p w14:paraId="5A3DFAEC" w14:textId="77777777" w:rsidR="00092BC8" w:rsidRPr="00092BC8" w:rsidRDefault="00092BC8" w:rsidP="00092BC8">
            <w:pPr>
              <w:spacing w:line="440" w:lineRule="exact"/>
              <w:jc w:val="center"/>
              <w:rPr>
                <w:rFonts w:ascii="宋体" w:eastAsia="宋体" w:hAnsi="宋体" w:cs="Times New Roman"/>
                <w:b/>
                <w:sz w:val="24"/>
                <w:szCs w:val="24"/>
              </w:rPr>
            </w:pPr>
            <w:r w:rsidRPr="00092BC8">
              <w:rPr>
                <w:rFonts w:ascii="宋体" w:eastAsia="宋体" w:hAnsi="宋体" w:cs="Times New Roman" w:hint="eastAsia"/>
                <w:b/>
                <w:sz w:val="24"/>
                <w:szCs w:val="24"/>
              </w:rPr>
              <w:t>毕业要求</w:t>
            </w:r>
          </w:p>
        </w:tc>
        <w:tc>
          <w:tcPr>
            <w:tcW w:w="4625" w:type="dxa"/>
            <w:vAlign w:val="center"/>
          </w:tcPr>
          <w:p w14:paraId="16D0060E" w14:textId="77777777" w:rsidR="00092BC8" w:rsidRPr="00092BC8" w:rsidRDefault="00092BC8" w:rsidP="00092BC8">
            <w:pPr>
              <w:spacing w:line="440" w:lineRule="exact"/>
              <w:jc w:val="center"/>
              <w:rPr>
                <w:rFonts w:ascii="宋体" w:eastAsia="宋体" w:hAnsi="宋体" w:cs="Times New Roman"/>
                <w:b/>
                <w:sz w:val="24"/>
                <w:szCs w:val="24"/>
              </w:rPr>
            </w:pPr>
            <w:r w:rsidRPr="00092BC8">
              <w:rPr>
                <w:rFonts w:ascii="宋体" w:eastAsia="宋体" w:hAnsi="宋体" w:cs="Times New Roman" w:hint="eastAsia"/>
                <w:b/>
                <w:sz w:val="24"/>
                <w:szCs w:val="24"/>
              </w:rPr>
              <w:t>毕业要求指标点</w:t>
            </w:r>
          </w:p>
        </w:tc>
        <w:tc>
          <w:tcPr>
            <w:tcW w:w="1417" w:type="dxa"/>
            <w:vAlign w:val="center"/>
          </w:tcPr>
          <w:p w14:paraId="45850427" w14:textId="77777777" w:rsidR="00092BC8" w:rsidRPr="00092BC8" w:rsidRDefault="00092BC8" w:rsidP="00092BC8">
            <w:pPr>
              <w:spacing w:line="440" w:lineRule="exact"/>
              <w:jc w:val="center"/>
              <w:rPr>
                <w:rFonts w:ascii="宋体" w:eastAsia="宋体" w:hAnsi="宋体" w:cs="Times New Roman"/>
                <w:b/>
                <w:sz w:val="24"/>
                <w:szCs w:val="24"/>
              </w:rPr>
            </w:pPr>
            <w:r w:rsidRPr="00092BC8">
              <w:rPr>
                <w:rFonts w:ascii="宋体" w:eastAsia="宋体" w:hAnsi="宋体" w:cs="Times New Roman" w:hint="eastAsia"/>
                <w:b/>
                <w:sz w:val="24"/>
                <w:szCs w:val="24"/>
              </w:rPr>
              <w:t>课程目标</w:t>
            </w:r>
          </w:p>
        </w:tc>
      </w:tr>
      <w:tr w:rsidR="00092BC8" w:rsidRPr="00092BC8" w14:paraId="7894A276" w14:textId="77777777" w:rsidTr="00DB6C82">
        <w:trPr>
          <w:trHeight w:val="860"/>
          <w:jc w:val="center"/>
        </w:trPr>
        <w:tc>
          <w:tcPr>
            <w:tcW w:w="1984" w:type="dxa"/>
            <w:vAlign w:val="center"/>
          </w:tcPr>
          <w:p w14:paraId="7CDE89F0" w14:textId="77777777" w:rsidR="00092BC8" w:rsidRPr="00092BC8" w:rsidRDefault="00092BC8" w:rsidP="00092BC8">
            <w:pPr>
              <w:spacing w:line="440" w:lineRule="exact"/>
              <w:jc w:val="center"/>
              <w:rPr>
                <w:rFonts w:ascii="宋体" w:eastAsia="宋体" w:hAnsi="宋体" w:cs="Times New Roman"/>
                <w:color w:val="FF0000"/>
                <w:sz w:val="24"/>
                <w:szCs w:val="24"/>
              </w:rPr>
            </w:pPr>
            <w:r w:rsidRPr="00092BC8">
              <w:rPr>
                <w:rFonts w:ascii="宋体" w:eastAsia="宋体" w:hAnsi="宋体" w:cs="Times New Roman" w:hint="eastAsia"/>
                <w:sz w:val="24"/>
                <w:szCs w:val="24"/>
              </w:rPr>
              <w:t>1. 工程</w:t>
            </w:r>
            <w:r w:rsidRPr="00092BC8">
              <w:rPr>
                <w:rFonts w:ascii="宋体" w:eastAsia="宋体" w:hAnsi="宋体" w:cs="Times New Roman"/>
                <w:sz w:val="24"/>
                <w:szCs w:val="24"/>
              </w:rPr>
              <w:t>知识</w:t>
            </w:r>
          </w:p>
        </w:tc>
        <w:tc>
          <w:tcPr>
            <w:tcW w:w="4625" w:type="dxa"/>
            <w:vAlign w:val="center"/>
          </w:tcPr>
          <w:p w14:paraId="005EBA5F" w14:textId="77777777" w:rsidR="00092BC8" w:rsidRPr="00092BC8" w:rsidRDefault="00092BC8" w:rsidP="00092BC8">
            <w:pPr>
              <w:spacing w:line="440" w:lineRule="exact"/>
              <w:jc w:val="left"/>
              <w:rPr>
                <w:rFonts w:ascii="宋体" w:eastAsia="宋体" w:hAnsi="宋体" w:cs="Times New Roman"/>
                <w:bCs/>
                <w:sz w:val="24"/>
                <w:szCs w:val="24"/>
              </w:rPr>
            </w:pPr>
            <w:r w:rsidRPr="00092BC8">
              <w:rPr>
                <w:rFonts w:ascii="宋体" w:eastAsia="宋体" w:hAnsi="宋体" w:cs="宋体" w:hint="eastAsia"/>
                <w:bCs/>
                <w:sz w:val="24"/>
                <w:szCs w:val="24"/>
              </w:rPr>
              <w:t>1.1掌握无机化学、有机化学、分析化学和物理化学、数学等基础理论知识和实验技能。</w:t>
            </w:r>
            <w:r w:rsidRPr="00092BC8">
              <w:rPr>
                <w:rFonts w:ascii="宋体" w:eastAsia="宋体" w:hAnsi="宋体" w:cs="Times New Roman" w:hint="eastAsia"/>
                <w:sz w:val="24"/>
                <w:szCs w:val="24"/>
              </w:rPr>
              <w:t>（H）</w:t>
            </w:r>
          </w:p>
        </w:tc>
        <w:tc>
          <w:tcPr>
            <w:tcW w:w="1417" w:type="dxa"/>
            <w:vAlign w:val="center"/>
          </w:tcPr>
          <w:p w14:paraId="4D207D7E"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课程目标1</w:t>
            </w:r>
          </w:p>
          <w:p w14:paraId="727B2057"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课程目标2</w:t>
            </w:r>
          </w:p>
        </w:tc>
      </w:tr>
      <w:tr w:rsidR="00092BC8" w:rsidRPr="00092BC8" w14:paraId="66712245" w14:textId="77777777" w:rsidTr="00DB6C82">
        <w:trPr>
          <w:trHeight w:val="1300"/>
          <w:jc w:val="center"/>
        </w:trPr>
        <w:tc>
          <w:tcPr>
            <w:tcW w:w="1984" w:type="dxa"/>
            <w:vAlign w:val="center"/>
          </w:tcPr>
          <w:p w14:paraId="7929889E"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2. 问题分析</w:t>
            </w:r>
          </w:p>
        </w:tc>
        <w:tc>
          <w:tcPr>
            <w:tcW w:w="4625" w:type="dxa"/>
            <w:vAlign w:val="center"/>
          </w:tcPr>
          <w:p w14:paraId="496B0A10" w14:textId="77777777" w:rsidR="00092BC8" w:rsidRPr="00092BC8" w:rsidRDefault="00092BC8" w:rsidP="00092BC8">
            <w:pPr>
              <w:spacing w:line="440" w:lineRule="exact"/>
              <w:jc w:val="left"/>
              <w:rPr>
                <w:rFonts w:ascii="宋体" w:eastAsia="宋体" w:hAnsi="宋体" w:cs="Times New Roman"/>
                <w:bCs/>
                <w:sz w:val="24"/>
                <w:szCs w:val="24"/>
              </w:rPr>
            </w:pPr>
            <w:r w:rsidRPr="00092BC8">
              <w:rPr>
                <w:rFonts w:ascii="宋体" w:eastAsia="宋体" w:hAnsi="宋体" w:cs="宋体" w:hint="eastAsia"/>
                <w:kern w:val="0"/>
                <w:sz w:val="24"/>
                <w:szCs w:val="24"/>
                <w:lang w:bidi="ar"/>
              </w:rPr>
              <w:t>2.1能够运用数学、化学、药学基本原理，识别、定义药物分析学的实践问题。</w:t>
            </w:r>
            <w:r w:rsidRPr="00092BC8">
              <w:rPr>
                <w:rFonts w:ascii="宋体" w:eastAsia="宋体" w:hAnsi="宋体" w:cs="Times New Roman" w:hint="eastAsia"/>
                <w:sz w:val="24"/>
                <w:szCs w:val="24"/>
              </w:rPr>
              <w:t>（M）</w:t>
            </w:r>
          </w:p>
        </w:tc>
        <w:tc>
          <w:tcPr>
            <w:tcW w:w="1417" w:type="dxa"/>
            <w:vAlign w:val="center"/>
          </w:tcPr>
          <w:p w14:paraId="2A6DDA9C"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课程目标3</w:t>
            </w:r>
          </w:p>
          <w:p w14:paraId="5368617F"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课程目标4</w:t>
            </w:r>
          </w:p>
        </w:tc>
      </w:tr>
    </w:tbl>
    <w:p w14:paraId="1D3CA8CE" w14:textId="77777777" w:rsidR="00092BC8" w:rsidRPr="00092BC8" w:rsidRDefault="00092BC8" w:rsidP="00092BC8">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092BC8">
        <w:rPr>
          <w:rFonts w:ascii="Times New Roman" w:eastAsia="黑体" w:hAnsi="Times New Roman" w:cs="Times New Roman" w:hint="eastAsia"/>
          <w:sz w:val="28"/>
          <w:szCs w:val="28"/>
        </w:rPr>
        <w:t>三、课程学习内容及与课程学习目标的对应关系</w:t>
      </w:r>
    </w:p>
    <w:p w14:paraId="3B24A45A" w14:textId="77777777" w:rsidR="00092BC8" w:rsidRPr="00092BC8" w:rsidRDefault="00092BC8" w:rsidP="00092BC8">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092BC8">
        <w:rPr>
          <w:rFonts w:ascii="Times New Roman" w:eastAsia="黑体" w:hAnsi="Times New Roman" w:cs="Times New Roman" w:hint="eastAsia"/>
          <w:sz w:val="28"/>
          <w:szCs w:val="28"/>
        </w:rPr>
        <w:t>（一）课程学习内容</w:t>
      </w:r>
    </w:p>
    <w:p w14:paraId="07C1EF69" w14:textId="77777777" w:rsidR="00092BC8" w:rsidRPr="00092BC8" w:rsidRDefault="00092BC8" w:rsidP="00092BC8">
      <w:pPr>
        <w:spacing w:beforeLines="50" w:before="156" w:afterLines="50" w:after="156" w:line="440" w:lineRule="exact"/>
        <w:ind w:firstLineChars="200" w:firstLine="560"/>
        <w:jc w:val="center"/>
        <w:rPr>
          <w:rFonts w:ascii="黑体" w:eastAsia="黑体" w:hAnsi="黑体" w:cs="黑体"/>
          <w:sz w:val="28"/>
          <w:szCs w:val="28"/>
        </w:rPr>
      </w:pPr>
      <w:r w:rsidRPr="00092BC8">
        <w:rPr>
          <w:rFonts w:ascii="黑体" w:eastAsia="黑体" w:hAnsi="黑体" w:cs="黑体" w:hint="eastAsia"/>
          <w:sz w:val="28"/>
          <w:szCs w:val="28"/>
        </w:rPr>
        <w:t>第六章  微分方程</w:t>
      </w:r>
    </w:p>
    <w:p w14:paraId="360A3309"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【学习目标】</w:t>
      </w:r>
    </w:p>
    <w:p w14:paraId="4054BA55"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理解微分方程、阶、解、通解、初始条件和特解等概念；掌握</w:t>
      </w:r>
      <w:proofErr w:type="gramStart"/>
      <w:r w:rsidRPr="00092BC8">
        <w:rPr>
          <w:rFonts w:ascii="宋体" w:eastAsia="宋体" w:hAnsi="宋体" w:cs="Times New Roman" w:hint="eastAsia"/>
          <w:sz w:val="24"/>
          <w:szCs w:val="24"/>
        </w:rPr>
        <w:t>一阶可分离</w:t>
      </w:r>
      <w:proofErr w:type="gramEnd"/>
      <w:r w:rsidRPr="00092BC8">
        <w:rPr>
          <w:rFonts w:ascii="宋体" w:eastAsia="宋体" w:hAnsi="宋体" w:cs="Times New Roman" w:hint="eastAsia"/>
          <w:sz w:val="24"/>
          <w:szCs w:val="24"/>
        </w:rPr>
        <w:t>变量的微分方程和一阶线性微分方程的解法</w:t>
      </w:r>
      <w:r w:rsidRPr="00092BC8">
        <w:rPr>
          <w:rFonts w:ascii="宋体" w:eastAsia="宋体" w:hAnsi="宋体" w:cs="Times New Roman" w:hint="eastAsia"/>
          <w:color w:val="000000"/>
          <w:sz w:val="24"/>
          <w:szCs w:val="24"/>
        </w:rPr>
        <w:t>。</w:t>
      </w:r>
    </w:p>
    <w:p w14:paraId="0D7D3576"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【学习内容】</w:t>
      </w:r>
    </w:p>
    <w:p w14:paraId="17789688" w14:textId="77777777" w:rsidR="00092BC8" w:rsidRPr="00092BC8" w:rsidRDefault="00092BC8" w:rsidP="00092BC8">
      <w:pPr>
        <w:spacing w:line="440" w:lineRule="exact"/>
        <w:ind w:firstLineChars="200" w:firstLine="480"/>
        <w:rPr>
          <w:rFonts w:ascii="宋体" w:eastAsia="宋体" w:hAnsi="宋体" w:cs="Times New Roman"/>
          <w:b/>
          <w:sz w:val="24"/>
          <w:szCs w:val="24"/>
        </w:rPr>
      </w:pPr>
      <w:r w:rsidRPr="00092BC8">
        <w:rPr>
          <w:rFonts w:ascii="宋体" w:eastAsia="宋体" w:hAnsi="宋体" w:cs="Times New Roman" w:hint="eastAsia"/>
          <w:sz w:val="24"/>
          <w:szCs w:val="24"/>
        </w:rPr>
        <w:t>1</w:t>
      </w:r>
      <w:r w:rsidRPr="00092BC8">
        <w:rPr>
          <w:rFonts w:ascii="宋体" w:eastAsia="宋体" w:hAnsi="宋体" w:cs="Times New Roman"/>
          <w:sz w:val="24"/>
          <w:szCs w:val="24"/>
        </w:rPr>
        <w:t>.</w:t>
      </w:r>
      <w:r w:rsidRPr="00092BC8">
        <w:rPr>
          <w:rFonts w:ascii="宋体" w:eastAsia="宋体" w:hAnsi="宋体" w:cs="Times New Roman" w:hint="eastAsia"/>
          <w:sz w:val="24"/>
          <w:szCs w:val="24"/>
        </w:rPr>
        <w:t xml:space="preserve"> </w:t>
      </w:r>
      <w:r w:rsidRPr="00092BC8">
        <w:rPr>
          <w:rFonts w:ascii="宋体" w:eastAsia="宋体" w:hAnsi="宋体" w:cs="Times New Roman" w:hint="eastAsia"/>
          <w:color w:val="000000"/>
          <w:sz w:val="24"/>
          <w:szCs w:val="24"/>
        </w:rPr>
        <w:t>微分方程的基本概念</w:t>
      </w:r>
      <w:r w:rsidRPr="00092BC8">
        <w:rPr>
          <w:rFonts w:ascii="宋体" w:eastAsia="宋体" w:hAnsi="宋体" w:cs="Times New Roman" w:hint="eastAsia"/>
          <w:sz w:val="24"/>
          <w:szCs w:val="24"/>
        </w:rPr>
        <w:t>；</w:t>
      </w:r>
    </w:p>
    <w:p w14:paraId="0833AEC2" w14:textId="77777777" w:rsidR="00092BC8" w:rsidRPr="00092BC8" w:rsidRDefault="00092BC8" w:rsidP="00092BC8">
      <w:pPr>
        <w:adjustRightInd w:val="0"/>
        <w:snapToGrid w:val="0"/>
        <w:spacing w:line="50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2</w:t>
      </w:r>
      <w:r w:rsidRPr="00092BC8">
        <w:rPr>
          <w:rFonts w:ascii="宋体" w:eastAsia="宋体" w:hAnsi="宋体" w:cs="Times New Roman"/>
          <w:sz w:val="24"/>
          <w:szCs w:val="24"/>
        </w:rPr>
        <w:t>.</w:t>
      </w:r>
      <w:r w:rsidRPr="00092BC8">
        <w:rPr>
          <w:rFonts w:ascii="宋体" w:eastAsia="宋体" w:hAnsi="宋体" w:cs="Times New Roman" w:hint="eastAsia"/>
          <w:sz w:val="24"/>
          <w:szCs w:val="24"/>
        </w:rPr>
        <w:t xml:space="preserve"> 可分离变量的微分方程；</w:t>
      </w:r>
    </w:p>
    <w:p w14:paraId="41C409AA" w14:textId="77777777" w:rsidR="00092BC8" w:rsidRPr="00092BC8" w:rsidRDefault="00092BC8" w:rsidP="00092BC8">
      <w:pPr>
        <w:spacing w:line="440" w:lineRule="exact"/>
        <w:ind w:firstLineChars="200" w:firstLine="480"/>
        <w:rPr>
          <w:rFonts w:ascii="宋体" w:eastAsia="宋体" w:hAnsi="宋体" w:cs="Times New Roman"/>
          <w:color w:val="000000"/>
          <w:sz w:val="24"/>
          <w:szCs w:val="24"/>
        </w:rPr>
      </w:pPr>
      <w:r w:rsidRPr="00092BC8">
        <w:rPr>
          <w:rFonts w:ascii="宋体" w:eastAsia="宋体" w:hAnsi="宋体" w:cs="Times New Roman" w:hint="eastAsia"/>
          <w:sz w:val="24"/>
          <w:szCs w:val="24"/>
        </w:rPr>
        <w:t>3</w:t>
      </w:r>
      <w:r w:rsidRPr="00092BC8">
        <w:rPr>
          <w:rFonts w:ascii="宋体" w:eastAsia="宋体" w:hAnsi="宋体" w:cs="Times New Roman"/>
          <w:sz w:val="24"/>
          <w:szCs w:val="24"/>
        </w:rPr>
        <w:t>.</w:t>
      </w:r>
      <w:r w:rsidRPr="00092BC8">
        <w:rPr>
          <w:rFonts w:ascii="宋体" w:eastAsia="宋体" w:hAnsi="宋体" w:cs="Times New Roman" w:hint="eastAsia"/>
          <w:sz w:val="24"/>
          <w:szCs w:val="24"/>
        </w:rPr>
        <w:t xml:space="preserve"> </w:t>
      </w:r>
      <w:r w:rsidRPr="00092BC8">
        <w:rPr>
          <w:rFonts w:ascii="宋体" w:eastAsia="宋体" w:hAnsi="宋体" w:cs="Times New Roman" w:hint="eastAsia"/>
          <w:color w:val="000000"/>
          <w:sz w:val="24"/>
          <w:szCs w:val="24"/>
        </w:rPr>
        <w:t>一阶线性微分方程。</w:t>
      </w:r>
    </w:p>
    <w:p w14:paraId="18B399A6"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【重点】</w:t>
      </w:r>
    </w:p>
    <w:p w14:paraId="3D1A3572"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1</w:t>
      </w:r>
      <w:r w:rsidRPr="00092BC8">
        <w:rPr>
          <w:rFonts w:ascii="宋体" w:eastAsia="宋体" w:hAnsi="宋体" w:cs="Times New Roman"/>
          <w:sz w:val="24"/>
          <w:szCs w:val="24"/>
        </w:rPr>
        <w:t xml:space="preserve">. </w:t>
      </w:r>
      <w:r w:rsidRPr="00092BC8">
        <w:rPr>
          <w:rFonts w:ascii="宋体" w:eastAsia="宋体" w:hAnsi="宋体" w:cs="Times New Roman" w:hint="eastAsia"/>
          <w:sz w:val="24"/>
          <w:szCs w:val="24"/>
        </w:rPr>
        <w:t>微分方程的基本概念，微分方程的定义，阶、解、通解、特解及初始条件；</w:t>
      </w:r>
    </w:p>
    <w:p w14:paraId="31811C79"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2</w:t>
      </w:r>
      <w:r w:rsidRPr="00092BC8">
        <w:rPr>
          <w:rFonts w:ascii="宋体" w:eastAsia="宋体" w:hAnsi="宋体" w:cs="Times New Roman"/>
          <w:sz w:val="24"/>
          <w:szCs w:val="24"/>
        </w:rPr>
        <w:t xml:space="preserve">. </w:t>
      </w:r>
      <w:r w:rsidRPr="00092BC8">
        <w:rPr>
          <w:rFonts w:ascii="宋体" w:eastAsia="宋体" w:hAnsi="宋体" w:cs="Times New Roman" w:hint="eastAsia"/>
          <w:sz w:val="24"/>
          <w:szCs w:val="24"/>
        </w:rPr>
        <w:t>可分离变量的微分方程、一阶线性微分方程的</w:t>
      </w:r>
      <w:r w:rsidRPr="00092BC8">
        <w:rPr>
          <w:rFonts w:ascii="宋体" w:eastAsia="宋体" w:hAnsi="宋体" w:cs="Times New Roman"/>
          <w:sz w:val="24"/>
          <w:szCs w:val="24"/>
        </w:rPr>
        <w:t>解法</w:t>
      </w:r>
      <w:r w:rsidRPr="00092BC8">
        <w:rPr>
          <w:rFonts w:ascii="宋体" w:eastAsia="宋体" w:hAnsi="宋体" w:cs="Times New Roman" w:hint="eastAsia"/>
          <w:sz w:val="24"/>
          <w:szCs w:val="24"/>
        </w:rPr>
        <w:t>。</w:t>
      </w:r>
    </w:p>
    <w:p w14:paraId="412E216D"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【难点】</w:t>
      </w:r>
    </w:p>
    <w:p w14:paraId="21C539C7" w14:textId="77777777" w:rsidR="00092BC8" w:rsidRPr="00092BC8" w:rsidRDefault="00092BC8" w:rsidP="00092BC8">
      <w:pPr>
        <w:spacing w:line="440" w:lineRule="exact"/>
        <w:ind w:firstLineChars="200" w:firstLine="480"/>
        <w:rPr>
          <w:rFonts w:ascii="宋体" w:eastAsia="宋体" w:hAnsi="宋体" w:cs="Times New Roman"/>
          <w:b/>
          <w:sz w:val="24"/>
          <w:szCs w:val="24"/>
        </w:rPr>
      </w:pPr>
      <w:r w:rsidRPr="00092BC8">
        <w:rPr>
          <w:rFonts w:ascii="宋体" w:eastAsia="宋体" w:hAnsi="宋体" w:cs="Times New Roman" w:hint="eastAsia"/>
          <w:sz w:val="24"/>
          <w:szCs w:val="24"/>
        </w:rPr>
        <w:t>一阶线性微分方程</w:t>
      </w:r>
      <w:r w:rsidRPr="00092BC8">
        <w:rPr>
          <w:rFonts w:ascii="宋体" w:eastAsia="宋体" w:hAnsi="宋体" w:cs="Times New Roman" w:hint="eastAsia"/>
          <w:color w:val="000000"/>
          <w:sz w:val="24"/>
          <w:szCs w:val="24"/>
        </w:rPr>
        <w:t>的</w:t>
      </w:r>
      <w:r w:rsidRPr="00092BC8">
        <w:rPr>
          <w:rFonts w:ascii="宋体" w:eastAsia="宋体" w:hAnsi="宋体" w:cs="Times New Roman"/>
          <w:color w:val="000000"/>
          <w:sz w:val="24"/>
          <w:szCs w:val="24"/>
        </w:rPr>
        <w:t>求解</w:t>
      </w:r>
      <w:r w:rsidRPr="00092BC8">
        <w:rPr>
          <w:rFonts w:ascii="宋体" w:eastAsia="宋体" w:hAnsi="宋体" w:cs="Times New Roman" w:hint="eastAsia"/>
          <w:color w:val="000000"/>
          <w:sz w:val="24"/>
          <w:szCs w:val="24"/>
        </w:rPr>
        <w:t>。</w:t>
      </w:r>
    </w:p>
    <w:p w14:paraId="26463F57" w14:textId="77777777" w:rsidR="00092BC8" w:rsidRPr="00092BC8" w:rsidRDefault="00092BC8" w:rsidP="00092BC8">
      <w:pPr>
        <w:spacing w:line="440" w:lineRule="exact"/>
        <w:ind w:firstLineChars="200" w:firstLine="482"/>
        <w:rPr>
          <w:rFonts w:ascii="宋体" w:eastAsia="宋体" w:hAnsi="宋体" w:cs="Times New Roman"/>
          <w:b/>
          <w:bCs/>
          <w:sz w:val="24"/>
          <w:szCs w:val="24"/>
        </w:rPr>
      </w:pPr>
      <w:r w:rsidRPr="00092BC8">
        <w:rPr>
          <w:rFonts w:ascii="宋体" w:eastAsia="宋体" w:hAnsi="宋体" w:cs="Times New Roman" w:hint="eastAsia"/>
          <w:b/>
          <w:bCs/>
          <w:sz w:val="24"/>
          <w:szCs w:val="24"/>
        </w:rPr>
        <w:t>【教学方法】</w:t>
      </w:r>
    </w:p>
    <w:p w14:paraId="6FF8C159" w14:textId="77777777" w:rsidR="00092BC8" w:rsidRPr="00092BC8" w:rsidRDefault="00092BC8" w:rsidP="00092BC8">
      <w:pPr>
        <w:spacing w:line="440" w:lineRule="exact"/>
        <w:ind w:left="480"/>
        <w:rPr>
          <w:rFonts w:ascii="宋体" w:eastAsia="宋体" w:hAnsi="宋体" w:cs="宋体"/>
          <w:kern w:val="0"/>
          <w:sz w:val="24"/>
          <w:szCs w:val="24"/>
        </w:rPr>
      </w:pPr>
      <w:r w:rsidRPr="00092BC8">
        <w:rPr>
          <w:rFonts w:ascii="宋体" w:eastAsia="宋体" w:hAnsi="宋体" w:cs="宋体" w:hint="eastAsia"/>
          <w:kern w:val="0"/>
          <w:sz w:val="24"/>
          <w:szCs w:val="24"/>
        </w:rPr>
        <w:t>1.</w:t>
      </w:r>
      <w:r w:rsidRPr="00092BC8">
        <w:rPr>
          <w:rFonts w:ascii="宋体" w:eastAsia="宋体" w:hAnsi="宋体" w:cs="宋体"/>
          <w:kern w:val="0"/>
          <w:sz w:val="24"/>
          <w:szCs w:val="24"/>
        </w:rPr>
        <w:t xml:space="preserve"> </w:t>
      </w:r>
      <w:r w:rsidRPr="00092BC8">
        <w:rPr>
          <w:rFonts w:ascii="宋体" w:eastAsia="宋体" w:hAnsi="宋体" w:cs="宋体" w:hint="eastAsia"/>
          <w:kern w:val="0"/>
          <w:sz w:val="24"/>
          <w:szCs w:val="24"/>
        </w:rPr>
        <w:t>采用传统教学与多媒体课件相结合的方法，用课堂讲授的方法详细</w:t>
      </w:r>
      <w:proofErr w:type="gramStart"/>
      <w:r w:rsidRPr="00092BC8">
        <w:rPr>
          <w:rFonts w:ascii="宋体" w:eastAsia="宋体" w:hAnsi="宋体" w:cs="宋体" w:hint="eastAsia"/>
          <w:kern w:val="0"/>
          <w:sz w:val="24"/>
          <w:szCs w:val="24"/>
        </w:rPr>
        <w:t>阐</w:t>
      </w:r>
      <w:proofErr w:type="gramEnd"/>
    </w:p>
    <w:p w14:paraId="351E5DE2" w14:textId="77777777" w:rsidR="00092BC8" w:rsidRPr="00092BC8" w:rsidRDefault="00092BC8" w:rsidP="00092BC8">
      <w:pPr>
        <w:spacing w:line="440" w:lineRule="exact"/>
        <w:rPr>
          <w:rFonts w:ascii="宋体" w:eastAsia="宋体" w:hAnsi="宋体" w:cs="宋体"/>
          <w:kern w:val="0"/>
          <w:sz w:val="24"/>
          <w:szCs w:val="24"/>
        </w:rPr>
      </w:pPr>
      <w:proofErr w:type="gramStart"/>
      <w:r w:rsidRPr="00092BC8">
        <w:rPr>
          <w:rFonts w:ascii="宋体" w:eastAsia="宋体" w:hAnsi="宋体" w:cs="宋体" w:hint="eastAsia"/>
          <w:kern w:val="0"/>
          <w:sz w:val="24"/>
          <w:szCs w:val="24"/>
        </w:rPr>
        <w:t>述本课程</w:t>
      </w:r>
      <w:proofErr w:type="gramEnd"/>
      <w:r w:rsidRPr="00092BC8">
        <w:rPr>
          <w:rFonts w:ascii="宋体" w:eastAsia="宋体" w:hAnsi="宋体" w:cs="宋体" w:hint="eastAsia"/>
          <w:kern w:val="0"/>
          <w:sz w:val="24"/>
          <w:szCs w:val="24"/>
        </w:rPr>
        <w:t>的基本概念、基本理论及计算方法，培养学生基本数学素养和数学能力；</w:t>
      </w:r>
    </w:p>
    <w:p w14:paraId="690465F7" w14:textId="77777777" w:rsidR="00092BC8" w:rsidRPr="00092BC8" w:rsidRDefault="00092BC8" w:rsidP="00092BC8">
      <w:pPr>
        <w:widowControl/>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2. 采用以教师讲授为主，课堂练习、讨论为辅的讲练结合授课方式，强化学生数学计算能力和应用能力的培养。</w:t>
      </w:r>
    </w:p>
    <w:p w14:paraId="68C89DC7" w14:textId="77777777" w:rsidR="00092BC8" w:rsidRPr="00092BC8" w:rsidRDefault="00092BC8" w:rsidP="00092BC8">
      <w:pPr>
        <w:spacing w:line="440" w:lineRule="exact"/>
        <w:ind w:firstLineChars="200" w:firstLine="482"/>
        <w:rPr>
          <w:rFonts w:ascii="宋体" w:eastAsia="宋体" w:hAnsi="宋体" w:cs="Times New Roman"/>
          <w:bCs/>
          <w:color w:val="FF0000"/>
          <w:sz w:val="24"/>
          <w:szCs w:val="24"/>
        </w:rPr>
      </w:pPr>
      <w:r w:rsidRPr="00092BC8">
        <w:rPr>
          <w:rFonts w:ascii="宋体" w:eastAsia="宋体" w:hAnsi="宋体" w:cs="Times New Roman" w:hint="eastAsia"/>
          <w:b/>
          <w:sz w:val="24"/>
          <w:szCs w:val="24"/>
        </w:rPr>
        <w:lastRenderedPageBreak/>
        <w:t>【复习思考】</w:t>
      </w:r>
    </w:p>
    <w:p w14:paraId="7359CE74" w14:textId="77777777" w:rsidR="00092BC8" w:rsidRPr="00092BC8" w:rsidRDefault="00092BC8" w:rsidP="00092BC8">
      <w:pPr>
        <w:spacing w:line="440" w:lineRule="exact"/>
        <w:ind w:left="480"/>
        <w:rPr>
          <w:rFonts w:ascii="宋体" w:eastAsia="宋体" w:hAnsi="宋体" w:cs="Times New Roman"/>
          <w:sz w:val="24"/>
          <w:szCs w:val="24"/>
        </w:rPr>
      </w:pPr>
      <w:r w:rsidRPr="00092BC8">
        <w:rPr>
          <w:rFonts w:ascii="宋体" w:eastAsia="宋体" w:hAnsi="宋体" w:cs="Times New Roman" w:hint="eastAsia"/>
          <w:sz w:val="24"/>
          <w:szCs w:val="24"/>
        </w:rPr>
        <w:t xml:space="preserve">1. </w:t>
      </w:r>
      <w:r w:rsidRPr="00092BC8">
        <w:rPr>
          <w:rFonts w:ascii="宋体" w:eastAsia="宋体" w:hAnsi="宋体" w:cs="Times New Roman"/>
          <w:sz w:val="24"/>
          <w:szCs w:val="24"/>
        </w:rPr>
        <w:t>微分方程</w:t>
      </w:r>
      <w:r w:rsidRPr="00092BC8">
        <w:rPr>
          <w:rFonts w:ascii="宋体" w:eastAsia="宋体" w:hAnsi="宋体" w:cs="Times New Roman" w:hint="eastAsia"/>
          <w:sz w:val="24"/>
          <w:szCs w:val="24"/>
        </w:rPr>
        <w:t>的阶数、解、</w:t>
      </w:r>
      <w:r w:rsidRPr="00092BC8">
        <w:rPr>
          <w:rFonts w:ascii="宋体" w:eastAsia="宋体" w:hAnsi="宋体" w:cs="Times New Roman"/>
          <w:sz w:val="24"/>
          <w:szCs w:val="24"/>
        </w:rPr>
        <w:t>特解</w:t>
      </w:r>
      <w:r w:rsidRPr="00092BC8">
        <w:rPr>
          <w:rFonts w:ascii="宋体" w:eastAsia="宋体" w:hAnsi="宋体" w:cs="Times New Roman" w:hint="eastAsia"/>
          <w:sz w:val="24"/>
          <w:szCs w:val="24"/>
        </w:rPr>
        <w:t>、</w:t>
      </w:r>
      <w:r w:rsidRPr="00092BC8">
        <w:rPr>
          <w:rFonts w:ascii="宋体" w:eastAsia="宋体" w:hAnsi="宋体" w:cs="Times New Roman"/>
          <w:sz w:val="24"/>
          <w:szCs w:val="24"/>
        </w:rPr>
        <w:t>通解</w:t>
      </w:r>
      <w:r w:rsidRPr="00092BC8">
        <w:rPr>
          <w:rFonts w:ascii="宋体" w:eastAsia="宋体" w:hAnsi="宋体" w:cs="Times New Roman" w:hint="eastAsia"/>
          <w:sz w:val="24"/>
          <w:szCs w:val="24"/>
        </w:rPr>
        <w:t>的概念；</w:t>
      </w:r>
      <w:r w:rsidRPr="00092BC8">
        <w:rPr>
          <w:rFonts w:ascii="宋体" w:eastAsia="宋体" w:hAnsi="宋体" w:cs="Times New Roman"/>
          <w:sz w:val="24"/>
          <w:szCs w:val="24"/>
        </w:rPr>
        <w:t xml:space="preserve"> </w:t>
      </w:r>
    </w:p>
    <w:p w14:paraId="57523F4F" w14:textId="77777777" w:rsidR="00092BC8" w:rsidRPr="00092BC8" w:rsidRDefault="00092BC8" w:rsidP="00092BC8">
      <w:pPr>
        <w:spacing w:line="440" w:lineRule="exact"/>
        <w:ind w:firstLineChars="200" w:firstLine="480"/>
        <w:rPr>
          <w:rFonts w:ascii="Times New Roman" w:eastAsia="宋体" w:hAnsi="Times New Roman" w:cs="Times New Roman"/>
          <w:szCs w:val="24"/>
        </w:rPr>
      </w:pPr>
      <w:r w:rsidRPr="00092BC8">
        <w:rPr>
          <w:rFonts w:ascii="宋体" w:eastAsia="宋体" w:hAnsi="宋体" w:cs="Times New Roman" w:hint="eastAsia"/>
          <w:sz w:val="24"/>
          <w:szCs w:val="24"/>
        </w:rPr>
        <w:t>2</w:t>
      </w:r>
      <w:r w:rsidRPr="00092BC8">
        <w:rPr>
          <w:rFonts w:ascii="宋体" w:eastAsia="宋体" w:hAnsi="宋体" w:cs="Times New Roman"/>
          <w:sz w:val="24"/>
          <w:szCs w:val="24"/>
        </w:rPr>
        <w:t>.</w:t>
      </w:r>
      <w:r w:rsidRPr="00092BC8">
        <w:rPr>
          <w:rFonts w:ascii="宋体" w:eastAsia="宋体" w:hAnsi="宋体" w:cs="Times New Roman" w:hint="eastAsia"/>
          <w:sz w:val="24"/>
          <w:szCs w:val="24"/>
        </w:rPr>
        <w:t xml:space="preserve"> 可分离变量微分方程、</w:t>
      </w:r>
      <w:r w:rsidRPr="00092BC8">
        <w:rPr>
          <w:rFonts w:ascii="宋体" w:eastAsia="宋体" w:hAnsi="宋体" w:cs="Times New Roman" w:hint="eastAsia"/>
          <w:color w:val="000000"/>
          <w:sz w:val="24"/>
          <w:szCs w:val="24"/>
        </w:rPr>
        <w:t>一阶线性微分方程的求解方法</w:t>
      </w:r>
      <w:r w:rsidRPr="00092BC8">
        <w:rPr>
          <w:rFonts w:ascii="宋体" w:eastAsia="宋体" w:hAnsi="宋体" w:cs="Times New Roman" w:hint="eastAsia"/>
          <w:sz w:val="24"/>
          <w:szCs w:val="24"/>
        </w:rPr>
        <w:t>。</w:t>
      </w:r>
    </w:p>
    <w:p w14:paraId="0953AD9E" w14:textId="77777777" w:rsidR="00092BC8" w:rsidRPr="00092BC8" w:rsidRDefault="00092BC8" w:rsidP="00092BC8">
      <w:pPr>
        <w:spacing w:beforeLines="50" w:before="156" w:afterLines="50" w:after="156" w:line="440" w:lineRule="exact"/>
        <w:ind w:firstLineChars="200" w:firstLine="560"/>
        <w:jc w:val="center"/>
        <w:rPr>
          <w:rFonts w:ascii="黑体" w:eastAsia="黑体" w:hAnsi="黑体" w:cs="Times New Roman"/>
          <w:sz w:val="28"/>
          <w:szCs w:val="28"/>
        </w:rPr>
      </w:pPr>
      <w:r w:rsidRPr="00092BC8">
        <w:rPr>
          <w:rFonts w:ascii="黑体" w:eastAsia="黑体" w:hAnsi="黑体" w:cs="Times New Roman" w:hint="eastAsia"/>
          <w:sz w:val="28"/>
          <w:szCs w:val="28"/>
        </w:rPr>
        <w:t>第七章  向量代数与</w:t>
      </w:r>
      <w:r w:rsidRPr="00092BC8">
        <w:rPr>
          <w:rFonts w:ascii="黑体" w:eastAsia="黑体" w:hAnsi="黑体" w:cs="Times New Roman"/>
          <w:sz w:val="28"/>
          <w:szCs w:val="28"/>
        </w:rPr>
        <w:t>空间解析几何</w:t>
      </w:r>
    </w:p>
    <w:p w14:paraId="6A3839CC"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【学习目标】</w:t>
      </w:r>
    </w:p>
    <w:p w14:paraId="0A0E382E"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宋体" w:hint="eastAsia"/>
          <w:kern w:val="0"/>
          <w:sz w:val="24"/>
          <w:szCs w:val="24"/>
        </w:rPr>
        <w:t>理解空间直角坐标系、向量的相关概念及运算；</w:t>
      </w:r>
      <w:proofErr w:type="gramStart"/>
      <w:r w:rsidRPr="00092BC8">
        <w:rPr>
          <w:rFonts w:ascii="宋体" w:eastAsia="宋体" w:hAnsi="宋体" w:cs="宋体" w:hint="eastAsia"/>
          <w:kern w:val="0"/>
          <w:sz w:val="24"/>
          <w:szCs w:val="24"/>
        </w:rPr>
        <w:t>会求平面</w:t>
      </w:r>
      <w:proofErr w:type="gramEnd"/>
      <w:r w:rsidRPr="00092BC8">
        <w:rPr>
          <w:rFonts w:ascii="宋体" w:eastAsia="宋体" w:hAnsi="宋体" w:cs="宋体" w:hint="eastAsia"/>
          <w:kern w:val="0"/>
          <w:sz w:val="24"/>
          <w:szCs w:val="24"/>
        </w:rPr>
        <w:t>方程、空间直线方程；</w:t>
      </w:r>
      <w:r w:rsidRPr="00092BC8">
        <w:rPr>
          <w:rFonts w:ascii="宋体" w:eastAsia="宋体" w:hAnsi="宋体" w:cs="Times New Roman" w:hint="eastAsia"/>
          <w:sz w:val="24"/>
          <w:szCs w:val="24"/>
        </w:rPr>
        <w:t>了解</w:t>
      </w:r>
      <w:r w:rsidRPr="00092BC8">
        <w:rPr>
          <w:rFonts w:ascii="宋体" w:eastAsia="宋体" w:hAnsi="宋体" w:cs="Times New Roman"/>
          <w:sz w:val="24"/>
          <w:szCs w:val="24"/>
        </w:rPr>
        <w:t>曲面和</w:t>
      </w:r>
      <w:r w:rsidRPr="00092BC8">
        <w:rPr>
          <w:rFonts w:ascii="宋体" w:eastAsia="宋体" w:hAnsi="宋体" w:cs="Times New Roman" w:hint="eastAsia"/>
          <w:sz w:val="24"/>
          <w:szCs w:val="24"/>
        </w:rPr>
        <w:t>空间</w:t>
      </w:r>
      <w:r w:rsidRPr="00092BC8">
        <w:rPr>
          <w:rFonts w:ascii="宋体" w:eastAsia="宋体" w:hAnsi="宋体" w:cs="Times New Roman"/>
          <w:sz w:val="24"/>
          <w:szCs w:val="24"/>
        </w:rPr>
        <w:t>曲线的概念。</w:t>
      </w:r>
    </w:p>
    <w:p w14:paraId="5E8DF3DB"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【学习内容】</w:t>
      </w:r>
    </w:p>
    <w:p w14:paraId="06D10CC7" w14:textId="77777777" w:rsidR="00092BC8" w:rsidRPr="00092BC8" w:rsidRDefault="00092BC8" w:rsidP="00092BC8">
      <w:pPr>
        <w:adjustRightInd w:val="0"/>
        <w:snapToGrid w:val="0"/>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1.</w:t>
      </w:r>
      <w:r w:rsidRPr="00092BC8">
        <w:rPr>
          <w:rFonts w:ascii="宋体" w:eastAsia="宋体" w:hAnsi="宋体" w:cs="宋体"/>
          <w:kern w:val="0"/>
          <w:sz w:val="24"/>
          <w:szCs w:val="24"/>
        </w:rPr>
        <w:t xml:space="preserve"> </w:t>
      </w:r>
      <w:r w:rsidRPr="00092BC8">
        <w:rPr>
          <w:rFonts w:ascii="宋体" w:eastAsia="宋体" w:hAnsi="宋体" w:cs="宋体" w:hint="eastAsia"/>
          <w:kern w:val="0"/>
          <w:sz w:val="24"/>
          <w:szCs w:val="24"/>
        </w:rPr>
        <w:t>向量及其线性运算；</w:t>
      </w:r>
    </w:p>
    <w:p w14:paraId="1CE3D735" w14:textId="77777777" w:rsidR="00092BC8" w:rsidRPr="00092BC8" w:rsidRDefault="00092BC8" w:rsidP="00092BC8">
      <w:pPr>
        <w:adjustRightInd w:val="0"/>
        <w:snapToGrid w:val="0"/>
        <w:spacing w:line="440" w:lineRule="exact"/>
        <w:rPr>
          <w:rFonts w:ascii="宋体" w:eastAsia="宋体" w:hAnsi="宋体" w:cs="宋体"/>
          <w:kern w:val="0"/>
          <w:sz w:val="24"/>
          <w:szCs w:val="24"/>
        </w:rPr>
      </w:pPr>
      <w:r w:rsidRPr="00092BC8">
        <w:rPr>
          <w:rFonts w:ascii="宋体" w:eastAsia="宋体" w:hAnsi="宋体" w:cs="宋体"/>
          <w:kern w:val="0"/>
          <w:sz w:val="24"/>
          <w:szCs w:val="24"/>
        </w:rPr>
        <w:t xml:space="preserve">    </w:t>
      </w:r>
      <w:r w:rsidRPr="00092BC8">
        <w:rPr>
          <w:rFonts w:ascii="宋体" w:eastAsia="宋体" w:hAnsi="宋体" w:cs="宋体" w:hint="eastAsia"/>
          <w:kern w:val="0"/>
          <w:sz w:val="24"/>
          <w:szCs w:val="24"/>
        </w:rPr>
        <w:t>2.</w:t>
      </w:r>
      <w:r w:rsidRPr="00092BC8">
        <w:rPr>
          <w:rFonts w:ascii="宋体" w:eastAsia="宋体" w:hAnsi="宋体" w:cs="宋体"/>
          <w:kern w:val="0"/>
          <w:sz w:val="24"/>
          <w:szCs w:val="24"/>
        </w:rPr>
        <w:t xml:space="preserve"> </w:t>
      </w:r>
      <w:r w:rsidRPr="00092BC8">
        <w:rPr>
          <w:rFonts w:ascii="宋体" w:eastAsia="宋体" w:hAnsi="宋体" w:cs="宋体" w:hint="eastAsia"/>
          <w:kern w:val="0"/>
          <w:sz w:val="24"/>
          <w:szCs w:val="24"/>
        </w:rPr>
        <w:t>数量积，向量积；</w:t>
      </w:r>
    </w:p>
    <w:p w14:paraId="6BC3C679" w14:textId="77777777" w:rsidR="00092BC8" w:rsidRPr="00092BC8" w:rsidRDefault="00092BC8" w:rsidP="00092BC8">
      <w:pPr>
        <w:adjustRightInd w:val="0"/>
        <w:snapToGrid w:val="0"/>
        <w:spacing w:line="440" w:lineRule="exact"/>
        <w:ind w:firstLine="480"/>
        <w:rPr>
          <w:rFonts w:ascii="宋体" w:eastAsia="宋体" w:hAnsi="宋体" w:cs="宋体"/>
          <w:kern w:val="0"/>
          <w:sz w:val="24"/>
          <w:szCs w:val="24"/>
        </w:rPr>
      </w:pPr>
      <w:r w:rsidRPr="00092BC8">
        <w:rPr>
          <w:rFonts w:ascii="宋体" w:eastAsia="宋体" w:hAnsi="宋体" w:cs="宋体" w:hint="eastAsia"/>
          <w:kern w:val="0"/>
          <w:sz w:val="24"/>
          <w:szCs w:val="24"/>
        </w:rPr>
        <w:t>3</w:t>
      </w:r>
      <w:r w:rsidRPr="00092BC8">
        <w:rPr>
          <w:rFonts w:ascii="宋体" w:eastAsia="宋体" w:hAnsi="宋体" w:cs="宋体"/>
          <w:kern w:val="0"/>
          <w:sz w:val="24"/>
          <w:szCs w:val="24"/>
        </w:rPr>
        <w:t xml:space="preserve">. </w:t>
      </w:r>
      <w:r w:rsidRPr="00092BC8">
        <w:rPr>
          <w:rFonts w:ascii="宋体" w:eastAsia="宋体" w:hAnsi="宋体" w:cs="宋体" w:hint="eastAsia"/>
          <w:kern w:val="0"/>
          <w:sz w:val="24"/>
          <w:szCs w:val="24"/>
        </w:rPr>
        <w:t>平面及其方程；</w:t>
      </w:r>
    </w:p>
    <w:p w14:paraId="50A1EEF7" w14:textId="77777777" w:rsidR="00092BC8" w:rsidRPr="00092BC8" w:rsidRDefault="00092BC8" w:rsidP="00092BC8">
      <w:pPr>
        <w:adjustRightInd w:val="0"/>
        <w:snapToGrid w:val="0"/>
        <w:spacing w:line="440" w:lineRule="exact"/>
        <w:ind w:firstLine="480"/>
        <w:rPr>
          <w:rFonts w:ascii="宋体" w:eastAsia="宋体" w:hAnsi="宋体" w:cs="宋体"/>
          <w:kern w:val="0"/>
          <w:sz w:val="24"/>
          <w:szCs w:val="24"/>
        </w:rPr>
      </w:pPr>
      <w:r w:rsidRPr="00092BC8">
        <w:rPr>
          <w:rFonts w:ascii="宋体" w:eastAsia="宋体" w:hAnsi="宋体" w:cs="宋体" w:hint="eastAsia"/>
          <w:kern w:val="0"/>
          <w:sz w:val="24"/>
          <w:szCs w:val="24"/>
        </w:rPr>
        <w:t>4</w:t>
      </w:r>
      <w:r w:rsidRPr="00092BC8">
        <w:rPr>
          <w:rFonts w:ascii="宋体" w:eastAsia="宋体" w:hAnsi="宋体" w:cs="宋体"/>
          <w:kern w:val="0"/>
          <w:sz w:val="24"/>
          <w:szCs w:val="24"/>
        </w:rPr>
        <w:t>.</w:t>
      </w:r>
      <w:r w:rsidRPr="00092BC8">
        <w:rPr>
          <w:rFonts w:ascii="宋体" w:eastAsia="宋体" w:hAnsi="宋体" w:cs="宋体" w:hint="eastAsia"/>
          <w:kern w:val="0"/>
          <w:sz w:val="24"/>
          <w:szCs w:val="24"/>
        </w:rPr>
        <w:t xml:space="preserve"> 空间直线及其方程；</w:t>
      </w:r>
    </w:p>
    <w:p w14:paraId="6F595FDB" w14:textId="77777777" w:rsidR="00092BC8" w:rsidRPr="00092BC8" w:rsidRDefault="00092BC8" w:rsidP="00092BC8">
      <w:pPr>
        <w:adjustRightInd w:val="0"/>
        <w:snapToGrid w:val="0"/>
        <w:spacing w:line="440" w:lineRule="exact"/>
        <w:ind w:firstLine="480"/>
        <w:rPr>
          <w:rFonts w:ascii="宋体" w:eastAsia="宋体" w:hAnsi="宋体" w:cs="宋体"/>
          <w:kern w:val="0"/>
          <w:sz w:val="24"/>
          <w:szCs w:val="24"/>
        </w:rPr>
      </w:pPr>
      <w:r w:rsidRPr="00092BC8">
        <w:rPr>
          <w:rFonts w:ascii="宋体" w:eastAsia="宋体" w:hAnsi="宋体" w:cs="宋体" w:hint="eastAsia"/>
          <w:kern w:val="0"/>
          <w:sz w:val="24"/>
          <w:szCs w:val="24"/>
        </w:rPr>
        <w:t>5</w:t>
      </w:r>
      <w:r w:rsidRPr="00092BC8">
        <w:rPr>
          <w:rFonts w:ascii="宋体" w:eastAsia="宋体" w:hAnsi="宋体" w:cs="宋体"/>
          <w:kern w:val="0"/>
          <w:sz w:val="24"/>
          <w:szCs w:val="24"/>
        </w:rPr>
        <w:t>.</w:t>
      </w:r>
      <w:r w:rsidRPr="00092BC8">
        <w:rPr>
          <w:rFonts w:ascii="宋体" w:eastAsia="宋体" w:hAnsi="宋体" w:cs="宋体" w:hint="eastAsia"/>
          <w:kern w:val="0"/>
          <w:sz w:val="24"/>
          <w:szCs w:val="24"/>
        </w:rPr>
        <w:t xml:space="preserve"> 曲面及其方程；</w:t>
      </w:r>
    </w:p>
    <w:p w14:paraId="52BF4480" w14:textId="77777777" w:rsidR="00092BC8" w:rsidRPr="00092BC8" w:rsidRDefault="00092BC8" w:rsidP="00092BC8">
      <w:pPr>
        <w:adjustRightInd w:val="0"/>
        <w:snapToGrid w:val="0"/>
        <w:spacing w:line="440" w:lineRule="exact"/>
        <w:ind w:firstLine="480"/>
        <w:rPr>
          <w:rFonts w:ascii="宋体" w:eastAsia="宋体" w:hAnsi="宋体" w:cs="宋体"/>
          <w:kern w:val="0"/>
          <w:sz w:val="24"/>
          <w:szCs w:val="24"/>
        </w:rPr>
      </w:pPr>
      <w:r w:rsidRPr="00092BC8">
        <w:rPr>
          <w:rFonts w:ascii="宋体" w:eastAsia="宋体" w:hAnsi="宋体" w:cs="宋体" w:hint="eastAsia"/>
          <w:kern w:val="0"/>
          <w:sz w:val="24"/>
          <w:szCs w:val="24"/>
        </w:rPr>
        <w:t>6</w:t>
      </w:r>
      <w:r w:rsidRPr="00092BC8">
        <w:rPr>
          <w:rFonts w:ascii="宋体" w:eastAsia="宋体" w:hAnsi="宋体" w:cs="宋体"/>
          <w:kern w:val="0"/>
          <w:sz w:val="24"/>
          <w:szCs w:val="24"/>
        </w:rPr>
        <w:t>.</w:t>
      </w:r>
      <w:r w:rsidRPr="00092BC8">
        <w:rPr>
          <w:rFonts w:ascii="宋体" w:eastAsia="宋体" w:hAnsi="宋体" w:cs="宋体" w:hint="eastAsia"/>
          <w:kern w:val="0"/>
          <w:sz w:val="24"/>
          <w:szCs w:val="24"/>
        </w:rPr>
        <w:t xml:space="preserve"> 空间曲线及其方程。</w:t>
      </w:r>
    </w:p>
    <w:p w14:paraId="0EB3CABB" w14:textId="77777777" w:rsidR="00092BC8" w:rsidRPr="00092BC8" w:rsidRDefault="00092BC8" w:rsidP="00092BC8">
      <w:pPr>
        <w:spacing w:line="440" w:lineRule="exact"/>
        <w:ind w:left="480" w:firstLineChars="50" w:firstLine="120"/>
        <w:rPr>
          <w:rFonts w:ascii="宋体" w:eastAsia="宋体" w:hAnsi="宋体" w:cs="Times New Roman"/>
          <w:b/>
          <w:sz w:val="24"/>
          <w:szCs w:val="24"/>
        </w:rPr>
      </w:pPr>
      <w:r w:rsidRPr="00092BC8">
        <w:rPr>
          <w:rFonts w:ascii="宋体" w:eastAsia="宋体" w:hAnsi="宋体" w:cs="Times New Roman" w:hint="eastAsia"/>
          <w:b/>
          <w:sz w:val="24"/>
          <w:szCs w:val="24"/>
        </w:rPr>
        <w:t>【重点】</w:t>
      </w:r>
    </w:p>
    <w:p w14:paraId="22750E73" w14:textId="77777777" w:rsidR="00092BC8" w:rsidRPr="00092BC8" w:rsidRDefault="00092BC8" w:rsidP="00092BC8">
      <w:pPr>
        <w:spacing w:line="440" w:lineRule="exact"/>
        <w:ind w:left="480"/>
        <w:rPr>
          <w:rFonts w:ascii="宋体" w:eastAsia="宋体" w:hAnsi="宋体" w:cs="宋体"/>
          <w:kern w:val="0"/>
          <w:sz w:val="24"/>
          <w:szCs w:val="24"/>
        </w:rPr>
      </w:pPr>
      <w:r w:rsidRPr="00092BC8">
        <w:rPr>
          <w:rFonts w:ascii="宋体" w:eastAsia="宋体" w:hAnsi="宋体" w:cs="宋体" w:hint="eastAsia"/>
          <w:kern w:val="0"/>
          <w:sz w:val="24"/>
          <w:szCs w:val="24"/>
        </w:rPr>
        <w:t>1. 空间直角坐标系的</w:t>
      </w:r>
      <w:r w:rsidRPr="00092BC8">
        <w:rPr>
          <w:rFonts w:ascii="宋体" w:eastAsia="宋体" w:hAnsi="宋体" w:cs="宋体"/>
          <w:kern w:val="0"/>
          <w:sz w:val="24"/>
          <w:szCs w:val="24"/>
        </w:rPr>
        <w:t>建立</w:t>
      </w:r>
      <w:r w:rsidRPr="00092BC8">
        <w:rPr>
          <w:rFonts w:ascii="宋体" w:eastAsia="宋体" w:hAnsi="宋体" w:cs="宋体" w:hint="eastAsia"/>
          <w:kern w:val="0"/>
          <w:sz w:val="24"/>
          <w:szCs w:val="24"/>
        </w:rPr>
        <w:t>；</w:t>
      </w:r>
    </w:p>
    <w:p w14:paraId="7FB81330" w14:textId="77777777" w:rsidR="00092BC8" w:rsidRPr="00092BC8" w:rsidRDefault="00092BC8" w:rsidP="00092BC8">
      <w:pPr>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2. 向量的坐标表达式及其运算；</w:t>
      </w:r>
    </w:p>
    <w:p w14:paraId="53C5083B"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宋体"/>
          <w:kern w:val="0"/>
          <w:sz w:val="24"/>
          <w:szCs w:val="24"/>
        </w:rPr>
        <w:t xml:space="preserve">3. </w:t>
      </w:r>
      <w:r w:rsidRPr="00092BC8">
        <w:rPr>
          <w:rFonts w:ascii="宋体" w:eastAsia="宋体" w:hAnsi="宋体" w:cs="宋体" w:hint="eastAsia"/>
          <w:kern w:val="0"/>
          <w:sz w:val="24"/>
          <w:szCs w:val="24"/>
        </w:rPr>
        <w:t>平面方程和空间直线方程的求法。</w:t>
      </w:r>
    </w:p>
    <w:p w14:paraId="48D99992"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【难点】</w:t>
      </w:r>
    </w:p>
    <w:p w14:paraId="5EE56395" w14:textId="77777777" w:rsidR="00092BC8" w:rsidRPr="00092BC8" w:rsidRDefault="00092BC8" w:rsidP="00092BC8">
      <w:pPr>
        <w:spacing w:line="440" w:lineRule="exact"/>
        <w:ind w:left="480"/>
        <w:rPr>
          <w:rFonts w:ascii="宋体" w:eastAsia="宋体" w:hAnsi="宋体" w:cs="宋体"/>
          <w:kern w:val="0"/>
          <w:sz w:val="24"/>
          <w:szCs w:val="24"/>
        </w:rPr>
      </w:pPr>
      <w:r w:rsidRPr="00092BC8">
        <w:rPr>
          <w:rFonts w:ascii="宋体" w:eastAsia="宋体" w:hAnsi="宋体" w:cs="宋体"/>
          <w:kern w:val="0"/>
          <w:sz w:val="24"/>
          <w:szCs w:val="24"/>
        </w:rPr>
        <w:t xml:space="preserve"> </w:t>
      </w:r>
      <w:r w:rsidRPr="00092BC8">
        <w:rPr>
          <w:rFonts w:ascii="宋体" w:eastAsia="宋体" w:hAnsi="宋体" w:cs="宋体" w:hint="eastAsia"/>
          <w:kern w:val="0"/>
          <w:sz w:val="24"/>
          <w:szCs w:val="24"/>
        </w:rPr>
        <w:t>求平面方程和空间直线方程。</w:t>
      </w:r>
    </w:p>
    <w:p w14:paraId="212A3A66" w14:textId="77777777" w:rsidR="00092BC8" w:rsidRPr="00092BC8" w:rsidRDefault="00092BC8" w:rsidP="00092BC8">
      <w:pPr>
        <w:spacing w:line="440" w:lineRule="exact"/>
        <w:ind w:firstLineChars="200" w:firstLine="482"/>
        <w:rPr>
          <w:rFonts w:ascii="宋体" w:eastAsia="宋体" w:hAnsi="宋体" w:cs="Times New Roman"/>
          <w:b/>
          <w:bCs/>
          <w:sz w:val="24"/>
          <w:szCs w:val="24"/>
        </w:rPr>
      </w:pPr>
      <w:r w:rsidRPr="00092BC8">
        <w:rPr>
          <w:rFonts w:ascii="宋体" w:eastAsia="宋体" w:hAnsi="宋体" w:cs="Times New Roman" w:hint="eastAsia"/>
          <w:b/>
          <w:bCs/>
          <w:sz w:val="24"/>
          <w:szCs w:val="24"/>
        </w:rPr>
        <w:t>【教学方法】</w:t>
      </w:r>
    </w:p>
    <w:p w14:paraId="6C0F2AC7" w14:textId="77777777" w:rsidR="00092BC8" w:rsidRPr="00092BC8" w:rsidRDefault="00092BC8" w:rsidP="00092BC8">
      <w:pPr>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1</w:t>
      </w:r>
      <w:r w:rsidRPr="00092BC8">
        <w:rPr>
          <w:rFonts w:ascii="宋体" w:eastAsia="宋体" w:hAnsi="宋体" w:cs="宋体"/>
          <w:kern w:val="0"/>
          <w:sz w:val="24"/>
          <w:szCs w:val="24"/>
        </w:rPr>
        <w:t xml:space="preserve">. </w:t>
      </w:r>
      <w:r w:rsidRPr="00092BC8">
        <w:rPr>
          <w:rFonts w:ascii="宋体" w:eastAsia="宋体" w:hAnsi="宋体" w:cs="宋体" w:hint="eastAsia"/>
          <w:kern w:val="0"/>
          <w:sz w:val="24"/>
          <w:szCs w:val="24"/>
        </w:rPr>
        <w:t>采用传统教学与多媒体课件相结合的方法，用课堂讲授的方法详细阐述本课程的基本概念、基本理论及计算方法，培养学生基本数学素养和数学能力；</w:t>
      </w:r>
    </w:p>
    <w:p w14:paraId="1CE8F853" w14:textId="77777777" w:rsidR="00092BC8" w:rsidRPr="00092BC8" w:rsidRDefault="00092BC8" w:rsidP="00092BC8">
      <w:pPr>
        <w:widowControl/>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2. 采用启发式教学方法进行授课，培养学生发现问题、分析问题、解决问题的能力；</w:t>
      </w:r>
    </w:p>
    <w:p w14:paraId="308B4E83" w14:textId="77777777" w:rsidR="00092BC8" w:rsidRPr="00092BC8" w:rsidRDefault="00092BC8" w:rsidP="00092BC8">
      <w:pPr>
        <w:widowControl/>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3. 采用以教师讲授为主，课堂练习、讨论为辅的讲练结合授课方式，强化学生数学计算能力和应用能力的培养。</w:t>
      </w:r>
    </w:p>
    <w:p w14:paraId="6B4FC091" w14:textId="77777777" w:rsidR="00092BC8" w:rsidRPr="00092BC8" w:rsidRDefault="00092BC8" w:rsidP="00092BC8">
      <w:pPr>
        <w:spacing w:line="440" w:lineRule="exact"/>
        <w:ind w:firstLineChars="200" w:firstLine="482"/>
        <w:rPr>
          <w:rFonts w:ascii="宋体" w:eastAsia="宋体" w:hAnsi="宋体" w:cs="Times New Roman"/>
          <w:bCs/>
          <w:color w:val="FF0000"/>
          <w:sz w:val="24"/>
          <w:szCs w:val="24"/>
        </w:rPr>
      </w:pPr>
      <w:r w:rsidRPr="00092BC8">
        <w:rPr>
          <w:rFonts w:ascii="宋体" w:eastAsia="宋体" w:hAnsi="宋体" w:cs="Times New Roman" w:hint="eastAsia"/>
          <w:b/>
          <w:sz w:val="24"/>
          <w:szCs w:val="24"/>
        </w:rPr>
        <w:t>【复习思考】</w:t>
      </w:r>
    </w:p>
    <w:p w14:paraId="6D9B77BB" w14:textId="77777777" w:rsidR="00092BC8" w:rsidRPr="00092BC8" w:rsidRDefault="00092BC8" w:rsidP="00092BC8">
      <w:pPr>
        <w:spacing w:line="440" w:lineRule="exact"/>
        <w:ind w:firstLineChars="200" w:firstLine="480"/>
        <w:rPr>
          <w:rFonts w:ascii="宋体" w:eastAsia="宋体" w:hAnsi="宋体" w:cs="Times New Roman"/>
          <w:b/>
          <w:sz w:val="24"/>
          <w:szCs w:val="24"/>
        </w:rPr>
      </w:pPr>
      <w:r w:rsidRPr="00092BC8">
        <w:rPr>
          <w:rFonts w:ascii="宋体" w:eastAsia="宋体" w:hAnsi="宋体" w:cs="Times New Roman" w:hint="eastAsia"/>
          <w:sz w:val="24"/>
          <w:szCs w:val="24"/>
        </w:rPr>
        <w:t>1</w:t>
      </w:r>
      <w:r w:rsidRPr="00092BC8">
        <w:rPr>
          <w:rFonts w:ascii="宋体" w:eastAsia="宋体" w:hAnsi="宋体" w:cs="Times New Roman"/>
          <w:sz w:val="24"/>
          <w:szCs w:val="24"/>
        </w:rPr>
        <w:t xml:space="preserve">. </w:t>
      </w:r>
      <w:r w:rsidRPr="00092BC8">
        <w:rPr>
          <w:rFonts w:ascii="宋体" w:eastAsia="宋体" w:hAnsi="宋体" w:cs="宋体" w:hint="eastAsia"/>
          <w:kern w:val="0"/>
          <w:sz w:val="24"/>
          <w:szCs w:val="24"/>
        </w:rPr>
        <w:t>向量运算有哪些</w:t>
      </w:r>
      <w:r w:rsidRPr="00092BC8">
        <w:rPr>
          <w:rFonts w:ascii="宋体" w:eastAsia="宋体" w:hAnsi="宋体" w:cs="宋体"/>
          <w:kern w:val="0"/>
          <w:sz w:val="24"/>
          <w:szCs w:val="24"/>
        </w:rPr>
        <w:t>？</w:t>
      </w:r>
    </w:p>
    <w:p w14:paraId="004D20EC"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2</w:t>
      </w:r>
      <w:r w:rsidRPr="00092BC8">
        <w:rPr>
          <w:rFonts w:ascii="宋体" w:eastAsia="宋体" w:hAnsi="宋体" w:cs="Times New Roman"/>
          <w:sz w:val="24"/>
          <w:szCs w:val="24"/>
        </w:rPr>
        <w:t xml:space="preserve">. </w:t>
      </w:r>
      <w:r w:rsidRPr="00092BC8">
        <w:rPr>
          <w:rFonts w:ascii="宋体" w:eastAsia="宋体" w:hAnsi="宋体" w:cs="Times New Roman" w:hint="eastAsia"/>
          <w:sz w:val="24"/>
          <w:szCs w:val="24"/>
        </w:rPr>
        <w:t>求解</w:t>
      </w:r>
      <w:r w:rsidRPr="00092BC8">
        <w:rPr>
          <w:rFonts w:ascii="宋体" w:eastAsia="宋体" w:hAnsi="宋体" w:cs="宋体" w:hint="eastAsia"/>
          <w:kern w:val="0"/>
          <w:sz w:val="24"/>
          <w:szCs w:val="24"/>
        </w:rPr>
        <w:t>平面方程和空间直线方程有</w:t>
      </w:r>
      <w:r w:rsidRPr="00092BC8">
        <w:rPr>
          <w:rFonts w:ascii="宋体" w:eastAsia="宋体" w:hAnsi="宋体" w:cs="宋体"/>
          <w:kern w:val="0"/>
          <w:sz w:val="24"/>
          <w:szCs w:val="24"/>
        </w:rPr>
        <w:t>哪些方法</w:t>
      </w:r>
      <w:r w:rsidRPr="00092BC8">
        <w:rPr>
          <w:rFonts w:ascii="宋体" w:eastAsia="宋体" w:hAnsi="宋体" w:cs="宋体" w:hint="eastAsia"/>
          <w:kern w:val="0"/>
          <w:sz w:val="24"/>
          <w:szCs w:val="24"/>
        </w:rPr>
        <w:t>？</w:t>
      </w:r>
    </w:p>
    <w:p w14:paraId="29F4A513" w14:textId="77777777" w:rsidR="00092BC8" w:rsidRPr="00092BC8" w:rsidRDefault="00092BC8" w:rsidP="00092BC8">
      <w:pPr>
        <w:spacing w:beforeLines="50" w:before="156" w:afterLines="50" w:after="156" w:line="440" w:lineRule="exact"/>
        <w:ind w:firstLineChars="200" w:firstLine="560"/>
        <w:jc w:val="center"/>
        <w:rPr>
          <w:rFonts w:ascii="黑体" w:eastAsia="黑体" w:hAnsi="黑体" w:cs="Times New Roman"/>
          <w:sz w:val="28"/>
          <w:szCs w:val="28"/>
        </w:rPr>
      </w:pPr>
      <w:r w:rsidRPr="00092BC8">
        <w:rPr>
          <w:rFonts w:ascii="黑体" w:eastAsia="黑体" w:hAnsi="黑体" w:cs="Times New Roman" w:hint="eastAsia"/>
          <w:sz w:val="28"/>
          <w:szCs w:val="28"/>
        </w:rPr>
        <w:lastRenderedPageBreak/>
        <w:t>第八章  多元函数微分法</w:t>
      </w:r>
      <w:r w:rsidRPr="00092BC8">
        <w:rPr>
          <w:rFonts w:ascii="黑体" w:eastAsia="黑体" w:hAnsi="黑体" w:cs="Times New Roman"/>
          <w:sz w:val="28"/>
          <w:szCs w:val="28"/>
        </w:rPr>
        <w:t>及其应用</w:t>
      </w:r>
    </w:p>
    <w:p w14:paraId="296D8B3E"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 xml:space="preserve">【学习目标】 </w:t>
      </w:r>
    </w:p>
    <w:p w14:paraId="6A839A5E"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了解多元函数的概念；了解二元函数的极限与连续的概念；了解有界</w:t>
      </w:r>
      <w:proofErr w:type="gramStart"/>
      <w:r w:rsidRPr="00092BC8">
        <w:rPr>
          <w:rFonts w:ascii="宋体" w:eastAsia="宋体" w:hAnsi="宋体" w:cs="Times New Roman" w:hint="eastAsia"/>
          <w:sz w:val="24"/>
          <w:szCs w:val="24"/>
        </w:rPr>
        <w:t>闭区域</w:t>
      </w:r>
      <w:proofErr w:type="gramEnd"/>
      <w:r w:rsidRPr="00092BC8">
        <w:rPr>
          <w:rFonts w:ascii="宋体" w:eastAsia="宋体" w:hAnsi="宋体" w:cs="Times New Roman" w:hint="eastAsia"/>
          <w:sz w:val="24"/>
          <w:szCs w:val="24"/>
        </w:rPr>
        <w:t>上二元连续函数的概念；</w:t>
      </w:r>
      <w:proofErr w:type="gramStart"/>
      <w:r w:rsidRPr="00092BC8">
        <w:rPr>
          <w:rFonts w:ascii="宋体" w:eastAsia="宋体" w:hAnsi="宋体" w:cs="Times New Roman" w:hint="eastAsia"/>
          <w:sz w:val="24"/>
          <w:szCs w:val="24"/>
        </w:rPr>
        <w:t>会求一</w:t>
      </w:r>
      <w:proofErr w:type="gramEnd"/>
      <w:r w:rsidRPr="00092BC8">
        <w:rPr>
          <w:rFonts w:ascii="宋体" w:eastAsia="宋体" w:hAnsi="宋体" w:cs="Times New Roman" w:hint="eastAsia"/>
          <w:sz w:val="24"/>
          <w:szCs w:val="24"/>
        </w:rPr>
        <w:t>阶、二阶偏导数；</w:t>
      </w:r>
      <w:proofErr w:type="gramStart"/>
      <w:r w:rsidRPr="00092BC8">
        <w:rPr>
          <w:rFonts w:ascii="宋体" w:eastAsia="宋体" w:hAnsi="宋体" w:cs="Times New Roman" w:hint="eastAsia"/>
          <w:sz w:val="24"/>
          <w:szCs w:val="24"/>
        </w:rPr>
        <w:t>会求多元</w:t>
      </w:r>
      <w:proofErr w:type="gramEnd"/>
      <w:r w:rsidRPr="00092BC8">
        <w:rPr>
          <w:rFonts w:ascii="宋体" w:eastAsia="宋体" w:hAnsi="宋体" w:cs="Times New Roman" w:hint="eastAsia"/>
          <w:sz w:val="24"/>
          <w:szCs w:val="24"/>
        </w:rPr>
        <w:t>复合函数一阶、二阶偏导数；会求全微分；</w:t>
      </w:r>
      <w:proofErr w:type="gramStart"/>
      <w:r w:rsidRPr="00092BC8">
        <w:rPr>
          <w:rFonts w:ascii="宋体" w:eastAsia="宋体" w:hAnsi="宋体" w:cs="Times New Roman" w:hint="eastAsia"/>
          <w:sz w:val="24"/>
          <w:szCs w:val="24"/>
        </w:rPr>
        <w:t>会求多元</w:t>
      </w:r>
      <w:proofErr w:type="gramEnd"/>
      <w:r w:rsidRPr="00092BC8">
        <w:rPr>
          <w:rFonts w:ascii="宋体" w:eastAsia="宋体" w:hAnsi="宋体" w:cs="Times New Roman" w:hint="eastAsia"/>
          <w:sz w:val="24"/>
          <w:szCs w:val="24"/>
        </w:rPr>
        <w:t>隐函数的偏导数；了解多元函数微分学的几何应用；掌握多元函数极值及其求法。</w:t>
      </w:r>
    </w:p>
    <w:p w14:paraId="55C607FA"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【学习内容】</w:t>
      </w:r>
    </w:p>
    <w:p w14:paraId="292CD704" w14:textId="77777777" w:rsidR="00092BC8" w:rsidRPr="00092BC8" w:rsidRDefault="00092BC8" w:rsidP="00092BC8">
      <w:pPr>
        <w:adjustRightInd w:val="0"/>
        <w:snapToGrid w:val="0"/>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 xml:space="preserve">1 </w:t>
      </w:r>
      <w:r w:rsidRPr="00092BC8">
        <w:rPr>
          <w:rFonts w:ascii="宋体" w:eastAsia="宋体" w:hAnsi="宋体" w:cs="宋体"/>
          <w:kern w:val="0"/>
          <w:sz w:val="24"/>
          <w:szCs w:val="24"/>
        </w:rPr>
        <w:t xml:space="preserve"> </w:t>
      </w:r>
      <w:r w:rsidRPr="00092BC8">
        <w:rPr>
          <w:rFonts w:ascii="宋体" w:eastAsia="宋体" w:hAnsi="宋体" w:cs="宋体" w:hint="eastAsia"/>
          <w:kern w:val="0"/>
          <w:sz w:val="24"/>
          <w:szCs w:val="24"/>
        </w:rPr>
        <w:t>多元函数的基本概念；</w:t>
      </w:r>
    </w:p>
    <w:p w14:paraId="38417C16" w14:textId="77777777" w:rsidR="00092BC8" w:rsidRPr="00092BC8" w:rsidRDefault="00092BC8" w:rsidP="00092BC8">
      <w:pPr>
        <w:adjustRightInd w:val="0"/>
        <w:snapToGrid w:val="0"/>
        <w:spacing w:line="440" w:lineRule="exact"/>
        <w:rPr>
          <w:rFonts w:ascii="宋体" w:eastAsia="宋体" w:hAnsi="宋体" w:cs="宋体"/>
          <w:kern w:val="0"/>
          <w:sz w:val="24"/>
          <w:szCs w:val="24"/>
        </w:rPr>
      </w:pPr>
      <w:r w:rsidRPr="00092BC8">
        <w:rPr>
          <w:rFonts w:ascii="宋体" w:eastAsia="宋体" w:hAnsi="宋体" w:cs="宋体"/>
          <w:kern w:val="0"/>
          <w:sz w:val="24"/>
          <w:szCs w:val="24"/>
        </w:rPr>
        <w:t xml:space="preserve">    </w:t>
      </w:r>
      <w:r w:rsidRPr="00092BC8">
        <w:rPr>
          <w:rFonts w:ascii="宋体" w:eastAsia="宋体" w:hAnsi="宋体" w:cs="宋体" w:hint="eastAsia"/>
          <w:kern w:val="0"/>
          <w:sz w:val="24"/>
          <w:szCs w:val="24"/>
        </w:rPr>
        <w:t>2</w:t>
      </w:r>
      <w:r w:rsidRPr="00092BC8">
        <w:rPr>
          <w:rFonts w:ascii="宋体" w:eastAsia="宋体" w:hAnsi="宋体" w:cs="宋体"/>
          <w:kern w:val="0"/>
          <w:sz w:val="24"/>
          <w:szCs w:val="24"/>
        </w:rPr>
        <w:t>.</w:t>
      </w:r>
      <w:r w:rsidRPr="00092BC8">
        <w:rPr>
          <w:rFonts w:ascii="宋体" w:eastAsia="宋体" w:hAnsi="宋体" w:cs="宋体" w:hint="eastAsia"/>
          <w:kern w:val="0"/>
          <w:sz w:val="24"/>
          <w:szCs w:val="24"/>
        </w:rPr>
        <w:t xml:space="preserve"> 偏导数；</w:t>
      </w:r>
    </w:p>
    <w:p w14:paraId="43422458" w14:textId="77777777" w:rsidR="00092BC8" w:rsidRPr="00092BC8" w:rsidRDefault="00092BC8" w:rsidP="00092BC8">
      <w:pPr>
        <w:adjustRightInd w:val="0"/>
        <w:snapToGrid w:val="0"/>
        <w:spacing w:line="440" w:lineRule="exact"/>
        <w:rPr>
          <w:rFonts w:ascii="宋体" w:eastAsia="宋体" w:hAnsi="宋体" w:cs="宋体"/>
          <w:kern w:val="0"/>
          <w:sz w:val="24"/>
          <w:szCs w:val="24"/>
        </w:rPr>
      </w:pPr>
      <w:r w:rsidRPr="00092BC8">
        <w:rPr>
          <w:rFonts w:ascii="宋体" w:eastAsia="宋体" w:hAnsi="宋体" w:cs="宋体"/>
          <w:kern w:val="0"/>
          <w:sz w:val="24"/>
          <w:szCs w:val="24"/>
        </w:rPr>
        <w:t xml:space="preserve">    </w:t>
      </w:r>
      <w:r w:rsidRPr="00092BC8">
        <w:rPr>
          <w:rFonts w:ascii="宋体" w:eastAsia="宋体" w:hAnsi="宋体" w:cs="宋体" w:hint="eastAsia"/>
          <w:kern w:val="0"/>
          <w:sz w:val="24"/>
          <w:szCs w:val="24"/>
        </w:rPr>
        <w:t>3</w:t>
      </w:r>
      <w:r w:rsidRPr="00092BC8">
        <w:rPr>
          <w:rFonts w:ascii="宋体" w:eastAsia="宋体" w:hAnsi="宋体" w:cs="宋体"/>
          <w:kern w:val="0"/>
          <w:sz w:val="24"/>
          <w:szCs w:val="24"/>
        </w:rPr>
        <w:t>.</w:t>
      </w:r>
      <w:r w:rsidRPr="00092BC8">
        <w:rPr>
          <w:rFonts w:ascii="宋体" w:eastAsia="宋体" w:hAnsi="宋体" w:cs="宋体" w:hint="eastAsia"/>
          <w:kern w:val="0"/>
          <w:sz w:val="24"/>
          <w:szCs w:val="24"/>
        </w:rPr>
        <w:t xml:space="preserve"> 全微分；</w:t>
      </w:r>
    </w:p>
    <w:p w14:paraId="5B792154" w14:textId="77777777" w:rsidR="00092BC8" w:rsidRPr="00092BC8" w:rsidRDefault="00092BC8" w:rsidP="00092BC8">
      <w:pPr>
        <w:adjustRightInd w:val="0"/>
        <w:snapToGrid w:val="0"/>
        <w:spacing w:line="440" w:lineRule="exact"/>
        <w:rPr>
          <w:rFonts w:ascii="宋体" w:eastAsia="宋体" w:hAnsi="宋体" w:cs="宋体"/>
          <w:kern w:val="0"/>
          <w:sz w:val="24"/>
          <w:szCs w:val="24"/>
        </w:rPr>
      </w:pPr>
      <w:r w:rsidRPr="00092BC8">
        <w:rPr>
          <w:rFonts w:ascii="宋体" w:eastAsia="宋体" w:hAnsi="宋体" w:cs="宋体"/>
          <w:kern w:val="0"/>
          <w:sz w:val="24"/>
          <w:szCs w:val="24"/>
        </w:rPr>
        <w:t xml:space="preserve">   </w:t>
      </w:r>
      <w:r w:rsidRPr="00092BC8">
        <w:rPr>
          <w:rFonts w:ascii="宋体" w:eastAsia="宋体" w:hAnsi="宋体" w:cs="宋体" w:hint="eastAsia"/>
          <w:kern w:val="0"/>
          <w:sz w:val="24"/>
          <w:szCs w:val="24"/>
        </w:rPr>
        <w:t xml:space="preserve"> 4</w:t>
      </w:r>
      <w:r w:rsidRPr="00092BC8">
        <w:rPr>
          <w:rFonts w:ascii="宋体" w:eastAsia="宋体" w:hAnsi="宋体" w:cs="宋体"/>
          <w:kern w:val="0"/>
          <w:sz w:val="24"/>
          <w:szCs w:val="24"/>
        </w:rPr>
        <w:t>.</w:t>
      </w:r>
      <w:r w:rsidRPr="00092BC8">
        <w:rPr>
          <w:rFonts w:ascii="宋体" w:eastAsia="宋体" w:hAnsi="宋体" w:cs="宋体" w:hint="eastAsia"/>
          <w:kern w:val="0"/>
          <w:sz w:val="24"/>
          <w:szCs w:val="24"/>
        </w:rPr>
        <w:t xml:space="preserve"> 多元复合函数的求导法则；</w:t>
      </w:r>
    </w:p>
    <w:p w14:paraId="510079CB" w14:textId="77777777" w:rsidR="00092BC8" w:rsidRPr="00092BC8" w:rsidRDefault="00092BC8" w:rsidP="00092BC8">
      <w:pPr>
        <w:adjustRightInd w:val="0"/>
        <w:snapToGrid w:val="0"/>
        <w:spacing w:line="440" w:lineRule="exact"/>
        <w:rPr>
          <w:rFonts w:ascii="宋体" w:eastAsia="宋体" w:hAnsi="宋体" w:cs="宋体"/>
          <w:kern w:val="0"/>
          <w:sz w:val="24"/>
          <w:szCs w:val="24"/>
        </w:rPr>
      </w:pPr>
      <w:r w:rsidRPr="00092BC8">
        <w:rPr>
          <w:rFonts w:ascii="宋体" w:eastAsia="宋体" w:hAnsi="宋体" w:cs="宋体"/>
          <w:kern w:val="0"/>
          <w:sz w:val="24"/>
          <w:szCs w:val="24"/>
        </w:rPr>
        <w:t xml:space="preserve">    </w:t>
      </w:r>
      <w:r w:rsidRPr="00092BC8">
        <w:rPr>
          <w:rFonts w:ascii="宋体" w:eastAsia="宋体" w:hAnsi="宋体" w:cs="宋体" w:hint="eastAsia"/>
          <w:kern w:val="0"/>
          <w:sz w:val="24"/>
          <w:szCs w:val="24"/>
        </w:rPr>
        <w:t>5</w:t>
      </w:r>
      <w:r w:rsidRPr="00092BC8">
        <w:rPr>
          <w:rFonts w:ascii="宋体" w:eastAsia="宋体" w:hAnsi="宋体" w:cs="宋体"/>
          <w:kern w:val="0"/>
          <w:sz w:val="24"/>
          <w:szCs w:val="24"/>
        </w:rPr>
        <w:t>.</w:t>
      </w:r>
      <w:r w:rsidRPr="00092BC8">
        <w:rPr>
          <w:rFonts w:ascii="宋体" w:eastAsia="宋体" w:hAnsi="宋体" w:cs="宋体" w:hint="eastAsia"/>
          <w:kern w:val="0"/>
          <w:sz w:val="24"/>
          <w:szCs w:val="24"/>
        </w:rPr>
        <w:t xml:space="preserve"> 隐函数的求导公式；</w:t>
      </w:r>
    </w:p>
    <w:p w14:paraId="1A4D3844" w14:textId="77777777" w:rsidR="00092BC8" w:rsidRPr="00092BC8" w:rsidRDefault="00092BC8" w:rsidP="00092BC8">
      <w:pPr>
        <w:adjustRightInd w:val="0"/>
        <w:snapToGrid w:val="0"/>
        <w:spacing w:line="440" w:lineRule="exact"/>
        <w:ind w:firstLine="480"/>
        <w:rPr>
          <w:rFonts w:ascii="宋体" w:eastAsia="宋体" w:hAnsi="宋体" w:cs="宋体"/>
          <w:kern w:val="0"/>
          <w:sz w:val="24"/>
          <w:szCs w:val="24"/>
        </w:rPr>
      </w:pPr>
      <w:r w:rsidRPr="00092BC8">
        <w:rPr>
          <w:rFonts w:ascii="宋体" w:eastAsia="宋体" w:hAnsi="宋体" w:cs="宋体" w:hint="eastAsia"/>
          <w:kern w:val="0"/>
          <w:sz w:val="24"/>
          <w:szCs w:val="24"/>
        </w:rPr>
        <w:t>6</w:t>
      </w:r>
      <w:r w:rsidRPr="00092BC8">
        <w:rPr>
          <w:rFonts w:ascii="宋体" w:eastAsia="宋体" w:hAnsi="宋体" w:cs="宋体"/>
          <w:kern w:val="0"/>
          <w:sz w:val="24"/>
          <w:szCs w:val="24"/>
        </w:rPr>
        <w:t>.</w:t>
      </w:r>
      <w:r w:rsidRPr="00092BC8">
        <w:rPr>
          <w:rFonts w:ascii="宋体" w:eastAsia="宋体" w:hAnsi="宋体" w:cs="宋体" w:hint="eastAsia"/>
          <w:kern w:val="0"/>
          <w:sz w:val="24"/>
          <w:szCs w:val="24"/>
        </w:rPr>
        <w:t xml:space="preserve"> 多元函数微分学的几何应用；</w:t>
      </w:r>
    </w:p>
    <w:p w14:paraId="1F74422D" w14:textId="77777777" w:rsidR="00092BC8" w:rsidRPr="00092BC8" w:rsidRDefault="00092BC8" w:rsidP="00092BC8">
      <w:pPr>
        <w:adjustRightInd w:val="0"/>
        <w:snapToGrid w:val="0"/>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7</w:t>
      </w:r>
      <w:r w:rsidRPr="00092BC8">
        <w:rPr>
          <w:rFonts w:ascii="宋体" w:eastAsia="宋体" w:hAnsi="宋体" w:cs="宋体"/>
          <w:kern w:val="0"/>
          <w:sz w:val="24"/>
          <w:szCs w:val="24"/>
        </w:rPr>
        <w:t>.</w:t>
      </w:r>
      <w:r w:rsidRPr="00092BC8">
        <w:rPr>
          <w:rFonts w:ascii="宋体" w:eastAsia="宋体" w:hAnsi="宋体" w:cs="宋体" w:hint="eastAsia"/>
          <w:kern w:val="0"/>
          <w:sz w:val="24"/>
          <w:szCs w:val="24"/>
        </w:rPr>
        <w:t xml:space="preserve"> 多元函数的极值及其求法。</w:t>
      </w:r>
    </w:p>
    <w:p w14:paraId="4A1B7809" w14:textId="77777777" w:rsidR="00092BC8" w:rsidRPr="00092BC8" w:rsidRDefault="00092BC8" w:rsidP="00092BC8">
      <w:pPr>
        <w:spacing w:line="440" w:lineRule="exact"/>
        <w:ind w:left="480" w:firstLineChars="50" w:firstLine="120"/>
        <w:rPr>
          <w:rFonts w:ascii="宋体" w:eastAsia="宋体" w:hAnsi="宋体" w:cs="Times New Roman"/>
          <w:b/>
          <w:sz w:val="24"/>
          <w:szCs w:val="24"/>
        </w:rPr>
      </w:pPr>
      <w:r w:rsidRPr="00092BC8">
        <w:rPr>
          <w:rFonts w:ascii="宋体" w:eastAsia="宋体" w:hAnsi="宋体" w:cs="Times New Roman" w:hint="eastAsia"/>
          <w:b/>
          <w:sz w:val="24"/>
          <w:szCs w:val="24"/>
        </w:rPr>
        <w:t>【重点】</w:t>
      </w:r>
    </w:p>
    <w:p w14:paraId="1AD8DA3F" w14:textId="77777777" w:rsidR="00092BC8" w:rsidRPr="00092BC8" w:rsidRDefault="00092BC8" w:rsidP="00092BC8">
      <w:pPr>
        <w:spacing w:line="440" w:lineRule="exact"/>
        <w:ind w:left="480"/>
        <w:rPr>
          <w:rFonts w:ascii="宋体" w:eastAsia="宋体" w:hAnsi="宋体" w:cs="宋体"/>
          <w:kern w:val="0"/>
          <w:sz w:val="24"/>
          <w:szCs w:val="24"/>
        </w:rPr>
      </w:pPr>
      <w:r w:rsidRPr="00092BC8">
        <w:rPr>
          <w:rFonts w:ascii="宋体" w:eastAsia="宋体" w:hAnsi="宋体" w:cs="宋体" w:hint="eastAsia"/>
          <w:kern w:val="0"/>
          <w:sz w:val="24"/>
          <w:szCs w:val="24"/>
        </w:rPr>
        <w:t>1. 多元函数及极限</w:t>
      </w:r>
      <w:r w:rsidRPr="00092BC8">
        <w:rPr>
          <w:rFonts w:ascii="宋体" w:eastAsia="宋体" w:hAnsi="宋体" w:cs="宋体"/>
          <w:kern w:val="0"/>
          <w:sz w:val="24"/>
          <w:szCs w:val="24"/>
        </w:rPr>
        <w:t>和连续的</w:t>
      </w:r>
      <w:r w:rsidRPr="00092BC8">
        <w:rPr>
          <w:rFonts w:ascii="宋体" w:eastAsia="宋体" w:hAnsi="宋体" w:cs="宋体" w:hint="eastAsia"/>
          <w:kern w:val="0"/>
          <w:sz w:val="24"/>
          <w:szCs w:val="24"/>
        </w:rPr>
        <w:t>概念；</w:t>
      </w:r>
    </w:p>
    <w:p w14:paraId="0C3968B9" w14:textId="77777777" w:rsidR="00092BC8" w:rsidRPr="00092BC8" w:rsidRDefault="00092BC8" w:rsidP="00092BC8">
      <w:pPr>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2. 偏导数和</w:t>
      </w:r>
      <w:r w:rsidRPr="00092BC8">
        <w:rPr>
          <w:rFonts w:ascii="宋体" w:eastAsia="宋体" w:hAnsi="宋体" w:cs="宋体"/>
          <w:kern w:val="0"/>
          <w:sz w:val="24"/>
          <w:szCs w:val="24"/>
        </w:rPr>
        <w:t>全微分的概念和计算</w:t>
      </w:r>
      <w:r w:rsidRPr="00092BC8">
        <w:rPr>
          <w:rFonts w:ascii="宋体" w:eastAsia="宋体" w:hAnsi="宋体" w:cs="宋体" w:hint="eastAsia"/>
          <w:kern w:val="0"/>
          <w:sz w:val="24"/>
          <w:szCs w:val="24"/>
        </w:rPr>
        <w:t>；</w:t>
      </w:r>
    </w:p>
    <w:p w14:paraId="11733FC6" w14:textId="77777777" w:rsidR="00092BC8" w:rsidRPr="00092BC8" w:rsidRDefault="00092BC8" w:rsidP="00092BC8">
      <w:pPr>
        <w:spacing w:line="440" w:lineRule="exact"/>
        <w:ind w:firstLineChars="200" w:firstLine="480"/>
        <w:rPr>
          <w:rFonts w:ascii="宋体" w:eastAsia="宋体" w:hAnsi="宋体" w:cs="宋体"/>
          <w:kern w:val="0"/>
          <w:sz w:val="24"/>
          <w:szCs w:val="24"/>
        </w:rPr>
      </w:pPr>
      <w:r w:rsidRPr="00092BC8">
        <w:rPr>
          <w:rFonts w:ascii="宋体" w:eastAsia="宋体" w:hAnsi="宋体" w:cs="宋体"/>
          <w:kern w:val="0"/>
          <w:sz w:val="24"/>
          <w:szCs w:val="24"/>
        </w:rPr>
        <w:t xml:space="preserve">3. </w:t>
      </w:r>
      <w:r w:rsidRPr="00092BC8">
        <w:rPr>
          <w:rFonts w:ascii="宋体" w:eastAsia="宋体" w:hAnsi="宋体" w:cs="宋体" w:hint="eastAsia"/>
          <w:kern w:val="0"/>
          <w:sz w:val="24"/>
          <w:szCs w:val="24"/>
        </w:rPr>
        <w:t>复合函数及其微分法；</w:t>
      </w:r>
    </w:p>
    <w:p w14:paraId="0D625C1C" w14:textId="77777777" w:rsidR="00092BC8" w:rsidRPr="00092BC8" w:rsidRDefault="00092BC8" w:rsidP="00092BC8">
      <w:pPr>
        <w:spacing w:line="440" w:lineRule="exact"/>
        <w:ind w:firstLineChars="200" w:firstLine="480"/>
        <w:rPr>
          <w:rFonts w:ascii="宋体" w:eastAsia="宋体" w:hAnsi="宋体" w:cs="宋体"/>
          <w:kern w:val="0"/>
          <w:sz w:val="24"/>
          <w:szCs w:val="24"/>
        </w:rPr>
      </w:pPr>
      <w:r w:rsidRPr="00092BC8">
        <w:rPr>
          <w:rFonts w:ascii="宋体" w:eastAsia="宋体" w:hAnsi="宋体" w:cs="宋体"/>
          <w:kern w:val="0"/>
          <w:sz w:val="24"/>
          <w:szCs w:val="24"/>
        </w:rPr>
        <w:t xml:space="preserve">4. </w:t>
      </w:r>
      <w:r w:rsidRPr="00092BC8">
        <w:rPr>
          <w:rFonts w:ascii="宋体" w:eastAsia="宋体" w:hAnsi="宋体" w:cs="宋体" w:hint="eastAsia"/>
          <w:kern w:val="0"/>
          <w:sz w:val="24"/>
          <w:szCs w:val="24"/>
        </w:rPr>
        <w:t>隐函数及其微分法；</w:t>
      </w:r>
    </w:p>
    <w:p w14:paraId="11745519" w14:textId="77777777" w:rsidR="00092BC8" w:rsidRPr="00092BC8" w:rsidRDefault="00092BC8" w:rsidP="00092BC8">
      <w:pPr>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5. 多元函数的极值及其求法。</w:t>
      </w:r>
    </w:p>
    <w:p w14:paraId="36F15907"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【难点】</w:t>
      </w:r>
    </w:p>
    <w:p w14:paraId="63F13D2E" w14:textId="77777777" w:rsidR="00092BC8" w:rsidRPr="00092BC8" w:rsidRDefault="00092BC8" w:rsidP="00092BC8">
      <w:pPr>
        <w:spacing w:line="440" w:lineRule="exact"/>
        <w:ind w:left="480"/>
        <w:rPr>
          <w:rFonts w:ascii="宋体" w:eastAsia="宋体" w:hAnsi="宋体" w:cs="宋体"/>
          <w:kern w:val="0"/>
          <w:sz w:val="24"/>
          <w:szCs w:val="24"/>
        </w:rPr>
      </w:pPr>
      <w:r w:rsidRPr="00092BC8">
        <w:rPr>
          <w:rFonts w:ascii="宋体" w:eastAsia="宋体" w:hAnsi="宋体" w:cs="宋体" w:hint="eastAsia"/>
          <w:kern w:val="0"/>
          <w:sz w:val="24"/>
          <w:szCs w:val="24"/>
        </w:rPr>
        <w:t>1. 多元函数的极限与连续；</w:t>
      </w:r>
    </w:p>
    <w:p w14:paraId="38C4ED2C"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宋体" w:hint="eastAsia"/>
          <w:kern w:val="0"/>
          <w:sz w:val="24"/>
          <w:szCs w:val="24"/>
        </w:rPr>
        <w:t>2. 偏导数</w:t>
      </w:r>
      <w:r w:rsidRPr="00092BC8">
        <w:rPr>
          <w:rFonts w:ascii="宋体" w:eastAsia="宋体" w:hAnsi="宋体" w:cs="宋体"/>
          <w:kern w:val="0"/>
          <w:sz w:val="24"/>
          <w:szCs w:val="24"/>
        </w:rPr>
        <w:t>和全微分的概念</w:t>
      </w:r>
      <w:r w:rsidRPr="00092BC8">
        <w:rPr>
          <w:rFonts w:ascii="宋体" w:eastAsia="宋体" w:hAnsi="宋体" w:cs="宋体" w:hint="eastAsia"/>
          <w:kern w:val="0"/>
          <w:sz w:val="24"/>
          <w:szCs w:val="24"/>
        </w:rPr>
        <w:t>；</w:t>
      </w:r>
    </w:p>
    <w:p w14:paraId="75CB7431"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宋体"/>
          <w:kern w:val="0"/>
          <w:sz w:val="24"/>
          <w:szCs w:val="24"/>
        </w:rPr>
        <w:t xml:space="preserve">3. </w:t>
      </w:r>
      <w:r w:rsidRPr="00092BC8">
        <w:rPr>
          <w:rFonts w:ascii="宋体" w:eastAsia="宋体" w:hAnsi="宋体" w:cs="宋体" w:hint="eastAsia"/>
          <w:kern w:val="0"/>
          <w:sz w:val="24"/>
          <w:szCs w:val="24"/>
        </w:rPr>
        <w:t>隐函数及其微分法。</w:t>
      </w:r>
    </w:p>
    <w:p w14:paraId="19357962" w14:textId="77777777" w:rsidR="00092BC8" w:rsidRPr="00092BC8" w:rsidRDefault="00092BC8" w:rsidP="00092BC8">
      <w:pPr>
        <w:spacing w:line="440" w:lineRule="exact"/>
        <w:ind w:firstLineChars="200" w:firstLine="482"/>
        <w:rPr>
          <w:rFonts w:ascii="宋体" w:eastAsia="宋体" w:hAnsi="宋体" w:cs="Times New Roman"/>
          <w:b/>
          <w:bCs/>
          <w:sz w:val="24"/>
          <w:szCs w:val="24"/>
        </w:rPr>
      </w:pPr>
      <w:r w:rsidRPr="00092BC8">
        <w:rPr>
          <w:rFonts w:ascii="宋体" w:eastAsia="宋体" w:hAnsi="宋体" w:cs="Times New Roman" w:hint="eastAsia"/>
          <w:b/>
          <w:bCs/>
          <w:sz w:val="24"/>
          <w:szCs w:val="24"/>
        </w:rPr>
        <w:t>【教学方法】</w:t>
      </w:r>
    </w:p>
    <w:p w14:paraId="337E6890" w14:textId="77777777" w:rsidR="00092BC8" w:rsidRPr="00092BC8" w:rsidRDefault="00092BC8" w:rsidP="00092BC8">
      <w:pPr>
        <w:spacing w:line="440" w:lineRule="exact"/>
        <w:ind w:firstLineChars="200" w:firstLine="480"/>
        <w:jc w:val="left"/>
        <w:rPr>
          <w:rFonts w:ascii="宋体" w:eastAsia="宋体" w:hAnsi="宋体" w:cs="宋体"/>
          <w:kern w:val="0"/>
          <w:sz w:val="24"/>
          <w:szCs w:val="24"/>
        </w:rPr>
      </w:pPr>
      <w:r w:rsidRPr="00092BC8">
        <w:rPr>
          <w:rFonts w:ascii="宋体" w:eastAsia="宋体" w:hAnsi="宋体" w:cs="宋体" w:hint="eastAsia"/>
          <w:kern w:val="0"/>
          <w:sz w:val="24"/>
          <w:szCs w:val="24"/>
        </w:rPr>
        <w:t>1</w:t>
      </w:r>
      <w:r w:rsidRPr="00092BC8">
        <w:rPr>
          <w:rFonts w:ascii="宋体" w:eastAsia="宋体" w:hAnsi="宋体" w:cs="宋体"/>
          <w:kern w:val="0"/>
          <w:sz w:val="24"/>
          <w:szCs w:val="24"/>
        </w:rPr>
        <w:t xml:space="preserve">. </w:t>
      </w:r>
      <w:r w:rsidRPr="00092BC8">
        <w:rPr>
          <w:rFonts w:ascii="宋体" w:eastAsia="宋体" w:hAnsi="宋体" w:cs="宋体" w:hint="eastAsia"/>
          <w:kern w:val="0"/>
          <w:sz w:val="24"/>
          <w:szCs w:val="24"/>
        </w:rPr>
        <w:t>采用传统教学与多媒体课件相结合的方法，用课堂讲授的方法详细阐述本课程的基本概念、基本理论及计算方法，培养学生基本数学素养和数学能力；</w:t>
      </w:r>
    </w:p>
    <w:p w14:paraId="137E2C7D" w14:textId="77777777" w:rsidR="00092BC8" w:rsidRPr="00092BC8" w:rsidRDefault="00092BC8" w:rsidP="00092BC8">
      <w:pPr>
        <w:widowControl/>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2. 采用启发式教学方法进行授课，培养学生发现问题、分析问题、解决问题的能力；</w:t>
      </w:r>
    </w:p>
    <w:p w14:paraId="6A7D7885" w14:textId="77777777" w:rsidR="00092BC8" w:rsidRPr="00092BC8" w:rsidRDefault="00092BC8" w:rsidP="00092BC8">
      <w:pPr>
        <w:widowControl/>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3. 采用以教师讲授为主，课堂练习、讨论为辅的讲练结合授课方式，强化学生数学计算能力和应用能力的培养。</w:t>
      </w:r>
    </w:p>
    <w:p w14:paraId="6A858099" w14:textId="77777777" w:rsidR="00092BC8" w:rsidRPr="00092BC8" w:rsidRDefault="00092BC8" w:rsidP="00092BC8">
      <w:pPr>
        <w:spacing w:line="440" w:lineRule="exact"/>
        <w:ind w:firstLineChars="200" w:firstLine="482"/>
        <w:rPr>
          <w:rFonts w:ascii="宋体" w:eastAsia="宋体" w:hAnsi="宋体" w:cs="Times New Roman"/>
          <w:bCs/>
          <w:color w:val="FF0000"/>
          <w:sz w:val="24"/>
          <w:szCs w:val="24"/>
        </w:rPr>
      </w:pPr>
      <w:r w:rsidRPr="00092BC8">
        <w:rPr>
          <w:rFonts w:ascii="宋体" w:eastAsia="宋体" w:hAnsi="宋体" w:cs="Times New Roman" w:hint="eastAsia"/>
          <w:b/>
          <w:sz w:val="24"/>
          <w:szCs w:val="24"/>
        </w:rPr>
        <w:lastRenderedPageBreak/>
        <w:t>【复习思考】</w:t>
      </w:r>
    </w:p>
    <w:p w14:paraId="1EA35835"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1</w:t>
      </w:r>
      <w:r w:rsidRPr="00092BC8">
        <w:rPr>
          <w:rFonts w:ascii="宋体" w:eastAsia="宋体" w:hAnsi="宋体" w:cs="Times New Roman"/>
          <w:sz w:val="24"/>
          <w:szCs w:val="24"/>
        </w:rPr>
        <w:t xml:space="preserve">. </w:t>
      </w:r>
      <w:r w:rsidRPr="00092BC8">
        <w:rPr>
          <w:rFonts w:ascii="宋体" w:eastAsia="宋体" w:hAnsi="宋体" w:cs="宋体" w:hint="eastAsia"/>
          <w:kern w:val="0"/>
          <w:sz w:val="24"/>
          <w:szCs w:val="24"/>
        </w:rPr>
        <w:t>多元函数偏导数和全微分的计算；</w:t>
      </w:r>
    </w:p>
    <w:p w14:paraId="7B7BAEEF"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sz w:val="24"/>
          <w:szCs w:val="24"/>
        </w:rPr>
        <w:t xml:space="preserve">2. </w:t>
      </w:r>
      <w:r w:rsidRPr="00092BC8">
        <w:rPr>
          <w:rFonts w:ascii="宋体" w:eastAsia="宋体" w:hAnsi="宋体" w:cs="Times New Roman" w:hint="eastAsia"/>
          <w:sz w:val="24"/>
          <w:szCs w:val="24"/>
        </w:rPr>
        <w:t>求</w:t>
      </w:r>
      <w:r w:rsidRPr="00092BC8">
        <w:rPr>
          <w:rFonts w:ascii="宋体" w:eastAsia="宋体" w:hAnsi="宋体" w:cs="宋体" w:hint="eastAsia"/>
          <w:kern w:val="0"/>
          <w:sz w:val="24"/>
          <w:szCs w:val="24"/>
        </w:rPr>
        <w:t>多元复合函数偏导数，多元隐函数的偏导数；</w:t>
      </w:r>
    </w:p>
    <w:p w14:paraId="52F3042E"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3.</w:t>
      </w:r>
      <w:r w:rsidRPr="00092BC8">
        <w:rPr>
          <w:rFonts w:ascii="宋体" w:eastAsia="宋体" w:hAnsi="宋体" w:cs="Times New Roman"/>
          <w:sz w:val="24"/>
          <w:szCs w:val="24"/>
        </w:rPr>
        <w:t xml:space="preserve"> </w:t>
      </w:r>
      <w:r w:rsidRPr="00092BC8">
        <w:rPr>
          <w:rFonts w:ascii="宋体" w:eastAsia="宋体" w:hAnsi="宋体" w:cs="Times New Roman" w:hint="eastAsia"/>
          <w:sz w:val="24"/>
          <w:szCs w:val="24"/>
        </w:rPr>
        <w:t>计算</w:t>
      </w:r>
      <w:r w:rsidRPr="00092BC8">
        <w:rPr>
          <w:rFonts w:ascii="宋体" w:eastAsia="宋体" w:hAnsi="宋体" w:cs="宋体" w:hint="eastAsia"/>
          <w:kern w:val="0"/>
          <w:sz w:val="24"/>
          <w:szCs w:val="24"/>
        </w:rPr>
        <w:t>二元函数的极值。</w:t>
      </w:r>
    </w:p>
    <w:p w14:paraId="4FF42E34" w14:textId="77777777" w:rsidR="00092BC8" w:rsidRPr="00092BC8" w:rsidRDefault="00092BC8" w:rsidP="00092BC8">
      <w:pPr>
        <w:spacing w:beforeLines="50" w:before="156" w:afterLines="50" w:after="156" w:line="440" w:lineRule="exact"/>
        <w:ind w:firstLineChars="200" w:firstLine="560"/>
        <w:jc w:val="center"/>
        <w:rPr>
          <w:rFonts w:ascii="黑体" w:eastAsia="黑体" w:hAnsi="黑体" w:cs="Times New Roman"/>
          <w:sz w:val="28"/>
          <w:szCs w:val="28"/>
        </w:rPr>
      </w:pPr>
      <w:r w:rsidRPr="00092BC8">
        <w:rPr>
          <w:rFonts w:ascii="黑体" w:eastAsia="黑体" w:hAnsi="黑体" w:cs="Times New Roman" w:hint="eastAsia"/>
          <w:sz w:val="28"/>
          <w:szCs w:val="28"/>
        </w:rPr>
        <w:t>第九章  重积分</w:t>
      </w:r>
    </w:p>
    <w:p w14:paraId="659D6465"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 xml:space="preserve">【学习目标】 </w:t>
      </w:r>
    </w:p>
    <w:p w14:paraId="622158EC"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理解二重积分的概念与基本性质；掌握二重积分在直角坐标系下的计算方法及简单应用；掌握二重积分的应用。</w:t>
      </w:r>
    </w:p>
    <w:p w14:paraId="345D3498"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【学习内容】</w:t>
      </w:r>
    </w:p>
    <w:p w14:paraId="76B78368" w14:textId="77777777" w:rsidR="00092BC8" w:rsidRPr="00092BC8" w:rsidRDefault="00092BC8" w:rsidP="00092BC8">
      <w:pPr>
        <w:adjustRightInd w:val="0"/>
        <w:snapToGrid w:val="0"/>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1</w:t>
      </w:r>
      <w:r w:rsidRPr="00092BC8">
        <w:rPr>
          <w:rFonts w:ascii="宋体" w:eastAsia="宋体" w:hAnsi="宋体" w:cs="宋体"/>
          <w:kern w:val="0"/>
          <w:sz w:val="24"/>
          <w:szCs w:val="24"/>
        </w:rPr>
        <w:t>.</w:t>
      </w:r>
      <w:r w:rsidRPr="00092BC8">
        <w:rPr>
          <w:rFonts w:ascii="宋体" w:eastAsia="宋体" w:hAnsi="宋体" w:cs="宋体" w:hint="eastAsia"/>
          <w:kern w:val="0"/>
          <w:sz w:val="24"/>
          <w:szCs w:val="24"/>
        </w:rPr>
        <w:t xml:space="preserve"> 二重积分的概念与性质；</w:t>
      </w:r>
    </w:p>
    <w:p w14:paraId="793924F7" w14:textId="77777777" w:rsidR="00092BC8" w:rsidRPr="00092BC8" w:rsidRDefault="00092BC8" w:rsidP="00092BC8">
      <w:pPr>
        <w:adjustRightInd w:val="0"/>
        <w:snapToGrid w:val="0"/>
        <w:spacing w:line="440" w:lineRule="exact"/>
        <w:ind w:firstLine="480"/>
        <w:rPr>
          <w:rFonts w:ascii="宋体" w:eastAsia="宋体" w:hAnsi="宋体" w:cs="宋体"/>
          <w:kern w:val="0"/>
          <w:sz w:val="24"/>
          <w:szCs w:val="24"/>
        </w:rPr>
      </w:pPr>
      <w:r w:rsidRPr="00092BC8">
        <w:rPr>
          <w:rFonts w:ascii="宋体" w:eastAsia="宋体" w:hAnsi="宋体" w:cs="宋体" w:hint="eastAsia"/>
          <w:kern w:val="0"/>
          <w:sz w:val="24"/>
          <w:szCs w:val="24"/>
        </w:rPr>
        <w:t>2</w:t>
      </w:r>
      <w:r w:rsidRPr="00092BC8">
        <w:rPr>
          <w:rFonts w:ascii="宋体" w:eastAsia="宋体" w:hAnsi="宋体" w:cs="宋体"/>
          <w:kern w:val="0"/>
          <w:sz w:val="24"/>
          <w:szCs w:val="24"/>
        </w:rPr>
        <w:t>.</w:t>
      </w:r>
      <w:r w:rsidRPr="00092BC8">
        <w:rPr>
          <w:rFonts w:ascii="宋体" w:eastAsia="宋体" w:hAnsi="宋体" w:cs="宋体" w:hint="eastAsia"/>
          <w:kern w:val="0"/>
          <w:sz w:val="24"/>
          <w:szCs w:val="24"/>
        </w:rPr>
        <w:t xml:space="preserve"> 二重积分的计算法；</w:t>
      </w:r>
    </w:p>
    <w:p w14:paraId="204BFF0F" w14:textId="77777777" w:rsidR="00092BC8" w:rsidRPr="00092BC8" w:rsidRDefault="00092BC8" w:rsidP="00092BC8">
      <w:pPr>
        <w:adjustRightInd w:val="0"/>
        <w:snapToGrid w:val="0"/>
        <w:spacing w:line="440" w:lineRule="exact"/>
        <w:ind w:firstLine="480"/>
        <w:rPr>
          <w:rFonts w:ascii="宋体" w:eastAsia="宋体" w:hAnsi="宋体" w:cs="宋体"/>
          <w:kern w:val="0"/>
          <w:sz w:val="24"/>
          <w:szCs w:val="24"/>
        </w:rPr>
      </w:pPr>
      <w:r w:rsidRPr="00092BC8">
        <w:rPr>
          <w:rFonts w:ascii="宋体" w:eastAsia="宋体" w:hAnsi="宋体" w:cs="宋体" w:hint="eastAsia"/>
          <w:kern w:val="0"/>
          <w:sz w:val="24"/>
          <w:szCs w:val="24"/>
        </w:rPr>
        <w:t>3</w:t>
      </w:r>
      <w:r w:rsidRPr="00092BC8">
        <w:rPr>
          <w:rFonts w:ascii="宋体" w:eastAsia="宋体" w:hAnsi="宋体" w:cs="宋体"/>
          <w:kern w:val="0"/>
          <w:sz w:val="24"/>
          <w:szCs w:val="24"/>
        </w:rPr>
        <w:t>.</w:t>
      </w:r>
      <w:r w:rsidRPr="00092BC8">
        <w:rPr>
          <w:rFonts w:ascii="宋体" w:eastAsia="宋体" w:hAnsi="宋体" w:cs="宋体" w:hint="eastAsia"/>
          <w:kern w:val="0"/>
          <w:sz w:val="24"/>
          <w:szCs w:val="24"/>
        </w:rPr>
        <w:t xml:space="preserve"> 二重积分的应用。</w:t>
      </w:r>
    </w:p>
    <w:p w14:paraId="1E84A882"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【重点】</w:t>
      </w:r>
    </w:p>
    <w:p w14:paraId="624156B2" w14:textId="77777777" w:rsidR="00092BC8" w:rsidRPr="00092BC8" w:rsidRDefault="00092BC8" w:rsidP="00092BC8">
      <w:pPr>
        <w:adjustRightInd w:val="0"/>
        <w:snapToGrid w:val="0"/>
        <w:spacing w:line="440" w:lineRule="exact"/>
        <w:ind w:left="480"/>
        <w:rPr>
          <w:rFonts w:ascii="宋体" w:eastAsia="宋体" w:hAnsi="宋体" w:cs="宋体"/>
          <w:kern w:val="0"/>
          <w:sz w:val="24"/>
          <w:szCs w:val="24"/>
        </w:rPr>
      </w:pPr>
      <w:r w:rsidRPr="00092BC8">
        <w:rPr>
          <w:rFonts w:ascii="宋体" w:eastAsia="宋体" w:hAnsi="宋体" w:cs="宋体" w:hint="eastAsia"/>
          <w:kern w:val="0"/>
          <w:sz w:val="24"/>
          <w:szCs w:val="24"/>
        </w:rPr>
        <w:t>1. 二重积分的概念和基本性质；</w:t>
      </w:r>
    </w:p>
    <w:p w14:paraId="7FA7D1D6" w14:textId="77777777" w:rsidR="00092BC8" w:rsidRPr="00092BC8" w:rsidRDefault="00092BC8" w:rsidP="00092BC8">
      <w:pPr>
        <w:adjustRightInd w:val="0"/>
        <w:snapToGrid w:val="0"/>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2. 二重积分在直角坐标系下的计算。</w:t>
      </w:r>
    </w:p>
    <w:p w14:paraId="642A0383"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【难点】</w:t>
      </w:r>
    </w:p>
    <w:p w14:paraId="3AD5B3B3" w14:textId="77777777" w:rsidR="00092BC8" w:rsidRPr="00092BC8" w:rsidRDefault="00092BC8" w:rsidP="00092BC8">
      <w:pPr>
        <w:spacing w:line="440" w:lineRule="exact"/>
        <w:ind w:left="480"/>
        <w:rPr>
          <w:rFonts w:ascii="宋体" w:eastAsia="宋体" w:hAnsi="宋体" w:cs="宋体"/>
          <w:kern w:val="0"/>
          <w:sz w:val="24"/>
          <w:szCs w:val="24"/>
        </w:rPr>
      </w:pPr>
      <w:r w:rsidRPr="00092BC8">
        <w:rPr>
          <w:rFonts w:ascii="宋体" w:eastAsia="宋体" w:hAnsi="宋体" w:cs="宋体" w:hint="eastAsia"/>
          <w:kern w:val="0"/>
          <w:sz w:val="24"/>
          <w:szCs w:val="24"/>
        </w:rPr>
        <w:t>1. 二重积分的概念与计算；</w:t>
      </w:r>
    </w:p>
    <w:p w14:paraId="335B9E37" w14:textId="77777777" w:rsidR="00092BC8" w:rsidRPr="00092BC8" w:rsidRDefault="00092BC8" w:rsidP="00092BC8">
      <w:pPr>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2. 二积分的应用。</w:t>
      </w:r>
    </w:p>
    <w:p w14:paraId="5CD162B2" w14:textId="77777777" w:rsidR="00092BC8" w:rsidRPr="00092BC8" w:rsidRDefault="00092BC8" w:rsidP="00092BC8">
      <w:pPr>
        <w:spacing w:line="440" w:lineRule="exact"/>
        <w:ind w:firstLineChars="200" w:firstLine="482"/>
        <w:rPr>
          <w:rFonts w:ascii="宋体" w:eastAsia="宋体" w:hAnsi="宋体" w:cs="Times New Roman"/>
          <w:b/>
          <w:bCs/>
          <w:sz w:val="24"/>
          <w:szCs w:val="24"/>
        </w:rPr>
      </w:pPr>
      <w:r w:rsidRPr="00092BC8">
        <w:rPr>
          <w:rFonts w:ascii="宋体" w:eastAsia="宋体" w:hAnsi="宋体" w:cs="Times New Roman" w:hint="eastAsia"/>
          <w:b/>
          <w:bCs/>
          <w:sz w:val="24"/>
          <w:szCs w:val="24"/>
        </w:rPr>
        <w:t>【教学方法】</w:t>
      </w:r>
    </w:p>
    <w:p w14:paraId="67C421C6" w14:textId="77777777" w:rsidR="00092BC8" w:rsidRPr="00092BC8" w:rsidRDefault="00092BC8" w:rsidP="00092BC8">
      <w:pPr>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1</w:t>
      </w:r>
      <w:r w:rsidRPr="00092BC8">
        <w:rPr>
          <w:rFonts w:ascii="宋体" w:eastAsia="宋体" w:hAnsi="宋体" w:cs="宋体"/>
          <w:kern w:val="0"/>
          <w:sz w:val="24"/>
          <w:szCs w:val="24"/>
        </w:rPr>
        <w:t xml:space="preserve">. </w:t>
      </w:r>
      <w:r w:rsidRPr="00092BC8">
        <w:rPr>
          <w:rFonts w:ascii="宋体" w:eastAsia="宋体" w:hAnsi="宋体" w:cs="宋体" w:hint="eastAsia"/>
          <w:kern w:val="0"/>
          <w:sz w:val="24"/>
          <w:szCs w:val="24"/>
        </w:rPr>
        <w:t>采用传统教学与多媒体课件相结合的方法，用课堂讲授的方法详细阐述本课程的基本概念、基本理论及计算方法，培养学生基本数学素养和数学能力；</w:t>
      </w:r>
    </w:p>
    <w:p w14:paraId="6A50A456" w14:textId="77777777" w:rsidR="00092BC8" w:rsidRPr="00092BC8" w:rsidRDefault="00092BC8" w:rsidP="00092BC8">
      <w:pPr>
        <w:widowControl/>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2. 采用启发式教学方法进行授课，培养学生发现问题、分析问题、解决问题的能力；</w:t>
      </w:r>
    </w:p>
    <w:p w14:paraId="32BD574D" w14:textId="77777777" w:rsidR="00092BC8" w:rsidRPr="00092BC8" w:rsidRDefault="00092BC8" w:rsidP="00092BC8">
      <w:pPr>
        <w:widowControl/>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3. 采用以教师讲授为主，课堂练习、讨论为辅的讲练结合授课方式，强化学生数学计算能力和应用能力的培养。</w:t>
      </w:r>
    </w:p>
    <w:p w14:paraId="24CAF992" w14:textId="77777777" w:rsidR="00092BC8" w:rsidRPr="00092BC8" w:rsidRDefault="00092BC8" w:rsidP="00092BC8">
      <w:pPr>
        <w:spacing w:line="440" w:lineRule="exact"/>
        <w:ind w:firstLineChars="200" w:firstLine="482"/>
        <w:rPr>
          <w:rFonts w:ascii="宋体" w:eastAsia="宋体" w:hAnsi="宋体" w:cs="Times New Roman"/>
          <w:bCs/>
          <w:color w:val="FF0000"/>
          <w:sz w:val="24"/>
          <w:szCs w:val="24"/>
        </w:rPr>
      </w:pPr>
      <w:r w:rsidRPr="00092BC8">
        <w:rPr>
          <w:rFonts w:ascii="宋体" w:eastAsia="宋体" w:hAnsi="宋体" w:cs="Times New Roman" w:hint="eastAsia"/>
          <w:b/>
          <w:sz w:val="24"/>
          <w:szCs w:val="24"/>
        </w:rPr>
        <w:t>【复习思考】</w:t>
      </w:r>
    </w:p>
    <w:p w14:paraId="19D50C4A"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1</w:t>
      </w:r>
      <w:r w:rsidRPr="00092BC8">
        <w:rPr>
          <w:rFonts w:ascii="宋体" w:eastAsia="宋体" w:hAnsi="宋体" w:cs="Times New Roman"/>
          <w:sz w:val="24"/>
          <w:szCs w:val="24"/>
        </w:rPr>
        <w:t xml:space="preserve">. </w:t>
      </w:r>
      <w:r w:rsidRPr="00092BC8">
        <w:rPr>
          <w:rFonts w:ascii="宋体" w:eastAsia="宋体" w:hAnsi="宋体" w:cs="宋体" w:hint="eastAsia"/>
          <w:kern w:val="0"/>
          <w:sz w:val="24"/>
          <w:szCs w:val="24"/>
        </w:rPr>
        <w:t>二重积分的计算(直角坐标)；</w:t>
      </w:r>
    </w:p>
    <w:p w14:paraId="1D4539D8" w14:textId="77777777" w:rsidR="00092BC8" w:rsidRPr="00092BC8" w:rsidRDefault="00092BC8" w:rsidP="00092BC8">
      <w:pPr>
        <w:spacing w:line="440" w:lineRule="exact"/>
        <w:ind w:firstLineChars="200" w:firstLine="480"/>
        <w:rPr>
          <w:rFonts w:ascii="宋体" w:eastAsia="宋体" w:hAnsi="宋体" w:cs="宋体"/>
          <w:kern w:val="0"/>
          <w:sz w:val="24"/>
          <w:szCs w:val="24"/>
        </w:rPr>
      </w:pPr>
      <w:r w:rsidRPr="00092BC8">
        <w:rPr>
          <w:rFonts w:ascii="宋体" w:eastAsia="宋体" w:hAnsi="宋体" w:cs="Times New Roman" w:hint="eastAsia"/>
          <w:sz w:val="24"/>
          <w:szCs w:val="24"/>
        </w:rPr>
        <w:t>2.</w:t>
      </w:r>
      <w:r w:rsidRPr="00092BC8">
        <w:rPr>
          <w:rFonts w:ascii="宋体" w:eastAsia="宋体" w:hAnsi="宋体" w:cs="Times New Roman"/>
          <w:sz w:val="24"/>
          <w:szCs w:val="24"/>
        </w:rPr>
        <w:t xml:space="preserve"> </w:t>
      </w:r>
      <w:r w:rsidRPr="00092BC8">
        <w:rPr>
          <w:rFonts w:ascii="宋体" w:eastAsia="宋体" w:hAnsi="宋体" w:cs="Times New Roman" w:hint="eastAsia"/>
          <w:sz w:val="24"/>
          <w:szCs w:val="24"/>
        </w:rPr>
        <w:t>二重积分概念提出的实际背景由哪些？</w:t>
      </w:r>
    </w:p>
    <w:p w14:paraId="03C8C779" w14:textId="77777777" w:rsidR="00092BC8" w:rsidRPr="00092BC8" w:rsidRDefault="00092BC8" w:rsidP="00092BC8">
      <w:pPr>
        <w:spacing w:beforeLines="50" w:before="156" w:afterLines="50" w:after="156" w:line="440" w:lineRule="exact"/>
        <w:ind w:firstLineChars="200" w:firstLine="560"/>
        <w:jc w:val="center"/>
        <w:rPr>
          <w:rFonts w:ascii="黑体" w:eastAsia="黑体" w:hAnsi="黑体" w:cs="Times New Roman"/>
          <w:sz w:val="28"/>
          <w:szCs w:val="28"/>
        </w:rPr>
      </w:pPr>
      <w:r w:rsidRPr="00092BC8">
        <w:rPr>
          <w:rFonts w:ascii="黑体" w:eastAsia="黑体" w:hAnsi="黑体" w:cs="Times New Roman" w:hint="eastAsia"/>
          <w:sz w:val="28"/>
          <w:szCs w:val="28"/>
        </w:rPr>
        <w:t>第十章  无穷级数</w:t>
      </w:r>
    </w:p>
    <w:p w14:paraId="489922AE"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 xml:space="preserve">【学习目标】 </w:t>
      </w:r>
    </w:p>
    <w:p w14:paraId="35D4501E"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lastRenderedPageBreak/>
        <w:t>了解级数的收敛与发散、收敛级数的和的概念；了解级数的基本性质及级数收敛的必要条件，理解正项级数的比较审</w:t>
      </w:r>
      <w:proofErr w:type="gramStart"/>
      <w:r w:rsidRPr="00092BC8">
        <w:rPr>
          <w:rFonts w:ascii="宋体" w:eastAsia="宋体" w:hAnsi="宋体" w:cs="Times New Roman" w:hint="eastAsia"/>
          <w:sz w:val="24"/>
          <w:szCs w:val="24"/>
        </w:rPr>
        <w:t>敛</w:t>
      </w:r>
      <w:proofErr w:type="gramEnd"/>
      <w:r w:rsidRPr="00092BC8">
        <w:rPr>
          <w:rFonts w:ascii="宋体" w:eastAsia="宋体" w:hAnsi="宋体" w:cs="Times New Roman" w:hint="eastAsia"/>
          <w:sz w:val="24"/>
          <w:szCs w:val="24"/>
        </w:rPr>
        <w:t>法，掌握正项级数的比值审</w:t>
      </w:r>
      <w:proofErr w:type="gramStart"/>
      <w:r w:rsidRPr="00092BC8">
        <w:rPr>
          <w:rFonts w:ascii="宋体" w:eastAsia="宋体" w:hAnsi="宋体" w:cs="Times New Roman" w:hint="eastAsia"/>
          <w:sz w:val="24"/>
          <w:szCs w:val="24"/>
        </w:rPr>
        <w:t>敛</w:t>
      </w:r>
      <w:proofErr w:type="gramEnd"/>
      <w:r w:rsidRPr="00092BC8">
        <w:rPr>
          <w:rFonts w:ascii="宋体" w:eastAsia="宋体" w:hAnsi="宋体" w:cs="Times New Roman" w:hint="eastAsia"/>
          <w:sz w:val="24"/>
          <w:szCs w:val="24"/>
        </w:rPr>
        <w:t>法，理解无穷级数绝对收敛与条件收敛的概念以及绝对收敛与收敛的关系，理解幂级数的收敛域及和函数的概念。</w:t>
      </w:r>
    </w:p>
    <w:p w14:paraId="2D125FBF"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【学习内容】</w:t>
      </w:r>
    </w:p>
    <w:p w14:paraId="34EFFBDA" w14:textId="77777777" w:rsidR="00092BC8" w:rsidRPr="00092BC8" w:rsidRDefault="00092BC8" w:rsidP="00092BC8">
      <w:pPr>
        <w:adjustRightInd w:val="0"/>
        <w:snapToGrid w:val="0"/>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1</w:t>
      </w:r>
      <w:r w:rsidRPr="00092BC8">
        <w:rPr>
          <w:rFonts w:ascii="宋体" w:eastAsia="宋体" w:hAnsi="宋体" w:cs="宋体"/>
          <w:kern w:val="0"/>
          <w:sz w:val="24"/>
          <w:szCs w:val="24"/>
        </w:rPr>
        <w:t>.</w:t>
      </w:r>
      <w:r w:rsidRPr="00092BC8">
        <w:rPr>
          <w:rFonts w:ascii="宋体" w:eastAsia="宋体" w:hAnsi="宋体" w:cs="宋体" w:hint="eastAsia"/>
          <w:kern w:val="0"/>
          <w:sz w:val="24"/>
          <w:szCs w:val="24"/>
        </w:rPr>
        <w:t xml:space="preserve"> 常数项级数的概念与性质；</w:t>
      </w:r>
    </w:p>
    <w:p w14:paraId="759DAF63" w14:textId="77777777" w:rsidR="00092BC8" w:rsidRPr="00092BC8" w:rsidRDefault="00092BC8" w:rsidP="00092BC8">
      <w:pPr>
        <w:adjustRightInd w:val="0"/>
        <w:snapToGrid w:val="0"/>
        <w:spacing w:line="440" w:lineRule="exact"/>
        <w:ind w:firstLine="480"/>
        <w:rPr>
          <w:rFonts w:ascii="宋体" w:eastAsia="宋体" w:hAnsi="宋体" w:cs="宋体"/>
          <w:kern w:val="0"/>
          <w:sz w:val="24"/>
          <w:szCs w:val="24"/>
        </w:rPr>
      </w:pPr>
      <w:r w:rsidRPr="00092BC8">
        <w:rPr>
          <w:rFonts w:ascii="宋体" w:eastAsia="宋体" w:hAnsi="宋体" w:cs="宋体" w:hint="eastAsia"/>
          <w:kern w:val="0"/>
          <w:sz w:val="24"/>
          <w:szCs w:val="24"/>
        </w:rPr>
        <w:t>2</w:t>
      </w:r>
      <w:r w:rsidRPr="00092BC8">
        <w:rPr>
          <w:rFonts w:ascii="宋体" w:eastAsia="宋体" w:hAnsi="宋体" w:cs="宋体"/>
          <w:kern w:val="0"/>
          <w:sz w:val="24"/>
          <w:szCs w:val="24"/>
        </w:rPr>
        <w:t>.</w:t>
      </w:r>
      <w:r w:rsidRPr="00092BC8">
        <w:rPr>
          <w:rFonts w:ascii="宋体" w:eastAsia="宋体" w:hAnsi="宋体" w:cs="宋体" w:hint="eastAsia"/>
          <w:kern w:val="0"/>
          <w:sz w:val="24"/>
          <w:szCs w:val="24"/>
        </w:rPr>
        <w:t xml:space="preserve"> 常数项级数的审</w:t>
      </w:r>
      <w:proofErr w:type="gramStart"/>
      <w:r w:rsidRPr="00092BC8">
        <w:rPr>
          <w:rFonts w:ascii="宋体" w:eastAsia="宋体" w:hAnsi="宋体" w:cs="宋体" w:hint="eastAsia"/>
          <w:kern w:val="0"/>
          <w:sz w:val="24"/>
          <w:szCs w:val="24"/>
        </w:rPr>
        <w:t>敛</w:t>
      </w:r>
      <w:proofErr w:type="gramEnd"/>
      <w:r w:rsidRPr="00092BC8">
        <w:rPr>
          <w:rFonts w:ascii="宋体" w:eastAsia="宋体" w:hAnsi="宋体" w:cs="宋体" w:hint="eastAsia"/>
          <w:kern w:val="0"/>
          <w:sz w:val="24"/>
          <w:szCs w:val="24"/>
        </w:rPr>
        <w:t>法；</w:t>
      </w:r>
    </w:p>
    <w:p w14:paraId="3D5E56F6" w14:textId="77777777" w:rsidR="00092BC8" w:rsidRPr="00092BC8" w:rsidRDefault="00092BC8" w:rsidP="00092BC8">
      <w:pPr>
        <w:adjustRightInd w:val="0"/>
        <w:snapToGrid w:val="0"/>
        <w:spacing w:line="440" w:lineRule="exact"/>
        <w:ind w:firstLine="480"/>
        <w:rPr>
          <w:rFonts w:ascii="宋体" w:eastAsia="宋体" w:hAnsi="宋体" w:cs="宋体"/>
          <w:kern w:val="0"/>
          <w:sz w:val="24"/>
          <w:szCs w:val="24"/>
        </w:rPr>
      </w:pPr>
      <w:r w:rsidRPr="00092BC8">
        <w:rPr>
          <w:rFonts w:ascii="宋体" w:eastAsia="宋体" w:hAnsi="宋体" w:cs="宋体"/>
          <w:kern w:val="0"/>
          <w:sz w:val="24"/>
          <w:szCs w:val="24"/>
        </w:rPr>
        <w:t>3.</w:t>
      </w:r>
      <w:r w:rsidRPr="00092BC8">
        <w:rPr>
          <w:rFonts w:ascii="宋体" w:eastAsia="宋体" w:hAnsi="宋体" w:cs="宋体" w:hint="eastAsia"/>
          <w:kern w:val="0"/>
          <w:sz w:val="24"/>
          <w:szCs w:val="24"/>
        </w:rPr>
        <w:t xml:space="preserve"> 幂级数；</w:t>
      </w:r>
    </w:p>
    <w:p w14:paraId="673AE7B8" w14:textId="77777777" w:rsidR="00092BC8" w:rsidRPr="00092BC8" w:rsidRDefault="00092BC8" w:rsidP="00092BC8">
      <w:pPr>
        <w:adjustRightInd w:val="0"/>
        <w:snapToGrid w:val="0"/>
        <w:spacing w:line="440" w:lineRule="exact"/>
        <w:ind w:firstLine="480"/>
        <w:rPr>
          <w:rFonts w:ascii="宋体" w:eastAsia="宋体" w:hAnsi="宋体" w:cs="宋体"/>
          <w:kern w:val="0"/>
          <w:sz w:val="24"/>
          <w:szCs w:val="24"/>
        </w:rPr>
      </w:pPr>
      <w:r w:rsidRPr="00092BC8">
        <w:rPr>
          <w:rFonts w:ascii="宋体" w:eastAsia="宋体" w:hAnsi="宋体" w:cs="宋体" w:hint="eastAsia"/>
          <w:kern w:val="0"/>
          <w:sz w:val="24"/>
          <w:szCs w:val="24"/>
        </w:rPr>
        <w:t>4</w:t>
      </w:r>
      <w:r w:rsidRPr="00092BC8">
        <w:rPr>
          <w:rFonts w:ascii="宋体" w:eastAsia="宋体" w:hAnsi="宋体" w:cs="宋体"/>
          <w:kern w:val="0"/>
          <w:sz w:val="24"/>
          <w:szCs w:val="24"/>
        </w:rPr>
        <w:t>.</w:t>
      </w:r>
      <w:r w:rsidRPr="00092BC8">
        <w:rPr>
          <w:rFonts w:ascii="宋体" w:eastAsia="宋体" w:hAnsi="宋体" w:cs="宋体" w:hint="eastAsia"/>
          <w:kern w:val="0"/>
          <w:sz w:val="24"/>
          <w:szCs w:val="24"/>
        </w:rPr>
        <w:t xml:space="preserve"> 函数展开成幂级数。</w:t>
      </w:r>
    </w:p>
    <w:p w14:paraId="59D85B34" w14:textId="77777777" w:rsidR="00092BC8" w:rsidRPr="00092BC8" w:rsidRDefault="00092BC8" w:rsidP="00092BC8">
      <w:pPr>
        <w:spacing w:line="440" w:lineRule="exact"/>
        <w:ind w:left="480" w:firstLineChars="50" w:firstLine="120"/>
        <w:rPr>
          <w:rFonts w:ascii="宋体" w:eastAsia="宋体" w:hAnsi="宋体" w:cs="Times New Roman"/>
          <w:b/>
          <w:sz w:val="24"/>
          <w:szCs w:val="24"/>
        </w:rPr>
      </w:pPr>
      <w:r w:rsidRPr="00092BC8">
        <w:rPr>
          <w:rFonts w:ascii="宋体" w:eastAsia="宋体" w:hAnsi="宋体" w:cs="Times New Roman" w:hint="eastAsia"/>
          <w:b/>
          <w:sz w:val="24"/>
          <w:szCs w:val="24"/>
        </w:rPr>
        <w:t>【重点】</w:t>
      </w:r>
    </w:p>
    <w:p w14:paraId="5C2FC02B" w14:textId="77777777" w:rsidR="00092BC8" w:rsidRPr="00092BC8" w:rsidRDefault="00092BC8" w:rsidP="00092BC8">
      <w:pPr>
        <w:spacing w:line="440" w:lineRule="exact"/>
        <w:ind w:left="480"/>
        <w:rPr>
          <w:rFonts w:ascii="宋体" w:eastAsia="宋体" w:hAnsi="宋体" w:cs="Times New Roman"/>
          <w:sz w:val="24"/>
          <w:szCs w:val="24"/>
        </w:rPr>
      </w:pPr>
      <w:r w:rsidRPr="00092BC8">
        <w:rPr>
          <w:rFonts w:ascii="宋体" w:eastAsia="宋体" w:hAnsi="宋体" w:cs="Times New Roman" w:hint="eastAsia"/>
          <w:sz w:val="24"/>
          <w:szCs w:val="24"/>
        </w:rPr>
        <w:t>1. 常数项级数的收敛与发散的概念，收敛级数和的概念</w:t>
      </w:r>
      <w:r w:rsidRPr="00092BC8">
        <w:rPr>
          <w:rFonts w:ascii="宋体" w:eastAsia="宋体" w:hAnsi="宋体" w:cs="宋体" w:hint="eastAsia"/>
          <w:kern w:val="0"/>
          <w:sz w:val="24"/>
          <w:szCs w:val="24"/>
        </w:rPr>
        <w:t>；</w:t>
      </w:r>
    </w:p>
    <w:p w14:paraId="2EEC0924"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2. 级数的基本性质及收敛的必要条件</w:t>
      </w:r>
      <w:r w:rsidRPr="00092BC8">
        <w:rPr>
          <w:rFonts w:ascii="宋体" w:eastAsia="宋体" w:hAnsi="宋体" w:cs="宋体" w:hint="eastAsia"/>
          <w:kern w:val="0"/>
          <w:sz w:val="24"/>
          <w:szCs w:val="24"/>
        </w:rPr>
        <w:t>；</w:t>
      </w:r>
    </w:p>
    <w:p w14:paraId="3027638D"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sz w:val="24"/>
          <w:szCs w:val="24"/>
        </w:rPr>
        <w:t xml:space="preserve">3. </w:t>
      </w:r>
      <w:r w:rsidRPr="00092BC8">
        <w:rPr>
          <w:rFonts w:ascii="宋体" w:eastAsia="宋体" w:hAnsi="宋体" w:cs="Times New Roman" w:hint="eastAsia"/>
          <w:sz w:val="24"/>
          <w:szCs w:val="24"/>
        </w:rPr>
        <w:t>正项级数的比较审</w:t>
      </w:r>
      <w:proofErr w:type="gramStart"/>
      <w:r w:rsidRPr="00092BC8">
        <w:rPr>
          <w:rFonts w:ascii="宋体" w:eastAsia="宋体" w:hAnsi="宋体" w:cs="Times New Roman" w:hint="eastAsia"/>
          <w:sz w:val="24"/>
          <w:szCs w:val="24"/>
        </w:rPr>
        <w:t>敛</w:t>
      </w:r>
      <w:proofErr w:type="gramEnd"/>
      <w:r w:rsidRPr="00092BC8">
        <w:rPr>
          <w:rFonts w:ascii="宋体" w:eastAsia="宋体" w:hAnsi="宋体" w:cs="Times New Roman" w:hint="eastAsia"/>
          <w:sz w:val="24"/>
          <w:szCs w:val="24"/>
        </w:rPr>
        <w:t>法和比值审</w:t>
      </w:r>
      <w:proofErr w:type="gramStart"/>
      <w:r w:rsidRPr="00092BC8">
        <w:rPr>
          <w:rFonts w:ascii="宋体" w:eastAsia="宋体" w:hAnsi="宋体" w:cs="Times New Roman" w:hint="eastAsia"/>
          <w:sz w:val="24"/>
          <w:szCs w:val="24"/>
        </w:rPr>
        <w:t>敛</w:t>
      </w:r>
      <w:proofErr w:type="gramEnd"/>
      <w:r w:rsidRPr="00092BC8">
        <w:rPr>
          <w:rFonts w:ascii="宋体" w:eastAsia="宋体" w:hAnsi="宋体" w:cs="Times New Roman" w:hint="eastAsia"/>
          <w:sz w:val="24"/>
          <w:szCs w:val="24"/>
        </w:rPr>
        <w:t>法</w:t>
      </w:r>
      <w:r w:rsidRPr="00092BC8">
        <w:rPr>
          <w:rFonts w:ascii="宋体" w:eastAsia="宋体" w:hAnsi="宋体" w:cs="宋体" w:hint="eastAsia"/>
          <w:kern w:val="0"/>
          <w:sz w:val="24"/>
          <w:szCs w:val="24"/>
        </w:rPr>
        <w:t>；</w:t>
      </w:r>
    </w:p>
    <w:p w14:paraId="7222D7E9"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sz w:val="24"/>
          <w:szCs w:val="24"/>
        </w:rPr>
        <w:t xml:space="preserve">4. </w:t>
      </w:r>
      <w:r w:rsidRPr="00092BC8">
        <w:rPr>
          <w:rFonts w:ascii="宋体" w:eastAsia="宋体" w:hAnsi="宋体" w:cs="Times New Roman" w:hint="eastAsia"/>
          <w:sz w:val="24"/>
          <w:szCs w:val="24"/>
        </w:rPr>
        <w:t>幂级数求和函数。</w:t>
      </w:r>
    </w:p>
    <w:p w14:paraId="3DC1EE9F" w14:textId="77777777" w:rsidR="00092BC8" w:rsidRPr="00092BC8" w:rsidRDefault="00092BC8" w:rsidP="00092BC8">
      <w:pPr>
        <w:spacing w:line="440" w:lineRule="exact"/>
        <w:ind w:firstLineChars="200" w:firstLine="482"/>
        <w:rPr>
          <w:rFonts w:ascii="宋体" w:eastAsia="宋体" w:hAnsi="宋体" w:cs="Times New Roman"/>
          <w:b/>
          <w:sz w:val="24"/>
          <w:szCs w:val="24"/>
        </w:rPr>
      </w:pPr>
      <w:r w:rsidRPr="00092BC8">
        <w:rPr>
          <w:rFonts w:ascii="宋体" w:eastAsia="宋体" w:hAnsi="宋体" w:cs="Times New Roman" w:hint="eastAsia"/>
          <w:b/>
          <w:sz w:val="24"/>
          <w:szCs w:val="24"/>
        </w:rPr>
        <w:t>【难点】</w:t>
      </w:r>
    </w:p>
    <w:p w14:paraId="53EC0FAB" w14:textId="77777777" w:rsidR="00092BC8" w:rsidRPr="00092BC8" w:rsidRDefault="00092BC8" w:rsidP="00092BC8">
      <w:pPr>
        <w:spacing w:line="440" w:lineRule="exact"/>
        <w:ind w:left="480"/>
        <w:rPr>
          <w:rFonts w:ascii="宋体" w:eastAsia="宋体" w:hAnsi="宋体" w:cs="宋体"/>
          <w:kern w:val="0"/>
          <w:sz w:val="24"/>
          <w:szCs w:val="24"/>
        </w:rPr>
      </w:pPr>
      <w:r w:rsidRPr="00092BC8">
        <w:rPr>
          <w:rFonts w:ascii="宋体" w:eastAsia="宋体" w:hAnsi="宋体" w:cs="宋体" w:hint="eastAsia"/>
          <w:kern w:val="0"/>
          <w:sz w:val="24"/>
          <w:szCs w:val="24"/>
        </w:rPr>
        <w:t>1. 正项级数的比较审</w:t>
      </w:r>
      <w:proofErr w:type="gramStart"/>
      <w:r w:rsidRPr="00092BC8">
        <w:rPr>
          <w:rFonts w:ascii="宋体" w:eastAsia="宋体" w:hAnsi="宋体" w:cs="宋体" w:hint="eastAsia"/>
          <w:kern w:val="0"/>
          <w:sz w:val="24"/>
          <w:szCs w:val="24"/>
        </w:rPr>
        <w:t>敛</w:t>
      </w:r>
      <w:proofErr w:type="gramEnd"/>
      <w:r w:rsidRPr="00092BC8">
        <w:rPr>
          <w:rFonts w:ascii="宋体" w:eastAsia="宋体" w:hAnsi="宋体" w:cs="宋体" w:hint="eastAsia"/>
          <w:kern w:val="0"/>
          <w:sz w:val="24"/>
          <w:szCs w:val="24"/>
        </w:rPr>
        <w:t>法和比值审</w:t>
      </w:r>
      <w:proofErr w:type="gramStart"/>
      <w:r w:rsidRPr="00092BC8">
        <w:rPr>
          <w:rFonts w:ascii="宋体" w:eastAsia="宋体" w:hAnsi="宋体" w:cs="宋体" w:hint="eastAsia"/>
          <w:kern w:val="0"/>
          <w:sz w:val="24"/>
          <w:szCs w:val="24"/>
        </w:rPr>
        <w:t>敛</w:t>
      </w:r>
      <w:proofErr w:type="gramEnd"/>
      <w:r w:rsidRPr="00092BC8">
        <w:rPr>
          <w:rFonts w:ascii="宋体" w:eastAsia="宋体" w:hAnsi="宋体" w:cs="宋体" w:hint="eastAsia"/>
          <w:kern w:val="0"/>
          <w:sz w:val="24"/>
          <w:szCs w:val="24"/>
        </w:rPr>
        <w:t>法；</w:t>
      </w:r>
    </w:p>
    <w:p w14:paraId="2221FF05" w14:textId="77777777" w:rsidR="00092BC8" w:rsidRPr="00092BC8" w:rsidRDefault="00092BC8" w:rsidP="00092BC8">
      <w:pPr>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2. 幂级数的和函数。</w:t>
      </w:r>
    </w:p>
    <w:p w14:paraId="0D412BE0" w14:textId="77777777" w:rsidR="00092BC8" w:rsidRPr="00092BC8" w:rsidRDefault="00092BC8" w:rsidP="00092BC8">
      <w:pPr>
        <w:spacing w:line="440" w:lineRule="exact"/>
        <w:ind w:firstLineChars="200" w:firstLine="482"/>
        <w:rPr>
          <w:rFonts w:ascii="宋体" w:eastAsia="宋体" w:hAnsi="宋体" w:cs="Times New Roman"/>
          <w:b/>
          <w:bCs/>
          <w:sz w:val="24"/>
          <w:szCs w:val="24"/>
        </w:rPr>
      </w:pPr>
      <w:r w:rsidRPr="00092BC8">
        <w:rPr>
          <w:rFonts w:ascii="宋体" w:eastAsia="宋体" w:hAnsi="宋体" w:cs="Times New Roman" w:hint="eastAsia"/>
          <w:b/>
          <w:bCs/>
          <w:sz w:val="24"/>
          <w:szCs w:val="24"/>
        </w:rPr>
        <w:t>【教学方法】</w:t>
      </w:r>
    </w:p>
    <w:p w14:paraId="183CE7AD" w14:textId="77777777" w:rsidR="00092BC8" w:rsidRPr="00092BC8" w:rsidRDefault="00092BC8" w:rsidP="00092BC8">
      <w:pPr>
        <w:widowControl/>
        <w:spacing w:line="440" w:lineRule="exact"/>
        <w:ind w:firstLineChars="200" w:firstLine="480"/>
        <w:rPr>
          <w:rFonts w:ascii="宋体" w:eastAsia="宋体" w:hAnsi="宋体" w:cs="宋体"/>
          <w:kern w:val="0"/>
          <w:sz w:val="24"/>
          <w:szCs w:val="24"/>
        </w:rPr>
      </w:pPr>
      <w:r w:rsidRPr="00092BC8">
        <w:rPr>
          <w:rFonts w:ascii="宋体" w:eastAsia="宋体" w:hAnsi="宋体" w:cs="宋体" w:hint="eastAsia"/>
          <w:kern w:val="0"/>
          <w:sz w:val="24"/>
          <w:szCs w:val="24"/>
        </w:rPr>
        <w:t>1. 采用传统教学与多媒体课件相结合的方法，用课堂讲授的方法详细</w:t>
      </w:r>
      <w:proofErr w:type="gramStart"/>
      <w:r w:rsidRPr="00092BC8">
        <w:rPr>
          <w:rFonts w:ascii="宋体" w:eastAsia="宋体" w:hAnsi="宋体" w:cs="宋体" w:hint="eastAsia"/>
          <w:kern w:val="0"/>
          <w:sz w:val="24"/>
          <w:szCs w:val="24"/>
        </w:rPr>
        <w:t>阐</w:t>
      </w:r>
      <w:proofErr w:type="gramEnd"/>
    </w:p>
    <w:p w14:paraId="73908D45" w14:textId="77777777" w:rsidR="00092BC8" w:rsidRPr="00092BC8" w:rsidRDefault="00092BC8" w:rsidP="00092BC8">
      <w:pPr>
        <w:widowControl/>
        <w:spacing w:line="440" w:lineRule="exact"/>
        <w:rPr>
          <w:rFonts w:ascii="宋体" w:eastAsia="宋体" w:hAnsi="宋体" w:cs="宋体"/>
          <w:kern w:val="0"/>
          <w:sz w:val="24"/>
          <w:szCs w:val="24"/>
        </w:rPr>
      </w:pPr>
      <w:proofErr w:type="gramStart"/>
      <w:r w:rsidRPr="00092BC8">
        <w:rPr>
          <w:rFonts w:ascii="宋体" w:eastAsia="宋体" w:hAnsi="宋体" w:cs="宋体" w:hint="eastAsia"/>
          <w:kern w:val="0"/>
          <w:sz w:val="24"/>
          <w:szCs w:val="24"/>
        </w:rPr>
        <w:t>述本课程</w:t>
      </w:r>
      <w:proofErr w:type="gramEnd"/>
      <w:r w:rsidRPr="00092BC8">
        <w:rPr>
          <w:rFonts w:ascii="宋体" w:eastAsia="宋体" w:hAnsi="宋体" w:cs="宋体" w:hint="eastAsia"/>
          <w:kern w:val="0"/>
          <w:sz w:val="24"/>
          <w:szCs w:val="24"/>
        </w:rPr>
        <w:t>的基本概念、基本理论及计算方法，培养学生基本数学素养和数学能力；</w:t>
      </w:r>
    </w:p>
    <w:p w14:paraId="0B887D77" w14:textId="77777777" w:rsidR="00092BC8" w:rsidRPr="00092BC8" w:rsidRDefault="00092BC8" w:rsidP="00092BC8">
      <w:pPr>
        <w:widowControl/>
        <w:spacing w:line="440" w:lineRule="exact"/>
        <w:ind w:firstLineChars="200" w:firstLine="480"/>
        <w:rPr>
          <w:rFonts w:ascii="宋体" w:eastAsia="宋体" w:hAnsi="宋体" w:cs="宋体"/>
          <w:kern w:val="0"/>
          <w:sz w:val="24"/>
          <w:szCs w:val="24"/>
        </w:rPr>
      </w:pPr>
      <w:r w:rsidRPr="00092BC8">
        <w:rPr>
          <w:rFonts w:ascii="宋体" w:eastAsia="宋体" w:hAnsi="宋体" w:cs="宋体"/>
          <w:kern w:val="0"/>
          <w:sz w:val="24"/>
          <w:szCs w:val="24"/>
        </w:rPr>
        <w:t>2</w:t>
      </w:r>
      <w:r w:rsidRPr="00092BC8">
        <w:rPr>
          <w:rFonts w:ascii="宋体" w:eastAsia="宋体" w:hAnsi="宋体" w:cs="宋体" w:hint="eastAsia"/>
          <w:kern w:val="0"/>
          <w:sz w:val="24"/>
          <w:szCs w:val="24"/>
        </w:rPr>
        <w:t>. 采用以教师讲授为主，课堂练习、讨论为辅的讲练结合授课方式，强化学生数学计算能力和应用能力的培养。</w:t>
      </w:r>
    </w:p>
    <w:p w14:paraId="0E41F934" w14:textId="77777777" w:rsidR="00092BC8" w:rsidRPr="00092BC8" w:rsidRDefault="00092BC8" w:rsidP="00092BC8">
      <w:pPr>
        <w:spacing w:line="440" w:lineRule="exact"/>
        <w:ind w:firstLineChars="200" w:firstLine="482"/>
        <w:rPr>
          <w:rFonts w:ascii="宋体" w:eastAsia="宋体" w:hAnsi="宋体" w:cs="Times New Roman"/>
          <w:bCs/>
          <w:color w:val="FF0000"/>
          <w:sz w:val="24"/>
          <w:szCs w:val="24"/>
        </w:rPr>
      </w:pPr>
      <w:r w:rsidRPr="00092BC8">
        <w:rPr>
          <w:rFonts w:ascii="宋体" w:eastAsia="宋体" w:hAnsi="宋体" w:cs="Times New Roman" w:hint="eastAsia"/>
          <w:b/>
          <w:sz w:val="24"/>
          <w:szCs w:val="24"/>
        </w:rPr>
        <w:t>【复习思考】</w:t>
      </w:r>
    </w:p>
    <w:p w14:paraId="1401F17F" w14:textId="77777777" w:rsidR="00092BC8" w:rsidRPr="00092BC8" w:rsidRDefault="00092BC8" w:rsidP="00092BC8">
      <w:pPr>
        <w:spacing w:line="440" w:lineRule="exact"/>
        <w:ind w:firstLineChars="200" w:firstLine="480"/>
        <w:rPr>
          <w:rFonts w:ascii="宋体" w:eastAsia="宋体" w:hAnsi="宋体" w:cs="宋体"/>
          <w:kern w:val="0"/>
          <w:sz w:val="24"/>
          <w:szCs w:val="24"/>
        </w:rPr>
      </w:pPr>
      <w:r w:rsidRPr="00092BC8">
        <w:rPr>
          <w:rFonts w:ascii="宋体" w:eastAsia="宋体" w:hAnsi="宋体" w:cs="Times New Roman"/>
          <w:sz w:val="24"/>
          <w:szCs w:val="24"/>
        </w:rPr>
        <w:t>1</w:t>
      </w:r>
      <w:r w:rsidRPr="00092BC8">
        <w:rPr>
          <w:rFonts w:ascii="宋体" w:eastAsia="宋体" w:hAnsi="宋体" w:cs="Times New Roman" w:hint="eastAsia"/>
          <w:sz w:val="24"/>
          <w:szCs w:val="24"/>
        </w:rPr>
        <w:t>.</w:t>
      </w:r>
      <w:r w:rsidRPr="00092BC8">
        <w:rPr>
          <w:rFonts w:ascii="宋体" w:eastAsia="宋体" w:hAnsi="宋体" w:cs="Times New Roman"/>
          <w:sz w:val="24"/>
          <w:szCs w:val="24"/>
        </w:rPr>
        <w:t xml:space="preserve"> </w:t>
      </w:r>
      <w:r w:rsidRPr="00092BC8">
        <w:rPr>
          <w:rFonts w:ascii="宋体" w:eastAsia="宋体" w:hAnsi="宋体" w:cs="Times New Roman" w:hint="eastAsia"/>
          <w:sz w:val="24"/>
          <w:szCs w:val="24"/>
        </w:rPr>
        <w:t>总结</w:t>
      </w:r>
      <w:r w:rsidRPr="00092BC8">
        <w:rPr>
          <w:rFonts w:ascii="宋体" w:eastAsia="宋体" w:hAnsi="宋体" w:cs="宋体" w:hint="eastAsia"/>
          <w:kern w:val="0"/>
          <w:sz w:val="24"/>
          <w:szCs w:val="24"/>
        </w:rPr>
        <w:t>正项级数</w:t>
      </w:r>
      <w:proofErr w:type="gramStart"/>
      <w:r w:rsidRPr="00092BC8">
        <w:rPr>
          <w:rFonts w:ascii="宋体" w:eastAsia="宋体" w:hAnsi="宋体" w:cs="宋体" w:hint="eastAsia"/>
          <w:kern w:val="0"/>
          <w:sz w:val="24"/>
          <w:szCs w:val="24"/>
        </w:rPr>
        <w:t>敛散性</w:t>
      </w:r>
      <w:proofErr w:type="gramEnd"/>
      <w:r w:rsidRPr="00092BC8">
        <w:rPr>
          <w:rFonts w:ascii="宋体" w:eastAsia="宋体" w:hAnsi="宋体" w:cs="宋体"/>
          <w:kern w:val="0"/>
          <w:sz w:val="24"/>
          <w:szCs w:val="24"/>
        </w:rPr>
        <w:t>的判定有哪些方法，并举例说明</w:t>
      </w:r>
      <w:r w:rsidRPr="00092BC8">
        <w:rPr>
          <w:rFonts w:ascii="宋体" w:eastAsia="宋体" w:hAnsi="宋体" w:cs="宋体" w:hint="eastAsia"/>
          <w:kern w:val="0"/>
          <w:sz w:val="24"/>
          <w:szCs w:val="24"/>
        </w:rPr>
        <w:t>；</w:t>
      </w:r>
    </w:p>
    <w:p w14:paraId="299A520E"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宋体"/>
          <w:kern w:val="0"/>
          <w:sz w:val="24"/>
          <w:szCs w:val="24"/>
        </w:rPr>
        <w:t>2</w:t>
      </w:r>
      <w:r w:rsidRPr="00092BC8">
        <w:rPr>
          <w:rFonts w:ascii="宋体" w:eastAsia="宋体" w:hAnsi="宋体" w:cs="宋体" w:hint="eastAsia"/>
          <w:kern w:val="0"/>
          <w:sz w:val="24"/>
          <w:szCs w:val="24"/>
        </w:rPr>
        <w:t>.</w:t>
      </w:r>
      <w:r w:rsidRPr="00092BC8">
        <w:rPr>
          <w:rFonts w:ascii="宋体" w:eastAsia="宋体" w:hAnsi="宋体" w:cs="宋体"/>
          <w:kern w:val="0"/>
          <w:sz w:val="24"/>
          <w:szCs w:val="24"/>
        </w:rPr>
        <w:t xml:space="preserve"> </w:t>
      </w:r>
      <w:r w:rsidRPr="00092BC8">
        <w:rPr>
          <w:rFonts w:ascii="宋体" w:eastAsia="宋体" w:hAnsi="宋体" w:cs="宋体" w:hint="eastAsia"/>
          <w:kern w:val="0"/>
          <w:sz w:val="24"/>
          <w:szCs w:val="24"/>
        </w:rPr>
        <w:t>举例</w:t>
      </w:r>
      <w:r w:rsidRPr="00092BC8">
        <w:rPr>
          <w:rFonts w:ascii="宋体" w:eastAsia="宋体" w:hAnsi="宋体" w:cs="宋体"/>
          <w:kern w:val="0"/>
          <w:sz w:val="24"/>
          <w:szCs w:val="24"/>
        </w:rPr>
        <w:t>说明哪些级数是绝对收敛的，哪些</w:t>
      </w:r>
      <w:r w:rsidRPr="00092BC8">
        <w:rPr>
          <w:rFonts w:ascii="宋体" w:eastAsia="宋体" w:hAnsi="宋体" w:cs="宋体" w:hint="eastAsia"/>
          <w:kern w:val="0"/>
          <w:sz w:val="24"/>
          <w:szCs w:val="24"/>
        </w:rPr>
        <w:t>级数</w:t>
      </w:r>
      <w:r w:rsidRPr="00092BC8">
        <w:rPr>
          <w:rFonts w:ascii="宋体" w:eastAsia="宋体" w:hAnsi="宋体" w:cs="宋体"/>
          <w:kern w:val="0"/>
          <w:sz w:val="24"/>
          <w:szCs w:val="24"/>
        </w:rPr>
        <w:t>是条件收敛的</w:t>
      </w:r>
      <w:r w:rsidRPr="00092BC8">
        <w:rPr>
          <w:rFonts w:ascii="宋体" w:eastAsia="宋体" w:hAnsi="宋体" w:cs="宋体" w:hint="eastAsia"/>
          <w:kern w:val="0"/>
          <w:sz w:val="24"/>
          <w:szCs w:val="24"/>
        </w:rPr>
        <w:t>；</w:t>
      </w:r>
      <w:r w:rsidRPr="00092BC8">
        <w:rPr>
          <w:rFonts w:ascii="宋体" w:eastAsia="宋体" w:hAnsi="宋体" w:cs="Times New Roman" w:hint="eastAsia"/>
          <w:sz w:val="24"/>
          <w:szCs w:val="24"/>
        </w:rPr>
        <w:t xml:space="preserve"> </w:t>
      </w:r>
    </w:p>
    <w:p w14:paraId="204AB06A"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sz w:val="24"/>
          <w:szCs w:val="24"/>
        </w:rPr>
        <w:t>3</w:t>
      </w:r>
      <w:r w:rsidRPr="00092BC8">
        <w:rPr>
          <w:rFonts w:ascii="宋体" w:eastAsia="宋体" w:hAnsi="宋体" w:cs="Times New Roman" w:hint="eastAsia"/>
          <w:sz w:val="24"/>
          <w:szCs w:val="24"/>
        </w:rPr>
        <w:t>.</w:t>
      </w:r>
      <w:r w:rsidRPr="00092BC8">
        <w:rPr>
          <w:rFonts w:ascii="宋体" w:eastAsia="宋体" w:hAnsi="宋体" w:cs="Times New Roman"/>
          <w:sz w:val="24"/>
          <w:szCs w:val="24"/>
        </w:rPr>
        <w:t xml:space="preserve"> </w:t>
      </w:r>
      <w:r w:rsidRPr="00092BC8">
        <w:rPr>
          <w:rFonts w:ascii="宋体" w:eastAsia="宋体" w:hAnsi="宋体" w:cs="Times New Roman" w:hint="eastAsia"/>
          <w:sz w:val="24"/>
          <w:szCs w:val="24"/>
        </w:rPr>
        <w:t>求解</w:t>
      </w:r>
      <w:r w:rsidRPr="00092BC8">
        <w:rPr>
          <w:rFonts w:ascii="宋体" w:eastAsia="宋体" w:hAnsi="宋体" w:cs="宋体" w:hint="eastAsia"/>
          <w:kern w:val="0"/>
          <w:sz w:val="24"/>
          <w:szCs w:val="24"/>
        </w:rPr>
        <w:t>幂级数的收敛半径、收敛区间及收敛域。</w:t>
      </w:r>
    </w:p>
    <w:p w14:paraId="6C5E975D" w14:textId="77777777" w:rsidR="00092BC8" w:rsidRPr="00092BC8" w:rsidRDefault="00092BC8" w:rsidP="00092BC8">
      <w:pPr>
        <w:spacing w:beforeLines="50" w:before="156" w:afterLines="50" w:after="156" w:line="440" w:lineRule="exact"/>
        <w:ind w:firstLineChars="200" w:firstLine="560"/>
        <w:outlineLvl w:val="2"/>
        <w:rPr>
          <w:rFonts w:ascii="仿宋" w:eastAsia="仿宋" w:hAnsi="仿宋" w:cs="Times New Roman"/>
          <w:sz w:val="24"/>
          <w:szCs w:val="28"/>
        </w:rPr>
      </w:pPr>
      <w:r w:rsidRPr="00092BC8">
        <w:rPr>
          <w:rFonts w:ascii="Times New Roman" w:eastAsia="黑体" w:hAnsi="Times New Roman" w:cs="Times New Roman" w:hint="eastAsia"/>
          <w:sz w:val="28"/>
          <w:szCs w:val="28"/>
        </w:rPr>
        <w:t>（二）课程学习内容与课程学习目标的对应关系</w:t>
      </w:r>
      <w:r w:rsidRPr="00092BC8">
        <w:rPr>
          <w:rFonts w:ascii="仿宋" w:eastAsia="仿宋" w:hAnsi="仿宋" w:cs="Times New Roman" w:hint="eastAsia"/>
          <w:sz w:val="24"/>
          <w:szCs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391"/>
        <w:gridCol w:w="1985"/>
        <w:gridCol w:w="1251"/>
      </w:tblGrid>
      <w:tr w:rsidR="00092BC8" w:rsidRPr="00092BC8" w14:paraId="4BD05200" w14:textId="77777777" w:rsidTr="00DB6C82">
        <w:trPr>
          <w:trHeight w:val="660"/>
          <w:jc w:val="center"/>
        </w:trPr>
        <w:tc>
          <w:tcPr>
            <w:tcW w:w="2268" w:type="dxa"/>
            <w:vAlign w:val="center"/>
          </w:tcPr>
          <w:p w14:paraId="03E1C838" w14:textId="77777777" w:rsidR="00092BC8" w:rsidRPr="00092BC8" w:rsidRDefault="00092BC8" w:rsidP="00092BC8">
            <w:pPr>
              <w:spacing w:line="440" w:lineRule="exact"/>
              <w:jc w:val="center"/>
              <w:rPr>
                <w:rFonts w:ascii="宋体" w:eastAsia="宋体" w:hAnsi="宋体" w:cs="Times New Roman"/>
                <w:b/>
                <w:bCs/>
                <w:sz w:val="24"/>
                <w:szCs w:val="24"/>
              </w:rPr>
            </w:pPr>
            <w:r w:rsidRPr="00092BC8">
              <w:rPr>
                <w:rFonts w:ascii="宋体" w:eastAsia="宋体" w:hAnsi="宋体" w:cs="Times New Roman" w:hint="eastAsia"/>
                <w:b/>
                <w:bCs/>
                <w:sz w:val="24"/>
                <w:szCs w:val="24"/>
              </w:rPr>
              <w:t>课程学习内容</w:t>
            </w:r>
          </w:p>
        </w:tc>
        <w:tc>
          <w:tcPr>
            <w:tcW w:w="2391" w:type="dxa"/>
            <w:vAlign w:val="center"/>
          </w:tcPr>
          <w:p w14:paraId="07CAC285" w14:textId="77777777" w:rsidR="00092BC8" w:rsidRPr="00092BC8" w:rsidRDefault="00092BC8" w:rsidP="00092BC8">
            <w:pPr>
              <w:spacing w:line="440" w:lineRule="exact"/>
              <w:jc w:val="center"/>
              <w:rPr>
                <w:rFonts w:ascii="宋体" w:eastAsia="宋体" w:hAnsi="宋体" w:cs="Times New Roman"/>
                <w:b/>
                <w:bCs/>
                <w:sz w:val="24"/>
                <w:szCs w:val="24"/>
              </w:rPr>
            </w:pPr>
            <w:r w:rsidRPr="00092BC8">
              <w:rPr>
                <w:rFonts w:ascii="宋体" w:eastAsia="宋体" w:hAnsi="宋体" w:cs="Times New Roman" w:hint="eastAsia"/>
                <w:b/>
                <w:bCs/>
                <w:sz w:val="24"/>
                <w:szCs w:val="24"/>
              </w:rPr>
              <w:t>教学方法</w:t>
            </w:r>
          </w:p>
        </w:tc>
        <w:tc>
          <w:tcPr>
            <w:tcW w:w="1985" w:type="dxa"/>
            <w:vAlign w:val="center"/>
          </w:tcPr>
          <w:p w14:paraId="0895284F" w14:textId="77777777" w:rsidR="00092BC8" w:rsidRPr="00092BC8" w:rsidRDefault="00092BC8" w:rsidP="00092BC8">
            <w:pPr>
              <w:spacing w:line="440" w:lineRule="exact"/>
              <w:jc w:val="center"/>
              <w:rPr>
                <w:rFonts w:ascii="宋体" w:eastAsia="宋体" w:hAnsi="宋体" w:cs="Times New Roman"/>
                <w:b/>
                <w:bCs/>
                <w:sz w:val="24"/>
                <w:szCs w:val="24"/>
              </w:rPr>
            </w:pPr>
            <w:r w:rsidRPr="00092BC8">
              <w:rPr>
                <w:rFonts w:ascii="宋体" w:eastAsia="宋体" w:hAnsi="宋体" w:cs="Times New Roman" w:hint="eastAsia"/>
                <w:b/>
                <w:bCs/>
                <w:sz w:val="24"/>
                <w:szCs w:val="24"/>
              </w:rPr>
              <w:t>支撑的课程目标</w:t>
            </w:r>
          </w:p>
        </w:tc>
        <w:tc>
          <w:tcPr>
            <w:tcW w:w="1251" w:type="dxa"/>
            <w:vAlign w:val="center"/>
          </w:tcPr>
          <w:p w14:paraId="5D3816D2" w14:textId="77777777" w:rsidR="00092BC8" w:rsidRPr="00092BC8" w:rsidRDefault="00092BC8" w:rsidP="00092BC8">
            <w:pPr>
              <w:spacing w:line="440" w:lineRule="exact"/>
              <w:jc w:val="center"/>
              <w:rPr>
                <w:rFonts w:ascii="宋体" w:eastAsia="宋体" w:hAnsi="宋体" w:cs="Times New Roman"/>
                <w:b/>
                <w:bCs/>
                <w:sz w:val="24"/>
                <w:szCs w:val="24"/>
              </w:rPr>
            </w:pPr>
            <w:r w:rsidRPr="00092BC8">
              <w:rPr>
                <w:rFonts w:ascii="宋体" w:eastAsia="宋体" w:hAnsi="宋体" w:cs="Times New Roman" w:hint="eastAsia"/>
                <w:b/>
                <w:bCs/>
                <w:sz w:val="24"/>
                <w:szCs w:val="24"/>
              </w:rPr>
              <w:t>学时安排</w:t>
            </w:r>
          </w:p>
        </w:tc>
      </w:tr>
      <w:tr w:rsidR="00092BC8" w:rsidRPr="00092BC8" w14:paraId="7178E837" w14:textId="77777777" w:rsidTr="00DB6C82">
        <w:trPr>
          <w:trHeight w:val="90"/>
          <w:jc w:val="center"/>
        </w:trPr>
        <w:tc>
          <w:tcPr>
            <w:tcW w:w="2268" w:type="dxa"/>
            <w:vAlign w:val="center"/>
          </w:tcPr>
          <w:p w14:paraId="11E6B06E" w14:textId="77777777" w:rsidR="00092BC8" w:rsidRPr="00092BC8" w:rsidRDefault="00092BC8" w:rsidP="00092BC8">
            <w:pPr>
              <w:spacing w:line="440" w:lineRule="exact"/>
              <w:jc w:val="left"/>
              <w:rPr>
                <w:rFonts w:ascii="宋体" w:eastAsia="宋体" w:hAnsi="宋体" w:cs="Times New Roman"/>
                <w:sz w:val="24"/>
                <w:szCs w:val="24"/>
              </w:rPr>
            </w:pPr>
            <w:r w:rsidRPr="00092BC8">
              <w:rPr>
                <w:rFonts w:ascii="宋体" w:eastAsia="宋体" w:hAnsi="宋体" w:cs="Times New Roman" w:hint="eastAsia"/>
                <w:sz w:val="24"/>
                <w:szCs w:val="24"/>
              </w:rPr>
              <w:t>第六章 微分方程</w:t>
            </w:r>
          </w:p>
        </w:tc>
        <w:tc>
          <w:tcPr>
            <w:tcW w:w="2391" w:type="dxa"/>
            <w:vAlign w:val="center"/>
          </w:tcPr>
          <w:p w14:paraId="5A0B2B0D"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讲授法、</w:t>
            </w:r>
            <w:r w:rsidRPr="00092BC8">
              <w:rPr>
                <w:rFonts w:ascii="宋体" w:eastAsia="宋体" w:hAnsi="宋体" w:cs="Times New Roman"/>
                <w:sz w:val="24"/>
                <w:szCs w:val="24"/>
              </w:rPr>
              <w:t>讲练结合</w:t>
            </w:r>
          </w:p>
        </w:tc>
        <w:tc>
          <w:tcPr>
            <w:tcW w:w="1985" w:type="dxa"/>
            <w:vAlign w:val="center"/>
          </w:tcPr>
          <w:p w14:paraId="797F6950"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课程</w:t>
            </w:r>
            <w:r w:rsidRPr="00092BC8">
              <w:rPr>
                <w:rFonts w:ascii="宋体" w:eastAsia="宋体" w:hAnsi="宋体" w:cs="Times New Roman"/>
                <w:sz w:val="24"/>
                <w:szCs w:val="24"/>
              </w:rPr>
              <w:t>目标</w:t>
            </w:r>
            <w:r w:rsidRPr="00092BC8">
              <w:rPr>
                <w:rFonts w:ascii="宋体" w:eastAsia="宋体" w:hAnsi="宋体" w:cs="Times New Roman" w:hint="eastAsia"/>
                <w:sz w:val="24"/>
                <w:szCs w:val="24"/>
              </w:rPr>
              <w:t>1、2、3、4</w:t>
            </w:r>
          </w:p>
        </w:tc>
        <w:tc>
          <w:tcPr>
            <w:tcW w:w="1251" w:type="dxa"/>
            <w:vAlign w:val="center"/>
          </w:tcPr>
          <w:p w14:paraId="27F808DE"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6</w:t>
            </w:r>
          </w:p>
        </w:tc>
      </w:tr>
      <w:tr w:rsidR="00092BC8" w:rsidRPr="00092BC8" w14:paraId="3657CCEF" w14:textId="77777777" w:rsidTr="00DB6C82">
        <w:trPr>
          <w:trHeight w:val="90"/>
          <w:jc w:val="center"/>
        </w:trPr>
        <w:tc>
          <w:tcPr>
            <w:tcW w:w="2268" w:type="dxa"/>
            <w:vAlign w:val="center"/>
          </w:tcPr>
          <w:p w14:paraId="46716F54" w14:textId="77777777" w:rsidR="00092BC8" w:rsidRPr="00092BC8" w:rsidRDefault="00092BC8" w:rsidP="00092BC8">
            <w:pPr>
              <w:spacing w:line="440" w:lineRule="exact"/>
              <w:jc w:val="left"/>
              <w:rPr>
                <w:rFonts w:ascii="宋体" w:eastAsia="宋体" w:hAnsi="宋体" w:cs="Times New Roman"/>
                <w:sz w:val="24"/>
                <w:szCs w:val="24"/>
              </w:rPr>
            </w:pPr>
            <w:r w:rsidRPr="00092BC8">
              <w:rPr>
                <w:rFonts w:ascii="宋体" w:eastAsia="宋体" w:hAnsi="宋体" w:cs="Times New Roman" w:hint="eastAsia"/>
                <w:sz w:val="24"/>
                <w:szCs w:val="24"/>
              </w:rPr>
              <w:lastRenderedPageBreak/>
              <w:t>第七章 向量代数</w:t>
            </w:r>
            <w:r w:rsidRPr="00092BC8">
              <w:rPr>
                <w:rFonts w:ascii="宋体" w:eastAsia="宋体" w:hAnsi="宋体" w:cs="Times New Roman"/>
                <w:sz w:val="24"/>
                <w:szCs w:val="24"/>
              </w:rPr>
              <w:t>与空间解析几何</w:t>
            </w:r>
          </w:p>
        </w:tc>
        <w:tc>
          <w:tcPr>
            <w:tcW w:w="2391" w:type="dxa"/>
            <w:vAlign w:val="center"/>
          </w:tcPr>
          <w:p w14:paraId="08C8D258"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讲授法、</w:t>
            </w:r>
            <w:r w:rsidRPr="00092BC8">
              <w:rPr>
                <w:rFonts w:ascii="宋体" w:eastAsia="宋体" w:hAnsi="宋体" w:cs="Times New Roman"/>
                <w:sz w:val="24"/>
                <w:szCs w:val="24"/>
              </w:rPr>
              <w:t>启发式教学</w:t>
            </w:r>
            <w:r w:rsidRPr="00092BC8">
              <w:rPr>
                <w:rFonts w:ascii="宋体" w:eastAsia="宋体" w:hAnsi="宋体" w:cs="Times New Roman" w:hint="eastAsia"/>
                <w:sz w:val="24"/>
                <w:szCs w:val="24"/>
              </w:rPr>
              <w:t>、</w:t>
            </w:r>
            <w:r w:rsidRPr="00092BC8">
              <w:rPr>
                <w:rFonts w:ascii="宋体" w:eastAsia="宋体" w:hAnsi="宋体" w:cs="Times New Roman"/>
                <w:sz w:val="24"/>
                <w:szCs w:val="24"/>
              </w:rPr>
              <w:t>讲练结合</w:t>
            </w:r>
          </w:p>
        </w:tc>
        <w:tc>
          <w:tcPr>
            <w:tcW w:w="1985" w:type="dxa"/>
            <w:vAlign w:val="center"/>
          </w:tcPr>
          <w:p w14:paraId="1B3A31DE"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课程</w:t>
            </w:r>
            <w:r w:rsidRPr="00092BC8">
              <w:rPr>
                <w:rFonts w:ascii="宋体" w:eastAsia="宋体" w:hAnsi="宋体" w:cs="Times New Roman"/>
                <w:sz w:val="24"/>
                <w:szCs w:val="24"/>
              </w:rPr>
              <w:t>目标</w:t>
            </w:r>
            <w:r w:rsidRPr="00092BC8">
              <w:rPr>
                <w:rFonts w:ascii="宋体" w:eastAsia="宋体" w:hAnsi="宋体" w:cs="Times New Roman" w:hint="eastAsia"/>
                <w:sz w:val="24"/>
                <w:szCs w:val="24"/>
              </w:rPr>
              <w:t>1、2、3、4</w:t>
            </w:r>
          </w:p>
        </w:tc>
        <w:tc>
          <w:tcPr>
            <w:tcW w:w="1251" w:type="dxa"/>
            <w:vAlign w:val="center"/>
          </w:tcPr>
          <w:p w14:paraId="2297D875"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8</w:t>
            </w:r>
          </w:p>
        </w:tc>
      </w:tr>
      <w:tr w:rsidR="00092BC8" w:rsidRPr="00092BC8" w14:paraId="5158F038" w14:textId="77777777" w:rsidTr="00DB6C82">
        <w:trPr>
          <w:jc w:val="center"/>
        </w:trPr>
        <w:tc>
          <w:tcPr>
            <w:tcW w:w="2268" w:type="dxa"/>
            <w:vAlign w:val="center"/>
          </w:tcPr>
          <w:p w14:paraId="615DAACA" w14:textId="77777777" w:rsidR="00092BC8" w:rsidRPr="00092BC8" w:rsidRDefault="00092BC8" w:rsidP="00092BC8">
            <w:pPr>
              <w:spacing w:line="440" w:lineRule="exact"/>
              <w:jc w:val="left"/>
              <w:rPr>
                <w:rFonts w:ascii="宋体" w:eastAsia="宋体" w:hAnsi="宋体" w:cs="Times New Roman"/>
                <w:sz w:val="24"/>
                <w:szCs w:val="24"/>
              </w:rPr>
            </w:pPr>
            <w:r w:rsidRPr="00092BC8">
              <w:rPr>
                <w:rFonts w:ascii="宋体" w:eastAsia="宋体" w:hAnsi="宋体" w:cs="Times New Roman" w:hint="eastAsia"/>
                <w:sz w:val="24"/>
                <w:szCs w:val="24"/>
              </w:rPr>
              <w:t>第八章 多元函数微分法</w:t>
            </w:r>
            <w:r w:rsidRPr="00092BC8">
              <w:rPr>
                <w:rFonts w:ascii="宋体" w:eastAsia="宋体" w:hAnsi="宋体" w:cs="Times New Roman"/>
                <w:sz w:val="24"/>
                <w:szCs w:val="24"/>
              </w:rPr>
              <w:t>及其应用</w:t>
            </w:r>
          </w:p>
        </w:tc>
        <w:tc>
          <w:tcPr>
            <w:tcW w:w="2391" w:type="dxa"/>
            <w:vAlign w:val="center"/>
          </w:tcPr>
          <w:p w14:paraId="616DE98A"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讲授法、</w:t>
            </w:r>
            <w:r w:rsidRPr="00092BC8">
              <w:rPr>
                <w:rFonts w:ascii="宋体" w:eastAsia="宋体" w:hAnsi="宋体" w:cs="Times New Roman"/>
                <w:sz w:val="24"/>
                <w:szCs w:val="24"/>
              </w:rPr>
              <w:t>启发式教学</w:t>
            </w:r>
            <w:r w:rsidRPr="00092BC8">
              <w:rPr>
                <w:rFonts w:ascii="宋体" w:eastAsia="宋体" w:hAnsi="宋体" w:cs="Times New Roman" w:hint="eastAsia"/>
                <w:sz w:val="24"/>
                <w:szCs w:val="24"/>
              </w:rPr>
              <w:t>、</w:t>
            </w:r>
            <w:r w:rsidRPr="00092BC8">
              <w:rPr>
                <w:rFonts w:ascii="宋体" w:eastAsia="宋体" w:hAnsi="宋体" w:cs="Times New Roman"/>
                <w:sz w:val="24"/>
                <w:szCs w:val="24"/>
              </w:rPr>
              <w:t>讲练结合</w:t>
            </w:r>
          </w:p>
        </w:tc>
        <w:tc>
          <w:tcPr>
            <w:tcW w:w="1985" w:type="dxa"/>
            <w:vAlign w:val="center"/>
          </w:tcPr>
          <w:p w14:paraId="50A52B06"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课程目标</w:t>
            </w:r>
            <w:r w:rsidRPr="00092BC8">
              <w:rPr>
                <w:rFonts w:ascii="宋体" w:eastAsia="宋体" w:hAnsi="宋体" w:cs="Times New Roman"/>
                <w:sz w:val="24"/>
                <w:szCs w:val="24"/>
              </w:rPr>
              <w:t>1</w:t>
            </w:r>
            <w:r w:rsidRPr="00092BC8">
              <w:rPr>
                <w:rFonts w:ascii="宋体" w:eastAsia="宋体" w:hAnsi="宋体" w:cs="Times New Roman" w:hint="eastAsia"/>
                <w:sz w:val="24"/>
                <w:szCs w:val="24"/>
              </w:rPr>
              <w:t>、2、3、4</w:t>
            </w:r>
          </w:p>
        </w:tc>
        <w:tc>
          <w:tcPr>
            <w:tcW w:w="1251" w:type="dxa"/>
            <w:vAlign w:val="center"/>
          </w:tcPr>
          <w:p w14:paraId="6B70617D"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16</w:t>
            </w:r>
          </w:p>
        </w:tc>
      </w:tr>
      <w:tr w:rsidR="00092BC8" w:rsidRPr="00092BC8" w14:paraId="34E6FC33" w14:textId="77777777" w:rsidTr="00DB6C82">
        <w:trPr>
          <w:jc w:val="center"/>
        </w:trPr>
        <w:tc>
          <w:tcPr>
            <w:tcW w:w="2268" w:type="dxa"/>
            <w:vAlign w:val="center"/>
          </w:tcPr>
          <w:p w14:paraId="5C047F44" w14:textId="77777777" w:rsidR="00092BC8" w:rsidRPr="00092BC8" w:rsidRDefault="00092BC8" w:rsidP="00092BC8">
            <w:pPr>
              <w:spacing w:line="440" w:lineRule="exact"/>
              <w:jc w:val="left"/>
              <w:rPr>
                <w:rFonts w:ascii="宋体" w:eastAsia="宋体" w:hAnsi="宋体" w:cs="Times New Roman"/>
                <w:sz w:val="24"/>
                <w:szCs w:val="24"/>
              </w:rPr>
            </w:pPr>
            <w:r w:rsidRPr="00092BC8">
              <w:rPr>
                <w:rFonts w:ascii="宋体" w:eastAsia="宋体" w:hAnsi="宋体" w:cs="Times New Roman" w:hint="eastAsia"/>
                <w:sz w:val="24"/>
                <w:szCs w:val="24"/>
              </w:rPr>
              <w:t>第九章 重积分</w:t>
            </w:r>
          </w:p>
        </w:tc>
        <w:tc>
          <w:tcPr>
            <w:tcW w:w="2391" w:type="dxa"/>
            <w:vAlign w:val="center"/>
          </w:tcPr>
          <w:p w14:paraId="33933543"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讲授法、</w:t>
            </w:r>
            <w:r w:rsidRPr="00092BC8">
              <w:rPr>
                <w:rFonts w:ascii="宋体" w:eastAsia="宋体" w:hAnsi="宋体" w:cs="Times New Roman"/>
                <w:sz w:val="24"/>
                <w:szCs w:val="24"/>
              </w:rPr>
              <w:t>启发式教学</w:t>
            </w:r>
            <w:r w:rsidRPr="00092BC8">
              <w:rPr>
                <w:rFonts w:ascii="宋体" w:eastAsia="宋体" w:hAnsi="宋体" w:cs="Times New Roman" w:hint="eastAsia"/>
                <w:sz w:val="24"/>
                <w:szCs w:val="24"/>
              </w:rPr>
              <w:t>、</w:t>
            </w:r>
            <w:r w:rsidRPr="00092BC8">
              <w:rPr>
                <w:rFonts w:ascii="宋体" w:eastAsia="宋体" w:hAnsi="宋体" w:cs="Times New Roman"/>
                <w:sz w:val="24"/>
                <w:szCs w:val="24"/>
              </w:rPr>
              <w:t>讲练结合</w:t>
            </w:r>
          </w:p>
        </w:tc>
        <w:tc>
          <w:tcPr>
            <w:tcW w:w="1985" w:type="dxa"/>
            <w:vAlign w:val="center"/>
          </w:tcPr>
          <w:p w14:paraId="316F11D9"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课程目标</w:t>
            </w:r>
            <w:r w:rsidRPr="00092BC8">
              <w:rPr>
                <w:rFonts w:ascii="宋体" w:eastAsia="宋体" w:hAnsi="宋体" w:cs="Times New Roman"/>
                <w:sz w:val="24"/>
                <w:szCs w:val="24"/>
              </w:rPr>
              <w:t>1</w:t>
            </w:r>
            <w:r w:rsidRPr="00092BC8">
              <w:rPr>
                <w:rFonts w:ascii="宋体" w:eastAsia="宋体" w:hAnsi="宋体" w:cs="Times New Roman" w:hint="eastAsia"/>
                <w:sz w:val="24"/>
                <w:szCs w:val="24"/>
              </w:rPr>
              <w:t>、2、3</w:t>
            </w:r>
          </w:p>
        </w:tc>
        <w:tc>
          <w:tcPr>
            <w:tcW w:w="1251" w:type="dxa"/>
            <w:vAlign w:val="center"/>
          </w:tcPr>
          <w:p w14:paraId="0D0C88C1"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8</w:t>
            </w:r>
          </w:p>
        </w:tc>
      </w:tr>
      <w:tr w:rsidR="00092BC8" w:rsidRPr="00092BC8" w14:paraId="03BB2606" w14:textId="77777777" w:rsidTr="00DB6C82">
        <w:trPr>
          <w:jc w:val="center"/>
        </w:trPr>
        <w:tc>
          <w:tcPr>
            <w:tcW w:w="2268" w:type="dxa"/>
            <w:vAlign w:val="center"/>
          </w:tcPr>
          <w:p w14:paraId="1C661130" w14:textId="77777777" w:rsidR="00092BC8" w:rsidRPr="00092BC8" w:rsidRDefault="00092BC8" w:rsidP="00092BC8">
            <w:pPr>
              <w:spacing w:line="440" w:lineRule="exact"/>
              <w:jc w:val="left"/>
              <w:rPr>
                <w:rFonts w:ascii="宋体" w:eastAsia="宋体" w:hAnsi="宋体" w:cs="Times New Roman"/>
                <w:sz w:val="24"/>
                <w:szCs w:val="24"/>
              </w:rPr>
            </w:pPr>
            <w:r w:rsidRPr="00092BC8">
              <w:rPr>
                <w:rFonts w:ascii="宋体" w:eastAsia="宋体" w:hAnsi="宋体" w:cs="Times New Roman" w:hint="eastAsia"/>
                <w:sz w:val="24"/>
                <w:szCs w:val="24"/>
              </w:rPr>
              <w:t>第十</w:t>
            </w:r>
            <w:r w:rsidRPr="00092BC8">
              <w:rPr>
                <w:rFonts w:ascii="宋体" w:eastAsia="宋体" w:hAnsi="宋体" w:cs="Times New Roman"/>
                <w:sz w:val="24"/>
                <w:szCs w:val="24"/>
              </w:rPr>
              <w:t>章</w:t>
            </w:r>
            <w:r w:rsidRPr="00092BC8">
              <w:rPr>
                <w:rFonts w:ascii="宋体" w:eastAsia="宋体" w:hAnsi="宋体" w:cs="Times New Roman" w:hint="eastAsia"/>
                <w:sz w:val="24"/>
                <w:szCs w:val="24"/>
              </w:rPr>
              <w:t xml:space="preserve"> 无穷级数</w:t>
            </w:r>
          </w:p>
        </w:tc>
        <w:tc>
          <w:tcPr>
            <w:tcW w:w="2391" w:type="dxa"/>
            <w:vAlign w:val="center"/>
          </w:tcPr>
          <w:p w14:paraId="12AE1E0E"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讲授法、讲练结合</w:t>
            </w:r>
          </w:p>
        </w:tc>
        <w:tc>
          <w:tcPr>
            <w:tcW w:w="1985" w:type="dxa"/>
            <w:vAlign w:val="center"/>
          </w:tcPr>
          <w:p w14:paraId="3CC3BABB"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课程</w:t>
            </w:r>
            <w:r w:rsidRPr="00092BC8">
              <w:rPr>
                <w:rFonts w:ascii="宋体" w:eastAsia="宋体" w:hAnsi="宋体" w:cs="Times New Roman"/>
                <w:sz w:val="24"/>
                <w:szCs w:val="24"/>
              </w:rPr>
              <w:t>目标</w:t>
            </w:r>
            <w:r w:rsidRPr="00092BC8">
              <w:rPr>
                <w:rFonts w:ascii="宋体" w:eastAsia="宋体" w:hAnsi="宋体" w:cs="Times New Roman" w:hint="eastAsia"/>
                <w:sz w:val="24"/>
                <w:szCs w:val="24"/>
              </w:rPr>
              <w:t>1、2、3、4</w:t>
            </w:r>
          </w:p>
        </w:tc>
        <w:tc>
          <w:tcPr>
            <w:tcW w:w="1251" w:type="dxa"/>
            <w:vAlign w:val="center"/>
          </w:tcPr>
          <w:p w14:paraId="3BDF61E3"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10</w:t>
            </w:r>
          </w:p>
        </w:tc>
      </w:tr>
      <w:tr w:rsidR="00092BC8" w:rsidRPr="00092BC8" w14:paraId="1714811F" w14:textId="77777777" w:rsidTr="00DB6C82">
        <w:trPr>
          <w:jc w:val="center"/>
        </w:trPr>
        <w:tc>
          <w:tcPr>
            <w:tcW w:w="6644" w:type="dxa"/>
            <w:gridSpan w:val="3"/>
            <w:vAlign w:val="center"/>
          </w:tcPr>
          <w:p w14:paraId="3DAE5E84" w14:textId="77777777" w:rsidR="00092BC8" w:rsidRPr="00092BC8" w:rsidRDefault="00092BC8" w:rsidP="00092BC8">
            <w:pPr>
              <w:spacing w:line="440" w:lineRule="exact"/>
              <w:jc w:val="center"/>
              <w:rPr>
                <w:rFonts w:ascii="宋体" w:eastAsia="宋体" w:hAnsi="宋体" w:cs="Times New Roman"/>
                <w:b/>
                <w:sz w:val="24"/>
                <w:szCs w:val="24"/>
              </w:rPr>
            </w:pPr>
            <w:r w:rsidRPr="00092BC8">
              <w:rPr>
                <w:rFonts w:ascii="宋体" w:eastAsia="宋体" w:hAnsi="宋体" w:cs="Times New Roman" w:hint="eastAsia"/>
                <w:b/>
                <w:sz w:val="24"/>
                <w:szCs w:val="24"/>
              </w:rPr>
              <w:t>合计</w:t>
            </w:r>
          </w:p>
        </w:tc>
        <w:tc>
          <w:tcPr>
            <w:tcW w:w="1251" w:type="dxa"/>
            <w:vAlign w:val="center"/>
          </w:tcPr>
          <w:p w14:paraId="656CB97B"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hint="eastAsia"/>
                <w:sz w:val="24"/>
                <w:szCs w:val="24"/>
              </w:rPr>
              <w:t>48</w:t>
            </w:r>
          </w:p>
        </w:tc>
      </w:tr>
    </w:tbl>
    <w:p w14:paraId="08AA4926" w14:textId="77777777" w:rsidR="00092BC8" w:rsidRPr="00092BC8" w:rsidRDefault="00092BC8" w:rsidP="00092BC8">
      <w:pPr>
        <w:spacing w:beforeLines="50" w:before="156" w:afterLines="50" w:after="156" w:line="440" w:lineRule="exact"/>
        <w:ind w:firstLineChars="200" w:firstLine="560"/>
        <w:outlineLvl w:val="1"/>
        <w:rPr>
          <w:rFonts w:ascii="宋体" w:eastAsia="黑体" w:hAnsi="宋体" w:cs="Times New Roman"/>
          <w:sz w:val="24"/>
          <w:szCs w:val="28"/>
        </w:rPr>
      </w:pPr>
      <w:r w:rsidRPr="00092BC8">
        <w:rPr>
          <w:rFonts w:ascii="Times New Roman" w:eastAsia="黑体" w:hAnsi="Times New Roman" w:cs="Times New Roman" w:hint="eastAsia"/>
          <w:sz w:val="28"/>
          <w:szCs w:val="28"/>
        </w:rPr>
        <w:t>四、课程考核及与课程学习目标的对应关系</w:t>
      </w:r>
    </w:p>
    <w:p w14:paraId="07C4E3D7" w14:textId="77777777" w:rsidR="00092BC8" w:rsidRPr="00092BC8" w:rsidRDefault="00092BC8" w:rsidP="00092BC8">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092BC8">
        <w:rPr>
          <w:rFonts w:ascii="Times New Roman" w:eastAsia="黑体" w:hAnsi="Times New Roman" w:cs="Times New Roman" w:hint="eastAsia"/>
          <w:sz w:val="28"/>
          <w:szCs w:val="28"/>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6572"/>
      </w:tblGrid>
      <w:tr w:rsidR="00092BC8" w:rsidRPr="00092BC8" w14:paraId="31C31D92" w14:textId="77777777" w:rsidTr="00DB6C82">
        <w:trPr>
          <w:trHeight w:val="515"/>
          <w:jc w:val="center"/>
        </w:trPr>
        <w:tc>
          <w:tcPr>
            <w:tcW w:w="1422" w:type="dxa"/>
          </w:tcPr>
          <w:p w14:paraId="276568F4" w14:textId="77777777" w:rsidR="00092BC8" w:rsidRPr="00092BC8" w:rsidRDefault="00092BC8" w:rsidP="00092BC8">
            <w:pPr>
              <w:spacing w:line="440" w:lineRule="exact"/>
              <w:jc w:val="center"/>
              <w:rPr>
                <w:rFonts w:ascii="宋体" w:eastAsia="宋体" w:hAnsi="宋体" w:cs="Times New Roman"/>
                <w:b/>
                <w:sz w:val="24"/>
                <w:szCs w:val="24"/>
              </w:rPr>
            </w:pPr>
            <w:r w:rsidRPr="00092BC8">
              <w:rPr>
                <w:rFonts w:ascii="宋体" w:eastAsia="宋体" w:hAnsi="宋体" w:cs="Times New Roman" w:hint="eastAsia"/>
                <w:b/>
                <w:sz w:val="24"/>
                <w:szCs w:val="24"/>
              </w:rPr>
              <w:t>课程目标</w:t>
            </w:r>
          </w:p>
        </w:tc>
        <w:tc>
          <w:tcPr>
            <w:tcW w:w="6572" w:type="dxa"/>
            <w:vAlign w:val="center"/>
          </w:tcPr>
          <w:p w14:paraId="787814CE" w14:textId="77777777" w:rsidR="00092BC8" w:rsidRPr="00092BC8" w:rsidRDefault="00092BC8" w:rsidP="00092BC8">
            <w:pPr>
              <w:spacing w:line="440" w:lineRule="exact"/>
              <w:jc w:val="center"/>
              <w:rPr>
                <w:rFonts w:ascii="宋体" w:eastAsia="宋体" w:hAnsi="宋体" w:cs="Times New Roman"/>
                <w:b/>
                <w:sz w:val="24"/>
                <w:szCs w:val="24"/>
              </w:rPr>
            </w:pPr>
            <w:r w:rsidRPr="00092BC8">
              <w:rPr>
                <w:rFonts w:ascii="宋体" w:eastAsia="宋体" w:hAnsi="宋体" w:cs="Times New Roman" w:hint="eastAsia"/>
                <w:b/>
                <w:sz w:val="24"/>
                <w:szCs w:val="24"/>
              </w:rPr>
              <w:t>考核内容</w:t>
            </w:r>
          </w:p>
        </w:tc>
      </w:tr>
      <w:tr w:rsidR="00092BC8" w:rsidRPr="00092BC8" w14:paraId="5473544C" w14:textId="77777777" w:rsidTr="00DB6C82">
        <w:trPr>
          <w:jc w:val="center"/>
        </w:trPr>
        <w:tc>
          <w:tcPr>
            <w:tcW w:w="1422" w:type="dxa"/>
            <w:vAlign w:val="center"/>
          </w:tcPr>
          <w:p w14:paraId="255231E6" w14:textId="77777777" w:rsidR="00092BC8" w:rsidRPr="00092BC8" w:rsidRDefault="00092BC8" w:rsidP="00092BC8">
            <w:pPr>
              <w:spacing w:line="440" w:lineRule="exact"/>
              <w:jc w:val="center"/>
              <w:rPr>
                <w:rFonts w:ascii="宋体" w:eastAsia="宋体" w:hAnsi="宋体" w:cs="Times New Roman"/>
                <w:bCs/>
                <w:sz w:val="24"/>
                <w:szCs w:val="24"/>
              </w:rPr>
            </w:pPr>
            <w:r w:rsidRPr="00092BC8">
              <w:rPr>
                <w:rFonts w:ascii="宋体" w:eastAsia="宋体" w:hAnsi="宋体" w:cs="Times New Roman" w:hint="eastAsia"/>
                <w:bCs/>
                <w:sz w:val="24"/>
                <w:szCs w:val="24"/>
              </w:rPr>
              <w:t>课程目标1</w:t>
            </w:r>
          </w:p>
        </w:tc>
        <w:tc>
          <w:tcPr>
            <w:tcW w:w="6572" w:type="dxa"/>
            <w:vAlign w:val="center"/>
          </w:tcPr>
          <w:p w14:paraId="5D50FF72"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hint="eastAsia"/>
                <w:bCs/>
                <w:sz w:val="24"/>
                <w:szCs w:val="24"/>
              </w:rPr>
              <w:t>1.1微分方程；</w:t>
            </w:r>
          </w:p>
          <w:p w14:paraId="0764AFC7"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hint="eastAsia"/>
                <w:bCs/>
                <w:sz w:val="24"/>
                <w:szCs w:val="24"/>
              </w:rPr>
              <w:t>1.2向量代数与</w:t>
            </w:r>
            <w:r w:rsidRPr="00092BC8">
              <w:rPr>
                <w:rFonts w:ascii="宋体" w:eastAsia="宋体" w:hAnsi="宋体" w:cs="Times New Roman"/>
                <w:bCs/>
                <w:sz w:val="24"/>
                <w:szCs w:val="24"/>
              </w:rPr>
              <w:t>空间解析几何</w:t>
            </w:r>
            <w:r w:rsidRPr="00092BC8">
              <w:rPr>
                <w:rFonts w:ascii="宋体" w:eastAsia="宋体" w:hAnsi="宋体" w:cs="Times New Roman" w:hint="eastAsia"/>
                <w:bCs/>
                <w:sz w:val="24"/>
                <w:szCs w:val="24"/>
              </w:rPr>
              <w:t>；</w:t>
            </w:r>
          </w:p>
          <w:p w14:paraId="3CB82655"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hint="eastAsia"/>
                <w:bCs/>
                <w:sz w:val="24"/>
                <w:szCs w:val="24"/>
              </w:rPr>
              <w:t>1.3</w:t>
            </w:r>
            <w:r w:rsidRPr="00092BC8">
              <w:rPr>
                <w:rFonts w:ascii="宋体" w:eastAsia="宋体" w:hAnsi="宋体" w:cs="Times New Roman" w:hint="eastAsia"/>
                <w:sz w:val="24"/>
                <w:szCs w:val="24"/>
              </w:rPr>
              <w:t>多元函数微分法</w:t>
            </w:r>
            <w:r w:rsidRPr="00092BC8">
              <w:rPr>
                <w:rFonts w:ascii="宋体" w:eastAsia="宋体" w:hAnsi="宋体" w:cs="Times New Roman"/>
                <w:sz w:val="24"/>
                <w:szCs w:val="24"/>
              </w:rPr>
              <w:t>及其应用</w:t>
            </w:r>
            <w:r w:rsidRPr="00092BC8">
              <w:rPr>
                <w:rFonts w:ascii="宋体" w:eastAsia="宋体" w:hAnsi="宋体" w:cs="Times New Roman" w:hint="eastAsia"/>
                <w:sz w:val="24"/>
                <w:szCs w:val="24"/>
              </w:rPr>
              <w:t>；</w:t>
            </w:r>
          </w:p>
          <w:p w14:paraId="7FA357D4"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hint="eastAsia"/>
                <w:bCs/>
                <w:sz w:val="24"/>
                <w:szCs w:val="24"/>
              </w:rPr>
              <w:t>1.4</w:t>
            </w:r>
            <w:r w:rsidRPr="00092BC8">
              <w:rPr>
                <w:rFonts w:ascii="宋体" w:eastAsia="宋体" w:hAnsi="宋体" w:cs="Times New Roman" w:hint="eastAsia"/>
                <w:sz w:val="24"/>
                <w:szCs w:val="24"/>
              </w:rPr>
              <w:t>重积分；</w:t>
            </w:r>
          </w:p>
          <w:p w14:paraId="386D4EC3"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hint="eastAsia"/>
                <w:bCs/>
                <w:sz w:val="24"/>
                <w:szCs w:val="24"/>
              </w:rPr>
              <w:t>1.5</w:t>
            </w:r>
            <w:r w:rsidRPr="00092BC8">
              <w:rPr>
                <w:rFonts w:ascii="宋体" w:eastAsia="宋体" w:hAnsi="宋体" w:cs="Times New Roman" w:hint="eastAsia"/>
                <w:sz w:val="24"/>
                <w:szCs w:val="24"/>
              </w:rPr>
              <w:t>无穷级数。</w:t>
            </w:r>
          </w:p>
        </w:tc>
      </w:tr>
      <w:tr w:rsidR="00092BC8" w:rsidRPr="00092BC8" w14:paraId="590DBA98" w14:textId="77777777" w:rsidTr="00DB6C82">
        <w:trPr>
          <w:jc w:val="center"/>
        </w:trPr>
        <w:tc>
          <w:tcPr>
            <w:tcW w:w="1422" w:type="dxa"/>
            <w:vAlign w:val="center"/>
          </w:tcPr>
          <w:p w14:paraId="6775D00F" w14:textId="77777777" w:rsidR="00092BC8" w:rsidRPr="00092BC8" w:rsidRDefault="00092BC8" w:rsidP="00092BC8">
            <w:pPr>
              <w:spacing w:line="440" w:lineRule="exact"/>
              <w:jc w:val="center"/>
              <w:rPr>
                <w:rFonts w:ascii="宋体" w:eastAsia="宋体" w:hAnsi="宋体" w:cs="Times New Roman"/>
                <w:bCs/>
                <w:sz w:val="24"/>
                <w:szCs w:val="24"/>
              </w:rPr>
            </w:pPr>
            <w:r w:rsidRPr="00092BC8">
              <w:rPr>
                <w:rFonts w:ascii="宋体" w:eastAsia="宋体" w:hAnsi="宋体" w:cs="Times New Roman" w:hint="eastAsia"/>
                <w:bCs/>
                <w:sz w:val="24"/>
                <w:szCs w:val="24"/>
              </w:rPr>
              <w:t>课程目标2</w:t>
            </w:r>
          </w:p>
        </w:tc>
        <w:tc>
          <w:tcPr>
            <w:tcW w:w="6572" w:type="dxa"/>
            <w:vAlign w:val="center"/>
          </w:tcPr>
          <w:p w14:paraId="2DBBB13B"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hint="eastAsia"/>
                <w:bCs/>
                <w:sz w:val="24"/>
                <w:szCs w:val="24"/>
              </w:rPr>
              <w:t>2.1微分方程；</w:t>
            </w:r>
          </w:p>
          <w:p w14:paraId="148AFFD9"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hint="eastAsia"/>
                <w:bCs/>
                <w:sz w:val="24"/>
                <w:szCs w:val="24"/>
              </w:rPr>
              <w:t>2.2向量代数与</w:t>
            </w:r>
            <w:r w:rsidRPr="00092BC8">
              <w:rPr>
                <w:rFonts w:ascii="宋体" w:eastAsia="宋体" w:hAnsi="宋体" w:cs="Times New Roman"/>
                <w:bCs/>
                <w:sz w:val="24"/>
                <w:szCs w:val="24"/>
              </w:rPr>
              <w:t>空间解析几何</w:t>
            </w:r>
            <w:r w:rsidRPr="00092BC8">
              <w:rPr>
                <w:rFonts w:ascii="宋体" w:eastAsia="宋体" w:hAnsi="宋体" w:cs="Times New Roman" w:hint="eastAsia"/>
                <w:bCs/>
                <w:sz w:val="24"/>
                <w:szCs w:val="24"/>
              </w:rPr>
              <w:t>；</w:t>
            </w:r>
          </w:p>
          <w:p w14:paraId="3385F263"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bCs/>
                <w:sz w:val="24"/>
                <w:szCs w:val="24"/>
              </w:rPr>
              <w:t>2</w:t>
            </w:r>
            <w:r w:rsidRPr="00092BC8">
              <w:rPr>
                <w:rFonts w:ascii="宋体" w:eastAsia="宋体" w:hAnsi="宋体" w:cs="Times New Roman" w:hint="eastAsia"/>
                <w:bCs/>
                <w:sz w:val="24"/>
                <w:szCs w:val="24"/>
              </w:rPr>
              <w:t>.3</w:t>
            </w:r>
            <w:r w:rsidRPr="00092BC8">
              <w:rPr>
                <w:rFonts w:ascii="宋体" w:eastAsia="宋体" w:hAnsi="宋体" w:cs="Times New Roman" w:hint="eastAsia"/>
                <w:sz w:val="24"/>
                <w:szCs w:val="24"/>
              </w:rPr>
              <w:t>多元函数微分法</w:t>
            </w:r>
            <w:r w:rsidRPr="00092BC8">
              <w:rPr>
                <w:rFonts w:ascii="宋体" w:eastAsia="宋体" w:hAnsi="宋体" w:cs="Times New Roman"/>
                <w:sz w:val="24"/>
                <w:szCs w:val="24"/>
              </w:rPr>
              <w:t>及其应用</w:t>
            </w:r>
            <w:r w:rsidRPr="00092BC8">
              <w:rPr>
                <w:rFonts w:ascii="宋体" w:eastAsia="宋体" w:hAnsi="宋体" w:cs="Times New Roman" w:hint="eastAsia"/>
                <w:sz w:val="24"/>
                <w:szCs w:val="24"/>
              </w:rPr>
              <w:t>；</w:t>
            </w:r>
          </w:p>
          <w:p w14:paraId="34B08F8A"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bCs/>
                <w:sz w:val="24"/>
                <w:szCs w:val="24"/>
              </w:rPr>
              <w:t>2</w:t>
            </w:r>
            <w:r w:rsidRPr="00092BC8">
              <w:rPr>
                <w:rFonts w:ascii="宋体" w:eastAsia="宋体" w:hAnsi="宋体" w:cs="Times New Roman" w:hint="eastAsia"/>
                <w:bCs/>
                <w:sz w:val="24"/>
                <w:szCs w:val="24"/>
              </w:rPr>
              <w:t>.4</w:t>
            </w:r>
            <w:r w:rsidRPr="00092BC8">
              <w:rPr>
                <w:rFonts w:ascii="宋体" w:eastAsia="宋体" w:hAnsi="宋体" w:cs="Times New Roman" w:hint="eastAsia"/>
                <w:sz w:val="24"/>
                <w:szCs w:val="24"/>
              </w:rPr>
              <w:t>重积分；</w:t>
            </w:r>
          </w:p>
          <w:p w14:paraId="747F7739"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bCs/>
                <w:sz w:val="24"/>
                <w:szCs w:val="24"/>
              </w:rPr>
              <w:t>2</w:t>
            </w:r>
            <w:r w:rsidRPr="00092BC8">
              <w:rPr>
                <w:rFonts w:ascii="宋体" w:eastAsia="宋体" w:hAnsi="宋体" w:cs="Times New Roman" w:hint="eastAsia"/>
                <w:bCs/>
                <w:sz w:val="24"/>
                <w:szCs w:val="24"/>
              </w:rPr>
              <w:t>.5</w:t>
            </w:r>
            <w:r w:rsidRPr="00092BC8">
              <w:rPr>
                <w:rFonts w:ascii="宋体" w:eastAsia="宋体" w:hAnsi="宋体" w:cs="Times New Roman" w:hint="eastAsia"/>
                <w:sz w:val="24"/>
                <w:szCs w:val="24"/>
              </w:rPr>
              <w:t>无穷级数。</w:t>
            </w:r>
          </w:p>
        </w:tc>
      </w:tr>
      <w:tr w:rsidR="00092BC8" w:rsidRPr="00092BC8" w14:paraId="5136B385" w14:textId="77777777" w:rsidTr="00DB6C82">
        <w:trPr>
          <w:jc w:val="center"/>
        </w:trPr>
        <w:tc>
          <w:tcPr>
            <w:tcW w:w="1422" w:type="dxa"/>
            <w:vAlign w:val="center"/>
          </w:tcPr>
          <w:p w14:paraId="7EBC40D7" w14:textId="77777777" w:rsidR="00092BC8" w:rsidRPr="00092BC8" w:rsidRDefault="00092BC8" w:rsidP="00092BC8">
            <w:pPr>
              <w:spacing w:line="440" w:lineRule="exact"/>
              <w:jc w:val="center"/>
              <w:rPr>
                <w:rFonts w:ascii="宋体" w:eastAsia="宋体" w:hAnsi="宋体" w:cs="Times New Roman"/>
                <w:bCs/>
                <w:sz w:val="24"/>
                <w:szCs w:val="24"/>
              </w:rPr>
            </w:pPr>
            <w:r w:rsidRPr="00092BC8">
              <w:rPr>
                <w:rFonts w:ascii="宋体" w:eastAsia="宋体" w:hAnsi="宋体" w:cs="Times New Roman" w:hint="eastAsia"/>
                <w:bCs/>
                <w:sz w:val="24"/>
                <w:szCs w:val="24"/>
              </w:rPr>
              <w:t>课程目标3</w:t>
            </w:r>
          </w:p>
        </w:tc>
        <w:tc>
          <w:tcPr>
            <w:tcW w:w="6572" w:type="dxa"/>
            <w:vAlign w:val="center"/>
          </w:tcPr>
          <w:p w14:paraId="17108054"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hint="eastAsia"/>
                <w:bCs/>
                <w:sz w:val="24"/>
                <w:szCs w:val="24"/>
              </w:rPr>
              <w:t>3.1微分方程；</w:t>
            </w:r>
          </w:p>
          <w:p w14:paraId="6F17D2AE"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hint="eastAsia"/>
                <w:bCs/>
                <w:sz w:val="24"/>
                <w:szCs w:val="24"/>
              </w:rPr>
              <w:t>3.2向量代数与</w:t>
            </w:r>
            <w:r w:rsidRPr="00092BC8">
              <w:rPr>
                <w:rFonts w:ascii="宋体" w:eastAsia="宋体" w:hAnsi="宋体" w:cs="Times New Roman"/>
                <w:bCs/>
                <w:sz w:val="24"/>
                <w:szCs w:val="24"/>
              </w:rPr>
              <w:t>空间解析几何</w:t>
            </w:r>
            <w:r w:rsidRPr="00092BC8">
              <w:rPr>
                <w:rFonts w:ascii="宋体" w:eastAsia="宋体" w:hAnsi="宋体" w:cs="Times New Roman" w:hint="eastAsia"/>
                <w:bCs/>
                <w:sz w:val="24"/>
                <w:szCs w:val="24"/>
              </w:rPr>
              <w:t>；</w:t>
            </w:r>
          </w:p>
          <w:p w14:paraId="7FFA57F1"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hint="eastAsia"/>
                <w:bCs/>
                <w:sz w:val="24"/>
                <w:szCs w:val="24"/>
              </w:rPr>
              <w:t>3.3</w:t>
            </w:r>
            <w:r w:rsidRPr="00092BC8">
              <w:rPr>
                <w:rFonts w:ascii="宋体" w:eastAsia="宋体" w:hAnsi="宋体" w:cs="Times New Roman" w:hint="eastAsia"/>
                <w:sz w:val="24"/>
                <w:szCs w:val="24"/>
              </w:rPr>
              <w:t>多元函数微分法</w:t>
            </w:r>
            <w:r w:rsidRPr="00092BC8">
              <w:rPr>
                <w:rFonts w:ascii="宋体" w:eastAsia="宋体" w:hAnsi="宋体" w:cs="Times New Roman"/>
                <w:sz w:val="24"/>
                <w:szCs w:val="24"/>
              </w:rPr>
              <w:t>及其应用</w:t>
            </w:r>
            <w:r w:rsidRPr="00092BC8">
              <w:rPr>
                <w:rFonts w:ascii="宋体" w:eastAsia="宋体" w:hAnsi="宋体" w:cs="Times New Roman" w:hint="eastAsia"/>
                <w:sz w:val="24"/>
                <w:szCs w:val="24"/>
              </w:rPr>
              <w:t>；</w:t>
            </w:r>
          </w:p>
          <w:p w14:paraId="420CA6C5"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hint="eastAsia"/>
                <w:bCs/>
                <w:sz w:val="24"/>
                <w:szCs w:val="24"/>
              </w:rPr>
              <w:t>3.4</w:t>
            </w:r>
            <w:r w:rsidRPr="00092BC8">
              <w:rPr>
                <w:rFonts w:ascii="宋体" w:eastAsia="宋体" w:hAnsi="宋体" w:cs="Times New Roman" w:hint="eastAsia"/>
                <w:sz w:val="24"/>
                <w:szCs w:val="24"/>
              </w:rPr>
              <w:t>重积分；</w:t>
            </w:r>
          </w:p>
          <w:p w14:paraId="7A66B4E5"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hint="eastAsia"/>
                <w:bCs/>
                <w:sz w:val="24"/>
                <w:szCs w:val="24"/>
              </w:rPr>
              <w:t>3.5</w:t>
            </w:r>
            <w:r w:rsidRPr="00092BC8">
              <w:rPr>
                <w:rFonts w:ascii="宋体" w:eastAsia="宋体" w:hAnsi="宋体" w:cs="Times New Roman" w:hint="eastAsia"/>
                <w:sz w:val="24"/>
                <w:szCs w:val="24"/>
              </w:rPr>
              <w:t>无穷级数。</w:t>
            </w:r>
          </w:p>
        </w:tc>
      </w:tr>
      <w:tr w:rsidR="00092BC8" w:rsidRPr="00092BC8" w14:paraId="52CB910F" w14:textId="77777777" w:rsidTr="00DB6C82">
        <w:trPr>
          <w:jc w:val="center"/>
        </w:trPr>
        <w:tc>
          <w:tcPr>
            <w:tcW w:w="1422" w:type="dxa"/>
            <w:vAlign w:val="center"/>
          </w:tcPr>
          <w:p w14:paraId="3A91D8BF" w14:textId="77777777" w:rsidR="00092BC8" w:rsidRPr="00092BC8" w:rsidRDefault="00092BC8" w:rsidP="00092BC8">
            <w:pPr>
              <w:spacing w:line="440" w:lineRule="exact"/>
              <w:jc w:val="center"/>
              <w:rPr>
                <w:rFonts w:ascii="宋体" w:eastAsia="宋体" w:hAnsi="宋体" w:cs="Times New Roman"/>
                <w:bCs/>
                <w:sz w:val="24"/>
                <w:szCs w:val="24"/>
              </w:rPr>
            </w:pPr>
            <w:r w:rsidRPr="00092BC8">
              <w:rPr>
                <w:rFonts w:ascii="宋体" w:eastAsia="宋体" w:hAnsi="宋体" w:cs="Times New Roman" w:hint="eastAsia"/>
                <w:bCs/>
                <w:sz w:val="24"/>
                <w:szCs w:val="24"/>
              </w:rPr>
              <w:t>课程目标4</w:t>
            </w:r>
          </w:p>
        </w:tc>
        <w:tc>
          <w:tcPr>
            <w:tcW w:w="6572" w:type="dxa"/>
            <w:vAlign w:val="center"/>
          </w:tcPr>
          <w:p w14:paraId="0834F2A7"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hint="eastAsia"/>
                <w:bCs/>
                <w:sz w:val="24"/>
                <w:szCs w:val="24"/>
              </w:rPr>
              <w:t>4.1微分方程；</w:t>
            </w:r>
          </w:p>
          <w:p w14:paraId="724DAD48"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hint="eastAsia"/>
                <w:bCs/>
                <w:sz w:val="24"/>
                <w:szCs w:val="24"/>
              </w:rPr>
              <w:t>4.2向量代数与</w:t>
            </w:r>
            <w:r w:rsidRPr="00092BC8">
              <w:rPr>
                <w:rFonts w:ascii="宋体" w:eastAsia="宋体" w:hAnsi="宋体" w:cs="Times New Roman"/>
                <w:bCs/>
                <w:sz w:val="24"/>
                <w:szCs w:val="24"/>
              </w:rPr>
              <w:t>空间解析几何</w:t>
            </w:r>
            <w:r w:rsidRPr="00092BC8">
              <w:rPr>
                <w:rFonts w:ascii="宋体" w:eastAsia="宋体" w:hAnsi="宋体" w:cs="Times New Roman" w:hint="eastAsia"/>
                <w:bCs/>
                <w:sz w:val="24"/>
                <w:szCs w:val="24"/>
              </w:rPr>
              <w:t>；</w:t>
            </w:r>
          </w:p>
          <w:p w14:paraId="28FDA156"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hint="eastAsia"/>
                <w:bCs/>
                <w:sz w:val="24"/>
                <w:szCs w:val="24"/>
              </w:rPr>
              <w:t>4.3</w:t>
            </w:r>
            <w:r w:rsidRPr="00092BC8">
              <w:rPr>
                <w:rFonts w:ascii="宋体" w:eastAsia="宋体" w:hAnsi="宋体" w:cs="Times New Roman" w:hint="eastAsia"/>
                <w:sz w:val="24"/>
                <w:szCs w:val="24"/>
              </w:rPr>
              <w:t>多元函数微分法</w:t>
            </w:r>
            <w:r w:rsidRPr="00092BC8">
              <w:rPr>
                <w:rFonts w:ascii="宋体" w:eastAsia="宋体" w:hAnsi="宋体" w:cs="Times New Roman"/>
                <w:sz w:val="24"/>
                <w:szCs w:val="24"/>
              </w:rPr>
              <w:t>及其应用</w:t>
            </w:r>
            <w:r w:rsidRPr="00092BC8">
              <w:rPr>
                <w:rFonts w:ascii="宋体" w:eastAsia="宋体" w:hAnsi="宋体" w:cs="Times New Roman" w:hint="eastAsia"/>
                <w:sz w:val="24"/>
                <w:szCs w:val="24"/>
              </w:rPr>
              <w:t>；</w:t>
            </w:r>
          </w:p>
          <w:p w14:paraId="25233596" w14:textId="77777777" w:rsidR="00092BC8" w:rsidRPr="00092BC8" w:rsidRDefault="00092BC8" w:rsidP="00092BC8">
            <w:pPr>
              <w:spacing w:line="440" w:lineRule="exact"/>
              <w:rPr>
                <w:rFonts w:ascii="宋体" w:eastAsia="宋体" w:hAnsi="宋体" w:cs="Times New Roman"/>
                <w:bCs/>
                <w:sz w:val="24"/>
                <w:szCs w:val="24"/>
              </w:rPr>
            </w:pPr>
            <w:r w:rsidRPr="00092BC8">
              <w:rPr>
                <w:rFonts w:ascii="宋体" w:eastAsia="宋体" w:hAnsi="宋体" w:cs="Times New Roman" w:hint="eastAsia"/>
                <w:bCs/>
                <w:sz w:val="24"/>
                <w:szCs w:val="24"/>
              </w:rPr>
              <w:lastRenderedPageBreak/>
              <w:t>4.4</w:t>
            </w:r>
            <w:r w:rsidRPr="00092BC8">
              <w:rPr>
                <w:rFonts w:ascii="宋体" w:eastAsia="宋体" w:hAnsi="宋体" w:cs="Times New Roman" w:hint="eastAsia"/>
                <w:sz w:val="24"/>
                <w:szCs w:val="24"/>
              </w:rPr>
              <w:t>无穷级数。</w:t>
            </w:r>
          </w:p>
        </w:tc>
      </w:tr>
    </w:tbl>
    <w:p w14:paraId="6688D6EC" w14:textId="77777777" w:rsidR="00092BC8" w:rsidRPr="00092BC8" w:rsidRDefault="00092BC8" w:rsidP="00092BC8">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092BC8">
        <w:rPr>
          <w:rFonts w:ascii="Times New Roman" w:eastAsia="黑体" w:hAnsi="Times New Roman" w:cs="Times New Roman" w:hint="eastAsia"/>
          <w:sz w:val="28"/>
          <w:szCs w:val="28"/>
        </w:rPr>
        <w:t>（二）课程考核方式</w:t>
      </w:r>
    </w:p>
    <w:p w14:paraId="2AA9F9D9" w14:textId="77777777" w:rsidR="00092BC8" w:rsidRPr="00092BC8" w:rsidRDefault="00092BC8" w:rsidP="00092BC8">
      <w:pPr>
        <w:spacing w:line="440" w:lineRule="exact"/>
        <w:ind w:firstLineChars="200" w:firstLine="480"/>
        <w:rPr>
          <w:rFonts w:ascii="Times New Roman" w:eastAsia="宋体" w:hAnsi="Times New Roman" w:cs="Times New Roman"/>
          <w:sz w:val="24"/>
          <w:szCs w:val="24"/>
        </w:rPr>
      </w:pPr>
      <w:r w:rsidRPr="00092BC8">
        <w:rPr>
          <w:rFonts w:ascii="Times New Roman" w:eastAsia="宋体" w:hAnsi="Times New Roman" w:cs="Times New Roman"/>
          <w:sz w:val="24"/>
          <w:szCs w:val="24"/>
        </w:rPr>
        <w:t>课程考核方式分为平时考核和期末考核。平时考核方式包括课堂表现、平时作业和阶段测试等；期末考核采用闭卷考试。</w:t>
      </w:r>
    </w:p>
    <w:p w14:paraId="55E2B2B4" w14:textId="77777777" w:rsidR="00092BC8" w:rsidRPr="00092BC8" w:rsidRDefault="00092BC8" w:rsidP="00092BC8">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092BC8">
        <w:rPr>
          <w:rFonts w:ascii="Times New Roman" w:eastAsia="黑体" w:hAnsi="Times New Roman" w:cs="Times New Roman" w:hint="eastAsia"/>
          <w:sz w:val="28"/>
          <w:szCs w:val="28"/>
        </w:rPr>
        <w:t>（三）课程目标达成评价方式及考核比例</w:t>
      </w:r>
    </w:p>
    <w:p w14:paraId="74EE780F"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sz w:val="24"/>
          <w:szCs w:val="24"/>
        </w:rPr>
        <w:t>课程考核方式及成绩比例为：</w:t>
      </w:r>
      <w:r w:rsidRPr="00092BC8">
        <w:rPr>
          <w:rFonts w:ascii="宋体" w:eastAsia="宋体" w:hAnsi="宋体" w:cs="Times New Roman" w:hint="eastAsia"/>
          <w:sz w:val="24"/>
          <w:szCs w:val="24"/>
        </w:rPr>
        <w:t>课堂表现10%</w:t>
      </w:r>
      <w:r w:rsidRPr="00092BC8">
        <w:rPr>
          <w:rFonts w:ascii="宋体" w:eastAsia="宋体" w:hAnsi="宋体" w:cs="Times New Roman"/>
          <w:sz w:val="24"/>
          <w:szCs w:val="24"/>
        </w:rPr>
        <w:t>+平时作业</w:t>
      </w:r>
      <w:r w:rsidRPr="00092BC8">
        <w:rPr>
          <w:rFonts w:ascii="宋体" w:eastAsia="宋体" w:hAnsi="宋体" w:cs="Times New Roman" w:hint="eastAsia"/>
          <w:sz w:val="24"/>
          <w:szCs w:val="24"/>
        </w:rPr>
        <w:t>及</w:t>
      </w:r>
      <w:r w:rsidRPr="00092BC8">
        <w:rPr>
          <w:rFonts w:ascii="宋体" w:eastAsia="宋体" w:hAnsi="宋体" w:cs="Times New Roman"/>
          <w:sz w:val="24"/>
          <w:szCs w:val="24"/>
        </w:rPr>
        <w:t>测试</w:t>
      </w:r>
      <w:r w:rsidRPr="00092BC8">
        <w:rPr>
          <w:rFonts w:ascii="宋体" w:eastAsia="宋体" w:hAnsi="宋体" w:cs="Times New Roman" w:hint="eastAsia"/>
          <w:sz w:val="24"/>
          <w:szCs w:val="24"/>
        </w:rPr>
        <w:t>30%</w:t>
      </w:r>
      <w:r w:rsidRPr="00092BC8">
        <w:rPr>
          <w:rFonts w:ascii="宋体" w:eastAsia="宋体" w:hAnsi="宋体" w:cs="Times New Roman"/>
          <w:sz w:val="24"/>
          <w:szCs w:val="24"/>
        </w:rPr>
        <w:t>+期末</w:t>
      </w:r>
      <w:r w:rsidRPr="00092BC8">
        <w:rPr>
          <w:rFonts w:ascii="宋体" w:eastAsia="宋体" w:hAnsi="宋体" w:cs="Times New Roman" w:hint="eastAsia"/>
          <w:sz w:val="24"/>
          <w:szCs w:val="24"/>
        </w:rPr>
        <w:t>考核</w:t>
      </w:r>
      <w:r w:rsidRPr="00092BC8">
        <w:rPr>
          <w:rFonts w:ascii="宋体" w:eastAsia="宋体" w:hAnsi="宋体" w:cs="Times New Roman"/>
          <w:sz w:val="24"/>
          <w:szCs w:val="24"/>
        </w:rPr>
        <w:t>60%；本课程共有四个课程目标，考核方式及成绩比例分别为：</w:t>
      </w:r>
    </w:p>
    <w:p w14:paraId="7B80BB07"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sz w:val="24"/>
          <w:szCs w:val="24"/>
        </w:rPr>
        <w:t>课程目标1：</w:t>
      </w:r>
      <w:r w:rsidRPr="00092BC8">
        <w:rPr>
          <w:rFonts w:ascii="宋体" w:eastAsia="宋体" w:hAnsi="宋体" w:cs="Times New Roman" w:hint="eastAsia"/>
          <w:sz w:val="24"/>
          <w:szCs w:val="24"/>
        </w:rPr>
        <w:t>课堂表现</w:t>
      </w:r>
      <w:r w:rsidRPr="00092BC8">
        <w:rPr>
          <w:rFonts w:ascii="宋体" w:eastAsia="宋体" w:hAnsi="宋体" w:cs="Times New Roman"/>
          <w:sz w:val="24"/>
          <w:szCs w:val="24"/>
        </w:rPr>
        <w:t>5%+平时作业</w:t>
      </w:r>
      <w:r w:rsidRPr="00092BC8">
        <w:rPr>
          <w:rFonts w:ascii="宋体" w:eastAsia="宋体" w:hAnsi="宋体" w:cs="Times New Roman" w:hint="eastAsia"/>
          <w:sz w:val="24"/>
          <w:szCs w:val="24"/>
        </w:rPr>
        <w:t>及</w:t>
      </w:r>
      <w:r w:rsidRPr="00092BC8">
        <w:rPr>
          <w:rFonts w:ascii="宋体" w:eastAsia="宋体" w:hAnsi="宋体" w:cs="Times New Roman"/>
          <w:sz w:val="24"/>
          <w:szCs w:val="24"/>
        </w:rPr>
        <w:t>测试</w:t>
      </w:r>
      <w:r w:rsidRPr="00092BC8">
        <w:rPr>
          <w:rFonts w:ascii="宋体" w:eastAsia="宋体" w:hAnsi="宋体" w:cs="Times New Roman" w:hint="eastAsia"/>
          <w:sz w:val="24"/>
          <w:szCs w:val="24"/>
        </w:rPr>
        <w:t>10%+</w:t>
      </w:r>
      <w:r w:rsidRPr="00092BC8">
        <w:rPr>
          <w:rFonts w:ascii="宋体" w:eastAsia="宋体" w:hAnsi="宋体" w:cs="Times New Roman"/>
          <w:sz w:val="24"/>
          <w:szCs w:val="24"/>
        </w:rPr>
        <w:t>期末考试30%</w:t>
      </w:r>
    </w:p>
    <w:p w14:paraId="1493E4D2"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sz w:val="24"/>
          <w:szCs w:val="24"/>
        </w:rPr>
        <w:t>课程目标2：平时作业</w:t>
      </w:r>
      <w:r w:rsidRPr="00092BC8">
        <w:rPr>
          <w:rFonts w:ascii="宋体" w:eastAsia="宋体" w:hAnsi="宋体" w:cs="Times New Roman" w:hint="eastAsia"/>
          <w:sz w:val="24"/>
          <w:szCs w:val="24"/>
        </w:rPr>
        <w:t>及</w:t>
      </w:r>
      <w:r w:rsidRPr="00092BC8">
        <w:rPr>
          <w:rFonts w:ascii="宋体" w:eastAsia="宋体" w:hAnsi="宋体" w:cs="Times New Roman"/>
          <w:sz w:val="24"/>
          <w:szCs w:val="24"/>
        </w:rPr>
        <w:t>测试10</w:t>
      </w:r>
      <w:r w:rsidRPr="00092BC8">
        <w:rPr>
          <w:rFonts w:ascii="宋体" w:eastAsia="宋体" w:hAnsi="宋体" w:cs="Times New Roman" w:hint="eastAsia"/>
          <w:sz w:val="24"/>
          <w:szCs w:val="24"/>
        </w:rPr>
        <w:t>%+</w:t>
      </w:r>
      <w:r w:rsidRPr="00092BC8">
        <w:rPr>
          <w:rFonts w:ascii="宋体" w:eastAsia="宋体" w:hAnsi="宋体" w:cs="Times New Roman"/>
          <w:sz w:val="24"/>
          <w:szCs w:val="24"/>
        </w:rPr>
        <w:t>期末考试10%</w:t>
      </w:r>
    </w:p>
    <w:p w14:paraId="08BE07B6"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sz w:val="24"/>
          <w:szCs w:val="24"/>
        </w:rPr>
        <w:t>课程目标3：课堂表现5%+平时作业</w:t>
      </w:r>
      <w:r w:rsidRPr="00092BC8">
        <w:rPr>
          <w:rFonts w:ascii="宋体" w:eastAsia="宋体" w:hAnsi="宋体" w:cs="Times New Roman" w:hint="eastAsia"/>
          <w:sz w:val="24"/>
          <w:szCs w:val="24"/>
        </w:rPr>
        <w:t>及</w:t>
      </w:r>
      <w:r w:rsidRPr="00092BC8">
        <w:rPr>
          <w:rFonts w:ascii="宋体" w:eastAsia="宋体" w:hAnsi="宋体" w:cs="Times New Roman"/>
          <w:sz w:val="24"/>
          <w:szCs w:val="24"/>
        </w:rPr>
        <w:t>测试5%+期末考试10%</w:t>
      </w:r>
    </w:p>
    <w:p w14:paraId="7D3A862A"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sz w:val="24"/>
          <w:szCs w:val="24"/>
        </w:rPr>
        <w:t>课程目标4：平时作业</w:t>
      </w:r>
      <w:r w:rsidRPr="00092BC8">
        <w:rPr>
          <w:rFonts w:ascii="宋体" w:eastAsia="宋体" w:hAnsi="宋体" w:cs="Times New Roman" w:hint="eastAsia"/>
          <w:sz w:val="24"/>
          <w:szCs w:val="24"/>
        </w:rPr>
        <w:t>及</w:t>
      </w:r>
      <w:r w:rsidRPr="00092BC8">
        <w:rPr>
          <w:rFonts w:ascii="宋体" w:eastAsia="宋体" w:hAnsi="宋体" w:cs="Times New Roman"/>
          <w:sz w:val="24"/>
          <w:szCs w:val="24"/>
        </w:rPr>
        <w:t>测试5%+期末考试10%</w:t>
      </w:r>
    </w:p>
    <w:p w14:paraId="4939EA2D" w14:textId="77777777" w:rsidR="00092BC8" w:rsidRPr="00092BC8" w:rsidRDefault="00092BC8" w:rsidP="00092BC8">
      <w:pPr>
        <w:spacing w:line="440" w:lineRule="exact"/>
        <w:ind w:firstLineChars="200" w:firstLine="480"/>
        <w:rPr>
          <w:rFonts w:ascii="Times New Roman" w:eastAsia="宋体" w:hAnsi="Times New Roman" w:cs="Times New Roman"/>
          <w:sz w:val="24"/>
          <w:szCs w:val="24"/>
        </w:rPr>
      </w:pPr>
      <w:r w:rsidRPr="00092BC8">
        <w:rPr>
          <w:rFonts w:ascii="Times New Roman" w:eastAsia="宋体" w:hAnsi="Times New Roman" w:cs="Times New Roman"/>
          <w:sz w:val="24"/>
          <w:szCs w:val="24"/>
        </w:rPr>
        <w:t>如下</w:t>
      </w:r>
      <w:r w:rsidRPr="00092BC8">
        <w:rPr>
          <w:rFonts w:ascii="Times New Roman" w:eastAsia="宋体" w:hAnsi="Times New Roman" w:cs="Times New Roman" w:hint="eastAsia"/>
          <w:sz w:val="24"/>
          <w:szCs w:val="24"/>
        </w:rPr>
        <w:t>表</w:t>
      </w:r>
      <w:r w:rsidRPr="00092BC8">
        <w:rPr>
          <w:rFonts w:ascii="Times New Roman" w:eastAsia="宋体" w:hAnsi="Times New Roman" w:cs="Times New Roman"/>
          <w:sz w:val="24"/>
          <w:szCs w:val="24"/>
        </w:rPr>
        <w:t>：</w:t>
      </w:r>
      <w:r w:rsidRPr="00092BC8">
        <w:rPr>
          <w:rFonts w:ascii="Times New Roman" w:eastAsia="宋体" w:hAnsi="Times New Roman" w:cs="Times New Roman" w:hint="eastAsia"/>
          <w:sz w:val="24"/>
          <w:szCs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1500"/>
        <w:gridCol w:w="1928"/>
        <w:gridCol w:w="1417"/>
        <w:gridCol w:w="1157"/>
      </w:tblGrid>
      <w:tr w:rsidR="00092BC8" w:rsidRPr="00092BC8" w14:paraId="70E822F5" w14:textId="77777777" w:rsidTr="00DB6C82">
        <w:trPr>
          <w:jc w:val="center"/>
        </w:trPr>
        <w:tc>
          <w:tcPr>
            <w:tcW w:w="1500" w:type="dxa"/>
            <w:vMerge w:val="restart"/>
            <w:vAlign w:val="center"/>
          </w:tcPr>
          <w:p w14:paraId="4DD98FFF" w14:textId="77777777" w:rsidR="00092BC8" w:rsidRPr="00092BC8" w:rsidRDefault="00092BC8" w:rsidP="00092BC8">
            <w:pPr>
              <w:spacing w:line="440" w:lineRule="exact"/>
              <w:jc w:val="center"/>
              <w:rPr>
                <w:rFonts w:ascii="宋体" w:eastAsia="宋体" w:hAnsi="宋体" w:cs="Times New Roman"/>
                <w:color w:val="FF0000"/>
                <w:sz w:val="24"/>
                <w:szCs w:val="24"/>
              </w:rPr>
            </w:pPr>
            <w:r w:rsidRPr="00092BC8">
              <w:rPr>
                <w:rFonts w:ascii="宋体" w:eastAsia="宋体" w:hAnsi="宋体" w:cs="Times New Roman"/>
                <w:b/>
                <w:sz w:val="24"/>
                <w:szCs w:val="24"/>
              </w:rPr>
              <w:t>课程目标</w:t>
            </w:r>
          </w:p>
        </w:tc>
        <w:tc>
          <w:tcPr>
            <w:tcW w:w="4845" w:type="dxa"/>
            <w:gridSpan w:val="3"/>
          </w:tcPr>
          <w:p w14:paraId="2E7606B3" w14:textId="77777777" w:rsidR="00092BC8" w:rsidRPr="00092BC8" w:rsidRDefault="00092BC8" w:rsidP="00092BC8">
            <w:pPr>
              <w:spacing w:line="440" w:lineRule="exact"/>
              <w:jc w:val="center"/>
              <w:rPr>
                <w:rFonts w:ascii="宋体" w:eastAsia="宋体" w:hAnsi="宋体" w:cs="Times New Roman"/>
                <w:color w:val="FF0000"/>
                <w:sz w:val="24"/>
                <w:szCs w:val="24"/>
              </w:rPr>
            </w:pPr>
            <w:r w:rsidRPr="00092BC8">
              <w:rPr>
                <w:rFonts w:ascii="宋体" w:eastAsia="宋体" w:hAnsi="宋体" w:cs="Times New Roman"/>
                <w:b/>
                <w:sz w:val="24"/>
                <w:szCs w:val="24"/>
              </w:rPr>
              <w:t>考核方式及成绩比例（%）</w:t>
            </w:r>
          </w:p>
        </w:tc>
        <w:tc>
          <w:tcPr>
            <w:tcW w:w="1157" w:type="dxa"/>
            <w:vMerge w:val="restart"/>
            <w:vAlign w:val="center"/>
          </w:tcPr>
          <w:p w14:paraId="00EBCB6F" w14:textId="77777777" w:rsidR="00092BC8" w:rsidRPr="00092BC8" w:rsidRDefault="00092BC8" w:rsidP="00092BC8">
            <w:pPr>
              <w:spacing w:line="440" w:lineRule="exact"/>
              <w:jc w:val="center"/>
              <w:rPr>
                <w:rFonts w:ascii="宋体" w:eastAsia="宋体" w:hAnsi="宋体" w:cs="Times New Roman"/>
                <w:color w:val="FF0000"/>
                <w:sz w:val="24"/>
                <w:szCs w:val="24"/>
              </w:rPr>
            </w:pPr>
            <w:r w:rsidRPr="00092BC8">
              <w:rPr>
                <w:rFonts w:ascii="宋体" w:eastAsia="宋体" w:hAnsi="宋体" w:cs="Times New Roman"/>
                <w:b/>
                <w:sz w:val="24"/>
                <w:szCs w:val="24"/>
              </w:rPr>
              <w:t>合计</w:t>
            </w:r>
          </w:p>
        </w:tc>
      </w:tr>
      <w:tr w:rsidR="00092BC8" w:rsidRPr="00092BC8" w14:paraId="4F98E3A7" w14:textId="77777777" w:rsidTr="00DB6C82">
        <w:trPr>
          <w:jc w:val="center"/>
        </w:trPr>
        <w:tc>
          <w:tcPr>
            <w:tcW w:w="1500" w:type="dxa"/>
            <w:vMerge/>
          </w:tcPr>
          <w:p w14:paraId="149215B5" w14:textId="77777777" w:rsidR="00092BC8" w:rsidRPr="00092BC8" w:rsidRDefault="00092BC8" w:rsidP="00092BC8">
            <w:pPr>
              <w:spacing w:line="440" w:lineRule="exact"/>
              <w:rPr>
                <w:rFonts w:ascii="宋体" w:eastAsia="宋体" w:hAnsi="宋体" w:cs="Times New Roman"/>
                <w:color w:val="FF0000"/>
                <w:sz w:val="24"/>
                <w:szCs w:val="24"/>
              </w:rPr>
            </w:pPr>
          </w:p>
        </w:tc>
        <w:tc>
          <w:tcPr>
            <w:tcW w:w="1500" w:type="dxa"/>
          </w:tcPr>
          <w:p w14:paraId="435773C8"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课堂表现</w:t>
            </w:r>
          </w:p>
        </w:tc>
        <w:tc>
          <w:tcPr>
            <w:tcW w:w="1928" w:type="dxa"/>
          </w:tcPr>
          <w:p w14:paraId="0D018DE3"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平时作业</w:t>
            </w:r>
            <w:r w:rsidRPr="00092BC8">
              <w:rPr>
                <w:rFonts w:ascii="宋体" w:eastAsia="宋体" w:hAnsi="宋体" w:cs="Times New Roman" w:hint="eastAsia"/>
                <w:sz w:val="24"/>
                <w:szCs w:val="24"/>
              </w:rPr>
              <w:t>及</w:t>
            </w:r>
            <w:r w:rsidRPr="00092BC8">
              <w:rPr>
                <w:rFonts w:ascii="宋体" w:eastAsia="宋体" w:hAnsi="宋体" w:cs="Times New Roman"/>
                <w:sz w:val="24"/>
                <w:szCs w:val="24"/>
              </w:rPr>
              <w:t>测试</w:t>
            </w:r>
          </w:p>
        </w:tc>
        <w:tc>
          <w:tcPr>
            <w:tcW w:w="1417" w:type="dxa"/>
          </w:tcPr>
          <w:p w14:paraId="0FACE2DB"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期末考试</w:t>
            </w:r>
          </w:p>
        </w:tc>
        <w:tc>
          <w:tcPr>
            <w:tcW w:w="1157" w:type="dxa"/>
            <w:vMerge/>
          </w:tcPr>
          <w:p w14:paraId="7687B788" w14:textId="77777777" w:rsidR="00092BC8" w:rsidRPr="00092BC8" w:rsidRDefault="00092BC8" w:rsidP="00092BC8">
            <w:pPr>
              <w:spacing w:line="440" w:lineRule="exact"/>
              <w:rPr>
                <w:rFonts w:ascii="宋体" w:eastAsia="宋体" w:hAnsi="宋体" w:cs="Times New Roman"/>
                <w:color w:val="FF0000"/>
                <w:sz w:val="24"/>
                <w:szCs w:val="24"/>
              </w:rPr>
            </w:pPr>
          </w:p>
        </w:tc>
      </w:tr>
      <w:tr w:rsidR="00092BC8" w:rsidRPr="00092BC8" w14:paraId="0C1024E9" w14:textId="77777777" w:rsidTr="00DB6C82">
        <w:trPr>
          <w:jc w:val="center"/>
        </w:trPr>
        <w:tc>
          <w:tcPr>
            <w:tcW w:w="1500" w:type="dxa"/>
          </w:tcPr>
          <w:p w14:paraId="37625243" w14:textId="77777777" w:rsidR="00092BC8" w:rsidRPr="00092BC8" w:rsidRDefault="00092BC8" w:rsidP="00092BC8">
            <w:pPr>
              <w:spacing w:line="440" w:lineRule="exact"/>
              <w:rPr>
                <w:rFonts w:ascii="宋体" w:eastAsia="宋体" w:hAnsi="宋体" w:cs="Times New Roman"/>
                <w:color w:val="FF0000"/>
                <w:sz w:val="24"/>
                <w:szCs w:val="24"/>
              </w:rPr>
            </w:pPr>
            <w:r w:rsidRPr="00092BC8">
              <w:rPr>
                <w:rFonts w:ascii="宋体" w:eastAsia="宋体" w:hAnsi="宋体" w:cs="Times New Roman"/>
                <w:bCs/>
                <w:sz w:val="24"/>
                <w:szCs w:val="24"/>
              </w:rPr>
              <w:t>课程目标1</w:t>
            </w:r>
          </w:p>
        </w:tc>
        <w:tc>
          <w:tcPr>
            <w:tcW w:w="1500" w:type="dxa"/>
          </w:tcPr>
          <w:p w14:paraId="51FAB0F3"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5</w:t>
            </w:r>
          </w:p>
        </w:tc>
        <w:tc>
          <w:tcPr>
            <w:tcW w:w="1928" w:type="dxa"/>
          </w:tcPr>
          <w:p w14:paraId="1963479A"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10</w:t>
            </w:r>
          </w:p>
        </w:tc>
        <w:tc>
          <w:tcPr>
            <w:tcW w:w="1417" w:type="dxa"/>
            <w:vAlign w:val="center"/>
          </w:tcPr>
          <w:p w14:paraId="10BE92F3"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30</w:t>
            </w:r>
          </w:p>
        </w:tc>
        <w:tc>
          <w:tcPr>
            <w:tcW w:w="1157" w:type="dxa"/>
          </w:tcPr>
          <w:p w14:paraId="7A1829FF"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45</w:t>
            </w:r>
          </w:p>
        </w:tc>
      </w:tr>
      <w:tr w:rsidR="00092BC8" w:rsidRPr="00092BC8" w14:paraId="678642EE" w14:textId="77777777" w:rsidTr="00DB6C82">
        <w:trPr>
          <w:jc w:val="center"/>
        </w:trPr>
        <w:tc>
          <w:tcPr>
            <w:tcW w:w="1500" w:type="dxa"/>
          </w:tcPr>
          <w:p w14:paraId="6264A921" w14:textId="77777777" w:rsidR="00092BC8" w:rsidRPr="00092BC8" w:rsidRDefault="00092BC8" w:rsidP="00092BC8">
            <w:pPr>
              <w:spacing w:line="440" w:lineRule="exact"/>
              <w:rPr>
                <w:rFonts w:ascii="宋体" w:eastAsia="宋体" w:hAnsi="宋体" w:cs="Times New Roman"/>
                <w:color w:val="FF0000"/>
                <w:sz w:val="24"/>
                <w:szCs w:val="24"/>
              </w:rPr>
            </w:pPr>
            <w:r w:rsidRPr="00092BC8">
              <w:rPr>
                <w:rFonts w:ascii="宋体" w:eastAsia="宋体" w:hAnsi="宋体" w:cs="Times New Roman"/>
                <w:bCs/>
                <w:sz w:val="24"/>
                <w:szCs w:val="24"/>
              </w:rPr>
              <w:t>课程目标2</w:t>
            </w:r>
          </w:p>
        </w:tc>
        <w:tc>
          <w:tcPr>
            <w:tcW w:w="1500" w:type="dxa"/>
          </w:tcPr>
          <w:p w14:paraId="4AB93074" w14:textId="77777777" w:rsidR="00092BC8" w:rsidRPr="00092BC8" w:rsidRDefault="00092BC8" w:rsidP="00092BC8">
            <w:pPr>
              <w:spacing w:line="440" w:lineRule="exact"/>
              <w:jc w:val="center"/>
              <w:rPr>
                <w:rFonts w:ascii="宋体" w:eastAsia="宋体" w:hAnsi="宋体" w:cs="Times New Roman"/>
                <w:sz w:val="24"/>
                <w:szCs w:val="24"/>
              </w:rPr>
            </w:pPr>
          </w:p>
        </w:tc>
        <w:tc>
          <w:tcPr>
            <w:tcW w:w="1928" w:type="dxa"/>
          </w:tcPr>
          <w:p w14:paraId="3D84A756"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10</w:t>
            </w:r>
          </w:p>
        </w:tc>
        <w:tc>
          <w:tcPr>
            <w:tcW w:w="1417" w:type="dxa"/>
            <w:vAlign w:val="center"/>
          </w:tcPr>
          <w:p w14:paraId="251455E0"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10</w:t>
            </w:r>
          </w:p>
        </w:tc>
        <w:tc>
          <w:tcPr>
            <w:tcW w:w="1157" w:type="dxa"/>
          </w:tcPr>
          <w:p w14:paraId="182F3EBB"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20</w:t>
            </w:r>
          </w:p>
        </w:tc>
      </w:tr>
      <w:tr w:rsidR="00092BC8" w:rsidRPr="00092BC8" w14:paraId="11D0D0C3" w14:textId="77777777" w:rsidTr="00DB6C82">
        <w:trPr>
          <w:jc w:val="center"/>
        </w:trPr>
        <w:tc>
          <w:tcPr>
            <w:tcW w:w="1500" w:type="dxa"/>
          </w:tcPr>
          <w:p w14:paraId="24C28ABD" w14:textId="77777777" w:rsidR="00092BC8" w:rsidRPr="00092BC8" w:rsidRDefault="00092BC8" w:rsidP="00092BC8">
            <w:pPr>
              <w:spacing w:line="440" w:lineRule="exact"/>
              <w:rPr>
                <w:rFonts w:ascii="宋体" w:eastAsia="宋体" w:hAnsi="宋体" w:cs="Times New Roman"/>
                <w:color w:val="FF0000"/>
                <w:sz w:val="24"/>
                <w:szCs w:val="24"/>
              </w:rPr>
            </w:pPr>
            <w:r w:rsidRPr="00092BC8">
              <w:rPr>
                <w:rFonts w:ascii="宋体" w:eastAsia="宋体" w:hAnsi="宋体" w:cs="Times New Roman"/>
                <w:bCs/>
                <w:sz w:val="24"/>
                <w:szCs w:val="24"/>
              </w:rPr>
              <w:t>课程目标3</w:t>
            </w:r>
          </w:p>
        </w:tc>
        <w:tc>
          <w:tcPr>
            <w:tcW w:w="1500" w:type="dxa"/>
          </w:tcPr>
          <w:p w14:paraId="56514C2D"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5</w:t>
            </w:r>
          </w:p>
        </w:tc>
        <w:tc>
          <w:tcPr>
            <w:tcW w:w="1928" w:type="dxa"/>
          </w:tcPr>
          <w:p w14:paraId="07E43A2F"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5</w:t>
            </w:r>
          </w:p>
        </w:tc>
        <w:tc>
          <w:tcPr>
            <w:tcW w:w="1417" w:type="dxa"/>
            <w:vAlign w:val="center"/>
          </w:tcPr>
          <w:p w14:paraId="5998DCC3"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10</w:t>
            </w:r>
          </w:p>
        </w:tc>
        <w:tc>
          <w:tcPr>
            <w:tcW w:w="1157" w:type="dxa"/>
          </w:tcPr>
          <w:p w14:paraId="585A0DD0"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20</w:t>
            </w:r>
          </w:p>
        </w:tc>
      </w:tr>
      <w:tr w:rsidR="00092BC8" w:rsidRPr="00092BC8" w14:paraId="4E483625" w14:textId="77777777" w:rsidTr="00DB6C82">
        <w:trPr>
          <w:jc w:val="center"/>
        </w:trPr>
        <w:tc>
          <w:tcPr>
            <w:tcW w:w="1500" w:type="dxa"/>
          </w:tcPr>
          <w:p w14:paraId="12E58768" w14:textId="77777777" w:rsidR="00092BC8" w:rsidRPr="00092BC8" w:rsidRDefault="00092BC8" w:rsidP="00092BC8">
            <w:pPr>
              <w:spacing w:line="440" w:lineRule="exact"/>
              <w:rPr>
                <w:rFonts w:ascii="宋体" w:eastAsia="宋体" w:hAnsi="宋体" w:cs="Times New Roman"/>
                <w:color w:val="FF0000"/>
                <w:sz w:val="24"/>
                <w:szCs w:val="24"/>
              </w:rPr>
            </w:pPr>
            <w:r w:rsidRPr="00092BC8">
              <w:rPr>
                <w:rFonts w:ascii="宋体" w:eastAsia="宋体" w:hAnsi="宋体" w:cs="Times New Roman"/>
                <w:bCs/>
                <w:sz w:val="24"/>
                <w:szCs w:val="24"/>
              </w:rPr>
              <w:t>课程目标4</w:t>
            </w:r>
          </w:p>
        </w:tc>
        <w:tc>
          <w:tcPr>
            <w:tcW w:w="1500" w:type="dxa"/>
          </w:tcPr>
          <w:p w14:paraId="0A886DF6" w14:textId="77777777" w:rsidR="00092BC8" w:rsidRPr="00092BC8" w:rsidRDefault="00092BC8" w:rsidP="00092BC8">
            <w:pPr>
              <w:spacing w:line="440" w:lineRule="exact"/>
              <w:jc w:val="center"/>
              <w:rPr>
                <w:rFonts w:ascii="宋体" w:eastAsia="宋体" w:hAnsi="宋体" w:cs="Times New Roman"/>
                <w:sz w:val="24"/>
                <w:szCs w:val="24"/>
              </w:rPr>
            </w:pPr>
          </w:p>
        </w:tc>
        <w:tc>
          <w:tcPr>
            <w:tcW w:w="1928" w:type="dxa"/>
          </w:tcPr>
          <w:p w14:paraId="2EEF2D4A"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5</w:t>
            </w:r>
          </w:p>
        </w:tc>
        <w:tc>
          <w:tcPr>
            <w:tcW w:w="1417" w:type="dxa"/>
            <w:vAlign w:val="center"/>
          </w:tcPr>
          <w:p w14:paraId="28A94F31"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10</w:t>
            </w:r>
          </w:p>
        </w:tc>
        <w:tc>
          <w:tcPr>
            <w:tcW w:w="1157" w:type="dxa"/>
          </w:tcPr>
          <w:p w14:paraId="024FE671"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15</w:t>
            </w:r>
          </w:p>
        </w:tc>
      </w:tr>
      <w:tr w:rsidR="00092BC8" w:rsidRPr="00092BC8" w14:paraId="4467074C" w14:textId="77777777" w:rsidTr="00DB6C82">
        <w:trPr>
          <w:jc w:val="center"/>
        </w:trPr>
        <w:tc>
          <w:tcPr>
            <w:tcW w:w="1500" w:type="dxa"/>
          </w:tcPr>
          <w:p w14:paraId="43521305"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合计</w:t>
            </w:r>
          </w:p>
        </w:tc>
        <w:tc>
          <w:tcPr>
            <w:tcW w:w="1500" w:type="dxa"/>
          </w:tcPr>
          <w:p w14:paraId="3EB06EAC"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10</w:t>
            </w:r>
          </w:p>
        </w:tc>
        <w:tc>
          <w:tcPr>
            <w:tcW w:w="1928" w:type="dxa"/>
          </w:tcPr>
          <w:p w14:paraId="11929DBF"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30</w:t>
            </w:r>
          </w:p>
        </w:tc>
        <w:tc>
          <w:tcPr>
            <w:tcW w:w="1417" w:type="dxa"/>
            <w:vAlign w:val="center"/>
          </w:tcPr>
          <w:p w14:paraId="40BA5305"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60</w:t>
            </w:r>
          </w:p>
        </w:tc>
        <w:tc>
          <w:tcPr>
            <w:tcW w:w="1157" w:type="dxa"/>
          </w:tcPr>
          <w:p w14:paraId="470FCE38" w14:textId="77777777" w:rsidR="00092BC8" w:rsidRPr="00092BC8" w:rsidRDefault="00092BC8" w:rsidP="00092BC8">
            <w:pPr>
              <w:spacing w:line="440" w:lineRule="exact"/>
              <w:jc w:val="center"/>
              <w:rPr>
                <w:rFonts w:ascii="宋体" w:eastAsia="宋体" w:hAnsi="宋体" w:cs="Times New Roman"/>
                <w:sz w:val="24"/>
                <w:szCs w:val="24"/>
              </w:rPr>
            </w:pPr>
            <w:r w:rsidRPr="00092BC8">
              <w:rPr>
                <w:rFonts w:ascii="宋体" w:eastAsia="宋体" w:hAnsi="宋体" w:cs="Times New Roman"/>
                <w:sz w:val="24"/>
                <w:szCs w:val="24"/>
              </w:rPr>
              <w:t>100</w:t>
            </w:r>
          </w:p>
        </w:tc>
      </w:tr>
    </w:tbl>
    <w:p w14:paraId="3F8FB6FE" w14:textId="77777777" w:rsidR="00092BC8" w:rsidRPr="00092BC8" w:rsidRDefault="00092BC8" w:rsidP="00092BC8">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092BC8">
        <w:rPr>
          <w:rFonts w:ascii="Times New Roman" w:eastAsia="黑体" w:hAnsi="Times New Roman" w:cs="Times New Roman" w:hint="eastAsia"/>
          <w:sz w:val="28"/>
          <w:szCs w:val="28"/>
        </w:rPr>
        <w:t>五、成绩评定</w:t>
      </w:r>
    </w:p>
    <w:p w14:paraId="076BF396" w14:textId="77777777" w:rsidR="00092BC8" w:rsidRPr="00092BC8" w:rsidRDefault="00092BC8" w:rsidP="00092BC8">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092BC8">
        <w:rPr>
          <w:rFonts w:ascii="Times New Roman" w:eastAsia="黑体" w:hAnsi="Times New Roman" w:cs="Times New Roman"/>
          <w:sz w:val="28"/>
          <w:szCs w:val="28"/>
        </w:rPr>
        <w:t>（一）总成绩评定</w:t>
      </w:r>
    </w:p>
    <w:p w14:paraId="536C75A4"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sz w:val="24"/>
          <w:szCs w:val="24"/>
        </w:rPr>
        <w:t>总成绩=平时成绩×40%+期末成绩×60%</w:t>
      </w:r>
    </w:p>
    <w:p w14:paraId="02E9FE9B" w14:textId="77777777" w:rsidR="00092BC8" w:rsidRPr="00092BC8" w:rsidRDefault="00092BC8" w:rsidP="00092BC8">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092BC8">
        <w:rPr>
          <w:rFonts w:ascii="Times New Roman" w:eastAsia="黑体" w:hAnsi="Times New Roman" w:cs="Times New Roman"/>
          <w:sz w:val="28"/>
          <w:szCs w:val="28"/>
        </w:rPr>
        <w:t>（二）平时成绩评定</w:t>
      </w:r>
    </w:p>
    <w:p w14:paraId="65D9349B"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sz w:val="24"/>
          <w:szCs w:val="24"/>
        </w:rPr>
        <w:t>平时成绩（100%）=课堂表现（25%）+平时作业</w:t>
      </w:r>
      <w:r w:rsidRPr="00092BC8">
        <w:rPr>
          <w:rFonts w:ascii="宋体" w:eastAsia="宋体" w:hAnsi="宋体" w:cs="Times New Roman" w:hint="eastAsia"/>
          <w:sz w:val="24"/>
          <w:szCs w:val="24"/>
        </w:rPr>
        <w:t>及</w:t>
      </w:r>
      <w:r w:rsidRPr="00092BC8">
        <w:rPr>
          <w:rFonts w:ascii="宋体" w:eastAsia="宋体" w:hAnsi="宋体" w:cs="Times New Roman"/>
          <w:sz w:val="24"/>
          <w:szCs w:val="24"/>
        </w:rPr>
        <w:t xml:space="preserve">测试（75%） </w:t>
      </w:r>
    </w:p>
    <w:p w14:paraId="58C41645" w14:textId="77777777" w:rsidR="00092BC8" w:rsidRPr="00092BC8" w:rsidRDefault="00092BC8" w:rsidP="00092BC8">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092BC8">
        <w:rPr>
          <w:rFonts w:ascii="Times New Roman" w:eastAsia="黑体" w:hAnsi="Times New Roman" w:cs="Times New Roman"/>
          <w:sz w:val="28"/>
          <w:szCs w:val="28"/>
        </w:rPr>
        <w:t>（三）期末成绩评定</w:t>
      </w:r>
    </w:p>
    <w:p w14:paraId="75973E7D" w14:textId="77777777" w:rsidR="00092BC8" w:rsidRPr="00092BC8" w:rsidRDefault="00092BC8" w:rsidP="00092BC8">
      <w:pPr>
        <w:spacing w:line="440" w:lineRule="exact"/>
        <w:ind w:firstLineChars="200" w:firstLine="480"/>
        <w:rPr>
          <w:rFonts w:ascii="Times New Roman" w:eastAsia="宋体" w:hAnsi="Times New Roman" w:cs="Times New Roman"/>
          <w:sz w:val="24"/>
          <w:szCs w:val="24"/>
        </w:rPr>
      </w:pPr>
      <w:r w:rsidRPr="00092BC8">
        <w:rPr>
          <w:rFonts w:ascii="Times New Roman" w:eastAsia="宋体" w:hAnsi="Times New Roman" w:cs="Times New Roman"/>
          <w:sz w:val="24"/>
          <w:szCs w:val="24"/>
        </w:rPr>
        <w:t>期末考核主要考</w:t>
      </w:r>
      <w:r w:rsidRPr="00092BC8">
        <w:rPr>
          <w:rFonts w:ascii="Times New Roman" w:eastAsia="宋体" w:hAnsi="Times New Roman" w:cs="Times New Roman" w:hint="eastAsia"/>
          <w:sz w:val="24"/>
          <w:szCs w:val="24"/>
        </w:rPr>
        <w:t>查</w:t>
      </w:r>
      <w:r w:rsidRPr="00092BC8">
        <w:rPr>
          <w:rFonts w:ascii="Times New Roman" w:eastAsia="宋体" w:hAnsi="Times New Roman" w:cs="Times New Roman"/>
          <w:sz w:val="24"/>
          <w:szCs w:val="24"/>
        </w:rPr>
        <w:t>学生对</w:t>
      </w:r>
      <w:r w:rsidRPr="00092BC8">
        <w:rPr>
          <w:rFonts w:ascii="Times New Roman" w:eastAsia="宋体" w:hAnsi="Times New Roman" w:cs="Times New Roman" w:hint="eastAsia"/>
          <w:sz w:val="24"/>
          <w:szCs w:val="24"/>
        </w:rPr>
        <w:t>微分方程、</w:t>
      </w:r>
      <w:r w:rsidRPr="00092BC8">
        <w:rPr>
          <w:rFonts w:ascii="宋体" w:eastAsia="宋体" w:hAnsi="宋体" w:cs="宋体" w:hint="eastAsia"/>
          <w:kern w:val="0"/>
          <w:sz w:val="24"/>
          <w:szCs w:val="24"/>
        </w:rPr>
        <w:t>多元函数微分学、重积分、向量代数与空间解析几何、无穷级数</w:t>
      </w:r>
      <w:r w:rsidRPr="00092BC8">
        <w:rPr>
          <w:rFonts w:ascii="Times New Roman" w:eastAsia="宋体" w:hAnsi="Times New Roman" w:cs="Times New Roman"/>
          <w:sz w:val="24"/>
          <w:szCs w:val="24"/>
        </w:rPr>
        <w:t>的基本概念、基本理论的理解，以及运用这些知识解决</w:t>
      </w:r>
      <w:r w:rsidRPr="00092BC8">
        <w:rPr>
          <w:rFonts w:ascii="Times New Roman" w:eastAsia="宋体" w:hAnsi="Times New Roman" w:cs="Times New Roman" w:hint="eastAsia"/>
          <w:sz w:val="24"/>
          <w:szCs w:val="24"/>
        </w:rPr>
        <w:t>简单</w:t>
      </w:r>
      <w:r w:rsidRPr="00092BC8">
        <w:rPr>
          <w:rFonts w:ascii="Times New Roman" w:eastAsia="宋体" w:hAnsi="Times New Roman" w:cs="Times New Roman"/>
          <w:sz w:val="24"/>
          <w:szCs w:val="24"/>
        </w:rPr>
        <w:t>问题</w:t>
      </w:r>
      <w:r w:rsidRPr="00092BC8">
        <w:rPr>
          <w:rFonts w:ascii="Times New Roman" w:eastAsia="宋体" w:hAnsi="Times New Roman" w:cs="Times New Roman"/>
          <w:sz w:val="24"/>
          <w:szCs w:val="24"/>
        </w:rPr>
        <w:lastRenderedPageBreak/>
        <w:t>的能力等。方式为闭卷考试。要求学生掌握</w:t>
      </w:r>
      <w:r w:rsidRPr="00092BC8">
        <w:rPr>
          <w:rFonts w:ascii="宋体" w:eastAsia="宋体" w:hAnsi="宋体" w:cs="宋体" w:hint="eastAsia"/>
          <w:kern w:val="0"/>
          <w:sz w:val="24"/>
          <w:szCs w:val="24"/>
        </w:rPr>
        <w:t>多元函数微分学、重积分、向量代数与空间解析几何和无穷级数</w:t>
      </w:r>
      <w:r w:rsidRPr="00092BC8">
        <w:rPr>
          <w:rFonts w:ascii="Times New Roman" w:eastAsia="宋体" w:hAnsi="Times New Roman" w:cs="Times New Roman"/>
          <w:sz w:val="24"/>
          <w:szCs w:val="24"/>
        </w:rPr>
        <w:t>的基本概念</w:t>
      </w:r>
      <w:r w:rsidRPr="00092BC8">
        <w:rPr>
          <w:rFonts w:ascii="Times New Roman" w:eastAsia="宋体" w:hAnsi="Times New Roman" w:cs="Times New Roman" w:hint="eastAsia"/>
          <w:sz w:val="24"/>
          <w:szCs w:val="24"/>
        </w:rPr>
        <w:t>、基本理论</w:t>
      </w:r>
      <w:r w:rsidRPr="00092BC8">
        <w:rPr>
          <w:rFonts w:ascii="宋体" w:eastAsia="宋体" w:hAnsi="宋体" w:cs="Times New Roman" w:hint="eastAsia"/>
          <w:sz w:val="24"/>
          <w:szCs w:val="24"/>
        </w:rPr>
        <w:t>以及</w:t>
      </w:r>
      <w:r w:rsidRPr="00092BC8">
        <w:rPr>
          <w:rFonts w:ascii="宋体" w:eastAsia="宋体" w:hAnsi="宋体" w:cs="Times New Roman"/>
          <w:sz w:val="24"/>
          <w:szCs w:val="24"/>
        </w:rPr>
        <w:t>基本的计算方法</w:t>
      </w:r>
      <w:r w:rsidRPr="00092BC8">
        <w:rPr>
          <w:rFonts w:ascii="Times New Roman" w:eastAsia="宋体" w:hAnsi="Times New Roman" w:cs="Times New Roman"/>
          <w:sz w:val="24"/>
          <w:szCs w:val="24"/>
        </w:rPr>
        <w:t>，能运用所学知识解决</w:t>
      </w:r>
      <w:r w:rsidRPr="00092BC8">
        <w:rPr>
          <w:rFonts w:ascii="Times New Roman" w:eastAsia="宋体" w:hAnsi="Times New Roman" w:cs="Times New Roman" w:hint="eastAsia"/>
          <w:sz w:val="24"/>
          <w:szCs w:val="24"/>
        </w:rPr>
        <w:t>简单的</w:t>
      </w:r>
      <w:r w:rsidRPr="00092BC8">
        <w:rPr>
          <w:rFonts w:ascii="Times New Roman" w:eastAsia="宋体" w:hAnsi="Times New Roman" w:cs="Times New Roman"/>
          <w:sz w:val="24"/>
          <w:szCs w:val="24"/>
        </w:rPr>
        <w:t>相关问题。</w:t>
      </w:r>
    </w:p>
    <w:p w14:paraId="4645310E" w14:textId="77777777" w:rsidR="00092BC8" w:rsidRPr="00092BC8" w:rsidRDefault="00092BC8" w:rsidP="00092BC8">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092BC8">
        <w:rPr>
          <w:rFonts w:ascii="Times New Roman" w:eastAsia="黑体" w:hAnsi="Times New Roman" w:cs="Times New Roman" w:hint="eastAsia"/>
          <w:sz w:val="28"/>
          <w:szCs w:val="28"/>
        </w:rPr>
        <w:t>六、推荐教材、相关推荐书目及课程资源</w:t>
      </w:r>
    </w:p>
    <w:p w14:paraId="6777B270" w14:textId="77777777" w:rsidR="00092BC8" w:rsidRPr="00092BC8" w:rsidRDefault="00092BC8" w:rsidP="00092BC8">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092BC8">
        <w:rPr>
          <w:rFonts w:ascii="Times New Roman" w:eastAsia="黑体" w:hAnsi="Times New Roman" w:cs="Times New Roman" w:hint="eastAsia"/>
          <w:sz w:val="28"/>
          <w:szCs w:val="28"/>
        </w:rPr>
        <w:t>（一）推荐教材</w:t>
      </w:r>
    </w:p>
    <w:p w14:paraId="7605500C" w14:textId="77777777" w:rsidR="00092BC8" w:rsidRPr="00092BC8" w:rsidRDefault="00092BC8" w:rsidP="00092BC8">
      <w:pPr>
        <w:spacing w:line="440" w:lineRule="exact"/>
        <w:ind w:firstLineChars="200" w:firstLine="480"/>
        <w:rPr>
          <w:rFonts w:ascii="宋体" w:eastAsia="宋体" w:hAnsi="宋体" w:cs="Times New Roman"/>
          <w:color w:val="000000"/>
          <w:sz w:val="24"/>
          <w:szCs w:val="24"/>
        </w:rPr>
      </w:pPr>
      <w:r w:rsidRPr="00092BC8">
        <w:rPr>
          <w:rFonts w:ascii="宋体" w:eastAsia="宋体" w:hAnsi="宋体" w:cs="Times New Roman" w:hint="eastAsia"/>
          <w:color w:val="000000"/>
          <w:sz w:val="24"/>
          <w:szCs w:val="24"/>
        </w:rPr>
        <w:t>同济大学数学系编</w:t>
      </w:r>
      <w:r w:rsidRPr="00092BC8">
        <w:rPr>
          <w:rFonts w:ascii="宋体" w:eastAsia="宋体" w:hAnsi="宋体" w:cs="Times New Roman" w:hint="eastAsia"/>
          <w:sz w:val="24"/>
          <w:szCs w:val="24"/>
        </w:rPr>
        <w:t>：</w:t>
      </w:r>
      <w:r w:rsidRPr="00092BC8">
        <w:rPr>
          <w:rFonts w:ascii="宋体" w:eastAsia="宋体" w:hAnsi="宋体" w:cs="Times New Roman" w:hint="eastAsia"/>
          <w:color w:val="000000"/>
          <w:sz w:val="24"/>
          <w:szCs w:val="24"/>
        </w:rPr>
        <w:t>《高等数学（本科</w:t>
      </w:r>
      <w:r w:rsidRPr="00092BC8">
        <w:rPr>
          <w:rFonts w:ascii="宋体" w:eastAsia="宋体" w:hAnsi="宋体" w:cs="Times New Roman"/>
          <w:color w:val="000000"/>
          <w:sz w:val="24"/>
          <w:szCs w:val="24"/>
        </w:rPr>
        <w:t>少学时类型</w:t>
      </w:r>
      <w:r w:rsidRPr="00092BC8">
        <w:rPr>
          <w:rFonts w:ascii="宋体" w:eastAsia="宋体" w:hAnsi="宋体" w:cs="Times New Roman" w:hint="eastAsia"/>
          <w:color w:val="000000"/>
          <w:sz w:val="24"/>
          <w:szCs w:val="24"/>
        </w:rPr>
        <w:t>）》（</w:t>
      </w:r>
      <w:r w:rsidRPr="00092BC8">
        <w:rPr>
          <w:rFonts w:ascii="宋体" w:eastAsia="宋体" w:hAnsi="宋体" w:cs="Times New Roman"/>
          <w:color w:val="000000"/>
          <w:sz w:val="24"/>
          <w:szCs w:val="24"/>
        </w:rPr>
        <w:t>第</w:t>
      </w:r>
      <w:r w:rsidRPr="00092BC8">
        <w:rPr>
          <w:rFonts w:ascii="宋体" w:eastAsia="宋体" w:hAnsi="宋体" w:cs="Times New Roman" w:hint="eastAsia"/>
          <w:color w:val="000000"/>
          <w:sz w:val="24"/>
          <w:szCs w:val="24"/>
        </w:rPr>
        <w:t>四</w:t>
      </w:r>
      <w:r w:rsidRPr="00092BC8">
        <w:rPr>
          <w:rFonts w:ascii="宋体" w:eastAsia="宋体" w:hAnsi="宋体" w:cs="Times New Roman"/>
          <w:color w:val="000000"/>
          <w:sz w:val="24"/>
          <w:szCs w:val="24"/>
        </w:rPr>
        <w:t>版</w:t>
      </w:r>
      <w:r w:rsidRPr="00092BC8">
        <w:rPr>
          <w:rFonts w:ascii="宋体" w:eastAsia="宋体" w:hAnsi="宋体" w:cs="Times New Roman" w:hint="eastAsia"/>
          <w:color w:val="000000"/>
          <w:sz w:val="24"/>
          <w:szCs w:val="24"/>
        </w:rPr>
        <w:t>）</w:t>
      </w:r>
      <w:r w:rsidRPr="00092BC8">
        <w:rPr>
          <w:rFonts w:ascii="宋体" w:eastAsia="宋体" w:hAnsi="宋体" w:cs="Times New Roman"/>
          <w:color w:val="000000"/>
          <w:sz w:val="24"/>
          <w:szCs w:val="24"/>
        </w:rPr>
        <w:t>，</w:t>
      </w:r>
      <w:r w:rsidRPr="00092BC8">
        <w:rPr>
          <w:rFonts w:ascii="宋体" w:eastAsia="宋体" w:hAnsi="宋体" w:cs="Times New Roman" w:hint="eastAsia"/>
          <w:color w:val="000000"/>
          <w:sz w:val="24"/>
          <w:szCs w:val="24"/>
        </w:rPr>
        <w:t>高等教育</w:t>
      </w:r>
      <w:r w:rsidRPr="00092BC8">
        <w:rPr>
          <w:rFonts w:ascii="宋体" w:eastAsia="宋体" w:hAnsi="宋体" w:cs="Times New Roman"/>
          <w:color w:val="000000"/>
          <w:sz w:val="24"/>
          <w:szCs w:val="24"/>
        </w:rPr>
        <w:t>出版社，</w:t>
      </w:r>
      <w:r w:rsidRPr="00092BC8">
        <w:rPr>
          <w:rFonts w:ascii="宋体" w:eastAsia="宋体" w:hAnsi="宋体" w:cs="Times New Roman" w:hint="eastAsia"/>
          <w:color w:val="000000"/>
          <w:sz w:val="24"/>
          <w:szCs w:val="24"/>
        </w:rPr>
        <w:t>2015年。</w:t>
      </w:r>
    </w:p>
    <w:p w14:paraId="44DCC2A3" w14:textId="77777777" w:rsidR="00092BC8" w:rsidRPr="00092BC8" w:rsidRDefault="00092BC8" w:rsidP="00092BC8">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092BC8">
        <w:rPr>
          <w:rFonts w:ascii="Times New Roman" w:eastAsia="黑体" w:hAnsi="Times New Roman" w:cs="Times New Roman" w:hint="eastAsia"/>
          <w:sz w:val="28"/>
          <w:szCs w:val="28"/>
        </w:rPr>
        <w:t>（二）相关推荐书目</w:t>
      </w:r>
    </w:p>
    <w:p w14:paraId="6423BECE"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1</w:t>
      </w:r>
      <w:r w:rsidRPr="00092BC8">
        <w:rPr>
          <w:rFonts w:ascii="宋体" w:eastAsia="宋体" w:hAnsi="宋体" w:cs="Times New Roman"/>
          <w:sz w:val="24"/>
          <w:szCs w:val="24"/>
        </w:rPr>
        <w:t>.</w:t>
      </w:r>
      <w:r w:rsidRPr="00092BC8">
        <w:rPr>
          <w:rFonts w:ascii="宋体" w:eastAsia="宋体" w:hAnsi="宋体" w:cs="宋体" w:hint="eastAsia"/>
          <w:sz w:val="24"/>
          <w:szCs w:val="24"/>
        </w:rPr>
        <w:t xml:space="preserve"> </w:t>
      </w:r>
      <w:r w:rsidRPr="00092BC8">
        <w:rPr>
          <w:rFonts w:ascii="宋体" w:eastAsia="宋体" w:hAnsi="宋体" w:cs="Times New Roman" w:hint="eastAsia"/>
          <w:color w:val="000000"/>
          <w:sz w:val="24"/>
          <w:szCs w:val="24"/>
        </w:rPr>
        <w:t>同济大学数学系编</w:t>
      </w:r>
      <w:r w:rsidRPr="00092BC8">
        <w:rPr>
          <w:rFonts w:ascii="宋体" w:eastAsia="宋体" w:hAnsi="宋体" w:cs="Times New Roman" w:hint="eastAsia"/>
          <w:sz w:val="24"/>
          <w:szCs w:val="24"/>
        </w:rPr>
        <w:t>：</w:t>
      </w:r>
      <w:r w:rsidRPr="00092BC8">
        <w:rPr>
          <w:rFonts w:ascii="宋体" w:eastAsia="宋体" w:hAnsi="宋体" w:cs="Times New Roman" w:hint="eastAsia"/>
          <w:color w:val="000000"/>
          <w:sz w:val="24"/>
          <w:szCs w:val="24"/>
        </w:rPr>
        <w:t>《高等数学》（</w:t>
      </w:r>
      <w:r w:rsidRPr="00092BC8">
        <w:rPr>
          <w:rFonts w:ascii="宋体" w:eastAsia="宋体" w:hAnsi="宋体" w:cs="Times New Roman"/>
          <w:color w:val="000000"/>
          <w:sz w:val="24"/>
          <w:szCs w:val="24"/>
        </w:rPr>
        <w:t>第</w:t>
      </w:r>
      <w:r w:rsidRPr="00092BC8">
        <w:rPr>
          <w:rFonts w:ascii="宋体" w:eastAsia="宋体" w:hAnsi="宋体" w:cs="Times New Roman" w:hint="eastAsia"/>
          <w:color w:val="000000"/>
          <w:sz w:val="24"/>
          <w:szCs w:val="24"/>
        </w:rPr>
        <w:t>七</w:t>
      </w:r>
      <w:r w:rsidRPr="00092BC8">
        <w:rPr>
          <w:rFonts w:ascii="宋体" w:eastAsia="宋体" w:hAnsi="宋体" w:cs="Times New Roman"/>
          <w:color w:val="000000"/>
          <w:sz w:val="24"/>
          <w:szCs w:val="24"/>
        </w:rPr>
        <w:t>版</w:t>
      </w:r>
      <w:r w:rsidRPr="00092BC8">
        <w:rPr>
          <w:rFonts w:ascii="宋体" w:eastAsia="宋体" w:hAnsi="宋体" w:cs="Times New Roman" w:hint="eastAsia"/>
          <w:color w:val="000000"/>
          <w:sz w:val="24"/>
          <w:szCs w:val="24"/>
        </w:rPr>
        <w:t>）</w:t>
      </w:r>
      <w:r w:rsidRPr="00092BC8">
        <w:rPr>
          <w:rFonts w:ascii="宋体" w:eastAsia="宋体" w:hAnsi="宋体" w:cs="Times New Roman"/>
          <w:color w:val="000000"/>
          <w:sz w:val="24"/>
          <w:szCs w:val="24"/>
        </w:rPr>
        <w:t>，</w:t>
      </w:r>
      <w:r w:rsidRPr="00092BC8">
        <w:rPr>
          <w:rFonts w:ascii="宋体" w:eastAsia="宋体" w:hAnsi="宋体" w:cs="Times New Roman" w:hint="eastAsia"/>
          <w:color w:val="000000"/>
          <w:sz w:val="24"/>
          <w:szCs w:val="24"/>
        </w:rPr>
        <w:t>高等教育</w:t>
      </w:r>
      <w:r w:rsidRPr="00092BC8">
        <w:rPr>
          <w:rFonts w:ascii="宋体" w:eastAsia="宋体" w:hAnsi="宋体" w:cs="Times New Roman"/>
          <w:color w:val="000000"/>
          <w:sz w:val="24"/>
          <w:szCs w:val="24"/>
        </w:rPr>
        <w:t>出版社，</w:t>
      </w:r>
      <w:r w:rsidRPr="00092BC8">
        <w:rPr>
          <w:rFonts w:ascii="宋体" w:eastAsia="宋体" w:hAnsi="宋体" w:cs="Times New Roman" w:hint="eastAsia"/>
          <w:color w:val="000000"/>
          <w:sz w:val="24"/>
          <w:szCs w:val="24"/>
        </w:rPr>
        <w:t>2014年</w:t>
      </w:r>
      <w:r w:rsidRPr="00092BC8">
        <w:rPr>
          <w:rFonts w:ascii="宋体" w:eastAsia="宋体" w:hAnsi="宋体" w:cs="宋体" w:hint="eastAsia"/>
          <w:sz w:val="24"/>
          <w:szCs w:val="24"/>
        </w:rPr>
        <w:t>；</w:t>
      </w:r>
      <w:r w:rsidRPr="00092BC8">
        <w:rPr>
          <w:rFonts w:ascii="宋体" w:eastAsia="宋体" w:hAnsi="宋体" w:cs="Times New Roman"/>
          <w:sz w:val="24"/>
          <w:szCs w:val="24"/>
        </w:rPr>
        <w:t xml:space="preserve"> </w:t>
      </w:r>
    </w:p>
    <w:p w14:paraId="4A5BCBA3"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2</w:t>
      </w:r>
      <w:r w:rsidRPr="00092BC8">
        <w:rPr>
          <w:rFonts w:ascii="宋体" w:eastAsia="宋体" w:hAnsi="宋体" w:cs="Times New Roman"/>
          <w:sz w:val="24"/>
          <w:szCs w:val="24"/>
        </w:rPr>
        <w:t xml:space="preserve">. </w:t>
      </w:r>
      <w:r w:rsidRPr="00092BC8">
        <w:rPr>
          <w:rFonts w:ascii="宋体" w:eastAsia="宋体" w:hAnsi="宋体" w:cs="Times New Roman" w:hint="eastAsia"/>
          <w:sz w:val="24"/>
          <w:szCs w:val="24"/>
        </w:rPr>
        <w:t>华东师范大学数学系编：《数学分析》（第四版），高等教育出版社，2010年；</w:t>
      </w:r>
    </w:p>
    <w:p w14:paraId="3EA00E26"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3</w:t>
      </w:r>
      <w:r w:rsidRPr="00092BC8">
        <w:rPr>
          <w:rFonts w:ascii="宋体" w:eastAsia="宋体" w:hAnsi="宋体" w:cs="Times New Roman"/>
          <w:sz w:val="24"/>
          <w:szCs w:val="24"/>
        </w:rPr>
        <w:t xml:space="preserve">. </w:t>
      </w:r>
      <w:r w:rsidRPr="00092BC8">
        <w:rPr>
          <w:rFonts w:ascii="宋体" w:eastAsia="宋体" w:hAnsi="宋体" w:cs="Times New Roman" w:hint="eastAsia"/>
          <w:sz w:val="24"/>
          <w:szCs w:val="24"/>
        </w:rPr>
        <w:t>同济大学数学系编：</w:t>
      </w:r>
      <w:r w:rsidRPr="00092BC8">
        <w:rPr>
          <w:rFonts w:ascii="宋体" w:eastAsia="宋体" w:hAnsi="宋体" w:cs="Times New Roman"/>
          <w:sz w:val="24"/>
          <w:szCs w:val="24"/>
        </w:rPr>
        <w:t>《</w:t>
      </w:r>
      <w:r w:rsidRPr="00092BC8">
        <w:rPr>
          <w:rFonts w:ascii="宋体" w:eastAsia="宋体" w:hAnsi="宋体" w:cs="Times New Roman" w:hint="eastAsia"/>
          <w:sz w:val="24"/>
          <w:szCs w:val="24"/>
        </w:rPr>
        <w:t>高等数学习题全解指南</w:t>
      </w:r>
      <w:r w:rsidRPr="00092BC8">
        <w:rPr>
          <w:rFonts w:ascii="宋体" w:eastAsia="宋体" w:hAnsi="宋体" w:cs="Times New Roman"/>
          <w:sz w:val="24"/>
          <w:szCs w:val="24"/>
        </w:rPr>
        <w:t>》</w:t>
      </w:r>
      <w:r w:rsidRPr="00092BC8">
        <w:rPr>
          <w:rFonts w:ascii="宋体" w:eastAsia="宋体" w:hAnsi="宋体" w:cs="Times New Roman" w:hint="eastAsia"/>
          <w:sz w:val="24"/>
          <w:szCs w:val="24"/>
        </w:rPr>
        <w:t>，高等教育出版社，2014年；</w:t>
      </w:r>
    </w:p>
    <w:p w14:paraId="1D4B8ACB"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4. 李永乐，王式安，季文铎编：《数学历年真题权威解析》，西安交通大学出版社，2016年；</w:t>
      </w:r>
    </w:p>
    <w:p w14:paraId="7618500E"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5</w:t>
      </w:r>
      <w:r w:rsidRPr="00092BC8">
        <w:rPr>
          <w:rFonts w:ascii="宋体" w:eastAsia="宋体" w:hAnsi="宋体" w:cs="Times New Roman"/>
          <w:sz w:val="24"/>
          <w:szCs w:val="24"/>
        </w:rPr>
        <w:t xml:space="preserve">. </w:t>
      </w:r>
      <w:r w:rsidRPr="00092BC8">
        <w:rPr>
          <w:rFonts w:ascii="宋体" w:eastAsia="宋体" w:hAnsi="宋体" w:cs="Times New Roman" w:hint="eastAsia"/>
          <w:sz w:val="24"/>
          <w:szCs w:val="24"/>
        </w:rPr>
        <w:t>张宇主编：《张宇高等数学18讲》，高等教育出版社，2019年。</w:t>
      </w:r>
    </w:p>
    <w:p w14:paraId="1DC41FC6" w14:textId="77777777" w:rsidR="00092BC8" w:rsidRPr="00092BC8" w:rsidRDefault="00092BC8" w:rsidP="00092BC8">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092BC8">
        <w:rPr>
          <w:rFonts w:ascii="Times New Roman" w:eastAsia="黑体" w:hAnsi="Times New Roman" w:cs="Times New Roman" w:hint="eastAsia"/>
          <w:sz w:val="28"/>
          <w:szCs w:val="28"/>
        </w:rPr>
        <w:t>（三）课程资源</w:t>
      </w:r>
    </w:p>
    <w:p w14:paraId="0803BDFC"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sz w:val="24"/>
          <w:szCs w:val="24"/>
        </w:rPr>
        <w:t>1. 本课程的学习资源包括教材、图书馆相关书籍、网络平台相关资料等；</w:t>
      </w:r>
    </w:p>
    <w:p w14:paraId="129C11DD" w14:textId="77777777" w:rsidR="00092BC8" w:rsidRPr="00092BC8" w:rsidRDefault="00092BC8" w:rsidP="00092BC8">
      <w:pPr>
        <w:spacing w:line="440" w:lineRule="exact"/>
        <w:ind w:firstLineChars="200" w:firstLine="480"/>
        <w:rPr>
          <w:rFonts w:ascii="宋体" w:eastAsia="宋体" w:hAnsi="宋体" w:cs="宋体"/>
          <w:sz w:val="24"/>
          <w:szCs w:val="24"/>
        </w:rPr>
      </w:pPr>
      <w:r w:rsidRPr="00092BC8">
        <w:rPr>
          <w:rFonts w:ascii="宋体" w:eastAsia="宋体" w:hAnsi="宋体" w:cs="Times New Roman"/>
          <w:sz w:val="24"/>
          <w:szCs w:val="24"/>
        </w:rPr>
        <w:t xml:space="preserve">2. </w:t>
      </w:r>
      <w:r w:rsidRPr="00092BC8">
        <w:rPr>
          <w:rFonts w:ascii="宋体" w:eastAsia="宋体" w:hAnsi="宋体" w:cs="宋体" w:hint="eastAsia"/>
          <w:sz w:val="24"/>
          <w:szCs w:val="24"/>
        </w:rPr>
        <w:t>学生可以通过</w:t>
      </w:r>
      <w:proofErr w:type="gramStart"/>
      <w:r w:rsidRPr="00092BC8">
        <w:rPr>
          <w:rFonts w:ascii="宋体" w:eastAsia="宋体" w:hAnsi="宋体" w:cs="宋体" w:hint="eastAsia"/>
          <w:sz w:val="24"/>
          <w:szCs w:val="24"/>
        </w:rPr>
        <w:t>微信公众号</w:t>
      </w:r>
      <w:proofErr w:type="gramEnd"/>
      <w:r w:rsidRPr="00092BC8">
        <w:rPr>
          <w:rFonts w:ascii="宋体" w:eastAsia="宋体" w:hAnsi="宋体" w:cs="宋体" w:hint="eastAsia"/>
          <w:sz w:val="24"/>
          <w:szCs w:val="24"/>
        </w:rPr>
        <w:t>：高数叔，进行自主学习；</w:t>
      </w:r>
    </w:p>
    <w:p w14:paraId="0866104C" w14:textId="77777777" w:rsidR="00092BC8" w:rsidRPr="00092BC8" w:rsidRDefault="00092BC8" w:rsidP="00092BC8">
      <w:pPr>
        <w:spacing w:line="440" w:lineRule="exact"/>
        <w:ind w:firstLineChars="200" w:firstLine="480"/>
        <w:rPr>
          <w:rFonts w:ascii="宋体" w:eastAsia="宋体" w:hAnsi="宋体" w:cs="宋体"/>
          <w:sz w:val="24"/>
          <w:szCs w:val="24"/>
        </w:rPr>
      </w:pPr>
      <w:r w:rsidRPr="00092BC8">
        <w:rPr>
          <w:rFonts w:ascii="宋体" w:eastAsia="宋体" w:hAnsi="宋体" w:cs="宋体" w:hint="eastAsia"/>
          <w:sz w:val="24"/>
          <w:szCs w:val="24"/>
        </w:rPr>
        <w:t>3. 学生可以通过中国</w:t>
      </w:r>
      <w:proofErr w:type="gramStart"/>
      <w:r w:rsidRPr="00092BC8">
        <w:rPr>
          <w:rFonts w:ascii="宋体" w:eastAsia="宋体" w:hAnsi="宋体" w:cs="宋体" w:hint="eastAsia"/>
          <w:sz w:val="24"/>
          <w:szCs w:val="24"/>
        </w:rPr>
        <w:t>大学慕课自主学习</w:t>
      </w:r>
      <w:proofErr w:type="gramEnd"/>
      <w:r w:rsidRPr="00092BC8">
        <w:rPr>
          <w:rFonts w:ascii="宋体" w:eastAsia="宋体" w:hAnsi="宋体" w:cs="宋体" w:hint="eastAsia"/>
          <w:sz w:val="24"/>
          <w:szCs w:val="24"/>
        </w:rPr>
        <w:t>。</w:t>
      </w:r>
    </w:p>
    <w:p w14:paraId="4E8BF240" w14:textId="77777777" w:rsidR="00092BC8" w:rsidRPr="00092BC8" w:rsidRDefault="00092BC8" w:rsidP="00092BC8">
      <w:pPr>
        <w:spacing w:beforeLines="50" w:before="156" w:afterLines="50" w:after="156" w:line="440" w:lineRule="exact"/>
        <w:ind w:firstLineChars="100" w:firstLine="280"/>
        <w:outlineLvl w:val="1"/>
        <w:rPr>
          <w:rFonts w:ascii="Times New Roman" w:eastAsia="黑体" w:hAnsi="Times New Roman" w:cs="Times New Roman"/>
          <w:sz w:val="28"/>
          <w:szCs w:val="28"/>
        </w:rPr>
      </w:pPr>
      <w:r w:rsidRPr="00092BC8">
        <w:rPr>
          <w:rFonts w:ascii="Times New Roman" w:eastAsia="黑体" w:hAnsi="Times New Roman" w:cs="Times New Roman" w:hint="eastAsia"/>
          <w:sz w:val="28"/>
          <w:szCs w:val="28"/>
        </w:rPr>
        <w:t>七、课程大纲制定依据</w:t>
      </w:r>
    </w:p>
    <w:p w14:paraId="69D95564" w14:textId="77777777" w:rsidR="00092BC8" w:rsidRPr="00092BC8" w:rsidRDefault="00092BC8" w:rsidP="00092BC8">
      <w:pPr>
        <w:spacing w:line="440" w:lineRule="exact"/>
        <w:ind w:firstLineChars="200" w:firstLine="480"/>
        <w:rPr>
          <w:rFonts w:ascii="宋体" w:eastAsia="宋体" w:hAnsi="宋体" w:cs="Times New Roman"/>
          <w:sz w:val="24"/>
          <w:szCs w:val="24"/>
        </w:rPr>
      </w:pPr>
      <w:r w:rsidRPr="00092BC8">
        <w:rPr>
          <w:rFonts w:ascii="宋体" w:eastAsia="宋体" w:hAnsi="宋体" w:cs="Times New Roman" w:hint="eastAsia"/>
          <w:sz w:val="24"/>
          <w:szCs w:val="24"/>
        </w:rPr>
        <w:t>本课程大纲依据2</w:t>
      </w:r>
      <w:r w:rsidRPr="00092BC8">
        <w:rPr>
          <w:rFonts w:ascii="宋体" w:eastAsia="宋体" w:hAnsi="宋体" w:cs="Times New Roman"/>
          <w:sz w:val="24"/>
          <w:szCs w:val="24"/>
        </w:rPr>
        <w:t>02</w:t>
      </w:r>
      <w:r w:rsidRPr="00092BC8">
        <w:rPr>
          <w:rFonts w:ascii="宋体" w:eastAsia="宋体" w:hAnsi="宋体" w:cs="Times New Roman" w:hint="eastAsia"/>
          <w:sz w:val="24"/>
          <w:szCs w:val="24"/>
        </w:rPr>
        <w:t>3年药物分析专业人才培养方案制定。</w:t>
      </w:r>
    </w:p>
    <w:p w14:paraId="51ADDCDB" w14:textId="77777777" w:rsidR="00AB7A5F" w:rsidRDefault="00AB7A5F" w:rsidP="00092BC8"/>
    <w:p w14:paraId="15FE9D3F" w14:textId="77777777" w:rsidR="00092BC8" w:rsidRDefault="00092BC8" w:rsidP="00092BC8"/>
    <w:p w14:paraId="63E32BA3" w14:textId="77777777" w:rsidR="00DB6C82" w:rsidRDefault="00DB6C82" w:rsidP="00092BC8"/>
    <w:p w14:paraId="1D0DFD6F" w14:textId="77777777" w:rsidR="00DB6C82" w:rsidRDefault="00DB6C82" w:rsidP="00092BC8"/>
    <w:p w14:paraId="3CC05069" w14:textId="77777777" w:rsidR="00616035" w:rsidRDefault="00616035" w:rsidP="00092BC8"/>
    <w:p w14:paraId="38D991C1" w14:textId="77777777" w:rsidR="00616035" w:rsidRDefault="00616035" w:rsidP="00092BC8"/>
    <w:p w14:paraId="0DB96924" w14:textId="77777777" w:rsidR="00616035" w:rsidRDefault="00616035" w:rsidP="00092BC8"/>
    <w:p w14:paraId="1D033D42" w14:textId="77777777" w:rsidR="00616035" w:rsidRDefault="00616035" w:rsidP="00092BC8"/>
    <w:p w14:paraId="2051C2C7" w14:textId="77777777" w:rsidR="00616035" w:rsidRDefault="00616035" w:rsidP="00092BC8"/>
    <w:p w14:paraId="7BAA0FCD" w14:textId="77777777" w:rsidR="00616035" w:rsidRDefault="00616035" w:rsidP="00092BC8"/>
    <w:p w14:paraId="37F39CF0" w14:textId="77777777" w:rsidR="00CF25BA" w:rsidRPr="00CF25BA" w:rsidRDefault="00CF25BA" w:rsidP="00CF25BA">
      <w:pPr>
        <w:pStyle w:val="1"/>
      </w:pPr>
      <w:bookmarkStart w:id="155" w:name="_Toc149662356"/>
      <w:r w:rsidRPr="00CF25BA">
        <w:rPr>
          <w:rFonts w:hint="eastAsia"/>
        </w:rPr>
        <w:lastRenderedPageBreak/>
        <w:t>《</w:t>
      </w:r>
      <w:r w:rsidRPr="00CF25BA">
        <w:rPr>
          <w:rFonts w:cs="黑体" w:hint="eastAsia"/>
        </w:rPr>
        <w:t>大学物理</w:t>
      </w:r>
      <w:r w:rsidRPr="00CF25BA">
        <w:rPr>
          <w:rFonts w:cs="黑体" w:hint="eastAsia"/>
        </w:rPr>
        <w:t>B</w:t>
      </w:r>
      <w:r w:rsidRPr="00CF25BA">
        <w:rPr>
          <w:rFonts w:hint="eastAsia"/>
        </w:rPr>
        <w:t>》课程大纲</w:t>
      </w:r>
      <w:bookmarkEnd w:id="155"/>
    </w:p>
    <w:p w14:paraId="17D88772" w14:textId="77777777" w:rsidR="00CF25BA" w:rsidRPr="00CF25BA" w:rsidRDefault="00CF25BA" w:rsidP="00CF25BA">
      <w:pPr>
        <w:spacing w:beforeLines="50" w:before="156" w:afterLines="50" w:after="156" w:line="440" w:lineRule="exact"/>
        <w:ind w:firstLineChars="200" w:firstLine="560"/>
        <w:rPr>
          <w:rFonts w:ascii="黑体" w:eastAsia="黑体" w:hAnsi="黑体" w:cs="Times New Roman"/>
          <w:sz w:val="28"/>
          <w:szCs w:val="28"/>
        </w:rPr>
      </w:pPr>
      <w:r w:rsidRPr="00CF25B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3"/>
        <w:gridCol w:w="2745"/>
        <w:gridCol w:w="1520"/>
        <w:gridCol w:w="2889"/>
      </w:tblGrid>
      <w:tr w:rsidR="00CF25BA" w:rsidRPr="00CF25BA" w14:paraId="7DE12C7A" w14:textId="77777777" w:rsidTr="0002055D">
        <w:trPr>
          <w:trHeight w:val="886"/>
          <w:jc w:val="center"/>
        </w:trPr>
        <w:tc>
          <w:tcPr>
            <w:tcW w:w="1668" w:type="dxa"/>
            <w:vAlign w:val="center"/>
          </w:tcPr>
          <w:p w14:paraId="68D0D53D"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课程名称</w:t>
            </w:r>
          </w:p>
        </w:tc>
        <w:tc>
          <w:tcPr>
            <w:tcW w:w="2833" w:type="dxa"/>
            <w:vAlign w:val="center"/>
          </w:tcPr>
          <w:p w14:paraId="2E91612C"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宋体" w:hint="eastAsia"/>
                <w:sz w:val="24"/>
                <w:szCs w:val="24"/>
              </w:rPr>
              <w:t>大学物理B</w:t>
            </w:r>
          </w:p>
        </w:tc>
        <w:tc>
          <w:tcPr>
            <w:tcW w:w="1561" w:type="dxa"/>
            <w:vAlign w:val="center"/>
          </w:tcPr>
          <w:p w14:paraId="1A49B0ED"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课程代码</w:t>
            </w:r>
          </w:p>
        </w:tc>
        <w:tc>
          <w:tcPr>
            <w:tcW w:w="2941" w:type="dxa"/>
            <w:vAlign w:val="center"/>
          </w:tcPr>
          <w:p w14:paraId="181522B5"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0600007</w:t>
            </w:r>
          </w:p>
        </w:tc>
      </w:tr>
      <w:tr w:rsidR="00CF25BA" w:rsidRPr="00CF25BA" w14:paraId="22211D9D" w14:textId="77777777" w:rsidTr="0002055D">
        <w:trPr>
          <w:trHeight w:val="829"/>
          <w:jc w:val="center"/>
        </w:trPr>
        <w:tc>
          <w:tcPr>
            <w:tcW w:w="1668" w:type="dxa"/>
            <w:vAlign w:val="center"/>
          </w:tcPr>
          <w:p w14:paraId="42744366"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课程类别</w:t>
            </w:r>
          </w:p>
        </w:tc>
        <w:tc>
          <w:tcPr>
            <w:tcW w:w="2833" w:type="dxa"/>
            <w:vAlign w:val="center"/>
          </w:tcPr>
          <w:p w14:paraId="014A7C4C"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宋体" w:hint="eastAsia"/>
                <w:kern w:val="0"/>
                <w:sz w:val="24"/>
                <w:szCs w:val="24"/>
              </w:rPr>
              <w:t>专业教育基础课程</w:t>
            </w:r>
          </w:p>
        </w:tc>
        <w:tc>
          <w:tcPr>
            <w:tcW w:w="1561" w:type="dxa"/>
            <w:vAlign w:val="center"/>
          </w:tcPr>
          <w:p w14:paraId="218F13BA"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学时</w:t>
            </w:r>
          </w:p>
          <w:p w14:paraId="08F48F2E"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/学分</w:t>
            </w:r>
          </w:p>
        </w:tc>
        <w:tc>
          <w:tcPr>
            <w:tcW w:w="2941" w:type="dxa"/>
            <w:vAlign w:val="center"/>
          </w:tcPr>
          <w:p w14:paraId="29259711"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72(56+16)/4</w:t>
            </w:r>
          </w:p>
        </w:tc>
      </w:tr>
      <w:tr w:rsidR="00CF25BA" w:rsidRPr="00CF25BA" w14:paraId="1B473767" w14:textId="77777777" w:rsidTr="0002055D">
        <w:trPr>
          <w:trHeight w:val="811"/>
          <w:jc w:val="center"/>
        </w:trPr>
        <w:tc>
          <w:tcPr>
            <w:tcW w:w="1668" w:type="dxa"/>
            <w:vAlign w:val="center"/>
          </w:tcPr>
          <w:p w14:paraId="6B79D53B"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开课单位</w:t>
            </w:r>
          </w:p>
        </w:tc>
        <w:tc>
          <w:tcPr>
            <w:tcW w:w="2833" w:type="dxa"/>
            <w:vAlign w:val="center"/>
          </w:tcPr>
          <w:p w14:paraId="3BF61BAD"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理学院</w:t>
            </w:r>
          </w:p>
        </w:tc>
        <w:tc>
          <w:tcPr>
            <w:tcW w:w="1561" w:type="dxa"/>
            <w:vAlign w:val="center"/>
          </w:tcPr>
          <w:p w14:paraId="6B9098FB"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适用专业</w:t>
            </w:r>
          </w:p>
        </w:tc>
        <w:tc>
          <w:tcPr>
            <w:tcW w:w="2941" w:type="dxa"/>
            <w:vAlign w:val="center"/>
          </w:tcPr>
          <w:p w14:paraId="2549CCEC" w14:textId="77777777" w:rsidR="00CF25BA" w:rsidRPr="00CF25BA" w:rsidRDefault="00CF25BA" w:rsidP="00CF25BA">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药物分析</w:t>
            </w:r>
            <w:r w:rsidRPr="00CF25BA">
              <w:rPr>
                <w:rFonts w:ascii="宋体" w:eastAsia="宋体" w:hAnsi="宋体" w:cs="Times New Roman" w:hint="eastAsia"/>
                <w:sz w:val="24"/>
                <w:szCs w:val="24"/>
              </w:rPr>
              <w:t>专业</w:t>
            </w:r>
          </w:p>
        </w:tc>
      </w:tr>
      <w:tr w:rsidR="00CF25BA" w:rsidRPr="00CF25BA" w14:paraId="05EFE93C" w14:textId="77777777" w:rsidTr="0002055D">
        <w:trPr>
          <w:trHeight w:val="811"/>
          <w:jc w:val="center"/>
        </w:trPr>
        <w:tc>
          <w:tcPr>
            <w:tcW w:w="1668" w:type="dxa"/>
            <w:vAlign w:val="center"/>
          </w:tcPr>
          <w:p w14:paraId="162530B4"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课程负责人</w:t>
            </w:r>
          </w:p>
        </w:tc>
        <w:tc>
          <w:tcPr>
            <w:tcW w:w="7335" w:type="dxa"/>
            <w:gridSpan w:val="3"/>
            <w:vAlign w:val="center"/>
          </w:tcPr>
          <w:p w14:paraId="2BCA2B67"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 xml:space="preserve"> 韩万强</w:t>
            </w:r>
          </w:p>
        </w:tc>
      </w:tr>
      <w:tr w:rsidR="00CF25BA" w:rsidRPr="00CF25BA" w14:paraId="5713D7E4" w14:textId="77777777" w:rsidTr="0002055D">
        <w:trPr>
          <w:trHeight w:val="836"/>
          <w:jc w:val="center"/>
        </w:trPr>
        <w:tc>
          <w:tcPr>
            <w:tcW w:w="1668" w:type="dxa"/>
            <w:vAlign w:val="center"/>
          </w:tcPr>
          <w:p w14:paraId="5FD35BF7"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大纲撰写人</w:t>
            </w:r>
          </w:p>
        </w:tc>
        <w:tc>
          <w:tcPr>
            <w:tcW w:w="2833" w:type="dxa"/>
            <w:vAlign w:val="center"/>
          </w:tcPr>
          <w:p w14:paraId="4A7C0346"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韩万强 刘彦军</w:t>
            </w:r>
          </w:p>
        </w:tc>
        <w:tc>
          <w:tcPr>
            <w:tcW w:w="1561" w:type="dxa"/>
            <w:vAlign w:val="center"/>
          </w:tcPr>
          <w:p w14:paraId="12966787"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大纲审核人</w:t>
            </w:r>
          </w:p>
        </w:tc>
        <w:tc>
          <w:tcPr>
            <w:tcW w:w="2941" w:type="dxa"/>
            <w:vAlign w:val="center"/>
          </w:tcPr>
          <w:p w14:paraId="2F0E6A61" w14:textId="77777777" w:rsidR="00CF25BA" w:rsidRPr="00CF25BA" w:rsidRDefault="00CF25BA" w:rsidP="00CF25BA">
            <w:pPr>
              <w:spacing w:line="440" w:lineRule="exact"/>
              <w:jc w:val="center"/>
              <w:rPr>
                <w:rFonts w:ascii="宋体" w:eastAsia="宋体" w:hAnsi="宋体" w:cs="Times New Roman"/>
                <w:sz w:val="24"/>
                <w:szCs w:val="24"/>
              </w:rPr>
            </w:pPr>
            <w:proofErr w:type="gramStart"/>
            <w:r>
              <w:rPr>
                <w:rFonts w:ascii="宋体" w:eastAsia="宋体" w:hAnsi="宋体" w:cs="Times New Roman" w:hint="eastAsia"/>
                <w:sz w:val="24"/>
                <w:szCs w:val="24"/>
              </w:rPr>
              <w:t>冯</w:t>
            </w:r>
            <w:proofErr w:type="gramEnd"/>
            <w:r>
              <w:rPr>
                <w:rFonts w:ascii="宋体" w:eastAsia="宋体" w:hAnsi="宋体" w:cs="Times New Roman" w:hint="eastAsia"/>
                <w:sz w:val="24"/>
                <w:szCs w:val="24"/>
              </w:rPr>
              <w:t>小龙</w:t>
            </w:r>
          </w:p>
        </w:tc>
      </w:tr>
      <w:tr w:rsidR="00CF25BA" w:rsidRPr="00CF25BA" w14:paraId="0F8D314F" w14:textId="77777777" w:rsidTr="0002055D">
        <w:trPr>
          <w:trHeight w:val="848"/>
          <w:jc w:val="center"/>
        </w:trPr>
        <w:tc>
          <w:tcPr>
            <w:tcW w:w="1668" w:type="dxa"/>
            <w:vAlign w:val="center"/>
          </w:tcPr>
          <w:p w14:paraId="2F4E18B3"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先修课程</w:t>
            </w:r>
          </w:p>
        </w:tc>
        <w:tc>
          <w:tcPr>
            <w:tcW w:w="7335" w:type="dxa"/>
            <w:gridSpan w:val="3"/>
            <w:vAlign w:val="center"/>
          </w:tcPr>
          <w:p w14:paraId="621660D2"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宋体" w:hint="eastAsia"/>
                <w:sz w:val="24"/>
                <w:szCs w:val="24"/>
              </w:rPr>
              <w:t>高等数学</w:t>
            </w:r>
          </w:p>
        </w:tc>
      </w:tr>
      <w:tr w:rsidR="00CF25BA" w:rsidRPr="00CF25BA" w14:paraId="2C048C04" w14:textId="77777777" w:rsidTr="0002055D">
        <w:trPr>
          <w:trHeight w:val="848"/>
          <w:jc w:val="center"/>
        </w:trPr>
        <w:tc>
          <w:tcPr>
            <w:tcW w:w="1668" w:type="dxa"/>
            <w:vAlign w:val="center"/>
          </w:tcPr>
          <w:p w14:paraId="36A94F15"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课程网址</w:t>
            </w:r>
          </w:p>
        </w:tc>
        <w:tc>
          <w:tcPr>
            <w:tcW w:w="7335" w:type="dxa"/>
            <w:gridSpan w:val="3"/>
            <w:vAlign w:val="center"/>
          </w:tcPr>
          <w:p w14:paraId="184BB8FD" w14:textId="77777777" w:rsidR="00CF25BA" w:rsidRPr="00CF25BA" w:rsidRDefault="00CF25BA" w:rsidP="00CF25BA">
            <w:pPr>
              <w:spacing w:line="440" w:lineRule="exact"/>
              <w:rPr>
                <w:rFonts w:ascii="宋体" w:eastAsia="宋体" w:hAnsi="宋体" w:cs="Times New Roman"/>
                <w:color w:val="FF0000"/>
                <w:sz w:val="24"/>
                <w:szCs w:val="24"/>
              </w:rPr>
            </w:pPr>
          </w:p>
        </w:tc>
      </w:tr>
    </w:tbl>
    <w:p w14:paraId="457C4195" w14:textId="77777777" w:rsidR="00CF25BA" w:rsidRPr="00CF25BA" w:rsidRDefault="00CF25BA" w:rsidP="00CF25BA">
      <w:pPr>
        <w:spacing w:beforeLines="50" w:before="156" w:afterLines="50" w:after="156" w:line="440" w:lineRule="exact"/>
        <w:ind w:firstLineChars="200" w:firstLine="560"/>
        <w:rPr>
          <w:rFonts w:ascii="黑体" w:eastAsia="黑体" w:hAnsi="黑体" w:cs="Times New Roman"/>
          <w:sz w:val="28"/>
          <w:szCs w:val="28"/>
        </w:rPr>
      </w:pPr>
      <w:r w:rsidRPr="00CF25BA">
        <w:rPr>
          <w:rFonts w:ascii="黑体" w:eastAsia="黑体" w:hAnsi="黑体" w:cs="Times New Roman" w:hint="eastAsia"/>
          <w:sz w:val="28"/>
          <w:szCs w:val="28"/>
        </w:rPr>
        <w:t>二、课程学习目标及与毕业要求的对应关系</w:t>
      </w:r>
    </w:p>
    <w:p w14:paraId="4AECB996" w14:textId="77777777" w:rsidR="00CF25BA" w:rsidRPr="00CF25BA" w:rsidRDefault="00CF25BA" w:rsidP="00CF25BA">
      <w:pPr>
        <w:spacing w:beforeLines="50" w:before="156" w:afterLines="50" w:after="156" w:line="440" w:lineRule="exact"/>
        <w:ind w:firstLineChars="200" w:firstLine="560"/>
        <w:rPr>
          <w:rFonts w:ascii="黑体" w:eastAsia="黑体" w:hAnsi="黑体" w:cs="Times New Roman"/>
          <w:sz w:val="28"/>
          <w:szCs w:val="28"/>
        </w:rPr>
      </w:pPr>
      <w:r w:rsidRPr="00CF25BA">
        <w:rPr>
          <w:rFonts w:ascii="黑体" w:eastAsia="黑体" w:hAnsi="黑体" w:cs="Times New Roman" w:hint="eastAsia"/>
          <w:sz w:val="28"/>
          <w:szCs w:val="28"/>
        </w:rPr>
        <w:t>（一）课程学习目标</w:t>
      </w:r>
    </w:p>
    <w:p w14:paraId="76987BC4" w14:textId="77777777" w:rsidR="00CF25BA" w:rsidRPr="00CF25BA" w:rsidRDefault="00CF25BA" w:rsidP="00CF25BA">
      <w:pPr>
        <w:snapToGrid w:val="0"/>
        <w:spacing w:line="360" w:lineRule="auto"/>
        <w:ind w:firstLineChars="200" w:firstLine="480"/>
        <w:rPr>
          <w:rFonts w:ascii="黑体" w:eastAsia="黑体" w:hAnsi="黑体" w:cs="Times New Roman"/>
          <w:sz w:val="28"/>
          <w:szCs w:val="28"/>
        </w:rPr>
      </w:pPr>
      <w:r w:rsidRPr="00CF25BA">
        <w:rPr>
          <w:rFonts w:ascii="宋体" w:eastAsia="宋体" w:hAnsi="宋体" w:cs="Times New Roman" w:hint="eastAsia"/>
          <w:sz w:val="24"/>
          <w:szCs w:val="24"/>
        </w:rPr>
        <w:t>通过本课程的学习，使学生达到以下目标：</w:t>
      </w:r>
    </w:p>
    <w:p w14:paraId="52D10AF5" w14:textId="77777777" w:rsidR="00CF25BA" w:rsidRPr="00CF25BA" w:rsidRDefault="00CF25BA" w:rsidP="00CF25BA">
      <w:pPr>
        <w:snapToGrid w:val="0"/>
        <w:spacing w:line="360" w:lineRule="auto"/>
        <w:ind w:firstLineChars="200" w:firstLine="480"/>
        <w:rPr>
          <w:rFonts w:ascii="宋体" w:eastAsia="宋体" w:hAnsi="宋体" w:cs="宋体"/>
          <w:sz w:val="24"/>
          <w:szCs w:val="24"/>
        </w:rPr>
      </w:pPr>
      <w:r w:rsidRPr="00CF25BA">
        <w:rPr>
          <w:rFonts w:ascii="宋体" w:eastAsia="宋体" w:hAnsi="宋体" w:cs="宋体" w:hint="eastAsia"/>
          <w:sz w:val="24"/>
          <w:szCs w:val="24"/>
        </w:rPr>
        <w:t>1.通过本课程的学习能够掌握物理学的基本内容和方法，了解物理学的发展历史、现状和前沿，及其对科学发展和社会进步的促进作用，为今后进一步学习专业知识，适应新理论、新技术、新工艺、新材料的发展，参与高新技术研究开发打好必要的物理基础。</w:t>
      </w:r>
      <w:bookmarkStart w:id="156" w:name="_Hlk54602222"/>
      <w:r w:rsidRPr="00895319">
        <w:rPr>
          <w:rFonts w:ascii="宋体" w:eastAsia="宋体" w:hAnsi="宋体" w:cs="宋体"/>
          <w:b/>
          <w:bCs/>
          <w:sz w:val="24"/>
          <w:szCs w:val="24"/>
        </w:rPr>
        <w:t>【毕业要求</w:t>
      </w:r>
      <w:r w:rsidRPr="00895319">
        <w:rPr>
          <w:rFonts w:ascii="宋体" w:eastAsia="宋体" w:hAnsi="宋体" w:cs="宋体" w:hint="eastAsia"/>
          <w:b/>
          <w:bCs/>
          <w:sz w:val="24"/>
          <w:szCs w:val="24"/>
        </w:rPr>
        <w:t>2问题分析</w:t>
      </w:r>
      <w:r w:rsidRPr="00895319">
        <w:rPr>
          <w:rFonts w:ascii="宋体" w:eastAsia="宋体" w:hAnsi="宋体" w:cs="宋体"/>
          <w:b/>
          <w:bCs/>
          <w:sz w:val="24"/>
          <w:szCs w:val="24"/>
        </w:rPr>
        <w:t>】</w:t>
      </w:r>
      <w:bookmarkEnd w:id="156"/>
    </w:p>
    <w:p w14:paraId="389E437A" w14:textId="77777777" w:rsidR="00CF25BA" w:rsidRPr="00CF25BA" w:rsidRDefault="00CF25BA" w:rsidP="00CF25BA">
      <w:pPr>
        <w:adjustRightInd w:val="0"/>
        <w:snapToGrid w:val="0"/>
        <w:spacing w:line="360" w:lineRule="auto"/>
        <w:ind w:firstLineChars="200" w:firstLine="480"/>
        <w:rPr>
          <w:rFonts w:ascii="宋体" w:eastAsia="宋体" w:hAnsi="宋体" w:cs="宋体"/>
          <w:sz w:val="24"/>
          <w:szCs w:val="24"/>
        </w:rPr>
      </w:pPr>
      <w:r w:rsidRPr="00CF25BA">
        <w:rPr>
          <w:rFonts w:ascii="宋体" w:eastAsia="宋体" w:hAnsi="宋体" w:cs="宋体" w:hint="eastAsia"/>
          <w:sz w:val="24"/>
          <w:szCs w:val="24"/>
        </w:rPr>
        <w:t>2.熟练掌握矢量和微积分在物理问题中的应用，掌握各种运动形式的物理图像、力和运动之间的关系、静电场和恒定磁场中的基本知识、电磁感应的基本定律以及</w:t>
      </w:r>
      <w:proofErr w:type="gramStart"/>
      <w:r w:rsidRPr="00CF25BA">
        <w:rPr>
          <w:rFonts w:ascii="宋体" w:eastAsia="宋体" w:hAnsi="宋体" w:cs="宋体" w:hint="eastAsia"/>
          <w:sz w:val="24"/>
          <w:szCs w:val="24"/>
        </w:rPr>
        <w:t>振动学</w:t>
      </w:r>
      <w:proofErr w:type="gramEnd"/>
      <w:r w:rsidRPr="00CF25BA">
        <w:rPr>
          <w:rFonts w:ascii="宋体" w:eastAsia="宋体" w:hAnsi="宋体" w:cs="宋体" w:hint="eastAsia"/>
          <w:sz w:val="24"/>
          <w:szCs w:val="24"/>
        </w:rPr>
        <w:t>和波动学等知识。熟练应用物理学中的定理和定律来解决实际问题，培养学生的物理思维和物理图像的构建能力。</w:t>
      </w:r>
      <w:r w:rsidRPr="00895319">
        <w:rPr>
          <w:rFonts w:ascii="宋体" w:eastAsia="宋体" w:hAnsi="宋体" w:cs="宋体"/>
          <w:b/>
          <w:bCs/>
          <w:sz w:val="24"/>
          <w:szCs w:val="24"/>
        </w:rPr>
        <w:t>【毕业要求</w:t>
      </w:r>
      <w:r w:rsidRPr="00895319">
        <w:rPr>
          <w:rFonts w:ascii="宋体" w:eastAsia="宋体" w:hAnsi="宋体" w:cs="宋体" w:hint="eastAsia"/>
          <w:b/>
          <w:bCs/>
          <w:sz w:val="24"/>
          <w:szCs w:val="24"/>
        </w:rPr>
        <w:t>2问题分析</w:t>
      </w:r>
      <w:r w:rsidRPr="00895319">
        <w:rPr>
          <w:rFonts w:ascii="宋体" w:eastAsia="宋体" w:hAnsi="宋体" w:cs="宋体"/>
          <w:b/>
          <w:bCs/>
          <w:sz w:val="24"/>
          <w:szCs w:val="24"/>
        </w:rPr>
        <w:t>】</w:t>
      </w:r>
    </w:p>
    <w:p w14:paraId="2A8F7D6F" w14:textId="77777777" w:rsidR="00CF25BA" w:rsidRPr="00895319" w:rsidRDefault="00CF25BA" w:rsidP="00CF25BA">
      <w:pPr>
        <w:snapToGrid w:val="0"/>
        <w:spacing w:line="360" w:lineRule="auto"/>
        <w:ind w:firstLineChars="200" w:firstLine="480"/>
        <w:rPr>
          <w:rFonts w:ascii="宋体" w:eastAsia="宋体" w:hAnsi="宋体" w:cs="宋体"/>
          <w:b/>
          <w:bCs/>
          <w:kern w:val="0"/>
          <w:sz w:val="24"/>
          <w:szCs w:val="24"/>
        </w:rPr>
      </w:pPr>
      <w:r w:rsidRPr="00CF25BA">
        <w:rPr>
          <w:rFonts w:ascii="宋体" w:eastAsia="宋体" w:hAnsi="宋体" w:cs="宋体" w:hint="eastAsia"/>
          <w:sz w:val="24"/>
          <w:szCs w:val="24"/>
        </w:rPr>
        <w:t>3.树立科学的世界观、方法论，</w:t>
      </w:r>
      <w:r w:rsidRPr="00CF25BA">
        <w:rPr>
          <w:rFonts w:ascii="宋体" w:eastAsia="宋体" w:hAnsi="宋体" w:cs="宋体" w:hint="eastAsia"/>
          <w:bCs/>
          <w:kern w:val="0"/>
          <w:sz w:val="24"/>
          <w:szCs w:val="24"/>
        </w:rPr>
        <w:t>养成自主学习、积极交流、沟通合作和虚心请教的学习习惯。培养严谨、求实的科学态度。培养独立分析和处理相关问题的能力。</w:t>
      </w:r>
      <w:r w:rsidRPr="00895319">
        <w:rPr>
          <w:rFonts w:ascii="宋体" w:eastAsia="宋体" w:hAnsi="宋体" w:cs="宋体"/>
          <w:b/>
          <w:bCs/>
          <w:sz w:val="24"/>
          <w:szCs w:val="24"/>
        </w:rPr>
        <w:t>【毕</w:t>
      </w:r>
      <w:r w:rsidRPr="00895319">
        <w:rPr>
          <w:rFonts w:ascii="宋体" w:eastAsia="宋体" w:hAnsi="宋体" w:cs="宋体"/>
          <w:b/>
          <w:bCs/>
          <w:sz w:val="24"/>
          <w:szCs w:val="24"/>
        </w:rPr>
        <w:lastRenderedPageBreak/>
        <w:t>业要求1</w:t>
      </w:r>
      <w:r w:rsidRPr="00895319">
        <w:rPr>
          <w:rFonts w:ascii="宋体" w:eastAsia="宋体" w:hAnsi="宋体" w:cs="宋体" w:hint="eastAsia"/>
          <w:b/>
          <w:bCs/>
          <w:sz w:val="24"/>
          <w:szCs w:val="24"/>
        </w:rPr>
        <w:t>工程知识</w:t>
      </w:r>
      <w:r w:rsidRPr="00895319">
        <w:rPr>
          <w:rFonts w:ascii="宋体" w:eastAsia="宋体" w:hAnsi="宋体" w:cs="宋体"/>
          <w:b/>
          <w:bCs/>
          <w:sz w:val="24"/>
          <w:szCs w:val="24"/>
        </w:rPr>
        <w:t>】</w:t>
      </w:r>
    </w:p>
    <w:p w14:paraId="5DCBC431" w14:textId="77777777" w:rsidR="00CF25BA" w:rsidRPr="00CF25BA" w:rsidRDefault="00CF25BA" w:rsidP="00CF25BA">
      <w:pPr>
        <w:spacing w:beforeLines="50" w:before="156" w:afterLines="50" w:after="156" w:line="440" w:lineRule="exact"/>
        <w:ind w:firstLineChars="200" w:firstLine="560"/>
        <w:rPr>
          <w:rFonts w:ascii="黑体" w:eastAsia="黑体" w:hAnsi="黑体" w:cs="Times New Roman"/>
          <w:sz w:val="28"/>
          <w:szCs w:val="28"/>
        </w:rPr>
      </w:pPr>
      <w:r w:rsidRPr="00CF25B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7"/>
        <w:gridCol w:w="6111"/>
        <w:gridCol w:w="1591"/>
      </w:tblGrid>
      <w:tr w:rsidR="00CF25BA" w:rsidRPr="00CF25BA" w14:paraId="02CF0181" w14:textId="77777777" w:rsidTr="00895319">
        <w:trPr>
          <w:trHeight w:val="815"/>
          <w:jc w:val="center"/>
        </w:trPr>
        <w:tc>
          <w:tcPr>
            <w:tcW w:w="1467" w:type="dxa"/>
            <w:vAlign w:val="center"/>
          </w:tcPr>
          <w:p w14:paraId="6D3286D5" w14:textId="77777777" w:rsidR="00CF25BA" w:rsidRPr="00CF25BA" w:rsidRDefault="00CF25BA" w:rsidP="00CF25BA">
            <w:pPr>
              <w:spacing w:line="440" w:lineRule="exact"/>
              <w:jc w:val="center"/>
              <w:rPr>
                <w:rFonts w:ascii="宋体" w:eastAsia="宋体" w:hAnsi="宋体" w:cs="Times New Roman"/>
                <w:b/>
                <w:sz w:val="24"/>
                <w:szCs w:val="24"/>
              </w:rPr>
            </w:pPr>
            <w:r w:rsidRPr="00CF25BA">
              <w:rPr>
                <w:rFonts w:ascii="Times New Roman" w:eastAsia="宋体" w:hAnsi="Times New Roman" w:cs="Times New Roman" w:hint="eastAsia"/>
                <w:b/>
                <w:sz w:val="24"/>
                <w:szCs w:val="24"/>
              </w:rPr>
              <w:t>毕业要求</w:t>
            </w:r>
          </w:p>
        </w:tc>
        <w:tc>
          <w:tcPr>
            <w:tcW w:w="6111" w:type="dxa"/>
            <w:vAlign w:val="center"/>
          </w:tcPr>
          <w:p w14:paraId="466B7CF5" w14:textId="77777777" w:rsidR="00CF25BA" w:rsidRPr="00CF25BA" w:rsidRDefault="00CF25BA" w:rsidP="00CF25BA">
            <w:pPr>
              <w:spacing w:line="440" w:lineRule="exact"/>
              <w:jc w:val="center"/>
              <w:rPr>
                <w:rFonts w:ascii="宋体" w:eastAsia="宋体" w:hAnsi="宋体" w:cs="Times New Roman"/>
                <w:b/>
                <w:sz w:val="24"/>
                <w:szCs w:val="24"/>
              </w:rPr>
            </w:pPr>
            <w:r w:rsidRPr="00CF25BA">
              <w:rPr>
                <w:rFonts w:ascii="宋体" w:eastAsia="宋体" w:hAnsi="宋体" w:cs="Times New Roman" w:hint="eastAsia"/>
                <w:b/>
                <w:sz w:val="24"/>
                <w:szCs w:val="24"/>
              </w:rPr>
              <w:t>支撑的毕业要求</w:t>
            </w:r>
          </w:p>
        </w:tc>
        <w:tc>
          <w:tcPr>
            <w:tcW w:w="1591" w:type="dxa"/>
            <w:vAlign w:val="center"/>
          </w:tcPr>
          <w:p w14:paraId="24A5AC48" w14:textId="77777777" w:rsidR="00CF25BA" w:rsidRPr="00CF25BA" w:rsidRDefault="00CF25BA" w:rsidP="00CF25BA">
            <w:pPr>
              <w:spacing w:line="440" w:lineRule="exact"/>
              <w:jc w:val="center"/>
              <w:rPr>
                <w:rFonts w:ascii="宋体" w:eastAsia="宋体" w:hAnsi="宋体" w:cs="Times New Roman"/>
                <w:b/>
                <w:sz w:val="24"/>
                <w:szCs w:val="24"/>
              </w:rPr>
            </w:pPr>
            <w:r w:rsidRPr="00CF25BA">
              <w:rPr>
                <w:rFonts w:ascii="Times New Roman" w:eastAsia="宋体" w:hAnsi="Times New Roman" w:cs="Times New Roman" w:hint="eastAsia"/>
                <w:b/>
                <w:sz w:val="24"/>
                <w:szCs w:val="24"/>
              </w:rPr>
              <w:t>课程目标</w:t>
            </w:r>
          </w:p>
        </w:tc>
      </w:tr>
      <w:tr w:rsidR="00CF25BA" w:rsidRPr="00CF25BA" w14:paraId="7343D8E6" w14:textId="77777777" w:rsidTr="00895319">
        <w:trPr>
          <w:trHeight w:val="1280"/>
          <w:jc w:val="center"/>
        </w:trPr>
        <w:tc>
          <w:tcPr>
            <w:tcW w:w="1467" w:type="dxa"/>
            <w:vAlign w:val="center"/>
          </w:tcPr>
          <w:p w14:paraId="5A795FF1" w14:textId="77777777" w:rsidR="00CF25BA" w:rsidRPr="00CF25BA" w:rsidRDefault="00CF25BA" w:rsidP="00CF25BA">
            <w:pPr>
              <w:spacing w:line="440" w:lineRule="exact"/>
              <w:jc w:val="left"/>
              <w:rPr>
                <w:rFonts w:ascii="宋体" w:eastAsia="宋体" w:hAnsi="宋体" w:cs="Times New Roman"/>
                <w:sz w:val="24"/>
                <w:szCs w:val="24"/>
              </w:rPr>
            </w:pPr>
            <w:r w:rsidRPr="00CF25BA">
              <w:rPr>
                <w:rFonts w:ascii="Times New Roman" w:eastAsia="宋体" w:hAnsi="Times New Roman" w:cs="Times New Roman" w:hint="eastAsia"/>
                <w:sz w:val="24"/>
                <w:szCs w:val="24"/>
              </w:rPr>
              <w:t>2.</w:t>
            </w:r>
            <w:r w:rsidRPr="00CF25BA">
              <w:rPr>
                <w:rFonts w:ascii="Times New Roman" w:eastAsia="宋体" w:hAnsi="Times New Roman" w:cs="Times New Roman" w:hint="eastAsia"/>
                <w:szCs w:val="24"/>
              </w:rPr>
              <w:t xml:space="preserve"> </w:t>
            </w:r>
            <w:r w:rsidRPr="00CF25BA">
              <w:rPr>
                <w:rFonts w:ascii="Times New Roman" w:eastAsia="宋体" w:hAnsi="Times New Roman" w:cs="Times New Roman" w:hint="eastAsia"/>
                <w:sz w:val="24"/>
                <w:szCs w:val="24"/>
              </w:rPr>
              <w:t>工程知识</w:t>
            </w:r>
          </w:p>
        </w:tc>
        <w:tc>
          <w:tcPr>
            <w:tcW w:w="6111" w:type="dxa"/>
            <w:vAlign w:val="center"/>
          </w:tcPr>
          <w:p w14:paraId="7D629596" w14:textId="77777777" w:rsidR="00CF25BA" w:rsidRPr="00CF25BA" w:rsidRDefault="00CF25BA" w:rsidP="00CF25BA">
            <w:pPr>
              <w:widowControl/>
              <w:jc w:val="left"/>
              <w:rPr>
                <w:rFonts w:ascii="宋体" w:eastAsia="宋体" w:hAnsi="宋体" w:cs="Times New Roman"/>
                <w:sz w:val="24"/>
                <w:szCs w:val="24"/>
              </w:rPr>
            </w:pPr>
            <w:r w:rsidRPr="00CF25BA">
              <w:rPr>
                <w:rFonts w:ascii="Times New Roman" w:eastAsia="宋体" w:hAnsi="Times New Roman" w:cs="Times New Roman" w:hint="eastAsia"/>
                <w:sz w:val="24"/>
                <w:szCs w:val="24"/>
              </w:rPr>
              <w:t xml:space="preserve">2.2 </w:t>
            </w:r>
            <w:r w:rsidRPr="00CF25BA">
              <w:rPr>
                <w:rFonts w:ascii="宋体" w:eastAsia="宋体" w:hAnsi="宋体" w:cs="宋体" w:hint="eastAsia"/>
                <w:color w:val="000000"/>
                <w:kern w:val="0"/>
                <w:szCs w:val="21"/>
                <w:lang w:bidi="ar"/>
              </w:rPr>
              <w:t xml:space="preserve">能够应用自然科学的基本原理，结合文献研究，识别、表达和分析药剂学实践问题，并获得有效结论；能够分析药剂学生产实际问题，试图进行优化与改进。 </w:t>
            </w:r>
            <w:r w:rsidRPr="00CF25BA">
              <w:rPr>
                <w:rFonts w:ascii="Times New Roman" w:eastAsia="宋体" w:hAnsi="Times New Roman" w:cs="Times New Roman"/>
                <w:sz w:val="24"/>
                <w:szCs w:val="24"/>
              </w:rPr>
              <w:t>（</w:t>
            </w:r>
            <w:r w:rsidRPr="00CF25BA">
              <w:rPr>
                <w:rFonts w:ascii="Times New Roman" w:eastAsia="宋体" w:hAnsi="Times New Roman" w:cs="Times New Roman"/>
                <w:sz w:val="24"/>
                <w:szCs w:val="24"/>
              </w:rPr>
              <w:t>H</w:t>
            </w:r>
            <w:r w:rsidRPr="00CF25BA">
              <w:rPr>
                <w:rFonts w:ascii="Times New Roman" w:eastAsia="宋体" w:hAnsi="Times New Roman" w:cs="Times New Roman"/>
                <w:sz w:val="24"/>
                <w:szCs w:val="24"/>
              </w:rPr>
              <w:t>）</w:t>
            </w:r>
          </w:p>
        </w:tc>
        <w:tc>
          <w:tcPr>
            <w:tcW w:w="1591" w:type="dxa"/>
            <w:vAlign w:val="center"/>
          </w:tcPr>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69"/>
            </w:tblGrid>
            <w:tr w:rsidR="00CF25BA" w:rsidRPr="00CF25BA" w14:paraId="34CA7598" w14:textId="77777777" w:rsidTr="0002055D">
              <w:trPr>
                <w:trHeight w:val="1300"/>
                <w:jc w:val="center"/>
              </w:trPr>
              <w:tc>
                <w:tcPr>
                  <w:tcW w:w="1597" w:type="dxa"/>
                  <w:vAlign w:val="center"/>
                </w:tcPr>
                <w:p w14:paraId="4A11A80F" w14:textId="77777777" w:rsidR="00CF25BA" w:rsidRPr="00CF25BA" w:rsidRDefault="00CF25BA" w:rsidP="00CF25BA">
                  <w:pPr>
                    <w:spacing w:line="440" w:lineRule="exact"/>
                    <w:jc w:val="center"/>
                    <w:rPr>
                      <w:rFonts w:ascii="Times New Roman" w:eastAsia="宋体" w:hAnsi="Times New Roman" w:cs="Times New Roman"/>
                      <w:sz w:val="24"/>
                      <w:szCs w:val="24"/>
                    </w:rPr>
                  </w:pPr>
                  <w:r w:rsidRPr="00CF25BA">
                    <w:rPr>
                      <w:rFonts w:ascii="Times New Roman" w:eastAsia="宋体" w:hAnsi="Times New Roman" w:cs="Times New Roman"/>
                      <w:sz w:val="24"/>
                      <w:szCs w:val="24"/>
                    </w:rPr>
                    <w:t>课程目标</w:t>
                  </w:r>
                  <w:r w:rsidRPr="00CF25BA">
                    <w:rPr>
                      <w:rFonts w:ascii="Times New Roman" w:eastAsia="宋体" w:hAnsi="Times New Roman" w:cs="Times New Roman"/>
                      <w:sz w:val="24"/>
                      <w:szCs w:val="24"/>
                    </w:rPr>
                    <w:t>1</w:t>
                  </w:r>
                </w:p>
                <w:p w14:paraId="22691800" w14:textId="77777777" w:rsidR="00CF25BA" w:rsidRPr="00CF25BA" w:rsidRDefault="00CF25BA" w:rsidP="00CF25BA">
                  <w:pPr>
                    <w:spacing w:line="440" w:lineRule="exact"/>
                    <w:jc w:val="center"/>
                    <w:rPr>
                      <w:rFonts w:ascii="Times New Roman" w:eastAsia="宋体" w:hAnsi="Times New Roman" w:cs="Times New Roman"/>
                      <w:sz w:val="24"/>
                      <w:szCs w:val="24"/>
                    </w:rPr>
                  </w:pPr>
                  <w:r w:rsidRPr="00CF25BA">
                    <w:rPr>
                      <w:rFonts w:ascii="Times New Roman" w:eastAsia="宋体" w:hAnsi="Times New Roman" w:cs="Times New Roman"/>
                      <w:sz w:val="24"/>
                      <w:szCs w:val="24"/>
                    </w:rPr>
                    <w:t>课程目标</w:t>
                  </w:r>
                  <w:r w:rsidRPr="00CF25BA">
                    <w:rPr>
                      <w:rFonts w:ascii="Times New Roman" w:eastAsia="宋体" w:hAnsi="Times New Roman" w:cs="Times New Roman"/>
                      <w:sz w:val="24"/>
                      <w:szCs w:val="24"/>
                    </w:rPr>
                    <w:t>2</w:t>
                  </w:r>
                </w:p>
              </w:tc>
            </w:tr>
          </w:tbl>
          <w:p w14:paraId="560E0788" w14:textId="77777777" w:rsidR="00CF25BA" w:rsidRPr="00CF25BA" w:rsidRDefault="00CF25BA" w:rsidP="00CF25BA">
            <w:pPr>
              <w:spacing w:line="440" w:lineRule="exact"/>
              <w:jc w:val="left"/>
              <w:rPr>
                <w:rFonts w:ascii="宋体" w:eastAsia="宋体" w:hAnsi="宋体" w:cs="Times New Roman"/>
                <w:sz w:val="24"/>
                <w:szCs w:val="24"/>
              </w:rPr>
            </w:pPr>
          </w:p>
        </w:tc>
      </w:tr>
      <w:tr w:rsidR="00CF25BA" w:rsidRPr="00CF25BA" w14:paraId="2F8465E7" w14:textId="77777777" w:rsidTr="00895319">
        <w:trPr>
          <w:jc w:val="center"/>
        </w:trPr>
        <w:tc>
          <w:tcPr>
            <w:tcW w:w="1467" w:type="dxa"/>
            <w:vAlign w:val="center"/>
          </w:tcPr>
          <w:p w14:paraId="0CE4F05C" w14:textId="77777777" w:rsidR="00CF25BA" w:rsidRPr="00CF25BA" w:rsidRDefault="00CF25BA" w:rsidP="00CF25BA">
            <w:pPr>
              <w:spacing w:line="440" w:lineRule="exact"/>
              <w:rPr>
                <w:rFonts w:ascii="宋体" w:eastAsia="宋体" w:hAnsi="宋体" w:cs="Times New Roman"/>
                <w:sz w:val="24"/>
                <w:szCs w:val="24"/>
              </w:rPr>
            </w:pPr>
            <w:r w:rsidRPr="00CF25BA">
              <w:rPr>
                <w:rFonts w:ascii="Times New Roman" w:eastAsia="宋体" w:hAnsi="Times New Roman" w:cs="Times New Roman" w:hint="eastAsia"/>
                <w:sz w:val="24"/>
                <w:szCs w:val="24"/>
              </w:rPr>
              <w:t>4.</w:t>
            </w:r>
            <w:r w:rsidRPr="00CF25BA">
              <w:rPr>
                <w:rFonts w:ascii="Times New Roman" w:eastAsia="宋体" w:hAnsi="Times New Roman" w:cs="Times New Roman" w:hint="eastAsia"/>
                <w:sz w:val="24"/>
                <w:szCs w:val="24"/>
              </w:rPr>
              <w:t>问题分析</w:t>
            </w:r>
          </w:p>
        </w:tc>
        <w:tc>
          <w:tcPr>
            <w:tcW w:w="6111" w:type="dxa"/>
            <w:vAlign w:val="center"/>
          </w:tcPr>
          <w:p w14:paraId="45E5B630" w14:textId="77777777" w:rsidR="00CF25BA" w:rsidRPr="00CF25BA" w:rsidRDefault="00CF25BA" w:rsidP="00CF25BA">
            <w:pPr>
              <w:widowControl/>
              <w:jc w:val="left"/>
              <w:rPr>
                <w:rFonts w:ascii="宋体" w:eastAsia="宋体" w:hAnsi="宋体" w:cs="Times New Roman"/>
                <w:sz w:val="24"/>
                <w:szCs w:val="24"/>
              </w:rPr>
            </w:pPr>
            <w:r w:rsidRPr="00CF25BA">
              <w:rPr>
                <w:rFonts w:ascii="Times New Roman" w:eastAsia="宋体" w:hAnsi="Times New Roman" w:cs="Times New Roman" w:hint="eastAsia"/>
                <w:sz w:val="24"/>
                <w:szCs w:val="24"/>
              </w:rPr>
              <w:t xml:space="preserve">4.2 </w:t>
            </w:r>
            <w:r w:rsidRPr="00CF25BA">
              <w:rPr>
                <w:rFonts w:ascii="宋体" w:eastAsia="宋体" w:hAnsi="宋体" w:cs="宋体" w:hint="eastAsia"/>
                <w:color w:val="000000"/>
                <w:kern w:val="0"/>
                <w:szCs w:val="21"/>
                <w:lang w:bidi="ar"/>
              </w:rPr>
              <w:t xml:space="preserve">掌握设计和实施工程实验的基本原理和基本方法，能够合理设计实验； </w:t>
            </w:r>
            <w:r w:rsidRPr="00CF25BA">
              <w:rPr>
                <w:rFonts w:ascii="Times New Roman" w:eastAsia="宋体" w:hAnsi="Times New Roman" w:cs="Times New Roman"/>
                <w:sz w:val="24"/>
                <w:szCs w:val="24"/>
              </w:rPr>
              <w:t>（</w:t>
            </w:r>
            <w:r w:rsidRPr="00CF25BA">
              <w:rPr>
                <w:rFonts w:ascii="Times New Roman" w:eastAsia="宋体" w:hAnsi="Times New Roman" w:cs="Times New Roman" w:hint="eastAsia"/>
                <w:sz w:val="24"/>
                <w:szCs w:val="24"/>
              </w:rPr>
              <w:t>M</w:t>
            </w:r>
            <w:r w:rsidRPr="00CF25BA">
              <w:rPr>
                <w:rFonts w:ascii="Times New Roman" w:eastAsia="宋体" w:hAnsi="Times New Roman" w:cs="Times New Roman"/>
                <w:sz w:val="24"/>
                <w:szCs w:val="24"/>
              </w:rPr>
              <w:t>）</w:t>
            </w:r>
          </w:p>
        </w:tc>
        <w:tc>
          <w:tcPr>
            <w:tcW w:w="1591" w:type="dxa"/>
            <w:vAlign w:val="center"/>
          </w:tcPr>
          <w:p w14:paraId="188B3531"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Times New Roman" w:eastAsia="宋体" w:hAnsi="Times New Roman" w:cs="Times New Roman"/>
                <w:sz w:val="24"/>
                <w:szCs w:val="24"/>
              </w:rPr>
              <w:t>课程目标</w:t>
            </w:r>
            <w:r w:rsidRPr="00CF25BA">
              <w:rPr>
                <w:rFonts w:ascii="Times New Roman" w:eastAsia="宋体" w:hAnsi="Times New Roman" w:cs="Times New Roman" w:hint="eastAsia"/>
                <w:sz w:val="24"/>
                <w:szCs w:val="24"/>
              </w:rPr>
              <w:t>3</w:t>
            </w:r>
          </w:p>
        </w:tc>
      </w:tr>
    </w:tbl>
    <w:p w14:paraId="0546253D" w14:textId="77777777" w:rsidR="00CF25BA" w:rsidRPr="00CF25BA" w:rsidRDefault="00CF25BA" w:rsidP="00CF25BA">
      <w:pPr>
        <w:spacing w:beforeLines="50" w:before="156" w:afterLines="50" w:after="156" w:line="440" w:lineRule="exact"/>
        <w:ind w:firstLineChars="200" w:firstLine="560"/>
        <w:rPr>
          <w:rFonts w:ascii="黑体" w:eastAsia="黑体" w:hAnsi="黑体" w:cs="Times New Roman"/>
          <w:sz w:val="28"/>
          <w:szCs w:val="28"/>
        </w:rPr>
      </w:pPr>
      <w:r w:rsidRPr="00CF25BA">
        <w:rPr>
          <w:rFonts w:ascii="黑体" w:eastAsia="黑体" w:hAnsi="黑体" w:cs="Times New Roman" w:hint="eastAsia"/>
          <w:sz w:val="28"/>
          <w:szCs w:val="28"/>
        </w:rPr>
        <w:t>三、课程学习内容及与课程学习目标的对应关系</w:t>
      </w:r>
    </w:p>
    <w:p w14:paraId="6F0F5239" w14:textId="77777777" w:rsidR="00CF25BA" w:rsidRPr="00CF25BA" w:rsidRDefault="00CF25BA" w:rsidP="00CF25BA">
      <w:pPr>
        <w:spacing w:beforeLines="50" w:before="156" w:afterLines="50" w:after="156" w:line="440" w:lineRule="exact"/>
        <w:ind w:firstLineChars="200" w:firstLine="562"/>
        <w:rPr>
          <w:rFonts w:ascii="黑体" w:eastAsia="黑体" w:hAnsi="黑体" w:cs="Times New Roman"/>
          <w:b/>
          <w:sz w:val="28"/>
          <w:szCs w:val="28"/>
        </w:rPr>
      </w:pPr>
      <w:r w:rsidRPr="00CF25BA">
        <w:rPr>
          <w:rFonts w:ascii="黑体" w:eastAsia="黑体" w:hAnsi="黑体" w:cs="Times New Roman" w:hint="eastAsia"/>
          <w:b/>
          <w:sz w:val="28"/>
          <w:szCs w:val="28"/>
        </w:rPr>
        <w:t>（一）课程学习内容</w:t>
      </w:r>
    </w:p>
    <w:p w14:paraId="39D25655" w14:textId="77777777" w:rsidR="00CF25BA" w:rsidRPr="00CF25BA" w:rsidRDefault="00CF25BA" w:rsidP="00CF25BA">
      <w:pPr>
        <w:spacing w:beforeLines="50" w:before="156" w:afterLines="50" w:after="156" w:line="440" w:lineRule="exact"/>
        <w:ind w:firstLineChars="200" w:firstLine="560"/>
        <w:jc w:val="center"/>
        <w:rPr>
          <w:rFonts w:ascii="黑体" w:eastAsia="黑体" w:hAnsi="黑体" w:cs="Times New Roman"/>
          <w:sz w:val="28"/>
          <w:szCs w:val="28"/>
        </w:rPr>
      </w:pPr>
      <w:r w:rsidRPr="00CF25BA">
        <w:rPr>
          <w:rFonts w:ascii="黑体" w:eastAsia="黑体" w:hAnsi="黑体" w:cs="Times New Roman" w:hint="eastAsia"/>
          <w:sz w:val="28"/>
          <w:szCs w:val="28"/>
        </w:rPr>
        <w:t>第一章  质点运动 时间 空间</w:t>
      </w:r>
    </w:p>
    <w:p w14:paraId="5546DE02"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【学习目标】</w:t>
      </w:r>
    </w:p>
    <w:p w14:paraId="1ABFD87B"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Times New Roman" w:hint="eastAsia"/>
          <w:sz w:val="24"/>
          <w:szCs w:val="24"/>
        </w:rPr>
        <w:t>1.认知类目标：</w:t>
      </w:r>
      <w:r w:rsidRPr="00CF25BA">
        <w:rPr>
          <w:rFonts w:ascii="宋体" w:eastAsia="宋体" w:hAnsi="宋体" w:cs="宋体" w:hint="eastAsia"/>
          <w:sz w:val="24"/>
          <w:szCs w:val="24"/>
        </w:rPr>
        <w:t>掌握参照系﹑坐标系、质点﹑位置矢量、位移﹑速度、加速度、运动方程﹑轨道方程等基本概念。</w:t>
      </w:r>
    </w:p>
    <w:p w14:paraId="4CE0B3C9"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Times New Roman" w:hint="eastAsia"/>
          <w:sz w:val="24"/>
          <w:szCs w:val="24"/>
        </w:rPr>
        <w:t>2.过程与方法类目标：</w:t>
      </w:r>
      <w:r w:rsidRPr="00CF25BA">
        <w:rPr>
          <w:rFonts w:ascii="宋体" w:eastAsia="宋体" w:hAnsi="宋体" w:cs="宋体" w:hint="eastAsia"/>
          <w:sz w:val="24"/>
          <w:szCs w:val="24"/>
        </w:rPr>
        <w:t>掌握圆周运动，一般曲线运动。圆周运动的角量描述，线</w:t>
      </w:r>
    </w:p>
    <w:p w14:paraId="635DFC56" w14:textId="77777777" w:rsidR="00CF25BA" w:rsidRPr="00CF25BA" w:rsidRDefault="00CF25BA" w:rsidP="00CF25BA">
      <w:pPr>
        <w:spacing w:line="440" w:lineRule="exact"/>
        <w:rPr>
          <w:rFonts w:ascii="宋体" w:eastAsia="宋体" w:hAnsi="宋体" w:cs="宋体"/>
          <w:sz w:val="24"/>
          <w:szCs w:val="24"/>
        </w:rPr>
      </w:pPr>
      <w:r w:rsidRPr="00CF25BA">
        <w:rPr>
          <w:rFonts w:ascii="宋体" w:eastAsia="宋体" w:hAnsi="宋体" w:cs="宋体" w:hint="eastAsia"/>
          <w:sz w:val="24"/>
          <w:szCs w:val="24"/>
        </w:rPr>
        <w:t>量与角量的关系，理解相对运动。</w:t>
      </w:r>
    </w:p>
    <w:p w14:paraId="27A652AD" w14:textId="77777777" w:rsidR="00CF25BA" w:rsidRPr="00CF25BA" w:rsidRDefault="00CF25BA" w:rsidP="00CF25BA">
      <w:pPr>
        <w:spacing w:line="440" w:lineRule="exact"/>
        <w:ind w:leftChars="200" w:left="420"/>
        <w:rPr>
          <w:rFonts w:ascii="宋体" w:eastAsia="宋体" w:hAnsi="宋体" w:cs="Times New Roman"/>
          <w:sz w:val="24"/>
          <w:szCs w:val="24"/>
        </w:rPr>
      </w:pPr>
      <w:r w:rsidRPr="00CF25BA">
        <w:rPr>
          <w:rFonts w:ascii="宋体" w:eastAsia="宋体" w:hAnsi="宋体" w:cs="Times New Roman" w:hint="eastAsia"/>
          <w:sz w:val="24"/>
          <w:szCs w:val="24"/>
        </w:rPr>
        <w:t>3.情感、态度、价值观类目标：能够领略自然界的奇妙与和谐，发展对科学的</w:t>
      </w:r>
    </w:p>
    <w:p w14:paraId="32BE6BC0" w14:textId="77777777" w:rsidR="00CF25BA" w:rsidRPr="00CF25BA" w:rsidRDefault="00CF25BA" w:rsidP="00CF25BA">
      <w:pPr>
        <w:spacing w:line="440" w:lineRule="exact"/>
        <w:rPr>
          <w:rFonts w:ascii="宋体" w:eastAsia="宋体" w:hAnsi="宋体" w:cs="Times New Roman"/>
          <w:sz w:val="24"/>
          <w:szCs w:val="24"/>
        </w:rPr>
      </w:pPr>
      <w:r w:rsidRPr="00CF25BA">
        <w:rPr>
          <w:rFonts w:ascii="宋体" w:eastAsia="宋体" w:hAnsi="宋体" w:cs="Times New Roman" w:hint="eastAsia"/>
          <w:sz w:val="24"/>
          <w:szCs w:val="24"/>
        </w:rPr>
        <w:t>好奇心与求知欲，乐于探索自然界的奥妙。</w:t>
      </w:r>
    </w:p>
    <w:p w14:paraId="4E38615E"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【学习内容】</w:t>
      </w:r>
    </w:p>
    <w:p w14:paraId="63FC2AF6"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1.认识美妙的物理世界；</w:t>
      </w:r>
    </w:p>
    <w:p w14:paraId="5C091B13"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2.运动描述具有相对性；</w:t>
      </w:r>
    </w:p>
    <w:p w14:paraId="64607D78"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3.描述质点运动的物理量；</w:t>
      </w:r>
    </w:p>
    <w:p w14:paraId="64BA4F11"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4.切向加速度和法向加速度；</w:t>
      </w:r>
    </w:p>
    <w:p w14:paraId="5A781D49"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5.直线运动和圆周运动。</w:t>
      </w:r>
    </w:p>
    <w:p w14:paraId="4D0858C1"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【重点】</w:t>
      </w:r>
    </w:p>
    <w:p w14:paraId="5441B8C8"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位置矢量、质点﹑位移﹑速度，加速度、运动方程和轨道方程。</w:t>
      </w:r>
    </w:p>
    <w:p w14:paraId="785AB43C"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【难点】</w:t>
      </w:r>
    </w:p>
    <w:p w14:paraId="4AC14AFF"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宋体" w:hint="eastAsia"/>
          <w:sz w:val="24"/>
          <w:szCs w:val="24"/>
        </w:rPr>
        <w:t>圆周运动，一般曲线运动的切向加速度和法向加速度。</w:t>
      </w:r>
    </w:p>
    <w:p w14:paraId="7466F35F" w14:textId="77777777" w:rsidR="00CF25BA" w:rsidRPr="00CF25BA" w:rsidRDefault="00CF25BA" w:rsidP="00CF25BA">
      <w:pPr>
        <w:spacing w:line="440" w:lineRule="exact"/>
        <w:ind w:firstLineChars="200" w:firstLine="482"/>
        <w:rPr>
          <w:rFonts w:ascii="宋体" w:eastAsia="宋体" w:hAnsi="宋体" w:cs="Times New Roman"/>
          <w:b/>
          <w:bCs/>
          <w:sz w:val="24"/>
          <w:szCs w:val="24"/>
        </w:rPr>
      </w:pPr>
      <w:r w:rsidRPr="00CF25BA">
        <w:rPr>
          <w:rFonts w:ascii="宋体" w:eastAsia="宋体" w:hAnsi="宋体" w:cs="Times New Roman" w:hint="eastAsia"/>
          <w:b/>
          <w:bCs/>
          <w:sz w:val="24"/>
          <w:szCs w:val="24"/>
        </w:rPr>
        <w:t>【教学方法】</w:t>
      </w:r>
    </w:p>
    <w:p w14:paraId="2C938271"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lastRenderedPageBreak/>
        <w:t>讲授法、小组讨论、线上教学结合。</w:t>
      </w:r>
    </w:p>
    <w:p w14:paraId="31FFF780" w14:textId="77777777" w:rsidR="00CF25BA" w:rsidRPr="00CF25BA" w:rsidRDefault="00CF25BA" w:rsidP="00CF25BA">
      <w:pPr>
        <w:spacing w:beforeLines="50" w:before="156" w:afterLines="50" w:after="156" w:line="440" w:lineRule="exact"/>
        <w:ind w:firstLineChars="200" w:firstLine="560"/>
        <w:jc w:val="center"/>
        <w:rPr>
          <w:rFonts w:ascii="黑体" w:eastAsia="黑体" w:hAnsi="黑体" w:cs="Times New Roman"/>
          <w:sz w:val="28"/>
          <w:szCs w:val="28"/>
        </w:rPr>
      </w:pPr>
      <w:r w:rsidRPr="00CF25BA">
        <w:rPr>
          <w:rFonts w:ascii="黑体" w:eastAsia="黑体" w:hAnsi="黑体" w:cs="Times New Roman" w:hint="eastAsia"/>
          <w:sz w:val="28"/>
          <w:szCs w:val="28"/>
        </w:rPr>
        <w:t>第二章  力 动量 能量</w:t>
      </w:r>
    </w:p>
    <w:p w14:paraId="43C6CA28"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【学习目标】</w:t>
      </w:r>
    </w:p>
    <w:p w14:paraId="3C464682"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1.认知类目标：掌握牛顿运动定律、动能定理、动量定理、功能原理、机械能守恒、动量守恒定律以及功的概念。理解保守力</w:t>
      </w:r>
      <w:proofErr w:type="gramStart"/>
      <w:r w:rsidRPr="00CF25BA">
        <w:rPr>
          <w:rFonts w:ascii="宋体" w:eastAsia="宋体" w:hAnsi="宋体" w:cs="Times New Roman" w:hint="eastAsia"/>
          <w:sz w:val="24"/>
          <w:szCs w:val="24"/>
        </w:rPr>
        <w:t>作功</w:t>
      </w:r>
      <w:proofErr w:type="gramEnd"/>
      <w:r w:rsidRPr="00CF25BA">
        <w:rPr>
          <w:rFonts w:ascii="宋体" w:eastAsia="宋体" w:hAnsi="宋体" w:cs="Times New Roman" w:hint="eastAsia"/>
          <w:sz w:val="24"/>
          <w:szCs w:val="24"/>
        </w:rPr>
        <w:t>的特点及其与势能的关系；</w:t>
      </w:r>
    </w:p>
    <w:p w14:paraId="6F0BCB3B"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2.过程与方法类目标：能运用以上定理和规律分析处理简单系统的动力学问题，能计算变力的功；</w:t>
      </w:r>
    </w:p>
    <w:p w14:paraId="328086C1"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3.情感、态度、价值观类目标：培养学生应用数学知识解决物理问题的能力。</w:t>
      </w:r>
    </w:p>
    <w:p w14:paraId="07BE5862" w14:textId="77777777" w:rsidR="00CF25BA" w:rsidRPr="00CF25BA" w:rsidRDefault="00CF25BA" w:rsidP="00CF25BA">
      <w:pPr>
        <w:spacing w:line="440" w:lineRule="exact"/>
        <w:ind w:firstLineChars="200" w:firstLine="482"/>
        <w:rPr>
          <w:rFonts w:ascii="宋体" w:eastAsia="宋体" w:hAnsi="宋体" w:cs="宋体"/>
          <w:sz w:val="24"/>
          <w:szCs w:val="24"/>
        </w:rPr>
      </w:pPr>
      <w:r w:rsidRPr="00CF25BA">
        <w:rPr>
          <w:rFonts w:ascii="宋体" w:eastAsia="宋体" w:hAnsi="宋体" w:cs="Times New Roman" w:hint="eastAsia"/>
          <w:b/>
          <w:sz w:val="24"/>
          <w:szCs w:val="24"/>
        </w:rPr>
        <w:t>【学习内容】</w:t>
      </w:r>
    </w:p>
    <w:p w14:paraId="2C5158E8"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1.牛顿运动规律及其应用；</w:t>
      </w:r>
    </w:p>
    <w:p w14:paraId="47CC83B0"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2.牛顿定律和质点动量定理的关系；</w:t>
      </w:r>
    </w:p>
    <w:p w14:paraId="0BE4D4C0"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3.动量守恒定律的内容、守恒条件、数学表达式及分量式；</w:t>
      </w:r>
    </w:p>
    <w:p w14:paraId="64C28D1C"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4.直线运动中变力做功的计算方法，质点及质点系动能定理的内容和物理意义；</w:t>
      </w:r>
    </w:p>
    <w:p w14:paraId="16AC5054"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5.保守力的特征和势能的概念，功能原理的物理意义和质点系机械能守恒的条件。</w:t>
      </w:r>
    </w:p>
    <w:p w14:paraId="6B92623B"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【重点】</w:t>
      </w:r>
    </w:p>
    <w:p w14:paraId="69CF68B8" w14:textId="77777777" w:rsidR="00CF25BA" w:rsidRPr="00CF25BA" w:rsidRDefault="00CF25BA" w:rsidP="00CF25BA">
      <w:pPr>
        <w:adjustRightInd w:val="0"/>
        <w:snapToGrid w:val="0"/>
        <w:spacing w:line="500" w:lineRule="exact"/>
        <w:ind w:firstLine="480"/>
        <w:rPr>
          <w:rFonts w:ascii="宋体" w:eastAsia="宋体" w:hAnsi="宋体" w:cs="宋体"/>
          <w:sz w:val="24"/>
          <w:szCs w:val="24"/>
        </w:rPr>
      </w:pPr>
      <w:r w:rsidRPr="00CF25BA">
        <w:rPr>
          <w:rFonts w:ascii="宋体" w:eastAsia="宋体" w:hAnsi="宋体" w:cs="宋体" w:hint="eastAsia"/>
          <w:sz w:val="24"/>
          <w:szCs w:val="24"/>
        </w:rPr>
        <w:t>牛顿运动定律、动能定理、动量定理及功能原理、机械能守恒定律以及变力的功。</w:t>
      </w:r>
    </w:p>
    <w:p w14:paraId="54F13B47"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【难点】</w:t>
      </w:r>
    </w:p>
    <w:p w14:paraId="457BE3DE"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计算变力的功，保守力的功与势能的关系，应用质点组动能定理、动量定理及功能原理分析处理简单系统的动力学问题。</w:t>
      </w:r>
    </w:p>
    <w:p w14:paraId="3CE183A8" w14:textId="77777777" w:rsidR="00CF25BA" w:rsidRPr="00CF25BA" w:rsidRDefault="00CF25BA" w:rsidP="00CF25BA">
      <w:pPr>
        <w:spacing w:line="440" w:lineRule="exact"/>
        <w:ind w:firstLineChars="200" w:firstLine="482"/>
        <w:rPr>
          <w:rFonts w:ascii="宋体" w:eastAsia="宋体" w:hAnsi="宋体" w:cs="Times New Roman"/>
          <w:b/>
          <w:bCs/>
          <w:sz w:val="24"/>
          <w:szCs w:val="24"/>
        </w:rPr>
      </w:pPr>
      <w:r w:rsidRPr="00CF25BA">
        <w:rPr>
          <w:rFonts w:ascii="宋体" w:eastAsia="宋体" w:hAnsi="宋体" w:cs="Times New Roman" w:hint="eastAsia"/>
          <w:b/>
          <w:bCs/>
          <w:sz w:val="24"/>
          <w:szCs w:val="24"/>
        </w:rPr>
        <w:t>【教学方法】</w:t>
      </w:r>
    </w:p>
    <w:p w14:paraId="32848CDD"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讲授法、小组讨论、线上教学结合。</w:t>
      </w:r>
    </w:p>
    <w:p w14:paraId="221CC30B" w14:textId="77777777" w:rsidR="00CF25BA" w:rsidRPr="00CF25BA" w:rsidRDefault="00CF25BA" w:rsidP="00CF25BA">
      <w:pPr>
        <w:spacing w:beforeLines="50" w:before="156" w:afterLines="50" w:after="156" w:line="440" w:lineRule="exact"/>
        <w:ind w:firstLineChars="200" w:firstLine="560"/>
        <w:jc w:val="center"/>
        <w:rPr>
          <w:rFonts w:ascii="黑体" w:eastAsia="黑体" w:hAnsi="黑体" w:cs="Times New Roman"/>
          <w:sz w:val="28"/>
          <w:szCs w:val="28"/>
        </w:rPr>
      </w:pPr>
      <w:r w:rsidRPr="00CF25BA">
        <w:rPr>
          <w:rFonts w:ascii="黑体" w:eastAsia="黑体" w:hAnsi="黑体" w:cs="Times New Roman" w:hint="eastAsia"/>
          <w:sz w:val="28"/>
          <w:szCs w:val="28"/>
        </w:rPr>
        <w:t>第三章  刚体的定轴转动</w:t>
      </w:r>
    </w:p>
    <w:p w14:paraId="44733EC8"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【学习目标】</w:t>
      </w:r>
    </w:p>
    <w:p w14:paraId="143C6AEE" w14:textId="77777777" w:rsidR="00CF25BA" w:rsidRPr="00CF25BA" w:rsidRDefault="00CF25BA" w:rsidP="00CF25BA">
      <w:pPr>
        <w:spacing w:line="50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1.认知类目标：</w:t>
      </w:r>
      <w:r w:rsidRPr="00CF25BA">
        <w:rPr>
          <w:rFonts w:ascii="宋体" w:eastAsia="宋体" w:hAnsi="宋体" w:cs="宋体" w:hint="eastAsia"/>
          <w:sz w:val="24"/>
          <w:szCs w:val="24"/>
        </w:rPr>
        <w:t>理解刚体的平动、定轴转动。</w:t>
      </w:r>
    </w:p>
    <w:p w14:paraId="6CDEF1FE" w14:textId="77777777" w:rsidR="00CF25BA" w:rsidRPr="00CF25BA" w:rsidRDefault="00CF25BA" w:rsidP="00CF25BA">
      <w:pPr>
        <w:spacing w:line="500" w:lineRule="exact"/>
        <w:ind w:firstLineChars="200" w:firstLine="480"/>
        <w:rPr>
          <w:rFonts w:ascii="宋体" w:eastAsia="宋体" w:hAnsi="宋体" w:cs="宋体"/>
          <w:sz w:val="24"/>
          <w:szCs w:val="24"/>
        </w:rPr>
      </w:pPr>
      <w:r w:rsidRPr="00CF25BA">
        <w:rPr>
          <w:rFonts w:ascii="宋体" w:eastAsia="宋体" w:hAnsi="宋体" w:cs="Times New Roman" w:hint="eastAsia"/>
          <w:sz w:val="24"/>
          <w:szCs w:val="24"/>
        </w:rPr>
        <w:t>2.过程与方法类目标：</w:t>
      </w:r>
      <w:r w:rsidRPr="00CF25BA">
        <w:rPr>
          <w:rFonts w:ascii="宋体" w:eastAsia="宋体" w:hAnsi="宋体" w:cs="宋体" w:hint="eastAsia"/>
          <w:sz w:val="24"/>
          <w:szCs w:val="24"/>
        </w:rPr>
        <w:t xml:space="preserve">掌握并会计算刚体的转动动能及力矩。熟练掌握刚体定轴转动定律及其应用，掌握刚体定轴转动的动能定理。   </w:t>
      </w:r>
    </w:p>
    <w:p w14:paraId="3FF68CB1"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3.情感、态度、价值观类目标：具有敢于坚持真理勇于创新和实事求是的科学态度和科学精神，具有判断大众传媒有关信息是否科学的意识。</w:t>
      </w:r>
    </w:p>
    <w:p w14:paraId="70804009"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【学习内容】</w:t>
      </w:r>
    </w:p>
    <w:p w14:paraId="03257C07" w14:textId="77777777" w:rsidR="00CF25BA" w:rsidRPr="00CF25BA" w:rsidRDefault="00CF25BA">
      <w:pPr>
        <w:numPr>
          <w:ilvl w:val="0"/>
          <w:numId w:val="279"/>
        </w:numPr>
        <w:spacing w:line="50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lastRenderedPageBreak/>
        <w:t>描述刚体定轴转动的运动学方法；</w:t>
      </w:r>
    </w:p>
    <w:p w14:paraId="5013DB9A" w14:textId="77777777" w:rsidR="00CF25BA" w:rsidRPr="00CF25BA" w:rsidRDefault="00CF25BA">
      <w:pPr>
        <w:numPr>
          <w:ilvl w:val="0"/>
          <w:numId w:val="279"/>
        </w:numPr>
        <w:spacing w:line="50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刚体定轴转动的动能定理和转动定理的概念及应用。</w:t>
      </w:r>
    </w:p>
    <w:p w14:paraId="24DC9298"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【重点】</w:t>
      </w:r>
    </w:p>
    <w:p w14:paraId="3CF08E10" w14:textId="77777777" w:rsidR="00CF25BA" w:rsidRPr="00CF25BA" w:rsidRDefault="00CF25BA" w:rsidP="00CF25BA">
      <w:pPr>
        <w:adjustRightInd w:val="0"/>
        <w:snapToGrid w:val="0"/>
        <w:spacing w:line="50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刚体定轴转动的转动动能、转动惯量、力矩、力矩的功，刚体定轴转动的转动定律及其应用。</w:t>
      </w:r>
    </w:p>
    <w:p w14:paraId="7386C22B"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【难点】</w:t>
      </w:r>
    </w:p>
    <w:p w14:paraId="13D3DAF8"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力矩的计算，刚体定轴转动的转动定律及其应用。</w:t>
      </w:r>
    </w:p>
    <w:p w14:paraId="41840C93" w14:textId="77777777" w:rsidR="00CF25BA" w:rsidRPr="00CF25BA" w:rsidRDefault="00CF25BA" w:rsidP="00CF25BA">
      <w:pPr>
        <w:spacing w:line="440" w:lineRule="exact"/>
        <w:ind w:firstLineChars="200" w:firstLine="482"/>
        <w:rPr>
          <w:rFonts w:ascii="宋体" w:eastAsia="宋体" w:hAnsi="宋体" w:cs="Times New Roman"/>
          <w:b/>
          <w:bCs/>
          <w:sz w:val="24"/>
          <w:szCs w:val="24"/>
        </w:rPr>
      </w:pPr>
      <w:r w:rsidRPr="00CF25BA">
        <w:rPr>
          <w:rFonts w:ascii="宋体" w:eastAsia="宋体" w:hAnsi="宋体" w:cs="Times New Roman" w:hint="eastAsia"/>
          <w:b/>
          <w:bCs/>
          <w:sz w:val="24"/>
          <w:szCs w:val="24"/>
        </w:rPr>
        <w:t>【教学方法】</w:t>
      </w:r>
    </w:p>
    <w:p w14:paraId="01E32AE3"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讲授法与线上教学结合。</w:t>
      </w:r>
    </w:p>
    <w:p w14:paraId="02F104E2" w14:textId="77777777" w:rsidR="00CF25BA" w:rsidRPr="00CF25BA" w:rsidRDefault="00CF25BA" w:rsidP="00CF25BA">
      <w:pPr>
        <w:spacing w:beforeLines="50" w:before="156" w:afterLines="50" w:after="156" w:line="440" w:lineRule="exact"/>
        <w:jc w:val="center"/>
        <w:rPr>
          <w:rFonts w:ascii="黑体" w:eastAsia="黑体" w:hAnsi="黑体" w:cs="Times New Roman"/>
          <w:sz w:val="28"/>
          <w:szCs w:val="28"/>
        </w:rPr>
      </w:pPr>
      <w:r w:rsidRPr="00CF25BA">
        <w:rPr>
          <w:rFonts w:ascii="黑体" w:eastAsia="黑体" w:hAnsi="黑体" w:cs="Times New Roman" w:hint="eastAsia"/>
          <w:sz w:val="28"/>
          <w:szCs w:val="28"/>
        </w:rPr>
        <w:t>第四章 静电场</w:t>
      </w:r>
    </w:p>
    <w:p w14:paraId="73551157"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【学习目标】</w:t>
      </w:r>
    </w:p>
    <w:p w14:paraId="21873322"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Times New Roman" w:hint="eastAsia"/>
          <w:sz w:val="24"/>
          <w:szCs w:val="24"/>
        </w:rPr>
        <w:t>1.认知类目标：</w:t>
      </w:r>
      <w:r w:rsidRPr="00CF25BA">
        <w:rPr>
          <w:rFonts w:ascii="宋体" w:eastAsia="宋体" w:hAnsi="宋体" w:cs="宋体" w:hint="eastAsia"/>
          <w:sz w:val="24"/>
          <w:szCs w:val="24"/>
        </w:rPr>
        <w:t>理解电荷的量子化、电荷守恒定律；了解电场线、等势面的概念；理解电势和电势差的概念，理解电场力</w:t>
      </w:r>
      <w:proofErr w:type="gramStart"/>
      <w:r w:rsidRPr="00CF25BA">
        <w:rPr>
          <w:rFonts w:ascii="宋体" w:eastAsia="宋体" w:hAnsi="宋体" w:cs="宋体" w:hint="eastAsia"/>
          <w:sz w:val="24"/>
          <w:szCs w:val="24"/>
        </w:rPr>
        <w:t>作功</w:t>
      </w:r>
      <w:proofErr w:type="gramEnd"/>
      <w:r w:rsidRPr="00CF25BA">
        <w:rPr>
          <w:rFonts w:ascii="宋体" w:eastAsia="宋体" w:hAnsi="宋体" w:cs="宋体" w:hint="eastAsia"/>
          <w:sz w:val="24"/>
          <w:szCs w:val="24"/>
        </w:rPr>
        <w:t>的特点；掌握静电场的基本性质、电场强度和电势的概念以及电场强度和电势的叠加原理；</w:t>
      </w:r>
    </w:p>
    <w:p w14:paraId="5AC16D5A"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Times New Roman" w:hint="eastAsia"/>
          <w:sz w:val="24"/>
          <w:szCs w:val="24"/>
        </w:rPr>
        <w:t>2.过程与方法类目标：</w:t>
      </w:r>
      <w:r w:rsidRPr="00CF25BA">
        <w:rPr>
          <w:rFonts w:ascii="宋体" w:eastAsia="宋体" w:hAnsi="宋体" w:cs="宋体" w:hint="eastAsia"/>
          <w:sz w:val="24"/>
          <w:szCs w:val="24"/>
        </w:rPr>
        <w:t xml:space="preserve">掌握用电场强度积分的方法计算电势；掌握电势的两种计算方法；掌握电势与电场强度的积分关系。能计算一般问题中的电场强度和电势；掌握静电场的基本规律：库仑定律、高斯定理和环路定理，掌握用高斯定理计算电场强度的条件和方法； </w:t>
      </w:r>
    </w:p>
    <w:p w14:paraId="498CF2E8"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3.情感、态度、价值观类目标：培养学生理论联系实际的能力。</w:t>
      </w:r>
    </w:p>
    <w:p w14:paraId="3F4F869F"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【学习内容】</w:t>
      </w:r>
    </w:p>
    <w:p w14:paraId="68EC6185"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1.真空中的库仑定律及其矢量表达式，电场的概念和电场强度的定义；</w:t>
      </w:r>
    </w:p>
    <w:p w14:paraId="4F660A66" w14:textId="77777777" w:rsidR="00CF25BA" w:rsidRPr="00CF25BA" w:rsidRDefault="00CF25BA" w:rsidP="00CF25BA">
      <w:pPr>
        <w:spacing w:line="440" w:lineRule="exact"/>
        <w:ind w:firstLine="480"/>
        <w:rPr>
          <w:rFonts w:ascii="宋体" w:eastAsia="宋体" w:hAnsi="宋体" w:cs="Times New Roman"/>
          <w:sz w:val="24"/>
          <w:szCs w:val="24"/>
        </w:rPr>
      </w:pPr>
      <w:r w:rsidRPr="00CF25BA">
        <w:rPr>
          <w:rFonts w:ascii="宋体" w:eastAsia="宋体" w:hAnsi="宋体" w:cs="Times New Roman" w:hint="eastAsia"/>
          <w:sz w:val="24"/>
          <w:szCs w:val="24"/>
        </w:rPr>
        <w:t>2.电场强度叠加原理，用该原理求解电场强度分布；</w:t>
      </w:r>
    </w:p>
    <w:p w14:paraId="18A9D827" w14:textId="77777777" w:rsidR="00CF25BA" w:rsidRPr="00CF25BA" w:rsidRDefault="00CF25BA" w:rsidP="00CF25BA">
      <w:pPr>
        <w:spacing w:line="440" w:lineRule="exact"/>
        <w:ind w:firstLine="480"/>
        <w:rPr>
          <w:rFonts w:ascii="宋体" w:eastAsia="宋体" w:hAnsi="宋体" w:cs="Times New Roman"/>
          <w:sz w:val="24"/>
          <w:szCs w:val="24"/>
        </w:rPr>
      </w:pPr>
      <w:r w:rsidRPr="00CF25BA">
        <w:rPr>
          <w:rFonts w:ascii="宋体" w:eastAsia="宋体" w:hAnsi="宋体" w:cs="Times New Roman" w:hint="eastAsia"/>
          <w:sz w:val="24"/>
          <w:szCs w:val="24"/>
        </w:rPr>
        <w:t>3.电场强度通量的概念及计算公式，高斯定理的内容，并学会应用高斯定理计算某些特殊分布电荷的场强；</w:t>
      </w:r>
    </w:p>
    <w:p w14:paraId="46D615A0" w14:textId="77777777" w:rsidR="00CF25BA" w:rsidRPr="00CF25BA" w:rsidRDefault="00CF25BA" w:rsidP="00CF25BA">
      <w:pPr>
        <w:spacing w:line="440" w:lineRule="exact"/>
        <w:ind w:firstLine="480"/>
        <w:rPr>
          <w:rFonts w:ascii="宋体" w:eastAsia="宋体" w:hAnsi="宋体" w:cs="Times New Roman"/>
          <w:sz w:val="24"/>
          <w:szCs w:val="24"/>
        </w:rPr>
      </w:pPr>
      <w:r w:rsidRPr="00CF25BA">
        <w:rPr>
          <w:rFonts w:ascii="宋体" w:eastAsia="宋体" w:hAnsi="宋体" w:cs="Times New Roman" w:hint="eastAsia"/>
          <w:sz w:val="24"/>
          <w:szCs w:val="24"/>
        </w:rPr>
        <w:t>4.静电场中电场力做功的特点，用场强和电势的积分关系计算电势分布的方法。</w:t>
      </w:r>
    </w:p>
    <w:p w14:paraId="1E088394"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【重点】</w:t>
      </w:r>
    </w:p>
    <w:p w14:paraId="47AC802F" w14:textId="77777777" w:rsidR="00CF25BA" w:rsidRPr="00CF25BA" w:rsidRDefault="00CF25BA" w:rsidP="00CF25BA">
      <w:pPr>
        <w:adjustRightInd w:val="0"/>
        <w:snapToGrid w:val="0"/>
        <w:spacing w:line="500" w:lineRule="exact"/>
        <w:ind w:firstLine="480"/>
        <w:rPr>
          <w:rFonts w:ascii="宋体" w:eastAsia="宋体" w:hAnsi="宋体" w:cs="宋体"/>
          <w:sz w:val="24"/>
          <w:szCs w:val="24"/>
        </w:rPr>
      </w:pPr>
      <w:r w:rsidRPr="00CF25BA">
        <w:rPr>
          <w:rFonts w:ascii="宋体" w:eastAsia="宋体" w:hAnsi="宋体" w:cs="宋体" w:hint="eastAsia"/>
          <w:sz w:val="24"/>
          <w:szCs w:val="24"/>
        </w:rPr>
        <w:t>静电场的基本性质、电场强度和电势的概念以及电场强度和电势的叠加原理，库仑定律、静电场的高斯定理和环路定理，电势与电场强度的积分关系。</w:t>
      </w:r>
    </w:p>
    <w:p w14:paraId="3FBE667D"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【难点】</w:t>
      </w:r>
    </w:p>
    <w:p w14:paraId="066E93F8" w14:textId="77777777" w:rsidR="00CF25BA" w:rsidRPr="00CF25BA" w:rsidRDefault="00CF25BA" w:rsidP="00CF25BA">
      <w:pPr>
        <w:adjustRightInd w:val="0"/>
        <w:snapToGrid w:val="0"/>
        <w:spacing w:line="500" w:lineRule="exact"/>
        <w:ind w:firstLine="480"/>
        <w:rPr>
          <w:rFonts w:ascii="宋体" w:eastAsia="宋体" w:hAnsi="宋体" w:cs="Times New Roman"/>
          <w:sz w:val="24"/>
          <w:szCs w:val="24"/>
        </w:rPr>
      </w:pPr>
      <w:r w:rsidRPr="00CF25BA">
        <w:rPr>
          <w:rFonts w:ascii="宋体" w:eastAsia="宋体" w:hAnsi="宋体" w:cs="宋体" w:hint="eastAsia"/>
          <w:sz w:val="24"/>
          <w:szCs w:val="24"/>
        </w:rPr>
        <w:t>用高斯定理计算电场强度的条件和方法，用电场强度积分的方法计算电势。</w:t>
      </w:r>
    </w:p>
    <w:p w14:paraId="5B2F3A4E" w14:textId="77777777" w:rsidR="00CF25BA" w:rsidRPr="00CF25BA" w:rsidRDefault="00CF25BA" w:rsidP="00CF25BA">
      <w:pPr>
        <w:spacing w:line="440" w:lineRule="exact"/>
        <w:ind w:firstLineChars="200" w:firstLine="482"/>
        <w:rPr>
          <w:rFonts w:ascii="宋体" w:eastAsia="宋体" w:hAnsi="宋体" w:cs="Times New Roman"/>
          <w:b/>
          <w:bCs/>
          <w:sz w:val="24"/>
          <w:szCs w:val="24"/>
        </w:rPr>
      </w:pPr>
      <w:r w:rsidRPr="00CF25BA">
        <w:rPr>
          <w:rFonts w:ascii="宋体" w:eastAsia="宋体" w:hAnsi="宋体" w:cs="Times New Roman" w:hint="eastAsia"/>
          <w:b/>
          <w:bCs/>
          <w:sz w:val="24"/>
          <w:szCs w:val="24"/>
        </w:rPr>
        <w:lastRenderedPageBreak/>
        <w:t>【教学方法】</w:t>
      </w:r>
    </w:p>
    <w:p w14:paraId="3DDC986E"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讲授法、小组讨论、线上教学结合。</w:t>
      </w:r>
    </w:p>
    <w:p w14:paraId="52D0827C" w14:textId="77777777" w:rsidR="00CF25BA" w:rsidRPr="00CF25BA" w:rsidRDefault="00CF25BA" w:rsidP="00CF25BA">
      <w:pPr>
        <w:spacing w:beforeLines="50" w:before="156" w:afterLines="50" w:after="156" w:line="440" w:lineRule="exact"/>
        <w:ind w:firstLineChars="200" w:firstLine="560"/>
        <w:jc w:val="center"/>
        <w:rPr>
          <w:rFonts w:ascii="黑体" w:eastAsia="黑体" w:hAnsi="黑体" w:cs="Times New Roman"/>
          <w:sz w:val="28"/>
          <w:szCs w:val="28"/>
        </w:rPr>
      </w:pPr>
      <w:r w:rsidRPr="00CF25BA">
        <w:rPr>
          <w:rFonts w:ascii="黑体" w:eastAsia="黑体" w:hAnsi="黑体" w:cs="Times New Roman" w:hint="eastAsia"/>
          <w:sz w:val="28"/>
          <w:szCs w:val="28"/>
        </w:rPr>
        <w:t>第五章  恒定磁场</w:t>
      </w:r>
    </w:p>
    <w:p w14:paraId="242AB6AD"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【学习目标】</w:t>
      </w:r>
    </w:p>
    <w:p w14:paraId="15AEC658" w14:textId="77777777" w:rsidR="00CF25BA" w:rsidRPr="00CF25BA" w:rsidRDefault="00CF25BA">
      <w:pPr>
        <w:numPr>
          <w:ilvl w:val="0"/>
          <w:numId w:val="280"/>
        </w:numPr>
        <w:spacing w:line="440" w:lineRule="exact"/>
        <w:ind w:firstLineChars="200" w:firstLine="480"/>
        <w:rPr>
          <w:rFonts w:ascii="宋体" w:eastAsia="宋体" w:hAnsi="宋体" w:cs="宋体"/>
          <w:sz w:val="24"/>
          <w:szCs w:val="24"/>
        </w:rPr>
      </w:pPr>
      <w:r w:rsidRPr="00CF25BA">
        <w:rPr>
          <w:rFonts w:ascii="宋体" w:eastAsia="宋体" w:hAnsi="宋体" w:cs="Times New Roman" w:hint="eastAsia"/>
          <w:sz w:val="24"/>
          <w:szCs w:val="24"/>
        </w:rPr>
        <w:t>认知类目标：</w:t>
      </w:r>
      <w:r w:rsidRPr="00CF25BA">
        <w:rPr>
          <w:rFonts w:ascii="宋体" w:eastAsia="宋体" w:hAnsi="宋体" w:cs="宋体" w:hint="eastAsia"/>
          <w:sz w:val="24"/>
          <w:szCs w:val="24"/>
        </w:rPr>
        <w:t>了解磁感应线的物理意义；理解磁通量的物理意义及计算方法；理解磁场的基本性质和磁感应强度的基本概念；掌握毕奥</w:t>
      </w:r>
      <w:proofErr w:type="gramStart"/>
      <w:r w:rsidRPr="00CF25BA">
        <w:rPr>
          <w:rFonts w:ascii="宋体" w:eastAsia="宋体" w:hAnsi="宋体" w:cs="宋体" w:hint="eastAsia"/>
          <w:sz w:val="24"/>
          <w:szCs w:val="24"/>
        </w:rPr>
        <w:t>一萨</w:t>
      </w:r>
      <w:proofErr w:type="gramEnd"/>
      <w:r w:rsidRPr="00CF25BA">
        <w:rPr>
          <w:rFonts w:ascii="宋体" w:eastAsia="宋体" w:hAnsi="宋体" w:cs="宋体" w:hint="eastAsia"/>
          <w:sz w:val="24"/>
          <w:szCs w:val="24"/>
        </w:rPr>
        <w:t>伐尔定律的物理意义；掌握稳恒磁场的规律：磁场高斯定理和安培环路定理。</w:t>
      </w:r>
    </w:p>
    <w:p w14:paraId="6CFBD9FC"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Times New Roman" w:hint="eastAsia"/>
          <w:sz w:val="24"/>
          <w:szCs w:val="24"/>
        </w:rPr>
        <w:t>2.过程与方法类目标：掌握</w:t>
      </w:r>
      <w:r w:rsidRPr="00CF25BA">
        <w:rPr>
          <w:rFonts w:ascii="宋体" w:eastAsia="宋体" w:hAnsi="宋体" w:cs="宋体" w:hint="eastAsia"/>
          <w:sz w:val="24"/>
          <w:szCs w:val="24"/>
        </w:rPr>
        <w:t>用安培环路定理计算磁感应强度的条件和方法；掌握安培定律和洛仑兹力公式；掌握</w:t>
      </w:r>
      <w:proofErr w:type="gramStart"/>
      <w:r w:rsidRPr="00CF25BA">
        <w:rPr>
          <w:rFonts w:ascii="宋体" w:eastAsia="宋体" w:hAnsi="宋体" w:cs="宋体" w:hint="eastAsia"/>
          <w:sz w:val="24"/>
          <w:szCs w:val="24"/>
        </w:rPr>
        <w:t>磁场对载流</w:t>
      </w:r>
      <w:proofErr w:type="gramEnd"/>
      <w:r w:rsidRPr="00CF25BA">
        <w:rPr>
          <w:rFonts w:ascii="宋体" w:eastAsia="宋体" w:hAnsi="宋体" w:cs="宋体" w:hint="eastAsia"/>
          <w:sz w:val="24"/>
          <w:szCs w:val="24"/>
        </w:rPr>
        <w:t xml:space="preserve">线圈的作用的磁力矩的物理意义及其计算方法，会计算安培力、洛伦兹力的大小；能分析点电荷在均匀电磁场（包括纯电场、纯磁场）中的受力和运动；   </w:t>
      </w:r>
    </w:p>
    <w:p w14:paraId="14E68559"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3.情感、态度、价值观类目标：理解电与磁之间的联系，并将物理学中电与磁的知识应用于其它学科。</w:t>
      </w:r>
    </w:p>
    <w:p w14:paraId="6A9650EA"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【学习内容】</w:t>
      </w:r>
    </w:p>
    <w:p w14:paraId="23AB19F2"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1.磁感应强度的定义，领会磁通量的计算公式，磁场的高斯定理；</w:t>
      </w:r>
    </w:p>
    <w:p w14:paraId="760F12D5"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2.安培定律的内容和矢量表达式，计算载流导体所受的安培力和载流线圈所受的磁矩；</w:t>
      </w:r>
    </w:p>
    <w:p w14:paraId="3B525EE1"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3.磁场的叠加原理，毕奥</w:t>
      </w:r>
      <w:proofErr w:type="gramStart"/>
      <w:r w:rsidRPr="00CF25BA">
        <w:rPr>
          <w:rFonts w:ascii="宋体" w:eastAsia="宋体" w:hAnsi="宋体" w:cs="宋体" w:hint="eastAsia"/>
          <w:sz w:val="24"/>
          <w:szCs w:val="24"/>
        </w:rPr>
        <w:t>一萨</w:t>
      </w:r>
      <w:proofErr w:type="gramEnd"/>
      <w:r w:rsidRPr="00CF25BA">
        <w:rPr>
          <w:rFonts w:ascii="宋体" w:eastAsia="宋体" w:hAnsi="宋体" w:cs="宋体" w:hint="eastAsia"/>
          <w:sz w:val="24"/>
          <w:szCs w:val="24"/>
        </w:rPr>
        <w:t>伐尔定律的内容和数学表达式，应用毕奥</w:t>
      </w:r>
      <w:proofErr w:type="gramStart"/>
      <w:r w:rsidRPr="00CF25BA">
        <w:rPr>
          <w:rFonts w:ascii="宋体" w:eastAsia="宋体" w:hAnsi="宋体" w:cs="宋体" w:hint="eastAsia"/>
          <w:sz w:val="24"/>
          <w:szCs w:val="24"/>
        </w:rPr>
        <w:t>一萨</w:t>
      </w:r>
      <w:proofErr w:type="gramEnd"/>
      <w:r w:rsidRPr="00CF25BA">
        <w:rPr>
          <w:rFonts w:ascii="宋体" w:eastAsia="宋体" w:hAnsi="宋体" w:cs="宋体" w:hint="eastAsia"/>
          <w:sz w:val="24"/>
          <w:szCs w:val="24"/>
        </w:rPr>
        <w:t>伐尔定律和磁场叠加原理计算电流的磁场中磁感应强度</w:t>
      </w:r>
      <w:r w:rsidRPr="00CF25BA">
        <w:rPr>
          <w:rFonts w:ascii="宋体" w:eastAsia="宋体" w:hAnsi="宋体" w:cs="宋体" w:hint="eastAsia"/>
          <w:b/>
          <w:bCs/>
          <w:sz w:val="24"/>
          <w:szCs w:val="24"/>
        </w:rPr>
        <w:t>B</w:t>
      </w:r>
      <w:r w:rsidRPr="00CF25BA">
        <w:rPr>
          <w:rFonts w:ascii="宋体" w:eastAsia="宋体" w:hAnsi="宋体" w:cs="宋体" w:hint="eastAsia"/>
          <w:sz w:val="24"/>
          <w:szCs w:val="24"/>
        </w:rPr>
        <w:t>的分布；</w:t>
      </w:r>
    </w:p>
    <w:p w14:paraId="620EADFC"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4.安培环定理的内容及数学表达式，用安培环路定理计算磁感应强度。</w:t>
      </w:r>
    </w:p>
    <w:p w14:paraId="68358AFD"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【重点】</w:t>
      </w:r>
    </w:p>
    <w:p w14:paraId="69220212" w14:textId="77777777" w:rsidR="00CF25BA" w:rsidRPr="00CF25BA" w:rsidRDefault="00CF25BA" w:rsidP="00CF25BA">
      <w:pPr>
        <w:adjustRightInd w:val="0"/>
        <w:snapToGrid w:val="0"/>
        <w:spacing w:line="50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安培定律，洛仑兹力公式，毕</w:t>
      </w:r>
      <w:proofErr w:type="gramStart"/>
      <w:r w:rsidRPr="00CF25BA">
        <w:rPr>
          <w:rFonts w:ascii="宋体" w:eastAsia="宋体" w:hAnsi="宋体" w:cs="宋体" w:hint="eastAsia"/>
          <w:sz w:val="24"/>
          <w:szCs w:val="24"/>
        </w:rPr>
        <w:t>一萨</w:t>
      </w:r>
      <w:proofErr w:type="gramEnd"/>
      <w:r w:rsidRPr="00CF25BA">
        <w:rPr>
          <w:rFonts w:ascii="宋体" w:eastAsia="宋体" w:hAnsi="宋体" w:cs="宋体" w:hint="eastAsia"/>
          <w:sz w:val="24"/>
          <w:szCs w:val="24"/>
        </w:rPr>
        <w:t>定律，磁场高斯定理和安培环路定理，用安培环路定理计算磁感应强度的条件和方法。</w:t>
      </w:r>
    </w:p>
    <w:p w14:paraId="58B65789"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【难点】</w:t>
      </w:r>
    </w:p>
    <w:p w14:paraId="66490B4B" w14:textId="77777777" w:rsidR="00CF25BA" w:rsidRPr="00CF25BA" w:rsidRDefault="00CF25BA" w:rsidP="00CF25BA">
      <w:pPr>
        <w:adjustRightInd w:val="0"/>
        <w:snapToGrid w:val="0"/>
        <w:spacing w:line="500" w:lineRule="exact"/>
        <w:ind w:firstLine="480"/>
        <w:rPr>
          <w:rFonts w:ascii="宋体" w:eastAsia="宋体" w:hAnsi="宋体" w:cs="宋体"/>
          <w:sz w:val="24"/>
          <w:szCs w:val="24"/>
        </w:rPr>
      </w:pPr>
      <w:proofErr w:type="gramStart"/>
      <w:r w:rsidRPr="00CF25BA">
        <w:rPr>
          <w:rFonts w:ascii="宋体" w:eastAsia="宋体" w:hAnsi="宋体" w:cs="宋体" w:hint="eastAsia"/>
          <w:sz w:val="24"/>
          <w:szCs w:val="24"/>
        </w:rPr>
        <w:t>磁场对载流</w:t>
      </w:r>
      <w:proofErr w:type="gramEnd"/>
      <w:r w:rsidRPr="00CF25BA">
        <w:rPr>
          <w:rFonts w:ascii="宋体" w:eastAsia="宋体" w:hAnsi="宋体" w:cs="宋体" w:hint="eastAsia"/>
          <w:sz w:val="24"/>
          <w:szCs w:val="24"/>
        </w:rPr>
        <w:t>线圈的作用的磁力矩的物理意义及其计算方法。</w:t>
      </w:r>
    </w:p>
    <w:p w14:paraId="1B432500" w14:textId="77777777" w:rsidR="00CF25BA" w:rsidRPr="00CF25BA" w:rsidRDefault="00CF25BA" w:rsidP="00CF25BA">
      <w:pPr>
        <w:spacing w:line="440" w:lineRule="exact"/>
        <w:ind w:firstLineChars="200" w:firstLine="482"/>
        <w:rPr>
          <w:rFonts w:ascii="宋体" w:eastAsia="宋体" w:hAnsi="宋体" w:cs="Times New Roman"/>
          <w:b/>
          <w:bCs/>
          <w:sz w:val="24"/>
          <w:szCs w:val="24"/>
        </w:rPr>
      </w:pPr>
      <w:r w:rsidRPr="00CF25BA">
        <w:rPr>
          <w:rFonts w:ascii="宋体" w:eastAsia="宋体" w:hAnsi="宋体" w:cs="Times New Roman" w:hint="eastAsia"/>
          <w:b/>
          <w:bCs/>
          <w:sz w:val="24"/>
          <w:szCs w:val="24"/>
        </w:rPr>
        <w:t>【教学方法】</w:t>
      </w:r>
    </w:p>
    <w:p w14:paraId="79EF21ED" w14:textId="77777777" w:rsidR="00CF25BA" w:rsidRPr="00CF25BA" w:rsidRDefault="00CF25BA" w:rsidP="00CF25BA">
      <w:pPr>
        <w:spacing w:beforeLines="50" w:before="156" w:afterLines="50" w:after="156" w:line="440" w:lineRule="exact"/>
        <w:ind w:firstLineChars="200" w:firstLine="480"/>
        <w:jc w:val="left"/>
        <w:rPr>
          <w:rFonts w:ascii="宋体" w:eastAsia="宋体" w:hAnsi="宋体" w:cs="Times New Roman"/>
          <w:sz w:val="24"/>
          <w:szCs w:val="24"/>
        </w:rPr>
      </w:pPr>
      <w:r w:rsidRPr="00CF25BA">
        <w:rPr>
          <w:rFonts w:ascii="宋体" w:eastAsia="宋体" w:hAnsi="宋体" w:cs="Times New Roman" w:hint="eastAsia"/>
          <w:sz w:val="24"/>
          <w:szCs w:val="24"/>
        </w:rPr>
        <w:t>讲授法和小组讨论。</w:t>
      </w:r>
    </w:p>
    <w:p w14:paraId="65F57263" w14:textId="77777777" w:rsidR="00CF25BA" w:rsidRPr="00CF25BA" w:rsidRDefault="00CF25BA" w:rsidP="00CF25BA">
      <w:pPr>
        <w:spacing w:beforeLines="50" w:before="156" w:afterLines="50" w:after="156" w:line="440" w:lineRule="exact"/>
        <w:ind w:firstLineChars="200" w:firstLine="560"/>
        <w:jc w:val="center"/>
        <w:rPr>
          <w:rFonts w:ascii="黑体" w:eastAsia="黑体" w:hAnsi="黑体" w:cs="Times New Roman"/>
          <w:sz w:val="28"/>
          <w:szCs w:val="28"/>
        </w:rPr>
      </w:pPr>
      <w:r w:rsidRPr="00CF25BA">
        <w:rPr>
          <w:rFonts w:ascii="黑体" w:eastAsia="黑体" w:hAnsi="黑体" w:cs="Times New Roman" w:hint="eastAsia"/>
          <w:sz w:val="28"/>
          <w:szCs w:val="28"/>
        </w:rPr>
        <w:t>第六章  电磁感应 电磁场</w:t>
      </w:r>
    </w:p>
    <w:p w14:paraId="14323262"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【学习目标】</w:t>
      </w:r>
    </w:p>
    <w:p w14:paraId="64C39B16"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Times New Roman" w:hint="eastAsia"/>
          <w:sz w:val="24"/>
          <w:szCs w:val="24"/>
        </w:rPr>
        <w:lastRenderedPageBreak/>
        <w:t>1.认知类目标：</w:t>
      </w:r>
      <w:r w:rsidRPr="00CF25BA">
        <w:rPr>
          <w:rFonts w:ascii="宋体" w:eastAsia="宋体" w:hAnsi="宋体" w:cs="宋体" w:hint="eastAsia"/>
          <w:sz w:val="24"/>
          <w:szCs w:val="24"/>
        </w:rPr>
        <w:t>理解电动势基本概念，掌握法拉第电磁感应定律</w:t>
      </w:r>
      <w:proofErr w:type="gramStart"/>
      <w:r w:rsidRPr="00CF25BA">
        <w:rPr>
          <w:rFonts w:ascii="宋体" w:eastAsia="宋体" w:hAnsi="宋体" w:cs="宋体" w:hint="eastAsia"/>
          <w:sz w:val="24"/>
          <w:szCs w:val="24"/>
        </w:rPr>
        <w:t>与愣次</w:t>
      </w:r>
      <w:proofErr w:type="gramEnd"/>
      <w:r w:rsidRPr="00CF25BA">
        <w:rPr>
          <w:rFonts w:ascii="宋体" w:eastAsia="宋体" w:hAnsi="宋体" w:cs="宋体" w:hint="eastAsia"/>
          <w:sz w:val="24"/>
          <w:szCs w:val="24"/>
        </w:rPr>
        <w:t>定律；</w:t>
      </w:r>
    </w:p>
    <w:p w14:paraId="3F2191C1"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Times New Roman" w:hint="eastAsia"/>
          <w:sz w:val="24"/>
          <w:szCs w:val="24"/>
        </w:rPr>
        <w:t>2.过程与方法类目标：</w:t>
      </w:r>
      <w:r w:rsidRPr="00CF25BA">
        <w:rPr>
          <w:rFonts w:ascii="宋体" w:eastAsia="宋体" w:hAnsi="宋体" w:cs="宋体" w:hint="eastAsia"/>
          <w:sz w:val="24"/>
          <w:szCs w:val="24"/>
        </w:rPr>
        <w:t xml:space="preserve">能熟练应用法拉第电磁感应定律分析研究电磁感应现象；理解产生动生电动势的非静电力是洛仑兹力，掌握动生电动势的计算方法；了解产生感生电动势的非静电力是变化的磁场，了解感生电动势的计算方法； </w:t>
      </w:r>
    </w:p>
    <w:p w14:paraId="05E16F23" w14:textId="77777777" w:rsidR="00CF25BA" w:rsidRPr="00CF25BA" w:rsidRDefault="00CF25BA" w:rsidP="00CF25BA">
      <w:pPr>
        <w:spacing w:line="440" w:lineRule="exact"/>
        <w:ind w:leftChars="200" w:left="420"/>
        <w:rPr>
          <w:rFonts w:ascii="宋体" w:eastAsia="宋体" w:hAnsi="宋体" w:cs="Times New Roman"/>
          <w:sz w:val="24"/>
          <w:szCs w:val="24"/>
        </w:rPr>
      </w:pPr>
      <w:r w:rsidRPr="00CF25BA">
        <w:rPr>
          <w:rFonts w:ascii="宋体" w:eastAsia="宋体" w:hAnsi="宋体" w:cs="Times New Roman" w:hint="eastAsia"/>
          <w:sz w:val="24"/>
          <w:szCs w:val="24"/>
        </w:rPr>
        <w:t>3.情感、态度、价值观类目标：能够领略自然界的奇妙与和谐，发展对科学的</w:t>
      </w:r>
    </w:p>
    <w:p w14:paraId="347132E9" w14:textId="77777777" w:rsidR="00CF25BA" w:rsidRPr="00CF25BA" w:rsidRDefault="00CF25BA" w:rsidP="00CF25BA">
      <w:pPr>
        <w:spacing w:line="440" w:lineRule="exact"/>
        <w:rPr>
          <w:rFonts w:ascii="宋体" w:eastAsia="宋体" w:hAnsi="宋体" w:cs="Times New Roman"/>
          <w:sz w:val="24"/>
          <w:szCs w:val="24"/>
        </w:rPr>
      </w:pPr>
      <w:r w:rsidRPr="00CF25BA">
        <w:rPr>
          <w:rFonts w:ascii="宋体" w:eastAsia="宋体" w:hAnsi="宋体" w:cs="Times New Roman" w:hint="eastAsia"/>
          <w:sz w:val="24"/>
          <w:szCs w:val="24"/>
        </w:rPr>
        <w:t>好奇心与求知欲，乐于探索自然界的奥妙。</w:t>
      </w:r>
    </w:p>
    <w:p w14:paraId="75BADA06"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【学习内容】</w:t>
      </w:r>
    </w:p>
    <w:p w14:paraId="1C4B2007"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1.电源电动势的定义及其物理意义，楞次定律及其物理实质，法拉第电磁感应定律及其数学表达式；</w:t>
      </w:r>
    </w:p>
    <w:p w14:paraId="09186C29"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2.动生电动势产生的原因和数学表达式。</w:t>
      </w:r>
    </w:p>
    <w:p w14:paraId="08FA1C8B"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【重点】</w:t>
      </w:r>
    </w:p>
    <w:p w14:paraId="7E25A415" w14:textId="77777777" w:rsidR="00CF25BA" w:rsidRPr="00CF25BA" w:rsidRDefault="00CF25BA" w:rsidP="00CF25BA">
      <w:pPr>
        <w:adjustRightInd w:val="0"/>
        <w:snapToGrid w:val="0"/>
        <w:spacing w:line="50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法拉第电磁感应定律</w:t>
      </w:r>
      <w:proofErr w:type="gramStart"/>
      <w:r w:rsidRPr="00CF25BA">
        <w:rPr>
          <w:rFonts w:ascii="宋体" w:eastAsia="宋体" w:hAnsi="宋体" w:cs="宋体" w:hint="eastAsia"/>
          <w:sz w:val="24"/>
          <w:szCs w:val="24"/>
        </w:rPr>
        <w:t>与愣次</w:t>
      </w:r>
      <w:proofErr w:type="gramEnd"/>
      <w:r w:rsidRPr="00CF25BA">
        <w:rPr>
          <w:rFonts w:ascii="宋体" w:eastAsia="宋体" w:hAnsi="宋体" w:cs="宋体" w:hint="eastAsia"/>
          <w:sz w:val="24"/>
          <w:szCs w:val="24"/>
        </w:rPr>
        <w:t>定律，动生电动势及其计算方法。</w:t>
      </w:r>
    </w:p>
    <w:p w14:paraId="0514C48D"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【难点】</w:t>
      </w:r>
    </w:p>
    <w:p w14:paraId="08C4FFB6" w14:textId="77777777" w:rsidR="00CF25BA" w:rsidRPr="00CF25BA" w:rsidRDefault="00CF25BA" w:rsidP="00CF25BA">
      <w:pPr>
        <w:adjustRightInd w:val="0"/>
        <w:snapToGrid w:val="0"/>
        <w:spacing w:line="500" w:lineRule="exact"/>
        <w:ind w:firstLine="480"/>
        <w:rPr>
          <w:rFonts w:ascii="宋体" w:eastAsia="宋体" w:hAnsi="宋体" w:cs="宋体"/>
          <w:sz w:val="24"/>
          <w:szCs w:val="24"/>
        </w:rPr>
      </w:pPr>
      <w:r w:rsidRPr="00CF25BA">
        <w:rPr>
          <w:rFonts w:ascii="宋体" w:eastAsia="宋体" w:hAnsi="宋体" w:cs="宋体" w:hint="eastAsia"/>
          <w:sz w:val="24"/>
          <w:szCs w:val="24"/>
        </w:rPr>
        <w:t>动生电动势的计算方法。</w:t>
      </w:r>
    </w:p>
    <w:p w14:paraId="08929C39" w14:textId="77777777" w:rsidR="00CF25BA" w:rsidRPr="00CF25BA" w:rsidRDefault="00CF25BA" w:rsidP="00CF25BA">
      <w:pPr>
        <w:spacing w:line="440" w:lineRule="exact"/>
        <w:ind w:firstLineChars="200" w:firstLine="482"/>
        <w:rPr>
          <w:rFonts w:ascii="宋体" w:eastAsia="宋体" w:hAnsi="宋体" w:cs="Times New Roman"/>
          <w:b/>
          <w:bCs/>
          <w:sz w:val="24"/>
          <w:szCs w:val="24"/>
        </w:rPr>
      </w:pPr>
      <w:r w:rsidRPr="00CF25BA">
        <w:rPr>
          <w:rFonts w:ascii="宋体" w:eastAsia="宋体" w:hAnsi="宋体" w:cs="Times New Roman" w:hint="eastAsia"/>
          <w:b/>
          <w:bCs/>
          <w:sz w:val="24"/>
          <w:szCs w:val="24"/>
        </w:rPr>
        <w:t>【教学方法】</w:t>
      </w:r>
    </w:p>
    <w:p w14:paraId="7B7FE589" w14:textId="77777777" w:rsidR="00CF25BA" w:rsidRPr="00CF25BA" w:rsidRDefault="00CF25BA" w:rsidP="00CF25BA">
      <w:pPr>
        <w:spacing w:beforeLines="50" w:before="156" w:afterLines="50" w:after="156" w:line="440" w:lineRule="exact"/>
        <w:ind w:firstLineChars="200" w:firstLine="480"/>
        <w:jc w:val="left"/>
        <w:rPr>
          <w:rFonts w:ascii="宋体" w:eastAsia="宋体" w:hAnsi="宋体" w:cs="Times New Roman"/>
          <w:sz w:val="24"/>
          <w:szCs w:val="24"/>
        </w:rPr>
      </w:pPr>
      <w:r w:rsidRPr="00CF25BA">
        <w:rPr>
          <w:rFonts w:ascii="宋体" w:eastAsia="宋体" w:hAnsi="宋体" w:cs="Times New Roman" w:hint="eastAsia"/>
          <w:sz w:val="24"/>
          <w:szCs w:val="24"/>
        </w:rPr>
        <w:t>讲授法和小组讨论。</w:t>
      </w:r>
    </w:p>
    <w:p w14:paraId="7495A6C3" w14:textId="77777777" w:rsidR="00CF25BA" w:rsidRPr="00CF25BA" w:rsidRDefault="00CF25BA" w:rsidP="00CF25BA">
      <w:pPr>
        <w:spacing w:beforeLines="50" w:before="156" w:afterLines="50" w:after="156" w:line="440" w:lineRule="exact"/>
        <w:ind w:firstLineChars="200" w:firstLine="560"/>
        <w:jc w:val="center"/>
        <w:rPr>
          <w:rFonts w:ascii="黑体" w:eastAsia="黑体" w:hAnsi="黑体" w:cs="Times New Roman"/>
          <w:sz w:val="28"/>
          <w:szCs w:val="28"/>
        </w:rPr>
      </w:pPr>
      <w:r w:rsidRPr="00CF25BA">
        <w:rPr>
          <w:rFonts w:ascii="黑体" w:eastAsia="黑体" w:hAnsi="黑体" w:cs="Times New Roman" w:hint="eastAsia"/>
          <w:sz w:val="28"/>
          <w:szCs w:val="28"/>
        </w:rPr>
        <w:t xml:space="preserve">第七章  </w:t>
      </w:r>
      <w:proofErr w:type="gramStart"/>
      <w:r w:rsidRPr="00CF25BA">
        <w:rPr>
          <w:rFonts w:ascii="黑体" w:eastAsia="黑体" w:hAnsi="黑体" w:cs="Times New Roman" w:hint="eastAsia"/>
          <w:sz w:val="28"/>
          <w:szCs w:val="28"/>
        </w:rPr>
        <w:t>振动学</w:t>
      </w:r>
      <w:proofErr w:type="gramEnd"/>
      <w:r w:rsidRPr="00CF25BA">
        <w:rPr>
          <w:rFonts w:ascii="黑体" w:eastAsia="黑体" w:hAnsi="黑体" w:cs="Times New Roman" w:hint="eastAsia"/>
          <w:sz w:val="28"/>
          <w:szCs w:val="28"/>
        </w:rPr>
        <w:t>基础</w:t>
      </w:r>
    </w:p>
    <w:p w14:paraId="2C2B798E"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【学习目标】</w:t>
      </w:r>
    </w:p>
    <w:p w14:paraId="1AE31A06" w14:textId="77777777" w:rsidR="00CF25BA" w:rsidRPr="00CF25BA" w:rsidRDefault="00CF25BA" w:rsidP="00CF25BA">
      <w:pPr>
        <w:adjustRightInd w:val="0"/>
        <w:snapToGrid w:val="0"/>
        <w:spacing w:line="500" w:lineRule="exact"/>
        <w:ind w:firstLine="480"/>
        <w:rPr>
          <w:rFonts w:ascii="宋体" w:eastAsia="宋体" w:hAnsi="宋体" w:cs="宋体"/>
          <w:sz w:val="24"/>
          <w:szCs w:val="24"/>
        </w:rPr>
      </w:pPr>
      <w:r w:rsidRPr="00CF25BA">
        <w:rPr>
          <w:rFonts w:ascii="宋体" w:eastAsia="宋体" w:hAnsi="宋体" w:cs="Times New Roman" w:hint="eastAsia"/>
          <w:sz w:val="24"/>
          <w:szCs w:val="24"/>
        </w:rPr>
        <w:t>1.认知类目标：</w:t>
      </w:r>
      <w:r w:rsidRPr="00CF25BA">
        <w:rPr>
          <w:rFonts w:ascii="宋体" w:eastAsia="宋体" w:hAnsi="宋体" w:cs="宋体" w:hint="eastAsia"/>
          <w:sz w:val="24"/>
          <w:szCs w:val="24"/>
        </w:rPr>
        <w:t>掌握描述简谐运动的特征量—振幅、周期、频率、相位的物理意义；理解描述简谐运动的旋转矢量方法与图示法的特点。</w:t>
      </w:r>
    </w:p>
    <w:p w14:paraId="156A1F11"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Times New Roman" w:hint="eastAsia"/>
          <w:sz w:val="24"/>
          <w:szCs w:val="24"/>
        </w:rPr>
        <w:t>2.过程与方法类目标：</w:t>
      </w:r>
      <w:r w:rsidRPr="00CF25BA">
        <w:rPr>
          <w:rFonts w:ascii="宋体" w:eastAsia="宋体" w:hAnsi="宋体" w:cs="宋体" w:hint="eastAsia"/>
          <w:sz w:val="24"/>
          <w:szCs w:val="24"/>
        </w:rPr>
        <w:t>熟练地确定振动系统的特征量，从而建立简谐运动方程；</w:t>
      </w:r>
    </w:p>
    <w:p w14:paraId="23367C36" w14:textId="77777777" w:rsidR="00CF25BA" w:rsidRPr="00CF25BA" w:rsidRDefault="00CF25BA" w:rsidP="00CF25BA">
      <w:pPr>
        <w:adjustRightInd w:val="0"/>
        <w:snapToGrid w:val="0"/>
        <w:spacing w:line="500" w:lineRule="exact"/>
        <w:rPr>
          <w:rFonts w:ascii="宋体" w:eastAsia="宋体" w:hAnsi="宋体" w:cs="宋体"/>
          <w:sz w:val="24"/>
          <w:szCs w:val="24"/>
        </w:rPr>
      </w:pPr>
      <w:r w:rsidRPr="00CF25BA">
        <w:rPr>
          <w:rFonts w:ascii="宋体" w:eastAsia="宋体" w:hAnsi="宋体" w:cs="宋体" w:hint="eastAsia"/>
          <w:sz w:val="24"/>
          <w:szCs w:val="24"/>
        </w:rPr>
        <w:t>会将简谐运动的旋转矢量方法与图示法应用于简谐运动规律的讨论与分析；掌握同方向、同频率简谐运动的合成规律；</w:t>
      </w:r>
    </w:p>
    <w:p w14:paraId="7C47DD75" w14:textId="77777777" w:rsidR="00CF25BA" w:rsidRPr="00CF25BA" w:rsidRDefault="00CF25BA" w:rsidP="00CF25BA">
      <w:pPr>
        <w:spacing w:line="440" w:lineRule="exact"/>
        <w:rPr>
          <w:rFonts w:ascii="宋体" w:eastAsia="宋体" w:hAnsi="宋体" w:cs="Times New Roman"/>
          <w:sz w:val="24"/>
          <w:szCs w:val="24"/>
        </w:rPr>
      </w:pPr>
      <w:r w:rsidRPr="00CF25BA">
        <w:rPr>
          <w:rFonts w:ascii="宋体" w:eastAsia="宋体" w:hAnsi="宋体" w:cs="Times New Roman" w:hint="eastAsia"/>
          <w:sz w:val="24"/>
          <w:szCs w:val="24"/>
        </w:rPr>
        <w:t>3.情感、态度、价值观类目标：培养学生理论联系实际的能力。</w:t>
      </w:r>
    </w:p>
    <w:p w14:paraId="6C07DA65"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【学习内容】</w:t>
      </w:r>
    </w:p>
    <w:p w14:paraId="04524F81"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1.简谐振动的定义、简谐振动的固有周期以及谐振子模型；</w:t>
      </w:r>
    </w:p>
    <w:p w14:paraId="64C0B03F"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2.描述简谐振动的振幅、相位、初相位，利用旋转矢量来表示及研究谐振动的方法；</w:t>
      </w:r>
    </w:p>
    <w:p w14:paraId="4F365D6B"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3.掌握同方向、同频率简谐运动的合成规律。</w:t>
      </w:r>
    </w:p>
    <w:p w14:paraId="73AAA75D"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lastRenderedPageBreak/>
        <w:t>【重点】</w:t>
      </w:r>
    </w:p>
    <w:p w14:paraId="74E37E49" w14:textId="77777777" w:rsidR="00CF25BA" w:rsidRPr="00CF25BA" w:rsidRDefault="00CF25BA" w:rsidP="00CF25BA">
      <w:pPr>
        <w:adjustRightInd w:val="0"/>
        <w:snapToGrid w:val="0"/>
        <w:spacing w:line="50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简谐运动方程，简谐运动的旋转矢量方法与图示法的特点，同方向、同频率简谐运动的合成规律。</w:t>
      </w:r>
    </w:p>
    <w:p w14:paraId="5670BF1D"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【难点】</w:t>
      </w:r>
    </w:p>
    <w:p w14:paraId="3E609A78" w14:textId="77777777" w:rsidR="00CF25BA" w:rsidRPr="00CF25BA" w:rsidRDefault="00CF25BA" w:rsidP="00CF25BA">
      <w:pPr>
        <w:adjustRightInd w:val="0"/>
        <w:snapToGrid w:val="0"/>
        <w:spacing w:line="500" w:lineRule="exact"/>
        <w:ind w:firstLine="480"/>
        <w:rPr>
          <w:rFonts w:ascii="宋体" w:eastAsia="宋体" w:hAnsi="宋体" w:cs="Times New Roman"/>
          <w:sz w:val="24"/>
          <w:szCs w:val="24"/>
        </w:rPr>
      </w:pPr>
      <w:r w:rsidRPr="00CF25BA">
        <w:rPr>
          <w:rFonts w:ascii="宋体" w:eastAsia="宋体" w:hAnsi="宋体" w:cs="宋体" w:hint="eastAsia"/>
          <w:sz w:val="24"/>
          <w:szCs w:val="24"/>
        </w:rPr>
        <w:t>简谐运动的旋转矢量方法与图示法的特点。</w:t>
      </w:r>
    </w:p>
    <w:p w14:paraId="1B12CCC1" w14:textId="77777777" w:rsidR="00CF25BA" w:rsidRPr="00CF25BA" w:rsidRDefault="00CF25BA" w:rsidP="00CF25BA">
      <w:pPr>
        <w:spacing w:line="440" w:lineRule="exact"/>
        <w:ind w:firstLineChars="200" w:firstLine="482"/>
        <w:rPr>
          <w:rFonts w:ascii="宋体" w:eastAsia="宋体" w:hAnsi="宋体" w:cs="Times New Roman"/>
          <w:b/>
          <w:bCs/>
          <w:sz w:val="24"/>
          <w:szCs w:val="24"/>
        </w:rPr>
      </w:pPr>
      <w:r w:rsidRPr="00CF25BA">
        <w:rPr>
          <w:rFonts w:ascii="宋体" w:eastAsia="宋体" w:hAnsi="宋体" w:cs="Times New Roman" w:hint="eastAsia"/>
          <w:b/>
          <w:bCs/>
          <w:sz w:val="24"/>
          <w:szCs w:val="24"/>
        </w:rPr>
        <w:t>【教学方法】</w:t>
      </w:r>
    </w:p>
    <w:p w14:paraId="3B45D5D1"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讲授法与线上教学结合。</w:t>
      </w:r>
    </w:p>
    <w:p w14:paraId="01287444" w14:textId="77777777" w:rsidR="00CF25BA" w:rsidRPr="00CF25BA" w:rsidRDefault="00CF25BA" w:rsidP="00CF25BA">
      <w:pPr>
        <w:spacing w:beforeLines="50" w:before="156" w:afterLines="50" w:after="156" w:line="440" w:lineRule="exact"/>
        <w:ind w:firstLineChars="200" w:firstLine="560"/>
        <w:jc w:val="center"/>
        <w:rPr>
          <w:rFonts w:ascii="黑体" w:eastAsia="黑体" w:hAnsi="黑体" w:cs="Times New Roman"/>
          <w:sz w:val="28"/>
          <w:szCs w:val="28"/>
        </w:rPr>
      </w:pPr>
      <w:r w:rsidRPr="00CF25BA">
        <w:rPr>
          <w:rFonts w:ascii="黑体" w:eastAsia="黑体" w:hAnsi="黑体" w:cs="Times New Roman" w:hint="eastAsia"/>
          <w:sz w:val="28"/>
          <w:szCs w:val="28"/>
        </w:rPr>
        <w:t>第八章  波动学基础</w:t>
      </w:r>
    </w:p>
    <w:p w14:paraId="0801172B"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【学习目标】</w:t>
      </w:r>
    </w:p>
    <w:p w14:paraId="2CE28485" w14:textId="77777777" w:rsidR="00CF25BA" w:rsidRPr="00CF25BA" w:rsidRDefault="00CF25BA" w:rsidP="00CF25BA">
      <w:pPr>
        <w:adjustRightInd w:val="0"/>
        <w:snapToGrid w:val="0"/>
        <w:spacing w:line="500" w:lineRule="exact"/>
        <w:ind w:firstLine="480"/>
        <w:rPr>
          <w:rFonts w:ascii="宋体" w:eastAsia="宋体" w:hAnsi="宋体" w:cs="宋体"/>
          <w:sz w:val="24"/>
          <w:szCs w:val="24"/>
        </w:rPr>
      </w:pPr>
      <w:r w:rsidRPr="00CF25BA">
        <w:rPr>
          <w:rFonts w:ascii="宋体" w:eastAsia="宋体" w:hAnsi="宋体" w:cs="Times New Roman" w:hint="eastAsia"/>
          <w:sz w:val="24"/>
          <w:szCs w:val="24"/>
        </w:rPr>
        <w:t>1.认知类目标：</w:t>
      </w:r>
      <w:r w:rsidRPr="00CF25BA">
        <w:rPr>
          <w:rFonts w:ascii="宋体" w:eastAsia="宋体" w:hAnsi="宋体" w:cs="宋体" w:hint="eastAsia"/>
          <w:sz w:val="24"/>
          <w:szCs w:val="24"/>
        </w:rPr>
        <w:t>掌握波的基本概念及其产生条件；理解波的叠加原理和惠更斯原理；了解波的干涉现象和规律；掌握波的干涉原理和干涉公式；理解驻波形成的条件和特点；</w:t>
      </w:r>
    </w:p>
    <w:p w14:paraId="0902B4A1"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Times New Roman" w:hint="eastAsia"/>
          <w:sz w:val="24"/>
          <w:szCs w:val="24"/>
        </w:rPr>
        <w:t>2.过程与方法类目标：</w:t>
      </w:r>
      <w:r w:rsidRPr="00CF25BA">
        <w:rPr>
          <w:rFonts w:ascii="宋体" w:eastAsia="宋体" w:hAnsi="宋体" w:cs="宋体" w:hint="eastAsia"/>
          <w:sz w:val="24"/>
          <w:szCs w:val="24"/>
        </w:rPr>
        <w:t xml:space="preserve">掌握平面简谐波的波函数的物理意义，并能够根据问题的条件建立波函数；  </w:t>
      </w:r>
    </w:p>
    <w:p w14:paraId="47D83933" w14:textId="77777777" w:rsidR="00CF25BA" w:rsidRPr="00CF25BA" w:rsidRDefault="00CF25BA" w:rsidP="00CF25BA">
      <w:pPr>
        <w:spacing w:line="440" w:lineRule="exact"/>
        <w:rPr>
          <w:rFonts w:ascii="宋体" w:eastAsia="宋体" w:hAnsi="宋体" w:cs="Times New Roman"/>
          <w:sz w:val="24"/>
          <w:szCs w:val="24"/>
        </w:rPr>
      </w:pPr>
      <w:r w:rsidRPr="00CF25BA">
        <w:rPr>
          <w:rFonts w:ascii="宋体" w:eastAsia="宋体" w:hAnsi="宋体" w:cs="Times New Roman" w:hint="eastAsia"/>
          <w:sz w:val="24"/>
          <w:szCs w:val="24"/>
        </w:rPr>
        <w:t>3.情感、态度、价值观类目标：培养学生理论联系实际的能力。</w:t>
      </w:r>
    </w:p>
    <w:p w14:paraId="4D173E45"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【学习内容】</w:t>
      </w:r>
    </w:p>
    <w:p w14:paraId="0FBCAC0B"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1.描写波动过程的物理量及波动过程的几何描述；</w:t>
      </w:r>
    </w:p>
    <w:p w14:paraId="5420E6B4" w14:textId="77777777" w:rsidR="00CF25BA" w:rsidRPr="00CF25BA" w:rsidRDefault="00CF25BA" w:rsidP="00CF25BA">
      <w:pPr>
        <w:spacing w:line="44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2.平面简谐波波函数，波函数的物理意义。</w:t>
      </w:r>
    </w:p>
    <w:p w14:paraId="0D3F76E3"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【重点】</w:t>
      </w:r>
    </w:p>
    <w:p w14:paraId="56C0A0BB" w14:textId="77777777" w:rsidR="00CF25BA" w:rsidRPr="00CF25BA" w:rsidRDefault="00CF25BA" w:rsidP="00CF25BA">
      <w:pPr>
        <w:adjustRightInd w:val="0"/>
        <w:snapToGrid w:val="0"/>
        <w:spacing w:line="500" w:lineRule="exact"/>
        <w:ind w:firstLineChars="200" w:firstLine="480"/>
        <w:rPr>
          <w:rFonts w:ascii="宋体" w:eastAsia="宋体" w:hAnsi="宋体" w:cs="宋体"/>
          <w:sz w:val="24"/>
          <w:szCs w:val="24"/>
        </w:rPr>
      </w:pPr>
      <w:r w:rsidRPr="00CF25BA">
        <w:rPr>
          <w:rFonts w:ascii="宋体" w:eastAsia="宋体" w:hAnsi="宋体" w:cs="宋体" w:hint="eastAsia"/>
          <w:sz w:val="24"/>
          <w:szCs w:val="24"/>
        </w:rPr>
        <w:t>平面简谐波的波函数，波的干涉现象和规律。</w:t>
      </w:r>
    </w:p>
    <w:p w14:paraId="36E2FD9A" w14:textId="77777777" w:rsidR="00CF25BA" w:rsidRPr="00CF25BA" w:rsidRDefault="00CF25BA" w:rsidP="00CF25BA">
      <w:pPr>
        <w:spacing w:line="440" w:lineRule="exact"/>
        <w:ind w:firstLineChars="200" w:firstLine="482"/>
        <w:rPr>
          <w:rFonts w:ascii="宋体" w:eastAsia="宋体" w:hAnsi="宋体" w:cs="Times New Roman"/>
          <w:b/>
          <w:sz w:val="24"/>
          <w:szCs w:val="24"/>
        </w:rPr>
      </w:pPr>
      <w:r w:rsidRPr="00CF25BA">
        <w:rPr>
          <w:rFonts w:ascii="宋体" w:eastAsia="宋体" w:hAnsi="宋体" w:cs="Times New Roman" w:hint="eastAsia"/>
          <w:b/>
          <w:sz w:val="24"/>
          <w:szCs w:val="24"/>
        </w:rPr>
        <w:t>【难点】</w:t>
      </w:r>
    </w:p>
    <w:p w14:paraId="3D27C45A" w14:textId="77777777" w:rsidR="00CF25BA" w:rsidRPr="00CF25BA" w:rsidRDefault="00CF25BA" w:rsidP="00CF25BA">
      <w:pPr>
        <w:adjustRightInd w:val="0"/>
        <w:snapToGrid w:val="0"/>
        <w:spacing w:line="500" w:lineRule="exact"/>
        <w:ind w:firstLineChars="200" w:firstLine="480"/>
        <w:rPr>
          <w:rFonts w:ascii="黑体" w:eastAsia="宋体" w:hAnsi="黑体" w:cs="Times New Roman"/>
          <w:sz w:val="28"/>
          <w:szCs w:val="28"/>
        </w:rPr>
      </w:pPr>
      <w:r w:rsidRPr="00CF25BA">
        <w:rPr>
          <w:rFonts w:ascii="宋体" w:eastAsia="宋体" w:hAnsi="宋体" w:cs="宋体" w:hint="eastAsia"/>
          <w:sz w:val="24"/>
          <w:szCs w:val="24"/>
        </w:rPr>
        <w:t>平面简谐波的波函数的物理意义，并能够根据问题的条件建立波函数。</w:t>
      </w:r>
    </w:p>
    <w:p w14:paraId="39A48E82" w14:textId="77777777" w:rsidR="00CF25BA" w:rsidRPr="00CF25BA" w:rsidRDefault="00CF25BA" w:rsidP="00CF25BA">
      <w:pPr>
        <w:spacing w:line="440" w:lineRule="exact"/>
        <w:ind w:firstLineChars="200" w:firstLine="482"/>
        <w:rPr>
          <w:rFonts w:ascii="宋体" w:eastAsia="宋体" w:hAnsi="宋体" w:cs="Times New Roman"/>
          <w:b/>
          <w:bCs/>
          <w:sz w:val="24"/>
          <w:szCs w:val="24"/>
        </w:rPr>
      </w:pPr>
      <w:r w:rsidRPr="00CF25BA">
        <w:rPr>
          <w:rFonts w:ascii="宋体" w:eastAsia="宋体" w:hAnsi="宋体" w:cs="Times New Roman" w:hint="eastAsia"/>
          <w:b/>
          <w:bCs/>
          <w:sz w:val="24"/>
          <w:szCs w:val="24"/>
        </w:rPr>
        <w:t>【教学方法】</w:t>
      </w:r>
    </w:p>
    <w:p w14:paraId="78FBD495" w14:textId="77777777" w:rsidR="00CF25BA" w:rsidRPr="00CF25BA" w:rsidRDefault="00CF25BA" w:rsidP="00CF25BA">
      <w:pPr>
        <w:spacing w:line="440" w:lineRule="exact"/>
        <w:ind w:firstLineChars="200" w:firstLine="480"/>
        <w:rPr>
          <w:rFonts w:ascii="宋体" w:eastAsia="宋体" w:hAnsi="宋体" w:cs="Times New Roman"/>
          <w:b/>
          <w:sz w:val="24"/>
          <w:szCs w:val="24"/>
        </w:rPr>
      </w:pPr>
      <w:r w:rsidRPr="00CF25BA">
        <w:rPr>
          <w:rFonts w:ascii="宋体" w:eastAsia="宋体" w:hAnsi="宋体" w:cs="Times New Roman" w:hint="eastAsia"/>
          <w:sz w:val="24"/>
          <w:szCs w:val="24"/>
        </w:rPr>
        <w:t>讲授法与线上教学结合。</w:t>
      </w:r>
    </w:p>
    <w:p w14:paraId="701763A5" w14:textId="77777777" w:rsidR="00CF25BA" w:rsidRPr="00CF25BA" w:rsidRDefault="00CF25BA" w:rsidP="00CF25BA">
      <w:pPr>
        <w:spacing w:beforeLines="50" w:before="156" w:afterLines="50" w:after="156" w:line="440" w:lineRule="exact"/>
        <w:ind w:left="561"/>
        <w:rPr>
          <w:rFonts w:ascii="仿宋" w:eastAsia="仿宋" w:hAnsi="仿宋" w:cs="Times New Roman"/>
          <w:sz w:val="24"/>
          <w:szCs w:val="24"/>
        </w:rPr>
      </w:pPr>
      <w:r w:rsidRPr="00CF25BA">
        <w:rPr>
          <w:rFonts w:ascii="黑体" w:eastAsia="黑体" w:hAnsi="黑体" w:cs="Times New Roman" w:hint="eastAsia"/>
          <w:sz w:val="28"/>
          <w:szCs w:val="28"/>
        </w:rPr>
        <w:t>（二）课程学习内容与课程学习目标的对应关系</w:t>
      </w:r>
      <w:r w:rsidRPr="00CF25BA">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CF25BA" w:rsidRPr="00CF25BA" w14:paraId="2B7C9D83" w14:textId="77777777" w:rsidTr="0002055D">
        <w:trPr>
          <w:trHeight w:val="660"/>
          <w:jc w:val="center"/>
        </w:trPr>
        <w:tc>
          <w:tcPr>
            <w:tcW w:w="3403" w:type="dxa"/>
            <w:vAlign w:val="center"/>
          </w:tcPr>
          <w:p w14:paraId="4C56932C" w14:textId="77777777" w:rsidR="00CF25BA" w:rsidRPr="00CF25BA" w:rsidRDefault="00CF25BA" w:rsidP="00CF25BA">
            <w:pPr>
              <w:spacing w:line="440" w:lineRule="exact"/>
              <w:jc w:val="center"/>
              <w:rPr>
                <w:rFonts w:ascii="宋体" w:eastAsia="宋体" w:hAnsi="宋体" w:cs="Times New Roman"/>
                <w:b/>
                <w:bCs/>
                <w:sz w:val="24"/>
                <w:szCs w:val="24"/>
              </w:rPr>
            </w:pPr>
            <w:r w:rsidRPr="00CF25BA">
              <w:rPr>
                <w:rFonts w:ascii="宋体" w:eastAsia="宋体" w:hAnsi="宋体" w:cs="Times New Roman" w:hint="eastAsia"/>
                <w:b/>
                <w:bCs/>
                <w:sz w:val="24"/>
                <w:szCs w:val="24"/>
              </w:rPr>
              <w:t>课程学习内容</w:t>
            </w:r>
          </w:p>
        </w:tc>
        <w:tc>
          <w:tcPr>
            <w:tcW w:w="2693" w:type="dxa"/>
            <w:vAlign w:val="center"/>
          </w:tcPr>
          <w:p w14:paraId="3058DDEB" w14:textId="77777777" w:rsidR="00CF25BA" w:rsidRPr="00CF25BA" w:rsidRDefault="00CF25BA" w:rsidP="00CF25BA">
            <w:pPr>
              <w:spacing w:line="440" w:lineRule="exact"/>
              <w:jc w:val="center"/>
              <w:rPr>
                <w:rFonts w:ascii="宋体" w:eastAsia="宋体" w:hAnsi="宋体" w:cs="Times New Roman"/>
                <w:b/>
                <w:bCs/>
                <w:sz w:val="24"/>
                <w:szCs w:val="24"/>
              </w:rPr>
            </w:pPr>
            <w:r w:rsidRPr="00CF25BA">
              <w:rPr>
                <w:rFonts w:ascii="宋体" w:eastAsia="宋体" w:hAnsi="宋体" w:cs="Times New Roman" w:hint="eastAsia"/>
                <w:b/>
                <w:bCs/>
                <w:sz w:val="24"/>
                <w:szCs w:val="24"/>
              </w:rPr>
              <w:t>教学方法</w:t>
            </w:r>
          </w:p>
        </w:tc>
        <w:tc>
          <w:tcPr>
            <w:tcW w:w="1985" w:type="dxa"/>
            <w:vAlign w:val="center"/>
          </w:tcPr>
          <w:p w14:paraId="5C465F87" w14:textId="77777777" w:rsidR="00CF25BA" w:rsidRPr="00CF25BA" w:rsidRDefault="00CF25BA" w:rsidP="00CF25BA">
            <w:pPr>
              <w:spacing w:line="440" w:lineRule="exact"/>
              <w:jc w:val="center"/>
              <w:rPr>
                <w:rFonts w:ascii="宋体" w:eastAsia="宋体" w:hAnsi="宋体" w:cs="Times New Roman"/>
                <w:b/>
                <w:bCs/>
                <w:sz w:val="24"/>
                <w:szCs w:val="24"/>
              </w:rPr>
            </w:pPr>
            <w:r w:rsidRPr="00CF25BA">
              <w:rPr>
                <w:rFonts w:ascii="宋体" w:eastAsia="宋体" w:hAnsi="宋体" w:cs="Times New Roman" w:hint="eastAsia"/>
                <w:b/>
                <w:bCs/>
                <w:sz w:val="24"/>
                <w:szCs w:val="24"/>
              </w:rPr>
              <w:t>支撑的课程目标</w:t>
            </w:r>
          </w:p>
        </w:tc>
        <w:tc>
          <w:tcPr>
            <w:tcW w:w="1276" w:type="dxa"/>
            <w:vAlign w:val="center"/>
          </w:tcPr>
          <w:p w14:paraId="12CBB21C" w14:textId="77777777" w:rsidR="00CF25BA" w:rsidRPr="00CF25BA" w:rsidRDefault="00CF25BA" w:rsidP="00CF25BA">
            <w:pPr>
              <w:spacing w:line="440" w:lineRule="exact"/>
              <w:jc w:val="center"/>
              <w:rPr>
                <w:rFonts w:ascii="宋体" w:eastAsia="宋体" w:hAnsi="宋体" w:cs="Times New Roman"/>
                <w:b/>
                <w:bCs/>
                <w:sz w:val="24"/>
                <w:szCs w:val="24"/>
              </w:rPr>
            </w:pPr>
            <w:r w:rsidRPr="00CF25BA">
              <w:rPr>
                <w:rFonts w:ascii="宋体" w:eastAsia="宋体" w:hAnsi="宋体" w:cs="Times New Roman" w:hint="eastAsia"/>
                <w:b/>
                <w:bCs/>
                <w:sz w:val="24"/>
                <w:szCs w:val="24"/>
              </w:rPr>
              <w:t>学时安排</w:t>
            </w:r>
          </w:p>
        </w:tc>
      </w:tr>
      <w:tr w:rsidR="00CF25BA" w:rsidRPr="00CF25BA" w14:paraId="33E53360" w14:textId="77777777" w:rsidTr="0002055D">
        <w:trPr>
          <w:trHeight w:val="514"/>
          <w:jc w:val="center"/>
        </w:trPr>
        <w:tc>
          <w:tcPr>
            <w:tcW w:w="3403" w:type="dxa"/>
          </w:tcPr>
          <w:p w14:paraId="66B36D0D"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 xml:space="preserve">第一章 </w:t>
            </w:r>
            <w:r w:rsidRPr="00CF25BA">
              <w:rPr>
                <w:rFonts w:ascii="宋体" w:eastAsia="宋体" w:hAnsi="宋体" w:cs="宋体" w:hint="eastAsia"/>
                <w:bCs/>
                <w:color w:val="191919"/>
                <w:sz w:val="24"/>
                <w:szCs w:val="24"/>
              </w:rPr>
              <w:t>质点运动 时间 空间</w:t>
            </w:r>
          </w:p>
        </w:tc>
        <w:tc>
          <w:tcPr>
            <w:tcW w:w="2693" w:type="dxa"/>
            <w:vAlign w:val="center"/>
          </w:tcPr>
          <w:p w14:paraId="0C6B69FC" w14:textId="77777777" w:rsidR="00CF25BA" w:rsidRPr="00CF25BA" w:rsidRDefault="00CF25BA" w:rsidP="00CF25BA">
            <w:pPr>
              <w:spacing w:line="440" w:lineRule="exact"/>
              <w:jc w:val="center"/>
              <w:rPr>
                <w:rFonts w:ascii="宋体" w:eastAsia="宋体" w:hAnsi="宋体" w:cs="Times New Roman"/>
                <w:color w:val="FF0000"/>
                <w:sz w:val="24"/>
                <w:szCs w:val="24"/>
              </w:rPr>
            </w:pPr>
            <w:r w:rsidRPr="00CF25BA">
              <w:rPr>
                <w:rFonts w:ascii="宋体" w:eastAsia="宋体" w:hAnsi="宋体" w:cs="Times New Roman" w:hint="eastAsia"/>
                <w:sz w:val="24"/>
                <w:szCs w:val="24"/>
              </w:rPr>
              <w:t>讲授法、小组讨论、线上教学结合</w:t>
            </w:r>
          </w:p>
        </w:tc>
        <w:tc>
          <w:tcPr>
            <w:tcW w:w="1985" w:type="dxa"/>
            <w:vAlign w:val="center"/>
          </w:tcPr>
          <w:p w14:paraId="0FCDAF5B"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课程目标1、3</w:t>
            </w:r>
          </w:p>
        </w:tc>
        <w:tc>
          <w:tcPr>
            <w:tcW w:w="1276" w:type="dxa"/>
            <w:vAlign w:val="center"/>
          </w:tcPr>
          <w:p w14:paraId="60CD027C" w14:textId="77777777" w:rsidR="00CF25BA" w:rsidRPr="00CF25BA" w:rsidRDefault="00CF25BA" w:rsidP="00CF25BA">
            <w:pPr>
              <w:spacing w:line="440" w:lineRule="exact"/>
              <w:jc w:val="center"/>
              <w:rPr>
                <w:rFonts w:ascii="Times New Roman" w:eastAsia="宋体" w:hAnsi="Times New Roman" w:cs="Times New Roman"/>
                <w:sz w:val="24"/>
                <w:szCs w:val="24"/>
              </w:rPr>
            </w:pPr>
            <w:r w:rsidRPr="00CF25BA">
              <w:rPr>
                <w:rFonts w:ascii="Times New Roman" w:eastAsia="宋体" w:hAnsi="Times New Roman" w:cs="Times New Roman"/>
                <w:sz w:val="24"/>
                <w:szCs w:val="24"/>
              </w:rPr>
              <w:t>8</w:t>
            </w:r>
          </w:p>
        </w:tc>
      </w:tr>
      <w:tr w:rsidR="00CF25BA" w:rsidRPr="00CF25BA" w14:paraId="26069AF2" w14:textId="77777777" w:rsidTr="0002055D">
        <w:trPr>
          <w:trHeight w:val="90"/>
          <w:jc w:val="center"/>
        </w:trPr>
        <w:tc>
          <w:tcPr>
            <w:tcW w:w="3403" w:type="dxa"/>
          </w:tcPr>
          <w:p w14:paraId="7AF0CC07"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lastRenderedPageBreak/>
              <w:t xml:space="preserve">第二章 </w:t>
            </w:r>
            <w:r w:rsidRPr="00CF25BA">
              <w:rPr>
                <w:rFonts w:ascii="宋体" w:eastAsia="宋体" w:hAnsi="宋体" w:cs="宋体" w:hint="eastAsia"/>
                <w:bCs/>
                <w:color w:val="191919"/>
                <w:sz w:val="24"/>
                <w:szCs w:val="24"/>
              </w:rPr>
              <w:t>力 动量 能量</w:t>
            </w:r>
          </w:p>
        </w:tc>
        <w:tc>
          <w:tcPr>
            <w:tcW w:w="2693" w:type="dxa"/>
            <w:vAlign w:val="center"/>
          </w:tcPr>
          <w:p w14:paraId="02D026CD" w14:textId="77777777" w:rsidR="00CF25BA" w:rsidRPr="00CF25BA" w:rsidRDefault="00CF25BA" w:rsidP="00CF25BA">
            <w:pPr>
              <w:spacing w:line="440" w:lineRule="exact"/>
              <w:jc w:val="center"/>
              <w:rPr>
                <w:rFonts w:ascii="宋体" w:eastAsia="宋体" w:hAnsi="宋体" w:cs="Times New Roman"/>
                <w:color w:val="FF0000"/>
                <w:sz w:val="24"/>
                <w:szCs w:val="24"/>
              </w:rPr>
            </w:pPr>
            <w:r w:rsidRPr="00CF25BA">
              <w:rPr>
                <w:rFonts w:ascii="宋体" w:eastAsia="宋体" w:hAnsi="宋体" w:cs="Times New Roman" w:hint="eastAsia"/>
                <w:sz w:val="24"/>
                <w:szCs w:val="24"/>
              </w:rPr>
              <w:t>讲授法、小组讨论、线上教学结合</w:t>
            </w:r>
          </w:p>
        </w:tc>
        <w:tc>
          <w:tcPr>
            <w:tcW w:w="1985" w:type="dxa"/>
            <w:vAlign w:val="center"/>
          </w:tcPr>
          <w:p w14:paraId="066D3C80"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课程目标2、3</w:t>
            </w:r>
          </w:p>
        </w:tc>
        <w:tc>
          <w:tcPr>
            <w:tcW w:w="1276" w:type="dxa"/>
            <w:vAlign w:val="center"/>
          </w:tcPr>
          <w:p w14:paraId="27B6AC8E" w14:textId="77777777" w:rsidR="00CF25BA" w:rsidRPr="00CF25BA" w:rsidRDefault="00CF25BA" w:rsidP="00CF25BA">
            <w:pPr>
              <w:spacing w:line="440" w:lineRule="exact"/>
              <w:jc w:val="center"/>
              <w:rPr>
                <w:rFonts w:ascii="Times New Roman" w:eastAsia="宋体" w:hAnsi="Times New Roman" w:cs="Times New Roman"/>
                <w:sz w:val="24"/>
                <w:szCs w:val="24"/>
              </w:rPr>
            </w:pPr>
            <w:r w:rsidRPr="00CF25BA">
              <w:rPr>
                <w:rFonts w:ascii="Times New Roman" w:eastAsia="宋体" w:hAnsi="Times New Roman" w:cs="Times New Roman"/>
                <w:sz w:val="24"/>
                <w:szCs w:val="24"/>
              </w:rPr>
              <w:t>14</w:t>
            </w:r>
          </w:p>
        </w:tc>
      </w:tr>
      <w:tr w:rsidR="00CF25BA" w:rsidRPr="00CF25BA" w14:paraId="33E9A695" w14:textId="77777777" w:rsidTr="0002055D">
        <w:trPr>
          <w:trHeight w:val="468"/>
          <w:jc w:val="center"/>
        </w:trPr>
        <w:tc>
          <w:tcPr>
            <w:tcW w:w="3403" w:type="dxa"/>
          </w:tcPr>
          <w:p w14:paraId="6672F890"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 xml:space="preserve">第三章 </w:t>
            </w:r>
            <w:r w:rsidRPr="00CF25BA">
              <w:rPr>
                <w:rFonts w:ascii="宋体" w:eastAsia="宋体" w:hAnsi="宋体" w:cs="宋体" w:hint="eastAsia"/>
                <w:sz w:val="24"/>
                <w:szCs w:val="24"/>
              </w:rPr>
              <w:t>刚体的定轴转动</w:t>
            </w:r>
          </w:p>
        </w:tc>
        <w:tc>
          <w:tcPr>
            <w:tcW w:w="2693" w:type="dxa"/>
            <w:vAlign w:val="center"/>
          </w:tcPr>
          <w:p w14:paraId="63B688CF" w14:textId="77777777" w:rsidR="00CF25BA" w:rsidRPr="00CF25BA" w:rsidRDefault="00CF25BA" w:rsidP="00CF25BA">
            <w:pPr>
              <w:spacing w:line="440" w:lineRule="exact"/>
              <w:jc w:val="center"/>
              <w:rPr>
                <w:rFonts w:ascii="宋体" w:eastAsia="宋体" w:hAnsi="宋体" w:cs="Times New Roman"/>
                <w:color w:val="FF0000"/>
                <w:sz w:val="24"/>
                <w:szCs w:val="24"/>
              </w:rPr>
            </w:pPr>
            <w:r w:rsidRPr="00CF25BA">
              <w:rPr>
                <w:rFonts w:ascii="宋体" w:eastAsia="宋体" w:hAnsi="宋体" w:cs="Times New Roman" w:hint="eastAsia"/>
                <w:sz w:val="24"/>
                <w:szCs w:val="24"/>
              </w:rPr>
              <w:t>讲授法与线上教学结合</w:t>
            </w:r>
          </w:p>
        </w:tc>
        <w:tc>
          <w:tcPr>
            <w:tcW w:w="1985" w:type="dxa"/>
            <w:vAlign w:val="center"/>
          </w:tcPr>
          <w:p w14:paraId="6CAB6349" w14:textId="77777777" w:rsidR="00CF25BA" w:rsidRPr="00CF25BA" w:rsidRDefault="00CF25BA" w:rsidP="00CF25BA">
            <w:pPr>
              <w:spacing w:line="440" w:lineRule="exact"/>
              <w:ind w:firstLineChars="100" w:firstLine="240"/>
              <w:rPr>
                <w:rFonts w:ascii="宋体" w:eastAsia="宋体" w:hAnsi="宋体" w:cs="Times New Roman"/>
                <w:sz w:val="24"/>
                <w:szCs w:val="24"/>
              </w:rPr>
            </w:pPr>
            <w:r w:rsidRPr="00CF25BA">
              <w:rPr>
                <w:rFonts w:ascii="宋体" w:eastAsia="宋体" w:hAnsi="宋体" w:cs="Times New Roman" w:hint="eastAsia"/>
                <w:sz w:val="24"/>
                <w:szCs w:val="24"/>
              </w:rPr>
              <w:t>课程目标2</w:t>
            </w:r>
          </w:p>
        </w:tc>
        <w:tc>
          <w:tcPr>
            <w:tcW w:w="1276" w:type="dxa"/>
            <w:vAlign w:val="center"/>
          </w:tcPr>
          <w:p w14:paraId="060CCB8D" w14:textId="77777777" w:rsidR="00CF25BA" w:rsidRPr="00CF25BA" w:rsidRDefault="00CF25BA" w:rsidP="00CF25BA">
            <w:pPr>
              <w:spacing w:line="440" w:lineRule="exact"/>
              <w:jc w:val="center"/>
              <w:rPr>
                <w:rFonts w:ascii="Times New Roman" w:eastAsia="宋体" w:hAnsi="Times New Roman" w:cs="Times New Roman"/>
                <w:sz w:val="24"/>
                <w:szCs w:val="24"/>
              </w:rPr>
            </w:pPr>
            <w:r w:rsidRPr="00CF25BA">
              <w:rPr>
                <w:rFonts w:ascii="Times New Roman" w:eastAsia="宋体" w:hAnsi="Times New Roman" w:cs="Times New Roman"/>
                <w:sz w:val="24"/>
                <w:szCs w:val="24"/>
              </w:rPr>
              <w:t>6</w:t>
            </w:r>
          </w:p>
        </w:tc>
      </w:tr>
      <w:tr w:rsidR="00CF25BA" w:rsidRPr="00CF25BA" w14:paraId="10650225" w14:textId="77777777" w:rsidTr="0002055D">
        <w:trPr>
          <w:jc w:val="center"/>
        </w:trPr>
        <w:tc>
          <w:tcPr>
            <w:tcW w:w="3403" w:type="dxa"/>
          </w:tcPr>
          <w:p w14:paraId="25A86B1C"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 xml:space="preserve">第四章 </w:t>
            </w:r>
            <w:r w:rsidRPr="00CF25BA">
              <w:rPr>
                <w:rFonts w:ascii="宋体" w:eastAsia="宋体" w:hAnsi="宋体" w:cs="宋体" w:hint="eastAsia"/>
                <w:color w:val="191919"/>
                <w:sz w:val="24"/>
                <w:szCs w:val="24"/>
              </w:rPr>
              <w:t>静电场</w:t>
            </w:r>
          </w:p>
        </w:tc>
        <w:tc>
          <w:tcPr>
            <w:tcW w:w="2693" w:type="dxa"/>
            <w:vAlign w:val="center"/>
          </w:tcPr>
          <w:p w14:paraId="4921E7DD" w14:textId="77777777" w:rsidR="00CF25BA" w:rsidRPr="00CF25BA" w:rsidRDefault="00CF25BA" w:rsidP="00CF25BA">
            <w:pPr>
              <w:spacing w:line="440" w:lineRule="exact"/>
              <w:jc w:val="center"/>
              <w:rPr>
                <w:rFonts w:ascii="宋体" w:eastAsia="宋体" w:hAnsi="宋体" w:cs="Times New Roman"/>
                <w:color w:val="FF0000"/>
                <w:sz w:val="24"/>
                <w:szCs w:val="24"/>
              </w:rPr>
            </w:pPr>
            <w:r w:rsidRPr="00CF25BA">
              <w:rPr>
                <w:rFonts w:ascii="宋体" w:eastAsia="宋体" w:hAnsi="宋体" w:cs="Times New Roman" w:hint="eastAsia"/>
                <w:sz w:val="24"/>
                <w:szCs w:val="24"/>
              </w:rPr>
              <w:t>讲授法、小组讨论、线上教学结合</w:t>
            </w:r>
          </w:p>
        </w:tc>
        <w:tc>
          <w:tcPr>
            <w:tcW w:w="1985" w:type="dxa"/>
            <w:vAlign w:val="center"/>
          </w:tcPr>
          <w:p w14:paraId="34C8E932"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课程目标2、3</w:t>
            </w:r>
          </w:p>
        </w:tc>
        <w:tc>
          <w:tcPr>
            <w:tcW w:w="1276" w:type="dxa"/>
            <w:vAlign w:val="center"/>
          </w:tcPr>
          <w:p w14:paraId="1AA6E9D3" w14:textId="77777777" w:rsidR="00CF25BA" w:rsidRPr="00CF25BA" w:rsidRDefault="00CF25BA" w:rsidP="00CF25BA">
            <w:pPr>
              <w:spacing w:line="440" w:lineRule="exact"/>
              <w:jc w:val="center"/>
              <w:rPr>
                <w:rFonts w:ascii="Times New Roman" w:eastAsia="宋体" w:hAnsi="Times New Roman" w:cs="Times New Roman"/>
                <w:sz w:val="24"/>
                <w:szCs w:val="24"/>
              </w:rPr>
            </w:pPr>
            <w:r w:rsidRPr="00CF25BA">
              <w:rPr>
                <w:rFonts w:ascii="Times New Roman" w:eastAsia="宋体" w:hAnsi="Times New Roman" w:cs="Times New Roman"/>
                <w:sz w:val="24"/>
                <w:szCs w:val="24"/>
              </w:rPr>
              <w:t>16</w:t>
            </w:r>
          </w:p>
        </w:tc>
      </w:tr>
      <w:tr w:rsidR="00CF25BA" w:rsidRPr="00CF25BA" w14:paraId="1C7765CE" w14:textId="77777777" w:rsidTr="0002055D">
        <w:trPr>
          <w:jc w:val="center"/>
        </w:trPr>
        <w:tc>
          <w:tcPr>
            <w:tcW w:w="3403" w:type="dxa"/>
          </w:tcPr>
          <w:p w14:paraId="0E100BA7"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 xml:space="preserve">第五章 </w:t>
            </w:r>
            <w:r w:rsidRPr="00CF25BA">
              <w:rPr>
                <w:rFonts w:ascii="宋体" w:eastAsia="宋体" w:hAnsi="宋体" w:cs="宋体" w:hint="eastAsia"/>
                <w:color w:val="191919"/>
                <w:sz w:val="24"/>
                <w:szCs w:val="24"/>
              </w:rPr>
              <w:t>恒定磁场</w:t>
            </w:r>
          </w:p>
        </w:tc>
        <w:tc>
          <w:tcPr>
            <w:tcW w:w="2693" w:type="dxa"/>
            <w:vAlign w:val="center"/>
          </w:tcPr>
          <w:p w14:paraId="189BC0B7"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讲授法和小组讨论</w:t>
            </w:r>
          </w:p>
        </w:tc>
        <w:tc>
          <w:tcPr>
            <w:tcW w:w="1985" w:type="dxa"/>
            <w:vAlign w:val="center"/>
          </w:tcPr>
          <w:p w14:paraId="2A3CE50E"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课程目标2、3</w:t>
            </w:r>
          </w:p>
        </w:tc>
        <w:tc>
          <w:tcPr>
            <w:tcW w:w="1276" w:type="dxa"/>
            <w:vAlign w:val="center"/>
          </w:tcPr>
          <w:p w14:paraId="7D2C02E1" w14:textId="77777777" w:rsidR="00CF25BA" w:rsidRPr="00CF25BA" w:rsidRDefault="00CF25BA" w:rsidP="00CF25BA">
            <w:pPr>
              <w:spacing w:line="440" w:lineRule="exact"/>
              <w:jc w:val="center"/>
              <w:rPr>
                <w:rFonts w:ascii="Times New Roman" w:eastAsia="宋体" w:hAnsi="Times New Roman" w:cs="Times New Roman"/>
                <w:sz w:val="24"/>
                <w:szCs w:val="24"/>
              </w:rPr>
            </w:pPr>
            <w:r w:rsidRPr="00CF25BA">
              <w:rPr>
                <w:rFonts w:ascii="Times New Roman" w:eastAsia="宋体" w:hAnsi="Times New Roman" w:cs="Times New Roman"/>
                <w:sz w:val="24"/>
                <w:szCs w:val="24"/>
              </w:rPr>
              <w:t>12</w:t>
            </w:r>
          </w:p>
        </w:tc>
      </w:tr>
      <w:tr w:rsidR="00CF25BA" w:rsidRPr="00CF25BA" w14:paraId="4855EDA5" w14:textId="77777777" w:rsidTr="0002055D">
        <w:trPr>
          <w:jc w:val="center"/>
        </w:trPr>
        <w:tc>
          <w:tcPr>
            <w:tcW w:w="3403" w:type="dxa"/>
          </w:tcPr>
          <w:p w14:paraId="2B895140"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 xml:space="preserve">第六章 </w:t>
            </w:r>
            <w:r w:rsidRPr="00CF25BA">
              <w:rPr>
                <w:rFonts w:ascii="宋体" w:eastAsia="宋体" w:hAnsi="宋体" w:cs="宋体" w:hint="eastAsia"/>
                <w:color w:val="191919"/>
                <w:sz w:val="24"/>
                <w:szCs w:val="24"/>
              </w:rPr>
              <w:t>电磁感应 电磁场</w:t>
            </w:r>
          </w:p>
        </w:tc>
        <w:tc>
          <w:tcPr>
            <w:tcW w:w="2693" w:type="dxa"/>
            <w:vAlign w:val="center"/>
          </w:tcPr>
          <w:p w14:paraId="4DFECDAE"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讲授法和小组讨论</w:t>
            </w:r>
          </w:p>
        </w:tc>
        <w:tc>
          <w:tcPr>
            <w:tcW w:w="1985" w:type="dxa"/>
            <w:vAlign w:val="center"/>
          </w:tcPr>
          <w:p w14:paraId="4325665A"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课程目标2、3</w:t>
            </w:r>
          </w:p>
        </w:tc>
        <w:tc>
          <w:tcPr>
            <w:tcW w:w="1276" w:type="dxa"/>
            <w:vAlign w:val="center"/>
          </w:tcPr>
          <w:p w14:paraId="0CD451E1" w14:textId="77777777" w:rsidR="00CF25BA" w:rsidRPr="00CF25BA" w:rsidRDefault="00CF25BA" w:rsidP="00CF25BA">
            <w:pPr>
              <w:spacing w:line="440" w:lineRule="exact"/>
              <w:jc w:val="center"/>
              <w:rPr>
                <w:rFonts w:ascii="Times New Roman" w:eastAsia="宋体" w:hAnsi="Times New Roman" w:cs="Times New Roman"/>
                <w:sz w:val="24"/>
                <w:szCs w:val="24"/>
              </w:rPr>
            </w:pPr>
            <w:r w:rsidRPr="00CF25BA">
              <w:rPr>
                <w:rFonts w:ascii="Times New Roman" w:eastAsia="宋体" w:hAnsi="Times New Roman" w:cs="Times New Roman"/>
                <w:sz w:val="24"/>
                <w:szCs w:val="24"/>
              </w:rPr>
              <w:t>8</w:t>
            </w:r>
          </w:p>
        </w:tc>
      </w:tr>
      <w:tr w:rsidR="00CF25BA" w:rsidRPr="00CF25BA" w14:paraId="2E3E432B" w14:textId="77777777" w:rsidTr="0002055D">
        <w:trPr>
          <w:jc w:val="center"/>
        </w:trPr>
        <w:tc>
          <w:tcPr>
            <w:tcW w:w="3403" w:type="dxa"/>
          </w:tcPr>
          <w:p w14:paraId="238AA2AB"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 xml:space="preserve"> 第七章 </w:t>
            </w:r>
            <w:proofErr w:type="gramStart"/>
            <w:r w:rsidRPr="00CF25BA">
              <w:rPr>
                <w:rFonts w:ascii="宋体" w:eastAsia="宋体" w:hAnsi="宋体" w:cs="宋体" w:hint="eastAsia"/>
                <w:color w:val="191919"/>
                <w:sz w:val="24"/>
                <w:szCs w:val="24"/>
              </w:rPr>
              <w:t>振动学</w:t>
            </w:r>
            <w:proofErr w:type="gramEnd"/>
            <w:r w:rsidRPr="00CF25BA">
              <w:rPr>
                <w:rFonts w:ascii="宋体" w:eastAsia="宋体" w:hAnsi="宋体" w:cs="宋体" w:hint="eastAsia"/>
                <w:color w:val="191919"/>
                <w:sz w:val="24"/>
                <w:szCs w:val="24"/>
              </w:rPr>
              <w:t>基础</w:t>
            </w:r>
          </w:p>
        </w:tc>
        <w:tc>
          <w:tcPr>
            <w:tcW w:w="2693" w:type="dxa"/>
            <w:vAlign w:val="center"/>
          </w:tcPr>
          <w:p w14:paraId="188F37CA"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讲授法与线上教学结合</w:t>
            </w:r>
          </w:p>
        </w:tc>
        <w:tc>
          <w:tcPr>
            <w:tcW w:w="1985" w:type="dxa"/>
            <w:vAlign w:val="center"/>
          </w:tcPr>
          <w:p w14:paraId="495C06AA"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课程目标1、2</w:t>
            </w:r>
          </w:p>
        </w:tc>
        <w:tc>
          <w:tcPr>
            <w:tcW w:w="1276" w:type="dxa"/>
            <w:vAlign w:val="center"/>
          </w:tcPr>
          <w:p w14:paraId="6A789021" w14:textId="77777777" w:rsidR="00CF25BA" w:rsidRPr="00CF25BA" w:rsidRDefault="00CF25BA" w:rsidP="00CF25BA">
            <w:pPr>
              <w:spacing w:line="440" w:lineRule="exact"/>
              <w:jc w:val="center"/>
              <w:rPr>
                <w:rFonts w:ascii="Times New Roman" w:eastAsia="宋体" w:hAnsi="Times New Roman" w:cs="Times New Roman"/>
                <w:sz w:val="24"/>
                <w:szCs w:val="24"/>
              </w:rPr>
            </w:pPr>
            <w:r w:rsidRPr="00CF25BA">
              <w:rPr>
                <w:rFonts w:ascii="Times New Roman" w:eastAsia="宋体" w:hAnsi="Times New Roman" w:cs="Times New Roman"/>
                <w:sz w:val="24"/>
                <w:szCs w:val="24"/>
              </w:rPr>
              <w:t>4</w:t>
            </w:r>
          </w:p>
        </w:tc>
      </w:tr>
      <w:tr w:rsidR="00CF25BA" w:rsidRPr="00CF25BA" w14:paraId="011A9E28" w14:textId="77777777" w:rsidTr="0002055D">
        <w:trPr>
          <w:jc w:val="center"/>
        </w:trPr>
        <w:tc>
          <w:tcPr>
            <w:tcW w:w="3403" w:type="dxa"/>
          </w:tcPr>
          <w:p w14:paraId="25A381CB"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 xml:space="preserve">第八章 </w:t>
            </w:r>
            <w:r w:rsidRPr="00CF25BA">
              <w:rPr>
                <w:rFonts w:ascii="宋体" w:eastAsia="宋体" w:hAnsi="宋体" w:cs="宋体" w:hint="eastAsia"/>
                <w:color w:val="191919"/>
                <w:sz w:val="24"/>
                <w:szCs w:val="24"/>
              </w:rPr>
              <w:t>波动学基础</w:t>
            </w:r>
          </w:p>
        </w:tc>
        <w:tc>
          <w:tcPr>
            <w:tcW w:w="2693" w:type="dxa"/>
            <w:vAlign w:val="center"/>
          </w:tcPr>
          <w:p w14:paraId="0CB712EE"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讲授法与线上教学结合</w:t>
            </w:r>
          </w:p>
        </w:tc>
        <w:tc>
          <w:tcPr>
            <w:tcW w:w="1985" w:type="dxa"/>
            <w:vAlign w:val="center"/>
          </w:tcPr>
          <w:p w14:paraId="665DE131" w14:textId="77777777" w:rsidR="00CF25BA" w:rsidRPr="00CF25BA" w:rsidRDefault="00CF25BA" w:rsidP="00CF25BA">
            <w:pPr>
              <w:spacing w:line="440" w:lineRule="exact"/>
              <w:jc w:val="center"/>
              <w:rPr>
                <w:rFonts w:ascii="宋体" w:eastAsia="宋体" w:hAnsi="宋体" w:cs="Times New Roman"/>
                <w:sz w:val="24"/>
                <w:szCs w:val="24"/>
              </w:rPr>
            </w:pPr>
            <w:r w:rsidRPr="00CF25BA">
              <w:rPr>
                <w:rFonts w:ascii="宋体" w:eastAsia="宋体" w:hAnsi="宋体" w:cs="Times New Roman" w:hint="eastAsia"/>
                <w:sz w:val="24"/>
                <w:szCs w:val="24"/>
              </w:rPr>
              <w:t>课程目标1、2</w:t>
            </w:r>
          </w:p>
        </w:tc>
        <w:tc>
          <w:tcPr>
            <w:tcW w:w="1276" w:type="dxa"/>
            <w:vAlign w:val="center"/>
          </w:tcPr>
          <w:p w14:paraId="3A94FF80" w14:textId="77777777" w:rsidR="00CF25BA" w:rsidRPr="00CF25BA" w:rsidRDefault="00CF25BA" w:rsidP="00CF25BA">
            <w:pPr>
              <w:spacing w:line="440" w:lineRule="exact"/>
              <w:jc w:val="center"/>
              <w:rPr>
                <w:rFonts w:ascii="Times New Roman" w:eastAsia="宋体" w:hAnsi="Times New Roman" w:cs="Times New Roman"/>
                <w:sz w:val="24"/>
                <w:szCs w:val="24"/>
              </w:rPr>
            </w:pPr>
            <w:r w:rsidRPr="00CF25BA">
              <w:rPr>
                <w:rFonts w:ascii="Times New Roman" w:eastAsia="宋体" w:hAnsi="Times New Roman" w:cs="Times New Roman"/>
                <w:sz w:val="24"/>
                <w:szCs w:val="24"/>
              </w:rPr>
              <w:t>4</w:t>
            </w:r>
          </w:p>
        </w:tc>
      </w:tr>
      <w:tr w:rsidR="00CF25BA" w:rsidRPr="00CF25BA" w14:paraId="39CC743A" w14:textId="77777777" w:rsidTr="0002055D">
        <w:trPr>
          <w:jc w:val="center"/>
        </w:trPr>
        <w:tc>
          <w:tcPr>
            <w:tcW w:w="8081" w:type="dxa"/>
            <w:gridSpan w:val="3"/>
            <w:vAlign w:val="center"/>
          </w:tcPr>
          <w:p w14:paraId="75321109" w14:textId="77777777" w:rsidR="00CF25BA" w:rsidRPr="00CF25BA" w:rsidRDefault="00CF25BA" w:rsidP="00CF25BA">
            <w:pPr>
              <w:spacing w:line="440" w:lineRule="exact"/>
              <w:jc w:val="center"/>
              <w:rPr>
                <w:rFonts w:ascii="宋体" w:eastAsia="宋体" w:hAnsi="宋体" w:cs="Times New Roman"/>
                <w:b/>
                <w:sz w:val="24"/>
                <w:szCs w:val="24"/>
              </w:rPr>
            </w:pPr>
            <w:r w:rsidRPr="00CF25BA">
              <w:rPr>
                <w:rFonts w:ascii="宋体" w:eastAsia="宋体" w:hAnsi="宋体" w:cs="Times New Roman" w:hint="eastAsia"/>
                <w:b/>
                <w:sz w:val="24"/>
                <w:szCs w:val="24"/>
              </w:rPr>
              <w:t>合计</w:t>
            </w:r>
          </w:p>
        </w:tc>
        <w:tc>
          <w:tcPr>
            <w:tcW w:w="1276" w:type="dxa"/>
            <w:vAlign w:val="center"/>
          </w:tcPr>
          <w:p w14:paraId="1CC4826E" w14:textId="77777777" w:rsidR="00CF25BA" w:rsidRPr="00CF25BA" w:rsidRDefault="00CF25BA" w:rsidP="00CF25BA">
            <w:pPr>
              <w:spacing w:line="440" w:lineRule="exact"/>
              <w:jc w:val="center"/>
              <w:rPr>
                <w:rFonts w:ascii="Times New Roman" w:eastAsia="宋体" w:hAnsi="Times New Roman" w:cs="Times New Roman"/>
                <w:sz w:val="24"/>
                <w:szCs w:val="24"/>
              </w:rPr>
            </w:pPr>
            <w:r w:rsidRPr="00CF25BA">
              <w:rPr>
                <w:rFonts w:ascii="Times New Roman" w:eastAsia="宋体" w:hAnsi="Times New Roman" w:cs="Times New Roman"/>
                <w:sz w:val="24"/>
                <w:szCs w:val="24"/>
              </w:rPr>
              <w:t>72</w:t>
            </w:r>
          </w:p>
        </w:tc>
      </w:tr>
    </w:tbl>
    <w:p w14:paraId="7393ACBC" w14:textId="77777777" w:rsidR="00CF25BA" w:rsidRPr="00CF25BA" w:rsidRDefault="00CF25BA" w:rsidP="00CF25BA">
      <w:pPr>
        <w:spacing w:beforeLines="50" w:before="156" w:afterLines="50" w:after="156" w:line="440" w:lineRule="exact"/>
        <w:ind w:firstLineChars="200" w:firstLine="560"/>
        <w:rPr>
          <w:rFonts w:ascii="宋体" w:eastAsia="宋体" w:hAnsi="宋体" w:cs="Times New Roman"/>
          <w:sz w:val="24"/>
          <w:szCs w:val="24"/>
        </w:rPr>
      </w:pPr>
      <w:r w:rsidRPr="00CF25BA">
        <w:rPr>
          <w:rFonts w:ascii="黑体" w:eastAsia="黑体" w:hAnsi="黑体" w:cs="Times New Roman" w:hint="eastAsia"/>
          <w:sz w:val="28"/>
          <w:szCs w:val="28"/>
        </w:rPr>
        <w:t>四、课程考核及与课程学习目标的对应关系</w:t>
      </w:r>
    </w:p>
    <w:p w14:paraId="03569612" w14:textId="77777777" w:rsidR="00CF25BA" w:rsidRPr="00CF25BA" w:rsidRDefault="00CF25BA" w:rsidP="00CF25BA">
      <w:pPr>
        <w:spacing w:beforeLines="50" w:before="156" w:afterLines="50" w:after="156" w:line="440" w:lineRule="exact"/>
        <w:ind w:firstLineChars="200" w:firstLine="560"/>
        <w:rPr>
          <w:rFonts w:ascii="黑体" w:eastAsia="黑体" w:hAnsi="黑体" w:cs="Times New Roman"/>
          <w:sz w:val="28"/>
          <w:szCs w:val="28"/>
        </w:rPr>
      </w:pPr>
      <w:r w:rsidRPr="00CF25BA">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CF25BA" w:rsidRPr="00CF25BA" w14:paraId="3EF3DE1C" w14:textId="77777777" w:rsidTr="0002055D">
        <w:trPr>
          <w:trHeight w:val="515"/>
          <w:jc w:val="center"/>
        </w:trPr>
        <w:tc>
          <w:tcPr>
            <w:tcW w:w="1422" w:type="dxa"/>
          </w:tcPr>
          <w:p w14:paraId="2BC7E810" w14:textId="77777777" w:rsidR="00CF25BA" w:rsidRPr="00CF25BA" w:rsidRDefault="00CF25BA" w:rsidP="00CF25BA">
            <w:pPr>
              <w:spacing w:line="440" w:lineRule="exact"/>
              <w:jc w:val="center"/>
              <w:rPr>
                <w:rFonts w:ascii="宋体" w:eastAsia="宋体" w:hAnsi="宋体" w:cs="Times New Roman"/>
                <w:b/>
                <w:sz w:val="24"/>
                <w:szCs w:val="24"/>
              </w:rPr>
            </w:pPr>
            <w:r w:rsidRPr="00CF25BA">
              <w:rPr>
                <w:rFonts w:ascii="宋体" w:eastAsia="宋体" w:hAnsi="宋体" w:cs="Times New Roman" w:hint="eastAsia"/>
                <w:b/>
                <w:sz w:val="24"/>
                <w:szCs w:val="24"/>
              </w:rPr>
              <w:t>课程目标</w:t>
            </w:r>
          </w:p>
        </w:tc>
        <w:tc>
          <w:tcPr>
            <w:tcW w:w="7918" w:type="dxa"/>
            <w:vAlign w:val="center"/>
          </w:tcPr>
          <w:p w14:paraId="2F1E7825" w14:textId="77777777" w:rsidR="00CF25BA" w:rsidRPr="00CF25BA" w:rsidRDefault="00CF25BA" w:rsidP="00CF25BA">
            <w:pPr>
              <w:spacing w:line="440" w:lineRule="exact"/>
              <w:jc w:val="center"/>
              <w:rPr>
                <w:rFonts w:ascii="宋体" w:eastAsia="宋体" w:hAnsi="宋体" w:cs="Times New Roman"/>
                <w:b/>
                <w:sz w:val="24"/>
                <w:szCs w:val="24"/>
              </w:rPr>
            </w:pPr>
            <w:r w:rsidRPr="00CF25BA">
              <w:rPr>
                <w:rFonts w:ascii="宋体" w:eastAsia="宋体" w:hAnsi="宋体" w:cs="Times New Roman" w:hint="eastAsia"/>
                <w:b/>
                <w:sz w:val="24"/>
                <w:szCs w:val="24"/>
              </w:rPr>
              <w:t>考核内容</w:t>
            </w:r>
          </w:p>
        </w:tc>
      </w:tr>
      <w:tr w:rsidR="00CF25BA" w:rsidRPr="00CF25BA" w14:paraId="781014F9" w14:textId="77777777" w:rsidTr="0002055D">
        <w:trPr>
          <w:jc w:val="center"/>
        </w:trPr>
        <w:tc>
          <w:tcPr>
            <w:tcW w:w="1422" w:type="dxa"/>
            <w:vAlign w:val="center"/>
          </w:tcPr>
          <w:p w14:paraId="2C9CBAA1" w14:textId="77777777" w:rsidR="00CF25BA" w:rsidRPr="00CF25BA" w:rsidRDefault="00CF25BA" w:rsidP="00CF25BA">
            <w:pPr>
              <w:spacing w:line="440" w:lineRule="exact"/>
              <w:jc w:val="center"/>
              <w:rPr>
                <w:rFonts w:ascii="宋体" w:eastAsia="宋体" w:hAnsi="宋体" w:cs="Times New Roman"/>
                <w:bCs/>
                <w:sz w:val="24"/>
                <w:szCs w:val="24"/>
              </w:rPr>
            </w:pPr>
            <w:r w:rsidRPr="00CF25BA">
              <w:rPr>
                <w:rFonts w:ascii="宋体" w:eastAsia="宋体" w:hAnsi="宋体" w:cs="Times New Roman" w:hint="eastAsia"/>
                <w:bCs/>
                <w:sz w:val="24"/>
                <w:szCs w:val="24"/>
              </w:rPr>
              <w:t>课程目标1</w:t>
            </w:r>
          </w:p>
        </w:tc>
        <w:tc>
          <w:tcPr>
            <w:tcW w:w="7918" w:type="dxa"/>
            <w:vAlign w:val="center"/>
          </w:tcPr>
          <w:p w14:paraId="13B07FE4" w14:textId="77777777" w:rsidR="00CF25BA" w:rsidRPr="00CF25BA" w:rsidRDefault="00CF25BA" w:rsidP="00CF25BA">
            <w:pPr>
              <w:spacing w:line="440" w:lineRule="exact"/>
              <w:rPr>
                <w:rFonts w:ascii="宋体" w:eastAsia="宋体" w:hAnsi="宋体" w:cs="Times New Roman"/>
                <w:bCs/>
                <w:sz w:val="24"/>
                <w:szCs w:val="24"/>
              </w:rPr>
            </w:pPr>
            <w:r w:rsidRPr="00CF25BA">
              <w:rPr>
                <w:rFonts w:ascii="宋体" w:eastAsia="宋体" w:hAnsi="宋体" w:cs="Times New Roman" w:hint="eastAsia"/>
                <w:bCs/>
                <w:sz w:val="24"/>
                <w:szCs w:val="24"/>
              </w:rPr>
              <w:t>1.1物理学中基本概念的掌握；</w:t>
            </w:r>
          </w:p>
          <w:p w14:paraId="752719A7" w14:textId="77777777" w:rsidR="00CF25BA" w:rsidRPr="00CF25BA" w:rsidRDefault="00CF25BA" w:rsidP="00CF25BA">
            <w:pPr>
              <w:spacing w:line="440" w:lineRule="exact"/>
              <w:rPr>
                <w:rFonts w:ascii="宋体" w:eastAsia="宋体" w:hAnsi="宋体" w:cs="Times New Roman"/>
                <w:bCs/>
                <w:sz w:val="24"/>
                <w:szCs w:val="24"/>
              </w:rPr>
            </w:pPr>
            <w:r w:rsidRPr="00CF25BA">
              <w:rPr>
                <w:rFonts w:ascii="宋体" w:eastAsia="宋体" w:hAnsi="宋体" w:cs="Times New Roman" w:hint="eastAsia"/>
                <w:bCs/>
                <w:sz w:val="24"/>
                <w:szCs w:val="24"/>
              </w:rPr>
              <w:t>1.2物理学和其它学科的联系。</w:t>
            </w:r>
          </w:p>
        </w:tc>
      </w:tr>
      <w:tr w:rsidR="00CF25BA" w:rsidRPr="00CF25BA" w14:paraId="03D71CE8" w14:textId="77777777" w:rsidTr="0002055D">
        <w:trPr>
          <w:jc w:val="center"/>
        </w:trPr>
        <w:tc>
          <w:tcPr>
            <w:tcW w:w="1422" w:type="dxa"/>
            <w:vAlign w:val="center"/>
          </w:tcPr>
          <w:p w14:paraId="1C0197A9" w14:textId="77777777" w:rsidR="00CF25BA" w:rsidRPr="00CF25BA" w:rsidRDefault="00CF25BA" w:rsidP="00CF25BA">
            <w:pPr>
              <w:spacing w:line="440" w:lineRule="exact"/>
              <w:jc w:val="center"/>
              <w:rPr>
                <w:rFonts w:ascii="宋体" w:eastAsia="宋体" w:hAnsi="宋体" w:cs="Times New Roman"/>
                <w:bCs/>
                <w:sz w:val="24"/>
                <w:szCs w:val="24"/>
              </w:rPr>
            </w:pPr>
            <w:r w:rsidRPr="00CF25BA">
              <w:rPr>
                <w:rFonts w:ascii="宋体" w:eastAsia="宋体" w:hAnsi="宋体" w:cs="Times New Roman" w:hint="eastAsia"/>
                <w:bCs/>
                <w:sz w:val="24"/>
                <w:szCs w:val="24"/>
              </w:rPr>
              <w:t>课程目标2</w:t>
            </w:r>
          </w:p>
        </w:tc>
        <w:tc>
          <w:tcPr>
            <w:tcW w:w="7918" w:type="dxa"/>
            <w:vAlign w:val="center"/>
          </w:tcPr>
          <w:p w14:paraId="0423E3F9" w14:textId="77777777" w:rsidR="00CF25BA" w:rsidRPr="00CF25BA" w:rsidRDefault="00CF25BA" w:rsidP="00CF25BA">
            <w:pPr>
              <w:spacing w:line="440" w:lineRule="exact"/>
              <w:rPr>
                <w:rFonts w:ascii="宋体" w:eastAsia="宋体" w:hAnsi="宋体" w:cs="Times New Roman"/>
                <w:bCs/>
                <w:sz w:val="24"/>
                <w:szCs w:val="24"/>
              </w:rPr>
            </w:pPr>
            <w:r w:rsidRPr="00CF25BA">
              <w:rPr>
                <w:rFonts w:ascii="宋体" w:eastAsia="宋体" w:hAnsi="宋体" w:cs="Times New Roman" w:hint="eastAsia"/>
                <w:bCs/>
                <w:sz w:val="24"/>
                <w:szCs w:val="24"/>
              </w:rPr>
              <w:t>2.1</w:t>
            </w:r>
            <w:r w:rsidRPr="00CF25BA">
              <w:rPr>
                <w:rFonts w:ascii="宋体" w:eastAsia="宋体" w:hAnsi="宋体" w:cs="宋体" w:hint="eastAsia"/>
                <w:sz w:val="24"/>
                <w:szCs w:val="24"/>
              </w:rPr>
              <w:t>描述直线运动和曲线运动的物理量及这些物理量之间的关系、力和运动之间的关系、静电场和恒定磁场中的基本知识、电磁感应的基本定律以及</w:t>
            </w:r>
            <w:proofErr w:type="gramStart"/>
            <w:r w:rsidRPr="00CF25BA">
              <w:rPr>
                <w:rFonts w:ascii="宋体" w:eastAsia="宋体" w:hAnsi="宋体" w:cs="宋体" w:hint="eastAsia"/>
                <w:sz w:val="24"/>
                <w:szCs w:val="24"/>
              </w:rPr>
              <w:t>振动学</w:t>
            </w:r>
            <w:proofErr w:type="gramEnd"/>
            <w:r w:rsidRPr="00CF25BA">
              <w:rPr>
                <w:rFonts w:ascii="宋体" w:eastAsia="宋体" w:hAnsi="宋体" w:cs="宋体" w:hint="eastAsia"/>
                <w:sz w:val="24"/>
                <w:szCs w:val="24"/>
              </w:rPr>
              <w:t>的基础和波动学的基础；</w:t>
            </w:r>
          </w:p>
          <w:p w14:paraId="6FED760F" w14:textId="77777777" w:rsidR="00CF25BA" w:rsidRPr="00CF25BA" w:rsidRDefault="00CF25BA" w:rsidP="00CF25BA">
            <w:pPr>
              <w:spacing w:line="440" w:lineRule="exact"/>
              <w:rPr>
                <w:rFonts w:ascii="宋体" w:eastAsia="宋体" w:hAnsi="宋体" w:cs="Times New Roman"/>
                <w:bCs/>
                <w:sz w:val="24"/>
                <w:szCs w:val="24"/>
              </w:rPr>
            </w:pPr>
            <w:r w:rsidRPr="00CF25BA">
              <w:rPr>
                <w:rFonts w:ascii="宋体" w:eastAsia="宋体" w:hAnsi="宋体" w:cs="Times New Roman" w:hint="eastAsia"/>
                <w:bCs/>
                <w:sz w:val="24"/>
                <w:szCs w:val="24"/>
              </w:rPr>
              <w:t>2.2</w:t>
            </w:r>
            <w:r w:rsidRPr="00CF25BA">
              <w:rPr>
                <w:rFonts w:ascii="宋体" w:eastAsia="宋体" w:hAnsi="宋体" w:cs="宋体" w:hint="eastAsia"/>
                <w:sz w:val="24"/>
                <w:szCs w:val="24"/>
              </w:rPr>
              <w:t>应用高等数学知识表达物理规律、分析和解决物理问题的能力。</w:t>
            </w:r>
          </w:p>
        </w:tc>
      </w:tr>
      <w:tr w:rsidR="00CF25BA" w:rsidRPr="00CF25BA" w14:paraId="41459B8D" w14:textId="77777777" w:rsidTr="0002055D">
        <w:trPr>
          <w:jc w:val="center"/>
        </w:trPr>
        <w:tc>
          <w:tcPr>
            <w:tcW w:w="1422" w:type="dxa"/>
            <w:vAlign w:val="center"/>
          </w:tcPr>
          <w:p w14:paraId="6E7CA2B5" w14:textId="77777777" w:rsidR="00CF25BA" w:rsidRPr="00CF25BA" w:rsidRDefault="00CF25BA" w:rsidP="00CF25BA">
            <w:pPr>
              <w:spacing w:line="440" w:lineRule="exact"/>
              <w:jc w:val="center"/>
              <w:rPr>
                <w:rFonts w:ascii="宋体" w:eastAsia="宋体" w:hAnsi="宋体" w:cs="Times New Roman"/>
                <w:bCs/>
                <w:sz w:val="24"/>
                <w:szCs w:val="24"/>
              </w:rPr>
            </w:pPr>
            <w:r w:rsidRPr="00CF25BA">
              <w:rPr>
                <w:rFonts w:ascii="宋体" w:eastAsia="宋体" w:hAnsi="宋体" w:cs="Times New Roman" w:hint="eastAsia"/>
                <w:bCs/>
                <w:sz w:val="24"/>
                <w:szCs w:val="24"/>
              </w:rPr>
              <w:t>课程目标3</w:t>
            </w:r>
          </w:p>
        </w:tc>
        <w:tc>
          <w:tcPr>
            <w:tcW w:w="7918" w:type="dxa"/>
            <w:vAlign w:val="center"/>
          </w:tcPr>
          <w:p w14:paraId="3E7ADCF6" w14:textId="77777777" w:rsidR="00CF25BA" w:rsidRPr="00CF25BA" w:rsidRDefault="00CF25BA" w:rsidP="00CF25BA">
            <w:pPr>
              <w:spacing w:line="440" w:lineRule="exact"/>
              <w:rPr>
                <w:rFonts w:ascii="宋体" w:eastAsia="宋体" w:hAnsi="宋体" w:cs="Times New Roman"/>
                <w:sz w:val="24"/>
                <w:szCs w:val="24"/>
              </w:rPr>
            </w:pPr>
            <w:r w:rsidRPr="00CF25BA">
              <w:rPr>
                <w:rFonts w:ascii="宋体" w:eastAsia="宋体" w:hAnsi="宋体" w:cs="Times New Roman" w:hint="eastAsia"/>
                <w:bCs/>
                <w:sz w:val="24"/>
                <w:szCs w:val="24"/>
              </w:rPr>
              <w:t>3.1</w:t>
            </w:r>
            <w:r w:rsidRPr="00CF25BA">
              <w:rPr>
                <w:rFonts w:ascii="宋体" w:eastAsia="宋体" w:hAnsi="宋体" w:cs="Times New Roman" w:hint="eastAsia"/>
                <w:sz w:val="24"/>
                <w:szCs w:val="24"/>
              </w:rPr>
              <w:t>自主学习、虚心请教以及</w:t>
            </w:r>
            <w:r w:rsidRPr="00CF25BA">
              <w:rPr>
                <w:rFonts w:ascii="宋体" w:eastAsia="宋体" w:hAnsi="宋体" w:cs="Times New Roman"/>
                <w:sz w:val="24"/>
                <w:szCs w:val="24"/>
              </w:rPr>
              <w:t>沟通交流</w:t>
            </w:r>
            <w:r w:rsidRPr="00CF25BA">
              <w:rPr>
                <w:rFonts w:ascii="宋体" w:eastAsia="宋体" w:hAnsi="宋体" w:cs="Times New Roman" w:hint="eastAsia"/>
                <w:sz w:val="24"/>
                <w:szCs w:val="24"/>
              </w:rPr>
              <w:t>的</w:t>
            </w:r>
            <w:r w:rsidRPr="00CF25BA">
              <w:rPr>
                <w:rFonts w:ascii="宋体" w:eastAsia="宋体" w:hAnsi="宋体" w:cs="Times New Roman"/>
                <w:sz w:val="24"/>
                <w:szCs w:val="24"/>
              </w:rPr>
              <w:t>能力</w:t>
            </w:r>
            <w:r w:rsidRPr="00CF25BA">
              <w:rPr>
                <w:rFonts w:ascii="宋体" w:eastAsia="宋体" w:hAnsi="宋体" w:cs="Times New Roman" w:hint="eastAsia"/>
                <w:sz w:val="24"/>
                <w:szCs w:val="24"/>
              </w:rPr>
              <w:t>；</w:t>
            </w:r>
          </w:p>
          <w:p w14:paraId="0A7B8FBA" w14:textId="77777777" w:rsidR="00CF25BA" w:rsidRPr="00CF25BA" w:rsidRDefault="00CF25BA" w:rsidP="00CF25BA">
            <w:pPr>
              <w:spacing w:line="440" w:lineRule="exact"/>
              <w:rPr>
                <w:rFonts w:ascii="宋体" w:eastAsia="宋体" w:hAnsi="宋体" w:cs="Times New Roman"/>
                <w:bCs/>
                <w:sz w:val="24"/>
                <w:szCs w:val="24"/>
              </w:rPr>
            </w:pPr>
            <w:r w:rsidRPr="00CF25BA">
              <w:rPr>
                <w:rFonts w:ascii="宋体" w:eastAsia="宋体" w:hAnsi="宋体" w:cs="Times New Roman" w:hint="eastAsia"/>
                <w:sz w:val="24"/>
                <w:szCs w:val="24"/>
              </w:rPr>
              <w:t>3.2理论与实践相结合的研究创新能力。</w:t>
            </w:r>
          </w:p>
        </w:tc>
      </w:tr>
    </w:tbl>
    <w:p w14:paraId="266D46EB" w14:textId="77777777" w:rsidR="00CF25BA" w:rsidRPr="00CF25BA" w:rsidRDefault="00CF25BA" w:rsidP="00CF25BA">
      <w:pPr>
        <w:spacing w:beforeLines="50" w:before="156" w:afterLines="50" w:after="156" w:line="440" w:lineRule="exact"/>
        <w:ind w:firstLineChars="200" w:firstLine="560"/>
        <w:rPr>
          <w:rFonts w:ascii="黑体" w:eastAsia="黑体" w:hAnsi="黑体" w:cs="Times New Roman"/>
          <w:sz w:val="28"/>
          <w:szCs w:val="28"/>
        </w:rPr>
      </w:pPr>
      <w:r w:rsidRPr="00CF25BA">
        <w:rPr>
          <w:rFonts w:ascii="黑体" w:eastAsia="黑体" w:hAnsi="黑体" w:cs="Times New Roman" w:hint="eastAsia"/>
          <w:sz w:val="28"/>
          <w:szCs w:val="28"/>
        </w:rPr>
        <w:t>（二）课程考核方式</w:t>
      </w:r>
    </w:p>
    <w:p w14:paraId="49465EEA"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平时考核：包括课堂表现、平时作业、阶段性测验；</w:t>
      </w:r>
    </w:p>
    <w:p w14:paraId="2BB42408"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期末考核：闭卷考试。</w:t>
      </w:r>
    </w:p>
    <w:p w14:paraId="38D70566" w14:textId="77777777" w:rsidR="00CF25BA" w:rsidRPr="00CF25BA" w:rsidRDefault="00CF25BA">
      <w:pPr>
        <w:numPr>
          <w:ilvl w:val="0"/>
          <w:numId w:val="281"/>
        </w:numPr>
        <w:spacing w:beforeLines="50" w:before="156" w:afterLines="50" w:after="156" w:line="440" w:lineRule="exact"/>
        <w:ind w:firstLineChars="200" w:firstLine="560"/>
        <w:rPr>
          <w:rFonts w:ascii="黑体" w:eastAsia="黑体" w:hAnsi="黑体" w:cs="Times New Roman"/>
          <w:sz w:val="28"/>
          <w:szCs w:val="28"/>
        </w:rPr>
      </w:pPr>
      <w:r w:rsidRPr="00CF25BA">
        <w:rPr>
          <w:rFonts w:ascii="黑体" w:eastAsia="黑体" w:hAnsi="黑体" w:cs="Times New Roman" w:hint="eastAsia"/>
          <w:sz w:val="28"/>
          <w:szCs w:val="28"/>
        </w:rPr>
        <w:t>课程目标达成评价方式及考核比例</w:t>
      </w:r>
    </w:p>
    <w:p w14:paraId="2BF6E044" w14:textId="77777777" w:rsidR="00CF25BA" w:rsidRPr="00CF25BA" w:rsidRDefault="00CF25BA" w:rsidP="00CF25BA">
      <w:pPr>
        <w:spacing w:line="440" w:lineRule="exact"/>
        <w:ind w:firstLineChars="200" w:firstLine="480"/>
        <w:rPr>
          <w:rFonts w:ascii="Times New Roman" w:eastAsia="宋体" w:hAnsi="Times New Roman" w:cs="Times New Roman"/>
          <w:sz w:val="24"/>
          <w:szCs w:val="24"/>
        </w:rPr>
      </w:pPr>
      <w:r w:rsidRPr="00CF25BA">
        <w:rPr>
          <w:rFonts w:ascii="Times New Roman" w:eastAsia="宋体" w:hAnsi="Times New Roman" w:cs="Times New Roman" w:hint="eastAsia"/>
          <w:sz w:val="24"/>
          <w:szCs w:val="24"/>
        </w:rPr>
        <w:t>大学物理</w:t>
      </w:r>
      <w:r w:rsidRPr="00CF25BA">
        <w:rPr>
          <w:rFonts w:ascii="Times New Roman" w:eastAsia="宋体" w:hAnsi="Times New Roman" w:cs="Times New Roman" w:hint="eastAsia"/>
          <w:sz w:val="24"/>
          <w:szCs w:val="24"/>
        </w:rPr>
        <w:t>B</w:t>
      </w:r>
      <w:r w:rsidRPr="00CF25BA">
        <w:rPr>
          <w:rFonts w:ascii="Times New Roman" w:eastAsia="宋体" w:hAnsi="Times New Roman" w:cs="Times New Roman" w:hint="eastAsia"/>
          <w:sz w:val="24"/>
          <w:szCs w:val="24"/>
        </w:rPr>
        <w:t>课程考核方式及成绩比例为：</w:t>
      </w:r>
      <w:bookmarkStart w:id="157" w:name="_Hlk54554793"/>
      <w:r w:rsidRPr="00CF25BA">
        <w:rPr>
          <w:rFonts w:ascii="Times New Roman" w:eastAsia="宋体" w:hAnsi="Times New Roman" w:cs="Times New Roman" w:hint="eastAsia"/>
          <w:sz w:val="24"/>
          <w:szCs w:val="24"/>
        </w:rPr>
        <w:t>课堂表现</w:t>
      </w:r>
      <w:r w:rsidRPr="00CF25BA">
        <w:rPr>
          <w:rFonts w:ascii="Times New Roman" w:eastAsia="宋体" w:hAnsi="Times New Roman" w:cs="Times New Roman"/>
          <w:sz w:val="24"/>
          <w:szCs w:val="24"/>
        </w:rPr>
        <w:t>15%+</w:t>
      </w:r>
      <w:r w:rsidRPr="00CF25BA">
        <w:rPr>
          <w:rFonts w:ascii="Times New Roman" w:eastAsia="宋体" w:hAnsi="Times New Roman" w:cs="Times New Roman" w:hint="eastAsia"/>
          <w:sz w:val="24"/>
          <w:szCs w:val="24"/>
        </w:rPr>
        <w:t>平时作业</w:t>
      </w:r>
      <w:r w:rsidRPr="00CF25BA">
        <w:rPr>
          <w:rFonts w:ascii="Times New Roman" w:eastAsia="宋体" w:hAnsi="Times New Roman" w:cs="Times New Roman" w:hint="eastAsia"/>
          <w:sz w:val="24"/>
          <w:szCs w:val="24"/>
        </w:rPr>
        <w:t>1</w:t>
      </w:r>
      <w:r w:rsidRPr="00CF25BA">
        <w:rPr>
          <w:rFonts w:ascii="Times New Roman" w:eastAsia="宋体" w:hAnsi="Times New Roman" w:cs="Times New Roman"/>
          <w:sz w:val="24"/>
          <w:szCs w:val="24"/>
        </w:rPr>
        <w:t>0</w:t>
      </w:r>
      <w:r w:rsidRPr="00CF25BA">
        <w:rPr>
          <w:rFonts w:ascii="Times New Roman" w:eastAsia="宋体" w:hAnsi="Times New Roman" w:cs="Times New Roman" w:hint="eastAsia"/>
          <w:sz w:val="24"/>
          <w:szCs w:val="24"/>
        </w:rPr>
        <w:t>%+</w:t>
      </w:r>
      <w:r w:rsidRPr="00CF25BA">
        <w:rPr>
          <w:rFonts w:ascii="Times New Roman" w:eastAsia="宋体" w:hAnsi="Times New Roman" w:cs="Times New Roman" w:hint="eastAsia"/>
          <w:sz w:val="24"/>
          <w:szCs w:val="24"/>
        </w:rPr>
        <w:t>阶段测试</w:t>
      </w:r>
      <w:r w:rsidRPr="00CF25BA">
        <w:rPr>
          <w:rFonts w:ascii="Times New Roman" w:eastAsia="宋体" w:hAnsi="Times New Roman" w:cs="Times New Roman"/>
          <w:sz w:val="24"/>
          <w:szCs w:val="24"/>
        </w:rPr>
        <w:t>25%+</w:t>
      </w:r>
      <w:r w:rsidRPr="00CF25BA">
        <w:rPr>
          <w:rFonts w:ascii="Times New Roman" w:eastAsia="宋体" w:hAnsi="Times New Roman" w:cs="Times New Roman" w:hint="eastAsia"/>
          <w:sz w:val="24"/>
          <w:szCs w:val="24"/>
        </w:rPr>
        <w:t>期末考试</w:t>
      </w:r>
      <w:r w:rsidRPr="00CF25BA">
        <w:rPr>
          <w:rFonts w:ascii="Times New Roman" w:eastAsia="宋体" w:hAnsi="Times New Roman" w:cs="Times New Roman"/>
          <w:sz w:val="24"/>
          <w:szCs w:val="24"/>
        </w:rPr>
        <w:t>50%</w:t>
      </w:r>
      <w:bookmarkEnd w:id="157"/>
      <w:r w:rsidRPr="00CF25BA">
        <w:rPr>
          <w:rFonts w:ascii="Times New Roman" w:eastAsia="宋体" w:hAnsi="Times New Roman" w:cs="Times New Roman" w:hint="eastAsia"/>
          <w:sz w:val="24"/>
          <w:szCs w:val="24"/>
        </w:rPr>
        <w:t>；本课程共有三个课程目标，考核方式及成绩比例分别为：</w:t>
      </w:r>
    </w:p>
    <w:p w14:paraId="39064BBF" w14:textId="77777777" w:rsidR="00CF25BA" w:rsidRPr="00CF25BA" w:rsidRDefault="00CF25BA" w:rsidP="00CF25BA">
      <w:pPr>
        <w:spacing w:line="440" w:lineRule="exact"/>
        <w:ind w:leftChars="200" w:left="420"/>
        <w:rPr>
          <w:rFonts w:ascii="Times New Roman" w:eastAsia="宋体" w:hAnsi="Times New Roman" w:cs="Times New Roman"/>
          <w:sz w:val="24"/>
          <w:szCs w:val="24"/>
        </w:rPr>
      </w:pPr>
      <w:r w:rsidRPr="00CF25BA">
        <w:rPr>
          <w:rFonts w:ascii="Times New Roman" w:eastAsia="宋体" w:hAnsi="Times New Roman" w:cs="Times New Roman" w:hint="eastAsia"/>
          <w:sz w:val="24"/>
          <w:szCs w:val="24"/>
        </w:rPr>
        <w:t>课程目标</w:t>
      </w:r>
      <w:r w:rsidRPr="00CF25BA">
        <w:rPr>
          <w:rFonts w:ascii="Times New Roman" w:eastAsia="宋体" w:hAnsi="Times New Roman" w:cs="Times New Roman" w:hint="eastAsia"/>
          <w:sz w:val="24"/>
          <w:szCs w:val="24"/>
        </w:rPr>
        <w:t>1</w:t>
      </w:r>
      <w:r w:rsidRPr="00CF25BA">
        <w:rPr>
          <w:rFonts w:ascii="Times New Roman" w:eastAsia="宋体" w:hAnsi="Times New Roman" w:cs="Times New Roman" w:hint="eastAsia"/>
          <w:sz w:val="24"/>
          <w:szCs w:val="24"/>
        </w:rPr>
        <w:t>：课堂表现</w:t>
      </w:r>
      <w:r w:rsidRPr="00CF25BA">
        <w:rPr>
          <w:rFonts w:ascii="Times New Roman" w:eastAsia="宋体" w:hAnsi="Times New Roman" w:cs="Times New Roman" w:hint="eastAsia"/>
          <w:sz w:val="24"/>
          <w:szCs w:val="24"/>
        </w:rPr>
        <w:t>5%+</w:t>
      </w:r>
      <w:r w:rsidRPr="00CF25BA">
        <w:rPr>
          <w:rFonts w:ascii="Times New Roman" w:eastAsia="宋体" w:hAnsi="Times New Roman" w:cs="Times New Roman" w:hint="eastAsia"/>
          <w:sz w:val="24"/>
          <w:szCs w:val="24"/>
        </w:rPr>
        <w:t>平时作业</w:t>
      </w:r>
      <w:r w:rsidRPr="00CF25BA">
        <w:rPr>
          <w:rFonts w:ascii="Times New Roman" w:eastAsia="宋体" w:hAnsi="Times New Roman" w:cs="Times New Roman" w:hint="eastAsia"/>
          <w:sz w:val="24"/>
          <w:szCs w:val="24"/>
        </w:rPr>
        <w:t>5%+</w:t>
      </w:r>
      <w:r w:rsidRPr="00CF25BA">
        <w:rPr>
          <w:rFonts w:ascii="Times New Roman" w:eastAsia="宋体" w:hAnsi="Times New Roman" w:cs="Times New Roman" w:hint="eastAsia"/>
          <w:sz w:val="24"/>
          <w:szCs w:val="24"/>
        </w:rPr>
        <w:t>阶段测试</w:t>
      </w:r>
      <w:r w:rsidRPr="00CF25BA">
        <w:rPr>
          <w:rFonts w:ascii="Times New Roman" w:eastAsia="宋体" w:hAnsi="Times New Roman" w:cs="Times New Roman" w:hint="eastAsia"/>
          <w:sz w:val="24"/>
          <w:szCs w:val="24"/>
        </w:rPr>
        <w:t>15%+</w:t>
      </w:r>
      <w:r w:rsidRPr="00CF25BA">
        <w:rPr>
          <w:rFonts w:ascii="Times New Roman" w:eastAsia="宋体" w:hAnsi="Times New Roman" w:cs="Times New Roman" w:hint="eastAsia"/>
          <w:sz w:val="24"/>
          <w:szCs w:val="24"/>
        </w:rPr>
        <w:t>期末考试</w:t>
      </w:r>
      <w:r w:rsidRPr="00CF25BA">
        <w:rPr>
          <w:rFonts w:ascii="Times New Roman" w:eastAsia="宋体" w:hAnsi="Times New Roman" w:cs="Times New Roman" w:hint="eastAsia"/>
          <w:sz w:val="24"/>
          <w:szCs w:val="24"/>
        </w:rPr>
        <w:t>20%</w:t>
      </w:r>
      <w:r w:rsidRPr="00CF25BA">
        <w:rPr>
          <w:rFonts w:ascii="Times New Roman" w:eastAsia="宋体" w:hAnsi="Times New Roman" w:cs="Times New Roman" w:hint="eastAsia"/>
          <w:sz w:val="24"/>
          <w:szCs w:val="24"/>
        </w:rPr>
        <w:cr/>
      </w:r>
      <w:r w:rsidRPr="00CF25BA">
        <w:rPr>
          <w:rFonts w:ascii="Times New Roman" w:eastAsia="宋体" w:hAnsi="Times New Roman" w:cs="Times New Roman" w:hint="eastAsia"/>
          <w:sz w:val="24"/>
          <w:szCs w:val="24"/>
        </w:rPr>
        <w:lastRenderedPageBreak/>
        <w:t>课程目标</w:t>
      </w:r>
      <w:r w:rsidRPr="00CF25BA">
        <w:rPr>
          <w:rFonts w:ascii="Times New Roman" w:eastAsia="宋体" w:hAnsi="Times New Roman" w:cs="Times New Roman" w:hint="eastAsia"/>
          <w:sz w:val="24"/>
          <w:szCs w:val="24"/>
        </w:rPr>
        <w:t>2</w:t>
      </w:r>
      <w:r w:rsidRPr="00CF25BA">
        <w:rPr>
          <w:rFonts w:ascii="Times New Roman" w:eastAsia="宋体" w:hAnsi="Times New Roman" w:cs="Times New Roman" w:hint="eastAsia"/>
          <w:sz w:val="24"/>
          <w:szCs w:val="24"/>
        </w:rPr>
        <w:t>：课堂表现</w:t>
      </w:r>
      <w:r w:rsidRPr="00CF25BA">
        <w:rPr>
          <w:rFonts w:ascii="Times New Roman" w:eastAsia="宋体" w:hAnsi="Times New Roman" w:cs="Times New Roman" w:hint="eastAsia"/>
          <w:sz w:val="24"/>
          <w:szCs w:val="24"/>
        </w:rPr>
        <w:t>5%+</w:t>
      </w:r>
      <w:r w:rsidRPr="00CF25BA">
        <w:rPr>
          <w:rFonts w:ascii="Times New Roman" w:eastAsia="宋体" w:hAnsi="Times New Roman" w:cs="Times New Roman" w:hint="eastAsia"/>
          <w:sz w:val="24"/>
          <w:szCs w:val="24"/>
        </w:rPr>
        <w:t>平时作业</w:t>
      </w:r>
      <w:r w:rsidRPr="00CF25BA">
        <w:rPr>
          <w:rFonts w:ascii="Times New Roman" w:eastAsia="宋体" w:hAnsi="Times New Roman" w:cs="Times New Roman" w:hint="eastAsia"/>
          <w:sz w:val="24"/>
          <w:szCs w:val="24"/>
        </w:rPr>
        <w:t>5%+</w:t>
      </w:r>
      <w:r w:rsidRPr="00CF25BA">
        <w:rPr>
          <w:rFonts w:ascii="Times New Roman" w:eastAsia="宋体" w:hAnsi="Times New Roman" w:cs="Times New Roman" w:hint="eastAsia"/>
          <w:sz w:val="24"/>
          <w:szCs w:val="24"/>
        </w:rPr>
        <w:t>阶段测试</w:t>
      </w:r>
      <w:r w:rsidRPr="00CF25BA">
        <w:rPr>
          <w:rFonts w:ascii="Times New Roman" w:eastAsia="宋体" w:hAnsi="Times New Roman" w:cs="Times New Roman" w:hint="eastAsia"/>
          <w:sz w:val="24"/>
          <w:szCs w:val="24"/>
        </w:rPr>
        <w:t>10%+</w:t>
      </w:r>
      <w:r w:rsidRPr="00CF25BA">
        <w:rPr>
          <w:rFonts w:ascii="Times New Roman" w:eastAsia="宋体" w:hAnsi="Times New Roman" w:cs="Times New Roman" w:hint="eastAsia"/>
          <w:sz w:val="24"/>
          <w:szCs w:val="24"/>
        </w:rPr>
        <w:t>期末考试</w:t>
      </w:r>
      <w:r w:rsidRPr="00CF25BA">
        <w:rPr>
          <w:rFonts w:ascii="Times New Roman" w:eastAsia="宋体" w:hAnsi="Times New Roman" w:cs="Times New Roman" w:hint="eastAsia"/>
          <w:sz w:val="24"/>
          <w:szCs w:val="24"/>
        </w:rPr>
        <w:t>30%</w:t>
      </w:r>
      <w:r w:rsidRPr="00CF25BA">
        <w:rPr>
          <w:rFonts w:ascii="Times New Roman" w:eastAsia="宋体" w:hAnsi="Times New Roman" w:cs="Times New Roman" w:hint="eastAsia"/>
          <w:sz w:val="24"/>
          <w:szCs w:val="24"/>
        </w:rPr>
        <w:cr/>
      </w:r>
      <w:r w:rsidRPr="00CF25BA">
        <w:rPr>
          <w:rFonts w:ascii="Times New Roman" w:eastAsia="宋体" w:hAnsi="Times New Roman" w:cs="Times New Roman" w:hint="eastAsia"/>
          <w:sz w:val="24"/>
          <w:szCs w:val="24"/>
        </w:rPr>
        <w:t>课程目标</w:t>
      </w:r>
      <w:r w:rsidRPr="00CF25BA">
        <w:rPr>
          <w:rFonts w:ascii="Times New Roman" w:eastAsia="宋体" w:hAnsi="Times New Roman" w:cs="Times New Roman" w:hint="eastAsia"/>
          <w:sz w:val="24"/>
          <w:szCs w:val="24"/>
        </w:rPr>
        <w:t>3</w:t>
      </w:r>
      <w:r w:rsidRPr="00CF25BA">
        <w:rPr>
          <w:rFonts w:ascii="Times New Roman" w:eastAsia="宋体" w:hAnsi="Times New Roman" w:cs="Times New Roman" w:hint="eastAsia"/>
          <w:sz w:val="24"/>
          <w:szCs w:val="24"/>
        </w:rPr>
        <w:t>：课堂表现</w:t>
      </w:r>
      <w:r w:rsidRPr="00CF25BA">
        <w:rPr>
          <w:rFonts w:ascii="Times New Roman" w:eastAsia="宋体" w:hAnsi="Times New Roman" w:cs="Times New Roman" w:hint="eastAsia"/>
          <w:sz w:val="24"/>
          <w:szCs w:val="24"/>
        </w:rPr>
        <w:t>5%</w:t>
      </w:r>
    </w:p>
    <w:p w14:paraId="4194BD52" w14:textId="77777777" w:rsidR="00CF25BA" w:rsidRPr="00CF25BA" w:rsidRDefault="00CF25BA" w:rsidP="00CF25BA">
      <w:pPr>
        <w:spacing w:line="440" w:lineRule="exact"/>
        <w:ind w:leftChars="200" w:left="420"/>
        <w:rPr>
          <w:rFonts w:ascii="黑体" w:eastAsia="黑体" w:hAnsi="黑体" w:cs="Times New Roman"/>
          <w:sz w:val="28"/>
          <w:szCs w:val="28"/>
        </w:rPr>
      </w:pPr>
      <w:r w:rsidRPr="00CF25BA">
        <w:rPr>
          <w:rFonts w:ascii="Times New Roman" w:eastAsia="宋体" w:hAnsi="Times New Roman" w:cs="Times New Roman" w:hint="eastAsia"/>
          <w:sz w:val="24"/>
          <w:szCs w:val="24"/>
        </w:rPr>
        <w:t>如下图：</w:t>
      </w:r>
    </w:p>
    <w:tbl>
      <w:tblPr>
        <w:tblW w:w="79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254"/>
        <w:gridCol w:w="1254"/>
        <w:gridCol w:w="1254"/>
        <w:gridCol w:w="1255"/>
        <w:gridCol w:w="1559"/>
      </w:tblGrid>
      <w:tr w:rsidR="00CF25BA" w:rsidRPr="00CF25BA" w14:paraId="57D75838" w14:textId="77777777" w:rsidTr="0002055D">
        <w:trPr>
          <w:trHeight w:val="540"/>
          <w:jc w:val="center"/>
        </w:trPr>
        <w:tc>
          <w:tcPr>
            <w:tcW w:w="1422" w:type="dxa"/>
            <w:vMerge w:val="restart"/>
            <w:vAlign w:val="center"/>
          </w:tcPr>
          <w:p w14:paraId="022FD1F4" w14:textId="77777777" w:rsidR="00CF25BA" w:rsidRPr="00CF25BA" w:rsidRDefault="00CF25BA" w:rsidP="00CF25BA">
            <w:pPr>
              <w:spacing w:line="440" w:lineRule="exact"/>
              <w:jc w:val="center"/>
              <w:rPr>
                <w:rFonts w:ascii="宋体" w:eastAsia="宋体" w:hAnsi="宋体" w:cs="Times New Roman"/>
                <w:b/>
                <w:sz w:val="24"/>
                <w:szCs w:val="24"/>
              </w:rPr>
            </w:pPr>
            <w:r w:rsidRPr="00CF25BA">
              <w:rPr>
                <w:rFonts w:ascii="宋体" w:eastAsia="宋体" w:hAnsi="宋体" w:cs="Times New Roman" w:hint="eastAsia"/>
                <w:b/>
                <w:sz w:val="24"/>
                <w:szCs w:val="24"/>
              </w:rPr>
              <w:t>课程目标</w:t>
            </w:r>
          </w:p>
        </w:tc>
        <w:tc>
          <w:tcPr>
            <w:tcW w:w="5017" w:type="dxa"/>
            <w:gridSpan w:val="4"/>
            <w:vAlign w:val="center"/>
          </w:tcPr>
          <w:p w14:paraId="7F9624F9" w14:textId="77777777" w:rsidR="00CF25BA" w:rsidRPr="00CF25BA" w:rsidRDefault="00CF25BA" w:rsidP="00CF25BA">
            <w:pPr>
              <w:spacing w:line="440" w:lineRule="exact"/>
              <w:jc w:val="center"/>
              <w:rPr>
                <w:rFonts w:ascii="宋体" w:eastAsia="宋体" w:hAnsi="宋体" w:cs="Times New Roman"/>
                <w:b/>
                <w:sz w:val="24"/>
                <w:szCs w:val="24"/>
              </w:rPr>
            </w:pPr>
            <w:r w:rsidRPr="00CF25BA">
              <w:rPr>
                <w:rFonts w:ascii="宋体" w:eastAsia="宋体" w:hAnsi="宋体" w:cs="Times New Roman" w:hint="eastAsia"/>
                <w:b/>
                <w:sz w:val="24"/>
                <w:szCs w:val="24"/>
              </w:rPr>
              <w:t>考核方式及成绩比例（%）</w:t>
            </w:r>
          </w:p>
        </w:tc>
        <w:tc>
          <w:tcPr>
            <w:tcW w:w="1559" w:type="dxa"/>
            <w:vAlign w:val="center"/>
          </w:tcPr>
          <w:p w14:paraId="3E157286" w14:textId="77777777" w:rsidR="00CF25BA" w:rsidRPr="00CF25BA" w:rsidRDefault="00CF25BA" w:rsidP="00CF25BA">
            <w:pPr>
              <w:spacing w:line="440" w:lineRule="exact"/>
              <w:jc w:val="center"/>
              <w:rPr>
                <w:rFonts w:ascii="宋体" w:eastAsia="宋体" w:hAnsi="宋体" w:cs="Times New Roman"/>
                <w:b/>
                <w:sz w:val="24"/>
                <w:szCs w:val="24"/>
              </w:rPr>
            </w:pPr>
            <w:r w:rsidRPr="00CF25BA">
              <w:rPr>
                <w:rFonts w:ascii="宋体" w:eastAsia="宋体" w:hAnsi="宋体" w:cs="Times New Roman" w:hint="eastAsia"/>
                <w:b/>
                <w:sz w:val="24"/>
                <w:szCs w:val="24"/>
              </w:rPr>
              <w:t>合计</w:t>
            </w:r>
          </w:p>
        </w:tc>
      </w:tr>
      <w:tr w:rsidR="00CF25BA" w:rsidRPr="00CF25BA" w14:paraId="6CCD9EFD" w14:textId="77777777" w:rsidTr="0002055D">
        <w:trPr>
          <w:trHeight w:val="578"/>
          <w:jc w:val="center"/>
        </w:trPr>
        <w:tc>
          <w:tcPr>
            <w:tcW w:w="1422" w:type="dxa"/>
            <w:vMerge/>
            <w:vAlign w:val="center"/>
          </w:tcPr>
          <w:p w14:paraId="7B603881" w14:textId="77777777" w:rsidR="00CF25BA" w:rsidRPr="00CF25BA" w:rsidRDefault="00CF25BA" w:rsidP="00CF25BA">
            <w:pPr>
              <w:spacing w:line="440" w:lineRule="exact"/>
              <w:jc w:val="center"/>
              <w:rPr>
                <w:rFonts w:ascii="宋体" w:eastAsia="宋体" w:hAnsi="宋体" w:cs="Times New Roman"/>
                <w:b/>
                <w:sz w:val="24"/>
                <w:szCs w:val="24"/>
              </w:rPr>
            </w:pPr>
          </w:p>
        </w:tc>
        <w:tc>
          <w:tcPr>
            <w:tcW w:w="1254" w:type="dxa"/>
            <w:vAlign w:val="center"/>
          </w:tcPr>
          <w:p w14:paraId="356496BD" w14:textId="77777777" w:rsidR="00CF25BA" w:rsidRPr="00CF25BA" w:rsidRDefault="00CF25BA" w:rsidP="00CF25BA">
            <w:pPr>
              <w:spacing w:line="440" w:lineRule="exact"/>
              <w:jc w:val="center"/>
              <w:rPr>
                <w:rFonts w:ascii="宋体" w:eastAsia="宋体" w:hAnsi="宋体" w:cs="Times New Roman"/>
                <w:b/>
                <w:color w:val="FF0000"/>
                <w:sz w:val="24"/>
                <w:szCs w:val="24"/>
              </w:rPr>
            </w:pPr>
            <w:r w:rsidRPr="00CF25BA">
              <w:rPr>
                <w:rFonts w:ascii="宋体" w:eastAsia="宋体" w:hAnsi="宋体" w:cs="Times New Roman" w:hint="eastAsia"/>
                <w:b/>
                <w:sz w:val="24"/>
                <w:szCs w:val="24"/>
              </w:rPr>
              <w:t>课堂表现</w:t>
            </w:r>
          </w:p>
        </w:tc>
        <w:tc>
          <w:tcPr>
            <w:tcW w:w="1254" w:type="dxa"/>
            <w:vAlign w:val="center"/>
          </w:tcPr>
          <w:p w14:paraId="6EF79D76" w14:textId="77777777" w:rsidR="00CF25BA" w:rsidRPr="00CF25BA" w:rsidRDefault="00CF25BA" w:rsidP="00CF25BA">
            <w:pPr>
              <w:spacing w:line="440" w:lineRule="exact"/>
              <w:jc w:val="center"/>
              <w:rPr>
                <w:rFonts w:ascii="宋体" w:eastAsia="宋体" w:hAnsi="宋体" w:cs="Times New Roman"/>
                <w:b/>
                <w:color w:val="FF0000"/>
                <w:sz w:val="24"/>
                <w:szCs w:val="24"/>
              </w:rPr>
            </w:pPr>
            <w:r w:rsidRPr="00CF25BA">
              <w:rPr>
                <w:rFonts w:ascii="宋体" w:eastAsia="宋体" w:hAnsi="宋体" w:cs="Times New Roman" w:hint="eastAsia"/>
                <w:b/>
                <w:sz w:val="24"/>
                <w:szCs w:val="24"/>
              </w:rPr>
              <w:t>平时作业</w:t>
            </w:r>
          </w:p>
        </w:tc>
        <w:tc>
          <w:tcPr>
            <w:tcW w:w="1254" w:type="dxa"/>
            <w:vAlign w:val="center"/>
          </w:tcPr>
          <w:p w14:paraId="2C6098AD" w14:textId="77777777" w:rsidR="00CF25BA" w:rsidRPr="00CF25BA" w:rsidRDefault="00CF25BA" w:rsidP="00CF25BA">
            <w:pPr>
              <w:spacing w:line="440" w:lineRule="exact"/>
              <w:jc w:val="center"/>
              <w:rPr>
                <w:rFonts w:ascii="宋体" w:eastAsia="宋体" w:hAnsi="宋体" w:cs="Times New Roman"/>
                <w:b/>
                <w:color w:val="FF0000"/>
                <w:sz w:val="24"/>
                <w:szCs w:val="24"/>
              </w:rPr>
            </w:pPr>
            <w:r w:rsidRPr="00CF25BA">
              <w:rPr>
                <w:rFonts w:ascii="宋体" w:eastAsia="宋体" w:hAnsi="宋体" w:cs="Times New Roman" w:hint="eastAsia"/>
                <w:b/>
                <w:sz w:val="24"/>
                <w:szCs w:val="24"/>
              </w:rPr>
              <w:t>阶段测验</w:t>
            </w:r>
          </w:p>
        </w:tc>
        <w:tc>
          <w:tcPr>
            <w:tcW w:w="1255" w:type="dxa"/>
            <w:vAlign w:val="center"/>
          </w:tcPr>
          <w:p w14:paraId="10CDF267" w14:textId="77777777" w:rsidR="00CF25BA" w:rsidRPr="00CF25BA" w:rsidRDefault="00CF25BA" w:rsidP="00CF25BA">
            <w:pPr>
              <w:spacing w:line="440" w:lineRule="exact"/>
              <w:jc w:val="center"/>
              <w:rPr>
                <w:rFonts w:ascii="Times New Roman" w:eastAsia="宋体" w:hAnsi="Times New Roman" w:cs="Times New Roman"/>
                <w:szCs w:val="24"/>
              </w:rPr>
            </w:pPr>
            <w:r w:rsidRPr="00CF25BA">
              <w:rPr>
                <w:rFonts w:ascii="宋体" w:eastAsia="宋体" w:hAnsi="宋体" w:cs="Times New Roman" w:hint="eastAsia"/>
                <w:b/>
                <w:sz w:val="24"/>
                <w:szCs w:val="24"/>
              </w:rPr>
              <w:t>期末考试</w:t>
            </w:r>
          </w:p>
        </w:tc>
        <w:tc>
          <w:tcPr>
            <w:tcW w:w="1559" w:type="dxa"/>
          </w:tcPr>
          <w:p w14:paraId="47D90CD2" w14:textId="77777777" w:rsidR="00CF25BA" w:rsidRPr="00CF25BA" w:rsidRDefault="00CF25BA" w:rsidP="00CF25BA">
            <w:pPr>
              <w:spacing w:line="440" w:lineRule="exact"/>
              <w:jc w:val="center"/>
              <w:rPr>
                <w:rFonts w:ascii="宋体" w:eastAsia="宋体" w:hAnsi="宋体" w:cs="Times New Roman"/>
                <w:b/>
                <w:color w:val="FF0000"/>
                <w:sz w:val="24"/>
                <w:szCs w:val="24"/>
              </w:rPr>
            </w:pPr>
          </w:p>
        </w:tc>
      </w:tr>
      <w:tr w:rsidR="00CF25BA" w:rsidRPr="00CF25BA" w14:paraId="5EAD32A5" w14:textId="77777777" w:rsidTr="0002055D">
        <w:trPr>
          <w:jc w:val="center"/>
        </w:trPr>
        <w:tc>
          <w:tcPr>
            <w:tcW w:w="1422" w:type="dxa"/>
            <w:vAlign w:val="center"/>
          </w:tcPr>
          <w:p w14:paraId="275953C9" w14:textId="77777777" w:rsidR="00CF25BA" w:rsidRPr="00CF25BA" w:rsidRDefault="00CF25BA" w:rsidP="00CF25BA">
            <w:pPr>
              <w:spacing w:line="440" w:lineRule="exact"/>
              <w:jc w:val="center"/>
              <w:rPr>
                <w:rFonts w:ascii="宋体" w:eastAsia="宋体" w:hAnsi="宋体" w:cs="Times New Roman"/>
                <w:bCs/>
                <w:sz w:val="24"/>
                <w:szCs w:val="24"/>
              </w:rPr>
            </w:pPr>
            <w:r w:rsidRPr="00CF25BA">
              <w:rPr>
                <w:rFonts w:ascii="宋体" w:eastAsia="宋体" w:hAnsi="宋体" w:cs="Times New Roman" w:hint="eastAsia"/>
                <w:bCs/>
                <w:sz w:val="24"/>
                <w:szCs w:val="24"/>
              </w:rPr>
              <w:t>课程目标1</w:t>
            </w:r>
          </w:p>
        </w:tc>
        <w:tc>
          <w:tcPr>
            <w:tcW w:w="1254" w:type="dxa"/>
            <w:vAlign w:val="center"/>
          </w:tcPr>
          <w:p w14:paraId="28F013DF" w14:textId="77777777" w:rsidR="00CF25BA" w:rsidRPr="00CF25BA" w:rsidRDefault="00CF25BA" w:rsidP="00CF25BA">
            <w:pPr>
              <w:spacing w:line="440" w:lineRule="exact"/>
              <w:jc w:val="center"/>
              <w:rPr>
                <w:rFonts w:ascii="宋体" w:eastAsia="宋体" w:hAnsi="宋体" w:cs="Times New Roman"/>
                <w:bCs/>
                <w:color w:val="FF0000"/>
                <w:sz w:val="24"/>
                <w:szCs w:val="24"/>
              </w:rPr>
            </w:pPr>
            <w:r w:rsidRPr="00CF25BA">
              <w:rPr>
                <w:rFonts w:ascii="宋体" w:eastAsia="宋体" w:hAnsi="宋体" w:cs="Times New Roman" w:hint="eastAsia"/>
                <w:bCs/>
                <w:sz w:val="24"/>
                <w:szCs w:val="24"/>
              </w:rPr>
              <w:t>5</w:t>
            </w:r>
          </w:p>
        </w:tc>
        <w:tc>
          <w:tcPr>
            <w:tcW w:w="1254" w:type="dxa"/>
            <w:vAlign w:val="center"/>
          </w:tcPr>
          <w:p w14:paraId="1D37214A" w14:textId="77777777" w:rsidR="00CF25BA" w:rsidRPr="00CF25BA" w:rsidRDefault="00CF25BA" w:rsidP="00CF25BA">
            <w:pPr>
              <w:spacing w:line="440" w:lineRule="exact"/>
              <w:jc w:val="center"/>
              <w:rPr>
                <w:rFonts w:ascii="宋体" w:eastAsia="宋体" w:hAnsi="宋体" w:cs="Times New Roman"/>
                <w:bCs/>
                <w:color w:val="FF0000"/>
                <w:sz w:val="24"/>
                <w:szCs w:val="24"/>
              </w:rPr>
            </w:pPr>
            <w:r w:rsidRPr="00CF25BA">
              <w:rPr>
                <w:rFonts w:ascii="宋体" w:eastAsia="宋体" w:hAnsi="宋体" w:cs="Times New Roman" w:hint="eastAsia"/>
                <w:bCs/>
                <w:sz w:val="24"/>
                <w:szCs w:val="24"/>
              </w:rPr>
              <w:t>5</w:t>
            </w:r>
          </w:p>
        </w:tc>
        <w:tc>
          <w:tcPr>
            <w:tcW w:w="1254" w:type="dxa"/>
            <w:vAlign w:val="center"/>
          </w:tcPr>
          <w:p w14:paraId="6704CE1A" w14:textId="77777777" w:rsidR="00CF25BA" w:rsidRPr="00CF25BA" w:rsidRDefault="00CF25BA" w:rsidP="00CF25BA">
            <w:pPr>
              <w:spacing w:line="440" w:lineRule="exact"/>
              <w:jc w:val="center"/>
              <w:rPr>
                <w:rFonts w:ascii="宋体" w:eastAsia="宋体" w:hAnsi="宋体" w:cs="Times New Roman"/>
                <w:bCs/>
                <w:color w:val="FF0000"/>
                <w:sz w:val="24"/>
                <w:szCs w:val="24"/>
              </w:rPr>
            </w:pPr>
            <w:r w:rsidRPr="00CF25BA">
              <w:rPr>
                <w:rFonts w:ascii="宋体" w:eastAsia="宋体" w:hAnsi="宋体" w:cs="Times New Roman" w:hint="eastAsia"/>
                <w:bCs/>
                <w:sz w:val="24"/>
                <w:szCs w:val="24"/>
              </w:rPr>
              <w:t>15</w:t>
            </w:r>
          </w:p>
        </w:tc>
        <w:tc>
          <w:tcPr>
            <w:tcW w:w="1255" w:type="dxa"/>
            <w:vAlign w:val="center"/>
          </w:tcPr>
          <w:p w14:paraId="3E639A74" w14:textId="77777777" w:rsidR="00CF25BA" w:rsidRPr="00CF25BA" w:rsidRDefault="00CF25BA" w:rsidP="00CF25BA">
            <w:pPr>
              <w:spacing w:line="440" w:lineRule="exact"/>
              <w:jc w:val="center"/>
              <w:rPr>
                <w:rFonts w:ascii="Times New Roman" w:eastAsia="宋体" w:hAnsi="Times New Roman" w:cs="Times New Roman"/>
                <w:szCs w:val="24"/>
              </w:rPr>
            </w:pPr>
            <w:r w:rsidRPr="00CF25BA">
              <w:rPr>
                <w:rFonts w:ascii="宋体" w:eastAsia="宋体" w:hAnsi="宋体" w:cs="Times New Roman" w:hint="eastAsia"/>
                <w:bCs/>
                <w:sz w:val="24"/>
                <w:szCs w:val="24"/>
              </w:rPr>
              <w:t>20</w:t>
            </w:r>
          </w:p>
        </w:tc>
        <w:tc>
          <w:tcPr>
            <w:tcW w:w="1559" w:type="dxa"/>
          </w:tcPr>
          <w:p w14:paraId="0E293A45" w14:textId="77777777" w:rsidR="00CF25BA" w:rsidRPr="00CF25BA" w:rsidRDefault="00CF25BA" w:rsidP="00CF25BA">
            <w:pPr>
              <w:spacing w:line="440" w:lineRule="exact"/>
              <w:jc w:val="center"/>
              <w:rPr>
                <w:rFonts w:ascii="宋体" w:eastAsia="宋体" w:hAnsi="宋体" w:cs="Times New Roman"/>
                <w:bCs/>
                <w:color w:val="FF0000"/>
                <w:sz w:val="24"/>
                <w:szCs w:val="24"/>
              </w:rPr>
            </w:pPr>
            <w:r w:rsidRPr="00CF25BA">
              <w:rPr>
                <w:rFonts w:ascii="宋体" w:eastAsia="宋体" w:hAnsi="宋体" w:cs="Times New Roman" w:hint="eastAsia"/>
                <w:bCs/>
                <w:sz w:val="24"/>
                <w:szCs w:val="24"/>
              </w:rPr>
              <w:t>45</w:t>
            </w:r>
          </w:p>
        </w:tc>
      </w:tr>
      <w:tr w:rsidR="00CF25BA" w:rsidRPr="00CF25BA" w14:paraId="1182AE20" w14:textId="77777777" w:rsidTr="0002055D">
        <w:trPr>
          <w:trHeight w:val="305"/>
          <w:jc w:val="center"/>
        </w:trPr>
        <w:tc>
          <w:tcPr>
            <w:tcW w:w="1422" w:type="dxa"/>
            <w:vAlign w:val="center"/>
          </w:tcPr>
          <w:p w14:paraId="357CCC05" w14:textId="77777777" w:rsidR="00CF25BA" w:rsidRPr="00CF25BA" w:rsidRDefault="00CF25BA" w:rsidP="00CF25BA">
            <w:pPr>
              <w:spacing w:line="440" w:lineRule="exact"/>
              <w:jc w:val="center"/>
              <w:rPr>
                <w:rFonts w:ascii="宋体" w:eastAsia="宋体" w:hAnsi="宋体" w:cs="Times New Roman"/>
                <w:bCs/>
                <w:sz w:val="24"/>
                <w:szCs w:val="24"/>
              </w:rPr>
            </w:pPr>
            <w:r w:rsidRPr="00CF25BA">
              <w:rPr>
                <w:rFonts w:ascii="宋体" w:eastAsia="宋体" w:hAnsi="宋体" w:cs="Times New Roman" w:hint="eastAsia"/>
                <w:bCs/>
                <w:sz w:val="24"/>
                <w:szCs w:val="24"/>
              </w:rPr>
              <w:t>课程目标2</w:t>
            </w:r>
          </w:p>
        </w:tc>
        <w:tc>
          <w:tcPr>
            <w:tcW w:w="1254" w:type="dxa"/>
            <w:vAlign w:val="center"/>
          </w:tcPr>
          <w:p w14:paraId="0FAB9AC2" w14:textId="77777777" w:rsidR="00CF25BA" w:rsidRPr="00CF25BA" w:rsidRDefault="00CF25BA" w:rsidP="00CF25BA">
            <w:pPr>
              <w:spacing w:line="440" w:lineRule="exact"/>
              <w:jc w:val="center"/>
              <w:rPr>
                <w:rFonts w:ascii="宋体" w:eastAsia="宋体" w:hAnsi="宋体" w:cs="Times New Roman"/>
                <w:bCs/>
                <w:color w:val="FF0000"/>
                <w:sz w:val="24"/>
                <w:szCs w:val="24"/>
              </w:rPr>
            </w:pPr>
            <w:r w:rsidRPr="00CF25BA">
              <w:rPr>
                <w:rFonts w:ascii="宋体" w:eastAsia="宋体" w:hAnsi="宋体" w:cs="Times New Roman" w:hint="eastAsia"/>
                <w:bCs/>
                <w:color w:val="000000"/>
                <w:sz w:val="24"/>
                <w:szCs w:val="24"/>
              </w:rPr>
              <w:t>5</w:t>
            </w:r>
          </w:p>
        </w:tc>
        <w:tc>
          <w:tcPr>
            <w:tcW w:w="1254" w:type="dxa"/>
            <w:vAlign w:val="center"/>
          </w:tcPr>
          <w:p w14:paraId="455CCE22" w14:textId="77777777" w:rsidR="00CF25BA" w:rsidRPr="00CF25BA" w:rsidRDefault="00CF25BA" w:rsidP="00CF25BA">
            <w:pPr>
              <w:spacing w:line="440" w:lineRule="exact"/>
              <w:jc w:val="center"/>
              <w:rPr>
                <w:rFonts w:ascii="宋体" w:eastAsia="宋体" w:hAnsi="宋体" w:cs="Times New Roman"/>
                <w:bCs/>
                <w:color w:val="FF0000"/>
                <w:sz w:val="24"/>
                <w:szCs w:val="24"/>
              </w:rPr>
            </w:pPr>
            <w:r w:rsidRPr="00CF25BA">
              <w:rPr>
                <w:rFonts w:ascii="宋体" w:eastAsia="宋体" w:hAnsi="宋体" w:cs="Times New Roman" w:hint="eastAsia"/>
                <w:bCs/>
                <w:sz w:val="24"/>
                <w:szCs w:val="24"/>
              </w:rPr>
              <w:t>5</w:t>
            </w:r>
          </w:p>
        </w:tc>
        <w:tc>
          <w:tcPr>
            <w:tcW w:w="1254" w:type="dxa"/>
            <w:vAlign w:val="center"/>
          </w:tcPr>
          <w:p w14:paraId="145CB709" w14:textId="77777777" w:rsidR="00CF25BA" w:rsidRPr="00CF25BA" w:rsidRDefault="00CF25BA" w:rsidP="00CF25BA">
            <w:pPr>
              <w:spacing w:line="440" w:lineRule="exact"/>
              <w:jc w:val="center"/>
              <w:rPr>
                <w:rFonts w:ascii="宋体" w:eastAsia="宋体" w:hAnsi="宋体" w:cs="Times New Roman"/>
                <w:bCs/>
                <w:color w:val="FF0000"/>
                <w:sz w:val="24"/>
                <w:szCs w:val="24"/>
              </w:rPr>
            </w:pPr>
            <w:r w:rsidRPr="00CF25BA">
              <w:rPr>
                <w:rFonts w:ascii="宋体" w:eastAsia="宋体" w:hAnsi="宋体" w:cs="Times New Roman" w:hint="eastAsia"/>
                <w:bCs/>
                <w:sz w:val="24"/>
                <w:szCs w:val="24"/>
              </w:rPr>
              <w:t>10</w:t>
            </w:r>
          </w:p>
        </w:tc>
        <w:tc>
          <w:tcPr>
            <w:tcW w:w="1255" w:type="dxa"/>
            <w:vAlign w:val="center"/>
          </w:tcPr>
          <w:p w14:paraId="43E68F17" w14:textId="77777777" w:rsidR="00CF25BA" w:rsidRPr="00CF25BA" w:rsidRDefault="00CF25BA" w:rsidP="00CF25BA">
            <w:pPr>
              <w:spacing w:line="440" w:lineRule="exact"/>
              <w:jc w:val="center"/>
              <w:rPr>
                <w:rFonts w:ascii="Times New Roman" w:eastAsia="宋体" w:hAnsi="Times New Roman" w:cs="Times New Roman"/>
                <w:szCs w:val="24"/>
              </w:rPr>
            </w:pPr>
            <w:r w:rsidRPr="00CF25BA">
              <w:rPr>
                <w:rFonts w:ascii="宋体" w:eastAsia="宋体" w:hAnsi="宋体" w:cs="Times New Roman" w:hint="eastAsia"/>
                <w:bCs/>
                <w:sz w:val="24"/>
                <w:szCs w:val="24"/>
              </w:rPr>
              <w:t>30</w:t>
            </w:r>
          </w:p>
        </w:tc>
        <w:tc>
          <w:tcPr>
            <w:tcW w:w="1559" w:type="dxa"/>
          </w:tcPr>
          <w:p w14:paraId="7F0C2F62" w14:textId="77777777" w:rsidR="00CF25BA" w:rsidRPr="00CF25BA" w:rsidRDefault="00CF25BA" w:rsidP="00CF25BA">
            <w:pPr>
              <w:spacing w:line="440" w:lineRule="exact"/>
              <w:jc w:val="center"/>
              <w:rPr>
                <w:rFonts w:ascii="宋体" w:eastAsia="宋体" w:hAnsi="宋体" w:cs="Times New Roman"/>
                <w:bCs/>
                <w:color w:val="FF0000"/>
                <w:sz w:val="24"/>
                <w:szCs w:val="24"/>
              </w:rPr>
            </w:pPr>
            <w:r w:rsidRPr="00CF25BA">
              <w:rPr>
                <w:rFonts w:ascii="宋体" w:eastAsia="宋体" w:hAnsi="宋体" w:cs="Times New Roman" w:hint="eastAsia"/>
                <w:bCs/>
                <w:sz w:val="24"/>
                <w:szCs w:val="24"/>
              </w:rPr>
              <w:t>50</w:t>
            </w:r>
          </w:p>
        </w:tc>
      </w:tr>
      <w:tr w:rsidR="00CF25BA" w:rsidRPr="00CF25BA" w14:paraId="16F8EB8E" w14:textId="77777777" w:rsidTr="0002055D">
        <w:trPr>
          <w:jc w:val="center"/>
        </w:trPr>
        <w:tc>
          <w:tcPr>
            <w:tcW w:w="1422" w:type="dxa"/>
            <w:vAlign w:val="center"/>
          </w:tcPr>
          <w:p w14:paraId="5D5ECE46" w14:textId="77777777" w:rsidR="00CF25BA" w:rsidRPr="00CF25BA" w:rsidRDefault="00CF25BA" w:rsidP="00CF25BA">
            <w:pPr>
              <w:spacing w:line="440" w:lineRule="exact"/>
              <w:jc w:val="center"/>
              <w:rPr>
                <w:rFonts w:ascii="宋体" w:eastAsia="宋体" w:hAnsi="宋体" w:cs="Times New Roman"/>
                <w:bCs/>
                <w:sz w:val="24"/>
                <w:szCs w:val="24"/>
              </w:rPr>
            </w:pPr>
            <w:r w:rsidRPr="00CF25BA">
              <w:rPr>
                <w:rFonts w:ascii="宋体" w:eastAsia="宋体" w:hAnsi="宋体" w:cs="Times New Roman" w:hint="eastAsia"/>
                <w:bCs/>
                <w:sz w:val="24"/>
                <w:szCs w:val="24"/>
              </w:rPr>
              <w:t>课程目标3</w:t>
            </w:r>
          </w:p>
        </w:tc>
        <w:tc>
          <w:tcPr>
            <w:tcW w:w="1254" w:type="dxa"/>
            <w:vAlign w:val="center"/>
          </w:tcPr>
          <w:p w14:paraId="191C4CAB" w14:textId="77777777" w:rsidR="00CF25BA" w:rsidRPr="00CF25BA" w:rsidRDefault="00CF25BA" w:rsidP="00CF25BA">
            <w:pPr>
              <w:spacing w:line="440" w:lineRule="exact"/>
              <w:jc w:val="center"/>
              <w:rPr>
                <w:rFonts w:ascii="宋体" w:eastAsia="宋体" w:hAnsi="宋体" w:cs="Times New Roman"/>
                <w:bCs/>
                <w:color w:val="FF0000"/>
                <w:sz w:val="24"/>
                <w:szCs w:val="24"/>
              </w:rPr>
            </w:pPr>
            <w:r w:rsidRPr="00CF25BA">
              <w:rPr>
                <w:rFonts w:ascii="宋体" w:eastAsia="宋体" w:hAnsi="宋体" w:cs="Times New Roman" w:hint="eastAsia"/>
                <w:bCs/>
                <w:sz w:val="24"/>
                <w:szCs w:val="24"/>
              </w:rPr>
              <w:t>5</w:t>
            </w:r>
          </w:p>
        </w:tc>
        <w:tc>
          <w:tcPr>
            <w:tcW w:w="1254" w:type="dxa"/>
            <w:vAlign w:val="center"/>
          </w:tcPr>
          <w:p w14:paraId="6DB5EB8C" w14:textId="77777777" w:rsidR="00CF25BA" w:rsidRPr="00CF25BA" w:rsidRDefault="00CF25BA" w:rsidP="00CF25BA">
            <w:pPr>
              <w:spacing w:line="440" w:lineRule="exact"/>
              <w:jc w:val="center"/>
              <w:rPr>
                <w:rFonts w:ascii="宋体" w:eastAsia="宋体" w:hAnsi="宋体" w:cs="Times New Roman"/>
                <w:bCs/>
                <w:color w:val="FF0000"/>
                <w:sz w:val="24"/>
                <w:szCs w:val="24"/>
              </w:rPr>
            </w:pPr>
          </w:p>
        </w:tc>
        <w:tc>
          <w:tcPr>
            <w:tcW w:w="1254" w:type="dxa"/>
            <w:vAlign w:val="center"/>
          </w:tcPr>
          <w:p w14:paraId="771A593C" w14:textId="77777777" w:rsidR="00CF25BA" w:rsidRPr="00CF25BA" w:rsidRDefault="00CF25BA" w:rsidP="00CF25BA">
            <w:pPr>
              <w:spacing w:line="440" w:lineRule="exact"/>
              <w:jc w:val="center"/>
              <w:rPr>
                <w:rFonts w:ascii="宋体" w:eastAsia="宋体" w:hAnsi="宋体" w:cs="Times New Roman"/>
                <w:bCs/>
                <w:color w:val="FF0000"/>
                <w:sz w:val="24"/>
                <w:szCs w:val="24"/>
              </w:rPr>
            </w:pPr>
          </w:p>
        </w:tc>
        <w:tc>
          <w:tcPr>
            <w:tcW w:w="1255" w:type="dxa"/>
            <w:vAlign w:val="center"/>
          </w:tcPr>
          <w:p w14:paraId="48DE4AE8" w14:textId="77777777" w:rsidR="00CF25BA" w:rsidRPr="00CF25BA" w:rsidRDefault="00CF25BA" w:rsidP="00CF25BA">
            <w:pPr>
              <w:spacing w:line="440" w:lineRule="exact"/>
              <w:jc w:val="center"/>
              <w:rPr>
                <w:rFonts w:ascii="Times New Roman" w:eastAsia="宋体" w:hAnsi="Times New Roman" w:cs="Times New Roman"/>
                <w:szCs w:val="24"/>
              </w:rPr>
            </w:pPr>
          </w:p>
        </w:tc>
        <w:tc>
          <w:tcPr>
            <w:tcW w:w="1559" w:type="dxa"/>
          </w:tcPr>
          <w:p w14:paraId="12EC86B8" w14:textId="77777777" w:rsidR="00CF25BA" w:rsidRPr="00CF25BA" w:rsidRDefault="00CF25BA" w:rsidP="00CF25BA">
            <w:pPr>
              <w:spacing w:line="440" w:lineRule="exact"/>
              <w:jc w:val="center"/>
              <w:rPr>
                <w:rFonts w:ascii="宋体" w:eastAsia="宋体" w:hAnsi="宋体" w:cs="Times New Roman"/>
                <w:bCs/>
                <w:color w:val="FF0000"/>
                <w:sz w:val="24"/>
                <w:szCs w:val="24"/>
              </w:rPr>
            </w:pPr>
            <w:r w:rsidRPr="00CF25BA">
              <w:rPr>
                <w:rFonts w:ascii="宋体" w:eastAsia="宋体" w:hAnsi="宋体" w:cs="Times New Roman" w:hint="eastAsia"/>
                <w:bCs/>
                <w:sz w:val="24"/>
                <w:szCs w:val="24"/>
              </w:rPr>
              <w:t>5</w:t>
            </w:r>
          </w:p>
        </w:tc>
      </w:tr>
      <w:tr w:rsidR="00CF25BA" w:rsidRPr="00CF25BA" w14:paraId="692451E9" w14:textId="77777777" w:rsidTr="0002055D">
        <w:trPr>
          <w:jc w:val="center"/>
        </w:trPr>
        <w:tc>
          <w:tcPr>
            <w:tcW w:w="1422" w:type="dxa"/>
            <w:vAlign w:val="center"/>
          </w:tcPr>
          <w:p w14:paraId="66716E97" w14:textId="77777777" w:rsidR="00CF25BA" w:rsidRPr="00CF25BA" w:rsidRDefault="00CF25BA" w:rsidP="00CF25BA">
            <w:pPr>
              <w:spacing w:line="440" w:lineRule="exact"/>
              <w:jc w:val="center"/>
              <w:rPr>
                <w:rFonts w:ascii="宋体" w:eastAsia="宋体" w:hAnsi="宋体" w:cs="Times New Roman"/>
                <w:bCs/>
                <w:sz w:val="24"/>
                <w:szCs w:val="24"/>
              </w:rPr>
            </w:pPr>
            <w:r w:rsidRPr="00CF25BA">
              <w:rPr>
                <w:rFonts w:ascii="宋体" w:eastAsia="宋体" w:hAnsi="宋体" w:cs="Times New Roman" w:hint="eastAsia"/>
                <w:bCs/>
                <w:sz w:val="24"/>
                <w:szCs w:val="24"/>
              </w:rPr>
              <w:t>合计</w:t>
            </w:r>
          </w:p>
        </w:tc>
        <w:tc>
          <w:tcPr>
            <w:tcW w:w="1254" w:type="dxa"/>
            <w:vAlign w:val="center"/>
          </w:tcPr>
          <w:p w14:paraId="28AC860D" w14:textId="77777777" w:rsidR="00CF25BA" w:rsidRPr="00CF25BA" w:rsidRDefault="00CF25BA" w:rsidP="00CF25BA">
            <w:pPr>
              <w:spacing w:line="440" w:lineRule="exact"/>
              <w:jc w:val="center"/>
              <w:rPr>
                <w:rFonts w:ascii="宋体" w:eastAsia="宋体" w:hAnsi="宋体" w:cs="Times New Roman"/>
                <w:bCs/>
                <w:color w:val="FF0000"/>
                <w:sz w:val="24"/>
                <w:szCs w:val="24"/>
              </w:rPr>
            </w:pPr>
            <w:r w:rsidRPr="00CF25BA">
              <w:rPr>
                <w:rFonts w:ascii="宋体" w:eastAsia="宋体" w:hAnsi="宋体" w:cs="Times New Roman" w:hint="eastAsia"/>
                <w:bCs/>
                <w:sz w:val="24"/>
                <w:szCs w:val="24"/>
              </w:rPr>
              <w:t>15</w:t>
            </w:r>
          </w:p>
        </w:tc>
        <w:tc>
          <w:tcPr>
            <w:tcW w:w="1254" w:type="dxa"/>
            <w:vAlign w:val="center"/>
          </w:tcPr>
          <w:p w14:paraId="7D9F6979" w14:textId="77777777" w:rsidR="00CF25BA" w:rsidRPr="00CF25BA" w:rsidRDefault="00CF25BA" w:rsidP="00CF25BA">
            <w:pPr>
              <w:spacing w:line="440" w:lineRule="exact"/>
              <w:jc w:val="center"/>
              <w:rPr>
                <w:rFonts w:ascii="宋体" w:eastAsia="宋体" w:hAnsi="宋体" w:cs="Times New Roman"/>
                <w:bCs/>
                <w:color w:val="FF0000"/>
                <w:sz w:val="24"/>
                <w:szCs w:val="24"/>
              </w:rPr>
            </w:pPr>
            <w:r w:rsidRPr="00CF25BA">
              <w:rPr>
                <w:rFonts w:ascii="宋体" w:eastAsia="宋体" w:hAnsi="宋体" w:cs="Times New Roman" w:hint="eastAsia"/>
                <w:bCs/>
                <w:sz w:val="24"/>
                <w:szCs w:val="24"/>
              </w:rPr>
              <w:t>10</w:t>
            </w:r>
          </w:p>
        </w:tc>
        <w:tc>
          <w:tcPr>
            <w:tcW w:w="1254" w:type="dxa"/>
            <w:vAlign w:val="center"/>
          </w:tcPr>
          <w:p w14:paraId="679E5578" w14:textId="77777777" w:rsidR="00CF25BA" w:rsidRPr="00CF25BA" w:rsidRDefault="00CF25BA" w:rsidP="00CF25BA">
            <w:pPr>
              <w:spacing w:line="440" w:lineRule="exact"/>
              <w:jc w:val="center"/>
              <w:rPr>
                <w:rFonts w:ascii="宋体" w:eastAsia="宋体" w:hAnsi="宋体" w:cs="Times New Roman"/>
                <w:bCs/>
                <w:color w:val="FF0000"/>
                <w:sz w:val="24"/>
                <w:szCs w:val="24"/>
              </w:rPr>
            </w:pPr>
            <w:r w:rsidRPr="00CF25BA">
              <w:rPr>
                <w:rFonts w:ascii="宋体" w:eastAsia="宋体" w:hAnsi="宋体" w:cs="Times New Roman" w:hint="eastAsia"/>
                <w:bCs/>
                <w:sz w:val="24"/>
                <w:szCs w:val="24"/>
              </w:rPr>
              <w:t>25</w:t>
            </w:r>
          </w:p>
        </w:tc>
        <w:tc>
          <w:tcPr>
            <w:tcW w:w="1255" w:type="dxa"/>
            <w:vAlign w:val="center"/>
          </w:tcPr>
          <w:p w14:paraId="4041C904" w14:textId="77777777" w:rsidR="00CF25BA" w:rsidRPr="00CF25BA" w:rsidRDefault="00CF25BA" w:rsidP="00CF25BA">
            <w:pPr>
              <w:spacing w:line="440" w:lineRule="exact"/>
              <w:jc w:val="center"/>
              <w:rPr>
                <w:rFonts w:ascii="Times New Roman" w:eastAsia="宋体" w:hAnsi="Times New Roman" w:cs="Times New Roman"/>
                <w:szCs w:val="24"/>
              </w:rPr>
            </w:pPr>
            <w:r w:rsidRPr="00CF25BA">
              <w:rPr>
                <w:rFonts w:ascii="宋体" w:eastAsia="宋体" w:hAnsi="宋体" w:cs="Times New Roman" w:hint="eastAsia"/>
                <w:bCs/>
                <w:sz w:val="24"/>
                <w:szCs w:val="24"/>
              </w:rPr>
              <w:t>50</w:t>
            </w:r>
          </w:p>
        </w:tc>
        <w:tc>
          <w:tcPr>
            <w:tcW w:w="1559" w:type="dxa"/>
          </w:tcPr>
          <w:p w14:paraId="36C971ED" w14:textId="77777777" w:rsidR="00CF25BA" w:rsidRPr="00CF25BA" w:rsidRDefault="00CF25BA" w:rsidP="00CF25BA">
            <w:pPr>
              <w:spacing w:line="440" w:lineRule="exact"/>
              <w:jc w:val="center"/>
              <w:rPr>
                <w:rFonts w:ascii="宋体" w:eastAsia="宋体" w:hAnsi="宋体" w:cs="Times New Roman"/>
                <w:bCs/>
                <w:color w:val="FF0000"/>
                <w:sz w:val="24"/>
                <w:szCs w:val="24"/>
              </w:rPr>
            </w:pPr>
            <w:r w:rsidRPr="00CF25BA">
              <w:rPr>
                <w:rFonts w:ascii="宋体" w:eastAsia="宋体" w:hAnsi="宋体" w:cs="Times New Roman" w:hint="eastAsia"/>
                <w:bCs/>
                <w:sz w:val="24"/>
                <w:szCs w:val="24"/>
              </w:rPr>
              <w:t>1</w:t>
            </w:r>
            <w:r w:rsidRPr="00CF25BA">
              <w:rPr>
                <w:rFonts w:ascii="宋体" w:eastAsia="宋体" w:hAnsi="宋体" w:cs="Times New Roman"/>
                <w:bCs/>
                <w:sz w:val="24"/>
                <w:szCs w:val="24"/>
              </w:rPr>
              <w:t>00</w:t>
            </w:r>
          </w:p>
        </w:tc>
      </w:tr>
    </w:tbl>
    <w:p w14:paraId="3167360E" w14:textId="77777777" w:rsidR="00CF25BA" w:rsidRPr="00CF25BA" w:rsidRDefault="00CF25BA" w:rsidP="00CF25BA">
      <w:pPr>
        <w:spacing w:beforeLines="50" w:before="156" w:afterLines="50" w:after="156" w:line="440" w:lineRule="exact"/>
        <w:ind w:firstLineChars="200" w:firstLine="560"/>
        <w:rPr>
          <w:rFonts w:ascii="黑体" w:eastAsia="黑体" w:hAnsi="黑体" w:cs="Times New Roman"/>
          <w:sz w:val="28"/>
          <w:szCs w:val="28"/>
        </w:rPr>
      </w:pPr>
      <w:r w:rsidRPr="00CF25BA">
        <w:rPr>
          <w:rFonts w:ascii="黑体" w:eastAsia="黑体" w:hAnsi="黑体" w:cs="Times New Roman" w:hint="eastAsia"/>
          <w:sz w:val="28"/>
          <w:szCs w:val="28"/>
        </w:rPr>
        <w:t>五、成绩评定</w:t>
      </w:r>
    </w:p>
    <w:p w14:paraId="5F918BD4" w14:textId="77777777" w:rsidR="00CF25BA" w:rsidRPr="00CF25BA" w:rsidRDefault="00CF25BA" w:rsidP="00CF25BA">
      <w:pPr>
        <w:spacing w:beforeLines="50" w:before="156" w:afterLines="50" w:after="156" w:line="440" w:lineRule="exact"/>
        <w:ind w:firstLineChars="200" w:firstLine="560"/>
        <w:rPr>
          <w:rFonts w:ascii="黑体" w:eastAsia="黑体" w:hAnsi="黑体" w:cs="Times New Roman"/>
          <w:sz w:val="28"/>
          <w:szCs w:val="28"/>
        </w:rPr>
      </w:pPr>
      <w:r w:rsidRPr="00CF25BA">
        <w:rPr>
          <w:rFonts w:ascii="黑体" w:eastAsia="黑体" w:hAnsi="黑体" w:cs="Times New Roman" w:hint="eastAsia"/>
          <w:sz w:val="28"/>
          <w:szCs w:val="28"/>
        </w:rPr>
        <w:t>（一）总成绩评定</w:t>
      </w:r>
    </w:p>
    <w:p w14:paraId="6DAE2E90"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总成绩=平时成绩×50%+期末成绩×50%</w:t>
      </w:r>
    </w:p>
    <w:p w14:paraId="4E3D2F64" w14:textId="77777777" w:rsidR="00CF25BA" w:rsidRPr="00CF25BA" w:rsidRDefault="00CF25BA" w:rsidP="00CF25BA">
      <w:pPr>
        <w:spacing w:beforeLines="50" w:before="156" w:afterLines="50" w:after="156" w:line="440" w:lineRule="exact"/>
        <w:ind w:firstLineChars="200" w:firstLine="560"/>
        <w:rPr>
          <w:rFonts w:ascii="宋体" w:eastAsia="宋体" w:hAnsi="宋体" w:cs="Times New Roman"/>
          <w:color w:val="FF0000"/>
          <w:sz w:val="24"/>
          <w:szCs w:val="24"/>
        </w:rPr>
      </w:pPr>
      <w:r w:rsidRPr="00CF25BA">
        <w:rPr>
          <w:rFonts w:ascii="黑体" w:eastAsia="黑体" w:hAnsi="黑体" w:cs="Times New Roman" w:hint="eastAsia"/>
          <w:sz w:val="28"/>
          <w:szCs w:val="28"/>
        </w:rPr>
        <w:t>（二）平时成绩评定</w:t>
      </w:r>
    </w:p>
    <w:p w14:paraId="1C4FEA85"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平时成绩（100%）=课堂表现（30%）+平时作业（20%）+阶段测验（50%）</w:t>
      </w:r>
    </w:p>
    <w:p w14:paraId="40E4A5F7"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考核方式:</w:t>
      </w:r>
    </w:p>
    <w:p w14:paraId="1EBFD0AB" w14:textId="77777777" w:rsidR="00CF25BA" w:rsidRPr="00CF25BA" w:rsidRDefault="00CF25BA" w:rsidP="00CF25BA">
      <w:pPr>
        <w:spacing w:line="440" w:lineRule="exact"/>
        <w:ind w:firstLineChars="200" w:firstLine="480"/>
        <w:rPr>
          <w:rFonts w:ascii="Times New Roman" w:eastAsia="宋体" w:hAnsi="Times New Roman" w:cs="Times New Roman"/>
          <w:color w:val="FF0000"/>
          <w:sz w:val="24"/>
          <w:szCs w:val="24"/>
        </w:rPr>
      </w:pPr>
      <w:r w:rsidRPr="00CF25BA">
        <w:rPr>
          <w:rFonts w:ascii="宋体" w:eastAsia="宋体" w:hAnsi="宋体" w:cs="Times New Roman" w:hint="eastAsia"/>
          <w:sz w:val="24"/>
          <w:szCs w:val="24"/>
        </w:rPr>
        <w:t>课堂表现：</w:t>
      </w:r>
      <w:r w:rsidRPr="00CF25BA">
        <w:rPr>
          <w:rFonts w:ascii="Times New Roman" w:eastAsia="宋体" w:hAnsi="Times New Roman" w:cs="Times New Roman"/>
          <w:sz w:val="24"/>
          <w:szCs w:val="24"/>
        </w:rPr>
        <w:t>出勤</w:t>
      </w:r>
      <w:r w:rsidRPr="00CF25BA">
        <w:rPr>
          <w:rFonts w:ascii="Times New Roman" w:eastAsia="宋体" w:hAnsi="Times New Roman" w:cs="Times New Roman" w:hint="eastAsia"/>
          <w:sz w:val="24"/>
          <w:szCs w:val="24"/>
        </w:rPr>
        <w:t>按出勤率</w:t>
      </w:r>
      <w:r w:rsidRPr="00CF25BA">
        <w:rPr>
          <w:rFonts w:ascii="Times New Roman" w:eastAsia="宋体" w:hAnsi="Times New Roman" w:cs="Times New Roman"/>
          <w:sz w:val="24"/>
          <w:szCs w:val="24"/>
        </w:rPr>
        <w:t>折合成百分制，占课堂表现成绩的</w:t>
      </w:r>
      <w:r w:rsidRPr="00CF25BA">
        <w:rPr>
          <w:rFonts w:ascii="Times New Roman" w:eastAsia="宋体" w:hAnsi="Times New Roman" w:cs="Times New Roman"/>
          <w:sz w:val="24"/>
          <w:szCs w:val="24"/>
        </w:rPr>
        <w:t>40%</w:t>
      </w:r>
      <w:r w:rsidRPr="00CF25BA">
        <w:rPr>
          <w:rFonts w:ascii="宋体" w:eastAsia="宋体" w:hAnsi="宋体" w:cs="Times New Roman" w:hint="eastAsia"/>
          <w:sz w:val="24"/>
          <w:szCs w:val="24"/>
        </w:rPr>
        <w:t>，线上线下有效回答问题及分组任务与小组</w:t>
      </w:r>
      <w:proofErr w:type="gramStart"/>
      <w:r w:rsidRPr="00CF25BA">
        <w:rPr>
          <w:rFonts w:ascii="宋体" w:eastAsia="宋体" w:hAnsi="宋体" w:cs="Times New Roman" w:hint="eastAsia"/>
          <w:sz w:val="24"/>
          <w:szCs w:val="24"/>
        </w:rPr>
        <w:t>讨论</w:t>
      </w:r>
      <w:r w:rsidRPr="00CF25BA">
        <w:rPr>
          <w:rFonts w:ascii="Times New Roman" w:eastAsia="宋体" w:hAnsi="Times New Roman" w:cs="Times New Roman"/>
          <w:sz w:val="24"/>
          <w:szCs w:val="24"/>
        </w:rPr>
        <w:t>占</w:t>
      </w:r>
      <w:proofErr w:type="gramEnd"/>
      <w:r w:rsidRPr="00CF25BA">
        <w:rPr>
          <w:rFonts w:ascii="Times New Roman" w:eastAsia="宋体" w:hAnsi="Times New Roman" w:cs="Times New Roman"/>
          <w:sz w:val="24"/>
          <w:szCs w:val="24"/>
        </w:rPr>
        <w:t>课堂表现的</w:t>
      </w:r>
      <w:r w:rsidRPr="00CF25BA">
        <w:rPr>
          <w:rFonts w:ascii="宋体" w:eastAsia="宋体" w:hAnsi="宋体" w:cs="Times New Roman" w:hint="eastAsia"/>
          <w:sz w:val="24"/>
          <w:szCs w:val="24"/>
        </w:rPr>
        <w:t>60%。</w:t>
      </w:r>
    </w:p>
    <w:p w14:paraId="3FB50517"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作业完成情况：</w:t>
      </w:r>
      <w:r w:rsidRPr="00CF25BA">
        <w:rPr>
          <w:rFonts w:ascii="Times New Roman" w:eastAsia="宋体" w:hAnsi="Times New Roman" w:cs="Times New Roman"/>
          <w:sz w:val="24"/>
          <w:szCs w:val="24"/>
        </w:rPr>
        <w:t>完成次数</w:t>
      </w:r>
      <w:r w:rsidRPr="00CF25BA">
        <w:rPr>
          <w:rFonts w:ascii="Times New Roman" w:eastAsia="宋体" w:hAnsi="Times New Roman" w:cs="Times New Roman"/>
          <w:sz w:val="24"/>
          <w:szCs w:val="24"/>
        </w:rPr>
        <w:t>40%</w:t>
      </w:r>
      <w:r w:rsidRPr="00CF25BA">
        <w:rPr>
          <w:rFonts w:ascii="Times New Roman" w:eastAsia="宋体" w:hAnsi="Times New Roman" w:cs="Times New Roman"/>
          <w:sz w:val="24"/>
          <w:szCs w:val="24"/>
        </w:rPr>
        <w:t>；完成质量占</w:t>
      </w:r>
      <w:r w:rsidRPr="00CF25BA">
        <w:rPr>
          <w:rFonts w:ascii="Times New Roman" w:eastAsia="宋体" w:hAnsi="Times New Roman" w:cs="Times New Roman"/>
          <w:sz w:val="24"/>
          <w:szCs w:val="24"/>
        </w:rPr>
        <w:t>60%</w:t>
      </w:r>
      <w:r w:rsidRPr="00CF25BA">
        <w:rPr>
          <w:rFonts w:ascii="Times New Roman" w:eastAsia="宋体" w:hAnsi="Times New Roman" w:cs="Times New Roman"/>
          <w:sz w:val="24"/>
          <w:szCs w:val="24"/>
        </w:rPr>
        <w:t>。每次作业评定百分制</w:t>
      </w:r>
      <w:r w:rsidRPr="00CF25BA">
        <w:rPr>
          <w:rFonts w:ascii="Times New Roman" w:eastAsia="宋体" w:hAnsi="Times New Roman" w:cs="Times New Roman" w:hint="eastAsia"/>
          <w:sz w:val="24"/>
          <w:szCs w:val="24"/>
        </w:rPr>
        <w:t>，</w:t>
      </w:r>
      <w:r w:rsidRPr="00CF25BA">
        <w:rPr>
          <w:rFonts w:ascii="宋体" w:eastAsia="宋体" w:hAnsi="宋体" w:cs="Times New Roman" w:hint="eastAsia"/>
          <w:sz w:val="24"/>
          <w:szCs w:val="24"/>
        </w:rPr>
        <w:t>最后取平均</w:t>
      </w:r>
      <w:r w:rsidRPr="00CF25BA">
        <w:rPr>
          <w:rFonts w:ascii="Times New Roman" w:eastAsia="宋体" w:hAnsi="Times New Roman" w:cs="Times New Roman"/>
          <w:sz w:val="24"/>
          <w:szCs w:val="24"/>
        </w:rPr>
        <w:t>。</w:t>
      </w:r>
    </w:p>
    <w:p w14:paraId="1E911C73"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阶段性测验：测验成绩百分制，最后取平均。</w:t>
      </w:r>
    </w:p>
    <w:p w14:paraId="3FFD1A21" w14:textId="77777777" w:rsidR="00CF25BA" w:rsidRPr="00CF25BA" w:rsidRDefault="00CF25BA" w:rsidP="00CF25BA">
      <w:pPr>
        <w:spacing w:beforeLines="50" w:before="156" w:afterLines="50" w:after="156" w:line="440" w:lineRule="exact"/>
        <w:ind w:firstLineChars="200" w:firstLine="560"/>
        <w:rPr>
          <w:rFonts w:ascii="黑体" w:eastAsia="黑体" w:hAnsi="黑体" w:cs="Times New Roman"/>
          <w:sz w:val="28"/>
          <w:szCs w:val="28"/>
        </w:rPr>
      </w:pPr>
      <w:r w:rsidRPr="00CF25BA">
        <w:rPr>
          <w:rFonts w:ascii="黑体" w:eastAsia="黑体" w:hAnsi="黑体" w:cs="Times New Roman" w:hint="eastAsia"/>
          <w:sz w:val="28"/>
          <w:szCs w:val="28"/>
        </w:rPr>
        <w:t>（三）期末成绩评定</w:t>
      </w:r>
    </w:p>
    <w:p w14:paraId="6BE04039"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期末考核主要考察学生对物理学的基本概念、定理定律和物理方法的理解与运用等。考察学生应用数学工具解决物理问题的能力，方式为闭卷考试。</w:t>
      </w:r>
    </w:p>
    <w:p w14:paraId="150CBB8D" w14:textId="77777777" w:rsidR="00CF25BA" w:rsidRPr="00CF25BA" w:rsidRDefault="00CF25BA" w:rsidP="00CF25BA">
      <w:pPr>
        <w:spacing w:beforeLines="50" w:before="156" w:afterLines="50" w:after="156" w:line="440" w:lineRule="exact"/>
        <w:ind w:firstLineChars="200" w:firstLine="560"/>
        <w:rPr>
          <w:rFonts w:ascii="宋体" w:eastAsia="宋体" w:hAnsi="宋体" w:cs="Times New Roman"/>
          <w:sz w:val="24"/>
          <w:szCs w:val="24"/>
        </w:rPr>
      </w:pPr>
      <w:r w:rsidRPr="00CF25BA">
        <w:rPr>
          <w:rFonts w:ascii="黑体" w:eastAsia="黑体" w:hAnsi="黑体" w:cs="Times New Roman" w:hint="eastAsia"/>
          <w:sz w:val="28"/>
          <w:szCs w:val="28"/>
        </w:rPr>
        <w:t>六、使用教材、相关推荐书目及课程资源</w:t>
      </w:r>
    </w:p>
    <w:p w14:paraId="2483D8FB" w14:textId="77777777" w:rsidR="00CF25BA" w:rsidRPr="00CF25BA" w:rsidRDefault="00CF25BA" w:rsidP="00CF25BA">
      <w:pPr>
        <w:spacing w:line="440" w:lineRule="exact"/>
        <w:ind w:firstLineChars="200" w:firstLine="560"/>
        <w:rPr>
          <w:rFonts w:ascii="宋体" w:eastAsia="宋体" w:hAnsi="宋体" w:cs="Times New Roman"/>
          <w:sz w:val="24"/>
          <w:szCs w:val="24"/>
        </w:rPr>
      </w:pPr>
      <w:r w:rsidRPr="00CF25BA">
        <w:rPr>
          <w:rFonts w:ascii="黑体" w:eastAsia="黑体" w:hAnsi="黑体" w:cs="Times New Roman" w:hint="eastAsia"/>
          <w:sz w:val="28"/>
          <w:szCs w:val="28"/>
        </w:rPr>
        <w:t>（一）使用教材</w:t>
      </w:r>
    </w:p>
    <w:p w14:paraId="7127D6F8" w14:textId="77777777" w:rsidR="00CF25BA" w:rsidRPr="00CF25BA" w:rsidRDefault="00CF25BA" w:rsidP="00CF25BA">
      <w:pPr>
        <w:spacing w:line="440" w:lineRule="exact"/>
        <w:rPr>
          <w:rFonts w:ascii="宋体" w:eastAsia="宋体" w:hAnsi="宋体" w:cs="宋体"/>
          <w:sz w:val="24"/>
          <w:szCs w:val="24"/>
        </w:rPr>
      </w:pPr>
      <w:r w:rsidRPr="00CF25BA">
        <w:rPr>
          <w:rFonts w:ascii="宋体" w:eastAsia="宋体" w:hAnsi="宋体" w:cs="宋体" w:hint="eastAsia"/>
          <w:sz w:val="24"/>
          <w:szCs w:val="24"/>
        </w:rPr>
        <w:t>祝之光编：《物理学》（第五版），高等教育出版社，2018年7月第5版。</w:t>
      </w:r>
    </w:p>
    <w:p w14:paraId="206ED45E" w14:textId="77777777" w:rsidR="00CF25BA" w:rsidRPr="00CF25BA" w:rsidRDefault="00CF25BA" w:rsidP="00CF25BA">
      <w:pPr>
        <w:spacing w:line="440" w:lineRule="exact"/>
        <w:rPr>
          <w:rFonts w:ascii="宋体" w:eastAsia="宋体" w:hAnsi="宋体" w:cs="宋体"/>
          <w:sz w:val="24"/>
          <w:szCs w:val="24"/>
        </w:rPr>
      </w:pPr>
      <w:proofErr w:type="gramStart"/>
      <w:r w:rsidRPr="00CF25BA">
        <w:rPr>
          <w:rFonts w:ascii="宋体" w:eastAsia="宋体" w:hAnsi="宋体" w:cs="宋体" w:hint="eastAsia"/>
          <w:sz w:val="24"/>
          <w:szCs w:val="24"/>
        </w:rPr>
        <w:t>赵近芳</w:t>
      </w:r>
      <w:proofErr w:type="gramEnd"/>
      <w:r w:rsidRPr="00CF25BA">
        <w:rPr>
          <w:rFonts w:ascii="宋体" w:eastAsia="宋体" w:hAnsi="宋体" w:cs="宋体" w:hint="eastAsia"/>
          <w:sz w:val="24"/>
          <w:szCs w:val="24"/>
        </w:rPr>
        <w:t>编：《大学物理简明教程》（第三版），北京邮电大学出版社，2019年版。</w:t>
      </w:r>
    </w:p>
    <w:p w14:paraId="56D5DFC1" w14:textId="77777777" w:rsidR="00CF25BA" w:rsidRPr="00CF25BA" w:rsidRDefault="00CF25BA" w:rsidP="00CF25BA">
      <w:pPr>
        <w:spacing w:line="440" w:lineRule="exact"/>
        <w:ind w:firstLineChars="200" w:firstLine="560"/>
        <w:rPr>
          <w:rFonts w:ascii="宋体" w:eastAsia="宋体" w:hAnsi="宋体" w:cs="Times New Roman"/>
          <w:sz w:val="24"/>
          <w:szCs w:val="24"/>
        </w:rPr>
      </w:pPr>
      <w:r w:rsidRPr="00CF25BA">
        <w:rPr>
          <w:rFonts w:ascii="黑体" w:eastAsia="黑体" w:hAnsi="黑体" w:cs="Times New Roman" w:hint="eastAsia"/>
          <w:sz w:val="28"/>
          <w:szCs w:val="28"/>
        </w:rPr>
        <w:lastRenderedPageBreak/>
        <w:t>（二）相关推荐书目</w:t>
      </w:r>
    </w:p>
    <w:p w14:paraId="65F5E57F" w14:textId="77777777" w:rsidR="00CF25BA" w:rsidRPr="00CF25BA" w:rsidRDefault="00CF25BA" w:rsidP="00CF25BA">
      <w:pPr>
        <w:widowControl/>
        <w:snapToGrid w:val="0"/>
        <w:spacing w:before="225" w:line="360" w:lineRule="auto"/>
        <w:ind w:right="240"/>
        <w:outlineLvl w:val="3"/>
        <w:rPr>
          <w:rFonts w:ascii="宋体" w:eastAsia="宋体" w:hAnsi="宋体" w:cs="Times New Roman"/>
          <w:sz w:val="24"/>
          <w:szCs w:val="24"/>
        </w:rPr>
      </w:pPr>
      <w:r w:rsidRPr="00CF25BA">
        <w:rPr>
          <w:rFonts w:ascii="宋体" w:eastAsia="宋体" w:hAnsi="宋体" w:cs="宋体"/>
          <w:bCs/>
          <w:kern w:val="0"/>
          <w:sz w:val="24"/>
          <w:szCs w:val="24"/>
        </w:rPr>
        <w:t>1.</w:t>
      </w:r>
      <w:r w:rsidRPr="00CF25BA">
        <w:rPr>
          <w:rFonts w:ascii="宋体" w:eastAsia="宋体" w:hAnsi="宋体" w:cs="Times New Roman"/>
          <w:sz w:val="24"/>
          <w:szCs w:val="24"/>
        </w:rPr>
        <w:t>陈源福、余小刚、陈春荣主编：《大学物理》，清华大学出版社，2018年版；</w:t>
      </w:r>
    </w:p>
    <w:p w14:paraId="2572390B" w14:textId="77777777" w:rsidR="00CF25BA" w:rsidRPr="00CF25BA" w:rsidRDefault="00CF25BA" w:rsidP="00CF25BA">
      <w:pPr>
        <w:snapToGrid w:val="0"/>
        <w:spacing w:line="360" w:lineRule="auto"/>
        <w:rPr>
          <w:rFonts w:ascii="宋体" w:eastAsia="宋体" w:hAnsi="宋体" w:cs="Times New Roman"/>
          <w:sz w:val="24"/>
          <w:szCs w:val="24"/>
        </w:rPr>
      </w:pPr>
      <w:r w:rsidRPr="00CF25BA">
        <w:rPr>
          <w:rFonts w:ascii="宋体" w:eastAsia="宋体" w:hAnsi="宋体" w:cs="宋体" w:hint="eastAsia"/>
          <w:sz w:val="24"/>
          <w:szCs w:val="24"/>
        </w:rPr>
        <w:t>2.</w:t>
      </w:r>
      <w:r w:rsidRPr="00CF25BA">
        <w:rPr>
          <w:rFonts w:ascii="宋体" w:eastAsia="宋体" w:hAnsi="宋体" w:cs="Times New Roman" w:hint="eastAsia"/>
          <w:sz w:val="24"/>
          <w:szCs w:val="24"/>
        </w:rPr>
        <w:t>上海交通大学物理教研室组编</w:t>
      </w:r>
      <w:r w:rsidRPr="00CF25BA">
        <w:rPr>
          <w:rFonts w:ascii="宋体" w:eastAsia="宋体" w:hAnsi="宋体" w:cs="宋体" w:hint="eastAsia"/>
          <w:sz w:val="24"/>
          <w:szCs w:val="24"/>
        </w:rPr>
        <w:t>：《大学物理教程》</w:t>
      </w:r>
      <w:r w:rsidRPr="00CF25BA">
        <w:rPr>
          <w:rFonts w:ascii="宋体" w:eastAsia="宋体" w:hAnsi="宋体" w:cs="Times New Roman" w:hint="eastAsia"/>
          <w:sz w:val="24"/>
          <w:szCs w:val="24"/>
        </w:rPr>
        <w:t>（简明版），上海交通大学出版社，20</w:t>
      </w:r>
      <w:r w:rsidRPr="00CF25BA">
        <w:rPr>
          <w:rFonts w:ascii="宋体" w:eastAsia="宋体" w:hAnsi="宋体" w:cs="Times New Roman"/>
          <w:sz w:val="24"/>
          <w:szCs w:val="24"/>
        </w:rPr>
        <w:t>16</w:t>
      </w:r>
      <w:r w:rsidRPr="00CF25BA">
        <w:rPr>
          <w:rFonts w:ascii="宋体" w:eastAsia="宋体" w:hAnsi="宋体" w:cs="Times New Roman" w:hint="eastAsia"/>
          <w:sz w:val="24"/>
          <w:szCs w:val="24"/>
        </w:rPr>
        <w:t>年版；</w:t>
      </w:r>
    </w:p>
    <w:p w14:paraId="2A0310CC" w14:textId="77777777" w:rsidR="00CF25BA" w:rsidRPr="00CF25BA" w:rsidRDefault="00CF25BA" w:rsidP="00CF25BA">
      <w:pPr>
        <w:snapToGrid w:val="0"/>
        <w:spacing w:line="360" w:lineRule="auto"/>
        <w:rPr>
          <w:rFonts w:ascii="宋体" w:eastAsia="宋体" w:hAnsi="宋体" w:cs="Times New Roman"/>
          <w:sz w:val="24"/>
          <w:szCs w:val="24"/>
        </w:rPr>
      </w:pPr>
      <w:r w:rsidRPr="00CF25BA">
        <w:rPr>
          <w:rFonts w:ascii="宋体" w:eastAsia="宋体" w:hAnsi="宋体" w:cs="Times New Roman" w:hint="eastAsia"/>
          <w:sz w:val="24"/>
          <w:szCs w:val="24"/>
        </w:rPr>
        <w:t>3.</w:t>
      </w:r>
      <w:proofErr w:type="gramStart"/>
      <w:r w:rsidRPr="00CF25BA">
        <w:rPr>
          <w:rFonts w:ascii="宋体" w:eastAsia="宋体" w:hAnsi="宋体" w:cs="Times New Roman" w:hint="eastAsia"/>
          <w:sz w:val="24"/>
          <w:szCs w:val="24"/>
        </w:rPr>
        <w:t>渊</w:t>
      </w:r>
      <w:proofErr w:type="gramEnd"/>
      <w:r w:rsidRPr="00CF25BA">
        <w:rPr>
          <w:rFonts w:ascii="宋体" w:eastAsia="宋体" w:hAnsi="宋体" w:cs="Times New Roman" w:hint="eastAsia"/>
          <w:sz w:val="24"/>
          <w:szCs w:val="24"/>
        </w:rPr>
        <w:t>小春主编：《大学物理》，同济大学出版社，2</w:t>
      </w:r>
      <w:r w:rsidRPr="00CF25BA">
        <w:rPr>
          <w:rFonts w:ascii="宋体" w:eastAsia="宋体" w:hAnsi="宋体" w:cs="Times New Roman"/>
          <w:sz w:val="24"/>
          <w:szCs w:val="24"/>
        </w:rPr>
        <w:t>014</w:t>
      </w:r>
      <w:r w:rsidRPr="00CF25BA">
        <w:rPr>
          <w:rFonts w:ascii="宋体" w:eastAsia="宋体" w:hAnsi="宋体" w:cs="Times New Roman" w:hint="eastAsia"/>
          <w:sz w:val="24"/>
          <w:szCs w:val="24"/>
        </w:rPr>
        <w:t>年版；</w:t>
      </w:r>
    </w:p>
    <w:p w14:paraId="52A8259E" w14:textId="77777777" w:rsidR="00CF25BA" w:rsidRPr="00CF25BA" w:rsidRDefault="00CF25BA" w:rsidP="00CF25BA">
      <w:pPr>
        <w:adjustRightInd w:val="0"/>
        <w:snapToGrid w:val="0"/>
        <w:spacing w:line="360" w:lineRule="auto"/>
        <w:rPr>
          <w:rFonts w:ascii="宋体" w:eastAsia="宋体" w:hAnsi="宋体" w:cs="Times New Roman"/>
          <w:sz w:val="24"/>
          <w:szCs w:val="24"/>
        </w:rPr>
      </w:pPr>
      <w:r w:rsidRPr="00CF25BA">
        <w:rPr>
          <w:rFonts w:ascii="宋体" w:eastAsia="宋体" w:hAnsi="宋体" w:cs="宋体" w:hint="eastAsia"/>
          <w:color w:val="000000"/>
          <w:sz w:val="24"/>
          <w:szCs w:val="24"/>
        </w:rPr>
        <w:t>4.刘</w:t>
      </w:r>
      <w:proofErr w:type="gramStart"/>
      <w:r w:rsidRPr="00CF25BA">
        <w:rPr>
          <w:rFonts w:ascii="宋体" w:eastAsia="宋体" w:hAnsi="宋体" w:cs="宋体" w:hint="eastAsia"/>
          <w:color w:val="000000"/>
          <w:sz w:val="24"/>
          <w:szCs w:val="24"/>
        </w:rPr>
        <w:t>克哲编</w:t>
      </w:r>
      <w:proofErr w:type="gramEnd"/>
      <w:r w:rsidRPr="00CF25BA">
        <w:rPr>
          <w:rFonts w:ascii="宋体" w:eastAsia="宋体" w:hAnsi="宋体" w:cs="宋体" w:hint="eastAsia"/>
          <w:color w:val="000000"/>
          <w:sz w:val="24"/>
          <w:szCs w:val="24"/>
        </w:rPr>
        <w:t>：《物理学》（第2版），高等教育出版社，2006年版；</w:t>
      </w:r>
    </w:p>
    <w:p w14:paraId="17B8117E" w14:textId="77777777" w:rsidR="00CF25BA" w:rsidRPr="00CF25BA" w:rsidRDefault="00CF25BA" w:rsidP="00CF25BA">
      <w:pPr>
        <w:adjustRightInd w:val="0"/>
        <w:snapToGrid w:val="0"/>
        <w:spacing w:line="360" w:lineRule="auto"/>
        <w:rPr>
          <w:rFonts w:ascii="宋体" w:eastAsia="宋体" w:hAnsi="宋体" w:cs="宋体"/>
          <w:color w:val="000000"/>
          <w:sz w:val="24"/>
          <w:szCs w:val="24"/>
        </w:rPr>
      </w:pPr>
      <w:r w:rsidRPr="00CF25BA">
        <w:rPr>
          <w:rFonts w:ascii="宋体" w:eastAsia="宋体" w:hAnsi="宋体" w:cs="宋体" w:hint="eastAsia"/>
          <w:color w:val="000000"/>
          <w:sz w:val="24"/>
          <w:szCs w:val="24"/>
        </w:rPr>
        <w:t>5.程守</w:t>
      </w:r>
      <w:proofErr w:type="gramStart"/>
      <w:r w:rsidRPr="00CF25BA">
        <w:rPr>
          <w:rFonts w:ascii="宋体" w:eastAsia="宋体" w:hAnsi="宋体" w:cs="宋体" w:hint="eastAsia"/>
          <w:color w:val="000000"/>
          <w:sz w:val="24"/>
          <w:szCs w:val="24"/>
        </w:rPr>
        <w:t>洙</w:t>
      </w:r>
      <w:proofErr w:type="gramEnd"/>
      <w:r w:rsidRPr="00CF25BA">
        <w:rPr>
          <w:rFonts w:ascii="宋体" w:eastAsia="宋体" w:hAnsi="宋体" w:cs="宋体" w:hint="eastAsia"/>
          <w:color w:val="000000"/>
          <w:sz w:val="24"/>
          <w:szCs w:val="24"/>
        </w:rPr>
        <w:t>，江之永编：《普通物理学》（第5版），高等教育出版社，2004年版；</w:t>
      </w:r>
    </w:p>
    <w:p w14:paraId="0B83C241" w14:textId="77777777" w:rsidR="00CF25BA" w:rsidRPr="00CF25BA" w:rsidRDefault="00CF25BA" w:rsidP="00CF25BA">
      <w:pPr>
        <w:adjustRightInd w:val="0"/>
        <w:snapToGrid w:val="0"/>
        <w:spacing w:line="360" w:lineRule="auto"/>
        <w:rPr>
          <w:rFonts w:ascii="宋体" w:eastAsia="宋体" w:hAnsi="宋体" w:cs="宋体"/>
          <w:color w:val="000000"/>
          <w:sz w:val="24"/>
          <w:szCs w:val="24"/>
        </w:rPr>
      </w:pPr>
      <w:r w:rsidRPr="00CF25BA">
        <w:rPr>
          <w:rFonts w:ascii="宋体" w:eastAsia="宋体" w:hAnsi="宋体" w:cs="宋体" w:hint="eastAsia"/>
          <w:color w:val="000000"/>
          <w:sz w:val="24"/>
          <w:szCs w:val="24"/>
        </w:rPr>
        <w:t>6.马文蔚编：《物理学》（第4版），高等教育出版社，2002年版；</w:t>
      </w:r>
    </w:p>
    <w:p w14:paraId="58BFE2EC" w14:textId="77777777" w:rsidR="00CF25BA" w:rsidRPr="00CF25BA" w:rsidRDefault="00CF25BA" w:rsidP="00CF25BA">
      <w:pPr>
        <w:adjustRightInd w:val="0"/>
        <w:snapToGrid w:val="0"/>
        <w:spacing w:line="360" w:lineRule="auto"/>
        <w:rPr>
          <w:rFonts w:ascii="宋体" w:eastAsia="宋体" w:hAnsi="宋体" w:cs="宋体"/>
          <w:color w:val="000000"/>
          <w:sz w:val="24"/>
          <w:szCs w:val="24"/>
        </w:rPr>
      </w:pPr>
      <w:r w:rsidRPr="00CF25BA">
        <w:rPr>
          <w:rFonts w:ascii="宋体" w:eastAsia="宋体" w:hAnsi="宋体" w:cs="宋体" w:hint="eastAsia"/>
          <w:color w:val="000000"/>
          <w:sz w:val="24"/>
          <w:szCs w:val="24"/>
        </w:rPr>
        <w:t>7.吴百诗主编：《</w:t>
      </w:r>
      <w:r>
        <w:fldChar w:fldCharType="begin"/>
      </w:r>
      <w:r>
        <w:instrText>HYPERLINK "http://10.10.10.254/gdweb/list1.php?mainkey=77664"</w:instrText>
      </w:r>
      <w:r>
        <w:fldChar w:fldCharType="separate"/>
      </w:r>
      <w:r w:rsidRPr="00CF25BA">
        <w:rPr>
          <w:rFonts w:ascii="宋体" w:eastAsia="宋体" w:hAnsi="宋体" w:cs="宋体" w:hint="eastAsia"/>
          <w:color w:val="000000"/>
          <w:sz w:val="24"/>
          <w:szCs w:val="24"/>
        </w:rPr>
        <w:t>大学物理</w:t>
      </w:r>
      <w:r>
        <w:rPr>
          <w:rFonts w:ascii="宋体" w:eastAsia="宋体" w:hAnsi="宋体" w:cs="宋体"/>
          <w:color w:val="000000"/>
          <w:sz w:val="24"/>
          <w:szCs w:val="24"/>
        </w:rPr>
        <w:fldChar w:fldCharType="end"/>
      </w:r>
      <w:r w:rsidRPr="00CF25BA">
        <w:rPr>
          <w:rFonts w:ascii="宋体" w:eastAsia="宋体" w:hAnsi="宋体" w:cs="宋体" w:hint="eastAsia"/>
          <w:color w:val="000000"/>
          <w:sz w:val="24"/>
          <w:szCs w:val="24"/>
        </w:rPr>
        <w:t>》，</w:t>
      </w:r>
      <w:hyperlink r:id="rId38" w:history="1">
        <w:r w:rsidRPr="00CF25BA">
          <w:rPr>
            <w:rFonts w:ascii="宋体" w:eastAsia="宋体" w:hAnsi="宋体" w:cs="宋体" w:hint="eastAsia"/>
            <w:color w:val="000000"/>
            <w:sz w:val="24"/>
            <w:szCs w:val="24"/>
          </w:rPr>
          <w:t>科学出版社</w:t>
        </w:r>
      </w:hyperlink>
      <w:r w:rsidRPr="00CF25BA">
        <w:rPr>
          <w:rFonts w:ascii="宋体" w:eastAsia="宋体" w:hAnsi="宋体" w:cs="宋体" w:hint="eastAsia"/>
          <w:color w:val="000000"/>
          <w:sz w:val="24"/>
          <w:szCs w:val="24"/>
        </w:rPr>
        <w:t>，2001年版；</w:t>
      </w:r>
    </w:p>
    <w:p w14:paraId="5471511F" w14:textId="77777777" w:rsidR="00CF25BA" w:rsidRPr="00CF25BA" w:rsidRDefault="00CF25BA" w:rsidP="00CF25BA">
      <w:pPr>
        <w:adjustRightInd w:val="0"/>
        <w:snapToGrid w:val="0"/>
        <w:spacing w:line="360" w:lineRule="auto"/>
        <w:rPr>
          <w:rFonts w:ascii="宋体" w:eastAsia="宋体" w:hAnsi="宋体" w:cs="宋体"/>
          <w:color w:val="000000"/>
          <w:sz w:val="24"/>
          <w:szCs w:val="24"/>
        </w:rPr>
      </w:pPr>
      <w:r w:rsidRPr="00CF25BA">
        <w:rPr>
          <w:rFonts w:ascii="宋体" w:eastAsia="宋体" w:hAnsi="宋体" w:cs="宋体" w:hint="eastAsia"/>
          <w:color w:val="000000"/>
          <w:sz w:val="24"/>
          <w:szCs w:val="24"/>
        </w:rPr>
        <w:t>8.丁俊华、邹有龙编：《物理》（工），辽宁大学出版社，1999年版；</w:t>
      </w:r>
    </w:p>
    <w:p w14:paraId="1A4206DA" w14:textId="77777777" w:rsidR="00CF25BA" w:rsidRPr="00CF25BA" w:rsidRDefault="00CF25BA" w:rsidP="00CF25BA">
      <w:pPr>
        <w:adjustRightInd w:val="0"/>
        <w:snapToGrid w:val="0"/>
        <w:spacing w:line="360" w:lineRule="auto"/>
        <w:rPr>
          <w:rFonts w:ascii="宋体" w:eastAsia="宋体" w:hAnsi="宋体" w:cs="宋体"/>
          <w:color w:val="000000"/>
          <w:sz w:val="24"/>
          <w:szCs w:val="24"/>
        </w:rPr>
      </w:pPr>
      <w:r w:rsidRPr="00CF25BA">
        <w:rPr>
          <w:rFonts w:ascii="宋体" w:eastAsia="宋体" w:hAnsi="宋体" w:cs="宋体" w:hint="eastAsia"/>
          <w:color w:val="000000"/>
          <w:sz w:val="24"/>
          <w:szCs w:val="24"/>
        </w:rPr>
        <w:t>9.张三慧、王虎珠编：《大学物理学》，清华大学出版社，1990年版。</w:t>
      </w:r>
    </w:p>
    <w:p w14:paraId="720DA4F2" w14:textId="77777777" w:rsidR="00CF25BA" w:rsidRPr="00CF25BA" w:rsidRDefault="00CF25BA" w:rsidP="00CF25BA">
      <w:pPr>
        <w:spacing w:beforeLines="50" w:before="156" w:afterLines="50" w:after="156" w:line="440" w:lineRule="exact"/>
        <w:ind w:firstLineChars="200" w:firstLine="560"/>
        <w:rPr>
          <w:rFonts w:ascii="黑体" w:eastAsia="黑体" w:hAnsi="黑体" w:cs="Times New Roman"/>
          <w:sz w:val="28"/>
          <w:szCs w:val="28"/>
        </w:rPr>
      </w:pPr>
      <w:r w:rsidRPr="00CF25BA">
        <w:rPr>
          <w:rFonts w:ascii="黑体" w:eastAsia="黑体" w:hAnsi="黑体" w:cs="Times New Roman" w:hint="eastAsia"/>
          <w:sz w:val="28"/>
          <w:szCs w:val="28"/>
        </w:rPr>
        <w:t>（三）课程资源</w:t>
      </w:r>
    </w:p>
    <w:p w14:paraId="107DCA42" w14:textId="77777777" w:rsidR="00CF25BA" w:rsidRPr="00CF25BA" w:rsidRDefault="00CF25BA" w:rsidP="00CF25BA">
      <w:pPr>
        <w:spacing w:line="440" w:lineRule="exact"/>
        <w:ind w:firstLineChars="200" w:firstLine="480"/>
        <w:rPr>
          <w:rFonts w:ascii="宋体" w:eastAsia="宋体" w:hAnsi="宋体" w:cs="Times New Roman"/>
          <w:sz w:val="24"/>
          <w:szCs w:val="24"/>
        </w:rPr>
      </w:pPr>
      <w:r w:rsidRPr="00CF25BA">
        <w:rPr>
          <w:rFonts w:ascii="宋体" w:eastAsia="宋体" w:hAnsi="宋体" w:cs="Times New Roman" w:hint="eastAsia"/>
          <w:sz w:val="24"/>
          <w:szCs w:val="24"/>
        </w:rPr>
        <w:t>学生可以通过登录学习通查阅相关学习内容，</w:t>
      </w:r>
    </w:p>
    <w:p w14:paraId="44C500A5" w14:textId="77777777" w:rsidR="00CF25BA" w:rsidRPr="00CF25BA" w:rsidRDefault="00000000" w:rsidP="00CF25BA">
      <w:pPr>
        <w:spacing w:beforeLines="50" w:before="156" w:afterLines="50" w:after="156" w:line="440" w:lineRule="exact"/>
        <w:ind w:firstLineChars="200" w:firstLine="420"/>
        <w:rPr>
          <w:rFonts w:ascii="宋体" w:eastAsia="宋体" w:hAnsi="宋体" w:cs="Times New Roman"/>
          <w:sz w:val="24"/>
          <w:szCs w:val="24"/>
        </w:rPr>
      </w:pPr>
      <w:hyperlink r:id="rId39" w:history="1">
        <w:r w:rsidR="00CF25BA" w:rsidRPr="00CF25BA">
          <w:rPr>
            <w:rFonts w:ascii="宋体" w:eastAsia="宋体" w:hAnsi="宋体" w:cs="Times New Roman" w:hint="eastAsia"/>
            <w:color w:val="3F5094"/>
            <w:sz w:val="24"/>
            <w:szCs w:val="24"/>
            <w:u w:val="single"/>
          </w:rPr>
          <w:t>https://mooc1.chaoxing.com/course/200001909.html</w:t>
        </w:r>
      </w:hyperlink>
    </w:p>
    <w:p w14:paraId="54B69C65" w14:textId="77777777" w:rsidR="00CF25BA" w:rsidRPr="00CF25BA" w:rsidRDefault="00000000" w:rsidP="00CF25BA">
      <w:pPr>
        <w:spacing w:beforeLines="50" w:before="156" w:afterLines="50" w:after="156" w:line="440" w:lineRule="exact"/>
        <w:ind w:firstLineChars="200" w:firstLine="420"/>
        <w:rPr>
          <w:rFonts w:ascii="宋体" w:eastAsia="宋体" w:hAnsi="宋体" w:cs="Times New Roman"/>
          <w:sz w:val="24"/>
          <w:szCs w:val="24"/>
        </w:rPr>
      </w:pPr>
      <w:hyperlink r:id="rId40" w:history="1">
        <w:r w:rsidR="00CF25BA" w:rsidRPr="00CF25BA">
          <w:rPr>
            <w:rFonts w:ascii="宋体" w:eastAsia="宋体" w:hAnsi="宋体" w:cs="Times New Roman" w:hint="eastAsia"/>
            <w:color w:val="3F5094"/>
            <w:sz w:val="24"/>
            <w:szCs w:val="24"/>
            <w:u w:val="single"/>
          </w:rPr>
          <w:t>https://mooc1.chaoxing.com/course/200001910.html</w:t>
        </w:r>
      </w:hyperlink>
    </w:p>
    <w:p w14:paraId="7C9AC274" w14:textId="77777777" w:rsidR="00CF25BA" w:rsidRPr="00CF25BA" w:rsidRDefault="00CF25BA" w:rsidP="00CF25BA">
      <w:pPr>
        <w:spacing w:beforeLines="50" w:before="156" w:afterLines="50" w:after="156" w:line="440" w:lineRule="exact"/>
        <w:ind w:firstLineChars="200" w:firstLine="560"/>
        <w:rPr>
          <w:rFonts w:ascii="黑体" w:eastAsia="黑体" w:hAnsi="黑体" w:cs="Times New Roman"/>
          <w:sz w:val="28"/>
          <w:szCs w:val="28"/>
        </w:rPr>
      </w:pPr>
      <w:r w:rsidRPr="00CF25BA">
        <w:rPr>
          <w:rFonts w:ascii="黑体" w:eastAsia="黑体" w:hAnsi="黑体" w:cs="Times New Roman" w:hint="eastAsia"/>
          <w:sz w:val="28"/>
          <w:szCs w:val="28"/>
        </w:rPr>
        <w:t>七、课程大纲制定依据</w:t>
      </w:r>
    </w:p>
    <w:p w14:paraId="5822CE55" w14:textId="77777777" w:rsidR="00CF25BA" w:rsidRPr="00CF25BA" w:rsidRDefault="00CF25BA" w:rsidP="00CF25BA">
      <w:pPr>
        <w:spacing w:line="440" w:lineRule="exact"/>
        <w:ind w:firstLineChars="200" w:firstLine="480"/>
        <w:rPr>
          <w:rFonts w:ascii="宋体" w:eastAsia="宋体" w:hAnsi="宋体" w:cs="Times New Roman"/>
          <w:sz w:val="24"/>
          <w:szCs w:val="24"/>
          <w:highlight w:val="red"/>
        </w:rPr>
      </w:pPr>
      <w:r w:rsidRPr="00CF25BA">
        <w:rPr>
          <w:rFonts w:ascii="宋体" w:eastAsia="宋体" w:hAnsi="宋体" w:cs="Times New Roman" w:hint="eastAsia"/>
          <w:sz w:val="24"/>
          <w:szCs w:val="24"/>
        </w:rPr>
        <w:t>本课程大纲依据2023年</w:t>
      </w:r>
      <w:r>
        <w:rPr>
          <w:rFonts w:ascii="宋体" w:eastAsia="宋体" w:hAnsi="宋体" w:cs="Times New Roman" w:hint="eastAsia"/>
          <w:sz w:val="24"/>
          <w:szCs w:val="24"/>
        </w:rPr>
        <w:t>药物分析</w:t>
      </w:r>
      <w:r w:rsidRPr="00CF25BA">
        <w:rPr>
          <w:rFonts w:ascii="宋体" w:eastAsia="宋体" w:hAnsi="宋体" w:cs="Times New Roman" w:hint="eastAsia"/>
          <w:sz w:val="24"/>
          <w:szCs w:val="24"/>
        </w:rPr>
        <w:t>专业人才培养方案制定。</w:t>
      </w:r>
    </w:p>
    <w:p w14:paraId="4A5265D3" w14:textId="77777777" w:rsidR="00CF25BA" w:rsidRDefault="00CF25BA" w:rsidP="00CF25BA">
      <w:pPr>
        <w:spacing w:line="440" w:lineRule="exact"/>
        <w:rPr>
          <w:rFonts w:ascii="宋体" w:eastAsia="宋体" w:hAnsi="宋体" w:cs="Times New Roman"/>
          <w:sz w:val="24"/>
          <w:szCs w:val="24"/>
        </w:rPr>
      </w:pPr>
    </w:p>
    <w:p w14:paraId="56192C6A" w14:textId="77777777" w:rsidR="00CF25BA" w:rsidRDefault="00CF25BA" w:rsidP="00CF25BA">
      <w:pPr>
        <w:spacing w:line="440" w:lineRule="exact"/>
        <w:rPr>
          <w:rFonts w:ascii="宋体" w:eastAsia="宋体" w:hAnsi="宋体" w:cs="Times New Roman"/>
          <w:sz w:val="24"/>
          <w:szCs w:val="24"/>
        </w:rPr>
      </w:pPr>
    </w:p>
    <w:p w14:paraId="1EC9B367" w14:textId="77777777" w:rsidR="00CF25BA" w:rsidRDefault="00CF25BA" w:rsidP="00CF25BA">
      <w:pPr>
        <w:spacing w:line="440" w:lineRule="exact"/>
        <w:rPr>
          <w:rFonts w:ascii="宋体" w:eastAsia="宋体" w:hAnsi="宋体" w:cs="Times New Roman"/>
          <w:sz w:val="24"/>
          <w:szCs w:val="24"/>
        </w:rPr>
      </w:pPr>
    </w:p>
    <w:p w14:paraId="3AF4488A" w14:textId="77777777" w:rsidR="00CF25BA" w:rsidRDefault="00CF25BA" w:rsidP="00CF25BA">
      <w:pPr>
        <w:spacing w:line="440" w:lineRule="exact"/>
        <w:rPr>
          <w:rFonts w:ascii="宋体" w:eastAsia="宋体" w:hAnsi="宋体" w:cs="Times New Roman"/>
          <w:sz w:val="24"/>
          <w:szCs w:val="24"/>
        </w:rPr>
      </w:pPr>
    </w:p>
    <w:p w14:paraId="488FB2F8" w14:textId="77777777" w:rsidR="00CF25BA" w:rsidRDefault="00CF25BA" w:rsidP="00CF25BA">
      <w:pPr>
        <w:spacing w:line="440" w:lineRule="exact"/>
        <w:rPr>
          <w:rFonts w:ascii="宋体" w:eastAsia="宋体" w:hAnsi="宋体" w:cs="Times New Roman"/>
          <w:sz w:val="24"/>
          <w:szCs w:val="24"/>
        </w:rPr>
      </w:pPr>
    </w:p>
    <w:p w14:paraId="4BD1AFF5" w14:textId="77777777" w:rsidR="00CF25BA" w:rsidRDefault="00CF25BA" w:rsidP="00CF25BA">
      <w:pPr>
        <w:spacing w:line="440" w:lineRule="exact"/>
        <w:rPr>
          <w:rFonts w:ascii="宋体" w:eastAsia="宋体" w:hAnsi="宋体" w:cs="Times New Roman"/>
          <w:sz w:val="24"/>
          <w:szCs w:val="24"/>
        </w:rPr>
      </w:pPr>
    </w:p>
    <w:p w14:paraId="46581801" w14:textId="77777777" w:rsidR="00CF25BA" w:rsidRPr="00CF25BA" w:rsidRDefault="00CF25BA" w:rsidP="00CF25BA">
      <w:pPr>
        <w:spacing w:line="440" w:lineRule="exact"/>
        <w:rPr>
          <w:rFonts w:ascii="宋体" w:eastAsia="宋体" w:hAnsi="宋体" w:cs="Times New Roman"/>
          <w:sz w:val="24"/>
          <w:szCs w:val="24"/>
        </w:rPr>
      </w:pPr>
    </w:p>
    <w:p w14:paraId="3C9DBB93" w14:textId="77777777" w:rsidR="00A270A7" w:rsidRPr="00A270A7" w:rsidRDefault="00A270A7" w:rsidP="00A270A7"/>
    <w:p w14:paraId="0A31CEBF" w14:textId="77777777" w:rsidR="0085474C" w:rsidRPr="0085474C" w:rsidRDefault="0085474C" w:rsidP="00884E21">
      <w:pPr>
        <w:pStyle w:val="1"/>
      </w:pPr>
      <w:bookmarkStart w:id="158" w:name="_Toc149662357"/>
      <w:r w:rsidRPr="0085474C">
        <w:lastRenderedPageBreak/>
        <w:t>《分析化学》课程大纲</w:t>
      </w:r>
      <w:bookmarkEnd w:id="158"/>
    </w:p>
    <w:p w14:paraId="33D52EC8" w14:textId="77777777" w:rsidR="0085474C" w:rsidRPr="0085474C" w:rsidRDefault="0085474C" w:rsidP="00DB6C82">
      <w:pPr>
        <w:pStyle w:val="afc"/>
      </w:pPr>
      <w:r w:rsidRPr="0085474C">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4"/>
        <w:gridCol w:w="2757"/>
        <w:gridCol w:w="1522"/>
        <w:gridCol w:w="2874"/>
      </w:tblGrid>
      <w:tr w:rsidR="0085474C" w:rsidRPr="0085474C" w14:paraId="1E79BB5D" w14:textId="77777777" w:rsidTr="00367215">
        <w:trPr>
          <w:trHeight w:val="886"/>
          <w:jc w:val="center"/>
        </w:trPr>
        <w:tc>
          <w:tcPr>
            <w:tcW w:w="1668" w:type="dxa"/>
            <w:shd w:val="clear" w:color="auto" w:fill="auto"/>
            <w:vAlign w:val="center"/>
          </w:tcPr>
          <w:p w14:paraId="14708DBE"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课程名称</w:t>
            </w:r>
          </w:p>
        </w:tc>
        <w:tc>
          <w:tcPr>
            <w:tcW w:w="2833" w:type="dxa"/>
            <w:shd w:val="clear" w:color="auto" w:fill="auto"/>
            <w:vAlign w:val="center"/>
          </w:tcPr>
          <w:p w14:paraId="3CFA78C2"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分析化学</w:t>
            </w:r>
          </w:p>
        </w:tc>
        <w:tc>
          <w:tcPr>
            <w:tcW w:w="1561" w:type="dxa"/>
            <w:shd w:val="clear" w:color="auto" w:fill="auto"/>
            <w:vAlign w:val="center"/>
          </w:tcPr>
          <w:p w14:paraId="6FF76FEF"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课程代码</w:t>
            </w:r>
          </w:p>
        </w:tc>
        <w:tc>
          <w:tcPr>
            <w:tcW w:w="2941" w:type="dxa"/>
            <w:shd w:val="clear" w:color="auto" w:fill="auto"/>
            <w:vAlign w:val="center"/>
          </w:tcPr>
          <w:p w14:paraId="028E0C4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0700207</w:t>
            </w:r>
          </w:p>
        </w:tc>
      </w:tr>
      <w:tr w:rsidR="0085474C" w:rsidRPr="0085474C" w14:paraId="05D9F0F3" w14:textId="77777777" w:rsidTr="00367215">
        <w:trPr>
          <w:trHeight w:val="829"/>
          <w:jc w:val="center"/>
        </w:trPr>
        <w:tc>
          <w:tcPr>
            <w:tcW w:w="1668" w:type="dxa"/>
            <w:shd w:val="clear" w:color="auto" w:fill="auto"/>
            <w:vAlign w:val="center"/>
          </w:tcPr>
          <w:p w14:paraId="3F15A1C6"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课程类别</w:t>
            </w:r>
          </w:p>
        </w:tc>
        <w:tc>
          <w:tcPr>
            <w:tcW w:w="2833" w:type="dxa"/>
            <w:shd w:val="clear" w:color="auto" w:fill="auto"/>
            <w:vAlign w:val="center"/>
          </w:tcPr>
          <w:p w14:paraId="3BEC023F"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专业教育</w:t>
            </w:r>
            <w:r w:rsidRPr="0085474C">
              <w:rPr>
                <w:rFonts w:ascii="Times New Roman" w:eastAsia="宋体" w:hAnsi="Times New Roman" w:cs="Times New Roman" w:hint="eastAsia"/>
                <w:sz w:val="24"/>
                <w:szCs w:val="24"/>
              </w:rPr>
              <w:t>基础</w:t>
            </w:r>
            <w:r w:rsidRPr="0085474C">
              <w:rPr>
                <w:rFonts w:ascii="Times New Roman" w:eastAsia="宋体" w:hAnsi="Times New Roman" w:cs="Times New Roman"/>
                <w:sz w:val="24"/>
                <w:szCs w:val="24"/>
              </w:rPr>
              <w:t>课</w:t>
            </w:r>
          </w:p>
        </w:tc>
        <w:tc>
          <w:tcPr>
            <w:tcW w:w="1561" w:type="dxa"/>
            <w:shd w:val="clear" w:color="auto" w:fill="auto"/>
            <w:vAlign w:val="center"/>
          </w:tcPr>
          <w:p w14:paraId="681EF224"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学时</w:t>
            </w:r>
          </w:p>
          <w:p w14:paraId="063C4552"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学分</w:t>
            </w:r>
          </w:p>
        </w:tc>
        <w:tc>
          <w:tcPr>
            <w:tcW w:w="2941" w:type="dxa"/>
            <w:shd w:val="clear" w:color="auto" w:fill="auto"/>
            <w:vAlign w:val="center"/>
          </w:tcPr>
          <w:p w14:paraId="513C000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48</w:t>
            </w:r>
            <w:r w:rsidRPr="0085474C">
              <w:rPr>
                <w:rFonts w:ascii="Times New Roman" w:eastAsia="宋体" w:hAnsi="Times New Roman" w:cs="Times New Roman"/>
                <w:sz w:val="24"/>
                <w:szCs w:val="24"/>
              </w:rPr>
              <w:t>学时</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学分</w:t>
            </w:r>
          </w:p>
        </w:tc>
      </w:tr>
      <w:tr w:rsidR="0085474C" w:rsidRPr="0085474C" w14:paraId="26350F8B" w14:textId="77777777" w:rsidTr="00367215">
        <w:trPr>
          <w:trHeight w:val="811"/>
          <w:jc w:val="center"/>
        </w:trPr>
        <w:tc>
          <w:tcPr>
            <w:tcW w:w="1668" w:type="dxa"/>
            <w:shd w:val="clear" w:color="auto" w:fill="auto"/>
            <w:vAlign w:val="center"/>
          </w:tcPr>
          <w:p w14:paraId="14FD5D0B"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开课单位</w:t>
            </w:r>
          </w:p>
        </w:tc>
        <w:tc>
          <w:tcPr>
            <w:tcW w:w="2833" w:type="dxa"/>
            <w:shd w:val="clear" w:color="auto" w:fill="auto"/>
            <w:vAlign w:val="center"/>
          </w:tcPr>
          <w:p w14:paraId="56E71C6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化工学院</w:t>
            </w:r>
          </w:p>
        </w:tc>
        <w:tc>
          <w:tcPr>
            <w:tcW w:w="1561" w:type="dxa"/>
            <w:shd w:val="clear" w:color="auto" w:fill="auto"/>
            <w:vAlign w:val="center"/>
          </w:tcPr>
          <w:p w14:paraId="7B39781A"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适用专业</w:t>
            </w:r>
          </w:p>
        </w:tc>
        <w:tc>
          <w:tcPr>
            <w:tcW w:w="2941" w:type="dxa"/>
            <w:shd w:val="clear" w:color="auto" w:fill="auto"/>
            <w:vAlign w:val="center"/>
          </w:tcPr>
          <w:p w14:paraId="66C171BB"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药物分析</w:t>
            </w:r>
          </w:p>
        </w:tc>
      </w:tr>
      <w:tr w:rsidR="0085474C" w:rsidRPr="0085474C" w14:paraId="57B3E98D" w14:textId="77777777" w:rsidTr="00367215">
        <w:trPr>
          <w:trHeight w:val="811"/>
          <w:jc w:val="center"/>
        </w:trPr>
        <w:tc>
          <w:tcPr>
            <w:tcW w:w="1668" w:type="dxa"/>
            <w:shd w:val="clear" w:color="auto" w:fill="auto"/>
            <w:vAlign w:val="center"/>
          </w:tcPr>
          <w:p w14:paraId="5CA1FD98"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课程负责人</w:t>
            </w:r>
          </w:p>
        </w:tc>
        <w:tc>
          <w:tcPr>
            <w:tcW w:w="7335" w:type="dxa"/>
            <w:gridSpan w:val="3"/>
            <w:shd w:val="clear" w:color="auto" w:fill="auto"/>
            <w:vAlign w:val="center"/>
          </w:tcPr>
          <w:p w14:paraId="4D8A8F9A"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张玲</w:t>
            </w:r>
          </w:p>
        </w:tc>
      </w:tr>
      <w:tr w:rsidR="0085474C" w:rsidRPr="0085474C" w14:paraId="10513F25" w14:textId="77777777" w:rsidTr="00367215">
        <w:trPr>
          <w:trHeight w:val="836"/>
          <w:jc w:val="center"/>
        </w:trPr>
        <w:tc>
          <w:tcPr>
            <w:tcW w:w="1668" w:type="dxa"/>
            <w:shd w:val="clear" w:color="auto" w:fill="auto"/>
            <w:vAlign w:val="center"/>
          </w:tcPr>
          <w:p w14:paraId="2C13A190"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大纲撰写人</w:t>
            </w:r>
          </w:p>
        </w:tc>
        <w:tc>
          <w:tcPr>
            <w:tcW w:w="2833" w:type="dxa"/>
            <w:shd w:val="clear" w:color="auto" w:fill="auto"/>
            <w:vAlign w:val="center"/>
          </w:tcPr>
          <w:p w14:paraId="0829D4E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张玲</w:t>
            </w:r>
            <w:r w:rsidRPr="0085474C">
              <w:rPr>
                <w:rFonts w:ascii="Times New Roman" w:eastAsia="宋体" w:hAnsi="Times New Roman" w:cs="Times New Roman"/>
                <w:sz w:val="24"/>
                <w:szCs w:val="24"/>
              </w:rPr>
              <w:t>、王惠英</w:t>
            </w:r>
          </w:p>
        </w:tc>
        <w:tc>
          <w:tcPr>
            <w:tcW w:w="1561" w:type="dxa"/>
            <w:shd w:val="clear" w:color="auto" w:fill="auto"/>
            <w:vAlign w:val="center"/>
          </w:tcPr>
          <w:p w14:paraId="47D94F40"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大纲审核人</w:t>
            </w:r>
          </w:p>
        </w:tc>
        <w:tc>
          <w:tcPr>
            <w:tcW w:w="2941" w:type="dxa"/>
            <w:shd w:val="clear" w:color="auto" w:fill="auto"/>
            <w:vAlign w:val="center"/>
          </w:tcPr>
          <w:p w14:paraId="76C21FF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吕立强</w:t>
            </w:r>
          </w:p>
        </w:tc>
      </w:tr>
      <w:tr w:rsidR="0085474C" w:rsidRPr="0085474C" w14:paraId="69712B12" w14:textId="77777777" w:rsidTr="00367215">
        <w:trPr>
          <w:trHeight w:val="848"/>
          <w:jc w:val="center"/>
        </w:trPr>
        <w:tc>
          <w:tcPr>
            <w:tcW w:w="1668" w:type="dxa"/>
            <w:shd w:val="clear" w:color="auto" w:fill="auto"/>
            <w:vAlign w:val="center"/>
          </w:tcPr>
          <w:p w14:paraId="17F01E06"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先修课程</w:t>
            </w:r>
          </w:p>
        </w:tc>
        <w:tc>
          <w:tcPr>
            <w:tcW w:w="7335" w:type="dxa"/>
            <w:gridSpan w:val="3"/>
            <w:shd w:val="clear" w:color="auto" w:fill="auto"/>
            <w:vAlign w:val="center"/>
          </w:tcPr>
          <w:p w14:paraId="71BC8CC4"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先修《高等数学》、《无机化学》课程</w:t>
            </w:r>
          </w:p>
        </w:tc>
      </w:tr>
      <w:tr w:rsidR="0085474C" w:rsidRPr="0085474C" w14:paraId="51CEC251" w14:textId="77777777" w:rsidTr="00367215">
        <w:trPr>
          <w:trHeight w:val="848"/>
          <w:jc w:val="center"/>
        </w:trPr>
        <w:tc>
          <w:tcPr>
            <w:tcW w:w="1668" w:type="dxa"/>
            <w:shd w:val="clear" w:color="auto" w:fill="auto"/>
            <w:vAlign w:val="center"/>
          </w:tcPr>
          <w:p w14:paraId="358E32B9"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课程网址</w:t>
            </w:r>
          </w:p>
        </w:tc>
        <w:tc>
          <w:tcPr>
            <w:tcW w:w="7335" w:type="dxa"/>
            <w:gridSpan w:val="3"/>
            <w:shd w:val="clear" w:color="auto" w:fill="auto"/>
            <w:vAlign w:val="center"/>
          </w:tcPr>
          <w:p w14:paraId="2B3CAD3D"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学习通网络平台《分析化学》课程（张玲）</w:t>
            </w:r>
          </w:p>
        </w:tc>
      </w:tr>
    </w:tbl>
    <w:p w14:paraId="0401905F" w14:textId="77777777" w:rsidR="0085474C" w:rsidRPr="0085474C" w:rsidRDefault="0085474C" w:rsidP="0085474C">
      <w:pPr>
        <w:spacing w:beforeLines="50" w:before="156" w:afterLines="50" w:after="156" w:line="440" w:lineRule="exact"/>
        <w:rPr>
          <w:rFonts w:ascii="Times New Roman" w:eastAsia="黑体" w:hAnsi="Times New Roman" w:cs="Times New Roman"/>
          <w:sz w:val="28"/>
          <w:szCs w:val="28"/>
        </w:rPr>
      </w:pPr>
    </w:p>
    <w:p w14:paraId="4B0C320D" w14:textId="77777777" w:rsidR="0085474C" w:rsidRPr="0085474C" w:rsidRDefault="0085474C" w:rsidP="00DB6C82">
      <w:pPr>
        <w:pStyle w:val="afc"/>
      </w:pPr>
      <w:r w:rsidRPr="0085474C">
        <w:t>二、课程学习目标及与毕业要求的对应关系</w:t>
      </w:r>
    </w:p>
    <w:p w14:paraId="2DE8F6A3" w14:textId="77777777" w:rsidR="0085474C" w:rsidRPr="0085474C" w:rsidRDefault="0085474C" w:rsidP="00DB6C82">
      <w:pPr>
        <w:pStyle w:val="afc"/>
      </w:pPr>
      <w:r w:rsidRPr="0085474C">
        <w:t>（一）课程学习目标</w:t>
      </w:r>
    </w:p>
    <w:p w14:paraId="5D4AA3DB" w14:textId="77777777" w:rsidR="0085474C" w:rsidRPr="0085474C" w:rsidRDefault="0085474C" w:rsidP="00093144">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通过本课程的学习，使学生达到以下目标：</w:t>
      </w:r>
    </w:p>
    <w:p w14:paraId="137CDDD4" w14:textId="77777777" w:rsidR="0085474C" w:rsidRPr="00093144" w:rsidRDefault="0085474C" w:rsidP="00093144">
      <w:pPr>
        <w:spacing w:line="440" w:lineRule="exact"/>
        <w:ind w:firstLineChars="200" w:firstLine="480"/>
        <w:rPr>
          <w:rFonts w:ascii="Times New Roman" w:eastAsia="宋体" w:hAnsi="Times New Roman" w:cs="Times New Roman"/>
          <w:bCs/>
          <w:sz w:val="24"/>
          <w:szCs w:val="24"/>
        </w:rPr>
      </w:pPr>
      <w:r w:rsidRPr="00093144">
        <w:rPr>
          <w:rFonts w:ascii="Times New Roman" w:eastAsia="宋体" w:hAnsi="Times New Roman" w:cs="Times New Roman" w:hint="eastAsia"/>
          <w:bCs/>
          <w:sz w:val="24"/>
          <w:szCs w:val="24"/>
        </w:rPr>
        <w:t>1.</w:t>
      </w:r>
      <w:r w:rsidRPr="00093144">
        <w:rPr>
          <w:rFonts w:ascii="Times New Roman" w:eastAsia="宋体" w:hAnsi="Times New Roman" w:cs="Times New Roman"/>
          <w:bCs/>
          <w:sz w:val="24"/>
          <w:szCs w:val="24"/>
        </w:rPr>
        <w:t xml:space="preserve"> </w:t>
      </w:r>
      <w:r w:rsidRPr="00093144">
        <w:rPr>
          <w:rFonts w:ascii="Times New Roman" w:eastAsia="宋体" w:hAnsi="Times New Roman" w:cs="Times New Roman" w:hint="eastAsia"/>
          <w:bCs/>
          <w:sz w:val="24"/>
          <w:szCs w:val="24"/>
        </w:rPr>
        <w:t>掌握与药物分析学相关的分析化学基本理论与方法和实验技能，具备药物分析学相关方面的知识与能力。</w:t>
      </w:r>
      <w:r w:rsidRPr="00093144">
        <w:rPr>
          <w:rFonts w:ascii="Times New Roman" w:eastAsia="宋体" w:hAnsi="Times New Roman" w:cs="Times New Roman" w:hint="eastAsia"/>
          <w:b/>
          <w:sz w:val="24"/>
          <w:szCs w:val="24"/>
        </w:rPr>
        <w:t>【毕业要求</w:t>
      </w:r>
      <w:r w:rsidRPr="00093144">
        <w:rPr>
          <w:rFonts w:ascii="Times New Roman" w:eastAsia="宋体" w:hAnsi="Times New Roman" w:cs="Times New Roman" w:hint="eastAsia"/>
          <w:b/>
          <w:sz w:val="24"/>
          <w:szCs w:val="24"/>
        </w:rPr>
        <w:t xml:space="preserve">1 </w:t>
      </w:r>
      <w:r w:rsidRPr="00093144">
        <w:rPr>
          <w:rFonts w:ascii="Times New Roman" w:eastAsia="宋体" w:hAnsi="Times New Roman" w:cs="Times New Roman" w:hint="eastAsia"/>
          <w:b/>
          <w:sz w:val="24"/>
          <w:szCs w:val="24"/>
        </w:rPr>
        <w:t>药学知识】</w:t>
      </w:r>
    </w:p>
    <w:p w14:paraId="3856DC9E" w14:textId="77777777" w:rsidR="0085474C" w:rsidRPr="00093144" w:rsidRDefault="0085474C" w:rsidP="00093144">
      <w:pPr>
        <w:spacing w:line="440" w:lineRule="exact"/>
        <w:ind w:firstLineChars="200" w:firstLine="480"/>
        <w:rPr>
          <w:rFonts w:ascii="Times New Roman" w:eastAsia="宋体" w:hAnsi="Times New Roman" w:cs="Times New Roman"/>
          <w:b/>
          <w:sz w:val="24"/>
          <w:szCs w:val="24"/>
        </w:rPr>
      </w:pPr>
      <w:r w:rsidRPr="00093144">
        <w:rPr>
          <w:rFonts w:ascii="Times New Roman" w:eastAsia="宋体" w:hAnsi="Times New Roman" w:cs="Times New Roman" w:hint="eastAsia"/>
          <w:bCs/>
          <w:sz w:val="24"/>
          <w:szCs w:val="24"/>
        </w:rPr>
        <w:t xml:space="preserve">2. </w:t>
      </w:r>
      <w:r w:rsidRPr="00093144">
        <w:rPr>
          <w:rFonts w:ascii="Times New Roman" w:eastAsia="宋体" w:hAnsi="Times New Roman" w:cs="Times New Roman" w:hint="eastAsia"/>
          <w:bCs/>
          <w:sz w:val="24"/>
          <w:szCs w:val="24"/>
        </w:rPr>
        <w:t>能够基于分析化学相关知识，应用分析</w:t>
      </w:r>
      <w:r w:rsidRPr="00093144">
        <w:rPr>
          <w:rFonts w:ascii="Times New Roman" w:eastAsia="宋体" w:hAnsi="Times New Roman" w:cs="Times New Roman"/>
          <w:bCs/>
          <w:sz w:val="24"/>
          <w:szCs w:val="24"/>
        </w:rPr>
        <w:t>化学</w:t>
      </w:r>
      <w:r w:rsidRPr="00093144">
        <w:rPr>
          <w:rFonts w:ascii="Times New Roman" w:eastAsia="宋体" w:hAnsi="Times New Roman" w:cs="Times New Roman" w:hint="eastAsia"/>
          <w:bCs/>
          <w:sz w:val="24"/>
          <w:szCs w:val="24"/>
        </w:rPr>
        <w:t>基本原理，处理分析药物分析学相关领域实际问题。</w:t>
      </w:r>
      <w:r w:rsidRPr="00093144">
        <w:rPr>
          <w:rFonts w:ascii="Times New Roman" w:eastAsia="宋体" w:hAnsi="Times New Roman" w:cs="Times New Roman" w:hint="eastAsia"/>
          <w:b/>
          <w:sz w:val="24"/>
          <w:szCs w:val="24"/>
        </w:rPr>
        <w:t>【毕业要求</w:t>
      </w:r>
      <w:r w:rsidRPr="00093144">
        <w:rPr>
          <w:rFonts w:ascii="Times New Roman" w:eastAsia="宋体" w:hAnsi="Times New Roman" w:cs="Times New Roman" w:hint="eastAsia"/>
          <w:b/>
          <w:sz w:val="24"/>
          <w:szCs w:val="24"/>
        </w:rPr>
        <w:t>2</w:t>
      </w:r>
      <w:r w:rsidRPr="00093144">
        <w:rPr>
          <w:rFonts w:ascii="Times New Roman" w:eastAsia="宋体" w:hAnsi="Times New Roman" w:cs="Times New Roman"/>
          <w:b/>
          <w:sz w:val="24"/>
          <w:szCs w:val="24"/>
        </w:rPr>
        <w:t xml:space="preserve"> </w:t>
      </w:r>
      <w:r w:rsidRPr="00093144">
        <w:rPr>
          <w:rFonts w:ascii="Times New Roman" w:eastAsia="宋体" w:hAnsi="Times New Roman" w:cs="Times New Roman" w:hint="eastAsia"/>
          <w:b/>
          <w:sz w:val="24"/>
          <w:szCs w:val="24"/>
        </w:rPr>
        <w:t>问题分析】</w:t>
      </w:r>
    </w:p>
    <w:p w14:paraId="775A61A0" w14:textId="77777777" w:rsidR="0085474C" w:rsidRPr="00093144" w:rsidRDefault="0085474C" w:rsidP="00093144">
      <w:pPr>
        <w:spacing w:line="440" w:lineRule="exact"/>
        <w:ind w:firstLineChars="200" w:firstLine="480"/>
        <w:rPr>
          <w:rFonts w:ascii="Times New Roman" w:eastAsia="宋体" w:hAnsi="Times New Roman" w:cs="Times New Roman"/>
          <w:b/>
          <w:sz w:val="24"/>
          <w:szCs w:val="24"/>
        </w:rPr>
      </w:pPr>
      <w:r w:rsidRPr="00093144">
        <w:rPr>
          <w:rFonts w:ascii="Times New Roman" w:eastAsia="宋体" w:hAnsi="Times New Roman" w:cs="Times New Roman" w:hint="eastAsia"/>
          <w:bCs/>
          <w:sz w:val="24"/>
          <w:szCs w:val="24"/>
        </w:rPr>
        <w:t>3</w:t>
      </w:r>
      <w:r w:rsidRPr="00093144">
        <w:rPr>
          <w:rFonts w:ascii="Times New Roman" w:eastAsia="宋体" w:hAnsi="Times New Roman" w:cs="Times New Roman"/>
          <w:bCs/>
          <w:sz w:val="24"/>
          <w:szCs w:val="24"/>
        </w:rPr>
        <w:t xml:space="preserve">. </w:t>
      </w:r>
      <w:r w:rsidRPr="00093144">
        <w:rPr>
          <w:rFonts w:ascii="Times New Roman" w:eastAsia="宋体" w:hAnsi="Times New Roman" w:cs="Times New Roman" w:hint="eastAsia"/>
          <w:bCs/>
          <w:sz w:val="24"/>
          <w:szCs w:val="24"/>
        </w:rPr>
        <w:t>能够基于分析化学相关理论，</w:t>
      </w:r>
      <w:r w:rsidRPr="00093144">
        <w:rPr>
          <w:rFonts w:ascii="Times New Roman" w:eastAsia="宋体" w:hAnsi="Times New Roman" w:cs="Times New Roman"/>
          <w:bCs/>
          <w:sz w:val="24"/>
          <w:szCs w:val="24"/>
        </w:rPr>
        <w:t>掌握</w:t>
      </w:r>
      <w:r w:rsidRPr="00093144">
        <w:rPr>
          <w:rFonts w:ascii="Times New Roman" w:eastAsia="宋体" w:hAnsi="Times New Roman" w:cs="Times New Roman" w:hint="eastAsia"/>
          <w:bCs/>
          <w:sz w:val="24"/>
          <w:szCs w:val="24"/>
        </w:rPr>
        <w:t>数据分析</w:t>
      </w:r>
      <w:r w:rsidRPr="00093144">
        <w:rPr>
          <w:rFonts w:ascii="Times New Roman" w:eastAsia="宋体" w:hAnsi="Times New Roman" w:cs="Times New Roman"/>
          <w:bCs/>
          <w:sz w:val="24"/>
          <w:szCs w:val="24"/>
        </w:rPr>
        <w:t>的基本原理和方法</w:t>
      </w:r>
      <w:r w:rsidRPr="00093144">
        <w:rPr>
          <w:rFonts w:ascii="Times New Roman" w:eastAsia="宋体" w:hAnsi="Times New Roman" w:cs="Times New Roman" w:hint="eastAsia"/>
          <w:bCs/>
          <w:sz w:val="24"/>
          <w:szCs w:val="24"/>
        </w:rPr>
        <w:t>，并能对药物分析学的实际问题，采用科学方法</w:t>
      </w:r>
      <w:r w:rsidRPr="00093144">
        <w:rPr>
          <w:rFonts w:ascii="Times New Roman" w:eastAsia="宋体" w:hAnsi="Times New Roman" w:cs="Times New Roman"/>
          <w:bCs/>
          <w:sz w:val="24"/>
          <w:szCs w:val="24"/>
        </w:rPr>
        <w:t>获得实验数据</w:t>
      </w:r>
      <w:r w:rsidRPr="00093144">
        <w:rPr>
          <w:rFonts w:ascii="Times New Roman" w:eastAsia="宋体" w:hAnsi="Times New Roman" w:cs="Times New Roman" w:hint="eastAsia"/>
          <w:bCs/>
          <w:sz w:val="24"/>
          <w:szCs w:val="24"/>
        </w:rPr>
        <w:t>并进行</w:t>
      </w:r>
      <w:r w:rsidRPr="00093144">
        <w:rPr>
          <w:rFonts w:ascii="Times New Roman" w:eastAsia="宋体" w:hAnsi="Times New Roman" w:cs="Times New Roman"/>
          <w:bCs/>
          <w:sz w:val="24"/>
          <w:szCs w:val="24"/>
        </w:rPr>
        <w:t>分析和</w:t>
      </w:r>
      <w:r w:rsidRPr="00093144">
        <w:rPr>
          <w:rFonts w:ascii="Times New Roman" w:eastAsia="宋体" w:hAnsi="Times New Roman" w:cs="Times New Roman" w:hint="eastAsia"/>
          <w:bCs/>
          <w:sz w:val="24"/>
          <w:szCs w:val="24"/>
        </w:rPr>
        <w:t>研究。</w:t>
      </w:r>
      <w:r w:rsidRPr="00093144">
        <w:rPr>
          <w:rFonts w:ascii="Times New Roman" w:eastAsia="宋体" w:hAnsi="Times New Roman" w:cs="Times New Roman" w:hint="eastAsia"/>
          <w:b/>
          <w:sz w:val="24"/>
          <w:szCs w:val="24"/>
        </w:rPr>
        <w:t>【毕业要求</w:t>
      </w:r>
      <w:r w:rsidRPr="00093144">
        <w:rPr>
          <w:rFonts w:ascii="Times New Roman" w:eastAsia="宋体" w:hAnsi="Times New Roman" w:cs="Times New Roman"/>
          <w:b/>
          <w:sz w:val="24"/>
          <w:szCs w:val="24"/>
        </w:rPr>
        <w:t xml:space="preserve">4 </w:t>
      </w:r>
      <w:r w:rsidRPr="00093144">
        <w:rPr>
          <w:rFonts w:ascii="Times New Roman" w:eastAsia="宋体" w:hAnsi="Times New Roman" w:cs="Times New Roman" w:hint="eastAsia"/>
          <w:b/>
          <w:sz w:val="24"/>
          <w:szCs w:val="24"/>
        </w:rPr>
        <w:t>科学研究】</w:t>
      </w:r>
    </w:p>
    <w:p w14:paraId="61603B39" w14:textId="77777777" w:rsidR="0085474C" w:rsidRPr="0085474C" w:rsidRDefault="0085474C" w:rsidP="00DB6C82">
      <w:pPr>
        <w:pStyle w:val="afc"/>
      </w:pPr>
      <w:r w:rsidRPr="0085474C">
        <w:t>（二）课程学习目标与毕业要求指标点的对应关系</w:t>
      </w:r>
    </w:p>
    <w:tbl>
      <w:tblPr>
        <w:tblW w:w="450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70"/>
        <w:gridCol w:w="4975"/>
        <w:gridCol w:w="1467"/>
      </w:tblGrid>
      <w:tr w:rsidR="0085474C" w:rsidRPr="0085474C" w14:paraId="269C55AB" w14:textId="77777777" w:rsidTr="00367215">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43CCDC8A"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hint="eastAsia"/>
                <w:b/>
                <w:sz w:val="24"/>
                <w:szCs w:val="24"/>
              </w:rPr>
              <w:lastRenderedPageBreak/>
              <w:t>毕业要求</w:t>
            </w:r>
          </w:p>
        </w:tc>
        <w:tc>
          <w:tcPr>
            <w:tcW w:w="3144" w:type="pct"/>
            <w:tcBorders>
              <w:top w:val="single" w:sz="4" w:space="0" w:color="auto"/>
              <w:left w:val="single" w:sz="4" w:space="0" w:color="auto"/>
              <w:bottom w:val="single" w:sz="4" w:space="0" w:color="auto"/>
              <w:right w:val="single" w:sz="4" w:space="0" w:color="auto"/>
            </w:tcBorders>
            <w:vAlign w:val="center"/>
          </w:tcPr>
          <w:p w14:paraId="25356404"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hint="eastAsia"/>
                <w:b/>
                <w:sz w:val="24"/>
                <w:szCs w:val="24"/>
              </w:rPr>
              <w:t>毕业要求指标点</w:t>
            </w:r>
          </w:p>
        </w:tc>
        <w:tc>
          <w:tcPr>
            <w:tcW w:w="927" w:type="pct"/>
            <w:tcBorders>
              <w:top w:val="single" w:sz="4" w:space="0" w:color="auto"/>
              <w:left w:val="single" w:sz="4" w:space="0" w:color="auto"/>
              <w:bottom w:val="single" w:sz="4" w:space="0" w:color="auto"/>
              <w:right w:val="single" w:sz="4" w:space="0" w:color="auto"/>
            </w:tcBorders>
            <w:vAlign w:val="center"/>
          </w:tcPr>
          <w:p w14:paraId="0C4AA4AE" w14:textId="77777777" w:rsidR="0085474C" w:rsidRPr="0085474C" w:rsidRDefault="0085474C" w:rsidP="0085474C">
            <w:pPr>
              <w:jc w:val="center"/>
              <w:rPr>
                <w:rFonts w:ascii="Times New Roman" w:eastAsia="宋体" w:hAnsi="Times New Roman" w:cs="Times New Roman"/>
                <w:b/>
                <w:sz w:val="24"/>
                <w:szCs w:val="24"/>
              </w:rPr>
            </w:pPr>
            <w:r w:rsidRPr="0085474C">
              <w:rPr>
                <w:rFonts w:ascii="Times New Roman" w:eastAsia="宋体" w:hAnsi="Times New Roman" w:cs="Times New Roman" w:hint="eastAsia"/>
                <w:b/>
                <w:sz w:val="24"/>
                <w:szCs w:val="24"/>
              </w:rPr>
              <w:t>课程目标</w:t>
            </w:r>
          </w:p>
        </w:tc>
      </w:tr>
      <w:tr w:rsidR="0085474C" w:rsidRPr="0085474C" w14:paraId="005ECAAB" w14:textId="77777777" w:rsidTr="00367215">
        <w:trPr>
          <w:trHeight w:val="815"/>
          <w:jc w:val="center"/>
        </w:trPr>
        <w:tc>
          <w:tcPr>
            <w:tcW w:w="929" w:type="pct"/>
            <w:tcBorders>
              <w:top w:val="single" w:sz="4" w:space="0" w:color="auto"/>
              <w:left w:val="single" w:sz="4" w:space="0" w:color="auto"/>
              <w:right w:val="single" w:sz="4" w:space="0" w:color="auto"/>
            </w:tcBorders>
            <w:vAlign w:val="center"/>
          </w:tcPr>
          <w:p w14:paraId="568F4C46"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1.</w:t>
            </w:r>
            <w:r w:rsidRPr="0085474C">
              <w:rPr>
                <w:rFonts w:ascii="宋体" w:eastAsia="等线" w:hAnsi="宋体" w:cs="宋体" w:hint="eastAsia"/>
                <w:b/>
              </w:rPr>
              <w:t xml:space="preserve"> </w:t>
            </w:r>
            <w:r w:rsidRPr="0085474C">
              <w:rPr>
                <w:rFonts w:ascii="Times New Roman" w:eastAsia="宋体" w:hAnsi="Times New Roman" w:cs="Times New Roman" w:hint="eastAsia"/>
                <w:sz w:val="24"/>
                <w:szCs w:val="24"/>
              </w:rPr>
              <w:t>药学知识</w:t>
            </w:r>
          </w:p>
        </w:tc>
        <w:tc>
          <w:tcPr>
            <w:tcW w:w="3144" w:type="pct"/>
            <w:tcBorders>
              <w:top w:val="single" w:sz="4" w:space="0" w:color="auto"/>
              <w:left w:val="single" w:sz="4" w:space="0" w:color="auto"/>
              <w:bottom w:val="single" w:sz="4" w:space="0" w:color="auto"/>
              <w:right w:val="single" w:sz="4" w:space="0" w:color="auto"/>
            </w:tcBorders>
            <w:vAlign w:val="center"/>
          </w:tcPr>
          <w:p w14:paraId="526DFA63"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hint="eastAsia"/>
                <w:sz w:val="24"/>
                <w:szCs w:val="24"/>
              </w:rPr>
              <w:t>.1</w:t>
            </w:r>
            <w:r w:rsidRPr="0085474C">
              <w:rPr>
                <w:rFonts w:ascii="Times New Roman" w:eastAsia="宋体" w:hAnsi="Times New Roman" w:cs="Times New Roman" w:hint="eastAsia"/>
                <w:sz w:val="24"/>
                <w:szCs w:val="24"/>
              </w:rPr>
              <w:t>掌握无机化学、有机化学、分析化学和物理化学等基础化学理论知识和实验技能。</w:t>
            </w:r>
            <w:r w:rsidRPr="0085474C">
              <w:rPr>
                <w:rFonts w:ascii="Times New Roman" w:eastAsia="宋体" w:hAnsi="Times New Roman" w:cs="Times New Roman"/>
                <w:sz w:val="24"/>
                <w:szCs w:val="24"/>
              </w:rPr>
              <w:t>(H)</w:t>
            </w:r>
          </w:p>
        </w:tc>
        <w:tc>
          <w:tcPr>
            <w:tcW w:w="927" w:type="pct"/>
            <w:tcBorders>
              <w:top w:val="single" w:sz="4" w:space="0" w:color="auto"/>
              <w:left w:val="single" w:sz="4" w:space="0" w:color="auto"/>
              <w:bottom w:val="single" w:sz="4" w:space="0" w:color="auto"/>
              <w:right w:val="single" w:sz="4" w:space="0" w:color="auto"/>
            </w:tcBorders>
            <w:vAlign w:val="center"/>
          </w:tcPr>
          <w:p w14:paraId="602B8373" w14:textId="77777777" w:rsidR="0085474C" w:rsidRPr="0085474C" w:rsidRDefault="0085474C" w:rsidP="0085474C">
            <w:pPr>
              <w:jc w:val="center"/>
              <w:rPr>
                <w:rFonts w:ascii="Times New Roman" w:eastAsia="宋体" w:hAnsi="Times New Roman" w:cs="Times New Roman"/>
                <w:szCs w:val="24"/>
              </w:rPr>
            </w:pPr>
            <w:r w:rsidRPr="0085474C">
              <w:rPr>
                <w:rFonts w:ascii="Times New Roman" w:eastAsia="宋体" w:hAnsi="Times New Roman" w:cs="Times New Roman" w:hint="eastAsia"/>
                <w:sz w:val="24"/>
                <w:szCs w:val="24"/>
              </w:rPr>
              <w:t>课程目标</w:t>
            </w:r>
            <w:r w:rsidRPr="0085474C">
              <w:rPr>
                <w:rFonts w:ascii="Times New Roman" w:eastAsia="宋体" w:hAnsi="Times New Roman" w:cs="Times New Roman" w:hint="eastAsia"/>
                <w:sz w:val="24"/>
                <w:szCs w:val="24"/>
              </w:rPr>
              <w:t>1</w:t>
            </w:r>
          </w:p>
        </w:tc>
      </w:tr>
      <w:tr w:rsidR="0085474C" w:rsidRPr="0085474C" w14:paraId="1BEC0FD4" w14:textId="77777777" w:rsidTr="00367215">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4F91A736" w14:textId="77777777" w:rsidR="0085474C" w:rsidRPr="0085474C" w:rsidRDefault="0085474C" w:rsidP="0085474C">
            <w:pPr>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宋体" w:eastAsia="等线" w:hAnsi="宋体" w:cs="宋体" w:hint="eastAsia"/>
                <w:b/>
              </w:rPr>
              <w:t xml:space="preserve"> </w:t>
            </w:r>
            <w:r w:rsidRPr="0085474C">
              <w:rPr>
                <w:rFonts w:ascii="Times New Roman" w:eastAsia="宋体" w:hAnsi="Times New Roman" w:cs="Times New Roman" w:hint="eastAsia"/>
                <w:sz w:val="24"/>
                <w:szCs w:val="24"/>
              </w:rPr>
              <w:t>问题分析</w:t>
            </w:r>
          </w:p>
        </w:tc>
        <w:tc>
          <w:tcPr>
            <w:tcW w:w="3144" w:type="pct"/>
            <w:tcBorders>
              <w:top w:val="single" w:sz="4" w:space="0" w:color="auto"/>
              <w:left w:val="single" w:sz="4" w:space="0" w:color="auto"/>
              <w:bottom w:val="single" w:sz="4" w:space="0" w:color="auto"/>
              <w:right w:val="single" w:sz="4" w:space="0" w:color="auto"/>
            </w:tcBorders>
            <w:vAlign w:val="center"/>
          </w:tcPr>
          <w:p w14:paraId="21C89917"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hint="eastAsia"/>
                <w:sz w:val="24"/>
                <w:szCs w:val="24"/>
              </w:rPr>
              <w:t>.1</w:t>
            </w:r>
            <w:r w:rsidRPr="0085474C">
              <w:rPr>
                <w:rFonts w:ascii="Times New Roman" w:eastAsia="宋体" w:hAnsi="Times New Roman" w:cs="Times New Roman"/>
                <w:sz w:val="24"/>
                <w:szCs w:val="24"/>
              </w:rPr>
              <w:t>能够</w:t>
            </w:r>
            <w:r w:rsidRPr="0085474C">
              <w:rPr>
                <w:rFonts w:ascii="Times New Roman" w:eastAsia="宋体" w:hAnsi="Times New Roman" w:cs="Times New Roman" w:hint="eastAsia"/>
                <w:sz w:val="24"/>
                <w:szCs w:val="24"/>
              </w:rPr>
              <w:t>运用</w:t>
            </w:r>
            <w:r w:rsidRPr="0085474C">
              <w:rPr>
                <w:rFonts w:ascii="Times New Roman" w:eastAsia="宋体" w:hAnsi="Times New Roman" w:cs="Times New Roman"/>
                <w:sz w:val="24"/>
                <w:szCs w:val="24"/>
              </w:rPr>
              <w:t>数学、化学、药学基本原理，识别、</w:t>
            </w:r>
            <w:r w:rsidRPr="0085474C">
              <w:rPr>
                <w:rFonts w:ascii="Times New Roman" w:eastAsia="宋体" w:hAnsi="Times New Roman" w:cs="Times New Roman" w:hint="eastAsia"/>
                <w:sz w:val="24"/>
                <w:szCs w:val="24"/>
              </w:rPr>
              <w:t>定义药物分析学的实践</w:t>
            </w:r>
            <w:r w:rsidRPr="0085474C">
              <w:rPr>
                <w:rFonts w:ascii="Times New Roman" w:eastAsia="宋体" w:hAnsi="Times New Roman" w:cs="Times New Roman"/>
                <w:sz w:val="24"/>
                <w:szCs w:val="24"/>
              </w:rPr>
              <w:t>问题</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(L)</w:t>
            </w:r>
          </w:p>
        </w:tc>
        <w:tc>
          <w:tcPr>
            <w:tcW w:w="927" w:type="pct"/>
            <w:tcBorders>
              <w:top w:val="single" w:sz="4" w:space="0" w:color="auto"/>
              <w:left w:val="single" w:sz="4" w:space="0" w:color="auto"/>
              <w:bottom w:val="single" w:sz="4" w:space="0" w:color="auto"/>
              <w:right w:val="single" w:sz="4" w:space="0" w:color="auto"/>
            </w:tcBorders>
            <w:vAlign w:val="center"/>
          </w:tcPr>
          <w:p w14:paraId="27A5BA62" w14:textId="77777777" w:rsidR="0085474C" w:rsidRPr="0085474C" w:rsidRDefault="0085474C" w:rsidP="0085474C">
            <w:pPr>
              <w:jc w:val="center"/>
              <w:rPr>
                <w:rFonts w:ascii="Times New Roman" w:eastAsia="宋体" w:hAnsi="Times New Roman" w:cs="Times New Roman"/>
                <w:szCs w:val="24"/>
              </w:rPr>
            </w:pPr>
            <w:r w:rsidRPr="0085474C">
              <w:rPr>
                <w:rFonts w:ascii="Times New Roman" w:eastAsia="宋体" w:hAnsi="Times New Roman" w:cs="Times New Roman" w:hint="eastAsia"/>
                <w:sz w:val="24"/>
                <w:szCs w:val="24"/>
              </w:rPr>
              <w:t>课程目标</w:t>
            </w:r>
            <w:r w:rsidRPr="0085474C">
              <w:rPr>
                <w:rFonts w:ascii="Times New Roman" w:eastAsia="宋体" w:hAnsi="Times New Roman" w:cs="Times New Roman"/>
                <w:sz w:val="24"/>
                <w:szCs w:val="24"/>
              </w:rPr>
              <w:t>2</w:t>
            </w:r>
          </w:p>
        </w:tc>
      </w:tr>
      <w:tr w:rsidR="0085474C" w:rsidRPr="0085474C" w14:paraId="265EC6D6" w14:textId="77777777" w:rsidTr="00367215">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4A2803C5" w14:textId="77777777" w:rsidR="0085474C" w:rsidRPr="0085474C" w:rsidRDefault="0085474C" w:rsidP="0085474C">
            <w:pPr>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4. </w:t>
            </w:r>
            <w:r w:rsidRPr="0085474C">
              <w:rPr>
                <w:rFonts w:ascii="Times New Roman" w:eastAsia="宋体" w:hAnsi="Times New Roman" w:cs="Times New Roman" w:hint="eastAsia"/>
                <w:sz w:val="24"/>
                <w:szCs w:val="24"/>
              </w:rPr>
              <w:t>科学</w:t>
            </w:r>
            <w:r w:rsidRPr="0085474C">
              <w:rPr>
                <w:rFonts w:ascii="Times New Roman" w:eastAsia="宋体" w:hAnsi="Times New Roman" w:cs="Times New Roman" w:hint="eastAsia"/>
                <w:bCs/>
                <w:sz w:val="24"/>
                <w:szCs w:val="24"/>
              </w:rPr>
              <w:t>研究</w:t>
            </w:r>
          </w:p>
        </w:tc>
        <w:tc>
          <w:tcPr>
            <w:tcW w:w="3144" w:type="pct"/>
            <w:tcBorders>
              <w:top w:val="single" w:sz="4" w:space="0" w:color="auto"/>
              <w:left w:val="single" w:sz="4" w:space="0" w:color="auto"/>
              <w:bottom w:val="single" w:sz="4" w:space="0" w:color="auto"/>
              <w:right w:val="single" w:sz="4" w:space="0" w:color="auto"/>
            </w:tcBorders>
            <w:vAlign w:val="center"/>
          </w:tcPr>
          <w:p w14:paraId="7C25688A"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4</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2</w:t>
            </w:r>
            <w:r w:rsidRPr="0085474C">
              <w:rPr>
                <w:rFonts w:ascii="宋体" w:eastAsia="宋体" w:hAnsi="宋体" w:cs="WHBUGK+ËÎÌå"/>
                <w:sz w:val="24"/>
                <w:szCs w:val="24"/>
              </w:rPr>
              <w:t>掌握</w:t>
            </w:r>
            <w:r w:rsidRPr="0085474C">
              <w:rPr>
                <w:rFonts w:ascii="宋体" w:eastAsia="宋体" w:hAnsi="宋体" w:cs="WHBUGK+ËÎÌå" w:hint="eastAsia"/>
                <w:sz w:val="24"/>
                <w:szCs w:val="24"/>
              </w:rPr>
              <w:t>数据分析</w:t>
            </w:r>
            <w:r w:rsidRPr="0085474C">
              <w:rPr>
                <w:rFonts w:ascii="宋体" w:eastAsia="宋体" w:hAnsi="宋体" w:cs="WHBUGK+ËÎÌå"/>
                <w:sz w:val="24"/>
                <w:szCs w:val="24"/>
              </w:rPr>
              <w:t>的基本原理和基本方法，</w:t>
            </w:r>
            <w:r w:rsidRPr="0085474C">
              <w:rPr>
                <w:rFonts w:ascii="宋体" w:eastAsia="宋体" w:hAnsi="宋体" w:cs="WHBUGK+ËÎÌå"/>
                <w:spacing w:val="-2"/>
                <w:sz w:val="24"/>
                <w:szCs w:val="24"/>
              </w:rPr>
              <w:t>选择相适应的手段获得和分析实验数据</w:t>
            </w:r>
            <w:r w:rsidRPr="0085474C">
              <w:rPr>
                <w:rFonts w:ascii="宋体" w:eastAsia="宋体" w:hAnsi="宋体" w:cs="WHBUGK+ËÎÌå" w:hint="eastAsia"/>
                <w:spacing w:val="-2"/>
                <w:sz w:val="24"/>
                <w:szCs w:val="24"/>
              </w:rPr>
              <w:t>。</w:t>
            </w:r>
            <w:r w:rsidRPr="0085474C">
              <w:rPr>
                <w:rFonts w:ascii="Times New Roman" w:eastAsia="宋体" w:hAnsi="Times New Roman" w:cs="Times New Roman"/>
                <w:sz w:val="24"/>
                <w:szCs w:val="24"/>
              </w:rPr>
              <w:t>(M)</w:t>
            </w:r>
          </w:p>
        </w:tc>
        <w:tc>
          <w:tcPr>
            <w:tcW w:w="927" w:type="pct"/>
            <w:tcBorders>
              <w:top w:val="single" w:sz="4" w:space="0" w:color="auto"/>
              <w:left w:val="single" w:sz="4" w:space="0" w:color="auto"/>
              <w:bottom w:val="single" w:sz="4" w:space="0" w:color="auto"/>
              <w:right w:val="single" w:sz="4" w:space="0" w:color="auto"/>
            </w:tcBorders>
            <w:vAlign w:val="center"/>
          </w:tcPr>
          <w:p w14:paraId="42287D61" w14:textId="77777777" w:rsidR="0085474C" w:rsidRPr="0085474C" w:rsidRDefault="0085474C" w:rsidP="0085474C">
            <w:pPr>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课程目标</w:t>
            </w:r>
            <w:r w:rsidRPr="0085474C">
              <w:rPr>
                <w:rFonts w:ascii="Times New Roman" w:eastAsia="宋体" w:hAnsi="Times New Roman" w:cs="Times New Roman"/>
                <w:sz w:val="24"/>
                <w:szCs w:val="24"/>
              </w:rPr>
              <w:t>3</w:t>
            </w:r>
          </w:p>
        </w:tc>
      </w:tr>
    </w:tbl>
    <w:p w14:paraId="1CFEB5FE" w14:textId="77777777" w:rsidR="0085474C" w:rsidRPr="0085474C" w:rsidRDefault="0085474C" w:rsidP="0085474C">
      <w:pPr>
        <w:widowControl/>
        <w:jc w:val="left"/>
        <w:rPr>
          <w:rFonts w:ascii="Times New Roman" w:eastAsia="宋体" w:hAnsi="Times New Roman" w:cs="Times New Roman"/>
          <w:szCs w:val="24"/>
          <w:lang w:val="en-GB"/>
        </w:rPr>
      </w:pPr>
    </w:p>
    <w:p w14:paraId="7298983A" w14:textId="77777777" w:rsidR="0085474C" w:rsidRPr="0085474C" w:rsidRDefault="0085474C" w:rsidP="00DB6C82">
      <w:pPr>
        <w:pStyle w:val="afc"/>
      </w:pPr>
      <w:r w:rsidRPr="0085474C">
        <w:t>三、课程学习内容及与课程学习目标的对应关系</w:t>
      </w:r>
    </w:p>
    <w:p w14:paraId="6314E9CC" w14:textId="77777777" w:rsidR="0085474C" w:rsidRPr="0085474C" w:rsidRDefault="0085474C" w:rsidP="00DB6C82">
      <w:pPr>
        <w:pStyle w:val="afc"/>
      </w:pPr>
      <w:r w:rsidRPr="0085474C">
        <w:t>（一）课程学习内容</w:t>
      </w:r>
    </w:p>
    <w:p w14:paraId="345A1359" w14:textId="77777777" w:rsidR="0085474C" w:rsidRPr="0085474C" w:rsidRDefault="0085474C" w:rsidP="0085474C">
      <w:pPr>
        <w:spacing w:beforeLines="50" w:before="156" w:afterLines="50" w:after="156" w:line="440" w:lineRule="exact"/>
        <w:jc w:val="center"/>
        <w:rPr>
          <w:rFonts w:ascii="Times New Roman" w:eastAsia="黑体" w:hAnsi="Times New Roman" w:cs="Times New Roman"/>
          <w:sz w:val="28"/>
          <w:szCs w:val="28"/>
        </w:rPr>
      </w:pPr>
      <w:r w:rsidRPr="0085474C">
        <w:rPr>
          <w:rFonts w:ascii="Times New Roman" w:eastAsia="宋体" w:hAnsi="Times New Roman" w:cs="Times New Roman"/>
          <w:b/>
          <w:sz w:val="28"/>
          <w:szCs w:val="28"/>
        </w:rPr>
        <w:t>第一章</w:t>
      </w:r>
      <w:r w:rsidRPr="0085474C">
        <w:rPr>
          <w:rFonts w:ascii="Times New Roman" w:eastAsia="宋体" w:hAnsi="Times New Roman" w:cs="Times New Roman"/>
          <w:b/>
          <w:sz w:val="28"/>
          <w:szCs w:val="28"/>
        </w:rPr>
        <w:t xml:space="preserve">  </w:t>
      </w:r>
      <w:proofErr w:type="gramStart"/>
      <w:r w:rsidRPr="0085474C">
        <w:rPr>
          <w:rFonts w:ascii="Times New Roman" w:eastAsia="宋体" w:hAnsi="Times New Roman" w:cs="Times New Roman"/>
          <w:b/>
          <w:sz w:val="28"/>
          <w:szCs w:val="28"/>
        </w:rPr>
        <w:t>绪</w:t>
      </w:r>
      <w:proofErr w:type="gramEnd"/>
      <w:r w:rsidRPr="0085474C">
        <w:rPr>
          <w:rFonts w:ascii="Times New Roman" w:eastAsia="宋体" w:hAnsi="Times New Roman" w:cs="Times New Roman"/>
          <w:b/>
          <w:sz w:val="28"/>
          <w:szCs w:val="28"/>
        </w:rPr>
        <w:t xml:space="preserve">  </w:t>
      </w:r>
      <w:r w:rsidRPr="0085474C">
        <w:rPr>
          <w:rFonts w:ascii="Times New Roman" w:eastAsia="宋体" w:hAnsi="Times New Roman" w:cs="Times New Roman"/>
          <w:b/>
          <w:sz w:val="28"/>
          <w:szCs w:val="28"/>
        </w:rPr>
        <w:t>论</w:t>
      </w:r>
    </w:p>
    <w:p w14:paraId="7EA507CF"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1C297F2C" w14:textId="77777777" w:rsidR="0085474C" w:rsidRPr="0085474C" w:rsidRDefault="0085474C" w:rsidP="00C232D7">
      <w:pPr>
        <w:spacing w:line="440" w:lineRule="exact"/>
        <w:ind w:firstLineChars="200" w:firstLine="480"/>
        <w:rPr>
          <w:rFonts w:ascii="Times New Roman" w:eastAsia="宋体" w:hAnsi="Times New Roman" w:cs="Times New Roman"/>
          <w:bCs/>
          <w:spacing w:val="5"/>
          <w:sz w:val="24"/>
          <w:szCs w:val="24"/>
        </w:rPr>
      </w:pPr>
      <w:r w:rsidRPr="0085474C">
        <w:rPr>
          <w:rFonts w:ascii="Times New Roman" w:eastAsia="宋体" w:hAnsi="Times New Roman" w:cs="Times New Roman"/>
          <w:bCs/>
          <w:sz w:val="24"/>
          <w:szCs w:val="24"/>
        </w:rPr>
        <w:t xml:space="preserve">1. </w:t>
      </w:r>
      <w:r w:rsidRPr="0085474C">
        <w:rPr>
          <w:rFonts w:ascii="Times New Roman" w:eastAsia="宋体" w:hAnsi="Times New Roman" w:cs="Times New Roman"/>
          <w:bCs/>
          <w:sz w:val="24"/>
          <w:szCs w:val="24"/>
        </w:rPr>
        <w:t>认知类目标：</w:t>
      </w:r>
      <w:r w:rsidRPr="0085474C">
        <w:rPr>
          <w:rFonts w:ascii="Times New Roman" w:eastAsia="宋体" w:hAnsi="Times New Roman" w:cs="Times New Roman"/>
          <w:sz w:val="24"/>
          <w:szCs w:val="24"/>
        </w:rPr>
        <w:t>了解分析化学的定义、任务与作用</w:t>
      </w:r>
      <w:r w:rsidRPr="0085474C">
        <w:rPr>
          <w:rFonts w:ascii="Times New Roman" w:eastAsia="宋体" w:hAnsi="Times New Roman" w:cs="Times New Roman"/>
          <w:bCs/>
          <w:sz w:val="24"/>
          <w:szCs w:val="24"/>
        </w:rPr>
        <w:t>；</w:t>
      </w:r>
      <w:r w:rsidRPr="0085474C">
        <w:rPr>
          <w:rFonts w:ascii="Times New Roman" w:eastAsia="宋体" w:hAnsi="Times New Roman" w:cs="Times New Roman"/>
          <w:sz w:val="24"/>
          <w:szCs w:val="24"/>
        </w:rPr>
        <w:t>了解分析化学发展简史与发展趋势</w:t>
      </w:r>
      <w:r w:rsidRPr="0085474C">
        <w:rPr>
          <w:rFonts w:ascii="Times New Roman" w:eastAsia="宋体" w:hAnsi="Times New Roman" w:cs="Times New Roman"/>
          <w:bCs/>
          <w:sz w:val="24"/>
          <w:szCs w:val="24"/>
        </w:rPr>
        <w:t>；</w:t>
      </w:r>
      <w:r w:rsidRPr="0085474C">
        <w:rPr>
          <w:rFonts w:ascii="Times New Roman" w:eastAsia="宋体" w:hAnsi="Times New Roman" w:cs="Times New Roman"/>
          <w:sz w:val="24"/>
          <w:szCs w:val="24"/>
        </w:rPr>
        <w:t>熟悉分析方法的分类与选择；</w:t>
      </w:r>
    </w:p>
    <w:p w14:paraId="7F006EE8" w14:textId="77777777" w:rsidR="0085474C" w:rsidRPr="0085474C" w:rsidRDefault="0085474C" w:rsidP="00C232D7">
      <w:pPr>
        <w:spacing w:line="440" w:lineRule="exact"/>
        <w:ind w:firstLineChars="200" w:firstLine="500"/>
        <w:rPr>
          <w:rFonts w:ascii="Times New Roman" w:eastAsia="宋体" w:hAnsi="Times New Roman" w:cs="Times New Roman"/>
          <w:bCs/>
          <w:spacing w:val="5"/>
          <w:sz w:val="24"/>
          <w:szCs w:val="24"/>
        </w:rPr>
      </w:pPr>
      <w:r w:rsidRPr="0085474C">
        <w:rPr>
          <w:rFonts w:ascii="Times New Roman" w:eastAsia="宋体" w:hAnsi="Times New Roman" w:cs="Times New Roman"/>
          <w:bCs/>
          <w:spacing w:val="5"/>
          <w:sz w:val="24"/>
          <w:szCs w:val="24"/>
        </w:rPr>
        <w:t xml:space="preserve">2. </w:t>
      </w:r>
      <w:r w:rsidRPr="0085474C">
        <w:rPr>
          <w:rFonts w:ascii="Times New Roman" w:eastAsia="宋体" w:hAnsi="Times New Roman" w:cs="Times New Roman"/>
          <w:bCs/>
          <w:spacing w:val="5"/>
          <w:sz w:val="24"/>
          <w:szCs w:val="24"/>
        </w:rPr>
        <w:t>过程与方法类目标：</w:t>
      </w:r>
      <w:r w:rsidRPr="0085474C">
        <w:rPr>
          <w:rFonts w:ascii="Times New Roman" w:eastAsia="宋体" w:hAnsi="Times New Roman" w:cs="Times New Roman"/>
          <w:sz w:val="24"/>
          <w:szCs w:val="24"/>
        </w:rPr>
        <w:t>掌握滴定分析的相关概念；掌握常用基准物质及标准溶液配制方法；会根据滴定反应确定计量关系并进行计算。</w:t>
      </w:r>
    </w:p>
    <w:p w14:paraId="4EABB5C3" w14:textId="77777777" w:rsidR="00C232D7" w:rsidRDefault="0085474C" w:rsidP="00C232D7">
      <w:pPr>
        <w:spacing w:line="440" w:lineRule="exact"/>
        <w:ind w:firstLineChars="200" w:firstLine="500"/>
        <w:rPr>
          <w:rFonts w:ascii="Times New Roman" w:eastAsia="宋体" w:hAnsi="Times New Roman" w:cs="Times New Roman"/>
          <w:sz w:val="24"/>
          <w:szCs w:val="24"/>
        </w:rPr>
      </w:pPr>
      <w:r w:rsidRPr="0085474C">
        <w:rPr>
          <w:rFonts w:ascii="Times New Roman" w:eastAsia="宋体" w:hAnsi="Times New Roman" w:cs="Times New Roman"/>
          <w:bCs/>
          <w:spacing w:val="5"/>
          <w:sz w:val="24"/>
          <w:szCs w:val="24"/>
        </w:rPr>
        <w:t xml:space="preserve">3. </w:t>
      </w:r>
      <w:r w:rsidRPr="0085474C">
        <w:rPr>
          <w:rFonts w:ascii="Times New Roman" w:eastAsia="宋体" w:hAnsi="Times New Roman" w:cs="Times New Roman"/>
          <w:bCs/>
          <w:spacing w:val="5"/>
          <w:sz w:val="24"/>
          <w:szCs w:val="24"/>
        </w:rPr>
        <w:t>情感、态度、价值观类目标：</w:t>
      </w:r>
      <w:r w:rsidRPr="0085474C">
        <w:rPr>
          <w:rFonts w:ascii="Times New Roman" w:eastAsia="宋体" w:hAnsi="Times New Roman" w:cs="Times New Roman" w:hint="eastAsia"/>
          <w:bCs/>
          <w:spacing w:val="5"/>
          <w:sz w:val="24"/>
          <w:szCs w:val="24"/>
        </w:rPr>
        <w:t>培养</w:t>
      </w:r>
      <w:r w:rsidRPr="0085474C">
        <w:rPr>
          <w:rFonts w:ascii="Times New Roman" w:eastAsia="宋体" w:hAnsi="Times New Roman" w:cs="Times New Roman" w:hint="eastAsia"/>
          <w:sz w:val="24"/>
          <w:szCs w:val="24"/>
        </w:rPr>
        <w:t>学生的担当意识和社会责任感，</w:t>
      </w:r>
      <w:r w:rsidRPr="0085474C">
        <w:rPr>
          <w:rFonts w:ascii="宋体" w:eastAsia="宋体" w:hAnsi="宋体" w:cs="宋体" w:hint="eastAsia"/>
          <w:color w:val="000000"/>
          <w:spacing w:val="8"/>
          <w:sz w:val="24"/>
          <w:szCs w:val="24"/>
        </w:rPr>
        <w:t>民族</w:t>
      </w:r>
      <w:r w:rsidRPr="0085474C">
        <w:rPr>
          <w:rFonts w:ascii="宋体" w:eastAsia="宋体" w:hAnsi="宋体" w:cs="宋体" w:hint="eastAsia"/>
          <w:color w:val="000000"/>
          <w:spacing w:val="8"/>
          <w:kern w:val="0"/>
          <w:sz w:val="24"/>
          <w:szCs w:val="24"/>
        </w:rPr>
        <w:t>自信心和自豪感。</w:t>
      </w:r>
    </w:p>
    <w:p w14:paraId="2C68E0DE" w14:textId="77777777" w:rsidR="0085474C" w:rsidRPr="00C232D7"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t>【学习内容】</w:t>
      </w:r>
    </w:p>
    <w:p w14:paraId="4E87751F"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1.1</w:t>
      </w:r>
      <w:r w:rsidRPr="0085474C">
        <w:rPr>
          <w:rFonts w:ascii="Times New Roman" w:eastAsia="宋体" w:hAnsi="Times New Roman" w:cs="Times New Roman"/>
          <w:sz w:val="24"/>
          <w:szCs w:val="24"/>
        </w:rPr>
        <w:t>分析化学的定义、任务和作用</w:t>
      </w:r>
    </w:p>
    <w:p w14:paraId="3DA50340"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1.2 </w:t>
      </w:r>
      <w:r w:rsidRPr="0085474C">
        <w:rPr>
          <w:rFonts w:ascii="Times New Roman" w:eastAsia="宋体" w:hAnsi="Times New Roman" w:cs="Times New Roman"/>
          <w:sz w:val="24"/>
          <w:szCs w:val="24"/>
        </w:rPr>
        <w:t>分析方法的分类与选择</w:t>
      </w:r>
    </w:p>
    <w:p w14:paraId="7E7A71AF"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1.3</w:t>
      </w:r>
      <w:r w:rsidRPr="0085474C">
        <w:rPr>
          <w:rFonts w:ascii="Times New Roman" w:eastAsia="宋体" w:hAnsi="Times New Roman" w:cs="Times New Roman"/>
          <w:sz w:val="24"/>
          <w:szCs w:val="24"/>
        </w:rPr>
        <w:t>分析化学发展简史与发展趋势</w:t>
      </w:r>
    </w:p>
    <w:p w14:paraId="3A6832B2"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1.4</w:t>
      </w:r>
      <w:r w:rsidRPr="0085474C">
        <w:rPr>
          <w:rFonts w:ascii="Times New Roman" w:eastAsia="宋体" w:hAnsi="Times New Roman" w:cs="Times New Roman"/>
          <w:sz w:val="24"/>
          <w:szCs w:val="24"/>
        </w:rPr>
        <w:t>分析过程及分析结果的表示方法</w:t>
      </w:r>
    </w:p>
    <w:p w14:paraId="4A6DB4B3"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1.5</w:t>
      </w:r>
      <w:r w:rsidRPr="0085474C">
        <w:rPr>
          <w:rFonts w:ascii="Times New Roman" w:eastAsia="宋体" w:hAnsi="Times New Roman" w:cs="Times New Roman"/>
          <w:sz w:val="24"/>
          <w:szCs w:val="24"/>
        </w:rPr>
        <w:t>滴定分析法概述</w:t>
      </w:r>
    </w:p>
    <w:p w14:paraId="6DBA0F4A"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1.6</w:t>
      </w:r>
      <w:r w:rsidRPr="0085474C">
        <w:rPr>
          <w:rFonts w:ascii="Times New Roman" w:eastAsia="宋体" w:hAnsi="Times New Roman" w:cs="Times New Roman"/>
          <w:sz w:val="24"/>
          <w:szCs w:val="24"/>
        </w:rPr>
        <w:t>基准物质和标准溶液</w:t>
      </w:r>
    </w:p>
    <w:p w14:paraId="15E9890A"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1.7 </w:t>
      </w:r>
      <w:r w:rsidRPr="0085474C">
        <w:rPr>
          <w:rFonts w:ascii="Times New Roman" w:eastAsia="宋体" w:hAnsi="Times New Roman" w:cs="Times New Roman"/>
          <w:sz w:val="24"/>
          <w:szCs w:val="24"/>
        </w:rPr>
        <w:t>滴定分析中的计算</w:t>
      </w:r>
    </w:p>
    <w:p w14:paraId="3B3B018D" w14:textId="77777777" w:rsidR="0085474C" w:rsidRPr="0085474C" w:rsidRDefault="0085474C" w:rsidP="00C232D7">
      <w:pPr>
        <w:spacing w:line="440" w:lineRule="exact"/>
        <w:ind w:firstLineChars="200" w:firstLine="482"/>
        <w:rPr>
          <w:rFonts w:ascii="Times New Roman" w:eastAsia="宋体" w:hAnsi="Times New Roman" w:cs="Times New Roman"/>
          <w:szCs w:val="24"/>
        </w:rPr>
      </w:pPr>
      <w:r w:rsidRPr="0085474C">
        <w:rPr>
          <w:rFonts w:ascii="Times New Roman" w:eastAsia="宋体" w:hAnsi="Times New Roman" w:cs="Times New Roman"/>
          <w:b/>
          <w:sz w:val="24"/>
          <w:szCs w:val="24"/>
        </w:rPr>
        <w:t>【重点】</w:t>
      </w:r>
      <w:r w:rsidRPr="0085474C">
        <w:rPr>
          <w:rFonts w:ascii="Times New Roman" w:eastAsia="宋体" w:hAnsi="Times New Roman" w:cs="Times New Roman"/>
          <w:sz w:val="24"/>
          <w:szCs w:val="24"/>
        </w:rPr>
        <w:t>分析化学的定义、任务，滴定分析有关的概念、基准物质的理解。</w:t>
      </w:r>
    </w:p>
    <w:p w14:paraId="61B74B8C" w14:textId="77777777" w:rsidR="0085474C" w:rsidRPr="0085474C" w:rsidRDefault="0085474C" w:rsidP="00C232D7">
      <w:pPr>
        <w:spacing w:line="440" w:lineRule="exact"/>
        <w:ind w:firstLineChars="200" w:firstLine="482"/>
        <w:rPr>
          <w:rFonts w:ascii="Times New Roman" w:eastAsia="宋体" w:hAnsi="Times New Roman" w:cs="Times New Roman"/>
          <w:szCs w:val="24"/>
        </w:rPr>
      </w:pPr>
      <w:r w:rsidRPr="0085474C">
        <w:rPr>
          <w:rFonts w:ascii="Times New Roman" w:eastAsia="宋体" w:hAnsi="Times New Roman" w:cs="Times New Roman"/>
          <w:b/>
          <w:sz w:val="24"/>
          <w:szCs w:val="24"/>
        </w:rPr>
        <w:t>【难点】</w:t>
      </w:r>
      <w:r w:rsidRPr="0085474C">
        <w:rPr>
          <w:rFonts w:ascii="Times New Roman" w:eastAsia="宋体" w:hAnsi="Times New Roman" w:cs="Times New Roman"/>
          <w:sz w:val="24"/>
          <w:szCs w:val="24"/>
        </w:rPr>
        <w:t>滴定分析的理解，基准物质的选择。</w:t>
      </w:r>
    </w:p>
    <w:p w14:paraId="4FDA2515" w14:textId="77777777" w:rsidR="0085474C" w:rsidRPr="0085474C" w:rsidRDefault="0085474C" w:rsidP="00C232D7">
      <w:pPr>
        <w:spacing w:line="440" w:lineRule="exact"/>
        <w:ind w:firstLineChars="200" w:firstLine="482"/>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t>【教学方法】</w:t>
      </w:r>
    </w:p>
    <w:p w14:paraId="7ECD6DB1"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lastRenderedPageBreak/>
        <w:t>（</w:t>
      </w:r>
      <w:r w:rsidRPr="0085474C">
        <w:rPr>
          <w:rFonts w:ascii="Times New Roman" w:eastAsia="宋体" w:hAnsi="Times New Roman" w:cs="Times New Roman" w:hint="eastAsia"/>
          <w:sz w:val="24"/>
          <w:szCs w:val="24"/>
        </w:rPr>
        <w:t>1</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29F6220D"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2</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采用课前学习课堂汇报的方法，通过安排学生提前预习，在课上派代表台上汇报，培养学生自主学习、独立思考的精神，强化学生对知识学习的应用意识，提升学生的教学技能。</w:t>
      </w:r>
    </w:p>
    <w:p w14:paraId="62852536"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【复习思考】</w:t>
      </w:r>
    </w:p>
    <w:p w14:paraId="28F17650"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）简述分析化学的定义、任务和作用</w:t>
      </w:r>
    </w:p>
    <w:p w14:paraId="5254B1E7"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）简述分析方法的主要分类</w:t>
      </w:r>
    </w:p>
    <w:p w14:paraId="1639D8C4" w14:textId="77777777" w:rsidR="0085474C" w:rsidRPr="0085474C" w:rsidRDefault="0085474C" w:rsidP="00C232D7">
      <w:pPr>
        <w:spacing w:line="440" w:lineRule="exact"/>
        <w:ind w:firstLineChars="200" w:firstLine="480"/>
        <w:rPr>
          <w:rFonts w:ascii="Times New Roman" w:eastAsia="宋体" w:hAnsi="Times New Roman" w:cs="Times New Roman"/>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）解释下列名词术语：滴定分析法、基准物质、标准溶液、化学计量点、滴定终点、终点误差、指示剂</w:t>
      </w:r>
    </w:p>
    <w:p w14:paraId="443D959E" w14:textId="77777777" w:rsidR="0085474C" w:rsidRPr="0085474C" w:rsidRDefault="0085474C" w:rsidP="0085474C">
      <w:pPr>
        <w:spacing w:beforeLines="50" w:before="156" w:afterLines="50" w:after="156" w:line="440" w:lineRule="exact"/>
        <w:jc w:val="center"/>
        <w:rPr>
          <w:rFonts w:ascii="Times New Roman" w:eastAsia="黑体" w:hAnsi="Times New Roman" w:cs="Times New Roman"/>
          <w:sz w:val="28"/>
          <w:szCs w:val="28"/>
        </w:rPr>
      </w:pPr>
      <w:r w:rsidRPr="0085474C">
        <w:rPr>
          <w:rFonts w:ascii="Times New Roman" w:eastAsia="宋体" w:hAnsi="Times New Roman" w:cs="Times New Roman"/>
          <w:b/>
          <w:sz w:val="28"/>
          <w:szCs w:val="28"/>
        </w:rPr>
        <w:t>第二章</w:t>
      </w:r>
      <w:r w:rsidRPr="0085474C">
        <w:rPr>
          <w:rFonts w:ascii="Times New Roman" w:eastAsia="宋体" w:hAnsi="Times New Roman" w:cs="Times New Roman"/>
          <w:b/>
          <w:sz w:val="28"/>
          <w:szCs w:val="28"/>
        </w:rPr>
        <w:t xml:space="preserve">  </w:t>
      </w:r>
      <w:r w:rsidRPr="0085474C">
        <w:rPr>
          <w:rFonts w:ascii="Times New Roman" w:eastAsia="宋体" w:hAnsi="Times New Roman" w:cs="Times New Roman"/>
          <w:b/>
          <w:sz w:val="28"/>
          <w:szCs w:val="28"/>
        </w:rPr>
        <w:t>分析试样的采集与处理</w:t>
      </w:r>
    </w:p>
    <w:p w14:paraId="09A1B401"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1B834988" w14:textId="77777777" w:rsidR="0085474C" w:rsidRPr="0085474C" w:rsidRDefault="0085474C" w:rsidP="00C232D7">
      <w:pPr>
        <w:spacing w:line="440" w:lineRule="exact"/>
        <w:ind w:firstLineChars="200" w:firstLine="480"/>
        <w:rPr>
          <w:rFonts w:ascii="Times New Roman" w:eastAsia="宋体" w:hAnsi="Times New Roman" w:cs="Times New Roman"/>
          <w:bCs/>
          <w:spacing w:val="5"/>
          <w:sz w:val="24"/>
          <w:szCs w:val="24"/>
        </w:rPr>
      </w:pPr>
      <w:r w:rsidRPr="0085474C">
        <w:rPr>
          <w:rFonts w:ascii="Times New Roman" w:eastAsia="宋体" w:hAnsi="Times New Roman" w:cs="Times New Roman"/>
          <w:bCs/>
          <w:sz w:val="24"/>
          <w:szCs w:val="24"/>
        </w:rPr>
        <w:t xml:space="preserve">1. </w:t>
      </w:r>
      <w:r w:rsidRPr="0085474C">
        <w:rPr>
          <w:rFonts w:ascii="Times New Roman" w:eastAsia="宋体" w:hAnsi="Times New Roman" w:cs="Times New Roman"/>
          <w:bCs/>
          <w:sz w:val="24"/>
          <w:szCs w:val="24"/>
        </w:rPr>
        <w:t>认知类目标：</w:t>
      </w:r>
      <w:r w:rsidRPr="0085474C">
        <w:rPr>
          <w:rFonts w:ascii="Times New Roman" w:eastAsia="宋体" w:hAnsi="Times New Roman" w:cs="Times New Roman"/>
          <w:sz w:val="24"/>
          <w:szCs w:val="24"/>
        </w:rPr>
        <w:t>了解分析测定前试样的预处理；</w:t>
      </w:r>
    </w:p>
    <w:p w14:paraId="16A89E9B" w14:textId="77777777" w:rsidR="0085474C" w:rsidRPr="0085474C" w:rsidRDefault="0085474C" w:rsidP="00C232D7">
      <w:pPr>
        <w:spacing w:line="440" w:lineRule="exact"/>
        <w:ind w:firstLineChars="200" w:firstLine="500"/>
        <w:rPr>
          <w:rFonts w:ascii="Times New Roman" w:eastAsia="宋体" w:hAnsi="Times New Roman" w:cs="Times New Roman"/>
          <w:bCs/>
          <w:spacing w:val="5"/>
          <w:sz w:val="24"/>
          <w:szCs w:val="24"/>
        </w:rPr>
      </w:pPr>
      <w:r w:rsidRPr="0085474C">
        <w:rPr>
          <w:rFonts w:ascii="Times New Roman" w:eastAsia="宋体" w:hAnsi="Times New Roman" w:cs="Times New Roman"/>
          <w:bCs/>
          <w:spacing w:val="5"/>
          <w:sz w:val="24"/>
          <w:szCs w:val="24"/>
        </w:rPr>
        <w:t xml:space="preserve">2. </w:t>
      </w:r>
      <w:r w:rsidRPr="0085474C">
        <w:rPr>
          <w:rFonts w:ascii="Times New Roman" w:eastAsia="宋体" w:hAnsi="Times New Roman" w:cs="Times New Roman"/>
          <w:bCs/>
          <w:spacing w:val="5"/>
          <w:sz w:val="24"/>
          <w:szCs w:val="24"/>
        </w:rPr>
        <w:t>过程与方法类目标：</w:t>
      </w:r>
      <w:r w:rsidRPr="0085474C">
        <w:rPr>
          <w:rFonts w:ascii="Times New Roman" w:eastAsia="宋体" w:hAnsi="Times New Roman" w:cs="Times New Roman"/>
          <w:sz w:val="24"/>
          <w:szCs w:val="24"/>
        </w:rPr>
        <w:t>熟悉分析化学中各种试样的采集、制备及分解方法；</w:t>
      </w:r>
    </w:p>
    <w:p w14:paraId="5DD95CA0" w14:textId="77777777" w:rsidR="0085474C" w:rsidRPr="0085474C" w:rsidRDefault="0085474C" w:rsidP="00C232D7">
      <w:pPr>
        <w:widowControl/>
        <w:shd w:val="clear" w:color="auto" w:fill="FFFFFF"/>
        <w:spacing w:line="440" w:lineRule="exact"/>
        <w:ind w:firstLineChars="200" w:firstLine="500"/>
        <w:rPr>
          <w:rFonts w:ascii="Times New Roman" w:eastAsia="宋体" w:hAnsi="Times New Roman" w:cs="Times New Roman"/>
          <w:b/>
          <w:sz w:val="24"/>
          <w:szCs w:val="24"/>
        </w:rPr>
      </w:pPr>
      <w:r w:rsidRPr="0085474C">
        <w:rPr>
          <w:rFonts w:ascii="Times New Roman" w:eastAsia="宋体" w:hAnsi="Times New Roman" w:cs="Times New Roman"/>
          <w:bCs/>
          <w:spacing w:val="5"/>
          <w:sz w:val="24"/>
          <w:szCs w:val="24"/>
        </w:rPr>
        <w:t xml:space="preserve">3. </w:t>
      </w:r>
      <w:r w:rsidRPr="0085474C">
        <w:rPr>
          <w:rFonts w:ascii="Times New Roman" w:eastAsia="宋体" w:hAnsi="Times New Roman" w:cs="Times New Roman"/>
          <w:bCs/>
          <w:spacing w:val="5"/>
          <w:sz w:val="24"/>
          <w:szCs w:val="24"/>
        </w:rPr>
        <w:t>情感、态度、价值观类目标：</w:t>
      </w:r>
      <w:r w:rsidRPr="0085474C">
        <w:rPr>
          <w:rFonts w:ascii="宋体" w:eastAsia="宋体" w:hAnsi="宋体" w:cs="宋体" w:hint="eastAsia"/>
          <w:color w:val="000000"/>
          <w:spacing w:val="8"/>
          <w:kern w:val="0"/>
          <w:sz w:val="24"/>
          <w:szCs w:val="24"/>
        </w:rPr>
        <w:t>培养学生专业认同及使命感，使学生对社会热点和专业知识认识更为深刻</w:t>
      </w:r>
      <w:r w:rsidRPr="0085474C">
        <w:rPr>
          <w:rFonts w:ascii="Times New Roman" w:eastAsia="宋体" w:hAnsi="Times New Roman" w:cs="Times New Roman"/>
          <w:sz w:val="24"/>
          <w:szCs w:val="24"/>
        </w:rPr>
        <w:t>。</w:t>
      </w:r>
    </w:p>
    <w:p w14:paraId="76C3486E"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3CBE89CA"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2.1</w:t>
      </w:r>
      <w:r w:rsidRPr="0085474C">
        <w:rPr>
          <w:rFonts w:ascii="Times New Roman" w:eastAsia="宋体" w:hAnsi="Times New Roman" w:cs="Times New Roman"/>
          <w:sz w:val="24"/>
          <w:szCs w:val="24"/>
        </w:rPr>
        <w:t>试样的采集</w:t>
      </w:r>
    </w:p>
    <w:p w14:paraId="74B8DE86"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2.2</w:t>
      </w:r>
      <w:r w:rsidRPr="0085474C">
        <w:rPr>
          <w:rFonts w:ascii="Times New Roman" w:eastAsia="宋体" w:hAnsi="Times New Roman" w:cs="Times New Roman"/>
          <w:sz w:val="24"/>
          <w:szCs w:val="24"/>
        </w:rPr>
        <w:t>试样的制备</w:t>
      </w:r>
    </w:p>
    <w:p w14:paraId="733DBA34"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2.3</w:t>
      </w:r>
      <w:r w:rsidRPr="0085474C">
        <w:rPr>
          <w:rFonts w:ascii="Times New Roman" w:eastAsia="宋体" w:hAnsi="Times New Roman" w:cs="Times New Roman"/>
          <w:sz w:val="24"/>
          <w:szCs w:val="24"/>
        </w:rPr>
        <w:t>试样的分解</w:t>
      </w:r>
    </w:p>
    <w:p w14:paraId="221D6317"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2.4</w:t>
      </w:r>
      <w:r w:rsidRPr="0085474C">
        <w:rPr>
          <w:rFonts w:ascii="Times New Roman" w:eastAsia="宋体" w:hAnsi="Times New Roman" w:cs="Times New Roman"/>
          <w:sz w:val="24"/>
          <w:szCs w:val="24"/>
        </w:rPr>
        <w:t>测定前的预处理</w:t>
      </w:r>
    </w:p>
    <w:p w14:paraId="5C6F291E" w14:textId="77777777" w:rsidR="0085474C" w:rsidRPr="0085474C" w:rsidRDefault="0085474C" w:rsidP="00C232D7">
      <w:pPr>
        <w:spacing w:line="440" w:lineRule="exact"/>
        <w:ind w:firstLineChars="200" w:firstLine="482"/>
        <w:rPr>
          <w:rFonts w:ascii="Times New Roman" w:eastAsia="宋体" w:hAnsi="Times New Roman" w:cs="Times New Roman"/>
          <w:szCs w:val="24"/>
        </w:rPr>
      </w:pPr>
      <w:r w:rsidRPr="0085474C">
        <w:rPr>
          <w:rFonts w:ascii="Times New Roman" w:eastAsia="宋体" w:hAnsi="Times New Roman" w:cs="Times New Roman"/>
          <w:b/>
          <w:sz w:val="24"/>
          <w:szCs w:val="24"/>
        </w:rPr>
        <w:t>【重点】</w:t>
      </w:r>
      <w:r w:rsidRPr="0085474C">
        <w:rPr>
          <w:rFonts w:ascii="Times New Roman" w:eastAsia="宋体" w:hAnsi="Times New Roman" w:cs="Times New Roman"/>
          <w:sz w:val="24"/>
          <w:szCs w:val="24"/>
        </w:rPr>
        <w:t>各种试样的采集、制备及分解方法。</w:t>
      </w:r>
    </w:p>
    <w:p w14:paraId="2F8953D8" w14:textId="77777777" w:rsidR="0085474C" w:rsidRPr="0085474C"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t>【难点】</w:t>
      </w:r>
      <w:r w:rsidRPr="0085474C">
        <w:rPr>
          <w:rFonts w:ascii="Times New Roman" w:eastAsia="宋体" w:hAnsi="Times New Roman" w:cs="Times New Roman"/>
          <w:sz w:val="24"/>
          <w:szCs w:val="24"/>
        </w:rPr>
        <w:t>各种试样的制备方法。</w:t>
      </w:r>
    </w:p>
    <w:p w14:paraId="4262472E" w14:textId="77777777" w:rsidR="0085474C" w:rsidRPr="0085474C"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bCs/>
          <w:sz w:val="24"/>
          <w:szCs w:val="24"/>
        </w:rPr>
        <w:t>【教学方法】</w:t>
      </w:r>
    </w:p>
    <w:p w14:paraId="4F519503"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1</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07CE841D"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2</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18AEEEDB"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【复习思考】</w:t>
      </w:r>
    </w:p>
    <w:p w14:paraId="0A0E0262"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）分解无机试样与有机试样的主要区别有哪些？</w:t>
      </w:r>
    </w:p>
    <w:p w14:paraId="567E0D44" w14:textId="77777777" w:rsidR="0085474C" w:rsidRPr="0085474C" w:rsidRDefault="0085474C" w:rsidP="00C232D7">
      <w:pPr>
        <w:spacing w:line="440" w:lineRule="exact"/>
        <w:ind w:firstLineChars="200" w:firstLine="480"/>
        <w:rPr>
          <w:rFonts w:ascii="Times New Roman" w:eastAsia="宋体" w:hAnsi="Times New Roman" w:cs="Times New Roman"/>
          <w:szCs w:val="24"/>
        </w:rPr>
      </w:pPr>
      <w:r w:rsidRPr="0085474C">
        <w:rPr>
          <w:rFonts w:ascii="Times New Roman" w:eastAsia="宋体" w:hAnsi="Times New Roman" w:cs="Times New Roman"/>
          <w:sz w:val="24"/>
          <w:szCs w:val="24"/>
        </w:rPr>
        <w:lastRenderedPageBreak/>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）镍币中含有少量铜、银，欲测定期中铜、银的含量，有人将镍币的表层</w:t>
      </w:r>
      <w:proofErr w:type="gramStart"/>
      <w:r w:rsidRPr="0085474C">
        <w:rPr>
          <w:rFonts w:ascii="Times New Roman" w:eastAsia="宋体" w:hAnsi="Times New Roman" w:cs="Times New Roman"/>
          <w:sz w:val="24"/>
          <w:szCs w:val="24"/>
        </w:rPr>
        <w:t>擦洁后</w:t>
      </w:r>
      <w:proofErr w:type="gramEnd"/>
      <w:r w:rsidRPr="0085474C">
        <w:rPr>
          <w:rFonts w:ascii="Times New Roman" w:eastAsia="宋体" w:hAnsi="Times New Roman" w:cs="Times New Roman"/>
          <w:sz w:val="24"/>
          <w:szCs w:val="24"/>
        </w:rPr>
        <w:t>，直接用稀硝酸溶解部分镍币制备试液。根据称量镍币在溶解前后的质量之差，确定试样的质量，然后用不同的方法测定试液中铜、银的含量。这样</w:t>
      </w:r>
      <w:proofErr w:type="gramStart"/>
      <w:r w:rsidRPr="0085474C">
        <w:rPr>
          <w:rFonts w:ascii="Times New Roman" w:eastAsia="宋体" w:hAnsi="Times New Roman" w:cs="Times New Roman"/>
          <w:sz w:val="24"/>
          <w:szCs w:val="24"/>
        </w:rPr>
        <w:t>做对</w:t>
      </w:r>
      <w:proofErr w:type="gramEnd"/>
      <w:r w:rsidRPr="0085474C">
        <w:rPr>
          <w:rFonts w:ascii="Times New Roman" w:eastAsia="宋体" w:hAnsi="Times New Roman" w:cs="Times New Roman"/>
          <w:sz w:val="24"/>
          <w:szCs w:val="24"/>
        </w:rPr>
        <w:t>不对，为什么？</w:t>
      </w:r>
    </w:p>
    <w:p w14:paraId="3CCFD53A" w14:textId="77777777" w:rsidR="0085474C" w:rsidRPr="0085474C" w:rsidRDefault="0085474C" w:rsidP="0085474C">
      <w:pPr>
        <w:spacing w:beforeLines="50" w:before="156" w:afterLines="50" w:after="156" w:line="440" w:lineRule="exact"/>
        <w:jc w:val="center"/>
        <w:rPr>
          <w:rFonts w:ascii="Times New Roman" w:eastAsia="黑体" w:hAnsi="Times New Roman" w:cs="Times New Roman"/>
          <w:sz w:val="28"/>
          <w:szCs w:val="28"/>
        </w:rPr>
      </w:pPr>
      <w:r w:rsidRPr="0085474C">
        <w:rPr>
          <w:rFonts w:ascii="Times New Roman" w:eastAsia="宋体" w:hAnsi="Times New Roman" w:cs="Times New Roman"/>
          <w:b/>
          <w:sz w:val="28"/>
          <w:szCs w:val="28"/>
        </w:rPr>
        <w:t>第三章</w:t>
      </w:r>
      <w:r w:rsidRPr="0085474C">
        <w:rPr>
          <w:rFonts w:ascii="Times New Roman" w:eastAsia="宋体" w:hAnsi="Times New Roman" w:cs="Times New Roman"/>
          <w:b/>
          <w:sz w:val="28"/>
          <w:szCs w:val="28"/>
        </w:rPr>
        <w:t xml:space="preserve">  </w:t>
      </w:r>
      <w:r w:rsidRPr="0085474C">
        <w:rPr>
          <w:rFonts w:ascii="Times New Roman" w:eastAsia="宋体" w:hAnsi="Times New Roman" w:cs="Times New Roman"/>
          <w:b/>
          <w:sz w:val="28"/>
          <w:szCs w:val="28"/>
        </w:rPr>
        <w:t>分析化学中的误差与数据处理</w:t>
      </w:r>
    </w:p>
    <w:p w14:paraId="0C33DEA7"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3CF15235" w14:textId="77777777" w:rsidR="0085474C" w:rsidRPr="0085474C" w:rsidRDefault="0085474C" w:rsidP="00C232D7">
      <w:pPr>
        <w:spacing w:line="440" w:lineRule="exact"/>
        <w:ind w:firstLineChars="200" w:firstLine="480"/>
        <w:rPr>
          <w:rFonts w:ascii="Times New Roman" w:eastAsia="宋体" w:hAnsi="Times New Roman" w:cs="Times New Roman"/>
          <w:bCs/>
          <w:spacing w:val="5"/>
          <w:sz w:val="24"/>
          <w:szCs w:val="24"/>
        </w:rPr>
      </w:pPr>
      <w:r w:rsidRPr="0085474C">
        <w:rPr>
          <w:rFonts w:ascii="Times New Roman" w:eastAsia="宋体" w:hAnsi="Times New Roman" w:cs="Times New Roman"/>
          <w:bCs/>
          <w:sz w:val="24"/>
          <w:szCs w:val="24"/>
        </w:rPr>
        <w:t xml:space="preserve">1. </w:t>
      </w:r>
      <w:r w:rsidRPr="0085474C">
        <w:rPr>
          <w:rFonts w:ascii="Times New Roman" w:eastAsia="宋体" w:hAnsi="Times New Roman" w:cs="Times New Roman"/>
          <w:bCs/>
          <w:sz w:val="24"/>
          <w:szCs w:val="24"/>
        </w:rPr>
        <w:t>认知类目标：</w:t>
      </w:r>
      <w:r w:rsidRPr="0085474C">
        <w:rPr>
          <w:rFonts w:ascii="Times New Roman" w:eastAsia="宋体" w:hAnsi="Times New Roman" w:cs="Times New Roman"/>
          <w:sz w:val="24"/>
          <w:szCs w:val="24"/>
        </w:rPr>
        <w:t>了解统计学的基本概念，熟悉</w:t>
      </w:r>
      <w:proofErr w:type="gramStart"/>
      <w:r w:rsidRPr="0085474C">
        <w:rPr>
          <w:rFonts w:ascii="Times New Roman" w:eastAsia="宋体" w:hAnsi="Times New Roman" w:cs="Times New Roman"/>
          <w:sz w:val="24"/>
          <w:szCs w:val="24"/>
        </w:rPr>
        <w:t>有限次</w:t>
      </w:r>
      <w:proofErr w:type="gramEnd"/>
      <w:r w:rsidRPr="0085474C">
        <w:rPr>
          <w:rFonts w:ascii="Times New Roman" w:eastAsia="宋体" w:hAnsi="Times New Roman" w:cs="Times New Roman"/>
          <w:sz w:val="24"/>
          <w:szCs w:val="24"/>
        </w:rPr>
        <w:t>实验数据的统计处理；理解提高分析结果准确度的方法</w:t>
      </w:r>
      <w:r w:rsidRPr="0085474C">
        <w:rPr>
          <w:rFonts w:ascii="Times New Roman" w:eastAsia="宋体" w:hAnsi="Times New Roman" w:cs="Times New Roman"/>
          <w:kern w:val="0"/>
          <w:sz w:val="24"/>
          <w:szCs w:val="24"/>
        </w:rPr>
        <w:t>。</w:t>
      </w:r>
    </w:p>
    <w:p w14:paraId="10EB952C" w14:textId="77777777" w:rsidR="0085474C" w:rsidRPr="0085474C" w:rsidRDefault="0085474C" w:rsidP="00C232D7">
      <w:pPr>
        <w:widowControl/>
        <w:spacing w:line="440" w:lineRule="exact"/>
        <w:ind w:firstLineChars="200" w:firstLine="500"/>
        <w:jc w:val="left"/>
        <w:rPr>
          <w:rFonts w:ascii="Times New Roman" w:eastAsia="宋体" w:hAnsi="Times New Roman" w:cs="Times New Roman"/>
          <w:bCs/>
          <w:spacing w:val="5"/>
          <w:sz w:val="24"/>
          <w:szCs w:val="24"/>
        </w:rPr>
      </w:pPr>
      <w:r w:rsidRPr="0085474C">
        <w:rPr>
          <w:rFonts w:ascii="Times New Roman" w:eastAsia="宋体" w:hAnsi="Times New Roman" w:cs="Times New Roman"/>
          <w:bCs/>
          <w:spacing w:val="5"/>
          <w:sz w:val="24"/>
          <w:szCs w:val="24"/>
        </w:rPr>
        <w:t xml:space="preserve">2. </w:t>
      </w:r>
      <w:r w:rsidRPr="0085474C">
        <w:rPr>
          <w:rFonts w:ascii="Times New Roman" w:eastAsia="宋体" w:hAnsi="Times New Roman" w:cs="Times New Roman"/>
          <w:bCs/>
          <w:spacing w:val="5"/>
          <w:sz w:val="24"/>
          <w:szCs w:val="24"/>
        </w:rPr>
        <w:t>过程与方法类目标：</w:t>
      </w:r>
      <w:r w:rsidRPr="0085474C">
        <w:rPr>
          <w:rFonts w:ascii="Times New Roman" w:eastAsia="宋体" w:hAnsi="Times New Roman" w:cs="Times New Roman"/>
          <w:sz w:val="24"/>
          <w:szCs w:val="24"/>
        </w:rPr>
        <w:t>掌握分析化学中误差、偏差、准确度与精密度的含义、关系及相关的计算</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掌握误差的分类；掌握</w:t>
      </w:r>
      <w:proofErr w:type="gramStart"/>
      <w:r w:rsidRPr="0085474C">
        <w:rPr>
          <w:rFonts w:ascii="Times New Roman" w:eastAsia="宋体" w:hAnsi="Times New Roman" w:cs="Times New Roman"/>
          <w:sz w:val="24"/>
          <w:szCs w:val="24"/>
        </w:rPr>
        <w:t>有效数字修约及</w:t>
      </w:r>
      <w:proofErr w:type="gramEnd"/>
      <w:r w:rsidRPr="0085474C">
        <w:rPr>
          <w:rFonts w:ascii="Times New Roman" w:eastAsia="宋体" w:hAnsi="Times New Roman" w:cs="Times New Roman"/>
          <w:sz w:val="24"/>
          <w:szCs w:val="24"/>
        </w:rPr>
        <w:t>运算规则</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掌握显著性检验及异常值取舍的方法；</w:t>
      </w:r>
    </w:p>
    <w:p w14:paraId="38C66B43" w14:textId="77777777" w:rsidR="0085474C" w:rsidRPr="0085474C" w:rsidRDefault="0085474C" w:rsidP="00C232D7">
      <w:pPr>
        <w:widowControl/>
        <w:shd w:val="clear" w:color="auto" w:fill="FFFFFF"/>
        <w:spacing w:line="440" w:lineRule="exact"/>
        <w:ind w:firstLineChars="200" w:firstLine="500"/>
        <w:rPr>
          <w:rFonts w:ascii="Times New Roman" w:eastAsia="宋体" w:hAnsi="Times New Roman" w:cs="Times New Roman"/>
          <w:b/>
          <w:sz w:val="24"/>
          <w:szCs w:val="24"/>
        </w:rPr>
      </w:pPr>
      <w:r w:rsidRPr="0085474C">
        <w:rPr>
          <w:rFonts w:ascii="Times New Roman" w:eastAsia="宋体" w:hAnsi="Times New Roman" w:cs="Times New Roman"/>
          <w:bCs/>
          <w:spacing w:val="5"/>
          <w:sz w:val="24"/>
          <w:szCs w:val="24"/>
        </w:rPr>
        <w:t xml:space="preserve">3. </w:t>
      </w:r>
      <w:r w:rsidRPr="0085474C">
        <w:rPr>
          <w:rFonts w:ascii="Times New Roman" w:eastAsia="宋体" w:hAnsi="Times New Roman" w:cs="Times New Roman"/>
          <w:bCs/>
          <w:spacing w:val="5"/>
          <w:sz w:val="24"/>
          <w:szCs w:val="24"/>
        </w:rPr>
        <w:t>情感、态度、价值观类目标：</w:t>
      </w:r>
      <w:r w:rsidRPr="0085474C">
        <w:rPr>
          <w:rFonts w:ascii="宋体" w:eastAsia="宋体" w:hAnsi="宋体" w:cs="Times New Roman" w:hint="eastAsia"/>
          <w:sz w:val="24"/>
          <w:szCs w:val="24"/>
        </w:rPr>
        <w:t>培养学生</w:t>
      </w:r>
      <w:r w:rsidRPr="0085474C">
        <w:rPr>
          <w:rFonts w:ascii="宋体" w:eastAsia="宋体" w:hAnsi="宋体" w:cs="Times New Roman"/>
          <w:sz w:val="24"/>
          <w:szCs w:val="24"/>
        </w:rPr>
        <w:t>社会责任感</w:t>
      </w:r>
      <w:r w:rsidRPr="0085474C">
        <w:rPr>
          <w:rFonts w:ascii="宋体" w:eastAsia="宋体" w:hAnsi="宋体" w:cs="Times New Roman" w:hint="eastAsia"/>
          <w:sz w:val="24"/>
          <w:szCs w:val="24"/>
        </w:rPr>
        <w:t>，</w:t>
      </w:r>
      <w:r w:rsidRPr="0085474C">
        <w:rPr>
          <w:rFonts w:ascii="宋体" w:eastAsia="宋体" w:hAnsi="宋体" w:cs="Times New Roman"/>
          <w:sz w:val="24"/>
          <w:szCs w:val="24"/>
        </w:rPr>
        <w:t>严谨踏实的态度和严谨求实的精神。看重规则也恪守规则，绝不投机取巧，感悟化学中的量的精确、精细</w:t>
      </w:r>
      <w:r w:rsidRPr="0085474C">
        <w:rPr>
          <w:rFonts w:ascii="Times New Roman" w:eastAsia="宋体" w:hAnsi="Times New Roman" w:cs="Times New Roman"/>
          <w:sz w:val="24"/>
          <w:szCs w:val="24"/>
        </w:rPr>
        <w:t>。</w:t>
      </w:r>
    </w:p>
    <w:p w14:paraId="2F0DBE9C"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3D563546"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3.1 </w:t>
      </w:r>
      <w:r w:rsidRPr="0085474C">
        <w:rPr>
          <w:rFonts w:ascii="Times New Roman" w:eastAsia="宋体" w:hAnsi="Times New Roman" w:cs="Times New Roman"/>
          <w:sz w:val="24"/>
          <w:szCs w:val="24"/>
        </w:rPr>
        <w:t>析化学中的误差</w:t>
      </w:r>
      <w:r w:rsidRPr="0085474C">
        <w:rPr>
          <w:rFonts w:ascii="Times New Roman" w:eastAsia="宋体" w:hAnsi="Times New Roman" w:cs="Times New Roman"/>
          <w:sz w:val="24"/>
          <w:szCs w:val="24"/>
        </w:rPr>
        <w:t xml:space="preserve"> </w:t>
      </w:r>
    </w:p>
    <w:p w14:paraId="2F4686A9"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3.2</w:t>
      </w:r>
      <w:r w:rsidRPr="0085474C">
        <w:rPr>
          <w:rFonts w:ascii="Times New Roman" w:eastAsia="宋体" w:hAnsi="Times New Roman" w:cs="Times New Roman"/>
          <w:sz w:val="24"/>
          <w:szCs w:val="24"/>
        </w:rPr>
        <w:t>有效数字及其运算规则</w:t>
      </w:r>
      <w:r w:rsidRPr="0085474C">
        <w:rPr>
          <w:rFonts w:ascii="Times New Roman" w:eastAsia="宋体" w:hAnsi="Times New Roman" w:cs="Times New Roman"/>
          <w:sz w:val="24"/>
          <w:szCs w:val="24"/>
        </w:rPr>
        <w:t xml:space="preserve"> </w:t>
      </w:r>
    </w:p>
    <w:p w14:paraId="3FA8DF21"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3.3 </w:t>
      </w:r>
      <w:r w:rsidRPr="0085474C">
        <w:rPr>
          <w:rFonts w:ascii="Times New Roman" w:eastAsia="宋体" w:hAnsi="Times New Roman" w:cs="Times New Roman"/>
          <w:sz w:val="24"/>
          <w:szCs w:val="24"/>
        </w:rPr>
        <w:t>析化学中的数据处理</w:t>
      </w:r>
    </w:p>
    <w:p w14:paraId="4C84D7BE"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3.4</w:t>
      </w:r>
      <w:r w:rsidRPr="0085474C">
        <w:rPr>
          <w:rFonts w:ascii="Times New Roman" w:eastAsia="宋体" w:hAnsi="Times New Roman" w:cs="Times New Roman"/>
          <w:sz w:val="24"/>
          <w:szCs w:val="24"/>
        </w:rPr>
        <w:t>显著性检验</w:t>
      </w:r>
    </w:p>
    <w:p w14:paraId="1F557D4D"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3.5</w:t>
      </w:r>
      <w:r w:rsidRPr="0085474C">
        <w:rPr>
          <w:rFonts w:ascii="Times New Roman" w:eastAsia="宋体" w:hAnsi="Times New Roman" w:cs="Times New Roman"/>
          <w:sz w:val="24"/>
          <w:szCs w:val="24"/>
        </w:rPr>
        <w:t>可疑值取舍</w:t>
      </w:r>
    </w:p>
    <w:p w14:paraId="2DB4AE51"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3.6</w:t>
      </w:r>
      <w:r w:rsidRPr="0085474C">
        <w:rPr>
          <w:rFonts w:ascii="Times New Roman" w:eastAsia="宋体" w:hAnsi="Times New Roman" w:cs="Times New Roman"/>
          <w:sz w:val="24"/>
          <w:szCs w:val="24"/>
        </w:rPr>
        <w:t>回归分析法</w:t>
      </w:r>
    </w:p>
    <w:p w14:paraId="07902DE0"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3.7</w:t>
      </w:r>
      <w:r w:rsidRPr="0085474C">
        <w:rPr>
          <w:rFonts w:ascii="Times New Roman" w:eastAsia="宋体" w:hAnsi="Times New Roman" w:cs="Times New Roman"/>
          <w:sz w:val="24"/>
          <w:szCs w:val="24"/>
        </w:rPr>
        <w:t>提高分析结果准确度的方法</w:t>
      </w:r>
    </w:p>
    <w:p w14:paraId="413C92B0" w14:textId="77777777" w:rsidR="0085474C" w:rsidRPr="0085474C" w:rsidRDefault="0085474C" w:rsidP="00C232D7">
      <w:pPr>
        <w:spacing w:line="440" w:lineRule="exact"/>
        <w:ind w:firstLineChars="200" w:firstLine="482"/>
        <w:rPr>
          <w:rFonts w:ascii="Times New Roman" w:eastAsia="宋体" w:hAnsi="Times New Roman" w:cs="Times New Roman"/>
          <w:szCs w:val="24"/>
        </w:rPr>
      </w:pPr>
      <w:r w:rsidRPr="0085474C">
        <w:rPr>
          <w:rFonts w:ascii="Times New Roman" w:eastAsia="宋体" w:hAnsi="Times New Roman" w:cs="Times New Roman"/>
          <w:b/>
          <w:sz w:val="24"/>
          <w:szCs w:val="24"/>
        </w:rPr>
        <w:t>【重点】</w:t>
      </w:r>
      <w:r w:rsidRPr="0085474C">
        <w:rPr>
          <w:rFonts w:ascii="Times New Roman" w:eastAsia="宋体" w:hAnsi="Times New Roman" w:cs="Times New Roman"/>
          <w:sz w:val="24"/>
          <w:szCs w:val="24"/>
        </w:rPr>
        <w:t>误差、偏差的概念及其与准确度、精密度的关系，误差、偏差的计算，有效数字的修约及运算，</w:t>
      </w:r>
      <w:proofErr w:type="gramStart"/>
      <w:r w:rsidRPr="0085474C">
        <w:rPr>
          <w:rFonts w:ascii="Times New Roman" w:eastAsia="宋体" w:hAnsi="Times New Roman" w:cs="Times New Roman"/>
          <w:sz w:val="24"/>
          <w:szCs w:val="24"/>
        </w:rPr>
        <w:t>有限次</w:t>
      </w:r>
      <w:proofErr w:type="gramEnd"/>
      <w:r w:rsidRPr="0085474C">
        <w:rPr>
          <w:rFonts w:ascii="Times New Roman" w:eastAsia="宋体" w:hAnsi="Times New Roman" w:cs="Times New Roman"/>
          <w:sz w:val="24"/>
          <w:szCs w:val="24"/>
        </w:rPr>
        <w:t>数据的统计处理，显著性检验，提高分析结果准确度的方法。</w:t>
      </w:r>
    </w:p>
    <w:p w14:paraId="4BD43923" w14:textId="77777777" w:rsidR="0085474C" w:rsidRPr="0085474C"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t>【难点】</w:t>
      </w:r>
      <w:r w:rsidRPr="0085474C">
        <w:rPr>
          <w:rFonts w:ascii="Times New Roman" w:eastAsia="宋体" w:hAnsi="Times New Roman" w:cs="Times New Roman"/>
          <w:sz w:val="24"/>
          <w:szCs w:val="24"/>
        </w:rPr>
        <w:t>误差、偏差的概念及其与准确度、精密度的关系；有效数字的运算，</w:t>
      </w:r>
      <w:proofErr w:type="gramStart"/>
      <w:r w:rsidRPr="0085474C">
        <w:rPr>
          <w:rFonts w:ascii="Times New Roman" w:eastAsia="宋体" w:hAnsi="Times New Roman" w:cs="Times New Roman"/>
          <w:sz w:val="24"/>
          <w:szCs w:val="24"/>
        </w:rPr>
        <w:t>有限次</w:t>
      </w:r>
      <w:proofErr w:type="gramEnd"/>
      <w:r w:rsidRPr="0085474C">
        <w:rPr>
          <w:rFonts w:ascii="Times New Roman" w:eastAsia="宋体" w:hAnsi="Times New Roman" w:cs="Times New Roman"/>
          <w:sz w:val="24"/>
          <w:szCs w:val="24"/>
        </w:rPr>
        <w:t>实验数据的统计处理。</w:t>
      </w:r>
    </w:p>
    <w:p w14:paraId="27A0CD55" w14:textId="77777777" w:rsidR="0085474C" w:rsidRPr="0085474C"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bCs/>
          <w:sz w:val="24"/>
          <w:szCs w:val="24"/>
        </w:rPr>
        <w:t>【教学方法】</w:t>
      </w:r>
    </w:p>
    <w:p w14:paraId="5EF1F2A5"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1</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02F689B3" w14:textId="77777777" w:rsidR="0085474C" w:rsidRPr="0085474C" w:rsidRDefault="0085474C" w:rsidP="00C232D7">
      <w:pPr>
        <w:spacing w:line="440" w:lineRule="exact"/>
        <w:ind w:firstLineChars="200" w:firstLine="480"/>
        <w:rPr>
          <w:rFonts w:ascii="Times New Roman" w:eastAsia="宋体" w:hAnsi="Times New Roman" w:cs="Times New Roman"/>
          <w:color w:val="FF0000"/>
          <w:sz w:val="24"/>
          <w:szCs w:val="24"/>
        </w:rPr>
      </w:pP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2</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采用类比式教学法，可以将有机化学知识点与日常事例相类比，也可将各类化合物的某些相关知识点进行类比，由熟悉到不熟悉，从而</w:t>
      </w:r>
      <w:r w:rsidRPr="0085474C">
        <w:rPr>
          <w:rFonts w:ascii="Times New Roman" w:eastAsia="宋体" w:hAnsi="Times New Roman" w:cs="Times New Roman"/>
          <w:color w:val="000000"/>
          <w:kern w:val="0"/>
          <w:sz w:val="24"/>
          <w:szCs w:val="24"/>
          <w:lang w:bidi="ar"/>
        </w:rPr>
        <w:t>使要讲授的内容变得通</w:t>
      </w:r>
      <w:r w:rsidRPr="0085474C">
        <w:rPr>
          <w:rFonts w:ascii="Times New Roman" w:eastAsia="宋体" w:hAnsi="Times New Roman" w:cs="Times New Roman"/>
          <w:color w:val="000000"/>
          <w:kern w:val="0"/>
          <w:sz w:val="24"/>
          <w:szCs w:val="24"/>
          <w:lang w:bidi="ar"/>
        </w:rPr>
        <w:lastRenderedPageBreak/>
        <w:t>俗易懂</w:t>
      </w:r>
      <w:r w:rsidRPr="0085474C">
        <w:rPr>
          <w:rFonts w:ascii="Times New Roman" w:eastAsia="宋体" w:hAnsi="Times New Roman" w:cs="Times New Roman" w:hint="eastAsia"/>
          <w:color w:val="000000"/>
          <w:kern w:val="0"/>
          <w:sz w:val="24"/>
          <w:szCs w:val="24"/>
          <w:lang w:bidi="ar"/>
        </w:rPr>
        <w:t>，</w:t>
      </w:r>
      <w:r w:rsidRPr="0085474C">
        <w:rPr>
          <w:rFonts w:ascii="Times New Roman" w:eastAsia="宋体" w:hAnsi="Times New Roman" w:cs="Times New Roman"/>
          <w:color w:val="000000"/>
          <w:kern w:val="0"/>
          <w:sz w:val="24"/>
          <w:szCs w:val="24"/>
          <w:lang w:bidi="ar"/>
        </w:rPr>
        <w:t>容易接受，</w:t>
      </w:r>
      <w:r w:rsidRPr="0085474C">
        <w:rPr>
          <w:rFonts w:ascii="Times New Roman" w:eastAsia="宋体" w:hAnsi="Times New Roman" w:cs="Times New Roman"/>
          <w:sz w:val="24"/>
          <w:szCs w:val="24"/>
        </w:rPr>
        <w:t>培养学生举一反三、触类旁通的学习能力。</w:t>
      </w:r>
      <w:r w:rsidRPr="0085474C">
        <w:rPr>
          <w:rFonts w:ascii="Times New Roman" w:eastAsia="宋体" w:hAnsi="Times New Roman" w:cs="Times New Roman"/>
          <w:color w:val="FF0000"/>
          <w:sz w:val="24"/>
          <w:szCs w:val="24"/>
        </w:rPr>
        <w:t xml:space="preserve"> </w:t>
      </w:r>
    </w:p>
    <w:p w14:paraId="470D3EC4"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【复习思考】</w:t>
      </w:r>
    </w:p>
    <w:p w14:paraId="622DBB85"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1</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准确度和精密度有何区别与联系？</w:t>
      </w:r>
    </w:p>
    <w:p w14:paraId="0F7FD7C1"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）某分析天平的称量误差为</w:t>
      </w:r>
      <w:r w:rsidRPr="0085474C">
        <w:rPr>
          <w:rFonts w:ascii="Times New Roman" w:eastAsia="宋体" w:hAnsi="Times New Roman" w:cs="Times New Roman"/>
          <w:sz w:val="24"/>
          <w:szCs w:val="24"/>
        </w:rPr>
        <w:t>±0.1mg</w:t>
      </w:r>
      <w:r w:rsidRPr="0085474C">
        <w:rPr>
          <w:rFonts w:ascii="Times New Roman" w:eastAsia="宋体" w:hAnsi="Times New Roman" w:cs="Times New Roman"/>
          <w:sz w:val="24"/>
          <w:szCs w:val="24"/>
        </w:rPr>
        <w:t>，如果称取试样</w:t>
      </w:r>
      <w:r w:rsidRPr="0085474C">
        <w:rPr>
          <w:rFonts w:ascii="Times New Roman" w:eastAsia="宋体" w:hAnsi="Times New Roman" w:cs="Times New Roman"/>
          <w:sz w:val="24"/>
          <w:szCs w:val="24"/>
        </w:rPr>
        <w:t>0.0600g</w:t>
      </w:r>
      <w:r w:rsidRPr="0085474C">
        <w:rPr>
          <w:rFonts w:ascii="Times New Roman" w:eastAsia="宋体" w:hAnsi="Times New Roman" w:cs="Times New Roman"/>
          <w:sz w:val="24"/>
          <w:szCs w:val="24"/>
        </w:rPr>
        <w:t>，相对误差为多少？如果称取试样为</w:t>
      </w:r>
      <w:r w:rsidRPr="0085474C">
        <w:rPr>
          <w:rFonts w:ascii="Times New Roman" w:eastAsia="宋体" w:hAnsi="Times New Roman" w:cs="Times New Roman"/>
          <w:sz w:val="24"/>
          <w:szCs w:val="24"/>
        </w:rPr>
        <w:t>1.0000g</w:t>
      </w:r>
      <w:r w:rsidRPr="0085474C">
        <w:rPr>
          <w:rFonts w:ascii="Times New Roman" w:eastAsia="宋体" w:hAnsi="Times New Roman" w:cs="Times New Roman"/>
          <w:sz w:val="24"/>
          <w:szCs w:val="24"/>
        </w:rPr>
        <w:t>，相对误差又是多少？这些结果说明什么问题？</w:t>
      </w:r>
    </w:p>
    <w:p w14:paraId="3684B2F2"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）根据有效数字运算规则，计算下列各式</w:t>
      </w:r>
    </w:p>
    <w:p w14:paraId="1BD1D1B9"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a. 19.496+1.537-0.0386+2.54</w:t>
      </w:r>
    </w:p>
    <w:p w14:paraId="5B675795"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b. 3.6×0.0323×20.59×2.12345</w:t>
      </w:r>
    </w:p>
    <w:p w14:paraId="2697E3DE"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c. pH=0.06</w:t>
      </w:r>
      <w:r w:rsidRPr="0085474C">
        <w:rPr>
          <w:rFonts w:ascii="Times New Roman" w:eastAsia="宋体" w:hAnsi="Times New Roman" w:cs="Times New Roman"/>
          <w:sz w:val="24"/>
          <w:szCs w:val="24"/>
        </w:rPr>
        <w:t>，求</w:t>
      </w:r>
      <w:r w:rsidRPr="0085474C">
        <w:rPr>
          <w:rFonts w:ascii="Times New Roman" w:eastAsia="宋体" w:hAnsi="Times New Roman" w:cs="Times New Roman"/>
          <w:sz w:val="24"/>
          <w:szCs w:val="24"/>
        </w:rPr>
        <w:t>H</w:t>
      </w:r>
      <w:r w:rsidRPr="0085474C">
        <w:rPr>
          <w:rFonts w:ascii="Times New Roman" w:eastAsia="宋体" w:hAnsi="Times New Roman" w:cs="Times New Roman"/>
          <w:sz w:val="24"/>
          <w:szCs w:val="24"/>
          <w:vertAlign w:val="superscript"/>
        </w:rPr>
        <w:t>+</w:t>
      </w:r>
      <w:r w:rsidRPr="0085474C">
        <w:rPr>
          <w:rFonts w:ascii="Times New Roman" w:eastAsia="宋体" w:hAnsi="Times New Roman" w:cs="Times New Roman"/>
          <w:sz w:val="24"/>
          <w:szCs w:val="24"/>
        </w:rPr>
        <w:t>的浓度</w:t>
      </w:r>
    </w:p>
    <w:p w14:paraId="2C0D9557"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4</w:t>
      </w:r>
      <w:r w:rsidRPr="0085474C">
        <w:rPr>
          <w:rFonts w:ascii="Times New Roman" w:eastAsia="宋体" w:hAnsi="Times New Roman" w:cs="Times New Roman"/>
          <w:sz w:val="24"/>
          <w:szCs w:val="24"/>
        </w:rPr>
        <w:t>）测定某试样含氮量，</w:t>
      </w:r>
      <w:r w:rsidRPr="0085474C">
        <w:rPr>
          <w:rFonts w:ascii="Times New Roman" w:eastAsia="宋体" w:hAnsi="Times New Roman" w:cs="Times New Roman"/>
          <w:sz w:val="24"/>
          <w:szCs w:val="24"/>
        </w:rPr>
        <w:t>6</w:t>
      </w:r>
      <w:r w:rsidRPr="0085474C">
        <w:rPr>
          <w:rFonts w:ascii="Times New Roman" w:eastAsia="宋体" w:hAnsi="Times New Roman" w:cs="Times New Roman"/>
          <w:sz w:val="24"/>
          <w:szCs w:val="24"/>
        </w:rPr>
        <w:t>次平行测定结果为</w:t>
      </w:r>
      <w:r w:rsidRPr="0085474C">
        <w:rPr>
          <w:rFonts w:ascii="Times New Roman" w:eastAsia="宋体" w:hAnsi="Times New Roman" w:cs="Times New Roman"/>
          <w:sz w:val="24"/>
          <w:szCs w:val="24"/>
        </w:rPr>
        <w:t>20.48%</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20.55%</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20.58%</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20.60%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20.53%</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20.50%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a.</w:t>
      </w:r>
      <w:r w:rsidRPr="0085474C">
        <w:rPr>
          <w:rFonts w:ascii="Times New Roman" w:eastAsia="宋体" w:hAnsi="Times New Roman" w:cs="Times New Roman"/>
          <w:sz w:val="24"/>
          <w:szCs w:val="24"/>
        </w:rPr>
        <w:t>计算这些数据的平均值、中位数、全距、平均偏差、标准偏差和相对标准偏差；</w:t>
      </w:r>
      <w:r w:rsidRPr="0085474C">
        <w:rPr>
          <w:rFonts w:ascii="Times New Roman" w:eastAsia="宋体" w:hAnsi="Times New Roman" w:cs="Times New Roman"/>
          <w:sz w:val="24"/>
          <w:szCs w:val="24"/>
        </w:rPr>
        <w:t>b.</w:t>
      </w:r>
      <w:r w:rsidRPr="0085474C">
        <w:rPr>
          <w:rFonts w:ascii="Times New Roman" w:eastAsia="宋体" w:hAnsi="Times New Roman" w:cs="Times New Roman"/>
          <w:sz w:val="24"/>
          <w:szCs w:val="24"/>
        </w:rPr>
        <w:t>若此试样是标准试样，含氮量为</w:t>
      </w:r>
      <w:r w:rsidRPr="0085474C">
        <w:rPr>
          <w:rFonts w:ascii="Times New Roman" w:eastAsia="宋体" w:hAnsi="Times New Roman" w:cs="Times New Roman"/>
          <w:sz w:val="24"/>
          <w:szCs w:val="24"/>
        </w:rPr>
        <w:t>20.45%</w:t>
      </w:r>
      <w:r w:rsidRPr="0085474C">
        <w:rPr>
          <w:rFonts w:ascii="Times New Roman" w:eastAsia="宋体" w:hAnsi="Times New Roman" w:cs="Times New Roman"/>
          <w:sz w:val="24"/>
          <w:szCs w:val="24"/>
        </w:rPr>
        <w:t>，计算测定结果的绝对误差和相对误差。</w:t>
      </w:r>
    </w:p>
    <w:p w14:paraId="2026EE58"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5</w:t>
      </w:r>
      <w:r w:rsidRPr="0085474C">
        <w:rPr>
          <w:rFonts w:ascii="Times New Roman" w:eastAsia="宋体" w:hAnsi="Times New Roman" w:cs="Times New Roman"/>
          <w:sz w:val="24"/>
          <w:szCs w:val="24"/>
        </w:rPr>
        <w:t>）按正态分布，</w:t>
      </w:r>
      <w:r w:rsidRPr="0085474C">
        <w:rPr>
          <w:rFonts w:ascii="Times New Roman" w:eastAsia="宋体" w:hAnsi="Times New Roman" w:cs="Times New Roman"/>
          <w:sz w:val="24"/>
          <w:szCs w:val="24"/>
        </w:rPr>
        <w:t>x</w:t>
      </w:r>
      <w:r w:rsidRPr="0085474C">
        <w:rPr>
          <w:rFonts w:ascii="Times New Roman" w:eastAsia="宋体" w:hAnsi="Times New Roman" w:cs="Times New Roman"/>
          <w:sz w:val="24"/>
          <w:szCs w:val="24"/>
        </w:rPr>
        <w:t>落在区间（</w:t>
      </w:r>
      <w:r w:rsidRPr="0085474C">
        <w:rPr>
          <w:rFonts w:ascii="Times New Roman" w:eastAsia="宋体" w:hAnsi="Times New Roman" w:cs="Times New Roman"/>
          <w:sz w:val="24"/>
          <w:szCs w:val="24"/>
        </w:rPr>
        <w:t>μ-0.1σ</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μ+0.5σ</w:t>
      </w:r>
      <w:r w:rsidRPr="0085474C">
        <w:rPr>
          <w:rFonts w:ascii="Times New Roman" w:eastAsia="宋体" w:hAnsi="Times New Roman" w:cs="Times New Roman"/>
          <w:sz w:val="24"/>
          <w:szCs w:val="24"/>
        </w:rPr>
        <w:t>）的概率是多少？</w:t>
      </w:r>
    </w:p>
    <w:p w14:paraId="1092613E" w14:textId="77777777" w:rsidR="0085474C" w:rsidRPr="0085474C" w:rsidRDefault="0085474C" w:rsidP="00C232D7">
      <w:pPr>
        <w:spacing w:line="440" w:lineRule="exact"/>
        <w:ind w:firstLineChars="200" w:firstLine="420"/>
        <w:rPr>
          <w:rFonts w:ascii="Times New Roman" w:eastAsia="宋体" w:hAnsi="Times New Roman" w:cs="Times New Roman"/>
          <w:szCs w:val="24"/>
        </w:rPr>
      </w:pPr>
    </w:p>
    <w:p w14:paraId="5AA92EA2" w14:textId="77777777" w:rsidR="0085474C" w:rsidRPr="0085474C" w:rsidRDefault="0085474C" w:rsidP="00C232D7">
      <w:pPr>
        <w:spacing w:beforeLines="50" w:before="156" w:afterLines="50" w:after="156" w:line="440" w:lineRule="exact"/>
        <w:ind w:firstLineChars="200" w:firstLine="562"/>
        <w:jc w:val="center"/>
        <w:rPr>
          <w:rFonts w:ascii="Times New Roman" w:eastAsia="黑体" w:hAnsi="Times New Roman" w:cs="Times New Roman"/>
          <w:sz w:val="28"/>
          <w:szCs w:val="28"/>
        </w:rPr>
      </w:pPr>
      <w:r w:rsidRPr="0085474C">
        <w:rPr>
          <w:rFonts w:ascii="Times New Roman" w:eastAsia="宋体" w:hAnsi="Times New Roman" w:cs="Times New Roman"/>
          <w:b/>
          <w:sz w:val="28"/>
          <w:szCs w:val="28"/>
        </w:rPr>
        <w:t>第</w:t>
      </w:r>
      <w:r w:rsidRPr="0085474C">
        <w:rPr>
          <w:rFonts w:ascii="Times New Roman" w:eastAsia="宋体" w:hAnsi="Times New Roman" w:cs="Times New Roman" w:hint="eastAsia"/>
          <w:b/>
          <w:sz w:val="28"/>
          <w:szCs w:val="28"/>
        </w:rPr>
        <w:t>四</w:t>
      </w:r>
      <w:r w:rsidRPr="0085474C">
        <w:rPr>
          <w:rFonts w:ascii="Times New Roman" w:eastAsia="宋体" w:hAnsi="Times New Roman" w:cs="Times New Roman"/>
          <w:b/>
          <w:sz w:val="28"/>
          <w:szCs w:val="28"/>
        </w:rPr>
        <w:t>章</w:t>
      </w:r>
      <w:r w:rsidRPr="0085474C">
        <w:rPr>
          <w:rFonts w:ascii="Times New Roman" w:eastAsia="宋体" w:hAnsi="Times New Roman" w:cs="Times New Roman"/>
          <w:b/>
          <w:sz w:val="28"/>
          <w:szCs w:val="28"/>
        </w:rPr>
        <w:t xml:space="preserve">  </w:t>
      </w:r>
      <w:r w:rsidRPr="0085474C">
        <w:rPr>
          <w:rFonts w:ascii="Times New Roman" w:eastAsia="宋体" w:hAnsi="Times New Roman" w:cs="Times New Roman"/>
          <w:b/>
          <w:sz w:val="28"/>
          <w:szCs w:val="28"/>
        </w:rPr>
        <w:t>酸碱滴定法</w:t>
      </w:r>
    </w:p>
    <w:p w14:paraId="276EF603"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66E09FEA" w14:textId="77777777" w:rsidR="0085474C" w:rsidRPr="0085474C" w:rsidRDefault="0085474C" w:rsidP="00C232D7">
      <w:pPr>
        <w:spacing w:line="440" w:lineRule="exact"/>
        <w:ind w:firstLineChars="200" w:firstLine="480"/>
        <w:rPr>
          <w:rFonts w:ascii="Times New Roman" w:eastAsia="宋体" w:hAnsi="Times New Roman" w:cs="Times New Roman"/>
          <w:bCs/>
          <w:spacing w:val="5"/>
          <w:sz w:val="24"/>
          <w:szCs w:val="24"/>
        </w:rPr>
      </w:pPr>
      <w:r w:rsidRPr="0085474C">
        <w:rPr>
          <w:rFonts w:ascii="Times New Roman" w:eastAsia="宋体" w:hAnsi="Times New Roman" w:cs="Times New Roman"/>
          <w:bCs/>
          <w:sz w:val="24"/>
          <w:szCs w:val="24"/>
        </w:rPr>
        <w:t xml:space="preserve">1. </w:t>
      </w:r>
      <w:r w:rsidRPr="0085474C">
        <w:rPr>
          <w:rFonts w:ascii="Times New Roman" w:eastAsia="宋体" w:hAnsi="Times New Roman" w:cs="Times New Roman"/>
          <w:bCs/>
          <w:sz w:val="24"/>
          <w:szCs w:val="24"/>
        </w:rPr>
        <w:t>认知类目标：</w:t>
      </w:r>
      <w:r w:rsidRPr="0085474C">
        <w:rPr>
          <w:rFonts w:ascii="Times New Roman" w:eastAsia="宋体" w:hAnsi="Times New Roman" w:cs="Times New Roman"/>
          <w:sz w:val="24"/>
          <w:szCs w:val="24"/>
        </w:rPr>
        <w:t>了解各类酸碱溶液中</w:t>
      </w:r>
      <w:r w:rsidRPr="0085474C">
        <w:rPr>
          <w:rFonts w:ascii="Times New Roman" w:eastAsia="宋体" w:hAnsi="Times New Roman" w:cs="Times New Roman"/>
          <w:sz w:val="24"/>
          <w:szCs w:val="24"/>
        </w:rPr>
        <w:t xml:space="preserve"> pH</w:t>
      </w:r>
      <w:r w:rsidRPr="0085474C">
        <w:rPr>
          <w:rFonts w:ascii="Times New Roman" w:eastAsia="宋体" w:hAnsi="Times New Roman" w:cs="Times New Roman"/>
          <w:sz w:val="24"/>
          <w:szCs w:val="24"/>
        </w:rPr>
        <w:t>计算的精确式推导过程</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理解酸碱质子理论；理解酸碱指示剂的作用原理与应用</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bCs/>
          <w:spacing w:val="5"/>
          <w:sz w:val="24"/>
          <w:szCs w:val="24"/>
        </w:rPr>
        <w:t xml:space="preserve"> </w:t>
      </w:r>
    </w:p>
    <w:p w14:paraId="5263B125" w14:textId="77777777" w:rsidR="0085474C" w:rsidRPr="0085474C" w:rsidRDefault="0085474C" w:rsidP="00C232D7">
      <w:pPr>
        <w:widowControl/>
        <w:spacing w:line="440" w:lineRule="exact"/>
        <w:ind w:firstLineChars="200" w:firstLine="500"/>
        <w:jc w:val="left"/>
        <w:rPr>
          <w:rFonts w:ascii="Times New Roman" w:eastAsia="宋体" w:hAnsi="Times New Roman" w:cs="Times New Roman"/>
          <w:bCs/>
          <w:spacing w:val="5"/>
          <w:sz w:val="24"/>
          <w:szCs w:val="24"/>
        </w:rPr>
      </w:pPr>
      <w:r w:rsidRPr="0085474C">
        <w:rPr>
          <w:rFonts w:ascii="Times New Roman" w:eastAsia="宋体" w:hAnsi="Times New Roman" w:cs="Times New Roman"/>
          <w:bCs/>
          <w:spacing w:val="5"/>
          <w:sz w:val="24"/>
          <w:szCs w:val="24"/>
        </w:rPr>
        <w:t xml:space="preserve">2. </w:t>
      </w:r>
      <w:r w:rsidRPr="0085474C">
        <w:rPr>
          <w:rFonts w:ascii="Times New Roman" w:eastAsia="宋体" w:hAnsi="Times New Roman" w:cs="Times New Roman"/>
          <w:bCs/>
          <w:spacing w:val="5"/>
          <w:sz w:val="24"/>
          <w:szCs w:val="24"/>
        </w:rPr>
        <w:t>过程与方法类目标：</w:t>
      </w:r>
      <w:r w:rsidRPr="0085474C">
        <w:rPr>
          <w:rFonts w:ascii="Times New Roman" w:eastAsia="宋体" w:hAnsi="Times New Roman" w:cs="Times New Roman"/>
          <w:sz w:val="24"/>
          <w:szCs w:val="24"/>
        </w:rPr>
        <w:t>掌握酸碱平衡体系中各组分的分布分数的计算</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熟悉酸碱缓冲溶液的作用原理、应用及常见缓冲溶液的配制方法；掌握物料平衡、电荷平衡，掌握质子条件式的书写；掌握</w:t>
      </w:r>
      <w:r w:rsidRPr="0085474C">
        <w:rPr>
          <w:rFonts w:ascii="Times New Roman" w:eastAsia="宋体" w:hAnsi="Times New Roman" w:cs="Times New Roman"/>
          <w:sz w:val="24"/>
          <w:szCs w:val="24"/>
        </w:rPr>
        <w:t>pH</w:t>
      </w:r>
      <w:r w:rsidRPr="0085474C">
        <w:rPr>
          <w:rFonts w:ascii="Times New Roman" w:eastAsia="宋体" w:hAnsi="Times New Roman" w:cs="Times New Roman"/>
          <w:sz w:val="24"/>
          <w:szCs w:val="24"/>
        </w:rPr>
        <w:t>计算的</w:t>
      </w:r>
      <w:proofErr w:type="gramStart"/>
      <w:r w:rsidRPr="0085474C">
        <w:rPr>
          <w:rFonts w:ascii="Times New Roman" w:eastAsia="宋体" w:hAnsi="Times New Roman" w:cs="Times New Roman"/>
          <w:sz w:val="24"/>
          <w:szCs w:val="24"/>
        </w:rPr>
        <w:t>最</w:t>
      </w:r>
      <w:proofErr w:type="gramEnd"/>
      <w:r w:rsidRPr="0085474C">
        <w:rPr>
          <w:rFonts w:ascii="Times New Roman" w:eastAsia="宋体" w:hAnsi="Times New Roman" w:cs="Times New Roman"/>
          <w:sz w:val="24"/>
          <w:szCs w:val="24"/>
        </w:rPr>
        <w:t>简式</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熟悉各种类型酸碱滴定原理及指示剂的选择；掌握指示剂的选择原则</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熟练掌握酸碱滴定法的应用与分析结果有关计算。</w:t>
      </w:r>
    </w:p>
    <w:p w14:paraId="558FA9D0" w14:textId="77777777" w:rsidR="0085474C" w:rsidRPr="0085474C" w:rsidRDefault="0085474C" w:rsidP="00C232D7">
      <w:pPr>
        <w:widowControl/>
        <w:shd w:val="clear" w:color="auto" w:fill="FFFFFF"/>
        <w:spacing w:line="440" w:lineRule="exact"/>
        <w:ind w:firstLineChars="200" w:firstLine="500"/>
        <w:rPr>
          <w:rFonts w:ascii="Times New Roman" w:eastAsia="宋体" w:hAnsi="Times New Roman" w:cs="Times New Roman"/>
          <w:b/>
          <w:sz w:val="24"/>
          <w:szCs w:val="24"/>
        </w:rPr>
      </w:pPr>
      <w:r w:rsidRPr="0085474C">
        <w:rPr>
          <w:rFonts w:ascii="Times New Roman" w:eastAsia="宋体" w:hAnsi="Times New Roman" w:cs="Times New Roman"/>
          <w:bCs/>
          <w:spacing w:val="5"/>
          <w:sz w:val="24"/>
          <w:szCs w:val="24"/>
        </w:rPr>
        <w:t xml:space="preserve">3. </w:t>
      </w:r>
      <w:r w:rsidRPr="0085474C">
        <w:rPr>
          <w:rFonts w:ascii="Times New Roman" w:eastAsia="宋体" w:hAnsi="Times New Roman" w:cs="Times New Roman"/>
          <w:bCs/>
          <w:spacing w:val="5"/>
          <w:sz w:val="24"/>
          <w:szCs w:val="24"/>
        </w:rPr>
        <w:t>情感、态度、价值观类目标：</w:t>
      </w:r>
      <w:r w:rsidRPr="0085474C">
        <w:rPr>
          <w:rFonts w:ascii="Times New Roman" w:eastAsia="宋体" w:hAnsi="Times New Roman" w:cs="Times New Roman" w:hint="eastAsia"/>
          <w:bCs/>
          <w:spacing w:val="5"/>
          <w:sz w:val="24"/>
          <w:szCs w:val="24"/>
        </w:rPr>
        <w:t>培养学生社会责任感，家国情怀、使命担当，</w:t>
      </w:r>
      <w:r w:rsidRPr="0085474C">
        <w:rPr>
          <w:rFonts w:ascii="Times New Roman" w:eastAsia="宋体" w:hAnsi="Times New Roman" w:cs="Times New Roman" w:hint="eastAsia"/>
          <w:sz w:val="24"/>
          <w:szCs w:val="24"/>
        </w:rPr>
        <w:t>勇于向“定论”提出质疑，</w:t>
      </w:r>
      <w:r w:rsidRPr="0085474C">
        <w:rPr>
          <w:rFonts w:ascii="Times New Roman" w:eastAsia="宋体" w:hAnsi="Times New Roman" w:cs="Times New Roman" w:hint="eastAsia"/>
          <w:color w:val="000000"/>
          <w:sz w:val="24"/>
          <w:szCs w:val="24"/>
        </w:rPr>
        <w:t>环保意识</w:t>
      </w:r>
      <w:r w:rsidRPr="0085474C">
        <w:rPr>
          <w:rFonts w:ascii="Times New Roman" w:eastAsia="宋体" w:hAnsi="Times New Roman" w:cs="Times New Roman" w:hint="eastAsia"/>
          <w:bCs/>
          <w:spacing w:val="5"/>
          <w:sz w:val="24"/>
          <w:szCs w:val="24"/>
        </w:rPr>
        <w:t>。</w:t>
      </w:r>
    </w:p>
    <w:p w14:paraId="03727472"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p>
    <w:p w14:paraId="58E9F1C2"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21EC9019"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4.1</w:t>
      </w:r>
      <w:r w:rsidRPr="0085474C">
        <w:rPr>
          <w:rFonts w:ascii="Times New Roman" w:eastAsia="宋体" w:hAnsi="Times New Roman" w:cs="Times New Roman"/>
          <w:sz w:val="24"/>
          <w:szCs w:val="24"/>
        </w:rPr>
        <w:t>溶液中的酸碱反应与平衡</w:t>
      </w:r>
    </w:p>
    <w:p w14:paraId="0B60C2C9"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4.2</w:t>
      </w:r>
      <w:r w:rsidRPr="0085474C">
        <w:rPr>
          <w:rFonts w:ascii="Times New Roman" w:eastAsia="宋体" w:hAnsi="Times New Roman" w:cs="Times New Roman"/>
          <w:sz w:val="24"/>
          <w:szCs w:val="24"/>
        </w:rPr>
        <w:t>酸碱组分的平衡浓度与分布分数</w:t>
      </w:r>
    </w:p>
    <w:p w14:paraId="1A1D593C"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4.3</w:t>
      </w:r>
      <w:r w:rsidRPr="0085474C">
        <w:rPr>
          <w:rFonts w:ascii="Times New Roman" w:eastAsia="宋体" w:hAnsi="Times New Roman" w:cs="Times New Roman"/>
          <w:sz w:val="24"/>
          <w:szCs w:val="24"/>
        </w:rPr>
        <w:t>溶液中</w:t>
      </w:r>
      <w:r w:rsidRPr="0085474C">
        <w:rPr>
          <w:rFonts w:ascii="Times New Roman" w:eastAsia="宋体" w:hAnsi="Times New Roman" w:cs="Times New Roman"/>
          <w:sz w:val="24"/>
          <w:szCs w:val="24"/>
        </w:rPr>
        <w:t>H</w:t>
      </w:r>
      <w:r w:rsidRPr="0085474C">
        <w:rPr>
          <w:rFonts w:ascii="Times New Roman" w:eastAsia="宋体" w:hAnsi="Times New Roman" w:cs="Times New Roman"/>
          <w:sz w:val="24"/>
          <w:szCs w:val="24"/>
          <w:vertAlign w:val="superscript"/>
        </w:rPr>
        <w:t>+</w:t>
      </w:r>
      <w:r w:rsidRPr="0085474C">
        <w:rPr>
          <w:rFonts w:ascii="Times New Roman" w:eastAsia="宋体" w:hAnsi="Times New Roman" w:cs="Times New Roman"/>
          <w:sz w:val="24"/>
          <w:szCs w:val="24"/>
        </w:rPr>
        <w:t>浓度的计算</w:t>
      </w:r>
    </w:p>
    <w:p w14:paraId="72F51FD2"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 xml:space="preserve">4.4 </w:t>
      </w:r>
      <w:r w:rsidRPr="0085474C">
        <w:rPr>
          <w:rFonts w:ascii="Times New Roman" w:eastAsia="宋体" w:hAnsi="Times New Roman" w:cs="Times New Roman"/>
          <w:sz w:val="24"/>
          <w:szCs w:val="24"/>
        </w:rPr>
        <w:t>对数图解法</w:t>
      </w:r>
    </w:p>
    <w:p w14:paraId="40D2B100"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4.5</w:t>
      </w:r>
      <w:r w:rsidRPr="0085474C">
        <w:rPr>
          <w:rFonts w:ascii="Times New Roman" w:eastAsia="宋体" w:hAnsi="Times New Roman" w:cs="Times New Roman"/>
          <w:sz w:val="24"/>
          <w:szCs w:val="24"/>
        </w:rPr>
        <w:t>酸碱缓冲溶液</w:t>
      </w:r>
      <w:r w:rsidRPr="0085474C">
        <w:rPr>
          <w:rFonts w:ascii="Times New Roman" w:eastAsia="宋体" w:hAnsi="Times New Roman" w:cs="Times New Roman"/>
          <w:sz w:val="24"/>
          <w:szCs w:val="24"/>
        </w:rPr>
        <w:t xml:space="preserve"> </w:t>
      </w:r>
    </w:p>
    <w:p w14:paraId="6DDD34A0"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4.6</w:t>
      </w:r>
      <w:r w:rsidRPr="0085474C">
        <w:rPr>
          <w:rFonts w:ascii="Times New Roman" w:eastAsia="宋体" w:hAnsi="Times New Roman" w:cs="Times New Roman"/>
          <w:sz w:val="24"/>
          <w:szCs w:val="24"/>
        </w:rPr>
        <w:t>酸碱指示剂</w:t>
      </w:r>
      <w:r w:rsidRPr="0085474C">
        <w:rPr>
          <w:rFonts w:ascii="Times New Roman" w:eastAsia="宋体" w:hAnsi="Times New Roman" w:cs="Times New Roman"/>
          <w:sz w:val="24"/>
          <w:szCs w:val="24"/>
        </w:rPr>
        <w:t xml:space="preserve"> </w:t>
      </w:r>
    </w:p>
    <w:p w14:paraId="5A38BFFB"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4.7</w:t>
      </w:r>
      <w:r w:rsidRPr="0085474C">
        <w:rPr>
          <w:rFonts w:ascii="Times New Roman" w:eastAsia="宋体" w:hAnsi="Times New Roman" w:cs="Times New Roman"/>
          <w:sz w:val="24"/>
          <w:szCs w:val="24"/>
        </w:rPr>
        <w:t>酸碱滴定原理</w:t>
      </w:r>
    </w:p>
    <w:p w14:paraId="4E29E2B7"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4.8</w:t>
      </w:r>
      <w:r w:rsidRPr="0085474C">
        <w:rPr>
          <w:rFonts w:ascii="Times New Roman" w:eastAsia="宋体" w:hAnsi="Times New Roman" w:cs="Times New Roman"/>
          <w:sz w:val="24"/>
          <w:szCs w:val="24"/>
        </w:rPr>
        <w:t>终点误差</w:t>
      </w:r>
    </w:p>
    <w:p w14:paraId="37EB5ADA"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4.9</w:t>
      </w:r>
      <w:r w:rsidRPr="0085474C">
        <w:rPr>
          <w:rFonts w:ascii="Times New Roman" w:eastAsia="宋体" w:hAnsi="Times New Roman" w:cs="Times New Roman"/>
          <w:sz w:val="24"/>
          <w:szCs w:val="24"/>
        </w:rPr>
        <w:t>酸碱滴定法的应用</w:t>
      </w:r>
    </w:p>
    <w:p w14:paraId="5B0924E6" w14:textId="77777777" w:rsidR="0085474C" w:rsidRPr="0085474C" w:rsidRDefault="0085474C" w:rsidP="00C232D7">
      <w:pPr>
        <w:spacing w:line="440" w:lineRule="exact"/>
        <w:ind w:firstLineChars="200" w:firstLine="482"/>
        <w:rPr>
          <w:rFonts w:ascii="Times New Roman" w:eastAsia="宋体" w:hAnsi="Times New Roman" w:cs="Times New Roman"/>
          <w:szCs w:val="24"/>
        </w:rPr>
      </w:pPr>
      <w:r w:rsidRPr="0085474C">
        <w:rPr>
          <w:rFonts w:ascii="Times New Roman" w:eastAsia="宋体" w:hAnsi="Times New Roman" w:cs="Times New Roman"/>
          <w:b/>
          <w:sz w:val="24"/>
          <w:szCs w:val="24"/>
        </w:rPr>
        <w:t>【重点】</w:t>
      </w:r>
      <w:r w:rsidRPr="0085474C">
        <w:rPr>
          <w:rFonts w:ascii="Times New Roman" w:eastAsia="宋体" w:hAnsi="Times New Roman" w:cs="Times New Roman"/>
          <w:sz w:val="24"/>
          <w:szCs w:val="24"/>
        </w:rPr>
        <w:t>分布分数的计算，质子条件式的书写，</w:t>
      </w:r>
      <w:proofErr w:type="gramStart"/>
      <w:r w:rsidRPr="0085474C">
        <w:rPr>
          <w:rFonts w:ascii="Times New Roman" w:eastAsia="宋体" w:hAnsi="Times New Roman" w:cs="Times New Roman"/>
          <w:sz w:val="24"/>
          <w:szCs w:val="24"/>
        </w:rPr>
        <w:t>各类酸</w:t>
      </w:r>
      <w:proofErr w:type="gramEnd"/>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碱</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溶液中</w:t>
      </w:r>
      <w:r w:rsidRPr="0085474C">
        <w:rPr>
          <w:rFonts w:ascii="Times New Roman" w:eastAsia="宋体" w:hAnsi="Times New Roman" w:cs="Times New Roman"/>
          <w:sz w:val="24"/>
          <w:szCs w:val="24"/>
        </w:rPr>
        <w:t>[H</w:t>
      </w:r>
      <w:r w:rsidRPr="0085474C">
        <w:rPr>
          <w:rFonts w:ascii="Times New Roman" w:eastAsia="宋体" w:hAnsi="Times New Roman" w:cs="Times New Roman"/>
          <w:sz w:val="24"/>
          <w:szCs w:val="24"/>
          <w:vertAlign w:val="superscript"/>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的计算，缓冲溶液及其</w:t>
      </w:r>
      <w:r w:rsidRPr="0085474C">
        <w:rPr>
          <w:rFonts w:ascii="Times New Roman" w:eastAsia="宋体" w:hAnsi="Times New Roman" w:cs="Times New Roman"/>
          <w:sz w:val="24"/>
          <w:szCs w:val="24"/>
        </w:rPr>
        <w:t>pH</w:t>
      </w:r>
      <w:r w:rsidRPr="0085474C">
        <w:rPr>
          <w:rFonts w:ascii="Times New Roman" w:eastAsia="宋体" w:hAnsi="Times New Roman" w:cs="Times New Roman"/>
          <w:sz w:val="24"/>
          <w:szCs w:val="24"/>
        </w:rPr>
        <w:t>计算，酸碱滴定原理中化学计量点和</w:t>
      </w:r>
      <w:proofErr w:type="gramStart"/>
      <w:r w:rsidRPr="0085474C">
        <w:rPr>
          <w:rFonts w:ascii="Times New Roman" w:eastAsia="宋体" w:hAnsi="Times New Roman" w:cs="Times New Roman"/>
          <w:sz w:val="24"/>
          <w:szCs w:val="24"/>
        </w:rPr>
        <w:t>突跃</w:t>
      </w:r>
      <w:proofErr w:type="gramEnd"/>
      <w:r w:rsidRPr="0085474C">
        <w:rPr>
          <w:rFonts w:ascii="Times New Roman" w:eastAsia="宋体" w:hAnsi="Times New Roman" w:cs="Times New Roman"/>
          <w:sz w:val="24"/>
          <w:szCs w:val="24"/>
        </w:rPr>
        <w:t>范围</w:t>
      </w:r>
      <w:r w:rsidRPr="0085474C">
        <w:rPr>
          <w:rFonts w:ascii="Times New Roman" w:eastAsia="宋体" w:hAnsi="Times New Roman" w:cs="Times New Roman"/>
          <w:sz w:val="24"/>
          <w:szCs w:val="24"/>
        </w:rPr>
        <w:t>pH</w:t>
      </w:r>
      <w:r w:rsidRPr="0085474C">
        <w:rPr>
          <w:rFonts w:ascii="Times New Roman" w:eastAsia="宋体" w:hAnsi="Times New Roman" w:cs="Times New Roman"/>
          <w:sz w:val="24"/>
          <w:szCs w:val="24"/>
        </w:rPr>
        <w:t>的计算，影响</w:t>
      </w:r>
      <w:proofErr w:type="gramStart"/>
      <w:r w:rsidRPr="0085474C">
        <w:rPr>
          <w:rFonts w:ascii="Times New Roman" w:eastAsia="宋体" w:hAnsi="Times New Roman" w:cs="Times New Roman"/>
          <w:sz w:val="24"/>
          <w:szCs w:val="24"/>
        </w:rPr>
        <w:t>突跃范围</w:t>
      </w:r>
      <w:proofErr w:type="gramEnd"/>
      <w:r w:rsidRPr="0085474C">
        <w:rPr>
          <w:rFonts w:ascii="Times New Roman" w:eastAsia="宋体" w:hAnsi="Times New Roman" w:cs="Times New Roman"/>
          <w:sz w:val="24"/>
          <w:szCs w:val="24"/>
        </w:rPr>
        <w:t>的因素及指示剂的选择，滴定误差的计算，酸碱滴定法的应用。</w:t>
      </w:r>
    </w:p>
    <w:p w14:paraId="08D9853E" w14:textId="77777777" w:rsidR="0085474C" w:rsidRPr="0085474C"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t>【难点】</w:t>
      </w:r>
      <w:proofErr w:type="gramStart"/>
      <w:r w:rsidRPr="0085474C">
        <w:rPr>
          <w:rFonts w:ascii="Times New Roman" w:eastAsia="宋体" w:hAnsi="Times New Roman" w:cs="Times New Roman"/>
          <w:sz w:val="24"/>
          <w:szCs w:val="24"/>
        </w:rPr>
        <w:t>各类酸</w:t>
      </w:r>
      <w:proofErr w:type="gramEnd"/>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碱</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溶液中</w:t>
      </w:r>
      <w:r w:rsidRPr="0085474C">
        <w:rPr>
          <w:rFonts w:ascii="Times New Roman" w:eastAsia="宋体" w:hAnsi="Times New Roman" w:cs="Times New Roman"/>
          <w:sz w:val="24"/>
          <w:szCs w:val="24"/>
        </w:rPr>
        <w:t>[H</w:t>
      </w:r>
      <w:r w:rsidRPr="0085474C">
        <w:rPr>
          <w:rFonts w:ascii="Times New Roman" w:eastAsia="宋体" w:hAnsi="Times New Roman" w:cs="Times New Roman"/>
          <w:sz w:val="24"/>
          <w:szCs w:val="24"/>
          <w:vertAlign w:val="superscript"/>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的计算，酸碱滴定原理及终点指示剂的选择，终点误差的计算。</w:t>
      </w:r>
    </w:p>
    <w:p w14:paraId="1BD94E67" w14:textId="77777777" w:rsidR="0085474C" w:rsidRPr="0085474C"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bCs/>
          <w:sz w:val="24"/>
          <w:szCs w:val="24"/>
        </w:rPr>
        <w:t>【教学方法】</w:t>
      </w:r>
      <w:r w:rsidRPr="0085474C">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r w:rsidRPr="0085474C">
        <w:rPr>
          <w:rFonts w:ascii="Times New Roman" w:eastAsia="宋体" w:hAnsi="Times New Roman" w:cs="Times New Roman" w:hint="eastAsia"/>
          <w:sz w:val="24"/>
          <w:szCs w:val="24"/>
        </w:rPr>
        <w:t>。</w:t>
      </w:r>
    </w:p>
    <w:p w14:paraId="7AA185B4"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【复习思考】</w:t>
      </w:r>
    </w:p>
    <w:p w14:paraId="219344C0"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）判断下列情况对结果的影响</w:t>
      </w:r>
    </w:p>
    <w:p w14:paraId="29C1450E"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a. </w:t>
      </w:r>
      <w:r w:rsidRPr="0085474C">
        <w:rPr>
          <w:rFonts w:ascii="Times New Roman" w:eastAsia="宋体" w:hAnsi="Times New Roman" w:cs="Times New Roman"/>
          <w:sz w:val="24"/>
          <w:szCs w:val="24"/>
        </w:rPr>
        <w:t>标定</w:t>
      </w:r>
      <w:r w:rsidRPr="0085474C">
        <w:rPr>
          <w:rFonts w:ascii="Times New Roman" w:eastAsia="宋体" w:hAnsi="Times New Roman" w:cs="Times New Roman"/>
          <w:sz w:val="24"/>
          <w:szCs w:val="24"/>
        </w:rPr>
        <w:t>NaOH</w:t>
      </w:r>
      <w:r w:rsidRPr="0085474C">
        <w:rPr>
          <w:rFonts w:ascii="Times New Roman" w:eastAsia="宋体" w:hAnsi="Times New Roman" w:cs="Times New Roman"/>
          <w:sz w:val="24"/>
          <w:szCs w:val="24"/>
        </w:rPr>
        <w:t>溶液时，领苯二甲酸氢钾中混有邻苯二甲酸酸</w:t>
      </w:r>
    </w:p>
    <w:p w14:paraId="7682F29D"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b. </w:t>
      </w:r>
      <w:r w:rsidRPr="0085474C">
        <w:rPr>
          <w:rFonts w:ascii="Times New Roman" w:eastAsia="宋体" w:hAnsi="Times New Roman" w:cs="Times New Roman"/>
          <w:sz w:val="24"/>
          <w:szCs w:val="24"/>
        </w:rPr>
        <w:t>用吸收了</w:t>
      </w:r>
      <w:r w:rsidRPr="0085474C">
        <w:rPr>
          <w:rFonts w:ascii="Times New Roman" w:eastAsia="宋体" w:hAnsi="Times New Roman" w:cs="Times New Roman"/>
          <w:sz w:val="24"/>
          <w:szCs w:val="24"/>
        </w:rPr>
        <w:t>CO</w:t>
      </w:r>
      <w:r w:rsidRPr="0085474C">
        <w:rPr>
          <w:rFonts w:ascii="Times New Roman" w:eastAsia="宋体" w:hAnsi="Times New Roman" w:cs="Times New Roman"/>
          <w:sz w:val="24"/>
          <w:szCs w:val="24"/>
          <w:vertAlign w:val="subscript"/>
        </w:rPr>
        <w:t>2</w:t>
      </w:r>
      <w:r w:rsidRPr="0085474C">
        <w:rPr>
          <w:rFonts w:ascii="Times New Roman" w:eastAsia="宋体" w:hAnsi="Times New Roman" w:cs="Times New Roman"/>
          <w:sz w:val="24"/>
          <w:szCs w:val="24"/>
        </w:rPr>
        <w:t>的</w:t>
      </w:r>
      <w:r w:rsidRPr="0085474C">
        <w:rPr>
          <w:rFonts w:ascii="Times New Roman" w:eastAsia="宋体" w:hAnsi="Times New Roman" w:cs="Times New Roman"/>
          <w:sz w:val="24"/>
          <w:szCs w:val="24"/>
        </w:rPr>
        <w:t>NaOH</w:t>
      </w:r>
      <w:r w:rsidRPr="0085474C">
        <w:rPr>
          <w:rFonts w:ascii="Times New Roman" w:eastAsia="宋体" w:hAnsi="Times New Roman" w:cs="Times New Roman"/>
          <w:sz w:val="24"/>
          <w:szCs w:val="24"/>
        </w:rPr>
        <w:t>标准溶液滴定磷酸至第一化学计量点和第二化学计量点</w:t>
      </w:r>
    </w:p>
    <w:p w14:paraId="18A26AA6"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）写出下列溶液的</w:t>
      </w:r>
      <w:r w:rsidRPr="0085474C">
        <w:rPr>
          <w:rFonts w:ascii="Times New Roman" w:eastAsia="宋体" w:hAnsi="Times New Roman" w:cs="Times New Roman"/>
          <w:sz w:val="24"/>
          <w:szCs w:val="24"/>
        </w:rPr>
        <w:t>PBE</w:t>
      </w:r>
    </w:p>
    <w:p w14:paraId="29E20E4A"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a. </w:t>
      </w:r>
      <w:r w:rsidRPr="0085474C">
        <w:rPr>
          <w:rFonts w:ascii="Times New Roman" w:eastAsia="宋体" w:hAnsi="Times New Roman" w:cs="Times New Roman"/>
          <w:sz w:val="24"/>
          <w:szCs w:val="24"/>
        </w:rPr>
        <w:t>浓度为</w:t>
      </w:r>
      <w:r w:rsidRPr="0085474C">
        <w:rPr>
          <w:rFonts w:ascii="Times New Roman" w:eastAsia="宋体" w:hAnsi="Times New Roman" w:cs="Times New Roman"/>
          <w:sz w:val="24"/>
          <w:szCs w:val="24"/>
        </w:rPr>
        <w:t>c</w:t>
      </w:r>
      <w:r w:rsidRPr="0085474C">
        <w:rPr>
          <w:rFonts w:ascii="Times New Roman" w:eastAsia="宋体" w:hAnsi="Times New Roman" w:cs="Times New Roman"/>
          <w:sz w:val="24"/>
          <w:szCs w:val="24"/>
          <w:vertAlign w:val="subscript"/>
        </w:rPr>
        <w:t>1</w:t>
      </w:r>
      <w:r w:rsidRPr="0085474C">
        <w:rPr>
          <w:rFonts w:ascii="Times New Roman" w:eastAsia="宋体" w:hAnsi="Times New Roman" w:cs="Times New Roman"/>
          <w:sz w:val="24"/>
          <w:szCs w:val="24"/>
        </w:rPr>
        <w:t>的</w:t>
      </w:r>
      <w:r w:rsidRPr="0085474C">
        <w:rPr>
          <w:rFonts w:ascii="Times New Roman" w:eastAsia="宋体" w:hAnsi="Times New Roman" w:cs="Times New Roman"/>
          <w:sz w:val="24"/>
          <w:szCs w:val="24"/>
        </w:rPr>
        <w:t>NH</w:t>
      </w:r>
      <w:r w:rsidRPr="0085474C">
        <w:rPr>
          <w:rFonts w:ascii="Times New Roman" w:eastAsia="宋体" w:hAnsi="Times New Roman" w:cs="Times New Roman"/>
          <w:sz w:val="24"/>
          <w:szCs w:val="24"/>
          <w:vertAlign w:val="subscript"/>
        </w:rPr>
        <w:t>3</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浓度为</w:t>
      </w:r>
      <w:r w:rsidRPr="0085474C">
        <w:rPr>
          <w:rFonts w:ascii="Times New Roman" w:eastAsia="宋体" w:hAnsi="Times New Roman" w:cs="Times New Roman"/>
          <w:sz w:val="24"/>
          <w:szCs w:val="24"/>
        </w:rPr>
        <w:t>c</w:t>
      </w:r>
      <w:r w:rsidRPr="0085474C">
        <w:rPr>
          <w:rFonts w:ascii="Times New Roman" w:eastAsia="宋体" w:hAnsi="Times New Roman" w:cs="Times New Roman"/>
          <w:sz w:val="24"/>
          <w:szCs w:val="24"/>
          <w:vertAlign w:val="subscript"/>
        </w:rPr>
        <w:t>2</w:t>
      </w:r>
      <w:r w:rsidRPr="0085474C">
        <w:rPr>
          <w:rFonts w:ascii="Times New Roman" w:eastAsia="宋体" w:hAnsi="Times New Roman" w:cs="Times New Roman"/>
          <w:sz w:val="24"/>
          <w:szCs w:val="24"/>
        </w:rPr>
        <w:t>的</w:t>
      </w:r>
      <w:r w:rsidRPr="0085474C">
        <w:rPr>
          <w:rFonts w:ascii="Times New Roman" w:eastAsia="宋体" w:hAnsi="Times New Roman" w:cs="Times New Roman"/>
          <w:sz w:val="24"/>
          <w:szCs w:val="24"/>
        </w:rPr>
        <w:t>NH</w:t>
      </w:r>
      <w:r w:rsidRPr="0085474C">
        <w:rPr>
          <w:rFonts w:ascii="Times New Roman" w:eastAsia="宋体" w:hAnsi="Times New Roman" w:cs="Times New Roman"/>
          <w:sz w:val="24"/>
          <w:szCs w:val="24"/>
          <w:vertAlign w:val="subscript"/>
        </w:rPr>
        <w:t>4</w:t>
      </w:r>
      <w:r w:rsidRPr="0085474C">
        <w:rPr>
          <w:rFonts w:ascii="Times New Roman" w:eastAsia="宋体" w:hAnsi="Times New Roman" w:cs="Times New Roman"/>
          <w:sz w:val="24"/>
          <w:szCs w:val="24"/>
        </w:rPr>
        <w:t>Cl</w:t>
      </w:r>
    </w:p>
    <w:p w14:paraId="604AF842"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vertAlign w:val="subscript"/>
        </w:rPr>
      </w:pPr>
      <w:r w:rsidRPr="0085474C">
        <w:rPr>
          <w:rFonts w:ascii="Times New Roman" w:eastAsia="宋体" w:hAnsi="Times New Roman" w:cs="Times New Roman"/>
          <w:sz w:val="24"/>
          <w:szCs w:val="24"/>
        </w:rPr>
        <w:t xml:space="preserve">b. </w:t>
      </w:r>
      <w:r w:rsidRPr="0085474C">
        <w:rPr>
          <w:rFonts w:ascii="Times New Roman" w:eastAsia="宋体" w:hAnsi="Times New Roman" w:cs="Times New Roman"/>
          <w:sz w:val="24"/>
          <w:szCs w:val="24"/>
        </w:rPr>
        <w:t>浓度为</w:t>
      </w:r>
      <w:r w:rsidRPr="0085474C">
        <w:rPr>
          <w:rFonts w:ascii="Times New Roman" w:eastAsia="宋体" w:hAnsi="Times New Roman" w:cs="Times New Roman"/>
          <w:sz w:val="24"/>
          <w:szCs w:val="24"/>
        </w:rPr>
        <w:t>c</w:t>
      </w:r>
      <w:r w:rsidRPr="0085474C">
        <w:rPr>
          <w:rFonts w:ascii="Times New Roman" w:eastAsia="宋体" w:hAnsi="Times New Roman" w:cs="Times New Roman"/>
          <w:sz w:val="24"/>
          <w:szCs w:val="24"/>
          <w:vertAlign w:val="subscript"/>
        </w:rPr>
        <w:t>1</w:t>
      </w:r>
      <w:r w:rsidRPr="0085474C">
        <w:rPr>
          <w:rFonts w:ascii="Times New Roman" w:eastAsia="宋体" w:hAnsi="Times New Roman" w:cs="Times New Roman"/>
          <w:sz w:val="24"/>
          <w:szCs w:val="24"/>
        </w:rPr>
        <w:t>的</w:t>
      </w:r>
      <w:r w:rsidRPr="0085474C">
        <w:rPr>
          <w:rFonts w:ascii="Times New Roman" w:eastAsia="宋体" w:hAnsi="Times New Roman" w:cs="Times New Roman"/>
          <w:sz w:val="24"/>
          <w:szCs w:val="24"/>
        </w:rPr>
        <w:t>NaOH+</w:t>
      </w:r>
      <w:r w:rsidRPr="0085474C">
        <w:rPr>
          <w:rFonts w:ascii="Times New Roman" w:eastAsia="宋体" w:hAnsi="Times New Roman" w:cs="Times New Roman"/>
          <w:sz w:val="24"/>
          <w:szCs w:val="24"/>
        </w:rPr>
        <w:t>浓度为</w:t>
      </w:r>
      <w:r w:rsidRPr="0085474C">
        <w:rPr>
          <w:rFonts w:ascii="Times New Roman" w:eastAsia="宋体" w:hAnsi="Times New Roman" w:cs="Times New Roman"/>
          <w:sz w:val="24"/>
          <w:szCs w:val="24"/>
        </w:rPr>
        <w:t>c</w:t>
      </w:r>
      <w:r w:rsidRPr="0085474C">
        <w:rPr>
          <w:rFonts w:ascii="Times New Roman" w:eastAsia="宋体" w:hAnsi="Times New Roman" w:cs="Times New Roman"/>
          <w:sz w:val="24"/>
          <w:szCs w:val="24"/>
          <w:vertAlign w:val="subscript"/>
        </w:rPr>
        <w:t>2</w:t>
      </w:r>
      <w:r w:rsidRPr="0085474C">
        <w:rPr>
          <w:rFonts w:ascii="Times New Roman" w:eastAsia="宋体" w:hAnsi="Times New Roman" w:cs="Times New Roman"/>
          <w:sz w:val="24"/>
          <w:szCs w:val="24"/>
        </w:rPr>
        <w:t>的</w:t>
      </w:r>
      <w:r w:rsidRPr="0085474C">
        <w:rPr>
          <w:rFonts w:ascii="Times New Roman" w:eastAsia="宋体" w:hAnsi="Times New Roman" w:cs="Times New Roman"/>
          <w:sz w:val="24"/>
          <w:szCs w:val="24"/>
        </w:rPr>
        <w:t>H</w:t>
      </w:r>
      <w:r w:rsidRPr="0085474C">
        <w:rPr>
          <w:rFonts w:ascii="Times New Roman" w:eastAsia="宋体" w:hAnsi="Times New Roman" w:cs="Times New Roman"/>
          <w:sz w:val="24"/>
          <w:szCs w:val="24"/>
          <w:vertAlign w:val="subscript"/>
        </w:rPr>
        <w:t>3</w:t>
      </w:r>
      <w:r w:rsidRPr="0085474C">
        <w:rPr>
          <w:rFonts w:ascii="Times New Roman" w:eastAsia="宋体" w:hAnsi="Times New Roman" w:cs="Times New Roman"/>
          <w:sz w:val="24"/>
          <w:szCs w:val="24"/>
        </w:rPr>
        <w:t>BO</w:t>
      </w:r>
      <w:r w:rsidRPr="0085474C">
        <w:rPr>
          <w:rFonts w:ascii="Times New Roman" w:eastAsia="宋体" w:hAnsi="Times New Roman" w:cs="Times New Roman"/>
          <w:sz w:val="24"/>
          <w:szCs w:val="24"/>
          <w:vertAlign w:val="subscript"/>
        </w:rPr>
        <w:t>3</w:t>
      </w:r>
    </w:p>
    <w:p w14:paraId="3722F1D7"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c. 0.01mol·L</w:t>
      </w:r>
      <w:r w:rsidRPr="0085474C">
        <w:rPr>
          <w:rFonts w:ascii="Times New Roman" w:eastAsia="宋体" w:hAnsi="Times New Roman" w:cs="Times New Roman"/>
          <w:sz w:val="24"/>
          <w:szCs w:val="24"/>
          <w:vertAlign w:val="superscript"/>
        </w:rPr>
        <w:t>-1</w:t>
      </w:r>
      <w:r w:rsidRPr="0085474C">
        <w:rPr>
          <w:rFonts w:ascii="Times New Roman" w:eastAsia="宋体" w:hAnsi="Times New Roman" w:cs="Times New Roman"/>
          <w:sz w:val="24"/>
          <w:szCs w:val="24"/>
        </w:rPr>
        <w:t>FeCl</w:t>
      </w:r>
      <w:r w:rsidRPr="0085474C">
        <w:rPr>
          <w:rFonts w:ascii="Times New Roman" w:eastAsia="宋体" w:hAnsi="Times New Roman" w:cs="Times New Roman"/>
          <w:sz w:val="24"/>
          <w:szCs w:val="24"/>
          <w:vertAlign w:val="subscript"/>
        </w:rPr>
        <w:t>3</w:t>
      </w:r>
    </w:p>
    <w:p w14:paraId="52A4943B"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）计算下列溶液的</w:t>
      </w:r>
      <w:r w:rsidRPr="0085474C">
        <w:rPr>
          <w:rFonts w:ascii="Times New Roman" w:eastAsia="宋体" w:hAnsi="Times New Roman" w:cs="Times New Roman"/>
          <w:sz w:val="24"/>
          <w:szCs w:val="24"/>
        </w:rPr>
        <w:t>pH</w:t>
      </w:r>
    </w:p>
    <w:p w14:paraId="0ED76E15"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a. 0.05 mol·L</w:t>
      </w:r>
      <w:r w:rsidRPr="0085474C">
        <w:rPr>
          <w:rFonts w:ascii="Times New Roman" w:eastAsia="宋体" w:hAnsi="Times New Roman" w:cs="Times New Roman"/>
          <w:sz w:val="24"/>
          <w:szCs w:val="24"/>
          <w:vertAlign w:val="superscript"/>
        </w:rPr>
        <w:t>-1</w:t>
      </w:r>
      <w:r w:rsidRPr="0085474C">
        <w:rPr>
          <w:rFonts w:ascii="Times New Roman" w:eastAsia="宋体" w:hAnsi="Times New Roman" w:cs="Times New Roman"/>
          <w:sz w:val="24"/>
          <w:szCs w:val="24"/>
        </w:rPr>
        <w:t>NaAc</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b. 0.05 mol·L</w:t>
      </w:r>
      <w:r w:rsidRPr="0085474C">
        <w:rPr>
          <w:rFonts w:ascii="Times New Roman" w:eastAsia="宋体" w:hAnsi="Times New Roman" w:cs="Times New Roman"/>
          <w:sz w:val="24"/>
          <w:szCs w:val="24"/>
          <w:vertAlign w:val="superscript"/>
        </w:rPr>
        <w:t>-1</w:t>
      </w:r>
      <w:r w:rsidRPr="0085474C">
        <w:rPr>
          <w:rFonts w:ascii="Times New Roman" w:eastAsia="宋体" w:hAnsi="Times New Roman" w:cs="Times New Roman"/>
          <w:sz w:val="24"/>
          <w:szCs w:val="24"/>
        </w:rPr>
        <w:t>NH</w:t>
      </w:r>
      <w:r w:rsidRPr="0085474C">
        <w:rPr>
          <w:rFonts w:ascii="Times New Roman" w:eastAsia="宋体" w:hAnsi="Times New Roman" w:cs="Times New Roman"/>
          <w:sz w:val="24"/>
          <w:szCs w:val="24"/>
          <w:vertAlign w:val="subscript"/>
        </w:rPr>
        <w:t>4</w:t>
      </w:r>
      <w:r w:rsidRPr="0085474C">
        <w:rPr>
          <w:rFonts w:ascii="Times New Roman" w:eastAsia="宋体" w:hAnsi="Times New Roman" w:cs="Times New Roman"/>
          <w:sz w:val="24"/>
          <w:szCs w:val="24"/>
        </w:rPr>
        <w:t>NO</w:t>
      </w:r>
      <w:r w:rsidRPr="0085474C">
        <w:rPr>
          <w:rFonts w:ascii="Times New Roman" w:eastAsia="宋体" w:hAnsi="Times New Roman" w:cs="Times New Roman"/>
          <w:sz w:val="24"/>
          <w:szCs w:val="24"/>
          <w:vertAlign w:val="subscript"/>
        </w:rPr>
        <w:t>3</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c. 0.05 mol·L</w:t>
      </w:r>
      <w:r w:rsidRPr="0085474C">
        <w:rPr>
          <w:rFonts w:ascii="Times New Roman" w:eastAsia="宋体" w:hAnsi="Times New Roman" w:cs="Times New Roman"/>
          <w:sz w:val="24"/>
          <w:szCs w:val="24"/>
          <w:vertAlign w:val="superscript"/>
        </w:rPr>
        <w:t>-1</w:t>
      </w:r>
      <w:r w:rsidRPr="0085474C">
        <w:rPr>
          <w:rFonts w:ascii="Times New Roman" w:eastAsia="宋体" w:hAnsi="Times New Roman" w:cs="Times New Roman"/>
          <w:sz w:val="24"/>
          <w:szCs w:val="24"/>
        </w:rPr>
        <w:t>K</w:t>
      </w:r>
      <w:r w:rsidRPr="0085474C">
        <w:rPr>
          <w:rFonts w:ascii="Times New Roman" w:eastAsia="宋体" w:hAnsi="Times New Roman" w:cs="Times New Roman"/>
          <w:sz w:val="24"/>
          <w:szCs w:val="24"/>
          <w:vertAlign w:val="subscript"/>
        </w:rPr>
        <w:t>2</w:t>
      </w:r>
      <w:r w:rsidRPr="0085474C">
        <w:rPr>
          <w:rFonts w:ascii="Times New Roman" w:eastAsia="宋体" w:hAnsi="Times New Roman" w:cs="Times New Roman"/>
          <w:sz w:val="24"/>
          <w:szCs w:val="24"/>
        </w:rPr>
        <w:t>HPO</w:t>
      </w:r>
      <w:r w:rsidRPr="0085474C">
        <w:rPr>
          <w:rFonts w:ascii="Times New Roman" w:eastAsia="宋体" w:hAnsi="Times New Roman" w:cs="Times New Roman"/>
          <w:sz w:val="24"/>
          <w:szCs w:val="24"/>
          <w:vertAlign w:val="subscript"/>
        </w:rPr>
        <w:t>4</w:t>
      </w:r>
    </w:p>
    <w:p w14:paraId="79A6DC83"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4</w:t>
      </w:r>
      <w:r w:rsidRPr="0085474C">
        <w:rPr>
          <w:rFonts w:ascii="Times New Roman" w:eastAsia="宋体" w:hAnsi="Times New Roman" w:cs="Times New Roman"/>
          <w:sz w:val="24"/>
          <w:szCs w:val="24"/>
        </w:rPr>
        <w:t>）称取</w:t>
      </w:r>
      <w:r w:rsidRPr="0085474C">
        <w:rPr>
          <w:rFonts w:ascii="Times New Roman" w:eastAsia="宋体" w:hAnsi="Times New Roman" w:cs="Times New Roman"/>
          <w:sz w:val="24"/>
          <w:szCs w:val="24"/>
        </w:rPr>
        <w:t>20g</w:t>
      </w:r>
      <w:proofErr w:type="gramStart"/>
      <w:r w:rsidRPr="0085474C">
        <w:rPr>
          <w:rFonts w:ascii="Times New Roman" w:eastAsia="宋体" w:hAnsi="Times New Roman" w:cs="Times New Roman"/>
          <w:sz w:val="24"/>
          <w:szCs w:val="24"/>
        </w:rPr>
        <w:t>六亚甲基</w:t>
      </w:r>
      <w:proofErr w:type="gramEnd"/>
      <w:r w:rsidRPr="0085474C">
        <w:rPr>
          <w:rFonts w:ascii="Times New Roman" w:eastAsia="宋体" w:hAnsi="Times New Roman" w:cs="Times New Roman"/>
          <w:sz w:val="24"/>
          <w:szCs w:val="24"/>
        </w:rPr>
        <w:t>四胺，加浓</w:t>
      </w:r>
      <w:r w:rsidRPr="0085474C">
        <w:rPr>
          <w:rFonts w:ascii="Times New Roman" w:eastAsia="宋体" w:hAnsi="Times New Roman" w:cs="Times New Roman"/>
          <w:sz w:val="24"/>
          <w:szCs w:val="24"/>
        </w:rPr>
        <w:t>HCl4.0mL</w:t>
      </w:r>
      <w:r w:rsidRPr="0085474C">
        <w:rPr>
          <w:rFonts w:ascii="Times New Roman" w:eastAsia="宋体" w:hAnsi="Times New Roman" w:cs="Times New Roman"/>
          <w:sz w:val="24"/>
          <w:szCs w:val="24"/>
        </w:rPr>
        <w:t>，稀释至</w:t>
      </w:r>
      <w:r w:rsidRPr="0085474C">
        <w:rPr>
          <w:rFonts w:ascii="Times New Roman" w:eastAsia="宋体" w:hAnsi="Times New Roman" w:cs="Times New Roman"/>
          <w:sz w:val="24"/>
          <w:szCs w:val="24"/>
        </w:rPr>
        <w:t>100mL</w:t>
      </w:r>
      <w:r w:rsidRPr="0085474C">
        <w:rPr>
          <w:rFonts w:ascii="Times New Roman" w:eastAsia="宋体" w:hAnsi="Times New Roman" w:cs="Times New Roman"/>
          <w:sz w:val="24"/>
          <w:szCs w:val="24"/>
        </w:rPr>
        <w:t>，溶液的</w:t>
      </w:r>
      <w:r w:rsidRPr="0085474C">
        <w:rPr>
          <w:rFonts w:ascii="Times New Roman" w:eastAsia="宋体" w:hAnsi="Times New Roman" w:cs="Times New Roman"/>
          <w:sz w:val="24"/>
          <w:szCs w:val="24"/>
        </w:rPr>
        <w:t>pH</w:t>
      </w:r>
      <w:r w:rsidRPr="0085474C">
        <w:rPr>
          <w:rFonts w:ascii="Times New Roman" w:eastAsia="宋体" w:hAnsi="Times New Roman" w:cs="Times New Roman"/>
          <w:sz w:val="24"/>
          <w:szCs w:val="24"/>
        </w:rPr>
        <w:t>为多少？此溶液是否为缓冲溶液？</w:t>
      </w:r>
    </w:p>
    <w:p w14:paraId="11669956"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5</w:t>
      </w:r>
      <w:r w:rsidRPr="0085474C">
        <w:rPr>
          <w:rFonts w:ascii="Times New Roman" w:eastAsia="宋体" w:hAnsi="Times New Roman" w:cs="Times New Roman"/>
          <w:sz w:val="24"/>
          <w:szCs w:val="24"/>
        </w:rPr>
        <w:t>）用</w:t>
      </w:r>
      <w:r w:rsidRPr="0085474C">
        <w:rPr>
          <w:rFonts w:ascii="Times New Roman" w:eastAsia="宋体" w:hAnsi="Times New Roman" w:cs="Times New Roman"/>
          <w:sz w:val="24"/>
          <w:szCs w:val="24"/>
        </w:rPr>
        <w:t>0.1000 mol·L</w:t>
      </w:r>
      <w:r w:rsidRPr="0085474C">
        <w:rPr>
          <w:rFonts w:ascii="Times New Roman" w:eastAsia="宋体" w:hAnsi="Times New Roman" w:cs="Times New Roman"/>
          <w:sz w:val="24"/>
          <w:szCs w:val="24"/>
          <w:vertAlign w:val="superscript"/>
        </w:rPr>
        <w:t>-1</w:t>
      </w:r>
      <w:r w:rsidRPr="0085474C">
        <w:rPr>
          <w:rFonts w:ascii="Times New Roman" w:eastAsia="宋体" w:hAnsi="Times New Roman" w:cs="Times New Roman"/>
          <w:sz w:val="24"/>
          <w:szCs w:val="24"/>
        </w:rPr>
        <w:t>NaOH</w:t>
      </w:r>
      <w:r w:rsidRPr="0085474C">
        <w:rPr>
          <w:rFonts w:ascii="Times New Roman" w:eastAsia="宋体" w:hAnsi="Times New Roman" w:cs="Times New Roman"/>
          <w:sz w:val="24"/>
          <w:szCs w:val="24"/>
        </w:rPr>
        <w:t>溶液滴定</w:t>
      </w:r>
      <w:r w:rsidRPr="0085474C">
        <w:rPr>
          <w:rFonts w:ascii="Times New Roman" w:eastAsia="宋体" w:hAnsi="Times New Roman" w:cs="Times New Roman"/>
          <w:sz w:val="24"/>
          <w:szCs w:val="24"/>
        </w:rPr>
        <w:t>0.1000 mol·L</w:t>
      </w:r>
      <w:r w:rsidRPr="0085474C">
        <w:rPr>
          <w:rFonts w:ascii="Times New Roman" w:eastAsia="宋体" w:hAnsi="Times New Roman" w:cs="Times New Roman"/>
          <w:sz w:val="24"/>
          <w:szCs w:val="24"/>
          <w:vertAlign w:val="superscript"/>
        </w:rPr>
        <w:t>-1</w:t>
      </w:r>
      <w:r w:rsidRPr="0085474C">
        <w:rPr>
          <w:rFonts w:ascii="Times New Roman" w:eastAsia="宋体" w:hAnsi="Times New Roman" w:cs="Times New Roman"/>
          <w:sz w:val="24"/>
          <w:szCs w:val="24"/>
        </w:rPr>
        <w:t>HAc</w:t>
      </w:r>
      <w:r w:rsidRPr="0085474C">
        <w:rPr>
          <w:rFonts w:ascii="Times New Roman" w:eastAsia="宋体" w:hAnsi="Times New Roman" w:cs="Times New Roman"/>
          <w:sz w:val="24"/>
          <w:szCs w:val="24"/>
        </w:rPr>
        <w:t>至</w:t>
      </w:r>
      <w:r w:rsidRPr="0085474C">
        <w:rPr>
          <w:rFonts w:ascii="Times New Roman" w:eastAsia="宋体" w:hAnsi="Times New Roman" w:cs="Times New Roman"/>
          <w:sz w:val="24"/>
          <w:szCs w:val="24"/>
        </w:rPr>
        <w:t>pH=8.0</w:t>
      </w:r>
      <w:r w:rsidRPr="0085474C">
        <w:rPr>
          <w:rFonts w:ascii="Times New Roman" w:eastAsia="宋体" w:hAnsi="Times New Roman" w:cs="Times New Roman"/>
          <w:sz w:val="24"/>
          <w:szCs w:val="24"/>
        </w:rPr>
        <w:t>，计算终点误差。</w:t>
      </w:r>
    </w:p>
    <w:p w14:paraId="28152294" w14:textId="77777777" w:rsidR="0085474C" w:rsidRPr="0085474C" w:rsidRDefault="0085474C" w:rsidP="00C232D7">
      <w:pPr>
        <w:spacing w:line="440" w:lineRule="exact"/>
        <w:ind w:firstLineChars="200" w:firstLine="420"/>
        <w:rPr>
          <w:rFonts w:ascii="Times New Roman" w:eastAsia="宋体" w:hAnsi="Times New Roman" w:cs="Times New Roman"/>
          <w:szCs w:val="24"/>
        </w:rPr>
      </w:pPr>
    </w:p>
    <w:p w14:paraId="4DDC534B" w14:textId="77777777" w:rsidR="0085474C" w:rsidRPr="0085474C" w:rsidRDefault="0085474C" w:rsidP="00C232D7">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 xml:space="preserve">  </w:t>
      </w:r>
      <w:r w:rsidRPr="0085474C">
        <w:rPr>
          <w:rFonts w:ascii="Times New Roman" w:eastAsia="宋体" w:hAnsi="Times New Roman" w:cs="Times New Roman"/>
          <w:b/>
          <w:sz w:val="28"/>
          <w:szCs w:val="28"/>
        </w:rPr>
        <w:t>第</w:t>
      </w:r>
      <w:r w:rsidRPr="0085474C">
        <w:rPr>
          <w:rFonts w:ascii="Times New Roman" w:eastAsia="宋体" w:hAnsi="Times New Roman" w:cs="Times New Roman" w:hint="eastAsia"/>
          <w:b/>
          <w:sz w:val="28"/>
          <w:szCs w:val="28"/>
        </w:rPr>
        <w:t>五</w:t>
      </w:r>
      <w:r w:rsidRPr="0085474C">
        <w:rPr>
          <w:rFonts w:ascii="Times New Roman" w:eastAsia="宋体" w:hAnsi="Times New Roman" w:cs="Times New Roman"/>
          <w:b/>
          <w:sz w:val="28"/>
          <w:szCs w:val="28"/>
        </w:rPr>
        <w:t>章</w:t>
      </w:r>
      <w:r w:rsidRPr="0085474C">
        <w:rPr>
          <w:rFonts w:ascii="Times New Roman" w:eastAsia="宋体" w:hAnsi="Times New Roman" w:cs="Times New Roman"/>
          <w:b/>
          <w:sz w:val="28"/>
          <w:szCs w:val="28"/>
        </w:rPr>
        <w:t xml:space="preserve">  </w:t>
      </w:r>
      <w:r w:rsidRPr="0085474C">
        <w:rPr>
          <w:rFonts w:ascii="Times New Roman" w:eastAsia="宋体" w:hAnsi="Times New Roman" w:cs="Times New Roman"/>
          <w:b/>
          <w:sz w:val="28"/>
          <w:szCs w:val="28"/>
        </w:rPr>
        <w:t>配位滴定法</w:t>
      </w:r>
    </w:p>
    <w:p w14:paraId="187441AF"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3F089D75" w14:textId="77777777" w:rsidR="0085474C" w:rsidRPr="0085474C" w:rsidRDefault="0085474C" w:rsidP="00C232D7">
      <w:pPr>
        <w:spacing w:line="440" w:lineRule="exact"/>
        <w:ind w:firstLineChars="200" w:firstLine="480"/>
        <w:rPr>
          <w:rFonts w:ascii="Times New Roman" w:eastAsia="宋体" w:hAnsi="Times New Roman" w:cs="Times New Roman"/>
          <w:bCs/>
          <w:spacing w:val="5"/>
          <w:sz w:val="24"/>
          <w:szCs w:val="24"/>
        </w:rPr>
      </w:pPr>
      <w:r w:rsidRPr="0085474C">
        <w:rPr>
          <w:rFonts w:ascii="Times New Roman" w:eastAsia="宋体" w:hAnsi="Times New Roman" w:cs="Times New Roman"/>
          <w:bCs/>
          <w:sz w:val="24"/>
          <w:szCs w:val="24"/>
        </w:rPr>
        <w:lastRenderedPageBreak/>
        <w:t xml:space="preserve">1. </w:t>
      </w:r>
      <w:r w:rsidRPr="0085474C">
        <w:rPr>
          <w:rFonts w:ascii="Times New Roman" w:eastAsia="宋体" w:hAnsi="Times New Roman" w:cs="Times New Roman"/>
          <w:bCs/>
          <w:sz w:val="24"/>
          <w:szCs w:val="24"/>
        </w:rPr>
        <w:t>认知类目标：</w:t>
      </w:r>
      <w:r w:rsidRPr="0085474C">
        <w:rPr>
          <w:rFonts w:ascii="Times New Roman" w:eastAsia="宋体" w:hAnsi="Times New Roman" w:cs="Times New Roman"/>
          <w:sz w:val="24"/>
          <w:szCs w:val="24"/>
        </w:rPr>
        <w:t>理解并掌握副反应系数及条件稳定常数；理解金属离子指示剂变色原理及选择原则；了解配位滴定法的类型和应用；</w:t>
      </w:r>
    </w:p>
    <w:p w14:paraId="488D64E6" w14:textId="77777777" w:rsidR="0085474C" w:rsidRPr="0085474C" w:rsidRDefault="0085474C" w:rsidP="00C232D7">
      <w:pPr>
        <w:spacing w:line="440" w:lineRule="exact"/>
        <w:ind w:firstLineChars="200" w:firstLine="500"/>
        <w:rPr>
          <w:rFonts w:ascii="Times New Roman" w:eastAsia="宋体" w:hAnsi="Times New Roman" w:cs="Times New Roman"/>
          <w:bCs/>
          <w:spacing w:val="5"/>
          <w:sz w:val="24"/>
          <w:szCs w:val="24"/>
        </w:rPr>
      </w:pPr>
      <w:r w:rsidRPr="0085474C">
        <w:rPr>
          <w:rFonts w:ascii="Times New Roman" w:eastAsia="宋体" w:hAnsi="Times New Roman" w:cs="Times New Roman"/>
          <w:bCs/>
          <w:spacing w:val="5"/>
          <w:sz w:val="24"/>
          <w:szCs w:val="24"/>
        </w:rPr>
        <w:t xml:space="preserve">2. </w:t>
      </w:r>
      <w:r w:rsidRPr="0085474C">
        <w:rPr>
          <w:rFonts w:ascii="Times New Roman" w:eastAsia="宋体" w:hAnsi="Times New Roman" w:cs="Times New Roman"/>
          <w:bCs/>
          <w:spacing w:val="5"/>
          <w:sz w:val="24"/>
          <w:szCs w:val="24"/>
        </w:rPr>
        <w:t>过程与方法类目标：</w:t>
      </w:r>
      <w:r w:rsidRPr="0085474C">
        <w:rPr>
          <w:rFonts w:ascii="Times New Roman" w:eastAsia="宋体" w:hAnsi="Times New Roman" w:cs="Times New Roman"/>
          <w:sz w:val="24"/>
          <w:szCs w:val="24"/>
        </w:rPr>
        <w:t>掌握</w:t>
      </w:r>
      <w:r w:rsidRPr="0085474C">
        <w:rPr>
          <w:rFonts w:ascii="Times New Roman" w:eastAsia="宋体" w:hAnsi="Times New Roman" w:cs="Times New Roman"/>
          <w:sz w:val="24"/>
          <w:szCs w:val="24"/>
        </w:rPr>
        <w:t xml:space="preserve">EDTA </w:t>
      </w:r>
      <w:r w:rsidRPr="0085474C">
        <w:rPr>
          <w:rFonts w:ascii="Times New Roman" w:eastAsia="宋体" w:hAnsi="Times New Roman" w:cs="Times New Roman"/>
          <w:sz w:val="24"/>
          <w:szCs w:val="24"/>
        </w:rPr>
        <w:t>的性质及其配合物的特点；掌握配合物的稳定常数及配位平衡中各型体浓度的计算</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掌握配位滴定原理和滴定过程中</w:t>
      </w:r>
      <w:r w:rsidRPr="0085474C">
        <w:rPr>
          <w:rFonts w:ascii="Times New Roman" w:eastAsia="宋体" w:hAnsi="Times New Roman" w:cs="Times New Roman"/>
          <w:sz w:val="24"/>
          <w:szCs w:val="24"/>
        </w:rPr>
        <w:t xml:space="preserve"> </w:t>
      </w:r>
      <w:proofErr w:type="spellStart"/>
      <w:r w:rsidRPr="0085474C">
        <w:rPr>
          <w:rFonts w:ascii="Times New Roman" w:eastAsia="宋体" w:hAnsi="Times New Roman" w:cs="Times New Roman"/>
          <w:sz w:val="24"/>
          <w:szCs w:val="24"/>
        </w:rPr>
        <w:t>pM</w:t>
      </w:r>
      <w:proofErr w:type="spellEnd"/>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的计算</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掌握终点误差的计算；掌握准确滴定与分别滴定判别式及其应用</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掌握配位滴定中酸度控制的相关计算；熟悉提高配位滴定选择性的方法</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掌握配位滴定结果的计算</w:t>
      </w:r>
      <w:r w:rsidRPr="0085474C">
        <w:rPr>
          <w:rFonts w:ascii="Times New Roman" w:eastAsia="宋体" w:hAnsi="Times New Roman" w:cs="Times New Roman" w:hint="eastAsia"/>
          <w:sz w:val="24"/>
          <w:szCs w:val="24"/>
        </w:rPr>
        <w:t>；</w:t>
      </w:r>
    </w:p>
    <w:p w14:paraId="7364ABC3" w14:textId="77777777" w:rsidR="0085474C" w:rsidRPr="0085474C" w:rsidRDefault="0085474C" w:rsidP="00C232D7">
      <w:pPr>
        <w:spacing w:line="440" w:lineRule="exact"/>
        <w:ind w:firstLineChars="200" w:firstLine="500"/>
        <w:rPr>
          <w:rFonts w:ascii="Times New Roman" w:eastAsia="宋体" w:hAnsi="Times New Roman" w:cs="Times New Roman"/>
          <w:sz w:val="24"/>
          <w:szCs w:val="24"/>
        </w:rPr>
      </w:pPr>
      <w:r w:rsidRPr="0085474C">
        <w:rPr>
          <w:rFonts w:ascii="Times New Roman" w:eastAsia="宋体" w:hAnsi="Times New Roman" w:cs="Times New Roman"/>
          <w:bCs/>
          <w:spacing w:val="5"/>
          <w:sz w:val="24"/>
          <w:szCs w:val="24"/>
        </w:rPr>
        <w:t xml:space="preserve">3. </w:t>
      </w:r>
      <w:r w:rsidRPr="0085474C">
        <w:rPr>
          <w:rFonts w:ascii="Times New Roman" w:eastAsia="宋体" w:hAnsi="Times New Roman" w:cs="Times New Roman"/>
          <w:bCs/>
          <w:spacing w:val="5"/>
          <w:sz w:val="24"/>
          <w:szCs w:val="24"/>
        </w:rPr>
        <w:t>情感、态度、价值观类目标：</w:t>
      </w:r>
      <w:r w:rsidRPr="0085474C">
        <w:rPr>
          <w:rFonts w:ascii="Times New Roman" w:eastAsia="宋体" w:hAnsi="Times New Roman" w:cs="Times New Roman" w:hint="eastAsia"/>
          <w:bCs/>
          <w:spacing w:val="5"/>
          <w:sz w:val="24"/>
          <w:szCs w:val="24"/>
        </w:rPr>
        <w:t>培养</w:t>
      </w:r>
      <w:r w:rsidRPr="0085474C">
        <w:rPr>
          <w:rFonts w:ascii="宋体" w:eastAsia="宋体" w:hAnsi="宋体" w:cs="宋体" w:hint="eastAsia"/>
          <w:bCs/>
          <w:spacing w:val="8"/>
          <w:kern w:val="0"/>
          <w:sz w:val="24"/>
          <w:szCs w:val="24"/>
        </w:rPr>
        <w:t>学生树立正确的价值取向、社会责任感和职业责任感，培养</w:t>
      </w:r>
      <w:r w:rsidRPr="0085474C">
        <w:rPr>
          <w:rFonts w:ascii="Times New Roman" w:eastAsia="宋体" w:hAnsi="Times New Roman" w:cs="Times New Roman" w:hint="eastAsia"/>
          <w:sz w:val="24"/>
          <w:szCs w:val="24"/>
        </w:rPr>
        <w:t>创新意识并敢于质疑、解疑，引导学生注重培养敏锐的观察力。</w:t>
      </w:r>
    </w:p>
    <w:p w14:paraId="781E3A5E"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3AB222F5"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5.1 </w:t>
      </w:r>
      <w:r w:rsidRPr="0085474C">
        <w:rPr>
          <w:rFonts w:ascii="Times New Roman" w:eastAsia="宋体" w:hAnsi="Times New Roman" w:cs="Times New Roman"/>
          <w:sz w:val="24"/>
          <w:szCs w:val="24"/>
        </w:rPr>
        <w:t>配位滴定中的滴定剂</w:t>
      </w:r>
    </w:p>
    <w:p w14:paraId="5EF3DFC1"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5.2</w:t>
      </w:r>
      <w:r w:rsidRPr="0085474C">
        <w:rPr>
          <w:rFonts w:ascii="Times New Roman" w:eastAsia="宋体" w:hAnsi="Times New Roman" w:cs="Times New Roman"/>
          <w:sz w:val="24"/>
          <w:szCs w:val="24"/>
        </w:rPr>
        <w:t>配位平衡常数</w:t>
      </w:r>
    </w:p>
    <w:p w14:paraId="4CDBC548"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5.3</w:t>
      </w:r>
      <w:r w:rsidRPr="0085474C">
        <w:rPr>
          <w:rFonts w:ascii="Times New Roman" w:eastAsia="宋体" w:hAnsi="Times New Roman" w:cs="Times New Roman"/>
          <w:sz w:val="24"/>
          <w:szCs w:val="24"/>
        </w:rPr>
        <w:t>副反应系数和条件稳定常数</w:t>
      </w:r>
    </w:p>
    <w:p w14:paraId="262C30A7"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5.4 </w:t>
      </w:r>
      <w:r w:rsidRPr="0085474C">
        <w:rPr>
          <w:rFonts w:ascii="Times New Roman" w:eastAsia="宋体" w:hAnsi="Times New Roman" w:cs="Times New Roman"/>
          <w:sz w:val="24"/>
          <w:szCs w:val="24"/>
        </w:rPr>
        <w:t>配位滴定法的基本原理</w:t>
      </w:r>
    </w:p>
    <w:p w14:paraId="085333D0"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5.5</w:t>
      </w:r>
      <w:r w:rsidRPr="0085474C">
        <w:rPr>
          <w:rFonts w:ascii="Times New Roman" w:eastAsia="宋体" w:hAnsi="Times New Roman" w:cs="Times New Roman"/>
          <w:sz w:val="24"/>
          <w:szCs w:val="24"/>
        </w:rPr>
        <w:t>准确滴定与分别滴定判别式</w:t>
      </w:r>
      <w:r w:rsidRPr="0085474C">
        <w:rPr>
          <w:rFonts w:ascii="Times New Roman" w:eastAsia="宋体" w:hAnsi="Times New Roman" w:cs="Times New Roman"/>
          <w:sz w:val="24"/>
          <w:szCs w:val="24"/>
        </w:rPr>
        <w:t xml:space="preserve"> </w:t>
      </w:r>
    </w:p>
    <w:p w14:paraId="7AF76E6D"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5.6</w:t>
      </w:r>
      <w:r w:rsidRPr="0085474C">
        <w:rPr>
          <w:rFonts w:ascii="Times New Roman" w:eastAsia="宋体" w:hAnsi="Times New Roman" w:cs="Times New Roman"/>
          <w:sz w:val="24"/>
          <w:szCs w:val="24"/>
        </w:rPr>
        <w:t>配位滴定中酸度的控制</w:t>
      </w:r>
      <w:r w:rsidRPr="0085474C">
        <w:rPr>
          <w:rFonts w:ascii="Times New Roman" w:eastAsia="宋体" w:hAnsi="Times New Roman" w:cs="Times New Roman"/>
          <w:sz w:val="24"/>
          <w:szCs w:val="24"/>
        </w:rPr>
        <w:t xml:space="preserve"> </w:t>
      </w:r>
    </w:p>
    <w:p w14:paraId="015450D3"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5.7</w:t>
      </w:r>
      <w:r w:rsidRPr="0085474C">
        <w:rPr>
          <w:rFonts w:ascii="Times New Roman" w:eastAsia="宋体" w:hAnsi="Times New Roman" w:cs="Times New Roman"/>
          <w:sz w:val="24"/>
          <w:szCs w:val="24"/>
        </w:rPr>
        <w:t>提高配位滴定选择性的途径</w:t>
      </w:r>
    </w:p>
    <w:p w14:paraId="1AAD60A2"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5.8</w:t>
      </w:r>
      <w:r w:rsidRPr="0085474C">
        <w:rPr>
          <w:rFonts w:ascii="Times New Roman" w:eastAsia="宋体" w:hAnsi="Times New Roman" w:cs="Times New Roman"/>
          <w:sz w:val="24"/>
          <w:szCs w:val="24"/>
        </w:rPr>
        <w:t>配位滴定方式及其应用</w:t>
      </w:r>
    </w:p>
    <w:p w14:paraId="0860E040" w14:textId="77777777" w:rsidR="0085474C" w:rsidRPr="0085474C" w:rsidRDefault="0085474C" w:rsidP="00C232D7">
      <w:pPr>
        <w:spacing w:line="440" w:lineRule="exact"/>
        <w:ind w:firstLineChars="200" w:firstLine="482"/>
        <w:rPr>
          <w:rFonts w:ascii="Times New Roman" w:eastAsia="宋体" w:hAnsi="Times New Roman" w:cs="Times New Roman"/>
          <w:szCs w:val="24"/>
        </w:rPr>
      </w:pPr>
      <w:r w:rsidRPr="0085474C">
        <w:rPr>
          <w:rFonts w:ascii="Times New Roman" w:eastAsia="宋体" w:hAnsi="Times New Roman" w:cs="Times New Roman"/>
          <w:b/>
          <w:sz w:val="24"/>
          <w:szCs w:val="24"/>
        </w:rPr>
        <w:t>【重点】</w:t>
      </w:r>
      <w:r w:rsidRPr="0085474C">
        <w:rPr>
          <w:rFonts w:ascii="Times New Roman" w:eastAsia="宋体" w:hAnsi="Times New Roman" w:cs="Times New Roman"/>
          <w:sz w:val="24"/>
          <w:szCs w:val="24"/>
        </w:rPr>
        <w:t>副反应系数及条件稳定常数的计算，配位滴定原理和滴定过程中</w:t>
      </w:r>
      <w:r w:rsidRPr="0085474C">
        <w:rPr>
          <w:rFonts w:ascii="Times New Roman" w:eastAsia="宋体" w:hAnsi="Times New Roman" w:cs="Times New Roman"/>
          <w:sz w:val="24"/>
          <w:szCs w:val="24"/>
        </w:rPr>
        <w:t xml:space="preserve"> </w:t>
      </w:r>
      <w:proofErr w:type="spellStart"/>
      <w:r w:rsidRPr="0085474C">
        <w:rPr>
          <w:rFonts w:ascii="Times New Roman" w:eastAsia="宋体" w:hAnsi="Times New Roman" w:cs="Times New Roman"/>
          <w:sz w:val="24"/>
          <w:szCs w:val="24"/>
        </w:rPr>
        <w:t>pM</w:t>
      </w:r>
      <w:proofErr w:type="spellEnd"/>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的计算，金属离子指示剂的选择，终点误差的计算，配位滴定中准确滴定与分别滴定判别式的应用，滴定过程中酸度的控制。</w:t>
      </w:r>
    </w:p>
    <w:p w14:paraId="0787BB7A" w14:textId="77777777" w:rsidR="0085474C" w:rsidRPr="0085474C"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t>【难点】</w:t>
      </w:r>
      <w:r w:rsidRPr="0085474C">
        <w:rPr>
          <w:rFonts w:ascii="Times New Roman" w:eastAsia="宋体" w:hAnsi="Times New Roman" w:cs="Times New Roman"/>
          <w:sz w:val="24"/>
          <w:szCs w:val="24"/>
        </w:rPr>
        <w:t>副反应系数及条件稳定常数的计算，配位滴定过程中</w:t>
      </w:r>
      <w:r w:rsidRPr="0085474C">
        <w:rPr>
          <w:rFonts w:ascii="Times New Roman" w:eastAsia="宋体" w:hAnsi="Times New Roman" w:cs="Times New Roman"/>
          <w:sz w:val="24"/>
          <w:szCs w:val="24"/>
        </w:rPr>
        <w:t xml:space="preserve"> </w:t>
      </w:r>
      <w:proofErr w:type="spellStart"/>
      <w:r w:rsidRPr="0085474C">
        <w:rPr>
          <w:rFonts w:ascii="Times New Roman" w:eastAsia="宋体" w:hAnsi="Times New Roman" w:cs="Times New Roman"/>
          <w:sz w:val="24"/>
          <w:szCs w:val="24"/>
        </w:rPr>
        <w:t>pM</w:t>
      </w:r>
      <w:proofErr w:type="spellEnd"/>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的计算，终点误差的计算。</w:t>
      </w:r>
    </w:p>
    <w:p w14:paraId="7D2FE656" w14:textId="77777777" w:rsidR="0085474C" w:rsidRPr="0085474C"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bCs/>
          <w:sz w:val="24"/>
          <w:szCs w:val="24"/>
        </w:rPr>
        <w:t>【教学方法】</w:t>
      </w:r>
      <w:r w:rsidRPr="0085474C">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r w:rsidRPr="0085474C">
        <w:rPr>
          <w:rFonts w:ascii="Times New Roman" w:eastAsia="宋体" w:hAnsi="Times New Roman" w:cs="Times New Roman" w:hint="eastAsia"/>
          <w:sz w:val="24"/>
          <w:szCs w:val="24"/>
        </w:rPr>
        <w:t>。</w:t>
      </w:r>
    </w:p>
    <w:p w14:paraId="31A45D7A"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【复习思考】</w:t>
      </w:r>
    </w:p>
    <w:p w14:paraId="09A2E6AB"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）简述金属离子与</w:t>
      </w:r>
      <w:r w:rsidRPr="0085474C">
        <w:rPr>
          <w:rFonts w:ascii="Times New Roman" w:eastAsia="宋体" w:hAnsi="Times New Roman" w:cs="Times New Roman"/>
          <w:sz w:val="24"/>
          <w:szCs w:val="24"/>
        </w:rPr>
        <w:t>EDTA</w:t>
      </w:r>
      <w:r w:rsidRPr="0085474C">
        <w:rPr>
          <w:rFonts w:ascii="Times New Roman" w:eastAsia="宋体" w:hAnsi="Times New Roman" w:cs="Times New Roman"/>
          <w:sz w:val="24"/>
          <w:szCs w:val="24"/>
        </w:rPr>
        <w:t>形成的配位化合物的特点及条件稳定常数的实际意义。</w:t>
      </w:r>
    </w:p>
    <w:p w14:paraId="4977DD53"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）金属指示剂与酸碱指示剂的作用原理有何不同？金属指示剂应具备哪些条件？什么是金属指示剂的封闭与僵化现象？如何避免？</w:t>
      </w:r>
    </w:p>
    <w:p w14:paraId="1672A3A1"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）在</w:t>
      </w:r>
      <w:r w:rsidRPr="0085474C">
        <w:rPr>
          <w:rFonts w:ascii="Times New Roman" w:eastAsia="宋体" w:hAnsi="Times New Roman" w:cs="Times New Roman"/>
          <w:sz w:val="24"/>
          <w:szCs w:val="24"/>
        </w:rPr>
        <w:t>pH6.0</w:t>
      </w:r>
      <w:r w:rsidRPr="0085474C">
        <w:rPr>
          <w:rFonts w:ascii="Times New Roman" w:eastAsia="宋体" w:hAnsi="Times New Roman" w:cs="Times New Roman"/>
          <w:sz w:val="24"/>
          <w:szCs w:val="24"/>
        </w:rPr>
        <w:t>的溶液中，含有</w:t>
      </w:r>
      <w:r w:rsidRPr="0085474C">
        <w:rPr>
          <w:rFonts w:ascii="Times New Roman" w:eastAsia="宋体" w:hAnsi="Times New Roman" w:cs="Times New Roman"/>
          <w:sz w:val="24"/>
          <w:szCs w:val="24"/>
        </w:rPr>
        <w:t>0.020 mol·L</w:t>
      </w:r>
      <w:r w:rsidRPr="0085474C">
        <w:rPr>
          <w:rFonts w:ascii="Times New Roman" w:eastAsia="宋体" w:hAnsi="Times New Roman" w:cs="Times New Roman"/>
          <w:sz w:val="24"/>
          <w:szCs w:val="24"/>
          <w:vertAlign w:val="superscript"/>
        </w:rPr>
        <w:t>-1</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的</w:t>
      </w:r>
      <w:r w:rsidRPr="0085474C">
        <w:rPr>
          <w:rFonts w:ascii="Times New Roman" w:eastAsia="宋体" w:hAnsi="Times New Roman" w:cs="Times New Roman"/>
          <w:sz w:val="24"/>
          <w:szCs w:val="24"/>
        </w:rPr>
        <w:t>Zn</w:t>
      </w:r>
      <w:r w:rsidRPr="0085474C">
        <w:rPr>
          <w:rFonts w:ascii="Times New Roman" w:eastAsia="宋体" w:hAnsi="Times New Roman" w:cs="Times New Roman"/>
          <w:sz w:val="24"/>
          <w:szCs w:val="24"/>
          <w:vertAlign w:val="superscript"/>
        </w:rPr>
        <w:t>2+</w:t>
      </w:r>
      <w:r w:rsidRPr="0085474C">
        <w:rPr>
          <w:rFonts w:ascii="Times New Roman" w:eastAsia="宋体" w:hAnsi="Times New Roman" w:cs="Times New Roman"/>
          <w:sz w:val="24"/>
          <w:szCs w:val="24"/>
        </w:rPr>
        <w:t>和</w:t>
      </w:r>
      <w:r w:rsidRPr="0085474C">
        <w:rPr>
          <w:rFonts w:ascii="Times New Roman" w:eastAsia="宋体" w:hAnsi="Times New Roman" w:cs="Times New Roman"/>
          <w:sz w:val="24"/>
          <w:szCs w:val="24"/>
        </w:rPr>
        <w:t>0.020mol·L</w:t>
      </w:r>
      <w:r w:rsidRPr="0085474C">
        <w:rPr>
          <w:rFonts w:ascii="Times New Roman" w:eastAsia="宋体" w:hAnsi="Times New Roman" w:cs="Times New Roman"/>
          <w:sz w:val="24"/>
          <w:szCs w:val="24"/>
          <w:vertAlign w:val="superscript"/>
        </w:rPr>
        <w:t>-1</w:t>
      </w:r>
      <w:r w:rsidRPr="0085474C">
        <w:rPr>
          <w:rFonts w:ascii="Times New Roman" w:eastAsia="宋体" w:hAnsi="Times New Roman" w:cs="Times New Roman"/>
          <w:sz w:val="24"/>
          <w:szCs w:val="24"/>
        </w:rPr>
        <w:t>Cd</w:t>
      </w:r>
      <w:r w:rsidRPr="0085474C">
        <w:rPr>
          <w:rFonts w:ascii="Times New Roman" w:eastAsia="宋体" w:hAnsi="Times New Roman" w:cs="Times New Roman"/>
          <w:sz w:val="24"/>
          <w:szCs w:val="24"/>
          <w:vertAlign w:val="superscript"/>
        </w:rPr>
        <w:t>2+</w:t>
      </w:r>
      <w:r w:rsidRPr="0085474C">
        <w:rPr>
          <w:rFonts w:ascii="Times New Roman" w:eastAsia="宋体" w:hAnsi="Times New Roman" w:cs="Times New Roman"/>
          <w:sz w:val="24"/>
          <w:szCs w:val="24"/>
        </w:rPr>
        <w:t>，游离酒石酸跟的浓度为</w:t>
      </w:r>
      <w:r w:rsidRPr="0085474C">
        <w:rPr>
          <w:rFonts w:ascii="Times New Roman" w:eastAsia="宋体" w:hAnsi="Times New Roman" w:cs="Times New Roman"/>
          <w:sz w:val="24"/>
          <w:szCs w:val="24"/>
        </w:rPr>
        <w:t>0.20 mol·L</w:t>
      </w:r>
      <w:r w:rsidRPr="0085474C">
        <w:rPr>
          <w:rFonts w:ascii="Times New Roman" w:eastAsia="宋体" w:hAnsi="Times New Roman" w:cs="Times New Roman"/>
          <w:sz w:val="24"/>
          <w:szCs w:val="24"/>
          <w:vertAlign w:val="superscript"/>
        </w:rPr>
        <w:t>-1</w:t>
      </w:r>
      <w:r w:rsidRPr="0085474C">
        <w:rPr>
          <w:rFonts w:ascii="Times New Roman" w:eastAsia="宋体" w:hAnsi="Times New Roman" w:cs="Times New Roman"/>
          <w:sz w:val="24"/>
          <w:szCs w:val="24"/>
        </w:rPr>
        <w:t>，加入等体积的</w:t>
      </w:r>
      <w:r w:rsidRPr="0085474C">
        <w:rPr>
          <w:rFonts w:ascii="Times New Roman" w:eastAsia="宋体" w:hAnsi="Times New Roman" w:cs="Times New Roman"/>
          <w:sz w:val="24"/>
          <w:szCs w:val="24"/>
        </w:rPr>
        <w:t>0.020 mol·L</w:t>
      </w:r>
      <w:r w:rsidRPr="0085474C">
        <w:rPr>
          <w:rFonts w:ascii="Times New Roman" w:eastAsia="宋体" w:hAnsi="Times New Roman" w:cs="Times New Roman"/>
          <w:sz w:val="24"/>
          <w:szCs w:val="24"/>
          <w:vertAlign w:val="superscript"/>
        </w:rPr>
        <w:t>-1</w:t>
      </w:r>
      <w:r w:rsidRPr="0085474C">
        <w:rPr>
          <w:rFonts w:ascii="Times New Roman" w:eastAsia="宋体" w:hAnsi="Times New Roman" w:cs="Times New Roman"/>
          <w:sz w:val="24"/>
          <w:szCs w:val="24"/>
        </w:rPr>
        <w:t>的</w:t>
      </w:r>
      <w:r w:rsidRPr="0085474C">
        <w:rPr>
          <w:rFonts w:ascii="Times New Roman" w:eastAsia="宋体" w:hAnsi="Times New Roman" w:cs="Times New Roman"/>
          <w:sz w:val="24"/>
          <w:szCs w:val="24"/>
        </w:rPr>
        <w:t>EDTA</w:t>
      </w:r>
      <w:r w:rsidRPr="0085474C">
        <w:rPr>
          <w:rFonts w:ascii="Times New Roman" w:eastAsia="宋体" w:hAnsi="Times New Roman" w:cs="Times New Roman"/>
          <w:sz w:val="24"/>
          <w:szCs w:val="24"/>
        </w:rPr>
        <w:t>，计算</w:t>
      </w:r>
      <w:proofErr w:type="spellStart"/>
      <w:r w:rsidRPr="0085474C">
        <w:rPr>
          <w:rFonts w:ascii="Times New Roman" w:eastAsia="宋体" w:hAnsi="Times New Roman" w:cs="Times New Roman"/>
          <w:sz w:val="24"/>
          <w:szCs w:val="24"/>
        </w:rPr>
        <w:t>CdY</w:t>
      </w:r>
      <w:proofErr w:type="spellEnd"/>
      <w:r w:rsidRPr="0085474C">
        <w:rPr>
          <w:rFonts w:ascii="Times New Roman" w:eastAsia="宋体" w:hAnsi="Times New Roman" w:cs="Times New Roman"/>
          <w:sz w:val="24"/>
          <w:szCs w:val="24"/>
        </w:rPr>
        <w:t>和</w:t>
      </w:r>
      <w:proofErr w:type="spellStart"/>
      <w:r w:rsidRPr="0085474C">
        <w:rPr>
          <w:rFonts w:ascii="Times New Roman" w:eastAsia="宋体" w:hAnsi="Times New Roman" w:cs="Times New Roman"/>
          <w:sz w:val="24"/>
          <w:szCs w:val="24"/>
        </w:rPr>
        <w:t>ZnY</w:t>
      </w:r>
      <w:proofErr w:type="spellEnd"/>
      <w:r w:rsidRPr="0085474C">
        <w:rPr>
          <w:rFonts w:ascii="Times New Roman" w:eastAsia="宋体" w:hAnsi="Times New Roman" w:cs="Times New Roman"/>
          <w:sz w:val="24"/>
          <w:szCs w:val="24"/>
        </w:rPr>
        <w:t>的条件稳定常数。</w:t>
      </w:r>
    </w:p>
    <w:p w14:paraId="46FC0F3C"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bCs/>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4</w:t>
      </w:r>
      <w:r w:rsidRPr="0085474C">
        <w:rPr>
          <w:rFonts w:ascii="Times New Roman" w:eastAsia="宋体" w:hAnsi="Times New Roman" w:cs="Times New Roman"/>
          <w:sz w:val="24"/>
          <w:szCs w:val="24"/>
        </w:rPr>
        <w:t>）浓度均为</w:t>
      </w:r>
      <w:r w:rsidRPr="0085474C">
        <w:rPr>
          <w:rFonts w:ascii="Times New Roman" w:eastAsia="宋体" w:hAnsi="Times New Roman" w:cs="Times New Roman"/>
          <w:sz w:val="24"/>
          <w:szCs w:val="24"/>
        </w:rPr>
        <w:t>0.010</w:t>
      </w:r>
      <w:r w:rsidRPr="0085474C">
        <w:rPr>
          <w:rFonts w:ascii="Times New Roman" w:eastAsia="宋体" w:hAnsi="Times New Roman" w:cs="Times New Roman"/>
          <w:bCs/>
          <w:sz w:val="24"/>
          <w:szCs w:val="24"/>
        </w:rPr>
        <w:t xml:space="preserve"> mol·L</w:t>
      </w:r>
      <w:r w:rsidRPr="0085474C">
        <w:rPr>
          <w:rFonts w:ascii="Times New Roman" w:eastAsia="宋体" w:hAnsi="Times New Roman" w:cs="Times New Roman"/>
          <w:bCs/>
          <w:sz w:val="24"/>
          <w:szCs w:val="24"/>
          <w:vertAlign w:val="superscript"/>
        </w:rPr>
        <w:t>-1</w:t>
      </w:r>
      <w:r w:rsidRPr="0085474C">
        <w:rPr>
          <w:rFonts w:ascii="Times New Roman" w:eastAsia="宋体" w:hAnsi="Times New Roman" w:cs="Times New Roman"/>
          <w:bCs/>
          <w:sz w:val="24"/>
          <w:szCs w:val="24"/>
        </w:rPr>
        <w:t>的</w:t>
      </w:r>
      <w:r w:rsidRPr="0085474C">
        <w:rPr>
          <w:rFonts w:ascii="Times New Roman" w:eastAsia="宋体" w:hAnsi="Times New Roman" w:cs="Times New Roman"/>
          <w:bCs/>
          <w:sz w:val="24"/>
          <w:szCs w:val="24"/>
        </w:rPr>
        <w:t>Zn</w:t>
      </w:r>
      <w:r w:rsidRPr="0085474C">
        <w:rPr>
          <w:rFonts w:ascii="Times New Roman" w:eastAsia="宋体" w:hAnsi="Times New Roman" w:cs="Times New Roman"/>
          <w:bCs/>
          <w:sz w:val="24"/>
          <w:szCs w:val="24"/>
          <w:vertAlign w:val="superscript"/>
        </w:rPr>
        <w:t>2+</w:t>
      </w:r>
      <w:r w:rsidRPr="0085474C">
        <w:rPr>
          <w:rFonts w:ascii="Times New Roman" w:eastAsia="宋体" w:hAnsi="Times New Roman" w:cs="Times New Roman"/>
          <w:bCs/>
          <w:sz w:val="24"/>
          <w:szCs w:val="24"/>
        </w:rPr>
        <w:t>、</w:t>
      </w:r>
      <w:r w:rsidRPr="0085474C">
        <w:rPr>
          <w:rFonts w:ascii="Times New Roman" w:eastAsia="宋体" w:hAnsi="Times New Roman" w:cs="Times New Roman"/>
          <w:bCs/>
          <w:sz w:val="24"/>
          <w:szCs w:val="24"/>
        </w:rPr>
        <w:t>Cd</w:t>
      </w:r>
      <w:r w:rsidRPr="0085474C">
        <w:rPr>
          <w:rFonts w:ascii="Times New Roman" w:eastAsia="宋体" w:hAnsi="Times New Roman" w:cs="Times New Roman"/>
          <w:bCs/>
          <w:sz w:val="24"/>
          <w:szCs w:val="24"/>
          <w:vertAlign w:val="superscript"/>
        </w:rPr>
        <w:t>2+</w:t>
      </w:r>
      <w:r w:rsidRPr="0085474C">
        <w:rPr>
          <w:rFonts w:ascii="Times New Roman" w:eastAsia="宋体" w:hAnsi="Times New Roman" w:cs="Times New Roman"/>
          <w:bCs/>
          <w:sz w:val="24"/>
          <w:szCs w:val="24"/>
        </w:rPr>
        <w:t>混合溶液，加入过量</w:t>
      </w:r>
      <w:r w:rsidRPr="0085474C">
        <w:rPr>
          <w:rFonts w:ascii="Times New Roman" w:eastAsia="宋体" w:hAnsi="Times New Roman" w:cs="Times New Roman"/>
          <w:bCs/>
          <w:sz w:val="24"/>
          <w:szCs w:val="24"/>
        </w:rPr>
        <w:t>KI</w:t>
      </w:r>
      <w:r w:rsidRPr="0085474C">
        <w:rPr>
          <w:rFonts w:ascii="Times New Roman" w:eastAsia="宋体" w:hAnsi="Times New Roman" w:cs="Times New Roman"/>
          <w:bCs/>
          <w:sz w:val="24"/>
          <w:szCs w:val="24"/>
        </w:rPr>
        <w:t>，使终点时游离</w:t>
      </w:r>
      <w:r w:rsidRPr="0085474C">
        <w:rPr>
          <w:rFonts w:ascii="Times New Roman" w:eastAsia="宋体" w:hAnsi="Times New Roman" w:cs="Times New Roman"/>
          <w:bCs/>
          <w:sz w:val="24"/>
          <w:szCs w:val="24"/>
        </w:rPr>
        <w:t>I</w:t>
      </w:r>
      <w:r w:rsidRPr="0085474C">
        <w:rPr>
          <w:rFonts w:ascii="Times New Roman" w:eastAsia="宋体" w:hAnsi="Times New Roman" w:cs="Times New Roman"/>
          <w:bCs/>
          <w:sz w:val="24"/>
          <w:szCs w:val="24"/>
          <w:vertAlign w:val="superscript"/>
        </w:rPr>
        <w:t>-</w:t>
      </w:r>
      <w:r w:rsidRPr="0085474C">
        <w:rPr>
          <w:rFonts w:ascii="Times New Roman" w:eastAsia="宋体" w:hAnsi="Times New Roman" w:cs="Times New Roman"/>
          <w:bCs/>
          <w:sz w:val="24"/>
          <w:szCs w:val="24"/>
        </w:rPr>
        <w:t>浓度为</w:t>
      </w:r>
      <w:r w:rsidRPr="0085474C">
        <w:rPr>
          <w:rFonts w:ascii="Times New Roman" w:eastAsia="宋体" w:hAnsi="Times New Roman" w:cs="Times New Roman"/>
          <w:bCs/>
          <w:sz w:val="24"/>
          <w:szCs w:val="24"/>
        </w:rPr>
        <w:t>1 mol·L</w:t>
      </w:r>
      <w:r w:rsidRPr="0085474C">
        <w:rPr>
          <w:rFonts w:ascii="Times New Roman" w:eastAsia="宋体" w:hAnsi="Times New Roman" w:cs="Times New Roman"/>
          <w:bCs/>
          <w:sz w:val="24"/>
          <w:szCs w:val="24"/>
          <w:vertAlign w:val="superscript"/>
        </w:rPr>
        <w:t>-1</w:t>
      </w:r>
      <w:r w:rsidRPr="0085474C">
        <w:rPr>
          <w:rFonts w:ascii="Times New Roman" w:eastAsia="宋体" w:hAnsi="Times New Roman" w:cs="Times New Roman"/>
          <w:bCs/>
          <w:sz w:val="24"/>
          <w:szCs w:val="24"/>
        </w:rPr>
        <w:t>，在</w:t>
      </w:r>
      <w:r w:rsidRPr="0085474C">
        <w:rPr>
          <w:rFonts w:ascii="Times New Roman" w:eastAsia="宋体" w:hAnsi="Times New Roman" w:cs="Times New Roman"/>
          <w:bCs/>
          <w:sz w:val="24"/>
          <w:szCs w:val="24"/>
        </w:rPr>
        <w:t>pH5.0</w:t>
      </w:r>
      <w:r w:rsidRPr="0085474C">
        <w:rPr>
          <w:rFonts w:ascii="Times New Roman" w:eastAsia="宋体" w:hAnsi="Times New Roman" w:cs="Times New Roman"/>
          <w:bCs/>
          <w:sz w:val="24"/>
          <w:szCs w:val="24"/>
        </w:rPr>
        <w:t>时，以二甲酚橙为指示剂，用等浓度的</w:t>
      </w:r>
      <w:r w:rsidRPr="0085474C">
        <w:rPr>
          <w:rFonts w:ascii="Times New Roman" w:eastAsia="宋体" w:hAnsi="Times New Roman" w:cs="Times New Roman"/>
          <w:bCs/>
          <w:sz w:val="24"/>
          <w:szCs w:val="24"/>
        </w:rPr>
        <w:t>EDTA</w:t>
      </w:r>
      <w:r w:rsidRPr="0085474C">
        <w:rPr>
          <w:rFonts w:ascii="Times New Roman" w:eastAsia="宋体" w:hAnsi="Times New Roman" w:cs="Times New Roman"/>
          <w:bCs/>
          <w:sz w:val="24"/>
          <w:szCs w:val="24"/>
        </w:rPr>
        <w:t>溶液滴定期中</w:t>
      </w:r>
      <w:r w:rsidRPr="0085474C">
        <w:rPr>
          <w:rFonts w:ascii="Times New Roman" w:eastAsia="宋体" w:hAnsi="Times New Roman" w:cs="Times New Roman"/>
          <w:bCs/>
          <w:sz w:val="24"/>
          <w:szCs w:val="24"/>
        </w:rPr>
        <w:t>Zn</w:t>
      </w:r>
      <w:r w:rsidRPr="0085474C">
        <w:rPr>
          <w:rFonts w:ascii="Times New Roman" w:eastAsia="宋体" w:hAnsi="Times New Roman" w:cs="Times New Roman"/>
          <w:bCs/>
          <w:sz w:val="24"/>
          <w:szCs w:val="24"/>
          <w:vertAlign w:val="superscript"/>
        </w:rPr>
        <w:t>2+</w:t>
      </w:r>
      <w:r w:rsidRPr="0085474C">
        <w:rPr>
          <w:rFonts w:ascii="Times New Roman" w:eastAsia="宋体" w:hAnsi="Times New Roman" w:cs="Times New Roman"/>
          <w:bCs/>
          <w:sz w:val="24"/>
          <w:szCs w:val="24"/>
        </w:rPr>
        <w:t>，计算终点误差。</w:t>
      </w:r>
    </w:p>
    <w:p w14:paraId="4EE15008"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w:t>
      </w:r>
      <w:r w:rsidRPr="0085474C">
        <w:rPr>
          <w:rFonts w:ascii="Times New Roman" w:eastAsia="宋体" w:hAnsi="Times New Roman" w:cs="Times New Roman"/>
          <w:bCs/>
          <w:sz w:val="24"/>
          <w:szCs w:val="24"/>
        </w:rPr>
        <w:t>5</w:t>
      </w:r>
      <w:r w:rsidRPr="0085474C">
        <w:rPr>
          <w:rFonts w:ascii="Times New Roman" w:eastAsia="宋体" w:hAnsi="Times New Roman" w:cs="Times New Roman"/>
          <w:bCs/>
          <w:sz w:val="24"/>
          <w:szCs w:val="24"/>
        </w:rPr>
        <w:t>）在</w:t>
      </w:r>
      <w:r w:rsidRPr="0085474C">
        <w:rPr>
          <w:rFonts w:ascii="Times New Roman" w:eastAsia="宋体" w:hAnsi="Times New Roman" w:cs="Times New Roman"/>
          <w:bCs/>
          <w:sz w:val="24"/>
          <w:szCs w:val="24"/>
        </w:rPr>
        <w:t>pH</w:t>
      </w:r>
      <w:r w:rsidRPr="0085474C">
        <w:rPr>
          <w:rFonts w:ascii="Times New Roman" w:eastAsia="宋体" w:hAnsi="Times New Roman" w:cs="Times New Roman"/>
          <w:bCs/>
          <w:sz w:val="24"/>
          <w:szCs w:val="24"/>
        </w:rPr>
        <w:t>为</w:t>
      </w:r>
      <w:r w:rsidRPr="0085474C">
        <w:rPr>
          <w:rFonts w:ascii="Times New Roman" w:eastAsia="宋体" w:hAnsi="Times New Roman" w:cs="Times New Roman"/>
          <w:bCs/>
          <w:sz w:val="24"/>
          <w:szCs w:val="24"/>
        </w:rPr>
        <w:t>5.0</w:t>
      </w:r>
      <w:r w:rsidRPr="0085474C">
        <w:rPr>
          <w:rFonts w:ascii="Times New Roman" w:eastAsia="宋体" w:hAnsi="Times New Roman" w:cs="Times New Roman"/>
          <w:bCs/>
          <w:sz w:val="24"/>
          <w:szCs w:val="24"/>
        </w:rPr>
        <w:t>时用</w:t>
      </w:r>
      <w:r w:rsidRPr="0085474C">
        <w:rPr>
          <w:rFonts w:ascii="Times New Roman" w:eastAsia="宋体" w:hAnsi="Times New Roman" w:cs="Times New Roman"/>
          <w:bCs/>
          <w:sz w:val="24"/>
          <w:szCs w:val="24"/>
        </w:rPr>
        <w:t>0.0020mol·L</w:t>
      </w:r>
      <w:r w:rsidRPr="0085474C">
        <w:rPr>
          <w:rFonts w:ascii="Times New Roman" w:eastAsia="宋体" w:hAnsi="Times New Roman" w:cs="Times New Roman"/>
          <w:bCs/>
          <w:sz w:val="24"/>
          <w:szCs w:val="24"/>
          <w:vertAlign w:val="superscript"/>
        </w:rPr>
        <w:t>-1</w:t>
      </w:r>
      <w:r w:rsidRPr="0085474C">
        <w:rPr>
          <w:rFonts w:ascii="Times New Roman" w:eastAsia="宋体" w:hAnsi="Times New Roman" w:cs="Times New Roman"/>
          <w:bCs/>
          <w:sz w:val="24"/>
          <w:szCs w:val="24"/>
        </w:rPr>
        <w:t>EDTA</w:t>
      </w:r>
      <w:r w:rsidRPr="0085474C">
        <w:rPr>
          <w:rFonts w:ascii="Times New Roman" w:eastAsia="宋体" w:hAnsi="Times New Roman" w:cs="Times New Roman"/>
          <w:bCs/>
          <w:sz w:val="24"/>
          <w:szCs w:val="24"/>
        </w:rPr>
        <w:t>滴定同浓度的</w:t>
      </w:r>
      <w:r w:rsidRPr="0085474C">
        <w:rPr>
          <w:rFonts w:ascii="Times New Roman" w:eastAsia="宋体" w:hAnsi="Times New Roman" w:cs="Times New Roman"/>
          <w:bCs/>
          <w:sz w:val="24"/>
          <w:szCs w:val="24"/>
        </w:rPr>
        <w:t>Pb</w:t>
      </w:r>
      <w:r w:rsidRPr="0085474C">
        <w:rPr>
          <w:rFonts w:ascii="Times New Roman" w:eastAsia="宋体" w:hAnsi="Times New Roman" w:cs="Times New Roman"/>
          <w:bCs/>
          <w:sz w:val="24"/>
          <w:szCs w:val="24"/>
          <w:vertAlign w:val="superscript"/>
        </w:rPr>
        <w:t>2+</w:t>
      </w:r>
      <w:r w:rsidRPr="0085474C">
        <w:rPr>
          <w:rFonts w:ascii="Times New Roman" w:eastAsia="宋体" w:hAnsi="Times New Roman" w:cs="Times New Roman"/>
          <w:bCs/>
          <w:sz w:val="24"/>
          <w:szCs w:val="24"/>
        </w:rPr>
        <w:t>，以二甲酚橙（</w:t>
      </w:r>
      <w:r w:rsidRPr="0085474C">
        <w:rPr>
          <w:rFonts w:ascii="Times New Roman" w:eastAsia="宋体" w:hAnsi="Times New Roman" w:cs="Times New Roman"/>
          <w:bCs/>
          <w:sz w:val="24"/>
          <w:szCs w:val="24"/>
        </w:rPr>
        <w:t>XO</w:t>
      </w:r>
      <w:r w:rsidRPr="0085474C">
        <w:rPr>
          <w:rFonts w:ascii="Times New Roman" w:eastAsia="宋体" w:hAnsi="Times New Roman" w:cs="Times New Roman"/>
          <w:bCs/>
          <w:sz w:val="24"/>
          <w:szCs w:val="24"/>
        </w:rPr>
        <w:t>）为指示剂，在下述情况下，终点误差各是多少</w:t>
      </w:r>
    </w:p>
    <w:p w14:paraId="34C81794"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a. </w:t>
      </w:r>
      <w:r w:rsidRPr="0085474C">
        <w:rPr>
          <w:rFonts w:ascii="Times New Roman" w:eastAsia="宋体" w:hAnsi="Times New Roman" w:cs="Times New Roman"/>
          <w:bCs/>
          <w:sz w:val="24"/>
          <w:szCs w:val="24"/>
        </w:rPr>
        <w:t>使用</w:t>
      </w:r>
      <w:proofErr w:type="spellStart"/>
      <w:r w:rsidRPr="0085474C">
        <w:rPr>
          <w:rFonts w:ascii="Times New Roman" w:eastAsia="宋体" w:hAnsi="Times New Roman" w:cs="Times New Roman"/>
          <w:bCs/>
          <w:sz w:val="24"/>
          <w:szCs w:val="24"/>
        </w:rPr>
        <w:t>HAc-NaAc</w:t>
      </w:r>
      <w:proofErr w:type="spellEnd"/>
      <w:r w:rsidRPr="0085474C">
        <w:rPr>
          <w:rFonts w:ascii="Times New Roman" w:eastAsia="宋体" w:hAnsi="Times New Roman" w:cs="Times New Roman"/>
          <w:bCs/>
          <w:sz w:val="24"/>
          <w:szCs w:val="24"/>
        </w:rPr>
        <w:t>缓冲溶液控制酸度，终点时，缓冲剂总浓度为</w:t>
      </w:r>
      <w:r w:rsidRPr="0085474C">
        <w:rPr>
          <w:rFonts w:ascii="Times New Roman" w:eastAsia="宋体" w:hAnsi="Times New Roman" w:cs="Times New Roman"/>
          <w:bCs/>
          <w:sz w:val="24"/>
          <w:szCs w:val="24"/>
        </w:rPr>
        <w:t>0.31 mol·L</w:t>
      </w:r>
      <w:r w:rsidRPr="0085474C">
        <w:rPr>
          <w:rFonts w:ascii="Times New Roman" w:eastAsia="宋体" w:hAnsi="Times New Roman" w:cs="Times New Roman"/>
          <w:bCs/>
          <w:sz w:val="24"/>
          <w:szCs w:val="24"/>
          <w:vertAlign w:val="superscript"/>
        </w:rPr>
        <w:t>-1</w:t>
      </w:r>
      <w:r w:rsidRPr="0085474C">
        <w:rPr>
          <w:rFonts w:ascii="Times New Roman" w:eastAsia="宋体" w:hAnsi="Times New Roman" w:cs="Times New Roman"/>
          <w:bCs/>
          <w:sz w:val="24"/>
          <w:szCs w:val="24"/>
        </w:rPr>
        <w:t>；</w:t>
      </w:r>
    </w:p>
    <w:p w14:paraId="7B3D45FB" w14:textId="77777777" w:rsidR="0085474C" w:rsidRPr="0085474C" w:rsidRDefault="0085474C" w:rsidP="00C232D7">
      <w:pPr>
        <w:spacing w:line="440" w:lineRule="exact"/>
        <w:ind w:firstLineChars="200" w:firstLine="480"/>
        <w:rPr>
          <w:rFonts w:ascii="Times New Roman" w:eastAsia="宋体" w:hAnsi="Times New Roman" w:cs="Times New Roman"/>
          <w:szCs w:val="24"/>
        </w:rPr>
      </w:pPr>
      <w:r w:rsidRPr="0085474C">
        <w:rPr>
          <w:rFonts w:ascii="Times New Roman" w:eastAsia="宋体" w:hAnsi="Times New Roman" w:cs="Times New Roman"/>
          <w:bCs/>
          <w:sz w:val="24"/>
          <w:szCs w:val="24"/>
        </w:rPr>
        <w:t xml:space="preserve">b. </w:t>
      </w:r>
      <w:r w:rsidRPr="0085474C">
        <w:rPr>
          <w:rFonts w:ascii="Times New Roman" w:eastAsia="宋体" w:hAnsi="Times New Roman" w:cs="Times New Roman"/>
          <w:bCs/>
          <w:sz w:val="24"/>
          <w:szCs w:val="24"/>
        </w:rPr>
        <w:t>以六亚甲基四胺缓冲溶液控制酸度。已知乙酸铅络合物的</w:t>
      </w:r>
      <w:r w:rsidRPr="0085474C">
        <w:rPr>
          <w:rFonts w:ascii="Times New Roman" w:eastAsia="宋体" w:hAnsi="Times New Roman" w:cs="Times New Roman"/>
          <w:bCs/>
          <w:sz w:val="24"/>
          <w:szCs w:val="24"/>
        </w:rPr>
        <w:sym w:font="Symbol" w:char="0062"/>
      </w:r>
      <w:r w:rsidRPr="0085474C">
        <w:rPr>
          <w:rFonts w:ascii="Times New Roman" w:eastAsia="宋体" w:hAnsi="Times New Roman" w:cs="Times New Roman"/>
          <w:bCs/>
          <w:sz w:val="24"/>
          <w:szCs w:val="24"/>
          <w:vertAlign w:val="subscript"/>
        </w:rPr>
        <w:t>1</w:t>
      </w:r>
      <w:r w:rsidRPr="0085474C">
        <w:rPr>
          <w:rFonts w:ascii="Times New Roman" w:eastAsia="宋体" w:hAnsi="Times New Roman" w:cs="Times New Roman"/>
          <w:bCs/>
          <w:sz w:val="24"/>
          <w:szCs w:val="24"/>
        </w:rPr>
        <w:t>=10</w:t>
      </w:r>
      <w:r w:rsidRPr="0085474C">
        <w:rPr>
          <w:rFonts w:ascii="Times New Roman" w:eastAsia="宋体" w:hAnsi="Times New Roman" w:cs="Times New Roman"/>
          <w:bCs/>
          <w:sz w:val="24"/>
          <w:szCs w:val="24"/>
          <w:vertAlign w:val="superscript"/>
        </w:rPr>
        <w:t>1.9</w:t>
      </w:r>
      <w:r w:rsidRPr="0085474C">
        <w:rPr>
          <w:rFonts w:ascii="Times New Roman" w:eastAsia="宋体" w:hAnsi="Times New Roman" w:cs="Times New Roman"/>
          <w:bCs/>
          <w:sz w:val="24"/>
          <w:szCs w:val="24"/>
        </w:rPr>
        <w:t>，</w:t>
      </w:r>
      <w:r w:rsidRPr="0085474C">
        <w:rPr>
          <w:rFonts w:ascii="Times New Roman" w:eastAsia="宋体" w:hAnsi="Times New Roman" w:cs="Times New Roman"/>
          <w:bCs/>
          <w:sz w:val="24"/>
          <w:szCs w:val="24"/>
        </w:rPr>
        <w:t xml:space="preserve"> </w:t>
      </w:r>
      <w:r w:rsidRPr="0085474C">
        <w:rPr>
          <w:rFonts w:ascii="Times New Roman" w:eastAsia="宋体" w:hAnsi="Times New Roman" w:cs="Times New Roman"/>
          <w:bCs/>
          <w:sz w:val="24"/>
          <w:szCs w:val="24"/>
        </w:rPr>
        <w:sym w:font="Symbol" w:char="0062"/>
      </w:r>
      <w:r w:rsidRPr="0085474C">
        <w:rPr>
          <w:rFonts w:ascii="Times New Roman" w:eastAsia="宋体" w:hAnsi="Times New Roman" w:cs="Times New Roman"/>
          <w:bCs/>
          <w:sz w:val="24"/>
          <w:szCs w:val="24"/>
          <w:vertAlign w:val="subscript"/>
        </w:rPr>
        <w:t>2</w:t>
      </w:r>
      <w:r w:rsidRPr="0085474C">
        <w:rPr>
          <w:rFonts w:ascii="Times New Roman" w:eastAsia="宋体" w:hAnsi="Times New Roman" w:cs="Times New Roman"/>
          <w:bCs/>
          <w:sz w:val="24"/>
          <w:szCs w:val="24"/>
        </w:rPr>
        <w:t>=10</w:t>
      </w:r>
      <w:r w:rsidRPr="0085474C">
        <w:rPr>
          <w:rFonts w:ascii="Times New Roman" w:eastAsia="宋体" w:hAnsi="Times New Roman" w:cs="Times New Roman"/>
          <w:bCs/>
          <w:sz w:val="24"/>
          <w:szCs w:val="24"/>
          <w:vertAlign w:val="superscript"/>
        </w:rPr>
        <w:t>3.8</w:t>
      </w:r>
      <w:r w:rsidRPr="0085474C">
        <w:rPr>
          <w:rFonts w:ascii="Times New Roman" w:eastAsia="宋体" w:hAnsi="Times New Roman" w:cs="Times New Roman"/>
          <w:bCs/>
          <w:sz w:val="24"/>
          <w:szCs w:val="24"/>
        </w:rPr>
        <w:t>；</w:t>
      </w:r>
      <w:r w:rsidRPr="0085474C">
        <w:rPr>
          <w:rFonts w:ascii="Times New Roman" w:eastAsia="宋体" w:hAnsi="Times New Roman" w:cs="Times New Roman"/>
          <w:bCs/>
          <w:sz w:val="24"/>
          <w:szCs w:val="24"/>
        </w:rPr>
        <w:t>(CH</w:t>
      </w:r>
      <w:r w:rsidRPr="0085474C">
        <w:rPr>
          <w:rFonts w:ascii="Times New Roman" w:eastAsia="宋体" w:hAnsi="Times New Roman" w:cs="Times New Roman"/>
          <w:bCs/>
          <w:sz w:val="24"/>
          <w:szCs w:val="24"/>
          <w:vertAlign w:val="subscript"/>
        </w:rPr>
        <w:t>2</w:t>
      </w:r>
      <w:r w:rsidRPr="0085474C">
        <w:rPr>
          <w:rFonts w:ascii="Times New Roman" w:eastAsia="宋体" w:hAnsi="Times New Roman" w:cs="Times New Roman"/>
          <w:bCs/>
          <w:sz w:val="24"/>
          <w:szCs w:val="24"/>
        </w:rPr>
        <w:t>)</w:t>
      </w:r>
      <w:r w:rsidRPr="0085474C">
        <w:rPr>
          <w:rFonts w:ascii="Times New Roman" w:eastAsia="宋体" w:hAnsi="Times New Roman" w:cs="Times New Roman"/>
          <w:bCs/>
          <w:sz w:val="24"/>
          <w:szCs w:val="24"/>
          <w:vertAlign w:val="subscript"/>
        </w:rPr>
        <w:t>6</w:t>
      </w:r>
      <w:r w:rsidRPr="0085474C">
        <w:rPr>
          <w:rFonts w:ascii="Times New Roman" w:eastAsia="宋体" w:hAnsi="Times New Roman" w:cs="Times New Roman"/>
          <w:bCs/>
          <w:sz w:val="24"/>
          <w:szCs w:val="24"/>
        </w:rPr>
        <w:t>N</w:t>
      </w:r>
      <w:r w:rsidRPr="0085474C">
        <w:rPr>
          <w:rFonts w:ascii="Times New Roman" w:eastAsia="宋体" w:hAnsi="Times New Roman" w:cs="Times New Roman"/>
          <w:bCs/>
          <w:sz w:val="24"/>
          <w:szCs w:val="24"/>
          <w:vertAlign w:val="subscript"/>
        </w:rPr>
        <w:t>4</w:t>
      </w:r>
      <w:r w:rsidRPr="0085474C">
        <w:rPr>
          <w:rFonts w:ascii="Times New Roman" w:eastAsia="宋体" w:hAnsi="Times New Roman" w:cs="Times New Roman"/>
          <w:bCs/>
          <w:sz w:val="24"/>
          <w:szCs w:val="24"/>
        </w:rPr>
        <w:t>基本不与</w:t>
      </w:r>
      <w:r w:rsidRPr="0085474C">
        <w:rPr>
          <w:rFonts w:ascii="Times New Roman" w:eastAsia="宋体" w:hAnsi="Times New Roman" w:cs="Times New Roman"/>
          <w:bCs/>
          <w:sz w:val="24"/>
          <w:szCs w:val="24"/>
        </w:rPr>
        <w:t>Pb</w:t>
      </w:r>
      <w:r w:rsidRPr="0085474C">
        <w:rPr>
          <w:rFonts w:ascii="Times New Roman" w:eastAsia="宋体" w:hAnsi="Times New Roman" w:cs="Times New Roman"/>
          <w:bCs/>
          <w:sz w:val="24"/>
          <w:szCs w:val="24"/>
          <w:vertAlign w:val="superscript"/>
        </w:rPr>
        <w:t>2+</w:t>
      </w:r>
      <w:r w:rsidRPr="0085474C">
        <w:rPr>
          <w:rFonts w:ascii="Times New Roman" w:eastAsia="宋体" w:hAnsi="Times New Roman" w:cs="Times New Roman"/>
          <w:bCs/>
          <w:sz w:val="24"/>
          <w:szCs w:val="24"/>
        </w:rPr>
        <w:t>络合。</w:t>
      </w:r>
    </w:p>
    <w:p w14:paraId="78B29761" w14:textId="77777777" w:rsidR="0085474C" w:rsidRPr="0085474C" w:rsidRDefault="0085474C" w:rsidP="00C232D7">
      <w:pPr>
        <w:spacing w:beforeLines="50" w:before="156" w:afterLines="50" w:after="156" w:line="440" w:lineRule="exact"/>
        <w:ind w:firstLineChars="200" w:firstLine="562"/>
        <w:jc w:val="center"/>
        <w:rPr>
          <w:rFonts w:ascii="Times New Roman" w:eastAsia="黑体" w:hAnsi="Times New Roman" w:cs="Times New Roman"/>
          <w:sz w:val="28"/>
          <w:szCs w:val="28"/>
        </w:rPr>
      </w:pPr>
      <w:r w:rsidRPr="0085474C">
        <w:rPr>
          <w:rFonts w:ascii="Times New Roman" w:eastAsia="宋体" w:hAnsi="Times New Roman" w:cs="Times New Roman"/>
          <w:b/>
          <w:sz w:val="28"/>
          <w:szCs w:val="28"/>
        </w:rPr>
        <w:t>第</w:t>
      </w:r>
      <w:r w:rsidRPr="0085474C">
        <w:rPr>
          <w:rFonts w:ascii="Times New Roman" w:eastAsia="宋体" w:hAnsi="Times New Roman" w:cs="Times New Roman" w:hint="eastAsia"/>
          <w:b/>
          <w:sz w:val="28"/>
          <w:szCs w:val="28"/>
        </w:rPr>
        <w:t>六</w:t>
      </w:r>
      <w:r w:rsidRPr="0085474C">
        <w:rPr>
          <w:rFonts w:ascii="Times New Roman" w:eastAsia="宋体" w:hAnsi="Times New Roman" w:cs="Times New Roman"/>
          <w:b/>
          <w:sz w:val="28"/>
          <w:szCs w:val="28"/>
        </w:rPr>
        <w:t>章</w:t>
      </w:r>
      <w:r w:rsidRPr="0085474C">
        <w:rPr>
          <w:rFonts w:ascii="Times New Roman" w:eastAsia="宋体" w:hAnsi="Times New Roman" w:cs="Times New Roman"/>
          <w:b/>
          <w:sz w:val="28"/>
          <w:szCs w:val="28"/>
        </w:rPr>
        <w:t xml:space="preserve">  </w:t>
      </w:r>
      <w:r w:rsidRPr="0085474C">
        <w:rPr>
          <w:rFonts w:ascii="Times New Roman" w:eastAsia="宋体" w:hAnsi="Times New Roman" w:cs="Times New Roman"/>
          <w:b/>
          <w:sz w:val="28"/>
          <w:szCs w:val="28"/>
        </w:rPr>
        <w:t>氧化还原滴定法</w:t>
      </w:r>
    </w:p>
    <w:p w14:paraId="76666556"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514A933F" w14:textId="77777777" w:rsidR="0085474C" w:rsidRPr="0085474C" w:rsidRDefault="0085474C" w:rsidP="00C232D7">
      <w:pPr>
        <w:spacing w:line="440" w:lineRule="exact"/>
        <w:ind w:firstLineChars="200" w:firstLine="480"/>
        <w:rPr>
          <w:rFonts w:ascii="Times New Roman" w:eastAsia="宋体" w:hAnsi="Times New Roman" w:cs="Times New Roman"/>
          <w:bCs/>
          <w:spacing w:val="5"/>
          <w:sz w:val="24"/>
          <w:szCs w:val="24"/>
        </w:rPr>
      </w:pPr>
      <w:r w:rsidRPr="0085474C">
        <w:rPr>
          <w:rFonts w:ascii="Times New Roman" w:eastAsia="宋体" w:hAnsi="Times New Roman" w:cs="Times New Roman"/>
          <w:bCs/>
          <w:sz w:val="24"/>
          <w:szCs w:val="24"/>
        </w:rPr>
        <w:t xml:space="preserve">1. </w:t>
      </w:r>
      <w:r w:rsidRPr="0085474C">
        <w:rPr>
          <w:rFonts w:ascii="Times New Roman" w:eastAsia="宋体" w:hAnsi="Times New Roman" w:cs="Times New Roman"/>
          <w:bCs/>
          <w:sz w:val="24"/>
          <w:szCs w:val="24"/>
        </w:rPr>
        <w:t>认知类目标：</w:t>
      </w:r>
      <w:r w:rsidRPr="0085474C">
        <w:rPr>
          <w:rFonts w:ascii="Times New Roman" w:eastAsia="宋体" w:hAnsi="Times New Roman" w:cs="Times New Roman"/>
          <w:sz w:val="24"/>
          <w:szCs w:val="24"/>
        </w:rPr>
        <w:t>理解氧化还原反应的实质</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理解氧化还原反应的程度、速率及影响因素；理解氧化还原滴定原理</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理解终点误差；了解氧化还原滴定前预处理。</w:t>
      </w:r>
    </w:p>
    <w:p w14:paraId="34FFAD3B" w14:textId="77777777" w:rsidR="0085474C" w:rsidRPr="0085474C" w:rsidRDefault="0085474C" w:rsidP="00C232D7">
      <w:pPr>
        <w:spacing w:line="440" w:lineRule="exact"/>
        <w:ind w:firstLineChars="200" w:firstLine="500"/>
        <w:rPr>
          <w:rFonts w:ascii="Times New Roman" w:eastAsia="宋体" w:hAnsi="Times New Roman" w:cs="Times New Roman"/>
          <w:bCs/>
          <w:spacing w:val="5"/>
          <w:sz w:val="24"/>
          <w:szCs w:val="24"/>
        </w:rPr>
      </w:pPr>
      <w:r w:rsidRPr="0085474C">
        <w:rPr>
          <w:rFonts w:ascii="Times New Roman" w:eastAsia="宋体" w:hAnsi="Times New Roman" w:cs="Times New Roman"/>
          <w:bCs/>
          <w:spacing w:val="5"/>
          <w:sz w:val="24"/>
          <w:szCs w:val="24"/>
        </w:rPr>
        <w:t xml:space="preserve">2. </w:t>
      </w:r>
      <w:r w:rsidRPr="0085474C">
        <w:rPr>
          <w:rFonts w:ascii="Times New Roman" w:eastAsia="宋体" w:hAnsi="Times New Roman" w:cs="Times New Roman"/>
          <w:bCs/>
          <w:spacing w:val="5"/>
          <w:sz w:val="24"/>
          <w:szCs w:val="24"/>
        </w:rPr>
        <w:t>过程与方法类目标：</w:t>
      </w:r>
      <w:r w:rsidRPr="0085474C">
        <w:rPr>
          <w:rFonts w:ascii="Times New Roman" w:eastAsia="宋体" w:hAnsi="Times New Roman" w:cs="Times New Roman"/>
          <w:sz w:val="24"/>
          <w:szCs w:val="24"/>
        </w:rPr>
        <w:t>熟悉能斯特方程</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掌握条件电势及其影响因素；掌握氧化还原反应的平衡常数及其与条件电势差的关系</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熟悉常用氧化还原指示剂</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掌握氧化还原滴定过程中电极电势的计算；熟悉几种主要的氧化还原滴定法及应用；掌握氧化还原滴定结果的计算。</w:t>
      </w:r>
    </w:p>
    <w:p w14:paraId="4FA58600" w14:textId="77777777" w:rsidR="0085474C" w:rsidRPr="0085474C" w:rsidRDefault="0085474C" w:rsidP="00C232D7">
      <w:pPr>
        <w:spacing w:line="440" w:lineRule="exact"/>
        <w:ind w:firstLineChars="200" w:firstLine="500"/>
        <w:rPr>
          <w:rFonts w:ascii="Times New Roman" w:eastAsia="宋体" w:hAnsi="Times New Roman" w:cs="Times New Roman"/>
          <w:szCs w:val="24"/>
        </w:rPr>
      </w:pPr>
      <w:r w:rsidRPr="0085474C">
        <w:rPr>
          <w:rFonts w:ascii="Times New Roman" w:eastAsia="宋体" w:hAnsi="Times New Roman" w:cs="Times New Roman"/>
          <w:bCs/>
          <w:spacing w:val="5"/>
          <w:sz w:val="24"/>
          <w:szCs w:val="24"/>
        </w:rPr>
        <w:t xml:space="preserve">3. </w:t>
      </w:r>
      <w:r w:rsidRPr="0085474C">
        <w:rPr>
          <w:rFonts w:ascii="Times New Roman" w:eastAsia="宋体" w:hAnsi="Times New Roman" w:cs="Times New Roman"/>
          <w:bCs/>
          <w:spacing w:val="5"/>
          <w:sz w:val="24"/>
          <w:szCs w:val="24"/>
        </w:rPr>
        <w:t>情感、态度、价值观类目标：</w:t>
      </w:r>
      <w:r w:rsidRPr="0085474C">
        <w:rPr>
          <w:rFonts w:ascii="Times New Roman" w:eastAsia="宋体" w:hAnsi="Times New Roman" w:cs="Times New Roman" w:hint="eastAsia"/>
          <w:bCs/>
          <w:spacing w:val="5"/>
          <w:sz w:val="24"/>
          <w:szCs w:val="24"/>
        </w:rPr>
        <w:t>培养</w:t>
      </w:r>
      <w:r w:rsidRPr="0085474C">
        <w:rPr>
          <w:rFonts w:ascii="Times New Roman" w:eastAsia="宋体" w:hAnsi="Times New Roman" w:cs="Times New Roman" w:hint="eastAsia"/>
          <w:color w:val="000000"/>
          <w:sz w:val="24"/>
          <w:szCs w:val="24"/>
        </w:rPr>
        <w:t>树立正确的价值观和人生观，辩证唯物观，</w:t>
      </w:r>
      <w:r w:rsidRPr="0085474C">
        <w:rPr>
          <w:rFonts w:ascii="宋体" w:eastAsia="宋体" w:hAnsi="宋体" w:cs="Times New Roman" w:hint="eastAsia"/>
          <w:color w:val="000000"/>
          <w:sz w:val="24"/>
          <w:szCs w:val="24"/>
        </w:rPr>
        <w:t>脚踏实地，</w:t>
      </w:r>
      <w:r w:rsidRPr="0085474C">
        <w:rPr>
          <w:rFonts w:ascii="宋体" w:eastAsia="宋体" w:hAnsi="宋体" w:cs="Times New Roman" w:hint="eastAsia"/>
          <w:sz w:val="24"/>
          <w:szCs w:val="24"/>
        </w:rPr>
        <w:t>社会责任感，</w:t>
      </w:r>
      <w:r w:rsidRPr="0085474C">
        <w:rPr>
          <w:rFonts w:ascii="Times New Roman" w:eastAsia="宋体" w:hAnsi="Times New Roman" w:cs="Times New Roman" w:hint="eastAsia"/>
          <w:bCs/>
          <w:spacing w:val="5"/>
          <w:sz w:val="24"/>
          <w:szCs w:val="24"/>
        </w:rPr>
        <w:t>环保意识，</w:t>
      </w:r>
      <w:r w:rsidRPr="0085474C">
        <w:rPr>
          <w:rFonts w:ascii="Times New Roman" w:eastAsia="宋体" w:hAnsi="Times New Roman" w:cs="Times New Roman" w:hint="eastAsia"/>
          <w:sz w:val="24"/>
          <w:szCs w:val="24"/>
        </w:rPr>
        <w:t>树立民族自信和文化自信</w:t>
      </w:r>
      <w:r w:rsidRPr="0085474C">
        <w:rPr>
          <w:rFonts w:ascii="Times New Roman" w:eastAsia="宋体" w:hAnsi="Times New Roman" w:cs="Times New Roman" w:hint="eastAsia"/>
          <w:color w:val="000000"/>
          <w:sz w:val="24"/>
          <w:szCs w:val="24"/>
        </w:rPr>
        <w:t>。</w:t>
      </w:r>
    </w:p>
    <w:p w14:paraId="1C12987A"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10703812"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6.1 </w:t>
      </w:r>
      <w:r w:rsidRPr="0085474C">
        <w:rPr>
          <w:rFonts w:ascii="Times New Roman" w:eastAsia="宋体" w:hAnsi="Times New Roman" w:cs="Times New Roman"/>
          <w:sz w:val="24"/>
          <w:szCs w:val="24"/>
        </w:rPr>
        <w:t>氧化还原平衡</w:t>
      </w:r>
    </w:p>
    <w:p w14:paraId="3C23C369"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6.2</w:t>
      </w:r>
      <w:r w:rsidRPr="0085474C">
        <w:rPr>
          <w:rFonts w:ascii="Times New Roman" w:eastAsia="宋体" w:hAnsi="Times New Roman" w:cs="Times New Roman"/>
          <w:sz w:val="24"/>
          <w:szCs w:val="24"/>
        </w:rPr>
        <w:t>氧化还原滴定原理</w:t>
      </w:r>
      <w:r w:rsidRPr="0085474C">
        <w:rPr>
          <w:rFonts w:ascii="Times New Roman" w:eastAsia="宋体" w:hAnsi="Times New Roman" w:cs="Times New Roman"/>
          <w:sz w:val="24"/>
          <w:szCs w:val="24"/>
        </w:rPr>
        <w:t xml:space="preserve"> </w:t>
      </w:r>
    </w:p>
    <w:p w14:paraId="430C67D0"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6.3</w:t>
      </w:r>
      <w:r w:rsidRPr="0085474C">
        <w:rPr>
          <w:rFonts w:ascii="Times New Roman" w:eastAsia="宋体" w:hAnsi="Times New Roman" w:cs="Times New Roman"/>
          <w:sz w:val="24"/>
          <w:szCs w:val="24"/>
        </w:rPr>
        <w:t>氧化还原滴定中的预处理</w:t>
      </w:r>
    </w:p>
    <w:p w14:paraId="4DF77A24"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6.4</w:t>
      </w:r>
      <w:r w:rsidRPr="0085474C">
        <w:rPr>
          <w:rFonts w:ascii="Times New Roman" w:eastAsia="宋体" w:hAnsi="Times New Roman" w:cs="Times New Roman"/>
          <w:sz w:val="24"/>
          <w:szCs w:val="24"/>
        </w:rPr>
        <w:t>常用的氧化还原滴定法</w:t>
      </w:r>
      <w:r w:rsidRPr="0085474C">
        <w:rPr>
          <w:rFonts w:ascii="Times New Roman" w:eastAsia="宋体" w:hAnsi="Times New Roman" w:cs="Times New Roman"/>
          <w:sz w:val="24"/>
          <w:szCs w:val="24"/>
        </w:rPr>
        <w:t xml:space="preserve"> </w:t>
      </w:r>
    </w:p>
    <w:p w14:paraId="2A15A047"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6.5</w:t>
      </w:r>
      <w:r w:rsidRPr="0085474C">
        <w:rPr>
          <w:rFonts w:ascii="Times New Roman" w:eastAsia="宋体" w:hAnsi="Times New Roman" w:cs="Times New Roman"/>
          <w:sz w:val="24"/>
          <w:szCs w:val="24"/>
        </w:rPr>
        <w:t>氧化还原滴定结果的计算</w:t>
      </w:r>
    </w:p>
    <w:p w14:paraId="1AB29E89" w14:textId="77777777" w:rsidR="0085474C" w:rsidRPr="0085474C" w:rsidRDefault="0085474C" w:rsidP="00C232D7">
      <w:pPr>
        <w:spacing w:line="440" w:lineRule="exact"/>
        <w:ind w:firstLineChars="200" w:firstLine="482"/>
        <w:rPr>
          <w:rFonts w:ascii="Times New Roman" w:eastAsia="宋体" w:hAnsi="Times New Roman" w:cs="Times New Roman"/>
          <w:szCs w:val="24"/>
        </w:rPr>
      </w:pPr>
      <w:r w:rsidRPr="0085474C">
        <w:rPr>
          <w:rFonts w:ascii="Times New Roman" w:eastAsia="宋体" w:hAnsi="Times New Roman" w:cs="Times New Roman"/>
          <w:b/>
          <w:sz w:val="24"/>
          <w:szCs w:val="24"/>
        </w:rPr>
        <w:t>【重点】</w:t>
      </w:r>
      <w:r w:rsidRPr="0085474C">
        <w:rPr>
          <w:rFonts w:ascii="Times New Roman" w:eastAsia="宋体" w:hAnsi="Times New Roman" w:cs="Times New Roman"/>
          <w:sz w:val="24"/>
          <w:szCs w:val="24"/>
        </w:rPr>
        <w:t>条件电势的计算，影响氧化还原反应速度的因素，滴定过程中电极电势的计算，氧化还原指示剂的选择，主要氧化还原滴定法的原理、特点及应用。</w:t>
      </w:r>
    </w:p>
    <w:p w14:paraId="51789FF9" w14:textId="77777777" w:rsidR="0085474C" w:rsidRPr="0085474C"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t>【难点】</w:t>
      </w:r>
      <w:r w:rsidRPr="0085474C">
        <w:rPr>
          <w:rFonts w:ascii="Times New Roman" w:eastAsia="宋体" w:hAnsi="Times New Roman" w:cs="Times New Roman"/>
          <w:sz w:val="24"/>
          <w:szCs w:val="24"/>
        </w:rPr>
        <w:t>条件电势的计算，主要氧化还原滴定法的应用。</w:t>
      </w:r>
    </w:p>
    <w:p w14:paraId="1B9DE1C2" w14:textId="77777777" w:rsidR="0085474C" w:rsidRPr="0085474C"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bCs/>
          <w:sz w:val="24"/>
          <w:szCs w:val="24"/>
        </w:rPr>
        <w:t>【教学方法】</w:t>
      </w:r>
    </w:p>
    <w:p w14:paraId="12EAA233"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lastRenderedPageBreak/>
        <w:t>（</w:t>
      </w:r>
      <w:r w:rsidRPr="0085474C">
        <w:rPr>
          <w:rFonts w:ascii="Times New Roman" w:eastAsia="宋体" w:hAnsi="Times New Roman" w:cs="Times New Roman" w:hint="eastAsia"/>
          <w:sz w:val="24"/>
          <w:szCs w:val="24"/>
        </w:rPr>
        <w:t>1</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4E5D4662"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2</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采用类比式教学法，可以将有机化学知识点与日常事例相类比，也可将各类化合物的某些相关知识点进行类比，由熟悉到不熟悉，从而</w:t>
      </w:r>
      <w:r w:rsidRPr="0085474C">
        <w:rPr>
          <w:rFonts w:ascii="Times New Roman" w:eastAsia="宋体" w:hAnsi="Times New Roman" w:cs="Times New Roman"/>
          <w:color w:val="000000"/>
          <w:kern w:val="0"/>
          <w:sz w:val="24"/>
          <w:szCs w:val="24"/>
          <w:lang w:bidi="ar"/>
        </w:rPr>
        <w:t>使要讲授的内容变得通俗易懂</w:t>
      </w:r>
      <w:r w:rsidRPr="0085474C">
        <w:rPr>
          <w:rFonts w:ascii="Times New Roman" w:eastAsia="A4" w:hAnsi="Times New Roman" w:cs="Times New Roman"/>
          <w:color w:val="000000"/>
          <w:kern w:val="0"/>
          <w:sz w:val="24"/>
          <w:szCs w:val="24"/>
          <w:lang w:bidi="ar"/>
        </w:rPr>
        <w:t xml:space="preserve">, </w:t>
      </w:r>
      <w:r w:rsidRPr="0085474C">
        <w:rPr>
          <w:rFonts w:ascii="Times New Roman" w:eastAsia="宋体" w:hAnsi="Times New Roman" w:cs="Times New Roman"/>
          <w:color w:val="000000"/>
          <w:kern w:val="0"/>
          <w:sz w:val="24"/>
          <w:szCs w:val="24"/>
          <w:lang w:bidi="ar"/>
        </w:rPr>
        <w:t>容易接受，</w:t>
      </w:r>
      <w:r w:rsidRPr="0085474C">
        <w:rPr>
          <w:rFonts w:ascii="Times New Roman" w:eastAsia="宋体" w:hAnsi="Times New Roman" w:cs="Times New Roman"/>
          <w:sz w:val="24"/>
          <w:szCs w:val="24"/>
        </w:rPr>
        <w:t>培养学生举一反三、触类旁通的学习能力。</w:t>
      </w:r>
    </w:p>
    <w:p w14:paraId="6B61FEDB"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【复习思考】</w:t>
      </w:r>
    </w:p>
    <w:p w14:paraId="297B0EEC"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）解释下列现象</w:t>
      </w:r>
    </w:p>
    <w:p w14:paraId="70F834D8" w14:textId="77777777" w:rsidR="0085474C" w:rsidRPr="0085474C" w:rsidRDefault="0085474C" w:rsidP="00C232D7">
      <w:pPr>
        <w:widowControl/>
        <w:snapToGrid w:val="0"/>
        <w:spacing w:line="50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a. </w:t>
      </w:r>
      <w:r w:rsidRPr="0085474C">
        <w:rPr>
          <w:rFonts w:ascii="Times New Roman" w:eastAsia="宋体" w:hAnsi="Times New Roman" w:cs="Times New Roman"/>
          <w:sz w:val="24"/>
          <w:szCs w:val="24"/>
        </w:rPr>
        <w:t>将氯水慢慢加入到含有</w:t>
      </w:r>
      <w:r w:rsidRPr="0085474C">
        <w:rPr>
          <w:rFonts w:ascii="Times New Roman" w:eastAsia="宋体" w:hAnsi="Times New Roman" w:cs="Times New Roman"/>
          <w:sz w:val="24"/>
          <w:szCs w:val="24"/>
        </w:rPr>
        <w:t>Br</w:t>
      </w:r>
      <w:r w:rsidRPr="0085474C">
        <w:rPr>
          <w:rFonts w:ascii="Times New Roman" w:eastAsia="宋体" w:hAnsi="Times New Roman" w:cs="Times New Roman"/>
          <w:sz w:val="24"/>
          <w:szCs w:val="24"/>
          <w:vertAlign w:val="superscript"/>
        </w:rPr>
        <w:t>-</w:t>
      </w:r>
      <w:r w:rsidRPr="0085474C">
        <w:rPr>
          <w:rFonts w:ascii="Times New Roman" w:eastAsia="宋体" w:hAnsi="Times New Roman" w:cs="Times New Roman"/>
          <w:sz w:val="24"/>
          <w:szCs w:val="24"/>
        </w:rPr>
        <w:t>和</w:t>
      </w:r>
      <w:r w:rsidRPr="0085474C">
        <w:rPr>
          <w:rFonts w:ascii="Times New Roman" w:eastAsia="宋体" w:hAnsi="Times New Roman" w:cs="Times New Roman"/>
          <w:sz w:val="24"/>
          <w:szCs w:val="24"/>
        </w:rPr>
        <w:t>I</w:t>
      </w:r>
      <w:r w:rsidRPr="0085474C">
        <w:rPr>
          <w:rFonts w:ascii="Times New Roman" w:eastAsia="宋体" w:hAnsi="Times New Roman" w:cs="Times New Roman"/>
          <w:sz w:val="24"/>
          <w:szCs w:val="24"/>
          <w:vertAlign w:val="superscript"/>
        </w:rPr>
        <w:t>-</w:t>
      </w:r>
      <w:r w:rsidRPr="0085474C">
        <w:rPr>
          <w:rFonts w:ascii="Times New Roman" w:eastAsia="宋体" w:hAnsi="Times New Roman" w:cs="Times New Roman"/>
          <w:sz w:val="24"/>
          <w:szCs w:val="24"/>
        </w:rPr>
        <w:t>的酸性溶液中，以</w:t>
      </w:r>
      <w:r w:rsidRPr="0085474C">
        <w:rPr>
          <w:rFonts w:ascii="Times New Roman" w:eastAsia="宋体" w:hAnsi="Times New Roman" w:cs="Times New Roman"/>
          <w:sz w:val="24"/>
          <w:szCs w:val="24"/>
        </w:rPr>
        <w:t>CCl</w:t>
      </w:r>
      <w:r w:rsidRPr="0085474C">
        <w:rPr>
          <w:rFonts w:ascii="Times New Roman" w:eastAsia="宋体" w:hAnsi="Times New Roman" w:cs="Times New Roman"/>
          <w:sz w:val="24"/>
          <w:szCs w:val="24"/>
          <w:vertAlign w:val="subscript"/>
        </w:rPr>
        <w:t>4</w:t>
      </w:r>
      <w:r w:rsidRPr="0085474C">
        <w:rPr>
          <w:rFonts w:ascii="Times New Roman" w:eastAsia="宋体" w:hAnsi="Times New Roman" w:cs="Times New Roman"/>
          <w:sz w:val="24"/>
          <w:szCs w:val="24"/>
        </w:rPr>
        <w:t>萃取，</w:t>
      </w:r>
      <w:r w:rsidRPr="0085474C">
        <w:rPr>
          <w:rFonts w:ascii="Times New Roman" w:eastAsia="宋体" w:hAnsi="Times New Roman" w:cs="Times New Roman"/>
          <w:sz w:val="24"/>
          <w:szCs w:val="24"/>
        </w:rPr>
        <w:t>CCl</w:t>
      </w:r>
      <w:r w:rsidRPr="0085474C">
        <w:rPr>
          <w:rFonts w:ascii="Times New Roman" w:eastAsia="宋体" w:hAnsi="Times New Roman" w:cs="Times New Roman"/>
          <w:sz w:val="24"/>
          <w:szCs w:val="24"/>
          <w:vertAlign w:val="subscript"/>
        </w:rPr>
        <w:t>4</w:t>
      </w:r>
      <w:r w:rsidRPr="0085474C">
        <w:rPr>
          <w:rFonts w:ascii="Times New Roman" w:eastAsia="宋体" w:hAnsi="Times New Roman" w:cs="Times New Roman"/>
          <w:sz w:val="24"/>
          <w:szCs w:val="24"/>
        </w:rPr>
        <w:t>层变为紫色</w:t>
      </w:r>
    </w:p>
    <w:p w14:paraId="7D103CC0" w14:textId="77777777" w:rsidR="0085474C" w:rsidRPr="0085474C" w:rsidRDefault="0085474C" w:rsidP="00C232D7">
      <w:pPr>
        <w:widowControl/>
        <w:snapToGrid w:val="0"/>
        <w:spacing w:line="50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b. Fe</w:t>
      </w:r>
      <w:r w:rsidRPr="0085474C">
        <w:rPr>
          <w:rFonts w:ascii="Times New Roman" w:eastAsia="宋体" w:hAnsi="Times New Roman" w:cs="Times New Roman"/>
          <w:sz w:val="24"/>
          <w:szCs w:val="24"/>
          <w:vertAlign w:val="superscript"/>
        </w:rPr>
        <w:t>2+</w:t>
      </w:r>
      <w:r w:rsidRPr="0085474C">
        <w:rPr>
          <w:rFonts w:ascii="Times New Roman" w:eastAsia="宋体" w:hAnsi="Times New Roman" w:cs="Times New Roman"/>
          <w:sz w:val="24"/>
          <w:szCs w:val="24"/>
        </w:rPr>
        <w:t>的存在加水</w:t>
      </w:r>
      <w:r w:rsidRPr="0085474C">
        <w:rPr>
          <w:rFonts w:ascii="Times New Roman" w:eastAsia="宋体" w:hAnsi="Times New Roman" w:cs="Times New Roman"/>
          <w:sz w:val="24"/>
          <w:szCs w:val="24"/>
        </w:rPr>
        <w:t>KMnO</w:t>
      </w:r>
      <w:r w:rsidRPr="0085474C">
        <w:rPr>
          <w:rFonts w:ascii="Times New Roman" w:eastAsia="宋体" w:hAnsi="Times New Roman" w:cs="Times New Roman"/>
          <w:sz w:val="24"/>
          <w:szCs w:val="24"/>
          <w:vertAlign w:val="subscript"/>
        </w:rPr>
        <w:t>4</w:t>
      </w:r>
      <w:r w:rsidRPr="0085474C">
        <w:rPr>
          <w:rFonts w:ascii="Times New Roman" w:eastAsia="宋体" w:hAnsi="Times New Roman" w:cs="Times New Roman"/>
          <w:sz w:val="24"/>
          <w:szCs w:val="24"/>
        </w:rPr>
        <w:t>氧化</w:t>
      </w:r>
      <w:r w:rsidRPr="0085474C">
        <w:rPr>
          <w:rFonts w:ascii="Times New Roman" w:eastAsia="宋体" w:hAnsi="Times New Roman" w:cs="Times New Roman"/>
          <w:sz w:val="24"/>
          <w:szCs w:val="24"/>
        </w:rPr>
        <w:t>Cl</w:t>
      </w:r>
      <w:r w:rsidRPr="0085474C">
        <w:rPr>
          <w:rFonts w:ascii="Times New Roman" w:eastAsia="宋体" w:hAnsi="Times New Roman" w:cs="Times New Roman"/>
          <w:sz w:val="24"/>
          <w:szCs w:val="24"/>
          <w:vertAlign w:val="superscript"/>
        </w:rPr>
        <w:t>-</w:t>
      </w:r>
      <w:r w:rsidRPr="0085474C">
        <w:rPr>
          <w:rFonts w:ascii="Times New Roman" w:eastAsia="宋体" w:hAnsi="Times New Roman" w:cs="Times New Roman"/>
          <w:sz w:val="24"/>
          <w:szCs w:val="24"/>
        </w:rPr>
        <w:t>的反应</w:t>
      </w:r>
    </w:p>
    <w:p w14:paraId="72F77C5F" w14:textId="77777777" w:rsidR="0085474C" w:rsidRPr="0085474C" w:rsidRDefault="0085474C" w:rsidP="00C232D7">
      <w:pPr>
        <w:widowControl/>
        <w:snapToGrid w:val="0"/>
        <w:spacing w:line="50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c. </w:t>
      </w:r>
      <w:r w:rsidRPr="0085474C">
        <w:rPr>
          <w:rFonts w:ascii="Times New Roman" w:eastAsia="宋体" w:hAnsi="Times New Roman" w:cs="Times New Roman"/>
          <w:sz w:val="24"/>
          <w:szCs w:val="24"/>
        </w:rPr>
        <w:t>以</w:t>
      </w:r>
      <w:r w:rsidRPr="0085474C">
        <w:rPr>
          <w:rFonts w:ascii="Times New Roman" w:eastAsia="宋体" w:hAnsi="Times New Roman" w:cs="Times New Roman"/>
          <w:sz w:val="24"/>
          <w:szCs w:val="24"/>
        </w:rPr>
        <w:t>KMnO</w:t>
      </w:r>
      <w:r w:rsidRPr="0085474C">
        <w:rPr>
          <w:rFonts w:ascii="Times New Roman" w:eastAsia="宋体" w:hAnsi="Times New Roman" w:cs="Times New Roman"/>
          <w:sz w:val="24"/>
          <w:szCs w:val="24"/>
          <w:vertAlign w:val="subscript"/>
        </w:rPr>
        <w:t>4</w:t>
      </w:r>
      <w:r w:rsidRPr="0085474C">
        <w:rPr>
          <w:rFonts w:ascii="Times New Roman" w:eastAsia="宋体" w:hAnsi="Times New Roman" w:cs="Times New Roman"/>
          <w:sz w:val="24"/>
          <w:szCs w:val="24"/>
        </w:rPr>
        <w:t>滴定</w:t>
      </w:r>
      <w:r w:rsidRPr="0085474C">
        <w:rPr>
          <w:rFonts w:ascii="Times New Roman" w:eastAsia="宋体" w:hAnsi="Times New Roman" w:cs="Times New Roman"/>
          <w:sz w:val="24"/>
          <w:szCs w:val="24"/>
        </w:rPr>
        <w:t>C</w:t>
      </w:r>
      <w:r w:rsidRPr="0085474C">
        <w:rPr>
          <w:rFonts w:ascii="Times New Roman" w:eastAsia="宋体" w:hAnsi="Times New Roman" w:cs="Times New Roman"/>
          <w:sz w:val="24"/>
          <w:szCs w:val="24"/>
          <w:vertAlign w:val="subscript"/>
        </w:rPr>
        <w:t>2</w:t>
      </w:r>
      <w:r w:rsidRPr="0085474C">
        <w:rPr>
          <w:rFonts w:ascii="Times New Roman" w:eastAsia="宋体" w:hAnsi="Times New Roman" w:cs="Times New Roman"/>
          <w:sz w:val="24"/>
          <w:szCs w:val="24"/>
        </w:rPr>
        <w:t>O</w:t>
      </w:r>
      <w:r w:rsidRPr="0085474C">
        <w:rPr>
          <w:rFonts w:ascii="Times New Roman" w:eastAsia="宋体" w:hAnsi="Times New Roman" w:cs="Times New Roman"/>
          <w:sz w:val="24"/>
          <w:szCs w:val="24"/>
          <w:vertAlign w:val="subscript"/>
        </w:rPr>
        <w:t>4</w:t>
      </w:r>
      <w:r w:rsidRPr="0085474C">
        <w:rPr>
          <w:rFonts w:ascii="Times New Roman" w:eastAsia="宋体" w:hAnsi="Times New Roman" w:cs="Times New Roman"/>
          <w:sz w:val="24"/>
          <w:szCs w:val="24"/>
          <w:vertAlign w:val="superscript"/>
        </w:rPr>
        <w:t>2-</w:t>
      </w:r>
      <w:r w:rsidRPr="0085474C">
        <w:rPr>
          <w:rFonts w:ascii="Times New Roman" w:eastAsia="宋体" w:hAnsi="Times New Roman" w:cs="Times New Roman"/>
          <w:sz w:val="24"/>
          <w:szCs w:val="24"/>
        </w:rPr>
        <w:t>时，滴入</w:t>
      </w:r>
      <w:r w:rsidRPr="0085474C">
        <w:rPr>
          <w:rFonts w:ascii="Times New Roman" w:eastAsia="宋体" w:hAnsi="Times New Roman" w:cs="Times New Roman"/>
          <w:sz w:val="24"/>
          <w:szCs w:val="24"/>
        </w:rPr>
        <w:t>KMnO</w:t>
      </w:r>
      <w:r w:rsidRPr="0085474C">
        <w:rPr>
          <w:rFonts w:ascii="Times New Roman" w:eastAsia="宋体" w:hAnsi="Times New Roman" w:cs="Times New Roman"/>
          <w:sz w:val="24"/>
          <w:szCs w:val="24"/>
          <w:vertAlign w:val="subscript"/>
        </w:rPr>
        <w:t>4</w:t>
      </w:r>
      <w:r w:rsidRPr="0085474C">
        <w:rPr>
          <w:rFonts w:ascii="Times New Roman" w:eastAsia="宋体" w:hAnsi="Times New Roman" w:cs="Times New Roman"/>
          <w:sz w:val="24"/>
          <w:szCs w:val="24"/>
        </w:rPr>
        <w:t>的红色消失速度由慢到快</w:t>
      </w:r>
    </w:p>
    <w:p w14:paraId="1B6B34A3" w14:textId="77777777" w:rsidR="0085474C" w:rsidRPr="0085474C" w:rsidRDefault="0085474C" w:rsidP="00C232D7">
      <w:pPr>
        <w:widowControl/>
        <w:snapToGrid w:val="0"/>
        <w:spacing w:line="50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）碘量法的主要误差来源有哪些？配制、标定、保存</w:t>
      </w:r>
      <w:r w:rsidRPr="0085474C">
        <w:rPr>
          <w:rFonts w:ascii="Times New Roman" w:eastAsia="宋体" w:hAnsi="Times New Roman" w:cs="Times New Roman"/>
          <w:sz w:val="24"/>
          <w:szCs w:val="24"/>
        </w:rPr>
        <w:t>I</w:t>
      </w:r>
      <w:r w:rsidRPr="0085474C">
        <w:rPr>
          <w:rFonts w:ascii="Times New Roman" w:eastAsia="宋体" w:hAnsi="Times New Roman" w:cs="Times New Roman"/>
          <w:sz w:val="24"/>
          <w:szCs w:val="24"/>
          <w:vertAlign w:val="subscript"/>
        </w:rPr>
        <w:t>2</w:t>
      </w:r>
      <w:r w:rsidRPr="0085474C">
        <w:rPr>
          <w:rFonts w:ascii="Times New Roman" w:eastAsia="宋体" w:hAnsi="Times New Roman" w:cs="Times New Roman"/>
          <w:sz w:val="24"/>
          <w:szCs w:val="24"/>
        </w:rPr>
        <w:t>标准溶液时，应注意哪些事项？</w:t>
      </w:r>
    </w:p>
    <w:p w14:paraId="7ACF08E2"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bCs/>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）计算在</w:t>
      </w:r>
      <w:r w:rsidRPr="0085474C">
        <w:rPr>
          <w:rFonts w:ascii="Times New Roman" w:eastAsia="宋体" w:hAnsi="Times New Roman" w:cs="Times New Roman"/>
          <w:sz w:val="24"/>
          <w:szCs w:val="24"/>
        </w:rPr>
        <w:t>1,10</w:t>
      </w:r>
      <w:r w:rsidRPr="0085474C">
        <w:rPr>
          <w:rFonts w:ascii="Times New Roman" w:eastAsia="宋体" w:hAnsi="Times New Roman" w:cs="Times New Roman"/>
          <w:sz w:val="24"/>
          <w:szCs w:val="24"/>
        </w:rPr>
        <w:t>邻二氮菲存在下，溶液含</w:t>
      </w:r>
      <w:r w:rsidRPr="0085474C">
        <w:rPr>
          <w:rFonts w:ascii="Times New Roman" w:eastAsia="宋体" w:hAnsi="Times New Roman" w:cs="Times New Roman"/>
          <w:sz w:val="24"/>
          <w:szCs w:val="24"/>
        </w:rPr>
        <w:t>H</w:t>
      </w:r>
      <w:r w:rsidRPr="0085474C">
        <w:rPr>
          <w:rFonts w:ascii="Times New Roman" w:eastAsia="宋体" w:hAnsi="Times New Roman" w:cs="Times New Roman"/>
          <w:sz w:val="24"/>
          <w:szCs w:val="24"/>
          <w:vertAlign w:val="subscript"/>
        </w:rPr>
        <w:t>2</w:t>
      </w:r>
      <w:r w:rsidRPr="0085474C">
        <w:rPr>
          <w:rFonts w:ascii="Times New Roman" w:eastAsia="宋体" w:hAnsi="Times New Roman" w:cs="Times New Roman"/>
          <w:sz w:val="24"/>
          <w:szCs w:val="24"/>
        </w:rPr>
        <w:t>SO</w:t>
      </w:r>
      <w:r w:rsidRPr="0085474C">
        <w:rPr>
          <w:rFonts w:ascii="Times New Roman" w:eastAsia="宋体" w:hAnsi="Times New Roman" w:cs="Times New Roman"/>
          <w:sz w:val="24"/>
          <w:szCs w:val="24"/>
          <w:vertAlign w:val="subscript"/>
        </w:rPr>
        <w:t>4</w:t>
      </w:r>
      <w:r w:rsidRPr="0085474C">
        <w:rPr>
          <w:rFonts w:ascii="Times New Roman" w:eastAsia="宋体" w:hAnsi="Times New Roman" w:cs="Times New Roman"/>
          <w:sz w:val="24"/>
          <w:szCs w:val="24"/>
        </w:rPr>
        <w:t>浓度为</w:t>
      </w:r>
      <w:r w:rsidRPr="0085474C">
        <w:rPr>
          <w:rFonts w:ascii="Times New Roman" w:eastAsia="宋体" w:hAnsi="Times New Roman" w:cs="Times New Roman"/>
          <w:sz w:val="24"/>
          <w:szCs w:val="24"/>
        </w:rPr>
        <w:t>1</w:t>
      </w:r>
      <w:r w:rsidRPr="0085474C">
        <w:rPr>
          <w:rFonts w:ascii="Times New Roman" w:eastAsia="宋体" w:hAnsi="Times New Roman" w:cs="Times New Roman"/>
          <w:bCs/>
          <w:sz w:val="24"/>
          <w:szCs w:val="24"/>
        </w:rPr>
        <w:t xml:space="preserve"> mol·L</w:t>
      </w:r>
      <w:r w:rsidRPr="0085474C">
        <w:rPr>
          <w:rFonts w:ascii="Times New Roman" w:eastAsia="宋体" w:hAnsi="Times New Roman" w:cs="Times New Roman"/>
          <w:bCs/>
          <w:sz w:val="24"/>
          <w:szCs w:val="24"/>
          <w:vertAlign w:val="superscript"/>
        </w:rPr>
        <w:t>-1</w:t>
      </w:r>
      <w:r w:rsidRPr="0085474C">
        <w:rPr>
          <w:rFonts w:ascii="Times New Roman" w:eastAsia="宋体" w:hAnsi="Times New Roman" w:cs="Times New Roman"/>
          <w:bCs/>
          <w:sz w:val="24"/>
          <w:szCs w:val="24"/>
        </w:rPr>
        <w:t>时</w:t>
      </w:r>
      <w:r w:rsidRPr="0085474C">
        <w:rPr>
          <w:rFonts w:ascii="Times New Roman" w:eastAsia="宋体" w:hAnsi="Times New Roman" w:cs="Times New Roman"/>
          <w:bCs/>
          <w:sz w:val="24"/>
          <w:szCs w:val="24"/>
        </w:rPr>
        <w:t>Fe</w:t>
      </w:r>
      <w:r w:rsidRPr="0085474C">
        <w:rPr>
          <w:rFonts w:ascii="Times New Roman" w:eastAsia="宋体" w:hAnsi="Times New Roman" w:cs="Times New Roman"/>
          <w:bCs/>
          <w:sz w:val="24"/>
          <w:szCs w:val="24"/>
          <w:vertAlign w:val="superscript"/>
        </w:rPr>
        <w:t>3+</w:t>
      </w:r>
      <w:r w:rsidRPr="0085474C">
        <w:rPr>
          <w:rFonts w:ascii="Times New Roman" w:eastAsia="宋体" w:hAnsi="Times New Roman" w:cs="Times New Roman"/>
          <w:bCs/>
          <w:sz w:val="24"/>
          <w:szCs w:val="24"/>
        </w:rPr>
        <w:t>/Fe</w:t>
      </w:r>
      <w:r w:rsidRPr="0085474C">
        <w:rPr>
          <w:rFonts w:ascii="Times New Roman" w:eastAsia="宋体" w:hAnsi="Times New Roman" w:cs="Times New Roman"/>
          <w:bCs/>
          <w:sz w:val="24"/>
          <w:szCs w:val="24"/>
          <w:vertAlign w:val="superscript"/>
        </w:rPr>
        <w:t>2+</w:t>
      </w:r>
      <w:proofErr w:type="gramStart"/>
      <w:r w:rsidRPr="0085474C">
        <w:rPr>
          <w:rFonts w:ascii="Times New Roman" w:eastAsia="宋体" w:hAnsi="Times New Roman" w:cs="Times New Roman"/>
          <w:bCs/>
          <w:sz w:val="24"/>
          <w:szCs w:val="24"/>
        </w:rPr>
        <w:t>电对的</w:t>
      </w:r>
      <w:proofErr w:type="gramEnd"/>
      <w:r w:rsidRPr="0085474C">
        <w:rPr>
          <w:rFonts w:ascii="Times New Roman" w:eastAsia="宋体" w:hAnsi="Times New Roman" w:cs="Times New Roman"/>
          <w:bCs/>
          <w:sz w:val="24"/>
          <w:szCs w:val="24"/>
        </w:rPr>
        <w:t>条件电势。忽略离子强度的影响，已知在</w:t>
      </w:r>
      <w:r w:rsidRPr="0085474C">
        <w:rPr>
          <w:rFonts w:ascii="Times New Roman" w:eastAsia="宋体" w:hAnsi="Times New Roman" w:cs="Times New Roman"/>
          <w:sz w:val="24"/>
          <w:szCs w:val="24"/>
        </w:rPr>
        <w:t>1</w:t>
      </w:r>
      <w:r w:rsidRPr="0085474C">
        <w:rPr>
          <w:rFonts w:ascii="Times New Roman" w:eastAsia="宋体" w:hAnsi="Times New Roman" w:cs="Times New Roman"/>
          <w:bCs/>
          <w:sz w:val="24"/>
          <w:szCs w:val="24"/>
        </w:rPr>
        <w:t xml:space="preserve"> mol·L</w:t>
      </w:r>
      <w:r w:rsidRPr="0085474C">
        <w:rPr>
          <w:rFonts w:ascii="Times New Roman" w:eastAsia="宋体" w:hAnsi="Times New Roman" w:cs="Times New Roman"/>
          <w:bCs/>
          <w:sz w:val="24"/>
          <w:szCs w:val="24"/>
          <w:vertAlign w:val="superscript"/>
        </w:rPr>
        <w:t>-1</w:t>
      </w:r>
      <w:r w:rsidRPr="0085474C">
        <w:rPr>
          <w:rFonts w:ascii="Times New Roman" w:eastAsia="宋体" w:hAnsi="Times New Roman" w:cs="Times New Roman"/>
          <w:sz w:val="24"/>
          <w:szCs w:val="24"/>
        </w:rPr>
        <w:t xml:space="preserve"> H</w:t>
      </w:r>
      <w:r w:rsidRPr="0085474C">
        <w:rPr>
          <w:rFonts w:ascii="Times New Roman" w:eastAsia="宋体" w:hAnsi="Times New Roman" w:cs="Times New Roman"/>
          <w:sz w:val="24"/>
          <w:szCs w:val="24"/>
          <w:vertAlign w:val="subscript"/>
        </w:rPr>
        <w:t>2</w:t>
      </w:r>
      <w:r w:rsidRPr="0085474C">
        <w:rPr>
          <w:rFonts w:ascii="Times New Roman" w:eastAsia="宋体" w:hAnsi="Times New Roman" w:cs="Times New Roman"/>
          <w:sz w:val="24"/>
          <w:szCs w:val="24"/>
        </w:rPr>
        <w:t>SO</w:t>
      </w:r>
      <w:r w:rsidRPr="0085474C">
        <w:rPr>
          <w:rFonts w:ascii="Times New Roman" w:eastAsia="宋体" w:hAnsi="Times New Roman" w:cs="Times New Roman"/>
          <w:sz w:val="24"/>
          <w:szCs w:val="24"/>
          <w:vertAlign w:val="subscript"/>
        </w:rPr>
        <w:t>4</w:t>
      </w:r>
      <w:r w:rsidRPr="0085474C">
        <w:rPr>
          <w:rFonts w:ascii="Times New Roman" w:eastAsia="宋体" w:hAnsi="Times New Roman" w:cs="Times New Roman"/>
          <w:bCs/>
          <w:sz w:val="24"/>
          <w:szCs w:val="24"/>
        </w:rPr>
        <w:t>中，亚铁配位化合物与高铁配位化合物的稳定常数之比</w:t>
      </w:r>
      <w:proofErr w:type="spellStart"/>
      <w:r w:rsidRPr="0085474C">
        <w:rPr>
          <w:rFonts w:ascii="Times New Roman" w:eastAsia="宋体" w:hAnsi="Times New Roman" w:cs="Times New Roman"/>
          <w:bCs/>
          <w:sz w:val="24"/>
          <w:szCs w:val="24"/>
        </w:rPr>
        <w:t>K</w:t>
      </w:r>
      <w:r w:rsidRPr="0085474C">
        <w:rPr>
          <w:rFonts w:ascii="Times New Roman" w:eastAsia="宋体" w:hAnsi="Times New Roman" w:cs="Times New Roman"/>
          <w:bCs/>
          <w:sz w:val="24"/>
          <w:szCs w:val="24"/>
          <w:vertAlign w:val="subscript"/>
        </w:rPr>
        <w:t>Ⅲ</w:t>
      </w:r>
      <w:proofErr w:type="spellEnd"/>
      <w:r w:rsidRPr="0085474C">
        <w:rPr>
          <w:rFonts w:ascii="Times New Roman" w:eastAsia="宋体" w:hAnsi="Times New Roman" w:cs="Times New Roman"/>
          <w:bCs/>
          <w:sz w:val="24"/>
          <w:szCs w:val="24"/>
        </w:rPr>
        <w:t>/</w:t>
      </w:r>
      <w:proofErr w:type="spellStart"/>
      <w:r w:rsidRPr="0085474C">
        <w:rPr>
          <w:rFonts w:ascii="Times New Roman" w:eastAsia="宋体" w:hAnsi="Times New Roman" w:cs="Times New Roman"/>
          <w:bCs/>
          <w:sz w:val="24"/>
          <w:szCs w:val="24"/>
        </w:rPr>
        <w:t>K</w:t>
      </w:r>
      <w:r w:rsidRPr="0085474C">
        <w:rPr>
          <w:rFonts w:ascii="Times New Roman" w:eastAsia="宋体" w:hAnsi="Times New Roman" w:cs="Times New Roman"/>
          <w:bCs/>
          <w:sz w:val="24"/>
          <w:szCs w:val="24"/>
          <w:vertAlign w:val="subscript"/>
        </w:rPr>
        <w:t>Ⅱ</w:t>
      </w:r>
      <w:proofErr w:type="spellEnd"/>
      <w:r w:rsidRPr="0085474C">
        <w:rPr>
          <w:rFonts w:ascii="Times New Roman" w:eastAsia="宋体" w:hAnsi="Times New Roman" w:cs="Times New Roman"/>
          <w:bCs/>
          <w:sz w:val="24"/>
          <w:szCs w:val="24"/>
        </w:rPr>
        <w:t>=2.8×10</w:t>
      </w:r>
      <w:r w:rsidRPr="0085474C">
        <w:rPr>
          <w:rFonts w:ascii="Times New Roman" w:eastAsia="宋体" w:hAnsi="Times New Roman" w:cs="Times New Roman"/>
          <w:bCs/>
          <w:sz w:val="24"/>
          <w:szCs w:val="24"/>
          <w:vertAlign w:val="superscript"/>
        </w:rPr>
        <w:t>6</w:t>
      </w:r>
      <w:r w:rsidRPr="0085474C">
        <w:rPr>
          <w:rFonts w:ascii="Times New Roman" w:eastAsia="宋体" w:hAnsi="Times New Roman" w:cs="Times New Roman"/>
          <w:bCs/>
          <w:sz w:val="24"/>
          <w:szCs w:val="24"/>
        </w:rPr>
        <w:t>。</w:t>
      </w:r>
    </w:p>
    <w:p w14:paraId="7394C4BA"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bCs/>
          <w:sz w:val="24"/>
          <w:szCs w:val="24"/>
        </w:rPr>
        <w:t>（</w:t>
      </w:r>
      <w:r w:rsidRPr="0085474C">
        <w:rPr>
          <w:rFonts w:ascii="Times New Roman" w:eastAsia="宋体" w:hAnsi="Times New Roman" w:cs="Times New Roman"/>
          <w:bCs/>
          <w:sz w:val="24"/>
          <w:szCs w:val="24"/>
        </w:rPr>
        <w:t>4</w:t>
      </w:r>
      <w:r w:rsidRPr="0085474C">
        <w:rPr>
          <w:rFonts w:ascii="Times New Roman" w:eastAsia="宋体" w:hAnsi="Times New Roman" w:cs="Times New Roman"/>
          <w:bCs/>
          <w:sz w:val="24"/>
          <w:szCs w:val="24"/>
        </w:rPr>
        <w:t>）计算</w:t>
      </w:r>
      <w:r w:rsidRPr="0085474C">
        <w:rPr>
          <w:rFonts w:ascii="Times New Roman" w:eastAsia="宋体" w:hAnsi="Times New Roman" w:cs="Times New Roman"/>
          <w:bCs/>
          <w:sz w:val="24"/>
          <w:szCs w:val="24"/>
        </w:rPr>
        <w:t>pH10.0</w:t>
      </w:r>
      <w:r w:rsidRPr="0085474C">
        <w:rPr>
          <w:rFonts w:ascii="Times New Roman" w:eastAsia="宋体" w:hAnsi="Times New Roman" w:cs="Times New Roman"/>
          <w:bCs/>
          <w:sz w:val="24"/>
          <w:szCs w:val="24"/>
        </w:rPr>
        <w:t>在总浓度为</w:t>
      </w:r>
      <w:r w:rsidRPr="0085474C">
        <w:rPr>
          <w:rFonts w:ascii="Times New Roman" w:eastAsia="宋体" w:hAnsi="Times New Roman" w:cs="Times New Roman"/>
          <w:bCs/>
          <w:sz w:val="24"/>
          <w:szCs w:val="24"/>
        </w:rPr>
        <w:t>0.1 mol·L</w:t>
      </w:r>
      <w:r w:rsidRPr="0085474C">
        <w:rPr>
          <w:rFonts w:ascii="Times New Roman" w:eastAsia="宋体" w:hAnsi="Times New Roman" w:cs="Times New Roman"/>
          <w:bCs/>
          <w:sz w:val="24"/>
          <w:szCs w:val="24"/>
          <w:vertAlign w:val="superscript"/>
        </w:rPr>
        <w:t>-1</w:t>
      </w:r>
      <w:r w:rsidRPr="0085474C">
        <w:rPr>
          <w:rFonts w:ascii="Times New Roman" w:eastAsia="宋体" w:hAnsi="Times New Roman" w:cs="Times New Roman"/>
          <w:bCs/>
          <w:sz w:val="24"/>
          <w:szCs w:val="24"/>
        </w:rPr>
        <w:t>NH</w:t>
      </w:r>
      <w:r w:rsidRPr="0085474C">
        <w:rPr>
          <w:rFonts w:ascii="Times New Roman" w:eastAsia="宋体" w:hAnsi="Times New Roman" w:cs="Times New Roman"/>
          <w:bCs/>
          <w:sz w:val="24"/>
          <w:szCs w:val="24"/>
          <w:vertAlign w:val="subscript"/>
        </w:rPr>
        <w:t>3</w:t>
      </w:r>
      <w:r w:rsidRPr="0085474C">
        <w:rPr>
          <w:rFonts w:ascii="Times New Roman" w:eastAsia="宋体" w:hAnsi="Times New Roman" w:cs="Times New Roman"/>
          <w:bCs/>
          <w:sz w:val="24"/>
          <w:szCs w:val="24"/>
        </w:rPr>
        <w:t>-NH</w:t>
      </w:r>
      <w:r w:rsidRPr="0085474C">
        <w:rPr>
          <w:rFonts w:ascii="Times New Roman" w:eastAsia="宋体" w:hAnsi="Times New Roman" w:cs="Times New Roman"/>
          <w:bCs/>
          <w:sz w:val="24"/>
          <w:szCs w:val="24"/>
          <w:vertAlign w:val="subscript"/>
        </w:rPr>
        <w:t>4</w:t>
      </w:r>
      <w:r w:rsidRPr="0085474C">
        <w:rPr>
          <w:rFonts w:ascii="Times New Roman" w:eastAsia="宋体" w:hAnsi="Times New Roman" w:cs="Times New Roman"/>
          <w:bCs/>
          <w:sz w:val="24"/>
          <w:szCs w:val="24"/>
        </w:rPr>
        <w:t>缓冲溶液中</w:t>
      </w:r>
      <w:r w:rsidRPr="0085474C">
        <w:rPr>
          <w:rFonts w:ascii="Times New Roman" w:eastAsia="宋体" w:hAnsi="Times New Roman" w:cs="Times New Roman"/>
          <w:bCs/>
          <w:sz w:val="24"/>
          <w:szCs w:val="24"/>
        </w:rPr>
        <w:t>Ag</w:t>
      </w:r>
      <w:r w:rsidRPr="0085474C">
        <w:rPr>
          <w:rFonts w:ascii="Times New Roman" w:eastAsia="宋体" w:hAnsi="Times New Roman" w:cs="Times New Roman"/>
          <w:bCs/>
          <w:sz w:val="24"/>
          <w:szCs w:val="24"/>
          <w:vertAlign w:val="superscript"/>
        </w:rPr>
        <w:t>+</w:t>
      </w:r>
      <w:r w:rsidRPr="0085474C">
        <w:rPr>
          <w:rFonts w:ascii="Times New Roman" w:eastAsia="宋体" w:hAnsi="Times New Roman" w:cs="Times New Roman"/>
          <w:bCs/>
          <w:sz w:val="24"/>
          <w:szCs w:val="24"/>
        </w:rPr>
        <w:t>/Ag</w:t>
      </w:r>
      <w:proofErr w:type="gramStart"/>
      <w:r w:rsidRPr="0085474C">
        <w:rPr>
          <w:rFonts w:ascii="Times New Roman" w:eastAsia="宋体" w:hAnsi="Times New Roman" w:cs="Times New Roman"/>
          <w:bCs/>
          <w:sz w:val="24"/>
          <w:szCs w:val="24"/>
        </w:rPr>
        <w:t>电对的</w:t>
      </w:r>
      <w:proofErr w:type="gramEnd"/>
      <w:r w:rsidRPr="0085474C">
        <w:rPr>
          <w:rFonts w:ascii="Times New Roman" w:eastAsia="宋体" w:hAnsi="Times New Roman" w:cs="Times New Roman"/>
          <w:bCs/>
          <w:sz w:val="24"/>
          <w:szCs w:val="24"/>
        </w:rPr>
        <w:t>条件电势。忽略离子强度及形成</w:t>
      </w:r>
      <w:r w:rsidRPr="0085474C">
        <w:rPr>
          <w:rFonts w:ascii="Times New Roman" w:eastAsia="宋体" w:hAnsi="Times New Roman" w:cs="Times New Roman"/>
          <w:bCs/>
          <w:sz w:val="24"/>
          <w:szCs w:val="24"/>
        </w:rPr>
        <w:t>[AgCl</w:t>
      </w:r>
      <w:r w:rsidRPr="0085474C">
        <w:rPr>
          <w:rFonts w:ascii="Times New Roman" w:eastAsia="宋体" w:hAnsi="Times New Roman" w:cs="Times New Roman"/>
          <w:bCs/>
          <w:sz w:val="24"/>
          <w:szCs w:val="24"/>
          <w:vertAlign w:val="subscript"/>
        </w:rPr>
        <w:t>2</w:t>
      </w:r>
      <w:r w:rsidRPr="0085474C">
        <w:rPr>
          <w:rFonts w:ascii="Times New Roman" w:eastAsia="宋体" w:hAnsi="Times New Roman" w:cs="Times New Roman"/>
          <w:bCs/>
          <w:sz w:val="24"/>
          <w:szCs w:val="24"/>
        </w:rPr>
        <w:t>]</w:t>
      </w:r>
      <w:r w:rsidRPr="0085474C">
        <w:rPr>
          <w:rFonts w:ascii="Times New Roman" w:eastAsia="宋体" w:hAnsi="Times New Roman" w:cs="Times New Roman"/>
          <w:bCs/>
          <w:sz w:val="24"/>
          <w:szCs w:val="24"/>
          <w:vertAlign w:val="superscript"/>
        </w:rPr>
        <w:t>-</w:t>
      </w:r>
      <w:r w:rsidRPr="0085474C">
        <w:rPr>
          <w:rFonts w:ascii="Times New Roman" w:eastAsia="宋体" w:hAnsi="Times New Roman" w:cs="Times New Roman"/>
          <w:bCs/>
          <w:sz w:val="24"/>
          <w:szCs w:val="24"/>
        </w:rPr>
        <w:t>配合物的影响。</w:t>
      </w:r>
    </w:p>
    <w:p w14:paraId="2D4C12E0" w14:textId="77777777" w:rsidR="0085474C" w:rsidRPr="0085474C" w:rsidRDefault="0085474C" w:rsidP="00C232D7">
      <w:pPr>
        <w:ind w:firstLineChars="200" w:firstLine="420"/>
        <w:rPr>
          <w:rFonts w:ascii="Times New Roman" w:eastAsia="宋体" w:hAnsi="Times New Roman" w:cs="Times New Roman"/>
          <w:szCs w:val="24"/>
        </w:rPr>
      </w:pPr>
    </w:p>
    <w:p w14:paraId="5A7CE63A" w14:textId="77777777" w:rsidR="0085474C" w:rsidRPr="0085474C" w:rsidRDefault="0085474C" w:rsidP="00C232D7">
      <w:pPr>
        <w:spacing w:beforeLines="50" w:before="156" w:afterLines="50" w:after="156" w:line="440" w:lineRule="exact"/>
        <w:ind w:firstLineChars="200" w:firstLine="562"/>
        <w:jc w:val="center"/>
        <w:rPr>
          <w:rFonts w:ascii="Times New Roman" w:eastAsia="黑体" w:hAnsi="Times New Roman" w:cs="Times New Roman"/>
          <w:sz w:val="28"/>
          <w:szCs w:val="28"/>
        </w:rPr>
      </w:pPr>
      <w:r w:rsidRPr="0085474C">
        <w:rPr>
          <w:rFonts w:ascii="Times New Roman" w:eastAsia="宋体" w:hAnsi="Times New Roman" w:cs="Times New Roman"/>
          <w:b/>
          <w:sz w:val="28"/>
          <w:szCs w:val="28"/>
        </w:rPr>
        <w:t>第</w:t>
      </w:r>
      <w:r w:rsidRPr="0085474C">
        <w:rPr>
          <w:rFonts w:ascii="Times New Roman" w:eastAsia="宋体" w:hAnsi="Times New Roman" w:cs="Times New Roman" w:hint="eastAsia"/>
          <w:b/>
          <w:sz w:val="28"/>
          <w:szCs w:val="28"/>
        </w:rPr>
        <w:t>七</w:t>
      </w:r>
      <w:r w:rsidRPr="0085474C">
        <w:rPr>
          <w:rFonts w:ascii="Times New Roman" w:eastAsia="宋体" w:hAnsi="Times New Roman" w:cs="Times New Roman"/>
          <w:b/>
          <w:sz w:val="28"/>
          <w:szCs w:val="28"/>
        </w:rPr>
        <w:t>章</w:t>
      </w:r>
      <w:r w:rsidRPr="0085474C">
        <w:rPr>
          <w:rFonts w:ascii="Times New Roman" w:eastAsia="宋体" w:hAnsi="Times New Roman" w:cs="Times New Roman"/>
          <w:b/>
          <w:sz w:val="28"/>
          <w:szCs w:val="28"/>
        </w:rPr>
        <w:t xml:space="preserve">  </w:t>
      </w:r>
      <w:r w:rsidRPr="0085474C">
        <w:rPr>
          <w:rFonts w:ascii="Times New Roman" w:eastAsia="宋体" w:hAnsi="Times New Roman" w:cs="Times New Roman"/>
          <w:b/>
          <w:sz w:val="28"/>
          <w:szCs w:val="28"/>
        </w:rPr>
        <w:t>沉淀滴定法</w:t>
      </w:r>
    </w:p>
    <w:p w14:paraId="04992A85"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0300F5EE" w14:textId="77777777" w:rsidR="0085474C" w:rsidRPr="0085474C" w:rsidRDefault="0085474C" w:rsidP="00C232D7">
      <w:pPr>
        <w:spacing w:line="440" w:lineRule="exact"/>
        <w:ind w:firstLineChars="200" w:firstLine="480"/>
        <w:rPr>
          <w:rFonts w:ascii="Times New Roman" w:eastAsia="宋体" w:hAnsi="Times New Roman" w:cs="Times New Roman"/>
          <w:bCs/>
          <w:spacing w:val="5"/>
          <w:sz w:val="24"/>
          <w:szCs w:val="24"/>
        </w:rPr>
      </w:pPr>
      <w:r w:rsidRPr="0085474C">
        <w:rPr>
          <w:rFonts w:ascii="Times New Roman" w:eastAsia="宋体" w:hAnsi="Times New Roman" w:cs="Times New Roman"/>
          <w:bCs/>
          <w:sz w:val="24"/>
          <w:szCs w:val="24"/>
        </w:rPr>
        <w:t xml:space="preserve">1. </w:t>
      </w:r>
      <w:r w:rsidRPr="0085474C">
        <w:rPr>
          <w:rFonts w:ascii="Times New Roman" w:eastAsia="宋体" w:hAnsi="Times New Roman" w:cs="Times New Roman"/>
          <w:bCs/>
          <w:sz w:val="24"/>
          <w:szCs w:val="24"/>
        </w:rPr>
        <w:t>认知类目标：</w:t>
      </w:r>
      <w:r w:rsidRPr="0085474C">
        <w:rPr>
          <w:rFonts w:ascii="Times New Roman" w:eastAsia="宋体" w:hAnsi="Times New Roman" w:cs="Times New Roman"/>
          <w:sz w:val="24"/>
          <w:szCs w:val="24"/>
        </w:rPr>
        <w:t>了解沉淀滴定法对化学反应的要求和分类。</w:t>
      </w:r>
    </w:p>
    <w:p w14:paraId="56E7551F" w14:textId="77777777" w:rsidR="0085474C" w:rsidRPr="0085474C" w:rsidRDefault="0085474C" w:rsidP="00C232D7">
      <w:pPr>
        <w:spacing w:line="440" w:lineRule="exact"/>
        <w:ind w:firstLineChars="200" w:firstLine="500"/>
        <w:rPr>
          <w:rFonts w:ascii="Times New Roman" w:eastAsia="宋体" w:hAnsi="Times New Roman" w:cs="Times New Roman"/>
          <w:bCs/>
          <w:spacing w:val="5"/>
          <w:sz w:val="24"/>
          <w:szCs w:val="24"/>
        </w:rPr>
      </w:pPr>
      <w:r w:rsidRPr="0085474C">
        <w:rPr>
          <w:rFonts w:ascii="Times New Roman" w:eastAsia="宋体" w:hAnsi="Times New Roman" w:cs="Times New Roman"/>
          <w:bCs/>
          <w:spacing w:val="5"/>
          <w:sz w:val="24"/>
          <w:szCs w:val="24"/>
        </w:rPr>
        <w:t xml:space="preserve">2. </w:t>
      </w:r>
      <w:r w:rsidRPr="0085474C">
        <w:rPr>
          <w:rFonts w:ascii="Times New Roman" w:eastAsia="宋体" w:hAnsi="Times New Roman" w:cs="Times New Roman"/>
          <w:bCs/>
          <w:spacing w:val="5"/>
          <w:sz w:val="24"/>
          <w:szCs w:val="24"/>
        </w:rPr>
        <w:t>过程与方法类目标：</w:t>
      </w:r>
      <w:r w:rsidRPr="0085474C">
        <w:rPr>
          <w:rFonts w:ascii="Times New Roman" w:eastAsia="宋体" w:hAnsi="Times New Roman" w:cs="Times New Roman"/>
          <w:sz w:val="24"/>
          <w:szCs w:val="24"/>
        </w:rPr>
        <w:t>理解沉淀滴定法的原理；掌握莫尔法、佛尔哈德法、法扬司法的原理、指示剂、测定对象与应用条件</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理解各种滴定分析法的异同点。</w:t>
      </w:r>
    </w:p>
    <w:p w14:paraId="03B95FCF" w14:textId="77777777" w:rsidR="0085474C" w:rsidRPr="0085474C" w:rsidRDefault="0085474C" w:rsidP="00C232D7">
      <w:pPr>
        <w:widowControl/>
        <w:spacing w:line="440" w:lineRule="exact"/>
        <w:ind w:firstLineChars="200" w:firstLine="500"/>
        <w:jc w:val="left"/>
        <w:rPr>
          <w:rFonts w:ascii="Times New Roman" w:eastAsia="宋体" w:hAnsi="Times New Roman" w:cs="Times New Roman"/>
          <w:szCs w:val="24"/>
        </w:rPr>
      </w:pPr>
      <w:r w:rsidRPr="0085474C">
        <w:rPr>
          <w:rFonts w:ascii="Times New Roman" w:eastAsia="宋体" w:hAnsi="Times New Roman" w:cs="Times New Roman"/>
          <w:bCs/>
          <w:spacing w:val="5"/>
          <w:sz w:val="24"/>
          <w:szCs w:val="24"/>
        </w:rPr>
        <w:t xml:space="preserve">3. </w:t>
      </w:r>
      <w:r w:rsidRPr="0085474C">
        <w:rPr>
          <w:rFonts w:ascii="Times New Roman" w:eastAsia="宋体" w:hAnsi="Times New Roman" w:cs="Times New Roman"/>
          <w:bCs/>
          <w:spacing w:val="5"/>
          <w:sz w:val="24"/>
          <w:szCs w:val="24"/>
        </w:rPr>
        <w:t>情感、态度、价值观类目标：</w:t>
      </w:r>
      <w:r w:rsidRPr="0085474C">
        <w:rPr>
          <w:rFonts w:ascii="Times New Roman" w:eastAsia="宋体" w:hAnsi="Times New Roman" w:cs="Times New Roman" w:hint="eastAsia"/>
          <w:bCs/>
          <w:spacing w:val="5"/>
          <w:sz w:val="24"/>
          <w:szCs w:val="24"/>
        </w:rPr>
        <w:t>培养</w:t>
      </w:r>
      <w:r w:rsidRPr="0085474C">
        <w:rPr>
          <w:rFonts w:ascii="宋体" w:eastAsia="宋体" w:hAnsi="宋体" w:cs="Times New Roman" w:hint="eastAsia"/>
          <w:sz w:val="24"/>
          <w:szCs w:val="24"/>
        </w:rPr>
        <w:t>环保意识，科学发展观，大</w:t>
      </w:r>
      <w:r w:rsidRPr="0085474C">
        <w:rPr>
          <w:rFonts w:ascii="Times New Roman" w:eastAsia="宋体" w:hAnsi="Times New Roman" w:cs="Times New Roman" w:hint="eastAsia"/>
          <w:bCs/>
          <w:sz w:val="24"/>
          <w:szCs w:val="24"/>
        </w:rPr>
        <w:t>胆探索，坚持不懈，勇于创新</w:t>
      </w:r>
    </w:p>
    <w:p w14:paraId="799D2EA2"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1E130406"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7.1</w:t>
      </w:r>
      <w:r w:rsidRPr="0085474C">
        <w:rPr>
          <w:rFonts w:ascii="Times New Roman" w:eastAsia="宋体" w:hAnsi="Times New Roman" w:cs="Times New Roman"/>
          <w:sz w:val="24"/>
          <w:szCs w:val="24"/>
        </w:rPr>
        <w:t>沉淀滴定法</w:t>
      </w:r>
    </w:p>
    <w:p w14:paraId="5A8E27BB"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7.2 </w:t>
      </w:r>
      <w:r w:rsidRPr="0085474C">
        <w:rPr>
          <w:rFonts w:ascii="Times New Roman" w:eastAsia="宋体" w:hAnsi="Times New Roman" w:cs="Times New Roman"/>
          <w:sz w:val="24"/>
          <w:szCs w:val="24"/>
        </w:rPr>
        <w:t>滴定分析小结</w:t>
      </w:r>
    </w:p>
    <w:p w14:paraId="1A970AB3" w14:textId="77777777" w:rsidR="0085474C" w:rsidRPr="0085474C"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t>【重点】</w:t>
      </w:r>
      <w:r w:rsidRPr="0085474C">
        <w:rPr>
          <w:rFonts w:ascii="Times New Roman" w:eastAsia="宋体" w:hAnsi="Times New Roman" w:cs="Times New Roman"/>
          <w:sz w:val="24"/>
          <w:szCs w:val="24"/>
        </w:rPr>
        <w:t>莫尔法、佛尔哈德法、法扬司法的原理、指示剂、测定对象与应用条件。</w:t>
      </w:r>
    </w:p>
    <w:p w14:paraId="2F823FBB" w14:textId="77777777" w:rsidR="0085474C" w:rsidRPr="0085474C" w:rsidRDefault="0085474C" w:rsidP="00C232D7">
      <w:pPr>
        <w:spacing w:line="440" w:lineRule="exact"/>
        <w:ind w:firstLineChars="200" w:firstLine="482"/>
        <w:rPr>
          <w:rFonts w:ascii="Times New Roman" w:eastAsia="宋体" w:hAnsi="Times New Roman" w:cs="Times New Roman"/>
          <w:szCs w:val="24"/>
        </w:rPr>
      </w:pPr>
      <w:r w:rsidRPr="0085474C">
        <w:rPr>
          <w:rFonts w:ascii="Times New Roman" w:eastAsia="宋体" w:hAnsi="Times New Roman" w:cs="Times New Roman"/>
          <w:b/>
          <w:sz w:val="24"/>
          <w:szCs w:val="24"/>
        </w:rPr>
        <w:lastRenderedPageBreak/>
        <w:t>【难点】</w:t>
      </w:r>
      <w:r w:rsidRPr="0085474C">
        <w:rPr>
          <w:rFonts w:ascii="Times New Roman" w:eastAsia="宋体" w:hAnsi="Times New Roman" w:cs="Times New Roman"/>
          <w:sz w:val="24"/>
          <w:szCs w:val="24"/>
        </w:rPr>
        <w:t>莫尔法、佛尔哈德法、法扬司法的应用。</w:t>
      </w:r>
    </w:p>
    <w:p w14:paraId="32D3C672" w14:textId="77777777" w:rsidR="0085474C" w:rsidRPr="0085474C"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bCs/>
          <w:sz w:val="24"/>
          <w:szCs w:val="24"/>
        </w:rPr>
        <w:t>【教学方法】</w:t>
      </w:r>
    </w:p>
    <w:p w14:paraId="0170D145" w14:textId="77777777" w:rsidR="0085474C" w:rsidRPr="0085474C" w:rsidRDefault="0085474C" w:rsidP="00C232D7">
      <w:pPr>
        <w:spacing w:line="440" w:lineRule="exact"/>
        <w:ind w:firstLineChars="200" w:firstLine="480"/>
        <w:rPr>
          <w:rFonts w:ascii="Times New Roman" w:eastAsia="宋体" w:hAnsi="Times New Roman" w:cs="Times New Roman"/>
          <w:kern w:val="0"/>
          <w:sz w:val="20"/>
          <w:szCs w:val="20"/>
        </w:rPr>
      </w:pP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1</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6018ECFA" w14:textId="77777777" w:rsidR="0085474C" w:rsidRPr="0085474C" w:rsidRDefault="0085474C" w:rsidP="00C232D7">
      <w:pPr>
        <w:widowControl/>
        <w:spacing w:line="440" w:lineRule="exact"/>
        <w:ind w:firstLineChars="200" w:firstLine="420"/>
        <w:rPr>
          <w:rFonts w:ascii="Times New Roman" w:eastAsia="宋体" w:hAnsi="Times New Roman" w:cs="Times New Roman"/>
          <w:szCs w:val="24"/>
        </w:rPr>
      </w:pPr>
      <w:r w:rsidRPr="0085474C">
        <w:rPr>
          <w:rFonts w:ascii="Times New Roman" w:eastAsia="宋体" w:hAnsi="Times New Roman" w:cs="Times New Roman" w:hint="eastAsia"/>
          <w:szCs w:val="24"/>
        </w:rPr>
        <w:t>（</w:t>
      </w:r>
      <w:r w:rsidRPr="0085474C">
        <w:rPr>
          <w:rFonts w:ascii="Times New Roman" w:eastAsia="宋体" w:hAnsi="Times New Roman" w:cs="Times New Roman" w:hint="eastAsia"/>
          <w:szCs w:val="24"/>
        </w:rPr>
        <w:t>2</w:t>
      </w:r>
      <w:r w:rsidRPr="0085474C">
        <w:rPr>
          <w:rFonts w:ascii="Times New Roman" w:eastAsia="宋体" w:hAnsi="Times New Roman" w:cs="Times New Roman" w:hint="eastAsia"/>
          <w:szCs w:val="24"/>
        </w:rPr>
        <w:t>）</w:t>
      </w:r>
      <w:r w:rsidRPr="0085474C">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37481368"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3</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采用课前学习课堂汇报的方法，通过安排学生提前预习，在课上派代表台上汇报，培养学生自主学习、独立思考的</w:t>
      </w:r>
      <w:proofErr w:type="gramStart"/>
      <w:r w:rsidRPr="0085474C">
        <w:rPr>
          <w:rFonts w:ascii="Times New Roman" w:eastAsia="宋体" w:hAnsi="Times New Roman" w:cs="Times New Roman"/>
          <w:sz w:val="24"/>
          <w:szCs w:val="24"/>
        </w:rPr>
        <w:t>的</w:t>
      </w:r>
      <w:proofErr w:type="gramEnd"/>
      <w:r w:rsidRPr="0085474C">
        <w:rPr>
          <w:rFonts w:ascii="Times New Roman" w:eastAsia="宋体" w:hAnsi="Times New Roman" w:cs="Times New Roman"/>
          <w:sz w:val="24"/>
          <w:szCs w:val="24"/>
        </w:rPr>
        <w:t>精神，强化学生对知识学习的应用意识，提升学生的教学技能。</w:t>
      </w:r>
    </w:p>
    <w:p w14:paraId="631D40E4" w14:textId="77777777" w:rsidR="0085474C" w:rsidRPr="0085474C" w:rsidRDefault="0085474C" w:rsidP="00C232D7">
      <w:pPr>
        <w:spacing w:line="440" w:lineRule="exact"/>
        <w:ind w:firstLineChars="200" w:firstLine="482"/>
        <w:rPr>
          <w:rFonts w:ascii="Times New Roman" w:eastAsia="宋体" w:hAnsi="Times New Roman" w:cs="Times New Roman"/>
          <w:szCs w:val="24"/>
        </w:rPr>
      </w:pPr>
      <w:r w:rsidRPr="0085474C">
        <w:rPr>
          <w:rFonts w:ascii="Times New Roman" w:eastAsia="宋体" w:hAnsi="Times New Roman" w:cs="Times New Roman"/>
          <w:b/>
          <w:sz w:val="24"/>
          <w:szCs w:val="24"/>
        </w:rPr>
        <w:t>【复习思考】</w:t>
      </w:r>
    </w:p>
    <w:p w14:paraId="744F48EF"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）用银量法测定下列试样中</w:t>
      </w:r>
      <w:r w:rsidRPr="0085474C">
        <w:rPr>
          <w:rFonts w:ascii="Times New Roman" w:eastAsia="宋体" w:hAnsi="Times New Roman" w:cs="Times New Roman"/>
          <w:sz w:val="24"/>
          <w:szCs w:val="24"/>
        </w:rPr>
        <w:t>Cl</w:t>
      </w:r>
      <w:r w:rsidRPr="0085474C">
        <w:rPr>
          <w:rFonts w:ascii="Times New Roman" w:eastAsia="宋体" w:hAnsi="Times New Roman" w:cs="Times New Roman"/>
          <w:sz w:val="24"/>
          <w:szCs w:val="24"/>
          <w:vertAlign w:val="superscript"/>
        </w:rPr>
        <w:t>-</w:t>
      </w:r>
      <w:r w:rsidRPr="0085474C">
        <w:rPr>
          <w:rFonts w:ascii="Times New Roman" w:eastAsia="宋体" w:hAnsi="Times New Roman" w:cs="Times New Roman"/>
          <w:sz w:val="24"/>
          <w:szCs w:val="24"/>
        </w:rPr>
        <w:t>时，选用什么指示剂指示滴定终点最合适？</w:t>
      </w:r>
    </w:p>
    <w:p w14:paraId="20ADFE6C"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a. CaCl</w:t>
      </w:r>
      <w:r w:rsidRPr="0085474C">
        <w:rPr>
          <w:rFonts w:ascii="Times New Roman" w:eastAsia="宋体" w:hAnsi="Times New Roman" w:cs="Times New Roman"/>
          <w:sz w:val="24"/>
          <w:szCs w:val="24"/>
          <w:vertAlign w:val="subscript"/>
        </w:rPr>
        <w:t>2</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b. BaCl</w:t>
      </w:r>
      <w:r w:rsidRPr="0085474C">
        <w:rPr>
          <w:rFonts w:ascii="Times New Roman" w:eastAsia="宋体" w:hAnsi="Times New Roman" w:cs="Times New Roman"/>
          <w:sz w:val="24"/>
          <w:szCs w:val="24"/>
          <w:vertAlign w:val="subscript"/>
        </w:rPr>
        <w:t>2</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c. FeCl</w:t>
      </w:r>
      <w:r w:rsidRPr="0085474C">
        <w:rPr>
          <w:rFonts w:ascii="Times New Roman" w:eastAsia="宋体" w:hAnsi="Times New Roman" w:cs="Times New Roman"/>
          <w:sz w:val="24"/>
          <w:szCs w:val="24"/>
          <w:vertAlign w:val="subscript"/>
        </w:rPr>
        <w:t>2</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d</w:t>
      </w:r>
      <w:r w:rsidRPr="0085474C">
        <w:rPr>
          <w:rFonts w:ascii="Times New Roman" w:eastAsia="宋体" w:hAnsi="Times New Roman" w:cs="Times New Roman"/>
          <w:sz w:val="24"/>
          <w:szCs w:val="24"/>
        </w:rPr>
        <w:t>. NaCl+Na</w:t>
      </w:r>
      <w:r w:rsidRPr="0085474C">
        <w:rPr>
          <w:rFonts w:ascii="Times New Roman" w:eastAsia="宋体" w:hAnsi="Times New Roman" w:cs="Times New Roman"/>
          <w:sz w:val="24"/>
          <w:szCs w:val="24"/>
          <w:vertAlign w:val="subscript"/>
        </w:rPr>
        <w:t>3</w:t>
      </w:r>
      <w:r w:rsidRPr="0085474C">
        <w:rPr>
          <w:rFonts w:ascii="Times New Roman" w:eastAsia="宋体" w:hAnsi="Times New Roman" w:cs="Times New Roman"/>
          <w:sz w:val="24"/>
          <w:szCs w:val="24"/>
        </w:rPr>
        <w:t>PO</w:t>
      </w:r>
      <w:r w:rsidRPr="0085474C">
        <w:rPr>
          <w:rFonts w:ascii="Times New Roman" w:eastAsia="宋体" w:hAnsi="Times New Roman" w:cs="Times New Roman"/>
          <w:sz w:val="24"/>
          <w:szCs w:val="24"/>
          <w:vertAlign w:val="subscript"/>
        </w:rPr>
        <w:t>4</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e. NH</w:t>
      </w:r>
      <w:r w:rsidRPr="0085474C">
        <w:rPr>
          <w:rFonts w:ascii="Times New Roman" w:eastAsia="宋体" w:hAnsi="Times New Roman" w:cs="Times New Roman"/>
          <w:sz w:val="24"/>
          <w:szCs w:val="24"/>
          <w:vertAlign w:val="subscript"/>
        </w:rPr>
        <w:t>4</w:t>
      </w:r>
      <w:r w:rsidRPr="0085474C">
        <w:rPr>
          <w:rFonts w:ascii="Times New Roman" w:eastAsia="宋体" w:hAnsi="Times New Roman" w:cs="Times New Roman"/>
          <w:sz w:val="24"/>
          <w:szCs w:val="24"/>
        </w:rPr>
        <w:t>Cl</w:t>
      </w:r>
    </w:p>
    <w:p w14:paraId="4E0649FA" w14:textId="77777777" w:rsidR="0085474C" w:rsidRPr="0085474C" w:rsidRDefault="0085474C" w:rsidP="00C232D7">
      <w:pPr>
        <w:spacing w:line="440" w:lineRule="exact"/>
        <w:ind w:firstLineChars="200" w:firstLine="480"/>
        <w:rPr>
          <w:rFonts w:ascii="Times New Roman" w:eastAsia="宋体" w:hAnsi="Times New Roman" w:cs="Times New Roman"/>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）将含有</w:t>
      </w:r>
      <w:r w:rsidRPr="0085474C">
        <w:rPr>
          <w:rFonts w:ascii="Times New Roman" w:eastAsia="宋体" w:hAnsi="Times New Roman" w:cs="Times New Roman"/>
          <w:sz w:val="24"/>
          <w:szCs w:val="24"/>
        </w:rPr>
        <w:t>BaCl</w:t>
      </w:r>
      <w:r w:rsidRPr="0085474C">
        <w:rPr>
          <w:rFonts w:ascii="Times New Roman" w:eastAsia="宋体" w:hAnsi="Times New Roman" w:cs="Times New Roman"/>
          <w:sz w:val="24"/>
          <w:szCs w:val="24"/>
          <w:vertAlign w:val="subscript"/>
        </w:rPr>
        <w:t>2</w:t>
      </w:r>
      <w:r w:rsidRPr="0085474C">
        <w:rPr>
          <w:rFonts w:ascii="Times New Roman" w:eastAsia="宋体" w:hAnsi="Times New Roman" w:cs="Times New Roman"/>
          <w:sz w:val="24"/>
          <w:szCs w:val="24"/>
        </w:rPr>
        <w:t>和</w:t>
      </w:r>
      <w:r w:rsidRPr="0085474C">
        <w:rPr>
          <w:rFonts w:ascii="Times New Roman" w:eastAsia="宋体" w:hAnsi="Times New Roman" w:cs="Times New Roman"/>
          <w:sz w:val="24"/>
          <w:szCs w:val="24"/>
        </w:rPr>
        <w:t>NaCl</w:t>
      </w:r>
      <w:r w:rsidRPr="0085474C">
        <w:rPr>
          <w:rFonts w:ascii="Times New Roman" w:eastAsia="宋体" w:hAnsi="Times New Roman" w:cs="Times New Roman"/>
          <w:sz w:val="24"/>
          <w:szCs w:val="24"/>
        </w:rPr>
        <w:t>的试样</w:t>
      </w:r>
      <w:r w:rsidRPr="0085474C">
        <w:rPr>
          <w:rFonts w:ascii="Times New Roman" w:eastAsia="宋体" w:hAnsi="Times New Roman" w:cs="Times New Roman"/>
          <w:sz w:val="24"/>
          <w:szCs w:val="24"/>
        </w:rPr>
        <w:t>0.1036g</w:t>
      </w:r>
      <w:r w:rsidRPr="0085474C">
        <w:rPr>
          <w:rFonts w:ascii="Times New Roman" w:eastAsia="宋体" w:hAnsi="Times New Roman" w:cs="Times New Roman"/>
          <w:sz w:val="24"/>
          <w:szCs w:val="24"/>
        </w:rPr>
        <w:t>溶解在</w:t>
      </w:r>
      <w:r w:rsidRPr="0085474C">
        <w:rPr>
          <w:rFonts w:ascii="Times New Roman" w:eastAsia="宋体" w:hAnsi="Times New Roman" w:cs="Times New Roman"/>
          <w:sz w:val="24"/>
          <w:szCs w:val="24"/>
        </w:rPr>
        <w:t>50mL</w:t>
      </w:r>
      <w:r w:rsidRPr="0085474C">
        <w:rPr>
          <w:rFonts w:ascii="Times New Roman" w:eastAsia="宋体" w:hAnsi="Times New Roman" w:cs="Times New Roman"/>
          <w:sz w:val="24"/>
          <w:szCs w:val="24"/>
        </w:rPr>
        <w:t>蒸馏水中，以法扬司法指示终点，用</w:t>
      </w:r>
      <w:r w:rsidRPr="0085474C">
        <w:rPr>
          <w:rFonts w:ascii="Times New Roman" w:eastAsia="宋体" w:hAnsi="Times New Roman" w:cs="Times New Roman"/>
          <w:sz w:val="24"/>
          <w:szCs w:val="24"/>
        </w:rPr>
        <w:t>0.07916</w:t>
      </w:r>
      <w:r w:rsidRPr="0085474C">
        <w:rPr>
          <w:rFonts w:ascii="Times New Roman" w:eastAsia="宋体" w:hAnsi="Times New Roman" w:cs="Times New Roman"/>
          <w:bCs/>
          <w:sz w:val="24"/>
          <w:szCs w:val="24"/>
        </w:rPr>
        <w:t xml:space="preserve"> mol·L</w:t>
      </w:r>
      <w:r w:rsidRPr="0085474C">
        <w:rPr>
          <w:rFonts w:ascii="Times New Roman" w:eastAsia="宋体" w:hAnsi="Times New Roman" w:cs="Times New Roman"/>
          <w:bCs/>
          <w:sz w:val="24"/>
          <w:szCs w:val="24"/>
          <w:vertAlign w:val="superscript"/>
        </w:rPr>
        <w:t>-1</w:t>
      </w:r>
      <w:r w:rsidRPr="0085474C">
        <w:rPr>
          <w:rFonts w:ascii="Times New Roman" w:eastAsia="宋体" w:hAnsi="Times New Roman" w:cs="Times New Roman"/>
          <w:bCs/>
          <w:sz w:val="24"/>
          <w:szCs w:val="24"/>
        </w:rPr>
        <w:t>AgNO</w:t>
      </w:r>
      <w:r w:rsidRPr="0085474C">
        <w:rPr>
          <w:rFonts w:ascii="Times New Roman" w:eastAsia="宋体" w:hAnsi="Times New Roman" w:cs="Times New Roman"/>
          <w:bCs/>
          <w:sz w:val="24"/>
          <w:szCs w:val="24"/>
          <w:vertAlign w:val="subscript"/>
        </w:rPr>
        <w:t>3</w:t>
      </w:r>
      <w:r w:rsidRPr="0085474C">
        <w:rPr>
          <w:rFonts w:ascii="Times New Roman" w:eastAsia="宋体" w:hAnsi="Times New Roman" w:cs="Times New Roman"/>
          <w:bCs/>
          <w:sz w:val="24"/>
          <w:szCs w:val="24"/>
        </w:rPr>
        <w:t>滴定，耗去</w:t>
      </w:r>
      <w:r w:rsidRPr="0085474C">
        <w:rPr>
          <w:rFonts w:ascii="Times New Roman" w:eastAsia="宋体" w:hAnsi="Times New Roman" w:cs="Times New Roman"/>
          <w:bCs/>
          <w:sz w:val="24"/>
          <w:szCs w:val="24"/>
        </w:rPr>
        <w:t>19.46mL</w:t>
      </w:r>
      <w:r w:rsidRPr="0085474C">
        <w:rPr>
          <w:rFonts w:ascii="Times New Roman" w:eastAsia="宋体" w:hAnsi="Times New Roman" w:cs="Times New Roman"/>
          <w:bCs/>
          <w:sz w:val="24"/>
          <w:szCs w:val="24"/>
        </w:rPr>
        <w:t>。计算试样中</w:t>
      </w:r>
      <w:r w:rsidRPr="0085474C">
        <w:rPr>
          <w:rFonts w:ascii="Times New Roman" w:eastAsia="宋体" w:hAnsi="Times New Roman" w:cs="Times New Roman"/>
          <w:bCs/>
          <w:sz w:val="24"/>
          <w:szCs w:val="24"/>
        </w:rPr>
        <w:t>BaCl</w:t>
      </w:r>
      <w:r w:rsidRPr="0085474C">
        <w:rPr>
          <w:rFonts w:ascii="Times New Roman" w:eastAsia="宋体" w:hAnsi="Times New Roman" w:cs="Times New Roman"/>
          <w:bCs/>
          <w:sz w:val="24"/>
          <w:szCs w:val="24"/>
          <w:vertAlign w:val="subscript"/>
        </w:rPr>
        <w:t>2</w:t>
      </w:r>
      <w:r w:rsidRPr="0085474C">
        <w:rPr>
          <w:rFonts w:ascii="Times New Roman" w:eastAsia="宋体" w:hAnsi="Times New Roman" w:cs="Times New Roman"/>
          <w:bCs/>
          <w:sz w:val="24"/>
          <w:szCs w:val="24"/>
        </w:rPr>
        <w:t>质量分数。</w:t>
      </w:r>
    </w:p>
    <w:p w14:paraId="6250E65E" w14:textId="77777777" w:rsidR="0085474C" w:rsidRPr="0085474C" w:rsidRDefault="0085474C" w:rsidP="00C232D7">
      <w:pPr>
        <w:spacing w:beforeLines="50" w:before="156" w:afterLines="50" w:after="156" w:line="440" w:lineRule="exact"/>
        <w:ind w:firstLineChars="200" w:firstLine="562"/>
        <w:jc w:val="center"/>
        <w:rPr>
          <w:rFonts w:ascii="Times New Roman" w:eastAsia="黑体" w:hAnsi="Times New Roman" w:cs="Times New Roman"/>
          <w:sz w:val="28"/>
          <w:szCs w:val="28"/>
        </w:rPr>
      </w:pPr>
      <w:r w:rsidRPr="0085474C">
        <w:rPr>
          <w:rFonts w:ascii="Times New Roman" w:eastAsia="宋体" w:hAnsi="Times New Roman" w:cs="Times New Roman"/>
          <w:b/>
          <w:sz w:val="28"/>
          <w:szCs w:val="28"/>
        </w:rPr>
        <w:t>第</w:t>
      </w:r>
      <w:r w:rsidRPr="0085474C">
        <w:rPr>
          <w:rFonts w:ascii="Times New Roman" w:eastAsia="宋体" w:hAnsi="Times New Roman" w:cs="Times New Roman" w:hint="eastAsia"/>
          <w:b/>
          <w:sz w:val="28"/>
          <w:szCs w:val="28"/>
        </w:rPr>
        <w:t>八</w:t>
      </w:r>
      <w:r w:rsidRPr="0085474C">
        <w:rPr>
          <w:rFonts w:ascii="Times New Roman" w:eastAsia="宋体" w:hAnsi="Times New Roman" w:cs="Times New Roman"/>
          <w:b/>
          <w:sz w:val="28"/>
          <w:szCs w:val="28"/>
        </w:rPr>
        <w:t>章</w:t>
      </w:r>
      <w:r w:rsidRPr="0085474C">
        <w:rPr>
          <w:rFonts w:ascii="Times New Roman" w:eastAsia="宋体" w:hAnsi="Times New Roman" w:cs="Times New Roman"/>
          <w:b/>
          <w:sz w:val="28"/>
          <w:szCs w:val="28"/>
        </w:rPr>
        <w:t xml:space="preserve">  </w:t>
      </w:r>
      <w:r w:rsidRPr="0085474C">
        <w:rPr>
          <w:rFonts w:ascii="Times New Roman" w:eastAsia="宋体" w:hAnsi="Times New Roman" w:cs="Times New Roman"/>
          <w:b/>
          <w:sz w:val="28"/>
          <w:szCs w:val="28"/>
        </w:rPr>
        <w:t>重量分析法</w:t>
      </w:r>
    </w:p>
    <w:p w14:paraId="54A2893A"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7A77512E" w14:textId="77777777" w:rsidR="0085474C" w:rsidRPr="0085474C" w:rsidRDefault="0085474C" w:rsidP="00C232D7">
      <w:pPr>
        <w:spacing w:line="440" w:lineRule="exact"/>
        <w:ind w:firstLineChars="200" w:firstLine="480"/>
        <w:rPr>
          <w:rFonts w:ascii="Times New Roman" w:eastAsia="宋体" w:hAnsi="Times New Roman" w:cs="Times New Roman"/>
          <w:bCs/>
          <w:spacing w:val="5"/>
          <w:sz w:val="24"/>
          <w:szCs w:val="24"/>
        </w:rPr>
      </w:pPr>
      <w:r w:rsidRPr="0085474C">
        <w:rPr>
          <w:rFonts w:ascii="Times New Roman" w:eastAsia="宋体" w:hAnsi="Times New Roman" w:cs="Times New Roman"/>
          <w:bCs/>
          <w:sz w:val="24"/>
          <w:szCs w:val="24"/>
        </w:rPr>
        <w:t xml:space="preserve">1. </w:t>
      </w:r>
      <w:r w:rsidRPr="0085474C">
        <w:rPr>
          <w:rFonts w:ascii="Times New Roman" w:eastAsia="宋体" w:hAnsi="Times New Roman" w:cs="Times New Roman"/>
          <w:bCs/>
          <w:sz w:val="24"/>
          <w:szCs w:val="24"/>
        </w:rPr>
        <w:t>认知类目标：</w:t>
      </w:r>
      <w:r w:rsidRPr="0085474C">
        <w:rPr>
          <w:rFonts w:ascii="Times New Roman" w:eastAsia="宋体" w:hAnsi="Times New Roman" w:cs="Times New Roman"/>
          <w:sz w:val="24"/>
          <w:szCs w:val="24"/>
        </w:rPr>
        <w:t>了解重量分析法的分类及特点，理解沉淀重量法对沉淀和称量形式的要求的目的和作用</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了解沉淀的类型及其形成过程。</w:t>
      </w:r>
    </w:p>
    <w:p w14:paraId="4E724D1E" w14:textId="77777777" w:rsidR="0085474C" w:rsidRPr="0085474C" w:rsidRDefault="0085474C" w:rsidP="00C232D7">
      <w:pPr>
        <w:spacing w:line="440" w:lineRule="exact"/>
        <w:ind w:firstLineChars="200" w:firstLine="500"/>
        <w:rPr>
          <w:rFonts w:ascii="Times New Roman" w:eastAsia="宋体" w:hAnsi="Times New Roman" w:cs="Times New Roman"/>
          <w:bCs/>
          <w:spacing w:val="5"/>
          <w:sz w:val="24"/>
          <w:szCs w:val="24"/>
        </w:rPr>
      </w:pPr>
      <w:r w:rsidRPr="0085474C">
        <w:rPr>
          <w:rFonts w:ascii="Times New Roman" w:eastAsia="宋体" w:hAnsi="Times New Roman" w:cs="Times New Roman"/>
          <w:bCs/>
          <w:spacing w:val="5"/>
          <w:sz w:val="24"/>
          <w:szCs w:val="24"/>
        </w:rPr>
        <w:t xml:space="preserve">2. </w:t>
      </w:r>
      <w:r w:rsidRPr="0085474C">
        <w:rPr>
          <w:rFonts w:ascii="Times New Roman" w:eastAsia="宋体" w:hAnsi="Times New Roman" w:cs="Times New Roman"/>
          <w:bCs/>
          <w:spacing w:val="5"/>
          <w:sz w:val="24"/>
          <w:szCs w:val="24"/>
        </w:rPr>
        <w:t>过程与方法类目标：</w:t>
      </w:r>
      <w:r w:rsidRPr="0085474C">
        <w:rPr>
          <w:rFonts w:ascii="Times New Roman" w:eastAsia="宋体" w:hAnsi="Times New Roman" w:cs="Times New Roman"/>
          <w:sz w:val="24"/>
          <w:szCs w:val="24"/>
        </w:rPr>
        <w:t>掌握沉淀的溶解度及其影响因素和沉淀平衡体系中沉淀溶解度的有关计算</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熟悉影响沉淀纯度的因素和提高沉淀纯度的方法</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掌握不同类型沉淀的沉淀条件的选择；熟练掌握沉淀重量法分析结果的有关计算；</w:t>
      </w:r>
    </w:p>
    <w:p w14:paraId="12055809" w14:textId="77777777" w:rsidR="0085474C" w:rsidRPr="0085474C" w:rsidRDefault="0085474C" w:rsidP="00C232D7">
      <w:pPr>
        <w:widowControl/>
        <w:spacing w:line="440" w:lineRule="exact"/>
        <w:ind w:firstLineChars="200" w:firstLine="500"/>
        <w:jc w:val="left"/>
        <w:rPr>
          <w:rFonts w:ascii="Times New Roman" w:eastAsia="宋体" w:hAnsi="Times New Roman" w:cs="Times New Roman"/>
          <w:szCs w:val="24"/>
        </w:rPr>
      </w:pPr>
      <w:r w:rsidRPr="0085474C">
        <w:rPr>
          <w:rFonts w:ascii="Times New Roman" w:eastAsia="宋体" w:hAnsi="Times New Roman" w:cs="Times New Roman"/>
          <w:bCs/>
          <w:spacing w:val="5"/>
          <w:sz w:val="24"/>
          <w:szCs w:val="24"/>
        </w:rPr>
        <w:t xml:space="preserve">3. </w:t>
      </w:r>
      <w:r w:rsidRPr="0085474C">
        <w:rPr>
          <w:rFonts w:ascii="Times New Roman" w:eastAsia="宋体" w:hAnsi="Times New Roman" w:cs="Times New Roman"/>
          <w:bCs/>
          <w:spacing w:val="5"/>
          <w:sz w:val="24"/>
          <w:szCs w:val="24"/>
        </w:rPr>
        <w:t>情感、态度、价值观类目标</w:t>
      </w:r>
      <w:r w:rsidRPr="0085474C">
        <w:rPr>
          <w:rFonts w:ascii="Times New Roman" w:eastAsia="宋体" w:hAnsi="Times New Roman" w:cs="Times New Roman" w:hint="eastAsia"/>
          <w:bCs/>
          <w:spacing w:val="5"/>
          <w:sz w:val="24"/>
          <w:szCs w:val="24"/>
        </w:rPr>
        <w:t>：培养学生辩证看待问题，善于化不利为有利；质量意识、环保意识、效益意识。</w:t>
      </w:r>
    </w:p>
    <w:p w14:paraId="720F0677"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45780216"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8.1 </w:t>
      </w:r>
      <w:r w:rsidRPr="0085474C">
        <w:rPr>
          <w:rFonts w:ascii="Times New Roman" w:eastAsia="宋体" w:hAnsi="Times New Roman" w:cs="Times New Roman"/>
          <w:sz w:val="24"/>
          <w:szCs w:val="24"/>
        </w:rPr>
        <w:t>重量分析法概述</w:t>
      </w:r>
    </w:p>
    <w:p w14:paraId="27F4CD67"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8.2</w:t>
      </w:r>
      <w:r w:rsidRPr="0085474C">
        <w:rPr>
          <w:rFonts w:ascii="Times New Roman" w:eastAsia="宋体" w:hAnsi="Times New Roman" w:cs="Times New Roman"/>
          <w:sz w:val="24"/>
          <w:szCs w:val="24"/>
        </w:rPr>
        <w:t>沉淀的溶解度及其影响因素</w:t>
      </w:r>
    </w:p>
    <w:p w14:paraId="75789FDD"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8.3</w:t>
      </w:r>
      <w:r w:rsidRPr="0085474C">
        <w:rPr>
          <w:rFonts w:ascii="Times New Roman" w:eastAsia="宋体" w:hAnsi="Times New Roman" w:cs="Times New Roman"/>
          <w:sz w:val="24"/>
          <w:szCs w:val="24"/>
        </w:rPr>
        <w:t>沉淀的类型及形成过程</w:t>
      </w:r>
    </w:p>
    <w:p w14:paraId="2F99CB03"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8.4</w:t>
      </w:r>
      <w:r w:rsidRPr="0085474C">
        <w:rPr>
          <w:rFonts w:ascii="Times New Roman" w:eastAsia="宋体" w:hAnsi="Times New Roman" w:cs="Times New Roman"/>
          <w:sz w:val="24"/>
          <w:szCs w:val="24"/>
        </w:rPr>
        <w:t>影响沉淀纯度的主要因素</w:t>
      </w:r>
    </w:p>
    <w:p w14:paraId="3A0DF0F5"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8.5</w:t>
      </w:r>
      <w:r w:rsidRPr="0085474C">
        <w:rPr>
          <w:rFonts w:ascii="Times New Roman" w:eastAsia="宋体" w:hAnsi="Times New Roman" w:cs="Times New Roman"/>
          <w:sz w:val="24"/>
          <w:szCs w:val="24"/>
        </w:rPr>
        <w:t>沉淀条件的选择</w:t>
      </w:r>
    </w:p>
    <w:p w14:paraId="43E1A9B1" w14:textId="77777777" w:rsidR="0085474C" w:rsidRPr="0085474C"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lastRenderedPageBreak/>
        <w:t>【重点】</w:t>
      </w:r>
      <w:r w:rsidRPr="0085474C">
        <w:rPr>
          <w:rFonts w:ascii="Times New Roman" w:eastAsia="宋体" w:hAnsi="Times New Roman" w:cs="Times New Roman"/>
          <w:sz w:val="24"/>
          <w:szCs w:val="24"/>
        </w:rPr>
        <w:t>沉淀重量法的分析过程和要求，沉淀的溶解度及其影响因素和沉淀平衡体系中沉淀溶解度的有关计算，影响沉淀纯度的因素，沉淀条件的选择，重量分析结果的计算。</w:t>
      </w:r>
    </w:p>
    <w:p w14:paraId="4337B81A" w14:textId="77777777" w:rsidR="0085474C" w:rsidRPr="0085474C" w:rsidRDefault="0085474C" w:rsidP="00C232D7">
      <w:pPr>
        <w:spacing w:line="440" w:lineRule="exact"/>
        <w:ind w:firstLineChars="200" w:firstLine="482"/>
        <w:rPr>
          <w:rFonts w:ascii="Times New Roman" w:eastAsia="宋体" w:hAnsi="Times New Roman" w:cs="Times New Roman"/>
          <w:szCs w:val="24"/>
        </w:rPr>
      </w:pPr>
      <w:r w:rsidRPr="0085474C">
        <w:rPr>
          <w:rFonts w:ascii="Times New Roman" w:eastAsia="宋体" w:hAnsi="Times New Roman" w:cs="Times New Roman"/>
          <w:b/>
          <w:sz w:val="24"/>
          <w:szCs w:val="24"/>
        </w:rPr>
        <w:t>【难点】</w:t>
      </w:r>
      <w:r w:rsidRPr="0085474C">
        <w:rPr>
          <w:rFonts w:ascii="Times New Roman" w:eastAsia="宋体" w:hAnsi="Times New Roman" w:cs="Times New Roman"/>
          <w:sz w:val="24"/>
          <w:szCs w:val="24"/>
        </w:rPr>
        <w:t>沉淀的溶解度的有关计算。</w:t>
      </w:r>
    </w:p>
    <w:p w14:paraId="4B9E9E41" w14:textId="77777777" w:rsidR="0085474C" w:rsidRPr="0085474C"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bCs/>
          <w:sz w:val="24"/>
          <w:szCs w:val="24"/>
        </w:rPr>
        <w:t>【教学方法】</w:t>
      </w:r>
    </w:p>
    <w:p w14:paraId="1F29F12B" w14:textId="77777777" w:rsidR="0085474C" w:rsidRPr="0085474C" w:rsidRDefault="0085474C" w:rsidP="00C232D7">
      <w:pPr>
        <w:spacing w:line="440" w:lineRule="exact"/>
        <w:ind w:firstLineChars="200" w:firstLine="480"/>
        <w:rPr>
          <w:rFonts w:ascii="Times New Roman" w:eastAsia="宋体" w:hAnsi="Times New Roman" w:cs="Times New Roman"/>
          <w:kern w:val="0"/>
          <w:sz w:val="20"/>
          <w:szCs w:val="20"/>
        </w:rPr>
      </w:pP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1</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2715B206" w14:textId="77777777" w:rsidR="0085474C" w:rsidRPr="0085474C" w:rsidRDefault="0085474C" w:rsidP="00C232D7">
      <w:pPr>
        <w:widowControl/>
        <w:spacing w:line="440" w:lineRule="exact"/>
        <w:ind w:firstLineChars="200" w:firstLine="480"/>
        <w:rPr>
          <w:rFonts w:ascii="Times New Roman" w:eastAsia="宋体" w:hAnsi="Times New Roman" w:cs="Times New Roman"/>
          <w:szCs w:val="24"/>
        </w:rPr>
      </w:pP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2</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065B5AE3"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3</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采用课前学习课堂汇报的方法，通过安排学生提前预习，在课上派代表台上汇报，培养学生自主学习、独立思考的精神，强化学生对知识学习的应用意识，提升学生的教学技能。</w:t>
      </w:r>
    </w:p>
    <w:p w14:paraId="79BA6D9C" w14:textId="77777777" w:rsidR="0085474C" w:rsidRPr="0085474C" w:rsidRDefault="0085474C" w:rsidP="00C232D7">
      <w:pPr>
        <w:spacing w:line="440" w:lineRule="exact"/>
        <w:ind w:firstLineChars="200" w:firstLine="482"/>
        <w:rPr>
          <w:rFonts w:ascii="Times New Roman" w:eastAsia="宋体" w:hAnsi="Times New Roman" w:cs="Times New Roman"/>
          <w:szCs w:val="24"/>
        </w:rPr>
      </w:pPr>
      <w:r w:rsidRPr="0085474C">
        <w:rPr>
          <w:rFonts w:ascii="Times New Roman" w:eastAsia="宋体" w:hAnsi="Times New Roman" w:cs="Times New Roman"/>
          <w:b/>
          <w:sz w:val="24"/>
          <w:szCs w:val="24"/>
        </w:rPr>
        <w:t>【复习思考】</w:t>
      </w:r>
    </w:p>
    <w:p w14:paraId="000BEDE4"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）解释下列现象：</w:t>
      </w:r>
    </w:p>
    <w:p w14:paraId="64B1ECD0"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a. CaF</w:t>
      </w:r>
      <w:r w:rsidRPr="0085474C">
        <w:rPr>
          <w:rFonts w:ascii="Times New Roman" w:eastAsia="宋体" w:hAnsi="Times New Roman" w:cs="Times New Roman"/>
          <w:sz w:val="24"/>
          <w:szCs w:val="24"/>
          <w:vertAlign w:val="subscript"/>
        </w:rPr>
        <w:t>2</w:t>
      </w:r>
      <w:r w:rsidRPr="0085474C">
        <w:rPr>
          <w:rFonts w:ascii="Times New Roman" w:eastAsia="宋体" w:hAnsi="Times New Roman" w:cs="Times New Roman"/>
          <w:sz w:val="24"/>
          <w:szCs w:val="24"/>
        </w:rPr>
        <w:t>在</w:t>
      </w:r>
      <w:r w:rsidRPr="0085474C">
        <w:rPr>
          <w:rFonts w:ascii="Times New Roman" w:eastAsia="宋体" w:hAnsi="Times New Roman" w:cs="Times New Roman"/>
          <w:sz w:val="24"/>
          <w:szCs w:val="24"/>
        </w:rPr>
        <w:t>pH3.0</w:t>
      </w:r>
      <w:r w:rsidRPr="0085474C">
        <w:rPr>
          <w:rFonts w:ascii="Times New Roman" w:eastAsia="宋体" w:hAnsi="Times New Roman" w:cs="Times New Roman"/>
          <w:sz w:val="24"/>
          <w:szCs w:val="24"/>
        </w:rPr>
        <w:t>的溶液中溶解度较在</w:t>
      </w:r>
      <w:r w:rsidRPr="0085474C">
        <w:rPr>
          <w:rFonts w:ascii="Times New Roman" w:eastAsia="宋体" w:hAnsi="Times New Roman" w:cs="Times New Roman"/>
          <w:sz w:val="24"/>
          <w:szCs w:val="24"/>
        </w:rPr>
        <w:t>pH5.0</w:t>
      </w:r>
      <w:r w:rsidRPr="0085474C">
        <w:rPr>
          <w:rFonts w:ascii="Times New Roman" w:eastAsia="宋体" w:hAnsi="Times New Roman" w:cs="Times New Roman"/>
          <w:sz w:val="24"/>
          <w:szCs w:val="24"/>
        </w:rPr>
        <w:t>的溶液中溶解度大</w:t>
      </w:r>
    </w:p>
    <w:p w14:paraId="18D6CF1E"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bCs/>
          <w:sz w:val="24"/>
          <w:szCs w:val="24"/>
        </w:rPr>
      </w:pPr>
      <w:r w:rsidRPr="0085474C">
        <w:rPr>
          <w:rFonts w:ascii="Times New Roman" w:eastAsia="宋体" w:hAnsi="Times New Roman" w:cs="Times New Roman"/>
          <w:sz w:val="24"/>
          <w:szCs w:val="24"/>
        </w:rPr>
        <w:t>b. BaSO</w:t>
      </w:r>
      <w:r w:rsidRPr="0085474C">
        <w:rPr>
          <w:rFonts w:ascii="Times New Roman" w:eastAsia="宋体" w:hAnsi="Times New Roman" w:cs="Times New Roman"/>
          <w:sz w:val="24"/>
          <w:szCs w:val="24"/>
          <w:vertAlign w:val="subscript"/>
        </w:rPr>
        <w:t>4</w:t>
      </w:r>
      <w:r w:rsidRPr="0085474C">
        <w:rPr>
          <w:rFonts w:ascii="Times New Roman" w:eastAsia="宋体" w:hAnsi="Times New Roman" w:cs="Times New Roman"/>
          <w:sz w:val="24"/>
          <w:szCs w:val="24"/>
        </w:rPr>
        <w:t>沉淀要用水洗涤，而</w:t>
      </w:r>
      <w:r w:rsidRPr="0085474C">
        <w:rPr>
          <w:rFonts w:ascii="Times New Roman" w:eastAsia="宋体" w:hAnsi="Times New Roman" w:cs="Times New Roman"/>
          <w:bCs/>
          <w:sz w:val="24"/>
          <w:szCs w:val="24"/>
        </w:rPr>
        <w:t>AgCl</w:t>
      </w:r>
      <w:r w:rsidRPr="0085474C">
        <w:rPr>
          <w:rFonts w:ascii="Times New Roman" w:eastAsia="宋体" w:hAnsi="Times New Roman" w:cs="Times New Roman"/>
          <w:bCs/>
          <w:sz w:val="24"/>
          <w:szCs w:val="24"/>
        </w:rPr>
        <w:t>沉淀要有稀</w:t>
      </w:r>
      <w:r w:rsidRPr="0085474C">
        <w:rPr>
          <w:rFonts w:ascii="Times New Roman" w:eastAsia="宋体" w:hAnsi="Times New Roman" w:cs="Times New Roman"/>
          <w:bCs/>
          <w:sz w:val="24"/>
          <w:szCs w:val="24"/>
        </w:rPr>
        <w:t>HNO</w:t>
      </w:r>
      <w:r w:rsidRPr="0085474C">
        <w:rPr>
          <w:rFonts w:ascii="Times New Roman" w:eastAsia="宋体" w:hAnsi="Times New Roman" w:cs="Times New Roman"/>
          <w:bCs/>
          <w:sz w:val="24"/>
          <w:szCs w:val="24"/>
          <w:vertAlign w:val="subscript"/>
        </w:rPr>
        <w:t>3</w:t>
      </w:r>
      <w:r w:rsidRPr="0085474C">
        <w:rPr>
          <w:rFonts w:ascii="Times New Roman" w:eastAsia="宋体" w:hAnsi="Times New Roman" w:cs="Times New Roman"/>
          <w:bCs/>
          <w:sz w:val="24"/>
          <w:szCs w:val="24"/>
        </w:rPr>
        <w:t>溶液洗涤</w:t>
      </w:r>
    </w:p>
    <w:p w14:paraId="03D47410"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c. ZnS</w:t>
      </w:r>
      <w:r w:rsidRPr="0085474C">
        <w:rPr>
          <w:rFonts w:ascii="Times New Roman" w:eastAsia="宋体" w:hAnsi="Times New Roman" w:cs="Times New Roman"/>
          <w:bCs/>
          <w:sz w:val="24"/>
          <w:szCs w:val="24"/>
        </w:rPr>
        <w:t>在</w:t>
      </w:r>
      <w:proofErr w:type="spellStart"/>
      <w:r w:rsidRPr="0085474C">
        <w:rPr>
          <w:rFonts w:ascii="Times New Roman" w:eastAsia="宋体" w:hAnsi="Times New Roman" w:cs="Times New Roman"/>
          <w:bCs/>
          <w:sz w:val="24"/>
          <w:szCs w:val="24"/>
        </w:rPr>
        <w:t>HgS</w:t>
      </w:r>
      <w:proofErr w:type="spellEnd"/>
      <w:r w:rsidRPr="0085474C">
        <w:rPr>
          <w:rFonts w:ascii="Times New Roman" w:eastAsia="宋体" w:hAnsi="Times New Roman" w:cs="Times New Roman"/>
          <w:bCs/>
          <w:sz w:val="24"/>
          <w:szCs w:val="24"/>
        </w:rPr>
        <w:t>沉淀表面上而不</w:t>
      </w:r>
      <w:r w:rsidRPr="0085474C">
        <w:rPr>
          <w:rFonts w:ascii="Times New Roman" w:eastAsia="宋体" w:hAnsi="Times New Roman" w:cs="Times New Roman" w:hint="eastAsia"/>
          <w:bCs/>
          <w:sz w:val="24"/>
          <w:szCs w:val="24"/>
        </w:rPr>
        <w:t>在</w:t>
      </w:r>
      <w:r w:rsidRPr="0085474C">
        <w:rPr>
          <w:rFonts w:ascii="Times New Roman" w:eastAsia="宋体" w:hAnsi="Times New Roman" w:cs="Times New Roman"/>
          <w:sz w:val="24"/>
          <w:szCs w:val="24"/>
        </w:rPr>
        <w:t>BaSO</w:t>
      </w:r>
      <w:r w:rsidRPr="0085474C">
        <w:rPr>
          <w:rFonts w:ascii="Times New Roman" w:eastAsia="宋体" w:hAnsi="Times New Roman" w:cs="Times New Roman"/>
          <w:sz w:val="24"/>
          <w:szCs w:val="24"/>
          <w:vertAlign w:val="subscript"/>
        </w:rPr>
        <w:t>4</w:t>
      </w:r>
      <w:r w:rsidRPr="0085474C">
        <w:rPr>
          <w:rFonts w:ascii="Times New Roman" w:eastAsia="宋体" w:hAnsi="Times New Roman" w:cs="Times New Roman"/>
          <w:bCs/>
          <w:sz w:val="24"/>
          <w:szCs w:val="24"/>
        </w:rPr>
        <w:t>沉淀表面上后沉淀</w:t>
      </w:r>
    </w:p>
    <w:p w14:paraId="08754C34"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）计算下列微溶化合物溶解度</w:t>
      </w:r>
    </w:p>
    <w:p w14:paraId="16F917D2"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bCs/>
          <w:sz w:val="24"/>
          <w:szCs w:val="24"/>
        </w:rPr>
      </w:pPr>
      <w:r w:rsidRPr="0085474C">
        <w:rPr>
          <w:rFonts w:ascii="Times New Roman" w:eastAsia="宋体" w:hAnsi="Times New Roman" w:cs="Times New Roman"/>
          <w:sz w:val="24"/>
          <w:szCs w:val="24"/>
        </w:rPr>
        <w:t>a. BaSO</w:t>
      </w:r>
      <w:r w:rsidRPr="0085474C">
        <w:rPr>
          <w:rFonts w:ascii="Times New Roman" w:eastAsia="宋体" w:hAnsi="Times New Roman" w:cs="Times New Roman"/>
          <w:sz w:val="24"/>
          <w:szCs w:val="24"/>
          <w:vertAlign w:val="subscript"/>
        </w:rPr>
        <w:t>4</w:t>
      </w:r>
      <w:r w:rsidRPr="0085474C">
        <w:rPr>
          <w:rFonts w:ascii="Times New Roman" w:eastAsia="宋体" w:hAnsi="Times New Roman" w:cs="Times New Roman"/>
          <w:sz w:val="24"/>
          <w:szCs w:val="24"/>
        </w:rPr>
        <w:t>在</w:t>
      </w:r>
      <w:r w:rsidRPr="0085474C">
        <w:rPr>
          <w:rFonts w:ascii="Times New Roman" w:eastAsia="宋体" w:hAnsi="Times New Roman" w:cs="Times New Roman"/>
          <w:sz w:val="24"/>
          <w:szCs w:val="24"/>
        </w:rPr>
        <w:t>0.10</w:t>
      </w:r>
      <w:r w:rsidRPr="0085474C">
        <w:rPr>
          <w:rFonts w:ascii="Times New Roman" w:eastAsia="宋体" w:hAnsi="Times New Roman" w:cs="Times New Roman"/>
          <w:bCs/>
          <w:sz w:val="24"/>
          <w:szCs w:val="24"/>
        </w:rPr>
        <w:t xml:space="preserve"> mol·L</w:t>
      </w:r>
      <w:r w:rsidRPr="0085474C">
        <w:rPr>
          <w:rFonts w:ascii="Times New Roman" w:eastAsia="宋体" w:hAnsi="Times New Roman" w:cs="Times New Roman"/>
          <w:bCs/>
          <w:sz w:val="24"/>
          <w:szCs w:val="24"/>
          <w:vertAlign w:val="superscript"/>
        </w:rPr>
        <w:t>-1</w:t>
      </w:r>
      <w:r w:rsidRPr="0085474C">
        <w:rPr>
          <w:rFonts w:ascii="Times New Roman" w:eastAsia="宋体" w:hAnsi="Times New Roman" w:cs="Times New Roman"/>
          <w:bCs/>
          <w:sz w:val="24"/>
          <w:szCs w:val="24"/>
        </w:rPr>
        <w:t>NaCl</w:t>
      </w:r>
      <w:r w:rsidRPr="0085474C">
        <w:rPr>
          <w:rFonts w:ascii="Times New Roman" w:eastAsia="宋体" w:hAnsi="Times New Roman" w:cs="Times New Roman"/>
          <w:bCs/>
          <w:sz w:val="24"/>
          <w:szCs w:val="24"/>
        </w:rPr>
        <w:t>溶液中</w:t>
      </w:r>
    </w:p>
    <w:p w14:paraId="6D139E37"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bCs/>
          <w:sz w:val="24"/>
          <w:szCs w:val="24"/>
        </w:rPr>
        <w:t xml:space="preserve">b. </w:t>
      </w:r>
      <w:r w:rsidRPr="0085474C">
        <w:rPr>
          <w:rFonts w:ascii="Times New Roman" w:eastAsia="宋体" w:hAnsi="Times New Roman" w:cs="Times New Roman"/>
          <w:sz w:val="24"/>
          <w:szCs w:val="24"/>
        </w:rPr>
        <w:t>CaF</w:t>
      </w:r>
      <w:r w:rsidRPr="0085474C">
        <w:rPr>
          <w:rFonts w:ascii="Times New Roman" w:eastAsia="宋体" w:hAnsi="Times New Roman" w:cs="Times New Roman"/>
          <w:sz w:val="24"/>
          <w:szCs w:val="24"/>
          <w:vertAlign w:val="subscript"/>
        </w:rPr>
        <w:t>2</w:t>
      </w:r>
      <w:r w:rsidRPr="0085474C">
        <w:rPr>
          <w:rFonts w:ascii="Times New Roman" w:eastAsia="宋体" w:hAnsi="Times New Roman" w:cs="Times New Roman"/>
          <w:sz w:val="24"/>
          <w:szCs w:val="24"/>
        </w:rPr>
        <w:t>在</w:t>
      </w:r>
      <w:r w:rsidRPr="0085474C">
        <w:rPr>
          <w:rFonts w:ascii="Times New Roman" w:eastAsia="宋体" w:hAnsi="Times New Roman" w:cs="Times New Roman"/>
          <w:sz w:val="24"/>
          <w:szCs w:val="24"/>
        </w:rPr>
        <w:t>pH2.0</w:t>
      </w:r>
      <w:r w:rsidRPr="0085474C">
        <w:rPr>
          <w:rFonts w:ascii="Times New Roman" w:eastAsia="宋体" w:hAnsi="Times New Roman" w:cs="Times New Roman"/>
          <w:sz w:val="24"/>
          <w:szCs w:val="24"/>
        </w:rPr>
        <w:t>的溶液中</w:t>
      </w:r>
    </w:p>
    <w:p w14:paraId="24A99666" w14:textId="77777777" w:rsidR="0085474C" w:rsidRPr="0085474C" w:rsidRDefault="0085474C" w:rsidP="00C232D7">
      <w:pPr>
        <w:spacing w:beforeLines="50" w:before="156" w:afterLines="50" w:after="156" w:line="440" w:lineRule="exact"/>
        <w:ind w:firstLineChars="200" w:firstLine="562"/>
        <w:jc w:val="center"/>
        <w:rPr>
          <w:rFonts w:ascii="Times New Roman" w:eastAsia="黑体" w:hAnsi="Times New Roman" w:cs="Times New Roman"/>
          <w:sz w:val="28"/>
          <w:szCs w:val="28"/>
        </w:rPr>
      </w:pPr>
      <w:r w:rsidRPr="0085474C">
        <w:rPr>
          <w:rFonts w:ascii="Times New Roman" w:eastAsia="宋体" w:hAnsi="Times New Roman" w:cs="Times New Roman"/>
          <w:b/>
          <w:sz w:val="28"/>
          <w:szCs w:val="28"/>
        </w:rPr>
        <w:t>第</w:t>
      </w:r>
      <w:r w:rsidRPr="0085474C">
        <w:rPr>
          <w:rFonts w:ascii="Times New Roman" w:eastAsia="宋体" w:hAnsi="Times New Roman" w:cs="Times New Roman" w:hint="eastAsia"/>
          <w:b/>
          <w:sz w:val="28"/>
          <w:szCs w:val="28"/>
        </w:rPr>
        <w:t>九</w:t>
      </w:r>
      <w:r w:rsidRPr="0085474C">
        <w:rPr>
          <w:rFonts w:ascii="Times New Roman" w:eastAsia="宋体" w:hAnsi="Times New Roman" w:cs="Times New Roman"/>
          <w:b/>
          <w:sz w:val="28"/>
          <w:szCs w:val="28"/>
        </w:rPr>
        <w:t>章</w:t>
      </w:r>
      <w:r w:rsidRPr="0085474C">
        <w:rPr>
          <w:rFonts w:ascii="Times New Roman" w:eastAsia="宋体" w:hAnsi="Times New Roman" w:cs="Times New Roman"/>
          <w:b/>
          <w:sz w:val="28"/>
          <w:szCs w:val="28"/>
        </w:rPr>
        <w:t xml:space="preserve">  </w:t>
      </w:r>
      <w:r w:rsidRPr="0085474C">
        <w:rPr>
          <w:rFonts w:ascii="Times New Roman" w:eastAsia="宋体" w:hAnsi="Times New Roman" w:cs="Times New Roman"/>
          <w:b/>
          <w:sz w:val="28"/>
          <w:szCs w:val="28"/>
        </w:rPr>
        <w:t>吸光光度法</w:t>
      </w:r>
    </w:p>
    <w:p w14:paraId="18FB889F"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04B4ECC5" w14:textId="77777777" w:rsidR="0085474C" w:rsidRPr="0085474C" w:rsidRDefault="0085474C" w:rsidP="00C232D7">
      <w:pPr>
        <w:spacing w:line="440" w:lineRule="exact"/>
        <w:ind w:firstLineChars="200" w:firstLine="480"/>
        <w:rPr>
          <w:rFonts w:ascii="Times New Roman" w:eastAsia="宋体" w:hAnsi="Times New Roman" w:cs="Times New Roman"/>
          <w:bCs/>
          <w:spacing w:val="5"/>
          <w:sz w:val="24"/>
          <w:szCs w:val="24"/>
        </w:rPr>
      </w:pPr>
      <w:r w:rsidRPr="0085474C">
        <w:rPr>
          <w:rFonts w:ascii="Times New Roman" w:eastAsia="宋体" w:hAnsi="Times New Roman" w:cs="Times New Roman"/>
          <w:bCs/>
          <w:sz w:val="24"/>
          <w:szCs w:val="24"/>
        </w:rPr>
        <w:t xml:space="preserve">1. </w:t>
      </w:r>
      <w:r w:rsidRPr="0085474C">
        <w:rPr>
          <w:rFonts w:ascii="Times New Roman" w:eastAsia="宋体" w:hAnsi="Times New Roman" w:cs="Times New Roman"/>
          <w:bCs/>
          <w:sz w:val="24"/>
          <w:szCs w:val="24"/>
        </w:rPr>
        <w:t>认知类目标：</w:t>
      </w:r>
      <w:r w:rsidRPr="0085474C">
        <w:rPr>
          <w:rFonts w:ascii="Times New Roman" w:eastAsia="宋体" w:hAnsi="Times New Roman" w:cs="Times New Roman"/>
          <w:sz w:val="24"/>
          <w:szCs w:val="24"/>
        </w:rPr>
        <w:t>理解物质对光的选择性吸收</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了解分光光度计的基本构成及各部件的主要作用；理解标准曲线偏离朗伯－比尔定律的原因；</w:t>
      </w:r>
    </w:p>
    <w:p w14:paraId="2BEBED1A" w14:textId="77777777" w:rsidR="0085474C" w:rsidRPr="0085474C" w:rsidRDefault="0085474C" w:rsidP="00C232D7">
      <w:pPr>
        <w:spacing w:line="440" w:lineRule="exact"/>
        <w:ind w:firstLineChars="200" w:firstLine="500"/>
        <w:rPr>
          <w:rFonts w:ascii="Times New Roman" w:eastAsia="宋体" w:hAnsi="Times New Roman" w:cs="Times New Roman"/>
          <w:bCs/>
          <w:spacing w:val="5"/>
          <w:sz w:val="24"/>
          <w:szCs w:val="24"/>
        </w:rPr>
      </w:pPr>
      <w:r w:rsidRPr="0085474C">
        <w:rPr>
          <w:rFonts w:ascii="Times New Roman" w:eastAsia="宋体" w:hAnsi="Times New Roman" w:cs="Times New Roman"/>
          <w:bCs/>
          <w:spacing w:val="5"/>
          <w:sz w:val="24"/>
          <w:szCs w:val="24"/>
        </w:rPr>
        <w:t xml:space="preserve">2. </w:t>
      </w:r>
      <w:r w:rsidRPr="0085474C">
        <w:rPr>
          <w:rFonts w:ascii="Times New Roman" w:eastAsia="宋体" w:hAnsi="Times New Roman" w:cs="Times New Roman"/>
          <w:bCs/>
          <w:spacing w:val="5"/>
          <w:sz w:val="24"/>
          <w:szCs w:val="24"/>
        </w:rPr>
        <w:t>过程与方法类目标：</w:t>
      </w:r>
      <w:r w:rsidRPr="0085474C">
        <w:rPr>
          <w:rFonts w:ascii="Times New Roman" w:eastAsia="宋体" w:hAnsi="Times New Roman" w:cs="Times New Roman"/>
          <w:sz w:val="24"/>
          <w:szCs w:val="24"/>
        </w:rPr>
        <w:t>熟悉朗伯－</w:t>
      </w:r>
      <w:proofErr w:type="gramStart"/>
      <w:r w:rsidRPr="0085474C">
        <w:rPr>
          <w:rFonts w:ascii="Times New Roman" w:eastAsia="宋体" w:hAnsi="Times New Roman" w:cs="Times New Roman"/>
          <w:sz w:val="24"/>
          <w:szCs w:val="24"/>
        </w:rPr>
        <w:t>比耳定律</w:t>
      </w:r>
      <w:proofErr w:type="gramEnd"/>
      <w:r w:rsidRPr="0085474C">
        <w:rPr>
          <w:rFonts w:ascii="Times New Roman" w:eastAsia="宋体" w:hAnsi="Times New Roman" w:cs="Times New Roman"/>
          <w:sz w:val="24"/>
          <w:szCs w:val="24"/>
        </w:rPr>
        <w:t>的理论推导，掌握朗伯</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比尔定律表达式中各物理量的意义及应用</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掌握影响显色反应的因素及显色条件的选择</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掌握测定波长的选择；掌握光度法测量误差及测量条件的选择；熟悉其它分光光度法及光度法在络合物组成及酸碱离解常数测量中的应用。</w:t>
      </w:r>
    </w:p>
    <w:p w14:paraId="14F3C661" w14:textId="77777777" w:rsidR="0085474C" w:rsidRPr="0085474C" w:rsidRDefault="0085474C" w:rsidP="00C232D7">
      <w:pPr>
        <w:widowControl/>
        <w:spacing w:line="440" w:lineRule="exact"/>
        <w:ind w:firstLineChars="200" w:firstLine="500"/>
        <w:jc w:val="left"/>
        <w:rPr>
          <w:rFonts w:ascii="Times New Roman" w:eastAsia="宋体" w:hAnsi="Times New Roman" w:cs="Times New Roman"/>
          <w:szCs w:val="24"/>
        </w:rPr>
      </w:pPr>
      <w:r w:rsidRPr="0085474C">
        <w:rPr>
          <w:rFonts w:ascii="Times New Roman" w:eastAsia="宋体" w:hAnsi="Times New Roman" w:cs="Times New Roman"/>
          <w:bCs/>
          <w:spacing w:val="5"/>
          <w:sz w:val="24"/>
          <w:szCs w:val="24"/>
        </w:rPr>
        <w:t xml:space="preserve">3. </w:t>
      </w:r>
      <w:r w:rsidRPr="0085474C">
        <w:rPr>
          <w:rFonts w:ascii="Times New Roman" w:eastAsia="宋体" w:hAnsi="Times New Roman" w:cs="Times New Roman"/>
          <w:bCs/>
          <w:spacing w:val="5"/>
          <w:sz w:val="24"/>
          <w:szCs w:val="24"/>
        </w:rPr>
        <w:t>情感、态度、价值观类目标：</w:t>
      </w:r>
      <w:r w:rsidRPr="0085474C">
        <w:rPr>
          <w:rFonts w:ascii="Times New Roman" w:eastAsia="宋体" w:hAnsi="Times New Roman" w:cs="Times New Roman" w:hint="eastAsia"/>
          <w:bCs/>
          <w:spacing w:val="5"/>
          <w:sz w:val="24"/>
          <w:szCs w:val="24"/>
        </w:rPr>
        <w:t>团结协助学习，表达个人意见，服从集体意见。培养质量意识、环保意识、效益意识、安全意识。</w:t>
      </w:r>
    </w:p>
    <w:p w14:paraId="670E3919" w14:textId="77777777" w:rsidR="0085474C" w:rsidRPr="0085474C" w:rsidRDefault="0085474C" w:rsidP="00C232D7">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lastRenderedPageBreak/>
        <w:t>【学习内容】</w:t>
      </w:r>
    </w:p>
    <w:p w14:paraId="27B16753"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9.1 </w:t>
      </w:r>
      <w:r w:rsidRPr="0085474C">
        <w:rPr>
          <w:rFonts w:ascii="Times New Roman" w:eastAsia="宋体" w:hAnsi="Times New Roman" w:cs="Times New Roman"/>
          <w:sz w:val="24"/>
          <w:szCs w:val="24"/>
        </w:rPr>
        <w:t>物质对光的选择性吸收和光吸收的基本定律</w:t>
      </w:r>
    </w:p>
    <w:p w14:paraId="5BD59C90"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9.2</w:t>
      </w:r>
      <w:r w:rsidRPr="0085474C">
        <w:rPr>
          <w:rFonts w:ascii="Times New Roman" w:eastAsia="宋体" w:hAnsi="Times New Roman" w:cs="Times New Roman"/>
          <w:sz w:val="24"/>
          <w:szCs w:val="24"/>
        </w:rPr>
        <w:t>分光光度计及吸收光谱</w:t>
      </w:r>
    </w:p>
    <w:p w14:paraId="2CE4301B"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9.3</w:t>
      </w:r>
      <w:r w:rsidRPr="0085474C">
        <w:rPr>
          <w:rFonts w:ascii="Times New Roman" w:eastAsia="宋体" w:hAnsi="Times New Roman" w:cs="Times New Roman"/>
          <w:sz w:val="24"/>
          <w:szCs w:val="24"/>
        </w:rPr>
        <w:t>显色反应及其影响因素</w:t>
      </w:r>
    </w:p>
    <w:p w14:paraId="491655F2"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9.4</w:t>
      </w:r>
      <w:r w:rsidRPr="0085474C">
        <w:rPr>
          <w:rFonts w:ascii="Times New Roman" w:eastAsia="宋体" w:hAnsi="Times New Roman" w:cs="Times New Roman"/>
          <w:sz w:val="24"/>
          <w:szCs w:val="24"/>
        </w:rPr>
        <w:t>吸光光度分析及误差控制</w:t>
      </w:r>
    </w:p>
    <w:p w14:paraId="78EC1275"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9.5</w:t>
      </w:r>
      <w:r w:rsidRPr="0085474C">
        <w:rPr>
          <w:rFonts w:ascii="Times New Roman" w:eastAsia="宋体" w:hAnsi="Times New Roman" w:cs="Times New Roman"/>
          <w:sz w:val="24"/>
          <w:szCs w:val="24"/>
        </w:rPr>
        <w:t>其他吸光光度法</w:t>
      </w:r>
    </w:p>
    <w:p w14:paraId="138D01C7" w14:textId="77777777" w:rsidR="0085474C" w:rsidRPr="0085474C" w:rsidRDefault="0085474C" w:rsidP="00C232D7">
      <w:pPr>
        <w:widowControl/>
        <w:snapToGrid w:val="0"/>
        <w:spacing w:line="44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9.6</w:t>
      </w:r>
      <w:r w:rsidRPr="0085474C">
        <w:rPr>
          <w:rFonts w:ascii="Times New Roman" w:eastAsia="宋体" w:hAnsi="Times New Roman" w:cs="Times New Roman"/>
          <w:sz w:val="24"/>
          <w:szCs w:val="24"/>
        </w:rPr>
        <w:t>吸光光度法的应用</w:t>
      </w:r>
    </w:p>
    <w:p w14:paraId="2389D8BB" w14:textId="77777777" w:rsidR="0085474C" w:rsidRPr="0085474C"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t>【重点】</w:t>
      </w:r>
      <w:r w:rsidRPr="0085474C">
        <w:rPr>
          <w:rFonts w:ascii="Times New Roman" w:eastAsia="宋体" w:hAnsi="Times New Roman" w:cs="Times New Roman"/>
          <w:sz w:val="24"/>
          <w:szCs w:val="24"/>
        </w:rPr>
        <w:t>朗伯</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比尔定律意义及应用，分光光度计的基本构成及各部件的主要作用，吸收曲线、标准曲线及其应用，偏离朗伯</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比尔定律的因素和光度分析法测量误差与测量条件选择，示差光度法，吸光光度法应用。</w:t>
      </w:r>
    </w:p>
    <w:p w14:paraId="7A4C4291" w14:textId="77777777" w:rsidR="0085474C" w:rsidRPr="0085474C" w:rsidRDefault="0085474C" w:rsidP="00C232D7">
      <w:pPr>
        <w:spacing w:line="440" w:lineRule="exact"/>
        <w:ind w:firstLineChars="200" w:firstLine="482"/>
        <w:rPr>
          <w:rFonts w:ascii="Times New Roman" w:eastAsia="宋体" w:hAnsi="Times New Roman" w:cs="Times New Roman"/>
          <w:szCs w:val="24"/>
        </w:rPr>
      </w:pPr>
      <w:r w:rsidRPr="0085474C">
        <w:rPr>
          <w:rFonts w:ascii="Times New Roman" w:eastAsia="宋体" w:hAnsi="Times New Roman" w:cs="Times New Roman"/>
          <w:b/>
          <w:sz w:val="24"/>
          <w:szCs w:val="24"/>
        </w:rPr>
        <w:t>【难点】</w:t>
      </w:r>
      <w:r w:rsidRPr="0085474C">
        <w:rPr>
          <w:rFonts w:ascii="Times New Roman" w:eastAsia="宋体" w:hAnsi="Times New Roman" w:cs="Times New Roman"/>
          <w:b/>
          <w:sz w:val="24"/>
          <w:szCs w:val="24"/>
        </w:rPr>
        <w:t xml:space="preserve"> </w:t>
      </w:r>
      <w:r w:rsidRPr="0085474C">
        <w:rPr>
          <w:rFonts w:ascii="Times New Roman" w:eastAsia="宋体" w:hAnsi="Times New Roman" w:cs="Times New Roman"/>
          <w:sz w:val="24"/>
          <w:szCs w:val="24"/>
        </w:rPr>
        <w:t>朗伯</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比尔定律意义及应用，分光光度计的基本组成。</w:t>
      </w:r>
    </w:p>
    <w:p w14:paraId="5AA29D33" w14:textId="77777777" w:rsidR="0085474C" w:rsidRPr="0085474C" w:rsidRDefault="0085474C" w:rsidP="00C232D7">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bCs/>
          <w:sz w:val="24"/>
          <w:szCs w:val="24"/>
        </w:rPr>
        <w:t>【教学方法】</w:t>
      </w:r>
    </w:p>
    <w:p w14:paraId="2B75965B" w14:textId="77777777" w:rsidR="0085474C" w:rsidRPr="0085474C" w:rsidRDefault="0085474C" w:rsidP="00C232D7">
      <w:pPr>
        <w:spacing w:line="440" w:lineRule="exact"/>
        <w:ind w:firstLineChars="200" w:firstLine="480"/>
        <w:rPr>
          <w:rFonts w:ascii="Times New Roman" w:eastAsia="宋体" w:hAnsi="Times New Roman" w:cs="Times New Roman"/>
          <w:kern w:val="0"/>
          <w:sz w:val="20"/>
          <w:szCs w:val="20"/>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5915D8F4" w14:textId="77777777" w:rsidR="0085474C" w:rsidRPr="0085474C" w:rsidRDefault="0085474C" w:rsidP="00C232D7">
      <w:pPr>
        <w:widowControl/>
        <w:spacing w:line="440" w:lineRule="exact"/>
        <w:ind w:firstLineChars="200" w:firstLine="420"/>
        <w:rPr>
          <w:rFonts w:ascii="Times New Roman" w:eastAsia="宋体" w:hAnsi="Times New Roman" w:cs="Times New Roman"/>
          <w:szCs w:val="24"/>
        </w:rPr>
      </w:pPr>
      <w:r w:rsidRPr="0085474C">
        <w:rPr>
          <w:rFonts w:ascii="Times New Roman" w:eastAsia="宋体" w:hAnsi="Times New Roman" w:cs="Times New Roman"/>
          <w:szCs w:val="24"/>
        </w:rPr>
        <w:t>2.</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3630F5D0"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采用课前学习课堂汇报的方法，通过安排学生提前预习，在课上派代表台上汇报，培养学生自主学习、独立思考的精神，强化学生对知识学习的应用意识，提升学生的教学技能。</w:t>
      </w:r>
    </w:p>
    <w:p w14:paraId="0F52F8FE" w14:textId="77777777" w:rsidR="0085474C" w:rsidRPr="0085474C" w:rsidRDefault="0085474C" w:rsidP="00C232D7">
      <w:pPr>
        <w:spacing w:line="440" w:lineRule="exact"/>
        <w:ind w:firstLineChars="200" w:firstLine="482"/>
        <w:rPr>
          <w:rFonts w:ascii="Times New Roman" w:eastAsia="宋体" w:hAnsi="Times New Roman" w:cs="Times New Roman"/>
          <w:szCs w:val="24"/>
        </w:rPr>
      </w:pPr>
      <w:r w:rsidRPr="0085474C">
        <w:rPr>
          <w:rFonts w:ascii="Times New Roman" w:eastAsia="宋体" w:hAnsi="Times New Roman" w:cs="Times New Roman"/>
          <w:b/>
          <w:sz w:val="24"/>
          <w:szCs w:val="24"/>
        </w:rPr>
        <w:t>【复习思考】</w:t>
      </w:r>
    </w:p>
    <w:p w14:paraId="7D26E63C" w14:textId="77777777" w:rsidR="0085474C" w:rsidRPr="0085474C" w:rsidRDefault="0085474C" w:rsidP="00C232D7">
      <w:pPr>
        <w:widowControl/>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）解释下列名词：吸收光谱及标准曲线，互补光及单色光，吸光度及透射比</w:t>
      </w:r>
    </w:p>
    <w:p w14:paraId="585B9451" w14:textId="77777777" w:rsidR="0085474C" w:rsidRPr="0085474C" w:rsidRDefault="0085474C" w:rsidP="00C232D7">
      <w:pPr>
        <w:widowControl/>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）符合朗伯</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比尔定律的某一吸光物质溶液，其最大吸收波长和吸光度随吸光物质浓度增加如何变化？</w:t>
      </w:r>
    </w:p>
    <w:p w14:paraId="4C55BF77" w14:textId="77777777" w:rsidR="0085474C" w:rsidRPr="0085474C" w:rsidRDefault="0085474C" w:rsidP="00C232D7">
      <w:pPr>
        <w:widowControl/>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）某</w:t>
      </w:r>
      <w:r w:rsidRPr="0085474C">
        <w:rPr>
          <w:rFonts w:ascii="Times New Roman" w:eastAsia="宋体" w:hAnsi="Times New Roman" w:cs="Times New Roman" w:hint="eastAsia"/>
          <w:sz w:val="24"/>
          <w:szCs w:val="24"/>
        </w:rPr>
        <w:t>试液</w:t>
      </w:r>
      <w:r w:rsidRPr="0085474C">
        <w:rPr>
          <w:rFonts w:ascii="Times New Roman" w:eastAsia="宋体" w:hAnsi="Times New Roman" w:cs="Times New Roman"/>
          <w:sz w:val="24"/>
          <w:szCs w:val="24"/>
        </w:rPr>
        <w:t>用</w:t>
      </w:r>
      <w:r w:rsidRPr="0085474C">
        <w:rPr>
          <w:rFonts w:ascii="Times New Roman" w:eastAsia="宋体" w:hAnsi="Times New Roman" w:cs="Times New Roman"/>
          <w:sz w:val="24"/>
          <w:szCs w:val="24"/>
        </w:rPr>
        <w:t>2cm</w:t>
      </w:r>
      <w:r w:rsidRPr="0085474C">
        <w:rPr>
          <w:rFonts w:ascii="Times New Roman" w:eastAsia="宋体" w:hAnsi="Times New Roman" w:cs="Times New Roman"/>
          <w:sz w:val="24"/>
          <w:szCs w:val="24"/>
        </w:rPr>
        <w:t>的吸收池测量时，</w:t>
      </w:r>
      <w:r w:rsidRPr="0085474C">
        <w:rPr>
          <w:rFonts w:ascii="Times New Roman" w:eastAsia="宋体" w:hAnsi="Times New Roman" w:cs="Times New Roman"/>
          <w:sz w:val="24"/>
          <w:szCs w:val="24"/>
        </w:rPr>
        <w:t>T=60%</w:t>
      </w:r>
      <w:r w:rsidRPr="0085474C">
        <w:rPr>
          <w:rFonts w:ascii="Times New Roman" w:eastAsia="宋体" w:hAnsi="Times New Roman" w:cs="Times New Roman"/>
          <w:sz w:val="24"/>
          <w:szCs w:val="24"/>
        </w:rPr>
        <w:t>，若改用</w:t>
      </w:r>
      <w:r w:rsidRPr="0085474C">
        <w:rPr>
          <w:rFonts w:ascii="Times New Roman" w:eastAsia="宋体" w:hAnsi="Times New Roman" w:cs="Times New Roman"/>
          <w:sz w:val="24"/>
          <w:szCs w:val="24"/>
        </w:rPr>
        <w:t>1cm</w:t>
      </w:r>
      <w:r w:rsidRPr="0085474C">
        <w:rPr>
          <w:rFonts w:ascii="Times New Roman" w:eastAsia="宋体" w:hAnsi="Times New Roman" w:cs="Times New Roman"/>
          <w:sz w:val="24"/>
          <w:szCs w:val="24"/>
        </w:rPr>
        <w:t>或</w:t>
      </w:r>
      <w:r w:rsidRPr="0085474C">
        <w:rPr>
          <w:rFonts w:ascii="Times New Roman" w:eastAsia="宋体" w:hAnsi="Times New Roman" w:cs="Times New Roman"/>
          <w:sz w:val="24"/>
          <w:szCs w:val="24"/>
        </w:rPr>
        <w:t>3cm</w:t>
      </w:r>
      <w:r w:rsidRPr="0085474C">
        <w:rPr>
          <w:rFonts w:ascii="Times New Roman" w:eastAsia="宋体" w:hAnsi="Times New Roman" w:cs="Times New Roman"/>
          <w:sz w:val="24"/>
          <w:szCs w:val="24"/>
        </w:rPr>
        <w:t>吸收池，</w:t>
      </w:r>
      <w:r w:rsidRPr="0085474C">
        <w:rPr>
          <w:rFonts w:ascii="Times New Roman" w:eastAsia="宋体" w:hAnsi="Times New Roman" w:cs="Times New Roman"/>
          <w:sz w:val="24"/>
          <w:szCs w:val="24"/>
        </w:rPr>
        <w:t>T</w:t>
      </w:r>
      <w:r w:rsidRPr="0085474C">
        <w:rPr>
          <w:rFonts w:ascii="Times New Roman" w:eastAsia="宋体" w:hAnsi="Times New Roman" w:cs="Times New Roman"/>
          <w:sz w:val="24"/>
          <w:szCs w:val="24"/>
        </w:rPr>
        <w:t>及</w:t>
      </w:r>
      <w:r w:rsidRPr="0085474C">
        <w:rPr>
          <w:rFonts w:ascii="Times New Roman" w:eastAsia="宋体" w:hAnsi="Times New Roman" w:cs="Times New Roman"/>
          <w:sz w:val="24"/>
          <w:szCs w:val="24"/>
        </w:rPr>
        <w:t>A</w:t>
      </w:r>
      <w:r w:rsidRPr="0085474C">
        <w:rPr>
          <w:rFonts w:ascii="Times New Roman" w:eastAsia="宋体" w:hAnsi="Times New Roman" w:cs="Times New Roman"/>
          <w:sz w:val="24"/>
          <w:szCs w:val="24"/>
        </w:rPr>
        <w:t>等于多少？</w:t>
      </w:r>
    </w:p>
    <w:p w14:paraId="109F227B" w14:textId="77777777" w:rsidR="0085474C" w:rsidRPr="0085474C" w:rsidRDefault="0085474C" w:rsidP="00C232D7">
      <w:pPr>
        <w:widowControl/>
        <w:spacing w:line="440" w:lineRule="exact"/>
        <w:ind w:firstLineChars="200" w:firstLine="480"/>
        <w:rPr>
          <w:rFonts w:ascii="Times New Roman" w:eastAsia="宋体" w:hAnsi="Times New Roman" w:cs="Times New Roman"/>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4</w:t>
      </w:r>
      <w:r w:rsidRPr="0085474C">
        <w:rPr>
          <w:rFonts w:ascii="Times New Roman" w:eastAsia="宋体" w:hAnsi="Times New Roman" w:cs="Times New Roman"/>
          <w:sz w:val="24"/>
          <w:szCs w:val="24"/>
        </w:rPr>
        <w:t>）浓度为</w:t>
      </w:r>
      <w:r w:rsidRPr="0085474C">
        <w:rPr>
          <w:rFonts w:ascii="Times New Roman" w:eastAsia="宋体" w:hAnsi="Times New Roman" w:cs="Times New Roman"/>
          <w:sz w:val="24"/>
          <w:szCs w:val="24"/>
        </w:rPr>
        <w:t>25.5ug/50mL</w:t>
      </w:r>
      <w:r w:rsidRPr="0085474C">
        <w:rPr>
          <w:rFonts w:ascii="Times New Roman" w:eastAsia="宋体" w:hAnsi="Times New Roman" w:cs="Times New Roman"/>
          <w:sz w:val="24"/>
          <w:szCs w:val="24"/>
        </w:rPr>
        <w:t>的</w:t>
      </w:r>
      <w:r w:rsidRPr="0085474C">
        <w:rPr>
          <w:rFonts w:ascii="Times New Roman" w:eastAsia="宋体" w:hAnsi="Times New Roman" w:cs="Times New Roman"/>
          <w:sz w:val="24"/>
          <w:szCs w:val="24"/>
        </w:rPr>
        <w:t>Cu</w:t>
      </w:r>
      <w:r w:rsidRPr="0085474C">
        <w:rPr>
          <w:rFonts w:ascii="Times New Roman" w:eastAsia="宋体" w:hAnsi="Times New Roman" w:cs="Times New Roman"/>
          <w:sz w:val="24"/>
          <w:szCs w:val="24"/>
          <w:vertAlign w:val="superscript"/>
        </w:rPr>
        <w:t>2+</w:t>
      </w:r>
      <w:r w:rsidRPr="0085474C">
        <w:rPr>
          <w:rFonts w:ascii="Times New Roman" w:eastAsia="宋体" w:hAnsi="Times New Roman" w:cs="Times New Roman"/>
          <w:sz w:val="24"/>
          <w:szCs w:val="24"/>
        </w:rPr>
        <w:t>溶液，用双环己酮草酰二</w:t>
      </w:r>
      <w:proofErr w:type="gramStart"/>
      <w:r w:rsidRPr="0085474C">
        <w:rPr>
          <w:rFonts w:ascii="Times New Roman" w:eastAsia="宋体" w:hAnsi="Times New Roman" w:cs="Times New Roman"/>
          <w:sz w:val="24"/>
          <w:szCs w:val="24"/>
        </w:rPr>
        <w:t>腙</w:t>
      </w:r>
      <w:proofErr w:type="gramEnd"/>
      <w:r w:rsidRPr="0085474C">
        <w:rPr>
          <w:rFonts w:ascii="Times New Roman" w:eastAsia="宋体" w:hAnsi="Times New Roman" w:cs="Times New Roman"/>
          <w:sz w:val="24"/>
          <w:szCs w:val="24"/>
        </w:rPr>
        <w:t>光度法进行测定，与波长</w:t>
      </w:r>
      <w:r w:rsidRPr="0085474C">
        <w:rPr>
          <w:rFonts w:ascii="Times New Roman" w:eastAsia="宋体" w:hAnsi="Times New Roman" w:cs="Times New Roman"/>
          <w:sz w:val="24"/>
          <w:szCs w:val="24"/>
        </w:rPr>
        <w:t>600 nm</w:t>
      </w:r>
      <w:r w:rsidRPr="0085474C">
        <w:rPr>
          <w:rFonts w:ascii="Times New Roman" w:eastAsia="宋体" w:hAnsi="Times New Roman" w:cs="Times New Roman"/>
          <w:sz w:val="24"/>
          <w:szCs w:val="24"/>
        </w:rPr>
        <w:t>处用</w:t>
      </w:r>
      <w:r w:rsidRPr="0085474C">
        <w:rPr>
          <w:rFonts w:ascii="Times New Roman" w:eastAsia="宋体" w:hAnsi="Times New Roman" w:cs="Times New Roman"/>
          <w:sz w:val="24"/>
          <w:szCs w:val="24"/>
        </w:rPr>
        <w:t>2cm</w:t>
      </w:r>
      <w:r w:rsidRPr="0085474C">
        <w:rPr>
          <w:rFonts w:ascii="Times New Roman" w:eastAsia="宋体" w:hAnsi="Times New Roman" w:cs="Times New Roman"/>
          <w:sz w:val="24"/>
          <w:szCs w:val="24"/>
        </w:rPr>
        <w:t>吸收池进行测量，测得</w:t>
      </w:r>
      <w:r w:rsidRPr="0085474C">
        <w:rPr>
          <w:rFonts w:ascii="Times New Roman" w:eastAsia="宋体" w:hAnsi="Times New Roman" w:cs="Times New Roman"/>
          <w:sz w:val="24"/>
          <w:szCs w:val="24"/>
        </w:rPr>
        <w:t>T=50.5%</w:t>
      </w:r>
      <w:r w:rsidRPr="0085474C">
        <w:rPr>
          <w:rFonts w:ascii="Times New Roman" w:eastAsia="宋体" w:hAnsi="Times New Roman" w:cs="Times New Roman"/>
          <w:sz w:val="24"/>
          <w:szCs w:val="24"/>
        </w:rPr>
        <w:t>，求摩尔吸收系数</w:t>
      </w:r>
      <w:r w:rsidRPr="0085474C">
        <w:rPr>
          <w:rFonts w:ascii="Times New Roman" w:eastAsia="宋体" w:hAnsi="Times New Roman" w:cs="Times New Roman"/>
          <w:i/>
          <w:sz w:val="24"/>
          <w:szCs w:val="24"/>
        </w:rPr>
        <w:t>k</w:t>
      </w:r>
      <w:r w:rsidRPr="0085474C">
        <w:rPr>
          <w:rFonts w:ascii="Times New Roman" w:eastAsia="宋体" w:hAnsi="Times New Roman" w:cs="Times New Roman"/>
          <w:sz w:val="24"/>
          <w:szCs w:val="24"/>
        </w:rPr>
        <w:t>和桑德尔灵敏度</w:t>
      </w:r>
      <w:r w:rsidRPr="0085474C">
        <w:rPr>
          <w:rFonts w:ascii="Times New Roman" w:eastAsia="宋体" w:hAnsi="Times New Roman" w:cs="Times New Roman"/>
          <w:sz w:val="24"/>
          <w:szCs w:val="24"/>
        </w:rPr>
        <w:t>S</w:t>
      </w:r>
      <w:r w:rsidRPr="0085474C">
        <w:rPr>
          <w:rFonts w:ascii="Times New Roman" w:eastAsia="宋体" w:hAnsi="Times New Roman" w:cs="Times New Roman"/>
          <w:bCs/>
          <w:sz w:val="24"/>
          <w:szCs w:val="24"/>
        </w:rPr>
        <w:t>。</w:t>
      </w:r>
    </w:p>
    <w:p w14:paraId="43FA91E3" w14:textId="77777777" w:rsidR="0085474C" w:rsidRPr="0085474C" w:rsidRDefault="0085474C" w:rsidP="00C232D7">
      <w:pPr>
        <w:widowControl/>
        <w:ind w:firstLineChars="200" w:firstLine="420"/>
        <w:jc w:val="left"/>
        <w:rPr>
          <w:rFonts w:ascii="Times New Roman" w:eastAsia="宋体" w:hAnsi="Times New Roman" w:cs="Times New Roman"/>
          <w:szCs w:val="24"/>
        </w:rPr>
      </w:pPr>
    </w:p>
    <w:p w14:paraId="7EBB9D0F" w14:textId="77777777" w:rsidR="0085474C" w:rsidRPr="0085474C" w:rsidRDefault="0085474C" w:rsidP="00C232D7">
      <w:pPr>
        <w:spacing w:beforeLines="50" w:before="156" w:afterLines="50" w:after="156" w:line="440" w:lineRule="exact"/>
        <w:ind w:firstLineChars="200" w:firstLine="560"/>
        <w:rPr>
          <w:rFonts w:ascii="Times New Roman" w:eastAsia="仿宋" w:hAnsi="Times New Roman" w:cs="Times New Roman"/>
          <w:sz w:val="24"/>
          <w:szCs w:val="24"/>
        </w:rPr>
      </w:pPr>
      <w:r w:rsidRPr="0085474C">
        <w:rPr>
          <w:rFonts w:ascii="Times New Roman" w:eastAsia="黑体" w:hAnsi="Times New Roman" w:cs="Times New Roman"/>
          <w:sz w:val="28"/>
          <w:szCs w:val="28"/>
        </w:rPr>
        <w:t>（二）课程学习内容与课程学习目标的对应关系</w:t>
      </w:r>
      <w:r w:rsidRPr="0085474C">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20"/>
        <w:gridCol w:w="2835"/>
        <w:gridCol w:w="2268"/>
        <w:gridCol w:w="1134"/>
      </w:tblGrid>
      <w:tr w:rsidR="0085474C" w:rsidRPr="0085474C" w14:paraId="608BDF22" w14:textId="77777777" w:rsidTr="00367215">
        <w:trPr>
          <w:trHeight w:val="660"/>
          <w:jc w:val="center"/>
        </w:trPr>
        <w:tc>
          <w:tcPr>
            <w:tcW w:w="3120" w:type="dxa"/>
            <w:vAlign w:val="center"/>
          </w:tcPr>
          <w:p w14:paraId="7E85425B"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lastRenderedPageBreak/>
              <w:t>课程学习内容</w:t>
            </w:r>
          </w:p>
        </w:tc>
        <w:tc>
          <w:tcPr>
            <w:tcW w:w="2835" w:type="dxa"/>
            <w:vAlign w:val="center"/>
          </w:tcPr>
          <w:p w14:paraId="594F8B47"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t>教学方法</w:t>
            </w:r>
          </w:p>
        </w:tc>
        <w:tc>
          <w:tcPr>
            <w:tcW w:w="2268" w:type="dxa"/>
            <w:vAlign w:val="center"/>
          </w:tcPr>
          <w:p w14:paraId="5B9F0420"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t>支撑的课程目标</w:t>
            </w:r>
          </w:p>
        </w:tc>
        <w:tc>
          <w:tcPr>
            <w:tcW w:w="1134" w:type="dxa"/>
            <w:vAlign w:val="center"/>
          </w:tcPr>
          <w:p w14:paraId="7E6E1796"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t>学时安排</w:t>
            </w:r>
          </w:p>
        </w:tc>
      </w:tr>
      <w:tr w:rsidR="0085474C" w:rsidRPr="0085474C" w14:paraId="09B14887" w14:textId="77777777" w:rsidTr="00367215">
        <w:trPr>
          <w:trHeight w:val="514"/>
          <w:jc w:val="center"/>
        </w:trPr>
        <w:tc>
          <w:tcPr>
            <w:tcW w:w="3120" w:type="dxa"/>
          </w:tcPr>
          <w:p w14:paraId="70FC0F1D"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第一章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绪论</w:t>
            </w:r>
          </w:p>
        </w:tc>
        <w:tc>
          <w:tcPr>
            <w:tcW w:w="2835" w:type="dxa"/>
            <w:vAlign w:val="center"/>
          </w:tcPr>
          <w:p w14:paraId="10DCBDBB"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讲授法、课堂汇报</w:t>
            </w:r>
          </w:p>
        </w:tc>
        <w:tc>
          <w:tcPr>
            <w:tcW w:w="2268" w:type="dxa"/>
            <w:vAlign w:val="center"/>
          </w:tcPr>
          <w:p w14:paraId="7F675B8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p>
        </w:tc>
        <w:tc>
          <w:tcPr>
            <w:tcW w:w="1134" w:type="dxa"/>
            <w:vAlign w:val="center"/>
          </w:tcPr>
          <w:p w14:paraId="3B2EB3B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学时</w:t>
            </w:r>
          </w:p>
        </w:tc>
      </w:tr>
      <w:tr w:rsidR="0085474C" w:rsidRPr="0085474C" w14:paraId="3FBA71CC" w14:textId="77777777" w:rsidTr="00367215">
        <w:trPr>
          <w:trHeight w:val="90"/>
          <w:jc w:val="center"/>
        </w:trPr>
        <w:tc>
          <w:tcPr>
            <w:tcW w:w="3120" w:type="dxa"/>
          </w:tcPr>
          <w:p w14:paraId="71381CBC" w14:textId="77777777" w:rsidR="0085474C" w:rsidRPr="0085474C" w:rsidRDefault="0085474C" w:rsidP="0085474C">
            <w:pPr>
              <w:widowControl/>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第二章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分析试样的采集与处理</w:t>
            </w:r>
          </w:p>
        </w:tc>
        <w:tc>
          <w:tcPr>
            <w:tcW w:w="2835" w:type="dxa"/>
            <w:vAlign w:val="center"/>
          </w:tcPr>
          <w:p w14:paraId="10B35342"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讲授法、探究式教学法</w:t>
            </w:r>
          </w:p>
        </w:tc>
        <w:tc>
          <w:tcPr>
            <w:tcW w:w="2268" w:type="dxa"/>
            <w:vAlign w:val="center"/>
          </w:tcPr>
          <w:p w14:paraId="4A8DC14D"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3</w:t>
            </w:r>
          </w:p>
        </w:tc>
        <w:tc>
          <w:tcPr>
            <w:tcW w:w="1134" w:type="dxa"/>
            <w:vAlign w:val="center"/>
          </w:tcPr>
          <w:p w14:paraId="3B3D74E6"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学时</w:t>
            </w:r>
          </w:p>
        </w:tc>
      </w:tr>
      <w:tr w:rsidR="0085474C" w:rsidRPr="0085474C" w14:paraId="15F0ADE5" w14:textId="77777777" w:rsidTr="00367215">
        <w:trPr>
          <w:jc w:val="center"/>
        </w:trPr>
        <w:tc>
          <w:tcPr>
            <w:tcW w:w="3120" w:type="dxa"/>
          </w:tcPr>
          <w:p w14:paraId="6EAC7B92" w14:textId="77777777" w:rsidR="0085474C" w:rsidRPr="0085474C" w:rsidRDefault="0085474C" w:rsidP="0085474C">
            <w:pPr>
              <w:widowControl/>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第三章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分析化学中的误差与数据处理</w:t>
            </w:r>
          </w:p>
        </w:tc>
        <w:tc>
          <w:tcPr>
            <w:tcW w:w="2835" w:type="dxa"/>
            <w:vAlign w:val="center"/>
          </w:tcPr>
          <w:p w14:paraId="6A0D6F6C"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讲授法、类比式教学法</w:t>
            </w:r>
          </w:p>
        </w:tc>
        <w:tc>
          <w:tcPr>
            <w:tcW w:w="2268" w:type="dxa"/>
            <w:vAlign w:val="center"/>
          </w:tcPr>
          <w:p w14:paraId="207864EB"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3</w:t>
            </w:r>
          </w:p>
        </w:tc>
        <w:tc>
          <w:tcPr>
            <w:tcW w:w="1134" w:type="dxa"/>
            <w:vAlign w:val="center"/>
          </w:tcPr>
          <w:p w14:paraId="45C44750"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8</w:t>
            </w:r>
            <w:r w:rsidRPr="0085474C">
              <w:rPr>
                <w:rFonts w:ascii="Times New Roman" w:eastAsia="宋体" w:hAnsi="Times New Roman" w:cs="Times New Roman"/>
                <w:sz w:val="24"/>
                <w:szCs w:val="24"/>
              </w:rPr>
              <w:t>学时</w:t>
            </w:r>
          </w:p>
        </w:tc>
      </w:tr>
      <w:tr w:rsidR="0085474C" w:rsidRPr="0085474C" w14:paraId="55F34CE4" w14:textId="77777777" w:rsidTr="00367215">
        <w:trPr>
          <w:jc w:val="center"/>
        </w:trPr>
        <w:tc>
          <w:tcPr>
            <w:tcW w:w="3120" w:type="dxa"/>
          </w:tcPr>
          <w:p w14:paraId="4D4BD7E6" w14:textId="77777777" w:rsidR="0085474C" w:rsidRPr="0085474C" w:rsidRDefault="0085474C" w:rsidP="0085474C">
            <w:pPr>
              <w:widowControl/>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hint="eastAsia"/>
                <w:sz w:val="24"/>
                <w:szCs w:val="24"/>
              </w:rPr>
              <w:t>四</w:t>
            </w:r>
            <w:r w:rsidRPr="0085474C">
              <w:rPr>
                <w:rFonts w:ascii="Times New Roman" w:eastAsia="宋体" w:hAnsi="Times New Roman" w:cs="Times New Roman"/>
                <w:sz w:val="24"/>
                <w:szCs w:val="24"/>
              </w:rPr>
              <w:t>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酸碱滴定法</w:t>
            </w:r>
          </w:p>
        </w:tc>
        <w:tc>
          <w:tcPr>
            <w:tcW w:w="2835" w:type="dxa"/>
            <w:vAlign w:val="center"/>
          </w:tcPr>
          <w:p w14:paraId="71A664C0"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w:t>
            </w:r>
          </w:p>
        </w:tc>
        <w:tc>
          <w:tcPr>
            <w:tcW w:w="2268" w:type="dxa"/>
            <w:vAlign w:val="center"/>
          </w:tcPr>
          <w:p w14:paraId="1773FD8F"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3</w:t>
            </w:r>
          </w:p>
        </w:tc>
        <w:tc>
          <w:tcPr>
            <w:tcW w:w="1134" w:type="dxa"/>
            <w:vAlign w:val="center"/>
          </w:tcPr>
          <w:p w14:paraId="57D3085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9</w:t>
            </w:r>
            <w:r w:rsidRPr="0085474C">
              <w:rPr>
                <w:rFonts w:ascii="Times New Roman" w:eastAsia="宋体" w:hAnsi="Times New Roman" w:cs="Times New Roman"/>
                <w:sz w:val="24"/>
                <w:szCs w:val="24"/>
              </w:rPr>
              <w:t>学时</w:t>
            </w:r>
          </w:p>
        </w:tc>
      </w:tr>
      <w:tr w:rsidR="0085474C" w:rsidRPr="0085474C" w14:paraId="08439892" w14:textId="77777777" w:rsidTr="00367215">
        <w:trPr>
          <w:jc w:val="center"/>
        </w:trPr>
        <w:tc>
          <w:tcPr>
            <w:tcW w:w="3120" w:type="dxa"/>
          </w:tcPr>
          <w:p w14:paraId="71D9A084" w14:textId="77777777" w:rsidR="0085474C" w:rsidRPr="0085474C" w:rsidRDefault="0085474C" w:rsidP="0085474C">
            <w:pPr>
              <w:widowControl/>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hint="eastAsia"/>
                <w:sz w:val="24"/>
                <w:szCs w:val="24"/>
              </w:rPr>
              <w:t>五</w:t>
            </w:r>
            <w:r w:rsidRPr="0085474C">
              <w:rPr>
                <w:rFonts w:ascii="Times New Roman" w:eastAsia="宋体" w:hAnsi="Times New Roman" w:cs="Times New Roman"/>
                <w:sz w:val="24"/>
                <w:szCs w:val="24"/>
              </w:rPr>
              <w:t>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配位滴定法</w:t>
            </w:r>
          </w:p>
        </w:tc>
        <w:tc>
          <w:tcPr>
            <w:tcW w:w="2835" w:type="dxa"/>
            <w:vAlign w:val="center"/>
          </w:tcPr>
          <w:p w14:paraId="44EFD20D"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讲授法、课堂汇报</w:t>
            </w:r>
          </w:p>
        </w:tc>
        <w:tc>
          <w:tcPr>
            <w:tcW w:w="2268" w:type="dxa"/>
            <w:vAlign w:val="center"/>
          </w:tcPr>
          <w:p w14:paraId="3F5A1E5B"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3</w:t>
            </w:r>
          </w:p>
        </w:tc>
        <w:tc>
          <w:tcPr>
            <w:tcW w:w="1134" w:type="dxa"/>
            <w:vAlign w:val="center"/>
          </w:tcPr>
          <w:p w14:paraId="7F4B5688"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9</w:t>
            </w:r>
            <w:r w:rsidRPr="0085474C">
              <w:rPr>
                <w:rFonts w:ascii="Times New Roman" w:eastAsia="宋体" w:hAnsi="Times New Roman" w:cs="Times New Roman"/>
                <w:sz w:val="24"/>
                <w:szCs w:val="24"/>
              </w:rPr>
              <w:t>学时</w:t>
            </w:r>
          </w:p>
        </w:tc>
      </w:tr>
      <w:tr w:rsidR="0085474C" w:rsidRPr="0085474C" w14:paraId="36498E97" w14:textId="77777777" w:rsidTr="00367215">
        <w:trPr>
          <w:jc w:val="center"/>
        </w:trPr>
        <w:tc>
          <w:tcPr>
            <w:tcW w:w="3120" w:type="dxa"/>
          </w:tcPr>
          <w:p w14:paraId="2440C194" w14:textId="77777777" w:rsidR="0085474C" w:rsidRPr="0085474C" w:rsidRDefault="0085474C" w:rsidP="0085474C">
            <w:pPr>
              <w:widowControl/>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hint="eastAsia"/>
                <w:sz w:val="24"/>
                <w:szCs w:val="24"/>
              </w:rPr>
              <w:t>六</w:t>
            </w:r>
            <w:r w:rsidRPr="0085474C">
              <w:rPr>
                <w:rFonts w:ascii="Times New Roman" w:eastAsia="宋体" w:hAnsi="Times New Roman" w:cs="Times New Roman"/>
                <w:sz w:val="24"/>
                <w:szCs w:val="24"/>
              </w:rPr>
              <w:t>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氧化还原滴定法</w:t>
            </w:r>
          </w:p>
        </w:tc>
        <w:tc>
          <w:tcPr>
            <w:tcW w:w="2835" w:type="dxa"/>
            <w:vAlign w:val="center"/>
          </w:tcPr>
          <w:p w14:paraId="634F0881"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讲授法、类比式教学法</w:t>
            </w:r>
          </w:p>
        </w:tc>
        <w:tc>
          <w:tcPr>
            <w:tcW w:w="2268" w:type="dxa"/>
            <w:vAlign w:val="center"/>
          </w:tcPr>
          <w:p w14:paraId="6A06307A"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3</w:t>
            </w:r>
          </w:p>
        </w:tc>
        <w:tc>
          <w:tcPr>
            <w:tcW w:w="1134" w:type="dxa"/>
            <w:vAlign w:val="center"/>
          </w:tcPr>
          <w:p w14:paraId="0A7E9C94"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7</w:t>
            </w:r>
            <w:r w:rsidRPr="0085474C">
              <w:rPr>
                <w:rFonts w:ascii="Times New Roman" w:eastAsia="宋体" w:hAnsi="Times New Roman" w:cs="Times New Roman"/>
                <w:sz w:val="24"/>
                <w:szCs w:val="24"/>
              </w:rPr>
              <w:t>学时</w:t>
            </w:r>
          </w:p>
        </w:tc>
      </w:tr>
      <w:tr w:rsidR="0085474C" w:rsidRPr="0085474C" w14:paraId="7881F3B7" w14:textId="77777777" w:rsidTr="00367215">
        <w:trPr>
          <w:jc w:val="center"/>
        </w:trPr>
        <w:tc>
          <w:tcPr>
            <w:tcW w:w="3120" w:type="dxa"/>
          </w:tcPr>
          <w:p w14:paraId="3EF012DE" w14:textId="77777777" w:rsidR="0085474C" w:rsidRPr="0085474C" w:rsidRDefault="0085474C" w:rsidP="0085474C">
            <w:pPr>
              <w:widowControl/>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hint="eastAsia"/>
                <w:sz w:val="24"/>
                <w:szCs w:val="24"/>
              </w:rPr>
              <w:t>七</w:t>
            </w:r>
            <w:r w:rsidRPr="0085474C">
              <w:rPr>
                <w:rFonts w:ascii="Times New Roman" w:eastAsia="宋体" w:hAnsi="Times New Roman" w:cs="Times New Roman"/>
                <w:sz w:val="24"/>
                <w:szCs w:val="24"/>
              </w:rPr>
              <w:t>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沉淀滴定法</w:t>
            </w:r>
          </w:p>
        </w:tc>
        <w:tc>
          <w:tcPr>
            <w:tcW w:w="2835" w:type="dxa"/>
            <w:vAlign w:val="center"/>
          </w:tcPr>
          <w:p w14:paraId="1B10AA9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讲授法、探究式教学法</w:t>
            </w:r>
          </w:p>
        </w:tc>
        <w:tc>
          <w:tcPr>
            <w:tcW w:w="2268" w:type="dxa"/>
            <w:vAlign w:val="center"/>
          </w:tcPr>
          <w:p w14:paraId="696D1175"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3</w:t>
            </w:r>
          </w:p>
        </w:tc>
        <w:tc>
          <w:tcPr>
            <w:tcW w:w="1134" w:type="dxa"/>
            <w:vAlign w:val="center"/>
          </w:tcPr>
          <w:p w14:paraId="1843B4F6"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学时</w:t>
            </w:r>
          </w:p>
        </w:tc>
      </w:tr>
      <w:tr w:rsidR="0085474C" w:rsidRPr="0085474C" w14:paraId="6598A5A7" w14:textId="77777777" w:rsidTr="00367215">
        <w:trPr>
          <w:jc w:val="center"/>
        </w:trPr>
        <w:tc>
          <w:tcPr>
            <w:tcW w:w="3120" w:type="dxa"/>
          </w:tcPr>
          <w:p w14:paraId="2C6FB615" w14:textId="77777777" w:rsidR="0085474C" w:rsidRPr="0085474C" w:rsidRDefault="0085474C" w:rsidP="0085474C">
            <w:pPr>
              <w:widowControl/>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hint="eastAsia"/>
                <w:sz w:val="24"/>
                <w:szCs w:val="24"/>
              </w:rPr>
              <w:t>八</w:t>
            </w:r>
            <w:r w:rsidRPr="0085474C">
              <w:rPr>
                <w:rFonts w:ascii="Times New Roman" w:eastAsia="宋体" w:hAnsi="Times New Roman" w:cs="Times New Roman"/>
                <w:sz w:val="24"/>
                <w:szCs w:val="24"/>
              </w:rPr>
              <w:t>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重量分析法</w:t>
            </w:r>
          </w:p>
        </w:tc>
        <w:tc>
          <w:tcPr>
            <w:tcW w:w="2835" w:type="dxa"/>
            <w:vAlign w:val="center"/>
          </w:tcPr>
          <w:p w14:paraId="54A90E2E"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w:t>
            </w:r>
          </w:p>
        </w:tc>
        <w:tc>
          <w:tcPr>
            <w:tcW w:w="2268" w:type="dxa"/>
            <w:vAlign w:val="center"/>
          </w:tcPr>
          <w:p w14:paraId="7491F0A5"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3</w:t>
            </w:r>
          </w:p>
        </w:tc>
        <w:tc>
          <w:tcPr>
            <w:tcW w:w="1134" w:type="dxa"/>
            <w:vAlign w:val="center"/>
          </w:tcPr>
          <w:p w14:paraId="1DC9E666"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学时</w:t>
            </w:r>
          </w:p>
        </w:tc>
      </w:tr>
      <w:tr w:rsidR="0085474C" w:rsidRPr="0085474C" w14:paraId="025AB10C" w14:textId="77777777" w:rsidTr="00367215">
        <w:trPr>
          <w:jc w:val="center"/>
        </w:trPr>
        <w:tc>
          <w:tcPr>
            <w:tcW w:w="3120" w:type="dxa"/>
          </w:tcPr>
          <w:p w14:paraId="2C17E643" w14:textId="77777777" w:rsidR="0085474C" w:rsidRPr="0085474C" w:rsidRDefault="0085474C" w:rsidP="0085474C">
            <w:pPr>
              <w:widowControl/>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hint="eastAsia"/>
                <w:sz w:val="24"/>
                <w:szCs w:val="24"/>
              </w:rPr>
              <w:t>九</w:t>
            </w:r>
            <w:r w:rsidRPr="0085474C">
              <w:rPr>
                <w:rFonts w:ascii="Times New Roman" w:eastAsia="宋体" w:hAnsi="Times New Roman" w:cs="Times New Roman"/>
                <w:sz w:val="24"/>
                <w:szCs w:val="24"/>
              </w:rPr>
              <w:t>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hint="eastAsia"/>
                <w:sz w:val="24"/>
                <w:szCs w:val="24"/>
              </w:rPr>
              <w:t>吸光光度法</w:t>
            </w:r>
          </w:p>
        </w:tc>
        <w:tc>
          <w:tcPr>
            <w:tcW w:w="2835" w:type="dxa"/>
            <w:vAlign w:val="center"/>
          </w:tcPr>
          <w:p w14:paraId="2BE97614"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讲授法、探究式教学法</w:t>
            </w:r>
          </w:p>
        </w:tc>
        <w:tc>
          <w:tcPr>
            <w:tcW w:w="2268" w:type="dxa"/>
            <w:vAlign w:val="center"/>
          </w:tcPr>
          <w:p w14:paraId="366399A9"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3</w:t>
            </w:r>
          </w:p>
        </w:tc>
        <w:tc>
          <w:tcPr>
            <w:tcW w:w="1134" w:type="dxa"/>
            <w:vAlign w:val="center"/>
          </w:tcPr>
          <w:p w14:paraId="260AAB4F"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6</w:t>
            </w:r>
            <w:r w:rsidRPr="0085474C">
              <w:rPr>
                <w:rFonts w:ascii="Times New Roman" w:eastAsia="宋体" w:hAnsi="Times New Roman" w:cs="Times New Roman"/>
                <w:sz w:val="24"/>
                <w:szCs w:val="24"/>
              </w:rPr>
              <w:t>学时</w:t>
            </w:r>
          </w:p>
        </w:tc>
      </w:tr>
      <w:tr w:rsidR="0085474C" w:rsidRPr="0085474C" w14:paraId="1C81ADDA" w14:textId="77777777" w:rsidTr="00367215">
        <w:trPr>
          <w:jc w:val="center"/>
        </w:trPr>
        <w:tc>
          <w:tcPr>
            <w:tcW w:w="8223" w:type="dxa"/>
            <w:gridSpan w:val="3"/>
            <w:vAlign w:val="center"/>
          </w:tcPr>
          <w:p w14:paraId="6C46C770"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合计</w:t>
            </w:r>
          </w:p>
        </w:tc>
        <w:tc>
          <w:tcPr>
            <w:tcW w:w="1134" w:type="dxa"/>
            <w:vAlign w:val="center"/>
          </w:tcPr>
          <w:p w14:paraId="725E08BA"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48</w:t>
            </w:r>
            <w:r w:rsidRPr="0085474C">
              <w:rPr>
                <w:rFonts w:ascii="Times New Roman" w:eastAsia="宋体" w:hAnsi="Times New Roman" w:cs="Times New Roman"/>
                <w:sz w:val="24"/>
                <w:szCs w:val="24"/>
              </w:rPr>
              <w:t>学时</w:t>
            </w:r>
          </w:p>
        </w:tc>
      </w:tr>
    </w:tbl>
    <w:p w14:paraId="35F7356D" w14:textId="77777777" w:rsidR="0085474C" w:rsidRPr="0085474C" w:rsidRDefault="0085474C" w:rsidP="00C232D7">
      <w:pPr>
        <w:spacing w:beforeLines="50" w:before="156" w:afterLines="50" w:after="156" w:line="440" w:lineRule="exact"/>
        <w:ind w:firstLineChars="200" w:firstLine="560"/>
        <w:rPr>
          <w:rFonts w:ascii="Times New Roman" w:eastAsia="宋体" w:hAnsi="Times New Roman" w:cs="Times New Roman"/>
          <w:sz w:val="24"/>
          <w:szCs w:val="24"/>
        </w:rPr>
      </w:pPr>
      <w:r w:rsidRPr="0085474C">
        <w:rPr>
          <w:rFonts w:ascii="Times New Roman" w:eastAsia="黑体" w:hAnsi="Times New Roman" w:cs="Times New Roman"/>
          <w:sz w:val="28"/>
          <w:szCs w:val="28"/>
        </w:rPr>
        <w:t>四、课程考核及与课程学习目标的对应关系</w:t>
      </w:r>
    </w:p>
    <w:p w14:paraId="67C95709" w14:textId="77777777" w:rsidR="0085474C" w:rsidRPr="0085474C" w:rsidRDefault="0085474C" w:rsidP="00C232D7">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85474C" w:rsidRPr="0085474C" w14:paraId="4B35B90D" w14:textId="77777777" w:rsidTr="00367215">
        <w:trPr>
          <w:trHeight w:val="515"/>
          <w:jc w:val="center"/>
        </w:trPr>
        <w:tc>
          <w:tcPr>
            <w:tcW w:w="1422" w:type="dxa"/>
          </w:tcPr>
          <w:p w14:paraId="321CD634"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课程目标</w:t>
            </w:r>
          </w:p>
        </w:tc>
        <w:tc>
          <w:tcPr>
            <w:tcW w:w="7918" w:type="dxa"/>
            <w:vAlign w:val="center"/>
          </w:tcPr>
          <w:p w14:paraId="17524BE1"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考核内容</w:t>
            </w:r>
          </w:p>
        </w:tc>
      </w:tr>
      <w:tr w:rsidR="0085474C" w:rsidRPr="0085474C" w14:paraId="5997279C" w14:textId="77777777" w:rsidTr="00367215">
        <w:trPr>
          <w:jc w:val="center"/>
        </w:trPr>
        <w:tc>
          <w:tcPr>
            <w:tcW w:w="1422" w:type="dxa"/>
            <w:vAlign w:val="center"/>
          </w:tcPr>
          <w:p w14:paraId="6708F80B"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1</w:t>
            </w:r>
          </w:p>
        </w:tc>
        <w:tc>
          <w:tcPr>
            <w:tcW w:w="7918" w:type="dxa"/>
            <w:vAlign w:val="center"/>
          </w:tcPr>
          <w:p w14:paraId="5E20B368"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分析化学定义及滴定分析相关知识</w:t>
            </w:r>
          </w:p>
          <w:p w14:paraId="278F8ED3"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分析化学中的误差与数据处理</w:t>
            </w:r>
          </w:p>
          <w:p w14:paraId="4966F9A9"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酸碱滴定法的基本知识、原理及应用</w:t>
            </w:r>
          </w:p>
          <w:p w14:paraId="0E84AD67"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4. </w:t>
            </w:r>
            <w:r w:rsidRPr="0085474C">
              <w:rPr>
                <w:rFonts w:ascii="Times New Roman" w:eastAsia="宋体" w:hAnsi="Times New Roman" w:cs="Times New Roman"/>
                <w:sz w:val="24"/>
                <w:szCs w:val="24"/>
              </w:rPr>
              <w:t>配位滴定法的基本知识、原理及应用</w:t>
            </w:r>
          </w:p>
          <w:p w14:paraId="12FCF634"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5. </w:t>
            </w:r>
            <w:r w:rsidRPr="0085474C">
              <w:rPr>
                <w:rFonts w:ascii="Times New Roman" w:eastAsia="宋体" w:hAnsi="Times New Roman" w:cs="Times New Roman"/>
                <w:sz w:val="24"/>
                <w:szCs w:val="24"/>
              </w:rPr>
              <w:t>氧化还原滴定法的基本知识、原理及应用</w:t>
            </w:r>
          </w:p>
          <w:p w14:paraId="0D7DDBB2"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6. </w:t>
            </w:r>
            <w:r w:rsidRPr="0085474C">
              <w:rPr>
                <w:rFonts w:ascii="Times New Roman" w:eastAsia="宋体" w:hAnsi="Times New Roman" w:cs="Times New Roman"/>
                <w:sz w:val="24"/>
                <w:szCs w:val="24"/>
              </w:rPr>
              <w:t>沉淀滴定法的基本知识、原理及应用</w:t>
            </w:r>
          </w:p>
          <w:p w14:paraId="3061F4FC"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7. </w:t>
            </w:r>
            <w:r w:rsidRPr="0085474C">
              <w:rPr>
                <w:rFonts w:ascii="Times New Roman" w:eastAsia="宋体" w:hAnsi="Times New Roman" w:cs="Times New Roman"/>
                <w:sz w:val="24"/>
                <w:szCs w:val="24"/>
              </w:rPr>
              <w:t>重量分析法的基本知识、原理及应用</w:t>
            </w:r>
          </w:p>
          <w:p w14:paraId="39003FAA" w14:textId="77777777" w:rsidR="0085474C" w:rsidRPr="0085474C" w:rsidRDefault="0085474C" w:rsidP="0085474C">
            <w:pPr>
              <w:widowControl/>
              <w:snapToGrid w:val="0"/>
              <w:spacing w:line="440" w:lineRule="exact"/>
              <w:jc w:val="left"/>
              <w:rPr>
                <w:rFonts w:ascii="Times New Roman" w:eastAsia="宋体" w:hAnsi="Times New Roman" w:cs="Times New Roman"/>
                <w:szCs w:val="24"/>
              </w:rPr>
            </w:pPr>
            <w:r w:rsidRPr="0085474C">
              <w:rPr>
                <w:rFonts w:ascii="Times New Roman" w:eastAsia="宋体" w:hAnsi="Times New Roman" w:cs="Times New Roman"/>
                <w:sz w:val="24"/>
                <w:szCs w:val="24"/>
              </w:rPr>
              <w:t xml:space="preserve">8. </w:t>
            </w:r>
            <w:r w:rsidRPr="0085474C">
              <w:rPr>
                <w:rFonts w:ascii="Times New Roman" w:eastAsia="宋体" w:hAnsi="Times New Roman" w:cs="Times New Roman" w:hint="eastAsia"/>
                <w:sz w:val="24"/>
                <w:szCs w:val="24"/>
              </w:rPr>
              <w:t>吸光光度法</w:t>
            </w:r>
            <w:r w:rsidRPr="0085474C">
              <w:rPr>
                <w:rFonts w:ascii="Times New Roman" w:eastAsia="宋体" w:hAnsi="Times New Roman" w:cs="Times New Roman"/>
                <w:sz w:val="24"/>
                <w:szCs w:val="24"/>
              </w:rPr>
              <w:t>的基本知识、原理及应用</w:t>
            </w:r>
          </w:p>
        </w:tc>
      </w:tr>
      <w:tr w:rsidR="0085474C" w:rsidRPr="0085474C" w14:paraId="4E36615D" w14:textId="77777777" w:rsidTr="00367215">
        <w:trPr>
          <w:jc w:val="center"/>
        </w:trPr>
        <w:tc>
          <w:tcPr>
            <w:tcW w:w="1422" w:type="dxa"/>
            <w:vAlign w:val="center"/>
          </w:tcPr>
          <w:p w14:paraId="16D7771F"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2</w:t>
            </w:r>
          </w:p>
        </w:tc>
        <w:tc>
          <w:tcPr>
            <w:tcW w:w="7918" w:type="dxa"/>
            <w:vAlign w:val="center"/>
          </w:tcPr>
          <w:p w14:paraId="6301A5DE"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分析化学定义及滴定分析相关知识</w:t>
            </w:r>
          </w:p>
          <w:p w14:paraId="51452C09"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分析化学中的误差与数据处理</w:t>
            </w:r>
          </w:p>
          <w:p w14:paraId="65B72ECF"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酸碱滴定法的基本知识、原理及应用</w:t>
            </w:r>
          </w:p>
          <w:p w14:paraId="3F8B975D"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4. </w:t>
            </w:r>
            <w:r w:rsidRPr="0085474C">
              <w:rPr>
                <w:rFonts w:ascii="Times New Roman" w:eastAsia="宋体" w:hAnsi="Times New Roman" w:cs="Times New Roman"/>
                <w:sz w:val="24"/>
                <w:szCs w:val="24"/>
              </w:rPr>
              <w:t>配位滴定法的基本知识、原理及应用</w:t>
            </w:r>
          </w:p>
          <w:p w14:paraId="693A8E4B"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5. </w:t>
            </w:r>
            <w:r w:rsidRPr="0085474C">
              <w:rPr>
                <w:rFonts w:ascii="Times New Roman" w:eastAsia="宋体" w:hAnsi="Times New Roman" w:cs="Times New Roman"/>
                <w:sz w:val="24"/>
                <w:szCs w:val="24"/>
              </w:rPr>
              <w:t>氧化还原滴定法的基本知识、原理及应用</w:t>
            </w:r>
          </w:p>
          <w:p w14:paraId="0671C657"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 xml:space="preserve">6. </w:t>
            </w:r>
            <w:r w:rsidRPr="0085474C">
              <w:rPr>
                <w:rFonts w:ascii="Times New Roman" w:eastAsia="宋体" w:hAnsi="Times New Roman" w:cs="Times New Roman"/>
                <w:sz w:val="24"/>
                <w:szCs w:val="24"/>
              </w:rPr>
              <w:t>沉淀滴定法的基本知识、原理及应用</w:t>
            </w:r>
          </w:p>
          <w:p w14:paraId="55D2AB15"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7. </w:t>
            </w:r>
            <w:r w:rsidRPr="0085474C">
              <w:rPr>
                <w:rFonts w:ascii="Times New Roman" w:eastAsia="宋体" w:hAnsi="Times New Roman" w:cs="Times New Roman"/>
                <w:sz w:val="24"/>
                <w:szCs w:val="24"/>
              </w:rPr>
              <w:t>重量分析法的基本知识、原理及应用</w:t>
            </w:r>
          </w:p>
          <w:p w14:paraId="0DFA164E" w14:textId="77777777" w:rsidR="0085474C" w:rsidRPr="0085474C" w:rsidRDefault="0085474C" w:rsidP="0085474C">
            <w:pPr>
              <w:widowControl/>
              <w:spacing w:line="440" w:lineRule="exact"/>
              <w:jc w:val="left"/>
              <w:rPr>
                <w:rFonts w:ascii="Times New Roman" w:eastAsia="宋体" w:hAnsi="Times New Roman" w:cs="Times New Roman"/>
                <w:szCs w:val="24"/>
              </w:rPr>
            </w:pPr>
            <w:r w:rsidRPr="0085474C">
              <w:rPr>
                <w:rFonts w:ascii="Times New Roman" w:eastAsia="宋体" w:hAnsi="Times New Roman" w:cs="Times New Roman"/>
                <w:sz w:val="24"/>
                <w:szCs w:val="24"/>
              </w:rPr>
              <w:t xml:space="preserve">8. </w:t>
            </w:r>
            <w:r w:rsidRPr="0085474C">
              <w:rPr>
                <w:rFonts w:ascii="Times New Roman" w:eastAsia="宋体" w:hAnsi="Times New Roman" w:cs="Times New Roman" w:hint="eastAsia"/>
                <w:sz w:val="24"/>
                <w:szCs w:val="24"/>
              </w:rPr>
              <w:t>吸光光度法</w:t>
            </w:r>
            <w:r w:rsidRPr="0085474C">
              <w:rPr>
                <w:rFonts w:ascii="Times New Roman" w:eastAsia="宋体" w:hAnsi="Times New Roman" w:cs="Times New Roman"/>
                <w:sz w:val="24"/>
                <w:szCs w:val="24"/>
              </w:rPr>
              <w:t>的基本知识、原理及应用</w:t>
            </w:r>
          </w:p>
        </w:tc>
      </w:tr>
      <w:tr w:rsidR="0085474C" w:rsidRPr="0085474C" w14:paraId="6815DA1D" w14:textId="77777777" w:rsidTr="00367215">
        <w:trPr>
          <w:jc w:val="center"/>
        </w:trPr>
        <w:tc>
          <w:tcPr>
            <w:tcW w:w="1422" w:type="dxa"/>
            <w:vAlign w:val="center"/>
          </w:tcPr>
          <w:p w14:paraId="1741FB03"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3</w:t>
            </w:r>
          </w:p>
        </w:tc>
        <w:tc>
          <w:tcPr>
            <w:tcW w:w="7918" w:type="dxa"/>
            <w:vAlign w:val="center"/>
          </w:tcPr>
          <w:p w14:paraId="59476DD7"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分析化学定义及滴定分析相关知识</w:t>
            </w:r>
          </w:p>
          <w:p w14:paraId="244DC373"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分析化学中的误差与数据处理</w:t>
            </w:r>
          </w:p>
          <w:p w14:paraId="564FCD4C"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酸碱滴定法的基本知识、原理及应用</w:t>
            </w:r>
          </w:p>
          <w:p w14:paraId="4E83B121"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4. </w:t>
            </w:r>
            <w:r w:rsidRPr="0085474C">
              <w:rPr>
                <w:rFonts w:ascii="Times New Roman" w:eastAsia="宋体" w:hAnsi="Times New Roman" w:cs="Times New Roman"/>
                <w:sz w:val="24"/>
                <w:szCs w:val="24"/>
              </w:rPr>
              <w:t>配位滴定法的基本知识、原理及应用</w:t>
            </w:r>
          </w:p>
          <w:p w14:paraId="2D2F14A2"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5. </w:t>
            </w:r>
            <w:r w:rsidRPr="0085474C">
              <w:rPr>
                <w:rFonts w:ascii="Times New Roman" w:eastAsia="宋体" w:hAnsi="Times New Roman" w:cs="Times New Roman"/>
                <w:sz w:val="24"/>
                <w:szCs w:val="24"/>
              </w:rPr>
              <w:t>氧化还原滴定法的基本知识、原理及应用</w:t>
            </w:r>
          </w:p>
          <w:p w14:paraId="023755EF"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6. </w:t>
            </w:r>
            <w:r w:rsidRPr="0085474C">
              <w:rPr>
                <w:rFonts w:ascii="Times New Roman" w:eastAsia="宋体" w:hAnsi="Times New Roman" w:cs="Times New Roman"/>
                <w:sz w:val="24"/>
                <w:szCs w:val="24"/>
              </w:rPr>
              <w:t>沉淀滴定法的基本知识、原理及应用</w:t>
            </w:r>
          </w:p>
          <w:p w14:paraId="1FE86574" w14:textId="77777777" w:rsidR="0085474C" w:rsidRPr="0085474C" w:rsidRDefault="0085474C" w:rsidP="0085474C">
            <w:pPr>
              <w:widowControl/>
              <w:snapToGrid w:val="0"/>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7. </w:t>
            </w:r>
            <w:r w:rsidRPr="0085474C">
              <w:rPr>
                <w:rFonts w:ascii="Times New Roman" w:eastAsia="宋体" w:hAnsi="Times New Roman" w:cs="Times New Roman"/>
                <w:sz w:val="24"/>
                <w:szCs w:val="24"/>
              </w:rPr>
              <w:t>重量分析法的基本知识、原理及应用</w:t>
            </w:r>
          </w:p>
          <w:p w14:paraId="3188CC64" w14:textId="77777777" w:rsidR="0085474C" w:rsidRPr="0085474C" w:rsidRDefault="0085474C" w:rsidP="0085474C">
            <w:pPr>
              <w:widowControl/>
              <w:spacing w:line="440" w:lineRule="exact"/>
              <w:jc w:val="left"/>
              <w:rPr>
                <w:rFonts w:ascii="Times New Roman" w:eastAsia="宋体" w:hAnsi="Times New Roman" w:cs="Times New Roman"/>
                <w:szCs w:val="24"/>
              </w:rPr>
            </w:pPr>
            <w:r w:rsidRPr="0085474C">
              <w:rPr>
                <w:rFonts w:ascii="Times New Roman" w:eastAsia="宋体" w:hAnsi="Times New Roman" w:cs="Times New Roman"/>
                <w:sz w:val="24"/>
                <w:szCs w:val="24"/>
              </w:rPr>
              <w:t xml:space="preserve">8. </w:t>
            </w:r>
            <w:r w:rsidRPr="0085474C">
              <w:rPr>
                <w:rFonts w:ascii="Times New Roman" w:eastAsia="宋体" w:hAnsi="Times New Roman" w:cs="Times New Roman" w:hint="eastAsia"/>
                <w:sz w:val="24"/>
                <w:szCs w:val="24"/>
              </w:rPr>
              <w:t>吸光光度法</w:t>
            </w:r>
            <w:r w:rsidRPr="0085474C">
              <w:rPr>
                <w:rFonts w:ascii="Times New Roman" w:eastAsia="宋体" w:hAnsi="Times New Roman" w:cs="Times New Roman"/>
                <w:sz w:val="24"/>
                <w:szCs w:val="24"/>
              </w:rPr>
              <w:t>的基本知识、原理及应用</w:t>
            </w:r>
          </w:p>
        </w:tc>
      </w:tr>
    </w:tbl>
    <w:p w14:paraId="295D76CF" w14:textId="77777777" w:rsidR="0085474C" w:rsidRPr="0085474C" w:rsidRDefault="0085474C" w:rsidP="00C232D7">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（二）课程考核方式</w:t>
      </w:r>
    </w:p>
    <w:p w14:paraId="01A3A8BD"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课程考核方式分为平时考核和期末考核。平时考核方式包括课堂表现、平时作业、阶段性测试、调研报告等；期末考核采用闭卷考试。</w:t>
      </w:r>
    </w:p>
    <w:p w14:paraId="7E8CFD59" w14:textId="77777777" w:rsidR="0085474C" w:rsidRPr="0085474C" w:rsidRDefault="0085474C" w:rsidP="00C232D7">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（三）课程目标达成评价方式及考核比例</w:t>
      </w:r>
    </w:p>
    <w:p w14:paraId="01E0435C"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课程考核方式及成绩比例为：课堂表现</w:t>
      </w:r>
      <w:r w:rsidRPr="0085474C">
        <w:rPr>
          <w:rFonts w:ascii="Times New Roman" w:eastAsia="宋体" w:hAnsi="Times New Roman" w:cs="Times New Roman"/>
          <w:sz w:val="24"/>
          <w:szCs w:val="24"/>
        </w:rPr>
        <w:t>20%+</w:t>
      </w:r>
      <w:r w:rsidRPr="0085474C">
        <w:rPr>
          <w:rFonts w:ascii="Times New Roman" w:eastAsia="宋体" w:hAnsi="Times New Roman" w:cs="Times New Roman"/>
          <w:sz w:val="24"/>
          <w:szCs w:val="24"/>
        </w:rPr>
        <w:t>阶段测试</w:t>
      </w:r>
      <w:r w:rsidRPr="0085474C">
        <w:rPr>
          <w:rFonts w:ascii="Times New Roman" w:eastAsia="宋体" w:hAnsi="Times New Roman" w:cs="Times New Roman"/>
          <w:sz w:val="24"/>
          <w:szCs w:val="24"/>
        </w:rPr>
        <w:t>30%+</w:t>
      </w:r>
      <w:r w:rsidRPr="0085474C">
        <w:rPr>
          <w:rFonts w:ascii="Times New Roman" w:eastAsia="宋体" w:hAnsi="Times New Roman" w:cs="Times New Roman" w:hint="eastAsia"/>
          <w:sz w:val="24"/>
          <w:szCs w:val="24"/>
        </w:rPr>
        <w:t>主题汇报</w:t>
      </w:r>
      <w:r w:rsidRPr="0085474C">
        <w:rPr>
          <w:rFonts w:ascii="Times New Roman" w:eastAsia="宋体" w:hAnsi="Times New Roman" w:cs="Times New Roman"/>
          <w:sz w:val="24"/>
          <w:szCs w:val="24"/>
        </w:rPr>
        <w:t>10%+</w:t>
      </w:r>
      <w:r w:rsidRPr="0085474C">
        <w:rPr>
          <w:rFonts w:ascii="Times New Roman" w:eastAsia="宋体" w:hAnsi="Times New Roman" w:cs="Times New Roman"/>
          <w:sz w:val="24"/>
          <w:szCs w:val="24"/>
        </w:rPr>
        <w:t>期末考试</w:t>
      </w:r>
      <w:r w:rsidRPr="0085474C">
        <w:rPr>
          <w:rFonts w:ascii="Times New Roman" w:eastAsia="宋体" w:hAnsi="Times New Roman" w:cs="Times New Roman"/>
          <w:sz w:val="24"/>
          <w:szCs w:val="24"/>
        </w:rPr>
        <w:t>40%</w:t>
      </w:r>
      <w:r w:rsidRPr="0085474C">
        <w:rPr>
          <w:rFonts w:ascii="Times New Roman" w:eastAsia="宋体" w:hAnsi="Times New Roman" w:cs="Times New Roman"/>
          <w:sz w:val="24"/>
          <w:szCs w:val="24"/>
        </w:rPr>
        <w:t>；本课程共有</w:t>
      </w:r>
      <w:r w:rsidRPr="0085474C">
        <w:rPr>
          <w:rFonts w:ascii="Times New Roman" w:eastAsia="宋体" w:hAnsi="Times New Roman" w:cs="Times New Roman" w:hint="eastAsia"/>
          <w:sz w:val="24"/>
          <w:szCs w:val="24"/>
        </w:rPr>
        <w:t>三</w:t>
      </w:r>
      <w:r w:rsidRPr="0085474C">
        <w:rPr>
          <w:rFonts w:ascii="Times New Roman" w:eastAsia="宋体" w:hAnsi="Times New Roman" w:cs="Times New Roman"/>
          <w:sz w:val="24"/>
          <w:szCs w:val="24"/>
        </w:rPr>
        <w:t>个课程目标，考核方式及成绩比例分别为：</w:t>
      </w:r>
    </w:p>
    <w:p w14:paraId="1384E163"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：课堂表现</w:t>
      </w:r>
      <w:r w:rsidRPr="0085474C">
        <w:rPr>
          <w:rFonts w:ascii="Times New Roman" w:eastAsia="宋体" w:hAnsi="Times New Roman" w:cs="Times New Roman"/>
          <w:sz w:val="24"/>
          <w:szCs w:val="24"/>
        </w:rPr>
        <w:t>10%+</w:t>
      </w:r>
      <w:r w:rsidRPr="0085474C">
        <w:rPr>
          <w:rFonts w:ascii="Times New Roman" w:eastAsia="宋体" w:hAnsi="Times New Roman" w:cs="Times New Roman"/>
          <w:sz w:val="24"/>
          <w:szCs w:val="24"/>
        </w:rPr>
        <w:t>阶段测试</w:t>
      </w:r>
      <w:r w:rsidRPr="0085474C">
        <w:rPr>
          <w:rFonts w:ascii="Times New Roman" w:eastAsia="宋体" w:hAnsi="Times New Roman" w:cs="Times New Roman"/>
          <w:sz w:val="24"/>
          <w:szCs w:val="24"/>
        </w:rPr>
        <w:t>5%+</w:t>
      </w:r>
      <w:r w:rsidRPr="0085474C">
        <w:rPr>
          <w:rFonts w:ascii="Times New Roman" w:eastAsia="宋体" w:hAnsi="Times New Roman" w:cs="Times New Roman"/>
          <w:sz w:val="24"/>
          <w:szCs w:val="24"/>
        </w:rPr>
        <w:t>期末考试</w:t>
      </w:r>
      <w:r w:rsidRPr="0085474C">
        <w:rPr>
          <w:rFonts w:ascii="Times New Roman" w:eastAsia="宋体" w:hAnsi="Times New Roman" w:cs="Times New Roman"/>
          <w:sz w:val="24"/>
          <w:szCs w:val="24"/>
        </w:rPr>
        <w:t>20%</w:t>
      </w:r>
    </w:p>
    <w:p w14:paraId="6BC758F3"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：课堂表现</w:t>
      </w:r>
      <w:r w:rsidRPr="0085474C">
        <w:rPr>
          <w:rFonts w:ascii="Times New Roman" w:eastAsia="宋体" w:hAnsi="Times New Roman" w:cs="Times New Roman"/>
          <w:sz w:val="24"/>
          <w:szCs w:val="24"/>
        </w:rPr>
        <w:t>5%+</w:t>
      </w:r>
      <w:r w:rsidRPr="0085474C">
        <w:rPr>
          <w:rFonts w:ascii="Times New Roman" w:eastAsia="宋体" w:hAnsi="Times New Roman" w:cs="Times New Roman"/>
          <w:sz w:val="24"/>
          <w:szCs w:val="24"/>
        </w:rPr>
        <w:t>阶段测试</w:t>
      </w:r>
      <w:r w:rsidRPr="0085474C">
        <w:rPr>
          <w:rFonts w:ascii="Times New Roman" w:eastAsia="宋体" w:hAnsi="Times New Roman" w:cs="Times New Roman"/>
          <w:sz w:val="24"/>
          <w:szCs w:val="24"/>
        </w:rPr>
        <w:t>10%+</w:t>
      </w:r>
      <w:r w:rsidRPr="0085474C">
        <w:rPr>
          <w:rFonts w:ascii="Times New Roman" w:eastAsia="宋体" w:hAnsi="Times New Roman" w:cs="Times New Roman"/>
          <w:sz w:val="24"/>
          <w:szCs w:val="24"/>
        </w:rPr>
        <w:t>期末考试</w:t>
      </w:r>
      <w:r w:rsidRPr="0085474C">
        <w:rPr>
          <w:rFonts w:ascii="Times New Roman" w:eastAsia="宋体" w:hAnsi="Times New Roman" w:cs="Times New Roman"/>
          <w:sz w:val="24"/>
          <w:szCs w:val="24"/>
        </w:rPr>
        <w:t>20%</w:t>
      </w:r>
    </w:p>
    <w:p w14:paraId="59AC45C8"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：课堂表现</w:t>
      </w:r>
      <w:r w:rsidRPr="0085474C">
        <w:rPr>
          <w:rFonts w:ascii="Times New Roman" w:eastAsia="宋体" w:hAnsi="Times New Roman" w:cs="Times New Roman"/>
          <w:sz w:val="24"/>
          <w:szCs w:val="24"/>
        </w:rPr>
        <w:t>5%+</w:t>
      </w:r>
      <w:r w:rsidRPr="0085474C">
        <w:rPr>
          <w:rFonts w:ascii="Times New Roman" w:eastAsia="宋体" w:hAnsi="Times New Roman" w:cs="Times New Roman"/>
          <w:sz w:val="24"/>
          <w:szCs w:val="24"/>
        </w:rPr>
        <w:t>阶段测试</w:t>
      </w:r>
      <w:r w:rsidRPr="0085474C">
        <w:rPr>
          <w:rFonts w:ascii="Times New Roman" w:eastAsia="宋体" w:hAnsi="Times New Roman" w:cs="Times New Roman"/>
          <w:sz w:val="24"/>
          <w:szCs w:val="24"/>
        </w:rPr>
        <w:t>15%+</w:t>
      </w:r>
      <w:r w:rsidRPr="0085474C">
        <w:rPr>
          <w:rFonts w:ascii="Times New Roman" w:eastAsia="宋体" w:hAnsi="Times New Roman" w:cs="Times New Roman" w:hint="eastAsia"/>
          <w:sz w:val="24"/>
          <w:szCs w:val="24"/>
        </w:rPr>
        <w:t>主题汇报</w:t>
      </w:r>
      <w:r w:rsidRPr="0085474C">
        <w:rPr>
          <w:rFonts w:ascii="Times New Roman" w:eastAsia="宋体" w:hAnsi="Times New Roman" w:cs="Times New Roman"/>
          <w:sz w:val="24"/>
          <w:szCs w:val="24"/>
        </w:rPr>
        <w:t>10%</w:t>
      </w:r>
    </w:p>
    <w:p w14:paraId="40FDEBE3"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452"/>
        <w:gridCol w:w="1559"/>
        <w:gridCol w:w="1701"/>
        <w:gridCol w:w="1559"/>
        <w:gridCol w:w="1559"/>
      </w:tblGrid>
      <w:tr w:rsidR="0085474C" w:rsidRPr="0085474C" w14:paraId="53E15BB5" w14:textId="77777777" w:rsidTr="00367215">
        <w:trPr>
          <w:trHeight w:val="540"/>
          <w:jc w:val="center"/>
        </w:trPr>
        <w:tc>
          <w:tcPr>
            <w:tcW w:w="1422" w:type="dxa"/>
            <w:vMerge w:val="restart"/>
            <w:vAlign w:val="center"/>
          </w:tcPr>
          <w:p w14:paraId="684F4252"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课程目标</w:t>
            </w:r>
          </w:p>
        </w:tc>
        <w:tc>
          <w:tcPr>
            <w:tcW w:w="6271" w:type="dxa"/>
            <w:gridSpan w:val="4"/>
            <w:vAlign w:val="center"/>
          </w:tcPr>
          <w:p w14:paraId="43B04258"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考核方式及成绩比例（</w:t>
            </w:r>
            <w:r w:rsidRPr="0085474C">
              <w:rPr>
                <w:rFonts w:ascii="Times New Roman" w:eastAsia="宋体" w:hAnsi="Times New Roman" w:cs="Times New Roman"/>
                <w:b/>
                <w:sz w:val="24"/>
                <w:szCs w:val="24"/>
              </w:rPr>
              <w:t>%</w:t>
            </w:r>
            <w:r w:rsidRPr="0085474C">
              <w:rPr>
                <w:rFonts w:ascii="Times New Roman" w:eastAsia="宋体" w:hAnsi="Times New Roman" w:cs="Times New Roman"/>
                <w:b/>
                <w:sz w:val="24"/>
                <w:szCs w:val="24"/>
              </w:rPr>
              <w:t>）</w:t>
            </w:r>
          </w:p>
        </w:tc>
        <w:tc>
          <w:tcPr>
            <w:tcW w:w="1559" w:type="dxa"/>
            <w:vMerge w:val="restart"/>
            <w:vAlign w:val="center"/>
          </w:tcPr>
          <w:p w14:paraId="5BEDFBCA"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合计</w:t>
            </w:r>
          </w:p>
        </w:tc>
      </w:tr>
      <w:tr w:rsidR="0085474C" w:rsidRPr="0085474C" w14:paraId="355B2F22" w14:textId="77777777" w:rsidTr="00367215">
        <w:trPr>
          <w:trHeight w:val="578"/>
          <w:jc w:val="center"/>
        </w:trPr>
        <w:tc>
          <w:tcPr>
            <w:tcW w:w="1422" w:type="dxa"/>
            <w:vMerge/>
            <w:vAlign w:val="center"/>
          </w:tcPr>
          <w:p w14:paraId="07881B1B" w14:textId="77777777" w:rsidR="0085474C" w:rsidRPr="0085474C" w:rsidRDefault="0085474C" w:rsidP="0085474C">
            <w:pPr>
              <w:spacing w:line="440" w:lineRule="exact"/>
              <w:jc w:val="center"/>
              <w:rPr>
                <w:rFonts w:ascii="Times New Roman" w:eastAsia="宋体" w:hAnsi="Times New Roman" w:cs="Times New Roman"/>
                <w:b/>
                <w:sz w:val="24"/>
                <w:szCs w:val="24"/>
              </w:rPr>
            </w:pPr>
          </w:p>
        </w:tc>
        <w:tc>
          <w:tcPr>
            <w:tcW w:w="1452" w:type="dxa"/>
            <w:vAlign w:val="center"/>
          </w:tcPr>
          <w:p w14:paraId="0B8480F3"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课堂表现</w:t>
            </w:r>
          </w:p>
        </w:tc>
        <w:tc>
          <w:tcPr>
            <w:tcW w:w="1559" w:type="dxa"/>
            <w:vAlign w:val="center"/>
          </w:tcPr>
          <w:p w14:paraId="7553AF35"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阶段测试</w:t>
            </w:r>
          </w:p>
        </w:tc>
        <w:tc>
          <w:tcPr>
            <w:tcW w:w="1701" w:type="dxa"/>
            <w:vAlign w:val="center"/>
          </w:tcPr>
          <w:p w14:paraId="267588A7"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主题汇报</w:t>
            </w:r>
          </w:p>
        </w:tc>
        <w:tc>
          <w:tcPr>
            <w:tcW w:w="1559" w:type="dxa"/>
            <w:vAlign w:val="center"/>
          </w:tcPr>
          <w:p w14:paraId="06084703"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期末考试</w:t>
            </w:r>
          </w:p>
        </w:tc>
        <w:tc>
          <w:tcPr>
            <w:tcW w:w="1559" w:type="dxa"/>
            <w:vMerge/>
          </w:tcPr>
          <w:p w14:paraId="0698F77D" w14:textId="77777777" w:rsidR="0085474C" w:rsidRPr="0085474C" w:rsidRDefault="0085474C" w:rsidP="0085474C">
            <w:pPr>
              <w:spacing w:line="440" w:lineRule="exact"/>
              <w:jc w:val="center"/>
              <w:rPr>
                <w:rFonts w:ascii="Times New Roman" w:eastAsia="宋体" w:hAnsi="Times New Roman" w:cs="Times New Roman"/>
                <w:b/>
                <w:sz w:val="24"/>
                <w:szCs w:val="24"/>
              </w:rPr>
            </w:pPr>
          </w:p>
        </w:tc>
      </w:tr>
      <w:tr w:rsidR="0085474C" w:rsidRPr="0085474C" w14:paraId="2F20F2A5" w14:textId="77777777" w:rsidTr="00367215">
        <w:trPr>
          <w:jc w:val="center"/>
        </w:trPr>
        <w:tc>
          <w:tcPr>
            <w:tcW w:w="1422" w:type="dxa"/>
            <w:vAlign w:val="center"/>
          </w:tcPr>
          <w:p w14:paraId="062BF216"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1</w:t>
            </w:r>
          </w:p>
        </w:tc>
        <w:tc>
          <w:tcPr>
            <w:tcW w:w="1452" w:type="dxa"/>
            <w:vAlign w:val="center"/>
          </w:tcPr>
          <w:p w14:paraId="5EF2FB73"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10</w:t>
            </w:r>
          </w:p>
        </w:tc>
        <w:tc>
          <w:tcPr>
            <w:tcW w:w="1559" w:type="dxa"/>
            <w:vAlign w:val="center"/>
          </w:tcPr>
          <w:p w14:paraId="2AA5533B"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5</w:t>
            </w:r>
          </w:p>
        </w:tc>
        <w:tc>
          <w:tcPr>
            <w:tcW w:w="1701" w:type="dxa"/>
            <w:vAlign w:val="center"/>
          </w:tcPr>
          <w:p w14:paraId="2376B9DB" w14:textId="77777777" w:rsidR="0085474C" w:rsidRPr="0085474C" w:rsidRDefault="0085474C" w:rsidP="0085474C">
            <w:pPr>
              <w:spacing w:line="440" w:lineRule="exact"/>
              <w:jc w:val="center"/>
              <w:rPr>
                <w:rFonts w:ascii="Times New Roman" w:eastAsia="宋体" w:hAnsi="Times New Roman" w:cs="Times New Roman"/>
                <w:bCs/>
                <w:sz w:val="24"/>
                <w:szCs w:val="24"/>
              </w:rPr>
            </w:pPr>
          </w:p>
        </w:tc>
        <w:tc>
          <w:tcPr>
            <w:tcW w:w="1559" w:type="dxa"/>
            <w:vAlign w:val="center"/>
          </w:tcPr>
          <w:p w14:paraId="1CC4BB9C"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20</w:t>
            </w:r>
          </w:p>
        </w:tc>
        <w:tc>
          <w:tcPr>
            <w:tcW w:w="1559" w:type="dxa"/>
          </w:tcPr>
          <w:p w14:paraId="425E1A3A"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35</w:t>
            </w:r>
          </w:p>
        </w:tc>
      </w:tr>
      <w:tr w:rsidR="0085474C" w:rsidRPr="0085474C" w14:paraId="03199943" w14:textId="77777777" w:rsidTr="00367215">
        <w:trPr>
          <w:jc w:val="center"/>
        </w:trPr>
        <w:tc>
          <w:tcPr>
            <w:tcW w:w="1422" w:type="dxa"/>
            <w:vAlign w:val="center"/>
          </w:tcPr>
          <w:p w14:paraId="1E097A09"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2</w:t>
            </w:r>
          </w:p>
        </w:tc>
        <w:tc>
          <w:tcPr>
            <w:tcW w:w="1452" w:type="dxa"/>
            <w:vAlign w:val="center"/>
          </w:tcPr>
          <w:p w14:paraId="6C9B79CB"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5</w:t>
            </w:r>
          </w:p>
        </w:tc>
        <w:tc>
          <w:tcPr>
            <w:tcW w:w="1559" w:type="dxa"/>
            <w:vAlign w:val="center"/>
          </w:tcPr>
          <w:p w14:paraId="239C4860"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10</w:t>
            </w:r>
          </w:p>
        </w:tc>
        <w:tc>
          <w:tcPr>
            <w:tcW w:w="1701" w:type="dxa"/>
            <w:vAlign w:val="center"/>
          </w:tcPr>
          <w:p w14:paraId="3D914672" w14:textId="77777777" w:rsidR="0085474C" w:rsidRPr="0085474C" w:rsidRDefault="0085474C" w:rsidP="0085474C">
            <w:pPr>
              <w:spacing w:line="440" w:lineRule="exact"/>
              <w:jc w:val="center"/>
              <w:rPr>
                <w:rFonts w:ascii="Times New Roman" w:eastAsia="宋体" w:hAnsi="Times New Roman" w:cs="Times New Roman"/>
                <w:bCs/>
                <w:sz w:val="24"/>
                <w:szCs w:val="24"/>
              </w:rPr>
            </w:pPr>
          </w:p>
        </w:tc>
        <w:tc>
          <w:tcPr>
            <w:tcW w:w="1559" w:type="dxa"/>
            <w:vAlign w:val="center"/>
          </w:tcPr>
          <w:p w14:paraId="09484667"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20</w:t>
            </w:r>
          </w:p>
        </w:tc>
        <w:tc>
          <w:tcPr>
            <w:tcW w:w="1559" w:type="dxa"/>
          </w:tcPr>
          <w:p w14:paraId="34C19FBB"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35</w:t>
            </w:r>
          </w:p>
        </w:tc>
      </w:tr>
      <w:tr w:rsidR="0085474C" w:rsidRPr="0085474C" w14:paraId="01562572" w14:textId="77777777" w:rsidTr="00367215">
        <w:trPr>
          <w:jc w:val="center"/>
        </w:trPr>
        <w:tc>
          <w:tcPr>
            <w:tcW w:w="1422" w:type="dxa"/>
            <w:vAlign w:val="center"/>
          </w:tcPr>
          <w:p w14:paraId="08194808"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3</w:t>
            </w:r>
          </w:p>
        </w:tc>
        <w:tc>
          <w:tcPr>
            <w:tcW w:w="1452" w:type="dxa"/>
            <w:vAlign w:val="center"/>
          </w:tcPr>
          <w:p w14:paraId="4CED0039"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5</w:t>
            </w:r>
          </w:p>
        </w:tc>
        <w:tc>
          <w:tcPr>
            <w:tcW w:w="1559" w:type="dxa"/>
            <w:vAlign w:val="center"/>
          </w:tcPr>
          <w:p w14:paraId="3B2E66B6"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1</w:t>
            </w:r>
            <w:r w:rsidRPr="0085474C">
              <w:rPr>
                <w:rFonts w:ascii="Times New Roman" w:eastAsia="宋体" w:hAnsi="Times New Roman" w:cs="Times New Roman"/>
                <w:bCs/>
                <w:sz w:val="24"/>
                <w:szCs w:val="24"/>
              </w:rPr>
              <w:t>5</w:t>
            </w:r>
          </w:p>
        </w:tc>
        <w:tc>
          <w:tcPr>
            <w:tcW w:w="1701" w:type="dxa"/>
            <w:vAlign w:val="center"/>
          </w:tcPr>
          <w:p w14:paraId="7E2720C4"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1</w:t>
            </w:r>
            <w:r w:rsidRPr="0085474C">
              <w:rPr>
                <w:rFonts w:ascii="Times New Roman" w:eastAsia="宋体" w:hAnsi="Times New Roman" w:cs="Times New Roman"/>
                <w:bCs/>
                <w:sz w:val="24"/>
                <w:szCs w:val="24"/>
              </w:rPr>
              <w:t>0</w:t>
            </w:r>
          </w:p>
        </w:tc>
        <w:tc>
          <w:tcPr>
            <w:tcW w:w="1559" w:type="dxa"/>
            <w:vAlign w:val="center"/>
          </w:tcPr>
          <w:p w14:paraId="3E20F870" w14:textId="77777777" w:rsidR="0085474C" w:rsidRPr="0085474C" w:rsidRDefault="0085474C" w:rsidP="0085474C">
            <w:pPr>
              <w:spacing w:line="440" w:lineRule="exact"/>
              <w:jc w:val="center"/>
              <w:rPr>
                <w:rFonts w:ascii="Times New Roman" w:eastAsia="宋体" w:hAnsi="Times New Roman" w:cs="Times New Roman"/>
                <w:bCs/>
                <w:sz w:val="24"/>
                <w:szCs w:val="24"/>
              </w:rPr>
            </w:pPr>
          </w:p>
        </w:tc>
        <w:tc>
          <w:tcPr>
            <w:tcW w:w="1559" w:type="dxa"/>
          </w:tcPr>
          <w:p w14:paraId="11E7B6A2"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3</w:t>
            </w:r>
            <w:r w:rsidRPr="0085474C">
              <w:rPr>
                <w:rFonts w:ascii="Times New Roman" w:eastAsia="宋体" w:hAnsi="Times New Roman" w:cs="Times New Roman"/>
                <w:bCs/>
                <w:sz w:val="24"/>
                <w:szCs w:val="24"/>
              </w:rPr>
              <w:t>0</w:t>
            </w:r>
          </w:p>
        </w:tc>
      </w:tr>
      <w:tr w:rsidR="0085474C" w:rsidRPr="0085474C" w14:paraId="6B5FC509" w14:textId="77777777" w:rsidTr="00367215">
        <w:trPr>
          <w:jc w:val="center"/>
        </w:trPr>
        <w:tc>
          <w:tcPr>
            <w:tcW w:w="1422" w:type="dxa"/>
            <w:vAlign w:val="center"/>
          </w:tcPr>
          <w:p w14:paraId="60E7298E"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合计</w:t>
            </w:r>
          </w:p>
        </w:tc>
        <w:tc>
          <w:tcPr>
            <w:tcW w:w="1452" w:type="dxa"/>
            <w:vAlign w:val="center"/>
          </w:tcPr>
          <w:p w14:paraId="1F320DB2"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20</w:t>
            </w:r>
          </w:p>
        </w:tc>
        <w:tc>
          <w:tcPr>
            <w:tcW w:w="1559" w:type="dxa"/>
            <w:vAlign w:val="center"/>
          </w:tcPr>
          <w:p w14:paraId="5E443430"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30</w:t>
            </w:r>
          </w:p>
        </w:tc>
        <w:tc>
          <w:tcPr>
            <w:tcW w:w="1701" w:type="dxa"/>
            <w:vAlign w:val="center"/>
          </w:tcPr>
          <w:p w14:paraId="7992FD0F"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10</w:t>
            </w:r>
          </w:p>
        </w:tc>
        <w:tc>
          <w:tcPr>
            <w:tcW w:w="1559" w:type="dxa"/>
            <w:vAlign w:val="center"/>
          </w:tcPr>
          <w:p w14:paraId="170330AC"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40</w:t>
            </w:r>
          </w:p>
        </w:tc>
        <w:tc>
          <w:tcPr>
            <w:tcW w:w="1559" w:type="dxa"/>
          </w:tcPr>
          <w:p w14:paraId="706EF2A6"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100</w:t>
            </w:r>
          </w:p>
        </w:tc>
      </w:tr>
    </w:tbl>
    <w:p w14:paraId="5416D87D" w14:textId="77777777" w:rsidR="0085474C" w:rsidRPr="0085474C" w:rsidRDefault="0085474C" w:rsidP="00C232D7">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五、成绩评定</w:t>
      </w:r>
    </w:p>
    <w:p w14:paraId="0B7C14BF" w14:textId="77777777" w:rsidR="0085474C" w:rsidRPr="0085474C" w:rsidRDefault="0085474C" w:rsidP="00C232D7">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lastRenderedPageBreak/>
        <w:t>（一）总成绩评定</w:t>
      </w:r>
    </w:p>
    <w:p w14:paraId="323494FE"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总成绩</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平时成绩</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60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期末成绩</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40</w:t>
      </w:r>
      <w:r w:rsidRPr="0085474C">
        <w:rPr>
          <w:rFonts w:ascii="Times New Roman" w:eastAsia="宋体" w:hAnsi="Times New Roman" w:cs="Times New Roman"/>
          <w:sz w:val="24"/>
          <w:szCs w:val="24"/>
        </w:rPr>
        <w:t>%</w:t>
      </w:r>
    </w:p>
    <w:p w14:paraId="26449131" w14:textId="77777777" w:rsidR="0085474C" w:rsidRPr="0085474C" w:rsidRDefault="0085474C" w:rsidP="00C232D7">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85474C">
        <w:rPr>
          <w:rFonts w:ascii="Times New Roman" w:eastAsia="黑体" w:hAnsi="Times New Roman" w:cs="Times New Roman"/>
          <w:sz w:val="28"/>
          <w:szCs w:val="28"/>
        </w:rPr>
        <w:t>（二）平时成绩评定</w:t>
      </w:r>
    </w:p>
    <w:p w14:paraId="2F82D221"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平时成绩（</w:t>
      </w:r>
      <w:r w:rsidRPr="0085474C">
        <w:rPr>
          <w:rFonts w:ascii="Times New Roman" w:eastAsia="宋体" w:hAnsi="Times New Roman" w:cs="Times New Roman"/>
          <w:sz w:val="24"/>
          <w:szCs w:val="24"/>
        </w:rPr>
        <w:t>100%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课堂表现（</w:t>
      </w:r>
      <w:r w:rsidRPr="0085474C">
        <w:rPr>
          <w:rFonts w:ascii="Times New Roman" w:eastAsia="宋体" w:hAnsi="Times New Roman" w:cs="Times New Roman" w:hint="eastAsia"/>
          <w:sz w:val="24"/>
          <w:szCs w:val="24"/>
        </w:rPr>
        <w:t>34</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阶段测试</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50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主题汇报</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16</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p>
    <w:p w14:paraId="48C400D9"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考核方式</w:t>
      </w:r>
      <w:r w:rsidRPr="0085474C">
        <w:rPr>
          <w:rFonts w:ascii="Times New Roman" w:eastAsia="宋体" w:hAnsi="Times New Roman" w:cs="Times New Roman"/>
          <w:sz w:val="24"/>
          <w:szCs w:val="24"/>
        </w:rPr>
        <w:t>:</w:t>
      </w:r>
    </w:p>
    <w:p w14:paraId="22615BE7"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）课堂表现：通过学生在课堂上的表现情况、发言与提问情况，来评价学生相关的能力</w:t>
      </w:r>
      <w:r w:rsidRPr="0085474C">
        <w:rPr>
          <w:rFonts w:ascii="Times New Roman" w:eastAsia="宋体" w:hAnsi="Times New Roman" w:cs="Times New Roman" w:hint="eastAsia"/>
          <w:sz w:val="24"/>
          <w:szCs w:val="24"/>
        </w:rPr>
        <w:t>；</w:t>
      </w:r>
    </w:p>
    <w:p w14:paraId="0C0F62F2"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）阶段性测验：学生在平时测试、测验中掌握课程的情况；</w:t>
      </w:r>
    </w:p>
    <w:p w14:paraId="45538FF7"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主题汇报</w:t>
      </w:r>
      <w:r w:rsidRPr="0085474C">
        <w:rPr>
          <w:rFonts w:ascii="Times New Roman" w:eastAsia="宋体" w:hAnsi="Times New Roman" w:cs="Times New Roman"/>
          <w:sz w:val="24"/>
          <w:szCs w:val="24"/>
        </w:rPr>
        <w:t>：学生收集资料能力，研究设计能力，解决实际问题能力和合作研究能力</w:t>
      </w:r>
      <w:r w:rsidRPr="0085474C">
        <w:rPr>
          <w:rFonts w:ascii="Times New Roman" w:eastAsia="宋体" w:hAnsi="Times New Roman" w:cs="Times New Roman" w:hint="eastAsia"/>
          <w:sz w:val="24"/>
          <w:szCs w:val="24"/>
        </w:rPr>
        <w:t>。</w:t>
      </w:r>
    </w:p>
    <w:p w14:paraId="31C6DD75" w14:textId="77777777" w:rsidR="0085474C" w:rsidRPr="0085474C" w:rsidRDefault="0085474C" w:rsidP="00C232D7">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（三）期末成绩评定</w:t>
      </w:r>
    </w:p>
    <w:p w14:paraId="352AAC78"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期末考核主要考察学生对基本概念、操作程序和具体方法的理解与运用等。方式为闭卷考试。要求学生掌握基本概念、操作程序，运用具体方法解决相关问题。</w:t>
      </w:r>
    </w:p>
    <w:p w14:paraId="41273EB3" w14:textId="77777777" w:rsidR="0085474C" w:rsidRPr="0085474C" w:rsidRDefault="0085474C" w:rsidP="00C232D7">
      <w:pPr>
        <w:autoSpaceDE w:val="0"/>
        <w:autoSpaceDN w:val="0"/>
        <w:adjustRightInd w:val="0"/>
        <w:snapToGrid w:val="0"/>
        <w:spacing w:line="440" w:lineRule="exact"/>
        <w:ind w:firstLineChars="200" w:firstLine="482"/>
        <w:rPr>
          <w:rFonts w:ascii="Times New Roman" w:eastAsia="宋体" w:hAnsi="Times New Roman" w:cs="Times New Roman"/>
          <w:b/>
          <w:bCs/>
          <w:color w:val="000000"/>
          <w:kern w:val="0"/>
          <w:sz w:val="24"/>
          <w:szCs w:val="24"/>
        </w:rPr>
      </w:pPr>
      <w:r w:rsidRPr="0085474C">
        <w:rPr>
          <w:rFonts w:ascii="Times New Roman" w:eastAsia="宋体" w:hAnsi="Times New Roman" w:cs="Times New Roman"/>
          <w:b/>
          <w:bCs/>
          <w:color w:val="000000"/>
          <w:kern w:val="0"/>
          <w:sz w:val="24"/>
          <w:szCs w:val="24"/>
        </w:rPr>
        <w:t>1</w:t>
      </w:r>
      <w:r w:rsidRPr="0085474C">
        <w:rPr>
          <w:rFonts w:ascii="Times New Roman" w:eastAsia="宋体" w:hAnsi="Times New Roman" w:cs="Times New Roman"/>
          <w:b/>
          <w:bCs/>
          <w:color w:val="000000"/>
          <w:kern w:val="0"/>
          <w:sz w:val="24"/>
          <w:szCs w:val="24"/>
        </w:rPr>
        <w:t>．课程考核的方式：</w:t>
      </w:r>
    </w:p>
    <w:p w14:paraId="199D4155"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Cs w:val="24"/>
        </w:rPr>
      </w:pPr>
      <w:r w:rsidRPr="0085474C">
        <w:rPr>
          <w:rFonts w:ascii="Times New Roman" w:eastAsia="宋体" w:hAnsi="Times New Roman" w:cs="Times New Roman"/>
          <w:bCs/>
          <w:color w:val="000000"/>
          <w:sz w:val="24"/>
          <w:szCs w:val="24"/>
        </w:rPr>
        <w:t>课程考核的方式为期末闭卷考试</w:t>
      </w:r>
    </w:p>
    <w:p w14:paraId="40E0075C" w14:textId="77777777" w:rsidR="0085474C" w:rsidRPr="0085474C" w:rsidRDefault="0085474C" w:rsidP="00C232D7">
      <w:pPr>
        <w:autoSpaceDE w:val="0"/>
        <w:autoSpaceDN w:val="0"/>
        <w:adjustRightInd w:val="0"/>
        <w:snapToGrid w:val="0"/>
        <w:spacing w:line="440" w:lineRule="exact"/>
        <w:ind w:firstLineChars="200" w:firstLine="482"/>
        <w:rPr>
          <w:rFonts w:ascii="Times New Roman" w:eastAsia="宋体" w:hAnsi="Times New Roman" w:cs="Times New Roman"/>
          <w:b/>
          <w:bCs/>
          <w:color w:val="000000"/>
          <w:kern w:val="0"/>
          <w:sz w:val="24"/>
          <w:szCs w:val="24"/>
        </w:rPr>
      </w:pPr>
      <w:r w:rsidRPr="0085474C">
        <w:rPr>
          <w:rFonts w:ascii="Times New Roman" w:eastAsia="宋体" w:hAnsi="Times New Roman" w:cs="Times New Roman"/>
          <w:b/>
          <w:bCs/>
          <w:color w:val="000000"/>
          <w:kern w:val="0"/>
          <w:sz w:val="24"/>
          <w:szCs w:val="24"/>
        </w:rPr>
        <w:t>2</w:t>
      </w:r>
      <w:r w:rsidRPr="0085474C">
        <w:rPr>
          <w:rFonts w:ascii="Times New Roman" w:eastAsia="宋体" w:hAnsi="Times New Roman" w:cs="Times New Roman"/>
          <w:b/>
          <w:bCs/>
          <w:color w:val="000000"/>
          <w:kern w:val="0"/>
          <w:sz w:val="24"/>
          <w:szCs w:val="24"/>
        </w:rPr>
        <w:t>．课程考核的范围：</w:t>
      </w:r>
    </w:p>
    <w:p w14:paraId="6D873813" w14:textId="77777777" w:rsidR="0085474C" w:rsidRPr="0085474C" w:rsidRDefault="0085474C" w:rsidP="00C232D7">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章概论</w:t>
      </w:r>
    </w:p>
    <w:p w14:paraId="777F2111"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）分析化学的定义、任务和分析方法的分类与选择；</w:t>
      </w:r>
    </w:p>
    <w:p w14:paraId="6324863B"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）滴定分析法的特点及分类；</w:t>
      </w:r>
    </w:p>
    <w:p w14:paraId="0B3E656C"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）滴定分析中的计算及各种计算方法，会利用滴定剂与待测物质的计量关系计算不同反应类型溶液的浓度、组分含量。</w:t>
      </w:r>
    </w:p>
    <w:p w14:paraId="73C5877E"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章分析试样的采集与制备</w:t>
      </w:r>
    </w:p>
    <w:p w14:paraId="7BEBF3DE"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）各种试样的采集、处理和制备方法；</w:t>
      </w:r>
    </w:p>
    <w:p w14:paraId="25F778AC"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）试样分解方法和测定前预处理，会根据不同样品，选择溶解法或熔融法进行分解。</w:t>
      </w:r>
    </w:p>
    <w:p w14:paraId="21DD1D0D"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章分析化学中的误差与数据处理</w:t>
      </w:r>
    </w:p>
    <w:p w14:paraId="3AB048E6"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）分析化学中误差、偏差、准确度与精密度的含义、关系，会计算绝对误差、相对误差、偏差、平均偏差、标准偏差、相对标准偏差等；</w:t>
      </w:r>
    </w:p>
    <w:p w14:paraId="17E97CD8"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）有效数字修约及运算规则，会判断有效数字的位数及修约，并计算得到合理的结果；</w:t>
      </w:r>
    </w:p>
    <w:p w14:paraId="73672369"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w:t>
      </w:r>
      <w:proofErr w:type="gramStart"/>
      <w:r w:rsidRPr="0085474C">
        <w:rPr>
          <w:rFonts w:ascii="Times New Roman" w:eastAsia="宋体" w:hAnsi="Times New Roman" w:cs="Times New Roman"/>
          <w:sz w:val="24"/>
          <w:szCs w:val="24"/>
        </w:rPr>
        <w:t>有限次</w:t>
      </w:r>
      <w:proofErr w:type="gramEnd"/>
      <w:r w:rsidRPr="0085474C">
        <w:rPr>
          <w:rFonts w:ascii="Times New Roman" w:eastAsia="宋体" w:hAnsi="Times New Roman" w:cs="Times New Roman"/>
          <w:sz w:val="24"/>
          <w:szCs w:val="24"/>
        </w:rPr>
        <w:t>实验数据的可疑值取舍（</w:t>
      </w:r>
      <w:r w:rsidRPr="0085474C">
        <w:rPr>
          <w:rFonts w:ascii="Times New Roman" w:eastAsia="宋体" w:hAnsi="Times New Roman" w:cs="Times New Roman"/>
          <w:sz w:val="24"/>
          <w:szCs w:val="24"/>
        </w:rPr>
        <w:t>4d</w:t>
      </w:r>
      <w:r w:rsidRPr="0085474C">
        <w:rPr>
          <w:rFonts w:ascii="Times New Roman" w:eastAsia="宋体" w:hAnsi="Times New Roman" w:cs="Times New Roman"/>
          <w:sz w:val="24"/>
          <w:szCs w:val="24"/>
        </w:rPr>
        <w:t>法、</w:t>
      </w:r>
      <w:r w:rsidRPr="0085474C">
        <w:rPr>
          <w:rFonts w:ascii="Times New Roman" w:eastAsia="宋体" w:hAnsi="Times New Roman" w:cs="Times New Roman"/>
          <w:sz w:val="24"/>
          <w:szCs w:val="24"/>
        </w:rPr>
        <w:t>Q</w:t>
      </w:r>
      <w:r w:rsidRPr="0085474C">
        <w:rPr>
          <w:rFonts w:ascii="Times New Roman" w:eastAsia="宋体" w:hAnsi="Times New Roman" w:cs="Times New Roman"/>
          <w:sz w:val="24"/>
          <w:szCs w:val="24"/>
        </w:rPr>
        <w:t>检验法、格鲁布斯法）；</w:t>
      </w:r>
    </w:p>
    <w:p w14:paraId="56C67525"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4</w:t>
      </w:r>
      <w:r w:rsidRPr="0085474C">
        <w:rPr>
          <w:rFonts w:ascii="Times New Roman" w:eastAsia="宋体" w:hAnsi="Times New Roman" w:cs="Times New Roman"/>
          <w:sz w:val="24"/>
          <w:szCs w:val="24"/>
        </w:rPr>
        <w:t>）统计处理的显著性检验（</w:t>
      </w:r>
      <w:r w:rsidRPr="0085474C">
        <w:rPr>
          <w:rFonts w:ascii="Times New Roman" w:eastAsia="宋体" w:hAnsi="Times New Roman" w:cs="Times New Roman"/>
          <w:sz w:val="24"/>
          <w:szCs w:val="24"/>
        </w:rPr>
        <w:t>t</w:t>
      </w:r>
      <w:r w:rsidRPr="0085474C">
        <w:rPr>
          <w:rFonts w:ascii="Times New Roman" w:eastAsia="宋体" w:hAnsi="Times New Roman" w:cs="Times New Roman"/>
          <w:sz w:val="24"/>
          <w:szCs w:val="24"/>
        </w:rPr>
        <w:t>实验法、</w:t>
      </w:r>
      <w:r w:rsidRPr="0085474C">
        <w:rPr>
          <w:rFonts w:ascii="Times New Roman" w:eastAsia="宋体" w:hAnsi="Times New Roman" w:cs="Times New Roman"/>
          <w:sz w:val="24"/>
          <w:szCs w:val="24"/>
        </w:rPr>
        <w:t>F</w:t>
      </w:r>
      <w:r w:rsidRPr="0085474C">
        <w:rPr>
          <w:rFonts w:ascii="Times New Roman" w:eastAsia="宋体" w:hAnsi="Times New Roman" w:cs="Times New Roman"/>
          <w:sz w:val="24"/>
          <w:szCs w:val="24"/>
        </w:rPr>
        <w:t>实验法）。</w:t>
      </w:r>
    </w:p>
    <w:p w14:paraId="1688EBFA"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sz w:val="24"/>
          <w:szCs w:val="24"/>
        </w:rPr>
        <w:t>4</w:t>
      </w:r>
      <w:r w:rsidRPr="0085474C">
        <w:rPr>
          <w:rFonts w:ascii="Times New Roman" w:eastAsia="宋体" w:hAnsi="Times New Roman" w:cs="Times New Roman"/>
          <w:sz w:val="24"/>
          <w:szCs w:val="24"/>
        </w:rPr>
        <w:t>章酸碱滴定法</w:t>
      </w:r>
    </w:p>
    <w:p w14:paraId="1DD1A000"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）质子条件式的书写，根据质子条件式计算水溶液酸碱度；</w:t>
      </w:r>
    </w:p>
    <w:p w14:paraId="0DF3F319"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w:t>
      </w:r>
      <w:proofErr w:type="gramStart"/>
      <w:r w:rsidRPr="0085474C">
        <w:rPr>
          <w:rFonts w:ascii="Times New Roman" w:eastAsia="宋体" w:hAnsi="Times New Roman" w:cs="Times New Roman"/>
          <w:sz w:val="24"/>
          <w:szCs w:val="24"/>
        </w:rPr>
        <w:t>各类酸</w:t>
      </w:r>
      <w:proofErr w:type="gramEnd"/>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碱</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溶液中</w:t>
      </w:r>
      <w:r w:rsidRPr="0085474C">
        <w:rPr>
          <w:rFonts w:ascii="Times New Roman" w:eastAsia="宋体" w:hAnsi="Times New Roman" w:cs="Times New Roman"/>
          <w:sz w:val="24"/>
          <w:szCs w:val="24"/>
        </w:rPr>
        <w:t>[H</w:t>
      </w:r>
      <w:r w:rsidRPr="0085474C">
        <w:rPr>
          <w:rFonts w:ascii="Times New Roman" w:eastAsia="宋体" w:hAnsi="Times New Roman" w:cs="Times New Roman"/>
          <w:sz w:val="24"/>
          <w:szCs w:val="24"/>
          <w:vertAlign w:val="superscript"/>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的计算及其滴定可能性的判据；</w:t>
      </w:r>
    </w:p>
    <w:p w14:paraId="62C1CA6A"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）酸碱滴定原理中化学计量点和</w:t>
      </w:r>
      <w:proofErr w:type="gramStart"/>
      <w:r w:rsidRPr="0085474C">
        <w:rPr>
          <w:rFonts w:ascii="Times New Roman" w:eastAsia="宋体" w:hAnsi="Times New Roman" w:cs="Times New Roman"/>
          <w:sz w:val="24"/>
          <w:szCs w:val="24"/>
        </w:rPr>
        <w:t>突跃</w:t>
      </w:r>
      <w:proofErr w:type="gramEnd"/>
      <w:r w:rsidRPr="0085474C">
        <w:rPr>
          <w:rFonts w:ascii="Times New Roman" w:eastAsia="宋体" w:hAnsi="Times New Roman" w:cs="Times New Roman"/>
          <w:sz w:val="24"/>
          <w:szCs w:val="24"/>
        </w:rPr>
        <w:t>范围</w:t>
      </w:r>
      <w:r w:rsidRPr="0085474C">
        <w:rPr>
          <w:rFonts w:ascii="Times New Roman" w:eastAsia="宋体" w:hAnsi="Times New Roman" w:cs="Times New Roman"/>
          <w:sz w:val="24"/>
          <w:szCs w:val="24"/>
        </w:rPr>
        <w:t>pH</w:t>
      </w:r>
      <w:r w:rsidRPr="0085474C">
        <w:rPr>
          <w:rFonts w:ascii="Times New Roman" w:eastAsia="宋体" w:hAnsi="Times New Roman" w:cs="Times New Roman"/>
          <w:sz w:val="24"/>
          <w:szCs w:val="24"/>
        </w:rPr>
        <w:t>的计算；</w:t>
      </w:r>
    </w:p>
    <w:p w14:paraId="3F7F3786"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4</w:t>
      </w:r>
      <w:r w:rsidRPr="0085474C">
        <w:rPr>
          <w:rFonts w:ascii="Times New Roman" w:eastAsia="宋体" w:hAnsi="Times New Roman" w:cs="Times New Roman"/>
          <w:sz w:val="24"/>
          <w:szCs w:val="24"/>
        </w:rPr>
        <w:t>）影响</w:t>
      </w:r>
      <w:proofErr w:type="gramStart"/>
      <w:r w:rsidRPr="0085474C">
        <w:rPr>
          <w:rFonts w:ascii="Times New Roman" w:eastAsia="宋体" w:hAnsi="Times New Roman" w:cs="Times New Roman"/>
          <w:sz w:val="24"/>
          <w:szCs w:val="24"/>
        </w:rPr>
        <w:t>突跃范围</w:t>
      </w:r>
      <w:proofErr w:type="gramEnd"/>
      <w:r w:rsidRPr="0085474C">
        <w:rPr>
          <w:rFonts w:ascii="Times New Roman" w:eastAsia="宋体" w:hAnsi="Times New Roman" w:cs="Times New Roman"/>
          <w:sz w:val="24"/>
          <w:szCs w:val="24"/>
        </w:rPr>
        <w:t>的因素及指示剂的选择原则、滴定误差的计算；</w:t>
      </w:r>
    </w:p>
    <w:p w14:paraId="0E81E28E"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5</w:t>
      </w:r>
      <w:r w:rsidRPr="0085474C">
        <w:rPr>
          <w:rFonts w:ascii="Times New Roman" w:eastAsia="宋体" w:hAnsi="Times New Roman" w:cs="Times New Roman"/>
          <w:sz w:val="24"/>
          <w:szCs w:val="24"/>
        </w:rPr>
        <w:t>）酸碱滴定法的应用。</w:t>
      </w:r>
    </w:p>
    <w:p w14:paraId="27DD1104"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sz w:val="24"/>
          <w:szCs w:val="24"/>
        </w:rPr>
        <w:t>5</w:t>
      </w:r>
      <w:r w:rsidRPr="0085474C">
        <w:rPr>
          <w:rFonts w:ascii="Times New Roman" w:eastAsia="宋体" w:hAnsi="Times New Roman" w:cs="Times New Roman"/>
          <w:sz w:val="24"/>
          <w:szCs w:val="24"/>
        </w:rPr>
        <w:t>章配位滴定法</w:t>
      </w:r>
    </w:p>
    <w:p w14:paraId="66E29F77"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）副反应系数及条件稳定常数；</w:t>
      </w:r>
    </w:p>
    <w:p w14:paraId="1F0C9058"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）配位滴定原理和滴定过程中</w:t>
      </w:r>
      <w:proofErr w:type="spellStart"/>
      <w:r w:rsidRPr="0085474C">
        <w:rPr>
          <w:rFonts w:ascii="Times New Roman" w:eastAsia="宋体" w:hAnsi="Times New Roman" w:cs="Times New Roman"/>
          <w:sz w:val="24"/>
          <w:szCs w:val="24"/>
        </w:rPr>
        <w:t>pM</w:t>
      </w:r>
      <w:proofErr w:type="spellEnd"/>
      <w:r w:rsidRPr="0085474C">
        <w:rPr>
          <w:rFonts w:ascii="Times New Roman" w:eastAsia="宋体" w:hAnsi="Times New Roman" w:cs="Times New Roman"/>
          <w:sz w:val="24"/>
          <w:szCs w:val="24"/>
        </w:rPr>
        <w:t>的计算，影响</w:t>
      </w:r>
      <w:proofErr w:type="gramStart"/>
      <w:r w:rsidRPr="0085474C">
        <w:rPr>
          <w:rFonts w:ascii="Times New Roman" w:eastAsia="宋体" w:hAnsi="Times New Roman" w:cs="Times New Roman"/>
          <w:sz w:val="24"/>
          <w:szCs w:val="24"/>
        </w:rPr>
        <w:t>突跃范围</w:t>
      </w:r>
      <w:proofErr w:type="gramEnd"/>
      <w:r w:rsidRPr="0085474C">
        <w:rPr>
          <w:rFonts w:ascii="Times New Roman" w:eastAsia="宋体" w:hAnsi="Times New Roman" w:cs="Times New Roman"/>
          <w:sz w:val="24"/>
          <w:szCs w:val="24"/>
        </w:rPr>
        <w:t>的因素；</w:t>
      </w:r>
    </w:p>
    <w:p w14:paraId="400A39F7"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）金属离子指示剂的选择、终点误差的计算；</w:t>
      </w:r>
    </w:p>
    <w:p w14:paraId="635E82D5"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4</w:t>
      </w:r>
      <w:r w:rsidRPr="0085474C">
        <w:rPr>
          <w:rFonts w:ascii="Times New Roman" w:eastAsia="宋体" w:hAnsi="Times New Roman" w:cs="Times New Roman"/>
          <w:sz w:val="24"/>
          <w:szCs w:val="24"/>
        </w:rPr>
        <w:t>）络合滴定中准确滴定与分别滴定判别式的应用，滴定过程中酸度的控制。</w:t>
      </w:r>
    </w:p>
    <w:p w14:paraId="3BCE17DF"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sz w:val="24"/>
          <w:szCs w:val="24"/>
        </w:rPr>
        <w:t>6</w:t>
      </w:r>
      <w:r w:rsidRPr="0085474C">
        <w:rPr>
          <w:rFonts w:ascii="Times New Roman" w:eastAsia="宋体" w:hAnsi="Times New Roman" w:cs="Times New Roman"/>
          <w:sz w:val="24"/>
          <w:szCs w:val="24"/>
        </w:rPr>
        <w:t>章氧化还原滴定法</w:t>
      </w:r>
    </w:p>
    <w:p w14:paraId="6C768E77"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）条件电势的计算、影响氧化还原反应速度的因素；</w:t>
      </w:r>
    </w:p>
    <w:p w14:paraId="1B445DE0"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）滴定过程中电极电势的计算，会计算滴定前、化学计量点前、化学计量点、化学计量点后电极电势；</w:t>
      </w:r>
    </w:p>
    <w:p w14:paraId="28D20A8E"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）氧化还原指示剂的选择原则；</w:t>
      </w:r>
    </w:p>
    <w:p w14:paraId="1CEBBB8F"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4</w:t>
      </w:r>
      <w:r w:rsidRPr="0085474C">
        <w:rPr>
          <w:rFonts w:ascii="Times New Roman" w:eastAsia="宋体" w:hAnsi="Times New Roman" w:cs="Times New Roman"/>
          <w:sz w:val="24"/>
          <w:szCs w:val="24"/>
        </w:rPr>
        <w:t>）主要氧化还原滴定法的原理、特点及应用，会根据不同方法对滴定过程中和结果进行计算。</w:t>
      </w:r>
    </w:p>
    <w:p w14:paraId="1A872BDA"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sz w:val="24"/>
          <w:szCs w:val="24"/>
        </w:rPr>
        <w:t>7</w:t>
      </w:r>
      <w:r w:rsidRPr="0085474C">
        <w:rPr>
          <w:rFonts w:ascii="Times New Roman" w:eastAsia="宋体" w:hAnsi="Times New Roman" w:cs="Times New Roman"/>
          <w:sz w:val="24"/>
          <w:szCs w:val="24"/>
        </w:rPr>
        <w:t>章沉淀滴定法</w:t>
      </w:r>
    </w:p>
    <w:p w14:paraId="4EAA07F0"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）莫尔法、佛尔哈德法、法扬司法的原理、指示剂、测定对象与应用条件；</w:t>
      </w:r>
    </w:p>
    <w:p w14:paraId="6BFF4F70"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）加深对酸碱滴定法、配位滴定法、氧化还原滴定法、沉淀滴定法的理解。</w:t>
      </w:r>
    </w:p>
    <w:p w14:paraId="3C975FF1"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sz w:val="24"/>
          <w:szCs w:val="24"/>
        </w:rPr>
        <w:t>8</w:t>
      </w:r>
      <w:r w:rsidRPr="0085474C">
        <w:rPr>
          <w:rFonts w:ascii="Times New Roman" w:eastAsia="宋体" w:hAnsi="Times New Roman" w:cs="Times New Roman"/>
          <w:sz w:val="24"/>
          <w:szCs w:val="24"/>
        </w:rPr>
        <w:t>章重量分析法</w:t>
      </w:r>
    </w:p>
    <w:p w14:paraId="16487BE4"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）沉淀重量法的分析过程和要求；</w:t>
      </w:r>
    </w:p>
    <w:p w14:paraId="75C59D69"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）沉淀的溶解度及其影响因素，会计算沉淀平衡体系中沉淀溶解度；</w:t>
      </w:r>
    </w:p>
    <w:p w14:paraId="3934BF34"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）影响沉淀纯度的因素；沉淀条件的选择；重量分析结果的计算。</w:t>
      </w:r>
    </w:p>
    <w:p w14:paraId="379803AF" w14:textId="77777777" w:rsidR="0085474C" w:rsidRPr="0085474C" w:rsidRDefault="0085474C" w:rsidP="00C232D7">
      <w:pPr>
        <w:adjustRightInd w:val="0"/>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sz w:val="24"/>
          <w:szCs w:val="24"/>
        </w:rPr>
        <w:t>9</w:t>
      </w:r>
      <w:r w:rsidRPr="0085474C">
        <w:rPr>
          <w:rFonts w:ascii="Times New Roman" w:eastAsia="宋体" w:hAnsi="Times New Roman" w:cs="Times New Roman"/>
          <w:sz w:val="24"/>
          <w:szCs w:val="24"/>
        </w:rPr>
        <w:t>章吸光光度法</w:t>
      </w:r>
    </w:p>
    <w:p w14:paraId="5DD22996"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kern w:val="0"/>
          <w:sz w:val="24"/>
          <w:szCs w:val="20"/>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）朗伯</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比尔定律意义及应用；</w:t>
      </w:r>
    </w:p>
    <w:p w14:paraId="6292579A"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kern w:val="0"/>
          <w:sz w:val="24"/>
          <w:szCs w:val="20"/>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）分光光度计的基本构成及各部件的主要作用；</w:t>
      </w:r>
    </w:p>
    <w:p w14:paraId="23378F4E" w14:textId="77777777" w:rsidR="0085474C" w:rsidRPr="0085474C" w:rsidRDefault="0085474C" w:rsidP="00C232D7">
      <w:pPr>
        <w:widowControl/>
        <w:spacing w:line="440" w:lineRule="exact"/>
        <w:ind w:firstLineChars="200" w:firstLine="480"/>
        <w:jc w:val="left"/>
        <w:rPr>
          <w:rFonts w:ascii="Times New Roman" w:eastAsia="宋体" w:hAnsi="Times New Roman" w:cs="Times New Roman"/>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）吸收曲线、标准曲线及其应用，吸光光度法应用。</w:t>
      </w:r>
    </w:p>
    <w:p w14:paraId="25816D71" w14:textId="77777777" w:rsidR="0085474C" w:rsidRPr="0085474C" w:rsidRDefault="0085474C" w:rsidP="00C232D7">
      <w:pPr>
        <w:spacing w:beforeLines="50" w:before="156" w:afterLines="50" w:after="156" w:line="440" w:lineRule="exact"/>
        <w:ind w:firstLineChars="200" w:firstLine="560"/>
        <w:rPr>
          <w:rFonts w:ascii="Times New Roman" w:eastAsia="宋体" w:hAnsi="Times New Roman" w:cs="Times New Roman"/>
          <w:sz w:val="24"/>
          <w:szCs w:val="24"/>
        </w:rPr>
      </w:pPr>
      <w:r w:rsidRPr="0085474C">
        <w:rPr>
          <w:rFonts w:ascii="Times New Roman" w:eastAsia="黑体" w:hAnsi="Times New Roman" w:cs="Times New Roman"/>
          <w:sz w:val="28"/>
          <w:szCs w:val="28"/>
        </w:rPr>
        <w:t>六、使用教材、相关推荐书目及课程资源</w:t>
      </w:r>
    </w:p>
    <w:p w14:paraId="7150542D" w14:textId="77777777" w:rsidR="0085474C" w:rsidRPr="0085474C" w:rsidRDefault="0085474C" w:rsidP="00C232D7">
      <w:pPr>
        <w:spacing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（一）使用教材</w:t>
      </w:r>
    </w:p>
    <w:p w14:paraId="31BA312B" w14:textId="77777777" w:rsidR="0085474C" w:rsidRPr="0085474C" w:rsidRDefault="0085474C" w:rsidP="00C232D7">
      <w:pPr>
        <w:autoSpaceDE w:val="0"/>
        <w:autoSpaceDN w:val="0"/>
        <w:adjustRightInd w:val="0"/>
        <w:snapToGrid w:val="0"/>
        <w:spacing w:line="500" w:lineRule="exact"/>
        <w:ind w:firstLineChars="200" w:firstLine="480"/>
        <w:rPr>
          <w:rFonts w:ascii="Times New Roman" w:eastAsia="宋体" w:hAnsi="Times New Roman" w:cs="Times New Roman"/>
          <w:color w:val="000000"/>
          <w:kern w:val="0"/>
          <w:sz w:val="24"/>
          <w:szCs w:val="24"/>
        </w:rPr>
      </w:pPr>
      <w:r w:rsidRPr="0085474C">
        <w:rPr>
          <w:rFonts w:ascii="Times New Roman" w:eastAsia="宋体" w:hAnsi="Times New Roman" w:cs="Times New Roman"/>
          <w:color w:val="000000"/>
          <w:sz w:val="24"/>
          <w:szCs w:val="24"/>
        </w:rPr>
        <w:t>武汉大学</w:t>
      </w:r>
      <w:r w:rsidRPr="0085474C">
        <w:rPr>
          <w:rFonts w:ascii="Times New Roman" w:eastAsia="宋体" w:hAnsi="Times New Roman" w:cs="Times New Roman"/>
          <w:sz w:val="24"/>
          <w:szCs w:val="24"/>
        </w:rPr>
        <w:t>主编</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color w:val="000000"/>
          <w:sz w:val="24"/>
          <w:szCs w:val="24"/>
        </w:rPr>
        <w:t>《分析化学》上册（第六版），高等教育出版社，</w:t>
      </w:r>
      <w:r w:rsidRPr="0085474C">
        <w:rPr>
          <w:rFonts w:ascii="Times New Roman" w:eastAsia="宋体" w:hAnsi="Times New Roman" w:cs="Times New Roman"/>
          <w:sz w:val="24"/>
          <w:szCs w:val="24"/>
        </w:rPr>
        <w:t>2016</w:t>
      </w:r>
      <w:r w:rsidRPr="0085474C">
        <w:rPr>
          <w:rFonts w:ascii="Times New Roman" w:eastAsia="宋体" w:hAnsi="Times New Roman" w:cs="Times New Roman"/>
          <w:sz w:val="24"/>
          <w:szCs w:val="24"/>
        </w:rPr>
        <w:t>年版</w:t>
      </w:r>
    </w:p>
    <w:p w14:paraId="4EFD0AF9" w14:textId="77777777" w:rsidR="0085474C" w:rsidRPr="0085474C" w:rsidRDefault="0085474C" w:rsidP="00C232D7">
      <w:pPr>
        <w:spacing w:line="440" w:lineRule="exact"/>
        <w:ind w:firstLineChars="200" w:firstLine="560"/>
        <w:rPr>
          <w:rFonts w:ascii="Times New Roman" w:eastAsia="宋体" w:hAnsi="Times New Roman" w:cs="Times New Roman"/>
          <w:sz w:val="24"/>
          <w:szCs w:val="24"/>
        </w:rPr>
      </w:pPr>
      <w:r w:rsidRPr="0085474C">
        <w:rPr>
          <w:rFonts w:ascii="Times New Roman" w:eastAsia="黑体" w:hAnsi="Times New Roman" w:cs="Times New Roman"/>
          <w:sz w:val="28"/>
          <w:szCs w:val="28"/>
        </w:rPr>
        <w:t>（二）相关推荐书目</w:t>
      </w:r>
    </w:p>
    <w:p w14:paraId="5C9ACFD1" w14:textId="77777777" w:rsidR="0085474C" w:rsidRPr="0085474C" w:rsidRDefault="0085474C" w:rsidP="00C232D7">
      <w:pPr>
        <w:widowControl/>
        <w:snapToGrid w:val="0"/>
        <w:spacing w:line="500" w:lineRule="exact"/>
        <w:ind w:firstLineChars="200" w:firstLine="480"/>
        <w:jc w:val="left"/>
        <w:rPr>
          <w:rFonts w:ascii="Times New Roman" w:eastAsia="宋体" w:hAnsi="Times New Roman" w:cs="Times New Roman"/>
          <w:color w:val="000000"/>
          <w:sz w:val="24"/>
          <w:szCs w:val="24"/>
        </w:rPr>
      </w:pPr>
      <w:r w:rsidRPr="0085474C">
        <w:rPr>
          <w:rFonts w:ascii="Times New Roman" w:eastAsia="宋体" w:hAnsi="Times New Roman" w:cs="Times New Roman"/>
          <w:color w:val="000000"/>
          <w:sz w:val="24"/>
          <w:szCs w:val="24"/>
        </w:rPr>
        <w:t>1</w:t>
      </w:r>
      <w:r w:rsidRPr="0085474C">
        <w:rPr>
          <w:rFonts w:ascii="Times New Roman" w:eastAsia="宋体" w:hAnsi="Times New Roman" w:cs="Times New Roman" w:hint="eastAsia"/>
          <w:color w:val="000000"/>
          <w:sz w:val="24"/>
          <w:szCs w:val="24"/>
        </w:rPr>
        <w:t>．</w:t>
      </w:r>
      <w:r w:rsidRPr="0085474C">
        <w:rPr>
          <w:rFonts w:ascii="Times New Roman" w:eastAsia="宋体" w:hAnsi="Times New Roman" w:cs="Times New Roman"/>
          <w:color w:val="000000"/>
          <w:sz w:val="24"/>
          <w:szCs w:val="24"/>
        </w:rPr>
        <w:t>武汉大学主编，《分析化学》上册（第五版），高等教育出版社，</w:t>
      </w:r>
      <w:r w:rsidRPr="0085474C">
        <w:rPr>
          <w:rFonts w:ascii="Times New Roman" w:eastAsia="宋体" w:hAnsi="Times New Roman" w:cs="Times New Roman"/>
          <w:color w:val="000000"/>
          <w:sz w:val="24"/>
          <w:szCs w:val="24"/>
        </w:rPr>
        <w:t>2006</w:t>
      </w:r>
      <w:r w:rsidRPr="0085474C">
        <w:rPr>
          <w:rFonts w:ascii="Times New Roman" w:eastAsia="宋体" w:hAnsi="Times New Roman" w:cs="Times New Roman"/>
          <w:sz w:val="24"/>
          <w:szCs w:val="24"/>
        </w:rPr>
        <w:t>年版</w:t>
      </w:r>
    </w:p>
    <w:p w14:paraId="3A236B34" w14:textId="77777777" w:rsidR="0085474C" w:rsidRPr="0085474C" w:rsidRDefault="0085474C" w:rsidP="00C232D7">
      <w:pPr>
        <w:widowControl/>
        <w:snapToGrid w:val="0"/>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2</w:t>
      </w:r>
      <w:r w:rsidRPr="0085474C">
        <w:rPr>
          <w:rFonts w:ascii="Times New Roman" w:eastAsia="宋体" w:hAnsi="Times New Roman" w:cs="Times New Roman" w:hint="eastAsia"/>
          <w:color w:val="000000"/>
          <w:sz w:val="24"/>
          <w:szCs w:val="24"/>
        </w:rPr>
        <w:t>．</w:t>
      </w:r>
      <w:r w:rsidRPr="0085474C">
        <w:rPr>
          <w:rFonts w:ascii="Times New Roman" w:eastAsia="宋体" w:hAnsi="Times New Roman" w:cs="Times New Roman"/>
          <w:color w:val="000000"/>
          <w:sz w:val="24"/>
          <w:szCs w:val="24"/>
        </w:rPr>
        <w:t>华中师范大学等编，《分析化学》上册（第四版），高等教育出版社，</w:t>
      </w:r>
      <w:r w:rsidRPr="0085474C">
        <w:rPr>
          <w:rFonts w:ascii="Times New Roman" w:eastAsia="宋体" w:hAnsi="Times New Roman" w:cs="Times New Roman"/>
          <w:color w:val="000000"/>
          <w:sz w:val="24"/>
          <w:szCs w:val="24"/>
        </w:rPr>
        <w:t>2011</w:t>
      </w:r>
      <w:r w:rsidRPr="0085474C">
        <w:rPr>
          <w:rFonts w:ascii="Times New Roman" w:eastAsia="宋体" w:hAnsi="Times New Roman" w:cs="Times New Roman"/>
          <w:sz w:val="24"/>
          <w:szCs w:val="24"/>
        </w:rPr>
        <w:t>年版</w:t>
      </w:r>
    </w:p>
    <w:p w14:paraId="7BD48167" w14:textId="77777777" w:rsidR="0085474C" w:rsidRPr="0085474C" w:rsidRDefault="0085474C" w:rsidP="00C232D7">
      <w:pPr>
        <w:widowControl/>
        <w:snapToGrid w:val="0"/>
        <w:spacing w:line="500" w:lineRule="exact"/>
        <w:ind w:firstLineChars="200" w:firstLine="480"/>
        <w:jc w:val="left"/>
        <w:rPr>
          <w:rFonts w:ascii="Times New Roman" w:eastAsia="宋体" w:hAnsi="Times New Roman" w:cs="Times New Roman"/>
          <w:color w:val="000000"/>
          <w:sz w:val="24"/>
          <w:szCs w:val="24"/>
        </w:rPr>
      </w:pPr>
      <w:r w:rsidRPr="0085474C">
        <w:rPr>
          <w:rFonts w:ascii="Times New Roman" w:eastAsia="宋体" w:hAnsi="Times New Roman" w:cs="Times New Roman"/>
          <w:color w:val="000000"/>
          <w:sz w:val="24"/>
          <w:szCs w:val="24"/>
        </w:rPr>
        <w:t>3</w:t>
      </w:r>
      <w:r w:rsidRPr="0085474C">
        <w:rPr>
          <w:rFonts w:ascii="Times New Roman" w:eastAsia="宋体" w:hAnsi="Times New Roman" w:cs="Times New Roman" w:hint="eastAsia"/>
          <w:color w:val="000000"/>
          <w:sz w:val="24"/>
          <w:szCs w:val="24"/>
        </w:rPr>
        <w:t>．</w:t>
      </w:r>
      <w:r w:rsidRPr="0085474C">
        <w:rPr>
          <w:rFonts w:ascii="Times New Roman" w:eastAsia="宋体" w:hAnsi="Times New Roman" w:cs="Times New Roman"/>
          <w:sz w:val="24"/>
          <w:szCs w:val="24"/>
        </w:rPr>
        <w:t>彭崇慧等编</w:t>
      </w:r>
      <w:r w:rsidRPr="0085474C">
        <w:rPr>
          <w:rFonts w:ascii="Times New Roman" w:eastAsia="宋体" w:hAnsi="Times New Roman" w:cs="Times New Roman"/>
          <w:color w:val="000000"/>
          <w:sz w:val="24"/>
          <w:szCs w:val="24"/>
        </w:rPr>
        <w:t>，</w:t>
      </w:r>
      <w:r w:rsidRPr="0085474C">
        <w:rPr>
          <w:rFonts w:ascii="Times New Roman" w:eastAsia="宋体" w:hAnsi="Times New Roman" w:cs="Times New Roman"/>
          <w:sz w:val="24"/>
          <w:szCs w:val="24"/>
        </w:rPr>
        <w:t>《分析化学》（第三版），北京大学出版社，</w:t>
      </w:r>
      <w:r w:rsidRPr="0085474C">
        <w:rPr>
          <w:rFonts w:ascii="Times New Roman" w:eastAsia="宋体" w:hAnsi="Times New Roman" w:cs="Times New Roman"/>
          <w:sz w:val="24"/>
          <w:szCs w:val="24"/>
        </w:rPr>
        <w:t>2009</w:t>
      </w:r>
      <w:r w:rsidRPr="0085474C">
        <w:rPr>
          <w:rFonts w:ascii="Times New Roman" w:eastAsia="宋体" w:hAnsi="Times New Roman" w:cs="Times New Roman"/>
          <w:sz w:val="24"/>
          <w:szCs w:val="24"/>
        </w:rPr>
        <w:t>年版</w:t>
      </w:r>
    </w:p>
    <w:p w14:paraId="2275529E" w14:textId="77777777" w:rsidR="0085474C" w:rsidRPr="0085474C" w:rsidRDefault="0085474C" w:rsidP="00C232D7">
      <w:pPr>
        <w:widowControl/>
        <w:spacing w:line="500" w:lineRule="exact"/>
        <w:ind w:firstLineChars="200" w:firstLine="480"/>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4</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李克安主编，《分析化学教程》，北京大学出版社，</w:t>
      </w:r>
      <w:r w:rsidRPr="0085474C">
        <w:rPr>
          <w:rFonts w:ascii="Times New Roman" w:eastAsia="宋体" w:hAnsi="Times New Roman" w:cs="Times New Roman"/>
          <w:sz w:val="24"/>
          <w:szCs w:val="24"/>
        </w:rPr>
        <w:t>2005</w:t>
      </w:r>
      <w:r w:rsidRPr="0085474C">
        <w:rPr>
          <w:rFonts w:ascii="Times New Roman" w:eastAsia="宋体" w:hAnsi="Times New Roman" w:cs="Times New Roman"/>
          <w:sz w:val="24"/>
          <w:szCs w:val="24"/>
        </w:rPr>
        <w:t>年版</w:t>
      </w:r>
    </w:p>
    <w:p w14:paraId="09EF372B" w14:textId="77777777" w:rsidR="0085474C" w:rsidRPr="0085474C" w:rsidRDefault="0085474C" w:rsidP="00C232D7">
      <w:pPr>
        <w:autoSpaceDE w:val="0"/>
        <w:autoSpaceDN w:val="0"/>
        <w:adjustRightInd w:val="0"/>
        <w:snapToGrid w:val="0"/>
        <w:spacing w:line="500" w:lineRule="exact"/>
        <w:ind w:firstLineChars="200" w:firstLine="480"/>
        <w:jc w:val="left"/>
        <w:rPr>
          <w:rFonts w:ascii="Times New Roman" w:eastAsia="宋体" w:hAnsi="Times New Roman" w:cs="Times New Roman"/>
          <w:color w:val="000000"/>
          <w:kern w:val="0"/>
          <w:sz w:val="24"/>
          <w:szCs w:val="24"/>
        </w:rPr>
      </w:pPr>
      <w:r w:rsidRPr="0085474C">
        <w:rPr>
          <w:rFonts w:ascii="Times New Roman" w:eastAsia="宋体" w:hAnsi="Times New Roman" w:cs="Times New Roman"/>
          <w:sz w:val="24"/>
          <w:szCs w:val="24"/>
        </w:rPr>
        <w:t>5</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color w:val="000000"/>
          <w:sz w:val="24"/>
          <w:szCs w:val="24"/>
        </w:rPr>
        <w:t>武汉大学主编，《分析化学》上册（第四版），高等教育出版社，</w:t>
      </w:r>
      <w:r w:rsidRPr="0085474C">
        <w:rPr>
          <w:rFonts w:ascii="Times New Roman" w:eastAsia="宋体" w:hAnsi="Times New Roman" w:cs="Times New Roman"/>
          <w:color w:val="000000"/>
          <w:sz w:val="24"/>
          <w:szCs w:val="24"/>
        </w:rPr>
        <w:t>2000</w:t>
      </w:r>
      <w:r w:rsidRPr="0085474C">
        <w:rPr>
          <w:rFonts w:ascii="Times New Roman" w:eastAsia="宋体" w:hAnsi="Times New Roman" w:cs="Times New Roman"/>
          <w:sz w:val="24"/>
          <w:szCs w:val="24"/>
        </w:rPr>
        <w:t>年版</w:t>
      </w:r>
    </w:p>
    <w:p w14:paraId="39240FD7" w14:textId="77777777" w:rsidR="0085474C" w:rsidRPr="0085474C" w:rsidRDefault="0085474C" w:rsidP="00C232D7">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（三）课程资源</w:t>
      </w:r>
    </w:p>
    <w:p w14:paraId="37806CD2" w14:textId="77777777" w:rsidR="0085474C" w:rsidRPr="0085474C" w:rsidRDefault="0085474C" w:rsidP="00C232D7">
      <w:pPr>
        <w:spacing w:line="440" w:lineRule="exact"/>
        <w:ind w:firstLineChars="200" w:firstLine="480"/>
        <w:rPr>
          <w:rFonts w:ascii="Times New Roman" w:eastAsia="宋体" w:hAnsi="Times New Roman" w:cs="Times New Roman"/>
          <w:color w:val="000000"/>
          <w:kern w:val="0"/>
          <w:sz w:val="24"/>
          <w:szCs w:val="24"/>
        </w:rPr>
      </w:pPr>
      <w:r w:rsidRPr="0085474C">
        <w:rPr>
          <w:rFonts w:ascii="Times New Roman" w:eastAsia="宋体" w:hAnsi="Times New Roman" w:cs="Times New Roman"/>
          <w:color w:val="000000"/>
          <w:kern w:val="0"/>
          <w:sz w:val="24"/>
          <w:szCs w:val="24"/>
        </w:rPr>
        <w:t>在学习通平台建立《分析化学》网络课程，上传了课程的</w:t>
      </w:r>
      <w:r w:rsidRPr="0085474C">
        <w:rPr>
          <w:rFonts w:ascii="Times New Roman" w:eastAsia="宋体" w:hAnsi="Times New Roman" w:cs="Times New Roman"/>
          <w:color w:val="000000"/>
          <w:kern w:val="0"/>
          <w:sz w:val="24"/>
          <w:szCs w:val="24"/>
        </w:rPr>
        <w:t>PPT</w:t>
      </w:r>
      <w:r w:rsidRPr="0085474C">
        <w:rPr>
          <w:rFonts w:ascii="Times New Roman" w:eastAsia="宋体" w:hAnsi="Times New Roman" w:cs="Times New Roman"/>
          <w:color w:val="000000"/>
          <w:kern w:val="0"/>
          <w:sz w:val="24"/>
          <w:szCs w:val="24"/>
        </w:rPr>
        <w:t>、相关视频资料和电子课本等资源。</w:t>
      </w:r>
    </w:p>
    <w:p w14:paraId="54DB733A" w14:textId="77777777" w:rsidR="0085474C" w:rsidRPr="0085474C" w:rsidRDefault="0085474C" w:rsidP="00C232D7">
      <w:pPr>
        <w:widowControl/>
        <w:ind w:firstLineChars="200" w:firstLine="420"/>
        <w:jc w:val="left"/>
        <w:rPr>
          <w:rFonts w:ascii="Times New Roman" w:eastAsia="宋体" w:hAnsi="Times New Roman" w:cs="Times New Roman"/>
          <w:szCs w:val="24"/>
        </w:rPr>
      </w:pPr>
    </w:p>
    <w:p w14:paraId="01E06818" w14:textId="77777777" w:rsidR="0085474C" w:rsidRPr="0085474C" w:rsidRDefault="0085474C" w:rsidP="00C232D7">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七、课程大纲制定依据</w:t>
      </w:r>
    </w:p>
    <w:p w14:paraId="1906030A" w14:textId="77777777" w:rsidR="0085474C" w:rsidRPr="0085474C" w:rsidRDefault="0085474C" w:rsidP="00C232D7">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本课程大纲依据</w:t>
      </w:r>
      <w:r w:rsidRPr="0085474C">
        <w:rPr>
          <w:rFonts w:ascii="Times New Roman" w:eastAsia="宋体" w:hAnsi="Times New Roman" w:cs="Times New Roman"/>
          <w:sz w:val="24"/>
          <w:szCs w:val="24"/>
        </w:rPr>
        <w:t>2023</w:t>
      </w:r>
      <w:r w:rsidRPr="0085474C">
        <w:rPr>
          <w:rFonts w:ascii="Times New Roman" w:eastAsia="宋体" w:hAnsi="Times New Roman" w:cs="Times New Roman" w:hint="eastAsia"/>
          <w:sz w:val="24"/>
          <w:szCs w:val="24"/>
        </w:rPr>
        <w:t>年药物分析</w:t>
      </w:r>
      <w:r w:rsidRPr="0085474C">
        <w:rPr>
          <w:rFonts w:ascii="Times New Roman" w:eastAsia="宋体" w:hAnsi="Times New Roman" w:cs="Times New Roman"/>
          <w:sz w:val="24"/>
          <w:szCs w:val="24"/>
        </w:rPr>
        <w:t>专业人才培养方案制定。</w:t>
      </w:r>
    </w:p>
    <w:p w14:paraId="16AF5175" w14:textId="77777777" w:rsidR="00AB7A5F" w:rsidRDefault="00AB7A5F" w:rsidP="00C232D7">
      <w:pPr>
        <w:ind w:firstLineChars="200" w:firstLine="420"/>
        <w:rPr>
          <w:rFonts w:ascii="Calibri" w:eastAsia="宋体" w:hAnsi="Calibri" w:cs="Times New Roman"/>
          <w:bCs/>
        </w:rPr>
      </w:pPr>
    </w:p>
    <w:p w14:paraId="5ED4B02C" w14:textId="77777777" w:rsidR="0085474C" w:rsidRDefault="0085474C" w:rsidP="00423AD2">
      <w:pPr>
        <w:rPr>
          <w:rFonts w:ascii="Calibri" w:eastAsia="宋体" w:hAnsi="Calibri" w:cs="Times New Roman"/>
          <w:bCs/>
        </w:rPr>
      </w:pPr>
    </w:p>
    <w:p w14:paraId="20776A71" w14:textId="77777777" w:rsidR="0085474C" w:rsidRDefault="0085474C" w:rsidP="00423AD2">
      <w:pPr>
        <w:rPr>
          <w:rFonts w:ascii="Calibri" w:eastAsia="宋体" w:hAnsi="Calibri" w:cs="Times New Roman"/>
          <w:bCs/>
        </w:rPr>
      </w:pPr>
    </w:p>
    <w:p w14:paraId="203B3E74" w14:textId="77777777" w:rsidR="0085474C" w:rsidRDefault="0085474C" w:rsidP="00423AD2">
      <w:pPr>
        <w:rPr>
          <w:rFonts w:ascii="Calibri" w:eastAsia="宋体" w:hAnsi="Calibri" w:cs="Times New Roman"/>
          <w:bCs/>
        </w:rPr>
      </w:pPr>
    </w:p>
    <w:p w14:paraId="1BD7B3F8" w14:textId="77777777" w:rsidR="0085474C" w:rsidRDefault="0085474C" w:rsidP="00423AD2">
      <w:pPr>
        <w:rPr>
          <w:rFonts w:ascii="Calibri" w:eastAsia="宋体" w:hAnsi="Calibri" w:cs="Times New Roman"/>
          <w:bCs/>
        </w:rPr>
      </w:pPr>
    </w:p>
    <w:p w14:paraId="3D20040A" w14:textId="77777777" w:rsidR="0085474C" w:rsidRDefault="0085474C" w:rsidP="00423AD2">
      <w:pPr>
        <w:rPr>
          <w:rFonts w:ascii="Calibri" w:eastAsia="宋体" w:hAnsi="Calibri" w:cs="Times New Roman"/>
          <w:bCs/>
        </w:rPr>
      </w:pPr>
    </w:p>
    <w:p w14:paraId="1047D066" w14:textId="77777777" w:rsidR="0085474C" w:rsidRDefault="0085474C" w:rsidP="00423AD2">
      <w:pPr>
        <w:rPr>
          <w:rFonts w:ascii="Calibri" w:eastAsia="宋体" w:hAnsi="Calibri" w:cs="Times New Roman"/>
          <w:bCs/>
        </w:rPr>
      </w:pPr>
    </w:p>
    <w:p w14:paraId="2E128796" w14:textId="77777777" w:rsidR="0085474C" w:rsidRDefault="0085474C" w:rsidP="00423AD2">
      <w:pPr>
        <w:rPr>
          <w:rFonts w:ascii="Calibri" w:eastAsia="宋体" w:hAnsi="Calibri" w:cs="Times New Roman"/>
          <w:bCs/>
        </w:rPr>
      </w:pPr>
    </w:p>
    <w:p w14:paraId="17E8579E" w14:textId="77777777" w:rsidR="0085474C" w:rsidRDefault="0085474C" w:rsidP="00423AD2">
      <w:pPr>
        <w:rPr>
          <w:rFonts w:ascii="Calibri" w:eastAsia="宋体" w:hAnsi="Calibri" w:cs="Times New Roman"/>
          <w:bCs/>
        </w:rPr>
      </w:pPr>
    </w:p>
    <w:p w14:paraId="4775FEDF" w14:textId="77777777" w:rsidR="00C21E20" w:rsidRPr="00C21E20" w:rsidRDefault="00C21E20" w:rsidP="00C21E20">
      <w:pPr>
        <w:pStyle w:val="1"/>
      </w:pPr>
      <w:bookmarkStart w:id="159" w:name="_Toc6272"/>
      <w:bookmarkStart w:id="160" w:name="_Toc149662358"/>
      <w:r w:rsidRPr="00C21E20">
        <w:lastRenderedPageBreak/>
        <w:t>《概率论与数理统计</w:t>
      </w:r>
      <w:r w:rsidRPr="00C21E20">
        <w:rPr>
          <w:rFonts w:hint="eastAsia"/>
        </w:rPr>
        <w:t>C</w:t>
      </w:r>
      <w:r w:rsidRPr="00C21E20">
        <w:t>》课程大纲</w:t>
      </w:r>
      <w:bookmarkEnd w:id="159"/>
      <w:bookmarkEnd w:id="160"/>
    </w:p>
    <w:p w14:paraId="14BF8CE0" w14:textId="77777777" w:rsidR="00C21E20" w:rsidRPr="00C21E20" w:rsidRDefault="00C21E20" w:rsidP="00C21E20">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21E20">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5"/>
        <w:gridCol w:w="2338"/>
        <w:gridCol w:w="1434"/>
        <w:gridCol w:w="2805"/>
      </w:tblGrid>
      <w:tr w:rsidR="00C21E20" w:rsidRPr="00C21E20" w14:paraId="199CA74D" w14:textId="77777777" w:rsidTr="0002055D">
        <w:trPr>
          <w:trHeight w:val="886"/>
          <w:jc w:val="center"/>
        </w:trPr>
        <w:tc>
          <w:tcPr>
            <w:tcW w:w="1465" w:type="dxa"/>
            <w:vAlign w:val="center"/>
          </w:tcPr>
          <w:p w14:paraId="138C3B61"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课程名称</w:t>
            </w:r>
          </w:p>
        </w:tc>
        <w:tc>
          <w:tcPr>
            <w:tcW w:w="2338" w:type="dxa"/>
            <w:vAlign w:val="center"/>
          </w:tcPr>
          <w:p w14:paraId="05CEAF17"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概率论与数理统计</w:t>
            </w:r>
            <w:r w:rsidRPr="00C21E20">
              <w:rPr>
                <w:rFonts w:ascii="Times New Roman" w:eastAsia="宋体" w:hAnsi="Times New Roman" w:cs="Times New Roman" w:hint="eastAsia"/>
                <w:sz w:val="24"/>
                <w:szCs w:val="24"/>
              </w:rPr>
              <w:t>C</w:t>
            </w:r>
          </w:p>
        </w:tc>
        <w:tc>
          <w:tcPr>
            <w:tcW w:w="1434" w:type="dxa"/>
            <w:vAlign w:val="center"/>
          </w:tcPr>
          <w:p w14:paraId="651FB755"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课程代码</w:t>
            </w:r>
          </w:p>
        </w:tc>
        <w:tc>
          <w:tcPr>
            <w:tcW w:w="2805" w:type="dxa"/>
            <w:vAlign w:val="center"/>
          </w:tcPr>
          <w:p w14:paraId="0CC917A4" w14:textId="77777777" w:rsidR="00C21E20" w:rsidRPr="00C21E20" w:rsidRDefault="00C21E20" w:rsidP="00C21E20">
            <w:pPr>
              <w:autoSpaceDE w:val="0"/>
              <w:autoSpaceDN w:val="0"/>
              <w:adjustRightInd w:val="0"/>
              <w:snapToGrid w:val="0"/>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hint="eastAsia"/>
                <w:sz w:val="24"/>
                <w:szCs w:val="24"/>
              </w:rPr>
              <w:t>0501089</w:t>
            </w:r>
          </w:p>
        </w:tc>
      </w:tr>
      <w:tr w:rsidR="00C21E20" w:rsidRPr="00C21E20" w14:paraId="4D499A5B" w14:textId="77777777" w:rsidTr="0002055D">
        <w:trPr>
          <w:trHeight w:val="829"/>
          <w:jc w:val="center"/>
        </w:trPr>
        <w:tc>
          <w:tcPr>
            <w:tcW w:w="1465" w:type="dxa"/>
            <w:vAlign w:val="center"/>
          </w:tcPr>
          <w:p w14:paraId="29CAFBB5"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课程类别</w:t>
            </w:r>
          </w:p>
        </w:tc>
        <w:tc>
          <w:tcPr>
            <w:tcW w:w="2338" w:type="dxa"/>
            <w:vAlign w:val="center"/>
          </w:tcPr>
          <w:p w14:paraId="6B271436"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专业</w:t>
            </w:r>
            <w:r w:rsidRPr="00C21E20">
              <w:rPr>
                <w:rFonts w:ascii="Times New Roman" w:eastAsia="宋体" w:hAnsi="Times New Roman" w:cs="Times New Roman" w:hint="eastAsia"/>
                <w:sz w:val="24"/>
                <w:szCs w:val="24"/>
              </w:rPr>
              <w:t>教育基础</w:t>
            </w:r>
            <w:r w:rsidRPr="00C21E20">
              <w:rPr>
                <w:rFonts w:ascii="Times New Roman" w:eastAsia="宋体" w:hAnsi="Times New Roman" w:cs="Times New Roman"/>
                <w:sz w:val="24"/>
                <w:szCs w:val="24"/>
              </w:rPr>
              <w:t>课程</w:t>
            </w:r>
          </w:p>
        </w:tc>
        <w:tc>
          <w:tcPr>
            <w:tcW w:w="1434" w:type="dxa"/>
            <w:vAlign w:val="center"/>
          </w:tcPr>
          <w:p w14:paraId="553F4411"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学时</w:t>
            </w:r>
          </w:p>
          <w:p w14:paraId="7723221B"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w:t>
            </w:r>
            <w:r w:rsidRPr="00C21E20">
              <w:rPr>
                <w:rFonts w:ascii="Times New Roman" w:eastAsia="宋体" w:hAnsi="Times New Roman" w:cs="Times New Roman"/>
                <w:sz w:val="24"/>
                <w:szCs w:val="24"/>
              </w:rPr>
              <w:t>学分</w:t>
            </w:r>
          </w:p>
        </w:tc>
        <w:tc>
          <w:tcPr>
            <w:tcW w:w="2805" w:type="dxa"/>
            <w:vAlign w:val="center"/>
          </w:tcPr>
          <w:p w14:paraId="19E04F29"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hint="eastAsia"/>
                <w:sz w:val="24"/>
                <w:szCs w:val="24"/>
              </w:rPr>
              <w:t>48</w:t>
            </w:r>
            <w:r w:rsidRPr="00C21E20">
              <w:rPr>
                <w:rFonts w:ascii="Times New Roman" w:eastAsia="宋体" w:hAnsi="Times New Roman" w:cs="Times New Roman"/>
                <w:sz w:val="24"/>
                <w:szCs w:val="24"/>
              </w:rPr>
              <w:t>/</w:t>
            </w:r>
            <w:r w:rsidRPr="00C21E20">
              <w:rPr>
                <w:rFonts w:ascii="Times New Roman" w:eastAsia="宋体" w:hAnsi="Times New Roman" w:cs="Times New Roman" w:hint="eastAsia"/>
                <w:sz w:val="24"/>
                <w:szCs w:val="24"/>
              </w:rPr>
              <w:t>3</w:t>
            </w:r>
          </w:p>
        </w:tc>
      </w:tr>
      <w:tr w:rsidR="00C21E20" w:rsidRPr="00C21E20" w14:paraId="5642053E" w14:textId="77777777" w:rsidTr="0002055D">
        <w:trPr>
          <w:trHeight w:val="811"/>
          <w:jc w:val="center"/>
        </w:trPr>
        <w:tc>
          <w:tcPr>
            <w:tcW w:w="1465" w:type="dxa"/>
            <w:vAlign w:val="center"/>
          </w:tcPr>
          <w:p w14:paraId="1BB37352"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开课单位</w:t>
            </w:r>
          </w:p>
        </w:tc>
        <w:tc>
          <w:tcPr>
            <w:tcW w:w="2338" w:type="dxa"/>
            <w:vAlign w:val="center"/>
          </w:tcPr>
          <w:p w14:paraId="4E5BD799"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理学院</w:t>
            </w:r>
          </w:p>
        </w:tc>
        <w:tc>
          <w:tcPr>
            <w:tcW w:w="1434" w:type="dxa"/>
            <w:vAlign w:val="center"/>
          </w:tcPr>
          <w:p w14:paraId="346AD503"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适用专业</w:t>
            </w:r>
          </w:p>
        </w:tc>
        <w:tc>
          <w:tcPr>
            <w:tcW w:w="2805" w:type="dxa"/>
            <w:vAlign w:val="center"/>
          </w:tcPr>
          <w:p w14:paraId="017A920F"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hint="eastAsia"/>
                <w:sz w:val="24"/>
                <w:szCs w:val="24"/>
              </w:rPr>
              <w:t>药物分析</w:t>
            </w:r>
          </w:p>
        </w:tc>
      </w:tr>
      <w:tr w:rsidR="00C21E20" w:rsidRPr="00C21E20" w14:paraId="1635E6F4" w14:textId="77777777" w:rsidTr="0002055D">
        <w:trPr>
          <w:trHeight w:val="811"/>
          <w:jc w:val="center"/>
        </w:trPr>
        <w:tc>
          <w:tcPr>
            <w:tcW w:w="1465" w:type="dxa"/>
            <w:vAlign w:val="center"/>
          </w:tcPr>
          <w:p w14:paraId="3DCFF36A"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课程负责人</w:t>
            </w:r>
          </w:p>
        </w:tc>
        <w:tc>
          <w:tcPr>
            <w:tcW w:w="6577" w:type="dxa"/>
            <w:gridSpan w:val="3"/>
            <w:vAlign w:val="center"/>
          </w:tcPr>
          <w:p w14:paraId="6DBA1148"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赵丽琴，冯文莉，商美娟，赵英慧，叶国妍，聂翠平，李伟才，范琳烜</w:t>
            </w:r>
          </w:p>
        </w:tc>
      </w:tr>
      <w:tr w:rsidR="00C21E20" w:rsidRPr="00C21E20" w14:paraId="1C0648AB" w14:textId="77777777" w:rsidTr="0002055D">
        <w:trPr>
          <w:trHeight w:val="836"/>
          <w:jc w:val="center"/>
        </w:trPr>
        <w:tc>
          <w:tcPr>
            <w:tcW w:w="1465" w:type="dxa"/>
            <w:vAlign w:val="center"/>
          </w:tcPr>
          <w:p w14:paraId="2CE9D26B"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大纲撰写人</w:t>
            </w:r>
          </w:p>
        </w:tc>
        <w:tc>
          <w:tcPr>
            <w:tcW w:w="2338" w:type="dxa"/>
            <w:vAlign w:val="center"/>
          </w:tcPr>
          <w:p w14:paraId="213A1A0E"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hint="eastAsia"/>
                <w:sz w:val="24"/>
                <w:szCs w:val="24"/>
              </w:rPr>
              <w:t>冯文莉</w:t>
            </w:r>
          </w:p>
        </w:tc>
        <w:tc>
          <w:tcPr>
            <w:tcW w:w="1434" w:type="dxa"/>
            <w:vAlign w:val="center"/>
          </w:tcPr>
          <w:p w14:paraId="4D0653FE"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大纲审核人</w:t>
            </w:r>
          </w:p>
        </w:tc>
        <w:tc>
          <w:tcPr>
            <w:tcW w:w="2805" w:type="dxa"/>
            <w:vAlign w:val="center"/>
          </w:tcPr>
          <w:p w14:paraId="06D10700"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hint="eastAsia"/>
                <w:sz w:val="24"/>
                <w:szCs w:val="24"/>
              </w:rPr>
              <w:t>赵英慧</w:t>
            </w:r>
          </w:p>
        </w:tc>
      </w:tr>
      <w:tr w:rsidR="00C21E20" w:rsidRPr="00C21E20" w14:paraId="3A345F8F" w14:textId="77777777" w:rsidTr="0002055D">
        <w:trPr>
          <w:trHeight w:val="848"/>
          <w:jc w:val="center"/>
        </w:trPr>
        <w:tc>
          <w:tcPr>
            <w:tcW w:w="1465" w:type="dxa"/>
            <w:vAlign w:val="center"/>
          </w:tcPr>
          <w:p w14:paraId="381E8E68"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先修课程</w:t>
            </w:r>
          </w:p>
        </w:tc>
        <w:tc>
          <w:tcPr>
            <w:tcW w:w="6577" w:type="dxa"/>
            <w:gridSpan w:val="3"/>
            <w:vAlign w:val="center"/>
          </w:tcPr>
          <w:p w14:paraId="0749EDCC"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《高等数学》、《线性代数》</w:t>
            </w:r>
          </w:p>
        </w:tc>
      </w:tr>
      <w:tr w:rsidR="00C21E20" w:rsidRPr="00C21E20" w14:paraId="0B9A572B" w14:textId="77777777" w:rsidTr="0002055D">
        <w:trPr>
          <w:trHeight w:val="848"/>
          <w:jc w:val="center"/>
        </w:trPr>
        <w:tc>
          <w:tcPr>
            <w:tcW w:w="1465" w:type="dxa"/>
            <w:vAlign w:val="center"/>
          </w:tcPr>
          <w:p w14:paraId="0642D07D"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课程网址</w:t>
            </w:r>
          </w:p>
        </w:tc>
        <w:tc>
          <w:tcPr>
            <w:tcW w:w="6577" w:type="dxa"/>
            <w:gridSpan w:val="3"/>
            <w:vAlign w:val="center"/>
          </w:tcPr>
          <w:p w14:paraId="4C44EF3A" w14:textId="77777777" w:rsidR="00C21E20" w:rsidRPr="00C21E20" w:rsidRDefault="00C21E20" w:rsidP="00C21E20">
            <w:pPr>
              <w:spacing w:line="440" w:lineRule="exact"/>
              <w:rPr>
                <w:rFonts w:ascii="Times New Roman" w:eastAsia="宋体" w:hAnsi="Times New Roman" w:cs="Times New Roman"/>
                <w:color w:val="FF0000"/>
                <w:sz w:val="24"/>
                <w:szCs w:val="24"/>
              </w:rPr>
            </w:pPr>
          </w:p>
        </w:tc>
      </w:tr>
    </w:tbl>
    <w:p w14:paraId="3B0ED0F5" w14:textId="77777777" w:rsidR="00C21E20" w:rsidRPr="00C21E20" w:rsidRDefault="00C21E20" w:rsidP="00C21E20">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21E20">
        <w:rPr>
          <w:rFonts w:ascii="Times New Roman" w:eastAsia="黑体" w:hAnsi="Times New Roman" w:cs="Times New Roman"/>
          <w:sz w:val="28"/>
          <w:szCs w:val="28"/>
        </w:rPr>
        <w:t>二、课程学习目标及与毕业要求的对应关系</w:t>
      </w:r>
    </w:p>
    <w:p w14:paraId="427313A8" w14:textId="77777777" w:rsidR="00C21E20" w:rsidRPr="00C21E20" w:rsidRDefault="00C21E20" w:rsidP="00C21E20">
      <w:pPr>
        <w:spacing w:beforeLines="50" w:before="156" w:afterLines="50" w:after="156" w:line="440" w:lineRule="exact"/>
        <w:ind w:firstLineChars="200" w:firstLine="560"/>
        <w:outlineLvl w:val="2"/>
        <w:rPr>
          <w:rFonts w:ascii="Times New Roman" w:eastAsia="微软雅黑" w:hAnsi="Times New Roman" w:cs="Times New Roman"/>
          <w:color w:val="111F2C"/>
          <w:sz w:val="28"/>
          <w:szCs w:val="21"/>
          <w:shd w:val="clear" w:color="auto" w:fill="FFFFFF"/>
        </w:rPr>
      </w:pPr>
      <w:r w:rsidRPr="00C21E20">
        <w:rPr>
          <w:rFonts w:ascii="Times New Roman" w:eastAsia="黑体" w:hAnsi="Times New Roman" w:cs="Times New Roman"/>
          <w:sz w:val="28"/>
          <w:szCs w:val="28"/>
        </w:rPr>
        <w:t>（一）课程学习目标</w:t>
      </w:r>
    </w:p>
    <w:p w14:paraId="53C5E6E7" w14:textId="77777777" w:rsidR="00C21E20" w:rsidRPr="00C21E20" w:rsidRDefault="00C21E20" w:rsidP="00C21E20">
      <w:pPr>
        <w:spacing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通过本课程的学习，使学生达到以下目标：</w:t>
      </w:r>
    </w:p>
    <w:p w14:paraId="6A3801B5" w14:textId="77777777" w:rsidR="00C21E20" w:rsidRPr="00C21E20" w:rsidRDefault="00C21E20" w:rsidP="00C21E20">
      <w:pPr>
        <w:spacing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 xml:space="preserve">1. </w:t>
      </w:r>
      <w:r w:rsidRPr="00C21E20">
        <w:rPr>
          <w:rFonts w:ascii="Times New Roman" w:eastAsia="宋体" w:hAnsi="Times New Roman" w:cs="Times New Roman"/>
          <w:sz w:val="24"/>
          <w:szCs w:val="24"/>
        </w:rPr>
        <w:t>理解并掌握随机事件和概率、随机变量及分布、随机变量的数字特征、极限定理、抽样分布、参数估计的基本概念、基本理论，支撑</w:t>
      </w:r>
      <w:r w:rsidRPr="00C21E20">
        <w:rPr>
          <w:rFonts w:ascii="Times New Roman" w:eastAsia="宋体" w:hAnsi="Times New Roman" w:cs="Times New Roman" w:hint="eastAsia"/>
          <w:sz w:val="24"/>
          <w:szCs w:val="24"/>
        </w:rPr>
        <w:t>药物</w:t>
      </w:r>
      <w:r w:rsidRPr="00C21E20">
        <w:rPr>
          <w:rFonts w:ascii="Times New Roman" w:eastAsia="宋体" w:hAnsi="Times New Roman" w:cs="Times New Roman"/>
          <w:sz w:val="24"/>
          <w:szCs w:val="24"/>
        </w:rPr>
        <w:t>分析专业</w:t>
      </w:r>
      <w:r w:rsidRPr="00C21E20">
        <w:rPr>
          <w:rFonts w:ascii="Calibri" w:eastAsia="宋体" w:hAnsi="Calibri" w:cs="Times New Roman"/>
          <w:sz w:val="24"/>
          <w:szCs w:val="24"/>
        </w:rPr>
        <w:t>能够运用数学、化学、药学基本原理，识别、定义药物分析学的实践问题</w:t>
      </w:r>
      <w:r w:rsidRPr="00C21E20">
        <w:rPr>
          <w:rFonts w:ascii="Calibri" w:eastAsia="宋体" w:hAnsi="Calibri" w:cs="Times New Roman" w:hint="eastAsia"/>
          <w:sz w:val="24"/>
          <w:szCs w:val="24"/>
        </w:rPr>
        <w:t>.</w:t>
      </w:r>
      <w:r w:rsidRPr="00093144">
        <w:rPr>
          <w:rFonts w:ascii="Times New Roman" w:eastAsia="宋体" w:hAnsi="Times New Roman" w:cs="Times New Roman"/>
          <w:b/>
          <w:bCs/>
          <w:sz w:val="24"/>
          <w:szCs w:val="24"/>
        </w:rPr>
        <w:t>【毕业要求</w:t>
      </w:r>
      <w:r w:rsidRPr="00093144">
        <w:rPr>
          <w:rFonts w:ascii="Times New Roman" w:eastAsia="宋体" w:hAnsi="Times New Roman" w:cs="Times New Roman" w:hint="eastAsia"/>
          <w:b/>
          <w:bCs/>
          <w:sz w:val="24"/>
          <w:szCs w:val="24"/>
        </w:rPr>
        <w:t xml:space="preserve">2 </w:t>
      </w:r>
      <w:r w:rsidRPr="00093144">
        <w:rPr>
          <w:rFonts w:ascii="Times New Roman" w:eastAsia="宋体" w:hAnsi="Times New Roman" w:cs="Times New Roman" w:hint="eastAsia"/>
          <w:b/>
          <w:bCs/>
          <w:sz w:val="24"/>
          <w:szCs w:val="24"/>
        </w:rPr>
        <w:t>问题分析</w:t>
      </w:r>
      <w:r w:rsidRPr="00093144">
        <w:rPr>
          <w:rFonts w:ascii="Times New Roman" w:eastAsia="宋体" w:hAnsi="Times New Roman" w:cs="Times New Roman"/>
          <w:b/>
          <w:bCs/>
          <w:sz w:val="24"/>
          <w:szCs w:val="24"/>
        </w:rPr>
        <w:t>】</w:t>
      </w:r>
    </w:p>
    <w:p w14:paraId="01A67C23" w14:textId="77777777" w:rsidR="00C21E20" w:rsidRPr="00C21E20" w:rsidRDefault="00C21E20" w:rsidP="00C21E20">
      <w:pPr>
        <w:spacing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 xml:space="preserve">2. </w:t>
      </w:r>
      <w:r w:rsidRPr="00C21E20">
        <w:rPr>
          <w:rFonts w:ascii="Times New Roman" w:eastAsia="宋体" w:hAnsi="Times New Roman" w:cs="Times New Roman"/>
          <w:sz w:val="24"/>
          <w:szCs w:val="24"/>
        </w:rPr>
        <w:t>掌握概率论与数理统计的基本方法，具备一定的数学推理能力、逻辑思维能力和计算思维能力，支撑</w:t>
      </w:r>
      <w:r w:rsidRPr="00C21E20">
        <w:rPr>
          <w:rFonts w:ascii="Times New Roman" w:eastAsia="宋体" w:hAnsi="Times New Roman" w:cs="Times New Roman" w:hint="eastAsia"/>
          <w:sz w:val="24"/>
          <w:szCs w:val="24"/>
        </w:rPr>
        <w:t>药物</w:t>
      </w:r>
      <w:r w:rsidRPr="00C21E20">
        <w:rPr>
          <w:rFonts w:ascii="Times New Roman" w:eastAsia="宋体" w:hAnsi="Times New Roman" w:cs="Times New Roman"/>
          <w:sz w:val="24"/>
          <w:szCs w:val="24"/>
        </w:rPr>
        <w:t>分析专业</w:t>
      </w:r>
      <w:r w:rsidRPr="00C21E20">
        <w:rPr>
          <w:rFonts w:ascii="Calibri" w:eastAsia="宋体" w:hAnsi="Calibri" w:cs="Times New Roman"/>
          <w:sz w:val="24"/>
          <w:szCs w:val="24"/>
        </w:rPr>
        <w:t>能够运用数学、化学、药学基本原理，识别、定义药物分析学的实践问题</w:t>
      </w:r>
      <w:r w:rsidRPr="00C21E20">
        <w:rPr>
          <w:rFonts w:ascii="Calibri" w:eastAsia="宋体" w:hAnsi="Calibri" w:cs="Times New Roman" w:hint="eastAsia"/>
          <w:sz w:val="24"/>
          <w:szCs w:val="24"/>
        </w:rPr>
        <w:t>.</w:t>
      </w:r>
      <w:r w:rsidRPr="00093144">
        <w:rPr>
          <w:rFonts w:ascii="Times New Roman" w:eastAsia="宋体" w:hAnsi="Times New Roman" w:cs="Times New Roman"/>
          <w:b/>
          <w:bCs/>
          <w:sz w:val="24"/>
          <w:szCs w:val="24"/>
        </w:rPr>
        <w:t>【毕业要求</w:t>
      </w:r>
      <w:r w:rsidRPr="00093144">
        <w:rPr>
          <w:rFonts w:ascii="Times New Roman" w:eastAsia="宋体" w:hAnsi="Times New Roman" w:cs="Times New Roman" w:hint="eastAsia"/>
          <w:b/>
          <w:bCs/>
          <w:sz w:val="24"/>
          <w:szCs w:val="24"/>
        </w:rPr>
        <w:t>2</w:t>
      </w:r>
      <w:r w:rsidRPr="00093144">
        <w:rPr>
          <w:rFonts w:ascii="Times New Roman" w:eastAsia="宋体" w:hAnsi="Times New Roman" w:cs="Times New Roman"/>
          <w:b/>
          <w:bCs/>
          <w:sz w:val="24"/>
          <w:szCs w:val="24"/>
        </w:rPr>
        <w:t xml:space="preserve"> </w:t>
      </w:r>
      <w:r w:rsidRPr="00093144">
        <w:rPr>
          <w:rFonts w:ascii="Times New Roman" w:eastAsia="宋体" w:hAnsi="Times New Roman" w:cs="Times New Roman" w:hint="eastAsia"/>
          <w:b/>
          <w:bCs/>
          <w:sz w:val="24"/>
          <w:szCs w:val="24"/>
        </w:rPr>
        <w:t>问题分析</w:t>
      </w:r>
      <w:r w:rsidRPr="00093144">
        <w:rPr>
          <w:rFonts w:ascii="Times New Roman" w:eastAsia="宋体" w:hAnsi="Times New Roman" w:cs="Times New Roman"/>
          <w:b/>
          <w:bCs/>
          <w:sz w:val="24"/>
          <w:szCs w:val="24"/>
        </w:rPr>
        <w:t>】</w:t>
      </w:r>
    </w:p>
    <w:p w14:paraId="6AF4F619" w14:textId="77777777" w:rsidR="00C21E20" w:rsidRPr="00093144" w:rsidRDefault="00C21E20" w:rsidP="00C21E20">
      <w:pPr>
        <w:spacing w:line="440" w:lineRule="exact"/>
        <w:ind w:firstLineChars="200" w:firstLine="480"/>
        <w:rPr>
          <w:rFonts w:ascii="Times New Roman" w:eastAsia="宋体" w:hAnsi="Times New Roman" w:cs="Times New Roman"/>
          <w:b/>
          <w:bCs/>
          <w:sz w:val="24"/>
          <w:szCs w:val="24"/>
        </w:rPr>
      </w:pPr>
      <w:r w:rsidRPr="00C21E20">
        <w:rPr>
          <w:rFonts w:ascii="Times New Roman" w:eastAsia="宋体" w:hAnsi="Times New Roman" w:cs="Times New Roman"/>
          <w:sz w:val="24"/>
          <w:szCs w:val="24"/>
        </w:rPr>
        <w:t xml:space="preserve">3. </w:t>
      </w:r>
      <w:r w:rsidRPr="00C21E20">
        <w:rPr>
          <w:rFonts w:ascii="Times New Roman" w:eastAsia="宋体" w:hAnsi="Times New Roman" w:cs="Times New Roman"/>
          <w:sz w:val="24"/>
          <w:szCs w:val="24"/>
        </w:rPr>
        <w:t>具备发现问题、分析问题和研究问题的能力，</w:t>
      </w:r>
      <w:r w:rsidRPr="00C21E20">
        <w:rPr>
          <w:rFonts w:ascii="Times New Roman" w:eastAsia="宋体" w:hAnsi="Times New Roman" w:cs="Times New Roman"/>
          <w:bCs/>
          <w:sz w:val="24"/>
          <w:szCs w:val="24"/>
        </w:rPr>
        <w:t>支撑</w:t>
      </w:r>
      <w:r w:rsidRPr="00C21E20">
        <w:rPr>
          <w:rFonts w:ascii="Times New Roman" w:eastAsia="宋体" w:hAnsi="Times New Roman" w:cs="Times New Roman" w:hint="eastAsia"/>
          <w:bCs/>
          <w:sz w:val="24"/>
          <w:szCs w:val="24"/>
        </w:rPr>
        <w:t>药物</w:t>
      </w:r>
      <w:r w:rsidRPr="00C21E20">
        <w:rPr>
          <w:rFonts w:ascii="Times New Roman" w:eastAsia="宋体" w:hAnsi="Times New Roman" w:cs="Times New Roman"/>
          <w:bCs/>
          <w:sz w:val="24"/>
          <w:szCs w:val="24"/>
        </w:rPr>
        <w:t>分析专业</w:t>
      </w:r>
      <w:r w:rsidRPr="00C21E20">
        <w:rPr>
          <w:rFonts w:ascii="Calibri" w:eastAsia="宋体" w:hAnsi="Calibri" w:cs="Times New Roman"/>
          <w:sz w:val="24"/>
          <w:szCs w:val="24"/>
        </w:rPr>
        <w:t>能够运用数学、化学、药学基本原理，识别、定义药物分析学的实践问题</w:t>
      </w:r>
      <w:r w:rsidRPr="00C21E20">
        <w:rPr>
          <w:rFonts w:ascii="Calibri" w:eastAsia="宋体" w:hAnsi="Calibri" w:cs="Times New Roman" w:hint="eastAsia"/>
          <w:sz w:val="24"/>
          <w:szCs w:val="24"/>
        </w:rPr>
        <w:t>.</w:t>
      </w:r>
      <w:r w:rsidRPr="00093144">
        <w:rPr>
          <w:rFonts w:ascii="Times New Roman" w:eastAsia="宋体" w:hAnsi="Times New Roman" w:cs="Times New Roman"/>
          <w:b/>
          <w:bCs/>
          <w:sz w:val="24"/>
          <w:szCs w:val="24"/>
        </w:rPr>
        <w:t>【毕业要求</w:t>
      </w:r>
      <w:r w:rsidRPr="00093144">
        <w:rPr>
          <w:rFonts w:ascii="Times New Roman" w:eastAsia="宋体" w:hAnsi="Times New Roman" w:cs="Times New Roman" w:hint="eastAsia"/>
          <w:b/>
          <w:bCs/>
          <w:sz w:val="24"/>
          <w:szCs w:val="24"/>
        </w:rPr>
        <w:t>2</w:t>
      </w:r>
      <w:r w:rsidRPr="00093144">
        <w:rPr>
          <w:rFonts w:ascii="Times New Roman" w:eastAsia="宋体" w:hAnsi="Times New Roman" w:cs="Times New Roman"/>
          <w:b/>
          <w:bCs/>
          <w:sz w:val="24"/>
          <w:szCs w:val="24"/>
        </w:rPr>
        <w:t xml:space="preserve"> </w:t>
      </w:r>
      <w:r w:rsidRPr="00093144">
        <w:rPr>
          <w:rFonts w:ascii="Times New Roman" w:eastAsia="宋体" w:hAnsi="Times New Roman" w:cs="Times New Roman"/>
          <w:b/>
          <w:bCs/>
          <w:sz w:val="24"/>
          <w:szCs w:val="24"/>
        </w:rPr>
        <w:t>问题</w:t>
      </w:r>
      <w:r w:rsidRPr="00093144">
        <w:rPr>
          <w:rFonts w:ascii="Times New Roman" w:eastAsia="宋体" w:hAnsi="Times New Roman" w:cs="Times New Roman" w:hint="eastAsia"/>
          <w:b/>
          <w:bCs/>
          <w:sz w:val="24"/>
          <w:szCs w:val="24"/>
        </w:rPr>
        <w:t>分析</w:t>
      </w:r>
      <w:r w:rsidRPr="00093144">
        <w:rPr>
          <w:rFonts w:ascii="Times New Roman" w:eastAsia="宋体" w:hAnsi="Times New Roman" w:cs="Times New Roman"/>
          <w:b/>
          <w:bCs/>
          <w:sz w:val="24"/>
          <w:szCs w:val="24"/>
        </w:rPr>
        <w:t>】</w:t>
      </w:r>
    </w:p>
    <w:p w14:paraId="5291FD71" w14:textId="77777777" w:rsidR="00C21E20" w:rsidRPr="00C21E20" w:rsidRDefault="00C21E20" w:rsidP="00C21E20">
      <w:pPr>
        <w:spacing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color w:val="111F2C"/>
          <w:sz w:val="24"/>
          <w:szCs w:val="24"/>
          <w:shd w:val="clear" w:color="auto" w:fill="FFFFFF"/>
        </w:rPr>
        <w:t xml:space="preserve">4. </w:t>
      </w:r>
      <w:r w:rsidRPr="00C21E20">
        <w:rPr>
          <w:rFonts w:ascii="Times New Roman" w:eastAsia="宋体" w:hAnsi="Times New Roman" w:cs="Times New Roman"/>
          <w:color w:val="111F2C"/>
          <w:sz w:val="24"/>
          <w:szCs w:val="24"/>
          <w:shd w:val="clear" w:color="auto" w:fill="FFFFFF"/>
        </w:rPr>
        <w:t>掌握</w:t>
      </w:r>
      <w:r w:rsidRPr="00C21E20">
        <w:rPr>
          <w:rFonts w:ascii="Times New Roman" w:eastAsia="宋体" w:hAnsi="Times New Roman" w:cs="Times New Roman"/>
          <w:bCs/>
          <w:color w:val="000000"/>
          <w:sz w:val="24"/>
          <w:szCs w:val="24"/>
        </w:rPr>
        <w:t>概率论与数理统计</w:t>
      </w:r>
      <w:r w:rsidRPr="00C21E20">
        <w:rPr>
          <w:rFonts w:ascii="Times New Roman" w:eastAsia="宋体" w:hAnsi="Times New Roman" w:cs="Times New Roman"/>
          <w:sz w:val="24"/>
          <w:szCs w:val="24"/>
        </w:rPr>
        <w:t>的思想方法，</w:t>
      </w:r>
      <w:r w:rsidRPr="00C21E20">
        <w:rPr>
          <w:rFonts w:ascii="Times New Roman" w:eastAsia="宋体" w:hAnsi="Times New Roman" w:cs="Times New Roman"/>
          <w:bCs/>
          <w:sz w:val="24"/>
          <w:szCs w:val="24"/>
        </w:rPr>
        <w:t>支撑</w:t>
      </w:r>
      <w:r w:rsidRPr="00C21E20">
        <w:rPr>
          <w:rFonts w:ascii="Times New Roman" w:eastAsia="宋体" w:hAnsi="Times New Roman" w:cs="Times New Roman" w:hint="eastAsia"/>
          <w:bCs/>
          <w:sz w:val="24"/>
          <w:szCs w:val="24"/>
        </w:rPr>
        <w:t>药物</w:t>
      </w:r>
      <w:r w:rsidRPr="00C21E20">
        <w:rPr>
          <w:rFonts w:ascii="Times New Roman" w:eastAsia="宋体" w:hAnsi="Times New Roman" w:cs="Times New Roman"/>
          <w:bCs/>
          <w:sz w:val="24"/>
          <w:szCs w:val="24"/>
        </w:rPr>
        <w:t>分析专业</w:t>
      </w:r>
      <w:r w:rsidRPr="00C21E20">
        <w:rPr>
          <w:rFonts w:ascii="Calibri" w:eastAsia="宋体" w:hAnsi="Calibri" w:cs="Times New Roman"/>
          <w:sz w:val="24"/>
          <w:szCs w:val="24"/>
        </w:rPr>
        <w:t>能够运用数学、化学、</w:t>
      </w:r>
      <w:r w:rsidRPr="00C21E20">
        <w:rPr>
          <w:rFonts w:ascii="Calibri" w:eastAsia="宋体" w:hAnsi="Calibri" w:cs="Times New Roman"/>
          <w:sz w:val="24"/>
          <w:szCs w:val="24"/>
        </w:rPr>
        <w:lastRenderedPageBreak/>
        <w:t>药学基本原理，识别、定义药物分析学的实践问题</w:t>
      </w:r>
      <w:r w:rsidRPr="00C21E20">
        <w:rPr>
          <w:rFonts w:ascii="Calibri" w:eastAsia="宋体" w:hAnsi="Calibri" w:cs="Times New Roman" w:hint="eastAsia"/>
          <w:sz w:val="24"/>
          <w:szCs w:val="24"/>
        </w:rPr>
        <w:t>.</w:t>
      </w:r>
      <w:r w:rsidRPr="00093144">
        <w:rPr>
          <w:rFonts w:ascii="Times New Roman" w:eastAsia="宋体" w:hAnsi="Times New Roman" w:cs="Times New Roman"/>
          <w:b/>
          <w:bCs/>
          <w:sz w:val="24"/>
          <w:szCs w:val="24"/>
        </w:rPr>
        <w:t>【毕业要求</w:t>
      </w:r>
      <w:r w:rsidRPr="00093144">
        <w:rPr>
          <w:rFonts w:ascii="Times New Roman" w:eastAsia="宋体" w:hAnsi="Times New Roman" w:cs="Times New Roman" w:hint="eastAsia"/>
          <w:b/>
          <w:bCs/>
          <w:sz w:val="24"/>
          <w:szCs w:val="24"/>
        </w:rPr>
        <w:t>2</w:t>
      </w:r>
      <w:r w:rsidRPr="00093144">
        <w:rPr>
          <w:rFonts w:ascii="Times New Roman" w:eastAsia="宋体" w:hAnsi="Times New Roman" w:cs="Times New Roman"/>
          <w:b/>
          <w:bCs/>
          <w:sz w:val="24"/>
          <w:szCs w:val="24"/>
        </w:rPr>
        <w:t xml:space="preserve"> </w:t>
      </w:r>
      <w:r w:rsidRPr="00093144">
        <w:rPr>
          <w:rFonts w:ascii="Times New Roman" w:eastAsia="宋体" w:hAnsi="Times New Roman" w:cs="Times New Roman"/>
          <w:b/>
          <w:bCs/>
          <w:sz w:val="24"/>
          <w:szCs w:val="24"/>
        </w:rPr>
        <w:t>问题</w:t>
      </w:r>
      <w:r w:rsidRPr="00093144">
        <w:rPr>
          <w:rFonts w:ascii="Times New Roman" w:eastAsia="宋体" w:hAnsi="Times New Roman" w:cs="Times New Roman" w:hint="eastAsia"/>
          <w:b/>
          <w:bCs/>
          <w:sz w:val="24"/>
          <w:szCs w:val="24"/>
        </w:rPr>
        <w:t>分析</w:t>
      </w:r>
      <w:r w:rsidRPr="00093144">
        <w:rPr>
          <w:rFonts w:ascii="Times New Roman" w:eastAsia="宋体" w:hAnsi="Times New Roman" w:cs="Times New Roman"/>
          <w:b/>
          <w:bCs/>
          <w:sz w:val="24"/>
          <w:szCs w:val="24"/>
        </w:rPr>
        <w:t>】</w:t>
      </w:r>
    </w:p>
    <w:p w14:paraId="45B4ADB2" w14:textId="77777777" w:rsidR="00C21E20" w:rsidRPr="00C21E20" w:rsidRDefault="00C21E20" w:rsidP="00C21E20">
      <w:pPr>
        <w:spacing w:line="440" w:lineRule="exact"/>
        <w:ind w:firstLineChars="200" w:firstLine="560"/>
        <w:rPr>
          <w:rFonts w:ascii="Times New Roman" w:eastAsia="黑体" w:hAnsi="Times New Roman" w:cs="Times New Roman"/>
          <w:sz w:val="28"/>
          <w:szCs w:val="28"/>
        </w:rPr>
      </w:pPr>
      <w:r w:rsidRPr="00C21E20">
        <w:rPr>
          <w:rFonts w:ascii="Times New Roman" w:eastAsia="黑体" w:hAnsi="Times New Roman" w:cs="Times New Roman"/>
          <w:sz w:val="28"/>
          <w:szCs w:val="28"/>
        </w:rP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47"/>
        <w:gridCol w:w="1418"/>
      </w:tblGrid>
      <w:tr w:rsidR="00C21E20" w:rsidRPr="00C21E20" w14:paraId="57BD292C" w14:textId="77777777" w:rsidTr="0002055D">
        <w:trPr>
          <w:trHeight w:val="815"/>
          <w:jc w:val="center"/>
        </w:trPr>
        <w:tc>
          <w:tcPr>
            <w:tcW w:w="1984" w:type="dxa"/>
            <w:vAlign w:val="center"/>
          </w:tcPr>
          <w:p w14:paraId="3F7850BE" w14:textId="77777777" w:rsidR="00C21E20" w:rsidRPr="00C21E20" w:rsidRDefault="00C21E20" w:rsidP="00C21E20">
            <w:pPr>
              <w:spacing w:line="440" w:lineRule="exact"/>
              <w:jc w:val="center"/>
              <w:rPr>
                <w:rFonts w:ascii="Times New Roman" w:eastAsia="宋体" w:hAnsi="Times New Roman" w:cs="Times New Roman"/>
                <w:b/>
                <w:sz w:val="24"/>
                <w:szCs w:val="24"/>
              </w:rPr>
            </w:pPr>
            <w:r w:rsidRPr="00C21E20">
              <w:rPr>
                <w:rFonts w:ascii="Times New Roman" w:eastAsia="宋体" w:hAnsi="Times New Roman" w:cs="Times New Roman"/>
                <w:b/>
                <w:sz w:val="24"/>
                <w:szCs w:val="24"/>
              </w:rPr>
              <w:t>毕业要求</w:t>
            </w:r>
          </w:p>
        </w:tc>
        <w:tc>
          <w:tcPr>
            <w:tcW w:w="4747" w:type="dxa"/>
            <w:vAlign w:val="center"/>
          </w:tcPr>
          <w:p w14:paraId="05BE6304" w14:textId="77777777" w:rsidR="00C21E20" w:rsidRPr="00C21E20" w:rsidRDefault="00C21E20" w:rsidP="00C21E20">
            <w:pPr>
              <w:spacing w:line="440" w:lineRule="exact"/>
              <w:jc w:val="center"/>
              <w:rPr>
                <w:rFonts w:ascii="Times New Roman" w:eastAsia="宋体" w:hAnsi="Times New Roman" w:cs="Times New Roman"/>
                <w:b/>
                <w:sz w:val="24"/>
                <w:szCs w:val="24"/>
              </w:rPr>
            </w:pPr>
            <w:r w:rsidRPr="00C21E20">
              <w:rPr>
                <w:rFonts w:ascii="Times New Roman" w:eastAsia="宋体" w:hAnsi="Times New Roman" w:cs="Times New Roman"/>
                <w:b/>
                <w:sz w:val="24"/>
                <w:szCs w:val="24"/>
              </w:rPr>
              <w:t>毕业要求指标点</w:t>
            </w:r>
          </w:p>
        </w:tc>
        <w:tc>
          <w:tcPr>
            <w:tcW w:w="1418" w:type="dxa"/>
            <w:vAlign w:val="center"/>
          </w:tcPr>
          <w:p w14:paraId="73E949B2" w14:textId="77777777" w:rsidR="00C21E20" w:rsidRPr="00C21E20" w:rsidRDefault="00C21E20" w:rsidP="00C21E20">
            <w:pPr>
              <w:spacing w:line="440" w:lineRule="exact"/>
              <w:jc w:val="center"/>
              <w:rPr>
                <w:rFonts w:ascii="Times New Roman" w:eastAsia="宋体" w:hAnsi="Times New Roman" w:cs="Times New Roman"/>
                <w:b/>
                <w:sz w:val="24"/>
                <w:szCs w:val="24"/>
              </w:rPr>
            </w:pPr>
            <w:r w:rsidRPr="00C21E20">
              <w:rPr>
                <w:rFonts w:ascii="Times New Roman" w:eastAsia="宋体" w:hAnsi="Times New Roman" w:cs="Times New Roman"/>
                <w:b/>
                <w:sz w:val="24"/>
                <w:szCs w:val="24"/>
              </w:rPr>
              <w:t>课程目标</w:t>
            </w:r>
          </w:p>
        </w:tc>
      </w:tr>
      <w:tr w:rsidR="00C21E20" w:rsidRPr="00C21E20" w14:paraId="671F7BE5" w14:textId="77777777" w:rsidTr="0002055D">
        <w:trPr>
          <w:trHeight w:val="1770"/>
          <w:jc w:val="center"/>
        </w:trPr>
        <w:tc>
          <w:tcPr>
            <w:tcW w:w="1984" w:type="dxa"/>
            <w:vAlign w:val="center"/>
          </w:tcPr>
          <w:p w14:paraId="0EE17266" w14:textId="77777777" w:rsidR="00C21E20" w:rsidRPr="00C21E20" w:rsidRDefault="00C21E20" w:rsidP="00C21E20">
            <w:pPr>
              <w:spacing w:line="440" w:lineRule="exact"/>
              <w:jc w:val="center"/>
              <w:rPr>
                <w:rFonts w:ascii="Times New Roman" w:eastAsia="宋体" w:hAnsi="Times New Roman" w:cs="Times New Roman"/>
                <w:color w:val="FF0000"/>
                <w:sz w:val="24"/>
                <w:szCs w:val="24"/>
              </w:rPr>
            </w:pP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问题分析</w:t>
            </w:r>
          </w:p>
        </w:tc>
        <w:tc>
          <w:tcPr>
            <w:tcW w:w="4747" w:type="dxa"/>
            <w:vAlign w:val="center"/>
          </w:tcPr>
          <w:p w14:paraId="79EE7EBB" w14:textId="77777777" w:rsidR="00C21E20" w:rsidRPr="00C21E20" w:rsidRDefault="00C21E20" w:rsidP="00C21E20">
            <w:pPr>
              <w:topLinePunct/>
              <w:adjustRightInd w:val="0"/>
              <w:snapToGrid w:val="0"/>
              <w:spacing w:line="440" w:lineRule="exact"/>
              <w:textAlignment w:val="center"/>
              <w:rPr>
                <w:rFonts w:ascii="宋体" w:eastAsia="宋体" w:hAnsi="宋体" w:cs="Times New Roman"/>
                <w:sz w:val="24"/>
                <w:szCs w:val="24"/>
              </w:rPr>
            </w:pPr>
            <w:r w:rsidRPr="00C21E20">
              <w:rPr>
                <w:rFonts w:ascii="宋体" w:eastAsia="宋体" w:hAnsi="宋体" w:cs="Times New Roman" w:hint="eastAsia"/>
                <w:bCs/>
                <w:color w:val="000000"/>
                <w:sz w:val="24"/>
                <w:szCs w:val="24"/>
              </w:rPr>
              <w:t>2.1</w:t>
            </w:r>
            <w:r w:rsidRPr="00C21E20">
              <w:rPr>
                <w:rFonts w:ascii="Calibri" w:eastAsia="宋体" w:hAnsi="Calibri" w:cs="Times New Roman"/>
                <w:sz w:val="24"/>
                <w:szCs w:val="24"/>
              </w:rPr>
              <w:t>能够运用数学、化学、药学基本原理，识别、定义药物分析学的实践问题</w:t>
            </w:r>
            <w:r w:rsidRPr="00C21E20">
              <w:rPr>
                <w:rFonts w:ascii="Calibri" w:eastAsia="宋体" w:hAnsi="Calibri" w:cs="Times New Roman" w:hint="eastAsia"/>
                <w:sz w:val="24"/>
                <w:szCs w:val="24"/>
              </w:rPr>
              <w:t>.</w:t>
            </w:r>
            <w:r w:rsidRPr="00C21E20">
              <w:rPr>
                <w:rFonts w:ascii="宋体" w:eastAsia="宋体" w:hAnsi="宋体" w:cs="Times New Roman"/>
                <w:sz w:val="24"/>
                <w:szCs w:val="24"/>
              </w:rPr>
              <w:t>（M）</w:t>
            </w:r>
          </w:p>
        </w:tc>
        <w:tc>
          <w:tcPr>
            <w:tcW w:w="1418" w:type="dxa"/>
            <w:vAlign w:val="center"/>
          </w:tcPr>
          <w:p w14:paraId="4D80B74E"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课程目标</w:t>
            </w:r>
            <w:r w:rsidRPr="00C21E20">
              <w:rPr>
                <w:rFonts w:ascii="Times New Roman" w:eastAsia="宋体" w:hAnsi="Times New Roman" w:cs="Times New Roman"/>
                <w:sz w:val="24"/>
                <w:szCs w:val="24"/>
              </w:rPr>
              <w:t>1</w:t>
            </w:r>
          </w:p>
          <w:p w14:paraId="5E05106A"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课程目标</w:t>
            </w:r>
            <w:r w:rsidRPr="00C21E20">
              <w:rPr>
                <w:rFonts w:ascii="Times New Roman" w:eastAsia="宋体" w:hAnsi="Times New Roman" w:cs="Times New Roman"/>
                <w:sz w:val="24"/>
                <w:szCs w:val="24"/>
              </w:rPr>
              <w:t>2</w:t>
            </w:r>
          </w:p>
          <w:p w14:paraId="03538DA0"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课程目标</w:t>
            </w:r>
            <w:r w:rsidRPr="00C21E20">
              <w:rPr>
                <w:rFonts w:ascii="Times New Roman" w:eastAsia="宋体" w:hAnsi="Times New Roman" w:cs="Times New Roman"/>
                <w:sz w:val="24"/>
                <w:szCs w:val="24"/>
              </w:rPr>
              <w:t>3</w:t>
            </w:r>
          </w:p>
          <w:p w14:paraId="376CE1CE"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课程目标</w:t>
            </w:r>
            <w:r w:rsidRPr="00C21E20">
              <w:rPr>
                <w:rFonts w:ascii="Times New Roman" w:eastAsia="宋体" w:hAnsi="Times New Roman" w:cs="Times New Roman"/>
                <w:sz w:val="24"/>
                <w:szCs w:val="24"/>
              </w:rPr>
              <w:t>4</w:t>
            </w:r>
          </w:p>
        </w:tc>
      </w:tr>
    </w:tbl>
    <w:p w14:paraId="3DE0EBCA" w14:textId="77777777" w:rsidR="00C21E20" w:rsidRPr="00C21E20" w:rsidRDefault="00C21E20" w:rsidP="00C21E20">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21E20">
        <w:rPr>
          <w:rFonts w:ascii="Times New Roman" w:eastAsia="黑体" w:hAnsi="Times New Roman" w:cs="Times New Roman"/>
          <w:sz w:val="28"/>
          <w:szCs w:val="28"/>
        </w:rPr>
        <w:t>三、课程学习内容及与课程学习目标的对应关系</w:t>
      </w:r>
    </w:p>
    <w:p w14:paraId="78C277ED" w14:textId="77777777" w:rsidR="00C21E20" w:rsidRPr="00C21E20" w:rsidRDefault="00C21E20" w:rsidP="00C21E20">
      <w:pPr>
        <w:spacing w:beforeLines="50" w:before="156" w:afterLines="50" w:after="156" w:line="440" w:lineRule="exact"/>
        <w:ind w:firstLineChars="200" w:firstLine="562"/>
        <w:outlineLvl w:val="2"/>
        <w:rPr>
          <w:rFonts w:ascii="Times New Roman" w:eastAsia="黑体" w:hAnsi="Times New Roman" w:cs="Times New Roman"/>
          <w:sz w:val="28"/>
          <w:szCs w:val="28"/>
        </w:rPr>
      </w:pPr>
      <w:r w:rsidRPr="00C21E20">
        <w:rPr>
          <w:rFonts w:ascii="Times New Roman" w:eastAsia="黑体" w:hAnsi="Times New Roman" w:cs="Times New Roman"/>
          <w:b/>
          <w:sz w:val="28"/>
          <w:szCs w:val="28"/>
        </w:rPr>
        <w:t>（一）</w:t>
      </w:r>
      <w:r w:rsidRPr="00C21E20">
        <w:rPr>
          <w:rFonts w:ascii="Times New Roman" w:eastAsia="黑体" w:hAnsi="Times New Roman" w:cs="Times New Roman"/>
          <w:sz w:val="28"/>
          <w:szCs w:val="28"/>
        </w:rPr>
        <w:t>课程学习内容</w:t>
      </w:r>
    </w:p>
    <w:p w14:paraId="577FAD3E" w14:textId="77777777" w:rsidR="00C21E20" w:rsidRPr="00C21E20" w:rsidRDefault="00C21E20" w:rsidP="00C21E20">
      <w:pPr>
        <w:spacing w:beforeLines="50" w:before="156" w:afterLines="50" w:after="156" w:line="440" w:lineRule="exact"/>
        <w:ind w:firstLineChars="200" w:firstLine="562"/>
        <w:jc w:val="center"/>
        <w:rPr>
          <w:rFonts w:ascii="Times New Roman" w:eastAsia="黑体" w:hAnsi="Times New Roman" w:cs="Times New Roman"/>
          <w:b/>
          <w:sz w:val="28"/>
          <w:szCs w:val="28"/>
        </w:rPr>
      </w:pPr>
      <w:r w:rsidRPr="00C21E20">
        <w:rPr>
          <w:rFonts w:ascii="Times New Roman" w:eastAsia="黑体" w:hAnsi="Times New Roman" w:cs="Times New Roman"/>
          <w:b/>
          <w:sz w:val="28"/>
          <w:szCs w:val="28"/>
        </w:rPr>
        <w:t>第一章</w:t>
      </w:r>
      <w:r w:rsidRPr="00C21E20">
        <w:rPr>
          <w:rFonts w:ascii="Times New Roman" w:eastAsia="黑体" w:hAnsi="Times New Roman" w:cs="Times New Roman"/>
          <w:b/>
          <w:sz w:val="28"/>
          <w:szCs w:val="28"/>
        </w:rPr>
        <w:t xml:space="preserve">  </w:t>
      </w:r>
      <w:r w:rsidRPr="00C21E20">
        <w:rPr>
          <w:rFonts w:ascii="Times New Roman" w:eastAsia="黑体" w:hAnsi="Times New Roman" w:cs="Times New Roman"/>
          <w:b/>
          <w:sz w:val="28"/>
          <w:szCs w:val="28"/>
        </w:rPr>
        <w:t>随机事件和概率</w:t>
      </w:r>
    </w:p>
    <w:p w14:paraId="5825FDF6" w14:textId="77777777" w:rsidR="00C21E20" w:rsidRPr="00C21E20" w:rsidRDefault="00C21E20" w:rsidP="00C21E20">
      <w:pPr>
        <w:spacing w:after="200" w:line="440" w:lineRule="exact"/>
        <w:ind w:firstLineChars="200" w:firstLine="482"/>
        <w:rPr>
          <w:rFonts w:ascii="Times New Roman" w:eastAsia="宋体" w:hAnsi="Times New Roman" w:cs="Times New Roman"/>
          <w:color w:val="000000"/>
          <w:sz w:val="24"/>
          <w:szCs w:val="24"/>
        </w:rPr>
      </w:pPr>
      <w:r w:rsidRPr="00C21E20">
        <w:rPr>
          <w:rFonts w:ascii="Times New Roman" w:eastAsia="宋体" w:hAnsi="Times New Roman" w:cs="Times New Roman"/>
          <w:b/>
          <w:sz w:val="24"/>
          <w:szCs w:val="24"/>
        </w:rPr>
        <w:t>【知识与技能目标】</w:t>
      </w:r>
      <w:r w:rsidRPr="00C21E20">
        <w:rPr>
          <w:rFonts w:ascii="Times New Roman" w:eastAsia="宋体" w:hAnsi="Times New Roman" w:cs="Times New Roman"/>
          <w:sz w:val="24"/>
          <w:szCs w:val="24"/>
        </w:rPr>
        <w:t>理解随机事件、样本空间和随机事件的概率等基本概念</w:t>
      </w:r>
      <w:r w:rsidRPr="00C21E20">
        <w:rPr>
          <w:rFonts w:ascii="Times New Roman" w:eastAsia="宋体" w:hAnsi="Times New Roman" w:cs="Times New Roman" w:hint="eastAsia"/>
          <w:sz w:val="24"/>
          <w:szCs w:val="24"/>
        </w:rPr>
        <w:t>.</w:t>
      </w:r>
      <w:r w:rsidRPr="00C21E20">
        <w:rPr>
          <w:rFonts w:ascii="Times New Roman" w:eastAsia="宋体" w:hAnsi="Times New Roman" w:cs="Times New Roman"/>
          <w:color w:val="000000"/>
          <w:sz w:val="24"/>
          <w:szCs w:val="24"/>
        </w:rPr>
        <w:t>理解</w:t>
      </w:r>
      <w:r w:rsidRPr="00C21E20">
        <w:rPr>
          <w:rFonts w:ascii="Times New Roman" w:eastAsia="宋体" w:hAnsi="Times New Roman" w:cs="Times New Roman"/>
          <w:bCs/>
          <w:color w:val="000000"/>
          <w:sz w:val="24"/>
          <w:szCs w:val="24"/>
        </w:rPr>
        <w:t>随机事件之间的关系和运算</w:t>
      </w:r>
      <w:r w:rsidRPr="00C21E20">
        <w:rPr>
          <w:rFonts w:ascii="Times New Roman" w:eastAsia="宋体" w:hAnsi="Times New Roman" w:cs="Times New Roman" w:hint="eastAsia"/>
          <w:bCs/>
          <w:color w:val="000000"/>
          <w:sz w:val="24"/>
          <w:szCs w:val="24"/>
        </w:rPr>
        <w:t>.</w:t>
      </w:r>
      <w:r w:rsidRPr="00C21E20">
        <w:rPr>
          <w:rFonts w:ascii="Times New Roman" w:eastAsia="宋体" w:hAnsi="Times New Roman" w:cs="Times New Roman"/>
          <w:color w:val="000000"/>
          <w:sz w:val="24"/>
          <w:szCs w:val="24"/>
        </w:rPr>
        <w:t>了解概率的统计定义，</w:t>
      </w:r>
      <w:r w:rsidRPr="00C21E20">
        <w:rPr>
          <w:rFonts w:ascii="Times New Roman" w:eastAsia="宋体" w:hAnsi="Times New Roman" w:cs="Times New Roman"/>
          <w:sz w:val="24"/>
          <w:szCs w:val="24"/>
        </w:rPr>
        <w:t>理解古典型概率、几何型概率的概念并掌握与之相关的各种计算</w:t>
      </w:r>
      <w:r w:rsidRPr="00C21E20">
        <w:rPr>
          <w:rFonts w:ascii="Times New Roman" w:eastAsia="宋体" w:hAnsi="Times New Roman" w:cs="Times New Roman" w:hint="eastAsia"/>
          <w:sz w:val="24"/>
          <w:szCs w:val="24"/>
        </w:rPr>
        <w:t>.</w:t>
      </w:r>
      <w:r w:rsidRPr="00C21E20">
        <w:rPr>
          <w:rFonts w:ascii="Times New Roman" w:eastAsia="宋体" w:hAnsi="Times New Roman" w:cs="Times New Roman"/>
          <w:bCs/>
          <w:color w:val="000000"/>
          <w:sz w:val="24"/>
          <w:szCs w:val="24"/>
        </w:rPr>
        <w:t>掌握概率的公理化定义及基本性质并能利用它们进行概率的计算</w:t>
      </w:r>
      <w:r w:rsidRPr="00C21E20">
        <w:rPr>
          <w:rFonts w:ascii="Times New Roman" w:eastAsia="宋体" w:hAnsi="Times New Roman" w:cs="Times New Roman" w:hint="eastAsia"/>
          <w:bCs/>
          <w:color w:val="000000"/>
          <w:sz w:val="24"/>
          <w:szCs w:val="24"/>
        </w:rPr>
        <w:t>.</w:t>
      </w:r>
      <w:r w:rsidRPr="00C21E20">
        <w:rPr>
          <w:rFonts w:ascii="Times New Roman" w:eastAsia="宋体" w:hAnsi="Times New Roman" w:cs="Times New Roman"/>
          <w:color w:val="000000"/>
          <w:sz w:val="24"/>
          <w:szCs w:val="24"/>
        </w:rPr>
        <w:t>理解条件概率的概念，掌握条件概率计算公式、乘法公式、全概率公式和贝叶斯公式及其应用</w:t>
      </w:r>
      <w:r w:rsidRPr="00C21E20">
        <w:rPr>
          <w:rFonts w:ascii="Times New Roman" w:eastAsia="宋体" w:hAnsi="Times New Roman" w:cs="Times New Roman" w:hint="eastAsia"/>
          <w:color w:val="000000"/>
          <w:sz w:val="24"/>
          <w:szCs w:val="24"/>
        </w:rPr>
        <w:t>.</w:t>
      </w:r>
      <w:r w:rsidRPr="00C21E20">
        <w:rPr>
          <w:rFonts w:ascii="Times New Roman" w:eastAsia="宋体" w:hAnsi="Times New Roman" w:cs="Times New Roman"/>
          <w:bCs/>
          <w:color w:val="000000"/>
          <w:sz w:val="24"/>
          <w:szCs w:val="24"/>
        </w:rPr>
        <w:t>理解事件独立性的概念，掌握用事件的独立性进行概率的计算</w:t>
      </w:r>
      <w:r w:rsidRPr="00C21E20">
        <w:rPr>
          <w:rFonts w:ascii="Times New Roman" w:eastAsia="宋体" w:hAnsi="Times New Roman" w:cs="Times New Roman" w:hint="eastAsia"/>
          <w:color w:val="000000"/>
          <w:sz w:val="24"/>
          <w:szCs w:val="24"/>
        </w:rPr>
        <w:t>.</w:t>
      </w:r>
    </w:p>
    <w:p w14:paraId="448CA96C" w14:textId="77777777" w:rsidR="00C21E20" w:rsidRPr="00C21E20" w:rsidRDefault="00C21E20" w:rsidP="00C21E20">
      <w:pPr>
        <w:spacing w:after="200" w:line="440" w:lineRule="exact"/>
        <w:ind w:firstLineChars="200" w:firstLine="482"/>
        <w:rPr>
          <w:rFonts w:ascii="Times New Roman" w:eastAsia="宋体" w:hAnsi="Times New Roman" w:cs="Times New Roman"/>
          <w:color w:val="000000"/>
          <w:sz w:val="24"/>
          <w:szCs w:val="24"/>
        </w:rPr>
      </w:pPr>
      <w:r w:rsidRPr="00C21E20">
        <w:rPr>
          <w:rFonts w:ascii="Times New Roman" w:eastAsia="宋体" w:hAnsi="Times New Roman" w:cs="Times New Roman"/>
          <w:b/>
          <w:sz w:val="24"/>
          <w:szCs w:val="24"/>
        </w:rPr>
        <w:t>【过程与方法目标】</w:t>
      </w:r>
      <w:r w:rsidRPr="00C21E20">
        <w:rPr>
          <w:rFonts w:ascii="Times New Roman" w:eastAsia="宋体" w:hAnsi="Times New Roman" w:cs="Times New Roman"/>
          <w:color w:val="000000"/>
          <w:sz w:val="24"/>
          <w:szCs w:val="24"/>
        </w:rPr>
        <w:t>运用课堂所学的知识处理身边及生活中遇到的随机事件；通过对实际问题的分析，提高类比归纳、抽象概括、联系与转化的思维能力</w:t>
      </w:r>
      <w:r w:rsidRPr="00C21E20">
        <w:rPr>
          <w:rFonts w:ascii="Times New Roman" w:eastAsia="宋体" w:hAnsi="Times New Roman" w:cs="Times New Roman" w:hint="eastAsia"/>
          <w:color w:val="000000"/>
          <w:sz w:val="24"/>
          <w:szCs w:val="24"/>
        </w:rPr>
        <w:t>.</w:t>
      </w:r>
    </w:p>
    <w:p w14:paraId="634C7304" w14:textId="77777777" w:rsidR="00C21E20" w:rsidRPr="00C21E20" w:rsidRDefault="00C21E20" w:rsidP="00C21E20">
      <w:pPr>
        <w:spacing w:after="200" w:line="440" w:lineRule="exact"/>
        <w:ind w:firstLineChars="200" w:firstLine="482"/>
        <w:rPr>
          <w:rFonts w:ascii="Times New Roman" w:eastAsia="宋体" w:hAnsi="Times New Roman" w:cs="Times New Roman"/>
          <w:sz w:val="24"/>
          <w:szCs w:val="24"/>
        </w:rPr>
      </w:pPr>
      <w:r w:rsidRPr="00C21E20">
        <w:rPr>
          <w:rFonts w:ascii="Times New Roman" w:eastAsia="宋体" w:hAnsi="Times New Roman" w:cs="Times New Roman"/>
          <w:b/>
          <w:sz w:val="24"/>
          <w:szCs w:val="24"/>
        </w:rPr>
        <w:t>【情感态度与价值观目标】</w:t>
      </w:r>
      <w:r w:rsidRPr="00C21E20">
        <w:rPr>
          <w:rFonts w:ascii="Times New Roman" w:eastAsia="宋体" w:hAnsi="Times New Roman" w:cs="Times New Roman"/>
          <w:color w:val="000000"/>
          <w:sz w:val="24"/>
          <w:szCs w:val="24"/>
        </w:rPr>
        <w:t>了解随机现象与概率的意义，加强与实际生活的联系，以科学的态度评价身边的一些随机现象；通过对抽签模型的分析，理解公平的要义；通过对彩票问题的分析，树立正确的人生观和价值观；通过对网络聊天问题和假阳性问题的剖析，初步形成实事求是的科学态度；增加对小概率事件的案例分析，培养坚持不懈的坚毅品格</w:t>
      </w:r>
      <w:r w:rsidRPr="00C21E20">
        <w:rPr>
          <w:rFonts w:ascii="Times New Roman" w:eastAsia="宋体" w:hAnsi="Times New Roman" w:cs="Times New Roman" w:hint="eastAsia"/>
          <w:color w:val="000000"/>
          <w:sz w:val="24"/>
          <w:szCs w:val="24"/>
        </w:rPr>
        <w:t>.</w:t>
      </w:r>
    </w:p>
    <w:p w14:paraId="06E5580B"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FF0000"/>
          <w:sz w:val="24"/>
          <w:szCs w:val="24"/>
        </w:rPr>
      </w:pPr>
      <w:r w:rsidRPr="00C21E20">
        <w:rPr>
          <w:rFonts w:ascii="Times New Roman" w:eastAsia="宋体" w:hAnsi="Times New Roman" w:cs="Times New Roman"/>
          <w:b/>
          <w:sz w:val="24"/>
          <w:szCs w:val="24"/>
        </w:rPr>
        <w:t>【学习内容】</w:t>
      </w:r>
    </w:p>
    <w:p w14:paraId="276F4D94"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color w:val="000000"/>
          <w:sz w:val="24"/>
          <w:szCs w:val="24"/>
        </w:rPr>
        <w:t>1</w:t>
      </w:r>
      <w:r w:rsidRPr="00C21E20">
        <w:rPr>
          <w:rFonts w:ascii="Times New Roman" w:eastAsia="宋体" w:hAnsi="Times New Roman" w:cs="Times New Roman"/>
          <w:color w:val="000000"/>
          <w:sz w:val="24"/>
          <w:szCs w:val="24"/>
        </w:rPr>
        <w:t>．随机事件和样本空间；</w:t>
      </w:r>
    </w:p>
    <w:p w14:paraId="73FFE75A"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color w:val="000000"/>
          <w:sz w:val="24"/>
          <w:szCs w:val="24"/>
        </w:rPr>
        <w:t>2</w:t>
      </w:r>
      <w:r w:rsidRPr="00C21E20">
        <w:rPr>
          <w:rFonts w:ascii="Times New Roman" w:eastAsia="宋体" w:hAnsi="Times New Roman" w:cs="Times New Roman"/>
          <w:color w:val="000000"/>
          <w:sz w:val="24"/>
          <w:szCs w:val="24"/>
        </w:rPr>
        <w:t>．事件的关系和运算；</w:t>
      </w:r>
    </w:p>
    <w:p w14:paraId="3B5B5790"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color w:val="000000"/>
          <w:sz w:val="24"/>
          <w:szCs w:val="24"/>
        </w:rPr>
        <w:lastRenderedPageBreak/>
        <w:t>3</w:t>
      </w:r>
      <w:r w:rsidRPr="00C21E20">
        <w:rPr>
          <w:rFonts w:ascii="Times New Roman" w:eastAsia="宋体" w:hAnsi="Times New Roman" w:cs="Times New Roman"/>
          <w:color w:val="000000"/>
          <w:sz w:val="24"/>
          <w:szCs w:val="24"/>
        </w:rPr>
        <w:t>．事件的概率及其计算；</w:t>
      </w:r>
    </w:p>
    <w:p w14:paraId="3A3B107F"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color w:val="000000"/>
          <w:sz w:val="24"/>
          <w:szCs w:val="24"/>
        </w:rPr>
        <w:t>4</w:t>
      </w:r>
      <w:r w:rsidRPr="00C21E20">
        <w:rPr>
          <w:rFonts w:ascii="Times New Roman" w:eastAsia="宋体" w:hAnsi="Times New Roman" w:cs="Times New Roman"/>
          <w:color w:val="000000"/>
          <w:sz w:val="24"/>
          <w:szCs w:val="24"/>
        </w:rPr>
        <w:t>．概率的公理化定义；</w:t>
      </w:r>
    </w:p>
    <w:p w14:paraId="06F4A22B"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color w:val="000000"/>
          <w:sz w:val="24"/>
          <w:szCs w:val="24"/>
        </w:rPr>
        <w:t>5</w:t>
      </w:r>
      <w:r w:rsidRPr="00C21E20">
        <w:rPr>
          <w:rFonts w:ascii="Times New Roman" w:eastAsia="宋体" w:hAnsi="Times New Roman" w:cs="Times New Roman"/>
          <w:color w:val="000000"/>
          <w:sz w:val="24"/>
          <w:szCs w:val="24"/>
        </w:rPr>
        <w:t>．条件概率和事件的独立性</w:t>
      </w:r>
      <w:r w:rsidRPr="00C21E20">
        <w:rPr>
          <w:rFonts w:ascii="Times New Roman" w:eastAsia="宋体" w:hAnsi="Times New Roman" w:cs="Times New Roman" w:hint="eastAsia"/>
          <w:color w:val="000000"/>
          <w:sz w:val="24"/>
          <w:szCs w:val="24"/>
        </w:rPr>
        <w:t>.</w:t>
      </w:r>
    </w:p>
    <w:p w14:paraId="71FE10C7" w14:textId="77777777" w:rsidR="00C21E20" w:rsidRPr="00C21E20" w:rsidRDefault="00C21E20" w:rsidP="00C21E20">
      <w:pPr>
        <w:spacing w:after="200" w:line="440" w:lineRule="exact"/>
        <w:ind w:firstLineChars="200" w:firstLine="482"/>
        <w:rPr>
          <w:rFonts w:ascii="Times New Roman" w:eastAsia="宋体" w:hAnsi="Times New Roman" w:cs="Times New Roman"/>
          <w:b/>
          <w:sz w:val="24"/>
          <w:szCs w:val="24"/>
        </w:rPr>
      </w:pPr>
      <w:r w:rsidRPr="00C21E20">
        <w:rPr>
          <w:rFonts w:ascii="Times New Roman" w:eastAsia="宋体" w:hAnsi="Times New Roman" w:cs="Times New Roman"/>
          <w:b/>
          <w:sz w:val="24"/>
          <w:szCs w:val="24"/>
        </w:rPr>
        <w:t>【重点】</w:t>
      </w:r>
    </w:p>
    <w:p w14:paraId="3AD6953C"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事件的关系和运算，概率的计算性质；</w:t>
      </w:r>
    </w:p>
    <w:p w14:paraId="5527EAD9" w14:textId="77777777" w:rsidR="00C21E20" w:rsidRPr="00C21E20" w:rsidRDefault="00C21E20" w:rsidP="00C21E20">
      <w:pPr>
        <w:spacing w:after="200" w:line="440" w:lineRule="exact"/>
        <w:ind w:firstLineChars="200" w:firstLine="480"/>
        <w:rPr>
          <w:rFonts w:ascii="Times New Roman" w:eastAsia="宋体" w:hAnsi="Times New Roman" w:cs="Times New Roman"/>
          <w:bCs/>
          <w:color w:val="000000"/>
          <w:sz w:val="24"/>
          <w:szCs w:val="24"/>
        </w:rPr>
      </w:pP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古典型概率和几何型概率；</w:t>
      </w:r>
    </w:p>
    <w:p w14:paraId="77696EAE"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sz w:val="24"/>
          <w:szCs w:val="24"/>
        </w:rPr>
        <w:t>3</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条件概率，概率的</w:t>
      </w:r>
      <w:r w:rsidRPr="00C21E20">
        <w:rPr>
          <w:rFonts w:ascii="Times New Roman" w:eastAsia="宋体" w:hAnsi="Times New Roman" w:cs="Times New Roman"/>
          <w:bCs/>
          <w:color w:val="000000"/>
          <w:sz w:val="24"/>
          <w:szCs w:val="24"/>
        </w:rPr>
        <w:t>乘法公式、全概率公式、贝叶斯公式，</w:t>
      </w:r>
      <w:r w:rsidRPr="00C21E20">
        <w:rPr>
          <w:rFonts w:ascii="Times New Roman" w:eastAsia="宋体" w:hAnsi="Times New Roman" w:cs="Times New Roman"/>
          <w:color w:val="000000"/>
          <w:sz w:val="24"/>
          <w:szCs w:val="24"/>
        </w:rPr>
        <w:t>事件的独立性</w:t>
      </w:r>
      <w:r w:rsidRPr="00C21E20">
        <w:rPr>
          <w:rFonts w:ascii="Times New Roman" w:eastAsia="宋体" w:hAnsi="Times New Roman" w:cs="Times New Roman" w:hint="eastAsia"/>
          <w:color w:val="000000"/>
          <w:sz w:val="24"/>
          <w:szCs w:val="24"/>
        </w:rPr>
        <w:t>.</w:t>
      </w:r>
    </w:p>
    <w:p w14:paraId="22C7FFF9" w14:textId="77777777" w:rsidR="00C21E20" w:rsidRPr="00C21E20" w:rsidRDefault="00C21E20" w:rsidP="00C21E20">
      <w:pPr>
        <w:spacing w:after="200" w:line="440" w:lineRule="exact"/>
        <w:ind w:firstLineChars="200" w:firstLine="482"/>
        <w:rPr>
          <w:rFonts w:ascii="Times New Roman" w:eastAsia="宋体" w:hAnsi="Times New Roman" w:cs="Times New Roman"/>
          <w:b/>
          <w:sz w:val="24"/>
          <w:szCs w:val="24"/>
        </w:rPr>
      </w:pPr>
      <w:r w:rsidRPr="00C21E20">
        <w:rPr>
          <w:rFonts w:ascii="Times New Roman" w:eastAsia="宋体" w:hAnsi="Times New Roman" w:cs="Times New Roman"/>
          <w:b/>
          <w:sz w:val="24"/>
          <w:szCs w:val="24"/>
        </w:rPr>
        <w:t>【难点】</w:t>
      </w:r>
    </w:p>
    <w:p w14:paraId="6DB3C98C" w14:textId="77777777" w:rsidR="00C21E20" w:rsidRPr="00C21E20" w:rsidRDefault="00C21E20" w:rsidP="00C21E20">
      <w:pPr>
        <w:spacing w:after="200" w:line="440" w:lineRule="exact"/>
        <w:ind w:firstLineChars="200" w:firstLine="480"/>
        <w:rPr>
          <w:rFonts w:ascii="Times New Roman" w:eastAsia="宋体" w:hAnsi="Times New Roman" w:cs="Times New Roman"/>
          <w:b/>
          <w:sz w:val="24"/>
          <w:szCs w:val="24"/>
        </w:rPr>
      </w:pP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分析事件的结构；</w:t>
      </w:r>
    </w:p>
    <w:p w14:paraId="2547F4C0" w14:textId="77777777" w:rsidR="00C21E20" w:rsidRPr="00C21E20" w:rsidRDefault="00C21E20" w:rsidP="00C21E20">
      <w:pPr>
        <w:spacing w:after="200"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计算随机事件发生的概率</w:t>
      </w:r>
      <w:r w:rsidRPr="00C21E20">
        <w:rPr>
          <w:rFonts w:ascii="Times New Roman" w:eastAsia="宋体" w:hAnsi="Times New Roman" w:cs="Times New Roman" w:hint="eastAsia"/>
          <w:color w:val="000000"/>
          <w:sz w:val="24"/>
          <w:szCs w:val="24"/>
        </w:rPr>
        <w:t>.</w:t>
      </w:r>
    </w:p>
    <w:p w14:paraId="54852B03" w14:textId="77777777" w:rsidR="00C21E20" w:rsidRPr="00C21E20" w:rsidRDefault="00C21E20" w:rsidP="00C21E20">
      <w:pPr>
        <w:spacing w:after="200" w:line="440" w:lineRule="exact"/>
        <w:ind w:firstLineChars="200" w:firstLine="482"/>
        <w:rPr>
          <w:rFonts w:ascii="Times New Roman" w:eastAsia="宋体" w:hAnsi="Times New Roman" w:cs="Times New Roman"/>
          <w:b/>
          <w:bCs/>
          <w:sz w:val="24"/>
          <w:szCs w:val="24"/>
        </w:rPr>
      </w:pPr>
      <w:r w:rsidRPr="00C21E20">
        <w:rPr>
          <w:rFonts w:ascii="Times New Roman" w:eastAsia="宋体" w:hAnsi="Times New Roman" w:cs="Times New Roman"/>
          <w:b/>
          <w:bCs/>
          <w:sz w:val="24"/>
          <w:szCs w:val="24"/>
        </w:rPr>
        <w:t>【教学方法】</w:t>
      </w:r>
    </w:p>
    <w:p w14:paraId="13CFF3F3" w14:textId="77777777" w:rsidR="00C21E20" w:rsidRPr="00C21E20" w:rsidRDefault="00C21E20" w:rsidP="00C21E20">
      <w:pPr>
        <w:spacing w:after="200" w:line="440" w:lineRule="exact"/>
        <w:ind w:firstLine="482"/>
        <w:rPr>
          <w:rFonts w:ascii="Times New Roman" w:eastAsia="宋体" w:hAnsi="Times New Roman" w:cs="Times New Roman"/>
          <w:sz w:val="24"/>
          <w:szCs w:val="24"/>
        </w:rPr>
      </w:pP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2BCE6D4C" w14:textId="77777777" w:rsidR="00C21E20" w:rsidRPr="00C21E20" w:rsidRDefault="00C21E20" w:rsidP="00C21E20">
      <w:pPr>
        <w:spacing w:after="200" w:line="440" w:lineRule="exact"/>
        <w:ind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采用启发式教学方法进行授课</w:t>
      </w:r>
      <w:r w:rsidRPr="00C21E20">
        <w:rPr>
          <w:rFonts w:ascii="Times New Roman" w:eastAsia="宋体" w:hAnsi="Times New Roman" w:cs="Times New Roman"/>
          <w:sz w:val="24"/>
          <w:szCs w:val="24"/>
        </w:rPr>
        <w:t>，培养学生发现问题、分析问题、解决问题的能力；</w:t>
      </w:r>
    </w:p>
    <w:p w14:paraId="2943C30B" w14:textId="77777777" w:rsidR="00C21E20" w:rsidRPr="00C21E20" w:rsidRDefault="00C21E20" w:rsidP="00C21E20">
      <w:pPr>
        <w:spacing w:after="200"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3</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采用以教师讲授为主，课堂练习、讨论为辅的讲练结合授课方式，</w:t>
      </w:r>
      <w:r w:rsidRPr="00C21E20">
        <w:rPr>
          <w:rFonts w:ascii="Times New Roman" w:eastAsia="宋体" w:hAnsi="Times New Roman" w:cs="Times New Roman"/>
          <w:sz w:val="24"/>
          <w:szCs w:val="24"/>
        </w:rPr>
        <w:t>强化学生数学计算能力和应用能力的培养</w:t>
      </w:r>
      <w:r w:rsidRPr="00C21E20">
        <w:rPr>
          <w:rFonts w:ascii="Times New Roman" w:eastAsia="宋体" w:hAnsi="Times New Roman" w:cs="Times New Roman" w:hint="eastAsia"/>
          <w:sz w:val="24"/>
          <w:szCs w:val="24"/>
        </w:rPr>
        <w:t>.</w:t>
      </w:r>
    </w:p>
    <w:p w14:paraId="279E4CF2"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FF0000"/>
          <w:sz w:val="24"/>
          <w:szCs w:val="24"/>
        </w:rPr>
      </w:pPr>
      <w:r w:rsidRPr="00C21E20">
        <w:rPr>
          <w:rFonts w:ascii="Times New Roman" w:eastAsia="宋体" w:hAnsi="Times New Roman" w:cs="Times New Roman"/>
          <w:b/>
          <w:sz w:val="24"/>
          <w:szCs w:val="24"/>
        </w:rPr>
        <w:t>【复习思考】</w:t>
      </w:r>
    </w:p>
    <w:p w14:paraId="7EFAB27B" w14:textId="77777777" w:rsidR="00C21E20" w:rsidRPr="00C21E20" w:rsidRDefault="00C21E20" w:rsidP="00C21E20">
      <w:pPr>
        <w:spacing w:after="200"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．事件之间的关系以及运算律有哪些？</w:t>
      </w:r>
    </w:p>
    <w:p w14:paraId="729E1F54" w14:textId="77777777" w:rsidR="00C21E20" w:rsidRPr="00C21E20" w:rsidRDefault="00C21E20" w:rsidP="00C21E20">
      <w:pPr>
        <w:spacing w:after="200"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．计算事件包含的样本点时常用方法有哪些？</w:t>
      </w:r>
    </w:p>
    <w:p w14:paraId="3724C317" w14:textId="77777777" w:rsidR="00C21E20" w:rsidRPr="00C21E20" w:rsidRDefault="00C21E20" w:rsidP="00C21E20">
      <w:pPr>
        <w:spacing w:after="200" w:line="440" w:lineRule="exact"/>
        <w:ind w:firstLineChars="200" w:firstLine="480"/>
        <w:rPr>
          <w:rFonts w:ascii="Times New Roman" w:eastAsia="宋体" w:hAnsi="Times New Roman" w:cs="Times New Roman"/>
          <w:sz w:val="24"/>
        </w:rPr>
      </w:pPr>
      <w:r w:rsidRPr="00C21E20">
        <w:rPr>
          <w:rFonts w:ascii="Times New Roman" w:eastAsia="宋体" w:hAnsi="Times New Roman" w:cs="Times New Roman"/>
          <w:sz w:val="24"/>
          <w:szCs w:val="24"/>
        </w:rPr>
        <w:t>3</w:t>
      </w:r>
      <w:r w:rsidRPr="00C21E20">
        <w:rPr>
          <w:rFonts w:ascii="Times New Roman" w:eastAsia="宋体" w:hAnsi="Times New Roman" w:cs="Times New Roman"/>
          <w:sz w:val="24"/>
          <w:szCs w:val="24"/>
        </w:rPr>
        <w:t>．全概率公式和贝叶斯公式能解决什么类型的问题，具体怎么应用</w:t>
      </w:r>
      <w:r w:rsidRPr="00C21E20">
        <w:rPr>
          <w:rFonts w:ascii="Times New Roman" w:eastAsia="宋体" w:hAnsi="Times New Roman" w:cs="Times New Roman" w:hint="eastAsia"/>
          <w:sz w:val="24"/>
          <w:szCs w:val="24"/>
        </w:rPr>
        <w:t>.</w:t>
      </w:r>
    </w:p>
    <w:p w14:paraId="185D20A6" w14:textId="77777777" w:rsidR="00C21E20" w:rsidRPr="00C21E20" w:rsidRDefault="00C21E20" w:rsidP="00C21E20">
      <w:pPr>
        <w:spacing w:beforeLines="50" w:before="156" w:afterLines="50" w:after="156" w:line="440" w:lineRule="exact"/>
        <w:jc w:val="center"/>
        <w:rPr>
          <w:rFonts w:ascii="Times New Roman" w:eastAsia="仿宋" w:hAnsi="Times New Roman" w:cs="Times New Roman"/>
          <w:b/>
          <w:sz w:val="28"/>
          <w:szCs w:val="28"/>
        </w:rPr>
      </w:pPr>
      <w:r w:rsidRPr="00C21E20">
        <w:rPr>
          <w:rFonts w:ascii="Times New Roman" w:eastAsia="黑体" w:hAnsi="Times New Roman" w:cs="Times New Roman"/>
          <w:b/>
          <w:bCs/>
          <w:sz w:val="28"/>
          <w:szCs w:val="28"/>
        </w:rPr>
        <w:t>第二章</w:t>
      </w:r>
      <w:r w:rsidRPr="00C21E20">
        <w:rPr>
          <w:rFonts w:ascii="Times New Roman" w:eastAsia="黑体" w:hAnsi="Times New Roman" w:cs="Times New Roman"/>
          <w:b/>
          <w:bCs/>
          <w:sz w:val="28"/>
          <w:szCs w:val="28"/>
        </w:rPr>
        <w:t xml:space="preserve">  </w:t>
      </w:r>
      <w:r w:rsidRPr="00C21E20">
        <w:rPr>
          <w:rFonts w:ascii="Times New Roman" w:eastAsia="黑体" w:hAnsi="Times New Roman" w:cs="Times New Roman"/>
          <w:b/>
          <w:bCs/>
          <w:sz w:val="28"/>
          <w:szCs w:val="28"/>
        </w:rPr>
        <w:t>随机变量及其分布</w:t>
      </w:r>
    </w:p>
    <w:p w14:paraId="47BA4B3C"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000000"/>
          <w:sz w:val="24"/>
        </w:rPr>
      </w:pPr>
      <w:r w:rsidRPr="00C21E20">
        <w:rPr>
          <w:rFonts w:ascii="Times New Roman" w:eastAsia="宋体" w:hAnsi="Times New Roman" w:cs="Times New Roman"/>
          <w:b/>
          <w:sz w:val="24"/>
        </w:rPr>
        <w:t>【知识与技能目标】</w:t>
      </w:r>
      <w:r w:rsidRPr="00C21E20">
        <w:rPr>
          <w:rFonts w:ascii="Times New Roman" w:eastAsia="宋体" w:hAnsi="Times New Roman" w:cs="Times New Roman"/>
          <w:bCs/>
          <w:color w:val="000000"/>
          <w:sz w:val="24"/>
        </w:rPr>
        <w:t>理解随机变量及其分布函数的概念及性质，会计算与随机变</w:t>
      </w:r>
      <w:r w:rsidRPr="00C21E20">
        <w:rPr>
          <w:rFonts w:ascii="Times New Roman" w:eastAsia="宋体" w:hAnsi="Times New Roman" w:cs="Times New Roman"/>
          <w:bCs/>
          <w:color w:val="000000"/>
          <w:sz w:val="24"/>
        </w:rPr>
        <w:lastRenderedPageBreak/>
        <w:t>量有关的事件的概率；理解离散型随机变量及其概率分布的概念，掌握两点分布、二项分布、泊松分布及其应用；理解连续型随机变量及其概率密度的概念，掌握概率密度与分布函数之间的关系，掌握均匀分布、指数分布、正态分布及其应用；掌握根据随机变量的概率分布求其简单函数的概率分布的基本方法</w:t>
      </w:r>
      <w:r w:rsidRPr="00C21E20">
        <w:rPr>
          <w:rFonts w:ascii="Times New Roman" w:eastAsia="宋体" w:hAnsi="Times New Roman" w:cs="Times New Roman" w:hint="eastAsia"/>
          <w:bCs/>
          <w:color w:val="000000"/>
          <w:sz w:val="24"/>
        </w:rPr>
        <w:t>.</w:t>
      </w:r>
    </w:p>
    <w:p w14:paraId="50E508D9"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000000"/>
          <w:sz w:val="24"/>
        </w:rPr>
      </w:pPr>
      <w:r w:rsidRPr="00C21E20">
        <w:rPr>
          <w:rFonts w:ascii="Times New Roman" w:eastAsia="宋体" w:hAnsi="Times New Roman" w:cs="Times New Roman"/>
          <w:b/>
          <w:sz w:val="24"/>
        </w:rPr>
        <w:t>【过程与方法目标】</w:t>
      </w:r>
      <w:r w:rsidRPr="00C21E20">
        <w:rPr>
          <w:rFonts w:ascii="Times New Roman" w:eastAsia="宋体" w:hAnsi="Times New Roman" w:cs="Times New Roman"/>
          <w:bCs/>
          <w:color w:val="000000"/>
          <w:sz w:val="24"/>
        </w:rPr>
        <w:t>发展抽象、概括的思维能力，能够灵活运用微积分等知识，解决概率论问题，提高解决实际问题的能力</w:t>
      </w:r>
      <w:r w:rsidRPr="00C21E20">
        <w:rPr>
          <w:rFonts w:ascii="Times New Roman" w:eastAsia="宋体" w:hAnsi="Times New Roman" w:cs="Times New Roman" w:hint="eastAsia"/>
          <w:bCs/>
          <w:color w:val="000000"/>
          <w:sz w:val="24"/>
        </w:rPr>
        <w:t>.</w:t>
      </w:r>
    </w:p>
    <w:p w14:paraId="7D9154AE" w14:textId="77777777" w:rsidR="00C21E20" w:rsidRPr="00C21E20" w:rsidRDefault="00C21E20" w:rsidP="00C21E20">
      <w:pPr>
        <w:spacing w:beforeLines="50" w:before="156" w:afterLines="50" w:after="156" w:line="440" w:lineRule="exact"/>
        <w:ind w:firstLineChars="200" w:firstLine="482"/>
        <w:outlineLvl w:val="1"/>
        <w:rPr>
          <w:rFonts w:ascii="Times New Roman" w:eastAsia="宋体" w:hAnsi="Times New Roman" w:cs="Times New Roman"/>
          <w:bCs/>
          <w:color w:val="000000"/>
          <w:sz w:val="24"/>
        </w:rPr>
      </w:pPr>
      <w:r w:rsidRPr="00C21E20">
        <w:rPr>
          <w:rFonts w:ascii="Times New Roman" w:eastAsia="宋体" w:hAnsi="Times New Roman" w:cs="Times New Roman"/>
          <w:b/>
          <w:sz w:val="24"/>
          <w:szCs w:val="28"/>
        </w:rPr>
        <w:t>【情感态度与价值观目标】</w:t>
      </w:r>
      <w:r w:rsidRPr="00C21E20">
        <w:rPr>
          <w:rFonts w:ascii="Times New Roman" w:eastAsia="宋体" w:hAnsi="Times New Roman" w:cs="Times New Roman"/>
          <w:bCs/>
          <w:color w:val="000000"/>
          <w:sz w:val="24"/>
        </w:rPr>
        <w:t>掌握</w:t>
      </w:r>
      <w:r w:rsidRPr="00C21E20">
        <w:rPr>
          <w:rFonts w:ascii="Times New Roman" w:eastAsia="宋体" w:hAnsi="Times New Roman" w:cs="Times New Roman"/>
          <w:bCs/>
          <w:color w:val="000000"/>
          <w:sz w:val="24"/>
        </w:rPr>
        <w:t>“</w:t>
      </w:r>
      <w:r w:rsidRPr="00C21E20">
        <w:rPr>
          <w:rFonts w:ascii="Times New Roman" w:eastAsia="宋体" w:hAnsi="Times New Roman" w:cs="Times New Roman"/>
          <w:bCs/>
          <w:color w:val="000000"/>
          <w:sz w:val="24"/>
        </w:rPr>
        <w:t>二项分布</w:t>
      </w:r>
      <w:r w:rsidRPr="00C21E20">
        <w:rPr>
          <w:rFonts w:ascii="Times New Roman" w:eastAsia="宋体" w:hAnsi="Times New Roman" w:cs="Times New Roman"/>
          <w:bCs/>
          <w:color w:val="000000"/>
          <w:sz w:val="24"/>
        </w:rPr>
        <w:t>”</w:t>
      </w:r>
      <w:r w:rsidRPr="00C21E20">
        <w:rPr>
          <w:rFonts w:ascii="Times New Roman" w:eastAsia="宋体" w:hAnsi="Times New Roman" w:cs="Times New Roman"/>
          <w:bCs/>
          <w:color w:val="000000"/>
          <w:sz w:val="24"/>
        </w:rPr>
        <w:t>分布列表达式的推导，感受和体验公式的</w:t>
      </w:r>
      <w:r w:rsidRPr="00C21E20">
        <w:rPr>
          <w:rFonts w:ascii="Times New Roman" w:eastAsia="宋体" w:hAnsi="Times New Roman" w:cs="Times New Roman"/>
          <w:bCs/>
          <w:sz w:val="24"/>
        </w:rPr>
        <w:t>简洁美</w:t>
      </w:r>
      <w:r w:rsidRPr="00C21E20">
        <w:rPr>
          <w:rFonts w:ascii="Times New Roman" w:eastAsia="宋体" w:hAnsi="Times New Roman" w:cs="Times New Roman"/>
          <w:bCs/>
          <w:color w:val="000000"/>
          <w:sz w:val="24"/>
        </w:rPr>
        <w:t>、和谐美；理解分工合作案例，进一步体会团结就是力量；理解正态分布的</w:t>
      </w:r>
      <w:r w:rsidRPr="00C21E20">
        <w:rPr>
          <w:rFonts w:ascii="Times New Roman" w:eastAsia="宋体" w:hAnsi="Times New Roman" w:cs="Times New Roman"/>
          <w:bCs/>
          <w:color w:val="000000"/>
          <w:sz w:val="24"/>
        </w:rPr>
        <w:t>3σ</w:t>
      </w:r>
      <w:r w:rsidRPr="00C21E20">
        <w:rPr>
          <w:rFonts w:ascii="Times New Roman" w:eastAsia="宋体" w:hAnsi="Times New Roman" w:cs="Times New Roman"/>
          <w:bCs/>
          <w:color w:val="000000"/>
          <w:sz w:val="24"/>
        </w:rPr>
        <w:t>原则，提高维权意识</w:t>
      </w:r>
      <w:r w:rsidRPr="00C21E20">
        <w:rPr>
          <w:rFonts w:ascii="Times New Roman" w:eastAsia="宋体" w:hAnsi="Times New Roman" w:cs="Times New Roman" w:hint="eastAsia"/>
          <w:bCs/>
          <w:color w:val="000000"/>
          <w:sz w:val="24"/>
        </w:rPr>
        <w:t>.</w:t>
      </w:r>
    </w:p>
    <w:p w14:paraId="4B6A8DF9"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FF0000"/>
          <w:sz w:val="24"/>
        </w:rPr>
      </w:pPr>
      <w:r w:rsidRPr="00C21E20">
        <w:rPr>
          <w:rFonts w:ascii="Times New Roman" w:eastAsia="宋体" w:hAnsi="Times New Roman" w:cs="Times New Roman"/>
          <w:b/>
          <w:sz w:val="24"/>
        </w:rPr>
        <w:t>【学习内容】</w:t>
      </w:r>
    </w:p>
    <w:p w14:paraId="51D55F8D" w14:textId="77777777" w:rsidR="00C21E20" w:rsidRPr="00C21E20" w:rsidRDefault="00C21E20" w:rsidP="00C21E20">
      <w:pPr>
        <w:adjustRightInd w:val="0"/>
        <w:snapToGrid w:val="0"/>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1</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随机变量及其分布函数；</w:t>
      </w:r>
    </w:p>
    <w:p w14:paraId="01BF72C0" w14:textId="77777777" w:rsidR="00C21E20" w:rsidRPr="00C21E20" w:rsidRDefault="00C21E20" w:rsidP="00C21E20">
      <w:pPr>
        <w:adjustRightInd w:val="0"/>
        <w:snapToGrid w:val="0"/>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2</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离散型随机变量；</w:t>
      </w:r>
    </w:p>
    <w:p w14:paraId="28A1F104" w14:textId="77777777" w:rsidR="00C21E20" w:rsidRPr="00C21E20" w:rsidRDefault="00C21E20" w:rsidP="00C21E20">
      <w:pPr>
        <w:adjustRightInd w:val="0"/>
        <w:snapToGrid w:val="0"/>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3</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连续型随机变量；</w:t>
      </w:r>
    </w:p>
    <w:p w14:paraId="67A7E1F2" w14:textId="77777777" w:rsidR="00C21E20" w:rsidRPr="00C21E20" w:rsidRDefault="00C21E20" w:rsidP="00C21E20">
      <w:pPr>
        <w:adjustRightInd w:val="0"/>
        <w:snapToGrid w:val="0"/>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4</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随机变量函数的分布</w:t>
      </w:r>
      <w:r w:rsidRPr="00C21E20">
        <w:rPr>
          <w:rFonts w:ascii="Times New Roman" w:eastAsia="宋体" w:hAnsi="Times New Roman" w:cs="Times New Roman" w:hint="eastAsia"/>
          <w:color w:val="000000"/>
          <w:sz w:val="24"/>
        </w:rPr>
        <w:t>.</w:t>
      </w:r>
    </w:p>
    <w:p w14:paraId="2E93FA4D" w14:textId="77777777" w:rsidR="00C21E20" w:rsidRPr="00C21E20" w:rsidRDefault="00C21E20" w:rsidP="00C21E20">
      <w:pPr>
        <w:spacing w:after="200" w:line="440" w:lineRule="exact"/>
        <w:ind w:firstLineChars="200" w:firstLine="482"/>
        <w:rPr>
          <w:rFonts w:ascii="Times New Roman" w:eastAsia="宋体" w:hAnsi="Times New Roman" w:cs="Times New Roman"/>
          <w:b/>
          <w:sz w:val="24"/>
        </w:rPr>
      </w:pPr>
      <w:r w:rsidRPr="00C21E20">
        <w:rPr>
          <w:rFonts w:ascii="Times New Roman" w:eastAsia="宋体" w:hAnsi="Times New Roman" w:cs="Times New Roman"/>
          <w:b/>
          <w:sz w:val="24"/>
        </w:rPr>
        <w:t>【重点】</w:t>
      </w:r>
    </w:p>
    <w:p w14:paraId="7DF61956" w14:textId="77777777" w:rsidR="00C21E20" w:rsidRPr="00C21E20" w:rsidRDefault="00C21E20" w:rsidP="00C21E20">
      <w:pPr>
        <w:spacing w:after="200" w:line="440" w:lineRule="exact"/>
        <w:ind w:firstLineChars="200" w:firstLine="480"/>
        <w:rPr>
          <w:rFonts w:ascii="Times New Roman" w:eastAsia="宋体" w:hAnsi="Times New Roman" w:cs="Times New Roman"/>
          <w:sz w:val="24"/>
        </w:rPr>
      </w:pPr>
      <w:r w:rsidRPr="00C21E20">
        <w:rPr>
          <w:rFonts w:ascii="Times New Roman" w:eastAsia="宋体" w:hAnsi="Times New Roman" w:cs="Times New Roman"/>
          <w:sz w:val="24"/>
        </w:rPr>
        <w:t>1</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一维</w:t>
      </w:r>
      <w:r w:rsidRPr="00C21E20">
        <w:rPr>
          <w:rFonts w:ascii="Times New Roman" w:eastAsia="宋体" w:hAnsi="Times New Roman" w:cs="Times New Roman"/>
          <w:bCs/>
          <w:color w:val="000000"/>
          <w:sz w:val="24"/>
        </w:rPr>
        <w:t>离散型随机变量的概率分布（分布列，分布函数）；连续型随机变量的概率分布（密度函数、分布函数）；离散型及连续型随机变量概率分布</w:t>
      </w:r>
      <w:r w:rsidRPr="00C21E20">
        <w:rPr>
          <w:rFonts w:ascii="Times New Roman" w:eastAsia="宋体" w:hAnsi="Times New Roman" w:cs="Times New Roman"/>
          <w:bCs/>
          <w:sz w:val="24"/>
        </w:rPr>
        <w:t>的性质、计算和相互关系；</w:t>
      </w:r>
    </w:p>
    <w:p w14:paraId="6536EF60"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2</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常见离散型随机变量的</w:t>
      </w:r>
      <w:r w:rsidRPr="00C21E20">
        <w:rPr>
          <w:rFonts w:ascii="Times New Roman" w:eastAsia="宋体" w:hAnsi="Times New Roman" w:cs="Times New Roman"/>
          <w:bCs/>
          <w:color w:val="000000"/>
          <w:sz w:val="24"/>
        </w:rPr>
        <w:t>概率分布（分布列，分布函数）；常见连续型随机变量的概率分布（密度函数，分布函数）；</w:t>
      </w:r>
    </w:p>
    <w:p w14:paraId="078A2EE3"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3</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随机变量函数的分布</w:t>
      </w:r>
      <w:r w:rsidRPr="00C21E20">
        <w:rPr>
          <w:rFonts w:ascii="Times New Roman" w:eastAsia="宋体" w:hAnsi="Times New Roman" w:cs="Times New Roman" w:hint="eastAsia"/>
          <w:color w:val="000000"/>
          <w:sz w:val="24"/>
        </w:rPr>
        <w:t>.</w:t>
      </w:r>
    </w:p>
    <w:p w14:paraId="5B357B5A" w14:textId="77777777" w:rsidR="00C21E20" w:rsidRPr="00C21E20" w:rsidRDefault="00C21E20" w:rsidP="00C21E20">
      <w:pPr>
        <w:spacing w:after="200" w:line="440" w:lineRule="exact"/>
        <w:ind w:firstLineChars="200" w:firstLine="482"/>
        <w:rPr>
          <w:rFonts w:ascii="Times New Roman" w:eastAsia="宋体" w:hAnsi="Times New Roman" w:cs="Times New Roman"/>
          <w:b/>
          <w:sz w:val="24"/>
        </w:rPr>
      </w:pPr>
      <w:r w:rsidRPr="00C21E20">
        <w:rPr>
          <w:rFonts w:ascii="Times New Roman" w:eastAsia="宋体" w:hAnsi="Times New Roman" w:cs="Times New Roman"/>
          <w:b/>
          <w:sz w:val="24"/>
        </w:rPr>
        <w:t>【难点】</w:t>
      </w:r>
    </w:p>
    <w:p w14:paraId="2DCA1113"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1</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用随机变量表达随机事件进而计算随机事件的概率；</w:t>
      </w:r>
    </w:p>
    <w:p w14:paraId="3BFDD687"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2</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由给出的试验确定随机变量的分布；</w:t>
      </w:r>
    </w:p>
    <w:p w14:paraId="141BBD9B"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3</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一些常用分布及随机变量函数的分布</w:t>
      </w:r>
      <w:r w:rsidRPr="00C21E20">
        <w:rPr>
          <w:rFonts w:ascii="Times New Roman" w:eastAsia="宋体" w:hAnsi="Times New Roman" w:cs="Times New Roman" w:hint="eastAsia"/>
          <w:color w:val="000000"/>
          <w:sz w:val="24"/>
        </w:rPr>
        <w:t>.</w:t>
      </w:r>
    </w:p>
    <w:p w14:paraId="07459E81" w14:textId="77777777" w:rsidR="00C21E20" w:rsidRPr="00C21E20" w:rsidRDefault="00C21E20" w:rsidP="00C21E20">
      <w:pPr>
        <w:spacing w:after="200" w:line="440" w:lineRule="exact"/>
        <w:ind w:firstLineChars="200" w:firstLine="482"/>
        <w:rPr>
          <w:rFonts w:ascii="Times New Roman" w:eastAsia="宋体" w:hAnsi="Times New Roman" w:cs="Times New Roman"/>
          <w:color w:val="FF0000"/>
          <w:sz w:val="24"/>
        </w:rPr>
      </w:pPr>
      <w:r w:rsidRPr="00C21E20">
        <w:rPr>
          <w:rFonts w:ascii="Times New Roman" w:eastAsia="宋体" w:hAnsi="Times New Roman" w:cs="Times New Roman"/>
          <w:b/>
          <w:bCs/>
          <w:sz w:val="24"/>
        </w:rPr>
        <w:lastRenderedPageBreak/>
        <w:t>【教学方法】</w:t>
      </w:r>
    </w:p>
    <w:p w14:paraId="14DE8160" w14:textId="77777777" w:rsidR="00C21E20" w:rsidRPr="00C21E20" w:rsidRDefault="00C21E20" w:rsidP="00C21E20">
      <w:pPr>
        <w:spacing w:after="200" w:line="440" w:lineRule="exact"/>
        <w:ind w:firstLine="482"/>
        <w:rPr>
          <w:rFonts w:ascii="Times New Roman" w:eastAsia="宋体" w:hAnsi="Times New Roman" w:cs="Times New Roman"/>
          <w:sz w:val="24"/>
          <w:szCs w:val="24"/>
        </w:rPr>
      </w:pP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3715F06E" w14:textId="77777777" w:rsidR="00C21E20" w:rsidRPr="00C21E20" w:rsidRDefault="00C21E20" w:rsidP="00C21E20">
      <w:pPr>
        <w:spacing w:after="200" w:line="440" w:lineRule="exact"/>
        <w:ind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采用启发式教学方法进行授课</w:t>
      </w:r>
      <w:r w:rsidRPr="00C21E20">
        <w:rPr>
          <w:rFonts w:ascii="Times New Roman" w:eastAsia="宋体" w:hAnsi="Times New Roman" w:cs="Times New Roman"/>
          <w:sz w:val="24"/>
          <w:szCs w:val="24"/>
        </w:rPr>
        <w:t>，培养学生发现问题、分析问题、解决问题的能力；</w:t>
      </w:r>
    </w:p>
    <w:p w14:paraId="5FB57A69" w14:textId="77777777" w:rsidR="00C21E20" w:rsidRPr="00C21E20" w:rsidRDefault="00C21E20" w:rsidP="00C21E20">
      <w:pPr>
        <w:spacing w:after="200"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3</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采用以教师讲授为主，课堂练习、讨论为辅的讲练结合授课方式，</w:t>
      </w:r>
      <w:r w:rsidRPr="00C21E20">
        <w:rPr>
          <w:rFonts w:ascii="Times New Roman" w:eastAsia="宋体" w:hAnsi="Times New Roman" w:cs="Times New Roman"/>
          <w:sz w:val="24"/>
          <w:szCs w:val="24"/>
        </w:rPr>
        <w:t>强化学生数学计算能力和应用能力的培养</w:t>
      </w:r>
      <w:r w:rsidRPr="00C21E20">
        <w:rPr>
          <w:rFonts w:ascii="Times New Roman" w:eastAsia="宋体" w:hAnsi="Times New Roman" w:cs="Times New Roman" w:hint="eastAsia"/>
          <w:sz w:val="24"/>
          <w:szCs w:val="24"/>
        </w:rPr>
        <w:t>.</w:t>
      </w:r>
    </w:p>
    <w:p w14:paraId="5025EECD"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FF0000"/>
          <w:sz w:val="24"/>
        </w:rPr>
      </w:pPr>
      <w:r w:rsidRPr="00C21E20">
        <w:rPr>
          <w:rFonts w:ascii="Times New Roman" w:eastAsia="宋体" w:hAnsi="Times New Roman" w:cs="Times New Roman"/>
          <w:b/>
          <w:sz w:val="24"/>
        </w:rPr>
        <w:t>【复习思考】</w:t>
      </w:r>
    </w:p>
    <w:p w14:paraId="5A471473" w14:textId="77777777" w:rsidR="00C21E20" w:rsidRPr="00C21E20" w:rsidRDefault="00C21E20" w:rsidP="00C21E20">
      <w:pPr>
        <w:spacing w:after="200" w:line="440" w:lineRule="exact"/>
        <w:ind w:firstLineChars="200" w:firstLine="480"/>
        <w:rPr>
          <w:rFonts w:ascii="Times New Roman" w:eastAsia="宋体" w:hAnsi="Times New Roman" w:cs="Times New Roman"/>
          <w:sz w:val="24"/>
        </w:rPr>
      </w:pPr>
      <w:r w:rsidRPr="00C21E20">
        <w:rPr>
          <w:rFonts w:ascii="Times New Roman" w:eastAsia="宋体" w:hAnsi="Times New Roman" w:cs="Times New Roman"/>
          <w:sz w:val="24"/>
        </w:rPr>
        <w:t>1</w:t>
      </w:r>
      <w:r w:rsidRPr="00C21E20">
        <w:rPr>
          <w:rFonts w:ascii="Times New Roman" w:eastAsia="宋体" w:hAnsi="Times New Roman" w:cs="Times New Roman"/>
          <w:sz w:val="24"/>
        </w:rPr>
        <w:t>．利用随机变量的分布函数能解决哪些问题？</w:t>
      </w:r>
    </w:p>
    <w:p w14:paraId="73E861C8" w14:textId="77777777" w:rsidR="00C21E20" w:rsidRPr="00C21E20" w:rsidRDefault="00C21E20" w:rsidP="00C21E20">
      <w:pPr>
        <w:spacing w:after="200" w:line="440" w:lineRule="exact"/>
        <w:ind w:firstLineChars="200" w:firstLine="480"/>
        <w:rPr>
          <w:rFonts w:ascii="Times New Roman" w:eastAsia="宋体" w:hAnsi="Times New Roman" w:cs="Times New Roman"/>
          <w:sz w:val="24"/>
        </w:rPr>
      </w:pPr>
      <w:r w:rsidRPr="00C21E20">
        <w:rPr>
          <w:rFonts w:ascii="Times New Roman" w:eastAsia="宋体" w:hAnsi="Times New Roman" w:cs="Times New Roman"/>
          <w:sz w:val="24"/>
        </w:rPr>
        <w:t>2</w:t>
      </w:r>
      <w:r w:rsidRPr="00C21E20">
        <w:rPr>
          <w:rFonts w:ascii="Times New Roman" w:eastAsia="宋体" w:hAnsi="Times New Roman" w:cs="Times New Roman"/>
          <w:sz w:val="24"/>
        </w:rPr>
        <w:t>．离散型随机变量概率分布列的求法；</w:t>
      </w:r>
    </w:p>
    <w:p w14:paraId="34FC25FA" w14:textId="77777777" w:rsidR="00C21E20" w:rsidRPr="00C21E20" w:rsidRDefault="00C21E20" w:rsidP="00C21E20">
      <w:pPr>
        <w:spacing w:after="200" w:line="440" w:lineRule="exact"/>
        <w:ind w:firstLineChars="200" w:firstLine="480"/>
        <w:rPr>
          <w:rFonts w:ascii="Times New Roman" w:eastAsia="宋体" w:hAnsi="Times New Roman" w:cs="Times New Roman"/>
          <w:sz w:val="24"/>
        </w:rPr>
      </w:pPr>
      <w:r w:rsidRPr="00C21E20">
        <w:rPr>
          <w:rFonts w:ascii="Times New Roman" w:eastAsia="宋体" w:hAnsi="Times New Roman" w:cs="Times New Roman"/>
          <w:sz w:val="24"/>
        </w:rPr>
        <w:t>3</w:t>
      </w:r>
      <w:r w:rsidRPr="00C21E20">
        <w:rPr>
          <w:rFonts w:ascii="Times New Roman" w:eastAsia="宋体" w:hAnsi="Times New Roman" w:cs="Times New Roman"/>
          <w:sz w:val="24"/>
        </w:rPr>
        <w:t>．商店的进货量问题；</w:t>
      </w:r>
    </w:p>
    <w:p w14:paraId="4849A616" w14:textId="77777777" w:rsidR="00C21E20" w:rsidRPr="00C21E20" w:rsidRDefault="00C21E20" w:rsidP="00C21E20">
      <w:pPr>
        <w:spacing w:after="200" w:line="440" w:lineRule="exact"/>
        <w:ind w:firstLineChars="200" w:firstLine="480"/>
        <w:rPr>
          <w:rFonts w:ascii="Times New Roman" w:eastAsia="宋体" w:hAnsi="Times New Roman" w:cs="Times New Roman"/>
          <w:sz w:val="24"/>
        </w:rPr>
      </w:pPr>
      <w:r w:rsidRPr="00C21E20">
        <w:rPr>
          <w:rFonts w:ascii="Times New Roman" w:eastAsia="宋体" w:hAnsi="Times New Roman" w:cs="Times New Roman"/>
          <w:sz w:val="24"/>
        </w:rPr>
        <w:t>4</w:t>
      </w:r>
      <w:r w:rsidRPr="00C21E20">
        <w:rPr>
          <w:rFonts w:ascii="Times New Roman" w:eastAsia="宋体" w:hAnsi="Times New Roman" w:cs="Times New Roman"/>
          <w:sz w:val="24"/>
        </w:rPr>
        <w:t>．连续型随机变量概率密度函数与分布函数的关系；</w:t>
      </w:r>
    </w:p>
    <w:p w14:paraId="4C7571A8" w14:textId="77777777" w:rsidR="00C21E20" w:rsidRPr="00C21E20" w:rsidRDefault="00C21E20" w:rsidP="00C21E20">
      <w:pPr>
        <w:spacing w:after="200" w:line="440" w:lineRule="exact"/>
        <w:ind w:firstLineChars="200" w:firstLine="480"/>
        <w:rPr>
          <w:rFonts w:ascii="Times New Roman" w:eastAsia="宋体" w:hAnsi="Times New Roman" w:cs="Times New Roman"/>
          <w:sz w:val="24"/>
        </w:rPr>
      </w:pPr>
      <w:r w:rsidRPr="00C21E20">
        <w:rPr>
          <w:rFonts w:ascii="Times New Roman" w:eastAsia="宋体" w:hAnsi="Times New Roman" w:cs="Times New Roman"/>
          <w:sz w:val="24"/>
        </w:rPr>
        <w:t>5</w:t>
      </w:r>
      <w:r w:rsidRPr="00C21E20">
        <w:rPr>
          <w:rFonts w:ascii="Times New Roman" w:eastAsia="宋体" w:hAnsi="Times New Roman" w:cs="Times New Roman"/>
          <w:sz w:val="24"/>
        </w:rPr>
        <w:t>．如何求连续型随机变量函数的分布？</w:t>
      </w:r>
    </w:p>
    <w:p w14:paraId="509627CD" w14:textId="77777777" w:rsidR="00C21E20" w:rsidRPr="00C21E20" w:rsidRDefault="00C21E20" w:rsidP="00C21E20">
      <w:pPr>
        <w:spacing w:beforeLines="50" w:before="156" w:afterLines="50" w:after="156" w:line="440" w:lineRule="exact"/>
        <w:jc w:val="center"/>
        <w:rPr>
          <w:rFonts w:ascii="Times New Roman" w:eastAsia="仿宋" w:hAnsi="Times New Roman" w:cs="Times New Roman"/>
          <w:b/>
          <w:sz w:val="28"/>
          <w:szCs w:val="28"/>
        </w:rPr>
      </w:pPr>
      <w:r w:rsidRPr="00C21E20">
        <w:rPr>
          <w:rFonts w:ascii="Times New Roman" w:eastAsia="黑体" w:hAnsi="Times New Roman" w:cs="Times New Roman"/>
          <w:b/>
          <w:bCs/>
          <w:sz w:val="28"/>
          <w:szCs w:val="28"/>
        </w:rPr>
        <w:t>第三章</w:t>
      </w:r>
      <w:r w:rsidRPr="00C21E20">
        <w:rPr>
          <w:rFonts w:ascii="Times New Roman" w:eastAsia="黑体" w:hAnsi="Times New Roman" w:cs="Times New Roman"/>
          <w:b/>
          <w:bCs/>
          <w:sz w:val="28"/>
          <w:szCs w:val="28"/>
        </w:rPr>
        <w:t xml:space="preserve">  </w:t>
      </w:r>
      <w:r w:rsidRPr="00C21E20">
        <w:rPr>
          <w:rFonts w:ascii="Times New Roman" w:eastAsia="黑体" w:hAnsi="Times New Roman" w:cs="Times New Roman"/>
          <w:b/>
          <w:bCs/>
          <w:sz w:val="28"/>
          <w:szCs w:val="28"/>
        </w:rPr>
        <w:t>多维随机变量及其分布</w:t>
      </w:r>
    </w:p>
    <w:p w14:paraId="2B81C149"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000000"/>
          <w:sz w:val="24"/>
        </w:rPr>
      </w:pPr>
      <w:r w:rsidRPr="00C21E20">
        <w:rPr>
          <w:rFonts w:ascii="Times New Roman" w:eastAsia="宋体" w:hAnsi="Times New Roman" w:cs="Times New Roman"/>
          <w:b/>
          <w:sz w:val="24"/>
        </w:rPr>
        <w:t>【知识与技能目标】</w:t>
      </w:r>
      <w:r w:rsidRPr="00C21E20">
        <w:rPr>
          <w:rFonts w:ascii="Times New Roman" w:eastAsia="宋体" w:hAnsi="Times New Roman" w:cs="Times New Roman"/>
          <w:bCs/>
          <w:color w:val="000000"/>
          <w:sz w:val="24"/>
        </w:rPr>
        <w:t>理解二维随机变量联合概率分布及其性质，会利用二维随机变量联合概率分布计算有关的概率；理解二维随机变量的边缘分布，会计算边缘分布；了解条件分布的概念；理解随机变量的独立性，掌握判断二维随机变量独立性的条件；了解二维正态分布，掌握二维均匀分布，会计算与之有关的概率；</w:t>
      </w:r>
      <w:proofErr w:type="gramStart"/>
      <w:r w:rsidRPr="00C21E20">
        <w:rPr>
          <w:rFonts w:ascii="Times New Roman" w:eastAsia="宋体" w:hAnsi="Times New Roman" w:cs="Times New Roman"/>
          <w:bCs/>
          <w:color w:val="000000"/>
          <w:sz w:val="24"/>
        </w:rPr>
        <w:t>会求两个</w:t>
      </w:r>
      <w:proofErr w:type="gramEnd"/>
      <w:r w:rsidRPr="00C21E20">
        <w:rPr>
          <w:rFonts w:ascii="Times New Roman" w:eastAsia="宋体" w:hAnsi="Times New Roman" w:cs="Times New Roman"/>
          <w:bCs/>
          <w:color w:val="000000"/>
          <w:sz w:val="24"/>
        </w:rPr>
        <w:t>随机变量的简单函数的概率分布</w:t>
      </w:r>
      <w:r w:rsidRPr="00C21E20">
        <w:rPr>
          <w:rFonts w:ascii="Times New Roman" w:eastAsia="宋体" w:hAnsi="Times New Roman" w:cs="Times New Roman" w:hint="eastAsia"/>
          <w:bCs/>
          <w:color w:val="000000"/>
          <w:sz w:val="24"/>
        </w:rPr>
        <w:t>.</w:t>
      </w:r>
    </w:p>
    <w:p w14:paraId="2BE0D0E2"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000000"/>
          <w:sz w:val="24"/>
        </w:rPr>
      </w:pPr>
      <w:r w:rsidRPr="00C21E20">
        <w:rPr>
          <w:rFonts w:ascii="Times New Roman" w:eastAsia="宋体" w:hAnsi="Times New Roman" w:cs="Times New Roman"/>
          <w:b/>
          <w:sz w:val="24"/>
        </w:rPr>
        <w:t>【过程与方法目标】</w:t>
      </w:r>
      <w:r w:rsidRPr="00C21E20">
        <w:rPr>
          <w:rFonts w:ascii="Times New Roman" w:eastAsia="宋体" w:hAnsi="Times New Roman" w:cs="Times New Roman"/>
          <w:bCs/>
          <w:color w:val="000000"/>
          <w:sz w:val="24"/>
        </w:rPr>
        <w:t>发展类比归纳、联系与转化的思维能力，增强借助微积分等知识解决概率论问题，提高解决实际问题的能力</w:t>
      </w:r>
      <w:r w:rsidRPr="00C21E20">
        <w:rPr>
          <w:rFonts w:ascii="Times New Roman" w:eastAsia="宋体" w:hAnsi="Times New Roman" w:cs="Times New Roman" w:hint="eastAsia"/>
          <w:bCs/>
          <w:color w:val="000000"/>
          <w:sz w:val="24"/>
        </w:rPr>
        <w:t>.</w:t>
      </w:r>
    </w:p>
    <w:p w14:paraId="6ABA2CE4" w14:textId="77777777" w:rsidR="00C21E20" w:rsidRPr="00C21E20" w:rsidRDefault="00C21E20" w:rsidP="00C21E20">
      <w:pPr>
        <w:spacing w:beforeLines="50" w:before="156" w:afterLines="50" w:after="156" w:line="440" w:lineRule="exact"/>
        <w:ind w:firstLineChars="200" w:firstLine="482"/>
        <w:outlineLvl w:val="1"/>
        <w:rPr>
          <w:rFonts w:ascii="Times New Roman" w:eastAsia="宋体" w:hAnsi="Times New Roman" w:cs="Times New Roman"/>
          <w:sz w:val="28"/>
          <w:szCs w:val="28"/>
        </w:rPr>
      </w:pPr>
      <w:r w:rsidRPr="00C21E20">
        <w:rPr>
          <w:rFonts w:ascii="Times New Roman" w:eastAsia="宋体" w:hAnsi="Times New Roman" w:cs="Times New Roman"/>
          <w:b/>
          <w:sz w:val="24"/>
          <w:szCs w:val="28"/>
        </w:rPr>
        <w:t>【情感态度与价值观目标】</w:t>
      </w:r>
      <w:r w:rsidRPr="00C21E20">
        <w:rPr>
          <w:rFonts w:ascii="Times New Roman" w:eastAsia="宋体" w:hAnsi="Times New Roman" w:cs="Times New Roman"/>
          <w:bCs/>
          <w:color w:val="000000"/>
          <w:sz w:val="24"/>
        </w:rPr>
        <w:t>掌握联合分布和边缘分布的辩证关系，深刻理解整体与部分的哲学原理，树立正确的大局观、整体观</w:t>
      </w:r>
      <w:r w:rsidRPr="00C21E20">
        <w:rPr>
          <w:rFonts w:ascii="Times New Roman" w:eastAsia="宋体" w:hAnsi="Times New Roman" w:cs="Times New Roman" w:hint="eastAsia"/>
          <w:bCs/>
          <w:color w:val="000000"/>
          <w:sz w:val="24"/>
        </w:rPr>
        <w:t>.</w:t>
      </w:r>
    </w:p>
    <w:p w14:paraId="035908EA"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FF0000"/>
          <w:sz w:val="24"/>
        </w:rPr>
      </w:pPr>
      <w:r w:rsidRPr="00C21E20">
        <w:rPr>
          <w:rFonts w:ascii="Times New Roman" w:eastAsia="宋体" w:hAnsi="Times New Roman" w:cs="Times New Roman"/>
          <w:b/>
          <w:sz w:val="24"/>
        </w:rPr>
        <w:t>【学习内容】</w:t>
      </w:r>
    </w:p>
    <w:p w14:paraId="09B7A392" w14:textId="77777777" w:rsidR="00C21E20" w:rsidRPr="00C21E20" w:rsidRDefault="00C21E20" w:rsidP="00C21E20">
      <w:pPr>
        <w:adjustRightInd w:val="0"/>
        <w:snapToGrid w:val="0"/>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1</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二维随机变量；</w:t>
      </w:r>
    </w:p>
    <w:p w14:paraId="650AD21B" w14:textId="77777777" w:rsidR="00C21E20" w:rsidRPr="00C21E20" w:rsidRDefault="00C21E20" w:rsidP="00C21E20">
      <w:pPr>
        <w:adjustRightInd w:val="0"/>
        <w:snapToGrid w:val="0"/>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lastRenderedPageBreak/>
        <w:t>2</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边缘分布；</w:t>
      </w:r>
    </w:p>
    <w:p w14:paraId="6B2B4D3E" w14:textId="77777777" w:rsidR="00C21E20" w:rsidRPr="00C21E20" w:rsidRDefault="00C21E20" w:rsidP="00C21E20">
      <w:pPr>
        <w:adjustRightInd w:val="0"/>
        <w:snapToGrid w:val="0"/>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3</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条件分布；</w:t>
      </w:r>
    </w:p>
    <w:p w14:paraId="773F31E4" w14:textId="77777777" w:rsidR="00C21E20" w:rsidRPr="00C21E20" w:rsidRDefault="00C21E20" w:rsidP="00C21E20">
      <w:pPr>
        <w:adjustRightInd w:val="0"/>
        <w:snapToGrid w:val="0"/>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4</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随机变量的独立性；</w:t>
      </w:r>
    </w:p>
    <w:p w14:paraId="4E69E719" w14:textId="77777777" w:rsidR="00C21E20" w:rsidRPr="00C21E20" w:rsidRDefault="00C21E20" w:rsidP="00C21E20">
      <w:pPr>
        <w:adjustRightInd w:val="0"/>
        <w:snapToGrid w:val="0"/>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5</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多维随机变量函数的分布</w:t>
      </w:r>
      <w:r w:rsidRPr="00C21E20">
        <w:rPr>
          <w:rFonts w:ascii="Times New Roman" w:eastAsia="宋体" w:hAnsi="Times New Roman" w:cs="Times New Roman" w:hint="eastAsia"/>
          <w:color w:val="000000"/>
          <w:sz w:val="24"/>
        </w:rPr>
        <w:t>.</w:t>
      </w:r>
    </w:p>
    <w:p w14:paraId="4FD379E1" w14:textId="77777777" w:rsidR="00C21E20" w:rsidRPr="00C21E20" w:rsidRDefault="00C21E20" w:rsidP="00C21E20">
      <w:pPr>
        <w:adjustRightInd w:val="0"/>
        <w:snapToGrid w:val="0"/>
        <w:spacing w:after="200" w:line="440" w:lineRule="exact"/>
        <w:ind w:firstLineChars="200" w:firstLine="482"/>
        <w:rPr>
          <w:rFonts w:ascii="Times New Roman" w:eastAsia="宋体" w:hAnsi="Times New Roman" w:cs="Times New Roman"/>
          <w:b/>
          <w:sz w:val="24"/>
        </w:rPr>
      </w:pPr>
      <w:r w:rsidRPr="00C21E20">
        <w:rPr>
          <w:rFonts w:ascii="Times New Roman" w:eastAsia="宋体" w:hAnsi="Times New Roman" w:cs="Times New Roman"/>
          <w:b/>
          <w:sz w:val="24"/>
        </w:rPr>
        <w:t>【重点】</w:t>
      </w:r>
    </w:p>
    <w:p w14:paraId="7EF797BB"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1</w:t>
      </w:r>
      <w:r w:rsidRPr="00C21E20">
        <w:rPr>
          <w:rFonts w:ascii="Times New Roman" w:eastAsia="宋体" w:hAnsi="Times New Roman" w:cs="Times New Roman"/>
          <w:sz w:val="24"/>
        </w:rPr>
        <w:t>．</w:t>
      </w:r>
      <w:r w:rsidRPr="00C21E20">
        <w:rPr>
          <w:rFonts w:ascii="Times New Roman" w:eastAsia="宋体" w:hAnsi="Times New Roman" w:cs="Times New Roman"/>
          <w:bCs/>
          <w:color w:val="000000"/>
          <w:sz w:val="24"/>
        </w:rPr>
        <w:t>二维随机变量联合分布与边缘分布的关系，边缘分布的计算；</w:t>
      </w:r>
    </w:p>
    <w:p w14:paraId="7B84EFD2" w14:textId="77777777" w:rsidR="00C21E20" w:rsidRPr="00C21E20" w:rsidRDefault="00C21E20" w:rsidP="00C21E20">
      <w:pPr>
        <w:spacing w:after="200" w:line="440" w:lineRule="exact"/>
        <w:ind w:firstLineChars="200" w:firstLine="480"/>
        <w:rPr>
          <w:rFonts w:ascii="Times New Roman" w:eastAsia="宋体" w:hAnsi="Times New Roman" w:cs="Times New Roman"/>
          <w:bCs/>
          <w:color w:val="000000"/>
          <w:sz w:val="24"/>
        </w:rPr>
      </w:pPr>
      <w:r w:rsidRPr="00C21E20">
        <w:rPr>
          <w:rFonts w:ascii="Times New Roman" w:eastAsia="宋体" w:hAnsi="Times New Roman" w:cs="Times New Roman"/>
          <w:sz w:val="24"/>
        </w:rPr>
        <w:t>2</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判断两个</w:t>
      </w:r>
      <w:r w:rsidRPr="00C21E20">
        <w:rPr>
          <w:rFonts w:ascii="Times New Roman" w:eastAsia="宋体" w:hAnsi="Times New Roman" w:cs="Times New Roman"/>
          <w:bCs/>
          <w:color w:val="000000"/>
          <w:sz w:val="24"/>
        </w:rPr>
        <w:t>随机变量的独立性；</w:t>
      </w:r>
    </w:p>
    <w:p w14:paraId="35F1341D"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3</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二维均匀分布及两个随机变量简单函数的分布</w:t>
      </w:r>
      <w:r w:rsidRPr="00C21E20">
        <w:rPr>
          <w:rFonts w:ascii="Times New Roman" w:eastAsia="宋体" w:hAnsi="Times New Roman" w:cs="Times New Roman" w:hint="eastAsia"/>
          <w:color w:val="000000"/>
          <w:sz w:val="24"/>
        </w:rPr>
        <w:t>.</w:t>
      </w:r>
    </w:p>
    <w:p w14:paraId="01691AE0" w14:textId="77777777" w:rsidR="00C21E20" w:rsidRPr="00C21E20" w:rsidRDefault="00C21E20" w:rsidP="00C21E20">
      <w:pPr>
        <w:spacing w:after="200" w:line="440" w:lineRule="exact"/>
        <w:ind w:firstLineChars="200" w:firstLine="482"/>
        <w:rPr>
          <w:rFonts w:ascii="Times New Roman" w:eastAsia="宋体" w:hAnsi="Times New Roman" w:cs="Times New Roman"/>
          <w:b/>
          <w:sz w:val="24"/>
        </w:rPr>
      </w:pPr>
      <w:r w:rsidRPr="00C21E20">
        <w:rPr>
          <w:rFonts w:ascii="Times New Roman" w:eastAsia="宋体" w:hAnsi="Times New Roman" w:cs="Times New Roman"/>
          <w:b/>
          <w:sz w:val="24"/>
        </w:rPr>
        <w:t>【难点】</w:t>
      </w:r>
    </w:p>
    <w:p w14:paraId="3838AACA"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1</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由联合概率密度求边缘概率密度；</w:t>
      </w:r>
    </w:p>
    <w:p w14:paraId="70FCCFB0"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2</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求二维连续型随机变量函数的概率密度</w:t>
      </w:r>
      <w:r w:rsidRPr="00C21E20">
        <w:rPr>
          <w:rFonts w:ascii="Times New Roman" w:eastAsia="宋体" w:hAnsi="Times New Roman" w:cs="Times New Roman" w:hint="eastAsia"/>
          <w:color w:val="000000"/>
          <w:sz w:val="24"/>
        </w:rPr>
        <w:t>.</w:t>
      </w:r>
    </w:p>
    <w:p w14:paraId="2DB8831B" w14:textId="77777777" w:rsidR="00C21E20" w:rsidRPr="00C21E20" w:rsidRDefault="00C21E20" w:rsidP="00C21E20">
      <w:pPr>
        <w:spacing w:after="200" w:line="440" w:lineRule="exact"/>
        <w:ind w:firstLineChars="200" w:firstLine="482"/>
        <w:rPr>
          <w:rFonts w:ascii="Times New Roman" w:eastAsia="宋体" w:hAnsi="Times New Roman" w:cs="Times New Roman"/>
          <w:color w:val="FF0000"/>
          <w:sz w:val="24"/>
        </w:rPr>
      </w:pPr>
      <w:r w:rsidRPr="00C21E20">
        <w:rPr>
          <w:rFonts w:ascii="Times New Roman" w:eastAsia="宋体" w:hAnsi="Times New Roman" w:cs="Times New Roman"/>
          <w:b/>
          <w:bCs/>
          <w:sz w:val="24"/>
        </w:rPr>
        <w:t>【教学方法】</w:t>
      </w:r>
    </w:p>
    <w:p w14:paraId="1A8A7981" w14:textId="77777777" w:rsidR="00C21E20" w:rsidRPr="00C21E20" w:rsidRDefault="00C21E20" w:rsidP="00C21E20">
      <w:pPr>
        <w:spacing w:after="200" w:line="440" w:lineRule="exact"/>
        <w:ind w:firstLine="482"/>
        <w:rPr>
          <w:rFonts w:ascii="Times New Roman" w:eastAsia="宋体" w:hAnsi="Times New Roman" w:cs="Times New Roman"/>
          <w:sz w:val="24"/>
          <w:szCs w:val="24"/>
        </w:rPr>
      </w:pP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4D640368" w14:textId="77777777" w:rsidR="00C21E20" w:rsidRPr="00C21E20" w:rsidRDefault="00C21E20" w:rsidP="00C21E20">
      <w:pPr>
        <w:spacing w:after="200" w:line="440" w:lineRule="exact"/>
        <w:ind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采用启发式教学方法进行授课</w:t>
      </w:r>
      <w:r w:rsidRPr="00C21E20">
        <w:rPr>
          <w:rFonts w:ascii="Times New Roman" w:eastAsia="宋体" w:hAnsi="Times New Roman" w:cs="Times New Roman"/>
          <w:sz w:val="24"/>
          <w:szCs w:val="24"/>
        </w:rPr>
        <w:t>，培养学生发现问题、分析问题、解决问题的能力；</w:t>
      </w:r>
    </w:p>
    <w:p w14:paraId="10E399CE" w14:textId="77777777" w:rsidR="00C21E20" w:rsidRPr="00C21E20" w:rsidRDefault="00C21E20" w:rsidP="00C21E20">
      <w:pPr>
        <w:spacing w:after="200"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3</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采用以教师讲授为主，课堂练习、讨论为辅的讲练结合授课方式，</w:t>
      </w:r>
      <w:r w:rsidRPr="00C21E20">
        <w:rPr>
          <w:rFonts w:ascii="Times New Roman" w:eastAsia="宋体" w:hAnsi="Times New Roman" w:cs="Times New Roman"/>
          <w:sz w:val="24"/>
          <w:szCs w:val="24"/>
        </w:rPr>
        <w:t>强化学生数学计算能力和应用能力的培养</w:t>
      </w:r>
      <w:r w:rsidRPr="00C21E20">
        <w:rPr>
          <w:rFonts w:ascii="Times New Roman" w:eastAsia="宋体" w:hAnsi="Times New Roman" w:cs="Times New Roman" w:hint="eastAsia"/>
          <w:sz w:val="24"/>
          <w:szCs w:val="24"/>
        </w:rPr>
        <w:t>.</w:t>
      </w:r>
    </w:p>
    <w:p w14:paraId="06903254"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FF0000"/>
          <w:sz w:val="24"/>
        </w:rPr>
      </w:pPr>
      <w:r w:rsidRPr="00C21E20">
        <w:rPr>
          <w:rFonts w:ascii="Times New Roman" w:eastAsia="宋体" w:hAnsi="Times New Roman" w:cs="Times New Roman"/>
          <w:b/>
          <w:sz w:val="24"/>
        </w:rPr>
        <w:t>【复习思考】</w:t>
      </w:r>
    </w:p>
    <w:p w14:paraId="64E786B9" w14:textId="77777777" w:rsidR="00C21E20" w:rsidRPr="00C21E20" w:rsidRDefault="00C21E20" w:rsidP="00C21E20">
      <w:pPr>
        <w:spacing w:after="200" w:line="440" w:lineRule="exact"/>
        <w:ind w:firstLineChars="200" w:firstLine="480"/>
        <w:rPr>
          <w:rFonts w:ascii="Times New Roman" w:eastAsia="宋体" w:hAnsi="Times New Roman" w:cs="Times New Roman"/>
          <w:sz w:val="24"/>
        </w:rPr>
      </w:pPr>
      <w:r w:rsidRPr="00C21E20">
        <w:rPr>
          <w:rFonts w:ascii="Times New Roman" w:eastAsia="宋体" w:hAnsi="Times New Roman" w:cs="Times New Roman"/>
          <w:sz w:val="24"/>
        </w:rPr>
        <w:t>1</w:t>
      </w:r>
      <w:r w:rsidRPr="00C21E20">
        <w:rPr>
          <w:rFonts w:ascii="Times New Roman" w:eastAsia="宋体" w:hAnsi="Times New Roman" w:cs="Times New Roman"/>
          <w:sz w:val="24"/>
        </w:rPr>
        <w:t>．二维随机变量分布函数的性质有哪些？</w:t>
      </w:r>
    </w:p>
    <w:p w14:paraId="2128489E" w14:textId="77777777" w:rsidR="00C21E20" w:rsidRPr="00C21E20" w:rsidRDefault="00C21E20" w:rsidP="00C21E20">
      <w:pPr>
        <w:spacing w:after="200" w:line="440" w:lineRule="exact"/>
        <w:ind w:firstLineChars="200" w:firstLine="480"/>
        <w:rPr>
          <w:rFonts w:ascii="Times New Roman" w:eastAsia="宋体" w:hAnsi="Times New Roman" w:cs="Times New Roman"/>
          <w:sz w:val="24"/>
        </w:rPr>
      </w:pPr>
      <w:r w:rsidRPr="00C21E20">
        <w:rPr>
          <w:rFonts w:ascii="Times New Roman" w:eastAsia="宋体" w:hAnsi="Times New Roman" w:cs="Times New Roman"/>
          <w:sz w:val="24"/>
        </w:rPr>
        <w:t>2</w:t>
      </w:r>
      <w:r w:rsidRPr="00C21E20">
        <w:rPr>
          <w:rFonts w:ascii="Times New Roman" w:eastAsia="宋体" w:hAnsi="Times New Roman" w:cs="Times New Roman"/>
          <w:sz w:val="24"/>
        </w:rPr>
        <w:t>．怎么由联合分布求边缘分布（包括二维离散型随机变量和二维连续型随机变量）？</w:t>
      </w:r>
    </w:p>
    <w:p w14:paraId="21768DF9" w14:textId="77777777" w:rsidR="00C21E20" w:rsidRPr="00C21E20" w:rsidRDefault="00C21E20" w:rsidP="00C21E20">
      <w:pPr>
        <w:spacing w:after="200" w:line="440" w:lineRule="exact"/>
        <w:ind w:firstLineChars="200" w:firstLine="480"/>
        <w:rPr>
          <w:rFonts w:ascii="Times New Roman" w:eastAsia="宋体" w:hAnsi="Times New Roman" w:cs="Times New Roman"/>
          <w:sz w:val="24"/>
        </w:rPr>
      </w:pPr>
      <w:r w:rsidRPr="00C21E20">
        <w:rPr>
          <w:rFonts w:ascii="Times New Roman" w:eastAsia="宋体" w:hAnsi="Times New Roman" w:cs="Times New Roman"/>
          <w:sz w:val="24"/>
        </w:rPr>
        <w:t>3</w:t>
      </w:r>
      <w:r w:rsidRPr="00C21E20">
        <w:rPr>
          <w:rFonts w:ascii="Times New Roman" w:eastAsia="宋体" w:hAnsi="Times New Roman" w:cs="Times New Roman"/>
          <w:sz w:val="24"/>
        </w:rPr>
        <w:t>．判断两个随机变量独立性的等价条件；</w:t>
      </w:r>
    </w:p>
    <w:p w14:paraId="5C314240" w14:textId="77777777" w:rsidR="00C21E20" w:rsidRPr="00C21E20" w:rsidRDefault="00C21E20" w:rsidP="00C21E20">
      <w:pPr>
        <w:spacing w:after="200" w:line="440" w:lineRule="exact"/>
        <w:ind w:firstLineChars="200" w:firstLine="480"/>
        <w:rPr>
          <w:rFonts w:ascii="Times New Roman" w:eastAsia="宋体" w:hAnsi="Times New Roman" w:cs="Times New Roman"/>
          <w:sz w:val="24"/>
        </w:rPr>
      </w:pPr>
      <w:r w:rsidRPr="00C21E20">
        <w:rPr>
          <w:rFonts w:ascii="Times New Roman" w:eastAsia="宋体" w:hAnsi="Times New Roman" w:cs="Times New Roman"/>
          <w:sz w:val="24"/>
        </w:rPr>
        <w:lastRenderedPageBreak/>
        <w:t>4</w:t>
      </w:r>
      <w:r w:rsidRPr="00C21E20">
        <w:rPr>
          <w:rFonts w:ascii="Times New Roman" w:eastAsia="宋体" w:hAnsi="Times New Roman" w:cs="Times New Roman"/>
          <w:sz w:val="24"/>
        </w:rPr>
        <w:t>．怎么求二维随机变量差的分布？</w:t>
      </w:r>
    </w:p>
    <w:p w14:paraId="68C78550" w14:textId="77777777" w:rsidR="00C21E20" w:rsidRPr="00C21E20" w:rsidRDefault="00C21E20" w:rsidP="00C21E20">
      <w:pPr>
        <w:spacing w:beforeLines="50" w:before="156" w:afterLines="50" w:after="156" w:line="440" w:lineRule="exact"/>
        <w:jc w:val="center"/>
        <w:rPr>
          <w:rFonts w:ascii="Times New Roman" w:eastAsia="黑体" w:hAnsi="Times New Roman" w:cs="Times New Roman"/>
          <w:b/>
          <w:sz w:val="28"/>
          <w:szCs w:val="28"/>
        </w:rPr>
      </w:pPr>
      <w:r w:rsidRPr="00C21E20">
        <w:rPr>
          <w:rFonts w:ascii="Times New Roman" w:eastAsia="黑体" w:hAnsi="Times New Roman" w:cs="Times New Roman"/>
          <w:b/>
          <w:bCs/>
          <w:sz w:val="28"/>
          <w:szCs w:val="28"/>
        </w:rPr>
        <w:t>第四章</w:t>
      </w:r>
      <w:r w:rsidRPr="00C21E20">
        <w:rPr>
          <w:rFonts w:ascii="Times New Roman" w:eastAsia="黑体" w:hAnsi="Times New Roman" w:cs="Times New Roman"/>
          <w:b/>
          <w:bCs/>
          <w:sz w:val="28"/>
          <w:szCs w:val="28"/>
        </w:rPr>
        <w:t xml:space="preserve">  </w:t>
      </w:r>
      <w:r w:rsidRPr="00C21E20">
        <w:rPr>
          <w:rFonts w:ascii="Times New Roman" w:eastAsia="黑体" w:hAnsi="Times New Roman" w:cs="Times New Roman"/>
          <w:b/>
          <w:bCs/>
          <w:sz w:val="28"/>
          <w:szCs w:val="28"/>
        </w:rPr>
        <w:t>数字特征</w:t>
      </w:r>
    </w:p>
    <w:p w14:paraId="495235C3"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000000"/>
          <w:sz w:val="24"/>
          <w:szCs w:val="24"/>
        </w:rPr>
      </w:pPr>
      <w:r w:rsidRPr="00C21E20">
        <w:rPr>
          <w:rFonts w:ascii="Times New Roman" w:eastAsia="宋体" w:hAnsi="Times New Roman" w:cs="Times New Roman"/>
          <w:b/>
          <w:sz w:val="24"/>
          <w:szCs w:val="24"/>
        </w:rPr>
        <w:t>【知识与技能目标】</w:t>
      </w:r>
      <w:r w:rsidRPr="00C21E20">
        <w:rPr>
          <w:rFonts w:ascii="Times New Roman" w:eastAsia="宋体" w:hAnsi="Times New Roman" w:cs="Times New Roman"/>
          <w:sz w:val="24"/>
          <w:szCs w:val="24"/>
        </w:rPr>
        <w:t>理解</w:t>
      </w:r>
      <w:r w:rsidRPr="00C21E20">
        <w:rPr>
          <w:rFonts w:ascii="Times New Roman" w:eastAsia="宋体" w:hAnsi="Times New Roman" w:cs="Times New Roman"/>
          <w:bCs/>
          <w:color w:val="000000"/>
          <w:sz w:val="24"/>
          <w:szCs w:val="24"/>
        </w:rPr>
        <w:t>随机变量的数学期望、方差、协方差和相关系数的概念；会运用数字特征的基本性质计算具体分布的数字特征；理解一维、二维随机变量函数的数学期望公式，会运用公式计算有关数学期望、方差、协方差及相关系数；掌握几种常见分布的数字特征</w:t>
      </w:r>
      <w:r w:rsidRPr="00C21E20">
        <w:rPr>
          <w:rFonts w:ascii="Times New Roman" w:eastAsia="宋体" w:hAnsi="Times New Roman" w:cs="Times New Roman" w:hint="eastAsia"/>
          <w:bCs/>
          <w:color w:val="000000"/>
          <w:sz w:val="24"/>
          <w:szCs w:val="24"/>
        </w:rPr>
        <w:t>.</w:t>
      </w:r>
    </w:p>
    <w:p w14:paraId="71E562A9"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000000"/>
          <w:sz w:val="24"/>
          <w:szCs w:val="24"/>
        </w:rPr>
      </w:pPr>
      <w:r w:rsidRPr="00C21E20">
        <w:rPr>
          <w:rFonts w:ascii="Times New Roman" w:eastAsia="宋体" w:hAnsi="Times New Roman" w:cs="Times New Roman"/>
          <w:b/>
          <w:sz w:val="24"/>
          <w:szCs w:val="24"/>
        </w:rPr>
        <w:t>【过程与方法目标】</w:t>
      </w:r>
      <w:r w:rsidRPr="00C21E20">
        <w:rPr>
          <w:rFonts w:ascii="Times New Roman" w:eastAsia="宋体" w:hAnsi="Times New Roman" w:cs="Times New Roman"/>
          <w:bCs/>
          <w:color w:val="000000"/>
          <w:sz w:val="24"/>
          <w:szCs w:val="24"/>
        </w:rPr>
        <w:t>通过类比的方法归纳总结出随机变量数学期望、方差、协方差的概念；会分析实际问题中隐含的数字特征，从而培养提高运用概率思想分析和解决实际问题的能力</w:t>
      </w:r>
      <w:r w:rsidRPr="00C21E20">
        <w:rPr>
          <w:rFonts w:ascii="Times New Roman" w:eastAsia="宋体" w:hAnsi="Times New Roman" w:cs="Times New Roman" w:hint="eastAsia"/>
          <w:bCs/>
          <w:color w:val="000000"/>
          <w:sz w:val="24"/>
          <w:szCs w:val="24"/>
        </w:rPr>
        <w:t>.</w:t>
      </w:r>
    </w:p>
    <w:p w14:paraId="0806F205" w14:textId="77777777" w:rsidR="00C21E20" w:rsidRPr="00C21E20" w:rsidRDefault="00C21E20" w:rsidP="00C21E20">
      <w:pPr>
        <w:spacing w:beforeLines="50" w:before="156" w:afterLines="50" w:after="156" w:line="440" w:lineRule="exact"/>
        <w:ind w:firstLineChars="200" w:firstLine="482"/>
        <w:outlineLvl w:val="1"/>
        <w:rPr>
          <w:rFonts w:ascii="Times New Roman" w:eastAsia="宋体" w:hAnsi="Times New Roman" w:cs="Times New Roman"/>
          <w:sz w:val="24"/>
          <w:szCs w:val="24"/>
        </w:rPr>
      </w:pPr>
      <w:r w:rsidRPr="00C21E20">
        <w:rPr>
          <w:rFonts w:ascii="Times New Roman" w:eastAsia="宋体" w:hAnsi="Times New Roman" w:cs="Times New Roman"/>
          <w:b/>
          <w:sz w:val="24"/>
          <w:szCs w:val="24"/>
        </w:rPr>
        <w:t>【情感态度与价值观目标】</w:t>
      </w:r>
      <w:r w:rsidRPr="00C21E20">
        <w:rPr>
          <w:rFonts w:ascii="Times New Roman" w:eastAsia="宋体" w:hAnsi="Times New Roman" w:cs="Times New Roman"/>
          <w:bCs/>
          <w:color w:val="000000"/>
          <w:sz w:val="24"/>
          <w:szCs w:val="24"/>
        </w:rPr>
        <w:t>灵活运用期望和方差概念解决实际</w:t>
      </w:r>
      <w:r w:rsidRPr="00C21E20">
        <w:rPr>
          <w:rFonts w:ascii="Times New Roman" w:eastAsia="宋体" w:hAnsi="Times New Roman" w:cs="Times New Roman"/>
          <w:bCs/>
          <w:sz w:val="24"/>
          <w:szCs w:val="24"/>
        </w:rPr>
        <w:t>问题，从而理解实现共同富裕的目标，坚定制度自信，培养责任担</w:t>
      </w:r>
      <w:r w:rsidRPr="00C21E20">
        <w:rPr>
          <w:rFonts w:ascii="Times New Roman" w:eastAsia="宋体" w:hAnsi="Times New Roman" w:cs="Times New Roman"/>
          <w:bCs/>
          <w:color w:val="000000"/>
          <w:sz w:val="24"/>
          <w:szCs w:val="24"/>
        </w:rPr>
        <w:t>当意识</w:t>
      </w:r>
      <w:r w:rsidRPr="00C21E20">
        <w:rPr>
          <w:rFonts w:ascii="Times New Roman" w:eastAsia="宋体" w:hAnsi="Times New Roman" w:cs="Times New Roman" w:hint="eastAsia"/>
          <w:bCs/>
          <w:color w:val="000000"/>
          <w:sz w:val="24"/>
          <w:szCs w:val="24"/>
        </w:rPr>
        <w:t>.</w:t>
      </w:r>
    </w:p>
    <w:p w14:paraId="0D7F70C7"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FF0000"/>
          <w:sz w:val="24"/>
          <w:szCs w:val="24"/>
        </w:rPr>
      </w:pPr>
      <w:r w:rsidRPr="00C21E20">
        <w:rPr>
          <w:rFonts w:ascii="Times New Roman" w:eastAsia="宋体" w:hAnsi="Times New Roman" w:cs="Times New Roman"/>
          <w:b/>
          <w:sz w:val="24"/>
          <w:szCs w:val="24"/>
        </w:rPr>
        <w:t>【学习内容】</w:t>
      </w:r>
    </w:p>
    <w:p w14:paraId="6D16364A" w14:textId="77777777" w:rsidR="00C21E20" w:rsidRPr="00C21E20" w:rsidRDefault="00C21E20" w:rsidP="00C21E20">
      <w:pPr>
        <w:adjustRightInd w:val="0"/>
        <w:snapToGrid w:val="0"/>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随机变量的数学期望；</w:t>
      </w:r>
    </w:p>
    <w:p w14:paraId="082DB756" w14:textId="77777777" w:rsidR="00C21E20" w:rsidRPr="00C21E20" w:rsidRDefault="00C21E20" w:rsidP="00C21E20">
      <w:pPr>
        <w:adjustRightInd w:val="0"/>
        <w:snapToGrid w:val="0"/>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随机变量的方差；</w:t>
      </w:r>
    </w:p>
    <w:p w14:paraId="5CDF1ADC" w14:textId="77777777" w:rsidR="00C21E20" w:rsidRPr="00C21E20" w:rsidRDefault="00C21E20" w:rsidP="00C21E20">
      <w:pPr>
        <w:adjustRightInd w:val="0"/>
        <w:snapToGrid w:val="0"/>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sz w:val="24"/>
          <w:szCs w:val="24"/>
        </w:rPr>
        <w:t>3</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随机变量的矩；</w:t>
      </w:r>
    </w:p>
    <w:p w14:paraId="761641BC" w14:textId="77777777" w:rsidR="00C21E20" w:rsidRPr="00C21E20" w:rsidRDefault="00C21E20" w:rsidP="00C21E20">
      <w:pPr>
        <w:adjustRightInd w:val="0"/>
        <w:snapToGrid w:val="0"/>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sz w:val="24"/>
          <w:szCs w:val="24"/>
        </w:rPr>
        <w:t>4</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协方差和相关系数</w:t>
      </w:r>
      <w:r w:rsidRPr="00C21E20">
        <w:rPr>
          <w:rFonts w:ascii="Times New Roman" w:eastAsia="宋体" w:hAnsi="Times New Roman" w:cs="Times New Roman" w:hint="eastAsia"/>
          <w:color w:val="000000"/>
          <w:sz w:val="24"/>
          <w:szCs w:val="24"/>
        </w:rPr>
        <w:t>.</w:t>
      </w:r>
    </w:p>
    <w:p w14:paraId="4EE4C501" w14:textId="77777777" w:rsidR="00C21E20" w:rsidRPr="00C21E20" w:rsidRDefault="00C21E20" w:rsidP="00C21E20">
      <w:pPr>
        <w:adjustRightInd w:val="0"/>
        <w:snapToGrid w:val="0"/>
        <w:spacing w:after="200" w:line="440" w:lineRule="exact"/>
        <w:ind w:firstLineChars="200" w:firstLine="482"/>
        <w:rPr>
          <w:rFonts w:ascii="Times New Roman" w:eastAsia="宋体" w:hAnsi="Times New Roman" w:cs="Times New Roman"/>
          <w:b/>
          <w:sz w:val="24"/>
          <w:szCs w:val="24"/>
        </w:rPr>
      </w:pPr>
      <w:r w:rsidRPr="00C21E20">
        <w:rPr>
          <w:rFonts w:ascii="Times New Roman" w:eastAsia="宋体" w:hAnsi="Times New Roman" w:cs="Times New Roman"/>
          <w:b/>
          <w:sz w:val="24"/>
          <w:szCs w:val="24"/>
        </w:rPr>
        <w:t>【重点】</w:t>
      </w:r>
    </w:p>
    <w:p w14:paraId="39668D02"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w:t>
      </w:r>
      <w:r w:rsidRPr="00C21E20">
        <w:rPr>
          <w:rFonts w:ascii="Times New Roman" w:eastAsia="宋体" w:hAnsi="Times New Roman" w:cs="Times New Roman"/>
          <w:bCs/>
          <w:color w:val="000000"/>
          <w:sz w:val="24"/>
          <w:szCs w:val="24"/>
        </w:rPr>
        <w:t>数学期望、方差、协方差、相关系数的性质；</w:t>
      </w:r>
    </w:p>
    <w:p w14:paraId="2E3C50CE"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常见随机变量的</w:t>
      </w:r>
      <w:r w:rsidRPr="00C21E20">
        <w:rPr>
          <w:rFonts w:ascii="Times New Roman" w:eastAsia="宋体" w:hAnsi="Times New Roman" w:cs="Times New Roman"/>
          <w:bCs/>
          <w:color w:val="000000"/>
          <w:sz w:val="24"/>
          <w:szCs w:val="24"/>
        </w:rPr>
        <w:t>期望与方差；</w:t>
      </w:r>
    </w:p>
    <w:p w14:paraId="5AF4C8D3"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sz w:val="24"/>
          <w:szCs w:val="24"/>
        </w:rPr>
        <w:t>3</w:t>
      </w:r>
      <w:r w:rsidRPr="00C21E20">
        <w:rPr>
          <w:rFonts w:ascii="Times New Roman" w:eastAsia="宋体" w:hAnsi="Times New Roman" w:cs="Times New Roman"/>
          <w:sz w:val="24"/>
          <w:szCs w:val="24"/>
        </w:rPr>
        <w:t>．</w:t>
      </w:r>
      <w:r w:rsidRPr="00C21E20">
        <w:rPr>
          <w:rFonts w:ascii="Times New Roman" w:eastAsia="宋体" w:hAnsi="Times New Roman" w:cs="Times New Roman"/>
          <w:bCs/>
          <w:color w:val="000000"/>
          <w:sz w:val="24"/>
          <w:szCs w:val="24"/>
        </w:rPr>
        <w:t>随机变量函数的期望与方差</w:t>
      </w:r>
      <w:r w:rsidRPr="00C21E20">
        <w:rPr>
          <w:rFonts w:ascii="Times New Roman" w:eastAsia="宋体" w:hAnsi="Times New Roman" w:cs="Times New Roman" w:hint="eastAsia"/>
          <w:bCs/>
          <w:color w:val="000000"/>
          <w:sz w:val="24"/>
          <w:szCs w:val="24"/>
        </w:rPr>
        <w:t>.</w:t>
      </w:r>
    </w:p>
    <w:p w14:paraId="7BC92642" w14:textId="77777777" w:rsidR="00C21E20" w:rsidRPr="00C21E20" w:rsidRDefault="00C21E20" w:rsidP="00C21E20">
      <w:pPr>
        <w:spacing w:after="200" w:line="440" w:lineRule="exact"/>
        <w:ind w:firstLineChars="200" w:firstLine="482"/>
        <w:rPr>
          <w:rFonts w:ascii="Times New Roman" w:eastAsia="宋体" w:hAnsi="Times New Roman" w:cs="Times New Roman"/>
          <w:b/>
          <w:sz w:val="24"/>
          <w:szCs w:val="24"/>
        </w:rPr>
      </w:pPr>
      <w:r w:rsidRPr="00C21E20">
        <w:rPr>
          <w:rFonts w:ascii="Times New Roman" w:eastAsia="宋体" w:hAnsi="Times New Roman" w:cs="Times New Roman"/>
          <w:b/>
          <w:sz w:val="24"/>
          <w:szCs w:val="24"/>
        </w:rPr>
        <w:t>【难点】</w:t>
      </w:r>
    </w:p>
    <w:p w14:paraId="6ECDA97C"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数学期望、方差、协方差与相关系数的计算；</w:t>
      </w:r>
    </w:p>
    <w:p w14:paraId="62EBEF75"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二维随机变量相关性的判别；</w:t>
      </w:r>
    </w:p>
    <w:p w14:paraId="104E4D9F"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sz w:val="24"/>
          <w:szCs w:val="24"/>
        </w:rPr>
        <w:t>3</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如何根据题意建立随机变量之间的函数关系，进而求其数字特征</w:t>
      </w:r>
      <w:r w:rsidRPr="00C21E20">
        <w:rPr>
          <w:rFonts w:ascii="Times New Roman" w:eastAsia="宋体" w:hAnsi="Times New Roman" w:cs="Times New Roman" w:hint="eastAsia"/>
          <w:color w:val="000000"/>
          <w:sz w:val="24"/>
          <w:szCs w:val="24"/>
        </w:rPr>
        <w:t>.</w:t>
      </w:r>
    </w:p>
    <w:p w14:paraId="270498BE" w14:textId="77777777" w:rsidR="00C21E20" w:rsidRPr="00C21E20" w:rsidRDefault="00C21E20" w:rsidP="00C21E20">
      <w:pPr>
        <w:spacing w:after="200" w:line="440" w:lineRule="exact"/>
        <w:ind w:firstLineChars="200" w:firstLine="482"/>
        <w:rPr>
          <w:rFonts w:ascii="Times New Roman" w:eastAsia="宋体" w:hAnsi="Times New Roman" w:cs="Times New Roman"/>
          <w:color w:val="FF0000"/>
          <w:sz w:val="24"/>
          <w:szCs w:val="24"/>
        </w:rPr>
      </w:pPr>
      <w:r w:rsidRPr="00C21E20">
        <w:rPr>
          <w:rFonts w:ascii="Times New Roman" w:eastAsia="宋体" w:hAnsi="Times New Roman" w:cs="Times New Roman"/>
          <w:b/>
          <w:bCs/>
          <w:sz w:val="24"/>
          <w:szCs w:val="24"/>
        </w:rPr>
        <w:lastRenderedPageBreak/>
        <w:t>【教学方法】</w:t>
      </w:r>
    </w:p>
    <w:p w14:paraId="76646B8A" w14:textId="77777777" w:rsidR="00C21E20" w:rsidRPr="00C21E20" w:rsidRDefault="00C21E20" w:rsidP="00C21E20">
      <w:pPr>
        <w:spacing w:after="200" w:line="440" w:lineRule="exact"/>
        <w:ind w:firstLine="482"/>
        <w:rPr>
          <w:rFonts w:ascii="Times New Roman" w:eastAsia="宋体" w:hAnsi="Times New Roman" w:cs="Times New Roman"/>
          <w:sz w:val="24"/>
          <w:szCs w:val="24"/>
        </w:rPr>
      </w:pP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057E8805" w14:textId="77777777" w:rsidR="00C21E20" w:rsidRPr="00C21E20" w:rsidRDefault="00C21E20" w:rsidP="00C21E20">
      <w:pPr>
        <w:spacing w:after="200" w:line="440" w:lineRule="exact"/>
        <w:ind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采用启发式教学方法进行授课</w:t>
      </w:r>
      <w:r w:rsidRPr="00C21E20">
        <w:rPr>
          <w:rFonts w:ascii="Times New Roman" w:eastAsia="宋体" w:hAnsi="Times New Roman" w:cs="Times New Roman"/>
          <w:sz w:val="24"/>
          <w:szCs w:val="24"/>
        </w:rPr>
        <w:t>，培养学生发现问题、分析问题、解决问题的能力；</w:t>
      </w:r>
    </w:p>
    <w:p w14:paraId="6234D718" w14:textId="77777777" w:rsidR="00C21E20" w:rsidRPr="00C21E20" w:rsidRDefault="00C21E20" w:rsidP="00C21E20">
      <w:pPr>
        <w:spacing w:after="200"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3</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采用以教师讲授为主，课堂练习、讨论为辅的讲练结合授课方式，</w:t>
      </w:r>
      <w:r w:rsidRPr="00C21E20">
        <w:rPr>
          <w:rFonts w:ascii="Times New Roman" w:eastAsia="宋体" w:hAnsi="Times New Roman" w:cs="Times New Roman"/>
          <w:sz w:val="24"/>
          <w:szCs w:val="24"/>
        </w:rPr>
        <w:t>强化学生数学计算能力和应用能力的培养</w:t>
      </w:r>
      <w:r w:rsidRPr="00C21E20">
        <w:rPr>
          <w:rFonts w:ascii="Times New Roman" w:eastAsia="宋体" w:hAnsi="Times New Roman" w:cs="Times New Roman" w:hint="eastAsia"/>
          <w:sz w:val="24"/>
          <w:szCs w:val="24"/>
        </w:rPr>
        <w:t>.</w:t>
      </w:r>
    </w:p>
    <w:p w14:paraId="202CA52A"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FF0000"/>
          <w:sz w:val="24"/>
          <w:szCs w:val="24"/>
        </w:rPr>
      </w:pPr>
      <w:r w:rsidRPr="00C21E20">
        <w:rPr>
          <w:rFonts w:ascii="Times New Roman" w:eastAsia="宋体" w:hAnsi="Times New Roman" w:cs="Times New Roman"/>
          <w:b/>
          <w:sz w:val="24"/>
          <w:szCs w:val="24"/>
        </w:rPr>
        <w:t>【复习思考】</w:t>
      </w:r>
    </w:p>
    <w:p w14:paraId="6BC8EFE2" w14:textId="77777777" w:rsidR="00C21E20" w:rsidRPr="00C21E20" w:rsidRDefault="00C21E20" w:rsidP="00C21E20">
      <w:pPr>
        <w:spacing w:after="200"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．简述随机变量的数学期望和算术平均值之间的关系；</w:t>
      </w:r>
    </w:p>
    <w:p w14:paraId="16A790B7" w14:textId="77777777" w:rsidR="00C21E20" w:rsidRPr="00C21E20" w:rsidRDefault="00C21E20" w:rsidP="00C21E20">
      <w:pPr>
        <w:spacing w:after="200"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．方差的意义是什么？</w:t>
      </w:r>
    </w:p>
    <w:p w14:paraId="35676744" w14:textId="77777777" w:rsidR="00C21E20" w:rsidRPr="00C21E20" w:rsidRDefault="00C21E20" w:rsidP="00C21E20">
      <w:pPr>
        <w:spacing w:after="200" w:line="440" w:lineRule="exact"/>
        <w:ind w:firstLineChars="200" w:firstLine="480"/>
        <w:rPr>
          <w:rFonts w:ascii="Times New Roman" w:eastAsia="宋体" w:hAnsi="Times New Roman" w:cs="Times New Roman"/>
          <w:color w:val="000000"/>
          <w:sz w:val="24"/>
          <w:szCs w:val="24"/>
        </w:rPr>
      </w:pPr>
      <w:r w:rsidRPr="00C21E20">
        <w:rPr>
          <w:rFonts w:ascii="Times New Roman" w:eastAsia="宋体" w:hAnsi="Times New Roman" w:cs="Times New Roman"/>
          <w:sz w:val="24"/>
          <w:szCs w:val="24"/>
        </w:rPr>
        <w:t>3</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协方差和方差的关系是什么？</w:t>
      </w:r>
    </w:p>
    <w:p w14:paraId="5AF16AAD" w14:textId="77777777" w:rsidR="00C21E20" w:rsidRPr="00C21E20" w:rsidRDefault="00C21E20" w:rsidP="00C21E20">
      <w:pPr>
        <w:spacing w:after="200" w:line="440" w:lineRule="exact"/>
        <w:ind w:firstLineChars="200" w:firstLine="480"/>
        <w:rPr>
          <w:rFonts w:ascii="Times New Roman" w:eastAsia="宋体" w:hAnsi="Times New Roman" w:cs="Times New Roman"/>
          <w:sz w:val="24"/>
        </w:rPr>
      </w:pPr>
      <w:r w:rsidRPr="00C21E20">
        <w:rPr>
          <w:rFonts w:ascii="Times New Roman" w:eastAsia="宋体" w:hAnsi="Times New Roman" w:cs="Times New Roman"/>
          <w:sz w:val="24"/>
          <w:szCs w:val="24"/>
        </w:rPr>
        <w:t>4</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怎样判断两个随机变量是否相关？</w:t>
      </w:r>
    </w:p>
    <w:p w14:paraId="7A9659EB" w14:textId="77777777" w:rsidR="00C21E20" w:rsidRPr="00C21E20" w:rsidRDefault="00C21E20" w:rsidP="00C21E20">
      <w:pPr>
        <w:spacing w:beforeLines="50" w:before="156" w:afterLines="50" w:after="156" w:line="440" w:lineRule="exact"/>
        <w:jc w:val="center"/>
        <w:rPr>
          <w:rFonts w:ascii="Times New Roman" w:eastAsia="黑体" w:hAnsi="Times New Roman" w:cs="Times New Roman"/>
          <w:b/>
          <w:sz w:val="28"/>
          <w:szCs w:val="28"/>
        </w:rPr>
      </w:pPr>
      <w:r w:rsidRPr="00C21E20">
        <w:rPr>
          <w:rFonts w:ascii="Times New Roman" w:eastAsia="黑体" w:hAnsi="Times New Roman" w:cs="Times New Roman"/>
          <w:b/>
          <w:bCs/>
          <w:sz w:val="28"/>
          <w:szCs w:val="28"/>
        </w:rPr>
        <w:t>第五章</w:t>
      </w:r>
      <w:r w:rsidRPr="00C21E20">
        <w:rPr>
          <w:rFonts w:ascii="Times New Roman" w:eastAsia="黑体" w:hAnsi="Times New Roman" w:cs="Times New Roman"/>
          <w:b/>
          <w:bCs/>
          <w:sz w:val="28"/>
          <w:szCs w:val="28"/>
        </w:rPr>
        <w:t xml:space="preserve">  </w:t>
      </w:r>
      <w:r w:rsidRPr="00C21E20">
        <w:rPr>
          <w:rFonts w:ascii="Times New Roman" w:eastAsia="黑体" w:hAnsi="Times New Roman" w:cs="Times New Roman"/>
          <w:b/>
          <w:bCs/>
          <w:sz w:val="28"/>
          <w:szCs w:val="28"/>
        </w:rPr>
        <w:t>极限定理</w:t>
      </w:r>
    </w:p>
    <w:p w14:paraId="75047BDD"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000000"/>
          <w:sz w:val="24"/>
        </w:rPr>
      </w:pPr>
      <w:r w:rsidRPr="00C21E20">
        <w:rPr>
          <w:rFonts w:ascii="Times New Roman" w:eastAsia="宋体" w:hAnsi="Times New Roman" w:cs="Times New Roman"/>
          <w:b/>
          <w:sz w:val="24"/>
        </w:rPr>
        <w:t>【知识与技能目标】</w:t>
      </w:r>
      <w:r w:rsidRPr="00C21E20">
        <w:rPr>
          <w:rFonts w:ascii="Times New Roman" w:eastAsia="宋体" w:hAnsi="Times New Roman" w:cs="Times New Roman"/>
          <w:bCs/>
          <w:color w:val="000000"/>
          <w:sz w:val="24"/>
        </w:rPr>
        <w:t>了解大数定律成立的条件及结论；理解中心极限定理的内容，掌握中心极限定理应用的条件；会利用相关的定理近似计算有关事件的概率</w:t>
      </w:r>
      <w:r w:rsidRPr="00C21E20">
        <w:rPr>
          <w:rFonts w:ascii="Times New Roman" w:eastAsia="宋体" w:hAnsi="Times New Roman" w:cs="Times New Roman" w:hint="eastAsia"/>
          <w:bCs/>
          <w:color w:val="000000"/>
          <w:sz w:val="24"/>
        </w:rPr>
        <w:t>.</w:t>
      </w:r>
    </w:p>
    <w:p w14:paraId="4810B1EA"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000000"/>
          <w:sz w:val="24"/>
        </w:rPr>
      </w:pPr>
      <w:r w:rsidRPr="00C21E20">
        <w:rPr>
          <w:rFonts w:ascii="Times New Roman" w:eastAsia="宋体" w:hAnsi="Times New Roman" w:cs="Times New Roman"/>
          <w:b/>
          <w:sz w:val="24"/>
        </w:rPr>
        <w:t>【过程与方法目标】</w:t>
      </w:r>
      <w:r w:rsidRPr="00C21E20">
        <w:rPr>
          <w:rFonts w:ascii="Times New Roman" w:eastAsia="宋体" w:hAnsi="Times New Roman" w:cs="Times New Roman"/>
          <w:bCs/>
          <w:color w:val="000000"/>
          <w:sz w:val="24"/>
        </w:rPr>
        <w:t>加深对</w:t>
      </w:r>
      <w:proofErr w:type="gramStart"/>
      <w:r w:rsidRPr="00C21E20">
        <w:rPr>
          <w:rFonts w:ascii="Times New Roman" w:eastAsia="宋体" w:hAnsi="Times New Roman" w:cs="Times New Roman"/>
          <w:bCs/>
          <w:color w:val="000000"/>
          <w:sz w:val="24"/>
        </w:rPr>
        <w:t>蒲丰投针问题</w:t>
      </w:r>
      <w:proofErr w:type="gramEnd"/>
      <w:r w:rsidRPr="00C21E20">
        <w:rPr>
          <w:rFonts w:ascii="Times New Roman" w:eastAsia="宋体" w:hAnsi="Times New Roman" w:cs="Times New Roman"/>
          <w:bCs/>
          <w:color w:val="000000"/>
          <w:sz w:val="24"/>
        </w:rPr>
        <w:t>的思考，了解蒙特卡罗模拟法；理解不同形式的评委打分所代表的概率模型，提高分析实际问题的能力</w:t>
      </w:r>
      <w:r w:rsidRPr="00C21E20">
        <w:rPr>
          <w:rFonts w:ascii="Times New Roman" w:eastAsia="宋体" w:hAnsi="Times New Roman" w:cs="Times New Roman" w:hint="eastAsia"/>
          <w:bCs/>
          <w:color w:val="000000"/>
          <w:sz w:val="24"/>
        </w:rPr>
        <w:t>.</w:t>
      </w:r>
    </w:p>
    <w:p w14:paraId="438635C0" w14:textId="77777777" w:rsidR="00C21E20" w:rsidRPr="00C21E20" w:rsidRDefault="00C21E20" w:rsidP="00C21E20">
      <w:pPr>
        <w:spacing w:beforeLines="50" w:before="156" w:afterLines="50" w:after="156" w:line="440" w:lineRule="exact"/>
        <w:ind w:firstLineChars="200" w:firstLine="482"/>
        <w:outlineLvl w:val="1"/>
        <w:rPr>
          <w:rFonts w:ascii="Times New Roman" w:eastAsia="宋体" w:hAnsi="Times New Roman" w:cs="Times New Roman"/>
          <w:bCs/>
          <w:color w:val="000000"/>
          <w:sz w:val="24"/>
        </w:rPr>
      </w:pPr>
      <w:r w:rsidRPr="00C21E20">
        <w:rPr>
          <w:rFonts w:ascii="Times New Roman" w:eastAsia="宋体" w:hAnsi="Times New Roman" w:cs="Times New Roman"/>
          <w:b/>
          <w:sz w:val="24"/>
          <w:szCs w:val="28"/>
        </w:rPr>
        <w:t>【情感态度与价值观目标】</w:t>
      </w:r>
      <w:r w:rsidRPr="00C21E20">
        <w:rPr>
          <w:rFonts w:ascii="Times New Roman" w:eastAsia="宋体" w:hAnsi="Times New Roman" w:cs="Times New Roman"/>
          <w:bCs/>
          <w:color w:val="000000"/>
          <w:sz w:val="24"/>
        </w:rPr>
        <w:t>深刻理解大数定律的内涵，体会量变到质变的哲学思想</w:t>
      </w:r>
      <w:r w:rsidRPr="00C21E20">
        <w:rPr>
          <w:rFonts w:ascii="Times New Roman" w:eastAsia="宋体" w:hAnsi="Times New Roman" w:cs="Times New Roman" w:hint="eastAsia"/>
          <w:bCs/>
          <w:color w:val="000000"/>
          <w:sz w:val="24"/>
        </w:rPr>
        <w:t>.</w:t>
      </w:r>
    </w:p>
    <w:p w14:paraId="0EC8D521" w14:textId="77777777" w:rsidR="00C21E20" w:rsidRPr="00C21E20" w:rsidRDefault="00C21E20" w:rsidP="00C21E20">
      <w:pPr>
        <w:adjustRightInd w:val="0"/>
        <w:snapToGrid w:val="0"/>
        <w:spacing w:after="200" w:line="440" w:lineRule="exact"/>
        <w:ind w:firstLineChars="200" w:firstLine="482"/>
        <w:rPr>
          <w:rFonts w:ascii="Times New Roman" w:eastAsia="宋体" w:hAnsi="Times New Roman" w:cs="Times New Roman"/>
          <w:bCs/>
          <w:color w:val="FF0000"/>
          <w:sz w:val="24"/>
        </w:rPr>
      </w:pPr>
      <w:r w:rsidRPr="00C21E20">
        <w:rPr>
          <w:rFonts w:ascii="Times New Roman" w:eastAsia="宋体" w:hAnsi="Times New Roman" w:cs="Times New Roman"/>
          <w:b/>
          <w:sz w:val="24"/>
        </w:rPr>
        <w:t>【学习内容】</w:t>
      </w:r>
    </w:p>
    <w:p w14:paraId="49A50650" w14:textId="77777777" w:rsidR="00C21E20" w:rsidRPr="00C21E20" w:rsidRDefault="00C21E20" w:rsidP="00C21E20">
      <w:pPr>
        <w:adjustRightInd w:val="0"/>
        <w:snapToGrid w:val="0"/>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1</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大数定律；</w:t>
      </w:r>
    </w:p>
    <w:p w14:paraId="5AF01529" w14:textId="77777777" w:rsidR="00C21E20" w:rsidRPr="00C21E20" w:rsidRDefault="00C21E20" w:rsidP="00C21E20">
      <w:pPr>
        <w:adjustRightInd w:val="0"/>
        <w:snapToGrid w:val="0"/>
        <w:spacing w:after="200" w:line="440" w:lineRule="exact"/>
        <w:ind w:firstLineChars="200" w:firstLine="480"/>
        <w:rPr>
          <w:rFonts w:ascii="Times New Roman" w:eastAsia="宋体" w:hAnsi="Times New Roman" w:cs="Times New Roman"/>
          <w:color w:val="000000"/>
          <w:sz w:val="24"/>
        </w:rPr>
      </w:pPr>
      <w:r w:rsidRPr="00C21E20">
        <w:rPr>
          <w:rFonts w:ascii="Times New Roman" w:eastAsia="宋体" w:hAnsi="Times New Roman" w:cs="Times New Roman"/>
          <w:sz w:val="24"/>
        </w:rPr>
        <w:t>2</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中心极限定理</w:t>
      </w:r>
      <w:r w:rsidRPr="00C21E20">
        <w:rPr>
          <w:rFonts w:ascii="Times New Roman" w:eastAsia="宋体" w:hAnsi="Times New Roman" w:cs="Times New Roman" w:hint="eastAsia"/>
          <w:color w:val="000000"/>
          <w:sz w:val="24"/>
        </w:rPr>
        <w:t>.</w:t>
      </w:r>
    </w:p>
    <w:p w14:paraId="4768A787" w14:textId="77777777" w:rsidR="00C21E20" w:rsidRPr="00C21E20" w:rsidRDefault="00C21E20" w:rsidP="00C21E20">
      <w:pPr>
        <w:adjustRightInd w:val="0"/>
        <w:snapToGrid w:val="0"/>
        <w:spacing w:after="200" w:line="440" w:lineRule="exact"/>
        <w:ind w:firstLineChars="200" w:firstLine="482"/>
        <w:rPr>
          <w:rFonts w:ascii="Times New Roman" w:eastAsia="宋体" w:hAnsi="Times New Roman" w:cs="Times New Roman"/>
          <w:b/>
          <w:sz w:val="24"/>
        </w:rPr>
      </w:pPr>
      <w:r w:rsidRPr="00C21E20">
        <w:rPr>
          <w:rFonts w:ascii="Times New Roman" w:eastAsia="宋体" w:hAnsi="Times New Roman" w:cs="Times New Roman"/>
          <w:b/>
          <w:sz w:val="24"/>
        </w:rPr>
        <w:t>【重点】</w:t>
      </w:r>
    </w:p>
    <w:p w14:paraId="14EFB386" w14:textId="77777777" w:rsidR="00C21E20" w:rsidRPr="00C21E20" w:rsidRDefault="00C21E20" w:rsidP="00C21E20">
      <w:pPr>
        <w:spacing w:after="200" w:line="440" w:lineRule="exact"/>
        <w:ind w:left="470"/>
        <w:rPr>
          <w:rFonts w:ascii="Times New Roman" w:eastAsia="宋体" w:hAnsi="Times New Roman" w:cs="Times New Roman"/>
          <w:color w:val="000000"/>
          <w:sz w:val="24"/>
        </w:rPr>
      </w:pPr>
      <w:r w:rsidRPr="00C21E20">
        <w:rPr>
          <w:rFonts w:ascii="Times New Roman" w:eastAsia="宋体" w:hAnsi="Times New Roman" w:cs="Times New Roman"/>
          <w:sz w:val="24"/>
        </w:rPr>
        <w:t>1</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几个大数定律的含义及其相互关系；</w:t>
      </w:r>
    </w:p>
    <w:p w14:paraId="4AC6C81D" w14:textId="77777777" w:rsidR="00C21E20" w:rsidRPr="00C21E20" w:rsidRDefault="00C21E20" w:rsidP="00C21E20">
      <w:pPr>
        <w:spacing w:after="200" w:line="440" w:lineRule="exact"/>
        <w:ind w:left="470"/>
        <w:rPr>
          <w:rFonts w:ascii="Times New Roman" w:eastAsia="宋体" w:hAnsi="Times New Roman" w:cs="Times New Roman"/>
          <w:color w:val="000000"/>
          <w:sz w:val="24"/>
        </w:rPr>
      </w:pPr>
      <w:r w:rsidRPr="00C21E20">
        <w:rPr>
          <w:rFonts w:ascii="Times New Roman" w:eastAsia="宋体" w:hAnsi="Times New Roman" w:cs="Times New Roman"/>
          <w:sz w:val="24"/>
        </w:rPr>
        <w:lastRenderedPageBreak/>
        <w:t>2</w:t>
      </w:r>
      <w:r w:rsidRPr="00C21E20">
        <w:rPr>
          <w:rFonts w:ascii="Times New Roman" w:eastAsia="宋体" w:hAnsi="Times New Roman" w:cs="Times New Roman"/>
          <w:sz w:val="24"/>
        </w:rPr>
        <w:t>．</w:t>
      </w:r>
      <w:r w:rsidRPr="00C21E20">
        <w:rPr>
          <w:rFonts w:ascii="Times New Roman" w:eastAsia="宋体" w:hAnsi="Times New Roman" w:cs="Times New Roman"/>
          <w:color w:val="000000"/>
          <w:sz w:val="24"/>
        </w:rPr>
        <w:t>中心极限定理的应用</w:t>
      </w:r>
      <w:r w:rsidRPr="00C21E20">
        <w:rPr>
          <w:rFonts w:ascii="Times New Roman" w:eastAsia="宋体" w:hAnsi="Times New Roman" w:cs="Times New Roman" w:hint="eastAsia"/>
          <w:color w:val="000000"/>
          <w:sz w:val="24"/>
        </w:rPr>
        <w:t>.</w:t>
      </w:r>
    </w:p>
    <w:p w14:paraId="46F7CF5C" w14:textId="77777777" w:rsidR="00C21E20" w:rsidRPr="00C21E20" w:rsidRDefault="00C21E20" w:rsidP="00C21E20">
      <w:pPr>
        <w:spacing w:after="200" w:line="440" w:lineRule="exact"/>
        <w:ind w:firstLineChars="200" w:firstLine="482"/>
        <w:rPr>
          <w:rFonts w:ascii="Times New Roman" w:eastAsia="宋体" w:hAnsi="Times New Roman" w:cs="Times New Roman"/>
          <w:b/>
          <w:sz w:val="24"/>
        </w:rPr>
      </w:pPr>
      <w:r w:rsidRPr="00C21E20">
        <w:rPr>
          <w:rFonts w:ascii="Times New Roman" w:eastAsia="宋体" w:hAnsi="Times New Roman" w:cs="Times New Roman"/>
          <w:b/>
          <w:sz w:val="24"/>
        </w:rPr>
        <w:t>【难点】</w:t>
      </w:r>
    </w:p>
    <w:p w14:paraId="2BDAD98F" w14:textId="77777777" w:rsidR="00C21E20" w:rsidRPr="00C21E20" w:rsidRDefault="00C21E20" w:rsidP="00C21E20">
      <w:pPr>
        <w:spacing w:after="200" w:line="440" w:lineRule="exact"/>
        <w:ind w:firstLineChars="196" w:firstLine="470"/>
        <w:rPr>
          <w:rFonts w:ascii="Times New Roman" w:eastAsia="宋体" w:hAnsi="Times New Roman" w:cs="Times New Roman"/>
          <w:color w:val="000000"/>
          <w:sz w:val="24"/>
        </w:rPr>
      </w:pPr>
      <w:r w:rsidRPr="00C21E20">
        <w:rPr>
          <w:rFonts w:ascii="Times New Roman" w:eastAsia="宋体" w:hAnsi="Times New Roman" w:cs="Times New Roman"/>
          <w:color w:val="000000"/>
          <w:sz w:val="24"/>
        </w:rPr>
        <w:t>用中心极限定理近似计算概率</w:t>
      </w:r>
      <w:r w:rsidRPr="00C21E20">
        <w:rPr>
          <w:rFonts w:ascii="Times New Roman" w:eastAsia="宋体" w:hAnsi="Times New Roman" w:cs="Times New Roman" w:hint="eastAsia"/>
          <w:color w:val="000000"/>
          <w:sz w:val="24"/>
        </w:rPr>
        <w:t>.</w:t>
      </w:r>
    </w:p>
    <w:p w14:paraId="05D91453" w14:textId="77777777" w:rsidR="00C21E20" w:rsidRPr="00C21E20" w:rsidRDefault="00C21E20" w:rsidP="00C21E20">
      <w:pPr>
        <w:spacing w:after="200" w:line="440" w:lineRule="exact"/>
        <w:ind w:firstLineChars="200" w:firstLine="482"/>
        <w:rPr>
          <w:rFonts w:ascii="Times New Roman" w:eastAsia="宋体" w:hAnsi="Times New Roman" w:cs="Times New Roman"/>
          <w:color w:val="FF0000"/>
          <w:sz w:val="24"/>
        </w:rPr>
      </w:pPr>
      <w:r w:rsidRPr="00C21E20">
        <w:rPr>
          <w:rFonts w:ascii="Times New Roman" w:eastAsia="宋体" w:hAnsi="Times New Roman" w:cs="Times New Roman"/>
          <w:b/>
          <w:bCs/>
          <w:sz w:val="24"/>
        </w:rPr>
        <w:t>【教学方法】</w:t>
      </w:r>
    </w:p>
    <w:p w14:paraId="73ED71AA" w14:textId="77777777" w:rsidR="00C21E20" w:rsidRPr="00C21E20" w:rsidRDefault="00C21E20" w:rsidP="00C21E20">
      <w:pPr>
        <w:spacing w:after="200" w:line="440" w:lineRule="exact"/>
        <w:ind w:firstLine="482"/>
        <w:rPr>
          <w:rFonts w:ascii="Times New Roman" w:eastAsia="宋体" w:hAnsi="Times New Roman" w:cs="Times New Roman"/>
          <w:sz w:val="24"/>
          <w:szCs w:val="24"/>
        </w:rPr>
      </w:pP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772E8BD4" w14:textId="77777777" w:rsidR="00C21E20" w:rsidRPr="00C21E20" w:rsidRDefault="00C21E20" w:rsidP="00C21E20">
      <w:pPr>
        <w:spacing w:after="200" w:line="440" w:lineRule="exact"/>
        <w:ind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采用启发式教学方法进行授课</w:t>
      </w:r>
      <w:r w:rsidRPr="00C21E20">
        <w:rPr>
          <w:rFonts w:ascii="Times New Roman" w:eastAsia="宋体" w:hAnsi="Times New Roman" w:cs="Times New Roman"/>
          <w:sz w:val="24"/>
          <w:szCs w:val="24"/>
        </w:rPr>
        <w:t>，培养学生发现问题、分析问题、解决问题的能力；</w:t>
      </w:r>
    </w:p>
    <w:p w14:paraId="4FB734A2" w14:textId="77777777" w:rsidR="00C21E20" w:rsidRPr="00C21E20" w:rsidRDefault="00C21E20" w:rsidP="00C21E20">
      <w:pPr>
        <w:spacing w:after="200"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3</w:t>
      </w:r>
      <w:r w:rsidRPr="00C21E20">
        <w:rPr>
          <w:rFonts w:ascii="Times New Roman" w:eastAsia="宋体" w:hAnsi="Times New Roman" w:cs="Times New Roman"/>
          <w:sz w:val="24"/>
          <w:szCs w:val="24"/>
        </w:rPr>
        <w:t>．</w:t>
      </w:r>
      <w:r w:rsidRPr="00C21E20">
        <w:rPr>
          <w:rFonts w:ascii="Times New Roman" w:eastAsia="宋体" w:hAnsi="Times New Roman" w:cs="Times New Roman"/>
          <w:color w:val="000000"/>
          <w:sz w:val="24"/>
          <w:szCs w:val="24"/>
        </w:rPr>
        <w:t>采用以教师讲授为主，课堂练习、讨论为辅的讲练结合授课方式，</w:t>
      </w:r>
      <w:r w:rsidRPr="00C21E20">
        <w:rPr>
          <w:rFonts w:ascii="Times New Roman" w:eastAsia="宋体" w:hAnsi="Times New Roman" w:cs="Times New Roman"/>
          <w:sz w:val="24"/>
          <w:szCs w:val="24"/>
        </w:rPr>
        <w:t>强化学生数学计算能力和应用能力的培养</w:t>
      </w:r>
      <w:r w:rsidRPr="00C21E20">
        <w:rPr>
          <w:rFonts w:ascii="Times New Roman" w:eastAsia="宋体" w:hAnsi="Times New Roman" w:cs="Times New Roman" w:hint="eastAsia"/>
          <w:sz w:val="24"/>
          <w:szCs w:val="24"/>
        </w:rPr>
        <w:t>.</w:t>
      </w:r>
    </w:p>
    <w:p w14:paraId="426B04FE" w14:textId="77777777" w:rsidR="00C21E20" w:rsidRPr="00C21E20" w:rsidRDefault="00C21E20" w:rsidP="00C21E20">
      <w:pPr>
        <w:spacing w:after="200" w:line="440" w:lineRule="exact"/>
        <w:ind w:firstLineChars="200" w:firstLine="482"/>
        <w:rPr>
          <w:rFonts w:ascii="Times New Roman" w:eastAsia="宋体" w:hAnsi="Times New Roman" w:cs="Times New Roman"/>
          <w:bCs/>
          <w:color w:val="FF0000"/>
          <w:sz w:val="24"/>
        </w:rPr>
      </w:pPr>
      <w:r w:rsidRPr="00C21E20">
        <w:rPr>
          <w:rFonts w:ascii="Times New Roman" w:eastAsia="宋体" w:hAnsi="Times New Roman" w:cs="Times New Roman"/>
          <w:b/>
          <w:sz w:val="24"/>
        </w:rPr>
        <w:t>【复习思考】</w:t>
      </w:r>
    </w:p>
    <w:p w14:paraId="1EAB4B75" w14:textId="77777777" w:rsidR="00C21E20" w:rsidRPr="00C21E20" w:rsidRDefault="00C21E20" w:rsidP="00C21E20">
      <w:pPr>
        <w:spacing w:after="200" w:line="440" w:lineRule="exact"/>
        <w:ind w:firstLineChars="200" w:firstLine="480"/>
        <w:rPr>
          <w:rFonts w:ascii="Times New Roman" w:eastAsia="宋体" w:hAnsi="Times New Roman" w:cs="Times New Roman"/>
          <w:sz w:val="24"/>
        </w:rPr>
      </w:pPr>
      <w:r w:rsidRPr="00C21E20">
        <w:rPr>
          <w:rFonts w:ascii="Times New Roman" w:eastAsia="宋体" w:hAnsi="Times New Roman" w:cs="Times New Roman"/>
          <w:sz w:val="24"/>
        </w:rPr>
        <w:t>1</w:t>
      </w:r>
      <w:r w:rsidRPr="00C21E20">
        <w:rPr>
          <w:rFonts w:ascii="Times New Roman" w:eastAsia="宋体" w:hAnsi="Times New Roman" w:cs="Times New Roman"/>
          <w:sz w:val="24"/>
        </w:rPr>
        <w:t>．常见的大数定律有哪些？</w:t>
      </w:r>
    </w:p>
    <w:p w14:paraId="2C7A9069" w14:textId="77777777" w:rsidR="00C21E20" w:rsidRPr="00C21E20" w:rsidRDefault="00C21E20" w:rsidP="00C21E20">
      <w:pPr>
        <w:spacing w:after="200" w:line="440" w:lineRule="exact"/>
        <w:ind w:firstLineChars="200" w:firstLine="480"/>
        <w:rPr>
          <w:rFonts w:ascii="Times New Roman" w:eastAsia="仿宋" w:hAnsi="Times New Roman" w:cs="Times New Roman"/>
          <w:sz w:val="24"/>
        </w:rPr>
      </w:pPr>
      <w:r w:rsidRPr="00C21E20">
        <w:rPr>
          <w:rFonts w:ascii="Times New Roman" w:eastAsia="宋体" w:hAnsi="Times New Roman" w:cs="Times New Roman"/>
          <w:sz w:val="24"/>
        </w:rPr>
        <w:t>2</w:t>
      </w:r>
      <w:r w:rsidRPr="00C21E20">
        <w:rPr>
          <w:rFonts w:ascii="Times New Roman" w:eastAsia="宋体" w:hAnsi="Times New Roman" w:cs="Times New Roman"/>
          <w:sz w:val="24"/>
        </w:rPr>
        <w:t>．如何应用中心极限定理解决实际问题？</w:t>
      </w:r>
    </w:p>
    <w:p w14:paraId="7502DBDE" w14:textId="77777777" w:rsidR="00C21E20" w:rsidRPr="00C21E20" w:rsidRDefault="00C21E20" w:rsidP="00C21E20">
      <w:pPr>
        <w:spacing w:beforeLines="50" w:before="156" w:afterLines="50" w:after="156" w:line="440" w:lineRule="exact"/>
        <w:ind w:firstLineChars="200" w:firstLine="560"/>
        <w:outlineLvl w:val="2"/>
        <w:rPr>
          <w:rFonts w:ascii="Times New Roman" w:eastAsia="黑体" w:hAnsi="Times New Roman" w:cs="Times New Roman"/>
          <w:sz w:val="24"/>
          <w:szCs w:val="28"/>
        </w:rPr>
      </w:pPr>
      <w:r w:rsidRPr="00C21E20">
        <w:rPr>
          <w:rFonts w:ascii="Times New Roman" w:eastAsia="黑体" w:hAnsi="Times New Roman" w:cs="Times New Roman"/>
          <w:sz w:val="28"/>
          <w:szCs w:val="28"/>
        </w:rPr>
        <w:t>（二）课程学习内容与课程学习目标的对应关系</w:t>
      </w:r>
      <w:r w:rsidRPr="00C21E20">
        <w:rPr>
          <w:rFonts w:ascii="Times New Roman" w:eastAsia="仿宋" w:hAnsi="Times New Roman" w:cs="Times New Roman"/>
          <w:sz w:val="24"/>
          <w:szCs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127"/>
        <w:gridCol w:w="2409"/>
        <w:gridCol w:w="1276"/>
      </w:tblGrid>
      <w:tr w:rsidR="00C21E20" w:rsidRPr="00C21E20" w14:paraId="7496F722" w14:textId="77777777" w:rsidTr="0002055D">
        <w:trPr>
          <w:trHeight w:val="660"/>
          <w:jc w:val="center"/>
        </w:trPr>
        <w:tc>
          <w:tcPr>
            <w:tcW w:w="2268" w:type="dxa"/>
            <w:vAlign w:val="center"/>
          </w:tcPr>
          <w:p w14:paraId="09B9B7AE" w14:textId="77777777" w:rsidR="00C21E20" w:rsidRPr="00C21E20" w:rsidRDefault="00C21E20" w:rsidP="00C21E20">
            <w:pPr>
              <w:spacing w:line="440" w:lineRule="exact"/>
              <w:jc w:val="center"/>
              <w:rPr>
                <w:rFonts w:ascii="Times New Roman" w:eastAsia="宋体" w:hAnsi="Times New Roman" w:cs="Times New Roman"/>
                <w:b/>
                <w:bCs/>
                <w:sz w:val="24"/>
                <w:szCs w:val="24"/>
              </w:rPr>
            </w:pPr>
            <w:r w:rsidRPr="00C21E20">
              <w:rPr>
                <w:rFonts w:ascii="Times New Roman" w:eastAsia="宋体" w:hAnsi="Times New Roman" w:cs="Times New Roman"/>
                <w:b/>
                <w:bCs/>
                <w:sz w:val="24"/>
                <w:szCs w:val="24"/>
              </w:rPr>
              <w:t>课程学习内容</w:t>
            </w:r>
          </w:p>
        </w:tc>
        <w:tc>
          <w:tcPr>
            <w:tcW w:w="2127" w:type="dxa"/>
            <w:vAlign w:val="center"/>
          </w:tcPr>
          <w:p w14:paraId="34C85492" w14:textId="77777777" w:rsidR="00C21E20" w:rsidRPr="00C21E20" w:rsidRDefault="00C21E20" w:rsidP="00C21E20">
            <w:pPr>
              <w:spacing w:line="440" w:lineRule="exact"/>
              <w:jc w:val="center"/>
              <w:rPr>
                <w:rFonts w:ascii="Times New Roman" w:eastAsia="宋体" w:hAnsi="Times New Roman" w:cs="Times New Roman"/>
                <w:b/>
                <w:bCs/>
                <w:sz w:val="24"/>
                <w:szCs w:val="24"/>
              </w:rPr>
            </w:pPr>
            <w:r w:rsidRPr="00C21E20">
              <w:rPr>
                <w:rFonts w:ascii="Times New Roman" w:eastAsia="宋体" w:hAnsi="Times New Roman" w:cs="Times New Roman"/>
                <w:b/>
                <w:bCs/>
                <w:sz w:val="24"/>
                <w:szCs w:val="24"/>
              </w:rPr>
              <w:t>教学方法</w:t>
            </w:r>
          </w:p>
        </w:tc>
        <w:tc>
          <w:tcPr>
            <w:tcW w:w="2409" w:type="dxa"/>
            <w:vAlign w:val="center"/>
          </w:tcPr>
          <w:p w14:paraId="04612E06" w14:textId="77777777" w:rsidR="00C21E20" w:rsidRPr="00C21E20" w:rsidRDefault="00C21E20" w:rsidP="00C21E20">
            <w:pPr>
              <w:spacing w:line="440" w:lineRule="exact"/>
              <w:jc w:val="center"/>
              <w:rPr>
                <w:rFonts w:ascii="Times New Roman" w:eastAsia="宋体" w:hAnsi="Times New Roman" w:cs="Times New Roman"/>
                <w:b/>
                <w:bCs/>
                <w:sz w:val="24"/>
                <w:szCs w:val="24"/>
              </w:rPr>
            </w:pPr>
            <w:r w:rsidRPr="00C21E20">
              <w:rPr>
                <w:rFonts w:ascii="Times New Roman" w:eastAsia="宋体" w:hAnsi="Times New Roman" w:cs="Times New Roman"/>
                <w:b/>
                <w:bCs/>
                <w:sz w:val="24"/>
                <w:szCs w:val="24"/>
              </w:rPr>
              <w:t>支撑的课程目标</w:t>
            </w:r>
          </w:p>
        </w:tc>
        <w:tc>
          <w:tcPr>
            <w:tcW w:w="1276" w:type="dxa"/>
            <w:vAlign w:val="center"/>
          </w:tcPr>
          <w:p w14:paraId="1F2F4C83" w14:textId="77777777" w:rsidR="00C21E20" w:rsidRPr="00C21E20" w:rsidRDefault="00C21E20" w:rsidP="00C21E20">
            <w:pPr>
              <w:spacing w:line="440" w:lineRule="exact"/>
              <w:jc w:val="center"/>
              <w:rPr>
                <w:rFonts w:ascii="Times New Roman" w:eastAsia="宋体" w:hAnsi="Times New Roman" w:cs="Times New Roman"/>
                <w:b/>
                <w:bCs/>
                <w:sz w:val="24"/>
                <w:szCs w:val="24"/>
              </w:rPr>
            </w:pPr>
            <w:r w:rsidRPr="00C21E20">
              <w:rPr>
                <w:rFonts w:ascii="Times New Roman" w:eastAsia="宋体" w:hAnsi="Times New Roman" w:cs="Times New Roman"/>
                <w:b/>
                <w:bCs/>
                <w:sz w:val="24"/>
                <w:szCs w:val="24"/>
              </w:rPr>
              <w:t>学时安排</w:t>
            </w:r>
          </w:p>
        </w:tc>
      </w:tr>
      <w:tr w:rsidR="00C21E20" w:rsidRPr="00C21E20" w14:paraId="3C57195E" w14:textId="77777777" w:rsidTr="0002055D">
        <w:trPr>
          <w:trHeight w:val="514"/>
          <w:jc w:val="center"/>
        </w:trPr>
        <w:tc>
          <w:tcPr>
            <w:tcW w:w="2268" w:type="dxa"/>
            <w:vAlign w:val="center"/>
          </w:tcPr>
          <w:p w14:paraId="5E93C05F" w14:textId="77777777" w:rsidR="00C21E20" w:rsidRPr="00C21E20" w:rsidRDefault="00C21E20" w:rsidP="00C21E20">
            <w:pPr>
              <w:spacing w:line="440" w:lineRule="exact"/>
              <w:jc w:val="left"/>
              <w:rPr>
                <w:rFonts w:ascii="Times New Roman" w:eastAsia="宋体" w:hAnsi="Times New Roman" w:cs="Times New Roman"/>
                <w:sz w:val="24"/>
                <w:szCs w:val="24"/>
              </w:rPr>
            </w:pPr>
            <w:r w:rsidRPr="00C21E20">
              <w:rPr>
                <w:rFonts w:ascii="Times New Roman" w:eastAsia="宋体" w:hAnsi="Times New Roman" w:cs="Times New Roman"/>
                <w:sz w:val="24"/>
                <w:szCs w:val="24"/>
              </w:rPr>
              <w:t>第一章</w:t>
            </w:r>
            <w:r w:rsidRPr="00C21E20">
              <w:rPr>
                <w:rFonts w:ascii="Times New Roman" w:eastAsia="宋体" w:hAnsi="Times New Roman" w:cs="Times New Roman"/>
                <w:sz w:val="24"/>
                <w:szCs w:val="24"/>
              </w:rPr>
              <w:t xml:space="preserve"> </w:t>
            </w:r>
            <w:r w:rsidRPr="00C21E20">
              <w:rPr>
                <w:rFonts w:ascii="Times New Roman" w:eastAsia="宋体" w:hAnsi="Times New Roman" w:cs="Times New Roman"/>
                <w:sz w:val="24"/>
                <w:szCs w:val="24"/>
              </w:rPr>
              <w:t>随机事件和概率</w:t>
            </w:r>
          </w:p>
        </w:tc>
        <w:tc>
          <w:tcPr>
            <w:tcW w:w="2127" w:type="dxa"/>
            <w:vAlign w:val="center"/>
          </w:tcPr>
          <w:p w14:paraId="6547E170"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讲授法、启发式教学、讲练结合</w:t>
            </w:r>
          </w:p>
        </w:tc>
        <w:tc>
          <w:tcPr>
            <w:tcW w:w="2409" w:type="dxa"/>
            <w:vAlign w:val="center"/>
          </w:tcPr>
          <w:p w14:paraId="11A0793B"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课程目标</w:t>
            </w: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w:t>
            </w:r>
            <w:r w:rsidRPr="00C21E20">
              <w:rPr>
                <w:rFonts w:ascii="Times New Roman" w:eastAsia="宋体" w:hAnsi="Times New Roman" w:cs="Times New Roman"/>
                <w:sz w:val="24"/>
                <w:szCs w:val="24"/>
              </w:rPr>
              <w:t>2</w:t>
            </w:r>
          </w:p>
        </w:tc>
        <w:tc>
          <w:tcPr>
            <w:tcW w:w="1276" w:type="dxa"/>
            <w:vAlign w:val="center"/>
          </w:tcPr>
          <w:p w14:paraId="5457835B"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hint="eastAsia"/>
                <w:sz w:val="24"/>
                <w:szCs w:val="24"/>
              </w:rPr>
              <w:t>8</w:t>
            </w:r>
          </w:p>
        </w:tc>
      </w:tr>
      <w:tr w:rsidR="00C21E20" w:rsidRPr="00C21E20" w14:paraId="1AA030E3" w14:textId="77777777" w:rsidTr="0002055D">
        <w:trPr>
          <w:trHeight w:val="90"/>
          <w:jc w:val="center"/>
        </w:trPr>
        <w:tc>
          <w:tcPr>
            <w:tcW w:w="2268" w:type="dxa"/>
            <w:vAlign w:val="center"/>
          </w:tcPr>
          <w:p w14:paraId="747506C8" w14:textId="77777777" w:rsidR="00C21E20" w:rsidRPr="00C21E20" w:rsidRDefault="00C21E20" w:rsidP="00C21E20">
            <w:pPr>
              <w:spacing w:line="440" w:lineRule="exact"/>
              <w:jc w:val="left"/>
              <w:rPr>
                <w:rFonts w:ascii="Times New Roman" w:eastAsia="宋体" w:hAnsi="Times New Roman" w:cs="Times New Roman"/>
                <w:sz w:val="24"/>
                <w:szCs w:val="24"/>
              </w:rPr>
            </w:pPr>
            <w:r w:rsidRPr="00C21E20">
              <w:rPr>
                <w:rFonts w:ascii="Times New Roman" w:eastAsia="宋体" w:hAnsi="Times New Roman" w:cs="Times New Roman"/>
                <w:sz w:val="24"/>
                <w:szCs w:val="24"/>
              </w:rPr>
              <w:t>第二章</w:t>
            </w:r>
            <w:r w:rsidRPr="00C21E20">
              <w:rPr>
                <w:rFonts w:ascii="Times New Roman" w:eastAsia="宋体" w:hAnsi="Times New Roman" w:cs="Times New Roman"/>
                <w:sz w:val="24"/>
                <w:szCs w:val="24"/>
              </w:rPr>
              <w:t xml:space="preserve"> </w:t>
            </w:r>
            <w:r w:rsidRPr="00C21E20">
              <w:rPr>
                <w:rFonts w:ascii="Times New Roman" w:eastAsia="宋体" w:hAnsi="Times New Roman" w:cs="Times New Roman"/>
                <w:sz w:val="24"/>
                <w:szCs w:val="24"/>
              </w:rPr>
              <w:t>随机变量及其分布</w:t>
            </w:r>
          </w:p>
        </w:tc>
        <w:tc>
          <w:tcPr>
            <w:tcW w:w="2127" w:type="dxa"/>
            <w:vAlign w:val="center"/>
          </w:tcPr>
          <w:p w14:paraId="48922C7A"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讲授法、启发式教学</w:t>
            </w:r>
            <w:r w:rsidRPr="00C21E20">
              <w:rPr>
                <w:rFonts w:ascii="Times New Roman" w:eastAsia="宋体" w:hAnsi="Times New Roman" w:cs="Times New Roman" w:hint="eastAsia"/>
                <w:sz w:val="24"/>
                <w:szCs w:val="24"/>
              </w:rPr>
              <w:t>、讲练结合</w:t>
            </w:r>
          </w:p>
        </w:tc>
        <w:tc>
          <w:tcPr>
            <w:tcW w:w="2409" w:type="dxa"/>
            <w:vAlign w:val="center"/>
          </w:tcPr>
          <w:p w14:paraId="2AC12E0C"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课程目标</w:t>
            </w: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w:t>
            </w: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w:t>
            </w:r>
            <w:r w:rsidRPr="00C21E20">
              <w:rPr>
                <w:rFonts w:ascii="Times New Roman" w:eastAsia="宋体" w:hAnsi="Times New Roman" w:cs="Times New Roman"/>
                <w:sz w:val="24"/>
                <w:szCs w:val="24"/>
              </w:rPr>
              <w:t>3</w:t>
            </w:r>
          </w:p>
        </w:tc>
        <w:tc>
          <w:tcPr>
            <w:tcW w:w="1276" w:type="dxa"/>
            <w:vAlign w:val="center"/>
          </w:tcPr>
          <w:p w14:paraId="50104126"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12</w:t>
            </w:r>
          </w:p>
        </w:tc>
      </w:tr>
      <w:tr w:rsidR="00C21E20" w:rsidRPr="00C21E20" w14:paraId="42918178" w14:textId="77777777" w:rsidTr="0002055D">
        <w:trPr>
          <w:jc w:val="center"/>
        </w:trPr>
        <w:tc>
          <w:tcPr>
            <w:tcW w:w="2268" w:type="dxa"/>
            <w:vAlign w:val="center"/>
          </w:tcPr>
          <w:p w14:paraId="0E804564" w14:textId="77777777" w:rsidR="00C21E20" w:rsidRPr="00C21E20" w:rsidRDefault="00C21E20" w:rsidP="00C21E20">
            <w:pPr>
              <w:spacing w:line="440" w:lineRule="exact"/>
              <w:jc w:val="left"/>
              <w:rPr>
                <w:rFonts w:ascii="Times New Roman" w:eastAsia="宋体" w:hAnsi="Times New Roman" w:cs="Times New Roman"/>
                <w:sz w:val="24"/>
                <w:szCs w:val="24"/>
              </w:rPr>
            </w:pPr>
            <w:r w:rsidRPr="00C21E20">
              <w:rPr>
                <w:rFonts w:ascii="Times New Roman" w:eastAsia="宋体" w:hAnsi="Times New Roman" w:cs="Times New Roman"/>
                <w:sz w:val="24"/>
                <w:szCs w:val="24"/>
              </w:rPr>
              <w:t>第三章</w:t>
            </w:r>
            <w:r w:rsidRPr="00C21E20">
              <w:rPr>
                <w:rFonts w:ascii="Times New Roman" w:eastAsia="宋体" w:hAnsi="Times New Roman" w:cs="Times New Roman"/>
                <w:sz w:val="24"/>
                <w:szCs w:val="24"/>
              </w:rPr>
              <w:t xml:space="preserve"> </w:t>
            </w:r>
            <w:r w:rsidRPr="00C21E20">
              <w:rPr>
                <w:rFonts w:ascii="Times New Roman" w:eastAsia="宋体" w:hAnsi="Times New Roman" w:cs="Times New Roman"/>
                <w:sz w:val="24"/>
                <w:szCs w:val="24"/>
              </w:rPr>
              <w:t>多维随机变量及其分布</w:t>
            </w:r>
          </w:p>
        </w:tc>
        <w:tc>
          <w:tcPr>
            <w:tcW w:w="2127" w:type="dxa"/>
            <w:vAlign w:val="center"/>
          </w:tcPr>
          <w:p w14:paraId="69F2C765"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讲授法、启发式教学、讲练结合</w:t>
            </w:r>
          </w:p>
        </w:tc>
        <w:tc>
          <w:tcPr>
            <w:tcW w:w="2409" w:type="dxa"/>
            <w:vAlign w:val="center"/>
          </w:tcPr>
          <w:p w14:paraId="21D86521"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课程目标</w:t>
            </w: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w:t>
            </w: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w:t>
            </w:r>
            <w:r w:rsidRPr="00C21E20">
              <w:rPr>
                <w:rFonts w:ascii="Times New Roman" w:eastAsia="宋体" w:hAnsi="Times New Roman" w:cs="Times New Roman"/>
                <w:sz w:val="24"/>
                <w:szCs w:val="24"/>
              </w:rPr>
              <w:t>3</w:t>
            </w:r>
            <w:r w:rsidRPr="00C21E20">
              <w:rPr>
                <w:rFonts w:ascii="Times New Roman" w:eastAsia="宋体" w:hAnsi="Times New Roman" w:cs="Times New Roman"/>
                <w:sz w:val="24"/>
                <w:szCs w:val="24"/>
              </w:rPr>
              <w:t>、</w:t>
            </w:r>
            <w:r w:rsidRPr="00C21E20">
              <w:rPr>
                <w:rFonts w:ascii="Times New Roman" w:eastAsia="宋体" w:hAnsi="Times New Roman" w:cs="Times New Roman"/>
                <w:sz w:val="24"/>
                <w:szCs w:val="24"/>
              </w:rPr>
              <w:t>4</w:t>
            </w:r>
          </w:p>
        </w:tc>
        <w:tc>
          <w:tcPr>
            <w:tcW w:w="1276" w:type="dxa"/>
            <w:vAlign w:val="center"/>
          </w:tcPr>
          <w:p w14:paraId="05AC6B00"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1</w:t>
            </w:r>
            <w:r w:rsidRPr="00C21E20">
              <w:rPr>
                <w:rFonts w:ascii="Times New Roman" w:eastAsia="宋体" w:hAnsi="Times New Roman" w:cs="Times New Roman" w:hint="eastAsia"/>
                <w:sz w:val="24"/>
                <w:szCs w:val="24"/>
              </w:rPr>
              <w:t>2</w:t>
            </w:r>
          </w:p>
        </w:tc>
      </w:tr>
      <w:tr w:rsidR="00C21E20" w:rsidRPr="00C21E20" w14:paraId="3BF3B40F" w14:textId="77777777" w:rsidTr="0002055D">
        <w:trPr>
          <w:jc w:val="center"/>
        </w:trPr>
        <w:tc>
          <w:tcPr>
            <w:tcW w:w="2268" w:type="dxa"/>
            <w:vAlign w:val="center"/>
          </w:tcPr>
          <w:p w14:paraId="6320A159" w14:textId="77777777" w:rsidR="00C21E20" w:rsidRPr="00C21E20" w:rsidRDefault="00C21E20" w:rsidP="00C21E20">
            <w:pPr>
              <w:spacing w:line="440" w:lineRule="exact"/>
              <w:jc w:val="left"/>
              <w:rPr>
                <w:rFonts w:ascii="Times New Roman" w:eastAsia="宋体" w:hAnsi="Times New Roman" w:cs="Times New Roman"/>
                <w:sz w:val="24"/>
                <w:szCs w:val="24"/>
              </w:rPr>
            </w:pPr>
            <w:r w:rsidRPr="00C21E20">
              <w:rPr>
                <w:rFonts w:ascii="Times New Roman" w:eastAsia="宋体" w:hAnsi="Times New Roman" w:cs="Times New Roman"/>
                <w:sz w:val="24"/>
                <w:szCs w:val="24"/>
              </w:rPr>
              <w:t>第四章</w:t>
            </w:r>
            <w:r w:rsidRPr="00C21E20">
              <w:rPr>
                <w:rFonts w:ascii="Times New Roman" w:eastAsia="宋体" w:hAnsi="Times New Roman" w:cs="Times New Roman"/>
                <w:sz w:val="24"/>
                <w:szCs w:val="24"/>
              </w:rPr>
              <w:t xml:space="preserve"> </w:t>
            </w:r>
            <w:r w:rsidRPr="00C21E20">
              <w:rPr>
                <w:rFonts w:ascii="Times New Roman" w:eastAsia="宋体" w:hAnsi="Times New Roman" w:cs="Times New Roman"/>
                <w:sz w:val="24"/>
                <w:szCs w:val="24"/>
              </w:rPr>
              <w:t>数字特征</w:t>
            </w:r>
          </w:p>
        </w:tc>
        <w:tc>
          <w:tcPr>
            <w:tcW w:w="2127" w:type="dxa"/>
            <w:vAlign w:val="center"/>
          </w:tcPr>
          <w:p w14:paraId="75DABB7B"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讲授法、</w:t>
            </w:r>
            <w:r w:rsidRPr="00C21E20">
              <w:rPr>
                <w:rFonts w:ascii="Times New Roman" w:eastAsia="宋体" w:hAnsi="Times New Roman" w:cs="Times New Roman" w:hint="eastAsia"/>
                <w:sz w:val="24"/>
                <w:szCs w:val="24"/>
              </w:rPr>
              <w:t>启发式教学、</w:t>
            </w:r>
            <w:r w:rsidRPr="00C21E20">
              <w:rPr>
                <w:rFonts w:ascii="Times New Roman" w:eastAsia="宋体" w:hAnsi="Times New Roman" w:cs="Times New Roman"/>
                <w:sz w:val="24"/>
                <w:szCs w:val="24"/>
              </w:rPr>
              <w:t>讲练结合</w:t>
            </w:r>
          </w:p>
        </w:tc>
        <w:tc>
          <w:tcPr>
            <w:tcW w:w="2409" w:type="dxa"/>
            <w:vAlign w:val="center"/>
          </w:tcPr>
          <w:p w14:paraId="635749F4"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课程目标</w:t>
            </w: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w:t>
            </w: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w:t>
            </w:r>
            <w:r w:rsidRPr="00C21E20">
              <w:rPr>
                <w:rFonts w:ascii="Times New Roman" w:eastAsia="宋体" w:hAnsi="Times New Roman" w:cs="Times New Roman"/>
                <w:sz w:val="24"/>
                <w:szCs w:val="24"/>
              </w:rPr>
              <w:t>3</w:t>
            </w:r>
            <w:r w:rsidRPr="00C21E20">
              <w:rPr>
                <w:rFonts w:ascii="Times New Roman" w:eastAsia="宋体" w:hAnsi="Times New Roman" w:cs="Times New Roman"/>
                <w:sz w:val="24"/>
                <w:szCs w:val="24"/>
              </w:rPr>
              <w:t>、</w:t>
            </w:r>
            <w:r w:rsidRPr="00C21E20">
              <w:rPr>
                <w:rFonts w:ascii="Times New Roman" w:eastAsia="宋体" w:hAnsi="Times New Roman" w:cs="Times New Roman"/>
                <w:sz w:val="24"/>
                <w:szCs w:val="24"/>
              </w:rPr>
              <w:t>4</w:t>
            </w:r>
          </w:p>
        </w:tc>
        <w:tc>
          <w:tcPr>
            <w:tcW w:w="1276" w:type="dxa"/>
            <w:vAlign w:val="center"/>
          </w:tcPr>
          <w:p w14:paraId="26BD019D"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10</w:t>
            </w:r>
          </w:p>
        </w:tc>
      </w:tr>
      <w:tr w:rsidR="00C21E20" w:rsidRPr="00C21E20" w14:paraId="3F61E082" w14:textId="77777777" w:rsidTr="0002055D">
        <w:trPr>
          <w:jc w:val="center"/>
        </w:trPr>
        <w:tc>
          <w:tcPr>
            <w:tcW w:w="2268" w:type="dxa"/>
            <w:vAlign w:val="center"/>
          </w:tcPr>
          <w:p w14:paraId="0F4F7CFE" w14:textId="77777777" w:rsidR="00C21E20" w:rsidRPr="00C21E20" w:rsidRDefault="00C21E20" w:rsidP="00C21E20">
            <w:pPr>
              <w:spacing w:line="440" w:lineRule="exact"/>
              <w:jc w:val="left"/>
              <w:rPr>
                <w:rFonts w:ascii="Times New Roman" w:eastAsia="宋体" w:hAnsi="Times New Roman" w:cs="Times New Roman"/>
                <w:sz w:val="24"/>
                <w:szCs w:val="24"/>
              </w:rPr>
            </w:pPr>
            <w:r w:rsidRPr="00C21E20">
              <w:rPr>
                <w:rFonts w:ascii="Times New Roman" w:eastAsia="宋体" w:hAnsi="Times New Roman" w:cs="Times New Roman"/>
                <w:sz w:val="24"/>
                <w:szCs w:val="24"/>
              </w:rPr>
              <w:t>第五章</w:t>
            </w:r>
            <w:r w:rsidRPr="00C21E20">
              <w:rPr>
                <w:rFonts w:ascii="Times New Roman" w:eastAsia="宋体" w:hAnsi="Times New Roman" w:cs="Times New Roman"/>
                <w:sz w:val="24"/>
                <w:szCs w:val="24"/>
              </w:rPr>
              <w:t xml:space="preserve"> </w:t>
            </w:r>
            <w:r w:rsidRPr="00C21E20">
              <w:rPr>
                <w:rFonts w:ascii="Times New Roman" w:eastAsia="宋体" w:hAnsi="Times New Roman" w:cs="Times New Roman"/>
                <w:sz w:val="24"/>
                <w:szCs w:val="24"/>
              </w:rPr>
              <w:t>极限定理</w:t>
            </w:r>
          </w:p>
        </w:tc>
        <w:tc>
          <w:tcPr>
            <w:tcW w:w="2127" w:type="dxa"/>
            <w:vAlign w:val="center"/>
          </w:tcPr>
          <w:p w14:paraId="777AD212"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讲授法、</w:t>
            </w:r>
            <w:r w:rsidRPr="00C21E20">
              <w:rPr>
                <w:rFonts w:ascii="Times New Roman" w:eastAsia="宋体" w:hAnsi="Times New Roman" w:cs="Times New Roman" w:hint="eastAsia"/>
                <w:sz w:val="24"/>
                <w:szCs w:val="24"/>
              </w:rPr>
              <w:t>启发式教学、</w:t>
            </w:r>
            <w:r w:rsidRPr="00C21E20">
              <w:rPr>
                <w:rFonts w:ascii="Times New Roman" w:eastAsia="宋体" w:hAnsi="Times New Roman" w:cs="Times New Roman"/>
                <w:sz w:val="24"/>
                <w:szCs w:val="24"/>
              </w:rPr>
              <w:t>讲练结合</w:t>
            </w:r>
          </w:p>
        </w:tc>
        <w:tc>
          <w:tcPr>
            <w:tcW w:w="2409" w:type="dxa"/>
            <w:vAlign w:val="center"/>
          </w:tcPr>
          <w:p w14:paraId="3DD9E66A"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课程目标</w:t>
            </w: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w:t>
            </w: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w:t>
            </w:r>
            <w:r w:rsidRPr="00C21E20">
              <w:rPr>
                <w:rFonts w:ascii="Times New Roman" w:eastAsia="宋体" w:hAnsi="Times New Roman" w:cs="Times New Roman"/>
                <w:sz w:val="24"/>
                <w:szCs w:val="24"/>
              </w:rPr>
              <w:t>3</w:t>
            </w:r>
            <w:r w:rsidRPr="00C21E20">
              <w:rPr>
                <w:rFonts w:ascii="Times New Roman" w:eastAsia="宋体" w:hAnsi="Times New Roman" w:cs="Times New Roman"/>
                <w:sz w:val="24"/>
                <w:szCs w:val="24"/>
              </w:rPr>
              <w:t>、</w:t>
            </w:r>
            <w:r w:rsidRPr="00C21E20">
              <w:rPr>
                <w:rFonts w:ascii="Times New Roman" w:eastAsia="宋体" w:hAnsi="Times New Roman" w:cs="Times New Roman"/>
                <w:sz w:val="24"/>
                <w:szCs w:val="24"/>
              </w:rPr>
              <w:t>4</w:t>
            </w:r>
          </w:p>
        </w:tc>
        <w:tc>
          <w:tcPr>
            <w:tcW w:w="1276" w:type="dxa"/>
            <w:vAlign w:val="center"/>
          </w:tcPr>
          <w:p w14:paraId="6B693D4F"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sz w:val="24"/>
                <w:szCs w:val="24"/>
              </w:rPr>
              <w:t>6</w:t>
            </w:r>
          </w:p>
        </w:tc>
      </w:tr>
      <w:tr w:rsidR="00C21E20" w:rsidRPr="00C21E20" w14:paraId="7C816E26" w14:textId="77777777" w:rsidTr="0002055D">
        <w:trPr>
          <w:jc w:val="center"/>
        </w:trPr>
        <w:tc>
          <w:tcPr>
            <w:tcW w:w="6804" w:type="dxa"/>
            <w:gridSpan w:val="3"/>
            <w:vAlign w:val="center"/>
          </w:tcPr>
          <w:p w14:paraId="28EEA8C7" w14:textId="77777777" w:rsidR="00C21E20" w:rsidRPr="00C21E20" w:rsidRDefault="00C21E20" w:rsidP="00C21E20">
            <w:pPr>
              <w:spacing w:line="440" w:lineRule="exact"/>
              <w:jc w:val="center"/>
              <w:rPr>
                <w:rFonts w:ascii="Times New Roman" w:eastAsia="宋体" w:hAnsi="Times New Roman" w:cs="Times New Roman"/>
                <w:b/>
                <w:sz w:val="24"/>
                <w:szCs w:val="24"/>
              </w:rPr>
            </w:pPr>
            <w:r w:rsidRPr="00C21E20">
              <w:rPr>
                <w:rFonts w:ascii="Times New Roman" w:eastAsia="宋体" w:hAnsi="Times New Roman" w:cs="Times New Roman"/>
                <w:b/>
                <w:sz w:val="24"/>
                <w:szCs w:val="24"/>
              </w:rPr>
              <w:t>合计</w:t>
            </w:r>
          </w:p>
        </w:tc>
        <w:tc>
          <w:tcPr>
            <w:tcW w:w="1276" w:type="dxa"/>
            <w:vAlign w:val="center"/>
          </w:tcPr>
          <w:p w14:paraId="66CDB40E" w14:textId="77777777" w:rsidR="00C21E20" w:rsidRPr="00C21E20" w:rsidRDefault="00C21E20" w:rsidP="00C21E20">
            <w:pPr>
              <w:spacing w:line="440" w:lineRule="exact"/>
              <w:jc w:val="center"/>
              <w:rPr>
                <w:rFonts w:ascii="Times New Roman" w:eastAsia="宋体" w:hAnsi="Times New Roman" w:cs="Times New Roman"/>
                <w:sz w:val="24"/>
                <w:szCs w:val="24"/>
              </w:rPr>
            </w:pPr>
            <w:r w:rsidRPr="00C21E20">
              <w:rPr>
                <w:rFonts w:ascii="Times New Roman" w:eastAsia="宋体" w:hAnsi="Times New Roman" w:cs="Times New Roman" w:hint="eastAsia"/>
                <w:sz w:val="24"/>
                <w:szCs w:val="24"/>
              </w:rPr>
              <w:t>48</w:t>
            </w:r>
          </w:p>
        </w:tc>
      </w:tr>
    </w:tbl>
    <w:p w14:paraId="0C6BABAF" w14:textId="77777777" w:rsidR="00C21E20" w:rsidRPr="00C21E20" w:rsidRDefault="00C21E20" w:rsidP="00C21E20">
      <w:pPr>
        <w:spacing w:beforeLines="50" w:before="156" w:afterLines="50" w:after="156" w:line="440" w:lineRule="exact"/>
        <w:ind w:firstLineChars="200" w:firstLine="560"/>
        <w:outlineLvl w:val="1"/>
        <w:rPr>
          <w:rFonts w:ascii="Times New Roman" w:eastAsia="黑体" w:hAnsi="Times New Roman" w:cs="Times New Roman"/>
          <w:sz w:val="24"/>
          <w:szCs w:val="28"/>
        </w:rPr>
      </w:pPr>
      <w:r w:rsidRPr="00C21E20">
        <w:rPr>
          <w:rFonts w:ascii="Times New Roman" w:eastAsia="黑体" w:hAnsi="Times New Roman" w:cs="Times New Roman"/>
          <w:sz w:val="28"/>
          <w:szCs w:val="28"/>
        </w:rPr>
        <w:lastRenderedPageBreak/>
        <w:t>四、课程考核及与课程学习目标的对应关系</w:t>
      </w:r>
    </w:p>
    <w:p w14:paraId="19A60010" w14:textId="77777777" w:rsidR="00C21E20" w:rsidRPr="00C21E20" w:rsidRDefault="00C21E20" w:rsidP="00C21E20">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21E20">
        <w:rPr>
          <w:rFonts w:ascii="Times New Roman" w:eastAsia="黑体" w:hAnsi="Times New Roman" w:cs="Times New Roman"/>
          <w:sz w:val="28"/>
          <w:szCs w:val="28"/>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5812"/>
      </w:tblGrid>
      <w:tr w:rsidR="00C21E20" w:rsidRPr="00C21E20" w14:paraId="0ADA7F6A" w14:textId="77777777" w:rsidTr="0002055D">
        <w:trPr>
          <w:trHeight w:val="515"/>
          <w:jc w:val="center"/>
        </w:trPr>
        <w:tc>
          <w:tcPr>
            <w:tcW w:w="2268" w:type="dxa"/>
          </w:tcPr>
          <w:p w14:paraId="105D3517" w14:textId="77777777" w:rsidR="00C21E20" w:rsidRPr="00C21E20" w:rsidRDefault="00C21E20" w:rsidP="00C21E20">
            <w:pPr>
              <w:spacing w:line="440" w:lineRule="exact"/>
              <w:jc w:val="center"/>
              <w:rPr>
                <w:rFonts w:ascii="Times New Roman" w:eastAsia="宋体" w:hAnsi="Times New Roman" w:cs="Times New Roman"/>
                <w:b/>
                <w:sz w:val="24"/>
                <w:szCs w:val="24"/>
              </w:rPr>
            </w:pPr>
            <w:r w:rsidRPr="00C21E20">
              <w:rPr>
                <w:rFonts w:ascii="Times New Roman" w:eastAsia="宋体" w:hAnsi="Times New Roman" w:cs="Times New Roman"/>
                <w:b/>
                <w:sz w:val="24"/>
                <w:szCs w:val="24"/>
              </w:rPr>
              <w:t>课程目标</w:t>
            </w:r>
          </w:p>
        </w:tc>
        <w:tc>
          <w:tcPr>
            <w:tcW w:w="5812" w:type="dxa"/>
            <w:vAlign w:val="center"/>
          </w:tcPr>
          <w:p w14:paraId="62CA6D93" w14:textId="77777777" w:rsidR="00C21E20" w:rsidRPr="00C21E20" w:rsidRDefault="00C21E20" w:rsidP="00C21E20">
            <w:pPr>
              <w:spacing w:line="440" w:lineRule="exact"/>
              <w:jc w:val="center"/>
              <w:rPr>
                <w:rFonts w:ascii="Times New Roman" w:eastAsia="宋体" w:hAnsi="Times New Roman" w:cs="Times New Roman"/>
                <w:b/>
                <w:sz w:val="24"/>
                <w:szCs w:val="24"/>
              </w:rPr>
            </w:pPr>
            <w:r w:rsidRPr="00C21E20">
              <w:rPr>
                <w:rFonts w:ascii="Times New Roman" w:eastAsia="宋体" w:hAnsi="Times New Roman" w:cs="Times New Roman"/>
                <w:b/>
                <w:sz w:val="24"/>
                <w:szCs w:val="24"/>
              </w:rPr>
              <w:t>考核内容</w:t>
            </w:r>
          </w:p>
        </w:tc>
      </w:tr>
      <w:tr w:rsidR="00C21E20" w:rsidRPr="00C21E20" w14:paraId="7F10A0EC" w14:textId="77777777" w:rsidTr="0002055D">
        <w:trPr>
          <w:jc w:val="center"/>
        </w:trPr>
        <w:tc>
          <w:tcPr>
            <w:tcW w:w="2268" w:type="dxa"/>
            <w:vAlign w:val="center"/>
          </w:tcPr>
          <w:p w14:paraId="7B56C545" w14:textId="77777777" w:rsidR="00C21E20" w:rsidRPr="00C21E20" w:rsidRDefault="00C21E20" w:rsidP="00C21E20">
            <w:pPr>
              <w:spacing w:line="440" w:lineRule="exact"/>
              <w:jc w:val="center"/>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课程目标</w:t>
            </w:r>
            <w:r w:rsidRPr="00C21E20">
              <w:rPr>
                <w:rFonts w:ascii="Times New Roman" w:eastAsia="宋体" w:hAnsi="Times New Roman" w:cs="Times New Roman"/>
                <w:bCs/>
                <w:sz w:val="24"/>
                <w:szCs w:val="24"/>
              </w:rPr>
              <w:t>1</w:t>
            </w:r>
          </w:p>
        </w:tc>
        <w:tc>
          <w:tcPr>
            <w:tcW w:w="5812" w:type="dxa"/>
            <w:vAlign w:val="center"/>
          </w:tcPr>
          <w:p w14:paraId="4ADAD802"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1.1</w:t>
            </w:r>
            <w:r w:rsidRPr="00C21E20">
              <w:rPr>
                <w:rFonts w:ascii="Times New Roman" w:eastAsia="宋体" w:hAnsi="Times New Roman" w:cs="Times New Roman"/>
                <w:bCs/>
                <w:sz w:val="24"/>
                <w:szCs w:val="24"/>
              </w:rPr>
              <w:t>随机事件和概率；</w:t>
            </w:r>
            <w:r w:rsidRPr="00C21E20">
              <w:rPr>
                <w:rFonts w:ascii="Times New Roman" w:eastAsia="宋体" w:hAnsi="Times New Roman" w:cs="Times New Roman"/>
                <w:bCs/>
                <w:sz w:val="24"/>
                <w:szCs w:val="24"/>
              </w:rPr>
              <w:t xml:space="preserve"> </w:t>
            </w:r>
          </w:p>
          <w:p w14:paraId="489DACF4"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1.2</w:t>
            </w:r>
            <w:r w:rsidRPr="00C21E20">
              <w:rPr>
                <w:rFonts w:ascii="Times New Roman" w:eastAsia="宋体" w:hAnsi="Times New Roman" w:cs="Times New Roman"/>
                <w:bCs/>
                <w:sz w:val="24"/>
                <w:szCs w:val="24"/>
              </w:rPr>
              <w:t>随机变量及其分布；</w:t>
            </w:r>
          </w:p>
          <w:p w14:paraId="6400D984"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1.3</w:t>
            </w:r>
            <w:r w:rsidRPr="00C21E20">
              <w:rPr>
                <w:rFonts w:ascii="Times New Roman" w:eastAsia="宋体" w:hAnsi="Times New Roman" w:cs="Times New Roman"/>
                <w:bCs/>
                <w:sz w:val="24"/>
                <w:szCs w:val="24"/>
              </w:rPr>
              <w:t>多维随机变量及其分布；</w:t>
            </w:r>
          </w:p>
          <w:p w14:paraId="0FA584BB"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1.4</w:t>
            </w:r>
            <w:r w:rsidRPr="00C21E20">
              <w:rPr>
                <w:rFonts w:ascii="Times New Roman" w:eastAsia="宋体" w:hAnsi="Times New Roman" w:cs="Times New Roman"/>
                <w:bCs/>
                <w:sz w:val="24"/>
                <w:szCs w:val="24"/>
              </w:rPr>
              <w:t>数字特征；</w:t>
            </w:r>
          </w:p>
          <w:p w14:paraId="5BE1C35D"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1.5</w:t>
            </w:r>
            <w:r w:rsidRPr="00C21E20">
              <w:rPr>
                <w:rFonts w:ascii="Times New Roman" w:eastAsia="宋体" w:hAnsi="Times New Roman" w:cs="Times New Roman"/>
                <w:bCs/>
                <w:sz w:val="24"/>
                <w:szCs w:val="24"/>
              </w:rPr>
              <w:t>极限定理</w:t>
            </w:r>
            <w:r w:rsidRPr="00C21E20">
              <w:rPr>
                <w:rFonts w:ascii="Times New Roman" w:eastAsia="宋体" w:hAnsi="Times New Roman" w:cs="Times New Roman" w:hint="eastAsia"/>
                <w:bCs/>
                <w:sz w:val="24"/>
                <w:szCs w:val="24"/>
              </w:rPr>
              <w:t>.</w:t>
            </w:r>
          </w:p>
        </w:tc>
      </w:tr>
      <w:tr w:rsidR="00C21E20" w:rsidRPr="00C21E20" w14:paraId="14E9F40A" w14:textId="77777777" w:rsidTr="0002055D">
        <w:trPr>
          <w:jc w:val="center"/>
        </w:trPr>
        <w:tc>
          <w:tcPr>
            <w:tcW w:w="2268" w:type="dxa"/>
            <w:vAlign w:val="center"/>
          </w:tcPr>
          <w:p w14:paraId="3BFA6B48" w14:textId="77777777" w:rsidR="00C21E20" w:rsidRPr="00C21E20" w:rsidRDefault="00C21E20" w:rsidP="00C21E20">
            <w:pPr>
              <w:spacing w:line="440" w:lineRule="exact"/>
              <w:jc w:val="center"/>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课程目标</w:t>
            </w:r>
            <w:r w:rsidRPr="00C21E20">
              <w:rPr>
                <w:rFonts w:ascii="Times New Roman" w:eastAsia="宋体" w:hAnsi="Times New Roman" w:cs="Times New Roman"/>
                <w:bCs/>
                <w:sz w:val="24"/>
                <w:szCs w:val="24"/>
              </w:rPr>
              <w:t>2</w:t>
            </w:r>
          </w:p>
        </w:tc>
        <w:tc>
          <w:tcPr>
            <w:tcW w:w="5812" w:type="dxa"/>
            <w:vAlign w:val="center"/>
          </w:tcPr>
          <w:p w14:paraId="10F27237"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2.1</w:t>
            </w:r>
            <w:r w:rsidRPr="00C21E20">
              <w:rPr>
                <w:rFonts w:ascii="Times New Roman" w:eastAsia="宋体" w:hAnsi="Times New Roman" w:cs="Times New Roman"/>
                <w:bCs/>
                <w:sz w:val="24"/>
                <w:szCs w:val="24"/>
              </w:rPr>
              <w:t>随机事件和概率；</w:t>
            </w:r>
          </w:p>
          <w:p w14:paraId="40145F47"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2.2</w:t>
            </w:r>
            <w:r w:rsidRPr="00C21E20">
              <w:rPr>
                <w:rFonts w:ascii="Times New Roman" w:eastAsia="宋体" w:hAnsi="Times New Roman" w:cs="Times New Roman"/>
                <w:bCs/>
                <w:sz w:val="24"/>
                <w:szCs w:val="24"/>
              </w:rPr>
              <w:t>随机变量及其分布；</w:t>
            </w:r>
          </w:p>
          <w:p w14:paraId="68980294"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2.3</w:t>
            </w:r>
            <w:r w:rsidRPr="00C21E20">
              <w:rPr>
                <w:rFonts w:ascii="Times New Roman" w:eastAsia="宋体" w:hAnsi="Times New Roman" w:cs="Times New Roman"/>
                <w:bCs/>
                <w:sz w:val="24"/>
                <w:szCs w:val="24"/>
              </w:rPr>
              <w:t>多维随机变量及其分布；</w:t>
            </w:r>
          </w:p>
          <w:p w14:paraId="2AA7D52A"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2.4</w:t>
            </w:r>
            <w:r w:rsidRPr="00C21E20">
              <w:rPr>
                <w:rFonts w:ascii="Times New Roman" w:eastAsia="宋体" w:hAnsi="Times New Roman" w:cs="Times New Roman"/>
                <w:bCs/>
                <w:sz w:val="24"/>
                <w:szCs w:val="24"/>
              </w:rPr>
              <w:t>数字特征；</w:t>
            </w:r>
          </w:p>
          <w:p w14:paraId="03A9673B"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2.5</w:t>
            </w:r>
            <w:r w:rsidRPr="00C21E20">
              <w:rPr>
                <w:rFonts w:ascii="Times New Roman" w:eastAsia="宋体" w:hAnsi="Times New Roman" w:cs="Times New Roman"/>
                <w:bCs/>
                <w:sz w:val="24"/>
                <w:szCs w:val="24"/>
              </w:rPr>
              <w:t>极限定理</w:t>
            </w:r>
            <w:r w:rsidRPr="00C21E20">
              <w:rPr>
                <w:rFonts w:ascii="Times New Roman" w:eastAsia="宋体" w:hAnsi="Times New Roman" w:cs="Times New Roman" w:hint="eastAsia"/>
                <w:bCs/>
                <w:sz w:val="24"/>
                <w:szCs w:val="24"/>
              </w:rPr>
              <w:t>.</w:t>
            </w:r>
          </w:p>
        </w:tc>
      </w:tr>
      <w:tr w:rsidR="00C21E20" w:rsidRPr="00C21E20" w14:paraId="377F9824" w14:textId="77777777" w:rsidTr="0002055D">
        <w:trPr>
          <w:jc w:val="center"/>
        </w:trPr>
        <w:tc>
          <w:tcPr>
            <w:tcW w:w="2268" w:type="dxa"/>
            <w:vAlign w:val="center"/>
          </w:tcPr>
          <w:p w14:paraId="6E43E08C" w14:textId="77777777" w:rsidR="00C21E20" w:rsidRPr="00C21E20" w:rsidRDefault="00C21E20" w:rsidP="00C21E20">
            <w:pPr>
              <w:spacing w:line="440" w:lineRule="exact"/>
              <w:jc w:val="center"/>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课程目标</w:t>
            </w:r>
            <w:r w:rsidRPr="00C21E20">
              <w:rPr>
                <w:rFonts w:ascii="Times New Roman" w:eastAsia="宋体" w:hAnsi="Times New Roman" w:cs="Times New Roman"/>
                <w:bCs/>
                <w:sz w:val="24"/>
                <w:szCs w:val="24"/>
              </w:rPr>
              <w:t>3</w:t>
            </w:r>
          </w:p>
        </w:tc>
        <w:tc>
          <w:tcPr>
            <w:tcW w:w="5812" w:type="dxa"/>
            <w:vAlign w:val="center"/>
          </w:tcPr>
          <w:p w14:paraId="3D0A4E8D"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3.1</w:t>
            </w:r>
            <w:r w:rsidRPr="00C21E20">
              <w:rPr>
                <w:rFonts w:ascii="Times New Roman" w:eastAsia="宋体" w:hAnsi="Times New Roman" w:cs="Times New Roman"/>
                <w:bCs/>
                <w:sz w:val="24"/>
                <w:szCs w:val="24"/>
              </w:rPr>
              <w:t>随机变量及其分布；</w:t>
            </w:r>
          </w:p>
          <w:p w14:paraId="4F743C15"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3.2</w:t>
            </w:r>
            <w:r w:rsidRPr="00C21E20">
              <w:rPr>
                <w:rFonts w:ascii="Times New Roman" w:eastAsia="宋体" w:hAnsi="Times New Roman" w:cs="Times New Roman"/>
                <w:bCs/>
                <w:sz w:val="24"/>
                <w:szCs w:val="24"/>
              </w:rPr>
              <w:t>多维随机变量及其分布；</w:t>
            </w:r>
          </w:p>
          <w:p w14:paraId="3931C8B2"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3.3</w:t>
            </w:r>
            <w:r w:rsidRPr="00C21E20">
              <w:rPr>
                <w:rFonts w:ascii="Times New Roman" w:eastAsia="宋体" w:hAnsi="Times New Roman" w:cs="Times New Roman"/>
                <w:bCs/>
                <w:sz w:val="24"/>
                <w:szCs w:val="24"/>
              </w:rPr>
              <w:t>数字特征；</w:t>
            </w:r>
          </w:p>
          <w:p w14:paraId="45ED310D"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3.4</w:t>
            </w:r>
            <w:r w:rsidRPr="00C21E20">
              <w:rPr>
                <w:rFonts w:ascii="Times New Roman" w:eastAsia="宋体" w:hAnsi="Times New Roman" w:cs="Times New Roman"/>
                <w:bCs/>
                <w:sz w:val="24"/>
                <w:szCs w:val="24"/>
              </w:rPr>
              <w:t>极限定理</w:t>
            </w:r>
            <w:r w:rsidRPr="00C21E20">
              <w:rPr>
                <w:rFonts w:ascii="Times New Roman" w:eastAsia="宋体" w:hAnsi="Times New Roman" w:cs="Times New Roman" w:hint="eastAsia"/>
                <w:bCs/>
                <w:sz w:val="24"/>
                <w:szCs w:val="24"/>
              </w:rPr>
              <w:t>.</w:t>
            </w:r>
          </w:p>
        </w:tc>
      </w:tr>
      <w:tr w:rsidR="00C21E20" w:rsidRPr="00C21E20" w14:paraId="038BE819" w14:textId="77777777" w:rsidTr="0002055D">
        <w:trPr>
          <w:jc w:val="center"/>
        </w:trPr>
        <w:tc>
          <w:tcPr>
            <w:tcW w:w="2268" w:type="dxa"/>
            <w:vAlign w:val="center"/>
          </w:tcPr>
          <w:p w14:paraId="34FC5D71" w14:textId="77777777" w:rsidR="00C21E20" w:rsidRPr="00C21E20" w:rsidRDefault="00C21E20" w:rsidP="00C21E20">
            <w:pPr>
              <w:spacing w:line="440" w:lineRule="exact"/>
              <w:jc w:val="center"/>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课程目标</w:t>
            </w:r>
            <w:r w:rsidRPr="00C21E20">
              <w:rPr>
                <w:rFonts w:ascii="Times New Roman" w:eastAsia="宋体" w:hAnsi="Times New Roman" w:cs="Times New Roman"/>
                <w:bCs/>
                <w:sz w:val="24"/>
                <w:szCs w:val="24"/>
              </w:rPr>
              <w:t>4</w:t>
            </w:r>
          </w:p>
        </w:tc>
        <w:tc>
          <w:tcPr>
            <w:tcW w:w="5812" w:type="dxa"/>
            <w:vAlign w:val="center"/>
          </w:tcPr>
          <w:p w14:paraId="50999303"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4.1</w:t>
            </w:r>
            <w:r w:rsidRPr="00C21E20">
              <w:rPr>
                <w:rFonts w:ascii="Times New Roman" w:eastAsia="宋体" w:hAnsi="Times New Roman" w:cs="Times New Roman"/>
                <w:bCs/>
                <w:sz w:val="24"/>
                <w:szCs w:val="24"/>
              </w:rPr>
              <w:t>多维随机变量及其分布</w:t>
            </w:r>
            <w:r w:rsidRPr="00C21E20">
              <w:rPr>
                <w:rFonts w:ascii="Times New Roman" w:eastAsia="宋体" w:hAnsi="Times New Roman" w:cs="Times New Roman"/>
                <w:sz w:val="24"/>
                <w:szCs w:val="24"/>
              </w:rPr>
              <w:t>；</w:t>
            </w:r>
          </w:p>
          <w:p w14:paraId="2EA9C790"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4.2</w:t>
            </w:r>
            <w:r w:rsidRPr="00C21E20">
              <w:rPr>
                <w:rFonts w:ascii="Times New Roman" w:eastAsia="宋体" w:hAnsi="Times New Roman" w:cs="Times New Roman"/>
                <w:bCs/>
                <w:sz w:val="24"/>
                <w:szCs w:val="24"/>
              </w:rPr>
              <w:t>数字特征；</w:t>
            </w:r>
          </w:p>
          <w:p w14:paraId="4259A140" w14:textId="77777777" w:rsidR="00C21E20" w:rsidRPr="00C21E20" w:rsidRDefault="00C21E20" w:rsidP="00C21E20">
            <w:pPr>
              <w:spacing w:line="440" w:lineRule="exact"/>
              <w:rPr>
                <w:rFonts w:ascii="Times New Roman" w:eastAsia="宋体" w:hAnsi="Times New Roman" w:cs="Times New Roman"/>
                <w:bCs/>
                <w:sz w:val="24"/>
                <w:szCs w:val="24"/>
              </w:rPr>
            </w:pPr>
            <w:r w:rsidRPr="00C21E20">
              <w:rPr>
                <w:rFonts w:ascii="Times New Roman" w:eastAsia="宋体" w:hAnsi="Times New Roman" w:cs="Times New Roman"/>
                <w:bCs/>
                <w:sz w:val="24"/>
                <w:szCs w:val="24"/>
              </w:rPr>
              <w:t>4.3</w:t>
            </w:r>
            <w:r w:rsidRPr="00C21E20">
              <w:rPr>
                <w:rFonts w:ascii="Times New Roman" w:eastAsia="宋体" w:hAnsi="Times New Roman" w:cs="Times New Roman"/>
                <w:bCs/>
                <w:sz w:val="24"/>
                <w:szCs w:val="24"/>
              </w:rPr>
              <w:t>极限定理</w:t>
            </w:r>
            <w:r w:rsidRPr="00C21E20">
              <w:rPr>
                <w:rFonts w:ascii="Times New Roman" w:eastAsia="宋体" w:hAnsi="Times New Roman" w:cs="Times New Roman" w:hint="eastAsia"/>
                <w:bCs/>
                <w:sz w:val="24"/>
                <w:szCs w:val="24"/>
              </w:rPr>
              <w:t>.</w:t>
            </w:r>
          </w:p>
        </w:tc>
      </w:tr>
    </w:tbl>
    <w:p w14:paraId="2953C460" w14:textId="77777777" w:rsidR="00C21E20" w:rsidRPr="00C21E20" w:rsidRDefault="00C21E20" w:rsidP="00C21E20">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21E20">
        <w:rPr>
          <w:rFonts w:ascii="Times New Roman" w:eastAsia="黑体" w:hAnsi="Times New Roman" w:cs="Times New Roman"/>
          <w:sz w:val="28"/>
          <w:szCs w:val="28"/>
        </w:rPr>
        <w:t>（二）课程考核方式</w:t>
      </w:r>
    </w:p>
    <w:p w14:paraId="0DA160AF" w14:textId="77777777" w:rsidR="00C21E20" w:rsidRPr="00C21E20" w:rsidRDefault="00C21E20" w:rsidP="00C21E20">
      <w:pPr>
        <w:spacing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课程考核方式分为平时考核和期末考核</w:t>
      </w:r>
      <w:r w:rsidRPr="00C21E20">
        <w:rPr>
          <w:rFonts w:ascii="Times New Roman" w:eastAsia="宋体" w:hAnsi="Times New Roman" w:cs="Times New Roman" w:hint="eastAsia"/>
          <w:sz w:val="24"/>
          <w:szCs w:val="24"/>
        </w:rPr>
        <w:t>.</w:t>
      </w:r>
      <w:r w:rsidRPr="00C21E20">
        <w:rPr>
          <w:rFonts w:ascii="Times New Roman" w:eastAsia="宋体" w:hAnsi="Times New Roman" w:cs="Times New Roman"/>
          <w:sz w:val="24"/>
          <w:szCs w:val="24"/>
        </w:rPr>
        <w:t>平时考核方式包括课堂表现、平时作业和阶段测试等；期末考核采用闭卷考试</w:t>
      </w:r>
      <w:r w:rsidRPr="00C21E20">
        <w:rPr>
          <w:rFonts w:ascii="Times New Roman" w:eastAsia="宋体" w:hAnsi="Times New Roman" w:cs="Times New Roman" w:hint="eastAsia"/>
          <w:sz w:val="24"/>
          <w:szCs w:val="24"/>
        </w:rPr>
        <w:t>.</w:t>
      </w:r>
    </w:p>
    <w:p w14:paraId="0306C9D5" w14:textId="77777777" w:rsidR="00C21E20" w:rsidRPr="00C21E20" w:rsidRDefault="00C21E20" w:rsidP="00C21E20">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21E20">
        <w:rPr>
          <w:rFonts w:ascii="Times New Roman" w:eastAsia="黑体" w:hAnsi="Times New Roman" w:cs="Times New Roman"/>
          <w:sz w:val="28"/>
          <w:szCs w:val="28"/>
        </w:rPr>
        <w:t>（三）课程目标达成评价方式及考核比例</w:t>
      </w:r>
    </w:p>
    <w:p w14:paraId="3679A2F5" w14:textId="77777777" w:rsidR="00C21E20" w:rsidRPr="00C21E20" w:rsidRDefault="00C21E20" w:rsidP="00C21E20">
      <w:pPr>
        <w:spacing w:line="440" w:lineRule="exact"/>
        <w:ind w:firstLineChars="200" w:firstLine="480"/>
        <w:jc w:val="left"/>
        <w:rPr>
          <w:rFonts w:ascii="宋体" w:eastAsia="宋体" w:hAnsi="宋体" w:cs="Times New Roman"/>
          <w:sz w:val="24"/>
          <w:szCs w:val="24"/>
        </w:rPr>
      </w:pPr>
      <w:r w:rsidRPr="00C21E20">
        <w:rPr>
          <w:rFonts w:ascii="宋体" w:eastAsia="宋体" w:hAnsi="宋体" w:cs="Times New Roman"/>
          <w:sz w:val="24"/>
          <w:szCs w:val="24"/>
        </w:rPr>
        <w:t>课程考核方式及成绩比例为：课堂表现10%+平时作业及测试30%+期末考核60%；本课程共有四个课程目标，考核方式及成绩比例分别为：</w:t>
      </w:r>
    </w:p>
    <w:p w14:paraId="736D5BC8" w14:textId="77777777" w:rsidR="00C21E20" w:rsidRPr="00C21E20" w:rsidRDefault="00C21E20" w:rsidP="00C21E20">
      <w:pPr>
        <w:spacing w:line="440" w:lineRule="exact"/>
        <w:ind w:firstLineChars="200" w:firstLine="480"/>
        <w:jc w:val="left"/>
        <w:rPr>
          <w:rFonts w:ascii="宋体" w:eastAsia="宋体" w:hAnsi="宋体" w:cs="Times New Roman"/>
          <w:sz w:val="24"/>
          <w:szCs w:val="24"/>
        </w:rPr>
      </w:pPr>
      <w:r w:rsidRPr="00C21E20">
        <w:rPr>
          <w:rFonts w:ascii="宋体" w:eastAsia="宋体" w:hAnsi="宋体" w:cs="Times New Roman"/>
          <w:sz w:val="24"/>
          <w:szCs w:val="24"/>
        </w:rPr>
        <w:t>课程目标1：课堂表现5%+平时作业及测试10%+期末考试30%</w:t>
      </w:r>
      <w:r w:rsidRPr="00C21E20">
        <w:rPr>
          <w:rFonts w:ascii="宋体" w:eastAsia="宋体" w:hAnsi="宋体" w:cs="Times New Roman" w:hint="eastAsia"/>
          <w:sz w:val="24"/>
          <w:szCs w:val="24"/>
        </w:rPr>
        <w:t>；</w:t>
      </w:r>
    </w:p>
    <w:p w14:paraId="45670323" w14:textId="77777777" w:rsidR="00C21E20" w:rsidRPr="00C21E20" w:rsidRDefault="00C21E20" w:rsidP="00C21E20">
      <w:pPr>
        <w:spacing w:line="440" w:lineRule="exact"/>
        <w:ind w:firstLineChars="200" w:firstLine="480"/>
        <w:jc w:val="left"/>
        <w:rPr>
          <w:rFonts w:ascii="宋体" w:eastAsia="宋体" w:hAnsi="宋体" w:cs="Times New Roman"/>
          <w:sz w:val="24"/>
          <w:szCs w:val="24"/>
        </w:rPr>
      </w:pPr>
      <w:r w:rsidRPr="00C21E20">
        <w:rPr>
          <w:rFonts w:ascii="宋体" w:eastAsia="宋体" w:hAnsi="宋体" w:cs="Times New Roman"/>
          <w:sz w:val="24"/>
          <w:szCs w:val="24"/>
        </w:rPr>
        <w:t>课程目标2：平时作业及测试10%+期末考试10%</w:t>
      </w:r>
      <w:r w:rsidRPr="00C21E20">
        <w:rPr>
          <w:rFonts w:ascii="宋体" w:eastAsia="宋体" w:hAnsi="宋体" w:cs="Times New Roman" w:hint="eastAsia"/>
          <w:sz w:val="24"/>
          <w:szCs w:val="24"/>
        </w:rPr>
        <w:t>；</w:t>
      </w:r>
    </w:p>
    <w:p w14:paraId="1BF03CBE" w14:textId="77777777" w:rsidR="00C21E20" w:rsidRPr="00C21E20" w:rsidRDefault="00C21E20" w:rsidP="00C21E20">
      <w:pPr>
        <w:spacing w:line="440" w:lineRule="exact"/>
        <w:ind w:firstLineChars="200" w:firstLine="480"/>
        <w:jc w:val="left"/>
        <w:rPr>
          <w:rFonts w:ascii="宋体" w:eastAsia="宋体" w:hAnsi="宋体" w:cs="Times New Roman"/>
          <w:sz w:val="24"/>
          <w:szCs w:val="24"/>
        </w:rPr>
      </w:pPr>
      <w:r w:rsidRPr="00C21E20">
        <w:rPr>
          <w:rFonts w:ascii="宋体" w:eastAsia="宋体" w:hAnsi="宋体" w:cs="Times New Roman"/>
          <w:sz w:val="24"/>
          <w:szCs w:val="24"/>
        </w:rPr>
        <w:t>课程目标3：课堂表现5%+平时作业及测试5%+期末考试10%</w:t>
      </w:r>
      <w:r w:rsidRPr="00C21E20">
        <w:rPr>
          <w:rFonts w:ascii="宋体" w:eastAsia="宋体" w:hAnsi="宋体" w:cs="Times New Roman" w:hint="eastAsia"/>
          <w:sz w:val="24"/>
          <w:szCs w:val="24"/>
        </w:rPr>
        <w:t>；</w:t>
      </w:r>
    </w:p>
    <w:p w14:paraId="6A57157F" w14:textId="77777777" w:rsidR="00C21E20" w:rsidRPr="00C21E20" w:rsidRDefault="00C21E20" w:rsidP="00C21E20">
      <w:pPr>
        <w:spacing w:line="440" w:lineRule="exact"/>
        <w:ind w:firstLineChars="200" w:firstLine="480"/>
        <w:jc w:val="left"/>
        <w:rPr>
          <w:rFonts w:ascii="宋体" w:eastAsia="宋体" w:hAnsi="宋体" w:cs="Times New Roman"/>
          <w:sz w:val="24"/>
          <w:szCs w:val="24"/>
        </w:rPr>
      </w:pPr>
      <w:r w:rsidRPr="00C21E20">
        <w:rPr>
          <w:rFonts w:ascii="宋体" w:eastAsia="宋体" w:hAnsi="宋体" w:cs="Times New Roman"/>
          <w:sz w:val="24"/>
          <w:szCs w:val="24"/>
        </w:rPr>
        <w:lastRenderedPageBreak/>
        <w:t>课程目标4：平时作业及测试5%+期末考试10%</w:t>
      </w:r>
      <w:r w:rsidRPr="00C21E20">
        <w:rPr>
          <w:rFonts w:ascii="宋体" w:eastAsia="宋体" w:hAnsi="宋体" w:cs="Times New Roman" w:hint="eastAsia"/>
          <w:sz w:val="24"/>
          <w:szCs w:val="24"/>
        </w:rPr>
        <w:t>.</w:t>
      </w:r>
    </w:p>
    <w:p w14:paraId="29E08620" w14:textId="77777777" w:rsidR="00C21E20" w:rsidRPr="00C21E20" w:rsidRDefault="00C21E20" w:rsidP="00C21E20">
      <w:pPr>
        <w:spacing w:line="440" w:lineRule="exact"/>
        <w:ind w:firstLineChars="200" w:firstLine="480"/>
        <w:jc w:val="left"/>
        <w:rPr>
          <w:rFonts w:ascii="宋体" w:eastAsia="宋体" w:hAnsi="宋体" w:cs="Times New Roman"/>
          <w:sz w:val="24"/>
          <w:szCs w:val="24"/>
        </w:rPr>
      </w:pPr>
      <w:r w:rsidRPr="00C21E20">
        <w:rPr>
          <w:rFonts w:ascii="宋体" w:eastAsia="宋体" w:hAnsi="宋体" w:cs="Times New Roman"/>
          <w:sz w:val="24"/>
          <w:szCs w:val="24"/>
        </w:rPr>
        <w:t>如下表：</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2"/>
        <w:gridCol w:w="1500"/>
        <w:gridCol w:w="1928"/>
        <w:gridCol w:w="1417"/>
        <w:gridCol w:w="1843"/>
      </w:tblGrid>
      <w:tr w:rsidR="00C21E20" w:rsidRPr="00C21E20" w14:paraId="07F5284D" w14:textId="77777777" w:rsidTr="0002055D">
        <w:tc>
          <w:tcPr>
            <w:tcW w:w="1392" w:type="dxa"/>
            <w:vMerge w:val="restart"/>
            <w:vAlign w:val="center"/>
          </w:tcPr>
          <w:p w14:paraId="25863D10"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课程目标</w:t>
            </w:r>
          </w:p>
        </w:tc>
        <w:tc>
          <w:tcPr>
            <w:tcW w:w="4845" w:type="dxa"/>
            <w:gridSpan w:val="3"/>
          </w:tcPr>
          <w:p w14:paraId="29E15493"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考核方式及成绩比例（%）</w:t>
            </w:r>
          </w:p>
        </w:tc>
        <w:tc>
          <w:tcPr>
            <w:tcW w:w="1843" w:type="dxa"/>
            <w:vMerge w:val="restart"/>
            <w:vAlign w:val="center"/>
          </w:tcPr>
          <w:p w14:paraId="44764300"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合计</w:t>
            </w:r>
          </w:p>
        </w:tc>
      </w:tr>
      <w:tr w:rsidR="00C21E20" w:rsidRPr="00C21E20" w14:paraId="0EE8EBA3" w14:textId="77777777" w:rsidTr="0002055D">
        <w:tc>
          <w:tcPr>
            <w:tcW w:w="1392" w:type="dxa"/>
            <w:vMerge/>
          </w:tcPr>
          <w:p w14:paraId="6317C885" w14:textId="77777777" w:rsidR="00C21E20" w:rsidRPr="00C21E20" w:rsidRDefault="00C21E20" w:rsidP="00C21E20">
            <w:pPr>
              <w:spacing w:line="440" w:lineRule="exact"/>
              <w:jc w:val="left"/>
              <w:rPr>
                <w:rFonts w:ascii="宋体" w:eastAsia="宋体" w:hAnsi="宋体" w:cs="Times New Roman"/>
                <w:sz w:val="24"/>
                <w:szCs w:val="24"/>
              </w:rPr>
            </w:pPr>
          </w:p>
        </w:tc>
        <w:tc>
          <w:tcPr>
            <w:tcW w:w="1500" w:type="dxa"/>
          </w:tcPr>
          <w:p w14:paraId="22747926"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课堂表现</w:t>
            </w:r>
          </w:p>
        </w:tc>
        <w:tc>
          <w:tcPr>
            <w:tcW w:w="1928" w:type="dxa"/>
          </w:tcPr>
          <w:p w14:paraId="695870AF"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平时作业及测试</w:t>
            </w:r>
          </w:p>
        </w:tc>
        <w:tc>
          <w:tcPr>
            <w:tcW w:w="1417" w:type="dxa"/>
          </w:tcPr>
          <w:p w14:paraId="00E7C72A"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期末考试</w:t>
            </w:r>
          </w:p>
        </w:tc>
        <w:tc>
          <w:tcPr>
            <w:tcW w:w="1843" w:type="dxa"/>
            <w:vMerge/>
          </w:tcPr>
          <w:p w14:paraId="56D044B6" w14:textId="77777777" w:rsidR="00C21E20" w:rsidRPr="00C21E20" w:rsidRDefault="00C21E20" w:rsidP="00C21E20">
            <w:pPr>
              <w:spacing w:line="440" w:lineRule="exact"/>
              <w:jc w:val="left"/>
              <w:rPr>
                <w:rFonts w:ascii="宋体" w:eastAsia="宋体" w:hAnsi="宋体" w:cs="Times New Roman"/>
                <w:sz w:val="24"/>
                <w:szCs w:val="24"/>
              </w:rPr>
            </w:pPr>
          </w:p>
        </w:tc>
      </w:tr>
      <w:tr w:rsidR="00C21E20" w:rsidRPr="00C21E20" w14:paraId="4811628E" w14:textId="77777777" w:rsidTr="0002055D">
        <w:tc>
          <w:tcPr>
            <w:tcW w:w="1392" w:type="dxa"/>
          </w:tcPr>
          <w:p w14:paraId="18A49247"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课程目标1</w:t>
            </w:r>
          </w:p>
        </w:tc>
        <w:tc>
          <w:tcPr>
            <w:tcW w:w="1500" w:type="dxa"/>
          </w:tcPr>
          <w:p w14:paraId="7C8C5AE5"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5</w:t>
            </w:r>
          </w:p>
        </w:tc>
        <w:tc>
          <w:tcPr>
            <w:tcW w:w="1928" w:type="dxa"/>
          </w:tcPr>
          <w:p w14:paraId="2F8810BB"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10</w:t>
            </w:r>
          </w:p>
        </w:tc>
        <w:tc>
          <w:tcPr>
            <w:tcW w:w="1417" w:type="dxa"/>
            <w:vAlign w:val="center"/>
          </w:tcPr>
          <w:p w14:paraId="11F6B46C"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30</w:t>
            </w:r>
          </w:p>
        </w:tc>
        <w:tc>
          <w:tcPr>
            <w:tcW w:w="1843" w:type="dxa"/>
          </w:tcPr>
          <w:p w14:paraId="40744895"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45</w:t>
            </w:r>
          </w:p>
        </w:tc>
      </w:tr>
      <w:tr w:rsidR="00C21E20" w:rsidRPr="00C21E20" w14:paraId="5AD6E748" w14:textId="77777777" w:rsidTr="0002055D">
        <w:tc>
          <w:tcPr>
            <w:tcW w:w="1392" w:type="dxa"/>
          </w:tcPr>
          <w:p w14:paraId="5DFEC70A"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课程目标2</w:t>
            </w:r>
          </w:p>
        </w:tc>
        <w:tc>
          <w:tcPr>
            <w:tcW w:w="1500" w:type="dxa"/>
          </w:tcPr>
          <w:p w14:paraId="1226A23A" w14:textId="77777777" w:rsidR="00C21E20" w:rsidRPr="00C21E20" w:rsidRDefault="00C21E20" w:rsidP="00C21E20">
            <w:pPr>
              <w:spacing w:line="440" w:lineRule="exact"/>
              <w:jc w:val="left"/>
              <w:rPr>
                <w:rFonts w:ascii="宋体" w:eastAsia="宋体" w:hAnsi="宋体" w:cs="Times New Roman"/>
                <w:sz w:val="24"/>
                <w:szCs w:val="24"/>
              </w:rPr>
            </w:pPr>
          </w:p>
        </w:tc>
        <w:tc>
          <w:tcPr>
            <w:tcW w:w="1928" w:type="dxa"/>
          </w:tcPr>
          <w:p w14:paraId="6F2A4B82"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10</w:t>
            </w:r>
          </w:p>
        </w:tc>
        <w:tc>
          <w:tcPr>
            <w:tcW w:w="1417" w:type="dxa"/>
            <w:vAlign w:val="center"/>
          </w:tcPr>
          <w:p w14:paraId="449F9C28"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10</w:t>
            </w:r>
          </w:p>
        </w:tc>
        <w:tc>
          <w:tcPr>
            <w:tcW w:w="1843" w:type="dxa"/>
          </w:tcPr>
          <w:p w14:paraId="3A3693F5"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20</w:t>
            </w:r>
          </w:p>
        </w:tc>
      </w:tr>
      <w:tr w:rsidR="00C21E20" w:rsidRPr="00C21E20" w14:paraId="3E94237A" w14:textId="77777777" w:rsidTr="0002055D">
        <w:tc>
          <w:tcPr>
            <w:tcW w:w="1392" w:type="dxa"/>
          </w:tcPr>
          <w:p w14:paraId="0173A7BA"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课程目标3</w:t>
            </w:r>
          </w:p>
        </w:tc>
        <w:tc>
          <w:tcPr>
            <w:tcW w:w="1500" w:type="dxa"/>
          </w:tcPr>
          <w:p w14:paraId="4CF633A1"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5</w:t>
            </w:r>
          </w:p>
        </w:tc>
        <w:tc>
          <w:tcPr>
            <w:tcW w:w="1928" w:type="dxa"/>
          </w:tcPr>
          <w:p w14:paraId="1C279603"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5</w:t>
            </w:r>
          </w:p>
        </w:tc>
        <w:tc>
          <w:tcPr>
            <w:tcW w:w="1417" w:type="dxa"/>
            <w:vAlign w:val="center"/>
          </w:tcPr>
          <w:p w14:paraId="35B2ACF5"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10</w:t>
            </w:r>
          </w:p>
        </w:tc>
        <w:tc>
          <w:tcPr>
            <w:tcW w:w="1843" w:type="dxa"/>
          </w:tcPr>
          <w:p w14:paraId="22A211DE"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20</w:t>
            </w:r>
          </w:p>
        </w:tc>
      </w:tr>
      <w:tr w:rsidR="00C21E20" w:rsidRPr="00C21E20" w14:paraId="5C4C24F9" w14:textId="77777777" w:rsidTr="0002055D">
        <w:tc>
          <w:tcPr>
            <w:tcW w:w="1392" w:type="dxa"/>
          </w:tcPr>
          <w:p w14:paraId="5421D124"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课程目标4</w:t>
            </w:r>
          </w:p>
        </w:tc>
        <w:tc>
          <w:tcPr>
            <w:tcW w:w="1500" w:type="dxa"/>
          </w:tcPr>
          <w:p w14:paraId="30613968" w14:textId="77777777" w:rsidR="00C21E20" w:rsidRPr="00C21E20" w:rsidRDefault="00C21E20" w:rsidP="00C21E20">
            <w:pPr>
              <w:spacing w:line="440" w:lineRule="exact"/>
              <w:jc w:val="left"/>
              <w:rPr>
                <w:rFonts w:ascii="宋体" w:eastAsia="宋体" w:hAnsi="宋体" w:cs="Times New Roman"/>
                <w:sz w:val="24"/>
                <w:szCs w:val="24"/>
              </w:rPr>
            </w:pPr>
          </w:p>
        </w:tc>
        <w:tc>
          <w:tcPr>
            <w:tcW w:w="1928" w:type="dxa"/>
          </w:tcPr>
          <w:p w14:paraId="1CE410C4"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5</w:t>
            </w:r>
          </w:p>
        </w:tc>
        <w:tc>
          <w:tcPr>
            <w:tcW w:w="1417" w:type="dxa"/>
            <w:vAlign w:val="center"/>
          </w:tcPr>
          <w:p w14:paraId="7463FBB4"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10</w:t>
            </w:r>
          </w:p>
        </w:tc>
        <w:tc>
          <w:tcPr>
            <w:tcW w:w="1843" w:type="dxa"/>
          </w:tcPr>
          <w:p w14:paraId="3ABC13B0"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15</w:t>
            </w:r>
          </w:p>
        </w:tc>
      </w:tr>
      <w:tr w:rsidR="00C21E20" w:rsidRPr="00C21E20" w14:paraId="0363AE6D" w14:textId="77777777" w:rsidTr="0002055D">
        <w:tc>
          <w:tcPr>
            <w:tcW w:w="1392" w:type="dxa"/>
          </w:tcPr>
          <w:p w14:paraId="70333CB8"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合计</w:t>
            </w:r>
          </w:p>
        </w:tc>
        <w:tc>
          <w:tcPr>
            <w:tcW w:w="1500" w:type="dxa"/>
          </w:tcPr>
          <w:p w14:paraId="78AD5DFE"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10</w:t>
            </w:r>
          </w:p>
        </w:tc>
        <w:tc>
          <w:tcPr>
            <w:tcW w:w="1928" w:type="dxa"/>
          </w:tcPr>
          <w:p w14:paraId="2DFBE2EB"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30</w:t>
            </w:r>
          </w:p>
        </w:tc>
        <w:tc>
          <w:tcPr>
            <w:tcW w:w="1417" w:type="dxa"/>
            <w:vAlign w:val="center"/>
          </w:tcPr>
          <w:p w14:paraId="333D1EC6"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60</w:t>
            </w:r>
          </w:p>
        </w:tc>
        <w:tc>
          <w:tcPr>
            <w:tcW w:w="1843" w:type="dxa"/>
          </w:tcPr>
          <w:p w14:paraId="4AD25DC2" w14:textId="77777777" w:rsidR="00C21E20" w:rsidRPr="00C21E20" w:rsidRDefault="00C21E20" w:rsidP="00C21E20">
            <w:pPr>
              <w:spacing w:line="440" w:lineRule="exact"/>
              <w:jc w:val="left"/>
              <w:rPr>
                <w:rFonts w:ascii="宋体" w:eastAsia="宋体" w:hAnsi="宋体" w:cs="Times New Roman"/>
                <w:sz w:val="24"/>
                <w:szCs w:val="24"/>
              </w:rPr>
            </w:pPr>
            <w:r w:rsidRPr="00C21E20">
              <w:rPr>
                <w:rFonts w:ascii="宋体" w:eastAsia="宋体" w:hAnsi="宋体" w:cs="Times New Roman"/>
                <w:sz w:val="24"/>
                <w:szCs w:val="24"/>
              </w:rPr>
              <w:t>100</w:t>
            </w:r>
          </w:p>
        </w:tc>
      </w:tr>
    </w:tbl>
    <w:p w14:paraId="222741FF" w14:textId="77777777" w:rsidR="00C21E20" w:rsidRPr="00C21E20" w:rsidRDefault="00C21E20" w:rsidP="00C21E20">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21E20">
        <w:rPr>
          <w:rFonts w:ascii="Times New Roman" w:eastAsia="黑体" w:hAnsi="Times New Roman" w:cs="Times New Roman"/>
          <w:sz w:val="28"/>
          <w:szCs w:val="28"/>
        </w:rPr>
        <w:t>五、成绩评定</w:t>
      </w:r>
    </w:p>
    <w:p w14:paraId="571BA888" w14:textId="77777777" w:rsidR="00C21E20" w:rsidRPr="00C21E20" w:rsidRDefault="00C21E20" w:rsidP="00C21E20">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21E20">
        <w:rPr>
          <w:rFonts w:ascii="Times New Roman" w:eastAsia="黑体" w:hAnsi="Times New Roman" w:cs="Times New Roman"/>
          <w:sz w:val="28"/>
          <w:szCs w:val="28"/>
        </w:rPr>
        <w:t>（一）总成绩评定</w:t>
      </w:r>
    </w:p>
    <w:p w14:paraId="5B1D3B87" w14:textId="77777777" w:rsidR="00C21E20" w:rsidRPr="00C21E20" w:rsidRDefault="00C21E20" w:rsidP="00C21E20">
      <w:pPr>
        <w:spacing w:line="440" w:lineRule="exact"/>
        <w:ind w:firstLineChars="200" w:firstLine="480"/>
        <w:jc w:val="left"/>
        <w:rPr>
          <w:rFonts w:ascii="宋体" w:eastAsia="宋体" w:hAnsi="宋体" w:cs="Times New Roman"/>
          <w:sz w:val="24"/>
          <w:szCs w:val="24"/>
        </w:rPr>
      </w:pPr>
      <w:r w:rsidRPr="00C21E20">
        <w:rPr>
          <w:rFonts w:ascii="宋体" w:eastAsia="宋体" w:hAnsi="宋体" w:cs="Times New Roman"/>
          <w:sz w:val="24"/>
          <w:szCs w:val="24"/>
        </w:rPr>
        <w:t>总成绩=平时成绩×40%+期末成绩×60%</w:t>
      </w:r>
      <w:r w:rsidRPr="00C21E20">
        <w:rPr>
          <w:rFonts w:ascii="宋体" w:eastAsia="宋体" w:hAnsi="宋体" w:cs="Times New Roman" w:hint="eastAsia"/>
          <w:sz w:val="24"/>
          <w:szCs w:val="24"/>
        </w:rPr>
        <w:t>.</w:t>
      </w:r>
    </w:p>
    <w:p w14:paraId="0B8186E2" w14:textId="77777777" w:rsidR="00C21E20" w:rsidRPr="00C21E20" w:rsidRDefault="00C21E20" w:rsidP="00C21E20">
      <w:pPr>
        <w:spacing w:beforeLines="50" w:before="156" w:afterLines="50" w:after="156" w:line="440" w:lineRule="exact"/>
        <w:ind w:firstLineChars="200" w:firstLine="560"/>
        <w:outlineLvl w:val="2"/>
        <w:rPr>
          <w:rFonts w:ascii="Times New Roman" w:eastAsia="黑体" w:hAnsi="Times New Roman" w:cs="Times New Roman"/>
          <w:sz w:val="24"/>
          <w:szCs w:val="28"/>
        </w:rPr>
      </w:pPr>
      <w:r w:rsidRPr="00C21E20">
        <w:rPr>
          <w:rFonts w:ascii="Times New Roman" w:eastAsia="黑体" w:hAnsi="Times New Roman" w:cs="Times New Roman"/>
          <w:sz w:val="28"/>
          <w:szCs w:val="28"/>
        </w:rPr>
        <w:t>（二）平时成绩评定</w:t>
      </w:r>
    </w:p>
    <w:p w14:paraId="0320419B" w14:textId="77777777" w:rsidR="00C21E20" w:rsidRPr="00C21E20" w:rsidRDefault="00C21E20" w:rsidP="00C21E20">
      <w:pPr>
        <w:spacing w:line="440" w:lineRule="exact"/>
        <w:ind w:firstLineChars="200" w:firstLine="480"/>
        <w:jc w:val="left"/>
        <w:rPr>
          <w:rFonts w:ascii="宋体" w:eastAsia="宋体" w:hAnsi="宋体" w:cs="Times New Roman"/>
          <w:sz w:val="24"/>
          <w:szCs w:val="24"/>
        </w:rPr>
      </w:pPr>
      <w:r w:rsidRPr="00C21E20">
        <w:rPr>
          <w:rFonts w:ascii="宋体" w:eastAsia="宋体" w:hAnsi="宋体" w:cs="Times New Roman"/>
          <w:sz w:val="24"/>
          <w:szCs w:val="24"/>
        </w:rPr>
        <w:t>平时成绩（100%）=课堂表现（25%）+平时作业及测试（75%）</w:t>
      </w:r>
      <w:r w:rsidRPr="00C21E20">
        <w:rPr>
          <w:rFonts w:ascii="宋体" w:eastAsia="宋体" w:hAnsi="宋体" w:cs="Times New Roman" w:hint="eastAsia"/>
          <w:sz w:val="24"/>
          <w:szCs w:val="24"/>
        </w:rPr>
        <w:t>.</w:t>
      </w:r>
    </w:p>
    <w:p w14:paraId="07817EF3" w14:textId="77777777" w:rsidR="00C21E20" w:rsidRPr="00C21E20" w:rsidRDefault="00C21E20" w:rsidP="00C21E20">
      <w:pPr>
        <w:spacing w:beforeLines="50" w:before="156" w:afterLines="50" w:after="156" w:line="440" w:lineRule="exact"/>
        <w:ind w:firstLineChars="200" w:firstLine="560"/>
        <w:outlineLvl w:val="2"/>
        <w:rPr>
          <w:rFonts w:ascii="Times New Roman" w:eastAsia="黑体" w:hAnsi="Times New Roman" w:cs="Times New Roman"/>
          <w:sz w:val="28"/>
          <w:szCs w:val="28"/>
        </w:rPr>
      </w:pPr>
      <w:r w:rsidRPr="00C21E20">
        <w:rPr>
          <w:rFonts w:ascii="Times New Roman" w:eastAsia="黑体" w:hAnsi="Times New Roman" w:cs="Times New Roman"/>
          <w:sz w:val="28"/>
          <w:szCs w:val="28"/>
        </w:rPr>
        <w:t>（三）期末成绩评定</w:t>
      </w:r>
    </w:p>
    <w:p w14:paraId="0DEFE721" w14:textId="77777777" w:rsidR="00C21E20" w:rsidRPr="00C21E20" w:rsidRDefault="00C21E20" w:rsidP="00C21E20">
      <w:pPr>
        <w:spacing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期末考核主要考查学生对概率论与数理统计的基本概念、基本理论的理解，以及运用这些知识解决问题的能力等</w:t>
      </w:r>
      <w:r w:rsidRPr="00C21E20">
        <w:rPr>
          <w:rFonts w:ascii="Times New Roman" w:eastAsia="宋体" w:hAnsi="Times New Roman" w:cs="Times New Roman" w:hint="eastAsia"/>
          <w:sz w:val="24"/>
          <w:szCs w:val="24"/>
        </w:rPr>
        <w:t>.</w:t>
      </w:r>
      <w:r w:rsidRPr="00C21E20">
        <w:rPr>
          <w:rFonts w:ascii="Times New Roman" w:eastAsia="宋体" w:hAnsi="Times New Roman" w:cs="Times New Roman"/>
          <w:sz w:val="24"/>
          <w:szCs w:val="24"/>
        </w:rPr>
        <w:t>方式为闭卷考试</w:t>
      </w:r>
      <w:r w:rsidRPr="00C21E20">
        <w:rPr>
          <w:rFonts w:ascii="Times New Roman" w:eastAsia="宋体" w:hAnsi="Times New Roman" w:cs="Times New Roman" w:hint="eastAsia"/>
          <w:sz w:val="24"/>
          <w:szCs w:val="24"/>
        </w:rPr>
        <w:t>.</w:t>
      </w:r>
      <w:r w:rsidRPr="00C21E20">
        <w:rPr>
          <w:rFonts w:ascii="Times New Roman" w:eastAsia="宋体" w:hAnsi="Times New Roman" w:cs="Times New Roman"/>
          <w:sz w:val="24"/>
          <w:szCs w:val="24"/>
        </w:rPr>
        <w:t>要求学生掌握概率论与数理统计的基本概念、基本理论，能运用所学知识解决相关问题</w:t>
      </w:r>
      <w:r w:rsidRPr="00C21E20">
        <w:rPr>
          <w:rFonts w:ascii="Times New Roman" w:eastAsia="宋体" w:hAnsi="Times New Roman" w:cs="Times New Roman" w:hint="eastAsia"/>
          <w:sz w:val="24"/>
          <w:szCs w:val="24"/>
        </w:rPr>
        <w:t>.</w:t>
      </w:r>
    </w:p>
    <w:p w14:paraId="4782A5F5" w14:textId="77777777" w:rsidR="00C21E20" w:rsidRPr="00C21E20" w:rsidRDefault="00C21E20" w:rsidP="00C21E20">
      <w:pPr>
        <w:spacing w:beforeLines="50" w:before="156" w:afterLines="50" w:after="156" w:line="440" w:lineRule="exact"/>
        <w:ind w:firstLineChars="200" w:firstLine="560"/>
        <w:outlineLvl w:val="1"/>
        <w:rPr>
          <w:rFonts w:ascii="Times New Roman" w:eastAsia="黑体" w:hAnsi="Times New Roman" w:cs="Times New Roman"/>
          <w:sz w:val="24"/>
          <w:szCs w:val="28"/>
        </w:rPr>
      </w:pPr>
      <w:r w:rsidRPr="00C21E20">
        <w:rPr>
          <w:rFonts w:ascii="Times New Roman" w:eastAsia="黑体" w:hAnsi="Times New Roman" w:cs="Times New Roman"/>
          <w:sz w:val="28"/>
          <w:szCs w:val="28"/>
        </w:rPr>
        <w:t>六、使用教材、相关推荐书目及课程资源</w:t>
      </w:r>
    </w:p>
    <w:p w14:paraId="7A2595CF" w14:textId="77777777" w:rsidR="00C21E20" w:rsidRPr="00C21E20" w:rsidRDefault="00C21E20" w:rsidP="00C21E20">
      <w:pPr>
        <w:spacing w:beforeLines="50" w:before="156" w:afterLines="50" w:after="156" w:line="440" w:lineRule="exact"/>
        <w:ind w:firstLineChars="200" w:firstLine="560"/>
        <w:outlineLvl w:val="2"/>
        <w:rPr>
          <w:rFonts w:ascii="Times New Roman" w:eastAsia="黑体" w:hAnsi="Times New Roman" w:cs="Times New Roman"/>
          <w:sz w:val="24"/>
          <w:szCs w:val="28"/>
        </w:rPr>
      </w:pPr>
      <w:r w:rsidRPr="00C21E20">
        <w:rPr>
          <w:rFonts w:ascii="Times New Roman" w:eastAsia="黑体" w:hAnsi="Times New Roman" w:cs="Times New Roman"/>
          <w:sz w:val="28"/>
          <w:szCs w:val="28"/>
        </w:rPr>
        <w:t>（一）使用教材</w:t>
      </w:r>
    </w:p>
    <w:p w14:paraId="0EF11AA4" w14:textId="77777777" w:rsidR="00C21E20" w:rsidRPr="00C21E20" w:rsidRDefault="00C21E20" w:rsidP="00C21E20">
      <w:pPr>
        <w:spacing w:line="440" w:lineRule="exact"/>
        <w:ind w:firstLineChars="200" w:firstLine="480"/>
        <w:rPr>
          <w:rFonts w:ascii="宋体" w:eastAsia="宋体" w:hAnsi="宋体" w:cs="Times New Roman"/>
          <w:sz w:val="24"/>
          <w:szCs w:val="24"/>
        </w:rPr>
      </w:pPr>
      <w:r w:rsidRPr="00C21E20">
        <w:rPr>
          <w:rFonts w:ascii="宋体" w:eastAsia="宋体" w:hAnsi="宋体" w:cs="Times New Roman"/>
          <w:sz w:val="24"/>
          <w:szCs w:val="24"/>
        </w:rPr>
        <w:t>刘次华、万建平等主编：《概率论与数理统计》（第四版），高等教育出版社，2019年版</w:t>
      </w:r>
      <w:r w:rsidRPr="00C21E20">
        <w:rPr>
          <w:rFonts w:ascii="宋体" w:eastAsia="宋体" w:hAnsi="宋体" w:cs="Times New Roman" w:hint="eastAsia"/>
          <w:sz w:val="24"/>
          <w:szCs w:val="24"/>
        </w:rPr>
        <w:t>.</w:t>
      </w:r>
    </w:p>
    <w:p w14:paraId="5297C38B" w14:textId="77777777" w:rsidR="00C21E20" w:rsidRPr="00C21E20" w:rsidRDefault="00C21E20" w:rsidP="00C21E20">
      <w:pPr>
        <w:spacing w:beforeLines="50" w:before="156" w:afterLines="50" w:after="156" w:line="440" w:lineRule="exact"/>
        <w:ind w:firstLineChars="200" w:firstLine="560"/>
        <w:outlineLvl w:val="2"/>
        <w:rPr>
          <w:rFonts w:ascii="Times New Roman" w:eastAsia="黑体" w:hAnsi="Times New Roman" w:cs="Times New Roman"/>
          <w:sz w:val="24"/>
          <w:szCs w:val="28"/>
        </w:rPr>
      </w:pPr>
      <w:r w:rsidRPr="00C21E20">
        <w:rPr>
          <w:rFonts w:ascii="Times New Roman" w:eastAsia="黑体" w:hAnsi="Times New Roman" w:cs="Times New Roman"/>
          <w:sz w:val="28"/>
          <w:szCs w:val="28"/>
        </w:rPr>
        <w:t>（二）相关推荐书目</w:t>
      </w:r>
    </w:p>
    <w:p w14:paraId="23358DA7" w14:textId="77777777" w:rsidR="00C21E20" w:rsidRPr="00C21E20" w:rsidRDefault="00C21E20" w:rsidP="00C21E20">
      <w:pPr>
        <w:spacing w:line="440" w:lineRule="exact"/>
        <w:ind w:firstLineChars="200" w:firstLine="480"/>
        <w:rPr>
          <w:rFonts w:ascii="宋体" w:eastAsia="宋体" w:hAnsi="宋体" w:cs="Times New Roman"/>
          <w:sz w:val="24"/>
          <w:szCs w:val="24"/>
        </w:rPr>
      </w:pPr>
      <w:r w:rsidRPr="00C21E20">
        <w:rPr>
          <w:rFonts w:ascii="宋体" w:eastAsia="宋体" w:hAnsi="宋体" w:cs="Times New Roman"/>
          <w:sz w:val="24"/>
          <w:szCs w:val="24"/>
        </w:rPr>
        <w:t>1. 盛骤，谢式千，潘承毅编：《概率论与数理统计》（第四版），高等教育出版社，2008年版；</w:t>
      </w:r>
    </w:p>
    <w:p w14:paraId="5888178F" w14:textId="77777777" w:rsidR="00C21E20" w:rsidRPr="00C21E20" w:rsidRDefault="00C21E20" w:rsidP="00C21E20">
      <w:pPr>
        <w:spacing w:line="440" w:lineRule="exact"/>
        <w:ind w:firstLineChars="200" w:firstLine="480"/>
        <w:rPr>
          <w:rFonts w:ascii="宋体" w:eastAsia="宋体" w:hAnsi="宋体" w:cs="Times New Roman"/>
          <w:sz w:val="24"/>
          <w:szCs w:val="24"/>
        </w:rPr>
      </w:pPr>
      <w:r w:rsidRPr="00C21E20">
        <w:rPr>
          <w:rFonts w:ascii="宋体" w:eastAsia="宋体" w:hAnsi="宋体" w:cs="Times New Roman"/>
          <w:sz w:val="24"/>
          <w:szCs w:val="24"/>
        </w:rPr>
        <w:t xml:space="preserve">2. </w:t>
      </w:r>
      <w:proofErr w:type="gramStart"/>
      <w:r w:rsidRPr="00C21E20">
        <w:rPr>
          <w:rFonts w:ascii="宋体" w:eastAsia="宋体" w:hAnsi="宋体" w:cs="Times New Roman"/>
          <w:sz w:val="24"/>
          <w:szCs w:val="24"/>
        </w:rPr>
        <w:t>茆</w:t>
      </w:r>
      <w:proofErr w:type="gramEnd"/>
      <w:r w:rsidRPr="00C21E20">
        <w:rPr>
          <w:rFonts w:ascii="宋体" w:eastAsia="宋体" w:hAnsi="宋体" w:cs="Times New Roman"/>
          <w:sz w:val="24"/>
          <w:szCs w:val="24"/>
        </w:rPr>
        <w:t>诗松，</w:t>
      </w:r>
      <w:proofErr w:type="gramStart"/>
      <w:r w:rsidRPr="00C21E20">
        <w:rPr>
          <w:rFonts w:ascii="宋体" w:eastAsia="宋体" w:hAnsi="宋体" w:cs="Times New Roman"/>
          <w:sz w:val="24"/>
          <w:szCs w:val="24"/>
        </w:rPr>
        <w:t>程依明</w:t>
      </w:r>
      <w:proofErr w:type="gramEnd"/>
      <w:r w:rsidRPr="00C21E20">
        <w:rPr>
          <w:rFonts w:ascii="宋体" w:eastAsia="宋体" w:hAnsi="宋体" w:cs="Times New Roman"/>
          <w:sz w:val="24"/>
          <w:szCs w:val="24"/>
        </w:rPr>
        <w:t>等编：《概率论与数理统计教程》（第二版），高等教育出版社，2011年版；</w:t>
      </w:r>
    </w:p>
    <w:p w14:paraId="77FCA542" w14:textId="77777777" w:rsidR="00C21E20" w:rsidRPr="00C21E20" w:rsidRDefault="00C21E20" w:rsidP="00C21E20">
      <w:pPr>
        <w:spacing w:line="440" w:lineRule="exact"/>
        <w:ind w:firstLineChars="200" w:firstLine="480"/>
        <w:rPr>
          <w:rFonts w:ascii="宋体" w:eastAsia="宋体" w:hAnsi="宋体" w:cs="Times New Roman"/>
          <w:sz w:val="24"/>
          <w:szCs w:val="24"/>
        </w:rPr>
      </w:pPr>
      <w:r w:rsidRPr="00C21E20">
        <w:rPr>
          <w:rFonts w:ascii="宋体" w:eastAsia="宋体" w:hAnsi="宋体" w:cs="Times New Roman"/>
          <w:sz w:val="24"/>
          <w:szCs w:val="24"/>
        </w:rPr>
        <w:lastRenderedPageBreak/>
        <w:t>3. 陈希</w:t>
      </w:r>
      <w:proofErr w:type="gramStart"/>
      <w:r w:rsidRPr="00C21E20">
        <w:rPr>
          <w:rFonts w:ascii="宋体" w:eastAsia="宋体" w:hAnsi="宋体" w:cs="Times New Roman"/>
          <w:sz w:val="24"/>
          <w:szCs w:val="24"/>
        </w:rPr>
        <w:t>孺</w:t>
      </w:r>
      <w:proofErr w:type="gramEnd"/>
      <w:r w:rsidRPr="00C21E20">
        <w:rPr>
          <w:rFonts w:ascii="宋体" w:eastAsia="宋体" w:hAnsi="宋体" w:cs="Times New Roman"/>
          <w:sz w:val="24"/>
          <w:szCs w:val="24"/>
        </w:rPr>
        <w:t>编：《概率论与数理统计》，中国科学技术大学出版社，2017年版；</w:t>
      </w:r>
    </w:p>
    <w:p w14:paraId="325CCCCA" w14:textId="77777777" w:rsidR="00C21E20" w:rsidRPr="00C21E20" w:rsidRDefault="00C21E20" w:rsidP="00C21E20">
      <w:pPr>
        <w:spacing w:line="440" w:lineRule="exact"/>
        <w:ind w:firstLineChars="200" w:firstLine="480"/>
        <w:rPr>
          <w:rFonts w:ascii="宋体" w:eastAsia="宋体" w:hAnsi="宋体" w:cs="Times New Roman"/>
          <w:sz w:val="24"/>
          <w:szCs w:val="24"/>
        </w:rPr>
      </w:pPr>
      <w:r w:rsidRPr="00C21E20">
        <w:rPr>
          <w:rFonts w:ascii="宋体" w:eastAsia="宋体" w:hAnsi="宋体" w:cs="Times New Roman"/>
          <w:sz w:val="24"/>
          <w:szCs w:val="24"/>
        </w:rPr>
        <w:t>4. 盛骤，谢式千编：概率论与数理统计及其应用（第四版），高等教育出版社，2018年版；</w:t>
      </w:r>
    </w:p>
    <w:p w14:paraId="2D2925F2" w14:textId="77777777" w:rsidR="00C21E20" w:rsidRPr="00C21E20" w:rsidRDefault="00C21E20" w:rsidP="00C21E20">
      <w:pPr>
        <w:spacing w:line="440" w:lineRule="exact"/>
        <w:ind w:firstLineChars="200" w:firstLine="480"/>
        <w:rPr>
          <w:rFonts w:ascii="宋体" w:eastAsia="宋体" w:hAnsi="宋体" w:cs="Times New Roman"/>
          <w:sz w:val="24"/>
          <w:szCs w:val="24"/>
        </w:rPr>
      </w:pPr>
      <w:r w:rsidRPr="00C21E20">
        <w:rPr>
          <w:rFonts w:ascii="宋体" w:eastAsia="宋体" w:hAnsi="宋体" w:cs="Times New Roman"/>
          <w:sz w:val="24"/>
          <w:szCs w:val="24"/>
        </w:rPr>
        <w:t>5. 魏</w:t>
      </w:r>
      <w:proofErr w:type="gramStart"/>
      <w:r w:rsidRPr="00C21E20">
        <w:rPr>
          <w:rFonts w:ascii="宋体" w:eastAsia="宋体" w:hAnsi="宋体" w:cs="Times New Roman"/>
          <w:sz w:val="24"/>
          <w:szCs w:val="24"/>
        </w:rPr>
        <w:t>宗舒编</w:t>
      </w:r>
      <w:proofErr w:type="gramEnd"/>
      <w:r w:rsidRPr="00C21E20">
        <w:rPr>
          <w:rFonts w:ascii="宋体" w:eastAsia="宋体" w:hAnsi="宋体" w:cs="Times New Roman"/>
          <w:sz w:val="24"/>
          <w:szCs w:val="24"/>
        </w:rPr>
        <w:t>：《概率论与数理统计》（第二版），高等教育出版社，2012年版；</w:t>
      </w:r>
    </w:p>
    <w:p w14:paraId="1EA1701C" w14:textId="77777777" w:rsidR="00C21E20" w:rsidRPr="00C21E20" w:rsidRDefault="00C21E20" w:rsidP="00C21E20">
      <w:pPr>
        <w:spacing w:beforeLines="50" w:before="156" w:afterLines="50" w:after="156" w:line="440" w:lineRule="exact"/>
        <w:ind w:firstLineChars="200" w:firstLine="480"/>
        <w:rPr>
          <w:rFonts w:ascii="宋体" w:eastAsia="宋体" w:hAnsi="宋体" w:cs="Times New Roman"/>
          <w:sz w:val="24"/>
          <w:szCs w:val="24"/>
        </w:rPr>
      </w:pPr>
      <w:r w:rsidRPr="00C21E20">
        <w:rPr>
          <w:rFonts w:ascii="宋体" w:eastAsia="宋体" w:hAnsi="宋体" w:cs="Times New Roman"/>
          <w:color w:val="000000"/>
          <w:kern w:val="0"/>
          <w:sz w:val="24"/>
          <w:szCs w:val="24"/>
        </w:rPr>
        <w:t xml:space="preserve">6. </w:t>
      </w:r>
      <w:r w:rsidRPr="00C21E20">
        <w:rPr>
          <w:rFonts w:ascii="宋体" w:eastAsia="宋体" w:hAnsi="宋体" w:cs="Times New Roman"/>
          <w:sz w:val="24"/>
          <w:szCs w:val="24"/>
        </w:rPr>
        <w:t>同济大学数学系编：《高等数学》（第七版），高等教育出版社，2014年版</w:t>
      </w:r>
      <w:r w:rsidRPr="00C21E20">
        <w:rPr>
          <w:rFonts w:ascii="宋体" w:eastAsia="宋体" w:hAnsi="宋体" w:cs="Times New Roman" w:hint="eastAsia"/>
          <w:sz w:val="24"/>
          <w:szCs w:val="24"/>
        </w:rPr>
        <w:t>.</w:t>
      </w:r>
    </w:p>
    <w:p w14:paraId="3256A8AE" w14:textId="77777777" w:rsidR="00C21E20" w:rsidRPr="00C21E20" w:rsidRDefault="00C21E20" w:rsidP="00C21E20">
      <w:pPr>
        <w:spacing w:beforeLines="50" w:before="156" w:afterLines="50" w:after="156" w:line="440" w:lineRule="exact"/>
        <w:ind w:firstLineChars="200" w:firstLine="560"/>
        <w:outlineLvl w:val="2"/>
        <w:rPr>
          <w:rFonts w:ascii="Times New Roman" w:eastAsia="黑体" w:hAnsi="Times New Roman" w:cs="Times New Roman"/>
          <w:sz w:val="24"/>
          <w:szCs w:val="28"/>
        </w:rPr>
      </w:pPr>
      <w:r w:rsidRPr="00C21E20">
        <w:rPr>
          <w:rFonts w:ascii="Times New Roman" w:eastAsia="黑体" w:hAnsi="Times New Roman" w:cs="Times New Roman"/>
          <w:sz w:val="28"/>
          <w:szCs w:val="28"/>
        </w:rPr>
        <w:t>（三）课程资源</w:t>
      </w:r>
    </w:p>
    <w:p w14:paraId="4191F221" w14:textId="77777777" w:rsidR="00C21E20" w:rsidRPr="00C21E20" w:rsidRDefault="00C21E20" w:rsidP="00C21E20">
      <w:pPr>
        <w:spacing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1.</w:t>
      </w:r>
      <w:r w:rsidRPr="00C21E20">
        <w:rPr>
          <w:rFonts w:ascii="Times New Roman" w:eastAsia="宋体" w:hAnsi="Times New Roman" w:cs="Times New Roman"/>
          <w:sz w:val="24"/>
          <w:szCs w:val="24"/>
        </w:rPr>
        <w:t>本课程的学习资源包括教材、图书馆相关书籍、网络平台相关资料等；</w:t>
      </w:r>
    </w:p>
    <w:p w14:paraId="1702AA71" w14:textId="77777777" w:rsidR="00C21E20" w:rsidRPr="00C21E20" w:rsidRDefault="00C21E20" w:rsidP="00C21E20">
      <w:pPr>
        <w:spacing w:line="440" w:lineRule="exact"/>
        <w:ind w:firstLineChars="200" w:firstLine="480"/>
        <w:rPr>
          <w:rFonts w:ascii="Times New Roman" w:eastAsia="宋体" w:hAnsi="Times New Roman" w:cs="Times New Roman"/>
          <w:sz w:val="24"/>
          <w:szCs w:val="24"/>
        </w:rPr>
      </w:pPr>
      <w:r w:rsidRPr="00C21E20">
        <w:rPr>
          <w:rFonts w:ascii="Times New Roman" w:eastAsia="宋体" w:hAnsi="Times New Roman" w:cs="Times New Roman"/>
          <w:sz w:val="24"/>
          <w:szCs w:val="24"/>
        </w:rPr>
        <w:t>2.</w:t>
      </w:r>
      <w:r w:rsidRPr="00C21E20">
        <w:rPr>
          <w:rFonts w:ascii="Times New Roman" w:eastAsia="宋体" w:hAnsi="Times New Roman" w:cs="Times New Roman"/>
          <w:sz w:val="24"/>
          <w:szCs w:val="24"/>
        </w:rPr>
        <w:t>学生通过网络平台、相关参考书等进行自主学习</w:t>
      </w:r>
      <w:r w:rsidRPr="00C21E20">
        <w:rPr>
          <w:rFonts w:ascii="Times New Roman" w:eastAsia="宋体" w:hAnsi="Times New Roman" w:cs="Times New Roman" w:hint="eastAsia"/>
          <w:sz w:val="24"/>
          <w:szCs w:val="24"/>
        </w:rPr>
        <w:t>.</w:t>
      </w:r>
    </w:p>
    <w:p w14:paraId="5C516B58" w14:textId="77777777" w:rsidR="00C21E20" w:rsidRPr="00C21E20" w:rsidRDefault="00C21E20" w:rsidP="00C21E20">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21E20">
        <w:rPr>
          <w:rFonts w:ascii="Times New Roman" w:eastAsia="黑体" w:hAnsi="Times New Roman" w:cs="Times New Roman"/>
          <w:sz w:val="28"/>
          <w:szCs w:val="28"/>
        </w:rPr>
        <w:t>七、课程大纲制定依据</w:t>
      </w:r>
    </w:p>
    <w:p w14:paraId="3A8FF4F2" w14:textId="77777777" w:rsidR="00C21E20" w:rsidRPr="00C21E20" w:rsidRDefault="00C21E20" w:rsidP="00C21E20">
      <w:pPr>
        <w:spacing w:line="440" w:lineRule="exact"/>
        <w:ind w:firstLineChars="200" w:firstLine="480"/>
        <w:rPr>
          <w:rFonts w:ascii="宋体" w:eastAsia="宋体" w:hAnsi="宋体" w:cs="Times New Roman"/>
          <w:sz w:val="24"/>
          <w:szCs w:val="24"/>
        </w:rPr>
      </w:pPr>
      <w:r w:rsidRPr="00C21E20">
        <w:rPr>
          <w:rFonts w:ascii="宋体" w:eastAsia="宋体" w:hAnsi="宋体" w:cs="Times New Roman"/>
          <w:sz w:val="24"/>
          <w:szCs w:val="24"/>
        </w:rPr>
        <w:t>本课程大纲依据202</w:t>
      </w:r>
      <w:r w:rsidRPr="00C21E20">
        <w:rPr>
          <w:rFonts w:ascii="宋体" w:eastAsia="宋体" w:hAnsi="宋体" w:cs="Times New Roman" w:hint="eastAsia"/>
          <w:sz w:val="24"/>
          <w:szCs w:val="24"/>
        </w:rPr>
        <w:t>3</w:t>
      </w:r>
      <w:r w:rsidRPr="00C21E20">
        <w:rPr>
          <w:rFonts w:ascii="宋体" w:eastAsia="宋体" w:hAnsi="宋体" w:cs="Times New Roman"/>
          <w:sz w:val="24"/>
          <w:szCs w:val="24"/>
        </w:rPr>
        <w:t>年</w:t>
      </w:r>
      <w:r w:rsidRPr="00C21E20">
        <w:rPr>
          <w:rFonts w:ascii="宋体" w:eastAsia="宋体" w:hAnsi="宋体" w:cs="Times New Roman" w:hint="eastAsia"/>
          <w:sz w:val="24"/>
          <w:szCs w:val="24"/>
        </w:rPr>
        <w:t>药物</w:t>
      </w:r>
      <w:r w:rsidRPr="00C21E20">
        <w:rPr>
          <w:rFonts w:ascii="宋体" w:eastAsia="宋体" w:hAnsi="宋体" w:cs="Times New Roman"/>
          <w:sz w:val="24"/>
          <w:szCs w:val="24"/>
        </w:rPr>
        <w:t>分析专业人才培养方案制定</w:t>
      </w:r>
      <w:r w:rsidRPr="00C21E20">
        <w:rPr>
          <w:rFonts w:ascii="宋体" w:eastAsia="宋体" w:hAnsi="宋体" w:cs="Times New Roman" w:hint="eastAsia"/>
          <w:sz w:val="24"/>
          <w:szCs w:val="24"/>
        </w:rPr>
        <w:t>.</w:t>
      </w:r>
    </w:p>
    <w:p w14:paraId="3FB4C9EC" w14:textId="77777777" w:rsidR="0085474C" w:rsidRDefault="0085474C" w:rsidP="00423AD2">
      <w:pPr>
        <w:rPr>
          <w:rFonts w:ascii="Calibri" w:eastAsia="宋体" w:hAnsi="Calibri" w:cs="Times New Roman"/>
          <w:bCs/>
        </w:rPr>
      </w:pPr>
    </w:p>
    <w:p w14:paraId="15B32CB1" w14:textId="77777777" w:rsidR="00C21E20" w:rsidRDefault="00C21E20" w:rsidP="00423AD2">
      <w:pPr>
        <w:rPr>
          <w:rFonts w:ascii="Calibri" w:eastAsia="宋体" w:hAnsi="Calibri" w:cs="Times New Roman"/>
          <w:bCs/>
        </w:rPr>
      </w:pPr>
    </w:p>
    <w:p w14:paraId="15C6407F" w14:textId="77777777" w:rsidR="00C21E20" w:rsidRDefault="00C21E20" w:rsidP="00423AD2">
      <w:pPr>
        <w:rPr>
          <w:rFonts w:ascii="Calibri" w:eastAsia="宋体" w:hAnsi="Calibri" w:cs="Times New Roman"/>
          <w:bCs/>
        </w:rPr>
      </w:pPr>
    </w:p>
    <w:p w14:paraId="71A4F278" w14:textId="77777777" w:rsidR="00C21E20" w:rsidRDefault="00C21E20" w:rsidP="00423AD2">
      <w:pPr>
        <w:rPr>
          <w:rFonts w:ascii="Calibri" w:eastAsia="宋体" w:hAnsi="Calibri" w:cs="Times New Roman"/>
          <w:bCs/>
        </w:rPr>
      </w:pPr>
    </w:p>
    <w:p w14:paraId="5FF6D77C" w14:textId="77777777" w:rsidR="00C21E20" w:rsidRDefault="00C21E20" w:rsidP="00423AD2">
      <w:pPr>
        <w:rPr>
          <w:rFonts w:ascii="Calibri" w:eastAsia="宋体" w:hAnsi="Calibri" w:cs="Times New Roman"/>
          <w:bCs/>
        </w:rPr>
      </w:pPr>
    </w:p>
    <w:p w14:paraId="1BB58D7C" w14:textId="77777777" w:rsidR="00C21E20" w:rsidRDefault="00C21E20" w:rsidP="00423AD2">
      <w:pPr>
        <w:rPr>
          <w:rFonts w:ascii="Calibri" w:eastAsia="宋体" w:hAnsi="Calibri" w:cs="Times New Roman"/>
          <w:bCs/>
        </w:rPr>
      </w:pPr>
    </w:p>
    <w:p w14:paraId="1F0194EE" w14:textId="77777777" w:rsidR="00C21E20" w:rsidRDefault="00C21E20" w:rsidP="00423AD2">
      <w:pPr>
        <w:rPr>
          <w:rFonts w:ascii="Calibri" w:eastAsia="宋体" w:hAnsi="Calibri" w:cs="Times New Roman"/>
          <w:bCs/>
        </w:rPr>
      </w:pPr>
    </w:p>
    <w:p w14:paraId="1ABB41DC" w14:textId="77777777" w:rsidR="00C21E20" w:rsidRDefault="00C21E20" w:rsidP="00423AD2">
      <w:pPr>
        <w:rPr>
          <w:rFonts w:ascii="Calibri" w:eastAsia="宋体" w:hAnsi="Calibri" w:cs="Times New Roman"/>
          <w:bCs/>
        </w:rPr>
      </w:pPr>
    </w:p>
    <w:p w14:paraId="1CDA4EC5" w14:textId="77777777" w:rsidR="00C21E20" w:rsidRDefault="00C21E20" w:rsidP="00423AD2">
      <w:pPr>
        <w:rPr>
          <w:rFonts w:ascii="Calibri" w:eastAsia="宋体" w:hAnsi="Calibri" w:cs="Times New Roman"/>
          <w:bCs/>
        </w:rPr>
      </w:pPr>
    </w:p>
    <w:p w14:paraId="7E0C97BB" w14:textId="77777777" w:rsidR="00C21E20" w:rsidRDefault="00C21E20" w:rsidP="00423AD2">
      <w:pPr>
        <w:rPr>
          <w:rFonts w:ascii="Calibri" w:eastAsia="宋体" w:hAnsi="Calibri" w:cs="Times New Roman"/>
          <w:bCs/>
        </w:rPr>
      </w:pPr>
    </w:p>
    <w:p w14:paraId="4425DBAB" w14:textId="77777777" w:rsidR="00C21E20" w:rsidRDefault="00C21E20" w:rsidP="00423AD2">
      <w:pPr>
        <w:rPr>
          <w:rFonts w:ascii="Calibri" w:eastAsia="宋体" w:hAnsi="Calibri" w:cs="Times New Roman"/>
          <w:bCs/>
        </w:rPr>
      </w:pPr>
    </w:p>
    <w:p w14:paraId="7B68F6F9" w14:textId="77777777" w:rsidR="00C21E20" w:rsidRDefault="00C21E20" w:rsidP="00423AD2">
      <w:pPr>
        <w:rPr>
          <w:rFonts w:ascii="Calibri" w:eastAsia="宋体" w:hAnsi="Calibri" w:cs="Times New Roman"/>
          <w:bCs/>
        </w:rPr>
      </w:pPr>
    </w:p>
    <w:p w14:paraId="04D7B615" w14:textId="77777777" w:rsidR="00C21E20" w:rsidRDefault="00C21E20" w:rsidP="00423AD2">
      <w:pPr>
        <w:rPr>
          <w:rFonts w:ascii="Calibri" w:eastAsia="宋体" w:hAnsi="Calibri" w:cs="Times New Roman"/>
          <w:bCs/>
        </w:rPr>
      </w:pPr>
    </w:p>
    <w:p w14:paraId="6270EE69" w14:textId="77777777" w:rsidR="00C21E20" w:rsidRDefault="00C21E20" w:rsidP="00423AD2">
      <w:pPr>
        <w:rPr>
          <w:rFonts w:ascii="Calibri" w:eastAsia="宋体" w:hAnsi="Calibri" w:cs="Times New Roman"/>
          <w:bCs/>
        </w:rPr>
      </w:pPr>
    </w:p>
    <w:p w14:paraId="2177277C" w14:textId="77777777" w:rsidR="00C21E20" w:rsidRDefault="00C21E20" w:rsidP="00423AD2">
      <w:pPr>
        <w:rPr>
          <w:rFonts w:ascii="Calibri" w:eastAsia="宋体" w:hAnsi="Calibri" w:cs="Times New Roman"/>
          <w:bCs/>
        </w:rPr>
      </w:pPr>
    </w:p>
    <w:p w14:paraId="733284C1" w14:textId="77777777" w:rsidR="00C21E20" w:rsidRDefault="00C21E20" w:rsidP="00423AD2">
      <w:pPr>
        <w:rPr>
          <w:rFonts w:ascii="Calibri" w:eastAsia="宋体" w:hAnsi="Calibri" w:cs="Times New Roman"/>
          <w:bCs/>
        </w:rPr>
      </w:pPr>
    </w:p>
    <w:p w14:paraId="741BCF9B" w14:textId="77777777" w:rsidR="00C21E20" w:rsidRDefault="00C21E20" w:rsidP="00423AD2">
      <w:pPr>
        <w:rPr>
          <w:rFonts w:ascii="Calibri" w:eastAsia="宋体" w:hAnsi="Calibri" w:cs="Times New Roman"/>
          <w:bCs/>
        </w:rPr>
      </w:pPr>
    </w:p>
    <w:p w14:paraId="69F851EF" w14:textId="77777777" w:rsidR="00C21E20" w:rsidRDefault="00C21E20" w:rsidP="00423AD2">
      <w:pPr>
        <w:rPr>
          <w:rFonts w:ascii="Calibri" w:eastAsia="宋体" w:hAnsi="Calibri" w:cs="Times New Roman"/>
          <w:bCs/>
        </w:rPr>
      </w:pPr>
    </w:p>
    <w:p w14:paraId="766C3BED" w14:textId="77777777" w:rsidR="00C21E20" w:rsidRDefault="00C21E20" w:rsidP="00423AD2">
      <w:pPr>
        <w:rPr>
          <w:rFonts w:ascii="Calibri" w:eastAsia="宋体" w:hAnsi="Calibri" w:cs="Times New Roman"/>
          <w:bCs/>
        </w:rPr>
      </w:pPr>
    </w:p>
    <w:p w14:paraId="3143E7D6" w14:textId="77777777" w:rsidR="00C21E20" w:rsidRDefault="00C21E20" w:rsidP="00423AD2">
      <w:pPr>
        <w:rPr>
          <w:rFonts w:ascii="Calibri" w:eastAsia="宋体" w:hAnsi="Calibri" w:cs="Times New Roman"/>
          <w:bCs/>
        </w:rPr>
      </w:pPr>
    </w:p>
    <w:p w14:paraId="1521D696" w14:textId="77777777" w:rsidR="00C21E20" w:rsidRDefault="00C21E20" w:rsidP="00423AD2">
      <w:pPr>
        <w:rPr>
          <w:rFonts w:ascii="Calibri" w:eastAsia="宋体" w:hAnsi="Calibri" w:cs="Times New Roman"/>
          <w:bCs/>
        </w:rPr>
      </w:pPr>
    </w:p>
    <w:p w14:paraId="4E31E3CD" w14:textId="77777777" w:rsidR="00C21E20" w:rsidRDefault="00C21E20" w:rsidP="00423AD2">
      <w:pPr>
        <w:rPr>
          <w:rFonts w:ascii="Calibri" w:eastAsia="宋体" w:hAnsi="Calibri" w:cs="Times New Roman"/>
          <w:bCs/>
        </w:rPr>
      </w:pPr>
    </w:p>
    <w:p w14:paraId="6AFD08DC" w14:textId="77777777" w:rsidR="0085474C" w:rsidRDefault="0085474C" w:rsidP="00423AD2">
      <w:pPr>
        <w:rPr>
          <w:rFonts w:ascii="Calibri" w:eastAsia="宋体" w:hAnsi="Calibri" w:cs="Times New Roman"/>
          <w:bCs/>
        </w:rPr>
      </w:pPr>
    </w:p>
    <w:p w14:paraId="0849D484" w14:textId="77777777" w:rsidR="0085474C" w:rsidRPr="0085474C" w:rsidRDefault="0085474C" w:rsidP="00884E21">
      <w:pPr>
        <w:pStyle w:val="1"/>
      </w:pPr>
      <w:bookmarkStart w:id="161" w:name="_Toc149662359"/>
      <w:r w:rsidRPr="0085474C">
        <w:rPr>
          <w:rFonts w:hint="eastAsia"/>
        </w:rPr>
        <w:lastRenderedPageBreak/>
        <w:t>《有机化学》课程大纲</w:t>
      </w:r>
      <w:bookmarkEnd w:id="161"/>
    </w:p>
    <w:p w14:paraId="136A7158" w14:textId="77777777" w:rsidR="0085474C" w:rsidRPr="0085474C" w:rsidRDefault="0085474C" w:rsidP="0085474C">
      <w:pPr>
        <w:spacing w:beforeLines="50" w:before="156" w:afterLines="50" w:after="156" w:line="440" w:lineRule="exact"/>
        <w:ind w:firstLineChars="200" w:firstLine="560"/>
        <w:rPr>
          <w:rFonts w:ascii="黑体" w:eastAsia="黑体" w:hAnsi="黑体" w:cs="Times New Roman"/>
          <w:sz w:val="28"/>
          <w:szCs w:val="28"/>
        </w:rPr>
      </w:pPr>
      <w:r w:rsidRPr="0085474C">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0"/>
        <w:gridCol w:w="2816"/>
        <w:gridCol w:w="1561"/>
        <w:gridCol w:w="2880"/>
      </w:tblGrid>
      <w:tr w:rsidR="0085474C" w:rsidRPr="0085474C" w14:paraId="5A7CDD31" w14:textId="77777777" w:rsidTr="00367215">
        <w:trPr>
          <w:trHeight w:val="886"/>
          <w:jc w:val="center"/>
        </w:trPr>
        <w:tc>
          <w:tcPr>
            <w:tcW w:w="1668" w:type="dxa"/>
            <w:vAlign w:val="center"/>
          </w:tcPr>
          <w:p w14:paraId="758B08F1"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课程名称</w:t>
            </w:r>
          </w:p>
        </w:tc>
        <w:tc>
          <w:tcPr>
            <w:tcW w:w="2833" w:type="dxa"/>
            <w:vAlign w:val="center"/>
          </w:tcPr>
          <w:p w14:paraId="71E30CCB"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有机化学</w:t>
            </w:r>
          </w:p>
        </w:tc>
        <w:tc>
          <w:tcPr>
            <w:tcW w:w="1561" w:type="dxa"/>
            <w:vAlign w:val="center"/>
          </w:tcPr>
          <w:p w14:paraId="2E6EC2B4"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课程代码</w:t>
            </w:r>
          </w:p>
        </w:tc>
        <w:tc>
          <w:tcPr>
            <w:tcW w:w="2941" w:type="dxa"/>
            <w:vAlign w:val="center"/>
          </w:tcPr>
          <w:p w14:paraId="6A305013" w14:textId="77777777" w:rsidR="0085474C" w:rsidRPr="0085474C" w:rsidRDefault="0085474C" w:rsidP="0085474C">
            <w:pPr>
              <w:spacing w:line="50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0701204</w:t>
            </w:r>
          </w:p>
        </w:tc>
      </w:tr>
      <w:tr w:rsidR="0085474C" w:rsidRPr="0085474C" w14:paraId="6B005FC1" w14:textId="77777777" w:rsidTr="00367215">
        <w:trPr>
          <w:trHeight w:val="829"/>
          <w:jc w:val="center"/>
        </w:trPr>
        <w:tc>
          <w:tcPr>
            <w:tcW w:w="1668" w:type="dxa"/>
            <w:vAlign w:val="center"/>
          </w:tcPr>
          <w:p w14:paraId="033E770C"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课程类别</w:t>
            </w:r>
          </w:p>
        </w:tc>
        <w:tc>
          <w:tcPr>
            <w:tcW w:w="2833" w:type="dxa"/>
            <w:vAlign w:val="center"/>
          </w:tcPr>
          <w:p w14:paraId="0E69BD76"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Times New Roman" w:eastAsia="宋体" w:hAnsi="Times New Roman" w:cs="Times New Roman" w:hint="eastAsia"/>
                <w:sz w:val="24"/>
                <w:szCs w:val="24"/>
              </w:rPr>
              <w:t>专业必修课程</w:t>
            </w:r>
          </w:p>
        </w:tc>
        <w:tc>
          <w:tcPr>
            <w:tcW w:w="1561" w:type="dxa"/>
            <w:vAlign w:val="center"/>
          </w:tcPr>
          <w:p w14:paraId="099610E5"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学时</w:t>
            </w:r>
          </w:p>
          <w:p w14:paraId="5D12CE12"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/学分</w:t>
            </w:r>
          </w:p>
        </w:tc>
        <w:tc>
          <w:tcPr>
            <w:tcW w:w="2941" w:type="dxa"/>
            <w:vAlign w:val="center"/>
          </w:tcPr>
          <w:p w14:paraId="3578812D"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40/2.5</w:t>
            </w:r>
          </w:p>
        </w:tc>
      </w:tr>
      <w:tr w:rsidR="0085474C" w:rsidRPr="0085474C" w14:paraId="3738F347" w14:textId="77777777" w:rsidTr="00367215">
        <w:trPr>
          <w:trHeight w:val="811"/>
          <w:jc w:val="center"/>
        </w:trPr>
        <w:tc>
          <w:tcPr>
            <w:tcW w:w="1668" w:type="dxa"/>
            <w:vAlign w:val="center"/>
          </w:tcPr>
          <w:p w14:paraId="0866691A"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开课单位</w:t>
            </w:r>
          </w:p>
        </w:tc>
        <w:tc>
          <w:tcPr>
            <w:tcW w:w="2833" w:type="dxa"/>
            <w:vAlign w:val="center"/>
          </w:tcPr>
          <w:p w14:paraId="5BDAB2D5"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化工学院</w:t>
            </w:r>
          </w:p>
        </w:tc>
        <w:tc>
          <w:tcPr>
            <w:tcW w:w="1561" w:type="dxa"/>
            <w:vAlign w:val="center"/>
          </w:tcPr>
          <w:p w14:paraId="700B6B8B"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适用专业</w:t>
            </w:r>
          </w:p>
        </w:tc>
        <w:tc>
          <w:tcPr>
            <w:tcW w:w="2941" w:type="dxa"/>
            <w:vAlign w:val="center"/>
          </w:tcPr>
          <w:p w14:paraId="0129AF5B"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药物分析专业</w:t>
            </w:r>
          </w:p>
        </w:tc>
      </w:tr>
      <w:tr w:rsidR="0085474C" w:rsidRPr="0085474C" w14:paraId="772059D8" w14:textId="77777777" w:rsidTr="00367215">
        <w:trPr>
          <w:trHeight w:val="811"/>
          <w:jc w:val="center"/>
        </w:trPr>
        <w:tc>
          <w:tcPr>
            <w:tcW w:w="1668" w:type="dxa"/>
            <w:vAlign w:val="center"/>
          </w:tcPr>
          <w:p w14:paraId="1ED9ADA2"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课程负责人</w:t>
            </w:r>
          </w:p>
        </w:tc>
        <w:tc>
          <w:tcPr>
            <w:tcW w:w="7335" w:type="dxa"/>
            <w:gridSpan w:val="3"/>
            <w:vAlign w:val="center"/>
          </w:tcPr>
          <w:p w14:paraId="1FE6DFB1"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有机化学课程组</w:t>
            </w:r>
          </w:p>
        </w:tc>
      </w:tr>
      <w:tr w:rsidR="0085474C" w:rsidRPr="0085474C" w14:paraId="6AAE6556" w14:textId="77777777" w:rsidTr="00367215">
        <w:trPr>
          <w:trHeight w:val="836"/>
          <w:jc w:val="center"/>
        </w:trPr>
        <w:tc>
          <w:tcPr>
            <w:tcW w:w="1668" w:type="dxa"/>
            <w:vAlign w:val="center"/>
          </w:tcPr>
          <w:p w14:paraId="2F23BDCA"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大纲撰写人</w:t>
            </w:r>
          </w:p>
        </w:tc>
        <w:tc>
          <w:tcPr>
            <w:tcW w:w="2833" w:type="dxa"/>
            <w:vAlign w:val="center"/>
          </w:tcPr>
          <w:p w14:paraId="0934ADDA"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王晓燕</w:t>
            </w:r>
          </w:p>
        </w:tc>
        <w:tc>
          <w:tcPr>
            <w:tcW w:w="1561" w:type="dxa"/>
            <w:vAlign w:val="center"/>
          </w:tcPr>
          <w:p w14:paraId="44FE31E7"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大纲审核人</w:t>
            </w:r>
          </w:p>
        </w:tc>
        <w:tc>
          <w:tcPr>
            <w:tcW w:w="2941" w:type="dxa"/>
            <w:vAlign w:val="center"/>
          </w:tcPr>
          <w:p w14:paraId="66CD3D1D"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吕立强</w:t>
            </w:r>
          </w:p>
        </w:tc>
      </w:tr>
      <w:tr w:rsidR="0085474C" w:rsidRPr="0085474C" w14:paraId="29BDAF72" w14:textId="77777777" w:rsidTr="00367215">
        <w:trPr>
          <w:trHeight w:val="848"/>
          <w:jc w:val="center"/>
        </w:trPr>
        <w:tc>
          <w:tcPr>
            <w:tcW w:w="1668" w:type="dxa"/>
            <w:vAlign w:val="center"/>
          </w:tcPr>
          <w:p w14:paraId="3F729259"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先修课程</w:t>
            </w:r>
          </w:p>
        </w:tc>
        <w:tc>
          <w:tcPr>
            <w:tcW w:w="7335" w:type="dxa"/>
            <w:gridSpan w:val="3"/>
            <w:vAlign w:val="center"/>
          </w:tcPr>
          <w:p w14:paraId="29652EB5"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先修《无机化学》课程</w:t>
            </w:r>
          </w:p>
        </w:tc>
      </w:tr>
      <w:tr w:rsidR="0085474C" w:rsidRPr="0085474C" w14:paraId="2BBFC93D" w14:textId="77777777" w:rsidTr="00367215">
        <w:trPr>
          <w:trHeight w:val="848"/>
          <w:jc w:val="center"/>
        </w:trPr>
        <w:tc>
          <w:tcPr>
            <w:tcW w:w="1668" w:type="dxa"/>
            <w:vAlign w:val="center"/>
          </w:tcPr>
          <w:p w14:paraId="6D006C26"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课程网址</w:t>
            </w:r>
          </w:p>
        </w:tc>
        <w:tc>
          <w:tcPr>
            <w:tcW w:w="7335" w:type="dxa"/>
            <w:gridSpan w:val="3"/>
            <w:vAlign w:val="center"/>
          </w:tcPr>
          <w:p w14:paraId="4441CF70" w14:textId="77777777" w:rsidR="0085474C" w:rsidRPr="0085474C" w:rsidRDefault="00000000" w:rsidP="0085474C">
            <w:pPr>
              <w:spacing w:line="440" w:lineRule="exact"/>
              <w:rPr>
                <w:rFonts w:ascii="宋体" w:eastAsia="宋体" w:hAnsi="宋体" w:cs="Times New Roman"/>
                <w:color w:val="FF0000"/>
                <w:sz w:val="24"/>
                <w:szCs w:val="24"/>
              </w:rPr>
            </w:pPr>
            <w:hyperlink r:id="rId41" w:history="1">
              <w:r w:rsidR="0085474C" w:rsidRPr="0085474C">
                <w:rPr>
                  <w:rFonts w:ascii="宋体" w:eastAsia="宋体" w:hAnsi="宋体" w:cs="Times New Roman"/>
                  <w:color w:val="3F5094"/>
                  <w:sz w:val="24"/>
                  <w:szCs w:val="24"/>
                  <w:u w:val="single"/>
                </w:rPr>
                <w:t>http://i.mooc.chaoxing.com/space/index?t=1599085392193</w:t>
              </w:r>
            </w:hyperlink>
          </w:p>
        </w:tc>
      </w:tr>
    </w:tbl>
    <w:p w14:paraId="779802EC" w14:textId="77777777" w:rsidR="0085474C" w:rsidRPr="0085474C" w:rsidRDefault="0085474C" w:rsidP="0085474C">
      <w:pPr>
        <w:spacing w:beforeLines="50" w:before="156" w:afterLines="50" w:after="156" w:line="440" w:lineRule="exact"/>
        <w:ind w:firstLineChars="200" w:firstLine="560"/>
        <w:rPr>
          <w:rFonts w:ascii="黑体" w:eastAsia="黑体" w:hAnsi="黑体" w:cs="Times New Roman"/>
          <w:sz w:val="28"/>
          <w:szCs w:val="28"/>
        </w:rPr>
      </w:pPr>
      <w:r w:rsidRPr="0085474C">
        <w:rPr>
          <w:rFonts w:ascii="黑体" w:eastAsia="黑体" w:hAnsi="黑体" w:cs="Times New Roman" w:hint="eastAsia"/>
          <w:sz w:val="28"/>
          <w:szCs w:val="28"/>
        </w:rPr>
        <w:t>二、课程学习目标及与毕业要求的对应关系</w:t>
      </w:r>
    </w:p>
    <w:p w14:paraId="1DB508CE" w14:textId="77777777" w:rsidR="0085474C" w:rsidRPr="0085474C" w:rsidRDefault="0085474C" w:rsidP="0085474C">
      <w:pPr>
        <w:spacing w:beforeLines="50" w:before="156" w:afterLines="50" w:after="156" w:line="440" w:lineRule="exact"/>
        <w:ind w:firstLineChars="200" w:firstLine="560"/>
        <w:rPr>
          <w:rFonts w:ascii="黑体" w:eastAsia="黑体" w:hAnsi="黑体" w:cs="Times New Roman"/>
          <w:sz w:val="28"/>
          <w:szCs w:val="28"/>
        </w:rPr>
      </w:pPr>
      <w:r w:rsidRPr="0085474C">
        <w:rPr>
          <w:rFonts w:ascii="黑体" w:eastAsia="黑体" w:hAnsi="黑体" w:cs="Times New Roman" w:hint="eastAsia"/>
          <w:sz w:val="28"/>
          <w:szCs w:val="28"/>
        </w:rPr>
        <w:t>（一）课程学习目标</w:t>
      </w:r>
    </w:p>
    <w:p w14:paraId="451F7E0F" w14:textId="77777777" w:rsidR="0085474C" w:rsidRPr="0085474C" w:rsidRDefault="0085474C" w:rsidP="0085474C">
      <w:pPr>
        <w:spacing w:line="440" w:lineRule="exact"/>
        <w:ind w:firstLineChars="200" w:firstLine="480"/>
        <w:rPr>
          <w:rFonts w:ascii="宋体" w:eastAsia="宋体" w:hAnsi="宋体" w:cs="Times New Roman"/>
          <w:sz w:val="24"/>
          <w:szCs w:val="24"/>
        </w:rPr>
      </w:pPr>
      <w:r w:rsidRPr="0085474C">
        <w:rPr>
          <w:rFonts w:ascii="宋体" w:eastAsia="宋体" w:hAnsi="宋体" w:cs="Times New Roman" w:hint="eastAsia"/>
          <w:sz w:val="24"/>
          <w:szCs w:val="24"/>
        </w:rPr>
        <w:t>通过本课程的学习，使学生达到以下目标：</w:t>
      </w:r>
    </w:p>
    <w:p w14:paraId="6433DA44"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宋体" w:eastAsia="宋体" w:hAnsi="宋体" w:cs="Times New Roman" w:hint="eastAsia"/>
          <w:color w:val="000000"/>
          <w:sz w:val="24"/>
          <w:szCs w:val="24"/>
        </w:rPr>
        <w:t>1.</w:t>
      </w:r>
      <w:r w:rsidRPr="0085474C">
        <w:rPr>
          <w:rFonts w:ascii="Times New Roman" w:eastAsia="宋体" w:hAnsi="Times New Roman" w:cs="Times New Roman" w:hint="eastAsia"/>
          <w:color w:val="000000"/>
          <w:sz w:val="24"/>
          <w:szCs w:val="24"/>
        </w:rPr>
        <w:t>掌握有机化学的</w:t>
      </w:r>
      <w:r w:rsidRPr="0085474C">
        <w:rPr>
          <w:rFonts w:ascii="Times New Roman" w:eastAsia="宋体" w:hAnsi="Times New Roman" w:cs="Times New Roman"/>
          <w:sz w:val="24"/>
          <w:szCs w:val="24"/>
        </w:rPr>
        <w:t>基本知识</w:t>
      </w:r>
      <w:r w:rsidRPr="0085474C">
        <w:rPr>
          <w:rFonts w:ascii="Times New Roman" w:eastAsia="宋体" w:hAnsi="Times New Roman" w:cs="Times New Roman" w:hint="eastAsia"/>
          <w:sz w:val="24"/>
          <w:szCs w:val="24"/>
        </w:rPr>
        <w:t>和</w:t>
      </w:r>
      <w:r w:rsidRPr="0085474C">
        <w:rPr>
          <w:rFonts w:ascii="Times New Roman" w:eastAsia="宋体" w:hAnsi="Times New Roman" w:cs="Times New Roman"/>
          <w:sz w:val="24"/>
          <w:szCs w:val="24"/>
        </w:rPr>
        <w:t>基础理论，</w:t>
      </w:r>
      <w:r w:rsidRPr="0085474C">
        <w:rPr>
          <w:rFonts w:ascii="Times New Roman" w:eastAsia="宋体" w:hAnsi="Times New Roman" w:cs="Times New Roman" w:hint="eastAsia"/>
          <w:color w:val="000000"/>
          <w:sz w:val="24"/>
          <w:szCs w:val="24"/>
        </w:rPr>
        <w:t>掌握一般有机化合物的命名、主要的物理和化学性质；熟悉一般有机化合物分子结构与性能的关系；理解典型有机反应的机理；</w:t>
      </w:r>
      <w:r w:rsidRPr="0085474C">
        <w:rPr>
          <w:rFonts w:ascii="Times New Roman" w:eastAsia="宋体" w:hAnsi="Times New Roman" w:cs="Times New Roman"/>
          <w:sz w:val="24"/>
          <w:szCs w:val="24"/>
        </w:rPr>
        <w:t>了解有机化学的新成就和新发展</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color w:val="000000"/>
          <w:sz w:val="24"/>
          <w:szCs w:val="24"/>
        </w:rPr>
        <w:t>逐渐形成有机化学的知识体系，并能够将有机化学知识</w:t>
      </w:r>
      <w:r w:rsidRPr="0085474C">
        <w:rPr>
          <w:rFonts w:ascii="Times New Roman" w:eastAsia="宋体" w:hAnsi="Times New Roman" w:cs="Times New Roman"/>
          <w:color w:val="000000"/>
          <w:sz w:val="24"/>
          <w:szCs w:val="24"/>
        </w:rPr>
        <w:t>用于</w:t>
      </w:r>
      <w:r w:rsidRPr="0085474C">
        <w:rPr>
          <w:rFonts w:ascii="Times New Roman" w:eastAsia="宋体" w:hAnsi="Times New Roman" w:cs="Times New Roman" w:hint="eastAsia"/>
          <w:color w:val="000000"/>
          <w:sz w:val="24"/>
          <w:szCs w:val="24"/>
        </w:rPr>
        <w:t>解决</w:t>
      </w:r>
      <w:r w:rsidRPr="0085474C">
        <w:rPr>
          <w:rFonts w:ascii="Times New Roman" w:eastAsia="宋体" w:hAnsi="Times New Roman" w:cs="Times New Roman"/>
          <w:color w:val="000000"/>
          <w:sz w:val="24"/>
          <w:szCs w:val="24"/>
        </w:rPr>
        <w:t>工业药剂</w:t>
      </w:r>
      <w:r w:rsidRPr="0085474C">
        <w:rPr>
          <w:rFonts w:ascii="Times New Roman" w:eastAsia="宋体" w:hAnsi="Times New Roman" w:cs="Times New Roman"/>
          <w:sz w:val="24"/>
          <w:szCs w:val="24"/>
        </w:rPr>
        <w:t>实验、研究等问题</w:t>
      </w:r>
      <w:r w:rsidRPr="0085474C">
        <w:rPr>
          <w:rFonts w:ascii="Times New Roman" w:eastAsia="宋体" w:hAnsi="Times New Roman" w:cs="Times New Roman" w:hint="eastAsia"/>
          <w:sz w:val="24"/>
          <w:szCs w:val="24"/>
        </w:rPr>
        <w:t>。</w:t>
      </w:r>
      <w:r w:rsidRPr="005E2322">
        <w:rPr>
          <w:rFonts w:ascii="Times New Roman" w:eastAsia="宋体" w:hAnsi="Times New Roman" w:cs="Times New Roman" w:hint="eastAsia"/>
          <w:b/>
          <w:bCs/>
          <w:color w:val="000000"/>
          <w:sz w:val="24"/>
          <w:szCs w:val="24"/>
        </w:rPr>
        <w:t>【毕业要求</w:t>
      </w:r>
      <w:r w:rsidRPr="005E2322">
        <w:rPr>
          <w:rFonts w:ascii="Times New Roman" w:eastAsia="宋体" w:hAnsi="Times New Roman" w:cs="Times New Roman"/>
          <w:b/>
          <w:bCs/>
          <w:color w:val="000000"/>
          <w:sz w:val="24"/>
          <w:szCs w:val="24"/>
        </w:rPr>
        <w:t>1</w:t>
      </w:r>
      <w:r w:rsidRPr="005E2322">
        <w:rPr>
          <w:rFonts w:ascii="Times New Roman" w:eastAsia="宋体" w:hAnsi="Times New Roman" w:cs="Times New Roman" w:hint="eastAsia"/>
          <w:b/>
          <w:bCs/>
          <w:color w:val="000000"/>
          <w:sz w:val="24"/>
          <w:szCs w:val="24"/>
        </w:rPr>
        <w:t xml:space="preserve"> </w:t>
      </w:r>
      <w:r w:rsidRPr="005E2322">
        <w:rPr>
          <w:rFonts w:ascii="Times New Roman" w:eastAsia="宋体" w:hAnsi="Times New Roman" w:cs="Times New Roman" w:hint="eastAsia"/>
          <w:b/>
          <w:bCs/>
          <w:color w:val="000000"/>
          <w:sz w:val="24"/>
          <w:szCs w:val="24"/>
        </w:rPr>
        <w:t>药学知识】</w:t>
      </w:r>
    </w:p>
    <w:p w14:paraId="34495438" w14:textId="77777777" w:rsidR="0085474C" w:rsidRPr="005E2322" w:rsidRDefault="0085474C" w:rsidP="0085474C">
      <w:pPr>
        <w:spacing w:line="440" w:lineRule="exact"/>
        <w:ind w:firstLineChars="200" w:firstLine="480"/>
        <w:rPr>
          <w:rFonts w:ascii="Times New Roman" w:eastAsia="宋体" w:hAnsi="Times New Roman" w:cs="Times New Roman"/>
          <w:b/>
          <w:bCs/>
          <w:color w:val="000000"/>
          <w:sz w:val="24"/>
          <w:szCs w:val="24"/>
        </w:rPr>
      </w:pPr>
      <w:r w:rsidRPr="0085474C">
        <w:rPr>
          <w:rFonts w:ascii="Times New Roman" w:eastAsia="宋体" w:hAnsi="Times New Roman" w:cs="Times New Roman" w:hint="eastAsia"/>
          <w:color w:val="000000"/>
          <w:sz w:val="24"/>
          <w:szCs w:val="24"/>
        </w:rPr>
        <w:t>2.</w:t>
      </w:r>
      <w:r w:rsidRPr="0085474C">
        <w:rPr>
          <w:rFonts w:ascii="Times New Roman" w:eastAsia="宋体" w:hAnsi="Times New Roman" w:cs="Times New Roman"/>
          <w:color w:val="000000"/>
          <w:sz w:val="24"/>
          <w:szCs w:val="24"/>
        </w:rPr>
        <w:t xml:space="preserve"> </w:t>
      </w:r>
      <w:r w:rsidRPr="0085474C">
        <w:rPr>
          <w:rFonts w:ascii="Times New Roman" w:eastAsia="宋体" w:hAnsi="Times New Roman" w:cs="Times New Roman" w:hint="eastAsia"/>
          <w:color w:val="000000"/>
          <w:sz w:val="24"/>
          <w:szCs w:val="24"/>
        </w:rPr>
        <w:t>掌握有机化学的基本技能，能运用诱导效应、共轭效应解释碳正离子、碳自由基等活性中间体的稳定性；能初步运用立体化学的基本知识和基本理论解释部分有机反应的机理；能判断一般有机化合物的稳定性及有机反应的可行性；能用常见的试剂进行有机化合物的鉴别、分离和合成路线设计。能够利用有机化学知识与技能分析、解释相关学科问题。</w:t>
      </w:r>
      <w:r w:rsidRPr="005E2322">
        <w:rPr>
          <w:rFonts w:ascii="Times New Roman" w:eastAsia="宋体" w:hAnsi="Times New Roman" w:cs="Times New Roman" w:hint="eastAsia"/>
          <w:b/>
          <w:bCs/>
          <w:color w:val="000000"/>
          <w:sz w:val="24"/>
          <w:szCs w:val="24"/>
        </w:rPr>
        <w:t>【毕业要求</w:t>
      </w:r>
      <w:r w:rsidRPr="005E2322">
        <w:rPr>
          <w:rFonts w:ascii="Times New Roman" w:eastAsia="宋体" w:hAnsi="Times New Roman" w:cs="Times New Roman" w:hint="eastAsia"/>
          <w:b/>
          <w:bCs/>
          <w:color w:val="000000"/>
          <w:sz w:val="24"/>
          <w:szCs w:val="24"/>
        </w:rPr>
        <w:t>2</w:t>
      </w:r>
      <w:r w:rsidRPr="005E2322">
        <w:rPr>
          <w:rFonts w:ascii="Times New Roman" w:eastAsia="宋体" w:hAnsi="Times New Roman" w:cs="Times New Roman"/>
          <w:b/>
          <w:bCs/>
          <w:color w:val="000000"/>
          <w:sz w:val="24"/>
          <w:szCs w:val="24"/>
        </w:rPr>
        <w:t xml:space="preserve"> </w:t>
      </w:r>
      <w:r w:rsidRPr="005E2322">
        <w:rPr>
          <w:rFonts w:ascii="Times New Roman" w:eastAsia="宋体" w:hAnsi="Times New Roman" w:cs="Times New Roman" w:hint="eastAsia"/>
          <w:b/>
          <w:bCs/>
          <w:color w:val="000000"/>
          <w:sz w:val="24"/>
          <w:szCs w:val="24"/>
        </w:rPr>
        <w:t>问题分析】</w:t>
      </w:r>
    </w:p>
    <w:p w14:paraId="7C30C94C" w14:textId="76045C6D"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hint="eastAsia"/>
          <w:color w:val="000000"/>
          <w:sz w:val="24"/>
          <w:szCs w:val="24"/>
        </w:rPr>
        <w:t>3.</w:t>
      </w:r>
      <w:r w:rsidRPr="0085474C">
        <w:rPr>
          <w:rFonts w:ascii="Times New Roman" w:eastAsia="宋体" w:hAnsi="Times New Roman" w:cs="Times New Roman"/>
          <w:color w:val="000000"/>
          <w:sz w:val="24"/>
          <w:szCs w:val="24"/>
        </w:rPr>
        <w:t xml:space="preserve"> </w:t>
      </w:r>
      <w:r w:rsidRPr="0085474C">
        <w:rPr>
          <w:rFonts w:ascii="Times New Roman" w:eastAsia="宋体" w:hAnsi="Times New Roman" w:cs="Times New Roman" w:hint="eastAsia"/>
          <w:color w:val="000000"/>
          <w:sz w:val="24"/>
          <w:szCs w:val="24"/>
        </w:rPr>
        <w:t>具有良好的有机化学逻辑思维能力和职业素养，具有持续学习的精神和创新</w:t>
      </w:r>
      <w:r w:rsidRPr="0085474C">
        <w:rPr>
          <w:rFonts w:ascii="Times New Roman" w:eastAsia="宋体" w:hAnsi="Times New Roman" w:cs="Times New Roman" w:hint="eastAsia"/>
          <w:color w:val="000000"/>
          <w:sz w:val="24"/>
          <w:szCs w:val="24"/>
        </w:rPr>
        <w:lastRenderedPageBreak/>
        <w:t>发展的能力</w:t>
      </w:r>
      <w:r w:rsidR="005E2322">
        <w:rPr>
          <w:rFonts w:ascii="Times New Roman" w:eastAsia="宋体" w:hAnsi="Times New Roman" w:cs="Times New Roman" w:hint="eastAsia"/>
          <w:color w:val="000000"/>
          <w:sz w:val="24"/>
          <w:szCs w:val="24"/>
        </w:rPr>
        <w:t>。</w:t>
      </w:r>
      <w:r w:rsidRPr="005E2322">
        <w:rPr>
          <w:rFonts w:ascii="Times New Roman" w:eastAsia="宋体" w:hAnsi="Times New Roman" w:cs="Times New Roman" w:hint="eastAsia"/>
          <w:b/>
          <w:bCs/>
          <w:color w:val="000000"/>
          <w:sz w:val="24"/>
          <w:szCs w:val="24"/>
        </w:rPr>
        <w:t>【毕业要求</w:t>
      </w:r>
      <w:r w:rsidRPr="005E2322">
        <w:rPr>
          <w:rFonts w:ascii="Times New Roman" w:eastAsia="宋体" w:hAnsi="Times New Roman" w:cs="Times New Roman" w:hint="eastAsia"/>
          <w:b/>
          <w:bCs/>
          <w:color w:val="000000"/>
          <w:sz w:val="24"/>
          <w:szCs w:val="24"/>
        </w:rPr>
        <w:t xml:space="preserve">12 </w:t>
      </w:r>
      <w:r w:rsidRPr="005E2322">
        <w:rPr>
          <w:rFonts w:ascii="Times New Roman" w:eastAsia="宋体" w:hAnsi="Times New Roman" w:cs="Times New Roman" w:hint="eastAsia"/>
          <w:b/>
          <w:bCs/>
          <w:color w:val="000000"/>
          <w:sz w:val="24"/>
          <w:szCs w:val="24"/>
        </w:rPr>
        <w:t>终身学习】</w:t>
      </w:r>
    </w:p>
    <w:p w14:paraId="76A76A75" w14:textId="77777777" w:rsidR="0085474C" w:rsidRPr="0085474C" w:rsidRDefault="0085474C" w:rsidP="0085474C">
      <w:pPr>
        <w:spacing w:beforeLines="50" w:before="156" w:afterLines="50" w:after="156" w:line="440" w:lineRule="exact"/>
        <w:ind w:firstLineChars="200" w:firstLine="560"/>
        <w:rPr>
          <w:rFonts w:ascii="黑体" w:eastAsia="黑体" w:hAnsi="黑体" w:cs="Times New Roman"/>
          <w:sz w:val="28"/>
          <w:szCs w:val="28"/>
        </w:rPr>
      </w:pPr>
      <w:r w:rsidRPr="0085474C">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6"/>
        <w:gridCol w:w="5549"/>
        <w:gridCol w:w="1944"/>
      </w:tblGrid>
      <w:tr w:rsidR="0085474C" w:rsidRPr="0085474C" w14:paraId="5F91CCB8" w14:textId="77777777" w:rsidTr="00367215">
        <w:trPr>
          <w:trHeight w:val="815"/>
          <w:jc w:val="center"/>
        </w:trPr>
        <w:tc>
          <w:tcPr>
            <w:tcW w:w="1676" w:type="dxa"/>
            <w:vAlign w:val="center"/>
          </w:tcPr>
          <w:p w14:paraId="0FAC0278" w14:textId="77777777" w:rsidR="0085474C" w:rsidRPr="0085474C" w:rsidRDefault="0085474C" w:rsidP="0085474C">
            <w:pPr>
              <w:spacing w:line="440" w:lineRule="exact"/>
              <w:jc w:val="center"/>
              <w:rPr>
                <w:rFonts w:ascii="宋体" w:eastAsia="宋体" w:hAnsi="宋体" w:cs="Times New Roman"/>
                <w:b/>
                <w:sz w:val="24"/>
                <w:szCs w:val="24"/>
              </w:rPr>
            </w:pPr>
            <w:r w:rsidRPr="0085474C">
              <w:rPr>
                <w:rFonts w:ascii="宋体" w:eastAsia="宋体" w:hAnsi="宋体" w:cs="Times New Roman" w:hint="eastAsia"/>
                <w:b/>
                <w:sz w:val="24"/>
                <w:szCs w:val="24"/>
              </w:rPr>
              <w:t>毕业要求</w:t>
            </w:r>
          </w:p>
        </w:tc>
        <w:tc>
          <w:tcPr>
            <w:tcW w:w="5549" w:type="dxa"/>
            <w:vAlign w:val="center"/>
          </w:tcPr>
          <w:p w14:paraId="54E761BA" w14:textId="77777777" w:rsidR="0085474C" w:rsidRPr="0085474C" w:rsidRDefault="0085474C" w:rsidP="0085474C">
            <w:pPr>
              <w:spacing w:line="440" w:lineRule="exact"/>
              <w:jc w:val="center"/>
              <w:rPr>
                <w:rFonts w:ascii="宋体" w:eastAsia="宋体" w:hAnsi="宋体" w:cs="Times New Roman"/>
                <w:b/>
                <w:sz w:val="24"/>
                <w:szCs w:val="24"/>
              </w:rPr>
            </w:pPr>
            <w:r w:rsidRPr="0085474C">
              <w:rPr>
                <w:rFonts w:ascii="宋体" w:eastAsia="宋体" w:hAnsi="宋体" w:cs="Times New Roman" w:hint="eastAsia"/>
                <w:b/>
                <w:sz w:val="24"/>
                <w:szCs w:val="24"/>
              </w:rPr>
              <w:t>毕业要求指标点</w:t>
            </w:r>
          </w:p>
        </w:tc>
        <w:tc>
          <w:tcPr>
            <w:tcW w:w="1944" w:type="dxa"/>
            <w:vAlign w:val="center"/>
          </w:tcPr>
          <w:p w14:paraId="4B9CF5E2" w14:textId="77777777" w:rsidR="0085474C" w:rsidRPr="0085474C" w:rsidRDefault="0085474C" w:rsidP="0085474C">
            <w:pPr>
              <w:spacing w:line="440" w:lineRule="exact"/>
              <w:jc w:val="center"/>
              <w:rPr>
                <w:rFonts w:ascii="宋体" w:eastAsia="宋体" w:hAnsi="宋体" w:cs="Times New Roman"/>
                <w:b/>
                <w:sz w:val="24"/>
                <w:szCs w:val="24"/>
              </w:rPr>
            </w:pPr>
            <w:r w:rsidRPr="0085474C">
              <w:rPr>
                <w:rFonts w:ascii="宋体" w:eastAsia="宋体" w:hAnsi="宋体" w:cs="Times New Roman" w:hint="eastAsia"/>
                <w:b/>
                <w:sz w:val="24"/>
                <w:szCs w:val="24"/>
              </w:rPr>
              <w:t>课程目标</w:t>
            </w:r>
          </w:p>
        </w:tc>
      </w:tr>
      <w:tr w:rsidR="0085474C" w:rsidRPr="0085474C" w14:paraId="579E914F" w14:textId="77777777" w:rsidTr="00367215">
        <w:trPr>
          <w:trHeight w:val="1300"/>
          <w:jc w:val="center"/>
        </w:trPr>
        <w:tc>
          <w:tcPr>
            <w:tcW w:w="1676" w:type="dxa"/>
            <w:vAlign w:val="center"/>
          </w:tcPr>
          <w:p w14:paraId="7767A514"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1.</w:t>
            </w:r>
            <w:r w:rsidRPr="0085474C">
              <w:rPr>
                <w:rFonts w:ascii="Times New Roman" w:eastAsia="宋体" w:hAnsi="Times New Roman" w:cs="Times New Roman" w:hint="eastAsia"/>
                <w:sz w:val="24"/>
                <w:szCs w:val="24"/>
              </w:rPr>
              <w:t>药学知识</w:t>
            </w:r>
          </w:p>
        </w:tc>
        <w:tc>
          <w:tcPr>
            <w:tcW w:w="5549" w:type="dxa"/>
          </w:tcPr>
          <w:p w14:paraId="5E34E23B" w14:textId="77777777" w:rsidR="0085474C" w:rsidRPr="0085474C" w:rsidRDefault="0085474C" w:rsidP="0085474C">
            <w:pPr>
              <w:autoSpaceDE w:val="0"/>
              <w:autoSpaceDN w:val="0"/>
              <w:adjustRightInd w:val="0"/>
              <w:snapToGrid w:val="0"/>
              <w:spacing w:line="400" w:lineRule="exact"/>
              <w:jc w:val="left"/>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 xml:space="preserve">1.1 </w:t>
            </w:r>
            <w:r w:rsidRPr="0085474C">
              <w:rPr>
                <w:rFonts w:ascii="Times New Roman" w:eastAsia="宋体" w:hAnsi="Times New Roman" w:cs="Times New Roman" w:hint="eastAsia"/>
                <w:sz w:val="24"/>
                <w:szCs w:val="24"/>
              </w:rPr>
              <w:t>掌握无机化学、有机化学、分析化学和物理化学等基础化学理论知识和实验技能。</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H</w:t>
            </w:r>
            <w:r w:rsidRPr="0085474C">
              <w:rPr>
                <w:rFonts w:ascii="Times New Roman" w:eastAsia="宋体" w:hAnsi="Times New Roman" w:cs="Times New Roman"/>
                <w:sz w:val="24"/>
                <w:szCs w:val="24"/>
              </w:rPr>
              <w:t>）</w:t>
            </w:r>
          </w:p>
        </w:tc>
        <w:tc>
          <w:tcPr>
            <w:tcW w:w="1944" w:type="dxa"/>
            <w:vAlign w:val="center"/>
          </w:tcPr>
          <w:p w14:paraId="2DD7D5EA"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课程目标1</w:t>
            </w:r>
          </w:p>
          <w:p w14:paraId="4C363BBD" w14:textId="77777777" w:rsidR="0085474C" w:rsidRPr="0085474C" w:rsidRDefault="0085474C" w:rsidP="0085474C">
            <w:pPr>
              <w:spacing w:line="440" w:lineRule="exact"/>
              <w:jc w:val="center"/>
              <w:rPr>
                <w:rFonts w:ascii="宋体" w:eastAsia="宋体" w:hAnsi="宋体" w:cs="Times New Roman"/>
                <w:sz w:val="24"/>
                <w:szCs w:val="24"/>
              </w:rPr>
            </w:pPr>
          </w:p>
        </w:tc>
      </w:tr>
      <w:tr w:rsidR="0085474C" w:rsidRPr="0085474C" w14:paraId="026E72F2" w14:textId="77777777" w:rsidTr="00367215">
        <w:trPr>
          <w:trHeight w:val="1300"/>
          <w:jc w:val="center"/>
        </w:trPr>
        <w:tc>
          <w:tcPr>
            <w:tcW w:w="1676" w:type="dxa"/>
            <w:vAlign w:val="center"/>
          </w:tcPr>
          <w:p w14:paraId="793960C2"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2.</w:t>
            </w:r>
            <w:r w:rsidRPr="0085474C">
              <w:rPr>
                <w:rFonts w:ascii="Times New Roman" w:eastAsia="宋体" w:hAnsi="Times New Roman" w:cs="Times New Roman" w:hint="eastAsia"/>
                <w:sz w:val="24"/>
                <w:szCs w:val="24"/>
              </w:rPr>
              <w:t>问题分析</w:t>
            </w:r>
            <w:r w:rsidRPr="0085474C">
              <w:rPr>
                <w:rFonts w:ascii="Times New Roman" w:eastAsia="宋体" w:hAnsi="Times New Roman" w:cs="Times New Roman" w:hint="eastAsia"/>
                <w:sz w:val="24"/>
                <w:szCs w:val="24"/>
              </w:rPr>
              <w:t xml:space="preserve"> </w:t>
            </w:r>
          </w:p>
          <w:p w14:paraId="2941E33F" w14:textId="77777777" w:rsidR="0085474C" w:rsidRPr="0085474C" w:rsidRDefault="0085474C" w:rsidP="0085474C">
            <w:pPr>
              <w:spacing w:line="440" w:lineRule="exact"/>
              <w:jc w:val="center"/>
              <w:rPr>
                <w:rFonts w:ascii="Times New Roman" w:eastAsia="宋体" w:hAnsi="Times New Roman" w:cs="Times New Roman"/>
                <w:sz w:val="24"/>
                <w:szCs w:val="24"/>
              </w:rPr>
            </w:pPr>
          </w:p>
        </w:tc>
        <w:tc>
          <w:tcPr>
            <w:tcW w:w="5549" w:type="dxa"/>
          </w:tcPr>
          <w:p w14:paraId="5FB7A999" w14:textId="77777777" w:rsidR="0085474C" w:rsidRPr="0085474C" w:rsidRDefault="0085474C" w:rsidP="0085474C">
            <w:pPr>
              <w:widowControl/>
              <w:jc w:val="left"/>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 xml:space="preserve">2.1 </w:t>
            </w:r>
            <w:r w:rsidRPr="0085474C">
              <w:rPr>
                <w:rFonts w:ascii="Times New Roman" w:eastAsia="宋体" w:hAnsi="Times New Roman" w:cs="Times New Roman" w:hint="eastAsia"/>
                <w:sz w:val="24"/>
                <w:szCs w:val="24"/>
              </w:rPr>
              <w:t>能够运用数学、化学、药学基本原理，识别、定义药物分析学的实践问题。（</w:t>
            </w:r>
            <w:r w:rsidRPr="0085474C">
              <w:rPr>
                <w:rFonts w:ascii="Times New Roman" w:eastAsia="宋体" w:hAnsi="Times New Roman" w:cs="Times New Roman" w:hint="eastAsia"/>
                <w:sz w:val="24"/>
                <w:szCs w:val="24"/>
              </w:rPr>
              <w:t>M</w:t>
            </w:r>
            <w:r w:rsidRPr="0085474C">
              <w:rPr>
                <w:rFonts w:ascii="Times New Roman" w:eastAsia="宋体" w:hAnsi="Times New Roman" w:cs="Times New Roman" w:hint="eastAsia"/>
                <w:sz w:val="24"/>
                <w:szCs w:val="24"/>
              </w:rPr>
              <w:t>）</w:t>
            </w:r>
          </w:p>
        </w:tc>
        <w:tc>
          <w:tcPr>
            <w:tcW w:w="1944" w:type="dxa"/>
            <w:vAlign w:val="center"/>
          </w:tcPr>
          <w:p w14:paraId="23F237E3"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课程目标2</w:t>
            </w:r>
          </w:p>
          <w:p w14:paraId="1E56C91F" w14:textId="77777777" w:rsidR="0085474C" w:rsidRPr="0085474C" w:rsidRDefault="0085474C" w:rsidP="0085474C">
            <w:pPr>
              <w:spacing w:line="440" w:lineRule="exact"/>
              <w:jc w:val="center"/>
              <w:rPr>
                <w:rFonts w:ascii="宋体" w:eastAsia="宋体" w:hAnsi="宋体" w:cs="Times New Roman"/>
                <w:sz w:val="24"/>
                <w:szCs w:val="24"/>
              </w:rPr>
            </w:pPr>
          </w:p>
        </w:tc>
      </w:tr>
      <w:tr w:rsidR="0085474C" w:rsidRPr="0085474C" w14:paraId="686959A9" w14:textId="77777777" w:rsidTr="00367215">
        <w:trPr>
          <w:trHeight w:val="1300"/>
          <w:jc w:val="center"/>
        </w:trPr>
        <w:tc>
          <w:tcPr>
            <w:tcW w:w="1676" w:type="dxa"/>
            <w:vAlign w:val="center"/>
          </w:tcPr>
          <w:p w14:paraId="623C68BB"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12.</w:t>
            </w:r>
            <w:r w:rsidRPr="0085474C">
              <w:rPr>
                <w:rFonts w:ascii="Times New Roman" w:eastAsia="宋体" w:hAnsi="Times New Roman" w:cs="Times New Roman" w:hint="eastAsia"/>
                <w:sz w:val="24"/>
                <w:szCs w:val="24"/>
              </w:rPr>
              <w:t>终身学习</w:t>
            </w:r>
            <w:r w:rsidRPr="0085474C">
              <w:rPr>
                <w:rFonts w:ascii="Times New Roman" w:eastAsia="宋体" w:hAnsi="Times New Roman" w:cs="Times New Roman" w:hint="eastAsia"/>
                <w:sz w:val="24"/>
                <w:szCs w:val="24"/>
              </w:rPr>
              <w:t xml:space="preserve"> </w:t>
            </w:r>
          </w:p>
          <w:p w14:paraId="428ABE54" w14:textId="77777777" w:rsidR="0085474C" w:rsidRPr="0085474C" w:rsidRDefault="0085474C" w:rsidP="0085474C">
            <w:pPr>
              <w:spacing w:line="440" w:lineRule="exact"/>
              <w:jc w:val="center"/>
              <w:rPr>
                <w:rFonts w:ascii="Times New Roman" w:eastAsia="宋体" w:hAnsi="Times New Roman" w:cs="Times New Roman"/>
                <w:sz w:val="24"/>
                <w:szCs w:val="24"/>
              </w:rPr>
            </w:pPr>
          </w:p>
        </w:tc>
        <w:tc>
          <w:tcPr>
            <w:tcW w:w="5549" w:type="dxa"/>
          </w:tcPr>
          <w:p w14:paraId="5FB478AD" w14:textId="77777777" w:rsidR="0085474C" w:rsidRPr="0085474C" w:rsidRDefault="0085474C" w:rsidP="0085474C">
            <w:pPr>
              <w:widowControl/>
              <w:jc w:val="left"/>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 xml:space="preserve">12.1 </w:t>
            </w:r>
            <w:r w:rsidRPr="0085474C">
              <w:rPr>
                <w:rFonts w:ascii="Times New Roman" w:eastAsia="宋体" w:hAnsi="Times New Roman" w:cs="Times New Roman" w:hint="eastAsia"/>
                <w:sz w:val="24"/>
                <w:szCs w:val="24"/>
              </w:rPr>
              <w:t>具有线上学习和终身学习的意识，有不断学习和适应发展的能力，能够根据职业</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hint="eastAsia"/>
                <w:sz w:val="24"/>
                <w:szCs w:val="24"/>
              </w:rPr>
              <w:t>认知合理规划职业生涯，具备创新能力和可持续发展能力。</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L</w:t>
            </w:r>
            <w:r w:rsidRPr="0085474C">
              <w:rPr>
                <w:rFonts w:ascii="Times New Roman" w:eastAsia="宋体" w:hAnsi="Times New Roman" w:cs="Times New Roman" w:hint="eastAsia"/>
                <w:sz w:val="24"/>
                <w:szCs w:val="24"/>
              </w:rPr>
              <w:t>）</w:t>
            </w:r>
          </w:p>
          <w:p w14:paraId="29866EB9" w14:textId="77777777" w:rsidR="0085474C" w:rsidRPr="0085474C" w:rsidRDefault="0085474C" w:rsidP="0085474C">
            <w:pPr>
              <w:autoSpaceDE w:val="0"/>
              <w:autoSpaceDN w:val="0"/>
              <w:adjustRightInd w:val="0"/>
              <w:snapToGrid w:val="0"/>
              <w:spacing w:line="400" w:lineRule="exact"/>
              <w:jc w:val="left"/>
              <w:rPr>
                <w:rFonts w:ascii="Times New Roman" w:eastAsia="宋体" w:hAnsi="Times New Roman" w:cs="Times New Roman"/>
                <w:sz w:val="24"/>
                <w:szCs w:val="24"/>
              </w:rPr>
            </w:pPr>
          </w:p>
        </w:tc>
        <w:tc>
          <w:tcPr>
            <w:tcW w:w="1944" w:type="dxa"/>
            <w:vAlign w:val="center"/>
          </w:tcPr>
          <w:p w14:paraId="25527BF0" w14:textId="77777777" w:rsidR="0085474C" w:rsidRPr="0085474C" w:rsidRDefault="0085474C" w:rsidP="0085474C">
            <w:pPr>
              <w:spacing w:line="440" w:lineRule="exact"/>
              <w:jc w:val="center"/>
              <w:rPr>
                <w:rFonts w:ascii="宋体" w:eastAsia="宋体" w:hAnsi="宋体" w:cs="Times New Roman"/>
                <w:sz w:val="24"/>
                <w:szCs w:val="24"/>
              </w:rPr>
            </w:pPr>
            <w:r w:rsidRPr="0085474C">
              <w:rPr>
                <w:rFonts w:ascii="宋体" w:eastAsia="宋体" w:hAnsi="宋体" w:cs="Times New Roman" w:hint="eastAsia"/>
                <w:sz w:val="24"/>
                <w:szCs w:val="24"/>
              </w:rPr>
              <w:t>课程目标3</w:t>
            </w:r>
          </w:p>
        </w:tc>
      </w:tr>
    </w:tbl>
    <w:p w14:paraId="2CA1A06E" w14:textId="77777777" w:rsidR="0085474C" w:rsidRPr="0085474C" w:rsidRDefault="0085474C" w:rsidP="0085474C">
      <w:pPr>
        <w:spacing w:beforeLines="50" w:before="156" w:afterLines="50" w:after="156" w:line="440" w:lineRule="exact"/>
        <w:ind w:firstLineChars="200" w:firstLine="560"/>
        <w:rPr>
          <w:rFonts w:ascii="黑体" w:eastAsia="黑体" w:hAnsi="黑体" w:cs="Times New Roman"/>
          <w:sz w:val="28"/>
          <w:szCs w:val="28"/>
        </w:rPr>
      </w:pPr>
      <w:r w:rsidRPr="0085474C">
        <w:rPr>
          <w:rFonts w:ascii="黑体" w:eastAsia="黑体" w:hAnsi="黑体" w:cs="Times New Roman" w:hint="eastAsia"/>
          <w:sz w:val="28"/>
          <w:szCs w:val="28"/>
        </w:rPr>
        <w:t>三、课程学习内容及与课程学习目标的对应关系</w:t>
      </w:r>
    </w:p>
    <w:p w14:paraId="4F94755A" w14:textId="77777777" w:rsidR="0085474C" w:rsidRPr="0085474C" w:rsidRDefault="0085474C" w:rsidP="0085474C">
      <w:pPr>
        <w:spacing w:beforeLines="50" w:before="156" w:afterLines="50" w:after="156" w:line="440" w:lineRule="exact"/>
        <w:ind w:firstLineChars="200" w:firstLine="562"/>
        <w:rPr>
          <w:rFonts w:ascii="黑体" w:eastAsia="黑体" w:hAnsi="黑体" w:cs="Times New Roman"/>
          <w:b/>
          <w:sz w:val="28"/>
          <w:szCs w:val="28"/>
        </w:rPr>
      </w:pPr>
      <w:r w:rsidRPr="0085474C">
        <w:rPr>
          <w:rFonts w:ascii="黑体" w:eastAsia="黑体" w:hAnsi="黑体" w:cs="Times New Roman" w:hint="eastAsia"/>
          <w:b/>
          <w:sz w:val="28"/>
          <w:szCs w:val="28"/>
        </w:rPr>
        <w:t>（一）课程学习内容</w:t>
      </w:r>
    </w:p>
    <w:p w14:paraId="0D66CBED" w14:textId="77777777" w:rsidR="0085474C" w:rsidRPr="0085474C" w:rsidRDefault="0085474C" w:rsidP="0085474C">
      <w:pPr>
        <w:spacing w:beforeLines="50" w:before="156" w:afterLines="50" w:after="156" w:line="440" w:lineRule="exact"/>
        <w:ind w:firstLineChars="200" w:firstLine="560"/>
        <w:jc w:val="center"/>
        <w:rPr>
          <w:rFonts w:ascii="黑体" w:eastAsia="黑体" w:hAnsi="黑体" w:cs="Times New Roman"/>
          <w:sz w:val="28"/>
          <w:szCs w:val="28"/>
        </w:rPr>
      </w:pPr>
      <w:r w:rsidRPr="0085474C">
        <w:rPr>
          <w:rFonts w:ascii="黑体" w:eastAsia="黑体" w:hAnsi="黑体" w:cs="Times New Roman" w:hint="eastAsia"/>
          <w:sz w:val="28"/>
          <w:szCs w:val="28"/>
        </w:rPr>
        <w:t>第一章  绪论</w:t>
      </w:r>
    </w:p>
    <w:p w14:paraId="3BA9E87D" w14:textId="77777777" w:rsidR="0085474C" w:rsidRPr="0085474C" w:rsidRDefault="0085474C" w:rsidP="0085474C">
      <w:pPr>
        <w:spacing w:line="440" w:lineRule="exact"/>
        <w:ind w:firstLineChars="200" w:firstLine="482"/>
        <w:rPr>
          <w:rFonts w:ascii="宋体" w:eastAsia="宋体" w:hAnsi="宋体" w:cs="Times New Roman"/>
          <w:b/>
          <w:sz w:val="24"/>
          <w:szCs w:val="24"/>
        </w:rPr>
      </w:pPr>
      <w:r w:rsidRPr="0085474C">
        <w:rPr>
          <w:rFonts w:ascii="宋体" w:eastAsia="宋体" w:hAnsi="宋体" w:cs="Times New Roman" w:hint="eastAsia"/>
          <w:b/>
          <w:sz w:val="24"/>
          <w:szCs w:val="24"/>
        </w:rPr>
        <w:t>【学习目标】</w:t>
      </w:r>
    </w:p>
    <w:p w14:paraId="0048CF64"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认知类目标：了解有机化学的研究对象及有机化学的产生与发展历史，认识有机化学与生产和生活的密切关系。掌握有机化合物分子结构</w:t>
      </w:r>
      <w:r w:rsidRPr="0085474C">
        <w:rPr>
          <w:rFonts w:ascii="Times New Roman" w:eastAsia="宋体" w:hAnsi="Times New Roman" w:cs="Times New Roman" w:hint="eastAsia"/>
          <w:sz w:val="24"/>
          <w:szCs w:val="24"/>
        </w:rPr>
        <w:t>的</w:t>
      </w:r>
      <w:r w:rsidRPr="0085474C">
        <w:rPr>
          <w:rFonts w:ascii="Times New Roman" w:eastAsia="宋体" w:hAnsi="Times New Roman" w:cs="Times New Roman"/>
          <w:sz w:val="24"/>
          <w:szCs w:val="24"/>
        </w:rPr>
        <w:t>基本理论</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掌握碳原子正四面体概念</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掌握</w:t>
      </w:r>
      <w:r w:rsidRPr="0085474C">
        <w:rPr>
          <w:rFonts w:ascii="Times New Roman" w:eastAsia="宋体" w:hAnsi="Times New Roman" w:cs="Times New Roman" w:hint="eastAsia"/>
          <w:sz w:val="24"/>
          <w:szCs w:val="24"/>
        </w:rPr>
        <w:t>共价键形成的杂环轨道理论</w:t>
      </w:r>
      <w:r w:rsidRPr="0085474C">
        <w:rPr>
          <w:rFonts w:ascii="Times New Roman" w:eastAsia="宋体" w:hAnsi="Times New Roman" w:cs="Times New Roman"/>
          <w:sz w:val="24"/>
          <w:szCs w:val="24"/>
        </w:rPr>
        <w:t>；掌握共价键属性；</w:t>
      </w:r>
      <w:r w:rsidRPr="0085474C">
        <w:rPr>
          <w:rFonts w:ascii="Times New Roman" w:eastAsia="宋体" w:hAnsi="Times New Roman" w:cs="Times New Roman" w:hint="eastAsia"/>
          <w:sz w:val="24"/>
          <w:szCs w:val="24"/>
        </w:rPr>
        <w:t>掌握主要的有机酸碱理论；</w:t>
      </w:r>
      <w:r w:rsidRPr="0085474C">
        <w:rPr>
          <w:rFonts w:ascii="Times New Roman" w:eastAsia="宋体" w:hAnsi="Times New Roman" w:cs="Times New Roman"/>
          <w:sz w:val="24"/>
          <w:szCs w:val="24"/>
        </w:rPr>
        <w:t>了解有机化合物的分类和有机化学的现状和展望。</w:t>
      </w:r>
    </w:p>
    <w:p w14:paraId="0448E9DA"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w:t>
      </w:r>
      <w:r w:rsidRPr="0085474C">
        <w:rPr>
          <w:rFonts w:ascii="Times New Roman" w:eastAsia="宋体" w:hAnsi="Times New Roman" w:cs="Times New Roman"/>
          <w:color w:val="000000"/>
          <w:sz w:val="24"/>
          <w:szCs w:val="24"/>
        </w:rPr>
        <w:t>了解有机化学课程学习特点、方法和专业发展的途径，</w:t>
      </w:r>
      <w:r w:rsidRPr="0085474C">
        <w:rPr>
          <w:rFonts w:ascii="Times New Roman" w:eastAsia="宋体" w:hAnsi="Times New Roman" w:cs="Times New Roman" w:hint="eastAsia"/>
          <w:color w:val="000000"/>
          <w:sz w:val="24"/>
          <w:szCs w:val="24"/>
        </w:rPr>
        <w:t>逐渐</w:t>
      </w:r>
      <w:r w:rsidRPr="0085474C">
        <w:rPr>
          <w:rFonts w:ascii="Times New Roman" w:eastAsia="宋体" w:hAnsi="Times New Roman" w:cs="Times New Roman"/>
          <w:color w:val="000000"/>
          <w:sz w:val="24"/>
          <w:szCs w:val="24"/>
        </w:rPr>
        <w:t>培养学生</w:t>
      </w:r>
      <w:r w:rsidRPr="0085474C">
        <w:rPr>
          <w:rFonts w:ascii="Times New Roman" w:eastAsia="宋体" w:hAnsi="Times New Roman" w:cs="Times New Roman" w:hint="eastAsia"/>
          <w:color w:val="000000"/>
          <w:sz w:val="24"/>
          <w:szCs w:val="24"/>
        </w:rPr>
        <w:t>发现问题、解决问题的能力</w:t>
      </w:r>
      <w:r w:rsidRPr="0085474C">
        <w:rPr>
          <w:rFonts w:ascii="Times New Roman" w:eastAsia="宋体" w:hAnsi="Times New Roman" w:cs="Times New Roman"/>
          <w:color w:val="000000"/>
          <w:sz w:val="24"/>
          <w:szCs w:val="24"/>
        </w:rPr>
        <w:t>。</w:t>
      </w:r>
    </w:p>
    <w:p w14:paraId="7C3FFE59" w14:textId="77777777" w:rsidR="0085474C" w:rsidRPr="0085474C" w:rsidRDefault="0085474C" w:rsidP="0085474C">
      <w:pPr>
        <w:spacing w:line="440" w:lineRule="exact"/>
        <w:ind w:firstLineChars="200" w:firstLine="480"/>
        <w:rPr>
          <w:rFonts w:ascii="Times New Roman" w:eastAsia="宋体" w:hAnsi="宋体" w:cs="Times New Roman"/>
          <w:color w:val="000000"/>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w:t>
      </w:r>
      <w:r w:rsidRPr="0085474C">
        <w:rPr>
          <w:rFonts w:ascii="Times New Roman" w:eastAsia="宋体" w:hAnsi="Times New Roman" w:cs="Times New Roman"/>
          <w:color w:val="000000"/>
          <w:sz w:val="24"/>
          <w:szCs w:val="24"/>
        </w:rPr>
        <w:t>通过</w:t>
      </w:r>
      <w:r w:rsidRPr="0085474C">
        <w:rPr>
          <w:rFonts w:ascii="Times New Roman" w:eastAsia="宋体" w:hAnsi="Times New Roman" w:cs="Times New Roman" w:hint="eastAsia"/>
          <w:color w:val="000000"/>
          <w:sz w:val="24"/>
          <w:szCs w:val="24"/>
        </w:rPr>
        <w:t>对</w:t>
      </w:r>
      <w:r w:rsidRPr="0085474C">
        <w:rPr>
          <w:rFonts w:ascii="Times New Roman" w:eastAsia="宋体" w:hAnsi="Times New Roman" w:cs="Times New Roman"/>
          <w:color w:val="000000"/>
          <w:sz w:val="24"/>
          <w:szCs w:val="24"/>
        </w:rPr>
        <w:t>人工牛胰岛素和酵母丙氨酸转移核糖核酸合成</w:t>
      </w:r>
      <w:r w:rsidRPr="0085474C">
        <w:rPr>
          <w:rFonts w:ascii="Times New Roman" w:eastAsia="宋体" w:hAnsi="Times New Roman" w:cs="Times New Roman" w:hint="eastAsia"/>
          <w:color w:val="000000"/>
          <w:sz w:val="24"/>
          <w:szCs w:val="24"/>
        </w:rPr>
        <w:t>的介绍</w:t>
      </w:r>
      <w:r w:rsidRPr="0085474C">
        <w:rPr>
          <w:rFonts w:ascii="Times New Roman" w:eastAsia="宋体" w:hAnsi="Times New Roman" w:cs="Times New Roman"/>
          <w:color w:val="000000"/>
          <w:sz w:val="24"/>
          <w:szCs w:val="24"/>
        </w:rPr>
        <w:t>，增加学生的爱国情怀。</w:t>
      </w:r>
      <w:r w:rsidRPr="0085474C">
        <w:rPr>
          <w:rFonts w:ascii="Times New Roman" w:eastAsia="宋体" w:hAnsi="Times New Roman" w:cs="Times New Roman" w:hint="eastAsia"/>
          <w:color w:val="000000"/>
          <w:sz w:val="24"/>
          <w:szCs w:val="24"/>
        </w:rPr>
        <w:t>通过年轻科学家打破“生命力学说”的小故事向学生传递独立思考的科学精神。</w:t>
      </w:r>
    </w:p>
    <w:p w14:paraId="3E0DA6B6" w14:textId="77777777" w:rsidR="0085474C" w:rsidRPr="0085474C" w:rsidRDefault="0085474C" w:rsidP="0085474C">
      <w:pPr>
        <w:spacing w:line="440" w:lineRule="exact"/>
        <w:ind w:firstLineChars="200" w:firstLine="482"/>
        <w:rPr>
          <w:rFonts w:ascii="宋体" w:eastAsia="宋体" w:hAnsi="宋体" w:cs="Times New Roman"/>
          <w:b/>
          <w:sz w:val="24"/>
          <w:szCs w:val="24"/>
        </w:rPr>
      </w:pPr>
      <w:r w:rsidRPr="0085474C">
        <w:rPr>
          <w:rFonts w:ascii="宋体" w:eastAsia="宋体" w:hAnsi="宋体" w:cs="Times New Roman" w:hint="eastAsia"/>
          <w:b/>
          <w:sz w:val="24"/>
          <w:szCs w:val="24"/>
        </w:rPr>
        <w:t>【学习内容】</w:t>
      </w:r>
    </w:p>
    <w:p w14:paraId="2CC169E9" w14:textId="77777777" w:rsidR="0085474C" w:rsidRPr="0085474C" w:rsidRDefault="0085474C" w:rsidP="0085474C">
      <w:pPr>
        <w:spacing w:line="440" w:lineRule="exact"/>
        <w:ind w:firstLineChars="200" w:firstLine="480"/>
        <w:rPr>
          <w:rFonts w:ascii="Times New Roman" w:eastAsia="宋体" w:hAnsi="Times New Roman" w:cs="Times New Roman"/>
          <w:b/>
          <w:color w:val="000000"/>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hint="eastAsia"/>
          <w:sz w:val="24"/>
          <w:szCs w:val="24"/>
        </w:rPr>
        <w:t>1</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有机</w:t>
      </w:r>
      <w:r w:rsidRPr="0085474C">
        <w:rPr>
          <w:rFonts w:ascii="Times New Roman" w:eastAsia="宋体" w:hAnsi="Times New Roman" w:cs="Times New Roman" w:hint="eastAsia"/>
          <w:sz w:val="24"/>
          <w:szCs w:val="24"/>
        </w:rPr>
        <w:t>化合物和</w:t>
      </w:r>
      <w:r w:rsidRPr="0085474C">
        <w:rPr>
          <w:rFonts w:ascii="Times New Roman" w:eastAsia="宋体" w:hAnsi="Times New Roman" w:cs="Times New Roman"/>
          <w:sz w:val="24"/>
          <w:szCs w:val="24"/>
        </w:rPr>
        <w:t>和有机</w:t>
      </w:r>
      <w:r w:rsidRPr="0085474C">
        <w:rPr>
          <w:rFonts w:ascii="Times New Roman" w:eastAsia="宋体" w:hAnsi="Times New Roman" w:cs="Times New Roman" w:hint="eastAsia"/>
          <w:sz w:val="24"/>
          <w:szCs w:val="24"/>
        </w:rPr>
        <w:t>化学</w:t>
      </w:r>
      <w:r w:rsidRPr="0085474C">
        <w:rPr>
          <w:rFonts w:ascii="Times New Roman" w:eastAsia="宋体" w:hAnsi="Times New Roman" w:cs="Times New Roman"/>
          <w:color w:val="000000"/>
          <w:sz w:val="24"/>
          <w:szCs w:val="24"/>
        </w:rPr>
        <w:t>；</w:t>
      </w:r>
    </w:p>
    <w:p w14:paraId="1308E8AA"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hint="eastAsia"/>
          <w:color w:val="000000"/>
          <w:sz w:val="24"/>
          <w:szCs w:val="24"/>
        </w:rPr>
        <w:t>1</w:t>
      </w:r>
      <w:r w:rsidRPr="0085474C">
        <w:rPr>
          <w:rFonts w:ascii="Times New Roman" w:eastAsia="宋体" w:hAnsi="Times New Roman" w:cs="Times New Roman"/>
          <w:color w:val="000000"/>
          <w:sz w:val="24"/>
          <w:szCs w:val="24"/>
        </w:rPr>
        <w:t>.2</w:t>
      </w:r>
      <w:r w:rsidRPr="0085474C">
        <w:rPr>
          <w:rFonts w:ascii="Times New Roman" w:eastAsia="宋体" w:hAnsi="Times New Roman" w:cs="Times New Roman"/>
          <w:color w:val="000000"/>
          <w:szCs w:val="24"/>
        </w:rPr>
        <w:t xml:space="preserve"> </w:t>
      </w:r>
      <w:r w:rsidRPr="0085474C">
        <w:rPr>
          <w:rFonts w:ascii="Times New Roman" w:eastAsia="宋体" w:hAnsi="Times New Roman" w:cs="Times New Roman"/>
          <w:color w:val="000000"/>
          <w:sz w:val="24"/>
          <w:szCs w:val="24"/>
        </w:rPr>
        <w:t>有机化合物的结构</w:t>
      </w:r>
      <w:r w:rsidRPr="0085474C">
        <w:rPr>
          <w:rFonts w:ascii="Times New Roman" w:eastAsia="宋体" w:hAnsi="Times New Roman" w:cs="Times New Roman" w:hint="eastAsia"/>
          <w:color w:val="000000"/>
          <w:sz w:val="24"/>
          <w:szCs w:val="24"/>
        </w:rPr>
        <w:t>特性</w:t>
      </w:r>
      <w:r w:rsidRPr="0085474C">
        <w:rPr>
          <w:rFonts w:ascii="Times New Roman" w:eastAsia="宋体" w:hAnsi="Times New Roman" w:cs="Times New Roman"/>
          <w:color w:val="000000"/>
          <w:sz w:val="24"/>
          <w:szCs w:val="24"/>
        </w:rPr>
        <w:t>；</w:t>
      </w:r>
    </w:p>
    <w:p w14:paraId="57D26D24" w14:textId="77777777" w:rsidR="0085474C" w:rsidRPr="0085474C" w:rsidRDefault="0085474C" w:rsidP="0085474C">
      <w:pPr>
        <w:spacing w:line="440" w:lineRule="exact"/>
        <w:ind w:firstLineChars="200" w:firstLine="480"/>
        <w:rPr>
          <w:rFonts w:ascii="宋体" w:eastAsia="宋体" w:hAnsi="宋体" w:cs="Times New Roman"/>
          <w:color w:val="000000"/>
          <w:sz w:val="24"/>
          <w:szCs w:val="24"/>
        </w:rPr>
      </w:pPr>
      <w:r w:rsidRPr="0085474C">
        <w:rPr>
          <w:rFonts w:ascii="Times New Roman" w:eastAsia="宋体" w:hAnsi="Times New Roman" w:cs="Times New Roman" w:hint="eastAsia"/>
          <w:color w:val="000000"/>
          <w:sz w:val="24"/>
          <w:szCs w:val="24"/>
        </w:rPr>
        <w:lastRenderedPageBreak/>
        <w:t>1</w:t>
      </w:r>
      <w:r w:rsidRPr="0085474C">
        <w:rPr>
          <w:rFonts w:ascii="Times New Roman" w:eastAsia="宋体" w:hAnsi="Times New Roman" w:cs="Times New Roman"/>
          <w:color w:val="000000"/>
          <w:sz w:val="24"/>
          <w:szCs w:val="24"/>
        </w:rPr>
        <w:t>.3</w:t>
      </w:r>
      <w:r w:rsidRPr="0085474C">
        <w:rPr>
          <w:rFonts w:ascii="Times New Roman" w:eastAsia="宋体" w:hAnsi="Times New Roman" w:cs="Times New Roman"/>
          <w:color w:val="000000"/>
          <w:szCs w:val="24"/>
        </w:rPr>
        <w:t xml:space="preserve"> </w:t>
      </w:r>
      <w:r w:rsidRPr="0085474C">
        <w:rPr>
          <w:rFonts w:ascii="Times New Roman" w:eastAsia="宋体" w:hAnsi="Times New Roman" w:cs="Times New Roman" w:hint="eastAsia"/>
          <w:color w:val="000000"/>
          <w:sz w:val="24"/>
          <w:szCs w:val="24"/>
        </w:rPr>
        <w:t>分子结构和结构式</w:t>
      </w:r>
      <w:r w:rsidRPr="0085474C">
        <w:rPr>
          <w:rFonts w:ascii="Times New Roman" w:eastAsia="宋体" w:hAnsi="Times New Roman" w:cs="Times New Roman"/>
          <w:color w:val="000000"/>
          <w:sz w:val="24"/>
          <w:szCs w:val="24"/>
        </w:rPr>
        <w:t>；</w:t>
      </w:r>
    </w:p>
    <w:p w14:paraId="3EB1DE70"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hint="eastAsia"/>
          <w:color w:val="000000"/>
          <w:sz w:val="24"/>
          <w:szCs w:val="24"/>
        </w:rPr>
        <w:t>1</w:t>
      </w:r>
      <w:r w:rsidRPr="0085474C">
        <w:rPr>
          <w:rFonts w:ascii="Times New Roman" w:eastAsia="宋体" w:hAnsi="Times New Roman" w:cs="Times New Roman"/>
          <w:color w:val="000000"/>
          <w:sz w:val="24"/>
          <w:szCs w:val="24"/>
        </w:rPr>
        <w:t>.4</w:t>
      </w:r>
      <w:r w:rsidRPr="0085474C">
        <w:rPr>
          <w:rFonts w:ascii="Times New Roman" w:eastAsia="宋体" w:hAnsi="Times New Roman" w:cs="Times New Roman"/>
          <w:color w:val="000000"/>
          <w:szCs w:val="24"/>
        </w:rPr>
        <w:t xml:space="preserve"> </w:t>
      </w:r>
      <w:r w:rsidRPr="0085474C">
        <w:rPr>
          <w:rFonts w:ascii="Times New Roman" w:eastAsia="宋体" w:hAnsi="Times New Roman" w:cs="Times New Roman" w:hint="eastAsia"/>
          <w:color w:val="000000"/>
          <w:sz w:val="24"/>
          <w:szCs w:val="24"/>
        </w:rPr>
        <w:t>共价键</w:t>
      </w:r>
      <w:r w:rsidRPr="0085474C">
        <w:rPr>
          <w:rFonts w:ascii="Times New Roman" w:eastAsia="宋体" w:hAnsi="Times New Roman" w:cs="Times New Roman"/>
          <w:color w:val="000000"/>
          <w:sz w:val="24"/>
          <w:szCs w:val="24"/>
        </w:rPr>
        <w:t>；</w:t>
      </w:r>
    </w:p>
    <w:p w14:paraId="48AF38CB"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hint="eastAsia"/>
          <w:color w:val="000000"/>
          <w:sz w:val="24"/>
          <w:szCs w:val="24"/>
        </w:rPr>
        <w:t>1</w:t>
      </w:r>
      <w:r w:rsidRPr="0085474C">
        <w:rPr>
          <w:rFonts w:ascii="Times New Roman" w:eastAsia="宋体" w:hAnsi="Times New Roman" w:cs="Times New Roman"/>
          <w:color w:val="000000"/>
          <w:sz w:val="24"/>
          <w:szCs w:val="24"/>
        </w:rPr>
        <w:t xml:space="preserve">.5 </w:t>
      </w:r>
      <w:r w:rsidRPr="0085474C">
        <w:rPr>
          <w:rFonts w:ascii="Times New Roman" w:eastAsia="宋体" w:hAnsi="Times New Roman" w:cs="Times New Roman" w:hint="eastAsia"/>
          <w:color w:val="000000"/>
          <w:sz w:val="24"/>
          <w:szCs w:val="24"/>
        </w:rPr>
        <w:t>酸碱的概念</w:t>
      </w:r>
      <w:r w:rsidRPr="0085474C">
        <w:rPr>
          <w:rFonts w:ascii="Times New Roman" w:eastAsia="宋体" w:hAnsi="Times New Roman" w:cs="Times New Roman"/>
          <w:color w:val="000000"/>
          <w:sz w:val="24"/>
          <w:szCs w:val="24"/>
        </w:rPr>
        <w:t>；</w:t>
      </w:r>
    </w:p>
    <w:p w14:paraId="05228FE1"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hint="eastAsia"/>
          <w:color w:val="000000"/>
          <w:sz w:val="24"/>
          <w:szCs w:val="24"/>
        </w:rPr>
        <w:t>1</w:t>
      </w:r>
      <w:r w:rsidRPr="0085474C">
        <w:rPr>
          <w:rFonts w:ascii="Times New Roman" w:eastAsia="宋体" w:hAnsi="Times New Roman" w:cs="Times New Roman"/>
          <w:color w:val="000000"/>
          <w:sz w:val="24"/>
          <w:szCs w:val="24"/>
        </w:rPr>
        <w:t xml:space="preserve">.6 </w:t>
      </w:r>
      <w:r w:rsidRPr="0085474C">
        <w:rPr>
          <w:rFonts w:ascii="Times New Roman" w:eastAsia="宋体" w:hAnsi="Times New Roman" w:cs="Times New Roman" w:hint="eastAsia"/>
          <w:color w:val="000000"/>
          <w:sz w:val="24"/>
          <w:szCs w:val="24"/>
        </w:rPr>
        <w:t>有机化合物的分类</w:t>
      </w:r>
      <w:r w:rsidRPr="0085474C">
        <w:rPr>
          <w:rFonts w:ascii="Times New Roman" w:eastAsia="宋体" w:hAnsi="Times New Roman" w:cs="Times New Roman"/>
          <w:color w:val="000000"/>
          <w:sz w:val="24"/>
          <w:szCs w:val="24"/>
        </w:rPr>
        <w:t>。</w:t>
      </w:r>
    </w:p>
    <w:p w14:paraId="19F64CD5"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18EE53A9"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有机化合物的结构式，构造式；</w:t>
      </w:r>
    </w:p>
    <w:p w14:paraId="0A0C2A6D" w14:textId="77777777" w:rsidR="0085474C" w:rsidRPr="0085474C" w:rsidRDefault="0085474C" w:rsidP="0085474C">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碳原子轨道的杂化，价键理论；</w:t>
      </w:r>
    </w:p>
    <w:p w14:paraId="0FC45BA3" w14:textId="77777777" w:rsidR="0085474C" w:rsidRPr="0085474C" w:rsidRDefault="0085474C" w:rsidP="0085474C">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键的极性和诱导效应，共价键的断裂方式。</w:t>
      </w:r>
    </w:p>
    <w:p w14:paraId="7AFC2CFD"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3756EFA1" w14:textId="77777777" w:rsidR="0085474C" w:rsidRPr="0085474C" w:rsidRDefault="0085474C" w:rsidP="0085474C">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利用价键理论、分子轨道理论对共价键的理论解释。</w:t>
      </w:r>
    </w:p>
    <w:p w14:paraId="1D33C7EF"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6689EA7F"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color w:val="000000"/>
          <w:sz w:val="24"/>
          <w:szCs w:val="24"/>
        </w:rPr>
        <w:t xml:space="preserve">1. </w:t>
      </w:r>
      <w:r w:rsidRPr="0085474C">
        <w:rPr>
          <w:rFonts w:ascii="Times New Roman" w:eastAsia="宋体" w:hAnsi="Times New Roman" w:cs="Times New Roman"/>
          <w:color w:val="000000"/>
          <w:sz w:val="24"/>
          <w:szCs w:val="24"/>
        </w:rPr>
        <w:t>通过多媒体课件和传统教学相结合，阐明基础知识，丰富课堂教学，促进学生对知识的理解和记忆；</w:t>
      </w:r>
    </w:p>
    <w:p w14:paraId="53F5FFB3" w14:textId="77777777" w:rsidR="0085474C" w:rsidRPr="0085474C" w:rsidRDefault="0085474C" w:rsidP="0085474C">
      <w:pPr>
        <w:spacing w:line="440" w:lineRule="exact"/>
        <w:ind w:firstLineChars="200" w:firstLine="480"/>
        <w:rPr>
          <w:rFonts w:ascii="Times New Roman" w:eastAsia="宋体" w:hAnsi="Times New Roman" w:cs="Times New Roman"/>
          <w:color w:val="FF0000"/>
          <w:sz w:val="24"/>
          <w:szCs w:val="24"/>
        </w:rPr>
      </w:pPr>
      <w:r w:rsidRPr="0085474C">
        <w:rPr>
          <w:rFonts w:ascii="Times New Roman" w:eastAsia="宋体" w:hAnsi="Times New Roman" w:cs="Times New Roman"/>
          <w:color w:val="000000"/>
          <w:sz w:val="24"/>
          <w:szCs w:val="24"/>
        </w:rPr>
        <w:t xml:space="preserve">2. </w:t>
      </w:r>
      <w:r w:rsidRPr="0085474C">
        <w:rPr>
          <w:rFonts w:ascii="Times New Roman" w:eastAsia="宋体" w:hAnsi="Times New Roman" w:cs="Times New Roman"/>
          <w:color w:val="000000"/>
          <w:sz w:val="24"/>
          <w:szCs w:val="24"/>
        </w:rPr>
        <w:t>采用以问题为导向的探究式教学法，通过问题聚焦，让学生自行查阅资料，同学相互交流</w:t>
      </w:r>
      <w:r w:rsidRPr="0085474C">
        <w:rPr>
          <w:rFonts w:ascii="Times New Roman" w:eastAsia="宋体" w:hAnsi="Times New Roman" w:cs="Times New Roman"/>
          <w:sz w:val="24"/>
          <w:szCs w:val="24"/>
        </w:rPr>
        <w:t>，教师适时点拨，学生独立完成</w:t>
      </w:r>
      <w:r w:rsidRPr="0085474C">
        <w:rPr>
          <w:rFonts w:ascii="Times New Roman" w:eastAsia="宋体" w:hAnsi="Times New Roman" w:cs="Times New Roman"/>
          <w:color w:val="000000"/>
          <w:sz w:val="24"/>
          <w:szCs w:val="24"/>
        </w:rPr>
        <w:t>课程论文</w:t>
      </w:r>
      <w:r w:rsidRPr="0085474C">
        <w:rPr>
          <w:rFonts w:ascii="Times New Roman" w:eastAsia="宋体" w:hAnsi="Times New Roman" w:cs="Times New Roman"/>
          <w:sz w:val="24"/>
          <w:szCs w:val="24"/>
        </w:rPr>
        <w:t>等形式，进一步理解与掌握相关的理论知识，培养学生分析问题、解决问题的能力。</w:t>
      </w:r>
    </w:p>
    <w:p w14:paraId="1F5F4FA5"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267F29B6"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有机化合物的结构概念；</w:t>
      </w:r>
    </w:p>
    <w:p w14:paraId="776FEA81"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杂化轨道理论的特点。</w:t>
      </w:r>
    </w:p>
    <w:p w14:paraId="1B844A55" w14:textId="77777777" w:rsidR="0085474C" w:rsidRPr="0085474C" w:rsidRDefault="0085474C" w:rsidP="0085474C">
      <w:pPr>
        <w:spacing w:beforeLines="50" w:before="156" w:afterLines="50" w:after="156" w:line="440" w:lineRule="exact"/>
        <w:ind w:firstLineChars="200" w:firstLine="480"/>
        <w:jc w:val="center"/>
        <w:rPr>
          <w:rFonts w:ascii="黑体" w:eastAsia="黑体" w:hAnsi="黑体" w:cs="Times New Roman"/>
          <w:sz w:val="28"/>
          <w:szCs w:val="28"/>
        </w:rPr>
      </w:pPr>
      <w:r w:rsidRPr="0085474C">
        <w:rPr>
          <w:rFonts w:ascii="宋体" w:eastAsia="宋体" w:hAnsi="宋体" w:cs="Times New Roman"/>
          <w:sz w:val="24"/>
          <w:szCs w:val="24"/>
        </w:rPr>
        <w:t xml:space="preserve"> </w:t>
      </w:r>
      <w:r w:rsidRPr="0085474C">
        <w:rPr>
          <w:rFonts w:ascii="黑体" w:eastAsia="黑体" w:hAnsi="黑体" w:cs="Times New Roman" w:hint="eastAsia"/>
          <w:sz w:val="28"/>
          <w:szCs w:val="28"/>
        </w:rPr>
        <w:t>第二章  烷烃和环烷烃</w:t>
      </w:r>
    </w:p>
    <w:p w14:paraId="3D244EE9" w14:textId="77777777" w:rsidR="0085474C" w:rsidRPr="0085474C" w:rsidRDefault="0085474C" w:rsidP="0085474C">
      <w:pPr>
        <w:spacing w:line="440" w:lineRule="exact"/>
        <w:ind w:firstLineChars="200" w:firstLine="482"/>
        <w:rPr>
          <w:rFonts w:ascii="宋体" w:eastAsia="宋体" w:hAnsi="宋体" w:cs="Times New Roman"/>
          <w:b/>
          <w:sz w:val="24"/>
          <w:szCs w:val="24"/>
        </w:rPr>
      </w:pPr>
      <w:r w:rsidRPr="0085474C">
        <w:rPr>
          <w:rFonts w:ascii="宋体" w:eastAsia="宋体" w:hAnsi="宋体" w:cs="Times New Roman" w:hint="eastAsia"/>
          <w:b/>
          <w:sz w:val="24"/>
          <w:szCs w:val="24"/>
        </w:rPr>
        <w:t>【学习目标】</w:t>
      </w:r>
    </w:p>
    <w:p w14:paraId="34F404AE"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了解烷烃的通式，碳、氢原子的类型，烷烃构型、构象；掌握烷烃的系统命名法，烷烃的自由基取代反应及机理，取代反应的反应活性与自由基的稳定性；掌握环烷烃的命名、化学性质及取代环己烷的优势构象。</w:t>
      </w:r>
    </w:p>
    <w:p w14:paraId="10645E5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w:t>
      </w:r>
      <w:r w:rsidRPr="0085474C">
        <w:rPr>
          <w:rFonts w:ascii="Times New Roman" w:eastAsia="宋体" w:hAnsi="Times New Roman" w:cs="Times New Roman" w:hint="eastAsia"/>
          <w:sz w:val="24"/>
          <w:szCs w:val="24"/>
        </w:rPr>
        <w:t>能解释不同自由基活性差异的原因，培养学生通过数学方法解决化学问题的能力。</w:t>
      </w:r>
    </w:p>
    <w:p w14:paraId="7584860C" w14:textId="77777777" w:rsidR="0085474C" w:rsidRPr="0085474C" w:rsidRDefault="0085474C" w:rsidP="0085474C">
      <w:pPr>
        <w:widowControl/>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情感、态度、价值观类目标：通过了解</w:t>
      </w:r>
      <w:r w:rsidRPr="0085474C">
        <w:rPr>
          <w:rFonts w:ascii="Times New Roman" w:eastAsia="宋体" w:hAnsi="Times New Roman" w:cs="Times New Roman"/>
          <w:bCs/>
          <w:color w:val="000000"/>
          <w:sz w:val="24"/>
          <w:szCs w:val="24"/>
        </w:rPr>
        <w:t>烷烃熔点的变化规律</w:t>
      </w:r>
      <w:r w:rsidRPr="0085474C">
        <w:rPr>
          <w:rFonts w:ascii="Times New Roman" w:eastAsia="宋体" w:hAnsi="Times New Roman" w:cs="Times New Roman"/>
          <w:sz w:val="24"/>
          <w:szCs w:val="24"/>
        </w:rPr>
        <w:t>，加深对化学学科中辩证法的认识。</w:t>
      </w:r>
    </w:p>
    <w:p w14:paraId="78177504"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36F101A1"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2.1</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sz w:val="24"/>
          <w:szCs w:val="24"/>
        </w:rPr>
        <w:t>烷烃和环烷烃的构造异构</w:t>
      </w:r>
    </w:p>
    <w:p w14:paraId="56D85BF9"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2.2 </w:t>
      </w:r>
      <w:r w:rsidRPr="0085474C">
        <w:rPr>
          <w:rFonts w:ascii="Times New Roman" w:eastAsia="宋体" w:hAnsi="Times New Roman" w:cs="Times New Roman"/>
          <w:sz w:val="24"/>
          <w:szCs w:val="24"/>
        </w:rPr>
        <w:t>烷烃和环烷烃的命名</w:t>
      </w:r>
    </w:p>
    <w:p w14:paraId="454D3B2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2.3</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sz w:val="24"/>
          <w:szCs w:val="24"/>
        </w:rPr>
        <w:t>烷烃和环烷烃的结构</w:t>
      </w:r>
    </w:p>
    <w:p w14:paraId="3EE3C70C"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2.4 </w:t>
      </w:r>
      <w:r w:rsidRPr="0085474C">
        <w:rPr>
          <w:rFonts w:ascii="Times New Roman" w:eastAsia="宋体" w:hAnsi="Times New Roman" w:cs="Times New Roman"/>
          <w:sz w:val="24"/>
          <w:szCs w:val="24"/>
        </w:rPr>
        <w:t>烷烃和环烷烃的构象</w:t>
      </w:r>
    </w:p>
    <w:p w14:paraId="4357FCD0"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2.5 </w:t>
      </w:r>
      <w:r w:rsidRPr="0085474C">
        <w:rPr>
          <w:rFonts w:ascii="Times New Roman" w:eastAsia="宋体" w:hAnsi="Times New Roman" w:cs="Times New Roman"/>
          <w:sz w:val="24"/>
          <w:szCs w:val="24"/>
        </w:rPr>
        <w:t>烷烃和环烷烃的物理性质</w:t>
      </w:r>
    </w:p>
    <w:p w14:paraId="218A8F2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2.6 </w:t>
      </w:r>
      <w:r w:rsidRPr="0085474C">
        <w:rPr>
          <w:rFonts w:ascii="Times New Roman" w:eastAsia="宋体" w:hAnsi="Times New Roman" w:cs="Times New Roman"/>
          <w:sz w:val="24"/>
          <w:szCs w:val="24"/>
        </w:rPr>
        <w:t>烷烃和环烷烃的化学性质</w:t>
      </w:r>
    </w:p>
    <w:p w14:paraId="5BA2B1F8" w14:textId="77777777" w:rsidR="0085474C" w:rsidRPr="0085474C" w:rsidRDefault="0085474C" w:rsidP="0085474C">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2.7 </w:t>
      </w:r>
      <w:r w:rsidRPr="0085474C">
        <w:rPr>
          <w:rFonts w:ascii="Times New Roman" w:eastAsia="宋体" w:hAnsi="Times New Roman" w:cs="Times New Roman"/>
          <w:sz w:val="24"/>
          <w:szCs w:val="24"/>
        </w:rPr>
        <w:t>烷烃和环烷烃的主要来源</w:t>
      </w:r>
    </w:p>
    <w:p w14:paraId="0B925907" w14:textId="77777777" w:rsidR="0085474C" w:rsidRPr="0085474C" w:rsidRDefault="0085474C" w:rsidP="0085474C">
      <w:pPr>
        <w:spacing w:line="440" w:lineRule="exact"/>
        <w:ind w:firstLineChars="200" w:firstLine="482"/>
        <w:rPr>
          <w:rFonts w:ascii="宋体" w:eastAsia="宋体" w:hAnsi="宋体" w:cs="Times New Roman"/>
          <w:b/>
          <w:sz w:val="24"/>
          <w:szCs w:val="24"/>
        </w:rPr>
      </w:pPr>
      <w:r w:rsidRPr="0085474C">
        <w:rPr>
          <w:rFonts w:ascii="宋体" w:eastAsia="宋体" w:hAnsi="宋体" w:cs="Times New Roman" w:hint="eastAsia"/>
          <w:b/>
          <w:sz w:val="24"/>
          <w:szCs w:val="24"/>
        </w:rPr>
        <w:t>【重点】</w:t>
      </w:r>
    </w:p>
    <w:p w14:paraId="086E248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烷烃的系统命名法；</w:t>
      </w:r>
    </w:p>
    <w:p w14:paraId="047C37B9" w14:textId="77777777" w:rsidR="0085474C" w:rsidRPr="0085474C" w:rsidRDefault="0085474C" w:rsidP="0085474C">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烷烃的自由基取代反应，取代反应的反应活性与自由基的稳定性；</w:t>
      </w:r>
    </w:p>
    <w:p w14:paraId="2C725E2B" w14:textId="77777777" w:rsidR="0085474C" w:rsidRPr="0085474C" w:rsidRDefault="0085474C" w:rsidP="0085474C">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环烷烃的结构和化学性质。</w:t>
      </w:r>
    </w:p>
    <w:p w14:paraId="3A9366AC"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43D6A029" w14:textId="77777777" w:rsidR="0085474C" w:rsidRPr="0085474C" w:rsidRDefault="0085474C" w:rsidP="0085474C">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甲烷的自由基链式反应历程。</w:t>
      </w:r>
    </w:p>
    <w:p w14:paraId="1BCB3045"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5D0785B4"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1. </w:t>
      </w:r>
      <w:r w:rsidRPr="0085474C">
        <w:rPr>
          <w:rFonts w:ascii="Times New Roman" w:eastAsia="宋体" w:hAnsi="Times New Roman" w:cs="Times New Roman"/>
          <w:sz w:val="24"/>
          <w:szCs w:val="24"/>
        </w:rPr>
        <w:t>通过多媒体课件和传统教学相结合，阐明基础知识，丰富课堂教学，促进学生对知识的理解和记忆；</w:t>
      </w:r>
    </w:p>
    <w:p w14:paraId="04A144E7"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2. </w:t>
      </w:r>
      <w:r w:rsidRPr="0085474C">
        <w:rPr>
          <w:rFonts w:ascii="Times New Roman" w:eastAsia="宋体" w:hAnsi="Times New Roman" w:cs="Times New Roman"/>
          <w:sz w:val="24"/>
          <w:szCs w:val="24"/>
        </w:rPr>
        <w:t>采用以问题为导向的探究式教学法，通过问题聚焦，让学生自行查阅资料，同学相互交流，教师适时点拨，学生独立完成课程论文等形式，进一步理解与掌握相关的理论知识，培养学生分析问题、解决问题的能力。</w:t>
      </w:r>
    </w:p>
    <w:p w14:paraId="39DD04B8"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6F0AE686"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烷烃的命名和构象；</w:t>
      </w:r>
    </w:p>
    <w:p w14:paraId="103AA129" w14:textId="77777777" w:rsidR="0085474C" w:rsidRPr="0085474C" w:rsidRDefault="0085474C" w:rsidP="0085474C">
      <w:pPr>
        <w:spacing w:line="440" w:lineRule="exact"/>
        <w:ind w:firstLineChars="200" w:firstLine="480"/>
        <w:rPr>
          <w:rFonts w:ascii="宋体" w:eastAsia="宋体" w:hAnsi="宋体"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环烷烃的命名和构象。</w:t>
      </w:r>
    </w:p>
    <w:p w14:paraId="34456CC0" w14:textId="77777777" w:rsidR="0085474C" w:rsidRPr="0085474C" w:rsidRDefault="0085474C" w:rsidP="0085474C">
      <w:pPr>
        <w:spacing w:beforeLines="50" w:before="156" w:afterLines="50" w:after="156" w:line="440" w:lineRule="exact"/>
        <w:ind w:firstLineChars="200" w:firstLine="560"/>
        <w:jc w:val="center"/>
        <w:rPr>
          <w:rFonts w:ascii="黑体" w:eastAsia="黑体" w:hAnsi="黑体" w:cs="Times New Roman"/>
          <w:sz w:val="28"/>
          <w:szCs w:val="28"/>
        </w:rPr>
      </w:pPr>
      <w:r w:rsidRPr="0085474C">
        <w:rPr>
          <w:rFonts w:ascii="黑体" w:eastAsia="黑体" w:hAnsi="黑体" w:cs="Times New Roman" w:hint="eastAsia"/>
          <w:sz w:val="28"/>
          <w:szCs w:val="28"/>
        </w:rPr>
        <w:t>第三章  烯烃和炔烃</w:t>
      </w:r>
    </w:p>
    <w:p w14:paraId="6669C6D5" w14:textId="77777777" w:rsidR="0085474C" w:rsidRPr="0085474C" w:rsidRDefault="0085474C" w:rsidP="0085474C">
      <w:pPr>
        <w:spacing w:line="440" w:lineRule="exact"/>
        <w:ind w:firstLineChars="200" w:firstLine="482"/>
        <w:rPr>
          <w:rFonts w:ascii="宋体" w:eastAsia="宋体" w:hAnsi="宋体" w:cs="Times New Roman"/>
          <w:b/>
          <w:sz w:val="24"/>
          <w:szCs w:val="24"/>
        </w:rPr>
      </w:pPr>
      <w:r w:rsidRPr="0085474C">
        <w:rPr>
          <w:rFonts w:ascii="宋体" w:eastAsia="宋体" w:hAnsi="宋体" w:cs="Times New Roman" w:hint="eastAsia"/>
          <w:b/>
          <w:sz w:val="24"/>
          <w:szCs w:val="24"/>
        </w:rPr>
        <w:t>【学习目标】</w:t>
      </w:r>
    </w:p>
    <w:p w14:paraId="02FDC55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 xml:space="preserve">1. </w:t>
      </w:r>
      <w:r w:rsidRPr="0085474C">
        <w:rPr>
          <w:rFonts w:ascii="Times New Roman" w:eastAsia="宋体" w:hAnsi="Times New Roman" w:cs="Times New Roman"/>
          <w:sz w:val="24"/>
          <w:szCs w:val="24"/>
        </w:rPr>
        <w:t>认知类目标：了解烯烃的通式，构型，顺反异构，次序规则，</w:t>
      </w:r>
      <w:r w:rsidRPr="0085474C">
        <w:rPr>
          <w:rFonts w:ascii="Times New Roman" w:eastAsia="宋体" w:hAnsi="Times New Roman" w:cs="Times New Roman"/>
          <w:sz w:val="24"/>
          <w:szCs w:val="24"/>
        </w:rPr>
        <w:t>Z</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E</w:t>
      </w:r>
      <w:r w:rsidRPr="0085474C">
        <w:rPr>
          <w:rFonts w:ascii="Times New Roman" w:eastAsia="宋体" w:hAnsi="Times New Roman" w:cs="Times New Roman"/>
          <w:sz w:val="24"/>
          <w:szCs w:val="24"/>
        </w:rPr>
        <w:t>标记法，</w:t>
      </w:r>
      <w:r w:rsidRPr="0085474C">
        <w:rPr>
          <w:rFonts w:ascii="Times New Roman" w:eastAsia="宋体" w:hAnsi="Times New Roman" w:cs="Times New Roman"/>
          <w:sz w:val="24"/>
          <w:szCs w:val="24"/>
        </w:rPr>
        <w:t>π</w:t>
      </w:r>
      <w:r w:rsidRPr="0085474C">
        <w:rPr>
          <w:rFonts w:ascii="Times New Roman" w:eastAsia="宋体" w:hAnsi="Times New Roman" w:cs="Times New Roman"/>
          <w:sz w:val="24"/>
          <w:szCs w:val="24"/>
        </w:rPr>
        <w:t>键的特性，</w:t>
      </w:r>
      <w:r w:rsidRPr="0085474C">
        <w:rPr>
          <w:rFonts w:ascii="Times New Roman" w:eastAsia="宋体" w:hAnsi="Times New Roman" w:cs="Times New Roman"/>
          <w:sz w:val="24"/>
          <w:szCs w:val="24"/>
        </w:rPr>
        <w:t>σ</w:t>
      </w:r>
      <w:r w:rsidRPr="0085474C">
        <w:rPr>
          <w:rFonts w:ascii="Times New Roman" w:eastAsia="宋体" w:hAnsi="Times New Roman" w:cs="Times New Roman"/>
          <w:sz w:val="24"/>
          <w:szCs w:val="24"/>
        </w:rPr>
        <w:t>键和</w:t>
      </w:r>
      <w:r w:rsidRPr="0085474C">
        <w:rPr>
          <w:rFonts w:ascii="Times New Roman" w:eastAsia="宋体" w:hAnsi="Times New Roman" w:cs="Times New Roman"/>
          <w:sz w:val="24"/>
          <w:szCs w:val="24"/>
        </w:rPr>
        <w:t>π</w:t>
      </w:r>
      <w:r w:rsidRPr="0085474C">
        <w:rPr>
          <w:rFonts w:ascii="Times New Roman" w:eastAsia="宋体" w:hAnsi="Times New Roman" w:cs="Times New Roman"/>
          <w:sz w:val="24"/>
          <w:szCs w:val="24"/>
        </w:rPr>
        <w:t>键的异同点；掌握烯烃的系统命名，化学性质，亲电加成的反应机理，</w:t>
      </w:r>
      <w:r w:rsidRPr="0085474C">
        <w:rPr>
          <w:rFonts w:ascii="Times New Roman" w:eastAsia="宋体" w:hAnsi="Times New Roman" w:cs="Times New Roman"/>
          <w:sz w:val="24"/>
          <w:szCs w:val="24"/>
        </w:rPr>
        <w:t>Markovnikov</w:t>
      </w:r>
      <w:r w:rsidRPr="0085474C">
        <w:rPr>
          <w:rFonts w:ascii="Times New Roman" w:eastAsia="宋体" w:hAnsi="Times New Roman" w:cs="Times New Roman"/>
          <w:sz w:val="24"/>
          <w:szCs w:val="24"/>
        </w:rPr>
        <w:t>规则、反</w:t>
      </w:r>
      <w:r w:rsidRPr="0085474C">
        <w:rPr>
          <w:rFonts w:ascii="Times New Roman" w:eastAsia="宋体" w:hAnsi="Times New Roman" w:cs="Times New Roman"/>
          <w:sz w:val="24"/>
          <w:szCs w:val="24"/>
        </w:rPr>
        <w:t>Markovnikov</w:t>
      </w:r>
      <w:r w:rsidRPr="0085474C">
        <w:rPr>
          <w:rFonts w:ascii="Times New Roman" w:eastAsia="宋体" w:hAnsi="Times New Roman" w:cs="Times New Roman"/>
          <w:sz w:val="24"/>
          <w:szCs w:val="24"/>
        </w:rPr>
        <w:t>规则，烯烃与卤素（溴和氯）加成的立体化学；掌握炔烃的结构特点、命名、性质和制备方法，了解单烯烃的来源和制备方法</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 xml:space="preserve"> </w:t>
      </w:r>
    </w:p>
    <w:p w14:paraId="5C88DDB8"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过程与方法类目标：通过</w:t>
      </w:r>
      <w:r w:rsidRPr="0085474C">
        <w:rPr>
          <w:rFonts w:ascii="Times New Roman" w:eastAsia="宋体" w:hAnsi="Times New Roman" w:cs="Times New Roman" w:hint="eastAsia"/>
          <w:sz w:val="24"/>
          <w:szCs w:val="24"/>
        </w:rPr>
        <w:t>对</w:t>
      </w:r>
      <w:r w:rsidRPr="0085474C">
        <w:rPr>
          <w:rFonts w:ascii="Times New Roman" w:eastAsia="宋体" w:hAnsi="Times New Roman" w:cs="Times New Roman"/>
          <w:sz w:val="24"/>
          <w:szCs w:val="24"/>
        </w:rPr>
        <w:t>亲电加成反应</w:t>
      </w:r>
      <w:r w:rsidRPr="0085474C">
        <w:rPr>
          <w:rFonts w:ascii="Times New Roman" w:eastAsia="宋体" w:hAnsi="Times New Roman" w:cs="Times New Roman" w:hint="eastAsia"/>
          <w:sz w:val="24"/>
          <w:szCs w:val="24"/>
        </w:rPr>
        <w:t>中</w:t>
      </w:r>
      <w:r w:rsidRPr="0085474C">
        <w:rPr>
          <w:rFonts w:ascii="Times New Roman" w:eastAsia="宋体" w:hAnsi="Times New Roman" w:cs="Times New Roman"/>
          <w:sz w:val="24"/>
          <w:szCs w:val="24"/>
        </w:rPr>
        <w:t>重排现象</w:t>
      </w:r>
      <w:r w:rsidRPr="0085474C">
        <w:rPr>
          <w:rFonts w:ascii="Times New Roman" w:eastAsia="宋体" w:hAnsi="Times New Roman" w:cs="Times New Roman" w:hint="eastAsia"/>
          <w:sz w:val="24"/>
          <w:szCs w:val="24"/>
        </w:rPr>
        <w:t>的解释，</w:t>
      </w:r>
      <w:r w:rsidRPr="0085474C">
        <w:rPr>
          <w:rFonts w:ascii="Times New Roman" w:eastAsia="宋体" w:hAnsi="Times New Roman" w:cs="Times New Roman"/>
          <w:sz w:val="24"/>
          <w:szCs w:val="24"/>
        </w:rPr>
        <w:t>培养学生</w:t>
      </w:r>
      <w:r w:rsidRPr="0085474C">
        <w:rPr>
          <w:rFonts w:ascii="Times New Roman" w:eastAsia="宋体" w:hAnsi="Times New Roman" w:cs="Times New Roman" w:hint="eastAsia"/>
          <w:sz w:val="24"/>
          <w:szCs w:val="24"/>
        </w:rPr>
        <w:t>逐渐建立</w:t>
      </w:r>
      <w:r w:rsidRPr="0085474C">
        <w:rPr>
          <w:rFonts w:ascii="Times New Roman" w:eastAsia="宋体" w:hAnsi="Times New Roman" w:cs="Times New Roman"/>
          <w:color w:val="000000"/>
          <w:sz w:val="24"/>
          <w:szCs w:val="24"/>
        </w:rPr>
        <w:t>有机化学</w:t>
      </w:r>
      <w:r w:rsidRPr="0085474C">
        <w:rPr>
          <w:rFonts w:ascii="Times New Roman" w:eastAsia="宋体" w:hAnsi="Times New Roman" w:cs="Times New Roman" w:hint="eastAsia"/>
          <w:color w:val="000000"/>
          <w:sz w:val="24"/>
          <w:szCs w:val="24"/>
        </w:rPr>
        <w:t>反应中</w:t>
      </w:r>
      <w:r w:rsidRPr="0085474C">
        <w:rPr>
          <w:rFonts w:ascii="Times New Roman" w:eastAsia="宋体" w:hAnsi="Times New Roman" w:cs="Times New Roman"/>
          <w:color w:val="000000"/>
          <w:sz w:val="24"/>
          <w:szCs w:val="24"/>
        </w:rPr>
        <w:t>“</w:t>
      </w:r>
      <w:r w:rsidRPr="0085474C">
        <w:rPr>
          <w:rFonts w:ascii="Times New Roman" w:eastAsia="宋体" w:hAnsi="Times New Roman" w:cs="Times New Roman" w:hint="eastAsia"/>
          <w:color w:val="000000"/>
          <w:sz w:val="24"/>
          <w:szCs w:val="24"/>
        </w:rPr>
        <w:t>趋</w:t>
      </w:r>
      <w:r w:rsidRPr="0085474C">
        <w:rPr>
          <w:rFonts w:ascii="Times New Roman" w:eastAsia="宋体" w:hAnsi="Times New Roman" w:cs="Times New Roman"/>
          <w:color w:val="000000"/>
          <w:sz w:val="24"/>
          <w:szCs w:val="24"/>
        </w:rPr>
        <w:t>稳</w:t>
      </w:r>
      <w:r w:rsidRPr="0085474C">
        <w:rPr>
          <w:rFonts w:ascii="Times New Roman" w:eastAsia="宋体" w:hAnsi="Times New Roman" w:cs="Times New Roman"/>
          <w:color w:val="000000"/>
          <w:sz w:val="24"/>
          <w:szCs w:val="24"/>
        </w:rPr>
        <w:t>”</w:t>
      </w:r>
      <w:r w:rsidRPr="0085474C">
        <w:rPr>
          <w:rFonts w:ascii="Times New Roman" w:eastAsia="宋体" w:hAnsi="Times New Roman" w:cs="Times New Roman"/>
          <w:color w:val="000000"/>
          <w:sz w:val="24"/>
          <w:szCs w:val="24"/>
        </w:rPr>
        <w:t>的</w:t>
      </w:r>
      <w:r w:rsidRPr="0085474C">
        <w:rPr>
          <w:rFonts w:ascii="Times New Roman" w:eastAsia="宋体" w:hAnsi="Times New Roman" w:cs="Times New Roman" w:hint="eastAsia"/>
          <w:color w:val="000000"/>
          <w:sz w:val="24"/>
          <w:szCs w:val="24"/>
        </w:rPr>
        <w:t>逻辑思维能力与素养</w:t>
      </w:r>
      <w:r w:rsidRPr="0085474C">
        <w:rPr>
          <w:rFonts w:ascii="Times New Roman" w:eastAsia="宋体" w:hAnsi="Times New Roman" w:cs="Times New Roman"/>
          <w:color w:val="000000"/>
          <w:sz w:val="24"/>
          <w:szCs w:val="24"/>
        </w:rPr>
        <w:t>。</w:t>
      </w:r>
    </w:p>
    <w:p w14:paraId="09AEB564"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hint="eastAsia"/>
          <w:color w:val="000000"/>
          <w:sz w:val="24"/>
          <w:szCs w:val="24"/>
        </w:rPr>
        <w:t xml:space="preserve">3. </w:t>
      </w:r>
      <w:r w:rsidRPr="0085474C">
        <w:rPr>
          <w:rFonts w:ascii="Times New Roman" w:eastAsia="宋体" w:hAnsi="Times New Roman" w:cs="Times New Roman"/>
          <w:sz w:val="24"/>
          <w:szCs w:val="24"/>
        </w:rPr>
        <w:t>情感、态度、价值观类目标：</w:t>
      </w:r>
      <w:r w:rsidRPr="0085474C">
        <w:rPr>
          <w:rFonts w:ascii="Times New Roman" w:eastAsia="宋体" w:hAnsi="Times New Roman" w:cs="Times New Roman" w:hint="eastAsia"/>
          <w:sz w:val="24"/>
          <w:szCs w:val="24"/>
        </w:rPr>
        <w:t>通过介绍烯烃的聚合反应让学生了解“口罩的生产过程”，结合我国在抗</w:t>
      </w:r>
      <w:proofErr w:type="gramStart"/>
      <w:r w:rsidRPr="0085474C">
        <w:rPr>
          <w:rFonts w:ascii="Times New Roman" w:eastAsia="宋体" w:hAnsi="Times New Roman" w:cs="Times New Roman" w:hint="eastAsia"/>
          <w:sz w:val="24"/>
          <w:szCs w:val="24"/>
        </w:rPr>
        <w:t>疫</w:t>
      </w:r>
      <w:proofErr w:type="gramEnd"/>
      <w:r w:rsidRPr="0085474C">
        <w:rPr>
          <w:rFonts w:ascii="Times New Roman" w:eastAsia="宋体" w:hAnsi="Times New Roman" w:cs="Times New Roman" w:hint="eastAsia"/>
          <w:sz w:val="24"/>
          <w:szCs w:val="24"/>
        </w:rPr>
        <w:t>过程中的优异表现，从而增加学生的民族自豪感。</w:t>
      </w:r>
    </w:p>
    <w:p w14:paraId="0E7163C5" w14:textId="77777777" w:rsidR="0085474C" w:rsidRPr="0085474C" w:rsidRDefault="0085474C" w:rsidP="0085474C">
      <w:pPr>
        <w:spacing w:line="440" w:lineRule="exact"/>
        <w:ind w:firstLineChars="200" w:firstLine="482"/>
        <w:rPr>
          <w:rFonts w:ascii="宋体" w:eastAsia="宋体" w:hAnsi="宋体" w:cs="Times New Roman"/>
          <w:b/>
          <w:sz w:val="24"/>
          <w:szCs w:val="24"/>
        </w:rPr>
      </w:pPr>
      <w:r w:rsidRPr="0085474C">
        <w:rPr>
          <w:rFonts w:ascii="宋体" w:eastAsia="宋体" w:hAnsi="宋体" w:cs="Times New Roman" w:hint="eastAsia"/>
          <w:b/>
          <w:sz w:val="24"/>
          <w:szCs w:val="24"/>
        </w:rPr>
        <w:lastRenderedPageBreak/>
        <w:t>【学习内容】</w:t>
      </w:r>
    </w:p>
    <w:p w14:paraId="2F0D3703"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3.1</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sz w:val="24"/>
          <w:szCs w:val="24"/>
        </w:rPr>
        <w:t>烯烃和炔烃的结构</w:t>
      </w:r>
    </w:p>
    <w:p w14:paraId="29043BA4"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3.2</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sz w:val="24"/>
          <w:szCs w:val="24"/>
        </w:rPr>
        <w:t>烯烃和炔烃的同分异构</w:t>
      </w:r>
    </w:p>
    <w:p w14:paraId="2270DC5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3.3</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sz w:val="24"/>
          <w:szCs w:val="24"/>
        </w:rPr>
        <w:t>烯烃和炔烃的命名</w:t>
      </w:r>
    </w:p>
    <w:p w14:paraId="5EC1E6AC"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3.4</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sz w:val="24"/>
          <w:szCs w:val="24"/>
        </w:rPr>
        <w:t>烯烃和炔烃的物理性质</w:t>
      </w:r>
    </w:p>
    <w:p w14:paraId="4FBB31FF"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3.5</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sz w:val="24"/>
          <w:szCs w:val="24"/>
        </w:rPr>
        <w:t>烯烃和炔烃的化学性质</w:t>
      </w:r>
    </w:p>
    <w:p w14:paraId="5B79D17C" w14:textId="77777777" w:rsidR="0085474C" w:rsidRPr="0085474C" w:rsidRDefault="0085474C" w:rsidP="0085474C">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3.6</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sz w:val="24"/>
          <w:szCs w:val="24"/>
        </w:rPr>
        <w:t>烯烃和炔烃的工业来源和制法</w:t>
      </w:r>
    </w:p>
    <w:p w14:paraId="6B6677AF" w14:textId="77777777" w:rsidR="0085474C" w:rsidRPr="0085474C" w:rsidRDefault="0085474C" w:rsidP="0085474C">
      <w:pPr>
        <w:spacing w:line="440" w:lineRule="exact"/>
        <w:ind w:firstLineChars="200" w:firstLine="482"/>
        <w:rPr>
          <w:rFonts w:ascii="宋体" w:eastAsia="宋体" w:hAnsi="宋体" w:cs="Times New Roman"/>
          <w:b/>
          <w:sz w:val="24"/>
          <w:szCs w:val="24"/>
        </w:rPr>
      </w:pPr>
      <w:r w:rsidRPr="0085474C">
        <w:rPr>
          <w:rFonts w:ascii="宋体" w:eastAsia="宋体" w:hAnsi="宋体" w:cs="Times New Roman" w:hint="eastAsia"/>
          <w:b/>
          <w:sz w:val="24"/>
          <w:szCs w:val="24"/>
        </w:rPr>
        <w:t>【重点】</w:t>
      </w:r>
    </w:p>
    <w:p w14:paraId="550A552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烯烃和炔烃的系统命名；</w:t>
      </w:r>
    </w:p>
    <w:p w14:paraId="0871BE9E" w14:textId="77777777" w:rsidR="0085474C" w:rsidRPr="0085474C" w:rsidRDefault="0085474C" w:rsidP="0085474C">
      <w:pPr>
        <w:spacing w:line="440" w:lineRule="exact"/>
        <w:ind w:left="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烯烃、炔烃的化学性质，亲电加成的反应机理，</w:t>
      </w:r>
      <w:r w:rsidRPr="0085474C">
        <w:rPr>
          <w:rFonts w:ascii="Times New Roman" w:eastAsia="宋体" w:hAnsi="Times New Roman" w:cs="Times New Roman"/>
          <w:sz w:val="24"/>
          <w:szCs w:val="24"/>
        </w:rPr>
        <w:t>Markovnikov</w:t>
      </w:r>
      <w:r w:rsidRPr="0085474C">
        <w:rPr>
          <w:rFonts w:ascii="Times New Roman" w:eastAsia="宋体" w:hAnsi="Times New Roman" w:cs="Times New Roman"/>
          <w:sz w:val="24"/>
          <w:szCs w:val="24"/>
        </w:rPr>
        <w:t>规则。</w:t>
      </w:r>
    </w:p>
    <w:p w14:paraId="0EAA7A22"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3D1C2FD0"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对亲电加成反应机理的理解</w:t>
      </w:r>
      <w:r w:rsidRPr="0085474C">
        <w:rPr>
          <w:rFonts w:ascii="Times New Roman" w:eastAsia="宋体" w:hAnsi="Times New Roman" w:cs="Times New Roman"/>
          <w:color w:val="000000"/>
          <w:sz w:val="24"/>
          <w:szCs w:val="24"/>
        </w:rPr>
        <w:t>；</w:t>
      </w:r>
    </w:p>
    <w:p w14:paraId="7D6300A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亲电加成反应中的重排现象</w:t>
      </w:r>
      <w:r w:rsidRPr="0085474C">
        <w:rPr>
          <w:rFonts w:ascii="Times New Roman" w:eastAsia="宋体" w:hAnsi="Times New Roman" w:cs="Times New Roman" w:hint="eastAsia"/>
          <w:sz w:val="24"/>
          <w:szCs w:val="24"/>
        </w:rPr>
        <w:t>。</w:t>
      </w:r>
    </w:p>
    <w:p w14:paraId="5A1CC216"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1C4EA17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1. </w:t>
      </w:r>
      <w:r w:rsidRPr="0085474C">
        <w:rPr>
          <w:rFonts w:ascii="Times New Roman" w:eastAsia="宋体" w:hAnsi="Times New Roman" w:cs="Times New Roman"/>
          <w:sz w:val="24"/>
          <w:szCs w:val="24"/>
        </w:rPr>
        <w:t>通过多媒体课件和传统教学相结合，阐明基础知识，丰富课堂教学，促进学生对知识的理解和记忆；</w:t>
      </w:r>
    </w:p>
    <w:p w14:paraId="0F95BD3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2. </w:t>
      </w:r>
      <w:r w:rsidRPr="0085474C">
        <w:rPr>
          <w:rFonts w:ascii="Times New Roman" w:eastAsia="宋体" w:hAnsi="Times New Roman" w:cs="Times New Roman"/>
          <w:sz w:val="24"/>
          <w:szCs w:val="24"/>
        </w:rPr>
        <w:t>采用类比式教学法，可以将有机化学知识点与日常事例相类比，也可将各类化合物的某些相关知识点进行类比，由熟悉到不熟悉，从而</w:t>
      </w:r>
      <w:r w:rsidRPr="0085474C">
        <w:rPr>
          <w:rFonts w:ascii="Times New Roman" w:eastAsia="宋体" w:hAnsi="Times New Roman" w:cs="Times New Roman"/>
          <w:color w:val="000000"/>
          <w:kern w:val="0"/>
          <w:sz w:val="24"/>
          <w:szCs w:val="24"/>
          <w:lang w:bidi="ar"/>
        </w:rPr>
        <w:t>使要讲授的内容变得通俗易懂</w:t>
      </w:r>
      <w:r w:rsidRPr="0085474C">
        <w:rPr>
          <w:rFonts w:ascii="Times New Roman" w:eastAsia="A4" w:hAnsi="Times New Roman" w:cs="Times New Roman"/>
          <w:color w:val="000000"/>
          <w:kern w:val="0"/>
          <w:sz w:val="24"/>
          <w:szCs w:val="24"/>
          <w:lang w:bidi="ar"/>
        </w:rPr>
        <w:t xml:space="preserve">, </w:t>
      </w:r>
      <w:r w:rsidRPr="0085474C">
        <w:rPr>
          <w:rFonts w:ascii="Times New Roman" w:eastAsia="宋体" w:hAnsi="Times New Roman" w:cs="Times New Roman"/>
          <w:color w:val="000000"/>
          <w:kern w:val="0"/>
          <w:sz w:val="24"/>
          <w:szCs w:val="24"/>
          <w:lang w:bidi="ar"/>
        </w:rPr>
        <w:t>容易接受，</w:t>
      </w:r>
      <w:r w:rsidRPr="0085474C">
        <w:rPr>
          <w:rFonts w:ascii="Times New Roman" w:eastAsia="宋体" w:hAnsi="Times New Roman" w:cs="Times New Roman"/>
          <w:sz w:val="24"/>
          <w:szCs w:val="24"/>
        </w:rPr>
        <w:t>培养学生举一反三、触类旁通的学习能力。</w:t>
      </w:r>
    </w:p>
    <w:p w14:paraId="7E8865B4"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51B2A73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烯烃和炔烃分子结构的特点；</w:t>
      </w:r>
    </w:p>
    <w:p w14:paraId="4DC600DC"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烯烃不同类型的反应机理；</w:t>
      </w:r>
    </w:p>
    <w:p w14:paraId="401BD8E1"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炔烃不同类型的反应机理。</w:t>
      </w:r>
    </w:p>
    <w:p w14:paraId="075C0B3B" w14:textId="77777777" w:rsidR="0085474C" w:rsidRPr="0085474C" w:rsidRDefault="0085474C" w:rsidP="0085474C">
      <w:pPr>
        <w:spacing w:beforeLines="50" w:before="156" w:afterLines="50" w:after="156" w:line="440" w:lineRule="exact"/>
        <w:ind w:firstLineChars="200" w:firstLine="560"/>
        <w:jc w:val="center"/>
        <w:rPr>
          <w:rFonts w:ascii="黑体" w:eastAsia="黑体" w:hAnsi="黑体" w:cs="Times New Roman"/>
          <w:sz w:val="28"/>
          <w:szCs w:val="28"/>
        </w:rPr>
      </w:pPr>
      <w:r w:rsidRPr="0085474C">
        <w:rPr>
          <w:rFonts w:ascii="黑体" w:eastAsia="黑体" w:hAnsi="黑体" w:cs="Times New Roman" w:hint="eastAsia"/>
          <w:sz w:val="28"/>
          <w:szCs w:val="28"/>
        </w:rPr>
        <w:t>第四章  二烯烃 共轭体系</w:t>
      </w:r>
    </w:p>
    <w:p w14:paraId="71278197" w14:textId="77777777" w:rsidR="0085474C" w:rsidRPr="0085474C" w:rsidRDefault="0085474C" w:rsidP="0085474C">
      <w:pPr>
        <w:spacing w:line="440" w:lineRule="exact"/>
        <w:ind w:firstLineChars="200" w:firstLine="482"/>
        <w:rPr>
          <w:rFonts w:ascii="宋体" w:eastAsia="宋体" w:hAnsi="宋体" w:cs="Times New Roman"/>
          <w:b/>
          <w:sz w:val="24"/>
          <w:szCs w:val="24"/>
        </w:rPr>
      </w:pPr>
      <w:r w:rsidRPr="0085474C">
        <w:rPr>
          <w:rFonts w:ascii="宋体" w:eastAsia="宋体" w:hAnsi="宋体" w:cs="Times New Roman" w:hint="eastAsia"/>
          <w:b/>
          <w:sz w:val="24"/>
          <w:szCs w:val="24"/>
        </w:rPr>
        <w:t>【学习目标】</w:t>
      </w:r>
    </w:p>
    <w:p w14:paraId="13A36FAD"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认知类目标：了解二烯烃的结构，共轭二烯烃，共轭体系及共轭效应，</w:t>
      </w:r>
      <w:r w:rsidRPr="0085474C">
        <w:rPr>
          <w:rFonts w:ascii="Times New Roman" w:eastAsia="宋体" w:hAnsi="Times New Roman" w:cs="Times New Roman"/>
          <w:sz w:val="24"/>
          <w:szCs w:val="24"/>
        </w:rPr>
        <w:t>π</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π</w:t>
      </w:r>
      <w:r w:rsidRPr="0085474C">
        <w:rPr>
          <w:rFonts w:ascii="Times New Roman" w:eastAsia="宋体" w:hAnsi="Times New Roman" w:cs="Times New Roman"/>
          <w:sz w:val="24"/>
          <w:szCs w:val="24"/>
        </w:rPr>
        <w:t>共轭，</w:t>
      </w:r>
      <w:r w:rsidRPr="0085474C">
        <w:rPr>
          <w:rFonts w:ascii="Times New Roman" w:eastAsia="宋体" w:hAnsi="Times New Roman" w:cs="Times New Roman"/>
          <w:sz w:val="24"/>
          <w:szCs w:val="24"/>
        </w:rPr>
        <w:t>p</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π</w:t>
      </w:r>
      <w:r w:rsidRPr="0085474C">
        <w:rPr>
          <w:rFonts w:ascii="Times New Roman" w:eastAsia="宋体" w:hAnsi="Times New Roman" w:cs="Times New Roman"/>
          <w:sz w:val="24"/>
          <w:szCs w:val="24"/>
        </w:rPr>
        <w:t>共轭</w:t>
      </w:r>
      <w:r w:rsidRPr="0085474C">
        <w:rPr>
          <w:rFonts w:ascii="Times New Roman" w:eastAsia="宋体" w:hAnsi="Times New Roman" w:cs="Times New Roman" w:hint="eastAsia"/>
          <w:sz w:val="24"/>
          <w:szCs w:val="24"/>
        </w:rPr>
        <w:t>，超共轭</w:t>
      </w:r>
      <w:r w:rsidRPr="0085474C">
        <w:rPr>
          <w:rFonts w:ascii="Times New Roman" w:eastAsia="宋体" w:hAnsi="Times New Roman" w:cs="Times New Roman"/>
          <w:sz w:val="24"/>
          <w:szCs w:val="24"/>
        </w:rPr>
        <w:t>；</w:t>
      </w:r>
      <w:proofErr w:type="gramStart"/>
      <w:r w:rsidRPr="0085474C">
        <w:rPr>
          <w:rFonts w:ascii="Times New Roman" w:eastAsia="宋体" w:hAnsi="Times New Roman" w:cs="Times New Roman" w:hint="eastAsia"/>
          <w:sz w:val="24"/>
          <w:szCs w:val="24"/>
        </w:rPr>
        <w:t>熟悉</w:t>
      </w:r>
      <w:r w:rsidRPr="0085474C">
        <w:rPr>
          <w:rFonts w:ascii="Times New Roman" w:eastAsia="宋体" w:hAnsi="Times New Roman" w:cs="Times New Roman"/>
          <w:sz w:val="24"/>
          <w:szCs w:val="24"/>
        </w:rPr>
        <w:t>二</w:t>
      </w:r>
      <w:proofErr w:type="gramEnd"/>
      <w:r w:rsidRPr="0085474C">
        <w:rPr>
          <w:rFonts w:ascii="Times New Roman" w:eastAsia="宋体" w:hAnsi="Times New Roman" w:cs="Times New Roman"/>
          <w:sz w:val="24"/>
          <w:szCs w:val="24"/>
        </w:rPr>
        <w:t>烯烃的命名方法</w:t>
      </w:r>
      <w:r w:rsidRPr="0085474C">
        <w:rPr>
          <w:rFonts w:ascii="Times New Roman" w:eastAsia="宋体" w:hAnsi="Times New Roman" w:cs="Times New Roman" w:hint="eastAsia"/>
          <w:sz w:val="24"/>
          <w:szCs w:val="24"/>
        </w:rPr>
        <w:t>；掌握二烯烃的</w:t>
      </w:r>
      <w:r w:rsidRPr="0085474C">
        <w:rPr>
          <w:rFonts w:ascii="Times New Roman" w:eastAsia="宋体" w:hAnsi="Times New Roman" w:cs="Times New Roman"/>
          <w:sz w:val="24"/>
          <w:szCs w:val="24"/>
        </w:rPr>
        <w:t>化学性质（</w:t>
      </w:r>
      <w:r w:rsidRPr="0085474C">
        <w:rPr>
          <w:rFonts w:ascii="Times New Roman" w:eastAsia="宋体" w:hAnsi="Times New Roman" w:cs="Times New Roman"/>
          <w:sz w:val="24"/>
          <w:szCs w:val="24"/>
        </w:rPr>
        <w:t>1</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4-</w:t>
      </w:r>
      <w:r w:rsidRPr="0085474C">
        <w:rPr>
          <w:rFonts w:ascii="Times New Roman" w:eastAsia="宋体" w:hAnsi="Times New Roman" w:cs="Times New Roman"/>
          <w:sz w:val="24"/>
          <w:szCs w:val="24"/>
        </w:rPr>
        <w:t>加成，</w:t>
      </w:r>
      <w:r w:rsidRPr="0085474C">
        <w:rPr>
          <w:rFonts w:ascii="Times New Roman" w:eastAsia="宋体" w:hAnsi="Times New Roman" w:cs="Times New Roman"/>
          <w:sz w:val="24"/>
          <w:szCs w:val="24"/>
        </w:rPr>
        <w:t>1</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加成，</w:t>
      </w:r>
      <w:r w:rsidRPr="0085474C">
        <w:rPr>
          <w:rFonts w:ascii="Times New Roman" w:eastAsia="宋体" w:hAnsi="Times New Roman" w:cs="Times New Roman"/>
          <w:sz w:val="24"/>
          <w:szCs w:val="24"/>
        </w:rPr>
        <w:t>Diels-Alder</w:t>
      </w:r>
      <w:r w:rsidRPr="0085474C">
        <w:rPr>
          <w:rFonts w:ascii="Times New Roman" w:eastAsia="宋体" w:hAnsi="Times New Roman" w:cs="Times New Roman"/>
          <w:sz w:val="24"/>
          <w:szCs w:val="24"/>
        </w:rPr>
        <w:t>反应），</w:t>
      </w:r>
      <w:r w:rsidRPr="0085474C">
        <w:rPr>
          <w:rFonts w:ascii="Times New Roman" w:eastAsia="宋体" w:hAnsi="Times New Roman" w:cs="Times New Roman" w:hint="eastAsia"/>
          <w:sz w:val="24"/>
          <w:szCs w:val="24"/>
        </w:rPr>
        <w:t>理解</w:t>
      </w:r>
      <w:r w:rsidRPr="0085474C">
        <w:rPr>
          <w:rFonts w:ascii="Times New Roman" w:eastAsia="宋体" w:hAnsi="Times New Roman" w:cs="Times New Roman"/>
          <w:sz w:val="24"/>
          <w:szCs w:val="24"/>
        </w:rPr>
        <w:t>共轭二烯烃亲电加成的反应机理。</w:t>
      </w:r>
    </w:p>
    <w:p w14:paraId="7FFFF006"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过程与方法类目标：通过</w:t>
      </w:r>
      <w:r w:rsidRPr="0085474C">
        <w:rPr>
          <w:rFonts w:ascii="Times New Roman" w:eastAsia="宋体" w:hAnsi="Times New Roman" w:cs="Times New Roman" w:hint="eastAsia"/>
          <w:sz w:val="24"/>
          <w:szCs w:val="24"/>
        </w:rPr>
        <w:t>对有机化学中共</w:t>
      </w:r>
      <w:proofErr w:type="gramStart"/>
      <w:r w:rsidRPr="0085474C">
        <w:rPr>
          <w:rFonts w:ascii="Times New Roman" w:eastAsia="宋体" w:hAnsi="Times New Roman" w:cs="Times New Roman" w:hint="eastAsia"/>
          <w:sz w:val="24"/>
          <w:szCs w:val="24"/>
        </w:rPr>
        <w:t>轭</w:t>
      </w:r>
      <w:proofErr w:type="gramEnd"/>
      <w:r w:rsidRPr="0085474C">
        <w:rPr>
          <w:rFonts w:ascii="Times New Roman" w:eastAsia="宋体" w:hAnsi="Times New Roman" w:cs="Times New Roman" w:hint="eastAsia"/>
          <w:sz w:val="24"/>
          <w:szCs w:val="24"/>
        </w:rPr>
        <w:t>效应的解释，</w:t>
      </w:r>
      <w:r w:rsidRPr="0085474C">
        <w:rPr>
          <w:rFonts w:ascii="Times New Roman" w:eastAsia="宋体" w:hAnsi="Times New Roman" w:cs="Times New Roman"/>
          <w:sz w:val="24"/>
          <w:szCs w:val="24"/>
        </w:rPr>
        <w:t>培养学生</w:t>
      </w:r>
      <w:r w:rsidRPr="0085474C">
        <w:rPr>
          <w:rFonts w:ascii="Times New Roman" w:eastAsia="宋体" w:hAnsi="Times New Roman" w:cs="Times New Roman" w:hint="eastAsia"/>
          <w:sz w:val="24"/>
          <w:szCs w:val="24"/>
        </w:rPr>
        <w:t>进一步提高</w:t>
      </w:r>
      <w:r w:rsidRPr="0085474C">
        <w:rPr>
          <w:rFonts w:ascii="Times New Roman" w:eastAsia="宋体" w:hAnsi="Times New Roman" w:cs="Times New Roman"/>
          <w:color w:val="000000"/>
          <w:sz w:val="24"/>
          <w:szCs w:val="24"/>
        </w:rPr>
        <w:t>“</w:t>
      </w:r>
      <w:r w:rsidRPr="0085474C">
        <w:rPr>
          <w:rFonts w:ascii="Times New Roman" w:eastAsia="宋体" w:hAnsi="Times New Roman" w:cs="Times New Roman" w:hint="eastAsia"/>
          <w:color w:val="000000"/>
          <w:sz w:val="24"/>
          <w:szCs w:val="24"/>
        </w:rPr>
        <w:t>趋</w:t>
      </w:r>
      <w:r w:rsidRPr="0085474C">
        <w:rPr>
          <w:rFonts w:ascii="Times New Roman" w:eastAsia="宋体" w:hAnsi="Times New Roman" w:cs="Times New Roman"/>
          <w:color w:val="000000"/>
          <w:sz w:val="24"/>
          <w:szCs w:val="24"/>
        </w:rPr>
        <w:t>稳</w:t>
      </w:r>
      <w:r w:rsidRPr="0085474C">
        <w:rPr>
          <w:rFonts w:ascii="Times New Roman" w:eastAsia="宋体" w:hAnsi="Times New Roman" w:cs="Times New Roman"/>
          <w:color w:val="000000"/>
          <w:sz w:val="24"/>
          <w:szCs w:val="24"/>
        </w:rPr>
        <w:t>”</w:t>
      </w:r>
      <w:r w:rsidRPr="0085474C">
        <w:rPr>
          <w:rFonts w:ascii="Times New Roman" w:eastAsia="宋体" w:hAnsi="Times New Roman" w:cs="Times New Roman" w:hint="eastAsia"/>
          <w:color w:val="000000"/>
          <w:sz w:val="24"/>
          <w:szCs w:val="24"/>
        </w:rPr>
        <w:t>的逻辑思维能力与素养</w:t>
      </w:r>
      <w:r w:rsidRPr="0085474C">
        <w:rPr>
          <w:rFonts w:ascii="Times New Roman" w:eastAsia="宋体" w:hAnsi="Times New Roman" w:cs="Times New Roman"/>
          <w:color w:val="000000"/>
          <w:sz w:val="24"/>
          <w:szCs w:val="24"/>
        </w:rPr>
        <w:t>。</w:t>
      </w:r>
    </w:p>
    <w:p w14:paraId="18A80E84" w14:textId="77777777" w:rsidR="0085474C" w:rsidRPr="0085474C" w:rsidRDefault="0085474C" w:rsidP="0085474C">
      <w:pPr>
        <w:spacing w:line="440" w:lineRule="exact"/>
        <w:ind w:firstLineChars="200" w:firstLine="482"/>
        <w:rPr>
          <w:rFonts w:ascii="宋体" w:eastAsia="宋体" w:hAnsi="宋体" w:cs="Times New Roman"/>
          <w:b/>
          <w:sz w:val="24"/>
          <w:szCs w:val="24"/>
        </w:rPr>
      </w:pPr>
      <w:r w:rsidRPr="0085474C">
        <w:rPr>
          <w:rFonts w:ascii="宋体" w:eastAsia="宋体" w:hAnsi="宋体" w:cs="Times New Roman" w:hint="eastAsia"/>
          <w:b/>
          <w:sz w:val="24"/>
          <w:szCs w:val="24"/>
        </w:rPr>
        <w:t>【学习内容】</w:t>
      </w:r>
    </w:p>
    <w:p w14:paraId="0241AD02" w14:textId="77777777" w:rsidR="0085474C" w:rsidRPr="0085474C" w:rsidRDefault="0085474C" w:rsidP="0085474C">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lastRenderedPageBreak/>
        <w:t xml:space="preserve">4.1 </w:t>
      </w:r>
      <w:r w:rsidRPr="0085474C">
        <w:rPr>
          <w:rFonts w:ascii="Times New Roman" w:eastAsia="宋体" w:hAnsi="Times New Roman" w:cs="Times New Roman"/>
          <w:sz w:val="24"/>
          <w:szCs w:val="24"/>
        </w:rPr>
        <w:t>二烯烃的分类和命名</w:t>
      </w:r>
    </w:p>
    <w:p w14:paraId="2C96CB0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4.2 </w:t>
      </w:r>
      <w:r w:rsidRPr="0085474C">
        <w:rPr>
          <w:rFonts w:ascii="Times New Roman" w:eastAsia="宋体" w:hAnsi="Times New Roman" w:cs="Times New Roman"/>
          <w:sz w:val="24"/>
          <w:szCs w:val="24"/>
        </w:rPr>
        <w:t>二烯烃的结构</w:t>
      </w:r>
    </w:p>
    <w:p w14:paraId="2FF82A02"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4.3 </w:t>
      </w:r>
      <w:r w:rsidRPr="0085474C">
        <w:rPr>
          <w:rFonts w:ascii="Times New Roman" w:eastAsia="宋体" w:hAnsi="Times New Roman" w:cs="Times New Roman"/>
          <w:sz w:val="24"/>
          <w:szCs w:val="24"/>
        </w:rPr>
        <w:t>电子</w:t>
      </w:r>
      <w:proofErr w:type="gramStart"/>
      <w:r w:rsidRPr="0085474C">
        <w:rPr>
          <w:rFonts w:ascii="Times New Roman" w:eastAsia="宋体" w:hAnsi="Times New Roman" w:cs="Times New Roman"/>
          <w:sz w:val="24"/>
          <w:szCs w:val="24"/>
        </w:rPr>
        <w:t>离域与</w:t>
      </w:r>
      <w:proofErr w:type="gramEnd"/>
      <w:r w:rsidRPr="0085474C">
        <w:rPr>
          <w:rFonts w:ascii="Times New Roman" w:eastAsia="宋体" w:hAnsi="Times New Roman" w:cs="Times New Roman"/>
          <w:sz w:val="24"/>
          <w:szCs w:val="24"/>
        </w:rPr>
        <w:t>共轭体系</w:t>
      </w:r>
    </w:p>
    <w:p w14:paraId="5E70645E"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4.</w:t>
      </w:r>
      <w:r w:rsidRPr="0085474C">
        <w:rPr>
          <w:rFonts w:ascii="Times New Roman" w:eastAsia="宋体" w:hAnsi="Times New Roman" w:cs="Times New Roman" w:hint="eastAsia"/>
          <w:sz w:val="24"/>
          <w:szCs w:val="24"/>
        </w:rPr>
        <w:t>4</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共轭二烯烃的化学性质</w:t>
      </w:r>
    </w:p>
    <w:p w14:paraId="18C75B98" w14:textId="77777777" w:rsidR="0085474C" w:rsidRPr="0085474C" w:rsidRDefault="0085474C" w:rsidP="0085474C">
      <w:pPr>
        <w:spacing w:line="440" w:lineRule="exact"/>
        <w:ind w:firstLineChars="200" w:firstLine="482"/>
        <w:rPr>
          <w:rFonts w:ascii="宋体" w:eastAsia="宋体" w:hAnsi="宋体" w:cs="Times New Roman"/>
          <w:b/>
          <w:sz w:val="24"/>
          <w:szCs w:val="24"/>
        </w:rPr>
      </w:pPr>
      <w:r w:rsidRPr="0085474C">
        <w:rPr>
          <w:rFonts w:ascii="宋体" w:eastAsia="宋体" w:hAnsi="宋体" w:cs="Times New Roman" w:hint="eastAsia"/>
          <w:b/>
          <w:sz w:val="24"/>
          <w:szCs w:val="24"/>
        </w:rPr>
        <w:t>【重点】</w:t>
      </w:r>
    </w:p>
    <w:p w14:paraId="331189D8" w14:textId="77777777" w:rsidR="0085474C" w:rsidRPr="0085474C" w:rsidRDefault="0085474C" w:rsidP="0085474C">
      <w:pPr>
        <w:spacing w:line="440" w:lineRule="exact"/>
        <w:ind w:left="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kern w:val="0"/>
          <w:sz w:val="24"/>
          <w:szCs w:val="24"/>
        </w:rPr>
        <w:t>二烯烃的结构和化学性质，共轭二烯烃亲电加成的反应机理</w:t>
      </w:r>
      <w:r w:rsidRPr="0085474C">
        <w:rPr>
          <w:rFonts w:ascii="Times New Roman" w:eastAsia="宋体" w:hAnsi="Times New Roman" w:cs="Times New Roman"/>
          <w:sz w:val="24"/>
          <w:szCs w:val="24"/>
        </w:rPr>
        <w:t>。</w:t>
      </w:r>
    </w:p>
    <w:p w14:paraId="42E20314"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739CE769"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1</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hint="eastAsia"/>
          <w:sz w:val="24"/>
          <w:szCs w:val="24"/>
        </w:rPr>
        <w:t>对共轭现象的理解</w:t>
      </w:r>
      <w:r w:rsidRPr="0085474C">
        <w:rPr>
          <w:rFonts w:ascii="Times New Roman" w:eastAsia="宋体" w:hAnsi="Times New Roman" w:cs="Times New Roman"/>
          <w:sz w:val="24"/>
          <w:szCs w:val="24"/>
        </w:rPr>
        <w:t>。</w:t>
      </w:r>
    </w:p>
    <w:p w14:paraId="65669C7B"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2C8E05E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1. </w:t>
      </w:r>
      <w:r w:rsidRPr="0085474C">
        <w:rPr>
          <w:rFonts w:ascii="Times New Roman" w:eastAsia="宋体" w:hAnsi="Times New Roman" w:cs="Times New Roman"/>
          <w:sz w:val="24"/>
          <w:szCs w:val="24"/>
        </w:rPr>
        <w:t>通过多媒体课件和传统教学相结合，阐明基础知识，丰富课堂教学，促进学生对知识的理解和记忆；</w:t>
      </w:r>
    </w:p>
    <w:p w14:paraId="5F856C59"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2. </w:t>
      </w:r>
      <w:r w:rsidRPr="0085474C">
        <w:rPr>
          <w:rFonts w:ascii="Times New Roman" w:eastAsia="宋体" w:hAnsi="Times New Roman" w:cs="Times New Roman"/>
          <w:sz w:val="24"/>
          <w:szCs w:val="24"/>
        </w:rPr>
        <w:t>采用类比式教学法，可以将有机化学知识点与日常事例相类比，也可将各类化合物的某些相关知识点进行类比，由熟悉到不熟悉，从而</w:t>
      </w:r>
      <w:r w:rsidRPr="0085474C">
        <w:rPr>
          <w:rFonts w:ascii="Times New Roman" w:eastAsia="宋体" w:hAnsi="Times New Roman" w:cs="Times New Roman"/>
          <w:color w:val="000000"/>
          <w:kern w:val="0"/>
          <w:sz w:val="24"/>
          <w:szCs w:val="24"/>
          <w:lang w:bidi="ar"/>
        </w:rPr>
        <w:t>使要讲授的内容变得通俗易懂</w:t>
      </w:r>
      <w:r w:rsidRPr="0085474C">
        <w:rPr>
          <w:rFonts w:ascii="Times New Roman" w:eastAsia="A4" w:hAnsi="Times New Roman" w:cs="Times New Roman"/>
          <w:color w:val="000000"/>
          <w:kern w:val="0"/>
          <w:sz w:val="24"/>
          <w:szCs w:val="24"/>
          <w:lang w:bidi="ar"/>
        </w:rPr>
        <w:t xml:space="preserve">, </w:t>
      </w:r>
      <w:r w:rsidRPr="0085474C">
        <w:rPr>
          <w:rFonts w:ascii="Times New Roman" w:eastAsia="宋体" w:hAnsi="Times New Roman" w:cs="Times New Roman"/>
          <w:color w:val="000000"/>
          <w:kern w:val="0"/>
          <w:sz w:val="24"/>
          <w:szCs w:val="24"/>
          <w:lang w:bidi="ar"/>
        </w:rPr>
        <w:t>容易接受，</w:t>
      </w:r>
      <w:r w:rsidRPr="0085474C">
        <w:rPr>
          <w:rFonts w:ascii="Times New Roman" w:eastAsia="宋体" w:hAnsi="Times New Roman" w:cs="Times New Roman"/>
          <w:sz w:val="24"/>
          <w:szCs w:val="24"/>
        </w:rPr>
        <w:t>培养学生举一反三、触类旁通的学习能力。</w:t>
      </w:r>
    </w:p>
    <w:p w14:paraId="1C9A6EB9"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6B966142"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color w:val="000000"/>
          <w:sz w:val="24"/>
          <w:szCs w:val="24"/>
        </w:rPr>
        <w:t xml:space="preserve">1. </w:t>
      </w:r>
      <w:r w:rsidRPr="0085474C">
        <w:rPr>
          <w:rFonts w:ascii="Times New Roman" w:eastAsia="宋体" w:hAnsi="Times New Roman" w:cs="Times New Roman"/>
          <w:sz w:val="24"/>
          <w:szCs w:val="24"/>
        </w:rPr>
        <w:t>1,2-</w:t>
      </w:r>
      <w:r w:rsidRPr="0085474C">
        <w:rPr>
          <w:rFonts w:ascii="Times New Roman" w:eastAsia="宋体" w:hAnsi="Times New Roman" w:cs="Times New Roman"/>
          <w:sz w:val="24"/>
          <w:szCs w:val="24"/>
        </w:rPr>
        <w:t>和</w:t>
      </w:r>
      <w:r w:rsidRPr="0085474C">
        <w:rPr>
          <w:rFonts w:ascii="Times New Roman" w:eastAsia="宋体" w:hAnsi="Times New Roman" w:cs="Times New Roman"/>
          <w:sz w:val="24"/>
          <w:szCs w:val="24"/>
        </w:rPr>
        <w:t>1,4-</w:t>
      </w:r>
      <w:r w:rsidRPr="0085474C">
        <w:rPr>
          <w:rFonts w:ascii="Times New Roman" w:eastAsia="宋体" w:hAnsi="Times New Roman" w:cs="Times New Roman"/>
          <w:sz w:val="24"/>
          <w:szCs w:val="24"/>
        </w:rPr>
        <w:t>加成</w:t>
      </w:r>
      <w:r w:rsidRPr="0085474C">
        <w:rPr>
          <w:rFonts w:ascii="Times New Roman" w:eastAsia="宋体" w:hAnsi="Times New Roman" w:cs="Times New Roman" w:hint="eastAsia"/>
          <w:color w:val="000000"/>
          <w:sz w:val="24"/>
          <w:szCs w:val="24"/>
        </w:rPr>
        <w:t>反应结果不同的原因；</w:t>
      </w:r>
    </w:p>
    <w:p w14:paraId="031E07B5"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color w:val="000000"/>
          <w:sz w:val="24"/>
          <w:szCs w:val="24"/>
        </w:rPr>
        <w:t xml:space="preserve">2. </w:t>
      </w:r>
      <w:r w:rsidRPr="0085474C">
        <w:rPr>
          <w:rFonts w:ascii="Times New Roman" w:eastAsia="宋体" w:hAnsi="Times New Roman" w:cs="Times New Roman" w:hint="eastAsia"/>
          <w:color w:val="000000"/>
          <w:sz w:val="24"/>
          <w:szCs w:val="24"/>
        </w:rPr>
        <w:t>周环反应的反应机理；</w:t>
      </w:r>
    </w:p>
    <w:p w14:paraId="321A5F6E"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hint="eastAsia"/>
          <w:sz w:val="24"/>
          <w:szCs w:val="24"/>
        </w:rPr>
        <w:t xml:space="preserve">3. </w:t>
      </w:r>
      <w:r w:rsidRPr="0085474C">
        <w:rPr>
          <w:rFonts w:ascii="Times New Roman" w:eastAsia="宋体" w:hAnsi="Times New Roman" w:cs="Times New Roman"/>
          <w:sz w:val="24"/>
          <w:szCs w:val="24"/>
        </w:rPr>
        <w:t>共轭体系与共轭效应的特点</w:t>
      </w:r>
      <w:r w:rsidRPr="0085474C">
        <w:rPr>
          <w:rFonts w:ascii="Times New Roman" w:eastAsia="宋体" w:hAnsi="Times New Roman" w:cs="Times New Roman" w:hint="eastAsia"/>
          <w:sz w:val="24"/>
          <w:szCs w:val="24"/>
        </w:rPr>
        <w:t>。</w:t>
      </w:r>
    </w:p>
    <w:p w14:paraId="38CBCD0A" w14:textId="77777777" w:rsidR="0085474C" w:rsidRPr="0085474C" w:rsidRDefault="0085474C" w:rsidP="0085474C">
      <w:pPr>
        <w:spacing w:beforeLines="50" w:before="156" w:afterLines="50" w:after="156" w:line="440" w:lineRule="exact"/>
        <w:ind w:firstLineChars="200" w:firstLine="560"/>
        <w:jc w:val="center"/>
        <w:rPr>
          <w:rFonts w:ascii="黑体" w:eastAsia="黑体" w:hAnsi="黑体" w:cs="Times New Roman"/>
          <w:sz w:val="28"/>
          <w:szCs w:val="28"/>
        </w:rPr>
      </w:pPr>
      <w:r w:rsidRPr="0085474C">
        <w:rPr>
          <w:rFonts w:ascii="黑体" w:eastAsia="黑体" w:hAnsi="黑体" w:cs="Times New Roman" w:hint="eastAsia"/>
          <w:sz w:val="28"/>
          <w:szCs w:val="28"/>
        </w:rPr>
        <w:t>第五章  芳香烃</w:t>
      </w:r>
    </w:p>
    <w:p w14:paraId="7D85CD73" w14:textId="77777777" w:rsidR="0085474C" w:rsidRPr="0085474C" w:rsidRDefault="0085474C" w:rsidP="0085474C">
      <w:pPr>
        <w:spacing w:line="440" w:lineRule="exact"/>
        <w:ind w:firstLineChars="200" w:firstLine="482"/>
        <w:rPr>
          <w:rFonts w:ascii="宋体" w:eastAsia="宋体" w:hAnsi="宋体" w:cs="Times New Roman"/>
          <w:b/>
          <w:sz w:val="24"/>
          <w:szCs w:val="24"/>
        </w:rPr>
      </w:pPr>
      <w:r w:rsidRPr="0085474C">
        <w:rPr>
          <w:rFonts w:ascii="宋体" w:eastAsia="宋体" w:hAnsi="宋体" w:cs="Times New Roman" w:hint="eastAsia"/>
          <w:b/>
          <w:sz w:val="24"/>
          <w:szCs w:val="24"/>
        </w:rPr>
        <w:t>【学习目标】</w:t>
      </w:r>
    </w:p>
    <w:p w14:paraId="1127A64C"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认知类目标：了解芳香族化合物的</w:t>
      </w:r>
      <w:r w:rsidRPr="0085474C">
        <w:rPr>
          <w:rFonts w:ascii="Times New Roman" w:eastAsia="宋体" w:hAnsi="Times New Roman" w:cs="Times New Roman" w:hint="eastAsia"/>
          <w:sz w:val="24"/>
          <w:szCs w:val="24"/>
        </w:rPr>
        <w:t>物理性质、</w:t>
      </w:r>
      <w:r w:rsidRPr="0085474C">
        <w:rPr>
          <w:rFonts w:ascii="Times New Roman" w:eastAsia="宋体" w:hAnsi="Times New Roman" w:cs="Times New Roman"/>
          <w:sz w:val="24"/>
          <w:szCs w:val="24"/>
        </w:rPr>
        <w:t>来源</w:t>
      </w:r>
      <w:r w:rsidRPr="0085474C">
        <w:rPr>
          <w:rFonts w:ascii="Times New Roman" w:eastAsia="宋体" w:hAnsi="Times New Roman" w:cs="Times New Roman" w:hint="eastAsia"/>
          <w:sz w:val="24"/>
          <w:szCs w:val="24"/>
        </w:rPr>
        <w:t>和用途</w:t>
      </w:r>
      <w:r w:rsidRPr="0085474C">
        <w:rPr>
          <w:rFonts w:ascii="Times New Roman" w:eastAsia="宋体" w:hAnsi="Times New Roman" w:cs="Times New Roman"/>
          <w:sz w:val="24"/>
          <w:szCs w:val="24"/>
        </w:rPr>
        <w:t>；理解苯的结构和芳香性；</w:t>
      </w:r>
      <w:r w:rsidRPr="0085474C">
        <w:rPr>
          <w:rFonts w:ascii="Times New Roman" w:eastAsia="宋体" w:hAnsi="Times New Roman" w:cs="Times New Roman" w:hint="eastAsia"/>
          <w:sz w:val="24"/>
          <w:szCs w:val="24"/>
        </w:rPr>
        <w:t>了解</w:t>
      </w:r>
      <w:r w:rsidRPr="0085474C">
        <w:rPr>
          <w:rFonts w:ascii="Times New Roman" w:eastAsia="宋体" w:hAnsi="Times New Roman" w:cs="Times New Roman"/>
          <w:sz w:val="24"/>
          <w:szCs w:val="24"/>
        </w:rPr>
        <w:t>苯环上亲电取代反应机理</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掌握单环芳烃亲电取代反应的定位规律及其在有机合成中的应用；掌握芳香烃的主要化学性质（亲电取代反应、烷基苯侧链的反应）</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了解</w:t>
      </w:r>
      <w:proofErr w:type="gramStart"/>
      <w:r w:rsidRPr="0085474C">
        <w:rPr>
          <w:rFonts w:ascii="Times New Roman" w:eastAsia="宋体" w:hAnsi="Times New Roman" w:cs="Times New Roman"/>
          <w:sz w:val="24"/>
          <w:szCs w:val="24"/>
        </w:rPr>
        <w:t>萘</w:t>
      </w:r>
      <w:proofErr w:type="gramEnd"/>
      <w:r w:rsidRPr="0085474C">
        <w:rPr>
          <w:rFonts w:ascii="Times New Roman" w:eastAsia="宋体" w:hAnsi="Times New Roman" w:cs="Times New Roman"/>
          <w:sz w:val="24"/>
          <w:szCs w:val="24"/>
        </w:rPr>
        <w:t>的结构及其重要反应（磺化反应的动力学控制和热力学控制）。</w:t>
      </w:r>
      <w:proofErr w:type="gramStart"/>
      <w:r w:rsidRPr="0085474C">
        <w:rPr>
          <w:rFonts w:ascii="Times New Roman" w:eastAsia="宋体" w:hAnsi="Times New Roman" w:cs="Times New Roman"/>
          <w:sz w:val="24"/>
          <w:szCs w:val="24"/>
        </w:rPr>
        <w:t>了解非</w:t>
      </w:r>
      <w:proofErr w:type="gramEnd"/>
      <w:r w:rsidRPr="0085474C">
        <w:rPr>
          <w:rFonts w:ascii="Times New Roman" w:eastAsia="宋体" w:hAnsi="Times New Roman" w:cs="Times New Roman"/>
          <w:sz w:val="24"/>
          <w:szCs w:val="24"/>
        </w:rPr>
        <w:t>苯芳烃的涵义</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掌握芳香性判据</w:t>
      </w:r>
      <w:r w:rsidRPr="0085474C">
        <w:rPr>
          <w:rFonts w:ascii="Times New Roman" w:eastAsia="宋体" w:hAnsi="Times New Roman" w:cs="Times New Roman"/>
          <w:sz w:val="24"/>
          <w:szCs w:val="24"/>
        </w:rPr>
        <w:t>——</w:t>
      </w:r>
      <w:proofErr w:type="spellStart"/>
      <w:r w:rsidRPr="0085474C">
        <w:rPr>
          <w:rFonts w:ascii="Times New Roman" w:eastAsia="宋体" w:hAnsi="Times New Roman" w:cs="Times New Roman"/>
          <w:sz w:val="24"/>
          <w:szCs w:val="24"/>
        </w:rPr>
        <w:t>Hückel</w:t>
      </w:r>
      <w:proofErr w:type="spellEnd"/>
      <w:r w:rsidRPr="0085474C">
        <w:rPr>
          <w:rFonts w:ascii="Times New Roman" w:eastAsia="宋体" w:hAnsi="Times New Roman" w:cs="Times New Roman"/>
          <w:sz w:val="24"/>
          <w:szCs w:val="24"/>
        </w:rPr>
        <w:t>规则。</w:t>
      </w:r>
    </w:p>
    <w:p w14:paraId="39236C47"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w:t>
      </w:r>
      <w:r w:rsidRPr="0085474C">
        <w:rPr>
          <w:rFonts w:ascii="Times New Roman" w:eastAsia="宋体" w:hAnsi="Times New Roman" w:cs="Times New Roman" w:hint="eastAsia"/>
          <w:sz w:val="24"/>
          <w:szCs w:val="24"/>
        </w:rPr>
        <w:t>能够根据</w:t>
      </w:r>
      <w:r w:rsidRPr="0085474C">
        <w:rPr>
          <w:rFonts w:ascii="Times New Roman" w:eastAsia="宋体" w:hAnsi="Times New Roman" w:cs="Times New Roman"/>
          <w:sz w:val="24"/>
          <w:szCs w:val="24"/>
        </w:rPr>
        <w:t>休克尔规则</w:t>
      </w:r>
      <w:r w:rsidRPr="0085474C">
        <w:rPr>
          <w:rFonts w:ascii="Times New Roman" w:eastAsia="宋体" w:hAnsi="Times New Roman" w:cs="Times New Roman" w:hint="eastAsia"/>
          <w:sz w:val="24"/>
          <w:szCs w:val="24"/>
        </w:rPr>
        <w:t>判断环状结构是否具有芳香性</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能够根据目标产物的结构设计合理的合成路线。</w:t>
      </w:r>
    </w:p>
    <w:p w14:paraId="1EFDC240" w14:textId="77777777" w:rsidR="0085474C" w:rsidRPr="0085474C" w:rsidRDefault="0085474C" w:rsidP="0085474C">
      <w:pPr>
        <w:spacing w:line="440" w:lineRule="exact"/>
        <w:ind w:firstLineChars="200" w:firstLine="482"/>
        <w:rPr>
          <w:rFonts w:ascii="宋体" w:eastAsia="宋体" w:hAnsi="宋体" w:cs="Times New Roman"/>
          <w:b/>
          <w:sz w:val="24"/>
          <w:szCs w:val="24"/>
        </w:rPr>
      </w:pPr>
      <w:r w:rsidRPr="0085474C">
        <w:rPr>
          <w:rFonts w:ascii="宋体" w:eastAsia="宋体" w:hAnsi="宋体" w:cs="Times New Roman" w:hint="eastAsia"/>
          <w:b/>
          <w:sz w:val="24"/>
          <w:szCs w:val="24"/>
        </w:rPr>
        <w:t>【学习内容】</w:t>
      </w:r>
    </w:p>
    <w:p w14:paraId="0811DEA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5.1</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sz w:val="24"/>
          <w:szCs w:val="24"/>
        </w:rPr>
        <w:t>芳烃的构造异构和命名</w:t>
      </w:r>
    </w:p>
    <w:p w14:paraId="3097787F"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5.2 </w:t>
      </w:r>
      <w:r w:rsidRPr="0085474C">
        <w:rPr>
          <w:rFonts w:ascii="Times New Roman" w:eastAsia="宋体" w:hAnsi="Times New Roman" w:cs="Times New Roman"/>
          <w:sz w:val="24"/>
          <w:szCs w:val="24"/>
        </w:rPr>
        <w:t>苯的结构</w:t>
      </w:r>
    </w:p>
    <w:p w14:paraId="3DF6731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5.3 </w:t>
      </w:r>
      <w:r w:rsidRPr="0085474C">
        <w:rPr>
          <w:rFonts w:ascii="Times New Roman" w:eastAsia="宋体" w:hAnsi="Times New Roman" w:cs="Times New Roman"/>
          <w:sz w:val="24"/>
          <w:szCs w:val="24"/>
        </w:rPr>
        <w:t>单环芳烃的物理性质</w:t>
      </w:r>
    </w:p>
    <w:p w14:paraId="32A9C964"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 xml:space="preserve">5.4 </w:t>
      </w:r>
      <w:r w:rsidRPr="0085474C">
        <w:rPr>
          <w:rFonts w:ascii="Times New Roman" w:eastAsia="宋体" w:hAnsi="Times New Roman" w:cs="Times New Roman"/>
          <w:sz w:val="24"/>
          <w:szCs w:val="24"/>
        </w:rPr>
        <w:t>单环芳烃的化学性质</w:t>
      </w:r>
    </w:p>
    <w:p w14:paraId="369FD639"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5.5 </w:t>
      </w:r>
      <w:r w:rsidRPr="0085474C">
        <w:rPr>
          <w:rFonts w:ascii="Times New Roman" w:eastAsia="宋体" w:hAnsi="Times New Roman" w:cs="Times New Roman"/>
          <w:sz w:val="24"/>
          <w:szCs w:val="24"/>
        </w:rPr>
        <w:t>苯环上亲电取代反应的定位规则</w:t>
      </w:r>
    </w:p>
    <w:p w14:paraId="2CEA1AD4"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5.6 </w:t>
      </w:r>
      <w:r w:rsidRPr="0085474C">
        <w:rPr>
          <w:rFonts w:ascii="Times New Roman" w:eastAsia="宋体" w:hAnsi="Times New Roman" w:cs="Times New Roman"/>
          <w:sz w:val="24"/>
          <w:szCs w:val="24"/>
        </w:rPr>
        <w:t>稠环芳烃</w:t>
      </w:r>
    </w:p>
    <w:p w14:paraId="2C1413DA"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5.7</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sz w:val="24"/>
          <w:szCs w:val="24"/>
        </w:rPr>
        <w:t>芳香性</w:t>
      </w:r>
    </w:p>
    <w:p w14:paraId="194A6E0F"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576D0373"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单环芳烃的亲电取代反应及其历程；</w:t>
      </w:r>
    </w:p>
    <w:p w14:paraId="0C2A2FFE" w14:textId="77777777" w:rsidR="0085474C" w:rsidRPr="0085474C" w:rsidRDefault="0085474C" w:rsidP="0085474C">
      <w:pPr>
        <w:spacing w:line="440" w:lineRule="exact"/>
        <w:ind w:left="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定位效应及其在有机合成中的应用。</w:t>
      </w:r>
    </w:p>
    <w:p w14:paraId="497FD540"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4824D802"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1</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芳香性的判断方法。</w:t>
      </w:r>
    </w:p>
    <w:p w14:paraId="487FA3CF"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63BC294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1. </w:t>
      </w:r>
      <w:r w:rsidRPr="0085474C">
        <w:rPr>
          <w:rFonts w:ascii="Times New Roman" w:eastAsia="宋体" w:hAnsi="Times New Roman" w:cs="Times New Roman"/>
          <w:sz w:val="24"/>
          <w:szCs w:val="24"/>
        </w:rPr>
        <w:t>通过多媒体课件和传统教学相结合，阐明基础知识，丰富课堂教学，促进学生对知识的理解和记忆。</w:t>
      </w:r>
    </w:p>
    <w:p w14:paraId="44890E11"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58ED8AA0"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芳香烃结构特点；</w:t>
      </w:r>
    </w:p>
    <w:p w14:paraId="2BEBFDE8" w14:textId="77777777" w:rsidR="0085474C" w:rsidRPr="0085474C" w:rsidRDefault="0085474C" w:rsidP="0085474C">
      <w:pPr>
        <w:spacing w:line="440" w:lineRule="exact"/>
        <w:ind w:left="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苯环上亲电取代反应及机理。</w:t>
      </w:r>
    </w:p>
    <w:p w14:paraId="177888B2" w14:textId="77777777" w:rsidR="0085474C" w:rsidRPr="0085474C" w:rsidRDefault="0085474C" w:rsidP="0085474C">
      <w:pPr>
        <w:spacing w:beforeLines="50" w:before="156" w:afterLines="50" w:after="156" w:line="440" w:lineRule="exact"/>
        <w:ind w:firstLineChars="200" w:firstLine="560"/>
        <w:jc w:val="center"/>
        <w:rPr>
          <w:rFonts w:ascii="黑体" w:eastAsia="黑体" w:hAnsi="黑体" w:cs="Times New Roman"/>
          <w:sz w:val="28"/>
          <w:szCs w:val="28"/>
        </w:rPr>
      </w:pPr>
      <w:r w:rsidRPr="0085474C">
        <w:rPr>
          <w:rFonts w:ascii="黑体" w:eastAsia="黑体" w:hAnsi="黑体" w:cs="Times New Roman" w:hint="eastAsia"/>
          <w:sz w:val="28"/>
          <w:szCs w:val="28"/>
        </w:rPr>
        <w:t>第六章  立体化学</w:t>
      </w:r>
    </w:p>
    <w:p w14:paraId="0620DF39" w14:textId="77777777" w:rsidR="0085474C" w:rsidRPr="0085474C" w:rsidRDefault="0085474C" w:rsidP="0085474C">
      <w:pPr>
        <w:spacing w:line="440" w:lineRule="exact"/>
        <w:ind w:firstLineChars="200" w:firstLine="482"/>
        <w:rPr>
          <w:rFonts w:ascii="宋体" w:eastAsia="宋体" w:hAnsi="宋体" w:cs="Times New Roman"/>
          <w:b/>
          <w:sz w:val="24"/>
          <w:szCs w:val="24"/>
        </w:rPr>
      </w:pPr>
      <w:r w:rsidRPr="0085474C">
        <w:rPr>
          <w:rFonts w:ascii="宋体" w:eastAsia="宋体" w:hAnsi="宋体" w:cs="Times New Roman" w:hint="eastAsia"/>
          <w:b/>
          <w:sz w:val="24"/>
          <w:szCs w:val="24"/>
        </w:rPr>
        <w:t>【学习目标】</w:t>
      </w:r>
    </w:p>
    <w:p w14:paraId="362036EB"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认知类目标：理解物质的旋光性和产生的原因；了解对称因素、手性因素与旋光性的关系；掌握</w:t>
      </w:r>
      <w:r w:rsidRPr="0085474C">
        <w:rPr>
          <w:rFonts w:ascii="Times New Roman" w:eastAsia="宋体" w:hAnsi="Times New Roman" w:cs="Times New Roman"/>
          <w:sz w:val="24"/>
          <w:szCs w:val="24"/>
        </w:rPr>
        <w:t>Fischer</w:t>
      </w:r>
      <w:r w:rsidRPr="0085474C">
        <w:rPr>
          <w:rFonts w:ascii="Times New Roman" w:eastAsia="宋体" w:hAnsi="Times New Roman" w:cs="Times New Roman"/>
          <w:sz w:val="24"/>
          <w:szCs w:val="24"/>
        </w:rPr>
        <w:t>投影原则和使用该投影式的原则；掌握</w:t>
      </w:r>
      <w:r w:rsidRPr="0085474C">
        <w:rPr>
          <w:rFonts w:ascii="Times New Roman" w:eastAsia="宋体" w:hAnsi="Times New Roman" w:cs="Times New Roman"/>
          <w:sz w:val="24"/>
          <w:szCs w:val="24"/>
        </w:rPr>
        <w:t>Fischer</w:t>
      </w:r>
      <w:r w:rsidRPr="0085474C">
        <w:rPr>
          <w:rFonts w:ascii="Times New Roman" w:eastAsia="宋体" w:hAnsi="Times New Roman" w:cs="Times New Roman"/>
          <w:sz w:val="24"/>
          <w:szCs w:val="24"/>
        </w:rPr>
        <w:t>投影式、</w:t>
      </w:r>
      <w:r w:rsidRPr="0085474C">
        <w:rPr>
          <w:rFonts w:ascii="Times New Roman" w:eastAsia="宋体" w:hAnsi="Times New Roman" w:cs="Times New Roman"/>
          <w:sz w:val="24"/>
          <w:szCs w:val="24"/>
        </w:rPr>
        <w:t>Newman</w:t>
      </w:r>
      <w:r w:rsidRPr="0085474C">
        <w:rPr>
          <w:rFonts w:ascii="Times New Roman" w:eastAsia="宋体" w:hAnsi="Times New Roman" w:cs="Times New Roman"/>
          <w:sz w:val="24"/>
          <w:szCs w:val="24"/>
        </w:rPr>
        <w:t>式与锯架式转换的方法和能力；掌握构型标记法和光学异构体的判断方法；理解外消旋体及其拆分和不对称合成的基本原理</w:t>
      </w:r>
      <w:r w:rsidRPr="0085474C">
        <w:rPr>
          <w:rFonts w:ascii="Times New Roman" w:eastAsia="宋体" w:hAnsi="Times New Roman" w:cs="Times New Roman"/>
          <w:color w:val="000000"/>
          <w:sz w:val="24"/>
          <w:szCs w:val="24"/>
        </w:rPr>
        <w:t>。</w:t>
      </w:r>
    </w:p>
    <w:p w14:paraId="0CE7AB78"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w:t>
      </w:r>
      <w:r w:rsidRPr="0085474C">
        <w:rPr>
          <w:rFonts w:ascii="Times New Roman" w:eastAsia="宋体" w:hAnsi="Times New Roman" w:cs="Times New Roman"/>
          <w:color w:val="000000"/>
          <w:sz w:val="24"/>
          <w:szCs w:val="24"/>
        </w:rPr>
        <w:t>通过尼科尔棱镜的偏光实验，使</w:t>
      </w:r>
      <w:r w:rsidRPr="0085474C">
        <w:rPr>
          <w:rFonts w:ascii="Times New Roman" w:eastAsia="宋体" w:hAnsi="Times New Roman" w:cs="Times New Roman" w:hint="eastAsia"/>
          <w:color w:val="000000"/>
          <w:sz w:val="24"/>
          <w:szCs w:val="24"/>
        </w:rPr>
        <w:t>学生</w:t>
      </w:r>
      <w:r w:rsidRPr="0085474C">
        <w:rPr>
          <w:rFonts w:ascii="Times New Roman" w:eastAsia="宋体" w:hAnsi="Times New Roman" w:cs="Times New Roman"/>
          <w:color w:val="000000"/>
          <w:sz w:val="24"/>
          <w:szCs w:val="24"/>
        </w:rPr>
        <w:t>体会用</w:t>
      </w:r>
      <w:r w:rsidRPr="0085474C">
        <w:rPr>
          <w:rFonts w:ascii="Times New Roman" w:eastAsia="宋体" w:hAnsi="Times New Roman" w:cs="Times New Roman" w:hint="eastAsia"/>
          <w:color w:val="000000"/>
          <w:sz w:val="24"/>
          <w:szCs w:val="24"/>
        </w:rPr>
        <w:t>物理</w:t>
      </w:r>
      <w:r w:rsidRPr="0085474C">
        <w:rPr>
          <w:rFonts w:ascii="Times New Roman" w:eastAsia="宋体" w:hAnsi="Times New Roman" w:cs="Times New Roman"/>
          <w:color w:val="000000"/>
          <w:sz w:val="24"/>
          <w:szCs w:val="24"/>
        </w:rPr>
        <w:t>方法分析、解决</w:t>
      </w:r>
      <w:r w:rsidRPr="0085474C">
        <w:rPr>
          <w:rFonts w:ascii="Times New Roman" w:eastAsia="宋体" w:hAnsi="Times New Roman" w:cs="Times New Roman" w:hint="eastAsia"/>
          <w:color w:val="000000"/>
          <w:sz w:val="24"/>
          <w:szCs w:val="24"/>
        </w:rPr>
        <w:t>化学</w:t>
      </w:r>
      <w:r w:rsidRPr="0085474C">
        <w:rPr>
          <w:rFonts w:ascii="Times New Roman" w:eastAsia="宋体" w:hAnsi="Times New Roman" w:cs="Times New Roman"/>
          <w:color w:val="000000"/>
          <w:sz w:val="24"/>
          <w:szCs w:val="24"/>
        </w:rPr>
        <w:t>问题。</w:t>
      </w:r>
    </w:p>
    <w:p w14:paraId="2EA9C2C2"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w:t>
      </w:r>
      <w:r w:rsidRPr="0085474C">
        <w:rPr>
          <w:rFonts w:ascii="Times New Roman" w:eastAsia="宋体" w:hAnsi="Times New Roman" w:cs="Times New Roman"/>
          <w:color w:val="000000"/>
          <w:sz w:val="24"/>
          <w:szCs w:val="24"/>
        </w:rPr>
        <w:t>通过</w:t>
      </w:r>
      <w:r w:rsidRPr="0085474C">
        <w:rPr>
          <w:rFonts w:ascii="Times New Roman" w:eastAsia="宋体" w:hAnsi="Times New Roman" w:cs="Times New Roman"/>
          <w:color w:val="000000"/>
          <w:sz w:val="24"/>
          <w:szCs w:val="24"/>
        </w:rPr>
        <w:t>“</w:t>
      </w:r>
      <w:r w:rsidRPr="0085474C">
        <w:rPr>
          <w:rFonts w:ascii="Times New Roman" w:eastAsia="宋体" w:hAnsi="Times New Roman" w:cs="Times New Roman"/>
          <w:color w:val="000000"/>
          <w:sz w:val="24"/>
          <w:szCs w:val="24"/>
        </w:rPr>
        <w:t>反应停</w:t>
      </w:r>
      <w:r w:rsidRPr="0085474C">
        <w:rPr>
          <w:rFonts w:ascii="Times New Roman" w:eastAsia="宋体" w:hAnsi="Times New Roman" w:cs="Times New Roman"/>
          <w:color w:val="000000"/>
          <w:sz w:val="24"/>
          <w:szCs w:val="24"/>
        </w:rPr>
        <w:t>”</w:t>
      </w:r>
      <w:r w:rsidRPr="0085474C">
        <w:rPr>
          <w:rFonts w:ascii="Times New Roman" w:eastAsia="宋体" w:hAnsi="Times New Roman" w:cs="Times New Roman"/>
          <w:color w:val="000000"/>
          <w:sz w:val="24"/>
          <w:szCs w:val="24"/>
        </w:rPr>
        <w:t>事件，使</w:t>
      </w:r>
      <w:r w:rsidRPr="0085474C">
        <w:rPr>
          <w:rFonts w:ascii="Times New Roman" w:eastAsia="宋体" w:hAnsi="Times New Roman" w:cs="Times New Roman" w:hint="eastAsia"/>
          <w:color w:val="000000"/>
          <w:sz w:val="24"/>
          <w:szCs w:val="24"/>
        </w:rPr>
        <w:t>学生认识到</w:t>
      </w:r>
      <w:r w:rsidRPr="0085474C">
        <w:rPr>
          <w:rFonts w:ascii="Times New Roman" w:eastAsia="宋体" w:hAnsi="Times New Roman" w:cs="Times New Roman" w:hint="eastAsia"/>
          <w:color w:val="000000"/>
          <w:sz w:val="24"/>
          <w:szCs w:val="24"/>
        </w:rPr>
        <w:t>R</w:t>
      </w:r>
      <w:r w:rsidRPr="0085474C">
        <w:rPr>
          <w:rFonts w:ascii="Times New Roman" w:eastAsia="宋体" w:hAnsi="Times New Roman" w:cs="Times New Roman" w:hint="eastAsia"/>
          <w:color w:val="000000"/>
          <w:sz w:val="24"/>
          <w:szCs w:val="24"/>
        </w:rPr>
        <w:t>型和</w:t>
      </w:r>
      <w:r w:rsidRPr="0085474C">
        <w:rPr>
          <w:rFonts w:ascii="Times New Roman" w:eastAsia="宋体" w:hAnsi="Times New Roman" w:cs="Times New Roman" w:hint="eastAsia"/>
          <w:color w:val="000000"/>
          <w:sz w:val="24"/>
          <w:szCs w:val="24"/>
        </w:rPr>
        <w:t>S</w:t>
      </w:r>
      <w:proofErr w:type="gramStart"/>
      <w:r w:rsidRPr="0085474C">
        <w:rPr>
          <w:rFonts w:ascii="Times New Roman" w:eastAsia="宋体" w:hAnsi="Times New Roman" w:cs="Times New Roman" w:hint="eastAsia"/>
          <w:color w:val="000000"/>
          <w:sz w:val="24"/>
          <w:szCs w:val="24"/>
        </w:rPr>
        <w:t>型沙利</w:t>
      </w:r>
      <w:proofErr w:type="gramEnd"/>
      <w:r w:rsidRPr="0085474C">
        <w:rPr>
          <w:rFonts w:ascii="Times New Roman" w:eastAsia="宋体" w:hAnsi="Times New Roman" w:cs="Times New Roman" w:hint="eastAsia"/>
          <w:color w:val="000000"/>
          <w:sz w:val="24"/>
          <w:szCs w:val="24"/>
        </w:rPr>
        <w:t>度胺的巨大差异，从而体会</w:t>
      </w:r>
      <w:r w:rsidRPr="0085474C">
        <w:rPr>
          <w:rFonts w:ascii="Times New Roman" w:eastAsia="宋体" w:hAnsi="Times New Roman" w:cs="Times New Roman"/>
          <w:color w:val="000000"/>
          <w:sz w:val="24"/>
          <w:szCs w:val="24"/>
        </w:rPr>
        <w:t>到科学的严谨性。</w:t>
      </w:r>
    </w:p>
    <w:p w14:paraId="41A14DBD"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64302D84"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6.1</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sz w:val="24"/>
          <w:szCs w:val="24"/>
        </w:rPr>
        <w:t>异构体的分类</w:t>
      </w:r>
    </w:p>
    <w:p w14:paraId="274F0356"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6.2</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sz w:val="24"/>
          <w:szCs w:val="24"/>
        </w:rPr>
        <w:t>手性和对称性</w:t>
      </w:r>
    </w:p>
    <w:p w14:paraId="1D3FC0AD"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6.3 </w:t>
      </w:r>
      <w:r w:rsidRPr="0085474C">
        <w:rPr>
          <w:rFonts w:ascii="Times New Roman" w:eastAsia="宋体" w:hAnsi="Times New Roman" w:cs="Times New Roman"/>
          <w:sz w:val="24"/>
          <w:szCs w:val="24"/>
        </w:rPr>
        <w:t>手性分子的性质</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光学活性</w:t>
      </w:r>
    </w:p>
    <w:p w14:paraId="31CF7CCC"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6.4 </w:t>
      </w:r>
      <w:r w:rsidRPr="0085474C">
        <w:rPr>
          <w:rFonts w:ascii="Times New Roman" w:eastAsia="宋体" w:hAnsi="Times New Roman" w:cs="Times New Roman" w:hint="eastAsia"/>
          <w:sz w:val="24"/>
          <w:szCs w:val="24"/>
        </w:rPr>
        <w:t>含</w:t>
      </w:r>
      <w:r w:rsidRPr="0085474C">
        <w:rPr>
          <w:rFonts w:ascii="Times New Roman" w:eastAsia="宋体" w:hAnsi="Times New Roman" w:cs="Times New Roman"/>
          <w:sz w:val="24"/>
          <w:szCs w:val="24"/>
        </w:rPr>
        <w:t>有一个手性中心的对映异构</w:t>
      </w:r>
      <w:r w:rsidRPr="0085474C">
        <w:rPr>
          <w:rFonts w:ascii="Times New Roman" w:eastAsia="宋体" w:hAnsi="Times New Roman" w:cs="Times New Roman"/>
          <w:sz w:val="24"/>
          <w:szCs w:val="24"/>
        </w:rPr>
        <w:t xml:space="preserve"> </w:t>
      </w:r>
    </w:p>
    <w:p w14:paraId="7FF370AD"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6.5</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hint="eastAsia"/>
          <w:sz w:val="24"/>
          <w:szCs w:val="24"/>
        </w:rPr>
        <w:t>含</w:t>
      </w:r>
      <w:r w:rsidRPr="0085474C">
        <w:rPr>
          <w:rFonts w:ascii="Times New Roman" w:eastAsia="宋体" w:hAnsi="Times New Roman" w:cs="Times New Roman"/>
          <w:sz w:val="24"/>
          <w:szCs w:val="24"/>
        </w:rPr>
        <w:t>有两个手性中心的对映异构</w:t>
      </w:r>
    </w:p>
    <w:p w14:paraId="3936A37F"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lastRenderedPageBreak/>
        <w:t>【重点】</w:t>
      </w:r>
    </w:p>
    <w:p w14:paraId="002B025A"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含手性碳原子化合物、不含手性碳原子化合物、环状化合物的对映异构；</w:t>
      </w:r>
    </w:p>
    <w:p w14:paraId="0D05E78D" w14:textId="77777777" w:rsidR="0085474C" w:rsidRPr="0085474C" w:rsidRDefault="0085474C" w:rsidP="0085474C">
      <w:pPr>
        <w:spacing w:line="440" w:lineRule="exact"/>
        <w:ind w:left="480"/>
        <w:rPr>
          <w:rFonts w:ascii="Times New Roman" w:eastAsia="宋体" w:hAnsi="Times New Roman" w:cs="Times New Roman"/>
          <w:sz w:val="24"/>
          <w:szCs w:val="24"/>
        </w:rPr>
      </w:pPr>
      <w:r w:rsidRPr="0085474C">
        <w:rPr>
          <w:rFonts w:ascii="Times New Roman" w:eastAsia="宋体" w:hAnsi="Times New Roman" w:cs="Times New Roman"/>
          <w:sz w:val="24"/>
          <w:szCs w:val="24"/>
        </w:rPr>
        <w:t>2. Fischer</w:t>
      </w:r>
      <w:r w:rsidRPr="0085474C">
        <w:rPr>
          <w:rFonts w:ascii="Times New Roman" w:eastAsia="宋体" w:hAnsi="Times New Roman" w:cs="Times New Roman"/>
          <w:sz w:val="24"/>
          <w:szCs w:val="24"/>
        </w:rPr>
        <w:t>投影规则；</w:t>
      </w:r>
    </w:p>
    <w:p w14:paraId="3690D02F" w14:textId="77777777" w:rsidR="0085474C" w:rsidRPr="0085474C" w:rsidRDefault="0085474C" w:rsidP="0085474C">
      <w:pPr>
        <w:spacing w:line="440" w:lineRule="exact"/>
        <w:ind w:left="480"/>
        <w:rPr>
          <w:rFonts w:ascii="Times New Roman" w:eastAsia="宋体" w:hAnsi="Times New Roman" w:cs="Times New Roman"/>
          <w:sz w:val="24"/>
          <w:szCs w:val="24"/>
        </w:rPr>
      </w:pPr>
      <w:r w:rsidRPr="0085474C">
        <w:rPr>
          <w:rFonts w:ascii="Times New Roman" w:eastAsia="宋体" w:hAnsi="Times New Roman" w:cs="Times New Roman"/>
          <w:sz w:val="24"/>
          <w:szCs w:val="24"/>
        </w:rPr>
        <w:t>3. R</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S</w:t>
      </w:r>
      <w:r w:rsidRPr="0085474C">
        <w:rPr>
          <w:rFonts w:ascii="Times New Roman" w:eastAsia="宋体" w:hAnsi="Times New Roman" w:cs="Times New Roman"/>
          <w:sz w:val="24"/>
          <w:szCs w:val="24"/>
        </w:rPr>
        <w:t>法标记旋光性化合物的构型的方法。</w:t>
      </w:r>
    </w:p>
    <w:p w14:paraId="6C8F799F"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5739C28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官能团优先顺序和次序规则的区分</w:t>
      </w:r>
      <w:r w:rsidRPr="0085474C">
        <w:rPr>
          <w:rFonts w:ascii="Times New Roman" w:eastAsia="宋体" w:hAnsi="Times New Roman" w:cs="Times New Roman"/>
          <w:color w:val="000000"/>
          <w:sz w:val="24"/>
          <w:szCs w:val="24"/>
        </w:rPr>
        <w:t>；</w:t>
      </w:r>
    </w:p>
    <w:p w14:paraId="5DE84899"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 R</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S</w:t>
      </w:r>
      <w:r w:rsidRPr="0085474C">
        <w:rPr>
          <w:rFonts w:ascii="Times New Roman" w:eastAsia="宋体" w:hAnsi="Times New Roman" w:cs="Times New Roman"/>
          <w:sz w:val="24"/>
          <w:szCs w:val="24"/>
        </w:rPr>
        <w:t>命名法。</w:t>
      </w:r>
    </w:p>
    <w:p w14:paraId="3335FF15"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398798E1"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1. </w:t>
      </w:r>
      <w:r w:rsidRPr="0085474C">
        <w:rPr>
          <w:rFonts w:ascii="Times New Roman" w:eastAsia="宋体" w:hAnsi="Times New Roman" w:cs="Times New Roman"/>
          <w:sz w:val="24"/>
          <w:szCs w:val="24"/>
        </w:rPr>
        <w:t>通过多媒体课件和传统教学相结合，阐明基础知识，丰富课堂教学，促进学生对知识的理解和记忆；</w:t>
      </w:r>
    </w:p>
    <w:p w14:paraId="2200B7D2"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2. </w:t>
      </w:r>
      <w:r w:rsidRPr="0085474C">
        <w:rPr>
          <w:rFonts w:ascii="Times New Roman" w:eastAsia="宋体" w:hAnsi="Times New Roman" w:cs="Times New Roman"/>
          <w:sz w:val="24"/>
          <w:szCs w:val="24"/>
        </w:rPr>
        <w:t>采用类比式教学法，可以将有机化学知识点与日常事例相类比，也可将各类化合物的某些相关知识点进行类比，由熟悉到不熟悉，从而</w:t>
      </w:r>
      <w:r w:rsidRPr="0085474C">
        <w:rPr>
          <w:rFonts w:ascii="Times New Roman" w:eastAsia="宋体" w:hAnsi="Times New Roman" w:cs="Times New Roman"/>
          <w:color w:val="000000"/>
          <w:kern w:val="0"/>
          <w:sz w:val="24"/>
          <w:szCs w:val="24"/>
          <w:lang w:bidi="ar"/>
        </w:rPr>
        <w:t>使要讲授的内容变得通俗易懂</w:t>
      </w:r>
      <w:r w:rsidRPr="0085474C">
        <w:rPr>
          <w:rFonts w:ascii="Times New Roman" w:eastAsia="A4" w:hAnsi="Times New Roman" w:cs="Times New Roman"/>
          <w:color w:val="000000"/>
          <w:kern w:val="0"/>
          <w:sz w:val="24"/>
          <w:szCs w:val="24"/>
          <w:lang w:bidi="ar"/>
        </w:rPr>
        <w:t xml:space="preserve">, </w:t>
      </w:r>
      <w:r w:rsidRPr="0085474C">
        <w:rPr>
          <w:rFonts w:ascii="Times New Roman" w:eastAsia="宋体" w:hAnsi="Times New Roman" w:cs="Times New Roman"/>
          <w:color w:val="000000"/>
          <w:kern w:val="0"/>
          <w:sz w:val="24"/>
          <w:szCs w:val="24"/>
          <w:lang w:bidi="ar"/>
        </w:rPr>
        <w:t>容易接受，</w:t>
      </w:r>
      <w:r w:rsidRPr="0085474C">
        <w:rPr>
          <w:rFonts w:ascii="Times New Roman" w:eastAsia="宋体" w:hAnsi="Times New Roman" w:cs="Times New Roman"/>
          <w:sz w:val="24"/>
          <w:szCs w:val="24"/>
        </w:rPr>
        <w:t>培养学生举一反三、触类旁通的学习能力。</w:t>
      </w:r>
    </w:p>
    <w:p w14:paraId="1098C317"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4F810DFD"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 xml:space="preserve">1. </w:t>
      </w:r>
      <w:r w:rsidRPr="0085474C">
        <w:rPr>
          <w:rFonts w:ascii="Times New Roman" w:eastAsia="宋体" w:hAnsi="Times New Roman" w:cs="Times New Roman" w:hint="eastAsia"/>
          <w:sz w:val="24"/>
          <w:szCs w:val="24"/>
        </w:rPr>
        <w:t>手性分子的判断方法；</w:t>
      </w:r>
    </w:p>
    <w:p w14:paraId="25028B70"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2. R/S</w:t>
      </w:r>
      <w:r w:rsidRPr="0085474C">
        <w:rPr>
          <w:rFonts w:ascii="Times New Roman" w:eastAsia="宋体" w:hAnsi="Times New Roman" w:cs="Times New Roman" w:hint="eastAsia"/>
          <w:sz w:val="24"/>
          <w:szCs w:val="24"/>
        </w:rPr>
        <w:t>命名法。</w:t>
      </w:r>
    </w:p>
    <w:p w14:paraId="6DAC0A12" w14:textId="77777777" w:rsidR="0085474C" w:rsidRPr="0085474C" w:rsidRDefault="0085474C" w:rsidP="0085474C">
      <w:pPr>
        <w:spacing w:beforeLines="50" w:before="156" w:afterLines="50" w:after="156" w:line="440" w:lineRule="exact"/>
        <w:jc w:val="center"/>
        <w:rPr>
          <w:rFonts w:ascii="黑体" w:eastAsia="黑体" w:hAnsi="黑体" w:cs="Times New Roman"/>
          <w:sz w:val="28"/>
          <w:szCs w:val="28"/>
        </w:rPr>
      </w:pPr>
      <w:r w:rsidRPr="0085474C">
        <w:rPr>
          <w:rFonts w:ascii="黑体" w:eastAsia="黑体" w:hAnsi="黑体" w:cs="Times New Roman" w:hint="eastAsia"/>
          <w:sz w:val="28"/>
          <w:szCs w:val="28"/>
        </w:rPr>
        <w:t>第七章  卤代烃</w:t>
      </w:r>
    </w:p>
    <w:p w14:paraId="7C0B5231"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595D132B"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认知类目标：掌握卤代烃的制备方法和性质；掌握卤代</w:t>
      </w:r>
      <w:proofErr w:type="gramStart"/>
      <w:r w:rsidRPr="0085474C">
        <w:rPr>
          <w:rFonts w:ascii="Times New Roman" w:eastAsia="宋体" w:hAnsi="Times New Roman" w:cs="Times New Roman"/>
          <w:sz w:val="24"/>
          <w:szCs w:val="24"/>
        </w:rPr>
        <w:t>烃亲核</w:t>
      </w:r>
      <w:proofErr w:type="gramEnd"/>
      <w:r w:rsidRPr="0085474C">
        <w:rPr>
          <w:rFonts w:ascii="Times New Roman" w:eastAsia="宋体" w:hAnsi="Times New Roman" w:cs="Times New Roman"/>
          <w:sz w:val="24"/>
          <w:szCs w:val="24"/>
        </w:rPr>
        <w:t>取代反应历程及影响反应活性的因素；了解卤代烃在有机合成上的重要性及其应用。</w:t>
      </w:r>
      <w:r w:rsidRPr="0085474C">
        <w:rPr>
          <w:rFonts w:ascii="Times New Roman" w:eastAsia="宋体" w:hAnsi="Times New Roman" w:cs="Times New Roman"/>
          <w:color w:val="000000"/>
          <w:sz w:val="24"/>
          <w:szCs w:val="24"/>
        </w:rPr>
        <w:t xml:space="preserve"> </w:t>
      </w:r>
    </w:p>
    <w:p w14:paraId="62B52BB7"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w:t>
      </w:r>
      <w:r w:rsidRPr="0085474C">
        <w:rPr>
          <w:rFonts w:ascii="Times New Roman" w:eastAsia="宋体" w:hAnsi="Times New Roman" w:cs="Times New Roman"/>
          <w:color w:val="000000"/>
          <w:sz w:val="24"/>
          <w:szCs w:val="24"/>
        </w:rPr>
        <w:t>能用</w:t>
      </w:r>
      <w:r w:rsidRPr="0085474C">
        <w:rPr>
          <w:rFonts w:ascii="Times New Roman" w:eastAsia="宋体" w:hAnsi="Times New Roman" w:cs="Times New Roman"/>
          <w:color w:val="000000"/>
          <w:sz w:val="24"/>
          <w:szCs w:val="24"/>
        </w:rPr>
        <w:t>S</w:t>
      </w:r>
      <w:r w:rsidRPr="0085474C">
        <w:rPr>
          <w:rFonts w:ascii="Times New Roman" w:eastAsia="宋体" w:hAnsi="Times New Roman" w:cs="Times New Roman"/>
          <w:color w:val="000000"/>
          <w:sz w:val="24"/>
          <w:szCs w:val="24"/>
          <w:vertAlign w:val="subscript"/>
        </w:rPr>
        <w:t>N</w:t>
      </w:r>
      <w:r w:rsidRPr="0085474C">
        <w:rPr>
          <w:rFonts w:ascii="Times New Roman" w:eastAsia="宋体" w:hAnsi="Times New Roman" w:cs="Times New Roman"/>
          <w:color w:val="000000"/>
          <w:sz w:val="24"/>
          <w:szCs w:val="24"/>
        </w:rPr>
        <w:t>1</w:t>
      </w:r>
      <w:r w:rsidRPr="0085474C">
        <w:rPr>
          <w:rFonts w:ascii="Times New Roman" w:eastAsia="宋体" w:hAnsi="Times New Roman" w:cs="Times New Roman"/>
          <w:color w:val="000000"/>
          <w:sz w:val="24"/>
          <w:szCs w:val="24"/>
        </w:rPr>
        <w:t>、</w:t>
      </w:r>
      <w:r w:rsidRPr="0085474C">
        <w:rPr>
          <w:rFonts w:ascii="Times New Roman" w:eastAsia="宋体" w:hAnsi="Times New Roman" w:cs="Times New Roman"/>
          <w:color w:val="000000"/>
          <w:sz w:val="24"/>
          <w:szCs w:val="24"/>
        </w:rPr>
        <w:t>S</w:t>
      </w:r>
      <w:r w:rsidRPr="0085474C">
        <w:rPr>
          <w:rFonts w:ascii="Times New Roman" w:eastAsia="宋体" w:hAnsi="Times New Roman" w:cs="Times New Roman"/>
          <w:color w:val="000000"/>
          <w:sz w:val="24"/>
          <w:szCs w:val="24"/>
          <w:vertAlign w:val="subscript"/>
        </w:rPr>
        <w:t>N</w:t>
      </w:r>
      <w:r w:rsidRPr="0085474C">
        <w:rPr>
          <w:rFonts w:ascii="Times New Roman" w:eastAsia="宋体" w:hAnsi="Times New Roman" w:cs="Times New Roman"/>
          <w:color w:val="000000"/>
          <w:sz w:val="24"/>
          <w:szCs w:val="24"/>
        </w:rPr>
        <w:t>2</w:t>
      </w:r>
      <w:r w:rsidRPr="0085474C">
        <w:rPr>
          <w:rFonts w:ascii="Times New Roman" w:eastAsia="宋体" w:hAnsi="Times New Roman" w:cs="Times New Roman"/>
          <w:color w:val="000000"/>
          <w:sz w:val="24"/>
          <w:szCs w:val="24"/>
        </w:rPr>
        <w:t>反应机理</w:t>
      </w:r>
      <w:proofErr w:type="gramStart"/>
      <w:r w:rsidRPr="0085474C">
        <w:rPr>
          <w:rFonts w:ascii="Times New Roman" w:eastAsia="宋体" w:hAnsi="Times New Roman" w:cs="Times New Roman"/>
          <w:color w:val="000000"/>
          <w:sz w:val="24"/>
          <w:szCs w:val="24"/>
        </w:rPr>
        <w:t>解释亲核</w:t>
      </w:r>
      <w:r w:rsidRPr="0085474C">
        <w:rPr>
          <w:rFonts w:ascii="Times New Roman" w:eastAsia="宋体" w:hAnsi="Times New Roman" w:cs="Times New Roman" w:hint="eastAsia"/>
          <w:color w:val="000000"/>
          <w:sz w:val="24"/>
          <w:szCs w:val="24"/>
        </w:rPr>
        <w:t>取代</w:t>
      </w:r>
      <w:proofErr w:type="gramEnd"/>
      <w:r w:rsidRPr="0085474C">
        <w:rPr>
          <w:rFonts w:ascii="Times New Roman" w:eastAsia="宋体" w:hAnsi="Times New Roman" w:cs="Times New Roman"/>
          <w:color w:val="000000"/>
          <w:sz w:val="24"/>
          <w:szCs w:val="24"/>
        </w:rPr>
        <w:t>反应的历程</w:t>
      </w:r>
      <w:r w:rsidRPr="0085474C">
        <w:rPr>
          <w:rFonts w:ascii="Times New Roman" w:eastAsia="宋体" w:hAnsi="Times New Roman" w:cs="Times New Roman" w:hint="eastAsia"/>
          <w:color w:val="000000"/>
          <w:sz w:val="24"/>
          <w:szCs w:val="24"/>
        </w:rPr>
        <w:t>，并理解</w:t>
      </w:r>
      <w:proofErr w:type="gramStart"/>
      <w:r w:rsidRPr="0085474C">
        <w:rPr>
          <w:rFonts w:ascii="Times New Roman" w:eastAsia="宋体" w:hAnsi="Times New Roman" w:cs="Times New Roman" w:hint="eastAsia"/>
          <w:color w:val="000000"/>
          <w:sz w:val="24"/>
          <w:szCs w:val="24"/>
        </w:rPr>
        <w:t>影响亲核取代</w:t>
      </w:r>
      <w:proofErr w:type="gramEnd"/>
      <w:r w:rsidRPr="0085474C">
        <w:rPr>
          <w:rFonts w:ascii="Times New Roman" w:eastAsia="宋体" w:hAnsi="Times New Roman" w:cs="Times New Roman" w:hint="eastAsia"/>
          <w:color w:val="000000"/>
          <w:sz w:val="24"/>
          <w:szCs w:val="24"/>
        </w:rPr>
        <w:t>反应的影响因素</w:t>
      </w:r>
      <w:r w:rsidRPr="0085474C">
        <w:rPr>
          <w:rFonts w:ascii="Times New Roman" w:eastAsia="宋体" w:hAnsi="Times New Roman" w:cs="Times New Roman"/>
          <w:color w:val="000000"/>
          <w:sz w:val="24"/>
          <w:szCs w:val="24"/>
        </w:rPr>
        <w:t>。</w:t>
      </w:r>
    </w:p>
    <w:p w14:paraId="5B5AF62D"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4BA30F5D"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7.1 </w:t>
      </w:r>
      <w:r w:rsidRPr="0085474C">
        <w:rPr>
          <w:rFonts w:ascii="Times New Roman" w:eastAsia="宋体" w:hAnsi="Times New Roman" w:cs="Times New Roman"/>
          <w:sz w:val="24"/>
          <w:szCs w:val="24"/>
        </w:rPr>
        <w:t>卤代烃的分类</w:t>
      </w:r>
    </w:p>
    <w:p w14:paraId="499135A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7.2</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sz w:val="24"/>
          <w:szCs w:val="24"/>
        </w:rPr>
        <w:t>卤代烃的命名</w:t>
      </w:r>
    </w:p>
    <w:p w14:paraId="62C443D3"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7.3 </w:t>
      </w:r>
      <w:r w:rsidRPr="0085474C">
        <w:rPr>
          <w:rFonts w:ascii="Times New Roman" w:eastAsia="宋体" w:hAnsi="Times New Roman" w:cs="Times New Roman"/>
          <w:sz w:val="24"/>
          <w:szCs w:val="24"/>
        </w:rPr>
        <w:t>卤代烃的制法</w:t>
      </w:r>
    </w:p>
    <w:p w14:paraId="1E6ACEA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7.4</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sz w:val="24"/>
          <w:szCs w:val="24"/>
        </w:rPr>
        <w:t>卤代烃的物理性质</w:t>
      </w:r>
    </w:p>
    <w:p w14:paraId="028747DF"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7.5 </w:t>
      </w:r>
      <w:r w:rsidRPr="0085474C">
        <w:rPr>
          <w:rFonts w:ascii="Times New Roman" w:eastAsia="宋体" w:hAnsi="Times New Roman" w:cs="Times New Roman"/>
          <w:sz w:val="24"/>
          <w:szCs w:val="24"/>
        </w:rPr>
        <w:t>卤代烷的化学性质</w:t>
      </w:r>
    </w:p>
    <w:p w14:paraId="1ADCF002"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7.6 </w:t>
      </w:r>
      <w:proofErr w:type="gramStart"/>
      <w:r w:rsidRPr="0085474C">
        <w:rPr>
          <w:rFonts w:ascii="Times New Roman" w:eastAsia="宋体" w:hAnsi="Times New Roman" w:cs="Times New Roman"/>
          <w:sz w:val="24"/>
          <w:szCs w:val="24"/>
        </w:rPr>
        <w:t>亲核取代</w:t>
      </w:r>
      <w:proofErr w:type="gramEnd"/>
      <w:r w:rsidRPr="0085474C">
        <w:rPr>
          <w:rFonts w:ascii="Times New Roman" w:eastAsia="宋体" w:hAnsi="Times New Roman" w:cs="Times New Roman"/>
          <w:sz w:val="24"/>
          <w:szCs w:val="24"/>
        </w:rPr>
        <w:t>反应机理</w:t>
      </w:r>
    </w:p>
    <w:p w14:paraId="28F046D6"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7.7 </w:t>
      </w:r>
      <w:r w:rsidRPr="0085474C">
        <w:rPr>
          <w:rFonts w:ascii="Times New Roman" w:eastAsia="宋体" w:hAnsi="Times New Roman" w:cs="Times New Roman"/>
          <w:sz w:val="24"/>
          <w:szCs w:val="24"/>
        </w:rPr>
        <w:t>消除反应的机理</w:t>
      </w:r>
    </w:p>
    <w:p w14:paraId="24DA3C83"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7.8 </w:t>
      </w:r>
      <w:proofErr w:type="gramStart"/>
      <w:r w:rsidRPr="0085474C">
        <w:rPr>
          <w:rFonts w:ascii="Times New Roman" w:eastAsia="宋体" w:hAnsi="Times New Roman" w:cs="Times New Roman"/>
          <w:sz w:val="24"/>
          <w:szCs w:val="24"/>
        </w:rPr>
        <w:t>影响亲核取代</w:t>
      </w:r>
      <w:proofErr w:type="gramEnd"/>
      <w:r w:rsidRPr="0085474C">
        <w:rPr>
          <w:rFonts w:ascii="Times New Roman" w:eastAsia="宋体" w:hAnsi="Times New Roman" w:cs="Times New Roman"/>
          <w:sz w:val="24"/>
          <w:szCs w:val="24"/>
        </w:rPr>
        <w:t>反应和消除反应的因素</w:t>
      </w:r>
    </w:p>
    <w:p w14:paraId="63502CFA"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7.9</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sz w:val="24"/>
          <w:szCs w:val="24"/>
        </w:rPr>
        <w:t>卤代烯烃和卤代芳烃的化学性质</w:t>
      </w:r>
    </w:p>
    <w:p w14:paraId="15DA664A"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7692D4D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卤代烃的化学性质及制备方法；</w:t>
      </w:r>
    </w:p>
    <w:p w14:paraId="79FBF92B" w14:textId="77777777" w:rsidR="0085474C" w:rsidRPr="0085474C" w:rsidRDefault="0085474C" w:rsidP="0085474C">
      <w:pPr>
        <w:spacing w:line="440" w:lineRule="exact"/>
        <w:ind w:left="480"/>
        <w:rPr>
          <w:rFonts w:ascii="Times New Roman" w:eastAsia="宋体" w:hAnsi="Times New Roman" w:cs="Times New Roman"/>
          <w:sz w:val="24"/>
          <w:szCs w:val="24"/>
        </w:rPr>
      </w:pPr>
      <w:r w:rsidRPr="0085474C">
        <w:rPr>
          <w:rFonts w:ascii="Times New Roman" w:eastAsia="宋体" w:hAnsi="Times New Roman" w:cs="Times New Roman"/>
          <w:sz w:val="24"/>
          <w:szCs w:val="24"/>
        </w:rPr>
        <w:t>2. S</w:t>
      </w:r>
      <w:r w:rsidRPr="0085474C">
        <w:rPr>
          <w:rFonts w:ascii="Times New Roman" w:eastAsia="宋体" w:hAnsi="Times New Roman" w:cs="Times New Roman"/>
          <w:sz w:val="24"/>
          <w:szCs w:val="24"/>
          <w:vertAlign w:val="subscript"/>
        </w:rPr>
        <w:t>N</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S</w:t>
      </w:r>
      <w:r w:rsidRPr="0085474C">
        <w:rPr>
          <w:rFonts w:ascii="Times New Roman" w:eastAsia="宋体" w:hAnsi="Times New Roman" w:cs="Times New Roman"/>
          <w:sz w:val="24"/>
          <w:szCs w:val="24"/>
          <w:vertAlign w:val="subscript"/>
        </w:rPr>
        <w:t>N</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反应历程、立体化学及其影响因素；</w:t>
      </w:r>
    </w:p>
    <w:p w14:paraId="5292E852" w14:textId="77777777" w:rsidR="0085474C" w:rsidRPr="0085474C" w:rsidRDefault="0085474C" w:rsidP="0085474C">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3. Grignard</w:t>
      </w:r>
      <w:r w:rsidRPr="0085474C">
        <w:rPr>
          <w:rFonts w:ascii="Times New Roman" w:eastAsia="宋体" w:hAnsi="Times New Roman" w:cs="Times New Roman"/>
          <w:sz w:val="24"/>
          <w:szCs w:val="24"/>
        </w:rPr>
        <w:t>试剂及其在有机合成上的应用。</w:t>
      </w:r>
    </w:p>
    <w:p w14:paraId="68E77BCF"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1385B53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 S</w:t>
      </w:r>
      <w:r w:rsidRPr="0085474C">
        <w:rPr>
          <w:rFonts w:ascii="Times New Roman" w:eastAsia="宋体" w:hAnsi="Times New Roman" w:cs="Times New Roman"/>
          <w:sz w:val="24"/>
          <w:szCs w:val="24"/>
          <w:vertAlign w:val="subscript"/>
        </w:rPr>
        <w:t>N</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S</w:t>
      </w:r>
      <w:r w:rsidRPr="0085474C">
        <w:rPr>
          <w:rFonts w:ascii="Times New Roman" w:eastAsia="宋体" w:hAnsi="Times New Roman" w:cs="Times New Roman"/>
          <w:sz w:val="24"/>
          <w:szCs w:val="24"/>
          <w:vertAlign w:val="subscript"/>
        </w:rPr>
        <w:t>N</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反应历程</w:t>
      </w:r>
      <w:r w:rsidRPr="0085474C">
        <w:rPr>
          <w:rFonts w:ascii="Times New Roman" w:eastAsia="宋体" w:hAnsi="Times New Roman" w:cs="Times New Roman"/>
          <w:color w:val="000000"/>
          <w:sz w:val="24"/>
          <w:szCs w:val="24"/>
        </w:rPr>
        <w:t>；</w:t>
      </w:r>
    </w:p>
    <w:p w14:paraId="0B8643AC"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立体化学及其影响因素。</w:t>
      </w:r>
    </w:p>
    <w:p w14:paraId="38DEC98B"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55E6ABD7"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1. </w:t>
      </w:r>
      <w:r w:rsidRPr="0085474C">
        <w:rPr>
          <w:rFonts w:ascii="Times New Roman" w:eastAsia="宋体" w:hAnsi="Times New Roman" w:cs="Times New Roman"/>
          <w:sz w:val="24"/>
          <w:szCs w:val="24"/>
        </w:rPr>
        <w:t>通过多媒体课件和传统教学相结合，阐明基础知识，丰富课堂教学，促进学生对知识的理解和记忆；</w:t>
      </w:r>
    </w:p>
    <w:p w14:paraId="0D5B48DA"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2. </w:t>
      </w:r>
      <w:r w:rsidRPr="0085474C">
        <w:rPr>
          <w:rFonts w:ascii="Times New Roman" w:eastAsia="宋体" w:hAnsi="Times New Roman" w:cs="Times New Roman"/>
          <w:sz w:val="24"/>
          <w:szCs w:val="24"/>
        </w:rPr>
        <w:t>采用以问题为导向的探究式教学法，通过问题聚焦，让学生自行查阅资料，同学相互交流，教师适时点拨，学生独立完成</w:t>
      </w:r>
      <w:r w:rsidRPr="0085474C">
        <w:rPr>
          <w:rFonts w:ascii="Times New Roman" w:eastAsia="宋体" w:hAnsi="Times New Roman" w:cs="Times New Roman"/>
          <w:color w:val="000000"/>
          <w:sz w:val="24"/>
          <w:szCs w:val="24"/>
        </w:rPr>
        <w:t>课程论文等形</w:t>
      </w:r>
      <w:r w:rsidRPr="0085474C">
        <w:rPr>
          <w:rFonts w:ascii="Times New Roman" w:eastAsia="宋体" w:hAnsi="Times New Roman" w:cs="Times New Roman"/>
          <w:sz w:val="24"/>
          <w:szCs w:val="24"/>
        </w:rPr>
        <w:t>式，进一步理解与掌握相关的理论知识，培养学生分析问题、解决问题的能力。</w:t>
      </w:r>
    </w:p>
    <w:p w14:paraId="02067C56"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4DDC9801"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proofErr w:type="gramStart"/>
      <w:r w:rsidRPr="0085474C">
        <w:rPr>
          <w:rFonts w:ascii="Times New Roman" w:eastAsia="宋体" w:hAnsi="Times New Roman" w:cs="Times New Roman"/>
          <w:sz w:val="24"/>
          <w:szCs w:val="24"/>
        </w:rPr>
        <w:t>亲核取代</w:t>
      </w:r>
      <w:proofErr w:type="gramEnd"/>
      <w:r w:rsidRPr="0085474C">
        <w:rPr>
          <w:rFonts w:ascii="Times New Roman" w:eastAsia="宋体" w:hAnsi="Times New Roman" w:cs="Times New Roman"/>
          <w:sz w:val="24"/>
          <w:szCs w:val="24"/>
        </w:rPr>
        <w:t>S</w:t>
      </w:r>
      <w:r w:rsidRPr="0085474C">
        <w:rPr>
          <w:rFonts w:ascii="Times New Roman" w:eastAsia="宋体" w:hAnsi="Times New Roman" w:cs="Times New Roman"/>
          <w:sz w:val="24"/>
          <w:szCs w:val="24"/>
          <w:vertAlign w:val="subscript"/>
        </w:rPr>
        <w:t>N</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和</w:t>
      </w:r>
      <w:r w:rsidRPr="0085474C">
        <w:rPr>
          <w:rFonts w:ascii="Times New Roman" w:eastAsia="宋体" w:hAnsi="Times New Roman" w:cs="Times New Roman"/>
          <w:sz w:val="24"/>
          <w:szCs w:val="24"/>
        </w:rPr>
        <w:t>S</w:t>
      </w:r>
      <w:r w:rsidRPr="0085474C">
        <w:rPr>
          <w:rFonts w:ascii="Times New Roman" w:eastAsia="宋体" w:hAnsi="Times New Roman" w:cs="Times New Roman"/>
          <w:sz w:val="24"/>
          <w:szCs w:val="24"/>
          <w:vertAlign w:val="subscript"/>
        </w:rPr>
        <w:t>N</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反应的影响因素；</w:t>
      </w:r>
    </w:p>
    <w:p w14:paraId="22C03103"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消除反应的</w:t>
      </w:r>
      <w:r w:rsidRPr="0085474C">
        <w:rPr>
          <w:rFonts w:ascii="Times New Roman" w:eastAsia="宋体" w:hAnsi="Times New Roman" w:cs="Times New Roman"/>
          <w:sz w:val="24"/>
          <w:szCs w:val="24"/>
        </w:rPr>
        <w:t>E1</w:t>
      </w:r>
      <w:r w:rsidRPr="0085474C">
        <w:rPr>
          <w:rFonts w:ascii="Times New Roman" w:eastAsia="宋体" w:hAnsi="Times New Roman" w:cs="Times New Roman"/>
          <w:sz w:val="24"/>
          <w:szCs w:val="24"/>
        </w:rPr>
        <w:t>和</w:t>
      </w:r>
      <w:r w:rsidRPr="0085474C">
        <w:rPr>
          <w:rFonts w:ascii="Times New Roman" w:eastAsia="宋体" w:hAnsi="Times New Roman" w:cs="Times New Roman"/>
          <w:sz w:val="24"/>
          <w:szCs w:val="24"/>
        </w:rPr>
        <w:t>E2</w:t>
      </w:r>
      <w:r w:rsidRPr="0085474C">
        <w:rPr>
          <w:rFonts w:ascii="Times New Roman" w:eastAsia="宋体" w:hAnsi="Times New Roman" w:cs="Times New Roman"/>
          <w:sz w:val="24"/>
          <w:szCs w:val="24"/>
        </w:rPr>
        <w:t>的影响因素；</w:t>
      </w:r>
    </w:p>
    <w:p w14:paraId="422517F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卤代烯烃和卤代芳烃的化学性质。</w:t>
      </w:r>
    </w:p>
    <w:p w14:paraId="2415D47F" w14:textId="77777777" w:rsidR="0085474C" w:rsidRPr="0085474C" w:rsidRDefault="0085474C" w:rsidP="0085474C">
      <w:pPr>
        <w:spacing w:beforeLines="50" w:before="156" w:afterLines="50" w:after="156" w:line="440" w:lineRule="exact"/>
        <w:ind w:firstLineChars="200" w:firstLine="560"/>
        <w:jc w:val="center"/>
        <w:rPr>
          <w:rFonts w:ascii="黑体" w:eastAsia="黑体" w:hAnsi="黑体" w:cs="Times New Roman"/>
          <w:sz w:val="28"/>
          <w:szCs w:val="28"/>
        </w:rPr>
      </w:pPr>
      <w:r w:rsidRPr="0085474C">
        <w:rPr>
          <w:rFonts w:ascii="黑体" w:eastAsia="黑体" w:hAnsi="黑体" w:cs="Times New Roman" w:hint="eastAsia"/>
          <w:sz w:val="28"/>
          <w:szCs w:val="28"/>
        </w:rPr>
        <w:t>第九章  醇和</w:t>
      </w:r>
      <w:proofErr w:type="gramStart"/>
      <w:r w:rsidRPr="0085474C">
        <w:rPr>
          <w:rFonts w:ascii="黑体" w:eastAsia="黑体" w:hAnsi="黑体" w:cs="Times New Roman" w:hint="eastAsia"/>
          <w:sz w:val="28"/>
          <w:szCs w:val="28"/>
        </w:rPr>
        <w:t>酚</w:t>
      </w:r>
      <w:proofErr w:type="gramEnd"/>
    </w:p>
    <w:p w14:paraId="7485DD95"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4E9287FA"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认知类目标：掌握醇</w:t>
      </w:r>
      <w:r w:rsidRPr="0085474C">
        <w:rPr>
          <w:rFonts w:ascii="Times New Roman" w:eastAsia="宋体" w:hAnsi="Times New Roman" w:cs="Times New Roman" w:hint="eastAsia"/>
          <w:sz w:val="24"/>
          <w:szCs w:val="24"/>
        </w:rPr>
        <w:t>和</w:t>
      </w:r>
      <w:proofErr w:type="gramStart"/>
      <w:r w:rsidRPr="0085474C">
        <w:rPr>
          <w:rFonts w:ascii="Times New Roman" w:eastAsia="宋体" w:hAnsi="Times New Roman" w:cs="Times New Roman"/>
          <w:sz w:val="24"/>
          <w:szCs w:val="24"/>
        </w:rPr>
        <w:t>酚</w:t>
      </w:r>
      <w:proofErr w:type="gramEnd"/>
      <w:r w:rsidRPr="0085474C">
        <w:rPr>
          <w:rFonts w:ascii="Times New Roman" w:eastAsia="宋体" w:hAnsi="Times New Roman" w:cs="Times New Roman"/>
          <w:sz w:val="24"/>
          <w:szCs w:val="24"/>
        </w:rPr>
        <w:t>的结构特点、制备方法和主要化学性质；掌握</w:t>
      </w:r>
      <w:proofErr w:type="gramStart"/>
      <w:r w:rsidRPr="0085474C">
        <w:rPr>
          <w:rFonts w:ascii="Times New Roman" w:eastAsia="宋体" w:hAnsi="Times New Roman" w:cs="Times New Roman"/>
          <w:sz w:val="24"/>
          <w:szCs w:val="24"/>
        </w:rPr>
        <w:t>醇</w:t>
      </w:r>
      <w:proofErr w:type="gramEnd"/>
      <w:r w:rsidRPr="0085474C">
        <w:rPr>
          <w:rFonts w:ascii="Times New Roman" w:eastAsia="宋体" w:hAnsi="Times New Roman" w:cs="Times New Roman"/>
          <w:sz w:val="24"/>
          <w:szCs w:val="24"/>
        </w:rPr>
        <w:t>脱水反应的历程、取向与</w:t>
      </w:r>
      <w:r w:rsidRPr="0085474C">
        <w:rPr>
          <w:rFonts w:ascii="Times New Roman" w:eastAsia="宋体" w:hAnsi="Times New Roman" w:cs="Times New Roman" w:hint="eastAsia"/>
          <w:sz w:val="24"/>
          <w:szCs w:val="24"/>
        </w:rPr>
        <w:t>竞</w:t>
      </w:r>
      <w:r w:rsidRPr="0085474C">
        <w:rPr>
          <w:rFonts w:ascii="Times New Roman" w:eastAsia="宋体" w:hAnsi="Times New Roman" w:cs="Times New Roman"/>
          <w:sz w:val="24"/>
          <w:szCs w:val="24"/>
        </w:rPr>
        <w:t>争反应等概念；了解酚类的酸性和显色反应。</w:t>
      </w:r>
    </w:p>
    <w:p w14:paraId="66775C8E"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w:t>
      </w:r>
      <w:r w:rsidRPr="0085474C">
        <w:rPr>
          <w:rFonts w:ascii="Times New Roman" w:eastAsia="宋体" w:hAnsi="Times New Roman" w:cs="Times New Roman" w:hint="eastAsia"/>
          <w:sz w:val="24"/>
          <w:szCs w:val="24"/>
        </w:rPr>
        <w:t>能用</w:t>
      </w:r>
      <w:r w:rsidRPr="0085474C">
        <w:rPr>
          <w:rFonts w:ascii="Times New Roman" w:eastAsia="宋体" w:hAnsi="Times New Roman" w:cs="Times New Roman" w:hint="eastAsia"/>
          <w:sz w:val="24"/>
          <w:szCs w:val="24"/>
        </w:rPr>
        <w:t>p-</w:t>
      </w:r>
      <w:r w:rsidRPr="0085474C">
        <w:rPr>
          <w:rFonts w:ascii="Times New Roman" w:eastAsia="宋体" w:hAnsi="Times New Roman" w:cs="Times New Roman"/>
          <w:sz w:val="24"/>
          <w:szCs w:val="24"/>
        </w:rPr>
        <w:t>π</w:t>
      </w:r>
      <w:r w:rsidRPr="0085474C">
        <w:rPr>
          <w:rFonts w:ascii="Times New Roman" w:eastAsia="宋体" w:hAnsi="Times New Roman" w:cs="Times New Roman" w:hint="eastAsia"/>
          <w:sz w:val="24"/>
          <w:szCs w:val="24"/>
        </w:rPr>
        <w:t>共轭解释</w:t>
      </w:r>
      <w:proofErr w:type="gramStart"/>
      <w:r w:rsidRPr="0085474C">
        <w:rPr>
          <w:rFonts w:ascii="Times New Roman" w:eastAsia="宋体" w:hAnsi="Times New Roman" w:cs="Times New Roman" w:hint="eastAsia"/>
          <w:sz w:val="24"/>
          <w:szCs w:val="24"/>
        </w:rPr>
        <w:t>酚</w:t>
      </w:r>
      <w:proofErr w:type="gramEnd"/>
      <w:r w:rsidRPr="0085474C">
        <w:rPr>
          <w:rFonts w:ascii="Times New Roman" w:eastAsia="宋体" w:hAnsi="Times New Roman" w:cs="Times New Roman" w:hint="eastAsia"/>
          <w:sz w:val="24"/>
          <w:szCs w:val="24"/>
        </w:rPr>
        <w:t>和</w:t>
      </w:r>
      <w:proofErr w:type="gramStart"/>
      <w:r w:rsidRPr="0085474C">
        <w:rPr>
          <w:rFonts w:ascii="Times New Roman" w:eastAsia="宋体" w:hAnsi="Times New Roman" w:cs="Times New Roman" w:hint="eastAsia"/>
          <w:sz w:val="24"/>
          <w:szCs w:val="24"/>
        </w:rPr>
        <w:t>醇化学性质</w:t>
      </w:r>
      <w:proofErr w:type="gramEnd"/>
      <w:r w:rsidRPr="0085474C">
        <w:rPr>
          <w:rFonts w:ascii="Times New Roman" w:eastAsia="宋体" w:hAnsi="Times New Roman" w:cs="Times New Roman" w:hint="eastAsia"/>
          <w:sz w:val="24"/>
          <w:szCs w:val="24"/>
        </w:rPr>
        <w:t>的差异，进一步</w:t>
      </w:r>
      <w:r w:rsidRPr="0085474C">
        <w:rPr>
          <w:rFonts w:ascii="Times New Roman" w:eastAsia="宋体" w:hAnsi="Times New Roman" w:cs="Times New Roman"/>
          <w:sz w:val="24"/>
          <w:szCs w:val="24"/>
        </w:rPr>
        <w:t>培养学生</w:t>
      </w:r>
      <w:r w:rsidRPr="0085474C">
        <w:rPr>
          <w:rFonts w:ascii="Times New Roman" w:eastAsia="宋体" w:hAnsi="Times New Roman" w:cs="Times New Roman" w:hint="eastAsia"/>
          <w:sz w:val="24"/>
          <w:szCs w:val="24"/>
        </w:rPr>
        <w:t>建立</w:t>
      </w:r>
      <w:r w:rsidRPr="0085474C">
        <w:rPr>
          <w:rFonts w:ascii="Times New Roman" w:eastAsia="宋体" w:hAnsi="Times New Roman" w:cs="Times New Roman"/>
          <w:color w:val="000000"/>
          <w:sz w:val="24"/>
          <w:szCs w:val="24"/>
        </w:rPr>
        <w:t>有机化学</w:t>
      </w:r>
      <w:r w:rsidRPr="0085474C">
        <w:rPr>
          <w:rFonts w:ascii="Times New Roman" w:eastAsia="宋体" w:hAnsi="Times New Roman" w:cs="Times New Roman" w:hint="eastAsia"/>
          <w:color w:val="000000"/>
          <w:sz w:val="24"/>
          <w:szCs w:val="24"/>
        </w:rPr>
        <w:t>中</w:t>
      </w:r>
      <w:r w:rsidRPr="0085474C">
        <w:rPr>
          <w:rFonts w:ascii="Times New Roman" w:eastAsia="宋体" w:hAnsi="Times New Roman" w:cs="Times New Roman"/>
          <w:color w:val="000000"/>
          <w:sz w:val="24"/>
          <w:szCs w:val="24"/>
        </w:rPr>
        <w:t>“</w:t>
      </w:r>
      <w:r w:rsidRPr="0085474C">
        <w:rPr>
          <w:rFonts w:ascii="Times New Roman" w:eastAsia="宋体" w:hAnsi="Times New Roman" w:cs="Times New Roman" w:hint="eastAsia"/>
          <w:color w:val="000000"/>
          <w:sz w:val="24"/>
          <w:szCs w:val="24"/>
        </w:rPr>
        <w:t>结构决定性质</w:t>
      </w:r>
      <w:r w:rsidRPr="0085474C">
        <w:rPr>
          <w:rFonts w:ascii="Times New Roman" w:eastAsia="宋体" w:hAnsi="Times New Roman" w:cs="Times New Roman"/>
          <w:color w:val="000000"/>
          <w:sz w:val="24"/>
          <w:szCs w:val="24"/>
        </w:rPr>
        <w:t>”</w:t>
      </w:r>
      <w:r w:rsidRPr="0085474C">
        <w:rPr>
          <w:rFonts w:ascii="Times New Roman" w:eastAsia="宋体" w:hAnsi="Times New Roman" w:cs="Times New Roman"/>
          <w:color w:val="000000"/>
          <w:sz w:val="24"/>
          <w:szCs w:val="24"/>
        </w:rPr>
        <w:t>的</w:t>
      </w:r>
      <w:r w:rsidRPr="0085474C">
        <w:rPr>
          <w:rFonts w:ascii="Times New Roman" w:eastAsia="宋体" w:hAnsi="Times New Roman" w:cs="Times New Roman" w:hint="eastAsia"/>
          <w:color w:val="000000"/>
          <w:sz w:val="24"/>
          <w:szCs w:val="24"/>
        </w:rPr>
        <w:t>逻辑思维能力与素养</w:t>
      </w:r>
      <w:r w:rsidRPr="0085474C">
        <w:rPr>
          <w:rFonts w:ascii="Times New Roman" w:eastAsia="宋体" w:hAnsi="Times New Roman" w:cs="Times New Roman"/>
          <w:color w:val="000000"/>
          <w:sz w:val="24"/>
          <w:szCs w:val="24"/>
        </w:rPr>
        <w:t>。</w:t>
      </w:r>
    </w:p>
    <w:p w14:paraId="0C26B28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 xml:space="preserve">3. </w:t>
      </w:r>
      <w:r w:rsidRPr="0085474C">
        <w:rPr>
          <w:rFonts w:ascii="Times New Roman" w:eastAsia="宋体" w:hAnsi="Times New Roman" w:cs="Times New Roman"/>
          <w:sz w:val="24"/>
          <w:szCs w:val="24"/>
        </w:rPr>
        <w:t>情感、态度、价值观类目标：</w:t>
      </w:r>
      <w:r w:rsidRPr="0085474C">
        <w:rPr>
          <w:rFonts w:ascii="Times New Roman" w:eastAsia="宋体" w:hAnsi="Times New Roman" w:cs="Times New Roman" w:hint="eastAsia"/>
          <w:sz w:val="24"/>
          <w:szCs w:val="24"/>
        </w:rPr>
        <w:t>通过对乙醇的介绍，结合中国传统酒文化，增强学生的文化自信。</w:t>
      </w:r>
    </w:p>
    <w:p w14:paraId="439B4041"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35FCD056"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9.1 </w:t>
      </w:r>
      <w:r w:rsidRPr="0085474C">
        <w:rPr>
          <w:rFonts w:ascii="Times New Roman" w:eastAsia="宋体" w:hAnsi="Times New Roman" w:cs="Times New Roman"/>
          <w:sz w:val="24"/>
          <w:szCs w:val="24"/>
        </w:rPr>
        <w:t>醇和</w:t>
      </w:r>
      <w:proofErr w:type="gramStart"/>
      <w:r w:rsidRPr="0085474C">
        <w:rPr>
          <w:rFonts w:ascii="Times New Roman" w:eastAsia="宋体" w:hAnsi="Times New Roman" w:cs="Times New Roman"/>
          <w:sz w:val="24"/>
          <w:szCs w:val="24"/>
        </w:rPr>
        <w:t>酚</w:t>
      </w:r>
      <w:proofErr w:type="gramEnd"/>
      <w:r w:rsidRPr="0085474C">
        <w:rPr>
          <w:rFonts w:ascii="Times New Roman" w:eastAsia="宋体" w:hAnsi="Times New Roman" w:cs="Times New Roman"/>
          <w:sz w:val="24"/>
          <w:szCs w:val="24"/>
        </w:rPr>
        <w:t>的分类和命名</w:t>
      </w:r>
    </w:p>
    <w:p w14:paraId="3ED13B19"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9.2 </w:t>
      </w:r>
      <w:r w:rsidRPr="0085474C">
        <w:rPr>
          <w:rFonts w:ascii="Times New Roman" w:eastAsia="宋体" w:hAnsi="Times New Roman" w:cs="Times New Roman"/>
          <w:sz w:val="24"/>
          <w:szCs w:val="24"/>
        </w:rPr>
        <w:t>醇和</w:t>
      </w:r>
      <w:proofErr w:type="gramStart"/>
      <w:r w:rsidRPr="0085474C">
        <w:rPr>
          <w:rFonts w:ascii="Times New Roman" w:eastAsia="宋体" w:hAnsi="Times New Roman" w:cs="Times New Roman"/>
          <w:sz w:val="24"/>
          <w:szCs w:val="24"/>
        </w:rPr>
        <w:t>酚</w:t>
      </w:r>
      <w:proofErr w:type="gramEnd"/>
      <w:r w:rsidRPr="0085474C">
        <w:rPr>
          <w:rFonts w:ascii="Times New Roman" w:eastAsia="宋体" w:hAnsi="Times New Roman" w:cs="Times New Roman"/>
          <w:sz w:val="24"/>
          <w:szCs w:val="24"/>
        </w:rPr>
        <w:t>的结构</w:t>
      </w:r>
    </w:p>
    <w:p w14:paraId="7BD50F56"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9.3 </w:t>
      </w:r>
      <w:r w:rsidRPr="0085474C">
        <w:rPr>
          <w:rFonts w:ascii="Times New Roman" w:eastAsia="宋体" w:hAnsi="Times New Roman" w:cs="Times New Roman"/>
          <w:sz w:val="24"/>
          <w:szCs w:val="24"/>
        </w:rPr>
        <w:t>醇和</w:t>
      </w:r>
      <w:proofErr w:type="gramStart"/>
      <w:r w:rsidRPr="0085474C">
        <w:rPr>
          <w:rFonts w:ascii="Times New Roman" w:eastAsia="宋体" w:hAnsi="Times New Roman" w:cs="Times New Roman"/>
          <w:sz w:val="24"/>
          <w:szCs w:val="24"/>
        </w:rPr>
        <w:t>酚</w:t>
      </w:r>
      <w:proofErr w:type="gramEnd"/>
      <w:r w:rsidRPr="0085474C">
        <w:rPr>
          <w:rFonts w:ascii="Times New Roman" w:eastAsia="宋体" w:hAnsi="Times New Roman" w:cs="Times New Roman"/>
          <w:sz w:val="24"/>
          <w:szCs w:val="24"/>
        </w:rPr>
        <w:t>的制法</w:t>
      </w:r>
    </w:p>
    <w:p w14:paraId="37BA4D9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9.4 </w:t>
      </w:r>
      <w:r w:rsidRPr="0085474C">
        <w:rPr>
          <w:rFonts w:ascii="Times New Roman" w:eastAsia="宋体" w:hAnsi="Times New Roman" w:cs="Times New Roman"/>
          <w:sz w:val="24"/>
          <w:szCs w:val="24"/>
        </w:rPr>
        <w:t>醇和</w:t>
      </w:r>
      <w:proofErr w:type="gramStart"/>
      <w:r w:rsidRPr="0085474C">
        <w:rPr>
          <w:rFonts w:ascii="Times New Roman" w:eastAsia="宋体" w:hAnsi="Times New Roman" w:cs="Times New Roman"/>
          <w:sz w:val="24"/>
          <w:szCs w:val="24"/>
        </w:rPr>
        <w:t>酚</w:t>
      </w:r>
      <w:proofErr w:type="gramEnd"/>
      <w:r w:rsidRPr="0085474C">
        <w:rPr>
          <w:rFonts w:ascii="Times New Roman" w:eastAsia="宋体" w:hAnsi="Times New Roman" w:cs="Times New Roman"/>
          <w:sz w:val="24"/>
          <w:szCs w:val="24"/>
        </w:rPr>
        <w:t>的物理性质</w:t>
      </w:r>
    </w:p>
    <w:p w14:paraId="013FF46D"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 xml:space="preserve">9.5 </w:t>
      </w:r>
      <w:r w:rsidRPr="0085474C">
        <w:rPr>
          <w:rFonts w:ascii="Times New Roman" w:eastAsia="宋体" w:hAnsi="Times New Roman" w:cs="Times New Roman"/>
          <w:sz w:val="24"/>
          <w:szCs w:val="24"/>
        </w:rPr>
        <w:t>醇的化学性质</w:t>
      </w:r>
    </w:p>
    <w:p w14:paraId="0D90A72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9.6</w:t>
      </w:r>
      <w:r w:rsidRPr="0085474C">
        <w:rPr>
          <w:rFonts w:ascii="Times New Roman" w:eastAsia="宋体" w:hAnsi="Times New Roman" w:cs="Times New Roman" w:hint="eastAsia"/>
          <w:sz w:val="24"/>
          <w:szCs w:val="24"/>
        </w:rPr>
        <w:t xml:space="preserve"> </w:t>
      </w:r>
      <w:proofErr w:type="gramStart"/>
      <w:r w:rsidRPr="0085474C">
        <w:rPr>
          <w:rFonts w:ascii="Times New Roman" w:eastAsia="宋体" w:hAnsi="Times New Roman" w:cs="Times New Roman"/>
          <w:sz w:val="24"/>
          <w:szCs w:val="24"/>
        </w:rPr>
        <w:t>酚</w:t>
      </w:r>
      <w:proofErr w:type="gramEnd"/>
      <w:r w:rsidRPr="0085474C">
        <w:rPr>
          <w:rFonts w:ascii="Times New Roman" w:eastAsia="宋体" w:hAnsi="Times New Roman" w:cs="Times New Roman"/>
          <w:sz w:val="24"/>
          <w:szCs w:val="24"/>
        </w:rPr>
        <w:t>的化学性质</w:t>
      </w:r>
    </w:p>
    <w:p w14:paraId="01696DCC"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44A5D5EE"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醇</w:t>
      </w:r>
      <w:r w:rsidRPr="0085474C">
        <w:rPr>
          <w:rFonts w:ascii="Times New Roman" w:eastAsia="宋体" w:hAnsi="Times New Roman" w:cs="Times New Roman" w:hint="eastAsia"/>
          <w:sz w:val="24"/>
          <w:szCs w:val="24"/>
        </w:rPr>
        <w:t>和</w:t>
      </w:r>
      <w:proofErr w:type="gramStart"/>
      <w:r w:rsidRPr="0085474C">
        <w:rPr>
          <w:rFonts w:ascii="Times New Roman" w:eastAsia="宋体" w:hAnsi="Times New Roman" w:cs="Times New Roman"/>
          <w:sz w:val="24"/>
          <w:szCs w:val="24"/>
        </w:rPr>
        <w:t>酚</w:t>
      </w:r>
      <w:proofErr w:type="gramEnd"/>
      <w:r w:rsidRPr="0085474C">
        <w:rPr>
          <w:rFonts w:ascii="Times New Roman" w:eastAsia="宋体" w:hAnsi="Times New Roman" w:cs="Times New Roman" w:hint="eastAsia"/>
          <w:sz w:val="24"/>
          <w:szCs w:val="24"/>
        </w:rPr>
        <w:t>的结构和</w:t>
      </w:r>
      <w:r w:rsidRPr="0085474C">
        <w:rPr>
          <w:rFonts w:ascii="Times New Roman" w:eastAsia="宋体" w:hAnsi="Times New Roman" w:cs="Times New Roman"/>
          <w:sz w:val="24"/>
          <w:szCs w:val="24"/>
        </w:rPr>
        <w:t>化学性质</w:t>
      </w:r>
      <w:r w:rsidRPr="0085474C">
        <w:rPr>
          <w:rFonts w:ascii="Times New Roman" w:eastAsia="宋体" w:hAnsi="Times New Roman" w:cs="Times New Roman" w:hint="eastAsia"/>
          <w:sz w:val="24"/>
          <w:szCs w:val="24"/>
        </w:rPr>
        <w:t>。</w:t>
      </w:r>
    </w:p>
    <w:p w14:paraId="290CF11B"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708A53C6"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醇</w:t>
      </w:r>
      <w:r w:rsidRPr="0085474C">
        <w:rPr>
          <w:rFonts w:ascii="Times New Roman" w:eastAsia="宋体" w:hAnsi="Times New Roman" w:cs="Times New Roman" w:hint="eastAsia"/>
          <w:sz w:val="24"/>
          <w:szCs w:val="24"/>
        </w:rPr>
        <w:t>和</w:t>
      </w:r>
      <w:proofErr w:type="gramStart"/>
      <w:r w:rsidRPr="0085474C">
        <w:rPr>
          <w:rFonts w:ascii="Times New Roman" w:eastAsia="宋体" w:hAnsi="Times New Roman" w:cs="Times New Roman"/>
          <w:sz w:val="24"/>
          <w:szCs w:val="24"/>
        </w:rPr>
        <w:t>酚</w:t>
      </w:r>
      <w:proofErr w:type="gramEnd"/>
      <w:r w:rsidRPr="0085474C">
        <w:rPr>
          <w:rFonts w:ascii="Times New Roman" w:eastAsia="宋体" w:hAnsi="Times New Roman" w:cs="Times New Roman" w:hint="eastAsia"/>
          <w:sz w:val="24"/>
          <w:szCs w:val="24"/>
        </w:rPr>
        <w:t>的结构和</w:t>
      </w:r>
      <w:r w:rsidRPr="0085474C">
        <w:rPr>
          <w:rFonts w:ascii="Times New Roman" w:eastAsia="宋体" w:hAnsi="Times New Roman" w:cs="Times New Roman"/>
          <w:sz w:val="24"/>
          <w:szCs w:val="24"/>
        </w:rPr>
        <w:t>化学性质</w:t>
      </w:r>
      <w:r w:rsidRPr="0085474C">
        <w:rPr>
          <w:rFonts w:ascii="Times New Roman" w:eastAsia="宋体" w:hAnsi="Times New Roman" w:cs="Times New Roman" w:hint="eastAsia"/>
          <w:sz w:val="24"/>
          <w:szCs w:val="24"/>
        </w:rPr>
        <w:t>。</w:t>
      </w:r>
    </w:p>
    <w:p w14:paraId="05BCD143"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37B4B46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1. </w:t>
      </w:r>
      <w:r w:rsidRPr="0085474C">
        <w:rPr>
          <w:rFonts w:ascii="Times New Roman" w:eastAsia="宋体" w:hAnsi="Times New Roman" w:cs="Times New Roman"/>
          <w:sz w:val="24"/>
          <w:szCs w:val="24"/>
        </w:rPr>
        <w:t>通过多媒体课件和传统教学相结合，阐明基础知识，丰富课堂教学，促进学生对知识的理解和记忆；</w:t>
      </w:r>
    </w:p>
    <w:p w14:paraId="2A79D50C"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2. </w:t>
      </w:r>
      <w:r w:rsidRPr="0085474C">
        <w:rPr>
          <w:rFonts w:ascii="Times New Roman" w:eastAsia="宋体" w:hAnsi="Times New Roman" w:cs="Times New Roman"/>
          <w:sz w:val="24"/>
          <w:szCs w:val="24"/>
        </w:rPr>
        <w:t>采用以问题为导向的探究式教学法，通过问题聚焦，让学生自行查阅资料，同学相互交流，教师适时点拨等形式，进一步理解与掌握相关的理论知识，培养学生分析问题、解决问题的能力。</w:t>
      </w:r>
    </w:p>
    <w:p w14:paraId="1EEEE9FB"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4E92F3A3"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醇、</w:t>
      </w:r>
      <w:proofErr w:type="gramStart"/>
      <w:r w:rsidRPr="0085474C">
        <w:rPr>
          <w:rFonts w:ascii="Times New Roman" w:eastAsia="宋体" w:hAnsi="Times New Roman" w:cs="Times New Roman"/>
          <w:sz w:val="24"/>
          <w:szCs w:val="24"/>
        </w:rPr>
        <w:t>酚</w:t>
      </w:r>
      <w:proofErr w:type="gramEnd"/>
      <w:r w:rsidRPr="0085474C">
        <w:rPr>
          <w:rFonts w:ascii="Times New Roman" w:eastAsia="宋体" w:hAnsi="Times New Roman" w:cs="Times New Roman"/>
          <w:sz w:val="24"/>
          <w:szCs w:val="24"/>
        </w:rPr>
        <w:t>的结构和</w:t>
      </w:r>
      <w:r w:rsidRPr="0085474C">
        <w:rPr>
          <w:rFonts w:ascii="Times New Roman" w:eastAsia="宋体" w:hAnsi="Times New Roman" w:cs="Times New Roman" w:hint="eastAsia"/>
          <w:sz w:val="24"/>
          <w:szCs w:val="24"/>
        </w:rPr>
        <w:t>化学性质</w:t>
      </w:r>
      <w:r w:rsidRPr="0085474C">
        <w:rPr>
          <w:rFonts w:ascii="Times New Roman" w:eastAsia="宋体" w:hAnsi="Times New Roman" w:cs="Times New Roman"/>
          <w:sz w:val="24"/>
          <w:szCs w:val="24"/>
        </w:rPr>
        <w:t>。</w:t>
      </w:r>
    </w:p>
    <w:p w14:paraId="7699898E" w14:textId="77777777" w:rsidR="0085474C" w:rsidRPr="0085474C" w:rsidRDefault="0085474C" w:rsidP="0085474C">
      <w:pPr>
        <w:spacing w:beforeLines="50" w:before="156" w:afterLines="50" w:after="156" w:line="440" w:lineRule="exact"/>
        <w:ind w:firstLineChars="200" w:firstLine="560"/>
        <w:jc w:val="center"/>
        <w:rPr>
          <w:rFonts w:ascii="黑体" w:eastAsia="黑体" w:hAnsi="黑体" w:cs="Times New Roman"/>
          <w:sz w:val="28"/>
          <w:szCs w:val="28"/>
        </w:rPr>
      </w:pPr>
      <w:r w:rsidRPr="0085474C">
        <w:rPr>
          <w:rFonts w:ascii="黑体" w:eastAsia="黑体" w:hAnsi="黑体" w:cs="Times New Roman" w:hint="eastAsia"/>
          <w:sz w:val="28"/>
          <w:szCs w:val="28"/>
        </w:rPr>
        <w:t>第十一章  醛、酮</w:t>
      </w:r>
    </w:p>
    <w:p w14:paraId="7B3F0884" w14:textId="77777777" w:rsidR="0085474C" w:rsidRPr="0085474C" w:rsidRDefault="0085474C" w:rsidP="0085474C">
      <w:pPr>
        <w:spacing w:line="440" w:lineRule="exact"/>
        <w:ind w:firstLineChars="200" w:firstLine="482"/>
        <w:rPr>
          <w:rFonts w:ascii="宋体" w:eastAsia="宋体" w:hAnsi="宋体" w:cs="Times New Roman"/>
          <w:b/>
          <w:sz w:val="24"/>
          <w:szCs w:val="24"/>
        </w:rPr>
      </w:pPr>
      <w:r w:rsidRPr="0085474C">
        <w:rPr>
          <w:rFonts w:ascii="宋体" w:eastAsia="宋体" w:hAnsi="宋体" w:cs="Times New Roman" w:hint="eastAsia"/>
          <w:b/>
          <w:sz w:val="24"/>
          <w:szCs w:val="24"/>
        </w:rPr>
        <w:t>【学习目标】</w:t>
      </w:r>
    </w:p>
    <w:p w14:paraId="3C369A94"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认知类目标：要求学生掌握醛酮的命名、结构、制备方法和主要的化学性质，着重掌握</w:t>
      </w:r>
      <w:proofErr w:type="gramStart"/>
      <w:r w:rsidRPr="0085474C">
        <w:rPr>
          <w:rFonts w:ascii="Times New Roman" w:eastAsia="宋体" w:hAnsi="Times New Roman" w:cs="Times New Roman"/>
          <w:sz w:val="24"/>
          <w:szCs w:val="24"/>
        </w:rPr>
        <w:t>各种亲核加成反应</w:t>
      </w:r>
      <w:proofErr w:type="gramEnd"/>
      <w:r w:rsidRPr="0085474C">
        <w:rPr>
          <w:rFonts w:ascii="Times New Roman" w:eastAsia="宋体" w:hAnsi="Times New Roman" w:cs="Times New Roman"/>
          <w:sz w:val="24"/>
          <w:szCs w:val="24"/>
        </w:rPr>
        <w:t>的规律、注意事项；掌握醛酮的氧化反应、彻底还原和部分还原反应；系统的学会</w:t>
      </w:r>
      <w:proofErr w:type="gramStart"/>
      <w:r w:rsidRPr="0085474C">
        <w:rPr>
          <w:rFonts w:ascii="Times New Roman" w:eastAsia="宋体" w:hAnsi="Times New Roman" w:cs="Times New Roman"/>
          <w:sz w:val="24"/>
          <w:szCs w:val="24"/>
        </w:rPr>
        <w:t>醛酮在有机合成</w:t>
      </w:r>
      <w:proofErr w:type="gramEnd"/>
      <w:r w:rsidRPr="0085474C">
        <w:rPr>
          <w:rFonts w:ascii="Times New Roman" w:eastAsia="宋体" w:hAnsi="Times New Roman" w:cs="Times New Roman"/>
          <w:sz w:val="24"/>
          <w:szCs w:val="24"/>
        </w:rPr>
        <w:t>上的应用；明确醛与酮的共性与特性。</w:t>
      </w:r>
    </w:p>
    <w:p w14:paraId="15D4E587"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过程与方法类目标：能</w:t>
      </w:r>
      <w:proofErr w:type="gramStart"/>
      <w:r w:rsidRPr="0085474C">
        <w:rPr>
          <w:rFonts w:ascii="Times New Roman" w:eastAsia="宋体" w:hAnsi="Times New Roman" w:cs="Times New Roman"/>
          <w:sz w:val="24"/>
          <w:szCs w:val="24"/>
        </w:rPr>
        <w:t>解释亲核加成反应</w:t>
      </w:r>
      <w:proofErr w:type="gramEnd"/>
      <w:r w:rsidRPr="0085474C">
        <w:rPr>
          <w:rFonts w:ascii="Times New Roman" w:eastAsia="宋体" w:hAnsi="Times New Roman" w:cs="Times New Roman"/>
          <w:sz w:val="24"/>
          <w:szCs w:val="24"/>
        </w:rPr>
        <w:t>的历程</w:t>
      </w:r>
      <w:r w:rsidRPr="0085474C">
        <w:rPr>
          <w:rFonts w:ascii="Times New Roman" w:eastAsia="宋体" w:hAnsi="Times New Roman" w:cs="Times New Roman" w:hint="eastAsia"/>
          <w:sz w:val="24"/>
          <w:szCs w:val="24"/>
        </w:rPr>
        <w:t>，并判断化合物</w:t>
      </w:r>
      <w:proofErr w:type="gramStart"/>
      <w:r w:rsidRPr="0085474C">
        <w:rPr>
          <w:rFonts w:ascii="Times New Roman" w:eastAsia="宋体" w:hAnsi="Times New Roman" w:cs="Times New Roman" w:hint="eastAsia"/>
          <w:sz w:val="24"/>
          <w:szCs w:val="24"/>
        </w:rPr>
        <w:t>发生亲核加成反应</w:t>
      </w:r>
      <w:proofErr w:type="gramEnd"/>
      <w:r w:rsidRPr="0085474C">
        <w:rPr>
          <w:rFonts w:ascii="Times New Roman" w:eastAsia="宋体" w:hAnsi="Times New Roman" w:cs="Times New Roman" w:hint="eastAsia"/>
          <w:sz w:val="24"/>
          <w:szCs w:val="24"/>
        </w:rPr>
        <w:t>的难易程度</w:t>
      </w:r>
      <w:r w:rsidRPr="0085474C">
        <w:rPr>
          <w:rFonts w:ascii="Times New Roman" w:eastAsia="宋体" w:hAnsi="Times New Roman" w:cs="Times New Roman"/>
          <w:sz w:val="24"/>
          <w:szCs w:val="24"/>
        </w:rPr>
        <w:t>。</w:t>
      </w:r>
    </w:p>
    <w:p w14:paraId="237623A4"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w:t>
      </w:r>
      <w:r w:rsidRPr="0085474C">
        <w:rPr>
          <w:rFonts w:ascii="Times New Roman" w:eastAsia="宋体" w:hAnsi="Times New Roman" w:cs="Times New Roman"/>
          <w:color w:val="000000"/>
          <w:sz w:val="24"/>
          <w:szCs w:val="24"/>
        </w:rPr>
        <w:t>通过</w:t>
      </w:r>
      <w:r w:rsidRPr="0085474C">
        <w:rPr>
          <w:rFonts w:ascii="Times New Roman" w:eastAsia="宋体" w:hAnsi="Times New Roman" w:cs="Times New Roman"/>
          <w:color w:val="000000"/>
          <w:sz w:val="24"/>
          <w:szCs w:val="24"/>
        </w:rPr>
        <w:t>W-K</w:t>
      </w:r>
      <w:proofErr w:type="gramStart"/>
      <w:r w:rsidRPr="0085474C">
        <w:rPr>
          <w:rFonts w:ascii="Times New Roman" w:eastAsia="宋体" w:hAnsi="Times New Roman" w:cs="Times New Roman"/>
          <w:color w:val="000000"/>
          <w:sz w:val="24"/>
          <w:szCs w:val="24"/>
        </w:rPr>
        <w:t>黄鸣龙</w:t>
      </w:r>
      <w:proofErr w:type="gramEnd"/>
      <w:r w:rsidRPr="0085474C">
        <w:rPr>
          <w:rFonts w:ascii="Times New Roman" w:eastAsia="宋体" w:hAnsi="Times New Roman" w:cs="Times New Roman"/>
          <w:color w:val="000000"/>
          <w:sz w:val="24"/>
          <w:szCs w:val="24"/>
        </w:rPr>
        <w:t>反应，增</w:t>
      </w:r>
      <w:r w:rsidRPr="0085474C">
        <w:rPr>
          <w:rFonts w:ascii="Times New Roman" w:eastAsia="宋体" w:hAnsi="Times New Roman" w:cs="Times New Roman" w:hint="eastAsia"/>
          <w:color w:val="000000"/>
          <w:sz w:val="24"/>
          <w:szCs w:val="24"/>
        </w:rPr>
        <w:t>强</w:t>
      </w:r>
      <w:r w:rsidRPr="0085474C">
        <w:rPr>
          <w:rFonts w:ascii="Times New Roman" w:eastAsia="宋体" w:hAnsi="Times New Roman" w:cs="Times New Roman"/>
          <w:color w:val="000000"/>
          <w:sz w:val="24"/>
          <w:szCs w:val="24"/>
        </w:rPr>
        <w:t>学生的爱国情怀。</w:t>
      </w:r>
    </w:p>
    <w:p w14:paraId="06421BE1"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31343D4A"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11.1 </w:t>
      </w:r>
      <w:r w:rsidRPr="0085474C">
        <w:rPr>
          <w:rFonts w:ascii="Times New Roman" w:eastAsia="宋体" w:hAnsi="Times New Roman" w:cs="Times New Roman"/>
          <w:sz w:val="24"/>
          <w:szCs w:val="24"/>
        </w:rPr>
        <w:t>醛和</w:t>
      </w:r>
      <w:proofErr w:type="gramStart"/>
      <w:r w:rsidRPr="0085474C">
        <w:rPr>
          <w:rFonts w:ascii="Times New Roman" w:eastAsia="宋体" w:hAnsi="Times New Roman" w:cs="Times New Roman"/>
          <w:sz w:val="24"/>
          <w:szCs w:val="24"/>
        </w:rPr>
        <w:t>酮的</w:t>
      </w:r>
      <w:proofErr w:type="gramEnd"/>
      <w:r w:rsidRPr="0085474C">
        <w:rPr>
          <w:rFonts w:ascii="Times New Roman" w:eastAsia="宋体" w:hAnsi="Times New Roman" w:cs="Times New Roman"/>
          <w:sz w:val="24"/>
          <w:szCs w:val="24"/>
        </w:rPr>
        <w:t>命名</w:t>
      </w:r>
    </w:p>
    <w:p w14:paraId="3C1FFC5A"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11.2 </w:t>
      </w:r>
      <w:r w:rsidRPr="0085474C">
        <w:rPr>
          <w:rFonts w:ascii="Times New Roman" w:eastAsia="宋体" w:hAnsi="Times New Roman" w:cs="Times New Roman"/>
          <w:sz w:val="24"/>
          <w:szCs w:val="24"/>
        </w:rPr>
        <w:t>醛和</w:t>
      </w:r>
      <w:proofErr w:type="gramStart"/>
      <w:r w:rsidRPr="0085474C">
        <w:rPr>
          <w:rFonts w:ascii="Times New Roman" w:eastAsia="宋体" w:hAnsi="Times New Roman" w:cs="Times New Roman"/>
          <w:sz w:val="24"/>
          <w:szCs w:val="24"/>
        </w:rPr>
        <w:t>酮的</w:t>
      </w:r>
      <w:proofErr w:type="gramEnd"/>
      <w:r w:rsidRPr="0085474C">
        <w:rPr>
          <w:rFonts w:ascii="Times New Roman" w:eastAsia="宋体" w:hAnsi="Times New Roman" w:cs="Times New Roman"/>
          <w:sz w:val="24"/>
          <w:szCs w:val="24"/>
        </w:rPr>
        <w:t>结构</w:t>
      </w:r>
    </w:p>
    <w:p w14:paraId="3220D293"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11.3 </w:t>
      </w:r>
      <w:r w:rsidRPr="0085474C">
        <w:rPr>
          <w:rFonts w:ascii="Times New Roman" w:eastAsia="宋体" w:hAnsi="Times New Roman" w:cs="Times New Roman"/>
          <w:sz w:val="24"/>
          <w:szCs w:val="24"/>
        </w:rPr>
        <w:t>醛和</w:t>
      </w:r>
      <w:proofErr w:type="gramStart"/>
      <w:r w:rsidRPr="0085474C">
        <w:rPr>
          <w:rFonts w:ascii="Times New Roman" w:eastAsia="宋体" w:hAnsi="Times New Roman" w:cs="Times New Roman"/>
          <w:sz w:val="24"/>
          <w:szCs w:val="24"/>
        </w:rPr>
        <w:t>酮的</w:t>
      </w:r>
      <w:proofErr w:type="gramEnd"/>
      <w:r w:rsidRPr="0085474C">
        <w:rPr>
          <w:rFonts w:ascii="Times New Roman" w:eastAsia="宋体" w:hAnsi="Times New Roman" w:cs="Times New Roman"/>
          <w:sz w:val="24"/>
          <w:szCs w:val="24"/>
        </w:rPr>
        <w:t>制法</w:t>
      </w:r>
    </w:p>
    <w:p w14:paraId="303B2EFD"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11.4 </w:t>
      </w:r>
      <w:r w:rsidRPr="0085474C">
        <w:rPr>
          <w:rFonts w:ascii="Times New Roman" w:eastAsia="宋体" w:hAnsi="Times New Roman" w:cs="Times New Roman"/>
          <w:sz w:val="24"/>
          <w:szCs w:val="24"/>
        </w:rPr>
        <w:t>醛和</w:t>
      </w:r>
      <w:proofErr w:type="gramStart"/>
      <w:r w:rsidRPr="0085474C">
        <w:rPr>
          <w:rFonts w:ascii="Times New Roman" w:eastAsia="宋体" w:hAnsi="Times New Roman" w:cs="Times New Roman"/>
          <w:sz w:val="24"/>
          <w:szCs w:val="24"/>
        </w:rPr>
        <w:t>酮的</w:t>
      </w:r>
      <w:proofErr w:type="gramEnd"/>
      <w:r w:rsidRPr="0085474C">
        <w:rPr>
          <w:rFonts w:ascii="Times New Roman" w:eastAsia="宋体" w:hAnsi="Times New Roman" w:cs="Times New Roman"/>
          <w:sz w:val="24"/>
          <w:szCs w:val="24"/>
        </w:rPr>
        <w:t>物理性质</w:t>
      </w:r>
    </w:p>
    <w:p w14:paraId="698674BA"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11.5 </w:t>
      </w:r>
      <w:r w:rsidRPr="0085474C">
        <w:rPr>
          <w:rFonts w:ascii="Times New Roman" w:eastAsia="宋体" w:hAnsi="Times New Roman" w:cs="Times New Roman"/>
          <w:sz w:val="24"/>
          <w:szCs w:val="24"/>
        </w:rPr>
        <w:t>醛和</w:t>
      </w:r>
      <w:proofErr w:type="gramStart"/>
      <w:r w:rsidRPr="0085474C">
        <w:rPr>
          <w:rFonts w:ascii="Times New Roman" w:eastAsia="宋体" w:hAnsi="Times New Roman" w:cs="Times New Roman"/>
          <w:sz w:val="24"/>
          <w:szCs w:val="24"/>
        </w:rPr>
        <w:t>酮的</w:t>
      </w:r>
      <w:proofErr w:type="gramEnd"/>
      <w:r w:rsidRPr="0085474C">
        <w:rPr>
          <w:rFonts w:ascii="Times New Roman" w:eastAsia="宋体" w:hAnsi="Times New Roman" w:cs="Times New Roman"/>
          <w:sz w:val="24"/>
          <w:szCs w:val="24"/>
        </w:rPr>
        <w:t>化学性质</w:t>
      </w:r>
      <w:r w:rsidRPr="0085474C">
        <w:rPr>
          <w:rFonts w:ascii="Times New Roman" w:eastAsia="宋体" w:hAnsi="Times New Roman" w:cs="Times New Roman"/>
          <w:sz w:val="24"/>
          <w:szCs w:val="24"/>
        </w:rPr>
        <w:t xml:space="preserve"> </w:t>
      </w:r>
    </w:p>
    <w:p w14:paraId="6638F516"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321F2DF3"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醛酮的命名、化学性质及制备方法；</w:t>
      </w:r>
    </w:p>
    <w:p w14:paraId="71329EC3" w14:textId="77777777" w:rsidR="0085474C" w:rsidRPr="0085474C" w:rsidRDefault="0085474C" w:rsidP="0085474C">
      <w:pPr>
        <w:spacing w:line="440" w:lineRule="exact"/>
        <w:ind w:left="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proofErr w:type="gramStart"/>
      <w:r w:rsidRPr="0085474C">
        <w:rPr>
          <w:rFonts w:ascii="Times New Roman" w:eastAsia="宋体" w:hAnsi="Times New Roman" w:cs="Times New Roman"/>
          <w:sz w:val="24"/>
          <w:szCs w:val="24"/>
        </w:rPr>
        <w:t>亲核加成反应</w:t>
      </w:r>
      <w:proofErr w:type="gramEnd"/>
      <w:r w:rsidRPr="0085474C">
        <w:rPr>
          <w:rFonts w:ascii="Times New Roman" w:eastAsia="宋体" w:hAnsi="Times New Roman" w:cs="Times New Roman"/>
          <w:sz w:val="24"/>
          <w:szCs w:val="24"/>
        </w:rPr>
        <w:t>历程及影响因素。</w:t>
      </w:r>
    </w:p>
    <w:p w14:paraId="3E0196BA"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lastRenderedPageBreak/>
        <w:t>【难点】</w:t>
      </w:r>
    </w:p>
    <w:p w14:paraId="5E002906"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proofErr w:type="gramStart"/>
      <w:r w:rsidRPr="0085474C">
        <w:rPr>
          <w:rFonts w:ascii="Times New Roman" w:eastAsia="宋体" w:hAnsi="Times New Roman" w:cs="Times New Roman"/>
          <w:sz w:val="24"/>
          <w:szCs w:val="24"/>
        </w:rPr>
        <w:t>亲核加成反应</w:t>
      </w:r>
      <w:proofErr w:type="gramEnd"/>
      <w:r w:rsidRPr="0085474C">
        <w:rPr>
          <w:rFonts w:ascii="Times New Roman" w:eastAsia="宋体" w:hAnsi="Times New Roman" w:cs="Times New Roman"/>
          <w:sz w:val="24"/>
          <w:szCs w:val="24"/>
        </w:rPr>
        <w:t>历程、影响因素及其应用。</w:t>
      </w:r>
    </w:p>
    <w:p w14:paraId="4732A1A6"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7C70284E"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1. </w:t>
      </w:r>
      <w:r w:rsidRPr="0085474C">
        <w:rPr>
          <w:rFonts w:ascii="Times New Roman" w:eastAsia="宋体" w:hAnsi="Times New Roman" w:cs="Times New Roman"/>
          <w:sz w:val="24"/>
          <w:szCs w:val="24"/>
        </w:rPr>
        <w:t>通过多媒体课件和传统教学相结合，阐明基础知识，丰富课堂教学，促进学生对知识的理解和记忆；</w:t>
      </w:r>
    </w:p>
    <w:p w14:paraId="75C731B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2. </w:t>
      </w:r>
      <w:r w:rsidRPr="0085474C">
        <w:rPr>
          <w:rFonts w:ascii="Times New Roman" w:eastAsia="宋体" w:hAnsi="Times New Roman" w:cs="Times New Roman"/>
          <w:sz w:val="24"/>
          <w:szCs w:val="24"/>
        </w:rPr>
        <w:t>采用类比式教学法，可以将有机化学知识点与日常事例相类比，也可将各类化合物的某些相关知识点进行类比，由熟悉到不熟悉，从而</w:t>
      </w:r>
      <w:r w:rsidRPr="0085474C">
        <w:rPr>
          <w:rFonts w:ascii="Times New Roman" w:eastAsia="宋体" w:hAnsi="Times New Roman" w:cs="Times New Roman"/>
          <w:color w:val="000000"/>
          <w:kern w:val="0"/>
          <w:sz w:val="24"/>
          <w:szCs w:val="24"/>
          <w:lang w:bidi="ar"/>
        </w:rPr>
        <w:t>使要讲授的内容变得通俗易懂</w:t>
      </w:r>
      <w:r w:rsidRPr="0085474C">
        <w:rPr>
          <w:rFonts w:ascii="Times New Roman" w:eastAsia="A4" w:hAnsi="Times New Roman" w:cs="Times New Roman"/>
          <w:color w:val="000000"/>
          <w:kern w:val="0"/>
          <w:sz w:val="24"/>
          <w:szCs w:val="24"/>
          <w:lang w:bidi="ar"/>
        </w:rPr>
        <w:t xml:space="preserve">, </w:t>
      </w:r>
      <w:r w:rsidRPr="0085474C">
        <w:rPr>
          <w:rFonts w:ascii="Times New Roman" w:eastAsia="宋体" w:hAnsi="Times New Roman" w:cs="Times New Roman"/>
          <w:color w:val="000000"/>
          <w:kern w:val="0"/>
          <w:sz w:val="24"/>
          <w:szCs w:val="24"/>
          <w:lang w:bidi="ar"/>
        </w:rPr>
        <w:t>容易接受，</w:t>
      </w:r>
      <w:r w:rsidRPr="0085474C">
        <w:rPr>
          <w:rFonts w:ascii="Times New Roman" w:eastAsia="宋体" w:hAnsi="Times New Roman" w:cs="Times New Roman"/>
          <w:sz w:val="24"/>
          <w:szCs w:val="24"/>
        </w:rPr>
        <w:t>培养学生举一反三、触类旁通的学习能力。</w:t>
      </w:r>
    </w:p>
    <w:p w14:paraId="75CB4392"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11EC2F41"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醛、酮的结构与反应活性</w:t>
      </w:r>
      <w:r w:rsidRPr="0085474C">
        <w:rPr>
          <w:rFonts w:ascii="Times New Roman" w:eastAsia="宋体" w:hAnsi="Times New Roman" w:cs="Times New Roman"/>
          <w:color w:val="000000"/>
          <w:sz w:val="24"/>
          <w:szCs w:val="24"/>
        </w:rPr>
        <w:t>；</w:t>
      </w:r>
    </w:p>
    <w:p w14:paraId="2CDD83CA"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2. </w:t>
      </w:r>
      <w:r w:rsidRPr="0085474C">
        <w:rPr>
          <w:rFonts w:ascii="Times New Roman" w:eastAsia="宋体" w:hAnsi="Times New Roman" w:cs="Times New Roman"/>
          <w:sz w:val="24"/>
          <w:szCs w:val="24"/>
        </w:rPr>
        <w:t>醛、酮</w:t>
      </w:r>
      <w:proofErr w:type="gramStart"/>
      <w:r w:rsidRPr="0085474C">
        <w:rPr>
          <w:rFonts w:ascii="Times New Roman" w:eastAsia="宋体" w:hAnsi="Times New Roman" w:cs="Times New Roman"/>
          <w:sz w:val="24"/>
          <w:szCs w:val="24"/>
        </w:rPr>
        <w:t>的亲核加成反应</w:t>
      </w:r>
      <w:proofErr w:type="gramEnd"/>
      <w:r w:rsidRPr="0085474C">
        <w:rPr>
          <w:rFonts w:ascii="Times New Roman" w:eastAsia="宋体" w:hAnsi="Times New Roman" w:cs="Times New Roman"/>
          <w:sz w:val="24"/>
          <w:szCs w:val="24"/>
        </w:rPr>
        <w:t>机理</w:t>
      </w:r>
      <w:r w:rsidRPr="0085474C">
        <w:rPr>
          <w:rFonts w:ascii="Times New Roman" w:eastAsia="宋体" w:hAnsi="Times New Roman" w:cs="Times New Roman"/>
          <w:color w:val="000000"/>
          <w:sz w:val="24"/>
          <w:szCs w:val="24"/>
        </w:rPr>
        <w:t>；</w:t>
      </w:r>
    </w:p>
    <w:p w14:paraId="4915B88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3. </w:t>
      </w:r>
      <w:r w:rsidRPr="0085474C">
        <w:rPr>
          <w:rFonts w:ascii="Times New Roman" w:eastAsia="宋体" w:hAnsi="Times New Roman" w:cs="Times New Roman"/>
          <w:sz w:val="24"/>
          <w:szCs w:val="24"/>
        </w:rPr>
        <w:t>羟醛缩合反应机理。</w:t>
      </w:r>
    </w:p>
    <w:p w14:paraId="6155965E" w14:textId="77777777" w:rsidR="0085474C" w:rsidRPr="0085474C" w:rsidRDefault="0085474C" w:rsidP="0085474C">
      <w:pPr>
        <w:spacing w:beforeLines="50" w:before="156" w:afterLines="50" w:after="156" w:line="440" w:lineRule="exact"/>
        <w:ind w:firstLineChars="200" w:firstLine="560"/>
        <w:jc w:val="center"/>
        <w:rPr>
          <w:rFonts w:ascii="黑体" w:eastAsia="黑体" w:hAnsi="黑体" w:cs="黑体"/>
          <w:sz w:val="28"/>
          <w:szCs w:val="28"/>
        </w:rPr>
      </w:pPr>
      <w:r w:rsidRPr="0085474C">
        <w:rPr>
          <w:rFonts w:ascii="黑体" w:eastAsia="黑体" w:hAnsi="黑体" w:cs="黑体" w:hint="eastAsia"/>
          <w:sz w:val="28"/>
          <w:szCs w:val="28"/>
        </w:rPr>
        <w:t>第十二章  羧酸</w:t>
      </w:r>
    </w:p>
    <w:p w14:paraId="2B76873D"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7D2F08FF"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认知类目标：掌握羧酸的命名、结构</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主要化学性质</w:t>
      </w:r>
      <w:r w:rsidRPr="0085474C">
        <w:rPr>
          <w:rFonts w:ascii="Times New Roman" w:eastAsia="宋体" w:hAnsi="Times New Roman" w:cs="Times New Roman" w:hint="eastAsia"/>
          <w:sz w:val="24"/>
          <w:szCs w:val="24"/>
        </w:rPr>
        <w:t>和制备方法</w:t>
      </w:r>
      <w:r w:rsidRPr="0085474C">
        <w:rPr>
          <w:rFonts w:ascii="Times New Roman" w:eastAsia="宋体" w:hAnsi="Times New Roman" w:cs="Times New Roman"/>
          <w:sz w:val="24"/>
          <w:szCs w:val="24"/>
        </w:rPr>
        <w:t>；了解羧酸在有机合成中的作用</w:t>
      </w:r>
      <w:r w:rsidRPr="0085474C">
        <w:rPr>
          <w:rFonts w:ascii="Times New Roman" w:eastAsia="宋体" w:hAnsi="Times New Roman" w:cs="Times New Roman" w:hint="eastAsia"/>
          <w:sz w:val="24"/>
          <w:szCs w:val="24"/>
        </w:rPr>
        <w:t>。了解羧酸衍生物的主要性质。</w:t>
      </w:r>
    </w:p>
    <w:p w14:paraId="107916AD"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过程与方法类目标：能</w:t>
      </w:r>
      <w:r w:rsidRPr="0085474C">
        <w:rPr>
          <w:rFonts w:ascii="Times New Roman" w:eastAsia="宋体" w:hAnsi="Times New Roman" w:cs="Times New Roman" w:hint="eastAsia"/>
          <w:sz w:val="24"/>
          <w:szCs w:val="24"/>
        </w:rPr>
        <w:t>比较</w:t>
      </w:r>
      <w:r w:rsidRPr="0085474C">
        <w:rPr>
          <w:rFonts w:ascii="Times New Roman" w:eastAsia="宋体" w:hAnsi="Times New Roman" w:cs="Times New Roman"/>
          <w:sz w:val="24"/>
          <w:szCs w:val="24"/>
        </w:rPr>
        <w:t>羧酸酸性的大小，并能用电子效应解释各类羧酸衍生物发生上述反应的反应活性次序以及羧酸</w:t>
      </w:r>
      <w:proofErr w:type="gramStart"/>
      <w:r w:rsidRPr="0085474C">
        <w:rPr>
          <w:rFonts w:ascii="Times New Roman" w:eastAsia="宋体" w:hAnsi="Times New Roman" w:cs="Times New Roman"/>
          <w:sz w:val="24"/>
          <w:szCs w:val="24"/>
        </w:rPr>
        <w:t>衍生物亲核取代</w:t>
      </w:r>
      <w:proofErr w:type="gramEnd"/>
      <w:r w:rsidRPr="0085474C">
        <w:rPr>
          <w:rFonts w:ascii="Times New Roman" w:eastAsia="宋体" w:hAnsi="Times New Roman" w:cs="Times New Roman"/>
          <w:sz w:val="24"/>
          <w:szCs w:val="24"/>
        </w:rPr>
        <w:t>反应的历程。</w:t>
      </w:r>
    </w:p>
    <w:p w14:paraId="10679E07"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72262857"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12.1 </w:t>
      </w:r>
      <w:r w:rsidRPr="0085474C">
        <w:rPr>
          <w:rFonts w:ascii="Times New Roman" w:eastAsia="宋体" w:hAnsi="Times New Roman" w:cs="Times New Roman"/>
          <w:sz w:val="24"/>
          <w:szCs w:val="24"/>
        </w:rPr>
        <w:t>羧酸的分类和命名</w:t>
      </w:r>
    </w:p>
    <w:p w14:paraId="3CE67B7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12.2 </w:t>
      </w:r>
      <w:r w:rsidRPr="0085474C">
        <w:rPr>
          <w:rFonts w:ascii="Times New Roman" w:eastAsia="宋体" w:hAnsi="Times New Roman" w:cs="Times New Roman"/>
          <w:sz w:val="24"/>
          <w:szCs w:val="24"/>
        </w:rPr>
        <w:t>羧酸的结构</w:t>
      </w:r>
    </w:p>
    <w:p w14:paraId="711BEA7C"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12.3 </w:t>
      </w:r>
      <w:r w:rsidRPr="0085474C">
        <w:rPr>
          <w:rFonts w:ascii="Times New Roman" w:eastAsia="宋体" w:hAnsi="Times New Roman" w:cs="Times New Roman"/>
          <w:sz w:val="24"/>
          <w:szCs w:val="24"/>
        </w:rPr>
        <w:t>羧酸的制法</w:t>
      </w:r>
    </w:p>
    <w:p w14:paraId="56FF77DA"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12.4 </w:t>
      </w:r>
      <w:r w:rsidRPr="0085474C">
        <w:rPr>
          <w:rFonts w:ascii="Times New Roman" w:eastAsia="宋体" w:hAnsi="Times New Roman" w:cs="Times New Roman"/>
          <w:sz w:val="24"/>
          <w:szCs w:val="24"/>
        </w:rPr>
        <w:t>羧酸的物理性质</w:t>
      </w:r>
    </w:p>
    <w:p w14:paraId="21A5DA1D"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12.5 </w:t>
      </w:r>
      <w:r w:rsidRPr="0085474C">
        <w:rPr>
          <w:rFonts w:ascii="Times New Roman" w:eastAsia="宋体" w:hAnsi="Times New Roman" w:cs="Times New Roman"/>
          <w:sz w:val="24"/>
          <w:szCs w:val="24"/>
        </w:rPr>
        <w:t>羧酸的化学性质</w:t>
      </w:r>
    </w:p>
    <w:p w14:paraId="72AD3DEF"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7B2DEAE3"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 xml:space="preserve">1. </w:t>
      </w:r>
      <w:r w:rsidRPr="0085474C">
        <w:rPr>
          <w:rFonts w:ascii="Times New Roman" w:eastAsia="宋体" w:hAnsi="Times New Roman" w:cs="Times New Roman"/>
          <w:sz w:val="24"/>
          <w:szCs w:val="24"/>
        </w:rPr>
        <w:t>羧酸的结构及命名，</w:t>
      </w:r>
      <w:r w:rsidRPr="0085474C">
        <w:rPr>
          <w:rFonts w:ascii="Times New Roman" w:eastAsia="宋体" w:hAnsi="Times New Roman" w:cs="Times New Roman" w:hint="eastAsia"/>
          <w:sz w:val="24"/>
          <w:szCs w:val="24"/>
        </w:rPr>
        <w:t>羧酸的化学性质，</w:t>
      </w:r>
      <w:proofErr w:type="gramStart"/>
      <w:r w:rsidRPr="0085474C">
        <w:rPr>
          <w:rFonts w:ascii="Times New Roman" w:eastAsia="宋体" w:hAnsi="Times New Roman" w:cs="Times New Roman"/>
          <w:sz w:val="24"/>
          <w:szCs w:val="24"/>
        </w:rPr>
        <w:t>羧酸亲核加成</w:t>
      </w:r>
      <w:proofErr w:type="gramEnd"/>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消除反应</w:t>
      </w:r>
      <w:r w:rsidRPr="0085474C">
        <w:rPr>
          <w:rFonts w:ascii="Times New Roman" w:eastAsia="宋体" w:hAnsi="Times New Roman" w:cs="Times New Roman" w:hint="eastAsia"/>
          <w:sz w:val="24"/>
          <w:szCs w:val="24"/>
        </w:rPr>
        <w:t>的</w:t>
      </w:r>
      <w:r w:rsidRPr="0085474C">
        <w:rPr>
          <w:rFonts w:ascii="Times New Roman" w:eastAsia="宋体" w:hAnsi="Times New Roman" w:cs="Times New Roman"/>
          <w:sz w:val="24"/>
          <w:szCs w:val="24"/>
        </w:rPr>
        <w:t>机理。</w:t>
      </w:r>
    </w:p>
    <w:p w14:paraId="2B990A6A"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29315967"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羧酸</w:t>
      </w:r>
      <w:proofErr w:type="gramStart"/>
      <w:r w:rsidRPr="0085474C">
        <w:rPr>
          <w:rFonts w:ascii="Times New Roman" w:eastAsia="宋体" w:hAnsi="Times New Roman" w:cs="Times New Roman"/>
          <w:sz w:val="24"/>
          <w:szCs w:val="24"/>
        </w:rPr>
        <w:t>的亲核加成</w:t>
      </w:r>
      <w:proofErr w:type="gramEnd"/>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消除反应机理、羧酸的酸性及影响酸性的因素</w:t>
      </w:r>
      <w:r w:rsidRPr="0085474C">
        <w:rPr>
          <w:rFonts w:ascii="Times New Roman" w:eastAsia="宋体" w:hAnsi="Times New Roman" w:cs="Times New Roman" w:hint="eastAsia"/>
          <w:sz w:val="24"/>
          <w:szCs w:val="24"/>
        </w:rPr>
        <w:t>。</w:t>
      </w:r>
    </w:p>
    <w:p w14:paraId="653F968A"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537F08F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1. </w:t>
      </w:r>
      <w:r w:rsidRPr="0085474C">
        <w:rPr>
          <w:rFonts w:ascii="Times New Roman" w:eastAsia="宋体" w:hAnsi="Times New Roman" w:cs="Times New Roman"/>
          <w:sz w:val="24"/>
          <w:szCs w:val="24"/>
        </w:rPr>
        <w:t>通过多媒体课件和传统教学相结合，阐明基础知识，丰富课堂教学，促进学生对知识的理解和记忆；</w:t>
      </w:r>
    </w:p>
    <w:p w14:paraId="4B87EDF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lastRenderedPageBreak/>
        <w:t xml:space="preserve">2. </w:t>
      </w:r>
      <w:r w:rsidRPr="0085474C">
        <w:rPr>
          <w:rFonts w:ascii="Times New Roman" w:eastAsia="宋体" w:hAnsi="Times New Roman" w:cs="Times New Roman"/>
          <w:sz w:val="24"/>
          <w:szCs w:val="24"/>
        </w:rPr>
        <w:t>采用类比式教学法，可以将有机化学知识点与日常事例相类比，也可将各类化合物的某些相关知识点进行类比，由熟悉到不熟悉，从而</w:t>
      </w:r>
      <w:r w:rsidRPr="0085474C">
        <w:rPr>
          <w:rFonts w:ascii="Times New Roman" w:eastAsia="宋体" w:hAnsi="Times New Roman" w:cs="Times New Roman"/>
          <w:color w:val="000000"/>
          <w:kern w:val="0"/>
          <w:sz w:val="24"/>
          <w:szCs w:val="24"/>
          <w:lang w:bidi="ar"/>
        </w:rPr>
        <w:t>使要讲授的内容变得通俗易懂</w:t>
      </w:r>
      <w:r w:rsidRPr="0085474C">
        <w:rPr>
          <w:rFonts w:ascii="Times New Roman" w:eastAsia="A4" w:hAnsi="Times New Roman" w:cs="Times New Roman"/>
          <w:color w:val="000000"/>
          <w:kern w:val="0"/>
          <w:sz w:val="24"/>
          <w:szCs w:val="24"/>
          <w:lang w:bidi="ar"/>
        </w:rPr>
        <w:t xml:space="preserve">, </w:t>
      </w:r>
      <w:r w:rsidRPr="0085474C">
        <w:rPr>
          <w:rFonts w:ascii="Times New Roman" w:eastAsia="宋体" w:hAnsi="Times New Roman" w:cs="Times New Roman"/>
          <w:color w:val="000000"/>
          <w:kern w:val="0"/>
          <w:sz w:val="24"/>
          <w:szCs w:val="24"/>
          <w:lang w:bidi="ar"/>
        </w:rPr>
        <w:t>容易接受，</w:t>
      </w:r>
      <w:r w:rsidRPr="0085474C">
        <w:rPr>
          <w:rFonts w:ascii="Times New Roman" w:eastAsia="宋体" w:hAnsi="Times New Roman" w:cs="Times New Roman"/>
          <w:sz w:val="24"/>
          <w:szCs w:val="24"/>
        </w:rPr>
        <w:t>培养学生举一反三、触类旁通的学习能力。</w:t>
      </w:r>
    </w:p>
    <w:p w14:paraId="38C09E01"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507A6993"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羧酸</w:t>
      </w:r>
      <w:proofErr w:type="gramStart"/>
      <w:r w:rsidRPr="0085474C">
        <w:rPr>
          <w:rFonts w:ascii="Times New Roman" w:eastAsia="宋体" w:hAnsi="Times New Roman" w:cs="Times New Roman"/>
          <w:sz w:val="24"/>
          <w:szCs w:val="24"/>
        </w:rPr>
        <w:t>的亲核加成</w:t>
      </w:r>
      <w:proofErr w:type="gramEnd"/>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消除反应机理</w:t>
      </w:r>
      <w:r w:rsidRPr="0085474C">
        <w:rPr>
          <w:rFonts w:ascii="Times New Roman" w:eastAsia="宋体" w:hAnsi="Times New Roman" w:cs="Times New Roman" w:hint="eastAsia"/>
          <w:sz w:val="24"/>
          <w:szCs w:val="24"/>
        </w:rPr>
        <w:t>；</w:t>
      </w:r>
    </w:p>
    <w:p w14:paraId="033104BF"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2. </w:t>
      </w:r>
      <w:r w:rsidRPr="0085474C">
        <w:rPr>
          <w:rFonts w:ascii="Times New Roman" w:eastAsia="宋体" w:hAnsi="Times New Roman" w:cs="Times New Roman"/>
          <w:sz w:val="24"/>
          <w:szCs w:val="24"/>
        </w:rPr>
        <w:t>羧酸的酸性及影响酸性的因素</w:t>
      </w:r>
      <w:r w:rsidRPr="0085474C">
        <w:rPr>
          <w:rFonts w:ascii="Times New Roman" w:eastAsia="宋体" w:hAnsi="Times New Roman" w:cs="Times New Roman" w:hint="eastAsia"/>
          <w:sz w:val="24"/>
          <w:szCs w:val="24"/>
        </w:rPr>
        <w:t>。</w:t>
      </w:r>
    </w:p>
    <w:p w14:paraId="0A8FCCC9" w14:textId="77777777" w:rsidR="0085474C" w:rsidRPr="0085474C" w:rsidRDefault="0085474C" w:rsidP="0085474C">
      <w:pPr>
        <w:spacing w:beforeLines="50" w:before="156" w:afterLines="50" w:after="156" w:line="440" w:lineRule="exact"/>
        <w:ind w:firstLineChars="200" w:firstLine="560"/>
        <w:jc w:val="center"/>
        <w:rPr>
          <w:rFonts w:ascii="黑体" w:eastAsia="黑体" w:hAnsi="黑体" w:cs="Times New Roman"/>
          <w:sz w:val="28"/>
          <w:szCs w:val="28"/>
        </w:rPr>
      </w:pPr>
      <w:r w:rsidRPr="0085474C">
        <w:rPr>
          <w:rFonts w:ascii="黑体" w:eastAsia="黑体" w:hAnsi="黑体" w:cs="Times New Roman" w:hint="eastAsia"/>
          <w:sz w:val="28"/>
          <w:szCs w:val="28"/>
        </w:rPr>
        <w:t xml:space="preserve">第十五章  </w:t>
      </w:r>
      <w:proofErr w:type="gramStart"/>
      <w:r w:rsidRPr="0085474C">
        <w:rPr>
          <w:rFonts w:ascii="黑体" w:eastAsia="黑体" w:hAnsi="黑体" w:cs="Times New Roman" w:hint="eastAsia"/>
          <w:sz w:val="28"/>
          <w:szCs w:val="28"/>
        </w:rPr>
        <w:t>胺</w:t>
      </w:r>
      <w:proofErr w:type="gramEnd"/>
    </w:p>
    <w:p w14:paraId="49AFF3BE" w14:textId="77777777" w:rsidR="0085474C" w:rsidRPr="0085474C" w:rsidRDefault="0085474C" w:rsidP="0085474C">
      <w:pPr>
        <w:spacing w:line="440" w:lineRule="exact"/>
        <w:ind w:firstLineChars="200" w:firstLine="482"/>
        <w:rPr>
          <w:rFonts w:ascii="宋体" w:eastAsia="宋体" w:hAnsi="宋体" w:cs="Times New Roman"/>
          <w:b/>
          <w:sz w:val="24"/>
          <w:szCs w:val="24"/>
        </w:rPr>
      </w:pPr>
      <w:r w:rsidRPr="0085474C">
        <w:rPr>
          <w:rFonts w:ascii="宋体" w:eastAsia="宋体" w:hAnsi="宋体" w:cs="Times New Roman" w:hint="eastAsia"/>
          <w:b/>
          <w:sz w:val="24"/>
          <w:szCs w:val="24"/>
        </w:rPr>
        <w:t>【学习目标】</w:t>
      </w:r>
    </w:p>
    <w:p w14:paraId="7E269DBF" w14:textId="77777777" w:rsidR="0085474C" w:rsidRPr="0085474C" w:rsidRDefault="0085474C" w:rsidP="0085474C">
      <w:pPr>
        <w:spacing w:line="440" w:lineRule="exact"/>
        <w:ind w:firstLineChars="196" w:firstLine="47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认知类目标：掌握胺的结构、分类、命名和氮原子的杂化状态；重点掌握胺的化学性质；要掌握通过官能团相互转变制备胺的方法以及伯胺的特殊制法。了解季铵盐和</w:t>
      </w:r>
      <w:proofErr w:type="gramStart"/>
      <w:r w:rsidRPr="0085474C">
        <w:rPr>
          <w:rFonts w:ascii="Times New Roman" w:eastAsia="宋体" w:hAnsi="Times New Roman" w:cs="Times New Roman"/>
          <w:sz w:val="24"/>
          <w:szCs w:val="24"/>
        </w:rPr>
        <w:t>季铵</w:t>
      </w:r>
      <w:proofErr w:type="gramEnd"/>
      <w:r w:rsidRPr="0085474C">
        <w:rPr>
          <w:rFonts w:ascii="Times New Roman" w:eastAsia="宋体" w:hAnsi="Times New Roman" w:cs="Times New Roman"/>
          <w:sz w:val="24"/>
          <w:szCs w:val="24"/>
        </w:rPr>
        <w:t>碱的性质</w:t>
      </w:r>
      <w:proofErr w:type="gramStart"/>
      <w:r w:rsidRPr="0085474C">
        <w:rPr>
          <w:rFonts w:ascii="Times New Roman" w:eastAsia="宋体" w:hAnsi="Times New Roman" w:cs="Times New Roman"/>
          <w:sz w:val="24"/>
          <w:szCs w:val="24"/>
        </w:rPr>
        <w:t>以及季铵碱</w:t>
      </w:r>
      <w:proofErr w:type="gramEnd"/>
      <w:r w:rsidRPr="0085474C">
        <w:rPr>
          <w:rFonts w:ascii="Times New Roman" w:eastAsia="宋体" w:hAnsi="Times New Roman" w:cs="Times New Roman"/>
          <w:sz w:val="24"/>
          <w:szCs w:val="24"/>
        </w:rPr>
        <w:t>的热消除规律</w:t>
      </w:r>
      <w:r w:rsidRPr="0085474C">
        <w:rPr>
          <w:rFonts w:ascii="Times New Roman" w:eastAsia="宋体" w:hAnsi="Times New Roman" w:cs="Times New Roman"/>
          <w:sz w:val="24"/>
          <w:szCs w:val="24"/>
        </w:rPr>
        <w:t>(Hofmann</w:t>
      </w:r>
      <w:r w:rsidRPr="0085474C">
        <w:rPr>
          <w:rFonts w:ascii="Times New Roman" w:eastAsia="宋体" w:hAnsi="Times New Roman" w:cs="Times New Roman"/>
          <w:sz w:val="24"/>
          <w:szCs w:val="24"/>
        </w:rPr>
        <w:t>规则</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以及季铵盐作为相转移催化剂的作用原理。掌握重氮盐的合成、性质以及在有机合成上的应用。</w:t>
      </w:r>
    </w:p>
    <w:p w14:paraId="2A7EA239" w14:textId="77777777" w:rsidR="0085474C" w:rsidRPr="0085474C" w:rsidRDefault="0085474C" w:rsidP="0085474C">
      <w:pPr>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过程与方法类目标：通过季铵盐作为相转移催化剂的作用原理，培养学生</w:t>
      </w:r>
      <w:r w:rsidRPr="0085474C">
        <w:rPr>
          <w:rFonts w:ascii="Times New Roman" w:eastAsia="宋体" w:hAnsi="Times New Roman" w:cs="Times New Roman" w:hint="eastAsia"/>
          <w:sz w:val="24"/>
          <w:szCs w:val="24"/>
        </w:rPr>
        <w:t>建立</w:t>
      </w:r>
      <w:r w:rsidRPr="0085474C">
        <w:rPr>
          <w:rFonts w:ascii="Times New Roman" w:eastAsia="宋体" w:hAnsi="Times New Roman" w:cs="Times New Roman"/>
          <w:color w:val="000000"/>
          <w:sz w:val="24"/>
          <w:szCs w:val="24"/>
        </w:rPr>
        <w:t>有机化学</w:t>
      </w:r>
      <w:r w:rsidRPr="0085474C">
        <w:rPr>
          <w:rFonts w:ascii="Times New Roman" w:eastAsia="宋体" w:hAnsi="Times New Roman" w:cs="Times New Roman" w:hint="eastAsia"/>
          <w:color w:val="000000"/>
          <w:sz w:val="24"/>
          <w:szCs w:val="24"/>
        </w:rPr>
        <w:t>中</w:t>
      </w:r>
      <w:r w:rsidRPr="0085474C">
        <w:rPr>
          <w:rFonts w:ascii="Times New Roman" w:eastAsia="宋体" w:hAnsi="Times New Roman" w:cs="Times New Roman"/>
          <w:color w:val="000000"/>
          <w:sz w:val="24"/>
          <w:szCs w:val="24"/>
        </w:rPr>
        <w:t>“</w:t>
      </w:r>
      <w:r w:rsidRPr="0085474C">
        <w:rPr>
          <w:rFonts w:ascii="Times New Roman" w:eastAsia="宋体" w:hAnsi="Times New Roman" w:cs="Times New Roman" w:hint="eastAsia"/>
          <w:color w:val="000000"/>
          <w:sz w:val="24"/>
          <w:szCs w:val="24"/>
        </w:rPr>
        <w:t>相似相溶</w:t>
      </w:r>
      <w:r w:rsidRPr="0085474C">
        <w:rPr>
          <w:rFonts w:ascii="Times New Roman" w:eastAsia="宋体" w:hAnsi="Times New Roman" w:cs="Times New Roman"/>
          <w:color w:val="000000"/>
          <w:sz w:val="24"/>
          <w:szCs w:val="24"/>
        </w:rPr>
        <w:t>”</w:t>
      </w:r>
      <w:r w:rsidRPr="0085474C">
        <w:rPr>
          <w:rFonts w:ascii="Times New Roman" w:eastAsia="宋体" w:hAnsi="Times New Roman" w:cs="Times New Roman"/>
          <w:color w:val="000000"/>
          <w:sz w:val="24"/>
          <w:szCs w:val="24"/>
        </w:rPr>
        <w:t>的</w:t>
      </w:r>
      <w:r w:rsidRPr="0085474C">
        <w:rPr>
          <w:rFonts w:ascii="Times New Roman" w:eastAsia="宋体" w:hAnsi="Times New Roman" w:cs="Times New Roman" w:hint="eastAsia"/>
          <w:color w:val="000000"/>
          <w:sz w:val="24"/>
          <w:szCs w:val="24"/>
        </w:rPr>
        <w:t>逻辑思维能力与素养</w:t>
      </w:r>
      <w:r w:rsidRPr="0085474C">
        <w:rPr>
          <w:rFonts w:ascii="Times New Roman" w:eastAsia="宋体" w:hAnsi="Times New Roman" w:cs="Times New Roman"/>
          <w:color w:val="000000"/>
          <w:sz w:val="24"/>
          <w:szCs w:val="24"/>
        </w:rPr>
        <w:t>。</w:t>
      </w:r>
    </w:p>
    <w:p w14:paraId="572225A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情感、态度、价值观类目标：通过了解</w:t>
      </w:r>
      <w:r w:rsidRPr="0085474C">
        <w:rPr>
          <w:rFonts w:ascii="Times New Roman" w:eastAsia="宋体" w:hAnsi="Times New Roman" w:cs="Times New Roman"/>
          <w:bCs/>
          <w:color w:val="000000"/>
          <w:sz w:val="24"/>
          <w:szCs w:val="24"/>
        </w:rPr>
        <w:t>胺类化合物碱性强弱的影响因素</w:t>
      </w:r>
      <w:r w:rsidRPr="0085474C">
        <w:rPr>
          <w:rFonts w:ascii="Times New Roman" w:eastAsia="宋体" w:hAnsi="Times New Roman" w:cs="Times New Roman"/>
          <w:sz w:val="24"/>
          <w:szCs w:val="24"/>
        </w:rPr>
        <w:t>，加深对化学学科中辩证法的认识。</w:t>
      </w:r>
    </w:p>
    <w:p w14:paraId="540BFD77"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6B07B11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15.1 </w:t>
      </w:r>
      <w:r w:rsidRPr="0085474C">
        <w:rPr>
          <w:rFonts w:ascii="Times New Roman" w:eastAsia="宋体" w:hAnsi="Times New Roman" w:cs="Times New Roman"/>
          <w:sz w:val="24"/>
          <w:szCs w:val="24"/>
        </w:rPr>
        <w:t>胺的分类与命名</w:t>
      </w:r>
    </w:p>
    <w:p w14:paraId="2121D10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15.2 </w:t>
      </w:r>
      <w:r w:rsidRPr="0085474C">
        <w:rPr>
          <w:rFonts w:ascii="Times New Roman" w:eastAsia="宋体" w:hAnsi="Times New Roman" w:cs="Times New Roman"/>
          <w:sz w:val="24"/>
          <w:szCs w:val="24"/>
        </w:rPr>
        <w:t>胺的结构</w:t>
      </w:r>
    </w:p>
    <w:p w14:paraId="295C647D"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15.3 </w:t>
      </w:r>
      <w:r w:rsidRPr="0085474C">
        <w:rPr>
          <w:rFonts w:ascii="Times New Roman" w:eastAsia="宋体" w:hAnsi="Times New Roman" w:cs="Times New Roman"/>
          <w:sz w:val="24"/>
          <w:szCs w:val="24"/>
        </w:rPr>
        <w:t>胺的制法</w:t>
      </w:r>
    </w:p>
    <w:p w14:paraId="5887E7AD"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15.4 </w:t>
      </w:r>
      <w:r w:rsidRPr="0085474C">
        <w:rPr>
          <w:rFonts w:ascii="Times New Roman" w:eastAsia="宋体" w:hAnsi="Times New Roman" w:cs="Times New Roman"/>
          <w:sz w:val="24"/>
          <w:szCs w:val="24"/>
        </w:rPr>
        <w:t>胺的物理性质</w:t>
      </w:r>
    </w:p>
    <w:p w14:paraId="70CFB0A3"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15.5 </w:t>
      </w:r>
      <w:r w:rsidRPr="0085474C">
        <w:rPr>
          <w:rFonts w:ascii="Times New Roman" w:eastAsia="宋体" w:hAnsi="Times New Roman" w:cs="Times New Roman"/>
          <w:sz w:val="24"/>
          <w:szCs w:val="24"/>
        </w:rPr>
        <w:t>胺的化学性质</w:t>
      </w:r>
    </w:p>
    <w:p w14:paraId="6AB8406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15.6 </w:t>
      </w:r>
      <w:r w:rsidRPr="0085474C">
        <w:rPr>
          <w:rFonts w:ascii="Times New Roman" w:eastAsia="宋体" w:hAnsi="Times New Roman" w:cs="Times New Roman"/>
          <w:sz w:val="24"/>
          <w:szCs w:val="24"/>
        </w:rPr>
        <w:t>季铵盐和</w:t>
      </w:r>
      <w:proofErr w:type="gramStart"/>
      <w:r w:rsidRPr="0085474C">
        <w:rPr>
          <w:rFonts w:ascii="Times New Roman" w:eastAsia="宋体" w:hAnsi="Times New Roman" w:cs="Times New Roman"/>
          <w:sz w:val="24"/>
          <w:szCs w:val="24"/>
        </w:rPr>
        <w:t>季铵</w:t>
      </w:r>
      <w:proofErr w:type="gramEnd"/>
      <w:r w:rsidRPr="0085474C">
        <w:rPr>
          <w:rFonts w:ascii="Times New Roman" w:eastAsia="宋体" w:hAnsi="Times New Roman" w:cs="Times New Roman"/>
          <w:sz w:val="24"/>
          <w:szCs w:val="24"/>
        </w:rPr>
        <w:t>碱</w:t>
      </w:r>
    </w:p>
    <w:p w14:paraId="398C359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15.7 </w:t>
      </w:r>
      <w:r w:rsidRPr="0085474C">
        <w:rPr>
          <w:rFonts w:ascii="Times New Roman" w:eastAsia="宋体" w:hAnsi="Times New Roman" w:cs="Times New Roman"/>
          <w:sz w:val="24"/>
          <w:szCs w:val="24"/>
        </w:rPr>
        <w:t>二元</w:t>
      </w:r>
      <w:proofErr w:type="gramStart"/>
      <w:r w:rsidRPr="0085474C">
        <w:rPr>
          <w:rFonts w:ascii="Times New Roman" w:eastAsia="宋体" w:hAnsi="Times New Roman" w:cs="Times New Roman"/>
          <w:sz w:val="24"/>
          <w:szCs w:val="24"/>
        </w:rPr>
        <w:t>胺</w:t>
      </w:r>
      <w:proofErr w:type="gramEnd"/>
    </w:p>
    <w:p w14:paraId="52F0D133"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15.8 </w:t>
      </w:r>
      <w:r w:rsidRPr="0085474C">
        <w:rPr>
          <w:rFonts w:ascii="Times New Roman" w:eastAsia="宋体" w:hAnsi="Times New Roman" w:cs="Times New Roman"/>
          <w:sz w:val="24"/>
          <w:szCs w:val="24"/>
        </w:rPr>
        <w:t>偶氮和重氮化合物</w:t>
      </w:r>
      <w:r w:rsidRPr="0085474C">
        <w:rPr>
          <w:rFonts w:ascii="Times New Roman" w:eastAsia="宋体" w:hAnsi="Times New Roman" w:cs="Times New Roman"/>
          <w:sz w:val="24"/>
          <w:szCs w:val="24"/>
        </w:rPr>
        <w:t xml:space="preserve"> </w:t>
      </w:r>
    </w:p>
    <w:p w14:paraId="7B966837"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54290C40"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有机胺、重氮盐的化学性质及在有机合成上的应用；</w:t>
      </w:r>
    </w:p>
    <w:p w14:paraId="45C7E045" w14:textId="77777777" w:rsidR="0085474C" w:rsidRPr="0085474C" w:rsidRDefault="0085474C" w:rsidP="0085474C">
      <w:pPr>
        <w:spacing w:line="440" w:lineRule="exact"/>
        <w:ind w:left="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proofErr w:type="gramStart"/>
      <w:r w:rsidRPr="0085474C">
        <w:rPr>
          <w:rFonts w:ascii="Times New Roman" w:eastAsia="宋体" w:hAnsi="Times New Roman" w:cs="Times New Roman"/>
          <w:sz w:val="24"/>
          <w:szCs w:val="24"/>
        </w:rPr>
        <w:t>季铵碱</w:t>
      </w:r>
      <w:proofErr w:type="gramEnd"/>
      <w:r w:rsidRPr="0085474C">
        <w:rPr>
          <w:rFonts w:ascii="Times New Roman" w:eastAsia="宋体" w:hAnsi="Times New Roman" w:cs="Times New Roman"/>
          <w:sz w:val="24"/>
          <w:szCs w:val="24"/>
        </w:rPr>
        <w:t>的热消除反应及其在有机</w:t>
      </w:r>
      <w:proofErr w:type="gramStart"/>
      <w:r w:rsidRPr="0085474C">
        <w:rPr>
          <w:rFonts w:ascii="Times New Roman" w:eastAsia="宋体" w:hAnsi="Times New Roman" w:cs="Times New Roman"/>
          <w:sz w:val="24"/>
          <w:szCs w:val="24"/>
        </w:rPr>
        <w:t>胺</w:t>
      </w:r>
      <w:proofErr w:type="gramEnd"/>
      <w:r w:rsidRPr="0085474C">
        <w:rPr>
          <w:rFonts w:ascii="Times New Roman" w:eastAsia="宋体" w:hAnsi="Times New Roman" w:cs="Times New Roman"/>
          <w:sz w:val="24"/>
          <w:szCs w:val="24"/>
        </w:rPr>
        <w:t>结构推断中的应用。</w:t>
      </w:r>
    </w:p>
    <w:p w14:paraId="1FF39BEC"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5FB172F1"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proofErr w:type="gramStart"/>
      <w:r w:rsidRPr="0085474C">
        <w:rPr>
          <w:rFonts w:ascii="Times New Roman" w:eastAsia="宋体" w:hAnsi="Times New Roman" w:cs="Times New Roman"/>
          <w:sz w:val="24"/>
          <w:szCs w:val="24"/>
        </w:rPr>
        <w:t>季铵碱</w:t>
      </w:r>
      <w:proofErr w:type="gramEnd"/>
      <w:r w:rsidRPr="0085474C">
        <w:rPr>
          <w:rFonts w:ascii="Times New Roman" w:eastAsia="宋体" w:hAnsi="Times New Roman" w:cs="Times New Roman"/>
          <w:sz w:val="24"/>
          <w:szCs w:val="24"/>
        </w:rPr>
        <w:t>的消除及</w:t>
      </w:r>
      <w:r w:rsidRPr="0085474C">
        <w:rPr>
          <w:rFonts w:ascii="Times New Roman" w:eastAsia="宋体" w:hAnsi="Times New Roman" w:cs="Times New Roman"/>
          <w:sz w:val="24"/>
          <w:szCs w:val="24"/>
        </w:rPr>
        <w:t>Hofmann</w:t>
      </w:r>
      <w:r w:rsidRPr="0085474C">
        <w:rPr>
          <w:rFonts w:ascii="Times New Roman" w:eastAsia="宋体" w:hAnsi="Times New Roman" w:cs="Times New Roman"/>
          <w:sz w:val="24"/>
          <w:szCs w:val="24"/>
        </w:rPr>
        <w:t>规则；</w:t>
      </w:r>
    </w:p>
    <w:p w14:paraId="359368F5" w14:textId="77777777" w:rsidR="0085474C" w:rsidRPr="0085474C" w:rsidRDefault="0085474C" w:rsidP="0085474C">
      <w:pPr>
        <w:spacing w:line="440" w:lineRule="exact"/>
        <w:ind w:firstLineChars="200" w:firstLine="480"/>
        <w:rPr>
          <w:rFonts w:ascii="Times New Roman" w:eastAsia="宋体" w:hAnsi="Times New Roman" w:cs="Times New Roman"/>
          <w:b/>
          <w:bCs/>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芳香硝基化合物不同还原条件下的还原产物；</w:t>
      </w:r>
    </w:p>
    <w:p w14:paraId="732E5DEF" w14:textId="77777777" w:rsidR="0085474C" w:rsidRPr="0085474C" w:rsidRDefault="0085474C" w:rsidP="0085474C">
      <w:pPr>
        <w:spacing w:line="440" w:lineRule="exact"/>
        <w:ind w:firstLineChars="200" w:firstLine="480"/>
        <w:rPr>
          <w:rFonts w:ascii="Times New Roman" w:eastAsia="宋体" w:hAnsi="Times New Roman" w:cs="Times New Roman"/>
          <w:b/>
          <w:bCs/>
          <w:sz w:val="24"/>
          <w:szCs w:val="24"/>
        </w:rPr>
      </w:pPr>
      <w:r w:rsidRPr="0085474C">
        <w:rPr>
          <w:rFonts w:ascii="Times New Roman" w:eastAsia="宋体" w:hAnsi="Times New Roman" w:cs="Times New Roman"/>
          <w:sz w:val="24"/>
          <w:szCs w:val="24"/>
        </w:rPr>
        <w:lastRenderedPageBreak/>
        <w:t xml:space="preserve">3. </w:t>
      </w:r>
      <w:r w:rsidRPr="0085474C">
        <w:rPr>
          <w:rFonts w:ascii="Times New Roman" w:eastAsia="宋体" w:hAnsi="Times New Roman" w:cs="Times New Roman"/>
          <w:sz w:val="24"/>
          <w:szCs w:val="24"/>
        </w:rPr>
        <w:t>芳香胺的重氮化反应，偶联反应在有机合成中的应用。</w:t>
      </w:r>
    </w:p>
    <w:p w14:paraId="54D69F58"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48ABE72F"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通过多媒体课件和传统教学相结合，阐明基础知识，丰富课堂教学，促进学生对知识的理解和记忆；</w:t>
      </w:r>
    </w:p>
    <w:p w14:paraId="05D0C55A"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采用以问题为导向的探究式教学法，通过问题聚焦，让学生自行查阅资料，同学相互交流，教师适时点拨等形式，进一步理解与掌握相关的理论知识，培养学生分析小教育问题、解决问题的能力。</w:t>
      </w:r>
    </w:p>
    <w:p w14:paraId="352FC7EA"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05153B0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proofErr w:type="gramStart"/>
      <w:r w:rsidRPr="0085474C">
        <w:rPr>
          <w:rFonts w:ascii="Times New Roman" w:eastAsia="宋体" w:hAnsi="Times New Roman" w:cs="Times New Roman"/>
          <w:sz w:val="24"/>
          <w:szCs w:val="24"/>
        </w:rPr>
        <w:t>季铵碱</w:t>
      </w:r>
      <w:proofErr w:type="gramEnd"/>
      <w:r w:rsidRPr="0085474C">
        <w:rPr>
          <w:rFonts w:ascii="Times New Roman" w:eastAsia="宋体" w:hAnsi="Times New Roman" w:cs="Times New Roman"/>
          <w:sz w:val="24"/>
          <w:szCs w:val="24"/>
        </w:rPr>
        <w:t>的消除反应</w:t>
      </w:r>
      <w:r w:rsidRPr="0085474C">
        <w:rPr>
          <w:rFonts w:ascii="Times New Roman" w:eastAsia="宋体" w:hAnsi="Times New Roman" w:cs="Times New Roman"/>
          <w:color w:val="000000"/>
          <w:sz w:val="24"/>
          <w:szCs w:val="24"/>
        </w:rPr>
        <w:t>；</w:t>
      </w:r>
    </w:p>
    <w:p w14:paraId="1A85EE9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color w:val="000000"/>
          <w:sz w:val="24"/>
          <w:szCs w:val="24"/>
        </w:rPr>
        <w:t xml:space="preserve">2. </w:t>
      </w:r>
      <w:r w:rsidRPr="0085474C">
        <w:rPr>
          <w:rFonts w:ascii="Times New Roman" w:eastAsia="宋体" w:hAnsi="Times New Roman" w:cs="Times New Roman"/>
          <w:sz w:val="24"/>
          <w:szCs w:val="24"/>
        </w:rPr>
        <w:t>芳香胺的重氮化反应和偶联反应在有机合成中的应用</w:t>
      </w:r>
      <w:r w:rsidRPr="0085474C">
        <w:rPr>
          <w:rFonts w:ascii="Times New Roman" w:eastAsia="宋体" w:hAnsi="Times New Roman" w:cs="Times New Roman"/>
          <w:color w:val="000000"/>
          <w:sz w:val="24"/>
          <w:szCs w:val="24"/>
        </w:rPr>
        <w:t>。</w:t>
      </w:r>
    </w:p>
    <w:p w14:paraId="1F1E93B6" w14:textId="77777777" w:rsidR="0085474C" w:rsidRPr="0085474C" w:rsidRDefault="0085474C" w:rsidP="0085474C">
      <w:pPr>
        <w:spacing w:beforeLines="50" w:before="156" w:afterLines="50" w:after="156" w:line="440" w:lineRule="exact"/>
        <w:ind w:firstLineChars="200" w:firstLine="560"/>
        <w:jc w:val="center"/>
        <w:rPr>
          <w:rFonts w:ascii="黑体" w:eastAsia="黑体" w:hAnsi="黑体" w:cs="Times New Roman"/>
          <w:sz w:val="28"/>
          <w:szCs w:val="28"/>
        </w:rPr>
      </w:pPr>
      <w:r w:rsidRPr="0085474C">
        <w:rPr>
          <w:rFonts w:ascii="黑体" w:eastAsia="黑体" w:hAnsi="黑体" w:cs="Times New Roman" w:hint="eastAsia"/>
          <w:sz w:val="28"/>
          <w:szCs w:val="28"/>
        </w:rPr>
        <w:t>第十七章  杂环化合物</w:t>
      </w:r>
    </w:p>
    <w:p w14:paraId="73156ED4" w14:textId="77777777" w:rsidR="0085474C" w:rsidRPr="0085474C" w:rsidRDefault="0085474C" w:rsidP="0085474C">
      <w:pPr>
        <w:spacing w:line="440" w:lineRule="exact"/>
        <w:ind w:firstLineChars="200" w:firstLine="482"/>
        <w:rPr>
          <w:rFonts w:ascii="宋体" w:eastAsia="宋体" w:hAnsi="宋体" w:cs="Times New Roman"/>
          <w:b/>
          <w:sz w:val="24"/>
          <w:szCs w:val="24"/>
        </w:rPr>
      </w:pPr>
      <w:r w:rsidRPr="0085474C">
        <w:rPr>
          <w:rFonts w:ascii="宋体" w:eastAsia="宋体" w:hAnsi="宋体" w:cs="Times New Roman" w:hint="eastAsia"/>
          <w:b/>
          <w:sz w:val="24"/>
          <w:szCs w:val="24"/>
        </w:rPr>
        <w:t>【学习目标】</w:t>
      </w:r>
    </w:p>
    <w:p w14:paraId="1849A052" w14:textId="77777777" w:rsidR="0085474C" w:rsidRPr="0085474C" w:rsidRDefault="0085474C" w:rsidP="0085474C">
      <w:pPr>
        <w:spacing w:line="440" w:lineRule="exact"/>
        <w:ind w:firstLineChars="196" w:firstLine="47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认知类目标：掌握杂环化合物的命名和分类；掌握典型五元和六元杂环化合物的结构、特征和重要反应；了解杂环化合物的芳香性、酸碱性和互变异构现象；了解生物碱。</w:t>
      </w:r>
    </w:p>
    <w:p w14:paraId="5B983371" w14:textId="77777777" w:rsidR="0085474C" w:rsidRPr="0085474C" w:rsidRDefault="0085474C" w:rsidP="0085474C">
      <w:pPr>
        <w:spacing w:line="440" w:lineRule="exact"/>
        <w:ind w:leftChars="196" w:left="412"/>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w:t>
      </w:r>
      <w:r w:rsidRPr="0085474C">
        <w:rPr>
          <w:rFonts w:ascii="Times New Roman" w:eastAsia="宋体" w:hAnsi="Times New Roman" w:cs="Times New Roman" w:hint="eastAsia"/>
          <w:sz w:val="24"/>
          <w:szCs w:val="24"/>
        </w:rPr>
        <w:t>能掌握杂环化合物芳香性的判断方法。</w:t>
      </w:r>
      <w:r w:rsidRPr="0085474C">
        <w:rPr>
          <w:rFonts w:ascii="Times New Roman" w:eastAsia="宋体" w:hAnsi="Times New Roman" w:cs="Times New Roman"/>
          <w:sz w:val="24"/>
          <w:szCs w:val="24"/>
        </w:rPr>
        <w:br/>
      </w:r>
      <w:r w:rsidRPr="0085474C">
        <w:rPr>
          <w:rFonts w:ascii="Times New Roman" w:eastAsia="宋体" w:hAnsi="Times New Roman" w:cs="Times New Roman"/>
          <w:b/>
          <w:sz w:val="24"/>
          <w:szCs w:val="24"/>
        </w:rPr>
        <w:t>【学习内容】</w:t>
      </w:r>
    </w:p>
    <w:p w14:paraId="78FA6517" w14:textId="77777777" w:rsidR="0085474C" w:rsidRPr="0085474C" w:rsidRDefault="0085474C" w:rsidP="0085474C">
      <w:pPr>
        <w:widowControl/>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17.1 </w:t>
      </w:r>
      <w:r w:rsidRPr="0085474C">
        <w:rPr>
          <w:rFonts w:ascii="Times New Roman" w:eastAsia="宋体" w:hAnsi="Times New Roman" w:cs="Times New Roman"/>
          <w:bCs/>
          <w:sz w:val="24"/>
          <w:szCs w:val="24"/>
        </w:rPr>
        <w:t>杂环化合物的分类、命名和结构</w:t>
      </w:r>
    </w:p>
    <w:p w14:paraId="39052AE7" w14:textId="77777777" w:rsidR="0085474C" w:rsidRPr="0085474C" w:rsidRDefault="0085474C" w:rsidP="0085474C">
      <w:pPr>
        <w:widowControl/>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17.2 </w:t>
      </w:r>
      <w:r w:rsidRPr="0085474C">
        <w:rPr>
          <w:rFonts w:ascii="Times New Roman" w:eastAsia="宋体" w:hAnsi="Times New Roman" w:cs="Times New Roman"/>
          <w:bCs/>
          <w:sz w:val="24"/>
          <w:szCs w:val="24"/>
        </w:rPr>
        <w:t>五元杂环化合物</w:t>
      </w:r>
    </w:p>
    <w:p w14:paraId="164BAA06" w14:textId="77777777" w:rsidR="0085474C" w:rsidRPr="0085474C" w:rsidRDefault="0085474C" w:rsidP="0085474C">
      <w:pPr>
        <w:widowControl/>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bCs/>
          <w:sz w:val="24"/>
          <w:szCs w:val="24"/>
        </w:rPr>
        <w:t xml:space="preserve">17.3 </w:t>
      </w:r>
      <w:r w:rsidRPr="0085474C">
        <w:rPr>
          <w:rFonts w:ascii="Times New Roman" w:eastAsia="宋体" w:hAnsi="Times New Roman" w:cs="Times New Roman"/>
          <w:bCs/>
          <w:sz w:val="24"/>
          <w:szCs w:val="24"/>
        </w:rPr>
        <w:t>六元杂环化合物</w:t>
      </w:r>
    </w:p>
    <w:p w14:paraId="6FC6744E"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2B68C32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五元杂环、六元杂环的结构和性质。</w:t>
      </w:r>
    </w:p>
    <w:p w14:paraId="6D13A1E1"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25363877"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吡啶的酸性和碱性。</w:t>
      </w:r>
    </w:p>
    <w:p w14:paraId="2C20ED4C"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063C3BB4"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通过多媒体课件和传统教学相结合，阐明基础知识，丰富课堂教学，促进学生对知识的理解和记忆；</w:t>
      </w:r>
    </w:p>
    <w:p w14:paraId="4FCB199E"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采用以问题为导向的探究式教学法，通过问题聚焦，让学生自行查阅资料，同学相互交流，教师适时点拨等形式，进一步理解与掌握相关的理论知识，培养学生分析小教育问题、解决问题的能力。</w:t>
      </w:r>
    </w:p>
    <w:p w14:paraId="3DA2A933"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2441EB76" w14:textId="77777777" w:rsidR="0085474C" w:rsidRPr="0085474C" w:rsidRDefault="0085474C">
      <w:pPr>
        <w:numPr>
          <w:ilvl w:val="0"/>
          <w:numId w:val="117"/>
        </w:numPr>
        <w:spacing w:beforeLines="50" w:before="156" w:afterLines="50" w:after="156"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五元、六元杂环化合物的结构和性质关系。</w:t>
      </w:r>
    </w:p>
    <w:p w14:paraId="0FF2D0DB" w14:textId="77777777" w:rsidR="0085474C" w:rsidRPr="0085474C" w:rsidRDefault="0085474C" w:rsidP="0085474C">
      <w:pPr>
        <w:spacing w:beforeLines="50" w:before="156" w:afterLines="50" w:after="156" w:line="440" w:lineRule="exact"/>
        <w:ind w:left="561"/>
        <w:rPr>
          <w:rFonts w:ascii="仿宋" w:eastAsia="仿宋" w:hAnsi="仿宋" w:cs="Times New Roman"/>
          <w:sz w:val="24"/>
          <w:szCs w:val="24"/>
        </w:rPr>
      </w:pPr>
      <w:r w:rsidRPr="0085474C">
        <w:rPr>
          <w:rFonts w:ascii="黑体" w:eastAsia="黑体" w:hAnsi="黑体" w:cs="Times New Roman" w:hint="eastAsia"/>
          <w:sz w:val="28"/>
          <w:szCs w:val="28"/>
        </w:rPr>
        <w:t>（二）课程学习内容与课程学习目标的对应关系</w:t>
      </w:r>
      <w:r w:rsidRPr="0085474C">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43"/>
        <w:gridCol w:w="2800"/>
        <w:gridCol w:w="2125"/>
        <w:gridCol w:w="1389"/>
      </w:tblGrid>
      <w:tr w:rsidR="0085474C" w:rsidRPr="0085474C" w14:paraId="3395AD42" w14:textId="77777777" w:rsidTr="00367215">
        <w:trPr>
          <w:trHeight w:val="660"/>
          <w:jc w:val="center"/>
        </w:trPr>
        <w:tc>
          <w:tcPr>
            <w:tcW w:w="3043" w:type="dxa"/>
            <w:vAlign w:val="center"/>
          </w:tcPr>
          <w:p w14:paraId="714323DE"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t>课程学习内容</w:t>
            </w:r>
          </w:p>
        </w:tc>
        <w:tc>
          <w:tcPr>
            <w:tcW w:w="2800" w:type="dxa"/>
            <w:vAlign w:val="center"/>
          </w:tcPr>
          <w:p w14:paraId="37C3F256"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t>教学方法</w:t>
            </w:r>
          </w:p>
        </w:tc>
        <w:tc>
          <w:tcPr>
            <w:tcW w:w="2125" w:type="dxa"/>
            <w:vAlign w:val="center"/>
          </w:tcPr>
          <w:p w14:paraId="73349C4A"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t>支撑的课程目标</w:t>
            </w:r>
          </w:p>
        </w:tc>
        <w:tc>
          <w:tcPr>
            <w:tcW w:w="1389" w:type="dxa"/>
            <w:vAlign w:val="center"/>
          </w:tcPr>
          <w:p w14:paraId="445CB4EC"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t>学时安排</w:t>
            </w:r>
          </w:p>
        </w:tc>
      </w:tr>
      <w:tr w:rsidR="0085474C" w:rsidRPr="0085474C" w14:paraId="4C4C9E04" w14:textId="77777777" w:rsidTr="00367215">
        <w:trPr>
          <w:trHeight w:val="514"/>
          <w:jc w:val="center"/>
        </w:trPr>
        <w:tc>
          <w:tcPr>
            <w:tcW w:w="3043" w:type="dxa"/>
          </w:tcPr>
          <w:p w14:paraId="1024898E"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第一章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绪论</w:t>
            </w:r>
          </w:p>
        </w:tc>
        <w:tc>
          <w:tcPr>
            <w:tcW w:w="2800" w:type="dxa"/>
            <w:vAlign w:val="center"/>
          </w:tcPr>
          <w:p w14:paraId="64BDD87D"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讲授法、探究式教学法</w:t>
            </w:r>
          </w:p>
        </w:tc>
        <w:tc>
          <w:tcPr>
            <w:tcW w:w="2125" w:type="dxa"/>
            <w:vAlign w:val="center"/>
          </w:tcPr>
          <w:p w14:paraId="62270D5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p>
        </w:tc>
        <w:tc>
          <w:tcPr>
            <w:tcW w:w="1389" w:type="dxa"/>
            <w:vAlign w:val="center"/>
          </w:tcPr>
          <w:p w14:paraId="0F3701CC"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学时</w:t>
            </w:r>
          </w:p>
        </w:tc>
      </w:tr>
      <w:tr w:rsidR="0085474C" w:rsidRPr="0085474C" w14:paraId="1F4AB0BB" w14:textId="77777777" w:rsidTr="00367215">
        <w:trPr>
          <w:trHeight w:val="90"/>
          <w:jc w:val="center"/>
        </w:trPr>
        <w:tc>
          <w:tcPr>
            <w:tcW w:w="3043" w:type="dxa"/>
          </w:tcPr>
          <w:p w14:paraId="3256CE0E"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第二章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hint="eastAsia"/>
                <w:sz w:val="24"/>
                <w:szCs w:val="24"/>
              </w:rPr>
              <w:t>烷烃和环烷</w:t>
            </w:r>
            <w:r w:rsidRPr="0085474C">
              <w:rPr>
                <w:rFonts w:ascii="Times New Roman" w:eastAsia="宋体" w:hAnsi="Times New Roman" w:cs="Times New Roman"/>
                <w:sz w:val="24"/>
                <w:szCs w:val="24"/>
              </w:rPr>
              <w:t>烃</w:t>
            </w:r>
          </w:p>
        </w:tc>
        <w:tc>
          <w:tcPr>
            <w:tcW w:w="2800" w:type="dxa"/>
            <w:vAlign w:val="center"/>
          </w:tcPr>
          <w:p w14:paraId="472BB751"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讲授法、探究式教学法</w:t>
            </w:r>
          </w:p>
        </w:tc>
        <w:tc>
          <w:tcPr>
            <w:tcW w:w="2125" w:type="dxa"/>
            <w:vAlign w:val="center"/>
          </w:tcPr>
          <w:p w14:paraId="73247C29"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p>
        </w:tc>
        <w:tc>
          <w:tcPr>
            <w:tcW w:w="1389" w:type="dxa"/>
            <w:vAlign w:val="center"/>
          </w:tcPr>
          <w:p w14:paraId="59BC13A6"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4</w:t>
            </w:r>
            <w:r w:rsidRPr="0085474C">
              <w:rPr>
                <w:rFonts w:ascii="Times New Roman" w:eastAsia="宋体" w:hAnsi="Times New Roman" w:cs="Times New Roman"/>
                <w:sz w:val="24"/>
                <w:szCs w:val="24"/>
              </w:rPr>
              <w:t>学时</w:t>
            </w:r>
          </w:p>
        </w:tc>
      </w:tr>
      <w:tr w:rsidR="0085474C" w:rsidRPr="0085474C" w14:paraId="6306ACDF" w14:textId="77777777" w:rsidTr="00367215">
        <w:trPr>
          <w:jc w:val="center"/>
        </w:trPr>
        <w:tc>
          <w:tcPr>
            <w:tcW w:w="3043" w:type="dxa"/>
          </w:tcPr>
          <w:p w14:paraId="0F6ABF37"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第三章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hint="eastAsia"/>
                <w:sz w:val="24"/>
                <w:szCs w:val="24"/>
              </w:rPr>
              <w:t>烯烃和炔</w:t>
            </w:r>
            <w:r w:rsidRPr="0085474C">
              <w:rPr>
                <w:rFonts w:ascii="Times New Roman" w:eastAsia="宋体" w:hAnsi="Times New Roman" w:cs="Times New Roman"/>
                <w:sz w:val="24"/>
                <w:szCs w:val="24"/>
              </w:rPr>
              <w:t>烃</w:t>
            </w:r>
          </w:p>
        </w:tc>
        <w:tc>
          <w:tcPr>
            <w:tcW w:w="2800" w:type="dxa"/>
            <w:vAlign w:val="center"/>
          </w:tcPr>
          <w:p w14:paraId="0D366D30"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讲授法、类比式教学法</w:t>
            </w:r>
          </w:p>
        </w:tc>
        <w:tc>
          <w:tcPr>
            <w:tcW w:w="2125" w:type="dxa"/>
            <w:vAlign w:val="center"/>
          </w:tcPr>
          <w:p w14:paraId="7C07737F"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p>
        </w:tc>
        <w:tc>
          <w:tcPr>
            <w:tcW w:w="1389" w:type="dxa"/>
            <w:vAlign w:val="center"/>
          </w:tcPr>
          <w:p w14:paraId="44E6BDA8"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4</w:t>
            </w:r>
            <w:r w:rsidRPr="0085474C">
              <w:rPr>
                <w:rFonts w:ascii="Times New Roman" w:eastAsia="宋体" w:hAnsi="Times New Roman" w:cs="Times New Roman"/>
                <w:sz w:val="24"/>
                <w:szCs w:val="24"/>
              </w:rPr>
              <w:t>学时</w:t>
            </w:r>
          </w:p>
        </w:tc>
      </w:tr>
      <w:tr w:rsidR="0085474C" w:rsidRPr="0085474C" w14:paraId="4C4C1632" w14:textId="77777777" w:rsidTr="00367215">
        <w:trPr>
          <w:jc w:val="center"/>
        </w:trPr>
        <w:tc>
          <w:tcPr>
            <w:tcW w:w="3043" w:type="dxa"/>
          </w:tcPr>
          <w:p w14:paraId="1222D4DC"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第四章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hint="eastAsia"/>
                <w:sz w:val="24"/>
                <w:szCs w:val="24"/>
              </w:rPr>
              <w:t>二烯烃</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hint="eastAsia"/>
                <w:sz w:val="24"/>
                <w:szCs w:val="24"/>
              </w:rPr>
              <w:t>共轭体系</w:t>
            </w:r>
          </w:p>
        </w:tc>
        <w:tc>
          <w:tcPr>
            <w:tcW w:w="2800" w:type="dxa"/>
            <w:vAlign w:val="center"/>
          </w:tcPr>
          <w:p w14:paraId="5D4CBA56"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讲授法、类比式教学法</w:t>
            </w:r>
          </w:p>
        </w:tc>
        <w:tc>
          <w:tcPr>
            <w:tcW w:w="2125" w:type="dxa"/>
            <w:vAlign w:val="center"/>
          </w:tcPr>
          <w:p w14:paraId="63955AD8"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p>
        </w:tc>
        <w:tc>
          <w:tcPr>
            <w:tcW w:w="1389" w:type="dxa"/>
            <w:vAlign w:val="center"/>
          </w:tcPr>
          <w:p w14:paraId="73CAF5FE"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学时</w:t>
            </w:r>
          </w:p>
        </w:tc>
      </w:tr>
      <w:tr w:rsidR="0085474C" w:rsidRPr="0085474C" w14:paraId="15F8C0AB" w14:textId="77777777" w:rsidTr="00367215">
        <w:trPr>
          <w:jc w:val="center"/>
        </w:trPr>
        <w:tc>
          <w:tcPr>
            <w:tcW w:w="3043" w:type="dxa"/>
          </w:tcPr>
          <w:p w14:paraId="1DFC5EFF"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hint="eastAsia"/>
                <w:sz w:val="24"/>
                <w:szCs w:val="24"/>
              </w:rPr>
              <w:t>五</w:t>
            </w:r>
            <w:r w:rsidRPr="0085474C">
              <w:rPr>
                <w:rFonts w:ascii="Times New Roman" w:eastAsia="宋体" w:hAnsi="Times New Roman" w:cs="Times New Roman"/>
                <w:sz w:val="24"/>
                <w:szCs w:val="24"/>
              </w:rPr>
              <w:t>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芳香烃</w:t>
            </w:r>
          </w:p>
        </w:tc>
        <w:tc>
          <w:tcPr>
            <w:tcW w:w="2800" w:type="dxa"/>
            <w:vAlign w:val="center"/>
          </w:tcPr>
          <w:p w14:paraId="75D5268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讲授法、类比式教学法</w:t>
            </w:r>
          </w:p>
        </w:tc>
        <w:tc>
          <w:tcPr>
            <w:tcW w:w="2125" w:type="dxa"/>
            <w:vAlign w:val="center"/>
          </w:tcPr>
          <w:p w14:paraId="0D33738B"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p>
        </w:tc>
        <w:tc>
          <w:tcPr>
            <w:tcW w:w="1389" w:type="dxa"/>
            <w:vAlign w:val="center"/>
          </w:tcPr>
          <w:p w14:paraId="09E44A08"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4</w:t>
            </w:r>
            <w:r w:rsidRPr="0085474C">
              <w:rPr>
                <w:rFonts w:ascii="Times New Roman" w:eastAsia="宋体" w:hAnsi="Times New Roman" w:cs="Times New Roman"/>
                <w:sz w:val="24"/>
                <w:szCs w:val="24"/>
              </w:rPr>
              <w:t>学时</w:t>
            </w:r>
          </w:p>
        </w:tc>
      </w:tr>
      <w:tr w:rsidR="0085474C" w:rsidRPr="0085474C" w14:paraId="5EBEFCAA" w14:textId="77777777" w:rsidTr="00367215">
        <w:trPr>
          <w:jc w:val="center"/>
        </w:trPr>
        <w:tc>
          <w:tcPr>
            <w:tcW w:w="3043" w:type="dxa"/>
          </w:tcPr>
          <w:p w14:paraId="03041699"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第六章</w:t>
            </w:r>
            <w:r w:rsidRPr="0085474C">
              <w:rPr>
                <w:rFonts w:ascii="Times New Roman" w:eastAsia="宋体" w:hAnsi="Times New Roman" w:cs="Times New Roman" w:hint="eastAsia"/>
                <w:sz w:val="24"/>
                <w:szCs w:val="24"/>
              </w:rPr>
              <w:t xml:space="preserve"> </w:t>
            </w:r>
            <w:r w:rsidRPr="0085474C">
              <w:rPr>
                <w:rFonts w:ascii="Times New Roman" w:eastAsia="宋体" w:hAnsi="Times New Roman" w:cs="Times New Roman" w:hint="eastAsia"/>
                <w:sz w:val="24"/>
                <w:szCs w:val="24"/>
              </w:rPr>
              <w:t>立体化学</w:t>
            </w:r>
          </w:p>
        </w:tc>
        <w:tc>
          <w:tcPr>
            <w:tcW w:w="2800" w:type="dxa"/>
            <w:vAlign w:val="center"/>
          </w:tcPr>
          <w:p w14:paraId="4EE3A115"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讲授法、类比式教学法</w:t>
            </w:r>
          </w:p>
        </w:tc>
        <w:tc>
          <w:tcPr>
            <w:tcW w:w="2125" w:type="dxa"/>
            <w:vAlign w:val="center"/>
          </w:tcPr>
          <w:p w14:paraId="0DA770A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p>
        </w:tc>
        <w:tc>
          <w:tcPr>
            <w:tcW w:w="1389" w:type="dxa"/>
            <w:vAlign w:val="center"/>
          </w:tcPr>
          <w:p w14:paraId="6B98C4B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3</w:t>
            </w:r>
            <w:r w:rsidRPr="0085474C">
              <w:rPr>
                <w:rFonts w:ascii="Times New Roman" w:eastAsia="宋体" w:hAnsi="Times New Roman" w:cs="Times New Roman"/>
                <w:sz w:val="24"/>
                <w:szCs w:val="24"/>
              </w:rPr>
              <w:t>学时</w:t>
            </w:r>
          </w:p>
        </w:tc>
      </w:tr>
      <w:tr w:rsidR="0085474C" w:rsidRPr="0085474C" w14:paraId="6F8DCF8E" w14:textId="77777777" w:rsidTr="00367215">
        <w:trPr>
          <w:jc w:val="center"/>
        </w:trPr>
        <w:tc>
          <w:tcPr>
            <w:tcW w:w="3043" w:type="dxa"/>
          </w:tcPr>
          <w:p w14:paraId="5FEFE67D"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第七章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卤代烃</w:t>
            </w:r>
          </w:p>
        </w:tc>
        <w:tc>
          <w:tcPr>
            <w:tcW w:w="2800" w:type="dxa"/>
            <w:vAlign w:val="center"/>
          </w:tcPr>
          <w:p w14:paraId="116A365C"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讲授法、探究式教学法</w:t>
            </w:r>
          </w:p>
        </w:tc>
        <w:tc>
          <w:tcPr>
            <w:tcW w:w="2125" w:type="dxa"/>
            <w:vAlign w:val="center"/>
          </w:tcPr>
          <w:p w14:paraId="32B41EF2"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p>
        </w:tc>
        <w:tc>
          <w:tcPr>
            <w:tcW w:w="1389" w:type="dxa"/>
            <w:vAlign w:val="center"/>
          </w:tcPr>
          <w:p w14:paraId="4313F43E"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4</w:t>
            </w:r>
            <w:r w:rsidRPr="0085474C">
              <w:rPr>
                <w:rFonts w:ascii="Times New Roman" w:eastAsia="宋体" w:hAnsi="Times New Roman" w:cs="Times New Roman"/>
                <w:sz w:val="24"/>
                <w:szCs w:val="24"/>
              </w:rPr>
              <w:t>学时</w:t>
            </w:r>
          </w:p>
        </w:tc>
      </w:tr>
      <w:tr w:rsidR="0085474C" w:rsidRPr="0085474C" w14:paraId="3BEA7687" w14:textId="77777777" w:rsidTr="00367215">
        <w:trPr>
          <w:jc w:val="center"/>
        </w:trPr>
        <w:tc>
          <w:tcPr>
            <w:tcW w:w="3043" w:type="dxa"/>
          </w:tcPr>
          <w:p w14:paraId="2E605D0B"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hint="eastAsia"/>
                <w:sz w:val="24"/>
                <w:szCs w:val="24"/>
              </w:rPr>
              <w:t>九</w:t>
            </w:r>
            <w:r w:rsidRPr="0085474C">
              <w:rPr>
                <w:rFonts w:ascii="Times New Roman" w:eastAsia="宋体" w:hAnsi="Times New Roman" w:cs="Times New Roman"/>
                <w:sz w:val="24"/>
                <w:szCs w:val="24"/>
              </w:rPr>
              <w:t>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醇</w:t>
            </w:r>
            <w:r w:rsidRPr="0085474C">
              <w:rPr>
                <w:rFonts w:ascii="Times New Roman" w:eastAsia="宋体" w:hAnsi="Times New Roman" w:cs="Times New Roman" w:hint="eastAsia"/>
                <w:sz w:val="24"/>
                <w:szCs w:val="24"/>
              </w:rPr>
              <w:t>和</w:t>
            </w:r>
            <w:proofErr w:type="gramStart"/>
            <w:r w:rsidRPr="0085474C">
              <w:rPr>
                <w:rFonts w:ascii="Times New Roman" w:eastAsia="宋体" w:hAnsi="Times New Roman" w:cs="Times New Roman"/>
                <w:sz w:val="24"/>
                <w:szCs w:val="24"/>
              </w:rPr>
              <w:t>酚</w:t>
            </w:r>
            <w:proofErr w:type="gramEnd"/>
          </w:p>
        </w:tc>
        <w:tc>
          <w:tcPr>
            <w:tcW w:w="2800" w:type="dxa"/>
            <w:vAlign w:val="center"/>
          </w:tcPr>
          <w:p w14:paraId="41DE3C8C"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讲授法、探究式教学法</w:t>
            </w:r>
          </w:p>
        </w:tc>
        <w:tc>
          <w:tcPr>
            <w:tcW w:w="2125" w:type="dxa"/>
            <w:vAlign w:val="center"/>
          </w:tcPr>
          <w:p w14:paraId="05C5A0A1"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p>
        </w:tc>
        <w:tc>
          <w:tcPr>
            <w:tcW w:w="1389" w:type="dxa"/>
            <w:vAlign w:val="center"/>
          </w:tcPr>
          <w:p w14:paraId="09AFE4D5"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4</w:t>
            </w:r>
            <w:r w:rsidRPr="0085474C">
              <w:rPr>
                <w:rFonts w:ascii="Times New Roman" w:eastAsia="宋体" w:hAnsi="Times New Roman" w:cs="Times New Roman"/>
                <w:sz w:val="24"/>
                <w:szCs w:val="24"/>
              </w:rPr>
              <w:t>学时</w:t>
            </w:r>
          </w:p>
        </w:tc>
      </w:tr>
      <w:tr w:rsidR="0085474C" w:rsidRPr="0085474C" w14:paraId="092DEC2C" w14:textId="77777777" w:rsidTr="00367215">
        <w:trPr>
          <w:jc w:val="center"/>
        </w:trPr>
        <w:tc>
          <w:tcPr>
            <w:tcW w:w="3043" w:type="dxa"/>
          </w:tcPr>
          <w:p w14:paraId="2CD1E6E5"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w:t>
            </w:r>
            <w:r w:rsidRPr="0085474C">
              <w:rPr>
                <w:rFonts w:ascii="Times New Roman" w:eastAsia="宋体" w:hAnsi="Times New Roman" w:cs="Times New Roman" w:hint="eastAsia"/>
                <w:sz w:val="24"/>
                <w:szCs w:val="24"/>
              </w:rPr>
              <w:t>十一</w:t>
            </w:r>
            <w:r w:rsidRPr="0085474C">
              <w:rPr>
                <w:rFonts w:ascii="Times New Roman" w:eastAsia="宋体" w:hAnsi="Times New Roman" w:cs="Times New Roman"/>
                <w:sz w:val="24"/>
                <w:szCs w:val="24"/>
              </w:rPr>
              <w:t>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醛</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酮</w:t>
            </w:r>
          </w:p>
        </w:tc>
        <w:tc>
          <w:tcPr>
            <w:tcW w:w="2800" w:type="dxa"/>
            <w:vAlign w:val="center"/>
          </w:tcPr>
          <w:p w14:paraId="0B93AE78"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讲授法、类比式教学法</w:t>
            </w:r>
          </w:p>
        </w:tc>
        <w:tc>
          <w:tcPr>
            <w:tcW w:w="2125" w:type="dxa"/>
            <w:vAlign w:val="center"/>
          </w:tcPr>
          <w:p w14:paraId="3B98EBD0"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p>
        </w:tc>
        <w:tc>
          <w:tcPr>
            <w:tcW w:w="1389" w:type="dxa"/>
            <w:vAlign w:val="center"/>
          </w:tcPr>
          <w:p w14:paraId="749B6992"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4</w:t>
            </w:r>
            <w:r w:rsidRPr="0085474C">
              <w:rPr>
                <w:rFonts w:ascii="Times New Roman" w:eastAsia="宋体" w:hAnsi="Times New Roman" w:cs="Times New Roman"/>
                <w:sz w:val="24"/>
                <w:szCs w:val="24"/>
              </w:rPr>
              <w:t>学时</w:t>
            </w:r>
          </w:p>
        </w:tc>
      </w:tr>
      <w:tr w:rsidR="0085474C" w:rsidRPr="0085474C" w14:paraId="41520847" w14:textId="77777777" w:rsidTr="00367215">
        <w:trPr>
          <w:jc w:val="center"/>
        </w:trPr>
        <w:tc>
          <w:tcPr>
            <w:tcW w:w="3043" w:type="dxa"/>
          </w:tcPr>
          <w:p w14:paraId="41C9F747"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第十</w:t>
            </w:r>
            <w:r w:rsidRPr="0085474C">
              <w:rPr>
                <w:rFonts w:ascii="Times New Roman" w:eastAsia="宋体" w:hAnsi="Times New Roman" w:cs="Times New Roman" w:hint="eastAsia"/>
                <w:sz w:val="24"/>
                <w:szCs w:val="24"/>
              </w:rPr>
              <w:t>二</w:t>
            </w:r>
            <w:r w:rsidRPr="0085474C">
              <w:rPr>
                <w:rFonts w:ascii="Times New Roman" w:eastAsia="宋体" w:hAnsi="Times New Roman" w:cs="Times New Roman"/>
                <w:sz w:val="24"/>
                <w:szCs w:val="24"/>
              </w:rPr>
              <w:t>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羧酸</w:t>
            </w:r>
          </w:p>
        </w:tc>
        <w:tc>
          <w:tcPr>
            <w:tcW w:w="2800" w:type="dxa"/>
            <w:vAlign w:val="center"/>
          </w:tcPr>
          <w:p w14:paraId="7C202778"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讲授法、类比式教学法</w:t>
            </w:r>
          </w:p>
        </w:tc>
        <w:tc>
          <w:tcPr>
            <w:tcW w:w="2125" w:type="dxa"/>
            <w:vAlign w:val="center"/>
          </w:tcPr>
          <w:p w14:paraId="78972E2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p>
        </w:tc>
        <w:tc>
          <w:tcPr>
            <w:tcW w:w="1389" w:type="dxa"/>
            <w:vAlign w:val="center"/>
          </w:tcPr>
          <w:p w14:paraId="5AD1E52E"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3</w:t>
            </w:r>
            <w:r w:rsidRPr="0085474C">
              <w:rPr>
                <w:rFonts w:ascii="Times New Roman" w:eastAsia="宋体" w:hAnsi="Times New Roman" w:cs="Times New Roman"/>
                <w:sz w:val="24"/>
                <w:szCs w:val="24"/>
              </w:rPr>
              <w:t>学时</w:t>
            </w:r>
          </w:p>
        </w:tc>
      </w:tr>
      <w:tr w:rsidR="0085474C" w:rsidRPr="0085474C" w14:paraId="783CFDF6" w14:textId="77777777" w:rsidTr="00367215">
        <w:trPr>
          <w:jc w:val="center"/>
        </w:trPr>
        <w:tc>
          <w:tcPr>
            <w:tcW w:w="3043" w:type="dxa"/>
          </w:tcPr>
          <w:p w14:paraId="03145B39"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第十</w:t>
            </w:r>
            <w:r w:rsidRPr="0085474C">
              <w:rPr>
                <w:rFonts w:ascii="Times New Roman" w:eastAsia="宋体" w:hAnsi="Times New Roman" w:cs="Times New Roman" w:hint="eastAsia"/>
                <w:sz w:val="24"/>
                <w:szCs w:val="24"/>
              </w:rPr>
              <w:t>五</w:t>
            </w:r>
            <w:r w:rsidRPr="0085474C">
              <w:rPr>
                <w:rFonts w:ascii="Times New Roman" w:eastAsia="宋体" w:hAnsi="Times New Roman" w:cs="Times New Roman"/>
                <w:sz w:val="24"/>
                <w:szCs w:val="24"/>
              </w:rPr>
              <w:t>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hint="eastAsia"/>
                <w:sz w:val="24"/>
                <w:szCs w:val="24"/>
              </w:rPr>
              <w:t>胺</w:t>
            </w:r>
          </w:p>
        </w:tc>
        <w:tc>
          <w:tcPr>
            <w:tcW w:w="2800" w:type="dxa"/>
            <w:vAlign w:val="center"/>
          </w:tcPr>
          <w:p w14:paraId="3EFC3B80"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讲授法、探究式教学法</w:t>
            </w:r>
          </w:p>
        </w:tc>
        <w:tc>
          <w:tcPr>
            <w:tcW w:w="2125" w:type="dxa"/>
            <w:vAlign w:val="center"/>
          </w:tcPr>
          <w:p w14:paraId="6D837444"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p>
        </w:tc>
        <w:tc>
          <w:tcPr>
            <w:tcW w:w="1389" w:type="dxa"/>
            <w:vAlign w:val="center"/>
          </w:tcPr>
          <w:p w14:paraId="67105295"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4</w:t>
            </w:r>
            <w:r w:rsidRPr="0085474C">
              <w:rPr>
                <w:rFonts w:ascii="Times New Roman" w:eastAsia="宋体" w:hAnsi="Times New Roman" w:cs="Times New Roman"/>
                <w:sz w:val="24"/>
                <w:szCs w:val="24"/>
              </w:rPr>
              <w:t>学时</w:t>
            </w:r>
          </w:p>
        </w:tc>
      </w:tr>
      <w:tr w:rsidR="0085474C" w:rsidRPr="0085474C" w14:paraId="1D052E86" w14:textId="77777777" w:rsidTr="00367215">
        <w:trPr>
          <w:jc w:val="center"/>
        </w:trPr>
        <w:tc>
          <w:tcPr>
            <w:tcW w:w="3043" w:type="dxa"/>
          </w:tcPr>
          <w:p w14:paraId="56E7AC6B"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第十</w:t>
            </w:r>
            <w:r w:rsidRPr="0085474C">
              <w:rPr>
                <w:rFonts w:ascii="Times New Roman" w:eastAsia="宋体" w:hAnsi="Times New Roman" w:cs="Times New Roman" w:hint="eastAsia"/>
                <w:sz w:val="24"/>
                <w:szCs w:val="24"/>
              </w:rPr>
              <w:t>七</w:t>
            </w:r>
            <w:r w:rsidRPr="0085474C">
              <w:rPr>
                <w:rFonts w:ascii="Times New Roman" w:eastAsia="宋体" w:hAnsi="Times New Roman" w:cs="Times New Roman"/>
                <w:sz w:val="24"/>
                <w:szCs w:val="24"/>
              </w:rPr>
              <w:t>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杂环化合物</w:t>
            </w:r>
          </w:p>
        </w:tc>
        <w:tc>
          <w:tcPr>
            <w:tcW w:w="2800" w:type="dxa"/>
            <w:vAlign w:val="center"/>
          </w:tcPr>
          <w:p w14:paraId="10CE6E00"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讲授法、探究式教学法</w:t>
            </w:r>
          </w:p>
        </w:tc>
        <w:tc>
          <w:tcPr>
            <w:tcW w:w="2125" w:type="dxa"/>
            <w:vAlign w:val="center"/>
          </w:tcPr>
          <w:p w14:paraId="5A5EA368"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p>
        </w:tc>
        <w:tc>
          <w:tcPr>
            <w:tcW w:w="1389" w:type="dxa"/>
            <w:vAlign w:val="center"/>
          </w:tcPr>
          <w:p w14:paraId="7BAFA97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学时</w:t>
            </w:r>
          </w:p>
        </w:tc>
      </w:tr>
      <w:tr w:rsidR="0085474C" w:rsidRPr="0085474C" w14:paraId="4E0547AD" w14:textId="77777777" w:rsidTr="00367215">
        <w:trPr>
          <w:jc w:val="center"/>
        </w:trPr>
        <w:tc>
          <w:tcPr>
            <w:tcW w:w="7968" w:type="dxa"/>
            <w:gridSpan w:val="3"/>
            <w:vAlign w:val="center"/>
          </w:tcPr>
          <w:p w14:paraId="6AD67A8E"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合计</w:t>
            </w:r>
          </w:p>
        </w:tc>
        <w:tc>
          <w:tcPr>
            <w:tcW w:w="1389" w:type="dxa"/>
            <w:vAlign w:val="center"/>
          </w:tcPr>
          <w:p w14:paraId="41289C69"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40</w:t>
            </w:r>
            <w:r w:rsidRPr="0085474C">
              <w:rPr>
                <w:rFonts w:ascii="Times New Roman" w:eastAsia="宋体" w:hAnsi="Times New Roman" w:cs="Times New Roman"/>
                <w:sz w:val="24"/>
                <w:szCs w:val="24"/>
              </w:rPr>
              <w:t>学时</w:t>
            </w:r>
          </w:p>
        </w:tc>
      </w:tr>
    </w:tbl>
    <w:p w14:paraId="3B9BA864" w14:textId="77777777" w:rsidR="0085474C" w:rsidRPr="0085474C" w:rsidRDefault="0085474C" w:rsidP="0085474C">
      <w:pPr>
        <w:spacing w:beforeLines="50" w:before="156" w:afterLines="50" w:after="156" w:line="440" w:lineRule="exact"/>
        <w:ind w:firstLineChars="200" w:firstLine="560"/>
        <w:rPr>
          <w:rFonts w:ascii="宋体" w:eastAsia="宋体" w:hAnsi="宋体" w:cs="Times New Roman"/>
          <w:sz w:val="24"/>
          <w:szCs w:val="24"/>
        </w:rPr>
      </w:pPr>
      <w:r w:rsidRPr="0085474C">
        <w:rPr>
          <w:rFonts w:ascii="黑体" w:eastAsia="黑体" w:hAnsi="黑体" w:cs="Times New Roman" w:hint="eastAsia"/>
          <w:sz w:val="28"/>
          <w:szCs w:val="28"/>
        </w:rPr>
        <w:t>四、课程考核及与课程学习目标的对应关系</w:t>
      </w:r>
    </w:p>
    <w:p w14:paraId="5D97D76C" w14:textId="77777777" w:rsidR="0085474C" w:rsidRPr="0085474C" w:rsidRDefault="0085474C" w:rsidP="0085474C">
      <w:pPr>
        <w:spacing w:beforeLines="50" w:before="156" w:afterLines="50" w:after="156" w:line="440" w:lineRule="exact"/>
        <w:ind w:firstLineChars="200" w:firstLine="560"/>
        <w:rPr>
          <w:rFonts w:ascii="黑体" w:eastAsia="黑体" w:hAnsi="黑体" w:cs="Times New Roman"/>
          <w:sz w:val="28"/>
          <w:szCs w:val="28"/>
        </w:rPr>
      </w:pPr>
      <w:r w:rsidRPr="0085474C">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85474C" w:rsidRPr="0085474C" w14:paraId="4852F831" w14:textId="77777777" w:rsidTr="00367215">
        <w:trPr>
          <w:trHeight w:val="515"/>
          <w:jc w:val="center"/>
        </w:trPr>
        <w:tc>
          <w:tcPr>
            <w:tcW w:w="1422" w:type="dxa"/>
          </w:tcPr>
          <w:p w14:paraId="253034EF"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课程目标</w:t>
            </w:r>
          </w:p>
        </w:tc>
        <w:tc>
          <w:tcPr>
            <w:tcW w:w="7918" w:type="dxa"/>
            <w:vAlign w:val="center"/>
          </w:tcPr>
          <w:p w14:paraId="456B817A"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考核内容</w:t>
            </w:r>
          </w:p>
        </w:tc>
      </w:tr>
      <w:tr w:rsidR="0085474C" w:rsidRPr="0085474C" w14:paraId="3474ED2F" w14:textId="77777777" w:rsidTr="00367215">
        <w:trPr>
          <w:jc w:val="center"/>
        </w:trPr>
        <w:tc>
          <w:tcPr>
            <w:tcW w:w="1422" w:type="dxa"/>
            <w:vAlign w:val="center"/>
          </w:tcPr>
          <w:p w14:paraId="32084598"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1</w:t>
            </w:r>
          </w:p>
        </w:tc>
        <w:tc>
          <w:tcPr>
            <w:tcW w:w="7918" w:type="dxa"/>
            <w:vAlign w:val="center"/>
          </w:tcPr>
          <w:p w14:paraId="0262B13D" w14:textId="77777777" w:rsidR="0085474C" w:rsidRPr="0085474C" w:rsidRDefault="0085474C" w:rsidP="0085474C">
            <w:pPr>
              <w:spacing w:line="440" w:lineRule="exact"/>
              <w:rPr>
                <w:rFonts w:ascii="Times New Roman" w:eastAsia="宋体" w:hAnsi="Times New Roman" w:cs="Times New Roman"/>
                <w:color w:val="000000"/>
                <w:sz w:val="24"/>
                <w:szCs w:val="24"/>
              </w:rPr>
            </w:pPr>
            <w:r w:rsidRPr="0085474C">
              <w:rPr>
                <w:rFonts w:ascii="Times New Roman" w:eastAsia="宋体" w:hAnsi="Times New Roman" w:cs="Times New Roman"/>
                <w:bCs/>
                <w:sz w:val="24"/>
                <w:szCs w:val="24"/>
              </w:rPr>
              <w:t>1.1</w:t>
            </w:r>
            <w:r w:rsidRPr="0085474C">
              <w:rPr>
                <w:rFonts w:ascii="Times New Roman" w:eastAsia="宋体" w:hAnsi="Times New Roman" w:cs="Times New Roman"/>
                <w:color w:val="000000"/>
                <w:sz w:val="24"/>
                <w:szCs w:val="24"/>
              </w:rPr>
              <w:t>常见有机化合物的命名；</w:t>
            </w:r>
          </w:p>
          <w:p w14:paraId="1F361C8C" w14:textId="77777777" w:rsidR="0085474C" w:rsidRPr="0085474C" w:rsidRDefault="0085474C" w:rsidP="0085474C">
            <w:pPr>
              <w:spacing w:line="440" w:lineRule="exact"/>
              <w:rPr>
                <w:rFonts w:ascii="Times New Roman" w:eastAsia="宋体" w:hAnsi="Times New Roman" w:cs="Times New Roman"/>
                <w:color w:val="000000"/>
                <w:sz w:val="24"/>
                <w:szCs w:val="24"/>
              </w:rPr>
            </w:pPr>
            <w:r w:rsidRPr="0085474C">
              <w:rPr>
                <w:rFonts w:ascii="Times New Roman" w:eastAsia="宋体" w:hAnsi="Times New Roman" w:cs="Times New Roman"/>
                <w:bCs/>
                <w:sz w:val="24"/>
                <w:szCs w:val="24"/>
              </w:rPr>
              <w:t>1.2</w:t>
            </w:r>
            <w:r w:rsidRPr="0085474C">
              <w:rPr>
                <w:rFonts w:ascii="Times New Roman" w:eastAsia="宋体" w:hAnsi="Times New Roman" w:cs="Times New Roman"/>
                <w:color w:val="000000"/>
                <w:sz w:val="24"/>
                <w:szCs w:val="24"/>
              </w:rPr>
              <w:t>常见有机化合物的物理和化学性质；</w:t>
            </w:r>
          </w:p>
          <w:p w14:paraId="79F1E0DA" w14:textId="77777777" w:rsidR="0085474C" w:rsidRPr="0085474C" w:rsidRDefault="0085474C" w:rsidP="0085474C">
            <w:pPr>
              <w:spacing w:line="440" w:lineRule="exact"/>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1.3</w:t>
            </w:r>
            <w:r w:rsidRPr="0085474C">
              <w:rPr>
                <w:rFonts w:ascii="Times New Roman" w:eastAsia="宋体" w:hAnsi="Times New Roman" w:cs="Times New Roman"/>
                <w:color w:val="000000"/>
                <w:sz w:val="24"/>
                <w:szCs w:val="24"/>
              </w:rPr>
              <w:t>一般有机化合物分子结构与性能的关系</w:t>
            </w:r>
          </w:p>
          <w:p w14:paraId="4F4C12AA" w14:textId="77777777" w:rsidR="0085474C" w:rsidRPr="0085474C" w:rsidRDefault="0085474C" w:rsidP="0085474C">
            <w:pPr>
              <w:spacing w:line="440" w:lineRule="exact"/>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1.4</w:t>
            </w:r>
            <w:r w:rsidRPr="0085474C">
              <w:rPr>
                <w:rFonts w:ascii="Times New Roman" w:eastAsia="宋体" w:hAnsi="Times New Roman" w:cs="Times New Roman"/>
                <w:color w:val="000000"/>
                <w:sz w:val="24"/>
                <w:szCs w:val="24"/>
              </w:rPr>
              <w:t>自由基取代、亲电加成、</w:t>
            </w:r>
            <w:proofErr w:type="gramStart"/>
            <w:r w:rsidRPr="0085474C">
              <w:rPr>
                <w:rFonts w:ascii="Times New Roman" w:eastAsia="宋体" w:hAnsi="Times New Roman" w:cs="Times New Roman"/>
                <w:color w:val="000000"/>
                <w:sz w:val="24"/>
                <w:szCs w:val="24"/>
              </w:rPr>
              <w:t>亲核加成</w:t>
            </w:r>
            <w:proofErr w:type="gramEnd"/>
            <w:r w:rsidRPr="0085474C">
              <w:rPr>
                <w:rFonts w:ascii="Times New Roman" w:eastAsia="宋体" w:hAnsi="Times New Roman" w:cs="Times New Roman"/>
                <w:color w:val="000000"/>
                <w:sz w:val="24"/>
                <w:szCs w:val="24"/>
              </w:rPr>
              <w:t>、亲电取代、</w:t>
            </w:r>
            <w:proofErr w:type="gramStart"/>
            <w:r w:rsidRPr="0085474C">
              <w:rPr>
                <w:rFonts w:ascii="Times New Roman" w:eastAsia="宋体" w:hAnsi="Times New Roman" w:cs="Times New Roman"/>
                <w:color w:val="000000"/>
                <w:sz w:val="24"/>
                <w:szCs w:val="24"/>
              </w:rPr>
              <w:t>亲核取代</w:t>
            </w:r>
            <w:proofErr w:type="gramEnd"/>
            <w:r w:rsidRPr="0085474C">
              <w:rPr>
                <w:rFonts w:ascii="Times New Roman" w:eastAsia="宋体" w:hAnsi="Times New Roman" w:cs="Times New Roman"/>
                <w:color w:val="000000"/>
                <w:sz w:val="24"/>
                <w:szCs w:val="24"/>
              </w:rPr>
              <w:t>等典型反应的机理</w:t>
            </w:r>
            <w:r w:rsidRPr="0085474C">
              <w:rPr>
                <w:rFonts w:ascii="Times New Roman" w:eastAsia="宋体" w:hAnsi="Times New Roman" w:cs="Times New Roman"/>
                <w:sz w:val="24"/>
                <w:szCs w:val="24"/>
              </w:rPr>
              <w:t>。</w:t>
            </w:r>
          </w:p>
        </w:tc>
      </w:tr>
      <w:tr w:rsidR="0085474C" w:rsidRPr="0085474C" w14:paraId="3334C45C" w14:textId="77777777" w:rsidTr="00367215">
        <w:trPr>
          <w:jc w:val="center"/>
        </w:trPr>
        <w:tc>
          <w:tcPr>
            <w:tcW w:w="1422" w:type="dxa"/>
            <w:vAlign w:val="center"/>
          </w:tcPr>
          <w:p w14:paraId="04BBED5C"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2</w:t>
            </w:r>
          </w:p>
        </w:tc>
        <w:tc>
          <w:tcPr>
            <w:tcW w:w="7918" w:type="dxa"/>
            <w:vAlign w:val="center"/>
          </w:tcPr>
          <w:p w14:paraId="388D8843" w14:textId="77777777" w:rsidR="0085474C" w:rsidRPr="0085474C" w:rsidRDefault="0085474C" w:rsidP="0085474C">
            <w:pPr>
              <w:spacing w:line="440" w:lineRule="exact"/>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2.1</w:t>
            </w:r>
            <w:r w:rsidRPr="0085474C">
              <w:rPr>
                <w:rFonts w:ascii="Times New Roman" w:eastAsia="宋体" w:hAnsi="Times New Roman" w:cs="Times New Roman"/>
                <w:bCs/>
                <w:sz w:val="24"/>
                <w:szCs w:val="24"/>
              </w:rPr>
              <w:t>有机合成路线的设计；</w:t>
            </w:r>
          </w:p>
          <w:p w14:paraId="28B141C4" w14:textId="77777777" w:rsidR="0085474C" w:rsidRPr="0085474C" w:rsidRDefault="0085474C" w:rsidP="0085474C">
            <w:pPr>
              <w:spacing w:line="440" w:lineRule="exact"/>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2.2</w:t>
            </w:r>
            <w:proofErr w:type="gramStart"/>
            <w:r w:rsidRPr="0085474C">
              <w:rPr>
                <w:rFonts w:ascii="Times New Roman" w:eastAsia="宋体" w:hAnsi="Times New Roman" w:cs="Times New Roman"/>
                <w:bCs/>
                <w:sz w:val="24"/>
                <w:szCs w:val="24"/>
              </w:rPr>
              <w:t>各</w:t>
            </w:r>
            <w:proofErr w:type="gramEnd"/>
            <w:r w:rsidRPr="0085474C">
              <w:rPr>
                <w:rFonts w:ascii="Times New Roman" w:eastAsia="宋体" w:hAnsi="Times New Roman" w:cs="Times New Roman"/>
                <w:color w:val="000000"/>
                <w:sz w:val="24"/>
                <w:szCs w:val="24"/>
              </w:rPr>
              <w:t>类有机化合物的定性鉴定、分离方法和某些定量测定方法。</w:t>
            </w:r>
          </w:p>
        </w:tc>
      </w:tr>
      <w:tr w:rsidR="0085474C" w:rsidRPr="0085474C" w14:paraId="022511F7" w14:textId="77777777" w:rsidTr="00367215">
        <w:trPr>
          <w:jc w:val="center"/>
        </w:trPr>
        <w:tc>
          <w:tcPr>
            <w:tcW w:w="1422" w:type="dxa"/>
            <w:vAlign w:val="center"/>
          </w:tcPr>
          <w:p w14:paraId="0A5DD431"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3</w:t>
            </w:r>
          </w:p>
        </w:tc>
        <w:tc>
          <w:tcPr>
            <w:tcW w:w="7918" w:type="dxa"/>
            <w:vAlign w:val="center"/>
          </w:tcPr>
          <w:p w14:paraId="4CA21C50" w14:textId="77777777" w:rsidR="0085474C" w:rsidRPr="0085474C" w:rsidRDefault="0085474C" w:rsidP="0085474C">
            <w:pPr>
              <w:spacing w:line="440" w:lineRule="exact"/>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3.1</w:t>
            </w:r>
            <w:r w:rsidRPr="0085474C">
              <w:rPr>
                <w:rFonts w:ascii="Times New Roman" w:eastAsia="宋体" w:hAnsi="Times New Roman" w:cs="Times New Roman" w:hint="eastAsia"/>
                <w:bCs/>
                <w:sz w:val="24"/>
                <w:szCs w:val="24"/>
              </w:rPr>
              <w:t>文献调研报告</w:t>
            </w:r>
          </w:p>
        </w:tc>
      </w:tr>
    </w:tbl>
    <w:p w14:paraId="632EEF98" w14:textId="77777777" w:rsidR="0085474C" w:rsidRPr="0085474C" w:rsidRDefault="0085474C" w:rsidP="0085474C">
      <w:pPr>
        <w:spacing w:beforeLines="50" w:before="156" w:afterLines="50" w:after="156" w:line="440" w:lineRule="exact"/>
        <w:ind w:firstLineChars="200" w:firstLine="560"/>
        <w:rPr>
          <w:rFonts w:ascii="黑体" w:eastAsia="黑体" w:hAnsi="黑体" w:cs="Times New Roman"/>
          <w:sz w:val="28"/>
          <w:szCs w:val="28"/>
        </w:rPr>
      </w:pPr>
    </w:p>
    <w:p w14:paraId="1AAA8346" w14:textId="77777777" w:rsidR="0085474C" w:rsidRPr="0085474C" w:rsidRDefault="0085474C" w:rsidP="0085474C">
      <w:pPr>
        <w:spacing w:beforeLines="50" w:before="156" w:afterLines="50" w:after="156" w:line="440" w:lineRule="exact"/>
        <w:ind w:firstLineChars="200" w:firstLine="560"/>
        <w:rPr>
          <w:rFonts w:ascii="黑体" w:eastAsia="黑体" w:hAnsi="黑体" w:cs="Times New Roman"/>
          <w:sz w:val="28"/>
          <w:szCs w:val="28"/>
        </w:rPr>
      </w:pPr>
      <w:r w:rsidRPr="0085474C">
        <w:rPr>
          <w:rFonts w:ascii="黑体" w:eastAsia="黑体" w:hAnsi="黑体" w:cs="Times New Roman" w:hint="eastAsia"/>
          <w:sz w:val="28"/>
          <w:szCs w:val="28"/>
        </w:rPr>
        <w:lastRenderedPageBreak/>
        <w:t>（二）课程考核方式</w:t>
      </w:r>
    </w:p>
    <w:p w14:paraId="1A7AD1E0" w14:textId="77777777" w:rsidR="0085474C" w:rsidRPr="0085474C" w:rsidRDefault="0085474C" w:rsidP="0085474C">
      <w:pPr>
        <w:spacing w:line="440" w:lineRule="exact"/>
        <w:ind w:firstLineChars="200" w:firstLine="480"/>
        <w:rPr>
          <w:rFonts w:ascii="宋体" w:eastAsia="宋体" w:hAnsi="宋体" w:cs="Times New Roman"/>
          <w:sz w:val="24"/>
          <w:szCs w:val="24"/>
        </w:rPr>
      </w:pPr>
      <w:r w:rsidRPr="0085474C">
        <w:rPr>
          <w:rFonts w:ascii="宋体" w:eastAsia="宋体" w:hAnsi="宋体" w:cs="Times New Roman" w:hint="eastAsia"/>
          <w:sz w:val="24"/>
          <w:szCs w:val="24"/>
        </w:rPr>
        <w:t>课程考核方式分为平时考核和期末考核。</w:t>
      </w:r>
    </w:p>
    <w:p w14:paraId="74D22FC0"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平时考核包括课堂表现、平时作业、阶段测试</w:t>
      </w:r>
      <w:r w:rsidRPr="0085474C">
        <w:rPr>
          <w:rFonts w:ascii="Times New Roman" w:eastAsia="宋体" w:hAnsi="Times New Roman" w:cs="Times New Roman" w:hint="eastAsia"/>
          <w:sz w:val="24"/>
          <w:szCs w:val="24"/>
        </w:rPr>
        <w:t>、文献调研</w:t>
      </w:r>
      <w:r w:rsidRPr="0085474C">
        <w:rPr>
          <w:rFonts w:ascii="Times New Roman" w:eastAsia="宋体" w:hAnsi="Times New Roman" w:cs="Times New Roman"/>
          <w:sz w:val="24"/>
          <w:szCs w:val="24"/>
        </w:rPr>
        <w:t>；</w:t>
      </w:r>
    </w:p>
    <w:p w14:paraId="3E7ECD7D"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期末考核采用闭卷考试。</w:t>
      </w:r>
    </w:p>
    <w:p w14:paraId="219E0E40" w14:textId="77777777" w:rsidR="0085474C" w:rsidRPr="0085474C" w:rsidRDefault="0085474C" w:rsidP="0085474C">
      <w:pPr>
        <w:spacing w:beforeLines="50" w:before="156" w:afterLines="50" w:after="156" w:line="440" w:lineRule="exact"/>
        <w:ind w:firstLineChars="200" w:firstLine="560"/>
        <w:rPr>
          <w:rFonts w:ascii="黑体" w:eastAsia="黑体" w:hAnsi="黑体" w:cs="Times New Roman"/>
          <w:sz w:val="28"/>
          <w:szCs w:val="28"/>
        </w:rPr>
      </w:pPr>
      <w:r w:rsidRPr="0085474C">
        <w:rPr>
          <w:rFonts w:ascii="黑体" w:eastAsia="黑体" w:hAnsi="黑体" w:cs="Times New Roman" w:hint="eastAsia"/>
          <w:sz w:val="28"/>
          <w:szCs w:val="28"/>
        </w:rPr>
        <w:t>（三）课程目标达成评价方式及考核比例</w:t>
      </w:r>
    </w:p>
    <w:p w14:paraId="47957EEC"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《有机化学》课程考核方式及成绩比例为：课堂表现</w:t>
      </w:r>
      <w:r w:rsidRPr="0085474C">
        <w:rPr>
          <w:rFonts w:ascii="Times New Roman" w:eastAsia="宋体" w:hAnsi="Times New Roman" w:cs="Times New Roman" w:hint="eastAsia"/>
          <w:sz w:val="24"/>
          <w:szCs w:val="24"/>
        </w:rPr>
        <w:t>8</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平时</w:t>
      </w:r>
      <w:r w:rsidRPr="0085474C">
        <w:rPr>
          <w:rFonts w:ascii="Times New Roman" w:eastAsia="宋体" w:hAnsi="Times New Roman" w:cs="Times New Roman"/>
          <w:sz w:val="24"/>
          <w:szCs w:val="24"/>
        </w:rPr>
        <w:t>作业</w:t>
      </w:r>
      <w:r w:rsidRPr="0085474C">
        <w:rPr>
          <w:rFonts w:ascii="Times New Roman" w:eastAsia="宋体" w:hAnsi="Times New Roman" w:cs="Times New Roman" w:hint="eastAsia"/>
          <w:sz w:val="24"/>
          <w:szCs w:val="24"/>
        </w:rPr>
        <w:t>2</w:t>
      </w:r>
      <w:r w:rsidRPr="0085474C">
        <w:rPr>
          <w:rFonts w:ascii="Times New Roman" w:eastAsia="宋体" w:hAnsi="Times New Roman" w:cs="Times New Roman"/>
          <w:sz w:val="24"/>
          <w:szCs w:val="24"/>
        </w:rPr>
        <w:t>0%+</w:t>
      </w:r>
      <w:r w:rsidRPr="0085474C">
        <w:rPr>
          <w:rFonts w:ascii="Times New Roman" w:eastAsia="宋体" w:hAnsi="Times New Roman" w:cs="Times New Roman"/>
          <w:sz w:val="24"/>
          <w:szCs w:val="24"/>
        </w:rPr>
        <w:t>阶段测试</w:t>
      </w:r>
      <w:r w:rsidRPr="0085474C">
        <w:rPr>
          <w:rFonts w:ascii="Times New Roman" w:eastAsia="宋体" w:hAnsi="Times New Roman" w:cs="Times New Roman" w:hint="eastAsia"/>
          <w:sz w:val="24"/>
          <w:szCs w:val="24"/>
        </w:rPr>
        <w:t>12</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文献调研</w:t>
      </w:r>
      <w:r w:rsidRPr="0085474C">
        <w:rPr>
          <w:rFonts w:ascii="Times New Roman" w:eastAsia="宋体" w:hAnsi="Times New Roman" w:cs="Times New Roman" w:hint="eastAsia"/>
          <w:sz w:val="24"/>
          <w:szCs w:val="24"/>
        </w:rPr>
        <w:t>10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期末考试</w:t>
      </w:r>
      <w:r w:rsidRPr="0085474C">
        <w:rPr>
          <w:rFonts w:ascii="Times New Roman" w:eastAsia="宋体" w:hAnsi="Times New Roman" w:cs="Times New Roman"/>
          <w:sz w:val="24"/>
          <w:szCs w:val="24"/>
        </w:rPr>
        <w:t>50%</w:t>
      </w:r>
      <w:r w:rsidRPr="0085474C">
        <w:rPr>
          <w:rFonts w:ascii="Times New Roman" w:eastAsia="宋体" w:hAnsi="Times New Roman" w:cs="Times New Roman"/>
          <w:sz w:val="24"/>
          <w:szCs w:val="24"/>
        </w:rPr>
        <w:t>。</w:t>
      </w:r>
    </w:p>
    <w:p w14:paraId="4D32FD20" w14:textId="77777777" w:rsidR="0085474C" w:rsidRPr="0085474C" w:rsidRDefault="0085474C" w:rsidP="0085474C">
      <w:pPr>
        <w:spacing w:line="440" w:lineRule="exact"/>
        <w:ind w:firstLineChars="200" w:firstLine="480"/>
        <w:rPr>
          <w:rFonts w:ascii="Times New Roman" w:eastAsia="宋体" w:hAnsi="Times New Roman" w:cs="Times New Roman"/>
          <w:szCs w:val="24"/>
        </w:rPr>
      </w:pPr>
      <w:r w:rsidRPr="0085474C">
        <w:rPr>
          <w:rFonts w:ascii="Times New Roman" w:eastAsia="宋体" w:hAnsi="Times New Roman" w:cs="Times New Roman"/>
          <w:sz w:val="24"/>
          <w:szCs w:val="24"/>
        </w:rPr>
        <w:t>本课程共有三个课程目标，考核方式及成绩比例分别为：</w:t>
      </w:r>
    </w:p>
    <w:p w14:paraId="382582DA" w14:textId="77777777" w:rsidR="0085474C" w:rsidRPr="0085474C" w:rsidRDefault="0085474C" w:rsidP="0085474C">
      <w:pPr>
        <w:spacing w:line="440" w:lineRule="exact"/>
        <w:ind w:firstLineChars="200" w:firstLine="480"/>
        <w:rPr>
          <w:rFonts w:ascii="Times New Roman" w:eastAsia="宋体" w:hAnsi="Times New Roman" w:cs="Times New Roman"/>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：课堂表现</w:t>
      </w:r>
      <w:r w:rsidRPr="0085474C">
        <w:rPr>
          <w:rFonts w:ascii="Times New Roman" w:eastAsia="宋体" w:hAnsi="Times New Roman" w:cs="Times New Roman" w:hint="eastAsia"/>
          <w:sz w:val="24"/>
          <w:szCs w:val="24"/>
        </w:rPr>
        <w:t>3</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平时作业</w:t>
      </w:r>
      <w:r w:rsidRPr="0085474C">
        <w:rPr>
          <w:rFonts w:ascii="Times New Roman" w:eastAsia="宋体" w:hAnsi="Times New Roman" w:cs="Times New Roman" w:hint="eastAsia"/>
          <w:sz w:val="24"/>
          <w:szCs w:val="24"/>
        </w:rPr>
        <w:t>12</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阶段测试</w:t>
      </w:r>
      <w:r w:rsidRPr="0085474C">
        <w:rPr>
          <w:rFonts w:ascii="Times New Roman" w:eastAsia="宋体" w:hAnsi="Times New Roman" w:cs="Times New Roman" w:hint="eastAsia"/>
          <w:sz w:val="24"/>
          <w:szCs w:val="24"/>
        </w:rPr>
        <w:t>8</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期末考试</w:t>
      </w:r>
      <w:r w:rsidRPr="0085474C">
        <w:rPr>
          <w:rFonts w:ascii="Times New Roman" w:eastAsia="宋体" w:hAnsi="Times New Roman" w:cs="Times New Roman" w:hint="eastAsia"/>
          <w:sz w:val="24"/>
          <w:szCs w:val="24"/>
        </w:rPr>
        <w:t>32</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p>
    <w:p w14:paraId="1219B0F3" w14:textId="77777777" w:rsidR="0085474C" w:rsidRPr="0085474C" w:rsidRDefault="0085474C" w:rsidP="0085474C">
      <w:pPr>
        <w:spacing w:line="440" w:lineRule="exact"/>
        <w:ind w:firstLineChars="200" w:firstLine="480"/>
        <w:rPr>
          <w:rFonts w:ascii="Times New Roman" w:eastAsia="宋体" w:hAnsi="Times New Roman" w:cs="Times New Roman"/>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：课堂表现</w:t>
      </w:r>
      <w:r w:rsidRPr="0085474C">
        <w:rPr>
          <w:rFonts w:ascii="Times New Roman" w:eastAsia="宋体" w:hAnsi="Times New Roman" w:cs="Times New Roman" w:hint="eastAsia"/>
          <w:sz w:val="24"/>
          <w:szCs w:val="24"/>
        </w:rPr>
        <w:t>2</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平时作业</w:t>
      </w:r>
      <w:r w:rsidRPr="0085474C">
        <w:rPr>
          <w:rFonts w:ascii="Times New Roman" w:eastAsia="宋体" w:hAnsi="Times New Roman" w:cs="Times New Roman" w:hint="eastAsia"/>
          <w:sz w:val="24"/>
          <w:szCs w:val="24"/>
        </w:rPr>
        <w:t>6</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阶段测试</w:t>
      </w:r>
      <w:r w:rsidRPr="0085474C">
        <w:rPr>
          <w:rFonts w:ascii="Times New Roman" w:eastAsia="宋体" w:hAnsi="Times New Roman" w:cs="Times New Roman" w:hint="eastAsia"/>
          <w:sz w:val="24"/>
          <w:szCs w:val="24"/>
        </w:rPr>
        <w:t>4</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期末考试</w:t>
      </w:r>
      <w:r w:rsidRPr="0085474C">
        <w:rPr>
          <w:rFonts w:ascii="Times New Roman" w:eastAsia="宋体" w:hAnsi="Times New Roman" w:cs="Times New Roman" w:hint="eastAsia"/>
          <w:sz w:val="24"/>
          <w:szCs w:val="24"/>
        </w:rPr>
        <w:t>18</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p>
    <w:p w14:paraId="7EA62640" w14:textId="77777777" w:rsidR="0085474C" w:rsidRPr="0085474C" w:rsidRDefault="0085474C" w:rsidP="0085474C">
      <w:pPr>
        <w:spacing w:line="440" w:lineRule="exact"/>
        <w:ind w:firstLineChars="200" w:firstLine="480"/>
        <w:rPr>
          <w:rFonts w:ascii="Times New Roman" w:eastAsia="宋体" w:hAnsi="Times New Roman" w:cs="Times New Roman"/>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文献调研</w:t>
      </w:r>
      <w:r w:rsidRPr="0085474C">
        <w:rPr>
          <w:rFonts w:ascii="Times New Roman" w:eastAsia="宋体" w:hAnsi="Times New Roman" w:cs="Times New Roman" w:hint="eastAsia"/>
          <w:sz w:val="24"/>
          <w:szCs w:val="24"/>
        </w:rPr>
        <w:t>15</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w:t>
      </w:r>
    </w:p>
    <w:p w14:paraId="47166C7F" w14:textId="77777777" w:rsidR="0085474C" w:rsidRPr="0085474C" w:rsidRDefault="0085474C" w:rsidP="0085474C">
      <w:pPr>
        <w:spacing w:line="440" w:lineRule="exact"/>
        <w:ind w:firstLineChars="200" w:firstLine="480"/>
        <w:rPr>
          <w:rFonts w:ascii="宋体" w:eastAsia="宋体" w:hAnsi="宋体" w:cs="Times New Roman"/>
          <w:color w:val="FF0000"/>
          <w:sz w:val="24"/>
          <w:szCs w:val="24"/>
        </w:rPr>
      </w:pPr>
      <w:r w:rsidRPr="0085474C">
        <w:rPr>
          <w:rFonts w:ascii="宋体" w:eastAsia="宋体" w:hAnsi="宋体" w:cs="Times New Roman" w:hint="eastAsia"/>
          <w:sz w:val="24"/>
          <w:szCs w:val="24"/>
        </w:rPr>
        <w:t>如下图：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97"/>
        <w:gridCol w:w="862"/>
        <w:gridCol w:w="900"/>
        <w:gridCol w:w="825"/>
        <w:gridCol w:w="814"/>
        <w:gridCol w:w="839"/>
        <w:gridCol w:w="812"/>
      </w:tblGrid>
      <w:tr w:rsidR="0085474C" w:rsidRPr="0085474C" w14:paraId="674A334A" w14:textId="77777777" w:rsidTr="00367215">
        <w:trPr>
          <w:trHeight w:val="540"/>
          <w:jc w:val="center"/>
        </w:trPr>
        <w:tc>
          <w:tcPr>
            <w:tcW w:w="2197" w:type="dxa"/>
            <w:vMerge w:val="restart"/>
            <w:vAlign w:val="center"/>
          </w:tcPr>
          <w:p w14:paraId="424D18BB"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课程目标</w:t>
            </w:r>
          </w:p>
        </w:tc>
        <w:tc>
          <w:tcPr>
            <w:tcW w:w="4240" w:type="dxa"/>
            <w:gridSpan w:val="5"/>
            <w:vAlign w:val="center"/>
          </w:tcPr>
          <w:p w14:paraId="22BA9A8C"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考核方式及成绩比例（</w:t>
            </w:r>
            <w:r w:rsidRPr="0085474C">
              <w:rPr>
                <w:rFonts w:ascii="Times New Roman" w:eastAsia="宋体" w:hAnsi="Times New Roman" w:cs="Times New Roman"/>
                <w:b/>
                <w:sz w:val="24"/>
                <w:szCs w:val="24"/>
              </w:rPr>
              <w:t>%</w:t>
            </w:r>
            <w:r w:rsidRPr="0085474C">
              <w:rPr>
                <w:rFonts w:ascii="Times New Roman" w:eastAsia="宋体" w:hAnsi="Times New Roman" w:cs="Times New Roman"/>
                <w:b/>
                <w:sz w:val="24"/>
                <w:szCs w:val="24"/>
              </w:rPr>
              <w:t>）</w:t>
            </w:r>
          </w:p>
        </w:tc>
        <w:tc>
          <w:tcPr>
            <w:tcW w:w="812" w:type="dxa"/>
            <w:vAlign w:val="center"/>
          </w:tcPr>
          <w:p w14:paraId="6BC7B3D0"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合计</w:t>
            </w:r>
          </w:p>
        </w:tc>
      </w:tr>
      <w:tr w:rsidR="0085474C" w:rsidRPr="0085474C" w14:paraId="5BBC0AC7" w14:textId="77777777" w:rsidTr="00367215">
        <w:trPr>
          <w:trHeight w:val="578"/>
          <w:jc w:val="center"/>
        </w:trPr>
        <w:tc>
          <w:tcPr>
            <w:tcW w:w="2197" w:type="dxa"/>
            <w:vMerge/>
            <w:vAlign w:val="center"/>
          </w:tcPr>
          <w:p w14:paraId="249E7A1F" w14:textId="77777777" w:rsidR="0085474C" w:rsidRPr="0085474C" w:rsidRDefault="0085474C" w:rsidP="0085474C">
            <w:pPr>
              <w:spacing w:line="440" w:lineRule="exact"/>
              <w:jc w:val="center"/>
              <w:rPr>
                <w:rFonts w:ascii="Times New Roman" w:eastAsia="宋体" w:hAnsi="Times New Roman" w:cs="Times New Roman"/>
                <w:b/>
                <w:sz w:val="24"/>
                <w:szCs w:val="24"/>
              </w:rPr>
            </w:pPr>
          </w:p>
        </w:tc>
        <w:tc>
          <w:tcPr>
            <w:tcW w:w="862" w:type="dxa"/>
            <w:vAlign w:val="center"/>
          </w:tcPr>
          <w:p w14:paraId="6EBFC1BD"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课堂</w:t>
            </w:r>
          </w:p>
          <w:p w14:paraId="4D785EA1"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表现</w:t>
            </w:r>
          </w:p>
        </w:tc>
        <w:tc>
          <w:tcPr>
            <w:tcW w:w="900" w:type="dxa"/>
            <w:vAlign w:val="center"/>
          </w:tcPr>
          <w:p w14:paraId="1DD320C7"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平时</w:t>
            </w:r>
          </w:p>
          <w:p w14:paraId="479D4769"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作业</w:t>
            </w:r>
          </w:p>
        </w:tc>
        <w:tc>
          <w:tcPr>
            <w:tcW w:w="825" w:type="dxa"/>
            <w:vAlign w:val="center"/>
          </w:tcPr>
          <w:p w14:paraId="77C96E2B"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阶段</w:t>
            </w:r>
          </w:p>
          <w:p w14:paraId="05945E76"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测试</w:t>
            </w:r>
          </w:p>
        </w:tc>
        <w:tc>
          <w:tcPr>
            <w:tcW w:w="814" w:type="dxa"/>
            <w:vAlign w:val="center"/>
          </w:tcPr>
          <w:p w14:paraId="27F88BA4"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hint="eastAsia"/>
                <w:b/>
                <w:sz w:val="24"/>
                <w:szCs w:val="24"/>
              </w:rPr>
              <w:t>文献调研</w:t>
            </w:r>
          </w:p>
        </w:tc>
        <w:tc>
          <w:tcPr>
            <w:tcW w:w="839" w:type="dxa"/>
            <w:vAlign w:val="center"/>
          </w:tcPr>
          <w:p w14:paraId="0511E3F4"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期末</w:t>
            </w:r>
          </w:p>
          <w:p w14:paraId="1A62C529"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考试</w:t>
            </w:r>
          </w:p>
        </w:tc>
        <w:tc>
          <w:tcPr>
            <w:tcW w:w="812" w:type="dxa"/>
            <w:vAlign w:val="center"/>
          </w:tcPr>
          <w:p w14:paraId="5A326E3D" w14:textId="77777777" w:rsidR="0085474C" w:rsidRPr="0085474C" w:rsidRDefault="0085474C" w:rsidP="0085474C">
            <w:pPr>
              <w:spacing w:line="440" w:lineRule="exact"/>
              <w:jc w:val="center"/>
              <w:rPr>
                <w:rFonts w:ascii="Times New Roman" w:eastAsia="宋体" w:hAnsi="Times New Roman" w:cs="Times New Roman"/>
                <w:b/>
                <w:sz w:val="24"/>
                <w:szCs w:val="24"/>
              </w:rPr>
            </w:pPr>
          </w:p>
        </w:tc>
      </w:tr>
      <w:tr w:rsidR="0085474C" w:rsidRPr="0085474C" w14:paraId="7E2EE376" w14:textId="77777777" w:rsidTr="00367215">
        <w:trPr>
          <w:jc w:val="center"/>
        </w:trPr>
        <w:tc>
          <w:tcPr>
            <w:tcW w:w="2197" w:type="dxa"/>
            <w:vAlign w:val="center"/>
          </w:tcPr>
          <w:p w14:paraId="57F64E5B"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1</w:t>
            </w:r>
          </w:p>
        </w:tc>
        <w:tc>
          <w:tcPr>
            <w:tcW w:w="862" w:type="dxa"/>
            <w:vAlign w:val="center"/>
          </w:tcPr>
          <w:p w14:paraId="1F28DFA3"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3</w:t>
            </w:r>
          </w:p>
        </w:tc>
        <w:tc>
          <w:tcPr>
            <w:tcW w:w="900" w:type="dxa"/>
            <w:vAlign w:val="center"/>
          </w:tcPr>
          <w:p w14:paraId="7E183D3D"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12</w:t>
            </w:r>
          </w:p>
        </w:tc>
        <w:tc>
          <w:tcPr>
            <w:tcW w:w="825" w:type="dxa"/>
            <w:vAlign w:val="center"/>
          </w:tcPr>
          <w:p w14:paraId="02F242E0"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8</w:t>
            </w:r>
          </w:p>
        </w:tc>
        <w:tc>
          <w:tcPr>
            <w:tcW w:w="814" w:type="dxa"/>
            <w:vAlign w:val="center"/>
          </w:tcPr>
          <w:p w14:paraId="22FC4CA4"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0</w:t>
            </w:r>
          </w:p>
        </w:tc>
        <w:tc>
          <w:tcPr>
            <w:tcW w:w="839" w:type="dxa"/>
            <w:vAlign w:val="center"/>
          </w:tcPr>
          <w:p w14:paraId="4414EB13"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32</w:t>
            </w:r>
          </w:p>
        </w:tc>
        <w:tc>
          <w:tcPr>
            <w:tcW w:w="812" w:type="dxa"/>
            <w:vAlign w:val="center"/>
          </w:tcPr>
          <w:p w14:paraId="718B0AEC"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55</w:t>
            </w:r>
          </w:p>
        </w:tc>
      </w:tr>
      <w:tr w:rsidR="0085474C" w:rsidRPr="0085474C" w14:paraId="183B8C45" w14:textId="77777777" w:rsidTr="00367215">
        <w:trPr>
          <w:jc w:val="center"/>
        </w:trPr>
        <w:tc>
          <w:tcPr>
            <w:tcW w:w="2197" w:type="dxa"/>
            <w:vAlign w:val="center"/>
          </w:tcPr>
          <w:p w14:paraId="67D91D13"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2</w:t>
            </w:r>
          </w:p>
        </w:tc>
        <w:tc>
          <w:tcPr>
            <w:tcW w:w="862" w:type="dxa"/>
            <w:vAlign w:val="center"/>
          </w:tcPr>
          <w:p w14:paraId="0F3D61CF"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2</w:t>
            </w:r>
          </w:p>
        </w:tc>
        <w:tc>
          <w:tcPr>
            <w:tcW w:w="900" w:type="dxa"/>
            <w:vAlign w:val="center"/>
          </w:tcPr>
          <w:p w14:paraId="40DDF7FF"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6</w:t>
            </w:r>
          </w:p>
        </w:tc>
        <w:tc>
          <w:tcPr>
            <w:tcW w:w="825" w:type="dxa"/>
            <w:vAlign w:val="center"/>
          </w:tcPr>
          <w:p w14:paraId="1E7FDB83"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4</w:t>
            </w:r>
          </w:p>
        </w:tc>
        <w:tc>
          <w:tcPr>
            <w:tcW w:w="814" w:type="dxa"/>
            <w:vAlign w:val="center"/>
          </w:tcPr>
          <w:p w14:paraId="2A14FD51"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0</w:t>
            </w:r>
          </w:p>
        </w:tc>
        <w:tc>
          <w:tcPr>
            <w:tcW w:w="839" w:type="dxa"/>
            <w:vAlign w:val="center"/>
          </w:tcPr>
          <w:p w14:paraId="0246E645"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18</w:t>
            </w:r>
          </w:p>
        </w:tc>
        <w:tc>
          <w:tcPr>
            <w:tcW w:w="812" w:type="dxa"/>
            <w:vAlign w:val="center"/>
          </w:tcPr>
          <w:p w14:paraId="74FC905F"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30</w:t>
            </w:r>
          </w:p>
        </w:tc>
      </w:tr>
      <w:tr w:rsidR="0085474C" w:rsidRPr="0085474C" w14:paraId="7076A81E" w14:textId="77777777" w:rsidTr="00367215">
        <w:trPr>
          <w:jc w:val="center"/>
        </w:trPr>
        <w:tc>
          <w:tcPr>
            <w:tcW w:w="2197" w:type="dxa"/>
            <w:vAlign w:val="center"/>
          </w:tcPr>
          <w:p w14:paraId="3F80F1EE"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3</w:t>
            </w:r>
          </w:p>
        </w:tc>
        <w:tc>
          <w:tcPr>
            <w:tcW w:w="862" w:type="dxa"/>
            <w:vAlign w:val="center"/>
          </w:tcPr>
          <w:p w14:paraId="50CE2082"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0</w:t>
            </w:r>
          </w:p>
        </w:tc>
        <w:tc>
          <w:tcPr>
            <w:tcW w:w="900" w:type="dxa"/>
            <w:vAlign w:val="center"/>
          </w:tcPr>
          <w:p w14:paraId="0EC20E65"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0</w:t>
            </w:r>
          </w:p>
        </w:tc>
        <w:tc>
          <w:tcPr>
            <w:tcW w:w="825" w:type="dxa"/>
            <w:vAlign w:val="center"/>
          </w:tcPr>
          <w:p w14:paraId="45AEF323"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0</w:t>
            </w:r>
          </w:p>
        </w:tc>
        <w:tc>
          <w:tcPr>
            <w:tcW w:w="814" w:type="dxa"/>
            <w:vAlign w:val="center"/>
          </w:tcPr>
          <w:p w14:paraId="63B25344"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15</w:t>
            </w:r>
          </w:p>
        </w:tc>
        <w:tc>
          <w:tcPr>
            <w:tcW w:w="839" w:type="dxa"/>
            <w:vAlign w:val="center"/>
          </w:tcPr>
          <w:p w14:paraId="4B313178"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0</w:t>
            </w:r>
          </w:p>
        </w:tc>
        <w:tc>
          <w:tcPr>
            <w:tcW w:w="812" w:type="dxa"/>
            <w:vAlign w:val="center"/>
          </w:tcPr>
          <w:p w14:paraId="3943934C"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15</w:t>
            </w:r>
          </w:p>
        </w:tc>
      </w:tr>
      <w:tr w:rsidR="0085474C" w:rsidRPr="0085474C" w14:paraId="0143D4DF" w14:textId="77777777" w:rsidTr="00367215">
        <w:trPr>
          <w:jc w:val="center"/>
        </w:trPr>
        <w:tc>
          <w:tcPr>
            <w:tcW w:w="2197" w:type="dxa"/>
            <w:vAlign w:val="center"/>
          </w:tcPr>
          <w:p w14:paraId="131C7B1E"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合计</w:t>
            </w:r>
          </w:p>
        </w:tc>
        <w:tc>
          <w:tcPr>
            <w:tcW w:w="862" w:type="dxa"/>
            <w:vAlign w:val="center"/>
          </w:tcPr>
          <w:p w14:paraId="46ABD6E2"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5</w:t>
            </w:r>
          </w:p>
        </w:tc>
        <w:tc>
          <w:tcPr>
            <w:tcW w:w="900" w:type="dxa"/>
            <w:vAlign w:val="center"/>
          </w:tcPr>
          <w:p w14:paraId="495F83A7"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18</w:t>
            </w:r>
          </w:p>
        </w:tc>
        <w:tc>
          <w:tcPr>
            <w:tcW w:w="825" w:type="dxa"/>
            <w:vAlign w:val="center"/>
          </w:tcPr>
          <w:p w14:paraId="704A788E"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12</w:t>
            </w:r>
          </w:p>
        </w:tc>
        <w:tc>
          <w:tcPr>
            <w:tcW w:w="814" w:type="dxa"/>
            <w:vAlign w:val="center"/>
          </w:tcPr>
          <w:p w14:paraId="73FFC616"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15</w:t>
            </w:r>
          </w:p>
        </w:tc>
        <w:tc>
          <w:tcPr>
            <w:tcW w:w="839" w:type="dxa"/>
            <w:vAlign w:val="center"/>
          </w:tcPr>
          <w:p w14:paraId="365F266A"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50</w:t>
            </w:r>
          </w:p>
        </w:tc>
        <w:tc>
          <w:tcPr>
            <w:tcW w:w="812" w:type="dxa"/>
            <w:vAlign w:val="center"/>
          </w:tcPr>
          <w:p w14:paraId="7B51840D"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100</w:t>
            </w:r>
          </w:p>
        </w:tc>
      </w:tr>
    </w:tbl>
    <w:p w14:paraId="224A2317" w14:textId="77777777" w:rsidR="0085474C" w:rsidRPr="0085474C" w:rsidRDefault="0085474C" w:rsidP="0085474C">
      <w:pPr>
        <w:spacing w:beforeLines="50" w:before="156" w:afterLines="50" w:after="156" w:line="440" w:lineRule="exact"/>
        <w:ind w:firstLineChars="200" w:firstLine="560"/>
        <w:rPr>
          <w:rFonts w:ascii="黑体" w:eastAsia="黑体" w:hAnsi="黑体" w:cs="Times New Roman"/>
          <w:sz w:val="28"/>
          <w:szCs w:val="28"/>
        </w:rPr>
      </w:pPr>
      <w:r w:rsidRPr="0085474C">
        <w:rPr>
          <w:rFonts w:ascii="黑体" w:eastAsia="黑体" w:hAnsi="黑体" w:cs="Times New Roman" w:hint="eastAsia"/>
          <w:sz w:val="28"/>
          <w:szCs w:val="28"/>
        </w:rPr>
        <w:t>五、成绩评定</w:t>
      </w:r>
    </w:p>
    <w:p w14:paraId="1130E60D" w14:textId="77777777" w:rsidR="0085474C" w:rsidRPr="0085474C" w:rsidRDefault="0085474C" w:rsidP="0085474C">
      <w:pPr>
        <w:spacing w:beforeLines="50" w:before="156" w:afterLines="50" w:after="156" w:line="440" w:lineRule="exact"/>
        <w:ind w:firstLineChars="200" w:firstLine="560"/>
        <w:rPr>
          <w:rFonts w:ascii="黑体" w:eastAsia="黑体" w:hAnsi="黑体" w:cs="Times New Roman"/>
          <w:sz w:val="28"/>
          <w:szCs w:val="28"/>
        </w:rPr>
      </w:pPr>
      <w:r w:rsidRPr="0085474C">
        <w:rPr>
          <w:rFonts w:ascii="黑体" w:eastAsia="黑体" w:hAnsi="黑体" w:cs="Times New Roman" w:hint="eastAsia"/>
          <w:sz w:val="28"/>
          <w:szCs w:val="28"/>
        </w:rPr>
        <w:t>（一）总成绩评定</w:t>
      </w:r>
    </w:p>
    <w:p w14:paraId="1BF644A6"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总成绩</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平时成绩</w:t>
      </w:r>
      <w:r w:rsidRPr="0085474C">
        <w:rPr>
          <w:rFonts w:ascii="Times New Roman" w:eastAsia="宋体" w:hAnsi="Times New Roman" w:cs="Times New Roman"/>
          <w:sz w:val="24"/>
          <w:szCs w:val="24"/>
        </w:rPr>
        <w:t>×50%+</w:t>
      </w:r>
      <w:r w:rsidRPr="0085474C">
        <w:rPr>
          <w:rFonts w:ascii="Times New Roman" w:eastAsia="宋体" w:hAnsi="Times New Roman" w:cs="Times New Roman"/>
          <w:sz w:val="24"/>
          <w:szCs w:val="24"/>
        </w:rPr>
        <w:t>期末成绩</w:t>
      </w:r>
      <w:r w:rsidRPr="0085474C">
        <w:rPr>
          <w:rFonts w:ascii="Times New Roman" w:eastAsia="宋体" w:hAnsi="Times New Roman" w:cs="Times New Roman"/>
          <w:sz w:val="24"/>
          <w:szCs w:val="24"/>
        </w:rPr>
        <w:t>×50%</w:t>
      </w:r>
    </w:p>
    <w:p w14:paraId="51B44DD0" w14:textId="77777777" w:rsidR="0085474C" w:rsidRPr="0085474C" w:rsidRDefault="0085474C" w:rsidP="0085474C">
      <w:pPr>
        <w:spacing w:beforeLines="50" w:before="156" w:afterLines="50" w:after="156" w:line="440" w:lineRule="exact"/>
        <w:ind w:firstLineChars="200" w:firstLine="560"/>
        <w:rPr>
          <w:rFonts w:ascii="宋体" w:eastAsia="宋体" w:hAnsi="宋体" w:cs="Times New Roman"/>
          <w:color w:val="FF0000"/>
          <w:sz w:val="24"/>
          <w:szCs w:val="24"/>
        </w:rPr>
      </w:pPr>
      <w:r w:rsidRPr="0085474C">
        <w:rPr>
          <w:rFonts w:ascii="黑体" w:eastAsia="黑体" w:hAnsi="黑体" w:cs="Times New Roman" w:hint="eastAsia"/>
          <w:sz w:val="28"/>
          <w:szCs w:val="28"/>
        </w:rPr>
        <w:t>（二）平时成绩评定</w:t>
      </w:r>
    </w:p>
    <w:p w14:paraId="0D19FAEC"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平时成绩（</w:t>
      </w:r>
      <w:r w:rsidRPr="0085474C">
        <w:rPr>
          <w:rFonts w:ascii="Times New Roman" w:eastAsia="宋体" w:hAnsi="Times New Roman" w:cs="Times New Roman"/>
          <w:sz w:val="24"/>
          <w:szCs w:val="24"/>
        </w:rPr>
        <w:t>100%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课堂表现（</w:t>
      </w:r>
      <w:r w:rsidRPr="0085474C">
        <w:rPr>
          <w:rFonts w:ascii="Times New Roman" w:eastAsia="宋体" w:hAnsi="Times New Roman" w:cs="Times New Roman" w:hint="eastAsia"/>
          <w:sz w:val="24"/>
          <w:szCs w:val="24"/>
        </w:rPr>
        <w:t>10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平时</w:t>
      </w:r>
      <w:r w:rsidRPr="0085474C">
        <w:rPr>
          <w:rFonts w:ascii="Times New Roman" w:eastAsia="宋体" w:hAnsi="Times New Roman" w:cs="Times New Roman"/>
          <w:sz w:val="24"/>
          <w:szCs w:val="24"/>
        </w:rPr>
        <w:t>作业（</w:t>
      </w:r>
      <w:r w:rsidRPr="0085474C">
        <w:rPr>
          <w:rFonts w:ascii="Times New Roman" w:eastAsia="宋体" w:hAnsi="Times New Roman" w:cs="Times New Roman" w:hint="eastAsia"/>
          <w:sz w:val="24"/>
          <w:szCs w:val="24"/>
        </w:rPr>
        <w:t>36</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阶段测试（</w:t>
      </w:r>
      <w:r w:rsidRPr="0085474C">
        <w:rPr>
          <w:rFonts w:ascii="Times New Roman" w:eastAsia="宋体" w:hAnsi="Times New Roman" w:cs="Times New Roman" w:hint="eastAsia"/>
          <w:sz w:val="24"/>
          <w:szCs w:val="24"/>
        </w:rPr>
        <w:t>24</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color w:val="000000"/>
          <w:sz w:val="24"/>
          <w:szCs w:val="24"/>
        </w:rPr>
        <w:t>文献调研</w:t>
      </w:r>
      <w:r w:rsidRPr="0085474C">
        <w:rPr>
          <w:rFonts w:ascii="Times New Roman" w:eastAsia="宋体" w:hAnsi="Times New Roman" w:cs="Times New Roman"/>
          <w:color w:val="000000"/>
          <w:sz w:val="24"/>
          <w:szCs w:val="24"/>
        </w:rPr>
        <w:t>（</w:t>
      </w:r>
      <w:r w:rsidRPr="0085474C">
        <w:rPr>
          <w:rFonts w:ascii="Times New Roman" w:eastAsia="宋体" w:hAnsi="Times New Roman" w:cs="Times New Roman" w:hint="eastAsia"/>
          <w:sz w:val="24"/>
          <w:szCs w:val="24"/>
        </w:rPr>
        <w:t>3</w:t>
      </w:r>
      <w:r w:rsidRPr="0085474C">
        <w:rPr>
          <w:rFonts w:ascii="Times New Roman" w:eastAsia="宋体" w:hAnsi="Times New Roman" w:cs="Times New Roman"/>
          <w:sz w:val="24"/>
          <w:szCs w:val="24"/>
        </w:rPr>
        <w:t>0%</w:t>
      </w:r>
      <w:r w:rsidRPr="0085474C">
        <w:rPr>
          <w:rFonts w:ascii="Times New Roman" w:eastAsia="宋体" w:hAnsi="Times New Roman" w:cs="Times New Roman"/>
          <w:sz w:val="24"/>
          <w:szCs w:val="24"/>
        </w:rPr>
        <w:t>）</w:t>
      </w:r>
    </w:p>
    <w:p w14:paraId="38BBDD24"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）课堂表现：</w:t>
      </w:r>
      <w:r w:rsidRPr="0085474C">
        <w:rPr>
          <w:rFonts w:ascii="Times New Roman" w:eastAsia="宋体" w:hAnsi="Times New Roman" w:cs="Times New Roman" w:hint="eastAsia"/>
          <w:sz w:val="24"/>
          <w:szCs w:val="24"/>
        </w:rPr>
        <w:t>包括线下课堂表现（</w:t>
      </w:r>
      <w:r w:rsidRPr="0085474C">
        <w:rPr>
          <w:rFonts w:ascii="Times New Roman" w:eastAsia="宋体" w:hAnsi="Times New Roman" w:cs="Times New Roman" w:hint="eastAsia"/>
          <w:sz w:val="24"/>
          <w:szCs w:val="24"/>
        </w:rPr>
        <w:t>50%</w:t>
      </w:r>
      <w:r w:rsidRPr="0085474C">
        <w:rPr>
          <w:rFonts w:ascii="Times New Roman" w:eastAsia="宋体" w:hAnsi="Times New Roman" w:cs="Times New Roman" w:hint="eastAsia"/>
          <w:sz w:val="24"/>
          <w:szCs w:val="24"/>
        </w:rPr>
        <w:t>）和线上课程表现（</w:t>
      </w:r>
      <w:r w:rsidRPr="0085474C">
        <w:rPr>
          <w:rFonts w:ascii="Times New Roman" w:eastAsia="宋体" w:hAnsi="Times New Roman" w:cs="Times New Roman" w:hint="eastAsia"/>
          <w:sz w:val="24"/>
          <w:szCs w:val="24"/>
        </w:rPr>
        <w:t>50%</w:t>
      </w:r>
      <w:r w:rsidRPr="0085474C">
        <w:rPr>
          <w:rFonts w:ascii="Times New Roman" w:eastAsia="宋体" w:hAnsi="Times New Roman" w:cs="Times New Roman" w:hint="eastAsia"/>
          <w:sz w:val="24"/>
          <w:szCs w:val="24"/>
        </w:rPr>
        <w:t>）两部分。线下课堂表现</w:t>
      </w:r>
      <w:r w:rsidRPr="0085474C">
        <w:rPr>
          <w:rFonts w:ascii="Times New Roman" w:eastAsia="宋体" w:hAnsi="Times New Roman" w:cs="Times New Roman"/>
          <w:sz w:val="24"/>
          <w:szCs w:val="24"/>
        </w:rPr>
        <w:t>通过学生在课堂上的纪律情况、发言与提问情况，来评价学生相关的能力。</w:t>
      </w:r>
      <w:r w:rsidRPr="0085474C">
        <w:rPr>
          <w:rFonts w:ascii="Times New Roman" w:eastAsia="宋体" w:hAnsi="Times New Roman" w:cs="Times New Roman" w:hint="eastAsia"/>
          <w:sz w:val="24"/>
          <w:szCs w:val="24"/>
        </w:rPr>
        <w:t>线下</w:t>
      </w:r>
      <w:r w:rsidRPr="0085474C">
        <w:rPr>
          <w:rFonts w:ascii="Times New Roman" w:eastAsia="宋体" w:hAnsi="Times New Roman" w:cs="Times New Roman"/>
          <w:sz w:val="24"/>
          <w:szCs w:val="24"/>
        </w:rPr>
        <w:t>课堂表现满分为</w:t>
      </w:r>
      <w:r w:rsidRPr="0085474C">
        <w:rPr>
          <w:rFonts w:ascii="Times New Roman" w:eastAsia="宋体" w:hAnsi="Times New Roman" w:cs="Times New Roman"/>
          <w:sz w:val="24"/>
          <w:szCs w:val="24"/>
        </w:rPr>
        <w:t>100</w:t>
      </w:r>
      <w:r w:rsidRPr="0085474C">
        <w:rPr>
          <w:rFonts w:ascii="Times New Roman" w:eastAsia="宋体" w:hAnsi="Times New Roman" w:cs="Times New Roman"/>
          <w:sz w:val="24"/>
          <w:szCs w:val="24"/>
        </w:rPr>
        <w:t>分，基本要求：遵守课堂纪律；积极参与课堂讨论；</w:t>
      </w:r>
      <w:r w:rsidRPr="0085474C">
        <w:rPr>
          <w:rFonts w:ascii="Times New Roman" w:eastAsia="宋体" w:hAnsi="Times New Roman" w:cs="Times New Roman" w:hint="eastAsia"/>
          <w:sz w:val="24"/>
          <w:szCs w:val="24"/>
        </w:rPr>
        <w:t>线上课</w:t>
      </w:r>
      <w:r w:rsidRPr="0085474C">
        <w:rPr>
          <w:rFonts w:ascii="Times New Roman" w:eastAsia="宋体" w:hAnsi="Times New Roman" w:cs="Times New Roman" w:hint="eastAsia"/>
          <w:sz w:val="24"/>
          <w:szCs w:val="24"/>
        </w:rPr>
        <w:lastRenderedPageBreak/>
        <w:t>程按时完成</w:t>
      </w:r>
      <w:r w:rsidRPr="0085474C">
        <w:rPr>
          <w:rFonts w:ascii="Times New Roman" w:eastAsia="宋体" w:hAnsi="Times New Roman" w:cs="Times New Roman"/>
          <w:sz w:val="24"/>
          <w:szCs w:val="24"/>
        </w:rPr>
        <w:t>。线上课程</w:t>
      </w:r>
      <w:r w:rsidRPr="0085474C">
        <w:rPr>
          <w:rFonts w:ascii="Times New Roman" w:eastAsia="宋体" w:hAnsi="Times New Roman" w:cs="Times New Roman" w:hint="eastAsia"/>
          <w:sz w:val="24"/>
          <w:szCs w:val="24"/>
        </w:rPr>
        <w:t>表现</w:t>
      </w:r>
      <w:r w:rsidRPr="0085474C">
        <w:rPr>
          <w:rFonts w:ascii="Times New Roman" w:eastAsia="宋体" w:hAnsi="Times New Roman" w:cs="Times New Roman"/>
          <w:sz w:val="24"/>
          <w:szCs w:val="24"/>
        </w:rPr>
        <w:t>通过学生线上课程次数和完成度，来评价学生的学习态度和积极性；线上课程满分为</w:t>
      </w:r>
      <w:r w:rsidRPr="0085474C">
        <w:rPr>
          <w:rFonts w:ascii="Times New Roman" w:eastAsia="宋体" w:hAnsi="Times New Roman" w:cs="Times New Roman"/>
          <w:sz w:val="24"/>
          <w:szCs w:val="24"/>
        </w:rPr>
        <w:t>100</w:t>
      </w:r>
      <w:r w:rsidRPr="0085474C">
        <w:rPr>
          <w:rFonts w:ascii="Times New Roman" w:eastAsia="宋体" w:hAnsi="Times New Roman" w:cs="Times New Roman"/>
          <w:sz w:val="24"/>
          <w:szCs w:val="24"/>
        </w:rPr>
        <w:t>分，</w:t>
      </w:r>
      <w:r w:rsidRPr="0085474C">
        <w:rPr>
          <w:rFonts w:ascii="Times New Roman" w:eastAsia="宋体" w:hAnsi="Times New Roman" w:cs="Times New Roman" w:hint="eastAsia"/>
          <w:sz w:val="24"/>
          <w:szCs w:val="24"/>
        </w:rPr>
        <w:t>线上课程内容主要包括补充、扩展学习资料</w:t>
      </w:r>
      <w:r w:rsidRPr="0085474C">
        <w:rPr>
          <w:rFonts w:ascii="Times New Roman" w:eastAsia="宋体" w:hAnsi="Times New Roman" w:cs="Times New Roman"/>
          <w:sz w:val="24"/>
          <w:szCs w:val="24"/>
        </w:rPr>
        <w:t>，每课时的视频全部观看完成</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则计为满分。</w:t>
      </w:r>
    </w:p>
    <w:p w14:paraId="1A1F8AC4" w14:textId="77777777" w:rsidR="0085474C" w:rsidRPr="0085474C" w:rsidRDefault="0085474C" w:rsidP="0085474C">
      <w:pPr>
        <w:spacing w:line="440" w:lineRule="exact"/>
        <w:ind w:firstLineChars="200" w:firstLine="480"/>
        <w:rPr>
          <w:rFonts w:ascii="Times New Roman" w:eastAsia="宋体" w:hAnsi="Times New Roman" w:cs="Times New Roman"/>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2</w:t>
      </w:r>
      <w:r w:rsidRPr="0085474C">
        <w:rPr>
          <w:rFonts w:ascii="Times New Roman" w:eastAsia="宋体" w:hAnsi="Times New Roman" w:cs="Times New Roman"/>
          <w:sz w:val="24"/>
          <w:szCs w:val="24"/>
        </w:rPr>
        <w:t>）平时作业：围绕课程的学习目标进行作业的设计。</w:t>
      </w:r>
      <w:r w:rsidRPr="0085474C">
        <w:rPr>
          <w:rFonts w:ascii="Times New Roman" w:eastAsia="宋体" w:hAnsi="Times New Roman" w:cs="Times New Roman" w:hint="eastAsia"/>
          <w:sz w:val="24"/>
          <w:szCs w:val="24"/>
        </w:rPr>
        <w:t>考察学生</w:t>
      </w:r>
      <w:r w:rsidRPr="0085474C">
        <w:rPr>
          <w:rFonts w:ascii="Times New Roman" w:eastAsia="宋体" w:hAnsi="Times New Roman" w:cs="Times New Roman"/>
          <w:sz w:val="24"/>
          <w:szCs w:val="24"/>
        </w:rPr>
        <w:t>对知识的认识，对概念的理解，帮助学生将定义转化为自己的理解；平时作业满分为</w:t>
      </w:r>
      <w:r w:rsidRPr="0085474C">
        <w:rPr>
          <w:rFonts w:ascii="Times New Roman" w:eastAsia="宋体" w:hAnsi="Times New Roman" w:cs="Times New Roman"/>
          <w:sz w:val="24"/>
          <w:szCs w:val="24"/>
        </w:rPr>
        <w:t>100</w:t>
      </w:r>
      <w:r w:rsidRPr="0085474C">
        <w:rPr>
          <w:rFonts w:ascii="Times New Roman" w:eastAsia="宋体" w:hAnsi="Times New Roman" w:cs="Times New Roman"/>
          <w:sz w:val="24"/>
          <w:szCs w:val="24"/>
        </w:rPr>
        <w:t>分；基本要求：积极完成作业，不漏交，不晚交，字迹清晰工整。</w:t>
      </w:r>
    </w:p>
    <w:p w14:paraId="471B4F21"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3</w:t>
      </w:r>
      <w:r w:rsidRPr="0085474C">
        <w:rPr>
          <w:rFonts w:ascii="Times New Roman" w:eastAsia="宋体" w:hAnsi="Times New Roman" w:cs="Times New Roman"/>
          <w:sz w:val="24"/>
          <w:szCs w:val="24"/>
        </w:rPr>
        <w:t>）阶段性测验：通过阶段测验，来评价学生对课堂知识的掌握情况；阶段性检测满分</w:t>
      </w:r>
      <w:r w:rsidRPr="0085474C">
        <w:rPr>
          <w:rFonts w:ascii="Times New Roman" w:eastAsia="宋体" w:hAnsi="Times New Roman" w:cs="Times New Roman"/>
          <w:sz w:val="24"/>
          <w:szCs w:val="24"/>
        </w:rPr>
        <w:t>100</w:t>
      </w:r>
      <w:r w:rsidRPr="0085474C">
        <w:rPr>
          <w:rFonts w:ascii="Times New Roman" w:eastAsia="宋体" w:hAnsi="Times New Roman" w:cs="Times New Roman"/>
          <w:sz w:val="24"/>
          <w:szCs w:val="24"/>
        </w:rPr>
        <w:t>分。</w:t>
      </w:r>
    </w:p>
    <w:p w14:paraId="7DB77B3A"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w:t>
      </w:r>
      <w:r w:rsidRPr="0085474C">
        <w:rPr>
          <w:rFonts w:ascii="Times New Roman" w:eastAsia="宋体" w:hAnsi="Times New Roman" w:cs="Times New Roman" w:hint="eastAsia"/>
          <w:sz w:val="24"/>
          <w:szCs w:val="24"/>
        </w:rPr>
        <w:t>4</w:t>
      </w:r>
      <w:r w:rsidRPr="0085474C">
        <w:rPr>
          <w:rFonts w:ascii="Times New Roman" w:eastAsia="宋体" w:hAnsi="Times New Roman" w:cs="Times New Roman" w:hint="eastAsia"/>
          <w:sz w:val="24"/>
          <w:szCs w:val="24"/>
        </w:rPr>
        <w:t>）文献调研：通过文献调研，引导学生关注学科前沿知识，了解最新科研成果，树立全面、协调、可持续的发展理念和健康安全、节能、环保、知识产权保护意识。具体要求：查找、阅读与药物制剂相关的科研成果，基于对文献内容的理解，寻找与有机化学相关的内容，并探究有机化学知识在解决工业药剂实验等问题方面的应用。</w:t>
      </w:r>
    </w:p>
    <w:p w14:paraId="02FF62E6" w14:textId="77777777" w:rsidR="0085474C" w:rsidRPr="0085474C" w:rsidRDefault="0085474C" w:rsidP="0085474C">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85474C">
        <w:rPr>
          <w:rFonts w:ascii="Times New Roman" w:eastAsia="黑体" w:hAnsi="Times New Roman" w:cs="Times New Roman"/>
          <w:color w:val="000000"/>
          <w:sz w:val="28"/>
          <w:szCs w:val="28"/>
        </w:rPr>
        <w:t>（三）期末成绩评定</w:t>
      </w:r>
    </w:p>
    <w:p w14:paraId="1A81CABA" w14:textId="77777777" w:rsidR="0085474C" w:rsidRPr="0085474C" w:rsidRDefault="0085474C" w:rsidP="0085474C">
      <w:pPr>
        <w:spacing w:line="440" w:lineRule="exact"/>
        <w:ind w:firstLineChars="200" w:firstLine="480"/>
        <w:rPr>
          <w:rFonts w:ascii="宋体" w:eastAsia="宋体" w:hAnsi="宋体" w:cs="Times New Roman"/>
          <w:color w:val="000000"/>
          <w:sz w:val="24"/>
          <w:szCs w:val="24"/>
        </w:rPr>
      </w:pPr>
      <w:r w:rsidRPr="0085474C">
        <w:rPr>
          <w:rFonts w:ascii="宋体" w:eastAsia="宋体" w:hAnsi="宋体" w:cs="Times New Roman" w:hint="eastAsia"/>
          <w:color w:val="000000"/>
          <w:sz w:val="24"/>
          <w:szCs w:val="24"/>
        </w:rPr>
        <w:t>期末考核主要考察学生对基本概念和具体方法的理解与运用等。方式为闭卷考试。要求学生掌握基本概念，运用具体方法解决相关问题。</w:t>
      </w:r>
    </w:p>
    <w:p w14:paraId="004B0BC2" w14:textId="77777777" w:rsidR="0085474C" w:rsidRPr="0085474C" w:rsidRDefault="0085474C" w:rsidP="0085474C">
      <w:pPr>
        <w:spacing w:beforeLines="50" w:before="156" w:afterLines="50" w:after="156" w:line="440" w:lineRule="exact"/>
        <w:ind w:firstLineChars="200" w:firstLine="560"/>
        <w:rPr>
          <w:rFonts w:ascii="宋体" w:eastAsia="宋体" w:hAnsi="宋体" w:cs="Times New Roman"/>
          <w:sz w:val="24"/>
          <w:szCs w:val="24"/>
        </w:rPr>
      </w:pPr>
      <w:r w:rsidRPr="0085474C">
        <w:rPr>
          <w:rFonts w:ascii="黑体" w:eastAsia="黑体" w:hAnsi="黑体" w:cs="Times New Roman" w:hint="eastAsia"/>
          <w:sz w:val="28"/>
          <w:szCs w:val="28"/>
        </w:rPr>
        <w:t>六、使用教材、相关推荐书目及课程资源</w:t>
      </w:r>
    </w:p>
    <w:p w14:paraId="5A0EAED9" w14:textId="77777777" w:rsidR="0085474C" w:rsidRPr="0085474C" w:rsidRDefault="0085474C" w:rsidP="0085474C">
      <w:pPr>
        <w:spacing w:line="440" w:lineRule="exact"/>
        <w:ind w:firstLineChars="200" w:firstLine="560"/>
        <w:rPr>
          <w:rFonts w:ascii="宋体" w:eastAsia="宋体" w:hAnsi="宋体" w:cs="Times New Roman"/>
          <w:sz w:val="24"/>
          <w:szCs w:val="24"/>
        </w:rPr>
      </w:pPr>
      <w:r w:rsidRPr="0085474C">
        <w:rPr>
          <w:rFonts w:ascii="黑体" w:eastAsia="黑体" w:hAnsi="黑体" w:cs="Times New Roman" w:hint="eastAsia"/>
          <w:sz w:val="28"/>
          <w:szCs w:val="28"/>
        </w:rPr>
        <w:t>（一）使用教材</w:t>
      </w:r>
    </w:p>
    <w:p w14:paraId="00569C7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proofErr w:type="gramStart"/>
      <w:r w:rsidRPr="0085474C">
        <w:rPr>
          <w:rFonts w:ascii="Times New Roman" w:eastAsia="宋体" w:hAnsi="Times New Roman" w:cs="Times New Roman" w:hint="eastAsia"/>
          <w:sz w:val="24"/>
          <w:szCs w:val="24"/>
        </w:rPr>
        <w:t>赵温涛</w:t>
      </w:r>
      <w:proofErr w:type="gramEnd"/>
      <w:r w:rsidRPr="0085474C">
        <w:rPr>
          <w:rFonts w:ascii="Times New Roman" w:eastAsia="宋体" w:hAnsi="Times New Roman" w:cs="Times New Roman"/>
          <w:sz w:val="24"/>
          <w:szCs w:val="24"/>
        </w:rPr>
        <w:t>主编：《有机化学（第</w:t>
      </w:r>
      <w:r w:rsidRPr="0085474C">
        <w:rPr>
          <w:rFonts w:ascii="Times New Roman" w:eastAsia="宋体" w:hAnsi="Times New Roman" w:cs="Times New Roman" w:hint="eastAsia"/>
          <w:sz w:val="24"/>
          <w:szCs w:val="24"/>
        </w:rPr>
        <w:t>六</w:t>
      </w:r>
      <w:r w:rsidRPr="0085474C">
        <w:rPr>
          <w:rFonts w:ascii="Times New Roman" w:eastAsia="宋体" w:hAnsi="Times New Roman" w:cs="Times New Roman"/>
          <w:sz w:val="24"/>
          <w:szCs w:val="24"/>
        </w:rPr>
        <w:t>版）》，高等教育出版社，</w:t>
      </w:r>
      <w:r w:rsidRPr="0085474C">
        <w:rPr>
          <w:rFonts w:ascii="Times New Roman" w:eastAsia="宋体" w:hAnsi="Times New Roman" w:cs="Times New Roman"/>
          <w:sz w:val="24"/>
          <w:szCs w:val="24"/>
        </w:rPr>
        <w:t>201</w:t>
      </w:r>
      <w:r w:rsidRPr="0085474C">
        <w:rPr>
          <w:rFonts w:ascii="Times New Roman" w:eastAsia="宋体" w:hAnsi="Times New Roman" w:cs="Times New Roman" w:hint="eastAsia"/>
          <w:sz w:val="24"/>
          <w:szCs w:val="24"/>
        </w:rPr>
        <w:t>9</w:t>
      </w:r>
      <w:r w:rsidRPr="0085474C">
        <w:rPr>
          <w:rFonts w:ascii="Times New Roman" w:eastAsia="宋体" w:hAnsi="Times New Roman" w:cs="Times New Roman"/>
          <w:sz w:val="24"/>
          <w:szCs w:val="24"/>
        </w:rPr>
        <w:t>年版</w:t>
      </w:r>
    </w:p>
    <w:p w14:paraId="15BD5D18" w14:textId="77777777" w:rsidR="0085474C" w:rsidRPr="0085474C" w:rsidRDefault="0085474C" w:rsidP="0085474C">
      <w:pPr>
        <w:spacing w:line="440" w:lineRule="exact"/>
        <w:ind w:firstLineChars="200" w:firstLine="560"/>
        <w:rPr>
          <w:rFonts w:ascii="宋体" w:eastAsia="宋体" w:hAnsi="宋体" w:cs="Times New Roman"/>
          <w:sz w:val="24"/>
          <w:szCs w:val="24"/>
        </w:rPr>
      </w:pPr>
      <w:r w:rsidRPr="0085474C">
        <w:rPr>
          <w:rFonts w:ascii="黑体" w:eastAsia="黑体" w:hAnsi="黑体" w:cs="Times New Roman" w:hint="eastAsia"/>
          <w:sz w:val="28"/>
          <w:szCs w:val="28"/>
        </w:rPr>
        <w:t>（二）相关推荐书目</w:t>
      </w:r>
    </w:p>
    <w:p w14:paraId="1CA92FB9"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color w:val="000000"/>
          <w:sz w:val="24"/>
          <w:szCs w:val="24"/>
        </w:rPr>
        <w:t>张文勤主编：《有机化学（第五版）》，高等教育出版社，</w:t>
      </w:r>
      <w:r w:rsidRPr="0085474C">
        <w:rPr>
          <w:rFonts w:ascii="Times New Roman" w:eastAsia="宋体" w:hAnsi="Times New Roman" w:cs="Times New Roman"/>
          <w:color w:val="000000"/>
          <w:sz w:val="24"/>
          <w:szCs w:val="24"/>
        </w:rPr>
        <w:t>2014</w:t>
      </w:r>
      <w:r w:rsidRPr="0085474C">
        <w:rPr>
          <w:rFonts w:ascii="Times New Roman" w:eastAsia="宋体" w:hAnsi="Times New Roman" w:cs="Times New Roman"/>
          <w:color w:val="000000"/>
          <w:sz w:val="24"/>
          <w:szCs w:val="24"/>
        </w:rPr>
        <w:t>年版</w:t>
      </w:r>
    </w:p>
    <w:p w14:paraId="2198916D"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邢其毅主编：《基础有机化学（第四版）》，北京大学出版社，</w:t>
      </w:r>
      <w:r w:rsidRPr="0085474C">
        <w:rPr>
          <w:rFonts w:ascii="Times New Roman" w:eastAsia="宋体" w:hAnsi="Times New Roman" w:cs="Times New Roman"/>
          <w:sz w:val="24"/>
          <w:szCs w:val="24"/>
        </w:rPr>
        <w:t>2018</w:t>
      </w:r>
      <w:r w:rsidRPr="0085474C">
        <w:rPr>
          <w:rFonts w:ascii="Times New Roman" w:eastAsia="宋体" w:hAnsi="Times New Roman" w:cs="Times New Roman"/>
          <w:sz w:val="24"/>
          <w:szCs w:val="24"/>
        </w:rPr>
        <w:t>年版</w:t>
      </w:r>
    </w:p>
    <w:p w14:paraId="750FB7A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徐寿昌主编：《有机化学（第二版）》，高等教育出版社，</w:t>
      </w:r>
      <w:r w:rsidRPr="0085474C">
        <w:rPr>
          <w:rFonts w:ascii="Times New Roman" w:eastAsia="宋体" w:hAnsi="Times New Roman" w:cs="Times New Roman"/>
          <w:sz w:val="24"/>
          <w:szCs w:val="24"/>
        </w:rPr>
        <w:t>2014</w:t>
      </w:r>
      <w:r w:rsidRPr="0085474C">
        <w:rPr>
          <w:rFonts w:ascii="Times New Roman" w:eastAsia="宋体" w:hAnsi="Times New Roman" w:cs="Times New Roman"/>
          <w:sz w:val="24"/>
          <w:szCs w:val="24"/>
        </w:rPr>
        <w:t>年版</w:t>
      </w:r>
    </w:p>
    <w:p w14:paraId="770525DB" w14:textId="77777777" w:rsidR="0085474C" w:rsidRPr="0085474C" w:rsidRDefault="0085474C" w:rsidP="0085474C">
      <w:pPr>
        <w:spacing w:line="440" w:lineRule="exact"/>
        <w:ind w:firstLineChars="200" w:firstLine="480"/>
        <w:rPr>
          <w:rFonts w:ascii="Times New Roman" w:eastAsia="宋体" w:hAnsi="Times New Roman" w:cs="Times New Roman"/>
          <w:color w:val="FF0000"/>
          <w:sz w:val="24"/>
          <w:szCs w:val="24"/>
        </w:rPr>
      </w:pPr>
      <w:r w:rsidRPr="0085474C">
        <w:rPr>
          <w:rFonts w:ascii="Times New Roman" w:eastAsia="宋体" w:hAnsi="Times New Roman" w:cs="Times New Roman" w:hint="eastAsia"/>
          <w:sz w:val="24"/>
          <w:szCs w:val="24"/>
        </w:rPr>
        <w:t xml:space="preserve">4. </w:t>
      </w:r>
      <w:r w:rsidRPr="0085474C">
        <w:rPr>
          <w:rFonts w:ascii="Times New Roman" w:eastAsia="宋体" w:hAnsi="Times New Roman" w:cs="Times New Roman"/>
          <w:sz w:val="24"/>
          <w:szCs w:val="24"/>
        </w:rPr>
        <w:t>李东风主编：《有机化学（第二版）》，华中科技大学出版社，</w:t>
      </w:r>
      <w:r w:rsidRPr="0085474C">
        <w:rPr>
          <w:rFonts w:ascii="Times New Roman" w:eastAsia="宋体" w:hAnsi="Times New Roman" w:cs="Times New Roman"/>
          <w:sz w:val="24"/>
          <w:szCs w:val="24"/>
        </w:rPr>
        <w:t>2017</w:t>
      </w:r>
      <w:r w:rsidRPr="0085474C">
        <w:rPr>
          <w:rFonts w:ascii="Times New Roman" w:eastAsia="宋体" w:hAnsi="Times New Roman" w:cs="Times New Roman"/>
          <w:sz w:val="24"/>
          <w:szCs w:val="24"/>
        </w:rPr>
        <w:t>年版</w:t>
      </w:r>
    </w:p>
    <w:p w14:paraId="1B8A3893" w14:textId="77777777" w:rsidR="0085474C" w:rsidRPr="0085474C" w:rsidRDefault="0085474C" w:rsidP="0085474C">
      <w:pPr>
        <w:spacing w:beforeLines="50" w:before="156" w:afterLines="50" w:after="156" w:line="440" w:lineRule="exact"/>
        <w:ind w:firstLineChars="200" w:firstLine="560"/>
        <w:rPr>
          <w:rFonts w:ascii="黑体" w:eastAsia="黑体" w:hAnsi="黑体" w:cs="Times New Roman"/>
          <w:sz w:val="28"/>
          <w:szCs w:val="28"/>
        </w:rPr>
      </w:pPr>
      <w:r w:rsidRPr="0085474C">
        <w:rPr>
          <w:rFonts w:ascii="黑体" w:eastAsia="黑体" w:hAnsi="黑体" w:cs="Times New Roman" w:hint="eastAsia"/>
          <w:sz w:val="28"/>
          <w:szCs w:val="28"/>
        </w:rPr>
        <w:t>（三）课程资源</w:t>
      </w:r>
    </w:p>
    <w:p w14:paraId="20A9162D" w14:textId="77777777" w:rsidR="0085474C" w:rsidRPr="0085474C" w:rsidRDefault="0085474C" w:rsidP="0085474C">
      <w:pPr>
        <w:spacing w:line="440" w:lineRule="exact"/>
        <w:ind w:firstLineChars="200" w:firstLine="480"/>
        <w:rPr>
          <w:rFonts w:ascii="Times New Roman" w:eastAsia="宋体" w:hAnsi="Times New Roman" w:cs="Times New Roman"/>
          <w:color w:val="FF0000"/>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中国大学</w:t>
      </w:r>
      <w:r w:rsidRPr="0085474C">
        <w:rPr>
          <w:rFonts w:ascii="Times New Roman" w:eastAsia="宋体" w:hAnsi="Times New Roman" w:cs="Times New Roman"/>
          <w:sz w:val="24"/>
          <w:szCs w:val="24"/>
        </w:rPr>
        <w:t>MOOC</w:t>
      </w:r>
      <w:r w:rsidRPr="0085474C">
        <w:rPr>
          <w:rFonts w:ascii="Times New Roman" w:eastAsia="宋体" w:hAnsi="Times New Roman" w:cs="Times New Roman"/>
          <w:sz w:val="24"/>
          <w:szCs w:val="24"/>
        </w:rPr>
        <w:t>（慕课）国家精品课程在线学习平台。</w:t>
      </w:r>
    </w:p>
    <w:p w14:paraId="11C48DB9" w14:textId="77777777" w:rsidR="0085474C" w:rsidRPr="0085474C" w:rsidRDefault="0085474C" w:rsidP="0085474C">
      <w:pPr>
        <w:spacing w:beforeLines="50" w:before="156" w:afterLines="50" w:after="156" w:line="440" w:lineRule="exact"/>
        <w:ind w:firstLineChars="200" w:firstLine="560"/>
        <w:rPr>
          <w:rFonts w:ascii="黑体" w:eastAsia="黑体" w:hAnsi="黑体" w:cs="Times New Roman"/>
          <w:sz w:val="28"/>
          <w:szCs w:val="28"/>
        </w:rPr>
      </w:pPr>
      <w:r w:rsidRPr="0085474C">
        <w:rPr>
          <w:rFonts w:ascii="黑体" w:eastAsia="黑体" w:hAnsi="黑体" w:cs="Times New Roman" w:hint="eastAsia"/>
          <w:sz w:val="28"/>
          <w:szCs w:val="28"/>
        </w:rPr>
        <w:t>七、课程大纲制定依据</w:t>
      </w:r>
    </w:p>
    <w:p w14:paraId="3C7DAFB9" w14:textId="77777777" w:rsidR="0085474C" w:rsidRPr="0085474C" w:rsidRDefault="0085474C" w:rsidP="0085474C">
      <w:pPr>
        <w:spacing w:line="440" w:lineRule="exact"/>
        <w:ind w:firstLineChars="200" w:firstLine="480"/>
        <w:rPr>
          <w:rFonts w:ascii="宋体" w:eastAsia="宋体" w:hAnsi="宋体" w:cs="Times New Roman"/>
          <w:sz w:val="24"/>
          <w:szCs w:val="24"/>
        </w:rPr>
      </w:pPr>
      <w:r w:rsidRPr="0085474C">
        <w:rPr>
          <w:rFonts w:ascii="宋体" w:eastAsia="宋体" w:hAnsi="宋体" w:cs="Times New Roman" w:hint="eastAsia"/>
          <w:sz w:val="24"/>
          <w:szCs w:val="24"/>
        </w:rPr>
        <w:t>本课程大纲依据</w:t>
      </w:r>
      <w:r w:rsidRPr="0085474C">
        <w:rPr>
          <w:rFonts w:ascii="Times New Roman" w:eastAsia="宋体" w:hAnsi="Times New Roman" w:cs="Times New Roman"/>
          <w:sz w:val="24"/>
          <w:szCs w:val="24"/>
        </w:rPr>
        <w:t>202</w:t>
      </w:r>
      <w:r w:rsidRPr="0085474C">
        <w:rPr>
          <w:rFonts w:ascii="Times New Roman" w:eastAsia="宋体" w:hAnsi="Times New Roman" w:cs="Times New Roman" w:hint="eastAsia"/>
          <w:sz w:val="24"/>
          <w:szCs w:val="24"/>
        </w:rPr>
        <w:t>3</w:t>
      </w:r>
      <w:r w:rsidRPr="0085474C">
        <w:rPr>
          <w:rFonts w:ascii="宋体" w:eastAsia="宋体" w:hAnsi="宋体" w:cs="Times New Roman" w:hint="eastAsia"/>
          <w:sz w:val="24"/>
          <w:szCs w:val="24"/>
        </w:rPr>
        <w:t>年药物分析专业人才培养方案制定。</w:t>
      </w:r>
    </w:p>
    <w:p w14:paraId="3CCB2AEB" w14:textId="77777777" w:rsidR="0085474C" w:rsidRPr="0085474C" w:rsidRDefault="0085474C" w:rsidP="00884E21">
      <w:pPr>
        <w:pStyle w:val="1"/>
      </w:pPr>
      <w:bookmarkStart w:id="162" w:name="_Toc149662360"/>
      <w:r w:rsidRPr="0085474C">
        <w:lastRenderedPageBreak/>
        <w:t>《物理化学》课程大纲</w:t>
      </w:r>
      <w:bookmarkEnd w:id="162"/>
    </w:p>
    <w:p w14:paraId="593A43A0" w14:textId="77777777" w:rsidR="0085474C" w:rsidRPr="0085474C" w:rsidRDefault="0085474C" w:rsidP="0085474C">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7"/>
        <w:gridCol w:w="2751"/>
        <w:gridCol w:w="1523"/>
        <w:gridCol w:w="2876"/>
      </w:tblGrid>
      <w:tr w:rsidR="0085474C" w:rsidRPr="0085474C" w14:paraId="3F144975" w14:textId="77777777" w:rsidTr="00367215">
        <w:trPr>
          <w:trHeight w:val="886"/>
          <w:jc w:val="center"/>
        </w:trPr>
        <w:tc>
          <w:tcPr>
            <w:tcW w:w="1668" w:type="dxa"/>
            <w:vAlign w:val="center"/>
          </w:tcPr>
          <w:p w14:paraId="2B412B31"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课程名称</w:t>
            </w:r>
          </w:p>
        </w:tc>
        <w:tc>
          <w:tcPr>
            <w:tcW w:w="2833" w:type="dxa"/>
            <w:vAlign w:val="center"/>
          </w:tcPr>
          <w:p w14:paraId="7E22B70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物理化学</w:t>
            </w:r>
          </w:p>
        </w:tc>
        <w:tc>
          <w:tcPr>
            <w:tcW w:w="1561" w:type="dxa"/>
            <w:vAlign w:val="center"/>
          </w:tcPr>
          <w:p w14:paraId="14D3E17B"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课程代码</w:t>
            </w:r>
          </w:p>
        </w:tc>
        <w:tc>
          <w:tcPr>
            <w:tcW w:w="2941" w:type="dxa"/>
            <w:vAlign w:val="center"/>
          </w:tcPr>
          <w:p w14:paraId="1F7DFB09"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color w:val="000000"/>
                <w:kern w:val="0"/>
                <w:sz w:val="24"/>
                <w:szCs w:val="24"/>
              </w:rPr>
              <w:t>0701214</w:t>
            </w:r>
          </w:p>
        </w:tc>
      </w:tr>
      <w:tr w:rsidR="0085474C" w:rsidRPr="0085474C" w14:paraId="6DB1B3EC" w14:textId="77777777" w:rsidTr="00367215">
        <w:trPr>
          <w:trHeight w:val="829"/>
          <w:jc w:val="center"/>
        </w:trPr>
        <w:tc>
          <w:tcPr>
            <w:tcW w:w="1668" w:type="dxa"/>
            <w:vAlign w:val="center"/>
          </w:tcPr>
          <w:p w14:paraId="0852E865"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课程类别</w:t>
            </w:r>
          </w:p>
        </w:tc>
        <w:tc>
          <w:tcPr>
            <w:tcW w:w="2833" w:type="dxa"/>
            <w:vAlign w:val="center"/>
          </w:tcPr>
          <w:p w14:paraId="6FAA2AD4"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color w:val="000000"/>
                <w:kern w:val="0"/>
                <w:sz w:val="24"/>
                <w:szCs w:val="24"/>
              </w:rPr>
              <w:t>专业</w:t>
            </w:r>
            <w:r w:rsidRPr="0085474C">
              <w:rPr>
                <w:rFonts w:ascii="Times New Roman" w:eastAsia="宋体" w:hAnsi="Times New Roman" w:cs="Times New Roman" w:hint="eastAsia"/>
                <w:color w:val="000000"/>
                <w:kern w:val="0"/>
                <w:sz w:val="24"/>
                <w:szCs w:val="24"/>
              </w:rPr>
              <w:t>必修</w:t>
            </w:r>
            <w:r w:rsidRPr="0085474C">
              <w:rPr>
                <w:rFonts w:ascii="Times New Roman" w:eastAsia="宋体" w:hAnsi="Times New Roman" w:cs="Times New Roman"/>
                <w:color w:val="000000"/>
                <w:kern w:val="0"/>
                <w:sz w:val="24"/>
                <w:szCs w:val="24"/>
              </w:rPr>
              <w:t>课程</w:t>
            </w:r>
          </w:p>
        </w:tc>
        <w:tc>
          <w:tcPr>
            <w:tcW w:w="1561" w:type="dxa"/>
            <w:vAlign w:val="center"/>
          </w:tcPr>
          <w:p w14:paraId="6E39F36F"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学时</w:t>
            </w:r>
          </w:p>
          <w:p w14:paraId="403CE33C"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学分</w:t>
            </w:r>
          </w:p>
        </w:tc>
        <w:tc>
          <w:tcPr>
            <w:tcW w:w="2941" w:type="dxa"/>
            <w:vAlign w:val="center"/>
          </w:tcPr>
          <w:p w14:paraId="7AE63CA6"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48/3</w:t>
            </w:r>
          </w:p>
        </w:tc>
      </w:tr>
      <w:tr w:rsidR="0085474C" w:rsidRPr="0085474C" w14:paraId="37FE0009" w14:textId="77777777" w:rsidTr="00367215">
        <w:trPr>
          <w:trHeight w:val="811"/>
          <w:jc w:val="center"/>
        </w:trPr>
        <w:tc>
          <w:tcPr>
            <w:tcW w:w="1668" w:type="dxa"/>
            <w:vAlign w:val="center"/>
          </w:tcPr>
          <w:p w14:paraId="55505C3E"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开课单位</w:t>
            </w:r>
          </w:p>
        </w:tc>
        <w:tc>
          <w:tcPr>
            <w:tcW w:w="2833" w:type="dxa"/>
            <w:vAlign w:val="center"/>
          </w:tcPr>
          <w:p w14:paraId="06EFABF1"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化工学院</w:t>
            </w:r>
          </w:p>
        </w:tc>
        <w:tc>
          <w:tcPr>
            <w:tcW w:w="1561" w:type="dxa"/>
            <w:vAlign w:val="center"/>
          </w:tcPr>
          <w:p w14:paraId="33A3E1DE"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适用专业</w:t>
            </w:r>
          </w:p>
        </w:tc>
        <w:tc>
          <w:tcPr>
            <w:tcW w:w="2941" w:type="dxa"/>
            <w:vAlign w:val="center"/>
          </w:tcPr>
          <w:p w14:paraId="311CC6A9"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药物分析</w:t>
            </w:r>
          </w:p>
        </w:tc>
      </w:tr>
      <w:tr w:rsidR="0085474C" w:rsidRPr="0085474C" w14:paraId="08A8EA2C" w14:textId="77777777" w:rsidTr="00367215">
        <w:trPr>
          <w:trHeight w:val="811"/>
          <w:jc w:val="center"/>
        </w:trPr>
        <w:tc>
          <w:tcPr>
            <w:tcW w:w="1668" w:type="dxa"/>
            <w:vAlign w:val="center"/>
          </w:tcPr>
          <w:p w14:paraId="26542D6A"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课程负责人</w:t>
            </w:r>
          </w:p>
        </w:tc>
        <w:tc>
          <w:tcPr>
            <w:tcW w:w="7335" w:type="dxa"/>
            <w:gridSpan w:val="3"/>
            <w:vAlign w:val="center"/>
          </w:tcPr>
          <w:p w14:paraId="065F14AD"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马志刚</w:t>
            </w:r>
          </w:p>
        </w:tc>
      </w:tr>
      <w:tr w:rsidR="0085474C" w:rsidRPr="0085474C" w14:paraId="3BF6AC8C" w14:textId="77777777" w:rsidTr="00367215">
        <w:trPr>
          <w:trHeight w:val="836"/>
          <w:jc w:val="center"/>
        </w:trPr>
        <w:tc>
          <w:tcPr>
            <w:tcW w:w="1668" w:type="dxa"/>
            <w:vAlign w:val="center"/>
          </w:tcPr>
          <w:p w14:paraId="532C4BBC"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大纲撰写人</w:t>
            </w:r>
          </w:p>
        </w:tc>
        <w:tc>
          <w:tcPr>
            <w:tcW w:w="2833" w:type="dxa"/>
            <w:vAlign w:val="center"/>
          </w:tcPr>
          <w:p w14:paraId="65625C8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马志刚</w:t>
            </w:r>
          </w:p>
        </w:tc>
        <w:tc>
          <w:tcPr>
            <w:tcW w:w="1561" w:type="dxa"/>
            <w:vAlign w:val="center"/>
          </w:tcPr>
          <w:p w14:paraId="0983F90A"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大纲审核人</w:t>
            </w:r>
          </w:p>
        </w:tc>
        <w:tc>
          <w:tcPr>
            <w:tcW w:w="2941" w:type="dxa"/>
            <w:vAlign w:val="center"/>
          </w:tcPr>
          <w:p w14:paraId="26F5BA3E"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吕立强</w:t>
            </w:r>
          </w:p>
        </w:tc>
      </w:tr>
      <w:tr w:rsidR="0085474C" w:rsidRPr="0085474C" w14:paraId="3B1168DB" w14:textId="77777777" w:rsidTr="00367215">
        <w:trPr>
          <w:trHeight w:val="848"/>
          <w:jc w:val="center"/>
        </w:trPr>
        <w:tc>
          <w:tcPr>
            <w:tcW w:w="1668" w:type="dxa"/>
            <w:vAlign w:val="center"/>
          </w:tcPr>
          <w:p w14:paraId="0146506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先修课程</w:t>
            </w:r>
          </w:p>
        </w:tc>
        <w:tc>
          <w:tcPr>
            <w:tcW w:w="7335" w:type="dxa"/>
            <w:gridSpan w:val="3"/>
            <w:vAlign w:val="center"/>
          </w:tcPr>
          <w:p w14:paraId="01873538"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color w:val="000000"/>
                <w:spacing w:val="5"/>
                <w:kern w:val="0"/>
                <w:sz w:val="24"/>
                <w:szCs w:val="24"/>
              </w:rPr>
              <w:t>无机化学、分析化学、高等数学、大学物理</w:t>
            </w:r>
          </w:p>
        </w:tc>
      </w:tr>
      <w:tr w:rsidR="0085474C" w:rsidRPr="0085474C" w14:paraId="759088F2" w14:textId="77777777" w:rsidTr="00367215">
        <w:trPr>
          <w:trHeight w:val="848"/>
          <w:jc w:val="center"/>
        </w:trPr>
        <w:tc>
          <w:tcPr>
            <w:tcW w:w="1668" w:type="dxa"/>
            <w:vAlign w:val="center"/>
          </w:tcPr>
          <w:p w14:paraId="25F071C9"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课程网址</w:t>
            </w:r>
          </w:p>
        </w:tc>
        <w:tc>
          <w:tcPr>
            <w:tcW w:w="7335" w:type="dxa"/>
            <w:gridSpan w:val="3"/>
            <w:vAlign w:val="center"/>
          </w:tcPr>
          <w:p w14:paraId="1449FD8B" w14:textId="77777777" w:rsidR="0085474C" w:rsidRPr="0085474C" w:rsidRDefault="0085474C" w:rsidP="0085474C">
            <w:pPr>
              <w:spacing w:line="440" w:lineRule="exact"/>
              <w:jc w:val="center"/>
              <w:rPr>
                <w:rFonts w:ascii="Times New Roman" w:eastAsia="宋体" w:hAnsi="Times New Roman" w:cs="Times New Roman"/>
                <w:color w:val="FF0000"/>
                <w:sz w:val="24"/>
                <w:szCs w:val="24"/>
              </w:rPr>
            </w:pPr>
          </w:p>
        </w:tc>
      </w:tr>
    </w:tbl>
    <w:p w14:paraId="44E2A8BF" w14:textId="77777777" w:rsidR="0085474C" w:rsidRPr="0085474C" w:rsidRDefault="0085474C" w:rsidP="0085474C">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二、课程学习目标及与毕业要求的对应关系</w:t>
      </w:r>
    </w:p>
    <w:p w14:paraId="4670728A" w14:textId="77777777" w:rsidR="0085474C" w:rsidRPr="0085474C" w:rsidRDefault="0085474C" w:rsidP="0085474C">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（一）课程学习目标</w:t>
      </w:r>
    </w:p>
    <w:p w14:paraId="62E6F917"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通过本课程的学习，使学生达到以下目标：</w:t>
      </w:r>
      <w:r w:rsidRPr="0085474C">
        <w:rPr>
          <w:rFonts w:ascii="Times New Roman" w:eastAsia="宋体" w:hAnsi="Times New Roman" w:cs="Times New Roman"/>
          <w:sz w:val="24"/>
          <w:szCs w:val="24"/>
        </w:rPr>
        <w:t xml:space="preserve"> </w:t>
      </w:r>
    </w:p>
    <w:p w14:paraId="51EEC2D8" w14:textId="77777777" w:rsidR="0085474C" w:rsidRPr="0085474C" w:rsidRDefault="0085474C" w:rsidP="0085474C">
      <w:pPr>
        <w:spacing w:line="440" w:lineRule="exact"/>
        <w:ind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了解物理化学的前沿、发展趋势和应用前景；掌握物理化学基本知识和基本理论，初步形成物理化学知识体系</w:t>
      </w:r>
      <w:r w:rsidRPr="0085474C">
        <w:rPr>
          <w:rFonts w:ascii="Times New Roman" w:eastAsia="宋体" w:hAnsi="Times New Roman" w:cs="Times New Roman" w:hint="eastAsia"/>
          <w:sz w:val="24"/>
          <w:szCs w:val="24"/>
        </w:rPr>
        <w:t>，使学生</w:t>
      </w:r>
      <w:r w:rsidRPr="0085474C">
        <w:rPr>
          <w:rFonts w:ascii="Times New Roman" w:eastAsia="宋体" w:hAnsi="Times New Roman" w:cs="Times New Roman"/>
          <w:sz w:val="24"/>
          <w:szCs w:val="24"/>
        </w:rPr>
        <w:t>具备发现、提出、分析和解决物理化学及相关</w:t>
      </w:r>
      <w:r w:rsidRPr="0085474C">
        <w:rPr>
          <w:rFonts w:ascii="Times New Roman" w:eastAsia="宋体" w:hAnsi="Times New Roman" w:cs="Times New Roman" w:hint="eastAsia"/>
          <w:sz w:val="24"/>
          <w:szCs w:val="24"/>
        </w:rPr>
        <w:t>药物分析</w:t>
      </w:r>
      <w:r w:rsidRPr="0085474C">
        <w:rPr>
          <w:rFonts w:ascii="Times New Roman" w:eastAsia="宋体" w:hAnsi="Times New Roman" w:cs="Times New Roman"/>
          <w:sz w:val="24"/>
          <w:szCs w:val="24"/>
        </w:rPr>
        <w:t>过程中复杂工程问题的初步能力，</w:t>
      </w:r>
      <w:r w:rsidRPr="0085474C">
        <w:rPr>
          <w:rFonts w:ascii="Times New Roman" w:eastAsia="宋体" w:hAnsi="Times New Roman" w:cs="Times New Roman" w:hint="eastAsia"/>
          <w:sz w:val="24"/>
          <w:szCs w:val="24"/>
        </w:rPr>
        <w:t>能够运用物理化学基本原理，识别、定义药物分析学的实践问题，</w:t>
      </w:r>
      <w:r w:rsidRPr="0085474C">
        <w:rPr>
          <w:rFonts w:ascii="Times New Roman" w:eastAsia="宋体" w:hAnsi="Times New Roman" w:cs="Times New Roman"/>
          <w:sz w:val="24"/>
          <w:szCs w:val="24"/>
        </w:rPr>
        <w:t>并应用于</w:t>
      </w:r>
      <w:r w:rsidRPr="0085474C">
        <w:rPr>
          <w:rFonts w:ascii="Times New Roman" w:eastAsia="宋体" w:hAnsi="Times New Roman" w:cs="Times New Roman" w:hint="eastAsia"/>
          <w:sz w:val="24"/>
          <w:szCs w:val="24"/>
        </w:rPr>
        <w:t>药品生产、流通、研发</w:t>
      </w:r>
      <w:r w:rsidRPr="0085474C">
        <w:rPr>
          <w:rFonts w:ascii="Times New Roman" w:eastAsia="宋体" w:hAnsi="Times New Roman" w:cs="Times New Roman"/>
          <w:sz w:val="24"/>
          <w:szCs w:val="24"/>
        </w:rPr>
        <w:t>中</w:t>
      </w:r>
      <w:r w:rsidRPr="0085474C">
        <w:rPr>
          <w:rFonts w:ascii="Times New Roman" w:eastAsia="宋体" w:hAnsi="Times New Roman" w:cs="Times New Roman" w:hint="eastAsia"/>
          <w:sz w:val="24"/>
          <w:szCs w:val="24"/>
        </w:rPr>
        <w:t>，解决具体实验、研究问题。</w:t>
      </w:r>
      <w:r w:rsidRPr="005E2322">
        <w:rPr>
          <w:rFonts w:ascii="Times New Roman" w:eastAsia="宋体" w:hAnsi="Times New Roman" w:cs="Times New Roman"/>
          <w:b/>
          <w:bCs/>
          <w:sz w:val="24"/>
          <w:szCs w:val="24"/>
        </w:rPr>
        <w:t>【毕业要求</w:t>
      </w:r>
      <w:r w:rsidRPr="005E2322">
        <w:rPr>
          <w:rFonts w:ascii="Times New Roman" w:eastAsia="宋体" w:hAnsi="Times New Roman" w:cs="Times New Roman" w:hint="eastAsia"/>
          <w:b/>
          <w:bCs/>
          <w:sz w:val="24"/>
          <w:szCs w:val="24"/>
        </w:rPr>
        <w:t>1</w:t>
      </w:r>
      <w:r w:rsidRPr="005E2322">
        <w:rPr>
          <w:rFonts w:ascii="Times New Roman" w:eastAsia="宋体" w:hAnsi="Times New Roman" w:cs="Times New Roman" w:hint="eastAsia"/>
          <w:b/>
          <w:bCs/>
          <w:sz w:val="24"/>
          <w:szCs w:val="24"/>
        </w:rPr>
        <w:t>：药学知识</w:t>
      </w:r>
      <w:r w:rsidRPr="005E2322">
        <w:rPr>
          <w:rFonts w:ascii="Times New Roman" w:eastAsia="宋体" w:hAnsi="Times New Roman" w:cs="Times New Roman"/>
          <w:b/>
          <w:bCs/>
          <w:sz w:val="24"/>
          <w:szCs w:val="24"/>
        </w:rPr>
        <w:t>】</w:t>
      </w:r>
      <w:r w:rsidRPr="005E2322">
        <w:rPr>
          <w:rFonts w:ascii="Times New Roman" w:eastAsia="宋体" w:hAnsi="Times New Roman" w:cs="Times New Roman" w:hint="eastAsia"/>
          <w:b/>
          <w:bCs/>
          <w:sz w:val="24"/>
          <w:szCs w:val="24"/>
        </w:rPr>
        <w:t>、【毕业要求</w:t>
      </w:r>
      <w:r w:rsidRPr="005E2322">
        <w:rPr>
          <w:rFonts w:ascii="Times New Roman" w:eastAsia="宋体" w:hAnsi="Times New Roman" w:cs="Times New Roman" w:hint="eastAsia"/>
          <w:b/>
          <w:bCs/>
          <w:sz w:val="24"/>
          <w:szCs w:val="24"/>
        </w:rPr>
        <w:t>2</w:t>
      </w:r>
      <w:r w:rsidRPr="005E2322">
        <w:rPr>
          <w:rFonts w:ascii="Times New Roman" w:eastAsia="宋体" w:hAnsi="Times New Roman" w:cs="Times New Roman" w:hint="eastAsia"/>
          <w:b/>
          <w:bCs/>
          <w:sz w:val="24"/>
          <w:szCs w:val="24"/>
        </w:rPr>
        <w:t>：问题分析】</w:t>
      </w:r>
    </w:p>
    <w:p w14:paraId="4FB5A9FD" w14:textId="77777777" w:rsidR="0085474C" w:rsidRPr="005E2322" w:rsidRDefault="0085474C" w:rsidP="0085474C">
      <w:pPr>
        <w:spacing w:line="440" w:lineRule="exact"/>
        <w:ind w:firstLineChars="200" w:firstLine="480"/>
        <w:rPr>
          <w:rFonts w:ascii="Times New Roman" w:eastAsia="宋体" w:hAnsi="Times New Roman" w:cs="Times New Roman"/>
          <w:b/>
          <w:bCs/>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、熟悉</w:t>
      </w:r>
      <w:r w:rsidRPr="0085474C">
        <w:rPr>
          <w:rFonts w:ascii="Times New Roman" w:eastAsia="宋体" w:hAnsi="Times New Roman" w:cs="Times New Roman" w:hint="eastAsia"/>
          <w:sz w:val="24"/>
          <w:szCs w:val="24"/>
        </w:rPr>
        <w:t>药物分析</w:t>
      </w:r>
      <w:r w:rsidRPr="0085474C">
        <w:rPr>
          <w:rFonts w:ascii="Times New Roman" w:eastAsia="宋体" w:hAnsi="Times New Roman" w:cs="Times New Roman"/>
          <w:sz w:val="24"/>
          <w:szCs w:val="24"/>
        </w:rPr>
        <w:t>专业现状，能够</w:t>
      </w:r>
      <w:r w:rsidRPr="0085474C">
        <w:rPr>
          <w:rFonts w:ascii="Times New Roman" w:eastAsia="宋体" w:hAnsi="Times New Roman" w:cs="Times New Roman" w:hint="eastAsia"/>
          <w:sz w:val="24"/>
          <w:szCs w:val="24"/>
        </w:rPr>
        <w:t>掌握</w:t>
      </w:r>
      <w:r w:rsidRPr="0085474C">
        <w:rPr>
          <w:rFonts w:ascii="Times New Roman" w:eastAsia="宋体" w:hAnsi="Times New Roman" w:cs="Times New Roman"/>
          <w:sz w:val="24"/>
          <w:szCs w:val="24"/>
        </w:rPr>
        <w:t>化学、药学和</w:t>
      </w:r>
      <w:r w:rsidRPr="0085474C">
        <w:rPr>
          <w:rFonts w:ascii="Times New Roman" w:eastAsia="宋体" w:hAnsi="Times New Roman" w:cs="Times New Roman" w:hint="eastAsia"/>
          <w:sz w:val="24"/>
          <w:szCs w:val="24"/>
        </w:rPr>
        <w:t>药物分析</w:t>
      </w:r>
      <w:r w:rsidRPr="0085474C">
        <w:rPr>
          <w:rFonts w:ascii="Times New Roman" w:eastAsia="宋体" w:hAnsi="Times New Roman" w:cs="Times New Roman"/>
          <w:sz w:val="24"/>
          <w:szCs w:val="24"/>
        </w:rPr>
        <w:t>原理和方法</w:t>
      </w:r>
      <w:r w:rsidRPr="0085474C">
        <w:rPr>
          <w:rFonts w:ascii="Times New Roman" w:eastAsia="宋体" w:hAnsi="Times New Roman" w:cs="Times New Roman" w:hint="eastAsia"/>
          <w:sz w:val="24"/>
          <w:szCs w:val="24"/>
        </w:rPr>
        <w:t>，具有终身学习的意识，有不断学习和适应发展的能力，</w:t>
      </w:r>
      <w:r w:rsidRPr="0085474C">
        <w:rPr>
          <w:rFonts w:ascii="Times New Roman" w:eastAsia="宋体" w:hAnsi="Times New Roman" w:cs="Times New Roman"/>
          <w:sz w:val="24"/>
          <w:szCs w:val="24"/>
        </w:rPr>
        <w:t>形成</w:t>
      </w:r>
      <w:r w:rsidRPr="0085474C">
        <w:rPr>
          <w:rFonts w:ascii="Times New Roman" w:eastAsia="宋体" w:hAnsi="Times New Roman" w:cs="Times New Roman" w:hint="eastAsia"/>
          <w:sz w:val="24"/>
          <w:szCs w:val="24"/>
        </w:rPr>
        <w:t>宏观辨识与微观探析、变化观念与平衡思想、科学探究与创新意识，具备创新能力和可持续发展能力</w:t>
      </w:r>
      <w:r w:rsidRPr="0085474C">
        <w:rPr>
          <w:rFonts w:ascii="Times New Roman" w:eastAsia="宋体" w:hAnsi="Times New Roman" w:cs="Times New Roman"/>
          <w:sz w:val="24"/>
          <w:szCs w:val="24"/>
        </w:rPr>
        <w:t>。</w:t>
      </w:r>
      <w:r w:rsidRPr="005E2322">
        <w:rPr>
          <w:rFonts w:ascii="Times New Roman" w:eastAsia="宋体" w:hAnsi="Times New Roman" w:cs="Times New Roman"/>
          <w:b/>
          <w:bCs/>
          <w:sz w:val="24"/>
          <w:szCs w:val="24"/>
        </w:rPr>
        <w:t>【毕业要求</w:t>
      </w:r>
      <w:r w:rsidRPr="005E2322">
        <w:rPr>
          <w:rFonts w:ascii="Times New Roman" w:eastAsia="宋体" w:hAnsi="Times New Roman" w:cs="Times New Roman" w:hint="eastAsia"/>
          <w:b/>
          <w:bCs/>
          <w:sz w:val="24"/>
          <w:szCs w:val="24"/>
        </w:rPr>
        <w:t>12</w:t>
      </w:r>
      <w:r w:rsidRPr="005E2322">
        <w:rPr>
          <w:rFonts w:ascii="Times New Roman" w:eastAsia="宋体" w:hAnsi="Times New Roman" w:cs="Times New Roman" w:hint="eastAsia"/>
          <w:b/>
          <w:bCs/>
          <w:sz w:val="24"/>
          <w:szCs w:val="24"/>
        </w:rPr>
        <w:t>：终身学习</w:t>
      </w:r>
      <w:r w:rsidRPr="005E2322">
        <w:rPr>
          <w:rFonts w:ascii="Times New Roman" w:eastAsia="宋体" w:hAnsi="Times New Roman" w:cs="Times New Roman"/>
          <w:b/>
          <w:bCs/>
          <w:sz w:val="24"/>
          <w:szCs w:val="24"/>
        </w:rPr>
        <w:t>】</w:t>
      </w:r>
    </w:p>
    <w:p w14:paraId="074740BB" w14:textId="77777777" w:rsidR="0085474C" w:rsidRPr="0085474C" w:rsidRDefault="0085474C" w:rsidP="0085474C">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lastRenderedPageBreak/>
        <w:t>（二）课程学习目标与毕业要求指标点的对应关系</w:t>
      </w:r>
    </w:p>
    <w:tbl>
      <w:tblPr>
        <w:tblW w:w="86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0"/>
        <w:gridCol w:w="5664"/>
        <w:gridCol w:w="1358"/>
      </w:tblGrid>
      <w:tr w:rsidR="0085474C" w:rsidRPr="0085474C" w14:paraId="73DF0986" w14:textId="77777777" w:rsidTr="00367215">
        <w:trPr>
          <w:trHeight w:val="815"/>
          <w:jc w:val="center"/>
        </w:trPr>
        <w:tc>
          <w:tcPr>
            <w:tcW w:w="1650" w:type="dxa"/>
            <w:vAlign w:val="center"/>
          </w:tcPr>
          <w:p w14:paraId="538AF609"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毕业要求</w:t>
            </w:r>
          </w:p>
        </w:tc>
        <w:tc>
          <w:tcPr>
            <w:tcW w:w="5664" w:type="dxa"/>
            <w:vAlign w:val="center"/>
          </w:tcPr>
          <w:p w14:paraId="150DA8A4"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毕业要求指标点</w:t>
            </w:r>
          </w:p>
        </w:tc>
        <w:tc>
          <w:tcPr>
            <w:tcW w:w="1358" w:type="dxa"/>
            <w:vAlign w:val="center"/>
          </w:tcPr>
          <w:p w14:paraId="480B483C"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课程目标</w:t>
            </w:r>
          </w:p>
        </w:tc>
      </w:tr>
      <w:tr w:rsidR="0085474C" w:rsidRPr="0085474C" w14:paraId="47997843" w14:textId="77777777" w:rsidTr="00367215">
        <w:trPr>
          <w:jc w:val="center"/>
        </w:trPr>
        <w:tc>
          <w:tcPr>
            <w:tcW w:w="1650" w:type="dxa"/>
            <w:vAlign w:val="center"/>
          </w:tcPr>
          <w:p w14:paraId="4E7D50D1" w14:textId="77777777" w:rsidR="0085474C" w:rsidRPr="0085474C" w:rsidRDefault="0085474C" w:rsidP="0085474C">
            <w:pPr>
              <w:spacing w:line="360" w:lineRule="auto"/>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1</w:t>
            </w:r>
            <w:r w:rsidRPr="0085474C">
              <w:rPr>
                <w:rFonts w:ascii="Times New Roman" w:eastAsia="宋体" w:hAnsi="Times New Roman" w:cs="Times New Roman" w:hint="eastAsia"/>
                <w:sz w:val="24"/>
                <w:szCs w:val="24"/>
              </w:rPr>
              <w:t>：药学知识</w:t>
            </w:r>
          </w:p>
        </w:tc>
        <w:tc>
          <w:tcPr>
            <w:tcW w:w="5664" w:type="dxa"/>
          </w:tcPr>
          <w:p w14:paraId="38923493" w14:textId="77777777" w:rsidR="0085474C" w:rsidRPr="0085474C" w:rsidRDefault="0085474C" w:rsidP="0085474C">
            <w:pPr>
              <w:spacing w:line="360" w:lineRule="auto"/>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 xml:space="preserve">1.1 </w:t>
            </w:r>
            <w:r w:rsidRPr="0085474C">
              <w:rPr>
                <w:rFonts w:ascii="Times New Roman" w:eastAsia="宋体" w:hAnsi="Times New Roman" w:cs="Times New Roman" w:hint="eastAsia"/>
                <w:sz w:val="24"/>
                <w:szCs w:val="24"/>
              </w:rPr>
              <w:t>掌握无机化学、有机化学、分析化学和物理化学等基础化学理论知识和实验技能。</w:t>
            </w:r>
            <w:r w:rsidRPr="0085474C">
              <w:rPr>
                <w:rFonts w:ascii="Times New Roman" w:eastAsia="宋体" w:hAnsi="Times New Roman" w:cs="Times New Roman"/>
                <w:sz w:val="24"/>
                <w:szCs w:val="24"/>
              </w:rPr>
              <w:t>(H)</w:t>
            </w:r>
          </w:p>
        </w:tc>
        <w:tc>
          <w:tcPr>
            <w:tcW w:w="1358" w:type="dxa"/>
            <w:vAlign w:val="center"/>
          </w:tcPr>
          <w:p w14:paraId="5BF7AC4A" w14:textId="77777777" w:rsidR="0085474C" w:rsidRPr="0085474C" w:rsidRDefault="0085474C" w:rsidP="0085474C">
            <w:pPr>
              <w:spacing w:line="360" w:lineRule="auto"/>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p>
        </w:tc>
      </w:tr>
      <w:tr w:rsidR="0085474C" w:rsidRPr="0085474C" w14:paraId="17B60F90" w14:textId="77777777" w:rsidTr="00367215">
        <w:trPr>
          <w:jc w:val="center"/>
        </w:trPr>
        <w:tc>
          <w:tcPr>
            <w:tcW w:w="1650" w:type="dxa"/>
            <w:vAlign w:val="center"/>
          </w:tcPr>
          <w:p w14:paraId="65A772F6" w14:textId="77777777" w:rsidR="0085474C" w:rsidRPr="0085474C" w:rsidRDefault="0085474C" w:rsidP="0085474C">
            <w:pPr>
              <w:spacing w:line="360" w:lineRule="auto"/>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2</w:t>
            </w:r>
            <w:r w:rsidRPr="0085474C">
              <w:rPr>
                <w:rFonts w:ascii="Times New Roman" w:eastAsia="宋体" w:hAnsi="Times New Roman" w:cs="Times New Roman" w:hint="eastAsia"/>
                <w:sz w:val="24"/>
                <w:szCs w:val="24"/>
              </w:rPr>
              <w:t>：问题分析</w:t>
            </w:r>
          </w:p>
        </w:tc>
        <w:tc>
          <w:tcPr>
            <w:tcW w:w="5664" w:type="dxa"/>
          </w:tcPr>
          <w:p w14:paraId="63F2324A" w14:textId="77777777" w:rsidR="0085474C" w:rsidRPr="0085474C" w:rsidRDefault="0085474C" w:rsidP="0085474C">
            <w:pPr>
              <w:spacing w:line="360" w:lineRule="auto"/>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 xml:space="preserve">2.1 </w:t>
            </w:r>
            <w:r w:rsidRPr="0085474C">
              <w:rPr>
                <w:rFonts w:ascii="Times New Roman" w:eastAsia="宋体" w:hAnsi="Times New Roman" w:cs="Times New Roman" w:hint="eastAsia"/>
                <w:sz w:val="24"/>
                <w:szCs w:val="24"/>
              </w:rPr>
              <w:t>能够运用数学、化学、药学基本原理，识别、定义药物分析学的实践问题。</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M</w:t>
            </w:r>
            <w:r w:rsidRPr="0085474C">
              <w:rPr>
                <w:rFonts w:ascii="Times New Roman" w:eastAsia="宋体" w:hAnsi="Times New Roman" w:cs="Times New Roman"/>
                <w:sz w:val="24"/>
                <w:szCs w:val="24"/>
              </w:rPr>
              <w:t>)</w:t>
            </w:r>
          </w:p>
        </w:tc>
        <w:tc>
          <w:tcPr>
            <w:tcW w:w="1358" w:type="dxa"/>
            <w:vAlign w:val="center"/>
          </w:tcPr>
          <w:p w14:paraId="5D802270" w14:textId="77777777" w:rsidR="0085474C" w:rsidRPr="0085474C" w:rsidRDefault="0085474C" w:rsidP="0085474C">
            <w:pPr>
              <w:spacing w:line="360" w:lineRule="auto"/>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hint="eastAsia"/>
                <w:sz w:val="24"/>
                <w:szCs w:val="24"/>
              </w:rPr>
              <w:t>1</w:t>
            </w:r>
          </w:p>
        </w:tc>
      </w:tr>
      <w:tr w:rsidR="0085474C" w:rsidRPr="0085474C" w14:paraId="447779A3" w14:textId="77777777" w:rsidTr="00367215">
        <w:trPr>
          <w:jc w:val="center"/>
        </w:trPr>
        <w:tc>
          <w:tcPr>
            <w:tcW w:w="1650" w:type="dxa"/>
            <w:vAlign w:val="center"/>
          </w:tcPr>
          <w:p w14:paraId="3E7FB7DE" w14:textId="77777777" w:rsidR="0085474C" w:rsidRPr="0085474C" w:rsidRDefault="0085474C" w:rsidP="0085474C">
            <w:pPr>
              <w:spacing w:line="360" w:lineRule="auto"/>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12</w:t>
            </w:r>
            <w:r w:rsidRPr="0085474C">
              <w:rPr>
                <w:rFonts w:ascii="Times New Roman" w:eastAsia="宋体" w:hAnsi="Times New Roman" w:cs="Times New Roman" w:hint="eastAsia"/>
                <w:sz w:val="24"/>
                <w:szCs w:val="24"/>
              </w:rPr>
              <w:t>：终身学习</w:t>
            </w:r>
          </w:p>
        </w:tc>
        <w:tc>
          <w:tcPr>
            <w:tcW w:w="5664" w:type="dxa"/>
          </w:tcPr>
          <w:p w14:paraId="44BD8E19" w14:textId="77777777" w:rsidR="0085474C" w:rsidRPr="0085474C" w:rsidRDefault="0085474C" w:rsidP="0085474C">
            <w:pPr>
              <w:spacing w:line="360" w:lineRule="auto"/>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 xml:space="preserve">12.1 </w:t>
            </w:r>
            <w:r w:rsidRPr="0085474C">
              <w:rPr>
                <w:rFonts w:ascii="Times New Roman" w:eastAsia="宋体" w:hAnsi="Times New Roman" w:cs="Times New Roman" w:hint="eastAsia"/>
                <w:sz w:val="24"/>
                <w:szCs w:val="24"/>
              </w:rPr>
              <w:t>具有线上学习和终身学习的意识，有不断学习和适应发展的能力，能够根据职业认知合理规划职业生涯，具备创新能力和可持续发展能力。</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L</w:t>
            </w:r>
            <w:r w:rsidRPr="0085474C">
              <w:rPr>
                <w:rFonts w:ascii="Times New Roman" w:eastAsia="宋体" w:hAnsi="Times New Roman" w:cs="Times New Roman"/>
                <w:sz w:val="24"/>
                <w:szCs w:val="24"/>
              </w:rPr>
              <w:t>)</w:t>
            </w:r>
          </w:p>
        </w:tc>
        <w:tc>
          <w:tcPr>
            <w:tcW w:w="1358" w:type="dxa"/>
            <w:vAlign w:val="center"/>
          </w:tcPr>
          <w:p w14:paraId="370135BE" w14:textId="77777777" w:rsidR="0085474C" w:rsidRPr="0085474C" w:rsidRDefault="0085474C" w:rsidP="0085474C">
            <w:pPr>
              <w:spacing w:line="360" w:lineRule="auto"/>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课程目标</w:t>
            </w:r>
            <w:r w:rsidRPr="0085474C">
              <w:rPr>
                <w:rFonts w:ascii="Times New Roman" w:eastAsia="宋体" w:hAnsi="Times New Roman" w:cs="Times New Roman" w:hint="eastAsia"/>
                <w:sz w:val="24"/>
                <w:szCs w:val="24"/>
              </w:rPr>
              <w:t>2</w:t>
            </w:r>
          </w:p>
        </w:tc>
      </w:tr>
    </w:tbl>
    <w:p w14:paraId="36824439" w14:textId="77777777" w:rsidR="0085474C" w:rsidRPr="0085474C" w:rsidRDefault="0085474C" w:rsidP="0085474C">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三、课程学习内容及与课程学习目标的对应关系</w:t>
      </w:r>
    </w:p>
    <w:p w14:paraId="3E8008A9" w14:textId="77777777" w:rsidR="0085474C" w:rsidRPr="0085474C" w:rsidRDefault="0085474C" w:rsidP="0085474C">
      <w:pPr>
        <w:spacing w:beforeLines="50" w:before="156" w:afterLines="50" w:after="156" w:line="440" w:lineRule="exact"/>
        <w:ind w:firstLineChars="200" w:firstLine="562"/>
        <w:rPr>
          <w:rFonts w:ascii="Times New Roman" w:eastAsia="黑体" w:hAnsi="Times New Roman" w:cs="Times New Roman"/>
          <w:b/>
          <w:sz w:val="28"/>
          <w:szCs w:val="28"/>
        </w:rPr>
      </w:pPr>
      <w:r w:rsidRPr="0085474C">
        <w:rPr>
          <w:rFonts w:ascii="Times New Roman" w:eastAsia="黑体" w:hAnsi="Times New Roman" w:cs="Times New Roman"/>
          <w:b/>
          <w:sz w:val="28"/>
          <w:szCs w:val="28"/>
        </w:rPr>
        <w:t>（一）课程学习内容</w:t>
      </w:r>
    </w:p>
    <w:p w14:paraId="50D91FF3" w14:textId="77777777" w:rsidR="0085474C" w:rsidRPr="0085474C" w:rsidRDefault="0085474C" w:rsidP="0085474C">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第一章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绪论及气体的</w:t>
      </w:r>
      <w:r w:rsidRPr="0085474C">
        <w:rPr>
          <w:rFonts w:ascii="Times New Roman" w:eastAsia="黑体" w:hAnsi="Times New Roman" w:cs="Times New Roman"/>
          <w:sz w:val="28"/>
          <w:szCs w:val="28"/>
        </w:rPr>
        <w:t>PVT</w:t>
      </w:r>
      <w:r w:rsidRPr="0085474C">
        <w:rPr>
          <w:rFonts w:ascii="Times New Roman" w:eastAsia="黑体" w:hAnsi="Times New Roman" w:cs="Times New Roman"/>
          <w:sz w:val="28"/>
          <w:szCs w:val="28"/>
        </w:rPr>
        <w:t>性质</w:t>
      </w:r>
    </w:p>
    <w:p w14:paraId="34AB7DFA"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320CAB59"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知识与技能：掌握物理化学的学习方法；掌握理想气体状态方程；掌握分压、分体积概念及计算；掌握实际气体性质及压缩因子图。</w:t>
      </w:r>
    </w:p>
    <w:p w14:paraId="2B1652C5"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过程与方法：掌握物理化学研究内容及方法。</w:t>
      </w:r>
    </w:p>
    <w:p w14:paraId="12721674"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情感态度与价值观：通过物理化学的发展史教育，使学生们具有家国情怀，树立为祖国发展而读书的志向，使个人的发展与国家的发展相统一；了解物理化学研究内容及方法后，初步建立工程思维框架。</w:t>
      </w:r>
    </w:p>
    <w:p w14:paraId="3DD40D2C"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0B0A3132" w14:textId="77777777" w:rsidR="0085474C" w:rsidRPr="0085474C" w:rsidRDefault="0085474C" w:rsidP="0085474C">
      <w:pPr>
        <w:adjustRightInd w:val="0"/>
        <w:snapToGrid w:val="0"/>
        <w:spacing w:before="50" w:after="50"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本章主要教学内容：</w:t>
      </w:r>
    </w:p>
    <w:p w14:paraId="210E0755"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sz w:val="24"/>
          <w:szCs w:val="24"/>
        </w:rPr>
        <w:t>0.1</w:t>
      </w:r>
      <w:r w:rsidRPr="0085474C">
        <w:rPr>
          <w:rFonts w:ascii="Times New Roman" w:eastAsia="宋体" w:hAnsi="Times New Roman" w:cs="Times New Roman"/>
          <w:bCs/>
          <w:sz w:val="24"/>
          <w:szCs w:val="24"/>
        </w:rPr>
        <w:t>什么是物理化学</w:t>
      </w:r>
    </w:p>
    <w:p w14:paraId="323C1C40"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sz w:val="24"/>
          <w:szCs w:val="24"/>
        </w:rPr>
        <w:t>0.2</w:t>
      </w:r>
      <w:r w:rsidRPr="0085474C">
        <w:rPr>
          <w:rFonts w:ascii="Times New Roman" w:eastAsia="宋体" w:hAnsi="Times New Roman" w:cs="Times New Roman"/>
          <w:bCs/>
          <w:sz w:val="24"/>
          <w:szCs w:val="24"/>
        </w:rPr>
        <w:t>物理化学研究的内容</w:t>
      </w:r>
    </w:p>
    <w:p w14:paraId="47148AF5"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sz w:val="24"/>
          <w:szCs w:val="24"/>
        </w:rPr>
        <w:t>0.3</w:t>
      </w:r>
      <w:r w:rsidRPr="0085474C">
        <w:rPr>
          <w:rFonts w:ascii="Times New Roman" w:eastAsia="宋体" w:hAnsi="Times New Roman" w:cs="Times New Roman"/>
          <w:bCs/>
          <w:sz w:val="24"/>
          <w:szCs w:val="24"/>
        </w:rPr>
        <w:t>物理化学的学习方法</w:t>
      </w:r>
    </w:p>
    <w:p w14:paraId="7A23AC52"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sz w:val="24"/>
          <w:szCs w:val="24"/>
        </w:rPr>
        <w:t xml:space="preserve">1.1 </w:t>
      </w:r>
      <w:r w:rsidRPr="0085474C">
        <w:rPr>
          <w:rFonts w:ascii="Times New Roman" w:eastAsia="宋体" w:hAnsi="Times New Roman" w:cs="Times New Roman"/>
          <w:sz w:val="24"/>
          <w:szCs w:val="24"/>
        </w:rPr>
        <w:t>理想气体状态方程</w:t>
      </w:r>
    </w:p>
    <w:p w14:paraId="4596C564"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sz w:val="24"/>
          <w:szCs w:val="24"/>
        </w:rPr>
        <w:t xml:space="preserve">1.2 </w:t>
      </w:r>
      <w:r w:rsidRPr="0085474C">
        <w:rPr>
          <w:rFonts w:ascii="Times New Roman" w:eastAsia="宋体" w:hAnsi="Times New Roman" w:cs="Times New Roman"/>
          <w:sz w:val="24"/>
          <w:szCs w:val="24"/>
        </w:rPr>
        <w:t>理想气体混合物</w:t>
      </w:r>
    </w:p>
    <w:p w14:paraId="441F740E"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1.3</w:t>
      </w:r>
      <w:r w:rsidRPr="0085474C">
        <w:rPr>
          <w:rFonts w:ascii="Times New Roman" w:eastAsia="宋体" w:hAnsi="Times New Roman" w:cs="Times New Roman"/>
          <w:sz w:val="24"/>
          <w:szCs w:val="24"/>
        </w:rPr>
        <w:t>真实气体状态方程</w:t>
      </w:r>
    </w:p>
    <w:p w14:paraId="05B4180E"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1.4</w:t>
      </w:r>
      <w:r w:rsidRPr="0085474C">
        <w:rPr>
          <w:rFonts w:ascii="Times New Roman" w:eastAsia="宋体" w:hAnsi="Times New Roman" w:cs="Times New Roman"/>
          <w:sz w:val="24"/>
          <w:szCs w:val="24"/>
        </w:rPr>
        <w:t>气体的液化及临界参数</w:t>
      </w:r>
    </w:p>
    <w:p w14:paraId="690B71D4" w14:textId="77777777" w:rsidR="0085474C" w:rsidRPr="0085474C" w:rsidRDefault="0085474C" w:rsidP="0085474C">
      <w:pPr>
        <w:adjustRightInd w:val="0"/>
        <w:snapToGrid w:val="0"/>
        <w:spacing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lastRenderedPageBreak/>
        <w:t>本章教学重点及难点：</w:t>
      </w:r>
      <w:r w:rsidRPr="0085474C">
        <w:rPr>
          <w:rFonts w:ascii="Times New Roman" w:eastAsia="宋体" w:hAnsi="Times New Roman" w:cs="Times New Roman"/>
          <w:b/>
          <w:sz w:val="24"/>
          <w:szCs w:val="24"/>
        </w:rPr>
        <w:t xml:space="preserve"> </w:t>
      </w:r>
    </w:p>
    <w:p w14:paraId="771ABA50"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576A894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怎样学习物理化学。</w:t>
      </w:r>
    </w:p>
    <w:p w14:paraId="2D20FFCC"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理想气体状态方程；分压、分体积概念及计算；真实气体与理想气体的偏差；压缩因子；范德华方程。</w:t>
      </w:r>
    </w:p>
    <w:p w14:paraId="660205E1"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76A88198" w14:textId="77777777" w:rsidR="0085474C" w:rsidRPr="0085474C" w:rsidRDefault="0085474C" w:rsidP="0085474C">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如何学好物理化学。</w:t>
      </w:r>
    </w:p>
    <w:p w14:paraId="3980A3E6"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分压、分体积概念及计算；临界状态与临界参数。</w:t>
      </w:r>
    </w:p>
    <w:p w14:paraId="171C75D0"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39E07C70"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通过线上、线下相结合的方式；</w:t>
      </w:r>
    </w:p>
    <w:p w14:paraId="7412A04A"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通过多媒体课件和传统教学相结合，阐明基本原理，丰富学生基本知识结构；</w:t>
      </w:r>
    </w:p>
    <w:p w14:paraId="099C1B4A"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通过案例分析，强调理论与实践相结合，促进学生知识整合，培养学生的反思能力；培养</w:t>
      </w:r>
      <w:r w:rsidR="002E4147">
        <w:rPr>
          <w:rFonts w:ascii="Times New Roman" w:eastAsia="宋体" w:hAnsi="Times New Roman" w:cs="Times New Roman" w:hint="eastAsia"/>
          <w:sz w:val="24"/>
          <w:szCs w:val="24"/>
        </w:rPr>
        <w:t>药学专业</w:t>
      </w:r>
      <w:r w:rsidRPr="0085474C">
        <w:rPr>
          <w:rFonts w:ascii="Times New Roman" w:eastAsia="宋体" w:hAnsi="Times New Roman" w:cs="Times New Roman"/>
          <w:sz w:val="24"/>
          <w:szCs w:val="24"/>
        </w:rPr>
        <w:t>学生发现问题、分析问题、解决问题的能力和探究能力。</w:t>
      </w:r>
    </w:p>
    <w:p w14:paraId="44CFA8A5"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6D8595B5" w14:textId="77777777" w:rsidR="0085474C" w:rsidRPr="0085474C" w:rsidRDefault="0085474C" w:rsidP="0085474C">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理想气体状态方程的应用。</w:t>
      </w:r>
    </w:p>
    <w:p w14:paraId="38CD43CE" w14:textId="77777777" w:rsidR="0085474C" w:rsidRPr="0085474C" w:rsidRDefault="0085474C" w:rsidP="0085474C">
      <w:pPr>
        <w:spacing w:beforeLines="50" w:before="156" w:afterLines="50" w:after="156" w:line="440" w:lineRule="exact"/>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第二章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热力学第一定律</w:t>
      </w:r>
    </w:p>
    <w:p w14:paraId="35AF03D6"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163305F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知识与技能：明确系统与环境，系统的性质，过程与途径等概念；理解平衡态，状态函数，途径函数等基本概念；掌握热力学第一定律文字表述及数学表达式。掌握恒容热、恒压热、</w:t>
      </w:r>
      <w:proofErr w:type="gramStart"/>
      <w:r w:rsidRPr="0085474C">
        <w:rPr>
          <w:rFonts w:ascii="Times New Roman" w:eastAsia="宋体" w:hAnsi="Times New Roman" w:cs="Times New Roman"/>
          <w:sz w:val="24"/>
          <w:szCs w:val="24"/>
        </w:rPr>
        <w:t>焓</w:t>
      </w:r>
      <w:proofErr w:type="gramEnd"/>
      <w:r w:rsidRPr="0085474C">
        <w:rPr>
          <w:rFonts w:ascii="Times New Roman" w:eastAsia="宋体" w:hAnsi="Times New Roman" w:cs="Times New Roman"/>
          <w:sz w:val="24"/>
          <w:szCs w:val="24"/>
        </w:rPr>
        <w:t>的定义；恒容摩尔热容，恒压摩尔热容，摩尔热容与温度间的关系；</w:t>
      </w:r>
      <w:proofErr w:type="spellStart"/>
      <w:r w:rsidRPr="0085474C">
        <w:rPr>
          <w:rFonts w:ascii="Times New Roman" w:eastAsia="宋体" w:hAnsi="Times New Roman" w:cs="Times New Roman"/>
          <w:i/>
          <w:sz w:val="24"/>
          <w:szCs w:val="24"/>
        </w:rPr>
        <w:t>C</w:t>
      </w:r>
      <w:r w:rsidRPr="0085474C">
        <w:rPr>
          <w:rFonts w:ascii="Times New Roman" w:eastAsia="宋体" w:hAnsi="Times New Roman" w:cs="Times New Roman"/>
          <w:sz w:val="24"/>
          <w:szCs w:val="24"/>
          <w:vertAlign w:val="subscript"/>
        </w:rPr>
        <w:t>p.m</w:t>
      </w:r>
      <w:proofErr w:type="spellEnd"/>
      <w:r w:rsidRPr="0085474C">
        <w:rPr>
          <w:rFonts w:ascii="Times New Roman" w:eastAsia="宋体" w:hAnsi="Times New Roman" w:cs="Times New Roman"/>
          <w:sz w:val="24"/>
          <w:szCs w:val="24"/>
        </w:rPr>
        <w:t>与</w:t>
      </w:r>
      <w:proofErr w:type="spellStart"/>
      <w:r w:rsidRPr="0085474C">
        <w:rPr>
          <w:rFonts w:ascii="Times New Roman" w:eastAsia="宋体" w:hAnsi="Times New Roman" w:cs="Times New Roman"/>
          <w:i/>
          <w:sz w:val="24"/>
          <w:szCs w:val="24"/>
        </w:rPr>
        <w:t>C</w:t>
      </w:r>
      <w:r w:rsidRPr="0085474C">
        <w:rPr>
          <w:rFonts w:ascii="Times New Roman" w:eastAsia="宋体" w:hAnsi="Times New Roman" w:cs="Times New Roman"/>
          <w:sz w:val="24"/>
          <w:szCs w:val="24"/>
          <w:vertAlign w:val="subscript"/>
        </w:rPr>
        <w:t>v.m</w:t>
      </w:r>
      <w:proofErr w:type="spellEnd"/>
      <w:r w:rsidRPr="0085474C">
        <w:rPr>
          <w:rFonts w:ascii="Times New Roman" w:eastAsia="宋体" w:hAnsi="Times New Roman" w:cs="Times New Roman"/>
          <w:sz w:val="24"/>
          <w:szCs w:val="24"/>
        </w:rPr>
        <w:t>间的关系；理解热力学能、</w:t>
      </w:r>
      <w:proofErr w:type="gramStart"/>
      <w:r w:rsidRPr="0085474C">
        <w:rPr>
          <w:rFonts w:ascii="Times New Roman" w:eastAsia="宋体" w:hAnsi="Times New Roman" w:cs="Times New Roman"/>
          <w:sz w:val="24"/>
          <w:szCs w:val="24"/>
        </w:rPr>
        <w:t>焓</w:t>
      </w:r>
      <w:proofErr w:type="gramEnd"/>
      <w:r w:rsidRPr="0085474C">
        <w:rPr>
          <w:rFonts w:ascii="Times New Roman" w:eastAsia="宋体" w:hAnsi="Times New Roman" w:cs="Times New Roman"/>
          <w:sz w:val="24"/>
          <w:szCs w:val="24"/>
        </w:rPr>
        <w:t>的定义；会求解理想气体可逆过程和绝热过程的热力学能、功、热和</w:t>
      </w:r>
      <w:proofErr w:type="gramStart"/>
      <w:r w:rsidRPr="0085474C">
        <w:rPr>
          <w:rFonts w:ascii="Times New Roman" w:eastAsia="宋体" w:hAnsi="Times New Roman" w:cs="Times New Roman"/>
          <w:sz w:val="24"/>
          <w:szCs w:val="24"/>
        </w:rPr>
        <w:t>焓</w:t>
      </w:r>
      <w:proofErr w:type="gramEnd"/>
      <w:r w:rsidRPr="0085474C">
        <w:rPr>
          <w:rFonts w:ascii="Times New Roman" w:eastAsia="宋体" w:hAnsi="Times New Roman" w:cs="Times New Roman"/>
          <w:sz w:val="24"/>
          <w:szCs w:val="24"/>
        </w:rPr>
        <w:t>的变化；理解相变</w:t>
      </w:r>
      <w:proofErr w:type="gramStart"/>
      <w:r w:rsidRPr="0085474C">
        <w:rPr>
          <w:rFonts w:ascii="Times New Roman" w:eastAsia="宋体" w:hAnsi="Times New Roman" w:cs="Times New Roman"/>
          <w:sz w:val="24"/>
          <w:szCs w:val="24"/>
        </w:rPr>
        <w:t>焓</w:t>
      </w:r>
      <w:proofErr w:type="gramEnd"/>
      <w:r w:rsidRPr="0085474C">
        <w:rPr>
          <w:rFonts w:ascii="Times New Roman" w:eastAsia="宋体" w:hAnsi="Times New Roman" w:cs="Times New Roman"/>
          <w:sz w:val="24"/>
          <w:szCs w:val="24"/>
        </w:rPr>
        <w:t>，反应进度，标准摩尔反应焓的概念，会计算相变</w:t>
      </w:r>
      <w:proofErr w:type="gramStart"/>
      <w:r w:rsidRPr="0085474C">
        <w:rPr>
          <w:rFonts w:ascii="Times New Roman" w:eastAsia="宋体" w:hAnsi="Times New Roman" w:cs="Times New Roman"/>
          <w:sz w:val="24"/>
          <w:szCs w:val="24"/>
        </w:rPr>
        <w:t>焓</w:t>
      </w:r>
      <w:proofErr w:type="gramEnd"/>
      <w:r w:rsidRPr="0085474C">
        <w:rPr>
          <w:rFonts w:ascii="Times New Roman" w:eastAsia="宋体" w:hAnsi="Times New Roman" w:cs="Times New Roman"/>
          <w:sz w:val="24"/>
          <w:szCs w:val="24"/>
        </w:rPr>
        <w:t>和标准摩尔反应焓；理解标准摩尔反应焓、标准摩尔生成焓、标准摩尔燃烧</w:t>
      </w:r>
      <w:proofErr w:type="gramStart"/>
      <w:r w:rsidRPr="0085474C">
        <w:rPr>
          <w:rFonts w:ascii="Times New Roman" w:eastAsia="宋体" w:hAnsi="Times New Roman" w:cs="Times New Roman"/>
          <w:sz w:val="24"/>
          <w:szCs w:val="24"/>
        </w:rPr>
        <w:t>焓</w:t>
      </w:r>
      <w:proofErr w:type="gramEnd"/>
      <w:r w:rsidRPr="0085474C">
        <w:rPr>
          <w:rFonts w:ascii="Times New Roman" w:eastAsia="宋体" w:hAnsi="Times New Roman" w:cs="Times New Roman"/>
          <w:sz w:val="24"/>
          <w:szCs w:val="24"/>
        </w:rPr>
        <w:t>等概念。</w:t>
      </w:r>
    </w:p>
    <w:p w14:paraId="3E7839F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过程与方法：掌握自然科学的研究方法，如归纳与演绎、模型化法、数学的统计处理等。</w:t>
      </w:r>
    </w:p>
    <w:p w14:paraId="255531F2"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情感态度与价值观：通过对热力学第一定律相关理论、定律的得出过程，引导学生用辩证唯物主义认识相关规律、分析相关理论，使学生树立正确的世界观和方法论；从焦耳实验到</w:t>
      </w:r>
      <w:proofErr w:type="gramStart"/>
      <w:r w:rsidRPr="0085474C">
        <w:rPr>
          <w:rFonts w:ascii="Times New Roman" w:eastAsia="宋体" w:hAnsi="Times New Roman" w:cs="Times New Roman" w:hint="eastAsia"/>
          <w:sz w:val="24"/>
          <w:szCs w:val="24"/>
        </w:rPr>
        <w:t>焦耳</w:t>
      </w:r>
      <w:r w:rsidRPr="0085474C">
        <w:rPr>
          <w:rFonts w:ascii="Times New Roman" w:eastAsia="宋体" w:hAnsi="Times New Roman" w:cs="Times New Roman" w:hint="eastAsia"/>
          <w:sz w:val="24"/>
          <w:szCs w:val="24"/>
        </w:rPr>
        <w:t>-</w:t>
      </w:r>
      <w:proofErr w:type="gramEnd"/>
      <w:r w:rsidRPr="0085474C">
        <w:rPr>
          <w:rFonts w:ascii="Times New Roman" w:eastAsia="宋体" w:hAnsi="Times New Roman" w:cs="Times New Roman" w:hint="eastAsia"/>
          <w:sz w:val="24"/>
          <w:szCs w:val="24"/>
        </w:rPr>
        <w:t>汤姆逊实验的发展及进步切入，引导学生用辩证的方法分析问题，培养学生批判性思维精神的养成。</w:t>
      </w:r>
    </w:p>
    <w:p w14:paraId="5069C9A2"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lastRenderedPageBreak/>
        <w:t>【学习内容】</w:t>
      </w:r>
    </w:p>
    <w:p w14:paraId="056938F3" w14:textId="77777777" w:rsidR="0085474C" w:rsidRPr="0085474C" w:rsidRDefault="0085474C" w:rsidP="0085474C">
      <w:pPr>
        <w:adjustRightInd w:val="0"/>
        <w:snapToGrid w:val="0"/>
        <w:spacing w:before="50" w:after="50"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本章主要教学内容：</w:t>
      </w:r>
    </w:p>
    <w:p w14:paraId="30BA87BD"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2.1</w:t>
      </w:r>
      <w:r w:rsidRPr="0085474C">
        <w:rPr>
          <w:rFonts w:ascii="Times New Roman" w:eastAsia="宋体" w:hAnsi="Times New Roman" w:cs="Times New Roman"/>
          <w:sz w:val="24"/>
          <w:szCs w:val="24"/>
        </w:rPr>
        <w:t>热力学概论</w:t>
      </w:r>
    </w:p>
    <w:p w14:paraId="7EF61FBE"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2.2</w:t>
      </w:r>
      <w:r w:rsidRPr="0085474C">
        <w:rPr>
          <w:rFonts w:ascii="Times New Roman" w:eastAsia="宋体" w:hAnsi="Times New Roman" w:cs="Times New Roman"/>
          <w:sz w:val="24"/>
          <w:szCs w:val="24"/>
        </w:rPr>
        <w:t>热力学基本概念</w:t>
      </w:r>
    </w:p>
    <w:p w14:paraId="432CC42B"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2.3</w:t>
      </w:r>
      <w:r w:rsidRPr="0085474C">
        <w:rPr>
          <w:rFonts w:ascii="Times New Roman" w:eastAsia="宋体" w:hAnsi="Times New Roman" w:cs="Times New Roman"/>
          <w:sz w:val="24"/>
          <w:szCs w:val="24"/>
        </w:rPr>
        <w:t>热力学第一定律</w:t>
      </w:r>
    </w:p>
    <w:p w14:paraId="276E811C"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2.4</w:t>
      </w:r>
      <w:proofErr w:type="gramStart"/>
      <w:r w:rsidRPr="0085474C">
        <w:rPr>
          <w:rFonts w:ascii="Times New Roman" w:eastAsia="宋体" w:hAnsi="Times New Roman" w:cs="Times New Roman"/>
          <w:sz w:val="24"/>
          <w:szCs w:val="24"/>
        </w:rPr>
        <w:t>焓</w:t>
      </w:r>
      <w:proofErr w:type="gramEnd"/>
    </w:p>
    <w:p w14:paraId="555BE0B1"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2.5</w:t>
      </w:r>
      <w:r w:rsidRPr="0085474C">
        <w:rPr>
          <w:rFonts w:ascii="Times New Roman" w:eastAsia="宋体" w:hAnsi="Times New Roman" w:cs="Times New Roman"/>
          <w:sz w:val="24"/>
          <w:szCs w:val="24"/>
        </w:rPr>
        <w:t>热容，恒容变温过程、恒压变温过程</w:t>
      </w:r>
    </w:p>
    <w:p w14:paraId="40C7D81E"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2.6</w:t>
      </w:r>
      <w:r w:rsidRPr="0085474C">
        <w:rPr>
          <w:rFonts w:ascii="Times New Roman" w:eastAsia="宋体" w:hAnsi="Times New Roman" w:cs="Times New Roman"/>
          <w:sz w:val="24"/>
          <w:szCs w:val="24"/>
        </w:rPr>
        <w:t>气体可逆膨胀压缩，理气绝热可逆过程</w:t>
      </w:r>
    </w:p>
    <w:p w14:paraId="4DBACD5D" w14:textId="77777777" w:rsidR="0085474C" w:rsidRPr="0085474C" w:rsidRDefault="0085474C" w:rsidP="0085474C">
      <w:pPr>
        <w:adjustRightInd w:val="0"/>
        <w:snapToGrid w:val="0"/>
        <w:spacing w:line="440" w:lineRule="exact"/>
        <w:ind w:firstLine="20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2.7</w:t>
      </w:r>
      <w:r w:rsidRPr="0085474C">
        <w:rPr>
          <w:rFonts w:ascii="Times New Roman" w:eastAsia="宋体" w:hAnsi="Times New Roman" w:cs="Times New Roman"/>
          <w:sz w:val="24"/>
          <w:szCs w:val="24"/>
        </w:rPr>
        <w:t>相变化过程</w:t>
      </w:r>
    </w:p>
    <w:p w14:paraId="12655A28"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2.8</w:t>
      </w:r>
      <w:r w:rsidRPr="0085474C">
        <w:rPr>
          <w:rFonts w:ascii="Times New Roman" w:eastAsia="宋体" w:hAnsi="Times New Roman" w:cs="Times New Roman"/>
          <w:sz w:val="24"/>
          <w:szCs w:val="24"/>
        </w:rPr>
        <w:t>化学计量数、反应进度和标准摩尔反应焓</w:t>
      </w:r>
    </w:p>
    <w:p w14:paraId="55405D30" w14:textId="77777777" w:rsidR="0085474C" w:rsidRPr="0085474C" w:rsidRDefault="0085474C" w:rsidP="0085474C">
      <w:pPr>
        <w:adjustRightInd w:val="0"/>
        <w:snapToGrid w:val="0"/>
        <w:spacing w:line="440" w:lineRule="exact"/>
        <w:ind w:firstLine="20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2.9 </w:t>
      </w:r>
      <w:r w:rsidRPr="0085474C">
        <w:rPr>
          <w:rFonts w:ascii="Times New Roman" w:eastAsia="宋体" w:hAnsi="Times New Roman" w:cs="Times New Roman"/>
          <w:sz w:val="24"/>
          <w:szCs w:val="24"/>
        </w:rPr>
        <w:t>由标准摩尔生成焓和标准摩尔燃烧</w:t>
      </w:r>
      <w:proofErr w:type="gramStart"/>
      <w:r w:rsidRPr="0085474C">
        <w:rPr>
          <w:rFonts w:ascii="Times New Roman" w:eastAsia="宋体" w:hAnsi="Times New Roman" w:cs="Times New Roman"/>
          <w:sz w:val="24"/>
          <w:szCs w:val="24"/>
        </w:rPr>
        <w:t>焓</w:t>
      </w:r>
      <w:proofErr w:type="gramEnd"/>
      <w:r w:rsidRPr="0085474C">
        <w:rPr>
          <w:rFonts w:ascii="Times New Roman" w:eastAsia="宋体" w:hAnsi="Times New Roman" w:cs="Times New Roman"/>
          <w:sz w:val="24"/>
          <w:szCs w:val="24"/>
        </w:rPr>
        <w:t>计算标准摩尔反应焓</w:t>
      </w:r>
    </w:p>
    <w:p w14:paraId="2143DE2B" w14:textId="77777777" w:rsidR="0085474C" w:rsidRPr="0085474C" w:rsidRDefault="0085474C" w:rsidP="0085474C">
      <w:pPr>
        <w:adjustRightInd w:val="0"/>
        <w:snapToGrid w:val="0"/>
        <w:spacing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本章教学重点及难点：</w:t>
      </w:r>
      <w:r w:rsidRPr="0085474C">
        <w:rPr>
          <w:rFonts w:ascii="Times New Roman" w:eastAsia="宋体" w:hAnsi="Times New Roman" w:cs="Times New Roman"/>
          <w:b/>
          <w:sz w:val="24"/>
          <w:szCs w:val="24"/>
        </w:rPr>
        <w:t xml:space="preserve"> </w:t>
      </w:r>
    </w:p>
    <w:p w14:paraId="43AEE865"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28163D30"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基本概念的掌握；热力学第一定律；</w:t>
      </w:r>
      <w:proofErr w:type="gramStart"/>
      <w:r w:rsidRPr="0085474C">
        <w:rPr>
          <w:rFonts w:ascii="Times New Roman" w:eastAsia="宋体" w:hAnsi="Times New Roman" w:cs="Times New Roman"/>
          <w:sz w:val="24"/>
          <w:szCs w:val="24"/>
        </w:rPr>
        <w:t>焓</w:t>
      </w:r>
      <w:proofErr w:type="gramEnd"/>
      <w:r w:rsidRPr="0085474C">
        <w:rPr>
          <w:rFonts w:ascii="Times New Roman" w:eastAsia="宋体" w:hAnsi="Times New Roman" w:cs="Times New Roman"/>
          <w:sz w:val="24"/>
          <w:szCs w:val="24"/>
        </w:rPr>
        <w:t>的定义；气体恒压和</w:t>
      </w:r>
      <w:proofErr w:type="gramStart"/>
      <w:r w:rsidRPr="0085474C">
        <w:rPr>
          <w:rFonts w:ascii="Times New Roman" w:eastAsia="宋体" w:hAnsi="Times New Roman" w:cs="Times New Roman"/>
          <w:sz w:val="24"/>
          <w:szCs w:val="24"/>
        </w:rPr>
        <w:t>恒容</w:t>
      </w:r>
      <w:proofErr w:type="gramEnd"/>
      <w:r w:rsidRPr="0085474C">
        <w:rPr>
          <w:rFonts w:ascii="Times New Roman" w:eastAsia="宋体" w:hAnsi="Times New Roman" w:cs="Times New Roman"/>
          <w:sz w:val="24"/>
          <w:szCs w:val="24"/>
        </w:rPr>
        <w:t>变温过程的热；功、</w:t>
      </w:r>
      <w:proofErr w:type="gramStart"/>
      <w:r w:rsidRPr="0085474C">
        <w:rPr>
          <w:rFonts w:ascii="Times New Roman" w:eastAsia="宋体" w:hAnsi="Times New Roman" w:cs="Times New Roman"/>
          <w:sz w:val="24"/>
          <w:szCs w:val="24"/>
        </w:rPr>
        <w:t>焓</w:t>
      </w:r>
      <w:proofErr w:type="gramEnd"/>
      <w:r w:rsidRPr="0085474C">
        <w:rPr>
          <w:rFonts w:ascii="Times New Roman" w:eastAsia="宋体" w:hAnsi="Times New Roman" w:cs="Times New Roman"/>
          <w:sz w:val="24"/>
          <w:szCs w:val="24"/>
        </w:rPr>
        <w:t>变和热力学能变的计算；理想气体的内能和</w:t>
      </w:r>
      <w:proofErr w:type="gramStart"/>
      <w:r w:rsidRPr="0085474C">
        <w:rPr>
          <w:rFonts w:ascii="Times New Roman" w:eastAsia="宋体" w:hAnsi="Times New Roman" w:cs="Times New Roman"/>
          <w:sz w:val="24"/>
          <w:szCs w:val="24"/>
        </w:rPr>
        <w:t>焓</w:t>
      </w:r>
      <w:proofErr w:type="gramEnd"/>
      <w:r w:rsidRPr="0085474C">
        <w:rPr>
          <w:rFonts w:ascii="Times New Roman" w:eastAsia="宋体" w:hAnsi="Times New Roman" w:cs="Times New Roman"/>
          <w:sz w:val="24"/>
          <w:szCs w:val="24"/>
        </w:rPr>
        <w:t>；求解理想气体可逆过程和绝热过程的热力学能、功、热和</w:t>
      </w:r>
      <w:proofErr w:type="gramStart"/>
      <w:r w:rsidRPr="0085474C">
        <w:rPr>
          <w:rFonts w:ascii="Times New Roman" w:eastAsia="宋体" w:hAnsi="Times New Roman" w:cs="Times New Roman"/>
          <w:sz w:val="24"/>
          <w:szCs w:val="24"/>
        </w:rPr>
        <w:t>焓</w:t>
      </w:r>
      <w:proofErr w:type="gramEnd"/>
      <w:r w:rsidRPr="0085474C">
        <w:rPr>
          <w:rFonts w:ascii="Times New Roman" w:eastAsia="宋体" w:hAnsi="Times New Roman" w:cs="Times New Roman"/>
          <w:sz w:val="24"/>
          <w:szCs w:val="24"/>
        </w:rPr>
        <w:t>的变化；相变</w:t>
      </w:r>
      <w:proofErr w:type="gramStart"/>
      <w:r w:rsidRPr="0085474C">
        <w:rPr>
          <w:rFonts w:ascii="Times New Roman" w:eastAsia="宋体" w:hAnsi="Times New Roman" w:cs="Times New Roman"/>
          <w:sz w:val="24"/>
          <w:szCs w:val="24"/>
        </w:rPr>
        <w:t>焓</w:t>
      </w:r>
      <w:proofErr w:type="gramEnd"/>
      <w:r w:rsidRPr="0085474C">
        <w:rPr>
          <w:rFonts w:ascii="Times New Roman" w:eastAsia="宋体" w:hAnsi="Times New Roman" w:cs="Times New Roman"/>
          <w:sz w:val="24"/>
          <w:szCs w:val="24"/>
        </w:rPr>
        <w:t>，反应进度，标准摩尔反应焓的概念以及计算；由标准摩尔生成焓和标准摩尔燃烧</w:t>
      </w:r>
      <w:proofErr w:type="gramStart"/>
      <w:r w:rsidRPr="0085474C">
        <w:rPr>
          <w:rFonts w:ascii="Times New Roman" w:eastAsia="宋体" w:hAnsi="Times New Roman" w:cs="Times New Roman"/>
          <w:sz w:val="24"/>
          <w:szCs w:val="24"/>
        </w:rPr>
        <w:t>焓</w:t>
      </w:r>
      <w:proofErr w:type="gramEnd"/>
      <w:r w:rsidRPr="0085474C">
        <w:rPr>
          <w:rFonts w:ascii="Times New Roman" w:eastAsia="宋体" w:hAnsi="Times New Roman" w:cs="Times New Roman"/>
          <w:sz w:val="24"/>
          <w:szCs w:val="24"/>
        </w:rPr>
        <w:t>计算标准摩尔反应焓。</w:t>
      </w:r>
    </w:p>
    <w:p w14:paraId="783633C0"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526C3A5F"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热力学第一定律；气体恒压和</w:t>
      </w:r>
      <w:proofErr w:type="gramStart"/>
      <w:r w:rsidRPr="0085474C">
        <w:rPr>
          <w:rFonts w:ascii="Times New Roman" w:eastAsia="宋体" w:hAnsi="Times New Roman" w:cs="Times New Roman"/>
          <w:sz w:val="24"/>
          <w:szCs w:val="24"/>
        </w:rPr>
        <w:t>恒容</w:t>
      </w:r>
      <w:proofErr w:type="gramEnd"/>
      <w:r w:rsidRPr="0085474C">
        <w:rPr>
          <w:rFonts w:ascii="Times New Roman" w:eastAsia="宋体" w:hAnsi="Times New Roman" w:cs="Times New Roman"/>
          <w:sz w:val="24"/>
          <w:szCs w:val="24"/>
        </w:rPr>
        <w:t>变温过程的热、功、</w:t>
      </w:r>
      <w:proofErr w:type="gramStart"/>
      <w:r w:rsidRPr="0085474C">
        <w:rPr>
          <w:rFonts w:ascii="Times New Roman" w:eastAsia="宋体" w:hAnsi="Times New Roman" w:cs="Times New Roman"/>
          <w:sz w:val="24"/>
          <w:szCs w:val="24"/>
        </w:rPr>
        <w:t>焓</w:t>
      </w:r>
      <w:proofErr w:type="gramEnd"/>
      <w:r w:rsidRPr="0085474C">
        <w:rPr>
          <w:rFonts w:ascii="Times New Roman" w:eastAsia="宋体" w:hAnsi="Times New Roman" w:cs="Times New Roman"/>
          <w:sz w:val="24"/>
          <w:szCs w:val="24"/>
        </w:rPr>
        <w:t>变和热力学能变的计算；求解理想气体可逆过程和绝热过程的热力学能、功、热和</w:t>
      </w:r>
      <w:proofErr w:type="gramStart"/>
      <w:r w:rsidRPr="0085474C">
        <w:rPr>
          <w:rFonts w:ascii="Times New Roman" w:eastAsia="宋体" w:hAnsi="Times New Roman" w:cs="Times New Roman"/>
          <w:sz w:val="24"/>
          <w:szCs w:val="24"/>
        </w:rPr>
        <w:t>焓</w:t>
      </w:r>
      <w:proofErr w:type="gramEnd"/>
      <w:r w:rsidRPr="0085474C">
        <w:rPr>
          <w:rFonts w:ascii="Times New Roman" w:eastAsia="宋体" w:hAnsi="Times New Roman" w:cs="Times New Roman"/>
          <w:sz w:val="24"/>
          <w:szCs w:val="24"/>
        </w:rPr>
        <w:t>的变化；相变</w:t>
      </w:r>
      <w:proofErr w:type="gramStart"/>
      <w:r w:rsidRPr="0085474C">
        <w:rPr>
          <w:rFonts w:ascii="Times New Roman" w:eastAsia="宋体" w:hAnsi="Times New Roman" w:cs="Times New Roman"/>
          <w:sz w:val="24"/>
          <w:szCs w:val="24"/>
        </w:rPr>
        <w:t>焓</w:t>
      </w:r>
      <w:proofErr w:type="gramEnd"/>
      <w:r w:rsidRPr="0085474C">
        <w:rPr>
          <w:rFonts w:ascii="Times New Roman" w:eastAsia="宋体" w:hAnsi="Times New Roman" w:cs="Times New Roman"/>
          <w:sz w:val="24"/>
          <w:szCs w:val="24"/>
        </w:rPr>
        <w:t>的计算；标准摩尔反应焓的计算和</w:t>
      </w:r>
      <w:proofErr w:type="gramStart"/>
      <w:r w:rsidRPr="0085474C">
        <w:rPr>
          <w:rFonts w:ascii="Times New Roman" w:eastAsia="宋体" w:hAnsi="Times New Roman" w:cs="Times New Roman"/>
          <w:sz w:val="24"/>
          <w:szCs w:val="24"/>
        </w:rPr>
        <w:t>焦耳</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汤姆</w:t>
      </w:r>
      <w:proofErr w:type="gramEnd"/>
      <w:r w:rsidRPr="0085474C">
        <w:rPr>
          <w:rFonts w:ascii="Times New Roman" w:eastAsia="宋体" w:hAnsi="Times New Roman" w:cs="Times New Roman"/>
          <w:sz w:val="24"/>
          <w:szCs w:val="24"/>
        </w:rPr>
        <w:t>生效应的理解。</w:t>
      </w:r>
    </w:p>
    <w:p w14:paraId="1D081E76"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5B856770"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通过线上、线下相结合的方式；</w:t>
      </w:r>
    </w:p>
    <w:p w14:paraId="27DE13F9"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通过多媒体课件和传统教学相结合，阐明基本原理，丰富学生基本知识结构；</w:t>
      </w:r>
    </w:p>
    <w:p w14:paraId="0DB0FA99"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通过案例分析，强调理论与实践相结合，促进学生知识整合，培养学生的反思能力；培养</w:t>
      </w:r>
      <w:r w:rsidR="002E4147">
        <w:rPr>
          <w:rFonts w:ascii="Times New Roman" w:eastAsia="宋体" w:hAnsi="Times New Roman" w:cs="Times New Roman" w:hint="eastAsia"/>
          <w:sz w:val="24"/>
          <w:szCs w:val="24"/>
        </w:rPr>
        <w:t>药学专业</w:t>
      </w:r>
      <w:r w:rsidRPr="0085474C">
        <w:rPr>
          <w:rFonts w:ascii="Times New Roman" w:eastAsia="宋体" w:hAnsi="Times New Roman" w:cs="Times New Roman"/>
          <w:sz w:val="24"/>
          <w:szCs w:val="24"/>
        </w:rPr>
        <w:t>学生发现问题、分析问题、解决问题的能力和探究能力。</w:t>
      </w:r>
    </w:p>
    <w:p w14:paraId="598A6977"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2DFCE8AD" w14:textId="77777777" w:rsidR="0085474C" w:rsidRPr="0085474C" w:rsidRDefault="0085474C" w:rsidP="0085474C">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课后思考题及习题</w:t>
      </w:r>
      <w:r w:rsidRPr="0085474C">
        <w:rPr>
          <w:rFonts w:ascii="Times New Roman" w:eastAsia="宋体" w:hAnsi="Times New Roman" w:cs="Times New Roman"/>
          <w:sz w:val="24"/>
          <w:szCs w:val="24"/>
        </w:rPr>
        <w:t>2-3</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2-4</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2-6</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2-16</w:t>
      </w:r>
      <w:r w:rsidRPr="0085474C">
        <w:rPr>
          <w:rFonts w:ascii="Times New Roman" w:eastAsia="宋体" w:hAnsi="Times New Roman" w:cs="Times New Roman"/>
          <w:sz w:val="24"/>
          <w:szCs w:val="24"/>
        </w:rPr>
        <w:t>和</w:t>
      </w:r>
      <w:r w:rsidRPr="0085474C">
        <w:rPr>
          <w:rFonts w:ascii="Times New Roman" w:eastAsia="宋体" w:hAnsi="Times New Roman" w:cs="Times New Roman"/>
          <w:sz w:val="24"/>
          <w:szCs w:val="24"/>
        </w:rPr>
        <w:t>2-19</w:t>
      </w:r>
      <w:r w:rsidRPr="0085474C">
        <w:rPr>
          <w:rFonts w:ascii="Times New Roman" w:eastAsia="宋体" w:hAnsi="Times New Roman" w:cs="Times New Roman"/>
          <w:sz w:val="24"/>
          <w:szCs w:val="24"/>
        </w:rPr>
        <w:t>。</w:t>
      </w:r>
    </w:p>
    <w:p w14:paraId="5A7704A5" w14:textId="77777777" w:rsidR="0085474C" w:rsidRPr="0085474C" w:rsidRDefault="0085474C" w:rsidP="0085474C">
      <w:pPr>
        <w:spacing w:beforeLines="50" w:before="156" w:afterLines="50" w:after="156" w:line="440" w:lineRule="exact"/>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第三章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热力学第二定律</w:t>
      </w:r>
    </w:p>
    <w:p w14:paraId="22FA18F1"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6F9B97B6"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知识与技能：理解自发过程、卡诺循环和卡诺定理；掌握热力学第二定律的文字表述及数学表达式；掌握熵函数的定义；理解规定熵、标准熵、标准摩尔反应熵；掌握熵增原理；掌握物质</w:t>
      </w:r>
      <w:proofErr w:type="spellStart"/>
      <w:r w:rsidRPr="0085474C">
        <w:rPr>
          <w:rFonts w:ascii="Times New Roman" w:eastAsia="宋体" w:hAnsi="Times New Roman" w:cs="Times New Roman"/>
          <w:sz w:val="24"/>
          <w:szCs w:val="24"/>
        </w:rPr>
        <w:t>pVT</w:t>
      </w:r>
      <w:proofErr w:type="spellEnd"/>
      <w:r w:rsidRPr="0085474C">
        <w:rPr>
          <w:rFonts w:ascii="Times New Roman" w:eastAsia="宋体" w:hAnsi="Times New Roman" w:cs="Times New Roman"/>
          <w:sz w:val="24"/>
          <w:szCs w:val="24"/>
        </w:rPr>
        <w:t>变化、相变化及化学变化</w:t>
      </w:r>
      <w:proofErr w:type="gramStart"/>
      <w:r w:rsidRPr="0085474C">
        <w:rPr>
          <w:rFonts w:ascii="Times New Roman" w:eastAsia="宋体" w:hAnsi="Times New Roman" w:cs="Times New Roman"/>
          <w:sz w:val="24"/>
          <w:szCs w:val="24"/>
        </w:rPr>
        <w:t>过程熵变的</w:t>
      </w:r>
      <w:proofErr w:type="gramEnd"/>
      <w:r w:rsidRPr="0085474C">
        <w:rPr>
          <w:rFonts w:ascii="Times New Roman" w:eastAsia="宋体" w:hAnsi="Times New Roman" w:cs="Times New Roman"/>
          <w:sz w:val="24"/>
          <w:szCs w:val="24"/>
        </w:rPr>
        <w:t>计算；掌握</w:t>
      </w:r>
      <w:proofErr w:type="gramStart"/>
      <w:r w:rsidRPr="0085474C">
        <w:rPr>
          <w:rFonts w:ascii="Times New Roman" w:eastAsia="宋体" w:hAnsi="Times New Roman" w:cs="Times New Roman"/>
          <w:sz w:val="24"/>
          <w:szCs w:val="24"/>
        </w:rPr>
        <w:t>亥姆霍兹</w:t>
      </w:r>
      <w:proofErr w:type="gramEnd"/>
      <w:r w:rsidRPr="0085474C">
        <w:rPr>
          <w:rFonts w:ascii="Times New Roman" w:eastAsia="宋体" w:hAnsi="Times New Roman" w:cs="Times New Roman"/>
          <w:sz w:val="24"/>
          <w:szCs w:val="24"/>
        </w:rPr>
        <w:t>函数变与吉布斯函数变的计算；掌握热力学基本方程；理解热力学基本公式的推导及演绎方法。</w:t>
      </w:r>
    </w:p>
    <w:p w14:paraId="3F1809DE"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过程与方法：掌握自然科学的研究方法，如归纳与演绎、模型化法、数学的统计处理等。</w:t>
      </w:r>
    </w:p>
    <w:p w14:paraId="183F611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情感态度与价值观：介绍卡诺、克劳修斯、开尔文等科学家在热力学第二定律提出过程中的故事，培养学生科学精神和进取精神；</w:t>
      </w:r>
      <w:r w:rsidRPr="0085474C">
        <w:rPr>
          <w:rFonts w:ascii="Times New Roman" w:eastAsia="宋体" w:hAnsi="Times New Roman" w:cs="Times New Roman"/>
          <w:sz w:val="24"/>
          <w:szCs w:val="24"/>
        </w:rPr>
        <w:t>通过介绍热机发展及我国高铁发展，增强学生民族自豪感和自信息；介绍世界各国在热机效率尤其是汽车发动机效率的现状，使学生了解国际动态，拓展国际视野。</w:t>
      </w:r>
    </w:p>
    <w:p w14:paraId="527C8838"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0E82B685" w14:textId="77777777" w:rsidR="0085474C" w:rsidRPr="0085474C" w:rsidRDefault="0085474C" w:rsidP="0085474C">
      <w:pPr>
        <w:adjustRightInd w:val="0"/>
        <w:snapToGrid w:val="0"/>
        <w:spacing w:before="50" w:after="50"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本章主要教学内容：</w:t>
      </w:r>
    </w:p>
    <w:p w14:paraId="47A0CE8E"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3.1</w:t>
      </w:r>
      <w:r w:rsidRPr="0085474C">
        <w:rPr>
          <w:rFonts w:ascii="Times New Roman" w:eastAsia="宋体" w:hAnsi="Times New Roman" w:cs="Times New Roman"/>
          <w:sz w:val="24"/>
          <w:szCs w:val="24"/>
        </w:rPr>
        <w:t>热力学第二定律</w:t>
      </w:r>
    </w:p>
    <w:p w14:paraId="7F20E6F0"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3.2</w:t>
      </w:r>
      <w:r w:rsidRPr="0085474C">
        <w:rPr>
          <w:rFonts w:ascii="Times New Roman" w:eastAsia="宋体" w:hAnsi="Times New Roman" w:cs="Times New Roman"/>
          <w:sz w:val="24"/>
          <w:szCs w:val="24"/>
        </w:rPr>
        <w:t>卡诺循环和卡诺定理</w:t>
      </w:r>
    </w:p>
    <w:p w14:paraId="2C487EB9"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3.3 </w:t>
      </w:r>
      <w:r w:rsidRPr="0085474C">
        <w:rPr>
          <w:rFonts w:ascii="Times New Roman" w:eastAsia="宋体" w:hAnsi="Times New Roman" w:cs="Times New Roman"/>
          <w:sz w:val="24"/>
          <w:szCs w:val="24"/>
        </w:rPr>
        <w:t>熵，熵增原理</w:t>
      </w:r>
    </w:p>
    <w:p w14:paraId="74324AA8" w14:textId="77777777" w:rsidR="0085474C" w:rsidRPr="0085474C" w:rsidRDefault="0085474C" w:rsidP="0085474C">
      <w:pPr>
        <w:adjustRightInd w:val="0"/>
        <w:snapToGrid w:val="0"/>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3.4 </w:t>
      </w:r>
      <w:r w:rsidRPr="0085474C">
        <w:rPr>
          <w:rFonts w:ascii="Times New Roman" w:eastAsia="宋体" w:hAnsi="Times New Roman" w:cs="Times New Roman"/>
          <w:sz w:val="24"/>
          <w:szCs w:val="24"/>
        </w:rPr>
        <w:t>单纯</w:t>
      </w:r>
      <w:proofErr w:type="spellStart"/>
      <w:r w:rsidRPr="0085474C">
        <w:rPr>
          <w:rFonts w:ascii="Times New Roman" w:eastAsia="宋体" w:hAnsi="Times New Roman" w:cs="Times New Roman"/>
          <w:sz w:val="24"/>
          <w:szCs w:val="24"/>
        </w:rPr>
        <w:t>pVT</w:t>
      </w:r>
      <w:proofErr w:type="spellEnd"/>
      <w:proofErr w:type="gramStart"/>
      <w:r w:rsidRPr="0085474C">
        <w:rPr>
          <w:rFonts w:ascii="Times New Roman" w:eastAsia="宋体" w:hAnsi="Times New Roman" w:cs="Times New Roman"/>
          <w:sz w:val="24"/>
          <w:szCs w:val="24"/>
        </w:rPr>
        <w:t>变化熵变的</w:t>
      </w:r>
      <w:proofErr w:type="gramEnd"/>
      <w:r w:rsidRPr="0085474C">
        <w:rPr>
          <w:rFonts w:ascii="Times New Roman" w:eastAsia="宋体" w:hAnsi="Times New Roman" w:cs="Times New Roman"/>
          <w:sz w:val="24"/>
          <w:szCs w:val="24"/>
        </w:rPr>
        <w:t>计算；</w:t>
      </w:r>
    </w:p>
    <w:p w14:paraId="48670BDD"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3.5 </w:t>
      </w:r>
      <w:r w:rsidRPr="0085474C">
        <w:rPr>
          <w:rFonts w:ascii="Times New Roman" w:eastAsia="宋体" w:hAnsi="Times New Roman" w:cs="Times New Roman"/>
          <w:sz w:val="24"/>
          <w:szCs w:val="24"/>
        </w:rPr>
        <w:t>相变</w:t>
      </w:r>
      <w:proofErr w:type="gramStart"/>
      <w:r w:rsidRPr="0085474C">
        <w:rPr>
          <w:rFonts w:ascii="Times New Roman" w:eastAsia="宋体" w:hAnsi="Times New Roman" w:cs="Times New Roman"/>
          <w:sz w:val="24"/>
          <w:szCs w:val="24"/>
        </w:rPr>
        <w:t>过程熵变的</w:t>
      </w:r>
      <w:proofErr w:type="gramEnd"/>
      <w:r w:rsidRPr="0085474C">
        <w:rPr>
          <w:rFonts w:ascii="Times New Roman" w:eastAsia="宋体" w:hAnsi="Times New Roman" w:cs="Times New Roman"/>
          <w:sz w:val="24"/>
          <w:szCs w:val="24"/>
        </w:rPr>
        <w:t>计算</w:t>
      </w:r>
    </w:p>
    <w:p w14:paraId="343EE870"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3.6 </w:t>
      </w:r>
      <w:r w:rsidRPr="0085474C">
        <w:rPr>
          <w:rFonts w:ascii="Times New Roman" w:eastAsia="宋体" w:hAnsi="Times New Roman" w:cs="Times New Roman"/>
          <w:sz w:val="24"/>
          <w:szCs w:val="24"/>
        </w:rPr>
        <w:t>热力学第三定律和</w:t>
      </w:r>
      <w:proofErr w:type="gramStart"/>
      <w:r w:rsidRPr="0085474C">
        <w:rPr>
          <w:rFonts w:ascii="Times New Roman" w:eastAsia="宋体" w:hAnsi="Times New Roman" w:cs="Times New Roman"/>
          <w:sz w:val="24"/>
          <w:szCs w:val="24"/>
        </w:rPr>
        <w:t>化学变化熵变的</w:t>
      </w:r>
      <w:proofErr w:type="gramEnd"/>
      <w:r w:rsidRPr="0085474C">
        <w:rPr>
          <w:rFonts w:ascii="Times New Roman" w:eastAsia="宋体" w:hAnsi="Times New Roman" w:cs="Times New Roman"/>
          <w:sz w:val="24"/>
          <w:szCs w:val="24"/>
        </w:rPr>
        <w:t>计算</w:t>
      </w:r>
    </w:p>
    <w:p w14:paraId="6C67F1A4"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3.7 </w:t>
      </w:r>
      <w:proofErr w:type="gramStart"/>
      <w:r w:rsidRPr="0085474C">
        <w:rPr>
          <w:rFonts w:ascii="Times New Roman" w:eastAsia="宋体" w:hAnsi="Times New Roman" w:cs="Times New Roman"/>
          <w:sz w:val="24"/>
          <w:szCs w:val="24"/>
        </w:rPr>
        <w:t>亥姆霍兹</w:t>
      </w:r>
      <w:proofErr w:type="gramEnd"/>
      <w:r w:rsidRPr="0085474C">
        <w:rPr>
          <w:rFonts w:ascii="Times New Roman" w:eastAsia="宋体" w:hAnsi="Times New Roman" w:cs="Times New Roman"/>
          <w:sz w:val="24"/>
          <w:szCs w:val="24"/>
        </w:rPr>
        <w:t>函数和吉布斯函数</w:t>
      </w:r>
    </w:p>
    <w:p w14:paraId="6AAE226D"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3.8 </w:t>
      </w:r>
      <w:r w:rsidRPr="0085474C">
        <w:rPr>
          <w:rFonts w:ascii="Times New Roman" w:eastAsia="宋体" w:hAnsi="Times New Roman" w:cs="Times New Roman"/>
          <w:sz w:val="24"/>
          <w:szCs w:val="24"/>
        </w:rPr>
        <w:t>热力学基本方程</w:t>
      </w:r>
    </w:p>
    <w:p w14:paraId="356BA78F" w14:textId="77777777" w:rsidR="0085474C" w:rsidRPr="0085474C" w:rsidRDefault="0085474C" w:rsidP="0085474C">
      <w:pPr>
        <w:adjustRightInd w:val="0"/>
        <w:snapToGrid w:val="0"/>
        <w:spacing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本章教学重点及难点：</w:t>
      </w:r>
      <w:r w:rsidRPr="0085474C">
        <w:rPr>
          <w:rFonts w:ascii="Times New Roman" w:eastAsia="宋体" w:hAnsi="Times New Roman" w:cs="Times New Roman"/>
          <w:b/>
          <w:sz w:val="24"/>
          <w:szCs w:val="24"/>
        </w:rPr>
        <w:t xml:space="preserve"> </w:t>
      </w:r>
    </w:p>
    <w:p w14:paraId="7E07EB5E"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10DD6DDC"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热力学第二定律；卡诺循环和卡诺定理；熵函数的定义；熵增原理；</w:t>
      </w:r>
      <w:proofErr w:type="spellStart"/>
      <w:r w:rsidRPr="0085474C">
        <w:rPr>
          <w:rFonts w:ascii="Times New Roman" w:eastAsia="宋体" w:hAnsi="Times New Roman" w:cs="Times New Roman"/>
          <w:sz w:val="24"/>
          <w:szCs w:val="24"/>
        </w:rPr>
        <w:t>pVT</w:t>
      </w:r>
      <w:proofErr w:type="spellEnd"/>
      <w:r w:rsidRPr="0085474C">
        <w:rPr>
          <w:rFonts w:ascii="Times New Roman" w:eastAsia="宋体" w:hAnsi="Times New Roman" w:cs="Times New Roman"/>
          <w:sz w:val="24"/>
          <w:szCs w:val="24"/>
        </w:rPr>
        <w:t>变化、相变化及化学变化</w:t>
      </w:r>
      <w:proofErr w:type="gramStart"/>
      <w:r w:rsidRPr="0085474C">
        <w:rPr>
          <w:rFonts w:ascii="Times New Roman" w:eastAsia="宋体" w:hAnsi="Times New Roman" w:cs="Times New Roman"/>
          <w:sz w:val="24"/>
          <w:szCs w:val="24"/>
        </w:rPr>
        <w:t>过程熵变的</w:t>
      </w:r>
      <w:proofErr w:type="gramEnd"/>
      <w:r w:rsidRPr="0085474C">
        <w:rPr>
          <w:rFonts w:ascii="Times New Roman" w:eastAsia="宋体" w:hAnsi="Times New Roman" w:cs="Times New Roman"/>
          <w:sz w:val="24"/>
          <w:szCs w:val="24"/>
        </w:rPr>
        <w:t>计算；</w:t>
      </w:r>
      <w:proofErr w:type="gramStart"/>
      <w:r w:rsidRPr="0085474C">
        <w:rPr>
          <w:rFonts w:ascii="Times New Roman" w:eastAsia="宋体" w:hAnsi="Times New Roman" w:cs="Times New Roman"/>
          <w:sz w:val="24"/>
          <w:szCs w:val="24"/>
        </w:rPr>
        <w:t>亥姆霍兹</w:t>
      </w:r>
      <w:proofErr w:type="gramEnd"/>
      <w:r w:rsidRPr="0085474C">
        <w:rPr>
          <w:rFonts w:ascii="Times New Roman" w:eastAsia="宋体" w:hAnsi="Times New Roman" w:cs="Times New Roman"/>
          <w:sz w:val="24"/>
          <w:szCs w:val="24"/>
        </w:rPr>
        <w:t>函数变与吉布斯函数变的计算；热力学基本方程。</w:t>
      </w:r>
    </w:p>
    <w:p w14:paraId="19CC5C61"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5000A557"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自发过程；热力学第二定律；熵函数的定义；熵增原理；</w:t>
      </w:r>
      <w:proofErr w:type="gramStart"/>
      <w:r w:rsidRPr="0085474C">
        <w:rPr>
          <w:rFonts w:ascii="Times New Roman" w:eastAsia="宋体" w:hAnsi="Times New Roman" w:cs="Times New Roman"/>
          <w:sz w:val="24"/>
          <w:szCs w:val="24"/>
        </w:rPr>
        <w:t>亥姆霍兹</w:t>
      </w:r>
      <w:proofErr w:type="gramEnd"/>
      <w:r w:rsidRPr="0085474C">
        <w:rPr>
          <w:rFonts w:ascii="Times New Roman" w:eastAsia="宋体" w:hAnsi="Times New Roman" w:cs="Times New Roman"/>
          <w:sz w:val="24"/>
          <w:szCs w:val="24"/>
        </w:rPr>
        <w:t>函数变与吉布斯函数变的计算；热力学基本方程。</w:t>
      </w:r>
    </w:p>
    <w:p w14:paraId="43D3EBF9"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3410827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通过线上、线下相结合的方式；</w:t>
      </w:r>
    </w:p>
    <w:p w14:paraId="786A660C"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 xml:space="preserve">2. </w:t>
      </w:r>
      <w:r w:rsidRPr="0085474C">
        <w:rPr>
          <w:rFonts w:ascii="Times New Roman" w:eastAsia="宋体" w:hAnsi="Times New Roman" w:cs="Times New Roman"/>
          <w:sz w:val="24"/>
          <w:szCs w:val="24"/>
        </w:rPr>
        <w:t>通过多媒体课件和传统教学相结合，阐明基本原理，丰富学生基本知识结构；</w:t>
      </w:r>
    </w:p>
    <w:p w14:paraId="24D9D17F"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通过案例分析，强调理论与实践相结合，促进学生知识整合，培养学生的反思能力；培养</w:t>
      </w:r>
      <w:r w:rsidR="002E4147">
        <w:rPr>
          <w:rFonts w:ascii="Times New Roman" w:eastAsia="宋体" w:hAnsi="Times New Roman" w:cs="Times New Roman" w:hint="eastAsia"/>
          <w:sz w:val="24"/>
          <w:szCs w:val="24"/>
        </w:rPr>
        <w:t>药学专业</w:t>
      </w:r>
      <w:r w:rsidRPr="0085474C">
        <w:rPr>
          <w:rFonts w:ascii="Times New Roman" w:eastAsia="宋体" w:hAnsi="Times New Roman" w:cs="Times New Roman"/>
          <w:sz w:val="24"/>
          <w:szCs w:val="24"/>
        </w:rPr>
        <w:t>学生发现问题、分析问题、解决问题的能力和探究能力。</w:t>
      </w:r>
    </w:p>
    <w:p w14:paraId="5346C7C8"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5D6B2AE8" w14:textId="77777777" w:rsidR="0085474C" w:rsidRPr="0085474C" w:rsidRDefault="0085474C" w:rsidP="0085474C">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课后思考题及习题</w:t>
      </w:r>
      <w:r w:rsidRPr="0085474C">
        <w:rPr>
          <w:rFonts w:ascii="Times New Roman" w:eastAsia="宋体" w:hAnsi="Times New Roman" w:cs="Times New Roman"/>
          <w:sz w:val="24"/>
          <w:szCs w:val="24"/>
        </w:rPr>
        <w:t>3-3</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3-5</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3-9</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3-11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3-18</w:t>
      </w:r>
      <w:r w:rsidRPr="0085474C">
        <w:rPr>
          <w:rFonts w:ascii="Times New Roman" w:eastAsia="宋体" w:hAnsi="Times New Roman" w:cs="Times New Roman"/>
          <w:sz w:val="24"/>
          <w:szCs w:val="24"/>
        </w:rPr>
        <w:t>。</w:t>
      </w:r>
    </w:p>
    <w:p w14:paraId="7359EBA8" w14:textId="77777777" w:rsidR="0085474C" w:rsidRPr="0085474C" w:rsidRDefault="0085474C" w:rsidP="0085474C">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第四章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多组分系统热力学</w:t>
      </w:r>
    </w:p>
    <w:p w14:paraId="5BB28304" w14:textId="77777777" w:rsidR="0085474C" w:rsidRPr="0085474C" w:rsidRDefault="0085474C" w:rsidP="0085474C">
      <w:pPr>
        <w:spacing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6A591B60"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知识与技能：掌握偏摩尔量、化学势概念；掌握化学势判据和多组分系统热力学基本方程；掌握拉乌尔定律和亨利定律；掌握理想液态混合物、</w:t>
      </w:r>
      <w:proofErr w:type="gramStart"/>
      <w:r w:rsidRPr="0085474C">
        <w:rPr>
          <w:rFonts w:ascii="Times New Roman" w:eastAsia="宋体" w:hAnsi="Times New Roman" w:cs="Times New Roman"/>
          <w:sz w:val="24"/>
          <w:szCs w:val="24"/>
        </w:rPr>
        <w:t>理想稀</w:t>
      </w:r>
      <w:proofErr w:type="gramEnd"/>
      <w:r w:rsidRPr="0085474C">
        <w:rPr>
          <w:rFonts w:ascii="Times New Roman" w:eastAsia="宋体" w:hAnsi="Times New Roman" w:cs="Times New Roman"/>
          <w:sz w:val="24"/>
          <w:szCs w:val="24"/>
        </w:rPr>
        <w:t>溶液概念；了解稀溶液的依数性、逸度与逸度因子、逸度与逸度因子。</w:t>
      </w:r>
    </w:p>
    <w:p w14:paraId="777C136E"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过程与方法：培养学生通过建构模型来解决问题的能力。</w:t>
      </w:r>
    </w:p>
    <w:p w14:paraId="6E024FD4"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情感态度与价值观：通过介绍凝固点降低在医学和冷冻</w:t>
      </w:r>
      <w:proofErr w:type="gramStart"/>
      <w:r w:rsidRPr="0085474C">
        <w:rPr>
          <w:rFonts w:ascii="Times New Roman" w:eastAsia="宋体" w:hAnsi="Times New Roman" w:cs="Times New Roman" w:hint="eastAsia"/>
          <w:sz w:val="24"/>
          <w:szCs w:val="24"/>
        </w:rPr>
        <w:t>液方面</w:t>
      </w:r>
      <w:proofErr w:type="gramEnd"/>
      <w:r w:rsidRPr="0085474C">
        <w:rPr>
          <w:rFonts w:ascii="Times New Roman" w:eastAsia="宋体" w:hAnsi="Times New Roman" w:cs="Times New Roman" w:hint="eastAsia"/>
          <w:sz w:val="24"/>
          <w:szCs w:val="24"/>
        </w:rPr>
        <w:t>的应用，渗透压在在工业上用于反渗透净化海水、在医疗中用于血液透析、生活中腌制食品等具体应用，培养学生的创新意识，激发他们的爱国情怀和民族自豪感。</w:t>
      </w:r>
    </w:p>
    <w:p w14:paraId="69BD755E"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244C9302" w14:textId="77777777" w:rsidR="0085474C" w:rsidRPr="0085474C" w:rsidRDefault="0085474C" w:rsidP="0085474C">
      <w:pPr>
        <w:adjustRightInd w:val="0"/>
        <w:snapToGrid w:val="0"/>
        <w:spacing w:before="50" w:after="50"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本章主要教学内容：</w:t>
      </w:r>
    </w:p>
    <w:p w14:paraId="28B070DF"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4.1</w:t>
      </w:r>
      <w:r w:rsidRPr="0085474C">
        <w:rPr>
          <w:rFonts w:ascii="Times New Roman" w:eastAsia="宋体" w:hAnsi="Times New Roman" w:cs="Times New Roman"/>
          <w:sz w:val="24"/>
          <w:szCs w:val="24"/>
        </w:rPr>
        <w:t>偏摩尔量</w:t>
      </w:r>
    </w:p>
    <w:p w14:paraId="13E6D6E2"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4.2</w:t>
      </w:r>
      <w:r w:rsidRPr="0085474C">
        <w:rPr>
          <w:rFonts w:ascii="Times New Roman" w:eastAsia="宋体" w:hAnsi="Times New Roman" w:cs="Times New Roman"/>
          <w:sz w:val="24"/>
          <w:szCs w:val="24"/>
        </w:rPr>
        <w:t>化学势</w:t>
      </w:r>
    </w:p>
    <w:p w14:paraId="19CE549A"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4.3</w:t>
      </w:r>
      <w:r w:rsidRPr="0085474C">
        <w:rPr>
          <w:rFonts w:ascii="Times New Roman" w:eastAsia="宋体" w:hAnsi="Times New Roman" w:cs="Times New Roman"/>
          <w:sz w:val="24"/>
          <w:szCs w:val="24"/>
        </w:rPr>
        <w:t>气体组分的化学势</w:t>
      </w:r>
    </w:p>
    <w:p w14:paraId="1B9049C6"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4.4</w:t>
      </w:r>
      <w:r w:rsidRPr="0085474C">
        <w:rPr>
          <w:rFonts w:ascii="Times New Roman" w:eastAsia="宋体" w:hAnsi="Times New Roman" w:cs="Times New Roman" w:hint="eastAsia"/>
          <w:sz w:val="24"/>
          <w:szCs w:val="24"/>
        </w:rPr>
        <w:t>拉乌尔定律和亨利定律</w:t>
      </w:r>
    </w:p>
    <w:p w14:paraId="096B02C1"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4.5</w:t>
      </w:r>
      <w:r w:rsidRPr="0085474C">
        <w:rPr>
          <w:rFonts w:ascii="Times New Roman" w:eastAsia="宋体" w:hAnsi="Times New Roman" w:cs="Times New Roman"/>
          <w:bCs/>
          <w:sz w:val="24"/>
          <w:szCs w:val="24"/>
        </w:rPr>
        <w:t>理想液态混合物</w:t>
      </w:r>
    </w:p>
    <w:p w14:paraId="69556713"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4.6</w:t>
      </w:r>
      <w:proofErr w:type="gramStart"/>
      <w:r w:rsidRPr="0085474C">
        <w:rPr>
          <w:rFonts w:ascii="Times New Roman" w:eastAsia="宋体" w:hAnsi="Times New Roman" w:cs="Times New Roman"/>
          <w:sz w:val="24"/>
          <w:szCs w:val="24"/>
        </w:rPr>
        <w:t>理想稀</w:t>
      </w:r>
      <w:proofErr w:type="gramEnd"/>
      <w:r w:rsidRPr="0085474C">
        <w:rPr>
          <w:rFonts w:ascii="Times New Roman" w:eastAsia="宋体" w:hAnsi="Times New Roman" w:cs="Times New Roman"/>
          <w:sz w:val="24"/>
          <w:szCs w:val="24"/>
        </w:rPr>
        <w:t>溶液</w:t>
      </w:r>
    </w:p>
    <w:p w14:paraId="0C603041"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4.7</w:t>
      </w:r>
      <w:r w:rsidRPr="0085474C">
        <w:rPr>
          <w:rFonts w:ascii="Times New Roman" w:eastAsia="宋体" w:hAnsi="Times New Roman" w:cs="Times New Roman"/>
          <w:bCs/>
          <w:sz w:val="24"/>
          <w:szCs w:val="24"/>
        </w:rPr>
        <w:t>稀溶液的依数性</w:t>
      </w:r>
    </w:p>
    <w:p w14:paraId="6127D3C0"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4.8</w:t>
      </w:r>
      <w:r w:rsidRPr="0085474C">
        <w:rPr>
          <w:rFonts w:ascii="Times New Roman" w:eastAsia="宋体" w:hAnsi="Times New Roman" w:cs="Times New Roman"/>
          <w:bCs/>
          <w:sz w:val="24"/>
          <w:szCs w:val="24"/>
        </w:rPr>
        <w:t>逸度与逸度因子</w:t>
      </w:r>
    </w:p>
    <w:p w14:paraId="4FF3580C"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4.9</w:t>
      </w:r>
      <w:r w:rsidRPr="0085474C">
        <w:rPr>
          <w:rFonts w:ascii="Times New Roman" w:eastAsia="宋体" w:hAnsi="Times New Roman" w:cs="Times New Roman"/>
          <w:bCs/>
          <w:sz w:val="24"/>
          <w:szCs w:val="24"/>
        </w:rPr>
        <w:t>活度及活度因子</w:t>
      </w:r>
    </w:p>
    <w:p w14:paraId="4585A265" w14:textId="77777777" w:rsidR="0085474C" w:rsidRPr="0085474C" w:rsidRDefault="0085474C" w:rsidP="0085474C">
      <w:pPr>
        <w:adjustRightInd w:val="0"/>
        <w:snapToGrid w:val="0"/>
        <w:spacing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本章教学重点及难点：</w:t>
      </w:r>
      <w:r w:rsidRPr="0085474C">
        <w:rPr>
          <w:rFonts w:ascii="Times New Roman" w:eastAsia="宋体" w:hAnsi="Times New Roman" w:cs="Times New Roman"/>
          <w:b/>
          <w:sz w:val="24"/>
          <w:szCs w:val="24"/>
        </w:rPr>
        <w:t xml:space="preserve"> </w:t>
      </w:r>
    </w:p>
    <w:p w14:paraId="32B3D4F5"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37FD93CB"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偏摩尔量和化学势的概念；气体组分的化学势；拉乌尔定律和亨利定律；</w:t>
      </w:r>
      <w:r w:rsidRPr="0085474C">
        <w:rPr>
          <w:rFonts w:ascii="Times New Roman" w:eastAsia="宋体" w:hAnsi="Times New Roman" w:cs="Times New Roman"/>
          <w:bCs/>
          <w:sz w:val="24"/>
          <w:szCs w:val="24"/>
        </w:rPr>
        <w:t>理想液态混合物；</w:t>
      </w:r>
      <w:proofErr w:type="gramStart"/>
      <w:r w:rsidRPr="0085474C">
        <w:rPr>
          <w:rFonts w:ascii="Times New Roman" w:eastAsia="宋体" w:hAnsi="Times New Roman" w:cs="Times New Roman"/>
          <w:sz w:val="24"/>
          <w:szCs w:val="24"/>
        </w:rPr>
        <w:t>理想稀</w:t>
      </w:r>
      <w:proofErr w:type="gramEnd"/>
      <w:r w:rsidRPr="0085474C">
        <w:rPr>
          <w:rFonts w:ascii="Times New Roman" w:eastAsia="宋体" w:hAnsi="Times New Roman" w:cs="Times New Roman"/>
          <w:sz w:val="24"/>
          <w:szCs w:val="24"/>
        </w:rPr>
        <w:t>溶液。</w:t>
      </w:r>
    </w:p>
    <w:p w14:paraId="161BB5F4"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40201800"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偏摩尔量和化学势的概念；</w:t>
      </w:r>
      <w:proofErr w:type="gramStart"/>
      <w:r w:rsidRPr="0085474C">
        <w:rPr>
          <w:rFonts w:ascii="Times New Roman" w:eastAsia="宋体" w:hAnsi="Times New Roman" w:cs="Times New Roman"/>
          <w:sz w:val="24"/>
          <w:szCs w:val="24"/>
        </w:rPr>
        <w:t>理想稀</w:t>
      </w:r>
      <w:proofErr w:type="gramEnd"/>
      <w:r w:rsidRPr="0085474C">
        <w:rPr>
          <w:rFonts w:ascii="Times New Roman" w:eastAsia="宋体" w:hAnsi="Times New Roman" w:cs="Times New Roman"/>
          <w:sz w:val="24"/>
          <w:szCs w:val="24"/>
        </w:rPr>
        <w:t>溶液中溶质、溶剂的化学式。</w:t>
      </w:r>
    </w:p>
    <w:p w14:paraId="2A4580FB"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4771F3E0"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通过线上、线下相结合的方式；</w:t>
      </w:r>
    </w:p>
    <w:p w14:paraId="79A5B84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通过多媒体课件和传统教学相结合，阐明基本原理，丰富学生基本知识结构；</w:t>
      </w:r>
    </w:p>
    <w:p w14:paraId="659B8F2D"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通过案例分析，强调理论与实践相结合，促进学生知识整合，培养学生的反思能力；培养</w:t>
      </w:r>
      <w:r w:rsidR="002E4147">
        <w:rPr>
          <w:rFonts w:ascii="Times New Roman" w:eastAsia="宋体" w:hAnsi="Times New Roman" w:cs="Times New Roman" w:hint="eastAsia"/>
          <w:sz w:val="24"/>
          <w:szCs w:val="24"/>
        </w:rPr>
        <w:t>药学专业</w:t>
      </w:r>
      <w:r w:rsidRPr="0085474C">
        <w:rPr>
          <w:rFonts w:ascii="Times New Roman" w:eastAsia="宋体" w:hAnsi="Times New Roman" w:cs="Times New Roman"/>
          <w:sz w:val="24"/>
          <w:szCs w:val="24"/>
        </w:rPr>
        <w:t>学生发现问题、分析问题、解决问题的能力和探究能力。</w:t>
      </w:r>
    </w:p>
    <w:p w14:paraId="1BD09647"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2C21EEF8" w14:textId="77777777" w:rsidR="0085474C" w:rsidRPr="0085474C" w:rsidRDefault="0085474C" w:rsidP="0085474C">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课后思考题及习题</w:t>
      </w:r>
      <w:r w:rsidRPr="0085474C">
        <w:rPr>
          <w:rFonts w:ascii="Times New Roman" w:eastAsia="宋体" w:hAnsi="Times New Roman" w:cs="Times New Roman"/>
          <w:sz w:val="24"/>
          <w:szCs w:val="24"/>
        </w:rPr>
        <w:t>4-6</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4-8</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4-12</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4-17</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4-18</w:t>
      </w:r>
      <w:r w:rsidRPr="0085474C">
        <w:rPr>
          <w:rFonts w:ascii="Times New Roman" w:eastAsia="宋体" w:hAnsi="Times New Roman" w:cs="Times New Roman"/>
          <w:sz w:val="24"/>
          <w:szCs w:val="24"/>
        </w:rPr>
        <w:t>。</w:t>
      </w:r>
    </w:p>
    <w:p w14:paraId="2CD97D62" w14:textId="77777777" w:rsidR="0085474C" w:rsidRPr="0085474C" w:rsidRDefault="0085474C" w:rsidP="0085474C">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第五章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相平衡</w:t>
      </w:r>
    </w:p>
    <w:p w14:paraId="2EABD18C"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1092C380"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知识与技能：明确相、组分数和自由度的概念，理解相律的推导过程及相律在相图中的应用</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掌握单组分体系的相图</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能较熟练地运用克拉贝龙方程及</w:t>
      </w:r>
      <w:proofErr w:type="gramStart"/>
      <w:r w:rsidRPr="0085474C">
        <w:rPr>
          <w:rFonts w:ascii="Times New Roman" w:eastAsia="宋体" w:hAnsi="Times New Roman" w:cs="Times New Roman"/>
          <w:sz w:val="24"/>
          <w:szCs w:val="24"/>
        </w:rPr>
        <w:t>克拉贝龙</w:t>
      </w:r>
      <w:proofErr w:type="gramEnd"/>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克劳修斯方程</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能用杠杆规则进行分析和计算；</w:t>
      </w:r>
      <w:r w:rsidRPr="0085474C">
        <w:rPr>
          <w:rFonts w:ascii="Times New Roman" w:eastAsia="宋体" w:hAnsi="Times New Roman" w:cs="Times New Roman"/>
          <w:bCs/>
          <w:color w:val="000000"/>
          <w:kern w:val="0"/>
          <w:sz w:val="24"/>
          <w:szCs w:val="24"/>
        </w:rPr>
        <w:t>了解蒸馏和精馏基本原理；</w:t>
      </w:r>
      <w:r w:rsidRPr="0085474C">
        <w:rPr>
          <w:rFonts w:ascii="Times New Roman" w:eastAsia="宋体" w:hAnsi="Times New Roman" w:cs="Times New Roman"/>
          <w:sz w:val="24"/>
          <w:szCs w:val="24"/>
        </w:rPr>
        <w:t>掌握二组分液态系统典型相图；掌握二组分固态系统典型相图。</w:t>
      </w:r>
    </w:p>
    <w:p w14:paraId="6962BE9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过程与方法：</w:t>
      </w:r>
      <w:r w:rsidRPr="0085474C">
        <w:rPr>
          <w:rFonts w:ascii="Times New Roman" w:eastAsia="宋体" w:hAnsi="Times New Roman" w:cs="Times New Roman"/>
          <w:sz w:val="24"/>
          <w:szCs w:val="24"/>
        </w:rPr>
        <w:t>通过案例分析，强调理论与实践相结合，促进学生知识整合和反思能力；培养</w:t>
      </w:r>
      <w:r w:rsidR="002E4147">
        <w:rPr>
          <w:rFonts w:ascii="Times New Roman" w:eastAsia="宋体" w:hAnsi="Times New Roman" w:cs="Times New Roman" w:hint="eastAsia"/>
          <w:sz w:val="24"/>
          <w:szCs w:val="24"/>
        </w:rPr>
        <w:t>药学专业</w:t>
      </w:r>
      <w:r w:rsidRPr="0085474C">
        <w:rPr>
          <w:rFonts w:ascii="Times New Roman" w:eastAsia="宋体" w:hAnsi="Times New Roman" w:cs="Times New Roman"/>
          <w:sz w:val="24"/>
          <w:szCs w:val="24"/>
        </w:rPr>
        <w:t>学生发现问题、分析问题、解决问题的能力和探究能力。</w:t>
      </w:r>
    </w:p>
    <w:p w14:paraId="0C36B6CC"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情感态度与价值观：通过我国物理化学家黄子卿测定水的三相点故事，培养学生用严谨的方法论解决科学技术问题的意识，养成学生科学伦理精神。</w:t>
      </w:r>
    </w:p>
    <w:p w14:paraId="2A0F60F7"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2B07A7B1" w14:textId="77777777" w:rsidR="0085474C" w:rsidRPr="0085474C" w:rsidRDefault="0085474C" w:rsidP="0085474C">
      <w:pPr>
        <w:adjustRightInd w:val="0"/>
        <w:snapToGrid w:val="0"/>
        <w:spacing w:before="50" w:after="50"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本章主要教学内容：</w:t>
      </w:r>
    </w:p>
    <w:p w14:paraId="5FB90179"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5.1 </w:t>
      </w:r>
      <w:r w:rsidRPr="0085474C">
        <w:rPr>
          <w:rFonts w:ascii="Times New Roman" w:eastAsia="宋体" w:hAnsi="Times New Roman" w:cs="Times New Roman"/>
          <w:sz w:val="24"/>
          <w:szCs w:val="24"/>
        </w:rPr>
        <w:t>相律</w:t>
      </w:r>
    </w:p>
    <w:p w14:paraId="577A666F"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5.2 </w:t>
      </w:r>
      <w:r w:rsidRPr="0085474C">
        <w:rPr>
          <w:rFonts w:ascii="Times New Roman" w:eastAsia="宋体" w:hAnsi="Times New Roman" w:cs="Times New Roman"/>
          <w:sz w:val="24"/>
          <w:szCs w:val="24"/>
        </w:rPr>
        <w:t>单组分体系的相图</w:t>
      </w:r>
    </w:p>
    <w:p w14:paraId="0DB8843F"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5.3 </w:t>
      </w:r>
      <w:r w:rsidRPr="0085474C">
        <w:rPr>
          <w:rFonts w:ascii="Times New Roman" w:eastAsia="宋体" w:hAnsi="Times New Roman" w:cs="Times New Roman"/>
          <w:sz w:val="24"/>
          <w:szCs w:val="24"/>
        </w:rPr>
        <w:t>杠杆规则</w:t>
      </w:r>
    </w:p>
    <w:p w14:paraId="7AB62925"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5.4 </w:t>
      </w:r>
      <w:r w:rsidRPr="0085474C">
        <w:rPr>
          <w:rFonts w:ascii="Times New Roman" w:eastAsia="宋体" w:hAnsi="Times New Roman" w:cs="Times New Roman"/>
          <w:sz w:val="24"/>
          <w:szCs w:val="24"/>
        </w:rPr>
        <w:t>二组分理想液态混合物的气</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液平衡相图</w:t>
      </w:r>
    </w:p>
    <w:p w14:paraId="39555C7D"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5.5 </w:t>
      </w:r>
      <w:r w:rsidRPr="0085474C">
        <w:rPr>
          <w:rFonts w:ascii="Times New Roman" w:eastAsia="宋体" w:hAnsi="Times New Roman" w:cs="Times New Roman"/>
          <w:sz w:val="24"/>
          <w:szCs w:val="24"/>
        </w:rPr>
        <w:t>二组分真实液态混合物的气</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液平衡相图</w:t>
      </w:r>
    </w:p>
    <w:p w14:paraId="1AC9FE8E"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5.6 </w:t>
      </w:r>
      <w:r w:rsidRPr="0085474C">
        <w:rPr>
          <w:rFonts w:ascii="Times New Roman" w:eastAsia="宋体" w:hAnsi="Times New Roman" w:cs="Times New Roman"/>
          <w:sz w:val="24"/>
          <w:szCs w:val="24"/>
        </w:rPr>
        <w:t>二组分液态部分互溶系统及</w:t>
      </w:r>
      <w:proofErr w:type="gramStart"/>
      <w:r w:rsidRPr="0085474C">
        <w:rPr>
          <w:rFonts w:ascii="Times New Roman" w:eastAsia="宋体" w:hAnsi="Times New Roman" w:cs="Times New Roman"/>
          <w:sz w:val="24"/>
          <w:szCs w:val="24"/>
        </w:rPr>
        <w:t>不</w:t>
      </w:r>
      <w:proofErr w:type="gramEnd"/>
      <w:r w:rsidRPr="0085474C">
        <w:rPr>
          <w:rFonts w:ascii="Times New Roman" w:eastAsia="宋体" w:hAnsi="Times New Roman" w:cs="Times New Roman"/>
          <w:sz w:val="24"/>
          <w:szCs w:val="24"/>
        </w:rPr>
        <w:t>互溶系统</w:t>
      </w:r>
    </w:p>
    <w:p w14:paraId="52374A94"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5.7 </w:t>
      </w:r>
      <w:r w:rsidRPr="0085474C">
        <w:rPr>
          <w:rFonts w:ascii="Times New Roman" w:eastAsia="宋体" w:hAnsi="Times New Roman" w:cs="Times New Roman"/>
          <w:sz w:val="24"/>
          <w:szCs w:val="24"/>
        </w:rPr>
        <w:t>二组分固态</w:t>
      </w:r>
      <w:proofErr w:type="gramStart"/>
      <w:r w:rsidRPr="0085474C">
        <w:rPr>
          <w:rFonts w:ascii="Times New Roman" w:eastAsia="宋体" w:hAnsi="Times New Roman" w:cs="Times New Roman"/>
          <w:sz w:val="24"/>
          <w:szCs w:val="24"/>
        </w:rPr>
        <w:t>不</w:t>
      </w:r>
      <w:proofErr w:type="gramEnd"/>
      <w:r w:rsidRPr="0085474C">
        <w:rPr>
          <w:rFonts w:ascii="Times New Roman" w:eastAsia="宋体" w:hAnsi="Times New Roman" w:cs="Times New Roman"/>
          <w:sz w:val="24"/>
          <w:szCs w:val="24"/>
        </w:rPr>
        <w:t>互溶系统液</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固平衡相图</w:t>
      </w:r>
    </w:p>
    <w:p w14:paraId="2E34E410" w14:textId="77777777" w:rsidR="0085474C" w:rsidRPr="0085474C" w:rsidRDefault="0085474C" w:rsidP="0085474C">
      <w:pPr>
        <w:adjustRightInd w:val="0"/>
        <w:snapToGrid w:val="0"/>
        <w:spacing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本章教学重点及难点：</w:t>
      </w:r>
      <w:r w:rsidRPr="0085474C">
        <w:rPr>
          <w:rFonts w:ascii="Times New Roman" w:eastAsia="宋体" w:hAnsi="Times New Roman" w:cs="Times New Roman"/>
          <w:b/>
          <w:sz w:val="24"/>
          <w:szCs w:val="24"/>
        </w:rPr>
        <w:t xml:space="preserve"> </w:t>
      </w:r>
    </w:p>
    <w:p w14:paraId="3E1DFA8D"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1F21CAAB"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相律的意义</w:t>
      </w:r>
      <w:r w:rsidRPr="0085474C">
        <w:rPr>
          <w:rFonts w:ascii="Times New Roman" w:eastAsia="宋体" w:hAnsi="Times New Roman" w:cs="Times New Roman"/>
          <w:bCs/>
          <w:sz w:val="24"/>
          <w:szCs w:val="24"/>
        </w:rPr>
        <w:t>；</w:t>
      </w:r>
      <w:r w:rsidRPr="0085474C">
        <w:rPr>
          <w:rFonts w:ascii="Times New Roman" w:eastAsia="宋体" w:hAnsi="Times New Roman" w:cs="Times New Roman"/>
          <w:sz w:val="24"/>
          <w:szCs w:val="24"/>
        </w:rPr>
        <w:t>单组分系统的相图；克</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克方程；用杠杆规则进行分析和计算相图，</w:t>
      </w:r>
      <w:r w:rsidRPr="0085474C">
        <w:rPr>
          <w:rFonts w:ascii="Times New Roman" w:eastAsia="宋体" w:hAnsi="Times New Roman" w:cs="Times New Roman"/>
          <w:sz w:val="24"/>
          <w:szCs w:val="24"/>
        </w:rPr>
        <w:lastRenderedPageBreak/>
        <w:t>二组分真实液态混合物的气</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液平衡相图；二组分液态部分互溶系统及完全</w:t>
      </w:r>
      <w:proofErr w:type="gramStart"/>
      <w:r w:rsidRPr="0085474C">
        <w:rPr>
          <w:rFonts w:ascii="Times New Roman" w:eastAsia="宋体" w:hAnsi="Times New Roman" w:cs="Times New Roman"/>
          <w:sz w:val="24"/>
          <w:szCs w:val="24"/>
        </w:rPr>
        <w:t>不</w:t>
      </w:r>
      <w:proofErr w:type="gramEnd"/>
      <w:r w:rsidRPr="0085474C">
        <w:rPr>
          <w:rFonts w:ascii="Times New Roman" w:eastAsia="宋体" w:hAnsi="Times New Roman" w:cs="Times New Roman"/>
          <w:sz w:val="24"/>
          <w:szCs w:val="24"/>
        </w:rPr>
        <w:t>互溶系统。</w:t>
      </w:r>
    </w:p>
    <w:p w14:paraId="6E68B49F"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41E621EF"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相律的推导；二组分固态互溶系统液</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固平衡相图。</w:t>
      </w:r>
    </w:p>
    <w:p w14:paraId="34B0B680"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7A561CD2"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通过线上、线下相结合的方式；</w:t>
      </w:r>
    </w:p>
    <w:p w14:paraId="549C99B3"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通过多媒体课件和传统教学相结合，阐明基本原理，丰富学生基本知识结构；</w:t>
      </w:r>
    </w:p>
    <w:p w14:paraId="16C15A2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通过案例分析，强调理论与实践相结合，促进学生知识整合，培养学生的反思能力；培养</w:t>
      </w:r>
      <w:r w:rsidR="002E4147">
        <w:rPr>
          <w:rFonts w:ascii="Times New Roman" w:eastAsia="宋体" w:hAnsi="Times New Roman" w:cs="Times New Roman" w:hint="eastAsia"/>
          <w:sz w:val="24"/>
          <w:szCs w:val="24"/>
        </w:rPr>
        <w:t>药学专业</w:t>
      </w:r>
      <w:r w:rsidRPr="0085474C">
        <w:rPr>
          <w:rFonts w:ascii="Times New Roman" w:eastAsia="宋体" w:hAnsi="Times New Roman" w:cs="Times New Roman"/>
          <w:sz w:val="24"/>
          <w:szCs w:val="24"/>
        </w:rPr>
        <w:t>学生发现问题、分析问题、解决问题的能力和探究能力。</w:t>
      </w:r>
    </w:p>
    <w:p w14:paraId="12AC096C"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6CF22EC0"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课后思考题及习题</w:t>
      </w:r>
      <w:r w:rsidRPr="0085474C">
        <w:rPr>
          <w:rFonts w:ascii="Times New Roman" w:eastAsia="宋体" w:hAnsi="Times New Roman" w:cs="Times New Roman"/>
          <w:sz w:val="24"/>
          <w:szCs w:val="24"/>
        </w:rPr>
        <w:t>5-1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5-3</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5-6</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5-13</w:t>
      </w:r>
      <w:r w:rsidRPr="0085474C">
        <w:rPr>
          <w:rFonts w:ascii="Times New Roman" w:eastAsia="宋体" w:hAnsi="Times New Roman" w:cs="Times New Roman"/>
          <w:sz w:val="24"/>
          <w:szCs w:val="24"/>
        </w:rPr>
        <w:t>。</w:t>
      </w:r>
    </w:p>
    <w:p w14:paraId="21F876A2" w14:textId="77777777" w:rsidR="0085474C" w:rsidRPr="0085474C" w:rsidRDefault="0085474C" w:rsidP="0085474C">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第六章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化学平衡</w:t>
      </w:r>
    </w:p>
    <w:p w14:paraId="53EBFA7E"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1EF5A538"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知识与技能：理解标准平衡常数的定义；了解等温方程和等压方程的推导，并掌握其应用；掌握计算标准平衡常数及平衡组成的方法；掌握用热力学数据计算平衡常数及平衡组成的方法，能判断一定条件下化学反应可能进行的方向；会分析温度、压力、组成等因素对平衡的影响。</w:t>
      </w:r>
    </w:p>
    <w:p w14:paraId="50D008F8"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过程与方法：</w:t>
      </w:r>
      <w:r w:rsidRPr="0085474C">
        <w:rPr>
          <w:rFonts w:ascii="Times New Roman" w:eastAsia="宋体" w:hAnsi="Times New Roman" w:cs="Times New Roman"/>
          <w:sz w:val="24"/>
          <w:szCs w:val="24"/>
        </w:rPr>
        <w:t>通过案例分析，强调理论与实践相结合，促进学生知识整合和反思能力；培养</w:t>
      </w:r>
      <w:r w:rsidR="002E4147">
        <w:rPr>
          <w:rFonts w:ascii="Times New Roman" w:eastAsia="宋体" w:hAnsi="Times New Roman" w:cs="Times New Roman" w:hint="eastAsia"/>
          <w:sz w:val="24"/>
          <w:szCs w:val="24"/>
        </w:rPr>
        <w:t>药学专业</w:t>
      </w:r>
      <w:r w:rsidRPr="0085474C">
        <w:rPr>
          <w:rFonts w:ascii="Times New Roman" w:eastAsia="宋体" w:hAnsi="Times New Roman" w:cs="Times New Roman"/>
          <w:sz w:val="24"/>
          <w:szCs w:val="24"/>
        </w:rPr>
        <w:t>学生发现问题、分析问题、解决问题的能力和探究能力。</w:t>
      </w:r>
    </w:p>
    <w:p w14:paraId="57F4F1B3"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情感态度与价值观：结合反应温度、浓度等对化学平衡的影响，将辩证唯物主义的量变到质变的哲学思想贯穿于化学平衡的学习中，引导学生用辩证唯物主义的思想思考问题，并引导学生树立正确的世界观和方法论。</w:t>
      </w:r>
    </w:p>
    <w:p w14:paraId="6AE95789"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14D0181C" w14:textId="77777777" w:rsidR="0085474C" w:rsidRPr="0085474C" w:rsidRDefault="0085474C" w:rsidP="0085474C">
      <w:pPr>
        <w:adjustRightInd w:val="0"/>
        <w:snapToGrid w:val="0"/>
        <w:spacing w:before="50" w:after="50"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本章主要教学内容：</w:t>
      </w:r>
    </w:p>
    <w:p w14:paraId="0E39AF09"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6.1 </w:t>
      </w:r>
      <w:r w:rsidRPr="0085474C">
        <w:rPr>
          <w:rFonts w:ascii="Times New Roman" w:eastAsia="宋体" w:hAnsi="Times New Roman" w:cs="Times New Roman"/>
          <w:sz w:val="24"/>
          <w:szCs w:val="24"/>
        </w:rPr>
        <w:t>化学平衡的等温方程</w:t>
      </w:r>
    </w:p>
    <w:p w14:paraId="55FC9CF9"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6.2 </w:t>
      </w:r>
      <w:r w:rsidRPr="0085474C">
        <w:rPr>
          <w:rFonts w:ascii="Times New Roman" w:eastAsia="宋体" w:hAnsi="Times New Roman" w:cs="Times New Roman"/>
          <w:sz w:val="24"/>
          <w:szCs w:val="24"/>
        </w:rPr>
        <w:t>理想气体反应的标准平衡常数</w:t>
      </w:r>
    </w:p>
    <w:p w14:paraId="571ED8D8"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6.3 </w:t>
      </w:r>
      <w:r w:rsidRPr="0085474C">
        <w:rPr>
          <w:rFonts w:ascii="Times New Roman" w:eastAsia="宋体" w:hAnsi="Times New Roman" w:cs="Times New Roman"/>
          <w:sz w:val="24"/>
          <w:szCs w:val="24"/>
        </w:rPr>
        <w:t>温度对标准平衡常数的影响</w:t>
      </w:r>
    </w:p>
    <w:p w14:paraId="5571AEE2"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6.4 </w:t>
      </w:r>
      <w:r w:rsidRPr="0085474C">
        <w:rPr>
          <w:rFonts w:ascii="Times New Roman" w:eastAsia="宋体" w:hAnsi="Times New Roman" w:cs="Times New Roman"/>
          <w:sz w:val="24"/>
          <w:szCs w:val="24"/>
        </w:rPr>
        <w:t>其他因素对标准平衡常数的影响</w:t>
      </w:r>
    </w:p>
    <w:p w14:paraId="054EFAD5" w14:textId="77777777" w:rsidR="0085474C" w:rsidRPr="0085474C" w:rsidRDefault="0085474C" w:rsidP="0085474C">
      <w:pPr>
        <w:adjustRightInd w:val="0"/>
        <w:snapToGrid w:val="0"/>
        <w:spacing w:before="50" w:after="50"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本章教学重点及难点：</w:t>
      </w:r>
      <w:r w:rsidRPr="0085474C">
        <w:rPr>
          <w:rFonts w:ascii="Times New Roman" w:eastAsia="宋体" w:hAnsi="Times New Roman" w:cs="Times New Roman"/>
          <w:b/>
          <w:sz w:val="24"/>
          <w:szCs w:val="24"/>
        </w:rPr>
        <w:t xml:space="preserve"> </w:t>
      </w:r>
    </w:p>
    <w:p w14:paraId="41F971FB"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1996714B"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用热力学数据计算平衡常数及平衡组成的方法；温度、压力、组成等因素对平衡的影响。</w:t>
      </w:r>
    </w:p>
    <w:p w14:paraId="3B850C2F" w14:textId="77777777" w:rsidR="0085474C" w:rsidRPr="0085474C" w:rsidRDefault="0085474C" w:rsidP="0085474C">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t>【难点】</w:t>
      </w:r>
    </w:p>
    <w:p w14:paraId="7A313AEA" w14:textId="77777777" w:rsidR="0085474C" w:rsidRPr="0085474C" w:rsidRDefault="0085474C" w:rsidP="0085474C">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用热力学数据计算平衡常数及平衡组成的方法。</w:t>
      </w:r>
    </w:p>
    <w:p w14:paraId="4DAE2D06"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2E022F80"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通过线上、线下相结合的方式；</w:t>
      </w:r>
    </w:p>
    <w:p w14:paraId="24E4FFB1"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通过多媒体课件和传统教学相结合，阐明基本原理，丰富学生基本知识结构；</w:t>
      </w:r>
    </w:p>
    <w:p w14:paraId="0031FA01"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通过案例分析，强调理论与实践相结合，促进学生知识整合，培养学生的反思能力；培养</w:t>
      </w:r>
      <w:r w:rsidR="002E4147">
        <w:rPr>
          <w:rFonts w:ascii="Times New Roman" w:eastAsia="宋体" w:hAnsi="Times New Roman" w:cs="Times New Roman" w:hint="eastAsia"/>
          <w:sz w:val="24"/>
          <w:szCs w:val="24"/>
        </w:rPr>
        <w:t>药学专业</w:t>
      </w:r>
      <w:r w:rsidRPr="0085474C">
        <w:rPr>
          <w:rFonts w:ascii="Times New Roman" w:eastAsia="宋体" w:hAnsi="Times New Roman" w:cs="Times New Roman"/>
          <w:sz w:val="24"/>
          <w:szCs w:val="24"/>
        </w:rPr>
        <w:t>学生发现问题、分析问题、解决问题的能力和探究能力。</w:t>
      </w:r>
    </w:p>
    <w:p w14:paraId="18509D88"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67B8217A"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课后思考题及习题</w:t>
      </w:r>
      <w:r w:rsidRPr="0085474C">
        <w:rPr>
          <w:rFonts w:ascii="Times New Roman" w:eastAsia="宋体" w:hAnsi="Times New Roman" w:cs="Times New Roman"/>
          <w:sz w:val="24"/>
          <w:szCs w:val="24"/>
        </w:rPr>
        <w:t>6-2</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6-12</w:t>
      </w:r>
      <w:r w:rsidRPr="0085474C">
        <w:rPr>
          <w:rFonts w:ascii="Times New Roman" w:eastAsia="宋体" w:hAnsi="Times New Roman" w:cs="Times New Roman"/>
          <w:sz w:val="24"/>
          <w:szCs w:val="24"/>
        </w:rPr>
        <w:t>。</w:t>
      </w:r>
    </w:p>
    <w:p w14:paraId="1DE940F0" w14:textId="77777777" w:rsidR="0085474C" w:rsidRPr="0085474C" w:rsidRDefault="0085474C" w:rsidP="0085474C">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第七章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电化学</w:t>
      </w:r>
    </w:p>
    <w:p w14:paraId="186CE74B"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24F1F340"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知识与技能：了解电解质溶液导电机理；掌握法拉第定律、离子迁移数的定义和计算；掌握电导、电导率、摩尔电导率、极限摩尔电导率等概念；了解电导的测定、摩尔电导率与浓度的关系、离子独立运动定律；理解离子平均活度及平均活度系数定义及其计算；了解离子氛概念及德拜－</w:t>
      </w:r>
      <w:proofErr w:type="gramStart"/>
      <w:r w:rsidRPr="0085474C">
        <w:rPr>
          <w:rFonts w:ascii="Times New Roman" w:eastAsia="宋体" w:hAnsi="Times New Roman" w:cs="Times New Roman"/>
          <w:sz w:val="24"/>
          <w:szCs w:val="24"/>
        </w:rPr>
        <w:t>修克尔</w:t>
      </w:r>
      <w:proofErr w:type="gramEnd"/>
      <w:r w:rsidRPr="0085474C">
        <w:rPr>
          <w:rFonts w:ascii="Times New Roman" w:eastAsia="宋体" w:hAnsi="Times New Roman" w:cs="Times New Roman"/>
          <w:sz w:val="24"/>
          <w:szCs w:val="24"/>
        </w:rPr>
        <w:t>极限公式；了解可逆电池的基本原理；电池电动势与电池反应的</w:t>
      </w:r>
      <w:proofErr w:type="spellStart"/>
      <w:r w:rsidRPr="0085474C">
        <w:rPr>
          <w:rFonts w:ascii="Times New Roman" w:eastAsia="宋体" w:hAnsi="Times New Roman" w:cs="Times New Roman"/>
          <w:sz w:val="24"/>
          <w:szCs w:val="24"/>
        </w:rPr>
        <w:t>Δ</w:t>
      </w:r>
      <w:r w:rsidRPr="0085474C">
        <w:rPr>
          <w:rFonts w:ascii="Times New Roman" w:eastAsia="宋体" w:hAnsi="Times New Roman" w:cs="Times New Roman"/>
          <w:sz w:val="24"/>
          <w:szCs w:val="24"/>
          <w:vertAlign w:val="subscript"/>
        </w:rPr>
        <w:t>r</w:t>
      </w:r>
      <w:r w:rsidRPr="0085474C">
        <w:rPr>
          <w:rFonts w:ascii="Times New Roman" w:eastAsia="宋体" w:hAnsi="Times New Roman" w:cs="Times New Roman"/>
          <w:i/>
          <w:sz w:val="24"/>
          <w:szCs w:val="24"/>
        </w:rPr>
        <w:t>G</w:t>
      </w:r>
      <w:r w:rsidRPr="0085474C">
        <w:rPr>
          <w:rFonts w:ascii="Times New Roman" w:eastAsia="宋体" w:hAnsi="Times New Roman" w:cs="Times New Roman"/>
          <w:sz w:val="24"/>
          <w:szCs w:val="24"/>
          <w:vertAlign w:val="subscript"/>
        </w:rPr>
        <w:t>m</w:t>
      </w:r>
      <w:proofErr w:type="spellEnd"/>
      <w:r w:rsidRPr="0085474C">
        <w:rPr>
          <w:rFonts w:ascii="Times New Roman" w:eastAsia="宋体" w:hAnsi="Times New Roman" w:cs="Times New Roman"/>
          <w:position w:val="-4"/>
          <w:sz w:val="24"/>
          <w:szCs w:val="24"/>
        </w:rPr>
        <w:t>、</w:t>
      </w:r>
      <w:proofErr w:type="spellStart"/>
      <w:r w:rsidRPr="0085474C">
        <w:rPr>
          <w:rFonts w:ascii="Times New Roman" w:eastAsia="宋体" w:hAnsi="Times New Roman" w:cs="Times New Roman"/>
          <w:sz w:val="24"/>
          <w:szCs w:val="24"/>
        </w:rPr>
        <w:t>Δ</w:t>
      </w:r>
      <w:r w:rsidRPr="0085474C">
        <w:rPr>
          <w:rFonts w:ascii="Times New Roman" w:eastAsia="宋体" w:hAnsi="Times New Roman" w:cs="Times New Roman"/>
          <w:sz w:val="24"/>
          <w:szCs w:val="24"/>
          <w:vertAlign w:val="subscript"/>
        </w:rPr>
        <w:t>r</w:t>
      </w:r>
      <w:r w:rsidRPr="0085474C">
        <w:rPr>
          <w:rFonts w:ascii="Times New Roman" w:eastAsia="宋体" w:hAnsi="Times New Roman" w:cs="Times New Roman"/>
          <w:i/>
          <w:sz w:val="24"/>
          <w:szCs w:val="24"/>
        </w:rPr>
        <w:t>H</w:t>
      </w:r>
      <w:r w:rsidRPr="0085474C">
        <w:rPr>
          <w:rFonts w:ascii="Times New Roman" w:eastAsia="宋体" w:hAnsi="Times New Roman" w:cs="Times New Roman"/>
          <w:sz w:val="24"/>
          <w:szCs w:val="24"/>
          <w:vertAlign w:val="subscript"/>
        </w:rPr>
        <w:t>m</w:t>
      </w:r>
      <w:proofErr w:type="spellEnd"/>
      <w:r w:rsidRPr="0085474C">
        <w:rPr>
          <w:rFonts w:ascii="Times New Roman" w:eastAsia="宋体" w:hAnsi="Times New Roman" w:cs="Times New Roman"/>
          <w:position w:val="-4"/>
          <w:sz w:val="24"/>
          <w:szCs w:val="24"/>
        </w:rPr>
        <w:t>、</w:t>
      </w:r>
      <w:proofErr w:type="spellStart"/>
      <w:r w:rsidRPr="0085474C">
        <w:rPr>
          <w:rFonts w:ascii="Times New Roman" w:eastAsia="宋体" w:hAnsi="Times New Roman" w:cs="Times New Roman"/>
          <w:sz w:val="24"/>
          <w:szCs w:val="24"/>
        </w:rPr>
        <w:t>Δ</w:t>
      </w:r>
      <w:r w:rsidRPr="0085474C">
        <w:rPr>
          <w:rFonts w:ascii="Times New Roman" w:eastAsia="宋体" w:hAnsi="Times New Roman" w:cs="Times New Roman"/>
          <w:sz w:val="24"/>
          <w:szCs w:val="24"/>
          <w:vertAlign w:val="subscript"/>
        </w:rPr>
        <w:t>r</w:t>
      </w:r>
      <w:r w:rsidRPr="0085474C">
        <w:rPr>
          <w:rFonts w:ascii="Times New Roman" w:eastAsia="宋体" w:hAnsi="Times New Roman" w:cs="Times New Roman"/>
          <w:i/>
          <w:sz w:val="24"/>
          <w:szCs w:val="24"/>
        </w:rPr>
        <w:t>S</w:t>
      </w:r>
      <w:r w:rsidRPr="0085474C">
        <w:rPr>
          <w:rFonts w:ascii="Times New Roman" w:eastAsia="宋体" w:hAnsi="Times New Roman" w:cs="Times New Roman"/>
          <w:sz w:val="24"/>
          <w:szCs w:val="24"/>
          <w:vertAlign w:val="subscript"/>
        </w:rPr>
        <w:t>m</w:t>
      </w:r>
      <w:proofErr w:type="spellEnd"/>
      <w:r w:rsidRPr="0085474C">
        <w:rPr>
          <w:rFonts w:ascii="Times New Roman" w:eastAsia="宋体" w:hAnsi="Times New Roman" w:cs="Times New Roman"/>
          <w:sz w:val="24"/>
          <w:szCs w:val="24"/>
        </w:rPr>
        <w:t>及</w:t>
      </w:r>
      <w:proofErr w:type="spellStart"/>
      <w:r w:rsidRPr="0085474C">
        <w:rPr>
          <w:rFonts w:ascii="Times New Roman" w:eastAsia="宋体" w:hAnsi="Times New Roman" w:cs="Times New Roman"/>
          <w:i/>
          <w:sz w:val="24"/>
          <w:szCs w:val="24"/>
        </w:rPr>
        <w:t>Q</w:t>
      </w:r>
      <w:r w:rsidRPr="0085474C">
        <w:rPr>
          <w:rFonts w:ascii="Times New Roman" w:eastAsia="宋体" w:hAnsi="Times New Roman" w:cs="Times New Roman"/>
          <w:sz w:val="24"/>
          <w:szCs w:val="24"/>
          <w:vertAlign w:val="subscript"/>
        </w:rPr>
        <w:t>r,m</w:t>
      </w:r>
      <w:proofErr w:type="spellEnd"/>
      <w:r w:rsidRPr="0085474C">
        <w:rPr>
          <w:rFonts w:ascii="Times New Roman" w:eastAsia="宋体" w:hAnsi="Times New Roman" w:cs="Times New Roman"/>
          <w:sz w:val="24"/>
          <w:szCs w:val="24"/>
        </w:rPr>
        <w:t>的关系及其计算；掌握电极电势的概念</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了解原电池的设计思路。</w:t>
      </w:r>
    </w:p>
    <w:p w14:paraId="710DB14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过程与方法：</w:t>
      </w:r>
      <w:r w:rsidRPr="0085474C">
        <w:rPr>
          <w:rFonts w:ascii="Times New Roman" w:eastAsia="宋体" w:hAnsi="Times New Roman" w:cs="Times New Roman"/>
          <w:sz w:val="24"/>
          <w:szCs w:val="24"/>
        </w:rPr>
        <w:t>通过案例分析，强调理论与实践相结合，促进学生知识整合和反思能力；培养</w:t>
      </w:r>
      <w:r w:rsidR="002E4147">
        <w:rPr>
          <w:rFonts w:ascii="Times New Roman" w:eastAsia="宋体" w:hAnsi="Times New Roman" w:cs="Times New Roman" w:hint="eastAsia"/>
          <w:sz w:val="24"/>
          <w:szCs w:val="24"/>
        </w:rPr>
        <w:t>药学专业</w:t>
      </w:r>
      <w:r w:rsidRPr="0085474C">
        <w:rPr>
          <w:rFonts w:ascii="Times New Roman" w:eastAsia="宋体" w:hAnsi="Times New Roman" w:cs="Times New Roman"/>
          <w:sz w:val="24"/>
          <w:szCs w:val="24"/>
        </w:rPr>
        <w:t>学生发现问题、分析问题、解决问题的能力和探究能力。</w:t>
      </w:r>
    </w:p>
    <w:p w14:paraId="355687CC"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情感态度与价值观：通过介绍电化学在各领域的应用前沿，培养学生科学进取和创新精神；通过了解发展新能源技术的必要性和紧迫性，增强学生的环保观念和意识；通过对国家能源战略的初步了解使学生建立制度自信和道路自信。</w:t>
      </w:r>
    </w:p>
    <w:p w14:paraId="53A46DF5"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661B2977" w14:textId="77777777" w:rsidR="0085474C" w:rsidRPr="0085474C" w:rsidRDefault="0085474C" w:rsidP="0085474C">
      <w:pPr>
        <w:adjustRightInd w:val="0"/>
        <w:snapToGrid w:val="0"/>
        <w:spacing w:before="50" w:after="50"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本章主要教学内容：</w:t>
      </w:r>
    </w:p>
    <w:p w14:paraId="3B12B5CA"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Cs w:val="21"/>
        </w:rPr>
        <w:t xml:space="preserve"> </w:t>
      </w:r>
      <w:r w:rsidRPr="0085474C">
        <w:rPr>
          <w:rFonts w:ascii="Times New Roman" w:eastAsia="宋体" w:hAnsi="Times New Roman" w:cs="Times New Roman"/>
          <w:sz w:val="24"/>
          <w:szCs w:val="24"/>
        </w:rPr>
        <w:t xml:space="preserve">  7.1</w:t>
      </w:r>
      <w:r w:rsidRPr="0085474C">
        <w:rPr>
          <w:rFonts w:ascii="Times New Roman" w:eastAsia="宋体" w:hAnsi="Times New Roman" w:cs="Times New Roman"/>
          <w:sz w:val="24"/>
          <w:szCs w:val="24"/>
        </w:rPr>
        <w:t>电解质溶液的导电机理及法拉第定律</w:t>
      </w:r>
    </w:p>
    <w:p w14:paraId="57D4CE03"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7.2</w:t>
      </w:r>
      <w:r w:rsidRPr="0085474C">
        <w:rPr>
          <w:rFonts w:ascii="Times New Roman" w:eastAsia="宋体" w:hAnsi="Times New Roman" w:cs="Times New Roman"/>
          <w:iCs/>
          <w:sz w:val="24"/>
          <w:szCs w:val="24"/>
        </w:rPr>
        <w:t>离子迁移数</w:t>
      </w:r>
    </w:p>
    <w:p w14:paraId="19F03BCF"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7.3 </w:t>
      </w:r>
      <w:r w:rsidRPr="0085474C">
        <w:rPr>
          <w:rFonts w:ascii="Times New Roman" w:eastAsia="宋体" w:hAnsi="Times New Roman" w:cs="Times New Roman"/>
          <w:sz w:val="24"/>
          <w:szCs w:val="24"/>
        </w:rPr>
        <w:t>电导、电导率和摩尔电导率</w:t>
      </w:r>
    </w:p>
    <w:p w14:paraId="30332B33"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7.4</w:t>
      </w:r>
      <w:r w:rsidRPr="0085474C">
        <w:rPr>
          <w:rFonts w:ascii="Times New Roman" w:eastAsia="宋体" w:hAnsi="Times New Roman" w:cs="Times New Roman"/>
          <w:sz w:val="24"/>
          <w:szCs w:val="24"/>
        </w:rPr>
        <w:t>电解质的平均离子活度因子及极限公式</w:t>
      </w:r>
    </w:p>
    <w:p w14:paraId="360D0371"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 xml:space="preserve">   7.5 </w:t>
      </w:r>
      <w:r w:rsidRPr="0085474C">
        <w:rPr>
          <w:rFonts w:ascii="Times New Roman" w:eastAsia="宋体" w:hAnsi="Times New Roman" w:cs="Times New Roman"/>
          <w:sz w:val="24"/>
          <w:szCs w:val="24"/>
        </w:rPr>
        <w:t>可逆电池及其电动势的测定</w:t>
      </w:r>
    </w:p>
    <w:p w14:paraId="2C49DD92"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7.6 </w:t>
      </w:r>
      <w:r w:rsidRPr="0085474C">
        <w:rPr>
          <w:rFonts w:ascii="Times New Roman" w:eastAsia="宋体" w:hAnsi="Times New Roman" w:cs="Times New Roman"/>
          <w:sz w:val="24"/>
          <w:szCs w:val="24"/>
        </w:rPr>
        <w:t>原电池热力学</w:t>
      </w:r>
    </w:p>
    <w:p w14:paraId="28C5E383"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7.7 </w:t>
      </w:r>
      <w:r w:rsidRPr="0085474C">
        <w:rPr>
          <w:rFonts w:ascii="Times New Roman" w:eastAsia="宋体" w:hAnsi="Times New Roman" w:cs="Times New Roman"/>
          <w:sz w:val="24"/>
          <w:szCs w:val="24"/>
        </w:rPr>
        <w:t>电极电势和液体接界电势</w:t>
      </w:r>
    </w:p>
    <w:p w14:paraId="4AB5D847"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7.8</w:t>
      </w:r>
      <w:r w:rsidRPr="0085474C">
        <w:rPr>
          <w:rFonts w:ascii="Times New Roman" w:eastAsia="宋体" w:hAnsi="Times New Roman" w:cs="Times New Roman"/>
          <w:sz w:val="24"/>
          <w:szCs w:val="24"/>
        </w:rPr>
        <w:t>原电池的设计</w:t>
      </w:r>
    </w:p>
    <w:p w14:paraId="3D3704C5" w14:textId="77777777" w:rsidR="0085474C" w:rsidRPr="0085474C" w:rsidRDefault="0085474C" w:rsidP="0085474C">
      <w:pPr>
        <w:adjustRightInd w:val="0"/>
        <w:snapToGrid w:val="0"/>
        <w:spacing w:before="50" w:after="50"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本章教学重点及难点：</w:t>
      </w:r>
      <w:r w:rsidRPr="0085474C">
        <w:rPr>
          <w:rFonts w:ascii="Times New Roman" w:eastAsia="宋体" w:hAnsi="Times New Roman" w:cs="Times New Roman"/>
          <w:b/>
          <w:sz w:val="24"/>
          <w:szCs w:val="24"/>
        </w:rPr>
        <w:t xml:space="preserve"> </w:t>
      </w:r>
    </w:p>
    <w:p w14:paraId="02BEBF67"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6AC190FB"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法拉第定律；电池电动势与电池反应的</w:t>
      </w:r>
      <w:proofErr w:type="spellStart"/>
      <w:r w:rsidRPr="0085474C">
        <w:rPr>
          <w:rFonts w:ascii="Times New Roman" w:eastAsia="宋体" w:hAnsi="Times New Roman" w:cs="Times New Roman"/>
          <w:sz w:val="24"/>
          <w:szCs w:val="24"/>
        </w:rPr>
        <w:t>Δ</w:t>
      </w:r>
      <w:r w:rsidRPr="0085474C">
        <w:rPr>
          <w:rFonts w:ascii="Times New Roman" w:eastAsia="宋体" w:hAnsi="Times New Roman" w:cs="Times New Roman"/>
          <w:sz w:val="24"/>
          <w:szCs w:val="24"/>
          <w:vertAlign w:val="subscript"/>
        </w:rPr>
        <w:t>r</w:t>
      </w:r>
      <w:r w:rsidRPr="0085474C">
        <w:rPr>
          <w:rFonts w:ascii="Times New Roman" w:eastAsia="宋体" w:hAnsi="Times New Roman" w:cs="Times New Roman"/>
          <w:i/>
          <w:sz w:val="24"/>
          <w:szCs w:val="24"/>
        </w:rPr>
        <w:t>G</w:t>
      </w:r>
      <w:r w:rsidRPr="0085474C">
        <w:rPr>
          <w:rFonts w:ascii="Times New Roman" w:eastAsia="宋体" w:hAnsi="Times New Roman" w:cs="Times New Roman"/>
          <w:sz w:val="24"/>
          <w:szCs w:val="24"/>
          <w:vertAlign w:val="subscript"/>
        </w:rPr>
        <w:t>m</w:t>
      </w:r>
      <w:proofErr w:type="spellEnd"/>
      <w:r w:rsidRPr="0085474C">
        <w:rPr>
          <w:rFonts w:ascii="Times New Roman" w:eastAsia="宋体" w:hAnsi="Times New Roman" w:cs="Times New Roman"/>
          <w:position w:val="-4"/>
          <w:sz w:val="24"/>
          <w:szCs w:val="24"/>
        </w:rPr>
        <w:t>、</w:t>
      </w:r>
      <w:proofErr w:type="spellStart"/>
      <w:r w:rsidRPr="0085474C">
        <w:rPr>
          <w:rFonts w:ascii="Times New Roman" w:eastAsia="宋体" w:hAnsi="Times New Roman" w:cs="Times New Roman"/>
          <w:sz w:val="24"/>
          <w:szCs w:val="24"/>
        </w:rPr>
        <w:t>Δ</w:t>
      </w:r>
      <w:r w:rsidRPr="0085474C">
        <w:rPr>
          <w:rFonts w:ascii="Times New Roman" w:eastAsia="宋体" w:hAnsi="Times New Roman" w:cs="Times New Roman"/>
          <w:sz w:val="24"/>
          <w:szCs w:val="24"/>
          <w:vertAlign w:val="subscript"/>
        </w:rPr>
        <w:t>r</w:t>
      </w:r>
      <w:r w:rsidRPr="0085474C">
        <w:rPr>
          <w:rFonts w:ascii="Times New Roman" w:eastAsia="宋体" w:hAnsi="Times New Roman" w:cs="Times New Roman"/>
          <w:i/>
          <w:sz w:val="24"/>
          <w:szCs w:val="24"/>
        </w:rPr>
        <w:t>H</w:t>
      </w:r>
      <w:r w:rsidRPr="0085474C">
        <w:rPr>
          <w:rFonts w:ascii="Times New Roman" w:eastAsia="宋体" w:hAnsi="Times New Roman" w:cs="Times New Roman"/>
          <w:sz w:val="24"/>
          <w:szCs w:val="24"/>
          <w:vertAlign w:val="subscript"/>
        </w:rPr>
        <w:t>m</w:t>
      </w:r>
      <w:proofErr w:type="spellEnd"/>
      <w:r w:rsidRPr="0085474C">
        <w:rPr>
          <w:rFonts w:ascii="Times New Roman" w:eastAsia="宋体" w:hAnsi="Times New Roman" w:cs="Times New Roman"/>
          <w:position w:val="-4"/>
          <w:sz w:val="24"/>
          <w:szCs w:val="24"/>
        </w:rPr>
        <w:t>、</w:t>
      </w:r>
      <w:proofErr w:type="spellStart"/>
      <w:r w:rsidRPr="0085474C">
        <w:rPr>
          <w:rFonts w:ascii="Times New Roman" w:eastAsia="宋体" w:hAnsi="Times New Roman" w:cs="Times New Roman"/>
          <w:sz w:val="24"/>
          <w:szCs w:val="24"/>
        </w:rPr>
        <w:t>Δ</w:t>
      </w:r>
      <w:r w:rsidRPr="0085474C">
        <w:rPr>
          <w:rFonts w:ascii="Times New Roman" w:eastAsia="宋体" w:hAnsi="Times New Roman" w:cs="Times New Roman"/>
          <w:sz w:val="24"/>
          <w:szCs w:val="24"/>
          <w:vertAlign w:val="subscript"/>
        </w:rPr>
        <w:t>r</w:t>
      </w:r>
      <w:r w:rsidRPr="0085474C">
        <w:rPr>
          <w:rFonts w:ascii="Times New Roman" w:eastAsia="宋体" w:hAnsi="Times New Roman" w:cs="Times New Roman"/>
          <w:i/>
          <w:sz w:val="24"/>
          <w:szCs w:val="24"/>
        </w:rPr>
        <w:t>S</w:t>
      </w:r>
      <w:r w:rsidRPr="0085474C">
        <w:rPr>
          <w:rFonts w:ascii="Times New Roman" w:eastAsia="宋体" w:hAnsi="Times New Roman" w:cs="Times New Roman"/>
          <w:sz w:val="24"/>
          <w:szCs w:val="24"/>
          <w:vertAlign w:val="subscript"/>
        </w:rPr>
        <w:t>m</w:t>
      </w:r>
      <w:proofErr w:type="spellEnd"/>
      <w:r w:rsidRPr="0085474C">
        <w:rPr>
          <w:rFonts w:ascii="Times New Roman" w:eastAsia="宋体" w:hAnsi="Times New Roman" w:cs="Times New Roman"/>
          <w:sz w:val="24"/>
          <w:szCs w:val="24"/>
        </w:rPr>
        <w:t>及</w:t>
      </w:r>
      <w:proofErr w:type="spellStart"/>
      <w:r w:rsidRPr="0085474C">
        <w:rPr>
          <w:rFonts w:ascii="Times New Roman" w:eastAsia="宋体" w:hAnsi="Times New Roman" w:cs="Times New Roman"/>
          <w:i/>
          <w:sz w:val="24"/>
          <w:szCs w:val="24"/>
        </w:rPr>
        <w:t>Q</w:t>
      </w:r>
      <w:r w:rsidRPr="0085474C">
        <w:rPr>
          <w:rFonts w:ascii="Times New Roman" w:eastAsia="宋体" w:hAnsi="Times New Roman" w:cs="Times New Roman"/>
          <w:sz w:val="24"/>
          <w:szCs w:val="24"/>
          <w:vertAlign w:val="subscript"/>
        </w:rPr>
        <w:t>r,m</w:t>
      </w:r>
      <w:proofErr w:type="spellEnd"/>
      <w:r w:rsidRPr="0085474C">
        <w:rPr>
          <w:rFonts w:ascii="Times New Roman" w:eastAsia="宋体" w:hAnsi="Times New Roman" w:cs="Times New Roman"/>
          <w:sz w:val="24"/>
          <w:szCs w:val="24"/>
        </w:rPr>
        <w:t>的关系及其计算。</w:t>
      </w:r>
    </w:p>
    <w:p w14:paraId="1EE3E0BA" w14:textId="77777777" w:rsidR="0085474C" w:rsidRPr="0085474C" w:rsidRDefault="0085474C" w:rsidP="0085474C">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t>【难点】</w:t>
      </w:r>
    </w:p>
    <w:p w14:paraId="27310D7F"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离子迁移数的定义和计算；平均离子活度及平均活度系数定义及其计算；电池电动势与电池反应的</w:t>
      </w:r>
      <w:proofErr w:type="spellStart"/>
      <w:r w:rsidRPr="0085474C">
        <w:rPr>
          <w:rFonts w:ascii="Times New Roman" w:eastAsia="宋体" w:hAnsi="Times New Roman" w:cs="Times New Roman"/>
          <w:sz w:val="24"/>
          <w:szCs w:val="24"/>
        </w:rPr>
        <w:t>Δ</w:t>
      </w:r>
      <w:r w:rsidRPr="0085474C">
        <w:rPr>
          <w:rFonts w:ascii="Times New Roman" w:eastAsia="宋体" w:hAnsi="Times New Roman" w:cs="Times New Roman"/>
          <w:sz w:val="24"/>
          <w:szCs w:val="24"/>
          <w:vertAlign w:val="subscript"/>
        </w:rPr>
        <w:t>r</w:t>
      </w:r>
      <w:r w:rsidRPr="0085474C">
        <w:rPr>
          <w:rFonts w:ascii="Times New Roman" w:eastAsia="宋体" w:hAnsi="Times New Roman" w:cs="Times New Roman"/>
          <w:i/>
          <w:sz w:val="24"/>
          <w:szCs w:val="24"/>
        </w:rPr>
        <w:t>G</w:t>
      </w:r>
      <w:r w:rsidRPr="0085474C">
        <w:rPr>
          <w:rFonts w:ascii="Times New Roman" w:eastAsia="宋体" w:hAnsi="Times New Roman" w:cs="Times New Roman"/>
          <w:sz w:val="24"/>
          <w:szCs w:val="24"/>
          <w:vertAlign w:val="subscript"/>
        </w:rPr>
        <w:t>m</w:t>
      </w:r>
      <w:proofErr w:type="spellEnd"/>
      <w:r w:rsidRPr="0085474C">
        <w:rPr>
          <w:rFonts w:ascii="Times New Roman" w:eastAsia="宋体" w:hAnsi="Times New Roman" w:cs="Times New Roman"/>
          <w:position w:val="-4"/>
          <w:sz w:val="24"/>
          <w:szCs w:val="24"/>
        </w:rPr>
        <w:t>、</w:t>
      </w:r>
      <w:proofErr w:type="spellStart"/>
      <w:r w:rsidRPr="0085474C">
        <w:rPr>
          <w:rFonts w:ascii="Times New Roman" w:eastAsia="宋体" w:hAnsi="Times New Roman" w:cs="Times New Roman"/>
          <w:sz w:val="24"/>
          <w:szCs w:val="24"/>
        </w:rPr>
        <w:t>Δ</w:t>
      </w:r>
      <w:r w:rsidRPr="0085474C">
        <w:rPr>
          <w:rFonts w:ascii="Times New Roman" w:eastAsia="宋体" w:hAnsi="Times New Roman" w:cs="Times New Roman"/>
          <w:sz w:val="24"/>
          <w:szCs w:val="24"/>
          <w:vertAlign w:val="subscript"/>
        </w:rPr>
        <w:t>r</w:t>
      </w:r>
      <w:r w:rsidRPr="0085474C">
        <w:rPr>
          <w:rFonts w:ascii="Times New Roman" w:eastAsia="宋体" w:hAnsi="Times New Roman" w:cs="Times New Roman"/>
          <w:i/>
          <w:sz w:val="24"/>
          <w:szCs w:val="24"/>
        </w:rPr>
        <w:t>H</w:t>
      </w:r>
      <w:r w:rsidRPr="0085474C">
        <w:rPr>
          <w:rFonts w:ascii="Times New Roman" w:eastAsia="宋体" w:hAnsi="Times New Roman" w:cs="Times New Roman"/>
          <w:sz w:val="24"/>
          <w:szCs w:val="24"/>
          <w:vertAlign w:val="subscript"/>
        </w:rPr>
        <w:t>m</w:t>
      </w:r>
      <w:proofErr w:type="spellEnd"/>
      <w:r w:rsidRPr="0085474C">
        <w:rPr>
          <w:rFonts w:ascii="Times New Roman" w:eastAsia="宋体" w:hAnsi="Times New Roman" w:cs="Times New Roman"/>
          <w:position w:val="-4"/>
          <w:sz w:val="24"/>
          <w:szCs w:val="24"/>
        </w:rPr>
        <w:t>、</w:t>
      </w:r>
      <w:proofErr w:type="spellStart"/>
      <w:r w:rsidRPr="0085474C">
        <w:rPr>
          <w:rFonts w:ascii="Times New Roman" w:eastAsia="宋体" w:hAnsi="Times New Roman" w:cs="Times New Roman"/>
          <w:sz w:val="24"/>
          <w:szCs w:val="24"/>
        </w:rPr>
        <w:t>Δ</w:t>
      </w:r>
      <w:r w:rsidRPr="0085474C">
        <w:rPr>
          <w:rFonts w:ascii="Times New Roman" w:eastAsia="宋体" w:hAnsi="Times New Roman" w:cs="Times New Roman"/>
          <w:sz w:val="24"/>
          <w:szCs w:val="24"/>
          <w:vertAlign w:val="subscript"/>
        </w:rPr>
        <w:t>r</w:t>
      </w:r>
      <w:r w:rsidRPr="0085474C">
        <w:rPr>
          <w:rFonts w:ascii="Times New Roman" w:eastAsia="宋体" w:hAnsi="Times New Roman" w:cs="Times New Roman"/>
          <w:i/>
          <w:sz w:val="24"/>
          <w:szCs w:val="24"/>
        </w:rPr>
        <w:t>S</w:t>
      </w:r>
      <w:r w:rsidRPr="0085474C">
        <w:rPr>
          <w:rFonts w:ascii="Times New Roman" w:eastAsia="宋体" w:hAnsi="Times New Roman" w:cs="Times New Roman"/>
          <w:sz w:val="24"/>
          <w:szCs w:val="24"/>
          <w:vertAlign w:val="subscript"/>
        </w:rPr>
        <w:t>m</w:t>
      </w:r>
      <w:proofErr w:type="spellEnd"/>
      <w:r w:rsidRPr="0085474C">
        <w:rPr>
          <w:rFonts w:ascii="Times New Roman" w:eastAsia="宋体" w:hAnsi="Times New Roman" w:cs="Times New Roman"/>
          <w:sz w:val="24"/>
          <w:szCs w:val="24"/>
        </w:rPr>
        <w:t>及</w:t>
      </w:r>
      <w:proofErr w:type="spellStart"/>
      <w:r w:rsidRPr="0085474C">
        <w:rPr>
          <w:rFonts w:ascii="Times New Roman" w:eastAsia="宋体" w:hAnsi="Times New Roman" w:cs="Times New Roman"/>
          <w:i/>
          <w:sz w:val="24"/>
          <w:szCs w:val="24"/>
        </w:rPr>
        <w:t>Q</w:t>
      </w:r>
      <w:r w:rsidRPr="0085474C">
        <w:rPr>
          <w:rFonts w:ascii="Times New Roman" w:eastAsia="宋体" w:hAnsi="Times New Roman" w:cs="Times New Roman"/>
          <w:sz w:val="24"/>
          <w:szCs w:val="24"/>
          <w:vertAlign w:val="subscript"/>
        </w:rPr>
        <w:t>r,m</w:t>
      </w:r>
      <w:proofErr w:type="spellEnd"/>
      <w:r w:rsidRPr="0085474C">
        <w:rPr>
          <w:rFonts w:ascii="Times New Roman" w:eastAsia="宋体" w:hAnsi="Times New Roman" w:cs="Times New Roman"/>
          <w:sz w:val="24"/>
          <w:szCs w:val="24"/>
        </w:rPr>
        <w:t>的关系及其计算。</w:t>
      </w:r>
    </w:p>
    <w:p w14:paraId="1FDF9762"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5FBF40B3"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通过线上、线下相结合的方式；</w:t>
      </w:r>
    </w:p>
    <w:p w14:paraId="4721F269"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通过多媒体课件和传统教学相结合，阐明基本原理，丰富学生基本知识结构；</w:t>
      </w:r>
    </w:p>
    <w:p w14:paraId="7C5D88BF"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通过案例分析，强调理论与实践相结合，促进学生知识整合，培养学生的反思能力；培养</w:t>
      </w:r>
      <w:r w:rsidR="002E4147">
        <w:rPr>
          <w:rFonts w:ascii="Times New Roman" w:eastAsia="宋体" w:hAnsi="Times New Roman" w:cs="Times New Roman" w:hint="eastAsia"/>
          <w:sz w:val="24"/>
          <w:szCs w:val="24"/>
        </w:rPr>
        <w:t>药学专业</w:t>
      </w:r>
      <w:r w:rsidRPr="0085474C">
        <w:rPr>
          <w:rFonts w:ascii="Times New Roman" w:eastAsia="宋体" w:hAnsi="Times New Roman" w:cs="Times New Roman"/>
          <w:sz w:val="24"/>
          <w:szCs w:val="24"/>
        </w:rPr>
        <w:t>学生发现问题、分析问题、解决问题的能力和探究能力。</w:t>
      </w:r>
    </w:p>
    <w:p w14:paraId="2B540917"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51ED7B04"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课后思考题及习题</w:t>
      </w:r>
      <w:r w:rsidRPr="0085474C">
        <w:rPr>
          <w:rFonts w:ascii="Times New Roman" w:eastAsia="宋体" w:hAnsi="Times New Roman" w:cs="Times New Roman"/>
          <w:sz w:val="24"/>
          <w:szCs w:val="24"/>
        </w:rPr>
        <w:t>7-2</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7-8</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7-9</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7-11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7-14</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7-22</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7-23</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7-26</w:t>
      </w:r>
      <w:r w:rsidRPr="0085474C">
        <w:rPr>
          <w:rFonts w:ascii="Times New Roman" w:eastAsia="宋体" w:hAnsi="Times New Roman" w:cs="Times New Roman"/>
          <w:sz w:val="24"/>
          <w:szCs w:val="24"/>
        </w:rPr>
        <w:t>。</w:t>
      </w:r>
    </w:p>
    <w:p w14:paraId="1E95231E" w14:textId="77777777" w:rsidR="0085474C" w:rsidRPr="0085474C" w:rsidRDefault="0085474C" w:rsidP="0085474C">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第八章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化学动力学基础</w:t>
      </w:r>
    </w:p>
    <w:p w14:paraId="5A71077E"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3D39658F"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知识与技能：掌握反应速率的表示法以及基元反应、反应级数、反应分子数等基本概念；重点掌握零级、一级、二级反应的速率公式的特点，能从实验数据求反应级数和速率常数；掌握通过实验建立反应速率方程的方法；理解阿累尼乌斯公式的意义并会应用，明确指前因子及活化能的含义</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了解几种典型的复杂反应，了解链反应、酶催化反应。</w:t>
      </w:r>
    </w:p>
    <w:p w14:paraId="5DF9F14B"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过程与方法：介绍化学动力学在药物合成领域的应用，培养学生利用理论知识解决实际问题的能力。</w:t>
      </w:r>
    </w:p>
    <w:p w14:paraId="58AABBFC"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情感态度与价值观：结合大气臭氧层空洞，引导学生认识保护环境的重要性，使学生具备环保意识，培养学生可持续发展精神。</w:t>
      </w:r>
    </w:p>
    <w:p w14:paraId="28FAA869"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331B9345" w14:textId="77777777" w:rsidR="0085474C" w:rsidRPr="0085474C" w:rsidRDefault="0085474C" w:rsidP="0085474C">
      <w:pPr>
        <w:adjustRightInd w:val="0"/>
        <w:snapToGrid w:val="0"/>
        <w:spacing w:before="50" w:after="50"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lastRenderedPageBreak/>
        <w:t>本章主要教学内容：</w:t>
      </w:r>
    </w:p>
    <w:p w14:paraId="43ED90B6" w14:textId="77777777" w:rsidR="0085474C" w:rsidRPr="0085474C" w:rsidRDefault="0085474C" w:rsidP="0085474C">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8.1 </w:t>
      </w:r>
      <w:r w:rsidRPr="0085474C">
        <w:rPr>
          <w:rFonts w:ascii="Times New Roman" w:eastAsia="宋体" w:hAnsi="Times New Roman" w:cs="Times New Roman"/>
          <w:bCs/>
          <w:sz w:val="24"/>
          <w:szCs w:val="24"/>
        </w:rPr>
        <w:t>化学反应的反应速率及速率方程</w:t>
      </w:r>
    </w:p>
    <w:p w14:paraId="0BD57D5F" w14:textId="77777777" w:rsidR="0085474C" w:rsidRPr="0085474C" w:rsidRDefault="0085474C" w:rsidP="0085474C">
      <w:pPr>
        <w:spacing w:line="440" w:lineRule="exact"/>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    8.2 </w:t>
      </w:r>
      <w:r w:rsidRPr="0085474C">
        <w:rPr>
          <w:rFonts w:ascii="Times New Roman" w:eastAsia="宋体" w:hAnsi="Times New Roman" w:cs="Times New Roman"/>
          <w:bCs/>
          <w:sz w:val="24"/>
          <w:szCs w:val="24"/>
        </w:rPr>
        <w:t>速率方程的积分形式</w:t>
      </w:r>
    </w:p>
    <w:p w14:paraId="18376487" w14:textId="77777777" w:rsidR="0085474C" w:rsidRPr="0085474C" w:rsidRDefault="0085474C" w:rsidP="0085474C">
      <w:pPr>
        <w:spacing w:line="440" w:lineRule="exact"/>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    8.3 </w:t>
      </w:r>
      <w:r w:rsidRPr="0085474C">
        <w:rPr>
          <w:rFonts w:ascii="Times New Roman" w:eastAsia="宋体" w:hAnsi="Times New Roman" w:cs="Times New Roman"/>
          <w:bCs/>
          <w:sz w:val="24"/>
          <w:szCs w:val="24"/>
        </w:rPr>
        <w:t>速率方程的确定</w:t>
      </w:r>
    </w:p>
    <w:p w14:paraId="20185FAB" w14:textId="77777777" w:rsidR="0085474C" w:rsidRPr="0085474C" w:rsidRDefault="0085474C" w:rsidP="0085474C">
      <w:pPr>
        <w:spacing w:line="440" w:lineRule="exact"/>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    8.4 </w:t>
      </w:r>
      <w:r w:rsidRPr="0085474C">
        <w:rPr>
          <w:rFonts w:ascii="Times New Roman" w:eastAsia="宋体" w:hAnsi="Times New Roman" w:cs="Times New Roman"/>
          <w:bCs/>
          <w:sz w:val="24"/>
          <w:szCs w:val="24"/>
        </w:rPr>
        <w:t>温度对反应速率的影响，活化能</w:t>
      </w:r>
    </w:p>
    <w:p w14:paraId="621AE7AE"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8.5 </w:t>
      </w:r>
      <w:r w:rsidRPr="0085474C">
        <w:rPr>
          <w:rFonts w:ascii="Times New Roman" w:eastAsia="宋体" w:hAnsi="Times New Roman" w:cs="Times New Roman"/>
          <w:sz w:val="24"/>
          <w:szCs w:val="24"/>
        </w:rPr>
        <w:t>几种典型的复杂反应</w:t>
      </w:r>
    </w:p>
    <w:p w14:paraId="3D36DFC5"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8.6 </w:t>
      </w:r>
      <w:r w:rsidRPr="0085474C">
        <w:rPr>
          <w:rFonts w:ascii="Times New Roman" w:eastAsia="宋体" w:hAnsi="Times New Roman" w:cs="Times New Roman"/>
          <w:sz w:val="24"/>
          <w:szCs w:val="24"/>
        </w:rPr>
        <w:t>链反应</w:t>
      </w:r>
    </w:p>
    <w:p w14:paraId="7D334F12"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8.7 </w:t>
      </w:r>
      <w:r w:rsidRPr="0085474C">
        <w:rPr>
          <w:rFonts w:ascii="Times New Roman" w:eastAsia="宋体" w:hAnsi="Times New Roman" w:cs="Times New Roman"/>
          <w:sz w:val="24"/>
          <w:szCs w:val="24"/>
        </w:rPr>
        <w:t>酶催化反应</w:t>
      </w:r>
    </w:p>
    <w:p w14:paraId="346D62D2"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6374E0BD"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简单反应级数的速率公式；阿累尼乌斯公式的应用。</w:t>
      </w:r>
    </w:p>
    <w:p w14:paraId="15DE9352" w14:textId="77777777" w:rsidR="0085474C" w:rsidRPr="0085474C" w:rsidRDefault="0085474C" w:rsidP="0085474C">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t>【难点】</w:t>
      </w:r>
    </w:p>
    <w:p w14:paraId="16C6706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反应速率的表示法，简单反应级数的速率公式；阿累尼乌斯公式的应用。</w:t>
      </w:r>
    </w:p>
    <w:p w14:paraId="55D3016C"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1AEA7C8E"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通过线上、线下相结合的方式；</w:t>
      </w:r>
    </w:p>
    <w:p w14:paraId="30B911C7"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通过多媒体课件和传统教学相结合，阐明基本原理，丰富学生基本知识结构；</w:t>
      </w:r>
    </w:p>
    <w:p w14:paraId="46EBCFFE"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通过案例分析，强调理论与实践相结合，促进学生知识整合，培养学生的反思能力；培养</w:t>
      </w:r>
      <w:r w:rsidR="002E4147">
        <w:rPr>
          <w:rFonts w:ascii="Times New Roman" w:eastAsia="宋体" w:hAnsi="Times New Roman" w:cs="Times New Roman" w:hint="eastAsia"/>
          <w:sz w:val="24"/>
          <w:szCs w:val="24"/>
        </w:rPr>
        <w:t>药学专业</w:t>
      </w:r>
      <w:r w:rsidRPr="0085474C">
        <w:rPr>
          <w:rFonts w:ascii="Times New Roman" w:eastAsia="宋体" w:hAnsi="Times New Roman" w:cs="Times New Roman"/>
          <w:sz w:val="24"/>
          <w:szCs w:val="24"/>
        </w:rPr>
        <w:t>学生发现问题、分析问题、解决问题的能力和探究能力。</w:t>
      </w:r>
    </w:p>
    <w:p w14:paraId="5F970ECD"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411FABE9"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课后思考题及习题</w:t>
      </w:r>
      <w:r w:rsidRPr="0085474C">
        <w:rPr>
          <w:rFonts w:ascii="Times New Roman" w:eastAsia="宋体" w:hAnsi="Times New Roman" w:cs="Times New Roman"/>
          <w:sz w:val="24"/>
          <w:szCs w:val="24"/>
        </w:rPr>
        <w:t>8-2</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8-9</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8-17</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8-24</w:t>
      </w:r>
      <w:r w:rsidRPr="0085474C">
        <w:rPr>
          <w:rFonts w:ascii="Times New Roman" w:eastAsia="宋体" w:hAnsi="Times New Roman" w:cs="Times New Roman"/>
          <w:sz w:val="24"/>
          <w:szCs w:val="24"/>
        </w:rPr>
        <w:t>。</w:t>
      </w:r>
    </w:p>
    <w:p w14:paraId="7712D086" w14:textId="77777777" w:rsidR="0085474C" w:rsidRPr="0085474C" w:rsidRDefault="0085474C" w:rsidP="0085474C">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第九章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界面化学</w:t>
      </w:r>
    </w:p>
    <w:p w14:paraId="27D69E71"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6F890EF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知识与技能：掌握表面张力和表面吉布斯函数的概念；了解弯曲液面对热力学性质的影响；了解拉普拉斯方程及开尔文公式的应用；了解物理吸附和化学吸附的含义及区别；理解郎格缪尔单分子层吸附理论及吸附等温式；了解润湿的分类，润湿角和</w:t>
      </w:r>
      <w:proofErr w:type="gramStart"/>
      <w:r w:rsidRPr="0085474C">
        <w:rPr>
          <w:rFonts w:ascii="Times New Roman" w:eastAsia="宋体" w:hAnsi="Times New Roman" w:cs="Times New Roman"/>
          <w:sz w:val="24"/>
          <w:szCs w:val="24"/>
        </w:rPr>
        <w:t>扬氏</w:t>
      </w:r>
      <w:proofErr w:type="gramEnd"/>
      <w:r w:rsidRPr="0085474C">
        <w:rPr>
          <w:rFonts w:ascii="Times New Roman" w:eastAsia="宋体" w:hAnsi="Times New Roman" w:cs="Times New Roman"/>
          <w:sz w:val="24"/>
          <w:szCs w:val="24"/>
        </w:rPr>
        <w:t>方程；了解溶液界面的吸附现象及表面活性物质的作用。</w:t>
      </w:r>
    </w:p>
    <w:p w14:paraId="78102997"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过程与方法：通过介绍实际生活中如“锄地保墒”、“爆沸”、人工增雨等实例，使学生具备利用理论知识分析、解决实际问题的能力。</w:t>
      </w:r>
    </w:p>
    <w:p w14:paraId="1F187C78"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情感态度与价值观：通过中国古诗词中关于“润湿现象”引入本章内容，使学生感受文化熏陶，增长学科视野，建立文化自信。</w:t>
      </w:r>
    </w:p>
    <w:p w14:paraId="096BCFC1"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080DCF85" w14:textId="77777777" w:rsidR="0085474C" w:rsidRPr="0085474C" w:rsidRDefault="0085474C" w:rsidP="0085474C">
      <w:pPr>
        <w:adjustRightInd w:val="0"/>
        <w:snapToGrid w:val="0"/>
        <w:spacing w:before="50" w:after="50"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lastRenderedPageBreak/>
        <w:t>本章主要教学内容：</w:t>
      </w:r>
    </w:p>
    <w:p w14:paraId="14DEE1D5"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Cs w:val="21"/>
        </w:rPr>
        <w:t xml:space="preserve"> </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bCs/>
          <w:sz w:val="24"/>
          <w:szCs w:val="24"/>
        </w:rPr>
        <w:t xml:space="preserve"> </w:t>
      </w:r>
      <w:r w:rsidRPr="0085474C">
        <w:rPr>
          <w:rFonts w:ascii="Times New Roman" w:eastAsia="宋体" w:hAnsi="Times New Roman" w:cs="Times New Roman"/>
          <w:sz w:val="24"/>
          <w:szCs w:val="24"/>
        </w:rPr>
        <w:t xml:space="preserve">9.1 </w:t>
      </w:r>
      <w:r w:rsidRPr="0085474C">
        <w:rPr>
          <w:rFonts w:ascii="Times New Roman" w:eastAsia="宋体" w:hAnsi="Times New Roman" w:cs="Times New Roman"/>
          <w:sz w:val="24"/>
          <w:szCs w:val="24"/>
        </w:rPr>
        <w:t>界面张力</w:t>
      </w:r>
    </w:p>
    <w:p w14:paraId="458A6AEA"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9.2 </w:t>
      </w:r>
      <w:r w:rsidRPr="0085474C">
        <w:rPr>
          <w:rFonts w:ascii="Times New Roman" w:eastAsia="宋体" w:hAnsi="Times New Roman" w:cs="Times New Roman"/>
          <w:sz w:val="24"/>
          <w:szCs w:val="24"/>
        </w:rPr>
        <w:t>弯曲表面附加压力及其后果</w:t>
      </w:r>
    </w:p>
    <w:p w14:paraId="6A34783C"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9.3 </w:t>
      </w:r>
      <w:r w:rsidRPr="0085474C">
        <w:rPr>
          <w:rFonts w:ascii="Times New Roman" w:eastAsia="宋体" w:hAnsi="Times New Roman" w:cs="Times New Roman"/>
          <w:sz w:val="24"/>
          <w:szCs w:val="24"/>
        </w:rPr>
        <w:t>固体表面</w:t>
      </w:r>
    </w:p>
    <w:p w14:paraId="79F57ED8"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9.4 </w:t>
      </w:r>
      <w:r w:rsidRPr="0085474C">
        <w:rPr>
          <w:rFonts w:ascii="Times New Roman" w:eastAsia="宋体" w:hAnsi="Times New Roman" w:cs="Times New Roman"/>
          <w:sz w:val="24"/>
          <w:szCs w:val="24"/>
        </w:rPr>
        <w:t>液</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固界面</w:t>
      </w:r>
    </w:p>
    <w:p w14:paraId="5A1017A2"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9.5 </w:t>
      </w:r>
      <w:r w:rsidRPr="0085474C">
        <w:rPr>
          <w:rFonts w:ascii="Times New Roman" w:eastAsia="宋体" w:hAnsi="Times New Roman" w:cs="Times New Roman"/>
          <w:sz w:val="24"/>
          <w:szCs w:val="24"/>
        </w:rPr>
        <w:t>溶液表面</w:t>
      </w:r>
    </w:p>
    <w:p w14:paraId="366782BC"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3C0F3AD1"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表面张力和表面吉布斯函数的概念；拉普拉斯方程；郎格缪尔单分子层吸附理论及吸附等温式；</w:t>
      </w:r>
      <w:r w:rsidRPr="0085474C">
        <w:rPr>
          <w:rFonts w:ascii="Times New Roman" w:eastAsia="宋体" w:hAnsi="Times New Roman" w:cs="Times New Roman"/>
          <w:bCs/>
          <w:iCs/>
          <w:sz w:val="24"/>
          <w:szCs w:val="24"/>
        </w:rPr>
        <w:t>表面过剩与吉布斯吸附等温式。</w:t>
      </w:r>
    </w:p>
    <w:p w14:paraId="2F503992" w14:textId="77777777" w:rsidR="0085474C" w:rsidRPr="0085474C" w:rsidRDefault="0085474C" w:rsidP="0085474C">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t>【难点】</w:t>
      </w:r>
    </w:p>
    <w:p w14:paraId="33BD611E"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表面张力和表面吉布斯函数的概念；拉普拉斯方程；郎格缪尔单分子层吸附理论及吸附等温式；</w:t>
      </w:r>
      <w:r w:rsidRPr="0085474C">
        <w:rPr>
          <w:rFonts w:ascii="Times New Roman" w:eastAsia="宋体" w:hAnsi="Times New Roman" w:cs="Times New Roman"/>
          <w:bCs/>
          <w:iCs/>
          <w:sz w:val="24"/>
          <w:szCs w:val="24"/>
        </w:rPr>
        <w:t>表面过剩与吉布斯吸附等温式</w:t>
      </w:r>
      <w:r w:rsidRPr="0085474C">
        <w:rPr>
          <w:rFonts w:ascii="Times New Roman" w:eastAsia="宋体" w:hAnsi="Times New Roman" w:cs="Times New Roman"/>
          <w:sz w:val="24"/>
          <w:szCs w:val="24"/>
        </w:rPr>
        <w:t>。</w:t>
      </w:r>
    </w:p>
    <w:p w14:paraId="034395E4"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52DA0513"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通过线上、线下相结合的方式；</w:t>
      </w:r>
    </w:p>
    <w:p w14:paraId="11017B0E"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通过多媒体课件和传统教学相结合，阐明基本原理，丰富学生基本知识结构；</w:t>
      </w:r>
    </w:p>
    <w:p w14:paraId="00DA87B4"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通过案例分析，强调理论与实践相结合，促进学生知识整合，培养学生的反思能力；培养</w:t>
      </w:r>
      <w:r w:rsidR="002E4147">
        <w:rPr>
          <w:rFonts w:ascii="Times New Roman" w:eastAsia="宋体" w:hAnsi="Times New Roman" w:cs="Times New Roman" w:hint="eastAsia"/>
          <w:sz w:val="24"/>
          <w:szCs w:val="24"/>
        </w:rPr>
        <w:t>药学专业</w:t>
      </w:r>
      <w:r w:rsidRPr="0085474C">
        <w:rPr>
          <w:rFonts w:ascii="Times New Roman" w:eastAsia="宋体" w:hAnsi="Times New Roman" w:cs="Times New Roman"/>
          <w:sz w:val="24"/>
          <w:szCs w:val="24"/>
        </w:rPr>
        <w:t>学生发现问题、分析问题、解决问题的能力和探究能力。</w:t>
      </w:r>
    </w:p>
    <w:p w14:paraId="5A94C008"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1797E33A"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课后思考题及习题</w:t>
      </w:r>
      <w:r w:rsidRPr="0085474C">
        <w:rPr>
          <w:rFonts w:ascii="Times New Roman" w:eastAsia="宋体" w:hAnsi="Times New Roman" w:cs="Times New Roman"/>
          <w:sz w:val="24"/>
          <w:szCs w:val="24"/>
        </w:rPr>
        <w:t>9-1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9-5</w:t>
      </w:r>
      <w:r w:rsidRPr="0085474C">
        <w:rPr>
          <w:rFonts w:ascii="Times New Roman" w:eastAsia="宋体" w:hAnsi="Times New Roman" w:cs="Times New Roman"/>
          <w:sz w:val="24"/>
          <w:szCs w:val="24"/>
        </w:rPr>
        <w:t>。</w:t>
      </w:r>
    </w:p>
    <w:p w14:paraId="38F4F1BA" w14:textId="77777777" w:rsidR="0085474C" w:rsidRPr="0085474C" w:rsidRDefault="0085474C" w:rsidP="0085474C">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第十章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胶体化学</w:t>
      </w:r>
    </w:p>
    <w:p w14:paraId="27EA3541" w14:textId="77777777" w:rsidR="0085474C" w:rsidRPr="0085474C" w:rsidRDefault="0085474C" w:rsidP="0085474C">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5F09B96E"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知识与技能：掌握分散系统的分类，胶体的含义；了解胶体系统光学特性、动力学特性；了解胶体系统电学特性；根据扩散双电层理论书写胶团结构，理解胶体稳定与破坏的因素。</w:t>
      </w:r>
    </w:p>
    <w:p w14:paraId="131BA15B"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过程与方法：</w:t>
      </w:r>
      <w:r w:rsidRPr="0085474C">
        <w:rPr>
          <w:rFonts w:ascii="Times New Roman" w:eastAsia="宋体" w:hAnsi="Times New Roman" w:cs="Times New Roman"/>
          <w:sz w:val="24"/>
          <w:szCs w:val="24"/>
        </w:rPr>
        <w:t>通过案例分析，强调理论与实践相结合，促进学生知识整合，培养学生的反思能力；培养</w:t>
      </w:r>
      <w:r w:rsidR="002E4147">
        <w:rPr>
          <w:rFonts w:ascii="Times New Roman" w:eastAsia="宋体" w:hAnsi="Times New Roman" w:cs="Times New Roman" w:hint="eastAsia"/>
          <w:sz w:val="24"/>
          <w:szCs w:val="24"/>
        </w:rPr>
        <w:t>药学专业</w:t>
      </w:r>
      <w:r w:rsidRPr="0085474C">
        <w:rPr>
          <w:rFonts w:ascii="Times New Roman" w:eastAsia="宋体" w:hAnsi="Times New Roman" w:cs="Times New Roman"/>
          <w:sz w:val="24"/>
          <w:szCs w:val="24"/>
        </w:rPr>
        <w:t>学生发现问题、分析问题、解决问题的能力和探究能力。</w:t>
      </w:r>
    </w:p>
    <w:p w14:paraId="2609E538"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情感态度与价值观：通过介绍我国</w:t>
      </w:r>
      <w:proofErr w:type="gramStart"/>
      <w:r w:rsidRPr="0085474C">
        <w:rPr>
          <w:rFonts w:ascii="Times New Roman" w:eastAsia="宋体" w:hAnsi="Times New Roman" w:cs="Times New Roman" w:hint="eastAsia"/>
          <w:sz w:val="24"/>
          <w:szCs w:val="24"/>
        </w:rPr>
        <w:t>胶体化学傅鹰的</w:t>
      </w:r>
      <w:proofErr w:type="gramEnd"/>
      <w:r w:rsidRPr="0085474C">
        <w:rPr>
          <w:rFonts w:ascii="Times New Roman" w:eastAsia="宋体" w:hAnsi="Times New Roman" w:cs="Times New Roman" w:hint="eastAsia"/>
          <w:sz w:val="24"/>
          <w:szCs w:val="24"/>
        </w:rPr>
        <w:t>故事，增强学生的爱国主义情怀；介绍气溶胶形成雾</w:t>
      </w:r>
      <w:proofErr w:type="gramStart"/>
      <w:r w:rsidRPr="0085474C">
        <w:rPr>
          <w:rFonts w:ascii="Times New Roman" w:eastAsia="宋体" w:hAnsi="Times New Roman" w:cs="Times New Roman" w:hint="eastAsia"/>
          <w:sz w:val="24"/>
          <w:szCs w:val="24"/>
        </w:rPr>
        <w:t>霾</w:t>
      </w:r>
      <w:proofErr w:type="gramEnd"/>
      <w:r w:rsidRPr="0085474C">
        <w:rPr>
          <w:rFonts w:ascii="Times New Roman" w:eastAsia="宋体" w:hAnsi="Times New Roman" w:cs="Times New Roman" w:hint="eastAsia"/>
          <w:sz w:val="24"/>
          <w:szCs w:val="24"/>
        </w:rPr>
        <w:t>、携带细菌病毒传染疾病等事实，培养学生的环保意识和社会责任感。</w:t>
      </w:r>
    </w:p>
    <w:p w14:paraId="64AB61EB" w14:textId="77777777" w:rsidR="0085474C" w:rsidRPr="0085474C" w:rsidRDefault="0085474C" w:rsidP="0085474C">
      <w:pPr>
        <w:adjustRightInd w:val="0"/>
        <w:snapToGrid w:val="0"/>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lastRenderedPageBreak/>
        <w:t>【学习内容】</w:t>
      </w:r>
      <w:r w:rsidRPr="0085474C">
        <w:rPr>
          <w:rFonts w:ascii="Times New Roman" w:eastAsia="宋体" w:hAnsi="Times New Roman" w:cs="Times New Roman"/>
          <w:b/>
          <w:sz w:val="24"/>
          <w:szCs w:val="24"/>
        </w:rPr>
        <w:t xml:space="preserve"> </w:t>
      </w:r>
    </w:p>
    <w:p w14:paraId="1DD866A4" w14:textId="77777777" w:rsidR="0085474C" w:rsidRPr="0085474C" w:rsidRDefault="0085474C" w:rsidP="0085474C">
      <w:pPr>
        <w:adjustRightInd w:val="0"/>
        <w:snapToGrid w:val="0"/>
        <w:spacing w:before="50" w:after="50"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本章主要教学内容：</w:t>
      </w:r>
    </w:p>
    <w:p w14:paraId="11E65522" w14:textId="77777777" w:rsidR="0085474C" w:rsidRPr="0085474C" w:rsidRDefault="0085474C" w:rsidP="0085474C">
      <w:pPr>
        <w:spacing w:line="440" w:lineRule="exact"/>
        <w:rPr>
          <w:rFonts w:ascii="Times New Roman" w:eastAsia="宋体" w:hAnsi="Times New Roman" w:cs="Times New Roman"/>
          <w:bCs/>
          <w:sz w:val="24"/>
          <w:szCs w:val="24"/>
        </w:rPr>
      </w:pPr>
      <w:r w:rsidRPr="0085474C">
        <w:rPr>
          <w:rFonts w:ascii="Times New Roman" w:eastAsia="宋体" w:hAnsi="Times New Roman" w:cs="Times New Roman"/>
          <w:szCs w:val="21"/>
        </w:rPr>
        <w:t xml:space="preserve"> </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bCs/>
          <w:sz w:val="24"/>
          <w:szCs w:val="24"/>
        </w:rPr>
        <w:t xml:space="preserve"> 10.1 </w:t>
      </w:r>
      <w:r w:rsidRPr="0085474C">
        <w:rPr>
          <w:rFonts w:ascii="Times New Roman" w:eastAsia="宋体" w:hAnsi="Times New Roman" w:cs="Times New Roman"/>
          <w:bCs/>
          <w:sz w:val="24"/>
          <w:szCs w:val="24"/>
        </w:rPr>
        <w:t>胶体系统的制备</w:t>
      </w:r>
    </w:p>
    <w:p w14:paraId="4C5CABA1" w14:textId="77777777" w:rsidR="0085474C" w:rsidRPr="0085474C" w:rsidRDefault="0085474C" w:rsidP="0085474C">
      <w:pPr>
        <w:spacing w:line="440" w:lineRule="exact"/>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    10.2 </w:t>
      </w:r>
      <w:r w:rsidRPr="0085474C">
        <w:rPr>
          <w:rFonts w:ascii="Times New Roman" w:eastAsia="宋体" w:hAnsi="Times New Roman" w:cs="Times New Roman"/>
          <w:bCs/>
          <w:sz w:val="24"/>
          <w:szCs w:val="24"/>
        </w:rPr>
        <w:t>胶体系统的光学性质</w:t>
      </w:r>
    </w:p>
    <w:p w14:paraId="1A3114C2" w14:textId="77777777" w:rsidR="0085474C" w:rsidRPr="0085474C" w:rsidRDefault="0085474C" w:rsidP="0085474C">
      <w:pPr>
        <w:spacing w:line="440" w:lineRule="exact"/>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    10.3 </w:t>
      </w:r>
      <w:r w:rsidRPr="0085474C">
        <w:rPr>
          <w:rFonts w:ascii="Times New Roman" w:eastAsia="宋体" w:hAnsi="Times New Roman" w:cs="Times New Roman"/>
          <w:bCs/>
          <w:sz w:val="24"/>
          <w:szCs w:val="24"/>
        </w:rPr>
        <w:t>胶体系统的动力性质</w:t>
      </w:r>
    </w:p>
    <w:p w14:paraId="67F62513"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10.4 </w:t>
      </w:r>
      <w:r w:rsidRPr="0085474C">
        <w:rPr>
          <w:rFonts w:ascii="Times New Roman" w:eastAsia="宋体" w:hAnsi="Times New Roman" w:cs="Times New Roman"/>
          <w:sz w:val="24"/>
          <w:szCs w:val="24"/>
        </w:rPr>
        <w:t>溶胶系统的电学性质</w:t>
      </w:r>
    </w:p>
    <w:p w14:paraId="68F9387F"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    10.5</w:t>
      </w:r>
      <w:r w:rsidRPr="0085474C">
        <w:rPr>
          <w:rFonts w:ascii="Times New Roman" w:eastAsia="宋体" w:hAnsi="Times New Roman" w:cs="Times New Roman"/>
          <w:sz w:val="24"/>
          <w:szCs w:val="24"/>
        </w:rPr>
        <w:t>溶胶的稳定性与聚沉</w:t>
      </w:r>
    </w:p>
    <w:p w14:paraId="3BF93DDF" w14:textId="77777777" w:rsidR="0085474C" w:rsidRPr="0085474C" w:rsidRDefault="0085474C" w:rsidP="0085474C">
      <w:pPr>
        <w:spacing w:line="50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63C776C4"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胶体系统光学特性、动力学特性；双电层理论，胶团结构。</w:t>
      </w:r>
    </w:p>
    <w:p w14:paraId="76242679" w14:textId="77777777" w:rsidR="0085474C" w:rsidRPr="0085474C" w:rsidRDefault="0085474C" w:rsidP="0085474C">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t>【难点】</w:t>
      </w:r>
    </w:p>
    <w:p w14:paraId="63E4F806"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胶体系统动力学特性；胶团结构的书写和聚沉值的计算。</w:t>
      </w:r>
    </w:p>
    <w:p w14:paraId="620BF8FC" w14:textId="77777777" w:rsidR="0085474C" w:rsidRPr="0085474C" w:rsidRDefault="0085474C" w:rsidP="0085474C">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005BD097"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通过线上、线下相结合的方式；</w:t>
      </w:r>
    </w:p>
    <w:p w14:paraId="5D5DD9B1"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通过多媒体课件和传统教学相结合，阐明基本原理，丰富学生基本知识结构；</w:t>
      </w:r>
    </w:p>
    <w:p w14:paraId="747534EA"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通过案例分析，强调理论与实践相结合，促进学生知识整合，培养学生的反思能力；培养</w:t>
      </w:r>
      <w:r w:rsidR="002E4147">
        <w:rPr>
          <w:rFonts w:ascii="Times New Roman" w:eastAsia="宋体" w:hAnsi="Times New Roman" w:cs="Times New Roman" w:hint="eastAsia"/>
          <w:sz w:val="24"/>
          <w:szCs w:val="24"/>
        </w:rPr>
        <w:t>药学专业</w:t>
      </w:r>
      <w:r w:rsidRPr="0085474C">
        <w:rPr>
          <w:rFonts w:ascii="Times New Roman" w:eastAsia="宋体" w:hAnsi="Times New Roman" w:cs="Times New Roman"/>
          <w:sz w:val="24"/>
          <w:szCs w:val="24"/>
        </w:rPr>
        <w:t>学生发现问题、分析问题、解决问题的能力和探究能力。</w:t>
      </w:r>
    </w:p>
    <w:p w14:paraId="4F7BE686" w14:textId="77777777" w:rsidR="0085474C" w:rsidRPr="0085474C" w:rsidRDefault="0085474C" w:rsidP="0085474C">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5F4783B6"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胶体的性质和胶团结构。</w:t>
      </w:r>
    </w:p>
    <w:p w14:paraId="5594BF92" w14:textId="77777777" w:rsidR="0085474C" w:rsidRPr="0085474C" w:rsidRDefault="0085474C" w:rsidP="0085474C">
      <w:pPr>
        <w:spacing w:beforeLines="50" w:before="156" w:afterLines="50" w:after="156" w:line="440" w:lineRule="exact"/>
        <w:ind w:left="561"/>
        <w:rPr>
          <w:rFonts w:ascii="Times New Roman" w:eastAsia="仿宋" w:hAnsi="Times New Roman" w:cs="Times New Roman"/>
          <w:sz w:val="24"/>
          <w:szCs w:val="24"/>
        </w:rPr>
      </w:pPr>
      <w:r w:rsidRPr="0085474C">
        <w:rPr>
          <w:rFonts w:ascii="Times New Roman" w:eastAsia="黑体" w:hAnsi="Times New Roman" w:cs="Times New Roman"/>
          <w:sz w:val="28"/>
          <w:szCs w:val="28"/>
        </w:rPr>
        <w:t>（二）课程学习内容与课程学习目标的对应关系</w:t>
      </w:r>
      <w:r w:rsidRPr="0085474C">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85474C" w:rsidRPr="0085474C" w14:paraId="63DB5036" w14:textId="77777777" w:rsidTr="00367215">
        <w:trPr>
          <w:trHeight w:val="660"/>
          <w:jc w:val="center"/>
        </w:trPr>
        <w:tc>
          <w:tcPr>
            <w:tcW w:w="3403" w:type="dxa"/>
            <w:vAlign w:val="center"/>
          </w:tcPr>
          <w:p w14:paraId="468637CE"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t>课程学习内容</w:t>
            </w:r>
          </w:p>
        </w:tc>
        <w:tc>
          <w:tcPr>
            <w:tcW w:w="2693" w:type="dxa"/>
            <w:vAlign w:val="center"/>
          </w:tcPr>
          <w:p w14:paraId="2617A5AA"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t>教学方法</w:t>
            </w:r>
          </w:p>
        </w:tc>
        <w:tc>
          <w:tcPr>
            <w:tcW w:w="1985" w:type="dxa"/>
            <w:vAlign w:val="center"/>
          </w:tcPr>
          <w:p w14:paraId="743B3DB3"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t>支撑的课程目标</w:t>
            </w:r>
          </w:p>
        </w:tc>
        <w:tc>
          <w:tcPr>
            <w:tcW w:w="1276" w:type="dxa"/>
            <w:vAlign w:val="center"/>
          </w:tcPr>
          <w:p w14:paraId="1FBAFF27"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t>学时安排</w:t>
            </w:r>
          </w:p>
        </w:tc>
      </w:tr>
      <w:tr w:rsidR="0085474C" w:rsidRPr="0085474C" w14:paraId="7FE8CFBB" w14:textId="77777777" w:rsidTr="00367215">
        <w:trPr>
          <w:trHeight w:val="514"/>
          <w:jc w:val="center"/>
        </w:trPr>
        <w:tc>
          <w:tcPr>
            <w:tcW w:w="3403" w:type="dxa"/>
            <w:vAlign w:val="center"/>
          </w:tcPr>
          <w:p w14:paraId="6FA107AC"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绪论，第一章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气体</w:t>
            </w:r>
          </w:p>
        </w:tc>
        <w:tc>
          <w:tcPr>
            <w:tcW w:w="2693" w:type="dxa"/>
            <w:vAlign w:val="center"/>
          </w:tcPr>
          <w:p w14:paraId="0FB04C72"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w:t>
            </w:r>
          </w:p>
        </w:tc>
        <w:tc>
          <w:tcPr>
            <w:tcW w:w="1985" w:type="dxa"/>
            <w:vAlign w:val="center"/>
          </w:tcPr>
          <w:p w14:paraId="797167BC"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p>
        </w:tc>
        <w:tc>
          <w:tcPr>
            <w:tcW w:w="1276" w:type="dxa"/>
            <w:vAlign w:val="center"/>
          </w:tcPr>
          <w:p w14:paraId="0EA58B9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p>
        </w:tc>
      </w:tr>
      <w:tr w:rsidR="0085474C" w:rsidRPr="0085474C" w14:paraId="6F4C1B97" w14:textId="77777777" w:rsidTr="00367215">
        <w:trPr>
          <w:trHeight w:val="90"/>
          <w:jc w:val="center"/>
        </w:trPr>
        <w:tc>
          <w:tcPr>
            <w:tcW w:w="3403" w:type="dxa"/>
            <w:vAlign w:val="center"/>
          </w:tcPr>
          <w:p w14:paraId="21763BC3"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第二章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热力学第一定律</w:t>
            </w:r>
          </w:p>
        </w:tc>
        <w:tc>
          <w:tcPr>
            <w:tcW w:w="2693" w:type="dxa"/>
            <w:vAlign w:val="center"/>
          </w:tcPr>
          <w:p w14:paraId="4FDF6102"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w:t>
            </w:r>
          </w:p>
        </w:tc>
        <w:tc>
          <w:tcPr>
            <w:tcW w:w="1985" w:type="dxa"/>
            <w:vAlign w:val="center"/>
          </w:tcPr>
          <w:p w14:paraId="47997A45"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p>
        </w:tc>
        <w:tc>
          <w:tcPr>
            <w:tcW w:w="1276" w:type="dxa"/>
            <w:vAlign w:val="center"/>
          </w:tcPr>
          <w:p w14:paraId="65F47C29"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8</w:t>
            </w:r>
          </w:p>
        </w:tc>
      </w:tr>
      <w:tr w:rsidR="0085474C" w:rsidRPr="0085474C" w14:paraId="6B9ED304" w14:textId="77777777" w:rsidTr="00367215">
        <w:trPr>
          <w:jc w:val="center"/>
        </w:trPr>
        <w:tc>
          <w:tcPr>
            <w:tcW w:w="3403" w:type="dxa"/>
            <w:vAlign w:val="center"/>
          </w:tcPr>
          <w:p w14:paraId="55CB62DF"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第三章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热力学第二定律</w:t>
            </w:r>
          </w:p>
        </w:tc>
        <w:tc>
          <w:tcPr>
            <w:tcW w:w="2693" w:type="dxa"/>
            <w:vAlign w:val="center"/>
          </w:tcPr>
          <w:p w14:paraId="769CD7F4"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w:t>
            </w:r>
          </w:p>
        </w:tc>
        <w:tc>
          <w:tcPr>
            <w:tcW w:w="1985" w:type="dxa"/>
            <w:vAlign w:val="center"/>
          </w:tcPr>
          <w:p w14:paraId="7A15AEC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p>
        </w:tc>
        <w:tc>
          <w:tcPr>
            <w:tcW w:w="1276" w:type="dxa"/>
            <w:vAlign w:val="center"/>
          </w:tcPr>
          <w:p w14:paraId="2CDE6A40"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8</w:t>
            </w:r>
          </w:p>
        </w:tc>
      </w:tr>
      <w:tr w:rsidR="0085474C" w:rsidRPr="0085474C" w14:paraId="464AA9BF" w14:textId="77777777" w:rsidTr="00367215">
        <w:trPr>
          <w:jc w:val="center"/>
        </w:trPr>
        <w:tc>
          <w:tcPr>
            <w:tcW w:w="3403" w:type="dxa"/>
            <w:vAlign w:val="center"/>
          </w:tcPr>
          <w:p w14:paraId="47124261"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第四章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多组分系统热力学</w:t>
            </w:r>
          </w:p>
        </w:tc>
        <w:tc>
          <w:tcPr>
            <w:tcW w:w="2693" w:type="dxa"/>
            <w:vAlign w:val="center"/>
          </w:tcPr>
          <w:p w14:paraId="22895BE1"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w:t>
            </w:r>
          </w:p>
        </w:tc>
        <w:tc>
          <w:tcPr>
            <w:tcW w:w="1985" w:type="dxa"/>
            <w:vAlign w:val="center"/>
          </w:tcPr>
          <w:p w14:paraId="0A969C0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p>
        </w:tc>
        <w:tc>
          <w:tcPr>
            <w:tcW w:w="1276" w:type="dxa"/>
            <w:vAlign w:val="center"/>
          </w:tcPr>
          <w:p w14:paraId="4EEBC75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6</w:t>
            </w:r>
          </w:p>
        </w:tc>
      </w:tr>
      <w:tr w:rsidR="0085474C" w:rsidRPr="0085474C" w14:paraId="4F1CD13D" w14:textId="77777777" w:rsidTr="00367215">
        <w:trPr>
          <w:jc w:val="center"/>
        </w:trPr>
        <w:tc>
          <w:tcPr>
            <w:tcW w:w="3403" w:type="dxa"/>
            <w:vAlign w:val="center"/>
          </w:tcPr>
          <w:p w14:paraId="395EE21F"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第五章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相平衡</w:t>
            </w:r>
          </w:p>
        </w:tc>
        <w:tc>
          <w:tcPr>
            <w:tcW w:w="2693" w:type="dxa"/>
            <w:vAlign w:val="center"/>
          </w:tcPr>
          <w:p w14:paraId="0815A205"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w:t>
            </w:r>
          </w:p>
        </w:tc>
        <w:tc>
          <w:tcPr>
            <w:tcW w:w="1985" w:type="dxa"/>
            <w:vAlign w:val="center"/>
          </w:tcPr>
          <w:p w14:paraId="40F55CBA"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p>
        </w:tc>
        <w:tc>
          <w:tcPr>
            <w:tcW w:w="1276" w:type="dxa"/>
            <w:vAlign w:val="center"/>
          </w:tcPr>
          <w:p w14:paraId="1FF32D4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6</w:t>
            </w:r>
          </w:p>
        </w:tc>
      </w:tr>
      <w:tr w:rsidR="0085474C" w:rsidRPr="0085474C" w14:paraId="7006CFCA" w14:textId="77777777" w:rsidTr="00367215">
        <w:trPr>
          <w:jc w:val="center"/>
        </w:trPr>
        <w:tc>
          <w:tcPr>
            <w:tcW w:w="3403" w:type="dxa"/>
            <w:vAlign w:val="center"/>
          </w:tcPr>
          <w:p w14:paraId="1F93DFD6"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第六章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化学平衡</w:t>
            </w:r>
          </w:p>
        </w:tc>
        <w:tc>
          <w:tcPr>
            <w:tcW w:w="2693" w:type="dxa"/>
            <w:vAlign w:val="center"/>
          </w:tcPr>
          <w:p w14:paraId="06FEE3F2"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w:t>
            </w:r>
          </w:p>
        </w:tc>
        <w:tc>
          <w:tcPr>
            <w:tcW w:w="1985" w:type="dxa"/>
            <w:vAlign w:val="center"/>
          </w:tcPr>
          <w:p w14:paraId="7B7B6E29"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p>
        </w:tc>
        <w:tc>
          <w:tcPr>
            <w:tcW w:w="1276" w:type="dxa"/>
            <w:vAlign w:val="center"/>
          </w:tcPr>
          <w:p w14:paraId="493E246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3</w:t>
            </w:r>
          </w:p>
        </w:tc>
      </w:tr>
      <w:tr w:rsidR="0085474C" w:rsidRPr="0085474C" w14:paraId="35F0F427" w14:textId="77777777" w:rsidTr="00367215">
        <w:trPr>
          <w:jc w:val="center"/>
        </w:trPr>
        <w:tc>
          <w:tcPr>
            <w:tcW w:w="3403" w:type="dxa"/>
            <w:vAlign w:val="center"/>
          </w:tcPr>
          <w:p w14:paraId="505E72D1"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第七章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电化学</w:t>
            </w:r>
          </w:p>
        </w:tc>
        <w:tc>
          <w:tcPr>
            <w:tcW w:w="2693" w:type="dxa"/>
            <w:vAlign w:val="center"/>
          </w:tcPr>
          <w:p w14:paraId="52678E45"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w:t>
            </w:r>
          </w:p>
        </w:tc>
        <w:tc>
          <w:tcPr>
            <w:tcW w:w="1985" w:type="dxa"/>
            <w:vAlign w:val="center"/>
          </w:tcPr>
          <w:p w14:paraId="69C9DECE"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p>
        </w:tc>
        <w:tc>
          <w:tcPr>
            <w:tcW w:w="1276" w:type="dxa"/>
            <w:vAlign w:val="center"/>
          </w:tcPr>
          <w:p w14:paraId="00757AB4"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6</w:t>
            </w:r>
          </w:p>
        </w:tc>
      </w:tr>
      <w:tr w:rsidR="0085474C" w:rsidRPr="0085474C" w14:paraId="5749F549" w14:textId="77777777" w:rsidTr="00367215">
        <w:trPr>
          <w:jc w:val="center"/>
        </w:trPr>
        <w:tc>
          <w:tcPr>
            <w:tcW w:w="3403" w:type="dxa"/>
            <w:vAlign w:val="center"/>
          </w:tcPr>
          <w:p w14:paraId="77D34ED0"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第八章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化学动力学基础</w:t>
            </w:r>
          </w:p>
        </w:tc>
        <w:tc>
          <w:tcPr>
            <w:tcW w:w="2693" w:type="dxa"/>
            <w:vAlign w:val="center"/>
          </w:tcPr>
          <w:p w14:paraId="00837448"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w:t>
            </w:r>
          </w:p>
        </w:tc>
        <w:tc>
          <w:tcPr>
            <w:tcW w:w="1985" w:type="dxa"/>
            <w:vAlign w:val="center"/>
          </w:tcPr>
          <w:p w14:paraId="4E10A53A"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3</w:t>
            </w:r>
          </w:p>
        </w:tc>
        <w:tc>
          <w:tcPr>
            <w:tcW w:w="1276" w:type="dxa"/>
            <w:vAlign w:val="center"/>
          </w:tcPr>
          <w:p w14:paraId="6F9F8F50"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5</w:t>
            </w:r>
          </w:p>
        </w:tc>
      </w:tr>
      <w:tr w:rsidR="0085474C" w:rsidRPr="0085474C" w14:paraId="0B7E856E" w14:textId="77777777" w:rsidTr="00367215">
        <w:trPr>
          <w:jc w:val="center"/>
        </w:trPr>
        <w:tc>
          <w:tcPr>
            <w:tcW w:w="3403" w:type="dxa"/>
            <w:vAlign w:val="center"/>
          </w:tcPr>
          <w:p w14:paraId="4B53C9DC"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第九章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界面现象</w:t>
            </w:r>
          </w:p>
        </w:tc>
        <w:tc>
          <w:tcPr>
            <w:tcW w:w="2693" w:type="dxa"/>
            <w:vAlign w:val="center"/>
          </w:tcPr>
          <w:p w14:paraId="6873DCAE"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w:t>
            </w:r>
          </w:p>
        </w:tc>
        <w:tc>
          <w:tcPr>
            <w:tcW w:w="1985" w:type="dxa"/>
            <w:vAlign w:val="center"/>
          </w:tcPr>
          <w:p w14:paraId="3FE5DE4C"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p>
        </w:tc>
        <w:tc>
          <w:tcPr>
            <w:tcW w:w="1276" w:type="dxa"/>
            <w:vAlign w:val="center"/>
          </w:tcPr>
          <w:p w14:paraId="708DD05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p>
        </w:tc>
      </w:tr>
      <w:tr w:rsidR="0085474C" w:rsidRPr="0085474C" w14:paraId="2E32FE55" w14:textId="77777777" w:rsidTr="00367215">
        <w:trPr>
          <w:jc w:val="center"/>
        </w:trPr>
        <w:tc>
          <w:tcPr>
            <w:tcW w:w="3403" w:type="dxa"/>
            <w:vAlign w:val="center"/>
          </w:tcPr>
          <w:p w14:paraId="0FD18F20"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第十章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胶体化学</w:t>
            </w:r>
          </w:p>
        </w:tc>
        <w:tc>
          <w:tcPr>
            <w:tcW w:w="2693" w:type="dxa"/>
            <w:vAlign w:val="center"/>
          </w:tcPr>
          <w:p w14:paraId="756C8102"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w:t>
            </w:r>
          </w:p>
        </w:tc>
        <w:tc>
          <w:tcPr>
            <w:tcW w:w="1985" w:type="dxa"/>
            <w:vAlign w:val="center"/>
          </w:tcPr>
          <w:p w14:paraId="5E9E2761"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p>
        </w:tc>
        <w:tc>
          <w:tcPr>
            <w:tcW w:w="1276" w:type="dxa"/>
            <w:vAlign w:val="center"/>
          </w:tcPr>
          <w:p w14:paraId="7459A59A"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p>
        </w:tc>
      </w:tr>
      <w:tr w:rsidR="0085474C" w:rsidRPr="0085474C" w14:paraId="7363830A" w14:textId="77777777" w:rsidTr="00367215">
        <w:trPr>
          <w:jc w:val="center"/>
        </w:trPr>
        <w:tc>
          <w:tcPr>
            <w:tcW w:w="8081" w:type="dxa"/>
            <w:gridSpan w:val="3"/>
            <w:vAlign w:val="center"/>
          </w:tcPr>
          <w:p w14:paraId="7553C03E"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合计</w:t>
            </w:r>
          </w:p>
        </w:tc>
        <w:tc>
          <w:tcPr>
            <w:tcW w:w="1276" w:type="dxa"/>
            <w:vAlign w:val="center"/>
          </w:tcPr>
          <w:p w14:paraId="290301A9"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48</w:t>
            </w:r>
          </w:p>
        </w:tc>
      </w:tr>
    </w:tbl>
    <w:p w14:paraId="4BA6FDE2" w14:textId="77777777" w:rsidR="0085474C" w:rsidRPr="0085474C" w:rsidRDefault="0085474C" w:rsidP="0085474C">
      <w:pPr>
        <w:spacing w:beforeLines="50" w:before="156" w:afterLines="50" w:after="156" w:line="440" w:lineRule="exact"/>
        <w:ind w:firstLineChars="200" w:firstLine="560"/>
        <w:rPr>
          <w:rFonts w:ascii="Times New Roman" w:eastAsia="宋体" w:hAnsi="Times New Roman" w:cs="Times New Roman"/>
          <w:sz w:val="24"/>
          <w:szCs w:val="24"/>
        </w:rPr>
      </w:pPr>
      <w:r w:rsidRPr="0085474C">
        <w:rPr>
          <w:rFonts w:ascii="Times New Roman" w:eastAsia="黑体" w:hAnsi="Times New Roman" w:cs="Times New Roman"/>
          <w:sz w:val="28"/>
          <w:szCs w:val="28"/>
        </w:rPr>
        <w:t>四、课程考核及与课程学习目标的对应关系</w:t>
      </w:r>
    </w:p>
    <w:p w14:paraId="6066ACA1" w14:textId="77777777" w:rsidR="0085474C" w:rsidRPr="0085474C" w:rsidRDefault="0085474C" w:rsidP="0085474C">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85474C" w:rsidRPr="0085474C" w14:paraId="5B0E87F0" w14:textId="77777777" w:rsidTr="00367215">
        <w:trPr>
          <w:trHeight w:val="515"/>
          <w:jc w:val="center"/>
        </w:trPr>
        <w:tc>
          <w:tcPr>
            <w:tcW w:w="1422" w:type="dxa"/>
          </w:tcPr>
          <w:p w14:paraId="5DF97B0C"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课程目标</w:t>
            </w:r>
          </w:p>
        </w:tc>
        <w:tc>
          <w:tcPr>
            <w:tcW w:w="7918" w:type="dxa"/>
            <w:vAlign w:val="center"/>
          </w:tcPr>
          <w:p w14:paraId="46F25E0A"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考核内容</w:t>
            </w:r>
          </w:p>
        </w:tc>
      </w:tr>
      <w:tr w:rsidR="0085474C" w:rsidRPr="0085474C" w14:paraId="51D59C84" w14:textId="77777777" w:rsidTr="00367215">
        <w:trPr>
          <w:jc w:val="center"/>
        </w:trPr>
        <w:tc>
          <w:tcPr>
            <w:tcW w:w="1422" w:type="dxa"/>
            <w:vAlign w:val="center"/>
          </w:tcPr>
          <w:p w14:paraId="5781E804"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1</w:t>
            </w:r>
          </w:p>
        </w:tc>
        <w:tc>
          <w:tcPr>
            <w:tcW w:w="7918" w:type="dxa"/>
            <w:vAlign w:val="center"/>
          </w:tcPr>
          <w:p w14:paraId="2DAEB586" w14:textId="77777777" w:rsidR="0085474C" w:rsidRPr="0085474C" w:rsidRDefault="0085474C" w:rsidP="0085474C">
            <w:pPr>
              <w:spacing w:line="440" w:lineRule="exact"/>
              <w:rPr>
                <w:rFonts w:ascii="宋体" w:eastAsia="宋体" w:hAnsi="宋体" w:cs="Times New Roman"/>
                <w:bCs/>
                <w:sz w:val="24"/>
                <w:szCs w:val="24"/>
              </w:rPr>
            </w:pPr>
            <w:r w:rsidRPr="0085474C">
              <w:rPr>
                <w:rFonts w:ascii="宋体" w:eastAsia="宋体" w:hAnsi="宋体" w:cs="Times New Roman" w:hint="eastAsia"/>
                <w:bCs/>
                <w:sz w:val="24"/>
                <w:szCs w:val="24"/>
              </w:rPr>
              <w:t>1.1 初步掌握热力学研究方法的特点，理解热力学基本原理；</w:t>
            </w:r>
          </w:p>
          <w:p w14:paraId="2276A7E1" w14:textId="77777777" w:rsidR="0085474C" w:rsidRPr="0085474C" w:rsidRDefault="0085474C" w:rsidP="0085474C">
            <w:pPr>
              <w:spacing w:line="440" w:lineRule="exact"/>
              <w:rPr>
                <w:rFonts w:ascii="宋体" w:eastAsia="宋体" w:hAnsi="宋体" w:cs="Times New Roman"/>
                <w:bCs/>
                <w:sz w:val="24"/>
                <w:szCs w:val="24"/>
              </w:rPr>
            </w:pPr>
            <w:r w:rsidRPr="0085474C">
              <w:rPr>
                <w:rFonts w:ascii="宋体" w:eastAsia="宋体" w:hAnsi="宋体" w:cs="Times New Roman" w:hint="eastAsia"/>
                <w:bCs/>
                <w:sz w:val="24"/>
                <w:szCs w:val="24"/>
              </w:rPr>
              <w:t>1.2 理解相变化、化学现象与电现象的联系及与热力学的关系，基本掌握可逆电池热力学的基本原理；</w:t>
            </w:r>
          </w:p>
          <w:p w14:paraId="3D13202E" w14:textId="77777777" w:rsidR="0085474C" w:rsidRPr="0085474C" w:rsidRDefault="0085474C" w:rsidP="0085474C">
            <w:pPr>
              <w:spacing w:line="440" w:lineRule="exact"/>
              <w:rPr>
                <w:rFonts w:ascii="宋体" w:eastAsia="宋体" w:hAnsi="宋体" w:cs="Times New Roman"/>
                <w:bCs/>
                <w:sz w:val="24"/>
                <w:szCs w:val="24"/>
              </w:rPr>
            </w:pPr>
            <w:r w:rsidRPr="0085474C">
              <w:rPr>
                <w:rFonts w:ascii="宋体" w:eastAsia="宋体" w:hAnsi="宋体" w:cs="Times New Roman" w:hint="eastAsia"/>
                <w:bCs/>
                <w:sz w:val="24"/>
                <w:szCs w:val="24"/>
              </w:rPr>
              <w:t>1.3 了解动力学方法的特点，初步掌握化学动力学的基本内容，浓度、温度等因素对化学反应速率的影响；</w:t>
            </w:r>
          </w:p>
          <w:p w14:paraId="21C65C74" w14:textId="77777777" w:rsidR="0085474C" w:rsidRPr="0085474C" w:rsidRDefault="0085474C" w:rsidP="0085474C">
            <w:pPr>
              <w:spacing w:line="440" w:lineRule="exact"/>
              <w:rPr>
                <w:rFonts w:ascii="Times New Roman" w:eastAsia="宋体" w:hAnsi="Times New Roman" w:cs="Times New Roman"/>
                <w:color w:val="000000"/>
                <w:spacing w:val="7"/>
                <w:kern w:val="0"/>
                <w:sz w:val="24"/>
                <w:szCs w:val="24"/>
              </w:rPr>
            </w:pPr>
            <w:r w:rsidRPr="0085474C">
              <w:rPr>
                <w:rFonts w:ascii="宋体" w:eastAsia="宋体" w:hAnsi="宋体" w:cs="Times New Roman" w:hint="eastAsia"/>
                <w:bCs/>
                <w:sz w:val="24"/>
                <w:szCs w:val="24"/>
              </w:rPr>
              <w:t>1.4 初步掌握表面现象和胶体分散体系的基本特性。</w:t>
            </w:r>
          </w:p>
        </w:tc>
      </w:tr>
      <w:tr w:rsidR="0085474C" w:rsidRPr="0085474C" w14:paraId="2A00CFB1" w14:textId="77777777" w:rsidTr="00367215">
        <w:trPr>
          <w:jc w:val="center"/>
        </w:trPr>
        <w:tc>
          <w:tcPr>
            <w:tcW w:w="1422" w:type="dxa"/>
            <w:vAlign w:val="center"/>
          </w:tcPr>
          <w:p w14:paraId="0AE24DA5"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2</w:t>
            </w:r>
          </w:p>
        </w:tc>
        <w:tc>
          <w:tcPr>
            <w:tcW w:w="7918" w:type="dxa"/>
            <w:vAlign w:val="center"/>
          </w:tcPr>
          <w:p w14:paraId="26C976AE" w14:textId="77777777" w:rsidR="0085474C" w:rsidRPr="0085474C" w:rsidRDefault="0085474C" w:rsidP="0085474C">
            <w:pPr>
              <w:spacing w:line="440" w:lineRule="exact"/>
              <w:rPr>
                <w:rFonts w:ascii="宋体" w:eastAsia="宋体" w:hAnsi="宋体" w:cs="Times New Roman"/>
                <w:bCs/>
                <w:sz w:val="24"/>
                <w:szCs w:val="24"/>
              </w:rPr>
            </w:pPr>
            <w:r w:rsidRPr="0085474C">
              <w:rPr>
                <w:rFonts w:ascii="宋体" w:eastAsia="宋体" w:hAnsi="宋体" w:cs="Times New Roman" w:hint="eastAsia"/>
                <w:bCs/>
                <w:sz w:val="24"/>
                <w:szCs w:val="24"/>
              </w:rPr>
              <w:t>2.1 运用热学基本原理和方法处理溶液、相平衡等方面的一些基本问题；</w:t>
            </w:r>
          </w:p>
          <w:p w14:paraId="19DAAC7B" w14:textId="77777777" w:rsidR="0085474C" w:rsidRPr="0085474C" w:rsidRDefault="0085474C" w:rsidP="0085474C">
            <w:pPr>
              <w:spacing w:line="440" w:lineRule="exact"/>
              <w:rPr>
                <w:rFonts w:ascii="宋体" w:eastAsia="宋体" w:hAnsi="宋体" w:cs="Times New Roman"/>
                <w:bCs/>
                <w:sz w:val="24"/>
                <w:szCs w:val="24"/>
              </w:rPr>
            </w:pPr>
            <w:r w:rsidRPr="0085474C">
              <w:rPr>
                <w:rFonts w:ascii="宋体" w:eastAsia="宋体" w:hAnsi="宋体" w:cs="Times New Roman" w:hint="eastAsia"/>
                <w:bCs/>
                <w:sz w:val="24"/>
                <w:szCs w:val="24"/>
              </w:rPr>
              <w:t>2.2 运用化学动力学知识，控制反应条件、提高反应速率和产品质量；</w:t>
            </w:r>
          </w:p>
          <w:p w14:paraId="7517B828" w14:textId="77777777" w:rsidR="0085474C" w:rsidRPr="0085474C" w:rsidRDefault="0085474C" w:rsidP="0085474C">
            <w:pPr>
              <w:spacing w:line="440" w:lineRule="exact"/>
              <w:rPr>
                <w:rFonts w:ascii="Times New Roman" w:eastAsia="宋体" w:hAnsi="Times New Roman" w:cs="Times New Roman"/>
                <w:b/>
                <w:sz w:val="24"/>
                <w:szCs w:val="24"/>
              </w:rPr>
            </w:pPr>
            <w:r w:rsidRPr="0085474C">
              <w:rPr>
                <w:rFonts w:ascii="宋体" w:eastAsia="宋体" w:hAnsi="宋体" w:cs="Times New Roman" w:hint="eastAsia"/>
                <w:bCs/>
                <w:sz w:val="24"/>
                <w:szCs w:val="24"/>
              </w:rPr>
              <w:t>2.3运用热力学及有关理论来讨论某些性质。</w:t>
            </w:r>
          </w:p>
        </w:tc>
      </w:tr>
    </w:tbl>
    <w:p w14:paraId="7C2C8832" w14:textId="77777777" w:rsidR="0085474C" w:rsidRPr="0085474C" w:rsidRDefault="0085474C" w:rsidP="0085474C">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（二）课程考核方式</w:t>
      </w:r>
    </w:p>
    <w:p w14:paraId="5371F0A1" w14:textId="77777777" w:rsidR="0085474C" w:rsidRPr="0085474C" w:rsidRDefault="0085474C" w:rsidP="0085474C">
      <w:pPr>
        <w:widowControl/>
        <w:adjustRightInd w:val="0"/>
        <w:snapToGrid w:val="0"/>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color w:val="000000"/>
          <w:kern w:val="0"/>
          <w:sz w:val="24"/>
          <w:szCs w:val="24"/>
        </w:rPr>
        <w:t>1</w:t>
      </w:r>
      <w:r w:rsidRPr="0085474C">
        <w:rPr>
          <w:rFonts w:ascii="Times New Roman" w:eastAsia="宋体" w:hAnsi="Times New Roman" w:cs="Times New Roman"/>
          <w:color w:val="000000"/>
          <w:kern w:val="0"/>
          <w:sz w:val="24"/>
          <w:szCs w:val="24"/>
        </w:rPr>
        <w:t>．期末</w:t>
      </w:r>
      <w:r w:rsidRPr="0085474C">
        <w:rPr>
          <w:rFonts w:ascii="Times New Roman" w:eastAsia="宋体" w:hAnsi="Times New Roman" w:cs="Times New Roman"/>
          <w:color w:val="000000"/>
          <w:sz w:val="24"/>
          <w:szCs w:val="24"/>
        </w:rPr>
        <w:t>理论课考试成绩（笔试，闭卷）</w:t>
      </w:r>
    </w:p>
    <w:p w14:paraId="5529441A" w14:textId="77777777" w:rsidR="0085474C" w:rsidRPr="0085474C" w:rsidRDefault="0085474C" w:rsidP="0085474C">
      <w:pPr>
        <w:widowControl/>
        <w:adjustRightInd w:val="0"/>
        <w:snapToGrid w:val="0"/>
        <w:spacing w:line="440" w:lineRule="exact"/>
        <w:ind w:firstLineChars="200" w:firstLine="480"/>
        <w:rPr>
          <w:rFonts w:ascii="Times New Roman" w:eastAsia="宋体" w:hAnsi="Times New Roman" w:cs="Times New Roman"/>
          <w:color w:val="000000"/>
          <w:sz w:val="24"/>
          <w:szCs w:val="24"/>
        </w:rPr>
      </w:pPr>
      <w:r w:rsidRPr="0085474C">
        <w:rPr>
          <w:rFonts w:ascii="Times New Roman" w:eastAsia="宋体" w:hAnsi="Times New Roman" w:cs="Times New Roman"/>
          <w:color w:val="000000"/>
          <w:kern w:val="0"/>
          <w:sz w:val="24"/>
          <w:szCs w:val="24"/>
        </w:rPr>
        <w:t>2</w:t>
      </w:r>
      <w:r w:rsidRPr="0085474C">
        <w:rPr>
          <w:rFonts w:ascii="Times New Roman" w:eastAsia="宋体" w:hAnsi="Times New Roman" w:cs="Times New Roman"/>
          <w:color w:val="000000"/>
          <w:kern w:val="0"/>
          <w:sz w:val="24"/>
          <w:szCs w:val="24"/>
        </w:rPr>
        <w:t>．</w:t>
      </w:r>
      <w:r w:rsidRPr="0085474C">
        <w:rPr>
          <w:rFonts w:ascii="Times New Roman" w:eastAsia="宋体" w:hAnsi="Times New Roman" w:cs="Times New Roman"/>
          <w:color w:val="000000"/>
          <w:sz w:val="24"/>
          <w:szCs w:val="24"/>
        </w:rPr>
        <w:t>平时成绩（</w:t>
      </w:r>
      <w:r w:rsidRPr="0085474C">
        <w:rPr>
          <w:rFonts w:ascii="Times New Roman" w:eastAsia="宋体" w:hAnsi="Times New Roman" w:cs="Times New Roman" w:hint="eastAsia"/>
          <w:color w:val="000000"/>
          <w:sz w:val="24"/>
          <w:szCs w:val="24"/>
        </w:rPr>
        <w:t>学习参与</w:t>
      </w:r>
      <w:r w:rsidRPr="0085474C">
        <w:rPr>
          <w:rFonts w:ascii="Times New Roman" w:eastAsia="宋体" w:hAnsi="Times New Roman" w:cs="Times New Roman"/>
          <w:color w:val="000000"/>
          <w:sz w:val="24"/>
          <w:szCs w:val="24"/>
        </w:rPr>
        <w:t>+</w:t>
      </w:r>
      <w:r w:rsidRPr="0085474C">
        <w:rPr>
          <w:rFonts w:ascii="Times New Roman" w:eastAsia="宋体" w:hAnsi="Times New Roman" w:cs="Times New Roman"/>
          <w:color w:val="000000"/>
          <w:sz w:val="24"/>
          <w:szCs w:val="24"/>
        </w:rPr>
        <w:t>作业完成情况</w:t>
      </w:r>
      <w:r w:rsidRPr="0085474C">
        <w:rPr>
          <w:rFonts w:ascii="Times New Roman" w:eastAsia="宋体" w:hAnsi="Times New Roman" w:cs="Times New Roman"/>
          <w:color w:val="000000"/>
          <w:sz w:val="24"/>
          <w:szCs w:val="24"/>
        </w:rPr>
        <w:t>+</w:t>
      </w:r>
      <w:r w:rsidRPr="0085474C">
        <w:rPr>
          <w:rFonts w:ascii="Times New Roman" w:eastAsia="宋体" w:hAnsi="Times New Roman" w:cs="Times New Roman"/>
          <w:color w:val="000000"/>
          <w:kern w:val="0"/>
          <w:sz w:val="24"/>
          <w:szCs w:val="24"/>
        </w:rPr>
        <w:t>阶段测试</w:t>
      </w:r>
      <w:r w:rsidRPr="0085474C">
        <w:rPr>
          <w:rFonts w:ascii="Times New Roman" w:eastAsia="宋体" w:hAnsi="Times New Roman" w:cs="Times New Roman"/>
          <w:color w:val="000000"/>
          <w:sz w:val="24"/>
          <w:szCs w:val="24"/>
        </w:rPr>
        <w:t>）</w:t>
      </w:r>
    </w:p>
    <w:p w14:paraId="2B267DB3" w14:textId="77777777" w:rsidR="0085474C" w:rsidRPr="0085474C" w:rsidRDefault="0085474C" w:rsidP="0085474C">
      <w:pPr>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学生最后总成绩由</w:t>
      </w:r>
      <w:r w:rsidRPr="0085474C">
        <w:rPr>
          <w:rFonts w:ascii="Times New Roman" w:eastAsia="宋体" w:hAnsi="Times New Roman" w:cs="Times New Roman"/>
          <w:kern w:val="0"/>
          <w:sz w:val="24"/>
          <w:szCs w:val="24"/>
        </w:rPr>
        <w:t>期末闭卷考试</w:t>
      </w:r>
      <w:r w:rsidRPr="0085474C">
        <w:rPr>
          <w:rFonts w:ascii="Times New Roman" w:eastAsia="宋体" w:hAnsi="Times New Roman" w:cs="Times New Roman"/>
          <w:sz w:val="24"/>
          <w:szCs w:val="24"/>
        </w:rPr>
        <w:t>成绩（</w:t>
      </w:r>
      <w:r w:rsidRPr="0085474C">
        <w:rPr>
          <w:rFonts w:ascii="Times New Roman" w:eastAsia="宋体" w:hAnsi="Times New Roman" w:cs="Times New Roman" w:hint="eastAsia"/>
          <w:sz w:val="24"/>
          <w:szCs w:val="24"/>
        </w:rPr>
        <w:t>5</w:t>
      </w:r>
      <w:r w:rsidRPr="0085474C">
        <w:rPr>
          <w:rFonts w:ascii="Times New Roman" w:eastAsia="宋体" w:hAnsi="Times New Roman" w:cs="Times New Roman"/>
          <w:sz w:val="24"/>
          <w:szCs w:val="24"/>
        </w:rPr>
        <w:t>0%</w:t>
      </w:r>
      <w:r w:rsidRPr="0085474C">
        <w:rPr>
          <w:rFonts w:ascii="Times New Roman" w:eastAsia="宋体" w:hAnsi="Times New Roman" w:cs="Times New Roman"/>
          <w:sz w:val="24"/>
          <w:szCs w:val="24"/>
        </w:rPr>
        <w:t>）＋</w:t>
      </w:r>
      <w:r w:rsidRPr="0085474C">
        <w:rPr>
          <w:rFonts w:ascii="Times New Roman" w:eastAsia="宋体" w:hAnsi="Times New Roman" w:cs="Times New Roman"/>
          <w:kern w:val="0"/>
          <w:sz w:val="24"/>
          <w:szCs w:val="24"/>
        </w:rPr>
        <w:t>平时</w:t>
      </w:r>
      <w:r w:rsidRPr="0085474C">
        <w:rPr>
          <w:rFonts w:ascii="Times New Roman" w:eastAsia="宋体" w:hAnsi="Times New Roman" w:cs="Times New Roman"/>
          <w:sz w:val="24"/>
          <w:szCs w:val="24"/>
        </w:rPr>
        <w:t>成绩（</w:t>
      </w:r>
      <w:r w:rsidRPr="0085474C">
        <w:rPr>
          <w:rFonts w:ascii="Times New Roman" w:eastAsia="宋体" w:hAnsi="Times New Roman" w:cs="Times New Roman" w:hint="eastAsia"/>
          <w:sz w:val="24"/>
          <w:szCs w:val="24"/>
        </w:rPr>
        <w:t>5</w:t>
      </w:r>
      <w:r w:rsidRPr="0085474C">
        <w:rPr>
          <w:rFonts w:ascii="Times New Roman" w:eastAsia="宋体" w:hAnsi="Times New Roman" w:cs="Times New Roman"/>
          <w:sz w:val="24"/>
          <w:szCs w:val="24"/>
        </w:rPr>
        <w:t>0%</w:t>
      </w:r>
      <w:r w:rsidRPr="0085474C">
        <w:rPr>
          <w:rFonts w:ascii="Times New Roman" w:eastAsia="宋体" w:hAnsi="Times New Roman" w:cs="Times New Roman"/>
          <w:sz w:val="24"/>
          <w:szCs w:val="24"/>
        </w:rPr>
        <w:t>）的总和确定。</w:t>
      </w:r>
    </w:p>
    <w:p w14:paraId="7EB11736" w14:textId="77777777" w:rsidR="0085474C" w:rsidRPr="0085474C" w:rsidRDefault="0085474C" w:rsidP="0085474C">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（三）课程目标达成评价方式及考核比例</w:t>
      </w:r>
    </w:p>
    <w:p w14:paraId="6AD474FD"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课程考核方式及成绩比例为：</w:t>
      </w:r>
      <w:r w:rsidRPr="0085474C">
        <w:rPr>
          <w:rFonts w:ascii="Times New Roman" w:eastAsia="宋体" w:hAnsi="Times New Roman" w:cs="Times New Roman" w:hint="eastAsia"/>
          <w:sz w:val="24"/>
          <w:szCs w:val="24"/>
        </w:rPr>
        <w:t>学习参与</w:t>
      </w:r>
      <w:r w:rsidRPr="0085474C">
        <w:rPr>
          <w:rFonts w:ascii="Times New Roman" w:eastAsia="宋体" w:hAnsi="Times New Roman" w:cs="Times New Roman"/>
          <w:sz w:val="24"/>
          <w:szCs w:val="24"/>
        </w:rPr>
        <w:t>5%+</w:t>
      </w:r>
      <w:r w:rsidRPr="0085474C">
        <w:rPr>
          <w:rFonts w:ascii="Times New Roman" w:eastAsia="宋体" w:hAnsi="Times New Roman" w:cs="Times New Roman"/>
          <w:sz w:val="24"/>
          <w:szCs w:val="24"/>
        </w:rPr>
        <w:t>作业完成情况</w:t>
      </w:r>
      <w:r w:rsidRPr="0085474C">
        <w:rPr>
          <w:rFonts w:ascii="Times New Roman" w:eastAsia="宋体" w:hAnsi="Times New Roman" w:cs="Times New Roman"/>
          <w:sz w:val="24"/>
          <w:szCs w:val="24"/>
        </w:rPr>
        <w:t>1</w:t>
      </w:r>
      <w:r w:rsidRPr="0085474C">
        <w:rPr>
          <w:rFonts w:ascii="Times New Roman" w:eastAsia="宋体" w:hAnsi="Times New Roman" w:cs="Times New Roman" w:hint="eastAsia"/>
          <w:sz w:val="24"/>
          <w:szCs w:val="24"/>
        </w:rPr>
        <w:t>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阶段性测试</w:t>
      </w:r>
      <w:r w:rsidRPr="0085474C">
        <w:rPr>
          <w:rFonts w:ascii="Times New Roman" w:eastAsia="宋体" w:hAnsi="Times New Roman" w:cs="Times New Roman" w:hint="eastAsia"/>
          <w:sz w:val="24"/>
          <w:szCs w:val="24"/>
        </w:rPr>
        <w:t>35</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期末考试</w:t>
      </w:r>
      <w:r w:rsidRPr="0085474C">
        <w:rPr>
          <w:rFonts w:ascii="Times New Roman" w:eastAsia="宋体" w:hAnsi="Times New Roman" w:cs="Times New Roman" w:hint="eastAsia"/>
          <w:sz w:val="24"/>
          <w:szCs w:val="24"/>
        </w:rPr>
        <w:t>5</w:t>
      </w:r>
      <w:r w:rsidRPr="0085474C">
        <w:rPr>
          <w:rFonts w:ascii="Times New Roman" w:eastAsia="宋体" w:hAnsi="Times New Roman" w:cs="Times New Roman"/>
          <w:sz w:val="24"/>
          <w:szCs w:val="24"/>
        </w:rPr>
        <w:t>0%</w:t>
      </w:r>
      <w:r w:rsidRPr="0085474C">
        <w:rPr>
          <w:rFonts w:ascii="Times New Roman" w:eastAsia="宋体" w:hAnsi="Times New Roman" w:cs="Times New Roman"/>
          <w:sz w:val="24"/>
          <w:szCs w:val="24"/>
        </w:rPr>
        <w:t>；本课程共有</w:t>
      </w:r>
      <w:r w:rsidRPr="0085474C">
        <w:rPr>
          <w:rFonts w:ascii="Times New Roman" w:eastAsia="宋体" w:hAnsi="Times New Roman" w:cs="Times New Roman" w:hint="eastAsia"/>
          <w:sz w:val="24"/>
          <w:szCs w:val="24"/>
        </w:rPr>
        <w:t>二</w:t>
      </w:r>
      <w:r w:rsidRPr="0085474C">
        <w:rPr>
          <w:rFonts w:ascii="Times New Roman" w:eastAsia="宋体" w:hAnsi="Times New Roman" w:cs="Times New Roman"/>
          <w:sz w:val="24"/>
          <w:szCs w:val="24"/>
        </w:rPr>
        <w:t>个课程目标，考核方式及成绩比例分别为：</w:t>
      </w:r>
    </w:p>
    <w:p w14:paraId="7399103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：学习参与</w:t>
      </w:r>
      <w:r w:rsidRPr="0085474C">
        <w:rPr>
          <w:rFonts w:ascii="Times New Roman" w:eastAsia="宋体" w:hAnsi="Times New Roman" w:cs="Times New Roman" w:hint="eastAsia"/>
          <w:sz w:val="24"/>
          <w:szCs w:val="24"/>
        </w:rPr>
        <w:t>5</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作业完成情况</w:t>
      </w:r>
      <w:r w:rsidRPr="0085474C">
        <w:rPr>
          <w:rFonts w:ascii="Times New Roman" w:eastAsia="宋体" w:hAnsi="Times New Roman" w:cs="Times New Roman" w:hint="eastAsia"/>
          <w:sz w:val="24"/>
          <w:szCs w:val="24"/>
        </w:rPr>
        <w:t>10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阶段测试</w:t>
      </w:r>
      <w:r w:rsidRPr="0085474C">
        <w:rPr>
          <w:rFonts w:ascii="Times New Roman" w:eastAsia="宋体" w:hAnsi="Times New Roman" w:cs="Times New Roman" w:hint="eastAsia"/>
          <w:sz w:val="24"/>
          <w:szCs w:val="24"/>
        </w:rPr>
        <w:t>30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期末考试</w:t>
      </w:r>
      <w:r w:rsidRPr="0085474C">
        <w:rPr>
          <w:rFonts w:ascii="Times New Roman" w:eastAsia="宋体" w:hAnsi="Times New Roman" w:cs="Times New Roman" w:hint="eastAsia"/>
          <w:sz w:val="24"/>
          <w:szCs w:val="24"/>
        </w:rPr>
        <w:t>30</w:t>
      </w:r>
      <w:r w:rsidRPr="0085474C">
        <w:rPr>
          <w:rFonts w:ascii="Times New Roman" w:eastAsia="宋体" w:hAnsi="Times New Roman" w:cs="Times New Roman"/>
          <w:sz w:val="24"/>
          <w:szCs w:val="24"/>
        </w:rPr>
        <w:t>%</w:t>
      </w:r>
    </w:p>
    <w:p w14:paraId="520FBCA9"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：阶段测试</w:t>
      </w:r>
      <w:r w:rsidRPr="0085474C">
        <w:rPr>
          <w:rFonts w:ascii="Times New Roman" w:eastAsia="宋体" w:hAnsi="Times New Roman" w:cs="Times New Roman" w:hint="eastAsia"/>
          <w:sz w:val="24"/>
          <w:szCs w:val="24"/>
        </w:rPr>
        <w:t>5</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期末考试</w:t>
      </w:r>
      <w:r w:rsidRPr="0085474C">
        <w:rPr>
          <w:rFonts w:ascii="Times New Roman" w:eastAsia="宋体" w:hAnsi="Times New Roman" w:cs="Times New Roman" w:hint="eastAsia"/>
          <w:sz w:val="24"/>
          <w:szCs w:val="24"/>
        </w:rPr>
        <w:t>20</w:t>
      </w:r>
      <w:r w:rsidRPr="0085474C">
        <w:rPr>
          <w:rFonts w:ascii="Times New Roman" w:eastAsia="宋体" w:hAnsi="Times New Roman" w:cs="Times New Roman"/>
          <w:sz w:val="24"/>
          <w:szCs w:val="24"/>
        </w:rPr>
        <w:t>%</w:t>
      </w:r>
    </w:p>
    <w:p w14:paraId="40C57F87"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221"/>
        <w:gridCol w:w="1790"/>
        <w:gridCol w:w="1701"/>
        <w:gridCol w:w="1559"/>
        <w:gridCol w:w="1559"/>
      </w:tblGrid>
      <w:tr w:rsidR="0085474C" w:rsidRPr="0085474C" w14:paraId="079CF78D" w14:textId="77777777" w:rsidTr="00367215">
        <w:trPr>
          <w:trHeight w:val="540"/>
          <w:jc w:val="center"/>
        </w:trPr>
        <w:tc>
          <w:tcPr>
            <w:tcW w:w="1422" w:type="dxa"/>
            <w:vMerge w:val="restart"/>
            <w:vAlign w:val="center"/>
          </w:tcPr>
          <w:p w14:paraId="73BA399A"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课程目标</w:t>
            </w:r>
          </w:p>
        </w:tc>
        <w:tc>
          <w:tcPr>
            <w:tcW w:w="6271" w:type="dxa"/>
            <w:gridSpan w:val="4"/>
            <w:vAlign w:val="center"/>
          </w:tcPr>
          <w:p w14:paraId="4A40C7CC"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考核方式及成绩比例（</w:t>
            </w:r>
            <w:r w:rsidRPr="0085474C">
              <w:rPr>
                <w:rFonts w:ascii="Times New Roman" w:eastAsia="宋体" w:hAnsi="Times New Roman" w:cs="Times New Roman"/>
                <w:b/>
                <w:sz w:val="24"/>
                <w:szCs w:val="24"/>
              </w:rPr>
              <w:t>%</w:t>
            </w:r>
            <w:r w:rsidRPr="0085474C">
              <w:rPr>
                <w:rFonts w:ascii="Times New Roman" w:eastAsia="宋体" w:hAnsi="Times New Roman" w:cs="Times New Roman"/>
                <w:b/>
                <w:sz w:val="24"/>
                <w:szCs w:val="24"/>
              </w:rPr>
              <w:t>）</w:t>
            </w:r>
          </w:p>
        </w:tc>
        <w:tc>
          <w:tcPr>
            <w:tcW w:w="1559" w:type="dxa"/>
            <w:vMerge w:val="restart"/>
            <w:vAlign w:val="center"/>
          </w:tcPr>
          <w:p w14:paraId="323DCAE1"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合计</w:t>
            </w:r>
          </w:p>
        </w:tc>
      </w:tr>
      <w:tr w:rsidR="0085474C" w:rsidRPr="0085474C" w14:paraId="713C8157" w14:textId="77777777" w:rsidTr="00367215">
        <w:trPr>
          <w:trHeight w:val="578"/>
          <w:jc w:val="center"/>
        </w:trPr>
        <w:tc>
          <w:tcPr>
            <w:tcW w:w="1422" w:type="dxa"/>
            <w:vMerge/>
            <w:vAlign w:val="center"/>
          </w:tcPr>
          <w:p w14:paraId="2BD19F96" w14:textId="77777777" w:rsidR="0085474C" w:rsidRPr="0085474C" w:rsidRDefault="0085474C" w:rsidP="0085474C">
            <w:pPr>
              <w:spacing w:line="440" w:lineRule="exact"/>
              <w:jc w:val="center"/>
              <w:rPr>
                <w:rFonts w:ascii="Times New Roman" w:eastAsia="宋体" w:hAnsi="Times New Roman" w:cs="Times New Roman"/>
                <w:b/>
                <w:sz w:val="24"/>
                <w:szCs w:val="24"/>
              </w:rPr>
            </w:pPr>
          </w:p>
        </w:tc>
        <w:tc>
          <w:tcPr>
            <w:tcW w:w="1221" w:type="dxa"/>
            <w:vAlign w:val="center"/>
          </w:tcPr>
          <w:p w14:paraId="23E3FC49"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学习参与</w:t>
            </w:r>
          </w:p>
        </w:tc>
        <w:tc>
          <w:tcPr>
            <w:tcW w:w="1790" w:type="dxa"/>
            <w:vAlign w:val="center"/>
          </w:tcPr>
          <w:p w14:paraId="7C52383C"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作业完成情况</w:t>
            </w:r>
          </w:p>
        </w:tc>
        <w:tc>
          <w:tcPr>
            <w:tcW w:w="1701" w:type="dxa"/>
            <w:vAlign w:val="center"/>
          </w:tcPr>
          <w:p w14:paraId="79444D14"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阶段测试</w:t>
            </w:r>
          </w:p>
        </w:tc>
        <w:tc>
          <w:tcPr>
            <w:tcW w:w="1559" w:type="dxa"/>
            <w:vAlign w:val="center"/>
          </w:tcPr>
          <w:p w14:paraId="4C4DFF10"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期末考试</w:t>
            </w:r>
          </w:p>
        </w:tc>
        <w:tc>
          <w:tcPr>
            <w:tcW w:w="1559" w:type="dxa"/>
            <w:vMerge/>
          </w:tcPr>
          <w:p w14:paraId="673ED9F5" w14:textId="77777777" w:rsidR="0085474C" w:rsidRPr="0085474C" w:rsidRDefault="0085474C" w:rsidP="0085474C">
            <w:pPr>
              <w:spacing w:line="440" w:lineRule="exact"/>
              <w:jc w:val="center"/>
              <w:rPr>
                <w:rFonts w:ascii="Times New Roman" w:eastAsia="宋体" w:hAnsi="Times New Roman" w:cs="Times New Roman"/>
                <w:b/>
                <w:sz w:val="24"/>
                <w:szCs w:val="24"/>
              </w:rPr>
            </w:pPr>
          </w:p>
        </w:tc>
      </w:tr>
      <w:tr w:rsidR="0085474C" w:rsidRPr="0085474C" w14:paraId="2F3159E3" w14:textId="77777777" w:rsidTr="00367215">
        <w:trPr>
          <w:jc w:val="center"/>
        </w:trPr>
        <w:tc>
          <w:tcPr>
            <w:tcW w:w="1422" w:type="dxa"/>
            <w:vAlign w:val="center"/>
          </w:tcPr>
          <w:p w14:paraId="393AD1AE"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1</w:t>
            </w:r>
          </w:p>
        </w:tc>
        <w:tc>
          <w:tcPr>
            <w:tcW w:w="1221" w:type="dxa"/>
            <w:vAlign w:val="center"/>
          </w:tcPr>
          <w:p w14:paraId="208AC96B"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5</w:t>
            </w:r>
          </w:p>
        </w:tc>
        <w:tc>
          <w:tcPr>
            <w:tcW w:w="1790" w:type="dxa"/>
            <w:vAlign w:val="center"/>
          </w:tcPr>
          <w:p w14:paraId="075DD31C"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10</w:t>
            </w:r>
          </w:p>
        </w:tc>
        <w:tc>
          <w:tcPr>
            <w:tcW w:w="1701" w:type="dxa"/>
            <w:vAlign w:val="center"/>
          </w:tcPr>
          <w:p w14:paraId="3578865B"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30</w:t>
            </w:r>
          </w:p>
        </w:tc>
        <w:tc>
          <w:tcPr>
            <w:tcW w:w="1559" w:type="dxa"/>
            <w:vAlign w:val="center"/>
          </w:tcPr>
          <w:p w14:paraId="6BC718D6"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30</w:t>
            </w:r>
          </w:p>
        </w:tc>
        <w:tc>
          <w:tcPr>
            <w:tcW w:w="1559" w:type="dxa"/>
          </w:tcPr>
          <w:p w14:paraId="5010CA65"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75</w:t>
            </w:r>
          </w:p>
        </w:tc>
      </w:tr>
      <w:tr w:rsidR="0085474C" w:rsidRPr="0085474C" w14:paraId="535D0554" w14:textId="77777777" w:rsidTr="00367215">
        <w:trPr>
          <w:jc w:val="center"/>
        </w:trPr>
        <w:tc>
          <w:tcPr>
            <w:tcW w:w="1422" w:type="dxa"/>
            <w:vAlign w:val="center"/>
          </w:tcPr>
          <w:p w14:paraId="13522119"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2</w:t>
            </w:r>
          </w:p>
        </w:tc>
        <w:tc>
          <w:tcPr>
            <w:tcW w:w="1221" w:type="dxa"/>
            <w:vAlign w:val="center"/>
          </w:tcPr>
          <w:p w14:paraId="50CC886F" w14:textId="77777777" w:rsidR="0085474C" w:rsidRPr="0085474C" w:rsidRDefault="0085474C" w:rsidP="0085474C">
            <w:pPr>
              <w:spacing w:line="440" w:lineRule="exact"/>
              <w:jc w:val="center"/>
              <w:rPr>
                <w:rFonts w:ascii="Times New Roman" w:eastAsia="宋体" w:hAnsi="Times New Roman" w:cs="Times New Roman"/>
                <w:bCs/>
                <w:sz w:val="24"/>
                <w:szCs w:val="24"/>
              </w:rPr>
            </w:pPr>
          </w:p>
        </w:tc>
        <w:tc>
          <w:tcPr>
            <w:tcW w:w="1790" w:type="dxa"/>
            <w:vAlign w:val="center"/>
          </w:tcPr>
          <w:p w14:paraId="519AE7AF" w14:textId="77777777" w:rsidR="0085474C" w:rsidRPr="0085474C" w:rsidRDefault="0085474C" w:rsidP="0085474C">
            <w:pPr>
              <w:spacing w:line="440" w:lineRule="exact"/>
              <w:jc w:val="center"/>
              <w:rPr>
                <w:rFonts w:ascii="Times New Roman" w:eastAsia="宋体" w:hAnsi="Times New Roman" w:cs="Times New Roman"/>
                <w:bCs/>
                <w:sz w:val="24"/>
                <w:szCs w:val="24"/>
              </w:rPr>
            </w:pPr>
          </w:p>
        </w:tc>
        <w:tc>
          <w:tcPr>
            <w:tcW w:w="1701" w:type="dxa"/>
            <w:vAlign w:val="center"/>
          </w:tcPr>
          <w:p w14:paraId="3EB70ADA"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5</w:t>
            </w:r>
          </w:p>
        </w:tc>
        <w:tc>
          <w:tcPr>
            <w:tcW w:w="1559" w:type="dxa"/>
            <w:vAlign w:val="center"/>
          </w:tcPr>
          <w:p w14:paraId="0F2824B7"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20</w:t>
            </w:r>
          </w:p>
        </w:tc>
        <w:tc>
          <w:tcPr>
            <w:tcW w:w="1559" w:type="dxa"/>
          </w:tcPr>
          <w:p w14:paraId="121539F4"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25</w:t>
            </w:r>
          </w:p>
        </w:tc>
      </w:tr>
      <w:tr w:rsidR="0085474C" w:rsidRPr="0085474C" w14:paraId="65F8CD1D" w14:textId="77777777" w:rsidTr="00367215">
        <w:trPr>
          <w:jc w:val="center"/>
        </w:trPr>
        <w:tc>
          <w:tcPr>
            <w:tcW w:w="1422" w:type="dxa"/>
            <w:vAlign w:val="center"/>
          </w:tcPr>
          <w:p w14:paraId="32A2507E"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lastRenderedPageBreak/>
              <w:t>合计</w:t>
            </w:r>
          </w:p>
        </w:tc>
        <w:tc>
          <w:tcPr>
            <w:tcW w:w="1221" w:type="dxa"/>
            <w:vAlign w:val="center"/>
          </w:tcPr>
          <w:p w14:paraId="17F6B79C"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5</w:t>
            </w:r>
          </w:p>
        </w:tc>
        <w:tc>
          <w:tcPr>
            <w:tcW w:w="1790" w:type="dxa"/>
            <w:vAlign w:val="center"/>
          </w:tcPr>
          <w:p w14:paraId="6EEE9A3C"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10</w:t>
            </w:r>
          </w:p>
        </w:tc>
        <w:tc>
          <w:tcPr>
            <w:tcW w:w="1701" w:type="dxa"/>
            <w:vAlign w:val="center"/>
          </w:tcPr>
          <w:p w14:paraId="529FE356"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35</w:t>
            </w:r>
          </w:p>
        </w:tc>
        <w:tc>
          <w:tcPr>
            <w:tcW w:w="1559" w:type="dxa"/>
            <w:vAlign w:val="center"/>
          </w:tcPr>
          <w:p w14:paraId="5AE137AD"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5</w:t>
            </w:r>
            <w:r w:rsidRPr="0085474C">
              <w:rPr>
                <w:rFonts w:ascii="Times New Roman" w:eastAsia="宋体" w:hAnsi="Times New Roman" w:cs="Times New Roman"/>
                <w:bCs/>
                <w:sz w:val="24"/>
                <w:szCs w:val="24"/>
              </w:rPr>
              <w:t>0</w:t>
            </w:r>
          </w:p>
        </w:tc>
        <w:tc>
          <w:tcPr>
            <w:tcW w:w="1559" w:type="dxa"/>
          </w:tcPr>
          <w:p w14:paraId="0D21D519"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100</w:t>
            </w:r>
          </w:p>
        </w:tc>
      </w:tr>
    </w:tbl>
    <w:p w14:paraId="14E1B1BF" w14:textId="77777777" w:rsidR="0085474C" w:rsidRPr="0085474C" w:rsidRDefault="0085474C" w:rsidP="0085474C">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五、成绩评定</w:t>
      </w:r>
    </w:p>
    <w:p w14:paraId="316CA88E" w14:textId="77777777" w:rsidR="0085474C" w:rsidRPr="0085474C" w:rsidRDefault="0085474C" w:rsidP="0085474C">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（一）总成绩评定</w:t>
      </w:r>
    </w:p>
    <w:p w14:paraId="308B23F5"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总成绩</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平时成绩</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5</w:t>
      </w:r>
      <w:r w:rsidRPr="0085474C">
        <w:rPr>
          <w:rFonts w:ascii="Times New Roman" w:eastAsia="宋体" w:hAnsi="Times New Roman" w:cs="Times New Roman"/>
          <w:sz w:val="24"/>
          <w:szCs w:val="24"/>
        </w:rPr>
        <w:t>0%+</w:t>
      </w:r>
      <w:r w:rsidRPr="0085474C">
        <w:rPr>
          <w:rFonts w:ascii="Times New Roman" w:eastAsia="宋体" w:hAnsi="Times New Roman" w:cs="Times New Roman"/>
          <w:sz w:val="24"/>
          <w:szCs w:val="24"/>
        </w:rPr>
        <w:t>期末成绩</w:t>
      </w:r>
      <w:r w:rsidRPr="0085474C">
        <w:rPr>
          <w:rFonts w:ascii="Times New Roman" w:eastAsia="宋体" w:hAnsi="Times New Roman" w:cs="Times New Roman"/>
          <w:sz w:val="24"/>
          <w:szCs w:val="24"/>
        </w:rPr>
        <w:t>×</w:t>
      </w:r>
      <w:r w:rsidRPr="0085474C">
        <w:rPr>
          <w:rFonts w:ascii="Times New Roman" w:eastAsia="宋体" w:hAnsi="Times New Roman" w:cs="Times New Roman" w:hint="eastAsia"/>
          <w:sz w:val="24"/>
          <w:szCs w:val="24"/>
        </w:rPr>
        <w:t>5</w:t>
      </w:r>
      <w:r w:rsidRPr="0085474C">
        <w:rPr>
          <w:rFonts w:ascii="Times New Roman" w:eastAsia="宋体" w:hAnsi="Times New Roman" w:cs="Times New Roman"/>
          <w:sz w:val="24"/>
          <w:szCs w:val="24"/>
        </w:rPr>
        <w:t>0%</w:t>
      </w:r>
    </w:p>
    <w:p w14:paraId="64EF35B5" w14:textId="77777777" w:rsidR="0085474C" w:rsidRPr="0085474C" w:rsidRDefault="0085474C" w:rsidP="0085474C">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85474C">
        <w:rPr>
          <w:rFonts w:ascii="Times New Roman" w:eastAsia="黑体" w:hAnsi="Times New Roman" w:cs="Times New Roman"/>
          <w:sz w:val="28"/>
          <w:szCs w:val="28"/>
        </w:rPr>
        <w:t>（二）平时成绩评定</w:t>
      </w:r>
    </w:p>
    <w:p w14:paraId="47EC5A70"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平时成绩（</w:t>
      </w:r>
      <w:r w:rsidRPr="0085474C">
        <w:rPr>
          <w:rFonts w:ascii="Times New Roman" w:eastAsia="宋体" w:hAnsi="Times New Roman" w:cs="Times New Roman"/>
          <w:sz w:val="24"/>
          <w:szCs w:val="24"/>
        </w:rPr>
        <w:t>100%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学习参与（</w:t>
      </w:r>
      <w:r w:rsidRPr="0085474C">
        <w:rPr>
          <w:rFonts w:ascii="Times New Roman" w:eastAsia="宋体" w:hAnsi="Times New Roman" w:cs="Times New Roman" w:hint="eastAsia"/>
          <w:sz w:val="24"/>
          <w:szCs w:val="24"/>
        </w:rPr>
        <w:t>10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作业完成情况（</w:t>
      </w:r>
      <w:r w:rsidRPr="0085474C">
        <w:rPr>
          <w:rFonts w:ascii="Times New Roman" w:eastAsia="宋体" w:hAnsi="Times New Roman" w:cs="Times New Roman" w:hint="eastAsia"/>
          <w:sz w:val="24"/>
          <w:szCs w:val="24"/>
        </w:rPr>
        <w:t>2</w:t>
      </w:r>
      <w:r w:rsidRPr="0085474C">
        <w:rPr>
          <w:rFonts w:ascii="Times New Roman" w:eastAsia="宋体" w:hAnsi="Times New Roman" w:cs="Times New Roman"/>
          <w:sz w:val="24"/>
          <w:szCs w:val="24"/>
        </w:rPr>
        <w:t>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阶段性测试（</w:t>
      </w:r>
      <w:r w:rsidRPr="0085474C">
        <w:rPr>
          <w:rFonts w:ascii="Times New Roman" w:eastAsia="宋体" w:hAnsi="Times New Roman" w:cs="Times New Roman" w:hint="eastAsia"/>
          <w:sz w:val="24"/>
          <w:szCs w:val="24"/>
        </w:rPr>
        <w:t>70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p>
    <w:p w14:paraId="515653ED" w14:textId="77777777" w:rsidR="0085474C" w:rsidRPr="0085474C" w:rsidRDefault="0085474C" w:rsidP="0085474C">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（三）期末成绩评定</w:t>
      </w:r>
    </w:p>
    <w:p w14:paraId="77DE91BF" w14:textId="77777777" w:rsidR="0085474C" w:rsidRPr="0085474C" w:rsidRDefault="0085474C" w:rsidP="0085474C">
      <w:pPr>
        <w:autoSpaceDE w:val="0"/>
        <w:autoSpaceDN w:val="0"/>
        <w:adjustRightInd w:val="0"/>
        <w:snapToGrid w:val="0"/>
        <w:spacing w:line="500" w:lineRule="exact"/>
        <w:ind w:firstLineChars="200" w:firstLine="482"/>
        <w:rPr>
          <w:rFonts w:ascii="Times New Roman" w:eastAsia="宋体" w:hAnsi="Times New Roman" w:cs="Times New Roman"/>
          <w:b/>
          <w:bCs/>
          <w:color w:val="000000"/>
          <w:kern w:val="0"/>
          <w:sz w:val="24"/>
          <w:szCs w:val="24"/>
        </w:rPr>
      </w:pPr>
      <w:r w:rsidRPr="0085474C">
        <w:rPr>
          <w:rFonts w:ascii="Times New Roman" w:eastAsia="宋体" w:hAnsi="Times New Roman" w:cs="Times New Roman"/>
          <w:b/>
          <w:bCs/>
          <w:color w:val="000000"/>
          <w:kern w:val="0"/>
          <w:sz w:val="24"/>
          <w:szCs w:val="24"/>
        </w:rPr>
        <w:t>1</w:t>
      </w:r>
      <w:r w:rsidRPr="0085474C">
        <w:rPr>
          <w:rFonts w:ascii="Times New Roman" w:eastAsia="宋体" w:hAnsi="Times New Roman" w:cs="Times New Roman"/>
          <w:b/>
          <w:bCs/>
          <w:color w:val="000000"/>
          <w:kern w:val="0"/>
          <w:sz w:val="24"/>
          <w:szCs w:val="24"/>
        </w:rPr>
        <w:t>．课程考核的方式：</w:t>
      </w:r>
    </w:p>
    <w:p w14:paraId="308A46BF" w14:textId="77777777" w:rsidR="0085474C" w:rsidRPr="0085474C" w:rsidRDefault="0085474C" w:rsidP="0085474C">
      <w:pPr>
        <w:autoSpaceDE w:val="0"/>
        <w:autoSpaceDN w:val="0"/>
        <w:adjustRightInd w:val="0"/>
        <w:snapToGrid w:val="0"/>
        <w:spacing w:line="500" w:lineRule="exact"/>
        <w:ind w:firstLineChars="200" w:firstLine="480"/>
        <w:rPr>
          <w:rFonts w:ascii="Times New Roman" w:eastAsia="宋体" w:hAnsi="Times New Roman" w:cs="Times New Roman"/>
          <w:bCs/>
          <w:color w:val="000000"/>
          <w:kern w:val="0"/>
          <w:sz w:val="24"/>
          <w:szCs w:val="24"/>
        </w:rPr>
      </w:pPr>
      <w:r w:rsidRPr="0085474C">
        <w:rPr>
          <w:rFonts w:ascii="Times New Roman" w:eastAsia="宋体" w:hAnsi="Times New Roman" w:cs="Times New Roman"/>
          <w:bCs/>
          <w:color w:val="000000"/>
          <w:kern w:val="0"/>
          <w:sz w:val="24"/>
          <w:szCs w:val="24"/>
        </w:rPr>
        <w:t>课程考核的方式为期末闭卷考试。</w:t>
      </w:r>
    </w:p>
    <w:p w14:paraId="43C8D8B1" w14:textId="77777777" w:rsidR="0085474C" w:rsidRPr="0085474C" w:rsidRDefault="0085474C" w:rsidP="0085474C">
      <w:pPr>
        <w:autoSpaceDE w:val="0"/>
        <w:autoSpaceDN w:val="0"/>
        <w:adjustRightInd w:val="0"/>
        <w:snapToGrid w:val="0"/>
        <w:spacing w:line="500" w:lineRule="exact"/>
        <w:ind w:firstLineChars="200" w:firstLine="482"/>
        <w:rPr>
          <w:rFonts w:ascii="Times New Roman" w:eastAsia="宋体" w:hAnsi="Times New Roman" w:cs="Times New Roman"/>
          <w:b/>
          <w:bCs/>
          <w:color w:val="000000"/>
          <w:kern w:val="0"/>
          <w:sz w:val="24"/>
          <w:szCs w:val="24"/>
        </w:rPr>
      </w:pPr>
      <w:r w:rsidRPr="0085474C">
        <w:rPr>
          <w:rFonts w:ascii="Times New Roman" w:eastAsia="宋体" w:hAnsi="Times New Roman" w:cs="Times New Roman"/>
          <w:b/>
          <w:bCs/>
          <w:color w:val="000000"/>
          <w:kern w:val="0"/>
          <w:sz w:val="24"/>
          <w:szCs w:val="24"/>
        </w:rPr>
        <w:t>2</w:t>
      </w:r>
      <w:r w:rsidRPr="0085474C">
        <w:rPr>
          <w:rFonts w:ascii="Times New Roman" w:eastAsia="宋体" w:hAnsi="Times New Roman" w:cs="Times New Roman"/>
          <w:b/>
          <w:bCs/>
          <w:color w:val="000000"/>
          <w:kern w:val="0"/>
          <w:sz w:val="24"/>
          <w:szCs w:val="24"/>
        </w:rPr>
        <w:t>．课程考核的范围：</w:t>
      </w:r>
    </w:p>
    <w:p w14:paraId="0B2DC6D6"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Times New Roman" w:eastAsia="宋体" w:hAnsi="Times New Roman" w:cs="Times New Roman"/>
          <w:bCs/>
          <w:kern w:val="0"/>
          <w:sz w:val="24"/>
          <w:szCs w:val="24"/>
        </w:rPr>
        <w:t>第一章</w:t>
      </w:r>
      <w:r w:rsidRPr="0085474C">
        <w:rPr>
          <w:rFonts w:ascii="Times New Roman" w:eastAsia="宋体" w:hAnsi="Times New Roman" w:cs="Times New Roman"/>
          <w:bCs/>
          <w:kern w:val="0"/>
          <w:sz w:val="24"/>
          <w:szCs w:val="24"/>
        </w:rPr>
        <w:t xml:space="preserve"> </w:t>
      </w:r>
      <w:r w:rsidRPr="0085474C">
        <w:rPr>
          <w:rFonts w:ascii="Times New Roman" w:eastAsia="宋体" w:hAnsi="Times New Roman" w:cs="Times New Roman"/>
          <w:bCs/>
          <w:kern w:val="0"/>
          <w:sz w:val="24"/>
          <w:szCs w:val="24"/>
        </w:rPr>
        <w:t>气体的</w:t>
      </w:r>
      <w:proofErr w:type="spellStart"/>
      <w:r w:rsidRPr="0085474C">
        <w:rPr>
          <w:rFonts w:ascii="Times New Roman" w:eastAsia="宋体" w:hAnsi="Times New Roman" w:cs="Times New Roman"/>
          <w:bCs/>
          <w:i/>
          <w:kern w:val="0"/>
          <w:sz w:val="24"/>
          <w:szCs w:val="24"/>
        </w:rPr>
        <w:t>pVT</w:t>
      </w:r>
      <w:proofErr w:type="spellEnd"/>
      <w:r w:rsidRPr="0085474C">
        <w:rPr>
          <w:rFonts w:ascii="Times New Roman" w:eastAsia="宋体" w:hAnsi="Times New Roman" w:cs="Times New Roman"/>
          <w:bCs/>
          <w:kern w:val="0"/>
          <w:sz w:val="24"/>
          <w:szCs w:val="24"/>
        </w:rPr>
        <w:t>性质</w:t>
      </w:r>
    </w:p>
    <w:p w14:paraId="7631AC9F"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bookmarkStart w:id="163" w:name="OLE_LINK48"/>
      <w:bookmarkStart w:id="164" w:name="OLE_LINK50"/>
      <w:bookmarkStart w:id="165" w:name="OLE_LINK49"/>
      <w:r w:rsidRPr="0085474C">
        <w:rPr>
          <w:rFonts w:ascii="宋体" w:eastAsia="宋体" w:hAnsi="宋体" w:cs="宋体" w:hint="eastAsia"/>
          <w:bCs/>
          <w:kern w:val="0"/>
          <w:sz w:val="24"/>
          <w:szCs w:val="24"/>
        </w:rPr>
        <w:t>①</w:t>
      </w:r>
      <w:bookmarkEnd w:id="163"/>
      <w:bookmarkEnd w:id="164"/>
      <w:bookmarkEnd w:id="165"/>
      <w:r w:rsidRPr="0085474C">
        <w:rPr>
          <w:rFonts w:ascii="Times New Roman" w:eastAsia="宋体" w:hAnsi="Times New Roman" w:cs="Times New Roman"/>
          <w:bCs/>
          <w:kern w:val="0"/>
          <w:sz w:val="24"/>
          <w:szCs w:val="24"/>
        </w:rPr>
        <w:t>掌握气体状态方程。</w:t>
      </w:r>
    </w:p>
    <w:p w14:paraId="6AB84865"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bookmarkStart w:id="166" w:name="OLE_LINK53"/>
      <w:bookmarkStart w:id="167" w:name="OLE_LINK52"/>
      <w:bookmarkStart w:id="168" w:name="OLE_LINK51"/>
      <w:r w:rsidRPr="0085474C">
        <w:rPr>
          <w:rFonts w:ascii="宋体" w:eastAsia="宋体" w:hAnsi="宋体" w:cs="宋体" w:hint="eastAsia"/>
          <w:bCs/>
          <w:kern w:val="0"/>
          <w:sz w:val="24"/>
          <w:szCs w:val="24"/>
        </w:rPr>
        <w:t>②</w:t>
      </w:r>
      <w:bookmarkEnd w:id="166"/>
      <w:bookmarkEnd w:id="167"/>
      <w:bookmarkEnd w:id="168"/>
      <w:r w:rsidRPr="0085474C">
        <w:rPr>
          <w:rFonts w:ascii="Times New Roman" w:eastAsia="宋体" w:hAnsi="Times New Roman" w:cs="Times New Roman"/>
          <w:bCs/>
          <w:kern w:val="0"/>
          <w:sz w:val="24"/>
          <w:szCs w:val="24"/>
        </w:rPr>
        <w:t>掌握分压、分体积概念及计算</w:t>
      </w:r>
    </w:p>
    <w:p w14:paraId="3ABE359D"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bookmarkStart w:id="169" w:name="OLE_LINK54"/>
      <w:bookmarkStart w:id="170" w:name="OLE_LINK55"/>
      <w:r w:rsidRPr="0085474C">
        <w:rPr>
          <w:rFonts w:ascii="宋体" w:eastAsia="宋体" w:hAnsi="宋体" w:cs="宋体" w:hint="eastAsia"/>
          <w:bCs/>
          <w:kern w:val="0"/>
          <w:sz w:val="24"/>
          <w:szCs w:val="24"/>
        </w:rPr>
        <w:t>③</w:t>
      </w:r>
      <w:bookmarkEnd w:id="169"/>
      <w:bookmarkEnd w:id="170"/>
      <w:r w:rsidRPr="0085474C">
        <w:rPr>
          <w:rFonts w:ascii="Times New Roman" w:eastAsia="宋体" w:hAnsi="Times New Roman" w:cs="Times New Roman"/>
          <w:bCs/>
          <w:kern w:val="0"/>
          <w:sz w:val="24"/>
          <w:szCs w:val="24"/>
        </w:rPr>
        <w:t>了解范德华方程</w:t>
      </w:r>
    </w:p>
    <w:p w14:paraId="2E1BA998"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bookmarkStart w:id="171" w:name="OLE_LINK58"/>
      <w:bookmarkStart w:id="172" w:name="OLE_LINK57"/>
      <w:bookmarkStart w:id="173" w:name="OLE_LINK56"/>
      <w:r w:rsidRPr="0085474C">
        <w:rPr>
          <w:rFonts w:ascii="宋体" w:eastAsia="宋体" w:hAnsi="宋体" w:cs="宋体" w:hint="eastAsia"/>
          <w:bCs/>
          <w:kern w:val="0"/>
          <w:sz w:val="24"/>
          <w:szCs w:val="24"/>
        </w:rPr>
        <w:t>④</w:t>
      </w:r>
      <w:bookmarkEnd w:id="171"/>
      <w:bookmarkEnd w:id="172"/>
      <w:bookmarkEnd w:id="173"/>
      <w:r w:rsidRPr="0085474C">
        <w:rPr>
          <w:rFonts w:ascii="Times New Roman" w:eastAsia="宋体" w:hAnsi="Times New Roman" w:cs="Times New Roman"/>
          <w:bCs/>
          <w:kern w:val="0"/>
          <w:sz w:val="24"/>
          <w:szCs w:val="24"/>
        </w:rPr>
        <w:t>了解实际气体的液化及临界现象</w:t>
      </w:r>
    </w:p>
    <w:p w14:paraId="7645F2B9"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sz w:val="24"/>
          <w:szCs w:val="24"/>
        </w:rPr>
      </w:pPr>
      <w:bookmarkStart w:id="174" w:name="OLE_LINK66"/>
      <w:bookmarkStart w:id="175" w:name="OLE_LINK65"/>
      <w:bookmarkStart w:id="176" w:name="OLE_LINK64"/>
      <w:r w:rsidRPr="0085474C">
        <w:rPr>
          <w:rFonts w:ascii="Times New Roman" w:eastAsia="宋体" w:hAnsi="Times New Roman" w:cs="Times New Roman"/>
          <w:bCs/>
          <w:kern w:val="0"/>
          <w:sz w:val="24"/>
          <w:szCs w:val="24"/>
        </w:rPr>
        <w:t>第二章</w:t>
      </w:r>
      <w:r w:rsidRPr="0085474C">
        <w:rPr>
          <w:rFonts w:ascii="Times New Roman" w:eastAsia="宋体" w:hAnsi="Times New Roman" w:cs="Times New Roman"/>
          <w:bCs/>
          <w:kern w:val="0"/>
          <w:sz w:val="24"/>
          <w:szCs w:val="24"/>
        </w:rPr>
        <w:t xml:space="preserve"> </w:t>
      </w:r>
      <w:r w:rsidRPr="0085474C">
        <w:rPr>
          <w:rFonts w:ascii="Times New Roman" w:eastAsia="宋体" w:hAnsi="Times New Roman" w:cs="Times New Roman"/>
          <w:bCs/>
          <w:sz w:val="24"/>
          <w:szCs w:val="24"/>
        </w:rPr>
        <w:t>热力学第一定律</w:t>
      </w:r>
    </w:p>
    <w:p w14:paraId="747DA07C"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bookmarkStart w:id="177" w:name="OLE_LINK69"/>
      <w:bookmarkStart w:id="178" w:name="OLE_LINK68"/>
      <w:bookmarkStart w:id="179" w:name="OLE_LINK67"/>
      <w:bookmarkEnd w:id="174"/>
      <w:bookmarkEnd w:id="175"/>
      <w:bookmarkEnd w:id="176"/>
      <w:r w:rsidRPr="0085474C">
        <w:rPr>
          <w:rFonts w:ascii="宋体" w:eastAsia="宋体" w:hAnsi="宋体" w:cs="宋体" w:hint="eastAsia"/>
          <w:bCs/>
          <w:kern w:val="0"/>
          <w:sz w:val="24"/>
          <w:szCs w:val="24"/>
        </w:rPr>
        <w:t>①</w:t>
      </w:r>
      <w:bookmarkEnd w:id="177"/>
      <w:bookmarkEnd w:id="178"/>
      <w:bookmarkEnd w:id="179"/>
      <w:r w:rsidRPr="0085474C">
        <w:rPr>
          <w:rFonts w:ascii="Times New Roman" w:eastAsia="宋体" w:hAnsi="Times New Roman" w:cs="Times New Roman"/>
          <w:bCs/>
          <w:kern w:val="0"/>
          <w:sz w:val="24"/>
          <w:szCs w:val="24"/>
        </w:rPr>
        <w:t>明确热力学的一些基本概念，如体系、环境、功、热、变化过程等。</w:t>
      </w:r>
    </w:p>
    <w:p w14:paraId="1282A9DD"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bookmarkStart w:id="180" w:name="OLE_LINK70"/>
      <w:bookmarkStart w:id="181" w:name="OLE_LINK72"/>
      <w:bookmarkStart w:id="182" w:name="OLE_LINK71"/>
      <w:r w:rsidRPr="0085474C">
        <w:rPr>
          <w:rFonts w:ascii="宋体" w:eastAsia="宋体" w:hAnsi="宋体" w:cs="宋体" w:hint="eastAsia"/>
          <w:bCs/>
          <w:kern w:val="0"/>
          <w:sz w:val="24"/>
          <w:szCs w:val="24"/>
        </w:rPr>
        <w:t>②</w:t>
      </w:r>
      <w:bookmarkEnd w:id="180"/>
      <w:bookmarkEnd w:id="181"/>
      <w:bookmarkEnd w:id="182"/>
      <w:r w:rsidRPr="0085474C">
        <w:rPr>
          <w:rFonts w:ascii="Times New Roman" w:eastAsia="宋体" w:hAnsi="Times New Roman" w:cs="Times New Roman"/>
          <w:bCs/>
          <w:kern w:val="0"/>
          <w:sz w:val="24"/>
          <w:szCs w:val="24"/>
        </w:rPr>
        <w:t>掌握热力学第一定律和内能的概念。熟知功和热正负号的取号惯例。</w:t>
      </w:r>
    </w:p>
    <w:p w14:paraId="39BB3DA8"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bookmarkStart w:id="183" w:name="OLE_LINK73"/>
      <w:r w:rsidRPr="0085474C">
        <w:rPr>
          <w:rFonts w:ascii="宋体" w:eastAsia="宋体" w:hAnsi="宋体" w:cs="宋体" w:hint="eastAsia"/>
          <w:bCs/>
          <w:kern w:val="0"/>
          <w:sz w:val="24"/>
          <w:szCs w:val="24"/>
        </w:rPr>
        <w:t>③</w:t>
      </w:r>
      <w:bookmarkEnd w:id="183"/>
      <w:r w:rsidRPr="0085474C">
        <w:rPr>
          <w:rFonts w:ascii="Times New Roman" w:eastAsia="宋体" w:hAnsi="Times New Roman" w:cs="Times New Roman"/>
          <w:bCs/>
          <w:kern w:val="0"/>
          <w:sz w:val="24"/>
          <w:szCs w:val="24"/>
        </w:rPr>
        <w:t>明确准静态过程与可逆过程的意义。</w:t>
      </w:r>
    </w:p>
    <w:p w14:paraId="5F391C9D"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bookmarkStart w:id="184" w:name="OLE_LINK80"/>
      <w:bookmarkStart w:id="185" w:name="OLE_LINK78"/>
      <w:bookmarkStart w:id="186" w:name="OLE_LINK79"/>
      <w:r w:rsidRPr="0085474C">
        <w:rPr>
          <w:rFonts w:ascii="宋体" w:eastAsia="宋体" w:hAnsi="宋体" w:cs="宋体" w:hint="eastAsia"/>
          <w:bCs/>
          <w:kern w:val="0"/>
          <w:sz w:val="24"/>
          <w:szCs w:val="24"/>
        </w:rPr>
        <w:t>④</w:t>
      </w:r>
      <w:bookmarkEnd w:id="184"/>
      <w:bookmarkEnd w:id="185"/>
      <w:bookmarkEnd w:id="186"/>
      <w:r w:rsidRPr="0085474C">
        <w:rPr>
          <w:rFonts w:ascii="Times New Roman" w:eastAsia="宋体" w:hAnsi="Times New Roman" w:cs="Times New Roman"/>
          <w:bCs/>
          <w:kern w:val="0"/>
          <w:sz w:val="24"/>
          <w:szCs w:val="24"/>
        </w:rPr>
        <w:t>掌握</w:t>
      </w:r>
      <w:r w:rsidRPr="0085474C">
        <w:rPr>
          <w:rFonts w:ascii="Times New Roman" w:eastAsia="宋体" w:hAnsi="Times New Roman" w:cs="Times New Roman"/>
          <w:bCs/>
          <w:kern w:val="0"/>
          <w:sz w:val="24"/>
          <w:szCs w:val="24"/>
        </w:rPr>
        <w:t>U</w:t>
      </w:r>
      <w:r w:rsidRPr="0085474C">
        <w:rPr>
          <w:rFonts w:ascii="Times New Roman" w:eastAsia="宋体" w:hAnsi="Times New Roman" w:cs="Times New Roman"/>
          <w:bCs/>
          <w:kern w:val="0"/>
          <w:sz w:val="24"/>
          <w:szCs w:val="24"/>
        </w:rPr>
        <w:t>及</w:t>
      </w:r>
      <w:r w:rsidRPr="0085474C">
        <w:rPr>
          <w:rFonts w:ascii="Times New Roman" w:eastAsia="宋体" w:hAnsi="Times New Roman" w:cs="Times New Roman"/>
          <w:bCs/>
          <w:kern w:val="0"/>
          <w:sz w:val="24"/>
          <w:szCs w:val="24"/>
        </w:rPr>
        <w:t>H</w:t>
      </w:r>
      <w:r w:rsidRPr="0085474C">
        <w:rPr>
          <w:rFonts w:ascii="Times New Roman" w:eastAsia="宋体" w:hAnsi="Times New Roman" w:cs="Times New Roman"/>
          <w:bCs/>
          <w:kern w:val="0"/>
          <w:sz w:val="24"/>
          <w:szCs w:val="24"/>
        </w:rPr>
        <w:t>都是状态函数以及状态函数的特性。</w:t>
      </w:r>
    </w:p>
    <w:p w14:paraId="2D0B90EC"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bookmarkStart w:id="187" w:name="OLE_LINK81"/>
      <w:bookmarkStart w:id="188" w:name="OLE_LINK82"/>
      <w:bookmarkStart w:id="189" w:name="OLE_LINK83"/>
      <w:r w:rsidRPr="0085474C">
        <w:rPr>
          <w:rFonts w:ascii="宋体" w:eastAsia="宋体" w:hAnsi="宋体" w:cs="宋体" w:hint="eastAsia"/>
          <w:bCs/>
          <w:kern w:val="0"/>
          <w:sz w:val="24"/>
          <w:szCs w:val="24"/>
        </w:rPr>
        <w:t>⑤</w:t>
      </w:r>
      <w:bookmarkEnd w:id="187"/>
      <w:bookmarkEnd w:id="188"/>
      <w:bookmarkEnd w:id="189"/>
      <w:r w:rsidRPr="0085474C">
        <w:rPr>
          <w:rFonts w:ascii="Times New Roman" w:eastAsia="宋体" w:hAnsi="Times New Roman" w:cs="Times New Roman"/>
          <w:bCs/>
          <w:kern w:val="0"/>
          <w:sz w:val="24"/>
          <w:szCs w:val="24"/>
        </w:rPr>
        <w:t>熟练应用热力学第一定律计算理想气体在等温、等压、绝热等过程中的</w:t>
      </w:r>
      <w:bookmarkStart w:id="190" w:name="OLE_LINK38"/>
      <w:bookmarkStart w:id="191" w:name="OLE_LINK36"/>
      <w:bookmarkStart w:id="192" w:name="OLE_LINK37"/>
      <w:bookmarkStart w:id="193" w:name="OLE_LINK74"/>
      <w:bookmarkStart w:id="194" w:name="OLE_LINK75"/>
      <w:bookmarkStart w:id="195" w:name="OLE_LINK76"/>
      <w:bookmarkStart w:id="196" w:name="OLE_LINK77"/>
      <w:r w:rsidRPr="0085474C">
        <w:rPr>
          <w:rFonts w:ascii="Times New Roman" w:eastAsia="宋体" w:hAnsi="Times New Roman" w:cs="Times New Roman"/>
          <w:bCs/>
          <w:kern w:val="0"/>
          <w:sz w:val="24"/>
          <w:szCs w:val="24"/>
        </w:rPr>
        <w:t>Δ</w:t>
      </w:r>
      <w:bookmarkEnd w:id="190"/>
      <w:bookmarkEnd w:id="191"/>
      <w:bookmarkEnd w:id="192"/>
      <w:bookmarkEnd w:id="193"/>
      <w:bookmarkEnd w:id="194"/>
      <w:bookmarkEnd w:id="195"/>
      <w:bookmarkEnd w:id="196"/>
      <w:r w:rsidRPr="0085474C">
        <w:rPr>
          <w:rFonts w:ascii="Times New Roman" w:eastAsia="宋体" w:hAnsi="Times New Roman" w:cs="Times New Roman"/>
          <w:bCs/>
          <w:kern w:val="0"/>
          <w:sz w:val="24"/>
          <w:szCs w:val="24"/>
        </w:rPr>
        <w:t>U</w:t>
      </w:r>
      <w:r w:rsidRPr="0085474C">
        <w:rPr>
          <w:rFonts w:ascii="Times New Roman" w:eastAsia="宋体" w:hAnsi="Times New Roman" w:cs="Times New Roman"/>
          <w:bCs/>
          <w:kern w:val="0"/>
          <w:sz w:val="24"/>
          <w:szCs w:val="24"/>
        </w:rPr>
        <w:t>、</w:t>
      </w:r>
      <w:r w:rsidRPr="0085474C">
        <w:rPr>
          <w:rFonts w:ascii="Times New Roman" w:eastAsia="宋体" w:hAnsi="Times New Roman" w:cs="Times New Roman"/>
          <w:bCs/>
          <w:kern w:val="0"/>
          <w:sz w:val="24"/>
          <w:szCs w:val="24"/>
        </w:rPr>
        <w:t>ΔH</w:t>
      </w:r>
      <w:r w:rsidRPr="0085474C">
        <w:rPr>
          <w:rFonts w:ascii="Times New Roman" w:eastAsia="宋体" w:hAnsi="Times New Roman" w:cs="Times New Roman"/>
          <w:bCs/>
          <w:kern w:val="0"/>
          <w:sz w:val="24"/>
          <w:szCs w:val="24"/>
        </w:rPr>
        <w:t>、</w:t>
      </w:r>
      <w:r w:rsidRPr="0085474C">
        <w:rPr>
          <w:rFonts w:ascii="Times New Roman" w:eastAsia="宋体" w:hAnsi="Times New Roman" w:cs="Times New Roman"/>
          <w:bCs/>
          <w:kern w:val="0"/>
          <w:sz w:val="24"/>
          <w:szCs w:val="24"/>
        </w:rPr>
        <w:t>Q</w:t>
      </w:r>
      <w:r w:rsidRPr="0085474C">
        <w:rPr>
          <w:rFonts w:ascii="Times New Roman" w:eastAsia="宋体" w:hAnsi="Times New Roman" w:cs="Times New Roman"/>
          <w:bCs/>
          <w:kern w:val="0"/>
          <w:sz w:val="24"/>
          <w:szCs w:val="24"/>
        </w:rPr>
        <w:t>和</w:t>
      </w:r>
      <w:r w:rsidRPr="0085474C">
        <w:rPr>
          <w:rFonts w:ascii="Times New Roman" w:eastAsia="宋体" w:hAnsi="Times New Roman" w:cs="Times New Roman"/>
          <w:bCs/>
          <w:kern w:val="0"/>
          <w:sz w:val="24"/>
          <w:szCs w:val="24"/>
        </w:rPr>
        <w:t>W</w:t>
      </w:r>
      <w:r w:rsidRPr="0085474C">
        <w:rPr>
          <w:rFonts w:ascii="Times New Roman" w:eastAsia="宋体" w:hAnsi="Times New Roman" w:cs="Times New Roman"/>
          <w:bCs/>
          <w:kern w:val="0"/>
          <w:sz w:val="24"/>
          <w:szCs w:val="24"/>
        </w:rPr>
        <w:t>。</w:t>
      </w:r>
    </w:p>
    <w:p w14:paraId="2FC37811"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bookmarkStart w:id="197" w:name="OLE_LINK85"/>
      <w:bookmarkStart w:id="198" w:name="OLE_LINK84"/>
      <w:bookmarkStart w:id="199" w:name="OLE_LINK86"/>
      <w:r w:rsidRPr="0085474C">
        <w:rPr>
          <w:rFonts w:ascii="宋体" w:eastAsia="宋体" w:hAnsi="宋体" w:cs="宋体" w:hint="eastAsia"/>
          <w:bCs/>
          <w:kern w:val="0"/>
          <w:sz w:val="24"/>
          <w:szCs w:val="24"/>
        </w:rPr>
        <w:t>⑥</w:t>
      </w:r>
      <w:bookmarkEnd w:id="197"/>
      <w:bookmarkEnd w:id="198"/>
      <w:bookmarkEnd w:id="199"/>
      <w:r w:rsidRPr="0085474C">
        <w:rPr>
          <w:rFonts w:ascii="Times New Roman" w:eastAsia="宋体" w:hAnsi="Times New Roman" w:cs="Times New Roman"/>
          <w:bCs/>
          <w:kern w:val="0"/>
          <w:sz w:val="24"/>
          <w:szCs w:val="24"/>
        </w:rPr>
        <w:t>熟练应用生成焓、燃烧</w:t>
      </w:r>
      <w:proofErr w:type="gramStart"/>
      <w:r w:rsidRPr="0085474C">
        <w:rPr>
          <w:rFonts w:ascii="Times New Roman" w:eastAsia="宋体" w:hAnsi="Times New Roman" w:cs="Times New Roman"/>
          <w:bCs/>
          <w:kern w:val="0"/>
          <w:sz w:val="24"/>
          <w:szCs w:val="24"/>
        </w:rPr>
        <w:t>焓</w:t>
      </w:r>
      <w:proofErr w:type="gramEnd"/>
      <w:r w:rsidRPr="0085474C">
        <w:rPr>
          <w:rFonts w:ascii="Times New Roman" w:eastAsia="宋体" w:hAnsi="Times New Roman" w:cs="Times New Roman"/>
          <w:bCs/>
          <w:kern w:val="0"/>
          <w:sz w:val="24"/>
          <w:szCs w:val="24"/>
        </w:rPr>
        <w:t>来计算反应热。</w:t>
      </w:r>
    </w:p>
    <w:p w14:paraId="78E1DED7"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⑦</w:t>
      </w:r>
      <w:r w:rsidRPr="0085474C">
        <w:rPr>
          <w:rFonts w:ascii="Times New Roman" w:eastAsia="宋体" w:hAnsi="Times New Roman" w:cs="Times New Roman"/>
          <w:bCs/>
          <w:kern w:val="0"/>
          <w:sz w:val="24"/>
          <w:szCs w:val="24"/>
        </w:rPr>
        <w:t>会应用盖斯定律。</w:t>
      </w:r>
    </w:p>
    <w:p w14:paraId="0C2EE6EE"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⑧</w:t>
      </w:r>
      <w:r w:rsidRPr="0085474C">
        <w:rPr>
          <w:rFonts w:ascii="Times New Roman" w:eastAsia="宋体" w:hAnsi="Times New Roman" w:cs="Times New Roman"/>
          <w:bCs/>
          <w:kern w:val="0"/>
          <w:sz w:val="24"/>
          <w:szCs w:val="24"/>
        </w:rPr>
        <w:t>了解</w:t>
      </w:r>
      <w:proofErr w:type="gramStart"/>
      <w:r w:rsidRPr="0085474C">
        <w:rPr>
          <w:rFonts w:ascii="Times New Roman" w:eastAsia="宋体" w:hAnsi="Times New Roman" w:cs="Times New Roman"/>
          <w:bCs/>
          <w:kern w:val="0"/>
          <w:sz w:val="24"/>
          <w:szCs w:val="24"/>
        </w:rPr>
        <w:t>摩尔定</w:t>
      </w:r>
      <w:proofErr w:type="gramEnd"/>
      <w:r w:rsidRPr="0085474C">
        <w:rPr>
          <w:rFonts w:ascii="Times New Roman" w:eastAsia="宋体" w:hAnsi="Times New Roman" w:cs="Times New Roman"/>
          <w:bCs/>
          <w:kern w:val="0"/>
          <w:sz w:val="24"/>
          <w:szCs w:val="24"/>
        </w:rPr>
        <w:t>压、定容热容的概念；了解节流过程的特点及</w:t>
      </w:r>
      <w:proofErr w:type="gramStart"/>
      <w:r w:rsidRPr="0085474C">
        <w:rPr>
          <w:rFonts w:ascii="Times New Roman" w:eastAsia="宋体" w:hAnsi="Times New Roman" w:cs="Times New Roman"/>
          <w:bCs/>
          <w:kern w:val="0"/>
          <w:sz w:val="24"/>
          <w:szCs w:val="24"/>
        </w:rPr>
        <w:t>焦耳</w:t>
      </w:r>
      <w:r w:rsidRPr="0085474C">
        <w:rPr>
          <w:rFonts w:ascii="Times New Roman" w:eastAsia="宋体" w:hAnsi="Times New Roman" w:cs="Times New Roman"/>
          <w:bCs/>
          <w:kern w:val="0"/>
          <w:sz w:val="24"/>
          <w:szCs w:val="24"/>
        </w:rPr>
        <w:t>-</w:t>
      </w:r>
      <w:proofErr w:type="gramEnd"/>
      <w:r w:rsidRPr="0085474C">
        <w:rPr>
          <w:rFonts w:ascii="Times New Roman" w:eastAsia="宋体" w:hAnsi="Times New Roman" w:cs="Times New Roman"/>
          <w:bCs/>
          <w:kern w:val="0"/>
          <w:sz w:val="24"/>
          <w:szCs w:val="24"/>
        </w:rPr>
        <w:t>汤姆逊系数的定义与实际应用。</w:t>
      </w:r>
    </w:p>
    <w:p w14:paraId="7E5DDFA5"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kern w:val="0"/>
          <w:sz w:val="24"/>
          <w:szCs w:val="24"/>
        </w:rPr>
        <w:t>第三章</w:t>
      </w:r>
      <w:r w:rsidRPr="0085474C">
        <w:rPr>
          <w:rFonts w:ascii="Times New Roman" w:eastAsia="宋体" w:hAnsi="Times New Roman" w:cs="Times New Roman"/>
          <w:bCs/>
          <w:kern w:val="0"/>
          <w:sz w:val="24"/>
          <w:szCs w:val="24"/>
        </w:rPr>
        <w:t xml:space="preserve"> </w:t>
      </w:r>
      <w:r w:rsidRPr="0085474C">
        <w:rPr>
          <w:rFonts w:ascii="Times New Roman" w:eastAsia="宋体" w:hAnsi="Times New Roman" w:cs="Times New Roman"/>
          <w:bCs/>
          <w:sz w:val="24"/>
          <w:szCs w:val="24"/>
        </w:rPr>
        <w:t>热力学第二定律</w:t>
      </w:r>
    </w:p>
    <w:p w14:paraId="7259BD11"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①</w:t>
      </w:r>
      <w:r w:rsidRPr="0085474C">
        <w:rPr>
          <w:rFonts w:ascii="Times New Roman" w:eastAsia="宋体" w:hAnsi="Times New Roman" w:cs="Times New Roman"/>
          <w:bCs/>
          <w:kern w:val="0"/>
          <w:sz w:val="24"/>
          <w:szCs w:val="24"/>
        </w:rPr>
        <w:t>明确热力学第二定律的意义。</w:t>
      </w:r>
    </w:p>
    <w:p w14:paraId="77B72664"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lastRenderedPageBreak/>
        <w:t>②</w:t>
      </w:r>
      <w:r w:rsidRPr="0085474C">
        <w:rPr>
          <w:rFonts w:ascii="Times New Roman" w:eastAsia="宋体" w:hAnsi="Times New Roman" w:cs="Times New Roman"/>
          <w:bCs/>
          <w:kern w:val="0"/>
          <w:sz w:val="24"/>
          <w:szCs w:val="24"/>
        </w:rPr>
        <w:t>了解卡诺循环的意义，掌握热力学第二定律与卡诺定理的联系。理解克劳修斯不等式的重要性。</w:t>
      </w:r>
    </w:p>
    <w:p w14:paraId="4848B5DA"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③</w:t>
      </w:r>
      <w:r w:rsidRPr="0085474C">
        <w:rPr>
          <w:rFonts w:ascii="Times New Roman" w:eastAsia="宋体" w:hAnsi="Times New Roman" w:cs="Times New Roman"/>
          <w:bCs/>
          <w:kern w:val="0"/>
          <w:sz w:val="24"/>
          <w:szCs w:val="24"/>
        </w:rPr>
        <w:t>熟记热力学函数</w:t>
      </w:r>
      <w:r w:rsidRPr="0085474C">
        <w:rPr>
          <w:rFonts w:ascii="Times New Roman" w:eastAsia="宋体" w:hAnsi="Times New Roman" w:cs="Times New Roman"/>
          <w:bCs/>
          <w:kern w:val="0"/>
          <w:sz w:val="24"/>
          <w:szCs w:val="24"/>
        </w:rPr>
        <w:t>U</w:t>
      </w:r>
      <w:r w:rsidRPr="0085474C">
        <w:rPr>
          <w:rFonts w:ascii="Times New Roman" w:eastAsia="宋体" w:hAnsi="Times New Roman" w:cs="Times New Roman"/>
          <w:bCs/>
          <w:kern w:val="0"/>
          <w:sz w:val="24"/>
          <w:szCs w:val="24"/>
        </w:rPr>
        <w:t>、</w:t>
      </w:r>
      <w:r w:rsidRPr="0085474C">
        <w:rPr>
          <w:rFonts w:ascii="Times New Roman" w:eastAsia="宋体" w:hAnsi="Times New Roman" w:cs="Times New Roman"/>
          <w:bCs/>
          <w:kern w:val="0"/>
          <w:sz w:val="24"/>
          <w:szCs w:val="24"/>
        </w:rPr>
        <w:t>H</w:t>
      </w:r>
      <w:r w:rsidRPr="0085474C">
        <w:rPr>
          <w:rFonts w:ascii="Times New Roman" w:eastAsia="宋体" w:hAnsi="Times New Roman" w:cs="Times New Roman"/>
          <w:bCs/>
          <w:kern w:val="0"/>
          <w:sz w:val="24"/>
          <w:szCs w:val="24"/>
        </w:rPr>
        <w:t>、</w:t>
      </w:r>
      <w:r w:rsidRPr="0085474C">
        <w:rPr>
          <w:rFonts w:ascii="Times New Roman" w:eastAsia="宋体" w:hAnsi="Times New Roman" w:cs="Times New Roman"/>
          <w:bCs/>
          <w:kern w:val="0"/>
          <w:sz w:val="24"/>
          <w:szCs w:val="24"/>
        </w:rPr>
        <w:t>S</w:t>
      </w:r>
      <w:r w:rsidRPr="0085474C">
        <w:rPr>
          <w:rFonts w:ascii="Times New Roman" w:eastAsia="宋体" w:hAnsi="Times New Roman" w:cs="Times New Roman"/>
          <w:bCs/>
          <w:kern w:val="0"/>
          <w:sz w:val="24"/>
          <w:szCs w:val="24"/>
        </w:rPr>
        <w:t>、</w:t>
      </w:r>
      <w:r w:rsidRPr="0085474C">
        <w:rPr>
          <w:rFonts w:ascii="Times New Roman" w:eastAsia="宋体" w:hAnsi="Times New Roman" w:cs="Times New Roman"/>
          <w:bCs/>
          <w:kern w:val="0"/>
          <w:sz w:val="24"/>
          <w:szCs w:val="24"/>
        </w:rPr>
        <w:t>A</w:t>
      </w:r>
      <w:r w:rsidRPr="0085474C">
        <w:rPr>
          <w:rFonts w:ascii="Times New Roman" w:eastAsia="宋体" w:hAnsi="Times New Roman" w:cs="Times New Roman"/>
          <w:bCs/>
          <w:kern w:val="0"/>
          <w:sz w:val="24"/>
          <w:szCs w:val="24"/>
        </w:rPr>
        <w:t>、</w:t>
      </w:r>
      <w:r w:rsidRPr="0085474C">
        <w:rPr>
          <w:rFonts w:ascii="Times New Roman" w:eastAsia="宋体" w:hAnsi="Times New Roman" w:cs="Times New Roman"/>
          <w:bCs/>
          <w:kern w:val="0"/>
          <w:sz w:val="24"/>
          <w:szCs w:val="24"/>
        </w:rPr>
        <w:t>G</w:t>
      </w:r>
      <w:r w:rsidRPr="0085474C">
        <w:rPr>
          <w:rFonts w:ascii="Times New Roman" w:eastAsia="宋体" w:hAnsi="Times New Roman" w:cs="Times New Roman"/>
          <w:bCs/>
          <w:kern w:val="0"/>
          <w:sz w:val="24"/>
          <w:szCs w:val="24"/>
        </w:rPr>
        <w:t>的定义，并了解其物理意义。</w:t>
      </w:r>
    </w:p>
    <w:p w14:paraId="287538D9"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④</w:t>
      </w:r>
      <w:proofErr w:type="gramStart"/>
      <w:r w:rsidRPr="0085474C">
        <w:rPr>
          <w:rFonts w:ascii="Times New Roman" w:eastAsia="宋体" w:hAnsi="Times New Roman" w:cs="Times New Roman"/>
          <w:bCs/>
          <w:kern w:val="0"/>
          <w:sz w:val="24"/>
          <w:szCs w:val="24"/>
        </w:rPr>
        <w:t>明确</w:t>
      </w:r>
      <w:r w:rsidRPr="0085474C">
        <w:rPr>
          <w:rFonts w:ascii="Times New Roman" w:eastAsia="宋体" w:hAnsi="Times New Roman" w:cs="Times New Roman"/>
          <w:bCs/>
          <w:kern w:val="0"/>
          <w:sz w:val="24"/>
          <w:szCs w:val="24"/>
        </w:rPr>
        <w:t>Δ</w:t>
      </w:r>
      <w:proofErr w:type="gramEnd"/>
      <w:r w:rsidRPr="0085474C">
        <w:rPr>
          <w:rFonts w:ascii="Times New Roman" w:eastAsia="宋体" w:hAnsi="Times New Roman" w:cs="Times New Roman"/>
          <w:bCs/>
          <w:kern w:val="0"/>
          <w:sz w:val="24"/>
          <w:szCs w:val="24"/>
        </w:rPr>
        <w:t>G</w:t>
      </w:r>
      <w:r w:rsidRPr="0085474C">
        <w:rPr>
          <w:rFonts w:ascii="Times New Roman" w:eastAsia="宋体" w:hAnsi="Times New Roman" w:cs="Times New Roman"/>
          <w:bCs/>
          <w:kern w:val="0"/>
          <w:sz w:val="24"/>
          <w:szCs w:val="24"/>
        </w:rPr>
        <w:t>和</w:t>
      </w:r>
      <w:r w:rsidRPr="0085474C">
        <w:rPr>
          <w:rFonts w:ascii="Times New Roman" w:eastAsia="宋体" w:hAnsi="Times New Roman" w:cs="Times New Roman"/>
          <w:bCs/>
          <w:kern w:val="0"/>
          <w:sz w:val="24"/>
          <w:szCs w:val="24"/>
        </w:rPr>
        <w:t>ΔA</w:t>
      </w:r>
      <w:r w:rsidRPr="0085474C">
        <w:rPr>
          <w:rFonts w:ascii="Times New Roman" w:eastAsia="宋体" w:hAnsi="Times New Roman" w:cs="Times New Roman"/>
          <w:bCs/>
          <w:kern w:val="0"/>
          <w:sz w:val="24"/>
          <w:szCs w:val="24"/>
        </w:rPr>
        <w:t>在特殊条件下的物理意义，会用它来判别变化的方向和平衡条件。熟练计算一些简单过程的</w:t>
      </w:r>
      <w:r w:rsidRPr="0085474C">
        <w:rPr>
          <w:rFonts w:ascii="Times New Roman" w:eastAsia="宋体" w:hAnsi="Times New Roman" w:cs="Times New Roman"/>
          <w:bCs/>
          <w:kern w:val="0"/>
          <w:sz w:val="24"/>
          <w:szCs w:val="24"/>
        </w:rPr>
        <w:t>ΔS</w:t>
      </w:r>
      <w:r w:rsidRPr="0085474C">
        <w:rPr>
          <w:rFonts w:ascii="Times New Roman" w:eastAsia="宋体" w:hAnsi="Times New Roman" w:cs="Times New Roman"/>
          <w:bCs/>
          <w:kern w:val="0"/>
          <w:sz w:val="24"/>
          <w:szCs w:val="24"/>
        </w:rPr>
        <w:t>、</w:t>
      </w:r>
      <w:r w:rsidRPr="0085474C">
        <w:rPr>
          <w:rFonts w:ascii="Times New Roman" w:eastAsia="宋体" w:hAnsi="Times New Roman" w:cs="Times New Roman"/>
          <w:bCs/>
          <w:kern w:val="0"/>
          <w:sz w:val="24"/>
          <w:szCs w:val="24"/>
        </w:rPr>
        <w:t>ΔH</w:t>
      </w:r>
      <w:r w:rsidRPr="0085474C">
        <w:rPr>
          <w:rFonts w:ascii="Times New Roman" w:eastAsia="宋体" w:hAnsi="Times New Roman" w:cs="Times New Roman"/>
          <w:bCs/>
          <w:kern w:val="0"/>
          <w:sz w:val="24"/>
          <w:szCs w:val="24"/>
        </w:rPr>
        <w:t>和</w:t>
      </w:r>
      <w:r w:rsidRPr="0085474C">
        <w:rPr>
          <w:rFonts w:ascii="Times New Roman" w:eastAsia="宋体" w:hAnsi="Times New Roman" w:cs="Times New Roman"/>
          <w:bCs/>
          <w:kern w:val="0"/>
          <w:sz w:val="24"/>
          <w:szCs w:val="24"/>
        </w:rPr>
        <w:t>ΔG</w:t>
      </w:r>
      <w:r w:rsidRPr="0085474C">
        <w:rPr>
          <w:rFonts w:ascii="Times New Roman" w:eastAsia="宋体" w:hAnsi="Times New Roman" w:cs="Times New Roman"/>
          <w:bCs/>
          <w:kern w:val="0"/>
          <w:sz w:val="24"/>
          <w:szCs w:val="24"/>
        </w:rPr>
        <w:t>。</w:t>
      </w:r>
    </w:p>
    <w:p w14:paraId="3412AFB4"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⑤</w:t>
      </w:r>
      <w:r w:rsidRPr="0085474C">
        <w:rPr>
          <w:rFonts w:ascii="Times New Roman" w:eastAsia="宋体" w:hAnsi="Times New Roman" w:cs="Times New Roman"/>
          <w:bCs/>
          <w:kern w:val="0"/>
          <w:sz w:val="24"/>
          <w:szCs w:val="24"/>
        </w:rPr>
        <w:t>了解吉布斯</w:t>
      </w:r>
      <w:r w:rsidRPr="0085474C">
        <w:rPr>
          <w:rFonts w:ascii="Times New Roman" w:eastAsia="宋体" w:hAnsi="Times New Roman" w:cs="Times New Roman"/>
          <w:bCs/>
          <w:kern w:val="0"/>
          <w:sz w:val="24"/>
          <w:szCs w:val="24"/>
        </w:rPr>
        <w:t>-</w:t>
      </w:r>
      <w:proofErr w:type="gramStart"/>
      <w:r w:rsidRPr="0085474C">
        <w:rPr>
          <w:rFonts w:ascii="Times New Roman" w:eastAsia="宋体" w:hAnsi="Times New Roman" w:cs="Times New Roman"/>
          <w:bCs/>
          <w:kern w:val="0"/>
          <w:sz w:val="24"/>
          <w:szCs w:val="24"/>
        </w:rPr>
        <w:t>亥姆霍兹</w:t>
      </w:r>
      <w:proofErr w:type="gramEnd"/>
      <w:r w:rsidRPr="0085474C">
        <w:rPr>
          <w:rFonts w:ascii="Times New Roman" w:eastAsia="宋体" w:hAnsi="Times New Roman" w:cs="Times New Roman"/>
          <w:bCs/>
          <w:kern w:val="0"/>
          <w:sz w:val="24"/>
          <w:szCs w:val="24"/>
        </w:rPr>
        <w:t>公式。</w:t>
      </w:r>
    </w:p>
    <w:p w14:paraId="4BEB622F"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⑥</w:t>
      </w:r>
      <w:r w:rsidRPr="0085474C">
        <w:rPr>
          <w:rFonts w:ascii="Times New Roman" w:eastAsia="宋体" w:hAnsi="Times New Roman" w:cs="Times New Roman"/>
          <w:bCs/>
          <w:kern w:val="0"/>
          <w:sz w:val="24"/>
          <w:szCs w:val="24"/>
        </w:rPr>
        <w:t>了解热力学第三定律的内容，明确规定熵值的意义、计算及其应用。掌握熵增加原理和各种平衡判据。</w:t>
      </w:r>
    </w:p>
    <w:p w14:paraId="20227E17"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Times New Roman" w:eastAsia="宋体" w:hAnsi="Times New Roman" w:cs="Times New Roman"/>
          <w:bCs/>
          <w:kern w:val="0"/>
          <w:sz w:val="24"/>
          <w:szCs w:val="24"/>
        </w:rPr>
        <w:t>第四章</w:t>
      </w:r>
      <w:r w:rsidRPr="0085474C">
        <w:rPr>
          <w:rFonts w:ascii="Times New Roman" w:eastAsia="宋体" w:hAnsi="Times New Roman" w:cs="Times New Roman"/>
          <w:bCs/>
          <w:kern w:val="0"/>
          <w:sz w:val="24"/>
          <w:szCs w:val="24"/>
        </w:rPr>
        <w:t xml:space="preserve"> </w:t>
      </w:r>
      <w:r w:rsidRPr="0085474C">
        <w:rPr>
          <w:rFonts w:ascii="Times New Roman" w:eastAsia="宋体" w:hAnsi="Times New Roman" w:cs="Times New Roman"/>
          <w:bCs/>
          <w:kern w:val="0"/>
          <w:sz w:val="24"/>
          <w:szCs w:val="24"/>
        </w:rPr>
        <w:t>多组分系统热力学</w:t>
      </w:r>
    </w:p>
    <w:p w14:paraId="664C0A1A"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①</w:t>
      </w:r>
      <w:r w:rsidRPr="0085474C">
        <w:rPr>
          <w:rFonts w:ascii="Times New Roman" w:eastAsia="宋体" w:hAnsi="Times New Roman" w:cs="Times New Roman"/>
          <w:bCs/>
          <w:kern w:val="0"/>
          <w:sz w:val="24"/>
          <w:szCs w:val="24"/>
        </w:rPr>
        <w:t>熟悉溶液浓度的各种表示法及其相互关系。掌握偏摩尔量意义。</w:t>
      </w:r>
    </w:p>
    <w:p w14:paraId="0E2C67CE"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②</w:t>
      </w:r>
      <w:r w:rsidRPr="0085474C">
        <w:rPr>
          <w:rFonts w:ascii="Times New Roman" w:eastAsia="宋体" w:hAnsi="Times New Roman" w:cs="Times New Roman"/>
          <w:bCs/>
          <w:kern w:val="0"/>
          <w:sz w:val="24"/>
          <w:szCs w:val="24"/>
        </w:rPr>
        <w:t>理解理想溶液、稀溶液与实际溶液三者的区别和联系。掌握拉乌尔定律和亨利定律以及它们的应用。</w:t>
      </w:r>
    </w:p>
    <w:p w14:paraId="589713F0"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③</w:t>
      </w:r>
      <w:r w:rsidRPr="0085474C">
        <w:rPr>
          <w:rFonts w:ascii="Times New Roman" w:eastAsia="宋体" w:hAnsi="Times New Roman" w:cs="Times New Roman"/>
          <w:bCs/>
          <w:kern w:val="0"/>
          <w:sz w:val="24"/>
          <w:szCs w:val="24"/>
        </w:rPr>
        <w:t>理解理想体系（理想气体、理想溶液、</w:t>
      </w:r>
      <w:proofErr w:type="gramStart"/>
      <w:r w:rsidRPr="0085474C">
        <w:rPr>
          <w:rFonts w:ascii="Times New Roman" w:eastAsia="宋体" w:hAnsi="Times New Roman" w:cs="Times New Roman"/>
          <w:bCs/>
          <w:kern w:val="0"/>
          <w:sz w:val="24"/>
          <w:szCs w:val="24"/>
        </w:rPr>
        <w:t>理想稀</w:t>
      </w:r>
      <w:proofErr w:type="gramEnd"/>
      <w:r w:rsidRPr="0085474C">
        <w:rPr>
          <w:rFonts w:ascii="Times New Roman" w:eastAsia="宋体" w:hAnsi="Times New Roman" w:cs="Times New Roman"/>
          <w:bCs/>
          <w:kern w:val="0"/>
          <w:sz w:val="24"/>
          <w:szCs w:val="24"/>
        </w:rPr>
        <w:t>溶液）中各组分化学势的表达式及其应用。</w:t>
      </w:r>
    </w:p>
    <w:p w14:paraId="36E4D0AE"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④</w:t>
      </w:r>
      <w:r w:rsidRPr="0085474C">
        <w:rPr>
          <w:rFonts w:ascii="Times New Roman" w:eastAsia="宋体" w:hAnsi="Times New Roman" w:cs="Times New Roman"/>
          <w:bCs/>
          <w:kern w:val="0"/>
          <w:sz w:val="24"/>
          <w:szCs w:val="24"/>
        </w:rPr>
        <w:t>了解逸度和活度的概念及逸度系数、活度系数的简单计算。</w:t>
      </w:r>
    </w:p>
    <w:p w14:paraId="03266BAC"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⑤</w:t>
      </w:r>
      <w:r w:rsidRPr="0085474C">
        <w:rPr>
          <w:rFonts w:ascii="Times New Roman" w:eastAsia="宋体" w:hAnsi="Times New Roman" w:cs="Times New Roman"/>
          <w:bCs/>
          <w:kern w:val="0"/>
          <w:sz w:val="24"/>
          <w:szCs w:val="24"/>
        </w:rPr>
        <w:t>了解稀溶液的依数性</w:t>
      </w:r>
    </w:p>
    <w:p w14:paraId="73FD4B65"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⑥</w:t>
      </w:r>
      <w:r w:rsidRPr="0085474C">
        <w:rPr>
          <w:rFonts w:ascii="Times New Roman" w:eastAsia="宋体" w:hAnsi="Times New Roman" w:cs="Times New Roman"/>
          <w:bCs/>
          <w:kern w:val="0"/>
          <w:sz w:val="24"/>
          <w:szCs w:val="24"/>
        </w:rPr>
        <w:t>了解热力学处理溶液的一般方法。</w:t>
      </w:r>
    </w:p>
    <w:p w14:paraId="57425E73"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Times New Roman" w:eastAsia="宋体" w:hAnsi="Times New Roman" w:cs="Times New Roman"/>
          <w:bCs/>
          <w:kern w:val="0"/>
          <w:sz w:val="24"/>
          <w:szCs w:val="24"/>
        </w:rPr>
        <w:t>第五章</w:t>
      </w:r>
      <w:r w:rsidRPr="0085474C">
        <w:rPr>
          <w:rFonts w:ascii="Times New Roman" w:eastAsia="宋体" w:hAnsi="Times New Roman" w:cs="Times New Roman"/>
          <w:bCs/>
          <w:kern w:val="0"/>
          <w:sz w:val="24"/>
          <w:szCs w:val="24"/>
        </w:rPr>
        <w:t xml:space="preserve"> </w:t>
      </w:r>
      <w:r w:rsidRPr="0085474C">
        <w:rPr>
          <w:rFonts w:ascii="Times New Roman" w:eastAsia="宋体" w:hAnsi="Times New Roman" w:cs="Times New Roman"/>
          <w:bCs/>
          <w:kern w:val="0"/>
          <w:sz w:val="24"/>
          <w:szCs w:val="24"/>
        </w:rPr>
        <w:t>多相平衡</w:t>
      </w:r>
    </w:p>
    <w:p w14:paraId="282E3CD1"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①</w:t>
      </w:r>
      <w:r w:rsidRPr="0085474C">
        <w:rPr>
          <w:rFonts w:ascii="Times New Roman" w:eastAsia="宋体" w:hAnsi="Times New Roman" w:cs="Times New Roman"/>
          <w:bCs/>
          <w:kern w:val="0"/>
          <w:sz w:val="24"/>
          <w:szCs w:val="24"/>
        </w:rPr>
        <w:t>了解克拉贝龙方程式和克劳修斯</w:t>
      </w:r>
      <w:r w:rsidRPr="0085474C">
        <w:rPr>
          <w:rFonts w:ascii="Times New Roman" w:eastAsia="宋体" w:hAnsi="Times New Roman" w:cs="Times New Roman"/>
          <w:bCs/>
          <w:kern w:val="0"/>
          <w:sz w:val="24"/>
          <w:szCs w:val="24"/>
        </w:rPr>
        <w:t>-</w:t>
      </w:r>
      <w:r w:rsidRPr="0085474C">
        <w:rPr>
          <w:rFonts w:ascii="Times New Roman" w:eastAsia="宋体" w:hAnsi="Times New Roman" w:cs="Times New Roman"/>
          <w:bCs/>
          <w:kern w:val="0"/>
          <w:sz w:val="24"/>
          <w:szCs w:val="24"/>
        </w:rPr>
        <w:t>克拉贝龙方程式。</w:t>
      </w:r>
    </w:p>
    <w:p w14:paraId="10DFEC01"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②</w:t>
      </w:r>
      <w:r w:rsidRPr="0085474C">
        <w:rPr>
          <w:rFonts w:ascii="Times New Roman" w:eastAsia="宋体" w:hAnsi="Times New Roman" w:cs="Times New Roman"/>
          <w:bCs/>
          <w:kern w:val="0"/>
          <w:sz w:val="24"/>
          <w:szCs w:val="24"/>
        </w:rPr>
        <w:t>明确相、组分数和自由度的概念，理解相律并掌握其简单应用。</w:t>
      </w:r>
    </w:p>
    <w:p w14:paraId="796DA02D"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③</w:t>
      </w:r>
      <w:r w:rsidRPr="0085474C">
        <w:rPr>
          <w:rFonts w:ascii="Times New Roman" w:eastAsia="宋体" w:hAnsi="Times New Roman" w:cs="Times New Roman"/>
          <w:bCs/>
          <w:kern w:val="0"/>
          <w:sz w:val="24"/>
          <w:szCs w:val="24"/>
        </w:rPr>
        <w:t>了解杠杆规则在相图中的应用。</w:t>
      </w:r>
    </w:p>
    <w:p w14:paraId="7DA6D8ED"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④</w:t>
      </w:r>
      <w:r w:rsidRPr="0085474C">
        <w:rPr>
          <w:rFonts w:ascii="Times New Roman" w:eastAsia="宋体" w:hAnsi="Times New Roman" w:cs="Times New Roman"/>
          <w:bCs/>
          <w:kern w:val="0"/>
          <w:sz w:val="24"/>
          <w:szCs w:val="24"/>
        </w:rPr>
        <w:t>掌握单组分系统和二组分系统典型相图的特点。在</w:t>
      </w:r>
      <w:proofErr w:type="gramStart"/>
      <w:r w:rsidRPr="0085474C">
        <w:rPr>
          <w:rFonts w:ascii="Times New Roman" w:eastAsia="宋体" w:hAnsi="Times New Roman" w:cs="Times New Roman"/>
          <w:bCs/>
          <w:kern w:val="0"/>
          <w:sz w:val="24"/>
          <w:szCs w:val="24"/>
        </w:rPr>
        <w:t>双液系</w:t>
      </w:r>
      <w:proofErr w:type="gramEnd"/>
      <w:r w:rsidRPr="0085474C">
        <w:rPr>
          <w:rFonts w:ascii="Times New Roman" w:eastAsia="宋体" w:hAnsi="Times New Roman" w:cs="Times New Roman"/>
          <w:bCs/>
          <w:kern w:val="0"/>
          <w:sz w:val="24"/>
          <w:szCs w:val="24"/>
        </w:rPr>
        <w:t>中以完全互溶的</w:t>
      </w:r>
      <w:proofErr w:type="gramStart"/>
      <w:r w:rsidRPr="0085474C">
        <w:rPr>
          <w:rFonts w:ascii="Times New Roman" w:eastAsia="宋体" w:hAnsi="Times New Roman" w:cs="Times New Roman"/>
          <w:bCs/>
          <w:kern w:val="0"/>
          <w:sz w:val="24"/>
          <w:szCs w:val="24"/>
        </w:rPr>
        <w:t>双液系</w:t>
      </w:r>
      <w:proofErr w:type="gramEnd"/>
      <w:r w:rsidRPr="0085474C">
        <w:rPr>
          <w:rFonts w:ascii="Times New Roman" w:eastAsia="宋体" w:hAnsi="Times New Roman" w:cs="Times New Roman"/>
          <w:bCs/>
          <w:kern w:val="0"/>
          <w:sz w:val="24"/>
          <w:szCs w:val="24"/>
        </w:rPr>
        <w:t>为重点了解其</w:t>
      </w:r>
      <w:r w:rsidRPr="0085474C">
        <w:rPr>
          <w:rFonts w:ascii="Times New Roman" w:eastAsia="宋体" w:hAnsi="Times New Roman" w:cs="Times New Roman"/>
          <w:bCs/>
          <w:kern w:val="0"/>
          <w:sz w:val="24"/>
          <w:szCs w:val="24"/>
        </w:rPr>
        <w:t>p-x</w:t>
      </w:r>
      <w:r w:rsidRPr="0085474C">
        <w:rPr>
          <w:rFonts w:ascii="Times New Roman" w:eastAsia="宋体" w:hAnsi="Times New Roman" w:cs="Times New Roman"/>
          <w:bCs/>
          <w:kern w:val="0"/>
          <w:sz w:val="24"/>
          <w:szCs w:val="24"/>
        </w:rPr>
        <w:t>图和</w:t>
      </w:r>
      <w:r w:rsidRPr="0085474C">
        <w:rPr>
          <w:rFonts w:ascii="Times New Roman" w:eastAsia="宋体" w:hAnsi="Times New Roman" w:cs="Times New Roman"/>
          <w:bCs/>
          <w:kern w:val="0"/>
          <w:sz w:val="24"/>
          <w:szCs w:val="24"/>
        </w:rPr>
        <w:t>T-x</w:t>
      </w:r>
      <w:r w:rsidRPr="0085474C">
        <w:rPr>
          <w:rFonts w:ascii="Times New Roman" w:eastAsia="宋体" w:hAnsi="Times New Roman" w:cs="Times New Roman"/>
          <w:bCs/>
          <w:kern w:val="0"/>
          <w:sz w:val="24"/>
          <w:szCs w:val="24"/>
        </w:rPr>
        <w:t>图。</w:t>
      </w:r>
    </w:p>
    <w:p w14:paraId="04DD0299"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⑤</w:t>
      </w:r>
      <w:r w:rsidRPr="0085474C">
        <w:rPr>
          <w:rFonts w:ascii="Times New Roman" w:eastAsia="宋体" w:hAnsi="Times New Roman" w:cs="Times New Roman"/>
          <w:bCs/>
          <w:kern w:val="0"/>
          <w:sz w:val="24"/>
          <w:szCs w:val="24"/>
        </w:rPr>
        <w:t>了解蒸馏和精馏的基本原理。</w:t>
      </w:r>
    </w:p>
    <w:p w14:paraId="2DB95CDC"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⑥</w:t>
      </w:r>
      <w:r w:rsidRPr="0085474C">
        <w:rPr>
          <w:rFonts w:ascii="Times New Roman" w:eastAsia="宋体" w:hAnsi="Times New Roman" w:cs="Times New Roman"/>
          <w:bCs/>
          <w:kern w:val="0"/>
          <w:sz w:val="24"/>
          <w:szCs w:val="24"/>
        </w:rPr>
        <w:t>在二组分液</w:t>
      </w:r>
      <w:r w:rsidRPr="0085474C">
        <w:rPr>
          <w:rFonts w:ascii="Times New Roman" w:eastAsia="宋体" w:hAnsi="Times New Roman" w:cs="Times New Roman"/>
          <w:bCs/>
          <w:kern w:val="0"/>
          <w:sz w:val="24"/>
          <w:szCs w:val="24"/>
        </w:rPr>
        <w:t>-</w:t>
      </w:r>
      <w:r w:rsidRPr="0085474C">
        <w:rPr>
          <w:rFonts w:ascii="Times New Roman" w:eastAsia="宋体" w:hAnsi="Times New Roman" w:cs="Times New Roman"/>
          <w:bCs/>
          <w:kern w:val="0"/>
          <w:sz w:val="24"/>
          <w:szCs w:val="24"/>
        </w:rPr>
        <w:t>固体系中，以</w:t>
      </w:r>
      <w:proofErr w:type="gramStart"/>
      <w:r w:rsidRPr="0085474C">
        <w:rPr>
          <w:rFonts w:ascii="Times New Roman" w:eastAsia="宋体" w:hAnsi="Times New Roman" w:cs="Times New Roman"/>
          <w:bCs/>
          <w:kern w:val="0"/>
          <w:sz w:val="24"/>
          <w:szCs w:val="24"/>
        </w:rPr>
        <w:t>简单低共溶</w:t>
      </w:r>
      <w:proofErr w:type="gramEnd"/>
      <w:r w:rsidRPr="0085474C">
        <w:rPr>
          <w:rFonts w:ascii="Times New Roman" w:eastAsia="宋体" w:hAnsi="Times New Roman" w:cs="Times New Roman"/>
          <w:bCs/>
          <w:kern w:val="0"/>
          <w:sz w:val="24"/>
          <w:szCs w:val="24"/>
        </w:rPr>
        <w:t>物的相图为重点，了解相图的绘制及其应用。</w:t>
      </w:r>
    </w:p>
    <w:p w14:paraId="3B2C1D05"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Times New Roman" w:eastAsia="宋体" w:hAnsi="Times New Roman" w:cs="Times New Roman"/>
          <w:bCs/>
          <w:kern w:val="0"/>
          <w:sz w:val="24"/>
          <w:szCs w:val="24"/>
        </w:rPr>
        <w:t>第六章</w:t>
      </w:r>
      <w:r w:rsidRPr="0085474C">
        <w:rPr>
          <w:rFonts w:ascii="Times New Roman" w:eastAsia="宋体" w:hAnsi="Times New Roman" w:cs="Times New Roman"/>
          <w:bCs/>
          <w:kern w:val="0"/>
          <w:sz w:val="24"/>
          <w:szCs w:val="24"/>
        </w:rPr>
        <w:t xml:space="preserve"> </w:t>
      </w:r>
      <w:r w:rsidRPr="0085474C">
        <w:rPr>
          <w:rFonts w:ascii="Times New Roman" w:eastAsia="宋体" w:hAnsi="Times New Roman" w:cs="Times New Roman"/>
          <w:bCs/>
          <w:kern w:val="0"/>
          <w:sz w:val="24"/>
          <w:szCs w:val="24"/>
        </w:rPr>
        <w:t>化学平衡</w:t>
      </w:r>
    </w:p>
    <w:p w14:paraId="26620C07"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①</w:t>
      </w:r>
      <w:r w:rsidRPr="0085474C">
        <w:rPr>
          <w:rFonts w:ascii="Times New Roman" w:eastAsia="宋体" w:hAnsi="Times New Roman" w:cs="Times New Roman"/>
          <w:bCs/>
          <w:kern w:val="0"/>
          <w:sz w:val="24"/>
          <w:szCs w:val="24"/>
        </w:rPr>
        <w:t>能够从化学势的角度理解化学平衡的意义，理解并掌握化学反应等温式的意义与应用。</w:t>
      </w:r>
    </w:p>
    <w:p w14:paraId="1A743FC3"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②</w:t>
      </w:r>
      <w:r w:rsidRPr="0085474C">
        <w:rPr>
          <w:rFonts w:ascii="Times New Roman" w:eastAsia="宋体" w:hAnsi="Times New Roman" w:cs="Times New Roman"/>
          <w:bCs/>
          <w:kern w:val="0"/>
          <w:sz w:val="24"/>
          <w:szCs w:val="24"/>
        </w:rPr>
        <w:t>了解均相和多相反应的平衡常数表示式的区别。</w:t>
      </w:r>
    </w:p>
    <w:p w14:paraId="78BEDFCC"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③</w:t>
      </w:r>
      <w:r w:rsidRPr="0085474C">
        <w:rPr>
          <w:rFonts w:ascii="Times New Roman" w:eastAsia="宋体" w:hAnsi="Times New Roman" w:cs="Times New Roman"/>
          <w:bCs/>
          <w:kern w:val="0"/>
          <w:sz w:val="24"/>
          <w:szCs w:val="24"/>
        </w:rPr>
        <w:t>理解</w:t>
      </w:r>
      <w:r w:rsidR="00000000">
        <w:rPr>
          <w:rFonts w:ascii="Times New Roman" w:eastAsia="宋体" w:hAnsi="Times New Roman" w:cs="Times New Roman"/>
          <w:position w:val="-12"/>
          <w:sz w:val="24"/>
          <w:szCs w:val="24"/>
        </w:rPr>
        <w:pict w14:anchorId="108780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对象 2" o:spid="_x0000_i1025" type="#_x0000_t75" style="width:25.65pt;height:20.65pt;mso-wrap-style:square;mso-position-horizontal-relative:page;mso-position-vertical-relative:page">
            <v:imagedata r:id="rId42" o:title=""/>
          </v:shape>
        </w:pict>
      </w:r>
      <w:r w:rsidRPr="0085474C">
        <w:rPr>
          <w:rFonts w:ascii="Times New Roman" w:eastAsia="宋体" w:hAnsi="Times New Roman" w:cs="Times New Roman"/>
          <w:bCs/>
          <w:kern w:val="0"/>
          <w:sz w:val="24"/>
          <w:szCs w:val="24"/>
        </w:rPr>
        <w:t>的意义，会用</w:t>
      </w:r>
      <w:r w:rsidRPr="0085474C">
        <w:rPr>
          <w:rFonts w:ascii="Times New Roman" w:eastAsia="宋体" w:hAnsi="Times New Roman" w:cs="Times New Roman"/>
          <w:bCs/>
          <w:kern w:val="0"/>
          <w:sz w:val="24"/>
          <w:szCs w:val="24"/>
        </w:rPr>
        <w:t xml:space="preserve"> </w:t>
      </w:r>
      <w:r w:rsidR="00000000">
        <w:rPr>
          <w:rFonts w:ascii="Times New Roman" w:eastAsia="宋体" w:hAnsi="Times New Roman" w:cs="Times New Roman"/>
          <w:position w:val="-12"/>
          <w:sz w:val="24"/>
          <w:szCs w:val="24"/>
        </w:rPr>
        <w:pict w14:anchorId="395BDEF1">
          <v:shape id="Object 2" o:spid="_x0000_i1026" type="#_x0000_t75" style="width:25.65pt;height:20.65pt;mso-wrap-style:square;mso-position-horizontal-relative:page;mso-position-vertical-relative:page">
            <v:imagedata r:id="rId42" o:title=""/>
          </v:shape>
        </w:pict>
      </w:r>
      <w:r w:rsidRPr="0085474C">
        <w:rPr>
          <w:rFonts w:ascii="Times New Roman" w:eastAsia="宋体" w:hAnsi="Times New Roman" w:cs="Times New Roman"/>
          <w:bCs/>
          <w:kern w:val="0"/>
          <w:sz w:val="24"/>
          <w:szCs w:val="24"/>
        </w:rPr>
        <w:t>估计反应发生的可能性</w:t>
      </w:r>
    </w:p>
    <w:p w14:paraId="4D9C8BA5"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lastRenderedPageBreak/>
        <w:t>④</w:t>
      </w:r>
      <w:r w:rsidRPr="0085474C">
        <w:rPr>
          <w:rFonts w:ascii="Times New Roman" w:eastAsia="宋体" w:hAnsi="Times New Roman" w:cs="Times New Roman"/>
          <w:bCs/>
          <w:kern w:val="0"/>
          <w:sz w:val="24"/>
          <w:szCs w:val="24"/>
        </w:rPr>
        <w:t>熟悉</w:t>
      </w:r>
      <w:r w:rsidR="00000000">
        <w:rPr>
          <w:rFonts w:ascii="Times New Roman" w:eastAsia="宋体" w:hAnsi="Times New Roman" w:cs="Times New Roman"/>
          <w:position w:val="-12"/>
          <w:sz w:val="24"/>
          <w:szCs w:val="24"/>
        </w:rPr>
        <w:pict w14:anchorId="14849A19">
          <v:shape id="Object 3" o:spid="_x0000_i1027" type="#_x0000_t75" style="width:20.65pt;height:20.65pt;mso-wrap-style:square;mso-position-horizontal-relative:page;mso-position-vertical-relative:page">
            <v:imagedata r:id="rId43" o:title=""/>
          </v:shape>
        </w:pict>
      </w:r>
      <w:r w:rsidRPr="0085474C">
        <w:rPr>
          <w:rFonts w:ascii="Times New Roman" w:eastAsia="宋体" w:hAnsi="Times New Roman" w:cs="Times New Roman"/>
          <w:bCs/>
          <w:kern w:val="0"/>
          <w:sz w:val="24"/>
          <w:szCs w:val="24"/>
        </w:rPr>
        <w:t>、</w:t>
      </w:r>
      <w:r w:rsidR="00000000">
        <w:rPr>
          <w:rFonts w:ascii="Times New Roman" w:eastAsia="宋体" w:hAnsi="Times New Roman" w:cs="Times New Roman"/>
          <w:position w:val="-14"/>
          <w:sz w:val="24"/>
          <w:szCs w:val="24"/>
        </w:rPr>
        <w:pict w14:anchorId="3E185CB1">
          <v:shape id="对象 4" o:spid="_x0000_i1028" type="#_x0000_t75" style="width:20.65pt;height:20.65pt;mso-wrap-style:square;mso-position-horizontal-relative:page;mso-position-vertical-relative:page">
            <v:imagedata r:id="rId44" o:title=""/>
          </v:shape>
        </w:pict>
      </w:r>
      <w:r w:rsidRPr="0085474C">
        <w:rPr>
          <w:rFonts w:ascii="Times New Roman" w:eastAsia="宋体" w:hAnsi="Times New Roman" w:cs="Times New Roman"/>
          <w:bCs/>
          <w:kern w:val="0"/>
          <w:sz w:val="24"/>
          <w:szCs w:val="24"/>
        </w:rPr>
        <w:t>、</w:t>
      </w:r>
      <w:r w:rsidR="00000000">
        <w:rPr>
          <w:rFonts w:ascii="Times New Roman" w:eastAsia="宋体" w:hAnsi="Times New Roman" w:cs="Times New Roman"/>
          <w:position w:val="-12"/>
          <w:sz w:val="24"/>
          <w:szCs w:val="24"/>
        </w:rPr>
        <w:pict w14:anchorId="47A8C133">
          <v:shape id="对象 5" o:spid="_x0000_i1029" type="#_x0000_t75" style="width:20.65pt;height:20.65pt;mso-wrap-style:square;mso-position-horizontal-relative:page;mso-position-vertical-relative:page">
            <v:imagedata r:id="rId45" o:title=""/>
          </v:shape>
        </w:pict>
      </w:r>
      <w:r w:rsidRPr="0085474C">
        <w:rPr>
          <w:rFonts w:ascii="Times New Roman" w:eastAsia="宋体" w:hAnsi="Times New Roman" w:cs="Times New Roman"/>
          <w:bCs/>
          <w:kern w:val="0"/>
          <w:sz w:val="24"/>
          <w:szCs w:val="24"/>
        </w:rPr>
        <w:t>和</w:t>
      </w:r>
      <w:r w:rsidR="00000000">
        <w:rPr>
          <w:rFonts w:ascii="Times New Roman" w:eastAsia="宋体" w:hAnsi="Times New Roman" w:cs="Times New Roman"/>
          <w:position w:val="-12"/>
          <w:sz w:val="24"/>
          <w:szCs w:val="24"/>
        </w:rPr>
        <w:pict w14:anchorId="3008A5A2">
          <v:shape id="对象 6" o:spid="_x0000_i1030" type="#_x0000_t75" style="width:20.65pt;height:20.65pt;mso-wrap-style:square;mso-position-horizontal-relative:page;mso-position-vertical-relative:page">
            <v:imagedata r:id="rId46" o:title=""/>
          </v:shape>
        </w:pict>
      </w:r>
      <w:r w:rsidRPr="0085474C">
        <w:rPr>
          <w:rFonts w:ascii="Times New Roman" w:eastAsia="宋体" w:hAnsi="Times New Roman" w:cs="Times New Roman"/>
          <w:bCs/>
          <w:kern w:val="0"/>
          <w:sz w:val="24"/>
          <w:szCs w:val="24"/>
        </w:rPr>
        <w:t>间的关系。</w:t>
      </w:r>
    </w:p>
    <w:p w14:paraId="09A62092"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⑤</w:t>
      </w:r>
      <w:r w:rsidRPr="0085474C">
        <w:rPr>
          <w:rFonts w:ascii="Times New Roman" w:eastAsia="宋体" w:hAnsi="Times New Roman" w:cs="Times New Roman"/>
          <w:bCs/>
          <w:kern w:val="0"/>
          <w:sz w:val="24"/>
          <w:szCs w:val="24"/>
        </w:rPr>
        <w:t>了解平衡常数与温度、压力的关系和惰性气体对平衡组成的影响，并掌握其计算方法。</w:t>
      </w:r>
    </w:p>
    <w:p w14:paraId="453C3C88"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⑥</w:t>
      </w:r>
      <w:r w:rsidRPr="0085474C">
        <w:rPr>
          <w:rFonts w:ascii="Times New Roman" w:eastAsia="宋体" w:hAnsi="Times New Roman" w:cs="Times New Roman"/>
          <w:bCs/>
          <w:kern w:val="0"/>
          <w:sz w:val="24"/>
          <w:szCs w:val="24"/>
        </w:rPr>
        <w:t>熟练掌握用热力学方法计算化学反应标准平衡常数。掌握反应物平衡转化率及体系平衡组成的计算。</w:t>
      </w:r>
    </w:p>
    <w:p w14:paraId="32EB0FCA"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第七章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电化学</w:t>
      </w:r>
    </w:p>
    <w:p w14:paraId="7EC97ED0"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①</w:t>
      </w:r>
      <w:r w:rsidRPr="0085474C">
        <w:rPr>
          <w:rFonts w:ascii="Times New Roman" w:eastAsia="宋体" w:hAnsi="Times New Roman" w:cs="Times New Roman"/>
          <w:sz w:val="24"/>
          <w:szCs w:val="24"/>
        </w:rPr>
        <w:t>掌握法拉第定律</w:t>
      </w:r>
    </w:p>
    <w:p w14:paraId="1312E7E1"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②</w:t>
      </w:r>
      <w:r w:rsidRPr="0085474C">
        <w:rPr>
          <w:rFonts w:ascii="Times New Roman" w:eastAsia="宋体" w:hAnsi="Times New Roman" w:cs="Times New Roman"/>
          <w:sz w:val="24"/>
          <w:szCs w:val="24"/>
        </w:rPr>
        <w:t>掌握电导、电导率、摩尔电导率、极限摩尔电导率等概念</w:t>
      </w:r>
    </w:p>
    <w:p w14:paraId="57564F05"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③</w:t>
      </w:r>
      <w:r w:rsidRPr="0085474C">
        <w:rPr>
          <w:rFonts w:ascii="Times New Roman" w:eastAsia="宋体" w:hAnsi="Times New Roman" w:cs="Times New Roman"/>
          <w:bCs/>
          <w:kern w:val="0"/>
          <w:sz w:val="24"/>
          <w:szCs w:val="24"/>
        </w:rPr>
        <w:t>掌握</w:t>
      </w:r>
      <w:r w:rsidRPr="0085474C">
        <w:rPr>
          <w:rFonts w:ascii="Times New Roman" w:eastAsia="宋体" w:hAnsi="Times New Roman" w:cs="Times New Roman"/>
          <w:sz w:val="24"/>
          <w:szCs w:val="24"/>
        </w:rPr>
        <w:t>离子平均活度及平均活度系数定义及其计算</w:t>
      </w:r>
    </w:p>
    <w:p w14:paraId="25225A12"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④</w:t>
      </w:r>
      <w:r w:rsidRPr="0085474C">
        <w:rPr>
          <w:rFonts w:ascii="Times New Roman" w:eastAsia="宋体" w:hAnsi="Times New Roman" w:cs="Times New Roman"/>
          <w:bCs/>
          <w:kern w:val="0"/>
          <w:sz w:val="24"/>
          <w:szCs w:val="24"/>
        </w:rPr>
        <w:t>了解</w:t>
      </w:r>
      <w:r w:rsidRPr="0085474C">
        <w:rPr>
          <w:rFonts w:ascii="Times New Roman" w:eastAsia="宋体" w:hAnsi="Times New Roman" w:cs="Times New Roman"/>
          <w:sz w:val="24"/>
          <w:szCs w:val="24"/>
        </w:rPr>
        <w:t>离子迁移数的定义和计算</w:t>
      </w:r>
    </w:p>
    <w:p w14:paraId="31E6238E"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⑤</w:t>
      </w:r>
      <w:r w:rsidRPr="0085474C">
        <w:rPr>
          <w:rFonts w:ascii="Times New Roman" w:eastAsia="宋体" w:hAnsi="Times New Roman" w:cs="Times New Roman"/>
          <w:sz w:val="24"/>
          <w:szCs w:val="24"/>
        </w:rPr>
        <w:t>掌握电池电动势与电池反应的</w:t>
      </w:r>
      <w:proofErr w:type="spellStart"/>
      <w:r w:rsidRPr="0085474C">
        <w:rPr>
          <w:rFonts w:ascii="Times New Roman" w:eastAsia="宋体" w:hAnsi="Times New Roman" w:cs="Times New Roman"/>
          <w:sz w:val="24"/>
          <w:szCs w:val="24"/>
        </w:rPr>
        <w:t>Δ</w:t>
      </w:r>
      <w:r w:rsidRPr="0085474C">
        <w:rPr>
          <w:rFonts w:ascii="Times New Roman" w:eastAsia="宋体" w:hAnsi="Times New Roman" w:cs="Times New Roman"/>
          <w:sz w:val="24"/>
          <w:szCs w:val="24"/>
          <w:vertAlign w:val="subscript"/>
        </w:rPr>
        <w:t>r</w:t>
      </w:r>
      <w:r w:rsidRPr="0085474C">
        <w:rPr>
          <w:rFonts w:ascii="Times New Roman" w:eastAsia="宋体" w:hAnsi="Times New Roman" w:cs="Times New Roman"/>
          <w:i/>
          <w:sz w:val="24"/>
          <w:szCs w:val="24"/>
        </w:rPr>
        <w:t>G</w:t>
      </w:r>
      <w:r w:rsidRPr="0085474C">
        <w:rPr>
          <w:rFonts w:ascii="Times New Roman" w:eastAsia="宋体" w:hAnsi="Times New Roman" w:cs="Times New Roman"/>
          <w:sz w:val="24"/>
          <w:szCs w:val="24"/>
          <w:vertAlign w:val="subscript"/>
        </w:rPr>
        <w:t>m</w:t>
      </w:r>
      <w:proofErr w:type="spellEnd"/>
      <w:r w:rsidRPr="0085474C">
        <w:rPr>
          <w:rFonts w:ascii="Times New Roman" w:eastAsia="宋体" w:hAnsi="Times New Roman" w:cs="Times New Roman"/>
          <w:position w:val="-4"/>
          <w:sz w:val="24"/>
          <w:szCs w:val="24"/>
        </w:rPr>
        <w:t>、</w:t>
      </w:r>
      <w:proofErr w:type="spellStart"/>
      <w:r w:rsidRPr="0085474C">
        <w:rPr>
          <w:rFonts w:ascii="Times New Roman" w:eastAsia="宋体" w:hAnsi="Times New Roman" w:cs="Times New Roman"/>
          <w:sz w:val="24"/>
          <w:szCs w:val="24"/>
        </w:rPr>
        <w:t>Δ</w:t>
      </w:r>
      <w:r w:rsidRPr="0085474C">
        <w:rPr>
          <w:rFonts w:ascii="Times New Roman" w:eastAsia="宋体" w:hAnsi="Times New Roman" w:cs="Times New Roman"/>
          <w:sz w:val="24"/>
          <w:szCs w:val="24"/>
          <w:vertAlign w:val="subscript"/>
        </w:rPr>
        <w:t>r</w:t>
      </w:r>
      <w:r w:rsidRPr="0085474C">
        <w:rPr>
          <w:rFonts w:ascii="Times New Roman" w:eastAsia="宋体" w:hAnsi="Times New Roman" w:cs="Times New Roman"/>
          <w:i/>
          <w:sz w:val="24"/>
          <w:szCs w:val="24"/>
        </w:rPr>
        <w:t>H</w:t>
      </w:r>
      <w:r w:rsidRPr="0085474C">
        <w:rPr>
          <w:rFonts w:ascii="Times New Roman" w:eastAsia="宋体" w:hAnsi="Times New Roman" w:cs="Times New Roman"/>
          <w:sz w:val="24"/>
          <w:szCs w:val="24"/>
          <w:vertAlign w:val="subscript"/>
        </w:rPr>
        <w:t>m</w:t>
      </w:r>
      <w:proofErr w:type="spellEnd"/>
      <w:r w:rsidRPr="0085474C">
        <w:rPr>
          <w:rFonts w:ascii="Times New Roman" w:eastAsia="宋体" w:hAnsi="Times New Roman" w:cs="Times New Roman"/>
          <w:position w:val="-4"/>
          <w:sz w:val="24"/>
          <w:szCs w:val="24"/>
        </w:rPr>
        <w:t>、</w:t>
      </w:r>
      <w:proofErr w:type="spellStart"/>
      <w:r w:rsidRPr="0085474C">
        <w:rPr>
          <w:rFonts w:ascii="Times New Roman" w:eastAsia="宋体" w:hAnsi="Times New Roman" w:cs="Times New Roman"/>
          <w:sz w:val="24"/>
          <w:szCs w:val="24"/>
        </w:rPr>
        <w:t>Δ</w:t>
      </w:r>
      <w:r w:rsidRPr="0085474C">
        <w:rPr>
          <w:rFonts w:ascii="Times New Roman" w:eastAsia="宋体" w:hAnsi="Times New Roman" w:cs="Times New Roman"/>
          <w:sz w:val="24"/>
          <w:szCs w:val="24"/>
          <w:vertAlign w:val="subscript"/>
        </w:rPr>
        <w:t>r</w:t>
      </w:r>
      <w:r w:rsidRPr="0085474C">
        <w:rPr>
          <w:rFonts w:ascii="Times New Roman" w:eastAsia="宋体" w:hAnsi="Times New Roman" w:cs="Times New Roman"/>
          <w:i/>
          <w:sz w:val="24"/>
          <w:szCs w:val="24"/>
        </w:rPr>
        <w:t>S</w:t>
      </w:r>
      <w:r w:rsidRPr="0085474C">
        <w:rPr>
          <w:rFonts w:ascii="Times New Roman" w:eastAsia="宋体" w:hAnsi="Times New Roman" w:cs="Times New Roman"/>
          <w:sz w:val="24"/>
          <w:szCs w:val="24"/>
          <w:vertAlign w:val="subscript"/>
        </w:rPr>
        <w:t>m</w:t>
      </w:r>
      <w:proofErr w:type="spellEnd"/>
      <w:r w:rsidRPr="0085474C">
        <w:rPr>
          <w:rFonts w:ascii="Times New Roman" w:eastAsia="宋体" w:hAnsi="Times New Roman" w:cs="Times New Roman"/>
          <w:sz w:val="24"/>
          <w:szCs w:val="24"/>
        </w:rPr>
        <w:t>及</w:t>
      </w:r>
      <w:proofErr w:type="spellStart"/>
      <w:r w:rsidRPr="0085474C">
        <w:rPr>
          <w:rFonts w:ascii="Times New Roman" w:eastAsia="宋体" w:hAnsi="Times New Roman" w:cs="Times New Roman"/>
          <w:i/>
          <w:sz w:val="24"/>
          <w:szCs w:val="24"/>
        </w:rPr>
        <w:t>Q</w:t>
      </w:r>
      <w:r w:rsidRPr="0085474C">
        <w:rPr>
          <w:rFonts w:ascii="Times New Roman" w:eastAsia="宋体" w:hAnsi="Times New Roman" w:cs="Times New Roman"/>
          <w:sz w:val="24"/>
          <w:szCs w:val="24"/>
          <w:vertAlign w:val="subscript"/>
        </w:rPr>
        <w:t>r,m</w:t>
      </w:r>
      <w:proofErr w:type="spellEnd"/>
      <w:r w:rsidRPr="0085474C">
        <w:rPr>
          <w:rFonts w:ascii="Times New Roman" w:eastAsia="宋体" w:hAnsi="Times New Roman" w:cs="Times New Roman"/>
          <w:sz w:val="24"/>
          <w:szCs w:val="24"/>
        </w:rPr>
        <w:t>的关系及其计算</w:t>
      </w:r>
    </w:p>
    <w:p w14:paraId="64EECF35"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85474C">
        <w:rPr>
          <w:rFonts w:ascii="宋体" w:eastAsia="宋体" w:hAnsi="宋体" w:cs="宋体" w:hint="eastAsia"/>
          <w:bCs/>
          <w:kern w:val="0"/>
          <w:sz w:val="24"/>
          <w:szCs w:val="24"/>
        </w:rPr>
        <w:t>⑥</w:t>
      </w:r>
      <w:r w:rsidRPr="0085474C">
        <w:rPr>
          <w:rFonts w:ascii="Times New Roman" w:eastAsia="宋体" w:hAnsi="Times New Roman" w:cs="Times New Roman"/>
          <w:sz w:val="24"/>
          <w:szCs w:val="24"/>
        </w:rPr>
        <w:t>掌握能斯特方程相关计算</w:t>
      </w:r>
    </w:p>
    <w:p w14:paraId="38900F2D"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Times New Roman" w:eastAsia="宋体" w:hAnsi="Times New Roman" w:cs="Times New Roman"/>
          <w:bCs/>
          <w:kern w:val="0"/>
          <w:sz w:val="24"/>
          <w:szCs w:val="24"/>
        </w:rPr>
        <w:t>第八章</w:t>
      </w:r>
      <w:r w:rsidRPr="0085474C">
        <w:rPr>
          <w:rFonts w:ascii="Times New Roman" w:eastAsia="宋体" w:hAnsi="Times New Roman" w:cs="Times New Roman"/>
          <w:bCs/>
          <w:kern w:val="0"/>
          <w:sz w:val="24"/>
          <w:szCs w:val="24"/>
        </w:rPr>
        <w:t xml:space="preserve"> </w:t>
      </w:r>
      <w:r w:rsidRPr="0085474C">
        <w:rPr>
          <w:rFonts w:ascii="Times New Roman" w:eastAsia="宋体" w:hAnsi="Times New Roman" w:cs="Times New Roman"/>
          <w:bCs/>
          <w:kern w:val="0"/>
          <w:sz w:val="24"/>
          <w:szCs w:val="24"/>
        </w:rPr>
        <w:t>化学动力学基础</w:t>
      </w:r>
    </w:p>
    <w:p w14:paraId="09A312E8"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①</w:t>
      </w:r>
      <w:r w:rsidRPr="0085474C">
        <w:rPr>
          <w:rFonts w:ascii="Times New Roman" w:eastAsia="宋体" w:hAnsi="Times New Roman" w:cs="Times New Roman"/>
          <w:sz w:val="24"/>
          <w:szCs w:val="24"/>
        </w:rPr>
        <w:t>掌握反应速率的表示法及基元反应、反应级数、反应分子数等基本概念</w:t>
      </w:r>
    </w:p>
    <w:p w14:paraId="501914CA"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②</w:t>
      </w:r>
      <w:r w:rsidRPr="0085474C">
        <w:rPr>
          <w:rFonts w:ascii="Times New Roman" w:eastAsia="宋体" w:hAnsi="Times New Roman" w:cs="Times New Roman"/>
          <w:sz w:val="24"/>
          <w:szCs w:val="24"/>
        </w:rPr>
        <w:t>重点掌握零级、一级、二级反应的速率公式的特点，能从实验数据求反应级数和速率常数</w:t>
      </w:r>
    </w:p>
    <w:p w14:paraId="6D3F604C"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③</w:t>
      </w:r>
      <w:r w:rsidRPr="0085474C">
        <w:rPr>
          <w:rFonts w:ascii="Times New Roman" w:eastAsia="宋体" w:hAnsi="Times New Roman" w:cs="Times New Roman"/>
          <w:sz w:val="24"/>
          <w:szCs w:val="24"/>
        </w:rPr>
        <w:t>理解阿累尼乌斯公式的意义并会应用</w:t>
      </w:r>
    </w:p>
    <w:p w14:paraId="335E386C"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第九章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界面现象</w:t>
      </w:r>
    </w:p>
    <w:p w14:paraId="40A767F8"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①</w:t>
      </w:r>
      <w:r w:rsidRPr="0085474C">
        <w:rPr>
          <w:rFonts w:ascii="Times New Roman" w:eastAsia="宋体" w:hAnsi="Times New Roman" w:cs="Times New Roman"/>
          <w:bCs/>
          <w:kern w:val="0"/>
          <w:sz w:val="24"/>
          <w:szCs w:val="24"/>
        </w:rPr>
        <w:t>掌握</w:t>
      </w:r>
      <w:r w:rsidRPr="0085474C">
        <w:rPr>
          <w:rFonts w:ascii="Times New Roman" w:eastAsia="宋体" w:hAnsi="Times New Roman" w:cs="Times New Roman"/>
          <w:sz w:val="24"/>
          <w:szCs w:val="24"/>
        </w:rPr>
        <w:t>表面张力和表面吉布斯函数的概念</w:t>
      </w:r>
    </w:p>
    <w:p w14:paraId="714C5BAC"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②</w:t>
      </w:r>
      <w:r w:rsidRPr="0085474C">
        <w:rPr>
          <w:rFonts w:ascii="Times New Roman" w:eastAsia="宋体" w:hAnsi="Times New Roman" w:cs="Times New Roman"/>
          <w:sz w:val="24"/>
          <w:szCs w:val="24"/>
        </w:rPr>
        <w:t>了解弯曲液面对热力学性质的影响</w:t>
      </w:r>
    </w:p>
    <w:p w14:paraId="1965D9BC"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③</w:t>
      </w:r>
      <w:r w:rsidRPr="0085474C">
        <w:rPr>
          <w:rFonts w:ascii="Times New Roman" w:eastAsia="宋体" w:hAnsi="Times New Roman" w:cs="Times New Roman"/>
          <w:sz w:val="24"/>
          <w:szCs w:val="24"/>
        </w:rPr>
        <w:t>了解拉普拉斯方程及开尔文公式的应用</w:t>
      </w:r>
    </w:p>
    <w:p w14:paraId="735ECBB3"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④</w:t>
      </w:r>
      <w:r w:rsidRPr="0085474C">
        <w:rPr>
          <w:rFonts w:ascii="Times New Roman" w:eastAsia="宋体" w:hAnsi="Times New Roman" w:cs="Times New Roman"/>
          <w:sz w:val="24"/>
          <w:szCs w:val="24"/>
        </w:rPr>
        <w:t>了解物理吸附和化学吸附的含义及区别</w:t>
      </w:r>
    </w:p>
    <w:p w14:paraId="16B97A08"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⑤</w:t>
      </w:r>
      <w:r w:rsidRPr="0085474C">
        <w:rPr>
          <w:rFonts w:ascii="Times New Roman" w:eastAsia="宋体" w:hAnsi="Times New Roman" w:cs="Times New Roman"/>
          <w:sz w:val="24"/>
          <w:szCs w:val="24"/>
        </w:rPr>
        <w:t>了解郎格缪尔单分子层吸附理论及吸附等温式</w:t>
      </w:r>
    </w:p>
    <w:p w14:paraId="648B3CE0"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85474C">
        <w:rPr>
          <w:rFonts w:ascii="宋体" w:eastAsia="宋体" w:hAnsi="宋体" w:cs="宋体" w:hint="eastAsia"/>
          <w:bCs/>
          <w:kern w:val="0"/>
          <w:sz w:val="24"/>
          <w:szCs w:val="24"/>
        </w:rPr>
        <w:t>⑥</w:t>
      </w:r>
      <w:r w:rsidRPr="0085474C">
        <w:rPr>
          <w:rFonts w:ascii="Times New Roman" w:eastAsia="宋体" w:hAnsi="Times New Roman" w:cs="Times New Roman"/>
          <w:sz w:val="24"/>
          <w:szCs w:val="24"/>
        </w:rPr>
        <w:t>了解润湿的分类，润湿角和</w:t>
      </w:r>
      <w:proofErr w:type="gramStart"/>
      <w:r w:rsidRPr="0085474C">
        <w:rPr>
          <w:rFonts w:ascii="Times New Roman" w:eastAsia="宋体" w:hAnsi="Times New Roman" w:cs="Times New Roman"/>
          <w:sz w:val="24"/>
          <w:szCs w:val="24"/>
        </w:rPr>
        <w:t>扬氏</w:t>
      </w:r>
      <w:proofErr w:type="gramEnd"/>
      <w:r w:rsidRPr="0085474C">
        <w:rPr>
          <w:rFonts w:ascii="Times New Roman" w:eastAsia="宋体" w:hAnsi="Times New Roman" w:cs="Times New Roman"/>
          <w:sz w:val="24"/>
          <w:szCs w:val="24"/>
        </w:rPr>
        <w:t>方程</w:t>
      </w:r>
    </w:p>
    <w:p w14:paraId="4CAB5183"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第十章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胶体</w:t>
      </w:r>
    </w:p>
    <w:p w14:paraId="6362FD42"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①</w:t>
      </w:r>
      <w:r w:rsidRPr="0085474C">
        <w:rPr>
          <w:rFonts w:ascii="Times New Roman" w:eastAsia="宋体" w:hAnsi="Times New Roman" w:cs="Times New Roman"/>
          <w:sz w:val="24"/>
          <w:szCs w:val="24"/>
        </w:rPr>
        <w:t>掌握分散系统的分类，胶体的含义</w:t>
      </w:r>
    </w:p>
    <w:p w14:paraId="679AB1AE"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②</w:t>
      </w:r>
      <w:r w:rsidRPr="0085474C">
        <w:rPr>
          <w:rFonts w:ascii="Times New Roman" w:eastAsia="宋体" w:hAnsi="Times New Roman" w:cs="Times New Roman"/>
          <w:sz w:val="24"/>
          <w:szCs w:val="24"/>
        </w:rPr>
        <w:t>了解胶体系统光学特性、动力学特性</w:t>
      </w:r>
    </w:p>
    <w:p w14:paraId="349F3ED9"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③</w:t>
      </w:r>
      <w:r w:rsidRPr="0085474C">
        <w:rPr>
          <w:rFonts w:ascii="Times New Roman" w:eastAsia="宋体" w:hAnsi="Times New Roman" w:cs="Times New Roman"/>
          <w:sz w:val="24"/>
          <w:szCs w:val="24"/>
        </w:rPr>
        <w:t>了解胶体系统电学特性</w:t>
      </w:r>
    </w:p>
    <w:p w14:paraId="5C3ACE1E"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Cs/>
          <w:kern w:val="0"/>
          <w:sz w:val="24"/>
          <w:szCs w:val="24"/>
        </w:rPr>
      </w:pPr>
      <w:r w:rsidRPr="0085474C">
        <w:rPr>
          <w:rFonts w:ascii="宋体" w:eastAsia="宋体" w:hAnsi="宋体" w:cs="宋体" w:hint="eastAsia"/>
          <w:bCs/>
          <w:kern w:val="0"/>
          <w:sz w:val="24"/>
          <w:szCs w:val="24"/>
        </w:rPr>
        <w:t>④</w:t>
      </w:r>
      <w:r w:rsidRPr="0085474C">
        <w:rPr>
          <w:rFonts w:ascii="Times New Roman" w:eastAsia="宋体" w:hAnsi="Times New Roman" w:cs="Times New Roman"/>
          <w:bCs/>
          <w:kern w:val="0"/>
          <w:sz w:val="24"/>
          <w:szCs w:val="24"/>
        </w:rPr>
        <w:t>能</w:t>
      </w:r>
      <w:r w:rsidRPr="0085474C">
        <w:rPr>
          <w:rFonts w:ascii="Times New Roman" w:eastAsia="宋体" w:hAnsi="Times New Roman" w:cs="Times New Roman"/>
          <w:sz w:val="24"/>
          <w:szCs w:val="24"/>
        </w:rPr>
        <w:t>根据扩散双电层理论书写胶团结构</w:t>
      </w:r>
    </w:p>
    <w:p w14:paraId="57023315"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b/>
          <w:sz w:val="24"/>
          <w:szCs w:val="24"/>
        </w:rPr>
      </w:pPr>
      <w:r w:rsidRPr="0085474C">
        <w:rPr>
          <w:rFonts w:ascii="宋体" w:eastAsia="宋体" w:hAnsi="宋体" w:cs="宋体" w:hint="eastAsia"/>
          <w:bCs/>
          <w:kern w:val="0"/>
          <w:sz w:val="24"/>
          <w:szCs w:val="24"/>
        </w:rPr>
        <w:t>⑤</w:t>
      </w:r>
      <w:r w:rsidRPr="0085474C">
        <w:rPr>
          <w:rFonts w:ascii="Times New Roman" w:eastAsia="宋体" w:hAnsi="Times New Roman" w:cs="Times New Roman"/>
          <w:bCs/>
          <w:kern w:val="0"/>
          <w:sz w:val="24"/>
          <w:szCs w:val="24"/>
        </w:rPr>
        <w:t>了</w:t>
      </w:r>
      <w:r w:rsidRPr="0085474C">
        <w:rPr>
          <w:rFonts w:ascii="Times New Roman" w:eastAsia="宋体" w:hAnsi="Times New Roman" w:cs="Times New Roman"/>
          <w:sz w:val="24"/>
          <w:szCs w:val="24"/>
        </w:rPr>
        <w:t>解胶体稳定与破坏的因素</w:t>
      </w:r>
    </w:p>
    <w:p w14:paraId="0A6E92D6" w14:textId="77777777" w:rsidR="0085474C" w:rsidRPr="0085474C" w:rsidRDefault="0085474C" w:rsidP="0085474C">
      <w:pPr>
        <w:spacing w:beforeLines="50" w:before="156" w:afterLines="50" w:after="156" w:line="440" w:lineRule="exact"/>
        <w:ind w:firstLineChars="200" w:firstLine="560"/>
        <w:rPr>
          <w:rFonts w:ascii="Times New Roman" w:eastAsia="宋体" w:hAnsi="Times New Roman" w:cs="Times New Roman"/>
          <w:sz w:val="24"/>
          <w:szCs w:val="24"/>
        </w:rPr>
      </w:pPr>
      <w:r w:rsidRPr="0085474C">
        <w:rPr>
          <w:rFonts w:ascii="Times New Roman" w:eastAsia="黑体" w:hAnsi="Times New Roman" w:cs="Times New Roman"/>
          <w:sz w:val="28"/>
          <w:szCs w:val="28"/>
        </w:rPr>
        <w:t>六、使用教材、相关推荐书目及课程资源</w:t>
      </w:r>
    </w:p>
    <w:p w14:paraId="4F03C5ED" w14:textId="77777777" w:rsidR="0085474C" w:rsidRPr="0085474C" w:rsidRDefault="0085474C" w:rsidP="0085474C">
      <w:pPr>
        <w:spacing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lastRenderedPageBreak/>
        <w:t>（一）使用教材</w:t>
      </w:r>
    </w:p>
    <w:p w14:paraId="5ECCF90D" w14:textId="77777777" w:rsidR="0085474C" w:rsidRPr="0085474C" w:rsidRDefault="0085474C" w:rsidP="0085474C">
      <w:pPr>
        <w:autoSpaceDE w:val="0"/>
        <w:autoSpaceDN w:val="0"/>
        <w:adjustRightInd w:val="0"/>
        <w:snapToGrid w:val="0"/>
        <w:spacing w:line="500" w:lineRule="exact"/>
        <w:ind w:firstLineChars="200" w:firstLine="480"/>
        <w:rPr>
          <w:rFonts w:ascii="Times New Roman" w:eastAsia="宋体" w:hAnsi="Times New Roman" w:cs="Times New Roman"/>
          <w:color w:val="000000"/>
          <w:kern w:val="0"/>
          <w:sz w:val="24"/>
          <w:szCs w:val="24"/>
        </w:rPr>
      </w:pPr>
      <w:r w:rsidRPr="0085474C">
        <w:rPr>
          <w:rFonts w:ascii="Times New Roman" w:eastAsia="宋体" w:hAnsi="Times New Roman" w:cs="Times New Roman"/>
          <w:color w:val="000000"/>
          <w:kern w:val="0"/>
          <w:sz w:val="24"/>
          <w:szCs w:val="24"/>
        </w:rPr>
        <w:t>《物理化学》张雄飞等，华中科技大学出版社，</w:t>
      </w:r>
      <w:r w:rsidRPr="0085474C">
        <w:rPr>
          <w:rFonts w:ascii="Times New Roman" w:eastAsia="宋体" w:hAnsi="Times New Roman" w:cs="Times New Roman"/>
          <w:color w:val="000000"/>
          <w:kern w:val="0"/>
          <w:sz w:val="24"/>
          <w:szCs w:val="24"/>
        </w:rPr>
        <w:t>2012</w:t>
      </w:r>
      <w:r w:rsidRPr="0085474C">
        <w:rPr>
          <w:rFonts w:ascii="Times New Roman" w:eastAsia="宋体" w:hAnsi="Times New Roman" w:cs="Times New Roman"/>
          <w:color w:val="000000"/>
          <w:kern w:val="0"/>
          <w:sz w:val="24"/>
          <w:szCs w:val="24"/>
        </w:rPr>
        <w:t>年</w:t>
      </w:r>
    </w:p>
    <w:p w14:paraId="787B4D66" w14:textId="77777777" w:rsidR="0085474C" w:rsidRPr="0085474C" w:rsidRDefault="0085474C" w:rsidP="0085474C">
      <w:pPr>
        <w:spacing w:line="440" w:lineRule="exact"/>
        <w:ind w:firstLineChars="200" w:firstLine="560"/>
        <w:rPr>
          <w:rFonts w:ascii="Times New Roman" w:eastAsia="宋体" w:hAnsi="Times New Roman" w:cs="Times New Roman"/>
          <w:sz w:val="24"/>
          <w:szCs w:val="24"/>
        </w:rPr>
      </w:pPr>
      <w:r w:rsidRPr="0085474C">
        <w:rPr>
          <w:rFonts w:ascii="Times New Roman" w:eastAsia="黑体" w:hAnsi="Times New Roman" w:cs="Times New Roman"/>
          <w:sz w:val="28"/>
          <w:szCs w:val="28"/>
        </w:rPr>
        <w:t>（二）相关推荐书目</w:t>
      </w:r>
    </w:p>
    <w:p w14:paraId="2D552E8D"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color w:val="000000"/>
          <w:kern w:val="0"/>
          <w:sz w:val="24"/>
          <w:szCs w:val="24"/>
        </w:rPr>
      </w:pPr>
      <w:r w:rsidRPr="0085474C">
        <w:rPr>
          <w:rFonts w:ascii="Times New Roman" w:eastAsia="宋体" w:hAnsi="Times New Roman" w:cs="Times New Roman"/>
          <w:bCs/>
          <w:color w:val="000000"/>
          <w:kern w:val="0"/>
          <w:sz w:val="24"/>
          <w:szCs w:val="24"/>
        </w:rPr>
        <w:t>(1)</w:t>
      </w:r>
      <w:r w:rsidRPr="0085474C">
        <w:rPr>
          <w:rFonts w:ascii="Times New Roman" w:eastAsia="宋体" w:hAnsi="Times New Roman" w:cs="Times New Roman"/>
          <w:color w:val="000000"/>
          <w:kern w:val="0"/>
          <w:sz w:val="24"/>
          <w:szCs w:val="24"/>
        </w:rPr>
        <w:t>《物理化学》（第五版）南京大学</w:t>
      </w:r>
      <w:proofErr w:type="gramStart"/>
      <w:r w:rsidRPr="0085474C">
        <w:rPr>
          <w:rFonts w:ascii="Times New Roman" w:eastAsia="宋体" w:hAnsi="Times New Roman" w:cs="Times New Roman"/>
          <w:color w:val="000000"/>
          <w:kern w:val="0"/>
          <w:sz w:val="24"/>
          <w:szCs w:val="24"/>
        </w:rPr>
        <w:t>傅献彩</w:t>
      </w:r>
      <w:proofErr w:type="gramEnd"/>
      <w:r w:rsidRPr="0085474C">
        <w:rPr>
          <w:rFonts w:ascii="Times New Roman" w:eastAsia="宋体" w:hAnsi="Times New Roman" w:cs="Times New Roman"/>
          <w:color w:val="000000"/>
          <w:kern w:val="0"/>
          <w:sz w:val="24"/>
          <w:szCs w:val="24"/>
        </w:rPr>
        <w:t>等，高等教育出版社，</w:t>
      </w:r>
      <w:r w:rsidRPr="0085474C">
        <w:rPr>
          <w:rFonts w:ascii="Times New Roman" w:eastAsia="宋体" w:hAnsi="Times New Roman" w:cs="Times New Roman"/>
          <w:color w:val="000000"/>
          <w:kern w:val="0"/>
          <w:sz w:val="24"/>
          <w:szCs w:val="24"/>
        </w:rPr>
        <w:t>2008</w:t>
      </w:r>
      <w:r w:rsidRPr="0085474C">
        <w:rPr>
          <w:rFonts w:ascii="Times New Roman" w:eastAsia="宋体" w:hAnsi="Times New Roman" w:cs="Times New Roman"/>
          <w:color w:val="000000"/>
          <w:kern w:val="0"/>
          <w:sz w:val="24"/>
          <w:szCs w:val="24"/>
        </w:rPr>
        <w:t>年。</w:t>
      </w:r>
    </w:p>
    <w:p w14:paraId="37E7B1A9"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color w:val="000000"/>
          <w:kern w:val="0"/>
          <w:sz w:val="24"/>
          <w:szCs w:val="24"/>
        </w:rPr>
      </w:pPr>
      <w:r w:rsidRPr="0085474C">
        <w:rPr>
          <w:rFonts w:ascii="Times New Roman" w:eastAsia="宋体" w:hAnsi="Times New Roman" w:cs="Times New Roman"/>
          <w:bCs/>
          <w:color w:val="000000"/>
          <w:kern w:val="0"/>
          <w:sz w:val="24"/>
          <w:szCs w:val="24"/>
        </w:rPr>
        <w:t>(2)</w:t>
      </w:r>
      <w:r w:rsidRPr="0085474C">
        <w:rPr>
          <w:rFonts w:ascii="Times New Roman" w:eastAsia="宋体" w:hAnsi="Times New Roman" w:cs="Times New Roman"/>
          <w:color w:val="000000"/>
          <w:kern w:val="0"/>
          <w:sz w:val="24"/>
          <w:szCs w:val="24"/>
        </w:rPr>
        <w:t>《物理化学学习指导》孙德坤、沈文霞等，高等教育出版社，</w:t>
      </w:r>
      <w:r w:rsidRPr="0085474C">
        <w:rPr>
          <w:rFonts w:ascii="Times New Roman" w:eastAsia="宋体" w:hAnsi="Times New Roman" w:cs="Times New Roman"/>
          <w:color w:val="000000"/>
          <w:kern w:val="0"/>
          <w:sz w:val="24"/>
          <w:szCs w:val="24"/>
        </w:rPr>
        <w:t>2007</w:t>
      </w:r>
      <w:r w:rsidRPr="0085474C">
        <w:rPr>
          <w:rFonts w:ascii="Times New Roman" w:eastAsia="宋体" w:hAnsi="Times New Roman" w:cs="Times New Roman"/>
          <w:color w:val="000000"/>
          <w:kern w:val="0"/>
          <w:sz w:val="24"/>
          <w:szCs w:val="24"/>
        </w:rPr>
        <w:t>年。</w:t>
      </w:r>
      <w:r w:rsidRPr="0085474C">
        <w:rPr>
          <w:rFonts w:ascii="Times New Roman" w:eastAsia="宋体" w:hAnsi="Times New Roman" w:cs="Times New Roman"/>
          <w:color w:val="000000"/>
          <w:kern w:val="0"/>
          <w:sz w:val="24"/>
          <w:szCs w:val="24"/>
        </w:rPr>
        <w:t xml:space="preserve">   </w:t>
      </w:r>
    </w:p>
    <w:p w14:paraId="4E978373"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color w:val="000000"/>
          <w:kern w:val="0"/>
          <w:sz w:val="24"/>
          <w:szCs w:val="24"/>
        </w:rPr>
      </w:pPr>
      <w:r w:rsidRPr="0085474C">
        <w:rPr>
          <w:rFonts w:ascii="Times New Roman" w:eastAsia="宋体" w:hAnsi="Times New Roman" w:cs="Times New Roman"/>
          <w:bCs/>
          <w:color w:val="000000"/>
          <w:kern w:val="0"/>
          <w:sz w:val="24"/>
          <w:szCs w:val="24"/>
        </w:rPr>
        <w:t>(3)</w:t>
      </w:r>
      <w:r w:rsidRPr="0085474C">
        <w:rPr>
          <w:rFonts w:ascii="Times New Roman" w:eastAsia="宋体" w:hAnsi="Times New Roman" w:cs="Times New Roman"/>
          <w:color w:val="000000"/>
          <w:kern w:val="0"/>
          <w:sz w:val="24"/>
          <w:szCs w:val="24"/>
        </w:rPr>
        <w:t>《物理化学简明教程》印永嘉等，高等教育出版社，</w:t>
      </w:r>
      <w:r w:rsidRPr="0085474C">
        <w:rPr>
          <w:rFonts w:ascii="Times New Roman" w:eastAsia="宋体" w:hAnsi="Times New Roman" w:cs="Times New Roman"/>
          <w:color w:val="000000"/>
          <w:kern w:val="0"/>
          <w:sz w:val="24"/>
          <w:szCs w:val="24"/>
        </w:rPr>
        <w:t>1992</w:t>
      </w:r>
      <w:r w:rsidRPr="0085474C">
        <w:rPr>
          <w:rFonts w:ascii="Times New Roman" w:eastAsia="宋体" w:hAnsi="Times New Roman" w:cs="Times New Roman"/>
          <w:color w:val="000000"/>
          <w:kern w:val="0"/>
          <w:sz w:val="24"/>
          <w:szCs w:val="24"/>
        </w:rPr>
        <w:t>年。</w:t>
      </w:r>
      <w:r w:rsidRPr="0085474C">
        <w:rPr>
          <w:rFonts w:ascii="Times New Roman" w:eastAsia="宋体" w:hAnsi="Times New Roman" w:cs="Times New Roman"/>
          <w:color w:val="000000"/>
          <w:kern w:val="0"/>
          <w:sz w:val="24"/>
          <w:szCs w:val="24"/>
        </w:rPr>
        <w:t xml:space="preserve"> </w:t>
      </w:r>
    </w:p>
    <w:p w14:paraId="259AB190"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color w:val="000000"/>
          <w:kern w:val="0"/>
          <w:sz w:val="24"/>
          <w:szCs w:val="24"/>
        </w:rPr>
      </w:pPr>
      <w:r w:rsidRPr="0085474C">
        <w:rPr>
          <w:rFonts w:ascii="Times New Roman" w:eastAsia="宋体" w:hAnsi="Times New Roman" w:cs="Times New Roman"/>
          <w:bCs/>
          <w:color w:val="000000"/>
          <w:kern w:val="0"/>
          <w:sz w:val="24"/>
          <w:szCs w:val="24"/>
        </w:rPr>
        <w:t>(4)</w:t>
      </w:r>
      <w:r w:rsidRPr="0085474C">
        <w:rPr>
          <w:rFonts w:ascii="Times New Roman" w:eastAsia="宋体" w:hAnsi="Times New Roman" w:cs="Times New Roman"/>
          <w:color w:val="000000"/>
          <w:kern w:val="0"/>
          <w:sz w:val="24"/>
          <w:szCs w:val="24"/>
        </w:rPr>
        <w:t>《物理化学》王正烈等，高等教育出版，</w:t>
      </w:r>
      <w:r w:rsidRPr="0085474C">
        <w:rPr>
          <w:rFonts w:ascii="Times New Roman" w:eastAsia="宋体" w:hAnsi="Times New Roman" w:cs="Times New Roman"/>
          <w:color w:val="000000"/>
          <w:kern w:val="0"/>
          <w:sz w:val="24"/>
          <w:szCs w:val="24"/>
        </w:rPr>
        <w:t>2003</w:t>
      </w:r>
      <w:r w:rsidRPr="0085474C">
        <w:rPr>
          <w:rFonts w:ascii="Times New Roman" w:eastAsia="宋体" w:hAnsi="Times New Roman" w:cs="Times New Roman"/>
          <w:color w:val="000000"/>
          <w:kern w:val="0"/>
          <w:sz w:val="24"/>
          <w:szCs w:val="24"/>
        </w:rPr>
        <w:t>年。</w:t>
      </w:r>
    </w:p>
    <w:p w14:paraId="3A9AB289" w14:textId="77777777" w:rsidR="0085474C" w:rsidRPr="0085474C" w:rsidRDefault="0085474C" w:rsidP="0085474C">
      <w:pPr>
        <w:autoSpaceDE w:val="0"/>
        <w:autoSpaceDN w:val="0"/>
        <w:adjustRightInd w:val="0"/>
        <w:snapToGrid w:val="0"/>
        <w:spacing w:line="440" w:lineRule="exact"/>
        <w:ind w:firstLineChars="200" w:firstLine="480"/>
        <w:rPr>
          <w:rFonts w:ascii="Times New Roman" w:eastAsia="宋体" w:hAnsi="Times New Roman" w:cs="Times New Roman"/>
          <w:color w:val="000000"/>
          <w:kern w:val="0"/>
          <w:sz w:val="24"/>
          <w:szCs w:val="24"/>
        </w:rPr>
      </w:pPr>
      <w:r w:rsidRPr="0085474C">
        <w:rPr>
          <w:rFonts w:ascii="Times New Roman" w:eastAsia="宋体" w:hAnsi="Times New Roman" w:cs="Times New Roman"/>
          <w:bCs/>
          <w:color w:val="000000"/>
          <w:kern w:val="0"/>
          <w:sz w:val="24"/>
          <w:szCs w:val="24"/>
        </w:rPr>
        <w:t>(5)</w:t>
      </w:r>
      <w:r w:rsidRPr="0085474C">
        <w:rPr>
          <w:rFonts w:ascii="Times New Roman" w:eastAsia="宋体" w:hAnsi="Times New Roman" w:cs="Times New Roman"/>
          <w:color w:val="000000"/>
          <w:kern w:val="0"/>
          <w:sz w:val="24"/>
          <w:szCs w:val="24"/>
        </w:rPr>
        <w:t>《物理化学》（第四版）胡英，高等教育出版社，</w:t>
      </w:r>
      <w:r w:rsidRPr="0085474C">
        <w:rPr>
          <w:rFonts w:ascii="Times New Roman" w:eastAsia="宋体" w:hAnsi="Times New Roman" w:cs="Times New Roman"/>
          <w:color w:val="000000"/>
          <w:kern w:val="0"/>
          <w:sz w:val="24"/>
          <w:szCs w:val="24"/>
        </w:rPr>
        <w:t>1999</w:t>
      </w:r>
      <w:r w:rsidRPr="0085474C">
        <w:rPr>
          <w:rFonts w:ascii="Times New Roman" w:eastAsia="宋体" w:hAnsi="Times New Roman" w:cs="Times New Roman"/>
          <w:color w:val="000000"/>
          <w:kern w:val="0"/>
          <w:sz w:val="24"/>
          <w:szCs w:val="24"/>
        </w:rPr>
        <w:t>年。</w:t>
      </w:r>
    </w:p>
    <w:p w14:paraId="5BC007B6" w14:textId="77777777" w:rsidR="0085474C" w:rsidRPr="0085474C" w:rsidRDefault="0085474C" w:rsidP="0085474C">
      <w:pPr>
        <w:spacing w:beforeLines="50" w:before="156" w:afterLines="50" w:after="156" w:line="440" w:lineRule="exact"/>
        <w:ind w:firstLineChars="200" w:firstLine="480"/>
        <w:rPr>
          <w:rFonts w:ascii="Times New Roman" w:eastAsia="宋体" w:hAnsi="Times New Roman" w:cs="Times New Roman"/>
          <w:color w:val="000000"/>
          <w:kern w:val="0"/>
          <w:sz w:val="24"/>
          <w:szCs w:val="24"/>
        </w:rPr>
      </w:pPr>
      <w:r w:rsidRPr="0085474C">
        <w:rPr>
          <w:rFonts w:ascii="Times New Roman" w:eastAsia="宋体" w:hAnsi="Times New Roman" w:cs="Times New Roman"/>
          <w:bCs/>
          <w:color w:val="000000"/>
          <w:kern w:val="0"/>
          <w:sz w:val="24"/>
          <w:szCs w:val="24"/>
        </w:rPr>
        <w:t>(6)</w:t>
      </w:r>
      <w:r w:rsidRPr="0085474C">
        <w:rPr>
          <w:rFonts w:ascii="Times New Roman" w:eastAsia="宋体" w:hAnsi="Times New Roman" w:cs="Times New Roman"/>
          <w:color w:val="000000"/>
          <w:kern w:val="0"/>
          <w:sz w:val="24"/>
          <w:szCs w:val="24"/>
        </w:rPr>
        <w:t>《物理化学学习及考研指导》沈文霞编著，科学出版社，</w:t>
      </w:r>
      <w:r w:rsidRPr="0085474C">
        <w:rPr>
          <w:rFonts w:ascii="Times New Roman" w:eastAsia="宋体" w:hAnsi="Times New Roman" w:cs="Times New Roman"/>
          <w:color w:val="000000"/>
          <w:kern w:val="0"/>
          <w:sz w:val="24"/>
          <w:szCs w:val="24"/>
        </w:rPr>
        <w:t>2007</w:t>
      </w:r>
      <w:r w:rsidRPr="0085474C">
        <w:rPr>
          <w:rFonts w:ascii="Times New Roman" w:eastAsia="宋体" w:hAnsi="Times New Roman" w:cs="Times New Roman"/>
          <w:color w:val="000000"/>
          <w:kern w:val="0"/>
          <w:sz w:val="24"/>
          <w:szCs w:val="24"/>
        </w:rPr>
        <w:t>年。</w:t>
      </w:r>
    </w:p>
    <w:p w14:paraId="70F4B811" w14:textId="77777777" w:rsidR="0085474C" w:rsidRPr="0085474C" w:rsidRDefault="0085474C" w:rsidP="0085474C">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（三）课程资源</w:t>
      </w:r>
    </w:p>
    <w:p w14:paraId="7746540A" w14:textId="77777777" w:rsidR="0085474C" w:rsidRPr="0085474C" w:rsidRDefault="0085474C" w:rsidP="0085474C">
      <w:pPr>
        <w:spacing w:line="440" w:lineRule="exact"/>
        <w:ind w:firstLineChars="200" w:firstLine="480"/>
        <w:rPr>
          <w:rFonts w:ascii="Times New Roman" w:eastAsia="宋体" w:hAnsi="Times New Roman" w:cs="Times New Roman"/>
          <w:color w:val="000000"/>
          <w:kern w:val="0"/>
          <w:sz w:val="24"/>
          <w:szCs w:val="24"/>
        </w:rPr>
      </w:pPr>
      <w:r w:rsidRPr="0085474C">
        <w:rPr>
          <w:rFonts w:ascii="Times New Roman" w:eastAsia="宋体" w:hAnsi="Times New Roman" w:cs="Times New Roman"/>
          <w:color w:val="000000"/>
          <w:kern w:val="0"/>
          <w:sz w:val="24"/>
          <w:szCs w:val="24"/>
        </w:rPr>
        <w:t>在学习通平台建立《物理化学》网络课程，上传了课程的</w:t>
      </w:r>
      <w:r w:rsidRPr="0085474C">
        <w:rPr>
          <w:rFonts w:ascii="Times New Roman" w:eastAsia="宋体" w:hAnsi="Times New Roman" w:cs="Times New Roman"/>
          <w:color w:val="000000"/>
          <w:kern w:val="0"/>
          <w:sz w:val="24"/>
          <w:szCs w:val="24"/>
        </w:rPr>
        <w:t>PPT</w:t>
      </w:r>
      <w:r w:rsidRPr="0085474C">
        <w:rPr>
          <w:rFonts w:ascii="Times New Roman" w:eastAsia="宋体" w:hAnsi="Times New Roman" w:cs="Times New Roman"/>
          <w:color w:val="000000"/>
          <w:kern w:val="0"/>
          <w:sz w:val="24"/>
          <w:szCs w:val="24"/>
        </w:rPr>
        <w:t>、相关视频资料和电子课本等资源。</w:t>
      </w:r>
    </w:p>
    <w:p w14:paraId="60130B2D" w14:textId="77777777" w:rsidR="0085474C" w:rsidRPr="0085474C" w:rsidRDefault="0085474C" w:rsidP="0085474C">
      <w:pPr>
        <w:spacing w:beforeLines="50" w:before="156" w:afterLines="50" w:after="156" w:line="440" w:lineRule="exact"/>
        <w:ind w:firstLineChars="200" w:firstLine="560"/>
        <w:rPr>
          <w:rFonts w:ascii="Times New Roman" w:eastAsia="黑体" w:hAnsi="Times New Roman" w:cs="Times New Roman"/>
          <w:sz w:val="28"/>
          <w:szCs w:val="28"/>
        </w:rPr>
      </w:pPr>
      <w:r w:rsidRPr="0085474C">
        <w:rPr>
          <w:rFonts w:ascii="Times New Roman" w:eastAsia="黑体" w:hAnsi="Times New Roman" w:cs="Times New Roman"/>
          <w:sz w:val="28"/>
          <w:szCs w:val="28"/>
        </w:rPr>
        <w:t>七、课程大纲制定依据</w:t>
      </w:r>
    </w:p>
    <w:p w14:paraId="55A0ADD0" w14:textId="77777777" w:rsidR="0085474C" w:rsidRPr="0085474C" w:rsidRDefault="0085474C" w:rsidP="0085474C">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本课程大纲依据</w:t>
      </w:r>
      <w:r w:rsidRPr="0085474C">
        <w:rPr>
          <w:rFonts w:ascii="Times New Roman" w:eastAsia="宋体" w:hAnsi="Times New Roman" w:cs="Times New Roman"/>
          <w:sz w:val="24"/>
          <w:szCs w:val="24"/>
        </w:rPr>
        <w:t>202</w:t>
      </w:r>
      <w:r w:rsidRPr="0085474C">
        <w:rPr>
          <w:rFonts w:ascii="Times New Roman" w:eastAsia="宋体" w:hAnsi="Times New Roman" w:cs="Times New Roman" w:hint="eastAsia"/>
          <w:sz w:val="24"/>
          <w:szCs w:val="24"/>
        </w:rPr>
        <w:t>3</w:t>
      </w:r>
      <w:r w:rsidRPr="0085474C">
        <w:rPr>
          <w:rFonts w:ascii="Times New Roman" w:eastAsia="宋体" w:hAnsi="Times New Roman" w:cs="Times New Roman"/>
          <w:sz w:val="24"/>
          <w:szCs w:val="24"/>
        </w:rPr>
        <w:t>年</w:t>
      </w:r>
      <w:r w:rsidRPr="0085474C">
        <w:rPr>
          <w:rFonts w:ascii="Times New Roman" w:eastAsia="宋体" w:hAnsi="Times New Roman" w:cs="Times New Roman" w:hint="eastAsia"/>
          <w:sz w:val="24"/>
          <w:szCs w:val="24"/>
        </w:rPr>
        <w:t>药物分析</w:t>
      </w:r>
      <w:r w:rsidRPr="0085474C">
        <w:rPr>
          <w:rFonts w:ascii="Times New Roman" w:eastAsia="宋体" w:hAnsi="Times New Roman" w:cs="Times New Roman"/>
          <w:sz w:val="24"/>
          <w:szCs w:val="24"/>
        </w:rPr>
        <w:t>专业人才培养方案制定。</w:t>
      </w:r>
    </w:p>
    <w:p w14:paraId="1038F70E" w14:textId="77777777" w:rsidR="0085474C" w:rsidRDefault="0085474C" w:rsidP="0085474C">
      <w:pPr>
        <w:spacing w:line="440" w:lineRule="exact"/>
        <w:ind w:firstLineChars="200" w:firstLine="480"/>
        <w:rPr>
          <w:rFonts w:ascii="宋体" w:eastAsia="宋体" w:hAnsi="宋体" w:cs="Times New Roman"/>
          <w:sz w:val="24"/>
          <w:szCs w:val="24"/>
        </w:rPr>
      </w:pPr>
    </w:p>
    <w:p w14:paraId="746A9C8A" w14:textId="77777777" w:rsidR="0085474C" w:rsidRDefault="0085474C" w:rsidP="0085474C">
      <w:pPr>
        <w:spacing w:line="440" w:lineRule="exact"/>
        <w:ind w:firstLineChars="200" w:firstLine="480"/>
        <w:rPr>
          <w:rFonts w:ascii="宋体" w:eastAsia="宋体" w:hAnsi="宋体" w:cs="Times New Roman"/>
          <w:sz w:val="24"/>
          <w:szCs w:val="24"/>
        </w:rPr>
      </w:pPr>
    </w:p>
    <w:p w14:paraId="39044CC6" w14:textId="77777777" w:rsidR="0085474C" w:rsidRDefault="0085474C" w:rsidP="0085474C">
      <w:pPr>
        <w:spacing w:line="440" w:lineRule="exact"/>
        <w:ind w:firstLineChars="200" w:firstLine="480"/>
        <w:rPr>
          <w:rFonts w:ascii="宋体" w:eastAsia="宋体" w:hAnsi="宋体" w:cs="Times New Roman"/>
          <w:sz w:val="24"/>
          <w:szCs w:val="24"/>
        </w:rPr>
      </w:pPr>
    </w:p>
    <w:p w14:paraId="75021E78" w14:textId="77777777" w:rsidR="0085474C" w:rsidRDefault="0085474C" w:rsidP="0085474C">
      <w:pPr>
        <w:spacing w:line="440" w:lineRule="exact"/>
        <w:ind w:firstLineChars="200" w:firstLine="480"/>
        <w:rPr>
          <w:rFonts w:ascii="宋体" w:eastAsia="宋体" w:hAnsi="宋体" w:cs="Times New Roman"/>
          <w:sz w:val="24"/>
          <w:szCs w:val="24"/>
        </w:rPr>
      </w:pPr>
    </w:p>
    <w:p w14:paraId="6D57D9ED" w14:textId="77777777" w:rsidR="0085474C" w:rsidRDefault="0085474C" w:rsidP="0085474C">
      <w:pPr>
        <w:spacing w:line="440" w:lineRule="exact"/>
        <w:ind w:firstLineChars="200" w:firstLine="480"/>
        <w:rPr>
          <w:rFonts w:ascii="宋体" w:eastAsia="宋体" w:hAnsi="宋体" w:cs="Times New Roman"/>
          <w:sz w:val="24"/>
          <w:szCs w:val="24"/>
        </w:rPr>
      </w:pPr>
    </w:p>
    <w:p w14:paraId="5E504E82" w14:textId="77777777" w:rsidR="0085474C" w:rsidRDefault="0085474C" w:rsidP="0085474C">
      <w:pPr>
        <w:spacing w:line="440" w:lineRule="exact"/>
        <w:ind w:firstLineChars="200" w:firstLine="480"/>
        <w:rPr>
          <w:rFonts w:ascii="宋体" w:eastAsia="宋体" w:hAnsi="宋体" w:cs="Times New Roman"/>
          <w:sz w:val="24"/>
          <w:szCs w:val="24"/>
        </w:rPr>
      </w:pPr>
    </w:p>
    <w:p w14:paraId="49E0C358" w14:textId="77777777" w:rsidR="0085474C" w:rsidRDefault="0085474C" w:rsidP="0085474C">
      <w:pPr>
        <w:spacing w:line="440" w:lineRule="exact"/>
        <w:ind w:firstLineChars="200" w:firstLine="480"/>
        <w:rPr>
          <w:rFonts w:ascii="宋体" w:eastAsia="宋体" w:hAnsi="宋体" w:cs="Times New Roman"/>
          <w:sz w:val="24"/>
          <w:szCs w:val="24"/>
        </w:rPr>
      </w:pPr>
    </w:p>
    <w:p w14:paraId="4EB2D2F2" w14:textId="77777777" w:rsidR="0085474C" w:rsidRDefault="0085474C" w:rsidP="0085474C">
      <w:pPr>
        <w:spacing w:line="440" w:lineRule="exact"/>
        <w:ind w:firstLineChars="200" w:firstLine="480"/>
        <w:rPr>
          <w:rFonts w:ascii="宋体" w:eastAsia="宋体" w:hAnsi="宋体" w:cs="Times New Roman"/>
          <w:sz w:val="24"/>
          <w:szCs w:val="24"/>
        </w:rPr>
      </w:pPr>
    </w:p>
    <w:p w14:paraId="3D536ECC" w14:textId="77777777" w:rsidR="0085474C" w:rsidRDefault="0085474C" w:rsidP="0085474C">
      <w:pPr>
        <w:spacing w:line="440" w:lineRule="exact"/>
        <w:ind w:firstLineChars="200" w:firstLine="480"/>
        <w:rPr>
          <w:rFonts w:ascii="宋体" w:eastAsia="宋体" w:hAnsi="宋体" w:cs="Times New Roman"/>
          <w:sz w:val="24"/>
          <w:szCs w:val="24"/>
        </w:rPr>
      </w:pPr>
    </w:p>
    <w:p w14:paraId="44CE5CA1" w14:textId="77777777" w:rsidR="00AB50FA" w:rsidRDefault="00AB50FA" w:rsidP="0085474C">
      <w:pPr>
        <w:spacing w:line="440" w:lineRule="exact"/>
        <w:ind w:firstLineChars="200" w:firstLine="480"/>
        <w:rPr>
          <w:rFonts w:ascii="宋体" w:eastAsia="宋体" w:hAnsi="宋体" w:cs="Times New Roman"/>
          <w:sz w:val="24"/>
          <w:szCs w:val="24"/>
        </w:rPr>
      </w:pPr>
    </w:p>
    <w:p w14:paraId="3BC46222" w14:textId="77777777" w:rsidR="00AB50FA" w:rsidRDefault="00AB50FA" w:rsidP="0085474C">
      <w:pPr>
        <w:spacing w:line="440" w:lineRule="exact"/>
        <w:ind w:firstLineChars="200" w:firstLine="480"/>
        <w:rPr>
          <w:rFonts w:ascii="宋体" w:eastAsia="宋体" w:hAnsi="宋体" w:cs="Times New Roman"/>
          <w:sz w:val="24"/>
          <w:szCs w:val="24"/>
        </w:rPr>
      </w:pPr>
    </w:p>
    <w:p w14:paraId="77F57D6D" w14:textId="77777777" w:rsidR="0085474C" w:rsidRDefault="0085474C" w:rsidP="0085474C">
      <w:pPr>
        <w:spacing w:line="440" w:lineRule="exact"/>
        <w:ind w:firstLineChars="200" w:firstLine="480"/>
        <w:rPr>
          <w:rFonts w:ascii="宋体" w:eastAsia="宋体" w:hAnsi="宋体" w:cs="Times New Roman"/>
          <w:sz w:val="24"/>
          <w:szCs w:val="24"/>
        </w:rPr>
      </w:pPr>
    </w:p>
    <w:p w14:paraId="1FD9BEF4" w14:textId="77777777" w:rsidR="0085474C" w:rsidRPr="0085474C" w:rsidRDefault="0085474C" w:rsidP="00884E21">
      <w:pPr>
        <w:pStyle w:val="1"/>
      </w:pPr>
      <w:bookmarkStart w:id="200" w:name="_Toc149662361"/>
      <w:r w:rsidRPr="0085474C">
        <w:lastRenderedPageBreak/>
        <w:t>《生物化学与分子生物学》课程大纲</w:t>
      </w:r>
      <w:bookmarkEnd w:id="200"/>
    </w:p>
    <w:p w14:paraId="7F7F4FF5" w14:textId="77777777" w:rsidR="0085474C" w:rsidRPr="0085474C" w:rsidRDefault="0085474C" w:rsidP="0085474C">
      <w:pPr>
        <w:spacing w:beforeLines="50" w:before="156" w:afterLines="50" w:after="156" w:line="440" w:lineRule="exact"/>
        <w:rPr>
          <w:rFonts w:ascii="Times New Roman" w:eastAsia="黑体" w:hAnsi="Times New Roman" w:cs="Times New Roman"/>
          <w:sz w:val="28"/>
          <w:szCs w:val="28"/>
        </w:rPr>
      </w:pPr>
      <w:r w:rsidRPr="0085474C">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9"/>
        <w:gridCol w:w="2756"/>
        <w:gridCol w:w="1525"/>
        <w:gridCol w:w="2867"/>
      </w:tblGrid>
      <w:tr w:rsidR="0085474C" w:rsidRPr="0085474C" w14:paraId="6E2DFD7A" w14:textId="77777777" w:rsidTr="00367215">
        <w:trPr>
          <w:trHeight w:val="886"/>
          <w:jc w:val="center"/>
        </w:trPr>
        <w:tc>
          <w:tcPr>
            <w:tcW w:w="1668" w:type="dxa"/>
            <w:shd w:val="clear" w:color="auto" w:fill="auto"/>
            <w:vAlign w:val="center"/>
          </w:tcPr>
          <w:p w14:paraId="522B687B"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课程名称</w:t>
            </w:r>
          </w:p>
        </w:tc>
        <w:tc>
          <w:tcPr>
            <w:tcW w:w="2833" w:type="dxa"/>
            <w:shd w:val="clear" w:color="auto" w:fill="auto"/>
            <w:vAlign w:val="center"/>
          </w:tcPr>
          <w:p w14:paraId="665427E6"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生物化学</w:t>
            </w:r>
            <w:r w:rsidRPr="0085474C">
              <w:rPr>
                <w:rFonts w:ascii="Times New Roman" w:eastAsia="宋体" w:hAnsi="Times New Roman" w:cs="Times New Roman" w:hint="eastAsia"/>
                <w:sz w:val="24"/>
                <w:szCs w:val="24"/>
              </w:rPr>
              <w:t>与分子生物学</w:t>
            </w:r>
          </w:p>
        </w:tc>
        <w:tc>
          <w:tcPr>
            <w:tcW w:w="1561" w:type="dxa"/>
            <w:shd w:val="clear" w:color="auto" w:fill="auto"/>
            <w:vAlign w:val="center"/>
          </w:tcPr>
          <w:p w14:paraId="458B8E00"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课程代码</w:t>
            </w:r>
          </w:p>
        </w:tc>
        <w:tc>
          <w:tcPr>
            <w:tcW w:w="2941" w:type="dxa"/>
            <w:shd w:val="clear" w:color="auto" w:fill="auto"/>
            <w:vAlign w:val="center"/>
          </w:tcPr>
          <w:p w14:paraId="15D381F9" w14:textId="77777777" w:rsidR="0085474C" w:rsidRPr="0085474C" w:rsidRDefault="0085474C" w:rsidP="0085474C">
            <w:pPr>
              <w:spacing w:line="440" w:lineRule="exact"/>
              <w:jc w:val="center"/>
              <w:rPr>
                <w:rFonts w:ascii="Times New Roman" w:eastAsia="宋体" w:hAnsi="Times New Roman" w:cs="Times New Roman"/>
                <w:sz w:val="24"/>
                <w:szCs w:val="24"/>
              </w:rPr>
            </w:pPr>
          </w:p>
        </w:tc>
      </w:tr>
      <w:tr w:rsidR="0085474C" w:rsidRPr="0085474C" w14:paraId="3D0A5201" w14:textId="77777777" w:rsidTr="00367215">
        <w:trPr>
          <w:trHeight w:val="829"/>
          <w:jc w:val="center"/>
        </w:trPr>
        <w:tc>
          <w:tcPr>
            <w:tcW w:w="1668" w:type="dxa"/>
            <w:shd w:val="clear" w:color="auto" w:fill="auto"/>
            <w:vAlign w:val="center"/>
          </w:tcPr>
          <w:p w14:paraId="75623138"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课程类别</w:t>
            </w:r>
          </w:p>
        </w:tc>
        <w:tc>
          <w:tcPr>
            <w:tcW w:w="2833" w:type="dxa"/>
            <w:shd w:val="clear" w:color="auto" w:fill="auto"/>
            <w:vAlign w:val="center"/>
          </w:tcPr>
          <w:p w14:paraId="530733F1"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专业教育基础课程</w:t>
            </w:r>
          </w:p>
        </w:tc>
        <w:tc>
          <w:tcPr>
            <w:tcW w:w="1561" w:type="dxa"/>
            <w:shd w:val="clear" w:color="auto" w:fill="auto"/>
            <w:vAlign w:val="center"/>
          </w:tcPr>
          <w:p w14:paraId="5660957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学时</w:t>
            </w:r>
          </w:p>
          <w:p w14:paraId="5252EC2B"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学分</w:t>
            </w:r>
          </w:p>
        </w:tc>
        <w:tc>
          <w:tcPr>
            <w:tcW w:w="2941" w:type="dxa"/>
            <w:shd w:val="clear" w:color="auto" w:fill="auto"/>
            <w:vAlign w:val="center"/>
          </w:tcPr>
          <w:p w14:paraId="523B03B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32/2</w:t>
            </w:r>
          </w:p>
        </w:tc>
      </w:tr>
      <w:tr w:rsidR="0085474C" w:rsidRPr="0085474C" w14:paraId="07E71B0D" w14:textId="77777777" w:rsidTr="00367215">
        <w:trPr>
          <w:trHeight w:val="811"/>
          <w:jc w:val="center"/>
        </w:trPr>
        <w:tc>
          <w:tcPr>
            <w:tcW w:w="1668" w:type="dxa"/>
            <w:shd w:val="clear" w:color="auto" w:fill="auto"/>
            <w:vAlign w:val="center"/>
          </w:tcPr>
          <w:p w14:paraId="4FF8D7FD"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开课单位</w:t>
            </w:r>
          </w:p>
        </w:tc>
        <w:tc>
          <w:tcPr>
            <w:tcW w:w="2833" w:type="dxa"/>
            <w:shd w:val="clear" w:color="auto" w:fill="auto"/>
            <w:vAlign w:val="center"/>
          </w:tcPr>
          <w:p w14:paraId="1882E6C5"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化工学院</w:t>
            </w:r>
          </w:p>
        </w:tc>
        <w:tc>
          <w:tcPr>
            <w:tcW w:w="1561" w:type="dxa"/>
            <w:shd w:val="clear" w:color="auto" w:fill="auto"/>
            <w:vAlign w:val="center"/>
          </w:tcPr>
          <w:p w14:paraId="70DBCF95"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适用专业</w:t>
            </w:r>
          </w:p>
        </w:tc>
        <w:tc>
          <w:tcPr>
            <w:tcW w:w="2941" w:type="dxa"/>
            <w:shd w:val="clear" w:color="auto" w:fill="auto"/>
            <w:vAlign w:val="center"/>
          </w:tcPr>
          <w:p w14:paraId="3BB773ED"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药物分析</w:t>
            </w:r>
          </w:p>
        </w:tc>
      </w:tr>
      <w:tr w:rsidR="0085474C" w:rsidRPr="0085474C" w14:paraId="11031987" w14:textId="77777777" w:rsidTr="00367215">
        <w:trPr>
          <w:trHeight w:val="811"/>
          <w:jc w:val="center"/>
        </w:trPr>
        <w:tc>
          <w:tcPr>
            <w:tcW w:w="1668" w:type="dxa"/>
            <w:shd w:val="clear" w:color="auto" w:fill="auto"/>
            <w:vAlign w:val="center"/>
          </w:tcPr>
          <w:p w14:paraId="48056DEE"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课程负责人</w:t>
            </w:r>
          </w:p>
        </w:tc>
        <w:tc>
          <w:tcPr>
            <w:tcW w:w="7335" w:type="dxa"/>
            <w:gridSpan w:val="3"/>
            <w:shd w:val="clear" w:color="auto" w:fill="auto"/>
            <w:vAlign w:val="center"/>
          </w:tcPr>
          <w:p w14:paraId="135723BF"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顾丹</w:t>
            </w:r>
            <w:proofErr w:type="gramStart"/>
            <w:r w:rsidRPr="0085474C">
              <w:rPr>
                <w:rFonts w:ascii="Times New Roman" w:eastAsia="宋体" w:hAnsi="Times New Roman" w:cs="Times New Roman"/>
                <w:sz w:val="24"/>
                <w:szCs w:val="24"/>
              </w:rPr>
              <w:t>丹</w:t>
            </w:r>
            <w:proofErr w:type="gramEnd"/>
          </w:p>
        </w:tc>
      </w:tr>
      <w:tr w:rsidR="0085474C" w:rsidRPr="0085474C" w14:paraId="451D020C" w14:textId="77777777" w:rsidTr="00367215">
        <w:trPr>
          <w:trHeight w:val="836"/>
          <w:jc w:val="center"/>
        </w:trPr>
        <w:tc>
          <w:tcPr>
            <w:tcW w:w="1668" w:type="dxa"/>
            <w:shd w:val="clear" w:color="auto" w:fill="auto"/>
            <w:vAlign w:val="center"/>
          </w:tcPr>
          <w:p w14:paraId="3EF6F9EE"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大纲撰写人</w:t>
            </w:r>
          </w:p>
        </w:tc>
        <w:tc>
          <w:tcPr>
            <w:tcW w:w="2833" w:type="dxa"/>
            <w:shd w:val="clear" w:color="auto" w:fill="auto"/>
            <w:vAlign w:val="center"/>
          </w:tcPr>
          <w:p w14:paraId="23DEE78B"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顾丹</w:t>
            </w:r>
            <w:proofErr w:type="gramStart"/>
            <w:r w:rsidRPr="0085474C">
              <w:rPr>
                <w:rFonts w:ascii="Times New Roman" w:eastAsia="宋体" w:hAnsi="Times New Roman" w:cs="Times New Roman"/>
                <w:sz w:val="24"/>
                <w:szCs w:val="24"/>
              </w:rPr>
              <w:t>丹</w:t>
            </w:r>
            <w:proofErr w:type="gramEnd"/>
          </w:p>
        </w:tc>
        <w:tc>
          <w:tcPr>
            <w:tcW w:w="1561" w:type="dxa"/>
            <w:shd w:val="clear" w:color="auto" w:fill="auto"/>
            <w:vAlign w:val="center"/>
          </w:tcPr>
          <w:p w14:paraId="39658F4C"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大纲审核人</w:t>
            </w:r>
          </w:p>
        </w:tc>
        <w:tc>
          <w:tcPr>
            <w:tcW w:w="2941" w:type="dxa"/>
            <w:shd w:val="clear" w:color="auto" w:fill="auto"/>
            <w:vAlign w:val="center"/>
          </w:tcPr>
          <w:p w14:paraId="08371B3F" w14:textId="77777777" w:rsidR="0085474C" w:rsidRPr="0085474C" w:rsidRDefault="0085474C" w:rsidP="0085474C">
            <w:pPr>
              <w:spacing w:line="440" w:lineRule="exact"/>
              <w:jc w:val="center"/>
              <w:rPr>
                <w:rFonts w:ascii="Times New Roman" w:eastAsia="宋体" w:hAnsi="Times New Roman" w:cs="Times New Roman"/>
                <w:sz w:val="24"/>
                <w:szCs w:val="24"/>
              </w:rPr>
            </w:pPr>
            <w:proofErr w:type="gramStart"/>
            <w:r w:rsidRPr="0085474C">
              <w:rPr>
                <w:rFonts w:ascii="Times New Roman" w:eastAsia="宋体" w:hAnsi="Times New Roman" w:cs="Times New Roman"/>
                <w:sz w:val="24"/>
                <w:szCs w:val="24"/>
              </w:rPr>
              <w:t>冯</w:t>
            </w:r>
            <w:proofErr w:type="gramEnd"/>
            <w:r w:rsidRPr="0085474C">
              <w:rPr>
                <w:rFonts w:ascii="Times New Roman" w:eastAsia="宋体" w:hAnsi="Times New Roman" w:cs="Times New Roman"/>
                <w:sz w:val="24"/>
                <w:szCs w:val="24"/>
              </w:rPr>
              <w:t>小龙</w:t>
            </w:r>
          </w:p>
        </w:tc>
      </w:tr>
      <w:tr w:rsidR="0085474C" w:rsidRPr="0085474C" w14:paraId="45F30C29" w14:textId="77777777" w:rsidTr="00367215">
        <w:trPr>
          <w:trHeight w:val="848"/>
          <w:jc w:val="center"/>
        </w:trPr>
        <w:tc>
          <w:tcPr>
            <w:tcW w:w="1668" w:type="dxa"/>
            <w:shd w:val="clear" w:color="auto" w:fill="auto"/>
            <w:vAlign w:val="center"/>
          </w:tcPr>
          <w:p w14:paraId="04E46F1D"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先修课程</w:t>
            </w:r>
          </w:p>
        </w:tc>
        <w:tc>
          <w:tcPr>
            <w:tcW w:w="7335" w:type="dxa"/>
            <w:gridSpan w:val="3"/>
            <w:shd w:val="clear" w:color="auto" w:fill="auto"/>
            <w:vAlign w:val="center"/>
          </w:tcPr>
          <w:p w14:paraId="4A875C7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《有机化学》</w:t>
            </w:r>
          </w:p>
        </w:tc>
      </w:tr>
      <w:tr w:rsidR="0085474C" w:rsidRPr="0085474C" w14:paraId="38967A9A" w14:textId="77777777" w:rsidTr="00367215">
        <w:trPr>
          <w:trHeight w:val="848"/>
          <w:jc w:val="center"/>
        </w:trPr>
        <w:tc>
          <w:tcPr>
            <w:tcW w:w="1668" w:type="dxa"/>
            <w:shd w:val="clear" w:color="auto" w:fill="auto"/>
            <w:vAlign w:val="center"/>
          </w:tcPr>
          <w:p w14:paraId="18264CF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课程网址</w:t>
            </w:r>
          </w:p>
        </w:tc>
        <w:tc>
          <w:tcPr>
            <w:tcW w:w="7335" w:type="dxa"/>
            <w:gridSpan w:val="3"/>
            <w:shd w:val="clear" w:color="auto" w:fill="auto"/>
            <w:vAlign w:val="center"/>
          </w:tcPr>
          <w:p w14:paraId="1062C7C5" w14:textId="77777777" w:rsidR="0085474C" w:rsidRPr="0085474C" w:rsidRDefault="0085474C" w:rsidP="0085474C">
            <w:pPr>
              <w:spacing w:line="440" w:lineRule="exact"/>
              <w:rPr>
                <w:rFonts w:ascii="Times New Roman" w:eastAsia="宋体" w:hAnsi="Times New Roman" w:cs="Times New Roman"/>
                <w:color w:val="FF0000"/>
                <w:sz w:val="24"/>
                <w:szCs w:val="24"/>
              </w:rPr>
            </w:pPr>
          </w:p>
        </w:tc>
      </w:tr>
    </w:tbl>
    <w:p w14:paraId="7FEA3BF6" w14:textId="77777777" w:rsidR="0085474C" w:rsidRPr="0085474C" w:rsidRDefault="0085474C" w:rsidP="0085474C">
      <w:pPr>
        <w:spacing w:beforeLines="50" w:before="156" w:afterLines="50" w:after="156" w:line="440" w:lineRule="exact"/>
        <w:rPr>
          <w:rFonts w:ascii="Times New Roman" w:eastAsia="黑体" w:hAnsi="Times New Roman" w:cs="Times New Roman"/>
          <w:sz w:val="28"/>
          <w:szCs w:val="28"/>
        </w:rPr>
      </w:pPr>
      <w:r w:rsidRPr="0085474C">
        <w:rPr>
          <w:rFonts w:ascii="Times New Roman" w:eastAsia="黑体" w:hAnsi="Times New Roman" w:cs="Times New Roman"/>
          <w:sz w:val="28"/>
          <w:szCs w:val="28"/>
        </w:rPr>
        <w:t>二、课程学习目标及与毕业要求的对应关系</w:t>
      </w:r>
    </w:p>
    <w:p w14:paraId="580B3A49" w14:textId="77777777" w:rsidR="0085474C" w:rsidRPr="0085474C" w:rsidRDefault="0085474C" w:rsidP="0085474C">
      <w:pPr>
        <w:spacing w:beforeLines="50" w:before="156" w:afterLines="50" w:after="156" w:line="440" w:lineRule="exact"/>
        <w:rPr>
          <w:rFonts w:ascii="Times New Roman" w:eastAsia="黑体" w:hAnsi="Times New Roman" w:cs="Times New Roman"/>
          <w:sz w:val="28"/>
          <w:szCs w:val="28"/>
        </w:rPr>
      </w:pPr>
      <w:r w:rsidRPr="0085474C">
        <w:rPr>
          <w:rFonts w:ascii="Times New Roman" w:eastAsia="黑体" w:hAnsi="Times New Roman" w:cs="Times New Roman"/>
          <w:sz w:val="28"/>
          <w:szCs w:val="28"/>
        </w:rPr>
        <w:t>（一）课程学习目标</w:t>
      </w:r>
    </w:p>
    <w:p w14:paraId="41C7EE57"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生物化学</w:t>
      </w:r>
      <w:r w:rsidRPr="0085474C">
        <w:rPr>
          <w:rFonts w:ascii="Times New Roman" w:eastAsia="宋体" w:hAnsi="Times New Roman" w:cs="Times New Roman" w:hint="eastAsia"/>
          <w:sz w:val="24"/>
          <w:szCs w:val="24"/>
        </w:rPr>
        <w:t>与分子生物学</w:t>
      </w:r>
      <w:r w:rsidRPr="0085474C">
        <w:rPr>
          <w:rFonts w:ascii="Times New Roman" w:eastAsia="宋体" w:hAnsi="Times New Roman" w:cs="Times New Roman"/>
          <w:sz w:val="24"/>
          <w:szCs w:val="24"/>
        </w:rPr>
        <w:t>是一门重要的基础课程，与许多学科相互渗透，在现代生物学中占有特别重要的地位。这门课主要向学生传授生物大分子的化学组成、结构及功能</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包括蛋白质、核酸、酶</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；物质代谢及其调控（糖代谢、三羧酸循环、脂类代谢、氨基酸代谢、核苷酸代谢、生物氧化、物质代谢联系与调节）；遗传信息的贮存、传递与表达（</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的生物合成、</w:t>
      </w:r>
      <w:r w:rsidRPr="0085474C">
        <w:rPr>
          <w:rFonts w:ascii="Times New Roman" w:eastAsia="宋体" w:hAnsi="Times New Roman" w:cs="Times New Roman"/>
          <w:sz w:val="24"/>
          <w:szCs w:val="24"/>
        </w:rPr>
        <w:t>RNA</w:t>
      </w:r>
      <w:r w:rsidRPr="0085474C">
        <w:rPr>
          <w:rFonts w:ascii="Times New Roman" w:eastAsia="宋体" w:hAnsi="Times New Roman" w:cs="Times New Roman"/>
          <w:sz w:val="24"/>
          <w:szCs w:val="24"/>
        </w:rPr>
        <w:t>的生物合成、蛋白质的生物合成、基因表达调控、基因重组与基因工程）。</w:t>
      </w:r>
    </w:p>
    <w:p w14:paraId="2E0F680F"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通过本课程的学习，使学生达到以下目标：</w:t>
      </w:r>
    </w:p>
    <w:p w14:paraId="2017C2DF" w14:textId="77777777" w:rsidR="0085474C" w:rsidRPr="0085474C" w:rsidRDefault="0085474C" w:rsidP="005E2322">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能够掌握核酸、蛋白质、糖类和脂类的基本结构、性质，明确它们在生命活动中的基本功能；能够掌握糖、脂类、蛋白质合成和分解方式、调控机制及共性，能够应用生物化学与分子生物学专业知识及其基本原理，分析</w:t>
      </w:r>
      <w:r w:rsidRPr="0085474C">
        <w:rPr>
          <w:rFonts w:ascii="Times New Roman" w:eastAsia="宋体" w:hAnsi="Times New Roman" w:cs="Times New Roman" w:hint="eastAsia"/>
          <w:sz w:val="24"/>
          <w:szCs w:val="24"/>
        </w:rPr>
        <w:t>药物分析</w:t>
      </w:r>
      <w:r w:rsidRPr="0085474C">
        <w:rPr>
          <w:rFonts w:ascii="Times New Roman" w:eastAsia="宋体" w:hAnsi="Times New Roman" w:cs="Times New Roman"/>
          <w:sz w:val="24"/>
          <w:szCs w:val="24"/>
        </w:rPr>
        <w:t>领域复杂工程问题。</w:t>
      </w:r>
      <w:r w:rsidRPr="0085474C">
        <w:rPr>
          <w:rFonts w:ascii="Times New Roman" w:eastAsia="宋体" w:hAnsi="Times New Roman" w:cs="Times New Roman"/>
          <w:b/>
          <w:sz w:val="24"/>
          <w:szCs w:val="24"/>
        </w:rPr>
        <w:t>【毕业要求</w:t>
      </w:r>
      <w:r w:rsidRPr="0085474C">
        <w:rPr>
          <w:rFonts w:ascii="Times New Roman" w:eastAsia="宋体" w:hAnsi="Times New Roman" w:cs="Times New Roman"/>
          <w:b/>
          <w:sz w:val="24"/>
          <w:szCs w:val="24"/>
        </w:rPr>
        <w:t xml:space="preserve">1.2 </w:t>
      </w:r>
      <w:r w:rsidRPr="0085474C">
        <w:rPr>
          <w:rFonts w:ascii="Times New Roman" w:eastAsia="宋体" w:hAnsi="Times New Roman" w:cs="Times New Roman" w:hint="eastAsia"/>
          <w:b/>
          <w:sz w:val="24"/>
          <w:szCs w:val="24"/>
        </w:rPr>
        <w:t>药学</w:t>
      </w:r>
      <w:r w:rsidRPr="0085474C">
        <w:rPr>
          <w:rFonts w:ascii="Times New Roman" w:eastAsia="宋体" w:hAnsi="Times New Roman" w:cs="Times New Roman"/>
          <w:b/>
          <w:sz w:val="24"/>
          <w:szCs w:val="24"/>
        </w:rPr>
        <w:t>知识】</w:t>
      </w:r>
    </w:p>
    <w:p w14:paraId="4A9B9A10" w14:textId="77777777" w:rsidR="0085474C" w:rsidRPr="0085474C" w:rsidRDefault="0085474C" w:rsidP="005E2322">
      <w:pPr>
        <w:spacing w:line="360" w:lineRule="auto"/>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sz w:val="24"/>
          <w:szCs w:val="24"/>
        </w:rPr>
        <w:lastRenderedPageBreak/>
        <w:t xml:space="preserve">2. </w:t>
      </w:r>
      <w:bookmarkStart w:id="201" w:name="_Hlk49067278"/>
      <w:r w:rsidRPr="0085474C">
        <w:rPr>
          <w:rFonts w:ascii="Times New Roman" w:eastAsia="宋体" w:hAnsi="Times New Roman" w:cs="Times New Roman"/>
          <w:sz w:val="24"/>
          <w:szCs w:val="24"/>
        </w:rPr>
        <w:t>能够综合应用生物化学与分子生物学专业知识及其基本原理，并通过</w:t>
      </w:r>
      <w:r w:rsidRPr="0085474C">
        <w:rPr>
          <w:rFonts w:ascii="Times New Roman" w:eastAsia="宋体" w:hAnsi="Times New Roman" w:cs="Times New Roman" w:hint="eastAsia"/>
          <w:sz w:val="24"/>
          <w:szCs w:val="24"/>
        </w:rPr>
        <w:t>查阅</w:t>
      </w:r>
      <w:r w:rsidRPr="0085474C">
        <w:rPr>
          <w:rFonts w:ascii="Times New Roman" w:eastAsia="宋体" w:hAnsi="Times New Roman" w:cs="Times New Roman"/>
          <w:sz w:val="24"/>
          <w:szCs w:val="24"/>
        </w:rPr>
        <w:t>文献</w:t>
      </w:r>
      <w:r w:rsidRPr="0085474C">
        <w:rPr>
          <w:rFonts w:ascii="Times New Roman" w:eastAsia="宋体" w:hAnsi="Times New Roman" w:cs="Times New Roman"/>
          <w:bCs/>
          <w:sz w:val="24"/>
          <w:szCs w:val="24"/>
        </w:rPr>
        <w:t>正确地分析</w:t>
      </w:r>
      <w:bookmarkStart w:id="202" w:name="_Hlk148703967"/>
      <w:r w:rsidRPr="0085474C">
        <w:rPr>
          <w:rFonts w:ascii="Times New Roman" w:eastAsia="宋体" w:hAnsi="Times New Roman" w:cs="Times New Roman" w:hint="eastAsia"/>
          <w:sz w:val="24"/>
          <w:szCs w:val="24"/>
        </w:rPr>
        <w:t>药物分析</w:t>
      </w:r>
      <w:r w:rsidRPr="0085474C">
        <w:rPr>
          <w:rFonts w:ascii="Times New Roman" w:eastAsia="宋体" w:hAnsi="Times New Roman" w:cs="Times New Roman"/>
          <w:sz w:val="24"/>
          <w:szCs w:val="24"/>
        </w:rPr>
        <w:t>领域复杂工程问题</w:t>
      </w:r>
      <w:bookmarkEnd w:id="202"/>
      <w:r w:rsidRPr="0085474C">
        <w:rPr>
          <w:rFonts w:ascii="Times New Roman" w:eastAsia="宋体" w:hAnsi="Times New Roman" w:cs="Times New Roman"/>
          <w:sz w:val="24"/>
          <w:szCs w:val="24"/>
        </w:rPr>
        <w:t>。</w:t>
      </w:r>
      <w:bookmarkStart w:id="203" w:name="_Hlk148703980"/>
      <w:r w:rsidRPr="0085474C">
        <w:rPr>
          <w:rFonts w:ascii="Times New Roman" w:eastAsia="宋体" w:hAnsi="Times New Roman" w:cs="Times New Roman"/>
          <w:b/>
          <w:sz w:val="24"/>
          <w:szCs w:val="24"/>
        </w:rPr>
        <w:t>【毕业要求</w:t>
      </w:r>
      <w:r w:rsidRPr="0085474C">
        <w:rPr>
          <w:rFonts w:ascii="Times New Roman" w:eastAsia="宋体" w:hAnsi="Times New Roman" w:cs="Times New Roman"/>
          <w:b/>
          <w:sz w:val="24"/>
          <w:szCs w:val="24"/>
        </w:rPr>
        <w:t xml:space="preserve">2.1 </w:t>
      </w:r>
      <w:r w:rsidRPr="0085474C">
        <w:rPr>
          <w:rFonts w:ascii="Times New Roman" w:eastAsia="宋体" w:hAnsi="Times New Roman" w:cs="Times New Roman"/>
          <w:b/>
          <w:sz w:val="24"/>
          <w:szCs w:val="24"/>
        </w:rPr>
        <w:t>问题分析】</w:t>
      </w:r>
    </w:p>
    <w:bookmarkEnd w:id="201"/>
    <w:bookmarkEnd w:id="203"/>
    <w:p w14:paraId="4E72225E" w14:textId="77777777" w:rsidR="0085474C" w:rsidRPr="0085474C" w:rsidRDefault="0085474C" w:rsidP="0085474C">
      <w:pPr>
        <w:spacing w:beforeLines="50" w:before="156" w:afterLines="50" w:after="156" w:line="440" w:lineRule="exact"/>
        <w:rPr>
          <w:rFonts w:ascii="Times New Roman" w:eastAsia="黑体" w:hAnsi="Times New Roman" w:cs="Times New Roman"/>
          <w:sz w:val="28"/>
          <w:szCs w:val="28"/>
        </w:rPr>
      </w:pPr>
      <w:r w:rsidRPr="0085474C">
        <w:rPr>
          <w:rFonts w:ascii="Times New Roman" w:eastAsia="黑体" w:hAnsi="Times New Roman" w:cs="Times New Roman"/>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66"/>
        <w:gridCol w:w="1975"/>
        <w:gridCol w:w="4836"/>
      </w:tblGrid>
      <w:tr w:rsidR="0085474C" w:rsidRPr="0085474C" w14:paraId="05BD69C4" w14:textId="77777777" w:rsidTr="00367215">
        <w:trPr>
          <w:trHeight w:val="815"/>
          <w:jc w:val="center"/>
        </w:trPr>
        <w:tc>
          <w:tcPr>
            <w:tcW w:w="1120" w:type="pct"/>
            <w:vAlign w:val="center"/>
          </w:tcPr>
          <w:p w14:paraId="0B9D3FBA"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sz w:val="24"/>
                <w:szCs w:val="24"/>
              </w:rPr>
              <w:t>课程目标</w:t>
            </w:r>
          </w:p>
        </w:tc>
        <w:tc>
          <w:tcPr>
            <w:tcW w:w="1125" w:type="pct"/>
            <w:vAlign w:val="center"/>
          </w:tcPr>
          <w:p w14:paraId="2AA2724D"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bCs/>
                <w:sz w:val="24"/>
                <w:szCs w:val="24"/>
              </w:rPr>
              <w:t>毕业要求</w:t>
            </w:r>
          </w:p>
        </w:tc>
        <w:tc>
          <w:tcPr>
            <w:tcW w:w="2755" w:type="pct"/>
            <w:vAlign w:val="center"/>
          </w:tcPr>
          <w:p w14:paraId="3507C280"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毕业要求指标点</w:t>
            </w:r>
          </w:p>
        </w:tc>
      </w:tr>
      <w:tr w:rsidR="0085474C" w:rsidRPr="0085474C" w14:paraId="2FC8C7B2" w14:textId="77777777" w:rsidTr="00367215">
        <w:trPr>
          <w:jc w:val="center"/>
        </w:trPr>
        <w:tc>
          <w:tcPr>
            <w:tcW w:w="1120" w:type="pct"/>
            <w:vAlign w:val="center"/>
          </w:tcPr>
          <w:p w14:paraId="4E8F3FB2"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课程目标</w:t>
            </w:r>
            <w:r w:rsidRPr="0085474C">
              <w:rPr>
                <w:rFonts w:ascii="Times New Roman" w:eastAsia="宋体" w:hAnsi="Times New Roman" w:cs="Times New Roman"/>
                <w:sz w:val="24"/>
                <w:szCs w:val="24"/>
              </w:rPr>
              <w:t>1</w:t>
            </w:r>
          </w:p>
        </w:tc>
        <w:tc>
          <w:tcPr>
            <w:tcW w:w="1125" w:type="pct"/>
            <w:vAlign w:val="center"/>
          </w:tcPr>
          <w:p w14:paraId="688B720B"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hint="eastAsia"/>
                <w:sz w:val="24"/>
                <w:szCs w:val="24"/>
              </w:rPr>
              <w:t>药学知识</w:t>
            </w:r>
            <w:r w:rsidRPr="0085474C">
              <w:rPr>
                <w:rFonts w:ascii="Times New Roman" w:eastAsia="宋体" w:hAnsi="Times New Roman" w:cs="Times New Roman"/>
                <w:sz w:val="24"/>
                <w:szCs w:val="24"/>
              </w:rPr>
              <w:t xml:space="preserve"> (H)</w:t>
            </w:r>
          </w:p>
        </w:tc>
        <w:tc>
          <w:tcPr>
            <w:tcW w:w="2755" w:type="pct"/>
            <w:vAlign w:val="center"/>
          </w:tcPr>
          <w:p w14:paraId="48A2FCCB"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 xml:space="preserve">1.2 </w:t>
            </w:r>
            <w:r w:rsidRPr="0085474C">
              <w:rPr>
                <w:rFonts w:ascii="Times New Roman" w:eastAsia="宋体" w:hAnsi="Times New Roman" w:cs="Times New Roman" w:hint="eastAsia"/>
                <w:sz w:val="24"/>
                <w:szCs w:val="24"/>
              </w:rPr>
              <w:t>掌握人体解剖生理学、生物化学等现代医学基本知识。</w:t>
            </w:r>
          </w:p>
        </w:tc>
      </w:tr>
      <w:tr w:rsidR="0085474C" w:rsidRPr="0085474C" w14:paraId="126BB774" w14:textId="77777777" w:rsidTr="00367215">
        <w:trPr>
          <w:jc w:val="center"/>
        </w:trPr>
        <w:tc>
          <w:tcPr>
            <w:tcW w:w="1120" w:type="pct"/>
            <w:vAlign w:val="center"/>
          </w:tcPr>
          <w:p w14:paraId="44A1CA3C"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课程目标</w:t>
            </w:r>
            <w:r w:rsidRPr="0085474C">
              <w:rPr>
                <w:rFonts w:ascii="Times New Roman" w:eastAsia="宋体" w:hAnsi="Times New Roman" w:cs="Times New Roman"/>
                <w:sz w:val="24"/>
                <w:szCs w:val="24"/>
              </w:rPr>
              <w:t>2</w:t>
            </w:r>
          </w:p>
        </w:tc>
        <w:tc>
          <w:tcPr>
            <w:tcW w:w="1125" w:type="pct"/>
            <w:vAlign w:val="center"/>
          </w:tcPr>
          <w:p w14:paraId="0DD84015"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问题分析（</w:t>
            </w:r>
            <w:r w:rsidRPr="0085474C">
              <w:rPr>
                <w:rFonts w:ascii="Times New Roman" w:eastAsia="宋体" w:hAnsi="Times New Roman" w:cs="Times New Roman" w:hint="eastAsia"/>
                <w:sz w:val="24"/>
                <w:szCs w:val="24"/>
              </w:rPr>
              <w:t>L</w:t>
            </w:r>
            <w:r w:rsidRPr="0085474C">
              <w:rPr>
                <w:rFonts w:ascii="Times New Roman" w:eastAsia="宋体" w:hAnsi="Times New Roman" w:cs="Times New Roman"/>
                <w:sz w:val="24"/>
                <w:szCs w:val="24"/>
              </w:rPr>
              <w:t>）</w:t>
            </w:r>
          </w:p>
        </w:tc>
        <w:tc>
          <w:tcPr>
            <w:tcW w:w="2755" w:type="pct"/>
            <w:vAlign w:val="center"/>
          </w:tcPr>
          <w:p w14:paraId="3C1F28C4"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hint="eastAsia"/>
                <w:sz w:val="24"/>
                <w:szCs w:val="24"/>
              </w:rPr>
              <w:t xml:space="preserve">2.1 </w:t>
            </w:r>
            <w:r w:rsidRPr="0085474C">
              <w:rPr>
                <w:rFonts w:ascii="Times New Roman" w:eastAsia="宋体" w:hAnsi="Times New Roman" w:cs="Times New Roman" w:hint="eastAsia"/>
                <w:sz w:val="24"/>
                <w:szCs w:val="24"/>
              </w:rPr>
              <w:t>能够运用数学、化学、药学基本原理，识别、定义药物分析学的实践问题。</w:t>
            </w:r>
          </w:p>
        </w:tc>
      </w:tr>
    </w:tbl>
    <w:p w14:paraId="4969A539" w14:textId="77777777" w:rsidR="0085474C" w:rsidRPr="0085474C" w:rsidRDefault="0085474C" w:rsidP="0085474C">
      <w:pPr>
        <w:spacing w:beforeLines="50" w:before="156" w:afterLines="50" w:after="156" w:line="440" w:lineRule="exact"/>
        <w:rPr>
          <w:rFonts w:ascii="Times New Roman" w:eastAsia="黑体" w:hAnsi="Times New Roman" w:cs="Times New Roman"/>
          <w:sz w:val="28"/>
          <w:szCs w:val="28"/>
        </w:rPr>
      </w:pPr>
      <w:r w:rsidRPr="0085474C">
        <w:rPr>
          <w:rFonts w:ascii="Times New Roman" w:eastAsia="黑体" w:hAnsi="Times New Roman" w:cs="Times New Roman"/>
          <w:sz w:val="28"/>
          <w:szCs w:val="28"/>
        </w:rPr>
        <w:t>三、课程学习内容及与课程学习目标的对应关系</w:t>
      </w:r>
    </w:p>
    <w:p w14:paraId="74F44B81" w14:textId="77777777" w:rsidR="0085474C" w:rsidRPr="0085474C" w:rsidRDefault="0085474C" w:rsidP="0085474C">
      <w:pPr>
        <w:spacing w:beforeLines="50" w:before="156" w:afterLines="50" w:after="156" w:line="440" w:lineRule="exact"/>
        <w:rPr>
          <w:rFonts w:ascii="Times New Roman" w:eastAsia="黑体" w:hAnsi="Times New Roman" w:cs="Times New Roman"/>
          <w:b/>
          <w:sz w:val="28"/>
          <w:szCs w:val="28"/>
        </w:rPr>
      </w:pPr>
      <w:r w:rsidRPr="0085474C">
        <w:rPr>
          <w:rFonts w:ascii="Times New Roman" w:eastAsia="黑体" w:hAnsi="Times New Roman" w:cs="Times New Roman"/>
          <w:b/>
          <w:sz w:val="28"/>
          <w:szCs w:val="28"/>
        </w:rPr>
        <w:t>（一）课程学习内容</w:t>
      </w:r>
    </w:p>
    <w:p w14:paraId="5B017EDC" w14:textId="77777777" w:rsidR="0085474C" w:rsidRPr="0085474C" w:rsidRDefault="0085474C" w:rsidP="0085474C">
      <w:pPr>
        <w:spacing w:beforeLines="50" w:before="156" w:afterLines="50" w:after="156" w:line="440" w:lineRule="exact"/>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第一章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绪论</w:t>
      </w:r>
    </w:p>
    <w:p w14:paraId="636CA672" w14:textId="77777777" w:rsidR="0085474C" w:rsidRPr="0085474C" w:rsidRDefault="0085474C" w:rsidP="005E2322">
      <w:pPr>
        <w:spacing w:line="440" w:lineRule="exact"/>
        <w:ind w:firstLineChars="200" w:firstLine="482"/>
        <w:rPr>
          <w:rFonts w:ascii="Times New Roman" w:eastAsia="宋体" w:hAnsi="Times New Roman" w:cs="Times New Roman"/>
          <w:b/>
          <w:sz w:val="24"/>
          <w:szCs w:val="24"/>
        </w:rPr>
      </w:pPr>
      <w:bookmarkStart w:id="204" w:name="_Hlk148704264"/>
      <w:r w:rsidRPr="0085474C">
        <w:rPr>
          <w:rFonts w:ascii="Times New Roman" w:eastAsia="宋体" w:hAnsi="Times New Roman" w:cs="Times New Roman"/>
          <w:b/>
          <w:sz w:val="24"/>
          <w:szCs w:val="24"/>
        </w:rPr>
        <w:t>【学习目标】</w:t>
      </w:r>
    </w:p>
    <w:p w14:paraId="5A3A4C2A"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认知类目标：了解生物化学与分子生物学课程的内容、性质和要求；</w:t>
      </w:r>
    </w:p>
    <w:p w14:paraId="0988BE8E"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过程与方法类目标：了解生物化学与分子生物学的定义和发展历史；掌握生物化学与分子生物学研究的主要内容；</w:t>
      </w:r>
    </w:p>
    <w:p w14:paraId="5E02F226"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情感、态度、价值观类目标：理解生物化学与分子生物学的任务与药物分析专业的岗位要求，生物化学与分子生物学应该具备的专业知识和技能。</w:t>
      </w:r>
    </w:p>
    <w:bookmarkEnd w:id="204"/>
    <w:p w14:paraId="32108E39" w14:textId="77777777" w:rsidR="0085474C" w:rsidRPr="0085474C" w:rsidRDefault="0085474C" w:rsidP="005E2322">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t>【学习内容】</w:t>
      </w:r>
    </w:p>
    <w:p w14:paraId="402CE232"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熟悉生物化学与分子生物学的定义</w:t>
      </w:r>
    </w:p>
    <w:p w14:paraId="14EE6891"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了解生物化学与分子生物学发展史</w:t>
      </w:r>
    </w:p>
    <w:p w14:paraId="192E3255"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掌握生物化学与分子生物学研究的主要内容</w:t>
      </w:r>
    </w:p>
    <w:p w14:paraId="1C4DAE70" w14:textId="77777777" w:rsidR="0085474C" w:rsidRPr="0085474C" w:rsidRDefault="0085474C" w:rsidP="005E2322">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6B29C412"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生物化学与分子生物学研究的主要内容</w:t>
      </w:r>
    </w:p>
    <w:p w14:paraId="3C53C805" w14:textId="77777777" w:rsidR="0085474C" w:rsidRPr="0085474C" w:rsidRDefault="0085474C" w:rsidP="005E2322">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752D4DCA" w14:textId="77777777" w:rsidR="0085474C" w:rsidRPr="0085474C" w:rsidRDefault="0085474C" w:rsidP="005E2322">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生物化学与分子生物学研究的主要内容</w:t>
      </w:r>
    </w:p>
    <w:p w14:paraId="660E46C0" w14:textId="77777777" w:rsidR="0085474C" w:rsidRPr="0085474C" w:rsidRDefault="0085474C" w:rsidP="005E2322">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bCs/>
          <w:sz w:val="24"/>
          <w:szCs w:val="24"/>
        </w:rPr>
        <w:t>【教学方法】</w:t>
      </w:r>
    </w:p>
    <w:p w14:paraId="4CBD2411"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通过多媒体课件和传统教学相结合，阐明生物化学与分子生物学研究的主要内容，丰富学生课程基本知识结构；</w:t>
      </w:r>
    </w:p>
    <w:p w14:paraId="0F1D84BC" w14:textId="77777777" w:rsidR="0085474C" w:rsidRPr="0085474C" w:rsidRDefault="0085474C" w:rsidP="0085474C">
      <w:pPr>
        <w:spacing w:beforeLines="50" w:before="156" w:afterLines="50" w:after="156" w:line="440" w:lineRule="exact"/>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lastRenderedPageBreak/>
        <w:t>第二章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蛋白质的结构与功能</w:t>
      </w:r>
    </w:p>
    <w:p w14:paraId="7A79CAA1" w14:textId="77777777" w:rsidR="0085474C" w:rsidRPr="0085474C" w:rsidRDefault="0085474C" w:rsidP="005E2322">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2D5F7461"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认知类目标：运用蛋白质分子结构的基本知识和原理，理解生命过程中的现象；</w:t>
      </w:r>
    </w:p>
    <w:p w14:paraId="42008AAD"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过程与方法类目标：掌握氨基酸的分类、结构和一些重要的化学反应；掌握蛋白质的结构概念；掌握蛋白质的结构与功能关系；学习蛋白质的性质、蛋白质的分离、纯化方法。</w:t>
      </w:r>
    </w:p>
    <w:p w14:paraId="29D4D5BB"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情感、态度、价值观类目标：具备良好的生物化学与分子生物学逻辑思维能力，从生物化学角度分析解决相关问题。</w:t>
      </w:r>
    </w:p>
    <w:p w14:paraId="65183A54" w14:textId="77777777" w:rsidR="0085474C" w:rsidRPr="0085474C" w:rsidRDefault="0085474C" w:rsidP="005E2322">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6D8288B9" w14:textId="77777777" w:rsidR="0085474C" w:rsidRPr="0085474C" w:rsidRDefault="0085474C" w:rsidP="005E2322">
      <w:pPr>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bCs/>
          <w:sz w:val="24"/>
          <w:szCs w:val="24"/>
        </w:rPr>
        <w:t xml:space="preserve">. </w:t>
      </w:r>
      <w:r w:rsidRPr="0085474C">
        <w:rPr>
          <w:rFonts w:ascii="Times New Roman" w:eastAsia="宋体" w:hAnsi="Times New Roman" w:cs="Times New Roman"/>
          <w:sz w:val="24"/>
          <w:szCs w:val="24"/>
        </w:rPr>
        <w:t>蛋白质概述：蛋白质的元素组成、氨基酸组成，蛋白质生物学功能</w:t>
      </w:r>
    </w:p>
    <w:p w14:paraId="43C403BD" w14:textId="77777777" w:rsidR="0085474C" w:rsidRPr="0085474C" w:rsidRDefault="0085474C" w:rsidP="005E2322">
      <w:pPr>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蛋白质氨基酸（</w:t>
      </w:r>
      <w:r w:rsidRPr="0085474C">
        <w:rPr>
          <w:rFonts w:ascii="Times New Roman" w:eastAsia="宋体" w:hAnsi="Times New Roman" w:cs="Times New Roman"/>
          <w:sz w:val="24"/>
          <w:szCs w:val="24"/>
        </w:rPr>
        <w:t>20</w:t>
      </w:r>
      <w:r w:rsidRPr="0085474C">
        <w:rPr>
          <w:rFonts w:ascii="Times New Roman" w:eastAsia="宋体" w:hAnsi="Times New Roman" w:cs="Times New Roman"/>
          <w:sz w:val="24"/>
          <w:szCs w:val="24"/>
        </w:rPr>
        <w:t>种基本氨基酸）的一般结构特点及其分类</w:t>
      </w:r>
    </w:p>
    <w:p w14:paraId="51D03E1B" w14:textId="77777777" w:rsidR="0085474C" w:rsidRPr="0085474C" w:rsidRDefault="0085474C" w:rsidP="005E2322">
      <w:pPr>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3</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氨基酸的理化性质</w:t>
      </w:r>
    </w:p>
    <w:p w14:paraId="3CEB607C" w14:textId="77777777" w:rsidR="0085474C" w:rsidRPr="0085474C" w:rsidRDefault="0085474C" w:rsidP="005E2322">
      <w:pPr>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4</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蛋白质的一级结构</w:t>
      </w:r>
    </w:p>
    <w:p w14:paraId="2CE1443F" w14:textId="77777777" w:rsidR="0085474C" w:rsidRPr="0085474C" w:rsidRDefault="0085474C" w:rsidP="005E2322">
      <w:pPr>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5</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蛋白质的二级结构和超二级结构</w:t>
      </w:r>
    </w:p>
    <w:p w14:paraId="5903FE80" w14:textId="77777777" w:rsidR="0085474C" w:rsidRPr="0085474C" w:rsidRDefault="0085474C" w:rsidP="005E2322">
      <w:pPr>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6</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蛋白质的三级结构</w:t>
      </w:r>
    </w:p>
    <w:p w14:paraId="094757A2" w14:textId="77777777" w:rsidR="0085474C" w:rsidRPr="0085474C" w:rsidRDefault="0085474C" w:rsidP="005E2322">
      <w:pPr>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7</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蛋白质的四级结构</w:t>
      </w:r>
    </w:p>
    <w:p w14:paraId="10F9A13E" w14:textId="77777777" w:rsidR="0085474C" w:rsidRPr="0085474C" w:rsidRDefault="0085474C" w:rsidP="005E2322">
      <w:pPr>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8</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蛋白质分子结构与功能的关系</w:t>
      </w:r>
    </w:p>
    <w:p w14:paraId="53AB94A0" w14:textId="77777777" w:rsidR="0085474C" w:rsidRPr="0085474C" w:rsidRDefault="0085474C" w:rsidP="005E2322">
      <w:pPr>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9</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蛋白质的重要性质</w:t>
      </w:r>
    </w:p>
    <w:p w14:paraId="78719470" w14:textId="77777777" w:rsidR="0085474C" w:rsidRPr="0085474C" w:rsidRDefault="0085474C" w:rsidP="005E2322">
      <w:pPr>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10</w:t>
      </w:r>
      <w:r w:rsidRPr="005E2322">
        <w:rPr>
          <w:rFonts w:ascii="Times New Roman" w:eastAsia="宋体" w:hAnsi="Times New Roman" w:cs="Times New Roman"/>
          <w:sz w:val="24"/>
          <w:szCs w:val="24"/>
        </w:rPr>
        <w:t>.</w:t>
      </w:r>
      <w:r w:rsidRPr="0085474C">
        <w:rPr>
          <w:rFonts w:ascii="Times New Roman" w:eastAsia="宋体" w:hAnsi="Times New Roman" w:cs="Times New Roman"/>
          <w:sz w:val="24"/>
          <w:szCs w:val="24"/>
        </w:rPr>
        <w:t>蛋白质的分离纯化和测定</w:t>
      </w:r>
    </w:p>
    <w:p w14:paraId="3858967B" w14:textId="77777777" w:rsidR="0085474C" w:rsidRPr="0085474C" w:rsidRDefault="0085474C" w:rsidP="005E2322">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3991C806" w14:textId="77777777" w:rsidR="0085474C" w:rsidRPr="0085474C" w:rsidRDefault="0085474C" w:rsidP="005E2322">
      <w:pPr>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蛋白质的分子组成，氨基酸的分类；</w:t>
      </w:r>
    </w:p>
    <w:p w14:paraId="28B351C4" w14:textId="77777777" w:rsidR="0085474C" w:rsidRPr="0085474C" w:rsidRDefault="0085474C" w:rsidP="005E2322">
      <w:pPr>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肽键与肽链、蛋白质的一、二、三、四级结构；蛋白质结构与功能的关系；</w:t>
      </w:r>
    </w:p>
    <w:p w14:paraId="02549FE7" w14:textId="77777777" w:rsidR="0085474C" w:rsidRPr="0085474C" w:rsidRDefault="0085474C" w:rsidP="005E2322">
      <w:pPr>
        <w:spacing w:line="50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蛋白质的等电点、蛋白质的变性作用、蛋白质的盐析作用等概念。</w:t>
      </w:r>
    </w:p>
    <w:p w14:paraId="03871047" w14:textId="77777777" w:rsidR="0085474C" w:rsidRPr="0085474C" w:rsidRDefault="0085474C" w:rsidP="005E2322">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6F881F7A" w14:textId="77777777" w:rsidR="0085474C" w:rsidRPr="0085474C" w:rsidRDefault="0085474C" w:rsidP="005E2322">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蛋白质的一、二、三、四级结构；</w:t>
      </w:r>
    </w:p>
    <w:p w14:paraId="542C782E"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蛋白质结构与功能的关系</w:t>
      </w:r>
    </w:p>
    <w:p w14:paraId="490B6AC8" w14:textId="77777777" w:rsidR="0085474C" w:rsidRPr="0085474C" w:rsidRDefault="0085474C" w:rsidP="005E2322">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560C4DFA"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通过利用思维导图归纳法，将蛋白质的结构与功能进行汇总，培养学生的自主</w:t>
      </w:r>
      <w:r w:rsidRPr="0085474C">
        <w:rPr>
          <w:rFonts w:ascii="Times New Roman" w:eastAsia="宋体" w:hAnsi="Times New Roman" w:cs="Times New Roman"/>
          <w:sz w:val="24"/>
          <w:szCs w:val="24"/>
        </w:rPr>
        <w:lastRenderedPageBreak/>
        <w:t>学习能力和问题归纳能力；</w:t>
      </w:r>
    </w:p>
    <w:p w14:paraId="31184910"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通过多媒体课件和传统教学相结合，阐明蛋白质的空间结构，激发学生的学习兴趣，启发学生的想象力；</w:t>
      </w:r>
    </w:p>
    <w:p w14:paraId="0BB7AB1B"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在介绍蛋白质的概述过程中，通过案例教学法，借助</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三聚氰胺奶粉事件</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介绍蛋白质的经典测定方法</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凯氏定氮法，让学生指出该方法的不足并尝试对其进行改进，培养学生对实际问题进行深入分析、思考和解决的能力。</w:t>
      </w:r>
    </w:p>
    <w:p w14:paraId="202BD871" w14:textId="77777777" w:rsidR="0085474C" w:rsidRPr="0085474C" w:rsidRDefault="0085474C" w:rsidP="005E2322">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4D1B3247" w14:textId="77777777" w:rsidR="0085474C" w:rsidRPr="0085474C" w:rsidRDefault="0085474C" w:rsidP="005E2322">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名词解释：蛋白质一级结构、蛋白质二级结构、蛋白质三级结构、蛋白质四级结构、肽单元、模体、结构域、分子伴侣、协同效应、变构效应、蛋白质的等电点、电泳、层析</w:t>
      </w:r>
    </w:p>
    <w:p w14:paraId="2764B5B8"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蛋白质变性的概念以本质是什么，有何实际应用？</w:t>
      </w:r>
    </w:p>
    <w:p w14:paraId="5D9C2B35"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蛋白质分离纯化常用的方法有哪些，其原理是什么？</w:t>
      </w:r>
    </w:p>
    <w:p w14:paraId="4B328883"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4. </w:t>
      </w:r>
      <w:r w:rsidRPr="0085474C">
        <w:rPr>
          <w:rFonts w:ascii="Times New Roman" w:eastAsia="宋体" w:hAnsi="Times New Roman" w:cs="Times New Roman"/>
          <w:sz w:val="24"/>
          <w:szCs w:val="24"/>
        </w:rPr>
        <w:t>举例说明蛋白质结构与功能的关系？</w:t>
      </w:r>
    </w:p>
    <w:p w14:paraId="6CABF7E2" w14:textId="77777777" w:rsidR="0085474C" w:rsidRPr="0085474C" w:rsidRDefault="0085474C" w:rsidP="0085474C">
      <w:pPr>
        <w:spacing w:beforeLines="50" w:before="156" w:afterLines="50" w:after="156" w:line="440" w:lineRule="exact"/>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第三章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酶的结构与功能</w:t>
      </w:r>
    </w:p>
    <w:p w14:paraId="1C518154" w14:textId="77777777" w:rsidR="0085474C" w:rsidRPr="0085474C" w:rsidRDefault="0085474C" w:rsidP="005E2322">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7DDB4077"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认知类目标：运用酶的结构和性质的基本知识和原理，理解酶在生命过程中的重要性；</w:t>
      </w:r>
      <w:r w:rsidRPr="0085474C">
        <w:rPr>
          <w:rFonts w:ascii="Times New Roman" w:eastAsia="宋体" w:hAnsi="Times New Roman" w:cs="Times New Roman"/>
          <w:sz w:val="24"/>
          <w:szCs w:val="24"/>
        </w:rPr>
        <w:t xml:space="preserve"> </w:t>
      </w:r>
    </w:p>
    <w:p w14:paraId="5F4503F9"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过程与方法类目标：掌握酶的分子组成。酶的</w:t>
      </w:r>
      <w:proofErr w:type="gramStart"/>
      <w:r w:rsidRPr="0085474C">
        <w:rPr>
          <w:rFonts w:ascii="Times New Roman" w:eastAsia="宋体" w:hAnsi="Times New Roman" w:cs="Times New Roman"/>
          <w:sz w:val="24"/>
          <w:szCs w:val="24"/>
        </w:rPr>
        <w:t>的</w:t>
      </w:r>
      <w:proofErr w:type="gramEnd"/>
      <w:r w:rsidRPr="0085474C">
        <w:rPr>
          <w:rFonts w:ascii="Times New Roman" w:eastAsia="宋体" w:hAnsi="Times New Roman" w:cs="Times New Roman"/>
          <w:sz w:val="24"/>
          <w:szCs w:val="24"/>
        </w:rPr>
        <w:t>活性中心、酶作用的专一性、</w:t>
      </w:r>
      <w:r w:rsidRPr="0085474C">
        <w:rPr>
          <w:rFonts w:ascii="Times New Roman" w:eastAsia="宋体" w:hAnsi="Times New Roman" w:cs="Times New Roman"/>
          <w:sz w:val="24"/>
          <w:szCs w:val="24"/>
        </w:rPr>
        <w:t>Km</w:t>
      </w:r>
      <w:r w:rsidRPr="0085474C">
        <w:rPr>
          <w:rFonts w:ascii="Times New Roman" w:eastAsia="宋体" w:hAnsi="Times New Roman" w:cs="Times New Roman"/>
          <w:sz w:val="24"/>
          <w:szCs w:val="24"/>
        </w:rPr>
        <w:t>值、酶原及酶原激活、同工酶的概念。米氏方程，竞争性抑制、非竞争性抑制和反竞争性抑制的特点；熟悉单纯酶、结合酶、酶蛋白、辅酶、辅基的概念，不可逆性抑制剂对酶促反应速度的影响，了解其余内容。</w:t>
      </w:r>
    </w:p>
    <w:p w14:paraId="75B65347"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情感、态度、价值观类目标：具备基本的从事生物化学相关岗位的工作技能。</w:t>
      </w:r>
    </w:p>
    <w:p w14:paraId="6EA5B33E" w14:textId="77777777" w:rsidR="0085474C" w:rsidRPr="0085474C" w:rsidRDefault="0085474C" w:rsidP="005E2322">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65DA3374"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bCs/>
          <w:sz w:val="24"/>
          <w:szCs w:val="24"/>
        </w:rPr>
        <w:t xml:space="preserve">. </w:t>
      </w:r>
      <w:r w:rsidRPr="0085474C">
        <w:rPr>
          <w:rFonts w:ascii="Times New Roman" w:eastAsia="宋体" w:hAnsi="Times New Roman" w:cs="Times New Roman"/>
          <w:sz w:val="24"/>
          <w:szCs w:val="24"/>
        </w:rPr>
        <w:t>酶的概念</w:t>
      </w:r>
    </w:p>
    <w:p w14:paraId="7EF4D290"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bCs/>
          <w:sz w:val="24"/>
          <w:szCs w:val="24"/>
        </w:rPr>
        <w:t xml:space="preserve">. </w:t>
      </w:r>
      <w:r w:rsidRPr="0085474C">
        <w:rPr>
          <w:rFonts w:ascii="Times New Roman" w:eastAsia="宋体" w:hAnsi="Times New Roman" w:cs="Times New Roman"/>
          <w:sz w:val="24"/>
          <w:szCs w:val="24"/>
        </w:rPr>
        <w:t>酶催化作用的特点（共性和特性）</w:t>
      </w:r>
    </w:p>
    <w:p w14:paraId="113ECDF5"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3</w:t>
      </w:r>
      <w:r w:rsidRPr="0085474C">
        <w:rPr>
          <w:rFonts w:ascii="Times New Roman" w:eastAsia="宋体" w:hAnsi="Times New Roman" w:cs="Times New Roman"/>
          <w:bCs/>
          <w:sz w:val="24"/>
          <w:szCs w:val="24"/>
        </w:rPr>
        <w:t>.</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酶的化学本质及其组成</w:t>
      </w:r>
    </w:p>
    <w:p w14:paraId="316FFC5B"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4</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酶的国际分类</w:t>
      </w:r>
    </w:p>
    <w:p w14:paraId="30310C6C"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5</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酶的空间结构与功能（活性中心）</w:t>
      </w:r>
    </w:p>
    <w:p w14:paraId="64B64B25"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6</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一级结构与功能</w:t>
      </w:r>
    </w:p>
    <w:p w14:paraId="406DC852"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7</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米氏公式的导出及米氏常数的含义</w:t>
      </w:r>
    </w:p>
    <w:p w14:paraId="4EAAD19F"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8</w:t>
      </w:r>
      <w:r w:rsidRPr="005E2322">
        <w:rPr>
          <w:rFonts w:ascii="Times New Roman" w:eastAsia="宋体" w:hAnsi="Times New Roman" w:cs="Times New Roman"/>
          <w:sz w:val="24"/>
          <w:szCs w:val="24"/>
        </w:rPr>
        <w:t>.</w:t>
      </w:r>
      <w:r w:rsidRPr="0085474C">
        <w:rPr>
          <w:rFonts w:ascii="Times New Roman" w:eastAsia="宋体" w:hAnsi="Times New Roman" w:cs="Times New Roman"/>
          <w:sz w:val="24"/>
          <w:szCs w:val="24"/>
        </w:rPr>
        <w:t xml:space="preserve"> pH</w:t>
      </w:r>
      <w:r w:rsidRPr="0085474C">
        <w:rPr>
          <w:rFonts w:ascii="Times New Roman" w:eastAsia="宋体" w:hAnsi="Times New Roman" w:cs="Times New Roman"/>
          <w:sz w:val="24"/>
          <w:szCs w:val="24"/>
        </w:rPr>
        <w:t>及温度对</w:t>
      </w:r>
      <w:proofErr w:type="gramStart"/>
      <w:r w:rsidRPr="0085474C">
        <w:rPr>
          <w:rFonts w:ascii="Times New Roman" w:eastAsia="宋体" w:hAnsi="Times New Roman" w:cs="Times New Roman"/>
          <w:sz w:val="24"/>
          <w:szCs w:val="24"/>
        </w:rPr>
        <w:t>酶反应</w:t>
      </w:r>
      <w:proofErr w:type="gramEnd"/>
      <w:r w:rsidRPr="0085474C">
        <w:rPr>
          <w:rFonts w:ascii="Times New Roman" w:eastAsia="宋体" w:hAnsi="Times New Roman" w:cs="Times New Roman"/>
          <w:sz w:val="24"/>
          <w:szCs w:val="24"/>
        </w:rPr>
        <w:t>的影响</w:t>
      </w:r>
    </w:p>
    <w:p w14:paraId="0A38A6D1"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9</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激活剂对</w:t>
      </w:r>
      <w:proofErr w:type="gramStart"/>
      <w:r w:rsidRPr="0085474C">
        <w:rPr>
          <w:rFonts w:ascii="Times New Roman" w:eastAsia="宋体" w:hAnsi="Times New Roman" w:cs="Times New Roman"/>
          <w:sz w:val="24"/>
          <w:szCs w:val="24"/>
        </w:rPr>
        <w:t>酶反应</w:t>
      </w:r>
      <w:proofErr w:type="gramEnd"/>
      <w:r w:rsidRPr="0085474C">
        <w:rPr>
          <w:rFonts w:ascii="Times New Roman" w:eastAsia="宋体" w:hAnsi="Times New Roman" w:cs="Times New Roman"/>
          <w:sz w:val="24"/>
          <w:szCs w:val="24"/>
        </w:rPr>
        <w:t>的影响</w:t>
      </w:r>
    </w:p>
    <w:p w14:paraId="3A64628A"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10</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抑制剂对</w:t>
      </w:r>
      <w:proofErr w:type="gramStart"/>
      <w:r w:rsidRPr="0085474C">
        <w:rPr>
          <w:rFonts w:ascii="Times New Roman" w:eastAsia="宋体" w:hAnsi="Times New Roman" w:cs="Times New Roman"/>
          <w:sz w:val="24"/>
          <w:szCs w:val="24"/>
        </w:rPr>
        <w:t>酶反应</w:t>
      </w:r>
      <w:proofErr w:type="gramEnd"/>
      <w:r w:rsidRPr="0085474C">
        <w:rPr>
          <w:rFonts w:ascii="Times New Roman" w:eastAsia="宋体" w:hAnsi="Times New Roman" w:cs="Times New Roman"/>
          <w:sz w:val="24"/>
          <w:szCs w:val="24"/>
        </w:rPr>
        <w:t>的影响</w:t>
      </w:r>
      <w:r w:rsidRPr="0085474C">
        <w:rPr>
          <w:rFonts w:ascii="Times New Roman" w:eastAsia="宋体" w:hAnsi="Times New Roman" w:cs="Times New Roman"/>
          <w:sz w:val="24"/>
          <w:szCs w:val="24"/>
        </w:rPr>
        <w:t xml:space="preserve">  </w:t>
      </w:r>
    </w:p>
    <w:p w14:paraId="38250DF7"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11</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酶的催化机制</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诱导契合学说</w:t>
      </w:r>
    </w:p>
    <w:p w14:paraId="0095A1AA"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12</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酶活力的测定</w:t>
      </w:r>
    </w:p>
    <w:p w14:paraId="07679D93"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13</w:t>
      </w:r>
      <w:r w:rsidRPr="005E2322">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酶的应用</w:t>
      </w:r>
    </w:p>
    <w:p w14:paraId="2D14C754" w14:textId="77777777" w:rsidR="0085474C" w:rsidRPr="0085474C" w:rsidRDefault="0085474C" w:rsidP="005E2322">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112FA5F7"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酶的</w:t>
      </w:r>
      <w:proofErr w:type="gramStart"/>
      <w:r w:rsidRPr="0085474C">
        <w:rPr>
          <w:rFonts w:ascii="Times New Roman" w:eastAsia="宋体" w:hAnsi="Times New Roman" w:cs="Times New Roman"/>
          <w:sz w:val="24"/>
          <w:szCs w:val="24"/>
        </w:rPr>
        <w:t>的</w:t>
      </w:r>
      <w:proofErr w:type="gramEnd"/>
      <w:r w:rsidRPr="0085474C">
        <w:rPr>
          <w:rFonts w:ascii="Times New Roman" w:eastAsia="宋体" w:hAnsi="Times New Roman" w:cs="Times New Roman"/>
          <w:sz w:val="24"/>
          <w:szCs w:val="24"/>
        </w:rPr>
        <w:t>活性中心、</w:t>
      </w:r>
      <w:r w:rsidRPr="0085474C">
        <w:rPr>
          <w:rFonts w:ascii="Times New Roman" w:eastAsia="宋体" w:hAnsi="Times New Roman" w:cs="Times New Roman"/>
          <w:sz w:val="24"/>
          <w:szCs w:val="24"/>
        </w:rPr>
        <w:t>Km</w:t>
      </w:r>
      <w:r w:rsidRPr="0085474C">
        <w:rPr>
          <w:rFonts w:ascii="Times New Roman" w:eastAsia="宋体" w:hAnsi="Times New Roman" w:cs="Times New Roman"/>
          <w:sz w:val="24"/>
          <w:szCs w:val="24"/>
        </w:rPr>
        <w:t>值、酶原及酶原激活、同工酶等概念</w:t>
      </w:r>
    </w:p>
    <w:p w14:paraId="6BFEB8A7" w14:textId="77777777" w:rsidR="0085474C" w:rsidRPr="0085474C" w:rsidRDefault="0085474C" w:rsidP="005E2322">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米氏方程、竞争性抑制、非竞争性抑制和反竞争性抑制的特点</w:t>
      </w:r>
    </w:p>
    <w:p w14:paraId="25FEBE8A" w14:textId="77777777" w:rsidR="0085474C" w:rsidRPr="0085474C" w:rsidRDefault="0085474C" w:rsidP="005E2322">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38E08A87"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米氏方程推导，</w:t>
      </w:r>
      <w:r w:rsidRPr="0085474C">
        <w:rPr>
          <w:rFonts w:ascii="Times New Roman" w:eastAsia="宋体" w:hAnsi="Times New Roman" w:cs="Times New Roman"/>
          <w:sz w:val="24"/>
          <w:szCs w:val="24"/>
        </w:rPr>
        <w:t>Km</w:t>
      </w:r>
      <w:r w:rsidRPr="0085474C">
        <w:rPr>
          <w:rFonts w:ascii="Times New Roman" w:eastAsia="宋体" w:hAnsi="Times New Roman" w:cs="Times New Roman"/>
          <w:sz w:val="24"/>
          <w:szCs w:val="24"/>
        </w:rPr>
        <w:t>和</w:t>
      </w:r>
      <w:r w:rsidRPr="0085474C">
        <w:rPr>
          <w:rFonts w:ascii="Times New Roman" w:eastAsia="宋体" w:hAnsi="Times New Roman" w:cs="Times New Roman"/>
          <w:sz w:val="24"/>
          <w:szCs w:val="24"/>
        </w:rPr>
        <w:t>Vmax</w:t>
      </w:r>
      <w:r w:rsidRPr="0085474C">
        <w:rPr>
          <w:rFonts w:ascii="Times New Roman" w:eastAsia="宋体" w:hAnsi="Times New Roman" w:cs="Times New Roman"/>
          <w:sz w:val="24"/>
          <w:szCs w:val="24"/>
        </w:rPr>
        <w:t>的测定</w:t>
      </w:r>
    </w:p>
    <w:p w14:paraId="192F2115"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竞争性抑制、非竞争性抑制和反竞争性抑制的特点</w:t>
      </w:r>
    </w:p>
    <w:p w14:paraId="4014D368" w14:textId="77777777" w:rsidR="0085474C" w:rsidRPr="0085474C" w:rsidRDefault="0085474C" w:rsidP="005E2322">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79FF2022"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通过多媒体课件和传统教学相结合，阐明酶的结构与功能，丰富学生课程基本知识结构，激发学生学习兴趣，培养自主学习能力；</w:t>
      </w:r>
    </w:p>
    <w:p w14:paraId="4B80B302"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通过利用思维导图归纳法，</w:t>
      </w:r>
      <w:proofErr w:type="gramStart"/>
      <w:r w:rsidRPr="0085474C">
        <w:rPr>
          <w:rFonts w:ascii="Times New Roman" w:eastAsia="宋体" w:hAnsi="Times New Roman" w:cs="Times New Roman"/>
          <w:sz w:val="24"/>
          <w:szCs w:val="24"/>
        </w:rPr>
        <w:t>将酶的</w:t>
      </w:r>
      <w:proofErr w:type="gramEnd"/>
      <w:r w:rsidRPr="0085474C">
        <w:rPr>
          <w:rFonts w:ascii="Times New Roman" w:eastAsia="宋体" w:hAnsi="Times New Roman" w:cs="Times New Roman"/>
          <w:sz w:val="24"/>
          <w:szCs w:val="24"/>
        </w:rPr>
        <w:t>结构与功能进行汇总，培养学生的自主学习能力和问题归纳能力；</w:t>
      </w:r>
    </w:p>
    <w:p w14:paraId="23603AE8" w14:textId="77777777" w:rsidR="0085474C" w:rsidRPr="0085474C" w:rsidRDefault="0085474C" w:rsidP="005E2322">
      <w:pPr>
        <w:spacing w:line="360" w:lineRule="auto"/>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案例教学法通过将鲜活的案例引入到课堂教学中，培养学生对实际问题进行深入分析、思考和解决的能力。讲解不可逆性抑制剂时，选择有机磷农药中毒的病例，引导学生分析中毒原理，应该如何解毒及用药选择。在竞争性抑制剂部分，选用磺胺类药物抑菌原理的案例，让学生分析磺胺类药物为何具有抑菌作用，在抑菌的同时为何对人体没有危害。学习酶原与酶原激活知识点时，选择急性胰腺炎病例，分析发病机制，加深学生对酶原激活的原理和意义的理解。</w:t>
      </w:r>
    </w:p>
    <w:p w14:paraId="3DC08E54" w14:textId="77777777" w:rsidR="0085474C" w:rsidRPr="0085474C" w:rsidRDefault="0085474C" w:rsidP="005E2322">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1F210143" w14:textId="77777777" w:rsidR="0085474C" w:rsidRPr="0085474C" w:rsidRDefault="0085474C" w:rsidP="005E2322">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名词解释：酶、酶的活性中心和必需基团、竞争性抑制作用、非竞争性抑制作用、催化部位、别构效应、共价修饰、同工酶、酶原、酶原的激活</w:t>
      </w:r>
    </w:p>
    <w:p w14:paraId="503A2B86"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试述酶原启动的机制</w:t>
      </w:r>
      <w:proofErr w:type="gramStart"/>
      <w:r w:rsidRPr="0085474C">
        <w:rPr>
          <w:rFonts w:ascii="Times New Roman" w:eastAsia="宋体" w:hAnsi="Times New Roman" w:cs="Times New Roman"/>
          <w:sz w:val="24"/>
          <w:szCs w:val="24"/>
        </w:rPr>
        <w:t>及酶以酶原</w:t>
      </w:r>
      <w:proofErr w:type="gramEnd"/>
      <w:r w:rsidRPr="0085474C">
        <w:rPr>
          <w:rFonts w:ascii="Times New Roman" w:eastAsia="宋体" w:hAnsi="Times New Roman" w:cs="Times New Roman"/>
          <w:sz w:val="24"/>
          <w:szCs w:val="24"/>
        </w:rPr>
        <w:t>形式存在的生理意义。</w:t>
      </w:r>
    </w:p>
    <w:p w14:paraId="62A498C2"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试以竞争性抑制的作用原理说明磺胺类药物的作用机制？</w:t>
      </w:r>
    </w:p>
    <w:p w14:paraId="5F852596"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4. </w:t>
      </w:r>
      <w:r w:rsidRPr="0085474C">
        <w:rPr>
          <w:rFonts w:ascii="Times New Roman" w:eastAsia="宋体" w:hAnsi="Times New Roman" w:cs="Times New Roman"/>
          <w:sz w:val="24"/>
          <w:szCs w:val="24"/>
        </w:rPr>
        <w:t>什么是酶的活性、表示酶活性的国际单位</w:t>
      </w:r>
      <w:proofErr w:type="gramStart"/>
      <w:r w:rsidRPr="0085474C">
        <w:rPr>
          <w:rFonts w:ascii="Times New Roman" w:eastAsia="宋体" w:hAnsi="Times New Roman" w:cs="Times New Roman"/>
          <w:sz w:val="24"/>
          <w:szCs w:val="24"/>
        </w:rPr>
        <w:t>和催量是</w:t>
      </w:r>
      <w:proofErr w:type="gramEnd"/>
      <w:r w:rsidRPr="0085474C">
        <w:rPr>
          <w:rFonts w:ascii="Times New Roman" w:eastAsia="宋体" w:hAnsi="Times New Roman" w:cs="Times New Roman"/>
          <w:sz w:val="24"/>
          <w:szCs w:val="24"/>
        </w:rPr>
        <w:t>如何规定的？</w:t>
      </w:r>
    </w:p>
    <w:p w14:paraId="11FFE6E7"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5. </w:t>
      </w:r>
      <w:r w:rsidRPr="0085474C">
        <w:rPr>
          <w:rFonts w:ascii="Times New Roman" w:eastAsia="宋体" w:hAnsi="Times New Roman" w:cs="Times New Roman"/>
          <w:sz w:val="24"/>
          <w:szCs w:val="24"/>
        </w:rPr>
        <w:t>影响酶作用的因素有哪些？</w:t>
      </w:r>
    </w:p>
    <w:p w14:paraId="2149E59D" w14:textId="77777777" w:rsidR="0085474C" w:rsidRPr="0085474C" w:rsidRDefault="0085474C" w:rsidP="0085474C">
      <w:pPr>
        <w:spacing w:beforeLines="50" w:before="156" w:afterLines="50" w:after="156" w:line="440" w:lineRule="exact"/>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第四章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维生素与辅酶</w:t>
      </w:r>
    </w:p>
    <w:p w14:paraId="2AFA8CA1"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lastRenderedPageBreak/>
        <w:t>【学习目标】</w:t>
      </w:r>
    </w:p>
    <w:p w14:paraId="68F1D919"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认知类目标：学生能够解释不同维生素缺乏症产生的生化机制</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能够提出维生素缺乏及滥用的预防保健措施；</w:t>
      </w:r>
    </w:p>
    <w:p w14:paraId="21228168"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过程与方法类目标：掌握维生素的定义、来源、生化功能和缺乏症</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了解不同维生素的化学本质和性质；</w:t>
      </w:r>
    </w:p>
    <w:p w14:paraId="43CB26C8"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情感、态度、价值观类目标：基于应用型专业人才的培养要求</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培养学生掌握药物分析专业人才必备的基本技能和基本素养</w:t>
      </w:r>
    </w:p>
    <w:p w14:paraId="639BA2BE"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64BF35ED" w14:textId="77777777" w:rsidR="0085474C" w:rsidRPr="0085474C" w:rsidRDefault="0085474C" w:rsidP="00E842C1">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维生素的概念、缺乏症、分类；</w:t>
      </w:r>
    </w:p>
    <w:p w14:paraId="1684BC50"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水溶性维生素的结构、功能、来源、缺乏症；</w:t>
      </w:r>
    </w:p>
    <w:p w14:paraId="7D38FC29"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3.</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脂溶性维生素的结构、功能、来源、缺乏症；</w:t>
      </w:r>
    </w:p>
    <w:p w14:paraId="0E2EAC74"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2F9AA5D9"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水溶性维生素的结构、功能、来源、缺乏症；</w:t>
      </w:r>
    </w:p>
    <w:p w14:paraId="5AD94927" w14:textId="77777777" w:rsidR="0085474C" w:rsidRPr="0085474C" w:rsidRDefault="0085474C" w:rsidP="00E842C1">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脂溶性维生素的结构、功能、来源、缺乏症；</w:t>
      </w:r>
    </w:p>
    <w:p w14:paraId="5CD83668"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6DAC1A6E" w14:textId="77777777" w:rsidR="0085474C" w:rsidRPr="0085474C" w:rsidRDefault="0085474C" w:rsidP="00E842C1">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维生素的结构</w:t>
      </w:r>
    </w:p>
    <w:p w14:paraId="7E7EE851" w14:textId="77777777" w:rsidR="0085474C" w:rsidRPr="0085474C" w:rsidRDefault="0085474C" w:rsidP="00E842C1">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65A35D17"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通过问题导入式激发学生自主学习兴趣，如通过黄金大米事件热点事件，并从视频中提炼出与课程相关的问题供学生思考，通过问题讨论培养学生分析问题，解决问题的能力。</w:t>
      </w:r>
    </w:p>
    <w:p w14:paraId="47372A53"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结合多媒体课件对教学内容进行精讲</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特别是利用多媒体动画生动形象地将维生素的化学结构、生化机制展示给学生，给学生直观鲜明的印象</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便于知识的理解、掌握和运用。</w:t>
      </w:r>
    </w:p>
    <w:p w14:paraId="2A5F8C5E"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通过引入维生素缺乏的案例进行分析，强调理论与实践相结合，促进学生知识整合，培养学生的分析问题和解决问题的能力；</w:t>
      </w:r>
    </w:p>
    <w:p w14:paraId="2E98C04D" w14:textId="77777777" w:rsidR="0085474C" w:rsidRPr="0085474C" w:rsidRDefault="0085474C" w:rsidP="0085474C">
      <w:pPr>
        <w:spacing w:beforeLines="50" w:before="156" w:afterLines="50" w:after="156" w:line="440" w:lineRule="exact"/>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第五章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核酸的结构与功能</w:t>
      </w:r>
    </w:p>
    <w:p w14:paraId="35160EC2"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2A40F894"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认知类目标：运用核酸的结构和功能的基本知识和原理，理解核酸在生命过程中的重要性；</w:t>
      </w:r>
      <w:r w:rsidRPr="0085474C">
        <w:rPr>
          <w:rFonts w:ascii="Times New Roman" w:eastAsia="宋体" w:hAnsi="Times New Roman" w:cs="Times New Roman"/>
          <w:sz w:val="24"/>
          <w:szCs w:val="24"/>
        </w:rPr>
        <w:t xml:space="preserve"> </w:t>
      </w:r>
    </w:p>
    <w:p w14:paraId="198CFFEA"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过程与方法类目标：掌握核酸的分类细胞分布，各类核酸的功能及生物学意义；核酸的化学组成；两类核酸（</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与</w:t>
      </w:r>
      <w:r w:rsidRPr="0085474C">
        <w:rPr>
          <w:rFonts w:ascii="Times New Roman" w:eastAsia="宋体" w:hAnsi="Times New Roman" w:cs="Times New Roman"/>
          <w:sz w:val="24"/>
          <w:szCs w:val="24"/>
        </w:rPr>
        <w:t>RNA</w:t>
      </w:r>
      <w:r w:rsidRPr="0085474C">
        <w:rPr>
          <w:rFonts w:ascii="Times New Roman" w:eastAsia="宋体" w:hAnsi="Times New Roman" w:cs="Times New Roman"/>
          <w:sz w:val="24"/>
          <w:szCs w:val="24"/>
        </w:rPr>
        <w:t>）分子组成异同；核酸的一级结构及</w:t>
      </w:r>
      <w:r w:rsidRPr="0085474C">
        <w:rPr>
          <w:rFonts w:ascii="Times New Roman" w:eastAsia="宋体" w:hAnsi="Times New Roman" w:cs="Times New Roman"/>
          <w:sz w:val="24"/>
          <w:szCs w:val="24"/>
        </w:rPr>
        <w:lastRenderedPageBreak/>
        <w:t>其主要化学键；</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右手双螺旋结构特点及碱基配对规律；</w:t>
      </w:r>
      <w:r w:rsidRPr="0085474C">
        <w:rPr>
          <w:rFonts w:ascii="Times New Roman" w:eastAsia="宋体" w:hAnsi="Times New Roman" w:cs="Times New Roman"/>
          <w:sz w:val="24"/>
          <w:szCs w:val="24"/>
        </w:rPr>
        <w:t>mRNA</w:t>
      </w:r>
      <w:r w:rsidRPr="0085474C">
        <w:rPr>
          <w:rFonts w:ascii="Times New Roman" w:eastAsia="宋体" w:hAnsi="Times New Roman" w:cs="Times New Roman"/>
          <w:sz w:val="24"/>
          <w:szCs w:val="24"/>
        </w:rPr>
        <w:t>一级结构特点，</w:t>
      </w:r>
      <w:r w:rsidRPr="0085474C">
        <w:rPr>
          <w:rFonts w:ascii="Times New Roman" w:eastAsia="宋体" w:hAnsi="Times New Roman" w:cs="Times New Roman"/>
          <w:sz w:val="24"/>
          <w:szCs w:val="24"/>
        </w:rPr>
        <w:t>tRNA</w:t>
      </w:r>
      <w:r w:rsidRPr="0085474C">
        <w:rPr>
          <w:rFonts w:ascii="Times New Roman" w:eastAsia="宋体" w:hAnsi="Times New Roman" w:cs="Times New Roman"/>
          <w:sz w:val="24"/>
          <w:szCs w:val="24"/>
        </w:rPr>
        <w:t>二级结构特点；核酸的主要理化性质（紫外吸收、变性、复性），核酸分子杂交概念。熟悉核酸的高级结构；核酸酶；了解碱基戊糖的结构；</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其他二级结构形式；其他小分子</w:t>
      </w:r>
      <w:r w:rsidRPr="0085474C">
        <w:rPr>
          <w:rFonts w:ascii="Times New Roman" w:eastAsia="宋体" w:hAnsi="Times New Roman" w:cs="Times New Roman"/>
          <w:sz w:val="24"/>
          <w:szCs w:val="24"/>
        </w:rPr>
        <w:t>RNA</w:t>
      </w:r>
      <w:r w:rsidRPr="0085474C">
        <w:rPr>
          <w:rFonts w:ascii="Times New Roman" w:eastAsia="宋体" w:hAnsi="Times New Roman" w:cs="Times New Roman"/>
          <w:sz w:val="24"/>
          <w:szCs w:val="24"/>
        </w:rPr>
        <w:t>及</w:t>
      </w:r>
      <w:r w:rsidRPr="0085474C">
        <w:rPr>
          <w:rFonts w:ascii="Times New Roman" w:eastAsia="宋体" w:hAnsi="Times New Roman" w:cs="Times New Roman"/>
          <w:sz w:val="24"/>
          <w:szCs w:val="24"/>
        </w:rPr>
        <w:t>RNA</w:t>
      </w:r>
      <w:r w:rsidRPr="0085474C">
        <w:rPr>
          <w:rFonts w:ascii="Times New Roman" w:eastAsia="宋体" w:hAnsi="Times New Roman" w:cs="Times New Roman"/>
          <w:sz w:val="24"/>
          <w:szCs w:val="24"/>
        </w:rPr>
        <w:t>组学，人类基因组计划研究的主要内容；</w:t>
      </w:r>
      <w:proofErr w:type="spellStart"/>
      <w:r w:rsidRPr="0085474C">
        <w:rPr>
          <w:rFonts w:ascii="Times New Roman" w:eastAsia="宋体" w:hAnsi="Times New Roman" w:cs="Times New Roman"/>
          <w:sz w:val="24"/>
          <w:szCs w:val="24"/>
        </w:rPr>
        <w:t>snmRNA</w:t>
      </w:r>
      <w:proofErr w:type="spellEnd"/>
      <w:r w:rsidRPr="0085474C">
        <w:rPr>
          <w:rFonts w:ascii="Times New Roman" w:eastAsia="宋体" w:hAnsi="Times New Roman" w:cs="Times New Roman"/>
          <w:sz w:val="24"/>
          <w:szCs w:val="24"/>
        </w:rPr>
        <w:t>参与基因表达调控。</w:t>
      </w:r>
    </w:p>
    <w:p w14:paraId="514265AF"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情感、态度、价值观类目标：具备的从事生物化学相关岗位的专业知识和技能。</w:t>
      </w:r>
    </w:p>
    <w:p w14:paraId="7B43D4D2"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74486BDB"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1. </w:t>
      </w:r>
      <w:r w:rsidRPr="0085474C">
        <w:rPr>
          <w:rFonts w:ascii="Times New Roman" w:eastAsia="宋体" w:hAnsi="Times New Roman" w:cs="Times New Roman"/>
          <w:bCs/>
          <w:sz w:val="24"/>
          <w:szCs w:val="24"/>
        </w:rPr>
        <w:t>核酸发现历史及核酸研究意义</w:t>
      </w:r>
    </w:p>
    <w:p w14:paraId="195E9C3C"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2. </w:t>
      </w:r>
      <w:r w:rsidRPr="0085474C">
        <w:rPr>
          <w:rFonts w:ascii="Times New Roman" w:eastAsia="宋体" w:hAnsi="Times New Roman" w:cs="Times New Roman"/>
          <w:bCs/>
          <w:sz w:val="24"/>
          <w:szCs w:val="24"/>
        </w:rPr>
        <w:t>核酸的分类和组成</w:t>
      </w:r>
    </w:p>
    <w:p w14:paraId="5D9C5E05"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3. DNA</w:t>
      </w:r>
      <w:r w:rsidRPr="0085474C">
        <w:rPr>
          <w:rFonts w:ascii="Times New Roman" w:eastAsia="宋体" w:hAnsi="Times New Roman" w:cs="Times New Roman"/>
          <w:bCs/>
          <w:sz w:val="24"/>
          <w:szCs w:val="24"/>
        </w:rPr>
        <w:t>的一、二、三级结构</w:t>
      </w:r>
    </w:p>
    <w:p w14:paraId="52CFD6CF"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4. tRNA</w:t>
      </w:r>
      <w:r w:rsidRPr="0085474C">
        <w:rPr>
          <w:rFonts w:ascii="Times New Roman" w:eastAsia="宋体" w:hAnsi="Times New Roman" w:cs="Times New Roman"/>
          <w:bCs/>
          <w:sz w:val="24"/>
          <w:szCs w:val="24"/>
        </w:rPr>
        <w:t>的二、三级结构</w:t>
      </w:r>
    </w:p>
    <w:p w14:paraId="0A7099BF"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5. </w:t>
      </w:r>
      <w:r w:rsidRPr="0085474C">
        <w:rPr>
          <w:rFonts w:ascii="Times New Roman" w:eastAsia="宋体" w:hAnsi="Times New Roman" w:cs="Times New Roman"/>
          <w:bCs/>
          <w:sz w:val="24"/>
          <w:szCs w:val="24"/>
        </w:rPr>
        <w:t>核酸的变形与复性</w:t>
      </w:r>
    </w:p>
    <w:p w14:paraId="1CC6DFFF"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6. </w:t>
      </w:r>
      <w:r w:rsidRPr="0085474C">
        <w:rPr>
          <w:rFonts w:ascii="Times New Roman" w:eastAsia="宋体" w:hAnsi="Times New Roman" w:cs="Times New Roman"/>
          <w:bCs/>
          <w:sz w:val="24"/>
          <w:szCs w:val="24"/>
        </w:rPr>
        <w:t>核酸的化学反应</w:t>
      </w:r>
    </w:p>
    <w:p w14:paraId="148C088A"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7. </w:t>
      </w:r>
      <w:r w:rsidRPr="0085474C">
        <w:rPr>
          <w:rFonts w:ascii="Times New Roman" w:eastAsia="宋体" w:hAnsi="Times New Roman" w:cs="Times New Roman"/>
          <w:bCs/>
          <w:sz w:val="24"/>
          <w:szCs w:val="24"/>
        </w:rPr>
        <w:t>基因和基因组</w:t>
      </w:r>
    </w:p>
    <w:p w14:paraId="5B3053DF"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680E85A0"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核酸的分类细胞分布，各类核酸的功能及生物学意义；</w:t>
      </w:r>
    </w:p>
    <w:p w14:paraId="10292F62"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核酸的化学组成；两类核酸（</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与</w:t>
      </w:r>
      <w:r w:rsidRPr="0085474C">
        <w:rPr>
          <w:rFonts w:ascii="Times New Roman" w:eastAsia="宋体" w:hAnsi="Times New Roman" w:cs="Times New Roman"/>
          <w:sz w:val="24"/>
          <w:szCs w:val="24"/>
        </w:rPr>
        <w:t>RNA</w:t>
      </w:r>
      <w:r w:rsidRPr="0085474C">
        <w:rPr>
          <w:rFonts w:ascii="Times New Roman" w:eastAsia="宋体" w:hAnsi="Times New Roman" w:cs="Times New Roman"/>
          <w:sz w:val="24"/>
          <w:szCs w:val="24"/>
        </w:rPr>
        <w:t>）分子组成异同；</w:t>
      </w:r>
    </w:p>
    <w:p w14:paraId="170B776E"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核酸的一级结构及其主要化学键；</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右手双螺旋结构特点及碱基配对规律；</w:t>
      </w:r>
      <w:r w:rsidRPr="0085474C">
        <w:rPr>
          <w:rFonts w:ascii="Times New Roman" w:eastAsia="宋体" w:hAnsi="Times New Roman" w:cs="Times New Roman"/>
          <w:sz w:val="24"/>
          <w:szCs w:val="24"/>
        </w:rPr>
        <w:t>mRNA</w:t>
      </w:r>
      <w:r w:rsidRPr="0085474C">
        <w:rPr>
          <w:rFonts w:ascii="Times New Roman" w:eastAsia="宋体" w:hAnsi="Times New Roman" w:cs="Times New Roman"/>
          <w:sz w:val="24"/>
          <w:szCs w:val="24"/>
        </w:rPr>
        <w:t>一级结构特点，</w:t>
      </w:r>
      <w:r w:rsidRPr="0085474C">
        <w:rPr>
          <w:rFonts w:ascii="Times New Roman" w:eastAsia="宋体" w:hAnsi="Times New Roman" w:cs="Times New Roman"/>
          <w:sz w:val="24"/>
          <w:szCs w:val="24"/>
        </w:rPr>
        <w:t>tRNA</w:t>
      </w:r>
      <w:r w:rsidRPr="0085474C">
        <w:rPr>
          <w:rFonts w:ascii="Times New Roman" w:eastAsia="宋体" w:hAnsi="Times New Roman" w:cs="Times New Roman"/>
          <w:sz w:val="24"/>
          <w:szCs w:val="24"/>
        </w:rPr>
        <w:t>二级结构特点；</w:t>
      </w:r>
    </w:p>
    <w:p w14:paraId="2DF16C9C"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4. </w:t>
      </w:r>
      <w:r w:rsidRPr="0085474C">
        <w:rPr>
          <w:rFonts w:ascii="Times New Roman" w:eastAsia="宋体" w:hAnsi="Times New Roman" w:cs="Times New Roman"/>
          <w:sz w:val="24"/>
          <w:szCs w:val="24"/>
        </w:rPr>
        <w:t>核酸的主要理化性质（紫外吸收、变性、复性），核酸分子杂交概念。</w:t>
      </w:r>
    </w:p>
    <w:p w14:paraId="21E0789C"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3B7FCDA4" w14:textId="77777777" w:rsidR="0085474C" w:rsidRPr="0085474C" w:rsidRDefault="0085474C" w:rsidP="00E842C1">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1. DNA</w:t>
      </w:r>
      <w:r w:rsidRPr="0085474C">
        <w:rPr>
          <w:rFonts w:ascii="Times New Roman" w:eastAsia="宋体" w:hAnsi="Times New Roman" w:cs="Times New Roman"/>
          <w:sz w:val="24"/>
          <w:szCs w:val="24"/>
        </w:rPr>
        <w:t>的空间结构</w:t>
      </w:r>
    </w:p>
    <w:p w14:paraId="3100E5AB" w14:textId="77777777" w:rsidR="0085474C" w:rsidRPr="0085474C" w:rsidRDefault="0085474C" w:rsidP="00E842C1">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0A77A9D7"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通过多媒体课件和传统教学相结合，阐明核酸的结构与功能的基本原理，培养学生能够应用核酸的结构与功能专业知识解决药物分析领域菌种遗传改造、生物产品工艺开发等复杂工程问题。</w:t>
      </w:r>
    </w:p>
    <w:p w14:paraId="2BBB52FB"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bookmarkStart w:id="205" w:name="_Hlk47389857"/>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以问题为基础</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的教学法，在教师的引导下，让学生在解决问题的过程中，培养学生的自主学习能力。</w:t>
      </w:r>
    </w:p>
    <w:bookmarkEnd w:id="205"/>
    <w:p w14:paraId="4C6B31A9" w14:textId="77777777" w:rsidR="0085474C" w:rsidRPr="0085474C" w:rsidRDefault="0085474C" w:rsidP="00E842C1">
      <w:pPr>
        <w:spacing w:line="440" w:lineRule="exact"/>
        <w:ind w:firstLineChars="200" w:firstLine="480"/>
        <w:rPr>
          <w:rFonts w:ascii="Times New Roman" w:eastAsia="宋体" w:hAnsi="Times New Roman" w:cs="Times New Roman"/>
          <w:color w:val="FF0000"/>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通过文献教学法使教学不拘泥于课本，开拓学生的眼界，锻炼学生的思维能力和解决问题的能力。</w:t>
      </w:r>
    </w:p>
    <w:p w14:paraId="475D0F5D" w14:textId="77777777" w:rsidR="0085474C" w:rsidRPr="0085474C" w:rsidRDefault="0085474C" w:rsidP="00E842C1">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【复习思考】</w:t>
      </w:r>
    </w:p>
    <w:p w14:paraId="58233CFF" w14:textId="77777777" w:rsidR="0085474C" w:rsidRPr="0085474C" w:rsidRDefault="0085474C" w:rsidP="00E842C1">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lastRenderedPageBreak/>
        <w:t xml:space="preserve">1. </w:t>
      </w:r>
      <w:r w:rsidRPr="0085474C">
        <w:rPr>
          <w:rFonts w:ascii="Times New Roman" w:eastAsia="宋体" w:hAnsi="Times New Roman" w:cs="Times New Roman"/>
          <w:sz w:val="24"/>
          <w:szCs w:val="24"/>
        </w:rPr>
        <w:t>简述</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双螺旋结构模型的结构要点。</w:t>
      </w:r>
    </w:p>
    <w:p w14:paraId="5AE7F726"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简述</w:t>
      </w:r>
      <w:r w:rsidRPr="0085474C">
        <w:rPr>
          <w:rFonts w:ascii="Times New Roman" w:eastAsia="宋体" w:hAnsi="Times New Roman" w:cs="Times New Roman"/>
          <w:sz w:val="24"/>
          <w:szCs w:val="24"/>
        </w:rPr>
        <w:t>mRNA</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tRNA</w:t>
      </w:r>
      <w:r w:rsidRPr="0085474C">
        <w:rPr>
          <w:rFonts w:ascii="Times New Roman" w:eastAsia="宋体" w:hAnsi="Times New Roman" w:cs="Times New Roman"/>
          <w:sz w:val="24"/>
          <w:szCs w:val="24"/>
        </w:rPr>
        <w:t>和</w:t>
      </w:r>
      <w:r w:rsidRPr="0085474C">
        <w:rPr>
          <w:rFonts w:ascii="Times New Roman" w:eastAsia="宋体" w:hAnsi="Times New Roman" w:cs="Times New Roman"/>
          <w:sz w:val="24"/>
          <w:szCs w:val="24"/>
        </w:rPr>
        <w:t>rRNA</w:t>
      </w:r>
      <w:r w:rsidRPr="0085474C">
        <w:rPr>
          <w:rFonts w:ascii="Times New Roman" w:eastAsia="宋体" w:hAnsi="Times New Roman" w:cs="Times New Roman"/>
          <w:sz w:val="24"/>
          <w:szCs w:val="24"/>
        </w:rPr>
        <w:t>的结构和功能。</w:t>
      </w:r>
    </w:p>
    <w:p w14:paraId="100157F5" w14:textId="77777777" w:rsidR="0085474C" w:rsidRPr="0085474C" w:rsidRDefault="0085474C" w:rsidP="00E842C1">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第六章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糖代谢</w:t>
      </w:r>
    </w:p>
    <w:p w14:paraId="1E97FBBE"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47A1622B"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认知类目标：掌握糖代谢的内容、性质和要求；</w:t>
      </w:r>
    </w:p>
    <w:p w14:paraId="153FE3AA"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过程与方法类目标：掌握糖酵解途径过程、关键酶及能量生成计算；三羧酸循环反应特点、过程、关键酶、意义、能量生成计算；</w:t>
      </w:r>
      <w:proofErr w:type="gramStart"/>
      <w:r w:rsidRPr="0085474C">
        <w:rPr>
          <w:rFonts w:ascii="Times New Roman" w:eastAsia="宋体" w:hAnsi="Times New Roman" w:cs="Times New Roman"/>
          <w:sz w:val="24"/>
          <w:szCs w:val="24"/>
        </w:rPr>
        <w:t>熟悉糖</w:t>
      </w:r>
      <w:proofErr w:type="gramEnd"/>
      <w:r w:rsidRPr="0085474C">
        <w:rPr>
          <w:rFonts w:ascii="Times New Roman" w:eastAsia="宋体" w:hAnsi="Times New Roman" w:cs="Times New Roman"/>
          <w:sz w:val="24"/>
          <w:szCs w:val="24"/>
        </w:rPr>
        <w:t>的生理功能，血糖的来源与去路；了解乳酸发酵、酒精发酵；掌握磷酸戊糖途径的反应部位、过程、关键酶、调节和意义；掌握糖原的合成与分解；糖原异生的作用。；</w:t>
      </w:r>
    </w:p>
    <w:p w14:paraId="4F0DB4A4"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情感、态度、价值观类目标：理解中学生物学教师的任务与岗位要求，生物学教师应该具备的专业知识和技能。</w:t>
      </w:r>
    </w:p>
    <w:p w14:paraId="5BD7E725" w14:textId="77777777" w:rsidR="0085474C" w:rsidRPr="0085474C" w:rsidRDefault="0085474C" w:rsidP="00E842C1">
      <w:pPr>
        <w:spacing w:line="440" w:lineRule="exact"/>
        <w:ind w:firstLineChars="200" w:firstLine="482"/>
        <w:rPr>
          <w:rFonts w:ascii="Times New Roman" w:eastAsia="宋体" w:hAnsi="Times New Roman" w:cs="Times New Roman"/>
          <w:bCs/>
          <w:sz w:val="24"/>
          <w:szCs w:val="24"/>
        </w:rPr>
      </w:pPr>
      <w:r w:rsidRPr="0085474C">
        <w:rPr>
          <w:rFonts w:ascii="Times New Roman" w:eastAsia="宋体" w:hAnsi="Times New Roman" w:cs="Times New Roman"/>
          <w:b/>
          <w:sz w:val="24"/>
          <w:szCs w:val="24"/>
        </w:rPr>
        <w:t>【学习内容】</w:t>
      </w:r>
    </w:p>
    <w:p w14:paraId="04CB620B"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1. </w:t>
      </w:r>
      <w:r w:rsidRPr="0085474C">
        <w:rPr>
          <w:rFonts w:ascii="Times New Roman" w:eastAsia="宋体" w:hAnsi="Times New Roman" w:cs="Times New Roman"/>
          <w:bCs/>
          <w:sz w:val="24"/>
          <w:szCs w:val="24"/>
        </w:rPr>
        <w:t>糖代谢的简要介绍</w:t>
      </w:r>
    </w:p>
    <w:p w14:paraId="097CED2E"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2. </w:t>
      </w:r>
      <w:r w:rsidRPr="0085474C">
        <w:rPr>
          <w:rFonts w:ascii="Times New Roman" w:eastAsia="宋体" w:hAnsi="Times New Roman" w:cs="Times New Roman"/>
          <w:bCs/>
          <w:sz w:val="24"/>
          <w:szCs w:val="24"/>
        </w:rPr>
        <w:t>淀粉、纤维素、蔗糖、麦芽糖、乳糖的降解</w:t>
      </w:r>
    </w:p>
    <w:p w14:paraId="18A3C57F"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3. </w:t>
      </w:r>
      <w:r w:rsidRPr="0085474C">
        <w:rPr>
          <w:rFonts w:ascii="Times New Roman" w:eastAsia="宋体" w:hAnsi="Times New Roman" w:cs="Times New Roman"/>
          <w:bCs/>
          <w:sz w:val="24"/>
          <w:szCs w:val="24"/>
        </w:rPr>
        <w:t>糖酵解途径反应部位，过程，催化反应的酶及关键酶，调控，能量生成计算</w:t>
      </w:r>
    </w:p>
    <w:p w14:paraId="5DDC4D0F"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4. </w:t>
      </w:r>
      <w:r w:rsidRPr="0085474C">
        <w:rPr>
          <w:rFonts w:ascii="Times New Roman" w:eastAsia="宋体" w:hAnsi="Times New Roman" w:cs="Times New Roman"/>
          <w:bCs/>
          <w:sz w:val="24"/>
          <w:szCs w:val="24"/>
        </w:rPr>
        <w:t>三羧酸循环反应部位，过程，催化反应的酶及关键酶，调控，能量生成计算，意义</w:t>
      </w:r>
    </w:p>
    <w:p w14:paraId="678533EE"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5. </w:t>
      </w:r>
      <w:r w:rsidRPr="0085474C">
        <w:rPr>
          <w:rFonts w:ascii="Times New Roman" w:eastAsia="宋体" w:hAnsi="Times New Roman" w:cs="Times New Roman"/>
          <w:bCs/>
          <w:sz w:val="24"/>
          <w:szCs w:val="24"/>
        </w:rPr>
        <w:t>磷酸戊糖途径反应部位，过程，催化反应的酶及关键酶，调控，能量生成计算</w:t>
      </w:r>
    </w:p>
    <w:p w14:paraId="7C26187C"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6. </w:t>
      </w:r>
      <w:r w:rsidRPr="0085474C">
        <w:rPr>
          <w:rFonts w:ascii="Times New Roman" w:eastAsia="宋体" w:hAnsi="Times New Roman" w:cs="Times New Roman"/>
          <w:bCs/>
          <w:sz w:val="24"/>
          <w:szCs w:val="24"/>
        </w:rPr>
        <w:t>糖原的合成与分解</w:t>
      </w:r>
    </w:p>
    <w:p w14:paraId="5C8643E2"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7. </w:t>
      </w:r>
      <w:r w:rsidRPr="0085474C">
        <w:rPr>
          <w:rFonts w:ascii="Times New Roman" w:eastAsia="宋体" w:hAnsi="Times New Roman" w:cs="Times New Roman"/>
          <w:bCs/>
          <w:sz w:val="24"/>
          <w:szCs w:val="24"/>
        </w:rPr>
        <w:t>糖原异生</w:t>
      </w:r>
    </w:p>
    <w:p w14:paraId="25E7123D"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8. </w:t>
      </w:r>
      <w:r w:rsidRPr="0085474C">
        <w:rPr>
          <w:rFonts w:ascii="Times New Roman" w:eastAsia="宋体" w:hAnsi="Times New Roman" w:cs="Times New Roman"/>
          <w:bCs/>
          <w:sz w:val="24"/>
          <w:szCs w:val="24"/>
        </w:rPr>
        <w:t>血糖水平的调节</w:t>
      </w:r>
    </w:p>
    <w:p w14:paraId="2CB37F89"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7D306848"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掌握糖的主要生理功能；</w:t>
      </w:r>
      <w:r w:rsidRPr="0085474C">
        <w:rPr>
          <w:rFonts w:ascii="Times New Roman" w:eastAsia="宋体" w:hAnsi="Times New Roman" w:cs="Times New Roman"/>
          <w:sz w:val="24"/>
          <w:szCs w:val="24"/>
        </w:rPr>
        <w:t xml:space="preserve"> </w:t>
      </w:r>
    </w:p>
    <w:p w14:paraId="451D973B"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糖酵解，有氧</w:t>
      </w:r>
      <w:proofErr w:type="gramStart"/>
      <w:r w:rsidRPr="0085474C">
        <w:rPr>
          <w:rFonts w:ascii="Times New Roman" w:eastAsia="宋体" w:hAnsi="Times New Roman" w:cs="Times New Roman"/>
          <w:sz w:val="24"/>
          <w:szCs w:val="24"/>
        </w:rPr>
        <w:t>氧</w:t>
      </w:r>
      <w:proofErr w:type="gramEnd"/>
      <w:r w:rsidRPr="0085474C">
        <w:rPr>
          <w:rFonts w:ascii="Times New Roman" w:eastAsia="宋体" w:hAnsi="Times New Roman" w:cs="Times New Roman"/>
          <w:sz w:val="24"/>
          <w:szCs w:val="24"/>
        </w:rPr>
        <w:t>化、糖原合成及分解，糖异生的基本过程、部位、关键没、生理意义；</w:t>
      </w:r>
    </w:p>
    <w:p w14:paraId="1B3F7CB1" w14:textId="77777777" w:rsidR="0085474C" w:rsidRPr="0085474C" w:rsidRDefault="0085474C" w:rsidP="00E842C1">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磷酸戊糖途径的生理意义。</w:t>
      </w:r>
    </w:p>
    <w:p w14:paraId="6D9F4600"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124D5494" w14:textId="77777777" w:rsidR="0085474C" w:rsidRPr="0085474C" w:rsidRDefault="0085474C" w:rsidP="00E842C1">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糖代谢</w:t>
      </w:r>
      <w:proofErr w:type="gramStart"/>
      <w:r w:rsidRPr="0085474C">
        <w:rPr>
          <w:rFonts w:ascii="Times New Roman" w:eastAsia="宋体" w:hAnsi="Times New Roman" w:cs="Times New Roman"/>
          <w:sz w:val="24"/>
          <w:szCs w:val="24"/>
        </w:rPr>
        <w:t>各途径</w:t>
      </w:r>
      <w:proofErr w:type="gramEnd"/>
      <w:r w:rsidRPr="0085474C">
        <w:rPr>
          <w:rFonts w:ascii="Times New Roman" w:eastAsia="宋体" w:hAnsi="Times New Roman" w:cs="Times New Roman"/>
          <w:sz w:val="24"/>
          <w:szCs w:val="24"/>
        </w:rPr>
        <w:t>的具体反应过程及调节。</w:t>
      </w:r>
    </w:p>
    <w:p w14:paraId="3BB27EDE" w14:textId="77777777" w:rsidR="0085474C" w:rsidRPr="0085474C" w:rsidRDefault="0085474C" w:rsidP="00E842C1">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bCs/>
          <w:sz w:val="24"/>
          <w:szCs w:val="24"/>
        </w:rPr>
        <w:t>【教学方法】</w:t>
      </w:r>
    </w:p>
    <w:p w14:paraId="49B9E0F7"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通过多媒体课件和传统教学相结合，阐明血糖调控的基本原理，培养学生能够应用糖代谢专业知识解决生物产品工艺开发等复杂工程问题。</w:t>
      </w:r>
    </w:p>
    <w:p w14:paraId="7AF84728"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 xml:space="preserve">2. </w:t>
      </w:r>
      <w:r w:rsidRPr="0085474C">
        <w:rPr>
          <w:rFonts w:ascii="Times New Roman" w:eastAsia="宋体" w:hAnsi="Times New Roman" w:cs="Times New Roman"/>
          <w:sz w:val="24"/>
          <w:szCs w:val="24"/>
        </w:rPr>
        <w:t>通过翻转课堂教学法，培养学生合作探究，释疑拓展，自主纠错，反思总结的能力。</w:t>
      </w:r>
    </w:p>
    <w:p w14:paraId="21CECB29" w14:textId="77777777" w:rsidR="0085474C" w:rsidRPr="0085474C" w:rsidRDefault="0085474C" w:rsidP="00E842C1">
      <w:pPr>
        <w:spacing w:line="360" w:lineRule="auto"/>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通过思维导图归纳法，以乙酰</w:t>
      </w:r>
      <w:r w:rsidRPr="0085474C">
        <w:rPr>
          <w:rFonts w:ascii="Times New Roman" w:eastAsia="宋体" w:hAnsi="Times New Roman" w:cs="Times New Roman"/>
          <w:sz w:val="24"/>
          <w:szCs w:val="24"/>
        </w:rPr>
        <w:t xml:space="preserve">CoA </w:t>
      </w:r>
      <w:r w:rsidRPr="0085474C">
        <w:rPr>
          <w:rFonts w:ascii="Times New Roman" w:eastAsia="宋体" w:hAnsi="Times New Roman" w:cs="Times New Roman"/>
          <w:sz w:val="24"/>
          <w:szCs w:val="24"/>
        </w:rPr>
        <w:t>为枢纽、其来源和代谢去路为两个一级分支，将饱食和饥饿</w:t>
      </w:r>
      <w:proofErr w:type="gramStart"/>
      <w:r w:rsidRPr="0085474C">
        <w:rPr>
          <w:rFonts w:ascii="Times New Roman" w:eastAsia="宋体" w:hAnsi="Times New Roman" w:cs="Times New Roman"/>
          <w:sz w:val="24"/>
          <w:szCs w:val="24"/>
        </w:rPr>
        <w:t>状态下糖代谢</w:t>
      </w:r>
      <w:proofErr w:type="gramEnd"/>
      <w:r w:rsidRPr="0085474C">
        <w:rPr>
          <w:rFonts w:ascii="Times New Roman" w:eastAsia="宋体" w:hAnsi="Times New Roman" w:cs="Times New Roman"/>
          <w:sz w:val="24"/>
          <w:szCs w:val="24"/>
        </w:rPr>
        <w:t>概况汇总，培养学生的自主学习能力和合作研究能力。</w:t>
      </w:r>
    </w:p>
    <w:p w14:paraId="1554A0AA" w14:textId="77777777" w:rsidR="0085474C" w:rsidRPr="0085474C" w:rsidRDefault="0085474C" w:rsidP="00E842C1">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第七章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脂类代谢</w:t>
      </w:r>
    </w:p>
    <w:p w14:paraId="6AA45925"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3DFCD3E8"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认知类目标：理解</w:t>
      </w:r>
      <w:proofErr w:type="gramStart"/>
      <w:r w:rsidRPr="0085474C">
        <w:rPr>
          <w:rFonts w:ascii="Times New Roman" w:eastAsia="宋体" w:hAnsi="Times New Roman" w:cs="Times New Roman"/>
          <w:sz w:val="24"/>
          <w:szCs w:val="24"/>
        </w:rPr>
        <w:t>解</w:t>
      </w:r>
      <w:proofErr w:type="gramEnd"/>
      <w:r w:rsidRPr="0085474C">
        <w:rPr>
          <w:rFonts w:ascii="Times New Roman" w:eastAsia="宋体" w:hAnsi="Times New Roman" w:cs="Times New Roman"/>
          <w:sz w:val="24"/>
          <w:szCs w:val="24"/>
        </w:rPr>
        <w:t>脂类代谢的内容、性质和要求；</w:t>
      </w:r>
    </w:p>
    <w:p w14:paraId="275A419A"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过程与方法类目标：掌握脂肪的分解，甘油的氧化，脂肪酸氧化的过程、关键酶、限速步骤、能量计算；掌握脂肪的合成过程，部位、原料、关键酶；了解磷脂和脂类代谢调节。</w:t>
      </w:r>
    </w:p>
    <w:p w14:paraId="4C936E03"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情感、态度、价值观类目标：理解脂类代谢在生物化学课程中的作用，掌握药物分析专业学生应该具备的专业知识和技能。</w:t>
      </w:r>
    </w:p>
    <w:p w14:paraId="4EF0445A" w14:textId="77777777" w:rsidR="0085474C" w:rsidRPr="0085474C" w:rsidRDefault="0085474C" w:rsidP="00E842C1">
      <w:pPr>
        <w:spacing w:line="440" w:lineRule="exact"/>
        <w:ind w:firstLineChars="200" w:firstLine="482"/>
        <w:rPr>
          <w:rFonts w:ascii="Times New Roman" w:eastAsia="宋体" w:hAnsi="Times New Roman" w:cs="Times New Roman"/>
          <w:bCs/>
          <w:color w:val="FF0000"/>
          <w:sz w:val="24"/>
          <w:szCs w:val="24"/>
        </w:rPr>
      </w:pPr>
      <w:r w:rsidRPr="0085474C">
        <w:rPr>
          <w:rFonts w:ascii="Times New Roman" w:eastAsia="宋体" w:hAnsi="Times New Roman" w:cs="Times New Roman"/>
          <w:b/>
          <w:sz w:val="24"/>
          <w:szCs w:val="24"/>
        </w:rPr>
        <w:t>【学习内容】</w:t>
      </w:r>
    </w:p>
    <w:p w14:paraId="727B13AC"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1. </w:t>
      </w:r>
      <w:r w:rsidRPr="0085474C">
        <w:rPr>
          <w:rFonts w:ascii="Times New Roman" w:eastAsia="宋体" w:hAnsi="Times New Roman" w:cs="Times New Roman"/>
          <w:bCs/>
          <w:sz w:val="24"/>
          <w:szCs w:val="24"/>
        </w:rPr>
        <w:t>不饱和脂酸的分类及命名</w:t>
      </w:r>
    </w:p>
    <w:p w14:paraId="76AEABA9"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2. </w:t>
      </w:r>
      <w:r w:rsidRPr="0085474C">
        <w:rPr>
          <w:rFonts w:ascii="Times New Roman" w:eastAsia="宋体" w:hAnsi="Times New Roman" w:cs="Times New Roman"/>
          <w:bCs/>
          <w:sz w:val="24"/>
          <w:szCs w:val="24"/>
        </w:rPr>
        <w:t>脂类的消化与吸收</w:t>
      </w:r>
    </w:p>
    <w:p w14:paraId="25FC6E1A"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3. </w:t>
      </w:r>
      <w:r w:rsidRPr="0085474C">
        <w:rPr>
          <w:rFonts w:ascii="Times New Roman" w:eastAsia="宋体" w:hAnsi="Times New Roman" w:cs="Times New Roman"/>
          <w:bCs/>
          <w:sz w:val="24"/>
          <w:szCs w:val="24"/>
        </w:rPr>
        <w:t>甘油三酯的代谢</w:t>
      </w:r>
    </w:p>
    <w:p w14:paraId="6018B116"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4. </w:t>
      </w:r>
      <w:r w:rsidRPr="0085474C">
        <w:rPr>
          <w:rFonts w:ascii="Times New Roman" w:eastAsia="宋体" w:hAnsi="Times New Roman" w:cs="Times New Roman"/>
          <w:bCs/>
          <w:sz w:val="24"/>
          <w:szCs w:val="24"/>
        </w:rPr>
        <w:t>磷脂的代谢</w:t>
      </w:r>
    </w:p>
    <w:p w14:paraId="2E4E8A6F"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 xml:space="preserve">5. </w:t>
      </w:r>
      <w:r w:rsidRPr="0085474C">
        <w:rPr>
          <w:rFonts w:ascii="Times New Roman" w:eastAsia="宋体" w:hAnsi="Times New Roman" w:cs="Times New Roman"/>
          <w:bCs/>
          <w:sz w:val="24"/>
          <w:szCs w:val="24"/>
        </w:rPr>
        <w:t>胆固醇代谢</w:t>
      </w:r>
    </w:p>
    <w:p w14:paraId="16219E51"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22C342AC"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掌握脂类的组成，基本结构构成；脂肪的动员，脂肪酸的</w:t>
      </w:r>
      <w:r w:rsidRPr="0085474C">
        <w:rPr>
          <w:rFonts w:ascii="Times New Roman" w:eastAsia="宋体" w:hAnsi="Times New Roman" w:cs="Times New Roman"/>
          <w:sz w:val="24"/>
          <w:szCs w:val="24"/>
        </w:rPr>
        <w:t>β-</w:t>
      </w:r>
      <w:r w:rsidRPr="0085474C">
        <w:rPr>
          <w:rFonts w:ascii="Times New Roman" w:eastAsia="宋体" w:hAnsi="Times New Roman" w:cs="Times New Roman"/>
          <w:sz w:val="24"/>
          <w:szCs w:val="24"/>
        </w:rPr>
        <w:t>氧化的过程、关键酶、限速步骤、能量；</w:t>
      </w:r>
      <w:r w:rsidRPr="0085474C">
        <w:rPr>
          <w:rFonts w:ascii="Times New Roman" w:eastAsia="宋体" w:hAnsi="Times New Roman" w:cs="Times New Roman"/>
          <w:sz w:val="24"/>
          <w:szCs w:val="24"/>
        </w:rPr>
        <w:t xml:space="preserve"> </w:t>
      </w:r>
    </w:p>
    <w:p w14:paraId="37E191A2"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脂肪的合成过程，部位、原料、关键酶；</w:t>
      </w:r>
    </w:p>
    <w:p w14:paraId="639CC2D3"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酮体的生产及利用；</w:t>
      </w:r>
    </w:p>
    <w:p w14:paraId="0FEB03BA" w14:textId="77777777" w:rsidR="0085474C" w:rsidRPr="0085474C" w:rsidRDefault="0085474C" w:rsidP="00E842C1">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t xml:space="preserve">4. </w:t>
      </w:r>
      <w:r w:rsidRPr="0085474C">
        <w:rPr>
          <w:rFonts w:ascii="Times New Roman" w:eastAsia="宋体" w:hAnsi="Times New Roman" w:cs="Times New Roman"/>
          <w:sz w:val="24"/>
          <w:szCs w:val="24"/>
        </w:rPr>
        <w:t>胆固醇导学，甘油的氧化，脂肪酸氧化的过程、关键酶、限速步骤、能量计算；</w:t>
      </w:r>
    </w:p>
    <w:p w14:paraId="45FABFB3"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3F991AA8" w14:textId="77777777" w:rsidR="0085474C" w:rsidRPr="0085474C" w:rsidRDefault="0085474C" w:rsidP="00E842C1">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脂肪酸的合成与分解代谢过程及调控</w:t>
      </w:r>
    </w:p>
    <w:p w14:paraId="6FA076B2" w14:textId="77777777" w:rsidR="0085474C" w:rsidRPr="0085474C" w:rsidRDefault="0085474C" w:rsidP="00E842C1">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79F6786E"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通过多媒体课件和传统教学相结合，阐明脂类代谢的基本原理，培养学生能够应用脂类代谢专业知识解决生物产品工艺开发等复杂工程问题。</w:t>
      </w:r>
    </w:p>
    <w:p w14:paraId="7F771835"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通过翻转课堂教学法，培养学生合作探究，释疑拓展，自主纠错，反思总结的</w:t>
      </w:r>
      <w:r w:rsidRPr="0085474C">
        <w:rPr>
          <w:rFonts w:ascii="Times New Roman" w:eastAsia="宋体" w:hAnsi="Times New Roman" w:cs="Times New Roman"/>
          <w:sz w:val="24"/>
          <w:szCs w:val="24"/>
        </w:rPr>
        <w:lastRenderedPageBreak/>
        <w:t>能力。</w:t>
      </w:r>
    </w:p>
    <w:p w14:paraId="16E89A06" w14:textId="77777777" w:rsidR="0085474C" w:rsidRPr="0085474C" w:rsidRDefault="0085474C" w:rsidP="00E842C1">
      <w:pPr>
        <w:spacing w:line="360" w:lineRule="auto"/>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通过思维导图归纳法，归纳脂类代谢过程并与糖代谢过程相联系，培养学生的自主学习能力和合作研究能力。</w:t>
      </w:r>
    </w:p>
    <w:p w14:paraId="746999E4" w14:textId="77777777" w:rsidR="0085474C" w:rsidRPr="0085474C" w:rsidRDefault="0085474C" w:rsidP="00E842C1">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第八章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生物氧化</w:t>
      </w:r>
    </w:p>
    <w:p w14:paraId="1241A522"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7B68D301"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认知类目标：理解生物氧化的内容、性质和要求；</w:t>
      </w:r>
    </w:p>
    <w:p w14:paraId="7F73BC67"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过程与方法类目标：掌握生物氧化的概念及生物学意义；呼吸链的概念、两条主要呼吸链的顺序组成及各成分的作用；氧化磷酸化偶联部位及主要电子传递抑制剂的作用部位；底物水平磷酸化、氧化磷酸化、</w:t>
      </w:r>
      <w:r w:rsidRPr="0085474C">
        <w:rPr>
          <w:rFonts w:ascii="Times New Roman" w:eastAsia="宋体" w:hAnsi="Times New Roman" w:cs="Times New Roman"/>
          <w:sz w:val="24"/>
          <w:szCs w:val="24"/>
        </w:rPr>
        <w:t>P/O</w:t>
      </w:r>
      <w:r w:rsidRPr="0085474C">
        <w:rPr>
          <w:rFonts w:ascii="Times New Roman" w:eastAsia="宋体" w:hAnsi="Times New Roman" w:cs="Times New Roman"/>
          <w:sz w:val="24"/>
          <w:szCs w:val="24"/>
        </w:rPr>
        <w:t>比值的概念；</w:t>
      </w:r>
      <w:r w:rsidRPr="0085474C">
        <w:rPr>
          <w:rFonts w:ascii="Times New Roman" w:eastAsia="宋体" w:hAnsi="Times New Roman" w:cs="Times New Roman"/>
          <w:sz w:val="24"/>
          <w:szCs w:val="24"/>
        </w:rPr>
        <w:t>ATP</w:t>
      </w:r>
      <w:r w:rsidRPr="0085474C">
        <w:rPr>
          <w:rFonts w:ascii="Times New Roman" w:eastAsia="宋体" w:hAnsi="Times New Roman" w:cs="Times New Roman"/>
          <w:sz w:val="24"/>
          <w:szCs w:val="24"/>
        </w:rPr>
        <w:t>的生成和利用。熟悉物质体内氧化与体外氧化的异同；氧化磷酸化</w:t>
      </w:r>
      <w:proofErr w:type="gramStart"/>
      <w:r w:rsidRPr="0085474C">
        <w:rPr>
          <w:rFonts w:ascii="Times New Roman" w:eastAsia="宋体" w:hAnsi="Times New Roman" w:cs="Times New Roman"/>
          <w:sz w:val="24"/>
          <w:szCs w:val="24"/>
        </w:rPr>
        <w:t>偶</w:t>
      </w:r>
      <w:proofErr w:type="gramEnd"/>
      <w:r w:rsidRPr="0085474C">
        <w:rPr>
          <w:rFonts w:ascii="Times New Roman" w:eastAsia="宋体" w:hAnsi="Times New Roman" w:cs="Times New Roman"/>
          <w:sz w:val="24"/>
          <w:szCs w:val="24"/>
        </w:rPr>
        <w:t>联机制；影响氧化磷酸化的因素，通过线粒体内膜的物质转运。了解呼吸链各成分的结构；其它氧化体系。</w:t>
      </w:r>
    </w:p>
    <w:p w14:paraId="160FC31E"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情感、态度、价值观类目标：引导学生从现实生活出发，激发学生对生物化学的兴趣，培养学生合作探究和自主学习能力。</w:t>
      </w:r>
    </w:p>
    <w:p w14:paraId="75BD0793"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6FD87CA6" w14:textId="77777777" w:rsidR="0085474C" w:rsidRPr="0085474C" w:rsidRDefault="0085474C" w:rsidP="00E842C1">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生成</w:t>
      </w:r>
      <w:r w:rsidRPr="0085474C">
        <w:rPr>
          <w:rFonts w:ascii="Times New Roman" w:eastAsia="宋体" w:hAnsi="Times New Roman" w:cs="Times New Roman"/>
          <w:sz w:val="24"/>
          <w:szCs w:val="24"/>
        </w:rPr>
        <w:t>ATP</w:t>
      </w:r>
      <w:r w:rsidRPr="0085474C">
        <w:rPr>
          <w:rFonts w:ascii="Times New Roman" w:eastAsia="宋体" w:hAnsi="Times New Roman" w:cs="Times New Roman"/>
          <w:sz w:val="24"/>
          <w:szCs w:val="24"/>
        </w:rPr>
        <w:t>的氧化磷酸化体系；</w:t>
      </w:r>
    </w:p>
    <w:p w14:paraId="5F32DC05"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其他不生成</w:t>
      </w:r>
      <w:r w:rsidRPr="0085474C">
        <w:rPr>
          <w:rFonts w:ascii="Times New Roman" w:eastAsia="宋体" w:hAnsi="Times New Roman" w:cs="Times New Roman"/>
          <w:sz w:val="24"/>
          <w:szCs w:val="24"/>
        </w:rPr>
        <w:t>ATP</w:t>
      </w:r>
      <w:r w:rsidRPr="0085474C">
        <w:rPr>
          <w:rFonts w:ascii="Times New Roman" w:eastAsia="宋体" w:hAnsi="Times New Roman" w:cs="Times New Roman"/>
          <w:sz w:val="24"/>
          <w:szCs w:val="24"/>
        </w:rPr>
        <w:t>的氧化体系；</w:t>
      </w:r>
    </w:p>
    <w:p w14:paraId="3D2FA56D"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67EA18DE"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生物氧化的概念及生物学意义；</w:t>
      </w:r>
    </w:p>
    <w:p w14:paraId="1AC8E76D"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呼吸链的概念、两条主要呼吸链的顺序组成及各成分的作用；</w:t>
      </w:r>
    </w:p>
    <w:p w14:paraId="2862EDDB" w14:textId="77777777" w:rsidR="0085474C" w:rsidRPr="0085474C" w:rsidRDefault="0085474C" w:rsidP="00E842C1">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sz w:val="24"/>
          <w:szCs w:val="24"/>
        </w:rPr>
        <w:t xml:space="preserve">3. </w:t>
      </w:r>
      <w:r w:rsidRPr="0085474C">
        <w:rPr>
          <w:rFonts w:ascii="Times New Roman" w:eastAsia="宋体" w:hAnsi="Times New Roman" w:cs="Times New Roman"/>
          <w:sz w:val="24"/>
          <w:szCs w:val="24"/>
        </w:rPr>
        <w:t>氧化磷酸化偶联部位及主要电子传递抑制剂的作用部位；</w:t>
      </w:r>
    </w:p>
    <w:p w14:paraId="764BB94E"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4. </w:t>
      </w:r>
      <w:r w:rsidRPr="0085474C">
        <w:rPr>
          <w:rFonts w:ascii="Times New Roman" w:eastAsia="宋体" w:hAnsi="Times New Roman" w:cs="Times New Roman"/>
          <w:sz w:val="24"/>
          <w:szCs w:val="24"/>
        </w:rPr>
        <w:t>底物水平磷酸化、氧化磷酸化、</w:t>
      </w:r>
      <w:r w:rsidRPr="0085474C">
        <w:rPr>
          <w:rFonts w:ascii="Times New Roman" w:eastAsia="宋体" w:hAnsi="Times New Roman" w:cs="Times New Roman"/>
          <w:sz w:val="24"/>
          <w:szCs w:val="24"/>
        </w:rPr>
        <w:t>P/O</w:t>
      </w:r>
      <w:r w:rsidRPr="0085474C">
        <w:rPr>
          <w:rFonts w:ascii="Times New Roman" w:eastAsia="宋体" w:hAnsi="Times New Roman" w:cs="Times New Roman"/>
          <w:sz w:val="24"/>
          <w:szCs w:val="24"/>
        </w:rPr>
        <w:t>比值的概念；</w:t>
      </w:r>
      <w:r w:rsidRPr="0085474C">
        <w:rPr>
          <w:rFonts w:ascii="Times New Roman" w:eastAsia="宋体" w:hAnsi="Times New Roman" w:cs="Times New Roman"/>
          <w:sz w:val="24"/>
          <w:szCs w:val="24"/>
        </w:rPr>
        <w:t xml:space="preserve"> </w:t>
      </w:r>
    </w:p>
    <w:p w14:paraId="5210E1DE"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5. ATP</w:t>
      </w:r>
      <w:r w:rsidRPr="0085474C">
        <w:rPr>
          <w:rFonts w:ascii="Times New Roman" w:eastAsia="宋体" w:hAnsi="Times New Roman" w:cs="Times New Roman"/>
          <w:sz w:val="24"/>
          <w:szCs w:val="24"/>
        </w:rPr>
        <w:t>的生成和利用。</w:t>
      </w:r>
    </w:p>
    <w:p w14:paraId="6CB5D74A"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17112354" w14:textId="77777777" w:rsidR="0085474C" w:rsidRPr="0085474C" w:rsidRDefault="0085474C" w:rsidP="00E842C1">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氧化磷酸化</w:t>
      </w:r>
      <w:proofErr w:type="gramStart"/>
      <w:r w:rsidRPr="0085474C">
        <w:rPr>
          <w:rFonts w:ascii="Times New Roman" w:eastAsia="宋体" w:hAnsi="Times New Roman" w:cs="Times New Roman"/>
          <w:sz w:val="24"/>
          <w:szCs w:val="24"/>
        </w:rPr>
        <w:t>偶</w:t>
      </w:r>
      <w:proofErr w:type="gramEnd"/>
      <w:r w:rsidRPr="0085474C">
        <w:rPr>
          <w:rFonts w:ascii="Times New Roman" w:eastAsia="宋体" w:hAnsi="Times New Roman" w:cs="Times New Roman"/>
          <w:sz w:val="24"/>
          <w:szCs w:val="24"/>
        </w:rPr>
        <w:t>联机制</w:t>
      </w:r>
    </w:p>
    <w:p w14:paraId="0785014B" w14:textId="77777777" w:rsidR="0085474C" w:rsidRPr="0085474C" w:rsidRDefault="0085474C" w:rsidP="00E842C1">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bCs/>
          <w:sz w:val="24"/>
          <w:szCs w:val="24"/>
        </w:rPr>
        <w:t>【教学方法】</w:t>
      </w:r>
    </w:p>
    <w:p w14:paraId="148F616E"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通过多媒体课件和传统教学相结合，阐明生物氧化的基本原理，培养学生能够应用生物氧化专业知识解决生物产品工艺开发等复杂工程问题。</w:t>
      </w:r>
    </w:p>
    <w:p w14:paraId="5B9981DD"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通过案例分析，强调理论与实践相结合，促进学生知识整合，培养学生的反思能力。</w:t>
      </w:r>
    </w:p>
    <w:p w14:paraId="2B17F160"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通过</w:t>
      </w:r>
      <w:r w:rsidRPr="0085474C">
        <w:rPr>
          <w:rFonts w:ascii="Times New Roman" w:eastAsia="宋体" w:hAnsi="Times New Roman" w:cs="Times New Roman"/>
          <w:sz w:val="24"/>
          <w:szCs w:val="24"/>
        </w:rPr>
        <w:t>Sandwich</w:t>
      </w:r>
      <w:r w:rsidRPr="0085474C">
        <w:rPr>
          <w:rFonts w:ascii="Times New Roman" w:eastAsia="宋体" w:hAnsi="Times New Roman" w:cs="Times New Roman"/>
          <w:sz w:val="24"/>
          <w:szCs w:val="24"/>
        </w:rPr>
        <w:t>教学法，又称三明治教学法，是将理论讲授与实践相结合的教</w:t>
      </w:r>
      <w:r w:rsidRPr="0085474C">
        <w:rPr>
          <w:rFonts w:ascii="Times New Roman" w:eastAsia="宋体" w:hAnsi="Times New Roman" w:cs="Times New Roman"/>
          <w:sz w:val="24"/>
          <w:szCs w:val="24"/>
        </w:rPr>
        <w:lastRenderedPageBreak/>
        <w:t>学方法通过布置任务，分组学习，集中汇报，总结与应用，通过反馈和反思发展学生的合作能力和解决问题的能力。</w:t>
      </w:r>
    </w:p>
    <w:p w14:paraId="5093AD8A" w14:textId="77777777" w:rsidR="0085474C" w:rsidRPr="0085474C" w:rsidRDefault="0085474C" w:rsidP="00E842C1">
      <w:pPr>
        <w:spacing w:line="440" w:lineRule="exact"/>
        <w:ind w:firstLineChars="200" w:firstLine="482"/>
        <w:rPr>
          <w:rFonts w:ascii="Times New Roman" w:eastAsia="宋体" w:hAnsi="Times New Roman" w:cs="Times New Roman"/>
          <w:bCs/>
          <w:sz w:val="24"/>
          <w:szCs w:val="24"/>
        </w:rPr>
      </w:pPr>
      <w:r w:rsidRPr="0085474C">
        <w:rPr>
          <w:rFonts w:ascii="Times New Roman" w:eastAsia="宋体" w:hAnsi="Times New Roman" w:cs="Times New Roman"/>
          <w:b/>
          <w:sz w:val="24"/>
          <w:szCs w:val="24"/>
        </w:rPr>
        <w:t>【复习思考】</w:t>
      </w:r>
    </w:p>
    <w:p w14:paraId="4C7573C7" w14:textId="77777777" w:rsidR="0085474C" w:rsidRPr="0085474C" w:rsidRDefault="0085474C" w:rsidP="00E842C1">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呼吸链中四种复合体各有何作用？</w:t>
      </w:r>
    </w:p>
    <w:p w14:paraId="50E781AB"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写出两种呼吸链的简单组成及排列顺序，说明磷酸化的偶联部位。</w:t>
      </w:r>
    </w:p>
    <w:p w14:paraId="5C6657EF"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举例说明体内</w:t>
      </w:r>
      <w:r w:rsidRPr="0085474C">
        <w:rPr>
          <w:rFonts w:ascii="Times New Roman" w:eastAsia="宋体" w:hAnsi="Times New Roman" w:cs="Times New Roman"/>
          <w:sz w:val="24"/>
          <w:szCs w:val="24"/>
        </w:rPr>
        <w:t>ATP</w:t>
      </w:r>
      <w:r w:rsidRPr="0085474C">
        <w:rPr>
          <w:rFonts w:ascii="Times New Roman" w:eastAsia="宋体" w:hAnsi="Times New Roman" w:cs="Times New Roman"/>
          <w:sz w:val="24"/>
          <w:szCs w:val="24"/>
        </w:rPr>
        <w:t>的生成方式。</w:t>
      </w:r>
    </w:p>
    <w:p w14:paraId="5D484B5B" w14:textId="77777777" w:rsidR="0085474C" w:rsidRPr="0085474C" w:rsidRDefault="0085474C" w:rsidP="00E842C1">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第九章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蛋白质降解和氨基酸代谢</w:t>
      </w:r>
    </w:p>
    <w:p w14:paraId="397FD29A"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77BF310A"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认知类目标：理解蛋白质降解和氨基酸代谢的内容、性质和要求；</w:t>
      </w:r>
    </w:p>
    <w:p w14:paraId="7CC93754"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过程与方法类目标：掌握蛋白质的营养作用，氨基酸的脱氨基作用；</w:t>
      </w:r>
      <w:r w:rsidRPr="0085474C">
        <w:rPr>
          <w:rFonts w:ascii="Times New Roman" w:eastAsia="宋体" w:hAnsi="Times New Roman" w:cs="Times New Roman"/>
          <w:sz w:val="24"/>
          <w:szCs w:val="24"/>
        </w:rPr>
        <w:t>α</w:t>
      </w:r>
      <w:r w:rsidRPr="0085474C">
        <w:rPr>
          <w:rFonts w:ascii="Times New Roman" w:eastAsia="宋体" w:hAnsi="Times New Roman" w:cs="Times New Roman"/>
          <w:sz w:val="24"/>
          <w:szCs w:val="24"/>
        </w:rPr>
        <w:t>酮酸的代谢；氨的代谢，</w:t>
      </w:r>
      <w:proofErr w:type="gramStart"/>
      <w:r w:rsidRPr="0085474C">
        <w:rPr>
          <w:rFonts w:ascii="Times New Roman" w:eastAsia="宋体" w:hAnsi="Times New Roman" w:cs="Times New Roman"/>
          <w:sz w:val="24"/>
          <w:szCs w:val="24"/>
        </w:rPr>
        <w:t>一碳单位</w:t>
      </w:r>
      <w:proofErr w:type="gramEnd"/>
      <w:r w:rsidRPr="0085474C">
        <w:rPr>
          <w:rFonts w:ascii="Times New Roman" w:eastAsia="宋体" w:hAnsi="Times New Roman" w:cs="Times New Roman"/>
          <w:sz w:val="24"/>
          <w:szCs w:val="24"/>
        </w:rPr>
        <w:t>的代谢；甲硫氨酸与转甲基作用；芳香族氨基酸代谢的重要产物。熟悉蛋白质的消化、吸收与腐败。了解体内蛋白质的转换更新；个别氨基酸的代谢过程。</w:t>
      </w:r>
    </w:p>
    <w:p w14:paraId="4E5C8488"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情感、态度、价值观类目标：引导学生从现实生活出发，激发学生对生物化学的兴趣，培养学生积极思考、形成主动学习的态度。</w:t>
      </w:r>
    </w:p>
    <w:p w14:paraId="4E55285A"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33F9E175" w14:textId="77777777" w:rsidR="0085474C" w:rsidRPr="0085474C" w:rsidRDefault="0085474C" w:rsidP="00E842C1">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蛋白质的营养作用：体内蛋白质有多方面的重要功能；体内蛋白质的代谢状况可用氮平衡描述；营养必需氨基酸决定蛋白质的营养价值</w:t>
      </w:r>
    </w:p>
    <w:p w14:paraId="144B1A67"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蛋白质的消化、吸收与腐败：外源性蛋白质消化成氨基酸和寡肽后被吸收；蛋白质再肠道发生腐败作用</w:t>
      </w:r>
    </w:p>
    <w:p w14:paraId="20408D2E"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3.</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氨基酸的一般代谢：体内蛋白质分解成氨基酸；外源性氨基酸与内源性氨基酸组成氨基酸代谢库；联合脱氨基作用是体内主要的脱氨基途径；氨基酸碳骨架进行转换或分解</w:t>
      </w:r>
    </w:p>
    <w:p w14:paraId="6774D42F"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4.</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氨的代谢：体内有毒性</w:t>
      </w:r>
      <w:proofErr w:type="gramStart"/>
      <w:r w:rsidRPr="0085474C">
        <w:rPr>
          <w:rFonts w:ascii="Times New Roman" w:eastAsia="宋体" w:hAnsi="Times New Roman" w:cs="Times New Roman"/>
          <w:sz w:val="24"/>
          <w:szCs w:val="24"/>
        </w:rPr>
        <w:t>的氨有三个</w:t>
      </w:r>
      <w:proofErr w:type="gramEnd"/>
      <w:r w:rsidRPr="0085474C">
        <w:rPr>
          <w:rFonts w:ascii="Times New Roman" w:eastAsia="宋体" w:hAnsi="Times New Roman" w:cs="Times New Roman"/>
          <w:sz w:val="24"/>
          <w:szCs w:val="24"/>
        </w:rPr>
        <w:t>重要来源；</w:t>
      </w:r>
      <w:proofErr w:type="gramStart"/>
      <w:r w:rsidRPr="0085474C">
        <w:rPr>
          <w:rFonts w:ascii="Times New Roman" w:eastAsia="宋体" w:hAnsi="Times New Roman" w:cs="Times New Roman"/>
          <w:sz w:val="24"/>
          <w:szCs w:val="24"/>
        </w:rPr>
        <w:t>氨在血液</w:t>
      </w:r>
      <w:proofErr w:type="gramEnd"/>
      <w:r w:rsidRPr="0085474C">
        <w:rPr>
          <w:rFonts w:ascii="Times New Roman" w:eastAsia="宋体" w:hAnsi="Times New Roman" w:cs="Times New Roman"/>
          <w:sz w:val="24"/>
          <w:szCs w:val="24"/>
        </w:rPr>
        <w:t>中以丙氨酸及谷氨酰胺的形式转运；</w:t>
      </w:r>
      <w:proofErr w:type="gramStart"/>
      <w:r w:rsidRPr="0085474C">
        <w:rPr>
          <w:rFonts w:ascii="Times New Roman" w:eastAsia="宋体" w:hAnsi="Times New Roman" w:cs="Times New Roman"/>
          <w:sz w:val="24"/>
          <w:szCs w:val="24"/>
        </w:rPr>
        <w:t>氨在肝</w:t>
      </w:r>
      <w:proofErr w:type="gramEnd"/>
      <w:r w:rsidRPr="0085474C">
        <w:rPr>
          <w:rFonts w:ascii="Times New Roman" w:eastAsia="宋体" w:hAnsi="Times New Roman" w:cs="Times New Roman"/>
          <w:sz w:val="24"/>
          <w:szCs w:val="24"/>
        </w:rPr>
        <w:t>合成尿素是按的主要去路</w:t>
      </w:r>
    </w:p>
    <w:p w14:paraId="07FCEAF1"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5. </w:t>
      </w:r>
      <w:r w:rsidRPr="0085474C">
        <w:rPr>
          <w:rFonts w:ascii="Times New Roman" w:eastAsia="宋体" w:hAnsi="Times New Roman" w:cs="Times New Roman"/>
          <w:sz w:val="24"/>
          <w:szCs w:val="24"/>
        </w:rPr>
        <w:t>个别氨基酸的代谢</w:t>
      </w:r>
    </w:p>
    <w:p w14:paraId="0CCDC731"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4D5F59A6"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蛋白质的营养作用，氨基酸的脱氨基作用；</w:t>
      </w:r>
    </w:p>
    <w:p w14:paraId="5DFF0DA5"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 α</w:t>
      </w:r>
      <w:r w:rsidRPr="0085474C">
        <w:rPr>
          <w:rFonts w:ascii="Times New Roman" w:eastAsia="宋体" w:hAnsi="Times New Roman" w:cs="Times New Roman"/>
          <w:sz w:val="24"/>
          <w:szCs w:val="24"/>
        </w:rPr>
        <w:t>酮酸的代谢；氨的代谢，</w:t>
      </w:r>
      <w:proofErr w:type="gramStart"/>
      <w:r w:rsidRPr="0085474C">
        <w:rPr>
          <w:rFonts w:ascii="Times New Roman" w:eastAsia="宋体" w:hAnsi="Times New Roman" w:cs="Times New Roman"/>
          <w:sz w:val="24"/>
          <w:szCs w:val="24"/>
        </w:rPr>
        <w:t>一碳单位</w:t>
      </w:r>
      <w:proofErr w:type="gramEnd"/>
      <w:r w:rsidRPr="0085474C">
        <w:rPr>
          <w:rFonts w:ascii="Times New Roman" w:eastAsia="宋体" w:hAnsi="Times New Roman" w:cs="Times New Roman"/>
          <w:sz w:val="24"/>
          <w:szCs w:val="24"/>
        </w:rPr>
        <w:t>的代谢；甲硫氨酸与转甲基作用；芳香族氨基酸代谢的重要产物</w:t>
      </w:r>
    </w:p>
    <w:p w14:paraId="1CBB52B4"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59607C1C" w14:textId="77777777" w:rsidR="0085474C" w:rsidRPr="0085474C" w:rsidRDefault="0085474C" w:rsidP="00E842C1">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lastRenderedPageBreak/>
        <w:t xml:space="preserve">1. </w:t>
      </w:r>
      <w:r w:rsidRPr="0085474C">
        <w:rPr>
          <w:rFonts w:ascii="Times New Roman" w:eastAsia="宋体" w:hAnsi="Times New Roman" w:cs="Times New Roman"/>
          <w:sz w:val="24"/>
          <w:szCs w:val="24"/>
        </w:rPr>
        <w:t>氨基酸如何转变成糖及脂类</w:t>
      </w:r>
    </w:p>
    <w:p w14:paraId="65862B44"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氨基酸如何彻底氧化</w:t>
      </w:r>
    </w:p>
    <w:p w14:paraId="6736BB86" w14:textId="77777777" w:rsidR="0085474C" w:rsidRPr="0085474C" w:rsidRDefault="0085474C" w:rsidP="00E842C1">
      <w:pPr>
        <w:spacing w:line="440" w:lineRule="exact"/>
        <w:ind w:firstLineChars="200" w:firstLine="482"/>
        <w:rPr>
          <w:rFonts w:ascii="Times New Roman" w:eastAsia="宋体" w:hAnsi="Times New Roman" w:cs="Times New Roman"/>
          <w:color w:val="FF0000"/>
          <w:sz w:val="24"/>
          <w:szCs w:val="24"/>
        </w:rPr>
      </w:pPr>
      <w:r w:rsidRPr="0085474C">
        <w:rPr>
          <w:rFonts w:ascii="Times New Roman" w:eastAsia="宋体" w:hAnsi="Times New Roman" w:cs="Times New Roman"/>
          <w:b/>
          <w:bCs/>
          <w:sz w:val="24"/>
          <w:szCs w:val="24"/>
        </w:rPr>
        <w:t>【教学方法】</w:t>
      </w:r>
    </w:p>
    <w:p w14:paraId="39C4EC21"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通过多媒体课件和传统教学相结合，阐明蛋白质降解和氨基酸代谢的基本原理，培养学生能够应用蛋白质降解和氨基酸代谢专业知识解决生物产品工艺开发等复杂工程问题。</w:t>
      </w:r>
    </w:p>
    <w:p w14:paraId="52A38FC5"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通过案例分析，强调理论与实践相结合，促进学生知识整合，培养学生的反思能力。</w:t>
      </w:r>
    </w:p>
    <w:p w14:paraId="67CF53FA"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通过小组合作学习，培养学生的合作能力和解决问题能力。</w:t>
      </w:r>
    </w:p>
    <w:p w14:paraId="17D58EBD" w14:textId="77777777" w:rsidR="0085474C" w:rsidRPr="0085474C" w:rsidRDefault="0085474C" w:rsidP="00E842C1">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第十章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核苷酸代谢</w:t>
      </w:r>
    </w:p>
    <w:p w14:paraId="76D1B83B"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6695ABE3"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认知类目标：理解核苷酸代谢的内容、性质和要求；</w:t>
      </w:r>
    </w:p>
    <w:p w14:paraId="16F0186E"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通过本章的学习，使学生明确嘌呤碱分解代谢的最终产物。明确嘌呤环和嘧啶环上各原子的来源。了解核酸、核苷酸、核苷的酶促降解。了解两类碱基的分解代谢和核苷酸的合成代谢及抗代谢物。</w:t>
      </w:r>
    </w:p>
    <w:p w14:paraId="13E5FC32"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情感、态度、价值观类目标：激发学生对生物化学的兴趣，培养学生合作探究和自主学习能力。</w:t>
      </w:r>
    </w:p>
    <w:p w14:paraId="7908C188"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5FF58786" w14:textId="77777777" w:rsidR="0085474C" w:rsidRPr="0085474C" w:rsidRDefault="0085474C" w:rsidP="00E842C1">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嘌呤核苷酸的合成与分解代谢：嘌呤核苷酸的合成存在从头合成和补救合成两种途径；嘌呤核苷酸的分解代谢终产物是尿酸；</w:t>
      </w:r>
    </w:p>
    <w:p w14:paraId="695D091A"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嘧啶核苷酸的合成与分解代谢：嘧啶核苷酸的合成同样有从头合成与补救合成两条途径；嘧啶核苷酸的分解代谢；</w:t>
      </w:r>
    </w:p>
    <w:p w14:paraId="31331A17"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107CB090"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核酸的生物学作用，嘌呤核苷酸和嘧啶核苷酸从头合成途径及补救合成途径的概念</w:t>
      </w:r>
    </w:p>
    <w:p w14:paraId="1A8E2D60" w14:textId="77777777" w:rsidR="0085474C" w:rsidRPr="0085474C" w:rsidRDefault="0085474C" w:rsidP="00E842C1">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嘌呤碱与嘧啶碱分解代谢的终产物</w:t>
      </w:r>
    </w:p>
    <w:p w14:paraId="5B6F8408"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6028FDAC" w14:textId="77777777" w:rsidR="0085474C" w:rsidRPr="0085474C" w:rsidRDefault="0085474C" w:rsidP="00E842C1">
      <w:pPr>
        <w:spacing w:line="440" w:lineRule="exact"/>
        <w:ind w:firstLineChars="200" w:firstLine="480"/>
        <w:rPr>
          <w:rFonts w:ascii="Times New Roman" w:eastAsia="宋体" w:hAnsi="Times New Roman" w:cs="Times New Roman"/>
          <w:b/>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嘌呤和嘧啶核苷酸的从头合成途径</w:t>
      </w:r>
    </w:p>
    <w:p w14:paraId="1F98965D" w14:textId="77777777" w:rsidR="0085474C" w:rsidRPr="0085474C" w:rsidRDefault="0085474C" w:rsidP="00E842C1">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bCs/>
          <w:sz w:val="24"/>
          <w:szCs w:val="24"/>
        </w:rPr>
        <w:t>【教学方法】</w:t>
      </w:r>
    </w:p>
    <w:p w14:paraId="3BCD3052"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通过多媒体课件和传统教学相结合，阐明核苷酸代谢的基本原理，培养学生能够应用核苷酸代谢专业知识解决生物产品工艺开发等复杂工程问题。</w:t>
      </w:r>
    </w:p>
    <w:p w14:paraId="49C39F04"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 xml:space="preserve">2. </w:t>
      </w:r>
      <w:r w:rsidRPr="0085474C">
        <w:rPr>
          <w:rFonts w:ascii="Times New Roman" w:eastAsia="宋体" w:hAnsi="Times New Roman" w:cs="Times New Roman"/>
          <w:sz w:val="24"/>
          <w:szCs w:val="24"/>
        </w:rPr>
        <w:t>通过案例分析，强调理论与实践相结合，促进学生知识整合，培养学生的反思能力。</w:t>
      </w:r>
    </w:p>
    <w:p w14:paraId="70B84580" w14:textId="77777777" w:rsidR="0085474C" w:rsidRPr="0085474C" w:rsidRDefault="0085474C" w:rsidP="00E842C1">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第十一章</w:t>
      </w:r>
      <w:r w:rsidRPr="0085474C">
        <w:rPr>
          <w:rFonts w:ascii="Times New Roman" w:eastAsia="黑体" w:hAnsi="Times New Roman" w:cs="Times New Roman"/>
          <w:sz w:val="28"/>
          <w:szCs w:val="28"/>
        </w:rPr>
        <w:t xml:space="preserve"> DNA</w:t>
      </w:r>
      <w:r w:rsidRPr="0085474C">
        <w:rPr>
          <w:rFonts w:ascii="Times New Roman" w:eastAsia="黑体" w:hAnsi="Times New Roman" w:cs="Times New Roman"/>
          <w:sz w:val="28"/>
          <w:szCs w:val="28"/>
        </w:rPr>
        <w:t>的复制与修复</w:t>
      </w:r>
    </w:p>
    <w:p w14:paraId="684F32AA"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415784A4"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认知类目标：理解</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复制的一般规律、参与的酶类和过程，</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的损伤与修复原理；</w:t>
      </w:r>
    </w:p>
    <w:p w14:paraId="55885C19"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过程与方法类目标：通过本章的学习，使学生明确</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半保留半不连续复制的机制，复制过程所需的酶和蛋白质，引起突变的因素及修复方式。</w:t>
      </w:r>
    </w:p>
    <w:p w14:paraId="6B4200B9"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情感、态度、价值观类目标：激发学生对生物化学的兴趣，培养学生合作探究和自主学习能力。</w:t>
      </w:r>
    </w:p>
    <w:p w14:paraId="5E22AAA6"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72F97C71"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的半保留复制；</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的半不连续复制；</w:t>
      </w:r>
      <w:r w:rsidRPr="0085474C">
        <w:rPr>
          <w:rFonts w:ascii="Times New Roman" w:eastAsia="宋体" w:hAnsi="Times New Roman" w:cs="Times New Roman"/>
          <w:sz w:val="24"/>
          <w:szCs w:val="24"/>
        </w:rPr>
        <w:t xml:space="preserve"> DNA</w:t>
      </w:r>
      <w:r w:rsidRPr="0085474C">
        <w:rPr>
          <w:rFonts w:ascii="Times New Roman" w:eastAsia="宋体" w:hAnsi="Times New Roman" w:cs="Times New Roman"/>
          <w:sz w:val="24"/>
          <w:szCs w:val="24"/>
        </w:rPr>
        <w:t>复制过程参与的酶类；</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复制的过程</w:t>
      </w:r>
    </w:p>
    <w:p w14:paraId="6827E898"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的损伤与修复；</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的突变</w:t>
      </w:r>
    </w:p>
    <w:p w14:paraId="5E12FEA3"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19BF90E1"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 DNA</w:t>
      </w:r>
      <w:r w:rsidRPr="0085474C">
        <w:rPr>
          <w:rFonts w:ascii="Times New Roman" w:eastAsia="宋体" w:hAnsi="Times New Roman" w:cs="Times New Roman"/>
          <w:sz w:val="24"/>
          <w:szCs w:val="24"/>
        </w:rPr>
        <w:t>复制过程参与的酶类</w:t>
      </w:r>
    </w:p>
    <w:p w14:paraId="6525BD29"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 DNA</w:t>
      </w:r>
      <w:r w:rsidRPr="0085474C">
        <w:rPr>
          <w:rFonts w:ascii="Times New Roman" w:eastAsia="宋体" w:hAnsi="Times New Roman" w:cs="Times New Roman"/>
          <w:sz w:val="24"/>
          <w:szCs w:val="24"/>
        </w:rPr>
        <w:t>复制的过程</w:t>
      </w:r>
    </w:p>
    <w:p w14:paraId="73D6BB49"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0FDBE738"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 DNA</w:t>
      </w:r>
      <w:r w:rsidRPr="0085474C">
        <w:rPr>
          <w:rFonts w:ascii="Times New Roman" w:eastAsia="宋体" w:hAnsi="Times New Roman" w:cs="Times New Roman"/>
          <w:sz w:val="24"/>
          <w:szCs w:val="24"/>
        </w:rPr>
        <w:t>复制过程参与的酶类</w:t>
      </w:r>
    </w:p>
    <w:p w14:paraId="02420106" w14:textId="77777777" w:rsidR="0085474C" w:rsidRPr="0085474C" w:rsidRDefault="0085474C" w:rsidP="00E842C1">
      <w:pPr>
        <w:spacing w:line="440" w:lineRule="exact"/>
        <w:ind w:firstLineChars="200" w:firstLine="480"/>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2. DNA</w:t>
      </w:r>
      <w:r w:rsidRPr="0085474C">
        <w:rPr>
          <w:rFonts w:ascii="Times New Roman" w:eastAsia="宋体" w:hAnsi="Times New Roman" w:cs="Times New Roman"/>
          <w:bCs/>
          <w:sz w:val="24"/>
          <w:szCs w:val="24"/>
        </w:rPr>
        <w:t>复制的过程</w:t>
      </w:r>
    </w:p>
    <w:p w14:paraId="392E0711" w14:textId="77777777" w:rsidR="0085474C" w:rsidRPr="0085474C" w:rsidRDefault="0085474C" w:rsidP="00E842C1">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bCs/>
          <w:sz w:val="24"/>
          <w:szCs w:val="24"/>
        </w:rPr>
        <w:t>【教学方法】</w:t>
      </w:r>
    </w:p>
    <w:p w14:paraId="35D1E062"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通过多媒体课件和传统教学相结合，阐明</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复制的基本过程，培养学生能够应用</w:t>
      </w:r>
      <w:r w:rsidRPr="0085474C">
        <w:rPr>
          <w:rFonts w:ascii="Times New Roman" w:eastAsia="宋体" w:hAnsi="Times New Roman" w:cs="Times New Roman"/>
          <w:sz w:val="24"/>
          <w:szCs w:val="24"/>
        </w:rPr>
        <w:t>DNA</w:t>
      </w:r>
      <w:r w:rsidRPr="0085474C">
        <w:rPr>
          <w:rFonts w:ascii="Times New Roman" w:eastAsia="宋体" w:hAnsi="Times New Roman" w:cs="Times New Roman"/>
          <w:sz w:val="24"/>
          <w:szCs w:val="24"/>
        </w:rPr>
        <w:t>的复制与修复专业知识解决生物产品工艺开发等复杂工程问题。</w:t>
      </w:r>
    </w:p>
    <w:p w14:paraId="4F99EBD6"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通过案例分析，强调理论与实践相结合，促进学生知识整合，培养学生的反思能力。</w:t>
      </w:r>
    </w:p>
    <w:p w14:paraId="5EF96195" w14:textId="77777777" w:rsidR="0085474C" w:rsidRPr="0085474C" w:rsidRDefault="0085474C" w:rsidP="00E842C1">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第十二章</w:t>
      </w:r>
      <w:r w:rsidRPr="0085474C">
        <w:rPr>
          <w:rFonts w:ascii="Times New Roman" w:eastAsia="黑体" w:hAnsi="Times New Roman" w:cs="Times New Roman"/>
          <w:sz w:val="28"/>
          <w:szCs w:val="28"/>
        </w:rPr>
        <w:t xml:space="preserve"> RNA</w:t>
      </w:r>
      <w:r w:rsidRPr="0085474C">
        <w:rPr>
          <w:rFonts w:ascii="Times New Roman" w:eastAsia="黑体" w:hAnsi="Times New Roman" w:cs="Times New Roman"/>
          <w:sz w:val="28"/>
          <w:szCs w:val="28"/>
        </w:rPr>
        <w:t>的合成与加工</w:t>
      </w:r>
    </w:p>
    <w:p w14:paraId="2021801A"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403C194C"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认知类目标：理解</w:t>
      </w:r>
      <w:r w:rsidRPr="0085474C">
        <w:rPr>
          <w:rFonts w:ascii="Times New Roman" w:eastAsia="宋体" w:hAnsi="Times New Roman" w:cs="Times New Roman"/>
          <w:sz w:val="24"/>
          <w:szCs w:val="24"/>
        </w:rPr>
        <w:t>RNA</w:t>
      </w:r>
      <w:r w:rsidRPr="0085474C">
        <w:rPr>
          <w:rFonts w:ascii="Times New Roman" w:eastAsia="宋体" w:hAnsi="Times New Roman" w:cs="Times New Roman"/>
          <w:sz w:val="24"/>
          <w:szCs w:val="24"/>
        </w:rPr>
        <w:t>生物合成的一般规律、参与的酶类和过程，</w:t>
      </w:r>
      <w:r w:rsidRPr="0085474C">
        <w:rPr>
          <w:rFonts w:ascii="Times New Roman" w:eastAsia="宋体" w:hAnsi="Times New Roman" w:cs="Times New Roman"/>
          <w:sz w:val="24"/>
          <w:szCs w:val="24"/>
        </w:rPr>
        <w:t>RNA</w:t>
      </w:r>
      <w:r w:rsidRPr="0085474C">
        <w:rPr>
          <w:rFonts w:ascii="Times New Roman" w:eastAsia="宋体" w:hAnsi="Times New Roman" w:cs="Times New Roman"/>
          <w:sz w:val="24"/>
          <w:szCs w:val="24"/>
        </w:rPr>
        <w:t>的转录后加工方式。</w:t>
      </w:r>
    </w:p>
    <w:p w14:paraId="5CA346C2"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过程与方法类目标：通过本章的学习，使学生明确</w:t>
      </w:r>
      <w:r w:rsidRPr="0085474C">
        <w:rPr>
          <w:rFonts w:ascii="Times New Roman" w:eastAsia="宋体" w:hAnsi="Times New Roman" w:cs="Times New Roman"/>
          <w:sz w:val="24"/>
          <w:szCs w:val="24"/>
        </w:rPr>
        <w:t>RNA</w:t>
      </w:r>
      <w:r w:rsidRPr="0085474C">
        <w:rPr>
          <w:rFonts w:ascii="Times New Roman" w:eastAsia="宋体" w:hAnsi="Times New Roman" w:cs="Times New Roman"/>
          <w:sz w:val="24"/>
          <w:szCs w:val="24"/>
        </w:rPr>
        <w:t>合成的机制，所需的</w:t>
      </w:r>
      <w:r w:rsidRPr="0085474C">
        <w:rPr>
          <w:rFonts w:ascii="Times New Roman" w:eastAsia="宋体" w:hAnsi="Times New Roman" w:cs="Times New Roman"/>
          <w:sz w:val="24"/>
          <w:szCs w:val="24"/>
        </w:rPr>
        <w:lastRenderedPageBreak/>
        <w:t>酶和蛋白质，</w:t>
      </w:r>
      <w:r w:rsidRPr="0085474C">
        <w:rPr>
          <w:rFonts w:ascii="Times New Roman" w:eastAsia="宋体" w:hAnsi="Times New Roman" w:cs="Times New Roman"/>
          <w:sz w:val="24"/>
          <w:szCs w:val="24"/>
        </w:rPr>
        <w:t>RNA</w:t>
      </w:r>
      <w:r w:rsidRPr="0085474C">
        <w:rPr>
          <w:rFonts w:ascii="Times New Roman" w:eastAsia="宋体" w:hAnsi="Times New Roman" w:cs="Times New Roman"/>
          <w:sz w:val="24"/>
          <w:szCs w:val="24"/>
        </w:rPr>
        <w:t>的转录后加工过程。</w:t>
      </w:r>
    </w:p>
    <w:p w14:paraId="7EDE6B9F"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情感、态度、价值观类目标：激发学生对生物化学的兴趣，培养学生合作探究和自主学习能力。</w:t>
      </w:r>
    </w:p>
    <w:p w14:paraId="35D3A939"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140FD04B"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RNA</w:t>
      </w:r>
      <w:r w:rsidRPr="0085474C">
        <w:rPr>
          <w:rFonts w:ascii="Times New Roman" w:eastAsia="宋体" w:hAnsi="Times New Roman" w:cs="Times New Roman"/>
          <w:sz w:val="24"/>
          <w:szCs w:val="24"/>
        </w:rPr>
        <w:t>聚合酶；大肠杆菌的转录过程；真核生物的转录</w:t>
      </w:r>
    </w:p>
    <w:p w14:paraId="3DB685E4"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 RNA</w:t>
      </w:r>
      <w:r w:rsidRPr="0085474C">
        <w:rPr>
          <w:rFonts w:ascii="Times New Roman" w:eastAsia="宋体" w:hAnsi="Times New Roman" w:cs="Times New Roman"/>
          <w:sz w:val="24"/>
          <w:szCs w:val="24"/>
        </w:rPr>
        <w:t>的剪切和加工；反转录</w:t>
      </w:r>
    </w:p>
    <w:p w14:paraId="1E3B61F5"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6729BD95"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大肠杆菌的转录过程</w:t>
      </w:r>
    </w:p>
    <w:p w14:paraId="475AE534"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转录后加工过程</w:t>
      </w:r>
    </w:p>
    <w:p w14:paraId="0517E133"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002704D3"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转录后加工过程</w:t>
      </w:r>
    </w:p>
    <w:p w14:paraId="73F0B4F7" w14:textId="77777777" w:rsidR="0085474C" w:rsidRPr="0085474C" w:rsidRDefault="0085474C" w:rsidP="00E842C1">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bCs/>
          <w:sz w:val="24"/>
          <w:szCs w:val="24"/>
        </w:rPr>
        <w:t>【教学方法】</w:t>
      </w:r>
    </w:p>
    <w:p w14:paraId="745B6F46"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通过多媒体课件和传统教学相结合，阐明</w:t>
      </w:r>
      <w:r w:rsidRPr="0085474C">
        <w:rPr>
          <w:rFonts w:ascii="Times New Roman" w:eastAsia="宋体" w:hAnsi="Times New Roman" w:cs="Times New Roman"/>
          <w:sz w:val="24"/>
          <w:szCs w:val="24"/>
        </w:rPr>
        <w:t>RNA</w:t>
      </w:r>
      <w:r w:rsidRPr="0085474C">
        <w:rPr>
          <w:rFonts w:ascii="Times New Roman" w:eastAsia="宋体" w:hAnsi="Times New Roman" w:cs="Times New Roman"/>
          <w:sz w:val="24"/>
          <w:szCs w:val="24"/>
        </w:rPr>
        <w:t>的合成与加工过程，培养学生能够应用</w:t>
      </w:r>
      <w:r w:rsidRPr="0085474C">
        <w:rPr>
          <w:rFonts w:ascii="Times New Roman" w:eastAsia="宋体" w:hAnsi="Times New Roman" w:cs="Times New Roman"/>
          <w:sz w:val="24"/>
          <w:szCs w:val="24"/>
        </w:rPr>
        <w:t>RNA</w:t>
      </w:r>
      <w:r w:rsidRPr="0085474C">
        <w:rPr>
          <w:rFonts w:ascii="Times New Roman" w:eastAsia="宋体" w:hAnsi="Times New Roman" w:cs="Times New Roman"/>
          <w:sz w:val="24"/>
          <w:szCs w:val="24"/>
        </w:rPr>
        <w:t>的合成与加工专业知识解决生物产品工艺开发等复杂工程问题。</w:t>
      </w:r>
    </w:p>
    <w:p w14:paraId="72C8CF48"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通过案例分析，强调理论与实践相结合，促进学生知识整合，培养学生的反思能力。</w:t>
      </w:r>
    </w:p>
    <w:p w14:paraId="1CC4EAEE" w14:textId="77777777" w:rsidR="0085474C" w:rsidRPr="0085474C" w:rsidRDefault="0085474C" w:rsidP="00E842C1">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474C">
        <w:rPr>
          <w:rFonts w:ascii="Times New Roman" w:eastAsia="黑体" w:hAnsi="Times New Roman" w:cs="Times New Roman"/>
          <w:sz w:val="28"/>
          <w:szCs w:val="28"/>
        </w:rPr>
        <w:t>第十三章</w:t>
      </w:r>
      <w:r w:rsidRPr="0085474C">
        <w:rPr>
          <w:rFonts w:ascii="Times New Roman" w:eastAsia="黑体" w:hAnsi="Times New Roman" w:cs="Times New Roman"/>
          <w:sz w:val="28"/>
          <w:szCs w:val="28"/>
        </w:rPr>
        <w:t xml:space="preserve"> </w:t>
      </w:r>
      <w:r w:rsidRPr="0085474C">
        <w:rPr>
          <w:rFonts w:ascii="Times New Roman" w:eastAsia="黑体" w:hAnsi="Times New Roman" w:cs="Times New Roman"/>
          <w:sz w:val="28"/>
          <w:szCs w:val="28"/>
        </w:rPr>
        <w:t>蛋白质的生物合成</w:t>
      </w:r>
    </w:p>
    <w:p w14:paraId="497563FC"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【学习目标】</w:t>
      </w:r>
    </w:p>
    <w:p w14:paraId="378984E0"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认知类目标：理解遗传密码的基本特点，蛋白质生物合成过程中氨基酸的活化及转运；肽链合成的起始、延长、终止及释放。</w:t>
      </w:r>
    </w:p>
    <w:p w14:paraId="31BB6669"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过程与方法类目标：通过本章的学习，使学生明确</w:t>
      </w:r>
      <w:r w:rsidRPr="0085474C">
        <w:rPr>
          <w:rFonts w:ascii="Times New Roman" w:eastAsia="宋体" w:hAnsi="Times New Roman" w:cs="Times New Roman"/>
          <w:sz w:val="24"/>
          <w:szCs w:val="24"/>
        </w:rPr>
        <w:t>mRNA</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tRNA</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rRNA</w:t>
      </w:r>
      <w:r w:rsidRPr="0085474C">
        <w:rPr>
          <w:rFonts w:ascii="Times New Roman" w:eastAsia="宋体" w:hAnsi="Times New Roman" w:cs="Times New Roman"/>
          <w:sz w:val="24"/>
          <w:szCs w:val="24"/>
        </w:rPr>
        <w:t>在蛋白质生物合成过程中的作用。了解肽链合成后的加工处理。</w:t>
      </w:r>
    </w:p>
    <w:p w14:paraId="7D54863C"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情感、态度、价值观类目标：激发学生对生物化学的兴趣，培养学生合作探究和自主学习能力。</w:t>
      </w:r>
    </w:p>
    <w:p w14:paraId="2EAE9F90"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【学习内容】</w:t>
      </w:r>
    </w:p>
    <w:p w14:paraId="7C2C2336"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密码子；蛋白质合成的过程</w:t>
      </w:r>
    </w:p>
    <w:p w14:paraId="444FCEE5"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蛋白质的翻译后加工与运输</w:t>
      </w:r>
    </w:p>
    <w:p w14:paraId="44C0FFD5"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【重点】</w:t>
      </w:r>
    </w:p>
    <w:p w14:paraId="3B2363A6"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szCs w:val="24"/>
        </w:rPr>
        <w:t xml:space="preserve"> </w:t>
      </w:r>
      <w:r w:rsidRPr="0085474C">
        <w:rPr>
          <w:rFonts w:ascii="Times New Roman" w:eastAsia="宋体" w:hAnsi="Times New Roman" w:cs="Times New Roman"/>
          <w:sz w:val="24"/>
          <w:szCs w:val="24"/>
        </w:rPr>
        <w:t>遗传密码的特性和蛋白质生物合成的一般过程</w:t>
      </w:r>
    </w:p>
    <w:p w14:paraId="57B2A5E7"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蛋白质生物合成的过程</w:t>
      </w:r>
    </w:p>
    <w:p w14:paraId="7B937D82" w14:textId="77777777" w:rsidR="0085474C" w:rsidRPr="0085474C" w:rsidRDefault="0085474C" w:rsidP="00E842C1">
      <w:pPr>
        <w:spacing w:line="440" w:lineRule="exact"/>
        <w:ind w:firstLineChars="200" w:firstLine="482"/>
        <w:rPr>
          <w:rFonts w:ascii="Times New Roman" w:eastAsia="宋体" w:hAnsi="Times New Roman" w:cs="Times New Roman"/>
          <w:b/>
          <w:sz w:val="24"/>
          <w:szCs w:val="24"/>
        </w:rPr>
      </w:pPr>
      <w:r w:rsidRPr="0085474C">
        <w:rPr>
          <w:rFonts w:ascii="Times New Roman" w:eastAsia="宋体" w:hAnsi="Times New Roman" w:cs="Times New Roman"/>
          <w:b/>
          <w:sz w:val="24"/>
          <w:szCs w:val="24"/>
        </w:rPr>
        <w:t>【难点】</w:t>
      </w:r>
    </w:p>
    <w:p w14:paraId="6442E853"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 xml:space="preserve">1. </w:t>
      </w:r>
      <w:r w:rsidRPr="0085474C">
        <w:rPr>
          <w:rFonts w:ascii="Times New Roman" w:eastAsia="宋体" w:hAnsi="Times New Roman" w:cs="Times New Roman"/>
          <w:sz w:val="24"/>
          <w:szCs w:val="24"/>
        </w:rPr>
        <w:t>蛋白质生物合成的过程</w:t>
      </w:r>
    </w:p>
    <w:p w14:paraId="75D79AFB" w14:textId="77777777" w:rsidR="0085474C" w:rsidRPr="0085474C" w:rsidRDefault="0085474C" w:rsidP="00E842C1">
      <w:pPr>
        <w:spacing w:line="440" w:lineRule="exact"/>
        <w:ind w:firstLineChars="200" w:firstLine="482"/>
        <w:rPr>
          <w:rFonts w:ascii="Times New Roman" w:eastAsia="宋体" w:hAnsi="Times New Roman" w:cs="Times New Roman"/>
          <w:sz w:val="24"/>
          <w:szCs w:val="24"/>
        </w:rPr>
      </w:pPr>
      <w:r w:rsidRPr="0085474C">
        <w:rPr>
          <w:rFonts w:ascii="Times New Roman" w:eastAsia="宋体" w:hAnsi="Times New Roman" w:cs="Times New Roman"/>
          <w:b/>
          <w:bCs/>
          <w:sz w:val="24"/>
          <w:szCs w:val="24"/>
        </w:rPr>
        <w:t>【教学方法】</w:t>
      </w:r>
    </w:p>
    <w:p w14:paraId="6B617F6D"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通过多媒体课件和传统教学相结合，阐明蛋白质的生物合成过程，培养学生能够应用蛋白质的生物合成专业知识解决生物产品工艺开发等复杂工程问题。</w:t>
      </w:r>
    </w:p>
    <w:p w14:paraId="16625656" w14:textId="77777777" w:rsidR="0085474C" w:rsidRPr="0085474C" w:rsidRDefault="0085474C" w:rsidP="00E842C1">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w:t>
      </w:r>
      <w:r w:rsidRPr="0085474C">
        <w:rPr>
          <w:rFonts w:ascii="Times New Roman" w:eastAsia="宋体" w:hAnsi="Times New Roman" w:cs="Times New Roman"/>
          <w:sz w:val="24"/>
          <w:szCs w:val="24"/>
        </w:rPr>
        <w:t>通过案例分析，强调理论与实践相结合，促进学生知识整合，培养学生的反思能力。</w:t>
      </w:r>
    </w:p>
    <w:p w14:paraId="5596DDB5" w14:textId="77777777" w:rsidR="0085474C" w:rsidRPr="0085474C" w:rsidRDefault="0085474C" w:rsidP="0085474C">
      <w:pPr>
        <w:spacing w:beforeLines="50" w:before="156" w:afterLines="50" w:after="156" w:line="440" w:lineRule="exact"/>
        <w:rPr>
          <w:rFonts w:ascii="Times New Roman" w:eastAsia="仿宋" w:hAnsi="Times New Roman" w:cs="Times New Roman"/>
          <w:sz w:val="24"/>
          <w:szCs w:val="24"/>
        </w:rPr>
      </w:pPr>
      <w:bookmarkStart w:id="206" w:name="_Hlk148705881"/>
      <w:r w:rsidRPr="0085474C">
        <w:rPr>
          <w:rFonts w:ascii="Times New Roman" w:eastAsia="黑体" w:hAnsi="Times New Roman" w:cs="Times New Roman"/>
          <w:sz w:val="28"/>
          <w:szCs w:val="28"/>
        </w:rPr>
        <w:t>（二）课程学习内容与课程学习目标的对应关系</w:t>
      </w:r>
      <w:r w:rsidRPr="0085474C">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85474C" w:rsidRPr="0085474C" w14:paraId="1B356020" w14:textId="77777777" w:rsidTr="00367215">
        <w:trPr>
          <w:trHeight w:val="660"/>
          <w:jc w:val="center"/>
        </w:trPr>
        <w:tc>
          <w:tcPr>
            <w:tcW w:w="3403" w:type="dxa"/>
            <w:vAlign w:val="center"/>
          </w:tcPr>
          <w:p w14:paraId="17C45900"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t>课程学习内容</w:t>
            </w:r>
          </w:p>
        </w:tc>
        <w:tc>
          <w:tcPr>
            <w:tcW w:w="2693" w:type="dxa"/>
            <w:vAlign w:val="center"/>
          </w:tcPr>
          <w:p w14:paraId="62970C38"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t>教学方法</w:t>
            </w:r>
          </w:p>
        </w:tc>
        <w:tc>
          <w:tcPr>
            <w:tcW w:w="1985" w:type="dxa"/>
            <w:vAlign w:val="center"/>
          </w:tcPr>
          <w:p w14:paraId="57BCBB86"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t>支撑的课程目标</w:t>
            </w:r>
          </w:p>
        </w:tc>
        <w:tc>
          <w:tcPr>
            <w:tcW w:w="1276" w:type="dxa"/>
            <w:vAlign w:val="center"/>
          </w:tcPr>
          <w:p w14:paraId="7E72F531" w14:textId="77777777" w:rsidR="0085474C" w:rsidRPr="0085474C" w:rsidRDefault="0085474C" w:rsidP="0085474C">
            <w:pPr>
              <w:spacing w:line="440" w:lineRule="exact"/>
              <w:jc w:val="center"/>
              <w:rPr>
                <w:rFonts w:ascii="Times New Roman" w:eastAsia="宋体" w:hAnsi="Times New Roman" w:cs="Times New Roman"/>
                <w:b/>
                <w:bCs/>
                <w:sz w:val="24"/>
                <w:szCs w:val="24"/>
              </w:rPr>
            </w:pPr>
            <w:r w:rsidRPr="0085474C">
              <w:rPr>
                <w:rFonts w:ascii="Times New Roman" w:eastAsia="宋体" w:hAnsi="Times New Roman" w:cs="Times New Roman"/>
                <w:b/>
                <w:bCs/>
                <w:sz w:val="24"/>
                <w:szCs w:val="24"/>
              </w:rPr>
              <w:t>学时安排</w:t>
            </w:r>
          </w:p>
        </w:tc>
      </w:tr>
      <w:tr w:rsidR="0085474C" w:rsidRPr="0085474C" w14:paraId="660179A6" w14:textId="77777777" w:rsidTr="00367215">
        <w:trPr>
          <w:trHeight w:val="514"/>
          <w:jc w:val="center"/>
        </w:trPr>
        <w:tc>
          <w:tcPr>
            <w:tcW w:w="3403" w:type="dxa"/>
            <w:vAlign w:val="center"/>
          </w:tcPr>
          <w:p w14:paraId="69B560E6"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第一章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绪论</w:t>
            </w:r>
          </w:p>
        </w:tc>
        <w:tc>
          <w:tcPr>
            <w:tcW w:w="2693" w:type="dxa"/>
            <w:vAlign w:val="center"/>
          </w:tcPr>
          <w:p w14:paraId="6E53370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w:t>
            </w:r>
          </w:p>
        </w:tc>
        <w:tc>
          <w:tcPr>
            <w:tcW w:w="1985" w:type="dxa"/>
            <w:vAlign w:val="center"/>
          </w:tcPr>
          <w:p w14:paraId="097257AB"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p>
        </w:tc>
        <w:tc>
          <w:tcPr>
            <w:tcW w:w="1276" w:type="dxa"/>
            <w:vAlign w:val="center"/>
          </w:tcPr>
          <w:p w14:paraId="0299EC0E"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1</w:t>
            </w:r>
          </w:p>
        </w:tc>
      </w:tr>
      <w:tr w:rsidR="0085474C" w:rsidRPr="0085474C" w14:paraId="7BF74E2E" w14:textId="77777777" w:rsidTr="00367215">
        <w:trPr>
          <w:trHeight w:val="90"/>
          <w:jc w:val="center"/>
        </w:trPr>
        <w:tc>
          <w:tcPr>
            <w:tcW w:w="3403" w:type="dxa"/>
            <w:vAlign w:val="center"/>
          </w:tcPr>
          <w:p w14:paraId="61A4C7B9"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第二章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蛋白质的结构与功能</w:t>
            </w:r>
          </w:p>
        </w:tc>
        <w:tc>
          <w:tcPr>
            <w:tcW w:w="2693" w:type="dxa"/>
            <w:vAlign w:val="center"/>
          </w:tcPr>
          <w:p w14:paraId="098EDCB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讲授法、案例教学法、思维导图归纳法</w:t>
            </w:r>
          </w:p>
        </w:tc>
        <w:tc>
          <w:tcPr>
            <w:tcW w:w="1985" w:type="dxa"/>
            <w:vAlign w:val="center"/>
          </w:tcPr>
          <w:p w14:paraId="48B5865C"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p>
        </w:tc>
        <w:tc>
          <w:tcPr>
            <w:tcW w:w="1276" w:type="dxa"/>
            <w:vAlign w:val="center"/>
          </w:tcPr>
          <w:p w14:paraId="76F04E4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4</w:t>
            </w:r>
          </w:p>
        </w:tc>
      </w:tr>
      <w:tr w:rsidR="0085474C" w:rsidRPr="0085474C" w14:paraId="7C70778D" w14:textId="77777777" w:rsidTr="00367215">
        <w:trPr>
          <w:jc w:val="center"/>
        </w:trPr>
        <w:tc>
          <w:tcPr>
            <w:tcW w:w="3403" w:type="dxa"/>
            <w:vAlign w:val="center"/>
          </w:tcPr>
          <w:p w14:paraId="597F4600"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第三章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酶的结构与功能</w:t>
            </w:r>
          </w:p>
        </w:tc>
        <w:tc>
          <w:tcPr>
            <w:tcW w:w="2693" w:type="dxa"/>
            <w:vAlign w:val="center"/>
          </w:tcPr>
          <w:p w14:paraId="02AD619E"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讲授法、案例教学法、思维导图归纳法</w:t>
            </w:r>
          </w:p>
        </w:tc>
        <w:tc>
          <w:tcPr>
            <w:tcW w:w="1985" w:type="dxa"/>
            <w:vAlign w:val="center"/>
          </w:tcPr>
          <w:p w14:paraId="5086A84A"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p>
        </w:tc>
        <w:tc>
          <w:tcPr>
            <w:tcW w:w="1276" w:type="dxa"/>
            <w:vAlign w:val="center"/>
          </w:tcPr>
          <w:p w14:paraId="58F2FA12"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4</w:t>
            </w:r>
          </w:p>
        </w:tc>
      </w:tr>
      <w:tr w:rsidR="0085474C" w:rsidRPr="0085474C" w14:paraId="6C2A3DF5" w14:textId="77777777" w:rsidTr="00367215">
        <w:trPr>
          <w:jc w:val="center"/>
        </w:trPr>
        <w:tc>
          <w:tcPr>
            <w:tcW w:w="3403" w:type="dxa"/>
            <w:vAlign w:val="center"/>
          </w:tcPr>
          <w:p w14:paraId="01A75576"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第四章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维生素与辅酶</w:t>
            </w:r>
          </w:p>
        </w:tc>
        <w:tc>
          <w:tcPr>
            <w:tcW w:w="2693" w:type="dxa"/>
            <w:vAlign w:val="center"/>
          </w:tcPr>
          <w:p w14:paraId="0B863F7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w:t>
            </w:r>
            <w:r w:rsidRPr="0085474C">
              <w:rPr>
                <w:rFonts w:ascii="Times New Roman" w:eastAsia="宋体" w:hAnsi="Times New Roman" w:cs="Times New Roman"/>
                <w:sz w:val="24"/>
                <w:szCs w:val="24"/>
              </w:rPr>
              <w:t>PBL</w:t>
            </w:r>
            <w:r w:rsidRPr="0085474C">
              <w:rPr>
                <w:rFonts w:ascii="Times New Roman" w:eastAsia="宋体" w:hAnsi="Times New Roman" w:cs="Times New Roman"/>
                <w:sz w:val="24"/>
                <w:szCs w:val="24"/>
              </w:rPr>
              <w:t>教学法、案例教学法</w:t>
            </w:r>
          </w:p>
        </w:tc>
        <w:tc>
          <w:tcPr>
            <w:tcW w:w="1985" w:type="dxa"/>
            <w:vAlign w:val="center"/>
          </w:tcPr>
          <w:p w14:paraId="383CDF5E"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p>
        </w:tc>
        <w:tc>
          <w:tcPr>
            <w:tcW w:w="1276" w:type="dxa"/>
            <w:vAlign w:val="center"/>
          </w:tcPr>
          <w:p w14:paraId="1251EE28"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p>
        </w:tc>
      </w:tr>
      <w:tr w:rsidR="0085474C" w:rsidRPr="0085474C" w14:paraId="097D1A64" w14:textId="77777777" w:rsidTr="00367215">
        <w:trPr>
          <w:jc w:val="center"/>
        </w:trPr>
        <w:tc>
          <w:tcPr>
            <w:tcW w:w="3403" w:type="dxa"/>
            <w:vAlign w:val="center"/>
          </w:tcPr>
          <w:p w14:paraId="2B97E082"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第五章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核酸的结构与功能</w:t>
            </w:r>
          </w:p>
        </w:tc>
        <w:tc>
          <w:tcPr>
            <w:tcW w:w="2693" w:type="dxa"/>
            <w:vAlign w:val="center"/>
          </w:tcPr>
          <w:p w14:paraId="7C8CA27B"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w:t>
            </w:r>
            <w:r w:rsidRPr="0085474C">
              <w:rPr>
                <w:rFonts w:ascii="Times New Roman" w:eastAsia="宋体" w:hAnsi="Times New Roman" w:cs="Times New Roman"/>
                <w:sz w:val="24"/>
                <w:szCs w:val="24"/>
              </w:rPr>
              <w:t>PBL</w:t>
            </w:r>
            <w:r w:rsidRPr="0085474C">
              <w:rPr>
                <w:rFonts w:ascii="Times New Roman" w:eastAsia="宋体" w:hAnsi="Times New Roman" w:cs="Times New Roman"/>
                <w:sz w:val="24"/>
                <w:szCs w:val="24"/>
              </w:rPr>
              <w:t>教学法、文献教学法</w:t>
            </w:r>
          </w:p>
        </w:tc>
        <w:tc>
          <w:tcPr>
            <w:tcW w:w="1985" w:type="dxa"/>
            <w:vAlign w:val="center"/>
          </w:tcPr>
          <w:p w14:paraId="3A423EEC"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p>
        </w:tc>
        <w:tc>
          <w:tcPr>
            <w:tcW w:w="1276" w:type="dxa"/>
            <w:vAlign w:val="center"/>
          </w:tcPr>
          <w:p w14:paraId="1A74AF7D"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p>
        </w:tc>
      </w:tr>
      <w:tr w:rsidR="0085474C" w:rsidRPr="0085474C" w14:paraId="5962DE90" w14:textId="77777777" w:rsidTr="00367215">
        <w:trPr>
          <w:jc w:val="center"/>
        </w:trPr>
        <w:tc>
          <w:tcPr>
            <w:tcW w:w="3403" w:type="dxa"/>
            <w:vAlign w:val="center"/>
          </w:tcPr>
          <w:p w14:paraId="1F6A28D9"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第六章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糖代谢</w:t>
            </w:r>
          </w:p>
        </w:tc>
        <w:tc>
          <w:tcPr>
            <w:tcW w:w="2693" w:type="dxa"/>
            <w:vAlign w:val="center"/>
          </w:tcPr>
          <w:p w14:paraId="46ADE15A"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讲授法，翻转课堂教学法，思维导图归纳法</w:t>
            </w:r>
          </w:p>
        </w:tc>
        <w:tc>
          <w:tcPr>
            <w:tcW w:w="1985" w:type="dxa"/>
            <w:vAlign w:val="center"/>
          </w:tcPr>
          <w:p w14:paraId="17AB0F5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2</w:t>
            </w:r>
          </w:p>
        </w:tc>
        <w:tc>
          <w:tcPr>
            <w:tcW w:w="1276" w:type="dxa"/>
            <w:vAlign w:val="center"/>
          </w:tcPr>
          <w:p w14:paraId="187847B0"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4</w:t>
            </w:r>
          </w:p>
        </w:tc>
      </w:tr>
      <w:tr w:rsidR="0085474C" w:rsidRPr="0085474C" w14:paraId="60123AF3" w14:textId="77777777" w:rsidTr="00367215">
        <w:trPr>
          <w:jc w:val="center"/>
        </w:trPr>
        <w:tc>
          <w:tcPr>
            <w:tcW w:w="3403" w:type="dxa"/>
            <w:vAlign w:val="center"/>
          </w:tcPr>
          <w:p w14:paraId="410119EC"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第七章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脂类代谢</w:t>
            </w:r>
          </w:p>
        </w:tc>
        <w:tc>
          <w:tcPr>
            <w:tcW w:w="2693" w:type="dxa"/>
            <w:vAlign w:val="center"/>
          </w:tcPr>
          <w:p w14:paraId="624C43E1"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讲授法，翻转课堂教学法，思维导图归纳法</w:t>
            </w:r>
          </w:p>
        </w:tc>
        <w:tc>
          <w:tcPr>
            <w:tcW w:w="1985" w:type="dxa"/>
            <w:vAlign w:val="center"/>
          </w:tcPr>
          <w:p w14:paraId="22D50414"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2</w:t>
            </w:r>
          </w:p>
        </w:tc>
        <w:tc>
          <w:tcPr>
            <w:tcW w:w="1276" w:type="dxa"/>
            <w:vAlign w:val="center"/>
          </w:tcPr>
          <w:p w14:paraId="610A37F9"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3</w:t>
            </w:r>
          </w:p>
        </w:tc>
      </w:tr>
      <w:tr w:rsidR="0085474C" w:rsidRPr="0085474C" w14:paraId="02A8B433" w14:textId="77777777" w:rsidTr="00367215">
        <w:trPr>
          <w:jc w:val="center"/>
        </w:trPr>
        <w:tc>
          <w:tcPr>
            <w:tcW w:w="3403" w:type="dxa"/>
            <w:vAlign w:val="center"/>
          </w:tcPr>
          <w:p w14:paraId="366C60E8"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第八章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生物氧化</w:t>
            </w:r>
          </w:p>
        </w:tc>
        <w:tc>
          <w:tcPr>
            <w:tcW w:w="2693" w:type="dxa"/>
            <w:vAlign w:val="center"/>
          </w:tcPr>
          <w:p w14:paraId="76CE7BF2"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讲授法，案例教学，</w:t>
            </w:r>
            <w:r w:rsidRPr="0085474C">
              <w:rPr>
                <w:rFonts w:ascii="Times New Roman" w:eastAsia="宋体" w:hAnsi="Times New Roman" w:cs="Times New Roman"/>
                <w:sz w:val="24"/>
                <w:szCs w:val="24"/>
              </w:rPr>
              <w:t>sandwich</w:t>
            </w:r>
            <w:r w:rsidRPr="0085474C">
              <w:rPr>
                <w:rFonts w:ascii="Times New Roman" w:eastAsia="宋体" w:hAnsi="Times New Roman" w:cs="Times New Roman"/>
                <w:sz w:val="24"/>
                <w:szCs w:val="24"/>
              </w:rPr>
              <w:t>教学法</w:t>
            </w:r>
          </w:p>
        </w:tc>
        <w:tc>
          <w:tcPr>
            <w:tcW w:w="1985" w:type="dxa"/>
            <w:vAlign w:val="center"/>
          </w:tcPr>
          <w:p w14:paraId="6A75E0AF"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2</w:t>
            </w:r>
          </w:p>
        </w:tc>
        <w:tc>
          <w:tcPr>
            <w:tcW w:w="1276" w:type="dxa"/>
            <w:vAlign w:val="center"/>
          </w:tcPr>
          <w:p w14:paraId="47397776"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p>
        </w:tc>
      </w:tr>
      <w:tr w:rsidR="0085474C" w:rsidRPr="0085474C" w14:paraId="7118F25E" w14:textId="77777777" w:rsidTr="00367215">
        <w:trPr>
          <w:jc w:val="center"/>
        </w:trPr>
        <w:tc>
          <w:tcPr>
            <w:tcW w:w="3403" w:type="dxa"/>
            <w:vAlign w:val="center"/>
          </w:tcPr>
          <w:p w14:paraId="1D15C333"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第九章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蛋白质降解和氨基酸代谢</w:t>
            </w:r>
          </w:p>
        </w:tc>
        <w:tc>
          <w:tcPr>
            <w:tcW w:w="2693" w:type="dxa"/>
            <w:vAlign w:val="center"/>
          </w:tcPr>
          <w:p w14:paraId="66EE379F"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讲授法，案例教学，合作探究</w:t>
            </w:r>
          </w:p>
        </w:tc>
        <w:tc>
          <w:tcPr>
            <w:tcW w:w="1985" w:type="dxa"/>
            <w:vAlign w:val="center"/>
          </w:tcPr>
          <w:p w14:paraId="5BD8B32A"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2</w:t>
            </w:r>
          </w:p>
        </w:tc>
        <w:tc>
          <w:tcPr>
            <w:tcW w:w="1276" w:type="dxa"/>
            <w:vAlign w:val="center"/>
          </w:tcPr>
          <w:p w14:paraId="235E3B62"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p>
        </w:tc>
      </w:tr>
      <w:tr w:rsidR="0085474C" w:rsidRPr="0085474C" w14:paraId="10AC1667" w14:textId="77777777" w:rsidTr="00367215">
        <w:trPr>
          <w:jc w:val="center"/>
        </w:trPr>
        <w:tc>
          <w:tcPr>
            <w:tcW w:w="3403" w:type="dxa"/>
            <w:vAlign w:val="center"/>
          </w:tcPr>
          <w:p w14:paraId="65170332"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第十章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核苷酸代谢</w:t>
            </w:r>
          </w:p>
        </w:tc>
        <w:tc>
          <w:tcPr>
            <w:tcW w:w="2693" w:type="dxa"/>
            <w:vAlign w:val="center"/>
          </w:tcPr>
          <w:p w14:paraId="3EE28987"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讲授法，案例教学</w:t>
            </w:r>
          </w:p>
        </w:tc>
        <w:tc>
          <w:tcPr>
            <w:tcW w:w="1985" w:type="dxa"/>
            <w:vAlign w:val="center"/>
          </w:tcPr>
          <w:p w14:paraId="13C2DD42"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2</w:t>
            </w:r>
          </w:p>
        </w:tc>
        <w:tc>
          <w:tcPr>
            <w:tcW w:w="1276" w:type="dxa"/>
            <w:vAlign w:val="center"/>
          </w:tcPr>
          <w:p w14:paraId="35AEDEF4"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p>
        </w:tc>
      </w:tr>
      <w:tr w:rsidR="0085474C" w:rsidRPr="0085474C" w14:paraId="6EEA30A2" w14:textId="77777777" w:rsidTr="00367215">
        <w:trPr>
          <w:jc w:val="center"/>
        </w:trPr>
        <w:tc>
          <w:tcPr>
            <w:tcW w:w="3403" w:type="dxa"/>
            <w:vAlign w:val="center"/>
          </w:tcPr>
          <w:p w14:paraId="34E42624"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第十一章</w:t>
            </w:r>
            <w:r w:rsidRPr="0085474C">
              <w:rPr>
                <w:rFonts w:ascii="Times New Roman" w:eastAsia="宋体" w:hAnsi="Times New Roman" w:cs="Times New Roman"/>
                <w:sz w:val="24"/>
                <w:szCs w:val="24"/>
              </w:rPr>
              <w:t xml:space="preserve"> DNA</w:t>
            </w:r>
            <w:r w:rsidRPr="0085474C">
              <w:rPr>
                <w:rFonts w:ascii="Times New Roman" w:eastAsia="宋体" w:hAnsi="Times New Roman" w:cs="Times New Roman"/>
                <w:sz w:val="24"/>
                <w:szCs w:val="24"/>
              </w:rPr>
              <w:t>的复制与修复</w:t>
            </w:r>
          </w:p>
        </w:tc>
        <w:tc>
          <w:tcPr>
            <w:tcW w:w="2693" w:type="dxa"/>
            <w:vAlign w:val="center"/>
          </w:tcPr>
          <w:p w14:paraId="2F97F9D0"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讲授法，案例教学</w:t>
            </w:r>
          </w:p>
        </w:tc>
        <w:tc>
          <w:tcPr>
            <w:tcW w:w="1985" w:type="dxa"/>
            <w:vAlign w:val="center"/>
          </w:tcPr>
          <w:p w14:paraId="74576605"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p>
        </w:tc>
        <w:tc>
          <w:tcPr>
            <w:tcW w:w="1276" w:type="dxa"/>
            <w:vAlign w:val="center"/>
          </w:tcPr>
          <w:p w14:paraId="57F1B644"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p>
        </w:tc>
      </w:tr>
      <w:tr w:rsidR="0085474C" w:rsidRPr="0085474C" w14:paraId="6D206BFD" w14:textId="77777777" w:rsidTr="00367215">
        <w:trPr>
          <w:jc w:val="center"/>
        </w:trPr>
        <w:tc>
          <w:tcPr>
            <w:tcW w:w="3403" w:type="dxa"/>
            <w:vAlign w:val="center"/>
          </w:tcPr>
          <w:p w14:paraId="2958A034"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第十二章</w:t>
            </w:r>
            <w:r w:rsidRPr="0085474C">
              <w:rPr>
                <w:rFonts w:ascii="Times New Roman" w:eastAsia="宋体" w:hAnsi="Times New Roman" w:cs="Times New Roman"/>
                <w:sz w:val="24"/>
                <w:szCs w:val="24"/>
              </w:rPr>
              <w:t xml:space="preserve"> RNA</w:t>
            </w:r>
            <w:r w:rsidRPr="0085474C">
              <w:rPr>
                <w:rFonts w:ascii="Times New Roman" w:eastAsia="宋体" w:hAnsi="Times New Roman" w:cs="Times New Roman"/>
                <w:sz w:val="24"/>
                <w:szCs w:val="24"/>
              </w:rPr>
              <w:t>的合成与加工</w:t>
            </w:r>
          </w:p>
        </w:tc>
        <w:tc>
          <w:tcPr>
            <w:tcW w:w="2693" w:type="dxa"/>
            <w:vAlign w:val="center"/>
          </w:tcPr>
          <w:p w14:paraId="4806AD5A"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讲授法，案例教学</w:t>
            </w:r>
          </w:p>
        </w:tc>
        <w:tc>
          <w:tcPr>
            <w:tcW w:w="1985" w:type="dxa"/>
            <w:vAlign w:val="center"/>
          </w:tcPr>
          <w:p w14:paraId="433533F5"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p>
        </w:tc>
        <w:tc>
          <w:tcPr>
            <w:tcW w:w="1276" w:type="dxa"/>
            <w:vAlign w:val="center"/>
          </w:tcPr>
          <w:p w14:paraId="6B1704CF"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p>
        </w:tc>
      </w:tr>
      <w:tr w:rsidR="0085474C" w:rsidRPr="0085474C" w14:paraId="4C674520" w14:textId="77777777" w:rsidTr="00367215">
        <w:trPr>
          <w:jc w:val="center"/>
        </w:trPr>
        <w:tc>
          <w:tcPr>
            <w:tcW w:w="3403" w:type="dxa"/>
            <w:vAlign w:val="center"/>
          </w:tcPr>
          <w:p w14:paraId="0FDBAD3E" w14:textId="77777777" w:rsidR="0085474C" w:rsidRPr="0085474C" w:rsidRDefault="0085474C" w:rsidP="0085474C">
            <w:pPr>
              <w:spacing w:line="440" w:lineRule="exact"/>
              <w:jc w:val="left"/>
              <w:rPr>
                <w:rFonts w:ascii="Times New Roman" w:eastAsia="宋体" w:hAnsi="Times New Roman" w:cs="Times New Roman"/>
                <w:sz w:val="24"/>
                <w:szCs w:val="24"/>
              </w:rPr>
            </w:pPr>
            <w:r w:rsidRPr="0085474C">
              <w:rPr>
                <w:rFonts w:ascii="Times New Roman" w:eastAsia="宋体" w:hAnsi="Times New Roman" w:cs="Times New Roman"/>
                <w:sz w:val="24"/>
                <w:szCs w:val="24"/>
              </w:rPr>
              <w:t>第十三章</w:t>
            </w:r>
            <w:r w:rsidRPr="0085474C">
              <w:rPr>
                <w:rFonts w:ascii="Times New Roman" w:eastAsia="宋体" w:hAnsi="Times New Roman" w:cs="Times New Roman"/>
                <w:sz w:val="24"/>
                <w:szCs w:val="24"/>
              </w:rPr>
              <w:t xml:space="preserve"> </w:t>
            </w:r>
            <w:r w:rsidRPr="0085474C">
              <w:rPr>
                <w:rFonts w:ascii="Times New Roman" w:eastAsia="宋体" w:hAnsi="Times New Roman" w:cs="Times New Roman"/>
                <w:sz w:val="24"/>
                <w:szCs w:val="24"/>
              </w:rPr>
              <w:t>蛋白质的生物合成</w:t>
            </w:r>
          </w:p>
        </w:tc>
        <w:tc>
          <w:tcPr>
            <w:tcW w:w="2693" w:type="dxa"/>
            <w:vAlign w:val="center"/>
          </w:tcPr>
          <w:p w14:paraId="7991DF63"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讲授法，案例教学</w:t>
            </w:r>
          </w:p>
        </w:tc>
        <w:tc>
          <w:tcPr>
            <w:tcW w:w="1985" w:type="dxa"/>
            <w:vAlign w:val="center"/>
          </w:tcPr>
          <w:p w14:paraId="6C33DE2F"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课程目标</w:t>
            </w:r>
            <w:r w:rsidRPr="0085474C">
              <w:rPr>
                <w:rFonts w:ascii="Times New Roman" w:eastAsia="宋体" w:hAnsi="Times New Roman" w:cs="Times New Roman"/>
                <w:sz w:val="24"/>
                <w:szCs w:val="24"/>
              </w:rPr>
              <w:t>1</w:t>
            </w:r>
          </w:p>
        </w:tc>
        <w:tc>
          <w:tcPr>
            <w:tcW w:w="1276" w:type="dxa"/>
            <w:vAlign w:val="center"/>
          </w:tcPr>
          <w:p w14:paraId="1CDFAFC8"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2</w:t>
            </w:r>
          </w:p>
        </w:tc>
      </w:tr>
      <w:tr w:rsidR="0085474C" w:rsidRPr="0085474C" w14:paraId="2663177D" w14:textId="77777777" w:rsidTr="00367215">
        <w:trPr>
          <w:jc w:val="center"/>
        </w:trPr>
        <w:tc>
          <w:tcPr>
            <w:tcW w:w="8081" w:type="dxa"/>
            <w:gridSpan w:val="3"/>
            <w:vAlign w:val="center"/>
          </w:tcPr>
          <w:p w14:paraId="30D3C2AE"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合计</w:t>
            </w:r>
          </w:p>
        </w:tc>
        <w:tc>
          <w:tcPr>
            <w:tcW w:w="1276" w:type="dxa"/>
            <w:vAlign w:val="center"/>
          </w:tcPr>
          <w:p w14:paraId="46E04FD2" w14:textId="77777777" w:rsidR="0085474C" w:rsidRPr="0085474C" w:rsidRDefault="0085474C" w:rsidP="0085474C">
            <w:pPr>
              <w:spacing w:line="440" w:lineRule="exact"/>
              <w:jc w:val="center"/>
              <w:rPr>
                <w:rFonts w:ascii="Times New Roman" w:eastAsia="宋体" w:hAnsi="Times New Roman" w:cs="Times New Roman"/>
                <w:sz w:val="24"/>
                <w:szCs w:val="24"/>
              </w:rPr>
            </w:pPr>
            <w:r w:rsidRPr="0085474C">
              <w:rPr>
                <w:rFonts w:ascii="Times New Roman" w:eastAsia="宋体" w:hAnsi="Times New Roman" w:cs="Times New Roman"/>
                <w:sz w:val="24"/>
                <w:szCs w:val="24"/>
              </w:rPr>
              <w:t>32</w:t>
            </w:r>
          </w:p>
        </w:tc>
      </w:tr>
    </w:tbl>
    <w:bookmarkEnd w:id="206"/>
    <w:p w14:paraId="4288D4FA" w14:textId="77777777" w:rsidR="0085474C" w:rsidRPr="0085474C" w:rsidRDefault="0085474C" w:rsidP="0085474C">
      <w:pPr>
        <w:spacing w:beforeLines="50" w:before="156" w:afterLines="50" w:after="156" w:line="440" w:lineRule="exact"/>
        <w:rPr>
          <w:rFonts w:ascii="Times New Roman" w:eastAsia="宋体" w:hAnsi="Times New Roman" w:cs="Times New Roman"/>
          <w:sz w:val="24"/>
          <w:szCs w:val="24"/>
        </w:rPr>
      </w:pPr>
      <w:r w:rsidRPr="0085474C">
        <w:rPr>
          <w:rFonts w:ascii="Times New Roman" w:eastAsia="黑体" w:hAnsi="Times New Roman" w:cs="Times New Roman"/>
          <w:sz w:val="28"/>
          <w:szCs w:val="28"/>
        </w:rPr>
        <w:lastRenderedPageBreak/>
        <w:t>四、课程考核及与课程学习目标的对应关系</w:t>
      </w:r>
    </w:p>
    <w:p w14:paraId="165F4800" w14:textId="77777777" w:rsidR="0085474C" w:rsidRPr="0085474C" w:rsidRDefault="0085474C" w:rsidP="0085474C">
      <w:pPr>
        <w:spacing w:beforeLines="50" w:before="156" w:afterLines="50" w:after="156" w:line="440" w:lineRule="exact"/>
        <w:rPr>
          <w:rFonts w:ascii="Times New Roman" w:eastAsia="黑体" w:hAnsi="Times New Roman" w:cs="Times New Roman"/>
          <w:sz w:val="28"/>
          <w:szCs w:val="28"/>
        </w:rPr>
      </w:pPr>
      <w:bookmarkStart w:id="207" w:name="_Hlk148706135"/>
      <w:r w:rsidRPr="0085474C">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85474C" w:rsidRPr="0085474C" w14:paraId="4617F8A2" w14:textId="77777777" w:rsidTr="00367215">
        <w:trPr>
          <w:trHeight w:val="515"/>
          <w:jc w:val="center"/>
        </w:trPr>
        <w:tc>
          <w:tcPr>
            <w:tcW w:w="1422" w:type="dxa"/>
          </w:tcPr>
          <w:p w14:paraId="6059DEEC"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课程目标</w:t>
            </w:r>
          </w:p>
        </w:tc>
        <w:tc>
          <w:tcPr>
            <w:tcW w:w="7918" w:type="dxa"/>
            <w:vAlign w:val="center"/>
          </w:tcPr>
          <w:p w14:paraId="72C9E30A" w14:textId="77777777" w:rsidR="0085474C" w:rsidRPr="0085474C" w:rsidRDefault="0085474C" w:rsidP="0085474C">
            <w:pPr>
              <w:spacing w:line="440" w:lineRule="exact"/>
              <w:jc w:val="center"/>
              <w:rPr>
                <w:rFonts w:ascii="Times New Roman" w:eastAsia="宋体" w:hAnsi="Times New Roman" w:cs="Times New Roman"/>
                <w:b/>
                <w:sz w:val="24"/>
                <w:szCs w:val="24"/>
              </w:rPr>
            </w:pPr>
            <w:r w:rsidRPr="0085474C">
              <w:rPr>
                <w:rFonts w:ascii="Times New Roman" w:eastAsia="宋体" w:hAnsi="Times New Roman" w:cs="Times New Roman"/>
                <w:b/>
                <w:sz w:val="24"/>
                <w:szCs w:val="24"/>
              </w:rPr>
              <w:t>考核内容</w:t>
            </w:r>
          </w:p>
        </w:tc>
      </w:tr>
      <w:tr w:rsidR="0085474C" w:rsidRPr="0085474C" w14:paraId="254C2C8A" w14:textId="77777777" w:rsidTr="00367215">
        <w:trPr>
          <w:jc w:val="center"/>
        </w:trPr>
        <w:tc>
          <w:tcPr>
            <w:tcW w:w="1422" w:type="dxa"/>
            <w:vAlign w:val="center"/>
          </w:tcPr>
          <w:p w14:paraId="20AA3E63"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1</w:t>
            </w:r>
          </w:p>
        </w:tc>
        <w:tc>
          <w:tcPr>
            <w:tcW w:w="7918" w:type="dxa"/>
            <w:vAlign w:val="center"/>
          </w:tcPr>
          <w:p w14:paraId="3E282625" w14:textId="77777777" w:rsidR="0085474C" w:rsidRPr="0085474C" w:rsidRDefault="0085474C" w:rsidP="0085474C">
            <w:pPr>
              <w:spacing w:line="440" w:lineRule="exact"/>
              <w:rPr>
                <w:rFonts w:ascii="Times New Roman" w:eastAsia="宋体" w:hAnsi="Times New Roman" w:cs="Times New Roman"/>
                <w:bCs/>
                <w:sz w:val="24"/>
                <w:szCs w:val="24"/>
              </w:rPr>
            </w:pPr>
            <w:r w:rsidRPr="0085474C">
              <w:rPr>
                <w:rFonts w:ascii="Times New Roman" w:eastAsia="宋体" w:hAnsi="Times New Roman" w:cs="Times New Roman" w:hint="eastAsia"/>
                <w:bCs/>
                <w:sz w:val="24"/>
                <w:szCs w:val="24"/>
              </w:rPr>
              <w:t>主要考核学生对生物大分子的结构与功能，三大营养物质代谢特点的课堂掌握程度和课后复习程度，</w:t>
            </w:r>
            <w:proofErr w:type="gramStart"/>
            <w:r w:rsidRPr="0085474C">
              <w:rPr>
                <w:rFonts w:ascii="Times New Roman" w:eastAsia="宋体" w:hAnsi="Times New Roman" w:cs="Times New Roman" w:hint="eastAsia"/>
                <w:bCs/>
                <w:sz w:val="24"/>
                <w:szCs w:val="24"/>
              </w:rPr>
              <w:t>若学</w:t>
            </w:r>
            <w:proofErr w:type="gramEnd"/>
            <w:r w:rsidRPr="0085474C">
              <w:rPr>
                <w:rFonts w:ascii="Times New Roman" w:eastAsia="宋体" w:hAnsi="Times New Roman" w:cs="Times New Roman" w:hint="eastAsia"/>
                <w:bCs/>
                <w:sz w:val="24"/>
                <w:szCs w:val="24"/>
              </w:rPr>
              <w:t>生能正确掌握上述知识，说明学生掌握了必需的生物化学与分子生物学基础知识，能清晰地表达和描述复杂药物分析问题，并有助于获得有效结论。</w:t>
            </w:r>
          </w:p>
        </w:tc>
      </w:tr>
      <w:tr w:rsidR="0085474C" w:rsidRPr="0085474C" w14:paraId="143E49D6" w14:textId="77777777" w:rsidTr="00367215">
        <w:trPr>
          <w:jc w:val="center"/>
        </w:trPr>
        <w:tc>
          <w:tcPr>
            <w:tcW w:w="1422" w:type="dxa"/>
            <w:vAlign w:val="center"/>
          </w:tcPr>
          <w:p w14:paraId="76556E77" w14:textId="77777777" w:rsidR="0085474C" w:rsidRPr="0085474C" w:rsidRDefault="0085474C" w:rsidP="0085474C">
            <w:pPr>
              <w:spacing w:line="440" w:lineRule="exact"/>
              <w:jc w:val="center"/>
              <w:rPr>
                <w:rFonts w:ascii="Times New Roman" w:eastAsia="宋体" w:hAnsi="Times New Roman" w:cs="Times New Roman"/>
                <w:bCs/>
                <w:sz w:val="24"/>
                <w:szCs w:val="24"/>
              </w:rPr>
            </w:pPr>
            <w:r w:rsidRPr="0085474C">
              <w:rPr>
                <w:rFonts w:ascii="Times New Roman" w:eastAsia="宋体" w:hAnsi="Times New Roman" w:cs="Times New Roman"/>
                <w:bCs/>
                <w:sz w:val="24"/>
                <w:szCs w:val="24"/>
              </w:rPr>
              <w:t>课程目标</w:t>
            </w:r>
            <w:r w:rsidRPr="0085474C">
              <w:rPr>
                <w:rFonts w:ascii="Times New Roman" w:eastAsia="宋体" w:hAnsi="Times New Roman" w:cs="Times New Roman"/>
                <w:bCs/>
                <w:sz w:val="24"/>
                <w:szCs w:val="24"/>
              </w:rPr>
              <w:t>2</w:t>
            </w:r>
          </w:p>
        </w:tc>
        <w:tc>
          <w:tcPr>
            <w:tcW w:w="7918" w:type="dxa"/>
            <w:vAlign w:val="center"/>
          </w:tcPr>
          <w:p w14:paraId="467BBE3F" w14:textId="77777777" w:rsidR="0085474C" w:rsidRPr="0085474C" w:rsidRDefault="0085474C" w:rsidP="0085474C">
            <w:pPr>
              <w:spacing w:line="440" w:lineRule="exact"/>
              <w:rPr>
                <w:rFonts w:ascii="Times New Roman" w:eastAsia="宋体" w:hAnsi="Times New Roman" w:cs="Times New Roman"/>
                <w:bCs/>
                <w:sz w:val="24"/>
                <w:szCs w:val="24"/>
              </w:rPr>
            </w:pPr>
            <w:r w:rsidRPr="0085474C">
              <w:rPr>
                <w:rFonts w:ascii="Times New Roman" w:eastAsia="宋体" w:hAnsi="Times New Roman" w:cs="Times New Roman" w:hint="eastAsia"/>
                <w:sz w:val="24"/>
                <w:szCs w:val="24"/>
              </w:rPr>
              <w:t>学生通过掌握生物大分子的结构与功能，三大营养物质代谢特点的基本知识，便可具备解决复杂药物分析问题所需的生物化学与分子生物学基础知识，清晰的识别，表述复杂药物分析问题，并有助于获得有效结论。</w:t>
            </w:r>
          </w:p>
        </w:tc>
      </w:tr>
    </w:tbl>
    <w:p w14:paraId="34A34D24" w14:textId="77777777" w:rsidR="0085474C" w:rsidRPr="0085474C" w:rsidRDefault="0085474C" w:rsidP="0085474C">
      <w:pPr>
        <w:spacing w:beforeLines="50" w:before="156" w:afterLines="50" w:after="156" w:line="440" w:lineRule="exact"/>
        <w:rPr>
          <w:rFonts w:ascii="Times New Roman" w:eastAsia="黑体" w:hAnsi="Times New Roman" w:cs="Times New Roman"/>
          <w:sz w:val="28"/>
          <w:szCs w:val="28"/>
        </w:rPr>
      </w:pPr>
      <w:r w:rsidRPr="0085474C">
        <w:rPr>
          <w:rFonts w:ascii="Times New Roman" w:eastAsia="黑体" w:hAnsi="Times New Roman" w:cs="Times New Roman"/>
          <w:sz w:val="28"/>
          <w:szCs w:val="28"/>
        </w:rPr>
        <w:t>（二）课程考核方式</w:t>
      </w:r>
    </w:p>
    <w:p w14:paraId="77D332F8"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课程考核方式分为平时考核和期末考核。平时考核方式包括课堂</w:t>
      </w:r>
      <w:r w:rsidRPr="0085474C">
        <w:rPr>
          <w:rFonts w:ascii="Times New Roman" w:eastAsia="宋体" w:hAnsi="Times New Roman" w:cs="Times New Roman" w:hint="eastAsia"/>
          <w:sz w:val="24"/>
          <w:szCs w:val="24"/>
        </w:rPr>
        <w:t>小测</w:t>
      </w:r>
      <w:r w:rsidRPr="0085474C">
        <w:rPr>
          <w:rFonts w:ascii="Times New Roman" w:eastAsia="宋体" w:hAnsi="Times New Roman" w:cs="Times New Roman"/>
          <w:sz w:val="24"/>
          <w:szCs w:val="24"/>
        </w:rPr>
        <w:t>、平时作业等；期末考核采用闭卷</w:t>
      </w:r>
      <w:r w:rsidRPr="0085474C">
        <w:rPr>
          <w:rFonts w:ascii="Times New Roman" w:eastAsia="宋体" w:hAnsi="Times New Roman" w:cs="Times New Roman" w:hint="eastAsia"/>
          <w:sz w:val="24"/>
          <w:szCs w:val="24"/>
        </w:rPr>
        <w:t>或开卷</w:t>
      </w:r>
      <w:r w:rsidRPr="0085474C">
        <w:rPr>
          <w:rFonts w:ascii="Times New Roman" w:eastAsia="宋体" w:hAnsi="Times New Roman" w:cs="Times New Roman"/>
          <w:sz w:val="24"/>
          <w:szCs w:val="24"/>
        </w:rPr>
        <w:t>考试</w:t>
      </w:r>
      <w:r w:rsidRPr="0085474C">
        <w:rPr>
          <w:rFonts w:ascii="Times New Roman" w:eastAsia="宋体" w:hAnsi="Times New Roman" w:cs="Times New Roman" w:hint="eastAsia"/>
          <w:sz w:val="24"/>
          <w:szCs w:val="24"/>
        </w:rPr>
        <w:t>等形式</w:t>
      </w:r>
      <w:r w:rsidRPr="0085474C">
        <w:rPr>
          <w:rFonts w:ascii="Times New Roman" w:eastAsia="宋体" w:hAnsi="Times New Roman" w:cs="Times New Roman"/>
          <w:sz w:val="24"/>
          <w:szCs w:val="24"/>
        </w:rPr>
        <w:t>。</w:t>
      </w:r>
    </w:p>
    <w:p w14:paraId="7C574C93" w14:textId="77777777" w:rsidR="0085474C" w:rsidRPr="0085474C" w:rsidRDefault="0085474C" w:rsidP="0085474C">
      <w:pPr>
        <w:spacing w:beforeLines="50" w:before="156" w:afterLines="50" w:after="156" w:line="440" w:lineRule="exact"/>
        <w:rPr>
          <w:rFonts w:ascii="Times New Roman" w:eastAsia="黑体" w:hAnsi="Times New Roman" w:cs="Times New Roman"/>
          <w:sz w:val="28"/>
          <w:szCs w:val="28"/>
        </w:rPr>
      </w:pPr>
      <w:bookmarkStart w:id="208" w:name="_Hlk148706588"/>
      <w:bookmarkEnd w:id="207"/>
      <w:r w:rsidRPr="0085474C">
        <w:rPr>
          <w:rFonts w:ascii="Times New Roman" w:eastAsia="黑体" w:hAnsi="Times New Roman" w:cs="Times New Roman"/>
          <w:sz w:val="28"/>
          <w:szCs w:val="28"/>
        </w:rPr>
        <w:t>（三）课程目标达成评价方式及考核比例</w:t>
      </w:r>
    </w:p>
    <w:p w14:paraId="3C21A69A"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本课程考核方式及成绩比例为：</w:t>
      </w:r>
      <w:r w:rsidRPr="0085474C">
        <w:rPr>
          <w:rFonts w:ascii="Times New Roman" w:eastAsia="宋体" w:hAnsi="Times New Roman" w:cs="Times New Roman" w:hint="eastAsia"/>
          <w:sz w:val="24"/>
          <w:szCs w:val="24"/>
        </w:rPr>
        <w:t>课堂小测</w:t>
      </w:r>
      <w:r w:rsidRPr="0085474C">
        <w:rPr>
          <w:rFonts w:ascii="Times New Roman" w:eastAsia="宋体" w:hAnsi="Times New Roman" w:cs="Times New Roman" w:hint="eastAsia"/>
          <w:sz w:val="24"/>
          <w:szCs w:val="24"/>
        </w:rPr>
        <w:t>20%+</w:t>
      </w:r>
      <w:r w:rsidRPr="0085474C">
        <w:rPr>
          <w:rFonts w:ascii="Times New Roman" w:eastAsia="宋体" w:hAnsi="Times New Roman" w:cs="Times New Roman" w:hint="eastAsia"/>
          <w:sz w:val="24"/>
          <w:szCs w:val="24"/>
        </w:rPr>
        <w:t>作业完成</w:t>
      </w:r>
      <w:r w:rsidRPr="0085474C">
        <w:rPr>
          <w:rFonts w:ascii="Times New Roman" w:eastAsia="宋体" w:hAnsi="Times New Roman" w:cs="Times New Roman" w:hint="eastAsia"/>
          <w:sz w:val="24"/>
          <w:szCs w:val="24"/>
        </w:rPr>
        <w:t>20%+</w:t>
      </w:r>
      <w:r w:rsidRPr="0085474C">
        <w:rPr>
          <w:rFonts w:ascii="Times New Roman" w:eastAsia="宋体" w:hAnsi="Times New Roman" w:cs="Times New Roman" w:hint="eastAsia"/>
          <w:sz w:val="24"/>
          <w:szCs w:val="24"/>
        </w:rPr>
        <w:t>期末考试</w:t>
      </w:r>
      <w:r w:rsidRPr="0085474C">
        <w:rPr>
          <w:rFonts w:ascii="Times New Roman" w:eastAsia="宋体" w:hAnsi="Times New Roman" w:cs="Times New Roman" w:hint="eastAsia"/>
          <w:sz w:val="24"/>
          <w:szCs w:val="24"/>
        </w:rPr>
        <w:t>60%</w:t>
      </w:r>
      <w:r w:rsidRPr="0085474C">
        <w:rPr>
          <w:rFonts w:ascii="Times New Roman" w:eastAsia="宋体" w:hAnsi="Times New Roman" w:cs="Times New Roman" w:hint="eastAsia"/>
          <w:sz w:val="24"/>
          <w:szCs w:val="24"/>
        </w:rPr>
        <w:t>；</w:t>
      </w:r>
      <w:r w:rsidRPr="0085474C">
        <w:rPr>
          <w:rFonts w:ascii="Times New Roman" w:eastAsia="宋体" w:hAnsi="Times New Roman" w:cs="Times New Roman"/>
          <w:sz w:val="24"/>
          <w:szCs w:val="24"/>
        </w:rPr>
        <w:t>；本课程共有</w:t>
      </w:r>
      <w:r w:rsidRPr="0085474C">
        <w:rPr>
          <w:rFonts w:ascii="Times New Roman" w:eastAsia="宋体" w:hAnsi="Times New Roman" w:cs="Times New Roman" w:hint="eastAsia"/>
          <w:sz w:val="24"/>
          <w:szCs w:val="24"/>
        </w:rPr>
        <w:t>两</w:t>
      </w:r>
      <w:r w:rsidRPr="0085474C">
        <w:rPr>
          <w:rFonts w:ascii="Times New Roman" w:eastAsia="宋体" w:hAnsi="Times New Roman" w:cs="Times New Roman"/>
          <w:sz w:val="24"/>
          <w:szCs w:val="24"/>
        </w:rPr>
        <w:t>个课程目标，考核方式及成绩比例分别为：</w:t>
      </w:r>
    </w:p>
    <w:p w14:paraId="72013DE1"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如下图：</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06"/>
        <w:gridCol w:w="1390"/>
        <w:gridCol w:w="1357"/>
        <w:gridCol w:w="1861"/>
        <w:gridCol w:w="1524"/>
        <w:gridCol w:w="1539"/>
      </w:tblGrid>
      <w:tr w:rsidR="0085474C" w:rsidRPr="0085474C" w14:paraId="6DCDDBDF" w14:textId="77777777" w:rsidTr="00367215">
        <w:trPr>
          <w:trHeight w:hRule="exact" w:val="454"/>
          <w:jc w:val="center"/>
        </w:trPr>
        <w:tc>
          <w:tcPr>
            <w:tcW w:w="2195" w:type="pct"/>
            <w:gridSpan w:val="3"/>
            <w:tcBorders>
              <w:top w:val="single" w:sz="4" w:space="0" w:color="auto"/>
              <w:left w:val="single" w:sz="4" w:space="0" w:color="auto"/>
              <w:bottom w:val="single" w:sz="4" w:space="0" w:color="auto"/>
              <w:right w:val="single" w:sz="4" w:space="0" w:color="auto"/>
            </w:tcBorders>
            <w:vAlign w:val="center"/>
          </w:tcPr>
          <w:p w14:paraId="34AFDC12" w14:textId="77777777" w:rsidR="0085474C" w:rsidRPr="0085474C" w:rsidRDefault="0085474C" w:rsidP="0085474C">
            <w:pPr>
              <w:spacing w:line="320" w:lineRule="exact"/>
              <w:jc w:val="center"/>
              <w:rPr>
                <w:rFonts w:ascii="Times New Roman" w:eastAsia="宋体" w:hAnsi="Times New Roman" w:cs="Times New Roman"/>
                <w:szCs w:val="24"/>
              </w:rPr>
            </w:pPr>
            <w:bookmarkStart w:id="209" w:name="_Hlk112412408"/>
            <w:bookmarkEnd w:id="208"/>
            <w:r w:rsidRPr="0085474C">
              <w:rPr>
                <w:rFonts w:ascii="Times New Roman" w:eastAsia="宋体" w:hAnsi="Times New Roman" w:cs="Times New Roman"/>
                <w:szCs w:val="24"/>
                <w:lang w:bidi="ar"/>
              </w:rPr>
              <w:t>课程目标</w:t>
            </w:r>
          </w:p>
        </w:tc>
        <w:tc>
          <w:tcPr>
            <w:tcW w:w="1060" w:type="pct"/>
            <w:tcBorders>
              <w:top w:val="single" w:sz="4" w:space="0" w:color="auto"/>
              <w:left w:val="single" w:sz="4" w:space="0" w:color="auto"/>
              <w:bottom w:val="single" w:sz="4" w:space="0" w:color="auto"/>
              <w:right w:val="single" w:sz="4" w:space="0" w:color="auto"/>
            </w:tcBorders>
            <w:vAlign w:val="center"/>
          </w:tcPr>
          <w:p w14:paraId="599A77C7"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rPr>
              <w:t>课程目标</w:t>
            </w:r>
            <w:r w:rsidRPr="0085474C">
              <w:rPr>
                <w:rFonts w:ascii="Times New Roman" w:eastAsia="宋体" w:hAnsi="Times New Roman" w:cs="Times New Roman"/>
                <w:szCs w:val="24"/>
              </w:rPr>
              <w:t>1</w:t>
            </w:r>
          </w:p>
        </w:tc>
        <w:tc>
          <w:tcPr>
            <w:tcW w:w="868" w:type="pct"/>
            <w:tcBorders>
              <w:top w:val="single" w:sz="4" w:space="0" w:color="auto"/>
              <w:left w:val="single" w:sz="4" w:space="0" w:color="auto"/>
              <w:bottom w:val="single" w:sz="4" w:space="0" w:color="auto"/>
              <w:right w:val="single" w:sz="4" w:space="0" w:color="auto"/>
            </w:tcBorders>
            <w:vAlign w:val="center"/>
          </w:tcPr>
          <w:p w14:paraId="15F1F3F3"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lang w:bidi="ar"/>
              </w:rPr>
              <w:t>课程目标</w:t>
            </w:r>
            <w:r w:rsidRPr="0085474C">
              <w:rPr>
                <w:rFonts w:ascii="Times New Roman" w:eastAsia="宋体" w:hAnsi="Times New Roman" w:cs="Times New Roman"/>
                <w:szCs w:val="24"/>
                <w:lang w:bidi="ar"/>
              </w:rPr>
              <w:t>2</w:t>
            </w:r>
          </w:p>
        </w:tc>
        <w:tc>
          <w:tcPr>
            <w:tcW w:w="877" w:type="pct"/>
            <w:vMerge w:val="restart"/>
            <w:tcBorders>
              <w:top w:val="single" w:sz="4" w:space="0" w:color="auto"/>
              <w:left w:val="single" w:sz="4" w:space="0" w:color="auto"/>
              <w:right w:val="single" w:sz="4" w:space="0" w:color="auto"/>
            </w:tcBorders>
            <w:vAlign w:val="center"/>
          </w:tcPr>
          <w:p w14:paraId="7E285EE8"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rPr>
              <w:t>考核环节成绩比例合计（</w:t>
            </w:r>
            <w:r w:rsidRPr="0085474C">
              <w:rPr>
                <w:rFonts w:ascii="Times New Roman" w:eastAsia="宋体" w:hAnsi="Times New Roman" w:cs="Times New Roman"/>
                <w:szCs w:val="24"/>
              </w:rPr>
              <w:t>%</w:t>
            </w:r>
            <w:r w:rsidRPr="0085474C">
              <w:rPr>
                <w:rFonts w:ascii="Times New Roman" w:eastAsia="宋体" w:hAnsi="Times New Roman" w:cs="Times New Roman"/>
                <w:szCs w:val="24"/>
              </w:rPr>
              <w:t>）</w:t>
            </w:r>
          </w:p>
        </w:tc>
      </w:tr>
      <w:tr w:rsidR="0085474C" w:rsidRPr="0085474C" w14:paraId="76E63310" w14:textId="77777777" w:rsidTr="00367215">
        <w:trPr>
          <w:trHeight w:hRule="exact" w:val="454"/>
          <w:jc w:val="center"/>
        </w:trPr>
        <w:tc>
          <w:tcPr>
            <w:tcW w:w="2195" w:type="pct"/>
            <w:gridSpan w:val="3"/>
            <w:tcBorders>
              <w:top w:val="single" w:sz="4" w:space="0" w:color="auto"/>
              <w:left w:val="single" w:sz="4" w:space="0" w:color="auto"/>
              <w:bottom w:val="single" w:sz="4" w:space="0" w:color="auto"/>
              <w:right w:val="single" w:sz="4" w:space="0" w:color="auto"/>
            </w:tcBorders>
            <w:vAlign w:val="center"/>
          </w:tcPr>
          <w:p w14:paraId="0D78E1F1"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lang w:bidi="ar"/>
              </w:rPr>
              <w:t>毕业要求指标点</w:t>
            </w:r>
          </w:p>
        </w:tc>
        <w:tc>
          <w:tcPr>
            <w:tcW w:w="1060" w:type="pct"/>
            <w:tcBorders>
              <w:top w:val="single" w:sz="4" w:space="0" w:color="auto"/>
              <w:left w:val="single" w:sz="4" w:space="0" w:color="auto"/>
              <w:bottom w:val="single" w:sz="4" w:space="0" w:color="auto"/>
              <w:right w:val="single" w:sz="4" w:space="0" w:color="auto"/>
            </w:tcBorders>
            <w:vAlign w:val="center"/>
          </w:tcPr>
          <w:p w14:paraId="71808BA0"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lang w:bidi="ar"/>
              </w:rPr>
              <w:t>毕业要求</w:t>
            </w:r>
            <w:r w:rsidRPr="0085474C">
              <w:rPr>
                <w:rFonts w:ascii="Times New Roman" w:eastAsia="宋体" w:hAnsi="Times New Roman" w:cs="Times New Roman"/>
                <w:szCs w:val="24"/>
              </w:rPr>
              <w:t>1.2</w:t>
            </w:r>
          </w:p>
        </w:tc>
        <w:tc>
          <w:tcPr>
            <w:tcW w:w="868" w:type="pct"/>
            <w:tcBorders>
              <w:top w:val="single" w:sz="4" w:space="0" w:color="auto"/>
              <w:left w:val="single" w:sz="4" w:space="0" w:color="auto"/>
              <w:bottom w:val="single" w:sz="4" w:space="0" w:color="auto"/>
              <w:right w:val="single" w:sz="4" w:space="0" w:color="auto"/>
            </w:tcBorders>
            <w:vAlign w:val="center"/>
          </w:tcPr>
          <w:p w14:paraId="6B79785A"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lang w:bidi="ar"/>
              </w:rPr>
              <w:t>毕业要求</w:t>
            </w:r>
            <w:r w:rsidRPr="0085474C">
              <w:rPr>
                <w:rFonts w:ascii="Times New Roman" w:eastAsia="宋体" w:hAnsi="Times New Roman" w:cs="Times New Roman"/>
                <w:szCs w:val="24"/>
              </w:rPr>
              <w:t>2.1</w:t>
            </w:r>
          </w:p>
        </w:tc>
        <w:tc>
          <w:tcPr>
            <w:tcW w:w="877" w:type="pct"/>
            <w:vMerge/>
            <w:tcBorders>
              <w:left w:val="single" w:sz="4" w:space="0" w:color="auto"/>
              <w:bottom w:val="single" w:sz="4" w:space="0" w:color="auto"/>
              <w:right w:val="single" w:sz="4" w:space="0" w:color="auto"/>
            </w:tcBorders>
            <w:vAlign w:val="center"/>
          </w:tcPr>
          <w:p w14:paraId="2E0AFF05" w14:textId="77777777" w:rsidR="0085474C" w:rsidRPr="0085474C" w:rsidRDefault="0085474C" w:rsidP="0085474C">
            <w:pPr>
              <w:spacing w:line="320" w:lineRule="exact"/>
              <w:jc w:val="center"/>
              <w:rPr>
                <w:rFonts w:ascii="Times New Roman" w:eastAsia="宋体" w:hAnsi="Times New Roman" w:cs="Times New Roman"/>
                <w:szCs w:val="24"/>
              </w:rPr>
            </w:pPr>
          </w:p>
        </w:tc>
      </w:tr>
      <w:tr w:rsidR="0085474C" w:rsidRPr="0085474C" w14:paraId="7321E635" w14:textId="77777777" w:rsidTr="00367215">
        <w:trPr>
          <w:trHeight w:hRule="exact" w:val="454"/>
          <w:jc w:val="center"/>
        </w:trPr>
        <w:tc>
          <w:tcPr>
            <w:tcW w:w="630" w:type="pct"/>
            <w:vMerge w:val="restart"/>
            <w:tcBorders>
              <w:top w:val="single" w:sz="4" w:space="0" w:color="auto"/>
              <w:left w:val="single" w:sz="4" w:space="0" w:color="auto"/>
              <w:right w:val="single" w:sz="4" w:space="0" w:color="auto"/>
            </w:tcBorders>
            <w:vAlign w:val="center"/>
          </w:tcPr>
          <w:p w14:paraId="7841DB41"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lang w:bidi="ar"/>
              </w:rPr>
              <w:t>考核环节及成绩比例（</w:t>
            </w:r>
            <w:r w:rsidRPr="0085474C">
              <w:rPr>
                <w:rFonts w:ascii="Times New Roman" w:eastAsia="宋体" w:hAnsi="Times New Roman" w:cs="Times New Roman"/>
                <w:szCs w:val="24"/>
                <w:lang w:bidi="ar"/>
              </w:rPr>
              <w:t>%</w:t>
            </w:r>
            <w:r w:rsidRPr="0085474C">
              <w:rPr>
                <w:rFonts w:ascii="Times New Roman" w:eastAsia="宋体" w:hAnsi="Times New Roman" w:cs="Times New Roman"/>
                <w:szCs w:val="24"/>
                <w:lang w:bidi="ar"/>
              </w:rPr>
              <w:t>）</w:t>
            </w:r>
          </w:p>
        </w:tc>
        <w:tc>
          <w:tcPr>
            <w:tcW w:w="792" w:type="pct"/>
            <w:vMerge w:val="restart"/>
            <w:tcBorders>
              <w:top w:val="single" w:sz="4" w:space="0" w:color="auto"/>
              <w:left w:val="single" w:sz="4" w:space="0" w:color="auto"/>
              <w:right w:val="single" w:sz="4" w:space="0" w:color="auto"/>
            </w:tcBorders>
            <w:vAlign w:val="center"/>
          </w:tcPr>
          <w:p w14:paraId="118542EE"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rPr>
              <w:t>平时成绩</w:t>
            </w:r>
            <w:r w:rsidRPr="0085474C">
              <w:rPr>
                <w:rFonts w:ascii="Times New Roman" w:eastAsia="宋体" w:hAnsi="Times New Roman" w:cs="Times New Roman"/>
                <w:szCs w:val="24"/>
              </w:rPr>
              <w:t>(40%)</w:t>
            </w:r>
          </w:p>
        </w:tc>
        <w:tc>
          <w:tcPr>
            <w:tcW w:w="773" w:type="pct"/>
            <w:tcBorders>
              <w:top w:val="single" w:sz="4" w:space="0" w:color="auto"/>
              <w:left w:val="single" w:sz="4" w:space="0" w:color="auto"/>
              <w:bottom w:val="single" w:sz="4" w:space="0" w:color="auto"/>
              <w:right w:val="single" w:sz="4" w:space="0" w:color="auto"/>
            </w:tcBorders>
            <w:vAlign w:val="center"/>
          </w:tcPr>
          <w:p w14:paraId="406550BE"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bCs/>
                <w:szCs w:val="24"/>
              </w:rPr>
              <w:t>课堂</w:t>
            </w:r>
            <w:r w:rsidRPr="0085474C">
              <w:rPr>
                <w:rFonts w:ascii="Times New Roman" w:eastAsia="宋体" w:hAnsi="Times New Roman" w:cs="Times New Roman" w:hint="eastAsia"/>
                <w:bCs/>
                <w:szCs w:val="24"/>
              </w:rPr>
              <w:t>小测</w:t>
            </w:r>
          </w:p>
        </w:tc>
        <w:tc>
          <w:tcPr>
            <w:tcW w:w="1060" w:type="pct"/>
            <w:tcBorders>
              <w:top w:val="single" w:sz="4" w:space="0" w:color="auto"/>
              <w:left w:val="single" w:sz="4" w:space="0" w:color="auto"/>
              <w:bottom w:val="single" w:sz="4" w:space="0" w:color="auto"/>
              <w:right w:val="single" w:sz="4" w:space="0" w:color="auto"/>
            </w:tcBorders>
            <w:vAlign w:val="center"/>
          </w:tcPr>
          <w:p w14:paraId="09D77047"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rPr>
              <w:t>10</w:t>
            </w:r>
            <w:r w:rsidRPr="0085474C">
              <w:rPr>
                <w:rFonts w:ascii="Times New Roman" w:eastAsia="宋体" w:hAnsi="Times New Roman" w:cs="Times New Roman"/>
                <w:szCs w:val="24"/>
                <w:lang w:bidi="ar"/>
              </w:rPr>
              <w:t>%</w:t>
            </w:r>
          </w:p>
        </w:tc>
        <w:tc>
          <w:tcPr>
            <w:tcW w:w="868" w:type="pct"/>
            <w:tcBorders>
              <w:top w:val="single" w:sz="4" w:space="0" w:color="auto"/>
              <w:left w:val="single" w:sz="4" w:space="0" w:color="auto"/>
              <w:bottom w:val="single" w:sz="4" w:space="0" w:color="auto"/>
              <w:right w:val="single" w:sz="4" w:space="0" w:color="auto"/>
            </w:tcBorders>
            <w:vAlign w:val="center"/>
          </w:tcPr>
          <w:p w14:paraId="28FB12CF"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rPr>
              <w:t>10</w:t>
            </w:r>
            <w:r w:rsidRPr="0085474C">
              <w:rPr>
                <w:rFonts w:ascii="Times New Roman" w:eastAsia="宋体" w:hAnsi="Times New Roman" w:cs="Times New Roman"/>
                <w:szCs w:val="24"/>
                <w:lang w:bidi="ar"/>
              </w:rPr>
              <w:t>%</w:t>
            </w:r>
          </w:p>
        </w:tc>
        <w:tc>
          <w:tcPr>
            <w:tcW w:w="877" w:type="pct"/>
            <w:tcBorders>
              <w:top w:val="single" w:sz="4" w:space="0" w:color="auto"/>
              <w:left w:val="single" w:sz="4" w:space="0" w:color="auto"/>
              <w:bottom w:val="single" w:sz="4" w:space="0" w:color="auto"/>
              <w:right w:val="single" w:sz="4" w:space="0" w:color="auto"/>
            </w:tcBorders>
            <w:vAlign w:val="center"/>
          </w:tcPr>
          <w:p w14:paraId="430D5FD2"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lang w:bidi="ar"/>
              </w:rPr>
              <w:t>20%</w:t>
            </w:r>
          </w:p>
        </w:tc>
      </w:tr>
      <w:tr w:rsidR="0085474C" w:rsidRPr="0085474C" w14:paraId="075F37C4" w14:textId="77777777" w:rsidTr="00367215">
        <w:trPr>
          <w:trHeight w:hRule="exact" w:val="454"/>
          <w:jc w:val="center"/>
        </w:trPr>
        <w:tc>
          <w:tcPr>
            <w:tcW w:w="630" w:type="pct"/>
            <w:vMerge/>
            <w:tcBorders>
              <w:left w:val="single" w:sz="4" w:space="0" w:color="auto"/>
              <w:right w:val="single" w:sz="4" w:space="0" w:color="auto"/>
            </w:tcBorders>
            <w:vAlign w:val="center"/>
          </w:tcPr>
          <w:p w14:paraId="7689872C" w14:textId="77777777" w:rsidR="0085474C" w:rsidRPr="0085474C" w:rsidRDefault="0085474C" w:rsidP="0085474C">
            <w:pPr>
              <w:spacing w:line="320" w:lineRule="exact"/>
              <w:jc w:val="center"/>
              <w:rPr>
                <w:rFonts w:ascii="Times New Roman" w:eastAsia="宋体" w:hAnsi="Times New Roman" w:cs="Times New Roman"/>
                <w:szCs w:val="24"/>
              </w:rPr>
            </w:pPr>
          </w:p>
        </w:tc>
        <w:tc>
          <w:tcPr>
            <w:tcW w:w="792" w:type="pct"/>
            <w:vMerge/>
            <w:tcBorders>
              <w:left w:val="single" w:sz="4" w:space="0" w:color="auto"/>
              <w:bottom w:val="single" w:sz="4" w:space="0" w:color="auto"/>
              <w:right w:val="single" w:sz="4" w:space="0" w:color="auto"/>
            </w:tcBorders>
            <w:vAlign w:val="center"/>
          </w:tcPr>
          <w:p w14:paraId="15139002" w14:textId="77777777" w:rsidR="0085474C" w:rsidRPr="0085474C" w:rsidRDefault="0085474C" w:rsidP="0085474C">
            <w:pPr>
              <w:spacing w:line="320" w:lineRule="exact"/>
              <w:jc w:val="center"/>
              <w:rPr>
                <w:rFonts w:ascii="Times New Roman" w:eastAsia="宋体" w:hAnsi="Times New Roman" w:cs="Times New Roman"/>
                <w:szCs w:val="24"/>
              </w:rPr>
            </w:pPr>
          </w:p>
        </w:tc>
        <w:tc>
          <w:tcPr>
            <w:tcW w:w="773" w:type="pct"/>
            <w:tcBorders>
              <w:top w:val="single" w:sz="4" w:space="0" w:color="auto"/>
              <w:left w:val="single" w:sz="4" w:space="0" w:color="auto"/>
              <w:bottom w:val="single" w:sz="4" w:space="0" w:color="auto"/>
              <w:right w:val="single" w:sz="4" w:space="0" w:color="auto"/>
            </w:tcBorders>
            <w:vAlign w:val="center"/>
          </w:tcPr>
          <w:p w14:paraId="2A885B4B"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bCs/>
                <w:szCs w:val="24"/>
              </w:rPr>
              <w:t>课后作业</w:t>
            </w:r>
          </w:p>
        </w:tc>
        <w:tc>
          <w:tcPr>
            <w:tcW w:w="1060" w:type="pct"/>
            <w:tcBorders>
              <w:top w:val="single" w:sz="4" w:space="0" w:color="auto"/>
              <w:left w:val="single" w:sz="4" w:space="0" w:color="auto"/>
              <w:bottom w:val="single" w:sz="4" w:space="0" w:color="auto"/>
              <w:right w:val="single" w:sz="4" w:space="0" w:color="auto"/>
            </w:tcBorders>
            <w:vAlign w:val="center"/>
          </w:tcPr>
          <w:p w14:paraId="4C23196C"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rPr>
              <w:t>10%</w:t>
            </w:r>
          </w:p>
        </w:tc>
        <w:tc>
          <w:tcPr>
            <w:tcW w:w="868" w:type="pct"/>
            <w:tcBorders>
              <w:top w:val="single" w:sz="4" w:space="0" w:color="auto"/>
              <w:left w:val="single" w:sz="4" w:space="0" w:color="auto"/>
              <w:bottom w:val="single" w:sz="4" w:space="0" w:color="auto"/>
              <w:right w:val="single" w:sz="4" w:space="0" w:color="auto"/>
            </w:tcBorders>
            <w:vAlign w:val="center"/>
          </w:tcPr>
          <w:p w14:paraId="79932184"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rPr>
              <w:t>10</w:t>
            </w:r>
            <w:r w:rsidRPr="0085474C">
              <w:rPr>
                <w:rFonts w:ascii="Times New Roman" w:eastAsia="宋体" w:hAnsi="Times New Roman" w:cs="Times New Roman"/>
                <w:szCs w:val="24"/>
                <w:lang w:bidi="ar"/>
              </w:rPr>
              <w:t>%</w:t>
            </w:r>
          </w:p>
        </w:tc>
        <w:tc>
          <w:tcPr>
            <w:tcW w:w="877" w:type="pct"/>
            <w:tcBorders>
              <w:top w:val="single" w:sz="4" w:space="0" w:color="auto"/>
              <w:left w:val="single" w:sz="4" w:space="0" w:color="auto"/>
              <w:bottom w:val="single" w:sz="4" w:space="0" w:color="auto"/>
              <w:right w:val="single" w:sz="4" w:space="0" w:color="auto"/>
            </w:tcBorders>
            <w:vAlign w:val="center"/>
          </w:tcPr>
          <w:p w14:paraId="1C79CAA1"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lang w:bidi="ar"/>
              </w:rPr>
              <w:t>20%</w:t>
            </w:r>
          </w:p>
        </w:tc>
      </w:tr>
      <w:tr w:rsidR="0085474C" w:rsidRPr="0085474C" w14:paraId="7102C10F" w14:textId="77777777" w:rsidTr="00367215">
        <w:trPr>
          <w:trHeight w:val="739"/>
          <w:jc w:val="center"/>
        </w:trPr>
        <w:tc>
          <w:tcPr>
            <w:tcW w:w="630" w:type="pct"/>
            <w:vMerge/>
            <w:tcBorders>
              <w:left w:val="single" w:sz="4" w:space="0" w:color="auto"/>
              <w:right w:val="single" w:sz="4" w:space="0" w:color="auto"/>
            </w:tcBorders>
            <w:vAlign w:val="center"/>
          </w:tcPr>
          <w:p w14:paraId="6AEB134C" w14:textId="77777777" w:rsidR="0085474C" w:rsidRPr="0085474C" w:rsidRDefault="0085474C" w:rsidP="0085474C">
            <w:pPr>
              <w:spacing w:line="320" w:lineRule="exact"/>
              <w:jc w:val="center"/>
              <w:rPr>
                <w:rFonts w:ascii="Times New Roman" w:eastAsia="宋体" w:hAnsi="Times New Roman" w:cs="Times New Roman"/>
                <w:szCs w:val="24"/>
                <w:lang w:bidi="ar"/>
              </w:rPr>
            </w:pPr>
          </w:p>
        </w:tc>
        <w:tc>
          <w:tcPr>
            <w:tcW w:w="792" w:type="pct"/>
            <w:vMerge w:val="restart"/>
            <w:tcBorders>
              <w:top w:val="single" w:sz="4" w:space="0" w:color="auto"/>
              <w:left w:val="single" w:sz="4" w:space="0" w:color="auto"/>
              <w:right w:val="single" w:sz="4" w:space="0" w:color="auto"/>
            </w:tcBorders>
            <w:vAlign w:val="center"/>
          </w:tcPr>
          <w:p w14:paraId="5750342F" w14:textId="77777777" w:rsidR="0085474C" w:rsidRPr="0085474C" w:rsidRDefault="0085474C" w:rsidP="0085474C">
            <w:pPr>
              <w:spacing w:line="320" w:lineRule="exact"/>
              <w:jc w:val="center"/>
              <w:rPr>
                <w:rFonts w:ascii="Times New Roman" w:eastAsia="宋体" w:hAnsi="Times New Roman" w:cs="Times New Roman"/>
                <w:bCs/>
                <w:szCs w:val="24"/>
              </w:rPr>
            </w:pPr>
            <w:r w:rsidRPr="0085474C">
              <w:rPr>
                <w:rFonts w:ascii="Times New Roman" w:eastAsia="宋体" w:hAnsi="Times New Roman" w:cs="Times New Roman"/>
                <w:bCs/>
                <w:szCs w:val="24"/>
              </w:rPr>
              <w:t>期末考试（</w:t>
            </w:r>
            <w:r w:rsidRPr="0085474C">
              <w:rPr>
                <w:rFonts w:ascii="Times New Roman" w:eastAsia="宋体" w:hAnsi="Times New Roman" w:cs="Times New Roman" w:hint="eastAsia"/>
                <w:bCs/>
                <w:szCs w:val="24"/>
              </w:rPr>
              <w:t>6</w:t>
            </w:r>
            <w:r w:rsidRPr="0085474C">
              <w:rPr>
                <w:rFonts w:ascii="Times New Roman" w:eastAsia="宋体" w:hAnsi="Times New Roman" w:cs="Times New Roman"/>
                <w:bCs/>
                <w:szCs w:val="24"/>
              </w:rPr>
              <w:t>0%</w:t>
            </w:r>
            <w:r w:rsidRPr="0085474C">
              <w:rPr>
                <w:rFonts w:ascii="Times New Roman" w:eastAsia="宋体" w:hAnsi="Times New Roman" w:cs="Times New Roman"/>
                <w:bCs/>
                <w:szCs w:val="24"/>
              </w:rPr>
              <w:t>）</w:t>
            </w:r>
          </w:p>
        </w:tc>
        <w:tc>
          <w:tcPr>
            <w:tcW w:w="773" w:type="pct"/>
            <w:tcBorders>
              <w:top w:val="single" w:sz="4" w:space="0" w:color="auto"/>
              <w:left w:val="single" w:sz="4" w:space="0" w:color="auto"/>
              <w:right w:val="single" w:sz="4" w:space="0" w:color="auto"/>
            </w:tcBorders>
            <w:vAlign w:val="center"/>
          </w:tcPr>
          <w:p w14:paraId="3AEEC65E"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rPr>
              <w:t>第</w:t>
            </w:r>
            <w:r w:rsidRPr="0085474C">
              <w:rPr>
                <w:rFonts w:ascii="Times New Roman" w:eastAsia="宋体" w:hAnsi="Times New Roman" w:cs="Times New Roman"/>
                <w:szCs w:val="24"/>
                <w:lang w:bidi="ar"/>
              </w:rPr>
              <w:t>I</w:t>
            </w:r>
            <w:r w:rsidRPr="0085474C">
              <w:rPr>
                <w:rFonts w:ascii="Times New Roman" w:eastAsia="宋体" w:hAnsi="Times New Roman" w:cs="Times New Roman" w:hint="eastAsia"/>
                <w:szCs w:val="24"/>
                <w:lang w:bidi="ar"/>
              </w:rPr>
              <w:t>、</w:t>
            </w:r>
            <w:r w:rsidRPr="0085474C">
              <w:rPr>
                <w:rFonts w:ascii="Times New Roman" w:eastAsia="宋体" w:hAnsi="Times New Roman" w:cs="Times New Roman"/>
                <w:szCs w:val="24"/>
                <w:lang w:bidi="ar"/>
              </w:rPr>
              <w:t>II</w:t>
            </w:r>
            <w:r w:rsidRPr="0085474C">
              <w:rPr>
                <w:rFonts w:ascii="Times New Roman" w:eastAsia="宋体" w:hAnsi="Times New Roman" w:cs="Times New Roman" w:hint="eastAsia"/>
                <w:szCs w:val="24"/>
                <w:lang w:bidi="ar"/>
              </w:rPr>
              <w:t>、</w:t>
            </w:r>
            <w:r w:rsidRPr="0085474C">
              <w:rPr>
                <w:rFonts w:ascii="Times New Roman" w:eastAsia="宋体" w:hAnsi="Times New Roman" w:cs="Times New Roman"/>
                <w:szCs w:val="24"/>
                <w:lang w:bidi="ar"/>
              </w:rPr>
              <w:t>III</w:t>
            </w:r>
            <w:r w:rsidRPr="0085474C">
              <w:rPr>
                <w:rFonts w:ascii="Times New Roman" w:eastAsia="宋体" w:hAnsi="Times New Roman" w:cs="Times New Roman" w:hint="eastAsia"/>
                <w:szCs w:val="24"/>
                <w:lang w:bidi="ar"/>
              </w:rPr>
              <w:t>、</w:t>
            </w:r>
            <w:r w:rsidRPr="0085474C">
              <w:rPr>
                <w:rFonts w:ascii="Times New Roman" w:eastAsia="宋体" w:hAnsi="Times New Roman" w:cs="Times New Roman"/>
                <w:szCs w:val="24"/>
                <w:lang w:bidi="ar"/>
              </w:rPr>
              <w:t>IV</w:t>
            </w:r>
            <w:r w:rsidRPr="0085474C">
              <w:rPr>
                <w:rFonts w:ascii="Times New Roman" w:eastAsia="宋体" w:hAnsi="Times New Roman" w:cs="Times New Roman"/>
                <w:szCs w:val="24"/>
              </w:rPr>
              <w:t>题</w:t>
            </w:r>
          </w:p>
        </w:tc>
        <w:tc>
          <w:tcPr>
            <w:tcW w:w="1060" w:type="pct"/>
            <w:tcBorders>
              <w:top w:val="single" w:sz="4" w:space="0" w:color="auto"/>
              <w:left w:val="single" w:sz="4" w:space="0" w:color="auto"/>
              <w:right w:val="single" w:sz="4" w:space="0" w:color="auto"/>
            </w:tcBorders>
            <w:vAlign w:val="center"/>
          </w:tcPr>
          <w:p w14:paraId="753CCF13" w14:textId="77777777" w:rsidR="0085474C" w:rsidRPr="0085474C" w:rsidRDefault="0085474C" w:rsidP="0085474C">
            <w:pPr>
              <w:spacing w:line="320" w:lineRule="exact"/>
              <w:jc w:val="center"/>
              <w:rPr>
                <w:rFonts w:ascii="Times New Roman" w:eastAsia="宋体" w:hAnsi="Times New Roman" w:cs="Times New Roman"/>
                <w:szCs w:val="24"/>
                <w:lang w:bidi="ar"/>
              </w:rPr>
            </w:pPr>
            <w:r w:rsidRPr="0085474C">
              <w:rPr>
                <w:rFonts w:ascii="Times New Roman" w:eastAsia="宋体" w:hAnsi="Times New Roman" w:cs="Times New Roman"/>
                <w:szCs w:val="24"/>
                <w:lang w:bidi="ar"/>
              </w:rPr>
              <w:t>35%</w:t>
            </w:r>
          </w:p>
        </w:tc>
        <w:tc>
          <w:tcPr>
            <w:tcW w:w="868" w:type="pct"/>
            <w:tcBorders>
              <w:top w:val="single" w:sz="4" w:space="0" w:color="auto"/>
              <w:left w:val="single" w:sz="4" w:space="0" w:color="auto"/>
              <w:right w:val="single" w:sz="4" w:space="0" w:color="auto"/>
            </w:tcBorders>
            <w:vAlign w:val="center"/>
          </w:tcPr>
          <w:p w14:paraId="38E0FE52" w14:textId="77777777" w:rsidR="0085474C" w:rsidRPr="0085474C" w:rsidRDefault="0085474C" w:rsidP="0085474C">
            <w:pPr>
              <w:spacing w:line="320" w:lineRule="exact"/>
              <w:jc w:val="center"/>
              <w:rPr>
                <w:rFonts w:ascii="Times New Roman" w:eastAsia="宋体" w:hAnsi="Times New Roman" w:cs="Times New Roman"/>
                <w:szCs w:val="24"/>
              </w:rPr>
            </w:pPr>
          </w:p>
        </w:tc>
        <w:tc>
          <w:tcPr>
            <w:tcW w:w="877" w:type="pct"/>
            <w:vMerge w:val="restart"/>
            <w:tcBorders>
              <w:top w:val="single" w:sz="4" w:space="0" w:color="auto"/>
              <w:left w:val="single" w:sz="4" w:space="0" w:color="auto"/>
              <w:right w:val="single" w:sz="4" w:space="0" w:color="auto"/>
            </w:tcBorders>
            <w:vAlign w:val="center"/>
          </w:tcPr>
          <w:p w14:paraId="2A89515A" w14:textId="77777777" w:rsidR="0085474C" w:rsidRPr="0085474C" w:rsidRDefault="0085474C" w:rsidP="0085474C">
            <w:pPr>
              <w:spacing w:line="320" w:lineRule="exact"/>
              <w:jc w:val="center"/>
              <w:rPr>
                <w:rFonts w:ascii="Times New Roman" w:eastAsia="宋体" w:hAnsi="Times New Roman" w:cs="Times New Roman"/>
                <w:szCs w:val="24"/>
                <w:lang w:bidi="ar"/>
              </w:rPr>
            </w:pPr>
            <w:r w:rsidRPr="0085474C">
              <w:rPr>
                <w:rFonts w:ascii="Times New Roman" w:eastAsia="宋体" w:hAnsi="Times New Roman" w:cs="Times New Roman"/>
                <w:szCs w:val="24"/>
                <w:lang w:bidi="ar"/>
              </w:rPr>
              <w:t>60%</w:t>
            </w:r>
          </w:p>
        </w:tc>
      </w:tr>
      <w:tr w:rsidR="0085474C" w:rsidRPr="0085474C" w14:paraId="4A627716" w14:textId="77777777" w:rsidTr="00367215">
        <w:trPr>
          <w:trHeight w:val="707"/>
          <w:jc w:val="center"/>
        </w:trPr>
        <w:tc>
          <w:tcPr>
            <w:tcW w:w="630" w:type="pct"/>
            <w:vMerge/>
            <w:tcBorders>
              <w:left w:val="single" w:sz="4" w:space="0" w:color="auto"/>
              <w:right w:val="single" w:sz="4" w:space="0" w:color="auto"/>
            </w:tcBorders>
            <w:vAlign w:val="center"/>
          </w:tcPr>
          <w:p w14:paraId="11B554B6" w14:textId="77777777" w:rsidR="0085474C" w:rsidRPr="0085474C" w:rsidRDefault="0085474C" w:rsidP="0085474C">
            <w:pPr>
              <w:spacing w:line="320" w:lineRule="exact"/>
              <w:jc w:val="center"/>
              <w:rPr>
                <w:rFonts w:ascii="Times New Roman" w:eastAsia="宋体" w:hAnsi="Times New Roman" w:cs="Times New Roman"/>
                <w:szCs w:val="24"/>
                <w:lang w:bidi="ar"/>
              </w:rPr>
            </w:pPr>
          </w:p>
        </w:tc>
        <w:tc>
          <w:tcPr>
            <w:tcW w:w="792" w:type="pct"/>
            <w:vMerge/>
            <w:tcBorders>
              <w:left w:val="single" w:sz="4" w:space="0" w:color="auto"/>
              <w:right w:val="single" w:sz="4" w:space="0" w:color="auto"/>
            </w:tcBorders>
            <w:vAlign w:val="center"/>
          </w:tcPr>
          <w:p w14:paraId="747F921F" w14:textId="77777777" w:rsidR="0085474C" w:rsidRPr="0085474C" w:rsidRDefault="0085474C" w:rsidP="0085474C">
            <w:pPr>
              <w:spacing w:line="320" w:lineRule="exact"/>
              <w:jc w:val="center"/>
              <w:rPr>
                <w:rFonts w:ascii="Times New Roman" w:eastAsia="宋体" w:hAnsi="Times New Roman" w:cs="Times New Roman"/>
                <w:bCs/>
                <w:szCs w:val="24"/>
              </w:rPr>
            </w:pPr>
          </w:p>
        </w:tc>
        <w:tc>
          <w:tcPr>
            <w:tcW w:w="773" w:type="pct"/>
            <w:tcBorders>
              <w:top w:val="single" w:sz="4" w:space="0" w:color="auto"/>
              <w:left w:val="single" w:sz="4" w:space="0" w:color="auto"/>
              <w:right w:val="single" w:sz="4" w:space="0" w:color="auto"/>
            </w:tcBorders>
            <w:vAlign w:val="center"/>
          </w:tcPr>
          <w:p w14:paraId="5D159E74"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rPr>
              <w:t>第</w:t>
            </w:r>
            <w:r w:rsidRPr="0085474C">
              <w:rPr>
                <w:rFonts w:ascii="Times New Roman" w:eastAsia="宋体" w:hAnsi="Times New Roman" w:cs="Times New Roman"/>
                <w:szCs w:val="24"/>
                <w:lang w:bidi="ar"/>
              </w:rPr>
              <w:t>V</w:t>
            </w:r>
            <w:r w:rsidRPr="0085474C">
              <w:rPr>
                <w:rFonts w:ascii="Times New Roman" w:eastAsia="宋体" w:hAnsi="Times New Roman" w:cs="Times New Roman"/>
                <w:szCs w:val="24"/>
                <w:lang w:bidi="ar"/>
              </w:rPr>
              <w:t>、</w:t>
            </w:r>
            <w:r w:rsidRPr="0085474C">
              <w:rPr>
                <w:rFonts w:ascii="Times New Roman" w:eastAsia="宋体" w:hAnsi="Times New Roman" w:cs="Times New Roman"/>
                <w:szCs w:val="24"/>
                <w:lang w:bidi="ar"/>
              </w:rPr>
              <w:t>Ⅵ</w:t>
            </w:r>
            <w:r w:rsidRPr="0085474C">
              <w:rPr>
                <w:rFonts w:ascii="Times New Roman" w:eastAsia="宋体" w:hAnsi="Times New Roman" w:cs="Times New Roman"/>
                <w:szCs w:val="24"/>
              </w:rPr>
              <w:t>题</w:t>
            </w:r>
          </w:p>
        </w:tc>
        <w:tc>
          <w:tcPr>
            <w:tcW w:w="1060" w:type="pct"/>
            <w:tcBorders>
              <w:top w:val="single" w:sz="4" w:space="0" w:color="auto"/>
              <w:left w:val="single" w:sz="4" w:space="0" w:color="auto"/>
              <w:right w:val="single" w:sz="4" w:space="0" w:color="auto"/>
            </w:tcBorders>
            <w:vAlign w:val="center"/>
          </w:tcPr>
          <w:p w14:paraId="216CB743" w14:textId="77777777" w:rsidR="0085474C" w:rsidRPr="0085474C" w:rsidRDefault="0085474C" w:rsidP="0085474C">
            <w:pPr>
              <w:spacing w:line="320" w:lineRule="exact"/>
              <w:jc w:val="center"/>
              <w:rPr>
                <w:rFonts w:ascii="Times New Roman" w:eastAsia="宋体" w:hAnsi="Times New Roman" w:cs="Times New Roman"/>
                <w:szCs w:val="24"/>
                <w:lang w:bidi="ar"/>
              </w:rPr>
            </w:pPr>
          </w:p>
        </w:tc>
        <w:tc>
          <w:tcPr>
            <w:tcW w:w="868" w:type="pct"/>
            <w:tcBorders>
              <w:top w:val="single" w:sz="4" w:space="0" w:color="auto"/>
              <w:left w:val="single" w:sz="4" w:space="0" w:color="auto"/>
              <w:right w:val="single" w:sz="4" w:space="0" w:color="auto"/>
            </w:tcBorders>
            <w:vAlign w:val="center"/>
          </w:tcPr>
          <w:p w14:paraId="62BF4720"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lang w:bidi="ar"/>
              </w:rPr>
              <w:t>25%</w:t>
            </w:r>
          </w:p>
        </w:tc>
        <w:tc>
          <w:tcPr>
            <w:tcW w:w="877" w:type="pct"/>
            <w:vMerge/>
            <w:tcBorders>
              <w:left w:val="single" w:sz="4" w:space="0" w:color="auto"/>
              <w:right w:val="single" w:sz="4" w:space="0" w:color="auto"/>
            </w:tcBorders>
            <w:vAlign w:val="center"/>
          </w:tcPr>
          <w:p w14:paraId="5F1882E5" w14:textId="77777777" w:rsidR="0085474C" w:rsidRPr="0085474C" w:rsidRDefault="0085474C" w:rsidP="0085474C">
            <w:pPr>
              <w:spacing w:line="320" w:lineRule="exact"/>
              <w:jc w:val="center"/>
              <w:rPr>
                <w:rFonts w:ascii="Times New Roman" w:eastAsia="宋体" w:hAnsi="Times New Roman" w:cs="Times New Roman"/>
                <w:szCs w:val="24"/>
                <w:lang w:bidi="ar"/>
              </w:rPr>
            </w:pPr>
          </w:p>
        </w:tc>
      </w:tr>
      <w:tr w:rsidR="0085474C" w:rsidRPr="0085474C" w14:paraId="585A59DD" w14:textId="77777777" w:rsidTr="00367215">
        <w:trPr>
          <w:trHeight w:hRule="exact" w:val="666"/>
          <w:jc w:val="center"/>
        </w:trPr>
        <w:tc>
          <w:tcPr>
            <w:tcW w:w="2195" w:type="pct"/>
            <w:gridSpan w:val="3"/>
            <w:tcBorders>
              <w:top w:val="single" w:sz="4" w:space="0" w:color="auto"/>
              <w:left w:val="single" w:sz="4" w:space="0" w:color="auto"/>
              <w:bottom w:val="single" w:sz="4" w:space="0" w:color="auto"/>
              <w:right w:val="single" w:sz="4" w:space="0" w:color="auto"/>
            </w:tcBorders>
            <w:vAlign w:val="center"/>
          </w:tcPr>
          <w:p w14:paraId="3E7F7669" w14:textId="77777777" w:rsidR="0085474C" w:rsidRPr="0085474C" w:rsidRDefault="0085474C" w:rsidP="0085474C">
            <w:pPr>
              <w:spacing w:line="320" w:lineRule="exact"/>
              <w:jc w:val="center"/>
              <w:rPr>
                <w:rFonts w:ascii="Times New Roman" w:eastAsia="宋体" w:hAnsi="Times New Roman" w:cs="Times New Roman"/>
                <w:szCs w:val="24"/>
              </w:rPr>
            </w:pPr>
            <w:r w:rsidRPr="0085474C">
              <w:rPr>
                <w:rFonts w:ascii="Times New Roman" w:eastAsia="宋体" w:hAnsi="Times New Roman" w:cs="Times New Roman"/>
                <w:szCs w:val="24"/>
                <w:lang w:bidi="ar"/>
              </w:rPr>
              <w:t>毕业要求指标点所占比例合计（</w:t>
            </w:r>
            <w:r w:rsidRPr="0085474C">
              <w:rPr>
                <w:rFonts w:ascii="Times New Roman" w:eastAsia="宋体" w:hAnsi="Times New Roman" w:cs="Times New Roman"/>
                <w:szCs w:val="24"/>
                <w:lang w:bidi="ar"/>
              </w:rPr>
              <w:t>%</w:t>
            </w:r>
            <w:r w:rsidRPr="0085474C">
              <w:rPr>
                <w:rFonts w:ascii="Times New Roman" w:eastAsia="宋体" w:hAnsi="Times New Roman" w:cs="Times New Roman"/>
                <w:szCs w:val="24"/>
                <w:lang w:bidi="ar"/>
              </w:rPr>
              <w:t>）</w:t>
            </w:r>
          </w:p>
        </w:tc>
        <w:tc>
          <w:tcPr>
            <w:tcW w:w="1060" w:type="pct"/>
            <w:tcBorders>
              <w:top w:val="single" w:sz="4" w:space="0" w:color="auto"/>
              <w:left w:val="single" w:sz="4" w:space="0" w:color="auto"/>
              <w:bottom w:val="single" w:sz="4" w:space="0" w:color="auto"/>
              <w:right w:val="single" w:sz="4" w:space="0" w:color="auto"/>
            </w:tcBorders>
            <w:vAlign w:val="center"/>
          </w:tcPr>
          <w:p w14:paraId="3AEE77CE" w14:textId="77777777" w:rsidR="0085474C" w:rsidRPr="0085474C" w:rsidRDefault="0085474C" w:rsidP="0085474C">
            <w:pPr>
              <w:spacing w:line="320" w:lineRule="exact"/>
              <w:jc w:val="center"/>
              <w:rPr>
                <w:rFonts w:ascii="Times New Roman" w:eastAsia="宋体" w:hAnsi="Times New Roman" w:cs="Times New Roman"/>
                <w:szCs w:val="24"/>
                <w:lang w:bidi="ar"/>
              </w:rPr>
            </w:pPr>
            <w:r w:rsidRPr="0085474C">
              <w:rPr>
                <w:rFonts w:ascii="Times New Roman" w:eastAsia="宋体" w:hAnsi="Times New Roman" w:cs="Times New Roman"/>
                <w:szCs w:val="24"/>
                <w:lang w:bidi="ar"/>
              </w:rPr>
              <w:t>55%</w:t>
            </w:r>
          </w:p>
        </w:tc>
        <w:tc>
          <w:tcPr>
            <w:tcW w:w="868" w:type="pct"/>
            <w:tcBorders>
              <w:top w:val="single" w:sz="4" w:space="0" w:color="auto"/>
              <w:left w:val="single" w:sz="4" w:space="0" w:color="auto"/>
              <w:bottom w:val="single" w:sz="4" w:space="0" w:color="auto"/>
              <w:right w:val="single" w:sz="4" w:space="0" w:color="auto"/>
            </w:tcBorders>
            <w:vAlign w:val="center"/>
          </w:tcPr>
          <w:p w14:paraId="6976F59F" w14:textId="77777777" w:rsidR="0085474C" w:rsidRPr="0085474C" w:rsidRDefault="0085474C" w:rsidP="0085474C">
            <w:pPr>
              <w:spacing w:line="320" w:lineRule="exact"/>
              <w:jc w:val="center"/>
              <w:rPr>
                <w:rFonts w:ascii="Times New Roman" w:eastAsia="宋体" w:hAnsi="Times New Roman" w:cs="Times New Roman"/>
                <w:szCs w:val="24"/>
                <w:lang w:bidi="ar"/>
              </w:rPr>
            </w:pPr>
            <w:r w:rsidRPr="0085474C">
              <w:rPr>
                <w:rFonts w:ascii="Times New Roman" w:eastAsia="宋体" w:hAnsi="Times New Roman" w:cs="Times New Roman"/>
                <w:szCs w:val="24"/>
                <w:lang w:bidi="ar"/>
              </w:rPr>
              <w:t>45%</w:t>
            </w:r>
          </w:p>
        </w:tc>
        <w:tc>
          <w:tcPr>
            <w:tcW w:w="877" w:type="pct"/>
            <w:tcBorders>
              <w:left w:val="single" w:sz="4" w:space="0" w:color="auto"/>
              <w:bottom w:val="single" w:sz="4" w:space="0" w:color="auto"/>
              <w:right w:val="single" w:sz="4" w:space="0" w:color="auto"/>
            </w:tcBorders>
            <w:vAlign w:val="center"/>
          </w:tcPr>
          <w:p w14:paraId="13B9C229" w14:textId="77777777" w:rsidR="0085474C" w:rsidRPr="0085474C" w:rsidRDefault="0085474C" w:rsidP="0085474C">
            <w:pPr>
              <w:spacing w:line="320" w:lineRule="exact"/>
              <w:jc w:val="center"/>
              <w:rPr>
                <w:rFonts w:ascii="Times New Roman" w:eastAsia="宋体" w:hAnsi="Times New Roman" w:cs="Times New Roman"/>
                <w:szCs w:val="24"/>
                <w:lang w:bidi="ar"/>
              </w:rPr>
            </w:pPr>
            <w:r w:rsidRPr="0085474C">
              <w:rPr>
                <w:rFonts w:ascii="Times New Roman" w:eastAsia="宋体" w:hAnsi="Times New Roman" w:cs="Times New Roman"/>
                <w:szCs w:val="24"/>
                <w:lang w:bidi="ar"/>
              </w:rPr>
              <w:t>100%</w:t>
            </w:r>
          </w:p>
        </w:tc>
      </w:tr>
    </w:tbl>
    <w:bookmarkEnd w:id="209"/>
    <w:p w14:paraId="1D364B41" w14:textId="77777777" w:rsidR="0085474C" w:rsidRPr="0085474C" w:rsidRDefault="0085474C" w:rsidP="0085474C">
      <w:pPr>
        <w:spacing w:beforeLines="50" w:before="156" w:afterLines="50" w:after="156" w:line="440" w:lineRule="exact"/>
        <w:rPr>
          <w:rFonts w:ascii="Times New Roman" w:eastAsia="黑体" w:hAnsi="Times New Roman" w:cs="Times New Roman"/>
          <w:sz w:val="28"/>
          <w:szCs w:val="28"/>
        </w:rPr>
      </w:pPr>
      <w:r w:rsidRPr="0085474C">
        <w:rPr>
          <w:rFonts w:ascii="Times New Roman" w:eastAsia="黑体" w:hAnsi="Times New Roman" w:cs="Times New Roman"/>
          <w:sz w:val="28"/>
          <w:szCs w:val="28"/>
        </w:rPr>
        <w:t>五、成绩评定</w:t>
      </w:r>
    </w:p>
    <w:p w14:paraId="46F1B988" w14:textId="77777777" w:rsidR="0085474C" w:rsidRPr="0085474C" w:rsidRDefault="0085474C" w:rsidP="0085474C">
      <w:pPr>
        <w:spacing w:beforeLines="50" w:before="156" w:afterLines="50" w:after="156" w:line="440" w:lineRule="exact"/>
        <w:rPr>
          <w:rFonts w:ascii="Times New Roman" w:eastAsia="黑体" w:hAnsi="Times New Roman" w:cs="Times New Roman"/>
          <w:sz w:val="28"/>
          <w:szCs w:val="28"/>
        </w:rPr>
      </w:pPr>
      <w:bookmarkStart w:id="210" w:name="_Hlk148706776"/>
      <w:r w:rsidRPr="0085474C">
        <w:rPr>
          <w:rFonts w:ascii="Times New Roman" w:eastAsia="黑体" w:hAnsi="Times New Roman" w:cs="Times New Roman"/>
          <w:sz w:val="28"/>
          <w:szCs w:val="28"/>
        </w:rPr>
        <w:t>（一）总成绩评定</w:t>
      </w:r>
    </w:p>
    <w:p w14:paraId="426763BC"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总成绩</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平时成绩</w:t>
      </w:r>
      <w:r w:rsidRPr="0085474C">
        <w:rPr>
          <w:rFonts w:ascii="Times New Roman" w:eastAsia="宋体" w:hAnsi="Times New Roman" w:cs="Times New Roman"/>
          <w:sz w:val="24"/>
          <w:szCs w:val="24"/>
        </w:rPr>
        <w:t>×40%+</w:t>
      </w:r>
      <w:r w:rsidRPr="0085474C">
        <w:rPr>
          <w:rFonts w:ascii="Times New Roman" w:eastAsia="宋体" w:hAnsi="Times New Roman" w:cs="Times New Roman"/>
          <w:sz w:val="24"/>
          <w:szCs w:val="24"/>
        </w:rPr>
        <w:t>期末成绩</w:t>
      </w:r>
      <w:r w:rsidRPr="0085474C">
        <w:rPr>
          <w:rFonts w:ascii="Times New Roman" w:eastAsia="宋体" w:hAnsi="Times New Roman" w:cs="Times New Roman"/>
          <w:sz w:val="24"/>
          <w:szCs w:val="24"/>
        </w:rPr>
        <w:t>×60%</w:t>
      </w:r>
    </w:p>
    <w:p w14:paraId="1369E829" w14:textId="77777777" w:rsidR="0085474C" w:rsidRPr="0085474C" w:rsidRDefault="0085474C" w:rsidP="0085474C">
      <w:pPr>
        <w:spacing w:beforeLines="50" w:before="156" w:afterLines="50" w:after="156" w:line="440" w:lineRule="exact"/>
        <w:rPr>
          <w:rFonts w:ascii="Times New Roman" w:eastAsia="宋体" w:hAnsi="Times New Roman" w:cs="Times New Roman"/>
          <w:color w:val="FF0000"/>
          <w:sz w:val="24"/>
          <w:szCs w:val="24"/>
        </w:rPr>
      </w:pPr>
      <w:r w:rsidRPr="0085474C">
        <w:rPr>
          <w:rFonts w:ascii="Times New Roman" w:eastAsia="黑体" w:hAnsi="Times New Roman" w:cs="Times New Roman"/>
          <w:sz w:val="28"/>
          <w:szCs w:val="28"/>
        </w:rPr>
        <w:t>（二）平时成绩评定</w:t>
      </w:r>
    </w:p>
    <w:p w14:paraId="60FC1D99"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平时成绩（</w:t>
      </w:r>
      <w:r w:rsidRPr="0085474C">
        <w:rPr>
          <w:rFonts w:ascii="Times New Roman" w:eastAsia="宋体" w:hAnsi="Times New Roman" w:cs="Times New Roman"/>
          <w:sz w:val="24"/>
          <w:szCs w:val="24"/>
        </w:rPr>
        <w:t>100%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课堂</w:t>
      </w:r>
      <w:r w:rsidRPr="0085474C">
        <w:rPr>
          <w:rFonts w:ascii="Times New Roman" w:eastAsia="宋体" w:hAnsi="Times New Roman" w:cs="Times New Roman" w:hint="eastAsia"/>
          <w:sz w:val="24"/>
          <w:szCs w:val="24"/>
        </w:rPr>
        <w:t>小测</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50%</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作业完成情况（</w:t>
      </w:r>
      <w:r w:rsidRPr="0085474C">
        <w:rPr>
          <w:rFonts w:ascii="Times New Roman" w:eastAsia="宋体" w:hAnsi="Times New Roman" w:cs="Times New Roman"/>
          <w:sz w:val="24"/>
          <w:szCs w:val="24"/>
        </w:rPr>
        <w:t>50%</w:t>
      </w:r>
      <w:r w:rsidRPr="0085474C">
        <w:rPr>
          <w:rFonts w:ascii="Times New Roman" w:eastAsia="宋体" w:hAnsi="Times New Roman" w:cs="Times New Roman"/>
          <w:sz w:val="24"/>
          <w:szCs w:val="24"/>
        </w:rPr>
        <w:t>）</w:t>
      </w:r>
    </w:p>
    <w:p w14:paraId="430852F8"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考核方式</w:t>
      </w:r>
      <w:r w:rsidRPr="0085474C">
        <w:rPr>
          <w:rFonts w:ascii="Times New Roman" w:eastAsia="宋体" w:hAnsi="Times New Roman" w:cs="Times New Roman"/>
          <w:sz w:val="24"/>
          <w:szCs w:val="24"/>
        </w:rPr>
        <w:t>:</w:t>
      </w:r>
    </w:p>
    <w:p w14:paraId="3163CC83"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）课堂表现：</w:t>
      </w:r>
      <w:r w:rsidRPr="0085474C">
        <w:rPr>
          <w:rFonts w:ascii="Times New Roman" w:eastAsia="宋体" w:hAnsi="Times New Roman" w:cs="Times New Roman" w:hint="eastAsia"/>
          <w:sz w:val="24"/>
          <w:szCs w:val="24"/>
        </w:rPr>
        <w:t>根据学习通课堂小测成绩得出。</w:t>
      </w:r>
    </w:p>
    <w:p w14:paraId="5CA97DF4"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）作业完成情况：围绕课程的学习目标进行作业的设计。如让学生简述对知识的认识或通过完成思维导图作业，考核学生对于概念的理解情况，帮助学生将定义转化为自己的理解。</w:t>
      </w:r>
    </w:p>
    <w:p w14:paraId="6D51D49A" w14:textId="77777777" w:rsidR="0085474C" w:rsidRPr="0085474C" w:rsidRDefault="0085474C" w:rsidP="0085474C">
      <w:pPr>
        <w:spacing w:beforeLines="50" w:before="156" w:afterLines="50" w:after="156" w:line="440" w:lineRule="exact"/>
        <w:rPr>
          <w:rFonts w:ascii="Times New Roman" w:eastAsia="黑体" w:hAnsi="Times New Roman" w:cs="Times New Roman"/>
          <w:sz w:val="28"/>
          <w:szCs w:val="28"/>
        </w:rPr>
      </w:pPr>
      <w:r w:rsidRPr="0085474C">
        <w:rPr>
          <w:rFonts w:ascii="Times New Roman" w:eastAsia="黑体" w:hAnsi="Times New Roman" w:cs="Times New Roman"/>
          <w:sz w:val="28"/>
          <w:szCs w:val="28"/>
        </w:rPr>
        <w:t>（三）期末成绩评定</w:t>
      </w:r>
    </w:p>
    <w:p w14:paraId="7756056A"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期末考核主要考察学生对生物化学与分子生物学基本概念、操作程序和具体方法的理解与运用等。方式为闭卷考试。要求学生掌握生物化学与分子生物学的基本概念、操作程序，运用生物化学与分子生物学具体方法解决解决</w:t>
      </w:r>
      <w:r w:rsidRPr="0085474C">
        <w:rPr>
          <w:rFonts w:ascii="Times New Roman" w:eastAsia="宋体" w:hAnsi="Times New Roman" w:cs="Times New Roman" w:hint="eastAsia"/>
          <w:sz w:val="24"/>
          <w:szCs w:val="24"/>
        </w:rPr>
        <w:t>药物分析</w:t>
      </w:r>
      <w:r w:rsidRPr="0085474C">
        <w:rPr>
          <w:rFonts w:ascii="Times New Roman" w:eastAsia="宋体" w:hAnsi="Times New Roman" w:cs="Times New Roman"/>
          <w:sz w:val="24"/>
          <w:szCs w:val="24"/>
        </w:rPr>
        <w:t>领域菌种遗传改造、生物产品工艺开发等复杂工程问题。</w:t>
      </w:r>
    </w:p>
    <w:bookmarkEnd w:id="210"/>
    <w:p w14:paraId="3A1A9BE2" w14:textId="77777777" w:rsidR="0085474C" w:rsidRPr="0085474C" w:rsidRDefault="0085474C" w:rsidP="0085474C">
      <w:pPr>
        <w:spacing w:beforeLines="50" w:before="156" w:afterLines="50" w:after="156" w:line="440" w:lineRule="exact"/>
        <w:rPr>
          <w:rFonts w:ascii="Times New Roman" w:eastAsia="宋体" w:hAnsi="Times New Roman" w:cs="Times New Roman"/>
          <w:sz w:val="24"/>
          <w:szCs w:val="24"/>
        </w:rPr>
      </w:pPr>
      <w:r w:rsidRPr="0085474C">
        <w:rPr>
          <w:rFonts w:ascii="Times New Roman" w:eastAsia="黑体" w:hAnsi="Times New Roman" w:cs="Times New Roman"/>
          <w:sz w:val="28"/>
          <w:szCs w:val="28"/>
        </w:rPr>
        <w:t>六、使用教材、相关推荐书目及课程资源</w:t>
      </w:r>
    </w:p>
    <w:p w14:paraId="29DB07FE"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黑体" w:hAnsi="Times New Roman" w:cs="Times New Roman"/>
          <w:sz w:val="28"/>
          <w:szCs w:val="28"/>
        </w:rPr>
        <w:t>（一）使用教材</w:t>
      </w:r>
      <w:r w:rsidRPr="0085474C">
        <w:rPr>
          <w:rFonts w:ascii="Times New Roman" w:eastAsia="黑体" w:hAnsi="Times New Roman" w:cs="Times New Roman"/>
          <w:sz w:val="28"/>
          <w:szCs w:val="28"/>
        </w:rPr>
        <w:tab/>
        <w:t xml:space="preserve"> </w:t>
      </w:r>
    </w:p>
    <w:p w14:paraId="52CE5B69"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王镜岩，朱圣庚，徐长法主编：《生物化学教程》，高等教育出版社，</w:t>
      </w:r>
      <w:r w:rsidRPr="0085474C">
        <w:rPr>
          <w:rFonts w:ascii="Times New Roman" w:eastAsia="宋体" w:hAnsi="Times New Roman" w:cs="Times New Roman"/>
          <w:sz w:val="24"/>
          <w:szCs w:val="24"/>
        </w:rPr>
        <w:t>2008</w:t>
      </w:r>
      <w:r w:rsidRPr="0085474C">
        <w:rPr>
          <w:rFonts w:ascii="Times New Roman" w:eastAsia="宋体" w:hAnsi="Times New Roman" w:cs="Times New Roman"/>
          <w:sz w:val="24"/>
          <w:szCs w:val="24"/>
        </w:rPr>
        <w:t>年版；</w:t>
      </w:r>
    </w:p>
    <w:p w14:paraId="5195B791"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黑体" w:hAnsi="Times New Roman" w:cs="Times New Roman"/>
          <w:sz w:val="28"/>
          <w:szCs w:val="28"/>
        </w:rPr>
        <w:t>（二）相关推荐书目</w:t>
      </w:r>
    </w:p>
    <w:p w14:paraId="77B00925"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朱圣庚，徐长法主编：《生物化学》（第四版），高等教育出版社，</w:t>
      </w:r>
      <w:r w:rsidRPr="0085474C">
        <w:rPr>
          <w:rFonts w:ascii="Times New Roman" w:eastAsia="宋体" w:hAnsi="Times New Roman" w:cs="Times New Roman"/>
          <w:sz w:val="24"/>
          <w:szCs w:val="24"/>
        </w:rPr>
        <w:t>2016</w:t>
      </w:r>
      <w:r w:rsidRPr="0085474C">
        <w:rPr>
          <w:rFonts w:ascii="Times New Roman" w:eastAsia="宋体" w:hAnsi="Times New Roman" w:cs="Times New Roman"/>
          <w:sz w:val="24"/>
          <w:szCs w:val="24"/>
        </w:rPr>
        <w:t>年版；</w:t>
      </w:r>
    </w:p>
    <w:p w14:paraId="375BB79E"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David </w:t>
      </w:r>
      <w:proofErr w:type="spellStart"/>
      <w:r w:rsidRPr="0085474C">
        <w:rPr>
          <w:rFonts w:ascii="Times New Roman" w:eastAsia="宋体" w:hAnsi="Times New Roman" w:cs="Times New Roman"/>
          <w:sz w:val="24"/>
          <w:szCs w:val="24"/>
        </w:rPr>
        <w:t>L.Nelson</w:t>
      </w:r>
      <w:proofErr w:type="spellEnd"/>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 xml:space="preserve">Michael </w:t>
      </w:r>
      <w:proofErr w:type="spellStart"/>
      <w:r w:rsidRPr="0085474C">
        <w:rPr>
          <w:rFonts w:ascii="Times New Roman" w:eastAsia="宋体" w:hAnsi="Times New Roman" w:cs="Times New Roman"/>
          <w:sz w:val="24"/>
          <w:szCs w:val="24"/>
        </w:rPr>
        <w:t>M.Cox</w:t>
      </w:r>
      <w:proofErr w:type="spellEnd"/>
      <w:r w:rsidRPr="0085474C">
        <w:rPr>
          <w:rFonts w:ascii="Times New Roman" w:eastAsia="宋体" w:hAnsi="Times New Roman" w:cs="Times New Roman"/>
          <w:sz w:val="24"/>
          <w:szCs w:val="24"/>
        </w:rPr>
        <w:t>主编：《</w:t>
      </w:r>
      <w:proofErr w:type="spellStart"/>
      <w:r w:rsidRPr="0085474C">
        <w:rPr>
          <w:rFonts w:ascii="Times New Roman" w:eastAsia="宋体" w:hAnsi="Times New Roman" w:cs="Times New Roman"/>
          <w:sz w:val="24"/>
          <w:szCs w:val="24"/>
        </w:rPr>
        <w:t>Lehninger</w:t>
      </w:r>
      <w:proofErr w:type="spellEnd"/>
      <w:r w:rsidRPr="0085474C">
        <w:rPr>
          <w:rFonts w:ascii="Times New Roman" w:eastAsia="宋体" w:hAnsi="Times New Roman" w:cs="Times New Roman"/>
          <w:sz w:val="24"/>
          <w:szCs w:val="24"/>
        </w:rPr>
        <w:t>生物化学原理》（第</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版），高等教育出版社，</w:t>
      </w:r>
      <w:r w:rsidRPr="0085474C">
        <w:rPr>
          <w:rFonts w:ascii="Times New Roman" w:eastAsia="宋体" w:hAnsi="Times New Roman" w:cs="Times New Roman"/>
          <w:sz w:val="24"/>
          <w:szCs w:val="24"/>
        </w:rPr>
        <w:t>2005</w:t>
      </w:r>
      <w:r w:rsidRPr="0085474C">
        <w:rPr>
          <w:rFonts w:ascii="Times New Roman" w:eastAsia="宋体" w:hAnsi="Times New Roman" w:cs="Times New Roman"/>
          <w:sz w:val="24"/>
          <w:szCs w:val="24"/>
        </w:rPr>
        <w:t>年版；</w:t>
      </w:r>
    </w:p>
    <w:p w14:paraId="54A006E2"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张丽萍、杨建雄主编：《生物化学简明教程》（第</w:t>
      </w:r>
      <w:r w:rsidRPr="0085474C">
        <w:rPr>
          <w:rFonts w:ascii="Times New Roman" w:eastAsia="宋体" w:hAnsi="Times New Roman" w:cs="Times New Roman"/>
          <w:sz w:val="24"/>
          <w:szCs w:val="24"/>
        </w:rPr>
        <w:t>5</w:t>
      </w:r>
      <w:r w:rsidRPr="0085474C">
        <w:rPr>
          <w:rFonts w:ascii="Times New Roman" w:eastAsia="宋体" w:hAnsi="Times New Roman" w:cs="Times New Roman"/>
          <w:sz w:val="24"/>
          <w:szCs w:val="24"/>
        </w:rPr>
        <w:t>版），高等教育出版社，</w:t>
      </w:r>
      <w:r w:rsidRPr="0085474C">
        <w:rPr>
          <w:rFonts w:ascii="Times New Roman" w:eastAsia="宋体" w:hAnsi="Times New Roman" w:cs="Times New Roman"/>
          <w:sz w:val="24"/>
          <w:szCs w:val="24"/>
        </w:rPr>
        <w:t>2015</w:t>
      </w:r>
      <w:r w:rsidRPr="0085474C">
        <w:rPr>
          <w:rFonts w:ascii="Times New Roman" w:eastAsia="宋体" w:hAnsi="Times New Roman" w:cs="Times New Roman"/>
          <w:sz w:val="24"/>
          <w:szCs w:val="24"/>
        </w:rPr>
        <w:t>年版；</w:t>
      </w:r>
    </w:p>
    <w:p w14:paraId="1A34E7D1"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4. </w:t>
      </w:r>
      <w:proofErr w:type="gramStart"/>
      <w:r w:rsidRPr="0085474C">
        <w:rPr>
          <w:rFonts w:ascii="Times New Roman" w:eastAsia="宋体" w:hAnsi="Times New Roman" w:cs="Times New Roman"/>
          <w:sz w:val="24"/>
          <w:szCs w:val="24"/>
        </w:rPr>
        <w:t>杨荣武主编</w:t>
      </w:r>
      <w:proofErr w:type="gramEnd"/>
      <w:r w:rsidRPr="0085474C">
        <w:rPr>
          <w:rFonts w:ascii="Times New Roman" w:eastAsia="宋体" w:hAnsi="Times New Roman" w:cs="Times New Roman"/>
          <w:sz w:val="24"/>
          <w:szCs w:val="24"/>
        </w:rPr>
        <w:t>：《生物化学原理》，高等教育出版社，</w:t>
      </w:r>
      <w:r w:rsidRPr="0085474C">
        <w:rPr>
          <w:rFonts w:ascii="Times New Roman" w:eastAsia="宋体" w:hAnsi="Times New Roman" w:cs="Times New Roman"/>
          <w:sz w:val="24"/>
          <w:szCs w:val="24"/>
        </w:rPr>
        <w:t>2018</w:t>
      </w:r>
      <w:r w:rsidRPr="0085474C">
        <w:rPr>
          <w:rFonts w:ascii="Times New Roman" w:eastAsia="宋体" w:hAnsi="Times New Roman" w:cs="Times New Roman"/>
          <w:sz w:val="24"/>
          <w:szCs w:val="24"/>
        </w:rPr>
        <w:t>年版；</w:t>
      </w:r>
    </w:p>
    <w:p w14:paraId="7AADFCFC"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5. </w:t>
      </w:r>
      <w:proofErr w:type="gramStart"/>
      <w:r w:rsidRPr="0085474C">
        <w:rPr>
          <w:rFonts w:ascii="Times New Roman" w:eastAsia="宋体" w:hAnsi="Times New Roman" w:cs="Times New Roman"/>
          <w:sz w:val="24"/>
          <w:szCs w:val="24"/>
        </w:rPr>
        <w:t>查锡良</w:t>
      </w:r>
      <w:proofErr w:type="gramEnd"/>
      <w:r w:rsidRPr="0085474C">
        <w:rPr>
          <w:rFonts w:ascii="Times New Roman" w:eastAsia="宋体" w:hAnsi="Times New Roman" w:cs="Times New Roman"/>
          <w:sz w:val="24"/>
          <w:szCs w:val="24"/>
        </w:rPr>
        <w:t>，</w:t>
      </w:r>
      <w:proofErr w:type="gramStart"/>
      <w:r w:rsidRPr="0085474C">
        <w:rPr>
          <w:rFonts w:ascii="Times New Roman" w:eastAsia="宋体" w:hAnsi="Times New Roman" w:cs="Times New Roman"/>
          <w:sz w:val="24"/>
          <w:szCs w:val="24"/>
        </w:rPr>
        <w:t>药立波</w:t>
      </w:r>
      <w:proofErr w:type="gramEnd"/>
      <w:r w:rsidRPr="0085474C">
        <w:rPr>
          <w:rFonts w:ascii="Times New Roman" w:eastAsia="宋体" w:hAnsi="Times New Roman" w:cs="Times New Roman"/>
          <w:sz w:val="24"/>
          <w:szCs w:val="24"/>
        </w:rPr>
        <w:t>主编：《生物化学与分子生物学》（第</w:t>
      </w:r>
      <w:r w:rsidRPr="0085474C">
        <w:rPr>
          <w:rFonts w:ascii="Times New Roman" w:eastAsia="宋体" w:hAnsi="Times New Roman" w:cs="Times New Roman"/>
          <w:sz w:val="24"/>
          <w:szCs w:val="24"/>
        </w:rPr>
        <w:t>8</w:t>
      </w:r>
      <w:r w:rsidRPr="0085474C">
        <w:rPr>
          <w:rFonts w:ascii="Times New Roman" w:eastAsia="宋体" w:hAnsi="Times New Roman" w:cs="Times New Roman"/>
          <w:sz w:val="24"/>
          <w:szCs w:val="24"/>
        </w:rPr>
        <w:t>版），人民卫生出版社，</w:t>
      </w:r>
      <w:r w:rsidRPr="0085474C">
        <w:rPr>
          <w:rFonts w:ascii="Times New Roman" w:eastAsia="宋体" w:hAnsi="Times New Roman" w:cs="Times New Roman"/>
          <w:sz w:val="24"/>
          <w:szCs w:val="24"/>
        </w:rPr>
        <w:t>2013</w:t>
      </w:r>
      <w:r w:rsidRPr="0085474C">
        <w:rPr>
          <w:rFonts w:ascii="Times New Roman" w:eastAsia="宋体" w:hAnsi="Times New Roman" w:cs="Times New Roman"/>
          <w:sz w:val="24"/>
          <w:szCs w:val="24"/>
        </w:rPr>
        <w:t>年版；</w:t>
      </w:r>
    </w:p>
    <w:p w14:paraId="7FCF5B5C" w14:textId="77777777" w:rsidR="0085474C" w:rsidRPr="0085474C" w:rsidRDefault="0085474C" w:rsidP="0085474C">
      <w:pPr>
        <w:spacing w:beforeLines="50" w:before="156" w:afterLines="50" w:after="156" w:line="440" w:lineRule="exact"/>
        <w:rPr>
          <w:rFonts w:ascii="Times New Roman" w:eastAsia="黑体" w:hAnsi="Times New Roman" w:cs="Times New Roman"/>
          <w:sz w:val="28"/>
          <w:szCs w:val="28"/>
        </w:rPr>
      </w:pPr>
      <w:r w:rsidRPr="0085474C">
        <w:rPr>
          <w:rFonts w:ascii="Times New Roman" w:eastAsia="黑体" w:hAnsi="Times New Roman" w:cs="Times New Roman"/>
          <w:sz w:val="28"/>
          <w:szCs w:val="28"/>
        </w:rPr>
        <w:t>（三）课程资源</w:t>
      </w:r>
    </w:p>
    <w:p w14:paraId="50F0D687"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本课程在网络上有丰富的教学资源如在线开放课程，图书资源，试题资料等，学生可以通过网络进行自主学习，推荐的优秀资源如下：</w:t>
      </w:r>
    </w:p>
    <w:p w14:paraId="4262C77E"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lastRenderedPageBreak/>
        <w:t>在线开放课程学习资源：</w:t>
      </w:r>
    </w:p>
    <w:p w14:paraId="628C0D6E"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1.</w:t>
      </w:r>
      <w:r w:rsidRPr="0085474C">
        <w:rPr>
          <w:rFonts w:ascii="Times New Roman" w:eastAsia="宋体" w:hAnsi="Times New Roman" w:cs="Times New Roman"/>
          <w:sz w:val="24"/>
          <w:szCs w:val="24"/>
        </w:rPr>
        <w:t>生物化学国家级精品课程，课程负责人：杨荣武；课程平台：爱课程；网址：</w:t>
      </w:r>
      <w:r w:rsidRPr="0085474C">
        <w:rPr>
          <w:rFonts w:ascii="Times New Roman" w:eastAsia="宋体" w:hAnsi="Times New Roman" w:cs="Times New Roman"/>
          <w:sz w:val="24"/>
          <w:szCs w:val="24"/>
        </w:rPr>
        <w:t>http://www.icourses.cn/sCourse/course_6275.html</w:t>
      </w:r>
    </w:p>
    <w:p w14:paraId="31EC1AF1"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2.</w:t>
      </w:r>
      <w:r w:rsidRPr="0085474C">
        <w:rPr>
          <w:rFonts w:ascii="Times New Roman" w:eastAsia="宋体" w:hAnsi="Times New Roman" w:cs="Times New Roman"/>
          <w:sz w:val="24"/>
          <w:szCs w:val="24"/>
        </w:rPr>
        <w:t>生物化学国家级精品课程，课程负责人：程汉华；课程平台：爱课程；网址：</w:t>
      </w:r>
      <w:r>
        <w:fldChar w:fldCharType="begin"/>
      </w:r>
      <w:r>
        <w:instrText>HYPERLINK "http://www.icourses.cn/sCourse/course_2788.html"</w:instrText>
      </w:r>
      <w:r>
        <w:fldChar w:fldCharType="separate"/>
      </w:r>
      <w:r w:rsidRPr="0085474C">
        <w:rPr>
          <w:rFonts w:ascii="Times New Roman" w:eastAsia="宋体" w:hAnsi="Times New Roman" w:cs="Times New Roman"/>
          <w:color w:val="3F5094"/>
          <w:sz w:val="24"/>
          <w:szCs w:val="24"/>
          <w:u w:val="single"/>
        </w:rPr>
        <w:t>http://www.icourses.cn/sCourse/course_2788.html</w:t>
      </w:r>
      <w:r>
        <w:rPr>
          <w:rFonts w:ascii="Times New Roman" w:eastAsia="宋体" w:hAnsi="Times New Roman" w:cs="Times New Roman"/>
          <w:color w:val="3F5094"/>
          <w:sz w:val="24"/>
          <w:szCs w:val="24"/>
          <w:u w:val="single"/>
        </w:rPr>
        <w:fldChar w:fldCharType="end"/>
      </w:r>
    </w:p>
    <w:p w14:paraId="49D24B32" w14:textId="77777777" w:rsidR="0085474C" w:rsidRPr="0085474C" w:rsidRDefault="0085474C" w:rsidP="0085474C">
      <w:pPr>
        <w:spacing w:line="440" w:lineRule="exact"/>
        <w:rPr>
          <w:rFonts w:ascii="Times New Roman" w:eastAsia="宋体" w:hAnsi="Times New Roman" w:cs="Times New Roman"/>
          <w:sz w:val="24"/>
          <w:szCs w:val="24"/>
        </w:rPr>
      </w:pPr>
      <w:r w:rsidRPr="0085474C">
        <w:rPr>
          <w:rFonts w:ascii="Times New Roman" w:eastAsia="宋体" w:hAnsi="Times New Roman" w:cs="Times New Roman"/>
          <w:sz w:val="24"/>
          <w:szCs w:val="24"/>
        </w:rPr>
        <w:t>必读书目：</w:t>
      </w:r>
    </w:p>
    <w:p w14:paraId="239B871F"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1. </w:t>
      </w:r>
      <w:r w:rsidRPr="0085474C">
        <w:rPr>
          <w:rFonts w:ascii="Times New Roman" w:eastAsia="宋体" w:hAnsi="Times New Roman" w:cs="Times New Roman"/>
          <w:sz w:val="24"/>
          <w:szCs w:val="24"/>
        </w:rPr>
        <w:t>朱圣庚，徐长法主编：《生物化学》（第四版），高等教育出版社，</w:t>
      </w:r>
      <w:r w:rsidRPr="0085474C">
        <w:rPr>
          <w:rFonts w:ascii="Times New Roman" w:eastAsia="宋体" w:hAnsi="Times New Roman" w:cs="Times New Roman"/>
          <w:sz w:val="24"/>
          <w:szCs w:val="24"/>
        </w:rPr>
        <w:t>2016</w:t>
      </w:r>
      <w:r w:rsidRPr="0085474C">
        <w:rPr>
          <w:rFonts w:ascii="Times New Roman" w:eastAsia="宋体" w:hAnsi="Times New Roman" w:cs="Times New Roman"/>
          <w:sz w:val="24"/>
          <w:szCs w:val="24"/>
        </w:rPr>
        <w:t>年版；</w:t>
      </w:r>
    </w:p>
    <w:p w14:paraId="209B6E74"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2. David </w:t>
      </w:r>
      <w:proofErr w:type="spellStart"/>
      <w:r w:rsidRPr="0085474C">
        <w:rPr>
          <w:rFonts w:ascii="Times New Roman" w:eastAsia="宋体" w:hAnsi="Times New Roman" w:cs="Times New Roman"/>
          <w:sz w:val="24"/>
          <w:szCs w:val="24"/>
        </w:rPr>
        <w:t>L.Nelson</w:t>
      </w:r>
      <w:proofErr w:type="spellEnd"/>
      <w:r w:rsidRPr="0085474C">
        <w:rPr>
          <w:rFonts w:ascii="Times New Roman" w:eastAsia="宋体" w:hAnsi="Times New Roman" w:cs="Times New Roman"/>
          <w:sz w:val="24"/>
          <w:szCs w:val="24"/>
        </w:rPr>
        <w:t>，</w:t>
      </w:r>
      <w:r w:rsidRPr="0085474C">
        <w:rPr>
          <w:rFonts w:ascii="Times New Roman" w:eastAsia="宋体" w:hAnsi="Times New Roman" w:cs="Times New Roman"/>
          <w:sz w:val="24"/>
          <w:szCs w:val="24"/>
        </w:rPr>
        <w:t xml:space="preserve">Michael </w:t>
      </w:r>
      <w:proofErr w:type="spellStart"/>
      <w:r w:rsidRPr="0085474C">
        <w:rPr>
          <w:rFonts w:ascii="Times New Roman" w:eastAsia="宋体" w:hAnsi="Times New Roman" w:cs="Times New Roman"/>
          <w:sz w:val="24"/>
          <w:szCs w:val="24"/>
        </w:rPr>
        <w:t>M.Cox</w:t>
      </w:r>
      <w:proofErr w:type="spellEnd"/>
      <w:r w:rsidRPr="0085474C">
        <w:rPr>
          <w:rFonts w:ascii="Times New Roman" w:eastAsia="宋体" w:hAnsi="Times New Roman" w:cs="Times New Roman"/>
          <w:sz w:val="24"/>
          <w:szCs w:val="24"/>
        </w:rPr>
        <w:t>主编：《</w:t>
      </w:r>
      <w:proofErr w:type="spellStart"/>
      <w:r w:rsidRPr="0085474C">
        <w:rPr>
          <w:rFonts w:ascii="Times New Roman" w:eastAsia="宋体" w:hAnsi="Times New Roman" w:cs="Times New Roman"/>
          <w:sz w:val="24"/>
          <w:szCs w:val="24"/>
        </w:rPr>
        <w:t>Lehninger</w:t>
      </w:r>
      <w:proofErr w:type="spellEnd"/>
      <w:r w:rsidRPr="0085474C">
        <w:rPr>
          <w:rFonts w:ascii="Times New Roman" w:eastAsia="宋体" w:hAnsi="Times New Roman" w:cs="Times New Roman"/>
          <w:sz w:val="24"/>
          <w:szCs w:val="24"/>
        </w:rPr>
        <w:t>生物化学原理》（第</w:t>
      </w:r>
      <w:r w:rsidRPr="0085474C">
        <w:rPr>
          <w:rFonts w:ascii="Times New Roman" w:eastAsia="宋体" w:hAnsi="Times New Roman" w:cs="Times New Roman"/>
          <w:sz w:val="24"/>
          <w:szCs w:val="24"/>
        </w:rPr>
        <w:t>3</w:t>
      </w:r>
      <w:r w:rsidRPr="0085474C">
        <w:rPr>
          <w:rFonts w:ascii="Times New Roman" w:eastAsia="宋体" w:hAnsi="Times New Roman" w:cs="Times New Roman"/>
          <w:sz w:val="24"/>
          <w:szCs w:val="24"/>
        </w:rPr>
        <w:t>版），高等教育出版社，</w:t>
      </w:r>
      <w:r w:rsidRPr="0085474C">
        <w:rPr>
          <w:rFonts w:ascii="Times New Roman" w:eastAsia="宋体" w:hAnsi="Times New Roman" w:cs="Times New Roman"/>
          <w:sz w:val="24"/>
          <w:szCs w:val="24"/>
        </w:rPr>
        <w:t>2005</w:t>
      </w:r>
      <w:r w:rsidRPr="0085474C">
        <w:rPr>
          <w:rFonts w:ascii="Times New Roman" w:eastAsia="宋体" w:hAnsi="Times New Roman" w:cs="Times New Roman"/>
          <w:sz w:val="24"/>
          <w:szCs w:val="24"/>
        </w:rPr>
        <w:t>年版；</w:t>
      </w:r>
    </w:p>
    <w:p w14:paraId="05E928D8"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3. </w:t>
      </w:r>
      <w:r w:rsidRPr="0085474C">
        <w:rPr>
          <w:rFonts w:ascii="Times New Roman" w:eastAsia="宋体" w:hAnsi="Times New Roman" w:cs="Times New Roman"/>
          <w:sz w:val="24"/>
          <w:szCs w:val="24"/>
        </w:rPr>
        <w:t>张丽萍、杨建雄主编：《生物化学简明教程》（第</w:t>
      </w:r>
      <w:r w:rsidRPr="0085474C">
        <w:rPr>
          <w:rFonts w:ascii="Times New Roman" w:eastAsia="宋体" w:hAnsi="Times New Roman" w:cs="Times New Roman"/>
          <w:sz w:val="24"/>
          <w:szCs w:val="24"/>
        </w:rPr>
        <w:t>5</w:t>
      </w:r>
      <w:r w:rsidRPr="0085474C">
        <w:rPr>
          <w:rFonts w:ascii="Times New Roman" w:eastAsia="宋体" w:hAnsi="Times New Roman" w:cs="Times New Roman"/>
          <w:sz w:val="24"/>
          <w:szCs w:val="24"/>
        </w:rPr>
        <w:t>版），高等教育出版社，</w:t>
      </w:r>
      <w:r w:rsidRPr="0085474C">
        <w:rPr>
          <w:rFonts w:ascii="Times New Roman" w:eastAsia="宋体" w:hAnsi="Times New Roman" w:cs="Times New Roman"/>
          <w:sz w:val="24"/>
          <w:szCs w:val="24"/>
        </w:rPr>
        <w:t>2015</w:t>
      </w:r>
      <w:r w:rsidRPr="0085474C">
        <w:rPr>
          <w:rFonts w:ascii="Times New Roman" w:eastAsia="宋体" w:hAnsi="Times New Roman" w:cs="Times New Roman"/>
          <w:sz w:val="24"/>
          <w:szCs w:val="24"/>
        </w:rPr>
        <w:t>年版；</w:t>
      </w:r>
    </w:p>
    <w:p w14:paraId="5CD08BA2"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4. </w:t>
      </w:r>
      <w:proofErr w:type="gramStart"/>
      <w:r w:rsidRPr="0085474C">
        <w:rPr>
          <w:rFonts w:ascii="Times New Roman" w:eastAsia="宋体" w:hAnsi="Times New Roman" w:cs="Times New Roman"/>
          <w:sz w:val="24"/>
          <w:szCs w:val="24"/>
        </w:rPr>
        <w:t>杨荣武主编</w:t>
      </w:r>
      <w:proofErr w:type="gramEnd"/>
      <w:r w:rsidRPr="0085474C">
        <w:rPr>
          <w:rFonts w:ascii="Times New Roman" w:eastAsia="宋体" w:hAnsi="Times New Roman" w:cs="Times New Roman"/>
          <w:sz w:val="24"/>
          <w:szCs w:val="24"/>
        </w:rPr>
        <w:t>：《生物化学原理》，高等教育出版社，</w:t>
      </w:r>
      <w:r w:rsidRPr="0085474C">
        <w:rPr>
          <w:rFonts w:ascii="Times New Roman" w:eastAsia="宋体" w:hAnsi="Times New Roman" w:cs="Times New Roman"/>
          <w:sz w:val="24"/>
          <w:szCs w:val="24"/>
        </w:rPr>
        <w:t>2018</w:t>
      </w:r>
      <w:r w:rsidRPr="0085474C">
        <w:rPr>
          <w:rFonts w:ascii="Times New Roman" w:eastAsia="宋体" w:hAnsi="Times New Roman" w:cs="Times New Roman"/>
          <w:sz w:val="24"/>
          <w:szCs w:val="24"/>
        </w:rPr>
        <w:t>年版；</w:t>
      </w:r>
    </w:p>
    <w:p w14:paraId="4789A349" w14:textId="77777777" w:rsidR="0085474C" w:rsidRPr="0085474C" w:rsidRDefault="0085474C" w:rsidP="005E2322">
      <w:pPr>
        <w:spacing w:line="440" w:lineRule="exact"/>
        <w:ind w:firstLineChars="200" w:firstLine="480"/>
        <w:rPr>
          <w:rFonts w:ascii="Times New Roman" w:eastAsia="宋体" w:hAnsi="Times New Roman" w:cs="Times New Roman"/>
          <w:sz w:val="24"/>
          <w:szCs w:val="24"/>
        </w:rPr>
      </w:pPr>
      <w:r w:rsidRPr="0085474C">
        <w:rPr>
          <w:rFonts w:ascii="Times New Roman" w:eastAsia="宋体" w:hAnsi="Times New Roman" w:cs="Times New Roman"/>
          <w:sz w:val="24"/>
          <w:szCs w:val="24"/>
        </w:rPr>
        <w:t xml:space="preserve">5. </w:t>
      </w:r>
      <w:proofErr w:type="gramStart"/>
      <w:r w:rsidRPr="0085474C">
        <w:rPr>
          <w:rFonts w:ascii="Times New Roman" w:eastAsia="宋体" w:hAnsi="Times New Roman" w:cs="Times New Roman"/>
          <w:sz w:val="24"/>
          <w:szCs w:val="24"/>
        </w:rPr>
        <w:t>查锡良</w:t>
      </w:r>
      <w:proofErr w:type="gramEnd"/>
      <w:r w:rsidRPr="0085474C">
        <w:rPr>
          <w:rFonts w:ascii="Times New Roman" w:eastAsia="宋体" w:hAnsi="Times New Roman" w:cs="Times New Roman"/>
          <w:sz w:val="24"/>
          <w:szCs w:val="24"/>
        </w:rPr>
        <w:t>，</w:t>
      </w:r>
      <w:proofErr w:type="gramStart"/>
      <w:r w:rsidRPr="0085474C">
        <w:rPr>
          <w:rFonts w:ascii="Times New Roman" w:eastAsia="宋体" w:hAnsi="Times New Roman" w:cs="Times New Roman"/>
          <w:sz w:val="24"/>
          <w:szCs w:val="24"/>
        </w:rPr>
        <w:t>药立波</w:t>
      </w:r>
      <w:proofErr w:type="gramEnd"/>
      <w:r w:rsidRPr="0085474C">
        <w:rPr>
          <w:rFonts w:ascii="Times New Roman" w:eastAsia="宋体" w:hAnsi="Times New Roman" w:cs="Times New Roman"/>
          <w:sz w:val="24"/>
          <w:szCs w:val="24"/>
        </w:rPr>
        <w:t>主编：《生物化学与分子生物学》（第</w:t>
      </w:r>
      <w:r w:rsidRPr="0085474C">
        <w:rPr>
          <w:rFonts w:ascii="Times New Roman" w:eastAsia="宋体" w:hAnsi="Times New Roman" w:cs="Times New Roman"/>
          <w:sz w:val="24"/>
          <w:szCs w:val="24"/>
        </w:rPr>
        <w:t>8</w:t>
      </w:r>
      <w:r w:rsidRPr="0085474C">
        <w:rPr>
          <w:rFonts w:ascii="Times New Roman" w:eastAsia="宋体" w:hAnsi="Times New Roman" w:cs="Times New Roman"/>
          <w:sz w:val="24"/>
          <w:szCs w:val="24"/>
        </w:rPr>
        <w:t>版），人民卫生出版社，</w:t>
      </w:r>
      <w:r w:rsidRPr="0085474C">
        <w:rPr>
          <w:rFonts w:ascii="Times New Roman" w:eastAsia="宋体" w:hAnsi="Times New Roman" w:cs="Times New Roman"/>
          <w:sz w:val="24"/>
          <w:szCs w:val="24"/>
        </w:rPr>
        <w:t>2013</w:t>
      </w:r>
      <w:r w:rsidRPr="0085474C">
        <w:rPr>
          <w:rFonts w:ascii="Times New Roman" w:eastAsia="宋体" w:hAnsi="Times New Roman" w:cs="Times New Roman"/>
          <w:sz w:val="24"/>
          <w:szCs w:val="24"/>
        </w:rPr>
        <w:t>年版；</w:t>
      </w:r>
    </w:p>
    <w:p w14:paraId="064A14C5" w14:textId="77777777" w:rsidR="0085474C" w:rsidRPr="0085474C" w:rsidRDefault="0085474C" w:rsidP="0085474C">
      <w:pPr>
        <w:spacing w:beforeLines="50" w:before="156" w:afterLines="50" w:after="156" w:line="440" w:lineRule="exact"/>
        <w:rPr>
          <w:rFonts w:ascii="Times New Roman" w:eastAsia="黑体" w:hAnsi="Times New Roman" w:cs="Times New Roman"/>
          <w:sz w:val="28"/>
          <w:szCs w:val="28"/>
        </w:rPr>
      </w:pPr>
      <w:r w:rsidRPr="0085474C">
        <w:rPr>
          <w:rFonts w:ascii="Times New Roman" w:eastAsia="黑体" w:hAnsi="Times New Roman" w:cs="Times New Roman"/>
          <w:sz w:val="28"/>
          <w:szCs w:val="28"/>
        </w:rPr>
        <w:t>七、课程大纲制定依据</w:t>
      </w:r>
    </w:p>
    <w:p w14:paraId="630B7699" w14:textId="77777777" w:rsidR="0085474C" w:rsidRPr="0085474C" w:rsidRDefault="0085474C" w:rsidP="005E2322">
      <w:pPr>
        <w:spacing w:line="440" w:lineRule="exact"/>
        <w:ind w:firstLineChars="300" w:firstLine="720"/>
        <w:rPr>
          <w:rFonts w:ascii="Times New Roman" w:eastAsia="宋体" w:hAnsi="Times New Roman" w:cs="Times New Roman"/>
          <w:sz w:val="24"/>
          <w:szCs w:val="24"/>
        </w:rPr>
      </w:pPr>
      <w:r w:rsidRPr="0085474C">
        <w:rPr>
          <w:rFonts w:ascii="Times New Roman" w:eastAsia="宋体" w:hAnsi="Times New Roman" w:cs="Times New Roman"/>
          <w:sz w:val="24"/>
          <w:szCs w:val="24"/>
        </w:rPr>
        <w:t>本课程大纲依据</w:t>
      </w:r>
      <w:r w:rsidRPr="0085474C">
        <w:rPr>
          <w:rFonts w:ascii="Times New Roman" w:eastAsia="宋体" w:hAnsi="Times New Roman" w:cs="Times New Roman"/>
          <w:sz w:val="24"/>
          <w:szCs w:val="24"/>
        </w:rPr>
        <w:t>2023</w:t>
      </w:r>
      <w:r w:rsidRPr="0085474C">
        <w:rPr>
          <w:rFonts w:ascii="Times New Roman" w:eastAsia="宋体" w:hAnsi="Times New Roman" w:cs="Times New Roman"/>
          <w:sz w:val="24"/>
          <w:szCs w:val="24"/>
        </w:rPr>
        <w:t>年药物分析专业人才培养方案制定。</w:t>
      </w:r>
    </w:p>
    <w:p w14:paraId="49D1ABCA" w14:textId="77777777" w:rsidR="0085474C" w:rsidRPr="0085474C" w:rsidRDefault="0085474C" w:rsidP="0085474C">
      <w:pPr>
        <w:spacing w:line="440" w:lineRule="exact"/>
        <w:rPr>
          <w:rFonts w:ascii="Times New Roman" w:eastAsia="宋体" w:hAnsi="Times New Roman" w:cs="Times New Roman"/>
          <w:sz w:val="24"/>
          <w:szCs w:val="24"/>
        </w:rPr>
      </w:pPr>
    </w:p>
    <w:p w14:paraId="0BB846EB" w14:textId="77777777" w:rsidR="00367215" w:rsidRDefault="00367215" w:rsidP="0085474C">
      <w:pPr>
        <w:spacing w:line="440" w:lineRule="exact"/>
        <w:ind w:firstLineChars="200" w:firstLine="480"/>
        <w:rPr>
          <w:rFonts w:ascii="宋体" w:eastAsia="宋体" w:hAnsi="宋体" w:cs="Times New Roman"/>
          <w:sz w:val="24"/>
          <w:szCs w:val="24"/>
        </w:rPr>
      </w:pPr>
    </w:p>
    <w:p w14:paraId="37855361" w14:textId="77777777" w:rsidR="00D76147" w:rsidRDefault="00D76147" w:rsidP="0085474C">
      <w:pPr>
        <w:spacing w:line="440" w:lineRule="exact"/>
        <w:ind w:firstLineChars="200" w:firstLine="480"/>
        <w:rPr>
          <w:rFonts w:ascii="宋体" w:eastAsia="宋体" w:hAnsi="宋体" w:cs="Times New Roman"/>
          <w:sz w:val="24"/>
          <w:szCs w:val="24"/>
        </w:rPr>
      </w:pPr>
    </w:p>
    <w:p w14:paraId="10DC77F3" w14:textId="77777777" w:rsidR="00D76147" w:rsidRDefault="00D76147" w:rsidP="0085474C">
      <w:pPr>
        <w:spacing w:line="440" w:lineRule="exact"/>
        <w:ind w:firstLineChars="200" w:firstLine="480"/>
        <w:rPr>
          <w:rFonts w:ascii="宋体" w:eastAsia="宋体" w:hAnsi="宋体" w:cs="Times New Roman"/>
          <w:sz w:val="24"/>
          <w:szCs w:val="24"/>
        </w:rPr>
      </w:pPr>
    </w:p>
    <w:p w14:paraId="00361832" w14:textId="77777777" w:rsidR="005E2322" w:rsidRDefault="005E2322">
      <w:pPr>
        <w:widowControl/>
        <w:jc w:val="left"/>
        <w:rPr>
          <w:rFonts w:ascii="宋体" w:eastAsia="宋体" w:hAnsi="宋体" w:cs="Times New Roman"/>
          <w:sz w:val="24"/>
          <w:szCs w:val="24"/>
        </w:rPr>
      </w:pPr>
      <w:bookmarkStart w:id="211" w:name="_Toc54942279"/>
      <w:bookmarkStart w:id="212" w:name="_Toc149662362"/>
      <w:r>
        <w:rPr>
          <w:rFonts w:ascii="宋体" w:eastAsia="宋体" w:hAnsi="宋体" w:cs="Times New Roman"/>
          <w:sz w:val="24"/>
          <w:szCs w:val="24"/>
        </w:rPr>
        <w:br w:type="page"/>
      </w:r>
    </w:p>
    <w:p w14:paraId="5CBA2672" w14:textId="4D16D6AA" w:rsidR="00367215" w:rsidRPr="00367215" w:rsidRDefault="00C63ECC" w:rsidP="00367215">
      <w:pPr>
        <w:spacing w:before="240" w:after="60"/>
        <w:jc w:val="center"/>
        <w:outlineLvl w:val="0"/>
        <w:rPr>
          <w:rFonts w:ascii="Times New Roman" w:eastAsia="宋体" w:hAnsi="Times New Roman" w:cs="Times New Roman"/>
          <w:b/>
          <w:bCs/>
          <w:sz w:val="32"/>
          <w:szCs w:val="32"/>
        </w:rPr>
      </w:pPr>
      <w:r>
        <w:rPr>
          <w:rFonts w:ascii="Times New Roman" w:eastAsia="宋体" w:hAnsi="Times New Roman" w:cs="Times New Roman" w:hint="eastAsia"/>
          <w:b/>
          <w:bCs/>
          <w:sz w:val="32"/>
          <w:szCs w:val="32"/>
        </w:rPr>
        <w:lastRenderedPageBreak/>
        <w:t>《</w:t>
      </w:r>
      <w:r w:rsidR="00367215" w:rsidRPr="00367215">
        <w:rPr>
          <w:rFonts w:ascii="Times New Roman" w:eastAsia="宋体" w:hAnsi="Times New Roman" w:cs="Times New Roman"/>
          <w:b/>
          <w:bCs/>
          <w:sz w:val="32"/>
          <w:szCs w:val="32"/>
        </w:rPr>
        <w:t>微生物</w:t>
      </w:r>
      <w:r w:rsidR="00367215" w:rsidRPr="00367215">
        <w:rPr>
          <w:rFonts w:ascii="Times New Roman" w:eastAsia="宋体" w:hAnsi="Times New Roman" w:cs="Times New Roman" w:hint="eastAsia"/>
          <w:b/>
          <w:bCs/>
          <w:sz w:val="32"/>
          <w:szCs w:val="32"/>
        </w:rPr>
        <w:t>与免疫学</w:t>
      </w:r>
      <w:r w:rsidR="00D76147">
        <w:rPr>
          <w:rFonts w:ascii="Times New Roman" w:eastAsia="宋体" w:hAnsi="Times New Roman" w:cs="Times New Roman" w:hint="eastAsia"/>
          <w:b/>
          <w:bCs/>
          <w:sz w:val="32"/>
          <w:szCs w:val="32"/>
        </w:rPr>
        <w:t>》</w:t>
      </w:r>
      <w:r w:rsidR="00367215" w:rsidRPr="00367215">
        <w:rPr>
          <w:rFonts w:ascii="Times New Roman" w:eastAsia="宋体" w:hAnsi="Times New Roman" w:cs="Times New Roman"/>
          <w:b/>
          <w:bCs/>
          <w:sz w:val="32"/>
          <w:szCs w:val="32"/>
        </w:rPr>
        <w:t>课程大纲</w:t>
      </w:r>
      <w:bookmarkEnd w:id="211"/>
      <w:bookmarkEnd w:id="212"/>
    </w:p>
    <w:p w14:paraId="6C61B981" w14:textId="77777777" w:rsidR="00367215" w:rsidRPr="00367215" w:rsidRDefault="00367215" w:rsidP="00367215">
      <w:pPr>
        <w:spacing w:beforeLines="50" w:before="156" w:afterLines="50" w:after="156" w:line="440" w:lineRule="exact"/>
        <w:ind w:firstLineChars="200" w:firstLine="560"/>
        <w:rPr>
          <w:rFonts w:ascii="Times New Roman" w:eastAsia="黑体" w:hAnsi="Times New Roman" w:cs="Times New Roman"/>
          <w:sz w:val="28"/>
          <w:szCs w:val="28"/>
        </w:rPr>
      </w:pPr>
      <w:r w:rsidRPr="00367215">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2833"/>
        <w:gridCol w:w="1561"/>
        <w:gridCol w:w="2941"/>
      </w:tblGrid>
      <w:tr w:rsidR="00367215" w:rsidRPr="00367215" w14:paraId="684F3EBF" w14:textId="77777777" w:rsidTr="00367215">
        <w:trPr>
          <w:trHeight w:val="886"/>
          <w:jc w:val="center"/>
        </w:trPr>
        <w:tc>
          <w:tcPr>
            <w:tcW w:w="1668" w:type="dxa"/>
            <w:vAlign w:val="center"/>
          </w:tcPr>
          <w:p w14:paraId="7C167EC0"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rPr>
              <w:t>课程名称</w:t>
            </w:r>
          </w:p>
        </w:tc>
        <w:tc>
          <w:tcPr>
            <w:tcW w:w="2833" w:type="dxa"/>
            <w:vAlign w:val="center"/>
          </w:tcPr>
          <w:p w14:paraId="06097361"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rPr>
              <w:t>微生物与免疫学</w:t>
            </w:r>
          </w:p>
        </w:tc>
        <w:tc>
          <w:tcPr>
            <w:tcW w:w="1561" w:type="dxa"/>
            <w:vAlign w:val="center"/>
          </w:tcPr>
          <w:p w14:paraId="339C0BCF"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rPr>
              <w:t>课程代码</w:t>
            </w:r>
          </w:p>
        </w:tc>
        <w:tc>
          <w:tcPr>
            <w:tcW w:w="2941" w:type="dxa"/>
            <w:vAlign w:val="center"/>
          </w:tcPr>
          <w:p w14:paraId="047DC730" w14:textId="77777777" w:rsidR="00367215" w:rsidRPr="00367215" w:rsidRDefault="00367215" w:rsidP="00367215">
            <w:pPr>
              <w:spacing w:line="440" w:lineRule="exact"/>
              <w:jc w:val="center"/>
              <w:rPr>
                <w:rFonts w:ascii="Times New Roman" w:eastAsia="宋体" w:hAnsi="Times New Roman" w:cs="Times New Roman"/>
                <w:sz w:val="24"/>
                <w:szCs w:val="21"/>
              </w:rPr>
            </w:pPr>
          </w:p>
        </w:tc>
      </w:tr>
      <w:tr w:rsidR="00367215" w:rsidRPr="00367215" w14:paraId="411B74AE" w14:textId="77777777" w:rsidTr="00367215">
        <w:trPr>
          <w:trHeight w:val="829"/>
          <w:jc w:val="center"/>
        </w:trPr>
        <w:tc>
          <w:tcPr>
            <w:tcW w:w="1668" w:type="dxa"/>
            <w:vAlign w:val="center"/>
          </w:tcPr>
          <w:p w14:paraId="43271C13"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rPr>
              <w:t>课程类别</w:t>
            </w:r>
          </w:p>
        </w:tc>
        <w:tc>
          <w:tcPr>
            <w:tcW w:w="2833" w:type="dxa"/>
            <w:vAlign w:val="center"/>
          </w:tcPr>
          <w:p w14:paraId="4E6CD3F3"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rPr>
              <w:t>专业</w:t>
            </w:r>
            <w:r w:rsidRPr="00367215">
              <w:rPr>
                <w:rFonts w:ascii="Times New Roman" w:eastAsia="宋体" w:hAnsi="Times New Roman" w:cs="Times New Roman" w:hint="eastAsia"/>
                <w:sz w:val="24"/>
              </w:rPr>
              <w:t>教育基础</w:t>
            </w:r>
            <w:r w:rsidRPr="00367215">
              <w:rPr>
                <w:rFonts w:ascii="Times New Roman" w:eastAsia="宋体" w:hAnsi="Times New Roman" w:cs="Times New Roman"/>
                <w:sz w:val="24"/>
              </w:rPr>
              <w:t>课程</w:t>
            </w:r>
          </w:p>
        </w:tc>
        <w:tc>
          <w:tcPr>
            <w:tcW w:w="1561" w:type="dxa"/>
            <w:vAlign w:val="center"/>
          </w:tcPr>
          <w:p w14:paraId="400C0352"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rPr>
              <w:t>学时</w:t>
            </w:r>
          </w:p>
          <w:p w14:paraId="27E825CD"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rPr>
              <w:t>/</w:t>
            </w:r>
            <w:r w:rsidRPr="00367215">
              <w:rPr>
                <w:rFonts w:ascii="Times New Roman" w:eastAsia="宋体" w:hAnsi="Times New Roman" w:cs="Times New Roman"/>
                <w:sz w:val="24"/>
              </w:rPr>
              <w:t>学分</w:t>
            </w:r>
          </w:p>
        </w:tc>
        <w:tc>
          <w:tcPr>
            <w:tcW w:w="2941" w:type="dxa"/>
            <w:vAlign w:val="center"/>
          </w:tcPr>
          <w:p w14:paraId="0FFEE81E"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rPr>
              <w:t>16/1</w:t>
            </w:r>
          </w:p>
        </w:tc>
      </w:tr>
      <w:tr w:rsidR="00367215" w:rsidRPr="00367215" w14:paraId="608EE310" w14:textId="77777777" w:rsidTr="00367215">
        <w:trPr>
          <w:trHeight w:val="811"/>
          <w:jc w:val="center"/>
        </w:trPr>
        <w:tc>
          <w:tcPr>
            <w:tcW w:w="1668" w:type="dxa"/>
            <w:vAlign w:val="center"/>
          </w:tcPr>
          <w:p w14:paraId="55581060"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rPr>
              <w:t>开课单位</w:t>
            </w:r>
          </w:p>
        </w:tc>
        <w:tc>
          <w:tcPr>
            <w:tcW w:w="2833" w:type="dxa"/>
            <w:vAlign w:val="center"/>
          </w:tcPr>
          <w:p w14:paraId="2E79128F"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rPr>
              <w:t>化工学院</w:t>
            </w:r>
          </w:p>
        </w:tc>
        <w:tc>
          <w:tcPr>
            <w:tcW w:w="1561" w:type="dxa"/>
            <w:vAlign w:val="center"/>
          </w:tcPr>
          <w:p w14:paraId="75C9D010"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rPr>
              <w:t>适用专业</w:t>
            </w:r>
          </w:p>
        </w:tc>
        <w:tc>
          <w:tcPr>
            <w:tcW w:w="2941" w:type="dxa"/>
            <w:vAlign w:val="center"/>
          </w:tcPr>
          <w:p w14:paraId="5A3FE707"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hint="eastAsia"/>
                <w:sz w:val="24"/>
              </w:rPr>
              <w:t>药物分析</w:t>
            </w:r>
          </w:p>
        </w:tc>
      </w:tr>
      <w:tr w:rsidR="00367215" w:rsidRPr="00367215" w14:paraId="02ABD25F" w14:textId="77777777" w:rsidTr="00367215">
        <w:trPr>
          <w:trHeight w:val="811"/>
          <w:jc w:val="center"/>
        </w:trPr>
        <w:tc>
          <w:tcPr>
            <w:tcW w:w="1668" w:type="dxa"/>
            <w:vAlign w:val="center"/>
          </w:tcPr>
          <w:p w14:paraId="64A9CFC0"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rPr>
              <w:t>课程负责人</w:t>
            </w:r>
          </w:p>
        </w:tc>
        <w:tc>
          <w:tcPr>
            <w:tcW w:w="7335" w:type="dxa"/>
            <w:gridSpan w:val="3"/>
            <w:vAlign w:val="center"/>
          </w:tcPr>
          <w:p w14:paraId="6193EB04"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hint="eastAsia"/>
                <w:sz w:val="24"/>
              </w:rPr>
              <w:t>顾丹</w:t>
            </w:r>
            <w:proofErr w:type="gramStart"/>
            <w:r w:rsidRPr="00367215">
              <w:rPr>
                <w:rFonts w:ascii="Times New Roman" w:eastAsia="宋体" w:hAnsi="Times New Roman" w:cs="Times New Roman" w:hint="eastAsia"/>
                <w:sz w:val="24"/>
              </w:rPr>
              <w:t>丹</w:t>
            </w:r>
            <w:proofErr w:type="gramEnd"/>
          </w:p>
        </w:tc>
      </w:tr>
      <w:tr w:rsidR="00367215" w:rsidRPr="00367215" w14:paraId="05ADF7DB" w14:textId="77777777" w:rsidTr="00367215">
        <w:trPr>
          <w:trHeight w:val="836"/>
          <w:jc w:val="center"/>
        </w:trPr>
        <w:tc>
          <w:tcPr>
            <w:tcW w:w="1668" w:type="dxa"/>
            <w:vAlign w:val="center"/>
          </w:tcPr>
          <w:p w14:paraId="14B238CB"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rPr>
              <w:t>大纲撰写人</w:t>
            </w:r>
          </w:p>
        </w:tc>
        <w:tc>
          <w:tcPr>
            <w:tcW w:w="2833" w:type="dxa"/>
            <w:vAlign w:val="center"/>
          </w:tcPr>
          <w:p w14:paraId="143972A8"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hint="eastAsia"/>
                <w:sz w:val="24"/>
              </w:rPr>
              <w:t>顾丹</w:t>
            </w:r>
            <w:proofErr w:type="gramStart"/>
            <w:r w:rsidRPr="00367215">
              <w:rPr>
                <w:rFonts w:ascii="Times New Roman" w:eastAsia="宋体" w:hAnsi="Times New Roman" w:cs="Times New Roman" w:hint="eastAsia"/>
                <w:sz w:val="24"/>
              </w:rPr>
              <w:t>丹</w:t>
            </w:r>
            <w:proofErr w:type="gramEnd"/>
          </w:p>
        </w:tc>
        <w:tc>
          <w:tcPr>
            <w:tcW w:w="1561" w:type="dxa"/>
            <w:vAlign w:val="center"/>
          </w:tcPr>
          <w:p w14:paraId="7AF05644"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rPr>
              <w:t>大纲审核人</w:t>
            </w:r>
          </w:p>
        </w:tc>
        <w:tc>
          <w:tcPr>
            <w:tcW w:w="2941" w:type="dxa"/>
            <w:vAlign w:val="center"/>
          </w:tcPr>
          <w:p w14:paraId="712A7A97" w14:textId="77777777" w:rsidR="00367215" w:rsidRPr="00367215" w:rsidRDefault="00367215" w:rsidP="00367215">
            <w:pPr>
              <w:spacing w:line="440" w:lineRule="exact"/>
              <w:jc w:val="center"/>
              <w:rPr>
                <w:rFonts w:ascii="Times New Roman" w:eastAsia="宋体" w:hAnsi="Times New Roman" w:cs="Times New Roman"/>
                <w:sz w:val="24"/>
                <w:szCs w:val="21"/>
              </w:rPr>
            </w:pPr>
            <w:proofErr w:type="gramStart"/>
            <w:r w:rsidRPr="00367215">
              <w:rPr>
                <w:rFonts w:ascii="Times New Roman" w:eastAsia="宋体" w:hAnsi="Times New Roman" w:cs="Times New Roman" w:hint="eastAsia"/>
                <w:sz w:val="24"/>
              </w:rPr>
              <w:t>冯</w:t>
            </w:r>
            <w:proofErr w:type="gramEnd"/>
            <w:r w:rsidRPr="00367215">
              <w:rPr>
                <w:rFonts w:ascii="Times New Roman" w:eastAsia="宋体" w:hAnsi="Times New Roman" w:cs="Times New Roman" w:hint="eastAsia"/>
                <w:sz w:val="24"/>
              </w:rPr>
              <w:t>小龙</w:t>
            </w:r>
          </w:p>
        </w:tc>
      </w:tr>
      <w:tr w:rsidR="00367215" w:rsidRPr="00367215" w14:paraId="232E29EA" w14:textId="77777777" w:rsidTr="00367215">
        <w:trPr>
          <w:trHeight w:val="848"/>
          <w:jc w:val="center"/>
        </w:trPr>
        <w:tc>
          <w:tcPr>
            <w:tcW w:w="1668" w:type="dxa"/>
            <w:vAlign w:val="center"/>
          </w:tcPr>
          <w:p w14:paraId="7E0A4FEA"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rPr>
              <w:t>先修课程</w:t>
            </w:r>
          </w:p>
        </w:tc>
        <w:tc>
          <w:tcPr>
            <w:tcW w:w="7335" w:type="dxa"/>
            <w:gridSpan w:val="3"/>
            <w:vAlign w:val="center"/>
          </w:tcPr>
          <w:p w14:paraId="6CA8CF86"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宋体" w:eastAsia="宋体" w:hAnsi="宋体" w:cs="Times New Roman" w:hint="eastAsia"/>
                <w:sz w:val="24"/>
                <w:szCs w:val="21"/>
              </w:rPr>
              <w:t xml:space="preserve">《无机化学》 </w:t>
            </w:r>
          </w:p>
        </w:tc>
      </w:tr>
      <w:tr w:rsidR="00367215" w:rsidRPr="00367215" w14:paraId="4C8C4BCC" w14:textId="77777777" w:rsidTr="00367215">
        <w:trPr>
          <w:trHeight w:val="848"/>
          <w:jc w:val="center"/>
        </w:trPr>
        <w:tc>
          <w:tcPr>
            <w:tcW w:w="1668" w:type="dxa"/>
            <w:vAlign w:val="center"/>
          </w:tcPr>
          <w:p w14:paraId="3D0AAE94"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hint="eastAsia"/>
                <w:sz w:val="24"/>
              </w:rPr>
              <w:t>课程网址</w:t>
            </w:r>
          </w:p>
        </w:tc>
        <w:tc>
          <w:tcPr>
            <w:tcW w:w="7335" w:type="dxa"/>
            <w:gridSpan w:val="3"/>
            <w:vAlign w:val="center"/>
          </w:tcPr>
          <w:p w14:paraId="5DD842EC" w14:textId="77777777" w:rsidR="00367215" w:rsidRPr="00367215" w:rsidRDefault="00367215" w:rsidP="00367215">
            <w:pPr>
              <w:spacing w:line="440" w:lineRule="exact"/>
              <w:jc w:val="center"/>
              <w:rPr>
                <w:rFonts w:ascii="Times New Roman" w:eastAsia="宋体" w:hAnsi="Times New Roman" w:cs="Times New Roman"/>
                <w:sz w:val="24"/>
                <w:szCs w:val="21"/>
              </w:rPr>
            </w:pPr>
          </w:p>
        </w:tc>
      </w:tr>
    </w:tbl>
    <w:p w14:paraId="3D44B8D0" w14:textId="77777777" w:rsidR="00367215" w:rsidRPr="00367215" w:rsidRDefault="00367215" w:rsidP="00367215">
      <w:pPr>
        <w:spacing w:beforeLines="50" w:before="156" w:afterLines="50" w:after="156" w:line="440" w:lineRule="exact"/>
        <w:ind w:firstLineChars="200" w:firstLine="560"/>
        <w:rPr>
          <w:rFonts w:ascii="Times New Roman" w:eastAsia="黑体" w:hAnsi="Times New Roman" w:cs="Times New Roman"/>
          <w:sz w:val="28"/>
          <w:szCs w:val="28"/>
        </w:rPr>
      </w:pPr>
      <w:r w:rsidRPr="00367215">
        <w:rPr>
          <w:rFonts w:ascii="Times New Roman" w:eastAsia="黑体" w:hAnsi="Times New Roman" w:cs="Times New Roman"/>
          <w:sz w:val="28"/>
          <w:szCs w:val="28"/>
        </w:rPr>
        <w:t>二、课程学习目标及与毕业要求的对应关系</w:t>
      </w:r>
    </w:p>
    <w:p w14:paraId="1072C607" w14:textId="77777777" w:rsidR="00367215" w:rsidRPr="00367215" w:rsidRDefault="00367215" w:rsidP="00367215">
      <w:pPr>
        <w:spacing w:beforeLines="50" w:before="156" w:afterLines="50" w:after="156" w:line="440" w:lineRule="exact"/>
        <w:ind w:firstLineChars="200" w:firstLine="560"/>
        <w:rPr>
          <w:rFonts w:ascii="Times New Roman" w:eastAsia="黑体" w:hAnsi="Times New Roman" w:cs="Times New Roman"/>
          <w:sz w:val="28"/>
          <w:szCs w:val="28"/>
        </w:rPr>
      </w:pPr>
      <w:r w:rsidRPr="00367215">
        <w:rPr>
          <w:rFonts w:ascii="Times New Roman" w:eastAsia="黑体" w:hAnsi="Times New Roman" w:cs="Times New Roman"/>
          <w:sz w:val="28"/>
          <w:szCs w:val="28"/>
        </w:rPr>
        <w:t>（一）课程学习目标</w:t>
      </w:r>
    </w:p>
    <w:p w14:paraId="1E23B271" w14:textId="77777777" w:rsidR="00367215" w:rsidRPr="00367215" w:rsidRDefault="00367215" w:rsidP="00367215">
      <w:pPr>
        <w:spacing w:line="44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通过本课程的学习，使学生达到以下目标：</w:t>
      </w:r>
    </w:p>
    <w:p w14:paraId="5A815FDB" w14:textId="77777777" w:rsidR="00367215" w:rsidRPr="00367215" w:rsidRDefault="00367215" w:rsidP="00367215">
      <w:pPr>
        <w:spacing w:line="400" w:lineRule="exact"/>
        <w:ind w:firstLineChars="200" w:firstLine="482"/>
        <w:rPr>
          <w:rFonts w:ascii="Times New Roman" w:eastAsia="宋体" w:hAnsi="Times New Roman" w:cs="Times New Roman"/>
          <w:sz w:val="24"/>
          <w:szCs w:val="24"/>
        </w:rPr>
      </w:pPr>
      <w:r w:rsidRPr="00367215">
        <w:rPr>
          <w:rFonts w:ascii="Times New Roman" w:eastAsia="宋体" w:hAnsi="Times New Roman" w:cs="Times New Roman"/>
          <w:b/>
          <w:sz w:val="24"/>
          <w:szCs w:val="24"/>
        </w:rPr>
        <w:t>课程目标</w:t>
      </w:r>
      <w:r w:rsidRPr="00367215">
        <w:rPr>
          <w:rFonts w:ascii="Times New Roman" w:eastAsia="宋体" w:hAnsi="Times New Roman" w:cs="Times New Roman"/>
          <w:b/>
          <w:sz w:val="24"/>
          <w:szCs w:val="24"/>
        </w:rPr>
        <w:t>1</w:t>
      </w:r>
      <w:r w:rsidRPr="00367215">
        <w:rPr>
          <w:rFonts w:ascii="Times New Roman" w:eastAsia="宋体" w:hAnsi="Times New Roman" w:cs="Times New Roman"/>
          <w:b/>
          <w:sz w:val="24"/>
          <w:szCs w:val="24"/>
        </w:rPr>
        <w:t>：</w:t>
      </w:r>
      <w:r w:rsidRPr="00367215">
        <w:rPr>
          <w:rFonts w:ascii="Times New Roman" w:eastAsia="宋体" w:hAnsi="Times New Roman" w:cs="Times New Roman"/>
          <w:color w:val="000000"/>
          <w:sz w:val="24"/>
          <w:szCs w:val="24"/>
        </w:rPr>
        <w:t xml:space="preserve"> </w:t>
      </w:r>
      <w:r w:rsidRPr="00367215">
        <w:rPr>
          <w:rFonts w:ascii="Times New Roman" w:eastAsia="宋体" w:hAnsi="Times New Roman" w:cs="Times New Roman" w:hint="eastAsia"/>
          <w:bCs/>
          <w:sz w:val="24"/>
          <w:szCs w:val="24"/>
        </w:rPr>
        <w:t>以不同细胞形态微生物为主线，</w:t>
      </w:r>
      <w:r w:rsidRPr="00367215">
        <w:rPr>
          <w:rFonts w:ascii="Times New Roman" w:eastAsia="宋体" w:hAnsi="Times New Roman" w:cs="Times New Roman"/>
          <w:bCs/>
          <w:sz w:val="24"/>
          <w:szCs w:val="24"/>
        </w:rPr>
        <w:t>掌握</w:t>
      </w:r>
      <w:r w:rsidRPr="00367215">
        <w:rPr>
          <w:rFonts w:ascii="Times New Roman" w:eastAsia="宋体" w:hAnsi="Times New Roman" w:cs="Times New Roman" w:hint="eastAsia"/>
          <w:bCs/>
          <w:sz w:val="24"/>
          <w:szCs w:val="24"/>
        </w:rPr>
        <w:t>各种</w:t>
      </w:r>
      <w:r w:rsidRPr="00367215">
        <w:rPr>
          <w:rFonts w:ascii="Times New Roman" w:eastAsia="宋体" w:hAnsi="Times New Roman" w:cs="Times New Roman"/>
          <w:bCs/>
          <w:sz w:val="24"/>
          <w:szCs w:val="24"/>
        </w:rPr>
        <w:t>微生物的基本知识，包括微生物的形态、结构</w:t>
      </w:r>
      <w:r w:rsidRPr="00367215">
        <w:rPr>
          <w:rFonts w:ascii="Times New Roman" w:eastAsia="宋体" w:hAnsi="Times New Roman" w:cs="Times New Roman" w:hint="eastAsia"/>
          <w:bCs/>
          <w:sz w:val="24"/>
          <w:szCs w:val="24"/>
        </w:rPr>
        <w:t>和</w:t>
      </w:r>
      <w:r w:rsidRPr="00367215">
        <w:rPr>
          <w:rFonts w:ascii="Times New Roman" w:eastAsia="宋体" w:hAnsi="Times New Roman" w:cs="Times New Roman"/>
          <w:bCs/>
          <w:sz w:val="24"/>
          <w:szCs w:val="24"/>
        </w:rPr>
        <w:t>营养需求。培养学生</w:t>
      </w:r>
      <w:r w:rsidRPr="00367215">
        <w:rPr>
          <w:rFonts w:ascii="Times New Roman" w:eastAsia="宋体" w:hAnsi="Times New Roman" w:cs="Times New Roman" w:hint="eastAsia"/>
          <w:bCs/>
          <w:sz w:val="24"/>
          <w:szCs w:val="24"/>
        </w:rPr>
        <w:t>扎实的微生物形态结构方面的知识基础，</w:t>
      </w:r>
      <w:r w:rsidRPr="00367215">
        <w:rPr>
          <w:rFonts w:ascii="Times New Roman" w:eastAsia="宋体" w:hAnsi="Times New Roman" w:cs="Times New Roman"/>
          <w:bCs/>
          <w:sz w:val="24"/>
          <w:szCs w:val="24"/>
        </w:rPr>
        <w:t>应用</w:t>
      </w:r>
      <w:r w:rsidRPr="00367215">
        <w:rPr>
          <w:rFonts w:ascii="Times New Roman" w:eastAsia="宋体" w:hAnsi="Times New Roman" w:cs="Times New Roman" w:hint="eastAsia"/>
          <w:bCs/>
          <w:sz w:val="24"/>
          <w:szCs w:val="24"/>
        </w:rPr>
        <w:t>相关知识分析、推演并解决微生物培养、鉴别、优化微生物营养需求条件</w:t>
      </w:r>
      <w:r w:rsidRPr="00367215">
        <w:rPr>
          <w:rFonts w:ascii="Times New Roman" w:eastAsia="宋体" w:hAnsi="Times New Roman" w:cs="Times New Roman"/>
          <w:bCs/>
          <w:sz w:val="24"/>
          <w:szCs w:val="24"/>
        </w:rPr>
        <w:t>等</w:t>
      </w:r>
      <w:r w:rsidRPr="00367215">
        <w:rPr>
          <w:rFonts w:ascii="Times New Roman" w:eastAsia="宋体" w:hAnsi="Times New Roman" w:cs="Times New Roman" w:hint="eastAsia"/>
          <w:bCs/>
          <w:sz w:val="24"/>
          <w:szCs w:val="24"/>
        </w:rPr>
        <w:t>药物分析</w:t>
      </w:r>
      <w:r w:rsidRPr="00367215">
        <w:rPr>
          <w:rFonts w:ascii="Times New Roman" w:eastAsia="宋体" w:hAnsi="Times New Roman" w:cs="Times New Roman"/>
          <w:bCs/>
          <w:sz w:val="24"/>
          <w:szCs w:val="24"/>
        </w:rPr>
        <w:t>领域复杂工程问题的能力</w:t>
      </w:r>
      <w:r w:rsidRPr="00367215">
        <w:rPr>
          <w:rFonts w:ascii="Times New Roman" w:eastAsia="宋体" w:hAnsi="Times New Roman" w:cs="Times New Roman" w:hint="eastAsia"/>
          <w:bCs/>
          <w:sz w:val="24"/>
          <w:szCs w:val="24"/>
        </w:rPr>
        <w:t>。</w:t>
      </w:r>
      <w:r w:rsidRPr="00367215">
        <w:rPr>
          <w:rFonts w:ascii="Times New Roman" w:eastAsia="宋体" w:hAnsi="Times New Roman" w:cs="Times New Roman"/>
          <w:b/>
          <w:bCs/>
          <w:sz w:val="24"/>
          <w:szCs w:val="24"/>
        </w:rPr>
        <w:t>【毕业要求</w:t>
      </w:r>
      <w:r w:rsidRPr="00367215">
        <w:rPr>
          <w:rFonts w:ascii="Times New Roman" w:eastAsia="宋体" w:hAnsi="Times New Roman" w:cs="Times New Roman"/>
          <w:b/>
          <w:bCs/>
          <w:sz w:val="24"/>
          <w:szCs w:val="24"/>
        </w:rPr>
        <w:t xml:space="preserve">1 </w:t>
      </w:r>
      <w:r w:rsidRPr="00367215">
        <w:rPr>
          <w:rFonts w:ascii="Times New Roman" w:eastAsia="宋体" w:hAnsi="Times New Roman" w:cs="Times New Roman" w:hint="eastAsia"/>
          <w:b/>
          <w:bCs/>
          <w:sz w:val="24"/>
          <w:szCs w:val="24"/>
        </w:rPr>
        <w:t>药学</w:t>
      </w:r>
      <w:r w:rsidRPr="00367215">
        <w:rPr>
          <w:rFonts w:ascii="Times New Roman" w:eastAsia="宋体" w:hAnsi="Times New Roman" w:cs="Times New Roman"/>
          <w:b/>
          <w:bCs/>
          <w:sz w:val="24"/>
          <w:szCs w:val="24"/>
        </w:rPr>
        <w:t>知识】</w:t>
      </w:r>
    </w:p>
    <w:p w14:paraId="3047475A" w14:textId="77777777" w:rsidR="00367215" w:rsidRPr="00367215" w:rsidRDefault="00367215" w:rsidP="00367215">
      <w:pPr>
        <w:spacing w:line="360" w:lineRule="auto"/>
        <w:ind w:firstLineChars="200" w:firstLine="482"/>
        <w:rPr>
          <w:rFonts w:ascii="Times New Roman" w:eastAsia="宋体" w:hAnsi="Times New Roman" w:cs="Times New Roman"/>
          <w:bCs/>
          <w:sz w:val="24"/>
          <w:szCs w:val="21"/>
        </w:rPr>
      </w:pPr>
      <w:r w:rsidRPr="00367215">
        <w:rPr>
          <w:rFonts w:ascii="Times New Roman" w:eastAsia="宋体" w:hAnsi="Times New Roman" w:cs="Times New Roman"/>
          <w:b/>
          <w:sz w:val="24"/>
          <w:szCs w:val="24"/>
        </w:rPr>
        <w:t>课程目标</w:t>
      </w:r>
      <w:r w:rsidRPr="00367215">
        <w:rPr>
          <w:rFonts w:ascii="Times New Roman" w:eastAsia="宋体" w:hAnsi="Times New Roman" w:cs="Times New Roman"/>
          <w:b/>
          <w:sz w:val="24"/>
          <w:szCs w:val="24"/>
        </w:rPr>
        <w:t>2</w:t>
      </w:r>
      <w:r w:rsidRPr="00367215">
        <w:rPr>
          <w:rFonts w:ascii="Times New Roman" w:eastAsia="宋体" w:hAnsi="Times New Roman" w:cs="Times New Roman"/>
          <w:b/>
          <w:sz w:val="24"/>
          <w:szCs w:val="24"/>
        </w:rPr>
        <w:t>：</w:t>
      </w:r>
      <w:r w:rsidRPr="00367215">
        <w:rPr>
          <w:rFonts w:ascii="Times New Roman" w:eastAsia="宋体" w:hAnsi="Times New Roman" w:cs="Times New Roman"/>
          <w:bCs/>
          <w:sz w:val="24"/>
          <w:szCs w:val="24"/>
        </w:rPr>
        <w:t>掌握</w:t>
      </w:r>
      <w:r w:rsidRPr="00367215">
        <w:rPr>
          <w:rFonts w:ascii="Times New Roman" w:eastAsia="宋体" w:hAnsi="Times New Roman" w:cs="Times New Roman" w:hint="eastAsia"/>
          <w:bCs/>
          <w:sz w:val="24"/>
          <w:szCs w:val="24"/>
        </w:rPr>
        <w:t>微生物</w:t>
      </w:r>
      <w:r w:rsidRPr="00367215">
        <w:rPr>
          <w:rFonts w:ascii="Times New Roman" w:eastAsia="宋体" w:hAnsi="Times New Roman" w:cs="Times New Roman"/>
          <w:bCs/>
          <w:sz w:val="24"/>
          <w:szCs w:val="24"/>
        </w:rPr>
        <w:t>生长规律</w:t>
      </w:r>
      <w:r w:rsidRPr="00367215">
        <w:rPr>
          <w:rFonts w:ascii="Times New Roman" w:eastAsia="宋体" w:hAnsi="Times New Roman" w:cs="Times New Roman" w:hint="eastAsia"/>
          <w:bCs/>
          <w:sz w:val="24"/>
          <w:szCs w:val="24"/>
        </w:rPr>
        <w:t>、</w:t>
      </w:r>
      <w:r w:rsidRPr="00367215">
        <w:rPr>
          <w:rFonts w:ascii="Times New Roman" w:eastAsia="宋体" w:hAnsi="Times New Roman" w:cs="Times New Roman"/>
          <w:bCs/>
          <w:sz w:val="24"/>
          <w:szCs w:val="24"/>
        </w:rPr>
        <w:t>环境因素对微生物的影响、微生物的菌种选育、菌种保藏以及新陈代谢和遗传变异等基础知识</w:t>
      </w:r>
      <w:r w:rsidRPr="00367215">
        <w:rPr>
          <w:rFonts w:ascii="Times New Roman" w:eastAsia="宋体" w:hAnsi="Times New Roman" w:cs="Times New Roman" w:hint="eastAsia"/>
          <w:bCs/>
          <w:sz w:val="24"/>
          <w:szCs w:val="24"/>
        </w:rPr>
        <w:t>，了解微生物学的学科前沿和发展动态。</w:t>
      </w:r>
      <w:bookmarkStart w:id="213" w:name="_Hlk148704653"/>
      <w:r w:rsidRPr="00367215">
        <w:rPr>
          <w:rFonts w:ascii="Times New Roman" w:eastAsia="宋体" w:hAnsi="Times New Roman" w:cs="Times New Roman"/>
          <w:bCs/>
          <w:sz w:val="24"/>
          <w:szCs w:val="24"/>
        </w:rPr>
        <w:t>通过学习，</w:t>
      </w:r>
      <w:r w:rsidRPr="00367215">
        <w:rPr>
          <w:rFonts w:ascii="Times New Roman" w:eastAsia="宋体" w:hAnsi="Times New Roman" w:cs="Times New Roman" w:hint="eastAsia"/>
          <w:bCs/>
          <w:sz w:val="24"/>
          <w:szCs w:val="24"/>
        </w:rPr>
        <w:t>能够</w:t>
      </w:r>
      <w:r w:rsidRPr="00367215">
        <w:rPr>
          <w:rFonts w:ascii="Times New Roman" w:eastAsia="宋体" w:hAnsi="Times New Roman" w:cs="Times New Roman"/>
          <w:bCs/>
          <w:sz w:val="24"/>
          <w:szCs w:val="24"/>
        </w:rPr>
        <w:t>应用这些</w:t>
      </w:r>
      <w:r w:rsidRPr="00367215">
        <w:rPr>
          <w:rFonts w:ascii="Times New Roman" w:eastAsia="宋体" w:hAnsi="Times New Roman" w:cs="Times New Roman" w:hint="eastAsia"/>
          <w:bCs/>
          <w:sz w:val="24"/>
          <w:szCs w:val="24"/>
        </w:rPr>
        <w:t>知识，并通过查阅文献正确地分析微生物生长条件优化、优良菌种选育、生物转化以及合成生物技术等</w:t>
      </w:r>
      <w:r w:rsidRPr="00367215">
        <w:rPr>
          <w:rFonts w:ascii="Times New Roman" w:eastAsia="宋体" w:hAnsi="Times New Roman" w:cs="Times New Roman" w:hint="eastAsia"/>
          <w:sz w:val="24"/>
          <w:szCs w:val="21"/>
        </w:rPr>
        <w:t>药物分析</w:t>
      </w:r>
      <w:r w:rsidRPr="00367215">
        <w:rPr>
          <w:rFonts w:ascii="Times New Roman" w:eastAsia="宋体" w:hAnsi="Times New Roman" w:cs="Times New Roman"/>
          <w:sz w:val="24"/>
          <w:szCs w:val="21"/>
        </w:rPr>
        <w:t>领域复杂工程问题</w:t>
      </w:r>
      <w:r w:rsidRPr="00367215">
        <w:rPr>
          <w:rFonts w:ascii="Times New Roman" w:eastAsia="宋体" w:hAnsi="Times New Roman" w:cs="Times New Roman"/>
          <w:bCs/>
          <w:sz w:val="24"/>
          <w:szCs w:val="24"/>
        </w:rPr>
        <w:t>。</w:t>
      </w:r>
      <w:bookmarkEnd w:id="213"/>
      <w:r w:rsidRPr="00367215">
        <w:rPr>
          <w:rFonts w:ascii="Times New Roman" w:eastAsia="宋体" w:hAnsi="Times New Roman" w:cs="Times New Roman"/>
          <w:b/>
          <w:sz w:val="24"/>
          <w:szCs w:val="21"/>
        </w:rPr>
        <w:t>【毕业要求</w:t>
      </w:r>
      <w:r w:rsidRPr="00367215">
        <w:rPr>
          <w:rFonts w:ascii="Times New Roman" w:eastAsia="宋体" w:hAnsi="Times New Roman" w:cs="Times New Roman"/>
          <w:b/>
          <w:sz w:val="24"/>
          <w:szCs w:val="21"/>
        </w:rPr>
        <w:t xml:space="preserve">2.1 </w:t>
      </w:r>
      <w:r w:rsidRPr="00367215">
        <w:rPr>
          <w:rFonts w:ascii="Times New Roman" w:eastAsia="宋体" w:hAnsi="Times New Roman" w:cs="Times New Roman"/>
          <w:b/>
          <w:sz w:val="24"/>
          <w:szCs w:val="21"/>
        </w:rPr>
        <w:t>问题分析】</w:t>
      </w:r>
    </w:p>
    <w:p w14:paraId="398905A9" w14:textId="77777777" w:rsidR="00367215" w:rsidRPr="00367215" w:rsidRDefault="00367215" w:rsidP="00367215">
      <w:pPr>
        <w:spacing w:beforeLines="50" w:before="156" w:afterLines="50" w:after="156" w:line="440" w:lineRule="exact"/>
        <w:ind w:firstLineChars="200" w:firstLine="560"/>
        <w:rPr>
          <w:rFonts w:ascii="Times New Roman" w:eastAsia="黑体" w:hAnsi="Times New Roman" w:cs="Times New Roman"/>
          <w:sz w:val="28"/>
          <w:szCs w:val="28"/>
        </w:rPr>
      </w:pPr>
      <w:r w:rsidRPr="00367215">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7"/>
        <w:gridCol w:w="1985"/>
        <w:gridCol w:w="5717"/>
      </w:tblGrid>
      <w:tr w:rsidR="00367215" w:rsidRPr="00367215" w14:paraId="71ADD947" w14:textId="77777777" w:rsidTr="00367215">
        <w:trPr>
          <w:trHeight w:val="815"/>
          <w:jc w:val="center"/>
        </w:trPr>
        <w:tc>
          <w:tcPr>
            <w:tcW w:w="1467" w:type="dxa"/>
            <w:vAlign w:val="center"/>
          </w:tcPr>
          <w:p w14:paraId="58AB068D" w14:textId="77777777" w:rsidR="00367215" w:rsidRPr="00367215" w:rsidRDefault="00367215" w:rsidP="00367215">
            <w:pPr>
              <w:spacing w:line="440" w:lineRule="exact"/>
              <w:jc w:val="center"/>
              <w:rPr>
                <w:rFonts w:ascii="Times New Roman" w:eastAsia="宋体" w:hAnsi="Times New Roman" w:cs="Times New Roman"/>
                <w:b/>
                <w:sz w:val="24"/>
                <w:szCs w:val="21"/>
              </w:rPr>
            </w:pPr>
            <w:r w:rsidRPr="00367215">
              <w:rPr>
                <w:rFonts w:ascii="Times New Roman" w:eastAsia="宋体" w:hAnsi="Times New Roman" w:cs="Times New Roman"/>
                <w:b/>
                <w:sz w:val="24"/>
              </w:rPr>
              <w:lastRenderedPageBreak/>
              <w:t>课程目标</w:t>
            </w:r>
          </w:p>
        </w:tc>
        <w:tc>
          <w:tcPr>
            <w:tcW w:w="1985" w:type="dxa"/>
            <w:vAlign w:val="center"/>
          </w:tcPr>
          <w:p w14:paraId="3427271D" w14:textId="77777777" w:rsidR="00367215" w:rsidRPr="00367215" w:rsidRDefault="00367215" w:rsidP="00367215">
            <w:pPr>
              <w:spacing w:line="440" w:lineRule="exact"/>
              <w:jc w:val="center"/>
              <w:rPr>
                <w:rFonts w:ascii="Times New Roman" w:eastAsia="宋体" w:hAnsi="Times New Roman" w:cs="Times New Roman"/>
                <w:b/>
                <w:sz w:val="24"/>
                <w:szCs w:val="21"/>
              </w:rPr>
            </w:pPr>
            <w:r w:rsidRPr="00367215">
              <w:rPr>
                <w:rFonts w:ascii="Times New Roman" w:eastAsia="宋体" w:hAnsi="Times New Roman" w:cs="Times New Roman"/>
                <w:b/>
                <w:sz w:val="24"/>
              </w:rPr>
              <w:t>支撑的毕业要求</w:t>
            </w:r>
          </w:p>
        </w:tc>
        <w:tc>
          <w:tcPr>
            <w:tcW w:w="5717" w:type="dxa"/>
            <w:vAlign w:val="center"/>
          </w:tcPr>
          <w:p w14:paraId="5D145FD8" w14:textId="77777777" w:rsidR="00367215" w:rsidRPr="00367215" w:rsidRDefault="00367215" w:rsidP="00367215">
            <w:pPr>
              <w:spacing w:line="440" w:lineRule="exact"/>
              <w:jc w:val="center"/>
              <w:rPr>
                <w:rFonts w:ascii="Times New Roman" w:eastAsia="宋体" w:hAnsi="Times New Roman" w:cs="Times New Roman"/>
                <w:b/>
                <w:sz w:val="24"/>
                <w:szCs w:val="21"/>
              </w:rPr>
            </w:pPr>
            <w:r w:rsidRPr="00367215">
              <w:rPr>
                <w:rFonts w:ascii="Times New Roman" w:eastAsia="宋体" w:hAnsi="Times New Roman" w:cs="Times New Roman"/>
                <w:b/>
                <w:sz w:val="24"/>
              </w:rPr>
              <w:t>支撑的毕业要求指标点</w:t>
            </w:r>
          </w:p>
        </w:tc>
      </w:tr>
      <w:tr w:rsidR="00367215" w:rsidRPr="00367215" w14:paraId="06C45ABA" w14:textId="77777777" w:rsidTr="00367215">
        <w:trPr>
          <w:jc w:val="center"/>
        </w:trPr>
        <w:tc>
          <w:tcPr>
            <w:tcW w:w="1467" w:type="dxa"/>
            <w:vAlign w:val="center"/>
          </w:tcPr>
          <w:p w14:paraId="357563A4" w14:textId="77777777" w:rsidR="00367215" w:rsidRPr="00367215" w:rsidRDefault="00367215" w:rsidP="00367215">
            <w:pPr>
              <w:spacing w:line="440" w:lineRule="exact"/>
              <w:jc w:val="left"/>
              <w:rPr>
                <w:rFonts w:ascii="Times New Roman" w:eastAsia="宋体" w:hAnsi="Times New Roman" w:cs="Times New Roman"/>
                <w:color w:val="000000"/>
                <w:sz w:val="24"/>
                <w:szCs w:val="21"/>
              </w:rPr>
            </w:pPr>
            <w:r w:rsidRPr="00367215">
              <w:rPr>
                <w:rFonts w:ascii="Times New Roman" w:eastAsia="宋体" w:hAnsi="Times New Roman" w:cs="Times New Roman" w:hint="eastAsia"/>
                <w:sz w:val="24"/>
                <w:szCs w:val="21"/>
              </w:rPr>
              <w:t>课程目标</w:t>
            </w:r>
            <w:r w:rsidRPr="00367215">
              <w:rPr>
                <w:rFonts w:ascii="Times New Roman" w:eastAsia="宋体" w:hAnsi="Times New Roman" w:cs="Times New Roman"/>
                <w:sz w:val="24"/>
                <w:szCs w:val="21"/>
              </w:rPr>
              <w:t>1</w:t>
            </w:r>
          </w:p>
        </w:tc>
        <w:tc>
          <w:tcPr>
            <w:tcW w:w="1985" w:type="dxa"/>
            <w:vAlign w:val="center"/>
          </w:tcPr>
          <w:p w14:paraId="737C6550" w14:textId="77777777" w:rsidR="00367215" w:rsidRPr="00367215" w:rsidRDefault="00367215" w:rsidP="00367215">
            <w:pPr>
              <w:spacing w:line="440" w:lineRule="exact"/>
              <w:jc w:val="left"/>
              <w:rPr>
                <w:rFonts w:ascii="Times New Roman" w:eastAsia="宋体" w:hAnsi="Times New Roman" w:cs="Times New Roman"/>
                <w:color w:val="000000"/>
                <w:sz w:val="24"/>
              </w:rPr>
            </w:pPr>
            <w:r w:rsidRPr="00367215">
              <w:rPr>
                <w:rFonts w:ascii="Times New Roman" w:eastAsia="宋体" w:hAnsi="Times New Roman" w:cs="Times New Roman"/>
                <w:sz w:val="24"/>
                <w:szCs w:val="21"/>
              </w:rPr>
              <w:t>1.</w:t>
            </w:r>
            <w:r w:rsidRPr="00367215">
              <w:rPr>
                <w:rFonts w:ascii="Times New Roman" w:eastAsia="宋体" w:hAnsi="Times New Roman" w:cs="Times New Roman" w:hint="eastAsia"/>
                <w:sz w:val="24"/>
                <w:szCs w:val="21"/>
              </w:rPr>
              <w:t>药学知识</w:t>
            </w:r>
            <w:r w:rsidRPr="00367215">
              <w:rPr>
                <w:rFonts w:ascii="Times New Roman" w:eastAsia="宋体" w:hAnsi="Times New Roman" w:cs="Times New Roman"/>
                <w:sz w:val="24"/>
                <w:szCs w:val="21"/>
              </w:rPr>
              <w:t xml:space="preserve"> (</w:t>
            </w:r>
            <w:r w:rsidRPr="00367215">
              <w:rPr>
                <w:rFonts w:ascii="Times New Roman" w:eastAsia="宋体" w:hAnsi="Times New Roman" w:cs="Times New Roman" w:hint="eastAsia"/>
                <w:sz w:val="24"/>
                <w:szCs w:val="21"/>
              </w:rPr>
              <w:t>M</w:t>
            </w:r>
            <w:r w:rsidRPr="00367215">
              <w:rPr>
                <w:rFonts w:ascii="Times New Roman" w:eastAsia="宋体" w:hAnsi="Times New Roman" w:cs="Times New Roman"/>
                <w:sz w:val="24"/>
                <w:szCs w:val="21"/>
              </w:rPr>
              <w:t>)</w:t>
            </w:r>
          </w:p>
        </w:tc>
        <w:tc>
          <w:tcPr>
            <w:tcW w:w="5717" w:type="dxa"/>
            <w:vAlign w:val="center"/>
          </w:tcPr>
          <w:p w14:paraId="0647ACFF" w14:textId="77777777" w:rsidR="00367215" w:rsidRPr="00367215" w:rsidRDefault="00367215" w:rsidP="00367215">
            <w:pPr>
              <w:spacing w:line="400" w:lineRule="exact"/>
              <w:jc w:val="left"/>
              <w:rPr>
                <w:rFonts w:ascii="Times New Roman" w:eastAsia="宋体" w:hAnsi="Times New Roman" w:cs="Times New Roman"/>
                <w:color w:val="000000"/>
                <w:sz w:val="24"/>
              </w:rPr>
            </w:pPr>
            <w:r w:rsidRPr="00367215">
              <w:rPr>
                <w:rFonts w:ascii="Times New Roman" w:eastAsia="宋体" w:hAnsi="Times New Roman" w:cs="Times New Roman" w:hint="eastAsia"/>
                <w:sz w:val="24"/>
                <w:szCs w:val="21"/>
              </w:rPr>
              <w:t xml:space="preserve">1.2 </w:t>
            </w:r>
            <w:r w:rsidRPr="00367215">
              <w:rPr>
                <w:rFonts w:ascii="Times New Roman" w:eastAsia="宋体" w:hAnsi="Times New Roman" w:cs="Times New Roman" w:hint="eastAsia"/>
                <w:sz w:val="24"/>
                <w:szCs w:val="21"/>
              </w:rPr>
              <w:t>掌握人体解剖生理学、生物化学等现代医学基本知识。</w:t>
            </w:r>
          </w:p>
        </w:tc>
      </w:tr>
      <w:tr w:rsidR="00367215" w:rsidRPr="00367215" w14:paraId="46617749" w14:textId="77777777" w:rsidTr="00367215">
        <w:trPr>
          <w:jc w:val="center"/>
        </w:trPr>
        <w:tc>
          <w:tcPr>
            <w:tcW w:w="1467" w:type="dxa"/>
            <w:vAlign w:val="center"/>
          </w:tcPr>
          <w:p w14:paraId="35D94BDE" w14:textId="77777777" w:rsidR="00367215" w:rsidRPr="00367215" w:rsidRDefault="00367215" w:rsidP="00367215">
            <w:pPr>
              <w:spacing w:line="440" w:lineRule="exact"/>
              <w:jc w:val="left"/>
              <w:rPr>
                <w:rFonts w:ascii="Times New Roman" w:eastAsia="宋体" w:hAnsi="Times New Roman" w:cs="Times New Roman"/>
                <w:color w:val="000000"/>
                <w:sz w:val="24"/>
                <w:szCs w:val="21"/>
              </w:rPr>
            </w:pPr>
            <w:r w:rsidRPr="00367215">
              <w:rPr>
                <w:rFonts w:ascii="Times New Roman" w:eastAsia="宋体" w:hAnsi="Times New Roman" w:cs="Times New Roman" w:hint="eastAsia"/>
                <w:sz w:val="24"/>
                <w:szCs w:val="21"/>
              </w:rPr>
              <w:t>课程目标</w:t>
            </w:r>
            <w:r w:rsidRPr="00367215">
              <w:rPr>
                <w:rFonts w:ascii="Times New Roman" w:eastAsia="宋体" w:hAnsi="Times New Roman" w:cs="Times New Roman"/>
                <w:sz w:val="24"/>
                <w:szCs w:val="21"/>
              </w:rPr>
              <w:t>2</w:t>
            </w:r>
          </w:p>
        </w:tc>
        <w:tc>
          <w:tcPr>
            <w:tcW w:w="1985" w:type="dxa"/>
            <w:vAlign w:val="center"/>
          </w:tcPr>
          <w:p w14:paraId="6C404343" w14:textId="77777777" w:rsidR="00367215" w:rsidRPr="00367215" w:rsidRDefault="00367215" w:rsidP="00367215">
            <w:pPr>
              <w:spacing w:line="440" w:lineRule="exact"/>
              <w:jc w:val="left"/>
              <w:rPr>
                <w:rFonts w:ascii="Times New Roman" w:eastAsia="宋体" w:hAnsi="Times New Roman" w:cs="Times New Roman"/>
                <w:color w:val="000000"/>
                <w:sz w:val="24"/>
              </w:rPr>
            </w:pPr>
            <w:r w:rsidRPr="00367215">
              <w:rPr>
                <w:rFonts w:ascii="Times New Roman" w:eastAsia="宋体" w:hAnsi="Times New Roman" w:cs="Times New Roman"/>
                <w:sz w:val="24"/>
                <w:szCs w:val="21"/>
              </w:rPr>
              <w:t>2.</w:t>
            </w:r>
            <w:r w:rsidRPr="00367215">
              <w:rPr>
                <w:rFonts w:ascii="Times New Roman" w:eastAsia="宋体" w:hAnsi="Times New Roman" w:cs="Times New Roman"/>
                <w:sz w:val="24"/>
                <w:szCs w:val="21"/>
              </w:rPr>
              <w:t>问题分析（</w:t>
            </w:r>
            <w:r w:rsidRPr="00367215">
              <w:rPr>
                <w:rFonts w:ascii="Times New Roman" w:eastAsia="宋体" w:hAnsi="Times New Roman" w:cs="Times New Roman" w:hint="eastAsia"/>
                <w:sz w:val="24"/>
                <w:szCs w:val="21"/>
              </w:rPr>
              <w:t>L</w:t>
            </w:r>
            <w:r w:rsidRPr="00367215">
              <w:rPr>
                <w:rFonts w:ascii="Times New Roman" w:eastAsia="宋体" w:hAnsi="Times New Roman" w:cs="Times New Roman"/>
                <w:sz w:val="24"/>
                <w:szCs w:val="21"/>
              </w:rPr>
              <w:t>）</w:t>
            </w:r>
          </w:p>
        </w:tc>
        <w:tc>
          <w:tcPr>
            <w:tcW w:w="5717" w:type="dxa"/>
            <w:vAlign w:val="center"/>
          </w:tcPr>
          <w:p w14:paraId="78614358" w14:textId="77777777" w:rsidR="00367215" w:rsidRPr="00367215" w:rsidRDefault="00367215" w:rsidP="00367215">
            <w:pPr>
              <w:spacing w:line="440" w:lineRule="exact"/>
              <w:jc w:val="left"/>
              <w:rPr>
                <w:rFonts w:ascii="Times New Roman" w:eastAsia="宋体" w:hAnsi="Times New Roman" w:cs="Times New Roman"/>
                <w:color w:val="000000"/>
                <w:sz w:val="24"/>
              </w:rPr>
            </w:pPr>
            <w:r w:rsidRPr="00367215">
              <w:rPr>
                <w:rFonts w:ascii="Times New Roman" w:eastAsia="宋体" w:hAnsi="Times New Roman" w:cs="Times New Roman" w:hint="eastAsia"/>
                <w:sz w:val="24"/>
                <w:szCs w:val="21"/>
              </w:rPr>
              <w:t xml:space="preserve">2.1 </w:t>
            </w:r>
            <w:r w:rsidRPr="00367215">
              <w:rPr>
                <w:rFonts w:ascii="Times New Roman" w:eastAsia="宋体" w:hAnsi="Times New Roman" w:cs="Times New Roman" w:hint="eastAsia"/>
                <w:sz w:val="24"/>
                <w:szCs w:val="21"/>
              </w:rPr>
              <w:t>能够运用数学、化学、药学基本原理，识别、定义药物分析学的实践问题。</w:t>
            </w:r>
          </w:p>
        </w:tc>
      </w:tr>
    </w:tbl>
    <w:p w14:paraId="242A1026" w14:textId="77777777" w:rsidR="00367215" w:rsidRPr="00367215" w:rsidRDefault="00367215" w:rsidP="00367215">
      <w:pPr>
        <w:spacing w:beforeLines="50" w:before="156" w:afterLines="50" w:after="156" w:line="440" w:lineRule="exact"/>
        <w:ind w:firstLineChars="200" w:firstLine="560"/>
        <w:rPr>
          <w:rFonts w:ascii="Times New Roman" w:eastAsia="黑体" w:hAnsi="Times New Roman" w:cs="Times New Roman"/>
          <w:sz w:val="28"/>
          <w:szCs w:val="28"/>
        </w:rPr>
      </w:pPr>
      <w:r w:rsidRPr="00367215">
        <w:rPr>
          <w:rFonts w:ascii="Times New Roman" w:eastAsia="黑体" w:hAnsi="Times New Roman" w:cs="Times New Roman"/>
          <w:sz w:val="28"/>
          <w:szCs w:val="28"/>
        </w:rPr>
        <w:t>三、课程学习内容及与课程学习目标的对应关系</w:t>
      </w:r>
    </w:p>
    <w:p w14:paraId="7CBA5978" w14:textId="77777777" w:rsidR="00367215" w:rsidRPr="00367215" w:rsidRDefault="00367215" w:rsidP="00367215">
      <w:pPr>
        <w:spacing w:beforeLines="50" w:before="156" w:afterLines="50" w:after="156" w:line="440" w:lineRule="exact"/>
        <w:ind w:firstLineChars="200" w:firstLine="560"/>
        <w:rPr>
          <w:rFonts w:ascii="Times New Roman" w:eastAsia="黑体" w:hAnsi="Times New Roman" w:cs="Times New Roman"/>
          <w:sz w:val="28"/>
          <w:szCs w:val="28"/>
        </w:rPr>
      </w:pPr>
      <w:r w:rsidRPr="00367215">
        <w:rPr>
          <w:rFonts w:ascii="Times New Roman" w:eastAsia="黑体" w:hAnsi="Times New Roman" w:cs="Times New Roman"/>
          <w:sz w:val="28"/>
          <w:szCs w:val="28"/>
        </w:rPr>
        <w:t>（一）课程学习内容</w:t>
      </w:r>
    </w:p>
    <w:p w14:paraId="14073E5E" w14:textId="77777777" w:rsidR="00367215" w:rsidRPr="00367215" w:rsidRDefault="00367215" w:rsidP="00367215">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367215">
        <w:rPr>
          <w:rFonts w:ascii="Times New Roman" w:eastAsia="黑体" w:hAnsi="Times New Roman" w:cs="Times New Roman"/>
          <w:sz w:val="28"/>
          <w:szCs w:val="28"/>
        </w:rPr>
        <w:t>第一章</w:t>
      </w:r>
      <w:r w:rsidRPr="00367215">
        <w:rPr>
          <w:rFonts w:ascii="Times New Roman" w:eastAsia="黑体" w:hAnsi="Times New Roman" w:cs="Times New Roman"/>
          <w:sz w:val="28"/>
          <w:szCs w:val="28"/>
        </w:rPr>
        <w:t xml:space="preserve">  </w:t>
      </w:r>
      <w:r w:rsidRPr="00367215">
        <w:rPr>
          <w:rFonts w:ascii="Times New Roman" w:eastAsia="黑体" w:hAnsi="Times New Roman" w:cs="Times New Roman"/>
          <w:sz w:val="28"/>
          <w:szCs w:val="28"/>
        </w:rPr>
        <w:t>绪论</w:t>
      </w:r>
      <w:r w:rsidRPr="00367215">
        <w:rPr>
          <w:rFonts w:ascii="Times New Roman" w:eastAsia="黑体" w:hAnsi="Times New Roman" w:cs="Times New Roman"/>
          <w:sz w:val="28"/>
          <w:szCs w:val="28"/>
        </w:rPr>
        <w:t xml:space="preserve">  </w:t>
      </w:r>
    </w:p>
    <w:p w14:paraId="74F053AB" w14:textId="77777777" w:rsidR="00367215" w:rsidRPr="00367215" w:rsidRDefault="00367215" w:rsidP="00367215">
      <w:pPr>
        <w:spacing w:line="440" w:lineRule="exact"/>
        <w:ind w:firstLineChars="200" w:firstLine="482"/>
        <w:rPr>
          <w:rFonts w:ascii="Times New Roman" w:eastAsia="宋体" w:hAnsi="Times New Roman" w:cs="Times New Roman"/>
          <w:b/>
          <w:sz w:val="24"/>
          <w:szCs w:val="21"/>
        </w:rPr>
      </w:pPr>
      <w:r w:rsidRPr="00367215">
        <w:rPr>
          <w:rFonts w:ascii="Times New Roman" w:eastAsia="宋体" w:hAnsi="Times New Roman" w:cs="Times New Roman"/>
          <w:b/>
          <w:sz w:val="24"/>
          <w:szCs w:val="21"/>
        </w:rPr>
        <w:t>【学习目标】</w:t>
      </w:r>
    </w:p>
    <w:p w14:paraId="42C6B7D0"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1. </w:t>
      </w:r>
      <w:r w:rsidRPr="00367215">
        <w:rPr>
          <w:rFonts w:ascii="Times New Roman" w:eastAsia="宋体" w:hAnsi="Times New Roman" w:cs="Times New Roman"/>
          <w:sz w:val="24"/>
          <w:szCs w:val="21"/>
        </w:rPr>
        <w:t>认知类目标：了解</w:t>
      </w:r>
      <w:r w:rsidRPr="00367215">
        <w:rPr>
          <w:rFonts w:ascii="Times New Roman" w:eastAsia="宋体" w:hAnsi="Times New Roman" w:cs="Times New Roman" w:hint="eastAsia"/>
          <w:sz w:val="24"/>
          <w:szCs w:val="21"/>
        </w:rPr>
        <w:t>微生物与免疫学</w:t>
      </w:r>
      <w:r w:rsidRPr="00367215">
        <w:rPr>
          <w:rFonts w:ascii="Times New Roman" w:eastAsia="宋体" w:hAnsi="Times New Roman" w:cs="Times New Roman"/>
          <w:sz w:val="24"/>
          <w:szCs w:val="21"/>
        </w:rPr>
        <w:t>课程的内容、性质和要求；</w:t>
      </w:r>
    </w:p>
    <w:p w14:paraId="5C868798"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2. </w:t>
      </w:r>
      <w:r w:rsidRPr="00367215">
        <w:rPr>
          <w:rFonts w:ascii="Times New Roman" w:eastAsia="宋体" w:hAnsi="Times New Roman" w:cs="Times New Roman"/>
          <w:sz w:val="24"/>
          <w:szCs w:val="21"/>
        </w:rPr>
        <w:t>过程与方法类目标：</w:t>
      </w:r>
      <w:r w:rsidRPr="00367215">
        <w:rPr>
          <w:rFonts w:ascii="Times New Roman" w:eastAsia="宋体" w:hAnsi="Times New Roman" w:cs="Times New Roman" w:hint="eastAsia"/>
          <w:sz w:val="24"/>
          <w:szCs w:val="21"/>
        </w:rPr>
        <w:t>通过本章的学习，要求学生掌握微生物的定义和微生物的五大共性，熟悉微生物学的研究任务和微生物学的分科，了解微生物学的发展史、巴斯德和科赫对微生物学发展的做出的重要贡献和微生物学的发展趋势</w:t>
      </w:r>
      <w:r w:rsidRPr="00367215">
        <w:rPr>
          <w:rFonts w:ascii="Times New Roman" w:eastAsia="宋体" w:hAnsi="Times New Roman" w:cs="Times New Roman"/>
          <w:sz w:val="24"/>
          <w:szCs w:val="21"/>
        </w:rPr>
        <w:t>；</w:t>
      </w:r>
    </w:p>
    <w:p w14:paraId="300CB4AD"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3. </w:t>
      </w:r>
      <w:r w:rsidRPr="00367215">
        <w:rPr>
          <w:rFonts w:ascii="Times New Roman" w:eastAsia="宋体" w:hAnsi="Times New Roman" w:cs="Times New Roman"/>
          <w:sz w:val="24"/>
          <w:szCs w:val="21"/>
        </w:rPr>
        <w:t>情感、态度、价值观类目标：理解</w:t>
      </w:r>
      <w:r w:rsidRPr="00367215">
        <w:rPr>
          <w:rFonts w:ascii="Times New Roman" w:eastAsia="宋体" w:hAnsi="Times New Roman" w:cs="Times New Roman" w:hint="eastAsia"/>
          <w:sz w:val="24"/>
          <w:szCs w:val="21"/>
        </w:rPr>
        <w:t>课程</w:t>
      </w:r>
      <w:r w:rsidRPr="00367215">
        <w:rPr>
          <w:rFonts w:ascii="Times New Roman" w:eastAsia="宋体" w:hAnsi="Times New Roman" w:cs="Times New Roman"/>
          <w:sz w:val="24"/>
          <w:szCs w:val="21"/>
        </w:rPr>
        <w:t>的任务与药物分析专业的岗位要求</w:t>
      </w:r>
      <w:r w:rsidRPr="00367215">
        <w:rPr>
          <w:rFonts w:ascii="Times New Roman" w:eastAsia="宋体" w:hAnsi="Times New Roman" w:cs="Times New Roman" w:hint="eastAsia"/>
          <w:sz w:val="24"/>
          <w:szCs w:val="21"/>
        </w:rPr>
        <w:t>、</w:t>
      </w:r>
      <w:r w:rsidRPr="00367215">
        <w:rPr>
          <w:rFonts w:ascii="Times New Roman" w:eastAsia="宋体" w:hAnsi="Times New Roman" w:cs="Times New Roman"/>
          <w:sz w:val="24"/>
          <w:szCs w:val="21"/>
        </w:rPr>
        <w:t>应该具备的专业知识和技能。</w:t>
      </w:r>
    </w:p>
    <w:p w14:paraId="727C1E3F" w14:textId="77777777" w:rsidR="00367215" w:rsidRPr="00367215" w:rsidRDefault="00367215" w:rsidP="00367215">
      <w:pPr>
        <w:autoSpaceDN w:val="0"/>
        <w:adjustRightInd w:val="0"/>
        <w:snapToGrid w:val="0"/>
        <w:spacing w:line="500" w:lineRule="exact"/>
        <w:ind w:firstLineChars="200" w:firstLine="482"/>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hint="eastAsia"/>
          <w:b/>
          <w:sz w:val="24"/>
        </w:rPr>
        <w:t>学习</w:t>
      </w:r>
      <w:r w:rsidRPr="00367215">
        <w:rPr>
          <w:rFonts w:ascii="Times New Roman" w:eastAsia="宋体" w:hAnsi="Times New Roman" w:cs="Times New Roman"/>
          <w:b/>
          <w:sz w:val="24"/>
        </w:rPr>
        <w:t>内容】</w:t>
      </w:r>
    </w:p>
    <w:p w14:paraId="1EA14914" w14:textId="77777777" w:rsidR="00367215" w:rsidRPr="00367215" w:rsidRDefault="00367215" w:rsidP="00367215">
      <w:pPr>
        <w:autoSpaceDN w:val="0"/>
        <w:adjustRightInd w:val="0"/>
        <w:snapToGrid w:val="0"/>
        <w:spacing w:line="500" w:lineRule="exact"/>
        <w:ind w:firstLineChars="200" w:firstLine="48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 xml:space="preserve">1. </w:t>
      </w:r>
      <w:r w:rsidRPr="00367215">
        <w:rPr>
          <w:rFonts w:ascii="Times New Roman" w:eastAsia="宋体" w:hAnsi="Times New Roman" w:cs="Times New Roman"/>
          <w:color w:val="000000"/>
          <w:sz w:val="24"/>
        </w:rPr>
        <w:t>微生物的定义、类群和分类地位</w:t>
      </w:r>
    </w:p>
    <w:p w14:paraId="2C7D5736" w14:textId="77777777" w:rsidR="00367215" w:rsidRPr="00367215" w:rsidRDefault="00367215" w:rsidP="00367215">
      <w:pPr>
        <w:autoSpaceDN w:val="0"/>
        <w:adjustRightInd w:val="0"/>
        <w:snapToGrid w:val="0"/>
        <w:spacing w:line="500" w:lineRule="exact"/>
        <w:ind w:firstLineChars="200" w:firstLine="48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 xml:space="preserve">2. </w:t>
      </w:r>
      <w:r w:rsidRPr="00367215">
        <w:rPr>
          <w:rFonts w:ascii="Times New Roman" w:eastAsia="宋体" w:hAnsi="Times New Roman" w:cs="Times New Roman"/>
          <w:color w:val="000000"/>
          <w:sz w:val="24"/>
        </w:rPr>
        <w:t>微生物学的发展史</w:t>
      </w:r>
    </w:p>
    <w:p w14:paraId="5F878F60" w14:textId="77777777" w:rsidR="00367215" w:rsidRPr="00367215" w:rsidRDefault="00367215" w:rsidP="00367215">
      <w:pPr>
        <w:autoSpaceDN w:val="0"/>
        <w:adjustRightInd w:val="0"/>
        <w:snapToGrid w:val="0"/>
        <w:spacing w:line="500" w:lineRule="exact"/>
        <w:ind w:firstLineChars="200" w:firstLine="48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 xml:space="preserve">3. </w:t>
      </w:r>
      <w:r w:rsidRPr="00367215">
        <w:rPr>
          <w:rFonts w:ascii="Times New Roman" w:eastAsia="宋体" w:hAnsi="Times New Roman" w:cs="Times New Roman"/>
          <w:color w:val="000000"/>
          <w:sz w:val="24"/>
        </w:rPr>
        <w:t>微生物的五大共性</w:t>
      </w:r>
    </w:p>
    <w:p w14:paraId="6E945121" w14:textId="77777777" w:rsidR="00367215" w:rsidRPr="00367215" w:rsidRDefault="00367215" w:rsidP="00367215">
      <w:pPr>
        <w:autoSpaceDN w:val="0"/>
        <w:adjustRightInd w:val="0"/>
        <w:snapToGrid w:val="0"/>
        <w:spacing w:line="500" w:lineRule="exact"/>
        <w:ind w:firstLineChars="200" w:firstLine="48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 xml:space="preserve">4. </w:t>
      </w:r>
      <w:r w:rsidRPr="00367215">
        <w:rPr>
          <w:rFonts w:ascii="Times New Roman" w:eastAsia="宋体" w:hAnsi="Times New Roman" w:cs="Times New Roman"/>
          <w:color w:val="000000"/>
          <w:sz w:val="24"/>
        </w:rPr>
        <w:t>微生物与人类的关系</w:t>
      </w:r>
    </w:p>
    <w:p w14:paraId="4AF95779"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b/>
          <w:color w:val="000000"/>
          <w:sz w:val="24"/>
        </w:rPr>
        <w:t>重点</w:t>
      </w:r>
      <w:r w:rsidRPr="00367215">
        <w:rPr>
          <w:rFonts w:ascii="Times New Roman" w:eastAsia="宋体" w:hAnsi="Times New Roman" w:cs="Times New Roman"/>
          <w:b/>
          <w:sz w:val="24"/>
        </w:rPr>
        <w:t>】</w:t>
      </w:r>
    </w:p>
    <w:p w14:paraId="5A9D99CB" w14:textId="77777777" w:rsidR="00367215" w:rsidRPr="00367215" w:rsidRDefault="00367215" w:rsidP="00367215">
      <w:pPr>
        <w:adjustRightInd w:val="0"/>
        <w:snapToGrid w:val="0"/>
        <w:spacing w:line="50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重点：微生物的定义、特点；微生物的五大共性；</w:t>
      </w:r>
    </w:p>
    <w:p w14:paraId="6B21DC9B"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b/>
          <w:color w:val="000000"/>
          <w:sz w:val="24"/>
        </w:rPr>
        <w:t>难点</w:t>
      </w:r>
      <w:r w:rsidRPr="00367215">
        <w:rPr>
          <w:rFonts w:ascii="Times New Roman" w:eastAsia="宋体" w:hAnsi="Times New Roman" w:cs="Times New Roman"/>
          <w:b/>
          <w:sz w:val="24"/>
        </w:rPr>
        <w:t>】</w:t>
      </w:r>
    </w:p>
    <w:p w14:paraId="0D191AAD" w14:textId="77777777" w:rsidR="00367215" w:rsidRPr="00367215" w:rsidRDefault="00367215" w:rsidP="00367215">
      <w:pPr>
        <w:adjustRightInd w:val="0"/>
        <w:snapToGrid w:val="0"/>
        <w:spacing w:line="50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微生物学的发展史，尤其是巴斯德和科赫对微生物学发展所做出的贡献；微生物学在工业发展中的趋势。</w:t>
      </w:r>
    </w:p>
    <w:p w14:paraId="172115C6"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bCs/>
          <w:sz w:val="24"/>
        </w:rPr>
      </w:pPr>
      <w:r w:rsidRPr="00367215">
        <w:rPr>
          <w:rFonts w:ascii="Times New Roman" w:eastAsia="宋体" w:hAnsi="Times New Roman" w:cs="Times New Roman"/>
          <w:b/>
          <w:bCs/>
          <w:sz w:val="24"/>
        </w:rPr>
        <w:t>【教学方法】</w:t>
      </w:r>
    </w:p>
    <w:p w14:paraId="6B4D05DF" w14:textId="77777777" w:rsidR="00367215" w:rsidRPr="00367215" w:rsidRDefault="00367215" w:rsidP="00367215">
      <w:pPr>
        <w:adjustRightInd w:val="0"/>
        <w:snapToGrid w:val="0"/>
        <w:spacing w:line="500" w:lineRule="exact"/>
        <w:ind w:firstLineChars="200" w:firstLine="48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通过多媒体课件和板书教学相结合的方式，让学生掌握微生物学的基本知识。</w:t>
      </w:r>
    </w:p>
    <w:p w14:paraId="04E73E04"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sz w:val="24"/>
        </w:rPr>
      </w:pPr>
      <w:r w:rsidRPr="00367215">
        <w:rPr>
          <w:rFonts w:ascii="Times New Roman" w:eastAsia="宋体" w:hAnsi="Times New Roman" w:cs="Times New Roman"/>
          <w:b/>
          <w:sz w:val="24"/>
        </w:rPr>
        <w:lastRenderedPageBreak/>
        <w:t>【复习思考】</w:t>
      </w:r>
    </w:p>
    <w:p w14:paraId="3642D8A0" w14:textId="77777777" w:rsidR="00367215" w:rsidRPr="00367215" w:rsidRDefault="00367215">
      <w:pPr>
        <w:numPr>
          <w:ilvl w:val="0"/>
          <w:numId w:val="118"/>
        </w:numPr>
        <w:adjustRightInd w:val="0"/>
        <w:snapToGrid w:val="0"/>
        <w:spacing w:line="50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微生物的五大共性，其中哪一个最基本？</w:t>
      </w:r>
    </w:p>
    <w:p w14:paraId="3D7D3C4E" w14:textId="77777777" w:rsidR="00367215" w:rsidRPr="00367215" w:rsidRDefault="00367215">
      <w:pPr>
        <w:numPr>
          <w:ilvl w:val="0"/>
          <w:numId w:val="118"/>
        </w:numPr>
        <w:adjustRightInd w:val="0"/>
        <w:snapToGrid w:val="0"/>
        <w:spacing w:line="50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微生物学研究的任务。</w:t>
      </w:r>
    </w:p>
    <w:p w14:paraId="087F4F6F" w14:textId="77777777" w:rsidR="00367215" w:rsidRPr="00367215" w:rsidRDefault="00367215" w:rsidP="00367215">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367215">
        <w:rPr>
          <w:rFonts w:ascii="Times New Roman" w:eastAsia="黑体" w:hAnsi="Times New Roman" w:cs="Times New Roman"/>
          <w:sz w:val="28"/>
          <w:szCs w:val="28"/>
        </w:rPr>
        <w:t>第二章</w:t>
      </w:r>
      <w:r w:rsidRPr="00367215">
        <w:rPr>
          <w:rFonts w:ascii="Times New Roman" w:eastAsia="黑体" w:hAnsi="Times New Roman" w:cs="Times New Roman" w:hint="eastAsia"/>
          <w:sz w:val="28"/>
          <w:szCs w:val="28"/>
        </w:rPr>
        <w:t xml:space="preserve"> </w:t>
      </w:r>
      <w:r w:rsidRPr="00367215">
        <w:rPr>
          <w:rFonts w:ascii="Times New Roman" w:eastAsia="黑体" w:hAnsi="Times New Roman" w:cs="Times New Roman"/>
          <w:sz w:val="28"/>
          <w:szCs w:val="28"/>
        </w:rPr>
        <w:t xml:space="preserve"> </w:t>
      </w:r>
      <w:r w:rsidRPr="00367215">
        <w:rPr>
          <w:rFonts w:ascii="Times New Roman" w:eastAsia="黑体" w:hAnsi="Times New Roman" w:cs="Times New Roman"/>
          <w:sz w:val="28"/>
          <w:szCs w:val="28"/>
        </w:rPr>
        <w:t>原核</w:t>
      </w:r>
      <w:r w:rsidRPr="00367215">
        <w:rPr>
          <w:rFonts w:ascii="Times New Roman" w:eastAsia="黑体" w:hAnsi="Times New Roman" w:cs="Times New Roman" w:hint="eastAsia"/>
          <w:sz w:val="28"/>
          <w:szCs w:val="28"/>
        </w:rPr>
        <w:t>微</w:t>
      </w:r>
      <w:r w:rsidRPr="00367215">
        <w:rPr>
          <w:rFonts w:ascii="Times New Roman" w:eastAsia="黑体" w:hAnsi="Times New Roman" w:cs="Times New Roman"/>
          <w:sz w:val="28"/>
          <w:szCs w:val="28"/>
        </w:rPr>
        <w:t>生物</w:t>
      </w:r>
    </w:p>
    <w:p w14:paraId="171719A9" w14:textId="77777777" w:rsidR="00367215" w:rsidRPr="00367215" w:rsidRDefault="00367215" w:rsidP="00367215">
      <w:pPr>
        <w:spacing w:line="440" w:lineRule="exact"/>
        <w:ind w:firstLineChars="200" w:firstLine="482"/>
        <w:rPr>
          <w:rFonts w:ascii="Times New Roman" w:eastAsia="宋体" w:hAnsi="Times New Roman" w:cs="Times New Roman"/>
          <w:b/>
          <w:sz w:val="24"/>
          <w:szCs w:val="21"/>
        </w:rPr>
      </w:pPr>
      <w:r w:rsidRPr="00367215">
        <w:rPr>
          <w:rFonts w:ascii="Times New Roman" w:eastAsia="宋体" w:hAnsi="Times New Roman" w:cs="Times New Roman"/>
          <w:b/>
          <w:sz w:val="24"/>
          <w:szCs w:val="21"/>
        </w:rPr>
        <w:t>【学习目标】</w:t>
      </w:r>
    </w:p>
    <w:p w14:paraId="6C40350B"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1. </w:t>
      </w:r>
      <w:r w:rsidRPr="00367215">
        <w:rPr>
          <w:rFonts w:ascii="Times New Roman" w:eastAsia="宋体" w:hAnsi="Times New Roman" w:cs="Times New Roman"/>
          <w:sz w:val="24"/>
          <w:szCs w:val="21"/>
        </w:rPr>
        <w:t>认知类目标：</w:t>
      </w:r>
      <w:r w:rsidRPr="00367215">
        <w:rPr>
          <w:rFonts w:ascii="Times New Roman" w:eastAsia="宋体" w:hAnsi="Times New Roman" w:cs="Times New Roman" w:hint="eastAsia"/>
          <w:sz w:val="24"/>
          <w:szCs w:val="21"/>
        </w:rPr>
        <w:t>了解和掌握细菌、放线菌的细胞形态、结构与功能、培养特征和繁殖方式等基本理论知识，了解食品发酵和制药工业中常见的细菌和放线菌</w:t>
      </w:r>
      <w:r w:rsidRPr="00367215">
        <w:rPr>
          <w:rFonts w:ascii="Times New Roman" w:eastAsia="宋体" w:hAnsi="Times New Roman" w:cs="Times New Roman"/>
          <w:sz w:val="24"/>
          <w:szCs w:val="21"/>
        </w:rPr>
        <w:t>；</w:t>
      </w:r>
    </w:p>
    <w:p w14:paraId="763FE03A"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2. </w:t>
      </w:r>
      <w:r w:rsidRPr="00367215">
        <w:rPr>
          <w:rFonts w:ascii="Times New Roman" w:eastAsia="宋体" w:hAnsi="Times New Roman" w:cs="Times New Roman"/>
          <w:sz w:val="24"/>
          <w:szCs w:val="21"/>
        </w:rPr>
        <w:t>过程与方法类目标：</w:t>
      </w:r>
      <w:r w:rsidRPr="00367215">
        <w:rPr>
          <w:rFonts w:ascii="Times New Roman" w:eastAsia="宋体" w:hAnsi="Times New Roman" w:cs="Times New Roman" w:hint="eastAsia"/>
          <w:sz w:val="24"/>
          <w:szCs w:val="21"/>
        </w:rPr>
        <w:t>通过学习使学生能够应用这些知识，并通过查阅文献正确地分析药物分析相关领域复杂工程问题；</w:t>
      </w:r>
    </w:p>
    <w:p w14:paraId="0B8A0D61"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3. </w:t>
      </w:r>
      <w:r w:rsidRPr="00367215">
        <w:rPr>
          <w:rFonts w:ascii="Times New Roman" w:eastAsia="宋体" w:hAnsi="Times New Roman" w:cs="Times New Roman"/>
          <w:sz w:val="24"/>
          <w:szCs w:val="21"/>
        </w:rPr>
        <w:t>情感、态度、价值观类目标：</w:t>
      </w:r>
      <w:r w:rsidRPr="00367215">
        <w:rPr>
          <w:rFonts w:ascii="Times New Roman" w:eastAsia="宋体" w:hAnsi="Times New Roman" w:cs="Times New Roman" w:hint="eastAsia"/>
          <w:sz w:val="24"/>
          <w:szCs w:val="21"/>
        </w:rPr>
        <w:t>具有自主学习和终身学习的意识，有不断学习和适应发展的能力。</w:t>
      </w:r>
    </w:p>
    <w:p w14:paraId="4A3002E7" w14:textId="77777777" w:rsidR="00367215" w:rsidRPr="00367215" w:rsidRDefault="00367215" w:rsidP="00367215">
      <w:pPr>
        <w:autoSpaceDN w:val="0"/>
        <w:adjustRightInd w:val="0"/>
        <w:snapToGrid w:val="0"/>
        <w:spacing w:line="500" w:lineRule="exact"/>
        <w:ind w:firstLineChars="200" w:firstLine="482"/>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hint="eastAsia"/>
          <w:b/>
          <w:sz w:val="24"/>
        </w:rPr>
        <w:t>学习</w:t>
      </w:r>
      <w:r w:rsidRPr="00367215">
        <w:rPr>
          <w:rFonts w:ascii="Times New Roman" w:eastAsia="宋体" w:hAnsi="Times New Roman" w:cs="Times New Roman"/>
          <w:b/>
          <w:sz w:val="24"/>
        </w:rPr>
        <w:t>内容】</w:t>
      </w:r>
    </w:p>
    <w:p w14:paraId="2EEC2864" w14:textId="77777777" w:rsidR="00367215" w:rsidRPr="00367215" w:rsidRDefault="00367215">
      <w:pPr>
        <w:numPr>
          <w:ilvl w:val="0"/>
          <w:numId w:val="119"/>
        </w:numPr>
        <w:spacing w:line="500" w:lineRule="exact"/>
        <w:ind w:firstLineChars="200" w:firstLine="480"/>
        <w:jc w:val="left"/>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细菌</w:t>
      </w:r>
    </w:p>
    <w:p w14:paraId="34D66151" w14:textId="77777777" w:rsidR="00367215" w:rsidRPr="00367215" w:rsidRDefault="00367215">
      <w:pPr>
        <w:numPr>
          <w:ilvl w:val="0"/>
          <w:numId w:val="119"/>
        </w:numPr>
        <w:spacing w:line="500" w:lineRule="exact"/>
        <w:ind w:firstLineChars="200" w:firstLine="480"/>
        <w:jc w:val="left"/>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放线菌</w:t>
      </w:r>
      <w:r w:rsidRPr="00367215">
        <w:rPr>
          <w:rFonts w:ascii="Times New Roman" w:eastAsia="宋体" w:hAnsi="Times New Roman" w:cs="Times New Roman"/>
          <w:color w:val="000000"/>
          <w:sz w:val="24"/>
        </w:rPr>
        <w:t xml:space="preserve"> </w:t>
      </w:r>
    </w:p>
    <w:p w14:paraId="1F6023DD" w14:textId="77777777" w:rsidR="00367215" w:rsidRPr="00367215" w:rsidRDefault="00367215">
      <w:pPr>
        <w:numPr>
          <w:ilvl w:val="0"/>
          <w:numId w:val="119"/>
        </w:numPr>
        <w:spacing w:line="500" w:lineRule="exact"/>
        <w:ind w:firstLineChars="200" w:firstLine="480"/>
        <w:jc w:val="left"/>
        <w:rPr>
          <w:rFonts w:ascii="Times New Roman" w:eastAsia="宋体" w:hAnsi="Times New Roman" w:cs="Times New Roman"/>
          <w:color w:val="000000"/>
          <w:sz w:val="24"/>
        </w:rPr>
      </w:pPr>
      <w:r w:rsidRPr="00367215">
        <w:rPr>
          <w:rFonts w:ascii="Times New Roman" w:eastAsia="宋体" w:hAnsi="Times New Roman" w:cs="Times New Roman" w:hint="eastAsia"/>
          <w:color w:val="000000"/>
          <w:sz w:val="24"/>
        </w:rPr>
        <w:t>蓝细菌</w:t>
      </w:r>
    </w:p>
    <w:p w14:paraId="464C9B0B"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b/>
          <w:color w:val="000000"/>
          <w:sz w:val="24"/>
        </w:rPr>
        <w:t>重点</w:t>
      </w:r>
      <w:r w:rsidRPr="00367215">
        <w:rPr>
          <w:rFonts w:ascii="Times New Roman" w:eastAsia="宋体" w:hAnsi="Times New Roman" w:cs="Times New Roman"/>
          <w:b/>
          <w:sz w:val="24"/>
        </w:rPr>
        <w:t>】</w:t>
      </w:r>
    </w:p>
    <w:p w14:paraId="03E4D2F6" w14:textId="77777777" w:rsidR="00367215" w:rsidRPr="00367215" w:rsidRDefault="00367215" w:rsidP="00367215">
      <w:pPr>
        <w:autoSpaceDN w:val="0"/>
        <w:adjustRightInd w:val="0"/>
        <w:snapToGrid w:val="0"/>
        <w:spacing w:beforeLines="50" w:before="156" w:afterLines="50" w:after="156" w:line="50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细菌的细胞结构和功能、繁殖方式、菌落特征；放线菌的形态与构造、繁殖方式、菌落形态。</w:t>
      </w:r>
    </w:p>
    <w:p w14:paraId="7C7DD24C"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b/>
          <w:color w:val="000000"/>
          <w:sz w:val="24"/>
        </w:rPr>
        <w:t>难点</w:t>
      </w:r>
      <w:r w:rsidRPr="00367215">
        <w:rPr>
          <w:rFonts w:ascii="Times New Roman" w:eastAsia="宋体" w:hAnsi="Times New Roman" w:cs="Times New Roman"/>
          <w:b/>
          <w:sz w:val="24"/>
        </w:rPr>
        <w:t>】</w:t>
      </w:r>
    </w:p>
    <w:p w14:paraId="01F9B0E3" w14:textId="77777777" w:rsidR="00367215" w:rsidRPr="00367215" w:rsidRDefault="00367215" w:rsidP="00367215">
      <w:pPr>
        <w:autoSpaceDN w:val="0"/>
        <w:adjustRightInd w:val="0"/>
        <w:snapToGrid w:val="0"/>
        <w:spacing w:beforeLines="50" w:before="156" w:afterLines="50" w:after="156" w:line="50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革兰氏阳性细菌和阴性细菌在细胞壁的结构、组成和相关功能方面的异同。</w:t>
      </w:r>
    </w:p>
    <w:p w14:paraId="6303B0EE"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bCs/>
          <w:sz w:val="24"/>
        </w:rPr>
      </w:pPr>
      <w:r w:rsidRPr="00367215">
        <w:rPr>
          <w:rFonts w:ascii="Times New Roman" w:eastAsia="宋体" w:hAnsi="Times New Roman" w:cs="Times New Roman"/>
          <w:b/>
          <w:bCs/>
          <w:sz w:val="24"/>
        </w:rPr>
        <w:t>【教学方法】</w:t>
      </w:r>
    </w:p>
    <w:p w14:paraId="1FA78AB5" w14:textId="77777777" w:rsidR="00367215" w:rsidRPr="00367215" w:rsidRDefault="00367215">
      <w:pPr>
        <w:numPr>
          <w:ilvl w:val="0"/>
          <w:numId w:val="120"/>
        </w:numPr>
        <w:autoSpaceDN w:val="0"/>
        <w:adjustRightInd w:val="0"/>
        <w:snapToGrid w:val="0"/>
        <w:spacing w:beforeLines="50" w:before="156" w:afterLines="50" w:after="156" w:line="50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通过多媒体课件和传统的板书教学相结合，讲授原核微生物的基本知识，使学生更扎实地学好本课程。</w:t>
      </w:r>
    </w:p>
    <w:p w14:paraId="79810FFA" w14:textId="77777777" w:rsidR="00367215" w:rsidRPr="00367215" w:rsidRDefault="00367215">
      <w:pPr>
        <w:numPr>
          <w:ilvl w:val="0"/>
          <w:numId w:val="120"/>
        </w:numPr>
        <w:autoSpaceDN w:val="0"/>
        <w:adjustRightInd w:val="0"/>
        <w:snapToGrid w:val="0"/>
        <w:spacing w:beforeLines="50" w:before="156" w:afterLines="50" w:after="156" w:line="50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通过案例分析法，调动学生学习兴趣。提高学生发现问题、分析问题、解决问题的能力。</w:t>
      </w:r>
    </w:p>
    <w:p w14:paraId="674EDBEF"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sz w:val="24"/>
        </w:rPr>
      </w:pPr>
      <w:r w:rsidRPr="00367215">
        <w:rPr>
          <w:rFonts w:ascii="Times New Roman" w:eastAsia="宋体" w:hAnsi="Times New Roman" w:cs="Times New Roman"/>
          <w:b/>
          <w:sz w:val="24"/>
        </w:rPr>
        <w:t>【复习思考】</w:t>
      </w:r>
    </w:p>
    <w:p w14:paraId="5758523D" w14:textId="77777777" w:rsidR="00367215" w:rsidRPr="00367215" w:rsidRDefault="00367215" w:rsidP="00367215">
      <w:pPr>
        <w:autoSpaceDN w:val="0"/>
        <w:adjustRightInd w:val="0"/>
        <w:snapToGrid w:val="0"/>
        <w:spacing w:beforeLines="50" w:before="156" w:afterLines="50" w:after="156" w:line="50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lastRenderedPageBreak/>
        <w:t xml:space="preserve">1. </w:t>
      </w:r>
      <w:r w:rsidRPr="00367215">
        <w:rPr>
          <w:rFonts w:ascii="Times New Roman" w:eastAsia="宋体" w:hAnsi="Times New Roman" w:cs="Times New Roman"/>
          <w:sz w:val="24"/>
        </w:rPr>
        <w:t>简图表示革兰氏阳性和阴性细菌肽聚糖单体构造的差别，并作简要说明。</w:t>
      </w:r>
    </w:p>
    <w:p w14:paraId="7257D602" w14:textId="77777777" w:rsidR="00367215" w:rsidRPr="00367215" w:rsidRDefault="00367215" w:rsidP="00367215">
      <w:pPr>
        <w:autoSpaceDN w:val="0"/>
        <w:adjustRightInd w:val="0"/>
        <w:snapToGrid w:val="0"/>
        <w:spacing w:beforeLines="50" w:before="156" w:afterLines="50" w:after="156" w:line="50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 xml:space="preserve">2. </w:t>
      </w:r>
      <w:r w:rsidRPr="00367215">
        <w:rPr>
          <w:rFonts w:ascii="Times New Roman" w:eastAsia="宋体" w:hAnsi="Times New Roman" w:cs="Times New Roman"/>
          <w:sz w:val="24"/>
        </w:rPr>
        <w:t>试述细菌革兰氏染色的机制。</w:t>
      </w:r>
    </w:p>
    <w:p w14:paraId="2EBA017D" w14:textId="77777777" w:rsidR="00367215" w:rsidRPr="00367215" w:rsidRDefault="00367215" w:rsidP="00367215">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367215">
        <w:rPr>
          <w:rFonts w:ascii="Times New Roman" w:eastAsia="黑体" w:hAnsi="Times New Roman" w:cs="Times New Roman"/>
          <w:sz w:val="28"/>
          <w:szCs w:val="28"/>
        </w:rPr>
        <w:t>第三章</w:t>
      </w:r>
      <w:r w:rsidRPr="00367215">
        <w:rPr>
          <w:rFonts w:ascii="Times New Roman" w:eastAsia="黑体" w:hAnsi="Times New Roman" w:cs="Times New Roman"/>
          <w:sz w:val="28"/>
          <w:szCs w:val="28"/>
        </w:rPr>
        <w:t xml:space="preserve">  </w:t>
      </w:r>
      <w:r w:rsidRPr="00367215">
        <w:rPr>
          <w:rFonts w:ascii="Times New Roman" w:eastAsia="黑体" w:hAnsi="Times New Roman" w:cs="Times New Roman"/>
          <w:sz w:val="28"/>
          <w:szCs w:val="28"/>
        </w:rPr>
        <w:t>真</w:t>
      </w:r>
      <w:r w:rsidRPr="00367215">
        <w:rPr>
          <w:rFonts w:ascii="Times New Roman" w:eastAsia="黑体" w:hAnsi="Times New Roman" w:cs="Times New Roman" w:hint="eastAsia"/>
          <w:sz w:val="28"/>
          <w:szCs w:val="28"/>
        </w:rPr>
        <w:t>核微生物</w:t>
      </w:r>
    </w:p>
    <w:p w14:paraId="30D7EE81" w14:textId="77777777" w:rsidR="00367215" w:rsidRPr="00367215" w:rsidRDefault="00367215" w:rsidP="00367215">
      <w:pPr>
        <w:spacing w:line="440" w:lineRule="exact"/>
        <w:ind w:firstLineChars="200" w:firstLine="482"/>
        <w:rPr>
          <w:rFonts w:ascii="Times New Roman" w:eastAsia="宋体" w:hAnsi="Times New Roman" w:cs="Times New Roman"/>
          <w:b/>
          <w:sz w:val="24"/>
          <w:szCs w:val="21"/>
        </w:rPr>
      </w:pPr>
      <w:r w:rsidRPr="00367215">
        <w:rPr>
          <w:rFonts w:ascii="Times New Roman" w:eastAsia="宋体" w:hAnsi="Times New Roman" w:cs="Times New Roman"/>
          <w:b/>
          <w:sz w:val="24"/>
          <w:szCs w:val="21"/>
        </w:rPr>
        <w:t>【学习目标】</w:t>
      </w:r>
    </w:p>
    <w:p w14:paraId="66E59963"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1. </w:t>
      </w:r>
      <w:r w:rsidRPr="00367215">
        <w:rPr>
          <w:rFonts w:ascii="Times New Roman" w:eastAsia="宋体" w:hAnsi="Times New Roman" w:cs="Times New Roman"/>
          <w:sz w:val="24"/>
          <w:szCs w:val="21"/>
        </w:rPr>
        <w:t>认知类目标：</w:t>
      </w:r>
      <w:r w:rsidRPr="00367215">
        <w:rPr>
          <w:rFonts w:ascii="Times New Roman" w:eastAsia="宋体" w:hAnsi="Times New Roman" w:cs="Times New Roman" w:hint="eastAsia"/>
          <w:sz w:val="24"/>
          <w:szCs w:val="21"/>
        </w:rPr>
        <w:t>掌握原核生物与真核微生物的主要区别，酵母菌和霉菌的形态、结构与功能、培养特征、繁殖方式和生活史等基本理论知识，了解食品发酵和制药工业中常见的酵母菌和霉菌；</w:t>
      </w:r>
    </w:p>
    <w:p w14:paraId="113A5298"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2. </w:t>
      </w:r>
      <w:r w:rsidRPr="00367215">
        <w:rPr>
          <w:rFonts w:ascii="Times New Roman" w:eastAsia="宋体" w:hAnsi="Times New Roman" w:cs="Times New Roman"/>
          <w:sz w:val="24"/>
          <w:szCs w:val="21"/>
        </w:rPr>
        <w:t>过程与方法类目标：</w:t>
      </w:r>
      <w:r w:rsidRPr="00367215">
        <w:rPr>
          <w:rFonts w:ascii="Times New Roman" w:eastAsia="宋体" w:hAnsi="Times New Roman" w:cs="Times New Roman" w:hint="eastAsia"/>
          <w:sz w:val="24"/>
          <w:szCs w:val="21"/>
        </w:rPr>
        <w:t>通过学习使学生能够应用这些知识，并通过查阅文献正确地分析药物分析相关领域复杂工程问题；</w:t>
      </w:r>
    </w:p>
    <w:p w14:paraId="057F4CB7"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3. </w:t>
      </w:r>
      <w:r w:rsidRPr="00367215">
        <w:rPr>
          <w:rFonts w:ascii="Times New Roman" w:eastAsia="宋体" w:hAnsi="Times New Roman" w:cs="Times New Roman"/>
          <w:sz w:val="24"/>
          <w:szCs w:val="21"/>
        </w:rPr>
        <w:t>情感、态度、价值观类目标：</w:t>
      </w:r>
      <w:r w:rsidRPr="00367215">
        <w:rPr>
          <w:rFonts w:ascii="Times New Roman" w:eastAsia="宋体" w:hAnsi="Times New Roman" w:cs="Times New Roman" w:hint="eastAsia"/>
          <w:sz w:val="24"/>
          <w:szCs w:val="21"/>
        </w:rPr>
        <w:t>具有自主学习和终身学习的意识，有不断学习和适应发展的能力。</w:t>
      </w:r>
    </w:p>
    <w:p w14:paraId="7FAEC47F" w14:textId="77777777" w:rsidR="00367215" w:rsidRPr="00367215" w:rsidRDefault="00367215" w:rsidP="00367215">
      <w:pPr>
        <w:autoSpaceDN w:val="0"/>
        <w:adjustRightInd w:val="0"/>
        <w:snapToGrid w:val="0"/>
        <w:spacing w:line="500" w:lineRule="exact"/>
        <w:ind w:firstLineChars="200" w:firstLine="482"/>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hint="eastAsia"/>
          <w:b/>
          <w:sz w:val="24"/>
        </w:rPr>
        <w:t>学习</w:t>
      </w:r>
      <w:r w:rsidRPr="00367215">
        <w:rPr>
          <w:rFonts w:ascii="Times New Roman" w:eastAsia="宋体" w:hAnsi="Times New Roman" w:cs="Times New Roman"/>
          <w:b/>
          <w:sz w:val="24"/>
        </w:rPr>
        <w:t>内容】</w:t>
      </w:r>
    </w:p>
    <w:p w14:paraId="6EB528EE" w14:textId="77777777" w:rsidR="00367215" w:rsidRPr="00367215" w:rsidRDefault="00367215">
      <w:pPr>
        <w:numPr>
          <w:ilvl w:val="0"/>
          <w:numId w:val="121"/>
        </w:numPr>
        <w:autoSpaceDN w:val="0"/>
        <w:adjustRightInd w:val="0"/>
        <w:snapToGrid w:val="0"/>
        <w:spacing w:line="500" w:lineRule="exact"/>
        <w:ind w:leftChars="150" w:left="315" w:firstLineChars="100" w:firstLine="24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真核微生物概述</w:t>
      </w:r>
    </w:p>
    <w:p w14:paraId="36F028C6" w14:textId="77777777" w:rsidR="00367215" w:rsidRPr="00367215" w:rsidRDefault="00367215">
      <w:pPr>
        <w:numPr>
          <w:ilvl w:val="0"/>
          <w:numId w:val="121"/>
        </w:numPr>
        <w:autoSpaceDN w:val="0"/>
        <w:adjustRightInd w:val="0"/>
        <w:snapToGrid w:val="0"/>
        <w:spacing w:line="500" w:lineRule="exact"/>
        <w:ind w:leftChars="150" w:left="315" w:firstLineChars="100" w:firstLine="24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酵母菌</w:t>
      </w:r>
    </w:p>
    <w:p w14:paraId="36590694" w14:textId="77777777" w:rsidR="00367215" w:rsidRPr="00367215" w:rsidRDefault="00367215">
      <w:pPr>
        <w:numPr>
          <w:ilvl w:val="0"/>
          <w:numId w:val="121"/>
        </w:numPr>
        <w:autoSpaceDN w:val="0"/>
        <w:adjustRightInd w:val="0"/>
        <w:snapToGrid w:val="0"/>
        <w:spacing w:line="500" w:lineRule="exact"/>
        <w:ind w:leftChars="150" w:left="315" w:firstLineChars="100" w:firstLine="24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霉菌</w:t>
      </w:r>
    </w:p>
    <w:p w14:paraId="105E1CA8"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b/>
          <w:color w:val="000000"/>
          <w:sz w:val="24"/>
        </w:rPr>
        <w:t>重点</w:t>
      </w:r>
      <w:r w:rsidRPr="00367215">
        <w:rPr>
          <w:rFonts w:ascii="Times New Roman" w:eastAsia="宋体" w:hAnsi="Times New Roman" w:cs="Times New Roman"/>
          <w:b/>
          <w:sz w:val="24"/>
        </w:rPr>
        <w:t>】</w:t>
      </w:r>
    </w:p>
    <w:p w14:paraId="057E180D" w14:textId="77777777" w:rsidR="00367215" w:rsidRPr="00367215" w:rsidRDefault="00367215" w:rsidP="00367215">
      <w:pPr>
        <w:adjustRightInd w:val="0"/>
        <w:snapToGrid w:val="0"/>
        <w:spacing w:line="50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酵母菌的形态和大小、细胞结构、繁殖方式、生活史、菌落特征；</w:t>
      </w:r>
    </w:p>
    <w:p w14:paraId="516D54FB"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b/>
          <w:color w:val="000000"/>
          <w:sz w:val="24"/>
        </w:rPr>
        <w:t>难点</w:t>
      </w:r>
      <w:r w:rsidRPr="00367215">
        <w:rPr>
          <w:rFonts w:ascii="Times New Roman" w:eastAsia="宋体" w:hAnsi="Times New Roman" w:cs="Times New Roman"/>
          <w:b/>
          <w:sz w:val="24"/>
        </w:rPr>
        <w:t>】</w:t>
      </w:r>
    </w:p>
    <w:p w14:paraId="6A620C1B" w14:textId="77777777" w:rsidR="00367215" w:rsidRPr="00367215" w:rsidRDefault="00367215" w:rsidP="00367215">
      <w:pPr>
        <w:adjustRightInd w:val="0"/>
        <w:snapToGrid w:val="0"/>
        <w:spacing w:line="50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霉菌菌丝的种类与构造、菌丝体的功能和特化形式、繁殖方式、生活史、菌落特征。</w:t>
      </w:r>
    </w:p>
    <w:p w14:paraId="4E77495D"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bCs/>
          <w:sz w:val="24"/>
        </w:rPr>
      </w:pPr>
      <w:r w:rsidRPr="00367215">
        <w:rPr>
          <w:rFonts w:ascii="Times New Roman" w:eastAsia="宋体" w:hAnsi="Times New Roman" w:cs="Times New Roman"/>
          <w:b/>
          <w:bCs/>
          <w:sz w:val="24"/>
        </w:rPr>
        <w:t>【教学方法】</w:t>
      </w:r>
    </w:p>
    <w:p w14:paraId="514661A8" w14:textId="77777777" w:rsidR="00367215" w:rsidRPr="00367215" w:rsidRDefault="00367215">
      <w:pPr>
        <w:numPr>
          <w:ilvl w:val="0"/>
          <w:numId w:val="122"/>
        </w:numPr>
        <w:spacing w:line="440" w:lineRule="exact"/>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通过多媒体课件和传统的板书教学相结合，讲授真核微生物的基本知识，使学生更扎实地学好本课程。</w:t>
      </w:r>
    </w:p>
    <w:p w14:paraId="141D40F3" w14:textId="77777777" w:rsidR="00367215" w:rsidRPr="00367215" w:rsidRDefault="00367215">
      <w:pPr>
        <w:numPr>
          <w:ilvl w:val="0"/>
          <w:numId w:val="122"/>
        </w:numPr>
        <w:spacing w:line="440" w:lineRule="exact"/>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通过案例分析法，调动学生学习兴趣。提高学生发现问题、分析问题、解决问题的能力。</w:t>
      </w:r>
    </w:p>
    <w:p w14:paraId="415178BA"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sz w:val="24"/>
        </w:rPr>
      </w:pPr>
      <w:r w:rsidRPr="00367215">
        <w:rPr>
          <w:rFonts w:ascii="Times New Roman" w:eastAsia="宋体" w:hAnsi="Times New Roman" w:cs="Times New Roman"/>
          <w:b/>
          <w:sz w:val="24"/>
        </w:rPr>
        <w:t>【复习思考】</w:t>
      </w:r>
    </w:p>
    <w:p w14:paraId="6D91583A" w14:textId="77777777" w:rsidR="00367215" w:rsidRPr="00367215" w:rsidRDefault="00367215" w:rsidP="00367215">
      <w:pPr>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图示</w:t>
      </w:r>
      <w:proofErr w:type="spellStart"/>
      <w:r w:rsidRPr="00367215">
        <w:rPr>
          <w:rFonts w:ascii="Times New Roman" w:eastAsia="宋体" w:hAnsi="Times New Roman" w:cs="Times New Roman"/>
          <w:i/>
          <w:iCs/>
          <w:sz w:val="24"/>
        </w:rPr>
        <w:t>Sacharomyces</w:t>
      </w:r>
      <w:proofErr w:type="spellEnd"/>
      <w:r w:rsidRPr="00367215">
        <w:rPr>
          <w:rFonts w:ascii="Times New Roman" w:eastAsia="宋体" w:hAnsi="Times New Roman" w:cs="Times New Roman"/>
          <w:i/>
          <w:iCs/>
          <w:sz w:val="24"/>
        </w:rPr>
        <w:t xml:space="preserve"> cerevisiae</w:t>
      </w:r>
      <w:r w:rsidRPr="00367215">
        <w:rPr>
          <w:rFonts w:ascii="Times New Roman" w:eastAsia="宋体" w:hAnsi="Times New Roman" w:cs="Times New Roman"/>
          <w:sz w:val="24"/>
        </w:rPr>
        <w:t xml:space="preserve"> </w:t>
      </w:r>
      <w:r w:rsidRPr="00367215">
        <w:rPr>
          <w:rFonts w:ascii="Times New Roman" w:eastAsia="宋体" w:hAnsi="Times New Roman" w:cs="Times New Roman"/>
          <w:sz w:val="24"/>
        </w:rPr>
        <w:t>的生活史，并说明各阶段的特点。</w:t>
      </w:r>
    </w:p>
    <w:p w14:paraId="7BF28F0B" w14:textId="77777777" w:rsidR="00367215" w:rsidRPr="00367215" w:rsidRDefault="00367215" w:rsidP="00367215">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367215">
        <w:rPr>
          <w:rFonts w:ascii="Times New Roman" w:eastAsia="黑体" w:hAnsi="Times New Roman" w:cs="Times New Roman"/>
          <w:sz w:val="28"/>
          <w:szCs w:val="28"/>
        </w:rPr>
        <w:t>第四章</w:t>
      </w:r>
      <w:r w:rsidRPr="00367215">
        <w:rPr>
          <w:rFonts w:ascii="Times New Roman" w:eastAsia="黑体" w:hAnsi="Times New Roman" w:cs="Times New Roman"/>
          <w:sz w:val="28"/>
          <w:szCs w:val="28"/>
        </w:rPr>
        <w:t xml:space="preserve">  </w:t>
      </w:r>
      <w:r w:rsidRPr="00367215">
        <w:rPr>
          <w:rFonts w:ascii="Times New Roman" w:eastAsia="黑体" w:hAnsi="Times New Roman" w:cs="Times New Roman"/>
          <w:sz w:val="28"/>
          <w:szCs w:val="28"/>
        </w:rPr>
        <w:t>病毒</w:t>
      </w:r>
    </w:p>
    <w:p w14:paraId="2366A171" w14:textId="77777777" w:rsidR="00367215" w:rsidRPr="00367215" w:rsidRDefault="00367215" w:rsidP="00367215">
      <w:pPr>
        <w:spacing w:line="440" w:lineRule="exact"/>
        <w:ind w:firstLineChars="200" w:firstLine="482"/>
        <w:rPr>
          <w:rFonts w:ascii="Times New Roman" w:eastAsia="宋体" w:hAnsi="Times New Roman" w:cs="Times New Roman"/>
          <w:b/>
          <w:sz w:val="24"/>
          <w:szCs w:val="21"/>
        </w:rPr>
      </w:pPr>
      <w:r w:rsidRPr="00367215">
        <w:rPr>
          <w:rFonts w:ascii="Times New Roman" w:eastAsia="宋体" w:hAnsi="Times New Roman" w:cs="Times New Roman"/>
          <w:b/>
          <w:sz w:val="24"/>
          <w:szCs w:val="21"/>
        </w:rPr>
        <w:lastRenderedPageBreak/>
        <w:t>【学习目标】</w:t>
      </w:r>
    </w:p>
    <w:p w14:paraId="334C3D0D"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1. </w:t>
      </w:r>
      <w:r w:rsidRPr="00367215">
        <w:rPr>
          <w:rFonts w:ascii="Times New Roman" w:eastAsia="宋体" w:hAnsi="Times New Roman" w:cs="Times New Roman"/>
          <w:sz w:val="24"/>
          <w:szCs w:val="21"/>
        </w:rPr>
        <w:t>认知类目标：</w:t>
      </w:r>
      <w:r w:rsidRPr="00367215">
        <w:rPr>
          <w:rFonts w:ascii="Times New Roman" w:eastAsia="宋体" w:hAnsi="Times New Roman" w:cs="Times New Roman" w:hint="eastAsia"/>
          <w:sz w:val="24"/>
          <w:szCs w:val="21"/>
        </w:rPr>
        <w:t>了解和掌握病毒的特性、形态结构与化学组成、复制周期、噬菌体与宿主的关系等基本理论知识，并了解发酵工业中噬菌体污染的检测和防治措施，病毒杀虫剂的应用，亚病毒的种类和主要特性；</w:t>
      </w:r>
    </w:p>
    <w:p w14:paraId="0ECEDCC4"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2. </w:t>
      </w:r>
      <w:r w:rsidRPr="00367215">
        <w:rPr>
          <w:rFonts w:ascii="Times New Roman" w:eastAsia="宋体" w:hAnsi="Times New Roman" w:cs="Times New Roman"/>
          <w:sz w:val="24"/>
          <w:szCs w:val="21"/>
        </w:rPr>
        <w:t>过程与方法类目标：</w:t>
      </w:r>
      <w:r w:rsidRPr="00367215">
        <w:rPr>
          <w:rFonts w:ascii="Times New Roman" w:eastAsia="宋体" w:hAnsi="Times New Roman" w:cs="Times New Roman" w:hint="eastAsia"/>
          <w:sz w:val="24"/>
          <w:szCs w:val="21"/>
        </w:rPr>
        <w:t>通过学习使学生能够应用这些知识，并通过查阅文献正确地分析药物分析相关领域复杂工程问题；</w:t>
      </w:r>
    </w:p>
    <w:p w14:paraId="30F7F1CB"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3. </w:t>
      </w:r>
      <w:r w:rsidRPr="00367215">
        <w:rPr>
          <w:rFonts w:ascii="Times New Roman" w:eastAsia="宋体" w:hAnsi="Times New Roman" w:cs="Times New Roman"/>
          <w:sz w:val="24"/>
          <w:szCs w:val="21"/>
        </w:rPr>
        <w:t>情感、态度、价值观类目标：</w:t>
      </w:r>
      <w:r w:rsidRPr="00367215">
        <w:rPr>
          <w:rFonts w:ascii="Times New Roman" w:eastAsia="宋体" w:hAnsi="Times New Roman" w:cs="Times New Roman" w:hint="eastAsia"/>
          <w:sz w:val="24"/>
          <w:szCs w:val="21"/>
        </w:rPr>
        <w:t>具有自主学习和终身学习的意识，有不断学习和适应发展的能力。</w:t>
      </w:r>
    </w:p>
    <w:p w14:paraId="3303C121" w14:textId="77777777" w:rsidR="00367215" w:rsidRPr="00367215" w:rsidRDefault="00367215" w:rsidP="00367215">
      <w:pPr>
        <w:tabs>
          <w:tab w:val="left" w:pos="0"/>
        </w:tabs>
        <w:adjustRightInd w:val="0"/>
        <w:snapToGrid w:val="0"/>
        <w:spacing w:line="500" w:lineRule="exact"/>
        <w:ind w:leftChars="300" w:left="630"/>
        <w:jc w:val="left"/>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hint="eastAsia"/>
          <w:b/>
          <w:sz w:val="24"/>
        </w:rPr>
        <w:t>学习</w:t>
      </w:r>
      <w:r w:rsidRPr="00367215">
        <w:rPr>
          <w:rFonts w:ascii="Times New Roman" w:eastAsia="宋体" w:hAnsi="Times New Roman" w:cs="Times New Roman"/>
          <w:b/>
          <w:sz w:val="24"/>
        </w:rPr>
        <w:t>内容】</w:t>
      </w:r>
    </w:p>
    <w:p w14:paraId="3214D44C" w14:textId="77777777" w:rsidR="00367215" w:rsidRPr="00367215" w:rsidRDefault="00367215" w:rsidP="00367215">
      <w:pPr>
        <w:tabs>
          <w:tab w:val="left" w:pos="0"/>
        </w:tabs>
        <w:adjustRightInd w:val="0"/>
        <w:snapToGrid w:val="0"/>
        <w:spacing w:line="500" w:lineRule="exact"/>
        <w:ind w:leftChars="100" w:left="210" w:firstLineChars="200" w:firstLine="480"/>
        <w:jc w:val="left"/>
        <w:rPr>
          <w:rFonts w:ascii="Times New Roman" w:eastAsia="宋体" w:hAnsi="Times New Roman" w:cs="Times New Roman"/>
          <w:b/>
          <w:color w:val="000000"/>
          <w:sz w:val="28"/>
          <w:szCs w:val="28"/>
        </w:rPr>
      </w:pPr>
      <w:r w:rsidRPr="00367215">
        <w:rPr>
          <w:rFonts w:ascii="Times New Roman" w:eastAsia="宋体" w:hAnsi="Times New Roman" w:cs="Times New Roman"/>
          <w:color w:val="000000"/>
          <w:sz w:val="24"/>
        </w:rPr>
        <w:t xml:space="preserve">1. </w:t>
      </w:r>
      <w:r w:rsidRPr="00367215">
        <w:rPr>
          <w:rFonts w:ascii="Times New Roman" w:eastAsia="宋体" w:hAnsi="Times New Roman" w:cs="Times New Roman"/>
          <w:color w:val="000000"/>
          <w:sz w:val="24"/>
        </w:rPr>
        <w:t>病毒概述</w:t>
      </w:r>
    </w:p>
    <w:p w14:paraId="6421421F" w14:textId="77777777" w:rsidR="00367215" w:rsidRPr="00367215" w:rsidRDefault="00367215" w:rsidP="00367215">
      <w:pPr>
        <w:autoSpaceDN w:val="0"/>
        <w:adjustRightInd w:val="0"/>
        <w:snapToGrid w:val="0"/>
        <w:spacing w:line="500" w:lineRule="exact"/>
        <w:ind w:leftChars="150" w:left="315" w:firstLineChars="150" w:firstLine="36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 xml:space="preserve">2. </w:t>
      </w:r>
      <w:r w:rsidRPr="00367215">
        <w:rPr>
          <w:rFonts w:ascii="Times New Roman" w:eastAsia="宋体" w:hAnsi="Times New Roman" w:cs="Times New Roman"/>
          <w:color w:val="000000"/>
          <w:sz w:val="24"/>
        </w:rPr>
        <w:t>病毒的形态结构与化学组成</w:t>
      </w:r>
    </w:p>
    <w:p w14:paraId="6AF28948" w14:textId="77777777" w:rsidR="00367215" w:rsidRPr="00367215" w:rsidRDefault="00367215" w:rsidP="00367215">
      <w:pPr>
        <w:autoSpaceDN w:val="0"/>
        <w:adjustRightInd w:val="0"/>
        <w:snapToGrid w:val="0"/>
        <w:spacing w:line="500" w:lineRule="exact"/>
        <w:ind w:leftChars="150" w:left="315" w:firstLineChars="150" w:firstLine="36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 xml:space="preserve">3. </w:t>
      </w:r>
      <w:r w:rsidRPr="00367215">
        <w:rPr>
          <w:rFonts w:ascii="Times New Roman" w:eastAsia="宋体" w:hAnsi="Times New Roman" w:cs="Times New Roman"/>
          <w:color w:val="000000"/>
          <w:sz w:val="24"/>
        </w:rPr>
        <w:t>病毒的增殖</w:t>
      </w:r>
    </w:p>
    <w:p w14:paraId="7589902E" w14:textId="77777777" w:rsidR="00367215" w:rsidRPr="00367215" w:rsidRDefault="00367215" w:rsidP="00367215">
      <w:pPr>
        <w:autoSpaceDN w:val="0"/>
        <w:adjustRightInd w:val="0"/>
        <w:snapToGrid w:val="0"/>
        <w:spacing w:line="500" w:lineRule="exact"/>
        <w:ind w:leftChars="150" w:left="315" w:firstLineChars="150" w:firstLine="36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 xml:space="preserve">4. </w:t>
      </w:r>
      <w:r w:rsidRPr="00367215">
        <w:rPr>
          <w:rFonts w:ascii="Times New Roman" w:eastAsia="宋体" w:hAnsi="Times New Roman" w:cs="Times New Roman"/>
          <w:color w:val="000000"/>
          <w:sz w:val="24"/>
        </w:rPr>
        <w:t>亚病毒因子</w:t>
      </w:r>
    </w:p>
    <w:p w14:paraId="396D2CD2"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sz w:val="24"/>
        </w:rPr>
      </w:pPr>
      <w:r w:rsidRPr="00367215">
        <w:rPr>
          <w:rFonts w:ascii="Times New Roman" w:eastAsia="宋体" w:hAnsi="Times New Roman" w:cs="Times New Roman"/>
          <w:b/>
          <w:sz w:val="24"/>
        </w:rPr>
        <w:t xml:space="preserve"> </w:t>
      </w:r>
      <w:r w:rsidRPr="00367215">
        <w:rPr>
          <w:rFonts w:ascii="Times New Roman" w:eastAsia="宋体" w:hAnsi="Times New Roman" w:cs="Times New Roman"/>
          <w:b/>
          <w:sz w:val="24"/>
        </w:rPr>
        <w:t>【</w:t>
      </w:r>
      <w:r w:rsidRPr="00367215">
        <w:rPr>
          <w:rFonts w:ascii="Times New Roman" w:eastAsia="宋体" w:hAnsi="Times New Roman" w:cs="Times New Roman"/>
          <w:b/>
          <w:color w:val="000000"/>
          <w:sz w:val="24"/>
        </w:rPr>
        <w:t>重点</w:t>
      </w:r>
      <w:r w:rsidRPr="00367215">
        <w:rPr>
          <w:rFonts w:ascii="Times New Roman" w:eastAsia="宋体" w:hAnsi="Times New Roman" w:cs="Times New Roman"/>
          <w:b/>
          <w:sz w:val="24"/>
        </w:rPr>
        <w:t>】</w:t>
      </w:r>
    </w:p>
    <w:p w14:paraId="2C5D54B9" w14:textId="77777777" w:rsidR="00367215" w:rsidRPr="00367215" w:rsidRDefault="00367215" w:rsidP="00367215">
      <w:p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病毒的特性、病毒的培养与纯化、病毒粒子的形态结构与化学组成。</w:t>
      </w:r>
    </w:p>
    <w:p w14:paraId="13880E48" w14:textId="77777777" w:rsidR="00367215" w:rsidRPr="00367215" w:rsidRDefault="00367215" w:rsidP="00367215">
      <w:pPr>
        <w:tabs>
          <w:tab w:val="left" w:pos="0"/>
        </w:tabs>
        <w:adjustRightInd w:val="0"/>
        <w:snapToGrid w:val="0"/>
        <w:spacing w:line="500" w:lineRule="exact"/>
        <w:ind w:firstLineChars="200" w:firstLine="482"/>
        <w:jc w:val="left"/>
        <w:rPr>
          <w:rFonts w:ascii="Times New Roman" w:eastAsia="宋体" w:hAnsi="Times New Roman" w:cs="Times New Roman"/>
          <w:sz w:val="24"/>
        </w:rPr>
      </w:pPr>
      <w:r w:rsidRPr="00367215">
        <w:rPr>
          <w:rFonts w:ascii="Times New Roman" w:eastAsia="宋体" w:hAnsi="Times New Roman" w:cs="Times New Roman"/>
          <w:b/>
          <w:sz w:val="24"/>
        </w:rPr>
        <w:t>【</w:t>
      </w:r>
      <w:r w:rsidRPr="00367215">
        <w:rPr>
          <w:rFonts w:ascii="Times New Roman" w:eastAsia="宋体" w:hAnsi="Times New Roman" w:cs="Times New Roman"/>
          <w:b/>
          <w:color w:val="000000"/>
          <w:sz w:val="24"/>
        </w:rPr>
        <w:t>难点</w:t>
      </w:r>
      <w:r w:rsidRPr="00367215">
        <w:rPr>
          <w:rFonts w:ascii="Times New Roman" w:eastAsia="宋体" w:hAnsi="Times New Roman" w:cs="Times New Roman"/>
          <w:b/>
          <w:sz w:val="24"/>
        </w:rPr>
        <w:t>】</w:t>
      </w:r>
    </w:p>
    <w:p w14:paraId="6598A829" w14:textId="77777777" w:rsidR="00367215" w:rsidRPr="00367215" w:rsidRDefault="00367215" w:rsidP="00367215">
      <w:p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病毒的复制周期、噬菌体与宿主的关系。</w:t>
      </w:r>
    </w:p>
    <w:p w14:paraId="2C781C17"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bCs/>
          <w:sz w:val="24"/>
        </w:rPr>
      </w:pPr>
      <w:r w:rsidRPr="00367215">
        <w:rPr>
          <w:rFonts w:ascii="Times New Roman" w:eastAsia="宋体" w:hAnsi="Times New Roman" w:cs="Times New Roman"/>
          <w:b/>
          <w:bCs/>
          <w:sz w:val="24"/>
        </w:rPr>
        <w:t>【教学方法】</w:t>
      </w:r>
    </w:p>
    <w:p w14:paraId="16DA671D" w14:textId="77777777" w:rsidR="00367215" w:rsidRPr="00367215" w:rsidRDefault="00367215">
      <w:pPr>
        <w:numPr>
          <w:ilvl w:val="0"/>
          <w:numId w:val="123"/>
        </w:numPr>
        <w:spacing w:line="440" w:lineRule="exact"/>
        <w:ind w:firstLineChars="200" w:firstLine="48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通过多媒体课件和传统的板书教学相结合，讲授病毒的基本知识，使学生更扎实地学好本课程。</w:t>
      </w:r>
    </w:p>
    <w:p w14:paraId="53B28552" w14:textId="77777777" w:rsidR="00367215" w:rsidRPr="00367215" w:rsidRDefault="00367215">
      <w:pPr>
        <w:numPr>
          <w:ilvl w:val="0"/>
          <w:numId w:val="123"/>
        </w:numPr>
        <w:spacing w:line="440" w:lineRule="exact"/>
        <w:ind w:firstLineChars="200" w:firstLine="48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通过案例分析法，调动学生学习兴趣。提高学生发现问题、分析问题、解决问题的能力。</w:t>
      </w:r>
    </w:p>
    <w:p w14:paraId="02B18711"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sz w:val="24"/>
        </w:rPr>
      </w:pPr>
      <w:r w:rsidRPr="00367215">
        <w:rPr>
          <w:rFonts w:ascii="Times New Roman" w:eastAsia="宋体" w:hAnsi="Times New Roman" w:cs="Times New Roman"/>
          <w:b/>
          <w:sz w:val="24"/>
        </w:rPr>
        <w:t>【复习思考】</w:t>
      </w:r>
    </w:p>
    <w:p w14:paraId="6F973658" w14:textId="77777777" w:rsidR="00367215" w:rsidRPr="00367215" w:rsidRDefault="00367215" w:rsidP="00367215">
      <w:p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 xml:space="preserve">1. </w:t>
      </w:r>
      <w:r w:rsidRPr="00367215">
        <w:rPr>
          <w:rFonts w:ascii="Times New Roman" w:eastAsia="宋体" w:hAnsi="Times New Roman" w:cs="Times New Roman"/>
          <w:sz w:val="24"/>
        </w:rPr>
        <w:t>试简述病毒的特性（与细胞生物的区别）。</w:t>
      </w:r>
    </w:p>
    <w:p w14:paraId="170CBD64" w14:textId="77777777" w:rsidR="00367215" w:rsidRPr="00367215" w:rsidRDefault="00367215" w:rsidP="00367215">
      <w:p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 xml:space="preserve">2. </w:t>
      </w:r>
      <w:r w:rsidRPr="00367215">
        <w:rPr>
          <w:rFonts w:ascii="Times New Roman" w:eastAsia="宋体" w:hAnsi="Times New Roman" w:cs="Times New Roman"/>
          <w:sz w:val="24"/>
        </w:rPr>
        <w:t>试简述病毒的结构、衣壳的对称机制和化学组成。</w:t>
      </w:r>
    </w:p>
    <w:p w14:paraId="5ECA73A0" w14:textId="77777777" w:rsidR="00367215" w:rsidRPr="00367215" w:rsidRDefault="00367215" w:rsidP="00367215">
      <w:pPr>
        <w:autoSpaceDN w:val="0"/>
        <w:adjustRightInd w:val="0"/>
        <w:snapToGrid w:val="0"/>
        <w:spacing w:line="500" w:lineRule="exact"/>
        <w:ind w:firstLineChars="200" w:firstLine="560"/>
        <w:jc w:val="center"/>
        <w:rPr>
          <w:rFonts w:ascii="Times New Roman" w:eastAsia="黑体" w:hAnsi="Times New Roman" w:cs="Times New Roman"/>
          <w:sz w:val="28"/>
          <w:szCs w:val="28"/>
        </w:rPr>
      </w:pPr>
      <w:r w:rsidRPr="00367215">
        <w:rPr>
          <w:rFonts w:ascii="Times New Roman" w:eastAsia="黑体" w:hAnsi="Times New Roman" w:cs="Times New Roman"/>
          <w:sz w:val="28"/>
          <w:szCs w:val="28"/>
        </w:rPr>
        <w:t>第五章</w:t>
      </w:r>
      <w:r w:rsidRPr="00367215">
        <w:rPr>
          <w:rFonts w:ascii="Times New Roman" w:eastAsia="黑体" w:hAnsi="Times New Roman" w:cs="Times New Roman"/>
          <w:sz w:val="28"/>
          <w:szCs w:val="28"/>
        </w:rPr>
        <w:t xml:space="preserve">  </w:t>
      </w:r>
      <w:r w:rsidRPr="00367215">
        <w:rPr>
          <w:rFonts w:ascii="Times New Roman" w:eastAsia="黑体" w:hAnsi="Times New Roman" w:cs="Times New Roman"/>
          <w:sz w:val="28"/>
          <w:szCs w:val="28"/>
        </w:rPr>
        <w:t>微生物的营养</w:t>
      </w:r>
      <w:r w:rsidRPr="00367215">
        <w:rPr>
          <w:rFonts w:ascii="Times New Roman" w:eastAsia="黑体" w:hAnsi="Times New Roman" w:cs="Times New Roman" w:hint="eastAsia"/>
          <w:sz w:val="28"/>
          <w:szCs w:val="28"/>
        </w:rPr>
        <w:t>和培养基</w:t>
      </w:r>
    </w:p>
    <w:p w14:paraId="17C2BA36" w14:textId="77777777" w:rsidR="00367215" w:rsidRPr="00367215" w:rsidRDefault="00367215" w:rsidP="00367215">
      <w:pPr>
        <w:spacing w:line="440" w:lineRule="exact"/>
        <w:ind w:firstLineChars="200" w:firstLine="482"/>
        <w:rPr>
          <w:rFonts w:ascii="Times New Roman" w:eastAsia="宋体" w:hAnsi="Times New Roman" w:cs="Times New Roman"/>
          <w:b/>
          <w:sz w:val="24"/>
          <w:szCs w:val="21"/>
        </w:rPr>
      </w:pPr>
      <w:r w:rsidRPr="00367215">
        <w:rPr>
          <w:rFonts w:ascii="Times New Roman" w:eastAsia="宋体" w:hAnsi="Times New Roman" w:cs="Times New Roman"/>
          <w:b/>
          <w:sz w:val="24"/>
          <w:szCs w:val="21"/>
        </w:rPr>
        <w:t>【学习目标】</w:t>
      </w:r>
    </w:p>
    <w:p w14:paraId="246E717A"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1. </w:t>
      </w:r>
      <w:r w:rsidRPr="00367215">
        <w:rPr>
          <w:rFonts w:ascii="Times New Roman" w:eastAsia="宋体" w:hAnsi="Times New Roman" w:cs="Times New Roman"/>
          <w:sz w:val="24"/>
          <w:szCs w:val="21"/>
        </w:rPr>
        <w:t>认知类目标：</w:t>
      </w:r>
      <w:r w:rsidRPr="00367215">
        <w:rPr>
          <w:rFonts w:ascii="Times New Roman" w:eastAsia="宋体" w:hAnsi="Times New Roman" w:cs="Times New Roman" w:hint="eastAsia"/>
          <w:sz w:val="24"/>
          <w:szCs w:val="21"/>
        </w:rPr>
        <w:t>掌握六大营养要素在微生物生命活动中功能和供给形式、微生物的营养类型、营养物质进入细胞的四种主要方式、选用设计培养基的原则、培养基的</w:t>
      </w:r>
      <w:r w:rsidRPr="00367215">
        <w:rPr>
          <w:rFonts w:ascii="Times New Roman" w:eastAsia="宋体" w:hAnsi="Times New Roman" w:cs="Times New Roman" w:hint="eastAsia"/>
          <w:sz w:val="24"/>
          <w:szCs w:val="21"/>
        </w:rPr>
        <w:lastRenderedPageBreak/>
        <w:t>种类。掌握根据碳源、</w:t>
      </w:r>
      <w:proofErr w:type="gramStart"/>
      <w:r w:rsidRPr="00367215">
        <w:rPr>
          <w:rFonts w:ascii="Times New Roman" w:eastAsia="宋体" w:hAnsi="Times New Roman" w:cs="Times New Roman" w:hint="eastAsia"/>
          <w:sz w:val="24"/>
          <w:szCs w:val="21"/>
        </w:rPr>
        <w:t>氮源的</w:t>
      </w:r>
      <w:proofErr w:type="gramEnd"/>
      <w:r w:rsidRPr="00367215">
        <w:rPr>
          <w:rFonts w:ascii="Times New Roman" w:eastAsia="宋体" w:hAnsi="Times New Roman" w:cs="Times New Roman" w:hint="eastAsia"/>
          <w:sz w:val="24"/>
          <w:szCs w:val="21"/>
        </w:rPr>
        <w:t>不同筛选工业微生物菌种的方法，了解微生物营养与工业微生物发酵的关系；</w:t>
      </w:r>
    </w:p>
    <w:p w14:paraId="3C041037"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2. </w:t>
      </w:r>
      <w:r w:rsidRPr="00367215">
        <w:rPr>
          <w:rFonts w:ascii="Times New Roman" w:eastAsia="宋体" w:hAnsi="Times New Roman" w:cs="Times New Roman"/>
          <w:sz w:val="24"/>
          <w:szCs w:val="21"/>
        </w:rPr>
        <w:t>过程与方法类目标：</w:t>
      </w:r>
      <w:r w:rsidRPr="00367215">
        <w:rPr>
          <w:rFonts w:ascii="Times New Roman" w:eastAsia="宋体" w:hAnsi="Times New Roman" w:cs="Times New Roman" w:hint="eastAsia"/>
          <w:sz w:val="24"/>
          <w:szCs w:val="21"/>
        </w:rPr>
        <w:t>通过学习使学生能够应用这些知识，并通过查阅文献正确地分析药物分析相关领域复杂工程问题；</w:t>
      </w:r>
    </w:p>
    <w:p w14:paraId="02EEDEFB"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3. </w:t>
      </w:r>
      <w:r w:rsidRPr="00367215">
        <w:rPr>
          <w:rFonts w:ascii="Times New Roman" w:eastAsia="宋体" w:hAnsi="Times New Roman" w:cs="Times New Roman"/>
          <w:sz w:val="24"/>
          <w:szCs w:val="21"/>
        </w:rPr>
        <w:t>情感、态度、价值观类目标：</w:t>
      </w:r>
      <w:r w:rsidRPr="00367215">
        <w:rPr>
          <w:rFonts w:ascii="Times New Roman" w:eastAsia="宋体" w:hAnsi="Times New Roman" w:cs="Times New Roman" w:hint="eastAsia"/>
          <w:sz w:val="24"/>
          <w:szCs w:val="21"/>
        </w:rPr>
        <w:t>具有自主学习和终身学习的意识，有不断学习和适应发展的能力。</w:t>
      </w:r>
    </w:p>
    <w:p w14:paraId="20ED0439" w14:textId="77777777" w:rsidR="00367215" w:rsidRPr="00367215" w:rsidRDefault="00367215" w:rsidP="00367215">
      <w:pPr>
        <w:autoSpaceDN w:val="0"/>
        <w:adjustRightInd w:val="0"/>
        <w:snapToGrid w:val="0"/>
        <w:spacing w:line="500" w:lineRule="exact"/>
        <w:ind w:firstLineChars="200" w:firstLine="482"/>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hint="eastAsia"/>
          <w:b/>
          <w:sz w:val="24"/>
        </w:rPr>
        <w:t>学习</w:t>
      </w:r>
      <w:r w:rsidRPr="00367215">
        <w:rPr>
          <w:rFonts w:ascii="Times New Roman" w:eastAsia="宋体" w:hAnsi="Times New Roman" w:cs="Times New Roman"/>
          <w:b/>
          <w:sz w:val="24"/>
        </w:rPr>
        <w:t>内容】</w:t>
      </w:r>
    </w:p>
    <w:p w14:paraId="3FC7CBA9" w14:textId="77777777" w:rsidR="00367215" w:rsidRPr="00367215" w:rsidRDefault="00367215" w:rsidP="00367215">
      <w:pPr>
        <w:autoSpaceDN w:val="0"/>
        <w:adjustRightInd w:val="0"/>
        <w:snapToGrid w:val="0"/>
        <w:spacing w:line="50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1.</w:t>
      </w:r>
      <w:r w:rsidRPr="00367215">
        <w:rPr>
          <w:rFonts w:ascii="Times New Roman" w:eastAsia="宋体" w:hAnsi="Times New Roman" w:cs="Times New Roman" w:hint="eastAsia"/>
          <w:sz w:val="24"/>
        </w:rPr>
        <w:t xml:space="preserve"> </w:t>
      </w:r>
      <w:r w:rsidRPr="00367215">
        <w:rPr>
          <w:rFonts w:ascii="Times New Roman" w:eastAsia="宋体" w:hAnsi="Times New Roman" w:cs="Times New Roman"/>
          <w:sz w:val="24"/>
        </w:rPr>
        <w:t>微生物细胞的化学组成和营养要求</w:t>
      </w:r>
    </w:p>
    <w:p w14:paraId="6EDCF1C7" w14:textId="77777777" w:rsidR="00367215" w:rsidRPr="00367215" w:rsidRDefault="00367215" w:rsidP="00367215">
      <w:pPr>
        <w:autoSpaceDN w:val="0"/>
        <w:adjustRightInd w:val="0"/>
        <w:snapToGrid w:val="0"/>
        <w:spacing w:line="50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2.</w:t>
      </w:r>
      <w:r w:rsidRPr="00367215">
        <w:rPr>
          <w:rFonts w:ascii="Times New Roman" w:eastAsia="宋体" w:hAnsi="Times New Roman" w:cs="Times New Roman" w:hint="eastAsia"/>
          <w:sz w:val="24"/>
        </w:rPr>
        <w:t xml:space="preserve"> </w:t>
      </w:r>
      <w:r w:rsidRPr="00367215">
        <w:rPr>
          <w:rFonts w:ascii="Times New Roman" w:eastAsia="宋体" w:hAnsi="Times New Roman" w:cs="Times New Roman"/>
          <w:sz w:val="24"/>
        </w:rPr>
        <w:t>微生物的营养类型</w:t>
      </w:r>
    </w:p>
    <w:p w14:paraId="2D3441E6" w14:textId="77777777" w:rsidR="00367215" w:rsidRPr="00367215" w:rsidRDefault="00367215" w:rsidP="00367215">
      <w:pPr>
        <w:tabs>
          <w:tab w:val="left" w:pos="0"/>
        </w:tabs>
        <w:adjustRightInd w:val="0"/>
        <w:snapToGrid w:val="0"/>
        <w:spacing w:line="500" w:lineRule="exact"/>
        <w:ind w:firstLineChars="300" w:firstLine="720"/>
        <w:jc w:val="left"/>
        <w:rPr>
          <w:rFonts w:ascii="Times New Roman" w:eastAsia="宋体" w:hAnsi="Times New Roman" w:cs="Times New Roman"/>
          <w:sz w:val="24"/>
        </w:rPr>
      </w:pPr>
      <w:r w:rsidRPr="00367215">
        <w:rPr>
          <w:rFonts w:ascii="Times New Roman" w:eastAsia="宋体" w:hAnsi="Times New Roman" w:cs="Times New Roman"/>
          <w:sz w:val="24"/>
        </w:rPr>
        <w:t>3.</w:t>
      </w:r>
      <w:r w:rsidRPr="00367215">
        <w:rPr>
          <w:rFonts w:ascii="Times New Roman" w:eastAsia="宋体" w:hAnsi="Times New Roman" w:cs="Times New Roman" w:hint="eastAsia"/>
          <w:sz w:val="24"/>
        </w:rPr>
        <w:t xml:space="preserve"> </w:t>
      </w:r>
      <w:r w:rsidRPr="00367215">
        <w:rPr>
          <w:rFonts w:ascii="Times New Roman" w:eastAsia="宋体" w:hAnsi="Times New Roman" w:cs="Times New Roman"/>
          <w:sz w:val="24"/>
        </w:rPr>
        <w:t>营养物质进入细胞的方式</w:t>
      </w:r>
    </w:p>
    <w:p w14:paraId="48D0EFE4" w14:textId="77777777" w:rsidR="00367215" w:rsidRPr="00367215" w:rsidRDefault="00367215" w:rsidP="00367215">
      <w:pPr>
        <w:tabs>
          <w:tab w:val="left" w:pos="0"/>
        </w:tabs>
        <w:adjustRightInd w:val="0"/>
        <w:snapToGrid w:val="0"/>
        <w:spacing w:line="500" w:lineRule="exact"/>
        <w:ind w:firstLineChars="300" w:firstLine="720"/>
        <w:jc w:val="left"/>
        <w:rPr>
          <w:rFonts w:ascii="Times New Roman" w:eastAsia="宋体" w:hAnsi="Times New Roman" w:cs="Times New Roman"/>
          <w:sz w:val="24"/>
        </w:rPr>
      </w:pPr>
      <w:r w:rsidRPr="00367215">
        <w:rPr>
          <w:rFonts w:ascii="Times New Roman" w:eastAsia="宋体" w:hAnsi="Times New Roman" w:cs="Times New Roman"/>
          <w:sz w:val="24"/>
        </w:rPr>
        <w:t>4.</w:t>
      </w:r>
      <w:r w:rsidRPr="00367215">
        <w:rPr>
          <w:rFonts w:ascii="Times New Roman" w:eastAsia="宋体" w:hAnsi="Times New Roman" w:cs="Times New Roman" w:hint="eastAsia"/>
          <w:sz w:val="24"/>
        </w:rPr>
        <w:t xml:space="preserve"> </w:t>
      </w:r>
      <w:r w:rsidRPr="00367215">
        <w:rPr>
          <w:rFonts w:ascii="Times New Roman" w:eastAsia="宋体" w:hAnsi="Times New Roman" w:cs="Times New Roman"/>
          <w:sz w:val="24"/>
        </w:rPr>
        <w:t>培养基</w:t>
      </w:r>
    </w:p>
    <w:p w14:paraId="128FE7C8" w14:textId="77777777" w:rsidR="00367215" w:rsidRPr="00367215" w:rsidRDefault="00367215" w:rsidP="00367215">
      <w:pPr>
        <w:tabs>
          <w:tab w:val="left" w:pos="0"/>
        </w:tabs>
        <w:adjustRightInd w:val="0"/>
        <w:snapToGrid w:val="0"/>
        <w:spacing w:line="500" w:lineRule="exact"/>
        <w:ind w:firstLineChars="200" w:firstLine="482"/>
        <w:jc w:val="left"/>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b/>
          <w:color w:val="000000"/>
          <w:sz w:val="24"/>
        </w:rPr>
        <w:t>重点</w:t>
      </w:r>
      <w:r w:rsidRPr="00367215">
        <w:rPr>
          <w:rFonts w:ascii="Times New Roman" w:eastAsia="宋体" w:hAnsi="Times New Roman" w:cs="Times New Roman"/>
          <w:b/>
          <w:sz w:val="24"/>
        </w:rPr>
        <w:t>】</w:t>
      </w:r>
    </w:p>
    <w:p w14:paraId="35BB90FD" w14:textId="77777777" w:rsidR="00367215" w:rsidRPr="00367215" w:rsidRDefault="00367215" w:rsidP="00367215">
      <w:p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碳源、氮源、能源、生长因子、无机盐和水六大营养要素在微生物生命活动中功能和供给形式；</w:t>
      </w:r>
      <w:r w:rsidRPr="00367215">
        <w:rPr>
          <w:rFonts w:ascii="Times New Roman" w:eastAsia="宋体" w:hAnsi="Times New Roman" w:cs="Times New Roman"/>
          <w:sz w:val="24"/>
        </w:rPr>
        <w:t> </w:t>
      </w:r>
      <w:r w:rsidRPr="00367215">
        <w:rPr>
          <w:rFonts w:ascii="Times New Roman" w:eastAsia="宋体" w:hAnsi="Times New Roman" w:cs="Times New Roman"/>
          <w:sz w:val="24"/>
        </w:rPr>
        <w:t>掌握</w:t>
      </w:r>
      <w:r w:rsidRPr="00367215">
        <w:rPr>
          <w:rFonts w:ascii="Times New Roman" w:eastAsia="宋体" w:hAnsi="Times New Roman" w:cs="Times New Roman"/>
          <w:sz w:val="24"/>
        </w:rPr>
        <w:t>.</w:t>
      </w:r>
      <w:r w:rsidRPr="00367215">
        <w:rPr>
          <w:rFonts w:ascii="Times New Roman" w:eastAsia="宋体" w:hAnsi="Times New Roman" w:cs="Times New Roman"/>
          <w:sz w:val="24"/>
        </w:rPr>
        <w:t>光能自养型、光能异养型、化能自养型和化能异养型；</w:t>
      </w:r>
    </w:p>
    <w:p w14:paraId="77B60FA0" w14:textId="77777777" w:rsidR="00367215" w:rsidRPr="00367215" w:rsidRDefault="00367215" w:rsidP="00367215">
      <w:pPr>
        <w:tabs>
          <w:tab w:val="left" w:pos="0"/>
        </w:tabs>
        <w:adjustRightInd w:val="0"/>
        <w:snapToGrid w:val="0"/>
        <w:spacing w:line="500" w:lineRule="exact"/>
        <w:ind w:firstLineChars="200" w:firstLine="482"/>
        <w:jc w:val="left"/>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b/>
          <w:color w:val="000000"/>
          <w:sz w:val="24"/>
        </w:rPr>
        <w:t>难点</w:t>
      </w:r>
      <w:r w:rsidRPr="00367215">
        <w:rPr>
          <w:rFonts w:ascii="Times New Roman" w:eastAsia="宋体" w:hAnsi="Times New Roman" w:cs="Times New Roman"/>
          <w:b/>
          <w:sz w:val="24"/>
        </w:rPr>
        <w:t>】</w:t>
      </w:r>
    </w:p>
    <w:p w14:paraId="1E82658A" w14:textId="77777777" w:rsidR="00367215" w:rsidRPr="00367215" w:rsidRDefault="00367215" w:rsidP="00367215">
      <w:p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掌握营养物质进入细胞的方式，选择性培养基和鉴别性培养基的选择鉴别性原理和应用。</w:t>
      </w:r>
    </w:p>
    <w:p w14:paraId="0B7E0EB7"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bCs/>
          <w:sz w:val="24"/>
        </w:rPr>
      </w:pPr>
      <w:r w:rsidRPr="00367215">
        <w:rPr>
          <w:rFonts w:ascii="Times New Roman" w:eastAsia="宋体" w:hAnsi="Times New Roman" w:cs="Times New Roman"/>
          <w:b/>
          <w:bCs/>
          <w:sz w:val="24"/>
        </w:rPr>
        <w:t>【教学方法】</w:t>
      </w:r>
    </w:p>
    <w:p w14:paraId="7E074311" w14:textId="77777777" w:rsidR="00367215" w:rsidRPr="00367215" w:rsidRDefault="00367215">
      <w:pPr>
        <w:numPr>
          <w:ilvl w:val="0"/>
          <w:numId w:val="124"/>
        </w:numPr>
        <w:spacing w:line="440" w:lineRule="exact"/>
        <w:ind w:firstLineChars="200" w:firstLine="48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通过多媒体课件和传统的板书教学相结合，讲授微生物营养学的基本知识，使学生更扎实地学好本课程。</w:t>
      </w:r>
    </w:p>
    <w:p w14:paraId="77A4D30A" w14:textId="77777777" w:rsidR="00367215" w:rsidRPr="00367215" w:rsidRDefault="00367215">
      <w:pPr>
        <w:numPr>
          <w:ilvl w:val="0"/>
          <w:numId w:val="124"/>
        </w:numPr>
        <w:spacing w:line="440" w:lineRule="exact"/>
        <w:ind w:firstLineChars="200" w:firstLine="48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通过案例分析法，调动学生学习兴趣。提高学生发现问题、分析问题、解决问题的能力。</w:t>
      </w:r>
    </w:p>
    <w:p w14:paraId="09412E2F"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sz w:val="24"/>
        </w:rPr>
      </w:pPr>
      <w:r w:rsidRPr="00367215">
        <w:rPr>
          <w:rFonts w:ascii="Times New Roman" w:eastAsia="宋体" w:hAnsi="Times New Roman" w:cs="Times New Roman"/>
          <w:b/>
          <w:sz w:val="24"/>
        </w:rPr>
        <w:t>【复习思考】</w:t>
      </w:r>
    </w:p>
    <w:p w14:paraId="249564D1" w14:textId="77777777" w:rsidR="00367215" w:rsidRPr="00367215" w:rsidRDefault="00367215">
      <w:pPr>
        <w:numPr>
          <w:ilvl w:val="0"/>
          <w:numId w:val="125"/>
        </w:numPr>
        <w:tabs>
          <w:tab w:val="left" w:pos="0"/>
        </w:tabs>
        <w:adjustRightInd w:val="0"/>
        <w:snapToGrid w:val="0"/>
        <w:spacing w:line="500" w:lineRule="exact"/>
        <w:ind w:firstLineChars="200" w:firstLine="480"/>
        <w:jc w:val="left"/>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以能源和</w:t>
      </w:r>
      <w:proofErr w:type="gramStart"/>
      <w:r w:rsidRPr="00367215">
        <w:rPr>
          <w:rFonts w:ascii="Times New Roman" w:eastAsia="宋体" w:hAnsi="Times New Roman" w:cs="Times New Roman"/>
          <w:color w:val="000000"/>
          <w:sz w:val="24"/>
        </w:rPr>
        <w:t>碳源</w:t>
      </w:r>
      <w:proofErr w:type="gramEnd"/>
      <w:r w:rsidRPr="00367215">
        <w:rPr>
          <w:rFonts w:ascii="Times New Roman" w:eastAsia="宋体" w:hAnsi="Times New Roman" w:cs="Times New Roman"/>
          <w:color w:val="000000"/>
          <w:sz w:val="24"/>
        </w:rPr>
        <w:t>来划分</w:t>
      </w:r>
      <w:r w:rsidRPr="00367215">
        <w:rPr>
          <w:rFonts w:ascii="Times New Roman" w:eastAsia="宋体" w:hAnsi="Times New Roman" w:cs="Times New Roman"/>
          <w:color w:val="000000"/>
          <w:sz w:val="24"/>
        </w:rPr>
        <w:t xml:space="preserve">, </w:t>
      </w:r>
      <w:r w:rsidRPr="00367215">
        <w:rPr>
          <w:rFonts w:ascii="Times New Roman" w:eastAsia="宋体" w:hAnsi="Times New Roman" w:cs="Times New Roman"/>
          <w:color w:val="000000"/>
          <w:sz w:val="24"/>
        </w:rPr>
        <w:t>微生物的营养类型都有哪些？</w:t>
      </w:r>
    </w:p>
    <w:p w14:paraId="1249720E" w14:textId="77777777" w:rsidR="00367215" w:rsidRPr="00367215" w:rsidRDefault="00367215">
      <w:pPr>
        <w:numPr>
          <w:ilvl w:val="0"/>
          <w:numId w:val="125"/>
        </w:numPr>
        <w:tabs>
          <w:tab w:val="left" w:pos="0"/>
        </w:tabs>
        <w:adjustRightInd w:val="0"/>
        <w:snapToGrid w:val="0"/>
        <w:spacing w:line="500" w:lineRule="exact"/>
        <w:ind w:firstLineChars="200" w:firstLine="480"/>
        <w:jc w:val="left"/>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列表比较营养物质进入细胞的方式。</w:t>
      </w:r>
    </w:p>
    <w:p w14:paraId="26A94B8B" w14:textId="77777777" w:rsidR="00367215" w:rsidRPr="00367215" w:rsidRDefault="00367215">
      <w:pPr>
        <w:numPr>
          <w:ilvl w:val="0"/>
          <w:numId w:val="125"/>
        </w:num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如何从土样中分离产蛋白酶或淀粉酶的芽孢杆菌？</w:t>
      </w:r>
    </w:p>
    <w:p w14:paraId="47C3DFC6" w14:textId="77777777" w:rsidR="00367215" w:rsidRPr="00367215" w:rsidRDefault="00367215" w:rsidP="00367215">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367215">
        <w:rPr>
          <w:rFonts w:ascii="Times New Roman" w:eastAsia="黑体" w:hAnsi="Times New Roman" w:cs="Times New Roman"/>
          <w:sz w:val="28"/>
          <w:szCs w:val="28"/>
        </w:rPr>
        <w:t>第</w:t>
      </w:r>
      <w:r w:rsidRPr="00367215">
        <w:rPr>
          <w:rFonts w:ascii="Times New Roman" w:eastAsia="黑体" w:hAnsi="Times New Roman" w:cs="Times New Roman" w:hint="eastAsia"/>
          <w:sz w:val="28"/>
          <w:szCs w:val="28"/>
        </w:rPr>
        <w:t>六</w:t>
      </w:r>
      <w:r w:rsidRPr="00367215">
        <w:rPr>
          <w:rFonts w:ascii="Times New Roman" w:eastAsia="黑体" w:hAnsi="Times New Roman" w:cs="Times New Roman"/>
          <w:sz w:val="28"/>
          <w:szCs w:val="28"/>
        </w:rPr>
        <w:t>章</w:t>
      </w:r>
      <w:r w:rsidRPr="00367215">
        <w:rPr>
          <w:rFonts w:ascii="Times New Roman" w:eastAsia="黑体" w:hAnsi="Times New Roman" w:cs="Times New Roman"/>
          <w:sz w:val="28"/>
          <w:szCs w:val="28"/>
        </w:rPr>
        <w:t xml:space="preserve">  </w:t>
      </w:r>
      <w:r w:rsidRPr="00367215">
        <w:rPr>
          <w:rFonts w:ascii="Times New Roman" w:eastAsia="黑体" w:hAnsi="Times New Roman" w:cs="Times New Roman"/>
          <w:sz w:val="28"/>
          <w:szCs w:val="28"/>
        </w:rPr>
        <w:t>微生物的生长与控制</w:t>
      </w:r>
      <w:r w:rsidRPr="00367215">
        <w:rPr>
          <w:rFonts w:ascii="Times New Roman" w:eastAsia="黑体" w:hAnsi="Times New Roman" w:cs="Times New Roman"/>
          <w:sz w:val="28"/>
          <w:szCs w:val="28"/>
        </w:rPr>
        <w:t xml:space="preserve"> </w:t>
      </w:r>
    </w:p>
    <w:p w14:paraId="406C8553" w14:textId="77777777" w:rsidR="00367215" w:rsidRPr="00367215" w:rsidRDefault="00367215" w:rsidP="00367215">
      <w:pPr>
        <w:spacing w:line="440" w:lineRule="exact"/>
        <w:ind w:firstLineChars="200" w:firstLine="482"/>
        <w:rPr>
          <w:rFonts w:ascii="Times New Roman" w:eastAsia="宋体" w:hAnsi="Times New Roman" w:cs="Times New Roman"/>
          <w:b/>
          <w:sz w:val="24"/>
          <w:szCs w:val="21"/>
        </w:rPr>
      </w:pPr>
      <w:r w:rsidRPr="00367215">
        <w:rPr>
          <w:rFonts w:ascii="Times New Roman" w:eastAsia="宋体" w:hAnsi="Times New Roman" w:cs="Times New Roman"/>
          <w:b/>
          <w:sz w:val="24"/>
          <w:szCs w:val="21"/>
        </w:rPr>
        <w:t>【学习目标】</w:t>
      </w:r>
    </w:p>
    <w:p w14:paraId="1E438531"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lastRenderedPageBreak/>
        <w:t xml:space="preserve">1. </w:t>
      </w:r>
      <w:r w:rsidRPr="00367215">
        <w:rPr>
          <w:rFonts w:ascii="Times New Roman" w:eastAsia="宋体" w:hAnsi="Times New Roman" w:cs="Times New Roman"/>
          <w:sz w:val="24"/>
          <w:szCs w:val="21"/>
        </w:rPr>
        <w:t>认知类目标：</w:t>
      </w:r>
      <w:r w:rsidRPr="00367215">
        <w:rPr>
          <w:rFonts w:ascii="Times New Roman" w:eastAsia="宋体" w:hAnsi="Times New Roman" w:cs="Times New Roman" w:hint="eastAsia"/>
          <w:sz w:val="24"/>
          <w:szCs w:val="21"/>
        </w:rPr>
        <w:t>掌握微生物生长发育的规律及生长条件的控制，掌握生长的测定方法，学会同步培养和连续培养的方法，了解物理因素、化学因素对微生物生长发育的影响及实际应用，掌握消毒和灭菌的原理和方法；</w:t>
      </w:r>
    </w:p>
    <w:p w14:paraId="1F595995"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2. </w:t>
      </w:r>
      <w:r w:rsidRPr="00367215">
        <w:rPr>
          <w:rFonts w:ascii="Times New Roman" w:eastAsia="宋体" w:hAnsi="Times New Roman" w:cs="Times New Roman"/>
          <w:sz w:val="24"/>
          <w:szCs w:val="21"/>
        </w:rPr>
        <w:t>过程与方法类目标：</w:t>
      </w:r>
      <w:r w:rsidRPr="00367215">
        <w:rPr>
          <w:rFonts w:ascii="Times New Roman" w:eastAsia="宋体" w:hAnsi="Times New Roman" w:cs="Times New Roman" w:hint="eastAsia"/>
          <w:sz w:val="24"/>
          <w:szCs w:val="21"/>
        </w:rPr>
        <w:t>通过学习使学生能够应用这些知识，并通过查阅文献正确地分析药物分析相关领域复杂工程问题；</w:t>
      </w:r>
    </w:p>
    <w:p w14:paraId="41CE661F"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3. </w:t>
      </w:r>
      <w:r w:rsidRPr="00367215">
        <w:rPr>
          <w:rFonts w:ascii="Times New Roman" w:eastAsia="宋体" w:hAnsi="Times New Roman" w:cs="Times New Roman"/>
          <w:sz w:val="24"/>
          <w:szCs w:val="21"/>
        </w:rPr>
        <w:t>情感、态度、价值观类目标：</w:t>
      </w:r>
      <w:r w:rsidRPr="00367215">
        <w:rPr>
          <w:rFonts w:ascii="Times New Roman" w:eastAsia="宋体" w:hAnsi="Times New Roman" w:cs="Times New Roman" w:hint="eastAsia"/>
          <w:sz w:val="24"/>
          <w:szCs w:val="21"/>
        </w:rPr>
        <w:t>具有自主学习和终身学习的意识，有不断学习和适应发展的能力。</w:t>
      </w:r>
    </w:p>
    <w:p w14:paraId="2630878F" w14:textId="77777777" w:rsidR="00367215" w:rsidRPr="00367215" w:rsidRDefault="00367215" w:rsidP="00367215">
      <w:pPr>
        <w:tabs>
          <w:tab w:val="left" w:pos="0"/>
        </w:tabs>
        <w:adjustRightInd w:val="0"/>
        <w:snapToGrid w:val="0"/>
        <w:spacing w:line="500" w:lineRule="exact"/>
        <w:ind w:firstLineChars="300" w:firstLine="723"/>
        <w:jc w:val="left"/>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hint="eastAsia"/>
          <w:b/>
          <w:sz w:val="24"/>
        </w:rPr>
        <w:t>学习</w:t>
      </w:r>
      <w:r w:rsidRPr="00367215">
        <w:rPr>
          <w:rFonts w:ascii="Times New Roman" w:eastAsia="宋体" w:hAnsi="Times New Roman" w:cs="Times New Roman"/>
          <w:b/>
          <w:sz w:val="24"/>
        </w:rPr>
        <w:t>内容】</w:t>
      </w:r>
    </w:p>
    <w:p w14:paraId="2ECD39B0" w14:textId="77777777" w:rsidR="00367215" w:rsidRPr="00367215" w:rsidRDefault="00367215">
      <w:pPr>
        <w:numPr>
          <w:ilvl w:val="0"/>
          <w:numId w:val="126"/>
        </w:numPr>
        <w:tabs>
          <w:tab w:val="left" w:pos="0"/>
        </w:tabs>
        <w:adjustRightInd w:val="0"/>
        <w:snapToGrid w:val="0"/>
        <w:spacing w:line="500" w:lineRule="exact"/>
        <w:ind w:leftChars="100" w:left="210"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微生物生长的测定</w:t>
      </w:r>
      <w:r w:rsidRPr="00367215">
        <w:rPr>
          <w:rFonts w:ascii="Times New Roman" w:eastAsia="宋体" w:hAnsi="Times New Roman" w:cs="Times New Roman"/>
          <w:sz w:val="24"/>
        </w:rPr>
        <w:t xml:space="preserve">  </w:t>
      </w:r>
    </w:p>
    <w:p w14:paraId="122AEC62" w14:textId="77777777" w:rsidR="00367215" w:rsidRPr="00367215" w:rsidRDefault="00367215">
      <w:pPr>
        <w:numPr>
          <w:ilvl w:val="0"/>
          <w:numId w:val="126"/>
        </w:numPr>
        <w:tabs>
          <w:tab w:val="left" w:pos="0"/>
        </w:tabs>
        <w:adjustRightInd w:val="0"/>
        <w:snapToGrid w:val="0"/>
        <w:spacing w:line="500" w:lineRule="exact"/>
        <w:ind w:leftChars="100" w:left="210"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微生物的生长规律</w:t>
      </w:r>
    </w:p>
    <w:p w14:paraId="13BB1E1B" w14:textId="77777777" w:rsidR="00367215" w:rsidRPr="00367215" w:rsidRDefault="00367215">
      <w:pPr>
        <w:numPr>
          <w:ilvl w:val="0"/>
          <w:numId w:val="126"/>
        </w:numPr>
        <w:tabs>
          <w:tab w:val="left" w:pos="0"/>
        </w:tabs>
        <w:adjustRightInd w:val="0"/>
        <w:snapToGrid w:val="0"/>
        <w:spacing w:line="500" w:lineRule="exact"/>
        <w:ind w:leftChars="100" w:left="210"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环境对微生物生长的影响</w:t>
      </w:r>
    </w:p>
    <w:p w14:paraId="0C7EB59F" w14:textId="77777777" w:rsidR="00367215" w:rsidRPr="00367215" w:rsidRDefault="00367215">
      <w:pPr>
        <w:numPr>
          <w:ilvl w:val="0"/>
          <w:numId w:val="126"/>
        </w:numPr>
        <w:tabs>
          <w:tab w:val="left" w:pos="0"/>
        </w:tabs>
        <w:adjustRightInd w:val="0"/>
        <w:snapToGrid w:val="0"/>
        <w:spacing w:line="500" w:lineRule="exact"/>
        <w:ind w:leftChars="100" w:left="210"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微生物生长的控制</w:t>
      </w:r>
    </w:p>
    <w:p w14:paraId="740A56FF" w14:textId="77777777" w:rsidR="00367215" w:rsidRPr="00367215" w:rsidRDefault="00367215" w:rsidP="00367215">
      <w:pPr>
        <w:tabs>
          <w:tab w:val="left" w:pos="0"/>
        </w:tabs>
        <w:adjustRightInd w:val="0"/>
        <w:snapToGrid w:val="0"/>
        <w:spacing w:line="500" w:lineRule="exact"/>
        <w:ind w:firstLineChars="200" w:firstLine="482"/>
        <w:jc w:val="left"/>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b/>
          <w:color w:val="000000"/>
          <w:sz w:val="24"/>
        </w:rPr>
        <w:t>重点</w:t>
      </w:r>
      <w:r w:rsidRPr="00367215">
        <w:rPr>
          <w:rFonts w:ascii="Times New Roman" w:eastAsia="宋体" w:hAnsi="Times New Roman" w:cs="Times New Roman"/>
          <w:b/>
          <w:sz w:val="24"/>
        </w:rPr>
        <w:t>】</w:t>
      </w:r>
    </w:p>
    <w:p w14:paraId="4BB8645B" w14:textId="77777777" w:rsidR="00367215" w:rsidRPr="00367215" w:rsidRDefault="00367215" w:rsidP="00367215">
      <w:p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掌握微生物生长的测定方法、单细胞微生物的典型生长曲线和同步培养的方法。掌握温度、</w:t>
      </w:r>
      <w:r w:rsidRPr="00367215">
        <w:rPr>
          <w:rFonts w:ascii="Times New Roman" w:eastAsia="宋体" w:hAnsi="Times New Roman" w:cs="Times New Roman"/>
          <w:sz w:val="24"/>
        </w:rPr>
        <w:t>pH</w:t>
      </w:r>
      <w:r w:rsidRPr="00367215">
        <w:rPr>
          <w:rFonts w:ascii="Times New Roman" w:eastAsia="宋体" w:hAnsi="Times New Roman" w:cs="Times New Roman"/>
          <w:sz w:val="24"/>
        </w:rPr>
        <w:t>、水活度和渗透压、氧气、辐射等理化因素对微生物生长的影响。</w:t>
      </w:r>
    </w:p>
    <w:p w14:paraId="7BEECA4D" w14:textId="77777777" w:rsidR="00367215" w:rsidRPr="00367215" w:rsidRDefault="00367215" w:rsidP="00367215">
      <w:pPr>
        <w:tabs>
          <w:tab w:val="left" w:pos="0"/>
        </w:tabs>
        <w:adjustRightInd w:val="0"/>
        <w:snapToGrid w:val="0"/>
        <w:spacing w:line="500" w:lineRule="exact"/>
        <w:ind w:firstLineChars="200" w:firstLine="482"/>
        <w:jc w:val="left"/>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b/>
          <w:color w:val="000000"/>
          <w:sz w:val="24"/>
        </w:rPr>
        <w:t>难点</w:t>
      </w:r>
      <w:r w:rsidRPr="00367215">
        <w:rPr>
          <w:rFonts w:ascii="Times New Roman" w:eastAsia="宋体" w:hAnsi="Times New Roman" w:cs="Times New Roman"/>
          <w:b/>
          <w:sz w:val="24"/>
        </w:rPr>
        <w:t>】</w:t>
      </w:r>
    </w:p>
    <w:p w14:paraId="12D3E49C" w14:textId="77777777" w:rsidR="00367215" w:rsidRPr="00367215" w:rsidRDefault="00367215" w:rsidP="00367215">
      <w:p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熟悉消毒、灭菌、防腐和化疗四个相关术语，常用的物理灭菌方法，包括各种加热法、辐射法和过滤法；常用的防腐剂和消毒剂及其用法；两类化学治疗剂包括抗代谢药物和抗生素的定义以及它们作用于微生物的机理和在生产中的应用。</w:t>
      </w:r>
    </w:p>
    <w:p w14:paraId="65F5F93B" w14:textId="77777777" w:rsidR="00367215" w:rsidRPr="00367215" w:rsidRDefault="00367215" w:rsidP="00367215">
      <w:pPr>
        <w:adjustRightInd w:val="0"/>
        <w:snapToGrid w:val="0"/>
        <w:spacing w:line="500" w:lineRule="exact"/>
        <w:ind w:firstLineChars="200" w:firstLine="482"/>
        <w:rPr>
          <w:rFonts w:ascii="Times New Roman" w:eastAsia="宋体" w:hAnsi="Times New Roman" w:cs="Times New Roman"/>
          <w:b/>
          <w:bCs/>
          <w:sz w:val="24"/>
        </w:rPr>
      </w:pPr>
      <w:r w:rsidRPr="00367215">
        <w:rPr>
          <w:rFonts w:ascii="Times New Roman" w:eastAsia="宋体" w:hAnsi="Times New Roman" w:cs="Times New Roman"/>
          <w:b/>
          <w:bCs/>
          <w:sz w:val="24"/>
        </w:rPr>
        <w:t>【教学方法】</w:t>
      </w:r>
    </w:p>
    <w:p w14:paraId="28672DFE" w14:textId="77777777" w:rsidR="00367215" w:rsidRPr="00367215" w:rsidRDefault="00367215">
      <w:pPr>
        <w:numPr>
          <w:ilvl w:val="0"/>
          <w:numId w:val="127"/>
        </w:numPr>
        <w:spacing w:line="440" w:lineRule="exact"/>
        <w:ind w:firstLineChars="200" w:firstLine="48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通过多媒体课件和传统的板书教学相结合，讲授基本知识，使学生更扎实地学好如何培养、观察和控制微生物。</w:t>
      </w:r>
    </w:p>
    <w:p w14:paraId="195C2FC9" w14:textId="77777777" w:rsidR="00367215" w:rsidRPr="00367215" w:rsidRDefault="00367215" w:rsidP="00367215">
      <w:pPr>
        <w:spacing w:line="440" w:lineRule="exact"/>
        <w:ind w:firstLineChars="200" w:firstLine="48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2.</w:t>
      </w:r>
      <w:r w:rsidRPr="00367215">
        <w:rPr>
          <w:rFonts w:ascii="Times New Roman" w:eastAsia="宋体" w:hAnsi="Times New Roman" w:cs="Times New Roman"/>
          <w:color w:val="000000"/>
          <w:sz w:val="24"/>
        </w:rPr>
        <w:t>通过案例分析法，调动学生学习兴趣。提高学生发现问题、分析问题、解决问题的能力。</w:t>
      </w:r>
    </w:p>
    <w:p w14:paraId="00A1E294" w14:textId="77777777" w:rsidR="00367215" w:rsidRPr="00367215" w:rsidRDefault="00367215" w:rsidP="00367215">
      <w:pPr>
        <w:adjustRightInd w:val="0"/>
        <w:snapToGrid w:val="0"/>
        <w:spacing w:line="500" w:lineRule="exact"/>
        <w:ind w:firstLineChars="200" w:firstLine="420"/>
        <w:rPr>
          <w:rFonts w:ascii="Times New Roman" w:eastAsia="宋体" w:hAnsi="Times New Roman" w:cs="Times New Roman"/>
          <w:b/>
          <w:sz w:val="24"/>
        </w:rPr>
      </w:pPr>
      <w:r w:rsidRPr="00367215">
        <w:rPr>
          <w:rFonts w:ascii="Times New Roman" w:eastAsia="宋体" w:hAnsi="Times New Roman" w:cs="Times New Roman"/>
        </w:rPr>
        <w:t xml:space="preserve"> </w:t>
      </w:r>
      <w:r w:rsidRPr="00367215">
        <w:rPr>
          <w:rFonts w:ascii="Times New Roman" w:eastAsia="宋体" w:hAnsi="Times New Roman" w:cs="Times New Roman"/>
          <w:b/>
          <w:sz w:val="24"/>
        </w:rPr>
        <w:t>【复习思考】</w:t>
      </w:r>
    </w:p>
    <w:p w14:paraId="5D7DEFDA" w14:textId="77777777" w:rsidR="00367215" w:rsidRPr="00367215" w:rsidRDefault="00367215">
      <w:pPr>
        <w:numPr>
          <w:ilvl w:val="0"/>
          <w:numId w:val="128"/>
        </w:numPr>
        <w:adjustRightInd w:val="0"/>
        <w:snapToGrid w:val="0"/>
        <w:spacing w:line="50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绘制微生物的生长曲线。</w:t>
      </w:r>
    </w:p>
    <w:p w14:paraId="43675EDB" w14:textId="77777777" w:rsidR="00367215" w:rsidRPr="00367215" w:rsidRDefault="00367215">
      <w:pPr>
        <w:numPr>
          <w:ilvl w:val="0"/>
          <w:numId w:val="128"/>
        </w:numPr>
        <w:adjustRightInd w:val="0"/>
        <w:snapToGrid w:val="0"/>
        <w:spacing w:line="50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sz w:val="24"/>
        </w:rPr>
        <w:t>在同样的温度和相同作用时间下，为什么湿热灭菌比干热灭菌更有效</w:t>
      </w:r>
      <w:r w:rsidRPr="00367215">
        <w:rPr>
          <w:rFonts w:ascii="Times New Roman" w:eastAsia="宋体" w:hAnsi="Times New Roman" w:cs="Times New Roman"/>
          <w:sz w:val="24"/>
        </w:rPr>
        <w:t>?</w:t>
      </w:r>
    </w:p>
    <w:p w14:paraId="6FAEC2A2" w14:textId="77777777" w:rsidR="00367215" w:rsidRPr="00367215" w:rsidRDefault="00367215" w:rsidP="00367215">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367215">
        <w:rPr>
          <w:rFonts w:ascii="Times New Roman" w:eastAsia="黑体" w:hAnsi="Times New Roman" w:cs="Times New Roman"/>
          <w:sz w:val="28"/>
          <w:szCs w:val="28"/>
        </w:rPr>
        <w:t>第</w:t>
      </w:r>
      <w:r w:rsidRPr="00367215">
        <w:rPr>
          <w:rFonts w:ascii="Times New Roman" w:eastAsia="黑体" w:hAnsi="Times New Roman" w:cs="Times New Roman" w:hint="eastAsia"/>
          <w:sz w:val="28"/>
          <w:szCs w:val="28"/>
        </w:rPr>
        <w:t>七</w:t>
      </w:r>
      <w:r w:rsidRPr="00367215">
        <w:rPr>
          <w:rFonts w:ascii="Times New Roman" w:eastAsia="黑体" w:hAnsi="Times New Roman" w:cs="Times New Roman"/>
          <w:sz w:val="28"/>
          <w:szCs w:val="28"/>
        </w:rPr>
        <w:t>章</w:t>
      </w:r>
      <w:r w:rsidRPr="00367215">
        <w:rPr>
          <w:rFonts w:ascii="Times New Roman" w:eastAsia="黑体" w:hAnsi="Times New Roman" w:cs="Times New Roman"/>
          <w:sz w:val="28"/>
          <w:szCs w:val="28"/>
        </w:rPr>
        <w:t xml:space="preserve">  </w:t>
      </w:r>
      <w:r w:rsidRPr="00367215">
        <w:rPr>
          <w:rFonts w:ascii="Times New Roman" w:eastAsia="黑体" w:hAnsi="Times New Roman" w:cs="Times New Roman"/>
          <w:sz w:val="28"/>
          <w:szCs w:val="28"/>
        </w:rPr>
        <w:t>微生物的遗传</w:t>
      </w:r>
      <w:r w:rsidRPr="00367215">
        <w:rPr>
          <w:rFonts w:ascii="Times New Roman" w:eastAsia="黑体" w:hAnsi="Times New Roman" w:cs="Times New Roman" w:hint="eastAsia"/>
          <w:sz w:val="28"/>
          <w:szCs w:val="28"/>
        </w:rPr>
        <w:t>与变异</w:t>
      </w:r>
      <w:r w:rsidRPr="00367215">
        <w:rPr>
          <w:rFonts w:ascii="Times New Roman" w:eastAsia="黑体" w:hAnsi="Times New Roman" w:cs="Times New Roman"/>
          <w:sz w:val="28"/>
          <w:szCs w:val="28"/>
        </w:rPr>
        <w:t xml:space="preserve"> </w:t>
      </w:r>
    </w:p>
    <w:p w14:paraId="1E6DC135" w14:textId="77777777" w:rsidR="00367215" w:rsidRPr="00367215" w:rsidRDefault="00367215" w:rsidP="00367215">
      <w:pPr>
        <w:spacing w:line="440" w:lineRule="exact"/>
        <w:ind w:firstLineChars="200" w:firstLine="482"/>
        <w:rPr>
          <w:rFonts w:ascii="Times New Roman" w:eastAsia="宋体" w:hAnsi="Times New Roman" w:cs="Times New Roman"/>
          <w:b/>
          <w:sz w:val="24"/>
          <w:szCs w:val="21"/>
        </w:rPr>
      </w:pPr>
      <w:r w:rsidRPr="00367215">
        <w:rPr>
          <w:rFonts w:ascii="Times New Roman" w:eastAsia="宋体" w:hAnsi="Times New Roman" w:cs="Times New Roman"/>
          <w:b/>
          <w:sz w:val="24"/>
          <w:szCs w:val="21"/>
        </w:rPr>
        <w:lastRenderedPageBreak/>
        <w:t>【学习目标】</w:t>
      </w:r>
    </w:p>
    <w:p w14:paraId="7399C792"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1. </w:t>
      </w:r>
      <w:r w:rsidRPr="00367215">
        <w:rPr>
          <w:rFonts w:ascii="Times New Roman" w:eastAsia="宋体" w:hAnsi="Times New Roman" w:cs="Times New Roman"/>
          <w:sz w:val="24"/>
          <w:szCs w:val="21"/>
        </w:rPr>
        <w:t>认知类目标：</w:t>
      </w:r>
      <w:r w:rsidRPr="00367215">
        <w:rPr>
          <w:rFonts w:ascii="Times New Roman" w:eastAsia="宋体" w:hAnsi="Times New Roman" w:cs="Times New Roman" w:hint="eastAsia"/>
          <w:sz w:val="24"/>
          <w:szCs w:val="21"/>
        </w:rPr>
        <w:t>掌握微生物遗传变异的物质基础、遗传物质在细胞内的存在方式、基因突变的规律及类型、微生物的诱变育种、营养缺陷型的筛选方法和应用、酶活性的调节种类、代谢调控在发酵工业的应用、原核生物与真核微生物的基因重组方式、菌种衰退的原因以及菌种复壮和防止退化的措施、菌种保藏手段；</w:t>
      </w:r>
    </w:p>
    <w:p w14:paraId="6D8A2A84"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2. </w:t>
      </w:r>
      <w:r w:rsidRPr="00367215">
        <w:rPr>
          <w:rFonts w:ascii="Times New Roman" w:eastAsia="宋体" w:hAnsi="Times New Roman" w:cs="Times New Roman"/>
          <w:sz w:val="24"/>
          <w:szCs w:val="21"/>
        </w:rPr>
        <w:t>过程与方法类目标：</w:t>
      </w:r>
      <w:r w:rsidRPr="00367215">
        <w:rPr>
          <w:rFonts w:ascii="Times New Roman" w:eastAsia="宋体" w:hAnsi="Times New Roman" w:cs="Times New Roman" w:hint="eastAsia"/>
          <w:sz w:val="24"/>
          <w:szCs w:val="21"/>
        </w:rPr>
        <w:t>通过学习使学生能够应用这些知识，并通过查阅文献正确地分析药物分析相关领域复杂工程问题；</w:t>
      </w:r>
    </w:p>
    <w:p w14:paraId="688DFB2B"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3. </w:t>
      </w:r>
      <w:r w:rsidRPr="00367215">
        <w:rPr>
          <w:rFonts w:ascii="Times New Roman" w:eastAsia="宋体" w:hAnsi="Times New Roman" w:cs="Times New Roman"/>
          <w:sz w:val="24"/>
          <w:szCs w:val="21"/>
        </w:rPr>
        <w:t>情感、态度、价值观类目标：</w:t>
      </w:r>
      <w:r w:rsidRPr="00367215">
        <w:rPr>
          <w:rFonts w:ascii="Times New Roman" w:eastAsia="宋体" w:hAnsi="Times New Roman" w:cs="Times New Roman" w:hint="eastAsia"/>
          <w:sz w:val="24"/>
          <w:szCs w:val="21"/>
        </w:rPr>
        <w:t>具有自主学习和终身学习的意识，有不断学习和适应发展的能力。</w:t>
      </w:r>
    </w:p>
    <w:p w14:paraId="29E98C25" w14:textId="77777777" w:rsidR="00367215" w:rsidRPr="00367215" w:rsidRDefault="00367215" w:rsidP="00367215">
      <w:pPr>
        <w:tabs>
          <w:tab w:val="left" w:pos="0"/>
        </w:tabs>
        <w:adjustRightInd w:val="0"/>
        <w:snapToGrid w:val="0"/>
        <w:spacing w:line="500" w:lineRule="exact"/>
        <w:ind w:leftChars="228" w:left="720" w:hangingChars="100" w:hanging="241"/>
        <w:jc w:val="left"/>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hint="eastAsia"/>
          <w:b/>
          <w:sz w:val="24"/>
        </w:rPr>
        <w:t>学习</w:t>
      </w:r>
      <w:r w:rsidRPr="00367215">
        <w:rPr>
          <w:rFonts w:ascii="Times New Roman" w:eastAsia="宋体" w:hAnsi="Times New Roman" w:cs="Times New Roman"/>
          <w:b/>
          <w:sz w:val="24"/>
        </w:rPr>
        <w:t>内容】</w:t>
      </w:r>
    </w:p>
    <w:p w14:paraId="7FB23404" w14:textId="77777777" w:rsidR="00367215" w:rsidRPr="00367215" w:rsidRDefault="00367215">
      <w:pPr>
        <w:numPr>
          <w:ilvl w:val="0"/>
          <w:numId w:val="129"/>
        </w:num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遗传变异的物质基础</w:t>
      </w:r>
    </w:p>
    <w:p w14:paraId="72826FB7" w14:textId="77777777" w:rsidR="00367215" w:rsidRPr="00367215" w:rsidRDefault="00367215">
      <w:pPr>
        <w:numPr>
          <w:ilvl w:val="0"/>
          <w:numId w:val="129"/>
        </w:num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基因突变</w:t>
      </w:r>
    </w:p>
    <w:p w14:paraId="1104BFD6" w14:textId="77777777" w:rsidR="00367215" w:rsidRPr="00367215" w:rsidRDefault="00367215">
      <w:pPr>
        <w:numPr>
          <w:ilvl w:val="0"/>
          <w:numId w:val="129"/>
        </w:num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微生物的诱变育种</w:t>
      </w:r>
    </w:p>
    <w:p w14:paraId="7E402E0F" w14:textId="77777777" w:rsidR="00367215" w:rsidRPr="00367215" w:rsidRDefault="00367215">
      <w:pPr>
        <w:numPr>
          <w:ilvl w:val="0"/>
          <w:numId w:val="129"/>
        </w:num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基因重组</w:t>
      </w:r>
    </w:p>
    <w:p w14:paraId="7F33F3ED" w14:textId="77777777" w:rsidR="00367215" w:rsidRPr="00367215" w:rsidRDefault="00367215">
      <w:pPr>
        <w:numPr>
          <w:ilvl w:val="0"/>
          <w:numId w:val="129"/>
        </w:num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菌种的衰退、复壮和保藏</w:t>
      </w:r>
    </w:p>
    <w:p w14:paraId="0721BC51" w14:textId="77777777" w:rsidR="00367215" w:rsidRPr="00367215" w:rsidRDefault="00367215" w:rsidP="00367215">
      <w:pPr>
        <w:tabs>
          <w:tab w:val="left" w:pos="0"/>
        </w:tabs>
        <w:adjustRightInd w:val="0"/>
        <w:snapToGrid w:val="0"/>
        <w:spacing w:line="500" w:lineRule="exact"/>
        <w:ind w:firstLineChars="200" w:firstLine="482"/>
        <w:jc w:val="left"/>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b/>
          <w:color w:val="000000"/>
          <w:sz w:val="24"/>
        </w:rPr>
        <w:t>重点</w:t>
      </w:r>
      <w:r w:rsidRPr="00367215">
        <w:rPr>
          <w:rFonts w:ascii="Times New Roman" w:eastAsia="宋体" w:hAnsi="Times New Roman" w:cs="Times New Roman"/>
          <w:b/>
          <w:sz w:val="24"/>
        </w:rPr>
        <w:t>】</w:t>
      </w:r>
    </w:p>
    <w:p w14:paraId="34423496" w14:textId="77777777" w:rsidR="00367215" w:rsidRPr="00367215" w:rsidRDefault="00367215" w:rsidP="00367215">
      <w:pPr>
        <w:tabs>
          <w:tab w:val="left" w:pos="0"/>
        </w:tabs>
        <w:adjustRightInd w:val="0"/>
        <w:snapToGrid w:val="0"/>
        <w:spacing w:line="500" w:lineRule="exact"/>
        <w:jc w:val="left"/>
        <w:rPr>
          <w:rFonts w:ascii="Times New Roman" w:eastAsia="宋体" w:hAnsi="Times New Roman" w:cs="Times New Roman"/>
          <w:sz w:val="24"/>
        </w:rPr>
      </w:pPr>
      <w:r w:rsidRPr="00367215">
        <w:rPr>
          <w:rFonts w:ascii="Times New Roman" w:eastAsia="宋体" w:hAnsi="Times New Roman" w:cs="Times New Roman"/>
          <w:sz w:val="24"/>
        </w:rPr>
        <w:tab/>
      </w:r>
      <w:r w:rsidRPr="00367215">
        <w:rPr>
          <w:rFonts w:ascii="Times New Roman" w:eastAsia="宋体" w:hAnsi="Times New Roman" w:cs="Times New Roman"/>
          <w:sz w:val="24"/>
        </w:rPr>
        <w:t>证明遗传变异的物质基础是核酸的三个经典实验；掌握基因突变的类型、基因突变的规律及基因突变的机制；掌握微生物的诱变育种的原理和基本流程。</w:t>
      </w:r>
    </w:p>
    <w:p w14:paraId="6AE82B11" w14:textId="77777777" w:rsidR="00367215" w:rsidRPr="00367215" w:rsidRDefault="00367215" w:rsidP="00367215">
      <w:pPr>
        <w:tabs>
          <w:tab w:val="left" w:pos="0"/>
        </w:tabs>
        <w:adjustRightInd w:val="0"/>
        <w:snapToGrid w:val="0"/>
        <w:spacing w:line="500" w:lineRule="exact"/>
        <w:ind w:firstLineChars="100" w:firstLine="241"/>
        <w:jc w:val="left"/>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hint="eastAsia"/>
          <w:b/>
          <w:sz w:val="24"/>
        </w:rPr>
        <w:t>难</w:t>
      </w:r>
      <w:r w:rsidRPr="00367215">
        <w:rPr>
          <w:rFonts w:ascii="Times New Roman" w:eastAsia="宋体" w:hAnsi="Times New Roman" w:cs="Times New Roman"/>
          <w:b/>
          <w:color w:val="000000"/>
          <w:sz w:val="24"/>
        </w:rPr>
        <w:t>点</w:t>
      </w:r>
      <w:r w:rsidRPr="00367215">
        <w:rPr>
          <w:rFonts w:ascii="Times New Roman" w:eastAsia="宋体" w:hAnsi="Times New Roman" w:cs="Times New Roman"/>
          <w:b/>
          <w:sz w:val="24"/>
        </w:rPr>
        <w:t>】</w:t>
      </w:r>
    </w:p>
    <w:p w14:paraId="67C91D70" w14:textId="77777777" w:rsidR="00367215" w:rsidRPr="00367215" w:rsidRDefault="00367215" w:rsidP="00367215">
      <w:p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转化、转导、接合、有性杂交、准性生殖以及原生质体融合；菌种衰退的原因以及菌种复壮和防止退化的措施、菌种保藏手段。</w:t>
      </w:r>
    </w:p>
    <w:p w14:paraId="297B520B" w14:textId="77777777" w:rsidR="00367215" w:rsidRPr="00367215" w:rsidRDefault="00367215" w:rsidP="00367215">
      <w:pPr>
        <w:adjustRightInd w:val="0"/>
        <w:snapToGrid w:val="0"/>
        <w:spacing w:line="500" w:lineRule="exact"/>
        <w:ind w:firstLineChars="100" w:firstLine="241"/>
        <w:rPr>
          <w:rFonts w:ascii="Times New Roman" w:eastAsia="宋体" w:hAnsi="Times New Roman" w:cs="Times New Roman"/>
          <w:b/>
          <w:bCs/>
          <w:sz w:val="24"/>
        </w:rPr>
      </w:pPr>
      <w:r w:rsidRPr="00367215">
        <w:rPr>
          <w:rFonts w:ascii="Times New Roman" w:eastAsia="宋体" w:hAnsi="Times New Roman" w:cs="Times New Roman"/>
          <w:b/>
          <w:bCs/>
          <w:sz w:val="24"/>
        </w:rPr>
        <w:t>【教学方法】</w:t>
      </w:r>
    </w:p>
    <w:p w14:paraId="7B07293D" w14:textId="77777777" w:rsidR="00367215" w:rsidRPr="00367215" w:rsidRDefault="00367215">
      <w:pPr>
        <w:numPr>
          <w:ilvl w:val="0"/>
          <w:numId w:val="130"/>
        </w:numPr>
        <w:spacing w:line="440" w:lineRule="exact"/>
        <w:ind w:firstLineChars="200" w:firstLine="48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通过多媒体课件和传统的板书教学相结合，讲授微生物遗传与变异的基本知识，使学生更扎实地学好本课程</w:t>
      </w:r>
      <w:r w:rsidRPr="00367215">
        <w:rPr>
          <w:rFonts w:ascii="Times New Roman" w:eastAsia="宋体" w:hAnsi="Times New Roman" w:cs="Times New Roman" w:hint="eastAsia"/>
          <w:color w:val="000000"/>
          <w:sz w:val="24"/>
        </w:rPr>
        <w:t>。</w:t>
      </w:r>
    </w:p>
    <w:p w14:paraId="5CC600AB" w14:textId="77777777" w:rsidR="00367215" w:rsidRPr="00367215" w:rsidRDefault="00367215">
      <w:pPr>
        <w:numPr>
          <w:ilvl w:val="0"/>
          <w:numId w:val="130"/>
        </w:numPr>
        <w:spacing w:line="440" w:lineRule="exact"/>
        <w:ind w:firstLineChars="200" w:firstLine="480"/>
        <w:rPr>
          <w:rFonts w:ascii="Times New Roman" w:eastAsia="宋体" w:hAnsi="Times New Roman" w:cs="Times New Roman"/>
          <w:color w:val="000000"/>
          <w:sz w:val="24"/>
        </w:rPr>
      </w:pPr>
      <w:r w:rsidRPr="00367215">
        <w:rPr>
          <w:rFonts w:ascii="Times New Roman" w:eastAsia="宋体" w:hAnsi="Times New Roman" w:cs="Times New Roman"/>
          <w:color w:val="000000"/>
          <w:sz w:val="24"/>
        </w:rPr>
        <w:t>通过案例分析法，调动学生学习兴趣。提高学生发现问题、分析问题、解决问题的能力。</w:t>
      </w:r>
    </w:p>
    <w:p w14:paraId="33149589" w14:textId="77777777" w:rsidR="00367215" w:rsidRPr="00367215" w:rsidRDefault="00367215" w:rsidP="00367215">
      <w:pPr>
        <w:spacing w:line="440" w:lineRule="exact"/>
        <w:ind w:firstLineChars="100" w:firstLine="241"/>
        <w:rPr>
          <w:rFonts w:ascii="Times New Roman" w:eastAsia="宋体" w:hAnsi="Times New Roman" w:cs="Times New Roman"/>
          <w:b/>
          <w:sz w:val="24"/>
        </w:rPr>
      </w:pPr>
      <w:r w:rsidRPr="00367215">
        <w:rPr>
          <w:rFonts w:ascii="Times New Roman" w:eastAsia="宋体" w:hAnsi="Times New Roman" w:cs="Times New Roman"/>
          <w:b/>
          <w:sz w:val="24"/>
        </w:rPr>
        <w:t>【复习思考】</w:t>
      </w:r>
    </w:p>
    <w:p w14:paraId="37B97473" w14:textId="77777777" w:rsidR="00367215" w:rsidRPr="00367215" w:rsidRDefault="00367215" w:rsidP="00367215">
      <w:p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 xml:space="preserve">1. </w:t>
      </w:r>
      <w:r w:rsidRPr="00367215">
        <w:rPr>
          <w:rFonts w:ascii="Times New Roman" w:eastAsia="宋体" w:hAnsi="Times New Roman" w:cs="Times New Roman"/>
          <w:sz w:val="24"/>
        </w:rPr>
        <w:t>紫外线诱变育种的原理与方法。</w:t>
      </w:r>
    </w:p>
    <w:p w14:paraId="60B524C9" w14:textId="77777777" w:rsidR="00367215" w:rsidRPr="00367215" w:rsidRDefault="00367215" w:rsidP="00367215">
      <w:p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 xml:space="preserve">2. </w:t>
      </w:r>
      <w:r w:rsidRPr="00367215">
        <w:rPr>
          <w:rFonts w:ascii="Times New Roman" w:eastAsia="宋体" w:hAnsi="Times New Roman" w:cs="Times New Roman"/>
          <w:sz w:val="24"/>
        </w:rPr>
        <w:t>营养缺陷型、抗性突变型、条件致死突变型菌株的筛选方法。</w:t>
      </w:r>
    </w:p>
    <w:p w14:paraId="20511806" w14:textId="77777777" w:rsidR="00367215" w:rsidRPr="00367215" w:rsidRDefault="00367215" w:rsidP="00367215">
      <w:p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lastRenderedPageBreak/>
        <w:t>3. Ames</w:t>
      </w:r>
      <w:r w:rsidRPr="00367215">
        <w:rPr>
          <w:rFonts w:ascii="Times New Roman" w:eastAsia="宋体" w:hAnsi="Times New Roman" w:cs="Times New Roman"/>
          <w:sz w:val="24"/>
        </w:rPr>
        <w:t>试验的原理与方法。</w:t>
      </w:r>
    </w:p>
    <w:p w14:paraId="62137253" w14:textId="77777777" w:rsidR="00367215" w:rsidRPr="00367215" w:rsidRDefault="00367215" w:rsidP="00367215">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367215">
        <w:rPr>
          <w:rFonts w:ascii="Times New Roman" w:eastAsia="黑体" w:hAnsi="Times New Roman" w:cs="Times New Roman"/>
          <w:sz w:val="28"/>
          <w:szCs w:val="28"/>
        </w:rPr>
        <w:t>第</w:t>
      </w:r>
      <w:r w:rsidRPr="00367215">
        <w:rPr>
          <w:rFonts w:ascii="Times New Roman" w:eastAsia="黑体" w:hAnsi="Times New Roman" w:cs="Times New Roman" w:hint="eastAsia"/>
          <w:sz w:val="28"/>
          <w:szCs w:val="28"/>
        </w:rPr>
        <w:t>八</w:t>
      </w:r>
      <w:r w:rsidRPr="00367215">
        <w:rPr>
          <w:rFonts w:ascii="Times New Roman" w:eastAsia="黑体" w:hAnsi="Times New Roman" w:cs="Times New Roman"/>
          <w:sz w:val="28"/>
          <w:szCs w:val="28"/>
        </w:rPr>
        <w:t>章</w:t>
      </w:r>
      <w:r w:rsidRPr="00367215">
        <w:rPr>
          <w:rFonts w:ascii="Times New Roman" w:eastAsia="黑体" w:hAnsi="Times New Roman" w:cs="Times New Roman"/>
          <w:sz w:val="28"/>
          <w:szCs w:val="28"/>
        </w:rPr>
        <w:t xml:space="preserve">  </w:t>
      </w:r>
      <w:r w:rsidRPr="00367215">
        <w:rPr>
          <w:rFonts w:ascii="Times New Roman" w:eastAsia="黑体" w:hAnsi="Times New Roman" w:cs="Times New Roman"/>
          <w:sz w:val="28"/>
          <w:szCs w:val="28"/>
        </w:rPr>
        <w:t>传染与免疫</w:t>
      </w:r>
      <w:r w:rsidRPr="00367215">
        <w:rPr>
          <w:rFonts w:ascii="Times New Roman" w:eastAsia="黑体" w:hAnsi="Times New Roman" w:cs="Times New Roman"/>
          <w:sz w:val="28"/>
          <w:szCs w:val="28"/>
        </w:rPr>
        <w:t xml:space="preserve"> </w:t>
      </w:r>
    </w:p>
    <w:p w14:paraId="1F15B352" w14:textId="77777777" w:rsidR="00367215" w:rsidRPr="00367215" w:rsidRDefault="00367215" w:rsidP="00367215">
      <w:pPr>
        <w:spacing w:line="440" w:lineRule="exact"/>
        <w:ind w:firstLineChars="200" w:firstLine="482"/>
        <w:rPr>
          <w:rFonts w:ascii="Times New Roman" w:eastAsia="宋体" w:hAnsi="Times New Roman" w:cs="Times New Roman"/>
          <w:b/>
          <w:sz w:val="24"/>
          <w:szCs w:val="21"/>
        </w:rPr>
      </w:pPr>
      <w:r w:rsidRPr="00367215">
        <w:rPr>
          <w:rFonts w:ascii="Times New Roman" w:eastAsia="宋体" w:hAnsi="Times New Roman" w:cs="Times New Roman"/>
          <w:b/>
          <w:sz w:val="24"/>
          <w:szCs w:val="21"/>
        </w:rPr>
        <w:t>【学习目标】</w:t>
      </w:r>
    </w:p>
    <w:p w14:paraId="1E8D0A1D"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1. </w:t>
      </w:r>
      <w:r w:rsidRPr="00367215">
        <w:rPr>
          <w:rFonts w:ascii="Times New Roman" w:eastAsia="宋体" w:hAnsi="Times New Roman" w:cs="Times New Roman"/>
          <w:sz w:val="24"/>
          <w:szCs w:val="21"/>
        </w:rPr>
        <w:t>认知类目标：</w:t>
      </w:r>
      <w:r w:rsidRPr="00367215">
        <w:rPr>
          <w:rFonts w:ascii="Times New Roman" w:eastAsia="宋体" w:hAnsi="Times New Roman" w:cs="Times New Roman" w:hint="eastAsia"/>
          <w:sz w:val="24"/>
          <w:szCs w:val="21"/>
        </w:rPr>
        <w:t>掌握细菌性传染的机制，免疫器官和免疫细胞的主要类型，传染与免疫的关系，抗原和抗体的特性；</w:t>
      </w:r>
    </w:p>
    <w:p w14:paraId="23C9AC4A"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2. </w:t>
      </w:r>
      <w:r w:rsidRPr="00367215">
        <w:rPr>
          <w:rFonts w:ascii="Times New Roman" w:eastAsia="宋体" w:hAnsi="Times New Roman" w:cs="Times New Roman"/>
          <w:sz w:val="24"/>
          <w:szCs w:val="21"/>
        </w:rPr>
        <w:t>过程与方法类目标：</w:t>
      </w:r>
      <w:r w:rsidRPr="00367215">
        <w:rPr>
          <w:rFonts w:ascii="Times New Roman" w:eastAsia="宋体" w:hAnsi="Times New Roman" w:cs="Times New Roman" w:hint="eastAsia"/>
          <w:sz w:val="24"/>
          <w:szCs w:val="21"/>
        </w:rPr>
        <w:t>通过学习使学生能够应用这些知识，并通过查阅文献正确地分析药物分析相关领域复杂工程问题；</w:t>
      </w:r>
    </w:p>
    <w:p w14:paraId="0AE35DBD"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 xml:space="preserve">3. </w:t>
      </w:r>
      <w:r w:rsidRPr="00367215">
        <w:rPr>
          <w:rFonts w:ascii="Times New Roman" w:eastAsia="宋体" w:hAnsi="Times New Roman" w:cs="Times New Roman"/>
          <w:sz w:val="24"/>
          <w:szCs w:val="21"/>
        </w:rPr>
        <w:t>情感、态度、价值观类目标：</w:t>
      </w:r>
      <w:r w:rsidRPr="00367215">
        <w:rPr>
          <w:rFonts w:ascii="Times New Roman" w:eastAsia="宋体" w:hAnsi="Times New Roman" w:cs="Times New Roman" w:hint="eastAsia"/>
          <w:sz w:val="24"/>
          <w:szCs w:val="21"/>
        </w:rPr>
        <w:t>具有自主学习和终身学习的意识，有不断学习和适应发展的能力。</w:t>
      </w:r>
    </w:p>
    <w:p w14:paraId="4F8FE0BE" w14:textId="77777777" w:rsidR="00367215" w:rsidRPr="00367215" w:rsidRDefault="00367215" w:rsidP="00367215">
      <w:pPr>
        <w:tabs>
          <w:tab w:val="left" w:pos="0"/>
        </w:tabs>
        <w:adjustRightInd w:val="0"/>
        <w:snapToGrid w:val="0"/>
        <w:spacing w:line="500" w:lineRule="exact"/>
        <w:ind w:firstLineChars="200" w:firstLine="482"/>
        <w:jc w:val="left"/>
        <w:rPr>
          <w:rFonts w:ascii="Times New Roman" w:eastAsia="宋体" w:hAnsi="Times New Roman" w:cs="Times New Roman"/>
          <w:b/>
          <w:sz w:val="24"/>
        </w:rPr>
      </w:pPr>
      <w:r w:rsidRPr="00367215">
        <w:rPr>
          <w:rFonts w:ascii="Times New Roman" w:eastAsia="宋体" w:hAnsi="Times New Roman" w:cs="Times New Roman"/>
          <w:b/>
          <w:sz w:val="24"/>
        </w:rPr>
        <w:t>【学习内容】</w:t>
      </w:r>
    </w:p>
    <w:p w14:paraId="5DADC4FE" w14:textId="77777777" w:rsidR="00367215" w:rsidRPr="00367215" w:rsidRDefault="00367215">
      <w:pPr>
        <w:numPr>
          <w:ilvl w:val="0"/>
          <w:numId w:val="131"/>
        </w:num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细菌性传染的机制</w:t>
      </w:r>
    </w:p>
    <w:p w14:paraId="6E6B3AA8" w14:textId="77777777" w:rsidR="00367215" w:rsidRPr="00367215" w:rsidRDefault="00367215">
      <w:pPr>
        <w:numPr>
          <w:ilvl w:val="0"/>
          <w:numId w:val="131"/>
        </w:num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宿主抗传染的机制</w:t>
      </w:r>
    </w:p>
    <w:p w14:paraId="22B63EF0" w14:textId="77777777" w:rsidR="00367215" w:rsidRPr="00367215" w:rsidRDefault="00367215">
      <w:pPr>
        <w:numPr>
          <w:ilvl w:val="0"/>
          <w:numId w:val="131"/>
        </w:num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抗原、抗体</w:t>
      </w:r>
    </w:p>
    <w:p w14:paraId="44993310" w14:textId="77777777" w:rsidR="00367215" w:rsidRPr="00367215" w:rsidRDefault="00367215">
      <w:pPr>
        <w:numPr>
          <w:ilvl w:val="0"/>
          <w:numId w:val="131"/>
        </w:num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抗原抗体反应</w:t>
      </w:r>
    </w:p>
    <w:p w14:paraId="4448B74B" w14:textId="77777777" w:rsidR="00367215" w:rsidRPr="00367215" w:rsidRDefault="00367215">
      <w:pPr>
        <w:numPr>
          <w:ilvl w:val="0"/>
          <w:numId w:val="131"/>
        </w:num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生物制品</w:t>
      </w:r>
    </w:p>
    <w:p w14:paraId="34AC80DA" w14:textId="77777777" w:rsidR="00367215" w:rsidRPr="00367215" w:rsidRDefault="00367215" w:rsidP="00367215">
      <w:pPr>
        <w:tabs>
          <w:tab w:val="left" w:pos="0"/>
        </w:tabs>
        <w:adjustRightInd w:val="0"/>
        <w:snapToGrid w:val="0"/>
        <w:spacing w:line="500" w:lineRule="exact"/>
        <w:ind w:firstLineChars="200" w:firstLine="482"/>
        <w:jc w:val="left"/>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b/>
          <w:color w:val="000000"/>
          <w:sz w:val="24"/>
        </w:rPr>
        <w:t>重点</w:t>
      </w:r>
      <w:r w:rsidRPr="00367215">
        <w:rPr>
          <w:rFonts w:ascii="Times New Roman" w:eastAsia="宋体" w:hAnsi="Times New Roman" w:cs="Times New Roman"/>
          <w:b/>
          <w:sz w:val="24"/>
        </w:rPr>
        <w:t>】</w:t>
      </w:r>
    </w:p>
    <w:p w14:paraId="58D80568" w14:textId="77777777" w:rsidR="00367215" w:rsidRPr="00367215" w:rsidRDefault="00367215" w:rsidP="00367215">
      <w:pPr>
        <w:tabs>
          <w:tab w:val="left" w:pos="0"/>
        </w:tabs>
        <w:adjustRightInd w:val="0"/>
        <w:snapToGrid w:val="0"/>
        <w:spacing w:line="500" w:lineRule="exact"/>
        <w:ind w:firstLineChars="200" w:firstLine="480"/>
        <w:jc w:val="left"/>
        <w:rPr>
          <w:rFonts w:ascii="Times New Roman" w:eastAsia="宋体" w:hAnsi="Times New Roman" w:cs="Times New Roman"/>
          <w:sz w:val="24"/>
        </w:rPr>
      </w:pPr>
      <w:r w:rsidRPr="00367215">
        <w:rPr>
          <w:rFonts w:ascii="Times New Roman" w:eastAsia="宋体" w:hAnsi="Times New Roman" w:cs="Times New Roman"/>
          <w:sz w:val="24"/>
        </w:rPr>
        <w:t>内毒素、外毒素和类毒素的概念；抗原、抗体的概念和一般特性；</w:t>
      </w:r>
    </w:p>
    <w:p w14:paraId="72545B4B" w14:textId="77777777" w:rsidR="00367215" w:rsidRPr="00367215" w:rsidRDefault="00367215" w:rsidP="00367215">
      <w:pPr>
        <w:tabs>
          <w:tab w:val="left" w:pos="0"/>
        </w:tabs>
        <w:adjustRightInd w:val="0"/>
        <w:snapToGrid w:val="0"/>
        <w:spacing w:line="500" w:lineRule="exact"/>
        <w:ind w:firstLineChars="200" w:firstLine="482"/>
        <w:jc w:val="left"/>
        <w:rPr>
          <w:rFonts w:ascii="Times New Roman" w:eastAsia="宋体" w:hAnsi="Times New Roman" w:cs="Times New Roman"/>
          <w:b/>
          <w:sz w:val="24"/>
        </w:rPr>
      </w:pPr>
      <w:r w:rsidRPr="00367215">
        <w:rPr>
          <w:rFonts w:ascii="Times New Roman" w:eastAsia="宋体" w:hAnsi="Times New Roman" w:cs="Times New Roman"/>
          <w:b/>
          <w:sz w:val="24"/>
        </w:rPr>
        <w:t>【</w:t>
      </w:r>
      <w:r w:rsidRPr="00367215">
        <w:rPr>
          <w:rFonts w:ascii="Times New Roman" w:eastAsia="宋体" w:hAnsi="Times New Roman" w:cs="Times New Roman"/>
          <w:b/>
          <w:color w:val="000000"/>
          <w:sz w:val="24"/>
        </w:rPr>
        <w:t>难点</w:t>
      </w:r>
      <w:r w:rsidRPr="00367215">
        <w:rPr>
          <w:rFonts w:ascii="Times New Roman" w:eastAsia="宋体" w:hAnsi="Times New Roman" w:cs="Times New Roman"/>
          <w:b/>
          <w:sz w:val="24"/>
        </w:rPr>
        <w:t>】</w:t>
      </w:r>
    </w:p>
    <w:p w14:paraId="293F3765" w14:textId="77777777" w:rsidR="00367215" w:rsidRPr="00367215" w:rsidRDefault="00367215" w:rsidP="00367215">
      <w:pPr>
        <w:tabs>
          <w:tab w:val="left" w:pos="0"/>
        </w:tabs>
        <w:adjustRightInd w:val="0"/>
        <w:snapToGrid w:val="0"/>
        <w:spacing w:line="500" w:lineRule="exact"/>
        <w:ind w:firstLineChars="200" w:firstLine="480"/>
        <w:jc w:val="left"/>
        <w:rPr>
          <w:rFonts w:ascii="Times New Roman" w:eastAsia="宋体" w:hAnsi="Times New Roman" w:cs="Times New Roman"/>
          <w:b/>
          <w:bCs/>
          <w:sz w:val="24"/>
        </w:rPr>
      </w:pPr>
      <w:r w:rsidRPr="00367215">
        <w:rPr>
          <w:rFonts w:ascii="Times New Roman" w:eastAsia="宋体" w:hAnsi="Times New Roman" w:cs="Times New Roman"/>
          <w:sz w:val="24"/>
        </w:rPr>
        <w:t>血清学反应的概念、抗原抗体的反应类型和应用</w:t>
      </w:r>
      <w:r w:rsidRPr="00367215">
        <w:rPr>
          <w:rFonts w:ascii="Times New Roman" w:eastAsia="宋体" w:hAnsi="Times New Roman" w:cs="Times New Roman" w:hint="eastAsia"/>
          <w:sz w:val="24"/>
        </w:rPr>
        <w:t>。</w:t>
      </w:r>
      <w:r w:rsidRPr="00367215">
        <w:rPr>
          <w:rFonts w:ascii="Times New Roman" w:eastAsia="宋体" w:hAnsi="Times New Roman" w:cs="Times New Roman"/>
          <w:sz w:val="24"/>
        </w:rPr>
        <w:br/>
        <w:t xml:space="preserve">    </w:t>
      </w:r>
      <w:r w:rsidRPr="00367215">
        <w:rPr>
          <w:rFonts w:ascii="Times New Roman" w:eastAsia="宋体" w:hAnsi="Times New Roman" w:cs="Times New Roman"/>
          <w:b/>
          <w:bCs/>
          <w:sz w:val="24"/>
        </w:rPr>
        <w:t>【教学方法】</w:t>
      </w:r>
    </w:p>
    <w:p w14:paraId="793CEDF0" w14:textId="77777777" w:rsidR="00367215" w:rsidRPr="00367215" w:rsidRDefault="00367215" w:rsidP="00367215">
      <w:pPr>
        <w:spacing w:beforeLines="50" w:before="156" w:afterLines="50" w:after="156" w:line="44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hint="eastAsia"/>
          <w:sz w:val="24"/>
        </w:rPr>
        <w:t xml:space="preserve">1. </w:t>
      </w:r>
      <w:r w:rsidRPr="00367215">
        <w:rPr>
          <w:rFonts w:ascii="Times New Roman" w:eastAsia="宋体" w:hAnsi="Times New Roman" w:cs="Times New Roman" w:hint="eastAsia"/>
          <w:sz w:val="24"/>
        </w:rPr>
        <w:t>通过多媒体课件和传统的板书教学相结合，讲授微传染与免疫的基本知识，使学生更扎实地学好本课程。</w:t>
      </w:r>
    </w:p>
    <w:p w14:paraId="3180FEA2" w14:textId="77777777" w:rsidR="00367215" w:rsidRPr="00367215" w:rsidRDefault="00367215" w:rsidP="00367215">
      <w:pPr>
        <w:spacing w:beforeLines="50" w:before="156" w:afterLines="50" w:after="156" w:line="440" w:lineRule="exact"/>
        <w:ind w:firstLineChars="200" w:firstLine="480"/>
        <w:rPr>
          <w:rFonts w:ascii="Times New Roman" w:eastAsia="宋体" w:hAnsi="Times New Roman" w:cs="Times New Roman"/>
          <w:sz w:val="24"/>
        </w:rPr>
      </w:pPr>
      <w:r w:rsidRPr="00367215">
        <w:rPr>
          <w:rFonts w:ascii="Times New Roman" w:eastAsia="宋体" w:hAnsi="Times New Roman" w:cs="Times New Roman" w:hint="eastAsia"/>
          <w:sz w:val="24"/>
        </w:rPr>
        <w:t xml:space="preserve">2. </w:t>
      </w:r>
      <w:r w:rsidRPr="00367215">
        <w:rPr>
          <w:rFonts w:ascii="Times New Roman" w:eastAsia="宋体" w:hAnsi="Times New Roman" w:cs="Times New Roman" w:hint="eastAsia"/>
          <w:sz w:val="24"/>
        </w:rPr>
        <w:t>通过案例分析法，调动学生学习兴趣。提高学生发现问题、分析问题、解决问题的能力。</w:t>
      </w:r>
    </w:p>
    <w:p w14:paraId="3CB55CCD" w14:textId="77777777" w:rsidR="00367215" w:rsidRPr="00367215" w:rsidRDefault="00367215" w:rsidP="00367215">
      <w:pPr>
        <w:spacing w:beforeLines="50" w:before="156" w:afterLines="50" w:after="156" w:line="440" w:lineRule="exact"/>
        <w:ind w:left="561" w:firstLineChars="100" w:firstLine="280"/>
        <w:rPr>
          <w:rFonts w:ascii="Times New Roman" w:eastAsia="仿宋" w:hAnsi="Times New Roman" w:cs="Times New Roman"/>
          <w:sz w:val="24"/>
          <w:szCs w:val="21"/>
        </w:rPr>
      </w:pPr>
      <w:r w:rsidRPr="00367215">
        <w:rPr>
          <w:rFonts w:ascii="Times New Roman" w:eastAsia="黑体" w:hAnsi="Times New Roman" w:cs="Times New Roman"/>
          <w:sz w:val="28"/>
          <w:szCs w:val="28"/>
        </w:rPr>
        <w:t>（二）课程学习内容与课程学习目标的对应关系</w:t>
      </w:r>
      <w:r w:rsidRPr="00367215">
        <w:rPr>
          <w:rFonts w:ascii="Times New Roman" w:eastAsia="仿宋" w:hAnsi="Times New Roman" w:cs="Times New Roman"/>
          <w:sz w:val="24"/>
          <w:szCs w:val="21"/>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367215" w:rsidRPr="00367215" w14:paraId="3149834B" w14:textId="77777777" w:rsidTr="00367215">
        <w:trPr>
          <w:trHeight w:val="660"/>
          <w:jc w:val="center"/>
        </w:trPr>
        <w:tc>
          <w:tcPr>
            <w:tcW w:w="3403" w:type="dxa"/>
            <w:vAlign w:val="center"/>
          </w:tcPr>
          <w:p w14:paraId="14B5F70C" w14:textId="77777777" w:rsidR="00367215" w:rsidRPr="00367215" w:rsidRDefault="00367215" w:rsidP="00367215">
            <w:pPr>
              <w:spacing w:line="440" w:lineRule="exact"/>
              <w:jc w:val="center"/>
              <w:rPr>
                <w:rFonts w:ascii="Times New Roman" w:eastAsia="宋体" w:hAnsi="Times New Roman" w:cs="Times New Roman"/>
                <w:b/>
                <w:bCs/>
                <w:sz w:val="24"/>
                <w:szCs w:val="21"/>
              </w:rPr>
            </w:pPr>
            <w:r w:rsidRPr="00367215">
              <w:rPr>
                <w:rFonts w:ascii="Times New Roman" w:eastAsia="宋体" w:hAnsi="Times New Roman" w:cs="Times New Roman"/>
                <w:b/>
                <w:bCs/>
                <w:sz w:val="24"/>
                <w:szCs w:val="21"/>
              </w:rPr>
              <w:t>课程学习内容</w:t>
            </w:r>
          </w:p>
        </w:tc>
        <w:tc>
          <w:tcPr>
            <w:tcW w:w="2693" w:type="dxa"/>
            <w:vAlign w:val="center"/>
          </w:tcPr>
          <w:p w14:paraId="23D34148" w14:textId="77777777" w:rsidR="00367215" w:rsidRPr="00367215" w:rsidRDefault="00367215" w:rsidP="00367215">
            <w:pPr>
              <w:spacing w:line="440" w:lineRule="exact"/>
              <w:jc w:val="center"/>
              <w:rPr>
                <w:rFonts w:ascii="Times New Roman" w:eastAsia="宋体" w:hAnsi="Times New Roman" w:cs="Times New Roman"/>
                <w:b/>
                <w:bCs/>
                <w:sz w:val="24"/>
                <w:szCs w:val="21"/>
              </w:rPr>
            </w:pPr>
            <w:r w:rsidRPr="00367215">
              <w:rPr>
                <w:rFonts w:ascii="Times New Roman" w:eastAsia="宋体" w:hAnsi="Times New Roman" w:cs="Times New Roman"/>
                <w:b/>
                <w:bCs/>
                <w:sz w:val="24"/>
                <w:szCs w:val="21"/>
              </w:rPr>
              <w:t>教学方法</w:t>
            </w:r>
          </w:p>
        </w:tc>
        <w:tc>
          <w:tcPr>
            <w:tcW w:w="1985" w:type="dxa"/>
            <w:vAlign w:val="center"/>
          </w:tcPr>
          <w:p w14:paraId="7A7C2A4A" w14:textId="77777777" w:rsidR="00367215" w:rsidRPr="00367215" w:rsidRDefault="00367215" w:rsidP="00367215">
            <w:pPr>
              <w:spacing w:line="440" w:lineRule="exact"/>
              <w:jc w:val="center"/>
              <w:rPr>
                <w:rFonts w:ascii="Times New Roman" w:eastAsia="宋体" w:hAnsi="Times New Roman" w:cs="Times New Roman"/>
                <w:b/>
                <w:bCs/>
                <w:sz w:val="24"/>
                <w:szCs w:val="21"/>
              </w:rPr>
            </w:pPr>
            <w:r w:rsidRPr="00367215">
              <w:rPr>
                <w:rFonts w:ascii="Times New Roman" w:eastAsia="宋体" w:hAnsi="Times New Roman" w:cs="Times New Roman"/>
                <w:b/>
                <w:bCs/>
                <w:sz w:val="24"/>
                <w:szCs w:val="21"/>
              </w:rPr>
              <w:t>支撑的课程目标</w:t>
            </w:r>
          </w:p>
        </w:tc>
        <w:tc>
          <w:tcPr>
            <w:tcW w:w="1276" w:type="dxa"/>
            <w:vAlign w:val="center"/>
          </w:tcPr>
          <w:p w14:paraId="086F4F7F" w14:textId="77777777" w:rsidR="00367215" w:rsidRPr="00367215" w:rsidRDefault="00367215" w:rsidP="00367215">
            <w:pPr>
              <w:spacing w:line="440" w:lineRule="exact"/>
              <w:jc w:val="center"/>
              <w:rPr>
                <w:rFonts w:ascii="Times New Roman" w:eastAsia="宋体" w:hAnsi="Times New Roman" w:cs="Times New Roman"/>
                <w:b/>
                <w:bCs/>
                <w:sz w:val="24"/>
                <w:szCs w:val="21"/>
              </w:rPr>
            </w:pPr>
            <w:r w:rsidRPr="00367215">
              <w:rPr>
                <w:rFonts w:ascii="Times New Roman" w:eastAsia="宋体" w:hAnsi="Times New Roman" w:cs="Times New Roman"/>
                <w:b/>
                <w:bCs/>
                <w:sz w:val="24"/>
                <w:szCs w:val="21"/>
              </w:rPr>
              <w:t>学时安排</w:t>
            </w:r>
          </w:p>
        </w:tc>
      </w:tr>
      <w:tr w:rsidR="00367215" w:rsidRPr="00367215" w14:paraId="73CF346B" w14:textId="77777777" w:rsidTr="00367215">
        <w:trPr>
          <w:trHeight w:val="514"/>
          <w:jc w:val="center"/>
        </w:trPr>
        <w:tc>
          <w:tcPr>
            <w:tcW w:w="3403" w:type="dxa"/>
            <w:vAlign w:val="center"/>
          </w:tcPr>
          <w:p w14:paraId="6C3EAB03" w14:textId="77777777" w:rsidR="00367215" w:rsidRPr="00367215" w:rsidRDefault="00367215" w:rsidP="00367215">
            <w:pPr>
              <w:spacing w:line="440" w:lineRule="exact"/>
              <w:jc w:val="left"/>
              <w:rPr>
                <w:rFonts w:ascii="Times New Roman" w:eastAsia="宋体" w:hAnsi="Times New Roman" w:cs="Times New Roman"/>
                <w:sz w:val="24"/>
                <w:szCs w:val="21"/>
              </w:rPr>
            </w:pPr>
            <w:r w:rsidRPr="00367215">
              <w:rPr>
                <w:rFonts w:ascii="Times New Roman" w:eastAsia="宋体" w:hAnsi="Times New Roman" w:cs="Times New Roman"/>
                <w:sz w:val="24"/>
                <w:szCs w:val="21"/>
              </w:rPr>
              <w:t>第一章</w:t>
            </w:r>
            <w:r w:rsidRPr="00367215">
              <w:rPr>
                <w:rFonts w:ascii="Times New Roman" w:eastAsia="宋体" w:hAnsi="Times New Roman" w:cs="Times New Roman"/>
                <w:sz w:val="24"/>
                <w:szCs w:val="21"/>
              </w:rPr>
              <w:t xml:space="preserve"> </w:t>
            </w:r>
            <w:r w:rsidRPr="00367215">
              <w:rPr>
                <w:rFonts w:ascii="Times New Roman" w:eastAsia="宋体" w:hAnsi="Times New Roman" w:cs="Times New Roman"/>
                <w:sz w:val="24"/>
                <w:szCs w:val="21"/>
              </w:rPr>
              <w:t>绪论</w:t>
            </w:r>
          </w:p>
        </w:tc>
        <w:tc>
          <w:tcPr>
            <w:tcW w:w="2693" w:type="dxa"/>
            <w:vAlign w:val="center"/>
          </w:tcPr>
          <w:p w14:paraId="3B3378F8"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讲授法</w:t>
            </w:r>
          </w:p>
        </w:tc>
        <w:tc>
          <w:tcPr>
            <w:tcW w:w="1985" w:type="dxa"/>
            <w:vAlign w:val="center"/>
          </w:tcPr>
          <w:p w14:paraId="40B484B5"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课程目标</w:t>
            </w:r>
            <w:r w:rsidRPr="00367215">
              <w:rPr>
                <w:rFonts w:ascii="Times New Roman" w:eastAsia="宋体" w:hAnsi="Times New Roman" w:cs="Times New Roman"/>
                <w:sz w:val="24"/>
                <w:szCs w:val="21"/>
              </w:rPr>
              <w:t>1</w:t>
            </w:r>
            <w:r w:rsidRPr="00367215">
              <w:rPr>
                <w:rFonts w:ascii="Times New Roman" w:eastAsia="宋体" w:hAnsi="Times New Roman" w:cs="Times New Roman" w:hint="eastAsia"/>
                <w:sz w:val="24"/>
                <w:szCs w:val="21"/>
              </w:rPr>
              <w:t>、</w:t>
            </w:r>
            <w:r w:rsidRPr="00367215">
              <w:rPr>
                <w:rFonts w:ascii="Times New Roman" w:eastAsia="宋体" w:hAnsi="Times New Roman" w:cs="Times New Roman"/>
                <w:sz w:val="24"/>
                <w:szCs w:val="21"/>
              </w:rPr>
              <w:t>课</w:t>
            </w:r>
            <w:r w:rsidRPr="00367215">
              <w:rPr>
                <w:rFonts w:ascii="Times New Roman" w:eastAsia="宋体" w:hAnsi="Times New Roman" w:cs="Times New Roman"/>
                <w:sz w:val="24"/>
                <w:szCs w:val="21"/>
              </w:rPr>
              <w:lastRenderedPageBreak/>
              <w:t>程目标</w:t>
            </w:r>
            <w:r w:rsidRPr="00367215">
              <w:rPr>
                <w:rFonts w:ascii="Times New Roman" w:eastAsia="宋体" w:hAnsi="Times New Roman" w:cs="Times New Roman"/>
                <w:sz w:val="24"/>
                <w:szCs w:val="21"/>
              </w:rPr>
              <w:t>2</w:t>
            </w:r>
          </w:p>
        </w:tc>
        <w:tc>
          <w:tcPr>
            <w:tcW w:w="1276" w:type="dxa"/>
            <w:vAlign w:val="center"/>
          </w:tcPr>
          <w:p w14:paraId="6853D996"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lastRenderedPageBreak/>
              <w:t>2</w:t>
            </w:r>
          </w:p>
        </w:tc>
      </w:tr>
      <w:tr w:rsidR="00367215" w:rsidRPr="00367215" w14:paraId="33463D04" w14:textId="77777777" w:rsidTr="00367215">
        <w:trPr>
          <w:trHeight w:val="90"/>
          <w:jc w:val="center"/>
        </w:trPr>
        <w:tc>
          <w:tcPr>
            <w:tcW w:w="3403" w:type="dxa"/>
            <w:vAlign w:val="center"/>
          </w:tcPr>
          <w:p w14:paraId="6F1AE068" w14:textId="77777777" w:rsidR="00367215" w:rsidRPr="00367215" w:rsidRDefault="00367215" w:rsidP="00367215">
            <w:pPr>
              <w:spacing w:line="440" w:lineRule="exact"/>
              <w:jc w:val="left"/>
              <w:rPr>
                <w:rFonts w:ascii="Times New Roman" w:eastAsia="宋体" w:hAnsi="Times New Roman" w:cs="Times New Roman"/>
                <w:sz w:val="24"/>
                <w:szCs w:val="21"/>
              </w:rPr>
            </w:pPr>
            <w:r w:rsidRPr="00367215">
              <w:rPr>
                <w:rFonts w:ascii="Times New Roman" w:eastAsia="宋体" w:hAnsi="Times New Roman" w:cs="Times New Roman"/>
                <w:sz w:val="24"/>
                <w:szCs w:val="21"/>
              </w:rPr>
              <w:t>第二章</w:t>
            </w:r>
            <w:r w:rsidRPr="00367215">
              <w:rPr>
                <w:rFonts w:ascii="Times New Roman" w:eastAsia="宋体" w:hAnsi="Times New Roman" w:cs="Times New Roman"/>
                <w:sz w:val="24"/>
                <w:szCs w:val="21"/>
              </w:rPr>
              <w:t xml:space="preserve"> </w:t>
            </w:r>
            <w:r w:rsidRPr="00367215">
              <w:rPr>
                <w:rFonts w:ascii="Times New Roman" w:eastAsia="宋体" w:hAnsi="Times New Roman" w:cs="Times New Roman" w:hint="eastAsia"/>
                <w:sz w:val="24"/>
                <w:szCs w:val="21"/>
              </w:rPr>
              <w:t>原核微生物</w:t>
            </w:r>
          </w:p>
        </w:tc>
        <w:tc>
          <w:tcPr>
            <w:tcW w:w="2693" w:type="dxa"/>
            <w:vAlign w:val="center"/>
          </w:tcPr>
          <w:p w14:paraId="751FF994"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讲授法、案例教学法</w:t>
            </w:r>
          </w:p>
        </w:tc>
        <w:tc>
          <w:tcPr>
            <w:tcW w:w="1985" w:type="dxa"/>
            <w:vAlign w:val="center"/>
          </w:tcPr>
          <w:p w14:paraId="66B69015"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课程目标</w:t>
            </w:r>
            <w:r w:rsidRPr="00367215">
              <w:rPr>
                <w:rFonts w:ascii="Times New Roman" w:eastAsia="宋体" w:hAnsi="Times New Roman" w:cs="Times New Roman"/>
                <w:sz w:val="24"/>
                <w:szCs w:val="21"/>
              </w:rPr>
              <w:t>1</w:t>
            </w:r>
            <w:r w:rsidRPr="00367215">
              <w:rPr>
                <w:rFonts w:ascii="Times New Roman" w:eastAsia="宋体" w:hAnsi="Times New Roman" w:cs="Times New Roman" w:hint="eastAsia"/>
                <w:sz w:val="24"/>
                <w:szCs w:val="21"/>
              </w:rPr>
              <w:t>、</w:t>
            </w:r>
            <w:r w:rsidRPr="00367215">
              <w:rPr>
                <w:rFonts w:ascii="Times New Roman" w:eastAsia="宋体" w:hAnsi="Times New Roman" w:cs="Times New Roman"/>
                <w:sz w:val="24"/>
                <w:szCs w:val="21"/>
              </w:rPr>
              <w:t>课程目标</w:t>
            </w:r>
            <w:r w:rsidRPr="00367215">
              <w:rPr>
                <w:rFonts w:ascii="Times New Roman" w:eastAsia="宋体" w:hAnsi="Times New Roman" w:cs="Times New Roman"/>
                <w:sz w:val="24"/>
                <w:szCs w:val="21"/>
              </w:rPr>
              <w:t>2</w:t>
            </w:r>
          </w:p>
        </w:tc>
        <w:tc>
          <w:tcPr>
            <w:tcW w:w="1276" w:type="dxa"/>
            <w:vAlign w:val="center"/>
          </w:tcPr>
          <w:p w14:paraId="04C2766F"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2</w:t>
            </w:r>
          </w:p>
        </w:tc>
      </w:tr>
      <w:tr w:rsidR="00367215" w:rsidRPr="00367215" w14:paraId="6EDC9B48" w14:textId="77777777" w:rsidTr="00367215">
        <w:trPr>
          <w:jc w:val="center"/>
        </w:trPr>
        <w:tc>
          <w:tcPr>
            <w:tcW w:w="3403" w:type="dxa"/>
            <w:vAlign w:val="center"/>
          </w:tcPr>
          <w:p w14:paraId="289FA13D" w14:textId="77777777" w:rsidR="00367215" w:rsidRPr="00367215" w:rsidRDefault="00367215" w:rsidP="00367215">
            <w:pPr>
              <w:spacing w:line="440" w:lineRule="exact"/>
              <w:jc w:val="left"/>
              <w:rPr>
                <w:rFonts w:ascii="Times New Roman" w:eastAsia="宋体" w:hAnsi="Times New Roman" w:cs="Times New Roman"/>
                <w:sz w:val="24"/>
                <w:szCs w:val="21"/>
              </w:rPr>
            </w:pPr>
            <w:r w:rsidRPr="00367215">
              <w:rPr>
                <w:rFonts w:ascii="Times New Roman" w:eastAsia="宋体" w:hAnsi="Times New Roman" w:cs="Times New Roman"/>
                <w:sz w:val="24"/>
                <w:szCs w:val="21"/>
              </w:rPr>
              <w:t>第三章</w:t>
            </w:r>
            <w:r w:rsidRPr="00367215">
              <w:rPr>
                <w:rFonts w:ascii="Times New Roman" w:eastAsia="宋体" w:hAnsi="Times New Roman" w:cs="Times New Roman"/>
                <w:sz w:val="24"/>
                <w:szCs w:val="21"/>
              </w:rPr>
              <w:t xml:space="preserve"> </w:t>
            </w:r>
            <w:r w:rsidRPr="00367215">
              <w:rPr>
                <w:rFonts w:ascii="Times New Roman" w:eastAsia="宋体" w:hAnsi="Times New Roman" w:cs="Times New Roman" w:hint="eastAsia"/>
                <w:sz w:val="24"/>
                <w:szCs w:val="21"/>
              </w:rPr>
              <w:t>真核微生物</w:t>
            </w:r>
          </w:p>
        </w:tc>
        <w:tc>
          <w:tcPr>
            <w:tcW w:w="2693" w:type="dxa"/>
            <w:vAlign w:val="center"/>
          </w:tcPr>
          <w:p w14:paraId="0EF97263"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讲授法、案例教学法</w:t>
            </w:r>
          </w:p>
        </w:tc>
        <w:tc>
          <w:tcPr>
            <w:tcW w:w="1985" w:type="dxa"/>
            <w:vAlign w:val="center"/>
          </w:tcPr>
          <w:p w14:paraId="12A5EF8C"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课程目标</w:t>
            </w:r>
            <w:r w:rsidRPr="00367215">
              <w:rPr>
                <w:rFonts w:ascii="Times New Roman" w:eastAsia="宋体" w:hAnsi="Times New Roman" w:cs="Times New Roman"/>
                <w:sz w:val="24"/>
                <w:szCs w:val="21"/>
              </w:rPr>
              <w:t>1</w:t>
            </w:r>
            <w:r w:rsidRPr="00367215">
              <w:rPr>
                <w:rFonts w:ascii="Times New Roman" w:eastAsia="宋体" w:hAnsi="Times New Roman" w:cs="Times New Roman" w:hint="eastAsia"/>
                <w:sz w:val="24"/>
                <w:szCs w:val="21"/>
              </w:rPr>
              <w:t>、</w:t>
            </w:r>
            <w:r w:rsidRPr="00367215">
              <w:rPr>
                <w:rFonts w:ascii="Times New Roman" w:eastAsia="宋体" w:hAnsi="Times New Roman" w:cs="Times New Roman"/>
                <w:sz w:val="24"/>
                <w:szCs w:val="21"/>
              </w:rPr>
              <w:t>课程目标</w:t>
            </w:r>
            <w:r w:rsidRPr="00367215">
              <w:rPr>
                <w:rFonts w:ascii="Times New Roman" w:eastAsia="宋体" w:hAnsi="Times New Roman" w:cs="Times New Roman"/>
                <w:sz w:val="24"/>
                <w:szCs w:val="21"/>
              </w:rPr>
              <w:t>2</w:t>
            </w:r>
          </w:p>
        </w:tc>
        <w:tc>
          <w:tcPr>
            <w:tcW w:w="1276" w:type="dxa"/>
            <w:vAlign w:val="center"/>
          </w:tcPr>
          <w:p w14:paraId="02E38E74"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2</w:t>
            </w:r>
          </w:p>
        </w:tc>
      </w:tr>
      <w:tr w:rsidR="00367215" w:rsidRPr="00367215" w14:paraId="21CE6334" w14:textId="77777777" w:rsidTr="00367215">
        <w:trPr>
          <w:jc w:val="center"/>
        </w:trPr>
        <w:tc>
          <w:tcPr>
            <w:tcW w:w="3403" w:type="dxa"/>
            <w:vAlign w:val="center"/>
          </w:tcPr>
          <w:p w14:paraId="203DFA45" w14:textId="77777777" w:rsidR="00367215" w:rsidRPr="00367215" w:rsidRDefault="00367215" w:rsidP="00367215">
            <w:pPr>
              <w:spacing w:line="440" w:lineRule="exact"/>
              <w:jc w:val="left"/>
              <w:rPr>
                <w:rFonts w:ascii="Times New Roman" w:eastAsia="宋体" w:hAnsi="Times New Roman" w:cs="Times New Roman"/>
                <w:sz w:val="24"/>
                <w:szCs w:val="21"/>
              </w:rPr>
            </w:pPr>
            <w:r w:rsidRPr="00367215">
              <w:rPr>
                <w:rFonts w:ascii="Times New Roman" w:eastAsia="宋体" w:hAnsi="Times New Roman" w:cs="Times New Roman"/>
                <w:sz w:val="24"/>
                <w:szCs w:val="21"/>
              </w:rPr>
              <w:t>第四章</w:t>
            </w:r>
            <w:r w:rsidRPr="00367215">
              <w:rPr>
                <w:rFonts w:ascii="Times New Roman" w:eastAsia="宋体" w:hAnsi="Times New Roman" w:cs="Times New Roman"/>
                <w:sz w:val="24"/>
                <w:szCs w:val="21"/>
              </w:rPr>
              <w:t xml:space="preserve"> </w:t>
            </w:r>
            <w:r w:rsidRPr="00367215">
              <w:rPr>
                <w:rFonts w:ascii="Times New Roman" w:eastAsia="宋体" w:hAnsi="Times New Roman" w:cs="Times New Roman" w:hint="eastAsia"/>
                <w:sz w:val="24"/>
                <w:szCs w:val="21"/>
              </w:rPr>
              <w:t>病毒</w:t>
            </w:r>
          </w:p>
        </w:tc>
        <w:tc>
          <w:tcPr>
            <w:tcW w:w="2693" w:type="dxa"/>
            <w:vAlign w:val="center"/>
          </w:tcPr>
          <w:p w14:paraId="04B6DCD9"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讲授法、</w:t>
            </w:r>
            <w:r w:rsidRPr="00367215">
              <w:rPr>
                <w:rFonts w:ascii="Times New Roman" w:eastAsia="宋体" w:hAnsi="Times New Roman" w:cs="Times New Roman"/>
                <w:sz w:val="24"/>
                <w:szCs w:val="21"/>
              </w:rPr>
              <w:t>PBL</w:t>
            </w:r>
            <w:r w:rsidRPr="00367215">
              <w:rPr>
                <w:rFonts w:ascii="Times New Roman" w:eastAsia="宋体" w:hAnsi="Times New Roman" w:cs="Times New Roman"/>
                <w:sz w:val="24"/>
                <w:szCs w:val="21"/>
              </w:rPr>
              <w:t>教学法</w:t>
            </w:r>
          </w:p>
        </w:tc>
        <w:tc>
          <w:tcPr>
            <w:tcW w:w="1985" w:type="dxa"/>
            <w:vAlign w:val="center"/>
          </w:tcPr>
          <w:p w14:paraId="764311A6"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课程目标</w:t>
            </w:r>
            <w:r w:rsidRPr="00367215">
              <w:rPr>
                <w:rFonts w:ascii="Times New Roman" w:eastAsia="宋体" w:hAnsi="Times New Roman" w:cs="Times New Roman"/>
                <w:sz w:val="24"/>
                <w:szCs w:val="21"/>
              </w:rPr>
              <w:t>1</w:t>
            </w:r>
            <w:r w:rsidRPr="00367215">
              <w:rPr>
                <w:rFonts w:ascii="Times New Roman" w:eastAsia="宋体" w:hAnsi="Times New Roman" w:cs="Times New Roman" w:hint="eastAsia"/>
                <w:sz w:val="24"/>
                <w:szCs w:val="21"/>
              </w:rPr>
              <w:t>、</w:t>
            </w:r>
            <w:r w:rsidRPr="00367215">
              <w:rPr>
                <w:rFonts w:ascii="Times New Roman" w:eastAsia="宋体" w:hAnsi="Times New Roman" w:cs="Times New Roman"/>
                <w:sz w:val="24"/>
                <w:szCs w:val="21"/>
              </w:rPr>
              <w:t>课程目标</w:t>
            </w:r>
            <w:r w:rsidRPr="00367215">
              <w:rPr>
                <w:rFonts w:ascii="Times New Roman" w:eastAsia="宋体" w:hAnsi="Times New Roman" w:cs="Times New Roman"/>
                <w:sz w:val="24"/>
                <w:szCs w:val="21"/>
              </w:rPr>
              <w:t>2</w:t>
            </w:r>
          </w:p>
        </w:tc>
        <w:tc>
          <w:tcPr>
            <w:tcW w:w="1276" w:type="dxa"/>
            <w:vAlign w:val="center"/>
          </w:tcPr>
          <w:p w14:paraId="0608FC94"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2</w:t>
            </w:r>
          </w:p>
        </w:tc>
      </w:tr>
      <w:tr w:rsidR="00367215" w:rsidRPr="00367215" w14:paraId="5A4D9A03" w14:textId="77777777" w:rsidTr="00367215">
        <w:trPr>
          <w:jc w:val="center"/>
        </w:trPr>
        <w:tc>
          <w:tcPr>
            <w:tcW w:w="3403" w:type="dxa"/>
            <w:vAlign w:val="center"/>
          </w:tcPr>
          <w:p w14:paraId="05C08687" w14:textId="77777777" w:rsidR="00367215" w:rsidRPr="00367215" w:rsidRDefault="00367215" w:rsidP="00367215">
            <w:pPr>
              <w:spacing w:line="440" w:lineRule="exact"/>
              <w:jc w:val="left"/>
              <w:rPr>
                <w:rFonts w:ascii="Times New Roman" w:eastAsia="宋体" w:hAnsi="Times New Roman" w:cs="Times New Roman"/>
                <w:sz w:val="24"/>
                <w:szCs w:val="21"/>
              </w:rPr>
            </w:pPr>
            <w:r w:rsidRPr="00367215">
              <w:rPr>
                <w:rFonts w:ascii="Times New Roman" w:eastAsia="宋体" w:hAnsi="Times New Roman" w:cs="Times New Roman"/>
                <w:sz w:val="24"/>
                <w:szCs w:val="21"/>
              </w:rPr>
              <w:t>第五章</w:t>
            </w:r>
            <w:r w:rsidRPr="00367215">
              <w:rPr>
                <w:rFonts w:ascii="Times New Roman" w:eastAsia="宋体" w:hAnsi="Times New Roman" w:cs="Times New Roman" w:hint="eastAsia"/>
                <w:sz w:val="24"/>
                <w:szCs w:val="21"/>
              </w:rPr>
              <w:t xml:space="preserve"> </w:t>
            </w:r>
            <w:r w:rsidRPr="00367215">
              <w:rPr>
                <w:rFonts w:ascii="Times New Roman" w:eastAsia="宋体" w:hAnsi="Times New Roman" w:cs="Times New Roman" w:hint="eastAsia"/>
                <w:sz w:val="24"/>
                <w:szCs w:val="21"/>
              </w:rPr>
              <w:t>微生物的营养和培养基</w:t>
            </w:r>
          </w:p>
        </w:tc>
        <w:tc>
          <w:tcPr>
            <w:tcW w:w="2693" w:type="dxa"/>
            <w:vAlign w:val="center"/>
          </w:tcPr>
          <w:p w14:paraId="45F5AB34"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讲授法、</w:t>
            </w:r>
            <w:r w:rsidRPr="00367215">
              <w:rPr>
                <w:rFonts w:ascii="Times New Roman" w:eastAsia="宋体" w:hAnsi="Times New Roman" w:cs="Times New Roman"/>
                <w:sz w:val="24"/>
                <w:szCs w:val="21"/>
              </w:rPr>
              <w:t>PBL</w:t>
            </w:r>
            <w:r w:rsidRPr="00367215">
              <w:rPr>
                <w:rFonts w:ascii="Times New Roman" w:eastAsia="宋体" w:hAnsi="Times New Roman" w:cs="Times New Roman"/>
                <w:sz w:val="24"/>
                <w:szCs w:val="21"/>
              </w:rPr>
              <w:t>教学法</w:t>
            </w:r>
          </w:p>
        </w:tc>
        <w:tc>
          <w:tcPr>
            <w:tcW w:w="1985" w:type="dxa"/>
            <w:vAlign w:val="center"/>
          </w:tcPr>
          <w:p w14:paraId="7CB5D2A3"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课程目标</w:t>
            </w:r>
            <w:r w:rsidRPr="00367215">
              <w:rPr>
                <w:rFonts w:ascii="Times New Roman" w:eastAsia="宋体" w:hAnsi="Times New Roman" w:cs="Times New Roman"/>
                <w:sz w:val="24"/>
                <w:szCs w:val="21"/>
              </w:rPr>
              <w:t>1</w:t>
            </w:r>
            <w:r w:rsidRPr="00367215">
              <w:rPr>
                <w:rFonts w:ascii="Times New Roman" w:eastAsia="宋体" w:hAnsi="Times New Roman" w:cs="Times New Roman" w:hint="eastAsia"/>
                <w:sz w:val="24"/>
                <w:szCs w:val="21"/>
              </w:rPr>
              <w:t>、</w:t>
            </w:r>
            <w:r w:rsidRPr="00367215">
              <w:rPr>
                <w:rFonts w:ascii="Times New Roman" w:eastAsia="宋体" w:hAnsi="Times New Roman" w:cs="Times New Roman"/>
                <w:sz w:val="24"/>
                <w:szCs w:val="21"/>
              </w:rPr>
              <w:t>课程目标</w:t>
            </w:r>
            <w:r w:rsidRPr="00367215">
              <w:rPr>
                <w:rFonts w:ascii="Times New Roman" w:eastAsia="宋体" w:hAnsi="Times New Roman" w:cs="Times New Roman"/>
                <w:sz w:val="24"/>
                <w:szCs w:val="21"/>
              </w:rPr>
              <w:t>2</w:t>
            </w:r>
          </w:p>
        </w:tc>
        <w:tc>
          <w:tcPr>
            <w:tcW w:w="1276" w:type="dxa"/>
            <w:vAlign w:val="center"/>
          </w:tcPr>
          <w:p w14:paraId="665EB4DE"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2</w:t>
            </w:r>
          </w:p>
        </w:tc>
      </w:tr>
      <w:tr w:rsidR="00367215" w:rsidRPr="00367215" w14:paraId="0C9C093E" w14:textId="77777777" w:rsidTr="00367215">
        <w:trPr>
          <w:jc w:val="center"/>
        </w:trPr>
        <w:tc>
          <w:tcPr>
            <w:tcW w:w="3403" w:type="dxa"/>
            <w:vAlign w:val="center"/>
          </w:tcPr>
          <w:p w14:paraId="6E1A5E79" w14:textId="77777777" w:rsidR="00367215" w:rsidRPr="00367215" w:rsidRDefault="00367215" w:rsidP="00367215">
            <w:pPr>
              <w:spacing w:line="440" w:lineRule="exact"/>
              <w:jc w:val="left"/>
              <w:rPr>
                <w:rFonts w:ascii="Times New Roman" w:eastAsia="宋体" w:hAnsi="Times New Roman" w:cs="Times New Roman"/>
                <w:sz w:val="24"/>
                <w:szCs w:val="21"/>
              </w:rPr>
            </w:pPr>
            <w:r w:rsidRPr="00367215">
              <w:rPr>
                <w:rFonts w:ascii="Times New Roman" w:eastAsia="宋体" w:hAnsi="Times New Roman" w:cs="Times New Roman"/>
                <w:sz w:val="24"/>
                <w:szCs w:val="21"/>
              </w:rPr>
              <w:t>第六章</w:t>
            </w:r>
            <w:r w:rsidRPr="00367215">
              <w:rPr>
                <w:rFonts w:ascii="Times New Roman" w:eastAsia="宋体" w:hAnsi="Times New Roman" w:cs="Times New Roman" w:hint="eastAsia"/>
                <w:sz w:val="24"/>
                <w:szCs w:val="21"/>
              </w:rPr>
              <w:t xml:space="preserve"> </w:t>
            </w:r>
            <w:r w:rsidRPr="00367215">
              <w:rPr>
                <w:rFonts w:ascii="Times New Roman" w:eastAsia="宋体" w:hAnsi="Times New Roman" w:cs="Times New Roman" w:hint="eastAsia"/>
                <w:sz w:val="24"/>
                <w:szCs w:val="21"/>
              </w:rPr>
              <w:t>微生物的生长与控制</w:t>
            </w:r>
          </w:p>
        </w:tc>
        <w:tc>
          <w:tcPr>
            <w:tcW w:w="2693" w:type="dxa"/>
            <w:vAlign w:val="center"/>
          </w:tcPr>
          <w:p w14:paraId="04A72BB1"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讲授法</w:t>
            </w:r>
            <w:r w:rsidRPr="00367215">
              <w:rPr>
                <w:rFonts w:ascii="Times New Roman" w:eastAsia="宋体" w:hAnsi="Times New Roman" w:cs="Times New Roman" w:hint="eastAsia"/>
                <w:sz w:val="24"/>
                <w:szCs w:val="21"/>
              </w:rPr>
              <w:t>、</w:t>
            </w:r>
            <w:r w:rsidRPr="00367215">
              <w:rPr>
                <w:rFonts w:ascii="Times New Roman" w:eastAsia="宋体" w:hAnsi="Times New Roman" w:cs="Times New Roman"/>
                <w:sz w:val="24"/>
                <w:szCs w:val="21"/>
              </w:rPr>
              <w:t>翻转课堂教学法</w:t>
            </w:r>
          </w:p>
        </w:tc>
        <w:tc>
          <w:tcPr>
            <w:tcW w:w="1985" w:type="dxa"/>
            <w:vAlign w:val="center"/>
          </w:tcPr>
          <w:p w14:paraId="1C43CFCA"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课程目标</w:t>
            </w:r>
            <w:r w:rsidRPr="00367215">
              <w:rPr>
                <w:rFonts w:ascii="Times New Roman" w:eastAsia="宋体" w:hAnsi="Times New Roman" w:cs="Times New Roman"/>
                <w:sz w:val="24"/>
                <w:szCs w:val="21"/>
              </w:rPr>
              <w:t>1</w:t>
            </w:r>
            <w:r w:rsidRPr="00367215">
              <w:rPr>
                <w:rFonts w:ascii="Times New Roman" w:eastAsia="宋体" w:hAnsi="Times New Roman" w:cs="Times New Roman" w:hint="eastAsia"/>
                <w:sz w:val="24"/>
                <w:szCs w:val="21"/>
              </w:rPr>
              <w:t>、</w:t>
            </w:r>
            <w:r w:rsidRPr="00367215">
              <w:rPr>
                <w:rFonts w:ascii="Times New Roman" w:eastAsia="宋体" w:hAnsi="Times New Roman" w:cs="Times New Roman"/>
                <w:sz w:val="24"/>
                <w:szCs w:val="21"/>
              </w:rPr>
              <w:t>课程目标</w:t>
            </w:r>
            <w:r w:rsidRPr="00367215">
              <w:rPr>
                <w:rFonts w:ascii="Times New Roman" w:eastAsia="宋体" w:hAnsi="Times New Roman" w:cs="Times New Roman"/>
                <w:sz w:val="24"/>
                <w:szCs w:val="21"/>
              </w:rPr>
              <w:t>2</w:t>
            </w:r>
          </w:p>
        </w:tc>
        <w:tc>
          <w:tcPr>
            <w:tcW w:w="1276" w:type="dxa"/>
            <w:vAlign w:val="center"/>
          </w:tcPr>
          <w:p w14:paraId="70872B7B"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2</w:t>
            </w:r>
          </w:p>
        </w:tc>
      </w:tr>
      <w:tr w:rsidR="00367215" w:rsidRPr="00367215" w14:paraId="352E2754" w14:textId="77777777" w:rsidTr="00367215">
        <w:trPr>
          <w:jc w:val="center"/>
        </w:trPr>
        <w:tc>
          <w:tcPr>
            <w:tcW w:w="3403" w:type="dxa"/>
            <w:vAlign w:val="center"/>
          </w:tcPr>
          <w:p w14:paraId="591B573B" w14:textId="77777777" w:rsidR="00367215" w:rsidRPr="00367215" w:rsidRDefault="00367215" w:rsidP="00367215">
            <w:pPr>
              <w:spacing w:line="440" w:lineRule="exact"/>
              <w:jc w:val="left"/>
              <w:rPr>
                <w:rFonts w:ascii="Times New Roman" w:eastAsia="宋体" w:hAnsi="Times New Roman" w:cs="Times New Roman"/>
                <w:sz w:val="24"/>
                <w:szCs w:val="21"/>
              </w:rPr>
            </w:pPr>
            <w:r w:rsidRPr="00367215">
              <w:rPr>
                <w:rFonts w:ascii="Times New Roman" w:eastAsia="宋体" w:hAnsi="Times New Roman" w:cs="Times New Roman"/>
                <w:sz w:val="24"/>
                <w:szCs w:val="21"/>
              </w:rPr>
              <w:t>第七章</w:t>
            </w:r>
            <w:r w:rsidRPr="00367215">
              <w:rPr>
                <w:rFonts w:ascii="Times New Roman" w:eastAsia="宋体" w:hAnsi="Times New Roman" w:cs="Times New Roman" w:hint="eastAsia"/>
                <w:sz w:val="24"/>
                <w:szCs w:val="21"/>
              </w:rPr>
              <w:t xml:space="preserve"> </w:t>
            </w:r>
            <w:r w:rsidRPr="00367215">
              <w:rPr>
                <w:rFonts w:ascii="Times New Roman" w:eastAsia="宋体" w:hAnsi="Times New Roman" w:cs="Times New Roman" w:hint="eastAsia"/>
                <w:sz w:val="24"/>
                <w:szCs w:val="21"/>
              </w:rPr>
              <w:t>微生物的遗传与变异</w:t>
            </w:r>
          </w:p>
        </w:tc>
        <w:tc>
          <w:tcPr>
            <w:tcW w:w="2693" w:type="dxa"/>
            <w:vAlign w:val="center"/>
          </w:tcPr>
          <w:p w14:paraId="08EE45C2"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讲授法</w:t>
            </w:r>
            <w:r w:rsidRPr="00367215">
              <w:rPr>
                <w:rFonts w:ascii="Times New Roman" w:eastAsia="宋体" w:hAnsi="Times New Roman" w:cs="Times New Roman" w:hint="eastAsia"/>
                <w:sz w:val="24"/>
                <w:szCs w:val="21"/>
              </w:rPr>
              <w:t>、</w:t>
            </w:r>
            <w:r w:rsidRPr="00367215">
              <w:rPr>
                <w:rFonts w:ascii="Times New Roman" w:eastAsia="宋体" w:hAnsi="Times New Roman" w:cs="Times New Roman"/>
                <w:sz w:val="24"/>
                <w:szCs w:val="21"/>
              </w:rPr>
              <w:t>翻转课堂教学法</w:t>
            </w:r>
            <w:r w:rsidRPr="00367215">
              <w:rPr>
                <w:rFonts w:ascii="Times New Roman" w:eastAsia="宋体" w:hAnsi="Times New Roman" w:cs="Times New Roman"/>
                <w:sz w:val="24"/>
                <w:szCs w:val="21"/>
              </w:rPr>
              <w:t xml:space="preserve"> </w:t>
            </w:r>
          </w:p>
        </w:tc>
        <w:tc>
          <w:tcPr>
            <w:tcW w:w="1985" w:type="dxa"/>
            <w:vAlign w:val="center"/>
          </w:tcPr>
          <w:p w14:paraId="37F6D65B"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课程目标</w:t>
            </w:r>
            <w:r w:rsidRPr="00367215">
              <w:rPr>
                <w:rFonts w:ascii="Times New Roman" w:eastAsia="宋体" w:hAnsi="Times New Roman" w:cs="Times New Roman"/>
                <w:sz w:val="24"/>
                <w:szCs w:val="21"/>
              </w:rPr>
              <w:t>1</w:t>
            </w:r>
            <w:r w:rsidRPr="00367215">
              <w:rPr>
                <w:rFonts w:ascii="Times New Roman" w:eastAsia="宋体" w:hAnsi="Times New Roman" w:cs="Times New Roman" w:hint="eastAsia"/>
                <w:sz w:val="24"/>
                <w:szCs w:val="21"/>
              </w:rPr>
              <w:t>、</w:t>
            </w:r>
            <w:r w:rsidRPr="00367215">
              <w:rPr>
                <w:rFonts w:ascii="Times New Roman" w:eastAsia="宋体" w:hAnsi="Times New Roman" w:cs="Times New Roman"/>
                <w:sz w:val="24"/>
                <w:szCs w:val="21"/>
              </w:rPr>
              <w:t>课程目标</w:t>
            </w:r>
            <w:r w:rsidRPr="00367215">
              <w:rPr>
                <w:rFonts w:ascii="Times New Roman" w:eastAsia="宋体" w:hAnsi="Times New Roman" w:cs="Times New Roman"/>
                <w:sz w:val="24"/>
                <w:szCs w:val="21"/>
              </w:rPr>
              <w:t>2</w:t>
            </w:r>
          </w:p>
        </w:tc>
        <w:tc>
          <w:tcPr>
            <w:tcW w:w="1276" w:type="dxa"/>
            <w:vAlign w:val="center"/>
          </w:tcPr>
          <w:p w14:paraId="138A215A"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2</w:t>
            </w:r>
          </w:p>
        </w:tc>
      </w:tr>
      <w:tr w:rsidR="00367215" w:rsidRPr="00367215" w14:paraId="5307B409" w14:textId="77777777" w:rsidTr="00367215">
        <w:trPr>
          <w:jc w:val="center"/>
        </w:trPr>
        <w:tc>
          <w:tcPr>
            <w:tcW w:w="3403" w:type="dxa"/>
            <w:vAlign w:val="center"/>
          </w:tcPr>
          <w:p w14:paraId="46A78CBE" w14:textId="77777777" w:rsidR="00367215" w:rsidRPr="00367215" w:rsidRDefault="00367215" w:rsidP="00367215">
            <w:pPr>
              <w:spacing w:line="440" w:lineRule="exact"/>
              <w:jc w:val="left"/>
              <w:rPr>
                <w:rFonts w:ascii="Times New Roman" w:eastAsia="宋体" w:hAnsi="Times New Roman" w:cs="Times New Roman"/>
                <w:sz w:val="24"/>
                <w:szCs w:val="21"/>
              </w:rPr>
            </w:pPr>
            <w:r w:rsidRPr="00367215">
              <w:rPr>
                <w:rFonts w:ascii="Times New Roman" w:eastAsia="宋体" w:hAnsi="Times New Roman" w:cs="Times New Roman"/>
                <w:sz w:val="24"/>
                <w:szCs w:val="21"/>
              </w:rPr>
              <w:t>第八章</w:t>
            </w:r>
            <w:r w:rsidRPr="00367215">
              <w:rPr>
                <w:rFonts w:ascii="Times New Roman" w:eastAsia="宋体" w:hAnsi="Times New Roman" w:cs="Times New Roman" w:hint="eastAsia"/>
                <w:sz w:val="24"/>
                <w:szCs w:val="21"/>
              </w:rPr>
              <w:t>传染与免疫</w:t>
            </w:r>
          </w:p>
        </w:tc>
        <w:tc>
          <w:tcPr>
            <w:tcW w:w="2693" w:type="dxa"/>
            <w:vAlign w:val="center"/>
          </w:tcPr>
          <w:p w14:paraId="24CF3CF3"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讲授法</w:t>
            </w:r>
            <w:r w:rsidRPr="00367215">
              <w:rPr>
                <w:rFonts w:ascii="Times New Roman" w:eastAsia="宋体" w:hAnsi="Times New Roman" w:cs="Times New Roman" w:hint="eastAsia"/>
                <w:sz w:val="24"/>
                <w:szCs w:val="21"/>
              </w:rPr>
              <w:t>、</w:t>
            </w:r>
            <w:r w:rsidRPr="00367215">
              <w:rPr>
                <w:rFonts w:ascii="Times New Roman" w:eastAsia="宋体" w:hAnsi="Times New Roman" w:cs="Times New Roman"/>
                <w:sz w:val="24"/>
                <w:szCs w:val="21"/>
              </w:rPr>
              <w:t>案例教学</w:t>
            </w:r>
            <w:r w:rsidRPr="00367215">
              <w:rPr>
                <w:rFonts w:ascii="Times New Roman" w:eastAsia="宋体" w:hAnsi="Times New Roman" w:cs="Times New Roman" w:hint="eastAsia"/>
                <w:sz w:val="24"/>
                <w:szCs w:val="21"/>
              </w:rPr>
              <w:t>、</w:t>
            </w:r>
            <w:r w:rsidRPr="00367215">
              <w:rPr>
                <w:rFonts w:ascii="Times New Roman" w:eastAsia="宋体" w:hAnsi="Times New Roman" w:cs="Times New Roman"/>
                <w:sz w:val="24"/>
                <w:szCs w:val="21"/>
              </w:rPr>
              <w:t>sandwich</w:t>
            </w:r>
            <w:r w:rsidRPr="00367215">
              <w:rPr>
                <w:rFonts w:ascii="Times New Roman" w:eastAsia="宋体" w:hAnsi="Times New Roman" w:cs="Times New Roman"/>
                <w:sz w:val="24"/>
                <w:szCs w:val="21"/>
              </w:rPr>
              <w:t>教学法</w:t>
            </w:r>
          </w:p>
        </w:tc>
        <w:tc>
          <w:tcPr>
            <w:tcW w:w="1985" w:type="dxa"/>
            <w:vAlign w:val="center"/>
          </w:tcPr>
          <w:p w14:paraId="3D620DA5"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课程目标</w:t>
            </w:r>
            <w:r w:rsidRPr="00367215">
              <w:rPr>
                <w:rFonts w:ascii="Times New Roman" w:eastAsia="宋体" w:hAnsi="Times New Roman" w:cs="Times New Roman"/>
                <w:sz w:val="24"/>
                <w:szCs w:val="21"/>
              </w:rPr>
              <w:t>1</w:t>
            </w:r>
            <w:r w:rsidRPr="00367215">
              <w:rPr>
                <w:rFonts w:ascii="Times New Roman" w:eastAsia="宋体" w:hAnsi="Times New Roman" w:cs="Times New Roman" w:hint="eastAsia"/>
                <w:sz w:val="24"/>
                <w:szCs w:val="21"/>
              </w:rPr>
              <w:t>、</w:t>
            </w:r>
            <w:r w:rsidRPr="00367215">
              <w:rPr>
                <w:rFonts w:ascii="Times New Roman" w:eastAsia="宋体" w:hAnsi="Times New Roman" w:cs="Times New Roman"/>
                <w:sz w:val="24"/>
                <w:szCs w:val="21"/>
              </w:rPr>
              <w:t>课程目标</w:t>
            </w:r>
            <w:r w:rsidRPr="00367215">
              <w:rPr>
                <w:rFonts w:ascii="Times New Roman" w:eastAsia="宋体" w:hAnsi="Times New Roman" w:cs="Times New Roman"/>
                <w:sz w:val="24"/>
                <w:szCs w:val="21"/>
              </w:rPr>
              <w:t>2</w:t>
            </w:r>
          </w:p>
        </w:tc>
        <w:tc>
          <w:tcPr>
            <w:tcW w:w="1276" w:type="dxa"/>
            <w:vAlign w:val="center"/>
          </w:tcPr>
          <w:p w14:paraId="75B244D6"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2</w:t>
            </w:r>
          </w:p>
        </w:tc>
      </w:tr>
      <w:tr w:rsidR="00367215" w:rsidRPr="00367215" w14:paraId="723048DD" w14:textId="77777777" w:rsidTr="00367215">
        <w:trPr>
          <w:jc w:val="center"/>
        </w:trPr>
        <w:tc>
          <w:tcPr>
            <w:tcW w:w="8081" w:type="dxa"/>
            <w:gridSpan w:val="3"/>
            <w:vAlign w:val="center"/>
          </w:tcPr>
          <w:p w14:paraId="6992A57E" w14:textId="77777777" w:rsidR="00367215" w:rsidRPr="00367215" w:rsidRDefault="00367215" w:rsidP="00367215">
            <w:pPr>
              <w:spacing w:line="440" w:lineRule="exact"/>
              <w:jc w:val="center"/>
              <w:rPr>
                <w:rFonts w:ascii="Times New Roman" w:eastAsia="宋体" w:hAnsi="Times New Roman" w:cs="Times New Roman"/>
                <w:b/>
                <w:sz w:val="24"/>
                <w:szCs w:val="21"/>
              </w:rPr>
            </w:pPr>
            <w:r w:rsidRPr="00367215">
              <w:rPr>
                <w:rFonts w:ascii="Times New Roman" w:eastAsia="宋体" w:hAnsi="Times New Roman" w:cs="Times New Roman"/>
                <w:b/>
                <w:sz w:val="24"/>
                <w:szCs w:val="21"/>
              </w:rPr>
              <w:t>合计</w:t>
            </w:r>
          </w:p>
        </w:tc>
        <w:tc>
          <w:tcPr>
            <w:tcW w:w="1276" w:type="dxa"/>
            <w:vAlign w:val="center"/>
          </w:tcPr>
          <w:p w14:paraId="39E3C604" w14:textId="77777777" w:rsidR="00367215" w:rsidRPr="00367215" w:rsidRDefault="00367215" w:rsidP="00367215">
            <w:pPr>
              <w:spacing w:line="440" w:lineRule="exact"/>
              <w:jc w:val="center"/>
              <w:rPr>
                <w:rFonts w:ascii="Times New Roman" w:eastAsia="宋体" w:hAnsi="Times New Roman" w:cs="Times New Roman"/>
                <w:sz w:val="24"/>
                <w:szCs w:val="21"/>
              </w:rPr>
            </w:pPr>
            <w:r w:rsidRPr="00367215">
              <w:rPr>
                <w:rFonts w:ascii="Times New Roman" w:eastAsia="宋体" w:hAnsi="Times New Roman" w:cs="Times New Roman"/>
                <w:sz w:val="24"/>
                <w:szCs w:val="21"/>
              </w:rPr>
              <w:t>16</w:t>
            </w:r>
          </w:p>
        </w:tc>
      </w:tr>
    </w:tbl>
    <w:p w14:paraId="41683614" w14:textId="77777777" w:rsidR="00367215" w:rsidRPr="00367215" w:rsidRDefault="00367215" w:rsidP="00367215">
      <w:pPr>
        <w:spacing w:beforeLines="50" w:before="156" w:afterLines="50" w:after="156" w:line="440" w:lineRule="exact"/>
        <w:ind w:firstLineChars="200" w:firstLine="560"/>
        <w:rPr>
          <w:rFonts w:ascii="Times New Roman" w:eastAsia="黑体" w:hAnsi="Times New Roman" w:cs="Times New Roman"/>
          <w:sz w:val="28"/>
          <w:szCs w:val="28"/>
        </w:rPr>
      </w:pPr>
      <w:r w:rsidRPr="00367215">
        <w:rPr>
          <w:rFonts w:ascii="Times New Roman" w:eastAsia="黑体" w:hAnsi="Times New Roman" w:cs="Times New Roman" w:hint="eastAsia"/>
          <w:sz w:val="28"/>
          <w:szCs w:val="28"/>
        </w:rPr>
        <w:t>四、课程考核及与课程学习目标的对应关系</w:t>
      </w:r>
    </w:p>
    <w:p w14:paraId="55EF7767" w14:textId="77777777" w:rsidR="00367215" w:rsidRPr="00367215" w:rsidRDefault="00367215" w:rsidP="00367215">
      <w:pPr>
        <w:spacing w:beforeLines="50" w:before="156" w:afterLines="50" w:after="156" w:line="440" w:lineRule="exact"/>
        <w:ind w:firstLineChars="200" w:firstLine="560"/>
        <w:rPr>
          <w:rFonts w:ascii="Times New Roman" w:eastAsia="黑体" w:hAnsi="Times New Roman" w:cs="Times New Roman"/>
          <w:sz w:val="28"/>
          <w:szCs w:val="28"/>
        </w:rPr>
      </w:pPr>
      <w:r w:rsidRPr="00367215">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367215" w:rsidRPr="00367215" w14:paraId="1559E7F1" w14:textId="77777777" w:rsidTr="00367215">
        <w:trPr>
          <w:trHeight w:val="515"/>
          <w:jc w:val="center"/>
        </w:trPr>
        <w:tc>
          <w:tcPr>
            <w:tcW w:w="1422" w:type="dxa"/>
          </w:tcPr>
          <w:p w14:paraId="5EC497F6" w14:textId="77777777" w:rsidR="00367215" w:rsidRPr="00367215" w:rsidRDefault="00367215" w:rsidP="00367215">
            <w:pPr>
              <w:spacing w:line="440" w:lineRule="exact"/>
              <w:jc w:val="center"/>
              <w:rPr>
                <w:rFonts w:ascii="Times New Roman" w:eastAsia="宋体" w:hAnsi="Times New Roman" w:cs="Times New Roman"/>
                <w:b/>
                <w:sz w:val="24"/>
                <w:szCs w:val="21"/>
              </w:rPr>
            </w:pPr>
            <w:r w:rsidRPr="00367215">
              <w:rPr>
                <w:rFonts w:ascii="Times New Roman" w:eastAsia="宋体" w:hAnsi="Times New Roman" w:cs="Times New Roman"/>
                <w:b/>
                <w:sz w:val="24"/>
                <w:szCs w:val="21"/>
              </w:rPr>
              <w:t>课程目标</w:t>
            </w:r>
          </w:p>
        </w:tc>
        <w:tc>
          <w:tcPr>
            <w:tcW w:w="7918" w:type="dxa"/>
            <w:vAlign w:val="center"/>
          </w:tcPr>
          <w:p w14:paraId="3706A7A3" w14:textId="77777777" w:rsidR="00367215" w:rsidRPr="00367215" w:rsidRDefault="00367215" w:rsidP="00367215">
            <w:pPr>
              <w:spacing w:line="440" w:lineRule="exact"/>
              <w:jc w:val="center"/>
              <w:rPr>
                <w:rFonts w:ascii="Times New Roman" w:eastAsia="宋体" w:hAnsi="Times New Roman" w:cs="Times New Roman"/>
                <w:b/>
                <w:sz w:val="24"/>
                <w:szCs w:val="21"/>
              </w:rPr>
            </w:pPr>
            <w:r w:rsidRPr="00367215">
              <w:rPr>
                <w:rFonts w:ascii="Times New Roman" w:eastAsia="宋体" w:hAnsi="Times New Roman" w:cs="Times New Roman"/>
                <w:b/>
                <w:sz w:val="24"/>
                <w:szCs w:val="21"/>
              </w:rPr>
              <w:t>考核内容</w:t>
            </w:r>
          </w:p>
        </w:tc>
      </w:tr>
      <w:tr w:rsidR="00367215" w:rsidRPr="00367215" w14:paraId="72559A7F" w14:textId="77777777" w:rsidTr="00367215">
        <w:trPr>
          <w:jc w:val="center"/>
        </w:trPr>
        <w:tc>
          <w:tcPr>
            <w:tcW w:w="1422" w:type="dxa"/>
            <w:vAlign w:val="center"/>
          </w:tcPr>
          <w:p w14:paraId="3523C638" w14:textId="77777777" w:rsidR="00367215" w:rsidRPr="00367215" w:rsidRDefault="00367215" w:rsidP="00367215">
            <w:pPr>
              <w:spacing w:line="440" w:lineRule="exact"/>
              <w:jc w:val="center"/>
              <w:rPr>
                <w:rFonts w:ascii="Times New Roman" w:eastAsia="宋体" w:hAnsi="Times New Roman" w:cs="Times New Roman"/>
                <w:bCs/>
                <w:sz w:val="24"/>
                <w:szCs w:val="21"/>
              </w:rPr>
            </w:pPr>
            <w:r w:rsidRPr="00367215">
              <w:rPr>
                <w:rFonts w:ascii="Times New Roman" w:eastAsia="宋体" w:hAnsi="Times New Roman" w:cs="Times New Roman"/>
                <w:bCs/>
                <w:sz w:val="24"/>
                <w:szCs w:val="21"/>
              </w:rPr>
              <w:t>课程目标</w:t>
            </w:r>
            <w:r w:rsidRPr="00367215">
              <w:rPr>
                <w:rFonts w:ascii="Times New Roman" w:eastAsia="宋体" w:hAnsi="Times New Roman" w:cs="Times New Roman"/>
                <w:bCs/>
                <w:sz w:val="24"/>
                <w:szCs w:val="21"/>
              </w:rPr>
              <w:t>1</w:t>
            </w:r>
          </w:p>
        </w:tc>
        <w:tc>
          <w:tcPr>
            <w:tcW w:w="7918" w:type="dxa"/>
            <w:vAlign w:val="center"/>
          </w:tcPr>
          <w:p w14:paraId="387818A1" w14:textId="77777777" w:rsidR="00367215" w:rsidRPr="00367215" w:rsidRDefault="00367215" w:rsidP="00367215">
            <w:pPr>
              <w:spacing w:line="440" w:lineRule="exact"/>
              <w:rPr>
                <w:rFonts w:ascii="Times New Roman" w:eastAsia="宋体" w:hAnsi="Times New Roman" w:cs="Times New Roman"/>
                <w:bCs/>
                <w:sz w:val="24"/>
                <w:szCs w:val="21"/>
              </w:rPr>
            </w:pPr>
            <w:r w:rsidRPr="00367215">
              <w:rPr>
                <w:rFonts w:ascii="Times New Roman" w:eastAsia="宋体" w:hAnsi="Times New Roman" w:cs="Times New Roman" w:hint="eastAsia"/>
                <w:bCs/>
                <w:sz w:val="24"/>
                <w:szCs w:val="21"/>
              </w:rPr>
              <w:t>主要考核学生对以不同细胞形态微生物为主线，主要考核学生对各种微生物的基本知识，包括微生物的形态、结构和营养需求的掌握能力。</w:t>
            </w:r>
            <w:proofErr w:type="gramStart"/>
            <w:r w:rsidRPr="00367215">
              <w:rPr>
                <w:rFonts w:ascii="Times New Roman" w:eastAsia="宋体" w:hAnsi="Times New Roman" w:cs="Times New Roman" w:hint="eastAsia"/>
                <w:bCs/>
                <w:sz w:val="24"/>
                <w:szCs w:val="21"/>
              </w:rPr>
              <w:t>若学</w:t>
            </w:r>
            <w:proofErr w:type="gramEnd"/>
            <w:r w:rsidRPr="00367215">
              <w:rPr>
                <w:rFonts w:ascii="Times New Roman" w:eastAsia="宋体" w:hAnsi="Times New Roman" w:cs="Times New Roman" w:hint="eastAsia"/>
                <w:bCs/>
                <w:sz w:val="24"/>
                <w:szCs w:val="21"/>
              </w:rPr>
              <w:t>生能正确掌握上述知识，说明学生掌握了微生物形态结构方面的知识基础，具备应用相关知识分析、推演并解决微生物培养、鉴别、优化微生物营养需求条件等药物分析领域复杂工程问题的能力。</w:t>
            </w:r>
          </w:p>
        </w:tc>
      </w:tr>
      <w:tr w:rsidR="00367215" w:rsidRPr="00367215" w14:paraId="579BB6C3" w14:textId="77777777" w:rsidTr="00367215">
        <w:trPr>
          <w:jc w:val="center"/>
        </w:trPr>
        <w:tc>
          <w:tcPr>
            <w:tcW w:w="1422" w:type="dxa"/>
            <w:vAlign w:val="center"/>
          </w:tcPr>
          <w:p w14:paraId="5914FB50" w14:textId="77777777" w:rsidR="00367215" w:rsidRPr="00367215" w:rsidRDefault="00367215" w:rsidP="00367215">
            <w:pPr>
              <w:spacing w:line="440" w:lineRule="exact"/>
              <w:jc w:val="center"/>
              <w:rPr>
                <w:rFonts w:ascii="Times New Roman" w:eastAsia="宋体" w:hAnsi="Times New Roman" w:cs="Times New Roman"/>
                <w:bCs/>
                <w:sz w:val="24"/>
                <w:szCs w:val="21"/>
              </w:rPr>
            </w:pPr>
            <w:r w:rsidRPr="00367215">
              <w:rPr>
                <w:rFonts w:ascii="Times New Roman" w:eastAsia="宋体" w:hAnsi="Times New Roman" w:cs="Times New Roman"/>
                <w:bCs/>
                <w:sz w:val="24"/>
                <w:szCs w:val="21"/>
              </w:rPr>
              <w:t>课程目标</w:t>
            </w:r>
            <w:r w:rsidRPr="00367215">
              <w:rPr>
                <w:rFonts w:ascii="Times New Roman" w:eastAsia="宋体" w:hAnsi="Times New Roman" w:cs="Times New Roman"/>
                <w:bCs/>
                <w:sz w:val="24"/>
                <w:szCs w:val="21"/>
              </w:rPr>
              <w:t>2</w:t>
            </w:r>
          </w:p>
        </w:tc>
        <w:tc>
          <w:tcPr>
            <w:tcW w:w="7918" w:type="dxa"/>
            <w:vAlign w:val="center"/>
          </w:tcPr>
          <w:p w14:paraId="14FA0B99" w14:textId="77777777" w:rsidR="00367215" w:rsidRPr="00367215" w:rsidRDefault="00367215" w:rsidP="00367215">
            <w:pPr>
              <w:spacing w:line="440" w:lineRule="exact"/>
              <w:rPr>
                <w:rFonts w:ascii="Times New Roman" w:eastAsia="宋体" w:hAnsi="Times New Roman" w:cs="Times New Roman"/>
                <w:bCs/>
                <w:sz w:val="24"/>
                <w:szCs w:val="21"/>
              </w:rPr>
            </w:pPr>
            <w:r w:rsidRPr="00367215">
              <w:rPr>
                <w:rFonts w:ascii="Times New Roman" w:eastAsia="宋体" w:hAnsi="Times New Roman" w:cs="Times New Roman" w:hint="eastAsia"/>
                <w:sz w:val="24"/>
                <w:szCs w:val="21"/>
              </w:rPr>
              <w:t>学生通过掌握微生物生长规律、环境因素对微生物的影响、微生物的菌种选育、菌种保藏以及新陈代谢和遗传变异等基础知识，便可具备解决复杂药物分析问题所需的微生物生长条件优化、优良菌种选育、生物转化以及合成生物技术等专业知识，能够清晰的识别，表述复杂药物分析问题，并有助于获得有效结论。</w:t>
            </w:r>
          </w:p>
        </w:tc>
      </w:tr>
    </w:tbl>
    <w:p w14:paraId="0BBF29F0" w14:textId="77777777" w:rsidR="00367215" w:rsidRPr="00367215" w:rsidRDefault="00367215" w:rsidP="00367215">
      <w:pPr>
        <w:spacing w:beforeLines="50" w:before="156" w:afterLines="50" w:after="156" w:line="440" w:lineRule="exact"/>
        <w:ind w:firstLineChars="200" w:firstLine="560"/>
        <w:rPr>
          <w:rFonts w:ascii="Times New Roman" w:eastAsia="黑体" w:hAnsi="Times New Roman" w:cs="Times New Roman"/>
          <w:sz w:val="28"/>
          <w:szCs w:val="28"/>
        </w:rPr>
      </w:pPr>
      <w:r w:rsidRPr="00367215">
        <w:rPr>
          <w:rFonts w:ascii="Times New Roman" w:eastAsia="黑体" w:hAnsi="Times New Roman" w:cs="Times New Roman"/>
          <w:sz w:val="28"/>
          <w:szCs w:val="28"/>
        </w:rPr>
        <w:lastRenderedPageBreak/>
        <w:t>（二）课程考核方式</w:t>
      </w:r>
    </w:p>
    <w:p w14:paraId="3FB8A086"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课程考核方式分为平时考核和期末考核。平时考核方式包括课堂</w:t>
      </w:r>
      <w:r w:rsidRPr="00367215">
        <w:rPr>
          <w:rFonts w:ascii="Times New Roman" w:eastAsia="宋体" w:hAnsi="Times New Roman" w:cs="Times New Roman" w:hint="eastAsia"/>
          <w:sz w:val="24"/>
          <w:szCs w:val="21"/>
        </w:rPr>
        <w:t>小测</w:t>
      </w:r>
      <w:r w:rsidRPr="00367215">
        <w:rPr>
          <w:rFonts w:ascii="Times New Roman" w:eastAsia="宋体" w:hAnsi="Times New Roman" w:cs="Times New Roman"/>
          <w:sz w:val="24"/>
          <w:szCs w:val="21"/>
        </w:rPr>
        <w:t>、平时作业等；期末考核采用考试</w:t>
      </w:r>
      <w:r w:rsidRPr="00367215">
        <w:rPr>
          <w:rFonts w:ascii="Times New Roman" w:eastAsia="宋体" w:hAnsi="Times New Roman" w:cs="Times New Roman" w:hint="eastAsia"/>
          <w:sz w:val="24"/>
          <w:szCs w:val="21"/>
        </w:rPr>
        <w:t>或课程论文等形式</w:t>
      </w:r>
      <w:r w:rsidRPr="00367215">
        <w:rPr>
          <w:rFonts w:ascii="Times New Roman" w:eastAsia="宋体" w:hAnsi="Times New Roman" w:cs="Times New Roman"/>
          <w:sz w:val="24"/>
          <w:szCs w:val="21"/>
        </w:rPr>
        <w:t>。</w:t>
      </w:r>
    </w:p>
    <w:p w14:paraId="28F30155" w14:textId="77777777" w:rsidR="00367215" w:rsidRPr="00367215" w:rsidRDefault="00367215" w:rsidP="00367215">
      <w:pPr>
        <w:spacing w:beforeLines="50" w:before="156" w:afterLines="50" w:after="156" w:line="440" w:lineRule="exact"/>
        <w:ind w:firstLineChars="200" w:firstLine="560"/>
        <w:rPr>
          <w:rFonts w:ascii="Times New Roman" w:eastAsia="黑体" w:hAnsi="Times New Roman" w:cs="Times New Roman"/>
          <w:sz w:val="28"/>
          <w:szCs w:val="28"/>
        </w:rPr>
      </w:pPr>
      <w:r w:rsidRPr="00367215">
        <w:rPr>
          <w:rFonts w:ascii="Times New Roman" w:eastAsia="黑体" w:hAnsi="Times New Roman" w:cs="Times New Roman"/>
          <w:sz w:val="28"/>
          <w:szCs w:val="28"/>
        </w:rPr>
        <w:t>（三）课程目标达成评价方式及考核比例</w:t>
      </w:r>
    </w:p>
    <w:p w14:paraId="0D86ECC1"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本课程考核方式及成绩比例为：课堂</w:t>
      </w:r>
      <w:r w:rsidRPr="00367215">
        <w:rPr>
          <w:rFonts w:ascii="Times New Roman" w:eastAsia="宋体" w:hAnsi="Times New Roman" w:cs="Times New Roman" w:hint="eastAsia"/>
          <w:sz w:val="24"/>
          <w:szCs w:val="21"/>
        </w:rPr>
        <w:t>小测</w:t>
      </w:r>
      <w:r w:rsidRPr="00367215">
        <w:rPr>
          <w:rFonts w:ascii="Times New Roman" w:eastAsia="宋体" w:hAnsi="Times New Roman" w:cs="Times New Roman" w:hint="eastAsia"/>
          <w:sz w:val="24"/>
          <w:szCs w:val="21"/>
        </w:rPr>
        <w:t>2</w:t>
      </w:r>
      <w:r w:rsidRPr="00367215">
        <w:rPr>
          <w:rFonts w:ascii="Times New Roman" w:eastAsia="宋体" w:hAnsi="Times New Roman" w:cs="Times New Roman"/>
          <w:sz w:val="24"/>
          <w:szCs w:val="21"/>
        </w:rPr>
        <w:t>0%+</w:t>
      </w:r>
      <w:r w:rsidRPr="00367215">
        <w:rPr>
          <w:rFonts w:ascii="Times New Roman" w:eastAsia="宋体" w:hAnsi="Times New Roman" w:cs="Times New Roman"/>
          <w:sz w:val="24"/>
          <w:szCs w:val="21"/>
        </w:rPr>
        <w:t>作业完成</w:t>
      </w:r>
      <w:r w:rsidRPr="00367215">
        <w:rPr>
          <w:rFonts w:ascii="Times New Roman" w:eastAsia="宋体" w:hAnsi="Times New Roman" w:cs="Times New Roman"/>
          <w:sz w:val="24"/>
          <w:szCs w:val="21"/>
        </w:rPr>
        <w:t>20%+</w:t>
      </w:r>
      <w:r w:rsidRPr="00367215">
        <w:rPr>
          <w:rFonts w:ascii="Times New Roman" w:eastAsia="宋体" w:hAnsi="Times New Roman" w:cs="Times New Roman"/>
          <w:sz w:val="24"/>
          <w:szCs w:val="21"/>
        </w:rPr>
        <w:t>期末</w:t>
      </w:r>
      <w:r w:rsidRPr="00367215">
        <w:rPr>
          <w:rFonts w:ascii="Times New Roman" w:eastAsia="宋体" w:hAnsi="Times New Roman" w:cs="Times New Roman" w:hint="eastAsia"/>
          <w:sz w:val="24"/>
          <w:szCs w:val="21"/>
        </w:rPr>
        <w:t>测验</w:t>
      </w:r>
      <w:r w:rsidRPr="00367215">
        <w:rPr>
          <w:rFonts w:ascii="Times New Roman" w:eastAsia="宋体" w:hAnsi="Times New Roman" w:cs="Times New Roman"/>
          <w:sz w:val="24"/>
          <w:szCs w:val="21"/>
        </w:rPr>
        <w:t>60%</w:t>
      </w:r>
      <w:r w:rsidRPr="00367215">
        <w:rPr>
          <w:rFonts w:ascii="Times New Roman" w:eastAsia="宋体" w:hAnsi="Times New Roman" w:cs="Times New Roman"/>
          <w:sz w:val="24"/>
          <w:szCs w:val="21"/>
        </w:rPr>
        <w:t>；本课程共有</w:t>
      </w:r>
      <w:r w:rsidRPr="00367215">
        <w:rPr>
          <w:rFonts w:ascii="Times New Roman" w:eastAsia="宋体" w:hAnsi="Times New Roman" w:cs="Times New Roman" w:hint="eastAsia"/>
          <w:sz w:val="24"/>
          <w:szCs w:val="21"/>
        </w:rPr>
        <w:t>两</w:t>
      </w:r>
      <w:r w:rsidRPr="00367215">
        <w:rPr>
          <w:rFonts w:ascii="Times New Roman" w:eastAsia="宋体" w:hAnsi="Times New Roman" w:cs="Times New Roman"/>
          <w:sz w:val="24"/>
          <w:szCs w:val="21"/>
        </w:rPr>
        <w:t>个课程目标，考核方式及成绩比例分别为：</w:t>
      </w:r>
    </w:p>
    <w:p w14:paraId="0C35578C"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如下图：</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4"/>
        <w:gridCol w:w="2052"/>
        <w:gridCol w:w="1575"/>
        <w:gridCol w:w="1731"/>
        <w:gridCol w:w="1525"/>
      </w:tblGrid>
      <w:tr w:rsidR="00367215" w:rsidRPr="00367215" w14:paraId="1A5AF0BE" w14:textId="77777777" w:rsidTr="00367215">
        <w:trPr>
          <w:jc w:val="center"/>
        </w:trPr>
        <w:tc>
          <w:tcPr>
            <w:tcW w:w="2247" w:type="pct"/>
            <w:gridSpan w:val="2"/>
            <w:tcBorders>
              <w:top w:val="single" w:sz="4" w:space="0" w:color="auto"/>
              <w:left w:val="single" w:sz="4" w:space="0" w:color="auto"/>
              <w:bottom w:val="single" w:sz="4" w:space="0" w:color="auto"/>
              <w:right w:val="single" w:sz="4" w:space="0" w:color="auto"/>
            </w:tcBorders>
          </w:tcPr>
          <w:p w14:paraId="756C4882" w14:textId="77777777" w:rsidR="00367215" w:rsidRPr="00367215" w:rsidRDefault="00367215" w:rsidP="00367215">
            <w:pPr>
              <w:spacing w:line="320" w:lineRule="exact"/>
              <w:jc w:val="center"/>
              <w:rPr>
                <w:rFonts w:ascii="Times New Roman" w:eastAsia="宋体" w:hAnsi="Times New Roman" w:cs="Times New Roman"/>
                <w:szCs w:val="21"/>
              </w:rPr>
            </w:pPr>
            <w:r w:rsidRPr="00367215">
              <w:rPr>
                <w:rFonts w:ascii="Times New Roman" w:eastAsia="宋体" w:hAnsi="Times New Roman" w:cs="Times New Roman"/>
                <w:szCs w:val="21"/>
                <w:lang w:bidi="ar"/>
              </w:rPr>
              <w:t>课程目标</w:t>
            </w:r>
          </w:p>
        </w:tc>
        <w:tc>
          <w:tcPr>
            <w:tcW w:w="897" w:type="pct"/>
            <w:tcBorders>
              <w:top w:val="single" w:sz="4" w:space="0" w:color="auto"/>
              <w:left w:val="single" w:sz="4" w:space="0" w:color="auto"/>
              <w:bottom w:val="single" w:sz="4" w:space="0" w:color="auto"/>
              <w:right w:val="single" w:sz="4" w:space="0" w:color="auto"/>
            </w:tcBorders>
          </w:tcPr>
          <w:p w14:paraId="56269B56" w14:textId="77777777" w:rsidR="00367215" w:rsidRPr="00367215" w:rsidRDefault="00367215" w:rsidP="00367215">
            <w:pPr>
              <w:spacing w:line="320" w:lineRule="exact"/>
              <w:jc w:val="center"/>
              <w:rPr>
                <w:rFonts w:ascii="Times New Roman" w:eastAsia="宋体" w:hAnsi="Times New Roman" w:cs="Times New Roman"/>
                <w:szCs w:val="21"/>
              </w:rPr>
            </w:pPr>
            <w:r w:rsidRPr="00367215">
              <w:rPr>
                <w:rFonts w:ascii="Times New Roman" w:eastAsia="宋体" w:hAnsi="Times New Roman" w:cs="Times New Roman" w:hint="eastAsia"/>
                <w:szCs w:val="21"/>
              </w:rPr>
              <w:t>课程</w:t>
            </w:r>
            <w:r w:rsidRPr="00367215">
              <w:rPr>
                <w:rFonts w:ascii="Times New Roman" w:eastAsia="宋体" w:hAnsi="Times New Roman" w:cs="Times New Roman"/>
                <w:szCs w:val="21"/>
              </w:rPr>
              <w:t>目标</w:t>
            </w:r>
            <w:r w:rsidRPr="00367215">
              <w:rPr>
                <w:rFonts w:ascii="Times New Roman" w:eastAsia="宋体" w:hAnsi="Times New Roman" w:cs="Times New Roman"/>
                <w:szCs w:val="21"/>
              </w:rPr>
              <w:t>1</w:t>
            </w:r>
          </w:p>
        </w:tc>
        <w:tc>
          <w:tcPr>
            <w:tcW w:w="986" w:type="pct"/>
            <w:tcBorders>
              <w:top w:val="single" w:sz="4" w:space="0" w:color="auto"/>
              <w:left w:val="single" w:sz="4" w:space="0" w:color="auto"/>
              <w:bottom w:val="single" w:sz="4" w:space="0" w:color="auto"/>
              <w:right w:val="single" w:sz="4" w:space="0" w:color="auto"/>
            </w:tcBorders>
          </w:tcPr>
          <w:p w14:paraId="222212AD" w14:textId="77777777" w:rsidR="00367215" w:rsidRPr="00367215" w:rsidRDefault="00367215" w:rsidP="00367215">
            <w:pPr>
              <w:spacing w:line="320" w:lineRule="exact"/>
              <w:jc w:val="center"/>
              <w:rPr>
                <w:rFonts w:ascii="Times New Roman" w:eastAsia="宋体" w:hAnsi="Times New Roman" w:cs="Times New Roman"/>
                <w:szCs w:val="21"/>
              </w:rPr>
            </w:pPr>
            <w:r w:rsidRPr="00367215">
              <w:rPr>
                <w:rFonts w:ascii="Times New Roman" w:eastAsia="宋体" w:hAnsi="Times New Roman" w:cs="Times New Roman" w:hint="eastAsia"/>
                <w:szCs w:val="21"/>
                <w:lang w:bidi="ar"/>
              </w:rPr>
              <w:t>课程</w:t>
            </w:r>
            <w:r w:rsidRPr="00367215">
              <w:rPr>
                <w:rFonts w:ascii="Times New Roman" w:eastAsia="宋体" w:hAnsi="Times New Roman" w:cs="Times New Roman"/>
                <w:szCs w:val="21"/>
                <w:lang w:bidi="ar"/>
              </w:rPr>
              <w:t>目标</w:t>
            </w:r>
            <w:r w:rsidRPr="00367215">
              <w:rPr>
                <w:rFonts w:ascii="Times New Roman" w:eastAsia="宋体" w:hAnsi="Times New Roman" w:cs="Times New Roman"/>
                <w:szCs w:val="21"/>
                <w:lang w:bidi="ar"/>
              </w:rPr>
              <w:t>2</w:t>
            </w:r>
          </w:p>
        </w:tc>
        <w:tc>
          <w:tcPr>
            <w:tcW w:w="869" w:type="pct"/>
            <w:vMerge w:val="restart"/>
            <w:tcBorders>
              <w:top w:val="single" w:sz="4" w:space="0" w:color="auto"/>
              <w:left w:val="single" w:sz="4" w:space="0" w:color="auto"/>
              <w:right w:val="single" w:sz="4" w:space="0" w:color="auto"/>
            </w:tcBorders>
          </w:tcPr>
          <w:p w14:paraId="103347EC" w14:textId="77777777" w:rsidR="00367215" w:rsidRPr="00367215" w:rsidRDefault="00367215" w:rsidP="00367215">
            <w:pPr>
              <w:spacing w:line="320" w:lineRule="exact"/>
              <w:jc w:val="center"/>
              <w:rPr>
                <w:rFonts w:ascii="Times New Roman" w:eastAsia="宋体" w:hAnsi="Times New Roman" w:cs="Times New Roman"/>
                <w:szCs w:val="21"/>
              </w:rPr>
            </w:pPr>
            <w:r w:rsidRPr="00367215">
              <w:rPr>
                <w:rFonts w:ascii="Times New Roman" w:eastAsia="宋体" w:hAnsi="Times New Roman" w:cs="Times New Roman"/>
                <w:szCs w:val="21"/>
              </w:rPr>
              <w:t>考核环节成绩比例合计（</w:t>
            </w:r>
            <w:r w:rsidRPr="00367215">
              <w:rPr>
                <w:rFonts w:ascii="Times New Roman" w:eastAsia="宋体" w:hAnsi="Times New Roman" w:cs="Times New Roman"/>
                <w:szCs w:val="21"/>
              </w:rPr>
              <w:t>%</w:t>
            </w:r>
            <w:r w:rsidRPr="00367215">
              <w:rPr>
                <w:rFonts w:ascii="Times New Roman" w:eastAsia="宋体" w:hAnsi="Times New Roman" w:cs="Times New Roman"/>
                <w:szCs w:val="21"/>
              </w:rPr>
              <w:t>）</w:t>
            </w:r>
          </w:p>
        </w:tc>
      </w:tr>
      <w:tr w:rsidR="00367215" w:rsidRPr="00367215" w14:paraId="5D5ED71A" w14:textId="77777777" w:rsidTr="00367215">
        <w:trPr>
          <w:jc w:val="center"/>
        </w:trPr>
        <w:tc>
          <w:tcPr>
            <w:tcW w:w="2247" w:type="pct"/>
            <w:gridSpan w:val="2"/>
            <w:tcBorders>
              <w:top w:val="single" w:sz="4" w:space="0" w:color="auto"/>
              <w:left w:val="single" w:sz="4" w:space="0" w:color="auto"/>
              <w:bottom w:val="single" w:sz="4" w:space="0" w:color="auto"/>
              <w:right w:val="single" w:sz="4" w:space="0" w:color="auto"/>
            </w:tcBorders>
          </w:tcPr>
          <w:p w14:paraId="2DD271DB" w14:textId="77777777" w:rsidR="00367215" w:rsidRPr="00367215" w:rsidRDefault="00367215" w:rsidP="00367215">
            <w:pPr>
              <w:spacing w:line="320" w:lineRule="exact"/>
              <w:jc w:val="center"/>
              <w:rPr>
                <w:rFonts w:ascii="Times New Roman" w:eastAsia="宋体" w:hAnsi="Times New Roman" w:cs="Times New Roman"/>
                <w:szCs w:val="21"/>
              </w:rPr>
            </w:pPr>
            <w:r w:rsidRPr="00367215">
              <w:rPr>
                <w:rFonts w:ascii="Times New Roman" w:eastAsia="宋体" w:hAnsi="Times New Roman" w:cs="Times New Roman"/>
                <w:szCs w:val="21"/>
                <w:lang w:bidi="ar"/>
              </w:rPr>
              <w:t>毕业要求指标点</w:t>
            </w:r>
          </w:p>
        </w:tc>
        <w:tc>
          <w:tcPr>
            <w:tcW w:w="897" w:type="pct"/>
            <w:tcBorders>
              <w:top w:val="single" w:sz="4" w:space="0" w:color="auto"/>
              <w:left w:val="single" w:sz="4" w:space="0" w:color="auto"/>
              <w:bottom w:val="single" w:sz="4" w:space="0" w:color="auto"/>
              <w:right w:val="single" w:sz="4" w:space="0" w:color="auto"/>
            </w:tcBorders>
          </w:tcPr>
          <w:p w14:paraId="7D66A74F" w14:textId="77777777" w:rsidR="00367215" w:rsidRPr="00367215" w:rsidRDefault="00367215" w:rsidP="00367215">
            <w:pPr>
              <w:spacing w:line="320" w:lineRule="exact"/>
              <w:jc w:val="center"/>
              <w:rPr>
                <w:rFonts w:ascii="Times New Roman" w:eastAsia="宋体" w:hAnsi="Times New Roman" w:cs="Times New Roman"/>
                <w:szCs w:val="21"/>
              </w:rPr>
            </w:pPr>
            <w:r w:rsidRPr="00367215">
              <w:rPr>
                <w:rFonts w:ascii="Times New Roman" w:eastAsia="宋体" w:hAnsi="Times New Roman" w:cs="Times New Roman"/>
                <w:szCs w:val="21"/>
                <w:lang w:bidi="ar"/>
              </w:rPr>
              <w:t>毕业要求</w:t>
            </w:r>
            <w:r w:rsidRPr="00367215">
              <w:rPr>
                <w:rFonts w:ascii="Times New Roman" w:eastAsia="宋体" w:hAnsi="Times New Roman" w:cs="Times New Roman"/>
                <w:szCs w:val="21"/>
              </w:rPr>
              <w:t>1.2</w:t>
            </w:r>
          </w:p>
        </w:tc>
        <w:tc>
          <w:tcPr>
            <w:tcW w:w="986" w:type="pct"/>
            <w:tcBorders>
              <w:top w:val="single" w:sz="4" w:space="0" w:color="auto"/>
              <w:left w:val="single" w:sz="4" w:space="0" w:color="auto"/>
              <w:bottom w:val="single" w:sz="4" w:space="0" w:color="auto"/>
              <w:right w:val="single" w:sz="4" w:space="0" w:color="auto"/>
            </w:tcBorders>
          </w:tcPr>
          <w:p w14:paraId="662D9036" w14:textId="77777777" w:rsidR="00367215" w:rsidRPr="00367215" w:rsidRDefault="00367215" w:rsidP="00367215">
            <w:pPr>
              <w:spacing w:line="320" w:lineRule="exact"/>
              <w:jc w:val="center"/>
              <w:rPr>
                <w:rFonts w:ascii="Times New Roman" w:eastAsia="宋体" w:hAnsi="Times New Roman" w:cs="Times New Roman"/>
                <w:szCs w:val="21"/>
              </w:rPr>
            </w:pPr>
            <w:r w:rsidRPr="00367215">
              <w:rPr>
                <w:rFonts w:ascii="Times New Roman" w:eastAsia="宋体" w:hAnsi="Times New Roman" w:cs="Times New Roman"/>
                <w:szCs w:val="21"/>
                <w:lang w:bidi="ar"/>
              </w:rPr>
              <w:t>毕业要求</w:t>
            </w:r>
            <w:r w:rsidRPr="00367215">
              <w:rPr>
                <w:rFonts w:ascii="Times New Roman" w:eastAsia="宋体" w:hAnsi="Times New Roman" w:cs="Times New Roman"/>
                <w:szCs w:val="21"/>
              </w:rPr>
              <w:t>2</w:t>
            </w:r>
            <w:r w:rsidRPr="00367215">
              <w:rPr>
                <w:rFonts w:ascii="Times New Roman" w:eastAsia="宋体" w:hAnsi="Times New Roman" w:cs="Times New Roman" w:hint="eastAsia"/>
                <w:szCs w:val="21"/>
              </w:rPr>
              <w:t>.1</w:t>
            </w:r>
          </w:p>
        </w:tc>
        <w:tc>
          <w:tcPr>
            <w:tcW w:w="869" w:type="pct"/>
            <w:vMerge/>
            <w:tcBorders>
              <w:left w:val="single" w:sz="4" w:space="0" w:color="auto"/>
              <w:bottom w:val="single" w:sz="4" w:space="0" w:color="auto"/>
              <w:right w:val="single" w:sz="4" w:space="0" w:color="auto"/>
            </w:tcBorders>
          </w:tcPr>
          <w:p w14:paraId="7D025409" w14:textId="77777777" w:rsidR="00367215" w:rsidRPr="00367215" w:rsidRDefault="00367215" w:rsidP="00367215">
            <w:pPr>
              <w:spacing w:line="320" w:lineRule="exact"/>
              <w:jc w:val="center"/>
              <w:rPr>
                <w:rFonts w:ascii="Times New Roman" w:eastAsia="宋体" w:hAnsi="Times New Roman" w:cs="Times New Roman"/>
                <w:szCs w:val="21"/>
              </w:rPr>
            </w:pPr>
          </w:p>
        </w:tc>
      </w:tr>
      <w:tr w:rsidR="00367215" w:rsidRPr="00367215" w14:paraId="0CCEB1C0" w14:textId="77777777" w:rsidTr="00367215">
        <w:trPr>
          <w:trHeight w:val="325"/>
          <w:jc w:val="center"/>
        </w:trPr>
        <w:tc>
          <w:tcPr>
            <w:tcW w:w="1079" w:type="pct"/>
            <w:vMerge w:val="restart"/>
            <w:tcBorders>
              <w:top w:val="single" w:sz="4" w:space="0" w:color="auto"/>
              <w:left w:val="single" w:sz="4" w:space="0" w:color="auto"/>
              <w:right w:val="single" w:sz="4" w:space="0" w:color="auto"/>
            </w:tcBorders>
          </w:tcPr>
          <w:p w14:paraId="1A6EE7C6" w14:textId="77777777" w:rsidR="00367215" w:rsidRPr="00367215" w:rsidRDefault="00367215" w:rsidP="00367215">
            <w:pPr>
              <w:spacing w:line="320" w:lineRule="exact"/>
              <w:jc w:val="center"/>
              <w:rPr>
                <w:rFonts w:ascii="Times New Roman" w:eastAsia="宋体" w:hAnsi="Times New Roman" w:cs="Times New Roman"/>
                <w:szCs w:val="21"/>
              </w:rPr>
            </w:pPr>
            <w:r w:rsidRPr="00367215">
              <w:rPr>
                <w:rFonts w:ascii="Times New Roman" w:eastAsia="宋体" w:hAnsi="Times New Roman" w:cs="Times New Roman"/>
                <w:szCs w:val="21"/>
              </w:rPr>
              <w:t>平时成绩</w:t>
            </w:r>
            <w:r w:rsidRPr="00367215">
              <w:rPr>
                <w:rFonts w:ascii="Times New Roman" w:eastAsia="宋体" w:hAnsi="Times New Roman" w:cs="Times New Roman" w:hint="eastAsia"/>
                <w:szCs w:val="21"/>
              </w:rPr>
              <w:t>(</w:t>
            </w:r>
            <w:r w:rsidRPr="00367215">
              <w:rPr>
                <w:rFonts w:ascii="Times New Roman" w:eastAsia="宋体" w:hAnsi="Times New Roman" w:cs="Times New Roman"/>
                <w:szCs w:val="21"/>
              </w:rPr>
              <w:t>40%)</w:t>
            </w:r>
          </w:p>
        </w:tc>
        <w:tc>
          <w:tcPr>
            <w:tcW w:w="1169" w:type="pct"/>
            <w:tcBorders>
              <w:top w:val="single" w:sz="4" w:space="0" w:color="auto"/>
              <w:left w:val="single" w:sz="4" w:space="0" w:color="auto"/>
              <w:right w:val="single" w:sz="4" w:space="0" w:color="auto"/>
            </w:tcBorders>
          </w:tcPr>
          <w:p w14:paraId="2BBE5CEA" w14:textId="77777777" w:rsidR="00367215" w:rsidRPr="00367215" w:rsidRDefault="00367215" w:rsidP="00367215">
            <w:pPr>
              <w:spacing w:line="320" w:lineRule="exact"/>
              <w:jc w:val="center"/>
              <w:rPr>
                <w:rFonts w:ascii="Times New Roman" w:eastAsia="宋体" w:hAnsi="Times New Roman" w:cs="Times New Roman"/>
                <w:szCs w:val="21"/>
              </w:rPr>
            </w:pPr>
            <w:r w:rsidRPr="00367215">
              <w:rPr>
                <w:rFonts w:ascii="Times New Roman" w:eastAsia="宋体" w:hAnsi="Times New Roman" w:cs="Times New Roman"/>
                <w:bCs/>
                <w:szCs w:val="21"/>
              </w:rPr>
              <w:t>课后作业</w:t>
            </w:r>
          </w:p>
        </w:tc>
        <w:tc>
          <w:tcPr>
            <w:tcW w:w="897" w:type="pct"/>
            <w:tcBorders>
              <w:top w:val="single" w:sz="4" w:space="0" w:color="auto"/>
              <w:left w:val="single" w:sz="4" w:space="0" w:color="auto"/>
              <w:right w:val="single" w:sz="4" w:space="0" w:color="auto"/>
            </w:tcBorders>
          </w:tcPr>
          <w:p w14:paraId="40FF4983" w14:textId="77777777" w:rsidR="00367215" w:rsidRPr="00367215" w:rsidRDefault="00367215" w:rsidP="00367215">
            <w:pPr>
              <w:spacing w:line="320" w:lineRule="exact"/>
              <w:jc w:val="center"/>
              <w:rPr>
                <w:rFonts w:ascii="Times New Roman" w:eastAsia="宋体" w:hAnsi="Times New Roman" w:cs="Times New Roman"/>
                <w:szCs w:val="21"/>
              </w:rPr>
            </w:pPr>
            <w:r w:rsidRPr="00367215">
              <w:rPr>
                <w:rFonts w:ascii="Times New Roman" w:eastAsia="宋体" w:hAnsi="Times New Roman" w:cs="Times New Roman"/>
                <w:szCs w:val="21"/>
                <w:lang w:bidi="ar"/>
              </w:rPr>
              <w:t>10%</w:t>
            </w:r>
          </w:p>
        </w:tc>
        <w:tc>
          <w:tcPr>
            <w:tcW w:w="986" w:type="pct"/>
            <w:tcBorders>
              <w:top w:val="single" w:sz="4" w:space="0" w:color="auto"/>
              <w:left w:val="single" w:sz="4" w:space="0" w:color="auto"/>
              <w:right w:val="single" w:sz="4" w:space="0" w:color="auto"/>
            </w:tcBorders>
          </w:tcPr>
          <w:p w14:paraId="1CB3EB87" w14:textId="77777777" w:rsidR="00367215" w:rsidRPr="00367215" w:rsidRDefault="00367215" w:rsidP="00367215">
            <w:pPr>
              <w:spacing w:line="320" w:lineRule="exact"/>
              <w:jc w:val="center"/>
              <w:rPr>
                <w:rFonts w:ascii="Times New Roman" w:eastAsia="宋体" w:hAnsi="Times New Roman" w:cs="Times New Roman"/>
                <w:szCs w:val="21"/>
              </w:rPr>
            </w:pPr>
            <w:r w:rsidRPr="00367215">
              <w:rPr>
                <w:rFonts w:ascii="Times New Roman" w:eastAsia="宋体" w:hAnsi="Times New Roman" w:cs="Times New Roman"/>
                <w:szCs w:val="21"/>
              </w:rPr>
              <w:t>1</w:t>
            </w:r>
            <w:r w:rsidRPr="00367215">
              <w:rPr>
                <w:rFonts w:ascii="Times New Roman" w:eastAsia="宋体" w:hAnsi="Times New Roman" w:cs="Times New Roman" w:hint="eastAsia"/>
                <w:szCs w:val="21"/>
              </w:rPr>
              <w:t>0</w:t>
            </w:r>
            <w:r w:rsidRPr="00367215">
              <w:rPr>
                <w:rFonts w:ascii="Times New Roman" w:eastAsia="宋体" w:hAnsi="Times New Roman" w:cs="Times New Roman"/>
                <w:szCs w:val="21"/>
              </w:rPr>
              <w:t>%</w:t>
            </w:r>
          </w:p>
        </w:tc>
        <w:tc>
          <w:tcPr>
            <w:tcW w:w="869" w:type="pct"/>
            <w:vMerge w:val="restart"/>
            <w:tcBorders>
              <w:top w:val="single" w:sz="4" w:space="0" w:color="auto"/>
              <w:left w:val="single" w:sz="4" w:space="0" w:color="auto"/>
              <w:right w:val="single" w:sz="4" w:space="0" w:color="auto"/>
            </w:tcBorders>
          </w:tcPr>
          <w:p w14:paraId="3D5F51B7" w14:textId="77777777" w:rsidR="00367215" w:rsidRPr="00367215" w:rsidRDefault="00367215" w:rsidP="00367215">
            <w:pPr>
              <w:spacing w:line="320" w:lineRule="exact"/>
              <w:jc w:val="center"/>
              <w:rPr>
                <w:rFonts w:ascii="Times New Roman" w:eastAsia="宋体" w:hAnsi="Times New Roman" w:cs="Times New Roman"/>
                <w:szCs w:val="21"/>
              </w:rPr>
            </w:pPr>
            <w:r w:rsidRPr="00367215">
              <w:rPr>
                <w:rFonts w:ascii="Times New Roman" w:eastAsia="宋体" w:hAnsi="Times New Roman" w:cs="Times New Roman"/>
                <w:szCs w:val="21"/>
                <w:lang w:bidi="ar"/>
              </w:rPr>
              <w:t>4</w:t>
            </w:r>
            <w:r w:rsidRPr="00367215">
              <w:rPr>
                <w:rFonts w:ascii="Times New Roman" w:eastAsia="宋体" w:hAnsi="Times New Roman" w:cs="Times New Roman" w:hint="eastAsia"/>
                <w:szCs w:val="21"/>
                <w:lang w:bidi="ar"/>
              </w:rPr>
              <w:t>0%</w:t>
            </w:r>
          </w:p>
        </w:tc>
      </w:tr>
      <w:tr w:rsidR="00367215" w:rsidRPr="00367215" w14:paraId="46A127D3" w14:textId="77777777" w:rsidTr="00367215">
        <w:trPr>
          <w:trHeight w:val="325"/>
          <w:jc w:val="center"/>
        </w:trPr>
        <w:tc>
          <w:tcPr>
            <w:tcW w:w="1079" w:type="pct"/>
            <w:vMerge/>
            <w:tcBorders>
              <w:left w:val="single" w:sz="4" w:space="0" w:color="auto"/>
              <w:right w:val="single" w:sz="4" w:space="0" w:color="auto"/>
            </w:tcBorders>
          </w:tcPr>
          <w:p w14:paraId="7085C52D" w14:textId="77777777" w:rsidR="00367215" w:rsidRPr="00367215" w:rsidRDefault="00367215" w:rsidP="00367215">
            <w:pPr>
              <w:spacing w:line="320" w:lineRule="exact"/>
              <w:jc w:val="center"/>
              <w:rPr>
                <w:rFonts w:ascii="Times New Roman" w:eastAsia="宋体" w:hAnsi="Times New Roman" w:cs="Times New Roman"/>
                <w:szCs w:val="21"/>
              </w:rPr>
            </w:pPr>
          </w:p>
        </w:tc>
        <w:tc>
          <w:tcPr>
            <w:tcW w:w="1169" w:type="pct"/>
            <w:tcBorders>
              <w:top w:val="single" w:sz="4" w:space="0" w:color="auto"/>
              <w:left w:val="single" w:sz="4" w:space="0" w:color="auto"/>
              <w:right w:val="single" w:sz="4" w:space="0" w:color="auto"/>
            </w:tcBorders>
          </w:tcPr>
          <w:p w14:paraId="56EA328D" w14:textId="77777777" w:rsidR="00367215" w:rsidRPr="00367215" w:rsidRDefault="00367215" w:rsidP="00367215">
            <w:pPr>
              <w:spacing w:line="320" w:lineRule="exact"/>
              <w:jc w:val="center"/>
              <w:rPr>
                <w:rFonts w:ascii="Times New Roman" w:eastAsia="宋体" w:hAnsi="Times New Roman" w:cs="Times New Roman"/>
                <w:bCs/>
                <w:szCs w:val="21"/>
              </w:rPr>
            </w:pPr>
            <w:r w:rsidRPr="00367215">
              <w:rPr>
                <w:rFonts w:ascii="Times New Roman" w:eastAsia="宋体" w:hAnsi="Times New Roman" w:cs="Times New Roman" w:hint="eastAsia"/>
                <w:bCs/>
                <w:szCs w:val="21"/>
              </w:rPr>
              <w:t>课堂小测</w:t>
            </w:r>
          </w:p>
        </w:tc>
        <w:tc>
          <w:tcPr>
            <w:tcW w:w="897" w:type="pct"/>
            <w:tcBorders>
              <w:left w:val="single" w:sz="4" w:space="0" w:color="auto"/>
              <w:right w:val="single" w:sz="4" w:space="0" w:color="auto"/>
            </w:tcBorders>
          </w:tcPr>
          <w:p w14:paraId="71A237F1" w14:textId="77777777" w:rsidR="00367215" w:rsidRPr="00367215" w:rsidRDefault="00367215" w:rsidP="00367215">
            <w:pPr>
              <w:spacing w:line="320" w:lineRule="exact"/>
              <w:jc w:val="center"/>
              <w:rPr>
                <w:rFonts w:ascii="Times New Roman" w:eastAsia="宋体" w:hAnsi="Times New Roman" w:cs="Times New Roman"/>
                <w:szCs w:val="21"/>
                <w:lang w:bidi="ar"/>
              </w:rPr>
            </w:pPr>
            <w:r w:rsidRPr="00367215">
              <w:rPr>
                <w:rFonts w:ascii="Times New Roman" w:eastAsia="宋体" w:hAnsi="Times New Roman" w:cs="Times New Roman"/>
                <w:szCs w:val="21"/>
                <w:lang w:bidi="ar"/>
              </w:rPr>
              <w:t>20</w:t>
            </w:r>
            <w:r w:rsidRPr="00367215">
              <w:rPr>
                <w:rFonts w:ascii="Times New Roman" w:eastAsia="宋体" w:hAnsi="Times New Roman" w:cs="Times New Roman" w:hint="eastAsia"/>
                <w:szCs w:val="21"/>
                <w:lang w:bidi="ar"/>
              </w:rPr>
              <w:t>%</w:t>
            </w:r>
          </w:p>
        </w:tc>
        <w:tc>
          <w:tcPr>
            <w:tcW w:w="986" w:type="pct"/>
            <w:tcBorders>
              <w:left w:val="single" w:sz="4" w:space="0" w:color="auto"/>
              <w:right w:val="single" w:sz="4" w:space="0" w:color="auto"/>
            </w:tcBorders>
          </w:tcPr>
          <w:p w14:paraId="774907E4" w14:textId="77777777" w:rsidR="00367215" w:rsidRPr="00367215" w:rsidRDefault="00367215" w:rsidP="00367215">
            <w:pPr>
              <w:spacing w:line="320" w:lineRule="exact"/>
              <w:jc w:val="center"/>
              <w:rPr>
                <w:rFonts w:ascii="Times New Roman" w:eastAsia="宋体" w:hAnsi="Times New Roman" w:cs="Times New Roman"/>
                <w:szCs w:val="21"/>
              </w:rPr>
            </w:pPr>
          </w:p>
        </w:tc>
        <w:tc>
          <w:tcPr>
            <w:tcW w:w="869" w:type="pct"/>
            <w:vMerge/>
            <w:tcBorders>
              <w:left w:val="single" w:sz="4" w:space="0" w:color="auto"/>
              <w:right w:val="single" w:sz="4" w:space="0" w:color="auto"/>
            </w:tcBorders>
          </w:tcPr>
          <w:p w14:paraId="47C0B308" w14:textId="77777777" w:rsidR="00367215" w:rsidRPr="00367215" w:rsidRDefault="00367215" w:rsidP="00367215">
            <w:pPr>
              <w:spacing w:line="320" w:lineRule="exact"/>
              <w:jc w:val="center"/>
              <w:rPr>
                <w:rFonts w:ascii="Times New Roman" w:eastAsia="宋体" w:hAnsi="Times New Roman" w:cs="Times New Roman"/>
                <w:szCs w:val="21"/>
                <w:lang w:bidi="ar"/>
              </w:rPr>
            </w:pPr>
          </w:p>
        </w:tc>
      </w:tr>
      <w:tr w:rsidR="00367215" w:rsidRPr="00367215" w14:paraId="40DB8BC1" w14:textId="77777777" w:rsidTr="00367215">
        <w:trPr>
          <w:trHeight w:val="559"/>
          <w:jc w:val="center"/>
        </w:trPr>
        <w:tc>
          <w:tcPr>
            <w:tcW w:w="2247" w:type="pct"/>
            <w:gridSpan w:val="2"/>
            <w:tcBorders>
              <w:top w:val="single" w:sz="4" w:space="0" w:color="auto"/>
              <w:left w:val="single" w:sz="4" w:space="0" w:color="auto"/>
              <w:bottom w:val="single" w:sz="4" w:space="0" w:color="auto"/>
              <w:right w:val="single" w:sz="4" w:space="0" w:color="auto"/>
            </w:tcBorders>
          </w:tcPr>
          <w:p w14:paraId="2F81B567" w14:textId="77777777" w:rsidR="00367215" w:rsidRPr="00367215" w:rsidRDefault="00367215" w:rsidP="00367215">
            <w:pPr>
              <w:spacing w:line="320" w:lineRule="exact"/>
              <w:jc w:val="center"/>
              <w:rPr>
                <w:rFonts w:ascii="Times New Roman" w:eastAsia="宋体" w:hAnsi="Times New Roman" w:cs="Times New Roman"/>
                <w:szCs w:val="21"/>
              </w:rPr>
            </w:pPr>
            <w:r w:rsidRPr="00367215">
              <w:rPr>
                <w:rFonts w:ascii="Times New Roman" w:eastAsia="宋体" w:hAnsi="Times New Roman" w:cs="Times New Roman"/>
                <w:bCs/>
                <w:szCs w:val="21"/>
              </w:rPr>
              <w:t>期末</w:t>
            </w:r>
            <w:r w:rsidRPr="00367215">
              <w:rPr>
                <w:rFonts w:ascii="Times New Roman" w:eastAsia="宋体" w:hAnsi="Times New Roman" w:cs="Times New Roman" w:hint="eastAsia"/>
                <w:bCs/>
                <w:szCs w:val="21"/>
              </w:rPr>
              <w:t>测验</w:t>
            </w:r>
            <w:r w:rsidRPr="00367215">
              <w:rPr>
                <w:rFonts w:ascii="Times New Roman" w:eastAsia="宋体" w:hAnsi="Times New Roman" w:cs="Times New Roman" w:hint="eastAsia"/>
                <w:bCs/>
                <w:szCs w:val="21"/>
              </w:rPr>
              <w:t>(</w:t>
            </w:r>
            <w:r w:rsidRPr="00367215">
              <w:rPr>
                <w:rFonts w:ascii="Times New Roman" w:eastAsia="宋体" w:hAnsi="Times New Roman" w:cs="Times New Roman"/>
                <w:bCs/>
                <w:szCs w:val="21"/>
              </w:rPr>
              <w:t>60%)</w:t>
            </w:r>
          </w:p>
        </w:tc>
        <w:tc>
          <w:tcPr>
            <w:tcW w:w="897" w:type="pct"/>
            <w:tcBorders>
              <w:top w:val="single" w:sz="4" w:space="0" w:color="auto"/>
              <w:left w:val="single" w:sz="4" w:space="0" w:color="auto"/>
              <w:right w:val="single" w:sz="4" w:space="0" w:color="auto"/>
            </w:tcBorders>
          </w:tcPr>
          <w:p w14:paraId="1E18EB8A" w14:textId="77777777" w:rsidR="00367215" w:rsidRPr="00367215" w:rsidRDefault="00367215" w:rsidP="00367215">
            <w:pPr>
              <w:spacing w:line="320" w:lineRule="exact"/>
              <w:jc w:val="center"/>
              <w:rPr>
                <w:rFonts w:ascii="Times New Roman" w:eastAsia="宋体" w:hAnsi="Times New Roman" w:cs="Times New Roman"/>
                <w:szCs w:val="21"/>
                <w:lang w:bidi="ar"/>
              </w:rPr>
            </w:pPr>
            <w:r w:rsidRPr="00367215">
              <w:rPr>
                <w:rFonts w:ascii="Times New Roman" w:eastAsia="宋体" w:hAnsi="Times New Roman" w:cs="Times New Roman"/>
                <w:szCs w:val="21"/>
                <w:lang w:bidi="ar"/>
              </w:rPr>
              <w:t>3</w:t>
            </w:r>
            <w:r w:rsidRPr="00367215">
              <w:rPr>
                <w:rFonts w:ascii="Times New Roman" w:eastAsia="宋体" w:hAnsi="Times New Roman" w:cs="Times New Roman" w:hint="eastAsia"/>
                <w:szCs w:val="21"/>
                <w:lang w:bidi="ar"/>
              </w:rPr>
              <w:t>0</w:t>
            </w:r>
            <w:r w:rsidRPr="00367215">
              <w:rPr>
                <w:rFonts w:ascii="Times New Roman" w:eastAsia="宋体" w:hAnsi="Times New Roman" w:cs="Times New Roman"/>
                <w:szCs w:val="21"/>
                <w:lang w:bidi="ar"/>
              </w:rPr>
              <w:t>%</w:t>
            </w:r>
          </w:p>
        </w:tc>
        <w:tc>
          <w:tcPr>
            <w:tcW w:w="986" w:type="pct"/>
            <w:tcBorders>
              <w:top w:val="single" w:sz="4" w:space="0" w:color="auto"/>
              <w:left w:val="single" w:sz="4" w:space="0" w:color="auto"/>
              <w:right w:val="single" w:sz="4" w:space="0" w:color="auto"/>
            </w:tcBorders>
          </w:tcPr>
          <w:p w14:paraId="3D10CCAC" w14:textId="77777777" w:rsidR="00367215" w:rsidRPr="00367215" w:rsidRDefault="00367215" w:rsidP="00367215">
            <w:pPr>
              <w:spacing w:line="320" w:lineRule="exact"/>
              <w:jc w:val="center"/>
              <w:rPr>
                <w:rFonts w:ascii="Times New Roman" w:eastAsia="宋体" w:hAnsi="Times New Roman" w:cs="Times New Roman"/>
                <w:szCs w:val="21"/>
              </w:rPr>
            </w:pPr>
            <w:r w:rsidRPr="00367215">
              <w:rPr>
                <w:rFonts w:ascii="Times New Roman" w:eastAsia="宋体" w:hAnsi="Times New Roman" w:cs="Times New Roman"/>
                <w:szCs w:val="21"/>
              </w:rPr>
              <w:t>3</w:t>
            </w:r>
            <w:r w:rsidRPr="00367215">
              <w:rPr>
                <w:rFonts w:ascii="Times New Roman" w:eastAsia="宋体" w:hAnsi="Times New Roman" w:cs="Times New Roman" w:hint="eastAsia"/>
                <w:szCs w:val="21"/>
              </w:rPr>
              <w:t>0</w:t>
            </w:r>
            <w:r w:rsidRPr="00367215">
              <w:rPr>
                <w:rFonts w:ascii="Times New Roman" w:eastAsia="宋体" w:hAnsi="Times New Roman" w:cs="Times New Roman"/>
                <w:szCs w:val="21"/>
              </w:rPr>
              <w:t>%</w:t>
            </w:r>
          </w:p>
        </w:tc>
        <w:tc>
          <w:tcPr>
            <w:tcW w:w="869" w:type="pct"/>
            <w:tcBorders>
              <w:top w:val="single" w:sz="4" w:space="0" w:color="auto"/>
              <w:left w:val="single" w:sz="4" w:space="0" w:color="auto"/>
              <w:bottom w:val="single" w:sz="4" w:space="0" w:color="auto"/>
              <w:right w:val="single" w:sz="4" w:space="0" w:color="auto"/>
            </w:tcBorders>
          </w:tcPr>
          <w:p w14:paraId="4888BD86" w14:textId="77777777" w:rsidR="00367215" w:rsidRPr="00367215" w:rsidRDefault="00367215" w:rsidP="00367215">
            <w:pPr>
              <w:spacing w:line="320" w:lineRule="exact"/>
              <w:jc w:val="center"/>
              <w:rPr>
                <w:rFonts w:ascii="Times New Roman" w:eastAsia="宋体" w:hAnsi="Times New Roman" w:cs="Times New Roman"/>
                <w:szCs w:val="21"/>
                <w:lang w:bidi="ar"/>
              </w:rPr>
            </w:pPr>
            <w:r w:rsidRPr="00367215">
              <w:rPr>
                <w:rFonts w:ascii="Times New Roman" w:eastAsia="宋体" w:hAnsi="Times New Roman" w:cs="Times New Roman"/>
                <w:szCs w:val="21"/>
                <w:lang w:bidi="ar"/>
              </w:rPr>
              <w:t>60</w:t>
            </w:r>
            <w:r w:rsidRPr="00367215">
              <w:rPr>
                <w:rFonts w:ascii="Times New Roman" w:eastAsia="宋体" w:hAnsi="Times New Roman" w:cs="Times New Roman" w:hint="eastAsia"/>
                <w:szCs w:val="21"/>
                <w:lang w:bidi="ar"/>
              </w:rPr>
              <w:t>%</w:t>
            </w:r>
          </w:p>
        </w:tc>
      </w:tr>
      <w:tr w:rsidR="00367215" w:rsidRPr="00367215" w14:paraId="069BDED4" w14:textId="77777777" w:rsidTr="00367215">
        <w:trPr>
          <w:jc w:val="center"/>
        </w:trPr>
        <w:tc>
          <w:tcPr>
            <w:tcW w:w="2247" w:type="pct"/>
            <w:gridSpan w:val="2"/>
            <w:tcBorders>
              <w:top w:val="single" w:sz="4" w:space="0" w:color="auto"/>
              <w:left w:val="single" w:sz="4" w:space="0" w:color="auto"/>
              <w:bottom w:val="single" w:sz="4" w:space="0" w:color="auto"/>
              <w:right w:val="single" w:sz="4" w:space="0" w:color="auto"/>
            </w:tcBorders>
          </w:tcPr>
          <w:p w14:paraId="418D4F4B" w14:textId="77777777" w:rsidR="00367215" w:rsidRPr="00367215" w:rsidRDefault="00367215" w:rsidP="00367215">
            <w:pPr>
              <w:spacing w:line="320" w:lineRule="exact"/>
              <w:jc w:val="center"/>
              <w:rPr>
                <w:rFonts w:ascii="Times New Roman" w:eastAsia="宋体" w:hAnsi="Times New Roman" w:cs="Times New Roman"/>
                <w:szCs w:val="21"/>
              </w:rPr>
            </w:pPr>
            <w:r w:rsidRPr="00367215">
              <w:rPr>
                <w:rFonts w:ascii="Times New Roman" w:eastAsia="宋体" w:hAnsi="Times New Roman" w:cs="Times New Roman"/>
                <w:szCs w:val="21"/>
                <w:lang w:bidi="ar"/>
              </w:rPr>
              <w:t>毕业要求指标点所占比例合计（</w:t>
            </w:r>
            <w:r w:rsidRPr="00367215">
              <w:rPr>
                <w:rFonts w:ascii="Times New Roman" w:eastAsia="宋体" w:hAnsi="Times New Roman" w:cs="Times New Roman"/>
                <w:szCs w:val="21"/>
                <w:lang w:bidi="ar"/>
              </w:rPr>
              <w:t>%</w:t>
            </w:r>
            <w:r w:rsidRPr="00367215">
              <w:rPr>
                <w:rFonts w:ascii="Times New Roman" w:eastAsia="宋体" w:hAnsi="Times New Roman" w:cs="Times New Roman"/>
                <w:szCs w:val="21"/>
                <w:lang w:bidi="ar"/>
              </w:rPr>
              <w:t>）</w:t>
            </w:r>
          </w:p>
        </w:tc>
        <w:tc>
          <w:tcPr>
            <w:tcW w:w="897" w:type="pct"/>
            <w:tcBorders>
              <w:top w:val="single" w:sz="4" w:space="0" w:color="auto"/>
              <w:left w:val="single" w:sz="4" w:space="0" w:color="auto"/>
              <w:bottom w:val="single" w:sz="4" w:space="0" w:color="auto"/>
              <w:right w:val="single" w:sz="4" w:space="0" w:color="auto"/>
            </w:tcBorders>
          </w:tcPr>
          <w:p w14:paraId="6527C477" w14:textId="77777777" w:rsidR="00367215" w:rsidRPr="00367215" w:rsidRDefault="00367215" w:rsidP="00367215">
            <w:pPr>
              <w:spacing w:line="320" w:lineRule="exact"/>
              <w:jc w:val="center"/>
              <w:rPr>
                <w:rFonts w:ascii="Times New Roman" w:eastAsia="宋体" w:hAnsi="Times New Roman" w:cs="Times New Roman"/>
                <w:szCs w:val="21"/>
                <w:lang w:bidi="ar"/>
              </w:rPr>
            </w:pPr>
            <w:r w:rsidRPr="00367215">
              <w:rPr>
                <w:rFonts w:ascii="Times New Roman" w:eastAsia="宋体" w:hAnsi="Times New Roman" w:cs="Times New Roman"/>
                <w:szCs w:val="21"/>
                <w:lang w:bidi="ar"/>
              </w:rPr>
              <w:t>6</w:t>
            </w:r>
            <w:r w:rsidRPr="00367215">
              <w:rPr>
                <w:rFonts w:ascii="Times New Roman" w:eastAsia="宋体" w:hAnsi="Times New Roman" w:cs="Times New Roman" w:hint="eastAsia"/>
                <w:szCs w:val="21"/>
                <w:lang w:bidi="ar"/>
              </w:rPr>
              <w:t>0</w:t>
            </w:r>
            <w:r w:rsidRPr="00367215">
              <w:rPr>
                <w:rFonts w:ascii="Times New Roman" w:eastAsia="宋体" w:hAnsi="Times New Roman" w:cs="Times New Roman"/>
                <w:szCs w:val="21"/>
                <w:lang w:bidi="ar"/>
              </w:rPr>
              <w:t>%</w:t>
            </w:r>
          </w:p>
        </w:tc>
        <w:tc>
          <w:tcPr>
            <w:tcW w:w="986" w:type="pct"/>
            <w:tcBorders>
              <w:top w:val="single" w:sz="4" w:space="0" w:color="auto"/>
              <w:left w:val="single" w:sz="4" w:space="0" w:color="auto"/>
              <w:bottom w:val="single" w:sz="4" w:space="0" w:color="auto"/>
              <w:right w:val="single" w:sz="4" w:space="0" w:color="auto"/>
            </w:tcBorders>
          </w:tcPr>
          <w:p w14:paraId="41A8E95D" w14:textId="77777777" w:rsidR="00367215" w:rsidRPr="00367215" w:rsidRDefault="00367215" w:rsidP="00367215">
            <w:pPr>
              <w:spacing w:line="320" w:lineRule="exact"/>
              <w:jc w:val="center"/>
              <w:rPr>
                <w:rFonts w:ascii="Times New Roman" w:eastAsia="宋体" w:hAnsi="Times New Roman" w:cs="Times New Roman"/>
                <w:szCs w:val="21"/>
                <w:lang w:bidi="ar"/>
              </w:rPr>
            </w:pPr>
            <w:r w:rsidRPr="00367215">
              <w:rPr>
                <w:rFonts w:ascii="Times New Roman" w:eastAsia="宋体" w:hAnsi="Times New Roman" w:cs="Times New Roman"/>
                <w:szCs w:val="21"/>
                <w:lang w:bidi="ar"/>
              </w:rPr>
              <w:t>4</w:t>
            </w:r>
            <w:r w:rsidRPr="00367215">
              <w:rPr>
                <w:rFonts w:ascii="Times New Roman" w:eastAsia="宋体" w:hAnsi="Times New Roman" w:cs="Times New Roman" w:hint="eastAsia"/>
                <w:szCs w:val="21"/>
                <w:lang w:bidi="ar"/>
              </w:rPr>
              <w:t>0</w:t>
            </w:r>
            <w:r w:rsidRPr="00367215">
              <w:rPr>
                <w:rFonts w:ascii="Times New Roman" w:eastAsia="宋体" w:hAnsi="Times New Roman" w:cs="Times New Roman"/>
                <w:szCs w:val="21"/>
                <w:lang w:bidi="ar"/>
              </w:rPr>
              <w:t>%</w:t>
            </w:r>
          </w:p>
        </w:tc>
        <w:tc>
          <w:tcPr>
            <w:tcW w:w="869" w:type="pct"/>
            <w:tcBorders>
              <w:left w:val="single" w:sz="4" w:space="0" w:color="auto"/>
              <w:bottom w:val="single" w:sz="4" w:space="0" w:color="auto"/>
              <w:right w:val="single" w:sz="4" w:space="0" w:color="auto"/>
            </w:tcBorders>
          </w:tcPr>
          <w:p w14:paraId="080D705A" w14:textId="77777777" w:rsidR="00367215" w:rsidRPr="00367215" w:rsidRDefault="00367215" w:rsidP="00367215">
            <w:pPr>
              <w:spacing w:line="320" w:lineRule="exact"/>
              <w:jc w:val="center"/>
              <w:rPr>
                <w:rFonts w:ascii="Times New Roman" w:eastAsia="宋体" w:hAnsi="Times New Roman" w:cs="Times New Roman"/>
                <w:szCs w:val="21"/>
                <w:lang w:bidi="ar"/>
              </w:rPr>
            </w:pPr>
            <w:r w:rsidRPr="00367215">
              <w:rPr>
                <w:rFonts w:ascii="Times New Roman" w:eastAsia="宋体" w:hAnsi="Times New Roman" w:cs="Times New Roman"/>
                <w:szCs w:val="21"/>
                <w:lang w:bidi="ar"/>
              </w:rPr>
              <w:t>100%</w:t>
            </w:r>
          </w:p>
        </w:tc>
      </w:tr>
    </w:tbl>
    <w:p w14:paraId="24C00BFC" w14:textId="77777777" w:rsidR="00367215" w:rsidRPr="00367215" w:rsidRDefault="00367215" w:rsidP="00367215">
      <w:pPr>
        <w:spacing w:beforeLines="50" w:before="156" w:afterLines="50" w:after="156" w:line="440" w:lineRule="exact"/>
        <w:ind w:firstLineChars="200" w:firstLine="560"/>
        <w:rPr>
          <w:rFonts w:ascii="Times New Roman" w:eastAsia="黑体" w:hAnsi="Times New Roman" w:cs="Times New Roman"/>
          <w:sz w:val="28"/>
          <w:szCs w:val="28"/>
        </w:rPr>
      </w:pPr>
      <w:r w:rsidRPr="00367215">
        <w:rPr>
          <w:rFonts w:ascii="Times New Roman" w:eastAsia="黑体" w:hAnsi="Times New Roman" w:cs="Times New Roman" w:hint="eastAsia"/>
          <w:sz w:val="28"/>
          <w:szCs w:val="28"/>
        </w:rPr>
        <w:t>五、成绩评定</w:t>
      </w:r>
    </w:p>
    <w:p w14:paraId="76989963" w14:textId="77777777" w:rsidR="00367215" w:rsidRPr="00367215" w:rsidRDefault="00367215" w:rsidP="00367215">
      <w:pPr>
        <w:spacing w:beforeLines="50" w:before="156" w:afterLines="50" w:after="156" w:line="440" w:lineRule="exact"/>
        <w:ind w:firstLineChars="200" w:firstLine="560"/>
        <w:rPr>
          <w:rFonts w:ascii="Times New Roman" w:eastAsia="黑体" w:hAnsi="Times New Roman" w:cs="Times New Roman"/>
          <w:sz w:val="28"/>
          <w:szCs w:val="28"/>
        </w:rPr>
      </w:pPr>
      <w:r w:rsidRPr="00367215">
        <w:rPr>
          <w:rFonts w:ascii="Times New Roman" w:eastAsia="黑体" w:hAnsi="Times New Roman" w:cs="Times New Roman"/>
          <w:sz w:val="28"/>
          <w:szCs w:val="28"/>
        </w:rPr>
        <w:t>（一）总成绩评定</w:t>
      </w:r>
    </w:p>
    <w:p w14:paraId="574158CF"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总成绩</w:t>
      </w:r>
      <w:r w:rsidRPr="00367215">
        <w:rPr>
          <w:rFonts w:ascii="Times New Roman" w:eastAsia="宋体" w:hAnsi="Times New Roman" w:cs="Times New Roman"/>
          <w:sz w:val="24"/>
          <w:szCs w:val="21"/>
        </w:rPr>
        <w:t>=</w:t>
      </w:r>
      <w:r w:rsidRPr="00367215">
        <w:rPr>
          <w:rFonts w:ascii="Times New Roman" w:eastAsia="宋体" w:hAnsi="Times New Roman" w:cs="Times New Roman"/>
          <w:sz w:val="24"/>
          <w:szCs w:val="21"/>
        </w:rPr>
        <w:t>平时成绩</w:t>
      </w:r>
      <w:r w:rsidRPr="00367215">
        <w:rPr>
          <w:rFonts w:ascii="Times New Roman" w:eastAsia="宋体" w:hAnsi="Times New Roman" w:cs="Times New Roman"/>
          <w:sz w:val="24"/>
          <w:szCs w:val="21"/>
        </w:rPr>
        <w:t>×40%+</w:t>
      </w:r>
      <w:r w:rsidRPr="00367215">
        <w:rPr>
          <w:rFonts w:ascii="Times New Roman" w:eastAsia="宋体" w:hAnsi="Times New Roman" w:cs="Times New Roman"/>
          <w:sz w:val="24"/>
          <w:szCs w:val="21"/>
        </w:rPr>
        <w:t>期末成绩</w:t>
      </w:r>
      <w:r w:rsidRPr="00367215">
        <w:rPr>
          <w:rFonts w:ascii="Times New Roman" w:eastAsia="宋体" w:hAnsi="Times New Roman" w:cs="Times New Roman"/>
          <w:sz w:val="24"/>
          <w:szCs w:val="21"/>
        </w:rPr>
        <w:t>×60%</w:t>
      </w:r>
    </w:p>
    <w:p w14:paraId="00F8E222" w14:textId="77777777" w:rsidR="00367215" w:rsidRPr="00367215" w:rsidRDefault="00367215" w:rsidP="00367215">
      <w:pPr>
        <w:spacing w:beforeLines="50" w:before="156" w:afterLines="50" w:after="156" w:line="440" w:lineRule="exact"/>
        <w:ind w:firstLineChars="200" w:firstLine="560"/>
        <w:rPr>
          <w:rFonts w:ascii="Times New Roman" w:eastAsia="宋体" w:hAnsi="Times New Roman" w:cs="Times New Roman"/>
          <w:color w:val="FF0000"/>
          <w:sz w:val="24"/>
          <w:szCs w:val="21"/>
        </w:rPr>
      </w:pPr>
      <w:r w:rsidRPr="00367215">
        <w:rPr>
          <w:rFonts w:ascii="Times New Roman" w:eastAsia="黑体" w:hAnsi="Times New Roman" w:cs="Times New Roman"/>
          <w:sz w:val="28"/>
          <w:szCs w:val="28"/>
        </w:rPr>
        <w:t>（二）平时成绩评定</w:t>
      </w:r>
    </w:p>
    <w:p w14:paraId="6707D92A"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平时成绩（</w:t>
      </w:r>
      <w:r w:rsidRPr="00367215">
        <w:rPr>
          <w:rFonts w:ascii="Times New Roman" w:eastAsia="宋体" w:hAnsi="Times New Roman" w:cs="Times New Roman"/>
          <w:sz w:val="24"/>
          <w:szCs w:val="21"/>
        </w:rPr>
        <w:t>100%</w:t>
      </w:r>
      <w:r w:rsidRPr="00367215">
        <w:rPr>
          <w:rFonts w:ascii="Times New Roman" w:eastAsia="宋体" w:hAnsi="Times New Roman" w:cs="Times New Roman"/>
          <w:sz w:val="24"/>
          <w:szCs w:val="21"/>
        </w:rPr>
        <w:t>）</w:t>
      </w:r>
      <w:r w:rsidRPr="00367215">
        <w:rPr>
          <w:rFonts w:ascii="Times New Roman" w:eastAsia="宋体" w:hAnsi="Times New Roman" w:cs="Times New Roman"/>
          <w:sz w:val="24"/>
          <w:szCs w:val="21"/>
        </w:rPr>
        <w:t>=</w:t>
      </w:r>
      <w:r w:rsidRPr="00367215">
        <w:rPr>
          <w:rFonts w:ascii="Times New Roman" w:eastAsia="宋体" w:hAnsi="Times New Roman" w:cs="Times New Roman"/>
          <w:sz w:val="24"/>
          <w:szCs w:val="21"/>
        </w:rPr>
        <w:t>课堂</w:t>
      </w:r>
      <w:r w:rsidRPr="00367215">
        <w:rPr>
          <w:rFonts w:ascii="Times New Roman" w:eastAsia="宋体" w:hAnsi="Times New Roman" w:cs="Times New Roman" w:hint="eastAsia"/>
          <w:sz w:val="24"/>
          <w:szCs w:val="21"/>
        </w:rPr>
        <w:t>小测</w:t>
      </w:r>
      <w:r w:rsidRPr="00367215">
        <w:rPr>
          <w:rFonts w:ascii="Times New Roman" w:eastAsia="宋体" w:hAnsi="Times New Roman" w:cs="Times New Roman"/>
          <w:sz w:val="24"/>
          <w:szCs w:val="21"/>
        </w:rPr>
        <w:t>（</w:t>
      </w:r>
      <w:r w:rsidRPr="00367215">
        <w:rPr>
          <w:rFonts w:ascii="Times New Roman" w:eastAsia="宋体" w:hAnsi="Times New Roman" w:cs="Times New Roman"/>
          <w:sz w:val="24"/>
          <w:szCs w:val="21"/>
        </w:rPr>
        <w:t>50%</w:t>
      </w:r>
      <w:r w:rsidRPr="00367215">
        <w:rPr>
          <w:rFonts w:ascii="Times New Roman" w:eastAsia="宋体" w:hAnsi="Times New Roman" w:cs="Times New Roman"/>
          <w:sz w:val="24"/>
          <w:szCs w:val="21"/>
        </w:rPr>
        <w:t>）</w:t>
      </w:r>
      <w:r w:rsidRPr="00367215">
        <w:rPr>
          <w:rFonts w:ascii="Times New Roman" w:eastAsia="宋体" w:hAnsi="Times New Roman" w:cs="Times New Roman"/>
          <w:sz w:val="24"/>
          <w:szCs w:val="21"/>
        </w:rPr>
        <w:t>+</w:t>
      </w:r>
      <w:r w:rsidRPr="00367215">
        <w:rPr>
          <w:rFonts w:ascii="Times New Roman" w:eastAsia="宋体" w:hAnsi="Times New Roman" w:cs="Times New Roman"/>
          <w:sz w:val="24"/>
          <w:szCs w:val="21"/>
        </w:rPr>
        <w:t>作业完成情况（</w:t>
      </w:r>
      <w:r w:rsidRPr="00367215">
        <w:rPr>
          <w:rFonts w:ascii="Times New Roman" w:eastAsia="宋体" w:hAnsi="Times New Roman" w:cs="Times New Roman"/>
          <w:sz w:val="24"/>
          <w:szCs w:val="21"/>
        </w:rPr>
        <w:t>50%</w:t>
      </w:r>
      <w:r w:rsidRPr="00367215">
        <w:rPr>
          <w:rFonts w:ascii="Times New Roman" w:eastAsia="宋体" w:hAnsi="Times New Roman" w:cs="Times New Roman"/>
          <w:sz w:val="24"/>
          <w:szCs w:val="21"/>
        </w:rPr>
        <w:t>）</w:t>
      </w:r>
    </w:p>
    <w:p w14:paraId="3322FD8C"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考核方式</w:t>
      </w:r>
      <w:r w:rsidRPr="00367215">
        <w:rPr>
          <w:rFonts w:ascii="Times New Roman" w:eastAsia="宋体" w:hAnsi="Times New Roman" w:cs="Times New Roman"/>
          <w:sz w:val="24"/>
          <w:szCs w:val="21"/>
        </w:rPr>
        <w:t>:</w:t>
      </w:r>
    </w:p>
    <w:p w14:paraId="6065A844"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w:t>
      </w:r>
      <w:r w:rsidRPr="00367215">
        <w:rPr>
          <w:rFonts w:ascii="Times New Roman" w:eastAsia="宋体" w:hAnsi="Times New Roman" w:cs="Times New Roman"/>
          <w:sz w:val="24"/>
          <w:szCs w:val="21"/>
        </w:rPr>
        <w:t>1</w:t>
      </w:r>
      <w:r w:rsidRPr="00367215">
        <w:rPr>
          <w:rFonts w:ascii="Times New Roman" w:eastAsia="宋体" w:hAnsi="Times New Roman" w:cs="Times New Roman"/>
          <w:sz w:val="24"/>
          <w:szCs w:val="21"/>
        </w:rPr>
        <w:t>）课堂表现：</w:t>
      </w:r>
      <w:r w:rsidRPr="00367215">
        <w:rPr>
          <w:rFonts w:ascii="Times New Roman" w:eastAsia="宋体" w:hAnsi="Times New Roman" w:cs="Times New Roman" w:hint="eastAsia"/>
          <w:sz w:val="24"/>
          <w:szCs w:val="21"/>
        </w:rPr>
        <w:t>根据学习通课堂小测成绩得出。</w:t>
      </w:r>
    </w:p>
    <w:p w14:paraId="36F532B0"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w:t>
      </w:r>
      <w:r w:rsidRPr="00367215">
        <w:rPr>
          <w:rFonts w:ascii="Times New Roman" w:eastAsia="宋体" w:hAnsi="Times New Roman" w:cs="Times New Roman"/>
          <w:sz w:val="24"/>
          <w:szCs w:val="21"/>
        </w:rPr>
        <w:t>2</w:t>
      </w:r>
      <w:r w:rsidRPr="00367215">
        <w:rPr>
          <w:rFonts w:ascii="Times New Roman" w:eastAsia="宋体" w:hAnsi="Times New Roman" w:cs="Times New Roman"/>
          <w:sz w:val="24"/>
          <w:szCs w:val="21"/>
        </w:rPr>
        <w:t>）作业完成情况：围绕课程的学习目标进行作业的设计。如让学生简述对知识的认识或通过完成思维导图作业，考核学生对于概念的理解情况，帮助学生将定义转化为自己的理解。</w:t>
      </w:r>
    </w:p>
    <w:p w14:paraId="77A658AF" w14:textId="77777777" w:rsidR="00367215" w:rsidRPr="00367215" w:rsidRDefault="00367215" w:rsidP="00367215">
      <w:pPr>
        <w:spacing w:beforeLines="50" w:before="156" w:afterLines="50" w:after="156" w:line="440" w:lineRule="exact"/>
        <w:ind w:firstLineChars="200" w:firstLine="560"/>
        <w:rPr>
          <w:rFonts w:ascii="Times New Roman" w:eastAsia="黑体" w:hAnsi="Times New Roman" w:cs="Times New Roman"/>
          <w:sz w:val="28"/>
          <w:szCs w:val="28"/>
        </w:rPr>
      </w:pPr>
      <w:r w:rsidRPr="00367215">
        <w:rPr>
          <w:rFonts w:ascii="Times New Roman" w:eastAsia="黑体" w:hAnsi="Times New Roman" w:cs="Times New Roman"/>
          <w:sz w:val="28"/>
          <w:szCs w:val="28"/>
        </w:rPr>
        <w:t>（三）期末成绩评定</w:t>
      </w:r>
    </w:p>
    <w:p w14:paraId="43A52E1B" w14:textId="77777777" w:rsidR="00367215" w:rsidRPr="00367215" w:rsidRDefault="00367215" w:rsidP="00367215">
      <w:pPr>
        <w:spacing w:line="440" w:lineRule="exact"/>
        <w:ind w:firstLineChars="200" w:firstLine="480"/>
        <w:rPr>
          <w:rFonts w:ascii="Times New Roman" w:eastAsia="宋体" w:hAnsi="Times New Roman" w:cs="Times New Roman"/>
          <w:sz w:val="24"/>
          <w:szCs w:val="21"/>
        </w:rPr>
      </w:pPr>
      <w:r w:rsidRPr="00367215">
        <w:rPr>
          <w:rFonts w:ascii="Times New Roman" w:eastAsia="宋体" w:hAnsi="Times New Roman" w:cs="Times New Roman"/>
          <w:sz w:val="24"/>
          <w:szCs w:val="21"/>
        </w:rPr>
        <w:t>期末考核主要考察学生对</w:t>
      </w:r>
      <w:r w:rsidRPr="00367215">
        <w:rPr>
          <w:rFonts w:ascii="Times New Roman" w:eastAsia="宋体" w:hAnsi="Times New Roman" w:cs="Times New Roman" w:hint="eastAsia"/>
          <w:sz w:val="24"/>
          <w:szCs w:val="21"/>
        </w:rPr>
        <w:t>微生物与免疫</w:t>
      </w:r>
      <w:r w:rsidRPr="00367215">
        <w:rPr>
          <w:rFonts w:ascii="Times New Roman" w:eastAsia="宋体" w:hAnsi="Times New Roman" w:cs="Times New Roman"/>
          <w:sz w:val="24"/>
          <w:szCs w:val="21"/>
        </w:rPr>
        <w:t>学基本概念、操作程序和具体方法的理解与运用等。方式为考试</w:t>
      </w:r>
      <w:r w:rsidRPr="00367215">
        <w:rPr>
          <w:rFonts w:ascii="Times New Roman" w:eastAsia="宋体" w:hAnsi="Times New Roman" w:cs="Times New Roman" w:hint="eastAsia"/>
          <w:sz w:val="24"/>
          <w:szCs w:val="21"/>
        </w:rPr>
        <w:t>或课程论文的方式</w:t>
      </w:r>
      <w:r w:rsidRPr="00367215">
        <w:rPr>
          <w:rFonts w:ascii="Times New Roman" w:eastAsia="宋体" w:hAnsi="Times New Roman" w:cs="Times New Roman"/>
          <w:sz w:val="24"/>
          <w:szCs w:val="21"/>
        </w:rPr>
        <w:t>。</w:t>
      </w:r>
    </w:p>
    <w:p w14:paraId="32E69774" w14:textId="77777777" w:rsidR="00367215" w:rsidRPr="00367215" w:rsidRDefault="00367215" w:rsidP="00367215">
      <w:pPr>
        <w:spacing w:beforeLines="50" w:before="156" w:afterLines="50" w:after="156" w:line="440" w:lineRule="exact"/>
        <w:ind w:firstLineChars="200" w:firstLine="560"/>
        <w:rPr>
          <w:rFonts w:ascii="黑体" w:eastAsia="黑体" w:hAnsi="黑体" w:cs="Times New Roman"/>
          <w:sz w:val="28"/>
          <w:szCs w:val="28"/>
        </w:rPr>
      </w:pPr>
      <w:r w:rsidRPr="00367215">
        <w:rPr>
          <w:rFonts w:ascii="黑体" w:eastAsia="黑体" w:hAnsi="黑体" w:cs="Times New Roman" w:hint="eastAsia"/>
          <w:sz w:val="28"/>
          <w:szCs w:val="28"/>
        </w:rPr>
        <w:t>六、使用教材、相关推荐书目及课程资源</w:t>
      </w:r>
    </w:p>
    <w:p w14:paraId="534D0838" w14:textId="77777777" w:rsidR="00367215" w:rsidRPr="00367215" w:rsidRDefault="00367215" w:rsidP="00367215">
      <w:pPr>
        <w:spacing w:line="440" w:lineRule="exact"/>
        <w:ind w:firstLineChars="200" w:firstLine="560"/>
        <w:rPr>
          <w:rFonts w:ascii="宋体" w:eastAsia="宋体" w:hAnsi="宋体" w:cs="Times New Roman"/>
          <w:sz w:val="24"/>
          <w:szCs w:val="21"/>
        </w:rPr>
      </w:pPr>
      <w:r w:rsidRPr="00367215">
        <w:rPr>
          <w:rFonts w:ascii="黑体" w:eastAsia="黑体" w:hAnsi="黑体" w:cs="Times New Roman" w:hint="eastAsia"/>
          <w:sz w:val="28"/>
          <w:szCs w:val="28"/>
        </w:rPr>
        <w:lastRenderedPageBreak/>
        <w:t>（一）使用教材</w:t>
      </w:r>
    </w:p>
    <w:p w14:paraId="4D412655" w14:textId="77777777" w:rsidR="00367215" w:rsidRPr="00367215" w:rsidRDefault="00367215" w:rsidP="00367215">
      <w:pPr>
        <w:autoSpaceDE w:val="0"/>
        <w:autoSpaceDN w:val="0"/>
        <w:adjustRightInd w:val="0"/>
        <w:spacing w:line="500" w:lineRule="exact"/>
        <w:ind w:left="480"/>
        <w:rPr>
          <w:rFonts w:ascii="Times New Roman" w:eastAsia="宋体" w:hAnsi="Times New Roman" w:cs="Times New Roman"/>
          <w:color w:val="000000"/>
          <w:sz w:val="24"/>
          <w:szCs w:val="21"/>
        </w:rPr>
      </w:pPr>
      <w:proofErr w:type="gramStart"/>
      <w:r w:rsidRPr="00367215">
        <w:rPr>
          <w:rFonts w:ascii="宋体" w:eastAsia="宋体" w:hAnsi="宋体" w:cs="Times New Roman" w:hint="eastAsia"/>
          <w:bCs/>
          <w:sz w:val="24"/>
          <w:szCs w:val="21"/>
        </w:rPr>
        <w:t>黄秀梨等</w:t>
      </w:r>
      <w:proofErr w:type="gramEnd"/>
      <w:r w:rsidRPr="00367215">
        <w:rPr>
          <w:rFonts w:ascii="宋体" w:eastAsia="宋体" w:hAnsi="宋体" w:cs="Times New Roman" w:hint="eastAsia"/>
          <w:bCs/>
          <w:sz w:val="24"/>
          <w:szCs w:val="21"/>
        </w:rPr>
        <w:t>主编：《微生物学》（第4版），高等教育出版社</w:t>
      </w:r>
      <w:r w:rsidRPr="00367215">
        <w:rPr>
          <w:rFonts w:ascii="宋体" w:eastAsia="宋体" w:hAnsi="Times New Roman" w:cs="宋体" w:hint="eastAsia"/>
          <w:color w:val="000000"/>
          <w:sz w:val="24"/>
          <w:szCs w:val="21"/>
          <w:lang w:val="zh-CN"/>
        </w:rPr>
        <w:t>。</w:t>
      </w:r>
    </w:p>
    <w:p w14:paraId="57686A7C" w14:textId="77777777" w:rsidR="00367215" w:rsidRPr="00367215" w:rsidRDefault="00367215" w:rsidP="00367215">
      <w:pPr>
        <w:spacing w:line="440" w:lineRule="exact"/>
        <w:ind w:firstLineChars="200" w:firstLine="560"/>
        <w:rPr>
          <w:rFonts w:ascii="宋体" w:eastAsia="宋体" w:hAnsi="宋体" w:cs="Times New Roman"/>
          <w:sz w:val="24"/>
          <w:szCs w:val="21"/>
        </w:rPr>
      </w:pPr>
      <w:r w:rsidRPr="00367215">
        <w:rPr>
          <w:rFonts w:ascii="黑体" w:eastAsia="黑体" w:hAnsi="黑体" w:cs="Times New Roman" w:hint="eastAsia"/>
          <w:sz w:val="28"/>
          <w:szCs w:val="28"/>
        </w:rPr>
        <w:t>（二）相关推荐书目</w:t>
      </w:r>
    </w:p>
    <w:p w14:paraId="5BCA0E8E" w14:textId="77777777" w:rsidR="00367215" w:rsidRPr="00367215" w:rsidRDefault="00367215" w:rsidP="00367215">
      <w:pPr>
        <w:spacing w:line="440" w:lineRule="exact"/>
        <w:ind w:firstLineChars="200" w:firstLine="480"/>
        <w:rPr>
          <w:rFonts w:ascii="宋体" w:eastAsia="宋体" w:hAnsi="宋体" w:cs="Times New Roman"/>
          <w:sz w:val="24"/>
          <w:szCs w:val="21"/>
        </w:rPr>
      </w:pPr>
      <w:r w:rsidRPr="00367215">
        <w:rPr>
          <w:rFonts w:ascii="宋体" w:eastAsia="宋体" w:hAnsi="宋体" w:cs="Times New Roman" w:hint="eastAsia"/>
          <w:kern w:val="0"/>
          <w:sz w:val="24"/>
          <w:szCs w:val="21"/>
        </w:rPr>
        <w:t>沈萍</w:t>
      </w:r>
      <w:r w:rsidRPr="00367215">
        <w:rPr>
          <w:rFonts w:ascii="宋体" w:eastAsia="宋体" w:hAnsi="宋体" w:cs="Times New Roman" w:hint="eastAsia"/>
          <w:bCs/>
          <w:sz w:val="24"/>
          <w:szCs w:val="21"/>
        </w:rPr>
        <w:t>、陈向东主编：《微</w:t>
      </w:r>
      <w:r w:rsidRPr="00367215">
        <w:rPr>
          <w:rFonts w:ascii="宋体" w:eastAsia="宋体" w:hAnsi="宋体" w:cs="Times New Roman" w:hint="eastAsia"/>
          <w:kern w:val="0"/>
          <w:sz w:val="24"/>
          <w:szCs w:val="21"/>
        </w:rPr>
        <w:t>生物学》</w:t>
      </w:r>
      <w:r w:rsidRPr="00367215">
        <w:rPr>
          <w:rFonts w:ascii="宋体" w:eastAsia="宋体" w:hAnsi="宋体" w:cs="Times New Roman" w:hint="eastAsia"/>
          <w:bCs/>
          <w:sz w:val="24"/>
          <w:szCs w:val="21"/>
        </w:rPr>
        <w:t>（第8版），</w:t>
      </w:r>
      <w:r w:rsidRPr="00367215">
        <w:rPr>
          <w:rFonts w:ascii="宋体" w:eastAsia="宋体" w:hAnsi="宋体" w:cs="Times New Roman" w:hint="eastAsia"/>
          <w:kern w:val="0"/>
          <w:sz w:val="24"/>
          <w:szCs w:val="21"/>
        </w:rPr>
        <w:t>高等教育出版社。</w:t>
      </w:r>
    </w:p>
    <w:p w14:paraId="719D52EC" w14:textId="77777777" w:rsidR="00367215" w:rsidRPr="00367215" w:rsidRDefault="00367215" w:rsidP="00367215">
      <w:pPr>
        <w:spacing w:beforeLines="50" w:before="156" w:afterLines="50" w:after="156" w:line="440" w:lineRule="exact"/>
        <w:ind w:firstLineChars="200" w:firstLine="560"/>
        <w:rPr>
          <w:rFonts w:ascii="黑体" w:eastAsia="黑体" w:hAnsi="黑体" w:cs="Times New Roman"/>
          <w:sz w:val="28"/>
          <w:szCs w:val="28"/>
        </w:rPr>
      </w:pPr>
      <w:r w:rsidRPr="00367215">
        <w:rPr>
          <w:rFonts w:ascii="黑体" w:eastAsia="黑体" w:hAnsi="黑体" w:cs="Times New Roman" w:hint="eastAsia"/>
          <w:sz w:val="28"/>
          <w:szCs w:val="28"/>
        </w:rPr>
        <w:t>（三）课程资源</w:t>
      </w:r>
    </w:p>
    <w:p w14:paraId="3B8312CF" w14:textId="77777777" w:rsidR="00367215" w:rsidRPr="00367215" w:rsidRDefault="00367215" w:rsidP="00367215">
      <w:pPr>
        <w:spacing w:line="440" w:lineRule="exact"/>
        <w:ind w:firstLineChars="200" w:firstLine="480"/>
        <w:rPr>
          <w:rFonts w:ascii="宋体" w:eastAsia="宋体" w:hAnsi="宋体" w:cs="Times New Roman"/>
          <w:color w:val="000000"/>
          <w:sz w:val="24"/>
          <w:szCs w:val="21"/>
        </w:rPr>
      </w:pPr>
      <w:r w:rsidRPr="00367215">
        <w:rPr>
          <w:rFonts w:ascii="宋体" w:eastAsia="宋体" w:hAnsi="宋体" w:cs="Times New Roman" w:hint="eastAsia"/>
          <w:color w:val="000000"/>
          <w:sz w:val="24"/>
          <w:szCs w:val="21"/>
        </w:rPr>
        <w:t>1. 线上资源：中国大学慕课</w:t>
      </w:r>
    </w:p>
    <w:p w14:paraId="2E755868" w14:textId="77777777" w:rsidR="00367215" w:rsidRPr="00367215" w:rsidRDefault="00367215" w:rsidP="00367215">
      <w:pPr>
        <w:spacing w:line="440" w:lineRule="exact"/>
        <w:ind w:firstLineChars="200" w:firstLine="480"/>
        <w:rPr>
          <w:rFonts w:ascii="宋体" w:eastAsia="宋体" w:hAnsi="宋体" w:cs="Times New Roman"/>
          <w:kern w:val="0"/>
          <w:sz w:val="24"/>
          <w:szCs w:val="21"/>
        </w:rPr>
      </w:pPr>
      <w:r w:rsidRPr="00367215">
        <w:rPr>
          <w:rFonts w:ascii="宋体" w:eastAsia="宋体" w:hAnsi="宋体" w:cs="Times New Roman" w:hint="eastAsia"/>
          <w:color w:val="000000"/>
          <w:sz w:val="24"/>
          <w:szCs w:val="21"/>
        </w:rPr>
        <w:t>2. 课程必读书目：期刊</w:t>
      </w:r>
      <w:r w:rsidRPr="00367215">
        <w:rPr>
          <w:rFonts w:ascii="宋体" w:eastAsia="宋体" w:hAnsi="宋体" w:cs="Times New Roman" w:hint="eastAsia"/>
          <w:kern w:val="0"/>
          <w:sz w:val="24"/>
          <w:szCs w:val="21"/>
        </w:rPr>
        <w:t>《工业微生物学》《微生物学杂志》</w:t>
      </w:r>
    </w:p>
    <w:p w14:paraId="66CD5303" w14:textId="77777777" w:rsidR="00367215" w:rsidRPr="00367215" w:rsidRDefault="00367215" w:rsidP="00367215">
      <w:pPr>
        <w:spacing w:line="440" w:lineRule="exact"/>
        <w:ind w:firstLineChars="200" w:firstLine="480"/>
        <w:rPr>
          <w:rFonts w:ascii="宋体" w:eastAsia="宋体" w:hAnsi="宋体" w:cs="Times New Roman"/>
          <w:kern w:val="0"/>
          <w:sz w:val="24"/>
          <w:szCs w:val="21"/>
        </w:rPr>
      </w:pPr>
      <w:r w:rsidRPr="00367215">
        <w:rPr>
          <w:rFonts w:ascii="宋体" w:eastAsia="宋体" w:hAnsi="宋体" w:cs="Times New Roman" w:hint="eastAsia"/>
          <w:kern w:val="0"/>
          <w:sz w:val="24"/>
          <w:szCs w:val="21"/>
        </w:rPr>
        <w:t xml:space="preserve">                书籍《有趣的微生物世界》《奥妙的微生物世界》</w:t>
      </w:r>
    </w:p>
    <w:p w14:paraId="6DF693FF" w14:textId="77777777" w:rsidR="00367215" w:rsidRPr="00367215" w:rsidRDefault="00367215" w:rsidP="00367215">
      <w:pPr>
        <w:spacing w:line="440" w:lineRule="exact"/>
        <w:ind w:firstLineChars="1200" w:firstLine="2880"/>
        <w:rPr>
          <w:rFonts w:ascii="宋体" w:eastAsia="宋体" w:hAnsi="宋体" w:cs="Times New Roman"/>
          <w:kern w:val="0"/>
          <w:sz w:val="24"/>
          <w:szCs w:val="21"/>
        </w:rPr>
      </w:pPr>
      <w:r w:rsidRPr="00367215">
        <w:rPr>
          <w:rFonts w:ascii="宋体" w:eastAsia="宋体" w:hAnsi="宋体" w:cs="Times New Roman" w:hint="eastAsia"/>
          <w:kern w:val="0"/>
          <w:sz w:val="24"/>
          <w:szCs w:val="21"/>
        </w:rPr>
        <w:t>《微生物学习指导与习题解析》</w:t>
      </w:r>
    </w:p>
    <w:p w14:paraId="27988BC8" w14:textId="77777777" w:rsidR="00367215" w:rsidRPr="00367215" w:rsidRDefault="00367215" w:rsidP="00367215">
      <w:pPr>
        <w:spacing w:beforeLines="50" w:before="156" w:afterLines="50" w:after="156" w:line="440" w:lineRule="exact"/>
        <w:ind w:firstLineChars="200" w:firstLine="560"/>
        <w:rPr>
          <w:rFonts w:ascii="黑体" w:eastAsia="黑体" w:hAnsi="黑体" w:cs="Times New Roman"/>
          <w:sz w:val="28"/>
          <w:szCs w:val="28"/>
        </w:rPr>
      </w:pPr>
      <w:r w:rsidRPr="00367215">
        <w:rPr>
          <w:rFonts w:ascii="黑体" w:eastAsia="黑体" w:hAnsi="黑体" w:cs="Times New Roman" w:hint="eastAsia"/>
          <w:sz w:val="28"/>
          <w:szCs w:val="28"/>
        </w:rPr>
        <w:t>七、课程大纲制定依据</w:t>
      </w:r>
    </w:p>
    <w:p w14:paraId="22375219" w14:textId="77777777" w:rsidR="00367215" w:rsidRPr="00367215" w:rsidRDefault="00367215" w:rsidP="005E2322">
      <w:pPr>
        <w:spacing w:line="440" w:lineRule="exact"/>
        <w:ind w:firstLineChars="400" w:firstLine="960"/>
        <w:rPr>
          <w:rFonts w:ascii="宋体" w:eastAsia="宋体" w:hAnsi="宋体" w:cs="Times New Roman"/>
          <w:sz w:val="24"/>
          <w:szCs w:val="21"/>
        </w:rPr>
      </w:pPr>
      <w:r w:rsidRPr="00367215">
        <w:rPr>
          <w:rFonts w:ascii="宋体" w:eastAsia="宋体" w:hAnsi="宋体" w:cs="Times New Roman" w:hint="eastAsia"/>
          <w:sz w:val="24"/>
          <w:szCs w:val="21"/>
        </w:rPr>
        <w:t>本课程大纲依据2</w:t>
      </w:r>
      <w:r w:rsidRPr="00367215">
        <w:rPr>
          <w:rFonts w:ascii="宋体" w:eastAsia="宋体" w:hAnsi="宋体" w:cs="Times New Roman"/>
          <w:sz w:val="24"/>
          <w:szCs w:val="21"/>
        </w:rPr>
        <w:t>0</w:t>
      </w:r>
      <w:r w:rsidRPr="00367215">
        <w:rPr>
          <w:rFonts w:ascii="宋体" w:eastAsia="宋体" w:hAnsi="宋体" w:cs="Times New Roman" w:hint="eastAsia"/>
          <w:sz w:val="24"/>
          <w:szCs w:val="21"/>
        </w:rPr>
        <w:t>2</w:t>
      </w:r>
      <w:r w:rsidRPr="00367215">
        <w:rPr>
          <w:rFonts w:ascii="宋体" w:eastAsia="宋体" w:hAnsi="宋体" w:cs="Times New Roman"/>
          <w:sz w:val="24"/>
          <w:szCs w:val="21"/>
        </w:rPr>
        <w:t>3</w:t>
      </w:r>
      <w:r w:rsidRPr="00367215">
        <w:rPr>
          <w:rFonts w:ascii="宋体" w:eastAsia="宋体" w:hAnsi="宋体" w:cs="Times New Roman" w:hint="eastAsia"/>
          <w:sz w:val="24"/>
          <w:szCs w:val="21"/>
        </w:rPr>
        <w:t>版药物分析专业人才培养方案制定。</w:t>
      </w:r>
    </w:p>
    <w:p w14:paraId="3F5545C6" w14:textId="77777777" w:rsidR="00367215" w:rsidRPr="00367215" w:rsidRDefault="00367215" w:rsidP="00367215">
      <w:pPr>
        <w:spacing w:line="440" w:lineRule="exact"/>
        <w:ind w:firstLineChars="200" w:firstLine="480"/>
        <w:rPr>
          <w:rFonts w:ascii="宋体" w:eastAsia="宋体" w:hAnsi="宋体" w:cs="Times New Roman"/>
          <w:sz w:val="24"/>
          <w:szCs w:val="21"/>
        </w:rPr>
      </w:pPr>
    </w:p>
    <w:p w14:paraId="45629BB7" w14:textId="77777777" w:rsidR="00367215" w:rsidRPr="00367215" w:rsidRDefault="00367215" w:rsidP="00367215">
      <w:pPr>
        <w:spacing w:beforeLines="50" w:before="156" w:afterLines="50" w:after="156" w:line="440" w:lineRule="exact"/>
        <w:ind w:left="561"/>
        <w:rPr>
          <w:rFonts w:ascii="Times New Roman" w:eastAsia="宋体" w:hAnsi="Times New Roman" w:cs="Times New Roman"/>
          <w:sz w:val="28"/>
          <w:szCs w:val="28"/>
        </w:rPr>
      </w:pPr>
    </w:p>
    <w:p w14:paraId="72FC8CB3" w14:textId="77777777" w:rsidR="00367215" w:rsidRPr="00367215" w:rsidRDefault="00367215" w:rsidP="00367215">
      <w:pPr>
        <w:spacing w:beforeLines="50" w:before="156" w:afterLines="50" w:after="156" w:line="440" w:lineRule="exact"/>
        <w:ind w:left="561"/>
        <w:rPr>
          <w:rFonts w:ascii="Times New Roman" w:eastAsia="宋体" w:hAnsi="Times New Roman" w:cs="Times New Roman"/>
          <w:sz w:val="28"/>
          <w:szCs w:val="28"/>
        </w:rPr>
      </w:pPr>
    </w:p>
    <w:p w14:paraId="5DAEAB55" w14:textId="77777777" w:rsidR="00367215" w:rsidRPr="00367215" w:rsidRDefault="00367215" w:rsidP="00367215">
      <w:pPr>
        <w:spacing w:beforeLines="50" w:before="156" w:afterLines="50" w:after="156" w:line="440" w:lineRule="exact"/>
        <w:ind w:left="561"/>
        <w:rPr>
          <w:rFonts w:ascii="Times New Roman" w:eastAsia="宋体" w:hAnsi="Times New Roman" w:cs="Times New Roman"/>
          <w:sz w:val="28"/>
          <w:szCs w:val="28"/>
        </w:rPr>
      </w:pPr>
    </w:p>
    <w:p w14:paraId="10EFC2E9" w14:textId="77777777" w:rsidR="00367215" w:rsidRPr="00367215" w:rsidRDefault="00367215" w:rsidP="00367215">
      <w:pPr>
        <w:spacing w:beforeLines="50" w:before="156" w:afterLines="50" w:after="156" w:line="440" w:lineRule="exact"/>
        <w:ind w:left="561"/>
        <w:rPr>
          <w:rFonts w:ascii="Times New Roman" w:eastAsia="宋体" w:hAnsi="Times New Roman" w:cs="Times New Roman"/>
          <w:sz w:val="28"/>
          <w:szCs w:val="28"/>
        </w:rPr>
      </w:pPr>
    </w:p>
    <w:p w14:paraId="59150EC1" w14:textId="77777777" w:rsidR="00367215" w:rsidRPr="00367215" w:rsidRDefault="00367215" w:rsidP="00367215">
      <w:pPr>
        <w:spacing w:beforeLines="50" w:before="156" w:afterLines="50" w:after="156" w:line="440" w:lineRule="exact"/>
        <w:ind w:left="561"/>
        <w:rPr>
          <w:rFonts w:ascii="Times New Roman" w:eastAsia="宋体" w:hAnsi="Times New Roman" w:cs="Times New Roman"/>
          <w:sz w:val="28"/>
          <w:szCs w:val="28"/>
        </w:rPr>
      </w:pPr>
    </w:p>
    <w:p w14:paraId="17E3DF1A" w14:textId="77777777" w:rsidR="00367215" w:rsidRDefault="00367215" w:rsidP="0085474C">
      <w:pPr>
        <w:spacing w:line="440" w:lineRule="exact"/>
        <w:ind w:firstLineChars="200" w:firstLine="480"/>
        <w:rPr>
          <w:rFonts w:ascii="宋体" w:eastAsia="宋体" w:hAnsi="宋体" w:cs="Times New Roman"/>
          <w:sz w:val="24"/>
          <w:szCs w:val="24"/>
        </w:rPr>
      </w:pPr>
    </w:p>
    <w:p w14:paraId="1BF2ABE2" w14:textId="77777777" w:rsidR="00367215" w:rsidRDefault="00367215" w:rsidP="0085474C">
      <w:pPr>
        <w:spacing w:line="440" w:lineRule="exact"/>
        <w:ind w:firstLineChars="200" w:firstLine="480"/>
        <w:rPr>
          <w:rFonts w:ascii="宋体" w:eastAsia="宋体" w:hAnsi="宋体" w:cs="Times New Roman"/>
          <w:sz w:val="24"/>
          <w:szCs w:val="24"/>
        </w:rPr>
      </w:pPr>
    </w:p>
    <w:p w14:paraId="47B8C2DC" w14:textId="77777777" w:rsidR="00367215" w:rsidRDefault="00367215" w:rsidP="0085474C">
      <w:pPr>
        <w:spacing w:line="440" w:lineRule="exact"/>
        <w:ind w:firstLineChars="200" w:firstLine="480"/>
        <w:rPr>
          <w:rFonts w:ascii="宋体" w:eastAsia="宋体" w:hAnsi="宋体" w:cs="Times New Roman"/>
          <w:sz w:val="24"/>
          <w:szCs w:val="24"/>
        </w:rPr>
      </w:pPr>
    </w:p>
    <w:p w14:paraId="16184FE3" w14:textId="77777777" w:rsidR="00367215" w:rsidRDefault="00367215" w:rsidP="0085474C">
      <w:pPr>
        <w:spacing w:line="440" w:lineRule="exact"/>
        <w:ind w:firstLineChars="200" w:firstLine="480"/>
        <w:rPr>
          <w:rFonts w:ascii="宋体" w:eastAsia="宋体" w:hAnsi="宋体" w:cs="Times New Roman"/>
          <w:sz w:val="24"/>
          <w:szCs w:val="24"/>
        </w:rPr>
      </w:pPr>
    </w:p>
    <w:p w14:paraId="3DBD6266" w14:textId="77777777" w:rsidR="00367215" w:rsidRDefault="00367215" w:rsidP="0085474C">
      <w:pPr>
        <w:spacing w:line="440" w:lineRule="exact"/>
        <w:ind w:firstLineChars="200" w:firstLine="480"/>
        <w:rPr>
          <w:rFonts w:ascii="宋体" w:eastAsia="宋体" w:hAnsi="宋体" w:cs="Times New Roman"/>
          <w:sz w:val="24"/>
          <w:szCs w:val="24"/>
        </w:rPr>
      </w:pPr>
    </w:p>
    <w:p w14:paraId="2574BFF8" w14:textId="77777777" w:rsidR="00367215" w:rsidRDefault="00367215" w:rsidP="0085474C">
      <w:pPr>
        <w:spacing w:line="440" w:lineRule="exact"/>
        <w:ind w:firstLineChars="200" w:firstLine="480"/>
        <w:rPr>
          <w:rFonts w:ascii="宋体" w:eastAsia="宋体" w:hAnsi="宋体" w:cs="Times New Roman"/>
          <w:sz w:val="24"/>
          <w:szCs w:val="24"/>
        </w:rPr>
      </w:pPr>
    </w:p>
    <w:p w14:paraId="0AF54990" w14:textId="77777777" w:rsidR="00367215" w:rsidRDefault="00367215" w:rsidP="0085474C">
      <w:pPr>
        <w:spacing w:line="440" w:lineRule="exact"/>
        <w:ind w:firstLineChars="200" w:firstLine="480"/>
        <w:rPr>
          <w:rFonts w:ascii="宋体" w:eastAsia="宋体" w:hAnsi="宋体" w:cs="Times New Roman"/>
          <w:sz w:val="24"/>
          <w:szCs w:val="24"/>
        </w:rPr>
      </w:pPr>
    </w:p>
    <w:p w14:paraId="7F13E330" w14:textId="77777777" w:rsidR="00367215" w:rsidRDefault="00367215" w:rsidP="0085474C">
      <w:pPr>
        <w:spacing w:line="440" w:lineRule="exact"/>
        <w:ind w:firstLineChars="200" w:firstLine="480"/>
        <w:rPr>
          <w:rFonts w:ascii="宋体" w:eastAsia="宋体" w:hAnsi="宋体" w:cs="Times New Roman"/>
          <w:sz w:val="24"/>
          <w:szCs w:val="24"/>
        </w:rPr>
      </w:pPr>
    </w:p>
    <w:p w14:paraId="38FFAC63" w14:textId="77777777" w:rsidR="00367215" w:rsidRDefault="00367215" w:rsidP="0085474C">
      <w:pPr>
        <w:spacing w:line="440" w:lineRule="exact"/>
        <w:ind w:firstLineChars="200" w:firstLine="480"/>
        <w:rPr>
          <w:rFonts w:ascii="宋体" w:eastAsia="宋体" w:hAnsi="宋体" w:cs="Times New Roman"/>
          <w:sz w:val="24"/>
          <w:szCs w:val="24"/>
        </w:rPr>
      </w:pPr>
    </w:p>
    <w:p w14:paraId="438526DC" w14:textId="77777777" w:rsidR="00367215" w:rsidRDefault="00367215" w:rsidP="0085474C">
      <w:pPr>
        <w:spacing w:line="440" w:lineRule="exact"/>
        <w:ind w:firstLineChars="200" w:firstLine="480"/>
        <w:rPr>
          <w:rFonts w:ascii="宋体" w:eastAsia="宋体" w:hAnsi="宋体" w:cs="Times New Roman"/>
          <w:sz w:val="24"/>
          <w:szCs w:val="24"/>
        </w:rPr>
      </w:pPr>
    </w:p>
    <w:p w14:paraId="6630980B" w14:textId="77777777" w:rsidR="00367215" w:rsidRDefault="00367215" w:rsidP="0085474C">
      <w:pPr>
        <w:spacing w:line="440" w:lineRule="exact"/>
        <w:ind w:firstLineChars="200" w:firstLine="480"/>
        <w:rPr>
          <w:rFonts w:ascii="宋体" w:eastAsia="宋体" w:hAnsi="宋体" w:cs="Times New Roman"/>
          <w:sz w:val="24"/>
          <w:szCs w:val="24"/>
        </w:rPr>
      </w:pPr>
    </w:p>
    <w:p w14:paraId="7145BAD4" w14:textId="77777777" w:rsidR="00367215" w:rsidRPr="00367215" w:rsidRDefault="00367215" w:rsidP="00367215">
      <w:pPr>
        <w:adjustRightInd w:val="0"/>
        <w:snapToGrid w:val="0"/>
        <w:spacing w:beforeLines="100" w:before="312" w:afterLines="100" w:after="312" w:line="440" w:lineRule="exact"/>
        <w:jc w:val="center"/>
        <w:outlineLvl w:val="0"/>
        <w:rPr>
          <w:rFonts w:ascii="黑体" w:eastAsia="黑体" w:hAnsi="黑体" w:cs="Times New Roman"/>
          <w:bCs/>
          <w:sz w:val="36"/>
          <w:szCs w:val="36"/>
        </w:rPr>
      </w:pPr>
      <w:bookmarkStart w:id="214" w:name="_Toc149662363"/>
      <w:r w:rsidRPr="00367215">
        <w:rPr>
          <w:rFonts w:ascii="黑体" w:eastAsia="黑体" w:hAnsi="黑体" w:cs="Times New Roman" w:hint="eastAsia"/>
          <w:bCs/>
          <w:sz w:val="36"/>
          <w:szCs w:val="36"/>
        </w:rPr>
        <w:lastRenderedPageBreak/>
        <w:t>《人体解剖生理学》课程大纲</w:t>
      </w:r>
      <w:bookmarkEnd w:id="214"/>
    </w:p>
    <w:p w14:paraId="1B1D593E" w14:textId="77777777" w:rsidR="00367215" w:rsidRPr="00367215" w:rsidRDefault="00367215" w:rsidP="00C63ECC">
      <w:pPr>
        <w:pStyle w:val="afc"/>
      </w:pPr>
      <w:r w:rsidRPr="00367215">
        <w:rPr>
          <w:rFonts w:hint="eastAsia"/>
        </w:rPr>
        <w:t>一、课程基本信息</w:t>
      </w:r>
    </w:p>
    <w:tbl>
      <w:tblPr>
        <w:tblW w:w="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764"/>
        <w:gridCol w:w="1533"/>
        <w:gridCol w:w="2880"/>
      </w:tblGrid>
      <w:tr w:rsidR="00367215" w:rsidRPr="00367215" w14:paraId="33AD9110" w14:textId="77777777" w:rsidTr="00367215">
        <w:trPr>
          <w:trHeight w:val="886"/>
          <w:jc w:val="center"/>
        </w:trPr>
        <w:tc>
          <w:tcPr>
            <w:tcW w:w="1668" w:type="dxa"/>
            <w:vAlign w:val="center"/>
          </w:tcPr>
          <w:p w14:paraId="4FF56DAC"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课程名称</w:t>
            </w:r>
          </w:p>
        </w:tc>
        <w:tc>
          <w:tcPr>
            <w:tcW w:w="2833" w:type="dxa"/>
            <w:vAlign w:val="center"/>
          </w:tcPr>
          <w:p w14:paraId="157D4AA2"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人体解剖生理学</w:t>
            </w:r>
          </w:p>
        </w:tc>
        <w:tc>
          <w:tcPr>
            <w:tcW w:w="1561" w:type="dxa"/>
            <w:vAlign w:val="center"/>
          </w:tcPr>
          <w:p w14:paraId="02A4F8F4"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课程代码</w:t>
            </w:r>
          </w:p>
        </w:tc>
        <w:tc>
          <w:tcPr>
            <w:tcW w:w="2941" w:type="dxa"/>
            <w:vAlign w:val="center"/>
          </w:tcPr>
          <w:p w14:paraId="0DEF62CA"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sz w:val="24"/>
                <w:szCs w:val="24"/>
              </w:rPr>
              <w:t>0713A11</w:t>
            </w:r>
          </w:p>
        </w:tc>
      </w:tr>
      <w:tr w:rsidR="00367215" w:rsidRPr="00367215" w14:paraId="2415584D" w14:textId="77777777" w:rsidTr="00367215">
        <w:trPr>
          <w:trHeight w:val="829"/>
          <w:jc w:val="center"/>
        </w:trPr>
        <w:tc>
          <w:tcPr>
            <w:tcW w:w="1668" w:type="dxa"/>
            <w:vAlign w:val="center"/>
          </w:tcPr>
          <w:p w14:paraId="24A2EDB4"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课程类别</w:t>
            </w:r>
          </w:p>
        </w:tc>
        <w:tc>
          <w:tcPr>
            <w:tcW w:w="2833" w:type="dxa"/>
            <w:vAlign w:val="center"/>
          </w:tcPr>
          <w:p w14:paraId="1985D288"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专业方向课程</w:t>
            </w:r>
          </w:p>
        </w:tc>
        <w:tc>
          <w:tcPr>
            <w:tcW w:w="1561" w:type="dxa"/>
            <w:vAlign w:val="center"/>
          </w:tcPr>
          <w:p w14:paraId="3DEA7177"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学时</w:t>
            </w:r>
          </w:p>
          <w:p w14:paraId="660FB5B3"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/学分</w:t>
            </w:r>
          </w:p>
        </w:tc>
        <w:tc>
          <w:tcPr>
            <w:tcW w:w="2941" w:type="dxa"/>
            <w:vAlign w:val="center"/>
          </w:tcPr>
          <w:p w14:paraId="03BA7B35"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32/2</w:t>
            </w:r>
          </w:p>
        </w:tc>
      </w:tr>
      <w:tr w:rsidR="00367215" w:rsidRPr="00367215" w14:paraId="130FBE6C" w14:textId="77777777" w:rsidTr="00367215">
        <w:trPr>
          <w:trHeight w:val="811"/>
          <w:jc w:val="center"/>
        </w:trPr>
        <w:tc>
          <w:tcPr>
            <w:tcW w:w="1668" w:type="dxa"/>
            <w:vAlign w:val="center"/>
          </w:tcPr>
          <w:p w14:paraId="61E956B7"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开课单位</w:t>
            </w:r>
          </w:p>
        </w:tc>
        <w:tc>
          <w:tcPr>
            <w:tcW w:w="2833" w:type="dxa"/>
            <w:vAlign w:val="center"/>
          </w:tcPr>
          <w:p w14:paraId="4FB09507"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化工学院</w:t>
            </w:r>
          </w:p>
        </w:tc>
        <w:tc>
          <w:tcPr>
            <w:tcW w:w="1561" w:type="dxa"/>
            <w:vAlign w:val="center"/>
          </w:tcPr>
          <w:p w14:paraId="4452129F"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适用专业</w:t>
            </w:r>
          </w:p>
        </w:tc>
        <w:tc>
          <w:tcPr>
            <w:tcW w:w="2941" w:type="dxa"/>
            <w:vAlign w:val="center"/>
          </w:tcPr>
          <w:p w14:paraId="1BA138E1"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kern w:val="0"/>
                <w:sz w:val="24"/>
                <w:szCs w:val="24"/>
              </w:rPr>
              <w:t>药物分析</w:t>
            </w:r>
            <w:r w:rsidRPr="00367215">
              <w:rPr>
                <w:rFonts w:ascii="宋体" w:eastAsia="宋体" w:hAnsi="宋体" w:cs="Times New Roman"/>
                <w:kern w:val="0"/>
                <w:sz w:val="24"/>
                <w:szCs w:val="24"/>
              </w:rPr>
              <w:t>本科专业</w:t>
            </w:r>
          </w:p>
        </w:tc>
      </w:tr>
      <w:tr w:rsidR="00367215" w:rsidRPr="00367215" w14:paraId="2D3FF6B3" w14:textId="77777777" w:rsidTr="00367215">
        <w:trPr>
          <w:trHeight w:val="811"/>
          <w:jc w:val="center"/>
        </w:trPr>
        <w:tc>
          <w:tcPr>
            <w:tcW w:w="1668" w:type="dxa"/>
            <w:vAlign w:val="center"/>
          </w:tcPr>
          <w:p w14:paraId="5E08EEED"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课程负责人</w:t>
            </w:r>
          </w:p>
        </w:tc>
        <w:tc>
          <w:tcPr>
            <w:tcW w:w="7335" w:type="dxa"/>
            <w:gridSpan w:val="3"/>
            <w:vAlign w:val="center"/>
          </w:tcPr>
          <w:p w14:paraId="17C2F50F" w14:textId="77777777" w:rsidR="00367215" w:rsidRPr="00367215" w:rsidRDefault="00367215" w:rsidP="00367215">
            <w:pPr>
              <w:spacing w:line="440" w:lineRule="exact"/>
              <w:jc w:val="center"/>
              <w:rPr>
                <w:rFonts w:ascii="宋体" w:eastAsia="宋体" w:hAnsi="宋体" w:cs="Times New Roman"/>
                <w:sz w:val="24"/>
                <w:szCs w:val="24"/>
              </w:rPr>
            </w:pPr>
            <w:proofErr w:type="gramStart"/>
            <w:r w:rsidRPr="00367215">
              <w:rPr>
                <w:rFonts w:ascii="宋体" w:eastAsia="宋体" w:hAnsi="宋体" w:cs="Times New Roman" w:hint="eastAsia"/>
                <w:sz w:val="24"/>
                <w:szCs w:val="24"/>
              </w:rPr>
              <w:t>赵星</w:t>
            </w:r>
            <w:proofErr w:type="gramEnd"/>
          </w:p>
        </w:tc>
      </w:tr>
      <w:tr w:rsidR="00367215" w:rsidRPr="00367215" w14:paraId="27907EF4" w14:textId="77777777" w:rsidTr="00367215">
        <w:trPr>
          <w:trHeight w:val="836"/>
          <w:jc w:val="center"/>
        </w:trPr>
        <w:tc>
          <w:tcPr>
            <w:tcW w:w="1668" w:type="dxa"/>
            <w:vAlign w:val="center"/>
          </w:tcPr>
          <w:p w14:paraId="09E7F7FD"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大纲撰写人</w:t>
            </w:r>
          </w:p>
        </w:tc>
        <w:tc>
          <w:tcPr>
            <w:tcW w:w="2833" w:type="dxa"/>
            <w:vAlign w:val="center"/>
          </w:tcPr>
          <w:p w14:paraId="232158EA" w14:textId="77777777" w:rsidR="00367215" w:rsidRPr="00367215" w:rsidRDefault="00367215" w:rsidP="00367215">
            <w:pPr>
              <w:spacing w:line="440" w:lineRule="exact"/>
              <w:jc w:val="center"/>
              <w:rPr>
                <w:rFonts w:ascii="宋体" w:eastAsia="宋体" w:hAnsi="宋体" w:cs="Times New Roman"/>
                <w:sz w:val="24"/>
                <w:szCs w:val="24"/>
              </w:rPr>
            </w:pPr>
            <w:proofErr w:type="gramStart"/>
            <w:r w:rsidRPr="00367215">
              <w:rPr>
                <w:rFonts w:ascii="宋体" w:eastAsia="宋体" w:hAnsi="宋体" w:cs="Times New Roman" w:hint="eastAsia"/>
                <w:sz w:val="24"/>
                <w:szCs w:val="24"/>
              </w:rPr>
              <w:t>赵星</w:t>
            </w:r>
            <w:proofErr w:type="gramEnd"/>
          </w:p>
        </w:tc>
        <w:tc>
          <w:tcPr>
            <w:tcW w:w="1561" w:type="dxa"/>
            <w:vAlign w:val="center"/>
          </w:tcPr>
          <w:p w14:paraId="515CBEBB"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大纲审核人</w:t>
            </w:r>
          </w:p>
        </w:tc>
        <w:tc>
          <w:tcPr>
            <w:tcW w:w="2941" w:type="dxa"/>
            <w:vAlign w:val="center"/>
          </w:tcPr>
          <w:p w14:paraId="6E0DEED6" w14:textId="77777777" w:rsidR="00367215" w:rsidRPr="00367215" w:rsidRDefault="00367215" w:rsidP="00367215">
            <w:pPr>
              <w:spacing w:line="440" w:lineRule="exact"/>
              <w:jc w:val="center"/>
              <w:rPr>
                <w:rFonts w:ascii="宋体" w:eastAsia="宋体" w:hAnsi="宋体" w:cs="Times New Roman"/>
                <w:sz w:val="24"/>
                <w:szCs w:val="24"/>
              </w:rPr>
            </w:pPr>
            <w:proofErr w:type="gramStart"/>
            <w:r w:rsidRPr="00367215">
              <w:rPr>
                <w:rFonts w:ascii="宋体" w:eastAsia="宋体" w:hAnsi="宋体" w:cs="Times New Roman" w:hint="eastAsia"/>
                <w:sz w:val="24"/>
                <w:szCs w:val="24"/>
              </w:rPr>
              <w:t>冯</w:t>
            </w:r>
            <w:proofErr w:type="gramEnd"/>
            <w:r w:rsidRPr="00367215">
              <w:rPr>
                <w:rFonts w:ascii="宋体" w:eastAsia="宋体" w:hAnsi="宋体" w:cs="Times New Roman" w:hint="eastAsia"/>
                <w:sz w:val="24"/>
                <w:szCs w:val="24"/>
              </w:rPr>
              <w:t>小龙</w:t>
            </w:r>
          </w:p>
        </w:tc>
      </w:tr>
      <w:tr w:rsidR="00367215" w:rsidRPr="00367215" w14:paraId="4D2BC509" w14:textId="77777777" w:rsidTr="00367215">
        <w:trPr>
          <w:trHeight w:val="848"/>
          <w:jc w:val="center"/>
        </w:trPr>
        <w:tc>
          <w:tcPr>
            <w:tcW w:w="1668" w:type="dxa"/>
            <w:vAlign w:val="center"/>
          </w:tcPr>
          <w:p w14:paraId="6D63302D"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先修课程</w:t>
            </w:r>
          </w:p>
        </w:tc>
        <w:tc>
          <w:tcPr>
            <w:tcW w:w="7335" w:type="dxa"/>
            <w:gridSpan w:val="3"/>
            <w:vAlign w:val="center"/>
          </w:tcPr>
          <w:p w14:paraId="113C30E0" w14:textId="77777777" w:rsidR="00367215" w:rsidRPr="00367215" w:rsidRDefault="00367215" w:rsidP="00367215">
            <w:pPr>
              <w:spacing w:line="440" w:lineRule="exact"/>
              <w:jc w:val="center"/>
              <w:rPr>
                <w:rFonts w:ascii="宋体" w:eastAsia="宋体" w:hAnsi="宋体" w:cs="Times New Roman"/>
                <w:sz w:val="24"/>
                <w:szCs w:val="24"/>
              </w:rPr>
            </w:pPr>
          </w:p>
        </w:tc>
      </w:tr>
      <w:tr w:rsidR="00367215" w:rsidRPr="00367215" w14:paraId="0D63BFA9" w14:textId="77777777" w:rsidTr="00367215">
        <w:trPr>
          <w:trHeight w:val="848"/>
          <w:jc w:val="center"/>
        </w:trPr>
        <w:tc>
          <w:tcPr>
            <w:tcW w:w="1668" w:type="dxa"/>
            <w:vAlign w:val="center"/>
          </w:tcPr>
          <w:p w14:paraId="2332C4EF"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课程网址</w:t>
            </w:r>
          </w:p>
        </w:tc>
        <w:tc>
          <w:tcPr>
            <w:tcW w:w="7335" w:type="dxa"/>
            <w:gridSpan w:val="3"/>
            <w:vAlign w:val="center"/>
          </w:tcPr>
          <w:p w14:paraId="6DB9D66B"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sz w:val="24"/>
                <w:szCs w:val="24"/>
              </w:rPr>
              <w:t>https://mooc1-1.chaoxing.com/course/206140638.html</w:t>
            </w:r>
          </w:p>
        </w:tc>
      </w:tr>
    </w:tbl>
    <w:p w14:paraId="46BC6261" w14:textId="77777777" w:rsidR="00367215" w:rsidRPr="00367215" w:rsidRDefault="00367215" w:rsidP="00C63ECC">
      <w:pPr>
        <w:pStyle w:val="afc"/>
      </w:pPr>
      <w:r w:rsidRPr="00367215">
        <w:rPr>
          <w:rFonts w:hint="eastAsia"/>
        </w:rPr>
        <w:t>二、课程学习目标及与毕业要求的对应关系</w:t>
      </w:r>
    </w:p>
    <w:p w14:paraId="4416EE9E" w14:textId="77777777" w:rsidR="00367215" w:rsidRPr="00367215" w:rsidRDefault="00367215" w:rsidP="00367215">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367215">
        <w:rPr>
          <w:rFonts w:ascii="黑体" w:eastAsia="黑体" w:hAnsi="黑体" w:cs="Times New Roman" w:hint="eastAsia"/>
          <w:sz w:val="28"/>
          <w:szCs w:val="28"/>
        </w:rPr>
        <w:t>（一）课程学习目标</w:t>
      </w:r>
    </w:p>
    <w:p w14:paraId="3ECCF2E6"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通过本课程的学习，使学生达到以下目标：</w:t>
      </w:r>
    </w:p>
    <w:p w14:paraId="578F30AE" w14:textId="77777777" w:rsidR="00367215" w:rsidRPr="00367215" w:rsidRDefault="00367215" w:rsidP="00367215">
      <w:pPr>
        <w:spacing w:line="440" w:lineRule="exact"/>
        <w:ind w:firstLineChars="200" w:firstLine="480"/>
        <w:rPr>
          <w:rFonts w:ascii="Times New Roman" w:eastAsia="宋体" w:hAnsi="Times New Roman" w:cs="Times New Roman"/>
          <w:sz w:val="24"/>
          <w:szCs w:val="24"/>
        </w:rPr>
      </w:pPr>
      <w:r w:rsidRPr="00367215">
        <w:rPr>
          <w:rFonts w:ascii="宋体" w:eastAsia="宋体" w:hAnsi="宋体" w:cs="Times New Roman" w:hint="eastAsia"/>
          <w:sz w:val="24"/>
          <w:szCs w:val="24"/>
        </w:rPr>
        <w:t>1.</w:t>
      </w:r>
      <w:r w:rsidRPr="00367215">
        <w:rPr>
          <w:rFonts w:ascii="宋体" w:eastAsia="宋体" w:hAnsi="宋体" w:cs="Times New Roman"/>
          <w:sz w:val="24"/>
          <w:szCs w:val="24"/>
        </w:rPr>
        <w:t xml:space="preserve"> </w:t>
      </w:r>
      <w:r w:rsidRPr="00367215">
        <w:rPr>
          <w:rFonts w:ascii="ˎ̥" w:eastAsia="宋体" w:hAnsi="ˎ̥" w:cs="宋体" w:hint="eastAsia"/>
          <w:color w:val="000000"/>
          <w:kern w:val="0"/>
          <w:sz w:val="24"/>
          <w:szCs w:val="24"/>
        </w:rPr>
        <w:t>掌握</w:t>
      </w:r>
      <w:r w:rsidRPr="00367215">
        <w:rPr>
          <w:rFonts w:ascii="宋体" w:eastAsia="宋体" w:hAnsi="宋体" w:cs="Times New Roman" w:hint="eastAsia"/>
          <w:sz w:val="24"/>
          <w:szCs w:val="24"/>
        </w:rPr>
        <w:t>人体解剖生理学的基本知识，包括</w:t>
      </w:r>
      <w:r w:rsidRPr="00367215">
        <w:rPr>
          <w:rFonts w:ascii="ˎ̥" w:eastAsia="宋体" w:hAnsi="ˎ̥" w:cs="宋体" w:hint="eastAsia"/>
          <w:color w:val="000000"/>
          <w:kern w:val="0"/>
          <w:sz w:val="24"/>
          <w:szCs w:val="24"/>
        </w:rPr>
        <w:t>人体解剖生理学的基本概念，生命活动的基本过程及其调节过程等</w:t>
      </w:r>
      <w:r w:rsidRPr="00367215">
        <w:rPr>
          <w:rFonts w:ascii="Times New Roman" w:eastAsia="宋体" w:hAnsi="Times New Roman" w:cs="Times New Roman" w:hint="eastAsia"/>
          <w:sz w:val="24"/>
          <w:szCs w:val="24"/>
        </w:rPr>
        <w:t>。【</w:t>
      </w:r>
      <w:r w:rsidRPr="00367215">
        <w:rPr>
          <w:rFonts w:ascii="宋体" w:eastAsia="宋体" w:hAnsi="宋体" w:cs="宋体" w:hint="eastAsia"/>
          <w:b/>
          <w:sz w:val="24"/>
          <w:szCs w:val="24"/>
        </w:rPr>
        <w:t>毕业要求1：药学知识</w:t>
      </w:r>
      <w:r w:rsidRPr="00367215">
        <w:rPr>
          <w:rFonts w:ascii="Times New Roman" w:eastAsia="宋体" w:hAnsi="Times New Roman" w:cs="Times New Roman" w:hint="eastAsia"/>
          <w:sz w:val="24"/>
          <w:szCs w:val="24"/>
        </w:rPr>
        <w:t>】</w:t>
      </w:r>
    </w:p>
    <w:p w14:paraId="2B4B55DC"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能够正确理解在解决复杂问题时团队的作用，能够在一个多角色团队中独立或合作开展工作，并具有良好的合作协调意识。</w:t>
      </w:r>
      <w:r w:rsidRPr="00367215">
        <w:rPr>
          <w:rFonts w:ascii="Times New Roman" w:eastAsia="宋体" w:hAnsi="Times New Roman" w:cs="Times New Roman" w:hint="eastAsia"/>
          <w:sz w:val="24"/>
          <w:szCs w:val="24"/>
        </w:rPr>
        <w:t>【</w:t>
      </w:r>
      <w:r w:rsidRPr="00367215">
        <w:rPr>
          <w:rFonts w:ascii="宋体" w:eastAsia="宋体" w:hAnsi="宋体" w:cs="宋体" w:hint="eastAsia"/>
          <w:b/>
          <w:sz w:val="24"/>
          <w:szCs w:val="24"/>
        </w:rPr>
        <w:t>毕业要求9：个人与团队</w:t>
      </w:r>
      <w:r w:rsidRPr="00367215">
        <w:rPr>
          <w:rFonts w:ascii="Times New Roman" w:eastAsia="宋体" w:hAnsi="Times New Roman" w:cs="Times New Roman" w:hint="eastAsia"/>
          <w:sz w:val="24"/>
          <w:szCs w:val="24"/>
        </w:rPr>
        <w:t>】</w:t>
      </w:r>
    </w:p>
    <w:p w14:paraId="042999D0" w14:textId="77777777" w:rsidR="00367215" w:rsidRPr="00367215" w:rsidRDefault="00367215" w:rsidP="00367215">
      <w:pPr>
        <w:spacing w:line="440" w:lineRule="exact"/>
        <w:ind w:firstLineChars="200" w:firstLine="480"/>
        <w:rPr>
          <w:rFonts w:ascii="宋体" w:eastAsia="宋体" w:hAnsi="宋体" w:cs="Times New Roman"/>
          <w:strike/>
          <w:sz w:val="24"/>
          <w:szCs w:val="24"/>
        </w:rPr>
      </w:pPr>
      <w:r w:rsidRPr="00367215">
        <w:rPr>
          <w:rFonts w:ascii="宋体" w:eastAsia="宋体" w:hAnsi="宋体" w:cs="Times New Roman" w:hint="eastAsia"/>
          <w:sz w:val="24"/>
          <w:szCs w:val="24"/>
        </w:rPr>
        <w:t>3.</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理解药学伦理的核心理念、职业性质和责任，尊重生命，</w:t>
      </w:r>
      <w:r w:rsidRPr="00367215">
        <w:rPr>
          <w:rFonts w:ascii="Times New Roman" w:eastAsia="宋体" w:hAnsi="Times New Roman" w:cs="Times New Roman" w:hint="eastAsia"/>
          <w:sz w:val="24"/>
          <w:szCs w:val="24"/>
        </w:rPr>
        <w:t>具有较好的人文社会科学素养、较强的社会责任感，</w:t>
      </w:r>
      <w:r w:rsidRPr="00367215">
        <w:rPr>
          <w:rFonts w:ascii="宋体" w:eastAsia="宋体" w:hAnsi="宋体" w:cs="Times New Roman" w:hint="eastAsia"/>
          <w:sz w:val="24"/>
          <w:szCs w:val="24"/>
        </w:rPr>
        <w:t>在实践中能自觉遵守药学职业道德和规范，履行责任，具有法律意识。</w:t>
      </w:r>
      <w:r w:rsidRPr="00367215">
        <w:rPr>
          <w:rFonts w:ascii="Times New Roman" w:eastAsia="宋体" w:hAnsi="Times New Roman" w:cs="Times New Roman" w:hint="eastAsia"/>
          <w:sz w:val="24"/>
          <w:szCs w:val="24"/>
        </w:rPr>
        <w:t>【</w:t>
      </w:r>
      <w:r w:rsidRPr="00367215">
        <w:rPr>
          <w:rFonts w:ascii="宋体" w:eastAsia="宋体" w:hAnsi="宋体" w:cs="宋体" w:hint="eastAsia"/>
          <w:b/>
          <w:sz w:val="24"/>
          <w:szCs w:val="24"/>
        </w:rPr>
        <w:t>毕业要求8：职业规范</w:t>
      </w:r>
      <w:r w:rsidRPr="00367215">
        <w:rPr>
          <w:rFonts w:ascii="Times New Roman" w:eastAsia="宋体" w:hAnsi="Times New Roman" w:cs="Times New Roman" w:hint="eastAsia"/>
          <w:sz w:val="24"/>
          <w:szCs w:val="24"/>
        </w:rPr>
        <w:t>】</w:t>
      </w:r>
    </w:p>
    <w:p w14:paraId="4AFE7F94" w14:textId="77777777" w:rsidR="00367215" w:rsidRPr="00367215" w:rsidRDefault="00367215" w:rsidP="00367215">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367215">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6"/>
        <w:gridCol w:w="5534"/>
        <w:gridCol w:w="1959"/>
      </w:tblGrid>
      <w:tr w:rsidR="00367215" w:rsidRPr="00367215" w14:paraId="2DC29FB0" w14:textId="77777777" w:rsidTr="00367215">
        <w:trPr>
          <w:trHeight w:val="815"/>
          <w:jc w:val="center"/>
        </w:trPr>
        <w:tc>
          <w:tcPr>
            <w:tcW w:w="1676" w:type="dxa"/>
            <w:vAlign w:val="center"/>
          </w:tcPr>
          <w:p w14:paraId="20712164" w14:textId="77777777" w:rsidR="00367215" w:rsidRPr="00367215" w:rsidRDefault="00367215" w:rsidP="00367215">
            <w:pPr>
              <w:spacing w:line="440" w:lineRule="exact"/>
              <w:jc w:val="center"/>
              <w:rPr>
                <w:rFonts w:ascii="宋体" w:eastAsia="宋体" w:hAnsi="宋体" w:cs="Times New Roman"/>
                <w:b/>
                <w:sz w:val="24"/>
                <w:szCs w:val="24"/>
              </w:rPr>
            </w:pPr>
            <w:r w:rsidRPr="00367215">
              <w:rPr>
                <w:rFonts w:ascii="宋体" w:eastAsia="宋体" w:hAnsi="宋体" w:cs="Times New Roman" w:hint="eastAsia"/>
                <w:b/>
                <w:sz w:val="24"/>
                <w:szCs w:val="24"/>
              </w:rPr>
              <w:t>毕业要求</w:t>
            </w:r>
          </w:p>
        </w:tc>
        <w:tc>
          <w:tcPr>
            <w:tcW w:w="5534" w:type="dxa"/>
            <w:vAlign w:val="center"/>
          </w:tcPr>
          <w:p w14:paraId="2F1ABDE4" w14:textId="77777777" w:rsidR="00367215" w:rsidRPr="00367215" w:rsidRDefault="00367215" w:rsidP="00367215">
            <w:pPr>
              <w:spacing w:line="440" w:lineRule="exact"/>
              <w:jc w:val="center"/>
              <w:rPr>
                <w:rFonts w:ascii="宋体" w:eastAsia="宋体" w:hAnsi="宋体" w:cs="Times New Roman"/>
                <w:b/>
                <w:sz w:val="24"/>
                <w:szCs w:val="24"/>
              </w:rPr>
            </w:pPr>
            <w:r w:rsidRPr="00367215">
              <w:rPr>
                <w:rFonts w:ascii="宋体" w:eastAsia="宋体" w:hAnsi="宋体" w:cs="Times New Roman" w:hint="eastAsia"/>
                <w:b/>
                <w:sz w:val="24"/>
                <w:szCs w:val="24"/>
              </w:rPr>
              <w:t>毕业要求指标点</w:t>
            </w:r>
          </w:p>
        </w:tc>
        <w:tc>
          <w:tcPr>
            <w:tcW w:w="1959" w:type="dxa"/>
            <w:vAlign w:val="center"/>
          </w:tcPr>
          <w:p w14:paraId="2FF38F06" w14:textId="77777777" w:rsidR="00367215" w:rsidRPr="00367215" w:rsidRDefault="00367215" w:rsidP="00367215">
            <w:pPr>
              <w:spacing w:line="440" w:lineRule="exact"/>
              <w:jc w:val="center"/>
              <w:rPr>
                <w:rFonts w:ascii="宋体" w:eastAsia="宋体" w:hAnsi="宋体" w:cs="Times New Roman"/>
                <w:b/>
                <w:sz w:val="24"/>
                <w:szCs w:val="24"/>
              </w:rPr>
            </w:pPr>
            <w:r w:rsidRPr="00367215">
              <w:rPr>
                <w:rFonts w:ascii="宋体" w:eastAsia="宋体" w:hAnsi="宋体" w:cs="Times New Roman" w:hint="eastAsia"/>
                <w:b/>
                <w:sz w:val="24"/>
                <w:szCs w:val="24"/>
              </w:rPr>
              <w:t>课程目标</w:t>
            </w:r>
          </w:p>
        </w:tc>
      </w:tr>
      <w:tr w:rsidR="00367215" w:rsidRPr="00367215" w14:paraId="7F566B93" w14:textId="77777777" w:rsidTr="00367215">
        <w:trPr>
          <w:jc w:val="center"/>
        </w:trPr>
        <w:tc>
          <w:tcPr>
            <w:tcW w:w="1676" w:type="dxa"/>
            <w:vAlign w:val="center"/>
          </w:tcPr>
          <w:p w14:paraId="1E74F9DB" w14:textId="77777777" w:rsidR="00367215" w:rsidRPr="00367215" w:rsidRDefault="00367215" w:rsidP="00367215">
            <w:pPr>
              <w:spacing w:line="440" w:lineRule="exact"/>
              <w:jc w:val="center"/>
              <w:rPr>
                <w:rFonts w:ascii="宋体" w:eastAsia="宋体" w:hAnsi="宋体" w:cs="Times New Roman"/>
                <w:bCs/>
                <w:color w:val="FF0000"/>
                <w:sz w:val="24"/>
                <w:szCs w:val="24"/>
              </w:rPr>
            </w:pPr>
            <w:r w:rsidRPr="00367215">
              <w:rPr>
                <w:rFonts w:ascii="宋体" w:eastAsia="宋体" w:hAnsi="宋体" w:cs="Times New Roman" w:hint="eastAsia"/>
                <w:bCs/>
                <w:sz w:val="24"/>
                <w:szCs w:val="24"/>
              </w:rPr>
              <w:lastRenderedPageBreak/>
              <w:t>1</w:t>
            </w:r>
            <w:r w:rsidRPr="00367215">
              <w:rPr>
                <w:rFonts w:ascii="宋体" w:eastAsia="宋体" w:hAnsi="宋体" w:cs="Times New Roman"/>
                <w:bCs/>
                <w:sz w:val="24"/>
                <w:szCs w:val="24"/>
              </w:rPr>
              <w:t>．</w:t>
            </w:r>
            <w:r w:rsidRPr="00367215">
              <w:rPr>
                <w:rFonts w:ascii="宋体" w:eastAsia="宋体" w:hAnsi="宋体" w:cs="Times New Roman" w:hint="eastAsia"/>
                <w:bCs/>
                <w:sz w:val="24"/>
                <w:szCs w:val="24"/>
              </w:rPr>
              <w:t>药学知识</w:t>
            </w:r>
          </w:p>
        </w:tc>
        <w:tc>
          <w:tcPr>
            <w:tcW w:w="5534" w:type="dxa"/>
            <w:vAlign w:val="center"/>
          </w:tcPr>
          <w:p w14:paraId="08A21503" w14:textId="77777777" w:rsidR="00367215" w:rsidRPr="00367215" w:rsidRDefault="00367215" w:rsidP="00367215">
            <w:pPr>
              <w:spacing w:line="440" w:lineRule="exact"/>
              <w:jc w:val="left"/>
              <w:rPr>
                <w:rFonts w:ascii="宋体" w:eastAsia="宋体" w:hAnsi="宋体" w:cs="Times New Roman"/>
                <w:color w:val="FF0000"/>
                <w:sz w:val="24"/>
                <w:szCs w:val="24"/>
              </w:rPr>
            </w:pPr>
            <w:r w:rsidRPr="00367215">
              <w:rPr>
                <w:rFonts w:ascii="宋体" w:eastAsia="宋体" w:hAnsi="宋体" w:cs="宋体"/>
                <w:bCs/>
                <w:szCs w:val="24"/>
              </w:rPr>
              <w:t>1.2</w:t>
            </w:r>
            <w:r w:rsidRPr="00367215">
              <w:rPr>
                <w:rFonts w:ascii="宋体" w:eastAsia="宋体" w:hAnsi="宋体" w:cs="宋体" w:hint="eastAsia"/>
                <w:bCs/>
                <w:szCs w:val="24"/>
              </w:rPr>
              <w:t xml:space="preserve"> </w:t>
            </w:r>
            <w:r w:rsidRPr="00367215">
              <w:rPr>
                <w:rFonts w:ascii="宋体" w:eastAsia="宋体" w:hAnsi="宋体" w:cs="Times New Roman" w:hint="eastAsia"/>
                <w:sz w:val="24"/>
                <w:szCs w:val="24"/>
              </w:rPr>
              <w:t>掌握人体解剖生理学、生物化学等现代医学基本知识；（H）</w:t>
            </w:r>
          </w:p>
        </w:tc>
        <w:tc>
          <w:tcPr>
            <w:tcW w:w="1959" w:type="dxa"/>
            <w:vAlign w:val="center"/>
          </w:tcPr>
          <w:p w14:paraId="4D0CCE62"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课程目标1</w:t>
            </w:r>
          </w:p>
        </w:tc>
      </w:tr>
      <w:tr w:rsidR="00367215" w:rsidRPr="00367215" w14:paraId="46A6FABB" w14:textId="77777777" w:rsidTr="00367215">
        <w:trPr>
          <w:jc w:val="center"/>
        </w:trPr>
        <w:tc>
          <w:tcPr>
            <w:tcW w:w="1676" w:type="dxa"/>
            <w:vAlign w:val="center"/>
          </w:tcPr>
          <w:p w14:paraId="3169EEC6" w14:textId="77777777" w:rsidR="00367215" w:rsidRPr="00367215" w:rsidRDefault="00367215" w:rsidP="00367215">
            <w:pPr>
              <w:spacing w:line="440" w:lineRule="exact"/>
              <w:jc w:val="center"/>
              <w:rPr>
                <w:rFonts w:ascii="宋体" w:eastAsia="宋体" w:hAnsi="宋体" w:cs="Times New Roman"/>
                <w:bCs/>
                <w:color w:val="FF0000"/>
                <w:sz w:val="24"/>
                <w:szCs w:val="24"/>
              </w:rPr>
            </w:pPr>
            <w:r w:rsidRPr="00367215">
              <w:rPr>
                <w:rFonts w:ascii="宋体" w:eastAsia="宋体" w:hAnsi="宋体" w:cs="Times New Roman" w:hint="eastAsia"/>
                <w:bCs/>
                <w:sz w:val="24"/>
                <w:szCs w:val="24"/>
              </w:rPr>
              <w:t>9</w:t>
            </w:r>
            <w:r w:rsidRPr="00367215">
              <w:rPr>
                <w:rFonts w:ascii="宋体" w:eastAsia="宋体" w:hAnsi="宋体" w:cs="Times New Roman"/>
                <w:bCs/>
                <w:sz w:val="24"/>
                <w:szCs w:val="24"/>
              </w:rPr>
              <w:t>．</w:t>
            </w:r>
            <w:r w:rsidRPr="00367215">
              <w:rPr>
                <w:rFonts w:ascii="宋体" w:eastAsia="宋体" w:hAnsi="宋体" w:cs="Times New Roman" w:hint="eastAsia"/>
                <w:bCs/>
                <w:sz w:val="24"/>
                <w:szCs w:val="24"/>
              </w:rPr>
              <w:t>个人与团队</w:t>
            </w:r>
          </w:p>
        </w:tc>
        <w:tc>
          <w:tcPr>
            <w:tcW w:w="5534" w:type="dxa"/>
            <w:vAlign w:val="center"/>
          </w:tcPr>
          <w:p w14:paraId="47F9EBE2" w14:textId="77777777" w:rsidR="00367215" w:rsidRPr="00367215" w:rsidRDefault="00367215" w:rsidP="00367215">
            <w:pPr>
              <w:spacing w:line="440" w:lineRule="exact"/>
              <w:jc w:val="left"/>
              <w:rPr>
                <w:rFonts w:ascii="宋体" w:eastAsia="宋体" w:hAnsi="宋体" w:cs="Times New Roman"/>
                <w:sz w:val="24"/>
                <w:szCs w:val="24"/>
              </w:rPr>
            </w:pPr>
            <w:r w:rsidRPr="00367215">
              <w:rPr>
                <w:rFonts w:ascii="宋体" w:eastAsia="宋体" w:hAnsi="宋体" w:cs="Times New Roman" w:hint="eastAsia"/>
                <w:sz w:val="24"/>
                <w:szCs w:val="24"/>
              </w:rPr>
              <w:t>9.1能够正确理解在解决复杂问题时团队的作用，能够在一个多角色团队中独立或合作开展工作；具有合作协调意识。（L）</w:t>
            </w:r>
          </w:p>
        </w:tc>
        <w:tc>
          <w:tcPr>
            <w:tcW w:w="1959" w:type="dxa"/>
            <w:vAlign w:val="center"/>
          </w:tcPr>
          <w:p w14:paraId="59DB21A7"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课程目标2</w:t>
            </w:r>
          </w:p>
        </w:tc>
      </w:tr>
      <w:tr w:rsidR="00367215" w:rsidRPr="00367215" w14:paraId="2BF68DBE" w14:textId="77777777" w:rsidTr="00367215">
        <w:trPr>
          <w:jc w:val="center"/>
        </w:trPr>
        <w:tc>
          <w:tcPr>
            <w:tcW w:w="1676" w:type="dxa"/>
            <w:vAlign w:val="center"/>
          </w:tcPr>
          <w:p w14:paraId="0EEDA377" w14:textId="77777777" w:rsidR="00367215" w:rsidRPr="00367215" w:rsidRDefault="00367215" w:rsidP="00367215">
            <w:pPr>
              <w:spacing w:line="440" w:lineRule="exact"/>
              <w:jc w:val="center"/>
              <w:rPr>
                <w:rFonts w:ascii="宋体" w:eastAsia="宋体" w:hAnsi="宋体" w:cs="Times New Roman"/>
                <w:bCs/>
                <w:color w:val="FF0000"/>
                <w:sz w:val="24"/>
                <w:szCs w:val="24"/>
              </w:rPr>
            </w:pPr>
            <w:r w:rsidRPr="00367215">
              <w:rPr>
                <w:rFonts w:ascii="宋体" w:eastAsia="宋体" w:hAnsi="宋体" w:cs="Times New Roman" w:hint="eastAsia"/>
                <w:bCs/>
                <w:sz w:val="24"/>
                <w:szCs w:val="24"/>
              </w:rPr>
              <w:t>8</w:t>
            </w:r>
            <w:r w:rsidRPr="00367215">
              <w:rPr>
                <w:rFonts w:ascii="宋体" w:eastAsia="宋体" w:hAnsi="宋体" w:cs="Times New Roman"/>
                <w:bCs/>
                <w:sz w:val="24"/>
                <w:szCs w:val="24"/>
              </w:rPr>
              <w:t>．</w:t>
            </w:r>
            <w:r w:rsidRPr="00367215">
              <w:rPr>
                <w:rFonts w:ascii="宋体" w:eastAsia="宋体" w:hAnsi="宋体" w:cs="Times New Roman" w:hint="eastAsia"/>
                <w:bCs/>
                <w:sz w:val="24"/>
                <w:szCs w:val="24"/>
              </w:rPr>
              <w:t>职业规范</w:t>
            </w:r>
          </w:p>
        </w:tc>
        <w:tc>
          <w:tcPr>
            <w:tcW w:w="5534" w:type="dxa"/>
            <w:vAlign w:val="center"/>
          </w:tcPr>
          <w:p w14:paraId="4DA4C34D" w14:textId="77777777" w:rsidR="00367215" w:rsidRPr="00367215" w:rsidRDefault="00367215" w:rsidP="00367215">
            <w:pPr>
              <w:autoSpaceDE w:val="0"/>
              <w:autoSpaceDN w:val="0"/>
              <w:adjustRightInd w:val="0"/>
              <w:snapToGrid w:val="0"/>
              <w:spacing w:line="400" w:lineRule="exact"/>
              <w:jc w:val="left"/>
              <w:rPr>
                <w:rFonts w:ascii="宋体" w:eastAsia="宋体" w:hAnsi="宋体" w:cs="Times New Roman"/>
                <w:sz w:val="24"/>
                <w:szCs w:val="24"/>
              </w:rPr>
            </w:pPr>
            <w:r w:rsidRPr="00367215">
              <w:rPr>
                <w:rFonts w:ascii="宋体" w:eastAsia="宋体" w:hAnsi="宋体" w:cs="Times New Roman" w:hint="eastAsia"/>
                <w:sz w:val="24"/>
                <w:szCs w:val="24"/>
              </w:rPr>
              <w:t>8.2 理解药学伦理的核心理念、职业性质和责任，在实践中能自觉遵守药学职业道德和规范，履行责任，具有法律意识。</w:t>
            </w:r>
            <w:r w:rsidRPr="00367215">
              <w:rPr>
                <w:rFonts w:ascii="宋体" w:eastAsia="宋体" w:hAnsi="宋体" w:cs="Times New Roman" w:hint="eastAsia"/>
                <w:bCs/>
                <w:sz w:val="24"/>
                <w:szCs w:val="24"/>
              </w:rPr>
              <w:t>（M）</w:t>
            </w:r>
          </w:p>
        </w:tc>
        <w:tc>
          <w:tcPr>
            <w:tcW w:w="1959" w:type="dxa"/>
            <w:vAlign w:val="center"/>
          </w:tcPr>
          <w:p w14:paraId="44E54E38"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课程目标3</w:t>
            </w:r>
          </w:p>
        </w:tc>
      </w:tr>
    </w:tbl>
    <w:p w14:paraId="2CA86BDF" w14:textId="77777777" w:rsidR="00367215" w:rsidRPr="00367215" w:rsidRDefault="00367215" w:rsidP="00C63ECC">
      <w:pPr>
        <w:pStyle w:val="afc"/>
      </w:pPr>
      <w:r w:rsidRPr="00367215">
        <w:rPr>
          <w:rFonts w:hint="eastAsia"/>
        </w:rPr>
        <w:t>三、课程学习内容及与课程学习目标的对应关系</w:t>
      </w:r>
    </w:p>
    <w:p w14:paraId="543F062E" w14:textId="77777777" w:rsidR="00367215" w:rsidRPr="00367215" w:rsidRDefault="00367215" w:rsidP="00367215">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367215">
        <w:rPr>
          <w:rFonts w:ascii="黑体" w:eastAsia="黑体" w:hAnsi="黑体" w:cs="Times New Roman" w:hint="eastAsia"/>
          <w:sz w:val="28"/>
          <w:szCs w:val="28"/>
        </w:rPr>
        <w:t>（一）课程学习内容</w:t>
      </w:r>
    </w:p>
    <w:p w14:paraId="10DCE715" w14:textId="77777777" w:rsidR="00367215" w:rsidRPr="00367215" w:rsidRDefault="00367215" w:rsidP="00367215">
      <w:pPr>
        <w:spacing w:beforeLines="50" w:before="156" w:afterLines="50" w:after="156" w:line="440" w:lineRule="exact"/>
        <w:ind w:firstLineChars="200" w:firstLine="560"/>
        <w:jc w:val="center"/>
        <w:rPr>
          <w:rFonts w:ascii="黑体" w:eastAsia="黑体" w:hAnsi="黑体" w:cs="Times New Roman"/>
          <w:sz w:val="28"/>
          <w:szCs w:val="28"/>
        </w:rPr>
      </w:pPr>
      <w:r w:rsidRPr="00367215">
        <w:rPr>
          <w:rFonts w:ascii="黑体" w:eastAsia="黑体" w:hAnsi="黑体" w:cs="Times New Roman" w:hint="eastAsia"/>
          <w:sz w:val="28"/>
          <w:szCs w:val="28"/>
        </w:rPr>
        <w:t>第一章  绪论</w:t>
      </w:r>
    </w:p>
    <w:p w14:paraId="0599D857"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【学习目标】</w:t>
      </w:r>
    </w:p>
    <w:p w14:paraId="7A0D2E8F"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认知类目标：了解解剖学和生理学的发展与现代医药学的关系；</w:t>
      </w:r>
    </w:p>
    <w:p w14:paraId="66C0238D"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过程与方法类目标：掌握人体解剖生理学的研究对象和任务；内环境与稳态的概念，稳态的维持；生理功能的调控方式；负反馈、正反馈及其生理意义；负反馈与前馈的区分。熟悉生理学的研究方法及其在药物研究中的应用；前馈及其生理意义；解剖学的基本术语。</w:t>
      </w:r>
    </w:p>
    <w:p w14:paraId="7420BEF2"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sz w:val="24"/>
          <w:szCs w:val="24"/>
        </w:rPr>
        <w:t xml:space="preserve">3. </w:t>
      </w:r>
      <w:r w:rsidRPr="00367215">
        <w:rPr>
          <w:rFonts w:ascii="宋体" w:eastAsia="宋体" w:hAnsi="宋体" w:cs="Times New Roman" w:hint="eastAsia"/>
          <w:sz w:val="24"/>
          <w:szCs w:val="24"/>
        </w:rPr>
        <w:t>情感、态度、价值观类目标：理解学习人体解剖生理学，对从事药学相关研究工作的重要性。</w:t>
      </w:r>
    </w:p>
    <w:p w14:paraId="274A4B3E"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【学习内容】</w:t>
      </w:r>
    </w:p>
    <w:p w14:paraId="683550C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sz w:val="24"/>
          <w:szCs w:val="24"/>
        </w:rPr>
        <w:t>1.1</w:t>
      </w:r>
      <w:r w:rsidRPr="00367215">
        <w:rPr>
          <w:rFonts w:ascii="宋体" w:eastAsia="宋体" w:hAnsi="宋体" w:cs="Times New Roman" w:hint="eastAsia"/>
          <w:sz w:val="24"/>
          <w:szCs w:val="24"/>
        </w:rPr>
        <w:t xml:space="preserve"> </w:t>
      </w:r>
      <w:r w:rsidRPr="00367215">
        <w:rPr>
          <w:rFonts w:ascii="宋体" w:eastAsia="宋体" w:hAnsi="宋体" w:cs="Times New Roman"/>
          <w:sz w:val="24"/>
          <w:szCs w:val="24"/>
        </w:rPr>
        <w:t>人体解剖生理学概述</w:t>
      </w:r>
    </w:p>
    <w:p w14:paraId="6068D88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sz w:val="24"/>
          <w:szCs w:val="24"/>
        </w:rPr>
        <w:t>1.2</w:t>
      </w:r>
      <w:r w:rsidRPr="00367215">
        <w:rPr>
          <w:rFonts w:ascii="宋体" w:eastAsia="宋体" w:hAnsi="宋体" w:cs="Times New Roman" w:hint="eastAsia"/>
          <w:sz w:val="24"/>
          <w:szCs w:val="24"/>
        </w:rPr>
        <w:t xml:space="preserve"> </w:t>
      </w:r>
      <w:r w:rsidRPr="00367215">
        <w:rPr>
          <w:rFonts w:ascii="宋体" w:eastAsia="宋体" w:hAnsi="宋体" w:cs="Times New Roman"/>
          <w:sz w:val="24"/>
          <w:szCs w:val="24"/>
        </w:rPr>
        <w:t>生理学研究的基本范畴</w:t>
      </w:r>
    </w:p>
    <w:p w14:paraId="3147A503"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1.3 </w:t>
      </w:r>
      <w:r w:rsidRPr="00367215">
        <w:rPr>
          <w:rFonts w:ascii="宋体" w:eastAsia="宋体" w:hAnsi="宋体" w:cs="Times New Roman"/>
          <w:sz w:val="24"/>
          <w:szCs w:val="24"/>
        </w:rPr>
        <w:t>解剖学的基本术语</w:t>
      </w:r>
    </w:p>
    <w:p w14:paraId="24922222"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【重点】</w:t>
      </w:r>
    </w:p>
    <w:p w14:paraId="1534351E"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人体解剖生理学的研究对象和任务；</w:t>
      </w:r>
    </w:p>
    <w:p w14:paraId="0EE66D4F"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内环境与稳态的概念；</w:t>
      </w:r>
    </w:p>
    <w:p w14:paraId="38FC2606"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3. 稳态的特点；</w:t>
      </w:r>
    </w:p>
    <w:p w14:paraId="3C4B821B"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4. 生理功能的调控方式；</w:t>
      </w:r>
    </w:p>
    <w:p w14:paraId="37CB1C0D"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5. 负反馈、正反馈及其生理意义；</w:t>
      </w:r>
    </w:p>
    <w:p w14:paraId="05FFFB30"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6. 负反馈与前馈的区分。</w:t>
      </w:r>
    </w:p>
    <w:p w14:paraId="48541975"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lastRenderedPageBreak/>
        <w:t>【难点】</w:t>
      </w:r>
    </w:p>
    <w:p w14:paraId="5D61801C"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w:t>
      </w:r>
      <w:r w:rsidRPr="00367215">
        <w:rPr>
          <w:rFonts w:ascii="宋体" w:eastAsia="宋体" w:hAnsi="宋体" w:cs="Times New Roman"/>
          <w:sz w:val="24"/>
          <w:szCs w:val="24"/>
        </w:rPr>
        <w:t>. 人体解剖生理学的研究对象和任务；</w:t>
      </w:r>
    </w:p>
    <w:p w14:paraId="007C8D83"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2. </w:t>
      </w:r>
      <w:r w:rsidRPr="00367215">
        <w:rPr>
          <w:rFonts w:ascii="宋体" w:eastAsia="宋体" w:hAnsi="宋体" w:cs="Times New Roman"/>
          <w:sz w:val="24"/>
          <w:szCs w:val="24"/>
        </w:rPr>
        <w:t>生理学</w:t>
      </w:r>
      <w:r w:rsidRPr="00367215">
        <w:rPr>
          <w:rFonts w:ascii="宋体" w:eastAsia="宋体" w:hAnsi="宋体" w:cs="Times New Roman" w:hint="eastAsia"/>
          <w:sz w:val="24"/>
          <w:szCs w:val="24"/>
        </w:rPr>
        <w:t>的</w:t>
      </w:r>
      <w:r w:rsidRPr="00367215">
        <w:rPr>
          <w:rFonts w:ascii="宋体" w:eastAsia="宋体" w:hAnsi="宋体" w:cs="Times New Roman"/>
          <w:sz w:val="24"/>
          <w:szCs w:val="24"/>
        </w:rPr>
        <w:t>究方法</w:t>
      </w:r>
      <w:r w:rsidRPr="00367215">
        <w:rPr>
          <w:rFonts w:ascii="宋体" w:eastAsia="宋体" w:hAnsi="宋体" w:cs="Times New Roman" w:hint="eastAsia"/>
          <w:sz w:val="24"/>
          <w:szCs w:val="24"/>
        </w:rPr>
        <w:t>；</w:t>
      </w:r>
    </w:p>
    <w:p w14:paraId="454D9E2D"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3. </w:t>
      </w:r>
      <w:r w:rsidRPr="00367215">
        <w:rPr>
          <w:rFonts w:ascii="宋体" w:eastAsia="宋体" w:hAnsi="宋体" w:cs="Times New Roman"/>
          <w:sz w:val="24"/>
          <w:szCs w:val="24"/>
        </w:rPr>
        <w:t>反馈与前馈的区分</w:t>
      </w:r>
      <w:r w:rsidRPr="00367215">
        <w:rPr>
          <w:rFonts w:ascii="宋体" w:eastAsia="宋体" w:hAnsi="宋体" w:cs="Times New Roman" w:hint="eastAsia"/>
          <w:sz w:val="24"/>
          <w:szCs w:val="24"/>
        </w:rPr>
        <w:t>；</w:t>
      </w:r>
    </w:p>
    <w:p w14:paraId="4DB9F80B"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4. </w:t>
      </w:r>
      <w:r w:rsidRPr="00367215">
        <w:rPr>
          <w:rFonts w:ascii="宋体" w:eastAsia="宋体" w:hAnsi="宋体" w:cs="Times New Roman"/>
          <w:sz w:val="24"/>
          <w:szCs w:val="24"/>
        </w:rPr>
        <w:t>负反馈、正反馈的生理意义</w:t>
      </w:r>
      <w:r w:rsidRPr="00367215">
        <w:rPr>
          <w:rFonts w:ascii="宋体" w:eastAsia="宋体" w:hAnsi="宋体" w:cs="Times New Roman" w:hint="eastAsia"/>
          <w:sz w:val="24"/>
          <w:szCs w:val="24"/>
        </w:rPr>
        <w:t>。</w:t>
      </w:r>
    </w:p>
    <w:p w14:paraId="726D9F2D"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【教学方法】</w:t>
      </w:r>
    </w:p>
    <w:p w14:paraId="728071BD" w14:textId="77777777" w:rsidR="00367215" w:rsidRPr="00367215" w:rsidRDefault="00367215" w:rsidP="00367215">
      <w:pPr>
        <w:adjustRightInd w:val="0"/>
        <w:snapToGrid w:val="0"/>
        <w:spacing w:line="440" w:lineRule="exact"/>
        <w:ind w:firstLineChars="200" w:firstLine="480"/>
        <w:rPr>
          <w:rFonts w:ascii="宋体" w:eastAsia="宋体" w:hAnsi="宋体" w:cs="Times New Roman"/>
          <w:color w:val="FF0000"/>
          <w:sz w:val="24"/>
          <w:szCs w:val="24"/>
        </w:rPr>
      </w:pPr>
      <w:r w:rsidRPr="00367215">
        <w:rPr>
          <w:rFonts w:ascii="宋体" w:eastAsia="宋体" w:hAnsi="宋体" w:cs="Times New Roman" w:hint="eastAsia"/>
          <w:sz w:val="24"/>
          <w:szCs w:val="24"/>
        </w:rPr>
        <w:t>1. 通过多媒体课件和传统教学相结合，阐明</w:t>
      </w:r>
      <w:r w:rsidRPr="00367215">
        <w:rPr>
          <w:rFonts w:ascii="宋体" w:eastAsia="宋体" w:hAnsi="宋体" w:cs="Times New Roman"/>
          <w:sz w:val="24"/>
          <w:szCs w:val="24"/>
        </w:rPr>
        <w:t>人体解剖生理学的概念、生理学研究的基本范畴</w:t>
      </w:r>
      <w:r w:rsidRPr="00367215">
        <w:rPr>
          <w:rFonts w:ascii="宋体" w:eastAsia="宋体" w:hAnsi="宋体" w:cs="Times New Roman" w:hint="eastAsia"/>
          <w:sz w:val="24"/>
          <w:szCs w:val="24"/>
        </w:rPr>
        <w:t>，丰富学生课程与教学的基本知识结构；</w:t>
      </w:r>
    </w:p>
    <w:p w14:paraId="44984B2F"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通过案例分析，区分正反馈、负反馈、前馈的概念与调节过程，突破本章教学过程中的难点内容；</w:t>
      </w:r>
    </w:p>
    <w:p w14:paraId="218916BA" w14:textId="77777777" w:rsidR="00367215" w:rsidRPr="00367215" w:rsidRDefault="00367215" w:rsidP="00367215">
      <w:pPr>
        <w:spacing w:line="440" w:lineRule="exact"/>
        <w:ind w:firstLineChars="200" w:firstLine="482"/>
        <w:rPr>
          <w:rFonts w:ascii="宋体" w:eastAsia="宋体" w:hAnsi="宋体" w:cs="Times New Roman"/>
          <w:bCs/>
          <w:color w:val="FF0000"/>
          <w:sz w:val="24"/>
          <w:szCs w:val="24"/>
        </w:rPr>
      </w:pPr>
      <w:r w:rsidRPr="00367215">
        <w:rPr>
          <w:rFonts w:ascii="宋体" w:eastAsia="宋体" w:hAnsi="宋体" w:cs="Times New Roman" w:hint="eastAsia"/>
          <w:b/>
          <w:sz w:val="24"/>
          <w:szCs w:val="24"/>
        </w:rPr>
        <w:t>【复习思考】</w:t>
      </w:r>
    </w:p>
    <w:p w14:paraId="2339B071" w14:textId="77777777" w:rsidR="00367215" w:rsidRPr="00367215" w:rsidRDefault="00367215" w:rsidP="00367215">
      <w:pPr>
        <w:adjustRightInd w:val="0"/>
        <w:snapToGrid w:val="0"/>
        <w:spacing w:line="440" w:lineRule="exact"/>
        <w:ind w:firstLineChars="200" w:firstLine="480"/>
        <w:rPr>
          <w:rFonts w:ascii="宋体" w:eastAsia="宋体" w:hAnsi="宋体" w:cs="Times New Roman"/>
          <w:b/>
          <w:sz w:val="24"/>
          <w:szCs w:val="24"/>
        </w:rPr>
      </w:pPr>
      <w:r w:rsidRPr="00367215">
        <w:rPr>
          <w:rFonts w:ascii="宋体" w:eastAsia="宋体" w:hAnsi="宋体" w:cs="Times New Roman" w:hint="eastAsia"/>
          <w:sz w:val="24"/>
          <w:szCs w:val="24"/>
        </w:rPr>
        <w:t>1</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正反馈与负反馈的区别</w:t>
      </w:r>
    </w:p>
    <w:p w14:paraId="7732B4D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w:t>
      </w:r>
      <w:r w:rsidRPr="00367215">
        <w:rPr>
          <w:rFonts w:ascii="宋体" w:eastAsia="宋体" w:hAnsi="宋体" w:cs="Times New Roman"/>
          <w:sz w:val="24"/>
          <w:szCs w:val="24"/>
        </w:rPr>
        <w:t>. 反馈与前馈的区别</w:t>
      </w:r>
    </w:p>
    <w:p w14:paraId="6F509B7B" w14:textId="77777777" w:rsidR="00367215" w:rsidRPr="00367215" w:rsidRDefault="00367215" w:rsidP="00367215">
      <w:pPr>
        <w:spacing w:beforeLines="50" w:before="156" w:afterLines="50" w:after="156" w:line="440" w:lineRule="exact"/>
        <w:ind w:firstLineChars="200" w:firstLine="560"/>
        <w:jc w:val="center"/>
        <w:rPr>
          <w:rFonts w:ascii="黑体" w:eastAsia="黑体" w:hAnsi="黑体" w:cs="Times New Roman"/>
          <w:sz w:val="28"/>
          <w:szCs w:val="28"/>
        </w:rPr>
      </w:pPr>
      <w:r w:rsidRPr="00367215">
        <w:rPr>
          <w:rFonts w:ascii="黑体" w:eastAsia="黑体" w:hAnsi="黑体" w:cs="Times New Roman" w:hint="eastAsia"/>
          <w:sz w:val="28"/>
          <w:szCs w:val="28"/>
        </w:rPr>
        <w:t>第二章  人体的基本组成</w:t>
      </w:r>
    </w:p>
    <w:p w14:paraId="0269B5CC"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【学习目标】</w:t>
      </w:r>
    </w:p>
    <w:p w14:paraId="2C700D2E"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认知类目标：内、外分泌腺的区分；不同细胞的光镜结构；</w:t>
      </w:r>
    </w:p>
    <w:p w14:paraId="61B66EC9"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过程与方法类目标：掌握细胞膜的化学组成及结构；各种被覆上皮的结构和功能；结缔组织及其分类。熟悉细胞器的主要结构与功能；神经组织的构成。</w:t>
      </w:r>
    </w:p>
    <w:p w14:paraId="2EC4F408"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sz w:val="24"/>
          <w:szCs w:val="24"/>
        </w:rPr>
        <w:t xml:space="preserve">3. </w:t>
      </w:r>
      <w:r w:rsidRPr="00367215">
        <w:rPr>
          <w:rFonts w:ascii="宋体" w:eastAsia="宋体" w:hAnsi="宋体" w:cs="Times New Roman" w:hint="eastAsia"/>
          <w:sz w:val="24"/>
          <w:szCs w:val="24"/>
        </w:rPr>
        <w:t>情感、态度、价值观类目标：体会人体结构与功能的复杂性。</w:t>
      </w:r>
    </w:p>
    <w:p w14:paraId="54D296AB" w14:textId="77777777" w:rsidR="00367215" w:rsidRPr="00367215" w:rsidRDefault="00367215" w:rsidP="00367215">
      <w:pPr>
        <w:spacing w:line="440" w:lineRule="exact"/>
        <w:ind w:firstLineChars="200" w:firstLine="482"/>
        <w:rPr>
          <w:rFonts w:ascii="宋体" w:eastAsia="宋体" w:hAnsi="宋体" w:cs="Times New Roman"/>
          <w:sz w:val="24"/>
          <w:szCs w:val="24"/>
        </w:rPr>
      </w:pPr>
      <w:r w:rsidRPr="00367215">
        <w:rPr>
          <w:rFonts w:ascii="宋体" w:eastAsia="宋体" w:hAnsi="宋体" w:cs="Times New Roman" w:hint="eastAsia"/>
          <w:b/>
          <w:sz w:val="24"/>
          <w:szCs w:val="24"/>
        </w:rPr>
        <w:t>【学习内容】</w:t>
      </w:r>
    </w:p>
    <w:p w14:paraId="2DEB0E11"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sz w:val="24"/>
          <w:szCs w:val="24"/>
        </w:rPr>
        <w:t>2.1</w:t>
      </w:r>
      <w:r w:rsidRPr="00367215">
        <w:rPr>
          <w:rFonts w:ascii="宋体" w:eastAsia="宋体" w:hAnsi="宋体" w:cs="Times New Roman" w:hint="eastAsia"/>
          <w:sz w:val="24"/>
          <w:szCs w:val="24"/>
        </w:rPr>
        <w:t xml:space="preserve"> 细胞</w:t>
      </w:r>
    </w:p>
    <w:p w14:paraId="2D8763E4"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sz w:val="24"/>
          <w:szCs w:val="24"/>
        </w:rPr>
        <w:t>2.2</w:t>
      </w:r>
      <w:r w:rsidRPr="00367215">
        <w:rPr>
          <w:rFonts w:ascii="宋体" w:eastAsia="宋体" w:hAnsi="宋体" w:cs="Times New Roman" w:hint="eastAsia"/>
          <w:sz w:val="24"/>
          <w:szCs w:val="24"/>
        </w:rPr>
        <w:t xml:space="preserve"> 组织</w:t>
      </w:r>
    </w:p>
    <w:p w14:paraId="3E0FE0C5" w14:textId="77777777" w:rsidR="00367215" w:rsidRPr="00367215" w:rsidRDefault="00367215" w:rsidP="00367215">
      <w:pPr>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【重点】</w:t>
      </w:r>
    </w:p>
    <w:p w14:paraId="022EAF3A"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 被覆上皮的分类与结构特点；</w:t>
      </w:r>
    </w:p>
    <w:p w14:paraId="5404E663" w14:textId="77777777" w:rsidR="00367215" w:rsidRPr="00367215" w:rsidRDefault="00367215" w:rsidP="00367215">
      <w:pPr>
        <w:adjustRightInd w:val="0"/>
        <w:snapToGrid w:val="0"/>
        <w:spacing w:line="440" w:lineRule="exact"/>
        <w:ind w:firstLineChars="200" w:firstLine="480"/>
        <w:rPr>
          <w:rFonts w:ascii="宋体" w:eastAsia="宋体" w:hAnsi="宋体" w:cs="Times New Roman"/>
          <w:b/>
          <w:sz w:val="24"/>
          <w:szCs w:val="24"/>
        </w:rPr>
      </w:pPr>
      <w:r w:rsidRPr="00367215">
        <w:rPr>
          <w:rFonts w:ascii="宋体" w:eastAsia="宋体" w:hAnsi="宋体" w:cs="Times New Roman" w:hint="eastAsia"/>
          <w:sz w:val="24"/>
          <w:szCs w:val="24"/>
        </w:rPr>
        <w:t>2. 固有结缔组织的分类与特点。</w:t>
      </w:r>
    </w:p>
    <w:p w14:paraId="5B074526" w14:textId="77777777" w:rsidR="00367215" w:rsidRPr="00367215" w:rsidRDefault="00367215" w:rsidP="00367215">
      <w:pPr>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【难点】</w:t>
      </w:r>
    </w:p>
    <w:p w14:paraId="40F4A3D6"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被覆上皮的结构特点。</w:t>
      </w:r>
    </w:p>
    <w:p w14:paraId="043E2B34"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【教学方法】</w:t>
      </w:r>
    </w:p>
    <w:p w14:paraId="600C10ED" w14:textId="77777777" w:rsidR="00367215" w:rsidRPr="00367215" w:rsidRDefault="00367215" w:rsidP="00367215">
      <w:pPr>
        <w:adjustRightInd w:val="0"/>
        <w:snapToGrid w:val="0"/>
        <w:spacing w:line="440" w:lineRule="exact"/>
        <w:ind w:firstLineChars="200" w:firstLine="480"/>
        <w:rPr>
          <w:rFonts w:ascii="宋体" w:eastAsia="宋体" w:hAnsi="宋体" w:cs="Times New Roman"/>
          <w:color w:val="FF0000"/>
          <w:sz w:val="24"/>
          <w:szCs w:val="24"/>
        </w:rPr>
      </w:pPr>
      <w:r w:rsidRPr="00367215">
        <w:rPr>
          <w:rFonts w:ascii="宋体" w:eastAsia="宋体" w:hAnsi="宋体" w:cs="Times New Roman" w:hint="eastAsia"/>
          <w:sz w:val="24"/>
          <w:szCs w:val="24"/>
        </w:rPr>
        <w:t>1. 通过多媒体课件和传统教学相结合，阐明细胞</w:t>
      </w:r>
      <w:r w:rsidRPr="00367215">
        <w:rPr>
          <w:rFonts w:ascii="宋体" w:eastAsia="宋体" w:hAnsi="宋体" w:cs="Times New Roman"/>
          <w:sz w:val="24"/>
          <w:szCs w:val="24"/>
        </w:rPr>
        <w:t>、组织的结构与功能特征</w:t>
      </w:r>
      <w:r w:rsidRPr="00367215">
        <w:rPr>
          <w:rFonts w:ascii="宋体" w:eastAsia="宋体" w:hAnsi="宋体" w:cs="Times New Roman" w:hint="eastAsia"/>
          <w:sz w:val="24"/>
          <w:szCs w:val="24"/>
        </w:rPr>
        <w:t>，丰富学生课程与教学的基本知识结构；</w:t>
      </w:r>
    </w:p>
    <w:p w14:paraId="49F2464A"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通过比较法，归纳被覆上皮的分类与结构特点，便于学生记忆与理解，突破</w:t>
      </w:r>
      <w:r w:rsidRPr="00367215">
        <w:rPr>
          <w:rFonts w:ascii="宋体" w:eastAsia="宋体" w:hAnsi="宋体" w:cs="Times New Roman" w:hint="eastAsia"/>
          <w:sz w:val="24"/>
          <w:szCs w:val="24"/>
        </w:rPr>
        <w:lastRenderedPageBreak/>
        <w:t>本章教学过程中的难点内容。</w:t>
      </w:r>
    </w:p>
    <w:p w14:paraId="6E7F57D3" w14:textId="77777777" w:rsidR="00367215" w:rsidRPr="00367215" w:rsidRDefault="00367215" w:rsidP="00367215">
      <w:pPr>
        <w:spacing w:line="440" w:lineRule="exact"/>
        <w:ind w:firstLineChars="200" w:firstLine="482"/>
        <w:rPr>
          <w:rFonts w:ascii="宋体" w:eastAsia="宋体" w:hAnsi="宋体" w:cs="Times New Roman"/>
          <w:bCs/>
          <w:color w:val="FF0000"/>
          <w:sz w:val="24"/>
          <w:szCs w:val="24"/>
        </w:rPr>
      </w:pPr>
      <w:r w:rsidRPr="00367215">
        <w:rPr>
          <w:rFonts w:ascii="宋体" w:eastAsia="宋体" w:hAnsi="宋体" w:cs="Times New Roman" w:hint="eastAsia"/>
          <w:b/>
          <w:sz w:val="24"/>
          <w:szCs w:val="24"/>
        </w:rPr>
        <w:t>【复习思考】</w:t>
      </w:r>
    </w:p>
    <w:p w14:paraId="26593CC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不同类型被覆上皮结构特点与功能的关系。</w:t>
      </w:r>
    </w:p>
    <w:p w14:paraId="487D7356" w14:textId="77777777" w:rsidR="00367215" w:rsidRPr="00367215" w:rsidRDefault="00367215" w:rsidP="00367215">
      <w:pPr>
        <w:spacing w:beforeLines="50" w:before="156" w:afterLines="50" w:after="156" w:line="440" w:lineRule="exact"/>
        <w:ind w:firstLineChars="200" w:firstLine="560"/>
        <w:jc w:val="center"/>
        <w:rPr>
          <w:rFonts w:ascii="黑体" w:eastAsia="黑体" w:hAnsi="黑体" w:cs="Times New Roman"/>
          <w:sz w:val="28"/>
          <w:szCs w:val="28"/>
        </w:rPr>
      </w:pPr>
      <w:r w:rsidRPr="00367215">
        <w:rPr>
          <w:rFonts w:ascii="黑体" w:eastAsia="黑体" w:hAnsi="黑体" w:cs="Times New Roman" w:hint="eastAsia"/>
          <w:sz w:val="28"/>
          <w:szCs w:val="28"/>
        </w:rPr>
        <w:t>第三章  细胞的基本功能</w:t>
      </w:r>
    </w:p>
    <w:p w14:paraId="0FBE8A4E"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【学习目标】</w:t>
      </w:r>
    </w:p>
    <w:p w14:paraId="1BCC8092"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认知类目标：G蛋白</w:t>
      </w:r>
      <w:proofErr w:type="gramStart"/>
      <w:r w:rsidRPr="00367215">
        <w:rPr>
          <w:rFonts w:ascii="宋体" w:eastAsia="宋体" w:hAnsi="宋体" w:cs="Times New Roman" w:hint="eastAsia"/>
          <w:sz w:val="24"/>
          <w:szCs w:val="24"/>
        </w:rPr>
        <w:t>耦</w:t>
      </w:r>
      <w:proofErr w:type="gramEnd"/>
      <w:r w:rsidRPr="00367215">
        <w:rPr>
          <w:rFonts w:ascii="宋体" w:eastAsia="宋体" w:hAnsi="宋体" w:cs="Times New Roman" w:hint="eastAsia"/>
          <w:sz w:val="24"/>
          <w:szCs w:val="24"/>
        </w:rPr>
        <w:t>联受体</w:t>
      </w:r>
      <w:proofErr w:type="gramStart"/>
      <w:r w:rsidRPr="00367215">
        <w:rPr>
          <w:rFonts w:ascii="宋体" w:eastAsia="宋体" w:hAnsi="宋体" w:cs="Times New Roman" w:hint="eastAsia"/>
          <w:sz w:val="24"/>
          <w:szCs w:val="24"/>
        </w:rPr>
        <w:t>介</w:t>
      </w:r>
      <w:proofErr w:type="gramEnd"/>
      <w:r w:rsidRPr="00367215">
        <w:rPr>
          <w:rFonts w:ascii="宋体" w:eastAsia="宋体" w:hAnsi="宋体" w:cs="Times New Roman" w:hint="eastAsia"/>
          <w:sz w:val="24"/>
          <w:szCs w:val="24"/>
        </w:rPr>
        <w:t>导的跨膜信号转导过程；膜片钳技术；骨骼肌收缩的外部表现和力学分析；影响</w:t>
      </w:r>
      <w:proofErr w:type="gramStart"/>
      <w:r w:rsidRPr="00367215">
        <w:rPr>
          <w:rFonts w:ascii="宋体" w:eastAsia="宋体" w:hAnsi="宋体" w:cs="Times New Roman" w:hint="eastAsia"/>
          <w:sz w:val="24"/>
          <w:szCs w:val="24"/>
        </w:rPr>
        <w:t>肌</w:t>
      </w:r>
      <w:proofErr w:type="gramEnd"/>
      <w:r w:rsidRPr="00367215">
        <w:rPr>
          <w:rFonts w:ascii="宋体" w:eastAsia="宋体" w:hAnsi="宋体" w:cs="Times New Roman" w:hint="eastAsia"/>
          <w:sz w:val="24"/>
          <w:szCs w:val="24"/>
        </w:rPr>
        <w:t>收缩的因素；骨骼肌收缩的外部表现和力学分析。</w:t>
      </w:r>
    </w:p>
    <w:p w14:paraId="0F6D174A"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过程与方法类目标：掌握细胞膜的物质转运方式；易化扩散的概念、分类及特点；主动转运的概念、特点、种类；主动转运与被动转运的区别；钠泵的生理意义；第二信使的概念；极化、超极化、去极化、超射、复极化、锋电位、后电位的概念；静息电位的概念与形成机制；动作电位的概念、形成机制与特点；阈电位的概念；动作电位在同一细胞上的传导机制、影响因素；局部电位的概念与特点；兴奋性、兴奋、阈值的概念；绝对不应期、</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相对不应期、超常期、低常期的概念与产生机制；神经-肌接头的兴奋传递过程；钙离子在肌肉收缩中的作用；心肌收缩的特点（心肌收缩与骨骼肌收缩的不同之处）。熟悉细胞跨膜信号转导的概念；细胞跨膜信号转导的方式与途径；动作电位在不同细胞上的传导；局部电位的形成机制与特点；骨骼肌的超微结构；骨骼肌的收缩机制；兴奋-收缩偶联的概念及过程；骨骼肌收缩的形式；影响骨骼肌收缩的因素。</w:t>
      </w:r>
    </w:p>
    <w:p w14:paraId="672338D6"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sz w:val="24"/>
          <w:szCs w:val="24"/>
        </w:rPr>
        <w:t xml:space="preserve">3. </w:t>
      </w:r>
      <w:r w:rsidRPr="00367215">
        <w:rPr>
          <w:rFonts w:ascii="宋体" w:eastAsia="宋体" w:hAnsi="宋体" w:cs="Times New Roman" w:hint="eastAsia"/>
          <w:sz w:val="24"/>
          <w:szCs w:val="24"/>
        </w:rPr>
        <w:t>情感、态度、价值观类目标：通过探索人体结构与功能的基本单位——细胞，感悟“不积跬步无以至千里”。</w:t>
      </w:r>
    </w:p>
    <w:p w14:paraId="4D486A78" w14:textId="77777777" w:rsidR="00367215" w:rsidRPr="00367215" w:rsidRDefault="00367215" w:rsidP="00367215">
      <w:pPr>
        <w:spacing w:line="440" w:lineRule="exact"/>
        <w:ind w:firstLineChars="200" w:firstLine="482"/>
        <w:rPr>
          <w:rFonts w:ascii="宋体" w:eastAsia="宋体" w:hAnsi="宋体" w:cs="Times New Roman"/>
          <w:sz w:val="24"/>
          <w:szCs w:val="24"/>
        </w:rPr>
      </w:pPr>
      <w:r w:rsidRPr="00367215">
        <w:rPr>
          <w:rFonts w:ascii="宋体" w:eastAsia="宋体" w:hAnsi="宋体" w:cs="Times New Roman" w:hint="eastAsia"/>
          <w:b/>
          <w:sz w:val="24"/>
          <w:szCs w:val="24"/>
        </w:rPr>
        <w:t>【学习内容】</w:t>
      </w:r>
    </w:p>
    <w:p w14:paraId="6E2959AE"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sz w:val="24"/>
          <w:szCs w:val="24"/>
        </w:rPr>
        <w:t>3.1</w:t>
      </w:r>
      <w:r w:rsidRPr="00367215">
        <w:rPr>
          <w:rFonts w:ascii="宋体" w:eastAsia="宋体" w:hAnsi="宋体" w:cs="Times New Roman" w:hint="eastAsia"/>
          <w:sz w:val="24"/>
          <w:szCs w:val="24"/>
        </w:rPr>
        <w:t xml:space="preserve"> 细胞膜的物质转运功能</w:t>
      </w:r>
    </w:p>
    <w:p w14:paraId="43624B1E"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sz w:val="24"/>
          <w:szCs w:val="24"/>
        </w:rPr>
        <w:t>3.2</w:t>
      </w:r>
      <w:r w:rsidRPr="00367215">
        <w:rPr>
          <w:rFonts w:ascii="宋体" w:eastAsia="宋体" w:hAnsi="宋体" w:cs="Times New Roman" w:hint="eastAsia"/>
          <w:sz w:val="24"/>
          <w:szCs w:val="24"/>
        </w:rPr>
        <w:t xml:space="preserve"> 细胞的跨</w:t>
      </w:r>
      <w:proofErr w:type="gramStart"/>
      <w:r w:rsidRPr="00367215">
        <w:rPr>
          <w:rFonts w:ascii="宋体" w:eastAsia="宋体" w:hAnsi="宋体" w:cs="Times New Roman" w:hint="eastAsia"/>
          <w:sz w:val="24"/>
          <w:szCs w:val="24"/>
        </w:rPr>
        <w:t>膜信息</w:t>
      </w:r>
      <w:proofErr w:type="gramEnd"/>
      <w:r w:rsidRPr="00367215">
        <w:rPr>
          <w:rFonts w:ascii="宋体" w:eastAsia="宋体" w:hAnsi="宋体" w:cs="Times New Roman" w:hint="eastAsia"/>
          <w:sz w:val="24"/>
          <w:szCs w:val="24"/>
        </w:rPr>
        <w:t>转导</w:t>
      </w:r>
    </w:p>
    <w:p w14:paraId="2CE88EBF"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sz w:val="24"/>
          <w:szCs w:val="24"/>
        </w:rPr>
        <w:t>3.3</w:t>
      </w:r>
      <w:r w:rsidRPr="00367215">
        <w:rPr>
          <w:rFonts w:ascii="宋体" w:eastAsia="宋体" w:hAnsi="宋体" w:cs="Times New Roman" w:hint="eastAsia"/>
          <w:sz w:val="24"/>
          <w:szCs w:val="24"/>
        </w:rPr>
        <w:t xml:space="preserve"> 细胞的生物电活动</w:t>
      </w:r>
    </w:p>
    <w:p w14:paraId="70B90ED9"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3.4 肌肉的收缩功能</w:t>
      </w:r>
    </w:p>
    <w:p w14:paraId="067B9665" w14:textId="77777777" w:rsidR="00367215" w:rsidRPr="00367215" w:rsidRDefault="00367215" w:rsidP="00367215">
      <w:pPr>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【重点】</w:t>
      </w:r>
    </w:p>
    <w:p w14:paraId="4E454209"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 细胞膜的物质转运的分类（被动转运、主动转运）；</w:t>
      </w:r>
    </w:p>
    <w:p w14:paraId="5203269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载体、离子通道、钠泵的结构、特点、功能；</w:t>
      </w:r>
    </w:p>
    <w:p w14:paraId="5DEC4818"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3. 第二信使的概念；</w:t>
      </w:r>
    </w:p>
    <w:p w14:paraId="4C96A75F"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4. 静息电位的概念与形成机制；</w:t>
      </w:r>
    </w:p>
    <w:p w14:paraId="4A9FBB82"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lastRenderedPageBreak/>
        <w:t>5. 动作电位的概念、形成机制与特点；</w:t>
      </w:r>
    </w:p>
    <w:p w14:paraId="6CE93574"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6. 动作电位在同一细胞上的传导机制、影响因素。</w:t>
      </w:r>
    </w:p>
    <w:p w14:paraId="49B48B11" w14:textId="77777777" w:rsidR="00367215" w:rsidRPr="00367215" w:rsidRDefault="00367215" w:rsidP="00367215">
      <w:pPr>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【难点】</w:t>
      </w:r>
    </w:p>
    <w:p w14:paraId="2E47E29E"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1. </w:t>
      </w:r>
      <w:r w:rsidRPr="00367215">
        <w:rPr>
          <w:rFonts w:ascii="宋体" w:eastAsia="宋体" w:hAnsi="宋体" w:cs="Times New Roman"/>
          <w:sz w:val="24"/>
          <w:szCs w:val="24"/>
        </w:rPr>
        <w:t>原发主动转运与继发主动转运的区别和联系；</w:t>
      </w:r>
    </w:p>
    <w:p w14:paraId="16CDA044"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2. </w:t>
      </w:r>
      <w:r w:rsidRPr="00367215">
        <w:rPr>
          <w:rFonts w:ascii="宋体" w:eastAsia="宋体" w:hAnsi="宋体" w:cs="Times New Roman"/>
          <w:sz w:val="24"/>
          <w:szCs w:val="24"/>
        </w:rPr>
        <w:t>钠泵的工作原理、生理意义；</w:t>
      </w:r>
    </w:p>
    <w:p w14:paraId="698A1483"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3. </w:t>
      </w:r>
      <w:r w:rsidRPr="00367215">
        <w:rPr>
          <w:rFonts w:ascii="宋体" w:eastAsia="宋体" w:hAnsi="宋体" w:cs="Times New Roman"/>
          <w:sz w:val="24"/>
          <w:szCs w:val="24"/>
        </w:rPr>
        <w:t>第二信使的概念；</w:t>
      </w:r>
    </w:p>
    <w:p w14:paraId="7141CE30"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4. </w:t>
      </w:r>
      <w:r w:rsidRPr="00367215">
        <w:rPr>
          <w:rFonts w:ascii="宋体" w:eastAsia="宋体" w:hAnsi="宋体" w:cs="Times New Roman"/>
          <w:sz w:val="24"/>
          <w:szCs w:val="24"/>
        </w:rPr>
        <w:t>G蛋白</w:t>
      </w:r>
      <w:proofErr w:type="gramStart"/>
      <w:r w:rsidRPr="00367215">
        <w:rPr>
          <w:rFonts w:ascii="宋体" w:eastAsia="宋体" w:hAnsi="宋体" w:cs="Times New Roman"/>
          <w:sz w:val="24"/>
          <w:szCs w:val="24"/>
        </w:rPr>
        <w:t>耦</w:t>
      </w:r>
      <w:proofErr w:type="gramEnd"/>
      <w:r w:rsidRPr="00367215">
        <w:rPr>
          <w:rFonts w:ascii="宋体" w:eastAsia="宋体" w:hAnsi="宋体" w:cs="Times New Roman"/>
          <w:sz w:val="24"/>
          <w:szCs w:val="24"/>
        </w:rPr>
        <w:t>联受体</w:t>
      </w:r>
      <w:proofErr w:type="gramStart"/>
      <w:r w:rsidRPr="00367215">
        <w:rPr>
          <w:rFonts w:ascii="宋体" w:eastAsia="宋体" w:hAnsi="宋体" w:cs="Times New Roman"/>
          <w:sz w:val="24"/>
          <w:szCs w:val="24"/>
        </w:rPr>
        <w:t>介</w:t>
      </w:r>
      <w:proofErr w:type="gramEnd"/>
      <w:r w:rsidRPr="00367215">
        <w:rPr>
          <w:rFonts w:ascii="宋体" w:eastAsia="宋体" w:hAnsi="宋体" w:cs="Times New Roman"/>
          <w:sz w:val="24"/>
          <w:szCs w:val="24"/>
        </w:rPr>
        <w:t>导的跨膜信号转导过程</w:t>
      </w:r>
      <w:r w:rsidRPr="00367215">
        <w:rPr>
          <w:rFonts w:ascii="宋体" w:eastAsia="宋体" w:hAnsi="宋体" w:cs="Times New Roman" w:hint="eastAsia"/>
          <w:sz w:val="24"/>
          <w:szCs w:val="24"/>
        </w:rPr>
        <w:t>；</w:t>
      </w:r>
    </w:p>
    <w:p w14:paraId="048FF729"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5. 细胞生物电（静息电位、动作电位）产生的机制；</w:t>
      </w:r>
    </w:p>
    <w:p w14:paraId="22098CC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6. 局部电位与动作电位的区别和联系；</w:t>
      </w:r>
    </w:p>
    <w:p w14:paraId="636A8090"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7. </w:t>
      </w:r>
      <w:r w:rsidRPr="00367215">
        <w:rPr>
          <w:rFonts w:ascii="宋体" w:eastAsia="宋体" w:hAnsi="宋体" w:cs="Times New Roman"/>
          <w:sz w:val="24"/>
          <w:szCs w:val="24"/>
        </w:rPr>
        <w:t>心肌收缩与骨骼肌收缩的区别</w:t>
      </w:r>
      <w:r w:rsidRPr="00367215">
        <w:rPr>
          <w:rFonts w:ascii="宋体" w:eastAsia="宋体" w:hAnsi="宋体" w:cs="Times New Roman" w:hint="eastAsia"/>
          <w:sz w:val="24"/>
          <w:szCs w:val="24"/>
        </w:rPr>
        <w:t>。</w:t>
      </w:r>
    </w:p>
    <w:p w14:paraId="07D2FF17" w14:textId="77777777" w:rsidR="00367215" w:rsidRPr="00367215" w:rsidRDefault="00367215" w:rsidP="00367215">
      <w:pPr>
        <w:spacing w:line="440" w:lineRule="exact"/>
        <w:ind w:firstLineChars="200" w:firstLine="482"/>
        <w:rPr>
          <w:rFonts w:ascii="宋体" w:eastAsia="宋体" w:hAnsi="宋体" w:cs="Times New Roman"/>
          <w:color w:val="FF0000"/>
          <w:sz w:val="24"/>
          <w:szCs w:val="24"/>
        </w:rPr>
      </w:pPr>
      <w:r w:rsidRPr="00367215">
        <w:rPr>
          <w:rFonts w:ascii="宋体" w:eastAsia="宋体" w:hAnsi="宋体" w:cs="Times New Roman" w:hint="eastAsia"/>
          <w:b/>
          <w:bCs/>
          <w:sz w:val="24"/>
          <w:szCs w:val="24"/>
        </w:rPr>
        <w:t>【教学方法】</w:t>
      </w:r>
    </w:p>
    <w:p w14:paraId="4490C29D" w14:textId="77777777" w:rsidR="00367215" w:rsidRPr="00367215" w:rsidRDefault="00367215" w:rsidP="00367215">
      <w:pPr>
        <w:adjustRightInd w:val="0"/>
        <w:snapToGrid w:val="0"/>
        <w:spacing w:line="440" w:lineRule="exact"/>
        <w:ind w:firstLineChars="200" w:firstLine="480"/>
        <w:rPr>
          <w:rFonts w:ascii="宋体" w:eastAsia="宋体" w:hAnsi="宋体" w:cs="Times New Roman"/>
          <w:color w:val="FF0000"/>
          <w:sz w:val="24"/>
          <w:szCs w:val="24"/>
        </w:rPr>
      </w:pPr>
      <w:r w:rsidRPr="00367215">
        <w:rPr>
          <w:rFonts w:ascii="宋体" w:eastAsia="宋体" w:hAnsi="宋体" w:cs="Times New Roman" w:hint="eastAsia"/>
          <w:sz w:val="24"/>
          <w:szCs w:val="24"/>
        </w:rPr>
        <w:t>1. 通过多媒体课件和传统教学相结合，阐明细胞膜的物质转运功能，细胞的跨</w:t>
      </w:r>
      <w:proofErr w:type="gramStart"/>
      <w:r w:rsidRPr="00367215">
        <w:rPr>
          <w:rFonts w:ascii="宋体" w:eastAsia="宋体" w:hAnsi="宋体" w:cs="Times New Roman" w:hint="eastAsia"/>
          <w:sz w:val="24"/>
          <w:szCs w:val="24"/>
        </w:rPr>
        <w:t>膜信息</w:t>
      </w:r>
      <w:proofErr w:type="gramEnd"/>
      <w:r w:rsidRPr="00367215">
        <w:rPr>
          <w:rFonts w:ascii="宋体" w:eastAsia="宋体" w:hAnsi="宋体" w:cs="Times New Roman" w:hint="eastAsia"/>
          <w:sz w:val="24"/>
          <w:szCs w:val="24"/>
        </w:rPr>
        <w:t>转导，细胞的生物电活动等内容，丰富学生课程与教学的基本知识结构；</w:t>
      </w:r>
    </w:p>
    <w:p w14:paraId="0086CFCA"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通过演示法，阐明肌肉的结构与收缩过程，突破本章教学过程中的难点内容。</w:t>
      </w:r>
    </w:p>
    <w:p w14:paraId="4EDE2830" w14:textId="77777777" w:rsidR="00367215" w:rsidRPr="00367215" w:rsidRDefault="00367215" w:rsidP="00367215">
      <w:pPr>
        <w:spacing w:line="440" w:lineRule="exact"/>
        <w:ind w:firstLineChars="200" w:firstLine="482"/>
        <w:rPr>
          <w:rFonts w:ascii="宋体" w:eastAsia="宋体" w:hAnsi="宋体" w:cs="Times New Roman"/>
          <w:bCs/>
          <w:color w:val="FF0000"/>
          <w:sz w:val="24"/>
          <w:szCs w:val="24"/>
        </w:rPr>
      </w:pPr>
      <w:r w:rsidRPr="00367215">
        <w:rPr>
          <w:rFonts w:ascii="宋体" w:eastAsia="宋体" w:hAnsi="宋体" w:cs="Times New Roman" w:hint="eastAsia"/>
          <w:b/>
          <w:sz w:val="24"/>
          <w:szCs w:val="24"/>
        </w:rPr>
        <w:t>【复习思考】</w:t>
      </w:r>
    </w:p>
    <w:p w14:paraId="3BB88EEF"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 细胞膜的物质转运的分类与特征；</w:t>
      </w:r>
    </w:p>
    <w:p w14:paraId="32502F6E"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骨骼肌与神经细胞的动作电位形成过程；</w:t>
      </w:r>
    </w:p>
    <w:p w14:paraId="4938692D"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3. </w:t>
      </w:r>
      <w:r w:rsidRPr="00367215">
        <w:rPr>
          <w:rFonts w:ascii="宋体" w:eastAsia="宋体" w:hAnsi="宋体" w:cs="Times New Roman"/>
          <w:sz w:val="24"/>
          <w:szCs w:val="24"/>
        </w:rPr>
        <w:t>骨骼肌收缩的全过程。</w:t>
      </w:r>
    </w:p>
    <w:p w14:paraId="1427B180" w14:textId="77777777" w:rsidR="00367215" w:rsidRPr="00367215" w:rsidRDefault="00367215" w:rsidP="00367215">
      <w:pPr>
        <w:spacing w:beforeLines="50" w:before="156" w:afterLines="50" w:after="156" w:line="440" w:lineRule="exact"/>
        <w:ind w:firstLineChars="200" w:firstLine="560"/>
        <w:jc w:val="center"/>
        <w:rPr>
          <w:rFonts w:ascii="黑体" w:eastAsia="黑体" w:hAnsi="黑体" w:cs="Times New Roman"/>
          <w:sz w:val="28"/>
          <w:szCs w:val="28"/>
        </w:rPr>
      </w:pPr>
      <w:r w:rsidRPr="00367215">
        <w:rPr>
          <w:rFonts w:ascii="黑体" w:eastAsia="黑体" w:hAnsi="黑体" w:cs="Times New Roman" w:hint="eastAsia"/>
          <w:sz w:val="28"/>
          <w:szCs w:val="28"/>
        </w:rPr>
        <w:t>第四章  血液的组成与功能</w:t>
      </w:r>
    </w:p>
    <w:p w14:paraId="51D14049"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【学习目标】</w:t>
      </w:r>
    </w:p>
    <w:p w14:paraId="639C009E"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认知类目标：了解各种血细胞的形态和结构；血细胞生成的调节与破坏；抗凝系统的作用和纤维蛋白溶解；</w:t>
      </w:r>
      <w:r w:rsidRPr="00367215">
        <w:rPr>
          <w:rFonts w:ascii="宋体" w:eastAsia="宋体" w:hAnsi="宋体" w:cs="Times New Roman"/>
          <w:sz w:val="24"/>
          <w:szCs w:val="24"/>
        </w:rPr>
        <w:t>Rh</w:t>
      </w:r>
      <w:r w:rsidRPr="00367215">
        <w:rPr>
          <w:rFonts w:ascii="宋体" w:eastAsia="宋体" w:hAnsi="宋体" w:cs="Times New Roman" w:hint="eastAsia"/>
          <w:sz w:val="24"/>
          <w:szCs w:val="24"/>
        </w:rPr>
        <w:t>血型系统。</w:t>
      </w:r>
    </w:p>
    <w:p w14:paraId="72D08DE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过程与方法类目标：掌握血浆和组织液成分的区别；等渗溶液、等张溶液的概念和区别；血小板的生理功能；生理止血的概念、过程和生理意义；血型、凝集原、凝集素的概念和</w:t>
      </w:r>
      <w:r w:rsidRPr="00367215">
        <w:rPr>
          <w:rFonts w:ascii="宋体" w:eastAsia="宋体" w:hAnsi="宋体" w:cs="Times New Roman"/>
          <w:sz w:val="24"/>
          <w:szCs w:val="24"/>
        </w:rPr>
        <w:t>ABO</w:t>
      </w:r>
      <w:r w:rsidRPr="00367215">
        <w:rPr>
          <w:rFonts w:ascii="宋体" w:eastAsia="宋体" w:hAnsi="宋体" w:cs="Times New Roman" w:hint="eastAsia"/>
          <w:sz w:val="24"/>
          <w:szCs w:val="24"/>
        </w:rPr>
        <w:t>血型系统的划分；输血的原则；交叉配血试验。熟悉血液的组成及理化特性；血细胞的生理特性和功能；血小板在生理止血中的作用；血液凝固的概念、过程；ABO溶血；二次输血与二次妊娠的注意事项。</w:t>
      </w:r>
    </w:p>
    <w:p w14:paraId="45E0D552"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sz w:val="24"/>
          <w:szCs w:val="24"/>
        </w:rPr>
        <w:t xml:space="preserve">3. </w:t>
      </w:r>
      <w:r w:rsidRPr="00367215">
        <w:rPr>
          <w:rFonts w:ascii="宋体" w:eastAsia="宋体" w:hAnsi="宋体" w:cs="Times New Roman" w:hint="eastAsia"/>
          <w:sz w:val="24"/>
          <w:szCs w:val="24"/>
        </w:rPr>
        <w:t>情感、态度、价值观类目标：理解血液对人体的重要性，掌握必要的献血注意事项。</w:t>
      </w:r>
    </w:p>
    <w:p w14:paraId="5D64951C" w14:textId="77777777" w:rsidR="00367215" w:rsidRPr="00367215" w:rsidRDefault="00367215" w:rsidP="00367215">
      <w:pPr>
        <w:spacing w:line="440" w:lineRule="exact"/>
        <w:ind w:firstLineChars="200" w:firstLine="482"/>
        <w:rPr>
          <w:rFonts w:ascii="宋体" w:eastAsia="宋体" w:hAnsi="宋体" w:cs="Times New Roman"/>
          <w:sz w:val="24"/>
          <w:szCs w:val="24"/>
        </w:rPr>
      </w:pPr>
      <w:r w:rsidRPr="00367215">
        <w:rPr>
          <w:rFonts w:ascii="宋体" w:eastAsia="宋体" w:hAnsi="宋体" w:cs="Times New Roman" w:hint="eastAsia"/>
          <w:b/>
          <w:sz w:val="24"/>
          <w:szCs w:val="24"/>
        </w:rPr>
        <w:t>【学习内容】</w:t>
      </w:r>
    </w:p>
    <w:p w14:paraId="76B949B5"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4</w:t>
      </w:r>
      <w:r w:rsidRPr="00367215">
        <w:rPr>
          <w:rFonts w:ascii="宋体" w:eastAsia="宋体" w:hAnsi="宋体" w:cs="Times New Roman"/>
          <w:sz w:val="24"/>
          <w:szCs w:val="24"/>
        </w:rPr>
        <w:t>.1</w:t>
      </w:r>
      <w:r w:rsidRPr="00367215">
        <w:rPr>
          <w:rFonts w:ascii="宋体" w:eastAsia="宋体" w:hAnsi="宋体" w:cs="Times New Roman" w:hint="eastAsia"/>
          <w:sz w:val="24"/>
          <w:szCs w:val="24"/>
        </w:rPr>
        <w:t xml:space="preserve"> 血液组成及理化性质</w:t>
      </w:r>
    </w:p>
    <w:p w14:paraId="3D4D8C3B"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lastRenderedPageBreak/>
        <w:t>4</w:t>
      </w:r>
      <w:r w:rsidRPr="00367215">
        <w:rPr>
          <w:rFonts w:ascii="宋体" w:eastAsia="宋体" w:hAnsi="宋体" w:cs="Times New Roman"/>
          <w:sz w:val="24"/>
          <w:szCs w:val="24"/>
        </w:rPr>
        <w:t>.2</w:t>
      </w:r>
      <w:r w:rsidRPr="00367215">
        <w:rPr>
          <w:rFonts w:ascii="宋体" w:eastAsia="宋体" w:hAnsi="宋体" w:cs="Times New Roman" w:hint="eastAsia"/>
          <w:sz w:val="24"/>
          <w:szCs w:val="24"/>
        </w:rPr>
        <w:t xml:space="preserve"> 血细胞的形态和功能</w:t>
      </w:r>
    </w:p>
    <w:p w14:paraId="6309876D"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4.3 生理止血和血液凝固</w:t>
      </w:r>
    </w:p>
    <w:p w14:paraId="7F9D522F"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4.4 血型和输血</w:t>
      </w:r>
    </w:p>
    <w:p w14:paraId="5166E35D" w14:textId="77777777" w:rsidR="00367215" w:rsidRPr="00367215" w:rsidRDefault="00367215" w:rsidP="00367215">
      <w:pPr>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【重点】</w:t>
      </w:r>
    </w:p>
    <w:p w14:paraId="732D3E39"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1. </w:t>
      </w:r>
      <w:r w:rsidRPr="00367215">
        <w:rPr>
          <w:rFonts w:ascii="宋体" w:eastAsia="宋体" w:hAnsi="宋体" w:cs="Times New Roman"/>
          <w:sz w:val="24"/>
          <w:szCs w:val="24"/>
        </w:rPr>
        <w:t>血液的组成及理化特性；</w:t>
      </w:r>
    </w:p>
    <w:p w14:paraId="29B90FF0"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2. </w:t>
      </w:r>
      <w:r w:rsidRPr="00367215">
        <w:rPr>
          <w:rFonts w:ascii="宋体" w:eastAsia="宋体" w:hAnsi="宋体" w:cs="Times New Roman"/>
          <w:sz w:val="24"/>
          <w:szCs w:val="24"/>
        </w:rPr>
        <w:t>血常规报告单（红细胞、白细胞、血小板的生理功能）</w:t>
      </w:r>
      <w:r w:rsidRPr="00367215">
        <w:rPr>
          <w:rFonts w:ascii="宋体" w:eastAsia="宋体" w:hAnsi="宋体" w:cs="Times New Roman" w:hint="eastAsia"/>
          <w:sz w:val="24"/>
          <w:szCs w:val="24"/>
        </w:rPr>
        <w:t>；</w:t>
      </w:r>
    </w:p>
    <w:p w14:paraId="3BA52E26"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3. 生理止血的过程和生理意义；</w:t>
      </w:r>
    </w:p>
    <w:p w14:paraId="4AE837FA"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4. 血型系统的划分；</w:t>
      </w:r>
    </w:p>
    <w:p w14:paraId="49B8594C"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5. 输血的原则；</w:t>
      </w:r>
    </w:p>
    <w:p w14:paraId="40468C88"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6. 交叉配血试验。</w:t>
      </w:r>
    </w:p>
    <w:p w14:paraId="6D8A01AA" w14:textId="77777777" w:rsidR="00367215" w:rsidRPr="00367215" w:rsidRDefault="00367215" w:rsidP="00367215">
      <w:pPr>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【难点】</w:t>
      </w:r>
    </w:p>
    <w:p w14:paraId="626EC2CD"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 白细胞的形态、分类与生理作用的区别；</w:t>
      </w:r>
    </w:p>
    <w:p w14:paraId="4E342FFA"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内源性凝血激活途径、外源性凝血激活途径的区别；</w:t>
      </w:r>
    </w:p>
    <w:p w14:paraId="43216D2D"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3. 交叉配血试验。</w:t>
      </w:r>
    </w:p>
    <w:p w14:paraId="74662BA4" w14:textId="77777777" w:rsidR="00367215" w:rsidRPr="00367215" w:rsidRDefault="00367215" w:rsidP="00367215">
      <w:pPr>
        <w:spacing w:line="440" w:lineRule="exact"/>
        <w:ind w:firstLineChars="200" w:firstLine="482"/>
        <w:rPr>
          <w:rFonts w:ascii="宋体" w:eastAsia="宋体" w:hAnsi="宋体" w:cs="Times New Roman"/>
          <w:color w:val="FF0000"/>
          <w:sz w:val="24"/>
          <w:szCs w:val="24"/>
        </w:rPr>
      </w:pPr>
      <w:r w:rsidRPr="00367215">
        <w:rPr>
          <w:rFonts w:ascii="宋体" w:eastAsia="宋体" w:hAnsi="宋体" w:cs="Times New Roman" w:hint="eastAsia"/>
          <w:b/>
          <w:bCs/>
          <w:sz w:val="24"/>
          <w:szCs w:val="24"/>
        </w:rPr>
        <w:t>【教学方法】</w:t>
      </w:r>
    </w:p>
    <w:p w14:paraId="0EA519AF" w14:textId="77777777" w:rsidR="00367215" w:rsidRPr="00367215" w:rsidRDefault="00367215" w:rsidP="00367215">
      <w:pPr>
        <w:adjustRightInd w:val="0"/>
        <w:snapToGrid w:val="0"/>
        <w:spacing w:line="440" w:lineRule="exact"/>
        <w:ind w:firstLineChars="200" w:firstLine="480"/>
        <w:rPr>
          <w:rFonts w:ascii="宋体" w:eastAsia="宋体" w:hAnsi="宋体" w:cs="Times New Roman"/>
          <w:color w:val="FF0000"/>
          <w:sz w:val="24"/>
          <w:szCs w:val="24"/>
        </w:rPr>
      </w:pPr>
      <w:r w:rsidRPr="00367215">
        <w:rPr>
          <w:rFonts w:ascii="宋体" w:eastAsia="宋体" w:hAnsi="宋体" w:cs="Times New Roman" w:hint="eastAsia"/>
          <w:sz w:val="24"/>
          <w:szCs w:val="24"/>
        </w:rPr>
        <w:t>1. 通过多媒体课件和传统教学相结合，阐明血液组成及理化性质，生理止血和血液凝固，输血原则等内容，丰富学生课程与教学的基本知识结构；</w:t>
      </w:r>
    </w:p>
    <w:p w14:paraId="6ED6FFA6"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通过案例分析法，分析血常规报告单，并将交叉配</w:t>
      </w:r>
      <w:proofErr w:type="gramStart"/>
      <w:r w:rsidRPr="00367215">
        <w:rPr>
          <w:rFonts w:ascii="宋体" w:eastAsia="宋体" w:hAnsi="宋体" w:cs="Times New Roman" w:hint="eastAsia"/>
          <w:sz w:val="24"/>
          <w:szCs w:val="24"/>
        </w:rPr>
        <w:t>血试验</w:t>
      </w:r>
      <w:proofErr w:type="gramEnd"/>
      <w:r w:rsidRPr="00367215">
        <w:rPr>
          <w:rFonts w:ascii="宋体" w:eastAsia="宋体" w:hAnsi="宋体" w:cs="Times New Roman" w:hint="eastAsia"/>
          <w:sz w:val="24"/>
          <w:szCs w:val="24"/>
        </w:rPr>
        <w:t>与血型推断相结合，突破本章教学过程中的难点内容。</w:t>
      </w:r>
    </w:p>
    <w:p w14:paraId="491A8288" w14:textId="77777777" w:rsidR="00367215" w:rsidRPr="00367215" w:rsidRDefault="00367215" w:rsidP="00367215">
      <w:pPr>
        <w:spacing w:line="440" w:lineRule="exact"/>
        <w:ind w:firstLineChars="200" w:firstLine="482"/>
        <w:rPr>
          <w:rFonts w:ascii="宋体" w:eastAsia="宋体" w:hAnsi="宋体" w:cs="Times New Roman"/>
          <w:bCs/>
          <w:color w:val="FF0000"/>
          <w:sz w:val="24"/>
          <w:szCs w:val="24"/>
        </w:rPr>
      </w:pPr>
      <w:r w:rsidRPr="00367215">
        <w:rPr>
          <w:rFonts w:ascii="宋体" w:eastAsia="宋体" w:hAnsi="宋体" w:cs="Times New Roman" w:hint="eastAsia"/>
          <w:b/>
          <w:sz w:val="24"/>
          <w:szCs w:val="24"/>
        </w:rPr>
        <w:t>【复习思考】</w:t>
      </w:r>
    </w:p>
    <w:p w14:paraId="190E85BB"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 血型系统的划分与血型的推断方法；</w:t>
      </w:r>
    </w:p>
    <w:p w14:paraId="5D2D271B"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交叉配</w:t>
      </w:r>
      <w:proofErr w:type="gramStart"/>
      <w:r w:rsidRPr="00367215">
        <w:rPr>
          <w:rFonts w:ascii="宋体" w:eastAsia="宋体" w:hAnsi="宋体" w:cs="Times New Roman" w:hint="eastAsia"/>
          <w:sz w:val="24"/>
          <w:szCs w:val="24"/>
        </w:rPr>
        <w:t>血试验</w:t>
      </w:r>
      <w:proofErr w:type="gramEnd"/>
      <w:r w:rsidRPr="00367215">
        <w:rPr>
          <w:rFonts w:ascii="宋体" w:eastAsia="宋体" w:hAnsi="宋体" w:cs="Times New Roman" w:hint="eastAsia"/>
          <w:sz w:val="24"/>
          <w:szCs w:val="24"/>
        </w:rPr>
        <w:t>的具体过程。</w:t>
      </w:r>
    </w:p>
    <w:p w14:paraId="28421E49" w14:textId="77777777" w:rsidR="00367215" w:rsidRPr="00367215" w:rsidRDefault="00367215" w:rsidP="00367215">
      <w:pPr>
        <w:spacing w:beforeLines="50" w:before="156" w:afterLines="50" w:after="156" w:line="440" w:lineRule="exact"/>
        <w:ind w:firstLineChars="200" w:firstLine="560"/>
        <w:jc w:val="center"/>
        <w:rPr>
          <w:rFonts w:ascii="黑体" w:eastAsia="黑体" w:hAnsi="黑体" w:cs="Times New Roman"/>
          <w:sz w:val="28"/>
          <w:szCs w:val="28"/>
        </w:rPr>
      </w:pPr>
      <w:r w:rsidRPr="00367215">
        <w:rPr>
          <w:rFonts w:ascii="黑体" w:eastAsia="黑体" w:hAnsi="黑体" w:cs="Times New Roman" w:hint="eastAsia"/>
          <w:sz w:val="28"/>
          <w:szCs w:val="28"/>
        </w:rPr>
        <w:t>第五章  循环系统的结构与功能</w:t>
      </w:r>
    </w:p>
    <w:p w14:paraId="0B90AA71"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【学习目标】</w:t>
      </w:r>
    </w:p>
    <w:p w14:paraId="47E7754F"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认知类目标：淋巴系统的组成与功能；浦肯野细胞和窦房结细胞动作电位产生的离子机制。</w:t>
      </w:r>
    </w:p>
    <w:p w14:paraId="158C43C0"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过程与方法类目标：掌握血液循环的分类与起止点；人体各类血管的功能特点；心肌细胞的分类（</w:t>
      </w:r>
      <w:proofErr w:type="gramStart"/>
      <w:r w:rsidRPr="00367215">
        <w:rPr>
          <w:rFonts w:ascii="宋体" w:eastAsia="宋体" w:hAnsi="宋体" w:cs="Times New Roman" w:hint="eastAsia"/>
          <w:sz w:val="24"/>
          <w:szCs w:val="24"/>
        </w:rPr>
        <w:t>按电生理</w:t>
      </w:r>
      <w:proofErr w:type="gramEnd"/>
      <w:r w:rsidRPr="00367215">
        <w:rPr>
          <w:rFonts w:ascii="宋体" w:eastAsia="宋体" w:hAnsi="宋体" w:cs="Times New Roman" w:hint="eastAsia"/>
          <w:sz w:val="24"/>
          <w:szCs w:val="24"/>
        </w:rPr>
        <w:t>特性分类与按去极化特征分类）；心肌工作细胞（心室肌细胞）动作电位曲线及分期；心肌工作细胞（心室肌细胞）动作电位形成的机制；心肌的电生理特性、机械特性；心肌的电生理特性的衡量指标与影响因素；期前兴奋、期前收缩、代偿性间歇等概念；心肌的收缩特征与心肌结构和电生理特性的关系；心</w:t>
      </w:r>
      <w:r w:rsidRPr="00367215">
        <w:rPr>
          <w:rFonts w:ascii="宋体" w:eastAsia="宋体" w:hAnsi="宋体" w:cs="Times New Roman" w:hint="eastAsia"/>
          <w:sz w:val="24"/>
          <w:szCs w:val="24"/>
        </w:rPr>
        <w:lastRenderedPageBreak/>
        <w:t>脏的泵血过程；心脏泵血过程中心室内压力与动脉血压的周期性变化；心输出量的概念与影响因素；动脉血压的形成及影响因素；心交感神经和心迷走神经对心血管活动的支配；交感缩血管神经对血管的支配；人体的基本心血管中枢——延髓；减压反射的最适宜刺激、反射弧构成、作用过程、生理意义和特征；血管紧张素</w:t>
      </w:r>
      <w:r w:rsidRPr="00367215">
        <w:rPr>
          <w:rFonts w:ascii="宋体" w:eastAsia="宋体" w:hAnsi="宋体" w:cs="Times New Roman"/>
          <w:sz w:val="24"/>
          <w:szCs w:val="24"/>
        </w:rPr>
        <w:t>II</w:t>
      </w:r>
      <w:r w:rsidRPr="00367215">
        <w:rPr>
          <w:rFonts w:ascii="宋体" w:eastAsia="宋体" w:hAnsi="宋体" w:cs="Times New Roman" w:hint="eastAsia"/>
          <w:sz w:val="24"/>
          <w:szCs w:val="24"/>
        </w:rPr>
        <w:t>、肾上腺素、去甲肾上腺素的生理作用。熟悉心血管系统的组成；心的位置、外形、心内各腔形态结构；心传导系统的构成和功能；肝门静脉的组成及主要属支；心肌细胞的结构特征；心肌工作细胞（心室肌细胞）动作电位过程中的电导曲线；浦肯野细胞和窦房结细胞动作电位特征与自律性的关系；心动周期的概念及分期；心输出量、心力储备、心指数、射血分数、博功、异长自身调节、等长自身调节、前负荷、后负荷、心肌收缩力等概念及生理意义；收缩压、舒张压、平均动脉压及脉压的概念；心血管活动的其他神经与体液调节途径；血压长期调节的机制。</w:t>
      </w:r>
    </w:p>
    <w:p w14:paraId="410FCD61"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sz w:val="24"/>
          <w:szCs w:val="24"/>
        </w:rPr>
        <w:t xml:space="preserve">3. </w:t>
      </w:r>
      <w:r w:rsidRPr="00367215">
        <w:rPr>
          <w:rFonts w:ascii="宋体" w:eastAsia="宋体" w:hAnsi="宋体" w:cs="Times New Roman" w:hint="eastAsia"/>
          <w:sz w:val="24"/>
          <w:szCs w:val="24"/>
        </w:rPr>
        <w:t>情感、态度、价值观类目标：理解心血管的功能特点，探索心血管疾病的日常防治要点，养成遇事冷静思考的习惯。</w:t>
      </w:r>
    </w:p>
    <w:p w14:paraId="1646D7A9" w14:textId="77777777" w:rsidR="00367215" w:rsidRPr="00367215" w:rsidRDefault="00367215" w:rsidP="00367215">
      <w:pPr>
        <w:spacing w:line="440" w:lineRule="exact"/>
        <w:ind w:firstLineChars="200" w:firstLine="482"/>
        <w:rPr>
          <w:rFonts w:ascii="宋体" w:eastAsia="宋体" w:hAnsi="宋体" w:cs="Times New Roman"/>
          <w:sz w:val="24"/>
          <w:szCs w:val="24"/>
        </w:rPr>
      </w:pPr>
      <w:r w:rsidRPr="00367215">
        <w:rPr>
          <w:rFonts w:ascii="宋体" w:eastAsia="宋体" w:hAnsi="宋体" w:cs="Times New Roman" w:hint="eastAsia"/>
          <w:b/>
          <w:sz w:val="24"/>
          <w:szCs w:val="24"/>
        </w:rPr>
        <w:t>【学习内容】</w:t>
      </w:r>
    </w:p>
    <w:p w14:paraId="36CC2492"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5</w:t>
      </w:r>
      <w:r w:rsidRPr="00367215">
        <w:rPr>
          <w:rFonts w:ascii="宋体" w:eastAsia="宋体" w:hAnsi="宋体" w:cs="Times New Roman"/>
          <w:sz w:val="24"/>
          <w:szCs w:val="24"/>
        </w:rPr>
        <w:t>.1</w:t>
      </w:r>
      <w:r w:rsidRPr="00367215">
        <w:rPr>
          <w:rFonts w:ascii="宋体" w:eastAsia="宋体" w:hAnsi="宋体" w:cs="Times New Roman" w:hint="eastAsia"/>
          <w:sz w:val="24"/>
          <w:szCs w:val="24"/>
        </w:rPr>
        <w:t xml:space="preserve"> 循环系统的结构</w:t>
      </w:r>
    </w:p>
    <w:p w14:paraId="50A3B50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5</w:t>
      </w:r>
      <w:r w:rsidRPr="00367215">
        <w:rPr>
          <w:rFonts w:ascii="宋体" w:eastAsia="宋体" w:hAnsi="宋体" w:cs="Times New Roman"/>
          <w:sz w:val="24"/>
          <w:szCs w:val="24"/>
        </w:rPr>
        <w:t>.2</w:t>
      </w:r>
      <w:r w:rsidRPr="00367215">
        <w:rPr>
          <w:rFonts w:ascii="宋体" w:eastAsia="宋体" w:hAnsi="宋体" w:cs="Times New Roman" w:hint="eastAsia"/>
          <w:sz w:val="24"/>
          <w:szCs w:val="24"/>
        </w:rPr>
        <w:t xml:space="preserve"> 心脏的生物电活动</w:t>
      </w:r>
    </w:p>
    <w:p w14:paraId="3364AC0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5</w:t>
      </w:r>
      <w:r w:rsidRPr="00367215">
        <w:rPr>
          <w:rFonts w:ascii="宋体" w:eastAsia="宋体" w:hAnsi="宋体" w:cs="Times New Roman"/>
          <w:sz w:val="24"/>
          <w:szCs w:val="24"/>
        </w:rPr>
        <w:t>.3</w:t>
      </w:r>
      <w:r w:rsidRPr="00367215">
        <w:rPr>
          <w:rFonts w:ascii="宋体" w:eastAsia="宋体" w:hAnsi="宋体" w:cs="Times New Roman" w:hint="eastAsia"/>
          <w:sz w:val="24"/>
          <w:szCs w:val="24"/>
        </w:rPr>
        <w:t xml:space="preserve"> 心脏的泵血功能</w:t>
      </w:r>
    </w:p>
    <w:p w14:paraId="38286442"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5.4 血管生理</w:t>
      </w:r>
    </w:p>
    <w:p w14:paraId="009AF80B"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5</w:t>
      </w:r>
      <w:r w:rsidRPr="00367215">
        <w:rPr>
          <w:rFonts w:ascii="宋体" w:eastAsia="宋体" w:hAnsi="宋体" w:cs="Times New Roman"/>
          <w:sz w:val="24"/>
          <w:szCs w:val="24"/>
        </w:rPr>
        <w:t>.5</w:t>
      </w:r>
      <w:r w:rsidRPr="00367215">
        <w:rPr>
          <w:rFonts w:ascii="宋体" w:eastAsia="宋体" w:hAnsi="宋体" w:cs="Times New Roman" w:hint="eastAsia"/>
          <w:sz w:val="24"/>
          <w:szCs w:val="24"/>
        </w:rPr>
        <w:t xml:space="preserve"> 心血管活动的调节</w:t>
      </w:r>
    </w:p>
    <w:p w14:paraId="542A7D16" w14:textId="77777777" w:rsidR="00367215" w:rsidRPr="00367215" w:rsidRDefault="00367215" w:rsidP="00367215">
      <w:pPr>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【重点】</w:t>
      </w:r>
    </w:p>
    <w:p w14:paraId="7D0D8C95"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 循环系统的结构（心内各腔形态结构、心传导系统的构成、肝门静脉的组成及主要属支）；</w:t>
      </w:r>
    </w:p>
    <w:p w14:paraId="0BD72266"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人体各类血管的功能特点；</w:t>
      </w:r>
    </w:p>
    <w:p w14:paraId="574F56AE"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3. 心肌细胞按去极化特征的分类；</w:t>
      </w:r>
    </w:p>
    <w:p w14:paraId="19BD30D2"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4. 心肌工作细胞（心室肌细胞）动作电位曲线的分期、形成机制；</w:t>
      </w:r>
    </w:p>
    <w:p w14:paraId="0A06B971"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5. 心肌的电生理特性的衡量指标与影响因素；</w:t>
      </w:r>
    </w:p>
    <w:p w14:paraId="3F04CCAA"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6. 心肌的收缩特征与心肌结构和电生理特性的关系；</w:t>
      </w:r>
    </w:p>
    <w:p w14:paraId="362C5A78"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7. 心脏的泵血过程；</w:t>
      </w:r>
    </w:p>
    <w:p w14:paraId="5E9776B9"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8. 心输出量的概念与影响因素；</w:t>
      </w:r>
    </w:p>
    <w:p w14:paraId="73B27BD5"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9. 动脉血压的形成及其影响因素；</w:t>
      </w:r>
    </w:p>
    <w:p w14:paraId="21459869"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10. 心交感神经和心迷走神经对心血管活动的支配；</w:t>
      </w:r>
    </w:p>
    <w:p w14:paraId="05F4BBB4"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lastRenderedPageBreak/>
        <w:t>11. 交感缩血管神经对血管的支配；</w:t>
      </w:r>
    </w:p>
    <w:p w14:paraId="18D1ADC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12. 减压反射的最适宜刺激、反射弧构成、作用过程、生理意义和特征；</w:t>
      </w:r>
    </w:p>
    <w:p w14:paraId="3F046669"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13. 肾素-血管紧张素系统对心血管活动的调节；</w:t>
      </w:r>
    </w:p>
    <w:p w14:paraId="26D9B00D"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14. 肾上腺素、去甲肾上腺素的生理作用。</w:t>
      </w:r>
    </w:p>
    <w:p w14:paraId="08439767" w14:textId="77777777" w:rsidR="00367215" w:rsidRPr="00367215" w:rsidRDefault="00367215" w:rsidP="00367215">
      <w:pPr>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【重点】</w:t>
      </w:r>
    </w:p>
    <w:p w14:paraId="2413F222"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 人体各类血管的功能特点；</w:t>
      </w:r>
    </w:p>
    <w:p w14:paraId="2C3CC02B"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2. </w:t>
      </w:r>
      <w:proofErr w:type="gramStart"/>
      <w:r w:rsidRPr="00367215">
        <w:rPr>
          <w:rFonts w:ascii="宋体" w:eastAsia="宋体" w:hAnsi="宋体" w:cs="Times New Roman"/>
          <w:sz w:val="24"/>
          <w:szCs w:val="24"/>
        </w:rPr>
        <w:t>肌</w:t>
      </w:r>
      <w:proofErr w:type="gramEnd"/>
      <w:r w:rsidRPr="00367215">
        <w:rPr>
          <w:rFonts w:ascii="宋体" w:eastAsia="宋体" w:hAnsi="宋体" w:cs="Times New Roman"/>
          <w:sz w:val="24"/>
          <w:szCs w:val="24"/>
        </w:rPr>
        <w:t>工作细胞（心室肌细胞）动作电位形成的机制</w:t>
      </w:r>
      <w:r w:rsidRPr="00367215">
        <w:rPr>
          <w:rFonts w:ascii="宋体" w:eastAsia="宋体" w:hAnsi="宋体" w:cs="Times New Roman" w:hint="eastAsia"/>
          <w:sz w:val="24"/>
          <w:szCs w:val="24"/>
        </w:rPr>
        <w:t>；</w:t>
      </w:r>
    </w:p>
    <w:p w14:paraId="31A505D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3. </w:t>
      </w:r>
      <w:r w:rsidRPr="00367215">
        <w:rPr>
          <w:rFonts w:ascii="宋体" w:eastAsia="宋体" w:hAnsi="宋体" w:cs="Times New Roman"/>
          <w:sz w:val="24"/>
          <w:szCs w:val="24"/>
        </w:rPr>
        <w:t>心肌的电生理特性的衡量指标与影响因素；</w:t>
      </w:r>
    </w:p>
    <w:p w14:paraId="22DDE93E"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4. </w:t>
      </w:r>
      <w:r w:rsidRPr="00367215">
        <w:rPr>
          <w:rFonts w:ascii="宋体" w:eastAsia="宋体" w:hAnsi="宋体" w:cs="Times New Roman"/>
          <w:sz w:val="24"/>
          <w:szCs w:val="24"/>
        </w:rPr>
        <w:t>心肌的收缩特征与心肌结构和电生理特性的关系</w:t>
      </w:r>
      <w:r w:rsidRPr="00367215">
        <w:rPr>
          <w:rFonts w:ascii="宋体" w:eastAsia="宋体" w:hAnsi="宋体" w:cs="Times New Roman" w:hint="eastAsia"/>
          <w:sz w:val="24"/>
          <w:szCs w:val="24"/>
        </w:rPr>
        <w:t>；</w:t>
      </w:r>
    </w:p>
    <w:p w14:paraId="3649A4B9"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5. 心脏泵血过程中心室内压力与动脉血压的周期性变化；</w:t>
      </w:r>
    </w:p>
    <w:p w14:paraId="424125B3"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6. 动脉血压的影响因素；</w:t>
      </w:r>
    </w:p>
    <w:p w14:paraId="58500B5C"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7. 心交感神经与心迷走神经的起源（神经系统的组成）；</w:t>
      </w:r>
    </w:p>
    <w:p w14:paraId="11D09F44"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8. 减压反射的作用特征；</w:t>
      </w:r>
    </w:p>
    <w:p w14:paraId="0B7ABB30"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9. 肾素-血管紧张素系统对心血管活动的调节。</w:t>
      </w:r>
    </w:p>
    <w:p w14:paraId="7E6BDED9" w14:textId="77777777" w:rsidR="00367215" w:rsidRPr="00367215" w:rsidRDefault="00367215" w:rsidP="00367215">
      <w:pPr>
        <w:spacing w:line="440" w:lineRule="exact"/>
        <w:ind w:firstLineChars="200" w:firstLine="482"/>
        <w:rPr>
          <w:rFonts w:ascii="宋体" w:eastAsia="宋体" w:hAnsi="宋体" w:cs="Times New Roman"/>
          <w:color w:val="FF0000"/>
          <w:sz w:val="24"/>
          <w:szCs w:val="24"/>
        </w:rPr>
      </w:pPr>
      <w:r w:rsidRPr="00367215">
        <w:rPr>
          <w:rFonts w:ascii="宋体" w:eastAsia="宋体" w:hAnsi="宋体" w:cs="Times New Roman" w:hint="eastAsia"/>
          <w:b/>
          <w:bCs/>
          <w:sz w:val="24"/>
          <w:szCs w:val="24"/>
        </w:rPr>
        <w:t>【教学方法】</w:t>
      </w:r>
    </w:p>
    <w:p w14:paraId="0B5136CD" w14:textId="77777777" w:rsidR="00367215" w:rsidRPr="00367215" w:rsidRDefault="00367215" w:rsidP="00367215">
      <w:pPr>
        <w:adjustRightInd w:val="0"/>
        <w:snapToGrid w:val="0"/>
        <w:spacing w:line="440" w:lineRule="exact"/>
        <w:ind w:firstLineChars="200" w:firstLine="480"/>
        <w:rPr>
          <w:rFonts w:ascii="宋体" w:eastAsia="宋体" w:hAnsi="宋体" w:cs="Times New Roman"/>
          <w:color w:val="FF0000"/>
          <w:sz w:val="24"/>
          <w:szCs w:val="24"/>
        </w:rPr>
      </w:pPr>
      <w:r w:rsidRPr="00367215">
        <w:rPr>
          <w:rFonts w:ascii="宋体" w:eastAsia="宋体" w:hAnsi="宋体" w:cs="Times New Roman" w:hint="eastAsia"/>
          <w:sz w:val="24"/>
          <w:szCs w:val="24"/>
        </w:rPr>
        <w:t>1. 通过多媒体课件和传统教学相结合，阐明循环系统的结构，心脏的生物电活动与泵血功能，心血管活动的调节等内容，丰富学生课程与教学的基本知识结构；</w:t>
      </w:r>
    </w:p>
    <w:p w14:paraId="45B015A3"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通过讨论法，将日常生活习惯与影响动脉血压的因素相结合，突破本章教学过程中的难点内容，加强学生的知识运用能力。</w:t>
      </w:r>
    </w:p>
    <w:p w14:paraId="0F3AECC7" w14:textId="77777777" w:rsidR="00367215" w:rsidRPr="00367215" w:rsidRDefault="00367215" w:rsidP="00367215">
      <w:pPr>
        <w:spacing w:line="440" w:lineRule="exact"/>
        <w:ind w:firstLineChars="200" w:firstLine="482"/>
        <w:rPr>
          <w:rFonts w:ascii="宋体" w:eastAsia="宋体" w:hAnsi="宋体" w:cs="Times New Roman"/>
          <w:bCs/>
          <w:color w:val="FF0000"/>
          <w:sz w:val="24"/>
          <w:szCs w:val="24"/>
        </w:rPr>
      </w:pPr>
      <w:r w:rsidRPr="00367215">
        <w:rPr>
          <w:rFonts w:ascii="宋体" w:eastAsia="宋体" w:hAnsi="宋体" w:cs="Times New Roman" w:hint="eastAsia"/>
          <w:b/>
          <w:sz w:val="24"/>
          <w:szCs w:val="24"/>
        </w:rPr>
        <w:t>【复习思考】</w:t>
      </w:r>
    </w:p>
    <w:p w14:paraId="629A4A9C"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 人体各类血管的结构特点与生理功能的关系；</w:t>
      </w:r>
    </w:p>
    <w:p w14:paraId="542D24FA"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肝门静脉系统对药物体内过程的影响；</w:t>
      </w:r>
    </w:p>
    <w:p w14:paraId="62F070A5"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3. 骨骼肌、神经、心室肌、窦房结、浦肯野细胞动作电位的区别；</w:t>
      </w:r>
    </w:p>
    <w:p w14:paraId="3D1E6460"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4. 影响动脉血压的因素与心血管疾病的防治。</w:t>
      </w:r>
    </w:p>
    <w:p w14:paraId="51FD8912" w14:textId="77777777" w:rsidR="00367215" w:rsidRPr="00367215" w:rsidRDefault="00367215" w:rsidP="00367215">
      <w:pPr>
        <w:spacing w:beforeLines="50" w:before="156" w:afterLines="50" w:after="156" w:line="440" w:lineRule="exact"/>
        <w:ind w:firstLineChars="200" w:firstLine="560"/>
        <w:jc w:val="center"/>
        <w:rPr>
          <w:rFonts w:ascii="黑体" w:eastAsia="黑体" w:hAnsi="黑体" w:cs="Times New Roman"/>
          <w:sz w:val="28"/>
          <w:szCs w:val="28"/>
        </w:rPr>
      </w:pPr>
      <w:r w:rsidRPr="00367215">
        <w:rPr>
          <w:rFonts w:ascii="黑体" w:eastAsia="黑体" w:hAnsi="黑体" w:cs="Times New Roman" w:hint="eastAsia"/>
          <w:sz w:val="28"/>
          <w:szCs w:val="28"/>
        </w:rPr>
        <w:t>第六章  呼吸系统的结构与功能</w:t>
      </w:r>
    </w:p>
    <w:p w14:paraId="06805B59"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【学习目标】</w:t>
      </w:r>
    </w:p>
    <w:p w14:paraId="053D16B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认知类目标：了解呼吸系统的组成和结构；呼吸的形式；二氧化碳解离曲线；肺牵张反射、呼吸机本体感受性反射、防御性呼吸反射的概念与意义。</w:t>
      </w:r>
    </w:p>
    <w:p w14:paraId="139D127F"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过程与方法类目标：掌握呼吸膜的构成；肺通气的动力；胸膜腔内压的特点、成因与生理意义；肺容量、肺活量、肺通气量与肺泡通气量的概念；影响肺部气体交换的因素；血氧容量、血氧含量、血氧饱和度的概念；氧解离曲线的形状、分段与生</w:t>
      </w:r>
      <w:r w:rsidRPr="00367215">
        <w:rPr>
          <w:rFonts w:ascii="宋体" w:eastAsia="宋体" w:hAnsi="宋体" w:cs="Times New Roman" w:hint="eastAsia"/>
          <w:sz w:val="24"/>
          <w:szCs w:val="24"/>
        </w:rPr>
        <w:lastRenderedPageBreak/>
        <w:t>理意义；产生基本呼吸节律的中枢——延髓；化学感受性反射的化学感受器与最适宜刺激；CO</w:t>
      </w:r>
      <w:r w:rsidRPr="00367215">
        <w:rPr>
          <w:rFonts w:ascii="宋体" w:eastAsia="宋体" w:hAnsi="宋体" w:cs="Times New Roman" w:hint="eastAsia"/>
          <w:sz w:val="24"/>
          <w:szCs w:val="24"/>
          <w:vertAlign w:val="subscript"/>
        </w:rPr>
        <w:t>2</w:t>
      </w:r>
      <w:r w:rsidRPr="00367215">
        <w:rPr>
          <w:rFonts w:ascii="宋体" w:eastAsia="宋体" w:hAnsi="宋体" w:cs="Times New Roman" w:hint="eastAsia"/>
          <w:sz w:val="24"/>
          <w:szCs w:val="24"/>
        </w:rPr>
        <w:t>、H</w:t>
      </w:r>
      <w:r w:rsidRPr="00367215">
        <w:rPr>
          <w:rFonts w:ascii="宋体" w:eastAsia="宋体" w:hAnsi="宋体" w:cs="Times New Roman" w:hint="eastAsia"/>
          <w:sz w:val="24"/>
          <w:szCs w:val="24"/>
          <w:vertAlign w:val="superscript"/>
        </w:rPr>
        <w:t>+</w:t>
      </w:r>
      <w:r w:rsidRPr="00367215">
        <w:rPr>
          <w:rFonts w:ascii="宋体" w:eastAsia="宋体" w:hAnsi="宋体" w:cs="Times New Roman" w:hint="eastAsia"/>
          <w:sz w:val="24"/>
          <w:szCs w:val="24"/>
        </w:rPr>
        <w:t>、低O</w:t>
      </w:r>
      <w:r w:rsidRPr="00367215">
        <w:rPr>
          <w:rFonts w:ascii="宋体" w:eastAsia="宋体" w:hAnsi="宋体" w:cs="Times New Roman" w:hint="eastAsia"/>
          <w:sz w:val="24"/>
          <w:szCs w:val="24"/>
          <w:vertAlign w:val="subscript"/>
        </w:rPr>
        <w:t>2</w:t>
      </w:r>
      <w:r w:rsidRPr="00367215">
        <w:rPr>
          <w:rFonts w:ascii="宋体" w:eastAsia="宋体" w:hAnsi="宋体" w:cs="Times New Roman" w:hint="eastAsia"/>
          <w:sz w:val="24"/>
          <w:szCs w:val="24"/>
        </w:rPr>
        <w:t>在呼吸调节中的作用结果、作用途径。熟悉呼吸的基本过程；肺的结构；肺通气的基本过程；肺通气的阻力；肺泡表面活性物质的生理作用；肺通气功能的评价；肺换气与组织换气的过程；CO</w:t>
      </w:r>
      <w:r w:rsidRPr="00367215">
        <w:rPr>
          <w:rFonts w:ascii="宋体" w:eastAsia="宋体" w:hAnsi="宋体" w:cs="Times New Roman" w:hint="eastAsia"/>
          <w:sz w:val="24"/>
          <w:szCs w:val="24"/>
          <w:vertAlign w:val="subscript"/>
        </w:rPr>
        <w:t>2</w:t>
      </w:r>
      <w:r w:rsidRPr="00367215">
        <w:rPr>
          <w:rFonts w:ascii="宋体" w:eastAsia="宋体" w:hAnsi="宋体" w:cs="Times New Roman" w:hint="eastAsia"/>
          <w:sz w:val="24"/>
          <w:szCs w:val="24"/>
        </w:rPr>
        <w:t>、H</w:t>
      </w:r>
      <w:r w:rsidRPr="00367215">
        <w:rPr>
          <w:rFonts w:ascii="宋体" w:eastAsia="宋体" w:hAnsi="宋体" w:cs="Times New Roman" w:hint="eastAsia"/>
          <w:sz w:val="24"/>
          <w:szCs w:val="24"/>
          <w:vertAlign w:val="superscript"/>
        </w:rPr>
        <w:t>+</w:t>
      </w:r>
      <w:r w:rsidRPr="00367215">
        <w:rPr>
          <w:rFonts w:ascii="宋体" w:eastAsia="宋体" w:hAnsi="宋体" w:cs="Times New Roman" w:hint="eastAsia"/>
          <w:sz w:val="24"/>
          <w:szCs w:val="24"/>
        </w:rPr>
        <w:t>、低O</w:t>
      </w:r>
      <w:r w:rsidRPr="00367215">
        <w:rPr>
          <w:rFonts w:ascii="宋体" w:eastAsia="宋体" w:hAnsi="宋体" w:cs="Times New Roman" w:hint="eastAsia"/>
          <w:sz w:val="24"/>
          <w:szCs w:val="24"/>
          <w:vertAlign w:val="subscript"/>
        </w:rPr>
        <w:t>2</w:t>
      </w:r>
      <w:r w:rsidRPr="00367215">
        <w:rPr>
          <w:rFonts w:ascii="宋体" w:eastAsia="宋体" w:hAnsi="宋体" w:cs="Times New Roman" w:hint="eastAsia"/>
          <w:sz w:val="24"/>
          <w:szCs w:val="24"/>
        </w:rPr>
        <w:t>在呼吸调节中的作用特征。</w:t>
      </w:r>
    </w:p>
    <w:p w14:paraId="0BDB457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sz w:val="24"/>
          <w:szCs w:val="24"/>
        </w:rPr>
        <w:t xml:space="preserve">3. </w:t>
      </w:r>
      <w:r w:rsidRPr="00367215">
        <w:rPr>
          <w:rFonts w:ascii="宋体" w:eastAsia="宋体" w:hAnsi="宋体" w:cs="Times New Roman" w:hint="eastAsia"/>
          <w:sz w:val="24"/>
          <w:szCs w:val="24"/>
        </w:rPr>
        <w:t>情感、态度、价值观类目标：理解呼吸的不同形式与呼吸过程的影响因素，能够主动通过调节呼吸，控制情绪。</w:t>
      </w:r>
    </w:p>
    <w:p w14:paraId="7604A9F6" w14:textId="77777777" w:rsidR="00367215" w:rsidRPr="00367215" w:rsidRDefault="00367215" w:rsidP="00367215">
      <w:pPr>
        <w:spacing w:line="440" w:lineRule="exact"/>
        <w:ind w:firstLineChars="200" w:firstLine="482"/>
        <w:rPr>
          <w:rFonts w:ascii="宋体" w:eastAsia="宋体" w:hAnsi="宋体" w:cs="Times New Roman"/>
          <w:sz w:val="24"/>
          <w:szCs w:val="24"/>
        </w:rPr>
      </w:pPr>
      <w:r w:rsidRPr="00367215">
        <w:rPr>
          <w:rFonts w:ascii="宋体" w:eastAsia="宋体" w:hAnsi="宋体" w:cs="Times New Roman" w:hint="eastAsia"/>
          <w:b/>
          <w:sz w:val="24"/>
          <w:szCs w:val="24"/>
        </w:rPr>
        <w:t>【学习内容】</w:t>
      </w:r>
    </w:p>
    <w:p w14:paraId="2BF94A5D"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6</w:t>
      </w:r>
      <w:r w:rsidRPr="00367215">
        <w:rPr>
          <w:rFonts w:ascii="宋体" w:eastAsia="宋体" w:hAnsi="宋体" w:cs="Times New Roman"/>
          <w:sz w:val="24"/>
          <w:szCs w:val="24"/>
        </w:rPr>
        <w:t>.1</w:t>
      </w:r>
      <w:r w:rsidRPr="00367215">
        <w:rPr>
          <w:rFonts w:ascii="宋体" w:eastAsia="宋体" w:hAnsi="宋体" w:cs="Times New Roman" w:hint="eastAsia"/>
          <w:sz w:val="24"/>
          <w:szCs w:val="24"/>
        </w:rPr>
        <w:t xml:space="preserve"> 呼吸系统的组成和结构</w:t>
      </w:r>
    </w:p>
    <w:p w14:paraId="15A69F5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6</w:t>
      </w:r>
      <w:r w:rsidRPr="00367215">
        <w:rPr>
          <w:rFonts w:ascii="宋体" w:eastAsia="宋体" w:hAnsi="宋体" w:cs="Times New Roman"/>
          <w:sz w:val="24"/>
          <w:szCs w:val="24"/>
        </w:rPr>
        <w:t xml:space="preserve">.2 </w:t>
      </w:r>
      <w:r w:rsidRPr="00367215">
        <w:rPr>
          <w:rFonts w:ascii="宋体" w:eastAsia="宋体" w:hAnsi="宋体" w:cs="Times New Roman" w:hint="eastAsia"/>
          <w:sz w:val="24"/>
          <w:szCs w:val="24"/>
        </w:rPr>
        <w:t>肺通气</w:t>
      </w:r>
    </w:p>
    <w:p w14:paraId="343B8002"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6</w:t>
      </w:r>
      <w:r w:rsidRPr="00367215">
        <w:rPr>
          <w:rFonts w:ascii="宋体" w:eastAsia="宋体" w:hAnsi="宋体" w:cs="Times New Roman"/>
          <w:sz w:val="24"/>
          <w:szCs w:val="24"/>
        </w:rPr>
        <w:t xml:space="preserve">.3 </w:t>
      </w:r>
      <w:r w:rsidRPr="00367215">
        <w:rPr>
          <w:rFonts w:ascii="宋体" w:eastAsia="宋体" w:hAnsi="宋体" w:cs="Times New Roman" w:hint="eastAsia"/>
          <w:sz w:val="24"/>
          <w:szCs w:val="24"/>
        </w:rPr>
        <w:t>肺换气和组织换气</w:t>
      </w:r>
    </w:p>
    <w:p w14:paraId="69AA976E"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6</w:t>
      </w:r>
      <w:r w:rsidRPr="00367215">
        <w:rPr>
          <w:rFonts w:ascii="宋体" w:eastAsia="宋体" w:hAnsi="宋体" w:cs="Times New Roman"/>
          <w:sz w:val="24"/>
          <w:szCs w:val="24"/>
        </w:rPr>
        <w:t xml:space="preserve">.4 </w:t>
      </w:r>
      <w:r w:rsidRPr="00367215">
        <w:rPr>
          <w:rFonts w:ascii="宋体" w:eastAsia="宋体" w:hAnsi="宋体" w:cs="Times New Roman" w:hint="eastAsia"/>
          <w:sz w:val="24"/>
          <w:szCs w:val="24"/>
        </w:rPr>
        <w:t>气体在血液中的运输</w:t>
      </w:r>
    </w:p>
    <w:p w14:paraId="50803479"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6</w:t>
      </w:r>
      <w:r w:rsidRPr="00367215">
        <w:rPr>
          <w:rFonts w:ascii="宋体" w:eastAsia="宋体" w:hAnsi="宋体" w:cs="Times New Roman"/>
          <w:sz w:val="24"/>
          <w:szCs w:val="24"/>
        </w:rPr>
        <w:t xml:space="preserve">.5 </w:t>
      </w:r>
      <w:r w:rsidRPr="00367215">
        <w:rPr>
          <w:rFonts w:ascii="宋体" w:eastAsia="宋体" w:hAnsi="宋体" w:cs="Times New Roman" w:hint="eastAsia"/>
          <w:sz w:val="24"/>
          <w:szCs w:val="24"/>
        </w:rPr>
        <w:t>呼吸运动的调节</w:t>
      </w:r>
    </w:p>
    <w:p w14:paraId="6169D3CE"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【重点】</w:t>
      </w:r>
    </w:p>
    <w:p w14:paraId="33EF7B79" w14:textId="77777777" w:rsidR="00367215" w:rsidRPr="00367215" w:rsidRDefault="00367215" w:rsidP="00367215">
      <w:pPr>
        <w:adjustRightInd w:val="0"/>
        <w:snapToGrid w:val="0"/>
        <w:spacing w:line="440" w:lineRule="exact"/>
        <w:ind w:firstLineChars="196" w:firstLine="470"/>
        <w:rPr>
          <w:rFonts w:ascii="宋体" w:eastAsia="宋体" w:hAnsi="宋体" w:cs="Times New Roman"/>
          <w:sz w:val="24"/>
          <w:szCs w:val="24"/>
        </w:rPr>
      </w:pPr>
      <w:r w:rsidRPr="00367215">
        <w:rPr>
          <w:rFonts w:ascii="宋体" w:eastAsia="宋体" w:hAnsi="宋体" w:cs="Times New Roman" w:hint="eastAsia"/>
          <w:sz w:val="24"/>
          <w:szCs w:val="24"/>
        </w:rPr>
        <w:t>1. 肺的结构、呼吸膜的结构、肺泡表面活性物质；</w:t>
      </w:r>
    </w:p>
    <w:p w14:paraId="0560B18B"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肺通气的基本过程；</w:t>
      </w:r>
    </w:p>
    <w:p w14:paraId="6987DA24" w14:textId="77777777" w:rsidR="00367215" w:rsidRPr="00367215" w:rsidRDefault="00367215" w:rsidP="00367215">
      <w:pPr>
        <w:adjustRightInd w:val="0"/>
        <w:snapToGrid w:val="0"/>
        <w:spacing w:line="440" w:lineRule="exact"/>
        <w:ind w:firstLineChars="196" w:firstLine="470"/>
        <w:rPr>
          <w:rFonts w:ascii="宋体" w:eastAsia="宋体" w:hAnsi="宋体" w:cs="Times New Roman"/>
          <w:sz w:val="24"/>
          <w:szCs w:val="24"/>
        </w:rPr>
      </w:pPr>
      <w:r w:rsidRPr="00367215">
        <w:rPr>
          <w:rFonts w:ascii="宋体" w:eastAsia="宋体" w:hAnsi="宋体" w:cs="Times New Roman" w:hint="eastAsia"/>
          <w:sz w:val="24"/>
          <w:szCs w:val="24"/>
        </w:rPr>
        <w:t>3. 胸膜腔内压的概念、特点、成因与生理意义；</w:t>
      </w:r>
    </w:p>
    <w:p w14:paraId="1BC87D35" w14:textId="77777777" w:rsidR="00367215" w:rsidRPr="00367215" w:rsidRDefault="00367215" w:rsidP="00367215">
      <w:pPr>
        <w:adjustRightInd w:val="0"/>
        <w:snapToGrid w:val="0"/>
        <w:spacing w:line="440" w:lineRule="exact"/>
        <w:ind w:firstLineChars="196" w:firstLine="470"/>
        <w:rPr>
          <w:rFonts w:ascii="宋体" w:eastAsia="宋体" w:hAnsi="宋体" w:cs="Times New Roman"/>
          <w:sz w:val="24"/>
          <w:szCs w:val="24"/>
        </w:rPr>
      </w:pPr>
      <w:r w:rsidRPr="00367215">
        <w:rPr>
          <w:rFonts w:ascii="宋体" w:eastAsia="宋体" w:hAnsi="宋体" w:cs="Times New Roman" w:hint="eastAsia"/>
          <w:sz w:val="24"/>
          <w:szCs w:val="24"/>
        </w:rPr>
        <w:t>4. 肺通气功能的评价指标；</w:t>
      </w:r>
    </w:p>
    <w:p w14:paraId="757823D5"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5. 影响肺部气体交换的因素；</w:t>
      </w:r>
    </w:p>
    <w:p w14:paraId="1D038A75" w14:textId="77777777" w:rsidR="00367215" w:rsidRPr="00367215" w:rsidRDefault="00367215" w:rsidP="00367215">
      <w:pPr>
        <w:adjustRightInd w:val="0"/>
        <w:snapToGrid w:val="0"/>
        <w:spacing w:line="440" w:lineRule="exact"/>
        <w:ind w:firstLineChars="196" w:firstLine="470"/>
        <w:rPr>
          <w:rFonts w:ascii="宋体" w:eastAsia="宋体" w:hAnsi="宋体" w:cs="Times New Roman"/>
          <w:sz w:val="24"/>
          <w:szCs w:val="24"/>
        </w:rPr>
      </w:pPr>
      <w:r w:rsidRPr="00367215">
        <w:rPr>
          <w:rFonts w:ascii="宋体" w:eastAsia="宋体" w:hAnsi="宋体" w:cs="Times New Roman" w:hint="eastAsia"/>
          <w:sz w:val="24"/>
          <w:szCs w:val="24"/>
        </w:rPr>
        <w:t>6. 氧解离曲线；</w:t>
      </w:r>
    </w:p>
    <w:p w14:paraId="2BE36985" w14:textId="77777777" w:rsidR="00367215" w:rsidRPr="00367215" w:rsidRDefault="00367215" w:rsidP="00367215">
      <w:pPr>
        <w:adjustRightInd w:val="0"/>
        <w:snapToGrid w:val="0"/>
        <w:spacing w:line="440" w:lineRule="exact"/>
        <w:ind w:firstLineChars="196" w:firstLine="470"/>
        <w:rPr>
          <w:rFonts w:ascii="宋体" w:eastAsia="宋体" w:hAnsi="宋体" w:cs="Times New Roman"/>
          <w:sz w:val="24"/>
          <w:szCs w:val="24"/>
        </w:rPr>
      </w:pPr>
      <w:r w:rsidRPr="00367215">
        <w:rPr>
          <w:rFonts w:ascii="宋体" w:eastAsia="宋体" w:hAnsi="宋体" w:cs="Times New Roman" w:hint="eastAsia"/>
          <w:sz w:val="24"/>
          <w:szCs w:val="24"/>
        </w:rPr>
        <w:t>7. 化学感受性反射。</w:t>
      </w:r>
    </w:p>
    <w:p w14:paraId="4E53E3F0" w14:textId="77777777" w:rsidR="00367215" w:rsidRPr="00367215" w:rsidRDefault="00367215" w:rsidP="00367215">
      <w:pPr>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【难点】</w:t>
      </w:r>
    </w:p>
    <w:p w14:paraId="035C591D"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 肺通气原动力的理解；</w:t>
      </w:r>
    </w:p>
    <w:p w14:paraId="08D368BB"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2. </w:t>
      </w:r>
      <w:r w:rsidRPr="00367215">
        <w:rPr>
          <w:rFonts w:ascii="宋体" w:eastAsia="宋体" w:hAnsi="宋体" w:cs="Times New Roman"/>
          <w:sz w:val="24"/>
          <w:szCs w:val="24"/>
        </w:rPr>
        <w:t>胸膜腔内压的成因</w:t>
      </w:r>
      <w:r w:rsidRPr="00367215">
        <w:rPr>
          <w:rFonts w:ascii="宋体" w:eastAsia="宋体" w:hAnsi="宋体" w:cs="Times New Roman" w:hint="eastAsia"/>
          <w:sz w:val="24"/>
          <w:szCs w:val="24"/>
        </w:rPr>
        <w:t>；</w:t>
      </w:r>
    </w:p>
    <w:p w14:paraId="31659471"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3. </w:t>
      </w:r>
      <w:r w:rsidRPr="00367215">
        <w:rPr>
          <w:rFonts w:ascii="宋体" w:eastAsia="宋体" w:hAnsi="宋体" w:cs="Times New Roman"/>
          <w:sz w:val="24"/>
          <w:szCs w:val="24"/>
        </w:rPr>
        <w:t>生理无效腔的概念</w:t>
      </w:r>
      <w:r w:rsidRPr="00367215">
        <w:rPr>
          <w:rFonts w:ascii="宋体" w:eastAsia="宋体" w:hAnsi="宋体" w:cs="Times New Roman" w:hint="eastAsia"/>
          <w:sz w:val="24"/>
          <w:szCs w:val="24"/>
        </w:rPr>
        <w:t>；</w:t>
      </w:r>
    </w:p>
    <w:p w14:paraId="20FC89F8"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4. </w:t>
      </w:r>
      <w:r w:rsidRPr="00367215">
        <w:rPr>
          <w:rFonts w:ascii="宋体" w:eastAsia="宋体" w:hAnsi="宋体" w:cs="Times New Roman"/>
          <w:sz w:val="24"/>
          <w:szCs w:val="24"/>
        </w:rPr>
        <w:t>氧解离曲线的分段与生理意义</w:t>
      </w:r>
      <w:r w:rsidRPr="00367215">
        <w:rPr>
          <w:rFonts w:ascii="宋体" w:eastAsia="宋体" w:hAnsi="宋体" w:cs="Times New Roman" w:hint="eastAsia"/>
          <w:sz w:val="24"/>
          <w:szCs w:val="24"/>
        </w:rPr>
        <w:t>；</w:t>
      </w:r>
    </w:p>
    <w:p w14:paraId="1345BD8C"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5. CO</w:t>
      </w:r>
      <w:r w:rsidRPr="00367215">
        <w:rPr>
          <w:rFonts w:ascii="宋体" w:eastAsia="宋体" w:hAnsi="宋体" w:cs="Times New Roman" w:hint="eastAsia"/>
          <w:sz w:val="24"/>
          <w:szCs w:val="24"/>
          <w:vertAlign w:val="subscript"/>
        </w:rPr>
        <w:t>2</w:t>
      </w:r>
      <w:r w:rsidRPr="00367215">
        <w:rPr>
          <w:rFonts w:ascii="宋体" w:eastAsia="宋体" w:hAnsi="宋体" w:cs="Times New Roman" w:hint="eastAsia"/>
          <w:sz w:val="24"/>
          <w:szCs w:val="24"/>
        </w:rPr>
        <w:t>、H</w:t>
      </w:r>
      <w:r w:rsidRPr="00367215">
        <w:rPr>
          <w:rFonts w:ascii="宋体" w:eastAsia="宋体" w:hAnsi="宋体" w:cs="Times New Roman" w:hint="eastAsia"/>
          <w:sz w:val="24"/>
          <w:szCs w:val="24"/>
          <w:vertAlign w:val="superscript"/>
        </w:rPr>
        <w:t>+</w:t>
      </w:r>
      <w:r w:rsidRPr="00367215">
        <w:rPr>
          <w:rFonts w:ascii="宋体" w:eastAsia="宋体" w:hAnsi="宋体" w:cs="Times New Roman" w:hint="eastAsia"/>
          <w:sz w:val="24"/>
          <w:szCs w:val="24"/>
        </w:rPr>
        <w:t>、低O</w:t>
      </w:r>
      <w:r w:rsidRPr="00367215">
        <w:rPr>
          <w:rFonts w:ascii="宋体" w:eastAsia="宋体" w:hAnsi="宋体" w:cs="Times New Roman" w:hint="eastAsia"/>
          <w:sz w:val="24"/>
          <w:szCs w:val="24"/>
          <w:vertAlign w:val="subscript"/>
        </w:rPr>
        <w:t>2</w:t>
      </w:r>
      <w:r w:rsidRPr="00367215">
        <w:rPr>
          <w:rFonts w:ascii="宋体" w:eastAsia="宋体" w:hAnsi="宋体" w:cs="Times New Roman"/>
          <w:sz w:val="24"/>
          <w:szCs w:val="24"/>
        </w:rPr>
        <w:t>在呼吸调节中的作用机制与相互关系</w:t>
      </w:r>
      <w:r w:rsidRPr="00367215">
        <w:rPr>
          <w:rFonts w:ascii="宋体" w:eastAsia="宋体" w:hAnsi="宋体" w:cs="Times New Roman" w:hint="eastAsia"/>
          <w:sz w:val="24"/>
          <w:szCs w:val="24"/>
        </w:rPr>
        <w:t>。</w:t>
      </w:r>
    </w:p>
    <w:p w14:paraId="75855E27"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【教学方法】</w:t>
      </w:r>
    </w:p>
    <w:p w14:paraId="1879E426" w14:textId="77777777" w:rsidR="00367215" w:rsidRPr="00367215" w:rsidRDefault="00367215" w:rsidP="00367215">
      <w:pPr>
        <w:adjustRightInd w:val="0"/>
        <w:snapToGrid w:val="0"/>
        <w:spacing w:line="440" w:lineRule="exact"/>
        <w:ind w:firstLineChars="200" w:firstLine="480"/>
        <w:rPr>
          <w:rFonts w:ascii="宋体" w:eastAsia="宋体" w:hAnsi="宋体" w:cs="Times New Roman"/>
          <w:color w:val="FF0000"/>
          <w:sz w:val="24"/>
          <w:szCs w:val="24"/>
        </w:rPr>
      </w:pPr>
      <w:r w:rsidRPr="00367215">
        <w:rPr>
          <w:rFonts w:ascii="宋体" w:eastAsia="宋体" w:hAnsi="宋体" w:cs="Times New Roman" w:hint="eastAsia"/>
          <w:sz w:val="24"/>
          <w:szCs w:val="24"/>
        </w:rPr>
        <w:t>1. 通过多媒体课件和传统教学相结合，阐明呼吸系统的结构，肺换气和组织换气，气体在血液中的运输，呼吸运动的调节等内容，丰富学生课程与教学的基本知识结构；</w:t>
      </w:r>
    </w:p>
    <w:p w14:paraId="17324186"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通过演示法，帮助学生区分肺通气的原动力与直接动力，理解呼吸的形式，</w:t>
      </w:r>
      <w:r w:rsidRPr="00367215">
        <w:rPr>
          <w:rFonts w:ascii="宋体" w:eastAsia="宋体" w:hAnsi="宋体" w:cs="Times New Roman" w:hint="eastAsia"/>
          <w:sz w:val="24"/>
          <w:szCs w:val="24"/>
        </w:rPr>
        <w:lastRenderedPageBreak/>
        <w:t>海里</w:t>
      </w:r>
      <w:proofErr w:type="gramStart"/>
      <w:r w:rsidRPr="00367215">
        <w:rPr>
          <w:rFonts w:ascii="宋体" w:eastAsia="宋体" w:hAnsi="宋体" w:cs="Times New Roman" w:hint="eastAsia"/>
          <w:sz w:val="24"/>
          <w:szCs w:val="24"/>
        </w:rPr>
        <w:t>姆</w:t>
      </w:r>
      <w:proofErr w:type="gramEnd"/>
      <w:r w:rsidRPr="00367215">
        <w:rPr>
          <w:rFonts w:ascii="宋体" w:eastAsia="宋体" w:hAnsi="宋体" w:cs="Times New Roman" w:hint="eastAsia"/>
          <w:sz w:val="24"/>
          <w:szCs w:val="24"/>
        </w:rPr>
        <w:t>克急救法等，突破本章教学过程中的难点内容的同时，加强学生的知识运用能力。</w:t>
      </w:r>
    </w:p>
    <w:p w14:paraId="7E088299"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【复习思考】</w:t>
      </w:r>
    </w:p>
    <w:p w14:paraId="27872E61"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 肺表面活性物质与新生儿呼吸窘迫综合征的关系；</w:t>
      </w:r>
    </w:p>
    <w:p w14:paraId="080B1064"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氧解离曲线各段的特征与生理意义；</w:t>
      </w:r>
    </w:p>
    <w:p w14:paraId="2B8074F1"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3. 如何理解二氧化碳是呼吸调节过程中最重要的体液因素。</w:t>
      </w:r>
    </w:p>
    <w:p w14:paraId="7A130642" w14:textId="77777777" w:rsidR="00367215" w:rsidRPr="00367215" w:rsidRDefault="00367215" w:rsidP="00367215">
      <w:pPr>
        <w:spacing w:beforeLines="50" w:before="156" w:afterLines="50" w:after="156" w:line="440" w:lineRule="exact"/>
        <w:ind w:firstLineChars="200" w:firstLine="560"/>
        <w:jc w:val="center"/>
        <w:rPr>
          <w:rFonts w:ascii="黑体" w:eastAsia="黑体" w:hAnsi="黑体" w:cs="Times New Roman"/>
          <w:sz w:val="28"/>
          <w:szCs w:val="28"/>
        </w:rPr>
      </w:pPr>
      <w:r w:rsidRPr="00367215">
        <w:rPr>
          <w:rFonts w:ascii="黑体" w:eastAsia="黑体" w:hAnsi="黑体" w:cs="Times New Roman" w:hint="eastAsia"/>
          <w:sz w:val="28"/>
          <w:szCs w:val="28"/>
        </w:rPr>
        <w:t>第七章  消化系统的结构与功能</w:t>
      </w:r>
    </w:p>
    <w:p w14:paraId="46E40178"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【学习目标】</w:t>
      </w:r>
    </w:p>
    <w:p w14:paraId="34193D39"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认知类目标：了解消化道平滑肌的生理特性；消化系统的神经调节；消化期胃液分泌的调节的机制；胃排空影响因素与机制；小肠液的成分和作用；大肠的功能；吸收的途径与方式；主要营养物质的吸收。</w:t>
      </w:r>
    </w:p>
    <w:p w14:paraId="474E8B5F"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过程与方法类目标：掌握胃肠激素的概念；消化、吸收的概念；胃液的成分与各成分的来源、生理作用；消化期胃液分泌的分期、分泌特点、调节特点；胃、小肠的主要运动形式和特有运动形式；胃排空的顺序、原动力、直接动力；胰液的成分和各成分的作用。熟悉消化系统的组成与结构；消化系统的内分泌功能；唾液的生理功能；胃蛋白酶原的功能特点；小肠内消化的概念与重要性；肝脏的主要生理功能；胆汁的成分；回盲括约肌的功能。</w:t>
      </w:r>
    </w:p>
    <w:p w14:paraId="2B45A949"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sz w:val="24"/>
          <w:szCs w:val="24"/>
        </w:rPr>
        <w:t xml:space="preserve">3. </w:t>
      </w:r>
      <w:r w:rsidRPr="00367215">
        <w:rPr>
          <w:rFonts w:ascii="宋体" w:eastAsia="宋体" w:hAnsi="宋体" w:cs="Times New Roman" w:hint="eastAsia"/>
          <w:sz w:val="24"/>
          <w:szCs w:val="24"/>
        </w:rPr>
        <w:t>情感、态度、价值观类目标：理解消化系统的结构与功能特点，养成健康的饮食习惯。</w:t>
      </w:r>
    </w:p>
    <w:p w14:paraId="2A7C0CF8"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【学习内容】</w:t>
      </w:r>
    </w:p>
    <w:p w14:paraId="740A4974" w14:textId="77777777" w:rsidR="00367215" w:rsidRPr="00367215" w:rsidRDefault="00367215" w:rsidP="00367215">
      <w:pPr>
        <w:adjustRightInd w:val="0"/>
        <w:snapToGrid w:val="0"/>
        <w:spacing w:line="440" w:lineRule="exact"/>
        <w:ind w:firstLine="482"/>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 xml:space="preserve">.1 </w:t>
      </w:r>
      <w:r w:rsidRPr="00367215">
        <w:rPr>
          <w:rFonts w:ascii="宋体" w:eastAsia="宋体" w:hAnsi="宋体" w:cs="Times New Roman" w:hint="eastAsia"/>
          <w:sz w:val="24"/>
          <w:szCs w:val="24"/>
        </w:rPr>
        <w:t>消化系统的组成和结构</w:t>
      </w:r>
    </w:p>
    <w:p w14:paraId="49B0CC4B" w14:textId="77777777" w:rsidR="00367215" w:rsidRPr="00367215" w:rsidRDefault="00367215" w:rsidP="00367215">
      <w:pPr>
        <w:adjustRightInd w:val="0"/>
        <w:snapToGrid w:val="0"/>
        <w:spacing w:line="440" w:lineRule="exact"/>
        <w:ind w:firstLine="482"/>
        <w:rPr>
          <w:rFonts w:ascii="宋体" w:eastAsia="宋体" w:hAnsi="宋体" w:cs="Times New Roman"/>
          <w:sz w:val="24"/>
          <w:szCs w:val="24"/>
        </w:rPr>
      </w:pPr>
      <w:r w:rsidRPr="00367215">
        <w:rPr>
          <w:rFonts w:ascii="宋体" w:eastAsia="宋体" w:hAnsi="宋体" w:cs="Times New Roman" w:hint="eastAsia"/>
          <w:sz w:val="24"/>
          <w:szCs w:val="24"/>
        </w:rPr>
        <w:t>7.2 消化系统生理功能概述</w:t>
      </w:r>
    </w:p>
    <w:p w14:paraId="1E9A3B7B" w14:textId="77777777" w:rsidR="00367215" w:rsidRPr="00367215" w:rsidRDefault="00367215" w:rsidP="00367215">
      <w:pPr>
        <w:adjustRightInd w:val="0"/>
        <w:snapToGrid w:val="0"/>
        <w:spacing w:line="440" w:lineRule="exact"/>
        <w:ind w:firstLine="482"/>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.3</w:t>
      </w:r>
      <w:r w:rsidRPr="00367215">
        <w:rPr>
          <w:rFonts w:ascii="宋体" w:eastAsia="宋体" w:hAnsi="宋体" w:cs="Times New Roman" w:hint="eastAsia"/>
          <w:sz w:val="24"/>
          <w:szCs w:val="24"/>
        </w:rPr>
        <w:t xml:space="preserve"> 口腔内消化</w:t>
      </w:r>
    </w:p>
    <w:p w14:paraId="1DE8962F" w14:textId="77777777" w:rsidR="00367215" w:rsidRPr="00367215" w:rsidRDefault="00367215" w:rsidP="00367215">
      <w:pPr>
        <w:adjustRightInd w:val="0"/>
        <w:snapToGrid w:val="0"/>
        <w:spacing w:line="440" w:lineRule="exact"/>
        <w:ind w:firstLine="482"/>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w:t>
      </w:r>
      <w:r w:rsidRPr="00367215">
        <w:rPr>
          <w:rFonts w:ascii="宋体" w:eastAsia="宋体" w:hAnsi="宋体" w:cs="Times New Roman" w:hint="eastAsia"/>
          <w:sz w:val="24"/>
          <w:szCs w:val="24"/>
        </w:rPr>
        <w:t>4 胃内消化</w:t>
      </w:r>
    </w:p>
    <w:p w14:paraId="7ED63AE6" w14:textId="77777777" w:rsidR="00367215" w:rsidRPr="00367215" w:rsidRDefault="00367215" w:rsidP="00367215">
      <w:pPr>
        <w:adjustRightInd w:val="0"/>
        <w:snapToGrid w:val="0"/>
        <w:spacing w:line="440" w:lineRule="exact"/>
        <w:ind w:firstLine="482"/>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w:t>
      </w:r>
      <w:r w:rsidRPr="00367215">
        <w:rPr>
          <w:rFonts w:ascii="宋体" w:eastAsia="宋体" w:hAnsi="宋体" w:cs="Times New Roman" w:hint="eastAsia"/>
          <w:sz w:val="24"/>
          <w:szCs w:val="24"/>
        </w:rPr>
        <w:t>5 小肠内消化</w:t>
      </w:r>
    </w:p>
    <w:p w14:paraId="7B9E81BD" w14:textId="77777777" w:rsidR="00367215" w:rsidRPr="00367215" w:rsidRDefault="00367215" w:rsidP="00367215">
      <w:pPr>
        <w:adjustRightInd w:val="0"/>
        <w:snapToGrid w:val="0"/>
        <w:spacing w:line="440" w:lineRule="exact"/>
        <w:ind w:firstLine="482"/>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w:t>
      </w:r>
      <w:r w:rsidRPr="00367215">
        <w:rPr>
          <w:rFonts w:ascii="宋体" w:eastAsia="宋体" w:hAnsi="宋体" w:cs="Times New Roman" w:hint="eastAsia"/>
          <w:sz w:val="24"/>
          <w:szCs w:val="24"/>
        </w:rPr>
        <w:t>6 大肠的功能</w:t>
      </w:r>
    </w:p>
    <w:p w14:paraId="0AE416FD" w14:textId="77777777" w:rsidR="00367215" w:rsidRPr="00367215" w:rsidRDefault="00367215" w:rsidP="00367215">
      <w:pPr>
        <w:adjustRightInd w:val="0"/>
        <w:snapToGrid w:val="0"/>
        <w:spacing w:line="440" w:lineRule="exact"/>
        <w:ind w:firstLine="482"/>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w:t>
      </w:r>
      <w:r w:rsidRPr="00367215">
        <w:rPr>
          <w:rFonts w:ascii="宋体" w:eastAsia="宋体" w:hAnsi="宋体" w:cs="Times New Roman" w:hint="eastAsia"/>
          <w:sz w:val="24"/>
          <w:szCs w:val="24"/>
        </w:rPr>
        <w:t>7 吸收</w:t>
      </w:r>
    </w:p>
    <w:p w14:paraId="6B52ADF7" w14:textId="77777777" w:rsidR="00367215" w:rsidRPr="00367215" w:rsidRDefault="00367215" w:rsidP="00367215">
      <w:pPr>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【重点】</w:t>
      </w:r>
    </w:p>
    <w:p w14:paraId="5DE8D690"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 胃、小肠、大肠、肝的形态、分部、结构特征；</w:t>
      </w:r>
    </w:p>
    <w:p w14:paraId="487C39A3"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胆汁的分泌与排泄；唾液的生理功能；</w:t>
      </w:r>
    </w:p>
    <w:p w14:paraId="60BC0E8F"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3. 胃液的成分和生理功能；</w:t>
      </w:r>
    </w:p>
    <w:p w14:paraId="298776D1"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lastRenderedPageBreak/>
        <w:t>4. 消化期胃液分泌的调节；</w:t>
      </w:r>
    </w:p>
    <w:p w14:paraId="4CE5F4DC"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5. 胃的运动；</w:t>
      </w:r>
    </w:p>
    <w:p w14:paraId="2CEF79F5"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6. 胰液的成分和生理功能；</w:t>
      </w:r>
    </w:p>
    <w:p w14:paraId="7A268444"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7. 小肠的运动形式。</w:t>
      </w:r>
    </w:p>
    <w:p w14:paraId="32AD23DC" w14:textId="77777777" w:rsidR="00367215" w:rsidRPr="00367215" w:rsidRDefault="00367215" w:rsidP="00367215">
      <w:pPr>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【难点】</w:t>
      </w:r>
    </w:p>
    <w:p w14:paraId="37456BD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 内分泌腺与外分泌腺、管内腺与管外腺的区分；</w:t>
      </w:r>
    </w:p>
    <w:p w14:paraId="7D46E46E"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消化系统的神经调节；</w:t>
      </w:r>
    </w:p>
    <w:p w14:paraId="23B63B2F"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3. </w:t>
      </w:r>
      <w:r w:rsidRPr="00367215">
        <w:rPr>
          <w:rFonts w:ascii="宋体" w:eastAsia="宋体" w:hAnsi="宋体" w:cs="Times New Roman"/>
          <w:sz w:val="24"/>
          <w:szCs w:val="24"/>
        </w:rPr>
        <w:t>胃液的分泌及其调节</w:t>
      </w:r>
      <w:r w:rsidRPr="00367215">
        <w:rPr>
          <w:rFonts w:ascii="宋体" w:eastAsia="宋体" w:hAnsi="宋体" w:cs="Times New Roman" w:hint="eastAsia"/>
          <w:sz w:val="24"/>
          <w:szCs w:val="24"/>
        </w:rPr>
        <w:t>；</w:t>
      </w:r>
    </w:p>
    <w:p w14:paraId="21095138"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4. </w:t>
      </w:r>
      <w:r w:rsidRPr="00367215">
        <w:rPr>
          <w:rFonts w:ascii="宋体" w:eastAsia="宋体" w:hAnsi="宋体" w:cs="Times New Roman"/>
          <w:sz w:val="24"/>
          <w:szCs w:val="24"/>
        </w:rPr>
        <w:t>胃蛋白酶原的功能特点</w:t>
      </w:r>
      <w:r w:rsidRPr="00367215">
        <w:rPr>
          <w:rFonts w:ascii="宋体" w:eastAsia="宋体" w:hAnsi="宋体" w:cs="Times New Roman" w:hint="eastAsia"/>
          <w:sz w:val="24"/>
          <w:szCs w:val="24"/>
        </w:rPr>
        <w:t>；</w:t>
      </w:r>
    </w:p>
    <w:p w14:paraId="7D7D8E55"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5. </w:t>
      </w:r>
      <w:r w:rsidRPr="00367215">
        <w:rPr>
          <w:rFonts w:ascii="宋体" w:eastAsia="宋体" w:hAnsi="宋体" w:cs="Times New Roman"/>
          <w:sz w:val="24"/>
          <w:szCs w:val="24"/>
        </w:rPr>
        <w:t>胰液的成分和生理功能</w:t>
      </w:r>
      <w:r w:rsidRPr="00367215">
        <w:rPr>
          <w:rFonts w:ascii="宋体" w:eastAsia="宋体" w:hAnsi="宋体" w:cs="Times New Roman" w:hint="eastAsia"/>
          <w:sz w:val="24"/>
          <w:szCs w:val="24"/>
        </w:rPr>
        <w:t>。</w:t>
      </w:r>
    </w:p>
    <w:p w14:paraId="54CA4D89" w14:textId="77777777" w:rsidR="00367215" w:rsidRPr="00367215" w:rsidRDefault="00367215" w:rsidP="00367215">
      <w:pPr>
        <w:spacing w:line="440" w:lineRule="exact"/>
        <w:ind w:firstLineChars="200" w:firstLine="482"/>
        <w:rPr>
          <w:rFonts w:ascii="宋体" w:eastAsia="宋体" w:hAnsi="宋体" w:cs="Times New Roman"/>
          <w:color w:val="FF0000"/>
          <w:sz w:val="24"/>
          <w:szCs w:val="24"/>
        </w:rPr>
      </w:pPr>
      <w:r w:rsidRPr="00367215">
        <w:rPr>
          <w:rFonts w:ascii="宋体" w:eastAsia="宋体" w:hAnsi="宋体" w:cs="Times New Roman" w:hint="eastAsia"/>
          <w:b/>
          <w:bCs/>
          <w:sz w:val="24"/>
          <w:szCs w:val="24"/>
        </w:rPr>
        <w:t>【教学方法】</w:t>
      </w:r>
    </w:p>
    <w:p w14:paraId="700D67F1" w14:textId="77777777" w:rsidR="00367215" w:rsidRPr="00367215" w:rsidRDefault="00367215" w:rsidP="00367215">
      <w:pPr>
        <w:adjustRightInd w:val="0"/>
        <w:snapToGrid w:val="0"/>
        <w:spacing w:line="440" w:lineRule="exact"/>
        <w:ind w:firstLineChars="200" w:firstLine="480"/>
        <w:rPr>
          <w:rFonts w:ascii="宋体" w:eastAsia="宋体" w:hAnsi="宋体" w:cs="Times New Roman"/>
          <w:color w:val="FF0000"/>
          <w:sz w:val="24"/>
          <w:szCs w:val="24"/>
        </w:rPr>
      </w:pPr>
      <w:r w:rsidRPr="00367215">
        <w:rPr>
          <w:rFonts w:ascii="宋体" w:eastAsia="宋体" w:hAnsi="宋体" w:cs="Times New Roman" w:hint="eastAsia"/>
          <w:sz w:val="24"/>
          <w:szCs w:val="24"/>
        </w:rPr>
        <w:t>1. 通过多媒体课件和传统教学相结合，阐明消化系统各器官的结构与生理功能等内容，丰富学生课程与教学的基本知识结构；</w:t>
      </w:r>
    </w:p>
    <w:p w14:paraId="4D598D53"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通过演示法，归纳食物在消化系统中经历的全过程，帮助学生生动形象地理解消化系统各器官的功能。</w:t>
      </w:r>
    </w:p>
    <w:p w14:paraId="7F8F7DE5" w14:textId="77777777" w:rsidR="00367215" w:rsidRPr="00367215" w:rsidRDefault="00367215" w:rsidP="00367215">
      <w:pPr>
        <w:spacing w:line="440" w:lineRule="exact"/>
        <w:ind w:firstLineChars="200" w:firstLine="482"/>
        <w:rPr>
          <w:rFonts w:ascii="宋体" w:eastAsia="宋体" w:hAnsi="宋体" w:cs="Times New Roman"/>
          <w:bCs/>
          <w:color w:val="FF0000"/>
          <w:sz w:val="24"/>
          <w:szCs w:val="24"/>
        </w:rPr>
      </w:pPr>
      <w:r w:rsidRPr="00367215">
        <w:rPr>
          <w:rFonts w:ascii="宋体" w:eastAsia="宋体" w:hAnsi="宋体" w:cs="Times New Roman" w:hint="eastAsia"/>
          <w:b/>
          <w:sz w:val="24"/>
          <w:szCs w:val="24"/>
        </w:rPr>
        <w:t>【复习思考】</w:t>
      </w:r>
    </w:p>
    <w:p w14:paraId="3EDDA4BD"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 通过胃液的成分与功能，分析胃切除患者的常见临床症状；</w:t>
      </w:r>
    </w:p>
    <w:p w14:paraId="5805CBE3"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如何理解胰液是人体最重要的消化液；</w:t>
      </w:r>
    </w:p>
    <w:p w14:paraId="716BAC83"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3. 结合小肠的结构特点，分析为何小肠是食物吸收的主要器官。</w:t>
      </w:r>
    </w:p>
    <w:p w14:paraId="4AC610C1" w14:textId="77777777" w:rsidR="00367215" w:rsidRPr="00367215" w:rsidRDefault="00367215" w:rsidP="00367215">
      <w:pPr>
        <w:spacing w:beforeLines="50" w:before="156" w:afterLines="50" w:after="156" w:line="440" w:lineRule="exact"/>
        <w:ind w:firstLineChars="200" w:firstLine="560"/>
        <w:jc w:val="center"/>
        <w:rPr>
          <w:rFonts w:ascii="黑体" w:eastAsia="黑体" w:hAnsi="黑体" w:cs="Times New Roman"/>
          <w:sz w:val="28"/>
          <w:szCs w:val="28"/>
        </w:rPr>
      </w:pPr>
      <w:r w:rsidRPr="00367215">
        <w:rPr>
          <w:rFonts w:ascii="黑体" w:eastAsia="黑体" w:hAnsi="黑体" w:cs="Times New Roman" w:hint="eastAsia"/>
          <w:sz w:val="28"/>
          <w:szCs w:val="28"/>
        </w:rPr>
        <w:t>第八章  泌尿系统的结构与功能</w:t>
      </w:r>
    </w:p>
    <w:p w14:paraId="2B7D9CFF" w14:textId="77777777" w:rsidR="00367215" w:rsidRPr="00367215" w:rsidRDefault="00367215" w:rsidP="00367215">
      <w:pPr>
        <w:adjustRightInd w:val="0"/>
        <w:snapToGrid w:val="0"/>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【学习目标】</w:t>
      </w:r>
    </w:p>
    <w:p w14:paraId="0CFCB729"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认知类目标：了解输尿管、膀胱、尿道的结构；肾皮质不同部位的肾单位和肾血管的结构的不同；肾内自身调节对尿生成的调节作用；血管紧张素Ⅱ对尿生成的调节。</w:t>
      </w:r>
    </w:p>
    <w:p w14:paraId="560B4F2C"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过程与方法类目标：掌握排泄的概念与主要途径；肾单位的组成；球旁细胞、致密斑的概念和生理功能；肾血液循环特点；肾小球滤过、重吸收、分泌的概念；影响肾小球毛细血管滤过的因素；高渗尿（浓缩尿）、低渗尿（稀释尿）、</w:t>
      </w:r>
      <w:proofErr w:type="gramStart"/>
      <w:r w:rsidRPr="00367215">
        <w:rPr>
          <w:rFonts w:ascii="宋体" w:eastAsia="宋体" w:hAnsi="宋体" w:cs="Times New Roman" w:hint="eastAsia"/>
          <w:sz w:val="24"/>
          <w:szCs w:val="24"/>
        </w:rPr>
        <w:t>等渗尿的</w:t>
      </w:r>
      <w:proofErr w:type="gramEnd"/>
      <w:r w:rsidRPr="00367215">
        <w:rPr>
          <w:rFonts w:ascii="宋体" w:eastAsia="宋体" w:hAnsi="宋体" w:cs="Times New Roman" w:hint="eastAsia"/>
          <w:sz w:val="24"/>
          <w:szCs w:val="24"/>
        </w:rPr>
        <w:t>概念；尿浓缩和稀释功能的实现因素——抗利尿激素（ADH）；肾交感神经对尿生成的调节作用；抗利尿激素、肾素、醛固酮对尿生成的作用与影响其分泌的因素。熟悉泌尿系统的组成与各器官的主要功能；肾单位的组成；球旁复合体的结构；尿生成的三个环节和具体过程；肾脏滤过功能的评价；滤过膜的结构组成与特性；肾交感神经对尿生成</w:t>
      </w:r>
      <w:r w:rsidRPr="00367215">
        <w:rPr>
          <w:rFonts w:ascii="宋体" w:eastAsia="宋体" w:hAnsi="宋体" w:cs="Times New Roman" w:hint="eastAsia"/>
          <w:sz w:val="24"/>
          <w:szCs w:val="24"/>
        </w:rPr>
        <w:lastRenderedPageBreak/>
        <w:t>的调节机制；抗利尿激素的作用机理；肾素</w:t>
      </w:r>
      <w:r w:rsidRPr="00367215">
        <w:rPr>
          <w:rFonts w:ascii="宋体" w:eastAsia="宋体" w:hAnsi="宋体" w:cs="Times New Roman"/>
          <w:sz w:val="24"/>
          <w:szCs w:val="24"/>
        </w:rPr>
        <w:t>-</w:t>
      </w:r>
      <w:r w:rsidRPr="00367215">
        <w:rPr>
          <w:rFonts w:ascii="宋体" w:eastAsia="宋体" w:hAnsi="宋体" w:cs="Times New Roman" w:hint="eastAsia"/>
          <w:sz w:val="24"/>
          <w:szCs w:val="24"/>
        </w:rPr>
        <w:t>血管紧张素</w:t>
      </w:r>
      <w:r w:rsidRPr="00367215">
        <w:rPr>
          <w:rFonts w:ascii="宋体" w:eastAsia="宋体" w:hAnsi="宋体" w:cs="Times New Roman"/>
          <w:sz w:val="24"/>
          <w:szCs w:val="24"/>
        </w:rPr>
        <w:t>-</w:t>
      </w:r>
      <w:r w:rsidRPr="00367215">
        <w:rPr>
          <w:rFonts w:ascii="宋体" w:eastAsia="宋体" w:hAnsi="宋体" w:cs="Times New Roman" w:hint="eastAsia"/>
          <w:sz w:val="24"/>
          <w:szCs w:val="24"/>
        </w:rPr>
        <w:t>醛固酮系统的作用机制。</w:t>
      </w:r>
    </w:p>
    <w:p w14:paraId="0AE93C6E"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sz w:val="24"/>
          <w:szCs w:val="24"/>
        </w:rPr>
        <w:t xml:space="preserve">3. </w:t>
      </w:r>
      <w:r w:rsidRPr="00367215">
        <w:rPr>
          <w:rFonts w:ascii="宋体" w:eastAsia="宋体" w:hAnsi="宋体" w:cs="Times New Roman" w:hint="eastAsia"/>
          <w:sz w:val="24"/>
          <w:szCs w:val="24"/>
        </w:rPr>
        <w:t>情感、态度、价值观类目标：理解泌尿系统的结构与功能特点，日常生活中关注肾脏的保健。</w:t>
      </w:r>
    </w:p>
    <w:p w14:paraId="30BFFB96" w14:textId="77777777" w:rsidR="00367215" w:rsidRPr="00367215" w:rsidRDefault="00367215" w:rsidP="00367215">
      <w:pPr>
        <w:spacing w:line="440" w:lineRule="exact"/>
        <w:ind w:firstLineChars="200" w:firstLine="482"/>
        <w:rPr>
          <w:rFonts w:ascii="宋体" w:eastAsia="宋体" w:hAnsi="宋体" w:cs="Times New Roman"/>
          <w:sz w:val="24"/>
          <w:szCs w:val="24"/>
        </w:rPr>
      </w:pPr>
      <w:r w:rsidRPr="00367215">
        <w:rPr>
          <w:rFonts w:ascii="宋体" w:eastAsia="宋体" w:hAnsi="宋体" w:cs="Times New Roman" w:hint="eastAsia"/>
          <w:b/>
          <w:sz w:val="24"/>
          <w:szCs w:val="24"/>
        </w:rPr>
        <w:t>【学习内容】</w:t>
      </w:r>
    </w:p>
    <w:p w14:paraId="5023891A"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8</w:t>
      </w:r>
      <w:r w:rsidRPr="00367215">
        <w:rPr>
          <w:rFonts w:ascii="宋体" w:eastAsia="宋体" w:hAnsi="宋体" w:cs="Times New Roman"/>
          <w:sz w:val="24"/>
          <w:szCs w:val="24"/>
        </w:rPr>
        <w:t>.1</w:t>
      </w:r>
      <w:r w:rsidRPr="00367215">
        <w:rPr>
          <w:rFonts w:ascii="宋体" w:eastAsia="宋体" w:hAnsi="宋体" w:cs="Times New Roman" w:hint="eastAsia"/>
          <w:sz w:val="24"/>
          <w:szCs w:val="24"/>
        </w:rPr>
        <w:t xml:space="preserve"> 泌尿系统的结构</w:t>
      </w:r>
    </w:p>
    <w:p w14:paraId="7E4F7B9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8</w:t>
      </w:r>
      <w:r w:rsidRPr="00367215">
        <w:rPr>
          <w:rFonts w:ascii="宋体" w:eastAsia="宋体" w:hAnsi="宋体" w:cs="Times New Roman"/>
          <w:sz w:val="24"/>
          <w:szCs w:val="24"/>
        </w:rPr>
        <w:t>.</w:t>
      </w:r>
      <w:r w:rsidRPr="00367215">
        <w:rPr>
          <w:rFonts w:ascii="宋体" w:eastAsia="宋体" w:hAnsi="宋体" w:cs="Times New Roman" w:hint="eastAsia"/>
          <w:sz w:val="24"/>
          <w:szCs w:val="24"/>
        </w:rPr>
        <w:t>2 尿生成的过程</w:t>
      </w:r>
    </w:p>
    <w:p w14:paraId="4A454531"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8</w:t>
      </w:r>
      <w:r w:rsidRPr="00367215">
        <w:rPr>
          <w:rFonts w:ascii="宋体" w:eastAsia="宋体" w:hAnsi="宋体" w:cs="Times New Roman"/>
          <w:sz w:val="24"/>
          <w:szCs w:val="24"/>
        </w:rPr>
        <w:t>.</w:t>
      </w:r>
      <w:r w:rsidRPr="00367215">
        <w:rPr>
          <w:rFonts w:ascii="宋体" w:eastAsia="宋体" w:hAnsi="宋体" w:cs="Times New Roman" w:hint="eastAsia"/>
          <w:sz w:val="24"/>
          <w:szCs w:val="24"/>
        </w:rPr>
        <w:t>3 尿生成的调节</w:t>
      </w:r>
    </w:p>
    <w:p w14:paraId="5E7C5406"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8</w:t>
      </w:r>
      <w:r w:rsidRPr="00367215">
        <w:rPr>
          <w:rFonts w:ascii="宋体" w:eastAsia="宋体" w:hAnsi="宋体" w:cs="Times New Roman"/>
          <w:sz w:val="24"/>
          <w:szCs w:val="24"/>
        </w:rPr>
        <w:t>.</w:t>
      </w:r>
      <w:r w:rsidRPr="00367215">
        <w:rPr>
          <w:rFonts w:ascii="宋体" w:eastAsia="宋体" w:hAnsi="宋体" w:cs="Times New Roman" w:hint="eastAsia"/>
          <w:sz w:val="24"/>
          <w:szCs w:val="24"/>
        </w:rPr>
        <w:t>4 肾功能评价</w:t>
      </w:r>
    </w:p>
    <w:p w14:paraId="62B0413F" w14:textId="77777777" w:rsidR="00367215" w:rsidRPr="00367215" w:rsidRDefault="00367215" w:rsidP="00367215">
      <w:pPr>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【重点】</w:t>
      </w:r>
    </w:p>
    <w:p w14:paraId="1EC3EA47"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 肾脏的结构与肾脏血流量的特征；</w:t>
      </w:r>
    </w:p>
    <w:p w14:paraId="5CFF57D8"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肾小球的滤过功能；</w:t>
      </w:r>
    </w:p>
    <w:p w14:paraId="4AD9E032"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3. 有效滤过压的计算；</w:t>
      </w:r>
    </w:p>
    <w:p w14:paraId="237AB921"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4. 影响肾小球毛细血管滤过的因素；</w:t>
      </w:r>
    </w:p>
    <w:p w14:paraId="361CEE19"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5. 肾交感神经对尿生成的调节；</w:t>
      </w:r>
    </w:p>
    <w:p w14:paraId="0EE6F706"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6. 抗利尿激素对尿液生成的调节；</w:t>
      </w:r>
    </w:p>
    <w:p w14:paraId="4D9F4EA9"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7. 肾素</w:t>
      </w:r>
      <w:r w:rsidRPr="00367215">
        <w:rPr>
          <w:rFonts w:ascii="宋体" w:eastAsia="宋体" w:hAnsi="宋体" w:cs="Times New Roman"/>
          <w:sz w:val="24"/>
          <w:szCs w:val="24"/>
        </w:rPr>
        <w:t>-</w:t>
      </w:r>
      <w:r w:rsidRPr="00367215">
        <w:rPr>
          <w:rFonts w:ascii="宋体" w:eastAsia="宋体" w:hAnsi="宋体" w:cs="Times New Roman" w:hint="eastAsia"/>
          <w:sz w:val="24"/>
          <w:szCs w:val="24"/>
        </w:rPr>
        <w:t>血管紧张素</w:t>
      </w:r>
      <w:r w:rsidRPr="00367215">
        <w:rPr>
          <w:rFonts w:ascii="宋体" w:eastAsia="宋体" w:hAnsi="宋体" w:cs="Times New Roman"/>
          <w:sz w:val="24"/>
          <w:szCs w:val="24"/>
        </w:rPr>
        <w:t>-</w:t>
      </w:r>
      <w:r w:rsidRPr="00367215">
        <w:rPr>
          <w:rFonts w:ascii="宋体" w:eastAsia="宋体" w:hAnsi="宋体" w:cs="Times New Roman" w:hint="eastAsia"/>
          <w:sz w:val="24"/>
          <w:szCs w:val="24"/>
        </w:rPr>
        <w:t>醛固酮系统（</w:t>
      </w:r>
      <w:r w:rsidRPr="00367215">
        <w:rPr>
          <w:rFonts w:ascii="宋体" w:eastAsia="宋体" w:hAnsi="宋体" w:cs="Times New Roman"/>
          <w:sz w:val="24"/>
          <w:szCs w:val="24"/>
        </w:rPr>
        <w:t>RAA</w:t>
      </w:r>
      <w:r w:rsidRPr="00367215">
        <w:rPr>
          <w:rFonts w:ascii="宋体" w:eastAsia="宋体" w:hAnsi="宋体" w:cs="Times New Roman" w:hint="eastAsia"/>
          <w:sz w:val="24"/>
          <w:szCs w:val="24"/>
        </w:rPr>
        <w:t>系统）对尿液生成的调节。</w:t>
      </w:r>
    </w:p>
    <w:p w14:paraId="73998D0C" w14:textId="77777777" w:rsidR="00367215" w:rsidRPr="00367215" w:rsidRDefault="00367215" w:rsidP="00367215">
      <w:pPr>
        <w:spacing w:line="440" w:lineRule="exact"/>
        <w:ind w:firstLineChars="200" w:firstLine="482"/>
        <w:rPr>
          <w:rFonts w:ascii="宋体" w:eastAsia="宋体" w:hAnsi="宋体" w:cs="Times New Roman"/>
          <w:b/>
          <w:sz w:val="24"/>
          <w:szCs w:val="24"/>
        </w:rPr>
      </w:pPr>
      <w:r w:rsidRPr="00367215">
        <w:rPr>
          <w:rFonts w:ascii="宋体" w:eastAsia="宋体" w:hAnsi="宋体" w:cs="Times New Roman" w:hint="eastAsia"/>
          <w:b/>
          <w:sz w:val="24"/>
          <w:szCs w:val="24"/>
        </w:rPr>
        <w:t>【难点】</w:t>
      </w:r>
    </w:p>
    <w:p w14:paraId="64C4F586"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 肾脏血流量的特征；滤过膜的结构与特性；</w:t>
      </w:r>
    </w:p>
    <w:p w14:paraId="730C12BB"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有效滤过压的计算与有效滤过面积的理解；</w:t>
      </w:r>
    </w:p>
    <w:p w14:paraId="31379635"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3. 抗利尿剂对尿液的浓缩与稀释的作用机制；</w:t>
      </w:r>
    </w:p>
    <w:p w14:paraId="3C8A35E9"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4. 肾交感神经对尿生成的调节机制；</w:t>
      </w:r>
    </w:p>
    <w:p w14:paraId="1D431080"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5. 抗利尿激素、肾素、醛固酮对尿生成的作用与影响其分泌的因素。</w:t>
      </w:r>
    </w:p>
    <w:p w14:paraId="30DCC4B6" w14:textId="77777777" w:rsidR="00367215" w:rsidRPr="00367215" w:rsidRDefault="00367215" w:rsidP="00367215">
      <w:pPr>
        <w:spacing w:line="440" w:lineRule="exact"/>
        <w:ind w:firstLineChars="200" w:firstLine="482"/>
        <w:rPr>
          <w:rFonts w:ascii="宋体" w:eastAsia="宋体" w:hAnsi="宋体" w:cs="Times New Roman"/>
          <w:color w:val="FF0000"/>
          <w:sz w:val="24"/>
          <w:szCs w:val="24"/>
        </w:rPr>
      </w:pPr>
      <w:r w:rsidRPr="00367215">
        <w:rPr>
          <w:rFonts w:ascii="宋体" w:eastAsia="宋体" w:hAnsi="宋体" w:cs="Times New Roman" w:hint="eastAsia"/>
          <w:b/>
          <w:bCs/>
          <w:sz w:val="24"/>
          <w:szCs w:val="24"/>
        </w:rPr>
        <w:t>【教学方法】</w:t>
      </w:r>
    </w:p>
    <w:p w14:paraId="2073352A" w14:textId="77777777" w:rsidR="00367215" w:rsidRPr="00367215" w:rsidRDefault="00367215" w:rsidP="00367215">
      <w:pPr>
        <w:adjustRightInd w:val="0"/>
        <w:snapToGrid w:val="0"/>
        <w:spacing w:line="440" w:lineRule="exact"/>
        <w:ind w:firstLineChars="200" w:firstLine="480"/>
        <w:rPr>
          <w:rFonts w:ascii="宋体" w:eastAsia="宋体" w:hAnsi="宋体" w:cs="Times New Roman"/>
          <w:color w:val="FF0000"/>
          <w:sz w:val="24"/>
          <w:szCs w:val="24"/>
        </w:rPr>
      </w:pPr>
      <w:r w:rsidRPr="00367215">
        <w:rPr>
          <w:rFonts w:ascii="宋体" w:eastAsia="宋体" w:hAnsi="宋体" w:cs="Times New Roman" w:hint="eastAsia"/>
          <w:sz w:val="24"/>
          <w:szCs w:val="24"/>
        </w:rPr>
        <w:t>1. 通过多媒体课件和传统教学相结合，阐明肾脏系统各器官的结构与功能，尿液的形成过程与调节等内容，丰富学生课程与教学的基本知识结构；</w:t>
      </w:r>
    </w:p>
    <w:p w14:paraId="7ECB44D3"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通过案例分析法，分析尿常规报告单，归纳肾脏疾病与尿液生成过程的关系，增强学生的知识运用能力。</w:t>
      </w:r>
    </w:p>
    <w:p w14:paraId="571C582C" w14:textId="77777777" w:rsidR="00367215" w:rsidRPr="00367215" w:rsidRDefault="00367215" w:rsidP="00367215">
      <w:pPr>
        <w:spacing w:line="440" w:lineRule="exact"/>
        <w:ind w:firstLineChars="200" w:firstLine="482"/>
        <w:rPr>
          <w:rFonts w:ascii="宋体" w:eastAsia="宋体" w:hAnsi="宋体" w:cs="Times New Roman"/>
          <w:bCs/>
          <w:color w:val="FF0000"/>
          <w:sz w:val="24"/>
          <w:szCs w:val="24"/>
        </w:rPr>
      </w:pPr>
      <w:r w:rsidRPr="00367215">
        <w:rPr>
          <w:rFonts w:ascii="宋体" w:eastAsia="宋体" w:hAnsi="宋体" w:cs="Times New Roman" w:hint="eastAsia"/>
          <w:b/>
          <w:sz w:val="24"/>
          <w:szCs w:val="24"/>
        </w:rPr>
        <w:t>【复习思考】</w:t>
      </w:r>
    </w:p>
    <w:p w14:paraId="756F8432"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 肾脏的结构与血流特征；</w:t>
      </w:r>
    </w:p>
    <w:p w14:paraId="522F67CD"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 常见肾脏疾病与肾小球滤过功能的关系；</w:t>
      </w:r>
    </w:p>
    <w:p w14:paraId="7FAE0434" w14:textId="77777777" w:rsidR="00367215" w:rsidRPr="00367215" w:rsidRDefault="00367215" w:rsidP="00367215">
      <w:pPr>
        <w:adjustRightInd w:val="0"/>
        <w:snapToGrid w:val="0"/>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3. 肾素</w:t>
      </w:r>
      <w:r w:rsidRPr="00367215">
        <w:rPr>
          <w:rFonts w:ascii="宋体" w:eastAsia="宋体" w:hAnsi="宋体" w:cs="Times New Roman"/>
          <w:sz w:val="24"/>
          <w:szCs w:val="24"/>
        </w:rPr>
        <w:t>-</w:t>
      </w:r>
      <w:r w:rsidRPr="00367215">
        <w:rPr>
          <w:rFonts w:ascii="宋体" w:eastAsia="宋体" w:hAnsi="宋体" w:cs="Times New Roman" w:hint="eastAsia"/>
          <w:sz w:val="24"/>
          <w:szCs w:val="24"/>
        </w:rPr>
        <w:t>血管紧张素</w:t>
      </w:r>
      <w:r w:rsidRPr="00367215">
        <w:rPr>
          <w:rFonts w:ascii="宋体" w:eastAsia="宋体" w:hAnsi="宋体" w:cs="Times New Roman"/>
          <w:sz w:val="24"/>
          <w:szCs w:val="24"/>
        </w:rPr>
        <w:t>-</w:t>
      </w:r>
      <w:r w:rsidRPr="00367215">
        <w:rPr>
          <w:rFonts w:ascii="宋体" w:eastAsia="宋体" w:hAnsi="宋体" w:cs="Times New Roman" w:hint="eastAsia"/>
          <w:sz w:val="24"/>
          <w:szCs w:val="24"/>
        </w:rPr>
        <w:t>醛固酮系统（</w:t>
      </w:r>
      <w:r w:rsidRPr="00367215">
        <w:rPr>
          <w:rFonts w:ascii="宋体" w:eastAsia="宋体" w:hAnsi="宋体" w:cs="Times New Roman"/>
          <w:sz w:val="24"/>
          <w:szCs w:val="24"/>
        </w:rPr>
        <w:t>RAA</w:t>
      </w:r>
      <w:r w:rsidRPr="00367215">
        <w:rPr>
          <w:rFonts w:ascii="宋体" w:eastAsia="宋体" w:hAnsi="宋体" w:cs="Times New Roman" w:hint="eastAsia"/>
          <w:sz w:val="24"/>
          <w:szCs w:val="24"/>
        </w:rPr>
        <w:t>系统）对人体的意义。</w:t>
      </w:r>
    </w:p>
    <w:p w14:paraId="51E42BD6" w14:textId="77777777" w:rsidR="00367215" w:rsidRPr="00367215" w:rsidRDefault="00367215" w:rsidP="00367215">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367215">
        <w:rPr>
          <w:rFonts w:ascii="黑体" w:eastAsia="黑体" w:hAnsi="黑体" w:cs="Times New Roman" w:hint="eastAsia"/>
          <w:sz w:val="28"/>
          <w:szCs w:val="28"/>
        </w:rPr>
        <w:lastRenderedPageBreak/>
        <w:t xml:space="preserve">（二）课程学习内容与课程学习目标的对应关系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85"/>
        <w:gridCol w:w="2524"/>
        <w:gridCol w:w="1864"/>
        <w:gridCol w:w="1204"/>
      </w:tblGrid>
      <w:tr w:rsidR="00367215" w:rsidRPr="00367215" w14:paraId="24EB61F4" w14:textId="77777777" w:rsidTr="00367215">
        <w:trPr>
          <w:trHeight w:val="660"/>
          <w:jc w:val="center"/>
        </w:trPr>
        <w:tc>
          <w:tcPr>
            <w:tcW w:w="3403" w:type="dxa"/>
            <w:vAlign w:val="center"/>
          </w:tcPr>
          <w:p w14:paraId="39728EC7" w14:textId="77777777" w:rsidR="00367215" w:rsidRPr="00367215" w:rsidRDefault="00367215" w:rsidP="00367215">
            <w:pPr>
              <w:spacing w:line="440" w:lineRule="exact"/>
              <w:jc w:val="center"/>
              <w:rPr>
                <w:rFonts w:ascii="宋体" w:eastAsia="宋体" w:hAnsi="宋体" w:cs="Times New Roman"/>
                <w:b/>
                <w:bCs/>
                <w:sz w:val="24"/>
                <w:szCs w:val="24"/>
              </w:rPr>
            </w:pPr>
            <w:r w:rsidRPr="00367215">
              <w:rPr>
                <w:rFonts w:ascii="宋体" w:eastAsia="宋体" w:hAnsi="宋体" w:cs="Times New Roman" w:hint="eastAsia"/>
                <w:b/>
                <w:bCs/>
                <w:sz w:val="24"/>
                <w:szCs w:val="24"/>
              </w:rPr>
              <w:t>课程学习内容</w:t>
            </w:r>
          </w:p>
        </w:tc>
        <w:tc>
          <w:tcPr>
            <w:tcW w:w="2693" w:type="dxa"/>
            <w:vAlign w:val="center"/>
          </w:tcPr>
          <w:p w14:paraId="7ADC408E" w14:textId="77777777" w:rsidR="00367215" w:rsidRPr="00367215" w:rsidRDefault="00367215" w:rsidP="00367215">
            <w:pPr>
              <w:spacing w:line="440" w:lineRule="exact"/>
              <w:jc w:val="center"/>
              <w:rPr>
                <w:rFonts w:ascii="宋体" w:eastAsia="宋体" w:hAnsi="宋体" w:cs="Times New Roman"/>
                <w:b/>
                <w:bCs/>
                <w:sz w:val="24"/>
                <w:szCs w:val="24"/>
              </w:rPr>
            </w:pPr>
            <w:r w:rsidRPr="00367215">
              <w:rPr>
                <w:rFonts w:ascii="宋体" w:eastAsia="宋体" w:hAnsi="宋体" w:cs="Times New Roman" w:hint="eastAsia"/>
                <w:b/>
                <w:bCs/>
                <w:sz w:val="24"/>
                <w:szCs w:val="24"/>
              </w:rPr>
              <w:t>教学方法</w:t>
            </w:r>
          </w:p>
        </w:tc>
        <w:tc>
          <w:tcPr>
            <w:tcW w:w="1985" w:type="dxa"/>
            <w:vAlign w:val="center"/>
          </w:tcPr>
          <w:p w14:paraId="6EA586BD" w14:textId="77777777" w:rsidR="00367215" w:rsidRPr="00367215" w:rsidRDefault="00367215" w:rsidP="00367215">
            <w:pPr>
              <w:spacing w:line="440" w:lineRule="exact"/>
              <w:jc w:val="center"/>
              <w:rPr>
                <w:rFonts w:ascii="宋体" w:eastAsia="宋体" w:hAnsi="宋体" w:cs="Times New Roman"/>
                <w:b/>
                <w:bCs/>
                <w:sz w:val="24"/>
                <w:szCs w:val="24"/>
              </w:rPr>
            </w:pPr>
            <w:r w:rsidRPr="00367215">
              <w:rPr>
                <w:rFonts w:ascii="宋体" w:eastAsia="宋体" w:hAnsi="宋体" w:cs="Times New Roman" w:hint="eastAsia"/>
                <w:b/>
                <w:bCs/>
                <w:sz w:val="24"/>
                <w:szCs w:val="24"/>
              </w:rPr>
              <w:t>支撑的课程目标</w:t>
            </w:r>
          </w:p>
        </w:tc>
        <w:tc>
          <w:tcPr>
            <w:tcW w:w="1276" w:type="dxa"/>
            <w:vAlign w:val="center"/>
          </w:tcPr>
          <w:p w14:paraId="5F2EE3F0" w14:textId="77777777" w:rsidR="00367215" w:rsidRPr="00367215" w:rsidRDefault="00367215" w:rsidP="00367215">
            <w:pPr>
              <w:spacing w:line="440" w:lineRule="exact"/>
              <w:jc w:val="center"/>
              <w:rPr>
                <w:rFonts w:ascii="宋体" w:eastAsia="宋体" w:hAnsi="宋体" w:cs="Times New Roman"/>
                <w:b/>
                <w:bCs/>
                <w:sz w:val="24"/>
                <w:szCs w:val="24"/>
              </w:rPr>
            </w:pPr>
            <w:r w:rsidRPr="00367215">
              <w:rPr>
                <w:rFonts w:ascii="宋体" w:eastAsia="宋体" w:hAnsi="宋体" w:cs="Times New Roman" w:hint="eastAsia"/>
                <w:b/>
                <w:bCs/>
                <w:sz w:val="24"/>
                <w:szCs w:val="24"/>
              </w:rPr>
              <w:t>学时安排</w:t>
            </w:r>
          </w:p>
        </w:tc>
      </w:tr>
      <w:tr w:rsidR="00367215" w:rsidRPr="00367215" w14:paraId="58547EE0" w14:textId="77777777" w:rsidTr="00367215">
        <w:trPr>
          <w:trHeight w:val="514"/>
          <w:jc w:val="center"/>
        </w:trPr>
        <w:tc>
          <w:tcPr>
            <w:tcW w:w="3403" w:type="dxa"/>
            <w:vAlign w:val="center"/>
          </w:tcPr>
          <w:p w14:paraId="75199977" w14:textId="77777777" w:rsidR="00367215" w:rsidRPr="00367215" w:rsidRDefault="00367215" w:rsidP="00367215">
            <w:pPr>
              <w:spacing w:line="440" w:lineRule="exact"/>
              <w:jc w:val="left"/>
              <w:rPr>
                <w:rFonts w:ascii="宋体" w:eastAsia="宋体" w:hAnsi="宋体" w:cs="Times New Roman"/>
                <w:sz w:val="24"/>
                <w:szCs w:val="24"/>
              </w:rPr>
            </w:pPr>
            <w:r w:rsidRPr="00367215">
              <w:rPr>
                <w:rFonts w:ascii="宋体" w:eastAsia="宋体" w:hAnsi="宋体" w:cs="Times New Roman" w:hint="eastAsia"/>
                <w:sz w:val="24"/>
                <w:szCs w:val="24"/>
              </w:rPr>
              <w:t>第一章 绪论</w:t>
            </w:r>
          </w:p>
        </w:tc>
        <w:tc>
          <w:tcPr>
            <w:tcW w:w="2693" w:type="dxa"/>
            <w:vAlign w:val="center"/>
          </w:tcPr>
          <w:p w14:paraId="72216389"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讲授法、案例法</w:t>
            </w:r>
          </w:p>
        </w:tc>
        <w:tc>
          <w:tcPr>
            <w:tcW w:w="1985" w:type="dxa"/>
            <w:vAlign w:val="center"/>
          </w:tcPr>
          <w:p w14:paraId="05F481F9"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课程</w:t>
            </w:r>
            <w:r w:rsidRPr="00367215">
              <w:rPr>
                <w:rFonts w:ascii="宋体" w:eastAsia="宋体" w:hAnsi="宋体" w:cs="Times New Roman"/>
                <w:sz w:val="24"/>
                <w:szCs w:val="24"/>
              </w:rPr>
              <w:t>目标</w:t>
            </w:r>
            <w:r w:rsidRPr="00367215">
              <w:rPr>
                <w:rFonts w:ascii="宋体" w:eastAsia="宋体" w:hAnsi="宋体" w:cs="Times New Roman" w:hint="eastAsia"/>
                <w:sz w:val="24"/>
                <w:szCs w:val="24"/>
              </w:rPr>
              <w:t>1</w:t>
            </w:r>
          </w:p>
        </w:tc>
        <w:tc>
          <w:tcPr>
            <w:tcW w:w="1276" w:type="dxa"/>
            <w:vAlign w:val="center"/>
          </w:tcPr>
          <w:p w14:paraId="102AE309"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2</w:t>
            </w:r>
          </w:p>
        </w:tc>
      </w:tr>
      <w:tr w:rsidR="00367215" w:rsidRPr="00367215" w14:paraId="5D3533E9" w14:textId="77777777" w:rsidTr="00367215">
        <w:trPr>
          <w:trHeight w:val="90"/>
          <w:jc w:val="center"/>
        </w:trPr>
        <w:tc>
          <w:tcPr>
            <w:tcW w:w="3403" w:type="dxa"/>
            <w:vAlign w:val="center"/>
          </w:tcPr>
          <w:p w14:paraId="3C943077" w14:textId="77777777" w:rsidR="00367215" w:rsidRPr="00367215" w:rsidRDefault="00367215" w:rsidP="00367215">
            <w:pPr>
              <w:spacing w:line="440" w:lineRule="exact"/>
              <w:jc w:val="left"/>
              <w:rPr>
                <w:rFonts w:ascii="宋体" w:eastAsia="宋体" w:hAnsi="宋体" w:cs="Times New Roman"/>
                <w:sz w:val="24"/>
                <w:szCs w:val="24"/>
              </w:rPr>
            </w:pPr>
            <w:r w:rsidRPr="00367215">
              <w:rPr>
                <w:rFonts w:ascii="宋体" w:eastAsia="宋体" w:hAnsi="宋体" w:cs="Times New Roman" w:hint="eastAsia"/>
                <w:sz w:val="24"/>
                <w:szCs w:val="24"/>
              </w:rPr>
              <w:t>第二章 人体的基本组成</w:t>
            </w:r>
          </w:p>
        </w:tc>
        <w:tc>
          <w:tcPr>
            <w:tcW w:w="2693" w:type="dxa"/>
            <w:vAlign w:val="center"/>
          </w:tcPr>
          <w:p w14:paraId="1C141DF3" w14:textId="77777777" w:rsidR="00367215" w:rsidRPr="00367215" w:rsidRDefault="00367215" w:rsidP="00367215">
            <w:pPr>
              <w:spacing w:line="440" w:lineRule="exact"/>
              <w:jc w:val="center"/>
              <w:rPr>
                <w:rFonts w:ascii="宋体" w:eastAsia="宋体" w:hAnsi="宋体" w:cs="Times New Roman"/>
                <w:color w:val="FF0000"/>
                <w:sz w:val="24"/>
                <w:szCs w:val="24"/>
              </w:rPr>
            </w:pPr>
            <w:r w:rsidRPr="00367215">
              <w:rPr>
                <w:rFonts w:ascii="宋体" w:eastAsia="宋体" w:hAnsi="宋体" w:cs="Times New Roman" w:hint="eastAsia"/>
                <w:sz w:val="24"/>
                <w:szCs w:val="24"/>
              </w:rPr>
              <w:t>讲授法、比较法</w:t>
            </w:r>
          </w:p>
        </w:tc>
        <w:tc>
          <w:tcPr>
            <w:tcW w:w="1985" w:type="dxa"/>
          </w:tcPr>
          <w:p w14:paraId="4ACDA927"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课程</w:t>
            </w:r>
            <w:r w:rsidRPr="00367215">
              <w:rPr>
                <w:rFonts w:ascii="宋体" w:eastAsia="宋体" w:hAnsi="宋体" w:cs="Times New Roman"/>
                <w:sz w:val="24"/>
                <w:szCs w:val="24"/>
              </w:rPr>
              <w:t>目标</w:t>
            </w:r>
            <w:r w:rsidRPr="00367215">
              <w:rPr>
                <w:rFonts w:ascii="宋体" w:eastAsia="宋体" w:hAnsi="宋体" w:cs="Times New Roman" w:hint="eastAsia"/>
                <w:sz w:val="24"/>
                <w:szCs w:val="24"/>
              </w:rPr>
              <w:t>1、3</w:t>
            </w:r>
          </w:p>
        </w:tc>
        <w:tc>
          <w:tcPr>
            <w:tcW w:w="1276" w:type="dxa"/>
            <w:vAlign w:val="center"/>
          </w:tcPr>
          <w:p w14:paraId="4EDF07A5"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1</w:t>
            </w:r>
          </w:p>
        </w:tc>
      </w:tr>
      <w:tr w:rsidR="00367215" w:rsidRPr="00367215" w14:paraId="1EBA07C8" w14:textId="77777777" w:rsidTr="00367215">
        <w:trPr>
          <w:jc w:val="center"/>
        </w:trPr>
        <w:tc>
          <w:tcPr>
            <w:tcW w:w="3403" w:type="dxa"/>
            <w:vAlign w:val="center"/>
          </w:tcPr>
          <w:p w14:paraId="5D154BDB" w14:textId="77777777" w:rsidR="00367215" w:rsidRPr="00367215" w:rsidRDefault="00367215" w:rsidP="00367215">
            <w:pPr>
              <w:spacing w:line="440" w:lineRule="exact"/>
              <w:jc w:val="left"/>
              <w:rPr>
                <w:rFonts w:ascii="宋体" w:eastAsia="宋体" w:hAnsi="宋体" w:cs="Times New Roman"/>
                <w:sz w:val="24"/>
                <w:szCs w:val="24"/>
              </w:rPr>
            </w:pPr>
            <w:r w:rsidRPr="00367215">
              <w:rPr>
                <w:rFonts w:ascii="宋体" w:eastAsia="宋体" w:hAnsi="宋体" w:cs="Times New Roman" w:hint="eastAsia"/>
                <w:sz w:val="24"/>
                <w:szCs w:val="24"/>
              </w:rPr>
              <w:t>第三章 细胞的基本功能</w:t>
            </w:r>
          </w:p>
        </w:tc>
        <w:tc>
          <w:tcPr>
            <w:tcW w:w="2693" w:type="dxa"/>
            <w:vAlign w:val="center"/>
          </w:tcPr>
          <w:p w14:paraId="150C0513" w14:textId="77777777" w:rsidR="00367215" w:rsidRPr="00367215" w:rsidRDefault="00367215" w:rsidP="00367215">
            <w:pPr>
              <w:spacing w:line="440" w:lineRule="exact"/>
              <w:jc w:val="center"/>
              <w:rPr>
                <w:rFonts w:ascii="宋体" w:eastAsia="宋体" w:hAnsi="宋体" w:cs="Times New Roman"/>
                <w:color w:val="FF0000"/>
                <w:sz w:val="24"/>
                <w:szCs w:val="24"/>
              </w:rPr>
            </w:pPr>
            <w:r w:rsidRPr="00367215">
              <w:rPr>
                <w:rFonts w:ascii="宋体" w:eastAsia="宋体" w:hAnsi="宋体" w:cs="Times New Roman" w:hint="eastAsia"/>
                <w:sz w:val="24"/>
                <w:szCs w:val="24"/>
              </w:rPr>
              <w:t>讲授法、演示法</w:t>
            </w:r>
          </w:p>
        </w:tc>
        <w:tc>
          <w:tcPr>
            <w:tcW w:w="1985" w:type="dxa"/>
          </w:tcPr>
          <w:p w14:paraId="092B6EB1"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课程</w:t>
            </w:r>
            <w:r w:rsidRPr="00367215">
              <w:rPr>
                <w:rFonts w:ascii="宋体" w:eastAsia="宋体" w:hAnsi="宋体" w:cs="Times New Roman"/>
                <w:sz w:val="24"/>
                <w:szCs w:val="24"/>
              </w:rPr>
              <w:t>目标</w:t>
            </w:r>
            <w:r w:rsidRPr="00367215">
              <w:rPr>
                <w:rFonts w:ascii="宋体" w:eastAsia="宋体" w:hAnsi="宋体" w:cs="Times New Roman" w:hint="eastAsia"/>
                <w:sz w:val="24"/>
                <w:szCs w:val="24"/>
              </w:rPr>
              <w:t>1、2、3</w:t>
            </w:r>
          </w:p>
        </w:tc>
        <w:tc>
          <w:tcPr>
            <w:tcW w:w="1276" w:type="dxa"/>
            <w:vAlign w:val="center"/>
          </w:tcPr>
          <w:p w14:paraId="62422609"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7</w:t>
            </w:r>
          </w:p>
        </w:tc>
      </w:tr>
      <w:tr w:rsidR="00367215" w:rsidRPr="00367215" w14:paraId="70F7AE78" w14:textId="77777777" w:rsidTr="00367215">
        <w:trPr>
          <w:jc w:val="center"/>
        </w:trPr>
        <w:tc>
          <w:tcPr>
            <w:tcW w:w="3403" w:type="dxa"/>
            <w:vAlign w:val="center"/>
          </w:tcPr>
          <w:p w14:paraId="61C93555" w14:textId="77777777" w:rsidR="00367215" w:rsidRPr="00367215" w:rsidRDefault="00367215" w:rsidP="00367215">
            <w:pPr>
              <w:spacing w:line="440" w:lineRule="exact"/>
              <w:jc w:val="left"/>
              <w:rPr>
                <w:rFonts w:ascii="宋体" w:eastAsia="宋体" w:hAnsi="宋体" w:cs="Times New Roman"/>
                <w:sz w:val="24"/>
                <w:szCs w:val="24"/>
              </w:rPr>
            </w:pPr>
            <w:r w:rsidRPr="00367215">
              <w:rPr>
                <w:rFonts w:ascii="宋体" w:eastAsia="宋体" w:hAnsi="宋体" w:cs="Times New Roman" w:hint="eastAsia"/>
                <w:sz w:val="24"/>
                <w:szCs w:val="24"/>
              </w:rPr>
              <w:t>第四章 血液的组成与功能</w:t>
            </w:r>
          </w:p>
        </w:tc>
        <w:tc>
          <w:tcPr>
            <w:tcW w:w="2693" w:type="dxa"/>
            <w:vAlign w:val="center"/>
          </w:tcPr>
          <w:p w14:paraId="7F0FE820" w14:textId="77777777" w:rsidR="00367215" w:rsidRPr="00367215" w:rsidRDefault="00367215" w:rsidP="00367215">
            <w:pPr>
              <w:spacing w:line="440" w:lineRule="exact"/>
              <w:jc w:val="center"/>
              <w:rPr>
                <w:rFonts w:ascii="宋体" w:eastAsia="宋体" w:hAnsi="宋体" w:cs="Times New Roman"/>
                <w:color w:val="FF0000"/>
                <w:sz w:val="24"/>
                <w:szCs w:val="24"/>
              </w:rPr>
            </w:pPr>
            <w:r w:rsidRPr="00367215">
              <w:rPr>
                <w:rFonts w:ascii="宋体" w:eastAsia="宋体" w:hAnsi="宋体" w:cs="Times New Roman" w:hint="eastAsia"/>
                <w:sz w:val="24"/>
                <w:szCs w:val="24"/>
              </w:rPr>
              <w:t>讲授法、案例法</w:t>
            </w:r>
          </w:p>
        </w:tc>
        <w:tc>
          <w:tcPr>
            <w:tcW w:w="1985" w:type="dxa"/>
          </w:tcPr>
          <w:p w14:paraId="20490332"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课程</w:t>
            </w:r>
            <w:r w:rsidRPr="00367215">
              <w:rPr>
                <w:rFonts w:ascii="宋体" w:eastAsia="宋体" w:hAnsi="宋体" w:cs="Times New Roman"/>
                <w:sz w:val="24"/>
                <w:szCs w:val="24"/>
              </w:rPr>
              <w:t>目标</w:t>
            </w:r>
            <w:r w:rsidRPr="00367215">
              <w:rPr>
                <w:rFonts w:ascii="宋体" w:eastAsia="宋体" w:hAnsi="宋体" w:cs="Times New Roman" w:hint="eastAsia"/>
                <w:sz w:val="24"/>
                <w:szCs w:val="24"/>
              </w:rPr>
              <w:t>1、3</w:t>
            </w:r>
          </w:p>
        </w:tc>
        <w:tc>
          <w:tcPr>
            <w:tcW w:w="1276" w:type="dxa"/>
            <w:vAlign w:val="center"/>
          </w:tcPr>
          <w:p w14:paraId="2C0C5A79"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2</w:t>
            </w:r>
          </w:p>
        </w:tc>
      </w:tr>
      <w:tr w:rsidR="00367215" w:rsidRPr="00367215" w14:paraId="51DC150A" w14:textId="77777777" w:rsidTr="00367215">
        <w:trPr>
          <w:jc w:val="center"/>
        </w:trPr>
        <w:tc>
          <w:tcPr>
            <w:tcW w:w="3403" w:type="dxa"/>
            <w:vAlign w:val="center"/>
          </w:tcPr>
          <w:p w14:paraId="68ED1B9D" w14:textId="77777777" w:rsidR="00367215" w:rsidRPr="00367215" w:rsidRDefault="00367215" w:rsidP="00367215">
            <w:pPr>
              <w:spacing w:line="440" w:lineRule="exact"/>
              <w:jc w:val="left"/>
              <w:rPr>
                <w:rFonts w:ascii="宋体" w:eastAsia="宋体" w:hAnsi="宋体" w:cs="Times New Roman"/>
                <w:sz w:val="24"/>
                <w:szCs w:val="24"/>
              </w:rPr>
            </w:pPr>
            <w:r w:rsidRPr="00367215">
              <w:rPr>
                <w:rFonts w:ascii="宋体" w:eastAsia="宋体" w:hAnsi="宋体" w:cs="Times New Roman" w:hint="eastAsia"/>
                <w:sz w:val="24"/>
                <w:szCs w:val="24"/>
              </w:rPr>
              <w:t>第五章 循环系统的结构与功能</w:t>
            </w:r>
          </w:p>
        </w:tc>
        <w:tc>
          <w:tcPr>
            <w:tcW w:w="2693" w:type="dxa"/>
            <w:vAlign w:val="center"/>
          </w:tcPr>
          <w:p w14:paraId="6B495722"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讲授法、讨论法</w:t>
            </w:r>
          </w:p>
        </w:tc>
        <w:tc>
          <w:tcPr>
            <w:tcW w:w="1985" w:type="dxa"/>
          </w:tcPr>
          <w:p w14:paraId="77A0B247"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课程</w:t>
            </w:r>
            <w:r w:rsidRPr="00367215">
              <w:rPr>
                <w:rFonts w:ascii="宋体" w:eastAsia="宋体" w:hAnsi="宋体" w:cs="Times New Roman"/>
                <w:sz w:val="24"/>
                <w:szCs w:val="24"/>
              </w:rPr>
              <w:t>目标</w:t>
            </w:r>
            <w:r w:rsidRPr="00367215">
              <w:rPr>
                <w:rFonts w:ascii="宋体" w:eastAsia="宋体" w:hAnsi="宋体" w:cs="Times New Roman" w:hint="eastAsia"/>
                <w:sz w:val="24"/>
                <w:szCs w:val="24"/>
              </w:rPr>
              <w:t>1、2、3</w:t>
            </w:r>
          </w:p>
        </w:tc>
        <w:tc>
          <w:tcPr>
            <w:tcW w:w="1276" w:type="dxa"/>
            <w:vAlign w:val="center"/>
          </w:tcPr>
          <w:p w14:paraId="6AE4429B"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8</w:t>
            </w:r>
          </w:p>
        </w:tc>
      </w:tr>
      <w:tr w:rsidR="00367215" w:rsidRPr="00367215" w14:paraId="1320513F" w14:textId="77777777" w:rsidTr="00367215">
        <w:trPr>
          <w:jc w:val="center"/>
        </w:trPr>
        <w:tc>
          <w:tcPr>
            <w:tcW w:w="3403" w:type="dxa"/>
            <w:vAlign w:val="center"/>
          </w:tcPr>
          <w:p w14:paraId="03200DA8" w14:textId="77777777" w:rsidR="00367215" w:rsidRPr="00367215" w:rsidRDefault="00367215" w:rsidP="00367215">
            <w:pPr>
              <w:spacing w:line="440" w:lineRule="exact"/>
              <w:jc w:val="left"/>
              <w:rPr>
                <w:rFonts w:ascii="宋体" w:eastAsia="宋体" w:hAnsi="宋体" w:cs="Times New Roman"/>
                <w:sz w:val="24"/>
                <w:szCs w:val="24"/>
              </w:rPr>
            </w:pPr>
            <w:r w:rsidRPr="00367215">
              <w:rPr>
                <w:rFonts w:ascii="宋体" w:eastAsia="宋体" w:hAnsi="宋体" w:cs="Times New Roman" w:hint="eastAsia"/>
                <w:sz w:val="24"/>
                <w:szCs w:val="24"/>
              </w:rPr>
              <w:t>第六章 呼吸系统的结构与功能</w:t>
            </w:r>
          </w:p>
        </w:tc>
        <w:tc>
          <w:tcPr>
            <w:tcW w:w="2693" w:type="dxa"/>
            <w:vAlign w:val="center"/>
          </w:tcPr>
          <w:p w14:paraId="7FB8A485"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讲授法、演示法</w:t>
            </w:r>
          </w:p>
        </w:tc>
        <w:tc>
          <w:tcPr>
            <w:tcW w:w="1985" w:type="dxa"/>
          </w:tcPr>
          <w:p w14:paraId="698C6EE3"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课程</w:t>
            </w:r>
            <w:r w:rsidRPr="00367215">
              <w:rPr>
                <w:rFonts w:ascii="宋体" w:eastAsia="宋体" w:hAnsi="宋体" w:cs="Times New Roman"/>
                <w:sz w:val="24"/>
                <w:szCs w:val="24"/>
              </w:rPr>
              <w:t>目标</w:t>
            </w:r>
            <w:r w:rsidRPr="00367215">
              <w:rPr>
                <w:rFonts w:ascii="宋体" w:eastAsia="宋体" w:hAnsi="宋体" w:cs="Times New Roman" w:hint="eastAsia"/>
                <w:sz w:val="24"/>
                <w:szCs w:val="24"/>
              </w:rPr>
              <w:t>1、3</w:t>
            </w:r>
          </w:p>
        </w:tc>
        <w:tc>
          <w:tcPr>
            <w:tcW w:w="1276" w:type="dxa"/>
            <w:vAlign w:val="center"/>
          </w:tcPr>
          <w:p w14:paraId="4B86F2E0"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4</w:t>
            </w:r>
          </w:p>
        </w:tc>
      </w:tr>
      <w:tr w:rsidR="00367215" w:rsidRPr="00367215" w14:paraId="361562E2" w14:textId="77777777" w:rsidTr="00367215">
        <w:trPr>
          <w:jc w:val="center"/>
        </w:trPr>
        <w:tc>
          <w:tcPr>
            <w:tcW w:w="3403" w:type="dxa"/>
            <w:vAlign w:val="center"/>
          </w:tcPr>
          <w:p w14:paraId="59D99781" w14:textId="77777777" w:rsidR="00367215" w:rsidRPr="00367215" w:rsidRDefault="00367215" w:rsidP="00367215">
            <w:pPr>
              <w:spacing w:line="440" w:lineRule="exact"/>
              <w:jc w:val="left"/>
              <w:rPr>
                <w:rFonts w:ascii="宋体" w:eastAsia="宋体" w:hAnsi="宋体" w:cs="Times New Roman"/>
                <w:sz w:val="24"/>
                <w:szCs w:val="24"/>
              </w:rPr>
            </w:pPr>
            <w:r w:rsidRPr="00367215">
              <w:rPr>
                <w:rFonts w:ascii="宋体" w:eastAsia="宋体" w:hAnsi="宋体" w:cs="Times New Roman" w:hint="eastAsia"/>
                <w:sz w:val="24"/>
                <w:szCs w:val="24"/>
              </w:rPr>
              <w:t>第七章 消化系统的结构与功能</w:t>
            </w:r>
          </w:p>
        </w:tc>
        <w:tc>
          <w:tcPr>
            <w:tcW w:w="2693" w:type="dxa"/>
            <w:vAlign w:val="center"/>
          </w:tcPr>
          <w:p w14:paraId="0B9623DB"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讲授法、演示法</w:t>
            </w:r>
          </w:p>
        </w:tc>
        <w:tc>
          <w:tcPr>
            <w:tcW w:w="1985" w:type="dxa"/>
          </w:tcPr>
          <w:p w14:paraId="19EA42EE"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课程</w:t>
            </w:r>
            <w:r w:rsidRPr="00367215">
              <w:rPr>
                <w:rFonts w:ascii="宋体" w:eastAsia="宋体" w:hAnsi="宋体" w:cs="Times New Roman"/>
                <w:sz w:val="24"/>
                <w:szCs w:val="24"/>
              </w:rPr>
              <w:t>目标</w:t>
            </w:r>
            <w:r w:rsidRPr="00367215">
              <w:rPr>
                <w:rFonts w:ascii="宋体" w:eastAsia="宋体" w:hAnsi="宋体" w:cs="Times New Roman" w:hint="eastAsia"/>
                <w:sz w:val="24"/>
                <w:szCs w:val="24"/>
              </w:rPr>
              <w:t>1、3</w:t>
            </w:r>
          </w:p>
        </w:tc>
        <w:tc>
          <w:tcPr>
            <w:tcW w:w="1276" w:type="dxa"/>
            <w:vAlign w:val="center"/>
          </w:tcPr>
          <w:p w14:paraId="4B166B0B"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4</w:t>
            </w:r>
          </w:p>
        </w:tc>
      </w:tr>
      <w:tr w:rsidR="00367215" w:rsidRPr="00367215" w14:paraId="2016701D" w14:textId="77777777" w:rsidTr="00367215">
        <w:trPr>
          <w:jc w:val="center"/>
        </w:trPr>
        <w:tc>
          <w:tcPr>
            <w:tcW w:w="3403" w:type="dxa"/>
            <w:vAlign w:val="center"/>
          </w:tcPr>
          <w:p w14:paraId="6D7F426E" w14:textId="77777777" w:rsidR="00367215" w:rsidRPr="00367215" w:rsidRDefault="00367215" w:rsidP="00367215">
            <w:pPr>
              <w:spacing w:line="440" w:lineRule="exact"/>
              <w:jc w:val="left"/>
              <w:rPr>
                <w:rFonts w:ascii="宋体" w:eastAsia="宋体" w:hAnsi="宋体" w:cs="Times New Roman"/>
                <w:sz w:val="24"/>
                <w:szCs w:val="24"/>
              </w:rPr>
            </w:pPr>
            <w:r w:rsidRPr="00367215">
              <w:rPr>
                <w:rFonts w:ascii="宋体" w:eastAsia="宋体" w:hAnsi="宋体" w:cs="Times New Roman" w:hint="eastAsia"/>
                <w:sz w:val="24"/>
                <w:szCs w:val="24"/>
              </w:rPr>
              <w:t>第八章 泌尿系统的结构与功能</w:t>
            </w:r>
          </w:p>
        </w:tc>
        <w:tc>
          <w:tcPr>
            <w:tcW w:w="2693" w:type="dxa"/>
            <w:vAlign w:val="center"/>
          </w:tcPr>
          <w:p w14:paraId="462456FE"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讲授法、案例法</w:t>
            </w:r>
          </w:p>
        </w:tc>
        <w:tc>
          <w:tcPr>
            <w:tcW w:w="1985" w:type="dxa"/>
          </w:tcPr>
          <w:p w14:paraId="7B2A30CD"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课程</w:t>
            </w:r>
            <w:r w:rsidRPr="00367215">
              <w:rPr>
                <w:rFonts w:ascii="宋体" w:eastAsia="宋体" w:hAnsi="宋体" w:cs="Times New Roman"/>
                <w:sz w:val="24"/>
                <w:szCs w:val="24"/>
              </w:rPr>
              <w:t>目标</w:t>
            </w:r>
            <w:r w:rsidRPr="00367215">
              <w:rPr>
                <w:rFonts w:ascii="宋体" w:eastAsia="宋体" w:hAnsi="宋体" w:cs="Times New Roman" w:hint="eastAsia"/>
                <w:sz w:val="24"/>
                <w:szCs w:val="24"/>
              </w:rPr>
              <w:t>1、3</w:t>
            </w:r>
          </w:p>
        </w:tc>
        <w:tc>
          <w:tcPr>
            <w:tcW w:w="1276" w:type="dxa"/>
            <w:vAlign w:val="center"/>
          </w:tcPr>
          <w:p w14:paraId="1C9F2335"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4</w:t>
            </w:r>
          </w:p>
        </w:tc>
      </w:tr>
      <w:tr w:rsidR="00367215" w:rsidRPr="00367215" w14:paraId="4E7D5568" w14:textId="77777777" w:rsidTr="00367215">
        <w:trPr>
          <w:jc w:val="center"/>
        </w:trPr>
        <w:tc>
          <w:tcPr>
            <w:tcW w:w="8081" w:type="dxa"/>
            <w:gridSpan w:val="3"/>
            <w:vAlign w:val="center"/>
          </w:tcPr>
          <w:p w14:paraId="17D7C36E" w14:textId="77777777" w:rsidR="00367215" w:rsidRPr="00367215" w:rsidRDefault="00367215" w:rsidP="00367215">
            <w:pPr>
              <w:spacing w:line="440" w:lineRule="exact"/>
              <w:jc w:val="center"/>
              <w:rPr>
                <w:rFonts w:ascii="宋体" w:eastAsia="宋体" w:hAnsi="宋体" w:cs="Times New Roman"/>
                <w:b/>
                <w:sz w:val="24"/>
                <w:szCs w:val="24"/>
              </w:rPr>
            </w:pPr>
            <w:r w:rsidRPr="00367215">
              <w:rPr>
                <w:rFonts w:ascii="宋体" w:eastAsia="宋体" w:hAnsi="宋体" w:cs="Times New Roman" w:hint="eastAsia"/>
                <w:b/>
                <w:sz w:val="24"/>
                <w:szCs w:val="24"/>
              </w:rPr>
              <w:t>合计</w:t>
            </w:r>
          </w:p>
        </w:tc>
        <w:tc>
          <w:tcPr>
            <w:tcW w:w="1276" w:type="dxa"/>
            <w:vAlign w:val="center"/>
          </w:tcPr>
          <w:p w14:paraId="4B7123F5" w14:textId="77777777" w:rsidR="00367215" w:rsidRPr="00367215" w:rsidRDefault="00367215" w:rsidP="00367215">
            <w:pPr>
              <w:spacing w:line="440" w:lineRule="exact"/>
              <w:jc w:val="center"/>
              <w:rPr>
                <w:rFonts w:ascii="宋体" w:eastAsia="宋体" w:hAnsi="宋体" w:cs="Times New Roman"/>
                <w:sz w:val="24"/>
                <w:szCs w:val="24"/>
              </w:rPr>
            </w:pPr>
            <w:r w:rsidRPr="00367215">
              <w:rPr>
                <w:rFonts w:ascii="宋体" w:eastAsia="宋体" w:hAnsi="宋体" w:cs="Times New Roman" w:hint="eastAsia"/>
                <w:sz w:val="24"/>
                <w:szCs w:val="24"/>
              </w:rPr>
              <w:t>32</w:t>
            </w:r>
          </w:p>
        </w:tc>
      </w:tr>
    </w:tbl>
    <w:p w14:paraId="394243BC" w14:textId="77777777" w:rsidR="00367215" w:rsidRPr="00367215" w:rsidRDefault="00367215" w:rsidP="00C63ECC">
      <w:pPr>
        <w:pStyle w:val="afc"/>
      </w:pPr>
      <w:r w:rsidRPr="00367215">
        <w:rPr>
          <w:rFonts w:hint="eastAsia"/>
        </w:rPr>
        <w:t>四、课程考核及与课程学习目标的对应关系</w:t>
      </w:r>
    </w:p>
    <w:p w14:paraId="3E2D4BAE" w14:textId="77777777" w:rsidR="00367215" w:rsidRPr="00367215" w:rsidRDefault="00367215" w:rsidP="00367215">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367215">
        <w:rPr>
          <w:rFonts w:ascii="黑体" w:eastAsia="黑体" w:hAnsi="黑体" w:cs="Times New Roman" w:hint="eastAsia"/>
          <w:sz w:val="28"/>
          <w:szCs w:val="28"/>
        </w:rPr>
        <w:t>（一）课程考核内容与课程学习目标的对应关系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47"/>
        <w:gridCol w:w="7430"/>
      </w:tblGrid>
      <w:tr w:rsidR="00367215" w:rsidRPr="00367215" w14:paraId="6537660A" w14:textId="77777777" w:rsidTr="00367215">
        <w:trPr>
          <w:trHeight w:val="515"/>
          <w:jc w:val="center"/>
        </w:trPr>
        <w:tc>
          <w:tcPr>
            <w:tcW w:w="1422" w:type="dxa"/>
          </w:tcPr>
          <w:p w14:paraId="6ABD1784" w14:textId="77777777" w:rsidR="00367215" w:rsidRPr="00367215" w:rsidRDefault="00367215" w:rsidP="00367215">
            <w:pPr>
              <w:spacing w:line="440" w:lineRule="exact"/>
              <w:jc w:val="center"/>
              <w:rPr>
                <w:rFonts w:ascii="宋体" w:eastAsia="宋体" w:hAnsi="宋体" w:cs="Times New Roman"/>
                <w:b/>
                <w:sz w:val="24"/>
                <w:szCs w:val="24"/>
              </w:rPr>
            </w:pPr>
            <w:r w:rsidRPr="00367215">
              <w:rPr>
                <w:rFonts w:ascii="宋体" w:eastAsia="宋体" w:hAnsi="宋体" w:cs="Times New Roman" w:hint="eastAsia"/>
                <w:b/>
                <w:sz w:val="24"/>
                <w:szCs w:val="24"/>
              </w:rPr>
              <w:t>课程目标</w:t>
            </w:r>
          </w:p>
        </w:tc>
        <w:tc>
          <w:tcPr>
            <w:tcW w:w="7918" w:type="dxa"/>
            <w:vAlign w:val="center"/>
          </w:tcPr>
          <w:p w14:paraId="733C23D4" w14:textId="77777777" w:rsidR="00367215" w:rsidRPr="00367215" w:rsidRDefault="00367215" w:rsidP="00367215">
            <w:pPr>
              <w:spacing w:line="440" w:lineRule="exact"/>
              <w:jc w:val="center"/>
              <w:rPr>
                <w:rFonts w:ascii="宋体" w:eastAsia="宋体" w:hAnsi="宋体" w:cs="Times New Roman"/>
                <w:b/>
                <w:sz w:val="24"/>
                <w:szCs w:val="24"/>
              </w:rPr>
            </w:pPr>
            <w:r w:rsidRPr="00367215">
              <w:rPr>
                <w:rFonts w:ascii="宋体" w:eastAsia="宋体" w:hAnsi="宋体" w:cs="Times New Roman" w:hint="eastAsia"/>
                <w:b/>
                <w:sz w:val="24"/>
                <w:szCs w:val="24"/>
              </w:rPr>
              <w:t>考核内容</w:t>
            </w:r>
          </w:p>
        </w:tc>
      </w:tr>
      <w:tr w:rsidR="00367215" w:rsidRPr="00367215" w14:paraId="146C1028" w14:textId="77777777" w:rsidTr="00367215">
        <w:trPr>
          <w:jc w:val="center"/>
        </w:trPr>
        <w:tc>
          <w:tcPr>
            <w:tcW w:w="1422" w:type="dxa"/>
            <w:vAlign w:val="center"/>
          </w:tcPr>
          <w:p w14:paraId="19526860"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课程目标1</w:t>
            </w:r>
          </w:p>
        </w:tc>
        <w:tc>
          <w:tcPr>
            <w:tcW w:w="7918" w:type="dxa"/>
            <w:vAlign w:val="center"/>
          </w:tcPr>
          <w:p w14:paraId="097ADD15"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sz w:val="24"/>
                <w:szCs w:val="24"/>
              </w:rPr>
              <w:t>1.1</w:t>
            </w:r>
            <w:r w:rsidRPr="00367215">
              <w:rPr>
                <w:rFonts w:ascii="宋体" w:eastAsia="宋体" w:hAnsi="宋体" w:cs="Times New Roman" w:hint="eastAsia"/>
                <w:sz w:val="24"/>
                <w:szCs w:val="24"/>
              </w:rPr>
              <w:t xml:space="preserve"> </w:t>
            </w:r>
            <w:r w:rsidRPr="00367215">
              <w:rPr>
                <w:rFonts w:ascii="宋体" w:eastAsia="宋体" w:hAnsi="宋体" w:cs="Times New Roman"/>
                <w:sz w:val="24"/>
                <w:szCs w:val="24"/>
              </w:rPr>
              <w:t>人体解剖生理学概述</w:t>
            </w:r>
          </w:p>
          <w:p w14:paraId="49801691"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sz w:val="24"/>
                <w:szCs w:val="24"/>
              </w:rPr>
              <w:t>1.2</w:t>
            </w:r>
            <w:r w:rsidRPr="00367215">
              <w:rPr>
                <w:rFonts w:ascii="宋体" w:eastAsia="宋体" w:hAnsi="宋体" w:cs="Times New Roman" w:hint="eastAsia"/>
                <w:sz w:val="24"/>
                <w:szCs w:val="24"/>
              </w:rPr>
              <w:t xml:space="preserve"> </w:t>
            </w:r>
            <w:r w:rsidRPr="00367215">
              <w:rPr>
                <w:rFonts w:ascii="宋体" w:eastAsia="宋体" w:hAnsi="宋体" w:cs="Times New Roman"/>
                <w:sz w:val="24"/>
                <w:szCs w:val="24"/>
              </w:rPr>
              <w:t>生理学研究的基本范畴</w:t>
            </w:r>
          </w:p>
          <w:p w14:paraId="51EE8B65"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 xml:space="preserve">1.3 </w:t>
            </w:r>
            <w:r w:rsidRPr="00367215">
              <w:rPr>
                <w:rFonts w:ascii="宋体" w:eastAsia="宋体" w:hAnsi="宋体" w:cs="Times New Roman"/>
                <w:sz w:val="24"/>
                <w:szCs w:val="24"/>
              </w:rPr>
              <w:t>解剖学的基本术语</w:t>
            </w:r>
          </w:p>
          <w:p w14:paraId="47668FE9"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sz w:val="24"/>
                <w:szCs w:val="24"/>
              </w:rPr>
              <w:t>2.1</w:t>
            </w:r>
            <w:r w:rsidRPr="00367215">
              <w:rPr>
                <w:rFonts w:ascii="宋体" w:eastAsia="宋体" w:hAnsi="宋体" w:cs="Times New Roman" w:hint="eastAsia"/>
                <w:sz w:val="24"/>
                <w:szCs w:val="24"/>
              </w:rPr>
              <w:t xml:space="preserve"> 细胞</w:t>
            </w:r>
          </w:p>
          <w:p w14:paraId="44ABBEE7"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sz w:val="24"/>
                <w:szCs w:val="24"/>
              </w:rPr>
              <w:t>2.2</w:t>
            </w:r>
            <w:r w:rsidRPr="00367215">
              <w:rPr>
                <w:rFonts w:ascii="宋体" w:eastAsia="宋体" w:hAnsi="宋体" w:cs="Times New Roman" w:hint="eastAsia"/>
                <w:sz w:val="24"/>
                <w:szCs w:val="24"/>
              </w:rPr>
              <w:t xml:space="preserve"> 组织</w:t>
            </w:r>
          </w:p>
          <w:p w14:paraId="0BC774EB"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sz w:val="24"/>
                <w:szCs w:val="24"/>
              </w:rPr>
              <w:t>3.1</w:t>
            </w:r>
            <w:r w:rsidRPr="00367215">
              <w:rPr>
                <w:rFonts w:ascii="宋体" w:eastAsia="宋体" w:hAnsi="宋体" w:cs="Times New Roman" w:hint="eastAsia"/>
                <w:sz w:val="24"/>
                <w:szCs w:val="24"/>
              </w:rPr>
              <w:t xml:space="preserve"> 细胞膜的物质转运功能</w:t>
            </w:r>
          </w:p>
          <w:p w14:paraId="7DDD1C68"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sz w:val="24"/>
                <w:szCs w:val="24"/>
              </w:rPr>
              <w:t>3.2</w:t>
            </w:r>
            <w:r w:rsidRPr="00367215">
              <w:rPr>
                <w:rFonts w:ascii="宋体" w:eastAsia="宋体" w:hAnsi="宋体" w:cs="Times New Roman" w:hint="eastAsia"/>
                <w:sz w:val="24"/>
                <w:szCs w:val="24"/>
              </w:rPr>
              <w:t xml:space="preserve"> 细胞的跨</w:t>
            </w:r>
            <w:proofErr w:type="gramStart"/>
            <w:r w:rsidRPr="00367215">
              <w:rPr>
                <w:rFonts w:ascii="宋体" w:eastAsia="宋体" w:hAnsi="宋体" w:cs="Times New Roman" w:hint="eastAsia"/>
                <w:sz w:val="24"/>
                <w:szCs w:val="24"/>
              </w:rPr>
              <w:t>膜信息</w:t>
            </w:r>
            <w:proofErr w:type="gramEnd"/>
            <w:r w:rsidRPr="00367215">
              <w:rPr>
                <w:rFonts w:ascii="宋体" w:eastAsia="宋体" w:hAnsi="宋体" w:cs="Times New Roman" w:hint="eastAsia"/>
                <w:sz w:val="24"/>
                <w:szCs w:val="24"/>
              </w:rPr>
              <w:t>转导</w:t>
            </w:r>
          </w:p>
          <w:p w14:paraId="2697B519"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sz w:val="24"/>
                <w:szCs w:val="24"/>
              </w:rPr>
              <w:t>3.3</w:t>
            </w:r>
            <w:r w:rsidRPr="00367215">
              <w:rPr>
                <w:rFonts w:ascii="宋体" w:eastAsia="宋体" w:hAnsi="宋体" w:cs="Times New Roman" w:hint="eastAsia"/>
                <w:sz w:val="24"/>
                <w:szCs w:val="24"/>
              </w:rPr>
              <w:t xml:space="preserve"> 细胞的生物电活动</w:t>
            </w:r>
          </w:p>
          <w:p w14:paraId="250B488A"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3.4 肌肉的收缩功能</w:t>
            </w:r>
          </w:p>
          <w:p w14:paraId="3CEAA269"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lastRenderedPageBreak/>
              <w:t>4</w:t>
            </w:r>
            <w:r w:rsidRPr="00367215">
              <w:rPr>
                <w:rFonts w:ascii="宋体" w:eastAsia="宋体" w:hAnsi="宋体" w:cs="Times New Roman"/>
                <w:sz w:val="24"/>
                <w:szCs w:val="24"/>
              </w:rPr>
              <w:t>.1</w:t>
            </w:r>
            <w:r w:rsidRPr="00367215">
              <w:rPr>
                <w:rFonts w:ascii="宋体" w:eastAsia="宋体" w:hAnsi="宋体" w:cs="Times New Roman" w:hint="eastAsia"/>
                <w:sz w:val="24"/>
                <w:szCs w:val="24"/>
              </w:rPr>
              <w:t xml:space="preserve"> 血液组成及理化性质</w:t>
            </w:r>
          </w:p>
          <w:p w14:paraId="10656C8A"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4</w:t>
            </w:r>
            <w:r w:rsidRPr="00367215">
              <w:rPr>
                <w:rFonts w:ascii="宋体" w:eastAsia="宋体" w:hAnsi="宋体" w:cs="Times New Roman"/>
                <w:sz w:val="24"/>
                <w:szCs w:val="24"/>
              </w:rPr>
              <w:t>.2</w:t>
            </w:r>
            <w:r w:rsidRPr="00367215">
              <w:rPr>
                <w:rFonts w:ascii="宋体" w:eastAsia="宋体" w:hAnsi="宋体" w:cs="Times New Roman" w:hint="eastAsia"/>
                <w:sz w:val="24"/>
                <w:szCs w:val="24"/>
              </w:rPr>
              <w:t xml:space="preserve"> 血细胞的形态和功能</w:t>
            </w:r>
          </w:p>
          <w:p w14:paraId="1E01AE2C"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4.3 生理止血和血液凝固</w:t>
            </w:r>
          </w:p>
          <w:p w14:paraId="41837EC3"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4.4 血型和输血</w:t>
            </w:r>
          </w:p>
          <w:p w14:paraId="6CA2E231"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5</w:t>
            </w:r>
            <w:r w:rsidRPr="00367215">
              <w:rPr>
                <w:rFonts w:ascii="宋体" w:eastAsia="宋体" w:hAnsi="宋体" w:cs="Times New Roman"/>
                <w:sz w:val="24"/>
                <w:szCs w:val="24"/>
              </w:rPr>
              <w:t>.1</w:t>
            </w:r>
            <w:r w:rsidRPr="00367215">
              <w:rPr>
                <w:rFonts w:ascii="宋体" w:eastAsia="宋体" w:hAnsi="宋体" w:cs="Times New Roman" w:hint="eastAsia"/>
                <w:sz w:val="24"/>
                <w:szCs w:val="24"/>
              </w:rPr>
              <w:t xml:space="preserve"> 循环系统的结构</w:t>
            </w:r>
          </w:p>
          <w:p w14:paraId="3FCC6C75"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5</w:t>
            </w:r>
            <w:r w:rsidRPr="00367215">
              <w:rPr>
                <w:rFonts w:ascii="宋体" w:eastAsia="宋体" w:hAnsi="宋体" w:cs="Times New Roman"/>
                <w:sz w:val="24"/>
                <w:szCs w:val="24"/>
              </w:rPr>
              <w:t>.2</w:t>
            </w:r>
            <w:r w:rsidRPr="00367215">
              <w:rPr>
                <w:rFonts w:ascii="宋体" w:eastAsia="宋体" w:hAnsi="宋体" w:cs="Times New Roman" w:hint="eastAsia"/>
                <w:sz w:val="24"/>
                <w:szCs w:val="24"/>
              </w:rPr>
              <w:t xml:space="preserve"> 心脏的生物电活动</w:t>
            </w:r>
          </w:p>
          <w:p w14:paraId="2069ABAF"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5</w:t>
            </w:r>
            <w:r w:rsidRPr="00367215">
              <w:rPr>
                <w:rFonts w:ascii="宋体" w:eastAsia="宋体" w:hAnsi="宋体" w:cs="Times New Roman"/>
                <w:sz w:val="24"/>
                <w:szCs w:val="24"/>
              </w:rPr>
              <w:t>.3</w:t>
            </w:r>
            <w:r w:rsidRPr="00367215">
              <w:rPr>
                <w:rFonts w:ascii="宋体" w:eastAsia="宋体" w:hAnsi="宋体" w:cs="Times New Roman" w:hint="eastAsia"/>
                <w:sz w:val="24"/>
                <w:szCs w:val="24"/>
              </w:rPr>
              <w:t xml:space="preserve"> 心脏的泵血功能</w:t>
            </w:r>
          </w:p>
          <w:p w14:paraId="10EC10A0"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5.4 血管生理</w:t>
            </w:r>
          </w:p>
          <w:p w14:paraId="4B467881"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5</w:t>
            </w:r>
            <w:r w:rsidRPr="00367215">
              <w:rPr>
                <w:rFonts w:ascii="宋体" w:eastAsia="宋体" w:hAnsi="宋体" w:cs="Times New Roman"/>
                <w:sz w:val="24"/>
                <w:szCs w:val="24"/>
              </w:rPr>
              <w:t>.5</w:t>
            </w:r>
            <w:r w:rsidRPr="00367215">
              <w:rPr>
                <w:rFonts w:ascii="宋体" w:eastAsia="宋体" w:hAnsi="宋体" w:cs="Times New Roman" w:hint="eastAsia"/>
                <w:sz w:val="24"/>
                <w:szCs w:val="24"/>
              </w:rPr>
              <w:t xml:space="preserve"> 心血管活动的调节</w:t>
            </w:r>
          </w:p>
          <w:p w14:paraId="6989D769"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6</w:t>
            </w:r>
            <w:r w:rsidRPr="00367215">
              <w:rPr>
                <w:rFonts w:ascii="宋体" w:eastAsia="宋体" w:hAnsi="宋体" w:cs="Times New Roman"/>
                <w:sz w:val="24"/>
                <w:szCs w:val="24"/>
              </w:rPr>
              <w:t>.1</w:t>
            </w:r>
            <w:r w:rsidRPr="00367215">
              <w:rPr>
                <w:rFonts w:ascii="宋体" w:eastAsia="宋体" w:hAnsi="宋体" w:cs="Times New Roman" w:hint="eastAsia"/>
                <w:sz w:val="24"/>
                <w:szCs w:val="24"/>
              </w:rPr>
              <w:t xml:space="preserve"> 呼吸系统的组成和结构</w:t>
            </w:r>
          </w:p>
          <w:p w14:paraId="6819BC38"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6</w:t>
            </w:r>
            <w:r w:rsidRPr="00367215">
              <w:rPr>
                <w:rFonts w:ascii="宋体" w:eastAsia="宋体" w:hAnsi="宋体" w:cs="Times New Roman"/>
                <w:sz w:val="24"/>
                <w:szCs w:val="24"/>
              </w:rPr>
              <w:t xml:space="preserve">.2 </w:t>
            </w:r>
            <w:r w:rsidRPr="00367215">
              <w:rPr>
                <w:rFonts w:ascii="宋体" w:eastAsia="宋体" w:hAnsi="宋体" w:cs="Times New Roman" w:hint="eastAsia"/>
                <w:sz w:val="24"/>
                <w:szCs w:val="24"/>
              </w:rPr>
              <w:t>肺通气</w:t>
            </w:r>
          </w:p>
          <w:p w14:paraId="3E56B1D2"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6</w:t>
            </w:r>
            <w:r w:rsidRPr="00367215">
              <w:rPr>
                <w:rFonts w:ascii="宋体" w:eastAsia="宋体" w:hAnsi="宋体" w:cs="Times New Roman"/>
                <w:sz w:val="24"/>
                <w:szCs w:val="24"/>
              </w:rPr>
              <w:t xml:space="preserve">.3 </w:t>
            </w:r>
            <w:r w:rsidRPr="00367215">
              <w:rPr>
                <w:rFonts w:ascii="宋体" w:eastAsia="宋体" w:hAnsi="宋体" w:cs="Times New Roman" w:hint="eastAsia"/>
                <w:sz w:val="24"/>
                <w:szCs w:val="24"/>
              </w:rPr>
              <w:t>肺换气和组织换气</w:t>
            </w:r>
          </w:p>
          <w:p w14:paraId="1EF09A56"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6</w:t>
            </w:r>
            <w:r w:rsidRPr="00367215">
              <w:rPr>
                <w:rFonts w:ascii="宋体" w:eastAsia="宋体" w:hAnsi="宋体" w:cs="Times New Roman"/>
                <w:sz w:val="24"/>
                <w:szCs w:val="24"/>
              </w:rPr>
              <w:t xml:space="preserve">.4 </w:t>
            </w:r>
            <w:r w:rsidRPr="00367215">
              <w:rPr>
                <w:rFonts w:ascii="宋体" w:eastAsia="宋体" w:hAnsi="宋体" w:cs="Times New Roman" w:hint="eastAsia"/>
                <w:sz w:val="24"/>
                <w:szCs w:val="24"/>
              </w:rPr>
              <w:t>气体在血液中的运输</w:t>
            </w:r>
          </w:p>
          <w:p w14:paraId="0F5D8EF1"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6</w:t>
            </w:r>
            <w:r w:rsidRPr="00367215">
              <w:rPr>
                <w:rFonts w:ascii="宋体" w:eastAsia="宋体" w:hAnsi="宋体" w:cs="Times New Roman"/>
                <w:sz w:val="24"/>
                <w:szCs w:val="24"/>
              </w:rPr>
              <w:t xml:space="preserve">.5 </w:t>
            </w:r>
            <w:r w:rsidRPr="00367215">
              <w:rPr>
                <w:rFonts w:ascii="宋体" w:eastAsia="宋体" w:hAnsi="宋体" w:cs="Times New Roman" w:hint="eastAsia"/>
                <w:sz w:val="24"/>
                <w:szCs w:val="24"/>
              </w:rPr>
              <w:t>呼吸运动的调节</w:t>
            </w:r>
          </w:p>
          <w:p w14:paraId="134161C9"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 xml:space="preserve">.1 </w:t>
            </w:r>
            <w:r w:rsidRPr="00367215">
              <w:rPr>
                <w:rFonts w:ascii="宋体" w:eastAsia="宋体" w:hAnsi="宋体" w:cs="Times New Roman" w:hint="eastAsia"/>
                <w:sz w:val="24"/>
                <w:szCs w:val="24"/>
              </w:rPr>
              <w:t>消化系统的组成和结构</w:t>
            </w:r>
          </w:p>
          <w:p w14:paraId="4E511244"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7.2 消化系统生理功能概述</w:t>
            </w:r>
          </w:p>
          <w:p w14:paraId="1736A807"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.3</w:t>
            </w:r>
            <w:r w:rsidRPr="00367215">
              <w:rPr>
                <w:rFonts w:ascii="宋体" w:eastAsia="宋体" w:hAnsi="宋体" w:cs="Times New Roman" w:hint="eastAsia"/>
                <w:sz w:val="24"/>
                <w:szCs w:val="24"/>
              </w:rPr>
              <w:t xml:space="preserve"> 口腔内消化</w:t>
            </w:r>
          </w:p>
          <w:p w14:paraId="26D8C88C"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w:t>
            </w:r>
            <w:r w:rsidRPr="00367215">
              <w:rPr>
                <w:rFonts w:ascii="宋体" w:eastAsia="宋体" w:hAnsi="宋体" w:cs="Times New Roman" w:hint="eastAsia"/>
                <w:sz w:val="24"/>
                <w:szCs w:val="24"/>
              </w:rPr>
              <w:t>4 胃内消化</w:t>
            </w:r>
          </w:p>
          <w:p w14:paraId="65925895"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w:t>
            </w:r>
            <w:r w:rsidRPr="00367215">
              <w:rPr>
                <w:rFonts w:ascii="宋体" w:eastAsia="宋体" w:hAnsi="宋体" w:cs="Times New Roman" w:hint="eastAsia"/>
                <w:sz w:val="24"/>
                <w:szCs w:val="24"/>
              </w:rPr>
              <w:t>5 小肠内消化</w:t>
            </w:r>
          </w:p>
          <w:p w14:paraId="3A5D2F09"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w:t>
            </w:r>
            <w:r w:rsidRPr="00367215">
              <w:rPr>
                <w:rFonts w:ascii="宋体" w:eastAsia="宋体" w:hAnsi="宋体" w:cs="Times New Roman" w:hint="eastAsia"/>
                <w:sz w:val="24"/>
                <w:szCs w:val="24"/>
              </w:rPr>
              <w:t>6 大肠的功能</w:t>
            </w:r>
          </w:p>
          <w:p w14:paraId="23E23D1F"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w:t>
            </w:r>
            <w:r w:rsidRPr="00367215">
              <w:rPr>
                <w:rFonts w:ascii="宋体" w:eastAsia="宋体" w:hAnsi="宋体" w:cs="Times New Roman" w:hint="eastAsia"/>
                <w:sz w:val="24"/>
                <w:szCs w:val="24"/>
              </w:rPr>
              <w:t>7 吸收</w:t>
            </w:r>
          </w:p>
          <w:p w14:paraId="394F815D"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8</w:t>
            </w:r>
            <w:r w:rsidRPr="00367215">
              <w:rPr>
                <w:rFonts w:ascii="宋体" w:eastAsia="宋体" w:hAnsi="宋体" w:cs="Times New Roman"/>
                <w:sz w:val="24"/>
                <w:szCs w:val="24"/>
              </w:rPr>
              <w:t>.1</w:t>
            </w:r>
            <w:r w:rsidRPr="00367215">
              <w:rPr>
                <w:rFonts w:ascii="宋体" w:eastAsia="宋体" w:hAnsi="宋体" w:cs="Times New Roman" w:hint="eastAsia"/>
                <w:sz w:val="24"/>
                <w:szCs w:val="24"/>
              </w:rPr>
              <w:t xml:space="preserve"> 泌尿系统的结构</w:t>
            </w:r>
          </w:p>
          <w:p w14:paraId="3A22A1FB"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8</w:t>
            </w:r>
            <w:r w:rsidRPr="00367215">
              <w:rPr>
                <w:rFonts w:ascii="宋体" w:eastAsia="宋体" w:hAnsi="宋体" w:cs="Times New Roman"/>
                <w:sz w:val="24"/>
                <w:szCs w:val="24"/>
              </w:rPr>
              <w:t>.</w:t>
            </w:r>
            <w:r w:rsidRPr="00367215">
              <w:rPr>
                <w:rFonts w:ascii="宋体" w:eastAsia="宋体" w:hAnsi="宋体" w:cs="Times New Roman" w:hint="eastAsia"/>
                <w:sz w:val="24"/>
                <w:szCs w:val="24"/>
              </w:rPr>
              <w:t>2 尿生成的过程</w:t>
            </w:r>
          </w:p>
          <w:p w14:paraId="5DACE1D0"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8</w:t>
            </w:r>
            <w:r w:rsidRPr="00367215">
              <w:rPr>
                <w:rFonts w:ascii="宋体" w:eastAsia="宋体" w:hAnsi="宋体" w:cs="Times New Roman"/>
                <w:sz w:val="24"/>
                <w:szCs w:val="24"/>
              </w:rPr>
              <w:t>.</w:t>
            </w:r>
            <w:r w:rsidRPr="00367215">
              <w:rPr>
                <w:rFonts w:ascii="宋体" w:eastAsia="宋体" w:hAnsi="宋体" w:cs="Times New Roman" w:hint="eastAsia"/>
                <w:sz w:val="24"/>
                <w:szCs w:val="24"/>
              </w:rPr>
              <w:t>3 尿生成的调节</w:t>
            </w:r>
          </w:p>
          <w:p w14:paraId="4C5FDB47"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8</w:t>
            </w:r>
            <w:r w:rsidRPr="00367215">
              <w:rPr>
                <w:rFonts w:ascii="宋体" w:eastAsia="宋体" w:hAnsi="宋体" w:cs="Times New Roman"/>
                <w:sz w:val="24"/>
                <w:szCs w:val="24"/>
              </w:rPr>
              <w:t>.</w:t>
            </w:r>
            <w:r w:rsidRPr="00367215">
              <w:rPr>
                <w:rFonts w:ascii="宋体" w:eastAsia="宋体" w:hAnsi="宋体" w:cs="Times New Roman" w:hint="eastAsia"/>
                <w:sz w:val="24"/>
                <w:szCs w:val="24"/>
              </w:rPr>
              <w:t>4 肾功能评价</w:t>
            </w:r>
          </w:p>
        </w:tc>
      </w:tr>
      <w:tr w:rsidR="00367215" w:rsidRPr="00367215" w14:paraId="12675760" w14:textId="77777777" w:rsidTr="00367215">
        <w:trPr>
          <w:jc w:val="center"/>
        </w:trPr>
        <w:tc>
          <w:tcPr>
            <w:tcW w:w="1422" w:type="dxa"/>
            <w:vAlign w:val="center"/>
          </w:tcPr>
          <w:p w14:paraId="10B48E73"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课程目标2</w:t>
            </w:r>
          </w:p>
        </w:tc>
        <w:tc>
          <w:tcPr>
            <w:tcW w:w="7918" w:type="dxa"/>
            <w:vAlign w:val="center"/>
          </w:tcPr>
          <w:p w14:paraId="79C982ED"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3.4 肌肉的收缩功能</w:t>
            </w:r>
          </w:p>
          <w:p w14:paraId="42B0C44B"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5</w:t>
            </w:r>
            <w:r w:rsidRPr="00367215">
              <w:rPr>
                <w:rFonts w:ascii="宋体" w:eastAsia="宋体" w:hAnsi="宋体" w:cs="Times New Roman"/>
                <w:sz w:val="24"/>
                <w:szCs w:val="24"/>
              </w:rPr>
              <w:t>.3</w:t>
            </w:r>
            <w:r w:rsidRPr="00367215">
              <w:rPr>
                <w:rFonts w:ascii="宋体" w:eastAsia="宋体" w:hAnsi="宋体" w:cs="Times New Roman" w:hint="eastAsia"/>
                <w:sz w:val="24"/>
                <w:szCs w:val="24"/>
              </w:rPr>
              <w:t xml:space="preserve"> 心脏的泵血功能</w:t>
            </w:r>
          </w:p>
        </w:tc>
      </w:tr>
      <w:tr w:rsidR="00367215" w:rsidRPr="00367215" w14:paraId="377D217B" w14:textId="77777777" w:rsidTr="00367215">
        <w:trPr>
          <w:jc w:val="center"/>
        </w:trPr>
        <w:tc>
          <w:tcPr>
            <w:tcW w:w="1422" w:type="dxa"/>
            <w:vAlign w:val="center"/>
          </w:tcPr>
          <w:p w14:paraId="218FC775"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课程目标3</w:t>
            </w:r>
          </w:p>
        </w:tc>
        <w:tc>
          <w:tcPr>
            <w:tcW w:w="7918" w:type="dxa"/>
            <w:vAlign w:val="center"/>
          </w:tcPr>
          <w:p w14:paraId="23E39538"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sz w:val="24"/>
                <w:szCs w:val="24"/>
              </w:rPr>
              <w:t>2.1</w:t>
            </w:r>
            <w:r w:rsidRPr="00367215">
              <w:rPr>
                <w:rFonts w:ascii="宋体" w:eastAsia="宋体" w:hAnsi="宋体" w:cs="Times New Roman" w:hint="eastAsia"/>
                <w:sz w:val="24"/>
                <w:szCs w:val="24"/>
              </w:rPr>
              <w:t xml:space="preserve"> 细胞</w:t>
            </w:r>
          </w:p>
          <w:p w14:paraId="6CE04448"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sz w:val="24"/>
                <w:szCs w:val="24"/>
              </w:rPr>
              <w:t>2.2</w:t>
            </w:r>
            <w:r w:rsidRPr="00367215">
              <w:rPr>
                <w:rFonts w:ascii="宋体" w:eastAsia="宋体" w:hAnsi="宋体" w:cs="Times New Roman" w:hint="eastAsia"/>
                <w:sz w:val="24"/>
                <w:szCs w:val="24"/>
              </w:rPr>
              <w:t xml:space="preserve"> 组织</w:t>
            </w:r>
          </w:p>
          <w:p w14:paraId="72A86E2C"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sz w:val="24"/>
                <w:szCs w:val="24"/>
              </w:rPr>
              <w:t>3.1</w:t>
            </w:r>
            <w:r w:rsidRPr="00367215">
              <w:rPr>
                <w:rFonts w:ascii="宋体" w:eastAsia="宋体" w:hAnsi="宋体" w:cs="Times New Roman" w:hint="eastAsia"/>
                <w:sz w:val="24"/>
                <w:szCs w:val="24"/>
              </w:rPr>
              <w:t xml:space="preserve"> 细胞膜的物质转运功能</w:t>
            </w:r>
          </w:p>
          <w:p w14:paraId="42977D1A"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3.4 肌肉的收缩功能</w:t>
            </w:r>
          </w:p>
          <w:p w14:paraId="48A736AC"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lastRenderedPageBreak/>
              <w:t>4</w:t>
            </w:r>
            <w:r w:rsidRPr="00367215">
              <w:rPr>
                <w:rFonts w:ascii="宋体" w:eastAsia="宋体" w:hAnsi="宋体" w:cs="Times New Roman"/>
                <w:sz w:val="24"/>
                <w:szCs w:val="24"/>
              </w:rPr>
              <w:t>.1</w:t>
            </w:r>
            <w:r w:rsidRPr="00367215">
              <w:rPr>
                <w:rFonts w:ascii="宋体" w:eastAsia="宋体" w:hAnsi="宋体" w:cs="Times New Roman" w:hint="eastAsia"/>
                <w:sz w:val="24"/>
                <w:szCs w:val="24"/>
              </w:rPr>
              <w:t xml:space="preserve"> 血液组成及理化性质</w:t>
            </w:r>
          </w:p>
          <w:p w14:paraId="51E9315C"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4</w:t>
            </w:r>
            <w:r w:rsidRPr="00367215">
              <w:rPr>
                <w:rFonts w:ascii="宋体" w:eastAsia="宋体" w:hAnsi="宋体" w:cs="Times New Roman"/>
                <w:sz w:val="24"/>
                <w:szCs w:val="24"/>
              </w:rPr>
              <w:t>.2</w:t>
            </w:r>
            <w:r w:rsidRPr="00367215">
              <w:rPr>
                <w:rFonts w:ascii="宋体" w:eastAsia="宋体" w:hAnsi="宋体" w:cs="Times New Roman" w:hint="eastAsia"/>
                <w:sz w:val="24"/>
                <w:szCs w:val="24"/>
              </w:rPr>
              <w:t xml:space="preserve"> 血细胞的形态和功能</w:t>
            </w:r>
          </w:p>
          <w:p w14:paraId="7A177E32"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4.3 生理止血和血液凝固</w:t>
            </w:r>
          </w:p>
          <w:p w14:paraId="725133F4"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4.4 血型和输血</w:t>
            </w:r>
          </w:p>
          <w:p w14:paraId="30431825"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5</w:t>
            </w:r>
            <w:r w:rsidRPr="00367215">
              <w:rPr>
                <w:rFonts w:ascii="宋体" w:eastAsia="宋体" w:hAnsi="宋体" w:cs="Times New Roman"/>
                <w:sz w:val="24"/>
                <w:szCs w:val="24"/>
              </w:rPr>
              <w:t>.1</w:t>
            </w:r>
            <w:r w:rsidRPr="00367215">
              <w:rPr>
                <w:rFonts w:ascii="宋体" w:eastAsia="宋体" w:hAnsi="宋体" w:cs="Times New Roman" w:hint="eastAsia"/>
                <w:sz w:val="24"/>
                <w:szCs w:val="24"/>
              </w:rPr>
              <w:t xml:space="preserve"> 循环系统的结构</w:t>
            </w:r>
          </w:p>
          <w:p w14:paraId="19020AB3"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5</w:t>
            </w:r>
            <w:r w:rsidRPr="00367215">
              <w:rPr>
                <w:rFonts w:ascii="宋体" w:eastAsia="宋体" w:hAnsi="宋体" w:cs="Times New Roman"/>
                <w:sz w:val="24"/>
                <w:szCs w:val="24"/>
              </w:rPr>
              <w:t>.3</w:t>
            </w:r>
            <w:r w:rsidRPr="00367215">
              <w:rPr>
                <w:rFonts w:ascii="宋体" w:eastAsia="宋体" w:hAnsi="宋体" w:cs="Times New Roman" w:hint="eastAsia"/>
                <w:sz w:val="24"/>
                <w:szCs w:val="24"/>
              </w:rPr>
              <w:t xml:space="preserve"> 心脏的泵血功能</w:t>
            </w:r>
          </w:p>
          <w:p w14:paraId="7E6144E6"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6</w:t>
            </w:r>
            <w:r w:rsidRPr="00367215">
              <w:rPr>
                <w:rFonts w:ascii="宋体" w:eastAsia="宋体" w:hAnsi="宋体" w:cs="Times New Roman"/>
                <w:sz w:val="24"/>
                <w:szCs w:val="24"/>
              </w:rPr>
              <w:t>.1</w:t>
            </w:r>
            <w:r w:rsidRPr="00367215">
              <w:rPr>
                <w:rFonts w:ascii="宋体" w:eastAsia="宋体" w:hAnsi="宋体" w:cs="Times New Roman" w:hint="eastAsia"/>
                <w:sz w:val="24"/>
                <w:szCs w:val="24"/>
              </w:rPr>
              <w:t xml:space="preserve"> 呼吸系统的组成和结构</w:t>
            </w:r>
          </w:p>
          <w:p w14:paraId="749D1D85"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6</w:t>
            </w:r>
            <w:r w:rsidRPr="00367215">
              <w:rPr>
                <w:rFonts w:ascii="宋体" w:eastAsia="宋体" w:hAnsi="宋体" w:cs="Times New Roman"/>
                <w:sz w:val="24"/>
                <w:szCs w:val="24"/>
              </w:rPr>
              <w:t xml:space="preserve">.2 </w:t>
            </w:r>
            <w:r w:rsidRPr="00367215">
              <w:rPr>
                <w:rFonts w:ascii="宋体" w:eastAsia="宋体" w:hAnsi="宋体" w:cs="Times New Roman" w:hint="eastAsia"/>
                <w:sz w:val="24"/>
                <w:szCs w:val="24"/>
              </w:rPr>
              <w:t>肺通气</w:t>
            </w:r>
          </w:p>
          <w:p w14:paraId="4A825BCC"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6</w:t>
            </w:r>
            <w:r w:rsidRPr="00367215">
              <w:rPr>
                <w:rFonts w:ascii="宋体" w:eastAsia="宋体" w:hAnsi="宋体" w:cs="Times New Roman"/>
                <w:sz w:val="24"/>
                <w:szCs w:val="24"/>
              </w:rPr>
              <w:t xml:space="preserve">.3 </w:t>
            </w:r>
            <w:r w:rsidRPr="00367215">
              <w:rPr>
                <w:rFonts w:ascii="宋体" w:eastAsia="宋体" w:hAnsi="宋体" w:cs="Times New Roman" w:hint="eastAsia"/>
                <w:sz w:val="24"/>
                <w:szCs w:val="24"/>
              </w:rPr>
              <w:t>肺换气和组织换气</w:t>
            </w:r>
          </w:p>
          <w:p w14:paraId="06086AEB"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 xml:space="preserve">.1 </w:t>
            </w:r>
            <w:r w:rsidRPr="00367215">
              <w:rPr>
                <w:rFonts w:ascii="宋体" w:eastAsia="宋体" w:hAnsi="宋体" w:cs="Times New Roman" w:hint="eastAsia"/>
                <w:sz w:val="24"/>
                <w:szCs w:val="24"/>
              </w:rPr>
              <w:t>消化系统的组成和结构</w:t>
            </w:r>
          </w:p>
          <w:p w14:paraId="0BFA69A1"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7.2 消化系统生理功能概述</w:t>
            </w:r>
          </w:p>
          <w:p w14:paraId="20B2F811"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.3</w:t>
            </w:r>
            <w:r w:rsidRPr="00367215">
              <w:rPr>
                <w:rFonts w:ascii="宋体" w:eastAsia="宋体" w:hAnsi="宋体" w:cs="Times New Roman" w:hint="eastAsia"/>
                <w:sz w:val="24"/>
                <w:szCs w:val="24"/>
              </w:rPr>
              <w:t xml:space="preserve"> 口腔内消化</w:t>
            </w:r>
          </w:p>
          <w:p w14:paraId="0CE36EF5"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w:t>
            </w:r>
            <w:r w:rsidRPr="00367215">
              <w:rPr>
                <w:rFonts w:ascii="宋体" w:eastAsia="宋体" w:hAnsi="宋体" w:cs="Times New Roman" w:hint="eastAsia"/>
                <w:sz w:val="24"/>
                <w:szCs w:val="24"/>
              </w:rPr>
              <w:t>4 胃内消化</w:t>
            </w:r>
          </w:p>
          <w:p w14:paraId="0C246B1F"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w:t>
            </w:r>
            <w:r w:rsidRPr="00367215">
              <w:rPr>
                <w:rFonts w:ascii="宋体" w:eastAsia="宋体" w:hAnsi="宋体" w:cs="Times New Roman" w:hint="eastAsia"/>
                <w:sz w:val="24"/>
                <w:szCs w:val="24"/>
              </w:rPr>
              <w:t>5 小肠内消化</w:t>
            </w:r>
          </w:p>
          <w:p w14:paraId="6C2E4DFD"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w:t>
            </w:r>
            <w:r w:rsidRPr="00367215">
              <w:rPr>
                <w:rFonts w:ascii="宋体" w:eastAsia="宋体" w:hAnsi="宋体" w:cs="Times New Roman" w:hint="eastAsia"/>
                <w:sz w:val="24"/>
                <w:szCs w:val="24"/>
              </w:rPr>
              <w:t>6 大肠的功能</w:t>
            </w:r>
          </w:p>
          <w:p w14:paraId="4772D8EC"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7</w:t>
            </w:r>
            <w:r w:rsidRPr="00367215">
              <w:rPr>
                <w:rFonts w:ascii="宋体" w:eastAsia="宋体" w:hAnsi="宋体" w:cs="Times New Roman"/>
                <w:sz w:val="24"/>
                <w:szCs w:val="24"/>
              </w:rPr>
              <w:t>.</w:t>
            </w:r>
            <w:r w:rsidRPr="00367215">
              <w:rPr>
                <w:rFonts w:ascii="宋体" w:eastAsia="宋体" w:hAnsi="宋体" w:cs="Times New Roman" w:hint="eastAsia"/>
                <w:sz w:val="24"/>
                <w:szCs w:val="24"/>
              </w:rPr>
              <w:t>7 吸收</w:t>
            </w:r>
          </w:p>
          <w:p w14:paraId="1BF8B2DF"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8</w:t>
            </w:r>
            <w:r w:rsidRPr="00367215">
              <w:rPr>
                <w:rFonts w:ascii="宋体" w:eastAsia="宋体" w:hAnsi="宋体" w:cs="Times New Roman"/>
                <w:sz w:val="24"/>
                <w:szCs w:val="24"/>
              </w:rPr>
              <w:t>.1</w:t>
            </w:r>
            <w:r w:rsidRPr="00367215">
              <w:rPr>
                <w:rFonts w:ascii="宋体" w:eastAsia="宋体" w:hAnsi="宋体" w:cs="Times New Roman" w:hint="eastAsia"/>
                <w:sz w:val="24"/>
                <w:szCs w:val="24"/>
              </w:rPr>
              <w:t xml:space="preserve"> 泌尿系统的结构</w:t>
            </w:r>
          </w:p>
          <w:p w14:paraId="2EF2E663" w14:textId="77777777" w:rsidR="00367215" w:rsidRPr="00367215" w:rsidRDefault="00367215" w:rsidP="00367215">
            <w:pPr>
              <w:spacing w:line="440" w:lineRule="exact"/>
              <w:rPr>
                <w:rFonts w:ascii="宋体" w:eastAsia="宋体" w:hAnsi="宋体" w:cs="Times New Roman"/>
                <w:sz w:val="24"/>
                <w:szCs w:val="24"/>
              </w:rPr>
            </w:pPr>
            <w:r w:rsidRPr="00367215">
              <w:rPr>
                <w:rFonts w:ascii="宋体" w:eastAsia="宋体" w:hAnsi="宋体" w:cs="Times New Roman" w:hint="eastAsia"/>
                <w:sz w:val="24"/>
                <w:szCs w:val="24"/>
              </w:rPr>
              <w:t>8</w:t>
            </w:r>
            <w:r w:rsidRPr="00367215">
              <w:rPr>
                <w:rFonts w:ascii="宋体" w:eastAsia="宋体" w:hAnsi="宋体" w:cs="Times New Roman"/>
                <w:sz w:val="24"/>
                <w:szCs w:val="24"/>
              </w:rPr>
              <w:t>.</w:t>
            </w:r>
            <w:r w:rsidRPr="00367215">
              <w:rPr>
                <w:rFonts w:ascii="宋体" w:eastAsia="宋体" w:hAnsi="宋体" w:cs="Times New Roman" w:hint="eastAsia"/>
                <w:sz w:val="24"/>
                <w:szCs w:val="24"/>
              </w:rPr>
              <w:t>2 尿生成的过程</w:t>
            </w:r>
          </w:p>
        </w:tc>
      </w:tr>
    </w:tbl>
    <w:p w14:paraId="567A4A64" w14:textId="77777777" w:rsidR="00367215" w:rsidRPr="00367215" w:rsidRDefault="00367215" w:rsidP="00367215">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367215">
        <w:rPr>
          <w:rFonts w:ascii="黑体" w:eastAsia="黑体" w:hAnsi="黑体" w:cs="Times New Roman" w:hint="eastAsia"/>
          <w:sz w:val="28"/>
          <w:szCs w:val="28"/>
        </w:rPr>
        <w:t>（二）课程考核方式</w:t>
      </w:r>
    </w:p>
    <w:p w14:paraId="2C84CEF2" w14:textId="77777777" w:rsidR="00367215" w:rsidRPr="00367215" w:rsidRDefault="00367215" w:rsidP="00367215">
      <w:pPr>
        <w:spacing w:beforeLines="50" w:before="156" w:afterLines="50" w:after="156"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课程考核方式分为平时考核和期末考核。平时考核方式包括课堂表现、平时作业、阶段性测试等；期末考核采用家庭作业的形式。</w:t>
      </w:r>
    </w:p>
    <w:p w14:paraId="7E03F3F9" w14:textId="77777777" w:rsidR="00367215" w:rsidRPr="00367215" w:rsidRDefault="00367215" w:rsidP="00367215">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367215">
        <w:rPr>
          <w:rFonts w:ascii="黑体" w:eastAsia="黑体" w:hAnsi="黑体" w:cs="Times New Roman" w:hint="eastAsia"/>
          <w:sz w:val="28"/>
          <w:szCs w:val="28"/>
        </w:rPr>
        <w:t>（三）课程目标达成评价方式及考核比例</w:t>
      </w:r>
    </w:p>
    <w:p w14:paraId="78B3A465" w14:textId="77777777" w:rsidR="00367215" w:rsidRPr="00367215" w:rsidRDefault="00367215" w:rsidP="00367215">
      <w:pPr>
        <w:spacing w:line="440" w:lineRule="atLeas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本课程共有三个课程目标，考核方式及成绩比例分别为：</w:t>
      </w:r>
    </w:p>
    <w:p w14:paraId="1EB6AA29" w14:textId="77777777" w:rsidR="00367215" w:rsidRPr="00367215" w:rsidRDefault="00367215" w:rsidP="00367215">
      <w:pPr>
        <w:spacing w:line="440" w:lineRule="atLeas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课程目标1：课堂表现5%</w:t>
      </w:r>
      <w:r w:rsidRPr="00367215">
        <w:rPr>
          <w:rFonts w:ascii="宋体" w:eastAsia="宋体" w:hAnsi="宋体" w:cs="Times New Roman"/>
          <w:sz w:val="24"/>
          <w:szCs w:val="24"/>
        </w:rPr>
        <w:t>+</w:t>
      </w:r>
      <w:r w:rsidRPr="00367215">
        <w:rPr>
          <w:rFonts w:ascii="宋体" w:eastAsia="宋体" w:hAnsi="宋体" w:cs="Times New Roman" w:hint="eastAsia"/>
          <w:sz w:val="24"/>
          <w:szCs w:val="24"/>
        </w:rPr>
        <w:t>平时作业10%</w:t>
      </w:r>
      <w:r w:rsidRPr="00367215">
        <w:rPr>
          <w:rFonts w:ascii="宋体" w:eastAsia="宋体" w:hAnsi="宋体" w:cs="Times New Roman"/>
          <w:sz w:val="24"/>
          <w:szCs w:val="24"/>
        </w:rPr>
        <w:t>+</w:t>
      </w:r>
      <w:r w:rsidRPr="00367215">
        <w:rPr>
          <w:rFonts w:ascii="宋体" w:eastAsia="宋体" w:hAnsi="宋体" w:cs="Times New Roman" w:hint="eastAsia"/>
          <w:sz w:val="24"/>
          <w:szCs w:val="24"/>
        </w:rPr>
        <w:t>阶段测试10%+期末考核40%</w:t>
      </w:r>
    </w:p>
    <w:p w14:paraId="60AA96EC" w14:textId="77777777" w:rsidR="00367215" w:rsidRPr="00367215" w:rsidRDefault="00367215" w:rsidP="00367215">
      <w:pPr>
        <w:spacing w:line="440" w:lineRule="atLeas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课程目标2：课堂表现5%</w:t>
      </w:r>
      <w:r w:rsidRPr="00367215">
        <w:rPr>
          <w:rFonts w:ascii="宋体" w:eastAsia="宋体" w:hAnsi="宋体" w:cs="Times New Roman"/>
          <w:sz w:val="24"/>
          <w:szCs w:val="24"/>
        </w:rPr>
        <w:t>+</w:t>
      </w:r>
      <w:r w:rsidRPr="00367215">
        <w:rPr>
          <w:rFonts w:ascii="宋体" w:eastAsia="宋体" w:hAnsi="宋体" w:cs="Times New Roman" w:hint="eastAsia"/>
          <w:sz w:val="24"/>
          <w:szCs w:val="24"/>
        </w:rPr>
        <w:t>平时作业10%</w:t>
      </w:r>
    </w:p>
    <w:p w14:paraId="0B6CC623" w14:textId="77777777" w:rsidR="00367215" w:rsidRPr="00367215" w:rsidRDefault="00367215" w:rsidP="00367215">
      <w:pPr>
        <w:spacing w:line="440" w:lineRule="atLeas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课程目标3：课堂表现10%</w:t>
      </w:r>
      <w:r w:rsidRPr="00367215">
        <w:rPr>
          <w:rFonts w:ascii="宋体" w:eastAsia="宋体" w:hAnsi="宋体" w:cs="Times New Roman"/>
          <w:sz w:val="24"/>
          <w:szCs w:val="24"/>
        </w:rPr>
        <w:t>+</w:t>
      </w:r>
      <w:r w:rsidRPr="00367215">
        <w:rPr>
          <w:rFonts w:ascii="宋体" w:eastAsia="宋体" w:hAnsi="宋体" w:cs="Times New Roman" w:hint="eastAsia"/>
          <w:sz w:val="24"/>
          <w:szCs w:val="24"/>
        </w:rPr>
        <w:t>期末考核10%</w:t>
      </w:r>
    </w:p>
    <w:p w14:paraId="66F9DD7E" w14:textId="77777777" w:rsidR="00367215" w:rsidRPr="00367215" w:rsidRDefault="00367215" w:rsidP="00367215">
      <w:pPr>
        <w:spacing w:line="440" w:lineRule="atLeas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如下图：</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4"/>
        <w:gridCol w:w="1459"/>
        <w:gridCol w:w="1458"/>
        <w:gridCol w:w="1478"/>
        <w:gridCol w:w="1479"/>
        <w:gridCol w:w="1479"/>
      </w:tblGrid>
      <w:tr w:rsidR="00367215" w:rsidRPr="00367215" w14:paraId="0389C46C" w14:textId="77777777" w:rsidTr="00367215">
        <w:trPr>
          <w:trHeight w:val="540"/>
          <w:jc w:val="center"/>
        </w:trPr>
        <w:tc>
          <w:tcPr>
            <w:tcW w:w="1384" w:type="dxa"/>
            <w:vMerge w:val="restart"/>
            <w:vAlign w:val="center"/>
          </w:tcPr>
          <w:p w14:paraId="1AB30E22" w14:textId="77777777" w:rsidR="00367215" w:rsidRPr="00367215" w:rsidRDefault="00367215" w:rsidP="00367215">
            <w:pPr>
              <w:spacing w:line="440" w:lineRule="exact"/>
              <w:jc w:val="center"/>
              <w:rPr>
                <w:rFonts w:ascii="宋体" w:eastAsia="宋体" w:hAnsi="宋体" w:cs="Times New Roman"/>
                <w:b/>
                <w:sz w:val="24"/>
                <w:szCs w:val="24"/>
              </w:rPr>
            </w:pPr>
            <w:r w:rsidRPr="00367215">
              <w:rPr>
                <w:rFonts w:ascii="宋体" w:eastAsia="宋体" w:hAnsi="宋体" w:cs="Times New Roman" w:hint="eastAsia"/>
                <w:b/>
                <w:sz w:val="24"/>
                <w:szCs w:val="24"/>
              </w:rPr>
              <w:t>课程目标</w:t>
            </w:r>
          </w:p>
        </w:tc>
        <w:tc>
          <w:tcPr>
            <w:tcW w:w="5708" w:type="dxa"/>
            <w:gridSpan w:val="4"/>
            <w:vAlign w:val="center"/>
          </w:tcPr>
          <w:p w14:paraId="6231DC48" w14:textId="77777777" w:rsidR="00367215" w:rsidRPr="00367215" w:rsidRDefault="00367215" w:rsidP="00367215">
            <w:pPr>
              <w:spacing w:line="440" w:lineRule="exact"/>
              <w:jc w:val="center"/>
              <w:rPr>
                <w:rFonts w:ascii="宋体" w:eastAsia="宋体" w:hAnsi="宋体" w:cs="Times New Roman"/>
                <w:b/>
                <w:sz w:val="24"/>
                <w:szCs w:val="24"/>
              </w:rPr>
            </w:pPr>
            <w:r w:rsidRPr="00367215">
              <w:rPr>
                <w:rFonts w:ascii="宋体" w:eastAsia="宋体" w:hAnsi="宋体" w:cs="Times New Roman" w:hint="eastAsia"/>
                <w:b/>
                <w:sz w:val="24"/>
                <w:szCs w:val="24"/>
              </w:rPr>
              <w:t>考核方式及成绩比例（%）</w:t>
            </w:r>
          </w:p>
        </w:tc>
        <w:tc>
          <w:tcPr>
            <w:tcW w:w="1437" w:type="dxa"/>
            <w:vMerge w:val="restart"/>
            <w:vAlign w:val="center"/>
          </w:tcPr>
          <w:p w14:paraId="2DDC9D42" w14:textId="77777777" w:rsidR="00367215" w:rsidRPr="00367215" w:rsidRDefault="00367215" w:rsidP="00367215">
            <w:pPr>
              <w:spacing w:line="440" w:lineRule="exact"/>
              <w:jc w:val="center"/>
              <w:rPr>
                <w:rFonts w:ascii="宋体" w:eastAsia="宋体" w:hAnsi="宋体" w:cs="Times New Roman"/>
                <w:b/>
                <w:sz w:val="24"/>
                <w:szCs w:val="24"/>
              </w:rPr>
            </w:pPr>
            <w:r w:rsidRPr="00367215">
              <w:rPr>
                <w:rFonts w:ascii="宋体" w:eastAsia="宋体" w:hAnsi="宋体" w:cs="Times New Roman" w:hint="eastAsia"/>
                <w:b/>
                <w:sz w:val="24"/>
                <w:szCs w:val="24"/>
              </w:rPr>
              <w:t>合计</w:t>
            </w:r>
          </w:p>
        </w:tc>
      </w:tr>
      <w:tr w:rsidR="00367215" w:rsidRPr="00367215" w14:paraId="28281DD4" w14:textId="77777777" w:rsidTr="00367215">
        <w:trPr>
          <w:trHeight w:val="578"/>
          <w:jc w:val="center"/>
        </w:trPr>
        <w:tc>
          <w:tcPr>
            <w:tcW w:w="1384" w:type="dxa"/>
            <w:vMerge/>
            <w:vAlign w:val="center"/>
          </w:tcPr>
          <w:p w14:paraId="574115BC" w14:textId="77777777" w:rsidR="00367215" w:rsidRPr="00367215" w:rsidRDefault="00367215" w:rsidP="00367215">
            <w:pPr>
              <w:spacing w:line="440" w:lineRule="exact"/>
              <w:jc w:val="center"/>
              <w:rPr>
                <w:rFonts w:ascii="宋体" w:eastAsia="宋体" w:hAnsi="宋体" w:cs="Times New Roman"/>
                <w:b/>
                <w:sz w:val="24"/>
                <w:szCs w:val="24"/>
              </w:rPr>
            </w:pPr>
          </w:p>
        </w:tc>
        <w:tc>
          <w:tcPr>
            <w:tcW w:w="1418" w:type="dxa"/>
            <w:vAlign w:val="center"/>
          </w:tcPr>
          <w:p w14:paraId="76EBB778" w14:textId="77777777" w:rsidR="00367215" w:rsidRPr="00367215" w:rsidRDefault="00367215" w:rsidP="00367215">
            <w:pPr>
              <w:spacing w:line="440" w:lineRule="exact"/>
              <w:jc w:val="center"/>
              <w:rPr>
                <w:rFonts w:ascii="宋体" w:eastAsia="宋体" w:hAnsi="宋体" w:cs="Times New Roman"/>
                <w:b/>
                <w:sz w:val="24"/>
                <w:szCs w:val="24"/>
              </w:rPr>
            </w:pPr>
            <w:r w:rsidRPr="00367215">
              <w:rPr>
                <w:rFonts w:ascii="宋体" w:eastAsia="宋体" w:hAnsi="宋体" w:cs="Times New Roman" w:hint="eastAsia"/>
                <w:b/>
                <w:sz w:val="24"/>
                <w:szCs w:val="24"/>
              </w:rPr>
              <w:t>课堂表现</w:t>
            </w:r>
          </w:p>
        </w:tc>
        <w:tc>
          <w:tcPr>
            <w:tcW w:w="1417" w:type="dxa"/>
            <w:vAlign w:val="center"/>
          </w:tcPr>
          <w:p w14:paraId="4BEA5F31" w14:textId="77777777" w:rsidR="00367215" w:rsidRPr="00367215" w:rsidRDefault="00367215" w:rsidP="00367215">
            <w:pPr>
              <w:spacing w:line="440" w:lineRule="exact"/>
              <w:jc w:val="center"/>
              <w:rPr>
                <w:rFonts w:ascii="宋体" w:eastAsia="宋体" w:hAnsi="宋体" w:cs="Times New Roman"/>
                <w:b/>
                <w:sz w:val="24"/>
                <w:szCs w:val="24"/>
              </w:rPr>
            </w:pPr>
            <w:r w:rsidRPr="00367215">
              <w:rPr>
                <w:rFonts w:ascii="宋体" w:eastAsia="宋体" w:hAnsi="宋体" w:cs="Times New Roman" w:hint="eastAsia"/>
                <w:b/>
                <w:sz w:val="24"/>
                <w:szCs w:val="24"/>
              </w:rPr>
              <w:t>平时作业</w:t>
            </w:r>
          </w:p>
        </w:tc>
        <w:tc>
          <w:tcPr>
            <w:tcW w:w="1436" w:type="dxa"/>
            <w:vAlign w:val="center"/>
          </w:tcPr>
          <w:p w14:paraId="7952CA84" w14:textId="77777777" w:rsidR="00367215" w:rsidRPr="00367215" w:rsidRDefault="00367215" w:rsidP="00367215">
            <w:pPr>
              <w:spacing w:line="440" w:lineRule="exact"/>
              <w:jc w:val="center"/>
              <w:rPr>
                <w:rFonts w:ascii="宋体" w:eastAsia="宋体" w:hAnsi="宋体" w:cs="Times New Roman"/>
                <w:b/>
                <w:sz w:val="24"/>
                <w:szCs w:val="24"/>
              </w:rPr>
            </w:pPr>
            <w:r w:rsidRPr="00367215">
              <w:rPr>
                <w:rFonts w:ascii="宋体" w:eastAsia="宋体" w:hAnsi="宋体" w:cs="Times New Roman" w:hint="eastAsia"/>
                <w:b/>
                <w:sz w:val="24"/>
                <w:szCs w:val="24"/>
              </w:rPr>
              <w:t>阶段测试</w:t>
            </w:r>
          </w:p>
        </w:tc>
        <w:tc>
          <w:tcPr>
            <w:tcW w:w="1437" w:type="dxa"/>
            <w:vAlign w:val="center"/>
          </w:tcPr>
          <w:p w14:paraId="7830237C" w14:textId="77777777" w:rsidR="00367215" w:rsidRPr="00367215" w:rsidRDefault="00367215" w:rsidP="00367215">
            <w:pPr>
              <w:spacing w:line="440" w:lineRule="exact"/>
              <w:jc w:val="center"/>
              <w:rPr>
                <w:rFonts w:ascii="宋体" w:eastAsia="宋体" w:hAnsi="宋体" w:cs="Times New Roman"/>
                <w:b/>
                <w:sz w:val="24"/>
                <w:szCs w:val="24"/>
              </w:rPr>
            </w:pPr>
            <w:r w:rsidRPr="00367215">
              <w:rPr>
                <w:rFonts w:ascii="宋体" w:eastAsia="宋体" w:hAnsi="宋体" w:cs="Times New Roman" w:hint="eastAsia"/>
                <w:b/>
                <w:sz w:val="24"/>
                <w:szCs w:val="24"/>
              </w:rPr>
              <w:t>期末考核</w:t>
            </w:r>
          </w:p>
        </w:tc>
        <w:tc>
          <w:tcPr>
            <w:tcW w:w="1437" w:type="dxa"/>
            <w:vMerge/>
          </w:tcPr>
          <w:p w14:paraId="69CE3DDC" w14:textId="77777777" w:rsidR="00367215" w:rsidRPr="00367215" w:rsidRDefault="00367215" w:rsidP="00367215">
            <w:pPr>
              <w:spacing w:line="440" w:lineRule="exact"/>
              <w:jc w:val="center"/>
              <w:rPr>
                <w:rFonts w:ascii="宋体" w:eastAsia="宋体" w:hAnsi="宋体" w:cs="Times New Roman"/>
                <w:b/>
                <w:color w:val="FF0000"/>
                <w:sz w:val="24"/>
                <w:szCs w:val="24"/>
              </w:rPr>
            </w:pPr>
          </w:p>
        </w:tc>
      </w:tr>
      <w:tr w:rsidR="00367215" w:rsidRPr="00367215" w14:paraId="50C20C6A" w14:textId="77777777" w:rsidTr="00367215">
        <w:trPr>
          <w:jc w:val="center"/>
        </w:trPr>
        <w:tc>
          <w:tcPr>
            <w:tcW w:w="1384" w:type="dxa"/>
            <w:vAlign w:val="center"/>
          </w:tcPr>
          <w:p w14:paraId="260D1FFD"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lastRenderedPageBreak/>
              <w:t>课程目标1</w:t>
            </w:r>
          </w:p>
        </w:tc>
        <w:tc>
          <w:tcPr>
            <w:tcW w:w="1418" w:type="dxa"/>
            <w:vAlign w:val="center"/>
          </w:tcPr>
          <w:p w14:paraId="6090FBCF"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5</w:t>
            </w:r>
          </w:p>
        </w:tc>
        <w:tc>
          <w:tcPr>
            <w:tcW w:w="1417" w:type="dxa"/>
            <w:vAlign w:val="center"/>
          </w:tcPr>
          <w:p w14:paraId="3519184E"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10</w:t>
            </w:r>
          </w:p>
        </w:tc>
        <w:tc>
          <w:tcPr>
            <w:tcW w:w="1436" w:type="dxa"/>
            <w:vAlign w:val="center"/>
          </w:tcPr>
          <w:p w14:paraId="1EC63597"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10</w:t>
            </w:r>
          </w:p>
        </w:tc>
        <w:tc>
          <w:tcPr>
            <w:tcW w:w="1437" w:type="dxa"/>
            <w:vAlign w:val="center"/>
          </w:tcPr>
          <w:p w14:paraId="35029FBF"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40</w:t>
            </w:r>
          </w:p>
        </w:tc>
        <w:tc>
          <w:tcPr>
            <w:tcW w:w="1437" w:type="dxa"/>
            <w:vAlign w:val="center"/>
          </w:tcPr>
          <w:p w14:paraId="40B73D93"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65</w:t>
            </w:r>
          </w:p>
        </w:tc>
      </w:tr>
      <w:tr w:rsidR="00367215" w:rsidRPr="00367215" w14:paraId="68CABD42" w14:textId="77777777" w:rsidTr="00367215">
        <w:trPr>
          <w:jc w:val="center"/>
        </w:trPr>
        <w:tc>
          <w:tcPr>
            <w:tcW w:w="1384" w:type="dxa"/>
            <w:vAlign w:val="center"/>
          </w:tcPr>
          <w:p w14:paraId="3F631A72"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课程目标2</w:t>
            </w:r>
          </w:p>
        </w:tc>
        <w:tc>
          <w:tcPr>
            <w:tcW w:w="1418" w:type="dxa"/>
            <w:vAlign w:val="center"/>
          </w:tcPr>
          <w:p w14:paraId="57FA5C62"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5</w:t>
            </w:r>
          </w:p>
        </w:tc>
        <w:tc>
          <w:tcPr>
            <w:tcW w:w="1417" w:type="dxa"/>
            <w:vAlign w:val="center"/>
          </w:tcPr>
          <w:p w14:paraId="3AB6F4B1"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10</w:t>
            </w:r>
          </w:p>
        </w:tc>
        <w:tc>
          <w:tcPr>
            <w:tcW w:w="1436" w:type="dxa"/>
            <w:vAlign w:val="center"/>
          </w:tcPr>
          <w:p w14:paraId="17D60305"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0</w:t>
            </w:r>
          </w:p>
        </w:tc>
        <w:tc>
          <w:tcPr>
            <w:tcW w:w="1437" w:type="dxa"/>
            <w:vAlign w:val="center"/>
          </w:tcPr>
          <w:p w14:paraId="083E8CB2"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0</w:t>
            </w:r>
          </w:p>
        </w:tc>
        <w:tc>
          <w:tcPr>
            <w:tcW w:w="1437" w:type="dxa"/>
            <w:vAlign w:val="center"/>
          </w:tcPr>
          <w:p w14:paraId="62A82CC7"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15</w:t>
            </w:r>
          </w:p>
        </w:tc>
      </w:tr>
      <w:tr w:rsidR="00367215" w:rsidRPr="00367215" w14:paraId="2EB6F283" w14:textId="77777777" w:rsidTr="00367215">
        <w:trPr>
          <w:jc w:val="center"/>
        </w:trPr>
        <w:tc>
          <w:tcPr>
            <w:tcW w:w="1384" w:type="dxa"/>
            <w:vAlign w:val="center"/>
          </w:tcPr>
          <w:p w14:paraId="44CB8D8E"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课程目标3</w:t>
            </w:r>
          </w:p>
        </w:tc>
        <w:tc>
          <w:tcPr>
            <w:tcW w:w="1418" w:type="dxa"/>
            <w:vAlign w:val="center"/>
          </w:tcPr>
          <w:p w14:paraId="50024EBC"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10</w:t>
            </w:r>
          </w:p>
        </w:tc>
        <w:tc>
          <w:tcPr>
            <w:tcW w:w="1417" w:type="dxa"/>
            <w:vAlign w:val="center"/>
          </w:tcPr>
          <w:p w14:paraId="03936D73"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0</w:t>
            </w:r>
          </w:p>
        </w:tc>
        <w:tc>
          <w:tcPr>
            <w:tcW w:w="1436" w:type="dxa"/>
            <w:vAlign w:val="center"/>
          </w:tcPr>
          <w:p w14:paraId="49DA7E83"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0</w:t>
            </w:r>
          </w:p>
        </w:tc>
        <w:tc>
          <w:tcPr>
            <w:tcW w:w="1437" w:type="dxa"/>
            <w:vAlign w:val="center"/>
          </w:tcPr>
          <w:p w14:paraId="5E344819"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10</w:t>
            </w:r>
          </w:p>
        </w:tc>
        <w:tc>
          <w:tcPr>
            <w:tcW w:w="1437" w:type="dxa"/>
            <w:vAlign w:val="center"/>
          </w:tcPr>
          <w:p w14:paraId="16BEBF20"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20</w:t>
            </w:r>
          </w:p>
        </w:tc>
      </w:tr>
      <w:tr w:rsidR="00367215" w:rsidRPr="00367215" w14:paraId="0C1FADB4" w14:textId="77777777" w:rsidTr="00367215">
        <w:trPr>
          <w:jc w:val="center"/>
        </w:trPr>
        <w:tc>
          <w:tcPr>
            <w:tcW w:w="1384" w:type="dxa"/>
            <w:vAlign w:val="center"/>
          </w:tcPr>
          <w:p w14:paraId="3B8254CC"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合计</w:t>
            </w:r>
          </w:p>
        </w:tc>
        <w:tc>
          <w:tcPr>
            <w:tcW w:w="1418" w:type="dxa"/>
            <w:vAlign w:val="center"/>
          </w:tcPr>
          <w:p w14:paraId="11FBDB59"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20</w:t>
            </w:r>
          </w:p>
        </w:tc>
        <w:tc>
          <w:tcPr>
            <w:tcW w:w="1417" w:type="dxa"/>
            <w:vAlign w:val="center"/>
          </w:tcPr>
          <w:p w14:paraId="061A9285"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20</w:t>
            </w:r>
          </w:p>
        </w:tc>
        <w:tc>
          <w:tcPr>
            <w:tcW w:w="1436" w:type="dxa"/>
            <w:vAlign w:val="center"/>
          </w:tcPr>
          <w:p w14:paraId="447399BC"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10</w:t>
            </w:r>
          </w:p>
        </w:tc>
        <w:tc>
          <w:tcPr>
            <w:tcW w:w="1437" w:type="dxa"/>
            <w:vAlign w:val="center"/>
          </w:tcPr>
          <w:p w14:paraId="21DD9B96"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50</w:t>
            </w:r>
          </w:p>
        </w:tc>
        <w:tc>
          <w:tcPr>
            <w:tcW w:w="1437" w:type="dxa"/>
          </w:tcPr>
          <w:p w14:paraId="4DA69E9C" w14:textId="77777777" w:rsidR="00367215" w:rsidRPr="00367215" w:rsidRDefault="00367215" w:rsidP="00367215">
            <w:pPr>
              <w:spacing w:line="440" w:lineRule="exact"/>
              <w:jc w:val="center"/>
              <w:rPr>
                <w:rFonts w:ascii="宋体" w:eastAsia="宋体" w:hAnsi="宋体" w:cs="Times New Roman"/>
                <w:bCs/>
                <w:sz w:val="24"/>
                <w:szCs w:val="24"/>
              </w:rPr>
            </w:pPr>
            <w:r w:rsidRPr="00367215">
              <w:rPr>
                <w:rFonts w:ascii="宋体" w:eastAsia="宋体" w:hAnsi="宋体" w:cs="Times New Roman" w:hint="eastAsia"/>
                <w:bCs/>
                <w:sz w:val="24"/>
                <w:szCs w:val="24"/>
              </w:rPr>
              <w:t>100</w:t>
            </w:r>
          </w:p>
        </w:tc>
      </w:tr>
    </w:tbl>
    <w:p w14:paraId="36577C80" w14:textId="77777777" w:rsidR="00367215" w:rsidRPr="00367215" w:rsidRDefault="00367215" w:rsidP="00C63ECC">
      <w:pPr>
        <w:pStyle w:val="afc"/>
      </w:pPr>
      <w:r w:rsidRPr="00367215">
        <w:rPr>
          <w:rFonts w:hint="eastAsia"/>
        </w:rPr>
        <w:t>五、成绩评定</w:t>
      </w:r>
    </w:p>
    <w:p w14:paraId="5550177C" w14:textId="77777777" w:rsidR="00367215" w:rsidRPr="00367215" w:rsidRDefault="00367215" w:rsidP="00367215">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367215">
        <w:rPr>
          <w:rFonts w:ascii="黑体" w:eastAsia="黑体" w:hAnsi="黑体" w:cs="Times New Roman" w:hint="eastAsia"/>
          <w:sz w:val="28"/>
          <w:szCs w:val="28"/>
        </w:rPr>
        <w:t>（一）总成绩评定</w:t>
      </w:r>
    </w:p>
    <w:p w14:paraId="7CA1D9D8"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总成绩=平时成绩×50%+期末成绩×50%</w:t>
      </w:r>
    </w:p>
    <w:p w14:paraId="682F1F97" w14:textId="77777777" w:rsidR="00367215" w:rsidRPr="00367215" w:rsidRDefault="00367215" w:rsidP="00367215">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367215">
        <w:rPr>
          <w:rFonts w:ascii="黑体" w:eastAsia="黑体" w:hAnsi="黑体" w:cs="Times New Roman" w:hint="eastAsia"/>
          <w:sz w:val="28"/>
          <w:szCs w:val="28"/>
        </w:rPr>
        <w:t>（二）平时成绩评定</w:t>
      </w:r>
    </w:p>
    <w:p w14:paraId="72DBC1E3"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平时成绩（100%）=课堂表现（40%）+平时作业（40%）+阶段测试（20%）</w:t>
      </w:r>
    </w:p>
    <w:p w14:paraId="73AA2017"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（1）课堂表现：</w:t>
      </w:r>
      <w:r w:rsidR="00C853B2">
        <w:rPr>
          <w:rFonts w:ascii="宋体" w:eastAsia="宋体" w:hAnsi="宋体" w:cs="Times New Roman" w:hint="eastAsia"/>
          <w:sz w:val="24"/>
          <w:szCs w:val="24"/>
        </w:rPr>
        <w:t>根据学生</w:t>
      </w:r>
      <w:r w:rsidRPr="00367215">
        <w:rPr>
          <w:rFonts w:ascii="宋体" w:eastAsia="宋体" w:hAnsi="宋体" w:cs="Times New Roman" w:hint="eastAsia"/>
          <w:sz w:val="24"/>
          <w:szCs w:val="24"/>
        </w:rPr>
        <w:t>课堂上的表现情况，如发言、自学情况等。</w:t>
      </w:r>
    </w:p>
    <w:p w14:paraId="609E11A8" w14:textId="77777777" w:rsidR="00367215" w:rsidRPr="00367215" w:rsidRDefault="00367215" w:rsidP="00367215">
      <w:pPr>
        <w:spacing w:line="440" w:lineRule="exact"/>
        <w:ind w:firstLineChars="200" w:firstLine="480"/>
        <w:rPr>
          <w:rFonts w:ascii="宋体" w:eastAsia="宋体" w:hAnsi="宋体" w:cs="Times New Roman"/>
          <w:color w:val="FF0000"/>
          <w:sz w:val="24"/>
          <w:szCs w:val="24"/>
        </w:rPr>
      </w:pPr>
      <w:r w:rsidRPr="00367215">
        <w:rPr>
          <w:rFonts w:ascii="宋体" w:eastAsia="宋体" w:hAnsi="宋体" w:cs="Times New Roman" w:hint="eastAsia"/>
          <w:sz w:val="24"/>
          <w:szCs w:val="24"/>
        </w:rPr>
        <w:t>（2）平时作业：根据多次完成作业的情况综合评定。</w:t>
      </w:r>
    </w:p>
    <w:p w14:paraId="2B184B40" w14:textId="77777777" w:rsidR="00367215" w:rsidRPr="00367215" w:rsidRDefault="00367215" w:rsidP="00367215">
      <w:pPr>
        <w:spacing w:line="440" w:lineRule="exact"/>
        <w:ind w:firstLineChars="200" w:firstLine="480"/>
        <w:rPr>
          <w:rFonts w:ascii="宋体" w:eastAsia="宋体" w:hAnsi="宋体" w:cs="Times New Roman"/>
          <w:color w:val="FF0000"/>
          <w:sz w:val="24"/>
          <w:szCs w:val="24"/>
        </w:rPr>
      </w:pPr>
      <w:r w:rsidRPr="00367215">
        <w:rPr>
          <w:rFonts w:ascii="宋体" w:eastAsia="宋体" w:hAnsi="宋体" w:cs="Times New Roman" w:hint="eastAsia"/>
          <w:sz w:val="24"/>
          <w:szCs w:val="24"/>
        </w:rPr>
        <w:t>（3）阶段测试：包括平时测试、测验中掌握课程的情况。</w:t>
      </w:r>
    </w:p>
    <w:p w14:paraId="5E0B9B55" w14:textId="77777777" w:rsidR="00367215" w:rsidRPr="00367215" w:rsidRDefault="00367215" w:rsidP="00367215">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367215">
        <w:rPr>
          <w:rFonts w:ascii="黑体" w:eastAsia="黑体" w:hAnsi="黑体" w:cs="Times New Roman" w:hint="eastAsia"/>
          <w:sz w:val="28"/>
          <w:szCs w:val="28"/>
        </w:rPr>
        <w:t>（三）期末成绩评定</w:t>
      </w:r>
    </w:p>
    <w:p w14:paraId="7E52F7D9"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期末考核主要考察对各章节过程与方法类目标中基本概念、生理过程与调节内容的理解与运用，学生潜在的</w:t>
      </w:r>
      <w:r w:rsidRPr="00367215">
        <w:rPr>
          <w:rFonts w:ascii="Times New Roman" w:eastAsia="宋体" w:hAnsi="Times New Roman" w:cs="Times New Roman" w:hint="eastAsia"/>
          <w:sz w:val="24"/>
          <w:szCs w:val="24"/>
        </w:rPr>
        <w:t>职业品格</w:t>
      </w:r>
      <w:r w:rsidRPr="00367215">
        <w:rPr>
          <w:rFonts w:ascii="宋体" w:eastAsia="宋体" w:hAnsi="宋体" w:cs="Times New Roman" w:hint="eastAsia"/>
          <w:sz w:val="24"/>
          <w:szCs w:val="24"/>
        </w:rPr>
        <w:t>等。方式为家庭作业。</w:t>
      </w:r>
    </w:p>
    <w:p w14:paraId="4FFB3638" w14:textId="77777777" w:rsidR="00367215" w:rsidRPr="00367215" w:rsidRDefault="00367215" w:rsidP="00C63ECC">
      <w:pPr>
        <w:pStyle w:val="afc"/>
      </w:pPr>
      <w:r w:rsidRPr="00367215">
        <w:rPr>
          <w:rFonts w:hint="eastAsia"/>
        </w:rPr>
        <w:t>六、使用教材、相关推荐书目及课程资源</w:t>
      </w:r>
    </w:p>
    <w:p w14:paraId="735BDBE1" w14:textId="77777777" w:rsidR="00367215" w:rsidRPr="00367215" w:rsidRDefault="00367215" w:rsidP="00367215">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367215">
        <w:rPr>
          <w:rFonts w:ascii="黑体" w:eastAsia="黑体" w:hAnsi="黑体" w:cs="Times New Roman" w:hint="eastAsia"/>
          <w:sz w:val="28"/>
          <w:szCs w:val="28"/>
        </w:rPr>
        <w:t>（一）使用教材</w:t>
      </w:r>
    </w:p>
    <w:p w14:paraId="260F4944" w14:textId="77777777" w:rsidR="00367215" w:rsidRPr="00367215" w:rsidRDefault="00367215" w:rsidP="00367215">
      <w:pPr>
        <w:spacing w:line="440" w:lineRule="exact"/>
        <w:ind w:firstLineChars="200" w:firstLine="480"/>
        <w:rPr>
          <w:rFonts w:ascii="宋体" w:eastAsia="宋体" w:hAnsi="宋体" w:cs="Times New Roman"/>
          <w:color w:val="FF0000"/>
          <w:sz w:val="24"/>
          <w:szCs w:val="24"/>
        </w:rPr>
      </w:pPr>
      <w:r w:rsidRPr="00367215">
        <w:rPr>
          <w:rFonts w:ascii="ˎ̥" w:eastAsia="宋体" w:hAnsi="ˎ̥" w:cs="宋体" w:hint="eastAsia"/>
          <w:color w:val="000000"/>
          <w:kern w:val="0"/>
          <w:sz w:val="24"/>
          <w:szCs w:val="24"/>
        </w:rPr>
        <w:t>周华，崔慧先</w:t>
      </w:r>
      <w:r w:rsidRPr="00367215">
        <w:rPr>
          <w:rFonts w:ascii="ˎ̥" w:eastAsia="宋体" w:hAnsi="ˎ̥" w:cs="宋体"/>
          <w:color w:val="000000"/>
          <w:kern w:val="0"/>
          <w:sz w:val="24"/>
          <w:szCs w:val="24"/>
        </w:rPr>
        <w:t>主编：《</w:t>
      </w:r>
      <w:r w:rsidRPr="00367215">
        <w:rPr>
          <w:rFonts w:ascii="ˎ̥" w:eastAsia="宋体" w:hAnsi="ˎ̥" w:cs="宋体" w:hint="eastAsia"/>
          <w:color w:val="000000"/>
          <w:kern w:val="0"/>
          <w:sz w:val="24"/>
          <w:szCs w:val="24"/>
        </w:rPr>
        <w:t>人体解剖生理学</w:t>
      </w:r>
      <w:r w:rsidRPr="00367215">
        <w:rPr>
          <w:rFonts w:ascii="ˎ̥" w:eastAsia="宋体" w:hAnsi="ˎ̥" w:cs="宋体"/>
          <w:color w:val="000000"/>
          <w:kern w:val="0"/>
          <w:sz w:val="24"/>
          <w:szCs w:val="24"/>
        </w:rPr>
        <w:t>》</w:t>
      </w:r>
      <w:r w:rsidRPr="00367215">
        <w:rPr>
          <w:rFonts w:ascii="ˎ̥" w:eastAsia="宋体" w:hAnsi="ˎ̥" w:cs="宋体" w:hint="eastAsia"/>
          <w:color w:val="000000"/>
          <w:kern w:val="0"/>
          <w:sz w:val="24"/>
          <w:szCs w:val="24"/>
        </w:rPr>
        <w:t>（</w:t>
      </w:r>
      <w:r w:rsidRPr="00367215">
        <w:rPr>
          <w:rFonts w:ascii="ˎ̥" w:eastAsia="宋体" w:hAnsi="ˎ̥" w:cs="宋体"/>
          <w:color w:val="000000"/>
          <w:kern w:val="0"/>
          <w:sz w:val="24"/>
          <w:szCs w:val="24"/>
        </w:rPr>
        <w:t>第</w:t>
      </w:r>
      <w:r w:rsidRPr="00367215">
        <w:rPr>
          <w:rFonts w:ascii="ˎ̥" w:eastAsia="宋体" w:hAnsi="ˎ̥" w:cs="宋体" w:hint="eastAsia"/>
          <w:color w:val="000000"/>
          <w:kern w:val="0"/>
          <w:sz w:val="24"/>
          <w:szCs w:val="24"/>
        </w:rPr>
        <w:t>七</w:t>
      </w:r>
      <w:r w:rsidRPr="00367215">
        <w:rPr>
          <w:rFonts w:ascii="ˎ̥" w:eastAsia="宋体" w:hAnsi="ˎ̥" w:cs="宋体"/>
          <w:color w:val="000000"/>
          <w:kern w:val="0"/>
          <w:sz w:val="24"/>
          <w:szCs w:val="24"/>
        </w:rPr>
        <w:t>版</w:t>
      </w:r>
      <w:r w:rsidRPr="00367215">
        <w:rPr>
          <w:rFonts w:ascii="ˎ̥" w:eastAsia="宋体" w:hAnsi="ˎ̥" w:cs="宋体" w:hint="eastAsia"/>
          <w:color w:val="000000"/>
          <w:kern w:val="0"/>
          <w:sz w:val="24"/>
          <w:szCs w:val="24"/>
        </w:rPr>
        <w:t>），人民卫生出版社，</w:t>
      </w:r>
      <w:r w:rsidRPr="00367215">
        <w:rPr>
          <w:rFonts w:ascii="宋体" w:eastAsia="宋体" w:hAnsi="宋体" w:cs="宋体"/>
          <w:color w:val="000000"/>
          <w:kern w:val="0"/>
          <w:sz w:val="24"/>
          <w:szCs w:val="24"/>
        </w:rPr>
        <w:t>20</w:t>
      </w:r>
      <w:r w:rsidRPr="00367215">
        <w:rPr>
          <w:rFonts w:ascii="宋体" w:eastAsia="宋体" w:hAnsi="宋体" w:cs="宋体" w:hint="eastAsia"/>
          <w:color w:val="000000"/>
          <w:kern w:val="0"/>
          <w:sz w:val="24"/>
          <w:szCs w:val="24"/>
        </w:rPr>
        <w:t>16年版</w:t>
      </w:r>
    </w:p>
    <w:p w14:paraId="337A795D" w14:textId="77777777" w:rsidR="00367215" w:rsidRPr="00367215" w:rsidRDefault="00367215" w:rsidP="00367215">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367215">
        <w:rPr>
          <w:rFonts w:ascii="黑体" w:eastAsia="黑体" w:hAnsi="黑体" w:cs="Times New Roman" w:hint="eastAsia"/>
          <w:sz w:val="28"/>
          <w:szCs w:val="28"/>
        </w:rPr>
        <w:t>（二）相关推荐书目</w:t>
      </w:r>
    </w:p>
    <w:p w14:paraId="7C8EBF72"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1</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王卫国</w:t>
      </w:r>
      <w:r w:rsidRPr="00367215">
        <w:rPr>
          <w:rFonts w:ascii="宋体" w:eastAsia="宋体" w:hAnsi="宋体" w:cs="Times New Roman"/>
          <w:sz w:val="24"/>
          <w:szCs w:val="24"/>
        </w:rPr>
        <w:t>主编：</w:t>
      </w:r>
      <w:r w:rsidRPr="00367215">
        <w:rPr>
          <w:rFonts w:ascii="宋体" w:eastAsia="宋体" w:hAnsi="宋体" w:cs="Times New Roman" w:hint="eastAsia"/>
          <w:sz w:val="24"/>
          <w:szCs w:val="24"/>
        </w:rPr>
        <w:t>《</w:t>
      </w:r>
      <w:r w:rsidRPr="00367215">
        <w:rPr>
          <w:rFonts w:ascii="宋体" w:eastAsia="宋体" w:hAnsi="宋体" w:cs="Times New Roman"/>
          <w:sz w:val="24"/>
          <w:szCs w:val="24"/>
        </w:rPr>
        <w:t>图表生理学</w:t>
      </w:r>
      <w:r w:rsidRPr="00367215">
        <w:rPr>
          <w:rFonts w:ascii="宋体" w:eastAsia="宋体" w:hAnsi="宋体" w:cs="Times New Roman" w:hint="eastAsia"/>
          <w:sz w:val="24"/>
          <w:szCs w:val="24"/>
        </w:rPr>
        <w:t>》，</w:t>
      </w:r>
      <w:r w:rsidRPr="00367215">
        <w:rPr>
          <w:rFonts w:ascii="宋体" w:eastAsia="宋体" w:hAnsi="宋体" w:cs="Times New Roman"/>
          <w:sz w:val="24"/>
          <w:szCs w:val="24"/>
        </w:rPr>
        <w:t>人民卫生出版社，20</w:t>
      </w:r>
      <w:r w:rsidRPr="00367215">
        <w:rPr>
          <w:rFonts w:ascii="宋体" w:eastAsia="宋体" w:hAnsi="宋体" w:cs="Times New Roman" w:hint="eastAsia"/>
          <w:sz w:val="24"/>
          <w:szCs w:val="24"/>
        </w:rPr>
        <w:t>10年版</w:t>
      </w:r>
    </w:p>
    <w:p w14:paraId="0B537061"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2</w:t>
      </w:r>
      <w:r w:rsidRPr="00367215">
        <w:rPr>
          <w:rFonts w:ascii="宋体" w:eastAsia="宋体" w:hAnsi="宋体" w:cs="Times New Roman"/>
          <w:sz w:val="24"/>
          <w:szCs w:val="24"/>
        </w:rPr>
        <w:t xml:space="preserve">. </w:t>
      </w:r>
      <w:r w:rsidRPr="00367215">
        <w:rPr>
          <w:rFonts w:ascii="宋体" w:eastAsia="宋体" w:hAnsi="宋体" w:cs="Times New Roman" w:hint="eastAsia"/>
          <w:sz w:val="24"/>
          <w:szCs w:val="24"/>
        </w:rPr>
        <w:t>王维洛主编：《人体解剖生理学》，</w:t>
      </w:r>
      <w:r w:rsidRPr="00367215">
        <w:rPr>
          <w:rFonts w:ascii="宋体" w:eastAsia="宋体" w:hAnsi="宋体" w:cs="Times New Roman"/>
          <w:sz w:val="24"/>
          <w:szCs w:val="24"/>
        </w:rPr>
        <w:t>人民卫生出版社，</w:t>
      </w:r>
      <w:r w:rsidRPr="00367215">
        <w:rPr>
          <w:rFonts w:ascii="宋体" w:eastAsia="宋体" w:hAnsi="宋体" w:cs="Times New Roman" w:hint="eastAsia"/>
          <w:sz w:val="24"/>
          <w:szCs w:val="24"/>
        </w:rPr>
        <w:t>2007年版</w:t>
      </w:r>
    </w:p>
    <w:p w14:paraId="1B0AE560"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3. 王维洛主编：《人体解剖生理学学习指导与习题集》，</w:t>
      </w:r>
      <w:r w:rsidRPr="00367215">
        <w:rPr>
          <w:rFonts w:ascii="宋体" w:eastAsia="宋体" w:hAnsi="宋体" w:cs="Times New Roman"/>
          <w:sz w:val="24"/>
          <w:szCs w:val="24"/>
        </w:rPr>
        <w:t>人民卫生出版社，</w:t>
      </w:r>
      <w:r w:rsidRPr="00367215">
        <w:rPr>
          <w:rFonts w:ascii="宋体" w:eastAsia="宋体" w:hAnsi="宋体" w:cs="Times New Roman" w:hint="eastAsia"/>
          <w:sz w:val="24"/>
          <w:szCs w:val="24"/>
        </w:rPr>
        <w:t>2007年版</w:t>
      </w:r>
    </w:p>
    <w:p w14:paraId="0C0E46D4"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4</w:t>
      </w:r>
      <w:r w:rsidRPr="00367215">
        <w:rPr>
          <w:rFonts w:ascii="宋体" w:eastAsia="宋体" w:hAnsi="宋体" w:cs="Times New Roman"/>
          <w:sz w:val="24"/>
          <w:szCs w:val="24"/>
        </w:rPr>
        <w:t>. 刘文彦主编：《生理学应试指南》，光明日报出版社，</w:t>
      </w:r>
      <w:r w:rsidRPr="00367215">
        <w:rPr>
          <w:rFonts w:ascii="宋体" w:eastAsia="宋体" w:hAnsi="宋体" w:cs="Times New Roman" w:hint="eastAsia"/>
          <w:sz w:val="24"/>
          <w:szCs w:val="24"/>
        </w:rPr>
        <w:t>2004年版</w:t>
      </w:r>
    </w:p>
    <w:p w14:paraId="1ABFFA46"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5. </w:t>
      </w:r>
      <w:r w:rsidRPr="00367215">
        <w:rPr>
          <w:rFonts w:ascii="宋体" w:eastAsia="宋体" w:hAnsi="宋体" w:cs="Times New Roman"/>
          <w:sz w:val="24"/>
          <w:szCs w:val="24"/>
        </w:rPr>
        <w:t>刘恒兴主编：《全彩人体解剖学图谱》，军事医科出版社出版，</w:t>
      </w:r>
      <w:r w:rsidRPr="00367215">
        <w:rPr>
          <w:rFonts w:ascii="宋体" w:eastAsia="宋体" w:hAnsi="宋体" w:cs="Times New Roman" w:hint="eastAsia"/>
          <w:sz w:val="24"/>
          <w:szCs w:val="24"/>
        </w:rPr>
        <w:t>2007年版</w:t>
      </w:r>
    </w:p>
    <w:p w14:paraId="51F11F4D" w14:textId="77777777" w:rsidR="00367215" w:rsidRPr="00367215" w:rsidRDefault="00367215" w:rsidP="00367215">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367215">
        <w:rPr>
          <w:rFonts w:ascii="黑体" w:eastAsia="黑体" w:hAnsi="黑体" w:cs="Times New Roman" w:hint="eastAsia"/>
          <w:sz w:val="28"/>
          <w:szCs w:val="28"/>
        </w:rPr>
        <w:t>（三）课程资源</w:t>
      </w:r>
    </w:p>
    <w:p w14:paraId="2A4ABEF1"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lastRenderedPageBreak/>
        <w:t xml:space="preserve">1. </w:t>
      </w:r>
      <w:proofErr w:type="gramStart"/>
      <w:r w:rsidRPr="00367215">
        <w:rPr>
          <w:rFonts w:ascii="宋体" w:eastAsia="宋体" w:hAnsi="宋体" w:cs="Times New Roman" w:hint="eastAsia"/>
          <w:sz w:val="24"/>
          <w:szCs w:val="24"/>
        </w:rPr>
        <w:t>超星慕课</w:t>
      </w:r>
      <w:proofErr w:type="gramEnd"/>
      <w:r w:rsidRPr="00367215">
        <w:rPr>
          <w:rFonts w:ascii="宋体" w:eastAsia="宋体" w:hAnsi="宋体" w:cs="Times New Roman" w:hint="eastAsia"/>
          <w:sz w:val="24"/>
          <w:szCs w:val="24"/>
        </w:rPr>
        <w:t>平台（</w:t>
      </w:r>
      <w:r>
        <w:fldChar w:fldCharType="begin"/>
      </w:r>
      <w:r>
        <w:instrText>HYPERLINK "https://mooc1-1.chaoxing.com/course/206140638.html"</w:instrText>
      </w:r>
      <w:r>
        <w:fldChar w:fldCharType="separate"/>
      </w:r>
      <w:r w:rsidRPr="00367215">
        <w:rPr>
          <w:rFonts w:ascii="Times New Roman" w:eastAsia="宋体" w:hAnsi="Times New Roman" w:cs="Times New Roman"/>
          <w:szCs w:val="24"/>
        </w:rPr>
        <w:t>https://mooc1-1.chaoxing.com/course/206140638.html</w:t>
      </w:r>
      <w:r>
        <w:rPr>
          <w:rFonts w:ascii="Times New Roman" w:eastAsia="宋体" w:hAnsi="Times New Roman" w:cs="Times New Roman"/>
          <w:szCs w:val="24"/>
        </w:rPr>
        <w:fldChar w:fldCharType="end"/>
      </w:r>
      <w:r w:rsidRPr="00367215">
        <w:rPr>
          <w:rFonts w:ascii="宋体" w:eastAsia="宋体" w:hAnsi="宋体" w:cs="Times New Roman" w:hint="eastAsia"/>
          <w:sz w:val="24"/>
          <w:szCs w:val="24"/>
        </w:rPr>
        <w:t>）</w:t>
      </w:r>
      <w:r w:rsidRPr="00367215">
        <w:rPr>
          <w:rFonts w:ascii="宋体" w:eastAsia="宋体" w:hAnsi="宋体" w:cs="Times New Roman"/>
          <w:sz w:val="24"/>
          <w:szCs w:val="24"/>
        </w:rPr>
        <w:t>，为本课程在线学习资源。</w:t>
      </w:r>
    </w:p>
    <w:p w14:paraId="108BE198"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2. </w:t>
      </w:r>
      <w:proofErr w:type="gramStart"/>
      <w:r w:rsidRPr="00367215">
        <w:rPr>
          <w:rFonts w:ascii="宋体" w:eastAsia="宋体" w:hAnsi="宋体" w:cs="Times New Roman" w:hint="eastAsia"/>
          <w:sz w:val="24"/>
          <w:szCs w:val="24"/>
        </w:rPr>
        <w:t>超星慕课</w:t>
      </w:r>
      <w:proofErr w:type="gramEnd"/>
      <w:r w:rsidRPr="00367215">
        <w:rPr>
          <w:rFonts w:ascii="宋体" w:eastAsia="宋体" w:hAnsi="宋体" w:cs="Times New Roman" w:hint="eastAsia"/>
          <w:sz w:val="24"/>
          <w:szCs w:val="24"/>
        </w:rPr>
        <w:t>平台（</w:t>
      </w:r>
      <w:r w:rsidRPr="00367215">
        <w:rPr>
          <w:rFonts w:ascii="宋体" w:eastAsia="宋体" w:hAnsi="宋体" w:cs="Times New Roman"/>
          <w:sz w:val="24"/>
          <w:szCs w:val="24"/>
        </w:rPr>
        <w:t>http://mooc1.chaoxing.com/course/203037762.html</w:t>
      </w:r>
      <w:r w:rsidRPr="00367215">
        <w:rPr>
          <w:rFonts w:ascii="宋体" w:eastAsia="宋体" w:hAnsi="宋体" w:cs="Times New Roman" w:hint="eastAsia"/>
          <w:sz w:val="24"/>
          <w:szCs w:val="24"/>
        </w:rPr>
        <w:t>），《考研生理学教学视频》。</w:t>
      </w:r>
    </w:p>
    <w:p w14:paraId="615A46FA"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 xml:space="preserve">3. </w:t>
      </w:r>
      <w:r w:rsidRPr="00367215">
        <w:rPr>
          <w:rFonts w:ascii="宋体" w:eastAsia="宋体" w:hAnsi="宋体" w:cs="Times New Roman"/>
          <w:sz w:val="24"/>
          <w:szCs w:val="24"/>
        </w:rPr>
        <w:t>学堂在线（https://next.xuetangx.com/）主页，搜索“人体生理学”，可获得由大连医科大学开设的《人体生理学》在线学习资源。</w:t>
      </w:r>
    </w:p>
    <w:p w14:paraId="5F61DEF4" w14:textId="77777777" w:rsidR="00367215" w:rsidRPr="00367215" w:rsidRDefault="00367215" w:rsidP="00C63ECC">
      <w:pPr>
        <w:pStyle w:val="afc"/>
      </w:pPr>
      <w:r w:rsidRPr="00367215">
        <w:rPr>
          <w:rFonts w:hint="eastAsia"/>
        </w:rPr>
        <w:t>七、课程大纲制定依据</w:t>
      </w:r>
    </w:p>
    <w:p w14:paraId="48B31354" w14:textId="77777777" w:rsidR="00367215" w:rsidRPr="00367215" w:rsidRDefault="00367215" w:rsidP="00367215">
      <w:pPr>
        <w:spacing w:line="440" w:lineRule="exact"/>
        <w:ind w:firstLineChars="200" w:firstLine="480"/>
        <w:rPr>
          <w:rFonts w:ascii="宋体" w:eastAsia="宋体" w:hAnsi="宋体" w:cs="Times New Roman"/>
          <w:sz w:val="24"/>
          <w:szCs w:val="24"/>
        </w:rPr>
      </w:pPr>
      <w:r w:rsidRPr="00367215">
        <w:rPr>
          <w:rFonts w:ascii="宋体" w:eastAsia="宋体" w:hAnsi="宋体" w:cs="Times New Roman" w:hint="eastAsia"/>
          <w:sz w:val="24"/>
          <w:szCs w:val="24"/>
        </w:rPr>
        <w:t>本课程大纲依据2023年药物分析专业人才培养方案制定。</w:t>
      </w:r>
    </w:p>
    <w:p w14:paraId="18F94B72" w14:textId="77777777" w:rsidR="00367215" w:rsidRPr="00367215" w:rsidRDefault="00367215" w:rsidP="00367215">
      <w:pPr>
        <w:spacing w:line="440" w:lineRule="exact"/>
        <w:ind w:firstLineChars="200" w:firstLine="480"/>
        <w:rPr>
          <w:rFonts w:ascii="宋体" w:eastAsia="宋体" w:hAnsi="宋体" w:cs="Times New Roman"/>
          <w:sz w:val="24"/>
          <w:szCs w:val="24"/>
        </w:rPr>
      </w:pPr>
    </w:p>
    <w:p w14:paraId="2ED0044B" w14:textId="77777777" w:rsidR="00367215" w:rsidRDefault="00367215" w:rsidP="0085474C">
      <w:pPr>
        <w:spacing w:line="440" w:lineRule="exact"/>
        <w:ind w:firstLineChars="200" w:firstLine="480"/>
        <w:rPr>
          <w:rFonts w:ascii="宋体" w:eastAsia="宋体" w:hAnsi="宋体" w:cs="Times New Roman"/>
          <w:sz w:val="24"/>
          <w:szCs w:val="24"/>
        </w:rPr>
      </w:pPr>
    </w:p>
    <w:p w14:paraId="7D418DB4" w14:textId="77777777" w:rsidR="00367215" w:rsidRDefault="00367215" w:rsidP="0085474C">
      <w:pPr>
        <w:spacing w:line="440" w:lineRule="exact"/>
        <w:ind w:firstLineChars="200" w:firstLine="480"/>
        <w:rPr>
          <w:rFonts w:ascii="宋体" w:eastAsia="宋体" w:hAnsi="宋体" w:cs="Times New Roman"/>
          <w:sz w:val="24"/>
          <w:szCs w:val="24"/>
        </w:rPr>
      </w:pPr>
    </w:p>
    <w:p w14:paraId="56E63823" w14:textId="77777777" w:rsidR="00367215" w:rsidRDefault="00367215" w:rsidP="0085474C">
      <w:pPr>
        <w:spacing w:line="440" w:lineRule="exact"/>
        <w:ind w:firstLineChars="200" w:firstLine="480"/>
        <w:rPr>
          <w:rFonts w:ascii="宋体" w:eastAsia="宋体" w:hAnsi="宋体" w:cs="Times New Roman"/>
          <w:sz w:val="24"/>
          <w:szCs w:val="24"/>
        </w:rPr>
      </w:pPr>
    </w:p>
    <w:p w14:paraId="59047965" w14:textId="77777777" w:rsidR="00367215" w:rsidRDefault="00367215" w:rsidP="0085474C">
      <w:pPr>
        <w:spacing w:line="440" w:lineRule="exact"/>
        <w:ind w:firstLineChars="200" w:firstLine="480"/>
        <w:rPr>
          <w:rFonts w:ascii="宋体" w:eastAsia="宋体" w:hAnsi="宋体" w:cs="Times New Roman"/>
          <w:sz w:val="24"/>
          <w:szCs w:val="24"/>
        </w:rPr>
      </w:pPr>
    </w:p>
    <w:p w14:paraId="1BB1FA00" w14:textId="77777777" w:rsidR="00367215" w:rsidRDefault="00367215" w:rsidP="0085474C">
      <w:pPr>
        <w:spacing w:line="440" w:lineRule="exact"/>
        <w:ind w:firstLineChars="200" w:firstLine="480"/>
        <w:rPr>
          <w:rFonts w:ascii="宋体" w:eastAsia="宋体" w:hAnsi="宋体" w:cs="Times New Roman"/>
          <w:sz w:val="24"/>
          <w:szCs w:val="24"/>
        </w:rPr>
      </w:pPr>
    </w:p>
    <w:p w14:paraId="15D09178" w14:textId="77777777" w:rsidR="00367215" w:rsidRDefault="00367215" w:rsidP="0085474C">
      <w:pPr>
        <w:spacing w:line="440" w:lineRule="exact"/>
        <w:ind w:firstLineChars="200" w:firstLine="480"/>
        <w:rPr>
          <w:rFonts w:ascii="宋体" w:eastAsia="宋体" w:hAnsi="宋体" w:cs="Times New Roman"/>
          <w:sz w:val="24"/>
          <w:szCs w:val="24"/>
        </w:rPr>
      </w:pPr>
    </w:p>
    <w:p w14:paraId="7D69564C" w14:textId="77777777" w:rsidR="00367215" w:rsidRDefault="00367215" w:rsidP="0085474C">
      <w:pPr>
        <w:spacing w:line="440" w:lineRule="exact"/>
        <w:ind w:firstLineChars="200" w:firstLine="480"/>
        <w:rPr>
          <w:rFonts w:ascii="宋体" w:eastAsia="宋体" w:hAnsi="宋体" w:cs="Times New Roman"/>
          <w:sz w:val="24"/>
          <w:szCs w:val="24"/>
        </w:rPr>
      </w:pPr>
    </w:p>
    <w:p w14:paraId="4D209A2B" w14:textId="77777777" w:rsidR="00367215" w:rsidRDefault="00367215" w:rsidP="0085474C">
      <w:pPr>
        <w:spacing w:line="440" w:lineRule="exact"/>
        <w:ind w:firstLineChars="200" w:firstLine="480"/>
        <w:rPr>
          <w:rFonts w:ascii="宋体" w:eastAsia="宋体" w:hAnsi="宋体" w:cs="Times New Roman"/>
          <w:sz w:val="24"/>
          <w:szCs w:val="24"/>
        </w:rPr>
      </w:pPr>
    </w:p>
    <w:p w14:paraId="76C7477F" w14:textId="77777777" w:rsidR="00367215" w:rsidRDefault="00367215" w:rsidP="0085474C">
      <w:pPr>
        <w:spacing w:line="440" w:lineRule="exact"/>
        <w:ind w:firstLineChars="200" w:firstLine="480"/>
        <w:rPr>
          <w:rFonts w:ascii="宋体" w:eastAsia="宋体" w:hAnsi="宋体" w:cs="Times New Roman"/>
          <w:sz w:val="24"/>
          <w:szCs w:val="24"/>
        </w:rPr>
      </w:pPr>
    </w:p>
    <w:p w14:paraId="560ED835" w14:textId="77777777" w:rsidR="00367215" w:rsidRDefault="00367215" w:rsidP="0085474C">
      <w:pPr>
        <w:spacing w:line="440" w:lineRule="exact"/>
        <w:ind w:firstLineChars="200" w:firstLine="480"/>
        <w:rPr>
          <w:rFonts w:ascii="宋体" w:eastAsia="宋体" w:hAnsi="宋体" w:cs="Times New Roman"/>
          <w:sz w:val="24"/>
          <w:szCs w:val="24"/>
        </w:rPr>
      </w:pPr>
    </w:p>
    <w:p w14:paraId="128959E0" w14:textId="77777777" w:rsidR="00367215" w:rsidRDefault="00367215" w:rsidP="0085474C">
      <w:pPr>
        <w:spacing w:line="440" w:lineRule="exact"/>
        <w:ind w:firstLineChars="200" w:firstLine="480"/>
        <w:rPr>
          <w:rFonts w:ascii="宋体" w:eastAsia="宋体" w:hAnsi="宋体" w:cs="Times New Roman"/>
          <w:sz w:val="24"/>
          <w:szCs w:val="24"/>
        </w:rPr>
      </w:pPr>
    </w:p>
    <w:p w14:paraId="3A499A14" w14:textId="77777777" w:rsidR="00367215" w:rsidRDefault="00367215" w:rsidP="0085474C">
      <w:pPr>
        <w:spacing w:line="440" w:lineRule="exact"/>
        <w:ind w:firstLineChars="200" w:firstLine="480"/>
        <w:rPr>
          <w:rFonts w:ascii="宋体" w:eastAsia="宋体" w:hAnsi="宋体" w:cs="Times New Roman"/>
          <w:sz w:val="24"/>
          <w:szCs w:val="24"/>
        </w:rPr>
      </w:pPr>
    </w:p>
    <w:p w14:paraId="34A8B17B" w14:textId="77777777" w:rsidR="00367215" w:rsidRDefault="00367215" w:rsidP="0085474C">
      <w:pPr>
        <w:spacing w:line="440" w:lineRule="exact"/>
        <w:ind w:firstLineChars="200" w:firstLine="480"/>
        <w:rPr>
          <w:rFonts w:ascii="宋体" w:eastAsia="宋体" w:hAnsi="宋体" w:cs="Times New Roman"/>
          <w:sz w:val="24"/>
          <w:szCs w:val="24"/>
        </w:rPr>
      </w:pPr>
    </w:p>
    <w:p w14:paraId="46AD88B6" w14:textId="77777777" w:rsidR="00813A33" w:rsidRDefault="00813A33" w:rsidP="00D31397">
      <w:pPr>
        <w:spacing w:line="440" w:lineRule="exact"/>
        <w:rPr>
          <w:rFonts w:ascii="楷体" w:eastAsia="楷体" w:hAnsi="楷体" w:cs="Times New Roman"/>
          <w:bCs/>
          <w:sz w:val="24"/>
          <w:szCs w:val="24"/>
        </w:rPr>
      </w:pPr>
    </w:p>
    <w:p w14:paraId="0A627D78" w14:textId="77777777" w:rsidR="00813A33" w:rsidRDefault="00813A33" w:rsidP="00D31397">
      <w:pPr>
        <w:spacing w:line="440" w:lineRule="exact"/>
        <w:rPr>
          <w:rFonts w:ascii="楷体" w:eastAsia="楷体" w:hAnsi="楷体" w:cs="Times New Roman"/>
          <w:bCs/>
          <w:sz w:val="24"/>
          <w:szCs w:val="24"/>
        </w:rPr>
      </w:pPr>
    </w:p>
    <w:p w14:paraId="7F7425C7" w14:textId="77777777" w:rsidR="00813A33" w:rsidRDefault="00813A33" w:rsidP="00D31397">
      <w:pPr>
        <w:spacing w:line="440" w:lineRule="exact"/>
        <w:rPr>
          <w:rFonts w:ascii="楷体" w:eastAsia="楷体" w:hAnsi="楷体" w:cs="Times New Roman"/>
          <w:bCs/>
          <w:sz w:val="24"/>
          <w:szCs w:val="24"/>
        </w:rPr>
      </w:pPr>
    </w:p>
    <w:p w14:paraId="25DA448C" w14:textId="77777777" w:rsidR="00813A33" w:rsidRDefault="00813A33" w:rsidP="00D31397">
      <w:pPr>
        <w:spacing w:line="440" w:lineRule="exact"/>
        <w:rPr>
          <w:rFonts w:ascii="楷体" w:eastAsia="楷体" w:hAnsi="楷体" w:cs="Times New Roman"/>
          <w:bCs/>
          <w:sz w:val="24"/>
          <w:szCs w:val="24"/>
        </w:rPr>
      </w:pPr>
    </w:p>
    <w:p w14:paraId="41846F13" w14:textId="77777777" w:rsidR="00813A33" w:rsidRDefault="00813A33" w:rsidP="00D31397">
      <w:pPr>
        <w:spacing w:line="440" w:lineRule="exact"/>
        <w:rPr>
          <w:rFonts w:ascii="楷体" w:eastAsia="楷体" w:hAnsi="楷体" w:cs="Times New Roman"/>
          <w:bCs/>
          <w:sz w:val="24"/>
          <w:szCs w:val="24"/>
        </w:rPr>
      </w:pPr>
    </w:p>
    <w:p w14:paraId="10A5F8EF" w14:textId="77777777" w:rsidR="00813A33" w:rsidRDefault="00813A33" w:rsidP="00D31397">
      <w:pPr>
        <w:spacing w:line="440" w:lineRule="exact"/>
        <w:rPr>
          <w:rFonts w:ascii="楷体" w:eastAsia="楷体" w:hAnsi="楷体" w:cs="Times New Roman"/>
          <w:bCs/>
          <w:sz w:val="24"/>
          <w:szCs w:val="24"/>
        </w:rPr>
      </w:pPr>
    </w:p>
    <w:p w14:paraId="4A4B91CF" w14:textId="77777777" w:rsidR="00813A33" w:rsidRDefault="00813A33" w:rsidP="00D31397">
      <w:pPr>
        <w:spacing w:line="440" w:lineRule="exact"/>
        <w:rPr>
          <w:rFonts w:ascii="楷体" w:eastAsia="楷体" w:hAnsi="楷体" w:cs="Times New Roman"/>
          <w:bCs/>
          <w:sz w:val="24"/>
          <w:szCs w:val="24"/>
        </w:rPr>
      </w:pPr>
    </w:p>
    <w:p w14:paraId="502599C0" w14:textId="77777777" w:rsidR="00813A33" w:rsidRDefault="00813A33" w:rsidP="00D31397">
      <w:pPr>
        <w:spacing w:line="440" w:lineRule="exact"/>
        <w:rPr>
          <w:rFonts w:ascii="楷体" w:eastAsia="楷体" w:hAnsi="楷体" w:cs="Times New Roman"/>
          <w:bCs/>
          <w:sz w:val="24"/>
          <w:szCs w:val="24"/>
        </w:rPr>
      </w:pPr>
    </w:p>
    <w:p w14:paraId="4D8835A3" w14:textId="77777777" w:rsidR="00534EC2" w:rsidRPr="00534EC2" w:rsidRDefault="00534EC2" w:rsidP="00884E21">
      <w:pPr>
        <w:pStyle w:val="1"/>
      </w:pPr>
      <w:bookmarkStart w:id="215" w:name="_Toc149662364"/>
      <w:r w:rsidRPr="00534EC2">
        <w:rPr>
          <w:rFonts w:hint="eastAsia"/>
        </w:rPr>
        <w:lastRenderedPageBreak/>
        <w:t>《药物化学》课程大纲</w:t>
      </w:r>
      <w:bookmarkEnd w:id="215"/>
    </w:p>
    <w:p w14:paraId="7D7E94B7" w14:textId="77777777" w:rsidR="00534EC2" w:rsidRPr="00534EC2" w:rsidRDefault="00534EC2" w:rsidP="00534EC2">
      <w:pPr>
        <w:spacing w:beforeLines="50" w:before="156" w:afterLines="50" w:after="156" w:line="440" w:lineRule="exact"/>
        <w:rPr>
          <w:rFonts w:ascii="黑体" w:eastAsia="黑体" w:hAnsi="黑体" w:cs="Times New Roman"/>
          <w:sz w:val="28"/>
          <w:szCs w:val="28"/>
        </w:rPr>
      </w:pPr>
      <w:r w:rsidRPr="00534EC2">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5"/>
        <w:gridCol w:w="2766"/>
        <w:gridCol w:w="1535"/>
        <w:gridCol w:w="2881"/>
      </w:tblGrid>
      <w:tr w:rsidR="00534EC2" w:rsidRPr="00534EC2" w14:paraId="3C031740" w14:textId="77777777" w:rsidTr="00534EC2">
        <w:trPr>
          <w:trHeight w:val="886"/>
          <w:jc w:val="center"/>
        </w:trPr>
        <w:tc>
          <w:tcPr>
            <w:tcW w:w="1668" w:type="dxa"/>
            <w:vAlign w:val="center"/>
          </w:tcPr>
          <w:p w14:paraId="7C1C1CE6"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课程名称</w:t>
            </w:r>
          </w:p>
        </w:tc>
        <w:tc>
          <w:tcPr>
            <w:tcW w:w="2833" w:type="dxa"/>
            <w:vAlign w:val="center"/>
          </w:tcPr>
          <w:p w14:paraId="5D8D9D76"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药物化学</w:t>
            </w:r>
          </w:p>
        </w:tc>
        <w:tc>
          <w:tcPr>
            <w:tcW w:w="1561" w:type="dxa"/>
            <w:vAlign w:val="center"/>
          </w:tcPr>
          <w:p w14:paraId="1CDEA617"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课程代码</w:t>
            </w:r>
          </w:p>
        </w:tc>
        <w:tc>
          <w:tcPr>
            <w:tcW w:w="2941" w:type="dxa"/>
            <w:vAlign w:val="center"/>
          </w:tcPr>
          <w:p w14:paraId="24967B40" w14:textId="77777777" w:rsidR="00534EC2" w:rsidRPr="00534EC2" w:rsidRDefault="00534EC2" w:rsidP="00534EC2">
            <w:pPr>
              <w:autoSpaceDE w:val="0"/>
              <w:autoSpaceDN w:val="0"/>
              <w:adjustRightInd w:val="0"/>
              <w:snapToGrid w:val="0"/>
              <w:spacing w:line="500" w:lineRule="exact"/>
              <w:rPr>
                <w:rFonts w:ascii="宋体" w:eastAsia="宋体" w:hAnsi="Times New Roman" w:cs="Times New Roman"/>
                <w:color w:val="000000"/>
                <w:kern w:val="0"/>
                <w:sz w:val="24"/>
                <w:szCs w:val="24"/>
              </w:rPr>
            </w:pPr>
            <w:r w:rsidRPr="00534EC2">
              <w:rPr>
                <w:rFonts w:ascii="Times New Roman" w:eastAsia="宋体" w:hAnsi="Times New Roman" w:cs="Times New Roman" w:hint="eastAsia"/>
                <w:kern w:val="0"/>
                <w:sz w:val="24"/>
                <w:szCs w:val="24"/>
              </w:rPr>
              <w:t>0713913</w:t>
            </w:r>
            <w:r w:rsidRPr="00534EC2">
              <w:rPr>
                <w:rFonts w:ascii="宋体" w:eastAsia="宋体" w:hAnsi="Times New Roman" w:cs="Times New Roman"/>
                <w:color w:val="000000"/>
                <w:kern w:val="0"/>
                <w:sz w:val="24"/>
                <w:szCs w:val="24"/>
              </w:rPr>
              <w:t xml:space="preserve"> </w:t>
            </w:r>
          </w:p>
        </w:tc>
      </w:tr>
      <w:tr w:rsidR="00534EC2" w:rsidRPr="00534EC2" w14:paraId="56992823" w14:textId="77777777" w:rsidTr="00534EC2">
        <w:trPr>
          <w:trHeight w:val="829"/>
          <w:jc w:val="center"/>
        </w:trPr>
        <w:tc>
          <w:tcPr>
            <w:tcW w:w="1668" w:type="dxa"/>
            <w:vAlign w:val="center"/>
          </w:tcPr>
          <w:p w14:paraId="5D9FB349"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课程类别</w:t>
            </w:r>
          </w:p>
        </w:tc>
        <w:tc>
          <w:tcPr>
            <w:tcW w:w="2833" w:type="dxa"/>
            <w:vAlign w:val="center"/>
          </w:tcPr>
          <w:p w14:paraId="52ADEAD5" w14:textId="77777777" w:rsidR="00534EC2" w:rsidRPr="00534EC2" w:rsidRDefault="00534EC2" w:rsidP="00534EC2">
            <w:pPr>
              <w:spacing w:line="440" w:lineRule="exact"/>
              <w:jc w:val="center"/>
              <w:rPr>
                <w:rFonts w:ascii="宋体" w:eastAsia="宋体" w:hAnsi="宋体" w:cs="Times New Roman"/>
                <w:sz w:val="24"/>
                <w:szCs w:val="24"/>
              </w:rPr>
            </w:pPr>
            <w:r w:rsidRPr="00884E21">
              <w:rPr>
                <w:rFonts w:ascii="宋体" w:eastAsia="宋体" w:hAnsi="宋体" w:cs="Times New Roman" w:hint="eastAsia"/>
                <w:sz w:val="24"/>
                <w:szCs w:val="24"/>
              </w:rPr>
              <w:t>药物分析</w:t>
            </w:r>
            <w:r w:rsidRPr="00884E21">
              <w:rPr>
                <w:rFonts w:ascii="宋体" w:eastAsia="宋体" w:hAnsi="宋体" w:cs="Times New Roman"/>
                <w:sz w:val="24"/>
                <w:szCs w:val="24"/>
              </w:rPr>
              <w:t>方向课程</w:t>
            </w:r>
          </w:p>
        </w:tc>
        <w:tc>
          <w:tcPr>
            <w:tcW w:w="1561" w:type="dxa"/>
            <w:vAlign w:val="center"/>
          </w:tcPr>
          <w:p w14:paraId="7516DC1F"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学时</w:t>
            </w:r>
          </w:p>
          <w:p w14:paraId="09077CF0"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/学分</w:t>
            </w:r>
          </w:p>
        </w:tc>
        <w:tc>
          <w:tcPr>
            <w:tcW w:w="2941" w:type="dxa"/>
            <w:vAlign w:val="center"/>
          </w:tcPr>
          <w:p w14:paraId="7F50B769"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48学时/3学分</w:t>
            </w:r>
          </w:p>
        </w:tc>
      </w:tr>
      <w:tr w:rsidR="00534EC2" w:rsidRPr="00534EC2" w14:paraId="5C408064" w14:textId="77777777" w:rsidTr="00534EC2">
        <w:trPr>
          <w:trHeight w:val="811"/>
          <w:jc w:val="center"/>
        </w:trPr>
        <w:tc>
          <w:tcPr>
            <w:tcW w:w="1668" w:type="dxa"/>
            <w:vAlign w:val="center"/>
          </w:tcPr>
          <w:p w14:paraId="4CA59D42"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开课单位</w:t>
            </w:r>
          </w:p>
        </w:tc>
        <w:tc>
          <w:tcPr>
            <w:tcW w:w="2833" w:type="dxa"/>
            <w:vAlign w:val="center"/>
          </w:tcPr>
          <w:p w14:paraId="088EBEF4"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化工学院</w:t>
            </w:r>
          </w:p>
        </w:tc>
        <w:tc>
          <w:tcPr>
            <w:tcW w:w="1561" w:type="dxa"/>
            <w:vAlign w:val="center"/>
          </w:tcPr>
          <w:p w14:paraId="67403F2D"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适用专业</w:t>
            </w:r>
          </w:p>
        </w:tc>
        <w:tc>
          <w:tcPr>
            <w:tcW w:w="2941" w:type="dxa"/>
            <w:vAlign w:val="center"/>
          </w:tcPr>
          <w:p w14:paraId="26C48574" w14:textId="77777777" w:rsidR="00534EC2" w:rsidRPr="00534EC2" w:rsidRDefault="00534EC2" w:rsidP="00534EC2">
            <w:pPr>
              <w:spacing w:line="440" w:lineRule="exact"/>
              <w:jc w:val="center"/>
              <w:rPr>
                <w:rFonts w:ascii="宋体" w:eastAsia="宋体" w:hAnsi="宋体" w:cs="Times New Roman"/>
                <w:sz w:val="24"/>
                <w:szCs w:val="24"/>
              </w:rPr>
            </w:pPr>
            <w:r w:rsidRPr="00884E21">
              <w:rPr>
                <w:rFonts w:ascii="宋体" w:eastAsia="宋体" w:hAnsi="宋体" w:cs="Times New Roman" w:hint="eastAsia"/>
                <w:sz w:val="24"/>
                <w:szCs w:val="24"/>
              </w:rPr>
              <w:t>药物分析本科专业</w:t>
            </w:r>
          </w:p>
        </w:tc>
      </w:tr>
      <w:tr w:rsidR="00534EC2" w:rsidRPr="00534EC2" w14:paraId="5E607270" w14:textId="77777777" w:rsidTr="00534EC2">
        <w:trPr>
          <w:trHeight w:val="811"/>
          <w:jc w:val="center"/>
        </w:trPr>
        <w:tc>
          <w:tcPr>
            <w:tcW w:w="1668" w:type="dxa"/>
            <w:vAlign w:val="center"/>
          </w:tcPr>
          <w:p w14:paraId="318A6095"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课程负责人</w:t>
            </w:r>
          </w:p>
        </w:tc>
        <w:tc>
          <w:tcPr>
            <w:tcW w:w="7335" w:type="dxa"/>
            <w:gridSpan w:val="3"/>
            <w:vAlign w:val="center"/>
          </w:tcPr>
          <w:p w14:paraId="24A80F52" w14:textId="77777777" w:rsidR="00534EC2" w:rsidRPr="00534EC2" w:rsidRDefault="00534EC2" w:rsidP="00534EC2">
            <w:pPr>
              <w:spacing w:line="440" w:lineRule="exact"/>
              <w:jc w:val="center"/>
              <w:rPr>
                <w:rFonts w:ascii="宋体" w:eastAsia="宋体" w:hAnsi="宋体" w:cs="Times New Roman"/>
                <w:sz w:val="24"/>
                <w:szCs w:val="24"/>
              </w:rPr>
            </w:pPr>
            <w:proofErr w:type="gramStart"/>
            <w:r w:rsidRPr="00884E21">
              <w:rPr>
                <w:rFonts w:ascii="宋体" w:eastAsia="宋体" w:hAnsi="宋体" w:cs="Times New Roman" w:hint="eastAsia"/>
                <w:sz w:val="24"/>
                <w:szCs w:val="24"/>
              </w:rPr>
              <w:t>董岩</w:t>
            </w:r>
            <w:proofErr w:type="gramEnd"/>
          </w:p>
        </w:tc>
      </w:tr>
      <w:tr w:rsidR="00534EC2" w:rsidRPr="00534EC2" w14:paraId="54E3683E" w14:textId="77777777" w:rsidTr="00534EC2">
        <w:trPr>
          <w:trHeight w:val="836"/>
          <w:jc w:val="center"/>
        </w:trPr>
        <w:tc>
          <w:tcPr>
            <w:tcW w:w="1668" w:type="dxa"/>
            <w:vAlign w:val="center"/>
          </w:tcPr>
          <w:p w14:paraId="35130EA0"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大纲撰写人</w:t>
            </w:r>
          </w:p>
        </w:tc>
        <w:tc>
          <w:tcPr>
            <w:tcW w:w="2833" w:type="dxa"/>
            <w:vAlign w:val="center"/>
          </w:tcPr>
          <w:p w14:paraId="3724E518" w14:textId="77777777" w:rsidR="00534EC2" w:rsidRPr="00534EC2" w:rsidRDefault="00534EC2" w:rsidP="00534EC2">
            <w:pPr>
              <w:spacing w:line="440" w:lineRule="exact"/>
              <w:jc w:val="center"/>
              <w:rPr>
                <w:rFonts w:ascii="宋体" w:eastAsia="宋体" w:hAnsi="宋体" w:cs="Times New Roman"/>
                <w:sz w:val="24"/>
                <w:szCs w:val="24"/>
              </w:rPr>
            </w:pPr>
            <w:proofErr w:type="gramStart"/>
            <w:r w:rsidRPr="00884E21">
              <w:rPr>
                <w:rFonts w:ascii="宋体" w:eastAsia="宋体" w:hAnsi="宋体" w:cs="Times New Roman" w:hint="eastAsia"/>
                <w:sz w:val="24"/>
                <w:szCs w:val="24"/>
              </w:rPr>
              <w:t>董岩</w:t>
            </w:r>
            <w:proofErr w:type="gramEnd"/>
          </w:p>
        </w:tc>
        <w:tc>
          <w:tcPr>
            <w:tcW w:w="1561" w:type="dxa"/>
            <w:vAlign w:val="center"/>
          </w:tcPr>
          <w:p w14:paraId="1D75A2D0"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大纲审核人</w:t>
            </w:r>
          </w:p>
        </w:tc>
        <w:tc>
          <w:tcPr>
            <w:tcW w:w="2941" w:type="dxa"/>
            <w:vAlign w:val="center"/>
          </w:tcPr>
          <w:p w14:paraId="44F3B7EA" w14:textId="77777777" w:rsidR="00534EC2" w:rsidRPr="00534EC2" w:rsidRDefault="00534EC2" w:rsidP="00534EC2">
            <w:pPr>
              <w:spacing w:line="440" w:lineRule="exact"/>
              <w:jc w:val="center"/>
              <w:rPr>
                <w:rFonts w:ascii="宋体" w:eastAsia="宋体" w:hAnsi="宋体" w:cs="Times New Roman"/>
                <w:sz w:val="24"/>
                <w:szCs w:val="24"/>
              </w:rPr>
            </w:pPr>
            <w:proofErr w:type="gramStart"/>
            <w:r w:rsidRPr="00884E21">
              <w:rPr>
                <w:rFonts w:ascii="宋体" w:eastAsia="宋体" w:hAnsi="宋体" w:cs="Times New Roman" w:hint="eastAsia"/>
                <w:sz w:val="24"/>
                <w:szCs w:val="24"/>
              </w:rPr>
              <w:t>冯</w:t>
            </w:r>
            <w:proofErr w:type="gramEnd"/>
            <w:r w:rsidRPr="00884E21">
              <w:rPr>
                <w:rFonts w:ascii="宋体" w:eastAsia="宋体" w:hAnsi="宋体" w:cs="Times New Roman" w:hint="eastAsia"/>
                <w:sz w:val="24"/>
                <w:szCs w:val="24"/>
              </w:rPr>
              <w:t>小龙</w:t>
            </w:r>
          </w:p>
        </w:tc>
      </w:tr>
      <w:tr w:rsidR="00534EC2" w:rsidRPr="00534EC2" w14:paraId="2D94C754" w14:textId="77777777" w:rsidTr="00534EC2">
        <w:trPr>
          <w:trHeight w:val="848"/>
          <w:jc w:val="center"/>
        </w:trPr>
        <w:tc>
          <w:tcPr>
            <w:tcW w:w="1668" w:type="dxa"/>
            <w:vAlign w:val="center"/>
          </w:tcPr>
          <w:p w14:paraId="3323035E"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先修课程</w:t>
            </w:r>
          </w:p>
        </w:tc>
        <w:tc>
          <w:tcPr>
            <w:tcW w:w="7335" w:type="dxa"/>
            <w:gridSpan w:val="3"/>
            <w:vAlign w:val="center"/>
          </w:tcPr>
          <w:p w14:paraId="6144F5C1" w14:textId="77777777" w:rsidR="00534EC2" w:rsidRPr="00534EC2" w:rsidRDefault="00534EC2" w:rsidP="00534EC2">
            <w:pPr>
              <w:spacing w:line="440" w:lineRule="exact"/>
              <w:rPr>
                <w:rFonts w:ascii="宋体" w:eastAsia="宋体" w:hAnsi="宋体" w:cs="Times New Roman"/>
                <w:sz w:val="24"/>
                <w:szCs w:val="24"/>
              </w:rPr>
            </w:pPr>
            <w:r w:rsidRPr="00534EC2">
              <w:rPr>
                <w:rFonts w:ascii="宋体" w:eastAsia="宋体" w:hAnsi="宋体" w:cs="Times New Roman" w:hint="eastAsia"/>
                <w:sz w:val="24"/>
                <w:szCs w:val="24"/>
              </w:rPr>
              <w:t>先</w:t>
            </w:r>
            <w:r w:rsidRPr="00534EC2">
              <w:rPr>
                <w:rFonts w:ascii="宋体" w:eastAsia="宋体" w:hAnsi="宋体" w:cs="楷体_GB2312" w:hint="eastAsia"/>
                <w:color w:val="000000"/>
                <w:kern w:val="0"/>
                <w:sz w:val="24"/>
                <w:szCs w:val="24"/>
              </w:rPr>
              <w:t>修课程为《有机化学》、《生理学》、《生物化学》</w:t>
            </w:r>
          </w:p>
        </w:tc>
      </w:tr>
      <w:tr w:rsidR="00534EC2" w:rsidRPr="00534EC2" w14:paraId="711D4F60" w14:textId="77777777" w:rsidTr="00534EC2">
        <w:trPr>
          <w:trHeight w:val="848"/>
          <w:jc w:val="center"/>
        </w:trPr>
        <w:tc>
          <w:tcPr>
            <w:tcW w:w="1668" w:type="dxa"/>
            <w:vAlign w:val="center"/>
          </w:tcPr>
          <w:p w14:paraId="3FAFAFAB"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课程网址</w:t>
            </w:r>
          </w:p>
        </w:tc>
        <w:tc>
          <w:tcPr>
            <w:tcW w:w="7335" w:type="dxa"/>
            <w:gridSpan w:val="3"/>
            <w:vAlign w:val="center"/>
          </w:tcPr>
          <w:p w14:paraId="51F2F7E8" w14:textId="77777777" w:rsidR="00534EC2" w:rsidRPr="00534EC2" w:rsidRDefault="00534EC2" w:rsidP="00534EC2">
            <w:pPr>
              <w:spacing w:line="440" w:lineRule="exact"/>
              <w:rPr>
                <w:rFonts w:ascii="宋体" w:eastAsia="宋体" w:hAnsi="宋体" w:cs="Times New Roman"/>
                <w:sz w:val="24"/>
                <w:szCs w:val="24"/>
              </w:rPr>
            </w:pPr>
            <w:r w:rsidRPr="00534EC2">
              <w:rPr>
                <w:rFonts w:ascii="宋体" w:eastAsia="宋体" w:hAnsi="宋体" w:cs="Times New Roman"/>
                <w:sz w:val="24"/>
                <w:szCs w:val="24"/>
              </w:rPr>
              <w:t>https://www.icourse163.org/course/CPU-1001570004</w:t>
            </w:r>
          </w:p>
        </w:tc>
      </w:tr>
    </w:tbl>
    <w:p w14:paraId="0C7B1CC0" w14:textId="77777777" w:rsidR="00534EC2" w:rsidRPr="00534EC2" w:rsidRDefault="00534EC2" w:rsidP="00534EC2">
      <w:pPr>
        <w:spacing w:beforeLines="50" w:before="156" w:afterLines="50" w:after="156" w:line="440" w:lineRule="exact"/>
        <w:rPr>
          <w:rFonts w:ascii="黑体" w:eastAsia="黑体" w:hAnsi="黑体" w:cs="Times New Roman"/>
          <w:sz w:val="28"/>
          <w:szCs w:val="28"/>
        </w:rPr>
      </w:pPr>
      <w:r w:rsidRPr="00534EC2">
        <w:rPr>
          <w:rFonts w:ascii="黑体" w:eastAsia="黑体" w:hAnsi="黑体" w:cs="Times New Roman" w:hint="eastAsia"/>
          <w:sz w:val="28"/>
          <w:szCs w:val="28"/>
        </w:rPr>
        <w:t>二、课程学习目标及与毕业要求的对应关系</w:t>
      </w:r>
    </w:p>
    <w:p w14:paraId="6A0AA36D" w14:textId="77777777" w:rsidR="00534EC2" w:rsidRPr="00534EC2" w:rsidRDefault="00534EC2" w:rsidP="00534EC2">
      <w:pPr>
        <w:spacing w:beforeLines="50" w:before="156" w:afterLines="50" w:after="156" w:line="440" w:lineRule="exact"/>
        <w:rPr>
          <w:rFonts w:ascii="黑体" w:eastAsia="黑体" w:hAnsi="黑体" w:cs="Times New Roman"/>
          <w:sz w:val="28"/>
          <w:szCs w:val="28"/>
        </w:rPr>
      </w:pPr>
      <w:r w:rsidRPr="00534EC2">
        <w:rPr>
          <w:rFonts w:ascii="黑体" w:eastAsia="黑体" w:hAnsi="黑体" w:cs="Times New Roman" w:hint="eastAsia"/>
          <w:sz w:val="28"/>
          <w:szCs w:val="28"/>
        </w:rPr>
        <w:t>（一）课程学习目标</w:t>
      </w:r>
    </w:p>
    <w:p w14:paraId="352C76D9" w14:textId="77777777" w:rsidR="0071757F" w:rsidRDefault="00534EC2" w:rsidP="00D225FF">
      <w:pPr>
        <w:spacing w:line="440" w:lineRule="exac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通过本课程的学习，使学生达到以下目标：</w:t>
      </w:r>
      <w:bookmarkStart w:id="216" w:name="_Hlk54184852"/>
    </w:p>
    <w:p w14:paraId="05D82C0A" w14:textId="77777777" w:rsidR="00534EC2" w:rsidRPr="0071757F" w:rsidRDefault="001D5D9F" w:rsidP="00D225FF">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1.</w:t>
      </w:r>
      <w:r w:rsidR="00534EC2" w:rsidRPr="001D5D9F">
        <w:rPr>
          <w:rFonts w:ascii="Times New Roman" w:eastAsia="宋体" w:hAnsi="Times New Roman" w:cs="Times New Roman" w:hint="eastAsia"/>
          <w:color w:val="000000"/>
          <w:sz w:val="24"/>
          <w:szCs w:val="24"/>
        </w:rPr>
        <w:t>掌握药物化学基础知识、基本理论，了解药物化学的知识体系、学科前沿、</w:t>
      </w:r>
      <w:r w:rsidR="00534EC2" w:rsidRPr="00534EC2">
        <w:rPr>
          <w:rFonts w:ascii="Times New Roman" w:eastAsia="宋体" w:hAnsi="Times New Roman" w:cs="Times New Roman" w:hint="eastAsia"/>
          <w:color w:val="000000"/>
          <w:sz w:val="24"/>
          <w:szCs w:val="24"/>
        </w:rPr>
        <w:t>发展趋势和应用前景，逐步建立可持续发展理念，</w:t>
      </w:r>
      <w:r w:rsidR="00534EC2" w:rsidRPr="00534EC2">
        <w:rPr>
          <w:rFonts w:ascii="Times New Roman" w:eastAsia="宋体" w:hAnsi="Times New Roman" w:cs="Times New Roman" w:hint="eastAsia"/>
          <w:sz w:val="24"/>
          <w:szCs w:val="24"/>
        </w:rPr>
        <w:t>培养出具有爱国情怀、工匠精神、广阔胸襟、勇于创新的本科药学专业人才</w:t>
      </w:r>
      <w:r w:rsidR="00534EC2" w:rsidRPr="001D5D9F">
        <w:rPr>
          <w:rFonts w:ascii="Times New Roman" w:eastAsia="宋体" w:hAnsi="Times New Roman" w:cs="Times New Roman" w:hint="eastAsia"/>
          <w:color w:val="000000"/>
          <w:sz w:val="24"/>
          <w:szCs w:val="24"/>
        </w:rPr>
        <w:t>。</w:t>
      </w:r>
      <w:bookmarkEnd w:id="216"/>
      <w:r w:rsidR="00534EC2" w:rsidRPr="00D225FF">
        <w:rPr>
          <w:rFonts w:ascii="Times New Roman" w:eastAsia="宋体" w:hAnsi="Times New Roman" w:cs="Times New Roman" w:hint="eastAsia"/>
          <w:b/>
          <w:bCs/>
          <w:color w:val="000000"/>
          <w:sz w:val="24"/>
          <w:szCs w:val="24"/>
        </w:rPr>
        <w:t>【毕业要求</w:t>
      </w:r>
      <w:r w:rsidR="00534EC2" w:rsidRPr="00D225FF">
        <w:rPr>
          <w:rFonts w:ascii="Times New Roman" w:eastAsia="宋体" w:hAnsi="Times New Roman" w:cs="Times New Roman" w:hint="eastAsia"/>
          <w:b/>
          <w:bCs/>
          <w:color w:val="000000"/>
          <w:sz w:val="24"/>
          <w:szCs w:val="24"/>
        </w:rPr>
        <w:t>1</w:t>
      </w:r>
      <w:r w:rsidR="00534EC2" w:rsidRPr="00D225FF">
        <w:rPr>
          <w:rFonts w:ascii="Times New Roman" w:eastAsia="宋体" w:hAnsi="Times New Roman" w:cs="Times New Roman" w:hint="eastAsia"/>
          <w:b/>
          <w:bCs/>
          <w:color w:val="000000"/>
          <w:sz w:val="24"/>
          <w:szCs w:val="24"/>
        </w:rPr>
        <w:t>：药学知识】</w:t>
      </w:r>
    </w:p>
    <w:p w14:paraId="511E40DE" w14:textId="77777777" w:rsidR="00534EC2" w:rsidRPr="00534EC2" w:rsidRDefault="00534EC2" w:rsidP="00D225FF">
      <w:pPr>
        <w:spacing w:line="440" w:lineRule="exact"/>
        <w:ind w:firstLineChars="200" w:firstLine="480"/>
        <w:rPr>
          <w:rFonts w:ascii="Times New Roman" w:eastAsia="宋体" w:hAnsi="Times New Roman" w:cs="Times New Roman"/>
          <w:color w:val="000000"/>
          <w:sz w:val="24"/>
          <w:szCs w:val="24"/>
          <w:highlight w:val="yellow"/>
        </w:rPr>
      </w:pPr>
      <w:r w:rsidRPr="00534EC2">
        <w:rPr>
          <w:rFonts w:ascii="Times New Roman" w:eastAsia="宋体" w:hAnsi="Times New Roman" w:cs="Times New Roman" w:hint="eastAsia"/>
          <w:color w:val="000000"/>
          <w:sz w:val="24"/>
          <w:szCs w:val="24"/>
        </w:rPr>
        <w:t>2.</w:t>
      </w:r>
      <w:r w:rsidRPr="00534EC2">
        <w:rPr>
          <w:rFonts w:ascii="Times New Roman" w:eastAsia="宋体" w:hAnsi="Times New Roman" w:cs="Times New Roman"/>
          <w:color w:val="000000"/>
          <w:sz w:val="24"/>
          <w:szCs w:val="24"/>
        </w:rPr>
        <w:t xml:space="preserve"> </w:t>
      </w:r>
      <w:r w:rsidRPr="00534EC2">
        <w:rPr>
          <w:rFonts w:ascii="Times New Roman" w:eastAsia="宋体" w:hAnsi="Times New Roman" w:cs="Times New Roman"/>
          <w:color w:val="000000"/>
          <w:sz w:val="24"/>
          <w:szCs w:val="24"/>
        </w:rPr>
        <w:t>掌握数学、自然科学、工程基础和制药</w:t>
      </w:r>
      <w:r w:rsidR="002E4147">
        <w:rPr>
          <w:rFonts w:ascii="Times New Roman" w:eastAsia="宋体" w:hAnsi="Times New Roman" w:cs="Times New Roman" w:hint="eastAsia"/>
          <w:color w:val="000000"/>
          <w:sz w:val="24"/>
          <w:szCs w:val="24"/>
        </w:rPr>
        <w:t>药学专业</w:t>
      </w:r>
      <w:r w:rsidRPr="00534EC2">
        <w:rPr>
          <w:rFonts w:ascii="Times New Roman" w:eastAsia="宋体" w:hAnsi="Times New Roman" w:cs="Times New Roman"/>
          <w:color w:val="000000"/>
          <w:sz w:val="24"/>
          <w:szCs w:val="24"/>
        </w:rPr>
        <w:t>相关知识，并能够将其用于解决制药过程中的复杂工程问题。</w:t>
      </w:r>
      <w:r w:rsidRPr="00D225FF">
        <w:rPr>
          <w:rFonts w:ascii="Times New Roman" w:eastAsia="宋体" w:hAnsi="Times New Roman" w:cs="Times New Roman" w:hint="eastAsia"/>
          <w:b/>
          <w:bCs/>
          <w:color w:val="000000"/>
          <w:sz w:val="24"/>
          <w:szCs w:val="21"/>
        </w:rPr>
        <w:t>【毕业要求</w:t>
      </w:r>
      <w:r w:rsidRPr="00D225FF">
        <w:rPr>
          <w:rFonts w:ascii="Times New Roman" w:eastAsia="宋体" w:hAnsi="Times New Roman" w:cs="Times New Roman" w:hint="eastAsia"/>
          <w:b/>
          <w:bCs/>
          <w:color w:val="000000"/>
          <w:sz w:val="24"/>
          <w:szCs w:val="21"/>
        </w:rPr>
        <w:t>2</w:t>
      </w:r>
      <w:r w:rsidRPr="00D225FF">
        <w:rPr>
          <w:rFonts w:ascii="Times New Roman" w:eastAsia="宋体" w:hAnsi="Times New Roman" w:cs="Times New Roman" w:hint="eastAsia"/>
          <w:b/>
          <w:bCs/>
          <w:color w:val="000000"/>
          <w:sz w:val="24"/>
          <w:szCs w:val="21"/>
        </w:rPr>
        <w:t>：问题分析】</w:t>
      </w:r>
    </w:p>
    <w:p w14:paraId="10AB5832" w14:textId="77777777" w:rsidR="00534EC2" w:rsidRPr="00D225FF" w:rsidRDefault="00534EC2" w:rsidP="00D225FF">
      <w:pPr>
        <w:spacing w:line="440" w:lineRule="exact"/>
        <w:ind w:firstLineChars="200" w:firstLine="480"/>
        <w:rPr>
          <w:rFonts w:ascii="Times New Roman" w:eastAsia="宋体" w:hAnsi="Times New Roman" w:cs="Times New Roman"/>
          <w:b/>
          <w:bCs/>
          <w:color w:val="000000"/>
          <w:sz w:val="24"/>
          <w:szCs w:val="24"/>
        </w:rPr>
      </w:pPr>
      <w:r w:rsidRPr="00534EC2">
        <w:rPr>
          <w:rFonts w:ascii="Times New Roman" w:eastAsia="宋体" w:hAnsi="Times New Roman" w:cs="Times New Roman" w:hint="eastAsia"/>
          <w:color w:val="000000"/>
          <w:sz w:val="24"/>
          <w:szCs w:val="24"/>
        </w:rPr>
        <w:t>3</w:t>
      </w:r>
      <w:r w:rsidRPr="00534EC2">
        <w:rPr>
          <w:rFonts w:ascii="Times New Roman" w:eastAsia="宋体" w:hAnsi="Times New Roman" w:cs="Times New Roman" w:hint="eastAsia"/>
          <w:color w:val="000000"/>
          <w:sz w:val="24"/>
          <w:szCs w:val="24"/>
        </w:rPr>
        <w:t>．</w:t>
      </w:r>
      <w:r w:rsidRPr="00534EC2">
        <w:rPr>
          <w:rFonts w:ascii="Times New Roman" w:eastAsia="宋体" w:hAnsi="Times New Roman" w:cs="Times New Roman"/>
          <w:color w:val="000000"/>
          <w:sz w:val="24"/>
          <w:szCs w:val="24"/>
        </w:rPr>
        <w:t>能够在文献调研的基础之上，运用数学、自然科学、化学工程和制药</w:t>
      </w:r>
      <w:r w:rsidR="002E4147">
        <w:rPr>
          <w:rFonts w:ascii="Times New Roman" w:eastAsia="宋体" w:hAnsi="Times New Roman" w:cs="Times New Roman" w:hint="eastAsia"/>
          <w:color w:val="000000"/>
          <w:sz w:val="24"/>
          <w:szCs w:val="24"/>
        </w:rPr>
        <w:t>药学专业</w:t>
      </w:r>
      <w:r w:rsidRPr="00534EC2">
        <w:rPr>
          <w:rFonts w:ascii="Times New Roman" w:eastAsia="宋体" w:hAnsi="Times New Roman" w:cs="Times New Roman"/>
          <w:color w:val="000000"/>
          <w:sz w:val="24"/>
          <w:szCs w:val="24"/>
        </w:rPr>
        <w:t>知识与基本原理，对制药过程中的复杂工程问题进行认识、表达和分析，以获得有效结论</w:t>
      </w:r>
      <w:r w:rsidRPr="00534EC2">
        <w:rPr>
          <w:rFonts w:ascii="Times New Roman" w:eastAsia="宋体" w:hAnsi="Times New Roman" w:cs="Times New Roman" w:hint="eastAsia"/>
          <w:color w:val="000000"/>
          <w:sz w:val="24"/>
          <w:szCs w:val="24"/>
        </w:rPr>
        <w:t>，能够形成终身学习的意识，能发现和提出有探究价值的药物化学问题，逐步形成独立思考的能力。</w:t>
      </w:r>
      <w:r w:rsidRPr="00D225FF">
        <w:rPr>
          <w:rFonts w:ascii="Times New Roman" w:eastAsia="宋体" w:hAnsi="Times New Roman" w:cs="Times New Roman" w:hint="eastAsia"/>
          <w:b/>
          <w:bCs/>
          <w:color w:val="000000"/>
          <w:sz w:val="24"/>
          <w:szCs w:val="24"/>
        </w:rPr>
        <w:t>【毕业要求</w:t>
      </w:r>
      <w:r w:rsidRPr="00D225FF">
        <w:rPr>
          <w:rFonts w:ascii="Times New Roman" w:eastAsia="宋体" w:hAnsi="Times New Roman" w:cs="Times New Roman" w:hint="eastAsia"/>
          <w:b/>
          <w:bCs/>
          <w:color w:val="000000"/>
          <w:sz w:val="24"/>
          <w:szCs w:val="24"/>
        </w:rPr>
        <w:t>3</w:t>
      </w:r>
      <w:r w:rsidRPr="00D225FF">
        <w:rPr>
          <w:rFonts w:ascii="Times New Roman" w:eastAsia="宋体" w:hAnsi="Times New Roman" w:cs="Times New Roman" w:hint="eastAsia"/>
          <w:b/>
          <w:bCs/>
          <w:color w:val="000000"/>
          <w:sz w:val="24"/>
          <w:szCs w:val="24"/>
        </w:rPr>
        <w:t>：设计</w:t>
      </w:r>
      <w:r w:rsidRPr="00D225FF">
        <w:rPr>
          <w:rFonts w:ascii="Times New Roman" w:eastAsia="宋体" w:hAnsi="Times New Roman" w:cs="Times New Roman" w:hint="eastAsia"/>
          <w:b/>
          <w:bCs/>
          <w:color w:val="000000"/>
          <w:sz w:val="24"/>
          <w:szCs w:val="24"/>
        </w:rPr>
        <w:t>/</w:t>
      </w:r>
      <w:r w:rsidRPr="00D225FF">
        <w:rPr>
          <w:rFonts w:ascii="Times New Roman" w:eastAsia="宋体" w:hAnsi="Times New Roman" w:cs="Times New Roman" w:hint="eastAsia"/>
          <w:b/>
          <w:bCs/>
          <w:color w:val="000000"/>
          <w:sz w:val="24"/>
          <w:szCs w:val="24"/>
        </w:rPr>
        <w:t>开发解决问题】</w:t>
      </w:r>
    </w:p>
    <w:p w14:paraId="18633DF3" w14:textId="77777777" w:rsidR="00534EC2" w:rsidRPr="00534EC2" w:rsidRDefault="00534EC2" w:rsidP="00534EC2">
      <w:pPr>
        <w:spacing w:beforeLines="50" w:before="156" w:afterLines="50" w:after="156" w:line="440" w:lineRule="exact"/>
        <w:rPr>
          <w:rFonts w:ascii="黑体" w:eastAsia="黑体" w:hAnsi="黑体" w:cs="Times New Roman"/>
          <w:sz w:val="28"/>
          <w:szCs w:val="28"/>
        </w:rPr>
      </w:pPr>
      <w:r w:rsidRPr="00534EC2">
        <w:rPr>
          <w:rFonts w:ascii="黑体" w:eastAsia="黑体" w:hAnsi="黑体" w:cs="Times New Roman" w:hint="eastAsia"/>
          <w:sz w:val="28"/>
          <w:szCs w:val="28"/>
        </w:rPr>
        <w:lastRenderedPageBreak/>
        <w:t>（二）课程学习目标与毕业要求指标点的对应关系</w:t>
      </w:r>
    </w:p>
    <w:p w14:paraId="324C4734" w14:textId="77777777" w:rsidR="00534EC2" w:rsidRPr="00534EC2" w:rsidRDefault="00534EC2" w:rsidP="00534EC2">
      <w:pPr>
        <w:widowControl/>
        <w:jc w:val="left"/>
        <w:rPr>
          <w:rFonts w:ascii="Times New Roman" w:eastAsia="宋体" w:hAnsi="Times New Roman" w:cs="Times New Roman"/>
          <w:szCs w:val="24"/>
          <w:lang w:val="en-GB"/>
        </w:rPr>
      </w:pP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534EC2" w:rsidRPr="0071757F" w14:paraId="5976C57A" w14:textId="77777777" w:rsidTr="00534EC2">
        <w:trPr>
          <w:trHeight w:val="815"/>
          <w:jc w:val="center"/>
        </w:trPr>
        <w:tc>
          <w:tcPr>
            <w:tcW w:w="1676" w:type="dxa"/>
            <w:vAlign w:val="center"/>
          </w:tcPr>
          <w:p w14:paraId="33546B03" w14:textId="77777777" w:rsidR="00534EC2" w:rsidRPr="0071757F" w:rsidRDefault="00534EC2" w:rsidP="00534EC2">
            <w:pPr>
              <w:spacing w:line="440" w:lineRule="exact"/>
              <w:jc w:val="center"/>
              <w:rPr>
                <w:rFonts w:ascii="宋体" w:eastAsia="宋体" w:hAnsi="宋体" w:cs="Times New Roman"/>
                <w:b/>
                <w:sz w:val="24"/>
                <w:szCs w:val="24"/>
              </w:rPr>
            </w:pPr>
            <w:r w:rsidRPr="0071757F">
              <w:rPr>
                <w:rFonts w:ascii="宋体" w:eastAsia="宋体" w:hAnsi="宋体" w:cs="Times New Roman" w:hint="eastAsia"/>
                <w:b/>
                <w:sz w:val="24"/>
                <w:szCs w:val="24"/>
              </w:rPr>
              <w:t>毕业要求</w:t>
            </w:r>
          </w:p>
        </w:tc>
        <w:tc>
          <w:tcPr>
            <w:tcW w:w="5534" w:type="dxa"/>
            <w:vAlign w:val="center"/>
          </w:tcPr>
          <w:p w14:paraId="489A12C1" w14:textId="77777777" w:rsidR="00534EC2" w:rsidRPr="0071757F" w:rsidRDefault="00534EC2" w:rsidP="00534EC2">
            <w:pPr>
              <w:spacing w:line="440" w:lineRule="exact"/>
              <w:jc w:val="center"/>
              <w:rPr>
                <w:rFonts w:ascii="宋体" w:eastAsia="宋体" w:hAnsi="宋体" w:cs="Times New Roman"/>
                <w:b/>
                <w:sz w:val="24"/>
                <w:szCs w:val="24"/>
              </w:rPr>
            </w:pPr>
            <w:r w:rsidRPr="0071757F">
              <w:rPr>
                <w:rFonts w:ascii="宋体" w:eastAsia="宋体" w:hAnsi="宋体" w:cs="Times New Roman" w:hint="eastAsia"/>
                <w:b/>
                <w:sz w:val="24"/>
                <w:szCs w:val="24"/>
              </w:rPr>
              <w:t>毕业要求指标点</w:t>
            </w:r>
          </w:p>
        </w:tc>
        <w:tc>
          <w:tcPr>
            <w:tcW w:w="1959" w:type="dxa"/>
            <w:vAlign w:val="center"/>
          </w:tcPr>
          <w:p w14:paraId="59CE4696" w14:textId="77777777" w:rsidR="00534EC2" w:rsidRPr="0071757F" w:rsidRDefault="00534EC2" w:rsidP="00534EC2">
            <w:pPr>
              <w:spacing w:line="440" w:lineRule="exact"/>
              <w:jc w:val="center"/>
              <w:rPr>
                <w:rFonts w:ascii="宋体" w:eastAsia="宋体" w:hAnsi="宋体" w:cs="Times New Roman"/>
                <w:b/>
                <w:sz w:val="24"/>
                <w:szCs w:val="24"/>
              </w:rPr>
            </w:pPr>
            <w:r w:rsidRPr="0071757F">
              <w:rPr>
                <w:rFonts w:ascii="宋体" w:eastAsia="宋体" w:hAnsi="宋体" w:cs="Times New Roman" w:hint="eastAsia"/>
                <w:b/>
                <w:sz w:val="24"/>
                <w:szCs w:val="24"/>
              </w:rPr>
              <w:t>课程目标</w:t>
            </w:r>
          </w:p>
        </w:tc>
      </w:tr>
      <w:tr w:rsidR="00534EC2" w:rsidRPr="0071757F" w14:paraId="72970381" w14:textId="77777777" w:rsidTr="00534EC2">
        <w:trPr>
          <w:jc w:val="center"/>
        </w:trPr>
        <w:tc>
          <w:tcPr>
            <w:tcW w:w="1676" w:type="dxa"/>
            <w:vAlign w:val="center"/>
          </w:tcPr>
          <w:p w14:paraId="3C82C31F" w14:textId="77777777" w:rsidR="00534EC2" w:rsidRPr="0071757F" w:rsidRDefault="00534EC2" w:rsidP="00534EC2">
            <w:pPr>
              <w:spacing w:line="440" w:lineRule="exact"/>
              <w:jc w:val="center"/>
              <w:rPr>
                <w:rFonts w:ascii="宋体" w:eastAsia="宋体" w:hAnsi="宋体" w:cs="Times New Roman"/>
                <w:sz w:val="24"/>
                <w:szCs w:val="24"/>
              </w:rPr>
            </w:pPr>
            <w:r w:rsidRPr="0071757F">
              <w:rPr>
                <w:rFonts w:ascii="Times New Roman" w:eastAsia="宋体" w:hAnsi="Times New Roman" w:cs="Times New Roman" w:hint="eastAsia"/>
                <w:sz w:val="24"/>
                <w:szCs w:val="24"/>
              </w:rPr>
              <w:t>1</w:t>
            </w:r>
            <w:r w:rsidRPr="0071757F">
              <w:rPr>
                <w:rFonts w:ascii="Times New Roman" w:eastAsia="宋体" w:hAnsi="Times New Roman" w:cs="Times New Roman"/>
                <w:sz w:val="24"/>
                <w:szCs w:val="24"/>
              </w:rPr>
              <w:t>.</w:t>
            </w:r>
            <w:r w:rsidRPr="0071757F">
              <w:rPr>
                <w:rFonts w:ascii="Times New Roman" w:eastAsia="宋体" w:hAnsi="Times New Roman" w:cs="Times New Roman" w:hint="eastAsia"/>
                <w:sz w:val="24"/>
                <w:szCs w:val="24"/>
              </w:rPr>
              <w:t xml:space="preserve"> </w:t>
            </w:r>
            <w:r w:rsidRPr="0071757F">
              <w:rPr>
                <w:rFonts w:ascii="Times New Roman" w:eastAsia="宋体" w:hAnsi="Times New Roman" w:cs="Times New Roman" w:hint="eastAsia"/>
                <w:sz w:val="24"/>
                <w:szCs w:val="24"/>
              </w:rPr>
              <w:t>药学知识</w:t>
            </w:r>
          </w:p>
        </w:tc>
        <w:tc>
          <w:tcPr>
            <w:tcW w:w="5534" w:type="dxa"/>
            <w:vAlign w:val="center"/>
          </w:tcPr>
          <w:p w14:paraId="7F844204" w14:textId="77777777" w:rsidR="00534EC2" w:rsidRPr="0071757F" w:rsidRDefault="00534EC2" w:rsidP="00534EC2">
            <w:pPr>
              <w:spacing w:line="440" w:lineRule="exact"/>
              <w:jc w:val="left"/>
              <w:rPr>
                <w:rFonts w:ascii="宋体" w:eastAsia="宋体" w:hAnsi="宋体" w:cs="Times New Roman"/>
                <w:color w:val="FF0000"/>
                <w:sz w:val="24"/>
                <w:szCs w:val="24"/>
              </w:rPr>
            </w:pPr>
            <w:r w:rsidRPr="0071757F">
              <w:rPr>
                <w:rFonts w:ascii="宋体" w:eastAsia="宋体" w:hAnsi="宋体" w:cs="宋体"/>
                <w:bCs/>
                <w:sz w:val="24"/>
                <w:szCs w:val="24"/>
              </w:rPr>
              <w:t>1.3</w:t>
            </w:r>
            <w:r w:rsidRPr="0071757F">
              <w:rPr>
                <w:rFonts w:ascii="宋体" w:eastAsia="宋体" w:hAnsi="宋体" w:cs="宋体" w:hint="eastAsia"/>
                <w:bCs/>
                <w:sz w:val="24"/>
                <w:szCs w:val="24"/>
              </w:rPr>
              <w:t xml:space="preserve"> </w:t>
            </w:r>
            <w:r w:rsidRPr="0071757F">
              <w:rPr>
                <w:rFonts w:ascii="Times New Roman" w:eastAsia="宋体" w:hAnsi="Times New Roman" w:cs="Times New Roman" w:hint="eastAsia"/>
                <w:sz w:val="24"/>
                <w:szCs w:val="24"/>
              </w:rPr>
              <w:t>掌握药物分析、中药分析、体内药物分析、</w:t>
            </w:r>
            <w:r w:rsidRPr="0071757F">
              <w:rPr>
                <w:rFonts w:ascii="Times New Roman" w:eastAsia="宋体" w:hAnsi="Times New Roman" w:cs="宋体" w:hint="eastAsia"/>
                <w:sz w:val="24"/>
                <w:szCs w:val="24"/>
              </w:rPr>
              <w:t>药剂学、药理学和药物化学</w:t>
            </w:r>
            <w:r w:rsidRPr="0071757F">
              <w:rPr>
                <w:rFonts w:ascii="Times New Roman" w:eastAsia="宋体" w:hAnsi="Times New Roman" w:cs="Times New Roman" w:hint="eastAsia"/>
                <w:sz w:val="24"/>
                <w:szCs w:val="24"/>
              </w:rPr>
              <w:t>等药学专业理论知识、科学研究方法和实验技能</w:t>
            </w:r>
            <w:r w:rsidRPr="0071757F">
              <w:rPr>
                <w:rFonts w:ascii="宋体" w:eastAsia="宋体" w:hAnsi="宋体" w:cs="Times New Roman" w:hint="eastAsia"/>
                <w:sz w:val="24"/>
                <w:szCs w:val="24"/>
              </w:rPr>
              <w:t>。（H）</w:t>
            </w:r>
          </w:p>
        </w:tc>
        <w:tc>
          <w:tcPr>
            <w:tcW w:w="1959" w:type="dxa"/>
            <w:vAlign w:val="center"/>
          </w:tcPr>
          <w:p w14:paraId="0FE597C8" w14:textId="77777777" w:rsidR="00534EC2" w:rsidRPr="0071757F" w:rsidRDefault="00534EC2" w:rsidP="00534EC2">
            <w:pPr>
              <w:spacing w:line="440" w:lineRule="exact"/>
              <w:jc w:val="center"/>
              <w:rPr>
                <w:rFonts w:ascii="宋体" w:eastAsia="宋体" w:hAnsi="宋体" w:cs="Times New Roman"/>
                <w:sz w:val="24"/>
                <w:szCs w:val="24"/>
              </w:rPr>
            </w:pPr>
            <w:r w:rsidRPr="0071757F">
              <w:rPr>
                <w:rFonts w:ascii="宋体" w:eastAsia="宋体" w:hAnsi="宋体" w:cs="Times New Roman" w:hint="eastAsia"/>
                <w:sz w:val="24"/>
                <w:szCs w:val="24"/>
              </w:rPr>
              <w:t>课程目标1</w:t>
            </w:r>
          </w:p>
          <w:p w14:paraId="75FC7EBD" w14:textId="77777777" w:rsidR="00534EC2" w:rsidRPr="0071757F" w:rsidRDefault="00534EC2" w:rsidP="00534EC2">
            <w:pPr>
              <w:spacing w:line="440" w:lineRule="exact"/>
              <w:jc w:val="center"/>
              <w:rPr>
                <w:rFonts w:ascii="宋体" w:eastAsia="宋体" w:hAnsi="宋体" w:cs="Times New Roman"/>
                <w:sz w:val="24"/>
                <w:szCs w:val="24"/>
              </w:rPr>
            </w:pPr>
            <w:r w:rsidRPr="0071757F">
              <w:rPr>
                <w:rFonts w:ascii="宋体" w:eastAsia="宋体" w:hAnsi="宋体" w:cs="Times New Roman" w:hint="eastAsia"/>
                <w:sz w:val="24"/>
                <w:szCs w:val="24"/>
              </w:rPr>
              <w:t>课程目标2</w:t>
            </w:r>
          </w:p>
        </w:tc>
      </w:tr>
      <w:tr w:rsidR="00534EC2" w:rsidRPr="0071757F" w14:paraId="637187F2" w14:textId="77777777" w:rsidTr="00534EC2">
        <w:trPr>
          <w:jc w:val="center"/>
        </w:trPr>
        <w:tc>
          <w:tcPr>
            <w:tcW w:w="1676" w:type="dxa"/>
            <w:vAlign w:val="center"/>
          </w:tcPr>
          <w:p w14:paraId="266E6CF7" w14:textId="77777777" w:rsidR="00534EC2" w:rsidRPr="0071757F" w:rsidRDefault="00534EC2" w:rsidP="00534EC2">
            <w:pPr>
              <w:spacing w:line="440" w:lineRule="exact"/>
              <w:jc w:val="center"/>
              <w:rPr>
                <w:rFonts w:ascii="宋体" w:eastAsia="宋体" w:hAnsi="宋体" w:cs="Times New Roman"/>
                <w:sz w:val="24"/>
                <w:szCs w:val="24"/>
              </w:rPr>
            </w:pPr>
            <w:r w:rsidRPr="0071757F">
              <w:rPr>
                <w:rFonts w:ascii="Times New Roman" w:eastAsia="宋体" w:hAnsi="Times New Roman" w:cs="Times New Roman" w:hint="eastAsia"/>
                <w:sz w:val="24"/>
                <w:szCs w:val="24"/>
              </w:rPr>
              <w:t>2</w:t>
            </w:r>
            <w:r w:rsidRPr="0071757F">
              <w:rPr>
                <w:rFonts w:ascii="Times New Roman" w:eastAsia="宋体" w:hAnsi="Times New Roman" w:cs="Times New Roman"/>
                <w:sz w:val="24"/>
                <w:szCs w:val="24"/>
              </w:rPr>
              <w:t>.</w:t>
            </w:r>
            <w:r w:rsidRPr="0071757F">
              <w:rPr>
                <w:rFonts w:ascii="Times New Roman" w:eastAsia="宋体" w:hAnsi="Times New Roman" w:cs="Times New Roman" w:hint="eastAsia"/>
                <w:sz w:val="24"/>
                <w:szCs w:val="24"/>
              </w:rPr>
              <w:t xml:space="preserve"> </w:t>
            </w:r>
            <w:r w:rsidRPr="0071757F">
              <w:rPr>
                <w:rFonts w:ascii="Times New Roman" w:eastAsia="宋体" w:hAnsi="Times New Roman" w:cs="Times New Roman" w:hint="eastAsia"/>
                <w:sz w:val="24"/>
                <w:szCs w:val="24"/>
              </w:rPr>
              <w:t>问题分析</w:t>
            </w:r>
          </w:p>
        </w:tc>
        <w:tc>
          <w:tcPr>
            <w:tcW w:w="5534" w:type="dxa"/>
            <w:vAlign w:val="center"/>
          </w:tcPr>
          <w:p w14:paraId="7557185E" w14:textId="77777777" w:rsidR="00534EC2" w:rsidRPr="0071757F" w:rsidRDefault="00534EC2" w:rsidP="00534EC2">
            <w:pPr>
              <w:spacing w:line="440" w:lineRule="exact"/>
              <w:jc w:val="left"/>
              <w:rPr>
                <w:rFonts w:ascii="宋体" w:eastAsia="宋体" w:hAnsi="宋体" w:cs="宋体"/>
                <w:bCs/>
                <w:sz w:val="24"/>
                <w:szCs w:val="24"/>
              </w:rPr>
            </w:pPr>
            <w:r w:rsidRPr="0071757F">
              <w:rPr>
                <w:rFonts w:ascii="宋体" w:eastAsia="宋体" w:hAnsi="宋体" w:cs="宋体"/>
                <w:bCs/>
                <w:sz w:val="24"/>
                <w:szCs w:val="24"/>
              </w:rPr>
              <w:t>2.1</w:t>
            </w:r>
            <w:r w:rsidRPr="0071757F">
              <w:rPr>
                <w:rFonts w:ascii="宋体" w:eastAsia="宋体" w:hAnsi="宋体" w:cs="宋体" w:hint="eastAsia"/>
                <w:bCs/>
                <w:sz w:val="24"/>
                <w:szCs w:val="24"/>
              </w:rPr>
              <w:t xml:space="preserve"> </w:t>
            </w:r>
            <w:r w:rsidRPr="0071757F">
              <w:rPr>
                <w:rFonts w:ascii="宋体" w:eastAsia="宋体" w:hAnsi="宋体" w:cs="宋体"/>
                <w:bCs/>
                <w:sz w:val="24"/>
                <w:szCs w:val="24"/>
              </w:rPr>
              <w:t>能够</w:t>
            </w:r>
            <w:r w:rsidRPr="0071757F">
              <w:rPr>
                <w:rFonts w:ascii="宋体" w:eastAsia="宋体" w:hAnsi="宋体" w:cs="宋体" w:hint="eastAsia"/>
                <w:bCs/>
                <w:sz w:val="24"/>
                <w:szCs w:val="24"/>
              </w:rPr>
              <w:t>运用</w:t>
            </w:r>
            <w:r w:rsidRPr="0071757F">
              <w:rPr>
                <w:rFonts w:ascii="宋体" w:eastAsia="宋体" w:hAnsi="宋体" w:cs="宋体"/>
                <w:bCs/>
                <w:sz w:val="24"/>
                <w:szCs w:val="24"/>
              </w:rPr>
              <w:t>数学、化学、药学基本原理，识别、</w:t>
            </w:r>
            <w:r w:rsidRPr="0071757F">
              <w:rPr>
                <w:rFonts w:ascii="宋体" w:eastAsia="宋体" w:hAnsi="宋体" w:cs="宋体" w:hint="eastAsia"/>
                <w:bCs/>
                <w:sz w:val="24"/>
                <w:szCs w:val="24"/>
              </w:rPr>
              <w:t>定义药物分析学的实践</w:t>
            </w:r>
            <w:r w:rsidRPr="0071757F">
              <w:rPr>
                <w:rFonts w:ascii="宋体" w:eastAsia="宋体" w:hAnsi="宋体" w:cs="宋体"/>
                <w:bCs/>
                <w:sz w:val="24"/>
                <w:szCs w:val="24"/>
              </w:rPr>
              <w:t>问题</w:t>
            </w:r>
            <w:r w:rsidRPr="0071757F">
              <w:rPr>
                <w:rFonts w:ascii="宋体" w:eastAsia="宋体" w:hAnsi="宋体" w:cs="宋体" w:hint="eastAsia"/>
                <w:bCs/>
                <w:sz w:val="24"/>
                <w:szCs w:val="24"/>
              </w:rPr>
              <w:t>。（M）</w:t>
            </w:r>
          </w:p>
        </w:tc>
        <w:tc>
          <w:tcPr>
            <w:tcW w:w="1959" w:type="dxa"/>
            <w:vAlign w:val="center"/>
          </w:tcPr>
          <w:p w14:paraId="294EC9C8" w14:textId="77777777" w:rsidR="00534EC2" w:rsidRPr="0071757F" w:rsidRDefault="00534EC2" w:rsidP="00534EC2">
            <w:pPr>
              <w:spacing w:line="440" w:lineRule="exact"/>
              <w:jc w:val="center"/>
              <w:rPr>
                <w:rFonts w:ascii="宋体" w:eastAsia="宋体" w:hAnsi="宋体" w:cs="Times New Roman"/>
                <w:sz w:val="24"/>
                <w:szCs w:val="24"/>
              </w:rPr>
            </w:pPr>
            <w:r w:rsidRPr="0071757F">
              <w:rPr>
                <w:rFonts w:ascii="宋体" w:eastAsia="宋体" w:hAnsi="宋体" w:cs="Times New Roman" w:hint="eastAsia"/>
                <w:sz w:val="24"/>
                <w:szCs w:val="24"/>
              </w:rPr>
              <w:t>课程目标1</w:t>
            </w:r>
          </w:p>
          <w:p w14:paraId="4E9FCC68" w14:textId="77777777" w:rsidR="00534EC2" w:rsidRPr="0071757F" w:rsidRDefault="00534EC2" w:rsidP="00534EC2">
            <w:pPr>
              <w:spacing w:line="440" w:lineRule="exact"/>
              <w:jc w:val="center"/>
              <w:rPr>
                <w:rFonts w:ascii="宋体" w:eastAsia="宋体" w:hAnsi="宋体" w:cs="Times New Roman"/>
                <w:sz w:val="24"/>
                <w:szCs w:val="24"/>
              </w:rPr>
            </w:pPr>
            <w:r w:rsidRPr="0071757F">
              <w:rPr>
                <w:rFonts w:ascii="宋体" w:eastAsia="宋体" w:hAnsi="宋体" w:cs="Times New Roman" w:hint="eastAsia"/>
                <w:sz w:val="24"/>
                <w:szCs w:val="24"/>
              </w:rPr>
              <w:t>课程目标2</w:t>
            </w:r>
          </w:p>
        </w:tc>
      </w:tr>
      <w:tr w:rsidR="00534EC2" w:rsidRPr="00534EC2" w14:paraId="65CB0B6C" w14:textId="77777777" w:rsidTr="00534EC2">
        <w:trPr>
          <w:jc w:val="center"/>
        </w:trPr>
        <w:tc>
          <w:tcPr>
            <w:tcW w:w="1676" w:type="dxa"/>
            <w:vAlign w:val="center"/>
          </w:tcPr>
          <w:p w14:paraId="15794AC6" w14:textId="77777777" w:rsidR="00534EC2" w:rsidRPr="0071757F" w:rsidRDefault="00534EC2" w:rsidP="00534EC2">
            <w:pPr>
              <w:spacing w:line="440" w:lineRule="exact"/>
              <w:jc w:val="center"/>
              <w:rPr>
                <w:rFonts w:ascii="Times New Roman" w:eastAsia="宋体" w:hAnsi="Times New Roman" w:cs="Times New Roman"/>
                <w:sz w:val="24"/>
                <w:szCs w:val="24"/>
              </w:rPr>
            </w:pPr>
            <w:r w:rsidRPr="0071757F">
              <w:rPr>
                <w:rFonts w:ascii="Times New Roman" w:eastAsia="宋体" w:hAnsi="Times New Roman" w:cs="Times New Roman" w:hint="eastAsia"/>
                <w:sz w:val="24"/>
                <w:szCs w:val="24"/>
              </w:rPr>
              <w:t>3.</w:t>
            </w:r>
            <w:r w:rsidRPr="0071757F">
              <w:rPr>
                <w:rFonts w:ascii="Times New Roman" w:eastAsia="宋体" w:hAnsi="Times New Roman" w:cs="Times New Roman" w:hint="eastAsia"/>
                <w:sz w:val="24"/>
                <w:szCs w:val="24"/>
              </w:rPr>
              <w:t>设计</w:t>
            </w:r>
            <w:r w:rsidRPr="0071757F">
              <w:rPr>
                <w:rFonts w:ascii="Times New Roman" w:eastAsia="宋体" w:hAnsi="Times New Roman" w:cs="Times New Roman" w:hint="eastAsia"/>
                <w:sz w:val="24"/>
                <w:szCs w:val="24"/>
              </w:rPr>
              <w:t>/</w:t>
            </w:r>
            <w:r w:rsidRPr="0071757F">
              <w:rPr>
                <w:rFonts w:ascii="Times New Roman" w:eastAsia="宋体" w:hAnsi="Times New Roman" w:cs="Times New Roman" w:hint="eastAsia"/>
                <w:sz w:val="24"/>
                <w:szCs w:val="24"/>
              </w:rPr>
              <w:t>开发解决方案</w:t>
            </w:r>
          </w:p>
        </w:tc>
        <w:tc>
          <w:tcPr>
            <w:tcW w:w="5534" w:type="dxa"/>
            <w:vAlign w:val="center"/>
          </w:tcPr>
          <w:p w14:paraId="69364B12" w14:textId="77777777" w:rsidR="00534EC2" w:rsidRPr="0071757F" w:rsidRDefault="00534EC2" w:rsidP="00534EC2">
            <w:pPr>
              <w:spacing w:line="440" w:lineRule="exact"/>
              <w:jc w:val="left"/>
              <w:rPr>
                <w:rFonts w:ascii="宋体" w:eastAsia="宋体" w:hAnsi="宋体" w:cs="宋体"/>
                <w:bCs/>
                <w:sz w:val="24"/>
                <w:szCs w:val="24"/>
              </w:rPr>
            </w:pPr>
            <w:r w:rsidRPr="0071757F">
              <w:rPr>
                <w:rFonts w:ascii="宋体" w:eastAsia="宋体" w:hAnsi="宋体" w:cs="宋体"/>
                <w:bCs/>
                <w:sz w:val="24"/>
                <w:szCs w:val="24"/>
              </w:rPr>
              <w:t>3.3</w:t>
            </w:r>
            <w:r w:rsidRPr="0071757F">
              <w:rPr>
                <w:rFonts w:ascii="宋体" w:eastAsia="宋体" w:hAnsi="宋体" w:cs="宋体" w:hint="eastAsia"/>
                <w:bCs/>
                <w:sz w:val="24"/>
                <w:szCs w:val="24"/>
              </w:rPr>
              <w:t xml:space="preserve"> 具有创新思维，在运用基本原理与方法的基础上，设计方案具有一定的创新性。（L）</w:t>
            </w:r>
          </w:p>
        </w:tc>
        <w:tc>
          <w:tcPr>
            <w:tcW w:w="1959" w:type="dxa"/>
            <w:vAlign w:val="center"/>
          </w:tcPr>
          <w:p w14:paraId="62EAD3C5" w14:textId="77777777" w:rsidR="00534EC2" w:rsidRPr="0071757F" w:rsidRDefault="00534EC2" w:rsidP="00534EC2">
            <w:pPr>
              <w:spacing w:line="440" w:lineRule="exact"/>
              <w:jc w:val="center"/>
              <w:rPr>
                <w:rFonts w:ascii="宋体" w:eastAsia="宋体" w:hAnsi="宋体" w:cs="Times New Roman"/>
                <w:sz w:val="24"/>
                <w:szCs w:val="24"/>
              </w:rPr>
            </w:pPr>
            <w:r w:rsidRPr="0071757F">
              <w:rPr>
                <w:rFonts w:ascii="宋体" w:eastAsia="宋体" w:hAnsi="宋体" w:cs="Times New Roman" w:hint="eastAsia"/>
                <w:sz w:val="24"/>
                <w:szCs w:val="24"/>
              </w:rPr>
              <w:t>课程目标2</w:t>
            </w:r>
          </w:p>
        </w:tc>
      </w:tr>
    </w:tbl>
    <w:p w14:paraId="39822CCA" w14:textId="77777777" w:rsidR="00534EC2" w:rsidRPr="00534EC2" w:rsidRDefault="00534EC2" w:rsidP="00534EC2">
      <w:pPr>
        <w:widowControl/>
        <w:jc w:val="left"/>
        <w:rPr>
          <w:rFonts w:ascii="Times New Roman" w:eastAsia="宋体" w:hAnsi="Times New Roman" w:cs="Times New Roman"/>
          <w:szCs w:val="24"/>
          <w:lang w:val="en-GB"/>
        </w:rPr>
      </w:pPr>
    </w:p>
    <w:p w14:paraId="51FD1334" w14:textId="77777777" w:rsidR="00534EC2" w:rsidRPr="00534EC2" w:rsidRDefault="00534EC2" w:rsidP="00534EC2">
      <w:pPr>
        <w:spacing w:beforeLines="50" w:before="156" w:afterLines="50" w:after="156" w:line="440" w:lineRule="exact"/>
        <w:rPr>
          <w:rFonts w:ascii="黑体" w:eastAsia="黑体" w:hAnsi="黑体" w:cs="Times New Roman"/>
          <w:sz w:val="28"/>
          <w:szCs w:val="28"/>
        </w:rPr>
      </w:pPr>
      <w:r w:rsidRPr="00534EC2">
        <w:rPr>
          <w:rFonts w:ascii="黑体" w:eastAsia="黑体" w:hAnsi="黑体" w:cs="Times New Roman" w:hint="eastAsia"/>
          <w:sz w:val="28"/>
          <w:szCs w:val="28"/>
        </w:rPr>
        <w:t>三、课程学习内容及与课程学习目标的对应关系</w:t>
      </w:r>
    </w:p>
    <w:p w14:paraId="74D69937" w14:textId="77777777" w:rsidR="00534EC2" w:rsidRPr="00534EC2" w:rsidRDefault="00534EC2" w:rsidP="00534EC2">
      <w:pPr>
        <w:spacing w:beforeLines="50" w:before="156" w:afterLines="50" w:after="156" w:line="440" w:lineRule="exact"/>
        <w:rPr>
          <w:rFonts w:ascii="黑体" w:eastAsia="黑体" w:hAnsi="黑体" w:cs="Times New Roman"/>
          <w:b/>
          <w:sz w:val="28"/>
          <w:szCs w:val="28"/>
        </w:rPr>
      </w:pPr>
      <w:r w:rsidRPr="00534EC2">
        <w:rPr>
          <w:rFonts w:ascii="黑体" w:eastAsia="黑体" w:hAnsi="黑体" w:cs="Times New Roman" w:hint="eastAsia"/>
          <w:b/>
          <w:sz w:val="28"/>
          <w:szCs w:val="28"/>
        </w:rPr>
        <w:t>（一）课程学习内容</w:t>
      </w:r>
    </w:p>
    <w:p w14:paraId="67C0BF53" w14:textId="77777777" w:rsidR="00534EC2" w:rsidRPr="00534EC2" w:rsidRDefault="00534EC2" w:rsidP="00534EC2">
      <w:pPr>
        <w:spacing w:beforeLines="50" w:before="156" w:afterLines="50" w:after="156" w:line="440" w:lineRule="exact"/>
        <w:jc w:val="center"/>
        <w:rPr>
          <w:rFonts w:ascii="黑体" w:eastAsia="黑体" w:hAnsi="黑体" w:cs="Times New Roman"/>
          <w:sz w:val="28"/>
          <w:szCs w:val="28"/>
        </w:rPr>
      </w:pPr>
      <w:proofErr w:type="gramStart"/>
      <w:r w:rsidRPr="00534EC2">
        <w:rPr>
          <w:rFonts w:ascii="Times New Roman" w:eastAsia="宋体" w:hAnsi="Times New Roman" w:cs="Times New Roman"/>
          <w:b/>
          <w:sz w:val="24"/>
          <w:szCs w:val="24"/>
        </w:rPr>
        <w:t>绪</w:t>
      </w:r>
      <w:proofErr w:type="gramEnd"/>
      <w:r w:rsidRPr="00534EC2">
        <w:rPr>
          <w:rFonts w:ascii="Times New Roman" w:eastAsia="宋体" w:hAnsi="Times New Roman" w:cs="Times New Roman"/>
          <w:b/>
          <w:sz w:val="24"/>
          <w:szCs w:val="24"/>
        </w:rPr>
        <w:t xml:space="preserve">  </w:t>
      </w:r>
      <w:r w:rsidRPr="00534EC2">
        <w:rPr>
          <w:rFonts w:ascii="Times New Roman" w:eastAsia="宋体" w:hAnsi="Times New Roman" w:cs="Times New Roman"/>
          <w:b/>
          <w:sz w:val="24"/>
          <w:szCs w:val="24"/>
        </w:rPr>
        <w:t>论</w:t>
      </w:r>
    </w:p>
    <w:p w14:paraId="6878C62A"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7C57327D"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认知类目标：</w:t>
      </w:r>
      <w:r w:rsidRPr="00534EC2">
        <w:rPr>
          <w:rFonts w:ascii="Times New Roman" w:eastAsia="宋体" w:hAnsi="宋体" w:cs="Times New Roman"/>
          <w:kern w:val="0"/>
          <w:sz w:val="24"/>
          <w:szCs w:val="24"/>
        </w:rPr>
        <w:t>了解药物化学发展的新方向</w:t>
      </w:r>
      <w:r w:rsidRPr="00534EC2">
        <w:rPr>
          <w:rFonts w:ascii="Times New Roman" w:eastAsia="宋体" w:hAnsi="宋体" w:cs="Times New Roman" w:hint="eastAsia"/>
          <w:kern w:val="0"/>
          <w:sz w:val="24"/>
          <w:szCs w:val="24"/>
        </w:rPr>
        <w:t>；</w:t>
      </w:r>
      <w:r w:rsidRPr="00534EC2">
        <w:rPr>
          <w:rFonts w:ascii="Times New Roman" w:eastAsia="宋体" w:hAnsi="宋体" w:cs="Times New Roman"/>
          <w:kern w:val="0"/>
          <w:sz w:val="24"/>
          <w:szCs w:val="24"/>
        </w:rPr>
        <w:t>熟悉药物化学的发展概况</w:t>
      </w:r>
      <w:r w:rsidRPr="00534EC2">
        <w:rPr>
          <w:rFonts w:ascii="Times New Roman" w:eastAsia="宋体" w:hAnsi="Times New Roman" w:cs="Times New Roman" w:hint="eastAsia"/>
          <w:sz w:val="24"/>
          <w:szCs w:val="24"/>
        </w:rPr>
        <w:t>。</w:t>
      </w:r>
      <w:r w:rsidRPr="00534EC2">
        <w:rPr>
          <w:rFonts w:ascii="宋体" w:eastAsia="宋体" w:hAnsi="宋体" w:cs="Times New Roman"/>
          <w:sz w:val="24"/>
          <w:szCs w:val="24"/>
        </w:rPr>
        <w:t xml:space="preserve"> </w:t>
      </w:r>
    </w:p>
    <w:p w14:paraId="3838E191"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过程与方法类目标：</w:t>
      </w:r>
      <w:r w:rsidRPr="00534EC2">
        <w:rPr>
          <w:rFonts w:ascii="Times New Roman" w:eastAsia="宋体" w:hAnsi="宋体" w:cs="Times New Roman"/>
          <w:kern w:val="0"/>
          <w:sz w:val="24"/>
          <w:szCs w:val="24"/>
        </w:rPr>
        <w:t>掌握药物化学的研究内容和任务</w:t>
      </w:r>
      <w:r w:rsidRPr="00534EC2">
        <w:rPr>
          <w:rFonts w:ascii="Times New Roman" w:eastAsia="宋体" w:hAnsi="Times New Roman" w:cs="Times New Roman" w:hint="eastAsia"/>
          <w:sz w:val="24"/>
          <w:szCs w:val="24"/>
        </w:rPr>
        <w:t>。</w:t>
      </w:r>
      <w:r w:rsidRPr="00534EC2">
        <w:rPr>
          <w:rFonts w:ascii="宋体" w:eastAsia="宋体" w:hAnsi="宋体" w:cs="Times New Roman"/>
          <w:sz w:val="24"/>
          <w:szCs w:val="24"/>
        </w:rPr>
        <w:t xml:space="preserve"> </w:t>
      </w:r>
    </w:p>
    <w:p w14:paraId="793250C3"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sz w:val="24"/>
          <w:szCs w:val="24"/>
        </w:rPr>
        <w:t xml:space="preserve">3. </w:t>
      </w:r>
      <w:r w:rsidRPr="00534EC2">
        <w:rPr>
          <w:rFonts w:ascii="宋体" w:eastAsia="宋体" w:hAnsi="宋体" w:cs="Times New Roman" w:hint="eastAsia"/>
          <w:sz w:val="24"/>
          <w:szCs w:val="24"/>
        </w:rPr>
        <w:t>情感、态度、价值观类目标：熟悉我国药物发展</w:t>
      </w:r>
      <w:r w:rsidRPr="00534EC2">
        <w:rPr>
          <w:rFonts w:ascii="Times New Roman" w:eastAsia="宋体" w:hAnsi="Times New Roman" w:cs="Times New Roman"/>
          <w:szCs w:val="24"/>
        </w:rPr>
        <w:t>，</w:t>
      </w:r>
      <w:r w:rsidRPr="00534EC2">
        <w:rPr>
          <w:rFonts w:ascii="宋体" w:eastAsia="宋体" w:hAnsi="宋体" w:cs="Times New Roman"/>
          <w:sz w:val="24"/>
          <w:szCs w:val="24"/>
        </w:rPr>
        <w:t>增强学生的民族自豪感和民族文化自信心，</w:t>
      </w:r>
    </w:p>
    <w:p w14:paraId="1A5147E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【学习内容】</w:t>
      </w:r>
    </w:p>
    <w:p w14:paraId="3B40DE9C"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1</w:t>
      </w:r>
      <w:r w:rsidRPr="00534EC2">
        <w:rPr>
          <w:rFonts w:ascii="宋体" w:eastAsia="宋体" w:hAnsi="宋体" w:cs="Times New Roman" w:hint="eastAsia"/>
          <w:sz w:val="24"/>
          <w:szCs w:val="24"/>
        </w:rPr>
        <w:t>.</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药物化学的研究内容和任务</w:t>
      </w:r>
    </w:p>
    <w:p w14:paraId="42A8D127"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2</w:t>
      </w:r>
      <w:r w:rsidRPr="00534EC2">
        <w:rPr>
          <w:rFonts w:ascii="宋体" w:eastAsia="宋体" w:hAnsi="宋体" w:cs="Times New Roman" w:hint="eastAsia"/>
          <w:sz w:val="24"/>
          <w:szCs w:val="24"/>
        </w:rPr>
        <w:t>.</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药物化学的研究和发展</w:t>
      </w:r>
    </w:p>
    <w:p w14:paraId="616C8DC6"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3</w:t>
      </w:r>
      <w:r w:rsidRPr="00D225FF">
        <w:rPr>
          <w:rFonts w:ascii="Times New Roman" w:eastAsia="宋体" w:hAnsi="Times New Roman" w:cs="Times New Roman" w:hint="eastAsia"/>
          <w:sz w:val="24"/>
          <w:szCs w:val="24"/>
        </w:rPr>
        <w:t>.</w:t>
      </w:r>
      <w:r w:rsidRPr="00D225FF">
        <w:rPr>
          <w:rFonts w:ascii="Times New Roman" w:eastAsia="宋体" w:hAnsi="Times New Roman" w:cs="Times New Roman"/>
          <w:sz w:val="24"/>
          <w:szCs w:val="24"/>
        </w:rPr>
        <w:t xml:space="preserve"> </w:t>
      </w:r>
      <w:r w:rsidRPr="00534EC2">
        <w:rPr>
          <w:rFonts w:ascii="Times New Roman" w:eastAsia="宋体" w:hAnsi="Times New Roman" w:cs="Times New Roman" w:hint="eastAsia"/>
          <w:sz w:val="24"/>
          <w:szCs w:val="24"/>
        </w:rPr>
        <w:t>我国药物化学的发展</w:t>
      </w:r>
    </w:p>
    <w:p w14:paraId="1C87BF25"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4</w:t>
      </w:r>
      <w:r w:rsidRPr="00D225FF">
        <w:rPr>
          <w:rFonts w:ascii="Times New Roman" w:eastAsia="宋体" w:hAnsi="Times New Roman" w:cs="Times New Roman" w:hint="eastAsia"/>
          <w:sz w:val="24"/>
          <w:szCs w:val="24"/>
        </w:rPr>
        <w:t>.</w:t>
      </w:r>
      <w:r w:rsidRPr="00D225FF">
        <w:rPr>
          <w:rFonts w:ascii="Times New Roman" w:eastAsia="宋体" w:hAnsi="Times New Roman" w:cs="Times New Roman"/>
          <w:sz w:val="24"/>
          <w:szCs w:val="24"/>
        </w:rPr>
        <w:t xml:space="preserve"> </w:t>
      </w:r>
      <w:r w:rsidRPr="00534EC2">
        <w:rPr>
          <w:rFonts w:ascii="Times New Roman" w:eastAsia="宋体" w:hAnsi="Times New Roman" w:cs="Times New Roman" w:hint="eastAsia"/>
          <w:sz w:val="24"/>
          <w:szCs w:val="24"/>
        </w:rPr>
        <w:t>新药研究和开发的过程和方法</w:t>
      </w:r>
    </w:p>
    <w:p w14:paraId="1EBCBC98"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 xml:space="preserve">【重点】  </w:t>
      </w:r>
    </w:p>
    <w:p w14:paraId="499BD801"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1.</w:t>
      </w:r>
      <w:r w:rsidRPr="00534EC2">
        <w:rPr>
          <w:rFonts w:ascii="Times New Roman" w:eastAsia="宋体" w:hAnsi="Times New Roman" w:cs="Times New Roman"/>
          <w:sz w:val="24"/>
          <w:szCs w:val="24"/>
        </w:rPr>
        <w:t xml:space="preserve"> </w:t>
      </w:r>
      <w:r w:rsidRPr="00534EC2">
        <w:rPr>
          <w:rFonts w:ascii="Times New Roman" w:eastAsia="宋体" w:hAnsi="Times New Roman" w:cs="Times New Roman" w:hint="eastAsia"/>
          <w:sz w:val="24"/>
          <w:szCs w:val="24"/>
        </w:rPr>
        <w:t>药物化学的基本概念；</w:t>
      </w:r>
    </w:p>
    <w:p w14:paraId="7ABA6E75" w14:textId="77777777" w:rsidR="00534EC2" w:rsidRPr="00534EC2" w:rsidRDefault="00534EC2" w:rsidP="00D225FF">
      <w:pPr>
        <w:spacing w:line="440" w:lineRule="exact"/>
        <w:ind w:firstLineChars="200" w:firstLine="480"/>
        <w:rPr>
          <w:rFonts w:ascii="Times New Roman" w:eastAsia="宋体" w:hAnsi="Times New Roman" w:cs="Times New Roman"/>
          <w:szCs w:val="24"/>
        </w:rPr>
      </w:pPr>
      <w:r w:rsidRPr="00534EC2">
        <w:rPr>
          <w:rFonts w:ascii="Times New Roman" w:eastAsia="宋体" w:hAnsi="Times New Roman" w:cs="Times New Roman" w:hint="eastAsia"/>
          <w:sz w:val="24"/>
          <w:szCs w:val="24"/>
        </w:rPr>
        <w:t>2.</w:t>
      </w:r>
      <w:r w:rsidRPr="00534EC2">
        <w:rPr>
          <w:rFonts w:ascii="Times New Roman" w:eastAsia="宋体" w:hAnsi="Times New Roman" w:cs="Times New Roman"/>
          <w:sz w:val="24"/>
          <w:szCs w:val="24"/>
        </w:rPr>
        <w:t xml:space="preserve"> </w:t>
      </w:r>
      <w:r w:rsidRPr="00534EC2">
        <w:rPr>
          <w:rFonts w:ascii="Times New Roman" w:eastAsia="宋体" w:hAnsi="Times New Roman" w:cs="Times New Roman" w:hint="eastAsia"/>
          <w:sz w:val="24"/>
          <w:szCs w:val="24"/>
        </w:rPr>
        <w:t>研究对象及其任务的主要内容</w:t>
      </w:r>
      <w:r w:rsidRPr="00534EC2">
        <w:rPr>
          <w:rFonts w:ascii="Times New Roman" w:eastAsia="宋体" w:hAnsi="Times New Roman" w:cs="Times New Roman"/>
          <w:sz w:val="24"/>
          <w:szCs w:val="24"/>
        </w:rPr>
        <w:t>。</w:t>
      </w:r>
    </w:p>
    <w:p w14:paraId="5D2C8560"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 xml:space="preserve">【难点】  </w:t>
      </w:r>
    </w:p>
    <w:p w14:paraId="10058BEB" w14:textId="77777777" w:rsidR="00534EC2" w:rsidRPr="00534EC2" w:rsidRDefault="00534EC2">
      <w:pPr>
        <w:numPr>
          <w:ilvl w:val="0"/>
          <w:numId w:val="212"/>
        </w:numPr>
        <w:spacing w:line="440" w:lineRule="exact"/>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药物化学的研究对象及其任务的主要内容</w:t>
      </w:r>
      <w:r w:rsidRPr="00534EC2">
        <w:rPr>
          <w:rFonts w:ascii="Times New Roman" w:eastAsia="宋体" w:hAnsi="Times New Roman" w:cs="Times New Roman"/>
          <w:sz w:val="24"/>
          <w:szCs w:val="24"/>
        </w:rPr>
        <w:t>。</w:t>
      </w:r>
    </w:p>
    <w:p w14:paraId="3FD57A42"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lastRenderedPageBreak/>
        <w:t>【教学方法】</w:t>
      </w:r>
    </w:p>
    <w:p w14:paraId="7BBFFF2E"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1.</w:t>
      </w:r>
      <w:r w:rsidRPr="00534EC2">
        <w:rPr>
          <w:rFonts w:ascii="Times New Roman" w:eastAsia="宋体" w:hAnsi="Times New Roman" w:cs="Times New Roman"/>
          <w:sz w:val="24"/>
          <w:szCs w:val="24"/>
        </w:rPr>
        <w:t xml:space="preserve"> </w:t>
      </w:r>
      <w:r w:rsidRPr="00534EC2">
        <w:rPr>
          <w:rFonts w:ascii="Times New Roman" w:eastAsia="宋体" w:hAnsi="Times New Roman" w:cs="Times New Roman" w:hint="eastAsia"/>
          <w:sz w:val="24"/>
          <w:szCs w:val="24"/>
        </w:rPr>
        <w:t>通过多媒体课件和传统教学相结合，阐明课程与教学基本原理，丰富学生课程与教学的基本知识结构，培养学生的职业规范；</w:t>
      </w:r>
    </w:p>
    <w:p w14:paraId="0FAD7350"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2.</w:t>
      </w:r>
      <w:r w:rsidRPr="00534EC2">
        <w:rPr>
          <w:rFonts w:ascii="Times New Roman" w:eastAsia="宋体" w:hAnsi="Times New Roman" w:cs="Times New Roman" w:hint="eastAsia"/>
          <w:szCs w:val="24"/>
        </w:rPr>
        <w:t xml:space="preserve"> </w:t>
      </w:r>
      <w:r w:rsidRPr="00534EC2">
        <w:rPr>
          <w:rFonts w:ascii="Times New Roman" w:eastAsia="宋体" w:hAnsi="Times New Roman" w:cs="Times New Roman" w:hint="eastAsia"/>
          <w:sz w:val="24"/>
          <w:szCs w:val="24"/>
        </w:rPr>
        <w:t>对于较难理解的内容，采用问题驱动和讨论式教学。强调学生的主体性，鼓励学生讨论、交流，提出问题，加深学生对药物化学的理解。</w:t>
      </w:r>
    </w:p>
    <w:p w14:paraId="0C2D713F"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3</w:t>
      </w:r>
      <w:r w:rsidRPr="00534EC2">
        <w:rPr>
          <w:rFonts w:ascii="Times New Roman" w:eastAsia="宋体" w:hAnsi="Times New Roman" w:cs="Times New Roman"/>
          <w:sz w:val="24"/>
          <w:szCs w:val="24"/>
        </w:rPr>
        <w:t>.</w:t>
      </w:r>
      <w:r w:rsidRPr="00534EC2">
        <w:rPr>
          <w:rFonts w:ascii="Times New Roman" w:eastAsia="宋体" w:hAnsi="Times New Roman" w:cs="Times New Roman" w:hint="eastAsia"/>
          <w:sz w:val="24"/>
          <w:szCs w:val="24"/>
        </w:rPr>
        <w:t xml:space="preserve"> </w:t>
      </w:r>
      <w:r w:rsidRPr="00534EC2">
        <w:rPr>
          <w:rFonts w:ascii="Times New Roman" w:eastAsia="宋体" w:hAnsi="Times New Roman" w:cs="Times New Roman" w:hint="eastAsia"/>
          <w:sz w:val="24"/>
          <w:szCs w:val="24"/>
        </w:rPr>
        <w:t>通过案例教学，有效地对学生进行中华历史文化方面的教育，增强学生的民族自豪感和民族文化自信心。</w:t>
      </w:r>
    </w:p>
    <w:p w14:paraId="465E45AB"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【复习思考】</w:t>
      </w:r>
    </w:p>
    <w:p w14:paraId="29A38B69"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1. </w:t>
      </w:r>
      <w:r w:rsidRPr="00534EC2">
        <w:rPr>
          <w:rFonts w:ascii="Times New Roman" w:eastAsia="宋体" w:hAnsi="Times New Roman" w:cs="Times New Roman" w:hint="eastAsia"/>
          <w:sz w:val="24"/>
          <w:szCs w:val="24"/>
        </w:rPr>
        <w:t>药物化学的基本概念</w:t>
      </w:r>
    </w:p>
    <w:p w14:paraId="02281044"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2. </w:t>
      </w:r>
      <w:r w:rsidRPr="00534EC2">
        <w:rPr>
          <w:rFonts w:ascii="Times New Roman" w:eastAsia="宋体" w:hAnsi="Times New Roman" w:cs="Times New Roman" w:hint="eastAsia"/>
          <w:sz w:val="24"/>
          <w:szCs w:val="24"/>
        </w:rPr>
        <w:t>药物化学的研究对象及任务</w:t>
      </w:r>
    </w:p>
    <w:p w14:paraId="5604C15D" w14:textId="77777777" w:rsidR="00534EC2" w:rsidRPr="00534EC2" w:rsidRDefault="00534EC2" w:rsidP="00534EC2">
      <w:pPr>
        <w:spacing w:line="440" w:lineRule="exact"/>
        <w:rPr>
          <w:rFonts w:ascii="Times New Roman" w:eastAsia="宋体" w:hAnsi="Times New Roman" w:cs="Times New Roman"/>
          <w:szCs w:val="24"/>
        </w:rPr>
      </w:pPr>
    </w:p>
    <w:p w14:paraId="0F7B03A1" w14:textId="77777777" w:rsidR="00534EC2" w:rsidRPr="00534EC2" w:rsidRDefault="00534EC2" w:rsidP="00534EC2">
      <w:pPr>
        <w:spacing w:beforeLines="50" w:before="156" w:afterLines="50" w:after="156" w:line="440" w:lineRule="exact"/>
        <w:jc w:val="center"/>
        <w:rPr>
          <w:rFonts w:ascii="黑体" w:eastAsia="黑体" w:hAnsi="黑体" w:cs="Times New Roman"/>
          <w:sz w:val="28"/>
          <w:szCs w:val="28"/>
        </w:rPr>
      </w:pPr>
      <w:r w:rsidRPr="00534EC2">
        <w:rPr>
          <w:rFonts w:ascii="Times New Roman" w:eastAsia="宋体" w:hAnsi="Times New Roman" w:cs="Times New Roman"/>
          <w:b/>
          <w:sz w:val="24"/>
          <w:szCs w:val="24"/>
        </w:rPr>
        <w:t>第</w:t>
      </w:r>
      <w:r w:rsidRPr="00534EC2">
        <w:rPr>
          <w:rFonts w:ascii="Times New Roman" w:eastAsia="宋体" w:hAnsi="Times New Roman" w:cs="Times New Roman" w:hint="eastAsia"/>
          <w:b/>
          <w:sz w:val="24"/>
          <w:szCs w:val="24"/>
        </w:rPr>
        <w:t>一</w:t>
      </w:r>
      <w:r w:rsidRPr="00534EC2">
        <w:rPr>
          <w:rFonts w:ascii="Times New Roman" w:eastAsia="宋体" w:hAnsi="Times New Roman" w:cs="Times New Roman"/>
          <w:b/>
          <w:sz w:val="24"/>
          <w:szCs w:val="24"/>
        </w:rPr>
        <w:t>章</w:t>
      </w:r>
      <w:r w:rsidRPr="00534EC2">
        <w:rPr>
          <w:rFonts w:ascii="Times New Roman" w:eastAsia="宋体" w:hAnsi="Times New Roman" w:cs="Times New Roman"/>
          <w:b/>
          <w:sz w:val="24"/>
          <w:szCs w:val="24"/>
        </w:rPr>
        <w:t xml:space="preserve">  </w:t>
      </w:r>
      <w:r w:rsidRPr="00534EC2">
        <w:rPr>
          <w:rFonts w:ascii="Times New Roman" w:eastAsia="宋体" w:hAnsi="Times New Roman" w:cs="Times New Roman" w:hint="eastAsia"/>
          <w:b/>
          <w:sz w:val="24"/>
          <w:szCs w:val="24"/>
        </w:rPr>
        <w:t>药物结构与生物活性</w:t>
      </w:r>
    </w:p>
    <w:p w14:paraId="7D46DEBF"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22DC4C7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认知类目标：</w:t>
      </w:r>
      <w:r w:rsidRPr="00534EC2">
        <w:rPr>
          <w:rFonts w:ascii="Times New Roman" w:eastAsia="宋体" w:hAnsi="Times New Roman" w:cs="Times New Roman" w:hint="eastAsia"/>
          <w:kern w:val="0"/>
          <w:sz w:val="24"/>
          <w:szCs w:val="24"/>
        </w:rPr>
        <w:t>了解结构非特异性药物、结构特异性药物概念；</w:t>
      </w:r>
      <w:r w:rsidRPr="00534EC2">
        <w:rPr>
          <w:rFonts w:ascii="Times New Roman" w:eastAsia="宋体" w:hAnsi="Times New Roman" w:cs="Times New Roman" w:hint="eastAsia"/>
          <w:sz w:val="24"/>
          <w:szCs w:val="24"/>
        </w:rPr>
        <w:t>熟悉并能自己分析药物结构对药物转运和毒性的影响</w:t>
      </w:r>
      <w:r w:rsidRPr="00534EC2">
        <w:rPr>
          <w:rFonts w:ascii="Times New Roman" w:eastAsia="宋体" w:hAnsi="Times New Roman" w:cs="Times New Roman"/>
          <w:sz w:val="24"/>
          <w:szCs w:val="24"/>
        </w:rPr>
        <w:t>。</w:t>
      </w:r>
    </w:p>
    <w:p w14:paraId="786EF7B3"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过程与方法类目标：</w:t>
      </w:r>
      <w:r w:rsidRPr="00534EC2">
        <w:rPr>
          <w:rFonts w:ascii="Times New Roman" w:eastAsia="宋体" w:hAnsi="Times New Roman" w:cs="Times New Roman" w:hint="eastAsia"/>
          <w:sz w:val="24"/>
          <w:szCs w:val="24"/>
        </w:rPr>
        <w:t>掌握药物的化学结构对活性的影响，包括药效团、药动团、电荷分布、立体因素及药物与受体的相互作用；理化性质包括溶解度、分配系数、解离度、晶型等因素对活性的影响及特点。</w:t>
      </w:r>
    </w:p>
    <w:p w14:paraId="5421993E"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宋体" w:eastAsia="宋体" w:hAnsi="宋体" w:cs="Times New Roman" w:hint="eastAsia"/>
          <w:sz w:val="24"/>
          <w:szCs w:val="24"/>
        </w:rPr>
        <w:t>3. 情感、态度、价值观类目标：</w:t>
      </w:r>
      <w:r w:rsidRPr="00534EC2">
        <w:rPr>
          <w:rFonts w:ascii="Times New Roman" w:eastAsia="宋体" w:hAnsi="Times New Roman" w:cs="Times New Roman"/>
          <w:sz w:val="24"/>
          <w:szCs w:val="24"/>
        </w:rPr>
        <w:t>培养学生分析问题、解决问题的能力。</w:t>
      </w:r>
    </w:p>
    <w:p w14:paraId="2800CC3F"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【学习内容】</w:t>
      </w:r>
    </w:p>
    <w:p w14:paraId="41A855DE"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1</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药物理化性质对药物活性的影响</w:t>
      </w:r>
    </w:p>
    <w:p w14:paraId="71F2FC56"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2</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药物的结构对药物活性的影响</w:t>
      </w:r>
    </w:p>
    <w:p w14:paraId="11C77584"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3</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药物结构对药物转运的影响</w:t>
      </w:r>
    </w:p>
    <w:p w14:paraId="2BF40F9D"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4</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药物结构对药物毒副作用的影响</w:t>
      </w:r>
    </w:p>
    <w:p w14:paraId="4D07B886"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 xml:space="preserve">【重点】  </w:t>
      </w:r>
    </w:p>
    <w:p w14:paraId="3C3ED940"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宋体" w:cs="Times New Roman" w:hint="eastAsia"/>
          <w:kern w:val="0"/>
          <w:sz w:val="24"/>
          <w:szCs w:val="24"/>
        </w:rPr>
        <w:t xml:space="preserve">1. </w:t>
      </w:r>
      <w:r w:rsidRPr="00534EC2">
        <w:rPr>
          <w:rFonts w:ascii="Times New Roman" w:eastAsia="宋体" w:hAnsi="宋体" w:cs="Times New Roman" w:hint="eastAsia"/>
          <w:kern w:val="0"/>
          <w:sz w:val="24"/>
          <w:szCs w:val="24"/>
        </w:rPr>
        <w:t>药物理化性质</w:t>
      </w:r>
      <w:r w:rsidRPr="00534EC2">
        <w:rPr>
          <w:rFonts w:ascii="Times New Roman" w:eastAsia="宋体" w:hAnsi="宋体" w:cs="Times New Roman" w:hint="eastAsia"/>
          <w:kern w:val="0"/>
          <w:sz w:val="24"/>
          <w:szCs w:val="24"/>
        </w:rPr>
        <w:t>(</w:t>
      </w:r>
      <w:r w:rsidRPr="00534EC2">
        <w:rPr>
          <w:rFonts w:ascii="Times New Roman" w:eastAsia="宋体" w:hAnsi="Times New Roman" w:cs="Times New Roman" w:hint="eastAsia"/>
          <w:sz w:val="24"/>
          <w:szCs w:val="24"/>
        </w:rPr>
        <w:t>溶解度、分配系数、解离度、晶型</w:t>
      </w:r>
      <w:r w:rsidRPr="00534EC2">
        <w:rPr>
          <w:rFonts w:ascii="Times New Roman" w:eastAsia="宋体" w:hAnsi="Times New Roman" w:cs="Times New Roman" w:hint="eastAsia"/>
          <w:sz w:val="24"/>
          <w:szCs w:val="24"/>
        </w:rPr>
        <w:t>)</w:t>
      </w:r>
      <w:r w:rsidRPr="00534EC2">
        <w:rPr>
          <w:rFonts w:ascii="Times New Roman" w:eastAsia="宋体" w:hAnsi="宋体" w:cs="Times New Roman" w:hint="eastAsia"/>
          <w:kern w:val="0"/>
          <w:sz w:val="24"/>
          <w:szCs w:val="24"/>
        </w:rPr>
        <w:t>、与受体相互作用、电荷分布及立体效应对药效的影响。</w:t>
      </w:r>
    </w:p>
    <w:p w14:paraId="52214DA8"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 xml:space="preserve">【难点】  </w:t>
      </w:r>
    </w:p>
    <w:p w14:paraId="62AD04F7"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宋体" w:eastAsia="宋体" w:hAnsi="宋体" w:cs="Times New Roman" w:hint="eastAsia"/>
          <w:kern w:val="0"/>
          <w:sz w:val="24"/>
          <w:szCs w:val="24"/>
        </w:rPr>
        <w:t>1.</w:t>
      </w:r>
      <w:r w:rsidRPr="00534EC2">
        <w:rPr>
          <w:rFonts w:ascii="Times New Roman" w:eastAsia="宋体" w:hAnsi="宋体" w:cs="Times New Roman" w:hint="eastAsia"/>
          <w:kern w:val="0"/>
          <w:sz w:val="24"/>
          <w:szCs w:val="24"/>
        </w:rPr>
        <w:t xml:space="preserve"> </w:t>
      </w:r>
      <w:r w:rsidRPr="00534EC2">
        <w:rPr>
          <w:rFonts w:ascii="Times New Roman" w:eastAsia="宋体" w:hAnsi="宋体" w:cs="Times New Roman" w:hint="eastAsia"/>
          <w:kern w:val="0"/>
          <w:sz w:val="24"/>
          <w:szCs w:val="24"/>
        </w:rPr>
        <w:t>药物理化性质</w:t>
      </w:r>
      <w:r w:rsidRPr="00534EC2">
        <w:rPr>
          <w:rFonts w:ascii="Times New Roman" w:eastAsia="宋体" w:hAnsi="宋体" w:cs="Times New Roman" w:hint="eastAsia"/>
          <w:kern w:val="0"/>
          <w:sz w:val="24"/>
          <w:szCs w:val="24"/>
        </w:rPr>
        <w:t>(</w:t>
      </w:r>
      <w:r w:rsidRPr="00534EC2">
        <w:rPr>
          <w:rFonts w:ascii="Times New Roman" w:eastAsia="宋体" w:hAnsi="Times New Roman" w:cs="Times New Roman" w:hint="eastAsia"/>
          <w:sz w:val="24"/>
          <w:szCs w:val="24"/>
        </w:rPr>
        <w:t>溶解度、分配系数、解离度、晶型</w:t>
      </w:r>
      <w:r w:rsidRPr="00534EC2">
        <w:rPr>
          <w:rFonts w:ascii="Times New Roman" w:eastAsia="宋体" w:hAnsi="Times New Roman" w:cs="Times New Roman" w:hint="eastAsia"/>
          <w:sz w:val="24"/>
          <w:szCs w:val="24"/>
        </w:rPr>
        <w:t>)</w:t>
      </w:r>
      <w:r w:rsidRPr="00534EC2">
        <w:rPr>
          <w:rFonts w:ascii="Times New Roman" w:eastAsia="宋体" w:hAnsi="宋体" w:cs="Times New Roman" w:hint="eastAsia"/>
          <w:kern w:val="0"/>
          <w:sz w:val="24"/>
          <w:szCs w:val="24"/>
        </w:rPr>
        <w:t>、与受体相互作用、电荷分布及立体效应对药效的影响</w:t>
      </w:r>
      <w:r w:rsidRPr="00534EC2">
        <w:rPr>
          <w:rFonts w:ascii="Times New Roman" w:eastAsia="宋体" w:hAnsi="Times New Roman" w:cs="Times New Roman"/>
          <w:sz w:val="24"/>
          <w:szCs w:val="24"/>
        </w:rPr>
        <w:t>。</w:t>
      </w:r>
    </w:p>
    <w:p w14:paraId="22A456E4" w14:textId="77777777" w:rsidR="00534EC2" w:rsidRPr="00534EC2" w:rsidRDefault="00534EC2" w:rsidP="00D225FF">
      <w:pPr>
        <w:spacing w:line="440" w:lineRule="exact"/>
        <w:ind w:firstLineChars="200" w:firstLine="482"/>
        <w:rPr>
          <w:rFonts w:ascii="Times New Roman" w:eastAsia="宋体" w:hAnsi="Times New Roman" w:cs="Times New Roman"/>
          <w:sz w:val="24"/>
          <w:szCs w:val="24"/>
        </w:rPr>
      </w:pPr>
      <w:r w:rsidRPr="00534EC2">
        <w:rPr>
          <w:rFonts w:ascii="宋体" w:eastAsia="宋体" w:hAnsi="宋体" w:cs="Times New Roman" w:hint="eastAsia"/>
          <w:b/>
          <w:bCs/>
          <w:sz w:val="24"/>
          <w:szCs w:val="24"/>
        </w:rPr>
        <w:t>【教学方法】</w:t>
      </w:r>
    </w:p>
    <w:p w14:paraId="15A6368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lastRenderedPageBreak/>
        <w:t>1. 通过多媒体课件和传统教学相结合，阐明课程与教学基本原理，丰富学生课程与教学的基本知识结构，培养学生的职业规范；</w:t>
      </w:r>
    </w:p>
    <w:p w14:paraId="2486C0BF"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2. </w:t>
      </w:r>
      <w:r w:rsidRPr="00534EC2">
        <w:rPr>
          <w:rFonts w:ascii="Times New Roman" w:eastAsia="宋体" w:hAnsi="Times New Roman" w:cs="Times New Roman"/>
          <w:sz w:val="24"/>
          <w:szCs w:val="24"/>
        </w:rPr>
        <w:t>采用以问题为导向的探究式教学法，通过问题聚焦，</w:t>
      </w:r>
      <w:r w:rsidRPr="00534EC2">
        <w:rPr>
          <w:rFonts w:ascii="Times New Roman" w:eastAsia="宋体" w:hAnsi="Times New Roman" w:cs="Times New Roman" w:hint="eastAsia"/>
          <w:sz w:val="24"/>
          <w:szCs w:val="24"/>
        </w:rPr>
        <w:t>让学生</w:t>
      </w:r>
      <w:r w:rsidRPr="00534EC2">
        <w:rPr>
          <w:rFonts w:ascii="Times New Roman" w:eastAsia="宋体" w:hAnsi="Times New Roman" w:cs="Times New Roman"/>
          <w:sz w:val="24"/>
          <w:szCs w:val="24"/>
        </w:rPr>
        <w:t>自行查阅资料，同学相互交流，教师适时点拨</w:t>
      </w:r>
      <w:r w:rsidRPr="00534EC2">
        <w:rPr>
          <w:rFonts w:ascii="Times New Roman" w:eastAsia="宋体" w:hAnsi="Times New Roman" w:cs="Times New Roman" w:hint="eastAsia"/>
          <w:sz w:val="24"/>
          <w:szCs w:val="24"/>
        </w:rPr>
        <w:t>，学生</w:t>
      </w:r>
      <w:r w:rsidRPr="00534EC2">
        <w:rPr>
          <w:rFonts w:ascii="Times New Roman" w:eastAsia="宋体" w:hAnsi="Times New Roman" w:cs="Times New Roman"/>
          <w:sz w:val="24"/>
          <w:szCs w:val="24"/>
        </w:rPr>
        <w:t>独立完成调研报告等形式，进一步理解与掌握相关的理论知识，培养学生分析问题、解决问题的能力。</w:t>
      </w:r>
    </w:p>
    <w:p w14:paraId="609D21D9"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【复习思考】</w:t>
      </w:r>
    </w:p>
    <w:p w14:paraId="07286018"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1</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药物的按其结构特点分类</w:t>
      </w:r>
    </w:p>
    <w:p w14:paraId="32FB3F87"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2</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药物</w:t>
      </w:r>
      <w:proofErr w:type="gramStart"/>
      <w:r w:rsidRPr="00534EC2">
        <w:rPr>
          <w:rFonts w:ascii="Times New Roman" w:eastAsia="宋体" w:hAnsi="Times New Roman" w:cs="Times New Roman" w:hint="eastAsia"/>
          <w:sz w:val="24"/>
          <w:szCs w:val="24"/>
        </w:rPr>
        <w:t>体内作用</w:t>
      </w:r>
      <w:proofErr w:type="gramEnd"/>
      <w:r w:rsidRPr="00534EC2">
        <w:rPr>
          <w:rFonts w:ascii="Times New Roman" w:eastAsia="宋体" w:hAnsi="Times New Roman" w:cs="Times New Roman" w:hint="eastAsia"/>
          <w:sz w:val="24"/>
          <w:szCs w:val="24"/>
        </w:rPr>
        <w:t>的影响因素</w:t>
      </w:r>
    </w:p>
    <w:p w14:paraId="6BC0EA78"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3</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药物与受体结合的方式</w:t>
      </w:r>
    </w:p>
    <w:p w14:paraId="62EFE1EC" w14:textId="77777777" w:rsidR="00534EC2" w:rsidRPr="00534EC2" w:rsidRDefault="00534EC2" w:rsidP="00534EC2">
      <w:pPr>
        <w:tabs>
          <w:tab w:val="left" w:pos="58"/>
        </w:tabs>
        <w:spacing w:beforeLines="50" w:before="156" w:afterLines="50" w:after="156" w:line="440" w:lineRule="exact"/>
        <w:jc w:val="center"/>
        <w:rPr>
          <w:rFonts w:ascii="黑体" w:eastAsia="黑体" w:hAnsi="黑体" w:cs="Times New Roman"/>
          <w:sz w:val="28"/>
          <w:szCs w:val="28"/>
        </w:rPr>
      </w:pPr>
      <w:r w:rsidRPr="00534EC2">
        <w:rPr>
          <w:rFonts w:ascii="Times New Roman" w:eastAsia="宋体" w:hAnsi="Times New Roman" w:cs="Times New Roman"/>
          <w:b/>
          <w:sz w:val="24"/>
          <w:szCs w:val="24"/>
        </w:rPr>
        <w:t>第</w:t>
      </w:r>
      <w:r w:rsidRPr="00534EC2">
        <w:rPr>
          <w:rFonts w:ascii="Times New Roman" w:eastAsia="宋体" w:hAnsi="Times New Roman" w:cs="Times New Roman" w:hint="eastAsia"/>
          <w:b/>
          <w:sz w:val="24"/>
          <w:szCs w:val="24"/>
        </w:rPr>
        <w:t>二</w:t>
      </w:r>
      <w:r w:rsidRPr="00534EC2">
        <w:rPr>
          <w:rFonts w:ascii="Times New Roman" w:eastAsia="宋体" w:hAnsi="Times New Roman" w:cs="Times New Roman"/>
          <w:b/>
          <w:sz w:val="24"/>
          <w:szCs w:val="24"/>
        </w:rPr>
        <w:t>章</w:t>
      </w:r>
      <w:r w:rsidRPr="00534EC2">
        <w:rPr>
          <w:rFonts w:ascii="Times New Roman" w:eastAsia="宋体" w:hAnsi="Times New Roman" w:cs="Times New Roman"/>
          <w:b/>
          <w:sz w:val="24"/>
          <w:szCs w:val="24"/>
        </w:rPr>
        <w:t xml:space="preserve">  </w:t>
      </w:r>
      <w:r w:rsidRPr="00534EC2">
        <w:rPr>
          <w:rFonts w:ascii="Times New Roman" w:eastAsia="宋体" w:hAnsi="Times New Roman" w:cs="Times New Roman" w:hint="eastAsia"/>
          <w:b/>
          <w:sz w:val="24"/>
          <w:szCs w:val="24"/>
        </w:rPr>
        <w:t>药物结构与代谢</w:t>
      </w:r>
    </w:p>
    <w:p w14:paraId="27BAFCF8"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4B876E97" w14:textId="77777777" w:rsidR="00534EC2" w:rsidRPr="00534EC2" w:rsidRDefault="00534EC2" w:rsidP="00D225FF">
      <w:pPr>
        <w:widowControl/>
        <w:spacing w:line="440" w:lineRule="exact"/>
        <w:ind w:firstLineChars="200" w:firstLine="480"/>
        <w:jc w:val="left"/>
        <w:rPr>
          <w:rFonts w:ascii="Times New Roman" w:eastAsia="宋体" w:hAnsi="Times New Roman" w:cs="Times New Roman"/>
          <w:kern w:val="0"/>
          <w:sz w:val="24"/>
          <w:szCs w:val="24"/>
        </w:rPr>
      </w:pPr>
      <w:r w:rsidRPr="00534EC2">
        <w:rPr>
          <w:rFonts w:ascii="Times New Roman" w:eastAsia="宋体" w:hAnsi="Times New Roman" w:cs="Times New Roman" w:hint="eastAsia"/>
          <w:kern w:val="0"/>
          <w:sz w:val="24"/>
          <w:szCs w:val="24"/>
        </w:rPr>
        <w:t xml:space="preserve">1. </w:t>
      </w:r>
      <w:r w:rsidRPr="00534EC2">
        <w:rPr>
          <w:rFonts w:ascii="Times New Roman" w:eastAsia="宋体" w:hAnsi="Times New Roman" w:cs="Times New Roman" w:hint="eastAsia"/>
          <w:kern w:val="0"/>
          <w:sz w:val="24"/>
          <w:szCs w:val="24"/>
        </w:rPr>
        <w:t>认知类目标：熟悉</w:t>
      </w:r>
      <w:r w:rsidRPr="00534EC2">
        <w:rPr>
          <w:rFonts w:ascii="Times New Roman" w:eastAsia="宋体" w:hAnsi="Times New Roman" w:cs="Times New Roman"/>
          <w:kern w:val="0"/>
          <w:sz w:val="24"/>
          <w:szCs w:val="24"/>
        </w:rPr>
        <w:t>药物在体内代谢的反应</w:t>
      </w:r>
      <w:r w:rsidRPr="00534EC2">
        <w:rPr>
          <w:rFonts w:ascii="Times New Roman" w:eastAsia="宋体" w:hAnsi="Times New Roman" w:cs="Times New Roman" w:hint="eastAsia"/>
          <w:kern w:val="0"/>
          <w:sz w:val="24"/>
          <w:szCs w:val="24"/>
        </w:rPr>
        <w:t>。</w:t>
      </w:r>
    </w:p>
    <w:p w14:paraId="25AA6F0C" w14:textId="77777777" w:rsidR="00534EC2" w:rsidRPr="00534EC2" w:rsidRDefault="00534EC2" w:rsidP="00D225FF">
      <w:pPr>
        <w:widowControl/>
        <w:spacing w:line="440" w:lineRule="exact"/>
        <w:ind w:firstLineChars="200" w:firstLine="480"/>
        <w:jc w:val="left"/>
        <w:rPr>
          <w:rFonts w:ascii="Times New Roman" w:eastAsia="宋体" w:hAnsi="Times New Roman" w:cs="Times New Roman"/>
          <w:kern w:val="0"/>
          <w:sz w:val="24"/>
          <w:szCs w:val="24"/>
        </w:rPr>
      </w:pPr>
      <w:r w:rsidRPr="00534EC2">
        <w:rPr>
          <w:rFonts w:ascii="Times New Roman" w:eastAsia="宋体" w:hAnsi="Times New Roman" w:cs="Times New Roman" w:hint="eastAsia"/>
          <w:kern w:val="0"/>
          <w:sz w:val="24"/>
          <w:szCs w:val="24"/>
        </w:rPr>
        <w:t xml:space="preserve">2. </w:t>
      </w:r>
      <w:r w:rsidRPr="00534EC2">
        <w:rPr>
          <w:rFonts w:ascii="Times New Roman" w:eastAsia="宋体" w:hAnsi="Times New Roman" w:cs="Times New Roman" w:hint="eastAsia"/>
          <w:kern w:val="0"/>
          <w:sz w:val="24"/>
          <w:szCs w:val="24"/>
        </w:rPr>
        <w:t>过程与方法类目标：掌握</w:t>
      </w:r>
      <w:r w:rsidRPr="00534EC2">
        <w:rPr>
          <w:rFonts w:ascii="Times New Roman" w:eastAsia="宋体" w:hAnsi="Times New Roman" w:cs="Times New Roman"/>
          <w:kern w:val="0"/>
          <w:sz w:val="24"/>
          <w:szCs w:val="24"/>
        </w:rPr>
        <w:t>官能团化反应和结合反应的反应类型</w:t>
      </w:r>
      <w:r w:rsidRPr="00534EC2">
        <w:rPr>
          <w:rFonts w:ascii="Times New Roman" w:eastAsia="宋体" w:hAnsi="Times New Roman" w:cs="Times New Roman" w:hint="eastAsia"/>
          <w:kern w:val="0"/>
          <w:sz w:val="24"/>
          <w:szCs w:val="24"/>
        </w:rPr>
        <w:t>；</w:t>
      </w:r>
      <w:r w:rsidRPr="00534EC2">
        <w:rPr>
          <w:rFonts w:ascii="Times New Roman" w:eastAsia="宋体" w:hAnsi="Times New Roman" w:cs="Times New Roman"/>
          <w:kern w:val="0"/>
          <w:sz w:val="24"/>
          <w:szCs w:val="24"/>
        </w:rPr>
        <w:t>掌握易水解和易氧化的药物结构。</w:t>
      </w:r>
    </w:p>
    <w:p w14:paraId="1672F12F"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Times New Roman" w:eastAsia="宋体" w:hAnsi="Times New Roman" w:cs="Times New Roman" w:hint="eastAsia"/>
          <w:kern w:val="0"/>
          <w:sz w:val="24"/>
          <w:szCs w:val="24"/>
        </w:rPr>
        <w:t xml:space="preserve">3. </w:t>
      </w:r>
      <w:r w:rsidRPr="00534EC2">
        <w:rPr>
          <w:rFonts w:ascii="Times New Roman" w:eastAsia="宋体" w:hAnsi="Times New Roman" w:cs="Times New Roman" w:hint="eastAsia"/>
          <w:kern w:val="0"/>
          <w:sz w:val="24"/>
          <w:szCs w:val="24"/>
        </w:rPr>
        <w:t>情感、态度、价值观类目标：</w:t>
      </w:r>
      <w:r w:rsidRPr="00534EC2">
        <w:rPr>
          <w:rFonts w:ascii="宋体" w:eastAsia="宋体" w:hAnsi="宋体" w:cs="Times New Roman" w:hint="eastAsia"/>
          <w:sz w:val="24"/>
          <w:szCs w:val="24"/>
        </w:rPr>
        <w:t>理论与实践相结合，促进学生知识整合，培养学生的反思能力。</w:t>
      </w:r>
    </w:p>
    <w:p w14:paraId="529B5909"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【学习内容】</w:t>
      </w:r>
    </w:p>
    <w:p w14:paraId="2CB39A9E"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1</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官能团化反应</w:t>
      </w:r>
    </w:p>
    <w:p w14:paraId="013F6BE8"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2</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结合反应</w:t>
      </w:r>
    </w:p>
    <w:p w14:paraId="791B41D9"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3</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药物代谢研究在药物开发中的应用</w:t>
      </w:r>
    </w:p>
    <w:p w14:paraId="25BA263C"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 xml:space="preserve">【重点】 </w:t>
      </w:r>
    </w:p>
    <w:p w14:paraId="7159894F"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宋体" w:eastAsia="宋体" w:hAnsi="宋体" w:cs="Times New Roman" w:hint="eastAsia"/>
          <w:sz w:val="24"/>
          <w:szCs w:val="24"/>
        </w:rPr>
        <w:t xml:space="preserve">1. </w:t>
      </w:r>
      <w:r w:rsidRPr="00534EC2">
        <w:rPr>
          <w:rFonts w:ascii="Times New Roman" w:eastAsia="宋体" w:hAnsi="Times New Roman" w:cs="Times New Roman" w:hint="eastAsia"/>
          <w:sz w:val="24"/>
          <w:szCs w:val="24"/>
        </w:rPr>
        <w:t>官能团化反应和结合反应的反应类型；</w:t>
      </w:r>
    </w:p>
    <w:p w14:paraId="12F5A0C6"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2. </w:t>
      </w:r>
      <w:r w:rsidRPr="00534EC2">
        <w:rPr>
          <w:rFonts w:ascii="Times New Roman" w:eastAsia="宋体" w:hAnsi="Times New Roman" w:cs="Times New Roman" w:hint="eastAsia"/>
          <w:sz w:val="24"/>
          <w:szCs w:val="24"/>
        </w:rPr>
        <w:t>易水解和易氧化的药物结构。</w:t>
      </w:r>
    </w:p>
    <w:p w14:paraId="7425962E"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 xml:space="preserve">【难点】 </w:t>
      </w:r>
    </w:p>
    <w:p w14:paraId="60FF6323"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宋体" w:eastAsia="宋体" w:hAnsi="宋体" w:cs="Times New Roman" w:hint="eastAsia"/>
          <w:sz w:val="24"/>
          <w:szCs w:val="24"/>
        </w:rPr>
        <w:t>1.</w:t>
      </w:r>
      <w:r w:rsidRPr="00534EC2">
        <w:rPr>
          <w:rFonts w:ascii="Times New Roman" w:eastAsia="宋体" w:hAnsi="Times New Roman" w:cs="Times New Roman" w:hint="eastAsia"/>
          <w:sz w:val="24"/>
          <w:szCs w:val="24"/>
        </w:rPr>
        <w:t>易水解和易氧化的药物结构</w:t>
      </w:r>
      <w:r w:rsidRPr="00534EC2">
        <w:rPr>
          <w:rFonts w:ascii="Times New Roman" w:eastAsia="宋体" w:hAnsi="Times New Roman" w:cs="Times New Roman"/>
          <w:sz w:val="24"/>
          <w:szCs w:val="24"/>
        </w:rPr>
        <w:t>。</w:t>
      </w:r>
    </w:p>
    <w:p w14:paraId="408B1C71" w14:textId="77777777" w:rsidR="00534EC2" w:rsidRPr="00534EC2" w:rsidRDefault="00534EC2" w:rsidP="00D225FF">
      <w:pPr>
        <w:spacing w:line="440" w:lineRule="exact"/>
        <w:ind w:firstLineChars="200" w:firstLine="482"/>
        <w:rPr>
          <w:rFonts w:ascii="Times New Roman" w:eastAsia="宋体" w:hAnsi="Times New Roman" w:cs="Times New Roman"/>
          <w:sz w:val="24"/>
          <w:szCs w:val="24"/>
        </w:rPr>
      </w:pPr>
      <w:r w:rsidRPr="00534EC2">
        <w:rPr>
          <w:rFonts w:ascii="宋体" w:eastAsia="宋体" w:hAnsi="宋体" w:cs="Times New Roman" w:hint="eastAsia"/>
          <w:b/>
          <w:bCs/>
          <w:sz w:val="24"/>
          <w:szCs w:val="24"/>
        </w:rPr>
        <w:t>【教学方法】</w:t>
      </w:r>
    </w:p>
    <w:p w14:paraId="33CEF604"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25C0BE90"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通过案例分析，强调理论与实践相结合，促进学生知识整合，培养学生的反思能力。</w:t>
      </w:r>
    </w:p>
    <w:p w14:paraId="6E5B5C3F"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【复习思考】</w:t>
      </w:r>
    </w:p>
    <w:p w14:paraId="41EED718"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lastRenderedPageBreak/>
        <w:t xml:space="preserve">1. </w:t>
      </w:r>
      <w:r w:rsidRPr="00534EC2">
        <w:rPr>
          <w:rFonts w:ascii="Times New Roman" w:eastAsia="宋体" w:hAnsi="Times New Roman" w:cs="Times New Roman" w:hint="eastAsia"/>
          <w:sz w:val="24"/>
          <w:szCs w:val="24"/>
        </w:rPr>
        <w:t>官能团化反应的类型</w:t>
      </w:r>
    </w:p>
    <w:p w14:paraId="02BE9774"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2. </w:t>
      </w:r>
      <w:r w:rsidRPr="00534EC2">
        <w:rPr>
          <w:rFonts w:ascii="Times New Roman" w:eastAsia="宋体" w:hAnsi="Times New Roman" w:cs="Times New Roman" w:hint="eastAsia"/>
          <w:sz w:val="24"/>
          <w:szCs w:val="24"/>
        </w:rPr>
        <w:t>结合反应的反应类型</w:t>
      </w:r>
    </w:p>
    <w:p w14:paraId="64C4E78C" w14:textId="77777777" w:rsidR="00534EC2" w:rsidRPr="00534EC2" w:rsidRDefault="00534EC2" w:rsidP="00D225FF">
      <w:pPr>
        <w:ind w:firstLineChars="200" w:firstLine="420"/>
        <w:rPr>
          <w:rFonts w:ascii="Times New Roman" w:eastAsia="宋体" w:hAnsi="Times New Roman" w:cs="Times New Roman"/>
          <w:szCs w:val="24"/>
        </w:rPr>
      </w:pPr>
    </w:p>
    <w:p w14:paraId="70F3DEB8" w14:textId="77777777" w:rsidR="00534EC2" w:rsidRPr="00534EC2" w:rsidRDefault="00534EC2" w:rsidP="00D225FF">
      <w:pPr>
        <w:spacing w:beforeLines="50" w:before="156" w:afterLines="50" w:after="156" w:line="440" w:lineRule="exact"/>
        <w:ind w:firstLineChars="200" w:firstLine="482"/>
        <w:jc w:val="center"/>
        <w:rPr>
          <w:rFonts w:ascii="Times New Roman" w:eastAsia="宋体" w:hAnsi="Times New Roman" w:cs="Times New Roman"/>
          <w:b/>
          <w:sz w:val="24"/>
          <w:szCs w:val="24"/>
        </w:rPr>
      </w:pPr>
      <w:r w:rsidRPr="00534EC2">
        <w:rPr>
          <w:rFonts w:ascii="Times New Roman" w:eastAsia="宋体" w:hAnsi="Times New Roman" w:cs="Times New Roman"/>
          <w:b/>
          <w:sz w:val="24"/>
          <w:szCs w:val="24"/>
        </w:rPr>
        <w:t>第</w:t>
      </w:r>
      <w:r w:rsidRPr="00534EC2">
        <w:rPr>
          <w:rFonts w:ascii="Times New Roman" w:eastAsia="宋体" w:hAnsi="Times New Roman" w:cs="Times New Roman" w:hint="eastAsia"/>
          <w:b/>
          <w:sz w:val="24"/>
          <w:szCs w:val="24"/>
        </w:rPr>
        <w:t>三</w:t>
      </w:r>
      <w:r w:rsidRPr="00534EC2">
        <w:rPr>
          <w:rFonts w:ascii="Times New Roman" w:eastAsia="宋体" w:hAnsi="Times New Roman" w:cs="Times New Roman"/>
          <w:b/>
          <w:sz w:val="24"/>
          <w:szCs w:val="24"/>
        </w:rPr>
        <w:t>章</w:t>
      </w:r>
      <w:r w:rsidRPr="00534EC2">
        <w:rPr>
          <w:rFonts w:ascii="Times New Roman" w:eastAsia="宋体" w:hAnsi="Times New Roman" w:cs="Times New Roman"/>
          <w:b/>
          <w:sz w:val="24"/>
          <w:szCs w:val="24"/>
        </w:rPr>
        <w:t xml:space="preserve">  </w:t>
      </w:r>
      <w:r w:rsidRPr="00534EC2">
        <w:rPr>
          <w:rFonts w:ascii="Times New Roman" w:eastAsia="宋体" w:hAnsi="Times New Roman" w:cs="Times New Roman" w:hint="eastAsia"/>
          <w:b/>
          <w:sz w:val="24"/>
          <w:szCs w:val="24"/>
        </w:rPr>
        <w:t>药物设计的基本原理和方法</w:t>
      </w:r>
    </w:p>
    <w:p w14:paraId="56B42929" w14:textId="77777777" w:rsidR="00534EC2" w:rsidRPr="00534EC2" w:rsidRDefault="00534EC2" w:rsidP="00D225FF">
      <w:pPr>
        <w:spacing w:line="440" w:lineRule="exact"/>
        <w:ind w:firstLineChars="200" w:firstLine="482"/>
        <w:rPr>
          <w:rFonts w:ascii="Times New Roman" w:eastAsia="宋体" w:hAnsi="Times New Roman" w:cs="Times New Roman"/>
          <w:b/>
          <w:sz w:val="24"/>
          <w:szCs w:val="24"/>
        </w:rPr>
      </w:pPr>
      <w:r w:rsidRPr="00534EC2">
        <w:rPr>
          <w:rFonts w:ascii="宋体" w:eastAsia="宋体" w:hAnsi="宋体" w:cs="Times New Roman" w:hint="eastAsia"/>
          <w:b/>
          <w:sz w:val="24"/>
          <w:szCs w:val="24"/>
        </w:rPr>
        <w:t>【学习目标】</w:t>
      </w:r>
    </w:p>
    <w:p w14:paraId="589BEE86"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1. </w:t>
      </w:r>
      <w:r w:rsidRPr="00534EC2">
        <w:rPr>
          <w:rFonts w:ascii="Times New Roman" w:eastAsia="宋体" w:hAnsi="Times New Roman" w:cs="Times New Roman" w:hint="eastAsia"/>
          <w:sz w:val="24"/>
          <w:szCs w:val="24"/>
        </w:rPr>
        <w:t>认知类目标：熟悉先导化合物的来源及寻找方法，</w:t>
      </w:r>
    </w:p>
    <w:p w14:paraId="711A6258"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2. </w:t>
      </w:r>
      <w:r w:rsidRPr="00534EC2">
        <w:rPr>
          <w:rFonts w:ascii="Times New Roman" w:eastAsia="宋体" w:hAnsi="Times New Roman" w:cs="Times New Roman" w:hint="eastAsia"/>
          <w:sz w:val="24"/>
          <w:szCs w:val="24"/>
        </w:rPr>
        <w:t>过程与方法类目标：掌握生物电子等排原理；前药原理及前药修饰的目的和作用；软药、硬药及</w:t>
      </w:r>
      <w:proofErr w:type="gramStart"/>
      <w:r w:rsidRPr="00534EC2">
        <w:rPr>
          <w:rFonts w:ascii="Times New Roman" w:eastAsia="宋体" w:hAnsi="Times New Roman" w:cs="Times New Roman" w:hint="eastAsia"/>
          <w:sz w:val="24"/>
          <w:szCs w:val="24"/>
        </w:rPr>
        <w:t>孪</w:t>
      </w:r>
      <w:proofErr w:type="gramEnd"/>
      <w:r w:rsidRPr="00534EC2">
        <w:rPr>
          <w:rFonts w:ascii="Times New Roman" w:eastAsia="宋体" w:hAnsi="Times New Roman" w:cs="Times New Roman" w:hint="eastAsia"/>
          <w:sz w:val="24"/>
          <w:szCs w:val="24"/>
        </w:rPr>
        <w:t>药的概念和应用。</w:t>
      </w:r>
    </w:p>
    <w:p w14:paraId="1C3BB7BE"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3. </w:t>
      </w:r>
      <w:r w:rsidRPr="00534EC2">
        <w:rPr>
          <w:rFonts w:ascii="Times New Roman" w:eastAsia="宋体" w:hAnsi="Times New Roman" w:cs="Times New Roman" w:hint="eastAsia"/>
          <w:sz w:val="24"/>
          <w:szCs w:val="24"/>
        </w:rPr>
        <w:t>情感、态度、价值观类目标：拓宽学生的知识面，加深了对教材理论知识的理解，学生产生强烈的学习动机。</w:t>
      </w:r>
    </w:p>
    <w:p w14:paraId="3A04AB8C"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【学习内容】</w:t>
      </w:r>
    </w:p>
    <w:p w14:paraId="6035E430"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1</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先导化合物发现的方法和途径</w:t>
      </w:r>
    </w:p>
    <w:p w14:paraId="0E7FE679"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2</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先导化合物的优化</w:t>
      </w:r>
    </w:p>
    <w:p w14:paraId="5BB96C0C"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【重点】</w:t>
      </w:r>
    </w:p>
    <w:p w14:paraId="7372FC1F" w14:textId="77777777" w:rsidR="00534EC2" w:rsidRPr="00534EC2" w:rsidRDefault="00534EC2">
      <w:pPr>
        <w:numPr>
          <w:ilvl w:val="0"/>
          <w:numId w:val="213"/>
        </w:numPr>
        <w:spacing w:line="440" w:lineRule="exact"/>
        <w:ind w:firstLineChars="200" w:firstLine="480"/>
        <w:rPr>
          <w:rFonts w:ascii="Times New Roman" w:eastAsia="宋体" w:hAnsi="Times New Roman" w:cs="Times New Roman"/>
          <w:szCs w:val="24"/>
        </w:rPr>
      </w:pPr>
      <w:r w:rsidRPr="00534EC2">
        <w:rPr>
          <w:rFonts w:ascii="Times New Roman" w:eastAsia="宋体" w:hAnsi="Times New Roman" w:cs="Times New Roman" w:hint="eastAsia"/>
          <w:sz w:val="24"/>
          <w:szCs w:val="24"/>
        </w:rPr>
        <w:t>先导化合物的优化方法</w:t>
      </w:r>
      <w:r w:rsidRPr="00534EC2">
        <w:rPr>
          <w:rFonts w:ascii="Times New Roman" w:eastAsia="宋体" w:hAnsi="Times New Roman" w:cs="Times New Roman"/>
          <w:sz w:val="24"/>
          <w:szCs w:val="24"/>
        </w:rPr>
        <w:t>。</w:t>
      </w:r>
    </w:p>
    <w:p w14:paraId="1D3F2374"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1A3FEC17" w14:textId="77777777" w:rsidR="00534EC2" w:rsidRPr="00534EC2" w:rsidRDefault="00534EC2">
      <w:pPr>
        <w:numPr>
          <w:ilvl w:val="0"/>
          <w:numId w:val="214"/>
        </w:num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生物电子等排原理；前药原理；软药；硬药；</w:t>
      </w:r>
      <w:proofErr w:type="gramStart"/>
      <w:r w:rsidRPr="00534EC2">
        <w:rPr>
          <w:rFonts w:ascii="Times New Roman" w:eastAsia="宋体" w:hAnsi="Times New Roman" w:cs="Times New Roman" w:hint="eastAsia"/>
          <w:sz w:val="24"/>
          <w:szCs w:val="24"/>
        </w:rPr>
        <w:t>孪</w:t>
      </w:r>
      <w:proofErr w:type="gramEnd"/>
      <w:r w:rsidRPr="00534EC2">
        <w:rPr>
          <w:rFonts w:ascii="Times New Roman" w:eastAsia="宋体" w:hAnsi="Times New Roman" w:cs="Times New Roman" w:hint="eastAsia"/>
          <w:sz w:val="24"/>
          <w:szCs w:val="24"/>
        </w:rPr>
        <w:t>药。</w:t>
      </w:r>
    </w:p>
    <w:p w14:paraId="2150E4C1" w14:textId="77777777" w:rsidR="00534EC2" w:rsidRPr="00534EC2" w:rsidRDefault="00534EC2" w:rsidP="00D225FF">
      <w:pPr>
        <w:spacing w:line="440" w:lineRule="exact"/>
        <w:ind w:firstLineChars="200" w:firstLine="482"/>
        <w:rPr>
          <w:rFonts w:ascii="Times New Roman" w:eastAsia="宋体" w:hAnsi="Times New Roman" w:cs="Times New Roman"/>
          <w:sz w:val="24"/>
          <w:szCs w:val="24"/>
        </w:rPr>
      </w:pPr>
      <w:r w:rsidRPr="00534EC2">
        <w:rPr>
          <w:rFonts w:ascii="宋体" w:eastAsia="宋体" w:hAnsi="宋体" w:cs="Times New Roman" w:hint="eastAsia"/>
          <w:b/>
          <w:bCs/>
          <w:sz w:val="24"/>
          <w:szCs w:val="24"/>
        </w:rPr>
        <w:t>【教学方法】</w:t>
      </w:r>
    </w:p>
    <w:p w14:paraId="37649502" w14:textId="77777777" w:rsidR="00534EC2" w:rsidRPr="00534EC2" w:rsidRDefault="00534EC2">
      <w:pPr>
        <w:numPr>
          <w:ilvl w:val="0"/>
          <w:numId w:val="116"/>
        </w:num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28B53FDA"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对于较难理解的内容，采用问题驱动和讨论式教学。强调学生的主体性，鼓励学生讨论、交流，提出问题，加深学生对药物化学的理解。</w:t>
      </w:r>
    </w:p>
    <w:p w14:paraId="4C5F44AB"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【复习思考】</w:t>
      </w:r>
    </w:p>
    <w:p w14:paraId="7DDA2FFB"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1.</w:t>
      </w:r>
      <w:r w:rsidRPr="00534EC2">
        <w:rPr>
          <w:rFonts w:ascii="Times New Roman" w:eastAsia="宋体" w:hAnsi="Times New Roman" w:cs="Times New Roman"/>
          <w:sz w:val="24"/>
          <w:szCs w:val="24"/>
        </w:rPr>
        <w:t xml:space="preserve"> </w:t>
      </w:r>
      <w:r w:rsidRPr="00534EC2">
        <w:rPr>
          <w:rFonts w:ascii="Times New Roman" w:eastAsia="宋体" w:hAnsi="Times New Roman" w:cs="Times New Roman" w:hint="eastAsia"/>
          <w:sz w:val="24"/>
          <w:szCs w:val="24"/>
        </w:rPr>
        <w:t>前药原理、软药、硬药和</w:t>
      </w:r>
      <w:proofErr w:type="gramStart"/>
      <w:r w:rsidRPr="00534EC2">
        <w:rPr>
          <w:rFonts w:ascii="Times New Roman" w:eastAsia="宋体" w:hAnsi="Times New Roman" w:cs="Times New Roman" w:hint="eastAsia"/>
          <w:sz w:val="24"/>
          <w:szCs w:val="24"/>
        </w:rPr>
        <w:t>孪</w:t>
      </w:r>
      <w:proofErr w:type="gramEnd"/>
      <w:r w:rsidRPr="00534EC2">
        <w:rPr>
          <w:rFonts w:ascii="Times New Roman" w:eastAsia="宋体" w:hAnsi="Times New Roman" w:cs="Times New Roman" w:hint="eastAsia"/>
          <w:sz w:val="24"/>
          <w:szCs w:val="24"/>
        </w:rPr>
        <w:t>药的定义和应用</w:t>
      </w:r>
    </w:p>
    <w:p w14:paraId="366FA48C" w14:textId="77777777" w:rsidR="00534EC2" w:rsidRPr="00534EC2" w:rsidRDefault="00534EC2" w:rsidP="00D225FF">
      <w:pPr>
        <w:ind w:firstLineChars="200" w:firstLine="420"/>
        <w:rPr>
          <w:rFonts w:ascii="Times New Roman" w:eastAsia="宋体" w:hAnsi="Times New Roman" w:cs="Times New Roman"/>
          <w:szCs w:val="24"/>
        </w:rPr>
      </w:pPr>
    </w:p>
    <w:p w14:paraId="74086C24" w14:textId="77777777" w:rsidR="00534EC2" w:rsidRPr="00534EC2" w:rsidRDefault="00534EC2" w:rsidP="00D225FF">
      <w:pPr>
        <w:spacing w:beforeLines="50" w:before="156" w:afterLines="50" w:after="156" w:line="440" w:lineRule="exact"/>
        <w:ind w:firstLineChars="200" w:firstLine="560"/>
        <w:jc w:val="center"/>
        <w:rPr>
          <w:rFonts w:ascii="黑体" w:eastAsia="黑体" w:hAnsi="黑体" w:cs="Times New Roman"/>
          <w:sz w:val="28"/>
          <w:szCs w:val="28"/>
        </w:rPr>
      </w:pPr>
      <w:r w:rsidRPr="00534EC2">
        <w:rPr>
          <w:rFonts w:ascii="黑体" w:eastAsia="黑体" w:hAnsi="黑体" w:cs="Times New Roman" w:hint="eastAsia"/>
          <w:sz w:val="28"/>
          <w:szCs w:val="28"/>
        </w:rPr>
        <w:t xml:space="preserve">  </w:t>
      </w:r>
      <w:r w:rsidRPr="00534EC2">
        <w:rPr>
          <w:rFonts w:ascii="Times New Roman" w:eastAsia="宋体" w:hAnsi="Times New Roman" w:cs="Times New Roman"/>
          <w:b/>
          <w:sz w:val="24"/>
          <w:szCs w:val="24"/>
        </w:rPr>
        <w:t>第四章</w:t>
      </w:r>
      <w:r w:rsidRPr="00534EC2">
        <w:rPr>
          <w:rFonts w:ascii="Times New Roman" w:eastAsia="宋体" w:hAnsi="Times New Roman" w:cs="Times New Roman"/>
          <w:b/>
          <w:sz w:val="24"/>
          <w:szCs w:val="24"/>
        </w:rPr>
        <w:t xml:space="preserve">  </w:t>
      </w:r>
      <w:r w:rsidRPr="00534EC2">
        <w:rPr>
          <w:rFonts w:ascii="Times New Roman" w:eastAsia="宋体" w:hAnsi="Times New Roman" w:cs="Times New Roman" w:hint="eastAsia"/>
          <w:b/>
          <w:sz w:val="24"/>
          <w:szCs w:val="24"/>
        </w:rPr>
        <w:t>镇静催眠药和抗癫痫药</w:t>
      </w:r>
    </w:p>
    <w:p w14:paraId="0229A6C1"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12EEEF64"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1. </w:t>
      </w:r>
      <w:r w:rsidRPr="00534EC2">
        <w:rPr>
          <w:rFonts w:ascii="Times New Roman" w:eastAsia="宋体" w:hAnsi="Times New Roman" w:cs="Times New Roman" w:hint="eastAsia"/>
          <w:sz w:val="24"/>
          <w:szCs w:val="24"/>
        </w:rPr>
        <w:t>认知类目标：了解镇静催眠药和抗癫痫药的发现和发展；</w:t>
      </w:r>
      <w:proofErr w:type="gramStart"/>
      <w:r w:rsidRPr="00534EC2">
        <w:rPr>
          <w:rFonts w:ascii="Times New Roman" w:eastAsia="宋体" w:hAnsi="Times New Roman" w:cs="Times New Roman" w:hint="eastAsia"/>
          <w:sz w:val="24"/>
          <w:szCs w:val="24"/>
        </w:rPr>
        <w:t>熟悉佐匹克隆</w:t>
      </w:r>
      <w:proofErr w:type="gramEnd"/>
      <w:r w:rsidRPr="00534EC2">
        <w:rPr>
          <w:rFonts w:ascii="Times New Roman" w:eastAsia="宋体" w:hAnsi="Times New Roman" w:cs="Times New Roman" w:hint="eastAsia"/>
          <w:sz w:val="24"/>
          <w:szCs w:val="24"/>
        </w:rPr>
        <w:t>、</w:t>
      </w:r>
      <w:proofErr w:type="gramStart"/>
      <w:r w:rsidRPr="00534EC2">
        <w:rPr>
          <w:rFonts w:ascii="Times New Roman" w:eastAsia="宋体" w:hAnsi="Times New Roman" w:cs="Times New Roman" w:hint="eastAsia"/>
          <w:sz w:val="24"/>
          <w:szCs w:val="24"/>
        </w:rPr>
        <w:t>唑吡</w:t>
      </w:r>
      <w:proofErr w:type="gramEnd"/>
      <w:r w:rsidRPr="00534EC2">
        <w:rPr>
          <w:rFonts w:ascii="Times New Roman" w:eastAsia="宋体" w:hAnsi="Times New Roman" w:cs="Times New Roman" w:hint="eastAsia"/>
          <w:sz w:val="24"/>
          <w:szCs w:val="24"/>
        </w:rPr>
        <w:t>坦的结构和临床用途。</w:t>
      </w:r>
    </w:p>
    <w:p w14:paraId="7362886C"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2. </w:t>
      </w:r>
      <w:r w:rsidRPr="00534EC2">
        <w:rPr>
          <w:rFonts w:ascii="Times New Roman" w:eastAsia="宋体" w:hAnsi="Times New Roman" w:cs="Times New Roman" w:hint="eastAsia"/>
          <w:sz w:val="24"/>
          <w:szCs w:val="24"/>
        </w:rPr>
        <w:t>过程与方法类目标：掌握镇静催眠药和抗癫痫药的类型；地西</w:t>
      </w:r>
      <w:proofErr w:type="gramStart"/>
      <w:r w:rsidRPr="00534EC2">
        <w:rPr>
          <w:rFonts w:ascii="Times New Roman" w:eastAsia="宋体" w:hAnsi="Times New Roman" w:cs="Times New Roman" w:hint="eastAsia"/>
          <w:sz w:val="24"/>
          <w:szCs w:val="24"/>
        </w:rPr>
        <w:t>泮</w:t>
      </w:r>
      <w:proofErr w:type="gramEnd"/>
      <w:r w:rsidRPr="00534EC2">
        <w:rPr>
          <w:rFonts w:ascii="Times New Roman" w:eastAsia="宋体" w:hAnsi="Times New Roman" w:cs="Times New Roman" w:hint="eastAsia"/>
          <w:sz w:val="24"/>
          <w:szCs w:val="24"/>
        </w:rPr>
        <w:t>、苯巴比妥、</w:t>
      </w:r>
      <w:r w:rsidRPr="00534EC2">
        <w:rPr>
          <w:rFonts w:ascii="Times New Roman" w:eastAsia="宋体" w:hAnsi="Times New Roman" w:cs="Times New Roman" w:hint="eastAsia"/>
          <w:sz w:val="24"/>
          <w:szCs w:val="24"/>
        </w:rPr>
        <w:lastRenderedPageBreak/>
        <w:t>异戊巴比妥、苯妥英钠、卡马西平、艾司</w:t>
      </w:r>
      <w:proofErr w:type="gramStart"/>
      <w:r w:rsidRPr="00534EC2">
        <w:rPr>
          <w:rFonts w:ascii="Times New Roman" w:eastAsia="宋体" w:hAnsi="Times New Roman" w:cs="Times New Roman" w:hint="eastAsia"/>
          <w:sz w:val="24"/>
          <w:szCs w:val="24"/>
        </w:rPr>
        <w:t>唑仑</w:t>
      </w:r>
      <w:proofErr w:type="gramEnd"/>
      <w:r w:rsidRPr="00534EC2">
        <w:rPr>
          <w:rFonts w:ascii="Times New Roman" w:eastAsia="宋体" w:hAnsi="Times New Roman" w:cs="Times New Roman" w:hint="eastAsia"/>
          <w:sz w:val="24"/>
          <w:szCs w:val="24"/>
        </w:rPr>
        <w:t>的结构、理化性质、体内代谢及用途；苯</w:t>
      </w:r>
      <w:proofErr w:type="gramStart"/>
      <w:r w:rsidRPr="00534EC2">
        <w:rPr>
          <w:rFonts w:ascii="Times New Roman" w:eastAsia="宋体" w:hAnsi="Times New Roman" w:cs="Times New Roman" w:hint="eastAsia"/>
          <w:sz w:val="24"/>
          <w:szCs w:val="24"/>
        </w:rPr>
        <w:t>并氮杂卓类</w:t>
      </w:r>
      <w:proofErr w:type="gramEnd"/>
      <w:r w:rsidRPr="00534EC2">
        <w:rPr>
          <w:rFonts w:ascii="Times New Roman" w:eastAsia="宋体" w:hAnsi="Times New Roman" w:cs="Times New Roman" w:hint="eastAsia"/>
          <w:sz w:val="24"/>
          <w:szCs w:val="24"/>
        </w:rPr>
        <w:t>药物</w:t>
      </w:r>
      <w:proofErr w:type="gramStart"/>
      <w:r w:rsidRPr="00534EC2">
        <w:rPr>
          <w:rFonts w:ascii="Times New Roman" w:eastAsia="宋体" w:hAnsi="Times New Roman" w:cs="Times New Roman" w:hint="eastAsia"/>
          <w:sz w:val="24"/>
          <w:szCs w:val="24"/>
        </w:rPr>
        <w:t>的构效关系</w:t>
      </w:r>
      <w:proofErr w:type="gramEnd"/>
      <w:r w:rsidRPr="00534EC2">
        <w:rPr>
          <w:rFonts w:ascii="Times New Roman" w:eastAsia="宋体" w:hAnsi="Times New Roman" w:cs="Times New Roman" w:hint="eastAsia"/>
          <w:sz w:val="24"/>
          <w:szCs w:val="24"/>
        </w:rPr>
        <w:t>；苯巴比妥的合成；巴比妥类药物</w:t>
      </w:r>
      <w:proofErr w:type="gramStart"/>
      <w:r w:rsidRPr="00534EC2">
        <w:rPr>
          <w:rFonts w:ascii="Times New Roman" w:eastAsia="宋体" w:hAnsi="Times New Roman" w:cs="Times New Roman" w:hint="eastAsia"/>
          <w:sz w:val="24"/>
          <w:szCs w:val="24"/>
        </w:rPr>
        <w:t>的构效关系</w:t>
      </w:r>
      <w:proofErr w:type="gramEnd"/>
      <w:r w:rsidRPr="00534EC2">
        <w:rPr>
          <w:rFonts w:ascii="Times New Roman" w:eastAsia="宋体" w:hAnsi="Times New Roman" w:cs="Times New Roman" w:hint="eastAsia"/>
          <w:sz w:val="24"/>
          <w:szCs w:val="24"/>
        </w:rPr>
        <w:t>。</w:t>
      </w:r>
    </w:p>
    <w:p w14:paraId="261897D0"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3. </w:t>
      </w:r>
      <w:r w:rsidRPr="00534EC2">
        <w:rPr>
          <w:rFonts w:ascii="Times New Roman" w:eastAsia="宋体" w:hAnsi="Times New Roman" w:cs="Times New Roman" w:hint="eastAsia"/>
          <w:sz w:val="24"/>
          <w:szCs w:val="24"/>
        </w:rPr>
        <w:t>情感、态度、价值观类目标：</w:t>
      </w:r>
      <w:r w:rsidRPr="00534EC2">
        <w:rPr>
          <w:rFonts w:ascii="宋体" w:eastAsia="宋体" w:hAnsi="宋体" w:cs="Times New Roman" w:hint="eastAsia"/>
          <w:sz w:val="24"/>
          <w:szCs w:val="24"/>
        </w:rPr>
        <w:t>传递给学生坚持不懈、严谨认真的精神,提升学生人格品质。</w:t>
      </w:r>
    </w:p>
    <w:p w14:paraId="1884D4B7"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【学习内容】</w:t>
      </w:r>
    </w:p>
    <w:p w14:paraId="3AE13544"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1</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镇静</w:t>
      </w:r>
      <w:r w:rsidRPr="00534EC2">
        <w:rPr>
          <w:rFonts w:ascii="Times New Roman" w:eastAsia="宋体" w:hAnsi="Times New Roman" w:cs="Times New Roman"/>
          <w:sz w:val="24"/>
          <w:szCs w:val="24"/>
        </w:rPr>
        <w:t>催眠药</w:t>
      </w:r>
    </w:p>
    <w:p w14:paraId="6CC541CD"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2</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抗癫痫药</w:t>
      </w:r>
    </w:p>
    <w:p w14:paraId="667A35FA"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 xml:space="preserve">【重点】 </w:t>
      </w:r>
    </w:p>
    <w:p w14:paraId="7975B639"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抗癫痫药物的结构类型、</w:t>
      </w:r>
      <w:proofErr w:type="gramStart"/>
      <w:r w:rsidRPr="00534EC2">
        <w:rPr>
          <w:rFonts w:ascii="Times New Roman" w:eastAsia="宋体" w:hAnsi="Times New Roman" w:cs="Times New Roman" w:hint="eastAsia"/>
          <w:sz w:val="24"/>
          <w:szCs w:val="24"/>
        </w:rPr>
        <w:t>构效关系</w:t>
      </w:r>
      <w:proofErr w:type="gramEnd"/>
      <w:r w:rsidRPr="00534EC2">
        <w:rPr>
          <w:rFonts w:ascii="Times New Roman" w:eastAsia="宋体" w:hAnsi="Times New Roman" w:cs="Times New Roman" w:hint="eastAsia"/>
          <w:sz w:val="24"/>
          <w:szCs w:val="24"/>
        </w:rPr>
        <w:t>及代表药物苯巴比妥；</w:t>
      </w:r>
    </w:p>
    <w:p w14:paraId="33DC92F5" w14:textId="77777777" w:rsidR="00534EC2" w:rsidRPr="00534EC2" w:rsidRDefault="00534EC2" w:rsidP="00D225FF">
      <w:pPr>
        <w:spacing w:line="440" w:lineRule="exact"/>
        <w:ind w:firstLineChars="200" w:firstLine="480"/>
        <w:rPr>
          <w:rFonts w:ascii="Times New Roman" w:eastAsia="宋体" w:hAnsi="Times New Roman" w:cs="Times New Roman"/>
          <w:szCs w:val="24"/>
        </w:rPr>
      </w:pPr>
      <w:r w:rsidRPr="00534EC2">
        <w:rPr>
          <w:rFonts w:ascii="Times New Roman" w:eastAsia="宋体" w:hAnsi="Times New Roman" w:cs="Times New Roman" w:hint="eastAsia"/>
          <w:sz w:val="24"/>
          <w:szCs w:val="24"/>
        </w:rPr>
        <w:t>2.</w:t>
      </w:r>
      <w:r w:rsidRPr="00534EC2">
        <w:rPr>
          <w:rFonts w:ascii="Times New Roman" w:eastAsia="宋体" w:hAnsi="Times New Roman" w:cs="Times New Roman"/>
          <w:sz w:val="24"/>
          <w:szCs w:val="24"/>
        </w:rPr>
        <w:t xml:space="preserve"> </w:t>
      </w:r>
      <w:r w:rsidRPr="00534EC2">
        <w:rPr>
          <w:rFonts w:ascii="Times New Roman" w:eastAsia="宋体" w:hAnsi="Times New Roman" w:cs="Times New Roman" w:hint="eastAsia"/>
          <w:sz w:val="24"/>
          <w:szCs w:val="24"/>
        </w:rPr>
        <w:t>苯并二氮</w:t>
      </w:r>
      <w:proofErr w:type="gramStart"/>
      <w:r w:rsidRPr="00534EC2">
        <w:rPr>
          <w:rFonts w:ascii="Times New Roman" w:eastAsia="宋体" w:hAnsi="Times New Roman" w:cs="Times New Roman" w:hint="eastAsia"/>
          <w:sz w:val="24"/>
          <w:szCs w:val="24"/>
        </w:rPr>
        <w:t>杂卓类</w:t>
      </w:r>
      <w:proofErr w:type="gramEnd"/>
      <w:r w:rsidRPr="00534EC2">
        <w:rPr>
          <w:rFonts w:ascii="Times New Roman" w:eastAsia="宋体" w:hAnsi="Times New Roman" w:cs="Times New Roman" w:hint="eastAsia"/>
          <w:sz w:val="24"/>
          <w:szCs w:val="24"/>
        </w:rPr>
        <w:t>药物结构特点、</w:t>
      </w:r>
      <w:proofErr w:type="gramStart"/>
      <w:r w:rsidRPr="00534EC2">
        <w:rPr>
          <w:rFonts w:ascii="Times New Roman" w:eastAsia="宋体" w:hAnsi="Times New Roman" w:cs="Times New Roman" w:hint="eastAsia"/>
          <w:sz w:val="24"/>
          <w:szCs w:val="24"/>
        </w:rPr>
        <w:t>构效关系</w:t>
      </w:r>
      <w:proofErr w:type="gramEnd"/>
      <w:r w:rsidRPr="00534EC2">
        <w:rPr>
          <w:rFonts w:ascii="Times New Roman" w:eastAsia="宋体" w:hAnsi="Times New Roman" w:cs="Times New Roman" w:hint="eastAsia"/>
          <w:sz w:val="24"/>
          <w:szCs w:val="24"/>
        </w:rPr>
        <w:t>及代表药物地西</w:t>
      </w:r>
      <w:proofErr w:type="gramStart"/>
      <w:r w:rsidRPr="00534EC2">
        <w:rPr>
          <w:rFonts w:ascii="Times New Roman" w:eastAsia="宋体" w:hAnsi="Times New Roman" w:cs="Times New Roman" w:hint="eastAsia"/>
          <w:sz w:val="24"/>
          <w:szCs w:val="24"/>
        </w:rPr>
        <w:t>泮</w:t>
      </w:r>
      <w:proofErr w:type="gramEnd"/>
      <w:r w:rsidRPr="00534EC2">
        <w:rPr>
          <w:rFonts w:ascii="Times New Roman" w:eastAsia="宋体" w:hAnsi="Times New Roman" w:cs="Times New Roman"/>
          <w:sz w:val="24"/>
          <w:szCs w:val="24"/>
        </w:rPr>
        <w:t>。</w:t>
      </w:r>
    </w:p>
    <w:p w14:paraId="2FFE8A5C"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530EBE97"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苯并二氮</w:t>
      </w:r>
      <w:proofErr w:type="gramStart"/>
      <w:r w:rsidRPr="00534EC2">
        <w:rPr>
          <w:rFonts w:ascii="Times New Roman" w:eastAsia="宋体" w:hAnsi="Times New Roman" w:cs="Times New Roman" w:hint="eastAsia"/>
          <w:sz w:val="24"/>
          <w:szCs w:val="24"/>
        </w:rPr>
        <w:t>杂卓类</w:t>
      </w:r>
      <w:proofErr w:type="gramEnd"/>
      <w:r w:rsidRPr="00534EC2">
        <w:rPr>
          <w:rFonts w:ascii="Times New Roman" w:eastAsia="宋体" w:hAnsi="Times New Roman" w:cs="Times New Roman" w:hint="eastAsia"/>
          <w:sz w:val="24"/>
          <w:szCs w:val="24"/>
        </w:rPr>
        <w:t>药物</w:t>
      </w:r>
      <w:proofErr w:type="gramStart"/>
      <w:r w:rsidRPr="00534EC2">
        <w:rPr>
          <w:rFonts w:ascii="Times New Roman" w:eastAsia="宋体" w:hAnsi="Times New Roman" w:cs="Times New Roman" w:hint="eastAsia"/>
          <w:sz w:val="24"/>
          <w:szCs w:val="24"/>
        </w:rPr>
        <w:t>的构效关系</w:t>
      </w:r>
      <w:proofErr w:type="gramEnd"/>
      <w:r w:rsidRPr="00534EC2">
        <w:rPr>
          <w:rFonts w:ascii="Times New Roman" w:eastAsia="宋体" w:hAnsi="Times New Roman" w:cs="Times New Roman" w:hint="eastAsia"/>
          <w:sz w:val="24"/>
          <w:szCs w:val="24"/>
        </w:rPr>
        <w:t>；</w:t>
      </w:r>
    </w:p>
    <w:p w14:paraId="77B29885"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2</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巴比妥类药物</w:t>
      </w:r>
      <w:proofErr w:type="gramStart"/>
      <w:r w:rsidRPr="00534EC2">
        <w:rPr>
          <w:rFonts w:ascii="Times New Roman" w:eastAsia="宋体" w:hAnsi="Times New Roman" w:cs="Times New Roman" w:hint="eastAsia"/>
          <w:sz w:val="24"/>
          <w:szCs w:val="24"/>
        </w:rPr>
        <w:t>的构效关系</w:t>
      </w:r>
      <w:proofErr w:type="gramEnd"/>
      <w:r w:rsidRPr="00534EC2">
        <w:rPr>
          <w:rFonts w:ascii="Times New Roman" w:eastAsia="宋体" w:hAnsi="Times New Roman" w:cs="Times New Roman"/>
          <w:sz w:val="24"/>
          <w:szCs w:val="24"/>
        </w:rPr>
        <w:t>。</w:t>
      </w:r>
    </w:p>
    <w:p w14:paraId="19921537" w14:textId="77777777" w:rsidR="00534EC2" w:rsidRPr="00534EC2" w:rsidRDefault="00534EC2" w:rsidP="00D225FF">
      <w:pPr>
        <w:spacing w:line="440" w:lineRule="exact"/>
        <w:ind w:firstLineChars="200" w:firstLine="482"/>
        <w:rPr>
          <w:rFonts w:ascii="Times New Roman" w:eastAsia="宋体" w:hAnsi="Times New Roman" w:cs="Times New Roman"/>
          <w:sz w:val="24"/>
          <w:szCs w:val="24"/>
        </w:rPr>
      </w:pPr>
      <w:r w:rsidRPr="00534EC2">
        <w:rPr>
          <w:rFonts w:ascii="宋体" w:eastAsia="宋体" w:hAnsi="宋体" w:cs="Times New Roman" w:hint="eastAsia"/>
          <w:b/>
          <w:bCs/>
          <w:sz w:val="24"/>
          <w:szCs w:val="24"/>
        </w:rPr>
        <w:t>【教学方法】</w:t>
      </w:r>
    </w:p>
    <w:p w14:paraId="14448BDE"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24B66F8F"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通过案例教学-利眠宁的发现过程,传递给学生坚持不懈、严谨认真的精神,对于学生人格品质的提升具有极大的影响意义。</w:t>
      </w:r>
    </w:p>
    <w:p w14:paraId="05E2855D"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【复习思考】</w:t>
      </w:r>
    </w:p>
    <w:p w14:paraId="5E22EE0A"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传统的镇静催眠药的缺点。</w:t>
      </w:r>
    </w:p>
    <w:p w14:paraId="7D12EABE"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苯并二氮</w:t>
      </w:r>
      <w:proofErr w:type="gramStart"/>
      <w:r w:rsidRPr="00534EC2">
        <w:rPr>
          <w:rFonts w:ascii="宋体" w:eastAsia="宋体" w:hAnsi="宋体" w:cs="Times New Roman" w:hint="eastAsia"/>
          <w:sz w:val="24"/>
          <w:szCs w:val="24"/>
        </w:rPr>
        <w:t>杂卓药物</w:t>
      </w:r>
      <w:proofErr w:type="gramEnd"/>
      <w:r w:rsidRPr="00534EC2">
        <w:rPr>
          <w:rFonts w:ascii="宋体" w:eastAsia="宋体" w:hAnsi="宋体" w:cs="Times New Roman" w:hint="eastAsia"/>
          <w:sz w:val="24"/>
          <w:szCs w:val="24"/>
        </w:rPr>
        <w:t>结构特征。</w:t>
      </w:r>
    </w:p>
    <w:p w14:paraId="59C4778E" w14:textId="77777777" w:rsidR="00534EC2" w:rsidRPr="00534EC2" w:rsidRDefault="00534EC2" w:rsidP="00D225FF">
      <w:pPr>
        <w:spacing w:line="440" w:lineRule="exact"/>
        <w:ind w:firstLineChars="200" w:firstLine="480"/>
        <w:rPr>
          <w:rFonts w:ascii="Times New Roman" w:eastAsia="宋体" w:hAnsi="Times New Roman" w:cs="Times New Roman"/>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苯巴比妥类</w:t>
      </w:r>
      <w:proofErr w:type="gramStart"/>
      <w:r w:rsidRPr="00534EC2">
        <w:rPr>
          <w:rFonts w:ascii="宋体" w:eastAsia="宋体" w:hAnsi="宋体" w:cs="Times New Roman" w:hint="eastAsia"/>
          <w:sz w:val="24"/>
          <w:szCs w:val="24"/>
        </w:rPr>
        <w:t>药物构效关系</w:t>
      </w:r>
      <w:proofErr w:type="gramEnd"/>
      <w:r w:rsidRPr="00534EC2">
        <w:rPr>
          <w:rFonts w:ascii="宋体" w:eastAsia="宋体" w:hAnsi="宋体" w:cs="Times New Roman" w:hint="eastAsia"/>
          <w:sz w:val="24"/>
          <w:szCs w:val="24"/>
        </w:rPr>
        <w:t>。</w:t>
      </w:r>
    </w:p>
    <w:p w14:paraId="612B583A" w14:textId="77777777" w:rsidR="00534EC2" w:rsidRPr="00534EC2" w:rsidRDefault="00534EC2" w:rsidP="00D225FF">
      <w:pPr>
        <w:spacing w:beforeLines="50" w:before="156" w:afterLines="50" w:after="156" w:line="440" w:lineRule="exact"/>
        <w:ind w:firstLineChars="200" w:firstLine="482"/>
        <w:jc w:val="center"/>
        <w:rPr>
          <w:rFonts w:ascii="Times New Roman" w:eastAsia="宋体" w:hAnsi="Times New Roman" w:cs="Times New Roman"/>
          <w:b/>
          <w:sz w:val="24"/>
          <w:szCs w:val="24"/>
        </w:rPr>
      </w:pPr>
      <w:r w:rsidRPr="00534EC2">
        <w:rPr>
          <w:rFonts w:ascii="Times New Roman" w:eastAsia="宋体" w:hAnsi="Times New Roman" w:cs="Times New Roman"/>
          <w:b/>
          <w:sz w:val="24"/>
          <w:szCs w:val="24"/>
        </w:rPr>
        <w:t>第</w:t>
      </w:r>
      <w:r w:rsidRPr="00534EC2">
        <w:rPr>
          <w:rFonts w:ascii="Times New Roman" w:eastAsia="宋体" w:hAnsi="Times New Roman" w:cs="Times New Roman" w:hint="eastAsia"/>
          <w:b/>
          <w:sz w:val="24"/>
          <w:szCs w:val="24"/>
        </w:rPr>
        <w:t>五</w:t>
      </w:r>
      <w:r w:rsidRPr="00534EC2">
        <w:rPr>
          <w:rFonts w:ascii="Times New Roman" w:eastAsia="宋体" w:hAnsi="Times New Roman" w:cs="Times New Roman"/>
          <w:b/>
          <w:sz w:val="24"/>
          <w:szCs w:val="24"/>
        </w:rPr>
        <w:t>章</w:t>
      </w:r>
      <w:r w:rsidRPr="00534EC2">
        <w:rPr>
          <w:rFonts w:ascii="Times New Roman" w:eastAsia="宋体" w:hAnsi="Times New Roman" w:cs="Times New Roman"/>
          <w:b/>
          <w:sz w:val="24"/>
          <w:szCs w:val="24"/>
        </w:rPr>
        <w:t xml:space="preserve">  </w:t>
      </w:r>
      <w:r w:rsidRPr="00534EC2">
        <w:rPr>
          <w:rFonts w:ascii="Times New Roman" w:eastAsia="宋体" w:hAnsi="Times New Roman" w:cs="Times New Roman" w:hint="eastAsia"/>
          <w:b/>
          <w:sz w:val="24"/>
          <w:szCs w:val="24"/>
        </w:rPr>
        <w:t>精神神经疾病治疗药</w:t>
      </w:r>
    </w:p>
    <w:p w14:paraId="56E49A83"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1B086D95"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1. </w:t>
      </w:r>
      <w:r w:rsidRPr="00534EC2">
        <w:rPr>
          <w:rFonts w:ascii="Times New Roman" w:eastAsia="宋体" w:hAnsi="Times New Roman" w:cs="Times New Roman" w:hint="eastAsia"/>
          <w:sz w:val="24"/>
          <w:szCs w:val="24"/>
        </w:rPr>
        <w:t>认知类目标：了解抗精神病药的发展；抗抑郁药的发展；</w:t>
      </w:r>
      <w:proofErr w:type="gramStart"/>
      <w:r w:rsidRPr="00534EC2">
        <w:rPr>
          <w:rFonts w:ascii="Times New Roman" w:eastAsia="宋体" w:hAnsi="Times New Roman" w:cs="Times New Roman" w:hint="eastAsia"/>
          <w:sz w:val="24"/>
          <w:szCs w:val="24"/>
        </w:rPr>
        <w:t>吗氯贝胺</w:t>
      </w:r>
      <w:proofErr w:type="gramEnd"/>
      <w:r w:rsidRPr="00534EC2">
        <w:rPr>
          <w:rFonts w:ascii="Times New Roman" w:eastAsia="宋体" w:hAnsi="Times New Roman" w:cs="Times New Roman" w:hint="eastAsia"/>
          <w:sz w:val="24"/>
          <w:szCs w:val="24"/>
        </w:rPr>
        <w:t>、氟西</w:t>
      </w:r>
      <w:proofErr w:type="gramStart"/>
      <w:r w:rsidRPr="00534EC2">
        <w:rPr>
          <w:rFonts w:ascii="Times New Roman" w:eastAsia="宋体" w:hAnsi="Times New Roman" w:cs="Times New Roman" w:hint="eastAsia"/>
          <w:sz w:val="24"/>
          <w:szCs w:val="24"/>
        </w:rPr>
        <w:t>汀</w:t>
      </w:r>
      <w:proofErr w:type="gramEnd"/>
      <w:r w:rsidRPr="00534EC2">
        <w:rPr>
          <w:rFonts w:ascii="Times New Roman" w:eastAsia="宋体" w:hAnsi="Times New Roman" w:cs="Times New Roman" w:hint="eastAsia"/>
          <w:sz w:val="24"/>
          <w:szCs w:val="24"/>
        </w:rPr>
        <w:t>、丙</w:t>
      </w:r>
      <w:proofErr w:type="gramStart"/>
      <w:r w:rsidRPr="00534EC2">
        <w:rPr>
          <w:rFonts w:ascii="Times New Roman" w:eastAsia="宋体" w:hAnsi="Times New Roman" w:cs="Times New Roman" w:hint="eastAsia"/>
          <w:sz w:val="24"/>
          <w:szCs w:val="24"/>
        </w:rPr>
        <w:t>咪嗪</w:t>
      </w:r>
      <w:proofErr w:type="gramEnd"/>
      <w:r w:rsidRPr="00534EC2">
        <w:rPr>
          <w:rFonts w:ascii="Times New Roman" w:eastAsia="宋体" w:hAnsi="Times New Roman" w:cs="Times New Roman" w:hint="eastAsia"/>
          <w:sz w:val="24"/>
          <w:szCs w:val="24"/>
        </w:rPr>
        <w:t>、氯氮平的结构、化学名及用途；抗抑郁药的结构类型和作用机制。</w:t>
      </w:r>
    </w:p>
    <w:p w14:paraId="2D60A660"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2. </w:t>
      </w:r>
      <w:r w:rsidRPr="00534EC2">
        <w:rPr>
          <w:rFonts w:ascii="Times New Roman" w:eastAsia="宋体" w:hAnsi="Times New Roman" w:cs="Times New Roman" w:hint="eastAsia"/>
          <w:sz w:val="24"/>
          <w:szCs w:val="24"/>
        </w:rPr>
        <w:t>过程与方法类目标：掌握抗精神病药的结构类型和作用机制；</w:t>
      </w:r>
      <w:proofErr w:type="gramStart"/>
      <w:r w:rsidRPr="00534EC2">
        <w:rPr>
          <w:rFonts w:ascii="Times New Roman" w:eastAsia="宋体" w:hAnsi="Times New Roman" w:cs="Times New Roman" w:hint="eastAsia"/>
          <w:sz w:val="24"/>
          <w:szCs w:val="24"/>
        </w:rPr>
        <w:t>吩噻嗪</w:t>
      </w:r>
      <w:proofErr w:type="gramEnd"/>
      <w:r w:rsidRPr="00534EC2">
        <w:rPr>
          <w:rFonts w:ascii="Times New Roman" w:eastAsia="宋体" w:hAnsi="Times New Roman" w:cs="Times New Roman" w:hint="eastAsia"/>
          <w:sz w:val="24"/>
          <w:szCs w:val="24"/>
        </w:rPr>
        <w:t>类药物</w:t>
      </w:r>
      <w:proofErr w:type="gramStart"/>
      <w:r w:rsidRPr="00534EC2">
        <w:rPr>
          <w:rFonts w:ascii="Times New Roman" w:eastAsia="宋体" w:hAnsi="Times New Roman" w:cs="Times New Roman" w:hint="eastAsia"/>
          <w:sz w:val="24"/>
          <w:szCs w:val="24"/>
        </w:rPr>
        <w:t>的构效关系</w:t>
      </w:r>
      <w:proofErr w:type="gramEnd"/>
      <w:r w:rsidRPr="00534EC2">
        <w:rPr>
          <w:rFonts w:ascii="Times New Roman" w:eastAsia="宋体" w:hAnsi="Times New Roman" w:cs="Times New Roman" w:hint="eastAsia"/>
          <w:sz w:val="24"/>
          <w:szCs w:val="24"/>
        </w:rPr>
        <w:t>；氯丙嗪、奋乃静和氯普</w:t>
      </w:r>
      <w:proofErr w:type="gramStart"/>
      <w:r w:rsidRPr="00534EC2">
        <w:rPr>
          <w:rFonts w:ascii="Times New Roman" w:eastAsia="宋体" w:hAnsi="Times New Roman" w:cs="Times New Roman" w:hint="eastAsia"/>
          <w:sz w:val="24"/>
          <w:szCs w:val="24"/>
        </w:rPr>
        <w:t>噻</w:t>
      </w:r>
      <w:proofErr w:type="gramEnd"/>
      <w:r w:rsidRPr="00534EC2">
        <w:rPr>
          <w:rFonts w:ascii="Times New Roman" w:eastAsia="宋体" w:hAnsi="Times New Roman" w:cs="Times New Roman" w:hint="eastAsia"/>
          <w:sz w:val="24"/>
          <w:szCs w:val="24"/>
        </w:rPr>
        <w:t>吨的结构、化学名、理化性质、体内代谢及用途。</w:t>
      </w:r>
    </w:p>
    <w:p w14:paraId="6FDB8205"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3. </w:t>
      </w:r>
      <w:r w:rsidRPr="00534EC2">
        <w:rPr>
          <w:rFonts w:ascii="Times New Roman" w:eastAsia="宋体" w:hAnsi="Times New Roman" w:cs="Times New Roman" w:hint="eastAsia"/>
          <w:sz w:val="24"/>
          <w:szCs w:val="24"/>
        </w:rPr>
        <w:t>情感、态度、价值观类目标：使学生理解社会和周围人的关爱对精神分裂症患者康复的重要性，加强培养人文关怀意识。</w:t>
      </w:r>
    </w:p>
    <w:p w14:paraId="5317EF27"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【学习内容】</w:t>
      </w:r>
    </w:p>
    <w:p w14:paraId="583E9664"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lastRenderedPageBreak/>
        <w:t>1</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经典的抗精神病</w:t>
      </w:r>
    </w:p>
    <w:p w14:paraId="741C5164"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2</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非经典的抗精神病药</w:t>
      </w:r>
    </w:p>
    <w:p w14:paraId="7D6B6C13"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3</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抗抑郁药</w:t>
      </w:r>
    </w:p>
    <w:p w14:paraId="1D1E13C2"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【重点】</w:t>
      </w:r>
    </w:p>
    <w:p w14:paraId="25E8C0E3"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抗精神病药的结构类型及代表药物氯丙嗪，氯普</w:t>
      </w:r>
      <w:proofErr w:type="gramStart"/>
      <w:r w:rsidRPr="00534EC2">
        <w:rPr>
          <w:rFonts w:ascii="Times New Roman" w:eastAsia="宋体" w:hAnsi="Times New Roman" w:cs="Times New Roman" w:hint="eastAsia"/>
          <w:sz w:val="24"/>
          <w:szCs w:val="24"/>
        </w:rPr>
        <w:t>噻</w:t>
      </w:r>
      <w:proofErr w:type="gramEnd"/>
      <w:r w:rsidRPr="00534EC2">
        <w:rPr>
          <w:rFonts w:ascii="Times New Roman" w:eastAsia="宋体" w:hAnsi="Times New Roman" w:cs="Times New Roman" w:hint="eastAsia"/>
          <w:sz w:val="24"/>
          <w:szCs w:val="24"/>
        </w:rPr>
        <w:t>吨的结构、性质、用途；</w:t>
      </w:r>
    </w:p>
    <w:p w14:paraId="6D3C7BE9" w14:textId="77777777" w:rsidR="00534EC2" w:rsidRPr="00534EC2" w:rsidRDefault="00534EC2" w:rsidP="00D225FF">
      <w:pPr>
        <w:spacing w:line="440" w:lineRule="exact"/>
        <w:ind w:firstLineChars="200" w:firstLine="480"/>
        <w:rPr>
          <w:rFonts w:ascii="Times New Roman" w:eastAsia="宋体" w:hAnsi="Times New Roman" w:cs="Times New Roman"/>
          <w:szCs w:val="24"/>
        </w:rPr>
      </w:pPr>
      <w:r w:rsidRPr="00534EC2">
        <w:rPr>
          <w:rFonts w:ascii="Times New Roman" w:eastAsia="宋体" w:hAnsi="Times New Roman" w:cs="Times New Roman" w:hint="eastAsia"/>
          <w:sz w:val="24"/>
          <w:szCs w:val="24"/>
        </w:rPr>
        <w:t>2</w:t>
      </w:r>
      <w:r w:rsidRPr="00534EC2">
        <w:rPr>
          <w:rFonts w:ascii="宋体" w:eastAsia="宋体" w:hAnsi="宋体" w:cs="Times New Roman"/>
          <w:sz w:val="24"/>
          <w:szCs w:val="24"/>
        </w:rPr>
        <w:t xml:space="preserve">. </w:t>
      </w:r>
      <w:proofErr w:type="gramStart"/>
      <w:r w:rsidRPr="00534EC2">
        <w:rPr>
          <w:rFonts w:ascii="Times New Roman" w:eastAsia="宋体" w:hAnsi="Times New Roman" w:cs="Times New Roman" w:hint="eastAsia"/>
          <w:sz w:val="24"/>
          <w:szCs w:val="24"/>
        </w:rPr>
        <w:t>吩噻嗪</w:t>
      </w:r>
      <w:proofErr w:type="gramEnd"/>
      <w:r w:rsidRPr="00534EC2">
        <w:rPr>
          <w:rFonts w:ascii="Times New Roman" w:eastAsia="宋体" w:hAnsi="Times New Roman" w:cs="Times New Roman" w:hint="eastAsia"/>
          <w:sz w:val="24"/>
          <w:szCs w:val="24"/>
        </w:rPr>
        <w:t>类药物</w:t>
      </w:r>
      <w:proofErr w:type="gramStart"/>
      <w:r w:rsidRPr="00534EC2">
        <w:rPr>
          <w:rFonts w:ascii="Times New Roman" w:eastAsia="宋体" w:hAnsi="Times New Roman" w:cs="Times New Roman" w:hint="eastAsia"/>
          <w:sz w:val="24"/>
          <w:szCs w:val="24"/>
        </w:rPr>
        <w:t>的构效关系</w:t>
      </w:r>
      <w:proofErr w:type="gramEnd"/>
      <w:r w:rsidRPr="00534EC2">
        <w:rPr>
          <w:rFonts w:ascii="Times New Roman" w:eastAsia="宋体" w:hAnsi="Times New Roman" w:cs="Times New Roman"/>
          <w:sz w:val="24"/>
          <w:szCs w:val="24"/>
        </w:rPr>
        <w:t>。</w:t>
      </w:r>
    </w:p>
    <w:p w14:paraId="446A835E"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453E9260"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 xml:space="preserve">1. </w:t>
      </w:r>
      <w:proofErr w:type="gramStart"/>
      <w:r w:rsidRPr="00534EC2">
        <w:rPr>
          <w:rFonts w:ascii="宋体" w:eastAsia="宋体" w:hAnsi="宋体" w:cs="Times New Roman" w:hint="eastAsia"/>
          <w:sz w:val="24"/>
          <w:szCs w:val="24"/>
        </w:rPr>
        <w:t>吩噻嗪</w:t>
      </w:r>
      <w:proofErr w:type="gramEnd"/>
      <w:r w:rsidRPr="00534EC2">
        <w:rPr>
          <w:rFonts w:ascii="宋体" w:eastAsia="宋体" w:hAnsi="宋体" w:cs="Times New Roman" w:hint="eastAsia"/>
          <w:sz w:val="24"/>
          <w:szCs w:val="24"/>
        </w:rPr>
        <w:t>类药物</w:t>
      </w:r>
      <w:proofErr w:type="gramStart"/>
      <w:r w:rsidRPr="00534EC2">
        <w:rPr>
          <w:rFonts w:ascii="宋体" w:eastAsia="宋体" w:hAnsi="宋体" w:cs="Times New Roman" w:hint="eastAsia"/>
          <w:sz w:val="24"/>
          <w:szCs w:val="24"/>
        </w:rPr>
        <w:t>的构效关系</w:t>
      </w:r>
      <w:proofErr w:type="gramEnd"/>
      <w:r w:rsidRPr="00534EC2">
        <w:rPr>
          <w:rFonts w:ascii="宋体" w:eastAsia="宋体" w:hAnsi="宋体" w:cs="Times New Roman"/>
          <w:sz w:val="24"/>
          <w:szCs w:val="24"/>
        </w:rPr>
        <w:t>。</w:t>
      </w:r>
    </w:p>
    <w:p w14:paraId="0C8255EE" w14:textId="77777777" w:rsidR="00534EC2" w:rsidRPr="00534EC2" w:rsidRDefault="00534EC2" w:rsidP="00D225FF">
      <w:pPr>
        <w:spacing w:line="440" w:lineRule="exact"/>
        <w:ind w:firstLineChars="200" w:firstLine="482"/>
        <w:rPr>
          <w:rFonts w:ascii="Times New Roman" w:eastAsia="宋体" w:hAnsi="Times New Roman" w:cs="Times New Roman"/>
          <w:sz w:val="24"/>
          <w:szCs w:val="24"/>
        </w:rPr>
      </w:pPr>
      <w:r w:rsidRPr="00534EC2">
        <w:rPr>
          <w:rFonts w:ascii="宋体" w:eastAsia="宋体" w:hAnsi="宋体" w:cs="Times New Roman" w:hint="eastAsia"/>
          <w:b/>
          <w:bCs/>
          <w:sz w:val="24"/>
          <w:szCs w:val="24"/>
        </w:rPr>
        <w:t>【教学方法】</w:t>
      </w:r>
    </w:p>
    <w:p w14:paraId="7F2731E5" w14:textId="77777777" w:rsidR="00534EC2" w:rsidRPr="00534EC2" w:rsidRDefault="00534EC2" w:rsidP="00D225FF">
      <w:pPr>
        <w:numPr>
          <w:ilvl w:val="0"/>
          <w:numId w:val="114"/>
        </w:numPr>
        <w:spacing w:line="440" w:lineRule="exact"/>
        <w:ind w:left="0"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1DB2255D"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通过案例分析，使得学生在形象地理解精神分裂症临床表现的同时，懂得平等地对待精神分裂症患者的重要性。通过课堂讨论，使得学生懂得在精神分裂症的治疗中，人文关怀和药物治疗同样重要。</w:t>
      </w:r>
    </w:p>
    <w:p w14:paraId="56502E56"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【复习思考】</w:t>
      </w:r>
    </w:p>
    <w:p w14:paraId="5D0E7301"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1.</w:t>
      </w:r>
      <w:r w:rsidRPr="00534EC2">
        <w:rPr>
          <w:rFonts w:ascii="Times New Roman" w:eastAsia="宋体" w:hAnsi="Times New Roman" w:cs="Times New Roman"/>
          <w:sz w:val="24"/>
          <w:szCs w:val="24"/>
        </w:rPr>
        <w:t xml:space="preserve"> </w:t>
      </w:r>
      <w:r w:rsidRPr="00534EC2">
        <w:rPr>
          <w:rFonts w:ascii="Times New Roman" w:eastAsia="宋体" w:hAnsi="Times New Roman" w:cs="Times New Roman" w:hint="eastAsia"/>
          <w:sz w:val="24"/>
          <w:szCs w:val="24"/>
        </w:rPr>
        <w:t>抗精神失常</w:t>
      </w:r>
      <w:proofErr w:type="gramStart"/>
      <w:r w:rsidRPr="00534EC2">
        <w:rPr>
          <w:rFonts w:ascii="Times New Roman" w:eastAsia="宋体" w:hAnsi="Times New Roman" w:cs="Times New Roman" w:hint="eastAsia"/>
          <w:sz w:val="24"/>
          <w:szCs w:val="24"/>
        </w:rPr>
        <w:t>药结构</w:t>
      </w:r>
      <w:proofErr w:type="gramEnd"/>
      <w:r w:rsidRPr="00534EC2">
        <w:rPr>
          <w:rFonts w:ascii="Times New Roman" w:eastAsia="宋体" w:hAnsi="Times New Roman" w:cs="Times New Roman" w:hint="eastAsia"/>
          <w:sz w:val="24"/>
          <w:szCs w:val="24"/>
        </w:rPr>
        <w:t>类型。</w:t>
      </w:r>
    </w:p>
    <w:p w14:paraId="0E5EDE6F"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2.</w:t>
      </w:r>
      <w:r w:rsidRPr="00534EC2">
        <w:rPr>
          <w:rFonts w:ascii="Times New Roman" w:eastAsia="宋体" w:hAnsi="Times New Roman" w:cs="Times New Roman"/>
          <w:sz w:val="24"/>
          <w:szCs w:val="24"/>
        </w:rPr>
        <w:t xml:space="preserve"> </w:t>
      </w:r>
      <w:r w:rsidRPr="00534EC2">
        <w:rPr>
          <w:rFonts w:ascii="Times New Roman" w:eastAsia="宋体" w:hAnsi="Times New Roman" w:cs="Times New Roman" w:hint="eastAsia"/>
          <w:sz w:val="24"/>
          <w:szCs w:val="24"/>
        </w:rPr>
        <w:t>分子中含有哌嗪基的抗精神药物。</w:t>
      </w:r>
    </w:p>
    <w:p w14:paraId="6887FF78"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3.</w:t>
      </w:r>
      <w:r w:rsidRPr="00534EC2">
        <w:rPr>
          <w:rFonts w:ascii="Times New Roman" w:eastAsia="宋体" w:hAnsi="Times New Roman" w:cs="Times New Roman"/>
          <w:sz w:val="24"/>
          <w:szCs w:val="24"/>
        </w:rPr>
        <w:t xml:space="preserve"> </w:t>
      </w:r>
      <w:proofErr w:type="gramStart"/>
      <w:r w:rsidRPr="00534EC2">
        <w:rPr>
          <w:rFonts w:ascii="Times New Roman" w:eastAsia="宋体" w:hAnsi="Times New Roman" w:cs="Times New Roman" w:hint="eastAsia"/>
          <w:sz w:val="24"/>
          <w:szCs w:val="24"/>
        </w:rPr>
        <w:t>吩噻嗪</w:t>
      </w:r>
      <w:proofErr w:type="gramEnd"/>
      <w:r w:rsidRPr="00534EC2">
        <w:rPr>
          <w:rFonts w:ascii="Times New Roman" w:eastAsia="宋体" w:hAnsi="Times New Roman" w:cs="Times New Roman" w:hint="eastAsia"/>
          <w:sz w:val="24"/>
          <w:szCs w:val="24"/>
        </w:rPr>
        <w:t>类药物</w:t>
      </w:r>
      <w:proofErr w:type="gramStart"/>
      <w:r w:rsidRPr="00534EC2">
        <w:rPr>
          <w:rFonts w:ascii="Times New Roman" w:eastAsia="宋体" w:hAnsi="Times New Roman" w:cs="Times New Roman" w:hint="eastAsia"/>
          <w:sz w:val="24"/>
          <w:szCs w:val="24"/>
        </w:rPr>
        <w:t>的构效关系</w:t>
      </w:r>
      <w:proofErr w:type="gramEnd"/>
      <w:r w:rsidRPr="00534EC2">
        <w:rPr>
          <w:rFonts w:ascii="Times New Roman" w:eastAsia="宋体" w:hAnsi="Times New Roman" w:cs="Times New Roman" w:hint="eastAsia"/>
          <w:sz w:val="24"/>
          <w:szCs w:val="24"/>
        </w:rPr>
        <w:t>。</w:t>
      </w:r>
    </w:p>
    <w:p w14:paraId="446092CF" w14:textId="77777777" w:rsidR="00534EC2" w:rsidRPr="00534EC2" w:rsidRDefault="00534EC2" w:rsidP="00D225FF">
      <w:pPr>
        <w:spacing w:beforeLines="50" w:before="156" w:afterLines="50" w:after="156" w:line="440" w:lineRule="exact"/>
        <w:ind w:firstLineChars="200" w:firstLine="482"/>
        <w:jc w:val="center"/>
        <w:rPr>
          <w:rFonts w:ascii="Times New Roman" w:eastAsia="宋体" w:hAnsi="Times New Roman" w:cs="Times New Roman"/>
          <w:b/>
          <w:sz w:val="24"/>
          <w:szCs w:val="24"/>
        </w:rPr>
      </w:pPr>
      <w:r w:rsidRPr="00534EC2">
        <w:rPr>
          <w:rFonts w:ascii="Times New Roman" w:eastAsia="宋体" w:hAnsi="Times New Roman" w:cs="Times New Roman"/>
          <w:b/>
          <w:sz w:val="24"/>
          <w:szCs w:val="24"/>
        </w:rPr>
        <w:t>第</w:t>
      </w:r>
      <w:r w:rsidRPr="00534EC2">
        <w:rPr>
          <w:rFonts w:ascii="Times New Roman" w:eastAsia="宋体" w:hAnsi="Times New Roman" w:cs="Times New Roman" w:hint="eastAsia"/>
          <w:b/>
          <w:sz w:val="24"/>
          <w:szCs w:val="24"/>
        </w:rPr>
        <w:t>七</w:t>
      </w:r>
      <w:r w:rsidRPr="00534EC2">
        <w:rPr>
          <w:rFonts w:ascii="Times New Roman" w:eastAsia="宋体" w:hAnsi="Times New Roman" w:cs="Times New Roman"/>
          <w:b/>
          <w:sz w:val="24"/>
          <w:szCs w:val="24"/>
        </w:rPr>
        <w:t>章</w:t>
      </w:r>
      <w:r w:rsidRPr="00534EC2">
        <w:rPr>
          <w:rFonts w:ascii="Times New Roman" w:eastAsia="宋体" w:hAnsi="Times New Roman" w:cs="Times New Roman"/>
          <w:b/>
          <w:sz w:val="24"/>
          <w:szCs w:val="24"/>
        </w:rPr>
        <w:t xml:space="preserve">  </w:t>
      </w:r>
      <w:r w:rsidRPr="00534EC2">
        <w:rPr>
          <w:rFonts w:ascii="Times New Roman" w:eastAsia="宋体" w:hAnsi="Times New Roman" w:cs="Times New Roman" w:hint="eastAsia"/>
          <w:b/>
          <w:sz w:val="24"/>
          <w:szCs w:val="24"/>
        </w:rPr>
        <w:t>镇痛药</w:t>
      </w:r>
    </w:p>
    <w:p w14:paraId="47ECDE79"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651FA88A"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1. </w:t>
      </w:r>
      <w:r w:rsidRPr="00534EC2">
        <w:rPr>
          <w:rFonts w:ascii="Times New Roman" w:eastAsia="宋体" w:hAnsi="Times New Roman" w:cs="Times New Roman" w:hint="eastAsia"/>
          <w:sz w:val="24"/>
          <w:szCs w:val="24"/>
        </w:rPr>
        <w:t>认知类目标：了解吗啡的结构改造过程；熟悉可待因、的结构及用途</w:t>
      </w:r>
      <w:r w:rsidRPr="00534EC2">
        <w:rPr>
          <w:rFonts w:ascii="Times New Roman" w:eastAsia="宋体" w:hAnsi="Times New Roman" w:cs="Times New Roman"/>
          <w:sz w:val="24"/>
          <w:szCs w:val="24"/>
        </w:rPr>
        <w:t>。</w:t>
      </w:r>
    </w:p>
    <w:p w14:paraId="0A919525"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2. </w:t>
      </w:r>
      <w:r w:rsidRPr="00534EC2">
        <w:rPr>
          <w:rFonts w:ascii="Times New Roman" w:eastAsia="宋体" w:hAnsi="Times New Roman" w:cs="Times New Roman" w:hint="eastAsia"/>
          <w:sz w:val="24"/>
          <w:szCs w:val="24"/>
        </w:rPr>
        <w:t>过程与方法类目标：掌握吗啡、盐酸哌替啶、枸橼酸芬太尼、盐酸美沙酮、纳洛酮和</w:t>
      </w:r>
      <w:proofErr w:type="gramStart"/>
      <w:r w:rsidRPr="00534EC2">
        <w:rPr>
          <w:rFonts w:ascii="Times New Roman" w:eastAsia="宋体" w:hAnsi="Times New Roman" w:cs="Times New Roman" w:hint="eastAsia"/>
          <w:sz w:val="24"/>
          <w:szCs w:val="24"/>
        </w:rPr>
        <w:t>纳曲酮</w:t>
      </w:r>
      <w:proofErr w:type="gramEnd"/>
      <w:r w:rsidRPr="00534EC2">
        <w:rPr>
          <w:rFonts w:ascii="Times New Roman" w:eastAsia="宋体" w:hAnsi="Times New Roman" w:cs="Times New Roman" w:hint="eastAsia"/>
          <w:sz w:val="24"/>
          <w:szCs w:val="24"/>
        </w:rPr>
        <w:t>的理化性质、结构及用途；哌替啶和芬太尼的合成；镇痛药</w:t>
      </w:r>
      <w:proofErr w:type="gramStart"/>
      <w:r w:rsidRPr="00534EC2">
        <w:rPr>
          <w:rFonts w:ascii="Times New Roman" w:eastAsia="宋体" w:hAnsi="Times New Roman" w:cs="Times New Roman" w:hint="eastAsia"/>
          <w:sz w:val="24"/>
          <w:szCs w:val="24"/>
        </w:rPr>
        <w:t>的构效关系</w:t>
      </w:r>
      <w:proofErr w:type="gramEnd"/>
      <w:r w:rsidRPr="00534EC2">
        <w:rPr>
          <w:rFonts w:ascii="Times New Roman" w:eastAsia="宋体" w:hAnsi="Times New Roman" w:cs="Times New Roman" w:hint="eastAsia"/>
          <w:sz w:val="24"/>
          <w:szCs w:val="24"/>
        </w:rPr>
        <w:t>。</w:t>
      </w:r>
    </w:p>
    <w:p w14:paraId="0E136C35"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3. </w:t>
      </w:r>
      <w:r w:rsidRPr="00534EC2">
        <w:rPr>
          <w:rFonts w:ascii="Times New Roman" w:eastAsia="宋体" w:hAnsi="Times New Roman" w:cs="Times New Roman" w:hint="eastAsia"/>
          <w:sz w:val="24"/>
          <w:szCs w:val="24"/>
        </w:rPr>
        <w:t>情感、态度、价值观类目标：嵌入禁毒教育，让学生知道，一旦吸毒将危害社会、家庭和个人健康，让学生懂得毒品的危害，从而更加珍爱生命，远离毒品，并自觉加入禁毒者的行列。</w:t>
      </w:r>
    </w:p>
    <w:p w14:paraId="1A2AF6D6"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【学习内容】</w:t>
      </w:r>
    </w:p>
    <w:p w14:paraId="7D4C3173"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1</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吗啡及其衍生物</w:t>
      </w:r>
    </w:p>
    <w:p w14:paraId="6F121471"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2</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合成镇痛药</w:t>
      </w:r>
    </w:p>
    <w:p w14:paraId="23A72312"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3</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阿片受体和阿片样物质</w:t>
      </w:r>
    </w:p>
    <w:p w14:paraId="5DF9324B"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 xml:space="preserve">【重点】  </w:t>
      </w:r>
    </w:p>
    <w:p w14:paraId="3C0B4F66"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宋体" w:eastAsia="宋体" w:hAnsi="宋体" w:cs="Times New Roman" w:hint="eastAsia"/>
          <w:sz w:val="24"/>
          <w:szCs w:val="24"/>
        </w:rPr>
        <w:lastRenderedPageBreak/>
        <w:t>1.</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吗啡、盐酸哌替啶、枸橼酸芬太尼和盐酸美沙酮的结构、化学名、理化性质，体内代谢及用途；</w:t>
      </w:r>
    </w:p>
    <w:p w14:paraId="18F1C1F7"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2.</w:t>
      </w:r>
      <w:r w:rsidRPr="00534EC2">
        <w:rPr>
          <w:rFonts w:ascii="Times New Roman" w:eastAsia="宋体" w:hAnsi="Times New Roman" w:cs="Times New Roman"/>
          <w:sz w:val="24"/>
          <w:szCs w:val="24"/>
        </w:rPr>
        <w:t xml:space="preserve"> </w:t>
      </w:r>
      <w:r w:rsidRPr="00534EC2">
        <w:rPr>
          <w:rFonts w:ascii="Times New Roman" w:eastAsia="宋体" w:hAnsi="Times New Roman" w:cs="Times New Roman" w:hint="eastAsia"/>
          <w:sz w:val="24"/>
          <w:szCs w:val="24"/>
        </w:rPr>
        <w:t>镇痛药</w:t>
      </w:r>
      <w:proofErr w:type="gramStart"/>
      <w:r w:rsidRPr="00534EC2">
        <w:rPr>
          <w:rFonts w:ascii="Times New Roman" w:eastAsia="宋体" w:hAnsi="Times New Roman" w:cs="Times New Roman" w:hint="eastAsia"/>
          <w:sz w:val="24"/>
          <w:szCs w:val="24"/>
        </w:rPr>
        <w:t>的构效关系</w:t>
      </w:r>
      <w:proofErr w:type="gramEnd"/>
      <w:r w:rsidRPr="00534EC2">
        <w:rPr>
          <w:rFonts w:ascii="Times New Roman" w:eastAsia="宋体" w:hAnsi="Times New Roman" w:cs="Times New Roman" w:hint="eastAsia"/>
          <w:sz w:val="24"/>
          <w:szCs w:val="24"/>
        </w:rPr>
        <w:t>。</w:t>
      </w:r>
    </w:p>
    <w:p w14:paraId="0DAAE644"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705087C1"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镇痛药</w:t>
      </w:r>
      <w:proofErr w:type="gramStart"/>
      <w:r w:rsidRPr="00534EC2">
        <w:rPr>
          <w:rFonts w:ascii="宋体" w:eastAsia="宋体" w:hAnsi="宋体" w:cs="Times New Roman" w:hint="eastAsia"/>
          <w:sz w:val="24"/>
          <w:szCs w:val="24"/>
        </w:rPr>
        <w:t>的构效关系</w:t>
      </w:r>
      <w:proofErr w:type="gramEnd"/>
      <w:r w:rsidRPr="00534EC2">
        <w:rPr>
          <w:rFonts w:ascii="宋体" w:eastAsia="宋体" w:hAnsi="宋体" w:cs="Times New Roman" w:hint="eastAsia"/>
          <w:sz w:val="24"/>
          <w:szCs w:val="24"/>
        </w:rPr>
        <w:t>。</w:t>
      </w:r>
    </w:p>
    <w:p w14:paraId="5C74FB23" w14:textId="77777777" w:rsidR="00534EC2" w:rsidRPr="00534EC2" w:rsidRDefault="00534EC2" w:rsidP="00D225FF">
      <w:pPr>
        <w:spacing w:line="440" w:lineRule="exact"/>
        <w:ind w:firstLineChars="200" w:firstLine="482"/>
        <w:rPr>
          <w:rFonts w:ascii="Times New Roman" w:eastAsia="宋体" w:hAnsi="Times New Roman" w:cs="Times New Roman"/>
          <w:sz w:val="24"/>
          <w:szCs w:val="24"/>
        </w:rPr>
      </w:pPr>
      <w:r w:rsidRPr="00534EC2">
        <w:rPr>
          <w:rFonts w:ascii="宋体" w:eastAsia="宋体" w:hAnsi="宋体" w:cs="Times New Roman" w:hint="eastAsia"/>
          <w:b/>
          <w:bCs/>
          <w:sz w:val="24"/>
          <w:szCs w:val="24"/>
        </w:rPr>
        <w:t>【教学方法】</w:t>
      </w:r>
    </w:p>
    <w:p w14:paraId="0ED349A8" w14:textId="77777777" w:rsidR="00534EC2" w:rsidRPr="00534EC2" w:rsidRDefault="00534EC2" w:rsidP="00D225FF">
      <w:pPr>
        <w:spacing w:line="440" w:lineRule="exact"/>
        <w:ind w:firstLineChars="200" w:firstLine="480"/>
        <w:rPr>
          <w:rFonts w:ascii="Times New Roman" w:eastAsia="宋体" w:hAnsi="Times New Roman" w:cs="Times New Roman"/>
          <w:kern w:val="0"/>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5ABD60A3" w14:textId="77777777" w:rsidR="00534EC2" w:rsidRPr="00534EC2" w:rsidRDefault="00534EC2" w:rsidP="00D225FF">
      <w:pPr>
        <w:widowControl/>
        <w:spacing w:line="440" w:lineRule="exact"/>
        <w:ind w:firstLineChars="200" w:firstLine="480"/>
        <w:jc w:val="left"/>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2.</w:t>
      </w:r>
      <w:r w:rsidRPr="00534EC2">
        <w:rPr>
          <w:rFonts w:ascii="Times New Roman" w:eastAsia="宋体" w:hAnsi="Times New Roman" w:cs="Times New Roman" w:hint="eastAsia"/>
          <w:szCs w:val="24"/>
        </w:rPr>
        <w:t xml:space="preserve"> </w:t>
      </w:r>
      <w:r w:rsidRPr="00534EC2">
        <w:rPr>
          <w:rFonts w:ascii="Times New Roman" w:eastAsia="宋体" w:hAnsi="Times New Roman" w:cs="Times New Roman" w:hint="eastAsia"/>
          <w:sz w:val="24"/>
          <w:szCs w:val="24"/>
        </w:rPr>
        <w:t>通过案例分析现实生活中吸毒酿成悲剧的大量案例，告诫学生要远离毒品，珍爱生命。</w:t>
      </w:r>
    </w:p>
    <w:p w14:paraId="2E31264E"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3.</w:t>
      </w:r>
      <w:r w:rsidRPr="00534EC2">
        <w:rPr>
          <w:rFonts w:ascii="Times New Roman" w:eastAsia="宋体" w:hAnsi="Times New Roman" w:cs="Times New Roman"/>
          <w:sz w:val="24"/>
          <w:szCs w:val="24"/>
        </w:rPr>
        <w:t xml:space="preserve"> </w:t>
      </w:r>
      <w:r w:rsidRPr="00534EC2">
        <w:rPr>
          <w:rFonts w:ascii="Times New Roman" w:eastAsia="宋体" w:hAnsi="Times New Roman" w:cs="Times New Roman"/>
          <w:sz w:val="24"/>
          <w:szCs w:val="24"/>
        </w:rPr>
        <w:t>通过安排学生提前预习，培养学生自主学习、独立思考的</w:t>
      </w:r>
      <w:proofErr w:type="gramStart"/>
      <w:r w:rsidRPr="00534EC2">
        <w:rPr>
          <w:rFonts w:ascii="Times New Roman" w:eastAsia="宋体" w:hAnsi="Times New Roman" w:cs="Times New Roman"/>
          <w:sz w:val="24"/>
          <w:szCs w:val="24"/>
        </w:rPr>
        <w:t>的</w:t>
      </w:r>
      <w:proofErr w:type="gramEnd"/>
      <w:r w:rsidRPr="00534EC2">
        <w:rPr>
          <w:rFonts w:ascii="Times New Roman" w:eastAsia="宋体" w:hAnsi="Times New Roman" w:cs="Times New Roman"/>
          <w:sz w:val="24"/>
          <w:szCs w:val="24"/>
        </w:rPr>
        <w:t>精神，强化学生对知识学习的应用意识，提升学生的教学技能。</w:t>
      </w:r>
    </w:p>
    <w:p w14:paraId="2E97570D" w14:textId="77777777" w:rsidR="00534EC2" w:rsidRPr="00534EC2" w:rsidRDefault="00534EC2" w:rsidP="00D225FF">
      <w:pPr>
        <w:spacing w:line="440" w:lineRule="exact"/>
        <w:ind w:firstLineChars="200" w:firstLine="482"/>
        <w:rPr>
          <w:rFonts w:ascii="Times New Roman" w:eastAsia="宋体" w:hAnsi="Times New Roman" w:cs="Times New Roman"/>
          <w:szCs w:val="24"/>
        </w:rPr>
      </w:pPr>
      <w:r w:rsidRPr="00534EC2">
        <w:rPr>
          <w:rFonts w:ascii="宋体" w:eastAsia="宋体" w:hAnsi="宋体" w:cs="Times New Roman" w:hint="eastAsia"/>
          <w:b/>
          <w:sz w:val="24"/>
          <w:szCs w:val="24"/>
        </w:rPr>
        <w:t>【复习思考】</w:t>
      </w:r>
    </w:p>
    <w:p w14:paraId="7EF369F5"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1.</w:t>
      </w:r>
      <w:r w:rsidRPr="00534EC2">
        <w:rPr>
          <w:rFonts w:ascii="Times New Roman" w:eastAsia="宋体" w:hAnsi="Times New Roman" w:cs="Times New Roman"/>
          <w:sz w:val="24"/>
          <w:szCs w:val="24"/>
        </w:rPr>
        <w:t xml:space="preserve"> </w:t>
      </w:r>
      <w:r w:rsidRPr="00534EC2">
        <w:rPr>
          <w:rFonts w:ascii="Times New Roman" w:eastAsia="宋体" w:hAnsi="Times New Roman" w:cs="Times New Roman" w:hint="eastAsia"/>
          <w:sz w:val="24"/>
          <w:szCs w:val="24"/>
        </w:rPr>
        <w:t>合成镇痛药的主要结构类型。</w:t>
      </w:r>
    </w:p>
    <w:p w14:paraId="5B34CCD8"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2.</w:t>
      </w:r>
      <w:r w:rsidRPr="00534EC2">
        <w:rPr>
          <w:rFonts w:ascii="Times New Roman" w:eastAsia="宋体" w:hAnsi="Times New Roman" w:cs="Times New Roman"/>
          <w:sz w:val="24"/>
          <w:szCs w:val="24"/>
        </w:rPr>
        <w:t xml:space="preserve"> </w:t>
      </w:r>
      <w:r w:rsidRPr="00534EC2">
        <w:rPr>
          <w:rFonts w:ascii="Times New Roman" w:eastAsia="宋体" w:hAnsi="Times New Roman" w:cs="Times New Roman" w:hint="eastAsia"/>
          <w:sz w:val="24"/>
          <w:szCs w:val="24"/>
        </w:rPr>
        <w:t>以苯乙腈为原料合成盐酸哌替啶。</w:t>
      </w:r>
    </w:p>
    <w:p w14:paraId="13A36997" w14:textId="77777777" w:rsidR="00534EC2" w:rsidRPr="00534EC2" w:rsidRDefault="00534EC2" w:rsidP="00D225FF">
      <w:pPr>
        <w:spacing w:line="440" w:lineRule="exact"/>
        <w:ind w:firstLineChars="200" w:firstLine="480"/>
        <w:rPr>
          <w:rFonts w:ascii="Times New Roman" w:eastAsia="宋体" w:hAnsi="Times New Roman" w:cs="Times New Roman"/>
          <w:szCs w:val="24"/>
        </w:rPr>
      </w:pPr>
      <w:r w:rsidRPr="00534EC2">
        <w:rPr>
          <w:rFonts w:ascii="Times New Roman" w:eastAsia="宋体" w:hAnsi="Times New Roman" w:cs="Times New Roman" w:hint="eastAsia"/>
          <w:sz w:val="24"/>
          <w:szCs w:val="24"/>
        </w:rPr>
        <w:t>3.</w:t>
      </w:r>
      <w:r w:rsidRPr="00534EC2">
        <w:rPr>
          <w:rFonts w:ascii="Times New Roman" w:eastAsia="宋体" w:hAnsi="Times New Roman" w:cs="Times New Roman"/>
          <w:sz w:val="24"/>
          <w:szCs w:val="24"/>
        </w:rPr>
        <w:t xml:space="preserve"> </w:t>
      </w:r>
      <w:r w:rsidRPr="00534EC2">
        <w:rPr>
          <w:rFonts w:ascii="Times New Roman" w:eastAsia="宋体" w:hAnsi="Times New Roman" w:cs="Times New Roman" w:hint="eastAsia"/>
          <w:sz w:val="24"/>
          <w:szCs w:val="24"/>
        </w:rPr>
        <w:t>吗啡及合成镇痛药都具有相似的镇痛作用的原因。</w:t>
      </w:r>
    </w:p>
    <w:p w14:paraId="7F1687A4" w14:textId="77777777" w:rsidR="00534EC2" w:rsidRPr="00534EC2" w:rsidRDefault="00534EC2" w:rsidP="00D225FF">
      <w:pPr>
        <w:spacing w:beforeLines="50" w:before="156" w:afterLines="50" w:after="156" w:line="440" w:lineRule="exact"/>
        <w:ind w:firstLineChars="200" w:firstLine="482"/>
        <w:jc w:val="center"/>
        <w:rPr>
          <w:rFonts w:ascii="宋体" w:eastAsia="宋体" w:hAnsi="宋体" w:cs="Times New Roman"/>
          <w:b/>
          <w:sz w:val="24"/>
          <w:szCs w:val="24"/>
        </w:rPr>
      </w:pPr>
      <w:r w:rsidRPr="00534EC2">
        <w:rPr>
          <w:rFonts w:ascii="宋体" w:eastAsia="宋体" w:hAnsi="宋体" w:cs="Times New Roman" w:hint="eastAsia"/>
          <w:b/>
          <w:sz w:val="24"/>
          <w:szCs w:val="24"/>
        </w:rPr>
        <w:t>第八章  非</w:t>
      </w:r>
      <w:proofErr w:type="gramStart"/>
      <w:r w:rsidRPr="00534EC2">
        <w:rPr>
          <w:rFonts w:ascii="宋体" w:eastAsia="宋体" w:hAnsi="宋体" w:cs="Times New Roman" w:hint="eastAsia"/>
          <w:b/>
          <w:sz w:val="24"/>
          <w:szCs w:val="24"/>
        </w:rPr>
        <w:t>甾</w:t>
      </w:r>
      <w:proofErr w:type="gramEnd"/>
      <w:r w:rsidRPr="00534EC2">
        <w:rPr>
          <w:rFonts w:ascii="宋体" w:eastAsia="宋体" w:hAnsi="宋体" w:cs="Times New Roman" w:hint="eastAsia"/>
          <w:b/>
          <w:sz w:val="24"/>
          <w:szCs w:val="24"/>
        </w:rPr>
        <w:t>体抗炎药</w:t>
      </w:r>
    </w:p>
    <w:p w14:paraId="1E5E8ADA"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2C0192CE"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认知类目标：了解的水杨酸类解热镇痛药物的发展历史；非</w:t>
      </w:r>
      <w:proofErr w:type="gramStart"/>
      <w:r w:rsidRPr="00534EC2">
        <w:rPr>
          <w:rFonts w:ascii="宋体" w:eastAsia="宋体" w:hAnsi="宋体" w:cs="Times New Roman" w:hint="eastAsia"/>
          <w:sz w:val="24"/>
          <w:szCs w:val="24"/>
        </w:rPr>
        <w:t>甾</w:t>
      </w:r>
      <w:proofErr w:type="gramEnd"/>
      <w:r w:rsidRPr="00534EC2">
        <w:rPr>
          <w:rFonts w:ascii="宋体" w:eastAsia="宋体" w:hAnsi="宋体" w:cs="Times New Roman" w:hint="eastAsia"/>
          <w:sz w:val="24"/>
          <w:szCs w:val="24"/>
        </w:rPr>
        <w:t>体抗炎药物的发展概况。</w:t>
      </w:r>
    </w:p>
    <w:p w14:paraId="5369B8D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过程与方法类目标：掌握解热镇痛药的结构类型、作用机理；阿司匹林、对乙酰氨基</w:t>
      </w:r>
      <w:proofErr w:type="gramStart"/>
      <w:r w:rsidRPr="00534EC2">
        <w:rPr>
          <w:rFonts w:ascii="宋体" w:eastAsia="宋体" w:hAnsi="宋体" w:cs="Times New Roman" w:hint="eastAsia"/>
          <w:sz w:val="24"/>
          <w:szCs w:val="24"/>
        </w:rPr>
        <w:t>酚</w:t>
      </w:r>
      <w:proofErr w:type="gramEnd"/>
      <w:r w:rsidRPr="00534EC2">
        <w:rPr>
          <w:rFonts w:ascii="宋体" w:eastAsia="宋体" w:hAnsi="宋体" w:cs="Times New Roman" w:hint="eastAsia"/>
          <w:sz w:val="24"/>
          <w:szCs w:val="24"/>
        </w:rPr>
        <w:t>的化学名、结构、理化性质、体内代谢和合成及用途；非</w:t>
      </w:r>
      <w:proofErr w:type="gramStart"/>
      <w:r w:rsidRPr="00534EC2">
        <w:rPr>
          <w:rFonts w:ascii="宋体" w:eastAsia="宋体" w:hAnsi="宋体" w:cs="Times New Roman" w:hint="eastAsia"/>
          <w:sz w:val="24"/>
          <w:szCs w:val="24"/>
        </w:rPr>
        <w:t>甾</w:t>
      </w:r>
      <w:proofErr w:type="gramEnd"/>
      <w:r w:rsidRPr="00534EC2">
        <w:rPr>
          <w:rFonts w:ascii="宋体" w:eastAsia="宋体" w:hAnsi="宋体" w:cs="Times New Roman" w:hint="eastAsia"/>
          <w:sz w:val="24"/>
          <w:szCs w:val="24"/>
        </w:rPr>
        <w:t>体抗炎药物的分类及</w:t>
      </w:r>
      <w:proofErr w:type="gramStart"/>
      <w:r w:rsidRPr="00534EC2">
        <w:rPr>
          <w:rFonts w:ascii="宋体" w:eastAsia="宋体" w:hAnsi="宋体" w:cs="Times New Roman" w:hint="eastAsia"/>
          <w:sz w:val="24"/>
          <w:szCs w:val="24"/>
        </w:rPr>
        <w:t>吲哚美辛、吡</w:t>
      </w:r>
      <w:proofErr w:type="gramEnd"/>
      <w:r w:rsidRPr="00534EC2">
        <w:rPr>
          <w:rFonts w:ascii="宋体" w:eastAsia="宋体" w:hAnsi="宋体" w:cs="Times New Roman" w:hint="eastAsia"/>
          <w:sz w:val="24"/>
          <w:szCs w:val="24"/>
        </w:rPr>
        <w:t>罗西康、双氯芬酸钠、布洛芬结构特点、理化性质、体内代谢及用途</w:t>
      </w:r>
    </w:p>
    <w:p w14:paraId="19E5A97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 情感、态度、价值观类目标：</w:t>
      </w:r>
      <w:r w:rsidRPr="00534EC2">
        <w:rPr>
          <w:rFonts w:ascii="宋体" w:eastAsia="宋体" w:hAnsi="宋体" w:cs="Times New Roman"/>
          <w:sz w:val="24"/>
          <w:szCs w:val="24"/>
        </w:rPr>
        <w:t>培养学生严谨的科学作风、实事求是的科学态度、良好 的团结协作精神以及科研意识和创新能力</w:t>
      </w:r>
      <w:r w:rsidRPr="00534EC2">
        <w:rPr>
          <w:rFonts w:ascii="宋体" w:eastAsia="宋体" w:hAnsi="宋体" w:cs="Times New Roman" w:hint="eastAsia"/>
          <w:sz w:val="24"/>
          <w:szCs w:val="24"/>
        </w:rPr>
        <w:t>。</w:t>
      </w:r>
    </w:p>
    <w:p w14:paraId="1AA2F008"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【学习内容】</w:t>
      </w:r>
    </w:p>
    <w:p w14:paraId="77DF266A"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非</w:t>
      </w:r>
      <w:proofErr w:type="gramStart"/>
      <w:r w:rsidRPr="00534EC2">
        <w:rPr>
          <w:rFonts w:ascii="宋体" w:eastAsia="宋体" w:hAnsi="宋体" w:cs="Times New Roman" w:hint="eastAsia"/>
          <w:sz w:val="24"/>
          <w:szCs w:val="24"/>
        </w:rPr>
        <w:t>甾</w:t>
      </w:r>
      <w:proofErr w:type="gramEnd"/>
      <w:r w:rsidRPr="00534EC2">
        <w:rPr>
          <w:rFonts w:ascii="宋体" w:eastAsia="宋体" w:hAnsi="宋体" w:cs="Times New Roman" w:hint="eastAsia"/>
          <w:sz w:val="24"/>
          <w:szCs w:val="24"/>
        </w:rPr>
        <w:t>体抗炎药的作用机制</w:t>
      </w:r>
    </w:p>
    <w:p w14:paraId="46D1A399"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解热镇痛药</w:t>
      </w:r>
    </w:p>
    <w:p w14:paraId="737DFE6B"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非</w:t>
      </w:r>
      <w:proofErr w:type="gramStart"/>
      <w:r w:rsidRPr="00534EC2">
        <w:rPr>
          <w:rFonts w:ascii="宋体" w:eastAsia="宋体" w:hAnsi="宋体" w:cs="Times New Roman" w:hint="eastAsia"/>
          <w:sz w:val="24"/>
          <w:szCs w:val="24"/>
        </w:rPr>
        <w:t>甾</w:t>
      </w:r>
      <w:proofErr w:type="gramEnd"/>
      <w:r w:rsidRPr="00534EC2">
        <w:rPr>
          <w:rFonts w:ascii="宋体" w:eastAsia="宋体" w:hAnsi="宋体" w:cs="Times New Roman" w:hint="eastAsia"/>
          <w:sz w:val="24"/>
          <w:szCs w:val="24"/>
        </w:rPr>
        <w:t>体抗炎药</w:t>
      </w:r>
    </w:p>
    <w:p w14:paraId="439646E8"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【重点】</w:t>
      </w:r>
    </w:p>
    <w:p w14:paraId="772B0BD1"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lastRenderedPageBreak/>
        <w:t>1. 阿司匹林、对乙酰氨基</w:t>
      </w:r>
      <w:proofErr w:type="gramStart"/>
      <w:r w:rsidRPr="00534EC2">
        <w:rPr>
          <w:rFonts w:ascii="宋体" w:eastAsia="宋体" w:hAnsi="宋体" w:cs="Times New Roman" w:hint="eastAsia"/>
          <w:sz w:val="24"/>
          <w:szCs w:val="24"/>
        </w:rPr>
        <w:t>酚</w:t>
      </w:r>
      <w:proofErr w:type="gramEnd"/>
      <w:r w:rsidRPr="00534EC2">
        <w:rPr>
          <w:rFonts w:ascii="宋体" w:eastAsia="宋体" w:hAnsi="宋体" w:cs="Times New Roman" w:hint="eastAsia"/>
          <w:sz w:val="24"/>
          <w:szCs w:val="24"/>
        </w:rPr>
        <w:t>、</w:t>
      </w:r>
      <w:proofErr w:type="gramStart"/>
      <w:r w:rsidRPr="00534EC2">
        <w:rPr>
          <w:rFonts w:ascii="宋体" w:eastAsia="宋体" w:hAnsi="宋体" w:cs="Times New Roman" w:hint="eastAsia"/>
          <w:sz w:val="24"/>
          <w:szCs w:val="24"/>
        </w:rPr>
        <w:t>吲哚美辛、吡</w:t>
      </w:r>
      <w:proofErr w:type="gramEnd"/>
      <w:r w:rsidRPr="00534EC2">
        <w:rPr>
          <w:rFonts w:ascii="宋体" w:eastAsia="宋体" w:hAnsi="宋体" w:cs="Times New Roman" w:hint="eastAsia"/>
          <w:sz w:val="24"/>
          <w:szCs w:val="24"/>
        </w:rPr>
        <w:t>罗西康、双氯芬酸钠、布洛芬化学名、结构、理化性质、体内代谢、合成及用途。</w:t>
      </w:r>
    </w:p>
    <w:p w14:paraId="49715373"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1B9B4CCE"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非</w:t>
      </w:r>
      <w:proofErr w:type="gramStart"/>
      <w:r w:rsidRPr="00534EC2">
        <w:rPr>
          <w:rFonts w:ascii="宋体" w:eastAsia="宋体" w:hAnsi="宋体" w:cs="Times New Roman" w:hint="eastAsia"/>
          <w:sz w:val="24"/>
          <w:szCs w:val="24"/>
        </w:rPr>
        <w:t>甾</w:t>
      </w:r>
      <w:proofErr w:type="gramEnd"/>
      <w:r w:rsidRPr="00534EC2">
        <w:rPr>
          <w:rFonts w:ascii="宋体" w:eastAsia="宋体" w:hAnsi="宋体" w:cs="Times New Roman" w:hint="eastAsia"/>
          <w:sz w:val="24"/>
          <w:szCs w:val="24"/>
        </w:rPr>
        <w:t>体抗炎药的结构类型、作用机理。</w:t>
      </w:r>
    </w:p>
    <w:p w14:paraId="2FDE2F23"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【教学方法】</w:t>
      </w:r>
    </w:p>
    <w:p w14:paraId="79C3234F"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4E2E867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通过案例教学，培养学生严谨的科学作风、实事求是的科学态度、良好的团结协作精神以及科研意识和创新能力，增强保护环境和节约资源意识，</w:t>
      </w:r>
      <w:proofErr w:type="gramStart"/>
      <w:r w:rsidRPr="00534EC2">
        <w:rPr>
          <w:rFonts w:ascii="宋体" w:eastAsia="宋体" w:hAnsi="宋体" w:cs="Times New Roman" w:hint="eastAsia"/>
          <w:sz w:val="24"/>
          <w:szCs w:val="24"/>
        </w:rPr>
        <w:t>践行</w:t>
      </w:r>
      <w:proofErr w:type="gramEnd"/>
      <w:r w:rsidRPr="00534EC2">
        <w:rPr>
          <w:rFonts w:ascii="宋体" w:eastAsia="宋体" w:hAnsi="宋体" w:cs="Times New Roman" w:hint="eastAsia"/>
          <w:sz w:val="24"/>
          <w:szCs w:val="24"/>
        </w:rPr>
        <w:t>“绿水青山就是金山银山”理念，编制布洛芬的合成案例，从是否使用绿色的原料，是否采纳绿色的反应设计流程，反应中的催化剂、溶剂、方法、手段等是否绿色化，达成“三废”排放少、污染低的绿色合成路线。</w:t>
      </w:r>
    </w:p>
    <w:p w14:paraId="69EA1564"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【复习思考】</w:t>
      </w:r>
    </w:p>
    <w:p w14:paraId="54438F11"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NSAIDs的主要副作用为胃肠道副作用的原因。</w:t>
      </w:r>
    </w:p>
    <w:p w14:paraId="3ED4750A"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扑热息痛的合成路线。</w:t>
      </w:r>
    </w:p>
    <w:p w14:paraId="779ACFC1"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解热镇痛药按其化学结构类型的分类，每类的代表药物。</w:t>
      </w:r>
    </w:p>
    <w:p w14:paraId="09211820" w14:textId="77777777" w:rsidR="00534EC2" w:rsidRPr="00534EC2" w:rsidRDefault="00534EC2" w:rsidP="00D225FF">
      <w:pPr>
        <w:spacing w:beforeLines="50" w:before="156" w:afterLines="50" w:after="156" w:line="440" w:lineRule="exact"/>
        <w:ind w:firstLineChars="200" w:firstLine="482"/>
        <w:jc w:val="center"/>
        <w:rPr>
          <w:rFonts w:ascii="宋体" w:eastAsia="宋体" w:hAnsi="宋体" w:cs="Times New Roman"/>
          <w:b/>
          <w:sz w:val="24"/>
          <w:szCs w:val="24"/>
        </w:rPr>
      </w:pPr>
      <w:r w:rsidRPr="00534EC2">
        <w:rPr>
          <w:rFonts w:ascii="宋体" w:eastAsia="宋体" w:hAnsi="宋体" w:cs="Times New Roman" w:hint="eastAsia"/>
          <w:b/>
          <w:sz w:val="24"/>
          <w:szCs w:val="24"/>
        </w:rPr>
        <w:t>第九章  拟胆碱药和抗胆碱药</w:t>
      </w:r>
    </w:p>
    <w:p w14:paraId="55A74496"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0CFF1AD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认知类目标：了解苯磺酸阿曲库铵、氯化琥珀胆碱、右旋氯筒箭毒碱、</w:t>
      </w:r>
      <w:proofErr w:type="gramStart"/>
      <w:r w:rsidRPr="00534EC2">
        <w:rPr>
          <w:rFonts w:ascii="宋体" w:eastAsia="宋体" w:hAnsi="宋体" w:cs="Times New Roman" w:hint="eastAsia"/>
          <w:sz w:val="24"/>
          <w:szCs w:val="24"/>
        </w:rPr>
        <w:t>泮</w:t>
      </w:r>
      <w:proofErr w:type="gramEnd"/>
      <w:r w:rsidRPr="00534EC2">
        <w:rPr>
          <w:rFonts w:ascii="宋体" w:eastAsia="宋体" w:hAnsi="宋体" w:cs="Times New Roman" w:hint="eastAsia"/>
          <w:sz w:val="24"/>
          <w:szCs w:val="24"/>
        </w:rPr>
        <w:t>库溴胺的结构、作用特点及用途；N胆碱受体拮抗剂的发展及结构类型；</w:t>
      </w:r>
      <w:proofErr w:type="gramStart"/>
      <w:r w:rsidRPr="00534EC2">
        <w:rPr>
          <w:rFonts w:ascii="宋体" w:eastAsia="宋体" w:hAnsi="宋体" w:cs="Times New Roman" w:hint="eastAsia"/>
          <w:sz w:val="24"/>
          <w:szCs w:val="24"/>
        </w:rPr>
        <w:t>熟悉拟</w:t>
      </w:r>
      <w:proofErr w:type="gramEnd"/>
      <w:r w:rsidRPr="00534EC2">
        <w:rPr>
          <w:rFonts w:ascii="宋体" w:eastAsia="宋体" w:hAnsi="宋体" w:cs="Times New Roman" w:hint="eastAsia"/>
          <w:sz w:val="24"/>
          <w:szCs w:val="24"/>
        </w:rPr>
        <w:t>胆碱药、抗胆碱药的结构类型和作用机理；苯海索、盐酸</w:t>
      </w:r>
      <w:proofErr w:type="gramStart"/>
      <w:r w:rsidRPr="00534EC2">
        <w:rPr>
          <w:rFonts w:ascii="宋体" w:eastAsia="宋体" w:hAnsi="宋体" w:cs="Times New Roman" w:hint="eastAsia"/>
          <w:sz w:val="24"/>
          <w:szCs w:val="24"/>
        </w:rPr>
        <w:t>贝那替</w:t>
      </w:r>
      <w:proofErr w:type="gramEnd"/>
      <w:r w:rsidRPr="00534EC2">
        <w:rPr>
          <w:rFonts w:ascii="宋体" w:eastAsia="宋体" w:hAnsi="宋体" w:cs="Times New Roman" w:hint="eastAsia"/>
          <w:sz w:val="24"/>
          <w:szCs w:val="24"/>
        </w:rPr>
        <w:t>秦、溴丙胺</w:t>
      </w:r>
      <w:proofErr w:type="gramStart"/>
      <w:r w:rsidRPr="00534EC2">
        <w:rPr>
          <w:rFonts w:ascii="宋体" w:eastAsia="宋体" w:hAnsi="宋体" w:cs="Times New Roman" w:hint="eastAsia"/>
          <w:sz w:val="24"/>
          <w:szCs w:val="24"/>
        </w:rPr>
        <w:t>太</w:t>
      </w:r>
      <w:proofErr w:type="gramEnd"/>
      <w:r w:rsidRPr="00534EC2">
        <w:rPr>
          <w:rFonts w:ascii="宋体" w:eastAsia="宋体" w:hAnsi="宋体" w:cs="Times New Roman" w:hint="eastAsia"/>
          <w:sz w:val="24"/>
          <w:szCs w:val="24"/>
        </w:rPr>
        <w:t>林的结构、理化性质及用途；拟胆碱药、抗胆碱药</w:t>
      </w:r>
      <w:proofErr w:type="gramStart"/>
      <w:r w:rsidRPr="00534EC2">
        <w:rPr>
          <w:rFonts w:ascii="宋体" w:eastAsia="宋体" w:hAnsi="宋体" w:cs="Times New Roman" w:hint="eastAsia"/>
          <w:sz w:val="24"/>
          <w:szCs w:val="24"/>
        </w:rPr>
        <w:t>的构效关系</w:t>
      </w:r>
      <w:proofErr w:type="gramEnd"/>
      <w:r w:rsidRPr="00534EC2">
        <w:rPr>
          <w:rFonts w:ascii="宋体" w:eastAsia="宋体" w:hAnsi="宋体" w:cs="Times New Roman" w:hint="eastAsia"/>
          <w:sz w:val="24"/>
          <w:szCs w:val="24"/>
        </w:rPr>
        <w:t>。</w:t>
      </w:r>
    </w:p>
    <w:p w14:paraId="31B5769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过程与方法类目标：</w:t>
      </w:r>
      <w:proofErr w:type="gramStart"/>
      <w:r w:rsidRPr="00534EC2">
        <w:rPr>
          <w:rFonts w:ascii="宋体" w:eastAsia="宋体" w:hAnsi="宋体" w:cs="Times New Roman" w:hint="eastAsia"/>
          <w:sz w:val="24"/>
          <w:szCs w:val="24"/>
        </w:rPr>
        <w:t>掌握氯贝胆碱</w:t>
      </w:r>
      <w:proofErr w:type="gramEnd"/>
      <w:r w:rsidRPr="00534EC2">
        <w:rPr>
          <w:rFonts w:ascii="宋体" w:eastAsia="宋体" w:hAnsi="宋体" w:cs="Times New Roman" w:hint="eastAsia"/>
          <w:sz w:val="24"/>
          <w:szCs w:val="24"/>
        </w:rPr>
        <w:t>、毛果云香碱、</w:t>
      </w:r>
      <w:proofErr w:type="gramStart"/>
      <w:r w:rsidRPr="00534EC2">
        <w:rPr>
          <w:rFonts w:ascii="宋体" w:eastAsia="宋体" w:hAnsi="宋体" w:cs="Times New Roman" w:hint="eastAsia"/>
          <w:sz w:val="24"/>
          <w:szCs w:val="24"/>
        </w:rPr>
        <w:t>溴新斯</w:t>
      </w:r>
      <w:proofErr w:type="gramEnd"/>
      <w:r w:rsidRPr="00534EC2">
        <w:rPr>
          <w:rFonts w:ascii="宋体" w:eastAsia="宋体" w:hAnsi="宋体" w:cs="Times New Roman" w:hint="eastAsia"/>
          <w:sz w:val="24"/>
          <w:szCs w:val="24"/>
        </w:rPr>
        <w:t>的明、阿托品、东莨菪碱、山莨菪碱、</w:t>
      </w:r>
      <w:proofErr w:type="gramStart"/>
      <w:r w:rsidRPr="00534EC2">
        <w:rPr>
          <w:rFonts w:ascii="宋体" w:eastAsia="宋体" w:hAnsi="宋体" w:cs="Times New Roman" w:hint="eastAsia"/>
          <w:sz w:val="24"/>
          <w:szCs w:val="24"/>
        </w:rPr>
        <w:t>樟</w:t>
      </w:r>
      <w:proofErr w:type="gramEnd"/>
      <w:r w:rsidRPr="00534EC2">
        <w:rPr>
          <w:rFonts w:ascii="宋体" w:eastAsia="宋体" w:hAnsi="宋体" w:cs="Times New Roman" w:hint="eastAsia"/>
          <w:sz w:val="24"/>
          <w:szCs w:val="24"/>
        </w:rPr>
        <w:t>柳碱的结构、理化性质及用途；莨菪类药物</w:t>
      </w:r>
      <w:proofErr w:type="gramStart"/>
      <w:r w:rsidRPr="00534EC2">
        <w:rPr>
          <w:rFonts w:ascii="宋体" w:eastAsia="宋体" w:hAnsi="宋体" w:cs="Times New Roman" w:hint="eastAsia"/>
          <w:sz w:val="24"/>
          <w:szCs w:val="24"/>
        </w:rPr>
        <w:t>的构效关系</w:t>
      </w:r>
      <w:proofErr w:type="gramEnd"/>
      <w:r w:rsidRPr="00534EC2">
        <w:rPr>
          <w:rFonts w:ascii="宋体" w:eastAsia="宋体" w:hAnsi="宋体" w:cs="Times New Roman" w:hint="eastAsia"/>
          <w:sz w:val="24"/>
          <w:szCs w:val="24"/>
        </w:rPr>
        <w:t>。</w:t>
      </w:r>
    </w:p>
    <w:p w14:paraId="1994039C"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【学习内容】</w:t>
      </w:r>
    </w:p>
    <w:p w14:paraId="5E5B2F5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胆碱受体激动剂</w:t>
      </w:r>
    </w:p>
    <w:p w14:paraId="6B341B3B"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乙酰胆碱酯酶抑制剂</w:t>
      </w:r>
    </w:p>
    <w:p w14:paraId="4905A596"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颠茄生物碱类M胆碱受体拮抗剂</w:t>
      </w:r>
    </w:p>
    <w:p w14:paraId="78AE4EC5"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4</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合成M胆碱受体拮抗剂</w:t>
      </w:r>
    </w:p>
    <w:p w14:paraId="5210CF41"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5</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N胆碱受体拮抗剂</w:t>
      </w:r>
    </w:p>
    <w:p w14:paraId="69EBDBD5"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【重点】</w:t>
      </w:r>
    </w:p>
    <w:p w14:paraId="185D77D0"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lastRenderedPageBreak/>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毛果云香碱、</w:t>
      </w:r>
      <w:proofErr w:type="gramStart"/>
      <w:r w:rsidRPr="00534EC2">
        <w:rPr>
          <w:rFonts w:ascii="宋体" w:eastAsia="宋体" w:hAnsi="宋体" w:cs="Times New Roman" w:hint="eastAsia"/>
          <w:sz w:val="24"/>
          <w:szCs w:val="24"/>
        </w:rPr>
        <w:t>溴新斯</w:t>
      </w:r>
      <w:proofErr w:type="gramEnd"/>
      <w:r w:rsidRPr="00534EC2">
        <w:rPr>
          <w:rFonts w:ascii="宋体" w:eastAsia="宋体" w:hAnsi="宋体" w:cs="Times New Roman" w:hint="eastAsia"/>
          <w:sz w:val="24"/>
          <w:szCs w:val="24"/>
        </w:rPr>
        <w:t>的明、阿托品、东莨菪碱、山莨菪碱、</w:t>
      </w:r>
      <w:proofErr w:type="gramStart"/>
      <w:r w:rsidRPr="00534EC2">
        <w:rPr>
          <w:rFonts w:ascii="宋体" w:eastAsia="宋体" w:hAnsi="宋体" w:cs="Times New Roman" w:hint="eastAsia"/>
          <w:sz w:val="24"/>
          <w:szCs w:val="24"/>
        </w:rPr>
        <w:t>樟</w:t>
      </w:r>
      <w:proofErr w:type="gramEnd"/>
      <w:r w:rsidRPr="00534EC2">
        <w:rPr>
          <w:rFonts w:ascii="宋体" w:eastAsia="宋体" w:hAnsi="宋体" w:cs="Times New Roman" w:hint="eastAsia"/>
          <w:sz w:val="24"/>
          <w:szCs w:val="24"/>
        </w:rPr>
        <w:t>柳碱的结构、理化性质及用途；</w:t>
      </w:r>
    </w:p>
    <w:p w14:paraId="54CA1C96" w14:textId="77777777" w:rsidR="00534EC2" w:rsidRPr="00534EC2" w:rsidRDefault="00534EC2" w:rsidP="00D225FF">
      <w:pPr>
        <w:spacing w:line="440" w:lineRule="exact"/>
        <w:ind w:firstLineChars="200" w:firstLine="480"/>
        <w:rPr>
          <w:rFonts w:ascii="宋体" w:eastAsia="宋体" w:hAnsi="宋体" w:cs="Times New Roman"/>
          <w:b/>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莨菪类药物</w:t>
      </w:r>
      <w:proofErr w:type="gramStart"/>
      <w:r w:rsidRPr="00534EC2">
        <w:rPr>
          <w:rFonts w:ascii="宋体" w:eastAsia="宋体" w:hAnsi="宋体" w:cs="Times New Roman" w:hint="eastAsia"/>
          <w:sz w:val="24"/>
          <w:szCs w:val="24"/>
        </w:rPr>
        <w:t>的构效关系</w:t>
      </w:r>
      <w:proofErr w:type="gramEnd"/>
      <w:r w:rsidRPr="00534EC2">
        <w:rPr>
          <w:rFonts w:ascii="宋体" w:eastAsia="宋体" w:hAnsi="宋体" w:cs="Times New Roman" w:hint="eastAsia"/>
          <w:sz w:val="24"/>
          <w:szCs w:val="24"/>
        </w:rPr>
        <w:t>。</w:t>
      </w:r>
    </w:p>
    <w:p w14:paraId="68B77EE8"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628C7102" w14:textId="77777777" w:rsidR="00534EC2" w:rsidRPr="00534EC2" w:rsidRDefault="00534EC2" w:rsidP="00D225FF">
      <w:pPr>
        <w:spacing w:line="440" w:lineRule="exact"/>
        <w:ind w:firstLineChars="200" w:firstLine="480"/>
        <w:rPr>
          <w:rFonts w:ascii="宋体" w:eastAsia="宋体" w:hAnsi="宋体" w:cs="Times New Roman"/>
          <w:b/>
          <w:sz w:val="24"/>
          <w:szCs w:val="24"/>
        </w:rPr>
      </w:pPr>
      <w:r w:rsidRPr="00534EC2">
        <w:rPr>
          <w:rFonts w:ascii="宋体" w:eastAsia="宋体" w:hAnsi="宋体" w:cs="Times New Roman" w:hint="eastAsia"/>
          <w:sz w:val="24"/>
          <w:szCs w:val="24"/>
        </w:rPr>
        <w:t>1. 莨菪类药物</w:t>
      </w:r>
      <w:proofErr w:type="gramStart"/>
      <w:r w:rsidRPr="00534EC2">
        <w:rPr>
          <w:rFonts w:ascii="宋体" w:eastAsia="宋体" w:hAnsi="宋体" w:cs="Times New Roman" w:hint="eastAsia"/>
          <w:sz w:val="24"/>
          <w:szCs w:val="24"/>
        </w:rPr>
        <w:t>的构效关系</w:t>
      </w:r>
      <w:proofErr w:type="gramEnd"/>
      <w:r w:rsidRPr="00534EC2">
        <w:rPr>
          <w:rFonts w:ascii="宋体" w:eastAsia="宋体" w:hAnsi="宋体" w:cs="Times New Roman" w:hint="eastAsia"/>
          <w:sz w:val="24"/>
          <w:szCs w:val="24"/>
        </w:rPr>
        <w:t>。</w:t>
      </w:r>
    </w:p>
    <w:p w14:paraId="40D834B1"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【教学方法】</w:t>
      </w:r>
    </w:p>
    <w:p w14:paraId="416A316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21F64B15"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通过案例分析，强调理论与实践相结合，促进学生知识整合，培养学生的反思能力</w:t>
      </w:r>
    </w:p>
    <w:p w14:paraId="00AB387A"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【复习思考】</w:t>
      </w:r>
    </w:p>
    <w:p w14:paraId="43A25D9D"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乙酰胆碱不能直接用药的原因。</w:t>
      </w:r>
    </w:p>
    <w:p w14:paraId="46EE19D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生物碱类抗胆碱药物结构与中枢作用的关系。</w:t>
      </w:r>
    </w:p>
    <w:p w14:paraId="37622F30" w14:textId="77777777" w:rsidR="00534EC2" w:rsidRPr="00534EC2" w:rsidRDefault="00534EC2" w:rsidP="00D225FF">
      <w:pPr>
        <w:spacing w:line="440" w:lineRule="exact"/>
        <w:ind w:firstLineChars="200" w:firstLine="480"/>
        <w:rPr>
          <w:rFonts w:ascii="宋体" w:eastAsia="宋体" w:hAnsi="宋体" w:cs="Times New Roman"/>
          <w:b/>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新型抗胆碱酯酶药的开发方向,不可逆性乙酰胆碱酯酶抑制剂有哪些，如何解救。</w:t>
      </w:r>
    </w:p>
    <w:p w14:paraId="4CB9155C" w14:textId="77777777" w:rsidR="00534EC2" w:rsidRPr="00534EC2" w:rsidRDefault="00534EC2" w:rsidP="00D225FF">
      <w:pPr>
        <w:spacing w:beforeLines="50" w:before="156" w:afterLines="50" w:after="156" w:line="440" w:lineRule="exact"/>
        <w:ind w:firstLineChars="200" w:firstLine="482"/>
        <w:jc w:val="center"/>
        <w:rPr>
          <w:rFonts w:ascii="宋体" w:eastAsia="宋体" w:hAnsi="宋体" w:cs="Times New Roman"/>
          <w:b/>
          <w:sz w:val="24"/>
          <w:szCs w:val="24"/>
        </w:rPr>
      </w:pPr>
      <w:r w:rsidRPr="00534EC2">
        <w:rPr>
          <w:rFonts w:ascii="宋体" w:eastAsia="宋体" w:hAnsi="宋体" w:cs="Times New Roman" w:hint="eastAsia"/>
          <w:b/>
          <w:sz w:val="24"/>
          <w:szCs w:val="24"/>
        </w:rPr>
        <w:t>第十章  抗变态反应药物</w:t>
      </w:r>
    </w:p>
    <w:p w14:paraId="73754ADA"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75C584A1"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认知类目标：了解H1受体拮抗</w:t>
      </w:r>
      <w:proofErr w:type="gramStart"/>
      <w:r w:rsidRPr="00534EC2">
        <w:rPr>
          <w:rFonts w:ascii="宋体" w:eastAsia="宋体" w:hAnsi="宋体" w:cs="Times New Roman" w:hint="eastAsia"/>
          <w:sz w:val="24"/>
          <w:szCs w:val="24"/>
        </w:rPr>
        <w:t>剂及其他抗</w:t>
      </w:r>
      <w:proofErr w:type="gramEnd"/>
      <w:r w:rsidRPr="00534EC2">
        <w:rPr>
          <w:rFonts w:ascii="宋体" w:eastAsia="宋体" w:hAnsi="宋体" w:cs="Times New Roman" w:hint="eastAsia"/>
          <w:sz w:val="24"/>
          <w:szCs w:val="24"/>
        </w:rPr>
        <w:t>过敏药物的发展概况；熟悉</w:t>
      </w:r>
      <w:proofErr w:type="gramStart"/>
      <w:r w:rsidRPr="00534EC2">
        <w:rPr>
          <w:rFonts w:ascii="宋体" w:eastAsia="宋体" w:hAnsi="宋体" w:cs="Times New Roman" w:hint="eastAsia"/>
          <w:sz w:val="24"/>
          <w:szCs w:val="24"/>
        </w:rPr>
        <w:t>盐酸赛庚啶、氯雷他</w:t>
      </w:r>
      <w:proofErr w:type="gramEnd"/>
      <w:r w:rsidRPr="00534EC2">
        <w:rPr>
          <w:rFonts w:ascii="宋体" w:eastAsia="宋体" w:hAnsi="宋体" w:cs="Times New Roman" w:hint="eastAsia"/>
          <w:sz w:val="24"/>
          <w:szCs w:val="24"/>
        </w:rPr>
        <w:t>定的结构、理化性质和用途。</w:t>
      </w:r>
    </w:p>
    <w:p w14:paraId="357E030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过程与方法类目标：掌握组胺H1受体拮抗剂的结构类型；盐酸苯海拉明、盐酸</w:t>
      </w:r>
      <w:proofErr w:type="gramStart"/>
      <w:r w:rsidRPr="00534EC2">
        <w:rPr>
          <w:rFonts w:ascii="宋体" w:eastAsia="宋体" w:hAnsi="宋体" w:cs="Times New Roman" w:hint="eastAsia"/>
          <w:sz w:val="24"/>
          <w:szCs w:val="24"/>
        </w:rPr>
        <w:t>西替利嗪</w:t>
      </w:r>
      <w:proofErr w:type="gramEnd"/>
      <w:r w:rsidRPr="00534EC2">
        <w:rPr>
          <w:rFonts w:ascii="宋体" w:eastAsia="宋体" w:hAnsi="宋体" w:cs="Times New Roman" w:hint="eastAsia"/>
          <w:sz w:val="24"/>
          <w:szCs w:val="24"/>
        </w:rPr>
        <w:t>、马来酸</w:t>
      </w:r>
      <w:proofErr w:type="gramStart"/>
      <w:r w:rsidRPr="00534EC2">
        <w:rPr>
          <w:rFonts w:ascii="宋体" w:eastAsia="宋体" w:hAnsi="宋体" w:cs="Times New Roman" w:hint="eastAsia"/>
          <w:sz w:val="24"/>
          <w:szCs w:val="24"/>
        </w:rPr>
        <w:t>氯苯那敏的</w:t>
      </w:r>
      <w:proofErr w:type="gramEnd"/>
      <w:r w:rsidRPr="00534EC2">
        <w:rPr>
          <w:rFonts w:ascii="宋体" w:eastAsia="宋体" w:hAnsi="宋体" w:cs="Times New Roman" w:hint="eastAsia"/>
          <w:sz w:val="24"/>
          <w:szCs w:val="24"/>
        </w:rPr>
        <w:t>结构、理化性质和用途。</w:t>
      </w:r>
    </w:p>
    <w:p w14:paraId="3E463A92" w14:textId="77777777" w:rsidR="00534EC2" w:rsidRPr="00534EC2" w:rsidRDefault="00534EC2" w:rsidP="00D225FF">
      <w:pPr>
        <w:spacing w:line="360" w:lineRule="auto"/>
        <w:ind w:firstLineChars="200" w:firstLine="480"/>
        <w:rPr>
          <w:rFonts w:ascii="Times New Roman" w:eastAsia="宋体" w:hAnsi="Times New Roman" w:cs="Times New Roman"/>
          <w:sz w:val="24"/>
          <w:szCs w:val="24"/>
        </w:rPr>
      </w:pPr>
      <w:r w:rsidRPr="00534EC2">
        <w:rPr>
          <w:rFonts w:ascii="宋体" w:eastAsia="宋体" w:hAnsi="宋体" w:cs="Times New Roman" w:hint="eastAsia"/>
          <w:sz w:val="24"/>
          <w:szCs w:val="24"/>
        </w:rPr>
        <w:t>3. 情感、态度、价值观类目标：</w:t>
      </w:r>
      <w:r w:rsidRPr="00534EC2">
        <w:rPr>
          <w:rFonts w:ascii="Times New Roman" w:eastAsia="宋体" w:hAnsi="Times New Roman" w:cs="Times New Roman"/>
          <w:sz w:val="24"/>
          <w:szCs w:val="24"/>
        </w:rPr>
        <w:t>培养学生的知识产权保护意识</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sz w:val="24"/>
          <w:szCs w:val="24"/>
        </w:rPr>
        <w:t>辩证的哲学思维</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sz w:val="24"/>
          <w:szCs w:val="24"/>
        </w:rPr>
        <w:t>责任感和社会公德</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sz w:val="24"/>
          <w:szCs w:val="24"/>
        </w:rPr>
        <w:t>新发展理念、可持续发展意识</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sz w:val="24"/>
          <w:szCs w:val="24"/>
        </w:rPr>
        <w:t>学习科学家刻苦钻研的精神</w:t>
      </w:r>
      <w:r w:rsidRPr="00534EC2">
        <w:rPr>
          <w:rFonts w:ascii="Times New Roman" w:eastAsia="宋体" w:hAnsi="Times New Roman" w:cs="Times New Roman" w:hint="eastAsia"/>
          <w:sz w:val="24"/>
          <w:szCs w:val="24"/>
        </w:rPr>
        <w:t>。</w:t>
      </w:r>
    </w:p>
    <w:p w14:paraId="2741BA86"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【学习内容】</w:t>
      </w:r>
    </w:p>
    <w:p w14:paraId="1F9D6519"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组胺H1受体拮抗剂和抗变态反应药物</w:t>
      </w:r>
    </w:p>
    <w:p w14:paraId="743C2F5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过敏介质与抗变态反应药物</w:t>
      </w:r>
    </w:p>
    <w:p w14:paraId="43F04251"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【重点】</w:t>
      </w:r>
    </w:p>
    <w:p w14:paraId="732CFC0F"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H1受体拮抗剂的结构类型及代表药物盐酸苯海拉明、马来酸</w:t>
      </w:r>
      <w:proofErr w:type="gramStart"/>
      <w:r w:rsidRPr="00534EC2">
        <w:rPr>
          <w:rFonts w:ascii="宋体" w:eastAsia="宋体" w:hAnsi="宋体" w:cs="Times New Roman" w:hint="eastAsia"/>
          <w:sz w:val="24"/>
          <w:szCs w:val="24"/>
        </w:rPr>
        <w:t>氯苯那敏的</w:t>
      </w:r>
      <w:proofErr w:type="gramEnd"/>
      <w:r w:rsidRPr="00534EC2">
        <w:rPr>
          <w:rFonts w:ascii="宋体" w:eastAsia="宋体" w:hAnsi="宋体" w:cs="Times New Roman" w:hint="eastAsia"/>
          <w:sz w:val="24"/>
          <w:szCs w:val="24"/>
        </w:rPr>
        <w:t>化学名、结构、理化性质和用途；</w:t>
      </w:r>
    </w:p>
    <w:p w14:paraId="1FCEB51A"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非镇静H</w:t>
      </w:r>
      <w:r w:rsidRPr="00534EC2">
        <w:rPr>
          <w:rFonts w:ascii="宋体" w:eastAsia="宋体" w:hAnsi="宋体" w:cs="Times New Roman" w:hint="eastAsia"/>
          <w:sz w:val="24"/>
          <w:szCs w:val="24"/>
          <w:vertAlign w:val="subscript"/>
        </w:rPr>
        <w:t>1</w:t>
      </w:r>
      <w:r w:rsidRPr="00534EC2">
        <w:rPr>
          <w:rFonts w:ascii="宋体" w:eastAsia="宋体" w:hAnsi="宋体" w:cs="Times New Roman" w:hint="eastAsia"/>
          <w:sz w:val="24"/>
          <w:szCs w:val="24"/>
        </w:rPr>
        <w:t>受体拮抗</w:t>
      </w:r>
      <w:proofErr w:type="gramStart"/>
      <w:r w:rsidRPr="00534EC2">
        <w:rPr>
          <w:rFonts w:ascii="宋体" w:eastAsia="宋体" w:hAnsi="宋体" w:cs="Times New Roman" w:hint="eastAsia"/>
          <w:sz w:val="24"/>
          <w:szCs w:val="24"/>
        </w:rPr>
        <w:t>剂作用</w:t>
      </w:r>
      <w:proofErr w:type="gramEnd"/>
      <w:r w:rsidRPr="00534EC2">
        <w:rPr>
          <w:rFonts w:ascii="宋体" w:eastAsia="宋体" w:hAnsi="宋体" w:cs="Times New Roman" w:hint="eastAsia"/>
          <w:sz w:val="24"/>
          <w:szCs w:val="24"/>
        </w:rPr>
        <w:t>特点。</w:t>
      </w:r>
    </w:p>
    <w:p w14:paraId="58065E6A"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lastRenderedPageBreak/>
        <w:t>【难点】</w:t>
      </w:r>
    </w:p>
    <w:p w14:paraId="0760FCA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非镇静H</w:t>
      </w:r>
      <w:r w:rsidRPr="00534EC2">
        <w:rPr>
          <w:rFonts w:ascii="宋体" w:eastAsia="宋体" w:hAnsi="宋体" w:cs="Times New Roman" w:hint="eastAsia"/>
          <w:sz w:val="24"/>
          <w:szCs w:val="24"/>
          <w:vertAlign w:val="subscript"/>
        </w:rPr>
        <w:t>1</w:t>
      </w:r>
      <w:r w:rsidRPr="00534EC2">
        <w:rPr>
          <w:rFonts w:ascii="宋体" w:eastAsia="宋体" w:hAnsi="宋体" w:cs="Times New Roman" w:hint="eastAsia"/>
          <w:sz w:val="24"/>
          <w:szCs w:val="24"/>
        </w:rPr>
        <w:t>受体拮抗</w:t>
      </w:r>
      <w:proofErr w:type="gramStart"/>
      <w:r w:rsidRPr="00534EC2">
        <w:rPr>
          <w:rFonts w:ascii="宋体" w:eastAsia="宋体" w:hAnsi="宋体" w:cs="Times New Roman" w:hint="eastAsia"/>
          <w:sz w:val="24"/>
          <w:szCs w:val="24"/>
        </w:rPr>
        <w:t>剂作用</w:t>
      </w:r>
      <w:proofErr w:type="gramEnd"/>
      <w:r w:rsidRPr="00534EC2">
        <w:rPr>
          <w:rFonts w:ascii="宋体" w:eastAsia="宋体" w:hAnsi="宋体" w:cs="Times New Roman" w:hint="eastAsia"/>
          <w:sz w:val="24"/>
          <w:szCs w:val="24"/>
        </w:rPr>
        <w:t>特点。</w:t>
      </w:r>
    </w:p>
    <w:p w14:paraId="2EC9349D"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【教学方法】</w:t>
      </w:r>
    </w:p>
    <w:p w14:paraId="77F4295F"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6CE42682" w14:textId="77777777" w:rsidR="00534EC2" w:rsidRPr="00534EC2" w:rsidRDefault="00534EC2" w:rsidP="00D225FF">
      <w:pPr>
        <w:spacing w:line="360" w:lineRule="auto"/>
        <w:ind w:firstLineChars="200" w:firstLine="480"/>
        <w:rPr>
          <w:rFonts w:ascii="Times New Roman" w:eastAsia="宋体" w:hAnsi="Times New Roman"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通过案例分析，</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sz w:val="24"/>
          <w:szCs w:val="24"/>
        </w:rPr>
        <w:t>白加黑</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sz w:val="24"/>
          <w:szCs w:val="24"/>
        </w:rPr>
        <w:t>的黑片里什么成分</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sz w:val="24"/>
          <w:szCs w:val="24"/>
        </w:rPr>
        <w:t>让夜里睡得香</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sz w:val="24"/>
          <w:szCs w:val="24"/>
        </w:rPr>
        <w:t>镇静安眠其实是苯海拉明的副作用，但转变思路可以变成</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sz w:val="24"/>
          <w:szCs w:val="24"/>
        </w:rPr>
        <w:t>睡得香</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sz w:val="24"/>
          <w:szCs w:val="24"/>
        </w:rPr>
        <w:t>的优点，培养学生辩证的哲学思维。在苯海拉明中引入兴奋作用药物，同样可以减少嗜睡副作用，可以扩展学生思维使其不再局限在结构改造方面，认识到可以通过相反效应的药物制成复方达到同样的目的。学习伪麻黄碱的药理作用</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sz w:val="24"/>
          <w:szCs w:val="24"/>
        </w:rPr>
        <w:t>了解国家针对毒、精、麻药品的管理规定，培养学生的法律意识，培养学生责任感和社会公德。</w:t>
      </w:r>
      <w:r w:rsidRPr="00534EC2">
        <w:rPr>
          <w:rFonts w:ascii="Times New Roman" w:eastAsia="宋体" w:hAnsi="Times New Roman" w:cs="Times New Roman" w:hint="eastAsia"/>
          <w:sz w:val="24"/>
          <w:szCs w:val="24"/>
        </w:rPr>
        <w:t>通过伪麻黄碱来源</w:t>
      </w:r>
      <w:r w:rsidRPr="00534EC2">
        <w:rPr>
          <w:rFonts w:ascii="Times New Roman" w:eastAsia="宋体" w:hAnsi="Times New Roman" w:cs="Times New Roman"/>
          <w:sz w:val="24"/>
          <w:szCs w:val="24"/>
        </w:rPr>
        <w:t>可以让学生了解中医中药，培养学生的民族自豪感</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sz w:val="24"/>
          <w:szCs w:val="24"/>
        </w:rPr>
        <w:t>了解陈克恢先生在</w:t>
      </w:r>
      <w:proofErr w:type="gramStart"/>
      <w:r w:rsidRPr="00534EC2">
        <w:rPr>
          <w:rFonts w:ascii="Times New Roman" w:eastAsia="宋体" w:hAnsi="Times New Roman" w:cs="Times New Roman"/>
          <w:sz w:val="24"/>
          <w:szCs w:val="24"/>
        </w:rPr>
        <w:t>麻黄碱抗哮喘</w:t>
      </w:r>
      <w:proofErr w:type="gramEnd"/>
      <w:r w:rsidRPr="00534EC2">
        <w:rPr>
          <w:rFonts w:ascii="Times New Roman" w:eastAsia="宋体" w:hAnsi="Times New Roman" w:cs="Times New Roman"/>
          <w:sz w:val="24"/>
          <w:szCs w:val="24"/>
        </w:rPr>
        <w:t>方面</w:t>
      </w:r>
      <w:proofErr w:type="gramStart"/>
      <w:r w:rsidRPr="00534EC2">
        <w:rPr>
          <w:rFonts w:ascii="Times New Roman" w:eastAsia="宋体" w:hAnsi="Times New Roman" w:cs="Times New Roman"/>
          <w:sz w:val="24"/>
          <w:szCs w:val="24"/>
        </w:rPr>
        <w:t>作出</w:t>
      </w:r>
      <w:proofErr w:type="gramEnd"/>
      <w:r w:rsidRPr="00534EC2">
        <w:rPr>
          <w:rFonts w:ascii="Times New Roman" w:eastAsia="宋体" w:hAnsi="Times New Roman" w:cs="Times New Roman"/>
          <w:sz w:val="24"/>
          <w:szCs w:val="24"/>
        </w:rPr>
        <w:t>的贡献，学习科学家刻苦钻研的精神</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sz w:val="24"/>
          <w:szCs w:val="24"/>
        </w:rPr>
        <w:t>同时还可以培养学生的新发展理念、可持续发展意识。</w:t>
      </w:r>
    </w:p>
    <w:p w14:paraId="07A632F4"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【复习思考】</w:t>
      </w:r>
    </w:p>
    <w:p w14:paraId="0DFD798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Times New Roman" w:eastAsia="宋体" w:hAnsi="Times New Roman" w:cs="Times New Roman" w:hint="eastAsia"/>
          <w:szCs w:val="24"/>
        </w:rPr>
        <w:t xml:space="preserve"> </w:t>
      </w:r>
      <w:r w:rsidRPr="00534EC2">
        <w:rPr>
          <w:rFonts w:ascii="宋体" w:eastAsia="宋体" w:hAnsi="宋体" w:cs="Times New Roman" w:hint="eastAsia"/>
          <w:sz w:val="24"/>
          <w:szCs w:val="24"/>
        </w:rPr>
        <w:t>非经典的抗过敏药如何设计的？</w:t>
      </w:r>
    </w:p>
    <w:p w14:paraId="502B32E9" w14:textId="77777777" w:rsidR="00534EC2" w:rsidRPr="00534EC2" w:rsidRDefault="00534EC2" w:rsidP="00D225FF">
      <w:pPr>
        <w:spacing w:line="440" w:lineRule="exact"/>
        <w:ind w:firstLineChars="200" w:firstLine="482"/>
        <w:jc w:val="center"/>
        <w:rPr>
          <w:rFonts w:ascii="宋体" w:eastAsia="宋体" w:hAnsi="宋体" w:cs="Times New Roman"/>
          <w:b/>
          <w:sz w:val="24"/>
          <w:szCs w:val="24"/>
        </w:rPr>
      </w:pPr>
      <w:r w:rsidRPr="00534EC2">
        <w:rPr>
          <w:rFonts w:ascii="宋体" w:eastAsia="宋体" w:hAnsi="宋体" w:cs="Times New Roman" w:hint="eastAsia"/>
          <w:b/>
          <w:sz w:val="24"/>
          <w:szCs w:val="24"/>
        </w:rPr>
        <w:t>第十一章  消化系统药</w:t>
      </w:r>
    </w:p>
    <w:p w14:paraId="244D07D0"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3A31710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认知类目标：了解H2受体拮抗</w:t>
      </w:r>
      <w:proofErr w:type="gramStart"/>
      <w:r w:rsidRPr="00534EC2">
        <w:rPr>
          <w:rFonts w:ascii="宋体" w:eastAsia="宋体" w:hAnsi="宋体" w:cs="Times New Roman" w:hint="eastAsia"/>
          <w:sz w:val="24"/>
          <w:szCs w:val="24"/>
        </w:rPr>
        <w:t>剂及其他抗溃荡药</w:t>
      </w:r>
      <w:proofErr w:type="gramEnd"/>
      <w:r w:rsidRPr="00534EC2">
        <w:rPr>
          <w:rFonts w:ascii="宋体" w:eastAsia="宋体" w:hAnsi="宋体" w:cs="Times New Roman" w:hint="eastAsia"/>
          <w:sz w:val="24"/>
          <w:szCs w:val="24"/>
        </w:rPr>
        <w:t>的发展和对新药研究的意义；</w:t>
      </w:r>
      <w:proofErr w:type="gramStart"/>
      <w:r w:rsidRPr="00534EC2">
        <w:rPr>
          <w:rFonts w:ascii="宋体" w:eastAsia="宋体" w:hAnsi="宋体" w:cs="Times New Roman" w:hint="eastAsia"/>
          <w:sz w:val="24"/>
          <w:szCs w:val="24"/>
        </w:rPr>
        <w:t>熟悉西</w:t>
      </w:r>
      <w:proofErr w:type="gramEnd"/>
      <w:r w:rsidRPr="00534EC2">
        <w:rPr>
          <w:rFonts w:ascii="宋体" w:eastAsia="宋体" w:hAnsi="宋体" w:cs="Times New Roman" w:hint="eastAsia"/>
          <w:sz w:val="24"/>
          <w:szCs w:val="24"/>
        </w:rPr>
        <w:t>米替丁和</w:t>
      </w:r>
      <w:proofErr w:type="gramStart"/>
      <w:r w:rsidRPr="00534EC2">
        <w:rPr>
          <w:rFonts w:ascii="宋体" w:eastAsia="宋体" w:hAnsi="宋体" w:cs="Times New Roman" w:hint="eastAsia"/>
          <w:sz w:val="24"/>
          <w:szCs w:val="24"/>
        </w:rPr>
        <w:t>奥美</w:t>
      </w:r>
      <w:proofErr w:type="gramEnd"/>
      <w:r w:rsidRPr="00534EC2">
        <w:rPr>
          <w:rFonts w:ascii="宋体" w:eastAsia="宋体" w:hAnsi="宋体" w:cs="Times New Roman" w:hint="eastAsia"/>
          <w:sz w:val="24"/>
          <w:szCs w:val="24"/>
        </w:rPr>
        <w:t>拉</w:t>
      </w:r>
      <w:proofErr w:type="gramStart"/>
      <w:r w:rsidRPr="00534EC2">
        <w:rPr>
          <w:rFonts w:ascii="宋体" w:eastAsia="宋体" w:hAnsi="宋体" w:cs="Times New Roman" w:hint="eastAsia"/>
          <w:sz w:val="24"/>
          <w:szCs w:val="24"/>
        </w:rPr>
        <w:t>唑</w:t>
      </w:r>
      <w:proofErr w:type="gramEnd"/>
      <w:r w:rsidRPr="00534EC2">
        <w:rPr>
          <w:rFonts w:ascii="宋体" w:eastAsia="宋体" w:hAnsi="宋体" w:cs="Times New Roman" w:hint="eastAsia"/>
          <w:sz w:val="24"/>
          <w:szCs w:val="24"/>
        </w:rPr>
        <w:t>的合成路线。</w:t>
      </w:r>
    </w:p>
    <w:p w14:paraId="15C9274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过程与方法类目标：掌握抗溃疡药物的结构类型和作用机制；掌握西</w:t>
      </w:r>
      <w:proofErr w:type="gramStart"/>
      <w:r w:rsidRPr="00534EC2">
        <w:rPr>
          <w:rFonts w:ascii="宋体" w:eastAsia="宋体" w:hAnsi="宋体" w:cs="Times New Roman" w:hint="eastAsia"/>
          <w:sz w:val="24"/>
          <w:szCs w:val="24"/>
        </w:rPr>
        <w:t>咪</w:t>
      </w:r>
      <w:proofErr w:type="gramEnd"/>
      <w:r w:rsidRPr="00534EC2">
        <w:rPr>
          <w:rFonts w:ascii="宋体" w:eastAsia="宋体" w:hAnsi="宋体" w:cs="Times New Roman" w:hint="eastAsia"/>
          <w:sz w:val="24"/>
          <w:szCs w:val="24"/>
        </w:rPr>
        <w:t>替丁、雷尼替丁、法莫替丁和</w:t>
      </w:r>
      <w:proofErr w:type="gramStart"/>
      <w:r w:rsidRPr="00534EC2">
        <w:rPr>
          <w:rFonts w:ascii="宋体" w:eastAsia="宋体" w:hAnsi="宋体" w:cs="Times New Roman" w:hint="eastAsia"/>
          <w:sz w:val="24"/>
          <w:szCs w:val="24"/>
        </w:rPr>
        <w:t>奥美</w:t>
      </w:r>
      <w:proofErr w:type="gramEnd"/>
      <w:r w:rsidRPr="00534EC2">
        <w:rPr>
          <w:rFonts w:ascii="宋体" w:eastAsia="宋体" w:hAnsi="宋体" w:cs="Times New Roman" w:hint="eastAsia"/>
          <w:sz w:val="24"/>
          <w:szCs w:val="24"/>
        </w:rPr>
        <w:t>拉</w:t>
      </w:r>
      <w:proofErr w:type="gramStart"/>
      <w:r w:rsidRPr="00534EC2">
        <w:rPr>
          <w:rFonts w:ascii="宋体" w:eastAsia="宋体" w:hAnsi="宋体" w:cs="Times New Roman" w:hint="eastAsia"/>
          <w:sz w:val="24"/>
          <w:szCs w:val="24"/>
        </w:rPr>
        <w:t>唑</w:t>
      </w:r>
      <w:proofErr w:type="gramEnd"/>
      <w:r w:rsidRPr="00534EC2">
        <w:rPr>
          <w:rFonts w:ascii="宋体" w:eastAsia="宋体" w:hAnsi="宋体" w:cs="Times New Roman" w:hint="eastAsia"/>
          <w:sz w:val="24"/>
          <w:szCs w:val="24"/>
        </w:rPr>
        <w:t>的结构、化学名称、理化性质、体内代谢及用途。</w:t>
      </w:r>
    </w:p>
    <w:p w14:paraId="60F4A88E"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 情感、态度、价值观类目标：宣扬科学家坚持不懈、乐于奉献和勇于创新的精神，培养学生爱岗敬业、诚实守信的职业精神，树立正确的人生观、价值观。</w:t>
      </w:r>
    </w:p>
    <w:p w14:paraId="24F340A8"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【学习内容】</w:t>
      </w:r>
    </w:p>
    <w:p w14:paraId="2304242E"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组胺H2受体拮抗剂和抗溃疡药物</w:t>
      </w:r>
    </w:p>
    <w:p w14:paraId="70ECC68F"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质子泵抑制剂</w:t>
      </w:r>
    </w:p>
    <w:p w14:paraId="468A5196"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【重点】</w:t>
      </w:r>
    </w:p>
    <w:p w14:paraId="4368C83A"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抗溃疡药物的结构类型和作用机制；</w:t>
      </w:r>
    </w:p>
    <w:p w14:paraId="25D61FA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西</w:t>
      </w:r>
      <w:proofErr w:type="gramStart"/>
      <w:r w:rsidRPr="00534EC2">
        <w:rPr>
          <w:rFonts w:ascii="宋体" w:eastAsia="宋体" w:hAnsi="宋体" w:cs="Times New Roman" w:hint="eastAsia"/>
          <w:sz w:val="24"/>
          <w:szCs w:val="24"/>
        </w:rPr>
        <w:t>咪</w:t>
      </w:r>
      <w:proofErr w:type="gramEnd"/>
      <w:r w:rsidRPr="00534EC2">
        <w:rPr>
          <w:rFonts w:ascii="宋体" w:eastAsia="宋体" w:hAnsi="宋体" w:cs="Times New Roman" w:hint="eastAsia"/>
          <w:sz w:val="24"/>
          <w:szCs w:val="24"/>
        </w:rPr>
        <w:t>替丁、雷尼替丁、法莫替丁、奥美拉</w:t>
      </w:r>
      <w:proofErr w:type="gramStart"/>
      <w:r w:rsidRPr="00534EC2">
        <w:rPr>
          <w:rFonts w:ascii="宋体" w:eastAsia="宋体" w:hAnsi="宋体" w:cs="Times New Roman" w:hint="eastAsia"/>
          <w:sz w:val="24"/>
          <w:szCs w:val="24"/>
        </w:rPr>
        <w:t>唑</w:t>
      </w:r>
      <w:proofErr w:type="gramEnd"/>
      <w:r w:rsidRPr="00534EC2">
        <w:rPr>
          <w:rFonts w:ascii="宋体" w:eastAsia="宋体" w:hAnsi="宋体" w:cs="Times New Roman" w:hint="eastAsia"/>
          <w:sz w:val="24"/>
          <w:szCs w:val="24"/>
        </w:rPr>
        <w:t>的化学名、结构、理化性质和用途。</w:t>
      </w:r>
    </w:p>
    <w:p w14:paraId="2289278E"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02BF3CEB" w14:textId="77777777" w:rsidR="00534EC2" w:rsidRPr="00534EC2" w:rsidRDefault="00534EC2" w:rsidP="00D225FF">
      <w:pPr>
        <w:spacing w:line="440" w:lineRule="exact"/>
        <w:ind w:firstLineChars="200" w:firstLine="480"/>
        <w:rPr>
          <w:rFonts w:ascii="宋体" w:eastAsia="宋体" w:hAnsi="宋体" w:cs="Times New Roman"/>
          <w:b/>
          <w:sz w:val="24"/>
          <w:szCs w:val="24"/>
        </w:rPr>
      </w:pPr>
      <w:r w:rsidRPr="00534EC2">
        <w:rPr>
          <w:rFonts w:ascii="宋体" w:eastAsia="宋体" w:hAnsi="宋体" w:cs="Times New Roman" w:hint="eastAsia"/>
          <w:sz w:val="24"/>
          <w:szCs w:val="24"/>
        </w:rPr>
        <w:lastRenderedPageBreak/>
        <w:t>1. 抗溃疡药物的结构类型和作用机制</w:t>
      </w:r>
      <w:r w:rsidRPr="00534EC2">
        <w:rPr>
          <w:rFonts w:ascii="宋体" w:eastAsia="宋体" w:hAnsi="宋体" w:cs="Times New Roman" w:hint="eastAsia"/>
          <w:b/>
          <w:sz w:val="24"/>
          <w:szCs w:val="24"/>
        </w:rPr>
        <w:t>。</w:t>
      </w:r>
    </w:p>
    <w:p w14:paraId="7D90BE09"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【教学方法】</w:t>
      </w:r>
    </w:p>
    <w:p w14:paraId="34D7681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46C11ED6"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通过案例教学，Black博士及其团队成功开发第一个H受体拮抗剂，宣扬科学家坚持不懈、乐于奉献和勇于创新的精神，培养学生爱岗敬业、诚实守信的职业精神，树立正确的人生观、价值观。</w:t>
      </w:r>
    </w:p>
    <w:p w14:paraId="79C8C178" w14:textId="77777777" w:rsidR="00534EC2" w:rsidRPr="00534EC2" w:rsidRDefault="00534EC2" w:rsidP="00D225FF">
      <w:pPr>
        <w:spacing w:line="440" w:lineRule="exact"/>
        <w:ind w:firstLineChars="200" w:firstLine="482"/>
        <w:rPr>
          <w:rFonts w:ascii="宋体" w:eastAsia="宋体" w:hAnsi="宋体" w:cs="Times New Roman"/>
          <w:sz w:val="24"/>
          <w:szCs w:val="24"/>
        </w:rPr>
      </w:pPr>
      <w:r w:rsidRPr="00534EC2">
        <w:rPr>
          <w:rFonts w:ascii="宋体" w:eastAsia="宋体" w:hAnsi="宋体" w:cs="Times New Roman" w:hint="eastAsia"/>
          <w:b/>
          <w:sz w:val="24"/>
          <w:szCs w:val="24"/>
        </w:rPr>
        <w:t>【复习思考】</w:t>
      </w:r>
    </w:p>
    <w:p w14:paraId="25B30E9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H2受体抑制剂的结构类型及代表药物。</w:t>
      </w:r>
    </w:p>
    <w:p w14:paraId="61442D71"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质子泵抑制剂的机理？</w:t>
      </w:r>
    </w:p>
    <w:p w14:paraId="0F903FCA" w14:textId="77777777" w:rsidR="00534EC2" w:rsidRPr="00534EC2" w:rsidRDefault="00534EC2" w:rsidP="00D225FF">
      <w:pPr>
        <w:spacing w:beforeLines="50" w:before="156" w:afterLines="50" w:after="156" w:line="440" w:lineRule="exact"/>
        <w:ind w:firstLineChars="200" w:firstLine="482"/>
        <w:jc w:val="center"/>
        <w:rPr>
          <w:rFonts w:ascii="宋体" w:eastAsia="宋体" w:hAnsi="宋体" w:cs="Times New Roman"/>
          <w:b/>
          <w:sz w:val="24"/>
          <w:szCs w:val="24"/>
        </w:rPr>
      </w:pPr>
      <w:r w:rsidRPr="00534EC2">
        <w:rPr>
          <w:rFonts w:ascii="宋体" w:eastAsia="宋体" w:hAnsi="宋体" w:cs="Times New Roman" w:hint="eastAsia"/>
          <w:b/>
          <w:sz w:val="24"/>
          <w:szCs w:val="24"/>
        </w:rPr>
        <w:t>第十三章  作用于肾上腺素能受体的药物</w:t>
      </w:r>
    </w:p>
    <w:p w14:paraId="2BEBE5E7" w14:textId="77777777" w:rsidR="00534EC2" w:rsidRPr="00534EC2" w:rsidRDefault="00534EC2" w:rsidP="00D225FF">
      <w:pPr>
        <w:spacing w:beforeLines="50" w:before="156" w:afterLines="50" w:after="156"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13DF8744"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认知类目标：了解拟肾上腺素药的发展；</w:t>
      </w:r>
      <w:proofErr w:type="gramStart"/>
      <w:r w:rsidRPr="00534EC2">
        <w:rPr>
          <w:rFonts w:ascii="宋体" w:eastAsia="宋体" w:hAnsi="宋体" w:cs="Times New Roman" w:hint="eastAsia"/>
          <w:sz w:val="24"/>
          <w:szCs w:val="24"/>
        </w:rPr>
        <w:t>熟悉拟</w:t>
      </w:r>
      <w:proofErr w:type="gramEnd"/>
      <w:r w:rsidRPr="00534EC2">
        <w:rPr>
          <w:rFonts w:ascii="宋体" w:eastAsia="宋体" w:hAnsi="宋体" w:cs="Times New Roman" w:hint="eastAsia"/>
          <w:sz w:val="24"/>
          <w:szCs w:val="24"/>
        </w:rPr>
        <w:t>肾上腺素类药</w:t>
      </w:r>
      <w:proofErr w:type="gramStart"/>
      <w:r w:rsidRPr="00534EC2">
        <w:rPr>
          <w:rFonts w:ascii="宋体" w:eastAsia="宋体" w:hAnsi="宋体" w:cs="Times New Roman" w:hint="eastAsia"/>
          <w:sz w:val="24"/>
          <w:szCs w:val="24"/>
        </w:rPr>
        <w:t>的构效关系</w:t>
      </w:r>
      <w:proofErr w:type="gramEnd"/>
      <w:r w:rsidRPr="00534EC2">
        <w:rPr>
          <w:rFonts w:ascii="宋体" w:eastAsia="宋体" w:hAnsi="宋体" w:cs="Times New Roman" w:hint="eastAsia"/>
          <w:sz w:val="24"/>
          <w:szCs w:val="24"/>
        </w:rPr>
        <w:t>；阿替</w:t>
      </w:r>
      <w:proofErr w:type="gramStart"/>
      <w:r w:rsidRPr="00534EC2">
        <w:rPr>
          <w:rFonts w:ascii="宋体" w:eastAsia="宋体" w:hAnsi="宋体" w:cs="Times New Roman" w:hint="eastAsia"/>
          <w:sz w:val="24"/>
          <w:szCs w:val="24"/>
        </w:rPr>
        <w:t>洛</w:t>
      </w:r>
      <w:proofErr w:type="gramEnd"/>
      <w:r w:rsidRPr="00534EC2">
        <w:rPr>
          <w:rFonts w:ascii="宋体" w:eastAsia="宋体" w:hAnsi="宋体" w:cs="Times New Roman" w:hint="eastAsia"/>
          <w:sz w:val="24"/>
          <w:szCs w:val="24"/>
        </w:rPr>
        <w:t>尔、拉贝洛尔的结构及应用。</w:t>
      </w:r>
    </w:p>
    <w:p w14:paraId="015505F6"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过程与方法类目标：掌握肾上腺素、多巴</w:t>
      </w:r>
      <w:proofErr w:type="gramStart"/>
      <w:r w:rsidRPr="00534EC2">
        <w:rPr>
          <w:rFonts w:ascii="宋体" w:eastAsia="宋体" w:hAnsi="宋体" w:cs="Times New Roman" w:hint="eastAsia"/>
          <w:sz w:val="24"/>
          <w:szCs w:val="24"/>
        </w:rPr>
        <w:t>酚</w:t>
      </w:r>
      <w:proofErr w:type="gramEnd"/>
      <w:r w:rsidRPr="00534EC2">
        <w:rPr>
          <w:rFonts w:ascii="宋体" w:eastAsia="宋体" w:hAnsi="宋体" w:cs="Times New Roman" w:hint="eastAsia"/>
          <w:sz w:val="24"/>
          <w:szCs w:val="24"/>
        </w:rPr>
        <w:t>丁胺、麻黄碱和沙丁胺醇的结构、性质及应用；β-受体阻滞剂的分类及各类药物的作用特点；β-受体拮抗剂普</w:t>
      </w:r>
      <w:proofErr w:type="gramStart"/>
      <w:r w:rsidRPr="00534EC2">
        <w:rPr>
          <w:rFonts w:ascii="宋体" w:eastAsia="宋体" w:hAnsi="宋体" w:cs="Times New Roman" w:hint="eastAsia"/>
          <w:sz w:val="24"/>
          <w:szCs w:val="24"/>
        </w:rPr>
        <w:t>萘</w:t>
      </w:r>
      <w:proofErr w:type="gramEnd"/>
      <w:r w:rsidRPr="00534EC2">
        <w:rPr>
          <w:rFonts w:ascii="宋体" w:eastAsia="宋体" w:hAnsi="宋体" w:cs="Times New Roman" w:hint="eastAsia"/>
          <w:sz w:val="24"/>
          <w:szCs w:val="24"/>
        </w:rPr>
        <w:t>洛尔结构、作用及合成</w:t>
      </w:r>
    </w:p>
    <w:p w14:paraId="35D2621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 情感、态度、价值观类目标：引导学生认识药物的双面性，树立正确的价值观，养成禁毒、</w:t>
      </w:r>
      <w:proofErr w:type="gramStart"/>
      <w:r w:rsidRPr="00534EC2">
        <w:rPr>
          <w:rFonts w:ascii="宋体" w:eastAsia="宋体" w:hAnsi="宋体" w:cs="Times New Roman" w:hint="eastAsia"/>
          <w:sz w:val="24"/>
          <w:szCs w:val="24"/>
        </w:rPr>
        <w:t>御毒的</w:t>
      </w:r>
      <w:proofErr w:type="gramEnd"/>
      <w:r w:rsidRPr="00534EC2">
        <w:rPr>
          <w:rFonts w:ascii="宋体" w:eastAsia="宋体" w:hAnsi="宋体" w:cs="Times New Roman" w:hint="eastAsia"/>
          <w:sz w:val="24"/>
          <w:szCs w:val="24"/>
        </w:rPr>
        <w:t>意识。</w:t>
      </w:r>
    </w:p>
    <w:p w14:paraId="63090CC1"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【学习内容】</w:t>
      </w:r>
    </w:p>
    <w:p w14:paraId="6D3B209A"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拟肾上腺素药物</w:t>
      </w:r>
    </w:p>
    <w:p w14:paraId="105EA1A5"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α受体激动剂</w:t>
      </w:r>
    </w:p>
    <w:p w14:paraId="196BE76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选择性β受体激动剂</w:t>
      </w:r>
    </w:p>
    <w:p w14:paraId="5B99E1B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4</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肾上腺素受体激动剂</w:t>
      </w:r>
      <w:proofErr w:type="gramStart"/>
      <w:r w:rsidRPr="00534EC2">
        <w:rPr>
          <w:rFonts w:ascii="宋体" w:eastAsia="宋体" w:hAnsi="宋体" w:cs="Times New Roman" w:hint="eastAsia"/>
          <w:sz w:val="24"/>
          <w:szCs w:val="24"/>
        </w:rPr>
        <w:t>的构效关系</w:t>
      </w:r>
      <w:proofErr w:type="gramEnd"/>
    </w:p>
    <w:p w14:paraId="39750E4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5</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β受体阻断剂</w:t>
      </w:r>
    </w:p>
    <w:p w14:paraId="5AB0DF94"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6</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β受体阻断剂</w:t>
      </w:r>
      <w:proofErr w:type="gramStart"/>
      <w:r w:rsidRPr="00534EC2">
        <w:rPr>
          <w:rFonts w:ascii="宋体" w:eastAsia="宋体" w:hAnsi="宋体" w:cs="Times New Roman" w:hint="eastAsia"/>
          <w:sz w:val="24"/>
          <w:szCs w:val="24"/>
        </w:rPr>
        <w:t>的构效关系</w:t>
      </w:r>
      <w:proofErr w:type="gramEnd"/>
    </w:p>
    <w:p w14:paraId="4E7E164B"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【重点】</w:t>
      </w:r>
    </w:p>
    <w:p w14:paraId="562A19CE"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肾上腺素、多巴</w:t>
      </w:r>
      <w:proofErr w:type="gramStart"/>
      <w:r w:rsidRPr="00534EC2">
        <w:rPr>
          <w:rFonts w:ascii="宋体" w:eastAsia="宋体" w:hAnsi="宋体" w:cs="Times New Roman" w:hint="eastAsia"/>
          <w:sz w:val="24"/>
          <w:szCs w:val="24"/>
        </w:rPr>
        <w:t>酚</w:t>
      </w:r>
      <w:proofErr w:type="gramEnd"/>
      <w:r w:rsidRPr="00534EC2">
        <w:rPr>
          <w:rFonts w:ascii="宋体" w:eastAsia="宋体" w:hAnsi="宋体" w:cs="Times New Roman" w:hint="eastAsia"/>
          <w:sz w:val="24"/>
          <w:szCs w:val="24"/>
        </w:rPr>
        <w:t>丁胺、麻黄碱、沙丁</w:t>
      </w:r>
      <w:proofErr w:type="gramStart"/>
      <w:r w:rsidRPr="00534EC2">
        <w:rPr>
          <w:rFonts w:ascii="宋体" w:eastAsia="宋体" w:hAnsi="宋体" w:cs="Times New Roman" w:hint="eastAsia"/>
          <w:sz w:val="24"/>
          <w:szCs w:val="24"/>
        </w:rPr>
        <w:t>胺</w:t>
      </w:r>
      <w:proofErr w:type="gramEnd"/>
      <w:r w:rsidRPr="00534EC2">
        <w:rPr>
          <w:rFonts w:ascii="宋体" w:eastAsia="宋体" w:hAnsi="宋体" w:cs="Times New Roman" w:hint="eastAsia"/>
          <w:sz w:val="24"/>
          <w:szCs w:val="24"/>
        </w:rPr>
        <w:t>醇和普</w:t>
      </w:r>
      <w:proofErr w:type="gramStart"/>
      <w:r w:rsidRPr="00534EC2">
        <w:rPr>
          <w:rFonts w:ascii="宋体" w:eastAsia="宋体" w:hAnsi="宋体" w:cs="Times New Roman" w:hint="eastAsia"/>
          <w:sz w:val="24"/>
          <w:szCs w:val="24"/>
        </w:rPr>
        <w:t>萘</w:t>
      </w:r>
      <w:proofErr w:type="gramEnd"/>
      <w:r w:rsidRPr="00534EC2">
        <w:rPr>
          <w:rFonts w:ascii="宋体" w:eastAsia="宋体" w:hAnsi="宋体" w:cs="Times New Roman" w:hint="eastAsia"/>
          <w:sz w:val="24"/>
          <w:szCs w:val="24"/>
        </w:rPr>
        <w:t>洛尔的结构、性质及应用。</w:t>
      </w:r>
    </w:p>
    <w:p w14:paraId="282CD685"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5B2E6842" w14:textId="77777777" w:rsidR="00534EC2" w:rsidRPr="00534EC2" w:rsidRDefault="00534EC2" w:rsidP="00D225FF">
      <w:pPr>
        <w:spacing w:line="440" w:lineRule="exact"/>
        <w:ind w:firstLineChars="200" w:firstLine="480"/>
        <w:rPr>
          <w:rFonts w:ascii="宋体" w:eastAsia="宋体" w:hAnsi="宋体" w:cs="Times New Roman"/>
          <w:b/>
          <w:sz w:val="24"/>
          <w:szCs w:val="24"/>
        </w:rPr>
      </w:pPr>
      <w:r w:rsidRPr="00534EC2">
        <w:rPr>
          <w:rFonts w:ascii="宋体" w:eastAsia="宋体" w:hAnsi="宋体" w:cs="Times New Roman" w:hint="eastAsia"/>
          <w:sz w:val="24"/>
          <w:szCs w:val="24"/>
        </w:rPr>
        <w:t>1. 普</w:t>
      </w:r>
      <w:proofErr w:type="gramStart"/>
      <w:r w:rsidRPr="00534EC2">
        <w:rPr>
          <w:rFonts w:ascii="宋体" w:eastAsia="宋体" w:hAnsi="宋体" w:cs="Times New Roman" w:hint="eastAsia"/>
          <w:sz w:val="24"/>
          <w:szCs w:val="24"/>
        </w:rPr>
        <w:t>萘</w:t>
      </w:r>
      <w:proofErr w:type="gramEnd"/>
      <w:r w:rsidRPr="00534EC2">
        <w:rPr>
          <w:rFonts w:ascii="宋体" w:eastAsia="宋体" w:hAnsi="宋体" w:cs="Times New Roman" w:hint="eastAsia"/>
          <w:sz w:val="24"/>
          <w:szCs w:val="24"/>
        </w:rPr>
        <w:t>洛尔的合成和β-受体阻滞剂</w:t>
      </w:r>
      <w:proofErr w:type="gramStart"/>
      <w:r w:rsidRPr="00534EC2">
        <w:rPr>
          <w:rFonts w:ascii="宋体" w:eastAsia="宋体" w:hAnsi="宋体" w:cs="Times New Roman" w:hint="eastAsia"/>
          <w:sz w:val="24"/>
          <w:szCs w:val="24"/>
        </w:rPr>
        <w:t>的构效关系</w:t>
      </w:r>
      <w:proofErr w:type="gramEnd"/>
      <w:r w:rsidRPr="00534EC2">
        <w:rPr>
          <w:rFonts w:ascii="宋体" w:eastAsia="宋体" w:hAnsi="宋体" w:cs="Times New Roman" w:hint="eastAsia"/>
          <w:sz w:val="24"/>
          <w:szCs w:val="24"/>
        </w:rPr>
        <w:t>。</w:t>
      </w:r>
    </w:p>
    <w:p w14:paraId="1E6291CE"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lastRenderedPageBreak/>
        <w:t>【教学方法】</w:t>
      </w:r>
    </w:p>
    <w:p w14:paraId="46805FE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45EC197A"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通过案例分析，了解麻黄碱在感冒药中的作用,还是制备冰毒和摇头丸等许多毒品的合成中间体,使学生知法懂法守法,不仅不能被违法分子利用生产毒品,也不能参与到犯罪行为中。</w:t>
      </w:r>
    </w:p>
    <w:p w14:paraId="0D9A4121" w14:textId="77777777" w:rsidR="00534EC2" w:rsidRPr="00534EC2" w:rsidRDefault="00534EC2" w:rsidP="00D225FF">
      <w:pPr>
        <w:spacing w:line="440" w:lineRule="exac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【复习思考】</w:t>
      </w:r>
    </w:p>
    <w:p w14:paraId="71C1405D"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肾上腺素受体的分类标准。</w:t>
      </w:r>
    </w:p>
    <w:p w14:paraId="1DCF248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盐酸伪麻黄碱的临床作用。</w:t>
      </w:r>
    </w:p>
    <w:p w14:paraId="2EB90285" w14:textId="77777777" w:rsidR="00534EC2" w:rsidRPr="00534EC2" w:rsidRDefault="00534EC2" w:rsidP="00D225FF">
      <w:pPr>
        <w:spacing w:beforeLines="50" w:before="156" w:afterLines="50" w:after="156" w:line="440" w:lineRule="exact"/>
        <w:ind w:firstLineChars="200" w:firstLine="482"/>
        <w:jc w:val="center"/>
        <w:rPr>
          <w:rFonts w:ascii="宋体" w:eastAsia="宋体" w:hAnsi="宋体" w:cs="Times New Roman"/>
          <w:b/>
          <w:sz w:val="24"/>
          <w:szCs w:val="24"/>
        </w:rPr>
      </w:pPr>
      <w:r w:rsidRPr="00534EC2">
        <w:rPr>
          <w:rFonts w:ascii="宋体" w:eastAsia="宋体" w:hAnsi="宋体" w:cs="Times New Roman" w:hint="eastAsia"/>
          <w:b/>
          <w:sz w:val="24"/>
          <w:szCs w:val="24"/>
        </w:rPr>
        <w:t>第十四章  抗高血压药物</w:t>
      </w:r>
    </w:p>
    <w:p w14:paraId="0AA279FE"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【学习目标】</w:t>
      </w:r>
    </w:p>
    <w:p w14:paraId="162EB84D"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认知类目标：了解抗高血压药物的发展及分类；熟悉利血平结构、性质及应用；肾素-血管紧张素-醛固酮系统中各类药物的发现和发展过程。</w:t>
      </w:r>
    </w:p>
    <w:p w14:paraId="19613033"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过程与方法类目标：掌握卡托普利、依那普利、</w:t>
      </w:r>
      <w:proofErr w:type="gramStart"/>
      <w:r w:rsidRPr="00534EC2">
        <w:rPr>
          <w:rFonts w:ascii="宋体" w:eastAsia="宋体" w:hAnsi="宋体" w:cs="Times New Roman" w:hint="eastAsia"/>
          <w:sz w:val="24"/>
          <w:szCs w:val="24"/>
        </w:rPr>
        <w:t>氯沙坦</w:t>
      </w:r>
      <w:proofErr w:type="gramEnd"/>
      <w:r w:rsidRPr="00534EC2">
        <w:rPr>
          <w:rFonts w:ascii="宋体" w:eastAsia="宋体" w:hAnsi="宋体" w:cs="Times New Roman" w:hint="eastAsia"/>
          <w:sz w:val="24"/>
          <w:szCs w:val="24"/>
        </w:rPr>
        <w:t>的结构、性质及应用；钙拮抗剂硝苯地平和氨氯地平的结构、性质和临床应用；硝苯地平的合成；地</w:t>
      </w:r>
      <w:proofErr w:type="gramStart"/>
      <w:r w:rsidRPr="00534EC2">
        <w:rPr>
          <w:rFonts w:ascii="宋体" w:eastAsia="宋体" w:hAnsi="宋体" w:cs="Times New Roman" w:hint="eastAsia"/>
          <w:sz w:val="24"/>
          <w:szCs w:val="24"/>
        </w:rPr>
        <w:t>尔硫卓</w:t>
      </w:r>
      <w:proofErr w:type="gramEnd"/>
      <w:r w:rsidRPr="00534EC2">
        <w:rPr>
          <w:rFonts w:ascii="宋体" w:eastAsia="宋体" w:hAnsi="宋体" w:cs="Times New Roman" w:hint="eastAsia"/>
          <w:sz w:val="24"/>
          <w:szCs w:val="24"/>
        </w:rPr>
        <w:t>和维拉帕米的结构、性质和临床应用</w:t>
      </w:r>
    </w:p>
    <w:p w14:paraId="4082E04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 情感、态度、价值观类目标：引导学生如何提出学习过程中所遇到的矛盾问题并解决问题，培养学生质疑精神。</w:t>
      </w:r>
    </w:p>
    <w:p w14:paraId="77E2F621"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【学习内容】</w:t>
      </w:r>
    </w:p>
    <w:p w14:paraId="5909573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交感神经药物</w:t>
      </w:r>
    </w:p>
    <w:p w14:paraId="56646D64"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血管扩张药物</w:t>
      </w:r>
    </w:p>
    <w:p w14:paraId="65C571F0"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血管紧张素转换酶抑制剂和血管紧张素II受体拮抗剂</w:t>
      </w:r>
    </w:p>
    <w:p w14:paraId="62B0F18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4</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钙离子拮抗剂</w:t>
      </w:r>
    </w:p>
    <w:p w14:paraId="392DE29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【重点】</w:t>
      </w:r>
    </w:p>
    <w:p w14:paraId="305A96F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血管紧张素转换酶抑制剂、血管紧张素II受体拮抗剂和钙离子拮抗</w:t>
      </w:r>
      <w:proofErr w:type="gramStart"/>
      <w:r w:rsidRPr="00534EC2">
        <w:rPr>
          <w:rFonts w:ascii="宋体" w:eastAsia="宋体" w:hAnsi="宋体" w:cs="Times New Roman" w:hint="eastAsia"/>
          <w:sz w:val="24"/>
          <w:szCs w:val="24"/>
        </w:rPr>
        <w:t>剂结构</w:t>
      </w:r>
      <w:proofErr w:type="gramEnd"/>
      <w:r w:rsidRPr="00534EC2">
        <w:rPr>
          <w:rFonts w:ascii="宋体" w:eastAsia="宋体" w:hAnsi="宋体" w:cs="Times New Roman" w:hint="eastAsia"/>
          <w:sz w:val="24"/>
          <w:szCs w:val="24"/>
        </w:rPr>
        <w:t>类型及代表药物卡托普利、依那普利、</w:t>
      </w:r>
      <w:proofErr w:type="gramStart"/>
      <w:r w:rsidRPr="00534EC2">
        <w:rPr>
          <w:rFonts w:ascii="宋体" w:eastAsia="宋体" w:hAnsi="宋体" w:cs="Times New Roman" w:hint="eastAsia"/>
          <w:sz w:val="24"/>
          <w:szCs w:val="24"/>
        </w:rPr>
        <w:t>氯沙坦</w:t>
      </w:r>
      <w:proofErr w:type="gramEnd"/>
      <w:r w:rsidRPr="00534EC2">
        <w:rPr>
          <w:rFonts w:ascii="宋体" w:eastAsia="宋体" w:hAnsi="宋体" w:cs="Times New Roman" w:hint="eastAsia"/>
          <w:sz w:val="24"/>
          <w:szCs w:val="24"/>
        </w:rPr>
        <w:t>、硝苯地平、氨氯地平的结构、性质及应用。</w:t>
      </w:r>
    </w:p>
    <w:p w14:paraId="1E5D7E75"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【难点】</w:t>
      </w:r>
    </w:p>
    <w:p w14:paraId="03C91F5B"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硝苯地平的合成。</w:t>
      </w:r>
    </w:p>
    <w:p w14:paraId="55C49929"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【教学方法】</w:t>
      </w:r>
    </w:p>
    <w:p w14:paraId="72348F16"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通过多媒体课件和传统教学相结合，阐明课程与教学基本原理，丰富学生课</w:t>
      </w:r>
      <w:r w:rsidRPr="00534EC2">
        <w:rPr>
          <w:rFonts w:ascii="宋体" w:eastAsia="宋体" w:hAnsi="宋体" w:cs="Times New Roman" w:hint="eastAsia"/>
          <w:sz w:val="24"/>
          <w:szCs w:val="24"/>
        </w:rPr>
        <w:lastRenderedPageBreak/>
        <w:t>程与教学的基本知识结构，培养学生的职业规范。</w:t>
      </w:r>
    </w:p>
    <w:p w14:paraId="65622CF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通过案例分析，卡托</w:t>
      </w:r>
      <w:proofErr w:type="gramStart"/>
      <w:r w:rsidRPr="00534EC2">
        <w:rPr>
          <w:rFonts w:ascii="宋体" w:eastAsia="宋体" w:hAnsi="宋体" w:cs="Times New Roman" w:hint="eastAsia"/>
          <w:sz w:val="24"/>
          <w:szCs w:val="24"/>
        </w:rPr>
        <w:t>普利用</w:t>
      </w:r>
      <w:proofErr w:type="gramEnd"/>
      <w:r w:rsidRPr="00534EC2">
        <w:rPr>
          <w:rFonts w:ascii="宋体" w:eastAsia="宋体" w:hAnsi="宋体" w:cs="Times New Roman" w:hint="eastAsia"/>
          <w:sz w:val="24"/>
          <w:szCs w:val="24"/>
        </w:rPr>
        <w:t>于高血压合并肾功能不良患者的治疗，但本身有导致肾功能损伤的不良反应，引导学生如何提出学习过程中所遇到的矛盾问题并解决问题，培养学生质疑精神。</w:t>
      </w:r>
    </w:p>
    <w:p w14:paraId="0264B244"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【复习思考】</w:t>
      </w:r>
    </w:p>
    <w:p w14:paraId="6C1791B3"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Times New Roman" w:eastAsia="宋体" w:hAnsi="Times New Roman" w:cs="Times New Roman" w:hint="eastAsia"/>
          <w:szCs w:val="24"/>
        </w:rPr>
        <w:t xml:space="preserve"> </w:t>
      </w:r>
      <w:r w:rsidRPr="00534EC2">
        <w:rPr>
          <w:rFonts w:ascii="宋体" w:eastAsia="宋体" w:hAnsi="宋体" w:cs="Times New Roman" w:hint="eastAsia"/>
          <w:sz w:val="24"/>
          <w:szCs w:val="24"/>
        </w:rPr>
        <w:t>血管紧张素转换酶抑制剂的结构类型。</w:t>
      </w:r>
    </w:p>
    <w:p w14:paraId="5F3D664E"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Times New Roman" w:eastAsia="宋体" w:hAnsi="Times New Roman" w:cs="Times New Roman" w:hint="eastAsia"/>
          <w:szCs w:val="24"/>
        </w:rPr>
        <w:t xml:space="preserve"> </w:t>
      </w:r>
      <w:r w:rsidRPr="00534EC2">
        <w:rPr>
          <w:rFonts w:ascii="宋体" w:eastAsia="宋体" w:hAnsi="宋体" w:cs="Times New Roman" w:hint="eastAsia"/>
          <w:sz w:val="24"/>
          <w:szCs w:val="24"/>
        </w:rPr>
        <w:t>钙离子拮抗</w:t>
      </w:r>
      <w:proofErr w:type="gramStart"/>
      <w:r w:rsidRPr="00534EC2">
        <w:rPr>
          <w:rFonts w:ascii="宋体" w:eastAsia="宋体" w:hAnsi="宋体" w:cs="Times New Roman" w:hint="eastAsia"/>
          <w:sz w:val="24"/>
          <w:szCs w:val="24"/>
        </w:rPr>
        <w:t>剂结构</w:t>
      </w:r>
      <w:proofErr w:type="gramEnd"/>
      <w:r w:rsidRPr="00534EC2">
        <w:rPr>
          <w:rFonts w:ascii="宋体" w:eastAsia="宋体" w:hAnsi="宋体" w:cs="Times New Roman" w:hint="eastAsia"/>
          <w:sz w:val="24"/>
          <w:szCs w:val="24"/>
        </w:rPr>
        <w:t>类型。</w:t>
      </w:r>
    </w:p>
    <w:p w14:paraId="518AACDB" w14:textId="77777777" w:rsidR="00534EC2" w:rsidRPr="00534EC2" w:rsidRDefault="00534EC2" w:rsidP="00D225FF">
      <w:pPr>
        <w:spacing w:line="440" w:lineRule="exact"/>
        <w:ind w:firstLineChars="200" w:firstLine="482"/>
        <w:jc w:val="center"/>
        <w:rPr>
          <w:rFonts w:ascii="宋体" w:eastAsia="宋体" w:hAnsi="宋体" w:cs="Times New Roman"/>
          <w:b/>
          <w:sz w:val="24"/>
          <w:szCs w:val="24"/>
        </w:rPr>
      </w:pPr>
      <w:r w:rsidRPr="00534EC2">
        <w:rPr>
          <w:rFonts w:ascii="宋体" w:eastAsia="宋体" w:hAnsi="宋体" w:cs="Times New Roman" w:hint="eastAsia"/>
          <w:b/>
          <w:sz w:val="24"/>
          <w:szCs w:val="24"/>
        </w:rPr>
        <w:t>第十五章  心脏疾病药物和血脂调节药</w:t>
      </w:r>
    </w:p>
    <w:p w14:paraId="50162453"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【学习目标】</w:t>
      </w:r>
    </w:p>
    <w:p w14:paraId="7C7C6B0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认知类目标：熟悉强心药的</w:t>
      </w:r>
      <w:proofErr w:type="gramStart"/>
      <w:r w:rsidRPr="00534EC2">
        <w:rPr>
          <w:rFonts w:ascii="宋体" w:eastAsia="宋体" w:hAnsi="宋体" w:cs="Times New Roman" w:hint="eastAsia"/>
          <w:sz w:val="24"/>
          <w:szCs w:val="24"/>
        </w:rPr>
        <w:t>的</w:t>
      </w:r>
      <w:proofErr w:type="gramEnd"/>
      <w:r w:rsidRPr="00534EC2">
        <w:rPr>
          <w:rFonts w:ascii="宋体" w:eastAsia="宋体" w:hAnsi="宋体" w:cs="Times New Roman" w:hint="eastAsia"/>
          <w:sz w:val="24"/>
          <w:szCs w:val="24"/>
        </w:rPr>
        <w:t>结构类型和作用机理；地高辛的结构、理化性质、代谢、作用机制及临床应用；</w:t>
      </w:r>
      <w:proofErr w:type="gramStart"/>
      <w:r w:rsidRPr="00534EC2">
        <w:rPr>
          <w:rFonts w:ascii="宋体" w:eastAsia="宋体" w:hAnsi="宋体" w:cs="Times New Roman" w:hint="eastAsia"/>
          <w:sz w:val="24"/>
          <w:szCs w:val="24"/>
        </w:rPr>
        <w:t>米力农</w:t>
      </w:r>
      <w:proofErr w:type="gramEnd"/>
      <w:r w:rsidRPr="00534EC2">
        <w:rPr>
          <w:rFonts w:ascii="宋体" w:eastAsia="宋体" w:hAnsi="宋体" w:cs="Times New Roman" w:hint="eastAsia"/>
          <w:sz w:val="24"/>
          <w:szCs w:val="24"/>
        </w:rPr>
        <w:t>的结构及应用；降血脂药的发展及类型。</w:t>
      </w:r>
    </w:p>
    <w:p w14:paraId="4C22D471"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过程与方法类目标：掌握抗心律失常药的分类，理解其作用机理；奎尼丁、利多卡因、美心律、普罗帕酮、胺碘酮的结构及应用；抗心绞痛药的结构类型；硝酸甘油、硝酸异山梨酯的结构、性质和临床应用；吉非贝齐、</w:t>
      </w:r>
      <w:proofErr w:type="gramStart"/>
      <w:r w:rsidRPr="00534EC2">
        <w:rPr>
          <w:rFonts w:ascii="宋体" w:eastAsia="宋体" w:hAnsi="宋体" w:cs="Times New Roman" w:hint="eastAsia"/>
          <w:sz w:val="24"/>
          <w:szCs w:val="24"/>
        </w:rPr>
        <w:t>氯贝丁</w:t>
      </w:r>
      <w:proofErr w:type="gramEnd"/>
      <w:r w:rsidRPr="00534EC2">
        <w:rPr>
          <w:rFonts w:ascii="宋体" w:eastAsia="宋体" w:hAnsi="宋体" w:cs="Times New Roman" w:hint="eastAsia"/>
          <w:sz w:val="24"/>
          <w:szCs w:val="24"/>
        </w:rPr>
        <w:t>酯的结构及应用；</w:t>
      </w:r>
      <w:proofErr w:type="gramStart"/>
      <w:r w:rsidRPr="00534EC2">
        <w:rPr>
          <w:rFonts w:ascii="宋体" w:eastAsia="宋体" w:hAnsi="宋体" w:cs="Times New Roman" w:hint="eastAsia"/>
          <w:sz w:val="24"/>
          <w:szCs w:val="24"/>
        </w:rPr>
        <w:t>洛</w:t>
      </w:r>
      <w:proofErr w:type="gramEnd"/>
      <w:r w:rsidRPr="00534EC2">
        <w:rPr>
          <w:rFonts w:ascii="宋体" w:eastAsia="宋体" w:hAnsi="宋体" w:cs="Times New Roman" w:hint="eastAsia"/>
          <w:sz w:val="24"/>
          <w:szCs w:val="24"/>
        </w:rPr>
        <w:t>伐他</w:t>
      </w:r>
      <w:proofErr w:type="gramStart"/>
      <w:r w:rsidRPr="00534EC2">
        <w:rPr>
          <w:rFonts w:ascii="宋体" w:eastAsia="宋体" w:hAnsi="宋体" w:cs="Times New Roman" w:hint="eastAsia"/>
          <w:sz w:val="24"/>
          <w:szCs w:val="24"/>
        </w:rPr>
        <w:t>汀</w:t>
      </w:r>
      <w:proofErr w:type="gramEnd"/>
      <w:r w:rsidRPr="00534EC2">
        <w:rPr>
          <w:rFonts w:ascii="宋体" w:eastAsia="宋体" w:hAnsi="宋体" w:cs="Times New Roman" w:hint="eastAsia"/>
          <w:sz w:val="24"/>
          <w:szCs w:val="24"/>
        </w:rPr>
        <w:t>、氟伐他</w:t>
      </w:r>
      <w:proofErr w:type="gramStart"/>
      <w:r w:rsidRPr="00534EC2">
        <w:rPr>
          <w:rFonts w:ascii="宋体" w:eastAsia="宋体" w:hAnsi="宋体" w:cs="Times New Roman" w:hint="eastAsia"/>
          <w:sz w:val="24"/>
          <w:szCs w:val="24"/>
        </w:rPr>
        <w:t>汀</w:t>
      </w:r>
      <w:proofErr w:type="gramEnd"/>
      <w:r w:rsidRPr="00534EC2">
        <w:rPr>
          <w:rFonts w:ascii="宋体" w:eastAsia="宋体" w:hAnsi="宋体" w:cs="Times New Roman" w:hint="eastAsia"/>
          <w:sz w:val="24"/>
          <w:szCs w:val="24"/>
        </w:rPr>
        <w:t>的结构及应用。</w:t>
      </w:r>
    </w:p>
    <w:p w14:paraId="6F3CD84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 情感、态度、价值观类目标：培养学生坚定不移、百折不挠的信念。</w:t>
      </w:r>
    </w:p>
    <w:p w14:paraId="0C4204D9"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【学习内容】</w:t>
      </w:r>
    </w:p>
    <w:p w14:paraId="5BC09F6B"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强心药物</w:t>
      </w:r>
    </w:p>
    <w:p w14:paraId="07B0BA9E"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抗心律失常药物</w:t>
      </w:r>
    </w:p>
    <w:p w14:paraId="21F404B6"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抗心绞痛药物</w:t>
      </w:r>
    </w:p>
    <w:p w14:paraId="29656E45"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4</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血脂调节剂</w:t>
      </w:r>
    </w:p>
    <w:p w14:paraId="334410BA"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【重点】</w:t>
      </w:r>
    </w:p>
    <w:p w14:paraId="55428A3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抗心律失常药的分类及代表药物奎尼丁、利多卡因、美心律、普罗帕酮、胺碘</w:t>
      </w:r>
      <w:proofErr w:type="gramStart"/>
      <w:r w:rsidRPr="00534EC2">
        <w:rPr>
          <w:rFonts w:ascii="宋体" w:eastAsia="宋体" w:hAnsi="宋体" w:cs="Times New Roman" w:hint="eastAsia"/>
          <w:sz w:val="24"/>
          <w:szCs w:val="24"/>
        </w:rPr>
        <w:t>酮结构</w:t>
      </w:r>
      <w:proofErr w:type="gramEnd"/>
      <w:r w:rsidRPr="00534EC2">
        <w:rPr>
          <w:rFonts w:ascii="宋体" w:eastAsia="宋体" w:hAnsi="宋体" w:cs="Times New Roman" w:hint="eastAsia"/>
          <w:sz w:val="24"/>
          <w:szCs w:val="24"/>
        </w:rPr>
        <w:t>及应用；</w:t>
      </w:r>
    </w:p>
    <w:p w14:paraId="74BDF164"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抗心绞痛药物结构类型及代表药物硝酸甘油、硝酸异山梨</w:t>
      </w:r>
      <w:proofErr w:type="gramStart"/>
      <w:r w:rsidRPr="00534EC2">
        <w:rPr>
          <w:rFonts w:ascii="宋体" w:eastAsia="宋体" w:hAnsi="宋体" w:cs="Times New Roman" w:hint="eastAsia"/>
          <w:sz w:val="24"/>
          <w:szCs w:val="24"/>
        </w:rPr>
        <w:t>酯</w:t>
      </w:r>
      <w:proofErr w:type="gramEnd"/>
      <w:r w:rsidRPr="00534EC2">
        <w:rPr>
          <w:rFonts w:ascii="宋体" w:eastAsia="宋体" w:hAnsi="宋体" w:cs="Times New Roman" w:hint="eastAsia"/>
          <w:sz w:val="24"/>
          <w:szCs w:val="24"/>
        </w:rPr>
        <w:t>结构及应用；</w:t>
      </w:r>
    </w:p>
    <w:p w14:paraId="35E2821D"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血脂调节剂及代表药物吉非贝齐、</w:t>
      </w:r>
      <w:proofErr w:type="gramStart"/>
      <w:r w:rsidRPr="00534EC2">
        <w:rPr>
          <w:rFonts w:ascii="宋体" w:eastAsia="宋体" w:hAnsi="宋体" w:cs="Times New Roman" w:hint="eastAsia"/>
          <w:sz w:val="24"/>
          <w:szCs w:val="24"/>
        </w:rPr>
        <w:t>氯贝丁</w:t>
      </w:r>
      <w:proofErr w:type="gramEnd"/>
      <w:r w:rsidRPr="00534EC2">
        <w:rPr>
          <w:rFonts w:ascii="宋体" w:eastAsia="宋体" w:hAnsi="宋体" w:cs="Times New Roman" w:hint="eastAsia"/>
          <w:sz w:val="24"/>
          <w:szCs w:val="24"/>
        </w:rPr>
        <w:t>酯的结构及应用。</w:t>
      </w:r>
    </w:p>
    <w:p w14:paraId="4DA664E1"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【难点】</w:t>
      </w:r>
    </w:p>
    <w:p w14:paraId="0378FD7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抗心律失常药的分类及代表药物奎尼丁、利多卡因、美心律、普罗帕酮、胺碘</w:t>
      </w:r>
      <w:proofErr w:type="gramStart"/>
      <w:r w:rsidRPr="00534EC2">
        <w:rPr>
          <w:rFonts w:ascii="宋体" w:eastAsia="宋体" w:hAnsi="宋体" w:cs="Times New Roman" w:hint="eastAsia"/>
          <w:sz w:val="24"/>
          <w:szCs w:val="24"/>
        </w:rPr>
        <w:t>酮结构</w:t>
      </w:r>
      <w:proofErr w:type="gramEnd"/>
      <w:r w:rsidRPr="00534EC2">
        <w:rPr>
          <w:rFonts w:ascii="宋体" w:eastAsia="宋体" w:hAnsi="宋体" w:cs="Times New Roman" w:hint="eastAsia"/>
          <w:sz w:val="24"/>
          <w:szCs w:val="24"/>
        </w:rPr>
        <w:t>及应用。</w:t>
      </w:r>
    </w:p>
    <w:p w14:paraId="53A1272E"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【教学方法】</w:t>
      </w:r>
    </w:p>
    <w:p w14:paraId="6869053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通过多媒体课件和传统教学相结合，阐明课程与教学基本原理，丰富学生课</w:t>
      </w:r>
      <w:r w:rsidRPr="00534EC2">
        <w:rPr>
          <w:rFonts w:ascii="宋体" w:eastAsia="宋体" w:hAnsi="宋体" w:cs="Times New Roman" w:hint="eastAsia"/>
          <w:sz w:val="24"/>
          <w:szCs w:val="24"/>
        </w:rPr>
        <w:lastRenderedPageBreak/>
        <w:t>程与教学的基本知识结构，培养学生的职业规范。</w:t>
      </w:r>
    </w:p>
    <w:p w14:paraId="1FF9482D"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通过案例分析，他</w:t>
      </w:r>
      <w:proofErr w:type="gramStart"/>
      <w:r w:rsidRPr="00534EC2">
        <w:rPr>
          <w:rFonts w:ascii="宋体" w:eastAsia="宋体" w:hAnsi="宋体" w:cs="Times New Roman" w:hint="eastAsia"/>
          <w:sz w:val="24"/>
          <w:szCs w:val="24"/>
        </w:rPr>
        <w:t>汀</w:t>
      </w:r>
      <w:proofErr w:type="gramEnd"/>
      <w:r w:rsidRPr="00534EC2">
        <w:rPr>
          <w:rFonts w:ascii="宋体" w:eastAsia="宋体" w:hAnsi="宋体" w:cs="Times New Roman" w:hint="eastAsia"/>
          <w:sz w:val="24"/>
          <w:szCs w:val="24"/>
        </w:rPr>
        <w:t>类药物研发历程，培养学生坚定不移、百折不挠的信念。</w:t>
      </w:r>
    </w:p>
    <w:p w14:paraId="3952A73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【复习思考】</w:t>
      </w:r>
    </w:p>
    <w:p w14:paraId="32E68E2D"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抗心律失常药物分类及代表性药物。</w:t>
      </w:r>
    </w:p>
    <w:p w14:paraId="51E924F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血脂调节药物分类及代表药物。</w:t>
      </w:r>
    </w:p>
    <w:p w14:paraId="783C2903"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第一个上市的HMG-CoA还原酶抑制剂。</w:t>
      </w:r>
    </w:p>
    <w:p w14:paraId="36FE6003" w14:textId="77777777" w:rsidR="00534EC2" w:rsidRPr="00534EC2" w:rsidRDefault="00534EC2" w:rsidP="00D225FF">
      <w:pPr>
        <w:spacing w:line="440" w:lineRule="exact"/>
        <w:ind w:firstLineChars="200" w:firstLine="482"/>
        <w:jc w:val="center"/>
        <w:rPr>
          <w:rFonts w:ascii="宋体" w:eastAsia="宋体" w:hAnsi="宋体" w:cs="Times New Roman"/>
          <w:b/>
          <w:sz w:val="24"/>
          <w:szCs w:val="24"/>
        </w:rPr>
      </w:pPr>
      <w:r w:rsidRPr="00534EC2">
        <w:rPr>
          <w:rFonts w:ascii="宋体" w:eastAsia="宋体" w:hAnsi="宋体" w:cs="Times New Roman" w:hint="eastAsia"/>
          <w:b/>
          <w:sz w:val="24"/>
          <w:szCs w:val="24"/>
        </w:rPr>
        <w:t xml:space="preserve">第十六章  </w:t>
      </w:r>
      <w:proofErr w:type="gramStart"/>
      <w:r w:rsidRPr="00534EC2">
        <w:rPr>
          <w:rFonts w:ascii="宋体" w:eastAsia="宋体" w:hAnsi="宋体" w:cs="Times New Roman" w:hint="eastAsia"/>
          <w:b/>
          <w:sz w:val="24"/>
          <w:szCs w:val="24"/>
        </w:rPr>
        <w:t>甾</w:t>
      </w:r>
      <w:proofErr w:type="gramEnd"/>
      <w:r w:rsidRPr="00534EC2">
        <w:rPr>
          <w:rFonts w:ascii="宋体" w:eastAsia="宋体" w:hAnsi="宋体" w:cs="Times New Roman" w:hint="eastAsia"/>
          <w:b/>
          <w:sz w:val="24"/>
          <w:szCs w:val="24"/>
        </w:rPr>
        <w:t>体激素药物</w:t>
      </w:r>
    </w:p>
    <w:p w14:paraId="57B619BF"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【学习目标】</w:t>
      </w:r>
    </w:p>
    <w:p w14:paraId="0006993F"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认知类目标：了解雄激素、雌激素、孕激素和糖皮质激素类药物的发展；熟悉各种激素药物的作用机制；雷洛昔芬、醋酸甲地孕酮、左</w:t>
      </w:r>
      <w:proofErr w:type="gramStart"/>
      <w:r w:rsidRPr="00534EC2">
        <w:rPr>
          <w:rFonts w:ascii="宋体" w:eastAsia="宋体" w:hAnsi="宋体" w:cs="Times New Roman" w:hint="eastAsia"/>
          <w:sz w:val="24"/>
          <w:szCs w:val="24"/>
        </w:rPr>
        <w:t>炔</w:t>
      </w:r>
      <w:proofErr w:type="gramEnd"/>
      <w:r w:rsidRPr="00534EC2">
        <w:rPr>
          <w:rFonts w:ascii="宋体" w:eastAsia="宋体" w:hAnsi="宋体" w:cs="Times New Roman" w:hint="eastAsia"/>
          <w:sz w:val="24"/>
          <w:szCs w:val="24"/>
        </w:rPr>
        <w:t>诺孕酮、米非司酮的结构和用途。</w:t>
      </w:r>
    </w:p>
    <w:p w14:paraId="1831A5B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过程与方法类目标：掌握</w:t>
      </w:r>
      <w:proofErr w:type="gramStart"/>
      <w:r w:rsidRPr="00534EC2">
        <w:rPr>
          <w:rFonts w:ascii="宋体" w:eastAsia="宋体" w:hAnsi="宋体" w:cs="Times New Roman" w:hint="eastAsia"/>
          <w:sz w:val="24"/>
          <w:szCs w:val="24"/>
        </w:rPr>
        <w:t>甾</w:t>
      </w:r>
      <w:proofErr w:type="gramEnd"/>
      <w:r w:rsidRPr="00534EC2">
        <w:rPr>
          <w:rFonts w:ascii="宋体" w:eastAsia="宋体" w:hAnsi="宋体" w:cs="Times New Roman" w:hint="eastAsia"/>
          <w:sz w:val="24"/>
          <w:szCs w:val="24"/>
        </w:rPr>
        <w:t>体药物分类及结构特征；雌二醇、睾酮、黄体酮、己烯雌</w:t>
      </w:r>
      <w:proofErr w:type="gramStart"/>
      <w:r w:rsidRPr="00534EC2">
        <w:rPr>
          <w:rFonts w:ascii="宋体" w:eastAsia="宋体" w:hAnsi="宋体" w:cs="Times New Roman" w:hint="eastAsia"/>
          <w:sz w:val="24"/>
          <w:szCs w:val="24"/>
        </w:rPr>
        <w:t>酚</w:t>
      </w:r>
      <w:proofErr w:type="gramEnd"/>
      <w:r w:rsidRPr="00534EC2">
        <w:rPr>
          <w:rFonts w:ascii="宋体" w:eastAsia="宋体" w:hAnsi="宋体" w:cs="Times New Roman" w:hint="eastAsia"/>
          <w:sz w:val="24"/>
          <w:szCs w:val="24"/>
        </w:rPr>
        <w:t>、丙酸睾酮、醋酸氢化可的松、苯丙酸诺龙、</w:t>
      </w:r>
      <w:proofErr w:type="gramStart"/>
      <w:r w:rsidRPr="00534EC2">
        <w:rPr>
          <w:rFonts w:ascii="宋体" w:eastAsia="宋体" w:hAnsi="宋体" w:cs="Times New Roman" w:hint="eastAsia"/>
          <w:sz w:val="24"/>
          <w:szCs w:val="24"/>
        </w:rPr>
        <w:t>炔</w:t>
      </w:r>
      <w:proofErr w:type="gramEnd"/>
      <w:r w:rsidRPr="00534EC2">
        <w:rPr>
          <w:rFonts w:ascii="宋体" w:eastAsia="宋体" w:hAnsi="宋体" w:cs="Times New Roman" w:hint="eastAsia"/>
          <w:sz w:val="24"/>
          <w:szCs w:val="24"/>
        </w:rPr>
        <w:t>诺酮、结构、理化性质和用途；糖皮质激素类药物</w:t>
      </w:r>
      <w:proofErr w:type="gramStart"/>
      <w:r w:rsidRPr="00534EC2">
        <w:rPr>
          <w:rFonts w:ascii="宋体" w:eastAsia="宋体" w:hAnsi="宋体" w:cs="Times New Roman" w:hint="eastAsia"/>
          <w:sz w:val="24"/>
          <w:szCs w:val="24"/>
        </w:rPr>
        <w:t>的构效关系</w:t>
      </w:r>
      <w:proofErr w:type="gramEnd"/>
      <w:r w:rsidRPr="00534EC2">
        <w:rPr>
          <w:rFonts w:ascii="宋体" w:eastAsia="宋体" w:hAnsi="宋体" w:cs="Times New Roman" w:hint="eastAsia"/>
          <w:sz w:val="24"/>
          <w:szCs w:val="24"/>
        </w:rPr>
        <w:t>。</w:t>
      </w:r>
    </w:p>
    <w:p w14:paraId="43AFD85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 情感、态度、价值观类目标：提高学生总结归纳能力和基础科研能力，培养辩证思维和宏观大局意识,爱国主义教育。</w:t>
      </w:r>
    </w:p>
    <w:p w14:paraId="4C0B6E3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【学习内容】</w:t>
      </w:r>
    </w:p>
    <w:p w14:paraId="6D8F4DB3"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雌激素及雌激素受体调节剂</w:t>
      </w:r>
    </w:p>
    <w:p w14:paraId="2DA4CE8E"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雄性激素、同化激素及抗雄性激素</w:t>
      </w:r>
    </w:p>
    <w:p w14:paraId="2694E140"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孕激素和抗孕激素</w:t>
      </w:r>
    </w:p>
    <w:p w14:paraId="3892088D"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4</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肾上腺皮质激素</w:t>
      </w:r>
    </w:p>
    <w:p w14:paraId="555EDAD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【重点】</w:t>
      </w:r>
    </w:p>
    <w:p w14:paraId="32FD7CB6"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雌二醇、睾酮、黄体酮、己烯雌</w:t>
      </w:r>
      <w:proofErr w:type="gramStart"/>
      <w:r w:rsidRPr="00534EC2">
        <w:rPr>
          <w:rFonts w:ascii="宋体" w:eastAsia="宋体" w:hAnsi="宋体" w:cs="Times New Roman" w:hint="eastAsia"/>
          <w:sz w:val="24"/>
          <w:szCs w:val="24"/>
        </w:rPr>
        <w:t>酚</w:t>
      </w:r>
      <w:proofErr w:type="gramEnd"/>
      <w:r w:rsidRPr="00534EC2">
        <w:rPr>
          <w:rFonts w:ascii="宋体" w:eastAsia="宋体" w:hAnsi="宋体" w:cs="Times New Roman" w:hint="eastAsia"/>
          <w:sz w:val="24"/>
          <w:szCs w:val="24"/>
        </w:rPr>
        <w:t>、醋酸氢化可的松、苯丙酸诺龙的化学名、结构、理化性质和用途。</w:t>
      </w:r>
    </w:p>
    <w:p w14:paraId="41A6247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【难点】</w:t>
      </w:r>
    </w:p>
    <w:p w14:paraId="1DD1B49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 xml:space="preserve">1. </w:t>
      </w:r>
      <w:proofErr w:type="gramStart"/>
      <w:r w:rsidRPr="00534EC2">
        <w:rPr>
          <w:rFonts w:ascii="宋体" w:eastAsia="宋体" w:hAnsi="宋体" w:cs="Times New Roman" w:hint="eastAsia"/>
          <w:sz w:val="24"/>
          <w:szCs w:val="24"/>
        </w:rPr>
        <w:t>甾</w:t>
      </w:r>
      <w:proofErr w:type="gramEnd"/>
      <w:r w:rsidRPr="00534EC2">
        <w:rPr>
          <w:rFonts w:ascii="宋体" w:eastAsia="宋体" w:hAnsi="宋体" w:cs="Times New Roman" w:hint="eastAsia"/>
          <w:sz w:val="24"/>
          <w:szCs w:val="24"/>
        </w:rPr>
        <w:t>体药物分类及结构特征。</w:t>
      </w:r>
    </w:p>
    <w:p w14:paraId="110A942D"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【教学方法】</w:t>
      </w:r>
    </w:p>
    <w:p w14:paraId="5DE32B1B"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6EF9A3D1"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通过案例分析，激素类药物结构改造实例和兴奋剂事件实例(中国名将孙杨兴奋剂事件)，提高学生总结归纳能力和基础科研能力，培养辩证思维和宏观大局意识,</w:t>
      </w:r>
      <w:r w:rsidRPr="00534EC2">
        <w:rPr>
          <w:rFonts w:ascii="宋体" w:eastAsia="宋体" w:hAnsi="宋体" w:cs="Times New Roman" w:hint="eastAsia"/>
          <w:sz w:val="24"/>
          <w:szCs w:val="24"/>
        </w:rPr>
        <w:lastRenderedPageBreak/>
        <w:t>爱国主义教育。</w:t>
      </w:r>
    </w:p>
    <w:p w14:paraId="7A0E702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【复习思考】</w:t>
      </w:r>
    </w:p>
    <w:p w14:paraId="16F253E1"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己烯雌</w:t>
      </w:r>
      <w:proofErr w:type="gramStart"/>
      <w:r w:rsidRPr="00534EC2">
        <w:rPr>
          <w:rFonts w:ascii="宋体" w:eastAsia="宋体" w:hAnsi="宋体" w:cs="Times New Roman" w:hint="eastAsia"/>
          <w:sz w:val="24"/>
          <w:szCs w:val="24"/>
        </w:rPr>
        <w:t>酚</w:t>
      </w:r>
      <w:proofErr w:type="gramEnd"/>
      <w:r w:rsidRPr="00534EC2">
        <w:rPr>
          <w:rFonts w:ascii="宋体" w:eastAsia="宋体" w:hAnsi="宋体" w:cs="Times New Roman" w:hint="eastAsia"/>
          <w:sz w:val="24"/>
          <w:szCs w:val="24"/>
        </w:rPr>
        <w:t>具有雌激素作用的构型。</w:t>
      </w:r>
    </w:p>
    <w:p w14:paraId="6988970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雌二醇、睾酮、黄体酮的化学名称。</w:t>
      </w:r>
    </w:p>
    <w:p w14:paraId="38161160"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苯丙酸诺龙的结构式及临床用途。</w:t>
      </w:r>
    </w:p>
    <w:p w14:paraId="41A56E0F" w14:textId="77777777" w:rsidR="00534EC2" w:rsidRPr="00534EC2" w:rsidRDefault="00534EC2" w:rsidP="00D225FF">
      <w:pPr>
        <w:spacing w:beforeLines="50" w:before="156" w:afterLines="50" w:after="156" w:line="440" w:lineRule="exact"/>
        <w:ind w:firstLineChars="200" w:firstLine="482"/>
        <w:jc w:val="center"/>
        <w:rPr>
          <w:rFonts w:ascii="宋体" w:eastAsia="宋体" w:hAnsi="宋体" w:cs="Times New Roman"/>
          <w:b/>
          <w:sz w:val="24"/>
          <w:szCs w:val="24"/>
        </w:rPr>
      </w:pPr>
      <w:r w:rsidRPr="00534EC2">
        <w:rPr>
          <w:rFonts w:ascii="宋体" w:eastAsia="宋体" w:hAnsi="宋体" w:cs="Times New Roman" w:hint="eastAsia"/>
          <w:b/>
          <w:sz w:val="24"/>
          <w:szCs w:val="24"/>
        </w:rPr>
        <w:t>第十七章  抗生素</w:t>
      </w:r>
    </w:p>
    <w:p w14:paraId="027C1BA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【学习目标】</w:t>
      </w:r>
    </w:p>
    <w:p w14:paraId="6E3DA63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认知类目标：了解大环内酯类抗生素的结构特点及临床应用；熟悉红霉素的理化性质及半合成红霉素衍生物的结构改造方法；红霉素、罗红霉素、克拉霉素的作用特点；头孢菌素四代的划分及各代药物的特点；耐酸、耐酶、广谱半合成抗生素的研究途径。</w:t>
      </w:r>
    </w:p>
    <w:p w14:paraId="4E1E6FF0"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过程与方法类目标：掌握β-内酰胺类抗生素的结构特点、分类和作用机制；掌握代表药物青霉素、阿莫西林、头</w:t>
      </w:r>
      <w:proofErr w:type="gramStart"/>
      <w:r w:rsidRPr="00534EC2">
        <w:rPr>
          <w:rFonts w:ascii="宋体" w:eastAsia="宋体" w:hAnsi="宋体" w:cs="Times New Roman" w:hint="eastAsia"/>
          <w:sz w:val="24"/>
          <w:szCs w:val="24"/>
        </w:rPr>
        <w:t>孢</w:t>
      </w:r>
      <w:proofErr w:type="gramEnd"/>
      <w:r w:rsidRPr="00534EC2">
        <w:rPr>
          <w:rFonts w:ascii="宋体" w:eastAsia="宋体" w:hAnsi="宋体" w:cs="Times New Roman" w:hint="eastAsia"/>
          <w:sz w:val="24"/>
          <w:szCs w:val="24"/>
        </w:rPr>
        <w:t>氨</w:t>
      </w:r>
      <w:proofErr w:type="gramStart"/>
      <w:r w:rsidRPr="00534EC2">
        <w:rPr>
          <w:rFonts w:ascii="宋体" w:eastAsia="宋体" w:hAnsi="宋体" w:cs="Times New Roman" w:hint="eastAsia"/>
          <w:sz w:val="24"/>
          <w:szCs w:val="24"/>
        </w:rPr>
        <w:t>苄</w:t>
      </w:r>
      <w:proofErr w:type="gramEnd"/>
      <w:r w:rsidRPr="00534EC2">
        <w:rPr>
          <w:rFonts w:ascii="宋体" w:eastAsia="宋体" w:hAnsi="宋体" w:cs="Times New Roman" w:hint="eastAsia"/>
          <w:sz w:val="24"/>
          <w:szCs w:val="24"/>
        </w:rPr>
        <w:t>、克拉维酸钾、舒巴坦钠的结构特点、理化性质和临床用途；青霉素类</w:t>
      </w:r>
      <w:proofErr w:type="gramStart"/>
      <w:r w:rsidRPr="00534EC2">
        <w:rPr>
          <w:rFonts w:ascii="宋体" w:eastAsia="宋体" w:hAnsi="宋体" w:cs="Times New Roman" w:hint="eastAsia"/>
          <w:sz w:val="24"/>
          <w:szCs w:val="24"/>
        </w:rPr>
        <w:t>药物构效关系</w:t>
      </w:r>
      <w:proofErr w:type="gramEnd"/>
      <w:r w:rsidRPr="00534EC2">
        <w:rPr>
          <w:rFonts w:ascii="宋体" w:eastAsia="宋体" w:hAnsi="宋体" w:cs="Times New Roman" w:hint="eastAsia"/>
          <w:sz w:val="24"/>
          <w:szCs w:val="24"/>
        </w:rPr>
        <w:t>；四环素类抗生素的结构特点、临床应用及毒副作用；氨基糖苷类抗生素的结构特点、临床应用及毒副作用。</w:t>
      </w:r>
    </w:p>
    <w:p w14:paraId="00B92096"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 情感、态度、价值观类目标：培养学生洞察能力,科学严谨的工作作风。</w:t>
      </w:r>
    </w:p>
    <w:p w14:paraId="5923B82A"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【学习内容】</w:t>
      </w:r>
    </w:p>
    <w:p w14:paraId="4A5CFA66"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β-内酰胺抗生素概述</w:t>
      </w:r>
    </w:p>
    <w:p w14:paraId="6BFF09DF"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四环素类抗生素</w:t>
      </w:r>
    </w:p>
    <w:p w14:paraId="322AA2A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氨基糖苷类抗生素</w:t>
      </w:r>
    </w:p>
    <w:p w14:paraId="28AEB736"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4</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大环内酯类抗生素</w:t>
      </w:r>
    </w:p>
    <w:p w14:paraId="51B7649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5</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氯霉素类抗生素</w:t>
      </w:r>
    </w:p>
    <w:p w14:paraId="039AC3C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【重点】</w:t>
      </w:r>
    </w:p>
    <w:p w14:paraId="6354A73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β-内酰胺类抗生素的结构特点、分类和作用机制；</w:t>
      </w:r>
    </w:p>
    <w:p w14:paraId="419FDC9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代表药物青霉素、阿莫西林、头</w:t>
      </w:r>
      <w:proofErr w:type="gramStart"/>
      <w:r w:rsidRPr="00534EC2">
        <w:rPr>
          <w:rFonts w:ascii="宋体" w:eastAsia="宋体" w:hAnsi="宋体" w:cs="Times New Roman" w:hint="eastAsia"/>
          <w:sz w:val="24"/>
          <w:szCs w:val="24"/>
        </w:rPr>
        <w:t>孢</w:t>
      </w:r>
      <w:proofErr w:type="gramEnd"/>
      <w:r w:rsidRPr="00534EC2">
        <w:rPr>
          <w:rFonts w:ascii="宋体" w:eastAsia="宋体" w:hAnsi="宋体" w:cs="Times New Roman" w:hint="eastAsia"/>
          <w:sz w:val="24"/>
          <w:szCs w:val="24"/>
        </w:rPr>
        <w:t>氨</w:t>
      </w:r>
      <w:proofErr w:type="gramStart"/>
      <w:r w:rsidRPr="00534EC2">
        <w:rPr>
          <w:rFonts w:ascii="宋体" w:eastAsia="宋体" w:hAnsi="宋体" w:cs="Times New Roman" w:hint="eastAsia"/>
          <w:sz w:val="24"/>
          <w:szCs w:val="24"/>
        </w:rPr>
        <w:t>苄</w:t>
      </w:r>
      <w:proofErr w:type="gramEnd"/>
      <w:r w:rsidRPr="00534EC2">
        <w:rPr>
          <w:rFonts w:ascii="宋体" w:eastAsia="宋体" w:hAnsi="宋体" w:cs="Times New Roman" w:hint="eastAsia"/>
          <w:sz w:val="24"/>
          <w:szCs w:val="24"/>
        </w:rPr>
        <w:t>、克拉维酸钾、舒巴坦钠的结构特点、理化性质和临床用途；</w:t>
      </w:r>
    </w:p>
    <w:p w14:paraId="2CDE9779"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青霉素类</w:t>
      </w:r>
      <w:proofErr w:type="gramStart"/>
      <w:r w:rsidRPr="00534EC2">
        <w:rPr>
          <w:rFonts w:ascii="宋体" w:eastAsia="宋体" w:hAnsi="宋体" w:cs="Times New Roman" w:hint="eastAsia"/>
          <w:sz w:val="24"/>
          <w:szCs w:val="24"/>
        </w:rPr>
        <w:t>药物构效关系</w:t>
      </w:r>
      <w:proofErr w:type="gramEnd"/>
      <w:r w:rsidRPr="00534EC2">
        <w:rPr>
          <w:rFonts w:ascii="宋体" w:eastAsia="宋体" w:hAnsi="宋体" w:cs="Times New Roman" w:hint="eastAsia"/>
          <w:sz w:val="24"/>
          <w:szCs w:val="24"/>
        </w:rPr>
        <w:t>；</w:t>
      </w:r>
    </w:p>
    <w:p w14:paraId="7265D824"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4.</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头孢菌素四代的划分及各代药物的特点。</w:t>
      </w:r>
    </w:p>
    <w:p w14:paraId="4821DF74"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【难点】</w:t>
      </w:r>
    </w:p>
    <w:p w14:paraId="56864114"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β-内酰胺类抗生素的结构特点、分类和作用机制；</w:t>
      </w:r>
    </w:p>
    <w:p w14:paraId="777B713B"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青霉素类</w:t>
      </w:r>
      <w:proofErr w:type="gramStart"/>
      <w:r w:rsidRPr="00534EC2">
        <w:rPr>
          <w:rFonts w:ascii="宋体" w:eastAsia="宋体" w:hAnsi="宋体" w:cs="Times New Roman" w:hint="eastAsia"/>
          <w:sz w:val="24"/>
          <w:szCs w:val="24"/>
        </w:rPr>
        <w:t>药物构效关系</w:t>
      </w:r>
      <w:proofErr w:type="gramEnd"/>
      <w:r w:rsidRPr="00534EC2">
        <w:rPr>
          <w:rFonts w:ascii="宋体" w:eastAsia="宋体" w:hAnsi="宋体" w:cs="Times New Roman" w:hint="eastAsia"/>
          <w:sz w:val="24"/>
          <w:szCs w:val="24"/>
        </w:rPr>
        <w:t>。</w:t>
      </w:r>
    </w:p>
    <w:p w14:paraId="55B3E3E3"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lastRenderedPageBreak/>
        <w:t>【教学方法】</w:t>
      </w:r>
    </w:p>
    <w:p w14:paraId="713A5441"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65BF24D1"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通过案例分析，青霉素的发现历程，培养学生洞察能力,科学严谨的工作作风。</w:t>
      </w:r>
    </w:p>
    <w:p w14:paraId="70F452A5"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【复习思考】</w:t>
      </w:r>
    </w:p>
    <w:p w14:paraId="6813734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Times New Roman" w:eastAsia="宋体" w:hAnsi="Times New Roman" w:cs="Times New Roman" w:hint="eastAsia"/>
          <w:szCs w:val="24"/>
        </w:rPr>
        <w:t xml:space="preserve"> </w:t>
      </w:r>
      <w:r w:rsidRPr="00534EC2">
        <w:rPr>
          <w:rFonts w:ascii="宋体" w:eastAsia="宋体" w:hAnsi="宋体" w:cs="Times New Roman" w:hint="eastAsia"/>
          <w:sz w:val="24"/>
          <w:szCs w:val="24"/>
        </w:rPr>
        <w:t>β-内酰胺类抗生素的结构特点、分类和作用机制。</w:t>
      </w:r>
    </w:p>
    <w:p w14:paraId="4D3A8E5C" w14:textId="77777777" w:rsidR="00534EC2" w:rsidRPr="00534EC2" w:rsidRDefault="00534EC2" w:rsidP="00D225FF">
      <w:pPr>
        <w:spacing w:beforeLines="50" w:before="156" w:afterLines="50" w:after="156" w:line="440" w:lineRule="exact"/>
        <w:ind w:firstLineChars="200" w:firstLine="482"/>
        <w:jc w:val="center"/>
        <w:rPr>
          <w:rFonts w:ascii="宋体" w:eastAsia="宋体" w:hAnsi="宋体" w:cs="Times New Roman"/>
          <w:b/>
          <w:sz w:val="24"/>
          <w:szCs w:val="24"/>
        </w:rPr>
      </w:pPr>
      <w:r w:rsidRPr="00534EC2">
        <w:rPr>
          <w:rFonts w:ascii="宋体" w:eastAsia="宋体" w:hAnsi="宋体" w:cs="Times New Roman" w:hint="eastAsia"/>
          <w:b/>
          <w:sz w:val="24"/>
          <w:szCs w:val="24"/>
        </w:rPr>
        <w:t>第十九章  合成抗菌药</w:t>
      </w:r>
    </w:p>
    <w:p w14:paraId="5A744D44"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【学习目标】</w:t>
      </w:r>
    </w:p>
    <w:p w14:paraId="3AC50E7B"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认知类目标：熟悉</w:t>
      </w:r>
      <w:proofErr w:type="gramStart"/>
      <w:r w:rsidRPr="00534EC2">
        <w:rPr>
          <w:rFonts w:ascii="宋体" w:eastAsia="宋体" w:hAnsi="宋体" w:cs="Times New Roman" w:hint="eastAsia"/>
          <w:sz w:val="24"/>
          <w:szCs w:val="24"/>
        </w:rPr>
        <w:t>喹</w:t>
      </w:r>
      <w:proofErr w:type="gramEnd"/>
      <w:r w:rsidRPr="00534EC2">
        <w:rPr>
          <w:rFonts w:ascii="宋体" w:eastAsia="宋体" w:hAnsi="宋体" w:cs="Times New Roman" w:hint="eastAsia"/>
          <w:sz w:val="24"/>
          <w:szCs w:val="24"/>
        </w:rPr>
        <w:t>诺酮类药物的发展及作用机制。</w:t>
      </w:r>
    </w:p>
    <w:p w14:paraId="34C96A4A"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过程与方法类目标：掌握磺胺类药物及抗菌增效剂的作用机理；代表药物磺胺甲噁</w:t>
      </w:r>
      <w:proofErr w:type="gramStart"/>
      <w:r w:rsidRPr="00534EC2">
        <w:rPr>
          <w:rFonts w:ascii="宋体" w:eastAsia="宋体" w:hAnsi="宋体" w:cs="Times New Roman" w:hint="eastAsia"/>
          <w:sz w:val="24"/>
          <w:szCs w:val="24"/>
        </w:rPr>
        <w:t>唑</w:t>
      </w:r>
      <w:proofErr w:type="gramEnd"/>
      <w:r w:rsidRPr="00534EC2">
        <w:rPr>
          <w:rFonts w:ascii="宋体" w:eastAsia="宋体" w:hAnsi="宋体" w:cs="Times New Roman" w:hint="eastAsia"/>
          <w:sz w:val="24"/>
          <w:szCs w:val="24"/>
        </w:rPr>
        <w:t>、甲氧</w:t>
      </w:r>
      <w:proofErr w:type="gramStart"/>
      <w:r w:rsidRPr="00534EC2">
        <w:rPr>
          <w:rFonts w:ascii="宋体" w:eastAsia="宋体" w:hAnsi="宋体" w:cs="Times New Roman" w:hint="eastAsia"/>
          <w:sz w:val="24"/>
          <w:szCs w:val="24"/>
        </w:rPr>
        <w:t>苄啶</w:t>
      </w:r>
      <w:proofErr w:type="gramEnd"/>
      <w:r w:rsidRPr="00534EC2">
        <w:rPr>
          <w:rFonts w:ascii="宋体" w:eastAsia="宋体" w:hAnsi="宋体" w:cs="Times New Roman" w:hint="eastAsia"/>
          <w:sz w:val="24"/>
          <w:szCs w:val="24"/>
        </w:rPr>
        <w:t>结构特点、理化性质、临床用途及合成；磺胺类药物</w:t>
      </w:r>
      <w:proofErr w:type="gramStart"/>
      <w:r w:rsidRPr="00534EC2">
        <w:rPr>
          <w:rFonts w:ascii="宋体" w:eastAsia="宋体" w:hAnsi="宋体" w:cs="Times New Roman" w:hint="eastAsia"/>
          <w:sz w:val="24"/>
          <w:szCs w:val="24"/>
        </w:rPr>
        <w:t>的构效关系</w:t>
      </w:r>
      <w:proofErr w:type="gramEnd"/>
      <w:r w:rsidRPr="00534EC2">
        <w:rPr>
          <w:rFonts w:ascii="宋体" w:eastAsia="宋体" w:hAnsi="宋体" w:cs="Times New Roman" w:hint="eastAsia"/>
          <w:sz w:val="24"/>
          <w:szCs w:val="24"/>
        </w:rPr>
        <w:t>；环丙沙星、诺氟沙星、左氧氟沙星的结构、理化性质及用途；</w:t>
      </w:r>
      <w:proofErr w:type="gramStart"/>
      <w:r w:rsidRPr="00534EC2">
        <w:rPr>
          <w:rFonts w:ascii="宋体" w:eastAsia="宋体" w:hAnsi="宋体" w:cs="Times New Roman" w:hint="eastAsia"/>
          <w:sz w:val="24"/>
          <w:szCs w:val="24"/>
        </w:rPr>
        <w:t>喹</w:t>
      </w:r>
      <w:proofErr w:type="gramEnd"/>
      <w:r w:rsidRPr="00534EC2">
        <w:rPr>
          <w:rFonts w:ascii="宋体" w:eastAsia="宋体" w:hAnsi="宋体" w:cs="Times New Roman" w:hint="eastAsia"/>
          <w:sz w:val="24"/>
          <w:szCs w:val="24"/>
        </w:rPr>
        <w:t>诺酮类药物</w:t>
      </w:r>
      <w:proofErr w:type="gramStart"/>
      <w:r w:rsidRPr="00534EC2">
        <w:rPr>
          <w:rFonts w:ascii="宋体" w:eastAsia="宋体" w:hAnsi="宋体" w:cs="Times New Roman" w:hint="eastAsia"/>
          <w:sz w:val="24"/>
          <w:szCs w:val="24"/>
        </w:rPr>
        <w:t>的构效关系</w:t>
      </w:r>
      <w:proofErr w:type="gramEnd"/>
      <w:r w:rsidRPr="00534EC2">
        <w:rPr>
          <w:rFonts w:ascii="宋体" w:eastAsia="宋体" w:hAnsi="宋体" w:cs="Times New Roman" w:hint="eastAsia"/>
          <w:sz w:val="24"/>
          <w:szCs w:val="24"/>
        </w:rPr>
        <w:t>。</w:t>
      </w:r>
    </w:p>
    <w:p w14:paraId="2DFF580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 情感、态度、价值观类目标：培养学生勇于探索，开拓进取的科研精神。</w:t>
      </w:r>
    </w:p>
    <w:p w14:paraId="37E1A2EB"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【学习内容】</w:t>
      </w:r>
    </w:p>
    <w:p w14:paraId="6633F40D"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磺胺类药物的发展</w:t>
      </w:r>
    </w:p>
    <w:p w14:paraId="7226790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磺胺类药</w:t>
      </w:r>
      <w:proofErr w:type="gramStart"/>
      <w:r w:rsidRPr="00534EC2">
        <w:rPr>
          <w:rFonts w:ascii="宋体" w:eastAsia="宋体" w:hAnsi="宋体" w:cs="Times New Roman" w:hint="eastAsia"/>
          <w:sz w:val="24"/>
          <w:szCs w:val="24"/>
        </w:rPr>
        <w:t>物构效关系</w:t>
      </w:r>
      <w:proofErr w:type="gramEnd"/>
    </w:p>
    <w:p w14:paraId="48FDE75F"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磺胺类代表药物</w:t>
      </w:r>
    </w:p>
    <w:p w14:paraId="4FA1FBA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4</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磺胺类药</w:t>
      </w:r>
      <w:proofErr w:type="gramStart"/>
      <w:r w:rsidRPr="00534EC2">
        <w:rPr>
          <w:rFonts w:ascii="宋体" w:eastAsia="宋体" w:hAnsi="宋体" w:cs="Times New Roman" w:hint="eastAsia"/>
          <w:sz w:val="24"/>
          <w:szCs w:val="24"/>
        </w:rPr>
        <w:t>物构效关系</w:t>
      </w:r>
      <w:proofErr w:type="gramEnd"/>
    </w:p>
    <w:p w14:paraId="14403533"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5</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抗菌增效剂及作用机制</w:t>
      </w:r>
    </w:p>
    <w:p w14:paraId="7E459ED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6</w:t>
      </w:r>
      <w:r w:rsidRPr="00534EC2">
        <w:rPr>
          <w:rFonts w:ascii="宋体" w:eastAsia="宋体" w:hAnsi="宋体" w:cs="Times New Roman"/>
          <w:sz w:val="24"/>
          <w:szCs w:val="24"/>
        </w:rPr>
        <w:t xml:space="preserve">. </w:t>
      </w:r>
      <w:proofErr w:type="gramStart"/>
      <w:r w:rsidRPr="00534EC2">
        <w:rPr>
          <w:rFonts w:ascii="宋体" w:eastAsia="宋体" w:hAnsi="宋体" w:cs="Times New Roman" w:hint="eastAsia"/>
          <w:sz w:val="24"/>
          <w:szCs w:val="24"/>
        </w:rPr>
        <w:t>喹</w:t>
      </w:r>
      <w:proofErr w:type="gramEnd"/>
      <w:r w:rsidRPr="00534EC2">
        <w:rPr>
          <w:rFonts w:ascii="宋体" w:eastAsia="宋体" w:hAnsi="宋体" w:cs="Times New Roman" w:hint="eastAsia"/>
          <w:sz w:val="24"/>
          <w:szCs w:val="24"/>
        </w:rPr>
        <w:t>诺酮类抗菌药</w:t>
      </w:r>
    </w:p>
    <w:p w14:paraId="4FEBC2F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【重点】</w:t>
      </w:r>
    </w:p>
    <w:p w14:paraId="22A2AF2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磺胺类药物及抗菌增效剂的作用机理；</w:t>
      </w:r>
    </w:p>
    <w:p w14:paraId="5625706F"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磺胺类药物和</w:t>
      </w:r>
      <w:proofErr w:type="gramStart"/>
      <w:r w:rsidRPr="00534EC2">
        <w:rPr>
          <w:rFonts w:ascii="宋体" w:eastAsia="宋体" w:hAnsi="宋体" w:cs="Times New Roman" w:hint="eastAsia"/>
          <w:sz w:val="24"/>
          <w:szCs w:val="24"/>
        </w:rPr>
        <w:t>喹</w:t>
      </w:r>
      <w:proofErr w:type="gramEnd"/>
      <w:r w:rsidRPr="00534EC2">
        <w:rPr>
          <w:rFonts w:ascii="宋体" w:eastAsia="宋体" w:hAnsi="宋体" w:cs="Times New Roman" w:hint="eastAsia"/>
          <w:sz w:val="24"/>
          <w:szCs w:val="24"/>
        </w:rPr>
        <w:t>诺酮类药物</w:t>
      </w:r>
      <w:proofErr w:type="gramStart"/>
      <w:r w:rsidRPr="00534EC2">
        <w:rPr>
          <w:rFonts w:ascii="宋体" w:eastAsia="宋体" w:hAnsi="宋体" w:cs="Times New Roman" w:hint="eastAsia"/>
          <w:sz w:val="24"/>
          <w:szCs w:val="24"/>
        </w:rPr>
        <w:t>的构效关系</w:t>
      </w:r>
      <w:proofErr w:type="gramEnd"/>
      <w:r w:rsidRPr="00534EC2">
        <w:rPr>
          <w:rFonts w:ascii="宋体" w:eastAsia="宋体" w:hAnsi="宋体" w:cs="Times New Roman" w:hint="eastAsia"/>
          <w:sz w:val="24"/>
          <w:szCs w:val="24"/>
        </w:rPr>
        <w:t>；</w:t>
      </w:r>
    </w:p>
    <w:p w14:paraId="75573E4B"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磺胺甲噁</w:t>
      </w:r>
      <w:proofErr w:type="gramStart"/>
      <w:r w:rsidRPr="00534EC2">
        <w:rPr>
          <w:rFonts w:ascii="宋体" w:eastAsia="宋体" w:hAnsi="宋体" w:cs="Times New Roman" w:hint="eastAsia"/>
          <w:sz w:val="24"/>
          <w:szCs w:val="24"/>
        </w:rPr>
        <w:t>唑</w:t>
      </w:r>
      <w:proofErr w:type="gramEnd"/>
      <w:r w:rsidRPr="00534EC2">
        <w:rPr>
          <w:rFonts w:ascii="宋体" w:eastAsia="宋体" w:hAnsi="宋体" w:cs="Times New Roman" w:hint="eastAsia"/>
          <w:sz w:val="24"/>
          <w:szCs w:val="24"/>
        </w:rPr>
        <w:t>、甲氧</w:t>
      </w:r>
      <w:proofErr w:type="gramStart"/>
      <w:r w:rsidRPr="00534EC2">
        <w:rPr>
          <w:rFonts w:ascii="宋体" w:eastAsia="宋体" w:hAnsi="宋体" w:cs="Times New Roman" w:hint="eastAsia"/>
          <w:sz w:val="24"/>
          <w:szCs w:val="24"/>
        </w:rPr>
        <w:t>苄啶</w:t>
      </w:r>
      <w:proofErr w:type="gramEnd"/>
      <w:r w:rsidRPr="00534EC2">
        <w:rPr>
          <w:rFonts w:ascii="宋体" w:eastAsia="宋体" w:hAnsi="宋体" w:cs="Times New Roman" w:hint="eastAsia"/>
          <w:sz w:val="24"/>
          <w:szCs w:val="24"/>
        </w:rPr>
        <w:t>环、丙沙星、诺氟沙星、左氧氟沙星结构特点、理化性质、临床用途。</w:t>
      </w:r>
    </w:p>
    <w:p w14:paraId="2EFDB9A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【难点】</w:t>
      </w:r>
    </w:p>
    <w:p w14:paraId="56C75564"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磺胺类药物及抗菌增效剂的作用机理；</w:t>
      </w:r>
    </w:p>
    <w:p w14:paraId="3823B97E"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磺胺类药物和</w:t>
      </w:r>
      <w:proofErr w:type="gramStart"/>
      <w:r w:rsidRPr="00534EC2">
        <w:rPr>
          <w:rFonts w:ascii="宋体" w:eastAsia="宋体" w:hAnsi="宋体" w:cs="Times New Roman" w:hint="eastAsia"/>
          <w:sz w:val="24"/>
          <w:szCs w:val="24"/>
        </w:rPr>
        <w:t>喹</w:t>
      </w:r>
      <w:proofErr w:type="gramEnd"/>
      <w:r w:rsidRPr="00534EC2">
        <w:rPr>
          <w:rFonts w:ascii="宋体" w:eastAsia="宋体" w:hAnsi="宋体" w:cs="Times New Roman" w:hint="eastAsia"/>
          <w:sz w:val="24"/>
          <w:szCs w:val="24"/>
        </w:rPr>
        <w:t>诺酮类药物</w:t>
      </w:r>
      <w:proofErr w:type="gramStart"/>
      <w:r w:rsidRPr="00534EC2">
        <w:rPr>
          <w:rFonts w:ascii="宋体" w:eastAsia="宋体" w:hAnsi="宋体" w:cs="Times New Roman" w:hint="eastAsia"/>
          <w:sz w:val="24"/>
          <w:szCs w:val="24"/>
        </w:rPr>
        <w:t>的构效关系</w:t>
      </w:r>
      <w:proofErr w:type="gramEnd"/>
      <w:r w:rsidRPr="00534EC2">
        <w:rPr>
          <w:rFonts w:ascii="宋体" w:eastAsia="宋体" w:hAnsi="宋体" w:cs="Times New Roman" w:hint="eastAsia"/>
          <w:sz w:val="24"/>
          <w:szCs w:val="24"/>
        </w:rPr>
        <w:t>。</w:t>
      </w:r>
    </w:p>
    <w:p w14:paraId="4D8FDA49"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【教学方法】</w:t>
      </w:r>
    </w:p>
    <w:p w14:paraId="22B5EF40"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通过多媒体课件和传统教学相结合，阐明课程与教学基本原理，丰富学生课</w:t>
      </w:r>
      <w:r w:rsidRPr="00534EC2">
        <w:rPr>
          <w:rFonts w:ascii="宋体" w:eastAsia="宋体" w:hAnsi="宋体" w:cs="Times New Roman" w:hint="eastAsia"/>
          <w:sz w:val="24"/>
          <w:szCs w:val="24"/>
        </w:rPr>
        <w:lastRenderedPageBreak/>
        <w:t>程与教学的基本知识结构，培养学生的职业规范。</w:t>
      </w:r>
    </w:p>
    <w:p w14:paraId="38A81DBA"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通过案例分析，多马克发现“百浪多息”历程，培养学生勇于探索，开拓进取的科研精神。</w:t>
      </w:r>
    </w:p>
    <w:p w14:paraId="24893A3F"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【复习思考】</w:t>
      </w:r>
    </w:p>
    <w:p w14:paraId="3F8C35EA"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抗代谢作用。</w:t>
      </w:r>
    </w:p>
    <w:p w14:paraId="00FD203D"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磺胺类药物</w:t>
      </w:r>
      <w:proofErr w:type="gramStart"/>
      <w:r w:rsidRPr="00534EC2">
        <w:rPr>
          <w:rFonts w:ascii="宋体" w:eastAsia="宋体" w:hAnsi="宋体" w:cs="Times New Roman" w:hint="eastAsia"/>
          <w:sz w:val="24"/>
          <w:szCs w:val="24"/>
        </w:rPr>
        <w:t>的构效关系</w:t>
      </w:r>
      <w:proofErr w:type="gramEnd"/>
      <w:r w:rsidRPr="00534EC2">
        <w:rPr>
          <w:rFonts w:ascii="宋体" w:eastAsia="宋体" w:hAnsi="宋体" w:cs="Times New Roman" w:hint="eastAsia"/>
          <w:sz w:val="24"/>
          <w:szCs w:val="24"/>
        </w:rPr>
        <w:t>。</w:t>
      </w:r>
    </w:p>
    <w:p w14:paraId="09CA698E"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甲氧</w:t>
      </w:r>
      <w:proofErr w:type="gramStart"/>
      <w:r w:rsidRPr="00534EC2">
        <w:rPr>
          <w:rFonts w:ascii="宋体" w:eastAsia="宋体" w:hAnsi="宋体" w:cs="Times New Roman" w:hint="eastAsia"/>
          <w:sz w:val="24"/>
          <w:szCs w:val="24"/>
        </w:rPr>
        <w:t>苄</w:t>
      </w:r>
      <w:proofErr w:type="gramEnd"/>
      <w:r w:rsidRPr="00534EC2">
        <w:rPr>
          <w:rFonts w:ascii="宋体" w:eastAsia="宋体" w:hAnsi="宋体" w:cs="Times New Roman" w:hint="eastAsia"/>
          <w:sz w:val="24"/>
          <w:szCs w:val="24"/>
        </w:rPr>
        <w:t>氨嘧啶的增效机理。</w:t>
      </w:r>
    </w:p>
    <w:p w14:paraId="35401234" w14:textId="77777777" w:rsidR="00534EC2" w:rsidRPr="00534EC2" w:rsidRDefault="00534EC2" w:rsidP="00D225FF">
      <w:pPr>
        <w:spacing w:beforeLines="50" w:before="156" w:afterLines="50" w:after="156" w:line="440" w:lineRule="exact"/>
        <w:ind w:firstLineChars="200" w:firstLine="482"/>
        <w:jc w:val="center"/>
        <w:rPr>
          <w:rFonts w:ascii="宋体" w:eastAsia="宋体" w:hAnsi="宋体" w:cs="Times New Roman"/>
          <w:b/>
          <w:sz w:val="24"/>
          <w:szCs w:val="24"/>
        </w:rPr>
      </w:pPr>
      <w:r w:rsidRPr="00534EC2">
        <w:rPr>
          <w:rFonts w:ascii="宋体" w:eastAsia="宋体" w:hAnsi="宋体" w:cs="Times New Roman" w:hint="eastAsia"/>
          <w:b/>
          <w:sz w:val="24"/>
          <w:szCs w:val="24"/>
        </w:rPr>
        <w:t>第二十章  抗肿瘤药物</w:t>
      </w:r>
    </w:p>
    <w:p w14:paraId="76071AE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【学习目标】</w:t>
      </w:r>
    </w:p>
    <w:p w14:paraId="09A03FD1"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认知类目标：了解金属</w:t>
      </w:r>
      <w:proofErr w:type="gramStart"/>
      <w:r w:rsidRPr="00534EC2">
        <w:rPr>
          <w:rFonts w:ascii="宋体" w:eastAsia="宋体" w:hAnsi="宋体" w:cs="Times New Roman" w:hint="eastAsia"/>
          <w:sz w:val="24"/>
          <w:szCs w:val="24"/>
        </w:rPr>
        <w:t>铂</w:t>
      </w:r>
      <w:proofErr w:type="gramEnd"/>
      <w:r w:rsidRPr="00534EC2">
        <w:rPr>
          <w:rFonts w:ascii="宋体" w:eastAsia="宋体" w:hAnsi="宋体" w:cs="Times New Roman" w:hint="eastAsia"/>
          <w:sz w:val="24"/>
          <w:szCs w:val="24"/>
        </w:rPr>
        <w:t>配合物的发展</w:t>
      </w:r>
      <w:proofErr w:type="gramStart"/>
      <w:r w:rsidRPr="00534EC2">
        <w:rPr>
          <w:rFonts w:ascii="宋体" w:eastAsia="宋体" w:hAnsi="宋体" w:cs="Times New Roman" w:hint="eastAsia"/>
          <w:sz w:val="24"/>
          <w:szCs w:val="24"/>
        </w:rPr>
        <w:t>及构效</w:t>
      </w:r>
      <w:proofErr w:type="gramEnd"/>
      <w:r w:rsidRPr="00534EC2">
        <w:rPr>
          <w:rFonts w:ascii="宋体" w:eastAsia="宋体" w:hAnsi="宋体" w:cs="Times New Roman" w:hint="eastAsia"/>
          <w:sz w:val="24"/>
          <w:szCs w:val="24"/>
        </w:rPr>
        <w:t>关系；</w:t>
      </w:r>
      <w:proofErr w:type="gramStart"/>
      <w:r w:rsidRPr="00534EC2">
        <w:rPr>
          <w:rFonts w:ascii="宋体" w:eastAsia="宋体" w:hAnsi="宋体" w:cs="Times New Roman" w:hint="eastAsia"/>
          <w:sz w:val="24"/>
          <w:szCs w:val="24"/>
        </w:rPr>
        <w:t>熟悉塞替派</w:t>
      </w:r>
      <w:proofErr w:type="gramEnd"/>
      <w:r w:rsidRPr="00534EC2">
        <w:rPr>
          <w:rFonts w:ascii="宋体" w:eastAsia="宋体" w:hAnsi="宋体" w:cs="Times New Roman" w:hint="eastAsia"/>
          <w:sz w:val="24"/>
          <w:szCs w:val="24"/>
        </w:rPr>
        <w:t>、卡莫司汀、</w:t>
      </w:r>
      <w:proofErr w:type="gramStart"/>
      <w:r w:rsidRPr="00534EC2">
        <w:rPr>
          <w:rFonts w:ascii="宋体" w:eastAsia="宋体" w:hAnsi="宋体" w:cs="Times New Roman" w:hint="eastAsia"/>
          <w:sz w:val="24"/>
          <w:szCs w:val="24"/>
        </w:rPr>
        <w:t>白消安</w:t>
      </w:r>
      <w:proofErr w:type="gramEnd"/>
      <w:r w:rsidRPr="00534EC2">
        <w:rPr>
          <w:rFonts w:ascii="宋体" w:eastAsia="宋体" w:hAnsi="宋体" w:cs="Times New Roman" w:hint="eastAsia"/>
          <w:sz w:val="24"/>
          <w:szCs w:val="24"/>
        </w:rPr>
        <w:t>的结构及临床应用；盐酸阿糖胞苷、甲氨</w:t>
      </w:r>
      <w:proofErr w:type="gramStart"/>
      <w:r w:rsidRPr="00534EC2">
        <w:rPr>
          <w:rFonts w:ascii="宋体" w:eastAsia="宋体" w:hAnsi="宋体" w:cs="Times New Roman" w:hint="eastAsia"/>
          <w:sz w:val="24"/>
          <w:szCs w:val="24"/>
        </w:rPr>
        <w:t>喋呤</w:t>
      </w:r>
      <w:proofErr w:type="gramEnd"/>
      <w:r w:rsidRPr="00534EC2">
        <w:rPr>
          <w:rFonts w:ascii="宋体" w:eastAsia="宋体" w:hAnsi="宋体" w:cs="Times New Roman" w:hint="eastAsia"/>
          <w:sz w:val="24"/>
          <w:szCs w:val="24"/>
        </w:rPr>
        <w:t>和</w:t>
      </w:r>
      <w:proofErr w:type="gramStart"/>
      <w:r w:rsidRPr="00534EC2">
        <w:rPr>
          <w:rFonts w:ascii="宋体" w:eastAsia="宋体" w:hAnsi="宋体" w:cs="Times New Roman" w:hint="eastAsia"/>
          <w:sz w:val="24"/>
          <w:szCs w:val="24"/>
        </w:rPr>
        <w:t>巯</w:t>
      </w:r>
      <w:proofErr w:type="gramEnd"/>
      <w:r w:rsidRPr="00534EC2">
        <w:rPr>
          <w:rFonts w:ascii="宋体" w:eastAsia="宋体" w:hAnsi="宋体" w:cs="Times New Roman" w:hint="eastAsia"/>
          <w:sz w:val="24"/>
          <w:szCs w:val="24"/>
        </w:rPr>
        <w:t>嘌呤的结构及临床应用。</w:t>
      </w:r>
    </w:p>
    <w:p w14:paraId="63BCE4A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过程与方法类目标：掌握烷化剂类药物的结构类型和作用机理；环磷酰胺、卡莫司汀、</w:t>
      </w:r>
      <w:proofErr w:type="gramStart"/>
      <w:r w:rsidRPr="00534EC2">
        <w:rPr>
          <w:rFonts w:ascii="宋体" w:eastAsia="宋体" w:hAnsi="宋体" w:cs="Times New Roman" w:hint="eastAsia"/>
          <w:sz w:val="24"/>
          <w:szCs w:val="24"/>
        </w:rPr>
        <w:t>顺铂的</w:t>
      </w:r>
      <w:proofErr w:type="gramEnd"/>
      <w:r w:rsidRPr="00534EC2">
        <w:rPr>
          <w:rFonts w:ascii="宋体" w:eastAsia="宋体" w:hAnsi="宋体" w:cs="Times New Roman" w:hint="eastAsia"/>
          <w:sz w:val="24"/>
          <w:szCs w:val="24"/>
        </w:rPr>
        <w:t>结构、理化性质及作用特点；环磷酰胺的合成方法；抗代谢药物的设计原理及作用机理；氟尿嘧啶、</w:t>
      </w:r>
      <w:proofErr w:type="gramStart"/>
      <w:r w:rsidRPr="00534EC2">
        <w:rPr>
          <w:rFonts w:ascii="宋体" w:eastAsia="宋体" w:hAnsi="宋体" w:cs="Times New Roman" w:hint="eastAsia"/>
          <w:sz w:val="24"/>
          <w:szCs w:val="24"/>
        </w:rPr>
        <w:t>巯</w:t>
      </w:r>
      <w:proofErr w:type="gramEnd"/>
      <w:r w:rsidRPr="00534EC2">
        <w:rPr>
          <w:rFonts w:ascii="宋体" w:eastAsia="宋体" w:hAnsi="宋体" w:cs="Times New Roman" w:hint="eastAsia"/>
          <w:sz w:val="24"/>
          <w:szCs w:val="24"/>
        </w:rPr>
        <w:t>嘌呤的结构、理化性质及临床应用</w:t>
      </w:r>
    </w:p>
    <w:p w14:paraId="609CCF8E"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 情感、态度、价值观类目标：教育学生铭记历史、珍惜和平，为生活在繁荣富强的祖国而骄傲。</w:t>
      </w:r>
    </w:p>
    <w:p w14:paraId="7AD36235"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【学习内容】</w:t>
      </w:r>
    </w:p>
    <w:p w14:paraId="1A6B937A"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烷化剂</w:t>
      </w:r>
    </w:p>
    <w:p w14:paraId="2C056B7D"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金属</w:t>
      </w:r>
      <w:proofErr w:type="gramStart"/>
      <w:r w:rsidRPr="00534EC2">
        <w:rPr>
          <w:rFonts w:ascii="宋体" w:eastAsia="宋体" w:hAnsi="宋体" w:cs="Times New Roman" w:hint="eastAsia"/>
          <w:sz w:val="24"/>
          <w:szCs w:val="24"/>
        </w:rPr>
        <w:t>铂</w:t>
      </w:r>
      <w:proofErr w:type="gramEnd"/>
      <w:r w:rsidRPr="00534EC2">
        <w:rPr>
          <w:rFonts w:ascii="宋体" w:eastAsia="宋体" w:hAnsi="宋体" w:cs="Times New Roman" w:hint="eastAsia"/>
          <w:sz w:val="24"/>
          <w:szCs w:val="24"/>
        </w:rPr>
        <w:t>络合物</w:t>
      </w:r>
    </w:p>
    <w:p w14:paraId="66F96EC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叶酸拮抗剂</w:t>
      </w:r>
    </w:p>
    <w:p w14:paraId="0A1BB65E"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4</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嘧啶拮抗剂</w:t>
      </w:r>
    </w:p>
    <w:p w14:paraId="642FE11B"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5</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嘌呤拮抗剂</w:t>
      </w:r>
    </w:p>
    <w:p w14:paraId="1BDBA20D"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【重点】</w:t>
      </w:r>
    </w:p>
    <w:p w14:paraId="53E48D03"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烷化剂类药物的结构类型和作用机理；</w:t>
      </w:r>
    </w:p>
    <w:p w14:paraId="0202801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环磷酰胺、卡莫司汀、顺铂、氟尿嘧啶、</w:t>
      </w:r>
      <w:proofErr w:type="gramStart"/>
      <w:r w:rsidRPr="00534EC2">
        <w:rPr>
          <w:rFonts w:ascii="宋体" w:eastAsia="宋体" w:hAnsi="宋体" w:cs="Times New Roman" w:hint="eastAsia"/>
          <w:sz w:val="24"/>
          <w:szCs w:val="24"/>
        </w:rPr>
        <w:t>巯</w:t>
      </w:r>
      <w:proofErr w:type="gramEnd"/>
      <w:r w:rsidRPr="00534EC2">
        <w:rPr>
          <w:rFonts w:ascii="宋体" w:eastAsia="宋体" w:hAnsi="宋体" w:cs="Times New Roman" w:hint="eastAsia"/>
          <w:sz w:val="24"/>
          <w:szCs w:val="24"/>
        </w:rPr>
        <w:t>嘌呤的结构、理化性质及作用特点。</w:t>
      </w:r>
    </w:p>
    <w:p w14:paraId="34F89739"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【难点】</w:t>
      </w:r>
    </w:p>
    <w:p w14:paraId="3FCE2746"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抗代谢药物的设计原理及作用机理。</w:t>
      </w:r>
    </w:p>
    <w:p w14:paraId="62C5706F"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【教学方法】</w:t>
      </w:r>
    </w:p>
    <w:p w14:paraId="4B774184"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39195413"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lastRenderedPageBreak/>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通过案例分析，介绍氮</w:t>
      </w:r>
      <w:proofErr w:type="gramStart"/>
      <w:r w:rsidRPr="00534EC2">
        <w:rPr>
          <w:rFonts w:ascii="宋体" w:eastAsia="宋体" w:hAnsi="宋体" w:cs="Times New Roman" w:hint="eastAsia"/>
          <w:sz w:val="24"/>
          <w:szCs w:val="24"/>
        </w:rPr>
        <w:t>芥</w:t>
      </w:r>
      <w:proofErr w:type="gramEnd"/>
      <w:r w:rsidRPr="00534EC2">
        <w:rPr>
          <w:rFonts w:ascii="宋体" w:eastAsia="宋体" w:hAnsi="宋体" w:cs="Times New Roman" w:hint="eastAsia"/>
          <w:sz w:val="24"/>
          <w:szCs w:val="24"/>
        </w:rPr>
        <w:t>类药物的起源，使学生了解战争毒气芥子气，教育学生铭记历史、珍惜和平，为生活在繁荣富强的祖国而骄傲。</w:t>
      </w:r>
    </w:p>
    <w:p w14:paraId="1BBB1EB1"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【复习思考】</w:t>
      </w:r>
    </w:p>
    <w:p w14:paraId="74953235"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氮</w:t>
      </w:r>
      <w:proofErr w:type="gramStart"/>
      <w:r w:rsidRPr="00534EC2">
        <w:rPr>
          <w:rFonts w:ascii="宋体" w:eastAsia="宋体" w:hAnsi="宋体" w:cs="Times New Roman" w:hint="eastAsia"/>
          <w:sz w:val="24"/>
          <w:szCs w:val="24"/>
        </w:rPr>
        <w:t>芥</w:t>
      </w:r>
      <w:proofErr w:type="gramEnd"/>
      <w:r w:rsidRPr="00534EC2">
        <w:rPr>
          <w:rFonts w:ascii="宋体" w:eastAsia="宋体" w:hAnsi="宋体" w:cs="Times New Roman" w:hint="eastAsia"/>
          <w:sz w:val="24"/>
          <w:szCs w:val="24"/>
        </w:rPr>
        <w:t>类抗肿瘤药</w:t>
      </w:r>
      <w:proofErr w:type="gramStart"/>
      <w:r w:rsidRPr="00534EC2">
        <w:rPr>
          <w:rFonts w:ascii="宋体" w:eastAsia="宋体" w:hAnsi="宋体" w:cs="Times New Roman" w:hint="eastAsia"/>
          <w:sz w:val="24"/>
          <w:szCs w:val="24"/>
        </w:rPr>
        <w:t>物分为</w:t>
      </w:r>
      <w:proofErr w:type="gramEnd"/>
      <w:r w:rsidRPr="00534EC2">
        <w:rPr>
          <w:rFonts w:ascii="宋体" w:eastAsia="宋体" w:hAnsi="宋体" w:cs="Times New Roman" w:hint="eastAsia"/>
          <w:sz w:val="24"/>
          <w:szCs w:val="24"/>
        </w:rPr>
        <w:t>哪两部分，每部分起什么作用？</w:t>
      </w:r>
    </w:p>
    <w:p w14:paraId="1AB40727"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环磷酰胺属于那类抗肿瘤药？环磷酰胺在体内代谢产生的具有</w:t>
      </w:r>
      <w:proofErr w:type="gramStart"/>
      <w:r w:rsidRPr="00534EC2">
        <w:rPr>
          <w:rFonts w:ascii="宋体" w:eastAsia="宋体" w:hAnsi="宋体" w:cs="Times New Roman" w:hint="eastAsia"/>
          <w:sz w:val="24"/>
          <w:szCs w:val="24"/>
        </w:rPr>
        <w:t>烷</w:t>
      </w:r>
      <w:proofErr w:type="gramEnd"/>
      <w:r w:rsidRPr="00534EC2">
        <w:rPr>
          <w:rFonts w:ascii="宋体" w:eastAsia="宋体" w:hAnsi="宋体" w:cs="Times New Roman" w:hint="eastAsia"/>
          <w:sz w:val="24"/>
          <w:szCs w:val="24"/>
        </w:rPr>
        <w:t>化作用的物质是什么？</w:t>
      </w:r>
    </w:p>
    <w:p w14:paraId="07832C3A"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利用代谢拮抗原理设计的抗肿瘤药物有哪些？</w:t>
      </w:r>
    </w:p>
    <w:p w14:paraId="4E44645E" w14:textId="77777777" w:rsidR="00534EC2" w:rsidRPr="00534EC2" w:rsidRDefault="00534EC2" w:rsidP="00534EC2">
      <w:pPr>
        <w:spacing w:beforeLines="50" w:before="156" w:afterLines="50" w:after="156" w:line="440" w:lineRule="exact"/>
        <w:rPr>
          <w:rFonts w:ascii="仿宋" w:eastAsia="仿宋" w:hAnsi="仿宋" w:cs="Times New Roman"/>
          <w:sz w:val="24"/>
          <w:szCs w:val="24"/>
        </w:rPr>
      </w:pPr>
      <w:r w:rsidRPr="00534EC2">
        <w:rPr>
          <w:rFonts w:ascii="黑体" w:eastAsia="黑体" w:hAnsi="黑体" w:cs="Times New Roman" w:hint="eastAsia"/>
          <w:sz w:val="28"/>
          <w:szCs w:val="28"/>
        </w:rPr>
        <w:t>（二）课程学习内容与课程学习目标的对应关系</w:t>
      </w:r>
      <w:r w:rsidRPr="00534EC2">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4"/>
        <w:gridCol w:w="2551"/>
        <w:gridCol w:w="2127"/>
        <w:gridCol w:w="1275"/>
      </w:tblGrid>
      <w:tr w:rsidR="00534EC2" w:rsidRPr="00534EC2" w14:paraId="21178659" w14:textId="77777777" w:rsidTr="00534EC2">
        <w:trPr>
          <w:trHeight w:val="660"/>
          <w:jc w:val="center"/>
        </w:trPr>
        <w:tc>
          <w:tcPr>
            <w:tcW w:w="3404" w:type="dxa"/>
            <w:vAlign w:val="center"/>
          </w:tcPr>
          <w:p w14:paraId="30CB45F0" w14:textId="77777777" w:rsidR="00534EC2" w:rsidRPr="00534EC2" w:rsidRDefault="00534EC2" w:rsidP="00534EC2">
            <w:pPr>
              <w:spacing w:line="440" w:lineRule="exact"/>
              <w:jc w:val="center"/>
              <w:rPr>
                <w:rFonts w:ascii="宋体" w:eastAsia="宋体" w:hAnsi="宋体" w:cs="Times New Roman"/>
                <w:b/>
                <w:bCs/>
                <w:sz w:val="24"/>
                <w:szCs w:val="24"/>
              </w:rPr>
            </w:pPr>
            <w:r w:rsidRPr="00534EC2">
              <w:rPr>
                <w:rFonts w:ascii="宋体" w:eastAsia="宋体" w:hAnsi="宋体" w:cs="Times New Roman" w:hint="eastAsia"/>
                <w:b/>
                <w:bCs/>
                <w:sz w:val="24"/>
                <w:szCs w:val="24"/>
              </w:rPr>
              <w:t>课程学习内容</w:t>
            </w:r>
          </w:p>
        </w:tc>
        <w:tc>
          <w:tcPr>
            <w:tcW w:w="2551" w:type="dxa"/>
            <w:vAlign w:val="center"/>
          </w:tcPr>
          <w:p w14:paraId="0146CF39" w14:textId="77777777" w:rsidR="00534EC2" w:rsidRPr="00534EC2" w:rsidRDefault="00534EC2" w:rsidP="00534EC2">
            <w:pPr>
              <w:spacing w:line="440" w:lineRule="exact"/>
              <w:jc w:val="center"/>
              <w:rPr>
                <w:rFonts w:ascii="宋体" w:eastAsia="宋体" w:hAnsi="宋体" w:cs="Times New Roman"/>
                <w:b/>
                <w:bCs/>
                <w:sz w:val="24"/>
                <w:szCs w:val="24"/>
              </w:rPr>
            </w:pPr>
            <w:r w:rsidRPr="00534EC2">
              <w:rPr>
                <w:rFonts w:ascii="宋体" w:eastAsia="宋体" w:hAnsi="宋体" w:cs="Times New Roman" w:hint="eastAsia"/>
                <w:b/>
                <w:bCs/>
                <w:sz w:val="24"/>
                <w:szCs w:val="24"/>
              </w:rPr>
              <w:t>教学方法</w:t>
            </w:r>
          </w:p>
        </w:tc>
        <w:tc>
          <w:tcPr>
            <w:tcW w:w="2127" w:type="dxa"/>
            <w:vAlign w:val="center"/>
          </w:tcPr>
          <w:p w14:paraId="148878AE" w14:textId="77777777" w:rsidR="00534EC2" w:rsidRPr="00534EC2" w:rsidRDefault="00534EC2" w:rsidP="00534EC2">
            <w:pPr>
              <w:spacing w:line="440" w:lineRule="exact"/>
              <w:jc w:val="center"/>
              <w:rPr>
                <w:rFonts w:ascii="宋体" w:eastAsia="宋体" w:hAnsi="宋体" w:cs="Times New Roman"/>
                <w:b/>
                <w:bCs/>
                <w:sz w:val="24"/>
                <w:szCs w:val="24"/>
              </w:rPr>
            </w:pPr>
            <w:r w:rsidRPr="00534EC2">
              <w:rPr>
                <w:rFonts w:ascii="宋体" w:eastAsia="宋体" w:hAnsi="宋体" w:cs="Times New Roman" w:hint="eastAsia"/>
                <w:b/>
                <w:bCs/>
                <w:sz w:val="24"/>
                <w:szCs w:val="24"/>
              </w:rPr>
              <w:t>支撑的课程目标</w:t>
            </w:r>
          </w:p>
        </w:tc>
        <w:tc>
          <w:tcPr>
            <w:tcW w:w="1275" w:type="dxa"/>
            <w:vAlign w:val="center"/>
          </w:tcPr>
          <w:p w14:paraId="528A5CD0" w14:textId="77777777" w:rsidR="00534EC2" w:rsidRPr="00534EC2" w:rsidRDefault="00534EC2" w:rsidP="00534EC2">
            <w:pPr>
              <w:spacing w:line="440" w:lineRule="exact"/>
              <w:jc w:val="center"/>
              <w:rPr>
                <w:rFonts w:ascii="宋体" w:eastAsia="宋体" w:hAnsi="宋体" w:cs="Times New Roman"/>
                <w:b/>
                <w:bCs/>
                <w:sz w:val="24"/>
                <w:szCs w:val="24"/>
              </w:rPr>
            </w:pPr>
            <w:r w:rsidRPr="00534EC2">
              <w:rPr>
                <w:rFonts w:ascii="宋体" w:eastAsia="宋体" w:hAnsi="宋体" w:cs="Times New Roman" w:hint="eastAsia"/>
                <w:b/>
                <w:bCs/>
                <w:sz w:val="24"/>
                <w:szCs w:val="24"/>
              </w:rPr>
              <w:t>学时安排</w:t>
            </w:r>
          </w:p>
        </w:tc>
      </w:tr>
      <w:tr w:rsidR="00534EC2" w:rsidRPr="00534EC2" w14:paraId="01500D66" w14:textId="77777777" w:rsidTr="00534EC2">
        <w:trPr>
          <w:trHeight w:val="514"/>
          <w:jc w:val="center"/>
        </w:trPr>
        <w:tc>
          <w:tcPr>
            <w:tcW w:w="3404" w:type="dxa"/>
          </w:tcPr>
          <w:p w14:paraId="1E89B9FC"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sz w:val="24"/>
                <w:szCs w:val="24"/>
              </w:rPr>
              <w:t>绪论</w:t>
            </w:r>
          </w:p>
        </w:tc>
        <w:tc>
          <w:tcPr>
            <w:tcW w:w="2551" w:type="dxa"/>
            <w:vAlign w:val="center"/>
          </w:tcPr>
          <w:p w14:paraId="24B0AE1F"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讲授法、讨论式</w:t>
            </w:r>
            <w:r w:rsidRPr="00534EC2">
              <w:rPr>
                <w:rFonts w:ascii="宋体" w:eastAsia="宋体" w:hAnsi="宋体" w:cs="Times New Roman"/>
                <w:sz w:val="24"/>
                <w:szCs w:val="24"/>
              </w:rPr>
              <w:t>教学</w:t>
            </w:r>
          </w:p>
        </w:tc>
        <w:tc>
          <w:tcPr>
            <w:tcW w:w="2127" w:type="dxa"/>
            <w:vAlign w:val="center"/>
          </w:tcPr>
          <w:p w14:paraId="2914B03B"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w:t>
            </w:r>
            <w:r w:rsidRPr="00534EC2">
              <w:rPr>
                <w:rFonts w:ascii="宋体" w:eastAsia="宋体" w:hAnsi="宋体" w:cs="Times New Roman"/>
                <w:sz w:val="24"/>
                <w:szCs w:val="24"/>
              </w:rPr>
              <w:t>目标</w:t>
            </w:r>
            <w:r w:rsidRPr="00534EC2">
              <w:rPr>
                <w:rFonts w:ascii="宋体" w:eastAsia="宋体" w:hAnsi="宋体" w:cs="Times New Roman" w:hint="eastAsia"/>
                <w:sz w:val="24"/>
                <w:szCs w:val="24"/>
              </w:rPr>
              <w:t>1</w:t>
            </w:r>
          </w:p>
        </w:tc>
        <w:tc>
          <w:tcPr>
            <w:tcW w:w="1275" w:type="dxa"/>
            <w:vAlign w:val="center"/>
          </w:tcPr>
          <w:p w14:paraId="19B9A087"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1学时</w:t>
            </w:r>
          </w:p>
        </w:tc>
      </w:tr>
      <w:tr w:rsidR="00534EC2" w:rsidRPr="00534EC2" w14:paraId="1AE9B993" w14:textId="77777777" w:rsidTr="00534EC2">
        <w:trPr>
          <w:trHeight w:val="514"/>
          <w:jc w:val="center"/>
        </w:trPr>
        <w:tc>
          <w:tcPr>
            <w:tcW w:w="3404" w:type="dxa"/>
          </w:tcPr>
          <w:p w14:paraId="771EB7ED"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sz w:val="24"/>
                <w:szCs w:val="24"/>
              </w:rPr>
              <w:t>第一章药物结构与生物活性</w:t>
            </w:r>
          </w:p>
        </w:tc>
        <w:tc>
          <w:tcPr>
            <w:tcW w:w="2551" w:type="dxa"/>
            <w:vAlign w:val="center"/>
          </w:tcPr>
          <w:p w14:paraId="7082EFF0"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讲授法、探究式教学</w:t>
            </w:r>
          </w:p>
        </w:tc>
        <w:tc>
          <w:tcPr>
            <w:tcW w:w="2127" w:type="dxa"/>
            <w:vAlign w:val="center"/>
          </w:tcPr>
          <w:p w14:paraId="6A3BC4B1"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11F5B9E8"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3学时</w:t>
            </w:r>
          </w:p>
        </w:tc>
      </w:tr>
      <w:tr w:rsidR="00534EC2" w:rsidRPr="00534EC2" w14:paraId="6CBA0D9B" w14:textId="77777777" w:rsidTr="00534EC2">
        <w:trPr>
          <w:trHeight w:val="514"/>
          <w:jc w:val="center"/>
        </w:trPr>
        <w:tc>
          <w:tcPr>
            <w:tcW w:w="3404" w:type="dxa"/>
          </w:tcPr>
          <w:p w14:paraId="1380EA09"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sz w:val="24"/>
                <w:szCs w:val="24"/>
              </w:rPr>
              <w:t>第二章药物结构与代谢</w:t>
            </w:r>
          </w:p>
        </w:tc>
        <w:tc>
          <w:tcPr>
            <w:tcW w:w="2551" w:type="dxa"/>
            <w:vAlign w:val="center"/>
          </w:tcPr>
          <w:p w14:paraId="539F267F"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2127" w:type="dxa"/>
            <w:vAlign w:val="center"/>
          </w:tcPr>
          <w:p w14:paraId="1B94BE11"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344C432E"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2学时</w:t>
            </w:r>
          </w:p>
        </w:tc>
      </w:tr>
      <w:tr w:rsidR="00534EC2" w:rsidRPr="00534EC2" w14:paraId="25F3C076" w14:textId="77777777" w:rsidTr="00534EC2">
        <w:trPr>
          <w:trHeight w:val="90"/>
          <w:jc w:val="center"/>
        </w:trPr>
        <w:tc>
          <w:tcPr>
            <w:tcW w:w="3404" w:type="dxa"/>
          </w:tcPr>
          <w:p w14:paraId="38A8E19B"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第三章</w:t>
            </w:r>
            <w:r w:rsidRPr="00534EC2">
              <w:rPr>
                <w:rFonts w:ascii="Times New Roman" w:eastAsia="宋体" w:hAnsi="Times New Roman" w:cs="Times New Roman"/>
                <w:sz w:val="24"/>
                <w:szCs w:val="24"/>
              </w:rPr>
              <w:t>药物设计的基本原理和方法</w:t>
            </w:r>
          </w:p>
        </w:tc>
        <w:tc>
          <w:tcPr>
            <w:tcW w:w="2551" w:type="dxa"/>
            <w:vAlign w:val="center"/>
          </w:tcPr>
          <w:p w14:paraId="41E3B92C"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讲授法、讨论式教学</w:t>
            </w:r>
          </w:p>
        </w:tc>
        <w:tc>
          <w:tcPr>
            <w:tcW w:w="2127" w:type="dxa"/>
            <w:vAlign w:val="center"/>
          </w:tcPr>
          <w:p w14:paraId="584399DC"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347274B3"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3学时</w:t>
            </w:r>
          </w:p>
        </w:tc>
      </w:tr>
      <w:tr w:rsidR="00534EC2" w:rsidRPr="00534EC2" w14:paraId="72E2FDE3" w14:textId="77777777" w:rsidTr="00534EC2">
        <w:trPr>
          <w:jc w:val="center"/>
        </w:trPr>
        <w:tc>
          <w:tcPr>
            <w:tcW w:w="3404" w:type="dxa"/>
          </w:tcPr>
          <w:p w14:paraId="132B22A5"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sz w:val="24"/>
                <w:szCs w:val="24"/>
              </w:rPr>
              <w:t>第</w:t>
            </w:r>
            <w:r w:rsidRPr="00534EC2">
              <w:rPr>
                <w:rFonts w:ascii="Times New Roman" w:eastAsia="宋体" w:hAnsi="Times New Roman" w:cs="Times New Roman" w:hint="eastAsia"/>
                <w:sz w:val="24"/>
                <w:szCs w:val="24"/>
              </w:rPr>
              <w:t>四</w:t>
            </w:r>
            <w:r w:rsidRPr="00534EC2">
              <w:rPr>
                <w:rFonts w:ascii="Times New Roman" w:eastAsia="宋体" w:hAnsi="Times New Roman" w:cs="Times New Roman"/>
                <w:sz w:val="24"/>
                <w:szCs w:val="24"/>
              </w:rPr>
              <w:t>章</w:t>
            </w:r>
            <w:r w:rsidRPr="00534EC2">
              <w:rPr>
                <w:rFonts w:ascii="Times New Roman" w:eastAsia="宋体" w:hAnsi="Times New Roman" w:cs="Times New Roman" w:hint="eastAsia"/>
                <w:sz w:val="24"/>
                <w:szCs w:val="24"/>
              </w:rPr>
              <w:t>镇静催眠药和抗癫痫药</w:t>
            </w:r>
          </w:p>
        </w:tc>
        <w:tc>
          <w:tcPr>
            <w:tcW w:w="2551" w:type="dxa"/>
            <w:vAlign w:val="center"/>
          </w:tcPr>
          <w:p w14:paraId="78DCDB1F"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2127" w:type="dxa"/>
            <w:vAlign w:val="center"/>
          </w:tcPr>
          <w:p w14:paraId="4BCF2388"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6492E834"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3学时</w:t>
            </w:r>
          </w:p>
        </w:tc>
      </w:tr>
      <w:tr w:rsidR="00534EC2" w:rsidRPr="00534EC2" w14:paraId="08305BA6" w14:textId="77777777" w:rsidTr="00534EC2">
        <w:trPr>
          <w:jc w:val="center"/>
        </w:trPr>
        <w:tc>
          <w:tcPr>
            <w:tcW w:w="3404" w:type="dxa"/>
          </w:tcPr>
          <w:p w14:paraId="0932D5FE"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sz w:val="24"/>
                <w:szCs w:val="24"/>
              </w:rPr>
              <w:t>第五章</w:t>
            </w:r>
            <w:r w:rsidRPr="00534EC2">
              <w:rPr>
                <w:rFonts w:ascii="Times New Roman" w:eastAsia="宋体" w:hAnsi="Times New Roman" w:cs="Times New Roman" w:hint="eastAsia"/>
                <w:sz w:val="24"/>
                <w:szCs w:val="24"/>
              </w:rPr>
              <w:t>精神神经疾病治疗药</w:t>
            </w:r>
          </w:p>
        </w:tc>
        <w:tc>
          <w:tcPr>
            <w:tcW w:w="2551" w:type="dxa"/>
            <w:vAlign w:val="center"/>
          </w:tcPr>
          <w:p w14:paraId="7E4833BB"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2127" w:type="dxa"/>
            <w:vAlign w:val="center"/>
          </w:tcPr>
          <w:p w14:paraId="32F5918F"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11DDE1E9"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3学时</w:t>
            </w:r>
          </w:p>
        </w:tc>
      </w:tr>
      <w:tr w:rsidR="00534EC2" w:rsidRPr="00534EC2" w14:paraId="3DE8E933" w14:textId="77777777" w:rsidTr="00534EC2">
        <w:trPr>
          <w:jc w:val="center"/>
        </w:trPr>
        <w:tc>
          <w:tcPr>
            <w:tcW w:w="3404" w:type="dxa"/>
          </w:tcPr>
          <w:p w14:paraId="4238A507"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sz w:val="24"/>
                <w:szCs w:val="24"/>
              </w:rPr>
              <w:t>第</w:t>
            </w:r>
            <w:r w:rsidRPr="00534EC2">
              <w:rPr>
                <w:rFonts w:ascii="Times New Roman" w:eastAsia="宋体" w:hAnsi="Times New Roman" w:cs="Times New Roman" w:hint="eastAsia"/>
                <w:sz w:val="24"/>
                <w:szCs w:val="24"/>
              </w:rPr>
              <w:t>七</w:t>
            </w:r>
            <w:r w:rsidRPr="00534EC2">
              <w:rPr>
                <w:rFonts w:ascii="Times New Roman" w:eastAsia="宋体" w:hAnsi="Times New Roman" w:cs="Times New Roman"/>
                <w:sz w:val="24"/>
                <w:szCs w:val="24"/>
              </w:rPr>
              <w:t>章</w:t>
            </w:r>
            <w:r w:rsidRPr="00534EC2">
              <w:rPr>
                <w:rFonts w:ascii="Times New Roman" w:eastAsia="宋体" w:hAnsi="Times New Roman" w:cs="Times New Roman" w:hint="eastAsia"/>
                <w:sz w:val="24"/>
                <w:szCs w:val="24"/>
              </w:rPr>
              <w:t>镇痛药</w:t>
            </w:r>
          </w:p>
        </w:tc>
        <w:tc>
          <w:tcPr>
            <w:tcW w:w="2551" w:type="dxa"/>
            <w:vAlign w:val="center"/>
          </w:tcPr>
          <w:p w14:paraId="121FE074"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2127" w:type="dxa"/>
            <w:vAlign w:val="center"/>
          </w:tcPr>
          <w:p w14:paraId="6BF26C9F"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4E3E0F97"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3学时</w:t>
            </w:r>
          </w:p>
        </w:tc>
      </w:tr>
      <w:tr w:rsidR="00534EC2" w:rsidRPr="00534EC2" w14:paraId="05930C6A" w14:textId="77777777" w:rsidTr="00534EC2">
        <w:trPr>
          <w:jc w:val="center"/>
        </w:trPr>
        <w:tc>
          <w:tcPr>
            <w:tcW w:w="3404" w:type="dxa"/>
          </w:tcPr>
          <w:p w14:paraId="2B471F19"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sz w:val="24"/>
                <w:szCs w:val="24"/>
              </w:rPr>
              <w:t>第</w:t>
            </w:r>
            <w:r w:rsidRPr="00534EC2">
              <w:rPr>
                <w:rFonts w:ascii="Times New Roman" w:eastAsia="宋体" w:hAnsi="Times New Roman" w:cs="Times New Roman" w:hint="eastAsia"/>
                <w:sz w:val="24"/>
                <w:szCs w:val="24"/>
              </w:rPr>
              <w:t>八</w:t>
            </w:r>
            <w:r w:rsidRPr="00534EC2">
              <w:rPr>
                <w:rFonts w:ascii="Times New Roman" w:eastAsia="宋体" w:hAnsi="Times New Roman" w:cs="Times New Roman"/>
                <w:sz w:val="24"/>
                <w:szCs w:val="24"/>
              </w:rPr>
              <w:t>章</w:t>
            </w:r>
            <w:r w:rsidRPr="00534EC2">
              <w:rPr>
                <w:rFonts w:ascii="Times New Roman" w:eastAsia="宋体" w:hAnsi="Times New Roman" w:cs="Times New Roman" w:hint="eastAsia"/>
                <w:sz w:val="24"/>
                <w:szCs w:val="24"/>
              </w:rPr>
              <w:t>非</w:t>
            </w:r>
            <w:proofErr w:type="gramStart"/>
            <w:r w:rsidRPr="00534EC2">
              <w:rPr>
                <w:rFonts w:ascii="Times New Roman" w:eastAsia="宋体" w:hAnsi="Times New Roman" w:cs="Times New Roman" w:hint="eastAsia"/>
                <w:sz w:val="24"/>
                <w:szCs w:val="24"/>
              </w:rPr>
              <w:t>甾</w:t>
            </w:r>
            <w:proofErr w:type="gramEnd"/>
            <w:r w:rsidRPr="00534EC2">
              <w:rPr>
                <w:rFonts w:ascii="Times New Roman" w:eastAsia="宋体" w:hAnsi="Times New Roman" w:cs="Times New Roman" w:hint="eastAsia"/>
                <w:sz w:val="24"/>
                <w:szCs w:val="24"/>
              </w:rPr>
              <w:t>体抗炎药</w:t>
            </w:r>
          </w:p>
        </w:tc>
        <w:tc>
          <w:tcPr>
            <w:tcW w:w="2551" w:type="dxa"/>
            <w:vAlign w:val="center"/>
          </w:tcPr>
          <w:p w14:paraId="6280C631"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2127" w:type="dxa"/>
            <w:vAlign w:val="center"/>
          </w:tcPr>
          <w:p w14:paraId="014023EA"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14AE80E2"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3学时</w:t>
            </w:r>
          </w:p>
        </w:tc>
      </w:tr>
      <w:tr w:rsidR="00534EC2" w:rsidRPr="00534EC2" w14:paraId="3B083A90" w14:textId="77777777" w:rsidTr="00534EC2">
        <w:trPr>
          <w:jc w:val="center"/>
        </w:trPr>
        <w:tc>
          <w:tcPr>
            <w:tcW w:w="3404" w:type="dxa"/>
          </w:tcPr>
          <w:p w14:paraId="754FE0DC" w14:textId="77777777" w:rsidR="00534EC2" w:rsidRPr="00534EC2" w:rsidRDefault="00534EC2" w:rsidP="00534EC2">
            <w:pPr>
              <w:spacing w:line="440" w:lineRule="exact"/>
              <w:jc w:val="left"/>
              <w:rPr>
                <w:rFonts w:ascii="Times New Roman" w:eastAsia="宋体" w:hAnsi="Times New Roman" w:cs="Times New Roman"/>
                <w:sz w:val="24"/>
                <w:szCs w:val="24"/>
              </w:rPr>
            </w:pPr>
            <w:proofErr w:type="gramStart"/>
            <w:r w:rsidRPr="00534EC2">
              <w:rPr>
                <w:rFonts w:ascii="Times New Roman" w:eastAsia="宋体" w:hAnsi="Times New Roman" w:cs="Times New Roman"/>
                <w:sz w:val="24"/>
                <w:szCs w:val="24"/>
              </w:rPr>
              <w:t>第九章</w:t>
            </w:r>
            <w:r w:rsidRPr="00534EC2">
              <w:rPr>
                <w:rFonts w:ascii="Times New Roman" w:eastAsia="宋体" w:hAnsi="Times New Roman" w:cs="Times New Roman" w:hint="eastAsia"/>
                <w:sz w:val="24"/>
                <w:szCs w:val="24"/>
              </w:rPr>
              <w:t>拟胆碱</w:t>
            </w:r>
            <w:proofErr w:type="gramEnd"/>
            <w:r w:rsidRPr="00534EC2">
              <w:rPr>
                <w:rFonts w:ascii="Times New Roman" w:eastAsia="宋体" w:hAnsi="Times New Roman" w:cs="Times New Roman" w:hint="eastAsia"/>
                <w:sz w:val="24"/>
                <w:szCs w:val="24"/>
              </w:rPr>
              <w:t>药物和抗胆碱药物</w:t>
            </w:r>
          </w:p>
        </w:tc>
        <w:tc>
          <w:tcPr>
            <w:tcW w:w="2551" w:type="dxa"/>
            <w:vAlign w:val="center"/>
          </w:tcPr>
          <w:p w14:paraId="14724FC6"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2127" w:type="dxa"/>
            <w:vAlign w:val="center"/>
          </w:tcPr>
          <w:p w14:paraId="006B13C2"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26E1AF21"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3学时</w:t>
            </w:r>
          </w:p>
        </w:tc>
      </w:tr>
      <w:tr w:rsidR="00534EC2" w:rsidRPr="00534EC2" w14:paraId="484BEB98" w14:textId="77777777" w:rsidTr="00534EC2">
        <w:trPr>
          <w:jc w:val="center"/>
        </w:trPr>
        <w:tc>
          <w:tcPr>
            <w:tcW w:w="3404" w:type="dxa"/>
          </w:tcPr>
          <w:p w14:paraId="45BB86C8"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sz w:val="24"/>
                <w:szCs w:val="24"/>
              </w:rPr>
              <w:t>第十章抗变态反应药</w:t>
            </w:r>
          </w:p>
        </w:tc>
        <w:tc>
          <w:tcPr>
            <w:tcW w:w="2551" w:type="dxa"/>
            <w:vAlign w:val="center"/>
          </w:tcPr>
          <w:p w14:paraId="462E8E5B"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2127" w:type="dxa"/>
            <w:vAlign w:val="center"/>
          </w:tcPr>
          <w:p w14:paraId="031821E3"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4FD8B95C"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2学时</w:t>
            </w:r>
          </w:p>
        </w:tc>
      </w:tr>
      <w:tr w:rsidR="00534EC2" w:rsidRPr="00534EC2" w14:paraId="68E0132C" w14:textId="77777777" w:rsidTr="00534EC2">
        <w:trPr>
          <w:jc w:val="center"/>
        </w:trPr>
        <w:tc>
          <w:tcPr>
            <w:tcW w:w="3404" w:type="dxa"/>
          </w:tcPr>
          <w:p w14:paraId="239A09A7"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sz w:val="24"/>
                <w:szCs w:val="24"/>
              </w:rPr>
              <w:t>第十一章消化系统药</w:t>
            </w:r>
          </w:p>
        </w:tc>
        <w:tc>
          <w:tcPr>
            <w:tcW w:w="2551" w:type="dxa"/>
            <w:vAlign w:val="center"/>
          </w:tcPr>
          <w:p w14:paraId="67710091"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2127" w:type="dxa"/>
            <w:vAlign w:val="center"/>
          </w:tcPr>
          <w:p w14:paraId="752F9DA7"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3EC00DD9"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1学时</w:t>
            </w:r>
          </w:p>
        </w:tc>
      </w:tr>
      <w:tr w:rsidR="00534EC2" w:rsidRPr="00534EC2" w14:paraId="3F6AEABE" w14:textId="77777777" w:rsidTr="00534EC2">
        <w:trPr>
          <w:jc w:val="center"/>
        </w:trPr>
        <w:tc>
          <w:tcPr>
            <w:tcW w:w="3404" w:type="dxa"/>
          </w:tcPr>
          <w:p w14:paraId="774C7AEA"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sz w:val="24"/>
                <w:szCs w:val="24"/>
              </w:rPr>
              <w:t>第十三</w:t>
            </w:r>
            <w:proofErr w:type="gramStart"/>
            <w:r w:rsidRPr="00534EC2">
              <w:rPr>
                <w:rFonts w:ascii="Times New Roman" w:eastAsia="宋体" w:hAnsi="Times New Roman" w:cs="Times New Roman"/>
                <w:sz w:val="24"/>
                <w:szCs w:val="24"/>
              </w:rPr>
              <w:t>章</w:t>
            </w:r>
            <w:r w:rsidRPr="00534EC2">
              <w:rPr>
                <w:rFonts w:ascii="Times New Roman" w:eastAsia="宋体" w:hAnsi="Times New Roman" w:cs="Times New Roman" w:hint="eastAsia"/>
                <w:sz w:val="24"/>
                <w:szCs w:val="24"/>
              </w:rPr>
              <w:t>作用</w:t>
            </w:r>
            <w:proofErr w:type="gramEnd"/>
            <w:r w:rsidRPr="00534EC2">
              <w:rPr>
                <w:rFonts w:ascii="Times New Roman" w:eastAsia="宋体" w:hAnsi="Times New Roman" w:cs="Times New Roman" w:hint="eastAsia"/>
                <w:sz w:val="24"/>
                <w:szCs w:val="24"/>
              </w:rPr>
              <w:t>于肾上腺素能受体的药物</w:t>
            </w:r>
          </w:p>
        </w:tc>
        <w:tc>
          <w:tcPr>
            <w:tcW w:w="2551" w:type="dxa"/>
            <w:vAlign w:val="center"/>
          </w:tcPr>
          <w:p w14:paraId="4C144D7B"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2127" w:type="dxa"/>
            <w:vAlign w:val="center"/>
          </w:tcPr>
          <w:p w14:paraId="41ED45DE"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469E3BDA"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3学时</w:t>
            </w:r>
          </w:p>
        </w:tc>
      </w:tr>
      <w:tr w:rsidR="00534EC2" w:rsidRPr="00534EC2" w14:paraId="342C14F0" w14:textId="77777777" w:rsidTr="00534EC2">
        <w:trPr>
          <w:jc w:val="center"/>
        </w:trPr>
        <w:tc>
          <w:tcPr>
            <w:tcW w:w="3404" w:type="dxa"/>
          </w:tcPr>
          <w:p w14:paraId="03BC5EFB"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sz w:val="24"/>
                <w:szCs w:val="24"/>
              </w:rPr>
              <w:t>第十四章</w:t>
            </w:r>
            <w:r w:rsidRPr="00534EC2">
              <w:rPr>
                <w:rFonts w:ascii="Times New Roman" w:eastAsia="宋体" w:hAnsi="Times New Roman" w:cs="Times New Roman" w:hint="eastAsia"/>
                <w:sz w:val="24"/>
                <w:szCs w:val="24"/>
              </w:rPr>
              <w:t>抗高血压药</w:t>
            </w:r>
          </w:p>
        </w:tc>
        <w:tc>
          <w:tcPr>
            <w:tcW w:w="2551" w:type="dxa"/>
            <w:vAlign w:val="center"/>
          </w:tcPr>
          <w:p w14:paraId="6C94827F"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2127" w:type="dxa"/>
            <w:vAlign w:val="center"/>
          </w:tcPr>
          <w:p w14:paraId="185F2EA3"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168CD74B"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3学时</w:t>
            </w:r>
          </w:p>
        </w:tc>
      </w:tr>
      <w:tr w:rsidR="00534EC2" w:rsidRPr="00534EC2" w14:paraId="3C9ED0C4" w14:textId="77777777" w:rsidTr="00534EC2">
        <w:trPr>
          <w:jc w:val="center"/>
        </w:trPr>
        <w:tc>
          <w:tcPr>
            <w:tcW w:w="3404" w:type="dxa"/>
          </w:tcPr>
          <w:p w14:paraId="1A2C19F9"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sz w:val="24"/>
                <w:szCs w:val="24"/>
              </w:rPr>
              <w:t>第十五章</w:t>
            </w:r>
            <w:r w:rsidRPr="00534EC2">
              <w:rPr>
                <w:rFonts w:ascii="Times New Roman" w:eastAsia="宋体" w:hAnsi="Times New Roman" w:cs="Times New Roman" w:hint="eastAsia"/>
                <w:sz w:val="24"/>
                <w:szCs w:val="24"/>
              </w:rPr>
              <w:t>心脏疾病用药和血脂调节药</w:t>
            </w:r>
          </w:p>
        </w:tc>
        <w:tc>
          <w:tcPr>
            <w:tcW w:w="2551" w:type="dxa"/>
            <w:vAlign w:val="center"/>
          </w:tcPr>
          <w:p w14:paraId="28ED36AE"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2127" w:type="dxa"/>
            <w:vAlign w:val="center"/>
          </w:tcPr>
          <w:p w14:paraId="2F578728"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4BE8CA1E"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3学时</w:t>
            </w:r>
          </w:p>
        </w:tc>
      </w:tr>
      <w:tr w:rsidR="00534EC2" w:rsidRPr="00534EC2" w14:paraId="1C587879" w14:textId="77777777" w:rsidTr="00534EC2">
        <w:trPr>
          <w:jc w:val="center"/>
        </w:trPr>
        <w:tc>
          <w:tcPr>
            <w:tcW w:w="3404" w:type="dxa"/>
          </w:tcPr>
          <w:p w14:paraId="33BBD050"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sz w:val="24"/>
                <w:szCs w:val="24"/>
              </w:rPr>
              <w:t>第十六章</w:t>
            </w:r>
            <w:proofErr w:type="gramStart"/>
            <w:r w:rsidRPr="00534EC2">
              <w:rPr>
                <w:rFonts w:ascii="Times New Roman" w:eastAsia="宋体" w:hAnsi="Times New Roman" w:cs="Times New Roman" w:hint="eastAsia"/>
                <w:sz w:val="24"/>
                <w:szCs w:val="24"/>
              </w:rPr>
              <w:t>甾</w:t>
            </w:r>
            <w:proofErr w:type="gramEnd"/>
            <w:r w:rsidRPr="00534EC2">
              <w:rPr>
                <w:rFonts w:ascii="Times New Roman" w:eastAsia="宋体" w:hAnsi="Times New Roman" w:cs="Times New Roman" w:hint="eastAsia"/>
                <w:sz w:val="24"/>
                <w:szCs w:val="24"/>
              </w:rPr>
              <w:t>体激素药物</w:t>
            </w:r>
          </w:p>
        </w:tc>
        <w:tc>
          <w:tcPr>
            <w:tcW w:w="2551" w:type="dxa"/>
            <w:vAlign w:val="center"/>
          </w:tcPr>
          <w:p w14:paraId="47335020"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2127" w:type="dxa"/>
            <w:vAlign w:val="center"/>
          </w:tcPr>
          <w:p w14:paraId="1695A4E8"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05E4247D"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3学时</w:t>
            </w:r>
          </w:p>
        </w:tc>
      </w:tr>
      <w:tr w:rsidR="00534EC2" w:rsidRPr="00534EC2" w14:paraId="652F8129" w14:textId="77777777" w:rsidTr="00534EC2">
        <w:trPr>
          <w:jc w:val="center"/>
        </w:trPr>
        <w:tc>
          <w:tcPr>
            <w:tcW w:w="3404" w:type="dxa"/>
          </w:tcPr>
          <w:p w14:paraId="0912821E"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sz w:val="24"/>
                <w:szCs w:val="24"/>
              </w:rPr>
              <w:t>第</w:t>
            </w:r>
            <w:r w:rsidRPr="00534EC2">
              <w:rPr>
                <w:rFonts w:ascii="Times New Roman" w:eastAsia="宋体" w:hAnsi="Times New Roman" w:cs="Times New Roman" w:hint="eastAsia"/>
                <w:sz w:val="24"/>
                <w:szCs w:val="24"/>
              </w:rPr>
              <w:t>十七章抗生素</w:t>
            </w:r>
          </w:p>
        </w:tc>
        <w:tc>
          <w:tcPr>
            <w:tcW w:w="2551" w:type="dxa"/>
            <w:vAlign w:val="center"/>
          </w:tcPr>
          <w:p w14:paraId="2616694E"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2127" w:type="dxa"/>
            <w:vAlign w:val="center"/>
          </w:tcPr>
          <w:p w14:paraId="44D295D9"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5DCB8EBB"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3学时</w:t>
            </w:r>
          </w:p>
        </w:tc>
      </w:tr>
      <w:tr w:rsidR="00534EC2" w:rsidRPr="00534EC2" w14:paraId="34151F17" w14:textId="77777777" w:rsidTr="00534EC2">
        <w:trPr>
          <w:jc w:val="center"/>
        </w:trPr>
        <w:tc>
          <w:tcPr>
            <w:tcW w:w="3404" w:type="dxa"/>
          </w:tcPr>
          <w:p w14:paraId="6A7AEAF1"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sz w:val="24"/>
                <w:szCs w:val="24"/>
              </w:rPr>
              <w:lastRenderedPageBreak/>
              <w:t>第十八章</w:t>
            </w:r>
            <w:r w:rsidRPr="00534EC2">
              <w:rPr>
                <w:rFonts w:ascii="Times New Roman" w:eastAsia="宋体" w:hAnsi="Times New Roman" w:cs="Times New Roman" w:hint="eastAsia"/>
                <w:sz w:val="24"/>
                <w:szCs w:val="24"/>
              </w:rPr>
              <w:t>合成抗菌药</w:t>
            </w:r>
          </w:p>
        </w:tc>
        <w:tc>
          <w:tcPr>
            <w:tcW w:w="2551" w:type="dxa"/>
            <w:vAlign w:val="center"/>
          </w:tcPr>
          <w:p w14:paraId="089412B8"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2127" w:type="dxa"/>
            <w:vAlign w:val="center"/>
          </w:tcPr>
          <w:p w14:paraId="339ED74A"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6FB5FF6E"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3学时</w:t>
            </w:r>
          </w:p>
        </w:tc>
      </w:tr>
      <w:tr w:rsidR="00534EC2" w:rsidRPr="00534EC2" w14:paraId="3536F297" w14:textId="77777777" w:rsidTr="00534EC2">
        <w:trPr>
          <w:jc w:val="center"/>
        </w:trPr>
        <w:tc>
          <w:tcPr>
            <w:tcW w:w="3404" w:type="dxa"/>
          </w:tcPr>
          <w:p w14:paraId="29568036" w14:textId="77777777" w:rsidR="00534EC2" w:rsidRPr="00534EC2" w:rsidRDefault="00534EC2" w:rsidP="00534EC2">
            <w:pPr>
              <w:spacing w:line="440" w:lineRule="exact"/>
              <w:jc w:val="left"/>
              <w:rPr>
                <w:rFonts w:ascii="Times New Roman" w:eastAsia="宋体" w:hAnsi="Times New Roman" w:cs="Times New Roman"/>
                <w:sz w:val="24"/>
                <w:szCs w:val="24"/>
              </w:rPr>
            </w:pPr>
            <w:r w:rsidRPr="00534EC2">
              <w:rPr>
                <w:rFonts w:ascii="Times New Roman" w:eastAsia="宋体" w:hAnsi="Times New Roman" w:cs="Times New Roman"/>
                <w:sz w:val="24"/>
                <w:szCs w:val="24"/>
              </w:rPr>
              <w:t>第二十章</w:t>
            </w:r>
            <w:r w:rsidRPr="00534EC2">
              <w:rPr>
                <w:rFonts w:ascii="Times New Roman" w:eastAsia="宋体" w:hAnsi="Times New Roman" w:cs="Times New Roman" w:hint="eastAsia"/>
                <w:sz w:val="24"/>
                <w:szCs w:val="24"/>
              </w:rPr>
              <w:t>抗肿瘤药物</w:t>
            </w:r>
          </w:p>
        </w:tc>
        <w:tc>
          <w:tcPr>
            <w:tcW w:w="2551" w:type="dxa"/>
            <w:vAlign w:val="center"/>
          </w:tcPr>
          <w:p w14:paraId="76815CB3"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2127" w:type="dxa"/>
            <w:vAlign w:val="center"/>
          </w:tcPr>
          <w:p w14:paraId="5BCE2AFF"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课程目标2、3</w:t>
            </w:r>
          </w:p>
        </w:tc>
        <w:tc>
          <w:tcPr>
            <w:tcW w:w="1275" w:type="dxa"/>
            <w:vAlign w:val="center"/>
          </w:tcPr>
          <w:p w14:paraId="0F546F1A"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3学时</w:t>
            </w:r>
          </w:p>
        </w:tc>
      </w:tr>
      <w:tr w:rsidR="00534EC2" w:rsidRPr="00534EC2" w14:paraId="719C1941" w14:textId="77777777" w:rsidTr="00534EC2">
        <w:trPr>
          <w:jc w:val="center"/>
        </w:trPr>
        <w:tc>
          <w:tcPr>
            <w:tcW w:w="8082" w:type="dxa"/>
            <w:gridSpan w:val="3"/>
            <w:vAlign w:val="center"/>
          </w:tcPr>
          <w:p w14:paraId="180562E6" w14:textId="77777777" w:rsidR="00534EC2" w:rsidRPr="00534EC2" w:rsidRDefault="00534EC2" w:rsidP="00534EC2">
            <w:pPr>
              <w:spacing w:line="440" w:lineRule="exact"/>
              <w:jc w:val="center"/>
              <w:rPr>
                <w:rFonts w:ascii="宋体" w:eastAsia="宋体" w:hAnsi="宋体" w:cs="Times New Roman"/>
                <w:b/>
                <w:sz w:val="24"/>
                <w:szCs w:val="24"/>
              </w:rPr>
            </w:pPr>
            <w:r w:rsidRPr="00534EC2">
              <w:rPr>
                <w:rFonts w:ascii="宋体" w:eastAsia="宋体" w:hAnsi="宋体" w:cs="Times New Roman" w:hint="eastAsia"/>
                <w:b/>
                <w:sz w:val="24"/>
                <w:szCs w:val="24"/>
              </w:rPr>
              <w:t>合计</w:t>
            </w:r>
          </w:p>
        </w:tc>
        <w:tc>
          <w:tcPr>
            <w:tcW w:w="1275" w:type="dxa"/>
            <w:vAlign w:val="center"/>
          </w:tcPr>
          <w:p w14:paraId="21AFD571" w14:textId="77777777" w:rsidR="00534EC2" w:rsidRPr="00534EC2" w:rsidRDefault="00534EC2" w:rsidP="00534EC2">
            <w:pPr>
              <w:spacing w:line="440" w:lineRule="exact"/>
              <w:jc w:val="center"/>
              <w:rPr>
                <w:rFonts w:ascii="宋体" w:eastAsia="宋体" w:hAnsi="宋体" w:cs="Times New Roman"/>
                <w:sz w:val="24"/>
                <w:szCs w:val="24"/>
              </w:rPr>
            </w:pPr>
            <w:r w:rsidRPr="00534EC2">
              <w:rPr>
                <w:rFonts w:ascii="宋体" w:eastAsia="宋体" w:hAnsi="宋体" w:cs="Times New Roman" w:hint="eastAsia"/>
                <w:sz w:val="24"/>
                <w:szCs w:val="24"/>
              </w:rPr>
              <w:t>48学时</w:t>
            </w:r>
          </w:p>
        </w:tc>
      </w:tr>
    </w:tbl>
    <w:p w14:paraId="0C81BE37" w14:textId="77777777" w:rsidR="00534EC2" w:rsidRPr="00534EC2" w:rsidRDefault="00534EC2" w:rsidP="00534EC2">
      <w:pPr>
        <w:spacing w:beforeLines="50" w:before="156" w:afterLines="50" w:after="156" w:line="440" w:lineRule="exact"/>
        <w:rPr>
          <w:rFonts w:ascii="宋体" w:eastAsia="宋体" w:hAnsi="宋体" w:cs="Times New Roman"/>
          <w:sz w:val="24"/>
          <w:szCs w:val="24"/>
        </w:rPr>
      </w:pPr>
      <w:r w:rsidRPr="00534EC2">
        <w:rPr>
          <w:rFonts w:ascii="黑体" w:eastAsia="黑体" w:hAnsi="黑体" w:cs="Times New Roman" w:hint="eastAsia"/>
          <w:sz w:val="28"/>
          <w:szCs w:val="28"/>
        </w:rPr>
        <w:t>四、课程考核及与课程学习目标的对应关系</w:t>
      </w:r>
    </w:p>
    <w:p w14:paraId="686AF129" w14:textId="77777777" w:rsidR="00534EC2" w:rsidRPr="00534EC2" w:rsidRDefault="00534EC2" w:rsidP="00534EC2">
      <w:pPr>
        <w:spacing w:beforeLines="50" w:before="156" w:afterLines="50" w:after="156" w:line="440" w:lineRule="exact"/>
        <w:rPr>
          <w:rFonts w:ascii="黑体" w:eastAsia="黑体" w:hAnsi="黑体" w:cs="Times New Roman"/>
          <w:sz w:val="28"/>
          <w:szCs w:val="28"/>
        </w:rPr>
      </w:pPr>
      <w:r w:rsidRPr="00534EC2">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534EC2" w:rsidRPr="00534EC2" w14:paraId="4DFC27DA" w14:textId="77777777" w:rsidTr="00534EC2">
        <w:trPr>
          <w:trHeight w:val="515"/>
          <w:jc w:val="center"/>
        </w:trPr>
        <w:tc>
          <w:tcPr>
            <w:tcW w:w="1422" w:type="dxa"/>
          </w:tcPr>
          <w:p w14:paraId="69B2A009" w14:textId="77777777" w:rsidR="00534EC2" w:rsidRPr="00534EC2" w:rsidRDefault="00534EC2" w:rsidP="00534EC2">
            <w:pPr>
              <w:spacing w:line="440" w:lineRule="exact"/>
              <w:jc w:val="center"/>
              <w:rPr>
                <w:rFonts w:ascii="宋体" w:eastAsia="宋体" w:hAnsi="宋体" w:cs="Times New Roman"/>
                <w:b/>
                <w:sz w:val="24"/>
                <w:szCs w:val="24"/>
              </w:rPr>
            </w:pPr>
            <w:r w:rsidRPr="00534EC2">
              <w:rPr>
                <w:rFonts w:ascii="宋体" w:eastAsia="宋体" w:hAnsi="宋体" w:cs="Times New Roman" w:hint="eastAsia"/>
                <w:b/>
                <w:sz w:val="24"/>
                <w:szCs w:val="24"/>
              </w:rPr>
              <w:t>课程目标</w:t>
            </w:r>
          </w:p>
        </w:tc>
        <w:tc>
          <w:tcPr>
            <w:tcW w:w="7918" w:type="dxa"/>
            <w:vAlign w:val="center"/>
          </w:tcPr>
          <w:p w14:paraId="04B279ED" w14:textId="77777777" w:rsidR="00534EC2" w:rsidRPr="00534EC2" w:rsidRDefault="00534EC2" w:rsidP="00534EC2">
            <w:pPr>
              <w:spacing w:line="440" w:lineRule="exact"/>
              <w:jc w:val="center"/>
              <w:rPr>
                <w:rFonts w:ascii="宋体" w:eastAsia="宋体" w:hAnsi="宋体" w:cs="Times New Roman"/>
                <w:b/>
                <w:sz w:val="24"/>
                <w:szCs w:val="24"/>
              </w:rPr>
            </w:pPr>
            <w:r w:rsidRPr="00534EC2">
              <w:rPr>
                <w:rFonts w:ascii="宋体" w:eastAsia="宋体" w:hAnsi="宋体" w:cs="Times New Roman" w:hint="eastAsia"/>
                <w:b/>
                <w:sz w:val="24"/>
                <w:szCs w:val="24"/>
              </w:rPr>
              <w:t>考核内容</w:t>
            </w:r>
          </w:p>
        </w:tc>
      </w:tr>
      <w:tr w:rsidR="00534EC2" w:rsidRPr="00534EC2" w14:paraId="7185F086" w14:textId="77777777" w:rsidTr="00534EC2">
        <w:trPr>
          <w:jc w:val="center"/>
        </w:trPr>
        <w:tc>
          <w:tcPr>
            <w:tcW w:w="1422" w:type="dxa"/>
            <w:vAlign w:val="center"/>
          </w:tcPr>
          <w:p w14:paraId="5D91BD38"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hint="eastAsia"/>
                <w:bCs/>
                <w:sz w:val="24"/>
                <w:szCs w:val="24"/>
              </w:rPr>
              <w:t>课程目标1</w:t>
            </w:r>
            <w:r w:rsidRPr="00534EC2">
              <w:rPr>
                <w:rFonts w:ascii="宋体" w:eastAsia="宋体" w:hAnsi="宋体" w:cs="Times New Roman" w:hint="eastAsia"/>
                <w:sz w:val="24"/>
                <w:szCs w:val="24"/>
              </w:rPr>
              <w:t>、2</w:t>
            </w:r>
          </w:p>
        </w:tc>
        <w:tc>
          <w:tcPr>
            <w:tcW w:w="7918" w:type="dxa"/>
            <w:vAlign w:val="center"/>
          </w:tcPr>
          <w:p w14:paraId="3B15042E" w14:textId="77777777" w:rsidR="00534EC2" w:rsidRPr="00534EC2" w:rsidRDefault="00534EC2" w:rsidP="00534EC2">
            <w:pPr>
              <w:spacing w:line="440" w:lineRule="atLeast"/>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1.1</w:t>
            </w:r>
            <w:r w:rsidRPr="00534EC2">
              <w:rPr>
                <w:rFonts w:ascii="Times New Roman" w:eastAsia="宋体" w:hAnsi="Times New Roman" w:cs="Times New Roman" w:hint="eastAsia"/>
                <w:color w:val="000000"/>
                <w:sz w:val="24"/>
                <w:szCs w:val="24"/>
              </w:rPr>
              <w:t>药物化学的研究内容和任务</w:t>
            </w:r>
          </w:p>
          <w:p w14:paraId="304E35B3" w14:textId="77777777" w:rsidR="00534EC2" w:rsidRPr="00534EC2" w:rsidRDefault="00534EC2" w:rsidP="00534EC2">
            <w:pPr>
              <w:spacing w:line="440" w:lineRule="exact"/>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1.2 </w:t>
            </w:r>
            <w:r w:rsidRPr="00534EC2">
              <w:rPr>
                <w:rFonts w:ascii="Times New Roman" w:eastAsia="宋体" w:hAnsi="Times New Roman" w:cs="Times New Roman" w:hint="eastAsia"/>
                <w:color w:val="000000"/>
                <w:sz w:val="24"/>
                <w:szCs w:val="24"/>
              </w:rPr>
              <w:t>药物的化学结构对活性的影响；理化性质对活性的影响及特点</w:t>
            </w:r>
          </w:p>
          <w:p w14:paraId="436ED777" w14:textId="77777777" w:rsidR="00534EC2" w:rsidRPr="00534EC2" w:rsidRDefault="00534EC2" w:rsidP="00534EC2">
            <w:pPr>
              <w:spacing w:line="440" w:lineRule="exact"/>
              <w:rPr>
                <w:rFonts w:ascii="Times New Roman" w:eastAsia="宋体" w:hAnsi="Times New Roman" w:cs="Times New Roman"/>
                <w:color w:val="000000"/>
                <w:sz w:val="24"/>
                <w:szCs w:val="24"/>
              </w:rPr>
            </w:pPr>
            <w:r w:rsidRPr="00534EC2">
              <w:rPr>
                <w:rFonts w:ascii="Times New Roman" w:eastAsia="宋体" w:hAnsi="Times New Roman" w:cs="Times New Roman"/>
                <w:color w:val="000000"/>
                <w:sz w:val="24"/>
                <w:szCs w:val="24"/>
              </w:rPr>
              <w:t>1.</w:t>
            </w:r>
            <w:r w:rsidRPr="00534EC2">
              <w:rPr>
                <w:rFonts w:ascii="Times New Roman" w:eastAsia="宋体" w:hAnsi="Times New Roman" w:cs="Times New Roman" w:hint="eastAsia"/>
                <w:color w:val="000000"/>
                <w:sz w:val="24"/>
                <w:szCs w:val="24"/>
              </w:rPr>
              <w:t>3</w:t>
            </w:r>
            <w:r w:rsidRPr="00534EC2">
              <w:rPr>
                <w:rFonts w:ascii="Times New Roman" w:eastAsia="宋体" w:hAnsi="Times New Roman" w:cs="Times New Roman" w:hint="eastAsia"/>
                <w:color w:val="000000"/>
                <w:sz w:val="24"/>
                <w:szCs w:val="24"/>
              </w:rPr>
              <w:t>镇静催眠药和抗癫痫药的类型及代表药物结构、理化性质、体内代谢及用途。</w:t>
            </w:r>
          </w:p>
          <w:p w14:paraId="0E4CB5FE" w14:textId="77777777" w:rsidR="00534EC2" w:rsidRPr="00534EC2" w:rsidRDefault="00534EC2" w:rsidP="00534EC2">
            <w:pPr>
              <w:spacing w:line="440" w:lineRule="exact"/>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1.4 </w:t>
            </w:r>
            <w:r w:rsidRPr="00534EC2">
              <w:rPr>
                <w:rFonts w:ascii="Times New Roman" w:eastAsia="宋体" w:hAnsi="Times New Roman" w:cs="Times New Roman" w:hint="eastAsia"/>
                <w:color w:val="000000"/>
                <w:sz w:val="24"/>
                <w:szCs w:val="24"/>
              </w:rPr>
              <w:t>抗精神病药的结构类型及代表药的结构、化学名、理化性质、体内代谢及用途。</w:t>
            </w:r>
          </w:p>
          <w:p w14:paraId="2FEE88DF" w14:textId="77777777" w:rsidR="00534EC2" w:rsidRPr="00534EC2" w:rsidRDefault="00534EC2" w:rsidP="00534EC2">
            <w:pPr>
              <w:spacing w:line="440" w:lineRule="exact"/>
              <w:rPr>
                <w:rFonts w:ascii="宋体" w:eastAsia="宋体" w:hAnsi="宋体" w:cs="Times New Roman"/>
                <w:bCs/>
                <w:sz w:val="24"/>
                <w:szCs w:val="24"/>
              </w:rPr>
            </w:pPr>
            <w:r w:rsidRPr="00534EC2">
              <w:rPr>
                <w:rFonts w:ascii="Times New Roman" w:eastAsia="宋体" w:hAnsi="Times New Roman" w:cs="Times New Roman"/>
                <w:color w:val="000000"/>
                <w:sz w:val="24"/>
                <w:szCs w:val="24"/>
              </w:rPr>
              <w:t>1.</w:t>
            </w:r>
            <w:r w:rsidRPr="00534EC2">
              <w:rPr>
                <w:rFonts w:ascii="Times New Roman" w:eastAsia="宋体" w:hAnsi="Times New Roman" w:cs="Times New Roman" w:hint="eastAsia"/>
                <w:color w:val="000000"/>
                <w:sz w:val="24"/>
                <w:szCs w:val="24"/>
              </w:rPr>
              <w:t>5</w:t>
            </w:r>
            <w:r w:rsidRPr="00534EC2">
              <w:rPr>
                <w:rFonts w:ascii="宋体" w:eastAsia="宋体" w:hAnsi="宋体" w:cs="Times New Roman" w:hint="eastAsia"/>
                <w:bCs/>
                <w:sz w:val="24"/>
                <w:szCs w:val="24"/>
              </w:rPr>
              <w:t xml:space="preserve"> 镇痛代表药的结构、化学名、理化性质、体内代谢及用途。</w:t>
            </w:r>
          </w:p>
          <w:p w14:paraId="6D05A44E"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bCs/>
                <w:sz w:val="24"/>
                <w:szCs w:val="24"/>
              </w:rPr>
              <w:t>1.6</w:t>
            </w:r>
            <w:r w:rsidRPr="00534EC2">
              <w:rPr>
                <w:rFonts w:ascii="Times New Roman" w:eastAsia="宋体" w:hAnsi="Times New Roman" w:cs="Times New Roman" w:hint="eastAsia"/>
                <w:bCs/>
                <w:sz w:val="24"/>
                <w:szCs w:val="24"/>
              </w:rPr>
              <w:t>非</w:t>
            </w:r>
            <w:proofErr w:type="gramStart"/>
            <w:r w:rsidRPr="00534EC2">
              <w:rPr>
                <w:rFonts w:ascii="Times New Roman" w:eastAsia="宋体" w:hAnsi="Times New Roman" w:cs="Times New Roman" w:hint="eastAsia"/>
                <w:bCs/>
                <w:sz w:val="24"/>
                <w:szCs w:val="24"/>
              </w:rPr>
              <w:t>甾</w:t>
            </w:r>
            <w:proofErr w:type="gramEnd"/>
            <w:r w:rsidRPr="00534EC2">
              <w:rPr>
                <w:rFonts w:ascii="Times New Roman" w:eastAsia="宋体" w:hAnsi="Times New Roman" w:cs="Times New Roman" w:hint="eastAsia"/>
                <w:bCs/>
                <w:sz w:val="24"/>
                <w:szCs w:val="24"/>
              </w:rPr>
              <w:t>体抗炎药的结构类型及阿司匹林、对乙酰氨基、</w:t>
            </w:r>
            <w:proofErr w:type="gramStart"/>
            <w:r w:rsidRPr="00534EC2">
              <w:rPr>
                <w:rFonts w:ascii="Times New Roman" w:eastAsia="宋体" w:hAnsi="Times New Roman" w:cs="Times New Roman" w:hint="eastAsia"/>
                <w:bCs/>
                <w:sz w:val="24"/>
                <w:szCs w:val="24"/>
              </w:rPr>
              <w:t>酚吲哚美辛、吡</w:t>
            </w:r>
            <w:proofErr w:type="gramEnd"/>
            <w:r w:rsidRPr="00534EC2">
              <w:rPr>
                <w:rFonts w:ascii="Times New Roman" w:eastAsia="宋体" w:hAnsi="Times New Roman" w:cs="Times New Roman" w:hint="eastAsia"/>
                <w:bCs/>
                <w:sz w:val="24"/>
                <w:szCs w:val="24"/>
              </w:rPr>
              <w:t>罗西康、双氯芬酸钠、布洛芬的化学名、结构、理化性质、体内代谢和合成及用途。</w:t>
            </w:r>
          </w:p>
          <w:p w14:paraId="0C7D479D"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1.7</w:t>
            </w:r>
            <w:proofErr w:type="gramStart"/>
            <w:r w:rsidRPr="00534EC2">
              <w:rPr>
                <w:rFonts w:ascii="Times New Roman" w:eastAsia="宋体" w:hAnsi="Times New Roman" w:cs="Times New Roman" w:hint="eastAsia"/>
                <w:bCs/>
                <w:sz w:val="24"/>
                <w:szCs w:val="24"/>
              </w:rPr>
              <w:t>氯贝胆碱</w:t>
            </w:r>
            <w:proofErr w:type="gramEnd"/>
            <w:r w:rsidRPr="00534EC2">
              <w:rPr>
                <w:rFonts w:ascii="Times New Roman" w:eastAsia="宋体" w:hAnsi="Times New Roman" w:cs="Times New Roman" w:hint="eastAsia"/>
                <w:bCs/>
                <w:sz w:val="24"/>
                <w:szCs w:val="24"/>
              </w:rPr>
              <w:t>、毛果云香碱、</w:t>
            </w:r>
            <w:proofErr w:type="gramStart"/>
            <w:r w:rsidRPr="00534EC2">
              <w:rPr>
                <w:rFonts w:ascii="Times New Roman" w:eastAsia="宋体" w:hAnsi="Times New Roman" w:cs="Times New Roman" w:hint="eastAsia"/>
                <w:bCs/>
                <w:sz w:val="24"/>
                <w:szCs w:val="24"/>
              </w:rPr>
              <w:t>溴新斯</w:t>
            </w:r>
            <w:proofErr w:type="gramEnd"/>
            <w:r w:rsidRPr="00534EC2">
              <w:rPr>
                <w:rFonts w:ascii="Times New Roman" w:eastAsia="宋体" w:hAnsi="Times New Roman" w:cs="Times New Roman" w:hint="eastAsia"/>
                <w:bCs/>
                <w:sz w:val="24"/>
                <w:szCs w:val="24"/>
              </w:rPr>
              <w:t>的明、阿托品、东莨菪碱、山莨菪碱、</w:t>
            </w:r>
            <w:proofErr w:type="gramStart"/>
            <w:r w:rsidRPr="00534EC2">
              <w:rPr>
                <w:rFonts w:ascii="Times New Roman" w:eastAsia="宋体" w:hAnsi="Times New Roman" w:cs="Times New Roman" w:hint="eastAsia"/>
                <w:bCs/>
                <w:sz w:val="24"/>
                <w:szCs w:val="24"/>
              </w:rPr>
              <w:t>樟</w:t>
            </w:r>
            <w:proofErr w:type="gramEnd"/>
            <w:r w:rsidRPr="00534EC2">
              <w:rPr>
                <w:rFonts w:ascii="Times New Roman" w:eastAsia="宋体" w:hAnsi="Times New Roman" w:cs="Times New Roman" w:hint="eastAsia"/>
                <w:bCs/>
                <w:sz w:val="24"/>
                <w:szCs w:val="24"/>
              </w:rPr>
              <w:t>柳碱的结构、理化性质及用途。</w:t>
            </w:r>
          </w:p>
          <w:p w14:paraId="3D310E81"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1.8</w:t>
            </w:r>
            <w:r w:rsidRPr="00534EC2">
              <w:rPr>
                <w:rFonts w:ascii="Times New Roman" w:eastAsia="宋体" w:hAnsi="Times New Roman" w:cs="Times New Roman" w:hint="eastAsia"/>
                <w:bCs/>
                <w:sz w:val="24"/>
                <w:szCs w:val="24"/>
              </w:rPr>
              <w:t>组胺</w:t>
            </w:r>
            <w:r w:rsidRPr="00534EC2">
              <w:rPr>
                <w:rFonts w:ascii="Times New Roman" w:eastAsia="宋体" w:hAnsi="Times New Roman" w:cs="Times New Roman" w:hint="eastAsia"/>
                <w:bCs/>
                <w:sz w:val="24"/>
                <w:szCs w:val="24"/>
              </w:rPr>
              <w:t>H1</w:t>
            </w:r>
            <w:r w:rsidRPr="00534EC2">
              <w:rPr>
                <w:rFonts w:ascii="Times New Roman" w:eastAsia="宋体" w:hAnsi="Times New Roman" w:cs="Times New Roman" w:hint="eastAsia"/>
                <w:bCs/>
                <w:sz w:val="24"/>
                <w:szCs w:val="24"/>
              </w:rPr>
              <w:t>受体拮抗剂的结构类型；</w:t>
            </w:r>
            <w:proofErr w:type="gramStart"/>
            <w:r w:rsidRPr="00534EC2">
              <w:rPr>
                <w:rFonts w:ascii="Times New Roman" w:eastAsia="宋体" w:hAnsi="Times New Roman" w:cs="Times New Roman" w:hint="eastAsia"/>
                <w:bCs/>
                <w:sz w:val="24"/>
                <w:szCs w:val="24"/>
              </w:rPr>
              <w:t>盐酸赛庚啶</w:t>
            </w:r>
            <w:proofErr w:type="gramEnd"/>
            <w:r w:rsidRPr="00534EC2">
              <w:rPr>
                <w:rFonts w:ascii="Times New Roman" w:eastAsia="宋体" w:hAnsi="Times New Roman" w:cs="Times New Roman" w:hint="eastAsia"/>
                <w:bCs/>
                <w:sz w:val="24"/>
                <w:szCs w:val="24"/>
              </w:rPr>
              <w:t>、盐酸</w:t>
            </w:r>
            <w:proofErr w:type="gramStart"/>
            <w:r w:rsidRPr="00534EC2">
              <w:rPr>
                <w:rFonts w:ascii="Times New Roman" w:eastAsia="宋体" w:hAnsi="Times New Roman" w:cs="Times New Roman" w:hint="eastAsia"/>
                <w:bCs/>
                <w:sz w:val="24"/>
                <w:szCs w:val="24"/>
              </w:rPr>
              <w:t>西替利嗪、氯雷他</w:t>
            </w:r>
            <w:proofErr w:type="gramEnd"/>
            <w:r w:rsidRPr="00534EC2">
              <w:rPr>
                <w:rFonts w:ascii="Times New Roman" w:eastAsia="宋体" w:hAnsi="Times New Roman" w:cs="Times New Roman" w:hint="eastAsia"/>
                <w:bCs/>
                <w:sz w:val="24"/>
                <w:szCs w:val="24"/>
              </w:rPr>
              <w:t>定、盐酸苯海拉明、马来酸</w:t>
            </w:r>
            <w:proofErr w:type="gramStart"/>
            <w:r w:rsidRPr="00534EC2">
              <w:rPr>
                <w:rFonts w:ascii="Times New Roman" w:eastAsia="宋体" w:hAnsi="Times New Roman" w:cs="Times New Roman" w:hint="eastAsia"/>
                <w:bCs/>
                <w:sz w:val="24"/>
                <w:szCs w:val="24"/>
              </w:rPr>
              <w:t>氯苯那敏的</w:t>
            </w:r>
            <w:proofErr w:type="gramEnd"/>
            <w:r w:rsidRPr="00534EC2">
              <w:rPr>
                <w:rFonts w:ascii="Times New Roman" w:eastAsia="宋体" w:hAnsi="Times New Roman" w:cs="Times New Roman" w:hint="eastAsia"/>
                <w:bCs/>
                <w:sz w:val="24"/>
                <w:szCs w:val="24"/>
              </w:rPr>
              <w:t>结构、理化性质和用途。</w:t>
            </w:r>
          </w:p>
          <w:p w14:paraId="1E0634BF"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1.9</w:t>
            </w:r>
            <w:r w:rsidRPr="00534EC2">
              <w:rPr>
                <w:rFonts w:ascii="Times New Roman" w:eastAsia="宋体" w:hAnsi="Times New Roman" w:cs="Times New Roman" w:hint="eastAsia"/>
                <w:bCs/>
                <w:sz w:val="24"/>
                <w:szCs w:val="24"/>
              </w:rPr>
              <w:t>抗溃疡药物的结构类型和作用机制；西</w:t>
            </w:r>
            <w:proofErr w:type="gramStart"/>
            <w:r w:rsidRPr="00534EC2">
              <w:rPr>
                <w:rFonts w:ascii="Times New Roman" w:eastAsia="宋体" w:hAnsi="Times New Roman" w:cs="Times New Roman" w:hint="eastAsia"/>
                <w:bCs/>
                <w:sz w:val="24"/>
                <w:szCs w:val="24"/>
              </w:rPr>
              <w:t>咪</w:t>
            </w:r>
            <w:proofErr w:type="gramEnd"/>
            <w:r w:rsidRPr="00534EC2">
              <w:rPr>
                <w:rFonts w:ascii="Times New Roman" w:eastAsia="宋体" w:hAnsi="Times New Roman" w:cs="Times New Roman" w:hint="eastAsia"/>
                <w:bCs/>
                <w:sz w:val="24"/>
                <w:szCs w:val="24"/>
              </w:rPr>
              <w:t>替丁、雷尼替丁、法莫替丁和</w:t>
            </w:r>
            <w:proofErr w:type="gramStart"/>
            <w:r w:rsidRPr="00534EC2">
              <w:rPr>
                <w:rFonts w:ascii="Times New Roman" w:eastAsia="宋体" w:hAnsi="Times New Roman" w:cs="Times New Roman" w:hint="eastAsia"/>
                <w:bCs/>
                <w:sz w:val="24"/>
                <w:szCs w:val="24"/>
              </w:rPr>
              <w:t>奥美</w:t>
            </w:r>
            <w:proofErr w:type="gramEnd"/>
            <w:r w:rsidRPr="00534EC2">
              <w:rPr>
                <w:rFonts w:ascii="Times New Roman" w:eastAsia="宋体" w:hAnsi="Times New Roman" w:cs="Times New Roman" w:hint="eastAsia"/>
                <w:bCs/>
                <w:sz w:val="24"/>
                <w:szCs w:val="24"/>
              </w:rPr>
              <w:t>拉</w:t>
            </w:r>
            <w:proofErr w:type="gramStart"/>
            <w:r w:rsidRPr="00534EC2">
              <w:rPr>
                <w:rFonts w:ascii="Times New Roman" w:eastAsia="宋体" w:hAnsi="Times New Roman" w:cs="Times New Roman" w:hint="eastAsia"/>
                <w:bCs/>
                <w:sz w:val="24"/>
                <w:szCs w:val="24"/>
              </w:rPr>
              <w:t>唑</w:t>
            </w:r>
            <w:proofErr w:type="gramEnd"/>
            <w:r w:rsidRPr="00534EC2">
              <w:rPr>
                <w:rFonts w:ascii="Times New Roman" w:eastAsia="宋体" w:hAnsi="Times New Roman" w:cs="Times New Roman" w:hint="eastAsia"/>
                <w:bCs/>
                <w:sz w:val="24"/>
                <w:szCs w:val="24"/>
              </w:rPr>
              <w:t>的结构、化学名称、理化性质、体内代谢及用途。</w:t>
            </w:r>
          </w:p>
          <w:p w14:paraId="6F223A9B"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1.10</w:t>
            </w:r>
            <w:r w:rsidRPr="00534EC2">
              <w:rPr>
                <w:rFonts w:ascii="Times New Roman" w:eastAsia="宋体" w:hAnsi="Times New Roman" w:cs="Times New Roman" w:hint="eastAsia"/>
                <w:bCs/>
                <w:sz w:val="24"/>
                <w:szCs w:val="24"/>
              </w:rPr>
              <w:t>β</w:t>
            </w:r>
            <w:r w:rsidRPr="00534EC2">
              <w:rPr>
                <w:rFonts w:ascii="Times New Roman" w:eastAsia="宋体" w:hAnsi="Times New Roman" w:cs="Times New Roman" w:hint="eastAsia"/>
                <w:bCs/>
                <w:sz w:val="24"/>
                <w:szCs w:val="24"/>
              </w:rPr>
              <w:t>-</w:t>
            </w:r>
            <w:r w:rsidRPr="00534EC2">
              <w:rPr>
                <w:rFonts w:ascii="Times New Roman" w:eastAsia="宋体" w:hAnsi="Times New Roman" w:cs="Times New Roman" w:hint="eastAsia"/>
                <w:bCs/>
                <w:sz w:val="24"/>
                <w:szCs w:val="24"/>
              </w:rPr>
              <w:t>受体阻滞剂的分类；肾上腺素、多巴</w:t>
            </w:r>
            <w:proofErr w:type="gramStart"/>
            <w:r w:rsidRPr="00534EC2">
              <w:rPr>
                <w:rFonts w:ascii="Times New Roman" w:eastAsia="宋体" w:hAnsi="Times New Roman" w:cs="Times New Roman" w:hint="eastAsia"/>
                <w:bCs/>
                <w:sz w:val="24"/>
                <w:szCs w:val="24"/>
              </w:rPr>
              <w:t>酚</w:t>
            </w:r>
            <w:proofErr w:type="gramEnd"/>
            <w:r w:rsidRPr="00534EC2">
              <w:rPr>
                <w:rFonts w:ascii="Times New Roman" w:eastAsia="宋体" w:hAnsi="Times New Roman" w:cs="Times New Roman" w:hint="eastAsia"/>
                <w:bCs/>
                <w:sz w:val="24"/>
                <w:szCs w:val="24"/>
              </w:rPr>
              <w:t>丁胺、麻黄碱、沙丁</w:t>
            </w:r>
            <w:proofErr w:type="gramStart"/>
            <w:r w:rsidRPr="00534EC2">
              <w:rPr>
                <w:rFonts w:ascii="Times New Roman" w:eastAsia="宋体" w:hAnsi="Times New Roman" w:cs="Times New Roman" w:hint="eastAsia"/>
                <w:bCs/>
                <w:sz w:val="24"/>
                <w:szCs w:val="24"/>
              </w:rPr>
              <w:t>胺</w:t>
            </w:r>
            <w:proofErr w:type="gramEnd"/>
            <w:r w:rsidRPr="00534EC2">
              <w:rPr>
                <w:rFonts w:ascii="Times New Roman" w:eastAsia="宋体" w:hAnsi="Times New Roman" w:cs="Times New Roman" w:hint="eastAsia"/>
                <w:bCs/>
                <w:sz w:val="24"/>
                <w:szCs w:val="24"/>
              </w:rPr>
              <w:t>醇和普</w:t>
            </w:r>
            <w:proofErr w:type="gramStart"/>
            <w:r w:rsidRPr="00534EC2">
              <w:rPr>
                <w:rFonts w:ascii="Times New Roman" w:eastAsia="宋体" w:hAnsi="Times New Roman" w:cs="Times New Roman" w:hint="eastAsia"/>
                <w:bCs/>
                <w:sz w:val="24"/>
                <w:szCs w:val="24"/>
              </w:rPr>
              <w:t>萘</w:t>
            </w:r>
            <w:proofErr w:type="gramEnd"/>
            <w:r w:rsidRPr="00534EC2">
              <w:rPr>
                <w:rFonts w:ascii="Times New Roman" w:eastAsia="宋体" w:hAnsi="Times New Roman" w:cs="Times New Roman" w:hint="eastAsia"/>
                <w:bCs/>
                <w:sz w:val="24"/>
                <w:szCs w:val="24"/>
              </w:rPr>
              <w:t>洛尔的结构、性质合成及应用。</w:t>
            </w:r>
          </w:p>
          <w:p w14:paraId="0F2F477E"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1.11</w:t>
            </w:r>
            <w:r w:rsidRPr="00534EC2">
              <w:rPr>
                <w:rFonts w:ascii="Times New Roman" w:eastAsia="宋体" w:hAnsi="Times New Roman" w:cs="Times New Roman" w:hint="eastAsia"/>
                <w:bCs/>
                <w:sz w:val="24"/>
                <w:szCs w:val="24"/>
              </w:rPr>
              <w:t>抗高血压药物的分类及代表药物；卡托普利、依那普利、</w:t>
            </w:r>
            <w:proofErr w:type="gramStart"/>
            <w:r w:rsidRPr="00534EC2">
              <w:rPr>
                <w:rFonts w:ascii="Times New Roman" w:eastAsia="宋体" w:hAnsi="Times New Roman" w:cs="Times New Roman" w:hint="eastAsia"/>
                <w:bCs/>
                <w:sz w:val="24"/>
                <w:szCs w:val="24"/>
              </w:rPr>
              <w:t>氯沙坦</w:t>
            </w:r>
            <w:proofErr w:type="gramEnd"/>
            <w:r w:rsidRPr="00534EC2">
              <w:rPr>
                <w:rFonts w:ascii="Times New Roman" w:eastAsia="宋体" w:hAnsi="Times New Roman" w:cs="Times New Roman" w:hint="eastAsia"/>
                <w:bCs/>
                <w:sz w:val="24"/>
                <w:szCs w:val="24"/>
              </w:rPr>
              <w:t>、硝苯地平和氨氯地平的结构、性质及应用。</w:t>
            </w:r>
          </w:p>
          <w:p w14:paraId="23D677EE"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1.12</w:t>
            </w:r>
            <w:r w:rsidRPr="00534EC2">
              <w:rPr>
                <w:rFonts w:ascii="Times New Roman" w:eastAsia="宋体" w:hAnsi="Times New Roman" w:cs="Times New Roman" w:hint="eastAsia"/>
                <w:bCs/>
                <w:sz w:val="24"/>
                <w:szCs w:val="24"/>
              </w:rPr>
              <w:t>抗心律失常药的分类；奎尼丁、利多卡因、美心律、普罗帕酮、胺碘酮、硝酸甘油、硝酸异山梨酯、吉非贝齐、</w:t>
            </w:r>
            <w:proofErr w:type="gramStart"/>
            <w:r w:rsidRPr="00534EC2">
              <w:rPr>
                <w:rFonts w:ascii="Times New Roman" w:eastAsia="宋体" w:hAnsi="Times New Roman" w:cs="Times New Roman" w:hint="eastAsia"/>
                <w:bCs/>
                <w:sz w:val="24"/>
                <w:szCs w:val="24"/>
              </w:rPr>
              <w:t>氯贝丁</w:t>
            </w:r>
            <w:proofErr w:type="gramEnd"/>
            <w:r w:rsidRPr="00534EC2">
              <w:rPr>
                <w:rFonts w:ascii="Times New Roman" w:eastAsia="宋体" w:hAnsi="Times New Roman" w:cs="Times New Roman" w:hint="eastAsia"/>
                <w:bCs/>
                <w:sz w:val="24"/>
                <w:szCs w:val="24"/>
              </w:rPr>
              <w:t>酯的结构及应用。</w:t>
            </w:r>
          </w:p>
          <w:p w14:paraId="75C3A00D"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1.13</w:t>
            </w:r>
            <w:proofErr w:type="gramStart"/>
            <w:r w:rsidRPr="00534EC2">
              <w:rPr>
                <w:rFonts w:ascii="Times New Roman" w:eastAsia="宋体" w:hAnsi="Times New Roman" w:cs="Times New Roman" w:hint="eastAsia"/>
                <w:bCs/>
                <w:sz w:val="24"/>
                <w:szCs w:val="24"/>
              </w:rPr>
              <w:t>甾</w:t>
            </w:r>
            <w:proofErr w:type="gramEnd"/>
            <w:r w:rsidRPr="00534EC2">
              <w:rPr>
                <w:rFonts w:ascii="Times New Roman" w:eastAsia="宋体" w:hAnsi="Times New Roman" w:cs="Times New Roman" w:hint="eastAsia"/>
                <w:bCs/>
                <w:sz w:val="24"/>
                <w:szCs w:val="24"/>
              </w:rPr>
              <w:t>体药物分类及结构特征；雌二醇、睾酮、黄体酮、己烯雌</w:t>
            </w:r>
            <w:proofErr w:type="gramStart"/>
            <w:r w:rsidRPr="00534EC2">
              <w:rPr>
                <w:rFonts w:ascii="Times New Roman" w:eastAsia="宋体" w:hAnsi="Times New Roman" w:cs="Times New Roman" w:hint="eastAsia"/>
                <w:bCs/>
                <w:sz w:val="24"/>
                <w:szCs w:val="24"/>
              </w:rPr>
              <w:t>酚</w:t>
            </w:r>
            <w:proofErr w:type="gramEnd"/>
            <w:r w:rsidRPr="00534EC2">
              <w:rPr>
                <w:rFonts w:ascii="Times New Roman" w:eastAsia="宋体" w:hAnsi="Times New Roman" w:cs="Times New Roman" w:hint="eastAsia"/>
                <w:bCs/>
                <w:sz w:val="24"/>
                <w:szCs w:val="24"/>
              </w:rPr>
              <w:t>、醋酸氢化可的松、苯丙酸诺龙的化学名、结构、理化性质和用途。</w:t>
            </w:r>
          </w:p>
          <w:p w14:paraId="6CE01492"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lastRenderedPageBreak/>
              <w:t>1.14</w:t>
            </w:r>
            <w:r w:rsidRPr="00534EC2">
              <w:rPr>
                <w:rFonts w:ascii="Times New Roman" w:eastAsia="宋体" w:hAnsi="Times New Roman" w:cs="Times New Roman" w:hint="eastAsia"/>
                <w:bCs/>
                <w:sz w:val="24"/>
                <w:szCs w:val="24"/>
              </w:rPr>
              <w:t>磺胺甲噁</w:t>
            </w:r>
            <w:proofErr w:type="gramStart"/>
            <w:r w:rsidRPr="00534EC2">
              <w:rPr>
                <w:rFonts w:ascii="Times New Roman" w:eastAsia="宋体" w:hAnsi="Times New Roman" w:cs="Times New Roman" w:hint="eastAsia"/>
                <w:bCs/>
                <w:sz w:val="24"/>
                <w:szCs w:val="24"/>
              </w:rPr>
              <w:t>唑</w:t>
            </w:r>
            <w:proofErr w:type="gramEnd"/>
            <w:r w:rsidRPr="00534EC2">
              <w:rPr>
                <w:rFonts w:ascii="Times New Roman" w:eastAsia="宋体" w:hAnsi="Times New Roman" w:cs="Times New Roman" w:hint="eastAsia"/>
                <w:bCs/>
                <w:sz w:val="24"/>
                <w:szCs w:val="24"/>
              </w:rPr>
              <w:t>、甲氧</w:t>
            </w:r>
            <w:proofErr w:type="gramStart"/>
            <w:r w:rsidRPr="00534EC2">
              <w:rPr>
                <w:rFonts w:ascii="Times New Roman" w:eastAsia="宋体" w:hAnsi="Times New Roman" w:cs="Times New Roman" w:hint="eastAsia"/>
                <w:bCs/>
                <w:sz w:val="24"/>
                <w:szCs w:val="24"/>
              </w:rPr>
              <w:t>苄啶</w:t>
            </w:r>
            <w:proofErr w:type="gramEnd"/>
            <w:r w:rsidRPr="00534EC2">
              <w:rPr>
                <w:rFonts w:ascii="Times New Roman" w:eastAsia="宋体" w:hAnsi="Times New Roman" w:cs="Times New Roman" w:hint="eastAsia"/>
                <w:bCs/>
                <w:sz w:val="24"/>
                <w:szCs w:val="24"/>
              </w:rPr>
              <w:t>、环丙沙星、诺氟沙星、左氧氟沙星结构特点、理化性质、临床用途及合成。</w:t>
            </w:r>
          </w:p>
          <w:p w14:paraId="6B821CFF"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1.15</w:t>
            </w:r>
            <w:r w:rsidRPr="00534EC2">
              <w:rPr>
                <w:rFonts w:ascii="Times New Roman" w:eastAsia="宋体" w:hAnsi="Times New Roman" w:cs="Times New Roman" w:hint="eastAsia"/>
                <w:bCs/>
                <w:sz w:val="24"/>
                <w:szCs w:val="24"/>
              </w:rPr>
              <w:t>β</w:t>
            </w:r>
            <w:r w:rsidRPr="00534EC2">
              <w:rPr>
                <w:rFonts w:ascii="Times New Roman" w:eastAsia="宋体" w:hAnsi="Times New Roman" w:cs="Times New Roman" w:hint="eastAsia"/>
                <w:bCs/>
                <w:sz w:val="24"/>
                <w:szCs w:val="24"/>
              </w:rPr>
              <w:t>-</w:t>
            </w:r>
            <w:r w:rsidRPr="00534EC2">
              <w:rPr>
                <w:rFonts w:ascii="Times New Roman" w:eastAsia="宋体" w:hAnsi="Times New Roman" w:cs="Times New Roman" w:hint="eastAsia"/>
                <w:bCs/>
                <w:sz w:val="24"/>
                <w:szCs w:val="24"/>
              </w:rPr>
              <w:t>内酰胺类抗生素的结构特点、分类和作用机制；青霉素、阿莫西林、头</w:t>
            </w:r>
            <w:proofErr w:type="gramStart"/>
            <w:r w:rsidRPr="00534EC2">
              <w:rPr>
                <w:rFonts w:ascii="Times New Roman" w:eastAsia="宋体" w:hAnsi="Times New Roman" w:cs="Times New Roman" w:hint="eastAsia"/>
                <w:bCs/>
                <w:sz w:val="24"/>
                <w:szCs w:val="24"/>
              </w:rPr>
              <w:t>孢</w:t>
            </w:r>
            <w:proofErr w:type="gramEnd"/>
            <w:r w:rsidRPr="00534EC2">
              <w:rPr>
                <w:rFonts w:ascii="Times New Roman" w:eastAsia="宋体" w:hAnsi="Times New Roman" w:cs="Times New Roman" w:hint="eastAsia"/>
                <w:bCs/>
                <w:sz w:val="24"/>
                <w:szCs w:val="24"/>
              </w:rPr>
              <w:t>氨</w:t>
            </w:r>
            <w:proofErr w:type="gramStart"/>
            <w:r w:rsidRPr="00534EC2">
              <w:rPr>
                <w:rFonts w:ascii="Times New Roman" w:eastAsia="宋体" w:hAnsi="Times New Roman" w:cs="Times New Roman" w:hint="eastAsia"/>
                <w:bCs/>
                <w:sz w:val="24"/>
                <w:szCs w:val="24"/>
              </w:rPr>
              <w:t>苄</w:t>
            </w:r>
            <w:proofErr w:type="gramEnd"/>
            <w:r w:rsidRPr="00534EC2">
              <w:rPr>
                <w:rFonts w:ascii="Times New Roman" w:eastAsia="宋体" w:hAnsi="Times New Roman" w:cs="Times New Roman" w:hint="eastAsia"/>
                <w:bCs/>
                <w:sz w:val="24"/>
                <w:szCs w:val="24"/>
              </w:rPr>
              <w:t>、克拉维酸钾、舒巴坦钠的结构特点、理化性质和临床用途。</w:t>
            </w:r>
          </w:p>
          <w:p w14:paraId="799F5B7E"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1.16</w:t>
            </w:r>
            <w:r w:rsidRPr="00534EC2">
              <w:rPr>
                <w:rFonts w:ascii="Times New Roman" w:eastAsia="宋体" w:hAnsi="Times New Roman" w:cs="Times New Roman" w:hint="eastAsia"/>
                <w:bCs/>
                <w:sz w:val="24"/>
                <w:szCs w:val="24"/>
              </w:rPr>
              <w:t>烷化剂类药物的结构类型作用机理；环磷酰胺、卡莫司汀、顺铂、氟尿嘧啶、</w:t>
            </w:r>
            <w:proofErr w:type="gramStart"/>
            <w:r w:rsidRPr="00534EC2">
              <w:rPr>
                <w:rFonts w:ascii="Times New Roman" w:eastAsia="宋体" w:hAnsi="Times New Roman" w:cs="Times New Roman" w:hint="eastAsia"/>
                <w:bCs/>
                <w:sz w:val="24"/>
                <w:szCs w:val="24"/>
              </w:rPr>
              <w:t>巯</w:t>
            </w:r>
            <w:proofErr w:type="gramEnd"/>
            <w:r w:rsidRPr="00534EC2">
              <w:rPr>
                <w:rFonts w:ascii="Times New Roman" w:eastAsia="宋体" w:hAnsi="Times New Roman" w:cs="Times New Roman" w:hint="eastAsia"/>
                <w:bCs/>
                <w:sz w:val="24"/>
                <w:szCs w:val="24"/>
              </w:rPr>
              <w:t>嘌呤的结构、理化性质及作用特点。</w:t>
            </w:r>
          </w:p>
        </w:tc>
      </w:tr>
      <w:tr w:rsidR="00534EC2" w:rsidRPr="00534EC2" w14:paraId="17A7F562" w14:textId="77777777" w:rsidTr="00534EC2">
        <w:trPr>
          <w:jc w:val="center"/>
        </w:trPr>
        <w:tc>
          <w:tcPr>
            <w:tcW w:w="1422" w:type="dxa"/>
            <w:vAlign w:val="center"/>
          </w:tcPr>
          <w:p w14:paraId="3A693958"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hint="eastAsia"/>
                <w:bCs/>
                <w:sz w:val="24"/>
                <w:szCs w:val="24"/>
              </w:rPr>
              <w:t>课程目标3</w:t>
            </w:r>
          </w:p>
        </w:tc>
        <w:tc>
          <w:tcPr>
            <w:tcW w:w="7918" w:type="dxa"/>
            <w:vAlign w:val="center"/>
          </w:tcPr>
          <w:p w14:paraId="71C9B7C3" w14:textId="77777777" w:rsidR="00534EC2" w:rsidRPr="00534EC2" w:rsidRDefault="00534EC2" w:rsidP="00534EC2">
            <w:pPr>
              <w:spacing w:line="440" w:lineRule="exact"/>
              <w:rPr>
                <w:rFonts w:ascii="Times New Roman" w:eastAsia="宋体" w:hAnsi="宋体" w:cs="Times New Roman"/>
                <w:bCs/>
                <w:sz w:val="24"/>
                <w:szCs w:val="24"/>
              </w:rPr>
            </w:pPr>
            <w:r w:rsidRPr="00534EC2">
              <w:rPr>
                <w:rFonts w:ascii="Times New Roman" w:eastAsia="宋体" w:hAnsi="Times New Roman" w:cs="Times New Roman"/>
                <w:bCs/>
                <w:sz w:val="24"/>
                <w:szCs w:val="24"/>
              </w:rPr>
              <w:t>2.1</w:t>
            </w:r>
            <w:r w:rsidRPr="00534EC2">
              <w:rPr>
                <w:rFonts w:ascii="Times New Roman" w:eastAsia="宋体" w:hAnsi="宋体" w:cs="Times New Roman" w:hint="eastAsia"/>
                <w:bCs/>
                <w:sz w:val="24"/>
                <w:szCs w:val="24"/>
              </w:rPr>
              <w:t>官能团化反应和结合反应的反应类型。</w:t>
            </w:r>
          </w:p>
          <w:p w14:paraId="629BA907" w14:textId="77777777" w:rsidR="00534EC2" w:rsidRPr="00534EC2" w:rsidRDefault="00534EC2" w:rsidP="00534EC2">
            <w:pPr>
              <w:spacing w:line="440" w:lineRule="exact"/>
              <w:rPr>
                <w:rFonts w:ascii="Times New Roman" w:eastAsia="宋体" w:hAnsi="Times New Roman" w:cs="Times New Roman"/>
                <w:color w:val="000000"/>
                <w:sz w:val="24"/>
                <w:szCs w:val="24"/>
              </w:rPr>
            </w:pPr>
            <w:r w:rsidRPr="00534EC2">
              <w:rPr>
                <w:rFonts w:ascii="Times New Roman" w:eastAsia="宋体" w:hAnsi="Times New Roman" w:cs="Times New Roman"/>
                <w:bCs/>
                <w:sz w:val="24"/>
                <w:szCs w:val="24"/>
              </w:rPr>
              <w:t>2.2</w:t>
            </w:r>
            <w:r w:rsidRPr="00534EC2">
              <w:rPr>
                <w:rFonts w:ascii="Times New Roman" w:eastAsia="宋体" w:hAnsi="Times New Roman" w:cs="Times New Roman" w:hint="eastAsia"/>
                <w:color w:val="000000"/>
                <w:sz w:val="24"/>
                <w:szCs w:val="24"/>
              </w:rPr>
              <w:t>生物电子等排原理；前药原理；软药；硬药；</w:t>
            </w:r>
            <w:proofErr w:type="gramStart"/>
            <w:r w:rsidRPr="00534EC2">
              <w:rPr>
                <w:rFonts w:ascii="Times New Roman" w:eastAsia="宋体" w:hAnsi="Times New Roman" w:cs="Times New Roman" w:hint="eastAsia"/>
                <w:color w:val="000000"/>
                <w:sz w:val="24"/>
                <w:szCs w:val="24"/>
              </w:rPr>
              <w:t>孪</w:t>
            </w:r>
            <w:proofErr w:type="gramEnd"/>
            <w:r w:rsidRPr="00534EC2">
              <w:rPr>
                <w:rFonts w:ascii="Times New Roman" w:eastAsia="宋体" w:hAnsi="Times New Roman" w:cs="Times New Roman" w:hint="eastAsia"/>
                <w:color w:val="000000"/>
                <w:sz w:val="24"/>
                <w:szCs w:val="24"/>
              </w:rPr>
              <w:t>药。</w:t>
            </w:r>
          </w:p>
          <w:p w14:paraId="08B04EAF" w14:textId="77777777" w:rsidR="00534EC2" w:rsidRPr="00534EC2" w:rsidRDefault="00534EC2" w:rsidP="00534EC2">
            <w:pPr>
              <w:spacing w:line="440" w:lineRule="exact"/>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2.3</w:t>
            </w:r>
            <w:r w:rsidRPr="00534EC2">
              <w:rPr>
                <w:rFonts w:ascii="Times New Roman" w:eastAsia="宋体" w:hAnsi="Times New Roman" w:cs="Times New Roman" w:hint="eastAsia"/>
                <w:color w:val="000000"/>
                <w:sz w:val="24"/>
                <w:szCs w:val="24"/>
              </w:rPr>
              <w:t>苯</w:t>
            </w:r>
            <w:proofErr w:type="gramStart"/>
            <w:r w:rsidRPr="00534EC2">
              <w:rPr>
                <w:rFonts w:ascii="Times New Roman" w:eastAsia="宋体" w:hAnsi="Times New Roman" w:cs="Times New Roman" w:hint="eastAsia"/>
                <w:color w:val="000000"/>
                <w:sz w:val="24"/>
                <w:szCs w:val="24"/>
              </w:rPr>
              <w:t>并氮杂卓类</w:t>
            </w:r>
            <w:proofErr w:type="gramEnd"/>
            <w:r w:rsidRPr="00534EC2">
              <w:rPr>
                <w:rFonts w:ascii="Times New Roman" w:eastAsia="宋体" w:hAnsi="Times New Roman" w:cs="Times New Roman" w:hint="eastAsia"/>
                <w:color w:val="000000"/>
                <w:sz w:val="24"/>
                <w:szCs w:val="24"/>
              </w:rPr>
              <w:t>药物和巴比妥类药物</w:t>
            </w:r>
            <w:proofErr w:type="gramStart"/>
            <w:r w:rsidRPr="00534EC2">
              <w:rPr>
                <w:rFonts w:ascii="Times New Roman" w:eastAsia="宋体" w:hAnsi="Times New Roman" w:cs="Times New Roman" w:hint="eastAsia"/>
                <w:color w:val="000000"/>
                <w:sz w:val="24"/>
                <w:szCs w:val="24"/>
              </w:rPr>
              <w:t>的构效关系</w:t>
            </w:r>
            <w:proofErr w:type="gramEnd"/>
            <w:r w:rsidRPr="00534EC2">
              <w:rPr>
                <w:rFonts w:ascii="Times New Roman" w:eastAsia="宋体" w:hAnsi="Times New Roman" w:cs="Times New Roman" w:hint="eastAsia"/>
                <w:color w:val="000000"/>
                <w:sz w:val="24"/>
                <w:szCs w:val="24"/>
              </w:rPr>
              <w:t>。</w:t>
            </w:r>
          </w:p>
          <w:p w14:paraId="6EC73A95" w14:textId="77777777" w:rsidR="00534EC2" w:rsidRPr="00534EC2" w:rsidRDefault="00534EC2" w:rsidP="00534EC2">
            <w:pPr>
              <w:spacing w:line="440" w:lineRule="exact"/>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2.4</w:t>
            </w:r>
            <w:r w:rsidRPr="00534EC2">
              <w:rPr>
                <w:rFonts w:ascii="Times New Roman" w:eastAsia="宋体" w:hAnsi="Times New Roman" w:cs="Times New Roman" w:hint="eastAsia"/>
                <w:color w:val="000000"/>
                <w:sz w:val="24"/>
                <w:szCs w:val="24"/>
              </w:rPr>
              <w:t>抗精神病药的作用机制；</w:t>
            </w:r>
            <w:proofErr w:type="gramStart"/>
            <w:r w:rsidRPr="00534EC2">
              <w:rPr>
                <w:rFonts w:ascii="Times New Roman" w:eastAsia="宋体" w:hAnsi="Times New Roman" w:cs="Times New Roman" w:hint="eastAsia"/>
                <w:color w:val="000000"/>
                <w:sz w:val="24"/>
                <w:szCs w:val="24"/>
              </w:rPr>
              <w:t>吩噻嗪</w:t>
            </w:r>
            <w:proofErr w:type="gramEnd"/>
            <w:r w:rsidRPr="00534EC2">
              <w:rPr>
                <w:rFonts w:ascii="Times New Roman" w:eastAsia="宋体" w:hAnsi="Times New Roman" w:cs="Times New Roman" w:hint="eastAsia"/>
                <w:color w:val="000000"/>
                <w:sz w:val="24"/>
                <w:szCs w:val="24"/>
              </w:rPr>
              <w:t>类药物</w:t>
            </w:r>
            <w:proofErr w:type="gramStart"/>
            <w:r w:rsidRPr="00534EC2">
              <w:rPr>
                <w:rFonts w:ascii="Times New Roman" w:eastAsia="宋体" w:hAnsi="Times New Roman" w:cs="Times New Roman" w:hint="eastAsia"/>
                <w:color w:val="000000"/>
                <w:sz w:val="24"/>
                <w:szCs w:val="24"/>
              </w:rPr>
              <w:t>的构效关系</w:t>
            </w:r>
            <w:proofErr w:type="gramEnd"/>
            <w:r w:rsidRPr="00534EC2">
              <w:rPr>
                <w:rFonts w:ascii="Times New Roman" w:eastAsia="宋体" w:hAnsi="Times New Roman" w:cs="Times New Roman" w:hint="eastAsia"/>
                <w:color w:val="000000"/>
                <w:sz w:val="24"/>
                <w:szCs w:val="24"/>
              </w:rPr>
              <w:t>。</w:t>
            </w:r>
          </w:p>
          <w:p w14:paraId="6C1F4A02"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2.5</w:t>
            </w:r>
            <w:r w:rsidRPr="00534EC2">
              <w:rPr>
                <w:rFonts w:ascii="Times New Roman" w:eastAsia="宋体" w:hAnsi="Times New Roman" w:cs="Times New Roman" w:hint="eastAsia"/>
                <w:bCs/>
                <w:sz w:val="24"/>
                <w:szCs w:val="24"/>
              </w:rPr>
              <w:t>镇痛药</w:t>
            </w:r>
            <w:proofErr w:type="gramStart"/>
            <w:r w:rsidRPr="00534EC2">
              <w:rPr>
                <w:rFonts w:ascii="Times New Roman" w:eastAsia="宋体" w:hAnsi="Times New Roman" w:cs="Times New Roman" w:hint="eastAsia"/>
                <w:bCs/>
                <w:sz w:val="24"/>
                <w:szCs w:val="24"/>
              </w:rPr>
              <w:t>的构效关系</w:t>
            </w:r>
            <w:proofErr w:type="gramEnd"/>
            <w:r w:rsidRPr="00534EC2">
              <w:rPr>
                <w:rFonts w:ascii="Times New Roman" w:eastAsia="宋体" w:hAnsi="Times New Roman" w:cs="Times New Roman" w:hint="eastAsia"/>
                <w:bCs/>
                <w:sz w:val="24"/>
                <w:szCs w:val="24"/>
              </w:rPr>
              <w:t>。</w:t>
            </w:r>
          </w:p>
          <w:p w14:paraId="07670D84"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2.6</w:t>
            </w:r>
            <w:r w:rsidRPr="00534EC2">
              <w:rPr>
                <w:rFonts w:ascii="Times New Roman" w:eastAsia="宋体" w:hAnsi="Times New Roman" w:cs="Times New Roman" w:hint="eastAsia"/>
                <w:bCs/>
                <w:sz w:val="24"/>
                <w:szCs w:val="24"/>
              </w:rPr>
              <w:t>非</w:t>
            </w:r>
            <w:proofErr w:type="gramStart"/>
            <w:r w:rsidRPr="00534EC2">
              <w:rPr>
                <w:rFonts w:ascii="Times New Roman" w:eastAsia="宋体" w:hAnsi="Times New Roman" w:cs="Times New Roman" w:hint="eastAsia"/>
                <w:bCs/>
                <w:sz w:val="24"/>
                <w:szCs w:val="24"/>
              </w:rPr>
              <w:t>甾</w:t>
            </w:r>
            <w:proofErr w:type="gramEnd"/>
            <w:r w:rsidRPr="00534EC2">
              <w:rPr>
                <w:rFonts w:ascii="Times New Roman" w:eastAsia="宋体" w:hAnsi="Times New Roman" w:cs="Times New Roman" w:hint="eastAsia"/>
                <w:bCs/>
                <w:sz w:val="24"/>
                <w:szCs w:val="24"/>
              </w:rPr>
              <w:t>体抗炎药的作用机理；阿司匹林、对乙酰氨基</w:t>
            </w:r>
            <w:proofErr w:type="gramStart"/>
            <w:r w:rsidRPr="00534EC2">
              <w:rPr>
                <w:rFonts w:ascii="Times New Roman" w:eastAsia="宋体" w:hAnsi="Times New Roman" w:cs="Times New Roman" w:hint="eastAsia"/>
                <w:bCs/>
                <w:sz w:val="24"/>
                <w:szCs w:val="24"/>
              </w:rPr>
              <w:t>酚</w:t>
            </w:r>
            <w:proofErr w:type="gramEnd"/>
            <w:r w:rsidRPr="00534EC2">
              <w:rPr>
                <w:rFonts w:ascii="Times New Roman" w:eastAsia="宋体" w:hAnsi="Times New Roman" w:cs="Times New Roman" w:hint="eastAsia"/>
                <w:bCs/>
                <w:sz w:val="24"/>
                <w:szCs w:val="24"/>
              </w:rPr>
              <w:t>和布洛芬的合成。</w:t>
            </w:r>
          </w:p>
          <w:p w14:paraId="177E2BE4"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2.7</w:t>
            </w:r>
            <w:r w:rsidRPr="00534EC2">
              <w:rPr>
                <w:rFonts w:ascii="Times New Roman" w:eastAsia="宋体" w:hAnsi="Times New Roman" w:cs="Times New Roman" w:hint="eastAsia"/>
                <w:bCs/>
                <w:sz w:val="24"/>
                <w:szCs w:val="24"/>
              </w:rPr>
              <w:t>莨菪类药物</w:t>
            </w:r>
            <w:proofErr w:type="gramStart"/>
            <w:r w:rsidRPr="00534EC2">
              <w:rPr>
                <w:rFonts w:ascii="Times New Roman" w:eastAsia="宋体" w:hAnsi="Times New Roman" w:cs="Times New Roman" w:hint="eastAsia"/>
                <w:bCs/>
                <w:sz w:val="24"/>
                <w:szCs w:val="24"/>
              </w:rPr>
              <w:t>的构效关系</w:t>
            </w:r>
            <w:proofErr w:type="gramEnd"/>
            <w:r w:rsidRPr="00534EC2">
              <w:rPr>
                <w:rFonts w:ascii="Times New Roman" w:eastAsia="宋体" w:hAnsi="Times New Roman" w:cs="Times New Roman" w:hint="eastAsia"/>
                <w:bCs/>
                <w:sz w:val="24"/>
                <w:szCs w:val="24"/>
              </w:rPr>
              <w:t>。</w:t>
            </w:r>
          </w:p>
          <w:p w14:paraId="5E668060"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2.8</w:t>
            </w:r>
            <w:r w:rsidRPr="00534EC2">
              <w:rPr>
                <w:rFonts w:ascii="Times New Roman" w:eastAsia="宋体" w:hAnsi="Times New Roman" w:cs="Times New Roman" w:hint="eastAsia"/>
                <w:bCs/>
                <w:sz w:val="24"/>
                <w:szCs w:val="24"/>
              </w:rPr>
              <w:t>β</w:t>
            </w:r>
            <w:r w:rsidRPr="00534EC2">
              <w:rPr>
                <w:rFonts w:ascii="Times New Roman" w:eastAsia="宋体" w:hAnsi="Times New Roman" w:cs="Times New Roman" w:hint="eastAsia"/>
                <w:bCs/>
                <w:sz w:val="24"/>
                <w:szCs w:val="24"/>
              </w:rPr>
              <w:t>-</w:t>
            </w:r>
            <w:r w:rsidRPr="00534EC2">
              <w:rPr>
                <w:rFonts w:ascii="Times New Roman" w:eastAsia="宋体" w:hAnsi="Times New Roman" w:cs="Times New Roman" w:hint="eastAsia"/>
                <w:bCs/>
                <w:sz w:val="24"/>
                <w:szCs w:val="24"/>
              </w:rPr>
              <w:t>受体</w:t>
            </w:r>
            <w:proofErr w:type="gramStart"/>
            <w:r w:rsidRPr="00534EC2">
              <w:rPr>
                <w:rFonts w:ascii="Times New Roman" w:eastAsia="宋体" w:hAnsi="Times New Roman" w:cs="Times New Roman" w:hint="eastAsia"/>
                <w:bCs/>
                <w:sz w:val="24"/>
                <w:szCs w:val="24"/>
              </w:rPr>
              <w:t>阻滞剂构效关系</w:t>
            </w:r>
            <w:proofErr w:type="gramEnd"/>
            <w:r w:rsidRPr="00534EC2">
              <w:rPr>
                <w:rFonts w:ascii="Times New Roman" w:eastAsia="宋体" w:hAnsi="Times New Roman" w:cs="Times New Roman" w:hint="eastAsia"/>
                <w:bCs/>
                <w:sz w:val="24"/>
                <w:szCs w:val="24"/>
              </w:rPr>
              <w:t>。</w:t>
            </w:r>
          </w:p>
          <w:p w14:paraId="1D57C5B5"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2.9</w:t>
            </w:r>
            <w:r w:rsidRPr="00534EC2">
              <w:rPr>
                <w:rFonts w:ascii="Times New Roman" w:eastAsia="宋体" w:hAnsi="Times New Roman" w:cs="Times New Roman" w:hint="eastAsia"/>
                <w:bCs/>
                <w:sz w:val="24"/>
                <w:szCs w:val="24"/>
              </w:rPr>
              <w:t>硝苯地平的合成。</w:t>
            </w:r>
          </w:p>
          <w:p w14:paraId="4B487AA2"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2.10</w:t>
            </w:r>
            <w:r w:rsidRPr="00534EC2">
              <w:rPr>
                <w:rFonts w:ascii="Times New Roman" w:eastAsia="宋体" w:hAnsi="Times New Roman" w:cs="Times New Roman" w:hint="eastAsia"/>
                <w:bCs/>
                <w:sz w:val="24"/>
                <w:szCs w:val="24"/>
              </w:rPr>
              <w:t>磺胺类药物和抗菌增效剂的作用机制；</w:t>
            </w:r>
            <w:proofErr w:type="gramStart"/>
            <w:r w:rsidRPr="00534EC2">
              <w:rPr>
                <w:rFonts w:ascii="Times New Roman" w:eastAsia="宋体" w:hAnsi="Times New Roman" w:cs="Times New Roman" w:hint="eastAsia"/>
                <w:bCs/>
                <w:sz w:val="24"/>
                <w:szCs w:val="24"/>
              </w:rPr>
              <w:t>喹</w:t>
            </w:r>
            <w:proofErr w:type="gramEnd"/>
            <w:r w:rsidRPr="00534EC2">
              <w:rPr>
                <w:rFonts w:ascii="Times New Roman" w:eastAsia="宋体" w:hAnsi="Times New Roman" w:cs="Times New Roman" w:hint="eastAsia"/>
                <w:bCs/>
                <w:sz w:val="24"/>
                <w:szCs w:val="24"/>
              </w:rPr>
              <w:t>诺酮类和磺胺类药物</w:t>
            </w:r>
            <w:proofErr w:type="gramStart"/>
            <w:r w:rsidRPr="00534EC2">
              <w:rPr>
                <w:rFonts w:ascii="Times New Roman" w:eastAsia="宋体" w:hAnsi="Times New Roman" w:cs="Times New Roman" w:hint="eastAsia"/>
                <w:bCs/>
                <w:sz w:val="24"/>
                <w:szCs w:val="24"/>
              </w:rPr>
              <w:t>的构效关系</w:t>
            </w:r>
            <w:proofErr w:type="gramEnd"/>
            <w:r w:rsidRPr="00534EC2">
              <w:rPr>
                <w:rFonts w:ascii="Times New Roman" w:eastAsia="宋体" w:hAnsi="Times New Roman" w:cs="Times New Roman" w:hint="eastAsia"/>
                <w:bCs/>
                <w:sz w:val="24"/>
                <w:szCs w:val="24"/>
              </w:rPr>
              <w:t>。</w:t>
            </w:r>
          </w:p>
          <w:p w14:paraId="36957670"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2.11</w:t>
            </w:r>
            <w:r w:rsidRPr="00534EC2">
              <w:rPr>
                <w:rFonts w:ascii="Times New Roman" w:eastAsia="宋体" w:hAnsi="Times New Roman" w:cs="Times New Roman" w:hint="eastAsia"/>
                <w:bCs/>
                <w:sz w:val="24"/>
                <w:szCs w:val="24"/>
              </w:rPr>
              <w:t>青霉素类</w:t>
            </w:r>
            <w:proofErr w:type="gramStart"/>
            <w:r w:rsidRPr="00534EC2">
              <w:rPr>
                <w:rFonts w:ascii="Times New Roman" w:eastAsia="宋体" w:hAnsi="Times New Roman" w:cs="Times New Roman" w:hint="eastAsia"/>
                <w:bCs/>
                <w:sz w:val="24"/>
                <w:szCs w:val="24"/>
              </w:rPr>
              <w:t>药物构效关系</w:t>
            </w:r>
            <w:proofErr w:type="gramEnd"/>
            <w:r w:rsidRPr="00534EC2">
              <w:rPr>
                <w:rFonts w:ascii="Times New Roman" w:eastAsia="宋体" w:hAnsi="Times New Roman" w:cs="Times New Roman" w:hint="eastAsia"/>
                <w:bCs/>
                <w:sz w:val="24"/>
                <w:szCs w:val="24"/>
              </w:rPr>
              <w:t>；非经典的β–内酰胺类抗生素抗菌增效剂；</w:t>
            </w:r>
            <w:r w:rsidRPr="00534EC2">
              <w:rPr>
                <w:rFonts w:ascii="Times New Roman" w:eastAsia="宋体" w:hAnsi="Times New Roman" w:cs="Times New Roman" w:hint="eastAsia"/>
                <w:bCs/>
                <w:sz w:val="24"/>
                <w:szCs w:val="24"/>
              </w:rPr>
              <w:t xml:space="preserve"> </w:t>
            </w:r>
          </w:p>
          <w:p w14:paraId="1EED7B82" w14:textId="77777777" w:rsidR="00534EC2" w:rsidRPr="00534EC2" w:rsidRDefault="00534EC2" w:rsidP="00534EC2">
            <w:pPr>
              <w:spacing w:line="440" w:lineRule="exact"/>
              <w:rPr>
                <w:rFonts w:ascii="Times New Roman" w:eastAsia="宋体" w:hAnsi="Times New Roman" w:cs="Times New Roman"/>
                <w:bCs/>
                <w:sz w:val="24"/>
                <w:szCs w:val="24"/>
              </w:rPr>
            </w:pPr>
            <w:r w:rsidRPr="00534EC2">
              <w:rPr>
                <w:rFonts w:ascii="Times New Roman" w:eastAsia="宋体" w:hAnsi="Times New Roman" w:cs="Times New Roman" w:hint="eastAsia"/>
                <w:bCs/>
                <w:sz w:val="24"/>
                <w:szCs w:val="24"/>
              </w:rPr>
              <w:t>2.12</w:t>
            </w:r>
            <w:r w:rsidRPr="00534EC2">
              <w:rPr>
                <w:rFonts w:ascii="Times New Roman" w:eastAsia="宋体" w:hAnsi="Times New Roman" w:cs="Times New Roman" w:hint="eastAsia"/>
                <w:bCs/>
                <w:sz w:val="24"/>
                <w:szCs w:val="24"/>
              </w:rPr>
              <w:t>环磷酰胺的合成方法；抗代谢药物的设计原理及作用机理。</w:t>
            </w:r>
          </w:p>
        </w:tc>
      </w:tr>
    </w:tbl>
    <w:p w14:paraId="217D6B33" w14:textId="77777777" w:rsidR="00534EC2" w:rsidRPr="00534EC2" w:rsidRDefault="00534EC2" w:rsidP="00534EC2">
      <w:pPr>
        <w:spacing w:beforeLines="50" w:before="156" w:afterLines="50" w:after="156" w:line="440" w:lineRule="exact"/>
        <w:rPr>
          <w:rFonts w:ascii="黑体" w:eastAsia="黑体" w:hAnsi="黑体" w:cs="Times New Roman"/>
          <w:sz w:val="28"/>
          <w:szCs w:val="28"/>
        </w:rPr>
      </w:pPr>
      <w:r w:rsidRPr="00534EC2">
        <w:rPr>
          <w:rFonts w:ascii="黑体" w:eastAsia="黑体" w:hAnsi="黑体" w:cs="Times New Roman" w:hint="eastAsia"/>
          <w:sz w:val="28"/>
          <w:szCs w:val="28"/>
        </w:rPr>
        <w:t>（二）课程考核方式</w:t>
      </w:r>
    </w:p>
    <w:p w14:paraId="638638A6" w14:textId="77777777" w:rsidR="00534EC2" w:rsidRPr="00534EC2" w:rsidRDefault="00534EC2" w:rsidP="00D225FF">
      <w:pPr>
        <w:spacing w:beforeLines="50" w:before="156" w:afterLines="50" w:after="156"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课程考核方式分为平时考核和期末考核。</w:t>
      </w:r>
    </w:p>
    <w:p w14:paraId="2F383031" w14:textId="77777777" w:rsidR="00534EC2" w:rsidRPr="00534EC2" w:rsidRDefault="00534EC2" w:rsidP="00D225FF">
      <w:pPr>
        <w:spacing w:beforeLines="50" w:before="156" w:afterLines="50" w:after="156"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平时成绩包括出勤率（</w:t>
      </w:r>
      <w:r w:rsidRPr="00534EC2">
        <w:rPr>
          <w:rFonts w:ascii="宋体" w:eastAsia="宋体" w:hAnsi="宋体" w:cs="Times New Roman"/>
          <w:sz w:val="24"/>
          <w:szCs w:val="24"/>
        </w:rPr>
        <w:t>9</w:t>
      </w:r>
      <w:r w:rsidRPr="00534EC2">
        <w:rPr>
          <w:rFonts w:ascii="宋体" w:eastAsia="宋体" w:hAnsi="宋体" w:cs="Times New Roman" w:hint="eastAsia"/>
          <w:sz w:val="24"/>
          <w:szCs w:val="24"/>
        </w:rPr>
        <w:t>%）、课堂表现（</w:t>
      </w:r>
      <w:r w:rsidRPr="00534EC2">
        <w:rPr>
          <w:rFonts w:ascii="宋体" w:eastAsia="宋体" w:hAnsi="宋体" w:cs="Times New Roman"/>
          <w:sz w:val="24"/>
          <w:szCs w:val="24"/>
        </w:rPr>
        <w:t>6</w:t>
      </w:r>
      <w:r w:rsidRPr="00534EC2">
        <w:rPr>
          <w:rFonts w:ascii="宋体" w:eastAsia="宋体" w:hAnsi="宋体" w:cs="Times New Roman" w:hint="eastAsia"/>
          <w:sz w:val="24"/>
          <w:szCs w:val="24"/>
        </w:rPr>
        <w:t>%）、平时作业及测试（1</w:t>
      </w:r>
      <w:r w:rsidRPr="00534EC2">
        <w:rPr>
          <w:rFonts w:ascii="宋体" w:eastAsia="宋体" w:hAnsi="宋体" w:cs="Times New Roman"/>
          <w:sz w:val="24"/>
          <w:szCs w:val="24"/>
        </w:rPr>
        <w:t>5</w:t>
      </w:r>
      <w:r w:rsidRPr="00534EC2">
        <w:rPr>
          <w:rFonts w:ascii="宋体" w:eastAsia="宋体" w:hAnsi="宋体" w:cs="Times New Roman" w:hint="eastAsia"/>
          <w:sz w:val="24"/>
          <w:szCs w:val="24"/>
        </w:rPr>
        <w:t>%）；</w:t>
      </w:r>
    </w:p>
    <w:p w14:paraId="199D9342" w14:textId="77777777" w:rsidR="00534EC2" w:rsidRPr="00534EC2" w:rsidRDefault="00534EC2" w:rsidP="00D225FF">
      <w:pPr>
        <w:spacing w:beforeLines="50" w:before="156" w:afterLines="50" w:after="156"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期末考核采用闭卷考试（</w:t>
      </w:r>
      <w:r w:rsidRPr="00534EC2">
        <w:rPr>
          <w:rFonts w:ascii="宋体" w:eastAsia="宋体" w:hAnsi="宋体" w:cs="Times New Roman"/>
          <w:sz w:val="24"/>
          <w:szCs w:val="24"/>
        </w:rPr>
        <w:t>7</w:t>
      </w:r>
      <w:r w:rsidRPr="00534EC2">
        <w:rPr>
          <w:rFonts w:ascii="宋体" w:eastAsia="宋体" w:hAnsi="宋体" w:cs="Times New Roman" w:hint="eastAsia"/>
          <w:sz w:val="24"/>
          <w:szCs w:val="24"/>
        </w:rPr>
        <w:t>0%）。</w:t>
      </w:r>
    </w:p>
    <w:p w14:paraId="4D26FB14" w14:textId="77777777" w:rsidR="00534EC2" w:rsidRPr="00534EC2" w:rsidRDefault="00534EC2" w:rsidP="00534EC2">
      <w:pPr>
        <w:spacing w:beforeLines="50" w:before="156" w:afterLines="50" w:after="156" w:line="440" w:lineRule="exact"/>
        <w:rPr>
          <w:rFonts w:ascii="黑体" w:eastAsia="黑体" w:hAnsi="黑体" w:cs="Times New Roman"/>
          <w:sz w:val="28"/>
          <w:szCs w:val="28"/>
        </w:rPr>
      </w:pPr>
      <w:r w:rsidRPr="00534EC2">
        <w:rPr>
          <w:rFonts w:ascii="黑体" w:eastAsia="黑体" w:hAnsi="黑体" w:cs="Times New Roman" w:hint="eastAsia"/>
          <w:sz w:val="28"/>
          <w:szCs w:val="28"/>
        </w:rPr>
        <w:t>（三）课程目标达成评价方式及考核比例</w:t>
      </w:r>
    </w:p>
    <w:p w14:paraId="6B7B1FA1" w14:textId="77777777" w:rsidR="00534EC2" w:rsidRPr="00534EC2" w:rsidRDefault="00534EC2" w:rsidP="00D225FF">
      <w:pPr>
        <w:spacing w:line="2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《药物化学》课程考核方式及成绩比例为：出勤率</w:t>
      </w:r>
      <w:r w:rsidRPr="00534EC2">
        <w:rPr>
          <w:rFonts w:ascii="宋体" w:eastAsia="宋体" w:hAnsi="宋体" w:cs="Times New Roman"/>
          <w:sz w:val="24"/>
          <w:szCs w:val="24"/>
        </w:rPr>
        <w:t>9</w:t>
      </w:r>
      <w:r w:rsidRPr="00534EC2">
        <w:rPr>
          <w:rFonts w:ascii="宋体" w:eastAsia="宋体" w:hAnsi="宋体" w:cs="Times New Roman" w:hint="eastAsia"/>
          <w:sz w:val="24"/>
          <w:szCs w:val="24"/>
        </w:rPr>
        <w:t>%+课堂表现</w:t>
      </w:r>
      <w:r w:rsidRPr="00534EC2">
        <w:rPr>
          <w:rFonts w:ascii="宋体" w:eastAsia="宋体" w:hAnsi="宋体" w:cs="Times New Roman"/>
          <w:sz w:val="24"/>
          <w:szCs w:val="24"/>
        </w:rPr>
        <w:t>6</w:t>
      </w:r>
      <w:r w:rsidRPr="00534EC2">
        <w:rPr>
          <w:rFonts w:ascii="宋体" w:eastAsia="宋体" w:hAnsi="宋体" w:cs="Times New Roman" w:hint="eastAsia"/>
          <w:sz w:val="24"/>
          <w:szCs w:val="24"/>
        </w:rPr>
        <w:t>%+平时作业及测验测试15% +期末考试</w:t>
      </w:r>
      <w:r w:rsidRPr="00534EC2">
        <w:rPr>
          <w:rFonts w:ascii="宋体" w:eastAsia="宋体" w:hAnsi="宋体" w:cs="Times New Roman"/>
          <w:sz w:val="24"/>
          <w:szCs w:val="24"/>
        </w:rPr>
        <w:t>7</w:t>
      </w:r>
      <w:r w:rsidRPr="00534EC2">
        <w:rPr>
          <w:rFonts w:ascii="宋体" w:eastAsia="宋体" w:hAnsi="宋体" w:cs="Times New Roman" w:hint="eastAsia"/>
          <w:sz w:val="24"/>
          <w:szCs w:val="24"/>
        </w:rPr>
        <w:t>0%。</w:t>
      </w:r>
    </w:p>
    <w:p w14:paraId="6D795CDF" w14:textId="77777777" w:rsidR="00534EC2" w:rsidRPr="00534EC2" w:rsidRDefault="00534EC2" w:rsidP="00D225FF">
      <w:pPr>
        <w:spacing w:line="2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本课程共有两个课程目标，考核方式及成绩比例分别为：</w:t>
      </w:r>
    </w:p>
    <w:p w14:paraId="63ECBABD" w14:textId="77777777" w:rsidR="00534EC2" w:rsidRPr="00534EC2" w:rsidRDefault="00534EC2" w:rsidP="00D225FF">
      <w:pPr>
        <w:spacing w:line="2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课程目标1：出勤率</w:t>
      </w:r>
      <w:r w:rsidRPr="00534EC2">
        <w:rPr>
          <w:rFonts w:ascii="宋体" w:eastAsia="宋体" w:hAnsi="宋体" w:cs="Times New Roman"/>
          <w:sz w:val="24"/>
          <w:szCs w:val="24"/>
        </w:rPr>
        <w:t>3</w:t>
      </w:r>
      <w:r w:rsidRPr="00534EC2">
        <w:rPr>
          <w:rFonts w:ascii="宋体" w:eastAsia="宋体" w:hAnsi="宋体" w:cs="Times New Roman" w:hint="eastAsia"/>
          <w:sz w:val="24"/>
          <w:szCs w:val="24"/>
        </w:rPr>
        <w:t>%+课堂表现</w:t>
      </w:r>
      <w:r w:rsidRPr="00534EC2">
        <w:rPr>
          <w:rFonts w:ascii="宋体" w:eastAsia="宋体" w:hAnsi="宋体" w:cs="Times New Roman"/>
          <w:sz w:val="24"/>
          <w:szCs w:val="24"/>
        </w:rPr>
        <w:t>2</w:t>
      </w:r>
      <w:r w:rsidRPr="00534EC2">
        <w:rPr>
          <w:rFonts w:ascii="宋体" w:eastAsia="宋体" w:hAnsi="宋体" w:cs="Times New Roman" w:hint="eastAsia"/>
          <w:sz w:val="24"/>
          <w:szCs w:val="24"/>
        </w:rPr>
        <w:t>%+平时作业及测试</w:t>
      </w:r>
      <w:r w:rsidRPr="00534EC2">
        <w:rPr>
          <w:rFonts w:ascii="宋体" w:eastAsia="宋体" w:hAnsi="宋体" w:cs="Times New Roman"/>
          <w:sz w:val="24"/>
          <w:szCs w:val="24"/>
        </w:rPr>
        <w:t>5</w:t>
      </w:r>
      <w:r w:rsidRPr="00534EC2">
        <w:rPr>
          <w:rFonts w:ascii="宋体" w:eastAsia="宋体" w:hAnsi="宋体" w:cs="Times New Roman" w:hint="eastAsia"/>
          <w:sz w:val="24"/>
          <w:szCs w:val="24"/>
        </w:rPr>
        <w:t>%+期末考试30%；</w:t>
      </w:r>
    </w:p>
    <w:p w14:paraId="0BC4DBE0" w14:textId="77777777" w:rsidR="00534EC2" w:rsidRPr="00534EC2" w:rsidRDefault="00534EC2" w:rsidP="00D225FF">
      <w:pPr>
        <w:spacing w:line="2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课程目标2：出勤率</w:t>
      </w:r>
      <w:r w:rsidRPr="00534EC2">
        <w:rPr>
          <w:rFonts w:ascii="宋体" w:eastAsia="宋体" w:hAnsi="宋体" w:cs="Times New Roman"/>
          <w:sz w:val="24"/>
          <w:szCs w:val="24"/>
        </w:rPr>
        <w:t>3</w:t>
      </w:r>
      <w:r w:rsidRPr="00534EC2">
        <w:rPr>
          <w:rFonts w:ascii="宋体" w:eastAsia="宋体" w:hAnsi="宋体" w:cs="Times New Roman" w:hint="eastAsia"/>
          <w:sz w:val="24"/>
          <w:szCs w:val="24"/>
        </w:rPr>
        <w:t>%+课堂表现</w:t>
      </w:r>
      <w:r w:rsidRPr="00534EC2">
        <w:rPr>
          <w:rFonts w:ascii="宋体" w:eastAsia="宋体" w:hAnsi="宋体" w:cs="Times New Roman"/>
          <w:sz w:val="24"/>
          <w:szCs w:val="24"/>
        </w:rPr>
        <w:t>2</w:t>
      </w:r>
      <w:r w:rsidRPr="00534EC2">
        <w:rPr>
          <w:rFonts w:ascii="宋体" w:eastAsia="宋体" w:hAnsi="宋体" w:cs="Times New Roman" w:hint="eastAsia"/>
          <w:sz w:val="24"/>
          <w:szCs w:val="24"/>
        </w:rPr>
        <w:t>%+平时作业及测试</w:t>
      </w:r>
      <w:r w:rsidRPr="00534EC2">
        <w:rPr>
          <w:rFonts w:ascii="宋体" w:eastAsia="宋体" w:hAnsi="宋体" w:cs="Times New Roman"/>
          <w:sz w:val="24"/>
          <w:szCs w:val="24"/>
        </w:rPr>
        <w:t>5</w:t>
      </w:r>
      <w:r w:rsidRPr="00534EC2">
        <w:rPr>
          <w:rFonts w:ascii="宋体" w:eastAsia="宋体" w:hAnsi="宋体" w:cs="Times New Roman" w:hint="eastAsia"/>
          <w:sz w:val="24"/>
          <w:szCs w:val="24"/>
        </w:rPr>
        <w:t>%+期末考试</w:t>
      </w:r>
      <w:r w:rsidRPr="00534EC2">
        <w:rPr>
          <w:rFonts w:ascii="宋体" w:eastAsia="宋体" w:hAnsi="宋体" w:cs="Times New Roman"/>
          <w:sz w:val="24"/>
          <w:szCs w:val="24"/>
        </w:rPr>
        <w:t>20</w:t>
      </w:r>
      <w:r w:rsidRPr="00534EC2">
        <w:rPr>
          <w:rFonts w:ascii="宋体" w:eastAsia="宋体" w:hAnsi="宋体" w:cs="Times New Roman" w:hint="eastAsia"/>
          <w:sz w:val="24"/>
          <w:szCs w:val="24"/>
        </w:rPr>
        <w:t>%；</w:t>
      </w:r>
    </w:p>
    <w:p w14:paraId="1A33D37B" w14:textId="77777777" w:rsidR="00534EC2" w:rsidRPr="00534EC2" w:rsidRDefault="00534EC2" w:rsidP="00534EC2">
      <w:pPr>
        <w:spacing w:line="440" w:lineRule="exact"/>
        <w:rPr>
          <w:rFonts w:ascii="宋体" w:eastAsia="宋体" w:hAnsi="宋体" w:cs="Times New Roman"/>
          <w:sz w:val="24"/>
          <w:szCs w:val="24"/>
        </w:rPr>
      </w:pPr>
      <w:r w:rsidRPr="00534EC2">
        <w:rPr>
          <w:rFonts w:ascii="宋体" w:eastAsia="宋体" w:hAnsi="宋体" w:cs="Times New Roman" w:hint="eastAsia"/>
          <w:sz w:val="24"/>
          <w:szCs w:val="24"/>
        </w:rPr>
        <w:t>课程目标</w:t>
      </w:r>
      <w:r w:rsidRPr="00534EC2">
        <w:rPr>
          <w:rFonts w:ascii="宋体" w:eastAsia="宋体" w:hAnsi="宋体" w:cs="Times New Roman"/>
          <w:sz w:val="24"/>
          <w:szCs w:val="24"/>
        </w:rPr>
        <w:t>3</w:t>
      </w:r>
      <w:r w:rsidRPr="00534EC2">
        <w:rPr>
          <w:rFonts w:ascii="宋体" w:eastAsia="宋体" w:hAnsi="宋体" w:cs="Times New Roman" w:hint="eastAsia"/>
          <w:sz w:val="24"/>
          <w:szCs w:val="24"/>
        </w:rPr>
        <w:t>：出勤率</w:t>
      </w:r>
      <w:r w:rsidRPr="00534EC2">
        <w:rPr>
          <w:rFonts w:ascii="宋体" w:eastAsia="宋体" w:hAnsi="宋体" w:cs="Times New Roman"/>
          <w:sz w:val="24"/>
          <w:szCs w:val="24"/>
        </w:rPr>
        <w:t>3</w:t>
      </w:r>
      <w:r w:rsidRPr="00534EC2">
        <w:rPr>
          <w:rFonts w:ascii="宋体" w:eastAsia="宋体" w:hAnsi="宋体" w:cs="Times New Roman" w:hint="eastAsia"/>
          <w:sz w:val="24"/>
          <w:szCs w:val="24"/>
        </w:rPr>
        <w:t>%+课堂表现2%+平时作业及测试</w:t>
      </w:r>
      <w:r w:rsidRPr="00534EC2">
        <w:rPr>
          <w:rFonts w:ascii="宋体" w:eastAsia="宋体" w:hAnsi="宋体" w:cs="Times New Roman"/>
          <w:sz w:val="24"/>
          <w:szCs w:val="24"/>
        </w:rPr>
        <w:t>5</w:t>
      </w:r>
      <w:r w:rsidRPr="00534EC2">
        <w:rPr>
          <w:rFonts w:ascii="宋体" w:eastAsia="宋体" w:hAnsi="宋体" w:cs="Times New Roman" w:hint="eastAsia"/>
          <w:sz w:val="24"/>
          <w:szCs w:val="24"/>
        </w:rPr>
        <w:t>%+期末考试</w:t>
      </w:r>
      <w:r w:rsidRPr="00534EC2">
        <w:rPr>
          <w:rFonts w:ascii="宋体" w:eastAsia="宋体" w:hAnsi="宋体" w:cs="Times New Roman"/>
          <w:sz w:val="24"/>
          <w:szCs w:val="24"/>
        </w:rPr>
        <w:t>20</w:t>
      </w:r>
      <w:r w:rsidRPr="00534EC2">
        <w:rPr>
          <w:rFonts w:ascii="宋体" w:eastAsia="宋体" w:hAnsi="宋体" w:cs="Times New Roman" w:hint="eastAsia"/>
          <w:sz w:val="24"/>
          <w:szCs w:val="24"/>
        </w:rPr>
        <w:t>%；</w:t>
      </w:r>
    </w:p>
    <w:p w14:paraId="5144C483" w14:textId="77777777" w:rsidR="00534EC2" w:rsidRPr="00534EC2" w:rsidRDefault="00534EC2" w:rsidP="00534EC2">
      <w:pPr>
        <w:spacing w:line="440" w:lineRule="exact"/>
        <w:rPr>
          <w:rFonts w:ascii="宋体" w:eastAsia="宋体" w:hAnsi="宋体" w:cs="Times New Roman"/>
          <w:sz w:val="24"/>
          <w:szCs w:val="24"/>
        </w:rPr>
      </w:pPr>
      <w:r w:rsidRPr="00534EC2">
        <w:rPr>
          <w:rFonts w:ascii="宋体" w:eastAsia="宋体" w:hAnsi="宋体" w:cs="Times New Roman" w:hint="eastAsia"/>
          <w:sz w:val="24"/>
          <w:szCs w:val="24"/>
        </w:rPr>
        <w:t>如下图：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
        <w:gridCol w:w="723"/>
        <w:gridCol w:w="1221"/>
        <w:gridCol w:w="2460"/>
        <w:gridCol w:w="1857"/>
        <w:gridCol w:w="1094"/>
      </w:tblGrid>
      <w:tr w:rsidR="00534EC2" w:rsidRPr="00534EC2" w14:paraId="1D17DF4C" w14:textId="77777777" w:rsidTr="00534EC2">
        <w:trPr>
          <w:trHeight w:val="540"/>
          <w:jc w:val="center"/>
        </w:trPr>
        <w:tc>
          <w:tcPr>
            <w:tcW w:w="0" w:type="auto"/>
            <w:vMerge w:val="restart"/>
            <w:vAlign w:val="center"/>
          </w:tcPr>
          <w:p w14:paraId="5633C395" w14:textId="77777777" w:rsidR="00534EC2" w:rsidRPr="00534EC2" w:rsidRDefault="00534EC2" w:rsidP="00534EC2">
            <w:pPr>
              <w:spacing w:line="440" w:lineRule="exact"/>
              <w:jc w:val="center"/>
              <w:rPr>
                <w:rFonts w:ascii="宋体" w:eastAsia="宋体" w:hAnsi="宋体" w:cs="Times New Roman"/>
                <w:b/>
                <w:sz w:val="24"/>
                <w:szCs w:val="24"/>
              </w:rPr>
            </w:pPr>
            <w:r w:rsidRPr="00534EC2">
              <w:rPr>
                <w:rFonts w:ascii="宋体" w:eastAsia="宋体" w:hAnsi="宋体" w:cs="Times New Roman" w:hint="eastAsia"/>
                <w:b/>
                <w:sz w:val="24"/>
                <w:szCs w:val="24"/>
              </w:rPr>
              <w:lastRenderedPageBreak/>
              <w:t>课程目标</w:t>
            </w:r>
          </w:p>
        </w:tc>
        <w:tc>
          <w:tcPr>
            <w:tcW w:w="6261" w:type="dxa"/>
            <w:gridSpan w:val="4"/>
          </w:tcPr>
          <w:p w14:paraId="1AE31DD9" w14:textId="77777777" w:rsidR="00534EC2" w:rsidRPr="00534EC2" w:rsidRDefault="00534EC2" w:rsidP="00534EC2">
            <w:pPr>
              <w:spacing w:line="440" w:lineRule="exact"/>
              <w:jc w:val="center"/>
              <w:rPr>
                <w:rFonts w:ascii="宋体" w:eastAsia="宋体" w:hAnsi="宋体" w:cs="Times New Roman"/>
                <w:b/>
                <w:sz w:val="24"/>
                <w:szCs w:val="24"/>
              </w:rPr>
            </w:pPr>
            <w:r w:rsidRPr="00534EC2">
              <w:rPr>
                <w:rFonts w:ascii="宋体" w:eastAsia="宋体" w:hAnsi="宋体" w:cs="Times New Roman" w:hint="eastAsia"/>
                <w:b/>
                <w:sz w:val="24"/>
                <w:szCs w:val="24"/>
              </w:rPr>
              <w:t>考核方式及成绩比例（%）</w:t>
            </w:r>
          </w:p>
        </w:tc>
        <w:tc>
          <w:tcPr>
            <w:tcW w:w="1094" w:type="dxa"/>
            <w:vMerge w:val="restart"/>
            <w:vAlign w:val="center"/>
          </w:tcPr>
          <w:p w14:paraId="15FCC4D5" w14:textId="77777777" w:rsidR="00534EC2" w:rsidRPr="00534EC2" w:rsidRDefault="00534EC2" w:rsidP="00534EC2">
            <w:pPr>
              <w:spacing w:line="440" w:lineRule="exact"/>
              <w:jc w:val="center"/>
              <w:rPr>
                <w:rFonts w:ascii="宋体" w:eastAsia="宋体" w:hAnsi="宋体" w:cs="Times New Roman"/>
                <w:b/>
                <w:sz w:val="24"/>
                <w:szCs w:val="24"/>
              </w:rPr>
            </w:pPr>
            <w:r w:rsidRPr="00534EC2">
              <w:rPr>
                <w:rFonts w:ascii="宋体" w:eastAsia="宋体" w:hAnsi="宋体" w:cs="Times New Roman" w:hint="eastAsia"/>
                <w:b/>
                <w:sz w:val="24"/>
                <w:szCs w:val="24"/>
              </w:rPr>
              <w:t>合计</w:t>
            </w:r>
          </w:p>
        </w:tc>
      </w:tr>
      <w:tr w:rsidR="00534EC2" w:rsidRPr="00534EC2" w14:paraId="43A02F9B" w14:textId="77777777" w:rsidTr="00534EC2">
        <w:trPr>
          <w:trHeight w:val="578"/>
          <w:jc w:val="center"/>
        </w:trPr>
        <w:tc>
          <w:tcPr>
            <w:tcW w:w="0" w:type="auto"/>
            <w:vMerge/>
            <w:vAlign w:val="center"/>
          </w:tcPr>
          <w:p w14:paraId="37DE17C3" w14:textId="77777777" w:rsidR="00534EC2" w:rsidRPr="00534EC2" w:rsidRDefault="00534EC2" w:rsidP="00534EC2">
            <w:pPr>
              <w:spacing w:line="440" w:lineRule="exact"/>
              <w:jc w:val="center"/>
              <w:rPr>
                <w:rFonts w:ascii="宋体" w:eastAsia="宋体" w:hAnsi="宋体" w:cs="Times New Roman"/>
                <w:b/>
                <w:sz w:val="24"/>
                <w:szCs w:val="24"/>
              </w:rPr>
            </w:pPr>
          </w:p>
        </w:tc>
        <w:tc>
          <w:tcPr>
            <w:tcW w:w="0" w:type="auto"/>
            <w:vAlign w:val="center"/>
          </w:tcPr>
          <w:p w14:paraId="5E4273AC" w14:textId="77777777" w:rsidR="00534EC2" w:rsidRPr="00534EC2" w:rsidRDefault="00534EC2" w:rsidP="00534EC2">
            <w:pPr>
              <w:spacing w:line="440" w:lineRule="exact"/>
              <w:jc w:val="center"/>
              <w:rPr>
                <w:rFonts w:ascii="宋体" w:eastAsia="宋体" w:hAnsi="宋体" w:cs="Times New Roman"/>
                <w:b/>
                <w:sz w:val="24"/>
                <w:szCs w:val="24"/>
              </w:rPr>
            </w:pPr>
            <w:r w:rsidRPr="00534EC2">
              <w:rPr>
                <w:rFonts w:ascii="宋体" w:eastAsia="宋体" w:hAnsi="宋体" w:cs="Times New Roman" w:hint="eastAsia"/>
                <w:b/>
                <w:sz w:val="24"/>
                <w:szCs w:val="24"/>
              </w:rPr>
              <w:t>出勤</w:t>
            </w:r>
          </w:p>
        </w:tc>
        <w:tc>
          <w:tcPr>
            <w:tcW w:w="0" w:type="auto"/>
            <w:vAlign w:val="center"/>
          </w:tcPr>
          <w:p w14:paraId="365C738A" w14:textId="77777777" w:rsidR="00534EC2" w:rsidRPr="00534EC2" w:rsidRDefault="00534EC2" w:rsidP="00534EC2">
            <w:pPr>
              <w:spacing w:line="440" w:lineRule="exact"/>
              <w:jc w:val="center"/>
              <w:rPr>
                <w:rFonts w:ascii="宋体" w:eastAsia="宋体" w:hAnsi="宋体" w:cs="Times New Roman"/>
                <w:b/>
                <w:sz w:val="24"/>
                <w:szCs w:val="24"/>
              </w:rPr>
            </w:pPr>
            <w:r w:rsidRPr="00534EC2">
              <w:rPr>
                <w:rFonts w:ascii="宋体" w:eastAsia="宋体" w:hAnsi="宋体" w:cs="Times New Roman" w:hint="eastAsia"/>
                <w:b/>
                <w:sz w:val="24"/>
                <w:szCs w:val="24"/>
              </w:rPr>
              <w:t>课堂表现</w:t>
            </w:r>
          </w:p>
        </w:tc>
        <w:tc>
          <w:tcPr>
            <w:tcW w:w="2377" w:type="dxa"/>
            <w:vAlign w:val="center"/>
          </w:tcPr>
          <w:p w14:paraId="13C937BF" w14:textId="77777777" w:rsidR="00534EC2" w:rsidRPr="00534EC2" w:rsidRDefault="00534EC2" w:rsidP="00534EC2">
            <w:pPr>
              <w:spacing w:line="440" w:lineRule="exact"/>
              <w:rPr>
                <w:rFonts w:ascii="宋体" w:eastAsia="宋体" w:hAnsi="宋体" w:cs="Times New Roman"/>
                <w:b/>
                <w:sz w:val="24"/>
                <w:szCs w:val="24"/>
              </w:rPr>
            </w:pPr>
            <w:r w:rsidRPr="00534EC2">
              <w:rPr>
                <w:rFonts w:ascii="宋体" w:eastAsia="宋体" w:hAnsi="宋体" w:cs="Times New Roman" w:hint="eastAsia"/>
                <w:b/>
                <w:sz w:val="24"/>
                <w:szCs w:val="24"/>
              </w:rPr>
              <w:t>平时作业及测试</w:t>
            </w:r>
          </w:p>
        </w:tc>
        <w:tc>
          <w:tcPr>
            <w:tcW w:w="1794" w:type="dxa"/>
            <w:vAlign w:val="center"/>
          </w:tcPr>
          <w:p w14:paraId="296C6039" w14:textId="77777777" w:rsidR="00534EC2" w:rsidRPr="00534EC2" w:rsidRDefault="00534EC2" w:rsidP="00534EC2">
            <w:pPr>
              <w:spacing w:line="440" w:lineRule="exact"/>
              <w:jc w:val="center"/>
              <w:rPr>
                <w:rFonts w:ascii="宋体" w:eastAsia="宋体" w:hAnsi="宋体" w:cs="Times New Roman"/>
                <w:b/>
                <w:sz w:val="24"/>
                <w:szCs w:val="24"/>
              </w:rPr>
            </w:pPr>
            <w:r w:rsidRPr="00534EC2">
              <w:rPr>
                <w:rFonts w:ascii="宋体" w:eastAsia="宋体" w:hAnsi="宋体" w:cs="Times New Roman" w:hint="eastAsia"/>
                <w:b/>
                <w:sz w:val="24"/>
                <w:szCs w:val="24"/>
              </w:rPr>
              <w:t>期末考试</w:t>
            </w:r>
          </w:p>
        </w:tc>
        <w:tc>
          <w:tcPr>
            <w:tcW w:w="1094" w:type="dxa"/>
            <w:vMerge/>
          </w:tcPr>
          <w:p w14:paraId="3DB42946" w14:textId="77777777" w:rsidR="00534EC2" w:rsidRPr="00534EC2" w:rsidRDefault="00534EC2" w:rsidP="00534EC2">
            <w:pPr>
              <w:spacing w:line="440" w:lineRule="exact"/>
              <w:jc w:val="center"/>
              <w:rPr>
                <w:rFonts w:ascii="宋体" w:eastAsia="宋体" w:hAnsi="宋体" w:cs="Times New Roman"/>
                <w:b/>
                <w:sz w:val="24"/>
                <w:szCs w:val="24"/>
              </w:rPr>
            </w:pPr>
          </w:p>
        </w:tc>
      </w:tr>
      <w:tr w:rsidR="00534EC2" w:rsidRPr="00534EC2" w14:paraId="7AD5420F" w14:textId="77777777" w:rsidTr="00534EC2">
        <w:trPr>
          <w:jc w:val="center"/>
        </w:trPr>
        <w:tc>
          <w:tcPr>
            <w:tcW w:w="0" w:type="auto"/>
            <w:vAlign w:val="center"/>
          </w:tcPr>
          <w:p w14:paraId="734F2A97"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hint="eastAsia"/>
                <w:bCs/>
                <w:sz w:val="24"/>
                <w:szCs w:val="24"/>
              </w:rPr>
              <w:t>课程目标1</w:t>
            </w:r>
          </w:p>
        </w:tc>
        <w:tc>
          <w:tcPr>
            <w:tcW w:w="0" w:type="auto"/>
            <w:vAlign w:val="center"/>
          </w:tcPr>
          <w:p w14:paraId="3F21E887"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bCs/>
                <w:sz w:val="24"/>
                <w:szCs w:val="24"/>
              </w:rPr>
              <w:t>3</w:t>
            </w:r>
          </w:p>
        </w:tc>
        <w:tc>
          <w:tcPr>
            <w:tcW w:w="0" w:type="auto"/>
            <w:vAlign w:val="center"/>
          </w:tcPr>
          <w:p w14:paraId="12E25EAF"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hint="eastAsia"/>
                <w:bCs/>
                <w:sz w:val="24"/>
                <w:szCs w:val="24"/>
              </w:rPr>
              <w:t>2</w:t>
            </w:r>
          </w:p>
        </w:tc>
        <w:tc>
          <w:tcPr>
            <w:tcW w:w="2377" w:type="dxa"/>
            <w:vAlign w:val="center"/>
          </w:tcPr>
          <w:p w14:paraId="115718AC"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bCs/>
                <w:sz w:val="24"/>
                <w:szCs w:val="24"/>
              </w:rPr>
              <w:t>5</w:t>
            </w:r>
          </w:p>
        </w:tc>
        <w:tc>
          <w:tcPr>
            <w:tcW w:w="1794" w:type="dxa"/>
            <w:vAlign w:val="center"/>
          </w:tcPr>
          <w:p w14:paraId="555A41B2"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bCs/>
                <w:sz w:val="24"/>
                <w:szCs w:val="24"/>
              </w:rPr>
              <w:t>30</w:t>
            </w:r>
          </w:p>
        </w:tc>
        <w:tc>
          <w:tcPr>
            <w:tcW w:w="1094" w:type="dxa"/>
            <w:vAlign w:val="center"/>
          </w:tcPr>
          <w:p w14:paraId="029720E2"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hint="eastAsia"/>
                <w:bCs/>
                <w:sz w:val="24"/>
                <w:szCs w:val="24"/>
              </w:rPr>
              <w:t>4</w:t>
            </w:r>
            <w:r w:rsidRPr="00534EC2">
              <w:rPr>
                <w:rFonts w:ascii="宋体" w:eastAsia="宋体" w:hAnsi="宋体" w:cs="Times New Roman"/>
                <w:bCs/>
                <w:sz w:val="24"/>
                <w:szCs w:val="24"/>
              </w:rPr>
              <w:t>0</w:t>
            </w:r>
          </w:p>
        </w:tc>
      </w:tr>
      <w:tr w:rsidR="00534EC2" w:rsidRPr="00534EC2" w14:paraId="40844E93" w14:textId="77777777" w:rsidTr="00534EC2">
        <w:trPr>
          <w:jc w:val="center"/>
        </w:trPr>
        <w:tc>
          <w:tcPr>
            <w:tcW w:w="0" w:type="auto"/>
            <w:vAlign w:val="center"/>
          </w:tcPr>
          <w:p w14:paraId="62542FFD"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hint="eastAsia"/>
                <w:bCs/>
                <w:sz w:val="24"/>
                <w:szCs w:val="24"/>
              </w:rPr>
              <w:t>课程目标2</w:t>
            </w:r>
          </w:p>
        </w:tc>
        <w:tc>
          <w:tcPr>
            <w:tcW w:w="0" w:type="auto"/>
            <w:vAlign w:val="center"/>
          </w:tcPr>
          <w:p w14:paraId="52C1D51A"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bCs/>
                <w:sz w:val="24"/>
                <w:szCs w:val="24"/>
              </w:rPr>
              <w:t>3</w:t>
            </w:r>
          </w:p>
        </w:tc>
        <w:tc>
          <w:tcPr>
            <w:tcW w:w="0" w:type="auto"/>
            <w:vAlign w:val="center"/>
          </w:tcPr>
          <w:p w14:paraId="71191844"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hint="eastAsia"/>
                <w:bCs/>
                <w:sz w:val="24"/>
                <w:szCs w:val="24"/>
              </w:rPr>
              <w:t>2</w:t>
            </w:r>
          </w:p>
        </w:tc>
        <w:tc>
          <w:tcPr>
            <w:tcW w:w="2377" w:type="dxa"/>
            <w:vAlign w:val="center"/>
          </w:tcPr>
          <w:p w14:paraId="6AC4D007"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bCs/>
                <w:sz w:val="24"/>
                <w:szCs w:val="24"/>
              </w:rPr>
              <w:t>5</w:t>
            </w:r>
          </w:p>
        </w:tc>
        <w:tc>
          <w:tcPr>
            <w:tcW w:w="1794" w:type="dxa"/>
            <w:vAlign w:val="center"/>
          </w:tcPr>
          <w:p w14:paraId="1B6D88F7"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bCs/>
                <w:sz w:val="24"/>
                <w:szCs w:val="24"/>
              </w:rPr>
              <w:t>20</w:t>
            </w:r>
          </w:p>
        </w:tc>
        <w:tc>
          <w:tcPr>
            <w:tcW w:w="1094" w:type="dxa"/>
            <w:vAlign w:val="center"/>
          </w:tcPr>
          <w:p w14:paraId="542C3F46"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bCs/>
                <w:sz w:val="24"/>
                <w:szCs w:val="24"/>
              </w:rPr>
              <w:t>30</w:t>
            </w:r>
          </w:p>
        </w:tc>
      </w:tr>
      <w:tr w:rsidR="00534EC2" w:rsidRPr="00534EC2" w14:paraId="17DC4E3B" w14:textId="77777777" w:rsidTr="00534EC2">
        <w:trPr>
          <w:jc w:val="center"/>
        </w:trPr>
        <w:tc>
          <w:tcPr>
            <w:tcW w:w="0" w:type="auto"/>
            <w:vAlign w:val="center"/>
          </w:tcPr>
          <w:p w14:paraId="2EC737B1"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hint="eastAsia"/>
                <w:bCs/>
                <w:sz w:val="24"/>
                <w:szCs w:val="24"/>
              </w:rPr>
              <w:t>课程目标3</w:t>
            </w:r>
          </w:p>
        </w:tc>
        <w:tc>
          <w:tcPr>
            <w:tcW w:w="0" w:type="auto"/>
            <w:vAlign w:val="center"/>
          </w:tcPr>
          <w:p w14:paraId="2BB0566C"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bCs/>
                <w:sz w:val="24"/>
                <w:szCs w:val="24"/>
              </w:rPr>
              <w:t>3</w:t>
            </w:r>
          </w:p>
        </w:tc>
        <w:tc>
          <w:tcPr>
            <w:tcW w:w="0" w:type="auto"/>
            <w:vAlign w:val="center"/>
          </w:tcPr>
          <w:p w14:paraId="26F02DE6"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hint="eastAsia"/>
                <w:bCs/>
                <w:sz w:val="24"/>
                <w:szCs w:val="24"/>
              </w:rPr>
              <w:t>2</w:t>
            </w:r>
          </w:p>
        </w:tc>
        <w:tc>
          <w:tcPr>
            <w:tcW w:w="2377" w:type="dxa"/>
            <w:vAlign w:val="center"/>
          </w:tcPr>
          <w:p w14:paraId="671DA107"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bCs/>
                <w:sz w:val="24"/>
                <w:szCs w:val="24"/>
              </w:rPr>
              <w:t>5</w:t>
            </w:r>
          </w:p>
        </w:tc>
        <w:tc>
          <w:tcPr>
            <w:tcW w:w="1794" w:type="dxa"/>
            <w:vAlign w:val="center"/>
          </w:tcPr>
          <w:p w14:paraId="76B76687"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bCs/>
                <w:sz w:val="24"/>
                <w:szCs w:val="24"/>
              </w:rPr>
              <w:t>20</w:t>
            </w:r>
          </w:p>
        </w:tc>
        <w:tc>
          <w:tcPr>
            <w:tcW w:w="1094" w:type="dxa"/>
            <w:vAlign w:val="center"/>
          </w:tcPr>
          <w:p w14:paraId="74E532D7"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bCs/>
                <w:sz w:val="24"/>
                <w:szCs w:val="24"/>
              </w:rPr>
              <w:t>30</w:t>
            </w:r>
          </w:p>
        </w:tc>
      </w:tr>
      <w:tr w:rsidR="00534EC2" w:rsidRPr="00534EC2" w14:paraId="13C80664" w14:textId="77777777" w:rsidTr="00534EC2">
        <w:trPr>
          <w:jc w:val="center"/>
        </w:trPr>
        <w:tc>
          <w:tcPr>
            <w:tcW w:w="0" w:type="auto"/>
            <w:vAlign w:val="center"/>
          </w:tcPr>
          <w:p w14:paraId="79B1E51A"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hint="eastAsia"/>
                <w:bCs/>
                <w:sz w:val="24"/>
                <w:szCs w:val="24"/>
              </w:rPr>
              <w:t>合计</w:t>
            </w:r>
          </w:p>
        </w:tc>
        <w:tc>
          <w:tcPr>
            <w:tcW w:w="0" w:type="auto"/>
            <w:vAlign w:val="center"/>
          </w:tcPr>
          <w:p w14:paraId="38AF1513"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bCs/>
                <w:sz w:val="24"/>
                <w:szCs w:val="24"/>
              </w:rPr>
              <w:t>9</w:t>
            </w:r>
          </w:p>
        </w:tc>
        <w:tc>
          <w:tcPr>
            <w:tcW w:w="0" w:type="auto"/>
            <w:vAlign w:val="center"/>
          </w:tcPr>
          <w:p w14:paraId="2FC852D8"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bCs/>
                <w:sz w:val="24"/>
                <w:szCs w:val="24"/>
              </w:rPr>
              <w:t>6</w:t>
            </w:r>
          </w:p>
        </w:tc>
        <w:tc>
          <w:tcPr>
            <w:tcW w:w="2377" w:type="dxa"/>
            <w:vAlign w:val="center"/>
          </w:tcPr>
          <w:p w14:paraId="331EF340"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bCs/>
                <w:sz w:val="24"/>
                <w:szCs w:val="24"/>
              </w:rPr>
              <w:t>15</w:t>
            </w:r>
          </w:p>
        </w:tc>
        <w:tc>
          <w:tcPr>
            <w:tcW w:w="1794" w:type="dxa"/>
            <w:vAlign w:val="center"/>
          </w:tcPr>
          <w:p w14:paraId="45669C5E"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bCs/>
                <w:sz w:val="24"/>
                <w:szCs w:val="24"/>
              </w:rPr>
              <w:t>70</w:t>
            </w:r>
          </w:p>
        </w:tc>
        <w:tc>
          <w:tcPr>
            <w:tcW w:w="1094" w:type="dxa"/>
            <w:vAlign w:val="center"/>
          </w:tcPr>
          <w:p w14:paraId="0C898BE2" w14:textId="77777777" w:rsidR="00534EC2" w:rsidRPr="00534EC2" w:rsidRDefault="00534EC2" w:rsidP="00534EC2">
            <w:pPr>
              <w:spacing w:line="440" w:lineRule="exact"/>
              <w:jc w:val="center"/>
              <w:rPr>
                <w:rFonts w:ascii="宋体" w:eastAsia="宋体" w:hAnsi="宋体" w:cs="Times New Roman"/>
                <w:bCs/>
                <w:sz w:val="24"/>
                <w:szCs w:val="24"/>
              </w:rPr>
            </w:pPr>
            <w:r w:rsidRPr="00534EC2">
              <w:rPr>
                <w:rFonts w:ascii="宋体" w:eastAsia="宋体" w:hAnsi="宋体" w:cs="Times New Roman" w:hint="eastAsia"/>
                <w:bCs/>
                <w:sz w:val="24"/>
                <w:szCs w:val="24"/>
              </w:rPr>
              <w:t>1</w:t>
            </w:r>
            <w:r w:rsidRPr="00534EC2">
              <w:rPr>
                <w:rFonts w:ascii="宋体" w:eastAsia="宋体" w:hAnsi="宋体" w:cs="Times New Roman"/>
                <w:bCs/>
                <w:sz w:val="24"/>
                <w:szCs w:val="24"/>
              </w:rPr>
              <w:t>00</w:t>
            </w:r>
          </w:p>
        </w:tc>
      </w:tr>
    </w:tbl>
    <w:p w14:paraId="7BA9E106" w14:textId="77777777" w:rsidR="00534EC2" w:rsidRPr="00534EC2" w:rsidRDefault="00534EC2" w:rsidP="00534EC2">
      <w:pPr>
        <w:spacing w:line="440" w:lineRule="exact"/>
        <w:rPr>
          <w:rFonts w:ascii="宋体" w:eastAsia="宋体" w:hAnsi="宋体" w:cs="Times New Roman"/>
          <w:sz w:val="24"/>
          <w:szCs w:val="24"/>
        </w:rPr>
      </w:pPr>
    </w:p>
    <w:p w14:paraId="3F2A93F2" w14:textId="77777777" w:rsidR="00534EC2" w:rsidRPr="00534EC2" w:rsidRDefault="00534EC2" w:rsidP="00534EC2">
      <w:pPr>
        <w:spacing w:beforeLines="50" w:before="156" w:afterLines="50" w:after="156" w:line="440" w:lineRule="exact"/>
        <w:rPr>
          <w:rFonts w:ascii="黑体" w:eastAsia="黑体" w:hAnsi="黑体" w:cs="Times New Roman"/>
          <w:sz w:val="28"/>
          <w:szCs w:val="28"/>
        </w:rPr>
      </w:pPr>
      <w:r w:rsidRPr="00534EC2">
        <w:rPr>
          <w:rFonts w:ascii="黑体" w:eastAsia="黑体" w:hAnsi="黑体" w:cs="Times New Roman" w:hint="eastAsia"/>
          <w:sz w:val="28"/>
          <w:szCs w:val="28"/>
        </w:rPr>
        <w:t>五、成绩评定</w:t>
      </w:r>
    </w:p>
    <w:p w14:paraId="5F7A92FD" w14:textId="77777777" w:rsidR="00534EC2" w:rsidRPr="00534EC2" w:rsidRDefault="00534EC2" w:rsidP="00534EC2">
      <w:pPr>
        <w:spacing w:beforeLines="50" w:before="156" w:afterLines="50" w:after="156" w:line="440" w:lineRule="exact"/>
        <w:rPr>
          <w:rFonts w:ascii="黑体" w:eastAsia="黑体" w:hAnsi="黑体" w:cs="Times New Roman"/>
          <w:sz w:val="28"/>
          <w:szCs w:val="28"/>
        </w:rPr>
      </w:pPr>
      <w:r w:rsidRPr="00534EC2">
        <w:rPr>
          <w:rFonts w:ascii="黑体" w:eastAsia="黑体" w:hAnsi="黑体" w:cs="Times New Roman" w:hint="eastAsia"/>
          <w:sz w:val="28"/>
          <w:szCs w:val="28"/>
        </w:rPr>
        <w:t>（一）总成绩评定</w:t>
      </w:r>
    </w:p>
    <w:p w14:paraId="7C65D936"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sz w:val="24"/>
          <w:szCs w:val="24"/>
        </w:rPr>
        <w:t>1. 期末理论课考试成绩（笔试，闭卷）</w:t>
      </w:r>
    </w:p>
    <w:p w14:paraId="6A4ADCA2"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sz w:val="24"/>
          <w:szCs w:val="24"/>
        </w:rPr>
        <w:t>2. 平时成绩 （出勤率+课堂表现+</w:t>
      </w:r>
      <w:r w:rsidRPr="00534EC2">
        <w:rPr>
          <w:rFonts w:ascii="宋体" w:eastAsia="宋体" w:hAnsi="宋体" w:cs="Times New Roman" w:hint="eastAsia"/>
          <w:sz w:val="24"/>
          <w:szCs w:val="24"/>
        </w:rPr>
        <w:t>平时作业及测验</w:t>
      </w:r>
      <w:r w:rsidRPr="00534EC2">
        <w:rPr>
          <w:rFonts w:ascii="宋体" w:eastAsia="宋体" w:hAnsi="宋体" w:cs="Times New Roman"/>
          <w:sz w:val="24"/>
          <w:szCs w:val="24"/>
        </w:rPr>
        <w:t>）</w:t>
      </w:r>
    </w:p>
    <w:p w14:paraId="54FF21F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总成绩=平时成绩×</w:t>
      </w:r>
      <w:r w:rsidRPr="00534EC2">
        <w:rPr>
          <w:rFonts w:ascii="宋体" w:eastAsia="宋体" w:hAnsi="宋体" w:cs="Times New Roman"/>
          <w:sz w:val="24"/>
          <w:szCs w:val="24"/>
        </w:rPr>
        <w:t>3</w:t>
      </w:r>
      <w:r w:rsidRPr="00534EC2">
        <w:rPr>
          <w:rFonts w:ascii="宋体" w:eastAsia="宋体" w:hAnsi="宋体" w:cs="Times New Roman" w:hint="eastAsia"/>
          <w:sz w:val="24"/>
          <w:szCs w:val="24"/>
        </w:rPr>
        <w:t>0%+期末成绩×</w:t>
      </w:r>
      <w:r w:rsidRPr="00534EC2">
        <w:rPr>
          <w:rFonts w:ascii="宋体" w:eastAsia="宋体" w:hAnsi="宋体" w:cs="Times New Roman"/>
          <w:sz w:val="24"/>
          <w:szCs w:val="24"/>
        </w:rPr>
        <w:t>7</w:t>
      </w:r>
      <w:r w:rsidRPr="00534EC2">
        <w:rPr>
          <w:rFonts w:ascii="宋体" w:eastAsia="宋体" w:hAnsi="宋体" w:cs="Times New Roman" w:hint="eastAsia"/>
          <w:sz w:val="24"/>
          <w:szCs w:val="24"/>
        </w:rPr>
        <w:t>0%</w:t>
      </w:r>
    </w:p>
    <w:p w14:paraId="5AC70F3E" w14:textId="77777777" w:rsidR="00534EC2" w:rsidRPr="00534EC2" w:rsidRDefault="00534EC2" w:rsidP="00534EC2">
      <w:pPr>
        <w:spacing w:beforeLines="50" w:before="156" w:afterLines="50" w:after="156" w:line="440" w:lineRule="exact"/>
        <w:rPr>
          <w:rFonts w:ascii="宋体" w:eastAsia="宋体" w:hAnsi="宋体" w:cs="Times New Roman"/>
          <w:color w:val="FF0000"/>
          <w:sz w:val="24"/>
          <w:szCs w:val="24"/>
        </w:rPr>
      </w:pPr>
      <w:r w:rsidRPr="00534EC2">
        <w:rPr>
          <w:rFonts w:ascii="黑体" w:eastAsia="黑体" w:hAnsi="黑体" w:cs="Times New Roman" w:hint="eastAsia"/>
          <w:sz w:val="28"/>
          <w:szCs w:val="28"/>
        </w:rPr>
        <w:t>（二）平时成绩评定</w:t>
      </w:r>
    </w:p>
    <w:p w14:paraId="21A0A9C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平时成绩（100%）=出勤率</w:t>
      </w:r>
      <w:r w:rsidRPr="00534EC2">
        <w:rPr>
          <w:rFonts w:ascii="宋体" w:eastAsia="宋体" w:hAnsi="宋体" w:cs="Times New Roman"/>
          <w:sz w:val="24"/>
          <w:szCs w:val="24"/>
        </w:rPr>
        <w:t>30</w:t>
      </w:r>
      <w:r w:rsidRPr="00534EC2">
        <w:rPr>
          <w:rFonts w:ascii="宋体" w:eastAsia="宋体" w:hAnsi="宋体" w:cs="Times New Roman" w:hint="eastAsia"/>
          <w:sz w:val="24"/>
          <w:szCs w:val="24"/>
        </w:rPr>
        <w:t>%+课堂表现</w:t>
      </w:r>
      <w:r w:rsidRPr="00534EC2">
        <w:rPr>
          <w:rFonts w:ascii="宋体" w:eastAsia="宋体" w:hAnsi="宋体" w:cs="Times New Roman"/>
          <w:sz w:val="24"/>
          <w:szCs w:val="24"/>
        </w:rPr>
        <w:t>20</w:t>
      </w:r>
      <w:r w:rsidRPr="00534EC2">
        <w:rPr>
          <w:rFonts w:ascii="宋体" w:eastAsia="宋体" w:hAnsi="宋体" w:cs="Times New Roman" w:hint="eastAsia"/>
          <w:sz w:val="24"/>
          <w:szCs w:val="24"/>
        </w:rPr>
        <w:t>%+平时作业及测验</w:t>
      </w:r>
      <w:r w:rsidRPr="00534EC2">
        <w:rPr>
          <w:rFonts w:ascii="宋体" w:eastAsia="宋体" w:hAnsi="宋体" w:cs="Times New Roman"/>
          <w:sz w:val="24"/>
          <w:szCs w:val="24"/>
        </w:rPr>
        <w:t>50</w:t>
      </w:r>
      <w:r w:rsidRPr="00534EC2">
        <w:rPr>
          <w:rFonts w:ascii="宋体" w:eastAsia="宋体" w:hAnsi="宋体" w:cs="Times New Roman" w:hint="eastAsia"/>
          <w:sz w:val="24"/>
          <w:szCs w:val="24"/>
        </w:rPr>
        <w:t>%</w:t>
      </w:r>
    </w:p>
    <w:p w14:paraId="2B9EBCA5"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出勤率：</w:t>
      </w:r>
      <w:r w:rsidRPr="00534EC2">
        <w:rPr>
          <w:rFonts w:ascii="宋体" w:eastAsia="宋体" w:hAnsi="宋体" w:cs="Times New Roman"/>
          <w:sz w:val="24"/>
          <w:szCs w:val="24"/>
        </w:rPr>
        <w:t>通过学生出勤次数，来评价学生的学习态度与积极性；随机抽查5次，每次点名为20分，缺勤一次扣20分，有假条的扣5分，迟到为10</w:t>
      </w:r>
      <w:r w:rsidRPr="00534EC2">
        <w:rPr>
          <w:rFonts w:ascii="宋体" w:eastAsia="宋体" w:hAnsi="宋体" w:cs="Times New Roman" w:hint="eastAsia"/>
          <w:sz w:val="24"/>
          <w:szCs w:val="24"/>
        </w:rPr>
        <w:t>分。</w:t>
      </w:r>
    </w:p>
    <w:p w14:paraId="03B7CF00"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sz w:val="24"/>
          <w:szCs w:val="24"/>
        </w:rPr>
        <w:t>2</w:t>
      </w:r>
      <w:r w:rsidRPr="00534EC2">
        <w:rPr>
          <w:rFonts w:ascii="宋体" w:eastAsia="宋体" w:hAnsi="宋体" w:cs="Times New Roman" w:hint="eastAsia"/>
          <w:sz w:val="24"/>
          <w:szCs w:val="24"/>
        </w:rPr>
        <w:t>. 课堂表现：通过学生在课堂上的表现情况、发言与提问情况，来评价学生相关的能力，</w:t>
      </w:r>
      <w:r w:rsidRPr="00534EC2">
        <w:rPr>
          <w:rFonts w:ascii="宋体" w:eastAsia="宋体" w:hAnsi="宋体" w:cs="Times New Roman"/>
          <w:sz w:val="24"/>
          <w:szCs w:val="24"/>
        </w:rPr>
        <w:t>由基础分值0分逐渐累积，最高分值为100分</w:t>
      </w:r>
      <w:r w:rsidRPr="00534EC2">
        <w:rPr>
          <w:rFonts w:ascii="宋体" w:eastAsia="宋体" w:hAnsi="宋体" w:cs="Times New Roman" w:hint="eastAsia"/>
          <w:sz w:val="24"/>
          <w:szCs w:val="24"/>
        </w:rPr>
        <w:t>。</w:t>
      </w:r>
    </w:p>
    <w:p w14:paraId="3D8CEA4C"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sz w:val="24"/>
          <w:szCs w:val="24"/>
        </w:rPr>
        <w:t>3</w:t>
      </w:r>
      <w:r w:rsidRPr="00534EC2">
        <w:rPr>
          <w:rFonts w:ascii="宋体" w:eastAsia="宋体" w:hAnsi="宋体" w:cs="Times New Roman" w:hint="eastAsia"/>
          <w:sz w:val="24"/>
          <w:szCs w:val="24"/>
        </w:rPr>
        <w:t>. 平时作业完成情况：围绕课程的学习目标进行作业的设计。如让学生简述对知识的认识，考核学生对于概念的理解情况，帮助学生将定义转化为自己的理解；</w:t>
      </w:r>
      <w:r w:rsidRPr="00534EC2">
        <w:rPr>
          <w:rFonts w:ascii="宋体" w:eastAsia="宋体" w:hAnsi="宋体" w:cs="Times New Roman"/>
          <w:sz w:val="24"/>
          <w:szCs w:val="24"/>
        </w:rPr>
        <w:t>共9次，每次总分为100分，根据标准答案的得分点给分。</w:t>
      </w:r>
    </w:p>
    <w:p w14:paraId="62054165"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sz w:val="24"/>
          <w:szCs w:val="24"/>
        </w:rPr>
        <w:t>4</w:t>
      </w:r>
      <w:r w:rsidRPr="00534EC2">
        <w:rPr>
          <w:rFonts w:ascii="宋体" w:eastAsia="宋体" w:hAnsi="宋体" w:cs="Times New Roman" w:hint="eastAsia"/>
          <w:sz w:val="24"/>
          <w:szCs w:val="24"/>
        </w:rPr>
        <w:t>. 阶段性测验：学生在平时测试、测验中掌握课程的情况。</w:t>
      </w:r>
    </w:p>
    <w:p w14:paraId="7EAAAD15" w14:textId="77777777" w:rsidR="00534EC2" w:rsidRPr="00534EC2" w:rsidRDefault="00534EC2" w:rsidP="00534EC2">
      <w:pPr>
        <w:spacing w:beforeLines="50" w:before="156" w:afterLines="50" w:after="156" w:line="440" w:lineRule="exact"/>
        <w:rPr>
          <w:rFonts w:ascii="黑体" w:eastAsia="黑体" w:hAnsi="黑体" w:cs="Times New Roman"/>
          <w:sz w:val="28"/>
          <w:szCs w:val="28"/>
        </w:rPr>
      </w:pPr>
      <w:r w:rsidRPr="00534EC2">
        <w:rPr>
          <w:rFonts w:ascii="黑体" w:eastAsia="黑体" w:hAnsi="黑体" w:cs="Times New Roman" w:hint="eastAsia"/>
          <w:sz w:val="28"/>
          <w:szCs w:val="28"/>
        </w:rPr>
        <w:t>（三）期末成绩评定</w:t>
      </w:r>
    </w:p>
    <w:p w14:paraId="74BF0652" w14:textId="77777777" w:rsidR="00534EC2" w:rsidRPr="00534EC2" w:rsidRDefault="00534EC2" w:rsidP="00D225FF">
      <w:pPr>
        <w:spacing w:line="440" w:lineRule="exact"/>
        <w:ind w:firstLineChars="300" w:firstLine="720"/>
        <w:rPr>
          <w:rFonts w:ascii="宋体" w:eastAsia="宋体" w:hAnsi="宋体" w:cs="Times New Roman"/>
          <w:color w:val="FF0000"/>
          <w:sz w:val="24"/>
          <w:szCs w:val="24"/>
        </w:rPr>
      </w:pPr>
      <w:r w:rsidRPr="00534EC2">
        <w:rPr>
          <w:rFonts w:ascii="宋体" w:eastAsia="宋体" w:hAnsi="宋体" w:cs="Times New Roman" w:hint="eastAsia"/>
          <w:sz w:val="24"/>
          <w:szCs w:val="24"/>
        </w:rPr>
        <w:t>期末考核主要考察学生对基本概念、操作程序和具体方法的理解与运用等。方式为闭卷考试。要求学生掌握基本概念、操作程序，运用具体方法解决相关问题。</w:t>
      </w:r>
    </w:p>
    <w:p w14:paraId="5F627631" w14:textId="77777777" w:rsidR="00534EC2" w:rsidRPr="00534EC2" w:rsidRDefault="00534EC2" w:rsidP="00534EC2">
      <w:pPr>
        <w:spacing w:beforeLines="50" w:before="156" w:afterLines="50" w:after="156" w:line="440" w:lineRule="exact"/>
        <w:rPr>
          <w:rFonts w:ascii="宋体" w:eastAsia="宋体" w:hAnsi="宋体" w:cs="Times New Roman"/>
          <w:sz w:val="24"/>
          <w:szCs w:val="24"/>
        </w:rPr>
      </w:pPr>
      <w:r w:rsidRPr="00534EC2">
        <w:rPr>
          <w:rFonts w:ascii="黑体" w:eastAsia="黑体" w:hAnsi="黑体" w:cs="Times New Roman" w:hint="eastAsia"/>
          <w:sz w:val="28"/>
          <w:szCs w:val="28"/>
        </w:rPr>
        <w:t>六、使用教材、相关推荐书目及课程资源</w:t>
      </w:r>
    </w:p>
    <w:p w14:paraId="5F5D201F" w14:textId="77777777" w:rsidR="00534EC2" w:rsidRPr="00534EC2" w:rsidRDefault="00534EC2" w:rsidP="00534EC2">
      <w:pPr>
        <w:spacing w:line="440" w:lineRule="exact"/>
        <w:rPr>
          <w:rFonts w:ascii="宋体" w:eastAsia="宋体" w:hAnsi="宋体" w:cs="Times New Roman"/>
          <w:sz w:val="24"/>
          <w:szCs w:val="24"/>
        </w:rPr>
      </w:pPr>
      <w:r w:rsidRPr="00534EC2">
        <w:rPr>
          <w:rFonts w:ascii="黑体" w:eastAsia="黑体" w:hAnsi="黑体" w:cs="Times New Roman" w:hint="eastAsia"/>
          <w:sz w:val="28"/>
          <w:szCs w:val="28"/>
        </w:rPr>
        <w:t>（一）使用教材</w:t>
      </w:r>
    </w:p>
    <w:p w14:paraId="12A63BCD" w14:textId="77777777" w:rsidR="00534EC2" w:rsidRPr="00534EC2" w:rsidRDefault="00534EC2" w:rsidP="00534EC2">
      <w:pPr>
        <w:spacing w:line="440" w:lineRule="exact"/>
        <w:rPr>
          <w:rFonts w:ascii="Times New Roman" w:eastAsia="宋体" w:hAnsi="Times New Roman" w:cs="Times New Roman"/>
          <w:sz w:val="24"/>
          <w:szCs w:val="24"/>
        </w:rPr>
      </w:pPr>
      <w:proofErr w:type="gramStart"/>
      <w:r w:rsidRPr="00534EC2">
        <w:rPr>
          <w:rFonts w:ascii="Times New Roman" w:eastAsia="宋体" w:hAnsi="Times New Roman" w:cs="Times New Roman" w:hint="eastAsia"/>
          <w:sz w:val="24"/>
          <w:szCs w:val="24"/>
        </w:rPr>
        <w:lastRenderedPageBreak/>
        <w:t>尤启冬主编</w:t>
      </w:r>
      <w:proofErr w:type="gramEnd"/>
      <w:r w:rsidRPr="00534EC2">
        <w:rPr>
          <w:rFonts w:ascii="Times New Roman" w:eastAsia="宋体" w:hAnsi="Times New Roman" w:cs="Times New Roman" w:hint="eastAsia"/>
          <w:sz w:val="24"/>
          <w:szCs w:val="24"/>
        </w:rPr>
        <w:t>：《药物化学》，化学工业出版社（第三版），</w:t>
      </w:r>
      <w:r w:rsidRPr="00534EC2">
        <w:rPr>
          <w:rFonts w:ascii="Times New Roman" w:eastAsia="宋体" w:hAnsi="Times New Roman" w:cs="Times New Roman" w:hint="eastAsia"/>
          <w:sz w:val="24"/>
          <w:szCs w:val="24"/>
        </w:rPr>
        <w:t>2008</w:t>
      </w:r>
    </w:p>
    <w:p w14:paraId="0E50E897" w14:textId="77777777" w:rsidR="00534EC2" w:rsidRPr="00534EC2" w:rsidRDefault="00534EC2" w:rsidP="00534EC2">
      <w:pPr>
        <w:spacing w:line="440" w:lineRule="exact"/>
        <w:rPr>
          <w:rFonts w:ascii="宋体" w:eastAsia="宋体" w:hAnsi="宋体" w:cs="Times New Roman"/>
          <w:sz w:val="24"/>
          <w:szCs w:val="24"/>
        </w:rPr>
      </w:pPr>
      <w:r w:rsidRPr="00534EC2">
        <w:rPr>
          <w:rFonts w:ascii="黑体" w:eastAsia="黑体" w:hAnsi="黑体" w:cs="Times New Roman" w:hint="eastAsia"/>
          <w:sz w:val="28"/>
          <w:szCs w:val="28"/>
        </w:rPr>
        <w:t>（二）相关推荐书目</w:t>
      </w:r>
    </w:p>
    <w:p w14:paraId="50F79669"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1.</w:t>
      </w:r>
      <w:proofErr w:type="gramStart"/>
      <w:r w:rsidRPr="00534EC2">
        <w:rPr>
          <w:rFonts w:ascii="Times New Roman" w:eastAsia="宋体" w:hAnsi="Times New Roman" w:cs="Times New Roman" w:hint="eastAsia"/>
          <w:sz w:val="24"/>
          <w:szCs w:val="24"/>
        </w:rPr>
        <w:t>陈新谦主编</w:t>
      </w:r>
      <w:proofErr w:type="gramEnd"/>
      <w:r w:rsidRPr="00534EC2">
        <w:rPr>
          <w:rFonts w:ascii="Times New Roman" w:eastAsia="宋体" w:hAnsi="Times New Roman" w:cs="Times New Roman" w:hint="eastAsia"/>
          <w:sz w:val="24"/>
          <w:szCs w:val="24"/>
        </w:rPr>
        <w:t>：《新编药物学》，人民卫生出版社，</w:t>
      </w:r>
      <w:r w:rsidRPr="00534EC2">
        <w:rPr>
          <w:rFonts w:ascii="Times New Roman" w:eastAsia="宋体" w:hAnsi="Times New Roman" w:cs="Times New Roman" w:hint="eastAsia"/>
          <w:sz w:val="24"/>
          <w:szCs w:val="24"/>
        </w:rPr>
        <w:t>2011</w:t>
      </w:r>
    </w:p>
    <w:p w14:paraId="455224C4"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2.</w:t>
      </w:r>
      <w:r w:rsidRPr="00534EC2">
        <w:rPr>
          <w:rFonts w:ascii="Times New Roman" w:eastAsia="宋体" w:hAnsi="Times New Roman" w:cs="Times New Roman" w:hint="eastAsia"/>
          <w:sz w:val="24"/>
          <w:szCs w:val="24"/>
        </w:rPr>
        <w:t>郭宗儒主编：《药物化学总论》，科学出版社，</w:t>
      </w:r>
      <w:r w:rsidRPr="00534EC2">
        <w:rPr>
          <w:rFonts w:ascii="Times New Roman" w:eastAsia="宋体" w:hAnsi="Times New Roman" w:cs="Times New Roman" w:hint="eastAsia"/>
          <w:sz w:val="24"/>
          <w:szCs w:val="24"/>
        </w:rPr>
        <w:t>2010</w:t>
      </w:r>
    </w:p>
    <w:p w14:paraId="7B595F3F" w14:textId="77777777" w:rsidR="00534EC2" w:rsidRPr="00534EC2" w:rsidRDefault="00534EC2" w:rsidP="00D225FF">
      <w:pPr>
        <w:spacing w:line="440" w:lineRule="exact"/>
        <w:ind w:firstLineChars="200" w:firstLine="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3.</w:t>
      </w:r>
      <w:r w:rsidRPr="00534EC2">
        <w:rPr>
          <w:rFonts w:ascii="Times New Roman" w:eastAsia="宋体" w:hAnsi="Times New Roman" w:cs="Times New Roman" w:hint="eastAsia"/>
          <w:sz w:val="24"/>
          <w:szCs w:val="24"/>
        </w:rPr>
        <w:t>彭司勋主编：《药物化学进展》，化学工业出版社，</w:t>
      </w:r>
      <w:r w:rsidRPr="00534EC2">
        <w:rPr>
          <w:rFonts w:ascii="Times New Roman" w:eastAsia="宋体" w:hAnsi="Times New Roman" w:cs="Times New Roman" w:hint="eastAsia"/>
          <w:sz w:val="24"/>
          <w:szCs w:val="24"/>
        </w:rPr>
        <w:t>2011</w:t>
      </w:r>
    </w:p>
    <w:p w14:paraId="2EA7F13E" w14:textId="77777777" w:rsidR="00534EC2" w:rsidRPr="00534EC2" w:rsidRDefault="00534EC2" w:rsidP="00534EC2">
      <w:pPr>
        <w:spacing w:beforeLines="50" w:before="156" w:afterLines="50" w:after="156" w:line="440" w:lineRule="exact"/>
        <w:rPr>
          <w:rFonts w:ascii="黑体" w:eastAsia="黑体" w:hAnsi="黑体" w:cs="Times New Roman"/>
          <w:sz w:val="28"/>
          <w:szCs w:val="28"/>
        </w:rPr>
      </w:pPr>
      <w:r w:rsidRPr="00534EC2">
        <w:rPr>
          <w:rFonts w:ascii="黑体" w:eastAsia="黑体" w:hAnsi="黑体" w:cs="Times New Roman" w:hint="eastAsia"/>
          <w:sz w:val="28"/>
          <w:szCs w:val="28"/>
        </w:rPr>
        <w:t>（三）课程资源</w:t>
      </w:r>
    </w:p>
    <w:p w14:paraId="7BDEAD03"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 本课程的学习资源有教材以及参考书、在线开放课程、主讲教师提供的教学</w:t>
      </w:r>
    </w:p>
    <w:p w14:paraId="28A055F6" w14:textId="77777777" w:rsidR="00534EC2" w:rsidRPr="00534EC2" w:rsidRDefault="00534EC2" w:rsidP="00534EC2">
      <w:pPr>
        <w:spacing w:line="440" w:lineRule="exact"/>
        <w:rPr>
          <w:rFonts w:ascii="宋体" w:eastAsia="宋体" w:hAnsi="宋体" w:cs="Times New Roman"/>
          <w:sz w:val="24"/>
          <w:szCs w:val="24"/>
        </w:rPr>
      </w:pPr>
      <w:r w:rsidRPr="00534EC2">
        <w:rPr>
          <w:rFonts w:ascii="宋体" w:eastAsia="宋体" w:hAnsi="宋体" w:cs="Times New Roman" w:hint="eastAsia"/>
          <w:sz w:val="24"/>
          <w:szCs w:val="24"/>
        </w:rPr>
        <w:t>视频等，学生可以通过主讲教师提供的线上线下的资源进行自主学习。</w:t>
      </w:r>
    </w:p>
    <w:p w14:paraId="2A0E7A3D"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优质在线开放课程学习资源：</w:t>
      </w:r>
      <w:proofErr w:type="gramStart"/>
      <w:r w:rsidRPr="00534EC2">
        <w:rPr>
          <w:rFonts w:ascii="宋体" w:eastAsia="宋体" w:hAnsi="宋体" w:cs="Times New Roman" w:hint="eastAsia"/>
          <w:sz w:val="24"/>
          <w:szCs w:val="24"/>
        </w:rPr>
        <w:t>超星学习通</w:t>
      </w:r>
      <w:proofErr w:type="gramEnd"/>
      <w:r w:rsidRPr="00534EC2">
        <w:rPr>
          <w:rFonts w:ascii="宋体" w:eastAsia="宋体" w:hAnsi="宋体" w:cs="Times New Roman" w:hint="eastAsia"/>
          <w:sz w:val="24"/>
          <w:szCs w:val="24"/>
        </w:rPr>
        <w:t>平台石家庄学院郭瑞霞和刘斯婕的《药物化学》、中国大学MOOC平台中国药科大学的《药物化学》、中国大学MOOC平台中国药科大学的《药物化学》网络课程。课程必读书目：《</w:t>
      </w:r>
      <w:r w:rsidRPr="00534EC2">
        <w:rPr>
          <w:rFonts w:ascii="Times New Roman" w:eastAsia="宋体" w:hAnsi="Times New Roman" w:cs="Times New Roman" w:hint="eastAsia"/>
          <w:sz w:val="24"/>
          <w:szCs w:val="24"/>
        </w:rPr>
        <w:t>药物化学进展</w:t>
      </w:r>
      <w:r w:rsidRPr="00534EC2">
        <w:rPr>
          <w:rFonts w:ascii="宋体" w:eastAsia="宋体" w:hAnsi="宋体" w:cs="Times New Roman" w:hint="eastAsia"/>
          <w:sz w:val="24"/>
          <w:szCs w:val="24"/>
        </w:rPr>
        <w:t>》、《</w:t>
      </w:r>
      <w:r w:rsidRPr="00534EC2">
        <w:rPr>
          <w:rFonts w:ascii="Times New Roman" w:eastAsia="宋体" w:hAnsi="Times New Roman" w:cs="Times New Roman" w:hint="eastAsia"/>
          <w:sz w:val="24"/>
          <w:szCs w:val="24"/>
        </w:rPr>
        <w:t>药物化学总论</w:t>
      </w:r>
      <w:r w:rsidRPr="00534EC2">
        <w:rPr>
          <w:rFonts w:ascii="宋体" w:eastAsia="宋体" w:hAnsi="宋体" w:cs="Times New Roman" w:hint="eastAsia"/>
          <w:sz w:val="24"/>
          <w:szCs w:val="24"/>
        </w:rPr>
        <w:t>》、《</w:t>
      </w:r>
      <w:r w:rsidRPr="00534EC2">
        <w:rPr>
          <w:rFonts w:ascii="Times New Roman" w:eastAsia="宋体" w:hAnsi="Times New Roman" w:cs="Times New Roman" w:hint="eastAsia"/>
          <w:sz w:val="24"/>
          <w:szCs w:val="24"/>
        </w:rPr>
        <w:t>新编药物学</w:t>
      </w:r>
      <w:r w:rsidRPr="00534EC2">
        <w:rPr>
          <w:rFonts w:ascii="宋体" w:eastAsia="宋体" w:hAnsi="宋体" w:cs="Times New Roman" w:hint="eastAsia"/>
          <w:sz w:val="24"/>
          <w:szCs w:val="24"/>
        </w:rPr>
        <w:t>》、《</w:t>
      </w:r>
      <w:r w:rsidRPr="00534EC2">
        <w:rPr>
          <w:rFonts w:ascii="Times New Roman" w:eastAsia="宋体" w:hAnsi="Times New Roman" w:cs="Times New Roman" w:hint="eastAsia"/>
          <w:sz w:val="24"/>
          <w:szCs w:val="24"/>
        </w:rPr>
        <w:t>新药设计学</w:t>
      </w:r>
      <w:r w:rsidRPr="00534EC2">
        <w:rPr>
          <w:rFonts w:ascii="宋体" w:eastAsia="宋体" w:hAnsi="宋体" w:cs="Times New Roman" w:hint="eastAsia"/>
          <w:sz w:val="24"/>
          <w:szCs w:val="24"/>
        </w:rPr>
        <w:t>》和《药物合成反应》。</w:t>
      </w:r>
    </w:p>
    <w:p w14:paraId="08742EA9" w14:textId="77777777" w:rsidR="00534EC2" w:rsidRPr="00534EC2" w:rsidRDefault="00534EC2" w:rsidP="00534EC2">
      <w:pPr>
        <w:spacing w:beforeLines="50" w:before="156" w:afterLines="50" w:after="156" w:line="440" w:lineRule="exact"/>
        <w:rPr>
          <w:rFonts w:ascii="黑体" w:eastAsia="黑体" w:hAnsi="黑体" w:cs="Times New Roman"/>
          <w:sz w:val="28"/>
          <w:szCs w:val="28"/>
        </w:rPr>
      </w:pPr>
      <w:r w:rsidRPr="00534EC2">
        <w:rPr>
          <w:rFonts w:ascii="黑体" w:eastAsia="黑体" w:hAnsi="黑体" w:cs="Times New Roman" w:hint="eastAsia"/>
          <w:sz w:val="28"/>
          <w:szCs w:val="28"/>
        </w:rPr>
        <w:t>七、课程大纲制定依据</w:t>
      </w:r>
    </w:p>
    <w:p w14:paraId="6C2EBB38" w14:textId="77777777" w:rsidR="00534EC2" w:rsidRPr="00534EC2" w:rsidRDefault="00534EC2" w:rsidP="00D225FF">
      <w:pPr>
        <w:spacing w:line="440" w:lineRule="exac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本课程大纲依据2023年药物分析专业人才培养方案制定。</w:t>
      </w:r>
    </w:p>
    <w:p w14:paraId="57D14B87" w14:textId="77777777" w:rsidR="00534EC2" w:rsidRPr="00534EC2" w:rsidRDefault="00534EC2" w:rsidP="00534EC2">
      <w:pPr>
        <w:spacing w:line="440" w:lineRule="exact"/>
        <w:rPr>
          <w:rFonts w:ascii="宋体" w:eastAsia="宋体" w:hAnsi="宋体" w:cs="Times New Roman"/>
          <w:sz w:val="24"/>
          <w:szCs w:val="24"/>
        </w:rPr>
      </w:pPr>
    </w:p>
    <w:p w14:paraId="134B615F" w14:textId="77777777" w:rsidR="00534EC2" w:rsidRPr="00534EC2" w:rsidRDefault="00534EC2" w:rsidP="00534EC2">
      <w:pPr>
        <w:rPr>
          <w:rFonts w:ascii="Times New Roman" w:eastAsia="宋体" w:hAnsi="Times New Roman" w:cs="Times New Roman"/>
          <w:szCs w:val="24"/>
        </w:rPr>
      </w:pPr>
    </w:p>
    <w:p w14:paraId="4DE33F7F" w14:textId="77777777" w:rsidR="00813A33" w:rsidRDefault="00813A33" w:rsidP="00D31397">
      <w:pPr>
        <w:spacing w:line="440" w:lineRule="exact"/>
        <w:rPr>
          <w:rFonts w:ascii="楷体" w:eastAsia="楷体" w:hAnsi="楷体" w:cs="Times New Roman"/>
          <w:bCs/>
          <w:sz w:val="24"/>
          <w:szCs w:val="24"/>
        </w:rPr>
      </w:pPr>
    </w:p>
    <w:p w14:paraId="2207B7A4" w14:textId="77777777" w:rsidR="00534EC2" w:rsidRDefault="00534EC2" w:rsidP="00D31397">
      <w:pPr>
        <w:spacing w:line="440" w:lineRule="exact"/>
        <w:rPr>
          <w:rFonts w:ascii="楷体" w:eastAsia="楷体" w:hAnsi="楷体" w:cs="Times New Roman"/>
          <w:bCs/>
          <w:sz w:val="24"/>
          <w:szCs w:val="24"/>
        </w:rPr>
      </w:pPr>
    </w:p>
    <w:p w14:paraId="197E229C" w14:textId="77777777" w:rsidR="00D225FF" w:rsidRDefault="00D225FF" w:rsidP="00D225FF">
      <w:pPr>
        <w:spacing w:line="440" w:lineRule="exact"/>
        <w:rPr>
          <w:rFonts w:ascii="楷体" w:eastAsia="楷体" w:hAnsi="楷体" w:cs="Times New Roman"/>
          <w:bCs/>
          <w:sz w:val="24"/>
          <w:szCs w:val="24"/>
        </w:rPr>
      </w:pPr>
    </w:p>
    <w:p w14:paraId="1D1CD384" w14:textId="77777777" w:rsidR="00534EC2" w:rsidRDefault="00534EC2" w:rsidP="00D31397">
      <w:pPr>
        <w:spacing w:line="440" w:lineRule="exact"/>
        <w:rPr>
          <w:rFonts w:ascii="楷体" w:eastAsia="楷体" w:hAnsi="楷体" w:cs="Times New Roman"/>
          <w:bCs/>
          <w:sz w:val="24"/>
          <w:szCs w:val="24"/>
        </w:rPr>
      </w:pPr>
    </w:p>
    <w:p w14:paraId="55FD3A4F" w14:textId="77777777" w:rsidR="00D225FF" w:rsidRDefault="00D225FF">
      <w:pPr>
        <w:widowControl/>
        <w:jc w:val="left"/>
        <w:rPr>
          <w:rFonts w:ascii="楷体" w:eastAsia="楷体" w:hAnsi="楷体" w:cs="Times New Roman"/>
          <w:bCs/>
          <w:sz w:val="24"/>
          <w:szCs w:val="24"/>
        </w:rPr>
      </w:pPr>
      <w:bookmarkStart w:id="217" w:name="_Toc149662365"/>
      <w:r>
        <w:rPr>
          <w:rFonts w:ascii="楷体" w:eastAsia="楷体" w:hAnsi="楷体" w:cs="Times New Roman"/>
          <w:b/>
          <w:bCs/>
          <w:sz w:val="24"/>
          <w:szCs w:val="24"/>
        </w:rPr>
        <w:br w:type="page"/>
      </w:r>
    </w:p>
    <w:p w14:paraId="6DF99E1A" w14:textId="17028035" w:rsidR="00531108" w:rsidRPr="00531108" w:rsidRDefault="00531108" w:rsidP="00531108">
      <w:pPr>
        <w:pStyle w:val="1"/>
      </w:pPr>
      <w:r w:rsidRPr="00531108">
        <w:rPr>
          <w:rFonts w:hint="eastAsia"/>
        </w:rPr>
        <w:lastRenderedPageBreak/>
        <w:t>《药理学》课程大纲</w:t>
      </w:r>
      <w:bookmarkEnd w:id="217"/>
    </w:p>
    <w:p w14:paraId="1C33437C" w14:textId="77777777" w:rsidR="00531108" w:rsidRPr="00531108" w:rsidRDefault="00531108" w:rsidP="00531108">
      <w:pPr>
        <w:spacing w:beforeLines="50" w:before="156" w:afterLines="50" w:after="156" w:line="440" w:lineRule="exact"/>
        <w:ind w:firstLine="200"/>
        <w:rPr>
          <w:rFonts w:ascii="黑体" w:eastAsia="黑体" w:hAnsi="黑体" w:cs="Times New Roman"/>
          <w:sz w:val="28"/>
          <w:szCs w:val="28"/>
        </w:rPr>
      </w:pPr>
      <w:r>
        <w:rPr>
          <w:rFonts w:ascii="黑体" w:eastAsia="黑体" w:hAnsi="黑体" w:cs="Times New Roman" w:hint="eastAsia"/>
          <w:sz w:val="28"/>
          <w:szCs w:val="28"/>
        </w:rPr>
        <w:t xml:space="preserve"> </w:t>
      </w:r>
      <w:r>
        <w:rPr>
          <w:rFonts w:ascii="黑体" w:eastAsia="黑体" w:hAnsi="黑体" w:cs="Times New Roman"/>
          <w:sz w:val="28"/>
          <w:szCs w:val="28"/>
        </w:rPr>
        <w:t xml:space="preserve"> </w:t>
      </w:r>
      <w:r w:rsidRPr="0053110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2748"/>
        <w:gridCol w:w="1526"/>
        <w:gridCol w:w="2875"/>
      </w:tblGrid>
      <w:tr w:rsidR="00531108" w:rsidRPr="00531108" w14:paraId="4B7EEB67" w14:textId="77777777" w:rsidTr="00004A27">
        <w:trPr>
          <w:trHeight w:val="886"/>
          <w:jc w:val="center"/>
        </w:trPr>
        <w:tc>
          <w:tcPr>
            <w:tcW w:w="1668" w:type="dxa"/>
            <w:shd w:val="clear" w:color="auto" w:fill="auto"/>
            <w:vAlign w:val="center"/>
          </w:tcPr>
          <w:p w14:paraId="75B09F38"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课程名称</w:t>
            </w:r>
          </w:p>
        </w:tc>
        <w:tc>
          <w:tcPr>
            <w:tcW w:w="2833" w:type="dxa"/>
            <w:shd w:val="clear" w:color="auto" w:fill="auto"/>
            <w:vAlign w:val="center"/>
          </w:tcPr>
          <w:p w14:paraId="13D929DF"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药理学</w:t>
            </w:r>
          </w:p>
        </w:tc>
        <w:tc>
          <w:tcPr>
            <w:tcW w:w="1561" w:type="dxa"/>
            <w:shd w:val="clear" w:color="auto" w:fill="auto"/>
            <w:vAlign w:val="center"/>
          </w:tcPr>
          <w:p w14:paraId="0D2813AD"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课程代码</w:t>
            </w:r>
          </w:p>
        </w:tc>
        <w:tc>
          <w:tcPr>
            <w:tcW w:w="2941" w:type="dxa"/>
            <w:shd w:val="clear" w:color="auto" w:fill="auto"/>
            <w:vAlign w:val="center"/>
          </w:tcPr>
          <w:p w14:paraId="55878826"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宋体"/>
                <w:kern w:val="0"/>
                <w:sz w:val="24"/>
                <w:szCs w:val="24"/>
              </w:rPr>
              <w:t>0714A02</w:t>
            </w:r>
          </w:p>
        </w:tc>
      </w:tr>
      <w:tr w:rsidR="00531108" w:rsidRPr="00531108" w14:paraId="3B8A2627" w14:textId="77777777" w:rsidTr="00004A27">
        <w:trPr>
          <w:trHeight w:val="829"/>
          <w:jc w:val="center"/>
        </w:trPr>
        <w:tc>
          <w:tcPr>
            <w:tcW w:w="1668" w:type="dxa"/>
            <w:shd w:val="clear" w:color="auto" w:fill="auto"/>
            <w:vAlign w:val="center"/>
          </w:tcPr>
          <w:p w14:paraId="5F19A0D6"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课程类别</w:t>
            </w:r>
          </w:p>
        </w:tc>
        <w:tc>
          <w:tcPr>
            <w:tcW w:w="2833" w:type="dxa"/>
            <w:shd w:val="clear" w:color="auto" w:fill="auto"/>
            <w:vAlign w:val="center"/>
          </w:tcPr>
          <w:p w14:paraId="753C2A73"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专业必修课程</w:t>
            </w:r>
          </w:p>
        </w:tc>
        <w:tc>
          <w:tcPr>
            <w:tcW w:w="1561" w:type="dxa"/>
            <w:shd w:val="clear" w:color="auto" w:fill="auto"/>
            <w:vAlign w:val="center"/>
          </w:tcPr>
          <w:p w14:paraId="20356F85"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学时</w:t>
            </w:r>
          </w:p>
          <w:p w14:paraId="3D0410F7"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/学分</w:t>
            </w:r>
          </w:p>
        </w:tc>
        <w:tc>
          <w:tcPr>
            <w:tcW w:w="2941" w:type="dxa"/>
            <w:shd w:val="clear" w:color="auto" w:fill="auto"/>
            <w:vAlign w:val="center"/>
          </w:tcPr>
          <w:p w14:paraId="600BB0CA"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40/2.5</w:t>
            </w:r>
          </w:p>
        </w:tc>
      </w:tr>
      <w:tr w:rsidR="00531108" w:rsidRPr="00531108" w14:paraId="3B53E225" w14:textId="77777777" w:rsidTr="00004A27">
        <w:trPr>
          <w:trHeight w:val="811"/>
          <w:jc w:val="center"/>
        </w:trPr>
        <w:tc>
          <w:tcPr>
            <w:tcW w:w="1668" w:type="dxa"/>
            <w:shd w:val="clear" w:color="auto" w:fill="auto"/>
            <w:vAlign w:val="center"/>
          </w:tcPr>
          <w:p w14:paraId="3DE667CE"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开课单位</w:t>
            </w:r>
          </w:p>
        </w:tc>
        <w:tc>
          <w:tcPr>
            <w:tcW w:w="2833" w:type="dxa"/>
            <w:shd w:val="clear" w:color="auto" w:fill="auto"/>
            <w:vAlign w:val="center"/>
          </w:tcPr>
          <w:p w14:paraId="4B29282C"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化工学院</w:t>
            </w:r>
          </w:p>
        </w:tc>
        <w:tc>
          <w:tcPr>
            <w:tcW w:w="1561" w:type="dxa"/>
            <w:shd w:val="clear" w:color="auto" w:fill="auto"/>
            <w:vAlign w:val="center"/>
          </w:tcPr>
          <w:p w14:paraId="04F6EDC4"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适用专业</w:t>
            </w:r>
          </w:p>
        </w:tc>
        <w:tc>
          <w:tcPr>
            <w:tcW w:w="2941" w:type="dxa"/>
            <w:shd w:val="clear" w:color="auto" w:fill="auto"/>
            <w:vAlign w:val="center"/>
          </w:tcPr>
          <w:p w14:paraId="100C1A26"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药物分析</w:t>
            </w:r>
          </w:p>
        </w:tc>
      </w:tr>
      <w:tr w:rsidR="00531108" w:rsidRPr="00531108" w14:paraId="2D921D69" w14:textId="77777777" w:rsidTr="00004A27">
        <w:trPr>
          <w:trHeight w:val="811"/>
          <w:jc w:val="center"/>
        </w:trPr>
        <w:tc>
          <w:tcPr>
            <w:tcW w:w="1668" w:type="dxa"/>
            <w:shd w:val="clear" w:color="auto" w:fill="auto"/>
            <w:vAlign w:val="center"/>
          </w:tcPr>
          <w:p w14:paraId="1C178414"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课程负责人</w:t>
            </w:r>
          </w:p>
        </w:tc>
        <w:tc>
          <w:tcPr>
            <w:tcW w:w="7335" w:type="dxa"/>
            <w:gridSpan w:val="3"/>
            <w:shd w:val="clear" w:color="auto" w:fill="auto"/>
            <w:vAlign w:val="center"/>
          </w:tcPr>
          <w:p w14:paraId="4D32B68D" w14:textId="77777777" w:rsidR="00531108" w:rsidRPr="00531108" w:rsidRDefault="00531108" w:rsidP="00531108">
            <w:pPr>
              <w:spacing w:line="440" w:lineRule="exact"/>
              <w:ind w:firstLine="200"/>
              <w:jc w:val="center"/>
              <w:rPr>
                <w:rFonts w:ascii="宋体" w:eastAsia="宋体" w:hAnsi="宋体" w:cs="Times New Roman"/>
                <w:sz w:val="24"/>
                <w:szCs w:val="24"/>
              </w:rPr>
            </w:pPr>
            <w:proofErr w:type="gramStart"/>
            <w:r w:rsidRPr="00531108">
              <w:rPr>
                <w:rFonts w:ascii="宋体" w:eastAsia="宋体" w:hAnsi="宋体" w:cs="Times New Roman" w:hint="eastAsia"/>
                <w:sz w:val="24"/>
                <w:szCs w:val="24"/>
              </w:rPr>
              <w:t>孙爽</w:t>
            </w:r>
            <w:proofErr w:type="gramEnd"/>
          </w:p>
        </w:tc>
      </w:tr>
      <w:tr w:rsidR="00531108" w:rsidRPr="00531108" w14:paraId="5815D122" w14:textId="77777777" w:rsidTr="00004A27">
        <w:trPr>
          <w:trHeight w:val="836"/>
          <w:jc w:val="center"/>
        </w:trPr>
        <w:tc>
          <w:tcPr>
            <w:tcW w:w="1668" w:type="dxa"/>
            <w:shd w:val="clear" w:color="auto" w:fill="auto"/>
            <w:vAlign w:val="center"/>
          </w:tcPr>
          <w:p w14:paraId="597F04FB"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大纲撰写人</w:t>
            </w:r>
          </w:p>
        </w:tc>
        <w:tc>
          <w:tcPr>
            <w:tcW w:w="2833" w:type="dxa"/>
            <w:shd w:val="clear" w:color="auto" w:fill="auto"/>
            <w:vAlign w:val="center"/>
          </w:tcPr>
          <w:p w14:paraId="78EF0817" w14:textId="77777777" w:rsidR="00531108" w:rsidRPr="00531108" w:rsidRDefault="00531108" w:rsidP="00531108">
            <w:pPr>
              <w:spacing w:line="440" w:lineRule="exact"/>
              <w:ind w:firstLine="200"/>
              <w:jc w:val="center"/>
              <w:rPr>
                <w:rFonts w:ascii="宋体" w:eastAsia="宋体" w:hAnsi="宋体" w:cs="Times New Roman"/>
                <w:sz w:val="24"/>
                <w:szCs w:val="24"/>
              </w:rPr>
            </w:pPr>
            <w:proofErr w:type="gramStart"/>
            <w:r w:rsidRPr="00531108">
              <w:rPr>
                <w:rFonts w:ascii="宋体" w:eastAsia="宋体" w:hAnsi="宋体" w:cs="Times New Roman" w:hint="eastAsia"/>
                <w:sz w:val="24"/>
                <w:szCs w:val="24"/>
              </w:rPr>
              <w:t>孙爽</w:t>
            </w:r>
            <w:proofErr w:type="gramEnd"/>
          </w:p>
        </w:tc>
        <w:tc>
          <w:tcPr>
            <w:tcW w:w="1561" w:type="dxa"/>
            <w:shd w:val="clear" w:color="auto" w:fill="auto"/>
            <w:vAlign w:val="center"/>
          </w:tcPr>
          <w:p w14:paraId="051664AD"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大纲审核人</w:t>
            </w:r>
          </w:p>
        </w:tc>
        <w:tc>
          <w:tcPr>
            <w:tcW w:w="2941" w:type="dxa"/>
            <w:shd w:val="clear" w:color="auto" w:fill="auto"/>
            <w:vAlign w:val="center"/>
          </w:tcPr>
          <w:p w14:paraId="47210050" w14:textId="77777777" w:rsidR="00531108" w:rsidRPr="00531108" w:rsidRDefault="00531108" w:rsidP="00531108">
            <w:pPr>
              <w:spacing w:line="440" w:lineRule="exact"/>
              <w:ind w:firstLine="200"/>
              <w:jc w:val="center"/>
              <w:rPr>
                <w:rFonts w:ascii="宋体" w:eastAsia="宋体" w:hAnsi="宋体" w:cs="Times New Roman"/>
                <w:sz w:val="24"/>
                <w:szCs w:val="24"/>
              </w:rPr>
            </w:pPr>
            <w:proofErr w:type="gramStart"/>
            <w:r w:rsidRPr="00531108">
              <w:rPr>
                <w:rFonts w:ascii="宋体" w:eastAsia="宋体" w:hAnsi="宋体" w:cs="Times New Roman" w:hint="eastAsia"/>
                <w:sz w:val="24"/>
                <w:szCs w:val="24"/>
              </w:rPr>
              <w:t>冯</w:t>
            </w:r>
            <w:proofErr w:type="gramEnd"/>
            <w:r w:rsidRPr="00531108">
              <w:rPr>
                <w:rFonts w:ascii="宋体" w:eastAsia="宋体" w:hAnsi="宋体" w:cs="Times New Roman" w:hint="eastAsia"/>
                <w:sz w:val="24"/>
                <w:szCs w:val="24"/>
              </w:rPr>
              <w:t>小龙</w:t>
            </w:r>
          </w:p>
        </w:tc>
      </w:tr>
      <w:tr w:rsidR="00531108" w:rsidRPr="00531108" w14:paraId="14EFC680" w14:textId="77777777" w:rsidTr="00004A27">
        <w:trPr>
          <w:trHeight w:val="848"/>
          <w:jc w:val="center"/>
        </w:trPr>
        <w:tc>
          <w:tcPr>
            <w:tcW w:w="1668" w:type="dxa"/>
            <w:shd w:val="clear" w:color="auto" w:fill="auto"/>
            <w:vAlign w:val="center"/>
          </w:tcPr>
          <w:p w14:paraId="5804D78C"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先修课程</w:t>
            </w:r>
          </w:p>
        </w:tc>
        <w:tc>
          <w:tcPr>
            <w:tcW w:w="7335" w:type="dxa"/>
            <w:gridSpan w:val="3"/>
            <w:shd w:val="clear" w:color="auto" w:fill="auto"/>
            <w:vAlign w:val="center"/>
          </w:tcPr>
          <w:p w14:paraId="4CCDF9AA"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Times New Roman" w:eastAsia="宋体" w:hAnsi="宋体" w:cs="Times New Roman" w:hint="eastAsia"/>
                <w:sz w:val="24"/>
                <w:szCs w:val="24"/>
              </w:rPr>
              <w:t>人体解剖生理学、生物化学、药物分析、药剂学</w:t>
            </w:r>
          </w:p>
        </w:tc>
      </w:tr>
      <w:tr w:rsidR="00531108" w:rsidRPr="00531108" w14:paraId="3955E8E9" w14:textId="77777777" w:rsidTr="00004A27">
        <w:trPr>
          <w:trHeight w:val="848"/>
          <w:jc w:val="center"/>
        </w:trPr>
        <w:tc>
          <w:tcPr>
            <w:tcW w:w="1668" w:type="dxa"/>
            <w:shd w:val="clear" w:color="auto" w:fill="auto"/>
            <w:vAlign w:val="center"/>
          </w:tcPr>
          <w:p w14:paraId="4D9EEAE0"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课程网址</w:t>
            </w:r>
          </w:p>
        </w:tc>
        <w:tc>
          <w:tcPr>
            <w:tcW w:w="7335" w:type="dxa"/>
            <w:gridSpan w:val="3"/>
            <w:shd w:val="clear" w:color="auto" w:fill="auto"/>
            <w:vAlign w:val="center"/>
          </w:tcPr>
          <w:p w14:paraId="64A56D10" w14:textId="77777777" w:rsidR="00531108" w:rsidRPr="00531108" w:rsidRDefault="00531108" w:rsidP="00531108">
            <w:pPr>
              <w:spacing w:line="440" w:lineRule="exact"/>
              <w:ind w:firstLine="200"/>
              <w:rPr>
                <w:rFonts w:ascii="宋体" w:eastAsia="宋体" w:hAnsi="宋体" w:cs="Times New Roman"/>
                <w:color w:val="FF0000"/>
                <w:sz w:val="24"/>
                <w:szCs w:val="24"/>
              </w:rPr>
            </w:pPr>
          </w:p>
        </w:tc>
      </w:tr>
    </w:tbl>
    <w:p w14:paraId="2FD51447" w14:textId="77777777" w:rsidR="00531108" w:rsidRPr="00531108" w:rsidRDefault="00531108" w:rsidP="00531108">
      <w:pPr>
        <w:spacing w:beforeLines="50" w:before="156" w:afterLines="50" w:after="156" w:line="440" w:lineRule="exact"/>
        <w:ind w:firstLine="200"/>
        <w:rPr>
          <w:rFonts w:ascii="黑体" w:eastAsia="黑体" w:hAnsi="黑体" w:cs="Times New Roman"/>
          <w:sz w:val="28"/>
          <w:szCs w:val="28"/>
        </w:rPr>
      </w:pPr>
      <w:r>
        <w:rPr>
          <w:rFonts w:ascii="黑体" w:eastAsia="黑体" w:hAnsi="黑体" w:cs="Times New Roman" w:hint="eastAsia"/>
          <w:sz w:val="28"/>
          <w:szCs w:val="28"/>
        </w:rPr>
        <w:t xml:space="preserve"> </w:t>
      </w:r>
      <w:r>
        <w:rPr>
          <w:rFonts w:ascii="黑体" w:eastAsia="黑体" w:hAnsi="黑体" w:cs="Times New Roman"/>
          <w:sz w:val="28"/>
          <w:szCs w:val="28"/>
        </w:rPr>
        <w:t xml:space="preserve"> </w:t>
      </w:r>
      <w:r w:rsidRPr="00531108">
        <w:rPr>
          <w:rFonts w:ascii="黑体" w:eastAsia="黑体" w:hAnsi="黑体" w:cs="Times New Roman" w:hint="eastAsia"/>
          <w:sz w:val="28"/>
          <w:szCs w:val="28"/>
        </w:rPr>
        <w:t>二、课程学习目标及与毕业要求的对应关系</w:t>
      </w:r>
    </w:p>
    <w:p w14:paraId="1C77B545" w14:textId="77777777" w:rsidR="00531108" w:rsidRPr="00531108" w:rsidRDefault="00531108" w:rsidP="00531108">
      <w:pPr>
        <w:spacing w:beforeLines="50" w:before="156" w:afterLines="50" w:after="156" w:line="440" w:lineRule="exact"/>
        <w:ind w:firstLine="200"/>
        <w:rPr>
          <w:rFonts w:ascii="黑体" w:eastAsia="黑体" w:hAnsi="黑体" w:cs="Times New Roman"/>
          <w:sz w:val="28"/>
          <w:szCs w:val="28"/>
        </w:rPr>
      </w:pPr>
      <w:r>
        <w:rPr>
          <w:rFonts w:ascii="黑体" w:eastAsia="黑体" w:hAnsi="黑体" w:cs="Times New Roman" w:hint="eastAsia"/>
          <w:sz w:val="28"/>
          <w:szCs w:val="28"/>
        </w:rPr>
        <w:t xml:space="preserve"> </w:t>
      </w:r>
      <w:r>
        <w:rPr>
          <w:rFonts w:ascii="黑体" w:eastAsia="黑体" w:hAnsi="黑体" w:cs="Times New Roman"/>
          <w:sz w:val="28"/>
          <w:szCs w:val="28"/>
        </w:rPr>
        <w:t xml:space="preserve"> </w:t>
      </w:r>
      <w:r w:rsidRPr="00531108">
        <w:rPr>
          <w:rFonts w:ascii="黑体" w:eastAsia="黑体" w:hAnsi="黑体" w:cs="Times New Roman" w:hint="eastAsia"/>
          <w:sz w:val="28"/>
          <w:szCs w:val="28"/>
        </w:rPr>
        <w:t>（一）课程学习目标</w:t>
      </w:r>
    </w:p>
    <w:p w14:paraId="3771EADD" w14:textId="77777777" w:rsidR="00531108" w:rsidRPr="00531108" w:rsidRDefault="00531108" w:rsidP="00D225FF">
      <w:pPr>
        <w:autoSpaceDE w:val="0"/>
        <w:autoSpaceDN w:val="0"/>
        <w:spacing w:line="440" w:lineRule="exact"/>
        <w:ind w:firstLineChars="200" w:firstLine="480"/>
        <w:rPr>
          <w:rFonts w:ascii="Times New Roman" w:eastAsia="宋体" w:hAnsi="宋体" w:cs="Times New Roman"/>
          <w:sz w:val="24"/>
          <w:szCs w:val="24"/>
        </w:rPr>
      </w:pPr>
      <w:r w:rsidRPr="00531108">
        <w:rPr>
          <w:rFonts w:ascii="Times New Roman" w:eastAsia="宋体" w:hAnsi="宋体" w:cs="Times New Roman"/>
          <w:sz w:val="24"/>
          <w:szCs w:val="24"/>
        </w:rPr>
        <w:t>药理学</w:t>
      </w:r>
      <w:r w:rsidRPr="00531108">
        <w:rPr>
          <w:rFonts w:ascii="Times New Roman" w:eastAsia="宋体" w:hAnsi="宋体" w:cs="Times New Roman" w:hint="eastAsia"/>
          <w:sz w:val="24"/>
          <w:szCs w:val="24"/>
        </w:rPr>
        <w:t>是药学的专业基础课程，是研究药物与机体之间相互作用规律的一门学科。主要研究药物效应动力学与药物代谢动力学，从而阐明药物的作用与作用机制，以及药物在体内的吸收、分布、代谢、排泄过程。</w:t>
      </w:r>
      <w:r w:rsidRPr="00531108">
        <w:rPr>
          <w:rFonts w:ascii="Times New Roman" w:eastAsia="宋体" w:hAnsi="宋体" w:cs="Times New Roman"/>
          <w:sz w:val="24"/>
          <w:szCs w:val="24"/>
        </w:rPr>
        <w:t>为临床合理用药提供科学依据</w:t>
      </w:r>
      <w:r w:rsidRPr="00531108">
        <w:rPr>
          <w:rFonts w:ascii="Times New Roman" w:eastAsia="宋体" w:hAnsi="宋体" w:cs="Times New Roman" w:hint="eastAsia"/>
          <w:sz w:val="24"/>
          <w:szCs w:val="24"/>
        </w:rPr>
        <w:t>；</w:t>
      </w:r>
      <w:r w:rsidRPr="00531108">
        <w:rPr>
          <w:rFonts w:ascii="Times New Roman" w:eastAsia="宋体" w:hAnsi="宋体" w:cs="Times New Roman"/>
          <w:sz w:val="24"/>
          <w:szCs w:val="24"/>
        </w:rPr>
        <w:t>为药学学生研究开发新药</w:t>
      </w:r>
      <w:r w:rsidRPr="00531108">
        <w:rPr>
          <w:rFonts w:ascii="Times New Roman" w:eastAsia="宋体" w:hAnsi="宋体" w:cs="Times New Roman" w:hint="eastAsia"/>
          <w:sz w:val="24"/>
          <w:szCs w:val="24"/>
        </w:rPr>
        <w:t>、</w:t>
      </w:r>
      <w:r w:rsidRPr="00531108">
        <w:rPr>
          <w:rFonts w:ascii="Times New Roman" w:eastAsia="宋体" w:hAnsi="宋体" w:cs="Times New Roman"/>
          <w:sz w:val="24"/>
          <w:szCs w:val="24"/>
        </w:rPr>
        <w:t>提高药物疗效，发现药物新用途提供理论依据</w:t>
      </w:r>
      <w:r w:rsidRPr="00531108">
        <w:rPr>
          <w:rFonts w:ascii="Times New Roman" w:eastAsia="宋体" w:hAnsi="宋体" w:cs="Times New Roman" w:hint="eastAsia"/>
          <w:sz w:val="24"/>
          <w:szCs w:val="24"/>
        </w:rPr>
        <w:t>；</w:t>
      </w:r>
      <w:r w:rsidRPr="00531108">
        <w:rPr>
          <w:rFonts w:ascii="Times New Roman" w:eastAsia="宋体" w:hAnsi="宋体" w:cs="Times New Roman"/>
          <w:sz w:val="24"/>
          <w:szCs w:val="24"/>
        </w:rPr>
        <w:t>为探索细胞生理、生化及病理过程提供实验资料</w:t>
      </w:r>
      <w:r w:rsidRPr="00531108">
        <w:rPr>
          <w:rFonts w:ascii="Times New Roman" w:eastAsia="宋体" w:hAnsi="宋体" w:cs="Times New Roman" w:hint="eastAsia"/>
          <w:sz w:val="24"/>
          <w:szCs w:val="24"/>
        </w:rPr>
        <w:t>；</w:t>
      </w:r>
      <w:r w:rsidRPr="00531108">
        <w:rPr>
          <w:rFonts w:ascii="Times New Roman" w:eastAsia="宋体" w:hAnsi="宋体" w:cs="Times New Roman"/>
          <w:sz w:val="24"/>
          <w:szCs w:val="24"/>
        </w:rPr>
        <w:t>为以后从事药物研究开发工作奠定基础，并培养初步科研能力。</w:t>
      </w:r>
    </w:p>
    <w:p w14:paraId="284BEF1D" w14:textId="77777777" w:rsidR="00531108" w:rsidRPr="00531108" w:rsidRDefault="00531108" w:rsidP="00D4283B">
      <w:pPr>
        <w:spacing w:line="440" w:lineRule="exact"/>
        <w:ind w:firstLine="418"/>
        <w:rPr>
          <w:rFonts w:ascii="宋体" w:eastAsia="宋体" w:hAnsi="宋体" w:cs="Times New Roman"/>
          <w:sz w:val="24"/>
          <w:szCs w:val="24"/>
        </w:rPr>
      </w:pPr>
      <w:r w:rsidRPr="00531108">
        <w:rPr>
          <w:rFonts w:ascii="宋体" w:eastAsia="宋体" w:hAnsi="宋体" w:cs="Times New Roman" w:hint="eastAsia"/>
          <w:sz w:val="24"/>
          <w:szCs w:val="24"/>
        </w:rPr>
        <w:t>通过</w:t>
      </w:r>
      <w:r w:rsidRPr="00531108">
        <w:rPr>
          <w:rFonts w:ascii="宋体" w:eastAsia="宋体" w:hAnsi="宋体" w:cs="Times New Roman"/>
          <w:sz w:val="24"/>
          <w:szCs w:val="24"/>
        </w:rPr>
        <w:t>本课程的学习，</w:t>
      </w:r>
      <w:r w:rsidRPr="00531108">
        <w:rPr>
          <w:rFonts w:ascii="宋体" w:eastAsia="宋体" w:hAnsi="宋体" w:cs="Times New Roman" w:hint="eastAsia"/>
          <w:sz w:val="24"/>
          <w:szCs w:val="24"/>
        </w:rPr>
        <w:t>使学生达到以下</w:t>
      </w:r>
      <w:r w:rsidRPr="00531108">
        <w:rPr>
          <w:rFonts w:ascii="宋体" w:eastAsia="宋体" w:hAnsi="宋体" w:cs="Times New Roman"/>
          <w:sz w:val="24"/>
          <w:szCs w:val="24"/>
        </w:rPr>
        <w:t>目标：</w:t>
      </w:r>
    </w:p>
    <w:p w14:paraId="0420E250" w14:textId="77777777" w:rsidR="00531108" w:rsidRPr="00531108" w:rsidRDefault="00531108" w:rsidP="00D4283B">
      <w:pPr>
        <w:spacing w:line="440" w:lineRule="exact"/>
        <w:ind w:firstLine="418"/>
        <w:rPr>
          <w:rFonts w:ascii="宋体" w:eastAsia="宋体" w:hAnsi="宋体" w:cs="Times New Roman"/>
          <w:b/>
          <w:sz w:val="24"/>
          <w:szCs w:val="24"/>
        </w:rPr>
      </w:pPr>
      <w:r w:rsidRPr="00531108">
        <w:rPr>
          <w:rFonts w:ascii="宋体" w:eastAsia="宋体" w:hAnsi="宋体" w:cs="Times New Roman"/>
          <w:sz w:val="24"/>
          <w:szCs w:val="24"/>
        </w:rPr>
        <w:t>1</w:t>
      </w:r>
      <w:r w:rsidRPr="00531108">
        <w:rPr>
          <w:rFonts w:ascii="宋体" w:eastAsia="宋体" w:hAnsi="宋体" w:cs="Times New Roman" w:hint="eastAsia"/>
          <w:sz w:val="24"/>
          <w:szCs w:val="24"/>
        </w:rPr>
        <w:t xml:space="preserve">. </w:t>
      </w:r>
      <w:r w:rsidRPr="00531108">
        <w:rPr>
          <w:rFonts w:ascii="Times New Roman" w:eastAsia="宋体" w:hAnsi="宋体" w:cs="Times New Roman"/>
          <w:sz w:val="24"/>
          <w:szCs w:val="24"/>
        </w:rPr>
        <w:t>掌握常用药物</w:t>
      </w:r>
      <w:r w:rsidRPr="00531108">
        <w:rPr>
          <w:rFonts w:ascii="Times New Roman" w:eastAsia="宋体" w:hAnsi="宋体" w:cs="Times New Roman" w:hint="eastAsia"/>
          <w:sz w:val="24"/>
          <w:szCs w:val="24"/>
        </w:rPr>
        <w:t>对机体的</w:t>
      </w:r>
      <w:r w:rsidRPr="00531108">
        <w:rPr>
          <w:rFonts w:ascii="Times New Roman" w:eastAsia="宋体" w:hAnsi="宋体" w:cs="Times New Roman"/>
          <w:sz w:val="24"/>
          <w:szCs w:val="24"/>
        </w:rPr>
        <w:t>作用</w:t>
      </w:r>
      <w:r w:rsidRPr="00531108">
        <w:rPr>
          <w:rFonts w:ascii="Times New Roman" w:eastAsia="宋体" w:hAnsi="宋体" w:cs="Times New Roman" w:hint="eastAsia"/>
          <w:sz w:val="24"/>
          <w:szCs w:val="24"/>
        </w:rPr>
        <w:t>和作用机制，在临床上的主要适应症、不良反应和禁忌症，药物体内过程和用法等</w:t>
      </w:r>
      <w:r w:rsidRPr="00531108">
        <w:rPr>
          <w:rFonts w:ascii="Times New Roman" w:eastAsia="宋体" w:hAnsi="宋体" w:cs="Times New Roman"/>
          <w:sz w:val="24"/>
          <w:szCs w:val="24"/>
        </w:rPr>
        <w:t>理论</w:t>
      </w:r>
      <w:r w:rsidRPr="00531108">
        <w:rPr>
          <w:rFonts w:ascii="Times New Roman" w:eastAsia="宋体" w:hAnsi="宋体" w:cs="Times New Roman" w:hint="eastAsia"/>
          <w:sz w:val="24"/>
          <w:szCs w:val="24"/>
        </w:rPr>
        <w:t>知识</w:t>
      </w:r>
      <w:r w:rsidRPr="00531108">
        <w:rPr>
          <w:rFonts w:ascii="Times New Roman" w:eastAsia="宋体" w:hAnsi="宋体" w:cs="Times New Roman"/>
          <w:sz w:val="24"/>
          <w:szCs w:val="24"/>
        </w:rPr>
        <w:t>，为临床合理用药、防治疾病奠定牢固的基础</w:t>
      </w:r>
      <w:r w:rsidRPr="00531108">
        <w:rPr>
          <w:rFonts w:ascii="宋体" w:eastAsia="宋体" w:hAnsi="宋体" w:cs="Times New Roman" w:hint="eastAsia"/>
          <w:sz w:val="24"/>
          <w:szCs w:val="24"/>
        </w:rPr>
        <w:t>。</w:t>
      </w:r>
      <w:r w:rsidRPr="00531108">
        <w:rPr>
          <w:rFonts w:ascii="宋体" w:eastAsia="宋体" w:hAnsi="宋体" w:cs="Times New Roman"/>
          <w:b/>
          <w:sz w:val="24"/>
          <w:szCs w:val="24"/>
        </w:rPr>
        <w:t xml:space="preserve">【毕业要求1 </w:t>
      </w:r>
      <w:r w:rsidRPr="00531108">
        <w:rPr>
          <w:rFonts w:ascii="宋体" w:eastAsia="宋体" w:hAnsi="宋体" w:cs="Times New Roman" w:hint="eastAsia"/>
          <w:b/>
          <w:sz w:val="24"/>
          <w:szCs w:val="24"/>
        </w:rPr>
        <w:t>药学知识</w:t>
      </w:r>
      <w:r w:rsidRPr="00531108">
        <w:rPr>
          <w:rFonts w:ascii="宋体" w:eastAsia="宋体" w:hAnsi="宋体" w:cs="Times New Roman"/>
          <w:b/>
          <w:sz w:val="24"/>
          <w:szCs w:val="24"/>
        </w:rPr>
        <w:t>】</w:t>
      </w:r>
    </w:p>
    <w:p w14:paraId="7C96C211" w14:textId="77777777" w:rsidR="00531108" w:rsidRPr="00531108" w:rsidRDefault="00531108" w:rsidP="00D4283B">
      <w:pPr>
        <w:spacing w:line="440" w:lineRule="exact"/>
        <w:ind w:firstLine="418"/>
        <w:rPr>
          <w:rFonts w:ascii="宋体" w:eastAsia="宋体" w:hAnsi="宋体" w:cs="Times New Roman"/>
          <w:b/>
          <w:sz w:val="24"/>
          <w:szCs w:val="24"/>
        </w:rPr>
      </w:pPr>
      <w:r w:rsidRPr="00531108">
        <w:rPr>
          <w:rFonts w:ascii="宋体" w:eastAsia="宋体" w:hAnsi="宋体" w:cs="Times New Roman"/>
          <w:sz w:val="24"/>
          <w:szCs w:val="24"/>
        </w:rPr>
        <w:t>2</w:t>
      </w:r>
      <w:r w:rsidRPr="00531108">
        <w:rPr>
          <w:rFonts w:ascii="宋体" w:eastAsia="宋体" w:hAnsi="宋体" w:cs="Times New Roman" w:hint="eastAsia"/>
          <w:sz w:val="24"/>
          <w:szCs w:val="24"/>
        </w:rPr>
        <w:t xml:space="preserve">. </w:t>
      </w:r>
      <w:r w:rsidRPr="00531108">
        <w:rPr>
          <w:rFonts w:ascii="Times New Roman" w:eastAsia="宋体" w:hAnsi="宋体" w:cs="Times New Roman"/>
          <w:sz w:val="24"/>
          <w:szCs w:val="24"/>
        </w:rPr>
        <w:t>培养</w:t>
      </w:r>
      <w:r w:rsidRPr="00531108">
        <w:rPr>
          <w:rFonts w:ascii="Times New Roman" w:eastAsia="宋体" w:hAnsi="宋体" w:cs="Times New Roman" w:hint="eastAsia"/>
          <w:sz w:val="24"/>
          <w:szCs w:val="24"/>
        </w:rPr>
        <w:t>学生</w:t>
      </w:r>
      <w:r w:rsidRPr="00531108">
        <w:rPr>
          <w:rFonts w:ascii="Times New Roman" w:eastAsia="宋体" w:hAnsi="宋体" w:cs="Times New Roman"/>
          <w:sz w:val="24"/>
          <w:szCs w:val="24"/>
        </w:rPr>
        <w:t>逐步自行学习、掌握、运用新药</w:t>
      </w:r>
      <w:r w:rsidRPr="00531108">
        <w:rPr>
          <w:rFonts w:ascii="Times New Roman" w:eastAsia="宋体" w:hAnsi="宋体" w:cs="Times New Roman" w:hint="eastAsia"/>
          <w:sz w:val="24"/>
          <w:szCs w:val="24"/>
        </w:rPr>
        <w:t>和开发新药</w:t>
      </w:r>
      <w:r w:rsidRPr="00531108">
        <w:rPr>
          <w:rFonts w:ascii="Times New Roman" w:eastAsia="宋体" w:hAnsi="宋体" w:cs="Times New Roman"/>
          <w:sz w:val="24"/>
          <w:szCs w:val="24"/>
        </w:rPr>
        <w:t>的能力</w:t>
      </w:r>
      <w:r w:rsidRPr="00531108">
        <w:rPr>
          <w:rFonts w:ascii="宋体" w:eastAsia="宋体" w:hAnsi="宋体" w:cs="Times New Roman" w:hint="eastAsia"/>
          <w:sz w:val="24"/>
          <w:szCs w:val="24"/>
        </w:rPr>
        <w:t>。</w:t>
      </w:r>
      <w:r w:rsidRPr="00531108">
        <w:rPr>
          <w:rFonts w:ascii="宋体" w:eastAsia="宋体" w:hAnsi="宋体" w:cs="Times New Roman"/>
          <w:b/>
          <w:sz w:val="24"/>
          <w:szCs w:val="24"/>
        </w:rPr>
        <w:t>【毕业要求3</w:t>
      </w:r>
      <w:r w:rsidRPr="00531108">
        <w:rPr>
          <w:rFonts w:ascii="宋体" w:eastAsia="宋体" w:hAnsi="宋体" w:cs="Times New Roman" w:hint="eastAsia"/>
          <w:b/>
          <w:sz w:val="24"/>
          <w:szCs w:val="24"/>
        </w:rPr>
        <w:t>设</w:t>
      </w:r>
      <w:r w:rsidRPr="00531108">
        <w:rPr>
          <w:rFonts w:ascii="宋体" w:eastAsia="宋体" w:hAnsi="宋体" w:cs="Times New Roman" w:hint="eastAsia"/>
          <w:b/>
          <w:sz w:val="24"/>
          <w:szCs w:val="24"/>
        </w:rPr>
        <w:lastRenderedPageBreak/>
        <w:t>计/开发解决方案</w:t>
      </w:r>
      <w:r w:rsidRPr="00531108">
        <w:rPr>
          <w:rFonts w:ascii="宋体" w:eastAsia="宋体" w:hAnsi="宋体" w:cs="Times New Roman"/>
          <w:b/>
          <w:sz w:val="24"/>
          <w:szCs w:val="24"/>
        </w:rPr>
        <w:t>】</w:t>
      </w:r>
    </w:p>
    <w:p w14:paraId="3EA0106B" w14:textId="77777777" w:rsidR="00531108" w:rsidRPr="00531108" w:rsidRDefault="00531108" w:rsidP="00004A27">
      <w:pPr>
        <w:spacing w:beforeLines="50" w:before="156" w:afterLines="50" w:after="156" w:line="440" w:lineRule="exact"/>
        <w:ind w:firstLine="288"/>
        <w:rPr>
          <w:rFonts w:ascii="黑体" w:eastAsia="黑体" w:hAnsi="黑体" w:cs="Times New Roman"/>
          <w:sz w:val="28"/>
          <w:szCs w:val="28"/>
        </w:rPr>
      </w:pPr>
      <w:r w:rsidRPr="00531108">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7"/>
        <w:gridCol w:w="5516"/>
        <w:gridCol w:w="1966"/>
      </w:tblGrid>
      <w:tr w:rsidR="00531108" w:rsidRPr="00531108" w14:paraId="33A7968A" w14:textId="77777777" w:rsidTr="00004A27">
        <w:trPr>
          <w:trHeight w:val="815"/>
          <w:jc w:val="center"/>
        </w:trPr>
        <w:tc>
          <w:tcPr>
            <w:tcW w:w="1687" w:type="dxa"/>
            <w:vAlign w:val="center"/>
          </w:tcPr>
          <w:p w14:paraId="1DA2B7A8" w14:textId="77777777" w:rsidR="00531108" w:rsidRPr="00531108" w:rsidRDefault="00531108" w:rsidP="00531108">
            <w:pPr>
              <w:spacing w:line="440" w:lineRule="exact"/>
              <w:ind w:firstLine="200"/>
              <w:jc w:val="center"/>
              <w:rPr>
                <w:rFonts w:ascii="宋体" w:eastAsia="宋体" w:hAnsi="宋体" w:cs="Times New Roman"/>
                <w:b/>
                <w:sz w:val="24"/>
              </w:rPr>
            </w:pPr>
            <w:bookmarkStart w:id="218" w:name="_Hlk54473892"/>
            <w:r w:rsidRPr="00531108">
              <w:rPr>
                <w:rFonts w:ascii="宋体" w:eastAsia="宋体" w:hAnsi="宋体" w:cs="Times New Roman" w:hint="eastAsia"/>
                <w:b/>
                <w:sz w:val="24"/>
              </w:rPr>
              <w:t>毕业要求</w:t>
            </w:r>
          </w:p>
        </w:tc>
        <w:tc>
          <w:tcPr>
            <w:tcW w:w="5516" w:type="dxa"/>
            <w:vAlign w:val="center"/>
          </w:tcPr>
          <w:p w14:paraId="066C7942" w14:textId="77777777" w:rsidR="00531108" w:rsidRPr="00531108" w:rsidRDefault="00531108" w:rsidP="00531108">
            <w:pPr>
              <w:spacing w:line="440" w:lineRule="exact"/>
              <w:ind w:firstLine="200"/>
              <w:jc w:val="center"/>
              <w:rPr>
                <w:rFonts w:ascii="宋体" w:eastAsia="宋体" w:hAnsi="宋体" w:cs="Times New Roman"/>
                <w:b/>
                <w:sz w:val="24"/>
              </w:rPr>
            </w:pPr>
            <w:r w:rsidRPr="00531108">
              <w:rPr>
                <w:rFonts w:ascii="宋体" w:eastAsia="宋体" w:hAnsi="宋体" w:cs="Times New Roman" w:hint="eastAsia"/>
                <w:b/>
                <w:sz w:val="24"/>
              </w:rPr>
              <w:t>毕业要求指标点</w:t>
            </w:r>
          </w:p>
        </w:tc>
        <w:tc>
          <w:tcPr>
            <w:tcW w:w="1966" w:type="dxa"/>
            <w:vAlign w:val="center"/>
          </w:tcPr>
          <w:p w14:paraId="0A74888F" w14:textId="77777777" w:rsidR="00531108" w:rsidRPr="00531108" w:rsidRDefault="00531108" w:rsidP="00531108">
            <w:pPr>
              <w:spacing w:line="440" w:lineRule="exact"/>
              <w:ind w:firstLine="200"/>
              <w:jc w:val="center"/>
              <w:rPr>
                <w:rFonts w:ascii="宋体" w:eastAsia="宋体" w:hAnsi="宋体" w:cs="Times New Roman"/>
                <w:b/>
                <w:sz w:val="24"/>
              </w:rPr>
            </w:pPr>
            <w:r w:rsidRPr="00531108">
              <w:rPr>
                <w:rFonts w:ascii="宋体" w:eastAsia="宋体" w:hAnsi="宋体" w:cs="Times New Roman" w:hint="eastAsia"/>
                <w:b/>
                <w:sz w:val="24"/>
              </w:rPr>
              <w:t>课程目标</w:t>
            </w:r>
          </w:p>
        </w:tc>
      </w:tr>
      <w:tr w:rsidR="00531108" w:rsidRPr="00531108" w14:paraId="58799542" w14:textId="77777777" w:rsidTr="00004A27">
        <w:trPr>
          <w:jc w:val="center"/>
        </w:trPr>
        <w:tc>
          <w:tcPr>
            <w:tcW w:w="1687" w:type="dxa"/>
            <w:vAlign w:val="center"/>
          </w:tcPr>
          <w:p w14:paraId="3F46F5A3"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sz w:val="24"/>
                <w:szCs w:val="24"/>
              </w:rPr>
              <w:t>1.</w:t>
            </w:r>
            <w:r w:rsidRPr="00531108">
              <w:rPr>
                <w:rFonts w:ascii="宋体" w:eastAsia="宋体" w:hAnsi="宋体" w:cs="Times New Roman" w:hint="eastAsia"/>
                <w:sz w:val="24"/>
                <w:szCs w:val="24"/>
              </w:rPr>
              <w:t>研究</w:t>
            </w:r>
          </w:p>
        </w:tc>
        <w:tc>
          <w:tcPr>
            <w:tcW w:w="5516" w:type="dxa"/>
            <w:vAlign w:val="center"/>
          </w:tcPr>
          <w:p w14:paraId="204A4F53" w14:textId="77777777" w:rsidR="00531108" w:rsidRPr="00531108" w:rsidRDefault="00531108" w:rsidP="00531108">
            <w:pPr>
              <w:topLinePunct/>
              <w:adjustRightInd w:val="0"/>
              <w:snapToGrid w:val="0"/>
              <w:spacing w:line="400" w:lineRule="exact"/>
              <w:ind w:firstLine="200"/>
              <w:jc w:val="left"/>
              <w:textAlignment w:val="center"/>
              <w:rPr>
                <w:rFonts w:ascii="等线" w:eastAsia="等线" w:hAnsi="等线" w:cs="Times New Roman"/>
                <w:sz w:val="24"/>
              </w:rPr>
            </w:pPr>
            <w:r w:rsidRPr="00531108">
              <w:rPr>
                <w:rFonts w:ascii="Times New Roman" w:eastAsia="宋体" w:hAnsi="Times New Roman" w:cs="Times New Roman"/>
                <w:color w:val="000000"/>
                <w:spacing w:val="-1"/>
                <w:sz w:val="24"/>
                <w:szCs w:val="24"/>
              </w:rPr>
              <w:t>1.3</w:t>
            </w:r>
            <w:r w:rsidRPr="00531108">
              <w:rPr>
                <w:rFonts w:ascii="Times New Roman" w:eastAsia="宋体" w:hAnsi="Times New Roman" w:cs="Times New Roman" w:hint="eastAsia"/>
                <w:szCs w:val="24"/>
              </w:rPr>
              <w:t>掌握药物分析、中药分析、体内药物分析、</w:t>
            </w:r>
            <w:r w:rsidRPr="00531108">
              <w:rPr>
                <w:rFonts w:ascii="Times New Roman" w:eastAsia="宋体" w:hAnsi="Times New Roman" w:cs="宋体" w:hint="eastAsia"/>
                <w:szCs w:val="24"/>
              </w:rPr>
              <w:t>药剂学、药理学和药物化学</w:t>
            </w:r>
            <w:r w:rsidRPr="00531108">
              <w:rPr>
                <w:rFonts w:ascii="Times New Roman" w:eastAsia="宋体" w:hAnsi="Times New Roman" w:cs="Times New Roman" w:hint="eastAsia"/>
                <w:szCs w:val="24"/>
              </w:rPr>
              <w:t>等药学专业理论知识、科学研究方法和实验技能</w:t>
            </w:r>
            <w:r w:rsidRPr="00531108">
              <w:rPr>
                <w:rFonts w:ascii="宋体" w:eastAsia="宋体" w:hAnsi="宋体" w:cs="Times New Roman"/>
                <w:sz w:val="24"/>
                <w:szCs w:val="24"/>
              </w:rPr>
              <w:t>(H)</w:t>
            </w:r>
          </w:p>
        </w:tc>
        <w:tc>
          <w:tcPr>
            <w:tcW w:w="1966" w:type="dxa"/>
            <w:vAlign w:val="center"/>
          </w:tcPr>
          <w:p w14:paraId="5DD1E636" w14:textId="77777777" w:rsidR="00531108" w:rsidRPr="00531108" w:rsidRDefault="00531108" w:rsidP="00531108">
            <w:pPr>
              <w:spacing w:line="440" w:lineRule="exact"/>
              <w:ind w:firstLine="200"/>
              <w:jc w:val="center"/>
              <w:rPr>
                <w:rFonts w:ascii="宋体" w:eastAsia="等线" w:hAnsi="宋体" w:cs="Times New Roman"/>
                <w:sz w:val="24"/>
              </w:rPr>
            </w:pPr>
            <w:r w:rsidRPr="00531108">
              <w:rPr>
                <w:rFonts w:ascii="宋体" w:eastAsia="宋体" w:hAnsi="宋体" w:cs="Times New Roman" w:hint="eastAsia"/>
                <w:sz w:val="24"/>
                <w:szCs w:val="24"/>
              </w:rPr>
              <w:t>课程目标1</w:t>
            </w:r>
          </w:p>
        </w:tc>
      </w:tr>
      <w:tr w:rsidR="00531108" w:rsidRPr="00531108" w14:paraId="67C24098" w14:textId="77777777" w:rsidTr="00004A27">
        <w:trPr>
          <w:jc w:val="center"/>
        </w:trPr>
        <w:tc>
          <w:tcPr>
            <w:tcW w:w="1687" w:type="dxa"/>
            <w:vAlign w:val="center"/>
          </w:tcPr>
          <w:p w14:paraId="4B5FF78B"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sz w:val="24"/>
                <w:szCs w:val="24"/>
              </w:rPr>
              <w:t>3</w:t>
            </w:r>
            <w:r w:rsidRPr="00531108">
              <w:rPr>
                <w:rFonts w:ascii="宋体" w:eastAsia="宋体" w:hAnsi="宋体" w:cs="Times New Roman" w:hint="eastAsia"/>
                <w:sz w:val="24"/>
                <w:szCs w:val="24"/>
              </w:rPr>
              <w:t>.设计/开发解决方案</w:t>
            </w:r>
          </w:p>
        </w:tc>
        <w:tc>
          <w:tcPr>
            <w:tcW w:w="5516" w:type="dxa"/>
            <w:vAlign w:val="center"/>
          </w:tcPr>
          <w:p w14:paraId="3BA85EEC" w14:textId="77777777" w:rsidR="00531108" w:rsidRPr="00531108" w:rsidRDefault="00531108" w:rsidP="00531108">
            <w:pPr>
              <w:spacing w:line="440" w:lineRule="exact"/>
              <w:ind w:firstLine="200"/>
              <w:jc w:val="left"/>
              <w:rPr>
                <w:rFonts w:ascii="等线" w:eastAsia="等线" w:hAnsi="等线" w:cs="Times New Roman"/>
                <w:sz w:val="24"/>
              </w:rPr>
            </w:pPr>
            <w:r w:rsidRPr="00531108">
              <w:rPr>
                <w:rFonts w:ascii="Times New Roman" w:eastAsia="宋体" w:hAnsi="Times New Roman" w:cs="Times New Roman"/>
                <w:color w:val="000000"/>
                <w:spacing w:val="-1"/>
                <w:sz w:val="24"/>
                <w:szCs w:val="24"/>
              </w:rPr>
              <w:t>3.2</w:t>
            </w:r>
            <w:r w:rsidRPr="00531108">
              <w:rPr>
                <w:rFonts w:ascii="Times New Roman" w:eastAsia="宋体" w:hAnsi="Times New Roman" w:cs="Times New Roman" w:hint="eastAsia"/>
                <w:szCs w:val="24"/>
              </w:rPr>
              <w:t>具有较多的实践经验，具有较好的独立设计实验、动手实践、处理结果、撰写论文的能力</w:t>
            </w:r>
            <w:r w:rsidRPr="00531108">
              <w:rPr>
                <w:rFonts w:ascii="宋体" w:eastAsia="宋体" w:hAnsi="宋体" w:cs="Times New Roman"/>
                <w:sz w:val="24"/>
                <w:szCs w:val="24"/>
              </w:rPr>
              <w:t>(M)</w:t>
            </w:r>
          </w:p>
        </w:tc>
        <w:tc>
          <w:tcPr>
            <w:tcW w:w="1966" w:type="dxa"/>
            <w:vAlign w:val="center"/>
          </w:tcPr>
          <w:p w14:paraId="454E4BE4" w14:textId="77777777" w:rsidR="00531108" w:rsidRPr="00531108" w:rsidRDefault="00531108" w:rsidP="00531108">
            <w:pPr>
              <w:spacing w:line="440" w:lineRule="exact"/>
              <w:ind w:firstLine="200"/>
              <w:jc w:val="center"/>
              <w:rPr>
                <w:rFonts w:ascii="宋体" w:eastAsia="等线" w:hAnsi="宋体" w:cs="Times New Roman"/>
                <w:sz w:val="24"/>
              </w:rPr>
            </w:pPr>
            <w:r w:rsidRPr="00531108">
              <w:rPr>
                <w:rFonts w:ascii="宋体" w:eastAsia="宋体" w:hAnsi="宋体" w:cs="Times New Roman" w:hint="eastAsia"/>
                <w:sz w:val="24"/>
                <w:szCs w:val="24"/>
              </w:rPr>
              <w:t>课程目标2</w:t>
            </w:r>
          </w:p>
        </w:tc>
      </w:tr>
      <w:bookmarkEnd w:id="218"/>
    </w:tbl>
    <w:p w14:paraId="2234EE19" w14:textId="77777777" w:rsidR="00531108" w:rsidRPr="00531108" w:rsidRDefault="00531108" w:rsidP="00531108">
      <w:pPr>
        <w:ind w:firstLine="200"/>
        <w:rPr>
          <w:rFonts w:ascii="Times New Roman" w:eastAsia="宋体" w:hAnsi="Times New Roman" w:cs="Times New Roman"/>
          <w:szCs w:val="24"/>
        </w:rPr>
      </w:pPr>
    </w:p>
    <w:p w14:paraId="639EF79E" w14:textId="77777777" w:rsidR="00531108" w:rsidRPr="00531108" w:rsidRDefault="00531108" w:rsidP="00D4283B">
      <w:pPr>
        <w:spacing w:beforeLines="50" w:before="156" w:afterLines="50" w:after="156" w:line="440" w:lineRule="exact"/>
        <w:ind w:firstLine="418"/>
        <w:rPr>
          <w:rFonts w:ascii="黑体" w:eastAsia="黑体" w:hAnsi="黑体" w:cs="Times New Roman"/>
          <w:sz w:val="28"/>
          <w:szCs w:val="28"/>
        </w:rPr>
      </w:pPr>
      <w:r w:rsidRPr="00531108">
        <w:rPr>
          <w:rFonts w:ascii="黑体" w:eastAsia="黑体" w:hAnsi="黑体" w:cs="Times New Roman" w:hint="eastAsia"/>
          <w:sz w:val="28"/>
          <w:szCs w:val="28"/>
        </w:rPr>
        <w:t>三、课程学习内容及与课程学习目标的对应关系</w:t>
      </w:r>
    </w:p>
    <w:p w14:paraId="648E4DA0" w14:textId="77777777" w:rsidR="00531108" w:rsidRPr="00531108" w:rsidRDefault="00531108" w:rsidP="00D4283B">
      <w:pPr>
        <w:spacing w:beforeLines="50" w:before="156" w:afterLines="50" w:after="156" w:line="440" w:lineRule="exact"/>
        <w:ind w:firstLine="418"/>
        <w:rPr>
          <w:rFonts w:ascii="黑体" w:eastAsia="黑体" w:hAnsi="黑体" w:cs="Times New Roman"/>
          <w:sz w:val="28"/>
          <w:szCs w:val="28"/>
        </w:rPr>
      </w:pPr>
      <w:r w:rsidRPr="00531108">
        <w:rPr>
          <w:rFonts w:ascii="黑体" w:eastAsia="黑体" w:hAnsi="黑体" w:cs="Times New Roman" w:hint="eastAsia"/>
          <w:sz w:val="28"/>
          <w:szCs w:val="28"/>
        </w:rPr>
        <w:t>（一）课程学习内容</w:t>
      </w:r>
    </w:p>
    <w:p w14:paraId="4244DC2D" w14:textId="77777777" w:rsidR="00531108" w:rsidRPr="00531108" w:rsidRDefault="00531108" w:rsidP="00531108">
      <w:pPr>
        <w:spacing w:beforeLines="50" w:before="156" w:afterLines="50" w:after="156" w:line="440" w:lineRule="exact"/>
        <w:ind w:firstLine="200"/>
        <w:jc w:val="center"/>
        <w:rPr>
          <w:rFonts w:ascii="黑体" w:eastAsia="黑体" w:hAnsi="黑体" w:cs="Times New Roman"/>
          <w:sz w:val="28"/>
          <w:szCs w:val="28"/>
        </w:rPr>
      </w:pPr>
      <w:bookmarkStart w:id="219" w:name="_Hlk54473994"/>
      <w:r w:rsidRPr="00531108">
        <w:rPr>
          <w:rFonts w:ascii="黑体" w:eastAsia="黑体" w:hAnsi="黑体" w:cs="Times New Roman" w:hint="eastAsia"/>
          <w:sz w:val="28"/>
          <w:szCs w:val="28"/>
        </w:rPr>
        <w:t>第一章  绪言</w:t>
      </w:r>
    </w:p>
    <w:bookmarkEnd w:id="219"/>
    <w:p w14:paraId="66BF7726"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p>
    <w:p w14:paraId="5A4ACD9C" w14:textId="77777777" w:rsidR="00531108" w:rsidRPr="00531108" w:rsidRDefault="00531108" w:rsidP="00D4283B">
      <w:pPr>
        <w:spacing w:line="440" w:lineRule="exact"/>
        <w:ind w:firstLineChars="200" w:firstLine="480"/>
        <w:rPr>
          <w:rFonts w:ascii="宋体" w:eastAsia="宋体" w:hAnsi="宋体" w:cs="Times New Roman"/>
          <w:sz w:val="24"/>
          <w:szCs w:val="24"/>
        </w:rPr>
      </w:pPr>
      <w:bookmarkStart w:id="220" w:name="_Hlk54474011"/>
      <w:r w:rsidRPr="00531108">
        <w:rPr>
          <w:rFonts w:ascii="宋体" w:eastAsia="宋体" w:hAnsi="宋体" w:cs="Times New Roman" w:hint="eastAsia"/>
          <w:sz w:val="24"/>
          <w:szCs w:val="24"/>
        </w:rPr>
        <w:t>1</w:t>
      </w:r>
      <w:r w:rsidRPr="00531108">
        <w:rPr>
          <w:rFonts w:ascii="宋体" w:eastAsia="宋体" w:hAnsi="宋体" w:cs="Times New Roman"/>
          <w:sz w:val="24"/>
          <w:szCs w:val="24"/>
        </w:rPr>
        <w:t>.</w:t>
      </w:r>
      <w:r w:rsidRPr="00531108">
        <w:rPr>
          <w:rFonts w:ascii="宋体" w:eastAsia="宋体" w:hAnsi="宋体" w:cs="宋体" w:hint="eastAsia"/>
          <w:sz w:val="24"/>
          <w:szCs w:val="24"/>
        </w:rPr>
        <w:t xml:space="preserve"> 掌握药理学、药效动力学、药代动力学的概念</w:t>
      </w:r>
      <w:r w:rsidRPr="00531108">
        <w:rPr>
          <w:rFonts w:ascii="宋体" w:eastAsia="宋体" w:hAnsi="宋体" w:cs="Times New Roman"/>
          <w:sz w:val="24"/>
          <w:szCs w:val="24"/>
        </w:rPr>
        <w:t xml:space="preserve"> </w:t>
      </w:r>
    </w:p>
    <w:p w14:paraId="02BECD97"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了解药理学的发展简史及药物研究</w:t>
      </w:r>
    </w:p>
    <w:bookmarkEnd w:id="220"/>
    <w:p w14:paraId="6CE1CD41"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2D8C27AF"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药理学的研究内容及学科任务</w:t>
      </w:r>
    </w:p>
    <w:p w14:paraId="74DB32B9"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药理学发展简史、药理学与药物研究</w:t>
      </w:r>
    </w:p>
    <w:p w14:paraId="1835CE5B"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633A494E"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宋体" w:hint="eastAsia"/>
          <w:sz w:val="24"/>
          <w:szCs w:val="24"/>
        </w:rPr>
        <w:t>1.</w:t>
      </w:r>
      <w:r w:rsidRPr="00531108">
        <w:rPr>
          <w:rFonts w:ascii="宋体" w:eastAsia="宋体" w:hAnsi="宋体" w:cs="宋体"/>
          <w:sz w:val="24"/>
          <w:szCs w:val="24"/>
        </w:rPr>
        <w:t xml:space="preserve"> </w:t>
      </w:r>
      <w:r w:rsidRPr="00531108">
        <w:rPr>
          <w:rFonts w:ascii="宋体" w:eastAsia="宋体" w:hAnsi="宋体" w:cs="宋体" w:hint="eastAsia"/>
          <w:sz w:val="24"/>
          <w:szCs w:val="24"/>
        </w:rPr>
        <w:t>药理学、药效动力学、药代动力学的概念</w:t>
      </w:r>
      <w:r w:rsidRPr="00531108">
        <w:rPr>
          <w:rFonts w:ascii="宋体" w:eastAsia="宋体" w:hAnsi="宋体" w:cs="Times New Roman"/>
          <w:sz w:val="24"/>
          <w:szCs w:val="24"/>
        </w:rPr>
        <w:t xml:space="preserve"> </w:t>
      </w:r>
    </w:p>
    <w:p w14:paraId="4E1B23C8"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02387F75" w14:textId="77777777" w:rsidR="00531108" w:rsidRPr="00531108" w:rsidRDefault="00531108" w:rsidP="00D4283B">
      <w:pPr>
        <w:spacing w:line="440" w:lineRule="exact"/>
        <w:ind w:firstLineChars="200" w:firstLine="480"/>
        <w:rPr>
          <w:rFonts w:ascii="宋体" w:eastAsia="宋体" w:hAnsi="宋体" w:cs="Times New Roman"/>
          <w:b/>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宋体" w:hint="eastAsia"/>
          <w:sz w:val="24"/>
          <w:szCs w:val="24"/>
        </w:rPr>
        <w:t>新药的开发与研究</w:t>
      </w:r>
    </w:p>
    <w:p w14:paraId="4C7E7023"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bCs/>
          <w:sz w:val="24"/>
          <w:szCs w:val="24"/>
        </w:rPr>
        <w:t>【教学方法】</w:t>
      </w:r>
    </w:p>
    <w:p w14:paraId="29A0D73E"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1A6E3EEA"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1270653C"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 xml:space="preserve">1. </w:t>
      </w:r>
      <w:r w:rsidRPr="00531108">
        <w:rPr>
          <w:rFonts w:ascii="宋体" w:eastAsia="宋体" w:hAnsi="宋体" w:cs="宋体" w:hint="eastAsia"/>
          <w:sz w:val="24"/>
          <w:szCs w:val="24"/>
        </w:rPr>
        <w:t>药理学、药效动力学、药代动力学的概念</w:t>
      </w:r>
    </w:p>
    <w:p w14:paraId="7CE87A8C" w14:textId="77777777" w:rsidR="00531108" w:rsidRPr="00531108" w:rsidRDefault="00531108" w:rsidP="00531108">
      <w:pPr>
        <w:spacing w:beforeLines="50" w:before="156" w:afterLines="50" w:after="156" w:line="440" w:lineRule="exact"/>
        <w:ind w:firstLine="200"/>
        <w:jc w:val="center"/>
        <w:rPr>
          <w:rFonts w:ascii="黑体" w:eastAsia="黑体" w:hAnsi="黑体" w:cs="Times New Roman"/>
          <w:sz w:val="28"/>
          <w:szCs w:val="28"/>
        </w:rPr>
      </w:pPr>
      <w:r w:rsidRPr="00531108">
        <w:rPr>
          <w:rFonts w:ascii="黑体" w:eastAsia="黑体" w:hAnsi="黑体" w:cs="Times New Roman" w:hint="eastAsia"/>
          <w:sz w:val="28"/>
          <w:szCs w:val="28"/>
        </w:rPr>
        <w:t>第二章  药物代谢动力学</w:t>
      </w:r>
    </w:p>
    <w:p w14:paraId="7DB23F32"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lastRenderedPageBreak/>
        <w:t>【学习目标】</w:t>
      </w:r>
    </w:p>
    <w:p w14:paraId="3A2F688F"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掌握主动转运与简单扩散；膜两侧pH对药物跨膜转运的影响；首过效应；肝药酶及其诱导剂、酶抑制剂；肝肠循环；一级及零级动力学过程及特点；药动学参数</w:t>
      </w:r>
    </w:p>
    <w:p w14:paraId="47CB187B"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熟悉房室模型、多次定时定量重复给药的动力学及其计算；药物的吸收、分布的概念及其影响因素</w:t>
      </w:r>
      <w:r w:rsidRPr="00531108">
        <w:rPr>
          <w:rFonts w:ascii="宋体" w:eastAsia="宋体" w:hAnsi="宋体" w:cs="Times New Roman"/>
          <w:sz w:val="24"/>
          <w:szCs w:val="24"/>
        </w:rPr>
        <w:t xml:space="preserve"> </w:t>
      </w:r>
    </w:p>
    <w:p w14:paraId="5576FB0D"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w:t>
      </w:r>
      <w:r w:rsidRPr="00531108">
        <w:rPr>
          <w:rFonts w:ascii="宋体" w:eastAsia="宋体" w:hAnsi="宋体" w:cs="Times New Roman"/>
          <w:sz w:val="24"/>
          <w:szCs w:val="24"/>
        </w:rPr>
        <w:t>.</w:t>
      </w:r>
      <w:r w:rsidRPr="00531108">
        <w:rPr>
          <w:rFonts w:ascii="宋体" w:eastAsia="宋体" w:hAnsi="宋体" w:cs="Times New Roman" w:hint="eastAsia"/>
          <w:sz w:val="24"/>
          <w:szCs w:val="24"/>
        </w:rPr>
        <w:t xml:space="preserve"> 了解药物体内生物转化（代谢）的概念及主要方式；药物排泄的概念和排泄的主要途径</w:t>
      </w:r>
    </w:p>
    <w:p w14:paraId="508A0FCB"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5B8CB211"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药物的体内过程</w:t>
      </w:r>
    </w:p>
    <w:p w14:paraId="3F980F6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t>2</w:t>
      </w:r>
      <w:r w:rsidRPr="00531108">
        <w:rPr>
          <w:rFonts w:ascii="宋体" w:eastAsia="宋体" w:hAnsi="宋体" w:cs="Times New Roman" w:hint="eastAsia"/>
          <w:sz w:val="24"/>
          <w:szCs w:val="24"/>
        </w:rPr>
        <w:t>. 药物的速率过程</w:t>
      </w:r>
    </w:p>
    <w:p w14:paraId="47943C29"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1CD4C4E4"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药物体内过程：主动转运与简单扩散；膜两侧pH对药物跨膜转运的影响；首过效应；肝药酶及其诱导剂、酶抑制剂；肝肠循环</w:t>
      </w:r>
    </w:p>
    <w:p w14:paraId="29922A0F"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药物的速率过程：一级及零级动力学过程及特点；药动学参数</w:t>
      </w:r>
    </w:p>
    <w:p w14:paraId="67644302"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0C6BA176"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1.连续多次给药的血药浓度变化；经5个t1/2血药浓度达稳态坪值；首次负荷剂量</w:t>
      </w:r>
    </w:p>
    <w:p w14:paraId="181DD767"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bCs/>
          <w:sz w:val="24"/>
          <w:szCs w:val="24"/>
        </w:rPr>
        <w:t>【教学方法】</w:t>
      </w:r>
    </w:p>
    <w:p w14:paraId="4BDD5259"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04AD0890"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7D2E22D2" w14:textId="75444148" w:rsidR="00531108" w:rsidRPr="00531108" w:rsidRDefault="00D225FF" w:rsidP="00D225FF">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sidR="00531108" w:rsidRPr="00531108">
        <w:rPr>
          <w:rFonts w:ascii="宋体" w:eastAsia="宋体" w:hAnsi="宋体" w:cs="Times New Roman" w:hint="eastAsia"/>
          <w:sz w:val="24"/>
          <w:szCs w:val="24"/>
        </w:rPr>
        <w:t>简述主动转运与简单扩散的特点</w:t>
      </w:r>
    </w:p>
    <w:p w14:paraId="6DFAE06D" w14:textId="78079D83" w:rsidR="00531108" w:rsidRPr="00531108" w:rsidRDefault="00D225FF" w:rsidP="00D225FF">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sidR="00531108" w:rsidRPr="00531108">
        <w:rPr>
          <w:rFonts w:ascii="宋体" w:eastAsia="宋体" w:hAnsi="宋体" w:cs="Times New Roman" w:hint="eastAsia"/>
          <w:sz w:val="24"/>
          <w:szCs w:val="24"/>
        </w:rPr>
        <w:t>简述一级及零级动力学过程特点</w:t>
      </w:r>
    </w:p>
    <w:p w14:paraId="4C80A577" w14:textId="77777777" w:rsidR="00531108" w:rsidRPr="00531108" w:rsidRDefault="00531108" w:rsidP="00531108">
      <w:pPr>
        <w:spacing w:beforeLines="50" w:before="156" w:afterLines="50" w:after="156" w:line="440" w:lineRule="exact"/>
        <w:ind w:firstLine="200"/>
        <w:jc w:val="center"/>
        <w:rPr>
          <w:rFonts w:ascii="黑体" w:eastAsia="黑体" w:hAnsi="黑体" w:cs="Times New Roman"/>
          <w:sz w:val="28"/>
          <w:szCs w:val="28"/>
        </w:rPr>
      </w:pPr>
      <w:r w:rsidRPr="00531108">
        <w:rPr>
          <w:rFonts w:ascii="黑体" w:eastAsia="黑体" w:hAnsi="黑体" w:cs="Times New Roman" w:hint="eastAsia"/>
          <w:sz w:val="28"/>
          <w:szCs w:val="28"/>
        </w:rPr>
        <w:t xml:space="preserve">第三章  受体理论与药物效应动力学 </w:t>
      </w:r>
    </w:p>
    <w:p w14:paraId="7E58A769"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p>
    <w:p w14:paraId="2A1B578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掌握药物的基本作用的相关概念；药物的量效关系及主要术语；</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竞争性拮抗剂与非竞争性拮抗剂量</w:t>
      </w:r>
      <w:proofErr w:type="gramStart"/>
      <w:r w:rsidRPr="00531108">
        <w:rPr>
          <w:rFonts w:ascii="宋体" w:eastAsia="宋体" w:hAnsi="宋体" w:cs="Times New Roman" w:hint="eastAsia"/>
          <w:sz w:val="24"/>
          <w:szCs w:val="24"/>
        </w:rPr>
        <w:t>效</w:t>
      </w:r>
      <w:proofErr w:type="gramEnd"/>
      <w:r w:rsidRPr="00531108">
        <w:rPr>
          <w:rFonts w:ascii="宋体" w:eastAsia="宋体" w:hAnsi="宋体" w:cs="Times New Roman" w:hint="eastAsia"/>
          <w:sz w:val="24"/>
          <w:szCs w:val="24"/>
        </w:rPr>
        <w:t>曲线特点。</w:t>
      </w:r>
    </w:p>
    <w:p w14:paraId="75FA0E4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熟悉受体的概念、特性及调节</w:t>
      </w:r>
    </w:p>
    <w:p w14:paraId="15031FD3"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w:t>
      </w:r>
      <w:r w:rsidRPr="00531108">
        <w:rPr>
          <w:rFonts w:ascii="宋体" w:eastAsia="宋体" w:hAnsi="宋体" w:cs="Times New Roman"/>
          <w:sz w:val="24"/>
          <w:szCs w:val="24"/>
        </w:rPr>
        <w:t>.</w:t>
      </w:r>
      <w:r w:rsidRPr="00531108">
        <w:rPr>
          <w:rFonts w:ascii="宋体" w:eastAsia="宋体" w:hAnsi="宋体" w:cs="Times New Roman" w:hint="eastAsia"/>
          <w:sz w:val="24"/>
          <w:szCs w:val="24"/>
        </w:rPr>
        <w:t xml:space="preserve"> 了解受体的类型及药物与受体相互作用的信号转导</w:t>
      </w:r>
    </w:p>
    <w:p w14:paraId="33E8ADB5"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005CBA3F"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药物的基本作用</w:t>
      </w:r>
      <w:r w:rsidRPr="00531108">
        <w:rPr>
          <w:rFonts w:ascii="宋体" w:eastAsia="宋体" w:hAnsi="宋体" w:cs="Times New Roman"/>
          <w:sz w:val="24"/>
          <w:szCs w:val="24"/>
        </w:rPr>
        <w:t xml:space="preserve"> </w:t>
      </w:r>
    </w:p>
    <w:p w14:paraId="0061ACED"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lastRenderedPageBreak/>
        <w:t>2. 药物的受体理论</w:t>
      </w:r>
      <w:r w:rsidRPr="00531108">
        <w:rPr>
          <w:rFonts w:ascii="宋体" w:eastAsia="宋体" w:hAnsi="宋体" w:cs="Times New Roman"/>
          <w:sz w:val="24"/>
          <w:szCs w:val="24"/>
        </w:rPr>
        <w:t xml:space="preserve"> </w:t>
      </w:r>
    </w:p>
    <w:p w14:paraId="3E33AFC1"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 药物的</w:t>
      </w:r>
      <w:proofErr w:type="gramStart"/>
      <w:r w:rsidRPr="00531108">
        <w:rPr>
          <w:rFonts w:ascii="宋体" w:eastAsia="宋体" w:hAnsi="宋体" w:cs="Times New Roman" w:hint="eastAsia"/>
          <w:sz w:val="24"/>
          <w:szCs w:val="24"/>
        </w:rPr>
        <w:t>构效与</w:t>
      </w:r>
      <w:proofErr w:type="gramEnd"/>
      <w:r w:rsidRPr="00531108">
        <w:rPr>
          <w:rFonts w:ascii="宋体" w:eastAsia="宋体" w:hAnsi="宋体" w:cs="Times New Roman" w:hint="eastAsia"/>
          <w:sz w:val="24"/>
          <w:szCs w:val="24"/>
        </w:rPr>
        <w:t>量效关系</w:t>
      </w:r>
    </w:p>
    <w:p w14:paraId="5FEA550B"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3BCD6854" w14:textId="77777777" w:rsidR="00531108" w:rsidRPr="00531108" w:rsidRDefault="00531108">
      <w:pPr>
        <w:numPr>
          <w:ilvl w:val="0"/>
          <w:numId w:val="227"/>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药物的基本作用的相关概念</w:t>
      </w:r>
    </w:p>
    <w:p w14:paraId="5228367B" w14:textId="77777777" w:rsidR="00531108" w:rsidRPr="00531108" w:rsidRDefault="00531108">
      <w:pPr>
        <w:numPr>
          <w:ilvl w:val="0"/>
          <w:numId w:val="227"/>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药物的量效关系及主要术语</w:t>
      </w:r>
    </w:p>
    <w:p w14:paraId="6BBEEFF6" w14:textId="77777777" w:rsidR="00531108" w:rsidRPr="00531108" w:rsidRDefault="00531108">
      <w:pPr>
        <w:numPr>
          <w:ilvl w:val="0"/>
          <w:numId w:val="227"/>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竞争性拮抗剂与非竞争性拮抗剂量</w:t>
      </w:r>
      <w:proofErr w:type="gramStart"/>
      <w:r w:rsidRPr="00531108">
        <w:rPr>
          <w:rFonts w:ascii="宋体" w:eastAsia="宋体" w:hAnsi="宋体" w:cs="Times New Roman" w:hint="eastAsia"/>
          <w:sz w:val="24"/>
          <w:szCs w:val="24"/>
        </w:rPr>
        <w:t>效</w:t>
      </w:r>
      <w:proofErr w:type="gramEnd"/>
      <w:r w:rsidRPr="00531108">
        <w:rPr>
          <w:rFonts w:ascii="宋体" w:eastAsia="宋体" w:hAnsi="宋体" w:cs="Times New Roman" w:hint="eastAsia"/>
          <w:sz w:val="24"/>
          <w:szCs w:val="24"/>
        </w:rPr>
        <w:t>曲线特点</w:t>
      </w:r>
    </w:p>
    <w:p w14:paraId="1708A40F"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418A984F"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受体的类型及药物与受体相互作用的信号转导</w:t>
      </w:r>
    </w:p>
    <w:p w14:paraId="7D01E5C3"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bCs/>
          <w:sz w:val="24"/>
          <w:szCs w:val="24"/>
        </w:rPr>
        <w:t>【教学方法】</w:t>
      </w:r>
    </w:p>
    <w:p w14:paraId="4CD86C97"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25CAB559"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t xml:space="preserve">2. </w:t>
      </w:r>
      <w:r w:rsidRPr="00531108">
        <w:rPr>
          <w:rFonts w:ascii="宋体" w:eastAsia="宋体" w:hAnsi="宋体" w:cs="Times New Roman" w:hint="eastAsia"/>
          <w:sz w:val="24"/>
          <w:szCs w:val="24"/>
        </w:rPr>
        <w:t>量效关系，引发的假疫苗事件。</w:t>
      </w:r>
      <w:proofErr w:type="gramStart"/>
      <w:r w:rsidRPr="00531108">
        <w:rPr>
          <w:rFonts w:ascii="宋体" w:eastAsia="宋体" w:hAnsi="宋体" w:cs="Times New Roman" w:hint="eastAsia"/>
          <w:sz w:val="24"/>
          <w:szCs w:val="24"/>
        </w:rPr>
        <w:t>融入思政教育</w:t>
      </w:r>
      <w:proofErr w:type="gramEnd"/>
      <w:r w:rsidRPr="00531108">
        <w:rPr>
          <w:rFonts w:ascii="宋体" w:eastAsia="宋体" w:hAnsi="宋体" w:cs="Times New Roman" w:hint="eastAsia"/>
          <w:sz w:val="24"/>
          <w:szCs w:val="24"/>
        </w:rPr>
        <w:t>：生命至上的人文元素。</w:t>
      </w:r>
    </w:p>
    <w:p w14:paraId="6C9BDEA9"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32B9F69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简述竞争性拮抗剂与非竞争性拮抗剂的量效曲线特点</w:t>
      </w:r>
    </w:p>
    <w:p w14:paraId="23363981" w14:textId="77777777" w:rsidR="00531108" w:rsidRPr="00531108" w:rsidRDefault="00531108" w:rsidP="00531108">
      <w:pPr>
        <w:spacing w:beforeLines="50" w:before="156" w:afterLines="50" w:after="156" w:line="440" w:lineRule="exact"/>
        <w:ind w:firstLine="200"/>
        <w:jc w:val="center"/>
        <w:rPr>
          <w:rFonts w:ascii="黑体" w:eastAsia="黑体" w:hAnsi="黑体" w:cs="Times New Roman"/>
          <w:sz w:val="28"/>
          <w:szCs w:val="28"/>
        </w:rPr>
      </w:pPr>
      <w:r w:rsidRPr="00531108">
        <w:rPr>
          <w:rFonts w:ascii="黑体" w:eastAsia="黑体" w:hAnsi="黑体" w:cs="Times New Roman" w:hint="eastAsia"/>
          <w:sz w:val="28"/>
          <w:szCs w:val="28"/>
        </w:rPr>
        <w:t>第四章  传出神经系统药理概论</w:t>
      </w:r>
    </w:p>
    <w:p w14:paraId="7248CF3E"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p>
    <w:p w14:paraId="6E43855E"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掌握突触概念，传出神经系统递质和受体分类及其生理功能</w:t>
      </w:r>
    </w:p>
    <w:p w14:paraId="2F604D21"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熟悉乙酰胆碱和去甲肾上腺素的生物合成、转运、贮存、释放和代谢</w:t>
      </w:r>
    </w:p>
    <w:p w14:paraId="1C7BA6B5"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了解传出神经系统解剖分类</w:t>
      </w:r>
    </w:p>
    <w:p w14:paraId="4EB73EAD"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66EC5347" w14:textId="77777777" w:rsidR="00531108" w:rsidRPr="00531108" w:rsidRDefault="00531108">
      <w:pPr>
        <w:numPr>
          <w:ilvl w:val="0"/>
          <w:numId w:val="228"/>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传出神经系统的结构与功能</w:t>
      </w:r>
    </w:p>
    <w:p w14:paraId="1343C23B" w14:textId="77777777" w:rsidR="00531108" w:rsidRPr="00531108" w:rsidRDefault="00531108">
      <w:pPr>
        <w:numPr>
          <w:ilvl w:val="0"/>
          <w:numId w:val="228"/>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传出神经系统的递质与受体</w:t>
      </w:r>
    </w:p>
    <w:p w14:paraId="297F1971" w14:textId="77777777" w:rsidR="00531108" w:rsidRPr="00531108" w:rsidRDefault="00531108">
      <w:pPr>
        <w:numPr>
          <w:ilvl w:val="0"/>
          <w:numId w:val="228"/>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作用于传出神经系统的药物</w:t>
      </w:r>
    </w:p>
    <w:p w14:paraId="0BFFCCE2"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6F63C2DB"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突触概念，传出神经系统递质和受体分类及其生理功能</w:t>
      </w:r>
    </w:p>
    <w:p w14:paraId="613733B5"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1DC7932D"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乙酰胆碱和去甲肾上腺素的生物合成、转运、贮存、释放和代谢</w:t>
      </w:r>
    </w:p>
    <w:p w14:paraId="0C65F8D2"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bCs/>
          <w:sz w:val="24"/>
          <w:szCs w:val="24"/>
        </w:rPr>
        <w:t>【教学方法】</w:t>
      </w:r>
    </w:p>
    <w:p w14:paraId="3F07511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16BF30DC"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3FC2164E"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lastRenderedPageBreak/>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简述传出神经系统按递质和受体的分类</w:t>
      </w:r>
    </w:p>
    <w:p w14:paraId="13DE7286" w14:textId="77777777" w:rsidR="00531108" w:rsidRPr="00531108" w:rsidRDefault="00531108" w:rsidP="00531108">
      <w:pPr>
        <w:spacing w:beforeLines="50" w:before="156" w:afterLines="50" w:after="156" w:line="440" w:lineRule="exact"/>
        <w:ind w:firstLine="200"/>
        <w:jc w:val="center"/>
        <w:rPr>
          <w:rFonts w:ascii="黑体" w:eastAsia="黑体" w:hAnsi="黑体" w:cs="Times New Roman"/>
          <w:sz w:val="28"/>
          <w:szCs w:val="28"/>
        </w:rPr>
      </w:pPr>
      <w:r w:rsidRPr="00531108">
        <w:rPr>
          <w:rFonts w:ascii="黑体" w:eastAsia="黑体" w:hAnsi="黑体" w:cs="Times New Roman" w:hint="eastAsia"/>
          <w:sz w:val="28"/>
          <w:szCs w:val="28"/>
        </w:rPr>
        <w:t>第五章  胆碱能受体激动药和阻断药</w:t>
      </w:r>
    </w:p>
    <w:p w14:paraId="57DC3D65"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p>
    <w:p w14:paraId="372C26CE"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掌握毛果芸香碱的药理作用、临床应用；阿托品的药理作用及作用机制、临床应用及禁忌症；新斯的明的药理作用及临床应用；有机磷酸酯类的中毒机制、中毒表现及解救治疗；胆碱酯酶复活药临床应用</w:t>
      </w:r>
    </w:p>
    <w:p w14:paraId="33D981E1"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熟悉乙酰胆碱的药理作用。胆碱酯酶水解乙酰胆碱的过程</w:t>
      </w:r>
    </w:p>
    <w:p w14:paraId="3A5874CC"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 了解胆碱受体激动药的分类及代表药物</w:t>
      </w:r>
    </w:p>
    <w:p w14:paraId="6E858AB3"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1426F801"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M</w:t>
      </w:r>
      <w:r w:rsidRPr="00531108">
        <w:rPr>
          <w:rFonts w:ascii="宋体" w:eastAsia="宋体" w:hAnsi="宋体" w:cs="Times New Roman" w:hint="eastAsia"/>
          <w:sz w:val="24"/>
          <w:szCs w:val="24"/>
        </w:rPr>
        <w:t>胆碱受体激动药和阻断药：毛果芸香碱、阿司匹林</w:t>
      </w:r>
    </w:p>
    <w:p w14:paraId="36050552"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抗胆碱酯酶药：新斯的明</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、有机磷酸酯类</w:t>
      </w:r>
    </w:p>
    <w:p w14:paraId="79A9F526"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t>3</w:t>
      </w:r>
      <w:r w:rsidRPr="00531108">
        <w:rPr>
          <w:rFonts w:ascii="宋体" w:eastAsia="宋体" w:hAnsi="宋体" w:cs="Times New Roman" w:hint="eastAsia"/>
          <w:sz w:val="24"/>
          <w:szCs w:val="24"/>
        </w:rPr>
        <w:t>.</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胆碱酯酶复活药：碘解磷定</w:t>
      </w:r>
    </w:p>
    <w:p w14:paraId="082EB542"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02EC6199"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毛果芸香碱的药理作用、临床应用；阿托品的药理作用及作用机制、临床应用及禁忌症</w:t>
      </w:r>
    </w:p>
    <w:p w14:paraId="4168DC09"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t xml:space="preserve">2. </w:t>
      </w:r>
      <w:r w:rsidRPr="00531108">
        <w:rPr>
          <w:rFonts w:ascii="宋体" w:eastAsia="宋体" w:hAnsi="宋体" w:cs="Times New Roman" w:hint="eastAsia"/>
          <w:sz w:val="24"/>
          <w:szCs w:val="24"/>
        </w:rPr>
        <w:t>新斯的明的药理作用及临床应用；有机磷酸酯类的中毒机制、中毒表现及解救治疗</w:t>
      </w:r>
    </w:p>
    <w:p w14:paraId="6ECE1A9D"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t xml:space="preserve">3. </w:t>
      </w:r>
      <w:r w:rsidRPr="00531108">
        <w:rPr>
          <w:rFonts w:ascii="宋体" w:eastAsia="宋体" w:hAnsi="宋体" w:cs="Times New Roman" w:hint="eastAsia"/>
          <w:sz w:val="24"/>
          <w:szCs w:val="24"/>
        </w:rPr>
        <w:t>胆碱酯酶复活药临床应用</w:t>
      </w:r>
    </w:p>
    <w:p w14:paraId="73DFE59A"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6F784CC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难点毛果芸香碱及阿托品对眼睛的作用机制；胆碱酯酶水解乙酰胆碱的过程</w:t>
      </w:r>
    </w:p>
    <w:p w14:paraId="7526C75B"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6BBAF680"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7E8F83DB"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62C27665"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简述毛果芸香碱对眼睛的药理作用及临床应用</w:t>
      </w:r>
    </w:p>
    <w:p w14:paraId="5944FB0C"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简述阿托品的作用机制及主要临床应用</w:t>
      </w:r>
    </w:p>
    <w:p w14:paraId="465FECF3"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简述有机磷酸酯类中毒机制、表现及解救</w:t>
      </w:r>
    </w:p>
    <w:p w14:paraId="69120E33" w14:textId="77777777" w:rsidR="00531108" w:rsidRPr="00531108" w:rsidRDefault="00531108" w:rsidP="00531108">
      <w:pPr>
        <w:spacing w:beforeLines="50" w:before="156" w:afterLines="50" w:after="156" w:line="440" w:lineRule="exact"/>
        <w:ind w:firstLine="200"/>
        <w:jc w:val="center"/>
        <w:rPr>
          <w:rFonts w:ascii="黑体" w:eastAsia="黑体" w:hAnsi="黑体" w:cs="Times New Roman"/>
          <w:sz w:val="28"/>
          <w:szCs w:val="28"/>
        </w:rPr>
      </w:pPr>
      <w:r w:rsidRPr="00531108">
        <w:rPr>
          <w:rFonts w:ascii="黑体" w:eastAsia="黑体" w:hAnsi="黑体" w:cs="Times New Roman" w:hint="eastAsia"/>
          <w:sz w:val="28"/>
          <w:szCs w:val="28"/>
        </w:rPr>
        <w:t>第六章  作用于肾上腺素受体的药物</w:t>
      </w:r>
    </w:p>
    <w:p w14:paraId="74B7B841"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p>
    <w:p w14:paraId="47248DE0"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掌握肾上腺素受体激动药和阻断药分类、代表药物的药理作用，临床应用和</w:t>
      </w:r>
      <w:r w:rsidRPr="00531108">
        <w:rPr>
          <w:rFonts w:ascii="宋体" w:eastAsia="宋体" w:hAnsi="宋体" w:cs="Times New Roman" w:hint="eastAsia"/>
          <w:sz w:val="24"/>
          <w:szCs w:val="24"/>
        </w:rPr>
        <w:lastRenderedPageBreak/>
        <w:t>不良反应；肾上腺素的翻转作用</w:t>
      </w:r>
    </w:p>
    <w:p w14:paraId="60639261"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熟悉</w:t>
      </w:r>
      <w:proofErr w:type="gramStart"/>
      <w:r w:rsidRPr="00531108">
        <w:rPr>
          <w:rFonts w:ascii="宋体" w:eastAsia="宋体" w:hAnsi="宋体" w:cs="Times New Roman" w:hint="eastAsia"/>
          <w:sz w:val="24"/>
          <w:szCs w:val="24"/>
        </w:rPr>
        <w:t>药物构效关系</w:t>
      </w:r>
      <w:proofErr w:type="gramEnd"/>
      <w:r w:rsidRPr="00531108">
        <w:rPr>
          <w:rFonts w:ascii="宋体" w:eastAsia="宋体" w:hAnsi="宋体" w:cs="Times New Roman" w:hint="eastAsia"/>
          <w:sz w:val="24"/>
          <w:szCs w:val="24"/>
        </w:rPr>
        <w:t>及分类</w:t>
      </w:r>
    </w:p>
    <w:p w14:paraId="66F3826E"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26DFA515"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药物</w:t>
      </w:r>
      <w:proofErr w:type="gramStart"/>
      <w:r w:rsidRPr="00531108">
        <w:rPr>
          <w:rFonts w:ascii="宋体" w:eastAsia="宋体" w:hAnsi="宋体" w:cs="Times New Roman" w:hint="eastAsia"/>
          <w:sz w:val="24"/>
          <w:szCs w:val="24"/>
        </w:rPr>
        <w:t>的构效关系</w:t>
      </w:r>
      <w:proofErr w:type="gramEnd"/>
      <w:r w:rsidRPr="00531108">
        <w:rPr>
          <w:rFonts w:ascii="宋体" w:eastAsia="宋体" w:hAnsi="宋体" w:cs="Times New Roman" w:hint="eastAsia"/>
          <w:sz w:val="24"/>
          <w:szCs w:val="24"/>
        </w:rPr>
        <w:t>及分类</w:t>
      </w:r>
    </w:p>
    <w:p w14:paraId="6CCCD86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肾上腺素受体激动药：肾上腺素、去甲肾上腺素、异丙肾上腺素</w:t>
      </w:r>
    </w:p>
    <w:p w14:paraId="099746C8"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 肾上腺素受体激动药：</w:t>
      </w:r>
      <w:proofErr w:type="gramStart"/>
      <w:r w:rsidRPr="00531108">
        <w:rPr>
          <w:rFonts w:ascii="宋体" w:eastAsia="宋体" w:hAnsi="宋体" w:cs="Times New Roman" w:hint="eastAsia"/>
          <w:sz w:val="24"/>
          <w:szCs w:val="24"/>
        </w:rPr>
        <w:t>酚</w:t>
      </w:r>
      <w:proofErr w:type="gramEnd"/>
      <w:r w:rsidRPr="00531108">
        <w:rPr>
          <w:rFonts w:ascii="宋体" w:eastAsia="宋体" w:hAnsi="宋体" w:cs="Times New Roman" w:hint="eastAsia"/>
          <w:sz w:val="24"/>
          <w:szCs w:val="24"/>
        </w:rPr>
        <w:t>妥拉明、普</w:t>
      </w:r>
      <w:proofErr w:type="gramStart"/>
      <w:r w:rsidRPr="00531108">
        <w:rPr>
          <w:rFonts w:ascii="宋体" w:eastAsia="宋体" w:hAnsi="宋体" w:cs="Times New Roman" w:hint="eastAsia"/>
          <w:sz w:val="24"/>
          <w:szCs w:val="24"/>
        </w:rPr>
        <w:t>萘洛</w:t>
      </w:r>
      <w:proofErr w:type="gramEnd"/>
      <w:r w:rsidRPr="00531108">
        <w:rPr>
          <w:rFonts w:ascii="宋体" w:eastAsia="宋体" w:hAnsi="宋体" w:cs="Times New Roman" w:hint="eastAsia"/>
          <w:sz w:val="24"/>
          <w:szCs w:val="24"/>
        </w:rPr>
        <w:t>尔</w:t>
      </w:r>
    </w:p>
    <w:p w14:paraId="0B832C45"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4245FCB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肾上腺素受体激动药和阻断药分类、代表药物药理作用，临床应用和不良反应</w:t>
      </w:r>
    </w:p>
    <w:p w14:paraId="11FD451D"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3C511F56"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肾上腺素的翻转作用、药物</w:t>
      </w:r>
      <w:proofErr w:type="gramStart"/>
      <w:r w:rsidRPr="00531108">
        <w:rPr>
          <w:rFonts w:ascii="宋体" w:eastAsia="宋体" w:hAnsi="宋体" w:cs="Times New Roman" w:hint="eastAsia"/>
          <w:sz w:val="24"/>
          <w:szCs w:val="24"/>
        </w:rPr>
        <w:t>的构效关系</w:t>
      </w:r>
      <w:proofErr w:type="gramEnd"/>
      <w:r w:rsidRPr="00531108">
        <w:rPr>
          <w:rFonts w:ascii="宋体" w:eastAsia="宋体" w:hAnsi="宋体" w:cs="Times New Roman" w:hint="eastAsia"/>
          <w:sz w:val="24"/>
          <w:szCs w:val="24"/>
        </w:rPr>
        <w:t>及分类</w:t>
      </w:r>
    </w:p>
    <w:p w14:paraId="0F2BE9C2"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22B35DD8"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5623DAF2"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38934796"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为什么过敏性休克首选肾上腺素</w:t>
      </w:r>
    </w:p>
    <w:p w14:paraId="052E1EE3"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简述普</w:t>
      </w:r>
      <w:proofErr w:type="gramStart"/>
      <w:r w:rsidRPr="00531108">
        <w:rPr>
          <w:rFonts w:ascii="宋体" w:eastAsia="宋体" w:hAnsi="宋体" w:cs="Times New Roman" w:hint="eastAsia"/>
          <w:sz w:val="24"/>
          <w:szCs w:val="24"/>
        </w:rPr>
        <w:t>萘</w:t>
      </w:r>
      <w:proofErr w:type="gramEnd"/>
      <w:r w:rsidRPr="00531108">
        <w:rPr>
          <w:rFonts w:ascii="宋体" w:eastAsia="宋体" w:hAnsi="宋体" w:cs="Times New Roman" w:hint="eastAsia"/>
          <w:sz w:val="24"/>
          <w:szCs w:val="24"/>
        </w:rPr>
        <w:t>洛尔的不良反应</w:t>
      </w:r>
    </w:p>
    <w:p w14:paraId="55639253" w14:textId="77777777" w:rsidR="00531108" w:rsidRPr="00531108" w:rsidRDefault="00531108" w:rsidP="00531108">
      <w:pPr>
        <w:spacing w:beforeLines="50" w:before="156" w:afterLines="50" w:after="156" w:line="440" w:lineRule="exact"/>
        <w:ind w:firstLine="200"/>
        <w:jc w:val="center"/>
        <w:rPr>
          <w:rFonts w:ascii="黑体" w:eastAsia="黑体" w:hAnsi="黑体" w:cs="Times New Roman"/>
          <w:sz w:val="28"/>
          <w:szCs w:val="28"/>
        </w:rPr>
      </w:pPr>
      <w:r w:rsidRPr="00531108">
        <w:rPr>
          <w:rFonts w:ascii="黑体" w:eastAsia="黑体" w:hAnsi="黑体" w:cs="Times New Roman" w:hint="eastAsia"/>
          <w:sz w:val="28"/>
          <w:szCs w:val="28"/>
        </w:rPr>
        <w:t>第八章  抗高血压药</w:t>
      </w:r>
    </w:p>
    <w:p w14:paraId="67F16C44"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p>
    <w:p w14:paraId="33D35F0B"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掌握</w:t>
      </w:r>
      <w:r w:rsidRPr="00531108">
        <w:rPr>
          <w:rFonts w:ascii="宋体" w:eastAsia="宋体" w:hAnsi="宋体" w:cs="宋体" w:hint="eastAsia"/>
          <w:sz w:val="24"/>
          <w:szCs w:val="24"/>
        </w:rPr>
        <w:t>一线抗高血压药物的分类、各类代表药物作用机制、临床应用、不良反应</w:t>
      </w:r>
    </w:p>
    <w:p w14:paraId="4EF209E1"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熟悉抗高血压药物的应用原则</w:t>
      </w:r>
    </w:p>
    <w:p w14:paraId="3671D142"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 了解抗高血压药物治疗的新概念</w:t>
      </w:r>
    </w:p>
    <w:p w14:paraId="4775A69F"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0785ECD8"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抗高血压药作用部位及分类</w:t>
      </w:r>
    </w:p>
    <w:p w14:paraId="37DBCE18"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常用一线抗高血压药：A</w:t>
      </w:r>
      <w:r w:rsidRPr="00531108">
        <w:rPr>
          <w:rFonts w:ascii="宋体" w:eastAsia="宋体" w:hAnsi="宋体" w:cs="Times New Roman"/>
          <w:sz w:val="24"/>
          <w:szCs w:val="24"/>
        </w:rPr>
        <w:t>CEI</w:t>
      </w:r>
      <w:r w:rsidRPr="00531108">
        <w:rPr>
          <w:rFonts w:ascii="宋体" w:eastAsia="宋体" w:hAnsi="宋体" w:cs="Times New Roman" w:hint="eastAsia"/>
          <w:sz w:val="24"/>
          <w:szCs w:val="24"/>
        </w:rPr>
        <w:t>类、AT1受体阻断药、利尿药、钙拮抗药、β-受体阻断剂</w:t>
      </w:r>
    </w:p>
    <w:p w14:paraId="067E4E55"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 抗高血压药物的应用原则及治疗新概念</w:t>
      </w:r>
    </w:p>
    <w:p w14:paraId="368FBDAA"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436BF1BB"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 xml:space="preserve">1. </w:t>
      </w:r>
      <w:r w:rsidRPr="00531108">
        <w:rPr>
          <w:rFonts w:ascii="宋体" w:eastAsia="宋体" w:hAnsi="宋体" w:cs="宋体" w:hint="eastAsia"/>
          <w:sz w:val="24"/>
          <w:szCs w:val="24"/>
        </w:rPr>
        <w:t>一线抗高血压药物的分类、各类代表药物作用机制、临床应用、不良反应</w:t>
      </w:r>
    </w:p>
    <w:p w14:paraId="1F257E02"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7C5FDBD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lastRenderedPageBreak/>
        <w:t>1</w:t>
      </w:r>
      <w:r w:rsidRPr="00531108">
        <w:rPr>
          <w:rFonts w:ascii="宋体" w:eastAsia="宋体" w:hAnsi="宋体" w:cs="Times New Roman"/>
          <w:sz w:val="24"/>
          <w:szCs w:val="24"/>
        </w:rPr>
        <w:t>.</w:t>
      </w:r>
      <w:r w:rsidRPr="00531108">
        <w:rPr>
          <w:rFonts w:ascii="宋体" w:eastAsia="宋体" w:hAnsi="宋体" w:cs="Times New Roman" w:hint="eastAsia"/>
          <w:sz w:val="24"/>
          <w:szCs w:val="24"/>
        </w:rPr>
        <w:t xml:space="preserve"> 抗高血压药物的应用原则</w:t>
      </w:r>
    </w:p>
    <w:p w14:paraId="04824531"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14A51A2E"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1CEA2517"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5D9D96AE"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目前一线的降压药物有哪几类？简述其降压机制及临床应用</w:t>
      </w:r>
    </w:p>
    <w:p w14:paraId="01AA7B50" w14:textId="77777777" w:rsidR="00531108" w:rsidRPr="00531108" w:rsidRDefault="00531108" w:rsidP="00D4283B">
      <w:pPr>
        <w:spacing w:beforeLines="50" w:before="156" w:afterLines="50" w:after="156" w:line="440" w:lineRule="exact"/>
        <w:ind w:firstLineChars="200" w:firstLine="560"/>
        <w:jc w:val="center"/>
        <w:rPr>
          <w:rFonts w:ascii="黑体" w:eastAsia="黑体" w:hAnsi="黑体" w:cs="Times New Roman"/>
          <w:sz w:val="28"/>
          <w:szCs w:val="28"/>
        </w:rPr>
      </w:pPr>
      <w:r w:rsidRPr="00531108">
        <w:rPr>
          <w:rFonts w:ascii="黑体" w:eastAsia="黑体" w:hAnsi="黑体" w:cs="Times New Roman" w:hint="eastAsia"/>
          <w:sz w:val="28"/>
          <w:szCs w:val="28"/>
        </w:rPr>
        <w:t xml:space="preserve">第九章  抗心绞痛药 </w:t>
      </w:r>
    </w:p>
    <w:p w14:paraId="04496756"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p>
    <w:p w14:paraId="0F0DF55C"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掌握</w:t>
      </w:r>
      <w:r w:rsidRPr="00531108">
        <w:rPr>
          <w:rFonts w:ascii="宋体" w:eastAsia="宋体" w:hAnsi="宋体" w:cs="宋体" w:hint="eastAsia"/>
          <w:sz w:val="24"/>
          <w:szCs w:val="24"/>
        </w:rPr>
        <w:t>抗心绞痛药物分类、各类代表药物药理作用及机制、临床应用、不良反应、联合用药优缺点：</w:t>
      </w:r>
      <w:r w:rsidRPr="00531108">
        <w:rPr>
          <w:rFonts w:ascii="宋体" w:eastAsia="宋体" w:hAnsi="宋体" w:cs="Times New Roman" w:hint="eastAsia"/>
          <w:sz w:val="24"/>
          <w:szCs w:val="24"/>
        </w:rPr>
        <w:t>硝酸酯类、β受体阻断药、钙通道阻断药</w:t>
      </w:r>
    </w:p>
    <w:p w14:paraId="258A8DD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熟悉影响心肌耗氧量及供氧量的因素</w:t>
      </w:r>
    </w:p>
    <w:p w14:paraId="4F709AB4"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2DEBDDEC"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心绞痛概述、硝酸酯类：硝酸甘油</w:t>
      </w:r>
    </w:p>
    <w:p w14:paraId="4CAD5F88"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β受体阻断药：普</w:t>
      </w:r>
      <w:proofErr w:type="gramStart"/>
      <w:r w:rsidRPr="00531108">
        <w:rPr>
          <w:rFonts w:ascii="宋体" w:eastAsia="宋体" w:hAnsi="宋体" w:cs="Times New Roman" w:hint="eastAsia"/>
          <w:sz w:val="24"/>
          <w:szCs w:val="24"/>
        </w:rPr>
        <w:t>萘洛</w:t>
      </w:r>
      <w:proofErr w:type="gramEnd"/>
      <w:r w:rsidRPr="00531108">
        <w:rPr>
          <w:rFonts w:ascii="宋体" w:eastAsia="宋体" w:hAnsi="宋体" w:cs="Times New Roman" w:hint="eastAsia"/>
          <w:sz w:val="24"/>
          <w:szCs w:val="24"/>
        </w:rPr>
        <w:t>尔</w:t>
      </w:r>
    </w:p>
    <w:p w14:paraId="3236B21C"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钙通道阻断药：硝苯地平</w:t>
      </w:r>
    </w:p>
    <w:p w14:paraId="775B9D82"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10B66D0E" w14:textId="77777777" w:rsidR="00531108" w:rsidRPr="00531108" w:rsidRDefault="00531108" w:rsidP="00D4283B">
      <w:pPr>
        <w:spacing w:line="440" w:lineRule="exact"/>
        <w:ind w:firstLineChars="200" w:firstLine="480"/>
        <w:rPr>
          <w:rFonts w:ascii="宋体" w:eastAsia="宋体" w:hAnsi="宋体" w:cs="宋体"/>
          <w:sz w:val="24"/>
          <w:szCs w:val="24"/>
        </w:rPr>
      </w:pPr>
      <w:r w:rsidRPr="00531108">
        <w:rPr>
          <w:rFonts w:ascii="宋体" w:eastAsia="宋体" w:hAnsi="宋体" w:cs="Times New Roman" w:hint="eastAsia"/>
          <w:sz w:val="24"/>
          <w:szCs w:val="24"/>
        </w:rPr>
        <w:t xml:space="preserve">1. </w:t>
      </w:r>
      <w:r w:rsidRPr="00531108">
        <w:rPr>
          <w:rFonts w:ascii="宋体" w:eastAsia="宋体" w:hAnsi="宋体" w:cs="宋体" w:hint="eastAsia"/>
          <w:sz w:val="24"/>
          <w:szCs w:val="24"/>
        </w:rPr>
        <w:t>抗心绞痛药物分类、各类代表药物药理作用及机制、临床应用、不良反应、联合用药优缺点</w:t>
      </w:r>
    </w:p>
    <w:p w14:paraId="41826A0F"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432B8F3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影响心肌耗氧量及供氧量的因素</w:t>
      </w:r>
    </w:p>
    <w:p w14:paraId="79226C5F"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38A48394"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1A58A367"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558169B4"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简述β受体阻断药和硝酸甘油联合应用抗心绞痛的优、缺点</w:t>
      </w:r>
    </w:p>
    <w:p w14:paraId="60C0FC93" w14:textId="77777777" w:rsidR="00531108" w:rsidRPr="00531108" w:rsidRDefault="00531108" w:rsidP="00D4283B">
      <w:pPr>
        <w:spacing w:beforeLines="50" w:before="156" w:afterLines="50" w:after="156" w:line="440" w:lineRule="exact"/>
        <w:ind w:firstLineChars="200" w:firstLine="560"/>
        <w:jc w:val="center"/>
        <w:rPr>
          <w:rFonts w:ascii="黑体" w:eastAsia="黑体" w:hAnsi="黑体" w:cs="Times New Roman"/>
          <w:sz w:val="28"/>
          <w:szCs w:val="28"/>
        </w:rPr>
      </w:pPr>
      <w:r w:rsidRPr="00531108">
        <w:rPr>
          <w:rFonts w:ascii="黑体" w:eastAsia="黑体" w:hAnsi="黑体" w:cs="Times New Roman" w:hint="eastAsia"/>
          <w:sz w:val="28"/>
          <w:szCs w:val="28"/>
        </w:rPr>
        <w:t xml:space="preserve">第十章  抗心力衰竭药 </w:t>
      </w:r>
    </w:p>
    <w:p w14:paraId="66A6799A"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p>
    <w:p w14:paraId="1B93FFDC"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宋体" w:hint="eastAsia"/>
          <w:sz w:val="24"/>
          <w:szCs w:val="24"/>
        </w:rPr>
        <w:t>1．</w:t>
      </w:r>
      <w:r w:rsidRPr="00531108">
        <w:rPr>
          <w:rFonts w:ascii="宋体" w:eastAsia="宋体" w:hAnsi="宋体" w:cs="Times New Roman" w:hint="eastAsia"/>
          <w:sz w:val="24"/>
          <w:szCs w:val="24"/>
        </w:rPr>
        <w:t>掌握</w:t>
      </w:r>
      <w:r w:rsidRPr="00531108">
        <w:rPr>
          <w:rFonts w:ascii="宋体" w:eastAsia="宋体" w:hAnsi="宋体" w:cs="宋体" w:hint="eastAsia"/>
          <w:sz w:val="24"/>
          <w:szCs w:val="24"/>
        </w:rPr>
        <w:t>强心苷类对心脏的作用、作用机制、中毒机制、临床应用、不良反应及解救</w:t>
      </w:r>
    </w:p>
    <w:p w14:paraId="17CB5884"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宋体" w:hint="eastAsia"/>
          <w:sz w:val="24"/>
          <w:szCs w:val="24"/>
        </w:rPr>
        <w:t>2</w:t>
      </w:r>
      <w:r w:rsidRPr="00531108">
        <w:rPr>
          <w:rFonts w:ascii="宋体" w:eastAsia="宋体" w:hAnsi="宋体" w:cs="宋体"/>
          <w:sz w:val="24"/>
          <w:szCs w:val="24"/>
        </w:rPr>
        <w:t xml:space="preserve">. </w:t>
      </w:r>
      <w:proofErr w:type="gramStart"/>
      <w:r w:rsidRPr="00531108">
        <w:rPr>
          <w:rFonts w:ascii="宋体" w:eastAsia="宋体" w:hAnsi="宋体" w:cs="Times New Roman" w:hint="eastAsia"/>
          <w:sz w:val="24"/>
          <w:szCs w:val="24"/>
        </w:rPr>
        <w:t>熟悉减</w:t>
      </w:r>
      <w:proofErr w:type="gramEnd"/>
      <w:r w:rsidRPr="00531108">
        <w:rPr>
          <w:rFonts w:ascii="宋体" w:eastAsia="宋体" w:hAnsi="宋体" w:cs="Times New Roman" w:hint="eastAsia"/>
          <w:sz w:val="24"/>
          <w:szCs w:val="24"/>
        </w:rPr>
        <w:t>负荷药、作用于β受体药物、非强心苷类正性肌力药的作用及应用</w:t>
      </w:r>
    </w:p>
    <w:p w14:paraId="6F0F7F44"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lastRenderedPageBreak/>
        <w:t>【学习内容】</w:t>
      </w:r>
    </w:p>
    <w:p w14:paraId="40924033"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慢性心衰发病机制、作用于β受体药物</w:t>
      </w:r>
    </w:p>
    <w:p w14:paraId="45B5BEF7"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减负荷药</w:t>
      </w:r>
    </w:p>
    <w:p w14:paraId="686BECC9"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强心苷</w:t>
      </w:r>
    </w:p>
    <w:p w14:paraId="0F67B9CF"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 非强心苷类正性肌力药</w:t>
      </w:r>
    </w:p>
    <w:p w14:paraId="194FE510"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29134665"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 xml:space="preserve">1. </w:t>
      </w:r>
      <w:r w:rsidRPr="00531108">
        <w:rPr>
          <w:rFonts w:ascii="宋体" w:eastAsia="宋体" w:hAnsi="宋体" w:cs="宋体" w:hint="eastAsia"/>
          <w:sz w:val="24"/>
          <w:szCs w:val="24"/>
        </w:rPr>
        <w:t>强心苷类对心脏的作用、作用机制、中毒机制、临床应用、不良反应及解救</w:t>
      </w:r>
    </w:p>
    <w:p w14:paraId="63805147"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4CBB00A9"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减负荷药、作用于β受体药物、非强心苷类正性肌力药治疗CHF的基本作用原理与应用</w:t>
      </w:r>
    </w:p>
    <w:p w14:paraId="3D153481"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718BFBEC"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224C7C61"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6B4C6197"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简述强心苷的药理作用及其正性肌力作用机制</w:t>
      </w:r>
    </w:p>
    <w:p w14:paraId="6C48BB37"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简述强心苷毒性反应及防治</w:t>
      </w:r>
    </w:p>
    <w:p w14:paraId="3D431368" w14:textId="77777777" w:rsidR="00531108" w:rsidRPr="00531108" w:rsidRDefault="00531108" w:rsidP="00D4283B">
      <w:pPr>
        <w:spacing w:beforeLines="50" w:before="156" w:afterLines="50" w:after="156" w:line="440" w:lineRule="exact"/>
        <w:ind w:firstLineChars="200" w:firstLine="560"/>
        <w:jc w:val="center"/>
        <w:rPr>
          <w:rFonts w:ascii="黑体" w:eastAsia="黑体" w:hAnsi="黑体" w:cs="Times New Roman"/>
          <w:sz w:val="28"/>
          <w:szCs w:val="28"/>
        </w:rPr>
      </w:pPr>
      <w:r w:rsidRPr="00531108">
        <w:rPr>
          <w:rFonts w:ascii="黑体" w:eastAsia="黑体" w:hAnsi="黑体" w:cs="Times New Roman" w:hint="eastAsia"/>
          <w:sz w:val="28"/>
          <w:szCs w:val="28"/>
        </w:rPr>
        <w:t>第十一章  抗心律失常药</w:t>
      </w:r>
    </w:p>
    <w:p w14:paraId="514C624F"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p>
    <w:p w14:paraId="7A644F41"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掌握</w:t>
      </w:r>
      <w:r w:rsidRPr="00531108">
        <w:rPr>
          <w:rFonts w:ascii="宋体" w:eastAsia="宋体" w:hAnsi="宋体" w:cs="宋体" w:hint="eastAsia"/>
          <w:sz w:val="24"/>
          <w:szCs w:val="24"/>
        </w:rPr>
        <w:t>抗心律失常药物的分类及其代表药物、各代表药物的药理作用及应用</w:t>
      </w:r>
    </w:p>
    <w:p w14:paraId="754179A7"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熟悉心律失常发生的电生理学机制</w:t>
      </w:r>
    </w:p>
    <w:p w14:paraId="6BE50469"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 了解正常</w:t>
      </w:r>
      <w:proofErr w:type="gramStart"/>
      <w:r w:rsidRPr="00531108">
        <w:rPr>
          <w:rFonts w:ascii="宋体" w:eastAsia="宋体" w:hAnsi="宋体" w:cs="Times New Roman" w:hint="eastAsia"/>
          <w:sz w:val="24"/>
          <w:szCs w:val="24"/>
        </w:rPr>
        <w:t>心肌电</w:t>
      </w:r>
      <w:proofErr w:type="gramEnd"/>
      <w:r w:rsidRPr="00531108">
        <w:rPr>
          <w:rFonts w:ascii="宋体" w:eastAsia="宋体" w:hAnsi="宋体" w:cs="Times New Roman" w:hint="eastAsia"/>
          <w:sz w:val="24"/>
          <w:szCs w:val="24"/>
        </w:rPr>
        <w:t>生理和抗心律失常药的致心律失常作用</w:t>
      </w:r>
    </w:p>
    <w:p w14:paraId="4BE71D04"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7C50F971"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心率失常的电生理学基础</w:t>
      </w:r>
    </w:p>
    <w:p w14:paraId="497E5FD5"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抗心律失常药的分类：钠通道阻滞药、β受体阻断药、延长动作电位时程药、钙通道阻滞药</w:t>
      </w:r>
    </w:p>
    <w:p w14:paraId="102F4AEB"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w:t>
      </w:r>
      <w:r w:rsidRPr="00531108">
        <w:rPr>
          <w:rFonts w:ascii="宋体" w:eastAsia="宋体" w:hAnsi="宋体" w:cs="Times New Roman"/>
          <w:sz w:val="24"/>
          <w:szCs w:val="24"/>
        </w:rPr>
        <w:t>.</w:t>
      </w:r>
      <w:r w:rsidRPr="00531108">
        <w:rPr>
          <w:rFonts w:ascii="宋体" w:eastAsia="宋体" w:hAnsi="宋体" w:cs="Times New Roman" w:hint="eastAsia"/>
          <w:sz w:val="24"/>
          <w:szCs w:val="24"/>
        </w:rPr>
        <w:t xml:space="preserve"> 抗心律失常药的致心律失常作用</w:t>
      </w:r>
    </w:p>
    <w:p w14:paraId="0159D95D"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6EF47CE7" w14:textId="77777777" w:rsidR="00531108" w:rsidRPr="00531108" w:rsidRDefault="00531108">
      <w:pPr>
        <w:numPr>
          <w:ilvl w:val="0"/>
          <w:numId w:val="229"/>
        </w:numPr>
        <w:spacing w:line="440" w:lineRule="exact"/>
        <w:ind w:firstLineChars="200" w:firstLine="480"/>
        <w:rPr>
          <w:rFonts w:ascii="宋体" w:eastAsia="宋体" w:hAnsi="宋体" w:cs="宋体"/>
          <w:sz w:val="24"/>
          <w:szCs w:val="24"/>
        </w:rPr>
      </w:pPr>
      <w:r w:rsidRPr="00531108">
        <w:rPr>
          <w:rFonts w:ascii="宋体" w:eastAsia="宋体" w:hAnsi="宋体" w:cs="宋体" w:hint="eastAsia"/>
          <w:sz w:val="24"/>
          <w:szCs w:val="24"/>
        </w:rPr>
        <w:t>抗心律失常药物的分类及其代表药物、各代表药物的药理作用及应用</w:t>
      </w:r>
    </w:p>
    <w:p w14:paraId="3468ABFF"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2E9B213E"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心率失常的电生理学基础</w:t>
      </w:r>
    </w:p>
    <w:p w14:paraId="10570591"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757D4E6F"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lastRenderedPageBreak/>
        <w:t>1. 通过多媒体课件和传统教学相结合，阐明课程与教学基本原理，丰富学生课程与教学的基本知识结构，培养学生的职业规范。</w:t>
      </w:r>
    </w:p>
    <w:p w14:paraId="6336F275"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4E004F57" w14:textId="77777777" w:rsidR="00531108" w:rsidRPr="00531108" w:rsidRDefault="00531108">
      <w:pPr>
        <w:numPr>
          <w:ilvl w:val="0"/>
          <w:numId w:val="215"/>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简述抗心律失常药的分类及各类代表药物</w:t>
      </w:r>
    </w:p>
    <w:p w14:paraId="7CF09877" w14:textId="77777777" w:rsidR="00531108" w:rsidRPr="00531108" w:rsidRDefault="00531108">
      <w:pPr>
        <w:numPr>
          <w:ilvl w:val="0"/>
          <w:numId w:val="215"/>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 xml:space="preserve">以心得安为例，简述肾上腺素受体阻断药用于心血管疾病的临床应用及机制。 </w:t>
      </w:r>
      <w:r w:rsidRPr="00531108">
        <w:rPr>
          <w:rFonts w:ascii="宋体" w:eastAsia="宋体" w:hAnsi="宋体" w:cs="Times New Roman"/>
          <w:sz w:val="24"/>
          <w:szCs w:val="24"/>
        </w:rPr>
        <w:t>a.</w:t>
      </w:r>
      <w:r w:rsidRPr="00531108">
        <w:rPr>
          <w:rFonts w:ascii="宋体" w:eastAsia="宋体" w:hAnsi="宋体" w:cs="Times New Roman" w:hint="eastAsia"/>
          <w:sz w:val="24"/>
          <w:szCs w:val="24"/>
        </w:rPr>
        <w:t xml:space="preserve">心律失常 </w:t>
      </w:r>
      <w:r w:rsidRPr="00531108">
        <w:rPr>
          <w:rFonts w:ascii="宋体" w:eastAsia="宋体" w:hAnsi="宋体" w:cs="Times New Roman"/>
          <w:sz w:val="24"/>
          <w:szCs w:val="24"/>
        </w:rPr>
        <w:t>b.</w:t>
      </w:r>
      <w:r w:rsidRPr="00531108">
        <w:rPr>
          <w:rFonts w:ascii="宋体" w:eastAsia="宋体" w:hAnsi="宋体" w:cs="Times New Roman" w:hint="eastAsia"/>
          <w:sz w:val="24"/>
          <w:szCs w:val="24"/>
        </w:rPr>
        <w:t xml:space="preserve">心衰 </w:t>
      </w:r>
      <w:r w:rsidRPr="00531108">
        <w:rPr>
          <w:rFonts w:ascii="宋体" w:eastAsia="宋体" w:hAnsi="宋体" w:cs="Times New Roman"/>
          <w:sz w:val="24"/>
          <w:szCs w:val="24"/>
        </w:rPr>
        <w:t>c.</w:t>
      </w:r>
      <w:r w:rsidRPr="00531108">
        <w:rPr>
          <w:rFonts w:ascii="宋体" w:eastAsia="宋体" w:hAnsi="宋体" w:cs="Times New Roman" w:hint="eastAsia"/>
          <w:sz w:val="24"/>
          <w:szCs w:val="24"/>
        </w:rPr>
        <w:t xml:space="preserve">心绞痛  </w:t>
      </w:r>
      <w:r w:rsidRPr="00531108">
        <w:rPr>
          <w:rFonts w:ascii="宋体" w:eastAsia="宋体" w:hAnsi="宋体" w:cs="Times New Roman"/>
          <w:sz w:val="24"/>
          <w:szCs w:val="24"/>
        </w:rPr>
        <w:t>d.</w:t>
      </w:r>
      <w:r w:rsidRPr="00531108">
        <w:rPr>
          <w:rFonts w:ascii="宋体" w:eastAsia="宋体" w:hAnsi="宋体" w:cs="Times New Roman" w:hint="eastAsia"/>
          <w:sz w:val="24"/>
          <w:szCs w:val="24"/>
        </w:rPr>
        <w:t>高血压</w:t>
      </w:r>
    </w:p>
    <w:p w14:paraId="35160198" w14:textId="77777777" w:rsidR="00531108" w:rsidRPr="00531108" w:rsidRDefault="00531108" w:rsidP="00D4283B">
      <w:pPr>
        <w:spacing w:beforeLines="50" w:before="156" w:afterLines="50" w:after="156" w:line="440" w:lineRule="exact"/>
        <w:ind w:firstLineChars="200" w:firstLine="560"/>
        <w:jc w:val="center"/>
        <w:rPr>
          <w:rFonts w:ascii="黑体" w:eastAsia="黑体" w:hAnsi="黑体" w:cs="Times New Roman"/>
          <w:sz w:val="28"/>
          <w:szCs w:val="28"/>
        </w:rPr>
      </w:pPr>
      <w:r w:rsidRPr="00531108">
        <w:rPr>
          <w:rFonts w:ascii="黑体" w:eastAsia="黑体" w:hAnsi="黑体" w:cs="Times New Roman" w:hint="eastAsia"/>
          <w:sz w:val="28"/>
          <w:szCs w:val="28"/>
        </w:rPr>
        <w:t>第十三章  利尿药</w:t>
      </w:r>
    </w:p>
    <w:p w14:paraId="28480182"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p>
    <w:p w14:paraId="6D6E912B"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t>1.</w:t>
      </w:r>
      <w:r w:rsidRPr="00531108">
        <w:rPr>
          <w:rFonts w:ascii="宋体" w:eastAsia="宋体" w:hAnsi="宋体" w:cs="Times New Roman" w:hint="eastAsia"/>
          <w:sz w:val="24"/>
          <w:szCs w:val="24"/>
        </w:rPr>
        <w:t xml:space="preserve"> 掌握</w:t>
      </w:r>
      <w:r w:rsidRPr="00531108">
        <w:rPr>
          <w:rFonts w:ascii="宋体" w:eastAsia="宋体" w:hAnsi="宋体" w:cs="宋体" w:hint="eastAsia"/>
          <w:sz w:val="24"/>
          <w:szCs w:val="24"/>
        </w:rPr>
        <w:t>利尿药按照其作用部位分类、及各类药药理作用、临床应用、不良反应</w:t>
      </w:r>
    </w:p>
    <w:p w14:paraId="45C4209F"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t>2</w:t>
      </w:r>
      <w:r w:rsidRPr="00531108">
        <w:rPr>
          <w:rFonts w:ascii="宋体" w:eastAsia="宋体" w:hAnsi="宋体" w:cs="Times New Roman" w:hint="eastAsia"/>
          <w:sz w:val="24"/>
          <w:szCs w:val="24"/>
        </w:rPr>
        <w:t>. 熟悉利尿药的生理学和药理学基础</w:t>
      </w:r>
    </w:p>
    <w:p w14:paraId="1024534C"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5C9C54C9"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利尿药的生理学和药理学基础</w:t>
      </w:r>
    </w:p>
    <w:p w14:paraId="746D9C7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影响电解质转运的利尿药</w:t>
      </w:r>
    </w:p>
    <w:p w14:paraId="2C18DF05"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51308F78"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 xml:space="preserve">1. </w:t>
      </w:r>
      <w:r w:rsidRPr="00531108">
        <w:rPr>
          <w:rFonts w:ascii="宋体" w:eastAsia="宋体" w:hAnsi="宋体" w:cs="宋体" w:hint="eastAsia"/>
          <w:sz w:val="24"/>
          <w:szCs w:val="24"/>
        </w:rPr>
        <w:t>利尿药按照其作用部位分类、及各类药药理作用、临床应用、不良反应</w:t>
      </w:r>
    </w:p>
    <w:p w14:paraId="4EFCC177"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5196C806" w14:textId="77777777" w:rsidR="00531108" w:rsidRPr="00531108" w:rsidRDefault="00531108" w:rsidP="00D4283B">
      <w:pPr>
        <w:spacing w:line="440" w:lineRule="exact"/>
        <w:ind w:firstLineChars="200" w:firstLine="480"/>
        <w:rPr>
          <w:rFonts w:ascii="宋体" w:eastAsia="宋体" w:hAnsi="宋体" w:cs="宋体"/>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利尿药的生理学和药理学基础</w:t>
      </w:r>
    </w:p>
    <w:p w14:paraId="20846732"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1277BAE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164A5D01"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3DDEB978" w14:textId="77777777" w:rsidR="00531108" w:rsidRPr="00531108" w:rsidRDefault="00531108">
      <w:pPr>
        <w:numPr>
          <w:ilvl w:val="0"/>
          <w:numId w:val="216"/>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简述利尿药分类，代表药，作用部位和机制</w:t>
      </w:r>
    </w:p>
    <w:p w14:paraId="247DFCB9" w14:textId="77777777" w:rsidR="00531108" w:rsidRPr="00531108" w:rsidRDefault="00531108" w:rsidP="00D4283B">
      <w:pPr>
        <w:spacing w:beforeLines="50" w:before="156" w:afterLines="50" w:after="156" w:line="440" w:lineRule="exact"/>
        <w:ind w:firstLineChars="200" w:firstLine="560"/>
        <w:jc w:val="center"/>
        <w:rPr>
          <w:rFonts w:ascii="黑体" w:eastAsia="黑体" w:hAnsi="黑体" w:cs="Times New Roman"/>
          <w:sz w:val="28"/>
          <w:szCs w:val="28"/>
        </w:rPr>
      </w:pPr>
      <w:r w:rsidRPr="00531108">
        <w:rPr>
          <w:rFonts w:ascii="黑体" w:eastAsia="黑体" w:hAnsi="黑体" w:cs="Times New Roman" w:hint="eastAsia"/>
          <w:sz w:val="28"/>
          <w:szCs w:val="28"/>
        </w:rPr>
        <w:t>第十六章  镇静催眠药</w:t>
      </w:r>
    </w:p>
    <w:p w14:paraId="10550DAA"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p>
    <w:p w14:paraId="29F9FF09"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掌握地西</w:t>
      </w:r>
      <w:proofErr w:type="gramStart"/>
      <w:r w:rsidRPr="00531108">
        <w:rPr>
          <w:rFonts w:ascii="宋体" w:eastAsia="宋体" w:hAnsi="宋体" w:cs="Times New Roman" w:hint="eastAsia"/>
          <w:sz w:val="24"/>
          <w:szCs w:val="24"/>
        </w:rPr>
        <w:t>泮</w:t>
      </w:r>
      <w:proofErr w:type="gramEnd"/>
      <w:r w:rsidRPr="00531108">
        <w:rPr>
          <w:rFonts w:ascii="宋体" w:eastAsia="宋体" w:hAnsi="宋体" w:cs="Times New Roman" w:hint="eastAsia"/>
          <w:sz w:val="24"/>
          <w:szCs w:val="24"/>
        </w:rPr>
        <w:t>药理作用，临床应用；苯巴比妥药理作用及对肝药酶的诱导；两类药物区别</w:t>
      </w:r>
    </w:p>
    <w:p w14:paraId="76B9D2A9"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熟悉生理睡眠时相</w:t>
      </w:r>
    </w:p>
    <w:p w14:paraId="51D387CB"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3B0D4DE3"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生理睡眠时相</w:t>
      </w:r>
    </w:p>
    <w:p w14:paraId="0871E0D3"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苯二</w:t>
      </w:r>
      <w:proofErr w:type="gramStart"/>
      <w:r w:rsidRPr="00531108">
        <w:rPr>
          <w:rFonts w:ascii="宋体" w:eastAsia="宋体" w:hAnsi="宋体" w:cs="Times New Roman" w:hint="eastAsia"/>
          <w:sz w:val="24"/>
          <w:szCs w:val="24"/>
        </w:rPr>
        <w:t>氮卓类</w:t>
      </w:r>
      <w:proofErr w:type="gramEnd"/>
      <w:r w:rsidRPr="00531108">
        <w:rPr>
          <w:rFonts w:ascii="宋体" w:eastAsia="宋体" w:hAnsi="宋体" w:cs="Times New Roman" w:hint="eastAsia"/>
          <w:sz w:val="24"/>
          <w:szCs w:val="24"/>
        </w:rPr>
        <w:t>药物：地西</w:t>
      </w:r>
      <w:proofErr w:type="gramStart"/>
      <w:r w:rsidRPr="00531108">
        <w:rPr>
          <w:rFonts w:ascii="宋体" w:eastAsia="宋体" w:hAnsi="宋体" w:cs="Times New Roman" w:hint="eastAsia"/>
          <w:sz w:val="24"/>
          <w:szCs w:val="24"/>
        </w:rPr>
        <w:t>泮</w:t>
      </w:r>
      <w:proofErr w:type="gramEnd"/>
    </w:p>
    <w:p w14:paraId="13CAAC96"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lastRenderedPageBreak/>
        <w:t xml:space="preserve">3. </w:t>
      </w:r>
      <w:r w:rsidRPr="00531108">
        <w:rPr>
          <w:rFonts w:ascii="宋体" w:eastAsia="宋体" w:hAnsi="宋体" w:cs="Times New Roman" w:hint="eastAsia"/>
          <w:sz w:val="24"/>
          <w:szCs w:val="24"/>
        </w:rPr>
        <w:t>巴比妥类药物：苯巴比妥</w:t>
      </w:r>
    </w:p>
    <w:p w14:paraId="614BB73B"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30C129E0"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地西</w:t>
      </w:r>
      <w:proofErr w:type="gramStart"/>
      <w:r w:rsidRPr="00531108">
        <w:rPr>
          <w:rFonts w:ascii="宋体" w:eastAsia="宋体" w:hAnsi="宋体" w:cs="Times New Roman" w:hint="eastAsia"/>
          <w:sz w:val="24"/>
          <w:szCs w:val="24"/>
        </w:rPr>
        <w:t>泮</w:t>
      </w:r>
      <w:proofErr w:type="gramEnd"/>
      <w:r w:rsidRPr="00531108">
        <w:rPr>
          <w:rFonts w:ascii="宋体" w:eastAsia="宋体" w:hAnsi="宋体" w:cs="Times New Roman" w:hint="eastAsia"/>
          <w:sz w:val="24"/>
          <w:szCs w:val="24"/>
        </w:rPr>
        <w:t>药理作用，临床应用；苯巴比妥药理作用及对肝药酶的诱导；两类药物区别</w:t>
      </w:r>
    </w:p>
    <w:p w14:paraId="7D704F3D"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589CC155" w14:textId="77777777" w:rsidR="00531108" w:rsidRPr="00531108" w:rsidRDefault="00531108">
      <w:pPr>
        <w:numPr>
          <w:ilvl w:val="0"/>
          <w:numId w:val="230"/>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苯巴比妥对肝药酶的诱导、生理睡眠时相</w:t>
      </w:r>
    </w:p>
    <w:p w14:paraId="10B1C28F"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0E8191E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1BC766B2"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4BBB8657" w14:textId="77777777" w:rsidR="00531108" w:rsidRPr="00531108" w:rsidRDefault="00531108">
      <w:pPr>
        <w:numPr>
          <w:ilvl w:val="0"/>
          <w:numId w:val="224"/>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简述地西</w:t>
      </w:r>
      <w:proofErr w:type="gramStart"/>
      <w:r w:rsidRPr="00531108">
        <w:rPr>
          <w:rFonts w:ascii="宋体" w:eastAsia="宋体" w:hAnsi="宋体" w:cs="Times New Roman" w:hint="eastAsia"/>
          <w:sz w:val="24"/>
          <w:szCs w:val="24"/>
        </w:rPr>
        <w:t>泮</w:t>
      </w:r>
      <w:proofErr w:type="gramEnd"/>
      <w:r w:rsidRPr="00531108">
        <w:rPr>
          <w:rFonts w:ascii="宋体" w:eastAsia="宋体" w:hAnsi="宋体" w:cs="Times New Roman" w:hint="eastAsia"/>
          <w:sz w:val="24"/>
          <w:szCs w:val="24"/>
        </w:rPr>
        <w:t>的作用机制及临床应用</w:t>
      </w:r>
    </w:p>
    <w:p w14:paraId="741DA2FA" w14:textId="77777777" w:rsidR="00531108" w:rsidRPr="00531108" w:rsidRDefault="00531108" w:rsidP="00D4283B">
      <w:pPr>
        <w:spacing w:beforeLines="50" w:before="156" w:afterLines="50" w:after="156" w:line="440" w:lineRule="exact"/>
        <w:ind w:firstLineChars="200" w:firstLine="560"/>
        <w:jc w:val="center"/>
        <w:rPr>
          <w:rFonts w:ascii="黑体" w:eastAsia="黑体" w:hAnsi="黑体" w:cs="Times New Roman"/>
          <w:sz w:val="28"/>
          <w:szCs w:val="28"/>
        </w:rPr>
      </w:pPr>
      <w:r w:rsidRPr="00531108">
        <w:rPr>
          <w:rFonts w:ascii="黑体" w:eastAsia="黑体" w:hAnsi="黑体" w:cs="Times New Roman" w:hint="eastAsia"/>
          <w:sz w:val="28"/>
          <w:szCs w:val="28"/>
        </w:rPr>
        <w:t>第十七章  抗癫痫与惊厥药</w:t>
      </w:r>
    </w:p>
    <w:p w14:paraId="300235D3"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r w:rsidRPr="00531108">
        <w:rPr>
          <w:rFonts w:ascii="宋体" w:eastAsia="宋体" w:hAnsi="宋体" w:cs="宋体" w:hint="eastAsia"/>
          <w:sz w:val="24"/>
          <w:szCs w:val="24"/>
        </w:rPr>
        <w:t> </w:t>
      </w:r>
    </w:p>
    <w:p w14:paraId="5FD7B3CC"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掌握癫痫小发作、大发作、持续状态治疗药物</w:t>
      </w:r>
    </w:p>
    <w:p w14:paraId="71197245"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熟悉癫痫发作基本原理及分型</w:t>
      </w:r>
    </w:p>
    <w:p w14:paraId="7841C71C"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0E807BBB"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癫痫发作基本原理及分型</w:t>
      </w:r>
    </w:p>
    <w:p w14:paraId="72176077"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常用抗癫痫药</w:t>
      </w:r>
    </w:p>
    <w:p w14:paraId="05DCA387"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7C7A33E7"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癫痫小发作、大发作、持续状态治疗药物</w:t>
      </w:r>
    </w:p>
    <w:p w14:paraId="77261828"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0B799E76"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w:t>
      </w:r>
      <w:r w:rsidRPr="00531108">
        <w:rPr>
          <w:rFonts w:ascii="宋体" w:eastAsia="宋体" w:hAnsi="宋体" w:cs="Times New Roman" w:hint="eastAsia"/>
          <w:sz w:val="24"/>
          <w:szCs w:val="24"/>
        </w:rPr>
        <w:t>癫痫发作基本原理及分型</w:t>
      </w:r>
    </w:p>
    <w:p w14:paraId="53C0C5F2"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2576ADC8"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54F59577"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6C73DED4" w14:textId="77777777" w:rsidR="00531108" w:rsidRPr="00531108" w:rsidRDefault="00531108">
      <w:pPr>
        <w:numPr>
          <w:ilvl w:val="0"/>
          <w:numId w:val="217"/>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无</w:t>
      </w:r>
    </w:p>
    <w:p w14:paraId="34385ABC" w14:textId="77777777" w:rsidR="00531108" w:rsidRPr="00531108" w:rsidRDefault="00531108" w:rsidP="00D4283B">
      <w:pPr>
        <w:spacing w:beforeLines="50" w:before="156" w:afterLines="50" w:after="156" w:line="440" w:lineRule="exact"/>
        <w:ind w:firstLineChars="200" w:firstLine="560"/>
        <w:jc w:val="center"/>
        <w:rPr>
          <w:rFonts w:ascii="黑体" w:eastAsia="黑体" w:hAnsi="黑体" w:cs="Times New Roman"/>
          <w:sz w:val="28"/>
          <w:szCs w:val="28"/>
        </w:rPr>
      </w:pPr>
      <w:r w:rsidRPr="00531108">
        <w:rPr>
          <w:rFonts w:ascii="黑体" w:eastAsia="黑体" w:hAnsi="黑体" w:cs="Times New Roman" w:hint="eastAsia"/>
          <w:sz w:val="28"/>
          <w:szCs w:val="28"/>
        </w:rPr>
        <w:t>第十八章  抗精神病药</w:t>
      </w:r>
    </w:p>
    <w:p w14:paraId="70FDB18A"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r w:rsidRPr="00531108">
        <w:rPr>
          <w:rFonts w:ascii="宋体" w:eastAsia="宋体" w:hAnsi="宋体" w:cs="宋体" w:hint="eastAsia"/>
          <w:sz w:val="24"/>
          <w:szCs w:val="24"/>
        </w:rPr>
        <w:t> </w:t>
      </w:r>
    </w:p>
    <w:p w14:paraId="4F90F3C4"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掌握</w:t>
      </w:r>
      <w:r w:rsidRPr="00531108">
        <w:rPr>
          <w:rFonts w:ascii="宋体" w:eastAsia="宋体" w:hAnsi="宋体" w:cs="宋体" w:hint="eastAsia"/>
          <w:sz w:val="24"/>
          <w:szCs w:val="24"/>
        </w:rPr>
        <w:t>氯丙嗪的药理作用、作用机制、临床应用及不良反应</w:t>
      </w:r>
      <w:r w:rsidRPr="00531108">
        <w:rPr>
          <w:rFonts w:ascii="宋体" w:eastAsia="宋体" w:hAnsi="宋体" w:cs="Times New Roman" w:hint="eastAsia"/>
          <w:sz w:val="24"/>
          <w:szCs w:val="24"/>
        </w:rPr>
        <w:t xml:space="preserve"> </w:t>
      </w:r>
    </w:p>
    <w:p w14:paraId="06E49121"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lastRenderedPageBreak/>
        <w:t>2</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了解各类抗精神时长药物</w:t>
      </w:r>
    </w:p>
    <w:p w14:paraId="09A05A2F"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67B08394"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t xml:space="preserve">1. </w:t>
      </w:r>
      <w:r w:rsidRPr="00531108">
        <w:rPr>
          <w:rFonts w:ascii="宋体" w:eastAsia="宋体" w:hAnsi="宋体" w:cs="Times New Roman" w:hint="eastAsia"/>
          <w:sz w:val="24"/>
          <w:szCs w:val="24"/>
        </w:rPr>
        <w:t>药物分类，DA神经通路</w:t>
      </w:r>
    </w:p>
    <w:p w14:paraId="79B4C20B"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抗精神病药物：氯丙嗪</w:t>
      </w:r>
    </w:p>
    <w:p w14:paraId="268514D0"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5A7C29EE"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 xml:space="preserve">1. </w:t>
      </w:r>
      <w:r w:rsidRPr="00531108">
        <w:rPr>
          <w:rFonts w:ascii="宋体" w:eastAsia="宋体" w:hAnsi="宋体" w:cs="宋体" w:hint="eastAsia"/>
          <w:sz w:val="24"/>
          <w:szCs w:val="24"/>
        </w:rPr>
        <w:t>氯丙嗪的药理作用、作用机制、临床应用及不良反应</w:t>
      </w:r>
    </w:p>
    <w:p w14:paraId="68617C68"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7EEE7FA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药物分类，DA神经通路</w:t>
      </w:r>
    </w:p>
    <w:p w14:paraId="1EA48D74"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29D355D0"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2B8FC8A8"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4611A26F"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简述氯丙嗪在中枢的药理作用、临床应用</w:t>
      </w:r>
    </w:p>
    <w:p w14:paraId="2D914827"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t xml:space="preserve">2. </w:t>
      </w:r>
      <w:r w:rsidRPr="00531108">
        <w:rPr>
          <w:rFonts w:ascii="宋体" w:eastAsia="宋体" w:hAnsi="宋体" w:cs="Times New Roman" w:hint="eastAsia"/>
          <w:sz w:val="24"/>
          <w:szCs w:val="24"/>
        </w:rPr>
        <w:t>简述锥体外</w:t>
      </w:r>
      <w:proofErr w:type="gramStart"/>
      <w:r w:rsidRPr="00531108">
        <w:rPr>
          <w:rFonts w:ascii="宋体" w:eastAsia="宋体" w:hAnsi="宋体" w:cs="Times New Roman" w:hint="eastAsia"/>
          <w:sz w:val="24"/>
          <w:szCs w:val="24"/>
        </w:rPr>
        <w:t>系反应</w:t>
      </w:r>
      <w:proofErr w:type="gramEnd"/>
      <w:r w:rsidRPr="00531108">
        <w:rPr>
          <w:rFonts w:ascii="宋体" w:eastAsia="宋体" w:hAnsi="宋体" w:cs="Times New Roman" w:hint="eastAsia"/>
          <w:sz w:val="24"/>
          <w:szCs w:val="24"/>
        </w:rPr>
        <w:t>的发生原因及表现</w:t>
      </w:r>
    </w:p>
    <w:p w14:paraId="3989D31D" w14:textId="77777777" w:rsidR="00531108" w:rsidRPr="00531108" w:rsidRDefault="00531108" w:rsidP="00D4283B">
      <w:pPr>
        <w:spacing w:beforeLines="50" w:before="156" w:afterLines="50" w:after="156" w:line="440" w:lineRule="exact"/>
        <w:ind w:firstLineChars="200" w:firstLine="560"/>
        <w:jc w:val="center"/>
        <w:rPr>
          <w:rFonts w:ascii="黑体" w:eastAsia="黑体" w:hAnsi="黑体" w:cs="Times New Roman"/>
          <w:sz w:val="28"/>
          <w:szCs w:val="28"/>
        </w:rPr>
      </w:pPr>
      <w:r w:rsidRPr="00531108">
        <w:rPr>
          <w:rFonts w:ascii="黑体" w:eastAsia="黑体" w:hAnsi="黑体" w:cs="Times New Roman" w:hint="eastAsia"/>
          <w:sz w:val="28"/>
          <w:szCs w:val="28"/>
        </w:rPr>
        <w:t>第十九章  镇痛药</w:t>
      </w:r>
    </w:p>
    <w:p w14:paraId="7774DC4B"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r w:rsidRPr="00531108">
        <w:rPr>
          <w:rFonts w:ascii="宋体" w:eastAsia="宋体" w:hAnsi="宋体" w:cs="宋体" w:hint="eastAsia"/>
          <w:sz w:val="24"/>
          <w:szCs w:val="24"/>
        </w:rPr>
        <w:t> </w:t>
      </w:r>
    </w:p>
    <w:p w14:paraId="59342480" w14:textId="77777777" w:rsidR="00531108" w:rsidRPr="00531108" w:rsidRDefault="00531108" w:rsidP="00D4283B">
      <w:pPr>
        <w:spacing w:line="440" w:lineRule="exact"/>
        <w:ind w:firstLineChars="200" w:firstLine="480"/>
        <w:rPr>
          <w:rFonts w:ascii="宋体" w:eastAsia="宋体" w:hAnsi="宋体" w:cs="宋体"/>
          <w:sz w:val="24"/>
          <w:szCs w:val="24"/>
        </w:rPr>
      </w:pPr>
      <w:r w:rsidRPr="00531108">
        <w:rPr>
          <w:rFonts w:ascii="宋体" w:eastAsia="宋体" w:hAnsi="宋体" w:cs="Times New Roman" w:hint="eastAsia"/>
          <w:sz w:val="24"/>
          <w:szCs w:val="24"/>
        </w:rPr>
        <w:t>1. 掌握</w:t>
      </w:r>
      <w:r w:rsidRPr="00531108">
        <w:rPr>
          <w:rFonts w:ascii="宋体" w:eastAsia="宋体" w:hAnsi="宋体" w:cs="宋体" w:hint="eastAsia"/>
          <w:sz w:val="24"/>
          <w:szCs w:val="24"/>
        </w:rPr>
        <w:t>吗啡作用机制，药理作用，临床应用，不良反应、禁忌症；哌替啶药理作用与临床应用、与吗啡区别</w:t>
      </w:r>
    </w:p>
    <w:p w14:paraId="40693B0F"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熟悉镇痛药的分类及癌症镇痛三阶梯疗法</w:t>
      </w:r>
    </w:p>
    <w:p w14:paraId="200B9242"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76F69F5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t xml:space="preserve">1. </w:t>
      </w:r>
      <w:r w:rsidRPr="00531108">
        <w:rPr>
          <w:rFonts w:ascii="宋体" w:eastAsia="宋体" w:hAnsi="宋体" w:cs="Times New Roman" w:hint="eastAsia"/>
          <w:sz w:val="24"/>
          <w:szCs w:val="24"/>
        </w:rPr>
        <w:t>镇痛药定义及药物分类</w:t>
      </w:r>
    </w:p>
    <w:p w14:paraId="6E4C346E"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阿片生物碱类镇痛药：吗啡、可待因</w:t>
      </w:r>
    </w:p>
    <w:p w14:paraId="7C846029"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 人工合成镇痛药：哌替啶</w:t>
      </w:r>
    </w:p>
    <w:p w14:paraId="7D69FD00"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4. 阿片受体拮抗剂纳络酮、癌症镇痛三阶梯疗法</w:t>
      </w:r>
    </w:p>
    <w:p w14:paraId="661BEFCB"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58CB3641" w14:textId="77777777" w:rsidR="00531108" w:rsidRPr="00531108" w:rsidRDefault="00531108">
      <w:pPr>
        <w:numPr>
          <w:ilvl w:val="0"/>
          <w:numId w:val="231"/>
        </w:numPr>
        <w:spacing w:line="440" w:lineRule="exact"/>
        <w:ind w:firstLineChars="200" w:firstLine="480"/>
        <w:rPr>
          <w:rFonts w:ascii="宋体" w:eastAsia="宋体" w:hAnsi="宋体" w:cs="宋体"/>
          <w:sz w:val="24"/>
          <w:szCs w:val="24"/>
        </w:rPr>
      </w:pPr>
      <w:r w:rsidRPr="00531108">
        <w:rPr>
          <w:rFonts w:ascii="宋体" w:eastAsia="宋体" w:hAnsi="宋体" w:cs="宋体" w:hint="eastAsia"/>
          <w:sz w:val="24"/>
          <w:szCs w:val="24"/>
        </w:rPr>
        <w:t>吗啡作用机制，药理作用，临床应用，不良反应、禁忌症</w:t>
      </w:r>
    </w:p>
    <w:p w14:paraId="06ED50F4" w14:textId="77777777" w:rsidR="00531108" w:rsidRPr="00531108" w:rsidRDefault="00531108">
      <w:pPr>
        <w:numPr>
          <w:ilvl w:val="0"/>
          <w:numId w:val="231"/>
        </w:numPr>
        <w:spacing w:line="440" w:lineRule="exact"/>
        <w:ind w:firstLineChars="200" w:firstLine="480"/>
        <w:rPr>
          <w:rFonts w:ascii="宋体" w:eastAsia="宋体" w:hAnsi="宋体" w:cs="宋体"/>
          <w:sz w:val="24"/>
          <w:szCs w:val="24"/>
        </w:rPr>
      </w:pPr>
      <w:r w:rsidRPr="00531108">
        <w:rPr>
          <w:rFonts w:ascii="宋体" w:eastAsia="宋体" w:hAnsi="宋体" w:cs="宋体" w:hint="eastAsia"/>
          <w:sz w:val="24"/>
          <w:szCs w:val="24"/>
        </w:rPr>
        <w:t>哌替啶药理作用与临床应用、与吗啡区别</w:t>
      </w:r>
    </w:p>
    <w:p w14:paraId="59476559"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2307F6D4"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镇痛药的分类及癌症镇痛三阶梯疗法</w:t>
      </w:r>
    </w:p>
    <w:p w14:paraId="0394E149"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01935ED4"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w:t>
      </w:r>
      <w:r w:rsidRPr="00531108">
        <w:rPr>
          <w:rFonts w:ascii="宋体" w:eastAsia="宋体" w:hAnsi="宋体" w:cs="Times New Roman" w:hint="eastAsia"/>
          <w:sz w:val="24"/>
          <w:szCs w:val="24"/>
        </w:rPr>
        <w:lastRenderedPageBreak/>
        <w:t>程与教学的基本知识结构，培养学生的职业规范。</w:t>
      </w:r>
    </w:p>
    <w:p w14:paraId="0DA98C10"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t xml:space="preserve">2. </w:t>
      </w:r>
      <w:r w:rsidRPr="00531108">
        <w:rPr>
          <w:rFonts w:ascii="宋体" w:eastAsia="宋体" w:hAnsi="宋体" w:cs="Times New Roman" w:hint="eastAsia"/>
          <w:sz w:val="24"/>
          <w:szCs w:val="24"/>
        </w:rPr>
        <w:t>吗啡植物来源、药用价值、毒品危害。</w:t>
      </w:r>
      <w:proofErr w:type="gramStart"/>
      <w:r w:rsidRPr="00531108">
        <w:rPr>
          <w:rFonts w:ascii="宋体" w:eastAsia="宋体" w:hAnsi="宋体" w:cs="Times New Roman" w:hint="eastAsia"/>
          <w:sz w:val="24"/>
          <w:szCs w:val="24"/>
        </w:rPr>
        <w:t>融入思政教育</w:t>
      </w:r>
      <w:proofErr w:type="gramEnd"/>
      <w:r w:rsidRPr="00531108">
        <w:rPr>
          <w:rFonts w:ascii="宋体" w:eastAsia="宋体" w:hAnsi="宋体" w:cs="Times New Roman" w:hint="eastAsia"/>
          <w:sz w:val="24"/>
          <w:szCs w:val="24"/>
        </w:rPr>
        <w:t>：</w:t>
      </w:r>
      <w:r w:rsidRPr="00531108">
        <w:rPr>
          <w:rFonts w:ascii="宋体" w:eastAsia="宋体" w:hAnsi="宋体" w:cs="Times New Roman"/>
          <w:sz w:val="24"/>
          <w:szCs w:val="24"/>
        </w:rPr>
        <w:t>A.</w:t>
      </w:r>
      <w:r w:rsidRPr="00531108">
        <w:rPr>
          <w:rFonts w:ascii="宋体" w:eastAsia="宋体" w:hAnsi="宋体" w:cs="Times New Roman" w:hint="eastAsia"/>
          <w:sz w:val="24"/>
          <w:szCs w:val="24"/>
        </w:rPr>
        <w:t>罂粟是制取鸦片以及现代毒品的主要原料。鸦片给我国带来了巨大的灾难。而现今日趋严重的毒品问题已成为全球性的灾难。我国吸毒人群日趋年轻化，危害严重，青年一代需要加强思想道德的约束、珍爱生命、远离毒品。</w:t>
      </w:r>
      <w:r w:rsidRPr="00531108">
        <w:rPr>
          <w:rFonts w:ascii="宋体" w:eastAsia="宋体" w:hAnsi="宋体" w:cs="Times New Roman"/>
          <w:sz w:val="24"/>
          <w:szCs w:val="24"/>
        </w:rPr>
        <w:t>B.</w:t>
      </w:r>
      <w:r w:rsidRPr="00531108">
        <w:rPr>
          <w:rFonts w:ascii="宋体" w:eastAsia="宋体" w:hAnsi="宋体" w:cs="Times New Roman" w:hint="eastAsia"/>
          <w:sz w:val="24"/>
          <w:szCs w:val="24"/>
        </w:rPr>
        <w:t>工作中应意识到本来药物是双</w:t>
      </w:r>
      <w:proofErr w:type="gramStart"/>
      <w:r w:rsidRPr="00531108">
        <w:rPr>
          <w:rFonts w:ascii="宋体" w:eastAsia="宋体" w:hAnsi="宋体" w:cs="Times New Roman" w:hint="eastAsia"/>
          <w:sz w:val="24"/>
          <w:szCs w:val="24"/>
        </w:rPr>
        <w:t>刃</w:t>
      </w:r>
      <w:proofErr w:type="gramEnd"/>
      <w:r w:rsidRPr="00531108">
        <w:rPr>
          <w:rFonts w:ascii="宋体" w:eastAsia="宋体" w:hAnsi="宋体" w:cs="Times New Roman" w:hint="eastAsia"/>
          <w:sz w:val="24"/>
          <w:szCs w:val="24"/>
        </w:rPr>
        <w:t>剑：随意滥用也会导致患者的成瘾现象和不择手段的觅药行为。临床工作者应加强自身责任心、同时加强对患者的用药教育，</w:t>
      </w:r>
      <w:proofErr w:type="gramStart"/>
      <w:r w:rsidRPr="00531108">
        <w:rPr>
          <w:rFonts w:ascii="宋体" w:eastAsia="宋体" w:hAnsi="宋体" w:cs="Times New Roman" w:hint="eastAsia"/>
          <w:sz w:val="24"/>
          <w:szCs w:val="24"/>
        </w:rPr>
        <w:t>医</w:t>
      </w:r>
      <w:proofErr w:type="gramEnd"/>
      <w:r w:rsidRPr="00531108">
        <w:rPr>
          <w:rFonts w:ascii="宋体" w:eastAsia="宋体" w:hAnsi="宋体" w:cs="Times New Roman" w:hint="eastAsia"/>
          <w:sz w:val="24"/>
          <w:szCs w:val="24"/>
        </w:rPr>
        <w:t>患双方共同努力，合理使用中枢镇痛药。C.树立法律意识及价值观。</w:t>
      </w:r>
    </w:p>
    <w:p w14:paraId="3C6EF943"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吗啡的镇痛作用机制。</w:t>
      </w:r>
      <w:proofErr w:type="gramStart"/>
      <w:r w:rsidRPr="00531108">
        <w:rPr>
          <w:rFonts w:ascii="宋体" w:eastAsia="宋体" w:hAnsi="宋体" w:cs="Times New Roman" w:hint="eastAsia"/>
          <w:sz w:val="24"/>
          <w:szCs w:val="24"/>
        </w:rPr>
        <w:t>融入思政教育</w:t>
      </w:r>
      <w:proofErr w:type="gramEnd"/>
      <w:r w:rsidRPr="00531108">
        <w:rPr>
          <w:rFonts w:ascii="宋体" w:eastAsia="宋体" w:hAnsi="宋体" w:cs="Times New Roman" w:hint="eastAsia"/>
          <w:sz w:val="24"/>
          <w:szCs w:val="24"/>
        </w:rPr>
        <w:t>：邹冈毅然放弃国外高薪，回到国内，在极其艰苦的条件下，积极努力地开展科研，并取得重大突破。引导学生认识到科研人的爱国主义情怀，坚持不懈，努力奋进的科研精神。鼓励同学们，学习先辈，努力克服困难，向着自己的理想坚持奋斗。</w:t>
      </w:r>
    </w:p>
    <w:p w14:paraId="085D4E35"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7E8DEE5D"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简述吗啡对于中枢系统的药理作用</w:t>
      </w:r>
    </w:p>
    <w:p w14:paraId="25FE5EF2"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t xml:space="preserve">2. </w:t>
      </w:r>
      <w:r w:rsidRPr="00531108">
        <w:rPr>
          <w:rFonts w:ascii="宋体" w:eastAsia="宋体" w:hAnsi="宋体" w:cs="Times New Roman" w:hint="eastAsia"/>
          <w:sz w:val="24"/>
          <w:szCs w:val="24"/>
        </w:rPr>
        <w:t>简述吗啡治疗心源性哮喘的机制</w:t>
      </w:r>
    </w:p>
    <w:p w14:paraId="2A8D38D1" w14:textId="77777777" w:rsidR="00531108" w:rsidRPr="00531108" w:rsidRDefault="00531108" w:rsidP="00D4283B">
      <w:pPr>
        <w:spacing w:beforeLines="50" w:before="156" w:afterLines="50" w:after="156" w:line="440" w:lineRule="exact"/>
        <w:ind w:firstLineChars="200" w:firstLine="560"/>
        <w:jc w:val="center"/>
        <w:rPr>
          <w:rFonts w:ascii="宋体" w:eastAsia="宋体" w:hAnsi="宋体" w:cs="Times New Roman"/>
          <w:b/>
          <w:sz w:val="28"/>
          <w:szCs w:val="28"/>
        </w:rPr>
      </w:pPr>
      <w:r w:rsidRPr="00531108">
        <w:rPr>
          <w:rFonts w:ascii="黑体" w:eastAsia="黑体" w:hAnsi="黑体" w:cs="Times New Roman" w:hint="eastAsia"/>
          <w:sz w:val="28"/>
          <w:szCs w:val="28"/>
        </w:rPr>
        <w:t>第二十二章  解热镇痛抗炎药</w:t>
      </w:r>
    </w:p>
    <w:p w14:paraId="06C967AC"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r w:rsidRPr="00531108">
        <w:rPr>
          <w:rFonts w:ascii="宋体" w:eastAsia="宋体" w:hAnsi="宋体" w:cs="宋体" w:hint="eastAsia"/>
          <w:sz w:val="24"/>
          <w:szCs w:val="24"/>
        </w:rPr>
        <w:t> </w:t>
      </w:r>
    </w:p>
    <w:p w14:paraId="779AD85E"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掌握</w:t>
      </w:r>
      <w:r w:rsidRPr="00531108">
        <w:rPr>
          <w:rFonts w:ascii="宋体" w:eastAsia="宋体" w:hAnsi="宋体" w:cs="宋体" w:hint="eastAsia"/>
          <w:sz w:val="24"/>
          <w:szCs w:val="24"/>
        </w:rPr>
        <w:t>解热镇痛抗炎药的共同作用及原理、阿司匹林的作用特点、药理作用与临床应用、常见不良反应；对乙酰氨基</w:t>
      </w:r>
      <w:proofErr w:type="gramStart"/>
      <w:r w:rsidRPr="00531108">
        <w:rPr>
          <w:rFonts w:ascii="宋体" w:eastAsia="宋体" w:hAnsi="宋体" w:cs="宋体" w:hint="eastAsia"/>
          <w:sz w:val="24"/>
          <w:szCs w:val="24"/>
        </w:rPr>
        <w:t>酚</w:t>
      </w:r>
      <w:proofErr w:type="gramEnd"/>
      <w:r w:rsidRPr="00531108">
        <w:rPr>
          <w:rFonts w:ascii="宋体" w:eastAsia="宋体" w:hAnsi="宋体" w:cs="宋体" w:hint="eastAsia"/>
          <w:sz w:val="24"/>
          <w:szCs w:val="24"/>
        </w:rPr>
        <w:t>临床应用</w:t>
      </w:r>
    </w:p>
    <w:p w14:paraId="0A6B98C5"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熟悉解热镇痛抗炎药的分类及各类代表药物</w:t>
      </w:r>
    </w:p>
    <w:p w14:paraId="5CD0728A"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43C70215"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解热镇痛抗炎药作用机理</w:t>
      </w:r>
    </w:p>
    <w:p w14:paraId="44A7B353"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水杨酸类：阿司匹林</w:t>
      </w:r>
    </w:p>
    <w:p w14:paraId="70974CDE"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 其他类：对乙酰氨基</w:t>
      </w:r>
      <w:proofErr w:type="gramStart"/>
      <w:r w:rsidRPr="00531108">
        <w:rPr>
          <w:rFonts w:ascii="宋体" w:eastAsia="宋体" w:hAnsi="宋体" w:cs="Times New Roman" w:hint="eastAsia"/>
          <w:sz w:val="24"/>
          <w:szCs w:val="24"/>
        </w:rPr>
        <w:t>酚</w:t>
      </w:r>
      <w:proofErr w:type="gramEnd"/>
      <w:r w:rsidRPr="00531108">
        <w:rPr>
          <w:rFonts w:ascii="宋体" w:eastAsia="宋体" w:hAnsi="宋体" w:cs="Times New Roman"/>
          <w:sz w:val="24"/>
          <w:szCs w:val="24"/>
        </w:rPr>
        <w:t xml:space="preserve"> </w:t>
      </w:r>
    </w:p>
    <w:p w14:paraId="776CD90E"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25CFEA65" w14:textId="77777777" w:rsidR="00531108" w:rsidRPr="00531108" w:rsidRDefault="00531108" w:rsidP="00D4283B">
      <w:pPr>
        <w:spacing w:line="440" w:lineRule="exact"/>
        <w:ind w:firstLineChars="200" w:firstLine="480"/>
        <w:rPr>
          <w:rFonts w:ascii="宋体" w:eastAsia="宋体" w:hAnsi="宋体" w:cs="宋体"/>
          <w:sz w:val="24"/>
          <w:szCs w:val="24"/>
        </w:rPr>
      </w:pPr>
      <w:r w:rsidRPr="00531108">
        <w:rPr>
          <w:rFonts w:ascii="宋体" w:eastAsia="宋体" w:hAnsi="宋体" w:cs="Times New Roman" w:hint="eastAsia"/>
          <w:sz w:val="24"/>
          <w:szCs w:val="24"/>
        </w:rPr>
        <w:t xml:space="preserve">1. </w:t>
      </w:r>
      <w:r w:rsidRPr="00531108">
        <w:rPr>
          <w:rFonts w:ascii="宋体" w:eastAsia="宋体" w:hAnsi="宋体" w:cs="宋体" w:hint="eastAsia"/>
          <w:sz w:val="24"/>
          <w:szCs w:val="24"/>
        </w:rPr>
        <w:t>解热镇痛抗炎药的共同作用及原理、阿司匹林的作用特点、药理作用与临床应用、常见不良反应</w:t>
      </w:r>
    </w:p>
    <w:p w14:paraId="345FE55B" w14:textId="77777777" w:rsidR="00531108" w:rsidRPr="00531108" w:rsidRDefault="00531108" w:rsidP="00D4283B">
      <w:pPr>
        <w:spacing w:line="440" w:lineRule="exact"/>
        <w:ind w:firstLineChars="200" w:firstLine="480"/>
        <w:rPr>
          <w:rFonts w:ascii="宋体" w:eastAsia="宋体" w:hAnsi="宋体" w:cs="宋体"/>
          <w:sz w:val="24"/>
          <w:szCs w:val="24"/>
        </w:rPr>
      </w:pPr>
      <w:r w:rsidRPr="00531108">
        <w:rPr>
          <w:rFonts w:ascii="宋体" w:eastAsia="宋体" w:hAnsi="宋体" w:cs="宋体"/>
          <w:sz w:val="24"/>
          <w:szCs w:val="24"/>
        </w:rPr>
        <w:t xml:space="preserve">2. </w:t>
      </w:r>
      <w:r w:rsidRPr="00531108">
        <w:rPr>
          <w:rFonts w:ascii="宋体" w:eastAsia="宋体" w:hAnsi="宋体" w:cs="宋体" w:hint="eastAsia"/>
          <w:sz w:val="24"/>
          <w:szCs w:val="24"/>
        </w:rPr>
        <w:t>对乙酰氨基</w:t>
      </w:r>
      <w:proofErr w:type="gramStart"/>
      <w:r w:rsidRPr="00531108">
        <w:rPr>
          <w:rFonts w:ascii="宋体" w:eastAsia="宋体" w:hAnsi="宋体" w:cs="宋体" w:hint="eastAsia"/>
          <w:sz w:val="24"/>
          <w:szCs w:val="24"/>
        </w:rPr>
        <w:t>酚</w:t>
      </w:r>
      <w:proofErr w:type="gramEnd"/>
      <w:r w:rsidRPr="00531108">
        <w:rPr>
          <w:rFonts w:ascii="宋体" w:eastAsia="宋体" w:hAnsi="宋体" w:cs="宋体" w:hint="eastAsia"/>
          <w:sz w:val="24"/>
          <w:szCs w:val="24"/>
        </w:rPr>
        <w:t>临床应用</w:t>
      </w:r>
    </w:p>
    <w:p w14:paraId="5DEEA488"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272AD265"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解热镇痛抗炎药作用机理</w:t>
      </w:r>
    </w:p>
    <w:p w14:paraId="30D63021"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240127C0"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lastRenderedPageBreak/>
        <w:t>1. 通过多媒体课件和传统教学相结合，阐明课程与教学基本原理，丰富学生课程与教学的基本知识结构，培养学生的职业规范。</w:t>
      </w:r>
    </w:p>
    <w:p w14:paraId="5B5EA858"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t xml:space="preserve">2. </w:t>
      </w:r>
      <w:r w:rsidRPr="00531108">
        <w:rPr>
          <w:rFonts w:ascii="宋体" w:eastAsia="宋体" w:hAnsi="宋体" w:cs="Times New Roman" w:hint="eastAsia"/>
          <w:sz w:val="24"/>
          <w:szCs w:val="24"/>
        </w:rPr>
        <w:t>阿司匹林发现历史。</w:t>
      </w:r>
      <w:proofErr w:type="gramStart"/>
      <w:r w:rsidRPr="00531108">
        <w:rPr>
          <w:rFonts w:ascii="宋体" w:eastAsia="宋体" w:hAnsi="宋体" w:cs="Times New Roman" w:hint="eastAsia"/>
          <w:sz w:val="24"/>
          <w:szCs w:val="24"/>
        </w:rPr>
        <w:t>融入思政教育</w:t>
      </w:r>
      <w:proofErr w:type="gramEnd"/>
      <w:r w:rsidRPr="00531108">
        <w:rPr>
          <w:rFonts w:ascii="宋体" w:eastAsia="宋体" w:hAnsi="宋体" w:cs="Times New Roman" w:hint="eastAsia"/>
          <w:sz w:val="24"/>
          <w:szCs w:val="24"/>
        </w:rPr>
        <w:t>：讲述科学精神元素。</w:t>
      </w:r>
    </w:p>
    <w:p w14:paraId="596D2FA1"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4CC91066"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阿司匹林与氯丙嗪对体温的影响在机制、作用和应用上有什么区别？</w:t>
      </w:r>
    </w:p>
    <w:p w14:paraId="5886FBE2"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试述解热镇痛抗炎药的镇痛作用与镇痛药的异同</w:t>
      </w:r>
    </w:p>
    <w:p w14:paraId="4D79FD58" w14:textId="77777777" w:rsidR="00531108" w:rsidRPr="00531108" w:rsidRDefault="00531108" w:rsidP="00D4283B">
      <w:pPr>
        <w:spacing w:beforeLines="50" w:before="156" w:afterLines="50" w:after="156" w:line="440" w:lineRule="exact"/>
        <w:ind w:firstLineChars="200" w:firstLine="560"/>
        <w:jc w:val="center"/>
        <w:rPr>
          <w:rFonts w:ascii="黑体" w:eastAsia="黑体" w:hAnsi="黑体" w:cs="Times New Roman"/>
          <w:sz w:val="28"/>
          <w:szCs w:val="28"/>
        </w:rPr>
      </w:pPr>
      <w:r w:rsidRPr="00531108">
        <w:rPr>
          <w:rFonts w:ascii="黑体" w:eastAsia="黑体" w:hAnsi="黑体" w:cs="Times New Roman" w:hint="eastAsia"/>
          <w:sz w:val="28"/>
          <w:szCs w:val="28"/>
        </w:rPr>
        <w:t>第二十七章  肾上腺皮质激素类药</w:t>
      </w:r>
    </w:p>
    <w:p w14:paraId="5BF8F68E"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r w:rsidRPr="00531108">
        <w:rPr>
          <w:rFonts w:ascii="宋体" w:eastAsia="宋体" w:hAnsi="宋体" w:cs="宋体" w:hint="eastAsia"/>
          <w:sz w:val="24"/>
          <w:szCs w:val="24"/>
        </w:rPr>
        <w:t> </w:t>
      </w:r>
    </w:p>
    <w:p w14:paraId="79177A67"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掌握</w:t>
      </w:r>
      <w:r w:rsidRPr="00531108">
        <w:rPr>
          <w:rFonts w:ascii="宋体" w:eastAsia="宋体" w:hAnsi="宋体" w:cs="宋体" w:hint="eastAsia"/>
          <w:sz w:val="24"/>
          <w:szCs w:val="24"/>
        </w:rPr>
        <w:t>糖皮质激素的药理作用及机制、临床应用、不良反应</w:t>
      </w:r>
    </w:p>
    <w:p w14:paraId="14BFB2F0"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熟悉糖皮质激素化学结构</w:t>
      </w:r>
      <w:proofErr w:type="gramStart"/>
      <w:r w:rsidRPr="00531108">
        <w:rPr>
          <w:rFonts w:ascii="宋体" w:eastAsia="宋体" w:hAnsi="宋体" w:cs="Times New Roman" w:hint="eastAsia"/>
          <w:sz w:val="24"/>
          <w:szCs w:val="24"/>
        </w:rPr>
        <w:t>与构效关系</w:t>
      </w:r>
      <w:proofErr w:type="gramEnd"/>
    </w:p>
    <w:p w14:paraId="19405BDC"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5510C303"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肾上腺皮质激素类药物的分类，化学结构</w:t>
      </w:r>
      <w:proofErr w:type="gramStart"/>
      <w:r w:rsidRPr="00531108">
        <w:rPr>
          <w:rFonts w:ascii="宋体" w:eastAsia="宋体" w:hAnsi="宋体" w:cs="Times New Roman" w:hint="eastAsia"/>
          <w:sz w:val="24"/>
          <w:szCs w:val="24"/>
        </w:rPr>
        <w:t>与构效关系</w:t>
      </w:r>
      <w:proofErr w:type="gramEnd"/>
    </w:p>
    <w:p w14:paraId="7F163DD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糖皮质激素类药物</w:t>
      </w:r>
    </w:p>
    <w:p w14:paraId="134FC664"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767A96E8"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 xml:space="preserve">1. </w:t>
      </w:r>
      <w:r w:rsidRPr="00531108">
        <w:rPr>
          <w:rFonts w:ascii="宋体" w:eastAsia="宋体" w:hAnsi="宋体" w:cs="宋体" w:hint="eastAsia"/>
          <w:sz w:val="24"/>
          <w:szCs w:val="24"/>
        </w:rPr>
        <w:t>糖皮质激素的药理作用及机制、临床应用、不良反应</w:t>
      </w:r>
    </w:p>
    <w:p w14:paraId="57FC4568"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03FF7BD4"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w:t>
      </w:r>
      <w:r w:rsidRPr="00531108">
        <w:rPr>
          <w:rFonts w:ascii="宋体" w:eastAsia="宋体" w:hAnsi="宋体" w:cs="Times New Roman" w:hint="eastAsia"/>
          <w:sz w:val="24"/>
          <w:szCs w:val="24"/>
        </w:rPr>
        <w:t xml:space="preserve"> 糖皮质激素化学结构</w:t>
      </w:r>
      <w:proofErr w:type="gramStart"/>
      <w:r w:rsidRPr="00531108">
        <w:rPr>
          <w:rFonts w:ascii="宋体" w:eastAsia="宋体" w:hAnsi="宋体" w:cs="Times New Roman" w:hint="eastAsia"/>
          <w:sz w:val="24"/>
          <w:szCs w:val="24"/>
        </w:rPr>
        <w:t>与构效关系</w:t>
      </w:r>
      <w:proofErr w:type="gramEnd"/>
    </w:p>
    <w:p w14:paraId="7B3E2DB5"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1B6C73B7"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2A9FE9CE"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53D951C3" w14:textId="77777777" w:rsidR="00531108" w:rsidRPr="00531108" w:rsidRDefault="00531108">
      <w:pPr>
        <w:numPr>
          <w:ilvl w:val="0"/>
          <w:numId w:val="225"/>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简述糖皮质激素长期大剂量应用引起的不良反应</w:t>
      </w:r>
    </w:p>
    <w:p w14:paraId="53227C15" w14:textId="77777777" w:rsidR="00531108" w:rsidRPr="00531108" w:rsidRDefault="00531108" w:rsidP="00D4283B">
      <w:pPr>
        <w:spacing w:beforeLines="50" w:before="156" w:afterLines="50" w:after="156" w:line="440" w:lineRule="exact"/>
        <w:ind w:firstLineChars="200" w:firstLine="560"/>
        <w:jc w:val="center"/>
        <w:rPr>
          <w:rFonts w:ascii="黑体" w:eastAsia="黑体" w:hAnsi="黑体" w:cs="Times New Roman"/>
          <w:sz w:val="28"/>
          <w:szCs w:val="28"/>
        </w:rPr>
      </w:pPr>
      <w:r w:rsidRPr="00531108">
        <w:rPr>
          <w:rFonts w:ascii="黑体" w:eastAsia="黑体" w:hAnsi="黑体" w:cs="Times New Roman" w:hint="eastAsia"/>
          <w:sz w:val="28"/>
          <w:szCs w:val="28"/>
        </w:rPr>
        <w:t>第二十八章  胰岛素</w:t>
      </w:r>
    </w:p>
    <w:p w14:paraId="6CFF0E17"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r w:rsidRPr="00531108">
        <w:rPr>
          <w:rFonts w:ascii="宋体" w:eastAsia="宋体" w:hAnsi="宋体" w:cs="宋体" w:hint="eastAsia"/>
          <w:sz w:val="24"/>
          <w:szCs w:val="24"/>
        </w:rPr>
        <w:t> </w:t>
      </w:r>
    </w:p>
    <w:p w14:paraId="0FCC67BE"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掌握</w:t>
      </w:r>
      <w:r w:rsidRPr="00531108">
        <w:rPr>
          <w:rFonts w:ascii="宋体" w:eastAsia="宋体" w:hAnsi="宋体" w:cs="宋体" w:hint="eastAsia"/>
          <w:sz w:val="24"/>
          <w:szCs w:val="24"/>
        </w:rPr>
        <w:t>胰岛素的药理作用、临床应用、不良反应</w:t>
      </w:r>
    </w:p>
    <w:p w14:paraId="2FB4A058"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熟悉糖尿病的临床表现</w:t>
      </w:r>
      <w:r w:rsidRPr="00531108">
        <w:rPr>
          <w:rFonts w:ascii="宋体" w:eastAsia="宋体" w:hAnsi="宋体" w:cs="Times New Roman"/>
          <w:sz w:val="24"/>
          <w:szCs w:val="24"/>
        </w:rPr>
        <w:t xml:space="preserve"> </w:t>
      </w:r>
    </w:p>
    <w:p w14:paraId="3F780BE9"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7B6DCF78"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糖尿病简介、治疗方法</w:t>
      </w:r>
    </w:p>
    <w:p w14:paraId="3EBD2907"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胰岛素</w:t>
      </w:r>
    </w:p>
    <w:p w14:paraId="79DBC3E3" w14:textId="77777777" w:rsidR="00531108" w:rsidRPr="00531108" w:rsidRDefault="00531108" w:rsidP="00D4283B">
      <w:pPr>
        <w:spacing w:line="440" w:lineRule="exact"/>
        <w:ind w:firstLineChars="200" w:firstLine="482"/>
        <w:jc w:val="left"/>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7EF6CD34" w14:textId="77777777" w:rsidR="00531108" w:rsidRPr="00531108" w:rsidRDefault="00531108">
      <w:pPr>
        <w:numPr>
          <w:ilvl w:val="0"/>
          <w:numId w:val="232"/>
        </w:numPr>
        <w:spacing w:line="440" w:lineRule="exact"/>
        <w:ind w:firstLineChars="200" w:firstLine="480"/>
        <w:rPr>
          <w:rFonts w:ascii="宋体" w:eastAsia="宋体" w:hAnsi="宋体" w:cs="Times New Roman"/>
          <w:sz w:val="24"/>
          <w:szCs w:val="24"/>
        </w:rPr>
      </w:pPr>
      <w:r w:rsidRPr="00531108">
        <w:rPr>
          <w:rFonts w:ascii="宋体" w:eastAsia="宋体" w:hAnsi="宋体" w:cs="宋体" w:hint="eastAsia"/>
          <w:sz w:val="24"/>
          <w:szCs w:val="24"/>
        </w:rPr>
        <w:lastRenderedPageBreak/>
        <w:t>胰岛素的药理作用、临床应用、不良反应</w:t>
      </w:r>
    </w:p>
    <w:p w14:paraId="5D2B39E7"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5E59300D" w14:textId="77777777" w:rsidR="00531108" w:rsidRPr="00531108" w:rsidRDefault="00531108">
      <w:pPr>
        <w:numPr>
          <w:ilvl w:val="0"/>
          <w:numId w:val="233"/>
        </w:numPr>
        <w:spacing w:line="440" w:lineRule="exact"/>
        <w:ind w:firstLineChars="200" w:firstLine="480"/>
        <w:rPr>
          <w:rFonts w:ascii="宋体" w:eastAsia="宋体" w:hAnsi="宋体" w:cs="宋体"/>
          <w:sz w:val="24"/>
          <w:szCs w:val="24"/>
        </w:rPr>
      </w:pPr>
      <w:r w:rsidRPr="00531108">
        <w:rPr>
          <w:rFonts w:ascii="宋体" w:eastAsia="宋体" w:hAnsi="宋体" w:cs="宋体" w:hint="eastAsia"/>
          <w:sz w:val="24"/>
          <w:szCs w:val="24"/>
        </w:rPr>
        <w:t>胰岛素的药理作用</w:t>
      </w:r>
    </w:p>
    <w:p w14:paraId="1E955A76"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62BC1E62"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65E6744F"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5508EB51" w14:textId="77777777" w:rsidR="00531108" w:rsidRPr="00531108" w:rsidRDefault="00531108">
      <w:pPr>
        <w:numPr>
          <w:ilvl w:val="0"/>
          <w:numId w:val="226"/>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简述胰岛素药理作用及临床应用</w:t>
      </w:r>
    </w:p>
    <w:p w14:paraId="52385C7D" w14:textId="77777777" w:rsidR="00531108" w:rsidRPr="00531108" w:rsidRDefault="00531108" w:rsidP="00D4283B">
      <w:pPr>
        <w:spacing w:beforeLines="50" w:before="156" w:afterLines="50" w:after="156" w:line="440" w:lineRule="exact"/>
        <w:ind w:firstLineChars="200" w:firstLine="560"/>
        <w:jc w:val="center"/>
        <w:rPr>
          <w:rFonts w:ascii="宋体" w:eastAsia="宋体" w:hAnsi="宋体" w:cs="Times New Roman"/>
          <w:b/>
          <w:sz w:val="28"/>
          <w:szCs w:val="28"/>
        </w:rPr>
      </w:pPr>
      <w:r w:rsidRPr="00531108">
        <w:rPr>
          <w:rFonts w:ascii="黑体" w:eastAsia="黑体" w:hAnsi="黑体" w:cs="Times New Roman" w:hint="eastAsia"/>
          <w:sz w:val="28"/>
          <w:szCs w:val="28"/>
        </w:rPr>
        <w:t>第二十九章  甲状腺激素</w:t>
      </w:r>
    </w:p>
    <w:p w14:paraId="57410DFC"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r w:rsidRPr="00531108">
        <w:rPr>
          <w:rFonts w:ascii="宋体" w:eastAsia="宋体" w:hAnsi="宋体" w:cs="宋体" w:hint="eastAsia"/>
          <w:sz w:val="24"/>
          <w:szCs w:val="24"/>
        </w:rPr>
        <w:t> </w:t>
      </w:r>
    </w:p>
    <w:p w14:paraId="75C26FEF"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掌握</w:t>
      </w:r>
      <w:r w:rsidRPr="00531108">
        <w:rPr>
          <w:rFonts w:ascii="宋体" w:eastAsia="宋体" w:hAnsi="宋体" w:cs="宋体" w:hint="eastAsia"/>
          <w:sz w:val="24"/>
          <w:szCs w:val="24"/>
        </w:rPr>
        <w:t>甲状腺激素的药理作用、临床应用</w:t>
      </w:r>
    </w:p>
    <w:p w14:paraId="3F4D1989"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熟悉甲状腺激素的作用机制、体内过程</w:t>
      </w:r>
    </w:p>
    <w:p w14:paraId="0BD98466"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了解甲状腺激素作用，合成与调节</w:t>
      </w:r>
    </w:p>
    <w:p w14:paraId="32B8F88D"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7D23F53D"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甲状腺激素作用，合成与调节</w:t>
      </w:r>
    </w:p>
    <w:p w14:paraId="678411F4"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 xml:space="preserve">2. </w:t>
      </w:r>
      <w:r w:rsidRPr="00531108">
        <w:rPr>
          <w:rFonts w:ascii="宋体" w:eastAsia="宋体" w:hAnsi="宋体" w:cs="宋体" w:hint="eastAsia"/>
          <w:sz w:val="24"/>
          <w:szCs w:val="24"/>
        </w:rPr>
        <w:t>甲状腺激素的药理作用、临床应用</w:t>
      </w:r>
      <w:r w:rsidRPr="00531108">
        <w:rPr>
          <w:rFonts w:ascii="宋体" w:eastAsia="宋体" w:hAnsi="宋体" w:cs="Times New Roman" w:hint="eastAsia"/>
          <w:sz w:val="24"/>
          <w:szCs w:val="24"/>
        </w:rPr>
        <w:t>、作用机制、体内过程</w:t>
      </w:r>
    </w:p>
    <w:p w14:paraId="50B1B3F4"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4C516A36" w14:textId="77777777" w:rsidR="00531108" w:rsidRPr="00531108" w:rsidRDefault="00531108">
      <w:pPr>
        <w:numPr>
          <w:ilvl w:val="0"/>
          <w:numId w:val="218"/>
        </w:numPr>
        <w:spacing w:line="440" w:lineRule="exact"/>
        <w:ind w:firstLineChars="200" w:firstLine="480"/>
        <w:rPr>
          <w:rFonts w:ascii="宋体" w:eastAsia="宋体" w:hAnsi="宋体" w:cs="Times New Roman"/>
          <w:sz w:val="24"/>
          <w:szCs w:val="24"/>
        </w:rPr>
      </w:pPr>
      <w:r w:rsidRPr="00531108">
        <w:rPr>
          <w:rFonts w:ascii="宋体" w:eastAsia="宋体" w:hAnsi="宋体" w:cs="宋体" w:hint="eastAsia"/>
          <w:sz w:val="24"/>
          <w:szCs w:val="24"/>
        </w:rPr>
        <w:t>甲状腺激素的药理作用、临床应用</w:t>
      </w:r>
    </w:p>
    <w:p w14:paraId="6A6479E6"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2BA5560E" w14:textId="77777777" w:rsidR="00531108" w:rsidRPr="00531108" w:rsidRDefault="00531108">
      <w:pPr>
        <w:numPr>
          <w:ilvl w:val="0"/>
          <w:numId w:val="234"/>
        </w:numPr>
        <w:spacing w:line="440" w:lineRule="exact"/>
        <w:ind w:firstLineChars="200" w:firstLine="480"/>
        <w:jc w:val="left"/>
        <w:rPr>
          <w:rFonts w:ascii="宋体" w:eastAsia="宋体" w:hAnsi="宋体" w:cs="Times New Roman"/>
          <w:sz w:val="24"/>
          <w:szCs w:val="24"/>
        </w:rPr>
      </w:pPr>
      <w:r w:rsidRPr="00531108">
        <w:rPr>
          <w:rFonts w:ascii="宋体" w:eastAsia="宋体" w:hAnsi="宋体" w:cs="Times New Roman" w:hint="eastAsia"/>
          <w:sz w:val="24"/>
          <w:szCs w:val="24"/>
        </w:rPr>
        <w:t>甲状腺激素的作用机制、体内过程</w:t>
      </w:r>
    </w:p>
    <w:p w14:paraId="00E32757" w14:textId="77777777" w:rsidR="00531108" w:rsidRPr="00531108" w:rsidRDefault="00531108" w:rsidP="00D4283B">
      <w:pPr>
        <w:spacing w:line="440" w:lineRule="exact"/>
        <w:ind w:firstLineChars="200" w:firstLine="482"/>
        <w:jc w:val="left"/>
        <w:rPr>
          <w:rFonts w:ascii="宋体" w:eastAsia="宋体" w:hAnsi="宋体" w:cs="宋体"/>
          <w:sz w:val="24"/>
          <w:szCs w:val="24"/>
        </w:rPr>
      </w:pPr>
      <w:r w:rsidRPr="00531108">
        <w:rPr>
          <w:rFonts w:ascii="宋体" w:eastAsia="宋体" w:hAnsi="宋体" w:cs="Times New Roman" w:hint="eastAsia"/>
          <w:b/>
          <w:sz w:val="24"/>
          <w:szCs w:val="24"/>
        </w:rPr>
        <w:t>【教学方法】</w:t>
      </w:r>
    </w:p>
    <w:p w14:paraId="2568D653"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41F2FDF4"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220549C7" w14:textId="77777777" w:rsidR="00531108" w:rsidRPr="00531108" w:rsidRDefault="00531108">
      <w:pPr>
        <w:numPr>
          <w:ilvl w:val="0"/>
          <w:numId w:val="219"/>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 xml:space="preserve">无 </w:t>
      </w:r>
    </w:p>
    <w:p w14:paraId="3FEC2811" w14:textId="77777777" w:rsidR="00531108" w:rsidRPr="00531108" w:rsidRDefault="00531108" w:rsidP="00D4283B">
      <w:pPr>
        <w:spacing w:beforeLines="50" w:before="156" w:afterLines="50" w:after="156" w:line="440" w:lineRule="exact"/>
        <w:ind w:firstLineChars="200" w:firstLine="560"/>
        <w:jc w:val="center"/>
        <w:rPr>
          <w:rFonts w:ascii="黑体" w:eastAsia="黑体" w:hAnsi="黑体" w:cs="Times New Roman"/>
          <w:sz w:val="28"/>
          <w:szCs w:val="28"/>
        </w:rPr>
      </w:pPr>
      <w:r w:rsidRPr="00531108">
        <w:rPr>
          <w:rFonts w:ascii="黑体" w:eastAsia="黑体" w:hAnsi="黑体" w:cs="Times New Roman" w:hint="eastAsia"/>
          <w:sz w:val="28"/>
          <w:szCs w:val="28"/>
        </w:rPr>
        <w:t>第三十六章  抗菌药物概论</w:t>
      </w:r>
    </w:p>
    <w:p w14:paraId="61C9E6AC"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r w:rsidRPr="00531108">
        <w:rPr>
          <w:rFonts w:ascii="宋体" w:eastAsia="宋体" w:hAnsi="宋体" w:cs="宋体" w:hint="eastAsia"/>
          <w:sz w:val="24"/>
          <w:szCs w:val="24"/>
        </w:rPr>
        <w:t> </w:t>
      </w:r>
    </w:p>
    <w:p w14:paraId="19A32DCD"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掌握</w:t>
      </w:r>
      <w:r w:rsidRPr="00531108">
        <w:rPr>
          <w:rFonts w:ascii="宋体" w:eastAsia="宋体" w:hAnsi="宋体" w:cs="宋体" w:hint="eastAsia"/>
          <w:sz w:val="24"/>
          <w:szCs w:val="24"/>
        </w:rPr>
        <w:t>抗菌药物的常用术语；抗菌药物的作用机制；细菌耐药性机制</w:t>
      </w:r>
    </w:p>
    <w:p w14:paraId="2420D8BB"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熟悉抗菌药物合理应用原则</w:t>
      </w:r>
    </w:p>
    <w:p w14:paraId="1B274DCF"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4DE0C9CD"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lastRenderedPageBreak/>
        <w:t xml:space="preserve">1. </w:t>
      </w:r>
      <w:r w:rsidRPr="00531108">
        <w:rPr>
          <w:rFonts w:ascii="宋体" w:eastAsia="宋体" w:hAnsi="宋体" w:cs="宋体" w:hint="eastAsia"/>
          <w:sz w:val="24"/>
          <w:szCs w:val="24"/>
        </w:rPr>
        <w:t>抗菌药物的常用术语</w:t>
      </w:r>
    </w:p>
    <w:p w14:paraId="43AAA1E0"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抗菌药物的作用机制</w:t>
      </w:r>
    </w:p>
    <w:p w14:paraId="0410F781"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t>3</w:t>
      </w:r>
      <w:r w:rsidRPr="00531108">
        <w:rPr>
          <w:rFonts w:ascii="宋体" w:eastAsia="宋体" w:hAnsi="宋体" w:cs="Times New Roman" w:hint="eastAsia"/>
          <w:sz w:val="24"/>
          <w:szCs w:val="24"/>
        </w:rPr>
        <w:t>. 细菌抗药性的产生及耐药机制、抗菌药物应用的基本原则</w:t>
      </w:r>
    </w:p>
    <w:p w14:paraId="19F3BD46"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36B0DCC1" w14:textId="77777777" w:rsidR="00531108" w:rsidRPr="00531108" w:rsidRDefault="00531108">
      <w:pPr>
        <w:numPr>
          <w:ilvl w:val="0"/>
          <w:numId w:val="235"/>
        </w:numPr>
        <w:spacing w:line="440" w:lineRule="exact"/>
        <w:ind w:firstLineChars="200" w:firstLine="480"/>
        <w:rPr>
          <w:rFonts w:ascii="宋体" w:eastAsia="宋体" w:hAnsi="宋体" w:cs="Times New Roman"/>
          <w:sz w:val="24"/>
          <w:szCs w:val="24"/>
        </w:rPr>
      </w:pPr>
      <w:r w:rsidRPr="00531108">
        <w:rPr>
          <w:rFonts w:ascii="宋体" w:eastAsia="宋体" w:hAnsi="宋体" w:cs="宋体" w:hint="eastAsia"/>
          <w:sz w:val="24"/>
          <w:szCs w:val="24"/>
        </w:rPr>
        <w:t>抗菌药物的常用术语；抗菌药物的作用机制；细菌耐药性机制</w:t>
      </w:r>
    </w:p>
    <w:p w14:paraId="3A11A60A"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521BA3E0"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w:t>
      </w:r>
      <w:r w:rsidRPr="00531108">
        <w:rPr>
          <w:rFonts w:ascii="宋体" w:eastAsia="宋体" w:hAnsi="宋体" w:cs="Times New Roman" w:hint="eastAsia"/>
          <w:sz w:val="24"/>
          <w:szCs w:val="24"/>
        </w:rPr>
        <w:t xml:space="preserve"> 细菌抗药性的产生及耐药机制</w:t>
      </w:r>
    </w:p>
    <w:p w14:paraId="096AA4D7"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5B428520"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21F9FF3C"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0EC155C6"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简述抗菌药物的作用机制</w:t>
      </w:r>
    </w:p>
    <w:p w14:paraId="2A045084"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t xml:space="preserve">2. </w:t>
      </w:r>
      <w:r w:rsidRPr="00531108">
        <w:rPr>
          <w:rFonts w:ascii="宋体" w:eastAsia="宋体" w:hAnsi="宋体" w:cs="Times New Roman" w:hint="eastAsia"/>
          <w:sz w:val="24"/>
          <w:szCs w:val="24"/>
        </w:rPr>
        <w:t>简述药物产生耐药性的机制</w:t>
      </w:r>
    </w:p>
    <w:p w14:paraId="0291ABA7" w14:textId="77777777" w:rsidR="00531108" w:rsidRPr="00531108" w:rsidRDefault="00531108" w:rsidP="00D4283B">
      <w:pPr>
        <w:spacing w:beforeLines="50" w:before="156" w:afterLines="50" w:after="156" w:line="440" w:lineRule="exact"/>
        <w:ind w:firstLineChars="200" w:firstLine="560"/>
        <w:jc w:val="center"/>
        <w:rPr>
          <w:rFonts w:ascii="黑体" w:eastAsia="黑体" w:hAnsi="黑体" w:cs="Times New Roman"/>
          <w:sz w:val="28"/>
          <w:szCs w:val="28"/>
        </w:rPr>
      </w:pPr>
      <w:r w:rsidRPr="00531108">
        <w:rPr>
          <w:rFonts w:ascii="黑体" w:eastAsia="黑体" w:hAnsi="黑体" w:cs="Times New Roman" w:hint="eastAsia"/>
          <w:sz w:val="28"/>
          <w:szCs w:val="28"/>
        </w:rPr>
        <w:t xml:space="preserve">第三十七章  人工合成抗菌药物 </w:t>
      </w:r>
    </w:p>
    <w:p w14:paraId="2972D506"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r w:rsidRPr="00531108">
        <w:rPr>
          <w:rFonts w:ascii="宋体" w:eastAsia="宋体" w:hAnsi="宋体" w:cs="宋体" w:hint="eastAsia"/>
          <w:sz w:val="24"/>
          <w:szCs w:val="24"/>
        </w:rPr>
        <w:t> </w:t>
      </w:r>
    </w:p>
    <w:p w14:paraId="3563193B"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掌握</w:t>
      </w:r>
      <w:r w:rsidRPr="00531108">
        <w:rPr>
          <w:rFonts w:ascii="宋体" w:eastAsia="宋体" w:hAnsi="宋体" w:cs="宋体" w:hint="eastAsia"/>
          <w:sz w:val="24"/>
          <w:szCs w:val="24"/>
        </w:rPr>
        <w:t>氟</w:t>
      </w:r>
      <w:proofErr w:type="gramStart"/>
      <w:r w:rsidRPr="00531108">
        <w:rPr>
          <w:rFonts w:ascii="宋体" w:eastAsia="宋体" w:hAnsi="宋体" w:cs="宋体" w:hint="eastAsia"/>
          <w:sz w:val="24"/>
          <w:szCs w:val="24"/>
        </w:rPr>
        <w:t>喹</w:t>
      </w:r>
      <w:proofErr w:type="gramEnd"/>
      <w:r w:rsidRPr="00531108">
        <w:rPr>
          <w:rFonts w:ascii="宋体" w:eastAsia="宋体" w:hAnsi="宋体" w:cs="宋体" w:hint="eastAsia"/>
          <w:sz w:val="24"/>
          <w:szCs w:val="24"/>
        </w:rPr>
        <w:t>诺酮类的代表药物及抗菌作用机制、临床应用；磺胺类的抗菌作用机制、体内过程、不良反应；甲氧</w:t>
      </w:r>
      <w:proofErr w:type="gramStart"/>
      <w:r w:rsidRPr="00531108">
        <w:rPr>
          <w:rFonts w:ascii="宋体" w:eastAsia="宋体" w:hAnsi="宋体" w:cs="宋体" w:hint="eastAsia"/>
          <w:sz w:val="24"/>
          <w:szCs w:val="24"/>
        </w:rPr>
        <w:t>苄啶</w:t>
      </w:r>
      <w:proofErr w:type="gramEnd"/>
      <w:r w:rsidRPr="00531108">
        <w:rPr>
          <w:rFonts w:ascii="宋体" w:eastAsia="宋体" w:hAnsi="宋体" w:cs="宋体" w:hint="eastAsia"/>
          <w:sz w:val="24"/>
          <w:szCs w:val="24"/>
        </w:rPr>
        <w:t>与磺胺类的协同抗菌作用机制及临床应用</w:t>
      </w:r>
    </w:p>
    <w:p w14:paraId="35CBB2F1"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熟悉人工合成抗菌药物分类</w:t>
      </w:r>
    </w:p>
    <w:p w14:paraId="629C9E77"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2D78300C"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sz w:val="24"/>
          <w:szCs w:val="24"/>
        </w:rPr>
        <w:t xml:space="preserve">1. </w:t>
      </w:r>
      <w:r w:rsidRPr="00531108">
        <w:rPr>
          <w:rFonts w:ascii="宋体" w:eastAsia="宋体" w:hAnsi="宋体" w:cs="Times New Roman" w:hint="eastAsia"/>
          <w:sz w:val="24"/>
          <w:szCs w:val="24"/>
        </w:rPr>
        <w:t>人工合成抗菌药物分类</w:t>
      </w:r>
    </w:p>
    <w:p w14:paraId="76D7F6A7"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 xml:space="preserve">2. </w:t>
      </w:r>
      <w:proofErr w:type="gramStart"/>
      <w:r w:rsidRPr="00531108">
        <w:rPr>
          <w:rFonts w:ascii="宋体" w:eastAsia="宋体" w:hAnsi="宋体" w:cs="Times New Roman" w:hint="eastAsia"/>
          <w:sz w:val="24"/>
          <w:szCs w:val="24"/>
        </w:rPr>
        <w:t>喹</w:t>
      </w:r>
      <w:proofErr w:type="gramEnd"/>
      <w:r w:rsidRPr="00531108">
        <w:rPr>
          <w:rFonts w:ascii="宋体" w:eastAsia="宋体" w:hAnsi="宋体" w:cs="Times New Roman" w:hint="eastAsia"/>
          <w:sz w:val="24"/>
          <w:szCs w:val="24"/>
        </w:rPr>
        <w:t>诺酮类抗菌药</w:t>
      </w:r>
    </w:p>
    <w:p w14:paraId="561E4AA5"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3. 磺胺类抗菌药及甲氧</w:t>
      </w:r>
      <w:proofErr w:type="gramStart"/>
      <w:r w:rsidRPr="00531108">
        <w:rPr>
          <w:rFonts w:ascii="宋体" w:eastAsia="宋体" w:hAnsi="宋体" w:cs="Times New Roman" w:hint="eastAsia"/>
          <w:sz w:val="24"/>
          <w:szCs w:val="24"/>
        </w:rPr>
        <w:t>苄啶</w:t>
      </w:r>
      <w:proofErr w:type="gramEnd"/>
    </w:p>
    <w:p w14:paraId="63227E05"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3D497D1A" w14:textId="77777777" w:rsidR="00531108" w:rsidRPr="00531108" w:rsidRDefault="00531108">
      <w:pPr>
        <w:numPr>
          <w:ilvl w:val="0"/>
          <w:numId w:val="220"/>
        </w:numPr>
        <w:spacing w:line="440" w:lineRule="exact"/>
        <w:ind w:firstLineChars="200" w:firstLine="480"/>
        <w:rPr>
          <w:rFonts w:ascii="宋体" w:eastAsia="宋体" w:hAnsi="宋体" w:cs="Times New Roman"/>
          <w:sz w:val="24"/>
          <w:szCs w:val="24"/>
        </w:rPr>
      </w:pPr>
      <w:r w:rsidRPr="00531108">
        <w:rPr>
          <w:rFonts w:ascii="宋体" w:eastAsia="宋体" w:hAnsi="宋体" w:cs="宋体" w:hint="eastAsia"/>
          <w:sz w:val="24"/>
          <w:szCs w:val="24"/>
        </w:rPr>
        <w:t>氟</w:t>
      </w:r>
      <w:proofErr w:type="gramStart"/>
      <w:r w:rsidRPr="00531108">
        <w:rPr>
          <w:rFonts w:ascii="宋体" w:eastAsia="宋体" w:hAnsi="宋体" w:cs="宋体" w:hint="eastAsia"/>
          <w:sz w:val="24"/>
          <w:szCs w:val="24"/>
        </w:rPr>
        <w:t>喹</w:t>
      </w:r>
      <w:proofErr w:type="gramEnd"/>
      <w:r w:rsidRPr="00531108">
        <w:rPr>
          <w:rFonts w:ascii="宋体" w:eastAsia="宋体" w:hAnsi="宋体" w:cs="宋体" w:hint="eastAsia"/>
          <w:sz w:val="24"/>
          <w:szCs w:val="24"/>
        </w:rPr>
        <w:t>诺酮类的代表药物及抗菌作用机制、临床应用</w:t>
      </w:r>
    </w:p>
    <w:p w14:paraId="47512EE1" w14:textId="77777777" w:rsidR="00531108" w:rsidRPr="00531108" w:rsidRDefault="00531108">
      <w:pPr>
        <w:numPr>
          <w:ilvl w:val="0"/>
          <w:numId w:val="220"/>
        </w:numPr>
        <w:spacing w:line="440" w:lineRule="exact"/>
        <w:ind w:firstLineChars="200" w:firstLine="480"/>
        <w:rPr>
          <w:rFonts w:ascii="宋体" w:eastAsia="宋体" w:hAnsi="宋体" w:cs="Times New Roman"/>
          <w:sz w:val="24"/>
          <w:szCs w:val="24"/>
        </w:rPr>
      </w:pPr>
      <w:r w:rsidRPr="00531108">
        <w:rPr>
          <w:rFonts w:ascii="宋体" w:eastAsia="宋体" w:hAnsi="宋体" w:cs="宋体" w:hint="eastAsia"/>
          <w:sz w:val="24"/>
          <w:szCs w:val="24"/>
        </w:rPr>
        <w:t>磺胺类的抗菌作用机制、体内过程、不良反应</w:t>
      </w:r>
    </w:p>
    <w:p w14:paraId="10803ED0" w14:textId="77777777" w:rsidR="00531108" w:rsidRPr="00531108" w:rsidRDefault="00531108">
      <w:pPr>
        <w:numPr>
          <w:ilvl w:val="0"/>
          <w:numId w:val="220"/>
        </w:numPr>
        <w:spacing w:line="440" w:lineRule="exact"/>
        <w:ind w:firstLineChars="200" w:firstLine="480"/>
        <w:rPr>
          <w:rFonts w:ascii="宋体" w:eastAsia="宋体" w:hAnsi="宋体" w:cs="Times New Roman"/>
          <w:sz w:val="24"/>
          <w:szCs w:val="24"/>
        </w:rPr>
      </w:pPr>
      <w:r w:rsidRPr="00531108">
        <w:rPr>
          <w:rFonts w:ascii="宋体" w:eastAsia="宋体" w:hAnsi="宋体" w:cs="宋体" w:hint="eastAsia"/>
          <w:sz w:val="24"/>
          <w:szCs w:val="24"/>
        </w:rPr>
        <w:t>甲氧</w:t>
      </w:r>
      <w:proofErr w:type="gramStart"/>
      <w:r w:rsidRPr="00531108">
        <w:rPr>
          <w:rFonts w:ascii="宋体" w:eastAsia="宋体" w:hAnsi="宋体" w:cs="宋体" w:hint="eastAsia"/>
          <w:sz w:val="24"/>
          <w:szCs w:val="24"/>
        </w:rPr>
        <w:t>苄啶</w:t>
      </w:r>
      <w:proofErr w:type="gramEnd"/>
      <w:r w:rsidRPr="00531108">
        <w:rPr>
          <w:rFonts w:ascii="宋体" w:eastAsia="宋体" w:hAnsi="宋体" w:cs="宋体" w:hint="eastAsia"/>
          <w:sz w:val="24"/>
          <w:szCs w:val="24"/>
        </w:rPr>
        <w:t>与磺胺类的协同抗菌作用机制及临床应用</w:t>
      </w:r>
    </w:p>
    <w:p w14:paraId="22F67992"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64A29EDE"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w:t>
      </w:r>
      <w:r w:rsidRPr="00531108">
        <w:rPr>
          <w:rFonts w:ascii="宋体" w:eastAsia="宋体" w:hAnsi="宋体" w:cs="Times New Roman" w:hint="eastAsia"/>
          <w:sz w:val="24"/>
          <w:szCs w:val="24"/>
        </w:rPr>
        <w:t xml:space="preserve"> </w:t>
      </w:r>
      <w:r w:rsidRPr="00531108">
        <w:rPr>
          <w:rFonts w:ascii="宋体" w:eastAsia="宋体" w:hAnsi="宋体" w:cs="宋体" w:hint="eastAsia"/>
          <w:sz w:val="24"/>
          <w:szCs w:val="24"/>
        </w:rPr>
        <w:t>甲氧</w:t>
      </w:r>
      <w:proofErr w:type="gramStart"/>
      <w:r w:rsidRPr="00531108">
        <w:rPr>
          <w:rFonts w:ascii="宋体" w:eastAsia="宋体" w:hAnsi="宋体" w:cs="宋体" w:hint="eastAsia"/>
          <w:sz w:val="24"/>
          <w:szCs w:val="24"/>
        </w:rPr>
        <w:t>苄啶</w:t>
      </w:r>
      <w:proofErr w:type="gramEnd"/>
      <w:r w:rsidRPr="00531108">
        <w:rPr>
          <w:rFonts w:ascii="宋体" w:eastAsia="宋体" w:hAnsi="宋体" w:cs="宋体" w:hint="eastAsia"/>
          <w:sz w:val="24"/>
          <w:szCs w:val="24"/>
        </w:rPr>
        <w:t>与磺胺类的协同抗菌作用机制</w:t>
      </w:r>
    </w:p>
    <w:p w14:paraId="4DB599C4"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4AD8DC5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7C8A54F7"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lastRenderedPageBreak/>
        <w:t>【复习思考】</w:t>
      </w:r>
    </w:p>
    <w:p w14:paraId="61EA73A0" w14:textId="77777777" w:rsidR="00531108" w:rsidRPr="00531108" w:rsidRDefault="00531108">
      <w:pPr>
        <w:numPr>
          <w:ilvl w:val="0"/>
          <w:numId w:val="221"/>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简述SMZ与TMP合用的机制</w:t>
      </w:r>
    </w:p>
    <w:p w14:paraId="7A62B08A" w14:textId="77777777" w:rsidR="00531108" w:rsidRPr="00531108" w:rsidRDefault="00531108" w:rsidP="00D4283B">
      <w:pPr>
        <w:spacing w:beforeLines="50" w:before="156" w:afterLines="50" w:after="156" w:line="440" w:lineRule="exact"/>
        <w:ind w:firstLineChars="200" w:firstLine="560"/>
        <w:jc w:val="center"/>
        <w:rPr>
          <w:rFonts w:ascii="黑体" w:eastAsia="黑体" w:hAnsi="黑体" w:cs="Times New Roman"/>
          <w:sz w:val="28"/>
          <w:szCs w:val="28"/>
        </w:rPr>
      </w:pPr>
      <w:r w:rsidRPr="00531108">
        <w:rPr>
          <w:rFonts w:ascii="黑体" w:eastAsia="黑体" w:hAnsi="黑体" w:cs="Times New Roman" w:hint="eastAsia"/>
          <w:sz w:val="28"/>
          <w:szCs w:val="28"/>
        </w:rPr>
        <w:t>第三十八章  β-内酰胺类和其他作用于细胞壁的抗生素</w:t>
      </w:r>
    </w:p>
    <w:p w14:paraId="371BA228"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r w:rsidRPr="00531108">
        <w:rPr>
          <w:rFonts w:ascii="宋体" w:eastAsia="宋体" w:hAnsi="宋体" w:cs="宋体" w:hint="eastAsia"/>
          <w:sz w:val="24"/>
          <w:szCs w:val="24"/>
        </w:rPr>
        <w:t> </w:t>
      </w:r>
    </w:p>
    <w:p w14:paraId="3A28B478"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掌握</w:t>
      </w:r>
      <w:r w:rsidRPr="00531108">
        <w:rPr>
          <w:rFonts w:ascii="宋体" w:eastAsia="宋体" w:hAnsi="宋体" w:cs="宋体" w:hint="eastAsia"/>
          <w:sz w:val="24"/>
          <w:szCs w:val="24"/>
        </w:rPr>
        <w:t>青霉素和头孢菌素的抗菌作用特点、抗菌谱、适应症、不良反应及其防治</w:t>
      </w:r>
    </w:p>
    <w:p w14:paraId="46A03490" w14:textId="77777777" w:rsidR="00531108" w:rsidRPr="00531108" w:rsidRDefault="00531108" w:rsidP="00D4283B">
      <w:pPr>
        <w:spacing w:line="440" w:lineRule="exact"/>
        <w:ind w:firstLineChars="200" w:firstLine="480"/>
        <w:rPr>
          <w:rFonts w:ascii="宋体" w:eastAsia="宋体" w:hAnsi="宋体" w:cs="宋体"/>
          <w:sz w:val="24"/>
          <w:szCs w:val="24"/>
        </w:rPr>
      </w:pPr>
      <w:r w:rsidRPr="00531108">
        <w:rPr>
          <w:rFonts w:ascii="宋体" w:eastAsia="宋体" w:hAnsi="宋体" w:cs="Times New Roman" w:hint="eastAsia"/>
          <w:sz w:val="24"/>
          <w:szCs w:val="24"/>
        </w:rPr>
        <w:t>2.</w:t>
      </w:r>
      <w:r w:rsidRPr="00531108">
        <w:rPr>
          <w:rFonts w:ascii="宋体" w:eastAsia="宋体" w:hAnsi="宋体" w:cs="宋体"/>
          <w:sz w:val="24"/>
          <w:szCs w:val="24"/>
        </w:rPr>
        <w:t xml:space="preserve"> </w:t>
      </w:r>
      <w:r w:rsidRPr="00531108">
        <w:rPr>
          <w:rFonts w:ascii="宋体" w:eastAsia="宋体" w:hAnsi="宋体" w:cs="Times New Roman" w:hint="eastAsia"/>
          <w:sz w:val="24"/>
          <w:szCs w:val="24"/>
        </w:rPr>
        <w:t>熟悉青霉素及头孢菌素类药物的基本结构；第一，二，三代头孢菌素的抗菌作用特点</w:t>
      </w:r>
    </w:p>
    <w:p w14:paraId="0B0D5168"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18F8B523"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青霉素类药物</w:t>
      </w:r>
    </w:p>
    <w:p w14:paraId="1849B597"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头孢菌素类药物</w:t>
      </w:r>
    </w:p>
    <w:p w14:paraId="5EC82C55" w14:textId="77777777" w:rsidR="00D4283B"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4059A7D9" w14:textId="77777777" w:rsidR="00531108" w:rsidRPr="00D4283B" w:rsidRDefault="00D4283B" w:rsidP="00D4283B">
      <w:pPr>
        <w:spacing w:line="440" w:lineRule="exact"/>
        <w:ind w:firstLineChars="200" w:firstLine="480"/>
        <w:rPr>
          <w:rFonts w:ascii="宋体" w:eastAsia="宋体" w:hAnsi="宋体" w:cs="Times New Roman"/>
          <w:b/>
          <w:sz w:val="24"/>
          <w:szCs w:val="24"/>
        </w:rPr>
      </w:pPr>
      <w:r>
        <w:rPr>
          <w:rFonts w:ascii="宋体" w:eastAsia="宋体" w:hAnsi="宋体" w:cs="宋体" w:hint="eastAsia"/>
          <w:sz w:val="24"/>
          <w:szCs w:val="24"/>
        </w:rPr>
        <w:t>1.</w:t>
      </w:r>
      <w:r w:rsidR="00531108" w:rsidRPr="00531108">
        <w:rPr>
          <w:rFonts w:ascii="宋体" w:eastAsia="宋体" w:hAnsi="宋体" w:cs="宋体" w:hint="eastAsia"/>
          <w:sz w:val="24"/>
          <w:szCs w:val="24"/>
        </w:rPr>
        <w:t>青霉素和头孢菌素的抗菌作用特点、抗菌谱、适应症、不良反应及其防治</w:t>
      </w:r>
    </w:p>
    <w:p w14:paraId="4A890A0C"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06533C83"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w:t>
      </w:r>
      <w:r w:rsidRPr="00531108">
        <w:rPr>
          <w:rFonts w:ascii="宋体" w:eastAsia="宋体" w:hAnsi="宋体" w:cs="Times New Roman" w:hint="eastAsia"/>
          <w:sz w:val="24"/>
          <w:szCs w:val="24"/>
        </w:rPr>
        <w:t xml:space="preserve"> 第一，二，三代头孢菌素的抗菌作用特点</w:t>
      </w:r>
    </w:p>
    <w:p w14:paraId="42453260"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73AA5CF8"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69BD9CF6"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2A3B87C6" w14:textId="77777777" w:rsidR="00531108" w:rsidRPr="00531108" w:rsidRDefault="00531108">
      <w:pPr>
        <w:numPr>
          <w:ilvl w:val="0"/>
          <w:numId w:val="222"/>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简述青霉素抗菌药物作用机制及防治过敏反应的措施</w:t>
      </w:r>
    </w:p>
    <w:p w14:paraId="48D47AD1" w14:textId="77777777" w:rsidR="00531108" w:rsidRPr="00531108" w:rsidRDefault="00531108" w:rsidP="00D4283B">
      <w:pPr>
        <w:spacing w:beforeLines="50" w:before="156" w:afterLines="50" w:after="156" w:line="440" w:lineRule="exact"/>
        <w:ind w:firstLineChars="200" w:firstLine="560"/>
        <w:jc w:val="center"/>
        <w:rPr>
          <w:rFonts w:ascii="宋体" w:eastAsia="宋体" w:hAnsi="宋体" w:cs="Times New Roman"/>
          <w:b/>
          <w:sz w:val="28"/>
          <w:szCs w:val="28"/>
        </w:rPr>
      </w:pPr>
      <w:r w:rsidRPr="00531108">
        <w:rPr>
          <w:rFonts w:ascii="黑体" w:eastAsia="黑体" w:hAnsi="黑体" w:cs="Times New Roman" w:hint="eastAsia"/>
          <w:sz w:val="28"/>
          <w:szCs w:val="28"/>
        </w:rPr>
        <w:t>第三十九章  氨基糖苷类抗生素</w:t>
      </w:r>
    </w:p>
    <w:p w14:paraId="1A786D22"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r w:rsidRPr="00531108">
        <w:rPr>
          <w:rFonts w:ascii="宋体" w:eastAsia="宋体" w:hAnsi="宋体" w:cs="宋体" w:hint="eastAsia"/>
          <w:sz w:val="24"/>
          <w:szCs w:val="24"/>
        </w:rPr>
        <w:t> </w:t>
      </w:r>
    </w:p>
    <w:p w14:paraId="18FF7697"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掌握</w:t>
      </w:r>
      <w:r w:rsidRPr="00531108">
        <w:rPr>
          <w:rFonts w:ascii="宋体" w:eastAsia="宋体" w:hAnsi="宋体" w:cs="宋体" w:hint="eastAsia"/>
          <w:sz w:val="24"/>
          <w:szCs w:val="24"/>
        </w:rPr>
        <w:t>氨基糖苷类常用药物的抗菌机制、适应症、耐药性、不良反应</w:t>
      </w:r>
    </w:p>
    <w:p w14:paraId="1B752C0A"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宋体" w:hint="eastAsia"/>
          <w:sz w:val="24"/>
          <w:szCs w:val="24"/>
        </w:rPr>
        <w:t>2</w:t>
      </w:r>
      <w:r w:rsidRPr="00531108">
        <w:rPr>
          <w:rFonts w:ascii="宋体" w:eastAsia="宋体" w:hAnsi="宋体" w:cs="宋体"/>
          <w:sz w:val="24"/>
          <w:szCs w:val="24"/>
        </w:rPr>
        <w:t xml:space="preserve">. </w:t>
      </w:r>
      <w:r w:rsidRPr="00531108">
        <w:rPr>
          <w:rFonts w:ascii="宋体" w:eastAsia="宋体" w:hAnsi="宋体" w:cs="Times New Roman" w:hint="eastAsia"/>
          <w:sz w:val="24"/>
          <w:szCs w:val="24"/>
        </w:rPr>
        <w:t>熟悉氨基</w:t>
      </w:r>
      <w:proofErr w:type="gramStart"/>
      <w:r w:rsidRPr="00531108">
        <w:rPr>
          <w:rFonts w:ascii="宋体" w:eastAsia="宋体" w:hAnsi="宋体" w:cs="Times New Roman" w:hint="eastAsia"/>
          <w:sz w:val="24"/>
          <w:szCs w:val="24"/>
        </w:rPr>
        <w:t>苷</w:t>
      </w:r>
      <w:proofErr w:type="gramEnd"/>
      <w:r w:rsidRPr="00531108">
        <w:rPr>
          <w:rFonts w:ascii="宋体" w:eastAsia="宋体" w:hAnsi="宋体" w:cs="Times New Roman" w:hint="eastAsia"/>
          <w:sz w:val="24"/>
          <w:szCs w:val="24"/>
        </w:rPr>
        <w:t>类药物共同特点</w:t>
      </w:r>
    </w:p>
    <w:p w14:paraId="79274369"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725213CB" w14:textId="77777777" w:rsidR="00531108" w:rsidRPr="00531108" w:rsidRDefault="00531108">
      <w:pPr>
        <w:numPr>
          <w:ilvl w:val="0"/>
          <w:numId w:val="236"/>
        </w:num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氨基</w:t>
      </w:r>
      <w:proofErr w:type="gramStart"/>
      <w:r w:rsidRPr="00531108">
        <w:rPr>
          <w:rFonts w:ascii="宋体" w:eastAsia="宋体" w:hAnsi="宋体" w:cs="Times New Roman" w:hint="eastAsia"/>
          <w:sz w:val="24"/>
          <w:szCs w:val="24"/>
        </w:rPr>
        <w:t>甙</w:t>
      </w:r>
      <w:proofErr w:type="gramEnd"/>
      <w:r w:rsidRPr="00531108">
        <w:rPr>
          <w:rFonts w:ascii="宋体" w:eastAsia="宋体" w:hAnsi="宋体" w:cs="Times New Roman" w:hint="eastAsia"/>
          <w:sz w:val="24"/>
          <w:szCs w:val="24"/>
        </w:rPr>
        <w:t>类药物</w:t>
      </w:r>
    </w:p>
    <w:p w14:paraId="51CE4E4D"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729ECE0A" w14:textId="77777777" w:rsidR="00531108" w:rsidRPr="00531108" w:rsidRDefault="00531108" w:rsidP="00D4283B">
      <w:pPr>
        <w:spacing w:line="440" w:lineRule="exact"/>
        <w:ind w:firstLineChars="200" w:firstLine="480"/>
        <w:rPr>
          <w:rFonts w:ascii="宋体" w:eastAsia="宋体" w:hAnsi="宋体" w:cs="宋体"/>
          <w:sz w:val="24"/>
          <w:szCs w:val="24"/>
        </w:rPr>
      </w:pPr>
      <w:r w:rsidRPr="00531108">
        <w:rPr>
          <w:rFonts w:ascii="宋体" w:eastAsia="宋体" w:hAnsi="宋体" w:cs="Times New Roman" w:hint="eastAsia"/>
          <w:sz w:val="24"/>
          <w:szCs w:val="24"/>
        </w:rPr>
        <w:t xml:space="preserve">1. </w:t>
      </w:r>
      <w:r w:rsidRPr="00531108">
        <w:rPr>
          <w:rFonts w:ascii="宋体" w:eastAsia="宋体" w:hAnsi="宋体" w:cs="宋体" w:hint="eastAsia"/>
          <w:sz w:val="24"/>
          <w:szCs w:val="24"/>
        </w:rPr>
        <w:t>氨基糖苷类常用药物的抗菌机制、适应症、耐药性、不良反应</w:t>
      </w:r>
    </w:p>
    <w:p w14:paraId="51534F51"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0416AFAB"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w:t>
      </w:r>
      <w:r w:rsidRPr="00531108">
        <w:rPr>
          <w:rFonts w:ascii="宋体" w:eastAsia="宋体" w:hAnsi="宋体" w:cs="Times New Roman" w:hint="eastAsia"/>
          <w:sz w:val="24"/>
          <w:szCs w:val="24"/>
        </w:rPr>
        <w:t xml:space="preserve"> 氨基</w:t>
      </w:r>
      <w:proofErr w:type="gramStart"/>
      <w:r w:rsidRPr="00531108">
        <w:rPr>
          <w:rFonts w:ascii="宋体" w:eastAsia="宋体" w:hAnsi="宋体" w:cs="Times New Roman" w:hint="eastAsia"/>
          <w:sz w:val="24"/>
          <w:szCs w:val="24"/>
        </w:rPr>
        <w:t>苷</w:t>
      </w:r>
      <w:proofErr w:type="gramEnd"/>
      <w:r w:rsidRPr="00531108">
        <w:rPr>
          <w:rFonts w:ascii="宋体" w:eastAsia="宋体" w:hAnsi="宋体" w:cs="Times New Roman" w:hint="eastAsia"/>
          <w:sz w:val="24"/>
          <w:szCs w:val="24"/>
        </w:rPr>
        <w:t>类药物共同特点</w:t>
      </w:r>
    </w:p>
    <w:p w14:paraId="755DF368"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lastRenderedPageBreak/>
        <w:t>【教学方法】</w:t>
      </w:r>
    </w:p>
    <w:p w14:paraId="304FD724"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01FD4B63" w14:textId="77777777" w:rsidR="00D4283B"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6D41B721" w14:textId="77777777" w:rsidR="00531108" w:rsidRPr="00D4283B" w:rsidRDefault="00D4283B" w:rsidP="00D4283B">
      <w:pPr>
        <w:spacing w:line="440" w:lineRule="exact"/>
        <w:ind w:firstLineChars="200" w:firstLine="480"/>
        <w:rPr>
          <w:rFonts w:ascii="宋体" w:eastAsia="宋体" w:hAnsi="宋体" w:cs="Times New Roman"/>
          <w:bCs/>
          <w:color w:val="FF0000"/>
          <w:sz w:val="24"/>
          <w:szCs w:val="24"/>
        </w:rPr>
      </w:pPr>
      <w:r>
        <w:rPr>
          <w:rFonts w:ascii="宋体" w:eastAsia="宋体" w:hAnsi="宋体" w:cs="Times New Roman" w:hint="eastAsia"/>
          <w:sz w:val="24"/>
          <w:szCs w:val="24"/>
        </w:rPr>
        <w:t>1.</w:t>
      </w:r>
      <w:r w:rsidR="00531108" w:rsidRPr="00531108">
        <w:rPr>
          <w:rFonts w:ascii="宋体" w:eastAsia="宋体" w:hAnsi="宋体" w:cs="Times New Roman" w:hint="eastAsia"/>
          <w:sz w:val="24"/>
          <w:szCs w:val="24"/>
        </w:rPr>
        <w:t>无</w:t>
      </w:r>
    </w:p>
    <w:p w14:paraId="0D1B669A" w14:textId="77777777" w:rsidR="00531108" w:rsidRPr="00531108" w:rsidRDefault="00531108" w:rsidP="00D4283B">
      <w:pPr>
        <w:spacing w:beforeLines="50" w:before="156" w:afterLines="50" w:after="156" w:line="440" w:lineRule="exact"/>
        <w:ind w:firstLineChars="200" w:firstLine="560"/>
        <w:jc w:val="center"/>
        <w:rPr>
          <w:rFonts w:ascii="黑体" w:eastAsia="黑体" w:hAnsi="黑体" w:cs="Times New Roman"/>
          <w:sz w:val="28"/>
          <w:szCs w:val="28"/>
        </w:rPr>
      </w:pPr>
      <w:r w:rsidRPr="00531108">
        <w:rPr>
          <w:rFonts w:ascii="黑体" w:eastAsia="黑体" w:hAnsi="黑体" w:cs="Times New Roman" w:hint="eastAsia"/>
          <w:sz w:val="28"/>
          <w:szCs w:val="28"/>
        </w:rPr>
        <w:t>第四十章  大环内脂类抗生素</w:t>
      </w:r>
    </w:p>
    <w:p w14:paraId="6F3BE4DB"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【学习目标】</w:t>
      </w:r>
      <w:r w:rsidRPr="00531108">
        <w:rPr>
          <w:rFonts w:ascii="宋体" w:eastAsia="宋体" w:hAnsi="宋体" w:cs="宋体" w:hint="eastAsia"/>
          <w:sz w:val="24"/>
          <w:szCs w:val="24"/>
        </w:rPr>
        <w:t> </w:t>
      </w:r>
    </w:p>
    <w:p w14:paraId="67C78743"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掌握</w:t>
      </w:r>
      <w:r w:rsidRPr="00531108">
        <w:rPr>
          <w:rFonts w:ascii="宋体" w:eastAsia="宋体" w:hAnsi="宋体" w:cs="宋体" w:hint="eastAsia"/>
          <w:sz w:val="24"/>
          <w:szCs w:val="24"/>
        </w:rPr>
        <w:t>大环内酯类抗菌作用机制及代表药、不良反应</w:t>
      </w:r>
    </w:p>
    <w:p w14:paraId="6C9D1025"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 了解红霉素类的进展</w:t>
      </w:r>
    </w:p>
    <w:p w14:paraId="6081507A" w14:textId="77777777" w:rsidR="00531108" w:rsidRPr="00531108" w:rsidRDefault="00531108" w:rsidP="00D4283B">
      <w:pPr>
        <w:spacing w:line="440" w:lineRule="exact"/>
        <w:ind w:firstLineChars="200" w:firstLine="482"/>
        <w:rPr>
          <w:rFonts w:ascii="宋体" w:eastAsia="宋体" w:hAnsi="宋体" w:cs="Times New Roman"/>
          <w:color w:val="FF0000"/>
          <w:sz w:val="24"/>
          <w:szCs w:val="24"/>
        </w:rPr>
      </w:pPr>
      <w:r w:rsidRPr="00531108">
        <w:rPr>
          <w:rFonts w:ascii="宋体" w:eastAsia="宋体" w:hAnsi="宋体" w:cs="Times New Roman" w:hint="eastAsia"/>
          <w:b/>
          <w:sz w:val="24"/>
          <w:szCs w:val="24"/>
        </w:rPr>
        <w:t>【学习内容】</w:t>
      </w:r>
    </w:p>
    <w:p w14:paraId="5BF94E08"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w:t>
      </w:r>
      <w:r w:rsidRPr="00531108">
        <w:rPr>
          <w:rFonts w:ascii="宋体" w:eastAsia="宋体" w:hAnsi="宋体" w:cs="Times New Roman"/>
          <w:sz w:val="24"/>
          <w:szCs w:val="24"/>
        </w:rPr>
        <w:t xml:space="preserve"> </w:t>
      </w:r>
      <w:r w:rsidRPr="00531108">
        <w:rPr>
          <w:rFonts w:ascii="宋体" w:eastAsia="宋体" w:hAnsi="宋体" w:cs="Times New Roman" w:hint="eastAsia"/>
          <w:sz w:val="24"/>
          <w:szCs w:val="24"/>
        </w:rPr>
        <w:t>大环内酯类抗生素：红霉素、氯霉素，四环素</w:t>
      </w:r>
    </w:p>
    <w:p w14:paraId="06337076" w14:textId="77777777" w:rsidR="00531108" w:rsidRPr="00531108"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【重点】</w:t>
      </w:r>
    </w:p>
    <w:p w14:paraId="7E6E1363"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 xml:space="preserve">1. </w:t>
      </w:r>
      <w:r w:rsidRPr="00531108">
        <w:rPr>
          <w:rFonts w:ascii="宋体" w:eastAsia="宋体" w:hAnsi="宋体" w:cs="宋体" w:hint="eastAsia"/>
          <w:sz w:val="24"/>
          <w:szCs w:val="24"/>
        </w:rPr>
        <w:t>大环内酯类抗菌作用机制及代表药、不良反应</w:t>
      </w:r>
    </w:p>
    <w:p w14:paraId="5FEAC9D4" w14:textId="77777777" w:rsidR="00D4283B" w:rsidRDefault="00531108" w:rsidP="00D4283B">
      <w:pPr>
        <w:spacing w:line="440" w:lineRule="exact"/>
        <w:ind w:firstLineChars="200" w:firstLine="482"/>
        <w:rPr>
          <w:rFonts w:ascii="宋体" w:eastAsia="宋体" w:hAnsi="宋体" w:cs="Times New Roman"/>
          <w:b/>
          <w:sz w:val="24"/>
          <w:szCs w:val="24"/>
        </w:rPr>
      </w:pPr>
      <w:r w:rsidRPr="00531108">
        <w:rPr>
          <w:rFonts w:ascii="宋体" w:eastAsia="宋体" w:hAnsi="宋体" w:cs="Times New Roman" w:hint="eastAsia"/>
          <w:b/>
          <w:sz w:val="24"/>
          <w:szCs w:val="24"/>
        </w:rPr>
        <w:t>【难点】</w:t>
      </w:r>
    </w:p>
    <w:p w14:paraId="4D4DB670" w14:textId="77777777" w:rsidR="00531108" w:rsidRPr="00D4283B" w:rsidRDefault="00D4283B" w:rsidP="00D4283B">
      <w:pPr>
        <w:spacing w:line="440" w:lineRule="exact"/>
        <w:ind w:firstLineChars="200" w:firstLine="480"/>
        <w:rPr>
          <w:rFonts w:ascii="宋体" w:eastAsia="宋体" w:hAnsi="宋体" w:cs="Times New Roman"/>
          <w:b/>
          <w:sz w:val="24"/>
          <w:szCs w:val="24"/>
        </w:rPr>
      </w:pPr>
      <w:r>
        <w:rPr>
          <w:rFonts w:ascii="宋体" w:eastAsia="宋体" w:hAnsi="宋体" w:cs="宋体" w:hint="eastAsia"/>
          <w:sz w:val="24"/>
          <w:szCs w:val="24"/>
        </w:rPr>
        <w:t>1.</w:t>
      </w:r>
      <w:r w:rsidR="00531108" w:rsidRPr="00531108">
        <w:rPr>
          <w:rFonts w:ascii="宋体" w:eastAsia="宋体" w:hAnsi="宋体" w:cs="宋体" w:hint="eastAsia"/>
          <w:sz w:val="24"/>
          <w:szCs w:val="24"/>
        </w:rPr>
        <w:t>大环内酯类抗菌作用机制</w:t>
      </w:r>
    </w:p>
    <w:p w14:paraId="395CBA29" w14:textId="77777777" w:rsidR="00531108" w:rsidRPr="00531108" w:rsidRDefault="00531108" w:rsidP="00D4283B">
      <w:pPr>
        <w:spacing w:line="440" w:lineRule="exact"/>
        <w:ind w:firstLineChars="200" w:firstLine="482"/>
        <w:jc w:val="left"/>
        <w:rPr>
          <w:rFonts w:ascii="宋体" w:eastAsia="宋体" w:hAnsi="宋体" w:cs="Times New Roman"/>
          <w:b/>
          <w:sz w:val="24"/>
          <w:szCs w:val="24"/>
        </w:rPr>
      </w:pPr>
      <w:r w:rsidRPr="00531108">
        <w:rPr>
          <w:rFonts w:ascii="宋体" w:eastAsia="宋体" w:hAnsi="宋体" w:cs="Times New Roman" w:hint="eastAsia"/>
          <w:b/>
          <w:sz w:val="24"/>
          <w:szCs w:val="24"/>
        </w:rPr>
        <w:t>【教学方法】</w:t>
      </w:r>
    </w:p>
    <w:p w14:paraId="355E77B5"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0423392B" w14:textId="77777777" w:rsidR="00531108" w:rsidRPr="00531108" w:rsidRDefault="00531108" w:rsidP="00D4283B">
      <w:pPr>
        <w:spacing w:line="440" w:lineRule="exact"/>
        <w:ind w:firstLineChars="200" w:firstLine="482"/>
        <w:rPr>
          <w:rFonts w:ascii="宋体" w:eastAsia="宋体" w:hAnsi="宋体" w:cs="Times New Roman"/>
          <w:bCs/>
          <w:color w:val="FF0000"/>
          <w:sz w:val="24"/>
          <w:szCs w:val="24"/>
        </w:rPr>
      </w:pPr>
      <w:r w:rsidRPr="00531108">
        <w:rPr>
          <w:rFonts w:ascii="宋体" w:eastAsia="宋体" w:hAnsi="宋体" w:cs="Times New Roman" w:hint="eastAsia"/>
          <w:b/>
          <w:sz w:val="24"/>
          <w:szCs w:val="24"/>
        </w:rPr>
        <w:t>【复习思考】</w:t>
      </w:r>
    </w:p>
    <w:p w14:paraId="5654D500"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 xml:space="preserve"> 1. 无</w:t>
      </w:r>
    </w:p>
    <w:p w14:paraId="0F7C4B8D" w14:textId="77777777" w:rsidR="00531108" w:rsidRPr="00531108" w:rsidRDefault="00531108" w:rsidP="00D4283B">
      <w:pPr>
        <w:spacing w:beforeLines="50" w:before="156" w:afterLines="50" w:after="156" w:line="440" w:lineRule="exact"/>
        <w:ind w:firstLineChars="200" w:firstLine="560"/>
        <w:rPr>
          <w:rFonts w:ascii="仿宋" w:eastAsia="仿宋" w:hAnsi="仿宋" w:cs="Times New Roman"/>
          <w:sz w:val="24"/>
          <w:szCs w:val="24"/>
        </w:rPr>
      </w:pPr>
      <w:r w:rsidRPr="00531108">
        <w:rPr>
          <w:rFonts w:ascii="黑体" w:eastAsia="黑体" w:hAnsi="黑体" w:cs="Times New Roman" w:hint="eastAsia"/>
          <w:sz w:val="28"/>
          <w:szCs w:val="28"/>
        </w:rPr>
        <w:t>（二）课程学习内容与课程学习目标的对应关系</w:t>
      </w:r>
      <w:r w:rsidRPr="00531108">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71"/>
        <w:gridCol w:w="2125"/>
        <w:gridCol w:w="1985"/>
        <w:gridCol w:w="1276"/>
      </w:tblGrid>
      <w:tr w:rsidR="00531108" w:rsidRPr="00531108" w14:paraId="14CA9A30" w14:textId="77777777" w:rsidTr="00004A27">
        <w:trPr>
          <w:trHeight w:val="660"/>
          <w:jc w:val="center"/>
        </w:trPr>
        <w:tc>
          <w:tcPr>
            <w:tcW w:w="3971" w:type="dxa"/>
            <w:vAlign w:val="center"/>
          </w:tcPr>
          <w:p w14:paraId="2E6B1EF0" w14:textId="77777777" w:rsidR="00531108" w:rsidRPr="00531108" w:rsidRDefault="00531108" w:rsidP="00531108">
            <w:pPr>
              <w:spacing w:line="440" w:lineRule="exact"/>
              <w:ind w:firstLine="200"/>
              <w:jc w:val="center"/>
              <w:rPr>
                <w:rFonts w:ascii="宋体" w:eastAsia="宋体" w:hAnsi="宋体" w:cs="Times New Roman"/>
                <w:b/>
                <w:bCs/>
                <w:sz w:val="24"/>
                <w:szCs w:val="24"/>
              </w:rPr>
            </w:pPr>
            <w:r w:rsidRPr="00531108">
              <w:rPr>
                <w:rFonts w:ascii="宋体" w:eastAsia="宋体" w:hAnsi="宋体" w:cs="Times New Roman" w:hint="eastAsia"/>
                <w:b/>
                <w:bCs/>
                <w:sz w:val="24"/>
                <w:szCs w:val="24"/>
              </w:rPr>
              <w:t>课程学习内容</w:t>
            </w:r>
          </w:p>
        </w:tc>
        <w:tc>
          <w:tcPr>
            <w:tcW w:w="2125" w:type="dxa"/>
            <w:vAlign w:val="center"/>
          </w:tcPr>
          <w:p w14:paraId="5E8EB84C" w14:textId="77777777" w:rsidR="00531108" w:rsidRPr="00531108" w:rsidRDefault="00531108" w:rsidP="00531108">
            <w:pPr>
              <w:spacing w:line="440" w:lineRule="exact"/>
              <w:ind w:firstLine="200"/>
              <w:jc w:val="center"/>
              <w:rPr>
                <w:rFonts w:ascii="宋体" w:eastAsia="宋体" w:hAnsi="宋体" w:cs="Times New Roman"/>
                <w:b/>
                <w:bCs/>
                <w:sz w:val="24"/>
                <w:szCs w:val="24"/>
              </w:rPr>
            </w:pPr>
            <w:r w:rsidRPr="00531108">
              <w:rPr>
                <w:rFonts w:ascii="宋体" w:eastAsia="宋体" w:hAnsi="宋体" w:cs="Times New Roman" w:hint="eastAsia"/>
                <w:b/>
                <w:bCs/>
                <w:sz w:val="24"/>
                <w:szCs w:val="24"/>
              </w:rPr>
              <w:t>教学方法</w:t>
            </w:r>
          </w:p>
        </w:tc>
        <w:tc>
          <w:tcPr>
            <w:tcW w:w="1985" w:type="dxa"/>
            <w:vAlign w:val="center"/>
          </w:tcPr>
          <w:p w14:paraId="24413705" w14:textId="77777777" w:rsidR="00531108" w:rsidRPr="00531108" w:rsidRDefault="00531108" w:rsidP="00531108">
            <w:pPr>
              <w:spacing w:line="440" w:lineRule="exact"/>
              <w:ind w:firstLine="200"/>
              <w:jc w:val="center"/>
              <w:rPr>
                <w:rFonts w:ascii="宋体" w:eastAsia="宋体" w:hAnsi="宋体" w:cs="Times New Roman"/>
                <w:b/>
                <w:bCs/>
                <w:sz w:val="24"/>
                <w:szCs w:val="24"/>
              </w:rPr>
            </w:pPr>
            <w:r w:rsidRPr="00531108">
              <w:rPr>
                <w:rFonts w:ascii="宋体" w:eastAsia="宋体" w:hAnsi="宋体" w:cs="Times New Roman" w:hint="eastAsia"/>
                <w:b/>
                <w:bCs/>
                <w:sz w:val="24"/>
                <w:szCs w:val="24"/>
              </w:rPr>
              <w:t>支撑的课程目标</w:t>
            </w:r>
          </w:p>
        </w:tc>
        <w:tc>
          <w:tcPr>
            <w:tcW w:w="1276" w:type="dxa"/>
            <w:vAlign w:val="center"/>
          </w:tcPr>
          <w:p w14:paraId="74E87482" w14:textId="77777777" w:rsidR="00531108" w:rsidRPr="00531108" w:rsidRDefault="00531108" w:rsidP="00531108">
            <w:pPr>
              <w:spacing w:line="440" w:lineRule="exact"/>
              <w:ind w:firstLine="200"/>
              <w:jc w:val="center"/>
              <w:rPr>
                <w:rFonts w:ascii="宋体" w:eastAsia="宋体" w:hAnsi="宋体" w:cs="Times New Roman"/>
                <w:b/>
                <w:bCs/>
                <w:sz w:val="24"/>
                <w:szCs w:val="24"/>
              </w:rPr>
            </w:pPr>
            <w:r w:rsidRPr="00531108">
              <w:rPr>
                <w:rFonts w:ascii="宋体" w:eastAsia="宋体" w:hAnsi="宋体" w:cs="Times New Roman" w:hint="eastAsia"/>
                <w:b/>
                <w:bCs/>
                <w:sz w:val="24"/>
                <w:szCs w:val="24"/>
              </w:rPr>
              <w:t>学时安排</w:t>
            </w:r>
          </w:p>
        </w:tc>
      </w:tr>
      <w:tr w:rsidR="00531108" w:rsidRPr="00531108" w14:paraId="6F74E1C2" w14:textId="77777777" w:rsidTr="00004A27">
        <w:trPr>
          <w:trHeight w:val="514"/>
          <w:jc w:val="center"/>
        </w:trPr>
        <w:tc>
          <w:tcPr>
            <w:tcW w:w="3971" w:type="dxa"/>
            <w:vAlign w:val="center"/>
          </w:tcPr>
          <w:p w14:paraId="3B89D9C3"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hint="eastAsia"/>
                <w:sz w:val="24"/>
                <w:szCs w:val="24"/>
              </w:rPr>
              <w:t>第一章 绪言</w:t>
            </w:r>
          </w:p>
        </w:tc>
        <w:tc>
          <w:tcPr>
            <w:tcW w:w="2125" w:type="dxa"/>
            <w:vAlign w:val="center"/>
          </w:tcPr>
          <w:p w14:paraId="3273DBC4"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21C2C473"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w:t>
            </w:r>
            <w:r w:rsidRPr="00531108">
              <w:rPr>
                <w:rFonts w:ascii="宋体" w:eastAsia="宋体" w:hAnsi="宋体" w:cs="Times New Roman"/>
                <w:sz w:val="24"/>
                <w:szCs w:val="24"/>
              </w:rPr>
              <w:t>目标2</w:t>
            </w:r>
          </w:p>
        </w:tc>
        <w:tc>
          <w:tcPr>
            <w:tcW w:w="1276" w:type="dxa"/>
            <w:vAlign w:val="center"/>
          </w:tcPr>
          <w:p w14:paraId="47F725E0"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1</w:t>
            </w:r>
          </w:p>
        </w:tc>
      </w:tr>
      <w:tr w:rsidR="00531108" w:rsidRPr="00531108" w14:paraId="5E7BF8E3" w14:textId="77777777" w:rsidTr="00004A27">
        <w:trPr>
          <w:trHeight w:val="90"/>
          <w:jc w:val="center"/>
        </w:trPr>
        <w:tc>
          <w:tcPr>
            <w:tcW w:w="3971" w:type="dxa"/>
            <w:vAlign w:val="center"/>
          </w:tcPr>
          <w:p w14:paraId="7205B214"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hint="eastAsia"/>
                <w:sz w:val="24"/>
                <w:szCs w:val="24"/>
              </w:rPr>
              <w:t>第二章 药物代谢动力学</w:t>
            </w:r>
          </w:p>
        </w:tc>
        <w:tc>
          <w:tcPr>
            <w:tcW w:w="2125" w:type="dxa"/>
            <w:vAlign w:val="center"/>
          </w:tcPr>
          <w:p w14:paraId="5F8DAAF7"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58E4AFC1"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2</w:t>
            </w:r>
          </w:p>
        </w:tc>
        <w:tc>
          <w:tcPr>
            <w:tcW w:w="1276" w:type="dxa"/>
            <w:vAlign w:val="center"/>
          </w:tcPr>
          <w:p w14:paraId="583759C6"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3</w:t>
            </w:r>
          </w:p>
        </w:tc>
      </w:tr>
      <w:tr w:rsidR="00531108" w:rsidRPr="00531108" w14:paraId="322939C6" w14:textId="77777777" w:rsidTr="00004A27">
        <w:trPr>
          <w:jc w:val="center"/>
        </w:trPr>
        <w:tc>
          <w:tcPr>
            <w:tcW w:w="3971" w:type="dxa"/>
            <w:vAlign w:val="center"/>
          </w:tcPr>
          <w:p w14:paraId="55081540"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hint="eastAsia"/>
                <w:sz w:val="24"/>
                <w:szCs w:val="24"/>
              </w:rPr>
              <w:t>第三章 受体理论与药物效应动力学</w:t>
            </w:r>
          </w:p>
        </w:tc>
        <w:tc>
          <w:tcPr>
            <w:tcW w:w="2125" w:type="dxa"/>
            <w:vAlign w:val="center"/>
          </w:tcPr>
          <w:p w14:paraId="32240A99"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2BB75AF6"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2</w:t>
            </w:r>
          </w:p>
        </w:tc>
        <w:tc>
          <w:tcPr>
            <w:tcW w:w="1276" w:type="dxa"/>
            <w:vAlign w:val="center"/>
          </w:tcPr>
          <w:p w14:paraId="34295EDE"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2</w:t>
            </w:r>
          </w:p>
        </w:tc>
      </w:tr>
      <w:tr w:rsidR="00531108" w:rsidRPr="00531108" w14:paraId="513F9CE3" w14:textId="77777777" w:rsidTr="00004A27">
        <w:trPr>
          <w:jc w:val="center"/>
        </w:trPr>
        <w:tc>
          <w:tcPr>
            <w:tcW w:w="3971" w:type="dxa"/>
            <w:vAlign w:val="center"/>
          </w:tcPr>
          <w:p w14:paraId="729A3393"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hint="eastAsia"/>
                <w:sz w:val="24"/>
                <w:szCs w:val="24"/>
              </w:rPr>
              <w:t>第四章 传出神经系统药理概论</w:t>
            </w:r>
          </w:p>
        </w:tc>
        <w:tc>
          <w:tcPr>
            <w:tcW w:w="2125" w:type="dxa"/>
            <w:vAlign w:val="center"/>
          </w:tcPr>
          <w:p w14:paraId="20B975A8"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05E36D33"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2</w:t>
            </w:r>
          </w:p>
        </w:tc>
        <w:tc>
          <w:tcPr>
            <w:tcW w:w="1276" w:type="dxa"/>
            <w:vAlign w:val="center"/>
          </w:tcPr>
          <w:p w14:paraId="00E0F5BA"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1</w:t>
            </w:r>
          </w:p>
        </w:tc>
      </w:tr>
      <w:tr w:rsidR="00531108" w:rsidRPr="00531108" w14:paraId="49D79A19" w14:textId="77777777" w:rsidTr="00004A27">
        <w:trPr>
          <w:jc w:val="center"/>
        </w:trPr>
        <w:tc>
          <w:tcPr>
            <w:tcW w:w="3971" w:type="dxa"/>
            <w:vAlign w:val="center"/>
          </w:tcPr>
          <w:p w14:paraId="107292C6"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五</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胆碱能受体激动药和阻断药</w:t>
            </w:r>
          </w:p>
        </w:tc>
        <w:tc>
          <w:tcPr>
            <w:tcW w:w="2125" w:type="dxa"/>
            <w:vAlign w:val="center"/>
          </w:tcPr>
          <w:p w14:paraId="167580DC"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34DD43FA"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27858F4F"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2</w:t>
            </w:r>
          </w:p>
        </w:tc>
      </w:tr>
      <w:tr w:rsidR="00531108" w:rsidRPr="00531108" w14:paraId="13D80F51" w14:textId="77777777" w:rsidTr="00004A27">
        <w:trPr>
          <w:jc w:val="center"/>
        </w:trPr>
        <w:tc>
          <w:tcPr>
            <w:tcW w:w="3971" w:type="dxa"/>
            <w:vAlign w:val="center"/>
          </w:tcPr>
          <w:p w14:paraId="6F3F8719"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lastRenderedPageBreak/>
              <w:t>第</w:t>
            </w:r>
            <w:r w:rsidRPr="00531108">
              <w:rPr>
                <w:rFonts w:ascii="宋体" w:eastAsia="宋体" w:hAnsi="宋体" w:cs="Times New Roman" w:hint="eastAsia"/>
                <w:sz w:val="24"/>
                <w:szCs w:val="24"/>
              </w:rPr>
              <w:t>六</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作用于肾上腺素受体的药物</w:t>
            </w:r>
          </w:p>
        </w:tc>
        <w:tc>
          <w:tcPr>
            <w:tcW w:w="2125" w:type="dxa"/>
            <w:vAlign w:val="center"/>
          </w:tcPr>
          <w:p w14:paraId="732EB800"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6255C3D2"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0F4637D1"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3</w:t>
            </w:r>
          </w:p>
        </w:tc>
      </w:tr>
      <w:tr w:rsidR="00531108" w:rsidRPr="00531108" w14:paraId="1122DA9E" w14:textId="77777777" w:rsidTr="00004A27">
        <w:trPr>
          <w:jc w:val="center"/>
        </w:trPr>
        <w:tc>
          <w:tcPr>
            <w:tcW w:w="3971" w:type="dxa"/>
            <w:vAlign w:val="center"/>
          </w:tcPr>
          <w:p w14:paraId="62D0475A"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八</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抗高血压药</w:t>
            </w:r>
          </w:p>
        </w:tc>
        <w:tc>
          <w:tcPr>
            <w:tcW w:w="2125" w:type="dxa"/>
            <w:vAlign w:val="center"/>
          </w:tcPr>
          <w:p w14:paraId="6B4E38FC"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讲授法、案例教学</w:t>
            </w:r>
          </w:p>
        </w:tc>
        <w:tc>
          <w:tcPr>
            <w:tcW w:w="1985" w:type="dxa"/>
            <w:vAlign w:val="center"/>
          </w:tcPr>
          <w:p w14:paraId="32ED0DF7"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4B3D7E4B"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3</w:t>
            </w:r>
          </w:p>
        </w:tc>
      </w:tr>
      <w:tr w:rsidR="00531108" w:rsidRPr="00531108" w14:paraId="5C7D6692" w14:textId="77777777" w:rsidTr="00004A27">
        <w:trPr>
          <w:jc w:val="center"/>
        </w:trPr>
        <w:tc>
          <w:tcPr>
            <w:tcW w:w="3971" w:type="dxa"/>
            <w:vAlign w:val="center"/>
          </w:tcPr>
          <w:p w14:paraId="01298AF0"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九</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抗心绞痛药</w:t>
            </w:r>
          </w:p>
        </w:tc>
        <w:tc>
          <w:tcPr>
            <w:tcW w:w="2125" w:type="dxa"/>
            <w:vAlign w:val="center"/>
          </w:tcPr>
          <w:p w14:paraId="31C3BAC2"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3CE06657"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07C2EFFD"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2</w:t>
            </w:r>
          </w:p>
        </w:tc>
      </w:tr>
      <w:tr w:rsidR="00531108" w:rsidRPr="00531108" w14:paraId="15FE57C9" w14:textId="77777777" w:rsidTr="00004A27">
        <w:trPr>
          <w:jc w:val="center"/>
        </w:trPr>
        <w:tc>
          <w:tcPr>
            <w:tcW w:w="3971" w:type="dxa"/>
            <w:vAlign w:val="center"/>
          </w:tcPr>
          <w:p w14:paraId="51D4C894"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十</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抗心力衰竭药</w:t>
            </w:r>
          </w:p>
        </w:tc>
        <w:tc>
          <w:tcPr>
            <w:tcW w:w="2125" w:type="dxa"/>
            <w:vAlign w:val="center"/>
          </w:tcPr>
          <w:p w14:paraId="6B1FB1ED"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39F9BAF9"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3C86AF42"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1</w:t>
            </w:r>
          </w:p>
        </w:tc>
      </w:tr>
      <w:tr w:rsidR="00531108" w:rsidRPr="00531108" w14:paraId="495A90CB" w14:textId="77777777" w:rsidTr="00004A27">
        <w:trPr>
          <w:jc w:val="center"/>
        </w:trPr>
        <w:tc>
          <w:tcPr>
            <w:tcW w:w="3971" w:type="dxa"/>
            <w:vAlign w:val="center"/>
          </w:tcPr>
          <w:p w14:paraId="597A8792"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十一</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抗心律失常药</w:t>
            </w:r>
          </w:p>
        </w:tc>
        <w:tc>
          <w:tcPr>
            <w:tcW w:w="2125" w:type="dxa"/>
            <w:vAlign w:val="center"/>
          </w:tcPr>
          <w:p w14:paraId="4CAFC5CD"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0E443A8B"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6A869DA4"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2</w:t>
            </w:r>
          </w:p>
        </w:tc>
      </w:tr>
      <w:tr w:rsidR="00531108" w:rsidRPr="00531108" w14:paraId="69682921" w14:textId="77777777" w:rsidTr="00004A27">
        <w:trPr>
          <w:jc w:val="center"/>
        </w:trPr>
        <w:tc>
          <w:tcPr>
            <w:tcW w:w="3971" w:type="dxa"/>
            <w:vAlign w:val="center"/>
          </w:tcPr>
          <w:p w14:paraId="32718B05"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十三</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利尿药</w:t>
            </w:r>
          </w:p>
        </w:tc>
        <w:tc>
          <w:tcPr>
            <w:tcW w:w="2125" w:type="dxa"/>
            <w:vAlign w:val="center"/>
          </w:tcPr>
          <w:p w14:paraId="48EF1F66"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18946B11"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10DC2AF1"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1</w:t>
            </w:r>
          </w:p>
        </w:tc>
      </w:tr>
      <w:tr w:rsidR="00531108" w:rsidRPr="00531108" w14:paraId="0447CFE4" w14:textId="77777777" w:rsidTr="00004A27">
        <w:trPr>
          <w:jc w:val="center"/>
        </w:trPr>
        <w:tc>
          <w:tcPr>
            <w:tcW w:w="3971" w:type="dxa"/>
            <w:vAlign w:val="center"/>
          </w:tcPr>
          <w:p w14:paraId="5BFEBF10"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十六</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镇静催眠药</w:t>
            </w:r>
          </w:p>
        </w:tc>
        <w:tc>
          <w:tcPr>
            <w:tcW w:w="2125" w:type="dxa"/>
            <w:vAlign w:val="center"/>
          </w:tcPr>
          <w:p w14:paraId="56F4AE1D"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03C87E8F"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3DABD644"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2</w:t>
            </w:r>
          </w:p>
        </w:tc>
      </w:tr>
      <w:tr w:rsidR="00531108" w:rsidRPr="00531108" w14:paraId="5BB64E85" w14:textId="77777777" w:rsidTr="00004A27">
        <w:trPr>
          <w:jc w:val="center"/>
        </w:trPr>
        <w:tc>
          <w:tcPr>
            <w:tcW w:w="3971" w:type="dxa"/>
            <w:vAlign w:val="center"/>
          </w:tcPr>
          <w:p w14:paraId="51FF017E"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十七</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抗癫痫与惊厥药</w:t>
            </w:r>
          </w:p>
        </w:tc>
        <w:tc>
          <w:tcPr>
            <w:tcW w:w="2125" w:type="dxa"/>
            <w:vAlign w:val="center"/>
          </w:tcPr>
          <w:p w14:paraId="3EE92A4C"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12087230"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69116756"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1</w:t>
            </w:r>
          </w:p>
        </w:tc>
      </w:tr>
      <w:tr w:rsidR="00531108" w:rsidRPr="00531108" w14:paraId="0F2D633C" w14:textId="77777777" w:rsidTr="00004A27">
        <w:trPr>
          <w:jc w:val="center"/>
        </w:trPr>
        <w:tc>
          <w:tcPr>
            <w:tcW w:w="3971" w:type="dxa"/>
            <w:vAlign w:val="center"/>
          </w:tcPr>
          <w:p w14:paraId="7BEF1CF4"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十八</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抗精神病药</w:t>
            </w:r>
          </w:p>
        </w:tc>
        <w:tc>
          <w:tcPr>
            <w:tcW w:w="2125" w:type="dxa"/>
            <w:vAlign w:val="center"/>
          </w:tcPr>
          <w:p w14:paraId="1F36B846"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1148242F"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17A0CEE2"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sz w:val="24"/>
                <w:szCs w:val="24"/>
              </w:rPr>
              <w:t>2</w:t>
            </w:r>
          </w:p>
        </w:tc>
      </w:tr>
      <w:tr w:rsidR="00531108" w:rsidRPr="00531108" w14:paraId="55E82030" w14:textId="77777777" w:rsidTr="00004A27">
        <w:trPr>
          <w:jc w:val="center"/>
        </w:trPr>
        <w:tc>
          <w:tcPr>
            <w:tcW w:w="3971" w:type="dxa"/>
            <w:vAlign w:val="center"/>
          </w:tcPr>
          <w:p w14:paraId="5B44B1F0"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十九</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镇痛药</w:t>
            </w:r>
          </w:p>
        </w:tc>
        <w:tc>
          <w:tcPr>
            <w:tcW w:w="2125" w:type="dxa"/>
            <w:vAlign w:val="center"/>
          </w:tcPr>
          <w:p w14:paraId="756B266A"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讲授法、案例教学</w:t>
            </w:r>
          </w:p>
        </w:tc>
        <w:tc>
          <w:tcPr>
            <w:tcW w:w="1985" w:type="dxa"/>
            <w:vAlign w:val="center"/>
          </w:tcPr>
          <w:p w14:paraId="2AADB5BB"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65219F46"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2</w:t>
            </w:r>
          </w:p>
        </w:tc>
      </w:tr>
      <w:tr w:rsidR="00531108" w:rsidRPr="00531108" w14:paraId="0FFB987F" w14:textId="77777777" w:rsidTr="00004A27">
        <w:trPr>
          <w:jc w:val="center"/>
        </w:trPr>
        <w:tc>
          <w:tcPr>
            <w:tcW w:w="3971" w:type="dxa"/>
            <w:vAlign w:val="center"/>
          </w:tcPr>
          <w:p w14:paraId="4527B086"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二十二</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解热镇痛抗炎药</w:t>
            </w:r>
          </w:p>
        </w:tc>
        <w:tc>
          <w:tcPr>
            <w:tcW w:w="2125" w:type="dxa"/>
            <w:vAlign w:val="center"/>
          </w:tcPr>
          <w:p w14:paraId="1EABCB6A"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讲授法、案例教学</w:t>
            </w:r>
          </w:p>
        </w:tc>
        <w:tc>
          <w:tcPr>
            <w:tcW w:w="1985" w:type="dxa"/>
            <w:vAlign w:val="center"/>
          </w:tcPr>
          <w:p w14:paraId="3FA766F7"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1425FA2F"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sz w:val="24"/>
                <w:szCs w:val="24"/>
              </w:rPr>
              <w:t>2</w:t>
            </w:r>
          </w:p>
        </w:tc>
      </w:tr>
      <w:tr w:rsidR="00531108" w:rsidRPr="00531108" w14:paraId="6E96079F" w14:textId="77777777" w:rsidTr="00004A27">
        <w:trPr>
          <w:jc w:val="center"/>
        </w:trPr>
        <w:tc>
          <w:tcPr>
            <w:tcW w:w="3971" w:type="dxa"/>
            <w:vAlign w:val="center"/>
          </w:tcPr>
          <w:p w14:paraId="4215F530"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二十七</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肾上腺皮质激素类药</w:t>
            </w:r>
          </w:p>
        </w:tc>
        <w:tc>
          <w:tcPr>
            <w:tcW w:w="2125" w:type="dxa"/>
            <w:vAlign w:val="center"/>
          </w:tcPr>
          <w:p w14:paraId="5F6BFCFD"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4CD56BD9"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329739ED"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2</w:t>
            </w:r>
          </w:p>
        </w:tc>
      </w:tr>
      <w:tr w:rsidR="00531108" w:rsidRPr="00531108" w14:paraId="124E9687" w14:textId="77777777" w:rsidTr="00004A27">
        <w:trPr>
          <w:jc w:val="center"/>
        </w:trPr>
        <w:tc>
          <w:tcPr>
            <w:tcW w:w="3971" w:type="dxa"/>
            <w:vAlign w:val="center"/>
          </w:tcPr>
          <w:p w14:paraId="0CAF4664"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二十八</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胰岛素</w:t>
            </w:r>
          </w:p>
        </w:tc>
        <w:tc>
          <w:tcPr>
            <w:tcW w:w="2125" w:type="dxa"/>
            <w:vAlign w:val="center"/>
          </w:tcPr>
          <w:p w14:paraId="3B2C25E6"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27B6AB8B"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25DFB5CF"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1</w:t>
            </w:r>
          </w:p>
        </w:tc>
      </w:tr>
      <w:tr w:rsidR="00531108" w:rsidRPr="00531108" w14:paraId="504B18ED" w14:textId="77777777" w:rsidTr="00004A27">
        <w:trPr>
          <w:jc w:val="center"/>
        </w:trPr>
        <w:tc>
          <w:tcPr>
            <w:tcW w:w="3971" w:type="dxa"/>
            <w:vAlign w:val="center"/>
          </w:tcPr>
          <w:p w14:paraId="6BF161BA"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二十九</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甲状腺激素</w:t>
            </w:r>
          </w:p>
        </w:tc>
        <w:tc>
          <w:tcPr>
            <w:tcW w:w="2125" w:type="dxa"/>
            <w:vAlign w:val="center"/>
          </w:tcPr>
          <w:p w14:paraId="263F0E9D"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5C206231"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6163E4BD"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1</w:t>
            </w:r>
          </w:p>
        </w:tc>
      </w:tr>
      <w:tr w:rsidR="00531108" w:rsidRPr="00531108" w14:paraId="3EA908E5" w14:textId="77777777" w:rsidTr="00004A27">
        <w:trPr>
          <w:jc w:val="center"/>
        </w:trPr>
        <w:tc>
          <w:tcPr>
            <w:tcW w:w="3971" w:type="dxa"/>
            <w:vAlign w:val="center"/>
          </w:tcPr>
          <w:p w14:paraId="6C081602"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三十六</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抗菌药物概论</w:t>
            </w:r>
          </w:p>
        </w:tc>
        <w:tc>
          <w:tcPr>
            <w:tcW w:w="2125" w:type="dxa"/>
            <w:vAlign w:val="center"/>
          </w:tcPr>
          <w:p w14:paraId="0D4149BC"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1CB66048"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2</w:t>
            </w:r>
          </w:p>
        </w:tc>
        <w:tc>
          <w:tcPr>
            <w:tcW w:w="1276" w:type="dxa"/>
            <w:vAlign w:val="center"/>
          </w:tcPr>
          <w:p w14:paraId="1B98595D"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2</w:t>
            </w:r>
          </w:p>
        </w:tc>
      </w:tr>
      <w:tr w:rsidR="00531108" w:rsidRPr="00531108" w14:paraId="6D9C4E05" w14:textId="77777777" w:rsidTr="00004A27">
        <w:trPr>
          <w:jc w:val="center"/>
        </w:trPr>
        <w:tc>
          <w:tcPr>
            <w:tcW w:w="3971" w:type="dxa"/>
            <w:vAlign w:val="center"/>
          </w:tcPr>
          <w:p w14:paraId="75C7174C"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三十七</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人工合成抗菌药物</w:t>
            </w:r>
          </w:p>
        </w:tc>
        <w:tc>
          <w:tcPr>
            <w:tcW w:w="2125" w:type="dxa"/>
            <w:vAlign w:val="center"/>
          </w:tcPr>
          <w:p w14:paraId="71D5C434"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30D4FA00"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75879642"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1</w:t>
            </w:r>
          </w:p>
        </w:tc>
      </w:tr>
      <w:tr w:rsidR="00531108" w:rsidRPr="00531108" w14:paraId="159A52B4" w14:textId="77777777" w:rsidTr="00004A27">
        <w:trPr>
          <w:jc w:val="center"/>
        </w:trPr>
        <w:tc>
          <w:tcPr>
            <w:tcW w:w="3971" w:type="dxa"/>
            <w:vAlign w:val="center"/>
          </w:tcPr>
          <w:p w14:paraId="206A1353"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三十八</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β-内酰胺类和其他作用于细胞壁的抗生素</w:t>
            </w:r>
          </w:p>
        </w:tc>
        <w:tc>
          <w:tcPr>
            <w:tcW w:w="2125" w:type="dxa"/>
            <w:vAlign w:val="center"/>
          </w:tcPr>
          <w:p w14:paraId="20741439"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讲授法、案例教学</w:t>
            </w:r>
          </w:p>
        </w:tc>
        <w:tc>
          <w:tcPr>
            <w:tcW w:w="1985" w:type="dxa"/>
            <w:vAlign w:val="center"/>
          </w:tcPr>
          <w:p w14:paraId="2038839C"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331DB44A"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1</w:t>
            </w:r>
          </w:p>
        </w:tc>
      </w:tr>
      <w:tr w:rsidR="00531108" w:rsidRPr="00531108" w14:paraId="1F6C11C0" w14:textId="77777777" w:rsidTr="00004A27">
        <w:trPr>
          <w:jc w:val="center"/>
        </w:trPr>
        <w:tc>
          <w:tcPr>
            <w:tcW w:w="3971" w:type="dxa"/>
            <w:vAlign w:val="center"/>
          </w:tcPr>
          <w:p w14:paraId="5C63725F"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三十九</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氨基糖苷类抗生素</w:t>
            </w:r>
          </w:p>
        </w:tc>
        <w:tc>
          <w:tcPr>
            <w:tcW w:w="2125" w:type="dxa"/>
            <w:vAlign w:val="center"/>
          </w:tcPr>
          <w:p w14:paraId="6E277C14"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7BCFF5BC"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741331D8"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1</w:t>
            </w:r>
          </w:p>
        </w:tc>
      </w:tr>
      <w:tr w:rsidR="00531108" w:rsidRPr="00531108" w14:paraId="6BE51D21" w14:textId="77777777" w:rsidTr="00004A27">
        <w:trPr>
          <w:jc w:val="center"/>
        </w:trPr>
        <w:tc>
          <w:tcPr>
            <w:tcW w:w="3971" w:type="dxa"/>
            <w:vAlign w:val="center"/>
          </w:tcPr>
          <w:p w14:paraId="0FF1A3FB" w14:textId="77777777" w:rsidR="00531108" w:rsidRPr="00531108" w:rsidRDefault="00531108" w:rsidP="00531108">
            <w:pPr>
              <w:spacing w:line="440" w:lineRule="exact"/>
              <w:ind w:firstLine="200"/>
              <w:jc w:val="left"/>
              <w:rPr>
                <w:rFonts w:ascii="宋体" w:eastAsia="宋体" w:hAnsi="宋体" w:cs="Times New Roman"/>
                <w:sz w:val="24"/>
                <w:szCs w:val="24"/>
              </w:rPr>
            </w:pPr>
            <w:r w:rsidRPr="00531108">
              <w:rPr>
                <w:rFonts w:ascii="宋体" w:eastAsia="宋体" w:hAnsi="宋体" w:cs="Times New Roman"/>
                <w:sz w:val="24"/>
                <w:szCs w:val="24"/>
              </w:rPr>
              <w:t>第</w:t>
            </w:r>
            <w:r w:rsidRPr="00531108">
              <w:rPr>
                <w:rFonts w:ascii="宋体" w:eastAsia="宋体" w:hAnsi="宋体" w:cs="Times New Roman" w:hint="eastAsia"/>
                <w:sz w:val="24"/>
                <w:szCs w:val="24"/>
              </w:rPr>
              <w:t>四十</w:t>
            </w:r>
            <w:r w:rsidRPr="00531108">
              <w:rPr>
                <w:rFonts w:ascii="宋体" w:eastAsia="宋体" w:hAnsi="宋体" w:cs="Times New Roman"/>
                <w:sz w:val="24"/>
                <w:szCs w:val="24"/>
              </w:rPr>
              <w:t xml:space="preserve">章 </w:t>
            </w:r>
            <w:r w:rsidRPr="00531108">
              <w:rPr>
                <w:rFonts w:ascii="宋体" w:eastAsia="宋体" w:hAnsi="宋体" w:cs="Times New Roman" w:hint="eastAsia"/>
                <w:sz w:val="24"/>
                <w:szCs w:val="24"/>
              </w:rPr>
              <w:t>大环内脂类抗生素</w:t>
            </w:r>
          </w:p>
        </w:tc>
        <w:tc>
          <w:tcPr>
            <w:tcW w:w="2125" w:type="dxa"/>
            <w:vAlign w:val="center"/>
          </w:tcPr>
          <w:p w14:paraId="442C949F"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讲授法</w:t>
            </w:r>
          </w:p>
        </w:tc>
        <w:tc>
          <w:tcPr>
            <w:tcW w:w="1985" w:type="dxa"/>
            <w:vAlign w:val="center"/>
          </w:tcPr>
          <w:p w14:paraId="7D4E79B1"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课程目标</w:t>
            </w:r>
            <w:r w:rsidRPr="00531108">
              <w:rPr>
                <w:rFonts w:ascii="宋体" w:eastAsia="宋体" w:hAnsi="宋体" w:cs="Times New Roman"/>
                <w:sz w:val="24"/>
                <w:szCs w:val="24"/>
              </w:rPr>
              <w:t>1</w:t>
            </w:r>
          </w:p>
        </w:tc>
        <w:tc>
          <w:tcPr>
            <w:tcW w:w="1276" w:type="dxa"/>
            <w:vAlign w:val="center"/>
          </w:tcPr>
          <w:p w14:paraId="469F64A6"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1</w:t>
            </w:r>
          </w:p>
        </w:tc>
      </w:tr>
      <w:tr w:rsidR="00531108" w:rsidRPr="00531108" w14:paraId="5CD6D29E" w14:textId="77777777" w:rsidTr="00004A27">
        <w:trPr>
          <w:jc w:val="center"/>
        </w:trPr>
        <w:tc>
          <w:tcPr>
            <w:tcW w:w="8081" w:type="dxa"/>
            <w:gridSpan w:val="3"/>
            <w:vAlign w:val="center"/>
          </w:tcPr>
          <w:p w14:paraId="4F9B593F" w14:textId="77777777" w:rsidR="00531108" w:rsidRPr="00531108" w:rsidRDefault="00531108" w:rsidP="00531108">
            <w:pPr>
              <w:spacing w:line="440" w:lineRule="exact"/>
              <w:ind w:firstLine="200"/>
              <w:jc w:val="center"/>
              <w:rPr>
                <w:rFonts w:ascii="宋体" w:eastAsia="宋体" w:hAnsi="宋体" w:cs="Times New Roman"/>
                <w:b/>
                <w:sz w:val="24"/>
                <w:szCs w:val="24"/>
              </w:rPr>
            </w:pPr>
            <w:r w:rsidRPr="00531108">
              <w:rPr>
                <w:rFonts w:ascii="宋体" w:eastAsia="宋体" w:hAnsi="宋体" w:cs="Times New Roman" w:hint="eastAsia"/>
                <w:b/>
                <w:sz w:val="24"/>
                <w:szCs w:val="24"/>
              </w:rPr>
              <w:t>合计</w:t>
            </w:r>
          </w:p>
        </w:tc>
        <w:tc>
          <w:tcPr>
            <w:tcW w:w="1276" w:type="dxa"/>
            <w:vAlign w:val="center"/>
          </w:tcPr>
          <w:p w14:paraId="15BBB336" w14:textId="77777777" w:rsidR="00531108" w:rsidRPr="00531108" w:rsidRDefault="00531108" w:rsidP="00531108">
            <w:pPr>
              <w:spacing w:line="440" w:lineRule="exact"/>
              <w:ind w:firstLine="200"/>
              <w:jc w:val="center"/>
              <w:rPr>
                <w:rFonts w:ascii="宋体" w:eastAsia="宋体" w:hAnsi="宋体" w:cs="Times New Roman"/>
                <w:sz w:val="24"/>
                <w:szCs w:val="24"/>
              </w:rPr>
            </w:pPr>
            <w:r w:rsidRPr="00531108">
              <w:rPr>
                <w:rFonts w:ascii="宋体" w:eastAsia="宋体" w:hAnsi="宋体" w:cs="Times New Roman" w:hint="eastAsia"/>
                <w:sz w:val="24"/>
                <w:szCs w:val="24"/>
              </w:rPr>
              <w:t>40</w:t>
            </w:r>
          </w:p>
        </w:tc>
      </w:tr>
    </w:tbl>
    <w:p w14:paraId="385AD37C" w14:textId="77777777" w:rsidR="00531108" w:rsidRPr="00531108" w:rsidRDefault="00531108" w:rsidP="00D4283B">
      <w:pPr>
        <w:spacing w:beforeLines="50" w:before="156" w:afterLines="50" w:after="156" w:line="440" w:lineRule="exact"/>
        <w:ind w:firstLineChars="200" w:firstLine="560"/>
        <w:rPr>
          <w:rFonts w:ascii="宋体" w:eastAsia="宋体" w:hAnsi="宋体" w:cs="Times New Roman"/>
          <w:sz w:val="24"/>
          <w:szCs w:val="24"/>
        </w:rPr>
      </w:pPr>
      <w:r w:rsidRPr="00531108">
        <w:rPr>
          <w:rFonts w:ascii="黑体" w:eastAsia="黑体" w:hAnsi="黑体" w:cs="Times New Roman" w:hint="eastAsia"/>
          <w:sz w:val="28"/>
          <w:szCs w:val="28"/>
        </w:rPr>
        <w:t>四、课程考核及与课程学习目标的对应关系</w:t>
      </w:r>
    </w:p>
    <w:p w14:paraId="0F701EF5" w14:textId="77777777" w:rsidR="00531108" w:rsidRPr="00531108" w:rsidRDefault="00531108" w:rsidP="00D4283B">
      <w:pPr>
        <w:spacing w:beforeLines="50" w:before="156" w:afterLines="50" w:after="156" w:line="440" w:lineRule="exact"/>
        <w:ind w:firstLineChars="200" w:firstLine="560"/>
        <w:rPr>
          <w:rFonts w:ascii="黑体" w:eastAsia="黑体" w:hAnsi="黑体" w:cs="Times New Roman"/>
          <w:sz w:val="28"/>
          <w:szCs w:val="28"/>
        </w:rPr>
      </w:pPr>
      <w:r w:rsidRPr="00531108">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531108" w:rsidRPr="00531108" w14:paraId="71A1E991" w14:textId="77777777" w:rsidTr="00004A27">
        <w:trPr>
          <w:trHeight w:val="515"/>
          <w:jc w:val="center"/>
        </w:trPr>
        <w:tc>
          <w:tcPr>
            <w:tcW w:w="1422" w:type="dxa"/>
          </w:tcPr>
          <w:p w14:paraId="5B60477D" w14:textId="77777777" w:rsidR="00531108" w:rsidRPr="00531108" w:rsidRDefault="00531108" w:rsidP="00531108">
            <w:pPr>
              <w:spacing w:line="440" w:lineRule="exact"/>
              <w:ind w:firstLine="200"/>
              <w:jc w:val="center"/>
              <w:rPr>
                <w:rFonts w:ascii="宋体" w:eastAsia="宋体" w:hAnsi="宋体" w:cs="Times New Roman"/>
                <w:b/>
                <w:sz w:val="24"/>
                <w:szCs w:val="24"/>
              </w:rPr>
            </w:pPr>
            <w:r w:rsidRPr="00531108">
              <w:rPr>
                <w:rFonts w:ascii="宋体" w:eastAsia="宋体" w:hAnsi="宋体" w:cs="Times New Roman" w:hint="eastAsia"/>
                <w:b/>
                <w:sz w:val="24"/>
                <w:szCs w:val="24"/>
              </w:rPr>
              <w:t>课程目标</w:t>
            </w:r>
          </w:p>
        </w:tc>
        <w:tc>
          <w:tcPr>
            <w:tcW w:w="7918" w:type="dxa"/>
            <w:vAlign w:val="center"/>
          </w:tcPr>
          <w:p w14:paraId="17A35FE1" w14:textId="77777777" w:rsidR="00531108" w:rsidRPr="00531108" w:rsidRDefault="00531108" w:rsidP="00531108">
            <w:pPr>
              <w:spacing w:line="440" w:lineRule="exact"/>
              <w:ind w:firstLine="200"/>
              <w:jc w:val="center"/>
              <w:rPr>
                <w:rFonts w:ascii="宋体" w:eastAsia="宋体" w:hAnsi="宋体" w:cs="Times New Roman"/>
                <w:b/>
                <w:sz w:val="24"/>
                <w:szCs w:val="24"/>
              </w:rPr>
            </w:pPr>
            <w:r w:rsidRPr="00531108">
              <w:rPr>
                <w:rFonts w:ascii="宋体" w:eastAsia="宋体" w:hAnsi="宋体" w:cs="Times New Roman" w:hint="eastAsia"/>
                <w:b/>
                <w:sz w:val="24"/>
                <w:szCs w:val="24"/>
              </w:rPr>
              <w:t>考核内容</w:t>
            </w:r>
          </w:p>
        </w:tc>
      </w:tr>
      <w:tr w:rsidR="00531108" w:rsidRPr="00531108" w14:paraId="2108C252" w14:textId="77777777" w:rsidTr="00004A27">
        <w:trPr>
          <w:jc w:val="center"/>
        </w:trPr>
        <w:tc>
          <w:tcPr>
            <w:tcW w:w="1422" w:type="dxa"/>
            <w:vAlign w:val="center"/>
          </w:tcPr>
          <w:p w14:paraId="6B8A4DAB"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hint="eastAsia"/>
                <w:bCs/>
                <w:sz w:val="24"/>
                <w:szCs w:val="24"/>
              </w:rPr>
              <w:t>课程目标1</w:t>
            </w:r>
          </w:p>
        </w:tc>
        <w:tc>
          <w:tcPr>
            <w:tcW w:w="7918" w:type="dxa"/>
            <w:vAlign w:val="center"/>
          </w:tcPr>
          <w:p w14:paraId="33D28BD6" w14:textId="77777777" w:rsidR="00531108" w:rsidRPr="00531108" w:rsidRDefault="00531108" w:rsidP="00531108">
            <w:pPr>
              <w:spacing w:line="440" w:lineRule="exact"/>
              <w:ind w:firstLine="200"/>
              <w:rPr>
                <w:rFonts w:ascii="宋体" w:eastAsia="宋体" w:hAnsi="宋体" w:cs="Times New Roman"/>
                <w:sz w:val="24"/>
                <w:szCs w:val="24"/>
              </w:rPr>
            </w:pPr>
            <w:r w:rsidRPr="00531108">
              <w:rPr>
                <w:rFonts w:ascii="宋体" w:eastAsia="宋体" w:hAnsi="宋体" w:cs="Times New Roman" w:hint="eastAsia"/>
                <w:bCs/>
                <w:sz w:val="24"/>
                <w:szCs w:val="24"/>
              </w:rPr>
              <w:t>1</w:t>
            </w:r>
            <w:r w:rsidRPr="00531108">
              <w:rPr>
                <w:rFonts w:ascii="宋体" w:eastAsia="宋体" w:hAnsi="宋体" w:cs="Times New Roman"/>
                <w:bCs/>
                <w:sz w:val="24"/>
                <w:szCs w:val="24"/>
              </w:rPr>
              <w:t xml:space="preserve"> </w:t>
            </w:r>
            <w:r w:rsidRPr="00531108">
              <w:rPr>
                <w:rFonts w:ascii="宋体" w:eastAsia="宋体" w:hAnsi="宋体" w:cs="Times New Roman" w:hint="eastAsia"/>
                <w:sz w:val="24"/>
                <w:szCs w:val="24"/>
              </w:rPr>
              <w:t>外周神经系统药理：M受体激动药和阻断药药理作用、临床应用及禁忌症；新斯的明的药理作用及临床应用；有机磷酸酯类的中毒机制、中毒表</w:t>
            </w:r>
            <w:r w:rsidRPr="00531108">
              <w:rPr>
                <w:rFonts w:ascii="宋体" w:eastAsia="宋体" w:hAnsi="宋体" w:cs="Times New Roman" w:hint="eastAsia"/>
                <w:sz w:val="24"/>
                <w:szCs w:val="24"/>
              </w:rPr>
              <w:lastRenderedPageBreak/>
              <w:t>现及其解救治疗；胆碱酯酶复活药临床应用；肾上腺素受体激动药和阻断药分类、各类药物的药理作用，临床应用和不良反应；肾上腺素的翻转作用。</w:t>
            </w:r>
            <w:r w:rsidRPr="00531108">
              <w:rPr>
                <w:rFonts w:ascii="宋体" w:eastAsia="宋体" w:hAnsi="宋体" w:cs="Times New Roman"/>
                <w:sz w:val="24"/>
                <w:szCs w:val="24"/>
              </w:rPr>
              <w:t xml:space="preserve"> </w:t>
            </w:r>
          </w:p>
          <w:p w14:paraId="2F4B6E2E" w14:textId="77777777" w:rsidR="00531108" w:rsidRPr="00531108" w:rsidRDefault="00531108" w:rsidP="00531108">
            <w:pPr>
              <w:spacing w:line="440" w:lineRule="exact"/>
              <w:ind w:firstLine="200"/>
              <w:rPr>
                <w:rFonts w:ascii="宋体" w:eastAsia="宋体" w:hAnsi="宋体" w:cs="Times New Roman"/>
                <w:sz w:val="24"/>
                <w:szCs w:val="24"/>
              </w:rPr>
            </w:pPr>
            <w:r w:rsidRPr="00531108">
              <w:rPr>
                <w:rFonts w:ascii="宋体" w:eastAsia="宋体" w:hAnsi="宋体" w:cs="Times New Roman" w:hint="eastAsia"/>
                <w:bCs/>
                <w:sz w:val="24"/>
                <w:szCs w:val="24"/>
              </w:rPr>
              <w:t>2 心血管药理：</w:t>
            </w:r>
            <w:r w:rsidRPr="00531108">
              <w:rPr>
                <w:rFonts w:ascii="宋体" w:eastAsia="宋体" w:hAnsi="宋体" w:cs="宋体" w:hint="eastAsia"/>
                <w:sz w:val="24"/>
                <w:szCs w:val="24"/>
              </w:rPr>
              <w:t>一线抗高血压药物的分类、各类代表药物作用机制、临床应用、不良反应；抗心绞痛药物分类、各类代表药物药理作用及机制、临床应用、不良反应、联合用药优缺点</w:t>
            </w:r>
            <w:r w:rsidRPr="00531108">
              <w:rPr>
                <w:rFonts w:ascii="宋体" w:eastAsia="宋体" w:hAnsi="宋体" w:cs="Times New Roman" w:hint="eastAsia"/>
                <w:sz w:val="24"/>
                <w:szCs w:val="24"/>
              </w:rPr>
              <w:t>；</w:t>
            </w:r>
            <w:r w:rsidRPr="00531108">
              <w:rPr>
                <w:rFonts w:ascii="宋体" w:eastAsia="宋体" w:hAnsi="宋体" w:cs="宋体" w:hint="eastAsia"/>
                <w:sz w:val="24"/>
                <w:szCs w:val="24"/>
              </w:rPr>
              <w:t>强心苷类对心脏的作用、作用机制、中毒机制、临床应用、不良反应及解救；抗心律失常药物的分类及其代表药物、各代表药物的药理作用及应用；利尿药按照其作用部位分类、及各类药的药理作用、临床应用、不良反应。</w:t>
            </w:r>
          </w:p>
          <w:p w14:paraId="7BCEA197" w14:textId="77777777" w:rsidR="00531108" w:rsidRPr="00531108" w:rsidRDefault="00531108" w:rsidP="00531108">
            <w:pPr>
              <w:spacing w:line="440" w:lineRule="exact"/>
              <w:ind w:firstLine="200"/>
              <w:rPr>
                <w:rFonts w:ascii="宋体" w:eastAsia="宋体" w:hAnsi="宋体" w:cs="Times New Roman"/>
                <w:sz w:val="24"/>
                <w:szCs w:val="24"/>
              </w:rPr>
            </w:pPr>
            <w:r w:rsidRPr="00531108">
              <w:rPr>
                <w:rFonts w:ascii="宋体" w:eastAsia="宋体" w:hAnsi="宋体" w:cs="Times New Roman" w:hint="eastAsia"/>
                <w:bCs/>
                <w:sz w:val="24"/>
                <w:szCs w:val="24"/>
              </w:rPr>
              <w:t>3 中枢内分泌药理：</w:t>
            </w:r>
            <w:r w:rsidRPr="00531108">
              <w:rPr>
                <w:rFonts w:ascii="宋体" w:eastAsia="宋体" w:hAnsi="宋体" w:cs="Times New Roman" w:hint="eastAsia"/>
                <w:sz w:val="24"/>
                <w:szCs w:val="24"/>
              </w:rPr>
              <w:t>地西</w:t>
            </w:r>
            <w:proofErr w:type="gramStart"/>
            <w:r w:rsidRPr="00531108">
              <w:rPr>
                <w:rFonts w:ascii="宋体" w:eastAsia="宋体" w:hAnsi="宋体" w:cs="Times New Roman" w:hint="eastAsia"/>
                <w:sz w:val="24"/>
                <w:szCs w:val="24"/>
              </w:rPr>
              <w:t>泮</w:t>
            </w:r>
            <w:proofErr w:type="gramEnd"/>
            <w:r w:rsidRPr="00531108">
              <w:rPr>
                <w:rFonts w:ascii="宋体" w:eastAsia="宋体" w:hAnsi="宋体" w:cs="Times New Roman" w:hint="eastAsia"/>
                <w:sz w:val="24"/>
                <w:szCs w:val="24"/>
              </w:rPr>
              <w:t>药理作用，临床应用；</w:t>
            </w:r>
            <w:proofErr w:type="gramStart"/>
            <w:r w:rsidRPr="00531108">
              <w:rPr>
                <w:rFonts w:ascii="宋体" w:eastAsia="宋体" w:hAnsi="宋体" w:cs="Times New Roman" w:hint="eastAsia"/>
                <w:sz w:val="24"/>
                <w:szCs w:val="24"/>
              </w:rPr>
              <w:t>笨</w:t>
            </w:r>
            <w:proofErr w:type="gramEnd"/>
            <w:r w:rsidRPr="00531108">
              <w:rPr>
                <w:rFonts w:ascii="宋体" w:eastAsia="宋体" w:hAnsi="宋体" w:cs="Times New Roman" w:hint="eastAsia"/>
                <w:sz w:val="24"/>
                <w:szCs w:val="24"/>
              </w:rPr>
              <w:t>巴比妥药理作用及对肝药酶的诱导、</w:t>
            </w:r>
            <w:r w:rsidRPr="00531108">
              <w:rPr>
                <w:rFonts w:ascii="宋体" w:eastAsia="宋体" w:hAnsi="宋体" w:cs="宋体" w:hint="eastAsia"/>
                <w:sz w:val="24"/>
                <w:szCs w:val="24"/>
              </w:rPr>
              <w:t>两类药物区别；</w:t>
            </w:r>
            <w:r w:rsidRPr="00531108">
              <w:rPr>
                <w:rFonts w:ascii="宋体" w:eastAsia="宋体" w:hAnsi="宋体" w:cs="Times New Roman" w:hint="eastAsia"/>
                <w:sz w:val="24"/>
                <w:szCs w:val="24"/>
              </w:rPr>
              <w:t>癫痫小发作、大发作、持续状态治疗药物</w:t>
            </w:r>
            <w:r w:rsidRPr="00531108">
              <w:rPr>
                <w:rFonts w:ascii="宋体" w:eastAsia="宋体" w:hAnsi="宋体" w:cs="宋体" w:hint="eastAsia"/>
                <w:sz w:val="24"/>
                <w:szCs w:val="24"/>
              </w:rPr>
              <w:t>；氯丙嗪的药理作用、作用机制、临床应用及不良反应；吗啡作用机制，药理作用，临床应用，不良反应、禁忌症；哌替啶药理作用与临床应用、与吗啡区别；解热镇痛抗炎药的共同作用及原理、阿司匹林的作用特点、药理作用与临床应用、常见不良反应；对乙酰氨基</w:t>
            </w:r>
            <w:proofErr w:type="gramStart"/>
            <w:r w:rsidRPr="00531108">
              <w:rPr>
                <w:rFonts w:ascii="宋体" w:eastAsia="宋体" w:hAnsi="宋体" w:cs="宋体" w:hint="eastAsia"/>
                <w:sz w:val="24"/>
                <w:szCs w:val="24"/>
              </w:rPr>
              <w:t>酚</w:t>
            </w:r>
            <w:proofErr w:type="gramEnd"/>
            <w:r w:rsidRPr="00531108">
              <w:rPr>
                <w:rFonts w:ascii="宋体" w:eastAsia="宋体" w:hAnsi="宋体" w:cs="宋体" w:hint="eastAsia"/>
                <w:sz w:val="24"/>
                <w:szCs w:val="24"/>
              </w:rPr>
              <w:t>临床应用；糖皮质激素的药理作用、临床应用、不良反应；胰岛素的药理作用及机制、临床应用、不良反应；甲状腺激素的药理作用和临床应用。</w:t>
            </w:r>
          </w:p>
          <w:p w14:paraId="411A179D" w14:textId="77777777" w:rsidR="00531108" w:rsidRPr="00531108" w:rsidRDefault="00531108" w:rsidP="00531108">
            <w:pPr>
              <w:spacing w:line="440" w:lineRule="exact"/>
              <w:ind w:firstLine="200"/>
              <w:rPr>
                <w:rFonts w:ascii="宋体" w:eastAsia="宋体" w:hAnsi="宋体" w:cs="宋体"/>
                <w:sz w:val="24"/>
                <w:szCs w:val="24"/>
              </w:rPr>
            </w:pPr>
            <w:r w:rsidRPr="00531108">
              <w:rPr>
                <w:rFonts w:ascii="宋体" w:eastAsia="宋体" w:hAnsi="宋体" w:cs="Times New Roman" w:hint="eastAsia"/>
                <w:bCs/>
                <w:sz w:val="24"/>
                <w:szCs w:val="24"/>
              </w:rPr>
              <w:t>4 病原微生物药理：</w:t>
            </w:r>
            <w:r w:rsidRPr="00531108">
              <w:rPr>
                <w:rFonts w:ascii="宋体" w:eastAsia="宋体" w:hAnsi="宋体" w:cs="宋体" w:hint="eastAsia"/>
                <w:sz w:val="24"/>
                <w:szCs w:val="24"/>
              </w:rPr>
              <w:t>氟</w:t>
            </w:r>
            <w:proofErr w:type="gramStart"/>
            <w:r w:rsidRPr="00531108">
              <w:rPr>
                <w:rFonts w:ascii="宋体" w:eastAsia="宋体" w:hAnsi="宋体" w:cs="宋体" w:hint="eastAsia"/>
                <w:sz w:val="24"/>
                <w:szCs w:val="24"/>
              </w:rPr>
              <w:t>喹</w:t>
            </w:r>
            <w:proofErr w:type="gramEnd"/>
            <w:r w:rsidRPr="00531108">
              <w:rPr>
                <w:rFonts w:ascii="宋体" w:eastAsia="宋体" w:hAnsi="宋体" w:cs="宋体" w:hint="eastAsia"/>
                <w:sz w:val="24"/>
                <w:szCs w:val="24"/>
              </w:rPr>
              <w:t>诺酮类的代表药物及抗菌作用机制、临床应用；磺胺类的抗菌作用机制、体内过程、不良反应；甲氧</w:t>
            </w:r>
            <w:proofErr w:type="gramStart"/>
            <w:r w:rsidRPr="00531108">
              <w:rPr>
                <w:rFonts w:ascii="宋体" w:eastAsia="宋体" w:hAnsi="宋体" w:cs="宋体" w:hint="eastAsia"/>
                <w:sz w:val="24"/>
                <w:szCs w:val="24"/>
              </w:rPr>
              <w:t>苄啶</w:t>
            </w:r>
            <w:proofErr w:type="gramEnd"/>
            <w:r w:rsidRPr="00531108">
              <w:rPr>
                <w:rFonts w:ascii="宋体" w:eastAsia="宋体" w:hAnsi="宋体" w:cs="宋体" w:hint="eastAsia"/>
                <w:sz w:val="24"/>
                <w:szCs w:val="24"/>
              </w:rPr>
              <w:t>与磺胺类的协同抗菌作用机制及临床应用；青霉素和头孢菌素的抗菌作用特点、抗菌谱、适应症、不良反应及其防治；氨基糖苷类常用药物的抗菌机制、适应症、耐药性、不良反应；大环内酯类抗菌作用机制及代表药、不良反应。</w:t>
            </w:r>
          </w:p>
        </w:tc>
      </w:tr>
      <w:tr w:rsidR="00531108" w:rsidRPr="00531108" w14:paraId="48E5CE2B" w14:textId="77777777" w:rsidTr="00004A27">
        <w:trPr>
          <w:jc w:val="center"/>
        </w:trPr>
        <w:tc>
          <w:tcPr>
            <w:tcW w:w="1422" w:type="dxa"/>
            <w:vAlign w:val="center"/>
          </w:tcPr>
          <w:p w14:paraId="681386EC"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hint="eastAsia"/>
                <w:bCs/>
                <w:sz w:val="24"/>
                <w:szCs w:val="24"/>
              </w:rPr>
              <w:t>课程目标2</w:t>
            </w:r>
          </w:p>
        </w:tc>
        <w:tc>
          <w:tcPr>
            <w:tcW w:w="7918" w:type="dxa"/>
            <w:vAlign w:val="center"/>
          </w:tcPr>
          <w:p w14:paraId="502C0258" w14:textId="77777777" w:rsidR="00531108" w:rsidRPr="00531108" w:rsidRDefault="00531108" w:rsidP="00531108">
            <w:pPr>
              <w:spacing w:line="440" w:lineRule="exact"/>
              <w:ind w:firstLine="200"/>
              <w:rPr>
                <w:rFonts w:ascii="宋体" w:eastAsia="宋体" w:hAnsi="宋体" w:cs="Times New Roman"/>
                <w:bCs/>
                <w:sz w:val="24"/>
                <w:szCs w:val="24"/>
              </w:rPr>
            </w:pPr>
            <w:r w:rsidRPr="00531108">
              <w:rPr>
                <w:rFonts w:ascii="宋体" w:eastAsia="宋体" w:hAnsi="宋体" w:cs="Times New Roman" w:hint="eastAsia"/>
                <w:bCs/>
                <w:sz w:val="24"/>
                <w:szCs w:val="24"/>
              </w:rPr>
              <w:t>1 绪言：</w:t>
            </w:r>
            <w:r w:rsidRPr="00531108">
              <w:rPr>
                <w:rFonts w:ascii="宋体" w:eastAsia="宋体" w:hAnsi="宋体" w:cs="宋体" w:hint="eastAsia"/>
                <w:sz w:val="24"/>
                <w:szCs w:val="24"/>
              </w:rPr>
              <w:t>药理学、药效动力学、药代动力学概念</w:t>
            </w:r>
          </w:p>
          <w:p w14:paraId="4362D86A" w14:textId="77777777" w:rsidR="00531108" w:rsidRPr="00531108" w:rsidRDefault="00531108" w:rsidP="00531108">
            <w:pPr>
              <w:spacing w:line="440" w:lineRule="exact"/>
              <w:ind w:firstLine="200"/>
              <w:rPr>
                <w:rFonts w:ascii="宋体" w:eastAsia="宋体" w:hAnsi="宋体" w:cs="Times New Roman"/>
                <w:sz w:val="24"/>
                <w:szCs w:val="24"/>
              </w:rPr>
            </w:pPr>
            <w:r w:rsidRPr="00531108">
              <w:rPr>
                <w:rFonts w:ascii="宋体" w:eastAsia="宋体" w:hAnsi="宋体" w:cs="Times New Roman" w:hint="eastAsia"/>
                <w:bCs/>
                <w:sz w:val="24"/>
                <w:szCs w:val="24"/>
              </w:rPr>
              <w:t>2 药物代谢动力学：</w:t>
            </w:r>
            <w:r w:rsidRPr="00531108">
              <w:rPr>
                <w:rFonts w:ascii="宋体" w:eastAsia="宋体" w:hAnsi="宋体" w:cs="Times New Roman" w:hint="eastAsia"/>
                <w:sz w:val="24"/>
                <w:szCs w:val="24"/>
              </w:rPr>
              <w:t>药物体内过程；主动转运与简单扩散；膜两侧pH对药物跨膜转运的影响；首过效应；肝药酶及其诱导剂、酶抑制剂；肝肠循环；药物的速率过程；一级及零级动力学过程及特点；药动学参数。</w:t>
            </w:r>
          </w:p>
          <w:p w14:paraId="42152A4F" w14:textId="77777777" w:rsidR="00531108" w:rsidRPr="00531108" w:rsidRDefault="00531108" w:rsidP="00531108">
            <w:pPr>
              <w:spacing w:line="440" w:lineRule="exact"/>
              <w:ind w:firstLine="200"/>
              <w:rPr>
                <w:rFonts w:ascii="宋体" w:eastAsia="宋体" w:hAnsi="宋体" w:cs="Times New Roman"/>
                <w:sz w:val="24"/>
                <w:szCs w:val="24"/>
              </w:rPr>
            </w:pPr>
            <w:r w:rsidRPr="00531108">
              <w:rPr>
                <w:rFonts w:ascii="宋体" w:eastAsia="宋体" w:hAnsi="宋体" w:cs="Times New Roman" w:hint="eastAsia"/>
                <w:bCs/>
                <w:sz w:val="24"/>
                <w:szCs w:val="24"/>
              </w:rPr>
              <w:t>3 药物效应动力学：</w:t>
            </w:r>
            <w:r w:rsidRPr="00531108">
              <w:rPr>
                <w:rFonts w:ascii="宋体" w:eastAsia="宋体" w:hAnsi="宋体" w:cs="Times New Roman" w:hint="eastAsia"/>
                <w:sz w:val="24"/>
                <w:szCs w:val="24"/>
              </w:rPr>
              <w:t>药物的基本作用的相关概念；药物的量效关系及主要术语；；竞争性拮抗剂与非竞争性拮抗剂量</w:t>
            </w:r>
            <w:proofErr w:type="gramStart"/>
            <w:r w:rsidRPr="00531108">
              <w:rPr>
                <w:rFonts w:ascii="宋体" w:eastAsia="宋体" w:hAnsi="宋体" w:cs="Times New Roman" w:hint="eastAsia"/>
                <w:sz w:val="24"/>
                <w:szCs w:val="24"/>
              </w:rPr>
              <w:t>效</w:t>
            </w:r>
            <w:proofErr w:type="gramEnd"/>
            <w:r w:rsidRPr="00531108">
              <w:rPr>
                <w:rFonts w:ascii="宋体" w:eastAsia="宋体" w:hAnsi="宋体" w:cs="Times New Roman" w:hint="eastAsia"/>
                <w:sz w:val="24"/>
                <w:szCs w:val="24"/>
              </w:rPr>
              <w:t>曲线特点。</w:t>
            </w:r>
          </w:p>
          <w:p w14:paraId="4104DD55" w14:textId="77777777" w:rsidR="00531108" w:rsidRPr="00531108" w:rsidRDefault="00531108" w:rsidP="00531108">
            <w:pPr>
              <w:spacing w:line="440" w:lineRule="exact"/>
              <w:ind w:firstLine="200"/>
              <w:rPr>
                <w:rFonts w:ascii="宋体" w:eastAsia="宋体" w:hAnsi="宋体" w:cs="Times New Roman"/>
                <w:bCs/>
                <w:sz w:val="24"/>
                <w:szCs w:val="24"/>
              </w:rPr>
            </w:pPr>
            <w:r w:rsidRPr="00531108">
              <w:rPr>
                <w:rFonts w:ascii="宋体" w:eastAsia="宋体" w:hAnsi="宋体" w:cs="Times New Roman" w:hint="eastAsia"/>
                <w:bCs/>
                <w:sz w:val="24"/>
                <w:szCs w:val="24"/>
              </w:rPr>
              <w:t>4 传出神经系统概论：突触；</w:t>
            </w:r>
            <w:r w:rsidRPr="00531108">
              <w:rPr>
                <w:rFonts w:ascii="宋体" w:eastAsia="宋体" w:hAnsi="宋体" w:cs="宋体" w:hint="eastAsia"/>
                <w:sz w:val="24"/>
                <w:szCs w:val="24"/>
              </w:rPr>
              <w:t>传出神经系统递质和受体分类及其生理功能。</w:t>
            </w:r>
          </w:p>
          <w:p w14:paraId="72ABEE67" w14:textId="77777777" w:rsidR="00531108" w:rsidRPr="00531108" w:rsidRDefault="00531108" w:rsidP="00531108">
            <w:pPr>
              <w:spacing w:line="440" w:lineRule="exact"/>
              <w:ind w:firstLine="200"/>
              <w:rPr>
                <w:rFonts w:ascii="宋体" w:eastAsia="宋体" w:hAnsi="宋体" w:cs="宋体"/>
                <w:sz w:val="24"/>
                <w:szCs w:val="24"/>
              </w:rPr>
            </w:pPr>
            <w:r w:rsidRPr="00531108">
              <w:rPr>
                <w:rFonts w:ascii="宋体" w:eastAsia="宋体" w:hAnsi="宋体" w:cs="Times New Roman" w:hint="eastAsia"/>
                <w:bCs/>
                <w:sz w:val="24"/>
                <w:szCs w:val="24"/>
              </w:rPr>
              <w:t>5 抗菌药物概论：</w:t>
            </w:r>
            <w:r w:rsidRPr="00531108">
              <w:rPr>
                <w:rFonts w:ascii="宋体" w:eastAsia="宋体" w:hAnsi="宋体" w:cs="宋体" w:hint="eastAsia"/>
                <w:sz w:val="24"/>
                <w:szCs w:val="24"/>
              </w:rPr>
              <w:t>抗菌药物的常用术语；抗菌药物的作用机制；细菌耐</w:t>
            </w:r>
            <w:r w:rsidRPr="00531108">
              <w:rPr>
                <w:rFonts w:ascii="宋体" w:eastAsia="宋体" w:hAnsi="宋体" w:cs="宋体" w:hint="eastAsia"/>
                <w:sz w:val="24"/>
                <w:szCs w:val="24"/>
              </w:rPr>
              <w:lastRenderedPageBreak/>
              <w:t>药性机制。</w:t>
            </w:r>
          </w:p>
        </w:tc>
      </w:tr>
    </w:tbl>
    <w:p w14:paraId="33231F10" w14:textId="77777777" w:rsidR="00531108" w:rsidRPr="00531108" w:rsidRDefault="00531108" w:rsidP="00D4283B">
      <w:pPr>
        <w:spacing w:beforeLines="50" w:before="156" w:afterLines="50" w:after="156" w:line="440" w:lineRule="exact"/>
        <w:ind w:firstLineChars="200" w:firstLine="560"/>
        <w:rPr>
          <w:rFonts w:ascii="黑体" w:eastAsia="黑体" w:hAnsi="黑体" w:cs="Times New Roman"/>
          <w:sz w:val="28"/>
          <w:szCs w:val="28"/>
        </w:rPr>
      </w:pPr>
      <w:r w:rsidRPr="00531108">
        <w:rPr>
          <w:rFonts w:ascii="黑体" w:eastAsia="黑体" w:hAnsi="黑体" w:cs="Times New Roman" w:hint="eastAsia"/>
          <w:sz w:val="28"/>
          <w:szCs w:val="28"/>
        </w:rPr>
        <w:t>（二）课程考核方式</w:t>
      </w:r>
    </w:p>
    <w:p w14:paraId="656B81AD" w14:textId="77777777" w:rsidR="00531108" w:rsidRPr="00531108" w:rsidRDefault="00531108" w:rsidP="00D4283B">
      <w:pPr>
        <w:adjustRightInd w:val="0"/>
        <w:snapToGrid w:val="0"/>
        <w:spacing w:line="440" w:lineRule="exact"/>
        <w:ind w:firstLineChars="200" w:firstLine="480"/>
        <w:rPr>
          <w:rFonts w:ascii="Times New Roman" w:eastAsia="宋体" w:hAnsi="Times New Roman" w:cs="Times New Roman"/>
          <w:sz w:val="24"/>
          <w:szCs w:val="24"/>
        </w:rPr>
      </w:pPr>
      <w:r w:rsidRPr="00531108">
        <w:rPr>
          <w:rFonts w:ascii="Times New Roman" w:eastAsia="宋体" w:hAnsi="Times New Roman" w:cs="Times New Roman"/>
          <w:sz w:val="24"/>
          <w:szCs w:val="24"/>
        </w:rPr>
        <w:t>课程考核方式分为平时考核、期末考核。</w:t>
      </w:r>
    </w:p>
    <w:p w14:paraId="685AB405" w14:textId="77777777" w:rsidR="00531108" w:rsidRPr="00531108" w:rsidRDefault="00531108" w:rsidP="00D4283B">
      <w:pPr>
        <w:adjustRightInd w:val="0"/>
        <w:snapToGrid w:val="0"/>
        <w:spacing w:line="440" w:lineRule="exact"/>
        <w:ind w:firstLineChars="200" w:firstLine="480"/>
        <w:rPr>
          <w:rFonts w:ascii="Times New Roman" w:eastAsia="宋体" w:hAnsi="Times New Roman" w:cs="Times New Roman"/>
          <w:sz w:val="24"/>
          <w:szCs w:val="24"/>
        </w:rPr>
      </w:pPr>
      <w:r w:rsidRPr="00531108">
        <w:rPr>
          <w:rFonts w:ascii="Times New Roman" w:eastAsia="宋体" w:hAnsi="Times New Roman" w:cs="Times New Roman"/>
          <w:sz w:val="24"/>
          <w:szCs w:val="24"/>
        </w:rPr>
        <w:t>1.</w:t>
      </w:r>
      <w:r w:rsidRPr="00531108">
        <w:rPr>
          <w:rFonts w:ascii="Times New Roman" w:eastAsia="宋体" w:hAnsi="Times New Roman" w:cs="Times New Roman"/>
          <w:sz w:val="24"/>
          <w:szCs w:val="24"/>
        </w:rPr>
        <w:t>平时</w:t>
      </w:r>
      <w:r w:rsidRPr="00531108">
        <w:rPr>
          <w:rFonts w:ascii="Times New Roman" w:eastAsia="宋体" w:hAnsi="Times New Roman" w:cs="Times New Roman" w:hint="eastAsia"/>
          <w:sz w:val="24"/>
          <w:szCs w:val="24"/>
        </w:rPr>
        <w:t>考核</w:t>
      </w:r>
      <w:r w:rsidRPr="00531108">
        <w:rPr>
          <w:rFonts w:ascii="Times New Roman" w:eastAsia="宋体" w:hAnsi="Times New Roman" w:cs="Times New Roman"/>
          <w:sz w:val="24"/>
          <w:szCs w:val="24"/>
        </w:rPr>
        <w:t>包括</w:t>
      </w:r>
      <w:r w:rsidRPr="00531108">
        <w:rPr>
          <w:rFonts w:ascii="Times New Roman" w:eastAsia="宋体" w:hAnsi="Times New Roman" w:cs="Times New Roman" w:hint="eastAsia"/>
          <w:sz w:val="24"/>
          <w:szCs w:val="24"/>
        </w:rPr>
        <w:t>线上学习</w:t>
      </w:r>
      <w:r w:rsidRPr="00531108">
        <w:rPr>
          <w:rFonts w:ascii="Times New Roman" w:eastAsia="宋体" w:hAnsi="Times New Roman" w:cs="Times New Roman"/>
          <w:sz w:val="24"/>
          <w:szCs w:val="24"/>
        </w:rPr>
        <w:t>、平时作业；</w:t>
      </w:r>
    </w:p>
    <w:p w14:paraId="7AB90C6A" w14:textId="77777777" w:rsidR="00531108" w:rsidRPr="00531108" w:rsidRDefault="00531108" w:rsidP="00D4283B">
      <w:pPr>
        <w:adjustRightInd w:val="0"/>
        <w:snapToGrid w:val="0"/>
        <w:spacing w:line="440" w:lineRule="exact"/>
        <w:ind w:firstLineChars="200" w:firstLine="480"/>
        <w:rPr>
          <w:rFonts w:ascii="Times New Roman" w:eastAsia="宋体" w:hAnsi="Times New Roman" w:cs="Times New Roman"/>
          <w:sz w:val="24"/>
          <w:szCs w:val="24"/>
        </w:rPr>
      </w:pPr>
      <w:r w:rsidRPr="00531108">
        <w:rPr>
          <w:rFonts w:ascii="Times New Roman" w:eastAsia="宋体" w:hAnsi="Times New Roman" w:cs="Times New Roman"/>
          <w:sz w:val="24"/>
          <w:szCs w:val="24"/>
        </w:rPr>
        <w:t>2.</w:t>
      </w:r>
      <w:r w:rsidRPr="00531108">
        <w:rPr>
          <w:rFonts w:ascii="Times New Roman" w:eastAsia="宋体" w:hAnsi="Times New Roman" w:cs="Times New Roman"/>
          <w:sz w:val="24"/>
          <w:szCs w:val="24"/>
        </w:rPr>
        <w:t>期末考核采用闭卷考试。</w:t>
      </w:r>
    </w:p>
    <w:p w14:paraId="281E2E3A" w14:textId="77777777" w:rsidR="00531108" w:rsidRPr="00531108" w:rsidRDefault="00531108" w:rsidP="00D4283B">
      <w:pPr>
        <w:adjustRightInd w:val="0"/>
        <w:snapToGrid w:val="0"/>
        <w:spacing w:line="440" w:lineRule="exact"/>
        <w:ind w:firstLineChars="200" w:firstLine="560"/>
        <w:rPr>
          <w:rFonts w:ascii="Times New Roman" w:eastAsia="宋体" w:hAnsi="Times New Roman" w:cs="Times New Roman"/>
          <w:sz w:val="24"/>
          <w:szCs w:val="24"/>
        </w:rPr>
      </w:pPr>
      <w:r w:rsidRPr="00531108">
        <w:rPr>
          <w:rFonts w:ascii="黑体" w:eastAsia="黑体" w:hAnsi="黑体" w:cs="Times New Roman" w:hint="eastAsia"/>
          <w:sz w:val="28"/>
          <w:szCs w:val="28"/>
        </w:rPr>
        <w:t>（三）课程目标达成评价方式及考核比例</w:t>
      </w:r>
    </w:p>
    <w:p w14:paraId="28E03A51"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课程考核方式及成绩比例为：线上学习</w:t>
      </w:r>
      <w:r w:rsidRPr="00531108">
        <w:rPr>
          <w:rFonts w:ascii="宋体" w:eastAsia="宋体" w:hAnsi="宋体" w:cs="Times New Roman"/>
          <w:sz w:val="24"/>
          <w:szCs w:val="24"/>
        </w:rPr>
        <w:t>20</w:t>
      </w:r>
      <w:r w:rsidRPr="00531108">
        <w:rPr>
          <w:rFonts w:ascii="宋体" w:eastAsia="宋体" w:hAnsi="宋体" w:cs="Times New Roman" w:hint="eastAsia"/>
          <w:sz w:val="24"/>
          <w:szCs w:val="24"/>
        </w:rPr>
        <w:t>%</w:t>
      </w:r>
      <w:r w:rsidRPr="00531108">
        <w:rPr>
          <w:rFonts w:ascii="宋体" w:eastAsia="宋体" w:hAnsi="宋体" w:cs="Times New Roman"/>
          <w:sz w:val="24"/>
          <w:szCs w:val="24"/>
        </w:rPr>
        <w:t>+</w:t>
      </w:r>
      <w:r w:rsidRPr="00531108">
        <w:rPr>
          <w:rFonts w:ascii="宋体" w:eastAsia="宋体" w:hAnsi="宋体" w:cs="Times New Roman" w:hint="eastAsia"/>
          <w:sz w:val="24"/>
          <w:szCs w:val="24"/>
        </w:rPr>
        <w:t>平时作业</w:t>
      </w:r>
      <w:r w:rsidRPr="00531108">
        <w:rPr>
          <w:rFonts w:ascii="宋体" w:eastAsia="宋体" w:hAnsi="宋体" w:cs="Times New Roman"/>
          <w:sz w:val="24"/>
          <w:szCs w:val="24"/>
        </w:rPr>
        <w:t>20</w:t>
      </w:r>
      <w:r w:rsidRPr="00531108">
        <w:rPr>
          <w:rFonts w:ascii="宋体" w:eastAsia="宋体" w:hAnsi="宋体" w:cs="Times New Roman" w:hint="eastAsia"/>
          <w:sz w:val="24"/>
          <w:szCs w:val="24"/>
        </w:rPr>
        <w:t>%</w:t>
      </w:r>
      <w:r w:rsidRPr="00531108">
        <w:rPr>
          <w:rFonts w:ascii="宋体" w:eastAsia="宋体" w:hAnsi="宋体" w:cs="Times New Roman"/>
          <w:sz w:val="24"/>
          <w:szCs w:val="24"/>
        </w:rPr>
        <w:t>+</w:t>
      </w:r>
      <w:r w:rsidRPr="00531108">
        <w:rPr>
          <w:rFonts w:ascii="宋体" w:eastAsia="宋体" w:hAnsi="宋体" w:cs="Times New Roman" w:hint="eastAsia"/>
          <w:sz w:val="24"/>
          <w:szCs w:val="24"/>
        </w:rPr>
        <w:t>期末考试</w:t>
      </w:r>
      <w:r w:rsidRPr="00531108">
        <w:rPr>
          <w:rFonts w:ascii="宋体" w:eastAsia="宋体" w:hAnsi="宋体" w:cs="Times New Roman"/>
          <w:sz w:val="24"/>
          <w:szCs w:val="24"/>
        </w:rPr>
        <w:t>60</w:t>
      </w:r>
      <w:r w:rsidRPr="00531108">
        <w:rPr>
          <w:rFonts w:ascii="宋体" w:eastAsia="宋体" w:hAnsi="宋体" w:cs="Times New Roman" w:hint="eastAsia"/>
          <w:sz w:val="24"/>
          <w:szCs w:val="24"/>
        </w:rPr>
        <w:t>%；本课程共有两个课程目标，考核方式及成绩比例分别为：</w:t>
      </w:r>
    </w:p>
    <w:p w14:paraId="3D2A07B3"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课程目标1：期末考试</w:t>
      </w:r>
      <w:r w:rsidRPr="00531108">
        <w:rPr>
          <w:rFonts w:ascii="宋体" w:eastAsia="宋体" w:hAnsi="宋体" w:cs="Times New Roman"/>
          <w:sz w:val="24"/>
          <w:szCs w:val="24"/>
        </w:rPr>
        <w:t>12</w:t>
      </w:r>
      <w:r w:rsidRPr="00531108">
        <w:rPr>
          <w:rFonts w:ascii="宋体" w:eastAsia="宋体" w:hAnsi="宋体" w:cs="Times New Roman" w:hint="eastAsia"/>
          <w:sz w:val="24"/>
          <w:szCs w:val="24"/>
        </w:rPr>
        <w:t>%</w:t>
      </w:r>
    </w:p>
    <w:p w14:paraId="10762271"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课程目标2：课堂表现</w:t>
      </w:r>
      <w:r w:rsidRPr="00531108">
        <w:rPr>
          <w:rFonts w:ascii="宋体" w:eastAsia="宋体" w:hAnsi="宋体" w:cs="Times New Roman"/>
          <w:sz w:val="24"/>
          <w:szCs w:val="24"/>
        </w:rPr>
        <w:t>20</w:t>
      </w:r>
      <w:r w:rsidRPr="00531108">
        <w:rPr>
          <w:rFonts w:ascii="宋体" w:eastAsia="宋体" w:hAnsi="宋体" w:cs="Times New Roman" w:hint="eastAsia"/>
          <w:sz w:val="24"/>
          <w:szCs w:val="24"/>
        </w:rPr>
        <w:t>%</w:t>
      </w:r>
      <w:r w:rsidRPr="00531108">
        <w:rPr>
          <w:rFonts w:ascii="宋体" w:eastAsia="宋体" w:hAnsi="宋体" w:cs="Times New Roman"/>
          <w:sz w:val="24"/>
          <w:szCs w:val="24"/>
        </w:rPr>
        <w:t>+</w:t>
      </w:r>
      <w:r w:rsidRPr="00531108">
        <w:rPr>
          <w:rFonts w:ascii="宋体" w:eastAsia="宋体" w:hAnsi="宋体" w:cs="Times New Roman" w:hint="eastAsia"/>
          <w:sz w:val="24"/>
          <w:szCs w:val="24"/>
        </w:rPr>
        <w:t>平时作业</w:t>
      </w:r>
      <w:r w:rsidRPr="00531108">
        <w:rPr>
          <w:rFonts w:ascii="宋体" w:eastAsia="宋体" w:hAnsi="宋体" w:cs="Times New Roman"/>
          <w:sz w:val="24"/>
          <w:szCs w:val="24"/>
        </w:rPr>
        <w:t>2</w:t>
      </w:r>
      <w:r w:rsidRPr="00531108">
        <w:rPr>
          <w:rFonts w:ascii="宋体" w:eastAsia="宋体" w:hAnsi="宋体" w:cs="Times New Roman" w:hint="eastAsia"/>
          <w:sz w:val="24"/>
          <w:szCs w:val="24"/>
        </w:rPr>
        <w:t>0%+期末考试</w:t>
      </w:r>
      <w:r w:rsidRPr="00531108">
        <w:rPr>
          <w:rFonts w:ascii="宋体" w:eastAsia="宋体" w:hAnsi="宋体" w:cs="Times New Roman"/>
          <w:sz w:val="24"/>
          <w:szCs w:val="24"/>
        </w:rPr>
        <w:t>48</w:t>
      </w:r>
      <w:r w:rsidRPr="00531108">
        <w:rPr>
          <w:rFonts w:ascii="宋体" w:eastAsia="宋体" w:hAnsi="宋体" w:cs="Times New Roman" w:hint="eastAsia"/>
          <w:sz w:val="24"/>
          <w:szCs w:val="24"/>
        </w:rPr>
        <w:t>%</w:t>
      </w:r>
    </w:p>
    <w:p w14:paraId="1F13F64F"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788"/>
        <w:gridCol w:w="2268"/>
        <w:gridCol w:w="2215"/>
        <w:gridCol w:w="1559"/>
      </w:tblGrid>
      <w:tr w:rsidR="00531108" w:rsidRPr="00531108" w14:paraId="6079F649" w14:textId="77777777" w:rsidTr="00004A27">
        <w:trPr>
          <w:trHeight w:val="540"/>
          <w:jc w:val="center"/>
        </w:trPr>
        <w:tc>
          <w:tcPr>
            <w:tcW w:w="1422" w:type="dxa"/>
            <w:vMerge w:val="restart"/>
            <w:vAlign w:val="center"/>
          </w:tcPr>
          <w:p w14:paraId="5BDD0373" w14:textId="77777777" w:rsidR="00531108" w:rsidRPr="00531108" w:rsidRDefault="00531108" w:rsidP="00531108">
            <w:pPr>
              <w:spacing w:line="440" w:lineRule="exact"/>
              <w:ind w:firstLine="200"/>
              <w:jc w:val="center"/>
              <w:rPr>
                <w:rFonts w:ascii="宋体" w:eastAsia="宋体" w:hAnsi="宋体" w:cs="Times New Roman"/>
                <w:b/>
                <w:sz w:val="24"/>
                <w:szCs w:val="24"/>
              </w:rPr>
            </w:pPr>
            <w:r w:rsidRPr="00531108">
              <w:rPr>
                <w:rFonts w:ascii="宋体" w:eastAsia="宋体" w:hAnsi="宋体" w:cs="Times New Roman" w:hint="eastAsia"/>
                <w:b/>
                <w:sz w:val="24"/>
                <w:szCs w:val="24"/>
              </w:rPr>
              <w:t>课程目标</w:t>
            </w:r>
          </w:p>
        </w:tc>
        <w:tc>
          <w:tcPr>
            <w:tcW w:w="6271" w:type="dxa"/>
            <w:gridSpan w:val="3"/>
            <w:vAlign w:val="center"/>
          </w:tcPr>
          <w:p w14:paraId="48DA28F2" w14:textId="77777777" w:rsidR="00531108" w:rsidRPr="00531108" w:rsidRDefault="00531108" w:rsidP="00531108">
            <w:pPr>
              <w:spacing w:line="440" w:lineRule="exact"/>
              <w:ind w:firstLine="200"/>
              <w:jc w:val="center"/>
              <w:rPr>
                <w:rFonts w:ascii="宋体" w:eastAsia="宋体" w:hAnsi="宋体" w:cs="Times New Roman"/>
                <w:b/>
                <w:sz w:val="24"/>
                <w:szCs w:val="24"/>
              </w:rPr>
            </w:pPr>
            <w:r w:rsidRPr="00531108">
              <w:rPr>
                <w:rFonts w:ascii="宋体" w:eastAsia="宋体" w:hAnsi="宋体" w:cs="Times New Roman" w:hint="eastAsia"/>
                <w:b/>
                <w:sz w:val="24"/>
                <w:szCs w:val="24"/>
              </w:rPr>
              <w:t>考核方式及成绩比例（%）</w:t>
            </w:r>
          </w:p>
        </w:tc>
        <w:tc>
          <w:tcPr>
            <w:tcW w:w="1559" w:type="dxa"/>
            <w:vMerge w:val="restart"/>
            <w:vAlign w:val="center"/>
          </w:tcPr>
          <w:p w14:paraId="7461A168" w14:textId="77777777" w:rsidR="00531108" w:rsidRPr="00531108" w:rsidRDefault="00531108" w:rsidP="00531108">
            <w:pPr>
              <w:spacing w:line="440" w:lineRule="exact"/>
              <w:ind w:firstLine="200"/>
              <w:jc w:val="center"/>
              <w:rPr>
                <w:rFonts w:ascii="宋体" w:eastAsia="宋体" w:hAnsi="宋体" w:cs="Times New Roman"/>
                <w:b/>
                <w:sz w:val="24"/>
                <w:szCs w:val="24"/>
              </w:rPr>
            </w:pPr>
            <w:r w:rsidRPr="00531108">
              <w:rPr>
                <w:rFonts w:ascii="宋体" w:eastAsia="宋体" w:hAnsi="宋体" w:cs="Times New Roman" w:hint="eastAsia"/>
                <w:b/>
                <w:sz w:val="24"/>
                <w:szCs w:val="24"/>
              </w:rPr>
              <w:t>合计</w:t>
            </w:r>
          </w:p>
        </w:tc>
      </w:tr>
      <w:tr w:rsidR="00531108" w:rsidRPr="00531108" w14:paraId="500C27B2" w14:textId="77777777" w:rsidTr="00004A27">
        <w:trPr>
          <w:trHeight w:val="578"/>
          <w:jc w:val="center"/>
        </w:trPr>
        <w:tc>
          <w:tcPr>
            <w:tcW w:w="1422" w:type="dxa"/>
            <w:vMerge/>
            <w:vAlign w:val="center"/>
          </w:tcPr>
          <w:p w14:paraId="41EA30C0" w14:textId="77777777" w:rsidR="00531108" w:rsidRPr="00531108" w:rsidRDefault="00531108" w:rsidP="00531108">
            <w:pPr>
              <w:spacing w:line="440" w:lineRule="exact"/>
              <w:ind w:firstLine="200"/>
              <w:jc w:val="center"/>
              <w:rPr>
                <w:rFonts w:ascii="宋体" w:eastAsia="宋体" w:hAnsi="宋体" w:cs="Times New Roman"/>
                <w:b/>
                <w:sz w:val="24"/>
                <w:szCs w:val="24"/>
              </w:rPr>
            </w:pPr>
          </w:p>
        </w:tc>
        <w:tc>
          <w:tcPr>
            <w:tcW w:w="1788" w:type="dxa"/>
            <w:vAlign w:val="center"/>
          </w:tcPr>
          <w:p w14:paraId="505D149C" w14:textId="77777777" w:rsidR="00531108" w:rsidRPr="00531108" w:rsidRDefault="00531108" w:rsidP="00531108">
            <w:pPr>
              <w:spacing w:line="440" w:lineRule="exact"/>
              <w:ind w:firstLine="200"/>
              <w:jc w:val="center"/>
              <w:rPr>
                <w:rFonts w:ascii="宋体" w:eastAsia="宋体" w:hAnsi="宋体" w:cs="Times New Roman"/>
                <w:b/>
                <w:sz w:val="24"/>
                <w:szCs w:val="24"/>
              </w:rPr>
            </w:pPr>
            <w:r w:rsidRPr="00531108">
              <w:rPr>
                <w:rFonts w:ascii="宋体" w:eastAsia="宋体" w:hAnsi="宋体" w:cs="Times New Roman" w:hint="eastAsia"/>
                <w:b/>
                <w:sz w:val="24"/>
                <w:szCs w:val="24"/>
              </w:rPr>
              <w:t>线上学习</w:t>
            </w:r>
          </w:p>
        </w:tc>
        <w:tc>
          <w:tcPr>
            <w:tcW w:w="2268" w:type="dxa"/>
            <w:vAlign w:val="center"/>
          </w:tcPr>
          <w:p w14:paraId="1DEC7CDD" w14:textId="77777777" w:rsidR="00531108" w:rsidRPr="00531108" w:rsidRDefault="00531108" w:rsidP="00531108">
            <w:pPr>
              <w:spacing w:line="440" w:lineRule="exact"/>
              <w:ind w:firstLine="200"/>
              <w:jc w:val="center"/>
              <w:rPr>
                <w:rFonts w:ascii="宋体" w:eastAsia="宋体" w:hAnsi="宋体" w:cs="Times New Roman"/>
                <w:b/>
                <w:sz w:val="24"/>
                <w:szCs w:val="24"/>
              </w:rPr>
            </w:pPr>
            <w:r w:rsidRPr="00531108">
              <w:rPr>
                <w:rFonts w:ascii="宋体" w:eastAsia="宋体" w:hAnsi="宋体" w:cs="Times New Roman" w:hint="eastAsia"/>
                <w:b/>
                <w:sz w:val="24"/>
                <w:szCs w:val="24"/>
              </w:rPr>
              <w:t>平时作业</w:t>
            </w:r>
          </w:p>
        </w:tc>
        <w:tc>
          <w:tcPr>
            <w:tcW w:w="2215" w:type="dxa"/>
            <w:vAlign w:val="center"/>
          </w:tcPr>
          <w:p w14:paraId="147EFC1C" w14:textId="77777777" w:rsidR="00531108" w:rsidRPr="00531108" w:rsidRDefault="00531108" w:rsidP="00531108">
            <w:pPr>
              <w:spacing w:line="440" w:lineRule="exact"/>
              <w:ind w:firstLine="200"/>
              <w:jc w:val="center"/>
              <w:rPr>
                <w:rFonts w:ascii="宋体" w:eastAsia="宋体" w:hAnsi="宋体" w:cs="Times New Roman"/>
                <w:b/>
                <w:sz w:val="24"/>
                <w:szCs w:val="24"/>
              </w:rPr>
            </w:pPr>
            <w:r w:rsidRPr="00531108">
              <w:rPr>
                <w:rFonts w:ascii="宋体" w:eastAsia="宋体" w:hAnsi="宋体" w:cs="Times New Roman" w:hint="eastAsia"/>
                <w:b/>
                <w:sz w:val="24"/>
                <w:szCs w:val="24"/>
              </w:rPr>
              <w:t>期末考试</w:t>
            </w:r>
          </w:p>
        </w:tc>
        <w:tc>
          <w:tcPr>
            <w:tcW w:w="1559" w:type="dxa"/>
            <w:vMerge/>
          </w:tcPr>
          <w:p w14:paraId="669A7F22" w14:textId="77777777" w:rsidR="00531108" w:rsidRPr="00531108" w:rsidRDefault="00531108" w:rsidP="00531108">
            <w:pPr>
              <w:spacing w:line="440" w:lineRule="exact"/>
              <w:ind w:firstLine="200"/>
              <w:jc w:val="center"/>
              <w:rPr>
                <w:rFonts w:ascii="宋体" w:eastAsia="宋体" w:hAnsi="宋体" w:cs="Times New Roman"/>
                <w:b/>
                <w:sz w:val="24"/>
                <w:szCs w:val="24"/>
              </w:rPr>
            </w:pPr>
          </w:p>
        </w:tc>
      </w:tr>
      <w:tr w:rsidR="00531108" w:rsidRPr="00531108" w14:paraId="1DB3502F" w14:textId="77777777" w:rsidTr="00004A27">
        <w:trPr>
          <w:jc w:val="center"/>
        </w:trPr>
        <w:tc>
          <w:tcPr>
            <w:tcW w:w="1422" w:type="dxa"/>
            <w:vAlign w:val="center"/>
          </w:tcPr>
          <w:p w14:paraId="7D5BCA87"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hint="eastAsia"/>
                <w:bCs/>
                <w:sz w:val="24"/>
                <w:szCs w:val="24"/>
              </w:rPr>
              <w:t>课程目标1</w:t>
            </w:r>
          </w:p>
        </w:tc>
        <w:tc>
          <w:tcPr>
            <w:tcW w:w="1788" w:type="dxa"/>
            <w:vAlign w:val="center"/>
          </w:tcPr>
          <w:p w14:paraId="45758857"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bCs/>
                <w:sz w:val="24"/>
                <w:szCs w:val="24"/>
              </w:rPr>
              <w:t>20</w:t>
            </w:r>
          </w:p>
        </w:tc>
        <w:tc>
          <w:tcPr>
            <w:tcW w:w="2268" w:type="dxa"/>
            <w:vAlign w:val="center"/>
          </w:tcPr>
          <w:p w14:paraId="48FC4FA4"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bCs/>
                <w:sz w:val="24"/>
                <w:szCs w:val="24"/>
              </w:rPr>
              <w:t>20</w:t>
            </w:r>
          </w:p>
        </w:tc>
        <w:tc>
          <w:tcPr>
            <w:tcW w:w="2215" w:type="dxa"/>
            <w:vAlign w:val="center"/>
          </w:tcPr>
          <w:p w14:paraId="12881ED9"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bCs/>
                <w:sz w:val="24"/>
                <w:szCs w:val="24"/>
              </w:rPr>
              <w:t>48</w:t>
            </w:r>
          </w:p>
        </w:tc>
        <w:tc>
          <w:tcPr>
            <w:tcW w:w="1559" w:type="dxa"/>
          </w:tcPr>
          <w:p w14:paraId="0B141D43"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bCs/>
                <w:sz w:val="24"/>
                <w:szCs w:val="24"/>
              </w:rPr>
              <w:t>88</w:t>
            </w:r>
          </w:p>
        </w:tc>
      </w:tr>
      <w:tr w:rsidR="00531108" w:rsidRPr="00531108" w14:paraId="6A069265" w14:textId="77777777" w:rsidTr="00004A27">
        <w:trPr>
          <w:jc w:val="center"/>
        </w:trPr>
        <w:tc>
          <w:tcPr>
            <w:tcW w:w="1422" w:type="dxa"/>
            <w:vAlign w:val="center"/>
          </w:tcPr>
          <w:p w14:paraId="0317E170"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hint="eastAsia"/>
                <w:bCs/>
                <w:sz w:val="24"/>
                <w:szCs w:val="24"/>
              </w:rPr>
              <w:t>课程目标2</w:t>
            </w:r>
          </w:p>
        </w:tc>
        <w:tc>
          <w:tcPr>
            <w:tcW w:w="1788" w:type="dxa"/>
            <w:vAlign w:val="center"/>
          </w:tcPr>
          <w:p w14:paraId="4630284E"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bCs/>
                <w:sz w:val="24"/>
                <w:szCs w:val="24"/>
              </w:rPr>
              <w:t>0</w:t>
            </w:r>
          </w:p>
        </w:tc>
        <w:tc>
          <w:tcPr>
            <w:tcW w:w="2268" w:type="dxa"/>
            <w:vAlign w:val="center"/>
          </w:tcPr>
          <w:p w14:paraId="40870F08"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bCs/>
                <w:sz w:val="24"/>
                <w:szCs w:val="24"/>
              </w:rPr>
              <w:t>0</w:t>
            </w:r>
          </w:p>
        </w:tc>
        <w:tc>
          <w:tcPr>
            <w:tcW w:w="2215" w:type="dxa"/>
            <w:vAlign w:val="center"/>
          </w:tcPr>
          <w:p w14:paraId="18587675"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bCs/>
                <w:sz w:val="24"/>
                <w:szCs w:val="24"/>
              </w:rPr>
              <w:t>12</w:t>
            </w:r>
          </w:p>
        </w:tc>
        <w:tc>
          <w:tcPr>
            <w:tcW w:w="1559" w:type="dxa"/>
          </w:tcPr>
          <w:p w14:paraId="14C52419"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bCs/>
                <w:sz w:val="24"/>
                <w:szCs w:val="24"/>
              </w:rPr>
              <w:t>12</w:t>
            </w:r>
          </w:p>
        </w:tc>
      </w:tr>
      <w:tr w:rsidR="00531108" w:rsidRPr="00531108" w14:paraId="26E3F49E" w14:textId="77777777" w:rsidTr="00004A27">
        <w:trPr>
          <w:trHeight w:val="435"/>
          <w:jc w:val="center"/>
        </w:trPr>
        <w:tc>
          <w:tcPr>
            <w:tcW w:w="1422" w:type="dxa"/>
            <w:vAlign w:val="center"/>
          </w:tcPr>
          <w:p w14:paraId="192B1931"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hint="eastAsia"/>
                <w:bCs/>
                <w:sz w:val="24"/>
                <w:szCs w:val="24"/>
              </w:rPr>
              <w:t>合计</w:t>
            </w:r>
          </w:p>
        </w:tc>
        <w:tc>
          <w:tcPr>
            <w:tcW w:w="1788" w:type="dxa"/>
            <w:vAlign w:val="center"/>
          </w:tcPr>
          <w:p w14:paraId="257220E1"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bCs/>
                <w:sz w:val="24"/>
                <w:szCs w:val="24"/>
              </w:rPr>
              <w:t>20</w:t>
            </w:r>
          </w:p>
        </w:tc>
        <w:tc>
          <w:tcPr>
            <w:tcW w:w="2268" w:type="dxa"/>
            <w:vAlign w:val="center"/>
          </w:tcPr>
          <w:p w14:paraId="2664146F"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bCs/>
                <w:sz w:val="24"/>
                <w:szCs w:val="24"/>
              </w:rPr>
              <w:t>20</w:t>
            </w:r>
          </w:p>
        </w:tc>
        <w:tc>
          <w:tcPr>
            <w:tcW w:w="2215" w:type="dxa"/>
            <w:vAlign w:val="center"/>
          </w:tcPr>
          <w:p w14:paraId="68709EBE"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bCs/>
                <w:sz w:val="24"/>
                <w:szCs w:val="24"/>
              </w:rPr>
              <w:t>60</w:t>
            </w:r>
          </w:p>
        </w:tc>
        <w:tc>
          <w:tcPr>
            <w:tcW w:w="1559" w:type="dxa"/>
          </w:tcPr>
          <w:p w14:paraId="4386D69C" w14:textId="77777777" w:rsidR="00531108" w:rsidRPr="00531108" w:rsidRDefault="00531108" w:rsidP="00531108">
            <w:pPr>
              <w:spacing w:line="440" w:lineRule="exact"/>
              <w:ind w:firstLine="200"/>
              <w:jc w:val="center"/>
              <w:rPr>
                <w:rFonts w:ascii="宋体" w:eastAsia="宋体" w:hAnsi="宋体" w:cs="Times New Roman"/>
                <w:bCs/>
                <w:sz w:val="24"/>
                <w:szCs w:val="24"/>
              </w:rPr>
            </w:pPr>
            <w:r w:rsidRPr="00531108">
              <w:rPr>
                <w:rFonts w:ascii="宋体" w:eastAsia="宋体" w:hAnsi="宋体" w:cs="Times New Roman" w:hint="eastAsia"/>
                <w:bCs/>
                <w:sz w:val="24"/>
                <w:szCs w:val="24"/>
              </w:rPr>
              <w:t>1</w:t>
            </w:r>
            <w:r w:rsidRPr="00531108">
              <w:rPr>
                <w:rFonts w:ascii="宋体" w:eastAsia="宋体" w:hAnsi="宋体" w:cs="Times New Roman"/>
                <w:bCs/>
                <w:sz w:val="24"/>
                <w:szCs w:val="24"/>
              </w:rPr>
              <w:t>00</w:t>
            </w:r>
          </w:p>
        </w:tc>
      </w:tr>
    </w:tbl>
    <w:p w14:paraId="122C11FD" w14:textId="77777777" w:rsidR="00531108" w:rsidRPr="00531108" w:rsidRDefault="00531108" w:rsidP="00D4283B">
      <w:pPr>
        <w:spacing w:beforeLines="50" w:before="156" w:afterLines="50" w:after="156" w:line="440" w:lineRule="exact"/>
        <w:ind w:firstLineChars="200" w:firstLine="560"/>
        <w:rPr>
          <w:rFonts w:ascii="黑体" w:eastAsia="黑体" w:hAnsi="黑体" w:cs="Times New Roman"/>
          <w:sz w:val="28"/>
          <w:szCs w:val="28"/>
        </w:rPr>
      </w:pPr>
      <w:r w:rsidRPr="00531108">
        <w:rPr>
          <w:rFonts w:ascii="黑体" w:eastAsia="黑体" w:hAnsi="黑体" w:cs="Times New Roman" w:hint="eastAsia"/>
          <w:sz w:val="28"/>
          <w:szCs w:val="28"/>
        </w:rPr>
        <w:t>五、成绩评定</w:t>
      </w:r>
    </w:p>
    <w:p w14:paraId="3FBAE06A" w14:textId="77777777" w:rsidR="00531108" w:rsidRPr="00531108" w:rsidRDefault="00531108" w:rsidP="00D4283B">
      <w:pPr>
        <w:spacing w:beforeLines="50" w:before="156" w:afterLines="50" w:after="156" w:line="440" w:lineRule="exact"/>
        <w:ind w:firstLineChars="200" w:firstLine="560"/>
        <w:rPr>
          <w:rFonts w:ascii="黑体" w:eastAsia="黑体" w:hAnsi="黑体" w:cs="Times New Roman"/>
          <w:sz w:val="28"/>
          <w:szCs w:val="28"/>
        </w:rPr>
      </w:pPr>
      <w:r w:rsidRPr="00531108">
        <w:rPr>
          <w:rFonts w:ascii="黑体" w:eastAsia="黑体" w:hAnsi="黑体" w:cs="Times New Roman" w:hint="eastAsia"/>
          <w:sz w:val="28"/>
          <w:szCs w:val="28"/>
        </w:rPr>
        <w:t>（一）总成绩评定</w:t>
      </w:r>
    </w:p>
    <w:p w14:paraId="7F40239D" w14:textId="77777777" w:rsidR="00531108" w:rsidRPr="00531108" w:rsidRDefault="00531108" w:rsidP="00D4283B">
      <w:pPr>
        <w:spacing w:line="440" w:lineRule="exact"/>
        <w:ind w:firstLineChars="200" w:firstLine="480"/>
        <w:rPr>
          <w:rFonts w:ascii="宋体" w:eastAsia="宋体" w:hAnsi="宋体" w:cs="宋体"/>
          <w:color w:val="000000"/>
          <w:sz w:val="24"/>
          <w:szCs w:val="24"/>
        </w:rPr>
      </w:pPr>
      <w:r w:rsidRPr="00531108">
        <w:rPr>
          <w:rFonts w:ascii="宋体" w:eastAsia="宋体" w:hAnsi="宋体" w:cs="宋体" w:hint="eastAsia"/>
          <w:color w:val="000000"/>
          <w:sz w:val="24"/>
          <w:szCs w:val="24"/>
        </w:rPr>
        <w:t>总成绩=平时成绩×</w:t>
      </w:r>
      <w:r w:rsidRPr="00531108">
        <w:rPr>
          <w:rFonts w:ascii="宋体" w:eastAsia="宋体" w:hAnsi="宋体" w:cs="宋体"/>
          <w:color w:val="000000"/>
          <w:sz w:val="24"/>
          <w:szCs w:val="24"/>
        </w:rPr>
        <w:t>4</w:t>
      </w:r>
      <w:r w:rsidRPr="00531108">
        <w:rPr>
          <w:rFonts w:ascii="宋体" w:eastAsia="宋体" w:hAnsi="宋体" w:cs="宋体" w:hint="eastAsia"/>
          <w:color w:val="000000"/>
          <w:sz w:val="24"/>
          <w:szCs w:val="24"/>
        </w:rPr>
        <w:t>0%+期末成绩×</w:t>
      </w:r>
      <w:r w:rsidRPr="00531108">
        <w:rPr>
          <w:rFonts w:ascii="宋体" w:eastAsia="宋体" w:hAnsi="宋体" w:cs="宋体"/>
          <w:color w:val="000000"/>
          <w:sz w:val="24"/>
          <w:szCs w:val="24"/>
        </w:rPr>
        <w:t>6</w:t>
      </w:r>
      <w:r w:rsidRPr="00531108">
        <w:rPr>
          <w:rFonts w:ascii="宋体" w:eastAsia="宋体" w:hAnsi="宋体" w:cs="宋体" w:hint="eastAsia"/>
          <w:color w:val="000000"/>
          <w:sz w:val="24"/>
          <w:szCs w:val="24"/>
        </w:rPr>
        <w:t>0%</w:t>
      </w:r>
    </w:p>
    <w:p w14:paraId="5AA32775" w14:textId="77777777" w:rsidR="00531108" w:rsidRPr="00531108" w:rsidRDefault="00531108" w:rsidP="00D4283B">
      <w:pPr>
        <w:spacing w:beforeLines="50" w:before="156" w:afterLines="50" w:after="156" w:line="440" w:lineRule="exact"/>
        <w:ind w:firstLineChars="200" w:firstLine="560"/>
        <w:rPr>
          <w:rFonts w:ascii="宋体" w:eastAsia="宋体" w:hAnsi="宋体" w:cs="Times New Roman"/>
          <w:color w:val="FF0000"/>
          <w:sz w:val="24"/>
          <w:szCs w:val="24"/>
        </w:rPr>
      </w:pPr>
      <w:r w:rsidRPr="00531108">
        <w:rPr>
          <w:rFonts w:ascii="黑体" w:eastAsia="黑体" w:hAnsi="黑体" w:cs="Times New Roman" w:hint="eastAsia"/>
          <w:sz w:val="28"/>
          <w:szCs w:val="28"/>
        </w:rPr>
        <w:t>（二）平时成绩评定</w:t>
      </w:r>
    </w:p>
    <w:p w14:paraId="402DA339" w14:textId="77777777" w:rsidR="00531108" w:rsidRPr="00531108" w:rsidRDefault="00531108" w:rsidP="00D4283B">
      <w:pPr>
        <w:spacing w:line="440" w:lineRule="atLeast"/>
        <w:ind w:firstLineChars="200" w:firstLine="480"/>
        <w:rPr>
          <w:rFonts w:ascii="Times New Roman" w:eastAsia="宋体" w:hAnsi="Times New Roman" w:cs="Times New Roman"/>
          <w:sz w:val="24"/>
          <w:szCs w:val="24"/>
        </w:rPr>
      </w:pPr>
      <w:r w:rsidRPr="00531108">
        <w:rPr>
          <w:rFonts w:ascii="Times New Roman" w:eastAsia="宋体" w:hAnsi="Times New Roman" w:cs="Times New Roman" w:hint="eastAsia"/>
          <w:sz w:val="24"/>
          <w:szCs w:val="24"/>
        </w:rPr>
        <w:t>平时成绩（</w:t>
      </w:r>
      <w:r w:rsidRPr="00531108">
        <w:rPr>
          <w:rFonts w:ascii="Times New Roman" w:eastAsia="宋体" w:hAnsi="Times New Roman" w:cs="Times New Roman" w:hint="eastAsia"/>
          <w:sz w:val="24"/>
          <w:szCs w:val="24"/>
        </w:rPr>
        <w:t>100%</w:t>
      </w:r>
      <w:r w:rsidRPr="00531108">
        <w:rPr>
          <w:rFonts w:ascii="Times New Roman" w:eastAsia="宋体" w:hAnsi="Times New Roman" w:cs="Times New Roman" w:hint="eastAsia"/>
          <w:sz w:val="24"/>
          <w:szCs w:val="24"/>
        </w:rPr>
        <w:t>）</w:t>
      </w:r>
      <w:r w:rsidRPr="00531108">
        <w:rPr>
          <w:rFonts w:ascii="Times New Roman" w:eastAsia="宋体" w:hAnsi="Times New Roman" w:cs="Times New Roman" w:hint="eastAsia"/>
          <w:sz w:val="24"/>
          <w:szCs w:val="24"/>
        </w:rPr>
        <w:t>=</w:t>
      </w:r>
      <w:r w:rsidRPr="00531108">
        <w:rPr>
          <w:rFonts w:ascii="Times New Roman" w:eastAsia="宋体" w:hAnsi="Times New Roman" w:cs="Times New Roman" w:hint="eastAsia"/>
          <w:sz w:val="24"/>
          <w:szCs w:val="24"/>
        </w:rPr>
        <w:t>线上学习（</w:t>
      </w:r>
      <w:r w:rsidRPr="00531108">
        <w:rPr>
          <w:rFonts w:ascii="Times New Roman" w:eastAsia="宋体" w:hAnsi="Times New Roman" w:cs="Times New Roman" w:hint="eastAsia"/>
          <w:sz w:val="24"/>
          <w:szCs w:val="24"/>
        </w:rPr>
        <w:t>50%</w:t>
      </w:r>
      <w:r w:rsidRPr="00531108">
        <w:rPr>
          <w:rFonts w:ascii="Times New Roman" w:eastAsia="宋体" w:hAnsi="Times New Roman" w:cs="Times New Roman" w:hint="eastAsia"/>
          <w:sz w:val="24"/>
          <w:szCs w:val="24"/>
        </w:rPr>
        <w:t>）</w:t>
      </w:r>
      <w:r w:rsidRPr="00531108">
        <w:rPr>
          <w:rFonts w:ascii="Times New Roman" w:eastAsia="宋体" w:hAnsi="Times New Roman" w:cs="Times New Roman" w:hint="eastAsia"/>
          <w:sz w:val="24"/>
          <w:szCs w:val="24"/>
        </w:rPr>
        <w:t>+</w:t>
      </w:r>
      <w:r w:rsidRPr="00531108">
        <w:rPr>
          <w:rFonts w:ascii="Times New Roman" w:eastAsia="宋体" w:hAnsi="Times New Roman" w:cs="Times New Roman" w:hint="eastAsia"/>
          <w:sz w:val="24"/>
          <w:szCs w:val="24"/>
        </w:rPr>
        <w:t>平时作业（</w:t>
      </w:r>
      <w:r w:rsidRPr="00531108">
        <w:rPr>
          <w:rFonts w:ascii="Times New Roman" w:eastAsia="宋体" w:hAnsi="Times New Roman" w:cs="Times New Roman" w:hint="eastAsia"/>
          <w:sz w:val="24"/>
          <w:szCs w:val="24"/>
        </w:rPr>
        <w:t>50%</w:t>
      </w:r>
      <w:r w:rsidRPr="00531108">
        <w:rPr>
          <w:rFonts w:ascii="Times New Roman" w:eastAsia="宋体" w:hAnsi="Times New Roman" w:cs="Times New Roman" w:hint="eastAsia"/>
          <w:sz w:val="24"/>
          <w:szCs w:val="24"/>
        </w:rPr>
        <w:t>）</w:t>
      </w:r>
    </w:p>
    <w:p w14:paraId="31DB94E1" w14:textId="77777777" w:rsidR="00531108" w:rsidRPr="00531108" w:rsidRDefault="00531108" w:rsidP="00D4283B">
      <w:pPr>
        <w:spacing w:line="440" w:lineRule="atLeas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考核方式：</w:t>
      </w:r>
    </w:p>
    <w:p w14:paraId="4FEB470A" w14:textId="77777777" w:rsidR="00531108" w:rsidRPr="00531108" w:rsidRDefault="00531108" w:rsidP="00D4283B">
      <w:pPr>
        <w:spacing w:line="440" w:lineRule="exact"/>
        <w:ind w:firstLineChars="200" w:firstLine="480"/>
        <w:rPr>
          <w:rFonts w:ascii="宋体" w:eastAsia="宋体" w:hAnsi="宋体" w:cs="宋体"/>
          <w:sz w:val="24"/>
          <w:szCs w:val="24"/>
        </w:rPr>
      </w:pPr>
      <w:r w:rsidRPr="00531108">
        <w:rPr>
          <w:rFonts w:ascii="宋体" w:eastAsia="宋体" w:hAnsi="宋体" w:cs="宋体" w:hint="eastAsia"/>
          <w:color w:val="000000"/>
          <w:sz w:val="24"/>
          <w:szCs w:val="24"/>
        </w:rPr>
        <w:t>（1）线上学习：通过线上平台为学生制定线上学习计划，通过观看视频和相关资</w:t>
      </w:r>
      <w:r w:rsidRPr="00531108">
        <w:rPr>
          <w:rFonts w:ascii="Times New Roman" w:eastAsia="宋体" w:hAnsi="Times New Roman" w:cs="Times New Roman" w:hint="eastAsia"/>
          <w:color w:val="000000"/>
          <w:sz w:val="24"/>
          <w:szCs w:val="24"/>
        </w:rPr>
        <w:t>料，让学生习惯课前预习，</w:t>
      </w:r>
      <w:r w:rsidRPr="00531108">
        <w:rPr>
          <w:rFonts w:ascii="宋体" w:eastAsia="宋体" w:hAnsi="宋体" w:cs="宋体" w:hint="eastAsia"/>
          <w:color w:val="000000"/>
          <w:sz w:val="24"/>
          <w:szCs w:val="24"/>
        </w:rPr>
        <w:t>形成线上线下混合模式的学习方式。根据学生观看视频和完成任务点的多少进行评定，满分记100分。</w:t>
      </w:r>
    </w:p>
    <w:p w14:paraId="10113988" w14:textId="77777777" w:rsidR="00531108" w:rsidRPr="00531108" w:rsidRDefault="00531108" w:rsidP="00D4283B">
      <w:pPr>
        <w:spacing w:line="440" w:lineRule="atLeas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（2）平时作业：根据学生对于课后作业的完成及理解情况，进行评分，满分记</w:t>
      </w:r>
      <w:r w:rsidRPr="00531108">
        <w:rPr>
          <w:rFonts w:ascii="宋体" w:eastAsia="宋体" w:hAnsi="宋体" w:cs="Times New Roman" w:hint="eastAsia"/>
          <w:sz w:val="24"/>
          <w:szCs w:val="24"/>
        </w:rPr>
        <w:lastRenderedPageBreak/>
        <w:t>100分。</w:t>
      </w:r>
    </w:p>
    <w:p w14:paraId="7FD8C349" w14:textId="77777777" w:rsidR="00531108" w:rsidRPr="00531108" w:rsidRDefault="00531108" w:rsidP="00D4283B">
      <w:pPr>
        <w:spacing w:beforeLines="50" w:before="156" w:afterLines="50" w:after="156" w:line="440" w:lineRule="exact"/>
        <w:ind w:firstLineChars="200" w:firstLine="560"/>
        <w:rPr>
          <w:rFonts w:ascii="黑体" w:eastAsia="黑体" w:hAnsi="黑体" w:cs="Times New Roman"/>
          <w:color w:val="000000"/>
          <w:sz w:val="28"/>
          <w:szCs w:val="28"/>
        </w:rPr>
      </w:pPr>
      <w:r w:rsidRPr="00531108">
        <w:rPr>
          <w:rFonts w:ascii="黑体" w:eastAsia="黑体" w:hAnsi="黑体" w:cs="Times New Roman" w:hint="eastAsia"/>
          <w:color w:val="000000"/>
          <w:sz w:val="28"/>
          <w:szCs w:val="28"/>
        </w:rPr>
        <w:t>（三）期末成绩评定</w:t>
      </w:r>
    </w:p>
    <w:p w14:paraId="39C8C028" w14:textId="77777777" w:rsidR="00531108" w:rsidRPr="00531108" w:rsidRDefault="00531108" w:rsidP="00D4283B">
      <w:pPr>
        <w:adjustRightInd w:val="0"/>
        <w:snapToGrid w:val="0"/>
        <w:spacing w:line="440" w:lineRule="atLeast"/>
        <w:ind w:firstLineChars="200" w:firstLine="480"/>
        <w:rPr>
          <w:rFonts w:ascii="宋体" w:eastAsia="宋体" w:hAnsi="宋体" w:cs="Times New Roman"/>
          <w:color w:val="FF0000"/>
          <w:sz w:val="24"/>
          <w:szCs w:val="24"/>
        </w:rPr>
      </w:pPr>
      <w:r w:rsidRPr="00531108">
        <w:rPr>
          <w:rFonts w:ascii="宋体" w:eastAsia="宋体" w:hAnsi="宋体" w:cs="Times New Roman" w:hint="eastAsia"/>
          <w:color w:val="000000"/>
          <w:sz w:val="24"/>
          <w:szCs w:val="24"/>
        </w:rPr>
        <w:t>期末考核主要考察</w:t>
      </w:r>
      <w:r w:rsidRPr="00531108">
        <w:rPr>
          <w:rFonts w:ascii="Times New Roman" w:eastAsia="宋体" w:hAnsi="宋体" w:cs="Times New Roman"/>
          <w:sz w:val="24"/>
          <w:szCs w:val="24"/>
        </w:rPr>
        <w:t>常用药物</w:t>
      </w:r>
      <w:r w:rsidRPr="00531108">
        <w:rPr>
          <w:rFonts w:ascii="Times New Roman" w:eastAsia="宋体" w:hAnsi="宋体" w:cs="Times New Roman" w:hint="eastAsia"/>
          <w:sz w:val="24"/>
          <w:szCs w:val="24"/>
        </w:rPr>
        <w:t>对机体的</w:t>
      </w:r>
      <w:r w:rsidRPr="00531108">
        <w:rPr>
          <w:rFonts w:ascii="Times New Roman" w:eastAsia="宋体" w:hAnsi="宋体" w:cs="Times New Roman"/>
          <w:sz w:val="24"/>
          <w:szCs w:val="24"/>
        </w:rPr>
        <w:t>作用</w:t>
      </w:r>
      <w:r w:rsidRPr="00531108">
        <w:rPr>
          <w:rFonts w:ascii="Times New Roman" w:eastAsia="宋体" w:hAnsi="宋体" w:cs="Times New Roman" w:hint="eastAsia"/>
          <w:sz w:val="24"/>
          <w:szCs w:val="24"/>
        </w:rPr>
        <w:t>和作用机制，在临床上的主要适应症、不良反应和禁忌症，药物体内过程和用法等</w:t>
      </w:r>
      <w:r w:rsidRPr="00531108">
        <w:rPr>
          <w:rFonts w:ascii="Times New Roman" w:eastAsia="宋体" w:hAnsi="宋体" w:cs="Times New Roman"/>
          <w:sz w:val="24"/>
          <w:szCs w:val="24"/>
        </w:rPr>
        <w:t>理论</w:t>
      </w:r>
      <w:r w:rsidRPr="00531108">
        <w:rPr>
          <w:rFonts w:ascii="Times New Roman" w:eastAsia="宋体" w:hAnsi="宋体" w:cs="Times New Roman" w:hint="eastAsia"/>
          <w:sz w:val="24"/>
          <w:szCs w:val="24"/>
        </w:rPr>
        <w:t>知识</w:t>
      </w:r>
      <w:r w:rsidRPr="00531108">
        <w:rPr>
          <w:rFonts w:ascii="宋体" w:eastAsia="宋体" w:hAnsi="宋体" w:cs="Times New Roman" w:hint="eastAsia"/>
          <w:color w:val="000000"/>
          <w:sz w:val="24"/>
          <w:szCs w:val="24"/>
        </w:rPr>
        <w:t>。方式为闭卷考试。要求学生掌握基本概念、药理作用和临床应用及不良反应等，运用相关药物解决临床问题，</w:t>
      </w:r>
      <w:r w:rsidRPr="00531108">
        <w:rPr>
          <w:rFonts w:ascii="宋体" w:eastAsia="宋体" w:hAnsi="Times New Roman" w:cs="Times New Roman" w:hint="eastAsia"/>
          <w:bCs/>
          <w:color w:val="000000"/>
          <w:kern w:val="0"/>
          <w:sz w:val="24"/>
          <w:szCs w:val="24"/>
        </w:rPr>
        <w:t>根据答案</w:t>
      </w:r>
      <w:r w:rsidRPr="00531108">
        <w:rPr>
          <w:rFonts w:ascii="Times New Roman" w:eastAsia="宋体" w:hAnsi="Times New Roman" w:cs="Times New Roman"/>
          <w:sz w:val="24"/>
          <w:szCs w:val="24"/>
        </w:rPr>
        <w:t>的得分点给分，满分记</w:t>
      </w:r>
      <w:r w:rsidRPr="00531108">
        <w:rPr>
          <w:rFonts w:ascii="Times New Roman" w:eastAsia="宋体" w:hAnsi="Times New Roman" w:cs="Times New Roman"/>
          <w:sz w:val="24"/>
          <w:szCs w:val="24"/>
        </w:rPr>
        <w:t>100</w:t>
      </w:r>
      <w:r w:rsidRPr="00531108">
        <w:rPr>
          <w:rFonts w:ascii="Times New Roman" w:eastAsia="宋体" w:hAnsi="Times New Roman" w:cs="Times New Roman"/>
          <w:sz w:val="24"/>
          <w:szCs w:val="24"/>
        </w:rPr>
        <w:t>分。</w:t>
      </w:r>
    </w:p>
    <w:p w14:paraId="65808317" w14:textId="77777777" w:rsidR="00531108" w:rsidRPr="00531108" w:rsidRDefault="00531108" w:rsidP="00D4283B">
      <w:pPr>
        <w:spacing w:beforeLines="50" w:before="156" w:afterLines="50" w:after="156" w:line="440" w:lineRule="exact"/>
        <w:ind w:firstLineChars="200" w:firstLine="560"/>
        <w:rPr>
          <w:rFonts w:ascii="宋体" w:eastAsia="宋体" w:hAnsi="宋体" w:cs="Times New Roman"/>
          <w:sz w:val="24"/>
          <w:szCs w:val="24"/>
        </w:rPr>
      </w:pPr>
      <w:r w:rsidRPr="00531108">
        <w:rPr>
          <w:rFonts w:ascii="黑体" w:eastAsia="黑体" w:hAnsi="黑体" w:cs="Times New Roman" w:hint="eastAsia"/>
          <w:sz w:val="28"/>
          <w:szCs w:val="28"/>
        </w:rPr>
        <w:t>六、使用教材、相关推荐书目及课程资源</w:t>
      </w:r>
    </w:p>
    <w:p w14:paraId="0E31EAEA" w14:textId="77777777" w:rsidR="00531108" w:rsidRPr="00531108" w:rsidRDefault="00531108" w:rsidP="00D4283B">
      <w:pPr>
        <w:spacing w:beforeLines="50" w:before="156" w:afterLines="50" w:after="156" w:line="440" w:lineRule="exact"/>
        <w:ind w:firstLineChars="200" w:firstLine="560"/>
        <w:rPr>
          <w:rFonts w:ascii="黑体" w:eastAsia="黑体" w:hAnsi="黑体" w:cs="Times New Roman"/>
          <w:sz w:val="28"/>
          <w:szCs w:val="28"/>
        </w:rPr>
      </w:pPr>
      <w:r w:rsidRPr="00531108">
        <w:rPr>
          <w:rFonts w:ascii="黑体" w:eastAsia="黑体" w:hAnsi="黑体" w:cs="Times New Roman" w:hint="eastAsia"/>
          <w:sz w:val="28"/>
          <w:szCs w:val="28"/>
        </w:rPr>
        <w:t>（一）使用教材</w:t>
      </w:r>
    </w:p>
    <w:p w14:paraId="2C0DD984" w14:textId="77777777" w:rsidR="00531108" w:rsidRPr="00531108" w:rsidRDefault="00531108" w:rsidP="00D4283B">
      <w:pPr>
        <w:spacing w:line="440" w:lineRule="exact"/>
        <w:ind w:firstLineChars="200" w:firstLine="480"/>
        <w:rPr>
          <w:rFonts w:ascii="宋体" w:eastAsia="宋体" w:hAnsi="宋体" w:cs="Times New Roman"/>
          <w:color w:val="FF0000"/>
          <w:sz w:val="24"/>
          <w:szCs w:val="24"/>
        </w:rPr>
      </w:pPr>
      <w:r w:rsidRPr="00531108">
        <w:rPr>
          <w:rFonts w:ascii="宋体" w:eastAsia="宋体" w:hAnsi="宋体" w:cs="Times New Roman" w:hint="eastAsia"/>
          <w:sz w:val="24"/>
          <w:szCs w:val="24"/>
        </w:rPr>
        <w:t>朱依谆主编：《药理学》，人民卫生出版社，201</w:t>
      </w:r>
      <w:r w:rsidRPr="00531108">
        <w:rPr>
          <w:rFonts w:ascii="宋体" w:eastAsia="宋体" w:hAnsi="宋体" w:cs="Times New Roman"/>
          <w:sz w:val="24"/>
          <w:szCs w:val="24"/>
        </w:rPr>
        <w:t>5</w:t>
      </w:r>
      <w:r w:rsidRPr="00531108">
        <w:rPr>
          <w:rFonts w:ascii="宋体" w:eastAsia="宋体" w:hAnsi="宋体" w:cs="Times New Roman" w:hint="eastAsia"/>
          <w:sz w:val="24"/>
          <w:szCs w:val="24"/>
        </w:rPr>
        <w:t>年版。</w:t>
      </w:r>
    </w:p>
    <w:p w14:paraId="2A5E73DF" w14:textId="77777777" w:rsidR="00531108" w:rsidRPr="00531108" w:rsidRDefault="00531108" w:rsidP="00D4283B">
      <w:pPr>
        <w:spacing w:beforeLines="50" w:before="156" w:afterLines="50" w:after="156" w:line="440" w:lineRule="exact"/>
        <w:ind w:firstLineChars="200" w:firstLine="560"/>
        <w:rPr>
          <w:rFonts w:ascii="黑体" w:eastAsia="黑体" w:hAnsi="黑体" w:cs="Times New Roman"/>
          <w:sz w:val="28"/>
          <w:szCs w:val="28"/>
        </w:rPr>
      </w:pPr>
      <w:r w:rsidRPr="00531108">
        <w:rPr>
          <w:rFonts w:ascii="黑体" w:eastAsia="黑体" w:hAnsi="黑体" w:cs="Times New Roman" w:hint="eastAsia"/>
          <w:sz w:val="28"/>
          <w:szCs w:val="28"/>
        </w:rPr>
        <w:t>（二）相关推荐书目</w:t>
      </w:r>
    </w:p>
    <w:p w14:paraId="04900077" w14:textId="77777777" w:rsidR="00531108" w:rsidRPr="00531108" w:rsidRDefault="00531108" w:rsidP="00D4283B">
      <w:pPr>
        <w:spacing w:line="440" w:lineRule="exact"/>
        <w:ind w:firstLineChars="200" w:firstLine="480"/>
        <w:rPr>
          <w:rFonts w:ascii="宋体" w:eastAsia="宋体" w:hAnsi="宋体" w:cs="Times New Roman"/>
          <w:color w:val="FF0000"/>
          <w:sz w:val="24"/>
          <w:szCs w:val="24"/>
        </w:rPr>
      </w:pPr>
      <w:r w:rsidRPr="00531108">
        <w:rPr>
          <w:rFonts w:ascii="宋体" w:eastAsia="宋体" w:hAnsi="宋体" w:cs="Times New Roman" w:hint="eastAsia"/>
          <w:color w:val="000000"/>
          <w:sz w:val="24"/>
          <w:szCs w:val="24"/>
        </w:rPr>
        <w:t>1</w:t>
      </w:r>
      <w:r w:rsidRPr="00531108">
        <w:rPr>
          <w:rFonts w:ascii="宋体" w:eastAsia="宋体" w:hAnsi="宋体" w:cs="Times New Roman"/>
          <w:color w:val="000000"/>
          <w:sz w:val="24"/>
          <w:szCs w:val="24"/>
        </w:rPr>
        <w:t xml:space="preserve">. </w:t>
      </w:r>
      <w:r w:rsidRPr="00531108">
        <w:rPr>
          <w:rFonts w:ascii="宋体" w:eastAsia="宋体" w:hAnsi="宋体" w:cs="Times New Roman" w:hint="eastAsia"/>
          <w:sz w:val="24"/>
          <w:szCs w:val="24"/>
        </w:rPr>
        <w:t>朱依谆主编：《药理学》，人民卫生出版社，201</w:t>
      </w:r>
      <w:r w:rsidRPr="00531108">
        <w:rPr>
          <w:rFonts w:ascii="宋体" w:eastAsia="宋体" w:hAnsi="宋体" w:cs="Times New Roman"/>
          <w:sz w:val="24"/>
          <w:szCs w:val="24"/>
        </w:rPr>
        <w:t>6</w:t>
      </w:r>
      <w:r w:rsidRPr="00531108">
        <w:rPr>
          <w:rFonts w:ascii="宋体" w:eastAsia="宋体" w:hAnsi="宋体" w:cs="Times New Roman" w:hint="eastAsia"/>
          <w:sz w:val="24"/>
          <w:szCs w:val="24"/>
        </w:rPr>
        <w:t>年版；</w:t>
      </w:r>
    </w:p>
    <w:p w14:paraId="236E8F87" w14:textId="77777777" w:rsidR="00531108" w:rsidRPr="00531108" w:rsidRDefault="00531108" w:rsidP="00D4283B">
      <w:pPr>
        <w:spacing w:line="440" w:lineRule="exact"/>
        <w:ind w:firstLineChars="200" w:firstLine="480"/>
        <w:rPr>
          <w:rFonts w:ascii="宋体" w:eastAsia="宋体" w:hAnsi="宋体" w:cs="Times New Roman"/>
          <w:color w:val="000000"/>
          <w:sz w:val="24"/>
          <w:szCs w:val="24"/>
        </w:rPr>
      </w:pPr>
      <w:r w:rsidRPr="00531108">
        <w:rPr>
          <w:rFonts w:ascii="宋体" w:eastAsia="宋体" w:hAnsi="宋体" w:cs="Times New Roman"/>
          <w:color w:val="000000"/>
          <w:sz w:val="24"/>
          <w:szCs w:val="24"/>
        </w:rPr>
        <w:t xml:space="preserve">2. </w:t>
      </w:r>
      <w:r w:rsidRPr="00531108">
        <w:rPr>
          <w:rFonts w:ascii="宋体" w:eastAsia="宋体" w:hAnsi="宋体" w:cs="Times New Roman" w:hint="eastAsia"/>
          <w:color w:val="000000"/>
          <w:sz w:val="24"/>
          <w:szCs w:val="24"/>
        </w:rPr>
        <w:t>杨宝峰主编：《药理学》，人民卫生出版社，20</w:t>
      </w:r>
      <w:r w:rsidRPr="00531108">
        <w:rPr>
          <w:rFonts w:ascii="宋体" w:eastAsia="宋体" w:hAnsi="宋体" w:cs="Times New Roman"/>
          <w:color w:val="000000"/>
          <w:sz w:val="24"/>
          <w:szCs w:val="24"/>
        </w:rPr>
        <w:t>18</w:t>
      </w:r>
      <w:r w:rsidRPr="00531108">
        <w:rPr>
          <w:rFonts w:ascii="宋体" w:eastAsia="宋体" w:hAnsi="宋体" w:cs="Times New Roman" w:hint="eastAsia"/>
          <w:color w:val="000000"/>
          <w:sz w:val="24"/>
          <w:szCs w:val="24"/>
        </w:rPr>
        <w:t>年</w:t>
      </w:r>
      <w:r w:rsidRPr="00531108">
        <w:rPr>
          <w:rFonts w:ascii="宋体" w:eastAsia="宋体" w:hAnsi="宋体" w:cs="Times New Roman" w:hint="eastAsia"/>
          <w:sz w:val="24"/>
          <w:szCs w:val="24"/>
        </w:rPr>
        <w:t>版；</w:t>
      </w:r>
    </w:p>
    <w:p w14:paraId="6384EDA8" w14:textId="77777777" w:rsidR="00531108" w:rsidRPr="00531108" w:rsidRDefault="00531108" w:rsidP="00D4283B">
      <w:pPr>
        <w:spacing w:line="440" w:lineRule="exact"/>
        <w:ind w:firstLineChars="200" w:firstLine="480"/>
        <w:rPr>
          <w:rFonts w:ascii="宋体" w:eastAsia="宋体" w:hAnsi="宋体" w:cs="Times New Roman"/>
          <w:color w:val="000000"/>
          <w:sz w:val="24"/>
          <w:szCs w:val="24"/>
        </w:rPr>
      </w:pPr>
      <w:r w:rsidRPr="00531108">
        <w:rPr>
          <w:rFonts w:ascii="宋体" w:eastAsia="宋体" w:hAnsi="宋体" w:cs="Times New Roman"/>
          <w:color w:val="000000"/>
          <w:sz w:val="24"/>
          <w:szCs w:val="24"/>
        </w:rPr>
        <w:t>3</w:t>
      </w:r>
      <w:r w:rsidRPr="00531108">
        <w:rPr>
          <w:rFonts w:ascii="宋体" w:eastAsia="宋体" w:hAnsi="宋体" w:cs="Times New Roman" w:hint="eastAsia"/>
          <w:color w:val="000000"/>
          <w:sz w:val="24"/>
          <w:szCs w:val="24"/>
        </w:rPr>
        <w:t>.</w:t>
      </w:r>
      <w:r w:rsidRPr="00531108">
        <w:rPr>
          <w:rFonts w:ascii="宋体" w:eastAsia="宋体" w:hAnsi="宋体" w:cs="Times New Roman"/>
          <w:color w:val="000000"/>
          <w:sz w:val="24"/>
          <w:szCs w:val="24"/>
        </w:rPr>
        <w:t xml:space="preserve"> </w:t>
      </w:r>
      <w:r w:rsidRPr="00531108">
        <w:rPr>
          <w:rFonts w:ascii="宋体" w:eastAsia="宋体" w:hAnsi="宋体" w:cs="Times New Roman" w:hint="eastAsia"/>
          <w:color w:val="000000"/>
          <w:sz w:val="24"/>
          <w:szCs w:val="24"/>
        </w:rPr>
        <w:t>李俊主编：《临床药理学》，人民卫生出版社，20</w:t>
      </w:r>
      <w:r w:rsidRPr="00531108">
        <w:rPr>
          <w:rFonts w:ascii="宋体" w:eastAsia="宋体" w:hAnsi="宋体" w:cs="Times New Roman"/>
          <w:color w:val="000000"/>
          <w:sz w:val="24"/>
          <w:szCs w:val="24"/>
        </w:rPr>
        <w:t>18</w:t>
      </w:r>
      <w:r w:rsidRPr="00531108">
        <w:rPr>
          <w:rFonts w:ascii="宋体" w:eastAsia="宋体" w:hAnsi="宋体" w:cs="Times New Roman" w:hint="eastAsia"/>
          <w:color w:val="000000"/>
          <w:sz w:val="24"/>
          <w:szCs w:val="24"/>
        </w:rPr>
        <w:t>年</w:t>
      </w:r>
      <w:r w:rsidRPr="00531108">
        <w:rPr>
          <w:rFonts w:ascii="宋体" w:eastAsia="宋体" w:hAnsi="宋体" w:cs="Times New Roman" w:hint="eastAsia"/>
          <w:sz w:val="24"/>
          <w:szCs w:val="24"/>
        </w:rPr>
        <w:t>版；</w:t>
      </w:r>
    </w:p>
    <w:p w14:paraId="7D9E2809" w14:textId="77777777" w:rsidR="00531108" w:rsidRPr="00531108" w:rsidRDefault="00531108" w:rsidP="00D4283B">
      <w:pPr>
        <w:spacing w:line="440" w:lineRule="exact"/>
        <w:ind w:firstLineChars="200" w:firstLine="480"/>
        <w:rPr>
          <w:rFonts w:ascii="宋体" w:eastAsia="宋体" w:hAnsi="宋体" w:cs="Times New Roman"/>
          <w:color w:val="000000"/>
          <w:sz w:val="24"/>
          <w:szCs w:val="24"/>
        </w:rPr>
      </w:pPr>
      <w:r w:rsidRPr="00531108">
        <w:rPr>
          <w:rFonts w:ascii="宋体" w:eastAsia="宋体" w:hAnsi="宋体" w:cs="Times New Roman"/>
          <w:color w:val="000000"/>
          <w:sz w:val="24"/>
          <w:szCs w:val="24"/>
        </w:rPr>
        <w:t xml:space="preserve">4. </w:t>
      </w:r>
      <w:proofErr w:type="gramStart"/>
      <w:r w:rsidRPr="00531108">
        <w:rPr>
          <w:rFonts w:ascii="宋体" w:eastAsia="宋体" w:hAnsi="宋体" w:cs="Times New Roman" w:hint="eastAsia"/>
          <w:color w:val="000000"/>
          <w:sz w:val="24"/>
          <w:szCs w:val="24"/>
        </w:rPr>
        <w:t>乔国芬主编</w:t>
      </w:r>
      <w:proofErr w:type="gramEnd"/>
      <w:r w:rsidRPr="00531108">
        <w:rPr>
          <w:rFonts w:ascii="宋体" w:eastAsia="宋体" w:hAnsi="宋体" w:cs="Times New Roman" w:hint="eastAsia"/>
          <w:color w:val="000000"/>
          <w:sz w:val="24"/>
          <w:szCs w:val="24"/>
        </w:rPr>
        <w:t>：《</w:t>
      </w:r>
      <w:r w:rsidRPr="00531108">
        <w:rPr>
          <w:rFonts w:ascii="宋体" w:eastAsia="宋体" w:hAnsi="宋体" w:cs="Times New Roman"/>
          <w:color w:val="000000"/>
          <w:sz w:val="24"/>
          <w:szCs w:val="24"/>
        </w:rPr>
        <w:t>药理学学习指导与习题集</w:t>
      </w:r>
      <w:r w:rsidRPr="00531108">
        <w:rPr>
          <w:rFonts w:ascii="宋体" w:eastAsia="宋体" w:hAnsi="宋体" w:cs="Times New Roman" w:hint="eastAsia"/>
          <w:color w:val="000000"/>
          <w:sz w:val="24"/>
          <w:szCs w:val="24"/>
        </w:rPr>
        <w:t>》，人民卫生出版社，</w:t>
      </w:r>
      <w:r w:rsidRPr="00531108">
        <w:rPr>
          <w:rFonts w:ascii="宋体" w:eastAsia="宋体" w:hAnsi="宋体" w:cs="Times New Roman"/>
          <w:color w:val="000000"/>
          <w:sz w:val="24"/>
          <w:szCs w:val="24"/>
        </w:rPr>
        <w:t>2019</w:t>
      </w:r>
      <w:r w:rsidRPr="00531108">
        <w:rPr>
          <w:rFonts w:ascii="宋体" w:eastAsia="宋体" w:hAnsi="宋体" w:cs="Times New Roman" w:hint="eastAsia"/>
          <w:color w:val="000000"/>
          <w:sz w:val="24"/>
          <w:szCs w:val="24"/>
        </w:rPr>
        <w:t>年</w:t>
      </w:r>
      <w:r w:rsidRPr="00531108">
        <w:rPr>
          <w:rFonts w:ascii="宋体" w:eastAsia="宋体" w:hAnsi="宋体" w:cs="Times New Roman" w:hint="eastAsia"/>
          <w:sz w:val="24"/>
          <w:szCs w:val="24"/>
        </w:rPr>
        <w:t>版；</w:t>
      </w:r>
    </w:p>
    <w:p w14:paraId="3772D197" w14:textId="77777777" w:rsidR="00531108" w:rsidRPr="00531108" w:rsidRDefault="00531108" w:rsidP="00D4283B">
      <w:pPr>
        <w:spacing w:line="440" w:lineRule="exact"/>
        <w:ind w:firstLineChars="200" w:firstLine="480"/>
        <w:rPr>
          <w:rFonts w:ascii="宋体" w:eastAsia="宋体" w:hAnsi="宋体" w:cs="Times New Roman"/>
          <w:color w:val="000000"/>
          <w:sz w:val="24"/>
          <w:szCs w:val="24"/>
        </w:rPr>
      </w:pPr>
      <w:r w:rsidRPr="00531108">
        <w:rPr>
          <w:rFonts w:ascii="宋体" w:eastAsia="宋体" w:hAnsi="宋体" w:cs="Times New Roman"/>
          <w:color w:val="000000"/>
          <w:sz w:val="24"/>
          <w:szCs w:val="24"/>
        </w:rPr>
        <w:t xml:space="preserve">5. </w:t>
      </w:r>
      <w:r w:rsidRPr="00531108">
        <w:rPr>
          <w:rFonts w:ascii="宋体" w:eastAsia="宋体" w:hAnsi="宋体" w:cs="Times New Roman" w:hint="eastAsia"/>
          <w:color w:val="000000"/>
          <w:sz w:val="24"/>
          <w:szCs w:val="24"/>
        </w:rPr>
        <w:t>向明主编：《图解药理学》，中国医药科技出版社，2</w:t>
      </w:r>
      <w:r w:rsidRPr="00531108">
        <w:rPr>
          <w:rFonts w:ascii="宋体" w:eastAsia="宋体" w:hAnsi="宋体" w:cs="Times New Roman"/>
          <w:color w:val="000000"/>
          <w:sz w:val="24"/>
          <w:szCs w:val="24"/>
        </w:rPr>
        <w:t>010</w:t>
      </w:r>
      <w:r w:rsidRPr="00531108">
        <w:rPr>
          <w:rFonts w:ascii="宋体" w:eastAsia="宋体" w:hAnsi="宋体" w:cs="Times New Roman" w:hint="eastAsia"/>
          <w:color w:val="000000"/>
          <w:sz w:val="24"/>
          <w:szCs w:val="24"/>
        </w:rPr>
        <w:t>年版。</w:t>
      </w:r>
    </w:p>
    <w:p w14:paraId="4ADF4C1F" w14:textId="77777777" w:rsidR="00531108" w:rsidRPr="00531108" w:rsidRDefault="00531108" w:rsidP="00D4283B">
      <w:pPr>
        <w:spacing w:beforeLines="50" w:before="156" w:afterLines="50" w:after="156" w:line="440" w:lineRule="atLeast"/>
        <w:ind w:firstLineChars="200" w:firstLine="560"/>
        <w:rPr>
          <w:rFonts w:ascii="黑体" w:eastAsia="黑体" w:hAnsi="黑体" w:cs="Times New Roman"/>
          <w:sz w:val="28"/>
          <w:szCs w:val="28"/>
        </w:rPr>
      </w:pPr>
      <w:r w:rsidRPr="00531108">
        <w:rPr>
          <w:rFonts w:ascii="黑体" w:eastAsia="黑体" w:hAnsi="黑体" w:cs="Times New Roman" w:hint="eastAsia"/>
          <w:sz w:val="28"/>
          <w:szCs w:val="28"/>
        </w:rPr>
        <w:t>（三）课程资源</w:t>
      </w:r>
    </w:p>
    <w:p w14:paraId="737818ED" w14:textId="77777777" w:rsidR="00531108" w:rsidRPr="00531108" w:rsidRDefault="00531108" w:rsidP="00D4283B">
      <w:pPr>
        <w:spacing w:line="440" w:lineRule="atLeast"/>
        <w:ind w:firstLineChars="200" w:firstLine="480"/>
        <w:rPr>
          <w:rFonts w:ascii="宋体" w:eastAsia="宋体" w:hAnsi="宋体" w:cs="Times New Roman"/>
          <w:color w:val="FF0000"/>
          <w:sz w:val="24"/>
          <w:szCs w:val="24"/>
        </w:rPr>
      </w:pPr>
      <w:r w:rsidRPr="00531108">
        <w:rPr>
          <w:rFonts w:ascii="宋体" w:eastAsia="宋体" w:hAnsi="宋体" w:cs="Times New Roman" w:hint="eastAsia"/>
          <w:sz w:val="24"/>
          <w:szCs w:val="24"/>
        </w:rPr>
        <w:t>本课程的学生自主学习的途径可登陆</w:t>
      </w:r>
      <w:hyperlink r:id="rId47" w:tgtFrame="https://www.so.com/_blank" w:history="1">
        <w:r w:rsidRPr="00531108">
          <w:rPr>
            <w:rFonts w:ascii="宋体" w:eastAsia="宋体" w:hAnsi="宋体" w:cs="Times New Roman" w:hint="eastAsia"/>
            <w:sz w:val="24"/>
            <w:szCs w:val="24"/>
          </w:rPr>
          <w:t>中国大学MOOC(</w:t>
        </w:r>
        <w:proofErr w:type="gramStart"/>
        <w:r w:rsidRPr="00531108">
          <w:rPr>
            <w:rFonts w:ascii="宋体" w:eastAsia="宋体" w:hAnsi="宋体" w:cs="Times New Roman" w:hint="eastAsia"/>
            <w:sz w:val="24"/>
            <w:szCs w:val="24"/>
          </w:rPr>
          <w:t>慕课</w:t>
        </w:r>
        <w:proofErr w:type="gramEnd"/>
        <w:r w:rsidRPr="00531108">
          <w:rPr>
            <w:rFonts w:ascii="宋体" w:eastAsia="宋体" w:hAnsi="宋体" w:cs="Times New Roman" w:hint="eastAsia"/>
            <w:sz w:val="24"/>
            <w:szCs w:val="24"/>
          </w:rPr>
          <w:t>)国家精品课程在线学习平台</w:t>
        </w:r>
      </w:hyperlink>
      <w:r w:rsidRPr="00531108">
        <w:rPr>
          <w:rFonts w:ascii="宋体" w:eastAsia="宋体" w:hAnsi="宋体" w:cs="Times New Roman" w:hint="eastAsia"/>
          <w:sz w:val="24"/>
          <w:szCs w:val="24"/>
        </w:rPr>
        <w:t>或</w:t>
      </w:r>
      <w:proofErr w:type="gramStart"/>
      <w:r w:rsidRPr="00531108">
        <w:rPr>
          <w:rFonts w:ascii="宋体" w:eastAsia="宋体" w:hAnsi="宋体" w:cs="Times New Roman" w:hint="eastAsia"/>
          <w:sz w:val="24"/>
          <w:szCs w:val="24"/>
        </w:rPr>
        <w:t>超星学习通进行线</w:t>
      </w:r>
      <w:proofErr w:type="gramEnd"/>
      <w:r w:rsidRPr="00531108">
        <w:rPr>
          <w:rFonts w:ascii="宋体" w:eastAsia="宋体" w:hAnsi="宋体" w:cs="Times New Roman" w:hint="eastAsia"/>
          <w:sz w:val="24"/>
          <w:szCs w:val="24"/>
        </w:rPr>
        <w:t>上学习。</w:t>
      </w:r>
    </w:p>
    <w:p w14:paraId="616129DE" w14:textId="77777777" w:rsidR="00531108" w:rsidRPr="00531108" w:rsidRDefault="00531108" w:rsidP="00D4283B">
      <w:pPr>
        <w:spacing w:beforeLines="50" w:before="156" w:afterLines="50" w:after="156" w:line="440" w:lineRule="exact"/>
        <w:ind w:firstLineChars="200" w:firstLine="560"/>
        <w:rPr>
          <w:rFonts w:ascii="黑体" w:eastAsia="黑体" w:hAnsi="黑体" w:cs="Times New Roman"/>
          <w:sz w:val="28"/>
          <w:szCs w:val="28"/>
        </w:rPr>
      </w:pPr>
      <w:r w:rsidRPr="00531108">
        <w:rPr>
          <w:rFonts w:ascii="黑体" w:eastAsia="黑体" w:hAnsi="黑体" w:cs="Times New Roman" w:hint="eastAsia"/>
          <w:sz w:val="28"/>
          <w:szCs w:val="28"/>
        </w:rPr>
        <w:t>七、课程大纲制定依据</w:t>
      </w:r>
    </w:p>
    <w:p w14:paraId="67900788" w14:textId="77777777" w:rsidR="00531108" w:rsidRPr="00531108" w:rsidRDefault="00531108" w:rsidP="00D4283B">
      <w:pPr>
        <w:spacing w:line="440" w:lineRule="exact"/>
        <w:ind w:firstLineChars="200" w:firstLine="480"/>
        <w:rPr>
          <w:rFonts w:ascii="宋体" w:eastAsia="宋体" w:hAnsi="宋体" w:cs="Times New Roman"/>
          <w:sz w:val="24"/>
          <w:szCs w:val="24"/>
        </w:rPr>
      </w:pPr>
      <w:r w:rsidRPr="00531108">
        <w:rPr>
          <w:rFonts w:ascii="宋体" w:eastAsia="宋体" w:hAnsi="宋体" w:cs="Times New Roman" w:hint="eastAsia"/>
          <w:sz w:val="24"/>
          <w:szCs w:val="24"/>
        </w:rPr>
        <w:t>本课程大纲依据202</w:t>
      </w:r>
      <w:r w:rsidRPr="00531108">
        <w:rPr>
          <w:rFonts w:ascii="宋体" w:eastAsia="宋体" w:hAnsi="宋体" w:cs="Times New Roman"/>
          <w:sz w:val="24"/>
          <w:szCs w:val="24"/>
        </w:rPr>
        <w:t>3</w:t>
      </w:r>
      <w:r w:rsidRPr="00531108">
        <w:rPr>
          <w:rFonts w:ascii="宋体" w:eastAsia="宋体" w:hAnsi="宋体" w:cs="Times New Roman" w:hint="eastAsia"/>
          <w:sz w:val="24"/>
          <w:szCs w:val="24"/>
        </w:rPr>
        <w:t>年药物分析专业人才培养方案制定。</w:t>
      </w:r>
    </w:p>
    <w:p w14:paraId="1B7DDD1A" w14:textId="77777777" w:rsidR="00534EC2" w:rsidRDefault="00534EC2" w:rsidP="00D4283B">
      <w:pPr>
        <w:spacing w:line="440" w:lineRule="exact"/>
        <w:ind w:firstLineChars="200" w:firstLine="480"/>
        <w:rPr>
          <w:rFonts w:ascii="楷体" w:eastAsia="楷体" w:hAnsi="楷体" w:cs="Times New Roman"/>
          <w:bCs/>
          <w:sz w:val="24"/>
          <w:szCs w:val="24"/>
        </w:rPr>
      </w:pPr>
    </w:p>
    <w:p w14:paraId="4697E91D" w14:textId="77777777" w:rsidR="00534EC2" w:rsidRDefault="00534EC2" w:rsidP="00D31397">
      <w:pPr>
        <w:spacing w:line="440" w:lineRule="exact"/>
        <w:rPr>
          <w:rFonts w:ascii="楷体" w:eastAsia="楷体" w:hAnsi="楷体" w:cs="Times New Roman"/>
          <w:bCs/>
          <w:sz w:val="24"/>
          <w:szCs w:val="24"/>
        </w:rPr>
      </w:pPr>
    </w:p>
    <w:p w14:paraId="4CD6DFFE" w14:textId="77777777" w:rsidR="00534EC2" w:rsidRDefault="00534EC2" w:rsidP="00D31397">
      <w:pPr>
        <w:spacing w:line="440" w:lineRule="exact"/>
        <w:rPr>
          <w:rFonts w:ascii="楷体" w:eastAsia="楷体" w:hAnsi="楷体" w:cs="Times New Roman"/>
          <w:bCs/>
          <w:sz w:val="24"/>
          <w:szCs w:val="24"/>
        </w:rPr>
      </w:pPr>
    </w:p>
    <w:p w14:paraId="6A5BE0AC" w14:textId="77777777" w:rsidR="00534EC2" w:rsidRDefault="00534EC2" w:rsidP="00D31397">
      <w:pPr>
        <w:spacing w:line="440" w:lineRule="exact"/>
        <w:rPr>
          <w:rFonts w:ascii="楷体" w:eastAsia="楷体" w:hAnsi="楷体" w:cs="Times New Roman"/>
          <w:bCs/>
          <w:sz w:val="24"/>
          <w:szCs w:val="24"/>
        </w:rPr>
      </w:pPr>
    </w:p>
    <w:p w14:paraId="61C718AC" w14:textId="77777777" w:rsidR="00534EC2" w:rsidRDefault="00534EC2" w:rsidP="00D31397">
      <w:pPr>
        <w:spacing w:line="440" w:lineRule="exact"/>
        <w:rPr>
          <w:rFonts w:ascii="楷体" w:eastAsia="楷体" w:hAnsi="楷体" w:cs="Times New Roman"/>
          <w:bCs/>
          <w:sz w:val="24"/>
          <w:szCs w:val="24"/>
        </w:rPr>
      </w:pPr>
    </w:p>
    <w:p w14:paraId="2E0A77CB" w14:textId="77777777" w:rsidR="00534EC2" w:rsidRDefault="00534EC2" w:rsidP="00D31397">
      <w:pPr>
        <w:spacing w:line="440" w:lineRule="exact"/>
        <w:rPr>
          <w:rFonts w:ascii="楷体" w:eastAsia="楷体" w:hAnsi="楷体" w:cs="Times New Roman"/>
          <w:bCs/>
          <w:sz w:val="24"/>
          <w:szCs w:val="24"/>
        </w:rPr>
      </w:pPr>
    </w:p>
    <w:p w14:paraId="62A28381" w14:textId="77777777" w:rsidR="00534EC2" w:rsidRDefault="00534EC2" w:rsidP="00D31397">
      <w:pPr>
        <w:spacing w:line="440" w:lineRule="exact"/>
        <w:rPr>
          <w:rFonts w:ascii="楷体" w:eastAsia="楷体" w:hAnsi="楷体" w:cs="Times New Roman"/>
          <w:bCs/>
          <w:sz w:val="24"/>
          <w:szCs w:val="24"/>
        </w:rPr>
      </w:pPr>
    </w:p>
    <w:p w14:paraId="0F9BE720" w14:textId="77777777" w:rsidR="00534EC2" w:rsidRPr="00534EC2" w:rsidRDefault="00534EC2" w:rsidP="00534EC2">
      <w:pPr>
        <w:keepNext/>
        <w:keepLines/>
        <w:spacing w:before="340" w:after="330" w:line="440" w:lineRule="atLeast"/>
        <w:jc w:val="center"/>
        <w:outlineLvl w:val="0"/>
        <w:rPr>
          <w:rFonts w:ascii="Calibri" w:eastAsia="黑体" w:hAnsi="Calibri" w:cs="Times New Roman"/>
          <w:bCs/>
          <w:kern w:val="44"/>
          <w:sz w:val="36"/>
          <w:szCs w:val="44"/>
        </w:rPr>
      </w:pPr>
      <w:bookmarkStart w:id="221" w:name="_Toc51933748"/>
      <w:bookmarkStart w:id="222" w:name="_Toc149662366"/>
      <w:r w:rsidRPr="00534EC2">
        <w:rPr>
          <w:rFonts w:ascii="Calibri" w:eastAsia="黑体" w:hAnsi="Calibri" w:cs="Times New Roman" w:hint="eastAsia"/>
          <w:bCs/>
          <w:kern w:val="44"/>
          <w:sz w:val="36"/>
          <w:szCs w:val="44"/>
        </w:rPr>
        <w:lastRenderedPageBreak/>
        <w:t>《药剂学》课程大纲</w:t>
      </w:r>
      <w:bookmarkEnd w:id="221"/>
      <w:bookmarkEnd w:id="222"/>
    </w:p>
    <w:p w14:paraId="6AFE6261" w14:textId="77777777" w:rsidR="00534EC2" w:rsidRPr="00534EC2" w:rsidRDefault="00534EC2" w:rsidP="00534EC2">
      <w:pPr>
        <w:spacing w:beforeLines="50" w:before="156" w:afterLines="50" w:after="156" w:line="440" w:lineRule="atLeast"/>
        <w:ind w:firstLineChars="200" w:firstLine="560"/>
        <w:rPr>
          <w:rFonts w:ascii="黑体" w:eastAsia="黑体" w:hAnsi="黑体" w:cs="Times New Roman"/>
          <w:sz w:val="28"/>
          <w:szCs w:val="28"/>
        </w:rPr>
      </w:pPr>
      <w:r w:rsidRPr="00534EC2">
        <w:rPr>
          <w:rFonts w:ascii="黑体" w:eastAsia="黑体" w:hAnsi="黑体" w:cs="Times New Roman" w:hint="eastAsia"/>
          <w:sz w:val="28"/>
          <w:szCs w:val="28"/>
        </w:rPr>
        <w:t>一、课程基本信息</w:t>
      </w:r>
    </w:p>
    <w:tbl>
      <w:tblPr>
        <w:tblW w:w="90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2833"/>
        <w:gridCol w:w="1561"/>
        <w:gridCol w:w="2941"/>
      </w:tblGrid>
      <w:tr w:rsidR="00534EC2" w:rsidRPr="00534EC2" w14:paraId="5AA86BA8" w14:textId="77777777" w:rsidTr="00534EC2">
        <w:trPr>
          <w:trHeight w:val="886"/>
          <w:jc w:val="center"/>
        </w:trPr>
        <w:tc>
          <w:tcPr>
            <w:tcW w:w="1668" w:type="dxa"/>
            <w:vAlign w:val="center"/>
          </w:tcPr>
          <w:p w14:paraId="3C112670"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课程名称</w:t>
            </w:r>
          </w:p>
        </w:tc>
        <w:tc>
          <w:tcPr>
            <w:tcW w:w="2833" w:type="dxa"/>
            <w:vAlign w:val="center"/>
          </w:tcPr>
          <w:p w14:paraId="78FC729F"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药剂学</w:t>
            </w:r>
          </w:p>
        </w:tc>
        <w:tc>
          <w:tcPr>
            <w:tcW w:w="1561" w:type="dxa"/>
            <w:vAlign w:val="center"/>
          </w:tcPr>
          <w:p w14:paraId="07C63919"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课程代码</w:t>
            </w:r>
          </w:p>
        </w:tc>
        <w:tc>
          <w:tcPr>
            <w:tcW w:w="2941" w:type="dxa"/>
            <w:vAlign w:val="center"/>
          </w:tcPr>
          <w:p w14:paraId="5A8926F5" w14:textId="77777777" w:rsidR="00534EC2" w:rsidRPr="00534EC2" w:rsidRDefault="00534EC2" w:rsidP="00534EC2">
            <w:pPr>
              <w:autoSpaceDE w:val="0"/>
              <w:autoSpaceDN w:val="0"/>
              <w:adjustRightInd w:val="0"/>
              <w:snapToGrid w:val="0"/>
              <w:spacing w:line="440" w:lineRule="atLeast"/>
              <w:jc w:val="center"/>
              <w:rPr>
                <w:rFonts w:ascii="宋体" w:eastAsia="宋体" w:hAnsi="宋体" w:cs="Times New Roman"/>
                <w:sz w:val="24"/>
                <w:szCs w:val="24"/>
              </w:rPr>
            </w:pPr>
            <w:r w:rsidRPr="00534EC2">
              <w:rPr>
                <w:rFonts w:ascii="宋体" w:eastAsia="宋体" w:hAnsi="宋体" w:cs="宋体"/>
                <w:color w:val="000000"/>
                <w:kern w:val="0"/>
                <w:sz w:val="24"/>
                <w:szCs w:val="24"/>
              </w:rPr>
              <w:t>0711D15</w:t>
            </w:r>
          </w:p>
        </w:tc>
      </w:tr>
      <w:tr w:rsidR="00534EC2" w:rsidRPr="00534EC2" w14:paraId="5EAE8FA4" w14:textId="77777777" w:rsidTr="00534EC2">
        <w:trPr>
          <w:trHeight w:val="829"/>
          <w:jc w:val="center"/>
        </w:trPr>
        <w:tc>
          <w:tcPr>
            <w:tcW w:w="1668" w:type="dxa"/>
            <w:vAlign w:val="center"/>
          </w:tcPr>
          <w:p w14:paraId="0A36E008"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课程类别</w:t>
            </w:r>
          </w:p>
        </w:tc>
        <w:tc>
          <w:tcPr>
            <w:tcW w:w="2833" w:type="dxa"/>
            <w:vAlign w:val="center"/>
          </w:tcPr>
          <w:p w14:paraId="763D37C5" w14:textId="77777777" w:rsidR="00534EC2" w:rsidRPr="00534EC2" w:rsidRDefault="00534EC2" w:rsidP="00534EC2">
            <w:pPr>
              <w:autoSpaceDE w:val="0"/>
              <w:autoSpaceDN w:val="0"/>
              <w:adjustRightInd w:val="0"/>
              <w:snapToGrid w:val="0"/>
              <w:spacing w:line="440" w:lineRule="atLeast"/>
              <w:ind w:firstLineChars="200" w:firstLine="480"/>
              <w:jc w:val="left"/>
              <w:rPr>
                <w:rFonts w:ascii="宋体" w:eastAsia="宋体" w:hAnsi="宋体" w:cs="Times New Roman"/>
                <w:sz w:val="24"/>
                <w:szCs w:val="24"/>
              </w:rPr>
            </w:pPr>
            <w:r w:rsidRPr="00534EC2">
              <w:rPr>
                <w:rFonts w:ascii="宋体" w:eastAsia="宋体" w:hAnsi="宋体" w:cs="宋体" w:hint="eastAsia"/>
                <w:color w:val="000000"/>
                <w:kern w:val="0"/>
                <w:sz w:val="24"/>
                <w:szCs w:val="24"/>
              </w:rPr>
              <w:t>专业教育核心课程</w:t>
            </w:r>
          </w:p>
        </w:tc>
        <w:tc>
          <w:tcPr>
            <w:tcW w:w="1561" w:type="dxa"/>
            <w:vAlign w:val="center"/>
          </w:tcPr>
          <w:p w14:paraId="2591687E"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学时</w:t>
            </w:r>
          </w:p>
          <w:p w14:paraId="56628137"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/学分</w:t>
            </w:r>
          </w:p>
        </w:tc>
        <w:tc>
          <w:tcPr>
            <w:tcW w:w="2941" w:type="dxa"/>
            <w:vAlign w:val="center"/>
          </w:tcPr>
          <w:p w14:paraId="1C03F3D9"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40/2.5</w:t>
            </w:r>
          </w:p>
        </w:tc>
      </w:tr>
      <w:tr w:rsidR="00534EC2" w:rsidRPr="00534EC2" w14:paraId="68328E8F" w14:textId="77777777" w:rsidTr="00534EC2">
        <w:trPr>
          <w:trHeight w:val="811"/>
          <w:jc w:val="center"/>
        </w:trPr>
        <w:tc>
          <w:tcPr>
            <w:tcW w:w="1668" w:type="dxa"/>
            <w:vAlign w:val="center"/>
          </w:tcPr>
          <w:p w14:paraId="69C96F2D"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开课单位</w:t>
            </w:r>
          </w:p>
        </w:tc>
        <w:tc>
          <w:tcPr>
            <w:tcW w:w="2833" w:type="dxa"/>
            <w:vAlign w:val="center"/>
          </w:tcPr>
          <w:p w14:paraId="6FBB0110"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化工学院</w:t>
            </w:r>
          </w:p>
        </w:tc>
        <w:tc>
          <w:tcPr>
            <w:tcW w:w="1561" w:type="dxa"/>
            <w:vAlign w:val="center"/>
          </w:tcPr>
          <w:p w14:paraId="7424BC58"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适用专业</w:t>
            </w:r>
          </w:p>
        </w:tc>
        <w:tc>
          <w:tcPr>
            <w:tcW w:w="2941" w:type="dxa"/>
            <w:vAlign w:val="center"/>
          </w:tcPr>
          <w:p w14:paraId="405A6DC9"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药物分析本科专业</w:t>
            </w:r>
          </w:p>
        </w:tc>
      </w:tr>
      <w:tr w:rsidR="00534EC2" w:rsidRPr="00534EC2" w14:paraId="58542C0D" w14:textId="77777777" w:rsidTr="00534EC2">
        <w:trPr>
          <w:trHeight w:val="811"/>
          <w:jc w:val="center"/>
        </w:trPr>
        <w:tc>
          <w:tcPr>
            <w:tcW w:w="1668" w:type="dxa"/>
            <w:vAlign w:val="center"/>
          </w:tcPr>
          <w:p w14:paraId="7693FC48"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课程负责人</w:t>
            </w:r>
          </w:p>
        </w:tc>
        <w:tc>
          <w:tcPr>
            <w:tcW w:w="7335" w:type="dxa"/>
            <w:gridSpan w:val="3"/>
            <w:vAlign w:val="center"/>
          </w:tcPr>
          <w:p w14:paraId="26424B6C"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张岩</w:t>
            </w:r>
          </w:p>
        </w:tc>
      </w:tr>
      <w:tr w:rsidR="00534EC2" w:rsidRPr="00534EC2" w14:paraId="12DAA354" w14:textId="77777777" w:rsidTr="00534EC2">
        <w:trPr>
          <w:trHeight w:val="836"/>
          <w:jc w:val="center"/>
        </w:trPr>
        <w:tc>
          <w:tcPr>
            <w:tcW w:w="1668" w:type="dxa"/>
            <w:vAlign w:val="center"/>
          </w:tcPr>
          <w:p w14:paraId="302AC2F1"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大纲撰写人</w:t>
            </w:r>
          </w:p>
        </w:tc>
        <w:tc>
          <w:tcPr>
            <w:tcW w:w="2833" w:type="dxa"/>
            <w:vAlign w:val="center"/>
          </w:tcPr>
          <w:p w14:paraId="738577AE"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张岩</w:t>
            </w:r>
          </w:p>
        </w:tc>
        <w:tc>
          <w:tcPr>
            <w:tcW w:w="1561" w:type="dxa"/>
            <w:vAlign w:val="center"/>
          </w:tcPr>
          <w:p w14:paraId="624D5023"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大纲审核人</w:t>
            </w:r>
          </w:p>
        </w:tc>
        <w:tc>
          <w:tcPr>
            <w:tcW w:w="2941" w:type="dxa"/>
            <w:vAlign w:val="center"/>
          </w:tcPr>
          <w:p w14:paraId="4B08275B" w14:textId="77777777" w:rsidR="00534EC2" w:rsidRPr="00534EC2" w:rsidRDefault="00534EC2" w:rsidP="00534EC2">
            <w:pPr>
              <w:spacing w:line="440" w:lineRule="atLeast"/>
              <w:jc w:val="center"/>
              <w:rPr>
                <w:rFonts w:ascii="宋体" w:eastAsia="宋体" w:hAnsi="宋体" w:cs="Times New Roman"/>
                <w:sz w:val="24"/>
                <w:szCs w:val="24"/>
              </w:rPr>
            </w:pPr>
            <w:proofErr w:type="gramStart"/>
            <w:r w:rsidRPr="00534EC2">
              <w:rPr>
                <w:rFonts w:ascii="宋体" w:eastAsia="宋体" w:hAnsi="宋体" w:cs="Times New Roman" w:hint="eastAsia"/>
                <w:sz w:val="24"/>
                <w:szCs w:val="24"/>
              </w:rPr>
              <w:t>冯</w:t>
            </w:r>
            <w:proofErr w:type="gramEnd"/>
            <w:r w:rsidRPr="00534EC2">
              <w:rPr>
                <w:rFonts w:ascii="宋体" w:eastAsia="宋体" w:hAnsi="宋体" w:cs="Times New Roman" w:hint="eastAsia"/>
                <w:sz w:val="24"/>
                <w:szCs w:val="24"/>
              </w:rPr>
              <w:t>小龙</w:t>
            </w:r>
          </w:p>
        </w:tc>
      </w:tr>
      <w:tr w:rsidR="00534EC2" w:rsidRPr="00534EC2" w14:paraId="690116B9" w14:textId="77777777" w:rsidTr="00534EC2">
        <w:trPr>
          <w:trHeight w:val="848"/>
          <w:jc w:val="center"/>
        </w:trPr>
        <w:tc>
          <w:tcPr>
            <w:tcW w:w="1668" w:type="dxa"/>
            <w:vAlign w:val="center"/>
          </w:tcPr>
          <w:p w14:paraId="68B89C1D"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先修课程</w:t>
            </w:r>
          </w:p>
        </w:tc>
        <w:tc>
          <w:tcPr>
            <w:tcW w:w="7335" w:type="dxa"/>
            <w:gridSpan w:val="3"/>
            <w:vAlign w:val="center"/>
          </w:tcPr>
          <w:p w14:paraId="0D49F322"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Times New Roman" w:eastAsia="宋体" w:hAnsi="Times New Roman" w:cs="Times New Roman" w:hint="eastAsia"/>
                <w:sz w:val="24"/>
                <w:szCs w:val="24"/>
              </w:rPr>
              <w:t>有机化学、物理化学、</w:t>
            </w:r>
            <w:r w:rsidRPr="00534EC2">
              <w:rPr>
                <w:rFonts w:ascii="Times New Roman" w:eastAsia="宋体" w:hAnsi="Times New Roman" w:cs="Times New Roman"/>
                <w:sz w:val="24"/>
                <w:szCs w:val="24"/>
              </w:rPr>
              <w:t>分析化学</w:t>
            </w:r>
            <w:r w:rsidRPr="00534EC2">
              <w:rPr>
                <w:rFonts w:ascii="Times New Roman" w:eastAsia="宋体" w:hAnsi="Times New Roman" w:cs="Times New Roman" w:hint="eastAsia"/>
                <w:sz w:val="24"/>
                <w:szCs w:val="24"/>
              </w:rPr>
              <w:t>、生物化学、药事管理学</w:t>
            </w:r>
          </w:p>
        </w:tc>
      </w:tr>
      <w:tr w:rsidR="00534EC2" w:rsidRPr="00534EC2" w14:paraId="5A248449" w14:textId="77777777" w:rsidTr="00534EC2">
        <w:trPr>
          <w:trHeight w:val="848"/>
          <w:jc w:val="center"/>
        </w:trPr>
        <w:tc>
          <w:tcPr>
            <w:tcW w:w="1668" w:type="dxa"/>
            <w:vAlign w:val="center"/>
          </w:tcPr>
          <w:p w14:paraId="69D199F6"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课程网址</w:t>
            </w:r>
          </w:p>
        </w:tc>
        <w:tc>
          <w:tcPr>
            <w:tcW w:w="7335" w:type="dxa"/>
            <w:gridSpan w:val="3"/>
            <w:vAlign w:val="center"/>
          </w:tcPr>
          <w:p w14:paraId="290C5BA5" w14:textId="77777777" w:rsidR="00534EC2" w:rsidRPr="00534EC2" w:rsidRDefault="00534EC2" w:rsidP="00534EC2">
            <w:pPr>
              <w:spacing w:line="440" w:lineRule="atLeast"/>
              <w:rPr>
                <w:rFonts w:ascii="宋体" w:eastAsia="宋体" w:hAnsi="宋体" w:cs="Times New Roman"/>
                <w:color w:val="FF0000"/>
                <w:sz w:val="24"/>
                <w:szCs w:val="24"/>
              </w:rPr>
            </w:pPr>
          </w:p>
        </w:tc>
      </w:tr>
    </w:tbl>
    <w:p w14:paraId="45F3B8F7" w14:textId="77777777" w:rsidR="00534EC2" w:rsidRPr="00534EC2" w:rsidRDefault="00534EC2" w:rsidP="00534EC2">
      <w:pPr>
        <w:spacing w:beforeLines="50" w:before="156" w:afterLines="50" w:after="156" w:line="440" w:lineRule="atLeast"/>
        <w:ind w:firstLineChars="200" w:firstLine="560"/>
        <w:rPr>
          <w:rFonts w:ascii="黑体" w:eastAsia="黑体" w:hAnsi="黑体" w:cs="Times New Roman"/>
          <w:sz w:val="28"/>
          <w:szCs w:val="28"/>
        </w:rPr>
      </w:pPr>
      <w:r w:rsidRPr="00534EC2">
        <w:rPr>
          <w:rFonts w:ascii="黑体" w:eastAsia="黑体" w:hAnsi="黑体" w:cs="Times New Roman" w:hint="eastAsia"/>
          <w:sz w:val="28"/>
          <w:szCs w:val="28"/>
        </w:rPr>
        <w:t>二、课程学习目标及与毕业要求的对应关系</w:t>
      </w:r>
    </w:p>
    <w:p w14:paraId="320BAA68" w14:textId="77777777" w:rsidR="00534EC2" w:rsidRPr="00534EC2" w:rsidRDefault="00534EC2" w:rsidP="00534EC2">
      <w:pPr>
        <w:spacing w:beforeLines="50" w:before="156" w:afterLines="50" w:after="156" w:line="440" w:lineRule="atLeast"/>
        <w:ind w:firstLineChars="200" w:firstLine="560"/>
        <w:rPr>
          <w:rFonts w:ascii="黑体" w:eastAsia="黑体" w:hAnsi="黑体" w:cs="Times New Roman"/>
          <w:sz w:val="28"/>
          <w:szCs w:val="28"/>
        </w:rPr>
      </w:pPr>
      <w:r w:rsidRPr="00534EC2">
        <w:rPr>
          <w:rFonts w:ascii="黑体" w:eastAsia="黑体" w:hAnsi="黑体" w:cs="Times New Roman" w:hint="eastAsia"/>
          <w:sz w:val="28"/>
          <w:szCs w:val="28"/>
        </w:rPr>
        <w:t>（一）课程学习目标</w:t>
      </w:r>
    </w:p>
    <w:p w14:paraId="049526FC" w14:textId="77777777" w:rsidR="00534EC2" w:rsidRPr="00534EC2" w:rsidRDefault="00534EC2" w:rsidP="00534EC2">
      <w:pPr>
        <w:spacing w:line="440" w:lineRule="atLeast"/>
        <w:ind w:firstLineChars="200" w:firstLine="480"/>
        <w:rPr>
          <w:rFonts w:ascii="宋体" w:eastAsia="宋体" w:hAnsi="宋体" w:cs="Times New Roman"/>
          <w:kern w:val="0"/>
          <w:sz w:val="24"/>
          <w:szCs w:val="20"/>
        </w:rPr>
      </w:pPr>
      <w:r w:rsidRPr="00534EC2">
        <w:rPr>
          <w:rFonts w:ascii="Times New Roman" w:eastAsia="宋体" w:hAnsi="Times New Roman" w:cs="Times New Roman" w:hint="eastAsia"/>
          <w:kern w:val="0"/>
          <w:sz w:val="24"/>
          <w:szCs w:val="20"/>
        </w:rPr>
        <w:t>药剂学是研究药物制剂的基本理论、处方设计、制备工艺、质量控制和合理使用等内容的综合性应用技术科学；是具体研究和论述药物制剂的基本理论及剂型设计的基本原理、各种剂型的制备过程和生产工艺、质量控制及质量管理等内容的一门综合性应用技术科学。药剂学主要介绍药物制剂的基本理论，以物理化学方法解释和处理药剂学所涉及的配制理论。</w:t>
      </w:r>
      <w:r w:rsidRPr="00534EC2">
        <w:rPr>
          <w:rFonts w:ascii="ˎ̥" w:eastAsia="宋体" w:hAnsi="ˎ̥" w:cs="Times New Roman"/>
          <w:kern w:val="0"/>
          <w:sz w:val="24"/>
          <w:szCs w:val="20"/>
        </w:rPr>
        <w:t>通过课程教学使学生获得药物剂型及制剂方面的专业知识，</w:t>
      </w:r>
      <w:r w:rsidRPr="00534EC2">
        <w:rPr>
          <w:rFonts w:ascii="ˎ̥" w:eastAsia="宋体" w:hAnsi="ˎ̥" w:cs="Times New Roman" w:hint="eastAsia"/>
          <w:kern w:val="0"/>
          <w:sz w:val="24"/>
          <w:szCs w:val="20"/>
        </w:rPr>
        <w:t>使学生树立起药品研究与生产的强烈责任感，培养学生职业规范，</w:t>
      </w:r>
      <w:r w:rsidRPr="00534EC2">
        <w:rPr>
          <w:rFonts w:ascii="ˎ̥" w:eastAsia="宋体" w:hAnsi="ˎ̥" w:cs="Times New Roman"/>
          <w:kern w:val="0"/>
          <w:sz w:val="24"/>
          <w:szCs w:val="20"/>
        </w:rPr>
        <w:t>为从事药物制剂的生产、研究、开发新制剂和新剂型等工作奠定基础。</w:t>
      </w:r>
    </w:p>
    <w:p w14:paraId="690544CC" w14:textId="77777777" w:rsidR="00534EC2" w:rsidRPr="00534EC2" w:rsidRDefault="00534EC2" w:rsidP="00534EC2">
      <w:pPr>
        <w:autoSpaceDE w:val="0"/>
        <w:autoSpaceDN w:val="0"/>
        <w:adjustRightInd w:val="0"/>
        <w:snapToGrid w:val="0"/>
        <w:spacing w:line="440" w:lineRule="atLeast"/>
        <w:ind w:firstLineChars="200" w:firstLine="480"/>
        <w:jc w:val="left"/>
        <w:rPr>
          <w:rFonts w:ascii="宋体" w:eastAsia="宋体" w:hAnsi="宋体" w:cs="Times New Roman"/>
          <w:sz w:val="24"/>
          <w:szCs w:val="24"/>
        </w:rPr>
      </w:pPr>
      <w:r w:rsidRPr="00534EC2">
        <w:rPr>
          <w:rFonts w:ascii="宋体" w:eastAsia="宋体" w:hAnsi="宋体" w:cs="Times New Roman" w:hint="eastAsia"/>
          <w:sz w:val="24"/>
          <w:szCs w:val="24"/>
        </w:rPr>
        <w:t>通过本课程的学习，使学生达到以下目标：</w:t>
      </w:r>
    </w:p>
    <w:p w14:paraId="0A2D293E" w14:textId="77777777" w:rsidR="00534EC2" w:rsidRPr="00534EC2" w:rsidRDefault="00534EC2">
      <w:pPr>
        <w:numPr>
          <w:ilvl w:val="0"/>
          <w:numId w:val="237"/>
        </w:numPr>
        <w:autoSpaceDE w:val="0"/>
        <w:autoSpaceDN w:val="0"/>
        <w:adjustRightInd w:val="0"/>
        <w:snapToGrid w:val="0"/>
        <w:spacing w:line="440" w:lineRule="atLeast"/>
        <w:ind w:firstLineChars="200" w:firstLine="480"/>
        <w:jc w:val="left"/>
        <w:rPr>
          <w:rFonts w:ascii="宋体" w:eastAsia="宋体" w:hAnsi="宋体" w:cs="Times New Roman"/>
          <w:b/>
          <w:bCs/>
          <w:sz w:val="24"/>
          <w:szCs w:val="24"/>
        </w:rPr>
      </w:pPr>
      <w:r w:rsidRPr="00534EC2">
        <w:rPr>
          <w:rFonts w:ascii="宋体" w:eastAsia="宋体" w:hAnsi="宋体" w:cs="Times New Roman" w:hint="eastAsia"/>
          <w:sz w:val="24"/>
          <w:szCs w:val="24"/>
        </w:rPr>
        <w:t>使学生掌握药物制剂的基本概念和基本理论，掌握药物剂型和制剂的设计、制备、生产及质量控制等方面的理论知识和技能，并为从事临床合理用药和提供安</w:t>
      </w:r>
      <w:r w:rsidRPr="00534EC2">
        <w:rPr>
          <w:rFonts w:ascii="宋体" w:eastAsia="宋体" w:hAnsi="宋体" w:cs="Times New Roman" w:hint="eastAsia"/>
          <w:sz w:val="24"/>
          <w:szCs w:val="24"/>
        </w:rPr>
        <w:lastRenderedPageBreak/>
        <w:t>全、有效、稳定、使用方便的药品等工作奠定基础。</w:t>
      </w:r>
      <w:r w:rsidRPr="00534EC2">
        <w:rPr>
          <w:rFonts w:ascii="宋体" w:eastAsia="宋体" w:hAnsi="宋体" w:cs="Times New Roman" w:hint="eastAsia"/>
          <w:b/>
          <w:bCs/>
          <w:sz w:val="24"/>
          <w:szCs w:val="24"/>
        </w:rPr>
        <w:t>【毕业要求1 药学知识】</w:t>
      </w:r>
    </w:p>
    <w:p w14:paraId="0193EEEB" w14:textId="77777777" w:rsidR="00534EC2" w:rsidRPr="00534EC2" w:rsidRDefault="00534EC2">
      <w:pPr>
        <w:numPr>
          <w:ilvl w:val="0"/>
          <w:numId w:val="237"/>
        </w:numPr>
        <w:autoSpaceDE w:val="0"/>
        <w:autoSpaceDN w:val="0"/>
        <w:adjustRightInd w:val="0"/>
        <w:snapToGrid w:val="0"/>
        <w:spacing w:line="440" w:lineRule="atLeast"/>
        <w:ind w:firstLineChars="200" w:firstLine="480"/>
        <w:jc w:val="left"/>
        <w:rPr>
          <w:rFonts w:ascii="宋体" w:eastAsia="宋体" w:hAnsi="宋体" w:cs="Times New Roman"/>
          <w:b/>
          <w:bCs/>
          <w:sz w:val="24"/>
          <w:szCs w:val="24"/>
        </w:rPr>
      </w:pPr>
      <w:r w:rsidRPr="00534EC2">
        <w:rPr>
          <w:rFonts w:ascii="宋体" w:eastAsia="宋体" w:hAnsi="宋体" w:cs="Times New Roman" w:hint="eastAsia"/>
          <w:sz w:val="24"/>
          <w:szCs w:val="24"/>
        </w:rPr>
        <w:t>要求学生理论知识与实践知识相结合，能够独立进行实验设计和操作，提升学生在药学领域的学习兴趣，培养学生新药开发意识，激发学生药物研发的使命感，以利于工作后新药的开发与创新。同时，培养学生遵守职业道德规范，培养学生严谨踏实、实事求是的工作态度，使学生在学习药学知识的同时，把人民群众的生命安全和身体健康放在首位。</w:t>
      </w:r>
      <w:r w:rsidRPr="00534EC2">
        <w:rPr>
          <w:rFonts w:ascii="宋体" w:eastAsia="宋体" w:hAnsi="宋体" w:cs="Times New Roman" w:hint="eastAsia"/>
          <w:b/>
          <w:bCs/>
          <w:sz w:val="24"/>
          <w:szCs w:val="24"/>
        </w:rPr>
        <w:t>【毕业要求3 设计/开发解决方案】</w:t>
      </w:r>
    </w:p>
    <w:p w14:paraId="2341541C" w14:textId="77777777" w:rsidR="00534EC2" w:rsidRPr="00534EC2" w:rsidRDefault="00534EC2" w:rsidP="00534EC2">
      <w:pPr>
        <w:spacing w:beforeLines="50" w:before="156" w:afterLines="50" w:after="156" w:line="440" w:lineRule="atLeast"/>
        <w:ind w:firstLineChars="200" w:firstLine="560"/>
        <w:rPr>
          <w:rFonts w:ascii="黑体" w:eastAsia="黑体" w:hAnsi="黑体" w:cs="Times New Roman"/>
          <w:sz w:val="28"/>
          <w:szCs w:val="28"/>
        </w:rPr>
      </w:pPr>
      <w:r w:rsidRPr="00534EC2">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534EC2" w:rsidRPr="00534EC2" w14:paraId="4EB52858" w14:textId="77777777" w:rsidTr="00534EC2">
        <w:trPr>
          <w:trHeight w:val="815"/>
          <w:jc w:val="center"/>
        </w:trPr>
        <w:tc>
          <w:tcPr>
            <w:tcW w:w="1676" w:type="dxa"/>
            <w:vAlign w:val="center"/>
          </w:tcPr>
          <w:p w14:paraId="1C448C7E" w14:textId="77777777" w:rsidR="00534EC2" w:rsidRPr="00534EC2" w:rsidRDefault="00534EC2" w:rsidP="00534EC2">
            <w:pPr>
              <w:spacing w:line="440" w:lineRule="exact"/>
              <w:jc w:val="center"/>
              <w:rPr>
                <w:rFonts w:ascii="宋体" w:eastAsia="宋体" w:hAnsi="宋体" w:cs="Times New Roman"/>
                <w:b/>
                <w:sz w:val="24"/>
              </w:rPr>
            </w:pPr>
            <w:r w:rsidRPr="00534EC2">
              <w:rPr>
                <w:rFonts w:ascii="宋体" w:eastAsia="宋体" w:hAnsi="宋体" w:cs="Times New Roman" w:hint="eastAsia"/>
                <w:b/>
                <w:sz w:val="24"/>
              </w:rPr>
              <w:t>毕业要求</w:t>
            </w:r>
          </w:p>
        </w:tc>
        <w:tc>
          <w:tcPr>
            <w:tcW w:w="5534" w:type="dxa"/>
            <w:vAlign w:val="center"/>
          </w:tcPr>
          <w:p w14:paraId="0CCE8658" w14:textId="77777777" w:rsidR="00534EC2" w:rsidRPr="00534EC2" w:rsidRDefault="00534EC2" w:rsidP="00534EC2">
            <w:pPr>
              <w:spacing w:line="440" w:lineRule="exact"/>
              <w:jc w:val="center"/>
              <w:rPr>
                <w:rFonts w:ascii="宋体" w:eastAsia="宋体" w:hAnsi="宋体" w:cs="Times New Roman"/>
                <w:b/>
                <w:sz w:val="24"/>
              </w:rPr>
            </w:pPr>
            <w:r w:rsidRPr="00534EC2">
              <w:rPr>
                <w:rFonts w:ascii="宋体" w:eastAsia="宋体" w:hAnsi="宋体" w:cs="Times New Roman" w:hint="eastAsia"/>
                <w:b/>
                <w:sz w:val="24"/>
              </w:rPr>
              <w:t>毕业要求指标点</w:t>
            </w:r>
          </w:p>
        </w:tc>
        <w:tc>
          <w:tcPr>
            <w:tcW w:w="1959" w:type="dxa"/>
            <w:vAlign w:val="center"/>
          </w:tcPr>
          <w:p w14:paraId="6A04A184" w14:textId="77777777" w:rsidR="00534EC2" w:rsidRPr="00534EC2" w:rsidRDefault="00534EC2" w:rsidP="00534EC2">
            <w:pPr>
              <w:spacing w:line="440" w:lineRule="exact"/>
              <w:jc w:val="center"/>
              <w:rPr>
                <w:rFonts w:ascii="宋体" w:eastAsia="宋体" w:hAnsi="宋体" w:cs="Times New Roman"/>
                <w:b/>
                <w:sz w:val="24"/>
              </w:rPr>
            </w:pPr>
            <w:r w:rsidRPr="00534EC2">
              <w:rPr>
                <w:rFonts w:ascii="宋体" w:eastAsia="宋体" w:hAnsi="宋体" w:cs="Times New Roman" w:hint="eastAsia"/>
                <w:b/>
                <w:sz w:val="24"/>
              </w:rPr>
              <w:t>课程目标</w:t>
            </w:r>
          </w:p>
        </w:tc>
      </w:tr>
      <w:tr w:rsidR="00534EC2" w:rsidRPr="00534EC2" w14:paraId="17378B14" w14:textId="77777777" w:rsidTr="00534EC2">
        <w:trPr>
          <w:jc w:val="center"/>
        </w:trPr>
        <w:tc>
          <w:tcPr>
            <w:tcW w:w="1676" w:type="dxa"/>
            <w:vAlign w:val="center"/>
          </w:tcPr>
          <w:p w14:paraId="16D9A2F8" w14:textId="77777777" w:rsidR="00534EC2" w:rsidRPr="00534EC2" w:rsidRDefault="00534EC2" w:rsidP="00534EC2">
            <w:pPr>
              <w:spacing w:line="440" w:lineRule="exact"/>
              <w:jc w:val="center"/>
              <w:rPr>
                <w:rFonts w:ascii="宋体" w:eastAsia="宋体" w:hAnsi="宋体" w:cs="Times New Roman"/>
                <w:sz w:val="24"/>
              </w:rPr>
            </w:pPr>
            <w:r w:rsidRPr="00534EC2">
              <w:rPr>
                <w:rFonts w:ascii="宋体" w:eastAsia="宋体" w:hAnsi="宋体" w:cs="Times New Roman" w:hint="eastAsia"/>
                <w:sz w:val="24"/>
              </w:rPr>
              <w:t>1.药学知识</w:t>
            </w:r>
          </w:p>
        </w:tc>
        <w:tc>
          <w:tcPr>
            <w:tcW w:w="5534" w:type="dxa"/>
            <w:vAlign w:val="center"/>
          </w:tcPr>
          <w:p w14:paraId="364DC642" w14:textId="77777777" w:rsidR="00534EC2" w:rsidRPr="00534EC2" w:rsidRDefault="00534EC2" w:rsidP="00534EC2">
            <w:pPr>
              <w:spacing w:line="440" w:lineRule="exact"/>
              <w:jc w:val="center"/>
              <w:rPr>
                <w:rFonts w:ascii="宋体" w:eastAsia="宋体" w:hAnsi="宋体" w:cs="Times New Roman"/>
                <w:sz w:val="24"/>
              </w:rPr>
            </w:pPr>
            <w:r w:rsidRPr="00534EC2">
              <w:rPr>
                <w:rFonts w:ascii="宋体" w:eastAsia="宋体" w:hAnsi="宋体" w:cs="Times New Roman" w:hint="eastAsia"/>
                <w:sz w:val="24"/>
              </w:rPr>
              <w:t>1.3 掌握药物分析、中药分析、体内药物分析、药剂学、药理学和药物化学等药学专业理论知识、科学研究方法和实验技能；（H）</w:t>
            </w:r>
          </w:p>
        </w:tc>
        <w:tc>
          <w:tcPr>
            <w:tcW w:w="1959" w:type="dxa"/>
            <w:vAlign w:val="center"/>
          </w:tcPr>
          <w:p w14:paraId="60BB945D" w14:textId="77777777" w:rsidR="00534EC2" w:rsidRPr="00534EC2" w:rsidRDefault="00534EC2" w:rsidP="00534EC2">
            <w:pPr>
              <w:spacing w:line="440" w:lineRule="exact"/>
              <w:jc w:val="center"/>
              <w:rPr>
                <w:rFonts w:ascii="宋体" w:eastAsia="宋体" w:hAnsi="宋体" w:cs="Times New Roman"/>
                <w:sz w:val="24"/>
              </w:rPr>
            </w:pPr>
            <w:r w:rsidRPr="00534EC2">
              <w:rPr>
                <w:rFonts w:ascii="宋体" w:eastAsia="宋体" w:hAnsi="宋体" w:cs="Times New Roman" w:hint="eastAsia"/>
                <w:sz w:val="24"/>
              </w:rPr>
              <w:t>课程目标1</w:t>
            </w:r>
          </w:p>
        </w:tc>
      </w:tr>
      <w:tr w:rsidR="00534EC2" w:rsidRPr="00534EC2" w14:paraId="114DB3C8" w14:textId="77777777" w:rsidTr="00534EC2">
        <w:trPr>
          <w:jc w:val="center"/>
        </w:trPr>
        <w:tc>
          <w:tcPr>
            <w:tcW w:w="1676" w:type="dxa"/>
            <w:vAlign w:val="center"/>
          </w:tcPr>
          <w:p w14:paraId="48DF4932" w14:textId="77777777" w:rsidR="00534EC2" w:rsidRPr="00534EC2" w:rsidRDefault="00534EC2" w:rsidP="00534EC2">
            <w:pPr>
              <w:spacing w:line="440" w:lineRule="exact"/>
              <w:jc w:val="center"/>
              <w:rPr>
                <w:rFonts w:ascii="宋体" w:eastAsia="宋体" w:hAnsi="宋体" w:cs="Times New Roman"/>
                <w:sz w:val="24"/>
              </w:rPr>
            </w:pPr>
            <w:r w:rsidRPr="00534EC2">
              <w:rPr>
                <w:rFonts w:ascii="宋体" w:eastAsia="宋体" w:hAnsi="宋体" w:cs="Times New Roman" w:hint="eastAsia"/>
                <w:sz w:val="24"/>
              </w:rPr>
              <w:t>3.设计/开发解决方案</w:t>
            </w:r>
          </w:p>
        </w:tc>
        <w:tc>
          <w:tcPr>
            <w:tcW w:w="5534" w:type="dxa"/>
            <w:vAlign w:val="center"/>
          </w:tcPr>
          <w:p w14:paraId="3907CF38" w14:textId="77777777" w:rsidR="00534EC2" w:rsidRPr="00534EC2" w:rsidRDefault="00534EC2" w:rsidP="00534EC2">
            <w:pPr>
              <w:spacing w:line="440" w:lineRule="exact"/>
              <w:jc w:val="center"/>
              <w:rPr>
                <w:rFonts w:ascii="宋体" w:eastAsia="宋体" w:hAnsi="宋体" w:cs="Times New Roman"/>
                <w:sz w:val="24"/>
              </w:rPr>
            </w:pPr>
            <w:r w:rsidRPr="00534EC2">
              <w:rPr>
                <w:rFonts w:ascii="宋体" w:eastAsia="宋体" w:hAnsi="宋体" w:cs="Times New Roman" w:hint="eastAsia"/>
                <w:sz w:val="24"/>
              </w:rPr>
              <w:t>3.2 具有较多的实践经验，具有较好的独立设计实验、动手实践、处理结果、撰写论文的能力；（L）</w:t>
            </w:r>
          </w:p>
        </w:tc>
        <w:tc>
          <w:tcPr>
            <w:tcW w:w="1959" w:type="dxa"/>
            <w:vAlign w:val="center"/>
          </w:tcPr>
          <w:p w14:paraId="7BA558D4" w14:textId="77777777" w:rsidR="00534EC2" w:rsidRPr="00534EC2" w:rsidRDefault="00534EC2" w:rsidP="00534EC2">
            <w:pPr>
              <w:spacing w:line="440" w:lineRule="atLeast"/>
              <w:jc w:val="center"/>
              <w:rPr>
                <w:rFonts w:ascii="宋体" w:eastAsia="宋体" w:hAnsi="宋体" w:cs="Times New Roman"/>
                <w:sz w:val="24"/>
              </w:rPr>
            </w:pPr>
            <w:r w:rsidRPr="00534EC2">
              <w:rPr>
                <w:rFonts w:ascii="宋体" w:eastAsia="宋体" w:hAnsi="宋体" w:cs="Times New Roman" w:hint="eastAsia"/>
                <w:sz w:val="24"/>
                <w:szCs w:val="24"/>
              </w:rPr>
              <w:t>课程目标2</w:t>
            </w:r>
          </w:p>
        </w:tc>
      </w:tr>
    </w:tbl>
    <w:p w14:paraId="6CF6AF62" w14:textId="77777777" w:rsidR="00534EC2" w:rsidRPr="00534EC2" w:rsidRDefault="00534EC2" w:rsidP="00534EC2">
      <w:pPr>
        <w:spacing w:beforeLines="50" w:before="156" w:afterLines="50" w:after="156" w:line="440" w:lineRule="atLeast"/>
        <w:ind w:firstLineChars="200" w:firstLine="560"/>
        <w:rPr>
          <w:rFonts w:ascii="黑体" w:eastAsia="黑体" w:hAnsi="黑体" w:cs="Times New Roman"/>
          <w:sz w:val="28"/>
          <w:szCs w:val="28"/>
        </w:rPr>
      </w:pPr>
      <w:r w:rsidRPr="00534EC2">
        <w:rPr>
          <w:rFonts w:ascii="黑体" w:eastAsia="黑体" w:hAnsi="黑体" w:cs="Times New Roman" w:hint="eastAsia"/>
          <w:sz w:val="28"/>
          <w:szCs w:val="28"/>
        </w:rPr>
        <w:t>三、课程学习内容及与课程学习目标的对应关系</w:t>
      </w:r>
    </w:p>
    <w:p w14:paraId="4EB3377D" w14:textId="77777777" w:rsidR="00534EC2" w:rsidRPr="00534EC2" w:rsidRDefault="00534EC2" w:rsidP="00534EC2">
      <w:pPr>
        <w:spacing w:beforeLines="50" w:before="156" w:afterLines="50" w:after="156" w:line="440" w:lineRule="atLeast"/>
        <w:ind w:firstLineChars="200" w:firstLine="562"/>
        <w:rPr>
          <w:rFonts w:ascii="黑体" w:eastAsia="黑体" w:hAnsi="黑体" w:cs="Times New Roman"/>
          <w:b/>
          <w:sz w:val="28"/>
          <w:szCs w:val="28"/>
        </w:rPr>
      </w:pPr>
      <w:r w:rsidRPr="00534EC2">
        <w:rPr>
          <w:rFonts w:ascii="黑体" w:eastAsia="黑体" w:hAnsi="黑体" w:cs="Times New Roman" w:hint="eastAsia"/>
          <w:b/>
          <w:sz w:val="28"/>
          <w:szCs w:val="28"/>
        </w:rPr>
        <w:t>（一）课程学习内容</w:t>
      </w:r>
    </w:p>
    <w:p w14:paraId="4C649E09" w14:textId="77777777" w:rsidR="00534EC2" w:rsidRPr="00534EC2" w:rsidRDefault="00534EC2" w:rsidP="00534EC2">
      <w:pPr>
        <w:spacing w:beforeLines="50" w:before="156" w:afterLines="50" w:after="156" w:line="440" w:lineRule="atLeast"/>
        <w:ind w:firstLineChars="200" w:firstLine="560"/>
        <w:jc w:val="center"/>
        <w:rPr>
          <w:rFonts w:ascii="黑体" w:eastAsia="黑体" w:hAnsi="黑体" w:cs="Times New Roman"/>
          <w:sz w:val="28"/>
          <w:szCs w:val="28"/>
        </w:rPr>
      </w:pPr>
      <w:r w:rsidRPr="00534EC2">
        <w:rPr>
          <w:rFonts w:ascii="黑体" w:eastAsia="黑体" w:hAnsi="黑体" w:cs="Times New Roman" w:hint="eastAsia"/>
          <w:sz w:val="28"/>
          <w:szCs w:val="28"/>
        </w:rPr>
        <w:t>第一章  绪论</w:t>
      </w:r>
    </w:p>
    <w:p w14:paraId="4B0FA120"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31A52B02"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rPr>
        <w:t>认知类目标：</w:t>
      </w:r>
      <w:r w:rsidRPr="00534EC2">
        <w:rPr>
          <w:rFonts w:ascii="宋体" w:eastAsia="宋体" w:hAnsi="宋体" w:cs="Times New Roman" w:hint="eastAsia"/>
          <w:sz w:val="24"/>
          <w:szCs w:val="24"/>
        </w:rPr>
        <w:t>了解《药剂学》课程的内容、性质和学习要求，</w:t>
      </w:r>
      <w:r w:rsidRPr="00534EC2">
        <w:rPr>
          <w:rFonts w:ascii="宋体" w:eastAsia="宋体" w:hAnsi="宋体" w:cs="Times New Roman" w:hint="eastAsia"/>
          <w:color w:val="000000"/>
          <w:sz w:val="24"/>
          <w:szCs w:val="24"/>
        </w:rPr>
        <w:t>掌握药剂学的基本概念</w:t>
      </w:r>
      <w:r w:rsidRPr="00534EC2">
        <w:rPr>
          <w:rFonts w:ascii="宋体" w:eastAsia="宋体" w:hAnsi="宋体" w:cs="Times New Roman" w:hint="eastAsia"/>
          <w:sz w:val="24"/>
          <w:szCs w:val="24"/>
        </w:rPr>
        <w:t>；</w:t>
      </w:r>
    </w:p>
    <w:p w14:paraId="286FB229"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rPr>
        <w:t>过程与方法类目标：</w:t>
      </w:r>
      <w:r w:rsidRPr="00534EC2">
        <w:rPr>
          <w:rFonts w:ascii="宋体" w:eastAsia="宋体" w:hAnsi="宋体" w:cs="Times New Roman" w:hint="eastAsia"/>
          <w:color w:val="000000"/>
          <w:sz w:val="24"/>
          <w:szCs w:val="24"/>
        </w:rPr>
        <w:t>掌握剂型的分类方法和常用剂型，药典在药剂学中的应用，GMP、GLP的含义及应</w:t>
      </w:r>
      <w:r w:rsidRPr="00534EC2">
        <w:rPr>
          <w:rFonts w:ascii="宋体" w:eastAsia="宋体" w:hAnsi="宋体" w:cs="Times New Roman" w:hint="eastAsia"/>
          <w:sz w:val="24"/>
          <w:szCs w:val="24"/>
        </w:rPr>
        <w:t>用；</w:t>
      </w:r>
    </w:p>
    <w:p w14:paraId="60129ED7"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 xml:space="preserve">3. </w:t>
      </w:r>
      <w:r w:rsidRPr="00534EC2">
        <w:rPr>
          <w:rFonts w:ascii="宋体" w:eastAsia="宋体" w:hAnsi="宋体" w:cs="Times New Roman" w:hint="eastAsia"/>
          <w:sz w:val="24"/>
        </w:rPr>
        <w:t>情感、态度、价值观类目标：</w:t>
      </w:r>
      <w:r w:rsidRPr="00534EC2">
        <w:rPr>
          <w:rFonts w:ascii="宋体" w:eastAsia="宋体" w:hAnsi="宋体" w:cs="Times New Roman" w:hint="eastAsia"/>
          <w:sz w:val="24"/>
          <w:szCs w:val="24"/>
        </w:rPr>
        <w:t>通过专业理论的学习，理解药学工作的任务与岗位要求及应该具备的专业知识和技能，培养学生职业规范，具有法律意识。</w:t>
      </w:r>
    </w:p>
    <w:p w14:paraId="4564970A" w14:textId="77777777" w:rsidR="00534EC2" w:rsidRPr="00534EC2" w:rsidRDefault="00534EC2" w:rsidP="00534EC2">
      <w:pPr>
        <w:spacing w:line="440" w:lineRule="atLeast"/>
        <w:ind w:firstLineChars="200" w:firstLine="482"/>
        <w:rPr>
          <w:rFonts w:ascii="宋体" w:eastAsia="宋体" w:hAnsi="宋体" w:cs="Times New Roman"/>
          <w:color w:val="FF0000"/>
          <w:sz w:val="24"/>
          <w:szCs w:val="24"/>
        </w:rPr>
      </w:pPr>
      <w:r w:rsidRPr="00534EC2">
        <w:rPr>
          <w:rFonts w:ascii="宋体" w:eastAsia="宋体" w:hAnsi="宋体" w:cs="Times New Roman" w:hint="eastAsia"/>
          <w:b/>
          <w:sz w:val="24"/>
          <w:szCs w:val="24"/>
        </w:rPr>
        <w:t>【学习内容】</w:t>
      </w:r>
    </w:p>
    <w:p w14:paraId="3F033AEB" w14:textId="77777777" w:rsidR="00534EC2" w:rsidRPr="00534EC2" w:rsidRDefault="00534EC2" w:rsidP="00534EC2">
      <w:pPr>
        <w:adjustRightInd w:val="0"/>
        <w:snapToGrid w:val="0"/>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color w:val="000000"/>
          <w:sz w:val="24"/>
          <w:szCs w:val="24"/>
        </w:rPr>
        <w:t>1</w:t>
      </w:r>
      <w:r w:rsidRPr="00534EC2">
        <w:rPr>
          <w:rFonts w:ascii="Times New Roman" w:eastAsia="宋体" w:hAnsi="Times New Roman" w:cs="Times New Roman" w:hint="eastAsia"/>
          <w:color w:val="000000"/>
          <w:sz w:val="24"/>
          <w:szCs w:val="24"/>
        </w:rPr>
        <w:t xml:space="preserve">. </w:t>
      </w:r>
      <w:r w:rsidRPr="00534EC2">
        <w:rPr>
          <w:rFonts w:ascii="Times New Roman" w:eastAsia="宋体" w:hAnsi="Times New Roman" w:cs="Times New Roman"/>
          <w:color w:val="000000"/>
          <w:sz w:val="24"/>
          <w:szCs w:val="24"/>
        </w:rPr>
        <w:t>药剂学的</w:t>
      </w:r>
      <w:r w:rsidRPr="00534EC2">
        <w:rPr>
          <w:rFonts w:ascii="Times New Roman" w:eastAsia="宋体" w:hAnsi="Times New Roman" w:cs="Times New Roman" w:hint="eastAsia"/>
          <w:color w:val="000000"/>
          <w:sz w:val="24"/>
          <w:szCs w:val="24"/>
        </w:rPr>
        <w:t>性质与剂型</w:t>
      </w:r>
    </w:p>
    <w:p w14:paraId="79F80C81" w14:textId="77777777" w:rsidR="00534EC2" w:rsidRPr="00534EC2" w:rsidRDefault="00534EC2" w:rsidP="00534EC2">
      <w:pPr>
        <w:adjustRightInd w:val="0"/>
        <w:snapToGrid w:val="0"/>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color w:val="000000"/>
          <w:sz w:val="24"/>
          <w:szCs w:val="24"/>
        </w:rPr>
        <w:t>2</w:t>
      </w:r>
      <w:r w:rsidRPr="00534EC2">
        <w:rPr>
          <w:rFonts w:ascii="Times New Roman" w:eastAsia="宋体" w:hAnsi="Times New Roman" w:cs="Times New Roman" w:hint="eastAsia"/>
          <w:color w:val="000000"/>
          <w:sz w:val="24"/>
          <w:szCs w:val="24"/>
        </w:rPr>
        <w:t>.</w:t>
      </w:r>
      <w:r w:rsidRPr="00534EC2">
        <w:rPr>
          <w:rFonts w:ascii="Times New Roman" w:eastAsia="宋体" w:hAnsi="Times New Roman" w:cs="Times New Roman"/>
          <w:color w:val="000000"/>
          <w:sz w:val="24"/>
          <w:szCs w:val="24"/>
        </w:rPr>
        <w:t xml:space="preserve"> </w:t>
      </w:r>
      <w:r w:rsidRPr="00534EC2">
        <w:rPr>
          <w:rFonts w:ascii="Times New Roman" w:eastAsia="宋体" w:hAnsi="Times New Roman" w:cs="Times New Roman" w:hint="eastAsia"/>
          <w:color w:val="000000"/>
          <w:sz w:val="24"/>
          <w:szCs w:val="24"/>
        </w:rPr>
        <w:t>药物递送系统</w:t>
      </w:r>
    </w:p>
    <w:p w14:paraId="3C04A77A" w14:textId="77777777" w:rsidR="00534EC2" w:rsidRPr="00534EC2" w:rsidRDefault="00534EC2" w:rsidP="00534EC2">
      <w:pPr>
        <w:adjustRightInd w:val="0"/>
        <w:snapToGrid w:val="0"/>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color w:val="000000"/>
          <w:sz w:val="24"/>
          <w:szCs w:val="24"/>
        </w:rPr>
        <w:t>3</w:t>
      </w:r>
      <w:r w:rsidRPr="00534EC2">
        <w:rPr>
          <w:rFonts w:ascii="Times New Roman" w:eastAsia="宋体" w:hAnsi="Times New Roman" w:cs="Times New Roman" w:hint="eastAsia"/>
          <w:color w:val="000000"/>
          <w:sz w:val="24"/>
          <w:szCs w:val="24"/>
        </w:rPr>
        <w:t>.</w:t>
      </w:r>
      <w:r w:rsidRPr="00534EC2">
        <w:rPr>
          <w:rFonts w:ascii="Times New Roman" w:eastAsia="宋体" w:hAnsi="Times New Roman" w:cs="Times New Roman"/>
          <w:color w:val="000000"/>
          <w:sz w:val="24"/>
          <w:szCs w:val="24"/>
        </w:rPr>
        <w:t xml:space="preserve"> </w:t>
      </w:r>
      <w:r w:rsidRPr="00534EC2">
        <w:rPr>
          <w:rFonts w:ascii="Times New Roman" w:eastAsia="宋体" w:hAnsi="Times New Roman" w:cs="Times New Roman" w:hint="eastAsia"/>
          <w:color w:val="000000"/>
          <w:sz w:val="24"/>
          <w:szCs w:val="24"/>
        </w:rPr>
        <w:t>药用</w:t>
      </w:r>
      <w:r w:rsidRPr="00534EC2">
        <w:rPr>
          <w:rFonts w:ascii="Times New Roman" w:eastAsia="宋体" w:hAnsi="Times New Roman" w:cs="Times New Roman"/>
          <w:color w:val="000000"/>
          <w:sz w:val="24"/>
          <w:szCs w:val="24"/>
        </w:rPr>
        <w:t>辅料</w:t>
      </w:r>
    </w:p>
    <w:p w14:paraId="1999BB7B" w14:textId="77777777" w:rsidR="00534EC2" w:rsidRPr="00534EC2" w:rsidRDefault="00534EC2" w:rsidP="00534EC2">
      <w:pPr>
        <w:adjustRightInd w:val="0"/>
        <w:snapToGrid w:val="0"/>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lastRenderedPageBreak/>
        <w:t>4.</w:t>
      </w:r>
      <w:r w:rsidRPr="00534EC2">
        <w:rPr>
          <w:rFonts w:ascii="Times New Roman" w:eastAsia="宋体" w:hAnsi="Times New Roman" w:cs="Times New Roman"/>
          <w:color w:val="000000"/>
          <w:sz w:val="24"/>
          <w:szCs w:val="24"/>
        </w:rPr>
        <w:t xml:space="preserve"> </w:t>
      </w:r>
      <w:r w:rsidRPr="00534EC2">
        <w:rPr>
          <w:rFonts w:ascii="Times New Roman" w:eastAsia="宋体" w:hAnsi="Times New Roman" w:cs="Times New Roman"/>
          <w:color w:val="000000"/>
          <w:sz w:val="24"/>
          <w:szCs w:val="24"/>
        </w:rPr>
        <w:t>药品</w:t>
      </w:r>
      <w:r w:rsidRPr="00534EC2">
        <w:rPr>
          <w:rFonts w:ascii="Times New Roman" w:eastAsia="宋体" w:hAnsi="Times New Roman" w:cs="Times New Roman" w:hint="eastAsia"/>
          <w:color w:val="000000"/>
          <w:sz w:val="24"/>
          <w:szCs w:val="24"/>
        </w:rPr>
        <w:t>相关法规</w:t>
      </w:r>
    </w:p>
    <w:p w14:paraId="39BA0E17" w14:textId="77777777" w:rsidR="00534EC2" w:rsidRPr="00534EC2" w:rsidRDefault="00534EC2" w:rsidP="00534EC2">
      <w:pPr>
        <w:adjustRightInd w:val="0"/>
        <w:snapToGrid w:val="0"/>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5. </w:t>
      </w:r>
      <w:r w:rsidRPr="00534EC2">
        <w:rPr>
          <w:rFonts w:ascii="Times New Roman" w:eastAsia="宋体" w:hAnsi="Times New Roman" w:cs="Times New Roman"/>
          <w:color w:val="000000"/>
          <w:sz w:val="24"/>
          <w:szCs w:val="24"/>
        </w:rPr>
        <w:t>药剂学的发展</w:t>
      </w:r>
      <w:r w:rsidRPr="00534EC2">
        <w:rPr>
          <w:rFonts w:ascii="Times New Roman" w:eastAsia="宋体" w:hAnsi="Times New Roman" w:cs="Times New Roman" w:hint="eastAsia"/>
          <w:color w:val="000000"/>
          <w:sz w:val="24"/>
          <w:szCs w:val="24"/>
        </w:rPr>
        <w:t>简史</w:t>
      </w:r>
    </w:p>
    <w:p w14:paraId="31BB48DF"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【重点】</w:t>
      </w:r>
    </w:p>
    <w:p w14:paraId="78E7558B" w14:textId="77777777" w:rsidR="00534EC2" w:rsidRPr="00534EC2" w:rsidRDefault="00534EC2">
      <w:pPr>
        <w:numPr>
          <w:ilvl w:val="0"/>
          <w:numId w:val="238"/>
        </w:numPr>
        <w:spacing w:line="440" w:lineRule="atLeast"/>
        <w:ind w:firstLineChars="200" w:firstLine="480"/>
        <w:rPr>
          <w:rFonts w:ascii="宋体" w:eastAsia="宋体" w:hAnsi="宋体" w:cs="Times New Roman"/>
          <w:color w:val="000000"/>
          <w:sz w:val="24"/>
          <w:szCs w:val="24"/>
        </w:rPr>
      </w:pPr>
      <w:r w:rsidRPr="00534EC2">
        <w:rPr>
          <w:rFonts w:ascii="宋体" w:eastAsia="宋体" w:hAnsi="宋体" w:cs="Times New Roman" w:hint="eastAsia"/>
          <w:color w:val="000000"/>
          <w:sz w:val="24"/>
          <w:szCs w:val="24"/>
        </w:rPr>
        <w:t>药剂学的基本概念、研究任务和研究内容。</w:t>
      </w:r>
    </w:p>
    <w:p w14:paraId="5DC9C116" w14:textId="77777777" w:rsidR="00534EC2" w:rsidRPr="00534EC2" w:rsidRDefault="00534EC2" w:rsidP="00534EC2">
      <w:pPr>
        <w:spacing w:line="440" w:lineRule="atLeast"/>
        <w:ind w:firstLineChars="200" w:firstLine="480"/>
        <w:rPr>
          <w:rFonts w:ascii="宋体" w:eastAsia="宋体" w:hAnsi="宋体" w:cs="Times New Roman"/>
          <w:b/>
          <w:sz w:val="24"/>
          <w:szCs w:val="24"/>
        </w:rPr>
      </w:pPr>
      <w:r w:rsidRPr="00534EC2">
        <w:rPr>
          <w:rFonts w:ascii="宋体" w:eastAsia="宋体" w:hAnsi="宋体" w:cs="Times New Roman" w:hint="eastAsia"/>
          <w:color w:val="000000"/>
          <w:sz w:val="24"/>
          <w:szCs w:val="24"/>
        </w:rPr>
        <w:t>2. 剂型的分类方法，药典的应用</w:t>
      </w:r>
      <w:r w:rsidRPr="00534EC2">
        <w:rPr>
          <w:rFonts w:ascii="宋体" w:eastAsia="宋体" w:hAnsi="宋体" w:cs="Times New Roman"/>
          <w:color w:val="000000"/>
          <w:sz w:val="24"/>
          <w:szCs w:val="24"/>
        </w:rPr>
        <w:t>。</w:t>
      </w:r>
    </w:p>
    <w:p w14:paraId="2001521E"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6DB81CAA"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剂型、药物传递系统及药用辅料的相关内容。</w:t>
      </w:r>
    </w:p>
    <w:p w14:paraId="4B30A8CF" w14:textId="77777777" w:rsidR="00534EC2" w:rsidRPr="00534EC2" w:rsidRDefault="00534EC2" w:rsidP="00534EC2">
      <w:pPr>
        <w:spacing w:line="440" w:lineRule="atLeast"/>
        <w:ind w:firstLineChars="200" w:firstLine="482"/>
        <w:rPr>
          <w:rFonts w:ascii="宋体" w:eastAsia="宋体" w:hAnsi="宋体" w:cs="Times New Roman"/>
          <w:color w:val="FF0000"/>
          <w:sz w:val="24"/>
          <w:szCs w:val="24"/>
        </w:rPr>
      </w:pPr>
      <w:r w:rsidRPr="00534EC2">
        <w:rPr>
          <w:rFonts w:ascii="宋体" w:eastAsia="宋体" w:hAnsi="宋体" w:cs="Times New Roman" w:hint="eastAsia"/>
          <w:b/>
          <w:bCs/>
          <w:sz w:val="24"/>
          <w:szCs w:val="24"/>
        </w:rPr>
        <w:t>【教学方法】</w:t>
      </w:r>
    </w:p>
    <w:p w14:paraId="24C8DB34" w14:textId="77777777" w:rsidR="00534EC2" w:rsidRPr="00534EC2" w:rsidRDefault="00534EC2">
      <w:pPr>
        <w:numPr>
          <w:ilvl w:val="0"/>
          <w:numId w:val="239"/>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通过多媒体课件和传统教学相结合，阐明药剂学的基本概念、研究任务和研究内容等，丰富学生课程与教学的基本知识结构，</w:t>
      </w:r>
    </w:p>
    <w:p w14:paraId="488E10BD" w14:textId="77777777" w:rsidR="00534EC2" w:rsidRPr="00534EC2" w:rsidRDefault="00534EC2">
      <w:pPr>
        <w:numPr>
          <w:ilvl w:val="0"/>
          <w:numId w:val="239"/>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通过案例分析，培养学生的职业规范。</w:t>
      </w:r>
    </w:p>
    <w:p w14:paraId="0D24FB01" w14:textId="77777777" w:rsidR="00534EC2" w:rsidRPr="00534EC2" w:rsidRDefault="00534EC2" w:rsidP="00534EC2">
      <w:pPr>
        <w:spacing w:line="440" w:lineRule="atLeast"/>
        <w:ind w:firstLineChars="200" w:firstLine="482"/>
        <w:rPr>
          <w:rFonts w:ascii="宋体" w:eastAsia="宋体" w:hAnsi="宋体" w:cs="Times New Roman"/>
          <w:bCs/>
          <w:color w:val="FF0000"/>
          <w:sz w:val="24"/>
          <w:szCs w:val="24"/>
        </w:rPr>
      </w:pPr>
      <w:r w:rsidRPr="00534EC2">
        <w:rPr>
          <w:rFonts w:ascii="宋体" w:eastAsia="宋体" w:hAnsi="宋体" w:cs="Times New Roman" w:hint="eastAsia"/>
          <w:b/>
          <w:sz w:val="24"/>
          <w:szCs w:val="24"/>
        </w:rPr>
        <w:t>【复习思考】</w:t>
      </w:r>
    </w:p>
    <w:p w14:paraId="5EBE0EC2" w14:textId="77777777" w:rsidR="00534EC2" w:rsidRPr="00534EC2" w:rsidRDefault="00534EC2" w:rsidP="00534EC2">
      <w:pPr>
        <w:spacing w:line="440" w:lineRule="atLeast"/>
        <w:ind w:firstLineChars="200" w:firstLine="480"/>
        <w:rPr>
          <w:rFonts w:ascii="宋体" w:eastAsia="宋体" w:hAnsi="宋体" w:cs="Times New Roman"/>
          <w:b/>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区分药物、药品、剂型、制剂的概念。</w:t>
      </w:r>
    </w:p>
    <w:p w14:paraId="3C490790"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药剂学研究的主要内容是什么？</w:t>
      </w:r>
    </w:p>
    <w:p w14:paraId="58B3E60B" w14:textId="77777777" w:rsidR="00534EC2" w:rsidRPr="00534EC2" w:rsidRDefault="00534EC2" w:rsidP="00534EC2">
      <w:pPr>
        <w:spacing w:beforeLines="50" w:before="156" w:afterLines="50" w:after="156" w:line="440" w:lineRule="atLeast"/>
        <w:ind w:firstLineChars="200" w:firstLine="560"/>
        <w:jc w:val="center"/>
        <w:rPr>
          <w:rFonts w:ascii="黑体" w:eastAsia="黑体" w:hAnsi="黑体" w:cs="Times New Roman"/>
          <w:sz w:val="28"/>
          <w:szCs w:val="28"/>
        </w:rPr>
      </w:pPr>
      <w:r w:rsidRPr="00534EC2">
        <w:rPr>
          <w:rFonts w:ascii="黑体" w:eastAsia="黑体" w:hAnsi="黑体" w:cs="Times New Roman" w:hint="eastAsia"/>
          <w:sz w:val="28"/>
          <w:szCs w:val="28"/>
        </w:rPr>
        <w:t>第二章  药物溶解与溶出及释放</w:t>
      </w:r>
    </w:p>
    <w:p w14:paraId="088D1FD2"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290A7D61" w14:textId="77777777" w:rsidR="00534EC2" w:rsidRPr="00534EC2" w:rsidRDefault="00534EC2">
      <w:pPr>
        <w:numPr>
          <w:ilvl w:val="0"/>
          <w:numId w:val="240"/>
        </w:numPr>
        <w:adjustRightInd w:val="0"/>
        <w:snapToGrid w:val="0"/>
        <w:spacing w:line="440" w:lineRule="atLeast"/>
        <w:ind w:firstLine="480"/>
        <w:rPr>
          <w:rFonts w:ascii="宋体" w:eastAsia="宋体" w:hAnsi="宋体" w:cs="宋体"/>
          <w:kern w:val="0"/>
          <w:sz w:val="24"/>
          <w:szCs w:val="24"/>
        </w:rPr>
      </w:pPr>
      <w:r w:rsidRPr="00534EC2">
        <w:rPr>
          <w:rFonts w:ascii="宋体" w:eastAsia="宋体" w:hAnsi="宋体" w:cs="Times New Roman"/>
          <w:sz w:val="24"/>
        </w:rPr>
        <w:t xml:space="preserve"> </w:t>
      </w:r>
      <w:r w:rsidRPr="00534EC2">
        <w:rPr>
          <w:rFonts w:ascii="宋体" w:eastAsia="宋体" w:hAnsi="宋体" w:cs="Times New Roman" w:hint="eastAsia"/>
          <w:sz w:val="24"/>
        </w:rPr>
        <w:t>认知类目标：掌握药物溶液的形成机制、</w:t>
      </w:r>
      <w:r w:rsidRPr="00534EC2">
        <w:rPr>
          <w:rFonts w:ascii="宋体" w:eastAsia="宋体" w:hAnsi="宋体" w:cs="宋体" w:hint="eastAsia"/>
          <w:kern w:val="0"/>
          <w:sz w:val="24"/>
          <w:szCs w:val="24"/>
        </w:rPr>
        <w:t>药用溶剂的种类及性质及其测定方法；</w:t>
      </w:r>
    </w:p>
    <w:p w14:paraId="1278ADA9" w14:textId="77777777" w:rsidR="00534EC2" w:rsidRPr="00534EC2" w:rsidRDefault="00534EC2">
      <w:pPr>
        <w:numPr>
          <w:ilvl w:val="0"/>
          <w:numId w:val="240"/>
        </w:numPr>
        <w:adjustRightInd w:val="0"/>
        <w:snapToGrid w:val="0"/>
        <w:spacing w:line="440" w:lineRule="atLeast"/>
        <w:ind w:firstLine="480"/>
        <w:rPr>
          <w:rFonts w:ascii="宋体" w:eastAsia="宋体" w:hAnsi="宋体" w:cs="Times New Roman"/>
          <w:sz w:val="24"/>
          <w:szCs w:val="24"/>
        </w:rPr>
      </w:pPr>
      <w:r w:rsidRPr="00534EC2">
        <w:rPr>
          <w:rFonts w:ascii="宋体" w:eastAsia="宋体" w:hAnsi="宋体" w:cs="Times New Roman" w:hint="eastAsia"/>
          <w:sz w:val="24"/>
        </w:rPr>
        <w:t>过程与方法类目标：</w:t>
      </w:r>
      <w:r w:rsidRPr="00534EC2">
        <w:rPr>
          <w:rFonts w:ascii="宋体" w:eastAsia="宋体" w:hAnsi="宋体" w:cs="宋体" w:hint="eastAsia"/>
          <w:kern w:val="0"/>
          <w:sz w:val="24"/>
          <w:szCs w:val="24"/>
        </w:rPr>
        <w:t>掌握药物溶解度和溶解速度及其影响因素。</w:t>
      </w:r>
    </w:p>
    <w:p w14:paraId="3AAAE172" w14:textId="77777777" w:rsidR="00534EC2" w:rsidRPr="00534EC2" w:rsidRDefault="00534EC2">
      <w:pPr>
        <w:numPr>
          <w:ilvl w:val="0"/>
          <w:numId w:val="240"/>
        </w:numPr>
        <w:spacing w:line="440" w:lineRule="atLeast"/>
        <w:ind w:firstLine="480"/>
        <w:rPr>
          <w:rFonts w:ascii="宋体" w:eastAsia="宋体" w:hAnsi="宋体" w:cs="Times New Roman"/>
          <w:sz w:val="24"/>
          <w:szCs w:val="24"/>
        </w:rPr>
      </w:pPr>
      <w:r w:rsidRPr="00534EC2">
        <w:rPr>
          <w:rFonts w:ascii="宋体" w:eastAsia="宋体" w:hAnsi="宋体" w:cs="Times New Roman" w:hint="eastAsia"/>
          <w:sz w:val="24"/>
        </w:rPr>
        <w:t>情感、态度、价值观类目标：</w:t>
      </w:r>
      <w:r w:rsidRPr="00534EC2">
        <w:rPr>
          <w:rFonts w:ascii="宋体" w:eastAsia="宋体" w:hAnsi="宋体" w:cs="Times New Roman" w:hint="eastAsia"/>
          <w:sz w:val="24"/>
          <w:szCs w:val="24"/>
        </w:rPr>
        <w:t>通过专业理论的学习，理解药学工作的任务与岗位要求及应该具备的专业知识和技能，培养学生严谨踏实、实事求是的工作态度。</w:t>
      </w:r>
    </w:p>
    <w:p w14:paraId="48979CF8" w14:textId="77777777" w:rsidR="00534EC2" w:rsidRPr="00534EC2" w:rsidRDefault="00534EC2" w:rsidP="00534EC2">
      <w:pPr>
        <w:spacing w:line="440" w:lineRule="atLeast"/>
        <w:ind w:firstLineChars="200" w:firstLine="482"/>
        <w:rPr>
          <w:rFonts w:ascii="宋体" w:eastAsia="宋体" w:hAnsi="宋体" w:cs="Times New Roman"/>
          <w:color w:val="FF0000"/>
          <w:sz w:val="24"/>
          <w:szCs w:val="24"/>
        </w:rPr>
      </w:pPr>
      <w:r w:rsidRPr="00534EC2">
        <w:rPr>
          <w:rFonts w:ascii="宋体" w:eastAsia="宋体" w:hAnsi="宋体" w:cs="Times New Roman" w:hint="eastAsia"/>
          <w:b/>
          <w:sz w:val="24"/>
          <w:szCs w:val="24"/>
        </w:rPr>
        <w:t>【学习内容】</w:t>
      </w:r>
    </w:p>
    <w:p w14:paraId="7B6DA5AA" w14:textId="77777777" w:rsidR="00534EC2" w:rsidRPr="00534EC2" w:rsidRDefault="00534EC2" w:rsidP="00534EC2">
      <w:pPr>
        <w:adjustRightInd w:val="0"/>
        <w:snapToGrid w:val="0"/>
        <w:spacing w:line="440" w:lineRule="atLeast"/>
        <w:ind w:firstLine="480"/>
        <w:rPr>
          <w:rFonts w:ascii="Times New Roman" w:eastAsia="宋体" w:hAnsi="Times New Roman" w:cs="Times New Roman"/>
          <w:color w:val="000000"/>
          <w:sz w:val="24"/>
          <w:szCs w:val="24"/>
        </w:rPr>
      </w:pPr>
      <w:r w:rsidRPr="00534EC2">
        <w:rPr>
          <w:rFonts w:ascii="Times New Roman" w:eastAsia="宋体" w:hAnsi="Times New Roman" w:cs="Times New Roman"/>
          <w:color w:val="000000"/>
          <w:sz w:val="24"/>
          <w:szCs w:val="24"/>
        </w:rPr>
        <w:t>1</w:t>
      </w:r>
      <w:r w:rsidRPr="00534EC2">
        <w:rPr>
          <w:rFonts w:ascii="Times New Roman" w:eastAsia="宋体" w:hAnsi="Times New Roman" w:cs="Times New Roman" w:hint="eastAsia"/>
          <w:color w:val="000000"/>
          <w:sz w:val="24"/>
          <w:szCs w:val="24"/>
        </w:rPr>
        <w:t>.</w:t>
      </w:r>
      <w:r w:rsidRPr="00534EC2">
        <w:rPr>
          <w:rFonts w:ascii="Times New Roman" w:eastAsia="宋体" w:hAnsi="Times New Roman" w:cs="Times New Roman"/>
          <w:color w:val="000000"/>
          <w:sz w:val="24"/>
          <w:szCs w:val="24"/>
        </w:rPr>
        <w:t xml:space="preserve"> </w:t>
      </w:r>
      <w:r w:rsidRPr="00534EC2">
        <w:rPr>
          <w:rFonts w:ascii="Times New Roman" w:eastAsia="宋体" w:hAnsi="Times New Roman" w:cs="Times New Roman" w:hint="eastAsia"/>
          <w:color w:val="000000"/>
          <w:sz w:val="24"/>
          <w:szCs w:val="24"/>
        </w:rPr>
        <w:t>溶解度；</w:t>
      </w:r>
    </w:p>
    <w:p w14:paraId="38796737" w14:textId="77777777" w:rsidR="00534EC2" w:rsidRPr="00534EC2" w:rsidRDefault="00534EC2" w:rsidP="00534EC2">
      <w:pPr>
        <w:adjustRightInd w:val="0"/>
        <w:snapToGrid w:val="0"/>
        <w:spacing w:line="440" w:lineRule="atLeast"/>
        <w:ind w:firstLine="480"/>
        <w:rPr>
          <w:rFonts w:ascii="Times New Roman" w:eastAsia="宋体" w:hAnsi="Times New Roman" w:cs="Times New Roman"/>
          <w:color w:val="000000"/>
          <w:sz w:val="24"/>
          <w:szCs w:val="24"/>
        </w:rPr>
      </w:pPr>
      <w:r w:rsidRPr="00534EC2">
        <w:rPr>
          <w:rFonts w:ascii="Times New Roman" w:eastAsia="宋体" w:hAnsi="Times New Roman" w:cs="Times New Roman"/>
          <w:color w:val="000000"/>
          <w:sz w:val="24"/>
          <w:szCs w:val="24"/>
        </w:rPr>
        <w:t xml:space="preserve">2. </w:t>
      </w:r>
      <w:r w:rsidRPr="00534EC2">
        <w:rPr>
          <w:rFonts w:ascii="Times New Roman" w:eastAsia="宋体" w:hAnsi="Times New Roman" w:cs="Times New Roman" w:hint="eastAsia"/>
          <w:color w:val="000000"/>
          <w:sz w:val="24"/>
          <w:szCs w:val="24"/>
        </w:rPr>
        <w:t>增加</w:t>
      </w:r>
      <w:r w:rsidRPr="00534EC2">
        <w:rPr>
          <w:rFonts w:ascii="Times New Roman" w:eastAsia="宋体" w:hAnsi="Times New Roman" w:cs="Times New Roman"/>
          <w:color w:val="000000"/>
          <w:sz w:val="24"/>
          <w:szCs w:val="24"/>
        </w:rPr>
        <w:t>药物溶解度</w:t>
      </w:r>
      <w:r w:rsidRPr="00534EC2">
        <w:rPr>
          <w:rFonts w:ascii="Times New Roman" w:eastAsia="宋体" w:hAnsi="Times New Roman" w:cs="Times New Roman" w:hint="eastAsia"/>
          <w:color w:val="000000"/>
          <w:sz w:val="24"/>
          <w:szCs w:val="24"/>
        </w:rPr>
        <w:t>的方法；</w:t>
      </w:r>
    </w:p>
    <w:p w14:paraId="24797795" w14:textId="77777777" w:rsidR="00534EC2" w:rsidRPr="00534EC2" w:rsidRDefault="00534EC2" w:rsidP="00534EC2">
      <w:pPr>
        <w:adjustRightInd w:val="0"/>
        <w:snapToGrid w:val="0"/>
        <w:spacing w:line="440" w:lineRule="atLeast"/>
        <w:ind w:firstLine="480"/>
        <w:rPr>
          <w:rFonts w:ascii="Times New Roman" w:eastAsia="宋体" w:hAnsi="Times New Roman" w:cs="Times New Roman"/>
          <w:color w:val="000000"/>
          <w:sz w:val="24"/>
          <w:szCs w:val="24"/>
        </w:rPr>
      </w:pPr>
      <w:r w:rsidRPr="00534EC2">
        <w:rPr>
          <w:rFonts w:ascii="Times New Roman" w:eastAsia="宋体" w:hAnsi="Times New Roman" w:cs="Times New Roman"/>
          <w:color w:val="000000"/>
          <w:sz w:val="24"/>
          <w:szCs w:val="24"/>
        </w:rPr>
        <w:t>3</w:t>
      </w:r>
      <w:r w:rsidRPr="00534EC2">
        <w:rPr>
          <w:rFonts w:ascii="Times New Roman" w:eastAsia="宋体" w:hAnsi="Times New Roman" w:cs="Times New Roman" w:hint="eastAsia"/>
          <w:color w:val="000000"/>
          <w:sz w:val="24"/>
          <w:szCs w:val="24"/>
        </w:rPr>
        <w:t>.</w:t>
      </w:r>
      <w:r w:rsidRPr="00534EC2">
        <w:rPr>
          <w:rFonts w:ascii="Times New Roman" w:eastAsia="宋体" w:hAnsi="Times New Roman" w:cs="Times New Roman"/>
          <w:color w:val="000000"/>
          <w:sz w:val="24"/>
          <w:szCs w:val="24"/>
        </w:rPr>
        <w:t xml:space="preserve"> </w:t>
      </w:r>
      <w:r w:rsidRPr="00534EC2">
        <w:rPr>
          <w:rFonts w:ascii="Times New Roman" w:eastAsia="宋体" w:hAnsi="Times New Roman" w:cs="Times New Roman"/>
          <w:color w:val="000000"/>
          <w:sz w:val="24"/>
          <w:szCs w:val="24"/>
        </w:rPr>
        <w:t>溶液的</w:t>
      </w:r>
      <w:r w:rsidRPr="00534EC2">
        <w:rPr>
          <w:rFonts w:ascii="Times New Roman" w:eastAsia="宋体" w:hAnsi="Times New Roman" w:cs="Times New Roman" w:hint="eastAsia"/>
          <w:color w:val="000000"/>
          <w:sz w:val="24"/>
          <w:szCs w:val="24"/>
        </w:rPr>
        <w:t>特</w:t>
      </w:r>
      <w:r w:rsidRPr="00534EC2">
        <w:rPr>
          <w:rFonts w:ascii="Times New Roman" w:eastAsia="宋体" w:hAnsi="Times New Roman" w:cs="Times New Roman"/>
          <w:color w:val="000000"/>
          <w:sz w:val="24"/>
          <w:szCs w:val="24"/>
        </w:rPr>
        <w:t>性</w:t>
      </w:r>
      <w:r w:rsidRPr="00534EC2">
        <w:rPr>
          <w:rFonts w:ascii="Times New Roman" w:eastAsia="宋体" w:hAnsi="Times New Roman" w:cs="Times New Roman" w:hint="eastAsia"/>
          <w:color w:val="000000"/>
          <w:sz w:val="24"/>
          <w:szCs w:val="24"/>
        </w:rPr>
        <w:t>；</w:t>
      </w:r>
    </w:p>
    <w:p w14:paraId="62ED575C" w14:textId="77777777" w:rsidR="00534EC2" w:rsidRPr="00534EC2" w:rsidRDefault="00534EC2" w:rsidP="00534EC2">
      <w:pPr>
        <w:adjustRightInd w:val="0"/>
        <w:snapToGrid w:val="0"/>
        <w:spacing w:line="440" w:lineRule="atLeast"/>
        <w:ind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4. </w:t>
      </w:r>
      <w:r w:rsidRPr="00534EC2">
        <w:rPr>
          <w:rFonts w:ascii="Times New Roman" w:eastAsia="宋体" w:hAnsi="Times New Roman" w:cs="Times New Roman" w:hint="eastAsia"/>
          <w:color w:val="000000"/>
          <w:sz w:val="24"/>
          <w:szCs w:val="24"/>
        </w:rPr>
        <w:t>溶出与释放。</w:t>
      </w:r>
    </w:p>
    <w:p w14:paraId="463D4228"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【重点】</w:t>
      </w:r>
    </w:p>
    <w:p w14:paraId="371FDB4A" w14:textId="77777777" w:rsidR="00534EC2" w:rsidRPr="00534EC2" w:rsidRDefault="00534EC2">
      <w:pPr>
        <w:numPr>
          <w:ilvl w:val="0"/>
          <w:numId w:val="241"/>
        </w:numPr>
        <w:adjustRightInd w:val="0"/>
        <w:snapToGrid w:val="0"/>
        <w:spacing w:line="440" w:lineRule="atLeast"/>
        <w:ind w:firstLineChars="200" w:firstLine="480"/>
        <w:rPr>
          <w:rFonts w:ascii="宋体" w:eastAsia="宋体" w:hAnsi="宋体" w:cs="Times New Roman"/>
          <w:bCs/>
          <w:sz w:val="24"/>
          <w:szCs w:val="24"/>
        </w:rPr>
      </w:pPr>
      <w:r w:rsidRPr="00534EC2">
        <w:rPr>
          <w:rFonts w:ascii="宋体" w:eastAsia="宋体" w:hAnsi="宋体" w:cs="Times New Roman" w:hint="eastAsia"/>
          <w:bCs/>
          <w:sz w:val="24"/>
          <w:szCs w:val="24"/>
        </w:rPr>
        <w:t>溶解度的表示方法；增加药物溶解度的方法；</w:t>
      </w:r>
    </w:p>
    <w:p w14:paraId="5C2C68CB" w14:textId="77777777" w:rsidR="00534EC2" w:rsidRPr="00534EC2" w:rsidRDefault="00534EC2">
      <w:pPr>
        <w:numPr>
          <w:ilvl w:val="0"/>
          <w:numId w:val="241"/>
        </w:numPr>
        <w:adjustRightInd w:val="0"/>
        <w:snapToGrid w:val="0"/>
        <w:spacing w:line="440" w:lineRule="atLeast"/>
        <w:ind w:firstLineChars="200" w:firstLine="480"/>
        <w:rPr>
          <w:rFonts w:ascii="宋体" w:eastAsia="宋体" w:hAnsi="宋体" w:cs="Times New Roman"/>
          <w:bCs/>
          <w:sz w:val="24"/>
          <w:szCs w:val="24"/>
        </w:rPr>
      </w:pPr>
      <w:r w:rsidRPr="00534EC2">
        <w:rPr>
          <w:rFonts w:ascii="宋体" w:eastAsia="宋体" w:hAnsi="宋体" w:cs="宋体" w:hint="eastAsia"/>
          <w:kern w:val="0"/>
          <w:sz w:val="24"/>
          <w:szCs w:val="24"/>
        </w:rPr>
        <w:t>药用溶剂的种类及性质。</w:t>
      </w:r>
    </w:p>
    <w:p w14:paraId="2EBD1574"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26ECD796" w14:textId="77777777" w:rsidR="00534EC2" w:rsidRPr="00534EC2" w:rsidRDefault="00534EC2" w:rsidP="00534EC2">
      <w:pPr>
        <w:adjustRightInd w:val="0"/>
        <w:snapToGrid w:val="0"/>
        <w:spacing w:line="440" w:lineRule="atLeast"/>
        <w:ind w:firstLineChars="200" w:firstLine="480"/>
        <w:rPr>
          <w:rFonts w:ascii="宋体" w:eastAsia="宋体" w:hAnsi="宋体" w:cs="Times New Roman"/>
          <w:bCs/>
          <w:sz w:val="24"/>
          <w:szCs w:val="24"/>
        </w:rPr>
      </w:pPr>
      <w:r w:rsidRPr="00534EC2">
        <w:rPr>
          <w:rFonts w:ascii="宋体" w:eastAsia="宋体" w:hAnsi="宋体" w:cs="Times New Roman" w:hint="eastAsia"/>
          <w:sz w:val="24"/>
          <w:szCs w:val="24"/>
        </w:rPr>
        <w:lastRenderedPageBreak/>
        <w:t>1</w:t>
      </w:r>
      <w:r w:rsidRPr="00534EC2">
        <w:rPr>
          <w:rFonts w:ascii="宋体" w:eastAsia="宋体" w:hAnsi="宋体" w:cs="Times New Roman"/>
          <w:sz w:val="24"/>
          <w:szCs w:val="24"/>
        </w:rPr>
        <w:t xml:space="preserve">. </w:t>
      </w:r>
      <w:r w:rsidRPr="00534EC2">
        <w:rPr>
          <w:rFonts w:ascii="宋体" w:eastAsia="宋体" w:hAnsi="宋体" w:cs="Times New Roman" w:hint="eastAsia"/>
          <w:bCs/>
          <w:sz w:val="24"/>
          <w:szCs w:val="24"/>
        </w:rPr>
        <w:t>影响药物溶出速度的因素和增加溶出速度的方法。</w:t>
      </w:r>
    </w:p>
    <w:p w14:paraId="6717642A" w14:textId="77777777" w:rsidR="00534EC2" w:rsidRPr="00534EC2" w:rsidRDefault="00534EC2" w:rsidP="00534EC2">
      <w:pPr>
        <w:spacing w:line="440" w:lineRule="atLeast"/>
        <w:ind w:firstLineChars="200" w:firstLine="482"/>
        <w:rPr>
          <w:rFonts w:ascii="宋体" w:eastAsia="宋体" w:hAnsi="宋体" w:cs="Times New Roman"/>
          <w:b/>
          <w:bCs/>
          <w:sz w:val="24"/>
          <w:szCs w:val="24"/>
        </w:rPr>
      </w:pPr>
      <w:r w:rsidRPr="00534EC2">
        <w:rPr>
          <w:rFonts w:ascii="宋体" w:eastAsia="宋体" w:hAnsi="宋体" w:cs="Times New Roman" w:hint="eastAsia"/>
          <w:b/>
          <w:bCs/>
          <w:sz w:val="24"/>
          <w:szCs w:val="24"/>
        </w:rPr>
        <w:t>【教学方法】</w:t>
      </w:r>
    </w:p>
    <w:p w14:paraId="076A94D3" w14:textId="77777777" w:rsidR="00534EC2" w:rsidRPr="00534EC2" w:rsidRDefault="00534EC2" w:rsidP="00534EC2">
      <w:pPr>
        <w:spacing w:line="440" w:lineRule="atLeast"/>
        <w:ind w:firstLineChars="200" w:firstLine="480"/>
        <w:rPr>
          <w:rFonts w:ascii="宋体" w:eastAsia="宋体" w:hAnsi="宋体" w:cs="Times New Roman"/>
          <w:color w:val="FF0000"/>
          <w:sz w:val="24"/>
          <w:szCs w:val="24"/>
        </w:rPr>
      </w:pPr>
      <w:r w:rsidRPr="00534EC2">
        <w:rPr>
          <w:rFonts w:ascii="宋体" w:eastAsia="宋体" w:hAnsi="宋体" w:cs="Times New Roman" w:hint="eastAsia"/>
          <w:sz w:val="24"/>
          <w:szCs w:val="24"/>
        </w:rPr>
        <w:t>1. 通过多媒体课件和传统教学相结合，阐明要用溶剂的种类、性质等内容，丰富学生课程与教学的基本知识结构，培养学生的职业规范。</w:t>
      </w:r>
    </w:p>
    <w:p w14:paraId="1EDC15E8" w14:textId="77777777" w:rsidR="00534EC2" w:rsidRPr="00534EC2" w:rsidRDefault="00534EC2" w:rsidP="00534EC2">
      <w:pPr>
        <w:spacing w:line="440" w:lineRule="atLeast"/>
        <w:ind w:firstLineChars="200" w:firstLine="482"/>
        <w:rPr>
          <w:rFonts w:ascii="宋体" w:eastAsia="宋体" w:hAnsi="宋体" w:cs="Times New Roman"/>
          <w:bCs/>
          <w:color w:val="FF0000"/>
          <w:sz w:val="24"/>
          <w:szCs w:val="24"/>
        </w:rPr>
      </w:pPr>
      <w:r w:rsidRPr="00534EC2">
        <w:rPr>
          <w:rFonts w:ascii="宋体" w:eastAsia="宋体" w:hAnsi="宋体" w:cs="Times New Roman" w:hint="eastAsia"/>
          <w:b/>
          <w:sz w:val="24"/>
          <w:szCs w:val="24"/>
        </w:rPr>
        <w:t>【复习思考】</w:t>
      </w:r>
    </w:p>
    <w:p w14:paraId="7C41220B" w14:textId="77777777" w:rsidR="00534EC2" w:rsidRPr="00534EC2" w:rsidRDefault="00534EC2">
      <w:pPr>
        <w:numPr>
          <w:ilvl w:val="0"/>
          <w:numId w:val="242"/>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简述药物溶解度、溶解速度的含义及其影响因素；</w:t>
      </w:r>
    </w:p>
    <w:p w14:paraId="69C40C1C"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简述</w:t>
      </w:r>
      <w:r w:rsidRPr="00534EC2">
        <w:rPr>
          <w:rFonts w:ascii="宋体" w:eastAsia="宋体" w:hAnsi="宋体" w:cs="Times New Roman" w:hint="eastAsia"/>
          <w:bCs/>
          <w:sz w:val="24"/>
          <w:szCs w:val="24"/>
        </w:rPr>
        <w:t>影响药物溶出速度的因素和增加溶出速度的方法。</w:t>
      </w:r>
    </w:p>
    <w:p w14:paraId="211181CA" w14:textId="77777777" w:rsidR="00534EC2" w:rsidRPr="00534EC2" w:rsidRDefault="00534EC2" w:rsidP="00534EC2">
      <w:pPr>
        <w:spacing w:beforeLines="50" w:before="156" w:afterLines="50" w:after="156" w:line="440" w:lineRule="atLeast"/>
        <w:ind w:firstLineChars="200" w:firstLine="560"/>
        <w:jc w:val="center"/>
        <w:rPr>
          <w:rFonts w:ascii="黑体" w:eastAsia="黑体" w:hAnsi="黑体" w:cs="Times New Roman"/>
          <w:sz w:val="28"/>
          <w:szCs w:val="28"/>
        </w:rPr>
      </w:pPr>
      <w:r w:rsidRPr="00534EC2">
        <w:rPr>
          <w:rFonts w:ascii="黑体" w:eastAsia="黑体" w:hAnsi="黑体" w:cs="Times New Roman" w:hint="eastAsia"/>
          <w:sz w:val="28"/>
          <w:szCs w:val="28"/>
        </w:rPr>
        <w:t>第三章  表面活性剂</w:t>
      </w:r>
    </w:p>
    <w:p w14:paraId="37ACE046"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7E24B89D" w14:textId="77777777" w:rsidR="00534EC2" w:rsidRPr="00534EC2" w:rsidRDefault="00534EC2">
      <w:pPr>
        <w:numPr>
          <w:ilvl w:val="0"/>
          <w:numId w:val="243"/>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认知类目标：</w:t>
      </w:r>
      <w:r w:rsidRPr="00534EC2">
        <w:rPr>
          <w:rFonts w:ascii="宋体" w:eastAsia="宋体" w:hAnsi="宋体" w:cs="Times New Roman"/>
          <w:sz w:val="24"/>
          <w:szCs w:val="24"/>
        </w:rPr>
        <w:t>掌握表面活性剂的</w:t>
      </w:r>
      <w:r w:rsidRPr="00534EC2">
        <w:rPr>
          <w:rFonts w:ascii="宋体" w:eastAsia="宋体" w:hAnsi="宋体" w:cs="Times New Roman" w:hint="eastAsia"/>
          <w:sz w:val="24"/>
          <w:szCs w:val="24"/>
        </w:rPr>
        <w:t>概念、结构、分类、基本性质；</w:t>
      </w:r>
    </w:p>
    <w:p w14:paraId="61CB6169" w14:textId="77777777" w:rsidR="00534EC2" w:rsidRPr="00534EC2" w:rsidRDefault="00534EC2">
      <w:pPr>
        <w:numPr>
          <w:ilvl w:val="0"/>
          <w:numId w:val="243"/>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过程与方法类目标：</w:t>
      </w:r>
      <w:r w:rsidRPr="00534EC2">
        <w:rPr>
          <w:rFonts w:ascii="宋体" w:eastAsia="宋体" w:hAnsi="宋体" w:cs="Times New Roman" w:hint="eastAsia"/>
          <w:sz w:val="24"/>
          <w:szCs w:val="24"/>
        </w:rPr>
        <w:t>掌握表面活性剂的HLB值的含义及计算方法，临界胶束浓度、浊点等概念；熟悉表面现象及其在制剂中的应用。</w:t>
      </w:r>
    </w:p>
    <w:p w14:paraId="5264D515" w14:textId="77777777" w:rsidR="00534EC2" w:rsidRPr="00534EC2" w:rsidRDefault="00534EC2">
      <w:pPr>
        <w:numPr>
          <w:ilvl w:val="0"/>
          <w:numId w:val="243"/>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情感、态度、价值观类目标：</w:t>
      </w:r>
      <w:r w:rsidRPr="00534EC2">
        <w:rPr>
          <w:rFonts w:ascii="宋体" w:eastAsia="宋体" w:hAnsi="宋体" w:cs="Times New Roman" w:hint="eastAsia"/>
          <w:sz w:val="24"/>
          <w:szCs w:val="24"/>
        </w:rPr>
        <w:t>通过专业理论的学习，理解药学工作的任务与岗位要求及应该具备的专业知识和技能，培养学生严谨踏实、实事求是的工作态度。</w:t>
      </w:r>
    </w:p>
    <w:p w14:paraId="014F5B9A" w14:textId="77777777" w:rsidR="00534EC2" w:rsidRPr="00534EC2" w:rsidRDefault="00534EC2" w:rsidP="00534EC2">
      <w:pPr>
        <w:spacing w:line="440" w:lineRule="atLeast"/>
        <w:ind w:firstLineChars="200" w:firstLine="482"/>
        <w:rPr>
          <w:rFonts w:ascii="宋体" w:eastAsia="宋体" w:hAnsi="宋体" w:cs="Times New Roman"/>
          <w:color w:val="FF0000"/>
          <w:sz w:val="24"/>
          <w:szCs w:val="24"/>
        </w:rPr>
      </w:pPr>
      <w:r w:rsidRPr="00534EC2">
        <w:rPr>
          <w:rFonts w:ascii="宋体" w:eastAsia="宋体" w:hAnsi="宋体" w:cs="Times New Roman" w:hint="eastAsia"/>
          <w:b/>
          <w:sz w:val="24"/>
          <w:szCs w:val="24"/>
        </w:rPr>
        <w:t>【学习内容】</w:t>
      </w:r>
    </w:p>
    <w:p w14:paraId="5C79D5AC"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1. </w:t>
      </w:r>
      <w:r w:rsidRPr="00534EC2">
        <w:rPr>
          <w:rFonts w:ascii="Times New Roman" w:eastAsia="宋体" w:hAnsi="Times New Roman" w:cs="Times New Roman" w:hint="eastAsia"/>
          <w:color w:val="000000"/>
          <w:sz w:val="24"/>
          <w:szCs w:val="24"/>
        </w:rPr>
        <w:t>表面现象与表面张力；</w:t>
      </w:r>
    </w:p>
    <w:p w14:paraId="49070033"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2. </w:t>
      </w:r>
      <w:r w:rsidRPr="00534EC2">
        <w:rPr>
          <w:rFonts w:ascii="Times New Roman" w:eastAsia="宋体" w:hAnsi="Times New Roman" w:cs="Times New Roman" w:hint="eastAsia"/>
          <w:color w:val="000000"/>
          <w:sz w:val="24"/>
          <w:szCs w:val="24"/>
        </w:rPr>
        <w:t>表面活性剂。</w:t>
      </w:r>
    </w:p>
    <w:p w14:paraId="2C9F8C3B"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【重点】</w:t>
      </w:r>
    </w:p>
    <w:p w14:paraId="7FD375E4" w14:textId="77777777" w:rsidR="00534EC2" w:rsidRPr="00534EC2" w:rsidRDefault="00534EC2">
      <w:pPr>
        <w:numPr>
          <w:ilvl w:val="0"/>
          <w:numId w:val="244"/>
        </w:numPr>
        <w:adjustRightInd w:val="0"/>
        <w:snapToGrid w:val="0"/>
        <w:spacing w:line="440" w:lineRule="atLeast"/>
        <w:ind w:firstLineChars="200" w:firstLine="480"/>
        <w:rPr>
          <w:rFonts w:ascii="宋体" w:eastAsia="宋体" w:hAnsi="宋体" w:cs="Times New Roman"/>
          <w:bCs/>
          <w:sz w:val="24"/>
          <w:szCs w:val="24"/>
        </w:rPr>
      </w:pPr>
      <w:r w:rsidRPr="00534EC2">
        <w:rPr>
          <w:rFonts w:ascii="宋体" w:eastAsia="宋体" w:hAnsi="宋体" w:cs="Times New Roman" w:hint="eastAsia"/>
          <w:color w:val="000000"/>
          <w:sz w:val="24"/>
          <w:szCs w:val="24"/>
        </w:rPr>
        <w:t>表面活性剂的结构分类、物理化学性质（表面活性、胶束、亲水亲油平衡值、增溶）、生物学性质（包括对药物吸收的影响、毒性、刺激性、生物降解）。</w:t>
      </w:r>
    </w:p>
    <w:p w14:paraId="6E5EB073"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41A41919"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表面活性剂的应用。</w:t>
      </w:r>
    </w:p>
    <w:p w14:paraId="4F63AE85" w14:textId="77777777" w:rsidR="00534EC2" w:rsidRPr="00534EC2" w:rsidRDefault="00534EC2" w:rsidP="00534EC2">
      <w:pPr>
        <w:spacing w:line="440" w:lineRule="atLeast"/>
        <w:ind w:firstLineChars="200" w:firstLine="482"/>
        <w:rPr>
          <w:rFonts w:ascii="宋体" w:eastAsia="宋体" w:hAnsi="宋体" w:cs="Times New Roman"/>
          <w:b/>
          <w:bCs/>
          <w:sz w:val="24"/>
          <w:szCs w:val="24"/>
        </w:rPr>
      </w:pPr>
      <w:r w:rsidRPr="00534EC2">
        <w:rPr>
          <w:rFonts w:ascii="宋体" w:eastAsia="宋体" w:hAnsi="宋体" w:cs="Times New Roman" w:hint="eastAsia"/>
          <w:b/>
          <w:bCs/>
          <w:sz w:val="24"/>
          <w:szCs w:val="24"/>
        </w:rPr>
        <w:t>【教学方法】</w:t>
      </w:r>
    </w:p>
    <w:p w14:paraId="3E2B075F" w14:textId="77777777" w:rsidR="00534EC2" w:rsidRPr="00534EC2" w:rsidRDefault="00534EC2">
      <w:pPr>
        <w:numPr>
          <w:ilvl w:val="0"/>
          <w:numId w:val="245"/>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通过多媒体课件和传统教学相结合，阐明表面活性剂的相关内容，丰富学生课程与教学的基本知识结构，培养学生的职业规范；</w:t>
      </w:r>
    </w:p>
    <w:p w14:paraId="13C6A64D" w14:textId="77777777" w:rsidR="00534EC2" w:rsidRPr="00534EC2" w:rsidRDefault="00534EC2" w:rsidP="00534EC2">
      <w:pPr>
        <w:spacing w:line="440" w:lineRule="atLeast"/>
        <w:ind w:firstLineChars="200" w:firstLine="480"/>
        <w:rPr>
          <w:rFonts w:ascii="宋体" w:eastAsia="宋体" w:hAnsi="宋体" w:cs="Times New Roman"/>
          <w:color w:val="FF0000"/>
          <w:sz w:val="24"/>
          <w:szCs w:val="24"/>
        </w:rPr>
      </w:pPr>
      <w:r w:rsidRPr="00534EC2">
        <w:rPr>
          <w:rFonts w:ascii="宋体" w:eastAsia="宋体" w:hAnsi="宋体" w:cs="Times New Roman" w:hint="eastAsia"/>
          <w:sz w:val="24"/>
          <w:szCs w:val="24"/>
        </w:rPr>
        <w:t>2. 通过案例分析，强调理论与实践相结合，促进学生知识整合，培养学生的反思能力。</w:t>
      </w:r>
    </w:p>
    <w:p w14:paraId="46E682D5" w14:textId="77777777" w:rsidR="00534EC2" w:rsidRPr="00534EC2" w:rsidRDefault="00534EC2" w:rsidP="00534EC2">
      <w:pPr>
        <w:spacing w:line="440" w:lineRule="atLeast"/>
        <w:ind w:firstLineChars="200" w:firstLine="482"/>
        <w:rPr>
          <w:rFonts w:ascii="宋体" w:eastAsia="宋体" w:hAnsi="宋体" w:cs="Times New Roman"/>
          <w:bCs/>
          <w:color w:val="FF0000"/>
          <w:sz w:val="24"/>
          <w:szCs w:val="24"/>
        </w:rPr>
      </w:pPr>
      <w:r w:rsidRPr="00534EC2">
        <w:rPr>
          <w:rFonts w:ascii="宋体" w:eastAsia="宋体" w:hAnsi="宋体" w:cs="Times New Roman" w:hint="eastAsia"/>
          <w:b/>
          <w:sz w:val="24"/>
          <w:szCs w:val="24"/>
        </w:rPr>
        <w:t>【复习思考】</w:t>
      </w:r>
    </w:p>
    <w:p w14:paraId="1435FB53" w14:textId="77777777" w:rsidR="00534EC2" w:rsidRPr="00534EC2" w:rsidRDefault="00534EC2">
      <w:pPr>
        <w:numPr>
          <w:ilvl w:val="0"/>
          <w:numId w:val="246"/>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简述表面活性剂的结构特点与分类；</w:t>
      </w:r>
    </w:p>
    <w:p w14:paraId="75F75FBD" w14:textId="77777777" w:rsidR="00534EC2" w:rsidRPr="00534EC2" w:rsidRDefault="00534EC2">
      <w:pPr>
        <w:numPr>
          <w:ilvl w:val="0"/>
          <w:numId w:val="246"/>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简述</w:t>
      </w:r>
      <w:proofErr w:type="gramStart"/>
      <w:r w:rsidRPr="00534EC2">
        <w:rPr>
          <w:rFonts w:ascii="宋体" w:eastAsia="宋体" w:hAnsi="宋体" w:cs="Times New Roman" w:hint="eastAsia"/>
          <w:sz w:val="24"/>
          <w:szCs w:val="24"/>
        </w:rPr>
        <w:t>增溶机制</w:t>
      </w:r>
      <w:proofErr w:type="gramEnd"/>
      <w:r w:rsidRPr="00534EC2">
        <w:rPr>
          <w:rFonts w:ascii="宋体" w:eastAsia="宋体" w:hAnsi="宋体" w:cs="Times New Roman" w:hint="eastAsia"/>
          <w:sz w:val="24"/>
          <w:szCs w:val="24"/>
        </w:rPr>
        <w:t>及</w:t>
      </w:r>
      <w:proofErr w:type="gramStart"/>
      <w:r w:rsidRPr="00534EC2">
        <w:rPr>
          <w:rFonts w:ascii="宋体" w:eastAsia="宋体" w:hAnsi="宋体" w:cs="Times New Roman" w:hint="eastAsia"/>
          <w:sz w:val="24"/>
          <w:szCs w:val="24"/>
        </w:rPr>
        <w:t>影响增溶的</w:t>
      </w:r>
      <w:proofErr w:type="gramEnd"/>
      <w:r w:rsidRPr="00534EC2">
        <w:rPr>
          <w:rFonts w:ascii="宋体" w:eastAsia="宋体" w:hAnsi="宋体" w:cs="Times New Roman" w:hint="eastAsia"/>
          <w:sz w:val="24"/>
          <w:szCs w:val="24"/>
        </w:rPr>
        <w:t>因素；</w:t>
      </w:r>
    </w:p>
    <w:p w14:paraId="2E20C588" w14:textId="77777777" w:rsidR="00534EC2" w:rsidRPr="00534EC2" w:rsidRDefault="00534EC2" w:rsidP="00534EC2">
      <w:pPr>
        <w:spacing w:line="440" w:lineRule="atLeast"/>
        <w:ind w:firstLineChars="200" w:firstLine="480"/>
        <w:rPr>
          <w:rFonts w:ascii="宋体" w:eastAsia="宋体" w:hAnsi="宋体" w:cs="Times New Roman"/>
          <w:sz w:val="24"/>
          <w:szCs w:val="24"/>
        </w:rPr>
      </w:pPr>
    </w:p>
    <w:p w14:paraId="3A46AD3A" w14:textId="77777777" w:rsidR="00534EC2" w:rsidRPr="00534EC2" w:rsidRDefault="00534EC2" w:rsidP="00534EC2">
      <w:pPr>
        <w:spacing w:beforeLines="50" w:before="156" w:afterLines="50" w:after="156" w:line="440" w:lineRule="atLeast"/>
        <w:ind w:firstLineChars="200" w:firstLine="560"/>
        <w:jc w:val="center"/>
        <w:rPr>
          <w:rFonts w:ascii="黑体" w:eastAsia="黑体" w:hAnsi="黑体" w:cs="Times New Roman"/>
          <w:sz w:val="28"/>
          <w:szCs w:val="28"/>
        </w:rPr>
      </w:pPr>
      <w:r w:rsidRPr="00534EC2">
        <w:rPr>
          <w:rFonts w:ascii="黑体" w:eastAsia="黑体" w:hAnsi="黑体" w:cs="Times New Roman" w:hint="eastAsia"/>
          <w:sz w:val="28"/>
          <w:szCs w:val="28"/>
        </w:rPr>
        <w:t>第四章  微粒分散体系</w:t>
      </w:r>
    </w:p>
    <w:p w14:paraId="44705419"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24572E9B" w14:textId="77777777" w:rsidR="00534EC2" w:rsidRPr="00534EC2" w:rsidRDefault="00534EC2">
      <w:pPr>
        <w:numPr>
          <w:ilvl w:val="0"/>
          <w:numId w:val="247"/>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认知类目标：</w:t>
      </w:r>
      <w:r w:rsidRPr="00534EC2">
        <w:rPr>
          <w:rFonts w:ascii="宋体" w:eastAsia="宋体" w:hAnsi="宋体" w:cs="Times New Roman" w:hint="eastAsia"/>
          <w:sz w:val="24"/>
          <w:szCs w:val="24"/>
        </w:rPr>
        <w:t>了解微粒分散体系的概念、分类、基本特性及其应用；</w:t>
      </w:r>
    </w:p>
    <w:p w14:paraId="3FA3BCE3" w14:textId="77777777" w:rsidR="00534EC2" w:rsidRPr="00534EC2" w:rsidRDefault="00534EC2">
      <w:pPr>
        <w:numPr>
          <w:ilvl w:val="0"/>
          <w:numId w:val="247"/>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过程与方法类目标：</w:t>
      </w:r>
      <w:r w:rsidRPr="00534EC2">
        <w:rPr>
          <w:rFonts w:ascii="宋体" w:eastAsia="宋体" w:hAnsi="宋体" w:cs="Times New Roman" w:hint="eastAsia"/>
          <w:sz w:val="24"/>
          <w:szCs w:val="24"/>
        </w:rPr>
        <w:t>了解微粒的动力学、光学、电学性质；掌握絮凝与反絮凝的概念；</w:t>
      </w:r>
    </w:p>
    <w:p w14:paraId="07921C5F" w14:textId="77777777" w:rsidR="00534EC2" w:rsidRPr="00534EC2" w:rsidRDefault="00534EC2">
      <w:pPr>
        <w:numPr>
          <w:ilvl w:val="0"/>
          <w:numId w:val="247"/>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情感、态度、价值观类目标：</w:t>
      </w:r>
      <w:r w:rsidRPr="00534EC2">
        <w:rPr>
          <w:rFonts w:ascii="宋体" w:eastAsia="宋体" w:hAnsi="宋体" w:cs="Times New Roman" w:hint="eastAsia"/>
          <w:sz w:val="24"/>
          <w:szCs w:val="24"/>
        </w:rPr>
        <w:t>通过专业理论的学习，理解药学工作的任务与岗位要求及应该具备的专业知识和技能，培养学生严谨踏实、实事求是的工作态度。</w:t>
      </w:r>
    </w:p>
    <w:p w14:paraId="0B571C11" w14:textId="77777777" w:rsidR="00534EC2" w:rsidRPr="00534EC2" w:rsidRDefault="00534EC2" w:rsidP="00534EC2">
      <w:pPr>
        <w:spacing w:line="440" w:lineRule="atLeast"/>
        <w:ind w:firstLineChars="200" w:firstLine="482"/>
        <w:rPr>
          <w:rFonts w:ascii="宋体" w:eastAsia="宋体" w:hAnsi="宋体" w:cs="Times New Roman"/>
          <w:color w:val="FF0000"/>
          <w:sz w:val="24"/>
          <w:szCs w:val="24"/>
        </w:rPr>
      </w:pPr>
      <w:r w:rsidRPr="00534EC2">
        <w:rPr>
          <w:rFonts w:ascii="宋体" w:eastAsia="宋体" w:hAnsi="宋体" w:cs="Times New Roman" w:hint="eastAsia"/>
          <w:b/>
          <w:sz w:val="24"/>
          <w:szCs w:val="24"/>
        </w:rPr>
        <w:t>【学习内容】</w:t>
      </w:r>
    </w:p>
    <w:p w14:paraId="27DC6A74" w14:textId="77777777" w:rsidR="00534EC2" w:rsidRPr="00534EC2" w:rsidRDefault="00534EC2" w:rsidP="00534EC2">
      <w:pPr>
        <w:adjustRightInd w:val="0"/>
        <w:snapToGrid w:val="0"/>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color w:val="000000"/>
          <w:sz w:val="24"/>
          <w:szCs w:val="24"/>
        </w:rPr>
        <w:t>1</w:t>
      </w:r>
      <w:r w:rsidRPr="00534EC2">
        <w:rPr>
          <w:rFonts w:ascii="Times New Roman" w:eastAsia="宋体" w:hAnsi="Times New Roman" w:cs="Times New Roman" w:hint="eastAsia"/>
          <w:color w:val="000000"/>
          <w:sz w:val="24"/>
          <w:szCs w:val="24"/>
        </w:rPr>
        <w:t xml:space="preserve">. </w:t>
      </w:r>
      <w:r w:rsidRPr="00534EC2">
        <w:rPr>
          <w:rFonts w:ascii="Times New Roman" w:eastAsia="宋体" w:hAnsi="Times New Roman" w:cs="Times New Roman" w:hint="eastAsia"/>
          <w:color w:val="000000"/>
          <w:sz w:val="24"/>
          <w:szCs w:val="24"/>
        </w:rPr>
        <w:t>微粒分散体系的概念及基本特性；</w:t>
      </w:r>
    </w:p>
    <w:p w14:paraId="4DECB969" w14:textId="77777777" w:rsidR="00534EC2" w:rsidRPr="00534EC2" w:rsidRDefault="00534EC2" w:rsidP="00534EC2">
      <w:pPr>
        <w:adjustRightInd w:val="0"/>
        <w:snapToGrid w:val="0"/>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2. </w:t>
      </w:r>
      <w:r w:rsidRPr="00534EC2">
        <w:rPr>
          <w:rFonts w:ascii="Times New Roman" w:eastAsia="宋体" w:hAnsi="Times New Roman" w:cs="Times New Roman" w:hint="eastAsia"/>
          <w:color w:val="000000"/>
          <w:sz w:val="24"/>
          <w:szCs w:val="24"/>
        </w:rPr>
        <w:t>微粒分散系的物理化学性质；</w:t>
      </w:r>
    </w:p>
    <w:p w14:paraId="0D91BFBF" w14:textId="77777777" w:rsidR="00534EC2" w:rsidRPr="00534EC2" w:rsidRDefault="00534EC2" w:rsidP="00534EC2">
      <w:pPr>
        <w:adjustRightInd w:val="0"/>
        <w:snapToGrid w:val="0"/>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3. </w:t>
      </w:r>
      <w:r w:rsidRPr="00534EC2">
        <w:rPr>
          <w:rFonts w:ascii="Times New Roman" w:eastAsia="宋体" w:hAnsi="Times New Roman" w:cs="Times New Roman" w:hint="eastAsia"/>
          <w:color w:val="000000"/>
          <w:sz w:val="24"/>
          <w:szCs w:val="24"/>
        </w:rPr>
        <w:t>微粒分散系的物理稳定性相关理论。</w:t>
      </w:r>
    </w:p>
    <w:p w14:paraId="2B75CA9F"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【重点】</w:t>
      </w:r>
    </w:p>
    <w:p w14:paraId="60EAED22" w14:textId="77777777" w:rsidR="00534EC2" w:rsidRPr="00534EC2" w:rsidRDefault="00534EC2">
      <w:pPr>
        <w:numPr>
          <w:ilvl w:val="0"/>
          <w:numId w:val="248"/>
        </w:numPr>
        <w:adjustRightInd w:val="0"/>
        <w:snapToGrid w:val="0"/>
        <w:spacing w:line="440" w:lineRule="atLeast"/>
        <w:rPr>
          <w:rFonts w:ascii="宋体" w:eastAsia="宋体" w:hAnsi="宋体" w:cs="Times New Roman"/>
          <w:bCs/>
          <w:sz w:val="24"/>
          <w:szCs w:val="24"/>
        </w:rPr>
      </w:pPr>
      <w:r w:rsidRPr="00534EC2">
        <w:rPr>
          <w:rFonts w:ascii="宋体" w:eastAsia="宋体" w:hAnsi="宋体" w:cs="Times New Roman" w:hint="eastAsia"/>
          <w:bCs/>
          <w:sz w:val="24"/>
          <w:szCs w:val="24"/>
        </w:rPr>
        <w:t>微粒分散系的基本概念、分类及性质（粒径大小、分布、絮凝与反絮凝）；</w:t>
      </w:r>
    </w:p>
    <w:p w14:paraId="2F98141C" w14:textId="77777777" w:rsidR="00534EC2" w:rsidRPr="00534EC2" w:rsidRDefault="00534EC2">
      <w:pPr>
        <w:numPr>
          <w:ilvl w:val="0"/>
          <w:numId w:val="248"/>
        </w:numPr>
        <w:adjustRightInd w:val="0"/>
        <w:snapToGrid w:val="0"/>
        <w:spacing w:line="440" w:lineRule="atLeast"/>
        <w:rPr>
          <w:rFonts w:ascii="宋体" w:eastAsia="宋体" w:hAnsi="宋体" w:cs="Times New Roman"/>
          <w:bCs/>
          <w:sz w:val="24"/>
          <w:szCs w:val="24"/>
        </w:rPr>
      </w:pPr>
      <w:r w:rsidRPr="00534EC2">
        <w:rPr>
          <w:rFonts w:ascii="宋体" w:eastAsia="宋体" w:hAnsi="宋体" w:cs="Times New Roman" w:hint="eastAsia"/>
          <w:color w:val="000000"/>
          <w:sz w:val="24"/>
          <w:szCs w:val="24"/>
        </w:rPr>
        <w:t>微粒分散系的物理稳定性。</w:t>
      </w:r>
    </w:p>
    <w:p w14:paraId="78483914"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05C2BC57"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bCs/>
          <w:sz w:val="24"/>
          <w:szCs w:val="24"/>
        </w:rPr>
        <w:t>微粒分散系的絮凝反絮凝理论、DLVO理论、空间稳定理论、空缺稳定理论、微粒聚结动力学及其对稳定性的影响。</w:t>
      </w:r>
    </w:p>
    <w:p w14:paraId="1AC003B0" w14:textId="77777777" w:rsidR="00534EC2" w:rsidRPr="00534EC2" w:rsidRDefault="00534EC2" w:rsidP="00534EC2">
      <w:pPr>
        <w:spacing w:line="440" w:lineRule="atLeast"/>
        <w:ind w:firstLineChars="200" w:firstLine="482"/>
        <w:rPr>
          <w:rFonts w:ascii="宋体" w:eastAsia="宋体" w:hAnsi="宋体" w:cs="Times New Roman"/>
          <w:b/>
          <w:bCs/>
          <w:sz w:val="24"/>
          <w:szCs w:val="24"/>
        </w:rPr>
      </w:pPr>
      <w:r w:rsidRPr="00534EC2">
        <w:rPr>
          <w:rFonts w:ascii="宋体" w:eastAsia="宋体" w:hAnsi="宋体" w:cs="Times New Roman" w:hint="eastAsia"/>
          <w:b/>
          <w:bCs/>
          <w:sz w:val="24"/>
          <w:szCs w:val="24"/>
        </w:rPr>
        <w:t>【教学方法】</w:t>
      </w:r>
    </w:p>
    <w:p w14:paraId="535A459D" w14:textId="77777777" w:rsidR="00534EC2" w:rsidRPr="00534EC2" w:rsidRDefault="00534EC2" w:rsidP="00534EC2">
      <w:pPr>
        <w:spacing w:line="440" w:lineRule="atLeast"/>
        <w:ind w:firstLineChars="200" w:firstLine="480"/>
        <w:rPr>
          <w:rFonts w:ascii="宋体" w:eastAsia="宋体" w:hAnsi="宋体" w:cs="Times New Roman"/>
          <w:color w:val="FF0000"/>
          <w:sz w:val="24"/>
          <w:szCs w:val="24"/>
        </w:rPr>
      </w:pPr>
      <w:r w:rsidRPr="00534EC2">
        <w:rPr>
          <w:rFonts w:ascii="宋体" w:eastAsia="宋体" w:hAnsi="宋体" w:cs="Times New Roman" w:hint="eastAsia"/>
          <w:sz w:val="24"/>
          <w:szCs w:val="24"/>
        </w:rPr>
        <w:t>1. 通过多媒体课件和传统教学相结合，阐明微粒分散体系的相关内容，丰富学生课程与教学的基本知识结构。</w:t>
      </w:r>
    </w:p>
    <w:p w14:paraId="492D673C" w14:textId="77777777" w:rsidR="00534EC2" w:rsidRPr="00534EC2" w:rsidRDefault="00534EC2" w:rsidP="00534EC2">
      <w:pPr>
        <w:adjustRightInd w:val="0"/>
        <w:snapToGrid w:val="0"/>
        <w:spacing w:line="440" w:lineRule="atLeast"/>
        <w:ind w:left="480"/>
        <w:rPr>
          <w:rFonts w:ascii="宋体" w:eastAsia="宋体" w:hAnsi="宋体" w:cs="Times New Roman"/>
          <w:bCs/>
          <w:sz w:val="24"/>
          <w:szCs w:val="24"/>
        </w:rPr>
      </w:pPr>
      <w:r w:rsidRPr="00534EC2">
        <w:rPr>
          <w:rFonts w:ascii="宋体" w:eastAsia="宋体" w:hAnsi="宋体" w:cs="Times New Roman" w:hint="eastAsia"/>
          <w:b/>
          <w:sz w:val="24"/>
          <w:szCs w:val="24"/>
        </w:rPr>
        <w:t>【复习思考】</w:t>
      </w:r>
    </w:p>
    <w:p w14:paraId="6DDE4269" w14:textId="77777777" w:rsidR="00534EC2" w:rsidRPr="00534EC2" w:rsidRDefault="00534EC2">
      <w:pPr>
        <w:numPr>
          <w:ilvl w:val="0"/>
          <w:numId w:val="249"/>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简述Stokes定律，并说明沉降速度与粒径、黏度之间的关系。</w:t>
      </w:r>
    </w:p>
    <w:p w14:paraId="02A69947"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什么是双电层结构？简述双电层结构理论中Stern扩散双电层模型的含义。</w:t>
      </w:r>
    </w:p>
    <w:p w14:paraId="4C52F842" w14:textId="77777777" w:rsidR="00534EC2" w:rsidRPr="00534EC2" w:rsidRDefault="00534EC2" w:rsidP="00534EC2">
      <w:pPr>
        <w:spacing w:beforeLines="50" w:before="156" w:afterLines="50" w:after="156" w:line="440" w:lineRule="atLeast"/>
        <w:ind w:firstLineChars="200" w:firstLine="560"/>
        <w:jc w:val="center"/>
        <w:rPr>
          <w:rFonts w:ascii="黑体" w:eastAsia="黑体" w:hAnsi="黑体" w:cs="Times New Roman"/>
          <w:sz w:val="28"/>
          <w:szCs w:val="28"/>
        </w:rPr>
      </w:pPr>
      <w:r w:rsidRPr="00534EC2">
        <w:rPr>
          <w:rFonts w:ascii="黑体" w:eastAsia="黑体" w:hAnsi="黑体" w:cs="Times New Roman" w:hint="eastAsia"/>
          <w:sz w:val="28"/>
          <w:szCs w:val="28"/>
        </w:rPr>
        <w:t>第五章  流变学基础</w:t>
      </w:r>
    </w:p>
    <w:p w14:paraId="260AD00D"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07DC4590" w14:textId="77777777" w:rsidR="00534EC2" w:rsidRPr="00534EC2" w:rsidRDefault="00534EC2">
      <w:pPr>
        <w:numPr>
          <w:ilvl w:val="0"/>
          <w:numId w:val="250"/>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认知类目标：</w:t>
      </w:r>
      <w:r w:rsidRPr="00534EC2">
        <w:rPr>
          <w:rFonts w:ascii="宋体" w:eastAsia="宋体" w:hAnsi="宋体" w:cs="Times New Roman" w:hint="eastAsia"/>
          <w:sz w:val="24"/>
          <w:szCs w:val="24"/>
        </w:rPr>
        <w:t>掌握流变学的基本概念，牛顿流体和非牛顿流体的流动特性；</w:t>
      </w:r>
    </w:p>
    <w:p w14:paraId="286559B0" w14:textId="77777777" w:rsidR="00534EC2" w:rsidRPr="00534EC2" w:rsidRDefault="00534EC2">
      <w:pPr>
        <w:numPr>
          <w:ilvl w:val="0"/>
          <w:numId w:val="250"/>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过程与方法类目标：</w:t>
      </w:r>
      <w:r w:rsidRPr="00534EC2">
        <w:rPr>
          <w:rFonts w:ascii="宋体" w:eastAsia="宋体" w:hAnsi="宋体" w:cs="Times New Roman" w:hint="eastAsia"/>
          <w:sz w:val="24"/>
          <w:szCs w:val="24"/>
        </w:rPr>
        <w:t>熟悉弹性、黏性、黏弹性的特点及其模型，流变性质的测定方法；了解流变学在药剂学中的应用。</w:t>
      </w:r>
    </w:p>
    <w:p w14:paraId="532E8D80" w14:textId="77777777" w:rsidR="00534EC2" w:rsidRPr="00534EC2" w:rsidRDefault="00534EC2">
      <w:pPr>
        <w:numPr>
          <w:ilvl w:val="0"/>
          <w:numId w:val="250"/>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lastRenderedPageBreak/>
        <w:t>情感、态度、价值观类目标：</w:t>
      </w:r>
      <w:r w:rsidRPr="00534EC2">
        <w:rPr>
          <w:rFonts w:ascii="宋体" w:eastAsia="宋体" w:hAnsi="宋体" w:cs="Times New Roman" w:hint="eastAsia"/>
          <w:sz w:val="24"/>
          <w:szCs w:val="24"/>
        </w:rPr>
        <w:t>通过专业理论的学习，理解药学工作的任务与岗位要求及应该具备的专业知识和技能，培养学生严谨踏实、实事求是的工作态度。</w:t>
      </w:r>
    </w:p>
    <w:p w14:paraId="3BF75C2A" w14:textId="77777777" w:rsidR="00534EC2" w:rsidRPr="00534EC2" w:rsidRDefault="00534EC2" w:rsidP="00534EC2">
      <w:pPr>
        <w:spacing w:line="440" w:lineRule="atLeast"/>
        <w:ind w:firstLineChars="200" w:firstLine="482"/>
        <w:rPr>
          <w:rFonts w:ascii="宋体" w:eastAsia="宋体" w:hAnsi="宋体" w:cs="Times New Roman"/>
          <w:color w:val="FF0000"/>
          <w:sz w:val="24"/>
          <w:szCs w:val="24"/>
        </w:rPr>
      </w:pPr>
      <w:r w:rsidRPr="00534EC2">
        <w:rPr>
          <w:rFonts w:ascii="宋体" w:eastAsia="宋体" w:hAnsi="宋体" w:cs="Times New Roman" w:hint="eastAsia"/>
          <w:b/>
          <w:sz w:val="24"/>
          <w:szCs w:val="24"/>
        </w:rPr>
        <w:t>【学习内容】</w:t>
      </w:r>
    </w:p>
    <w:p w14:paraId="1B9789FB"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color w:val="000000"/>
          <w:sz w:val="24"/>
          <w:szCs w:val="24"/>
        </w:rPr>
        <w:t>1</w:t>
      </w:r>
      <w:r w:rsidRPr="00534EC2">
        <w:rPr>
          <w:rFonts w:ascii="Times New Roman" w:eastAsia="宋体" w:hAnsi="Times New Roman" w:cs="Times New Roman" w:hint="eastAsia"/>
          <w:color w:val="000000"/>
          <w:sz w:val="24"/>
          <w:szCs w:val="24"/>
        </w:rPr>
        <w:t xml:space="preserve">. </w:t>
      </w:r>
      <w:r w:rsidRPr="00534EC2">
        <w:rPr>
          <w:rFonts w:ascii="Times New Roman" w:eastAsia="宋体" w:hAnsi="Times New Roman" w:cs="Times New Roman" w:hint="eastAsia"/>
          <w:color w:val="000000"/>
          <w:sz w:val="24"/>
          <w:szCs w:val="24"/>
        </w:rPr>
        <w:t>流变学的基本概念</w:t>
      </w:r>
    </w:p>
    <w:p w14:paraId="1F952A0B" w14:textId="77777777" w:rsidR="00534EC2" w:rsidRPr="00534EC2" w:rsidRDefault="00534EC2">
      <w:pPr>
        <w:numPr>
          <w:ilvl w:val="0"/>
          <w:numId w:val="251"/>
        </w:num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流体的基本性质；</w:t>
      </w:r>
    </w:p>
    <w:p w14:paraId="387AA2E4"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3. </w:t>
      </w:r>
      <w:r w:rsidRPr="00534EC2">
        <w:rPr>
          <w:rFonts w:ascii="Times New Roman" w:eastAsia="宋体" w:hAnsi="Times New Roman" w:cs="Times New Roman" w:hint="eastAsia"/>
          <w:color w:val="000000"/>
          <w:sz w:val="24"/>
          <w:szCs w:val="24"/>
        </w:rPr>
        <w:t>流变性测定方法；</w:t>
      </w:r>
    </w:p>
    <w:p w14:paraId="53C7D5D3"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4. </w:t>
      </w:r>
      <w:r w:rsidRPr="00534EC2">
        <w:rPr>
          <w:rFonts w:ascii="Times New Roman" w:eastAsia="宋体" w:hAnsi="Times New Roman" w:cs="Times New Roman" w:hint="eastAsia"/>
          <w:color w:val="000000"/>
          <w:sz w:val="24"/>
          <w:szCs w:val="24"/>
        </w:rPr>
        <w:t>流变学在药剂学中的应用。</w:t>
      </w:r>
    </w:p>
    <w:p w14:paraId="3462E70E"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【重点】</w:t>
      </w:r>
    </w:p>
    <w:p w14:paraId="5146D109" w14:textId="77777777" w:rsidR="00534EC2" w:rsidRPr="00534EC2" w:rsidRDefault="00534EC2">
      <w:pPr>
        <w:numPr>
          <w:ilvl w:val="0"/>
          <w:numId w:val="252"/>
        </w:numPr>
        <w:spacing w:line="440" w:lineRule="atLeast"/>
        <w:ind w:firstLineChars="200" w:firstLine="480"/>
        <w:rPr>
          <w:rFonts w:ascii="宋体" w:eastAsia="宋体" w:hAnsi="宋体" w:cs="Times New Roman"/>
          <w:bCs/>
          <w:sz w:val="24"/>
          <w:szCs w:val="24"/>
        </w:rPr>
      </w:pPr>
      <w:r w:rsidRPr="00534EC2">
        <w:rPr>
          <w:rFonts w:ascii="宋体" w:eastAsia="宋体" w:hAnsi="宋体" w:cs="Times New Roman" w:hint="eastAsia"/>
          <w:bCs/>
          <w:sz w:val="24"/>
          <w:szCs w:val="24"/>
        </w:rPr>
        <w:t>流变学的基本概念、流变性质及测定方法；</w:t>
      </w:r>
    </w:p>
    <w:p w14:paraId="24CE3504" w14:textId="77777777" w:rsidR="00534EC2" w:rsidRPr="00534EC2" w:rsidRDefault="00534EC2">
      <w:pPr>
        <w:numPr>
          <w:ilvl w:val="0"/>
          <w:numId w:val="252"/>
        </w:numPr>
        <w:spacing w:line="440" w:lineRule="atLeast"/>
        <w:ind w:firstLineChars="200" w:firstLine="480"/>
        <w:rPr>
          <w:rFonts w:ascii="宋体" w:eastAsia="宋体" w:hAnsi="宋体" w:cs="Times New Roman"/>
          <w:bCs/>
          <w:sz w:val="24"/>
          <w:szCs w:val="24"/>
        </w:rPr>
      </w:pPr>
      <w:r w:rsidRPr="00534EC2">
        <w:rPr>
          <w:rFonts w:ascii="宋体" w:eastAsia="宋体" w:hAnsi="宋体" w:cs="Times New Roman" w:hint="eastAsia"/>
          <w:bCs/>
          <w:sz w:val="24"/>
          <w:szCs w:val="24"/>
        </w:rPr>
        <w:t>牛顿流体及非牛顿流体和触变性流体的基本性质。</w:t>
      </w:r>
    </w:p>
    <w:p w14:paraId="15D49FC4"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1901D65B"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触变性概念及影响触变性的因素。</w:t>
      </w:r>
    </w:p>
    <w:p w14:paraId="768924B7" w14:textId="77777777" w:rsidR="00534EC2" w:rsidRPr="00534EC2" w:rsidRDefault="00534EC2" w:rsidP="00534EC2">
      <w:pPr>
        <w:spacing w:line="440" w:lineRule="atLeast"/>
        <w:ind w:firstLineChars="200" w:firstLine="482"/>
        <w:rPr>
          <w:rFonts w:ascii="宋体" w:eastAsia="宋体" w:hAnsi="宋体" w:cs="Times New Roman"/>
          <w:b/>
          <w:bCs/>
          <w:sz w:val="24"/>
          <w:szCs w:val="24"/>
        </w:rPr>
      </w:pPr>
      <w:r w:rsidRPr="00534EC2">
        <w:rPr>
          <w:rFonts w:ascii="宋体" w:eastAsia="宋体" w:hAnsi="宋体" w:cs="Times New Roman" w:hint="eastAsia"/>
          <w:b/>
          <w:bCs/>
          <w:sz w:val="24"/>
          <w:szCs w:val="24"/>
        </w:rPr>
        <w:t>【教学方法】</w:t>
      </w:r>
    </w:p>
    <w:p w14:paraId="06528183" w14:textId="77777777" w:rsidR="00534EC2" w:rsidRPr="00534EC2" w:rsidRDefault="00534EC2" w:rsidP="00534EC2">
      <w:pPr>
        <w:spacing w:line="440" w:lineRule="atLeast"/>
        <w:ind w:firstLineChars="200" w:firstLine="480"/>
        <w:rPr>
          <w:rFonts w:ascii="宋体" w:eastAsia="宋体" w:hAnsi="宋体" w:cs="Times New Roman"/>
          <w:color w:val="FF0000"/>
          <w:sz w:val="24"/>
          <w:szCs w:val="24"/>
        </w:rPr>
      </w:pPr>
      <w:r w:rsidRPr="00534EC2">
        <w:rPr>
          <w:rFonts w:ascii="宋体" w:eastAsia="宋体" w:hAnsi="宋体" w:cs="Times New Roman" w:hint="eastAsia"/>
          <w:sz w:val="24"/>
          <w:szCs w:val="24"/>
        </w:rPr>
        <w:t>1. 通过多媒体课件和传统教学相结合，阐明流变学的相关内容，丰富学生课程与教学的基本知识结构。</w:t>
      </w:r>
    </w:p>
    <w:p w14:paraId="263F29FA" w14:textId="77777777" w:rsidR="00534EC2" w:rsidRPr="00534EC2" w:rsidRDefault="00534EC2" w:rsidP="00534EC2">
      <w:pPr>
        <w:spacing w:line="440" w:lineRule="atLeast"/>
        <w:ind w:firstLineChars="200" w:firstLine="482"/>
        <w:rPr>
          <w:rFonts w:ascii="宋体" w:eastAsia="宋体" w:hAnsi="宋体" w:cs="Times New Roman"/>
          <w:bCs/>
          <w:color w:val="FF0000"/>
          <w:sz w:val="24"/>
          <w:szCs w:val="24"/>
        </w:rPr>
      </w:pPr>
      <w:r w:rsidRPr="00534EC2">
        <w:rPr>
          <w:rFonts w:ascii="宋体" w:eastAsia="宋体" w:hAnsi="宋体" w:cs="Times New Roman" w:hint="eastAsia"/>
          <w:b/>
          <w:sz w:val="24"/>
          <w:szCs w:val="24"/>
        </w:rPr>
        <w:t>【复习思考】</w:t>
      </w:r>
    </w:p>
    <w:p w14:paraId="603A15D0" w14:textId="77777777" w:rsidR="00534EC2" w:rsidRPr="00534EC2" w:rsidRDefault="00534EC2">
      <w:pPr>
        <w:numPr>
          <w:ilvl w:val="0"/>
          <w:numId w:val="253"/>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简述牛顿流体、塑性流体、假塑性流体、胀性流体的特点。</w:t>
      </w:r>
    </w:p>
    <w:p w14:paraId="2F63BD08"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何谓触变性？简述影响触变性的因素。</w:t>
      </w:r>
    </w:p>
    <w:p w14:paraId="2057A809" w14:textId="77777777" w:rsidR="00534EC2" w:rsidRPr="00534EC2" w:rsidRDefault="00534EC2" w:rsidP="00534EC2">
      <w:pPr>
        <w:spacing w:beforeLines="50" w:before="156" w:afterLines="50" w:after="156" w:line="440" w:lineRule="atLeast"/>
        <w:ind w:firstLineChars="200" w:firstLine="560"/>
        <w:jc w:val="center"/>
        <w:rPr>
          <w:rFonts w:ascii="黑体" w:eastAsia="黑体" w:hAnsi="黑体" w:cs="Times New Roman"/>
          <w:sz w:val="28"/>
          <w:szCs w:val="28"/>
        </w:rPr>
      </w:pPr>
      <w:r w:rsidRPr="00534EC2">
        <w:rPr>
          <w:rFonts w:ascii="黑体" w:eastAsia="黑体" w:hAnsi="黑体" w:cs="Times New Roman" w:hint="eastAsia"/>
          <w:sz w:val="28"/>
          <w:szCs w:val="28"/>
        </w:rPr>
        <w:t>第六章  液体制剂的单元操作</w:t>
      </w:r>
    </w:p>
    <w:p w14:paraId="5DD629B9"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7C0B90D8" w14:textId="77777777" w:rsidR="00534EC2" w:rsidRPr="00534EC2" w:rsidRDefault="00534EC2">
      <w:pPr>
        <w:numPr>
          <w:ilvl w:val="0"/>
          <w:numId w:val="254"/>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认知类目标：</w:t>
      </w:r>
      <w:r w:rsidRPr="00534EC2">
        <w:rPr>
          <w:rFonts w:ascii="宋体" w:eastAsia="宋体" w:hAnsi="宋体" w:cs="Times New Roman" w:hint="eastAsia"/>
          <w:sz w:val="24"/>
          <w:szCs w:val="24"/>
        </w:rPr>
        <w:t>掌握制药用水的种类及要求；物理灭菌方法。</w:t>
      </w:r>
    </w:p>
    <w:p w14:paraId="62C0AB39" w14:textId="77777777" w:rsidR="00534EC2" w:rsidRPr="00534EC2" w:rsidRDefault="00534EC2">
      <w:pPr>
        <w:numPr>
          <w:ilvl w:val="0"/>
          <w:numId w:val="254"/>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过程与方法类目标：</w:t>
      </w:r>
      <w:r w:rsidRPr="00534EC2">
        <w:rPr>
          <w:rFonts w:ascii="宋体" w:eastAsia="宋体" w:hAnsi="宋体" w:cs="Times New Roman" w:hint="eastAsia"/>
          <w:sz w:val="24"/>
          <w:szCs w:val="24"/>
        </w:rPr>
        <w:t>掌握水处理技术、液体过滤技术、渗透压调节技术、灭菌和无菌操作技术、空气净化技术等。</w:t>
      </w:r>
    </w:p>
    <w:p w14:paraId="1475942F" w14:textId="77777777" w:rsidR="00534EC2" w:rsidRPr="00534EC2" w:rsidRDefault="00534EC2">
      <w:pPr>
        <w:numPr>
          <w:ilvl w:val="0"/>
          <w:numId w:val="254"/>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情感、态度、价值观类目标：</w:t>
      </w:r>
      <w:r w:rsidRPr="00534EC2">
        <w:rPr>
          <w:rFonts w:ascii="宋体" w:eastAsia="宋体" w:hAnsi="宋体" w:cs="Times New Roman" w:hint="eastAsia"/>
          <w:sz w:val="24"/>
          <w:szCs w:val="24"/>
        </w:rPr>
        <w:t>通过专业理论的学习，理解药学工作的任务与岗位要求及应该具备的专业知识和技能，培养学生严谨踏实、实事求是的工作态度。</w:t>
      </w:r>
    </w:p>
    <w:p w14:paraId="7DC286D1" w14:textId="77777777" w:rsidR="00534EC2" w:rsidRPr="00534EC2" w:rsidRDefault="00534EC2" w:rsidP="00534EC2">
      <w:pPr>
        <w:spacing w:line="440" w:lineRule="atLeast"/>
        <w:ind w:firstLineChars="200" w:firstLine="482"/>
        <w:rPr>
          <w:rFonts w:ascii="宋体" w:eastAsia="宋体" w:hAnsi="宋体" w:cs="Times New Roman"/>
          <w:color w:val="FF0000"/>
          <w:sz w:val="24"/>
          <w:szCs w:val="24"/>
        </w:rPr>
      </w:pPr>
      <w:r w:rsidRPr="00534EC2">
        <w:rPr>
          <w:rFonts w:ascii="宋体" w:eastAsia="宋体" w:hAnsi="宋体" w:cs="Times New Roman" w:hint="eastAsia"/>
          <w:b/>
          <w:sz w:val="24"/>
          <w:szCs w:val="24"/>
        </w:rPr>
        <w:t>【学习内容】</w:t>
      </w:r>
    </w:p>
    <w:p w14:paraId="2ABB0586"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color w:val="000000"/>
          <w:sz w:val="24"/>
          <w:szCs w:val="24"/>
        </w:rPr>
        <w:t>1</w:t>
      </w:r>
      <w:r w:rsidRPr="00534EC2">
        <w:rPr>
          <w:rFonts w:ascii="Times New Roman" w:eastAsia="宋体" w:hAnsi="Times New Roman" w:cs="Times New Roman" w:hint="eastAsia"/>
          <w:color w:val="000000"/>
          <w:sz w:val="24"/>
          <w:szCs w:val="24"/>
        </w:rPr>
        <w:t xml:space="preserve">. </w:t>
      </w:r>
      <w:r w:rsidRPr="00534EC2">
        <w:rPr>
          <w:rFonts w:ascii="Times New Roman" w:eastAsia="宋体" w:hAnsi="Times New Roman" w:cs="Times New Roman" w:hint="eastAsia"/>
          <w:color w:val="000000"/>
          <w:sz w:val="24"/>
          <w:szCs w:val="24"/>
        </w:rPr>
        <w:t>制药用水的制备</w:t>
      </w:r>
    </w:p>
    <w:p w14:paraId="63CFBA6C"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2. </w:t>
      </w:r>
      <w:r w:rsidRPr="00534EC2">
        <w:rPr>
          <w:rFonts w:ascii="Times New Roman" w:eastAsia="宋体" w:hAnsi="Times New Roman" w:cs="Times New Roman" w:hint="eastAsia"/>
          <w:color w:val="000000"/>
          <w:sz w:val="24"/>
          <w:szCs w:val="24"/>
        </w:rPr>
        <w:t>液体过滤</w:t>
      </w:r>
    </w:p>
    <w:p w14:paraId="332FABC9"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3. </w:t>
      </w:r>
      <w:r w:rsidRPr="00534EC2">
        <w:rPr>
          <w:rFonts w:ascii="Times New Roman" w:eastAsia="宋体" w:hAnsi="Times New Roman" w:cs="Times New Roman" w:hint="eastAsia"/>
          <w:color w:val="000000"/>
          <w:sz w:val="24"/>
          <w:szCs w:val="24"/>
        </w:rPr>
        <w:t>灭菌与无菌操作</w:t>
      </w:r>
    </w:p>
    <w:p w14:paraId="46DDFCBC"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4. </w:t>
      </w:r>
      <w:r w:rsidRPr="00534EC2">
        <w:rPr>
          <w:rFonts w:ascii="Times New Roman" w:eastAsia="宋体" w:hAnsi="Times New Roman" w:cs="Times New Roman" w:hint="eastAsia"/>
          <w:color w:val="000000"/>
          <w:sz w:val="24"/>
          <w:szCs w:val="24"/>
        </w:rPr>
        <w:t>医药洁净厂房空气净化</w:t>
      </w:r>
    </w:p>
    <w:p w14:paraId="4D359369"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lastRenderedPageBreak/>
        <w:t>【重点】</w:t>
      </w:r>
    </w:p>
    <w:p w14:paraId="1B64F831" w14:textId="77777777" w:rsidR="00534EC2" w:rsidRPr="00534EC2" w:rsidRDefault="00534EC2">
      <w:pPr>
        <w:numPr>
          <w:ilvl w:val="0"/>
          <w:numId w:val="255"/>
        </w:numPr>
        <w:spacing w:line="440" w:lineRule="atLeast"/>
        <w:ind w:firstLineChars="200" w:firstLine="480"/>
        <w:rPr>
          <w:rFonts w:ascii="宋体" w:eastAsia="宋体" w:hAnsi="宋体" w:cs="Times New Roman"/>
          <w:bCs/>
          <w:sz w:val="24"/>
          <w:szCs w:val="24"/>
        </w:rPr>
      </w:pPr>
      <w:r w:rsidRPr="00534EC2">
        <w:rPr>
          <w:rFonts w:ascii="宋体" w:eastAsia="宋体" w:hAnsi="宋体" w:cs="Times New Roman" w:hint="eastAsia"/>
          <w:bCs/>
          <w:sz w:val="24"/>
          <w:szCs w:val="24"/>
        </w:rPr>
        <w:t>热压灭菌的概念，特点，标准及条件，适用时注意事项；</w:t>
      </w:r>
    </w:p>
    <w:p w14:paraId="0B922980" w14:textId="77777777" w:rsidR="00534EC2" w:rsidRPr="00534EC2" w:rsidRDefault="00534EC2">
      <w:pPr>
        <w:numPr>
          <w:ilvl w:val="0"/>
          <w:numId w:val="255"/>
        </w:numPr>
        <w:spacing w:line="440" w:lineRule="atLeast"/>
        <w:ind w:firstLineChars="200" w:firstLine="480"/>
        <w:rPr>
          <w:rFonts w:ascii="宋体" w:eastAsia="宋体" w:hAnsi="宋体" w:cs="Times New Roman"/>
          <w:bCs/>
          <w:sz w:val="24"/>
          <w:szCs w:val="24"/>
        </w:rPr>
      </w:pPr>
      <w:r w:rsidRPr="00534EC2">
        <w:rPr>
          <w:rFonts w:ascii="宋体" w:eastAsia="宋体" w:hAnsi="宋体" w:cs="Times New Roman" w:hint="eastAsia"/>
          <w:bCs/>
          <w:sz w:val="24"/>
          <w:szCs w:val="24"/>
        </w:rPr>
        <w:t>掌握深层过滤与表面过滤的概念和过滤机制。</w:t>
      </w:r>
    </w:p>
    <w:p w14:paraId="014EC1BC"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456AFF8C" w14:textId="77777777" w:rsidR="00534EC2" w:rsidRPr="00534EC2" w:rsidRDefault="00534EC2">
      <w:pPr>
        <w:numPr>
          <w:ilvl w:val="0"/>
          <w:numId w:val="256"/>
        </w:numPr>
        <w:spacing w:line="440" w:lineRule="atLeast"/>
        <w:ind w:firstLineChars="200" w:firstLine="480"/>
        <w:rPr>
          <w:rFonts w:ascii="宋体" w:eastAsia="宋体" w:hAnsi="宋体" w:cs="Times New Roman"/>
          <w:b/>
          <w:sz w:val="24"/>
          <w:szCs w:val="24"/>
        </w:rPr>
      </w:pPr>
      <w:r w:rsidRPr="00534EC2">
        <w:rPr>
          <w:rFonts w:ascii="宋体" w:eastAsia="宋体" w:hAnsi="宋体" w:cs="Times New Roman" w:hint="eastAsia"/>
          <w:bCs/>
          <w:sz w:val="24"/>
          <w:szCs w:val="24"/>
        </w:rPr>
        <w:t>掌握湿热灭菌法，洁净室的洁净度标准与常用净化方法，注射用水的制备方法及原理；</w:t>
      </w:r>
    </w:p>
    <w:p w14:paraId="34DA64D2" w14:textId="77777777" w:rsidR="00534EC2" w:rsidRPr="00534EC2" w:rsidRDefault="00534EC2">
      <w:pPr>
        <w:numPr>
          <w:ilvl w:val="0"/>
          <w:numId w:val="256"/>
        </w:numPr>
        <w:spacing w:line="440" w:lineRule="atLeast"/>
        <w:ind w:firstLineChars="200" w:firstLine="480"/>
        <w:rPr>
          <w:rFonts w:ascii="宋体" w:eastAsia="宋体" w:hAnsi="宋体" w:cs="Times New Roman"/>
          <w:b/>
          <w:sz w:val="24"/>
          <w:szCs w:val="24"/>
        </w:rPr>
      </w:pPr>
      <w:r w:rsidRPr="00534EC2">
        <w:rPr>
          <w:rFonts w:ascii="宋体" w:eastAsia="宋体" w:hAnsi="宋体" w:cs="Times New Roman" w:hint="eastAsia"/>
          <w:bCs/>
          <w:sz w:val="24"/>
          <w:szCs w:val="24"/>
        </w:rPr>
        <w:t>热原性质、污染途径、除去方法等。</w:t>
      </w:r>
    </w:p>
    <w:p w14:paraId="395A8BC1" w14:textId="77777777" w:rsidR="00534EC2" w:rsidRPr="00534EC2" w:rsidRDefault="00534EC2" w:rsidP="00534EC2">
      <w:pPr>
        <w:spacing w:line="440" w:lineRule="atLeast"/>
        <w:ind w:firstLineChars="200" w:firstLine="482"/>
        <w:rPr>
          <w:rFonts w:ascii="宋体" w:eastAsia="宋体" w:hAnsi="宋体" w:cs="Times New Roman"/>
          <w:b/>
          <w:bCs/>
          <w:sz w:val="24"/>
          <w:szCs w:val="24"/>
        </w:rPr>
      </w:pPr>
      <w:r w:rsidRPr="00534EC2">
        <w:rPr>
          <w:rFonts w:ascii="宋体" w:eastAsia="宋体" w:hAnsi="宋体" w:cs="Times New Roman" w:hint="eastAsia"/>
          <w:b/>
          <w:bCs/>
          <w:sz w:val="24"/>
          <w:szCs w:val="24"/>
        </w:rPr>
        <w:t>【教学方法】</w:t>
      </w:r>
    </w:p>
    <w:p w14:paraId="61B03F2E" w14:textId="77777777" w:rsidR="00534EC2" w:rsidRPr="00534EC2" w:rsidRDefault="00534EC2">
      <w:pPr>
        <w:numPr>
          <w:ilvl w:val="0"/>
          <w:numId w:val="257"/>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通过多媒体课件和传统教学相结合，</w:t>
      </w:r>
      <w:proofErr w:type="gramStart"/>
      <w:r w:rsidRPr="00534EC2">
        <w:rPr>
          <w:rFonts w:ascii="宋体" w:eastAsia="宋体" w:hAnsi="宋体" w:cs="Times New Roman" w:hint="eastAsia"/>
          <w:sz w:val="24"/>
          <w:szCs w:val="24"/>
        </w:rPr>
        <w:t>阐明水</w:t>
      </w:r>
      <w:proofErr w:type="gramEnd"/>
      <w:r w:rsidRPr="00534EC2">
        <w:rPr>
          <w:rFonts w:ascii="宋体" w:eastAsia="宋体" w:hAnsi="宋体" w:cs="Times New Roman" w:hint="eastAsia"/>
          <w:sz w:val="24"/>
          <w:szCs w:val="24"/>
        </w:rPr>
        <w:t>的种类及制药用水的要求，并对所需的相关技术及理论进行阐述，丰富学生课程与教学的基本知识结构，培养学生的职业规范；</w:t>
      </w:r>
    </w:p>
    <w:p w14:paraId="4174C045"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通过案例分析，强调理论与实践相结合，促进学生知识整合，培养学生的反思能力。</w:t>
      </w:r>
    </w:p>
    <w:p w14:paraId="3700FADF" w14:textId="77777777" w:rsidR="00534EC2" w:rsidRPr="00534EC2" w:rsidRDefault="00534EC2" w:rsidP="00534EC2">
      <w:pPr>
        <w:spacing w:line="440" w:lineRule="atLeast"/>
        <w:ind w:firstLineChars="200" w:firstLine="482"/>
        <w:rPr>
          <w:rFonts w:ascii="宋体" w:eastAsia="宋体" w:hAnsi="宋体" w:cs="Times New Roman"/>
          <w:bCs/>
          <w:color w:val="FF0000"/>
          <w:sz w:val="24"/>
          <w:szCs w:val="24"/>
        </w:rPr>
      </w:pPr>
      <w:r w:rsidRPr="00534EC2">
        <w:rPr>
          <w:rFonts w:ascii="宋体" w:eastAsia="宋体" w:hAnsi="宋体" w:cs="Times New Roman" w:hint="eastAsia"/>
          <w:b/>
          <w:sz w:val="24"/>
          <w:szCs w:val="24"/>
        </w:rPr>
        <w:t>【复习思考】</w:t>
      </w:r>
    </w:p>
    <w:p w14:paraId="3BA514C1" w14:textId="77777777" w:rsidR="00534EC2" w:rsidRPr="00534EC2" w:rsidRDefault="00534EC2">
      <w:pPr>
        <w:numPr>
          <w:ilvl w:val="0"/>
          <w:numId w:val="258"/>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纯化水、注射用水、灭菌注射用水由哪些区别。</w:t>
      </w:r>
    </w:p>
    <w:p w14:paraId="4719FE7D" w14:textId="77777777" w:rsidR="00534EC2" w:rsidRPr="00534EC2" w:rsidRDefault="00534EC2">
      <w:pPr>
        <w:numPr>
          <w:ilvl w:val="0"/>
          <w:numId w:val="258"/>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热原的定义和性质是什么。</w:t>
      </w:r>
    </w:p>
    <w:p w14:paraId="4B44DB19" w14:textId="77777777" w:rsidR="00534EC2" w:rsidRPr="00534EC2" w:rsidRDefault="00534EC2" w:rsidP="00534EC2">
      <w:pPr>
        <w:spacing w:beforeLines="50" w:before="156" w:afterLines="50" w:after="156" w:line="440" w:lineRule="atLeast"/>
        <w:ind w:firstLineChars="200" w:firstLine="560"/>
        <w:jc w:val="center"/>
        <w:rPr>
          <w:rFonts w:ascii="黑体" w:eastAsia="黑体" w:hAnsi="黑体" w:cs="Times New Roman"/>
          <w:sz w:val="28"/>
          <w:szCs w:val="28"/>
        </w:rPr>
      </w:pPr>
    </w:p>
    <w:p w14:paraId="2B96382F" w14:textId="77777777" w:rsidR="00534EC2" w:rsidRPr="00534EC2" w:rsidRDefault="00534EC2" w:rsidP="00534EC2">
      <w:pPr>
        <w:spacing w:beforeLines="50" w:before="156" w:afterLines="50" w:after="156" w:line="440" w:lineRule="atLeast"/>
        <w:ind w:firstLineChars="200" w:firstLine="560"/>
        <w:jc w:val="center"/>
        <w:rPr>
          <w:rFonts w:ascii="黑体" w:eastAsia="黑体" w:hAnsi="黑体" w:cs="Times New Roman"/>
          <w:sz w:val="28"/>
          <w:szCs w:val="28"/>
        </w:rPr>
      </w:pPr>
      <w:r w:rsidRPr="00534EC2">
        <w:rPr>
          <w:rFonts w:ascii="黑体" w:eastAsia="黑体" w:hAnsi="黑体" w:cs="Times New Roman" w:hint="eastAsia"/>
          <w:sz w:val="28"/>
          <w:szCs w:val="28"/>
        </w:rPr>
        <w:t>第七章  液体制剂</w:t>
      </w:r>
    </w:p>
    <w:p w14:paraId="3CF61E58"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48F6E372" w14:textId="77777777" w:rsidR="00534EC2" w:rsidRPr="00534EC2" w:rsidRDefault="00534EC2">
      <w:pPr>
        <w:numPr>
          <w:ilvl w:val="0"/>
          <w:numId w:val="259"/>
        </w:numPr>
        <w:spacing w:line="440" w:lineRule="atLeast"/>
        <w:ind w:firstLineChars="200" w:firstLine="480"/>
        <w:rPr>
          <w:rFonts w:ascii="宋体" w:eastAsia="宋体" w:hAnsi="宋体" w:cs="Times New Roman"/>
          <w:bCs/>
          <w:sz w:val="24"/>
          <w:szCs w:val="24"/>
        </w:rPr>
      </w:pPr>
      <w:r w:rsidRPr="00534EC2">
        <w:rPr>
          <w:rFonts w:ascii="宋体" w:eastAsia="宋体" w:hAnsi="宋体" w:cs="Times New Roman" w:hint="eastAsia"/>
          <w:sz w:val="24"/>
        </w:rPr>
        <w:t>认知类目标：</w:t>
      </w:r>
      <w:r w:rsidRPr="00534EC2">
        <w:rPr>
          <w:rFonts w:ascii="宋体" w:eastAsia="宋体" w:hAnsi="宋体" w:cs="Times New Roman" w:hint="eastAsia"/>
          <w:bCs/>
          <w:sz w:val="24"/>
          <w:szCs w:val="24"/>
        </w:rPr>
        <w:t>掌握各种液体药剂的概念、特点、分类、质量要求；</w:t>
      </w:r>
    </w:p>
    <w:p w14:paraId="42805F36" w14:textId="77777777" w:rsidR="00534EC2" w:rsidRPr="00534EC2" w:rsidRDefault="00534EC2">
      <w:pPr>
        <w:numPr>
          <w:ilvl w:val="0"/>
          <w:numId w:val="259"/>
        </w:numPr>
        <w:spacing w:line="440" w:lineRule="atLeast"/>
        <w:ind w:firstLineChars="200" w:firstLine="480"/>
        <w:rPr>
          <w:rFonts w:ascii="宋体" w:eastAsia="宋体" w:hAnsi="宋体" w:cs="Times New Roman"/>
          <w:bCs/>
          <w:sz w:val="24"/>
          <w:szCs w:val="24"/>
        </w:rPr>
      </w:pPr>
      <w:r w:rsidRPr="00534EC2">
        <w:rPr>
          <w:rFonts w:ascii="宋体" w:eastAsia="宋体" w:hAnsi="宋体" w:cs="Times New Roman" w:hint="eastAsia"/>
          <w:sz w:val="24"/>
        </w:rPr>
        <w:t>过程与方法类目标：</w:t>
      </w:r>
      <w:r w:rsidRPr="00534EC2">
        <w:rPr>
          <w:rFonts w:ascii="宋体" w:eastAsia="宋体" w:hAnsi="宋体" w:cs="Times New Roman" w:hint="eastAsia"/>
          <w:bCs/>
          <w:sz w:val="24"/>
          <w:szCs w:val="24"/>
        </w:rPr>
        <w:t>掌握液体制剂中所涉及的基本理论、制备方法以及非均相液体制剂的稳定性及质量要求；</w:t>
      </w:r>
    </w:p>
    <w:p w14:paraId="51D16971" w14:textId="77777777" w:rsidR="00534EC2" w:rsidRPr="00534EC2" w:rsidRDefault="00534EC2">
      <w:pPr>
        <w:numPr>
          <w:ilvl w:val="0"/>
          <w:numId w:val="260"/>
        </w:numPr>
        <w:spacing w:line="440" w:lineRule="atLeast"/>
        <w:ind w:firstLineChars="200" w:firstLine="480"/>
        <w:rPr>
          <w:rFonts w:ascii="宋体" w:eastAsia="宋体" w:hAnsi="宋体" w:cs="Times New Roman"/>
          <w:b/>
          <w:sz w:val="24"/>
          <w:szCs w:val="24"/>
        </w:rPr>
      </w:pPr>
      <w:r w:rsidRPr="00534EC2">
        <w:rPr>
          <w:rFonts w:ascii="宋体" w:eastAsia="宋体" w:hAnsi="宋体" w:cs="Times New Roman" w:hint="eastAsia"/>
          <w:sz w:val="24"/>
        </w:rPr>
        <w:t>情感、态度、价值观类目标：</w:t>
      </w:r>
      <w:r w:rsidRPr="00534EC2">
        <w:rPr>
          <w:rFonts w:ascii="宋体" w:eastAsia="宋体" w:hAnsi="宋体" w:cs="Times New Roman" w:hint="eastAsia"/>
          <w:sz w:val="24"/>
          <w:szCs w:val="24"/>
        </w:rPr>
        <w:t>通过专业理论的学习，理解药学工作的任务与岗位要求及应该具备的专业知识和技能，培养学生严谨踏实、实事求是的工作态度。</w:t>
      </w:r>
    </w:p>
    <w:p w14:paraId="69C6F12F" w14:textId="77777777" w:rsidR="00534EC2" w:rsidRPr="00534EC2" w:rsidRDefault="00534EC2" w:rsidP="00534EC2">
      <w:pPr>
        <w:spacing w:line="440" w:lineRule="atLeast"/>
        <w:ind w:firstLineChars="200" w:firstLine="482"/>
        <w:rPr>
          <w:rFonts w:ascii="宋体" w:eastAsia="宋体" w:hAnsi="宋体" w:cs="Times New Roman"/>
          <w:color w:val="FF0000"/>
          <w:sz w:val="24"/>
          <w:szCs w:val="24"/>
        </w:rPr>
      </w:pPr>
      <w:r w:rsidRPr="00534EC2">
        <w:rPr>
          <w:rFonts w:ascii="宋体" w:eastAsia="宋体" w:hAnsi="宋体" w:cs="Times New Roman" w:hint="eastAsia"/>
          <w:b/>
          <w:sz w:val="24"/>
          <w:szCs w:val="24"/>
        </w:rPr>
        <w:t>【学习内容】</w:t>
      </w:r>
    </w:p>
    <w:p w14:paraId="101F8FD0"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color w:val="000000"/>
          <w:sz w:val="24"/>
          <w:szCs w:val="24"/>
        </w:rPr>
        <w:t>1</w:t>
      </w:r>
      <w:r w:rsidRPr="00534EC2">
        <w:rPr>
          <w:rFonts w:ascii="Times New Roman" w:eastAsia="宋体" w:hAnsi="Times New Roman" w:cs="Times New Roman" w:hint="eastAsia"/>
          <w:color w:val="000000"/>
          <w:sz w:val="24"/>
          <w:szCs w:val="24"/>
        </w:rPr>
        <w:t xml:space="preserve">. </w:t>
      </w:r>
      <w:r w:rsidRPr="00534EC2">
        <w:rPr>
          <w:rFonts w:ascii="Times New Roman" w:eastAsia="宋体" w:hAnsi="Times New Roman" w:cs="Times New Roman" w:hint="eastAsia"/>
          <w:color w:val="000000"/>
          <w:sz w:val="24"/>
          <w:szCs w:val="24"/>
        </w:rPr>
        <w:t>液体制剂概述</w:t>
      </w:r>
    </w:p>
    <w:p w14:paraId="25DCDC15"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2. </w:t>
      </w:r>
      <w:r w:rsidRPr="00534EC2">
        <w:rPr>
          <w:rFonts w:ascii="Times New Roman" w:eastAsia="宋体" w:hAnsi="Times New Roman" w:cs="Times New Roman" w:hint="eastAsia"/>
          <w:color w:val="000000"/>
          <w:sz w:val="24"/>
          <w:szCs w:val="24"/>
        </w:rPr>
        <w:t>液体制剂的辅料</w:t>
      </w:r>
    </w:p>
    <w:p w14:paraId="24F3C9FA"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3. </w:t>
      </w:r>
      <w:r w:rsidRPr="00534EC2">
        <w:rPr>
          <w:rFonts w:ascii="Times New Roman" w:eastAsia="宋体" w:hAnsi="Times New Roman" w:cs="Times New Roman" w:hint="eastAsia"/>
          <w:color w:val="000000"/>
          <w:sz w:val="24"/>
          <w:szCs w:val="24"/>
        </w:rPr>
        <w:t>低分子溶液剂</w:t>
      </w:r>
    </w:p>
    <w:p w14:paraId="37984613"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4. </w:t>
      </w:r>
      <w:r w:rsidRPr="00534EC2">
        <w:rPr>
          <w:rFonts w:ascii="Times New Roman" w:eastAsia="宋体" w:hAnsi="Times New Roman" w:cs="Times New Roman" w:hint="eastAsia"/>
          <w:color w:val="000000"/>
          <w:sz w:val="24"/>
          <w:szCs w:val="24"/>
        </w:rPr>
        <w:t>高分子溶液剂</w:t>
      </w:r>
      <w:r w:rsidRPr="00534EC2">
        <w:rPr>
          <w:rFonts w:ascii="Times New Roman" w:eastAsia="宋体" w:hAnsi="Times New Roman" w:cs="Times New Roman" w:hint="eastAsia"/>
          <w:color w:val="000000"/>
          <w:sz w:val="24"/>
          <w:szCs w:val="24"/>
        </w:rPr>
        <w:t xml:space="preserve"> </w:t>
      </w:r>
    </w:p>
    <w:p w14:paraId="67C520F7"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lastRenderedPageBreak/>
        <w:t xml:space="preserve">5. </w:t>
      </w:r>
      <w:r w:rsidRPr="00534EC2">
        <w:rPr>
          <w:rFonts w:ascii="Times New Roman" w:eastAsia="宋体" w:hAnsi="Times New Roman" w:cs="Times New Roman" w:hint="eastAsia"/>
          <w:color w:val="000000"/>
          <w:sz w:val="24"/>
          <w:szCs w:val="24"/>
        </w:rPr>
        <w:t>溶胶剂</w:t>
      </w:r>
    </w:p>
    <w:p w14:paraId="108E8A4F"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6. </w:t>
      </w:r>
      <w:r w:rsidRPr="00534EC2">
        <w:rPr>
          <w:rFonts w:ascii="Times New Roman" w:eastAsia="宋体" w:hAnsi="Times New Roman" w:cs="Times New Roman" w:hint="eastAsia"/>
          <w:color w:val="000000"/>
          <w:sz w:val="24"/>
          <w:szCs w:val="24"/>
        </w:rPr>
        <w:t>混悬剂</w:t>
      </w:r>
    </w:p>
    <w:p w14:paraId="475CC5BA"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7. </w:t>
      </w:r>
      <w:r w:rsidRPr="00534EC2">
        <w:rPr>
          <w:rFonts w:ascii="Times New Roman" w:eastAsia="宋体" w:hAnsi="Times New Roman" w:cs="Times New Roman" w:hint="eastAsia"/>
          <w:color w:val="000000"/>
          <w:sz w:val="24"/>
          <w:szCs w:val="24"/>
        </w:rPr>
        <w:t>乳剂</w:t>
      </w:r>
    </w:p>
    <w:p w14:paraId="4D1A3FEB"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8. </w:t>
      </w:r>
      <w:r w:rsidRPr="00534EC2">
        <w:rPr>
          <w:rFonts w:ascii="Times New Roman" w:eastAsia="宋体" w:hAnsi="Times New Roman" w:cs="Times New Roman" w:hint="eastAsia"/>
          <w:color w:val="000000"/>
          <w:sz w:val="24"/>
          <w:szCs w:val="24"/>
        </w:rPr>
        <w:t>其他液体制剂</w:t>
      </w:r>
    </w:p>
    <w:p w14:paraId="031301ED"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9. </w:t>
      </w:r>
      <w:r w:rsidRPr="00534EC2">
        <w:rPr>
          <w:rFonts w:ascii="Times New Roman" w:eastAsia="宋体" w:hAnsi="Times New Roman" w:cs="Times New Roman" w:hint="eastAsia"/>
          <w:color w:val="000000"/>
          <w:sz w:val="24"/>
          <w:szCs w:val="24"/>
        </w:rPr>
        <w:t>液体制剂的包装与贮存</w:t>
      </w:r>
    </w:p>
    <w:p w14:paraId="0B3D95A0"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【重点】</w:t>
      </w:r>
    </w:p>
    <w:p w14:paraId="54A1DB44" w14:textId="77777777" w:rsidR="00534EC2" w:rsidRPr="00534EC2" w:rsidRDefault="00534EC2">
      <w:pPr>
        <w:numPr>
          <w:ilvl w:val="0"/>
          <w:numId w:val="261"/>
        </w:numPr>
        <w:spacing w:line="440" w:lineRule="atLeast"/>
        <w:ind w:firstLineChars="200" w:firstLine="480"/>
        <w:rPr>
          <w:rFonts w:ascii="宋体" w:eastAsia="宋体" w:hAnsi="宋体" w:cs="Times New Roman"/>
          <w:bCs/>
          <w:sz w:val="24"/>
          <w:szCs w:val="24"/>
        </w:rPr>
      </w:pPr>
      <w:r w:rsidRPr="00534EC2">
        <w:rPr>
          <w:rFonts w:ascii="宋体" w:eastAsia="宋体" w:hAnsi="宋体" w:cs="Times New Roman" w:hint="eastAsia"/>
          <w:bCs/>
          <w:sz w:val="24"/>
          <w:szCs w:val="24"/>
        </w:rPr>
        <w:t>液体药剂的概念、应用特点、常用附加剂、制备方法、质量要求；</w:t>
      </w:r>
    </w:p>
    <w:p w14:paraId="60659CC1" w14:textId="77777777" w:rsidR="00534EC2" w:rsidRPr="00534EC2" w:rsidRDefault="00534EC2">
      <w:pPr>
        <w:numPr>
          <w:ilvl w:val="0"/>
          <w:numId w:val="261"/>
        </w:numPr>
        <w:spacing w:line="440" w:lineRule="atLeast"/>
        <w:ind w:firstLineChars="200" w:firstLine="480"/>
        <w:rPr>
          <w:rFonts w:ascii="宋体" w:eastAsia="宋体" w:hAnsi="宋体" w:cs="Times New Roman"/>
          <w:bCs/>
          <w:sz w:val="24"/>
          <w:szCs w:val="24"/>
        </w:rPr>
      </w:pPr>
      <w:proofErr w:type="gramStart"/>
      <w:r w:rsidRPr="00534EC2">
        <w:rPr>
          <w:rFonts w:ascii="宋体" w:eastAsia="宋体" w:hAnsi="宋体" w:cs="Times New Roman" w:hint="eastAsia"/>
          <w:bCs/>
          <w:sz w:val="24"/>
          <w:szCs w:val="24"/>
        </w:rPr>
        <w:t>混悬型液体药剂</w:t>
      </w:r>
      <w:proofErr w:type="gramEnd"/>
      <w:r w:rsidRPr="00534EC2">
        <w:rPr>
          <w:rFonts w:ascii="宋体" w:eastAsia="宋体" w:hAnsi="宋体" w:cs="Times New Roman" w:hint="eastAsia"/>
          <w:bCs/>
          <w:sz w:val="24"/>
          <w:szCs w:val="24"/>
        </w:rPr>
        <w:t>的不稳定表现。</w:t>
      </w:r>
    </w:p>
    <w:p w14:paraId="353B7999"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45B4A21F" w14:textId="77777777" w:rsidR="00534EC2" w:rsidRPr="00534EC2" w:rsidRDefault="00534EC2">
      <w:pPr>
        <w:numPr>
          <w:ilvl w:val="0"/>
          <w:numId w:val="262"/>
        </w:numPr>
        <w:spacing w:line="440" w:lineRule="atLeast"/>
        <w:ind w:firstLineChars="200" w:firstLine="480"/>
        <w:rPr>
          <w:rFonts w:ascii="宋体" w:eastAsia="宋体" w:hAnsi="宋体" w:cs="Times New Roman"/>
          <w:b/>
          <w:bCs/>
          <w:sz w:val="24"/>
          <w:szCs w:val="24"/>
        </w:rPr>
      </w:pPr>
      <w:r w:rsidRPr="00534EC2">
        <w:rPr>
          <w:rFonts w:ascii="宋体" w:eastAsia="宋体" w:hAnsi="宋体" w:cs="Times New Roman" w:hint="eastAsia"/>
          <w:bCs/>
          <w:sz w:val="24"/>
          <w:szCs w:val="24"/>
        </w:rPr>
        <w:t>乳剂的分类，乳剂的不稳定性表现及质量评价。</w:t>
      </w:r>
    </w:p>
    <w:p w14:paraId="3DBC5A4D" w14:textId="77777777" w:rsidR="00534EC2" w:rsidRPr="00534EC2" w:rsidRDefault="00534EC2" w:rsidP="00534EC2">
      <w:pPr>
        <w:spacing w:line="440" w:lineRule="atLeast"/>
        <w:ind w:firstLineChars="200" w:firstLine="482"/>
        <w:rPr>
          <w:rFonts w:ascii="宋体" w:eastAsia="宋体" w:hAnsi="宋体" w:cs="Times New Roman"/>
          <w:b/>
          <w:bCs/>
          <w:sz w:val="24"/>
          <w:szCs w:val="24"/>
        </w:rPr>
      </w:pPr>
      <w:r w:rsidRPr="00534EC2">
        <w:rPr>
          <w:rFonts w:ascii="宋体" w:eastAsia="宋体" w:hAnsi="宋体" w:cs="Times New Roman" w:hint="eastAsia"/>
          <w:b/>
          <w:bCs/>
          <w:sz w:val="24"/>
          <w:szCs w:val="24"/>
        </w:rPr>
        <w:t>【教学方法】</w:t>
      </w:r>
    </w:p>
    <w:p w14:paraId="7DE10A0B" w14:textId="77777777" w:rsidR="00534EC2" w:rsidRPr="00534EC2" w:rsidRDefault="00534EC2">
      <w:pPr>
        <w:numPr>
          <w:ilvl w:val="0"/>
          <w:numId w:val="263"/>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通过多媒体课件和传统教学相结合，阐明</w:t>
      </w:r>
      <w:r w:rsidRPr="00534EC2">
        <w:rPr>
          <w:rFonts w:ascii="宋体" w:eastAsia="宋体" w:hAnsi="宋体" w:cs="Times New Roman" w:hint="eastAsia"/>
          <w:bCs/>
          <w:sz w:val="24"/>
          <w:szCs w:val="24"/>
        </w:rPr>
        <w:t>液体药剂的概念、应用特点、常用附加剂、制备方法、质量要求等，</w:t>
      </w:r>
      <w:r w:rsidRPr="00534EC2">
        <w:rPr>
          <w:rFonts w:ascii="宋体" w:eastAsia="宋体" w:hAnsi="宋体" w:cs="Times New Roman" w:hint="eastAsia"/>
          <w:sz w:val="24"/>
          <w:szCs w:val="24"/>
        </w:rPr>
        <w:t>丰富学生课程与教学的基本知识结构，培养学生的职业规范；</w:t>
      </w:r>
    </w:p>
    <w:p w14:paraId="3D4B528A" w14:textId="77777777" w:rsidR="00534EC2" w:rsidRPr="00534EC2" w:rsidRDefault="00534EC2" w:rsidP="00534EC2">
      <w:pPr>
        <w:spacing w:line="440" w:lineRule="atLeast"/>
        <w:ind w:firstLineChars="200" w:firstLine="482"/>
        <w:rPr>
          <w:rFonts w:ascii="宋体" w:eastAsia="宋体" w:hAnsi="宋体" w:cs="Times New Roman"/>
          <w:bCs/>
          <w:color w:val="FF0000"/>
          <w:sz w:val="24"/>
          <w:szCs w:val="24"/>
        </w:rPr>
      </w:pPr>
      <w:r w:rsidRPr="00534EC2">
        <w:rPr>
          <w:rFonts w:ascii="宋体" w:eastAsia="宋体" w:hAnsi="宋体" w:cs="Times New Roman" w:hint="eastAsia"/>
          <w:b/>
          <w:sz w:val="24"/>
          <w:szCs w:val="24"/>
        </w:rPr>
        <w:t>【复习思考】</w:t>
      </w:r>
    </w:p>
    <w:p w14:paraId="0DAA4C6E" w14:textId="77777777" w:rsidR="00534EC2" w:rsidRPr="00534EC2" w:rsidRDefault="00534EC2">
      <w:pPr>
        <w:numPr>
          <w:ilvl w:val="0"/>
          <w:numId w:val="264"/>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简述液体制剂的特点及质量要求。</w:t>
      </w:r>
    </w:p>
    <w:p w14:paraId="5942D8B3" w14:textId="77777777" w:rsidR="00534EC2" w:rsidRPr="00534EC2" w:rsidRDefault="00534EC2">
      <w:pPr>
        <w:numPr>
          <w:ilvl w:val="0"/>
          <w:numId w:val="264"/>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简述液体制剂常用的附加剂种类和各类主要代表。</w:t>
      </w:r>
    </w:p>
    <w:p w14:paraId="74802277" w14:textId="77777777" w:rsidR="00534EC2" w:rsidRPr="00534EC2" w:rsidRDefault="00534EC2" w:rsidP="00534EC2">
      <w:pPr>
        <w:spacing w:beforeLines="50" w:before="156" w:afterLines="50" w:after="156" w:line="440" w:lineRule="atLeast"/>
        <w:ind w:firstLineChars="200" w:firstLine="560"/>
        <w:jc w:val="center"/>
        <w:rPr>
          <w:rFonts w:ascii="黑体" w:eastAsia="黑体" w:hAnsi="黑体" w:cs="Times New Roman"/>
          <w:sz w:val="28"/>
          <w:szCs w:val="28"/>
        </w:rPr>
      </w:pPr>
      <w:r w:rsidRPr="00534EC2">
        <w:rPr>
          <w:rFonts w:ascii="黑体" w:eastAsia="黑体" w:hAnsi="黑体" w:cs="Times New Roman" w:hint="eastAsia"/>
          <w:sz w:val="28"/>
          <w:szCs w:val="28"/>
        </w:rPr>
        <w:t>第八章  注射剂</w:t>
      </w:r>
    </w:p>
    <w:p w14:paraId="72B72E75"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787E28D3" w14:textId="77777777" w:rsidR="00534EC2" w:rsidRPr="00534EC2" w:rsidRDefault="00534EC2">
      <w:pPr>
        <w:numPr>
          <w:ilvl w:val="0"/>
          <w:numId w:val="254"/>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认知类目标：</w:t>
      </w:r>
      <w:r w:rsidRPr="00534EC2">
        <w:rPr>
          <w:rFonts w:ascii="宋体" w:eastAsia="宋体" w:hAnsi="宋体" w:cs="Times New Roman" w:hint="eastAsia"/>
          <w:sz w:val="24"/>
          <w:szCs w:val="24"/>
        </w:rPr>
        <w:t>掌握注射剂的质量要求；</w:t>
      </w:r>
    </w:p>
    <w:p w14:paraId="1AF11D44" w14:textId="77777777" w:rsidR="00534EC2" w:rsidRPr="00534EC2" w:rsidRDefault="00534EC2">
      <w:pPr>
        <w:numPr>
          <w:ilvl w:val="0"/>
          <w:numId w:val="254"/>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过程与方法类目标：</w:t>
      </w:r>
      <w:r w:rsidRPr="00534EC2">
        <w:rPr>
          <w:rFonts w:ascii="宋体" w:eastAsia="宋体" w:hAnsi="宋体" w:cs="Times New Roman" w:hint="eastAsia"/>
          <w:sz w:val="24"/>
          <w:szCs w:val="24"/>
        </w:rPr>
        <w:t>掌握制备注射剂所需的相关技术及理论，了解注射剂车间的设计及生产管理；熟悉注射剂容器的处理方法；掌握注射剂附加剂，注射剂的配制与滤过、灌封、灭菌、检漏方法；掌握注射剂的质量检查方法；了解输液的种类及质量要求；熟悉冷冻干燥的原理与工艺。</w:t>
      </w:r>
    </w:p>
    <w:p w14:paraId="2EFC81DC" w14:textId="77777777" w:rsidR="00534EC2" w:rsidRPr="00534EC2" w:rsidRDefault="00534EC2">
      <w:pPr>
        <w:numPr>
          <w:ilvl w:val="0"/>
          <w:numId w:val="264"/>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情感、态度、价值观类目标：</w:t>
      </w:r>
      <w:r w:rsidRPr="00534EC2">
        <w:rPr>
          <w:rFonts w:ascii="宋体" w:eastAsia="宋体" w:hAnsi="宋体" w:cs="Times New Roman" w:hint="eastAsia"/>
          <w:sz w:val="24"/>
          <w:szCs w:val="24"/>
        </w:rPr>
        <w:t>通过专业理论的学习，理解药学工作的任务与岗位要求及应该具备的专业知识和技能，培养学生严谨踏实、实事求是的工作态度。</w:t>
      </w:r>
    </w:p>
    <w:p w14:paraId="280EABB1" w14:textId="77777777" w:rsidR="00534EC2" w:rsidRPr="00534EC2" w:rsidRDefault="00534EC2" w:rsidP="00534EC2">
      <w:pPr>
        <w:spacing w:line="440" w:lineRule="atLeast"/>
        <w:ind w:firstLineChars="200" w:firstLine="482"/>
        <w:rPr>
          <w:rFonts w:ascii="宋体" w:eastAsia="宋体" w:hAnsi="宋体" w:cs="Times New Roman"/>
          <w:color w:val="FF0000"/>
          <w:sz w:val="24"/>
          <w:szCs w:val="24"/>
        </w:rPr>
      </w:pPr>
      <w:r w:rsidRPr="00534EC2">
        <w:rPr>
          <w:rFonts w:ascii="宋体" w:eastAsia="宋体" w:hAnsi="宋体" w:cs="Times New Roman" w:hint="eastAsia"/>
          <w:b/>
          <w:sz w:val="24"/>
          <w:szCs w:val="24"/>
        </w:rPr>
        <w:t>【学习内容】</w:t>
      </w:r>
    </w:p>
    <w:p w14:paraId="55DD65D0"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color w:val="000000"/>
          <w:sz w:val="24"/>
          <w:szCs w:val="24"/>
        </w:rPr>
        <w:t>1</w:t>
      </w:r>
      <w:r w:rsidRPr="00534EC2">
        <w:rPr>
          <w:rFonts w:ascii="Times New Roman" w:eastAsia="宋体" w:hAnsi="Times New Roman" w:cs="Times New Roman" w:hint="eastAsia"/>
          <w:color w:val="000000"/>
          <w:sz w:val="24"/>
          <w:szCs w:val="24"/>
        </w:rPr>
        <w:t xml:space="preserve">. </w:t>
      </w:r>
      <w:r w:rsidRPr="00534EC2">
        <w:rPr>
          <w:rFonts w:ascii="Times New Roman" w:eastAsia="宋体" w:hAnsi="Times New Roman" w:cs="Times New Roman" w:hint="eastAsia"/>
          <w:color w:val="000000"/>
          <w:sz w:val="24"/>
          <w:szCs w:val="24"/>
        </w:rPr>
        <w:t>概述</w:t>
      </w:r>
    </w:p>
    <w:p w14:paraId="2997C577"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2. </w:t>
      </w:r>
      <w:r w:rsidRPr="00534EC2">
        <w:rPr>
          <w:rFonts w:ascii="Times New Roman" w:eastAsia="宋体" w:hAnsi="Times New Roman" w:cs="Times New Roman" w:hint="eastAsia"/>
          <w:color w:val="000000"/>
          <w:sz w:val="24"/>
          <w:szCs w:val="24"/>
        </w:rPr>
        <w:t>注射剂的处方组成</w:t>
      </w:r>
    </w:p>
    <w:p w14:paraId="3E7F2519"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3. </w:t>
      </w:r>
      <w:r w:rsidRPr="00534EC2">
        <w:rPr>
          <w:rFonts w:ascii="Times New Roman" w:eastAsia="宋体" w:hAnsi="Times New Roman" w:cs="Times New Roman" w:hint="eastAsia"/>
          <w:color w:val="000000"/>
          <w:sz w:val="24"/>
          <w:szCs w:val="24"/>
        </w:rPr>
        <w:t>注射剂的制备</w:t>
      </w:r>
    </w:p>
    <w:p w14:paraId="2EBEF2C5"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lastRenderedPageBreak/>
        <w:t xml:space="preserve">4. </w:t>
      </w:r>
      <w:r w:rsidRPr="00534EC2">
        <w:rPr>
          <w:rFonts w:ascii="Times New Roman" w:eastAsia="宋体" w:hAnsi="Times New Roman" w:cs="Times New Roman" w:hint="eastAsia"/>
          <w:color w:val="000000"/>
          <w:sz w:val="24"/>
          <w:szCs w:val="24"/>
        </w:rPr>
        <w:t>注射剂的质量控制</w:t>
      </w:r>
    </w:p>
    <w:p w14:paraId="6E743C5E"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5. </w:t>
      </w:r>
      <w:r w:rsidRPr="00534EC2">
        <w:rPr>
          <w:rFonts w:ascii="Times New Roman" w:eastAsia="宋体" w:hAnsi="Times New Roman" w:cs="Times New Roman" w:hint="eastAsia"/>
          <w:color w:val="000000"/>
          <w:sz w:val="24"/>
          <w:szCs w:val="24"/>
        </w:rPr>
        <w:t>大容量注射液</w:t>
      </w:r>
    </w:p>
    <w:p w14:paraId="7C3CC2F4"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5. </w:t>
      </w:r>
      <w:r w:rsidRPr="00534EC2">
        <w:rPr>
          <w:rFonts w:ascii="Times New Roman" w:eastAsia="宋体" w:hAnsi="Times New Roman" w:cs="Times New Roman" w:hint="eastAsia"/>
          <w:color w:val="000000"/>
          <w:sz w:val="24"/>
          <w:szCs w:val="24"/>
        </w:rPr>
        <w:t>注射用无菌粉末</w:t>
      </w:r>
    </w:p>
    <w:p w14:paraId="420FFE8E"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6. </w:t>
      </w:r>
      <w:r w:rsidRPr="00534EC2">
        <w:rPr>
          <w:rFonts w:ascii="Times New Roman" w:eastAsia="宋体" w:hAnsi="Times New Roman" w:cs="Times New Roman" w:hint="eastAsia"/>
          <w:color w:val="000000"/>
          <w:sz w:val="24"/>
          <w:szCs w:val="24"/>
        </w:rPr>
        <w:t>注射剂无菌工艺验证</w:t>
      </w:r>
    </w:p>
    <w:p w14:paraId="7AA5676C"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【重点】</w:t>
      </w:r>
    </w:p>
    <w:p w14:paraId="367D9245" w14:textId="77777777" w:rsidR="00534EC2" w:rsidRPr="00534EC2" w:rsidRDefault="00534EC2">
      <w:pPr>
        <w:numPr>
          <w:ilvl w:val="0"/>
          <w:numId w:val="265"/>
        </w:numPr>
        <w:spacing w:line="440" w:lineRule="atLeast"/>
        <w:ind w:firstLineChars="200" w:firstLine="480"/>
        <w:rPr>
          <w:rFonts w:ascii="宋体" w:eastAsia="宋体" w:hAnsi="宋体" w:cs="Times New Roman"/>
          <w:b/>
          <w:sz w:val="24"/>
          <w:szCs w:val="24"/>
        </w:rPr>
      </w:pPr>
      <w:r w:rsidRPr="00534EC2">
        <w:rPr>
          <w:rFonts w:ascii="宋体" w:eastAsia="宋体" w:hAnsi="宋体" w:cs="Times New Roman" w:hint="eastAsia"/>
          <w:sz w:val="24"/>
          <w:szCs w:val="24"/>
        </w:rPr>
        <w:t>掌握注射剂附加剂，注射剂的配制与滤过、灌封、灭菌、检漏方法；</w:t>
      </w:r>
    </w:p>
    <w:p w14:paraId="0A613A9C"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4F122878" w14:textId="77777777" w:rsidR="00534EC2" w:rsidRPr="00534EC2" w:rsidRDefault="00534EC2">
      <w:pPr>
        <w:numPr>
          <w:ilvl w:val="0"/>
          <w:numId w:val="266"/>
        </w:numPr>
        <w:spacing w:line="440" w:lineRule="atLeast"/>
        <w:ind w:firstLineChars="200" w:firstLine="480"/>
        <w:rPr>
          <w:rFonts w:ascii="宋体" w:eastAsia="宋体" w:hAnsi="宋体" w:cs="Times New Roman"/>
          <w:bCs/>
          <w:sz w:val="24"/>
          <w:szCs w:val="24"/>
        </w:rPr>
      </w:pPr>
      <w:r w:rsidRPr="00534EC2">
        <w:rPr>
          <w:rFonts w:ascii="宋体" w:eastAsia="宋体" w:hAnsi="宋体" w:cs="Times New Roman" w:hint="eastAsia"/>
          <w:bCs/>
          <w:sz w:val="24"/>
          <w:szCs w:val="24"/>
        </w:rPr>
        <w:t>注射剂及大容量输液剂的质量检查方法；</w:t>
      </w:r>
    </w:p>
    <w:p w14:paraId="06A76D79" w14:textId="77777777" w:rsidR="00534EC2" w:rsidRPr="00534EC2" w:rsidRDefault="00534EC2">
      <w:pPr>
        <w:numPr>
          <w:ilvl w:val="0"/>
          <w:numId w:val="266"/>
        </w:numPr>
        <w:spacing w:line="440" w:lineRule="atLeast"/>
        <w:ind w:firstLineChars="200" w:firstLine="480"/>
        <w:rPr>
          <w:rFonts w:ascii="宋体" w:eastAsia="宋体" w:hAnsi="宋体" w:cs="Times New Roman"/>
          <w:bCs/>
          <w:sz w:val="24"/>
          <w:szCs w:val="24"/>
        </w:rPr>
      </w:pPr>
      <w:r w:rsidRPr="00534EC2">
        <w:rPr>
          <w:rFonts w:ascii="宋体" w:eastAsia="宋体" w:hAnsi="宋体" w:cs="Times New Roman" w:hint="eastAsia"/>
          <w:bCs/>
          <w:sz w:val="24"/>
          <w:szCs w:val="24"/>
        </w:rPr>
        <w:t>注射用无菌粉末的生产工艺及质量要求，附加剂的选用方法 。</w:t>
      </w:r>
    </w:p>
    <w:p w14:paraId="601F6152" w14:textId="77777777" w:rsidR="00534EC2" w:rsidRPr="00534EC2" w:rsidRDefault="00534EC2" w:rsidP="00534EC2">
      <w:pPr>
        <w:spacing w:line="440" w:lineRule="atLeast"/>
        <w:ind w:firstLineChars="200" w:firstLine="482"/>
        <w:rPr>
          <w:rFonts w:ascii="宋体" w:eastAsia="宋体" w:hAnsi="宋体" w:cs="Times New Roman"/>
          <w:b/>
          <w:bCs/>
          <w:sz w:val="24"/>
          <w:szCs w:val="24"/>
        </w:rPr>
      </w:pPr>
      <w:r w:rsidRPr="00534EC2">
        <w:rPr>
          <w:rFonts w:ascii="宋体" w:eastAsia="宋体" w:hAnsi="宋体" w:cs="Times New Roman" w:hint="eastAsia"/>
          <w:b/>
          <w:bCs/>
          <w:sz w:val="24"/>
          <w:szCs w:val="24"/>
        </w:rPr>
        <w:t>【教学方法】</w:t>
      </w:r>
    </w:p>
    <w:p w14:paraId="2EE560A1" w14:textId="77777777" w:rsidR="00534EC2" w:rsidRPr="00534EC2" w:rsidRDefault="00534EC2">
      <w:pPr>
        <w:numPr>
          <w:ilvl w:val="0"/>
          <w:numId w:val="267"/>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通过多媒体课件和传统教学相结合，阐明注射剂的定义和质量要求，并对所需的相关技术及理论进行阐述，丰富学生课程与教学的基本知识结构，培养学生的职业规范；</w:t>
      </w:r>
    </w:p>
    <w:p w14:paraId="30B8D229"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通过案例分析，强调理论与实践相结合，促进学生知识整合，培养学生的反思能力。</w:t>
      </w:r>
    </w:p>
    <w:p w14:paraId="3D634849" w14:textId="77777777" w:rsidR="00534EC2" w:rsidRPr="00534EC2" w:rsidRDefault="00534EC2" w:rsidP="00534EC2">
      <w:pPr>
        <w:spacing w:line="440" w:lineRule="atLeast"/>
        <w:ind w:firstLineChars="200" w:firstLine="482"/>
        <w:rPr>
          <w:rFonts w:ascii="宋体" w:eastAsia="宋体" w:hAnsi="宋体" w:cs="Times New Roman"/>
          <w:bCs/>
          <w:color w:val="FF0000"/>
          <w:sz w:val="24"/>
          <w:szCs w:val="24"/>
        </w:rPr>
      </w:pPr>
      <w:r w:rsidRPr="00534EC2">
        <w:rPr>
          <w:rFonts w:ascii="宋体" w:eastAsia="宋体" w:hAnsi="宋体" w:cs="Times New Roman" w:hint="eastAsia"/>
          <w:b/>
          <w:sz w:val="24"/>
          <w:szCs w:val="24"/>
        </w:rPr>
        <w:t>【复习思考】</w:t>
      </w:r>
    </w:p>
    <w:p w14:paraId="24D8E6BF" w14:textId="77777777" w:rsidR="00534EC2" w:rsidRPr="00534EC2" w:rsidRDefault="00534EC2">
      <w:pPr>
        <w:numPr>
          <w:ilvl w:val="0"/>
          <w:numId w:val="268"/>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简述注射剂制备中常用的附加剂。</w:t>
      </w:r>
    </w:p>
    <w:p w14:paraId="3018F924" w14:textId="77777777" w:rsidR="00534EC2" w:rsidRPr="00534EC2" w:rsidRDefault="00534EC2">
      <w:pPr>
        <w:numPr>
          <w:ilvl w:val="0"/>
          <w:numId w:val="268"/>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简述注射剂的制备过程。</w:t>
      </w:r>
    </w:p>
    <w:p w14:paraId="491AA60E" w14:textId="77777777" w:rsidR="00534EC2" w:rsidRPr="00534EC2" w:rsidRDefault="00534EC2" w:rsidP="00534EC2">
      <w:pPr>
        <w:spacing w:beforeLines="50" w:before="156" w:afterLines="50" w:after="156" w:line="440" w:lineRule="atLeast"/>
        <w:ind w:firstLineChars="200" w:firstLine="560"/>
        <w:jc w:val="center"/>
        <w:rPr>
          <w:rFonts w:ascii="黑体" w:eastAsia="黑体" w:hAnsi="黑体" w:cs="Times New Roman"/>
          <w:sz w:val="28"/>
          <w:szCs w:val="28"/>
        </w:rPr>
      </w:pPr>
      <w:r w:rsidRPr="00534EC2">
        <w:rPr>
          <w:rFonts w:ascii="黑体" w:eastAsia="黑体" w:hAnsi="黑体" w:cs="Times New Roman" w:hint="eastAsia"/>
          <w:sz w:val="28"/>
          <w:szCs w:val="28"/>
        </w:rPr>
        <w:t>第九章  药物制剂的稳定性</w:t>
      </w:r>
    </w:p>
    <w:p w14:paraId="1E6147F8"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1512C99E" w14:textId="77777777" w:rsidR="00534EC2" w:rsidRPr="00534EC2" w:rsidRDefault="00534EC2">
      <w:pPr>
        <w:numPr>
          <w:ilvl w:val="0"/>
          <w:numId w:val="269"/>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认知类目标：</w:t>
      </w:r>
      <w:r w:rsidRPr="00534EC2">
        <w:rPr>
          <w:rFonts w:ascii="宋体" w:eastAsia="宋体" w:hAnsi="宋体" w:cs="Times New Roman"/>
          <w:sz w:val="24"/>
          <w:szCs w:val="24"/>
        </w:rPr>
        <w:t>掌握药物制剂稳定性的研究范围及意义</w:t>
      </w:r>
      <w:r w:rsidRPr="00534EC2">
        <w:rPr>
          <w:rFonts w:ascii="宋体" w:eastAsia="宋体" w:hAnsi="宋体" w:cs="Times New Roman" w:hint="eastAsia"/>
          <w:sz w:val="24"/>
          <w:szCs w:val="24"/>
        </w:rPr>
        <w:t>；</w:t>
      </w:r>
      <w:r w:rsidRPr="00534EC2">
        <w:rPr>
          <w:rFonts w:ascii="宋体" w:eastAsia="宋体" w:hAnsi="宋体" w:cs="Times New Roman"/>
          <w:sz w:val="24"/>
          <w:szCs w:val="24"/>
        </w:rPr>
        <w:t>熟悉化学动力学的基本概念</w:t>
      </w:r>
      <w:r w:rsidRPr="00534EC2">
        <w:rPr>
          <w:rFonts w:ascii="宋体" w:eastAsia="宋体" w:hAnsi="宋体" w:cs="Times New Roman" w:hint="eastAsia"/>
          <w:sz w:val="24"/>
          <w:szCs w:val="24"/>
        </w:rPr>
        <w:t>；</w:t>
      </w:r>
    </w:p>
    <w:p w14:paraId="0CCD61AF" w14:textId="77777777" w:rsidR="00534EC2" w:rsidRPr="00534EC2" w:rsidRDefault="00534EC2">
      <w:pPr>
        <w:numPr>
          <w:ilvl w:val="0"/>
          <w:numId w:val="269"/>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过程与方法类目标：</w:t>
      </w:r>
      <w:r w:rsidRPr="00534EC2">
        <w:rPr>
          <w:rFonts w:ascii="宋体" w:eastAsia="宋体" w:hAnsi="宋体" w:cs="Times New Roman"/>
          <w:sz w:val="24"/>
          <w:szCs w:val="24"/>
        </w:rPr>
        <w:t>掌握影响药物降解的因素及稳定化方法</w:t>
      </w:r>
      <w:r w:rsidRPr="00534EC2">
        <w:rPr>
          <w:rFonts w:ascii="宋体" w:eastAsia="宋体" w:hAnsi="宋体" w:cs="Times New Roman" w:hint="eastAsia"/>
          <w:sz w:val="24"/>
          <w:szCs w:val="24"/>
        </w:rPr>
        <w:t>，</w:t>
      </w:r>
      <w:r w:rsidRPr="00534EC2">
        <w:rPr>
          <w:rFonts w:ascii="宋体" w:eastAsia="宋体" w:hAnsi="宋体" w:cs="Times New Roman"/>
          <w:sz w:val="24"/>
          <w:szCs w:val="24"/>
        </w:rPr>
        <w:t>药物制剂稳定性试验方法</w:t>
      </w:r>
      <w:r w:rsidRPr="00534EC2">
        <w:rPr>
          <w:rFonts w:ascii="宋体" w:eastAsia="宋体" w:hAnsi="宋体" w:cs="Times New Roman" w:hint="eastAsia"/>
          <w:sz w:val="24"/>
          <w:szCs w:val="24"/>
        </w:rPr>
        <w:t>；</w:t>
      </w:r>
      <w:r w:rsidRPr="00534EC2">
        <w:rPr>
          <w:rFonts w:ascii="宋体" w:eastAsia="宋体" w:hAnsi="宋体" w:cs="Times New Roman"/>
          <w:sz w:val="24"/>
          <w:szCs w:val="24"/>
        </w:rPr>
        <w:t>了解固体制剂(药物)稳定性的特点、影响因素</w:t>
      </w:r>
      <w:r w:rsidRPr="00534EC2">
        <w:rPr>
          <w:rFonts w:ascii="宋体" w:eastAsia="宋体" w:hAnsi="宋体" w:cs="Times New Roman" w:hint="eastAsia"/>
          <w:sz w:val="24"/>
          <w:szCs w:val="24"/>
        </w:rPr>
        <w:t>。</w:t>
      </w:r>
    </w:p>
    <w:p w14:paraId="3E291B4A" w14:textId="77777777" w:rsidR="00534EC2" w:rsidRPr="00534EC2" w:rsidRDefault="00534EC2">
      <w:pPr>
        <w:numPr>
          <w:ilvl w:val="0"/>
          <w:numId w:val="269"/>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情感、态度、价值观类目标：</w:t>
      </w:r>
      <w:r w:rsidRPr="00534EC2">
        <w:rPr>
          <w:rFonts w:ascii="宋体" w:eastAsia="宋体" w:hAnsi="宋体" w:cs="Times New Roman" w:hint="eastAsia"/>
          <w:sz w:val="24"/>
          <w:szCs w:val="24"/>
        </w:rPr>
        <w:t>通过专业理论的学习，理解药学工作的任务与岗位要求及应该具备的专业知识和技能，培养学生遵守职业道德规范。</w:t>
      </w:r>
    </w:p>
    <w:p w14:paraId="4A08BFDF" w14:textId="77777777" w:rsidR="00534EC2" w:rsidRPr="00534EC2" w:rsidRDefault="00534EC2" w:rsidP="00534EC2">
      <w:pPr>
        <w:spacing w:line="440" w:lineRule="atLeast"/>
        <w:ind w:firstLineChars="200" w:firstLine="482"/>
        <w:rPr>
          <w:rFonts w:ascii="宋体" w:eastAsia="宋体" w:hAnsi="宋体" w:cs="Times New Roman"/>
          <w:color w:val="FF0000"/>
          <w:sz w:val="24"/>
          <w:szCs w:val="24"/>
        </w:rPr>
      </w:pPr>
      <w:r w:rsidRPr="00534EC2">
        <w:rPr>
          <w:rFonts w:ascii="宋体" w:eastAsia="宋体" w:hAnsi="宋体" w:cs="Times New Roman" w:hint="eastAsia"/>
          <w:b/>
          <w:sz w:val="24"/>
          <w:szCs w:val="24"/>
        </w:rPr>
        <w:t>【学习内容】</w:t>
      </w:r>
    </w:p>
    <w:p w14:paraId="4CB5AD9F"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color w:val="000000"/>
          <w:sz w:val="24"/>
          <w:szCs w:val="24"/>
        </w:rPr>
        <w:t>1</w:t>
      </w:r>
      <w:r w:rsidRPr="00534EC2">
        <w:rPr>
          <w:rFonts w:ascii="Times New Roman" w:eastAsia="宋体" w:hAnsi="Times New Roman" w:cs="Times New Roman" w:hint="eastAsia"/>
          <w:color w:val="000000"/>
          <w:sz w:val="24"/>
          <w:szCs w:val="24"/>
        </w:rPr>
        <w:t xml:space="preserve">. </w:t>
      </w:r>
      <w:r w:rsidRPr="00534EC2">
        <w:rPr>
          <w:rFonts w:ascii="Times New Roman" w:eastAsia="宋体" w:hAnsi="Times New Roman" w:cs="Times New Roman" w:hint="eastAsia"/>
          <w:color w:val="000000"/>
          <w:sz w:val="24"/>
          <w:szCs w:val="24"/>
        </w:rPr>
        <w:t>药物稳定性的概述；</w:t>
      </w:r>
    </w:p>
    <w:p w14:paraId="70D27DE8"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2. </w:t>
      </w:r>
      <w:r w:rsidRPr="00534EC2">
        <w:rPr>
          <w:rFonts w:ascii="Times New Roman" w:eastAsia="宋体" w:hAnsi="Times New Roman" w:cs="Times New Roman" w:hint="eastAsia"/>
          <w:color w:val="000000"/>
          <w:sz w:val="24"/>
          <w:szCs w:val="24"/>
        </w:rPr>
        <w:t>药物的化学降解途径及影响因素和稳定化方法；</w:t>
      </w:r>
    </w:p>
    <w:p w14:paraId="5635229E"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3. </w:t>
      </w:r>
      <w:r w:rsidRPr="00534EC2">
        <w:rPr>
          <w:rFonts w:ascii="Times New Roman" w:eastAsia="宋体" w:hAnsi="Times New Roman" w:cs="Times New Roman" w:hint="eastAsia"/>
          <w:color w:val="000000"/>
          <w:sz w:val="24"/>
          <w:szCs w:val="24"/>
        </w:rPr>
        <w:t>药物与制剂的物理稳定性；</w:t>
      </w:r>
    </w:p>
    <w:p w14:paraId="4F7DF29F" w14:textId="77777777" w:rsidR="00534EC2" w:rsidRPr="00534EC2" w:rsidRDefault="00534EC2" w:rsidP="00534EC2">
      <w:pPr>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lastRenderedPageBreak/>
        <w:t xml:space="preserve">4. </w:t>
      </w:r>
      <w:r w:rsidRPr="00534EC2">
        <w:rPr>
          <w:rFonts w:ascii="Times New Roman" w:eastAsia="宋体" w:hAnsi="Times New Roman" w:cs="Times New Roman" w:hint="eastAsia"/>
          <w:color w:val="000000"/>
          <w:sz w:val="24"/>
          <w:szCs w:val="24"/>
        </w:rPr>
        <w:t>原料药物与制剂稳定性试验方法。</w:t>
      </w:r>
      <w:r w:rsidRPr="00534EC2">
        <w:rPr>
          <w:rFonts w:ascii="Times New Roman" w:eastAsia="宋体" w:hAnsi="Times New Roman" w:cs="Times New Roman" w:hint="eastAsia"/>
          <w:color w:val="000000"/>
          <w:sz w:val="24"/>
          <w:szCs w:val="24"/>
        </w:rPr>
        <w:t xml:space="preserve"> </w:t>
      </w:r>
    </w:p>
    <w:p w14:paraId="2DD194D4"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【重点】</w:t>
      </w:r>
    </w:p>
    <w:p w14:paraId="5C476567" w14:textId="77777777" w:rsidR="00534EC2" w:rsidRPr="00534EC2" w:rsidRDefault="00534EC2">
      <w:pPr>
        <w:numPr>
          <w:ilvl w:val="0"/>
          <w:numId w:val="270"/>
        </w:numPr>
        <w:adjustRightInd w:val="0"/>
        <w:snapToGrid w:val="0"/>
        <w:spacing w:line="440" w:lineRule="atLeast"/>
        <w:rPr>
          <w:rFonts w:ascii="宋体" w:eastAsia="宋体" w:hAnsi="宋体" w:cs="Times New Roman"/>
          <w:bCs/>
          <w:sz w:val="24"/>
          <w:szCs w:val="24"/>
        </w:rPr>
      </w:pPr>
      <w:r w:rsidRPr="00534EC2">
        <w:rPr>
          <w:rFonts w:ascii="宋体" w:eastAsia="宋体" w:hAnsi="宋体" w:cs="Times New Roman" w:hint="eastAsia"/>
          <w:bCs/>
          <w:sz w:val="24"/>
          <w:szCs w:val="24"/>
        </w:rPr>
        <w:t>化学稳定性、物理稳定性和微生物稳定性的含义，稳定性的研究目的和意义；</w:t>
      </w:r>
    </w:p>
    <w:p w14:paraId="3A09F8D6" w14:textId="77777777" w:rsidR="00534EC2" w:rsidRPr="00534EC2" w:rsidRDefault="00534EC2">
      <w:pPr>
        <w:numPr>
          <w:ilvl w:val="0"/>
          <w:numId w:val="270"/>
        </w:numPr>
        <w:adjustRightInd w:val="0"/>
        <w:snapToGrid w:val="0"/>
        <w:spacing w:line="440" w:lineRule="atLeast"/>
        <w:rPr>
          <w:rFonts w:ascii="宋体" w:eastAsia="宋体" w:hAnsi="宋体" w:cs="Times New Roman"/>
          <w:bCs/>
          <w:sz w:val="24"/>
          <w:szCs w:val="24"/>
        </w:rPr>
      </w:pPr>
      <w:r w:rsidRPr="00534EC2">
        <w:rPr>
          <w:rFonts w:ascii="宋体" w:eastAsia="宋体" w:hAnsi="宋体" w:cs="Times New Roman" w:hint="eastAsia"/>
          <w:bCs/>
          <w:sz w:val="24"/>
          <w:szCs w:val="24"/>
        </w:rPr>
        <w:t>影响制剂中药物降解的处方因素和外界因素及增加稳定性方法。</w:t>
      </w:r>
    </w:p>
    <w:p w14:paraId="2B9BEA1B"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1770E8C6" w14:textId="77777777" w:rsidR="00534EC2" w:rsidRPr="00534EC2" w:rsidRDefault="00534EC2">
      <w:pPr>
        <w:numPr>
          <w:ilvl w:val="0"/>
          <w:numId w:val="271"/>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药物制剂稳定性的化学动力学基础；</w:t>
      </w:r>
    </w:p>
    <w:p w14:paraId="619EBB09" w14:textId="77777777" w:rsidR="00534EC2" w:rsidRPr="00534EC2" w:rsidRDefault="00534EC2">
      <w:pPr>
        <w:numPr>
          <w:ilvl w:val="0"/>
          <w:numId w:val="271"/>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新药研究药物稳定性试验方法</w:t>
      </w:r>
      <w:r w:rsidRPr="00534EC2">
        <w:rPr>
          <w:rFonts w:ascii="宋体" w:eastAsia="宋体" w:hAnsi="宋体" w:cs="Times New Roman"/>
          <w:sz w:val="24"/>
          <w:szCs w:val="24"/>
        </w:rPr>
        <w:t>。</w:t>
      </w:r>
    </w:p>
    <w:p w14:paraId="217A3092" w14:textId="77777777" w:rsidR="00534EC2" w:rsidRPr="00534EC2" w:rsidRDefault="00534EC2" w:rsidP="00534EC2">
      <w:pPr>
        <w:spacing w:line="440" w:lineRule="atLeast"/>
        <w:ind w:firstLineChars="200" w:firstLine="482"/>
        <w:rPr>
          <w:rFonts w:ascii="宋体" w:eastAsia="宋体" w:hAnsi="宋体" w:cs="Times New Roman"/>
          <w:b/>
          <w:bCs/>
          <w:sz w:val="24"/>
          <w:szCs w:val="24"/>
        </w:rPr>
      </w:pPr>
      <w:r w:rsidRPr="00534EC2">
        <w:rPr>
          <w:rFonts w:ascii="宋体" w:eastAsia="宋体" w:hAnsi="宋体" w:cs="Times New Roman" w:hint="eastAsia"/>
          <w:b/>
          <w:bCs/>
          <w:sz w:val="24"/>
          <w:szCs w:val="24"/>
        </w:rPr>
        <w:t>【教学方法】</w:t>
      </w:r>
    </w:p>
    <w:p w14:paraId="67A624E2" w14:textId="77777777" w:rsidR="00534EC2" w:rsidRPr="00534EC2" w:rsidRDefault="00534EC2">
      <w:pPr>
        <w:numPr>
          <w:ilvl w:val="0"/>
          <w:numId w:val="272"/>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通过多媒体课件和传统教学相结合，阐明药物制剂稳定性的相关内容，丰富学生课程与教学的基本知识结构，培养学生的职业规范；</w:t>
      </w:r>
    </w:p>
    <w:p w14:paraId="6BE1D5C1" w14:textId="77777777" w:rsidR="00534EC2" w:rsidRPr="00534EC2" w:rsidRDefault="00534EC2" w:rsidP="00534EC2">
      <w:pPr>
        <w:spacing w:line="440" w:lineRule="atLeast"/>
        <w:ind w:firstLineChars="200" w:firstLine="480"/>
        <w:rPr>
          <w:rFonts w:ascii="宋体" w:eastAsia="宋体" w:hAnsi="宋体" w:cs="Times New Roman"/>
          <w:color w:val="FF0000"/>
          <w:sz w:val="24"/>
          <w:szCs w:val="24"/>
        </w:rPr>
      </w:pPr>
      <w:r w:rsidRPr="00534EC2">
        <w:rPr>
          <w:rFonts w:ascii="宋体" w:eastAsia="宋体" w:hAnsi="宋体" w:cs="Times New Roman" w:hint="eastAsia"/>
          <w:sz w:val="24"/>
          <w:szCs w:val="24"/>
        </w:rPr>
        <w:t>2. 通过小组合作学习，树立育人意识，发展学生的合作能力和课程设计能力。</w:t>
      </w:r>
    </w:p>
    <w:p w14:paraId="51D23D48" w14:textId="77777777" w:rsidR="00534EC2" w:rsidRPr="00534EC2" w:rsidRDefault="00534EC2" w:rsidP="00534EC2">
      <w:pPr>
        <w:spacing w:line="440" w:lineRule="atLeast"/>
        <w:ind w:firstLineChars="200" w:firstLine="482"/>
        <w:rPr>
          <w:rFonts w:ascii="宋体" w:eastAsia="宋体" w:hAnsi="宋体" w:cs="Times New Roman"/>
          <w:bCs/>
          <w:color w:val="FF0000"/>
          <w:sz w:val="24"/>
          <w:szCs w:val="24"/>
        </w:rPr>
      </w:pPr>
      <w:r w:rsidRPr="00534EC2">
        <w:rPr>
          <w:rFonts w:ascii="宋体" w:eastAsia="宋体" w:hAnsi="宋体" w:cs="Times New Roman" w:hint="eastAsia"/>
          <w:b/>
          <w:sz w:val="24"/>
          <w:szCs w:val="24"/>
        </w:rPr>
        <w:t>【复习思考】</w:t>
      </w:r>
    </w:p>
    <w:p w14:paraId="0985C9DA" w14:textId="77777777" w:rsidR="00534EC2" w:rsidRPr="00534EC2" w:rsidRDefault="00534EC2">
      <w:pPr>
        <w:numPr>
          <w:ilvl w:val="0"/>
          <w:numId w:val="273"/>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制剂中药物的化学降解途径主要有哪些？</w:t>
      </w:r>
    </w:p>
    <w:p w14:paraId="6C9D69BD"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 处方因素对药物制剂稳定性的影响及提高稳定性的方法有哪些？</w:t>
      </w:r>
    </w:p>
    <w:p w14:paraId="6DEE64AE" w14:textId="77777777" w:rsidR="00534EC2" w:rsidRPr="00534EC2" w:rsidRDefault="00534EC2" w:rsidP="00534EC2">
      <w:pPr>
        <w:spacing w:beforeLines="50" w:before="156" w:afterLines="50" w:after="156" w:line="440" w:lineRule="atLeast"/>
        <w:ind w:firstLineChars="200" w:firstLine="560"/>
        <w:jc w:val="center"/>
        <w:rPr>
          <w:rFonts w:ascii="黑体" w:eastAsia="黑体" w:hAnsi="黑体" w:cs="Times New Roman"/>
          <w:sz w:val="28"/>
          <w:szCs w:val="28"/>
        </w:rPr>
      </w:pPr>
      <w:r w:rsidRPr="00534EC2">
        <w:rPr>
          <w:rFonts w:ascii="黑体" w:eastAsia="黑体" w:hAnsi="黑体" w:cs="Times New Roman" w:hint="eastAsia"/>
          <w:sz w:val="28"/>
          <w:szCs w:val="28"/>
        </w:rPr>
        <w:t>第十章  药物制剂的设计</w:t>
      </w:r>
    </w:p>
    <w:p w14:paraId="6D994C23"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【学习目标】</w:t>
      </w:r>
    </w:p>
    <w:p w14:paraId="2D0ACE55" w14:textId="77777777" w:rsidR="00534EC2" w:rsidRPr="00534EC2" w:rsidRDefault="00534EC2">
      <w:pPr>
        <w:numPr>
          <w:ilvl w:val="0"/>
          <w:numId w:val="274"/>
        </w:numPr>
        <w:adjustRightInd w:val="0"/>
        <w:snapToGrid w:val="0"/>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认知类目标：了解药物设计的基本程序、原理和方法；</w:t>
      </w:r>
    </w:p>
    <w:p w14:paraId="129A50D9" w14:textId="77777777" w:rsidR="00534EC2" w:rsidRPr="00534EC2" w:rsidRDefault="00534EC2">
      <w:pPr>
        <w:numPr>
          <w:ilvl w:val="0"/>
          <w:numId w:val="274"/>
        </w:numPr>
        <w:adjustRightInd w:val="0"/>
        <w:snapToGrid w:val="0"/>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过程与方法类目标：</w:t>
      </w:r>
      <w:r w:rsidRPr="00534EC2">
        <w:rPr>
          <w:rFonts w:ascii="宋体" w:eastAsia="宋体" w:hAnsi="宋体" w:cs="Times New Roman" w:hint="eastAsia"/>
          <w:sz w:val="24"/>
          <w:szCs w:val="24"/>
        </w:rPr>
        <w:t>掌握药物制剂的处方前研究内容，药物和辅料的配伍及其相容性，药物制剂设计的主要内容；熟悉药物制剂的设计基础；了解</w:t>
      </w:r>
      <w:proofErr w:type="spellStart"/>
      <w:r w:rsidRPr="00534EC2">
        <w:rPr>
          <w:rFonts w:ascii="宋体" w:eastAsia="宋体" w:hAnsi="宋体" w:cs="Times New Roman" w:hint="eastAsia"/>
          <w:sz w:val="24"/>
          <w:szCs w:val="24"/>
        </w:rPr>
        <w:t>QbD</w:t>
      </w:r>
      <w:proofErr w:type="spellEnd"/>
      <w:r w:rsidRPr="00534EC2">
        <w:rPr>
          <w:rFonts w:ascii="宋体" w:eastAsia="宋体" w:hAnsi="宋体" w:cs="Times New Roman" w:hint="eastAsia"/>
          <w:sz w:val="24"/>
          <w:szCs w:val="24"/>
        </w:rPr>
        <w:t>在制剂设计中的应用。</w:t>
      </w:r>
    </w:p>
    <w:p w14:paraId="451C50A0" w14:textId="77777777" w:rsidR="00534EC2" w:rsidRPr="00534EC2" w:rsidRDefault="00534EC2">
      <w:pPr>
        <w:numPr>
          <w:ilvl w:val="0"/>
          <w:numId w:val="274"/>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rPr>
        <w:t>情感、态度、价值观类目标：</w:t>
      </w:r>
      <w:r w:rsidRPr="00534EC2">
        <w:rPr>
          <w:rFonts w:ascii="宋体" w:eastAsia="宋体" w:hAnsi="宋体" w:cs="Times New Roman" w:hint="eastAsia"/>
          <w:sz w:val="24"/>
          <w:szCs w:val="24"/>
        </w:rPr>
        <w:t>通过专业理论的学习，理解药学工作的任务与岗位要求及应该具备的专业知识和技能，培养学生新药开发意识，激发学生药物研发的使命感。</w:t>
      </w:r>
    </w:p>
    <w:p w14:paraId="6A4DE203" w14:textId="77777777" w:rsidR="00534EC2" w:rsidRPr="00534EC2" w:rsidRDefault="00534EC2" w:rsidP="00534EC2">
      <w:pPr>
        <w:spacing w:line="440" w:lineRule="atLeast"/>
        <w:ind w:firstLineChars="200" w:firstLine="482"/>
        <w:rPr>
          <w:rFonts w:ascii="宋体" w:eastAsia="宋体" w:hAnsi="宋体" w:cs="Times New Roman"/>
          <w:color w:val="FF0000"/>
          <w:sz w:val="24"/>
          <w:szCs w:val="24"/>
        </w:rPr>
      </w:pPr>
      <w:r w:rsidRPr="00534EC2">
        <w:rPr>
          <w:rFonts w:ascii="宋体" w:eastAsia="宋体" w:hAnsi="宋体" w:cs="Times New Roman" w:hint="eastAsia"/>
          <w:b/>
          <w:sz w:val="24"/>
          <w:szCs w:val="24"/>
        </w:rPr>
        <w:t>【学习内容】</w:t>
      </w:r>
    </w:p>
    <w:p w14:paraId="48E48FC4" w14:textId="77777777" w:rsidR="00534EC2" w:rsidRPr="00534EC2" w:rsidRDefault="00534EC2" w:rsidP="00534EC2">
      <w:pPr>
        <w:adjustRightInd w:val="0"/>
        <w:snapToGrid w:val="0"/>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color w:val="000000"/>
          <w:sz w:val="24"/>
          <w:szCs w:val="24"/>
        </w:rPr>
        <w:t>1</w:t>
      </w:r>
      <w:r w:rsidRPr="00534EC2">
        <w:rPr>
          <w:rFonts w:ascii="Times New Roman" w:eastAsia="宋体" w:hAnsi="Times New Roman" w:cs="Times New Roman" w:hint="eastAsia"/>
          <w:color w:val="000000"/>
          <w:sz w:val="24"/>
          <w:szCs w:val="24"/>
        </w:rPr>
        <w:t xml:space="preserve">. </w:t>
      </w:r>
      <w:r w:rsidRPr="00534EC2">
        <w:rPr>
          <w:rFonts w:ascii="Times New Roman" w:eastAsia="宋体" w:hAnsi="Times New Roman" w:cs="Times New Roman" w:hint="eastAsia"/>
          <w:color w:val="000000"/>
          <w:sz w:val="24"/>
          <w:szCs w:val="24"/>
        </w:rPr>
        <w:t>创新药物研发中的制剂设计；</w:t>
      </w:r>
    </w:p>
    <w:p w14:paraId="036C23A7" w14:textId="77777777" w:rsidR="00534EC2" w:rsidRPr="00534EC2" w:rsidRDefault="00534EC2" w:rsidP="00534EC2">
      <w:pPr>
        <w:adjustRightInd w:val="0"/>
        <w:snapToGrid w:val="0"/>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color w:val="000000"/>
          <w:sz w:val="24"/>
          <w:szCs w:val="24"/>
        </w:rPr>
        <w:t>2</w:t>
      </w:r>
      <w:r w:rsidRPr="00534EC2">
        <w:rPr>
          <w:rFonts w:ascii="Times New Roman" w:eastAsia="宋体" w:hAnsi="Times New Roman" w:cs="Times New Roman" w:hint="eastAsia"/>
          <w:color w:val="000000"/>
          <w:sz w:val="24"/>
          <w:szCs w:val="24"/>
        </w:rPr>
        <w:t>.</w:t>
      </w:r>
      <w:r w:rsidRPr="00534EC2">
        <w:rPr>
          <w:rFonts w:ascii="Times New Roman" w:eastAsia="宋体" w:hAnsi="Times New Roman" w:cs="Times New Roman"/>
          <w:color w:val="000000"/>
          <w:sz w:val="24"/>
          <w:szCs w:val="24"/>
        </w:rPr>
        <w:t xml:space="preserve"> </w:t>
      </w:r>
      <w:r w:rsidRPr="00534EC2">
        <w:rPr>
          <w:rFonts w:ascii="Times New Roman" w:eastAsia="宋体" w:hAnsi="Times New Roman" w:cs="Times New Roman" w:hint="eastAsia"/>
          <w:color w:val="000000"/>
          <w:sz w:val="24"/>
          <w:szCs w:val="24"/>
        </w:rPr>
        <w:t>制剂设计的基础；</w:t>
      </w:r>
    </w:p>
    <w:p w14:paraId="66A08227" w14:textId="77777777" w:rsidR="00534EC2" w:rsidRPr="00534EC2" w:rsidRDefault="00534EC2" w:rsidP="00534EC2">
      <w:pPr>
        <w:adjustRightInd w:val="0"/>
        <w:snapToGrid w:val="0"/>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color w:val="000000"/>
          <w:sz w:val="24"/>
          <w:szCs w:val="24"/>
        </w:rPr>
        <w:t>3</w:t>
      </w:r>
      <w:r w:rsidRPr="00534EC2">
        <w:rPr>
          <w:rFonts w:ascii="Times New Roman" w:eastAsia="宋体" w:hAnsi="Times New Roman" w:cs="Times New Roman" w:hint="eastAsia"/>
          <w:color w:val="000000"/>
          <w:sz w:val="24"/>
          <w:szCs w:val="24"/>
        </w:rPr>
        <w:t>.</w:t>
      </w:r>
      <w:r w:rsidRPr="00534EC2">
        <w:rPr>
          <w:rFonts w:ascii="Times New Roman" w:eastAsia="宋体" w:hAnsi="Times New Roman" w:cs="Times New Roman"/>
          <w:color w:val="000000"/>
          <w:sz w:val="24"/>
          <w:szCs w:val="24"/>
        </w:rPr>
        <w:t xml:space="preserve"> </w:t>
      </w:r>
      <w:r w:rsidRPr="00534EC2">
        <w:rPr>
          <w:rFonts w:ascii="Times New Roman" w:eastAsia="宋体" w:hAnsi="Times New Roman" w:cs="Times New Roman" w:hint="eastAsia"/>
          <w:color w:val="000000"/>
          <w:sz w:val="24"/>
          <w:szCs w:val="24"/>
        </w:rPr>
        <w:t>药物制剂处方前研究；</w:t>
      </w:r>
    </w:p>
    <w:p w14:paraId="36ADECC2" w14:textId="77777777" w:rsidR="00534EC2" w:rsidRPr="00534EC2" w:rsidRDefault="00534EC2" w:rsidP="00534EC2">
      <w:pPr>
        <w:adjustRightInd w:val="0"/>
        <w:snapToGrid w:val="0"/>
        <w:spacing w:line="440" w:lineRule="atLeast"/>
        <w:ind w:firstLineChars="200" w:firstLine="480"/>
        <w:rPr>
          <w:rFonts w:ascii="Times New Roman" w:eastAsia="宋体" w:hAnsi="Times New Roman" w:cs="Times New Roman"/>
          <w:color w:val="000000"/>
          <w:sz w:val="24"/>
          <w:szCs w:val="24"/>
        </w:rPr>
      </w:pPr>
      <w:r w:rsidRPr="00534EC2">
        <w:rPr>
          <w:rFonts w:ascii="Times New Roman" w:eastAsia="宋体" w:hAnsi="Times New Roman" w:cs="Times New Roman" w:hint="eastAsia"/>
          <w:color w:val="000000"/>
          <w:sz w:val="24"/>
          <w:szCs w:val="24"/>
        </w:rPr>
        <w:t xml:space="preserve">4. </w:t>
      </w:r>
      <w:r w:rsidRPr="00534EC2">
        <w:rPr>
          <w:rFonts w:ascii="Times New Roman" w:eastAsia="宋体" w:hAnsi="Times New Roman" w:cs="Times New Roman" w:hint="eastAsia"/>
          <w:color w:val="000000"/>
          <w:sz w:val="24"/>
          <w:szCs w:val="24"/>
        </w:rPr>
        <w:t>药物制剂处方和工艺设计及优化。</w:t>
      </w:r>
    </w:p>
    <w:p w14:paraId="4960991B"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【重点】</w:t>
      </w:r>
    </w:p>
    <w:p w14:paraId="19DE775A" w14:textId="77777777" w:rsidR="00534EC2" w:rsidRPr="00534EC2" w:rsidRDefault="00534EC2">
      <w:pPr>
        <w:numPr>
          <w:ilvl w:val="0"/>
          <w:numId w:val="275"/>
        </w:numPr>
        <w:adjustRightInd w:val="0"/>
        <w:snapToGrid w:val="0"/>
        <w:spacing w:line="440" w:lineRule="atLeast"/>
        <w:rPr>
          <w:rFonts w:ascii="宋体" w:eastAsia="宋体" w:hAnsi="宋体" w:cs="Times New Roman"/>
          <w:bCs/>
          <w:sz w:val="24"/>
          <w:szCs w:val="24"/>
        </w:rPr>
      </w:pPr>
      <w:r w:rsidRPr="00534EC2">
        <w:rPr>
          <w:rFonts w:ascii="宋体" w:eastAsia="宋体" w:hAnsi="宋体" w:cs="Times New Roman" w:hint="eastAsia"/>
          <w:bCs/>
          <w:sz w:val="24"/>
          <w:szCs w:val="24"/>
        </w:rPr>
        <w:t>创新药物制剂研究中开展剂型和处方设计工作的基本程序、原理、方法；</w:t>
      </w:r>
    </w:p>
    <w:p w14:paraId="069589AC" w14:textId="77777777" w:rsidR="00534EC2" w:rsidRPr="00534EC2" w:rsidRDefault="00534EC2">
      <w:pPr>
        <w:numPr>
          <w:ilvl w:val="0"/>
          <w:numId w:val="275"/>
        </w:numPr>
        <w:adjustRightInd w:val="0"/>
        <w:snapToGrid w:val="0"/>
        <w:spacing w:line="440" w:lineRule="atLeast"/>
        <w:rPr>
          <w:rFonts w:ascii="宋体" w:eastAsia="宋体" w:hAnsi="宋体" w:cs="Times New Roman"/>
          <w:bCs/>
          <w:sz w:val="24"/>
          <w:szCs w:val="24"/>
        </w:rPr>
      </w:pPr>
      <w:r w:rsidRPr="00534EC2">
        <w:rPr>
          <w:rFonts w:ascii="宋体" w:eastAsia="宋体" w:hAnsi="宋体" w:cs="宋体" w:hint="eastAsia"/>
          <w:kern w:val="0"/>
          <w:sz w:val="24"/>
          <w:szCs w:val="24"/>
        </w:rPr>
        <w:lastRenderedPageBreak/>
        <w:t>制剂设计的基本原则，给药途径和剂型的确定方法。</w:t>
      </w:r>
    </w:p>
    <w:p w14:paraId="31CF3406" w14:textId="77777777" w:rsidR="00534EC2" w:rsidRPr="00534EC2" w:rsidRDefault="00534EC2" w:rsidP="00534EC2">
      <w:pPr>
        <w:spacing w:line="440" w:lineRule="atLeast"/>
        <w:ind w:firstLineChars="200" w:firstLine="482"/>
        <w:rPr>
          <w:rFonts w:ascii="宋体" w:eastAsia="宋体" w:hAnsi="宋体" w:cs="Times New Roman"/>
          <w:b/>
          <w:sz w:val="24"/>
          <w:szCs w:val="24"/>
        </w:rPr>
      </w:pPr>
      <w:r w:rsidRPr="00534EC2">
        <w:rPr>
          <w:rFonts w:ascii="宋体" w:eastAsia="宋体" w:hAnsi="宋体" w:cs="Times New Roman" w:hint="eastAsia"/>
          <w:b/>
          <w:sz w:val="24"/>
          <w:szCs w:val="24"/>
        </w:rPr>
        <w:t>【难点】</w:t>
      </w:r>
    </w:p>
    <w:p w14:paraId="750B87EB" w14:textId="77777777" w:rsidR="00534EC2" w:rsidRPr="00534EC2" w:rsidRDefault="00534EC2">
      <w:pPr>
        <w:numPr>
          <w:ilvl w:val="0"/>
          <w:numId w:val="276"/>
        </w:numPr>
        <w:adjustRightInd w:val="0"/>
        <w:snapToGrid w:val="0"/>
        <w:spacing w:line="440" w:lineRule="atLeast"/>
        <w:ind w:firstLineChars="200" w:firstLine="480"/>
        <w:rPr>
          <w:rFonts w:ascii="宋体" w:eastAsia="宋体" w:hAnsi="宋体" w:cs="Times New Roman"/>
          <w:b/>
          <w:bCs/>
          <w:sz w:val="24"/>
          <w:szCs w:val="24"/>
        </w:rPr>
      </w:pPr>
      <w:r w:rsidRPr="00534EC2">
        <w:rPr>
          <w:rFonts w:ascii="宋体" w:eastAsia="宋体" w:hAnsi="宋体" w:cs="Times New Roman" w:hint="eastAsia"/>
          <w:bCs/>
          <w:sz w:val="24"/>
          <w:szCs w:val="24"/>
        </w:rPr>
        <w:t>制剂设计中的处方前研究。</w:t>
      </w:r>
    </w:p>
    <w:p w14:paraId="566A35FC" w14:textId="77777777" w:rsidR="00534EC2" w:rsidRPr="00534EC2" w:rsidRDefault="00534EC2" w:rsidP="00534EC2">
      <w:pPr>
        <w:spacing w:line="440" w:lineRule="atLeast"/>
        <w:ind w:firstLineChars="200" w:firstLine="482"/>
        <w:rPr>
          <w:rFonts w:ascii="宋体" w:eastAsia="宋体" w:hAnsi="宋体" w:cs="Times New Roman"/>
          <w:b/>
          <w:bCs/>
          <w:sz w:val="24"/>
          <w:szCs w:val="24"/>
        </w:rPr>
      </w:pPr>
      <w:r w:rsidRPr="00534EC2">
        <w:rPr>
          <w:rFonts w:ascii="宋体" w:eastAsia="宋体" w:hAnsi="宋体" w:cs="Times New Roman" w:hint="eastAsia"/>
          <w:b/>
          <w:bCs/>
          <w:sz w:val="24"/>
          <w:szCs w:val="24"/>
        </w:rPr>
        <w:t>【教学方法】</w:t>
      </w:r>
    </w:p>
    <w:p w14:paraId="43A5E8E0" w14:textId="77777777" w:rsidR="00534EC2" w:rsidRPr="00534EC2" w:rsidRDefault="00534EC2">
      <w:pPr>
        <w:numPr>
          <w:ilvl w:val="0"/>
          <w:numId w:val="277"/>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通过多媒体课件和传统教学相结合，阐明药物制剂设计的基本原则、基本程序、原理和方法等，丰富学生课程与教学的基本知识结构，培养学生的职业规范；</w:t>
      </w:r>
    </w:p>
    <w:p w14:paraId="4EE3BB88" w14:textId="77777777" w:rsidR="00534EC2" w:rsidRPr="00534EC2" w:rsidRDefault="00534EC2" w:rsidP="00534EC2">
      <w:pPr>
        <w:spacing w:line="440" w:lineRule="atLeast"/>
        <w:ind w:firstLineChars="200" w:firstLine="480"/>
        <w:rPr>
          <w:rFonts w:ascii="宋体" w:eastAsia="宋体" w:hAnsi="宋体" w:cs="Times New Roman"/>
          <w:color w:val="FF0000"/>
          <w:sz w:val="24"/>
          <w:szCs w:val="24"/>
        </w:rPr>
      </w:pPr>
      <w:r w:rsidRPr="00534EC2">
        <w:rPr>
          <w:rFonts w:ascii="宋体" w:eastAsia="宋体" w:hAnsi="宋体" w:cs="Times New Roman" w:hint="eastAsia"/>
          <w:sz w:val="24"/>
          <w:szCs w:val="24"/>
        </w:rPr>
        <w:t>2. 通过小组合作学习，发展学生的合作能力和课程设计能力，促进学生知识整合。</w:t>
      </w:r>
    </w:p>
    <w:p w14:paraId="119E284D" w14:textId="77777777" w:rsidR="00534EC2" w:rsidRPr="00534EC2" w:rsidRDefault="00534EC2" w:rsidP="00534EC2">
      <w:pPr>
        <w:spacing w:line="440" w:lineRule="atLeast"/>
        <w:ind w:firstLineChars="200" w:firstLine="482"/>
        <w:rPr>
          <w:rFonts w:ascii="宋体" w:eastAsia="宋体" w:hAnsi="宋体" w:cs="Times New Roman"/>
          <w:bCs/>
          <w:color w:val="FF0000"/>
          <w:sz w:val="24"/>
          <w:szCs w:val="24"/>
        </w:rPr>
      </w:pPr>
      <w:r w:rsidRPr="00534EC2">
        <w:rPr>
          <w:rFonts w:ascii="宋体" w:eastAsia="宋体" w:hAnsi="宋体" w:cs="Times New Roman" w:hint="eastAsia"/>
          <w:b/>
          <w:sz w:val="24"/>
          <w:szCs w:val="24"/>
        </w:rPr>
        <w:t>【复习思考】</w:t>
      </w:r>
    </w:p>
    <w:p w14:paraId="7B7CC7EB" w14:textId="77777777" w:rsidR="00534EC2" w:rsidRPr="00534EC2" w:rsidRDefault="00534EC2">
      <w:pPr>
        <w:numPr>
          <w:ilvl w:val="0"/>
          <w:numId w:val="278"/>
        </w:numPr>
        <w:spacing w:line="440" w:lineRule="atLeast"/>
        <w:rPr>
          <w:rFonts w:ascii="宋体" w:eastAsia="宋体" w:hAnsi="宋体" w:cs="Times New Roman"/>
          <w:sz w:val="24"/>
          <w:szCs w:val="24"/>
        </w:rPr>
      </w:pPr>
      <w:r w:rsidRPr="00534EC2">
        <w:rPr>
          <w:rFonts w:ascii="宋体" w:eastAsia="宋体" w:hAnsi="宋体" w:cs="Times New Roman" w:hint="eastAsia"/>
          <w:sz w:val="24"/>
          <w:szCs w:val="24"/>
        </w:rPr>
        <w:t>简述药物制剂设计的基本原则。</w:t>
      </w:r>
    </w:p>
    <w:p w14:paraId="7D0E7A2E" w14:textId="77777777" w:rsidR="00534EC2" w:rsidRPr="00534EC2" w:rsidRDefault="00534EC2">
      <w:pPr>
        <w:numPr>
          <w:ilvl w:val="0"/>
          <w:numId w:val="260"/>
        </w:num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简述药物制剂处方前研究的内容。</w:t>
      </w:r>
    </w:p>
    <w:p w14:paraId="2F7221A3" w14:textId="77777777" w:rsidR="00534EC2" w:rsidRPr="00534EC2" w:rsidRDefault="00534EC2" w:rsidP="00534EC2">
      <w:pPr>
        <w:spacing w:beforeLines="50" w:before="156" w:afterLines="50" w:after="156" w:line="440" w:lineRule="atLeast"/>
        <w:ind w:left="561"/>
        <w:rPr>
          <w:rFonts w:ascii="仿宋" w:eastAsia="仿宋" w:hAnsi="仿宋" w:cs="Times New Roman"/>
          <w:sz w:val="24"/>
          <w:szCs w:val="24"/>
        </w:rPr>
      </w:pPr>
      <w:r w:rsidRPr="00534EC2">
        <w:rPr>
          <w:rFonts w:ascii="黑体" w:eastAsia="黑体" w:hAnsi="黑体" w:cs="Times New Roman" w:hint="eastAsia"/>
          <w:sz w:val="28"/>
          <w:szCs w:val="28"/>
        </w:rPr>
        <w:t>（二）课程学习内容与课程学习目标的对应关系</w:t>
      </w:r>
      <w:r w:rsidRPr="00534EC2">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2"/>
        <w:gridCol w:w="2504"/>
        <w:gridCol w:w="1985"/>
        <w:gridCol w:w="1276"/>
      </w:tblGrid>
      <w:tr w:rsidR="00534EC2" w:rsidRPr="00534EC2" w14:paraId="1CA74194" w14:textId="77777777" w:rsidTr="00534EC2">
        <w:trPr>
          <w:trHeight w:val="660"/>
          <w:jc w:val="center"/>
        </w:trPr>
        <w:tc>
          <w:tcPr>
            <w:tcW w:w="3592" w:type="dxa"/>
            <w:vAlign w:val="center"/>
          </w:tcPr>
          <w:p w14:paraId="4881257C" w14:textId="77777777" w:rsidR="00534EC2" w:rsidRPr="00534EC2" w:rsidRDefault="00534EC2" w:rsidP="00534EC2">
            <w:pPr>
              <w:spacing w:line="440" w:lineRule="atLeast"/>
              <w:jc w:val="center"/>
              <w:rPr>
                <w:rFonts w:ascii="宋体" w:eastAsia="宋体" w:hAnsi="宋体" w:cs="Times New Roman"/>
                <w:b/>
                <w:bCs/>
                <w:sz w:val="24"/>
                <w:szCs w:val="24"/>
              </w:rPr>
            </w:pPr>
            <w:r w:rsidRPr="00534EC2">
              <w:rPr>
                <w:rFonts w:ascii="宋体" w:eastAsia="宋体" w:hAnsi="宋体" w:cs="Times New Roman" w:hint="eastAsia"/>
                <w:b/>
                <w:bCs/>
                <w:sz w:val="24"/>
                <w:szCs w:val="24"/>
              </w:rPr>
              <w:t>课程学习内容</w:t>
            </w:r>
          </w:p>
        </w:tc>
        <w:tc>
          <w:tcPr>
            <w:tcW w:w="2504" w:type="dxa"/>
            <w:vAlign w:val="center"/>
          </w:tcPr>
          <w:p w14:paraId="1D87D386" w14:textId="77777777" w:rsidR="00534EC2" w:rsidRPr="00534EC2" w:rsidRDefault="00534EC2" w:rsidP="00534EC2">
            <w:pPr>
              <w:spacing w:line="440" w:lineRule="atLeast"/>
              <w:jc w:val="center"/>
              <w:rPr>
                <w:rFonts w:ascii="宋体" w:eastAsia="宋体" w:hAnsi="宋体" w:cs="Times New Roman"/>
                <w:b/>
                <w:bCs/>
                <w:sz w:val="24"/>
                <w:szCs w:val="24"/>
              </w:rPr>
            </w:pPr>
            <w:r w:rsidRPr="00534EC2">
              <w:rPr>
                <w:rFonts w:ascii="宋体" w:eastAsia="宋体" w:hAnsi="宋体" w:cs="Times New Roman" w:hint="eastAsia"/>
                <w:b/>
                <w:bCs/>
                <w:sz w:val="24"/>
                <w:szCs w:val="24"/>
              </w:rPr>
              <w:t>教学方法</w:t>
            </w:r>
          </w:p>
        </w:tc>
        <w:tc>
          <w:tcPr>
            <w:tcW w:w="1985" w:type="dxa"/>
            <w:vAlign w:val="center"/>
          </w:tcPr>
          <w:p w14:paraId="7ECA8E79" w14:textId="77777777" w:rsidR="00534EC2" w:rsidRPr="00534EC2" w:rsidRDefault="00534EC2" w:rsidP="00534EC2">
            <w:pPr>
              <w:spacing w:line="440" w:lineRule="atLeast"/>
              <w:jc w:val="center"/>
              <w:rPr>
                <w:rFonts w:ascii="宋体" w:eastAsia="宋体" w:hAnsi="宋体" w:cs="Times New Roman"/>
                <w:b/>
                <w:bCs/>
                <w:sz w:val="24"/>
                <w:szCs w:val="24"/>
              </w:rPr>
            </w:pPr>
            <w:r w:rsidRPr="00534EC2">
              <w:rPr>
                <w:rFonts w:ascii="宋体" w:eastAsia="宋体" w:hAnsi="宋体" w:cs="Times New Roman" w:hint="eastAsia"/>
                <w:b/>
                <w:bCs/>
                <w:sz w:val="24"/>
                <w:szCs w:val="24"/>
              </w:rPr>
              <w:t>支撑的课程目标</w:t>
            </w:r>
          </w:p>
        </w:tc>
        <w:tc>
          <w:tcPr>
            <w:tcW w:w="1276" w:type="dxa"/>
            <w:vAlign w:val="center"/>
          </w:tcPr>
          <w:p w14:paraId="3BC8AD25" w14:textId="77777777" w:rsidR="00534EC2" w:rsidRPr="00534EC2" w:rsidRDefault="00534EC2" w:rsidP="00534EC2">
            <w:pPr>
              <w:spacing w:line="440" w:lineRule="atLeast"/>
              <w:jc w:val="center"/>
              <w:rPr>
                <w:rFonts w:ascii="宋体" w:eastAsia="宋体" w:hAnsi="宋体" w:cs="Times New Roman"/>
                <w:b/>
                <w:bCs/>
                <w:sz w:val="24"/>
                <w:szCs w:val="24"/>
              </w:rPr>
            </w:pPr>
            <w:r w:rsidRPr="00534EC2">
              <w:rPr>
                <w:rFonts w:ascii="宋体" w:eastAsia="宋体" w:hAnsi="宋体" w:cs="Times New Roman" w:hint="eastAsia"/>
                <w:b/>
                <w:bCs/>
                <w:sz w:val="24"/>
                <w:szCs w:val="24"/>
              </w:rPr>
              <w:t>学时安排</w:t>
            </w:r>
          </w:p>
        </w:tc>
      </w:tr>
      <w:tr w:rsidR="00534EC2" w:rsidRPr="00534EC2" w14:paraId="4470FD8B" w14:textId="77777777" w:rsidTr="00534EC2">
        <w:trPr>
          <w:trHeight w:val="514"/>
          <w:jc w:val="center"/>
        </w:trPr>
        <w:tc>
          <w:tcPr>
            <w:tcW w:w="3592" w:type="dxa"/>
            <w:vAlign w:val="center"/>
          </w:tcPr>
          <w:p w14:paraId="578B9C23" w14:textId="77777777" w:rsidR="00534EC2" w:rsidRPr="00534EC2" w:rsidRDefault="00534EC2" w:rsidP="00534EC2">
            <w:pPr>
              <w:spacing w:line="440" w:lineRule="atLeast"/>
              <w:jc w:val="left"/>
              <w:rPr>
                <w:rFonts w:ascii="宋体" w:eastAsia="宋体" w:hAnsi="宋体" w:cs="Times New Roman"/>
                <w:sz w:val="24"/>
                <w:szCs w:val="24"/>
              </w:rPr>
            </w:pPr>
            <w:r w:rsidRPr="00534EC2">
              <w:rPr>
                <w:rFonts w:ascii="宋体" w:eastAsia="宋体" w:hAnsi="宋体" w:cs="Times New Roman" w:hint="eastAsia"/>
                <w:sz w:val="24"/>
                <w:szCs w:val="24"/>
              </w:rPr>
              <w:t>第一章 绪论</w:t>
            </w:r>
          </w:p>
        </w:tc>
        <w:tc>
          <w:tcPr>
            <w:tcW w:w="2504" w:type="dxa"/>
            <w:vAlign w:val="center"/>
          </w:tcPr>
          <w:p w14:paraId="21F1CE99"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讲授法</w:t>
            </w:r>
          </w:p>
        </w:tc>
        <w:tc>
          <w:tcPr>
            <w:tcW w:w="1985" w:type="dxa"/>
            <w:vAlign w:val="center"/>
          </w:tcPr>
          <w:p w14:paraId="548F7BED"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课程</w:t>
            </w:r>
            <w:r w:rsidRPr="00534EC2">
              <w:rPr>
                <w:rFonts w:ascii="宋体" w:eastAsia="宋体" w:hAnsi="宋体" w:cs="Times New Roman"/>
                <w:sz w:val="24"/>
                <w:szCs w:val="24"/>
              </w:rPr>
              <w:t>目标</w:t>
            </w:r>
            <w:r w:rsidRPr="00534EC2">
              <w:rPr>
                <w:rFonts w:ascii="宋体" w:eastAsia="宋体" w:hAnsi="宋体" w:cs="Times New Roman" w:hint="eastAsia"/>
                <w:sz w:val="24"/>
                <w:szCs w:val="24"/>
              </w:rPr>
              <w:t>1、2</w:t>
            </w:r>
          </w:p>
        </w:tc>
        <w:tc>
          <w:tcPr>
            <w:tcW w:w="1276" w:type="dxa"/>
            <w:vAlign w:val="center"/>
          </w:tcPr>
          <w:p w14:paraId="1F9223B8"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3</w:t>
            </w:r>
          </w:p>
        </w:tc>
      </w:tr>
      <w:tr w:rsidR="00534EC2" w:rsidRPr="00534EC2" w14:paraId="0CED7AA4" w14:textId="77777777" w:rsidTr="00534EC2">
        <w:trPr>
          <w:trHeight w:val="90"/>
          <w:jc w:val="center"/>
        </w:trPr>
        <w:tc>
          <w:tcPr>
            <w:tcW w:w="3592" w:type="dxa"/>
            <w:vAlign w:val="center"/>
          </w:tcPr>
          <w:p w14:paraId="3DBBA413" w14:textId="77777777" w:rsidR="00534EC2" w:rsidRPr="00534EC2" w:rsidRDefault="00534EC2" w:rsidP="00534EC2">
            <w:pPr>
              <w:spacing w:line="440" w:lineRule="atLeast"/>
              <w:jc w:val="left"/>
              <w:rPr>
                <w:rFonts w:ascii="宋体" w:eastAsia="宋体" w:hAnsi="宋体" w:cs="Times New Roman"/>
                <w:sz w:val="24"/>
                <w:szCs w:val="24"/>
              </w:rPr>
            </w:pPr>
            <w:r w:rsidRPr="00534EC2">
              <w:rPr>
                <w:rFonts w:ascii="宋体" w:eastAsia="宋体" w:hAnsi="宋体" w:cs="Times New Roman" w:hint="eastAsia"/>
                <w:sz w:val="24"/>
                <w:szCs w:val="24"/>
              </w:rPr>
              <w:t>第二章 药物溶解与溶出及释放</w:t>
            </w:r>
          </w:p>
        </w:tc>
        <w:tc>
          <w:tcPr>
            <w:tcW w:w="2504" w:type="dxa"/>
            <w:vAlign w:val="center"/>
          </w:tcPr>
          <w:p w14:paraId="629239ED"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讲授法</w:t>
            </w:r>
          </w:p>
        </w:tc>
        <w:tc>
          <w:tcPr>
            <w:tcW w:w="1985" w:type="dxa"/>
            <w:vAlign w:val="center"/>
          </w:tcPr>
          <w:p w14:paraId="1EC52ED0"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课程目标1</w:t>
            </w:r>
          </w:p>
        </w:tc>
        <w:tc>
          <w:tcPr>
            <w:tcW w:w="1276" w:type="dxa"/>
            <w:vAlign w:val="center"/>
          </w:tcPr>
          <w:p w14:paraId="0DA1A2C1"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5</w:t>
            </w:r>
          </w:p>
        </w:tc>
      </w:tr>
      <w:tr w:rsidR="00534EC2" w:rsidRPr="00534EC2" w14:paraId="2BBA1DFE" w14:textId="77777777" w:rsidTr="00534EC2">
        <w:trPr>
          <w:jc w:val="center"/>
        </w:trPr>
        <w:tc>
          <w:tcPr>
            <w:tcW w:w="3592" w:type="dxa"/>
            <w:vAlign w:val="center"/>
          </w:tcPr>
          <w:p w14:paraId="0D86A5B8" w14:textId="77777777" w:rsidR="00534EC2" w:rsidRPr="00534EC2" w:rsidRDefault="00534EC2" w:rsidP="00534EC2">
            <w:pPr>
              <w:spacing w:line="440" w:lineRule="atLeast"/>
              <w:jc w:val="left"/>
              <w:rPr>
                <w:rFonts w:ascii="宋体" w:eastAsia="宋体" w:hAnsi="宋体" w:cs="Times New Roman"/>
                <w:sz w:val="24"/>
                <w:szCs w:val="24"/>
              </w:rPr>
            </w:pPr>
            <w:r w:rsidRPr="00534EC2">
              <w:rPr>
                <w:rFonts w:ascii="宋体" w:eastAsia="宋体" w:hAnsi="宋体" w:cs="Times New Roman" w:hint="eastAsia"/>
                <w:sz w:val="24"/>
                <w:szCs w:val="24"/>
              </w:rPr>
              <w:t>第三章 表面活性剂</w:t>
            </w:r>
          </w:p>
        </w:tc>
        <w:tc>
          <w:tcPr>
            <w:tcW w:w="2504" w:type="dxa"/>
            <w:vAlign w:val="center"/>
          </w:tcPr>
          <w:p w14:paraId="019049E8"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1985" w:type="dxa"/>
            <w:vAlign w:val="center"/>
          </w:tcPr>
          <w:p w14:paraId="176FF664"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课程目标1</w:t>
            </w:r>
          </w:p>
        </w:tc>
        <w:tc>
          <w:tcPr>
            <w:tcW w:w="1276" w:type="dxa"/>
            <w:vAlign w:val="center"/>
          </w:tcPr>
          <w:p w14:paraId="3D4C1B25"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4</w:t>
            </w:r>
          </w:p>
        </w:tc>
      </w:tr>
      <w:tr w:rsidR="00534EC2" w:rsidRPr="00534EC2" w14:paraId="41EC0F4F" w14:textId="77777777" w:rsidTr="00534EC2">
        <w:trPr>
          <w:jc w:val="center"/>
        </w:trPr>
        <w:tc>
          <w:tcPr>
            <w:tcW w:w="3592" w:type="dxa"/>
            <w:vAlign w:val="center"/>
          </w:tcPr>
          <w:p w14:paraId="1E1D5644" w14:textId="77777777" w:rsidR="00534EC2" w:rsidRPr="00534EC2" w:rsidRDefault="00534EC2" w:rsidP="00534EC2">
            <w:pPr>
              <w:spacing w:line="440" w:lineRule="atLeast"/>
              <w:jc w:val="left"/>
              <w:rPr>
                <w:rFonts w:ascii="宋体" w:eastAsia="宋体" w:hAnsi="宋体" w:cs="Times New Roman"/>
                <w:sz w:val="24"/>
                <w:szCs w:val="24"/>
              </w:rPr>
            </w:pPr>
            <w:r w:rsidRPr="00534EC2">
              <w:rPr>
                <w:rFonts w:ascii="宋体" w:eastAsia="宋体" w:hAnsi="宋体" w:cs="Times New Roman" w:hint="eastAsia"/>
                <w:sz w:val="24"/>
                <w:szCs w:val="24"/>
              </w:rPr>
              <w:t>第四章 微粒分散体系</w:t>
            </w:r>
          </w:p>
        </w:tc>
        <w:tc>
          <w:tcPr>
            <w:tcW w:w="2504" w:type="dxa"/>
            <w:vAlign w:val="center"/>
          </w:tcPr>
          <w:p w14:paraId="668342FF"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讲授法</w:t>
            </w:r>
          </w:p>
        </w:tc>
        <w:tc>
          <w:tcPr>
            <w:tcW w:w="1985" w:type="dxa"/>
            <w:vAlign w:val="center"/>
          </w:tcPr>
          <w:p w14:paraId="54AE17BD"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课程目标1</w:t>
            </w:r>
          </w:p>
        </w:tc>
        <w:tc>
          <w:tcPr>
            <w:tcW w:w="1276" w:type="dxa"/>
            <w:vAlign w:val="center"/>
          </w:tcPr>
          <w:p w14:paraId="35D1851A"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3</w:t>
            </w:r>
          </w:p>
        </w:tc>
      </w:tr>
      <w:tr w:rsidR="00534EC2" w:rsidRPr="00534EC2" w14:paraId="2E493ECE" w14:textId="77777777" w:rsidTr="00534EC2">
        <w:trPr>
          <w:jc w:val="center"/>
        </w:trPr>
        <w:tc>
          <w:tcPr>
            <w:tcW w:w="3592" w:type="dxa"/>
            <w:vAlign w:val="center"/>
          </w:tcPr>
          <w:p w14:paraId="181433E0" w14:textId="77777777" w:rsidR="00534EC2" w:rsidRPr="00534EC2" w:rsidRDefault="00534EC2" w:rsidP="00534EC2">
            <w:pPr>
              <w:spacing w:line="440" w:lineRule="atLeast"/>
              <w:jc w:val="left"/>
              <w:rPr>
                <w:rFonts w:ascii="宋体" w:eastAsia="宋体" w:hAnsi="宋体" w:cs="Times New Roman"/>
                <w:sz w:val="24"/>
                <w:szCs w:val="24"/>
              </w:rPr>
            </w:pPr>
            <w:r w:rsidRPr="00534EC2">
              <w:rPr>
                <w:rFonts w:ascii="宋体" w:eastAsia="宋体" w:hAnsi="宋体" w:cs="Times New Roman" w:hint="eastAsia"/>
                <w:sz w:val="24"/>
                <w:szCs w:val="24"/>
              </w:rPr>
              <w:t>第五章 流变学基础</w:t>
            </w:r>
          </w:p>
        </w:tc>
        <w:tc>
          <w:tcPr>
            <w:tcW w:w="2504" w:type="dxa"/>
            <w:vAlign w:val="center"/>
          </w:tcPr>
          <w:p w14:paraId="5A16DA9C"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讲授法</w:t>
            </w:r>
          </w:p>
        </w:tc>
        <w:tc>
          <w:tcPr>
            <w:tcW w:w="1985" w:type="dxa"/>
            <w:vAlign w:val="center"/>
          </w:tcPr>
          <w:p w14:paraId="39CD8264"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课程</w:t>
            </w:r>
            <w:r w:rsidRPr="00534EC2">
              <w:rPr>
                <w:rFonts w:ascii="宋体" w:eastAsia="宋体" w:hAnsi="宋体" w:cs="Times New Roman"/>
                <w:sz w:val="24"/>
                <w:szCs w:val="24"/>
              </w:rPr>
              <w:t>目标</w:t>
            </w:r>
            <w:r w:rsidRPr="00534EC2">
              <w:rPr>
                <w:rFonts w:ascii="宋体" w:eastAsia="宋体" w:hAnsi="宋体" w:cs="Times New Roman" w:hint="eastAsia"/>
                <w:sz w:val="24"/>
                <w:szCs w:val="24"/>
              </w:rPr>
              <w:t>1</w:t>
            </w:r>
          </w:p>
        </w:tc>
        <w:tc>
          <w:tcPr>
            <w:tcW w:w="1276" w:type="dxa"/>
            <w:vAlign w:val="center"/>
          </w:tcPr>
          <w:p w14:paraId="1C100980"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3</w:t>
            </w:r>
          </w:p>
        </w:tc>
      </w:tr>
      <w:tr w:rsidR="00534EC2" w:rsidRPr="00534EC2" w14:paraId="56A7BEB2" w14:textId="77777777" w:rsidTr="00534EC2">
        <w:trPr>
          <w:jc w:val="center"/>
        </w:trPr>
        <w:tc>
          <w:tcPr>
            <w:tcW w:w="3592" w:type="dxa"/>
            <w:vAlign w:val="center"/>
          </w:tcPr>
          <w:p w14:paraId="4AFB2D5E" w14:textId="77777777" w:rsidR="00534EC2" w:rsidRPr="00534EC2" w:rsidRDefault="00534EC2" w:rsidP="00534EC2">
            <w:pPr>
              <w:spacing w:line="440" w:lineRule="atLeast"/>
              <w:jc w:val="left"/>
              <w:rPr>
                <w:rFonts w:ascii="宋体" w:eastAsia="宋体" w:hAnsi="宋体" w:cs="Times New Roman"/>
                <w:sz w:val="24"/>
                <w:szCs w:val="24"/>
              </w:rPr>
            </w:pPr>
            <w:r w:rsidRPr="00534EC2">
              <w:rPr>
                <w:rFonts w:ascii="宋体" w:eastAsia="宋体" w:hAnsi="宋体" w:cs="Times New Roman" w:hint="eastAsia"/>
                <w:sz w:val="24"/>
                <w:szCs w:val="24"/>
              </w:rPr>
              <w:t>第六章 液体制剂的单元操作</w:t>
            </w:r>
          </w:p>
        </w:tc>
        <w:tc>
          <w:tcPr>
            <w:tcW w:w="2504" w:type="dxa"/>
            <w:vAlign w:val="center"/>
          </w:tcPr>
          <w:p w14:paraId="21084265"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讲授法</w:t>
            </w:r>
          </w:p>
        </w:tc>
        <w:tc>
          <w:tcPr>
            <w:tcW w:w="1985" w:type="dxa"/>
            <w:vAlign w:val="center"/>
          </w:tcPr>
          <w:p w14:paraId="54E7EEF6"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课程目标1</w:t>
            </w:r>
          </w:p>
        </w:tc>
        <w:tc>
          <w:tcPr>
            <w:tcW w:w="1276" w:type="dxa"/>
            <w:vAlign w:val="center"/>
          </w:tcPr>
          <w:p w14:paraId="60C73E23"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3</w:t>
            </w:r>
          </w:p>
        </w:tc>
      </w:tr>
      <w:tr w:rsidR="00534EC2" w:rsidRPr="00534EC2" w14:paraId="316BD8FB" w14:textId="77777777" w:rsidTr="00534EC2">
        <w:trPr>
          <w:jc w:val="center"/>
        </w:trPr>
        <w:tc>
          <w:tcPr>
            <w:tcW w:w="3592" w:type="dxa"/>
            <w:vAlign w:val="center"/>
          </w:tcPr>
          <w:p w14:paraId="7C4BA7C6" w14:textId="77777777" w:rsidR="00534EC2" w:rsidRPr="00534EC2" w:rsidRDefault="00534EC2" w:rsidP="00534EC2">
            <w:pPr>
              <w:spacing w:line="440" w:lineRule="atLeast"/>
              <w:jc w:val="left"/>
              <w:rPr>
                <w:rFonts w:ascii="宋体" w:eastAsia="宋体" w:hAnsi="宋体" w:cs="Times New Roman"/>
                <w:sz w:val="24"/>
                <w:szCs w:val="24"/>
              </w:rPr>
            </w:pPr>
            <w:r w:rsidRPr="00534EC2">
              <w:rPr>
                <w:rFonts w:ascii="宋体" w:eastAsia="宋体" w:hAnsi="宋体" w:cs="Times New Roman" w:hint="eastAsia"/>
                <w:sz w:val="24"/>
                <w:szCs w:val="24"/>
              </w:rPr>
              <w:t>第七章 液体制剂</w:t>
            </w:r>
          </w:p>
        </w:tc>
        <w:tc>
          <w:tcPr>
            <w:tcW w:w="2504" w:type="dxa"/>
            <w:vAlign w:val="center"/>
          </w:tcPr>
          <w:p w14:paraId="7D705375"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1985" w:type="dxa"/>
            <w:vAlign w:val="center"/>
          </w:tcPr>
          <w:p w14:paraId="593EAB82"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课程目标1、2</w:t>
            </w:r>
          </w:p>
        </w:tc>
        <w:tc>
          <w:tcPr>
            <w:tcW w:w="1276" w:type="dxa"/>
            <w:vAlign w:val="center"/>
          </w:tcPr>
          <w:p w14:paraId="54468BBE"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7</w:t>
            </w:r>
          </w:p>
        </w:tc>
      </w:tr>
      <w:tr w:rsidR="00534EC2" w:rsidRPr="00534EC2" w14:paraId="6B745EB6" w14:textId="77777777" w:rsidTr="00534EC2">
        <w:trPr>
          <w:jc w:val="center"/>
        </w:trPr>
        <w:tc>
          <w:tcPr>
            <w:tcW w:w="3592" w:type="dxa"/>
            <w:vAlign w:val="center"/>
          </w:tcPr>
          <w:p w14:paraId="116FF0AD" w14:textId="77777777" w:rsidR="00534EC2" w:rsidRPr="00534EC2" w:rsidRDefault="00534EC2" w:rsidP="00534EC2">
            <w:pPr>
              <w:spacing w:line="440" w:lineRule="atLeast"/>
              <w:jc w:val="left"/>
              <w:rPr>
                <w:rFonts w:ascii="宋体" w:eastAsia="宋体" w:hAnsi="宋体" w:cs="Times New Roman"/>
                <w:sz w:val="24"/>
                <w:szCs w:val="24"/>
              </w:rPr>
            </w:pPr>
            <w:r w:rsidRPr="00534EC2">
              <w:rPr>
                <w:rFonts w:ascii="宋体" w:eastAsia="宋体" w:hAnsi="宋体" w:cs="Times New Roman" w:hint="eastAsia"/>
                <w:sz w:val="24"/>
                <w:szCs w:val="24"/>
              </w:rPr>
              <w:t>第八章 注射剂</w:t>
            </w:r>
          </w:p>
        </w:tc>
        <w:tc>
          <w:tcPr>
            <w:tcW w:w="2504" w:type="dxa"/>
            <w:vAlign w:val="center"/>
          </w:tcPr>
          <w:p w14:paraId="0E70C802"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1985" w:type="dxa"/>
            <w:vAlign w:val="center"/>
          </w:tcPr>
          <w:p w14:paraId="17B5C02F"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课程目标1、2</w:t>
            </w:r>
          </w:p>
        </w:tc>
        <w:tc>
          <w:tcPr>
            <w:tcW w:w="1276" w:type="dxa"/>
            <w:vAlign w:val="center"/>
          </w:tcPr>
          <w:p w14:paraId="329A7B2E"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6</w:t>
            </w:r>
          </w:p>
        </w:tc>
      </w:tr>
      <w:tr w:rsidR="00534EC2" w:rsidRPr="00534EC2" w14:paraId="1C572D11" w14:textId="77777777" w:rsidTr="00534EC2">
        <w:trPr>
          <w:jc w:val="center"/>
        </w:trPr>
        <w:tc>
          <w:tcPr>
            <w:tcW w:w="3592" w:type="dxa"/>
            <w:vAlign w:val="center"/>
          </w:tcPr>
          <w:p w14:paraId="6A626580" w14:textId="77777777" w:rsidR="00534EC2" w:rsidRPr="00534EC2" w:rsidRDefault="00534EC2" w:rsidP="00534EC2">
            <w:pPr>
              <w:spacing w:line="440" w:lineRule="atLeast"/>
              <w:jc w:val="left"/>
              <w:rPr>
                <w:rFonts w:ascii="宋体" w:eastAsia="宋体" w:hAnsi="宋体" w:cs="Times New Roman"/>
                <w:sz w:val="24"/>
                <w:szCs w:val="24"/>
              </w:rPr>
            </w:pPr>
            <w:r w:rsidRPr="00534EC2">
              <w:rPr>
                <w:rFonts w:ascii="宋体" w:eastAsia="宋体" w:hAnsi="宋体" w:cs="Times New Roman" w:hint="eastAsia"/>
                <w:sz w:val="24"/>
                <w:szCs w:val="24"/>
              </w:rPr>
              <w:t>第九章 药物制剂的稳定性</w:t>
            </w:r>
          </w:p>
        </w:tc>
        <w:tc>
          <w:tcPr>
            <w:tcW w:w="2504" w:type="dxa"/>
            <w:vAlign w:val="center"/>
          </w:tcPr>
          <w:p w14:paraId="5BDCC33A"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讲授法、案例教学</w:t>
            </w:r>
          </w:p>
        </w:tc>
        <w:tc>
          <w:tcPr>
            <w:tcW w:w="1985" w:type="dxa"/>
            <w:vAlign w:val="center"/>
          </w:tcPr>
          <w:p w14:paraId="3F3A7F35"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课程目标1、2</w:t>
            </w:r>
          </w:p>
        </w:tc>
        <w:tc>
          <w:tcPr>
            <w:tcW w:w="1276" w:type="dxa"/>
            <w:vAlign w:val="center"/>
          </w:tcPr>
          <w:p w14:paraId="422EE6C0"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3</w:t>
            </w:r>
          </w:p>
        </w:tc>
      </w:tr>
      <w:tr w:rsidR="00534EC2" w:rsidRPr="00534EC2" w14:paraId="78623973" w14:textId="77777777" w:rsidTr="00534EC2">
        <w:trPr>
          <w:jc w:val="center"/>
        </w:trPr>
        <w:tc>
          <w:tcPr>
            <w:tcW w:w="3592" w:type="dxa"/>
            <w:vAlign w:val="center"/>
          </w:tcPr>
          <w:p w14:paraId="5768AC6E" w14:textId="77777777" w:rsidR="00534EC2" w:rsidRPr="00534EC2" w:rsidRDefault="00534EC2" w:rsidP="00534EC2">
            <w:pPr>
              <w:spacing w:line="440" w:lineRule="atLeast"/>
              <w:jc w:val="left"/>
              <w:rPr>
                <w:rFonts w:ascii="宋体" w:eastAsia="宋体" w:hAnsi="宋体" w:cs="Times New Roman"/>
                <w:sz w:val="24"/>
                <w:szCs w:val="24"/>
              </w:rPr>
            </w:pPr>
            <w:r w:rsidRPr="00534EC2">
              <w:rPr>
                <w:rFonts w:ascii="宋体" w:eastAsia="宋体" w:hAnsi="宋体" w:cs="Times New Roman" w:hint="eastAsia"/>
                <w:sz w:val="24"/>
                <w:szCs w:val="24"/>
              </w:rPr>
              <w:t>第十章 药物制剂的设计</w:t>
            </w:r>
          </w:p>
        </w:tc>
        <w:tc>
          <w:tcPr>
            <w:tcW w:w="2504" w:type="dxa"/>
            <w:vAlign w:val="center"/>
          </w:tcPr>
          <w:p w14:paraId="65ABEE32"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讲授法、专题研讨</w:t>
            </w:r>
          </w:p>
        </w:tc>
        <w:tc>
          <w:tcPr>
            <w:tcW w:w="1985" w:type="dxa"/>
            <w:vAlign w:val="center"/>
          </w:tcPr>
          <w:p w14:paraId="0FDDE622"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课程目标2</w:t>
            </w:r>
          </w:p>
        </w:tc>
        <w:tc>
          <w:tcPr>
            <w:tcW w:w="1276" w:type="dxa"/>
            <w:vAlign w:val="center"/>
          </w:tcPr>
          <w:p w14:paraId="4ED26464"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3</w:t>
            </w:r>
          </w:p>
        </w:tc>
      </w:tr>
      <w:tr w:rsidR="00534EC2" w:rsidRPr="00534EC2" w14:paraId="47504F9F" w14:textId="77777777" w:rsidTr="00534EC2">
        <w:trPr>
          <w:jc w:val="center"/>
        </w:trPr>
        <w:tc>
          <w:tcPr>
            <w:tcW w:w="8081" w:type="dxa"/>
            <w:gridSpan w:val="3"/>
            <w:vAlign w:val="center"/>
          </w:tcPr>
          <w:p w14:paraId="6B42EAE8" w14:textId="77777777" w:rsidR="00534EC2" w:rsidRPr="00534EC2" w:rsidRDefault="00534EC2" w:rsidP="00534EC2">
            <w:pPr>
              <w:spacing w:line="440" w:lineRule="atLeast"/>
              <w:jc w:val="center"/>
              <w:rPr>
                <w:rFonts w:ascii="宋体" w:eastAsia="宋体" w:hAnsi="宋体" w:cs="Times New Roman"/>
                <w:b/>
                <w:sz w:val="24"/>
                <w:szCs w:val="24"/>
              </w:rPr>
            </w:pPr>
            <w:r w:rsidRPr="00534EC2">
              <w:rPr>
                <w:rFonts w:ascii="宋体" w:eastAsia="宋体" w:hAnsi="宋体" w:cs="Times New Roman" w:hint="eastAsia"/>
                <w:b/>
                <w:sz w:val="24"/>
                <w:szCs w:val="24"/>
              </w:rPr>
              <w:t>合计</w:t>
            </w:r>
          </w:p>
        </w:tc>
        <w:tc>
          <w:tcPr>
            <w:tcW w:w="1276" w:type="dxa"/>
            <w:vAlign w:val="center"/>
          </w:tcPr>
          <w:p w14:paraId="013AC97C" w14:textId="77777777" w:rsidR="00534EC2" w:rsidRPr="00534EC2" w:rsidRDefault="00534EC2" w:rsidP="00534EC2">
            <w:pPr>
              <w:spacing w:line="440" w:lineRule="atLeast"/>
              <w:jc w:val="center"/>
              <w:rPr>
                <w:rFonts w:ascii="宋体" w:eastAsia="宋体" w:hAnsi="宋体" w:cs="Times New Roman"/>
                <w:sz w:val="24"/>
                <w:szCs w:val="24"/>
              </w:rPr>
            </w:pPr>
            <w:r w:rsidRPr="00534EC2">
              <w:rPr>
                <w:rFonts w:ascii="宋体" w:eastAsia="宋体" w:hAnsi="宋体" w:cs="Times New Roman" w:hint="eastAsia"/>
                <w:sz w:val="24"/>
                <w:szCs w:val="24"/>
              </w:rPr>
              <w:t>40</w:t>
            </w:r>
          </w:p>
        </w:tc>
      </w:tr>
    </w:tbl>
    <w:p w14:paraId="6F0B5BBB" w14:textId="77777777" w:rsidR="00534EC2" w:rsidRPr="00534EC2" w:rsidRDefault="00534EC2" w:rsidP="00534EC2">
      <w:pPr>
        <w:spacing w:beforeLines="50" w:before="156" w:afterLines="50" w:after="156" w:line="440" w:lineRule="atLeast"/>
        <w:ind w:firstLineChars="200" w:firstLine="560"/>
        <w:rPr>
          <w:rFonts w:ascii="宋体" w:eastAsia="宋体" w:hAnsi="宋体" w:cs="Times New Roman"/>
          <w:sz w:val="24"/>
          <w:szCs w:val="24"/>
        </w:rPr>
      </w:pPr>
      <w:r w:rsidRPr="00534EC2">
        <w:rPr>
          <w:rFonts w:ascii="黑体" w:eastAsia="黑体" w:hAnsi="黑体" w:cs="Times New Roman" w:hint="eastAsia"/>
          <w:sz w:val="28"/>
          <w:szCs w:val="28"/>
        </w:rPr>
        <w:t>四、课程考核及与课程学习目标的对应关系</w:t>
      </w:r>
    </w:p>
    <w:p w14:paraId="21CAF97D" w14:textId="77777777" w:rsidR="00534EC2" w:rsidRPr="00534EC2" w:rsidRDefault="00534EC2" w:rsidP="00534EC2">
      <w:pPr>
        <w:spacing w:beforeLines="50" w:before="156" w:afterLines="50" w:after="156" w:line="440" w:lineRule="atLeast"/>
        <w:ind w:firstLineChars="200" w:firstLine="560"/>
        <w:rPr>
          <w:rFonts w:ascii="黑体" w:eastAsia="黑体" w:hAnsi="黑体" w:cs="Times New Roman"/>
          <w:sz w:val="28"/>
          <w:szCs w:val="28"/>
        </w:rPr>
      </w:pPr>
      <w:r w:rsidRPr="00534EC2">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534EC2" w:rsidRPr="00534EC2" w14:paraId="530E363F" w14:textId="77777777" w:rsidTr="00534EC2">
        <w:trPr>
          <w:trHeight w:val="515"/>
          <w:jc w:val="center"/>
        </w:trPr>
        <w:tc>
          <w:tcPr>
            <w:tcW w:w="1422" w:type="dxa"/>
          </w:tcPr>
          <w:p w14:paraId="02D20143" w14:textId="77777777" w:rsidR="00534EC2" w:rsidRPr="00534EC2" w:rsidRDefault="00534EC2" w:rsidP="00534EC2">
            <w:pPr>
              <w:spacing w:line="440" w:lineRule="atLeast"/>
              <w:jc w:val="center"/>
              <w:rPr>
                <w:rFonts w:ascii="宋体" w:eastAsia="宋体" w:hAnsi="宋体" w:cs="Times New Roman"/>
                <w:b/>
                <w:sz w:val="24"/>
                <w:szCs w:val="24"/>
              </w:rPr>
            </w:pPr>
            <w:r w:rsidRPr="00534EC2">
              <w:rPr>
                <w:rFonts w:ascii="宋体" w:eastAsia="宋体" w:hAnsi="宋体" w:cs="Times New Roman" w:hint="eastAsia"/>
                <w:b/>
                <w:sz w:val="24"/>
                <w:szCs w:val="24"/>
              </w:rPr>
              <w:t>课程目标</w:t>
            </w:r>
          </w:p>
        </w:tc>
        <w:tc>
          <w:tcPr>
            <w:tcW w:w="7918" w:type="dxa"/>
            <w:vAlign w:val="center"/>
          </w:tcPr>
          <w:p w14:paraId="4D871A71" w14:textId="77777777" w:rsidR="00534EC2" w:rsidRPr="00534EC2" w:rsidRDefault="00534EC2" w:rsidP="00534EC2">
            <w:pPr>
              <w:spacing w:line="440" w:lineRule="atLeast"/>
              <w:jc w:val="center"/>
              <w:rPr>
                <w:rFonts w:ascii="宋体" w:eastAsia="宋体" w:hAnsi="宋体" w:cs="Times New Roman"/>
                <w:b/>
                <w:sz w:val="24"/>
                <w:szCs w:val="24"/>
              </w:rPr>
            </w:pPr>
            <w:r w:rsidRPr="00534EC2">
              <w:rPr>
                <w:rFonts w:ascii="宋体" w:eastAsia="宋体" w:hAnsi="宋体" w:cs="Times New Roman" w:hint="eastAsia"/>
                <w:b/>
                <w:sz w:val="24"/>
                <w:szCs w:val="24"/>
              </w:rPr>
              <w:t>考核内容</w:t>
            </w:r>
          </w:p>
        </w:tc>
      </w:tr>
      <w:tr w:rsidR="00534EC2" w:rsidRPr="00534EC2" w14:paraId="7AAC8D84" w14:textId="77777777" w:rsidTr="00534EC2">
        <w:trPr>
          <w:jc w:val="center"/>
        </w:trPr>
        <w:tc>
          <w:tcPr>
            <w:tcW w:w="1422" w:type="dxa"/>
            <w:vAlign w:val="center"/>
          </w:tcPr>
          <w:p w14:paraId="6343ED85"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lastRenderedPageBreak/>
              <w:t>课程目标1</w:t>
            </w:r>
          </w:p>
        </w:tc>
        <w:tc>
          <w:tcPr>
            <w:tcW w:w="7918" w:type="dxa"/>
            <w:vAlign w:val="center"/>
          </w:tcPr>
          <w:p w14:paraId="3FFBF0F7" w14:textId="77777777" w:rsidR="00534EC2" w:rsidRPr="00534EC2" w:rsidRDefault="00534EC2" w:rsidP="00534EC2">
            <w:pPr>
              <w:spacing w:line="440" w:lineRule="atLeast"/>
              <w:rPr>
                <w:rFonts w:ascii="宋体" w:eastAsia="宋体" w:hAnsi="宋体" w:cs="宋体"/>
                <w:sz w:val="24"/>
                <w:szCs w:val="24"/>
              </w:rPr>
            </w:pPr>
            <w:r w:rsidRPr="00534EC2">
              <w:rPr>
                <w:rFonts w:ascii="宋体" w:eastAsia="宋体" w:hAnsi="宋体" w:cs="Times New Roman" w:hint="eastAsia"/>
                <w:bCs/>
                <w:sz w:val="24"/>
                <w:szCs w:val="24"/>
              </w:rPr>
              <w:t>1.1 绪论（</w:t>
            </w:r>
            <w:r w:rsidRPr="00534EC2">
              <w:rPr>
                <w:rFonts w:ascii="宋体" w:eastAsia="宋体" w:hAnsi="宋体" w:cs="宋体" w:hint="eastAsia"/>
                <w:sz w:val="24"/>
                <w:szCs w:val="24"/>
              </w:rPr>
              <w:t>剂型、制剂、制剂学、药剂学定义及相互关系；药典、药品标准的概念及处方的概念和类型）</w:t>
            </w:r>
          </w:p>
          <w:p w14:paraId="3F5811EA" w14:textId="77777777" w:rsidR="00534EC2" w:rsidRPr="00534EC2" w:rsidRDefault="00534EC2" w:rsidP="00534EC2">
            <w:pPr>
              <w:adjustRightInd w:val="0"/>
              <w:snapToGrid w:val="0"/>
              <w:spacing w:line="440" w:lineRule="atLeast"/>
              <w:rPr>
                <w:rFonts w:ascii="宋体" w:eastAsia="宋体" w:hAnsi="宋体" w:cs="Times New Roman"/>
                <w:bCs/>
                <w:sz w:val="24"/>
                <w:szCs w:val="24"/>
              </w:rPr>
            </w:pPr>
            <w:r w:rsidRPr="00534EC2">
              <w:rPr>
                <w:rFonts w:ascii="宋体" w:eastAsia="宋体" w:hAnsi="宋体" w:cs="Times New Roman" w:hint="eastAsia"/>
                <w:bCs/>
                <w:sz w:val="24"/>
                <w:szCs w:val="24"/>
              </w:rPr>
              <w:t>1.2 药物的溶解与溶出及释放（溶解度</w:t>
            </w:r>
            <w:r w:rsidRPr="00534EC2">
              <w:rPr>
                <w:rFonts w:ascii="宋体" w:eastAsia="宋体" w:hAnsi="宋体" w:cs="宋体" w:hint="eastAsia"/>
                <w:sz w:val="24"/>
                <w:szCs w:val="24"/>
              </w:rPr>
              <w:t>；增加药物溶解度的方法；溶液的特性；溶出与释放</w:t>
            </w:r>
            <w:r w:rsidRPr="00534EC2">
              <w:rPr>
                <w:rFonts w:ascii="宋体" w:eastAsia="宋体" w:hAnsi="宋体" w:cs="Times New Roman" w:hint="eastAsia"/>
                <w:bCs/>
                <w:sz w:val="24"/>
                <w:szCs w:val="24"/>
              </w:rPr>
              <w:t xml:space="preserve">） </w:t>
            </w:r>
          </w:p>
          <w:p w14:paraId="30B42436" w14:textId="77777777" w:rsidR="00534EC2" w:rsidRPr="00534EC2" w:rsidRDefault="00534EC2" w:rsidP="00534EC2">
            <w:pPr>
              <w:adjustRightInd w:val="0"/>
              <w:snapToGrid w:val="0"/>
              <w:spacing w:line="440" w:lineRule="atLeast"/>
              <w:rPr>
                <w:rFonts w:ascii="宋体" w:eastAsia="宋体" w:hAnsi="宋体" w:cs="宋体"/>
                <w:sz w:val="24"/>
                <w:szCs w:val="24"/>
              </w:rPr>
            </w:pPr>
            <w:r w:rsidRPr="00534EC2">
              <w:rPr>
                <w:rFonts w:ascii="宋体" w:eastAsia="宋体" w:hAnsi="宋体" w:cs="Times New Roman" w:hint="eastAsia"/>
                <w:bCs/>
                <w:sz w:val="24"/>
                <w:szCs w:val="24"/>
              </w:rPr>
              <w:t>1.3</w:t>
            </w:r>
            <w:r w:rsidRPr="00534EC2">
              <w:rPr>
                <w:rFonts w:ascii="Times New Roman" w:eastAsia="宋体" w:hAnsi="Times New Roman" w:cs="Times New Roman" w:hint="eastAsia"/>
                <w:sz w:val="24"/>
                <w:szCs w:val="24"/>
              </w:rPr>
              <w:t xml:space="preserve"> </w:t>
            </w:r>
            <w:r w:rsidRPr="00534EC2">
              <w:rPr>
                <w:rFonts w:ascii="Times New Roman" w:eastAsia="宋体" w:hAnsi="Times New Roman" w:cs="Times New Roman" w:hint="eastAsia"/>
                <w:sz w:val="24"/>
                <w:szCs w:val="24"/>
              </w:rPr>
              <w:t>表面活性剂（表面现象与表面张力；</w:t>
            </w:r>
            <w:r w:rsidRPr="00534EC2">
              <w:rPr>
                <w:rFonts w:ascii="宋体" w:eastAsia="宋体" w:hAnsi="宋体" w:cs="宋体" w:hint="eastAsia"/>
                <w:sz w:val="24"/>
                <w:szCs w:val="24"/>
              </w:rPr>
              <w:t>表面活性剂的概念、基本结构和种类；表面活性剂的基本性质与应用）</w:t>
            </w:r>
          </w:p>
          <w:p w14:paraId="09DDFC2B" w14:textId="77777777" w:rsidR="00534EC2" w:rsidRPr="00534EC2" w:rsidRDefault="00534EC2" w:rsidP="00534EC2">
            <w:pPr>
              <w:adjustRightInd w:val="0"/>
              <w:snapToGrid w:val="0"/>
              <w:spacing w:line="440" w:lineRule="atLeast"/>
              <w:rPr>
                <w:rFonts w:ascii="宋体" w:eastAsia="宋体" w:hAnsi="宋体" w:cs="宋体"/>
                <w:sz w:val="24"/>
                <w:szCs w:val="24"/>
              </w:rPr>
            </w:pPr>
            <w:r w:rsidRPr="00534EC2">
              <w:rPr>
                <w:rFonts w:ascii="宋体" w:eastAsia="宋体" w:hAnsi="宋体" w:cs="宋体" w:hint="eastAsia"/>
                <w:sz w:val="24"/>
                <w:szCs w:val="24"/>
              </w:rPr>
              <w:t>1.4 微粒分散体系（概述；微粒分散体系的物理化学性质；相关物理稳定性基础知识）</w:t>
            </w:r>
          </w:p>
          <w:p w14:paraId="241FBB37" w14:textId="77777777" w:rsidR="00534EC2" w:rsidRPr="00534EC2" w:rsidRDefault="00534EC2" w:rsidP="00534EC2">
            <w:pPr>
              <w:adjustRightInd w:val="0"/>
              <w:snapToGrid w:val="0"/>
              <w:spacing w:line="440" w:lineRule="atLeast"/>
              <w:rPr>
                <w:rFonts w:ascii="宋体" w:eastAsia="宋体" w:hAnsi="宋体" w:cs="宋体"/>
                <w:sz w:val="24"/>
                <w:szCs w:val="24"/>
              </w:rPr>
            </w:pPr>
            <w:r w:rsidRPr="00534EC2">
              <w:rPr>
                <w:rFonts w:ascii="宋体" w:eastAsia="宋体" w:hAnsi="宋体" w:cs="宋体" w:hint="eastAsia"/>
                <w:sz w:val="24"/>
                <w:szCs w:val="24"/>
              </w:rPr>
              <w:t>1.5 流变学基础（流变学的基本概念；牛顿流体，流体的分类及非牛顿流体）</w:t>
            </w:r>
          </w:p>
          <w:p w14:paraId="705DEC4B" w14:textId="77777777" w:rsidR="00534EC2" w:rsidRPr="00534EC2" w:rsidRDefault="00534EC2" w:rsidP="00534EC2">
            <w:pPr>
              <w:adjustRightInd w:val="0"/>
              <w:snapToGrid w:val="0"/>
              <w:spacing w:line="440" w:lineRule="atLeast"/>
              <w:rPr>
                <w:rFonts w:ascii="宋体" w:eastAsia="宋体" w:hAnsi="宋体" w:cs="宋体"/>
                <w:sz w:val="24"/>
                <w:szCs w:val="24"/>
              </w:rPr>
            </w:pPr>
            <w:r w:rsidRPr="00534EC2">
              <w:rPr>
                <w:rFonts w:ascii="宋体" w:eastAsia="宋体" w:hAnsi="宋体" w:cs="宋体" w:hint="eastAsia"/>
                <w:sz w:val="24"/>
                <w:szCs w:val="24"/>
              </w:rPr>
              <w:t>1.6 液体制剂的单元操作（制药用水的制备；液体过滤；灭菌与无菌操作；医药洁净厂房空气净化）</w:t>
            </w:r>
          </w:p>
          <w:p w14:paraId="5E3EE5BE" w14:textId="77777777" w:rsidR="00534EC2" w:rsidRPr="00534EC2" w:rsidRDefault="00534EC2" w:rsidP="00534EC2">
            <w:pPr>
              <w:adjustRightInd w:val="0"/>
              <w:snapToGrid w:val="0"/>
              <w:spacing w:line="440" w:lineRule="atLeast"/>
              <w:rPr>
                <w:rFonts w:ascii="宋体" w:eastAsia="宋体" w:hAnsi="宋体" w:cs="宋体"/>
                <w:sz w:val="24"/>
                <w:szCs w:val="24"/>
              </w:rPr>
            </w:pPr>
            <w:r w:rsidRPr="00534EC2">
              <w:rPr>
                <w:rFonts w:ascii="宋体" w:eastAsia="宋体" w:hAnsi="宋体" w:cs="宋体" w:hint="eastAsia"/>
                <w:sz w:val="24"/>
                <w:szCs w:val="24"/>
              </w:rPr>
              <w:t>1.7 液体制剂（液体制剂的基本理论、应用特点、制备方法、质量要求以及非均相液体制剂的稳定性）</w:t>
            </w:r>
          </w:p>
          <w:p w14:paraId="2E008477" w14:textId="77777777" w:rsidR="00534EC2" w:rsidRPr="00534EC2" w:rsidRDefault="00534EC2" w:rsidP="00534EC2">
            <w:pPr>
              <w:adjustRightInd w:val="0"/>
              <w:snapToGrid w:val="0"/>
              <w:spacing w:line="440" w:lineRule="atLeast"/>
              <w:rPr>
                <w:rFonts w:ascii="宋体" w:eastAsia="宋体" w:hAnsi="宋体" w:cs="宋体"/>
                <w:sz w:val="24"/>
                <w:szCs w:val="24"/>
              </w:rPr>
            </w:pPr>
            <w:r w:rsidRPr="00534EC2">
              <w:rPr>
                <w:rFonts w:ascii="宋体" w:eastAsia="宋体" w:hAnsi="宋体" w:cs="宋体" w:hint="eastAsia"/>
                <w:sz w:val="24"/>
                <w:szCs w:val="24"/>
              </w:rPr>
              <w:t>1.8 注射剂（注射剂剂的相关技术和理论、注射剂的处方组成、制备及质量检查、输液的分类与质量要求、注射用无菌粉末及眼用制剂的制备工艺及质量要求）</w:t>
            </w:r>
          </w:p>
          <w:p w14:paraId="64E685EC" w14:textId="77777777" w:rsidR="00534EC2" w:rsidRPr="00534EC2" w:rsidRDefault="00534EC2" w:rsidP="00534EC2">
            <w:pPr>
              <w:adjustRightInd w:val="0"/>
              <w:snapToGrid w:val="0"/>
              <w:spacing w:line="440" w:lineRule="atLeast"/>
              <w:rPr>
                <w:rFonts w:ascii="宋体" w:eastAsia="宋体" w:hAnsi="宋体" w:cs="宋体"/>
                <w:sz w:val="24"/>
                <w:szCs w:val="24"/>
              </w:rPr>
            </w:pPr>
            <w:r w:rsidRPr="00534EC2">
              <w:rPr>
                <w:rFonts w:ascii="宋体" w:eastAsia="宋体" w:hAnsi="宋体" w:cs="宋体" w:hint="eastAsia"/>
                <w:sz w:val="24"/>
                <w:szCs w:val="24"/>
              </w:rPr>
              <w:t>1.9 药物制剂的稳定性（药物制剂稳定性的研究范围及意义及化学动力学；影响药物降解的因素及稳定化方法）</w:t>
            </w:r>
          </w:p>
        </w:tc>
      </w:tr>
      <w:tr w:rsidR="00534EC2" w:rsidRPr="00534EC2" w14:paraId="56C75377" w14:textId="77777777" w:rsidTr="00534EC2">
        <w:trPr>
          <w:jc w:val="center"/>
        </w:trPr>
        <w:tc>
          <w:tcPr>
            <w:tcW w:w="1422" w:type="dxa"/>
            <w:vAlign w:val="center"/>
          </w:tcPr>
          <w:p w14:paraId="48BDF88A"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课程目标2</w:t>
            </w:r>
          </w:p>
        </w:tc>
        <w:tc>
          <w:tcPr>
            <w:tcW w:w="7918" w:type="dxa"/>
            <w:vAlign w:val="center"/>
          </w:tcPr>
          <w:p w14:paraId="3AF49C14" w14:textId="77777777" w:rsidR="00534EC2" w:rsidRPr="00534EC2" w:rsidRDefault="00534EC2">
            <w:pPr>
              <w:numPr>
                <w:ilvl w:val="1"/>
                <w:numId w:val="260"/>
              </w:numPr>
              <w:adjustRightInd w:val="0"/>
              <w:snapToGrid w:val="0"/>
              <w:spacing w:line="440" w:lineRule="atLeast"/>
              <w:rPr>
                <w:rFonts w:ascii="宋体" w:eastAsia="宋体" w:hAnsi="宋体" w:cs="宋体"/>
                <w:sz w:val="24"/>
                <w:szCs w:val="24"/>
              </w:rPr>
            </w:pPr>
            <w:r w:rsidRPr="00534EC2">
              <w:rPr>
                <w:rFonts w:ascii="宋体" w:eastAsia="宋体" w:hAnsi="宋体" w:cs="Times New Roman" w:hint="eastAsia"/>
                <w:bCs/>
                <w:sz w:val="24"/>
                <w:szCs w:val="24"/>
              </w:rPr>
              <w:t>绪论（药品相关法规</w:t>
            </w:r>
            <w:r w:rsidRPr="00534EC2">
              <w:rPr>
                <w:rFonts w:ascii="宋体" w:eastAsia="宋体" w:hAnsi="宋体" w:cs="宋体" w:hint="eastAsia"/>
                <w:sz w:val="24"/>
                <w:szCs w:val="24"/>
              </w:rPr>
              <w:t>）</w:t>
            </w:r>
          </w:p>
          <w:p w14:paraId="55146BDA" w14:textId="77777777" w:rsidR="00534EC2" w:rsidRPr="00534EC2" w:rsidRDefault="00534EC2" w:rsidP="00534EC2">
            <w:pPr>
              <w:adjustRightInd w:val="0"/>
              <w:snapToGrid w:val="0"/>
              <w:spacing w:line="440" w:lineRule="atLeast"/>
              <w:rPr>
                <w:rFonts w:ascii="宋体" w:eastAsia="宋体" w:hAnsi="宋体" w:cs="宋体"/>
                <w:sz w:val="24"/>
                <w:szCs w:val="24"/>
              </w:rPr>
            </w:pPr>
            <w:r w:rsidRPr="00534EC2">
              <w:rPr>
                <w:rFonts w:ascii="宋体" w:eastAsia="宋体" w:hAnsi="宋体" w:cs="宋体" w:hint="eastAsia"/>
                <w:sz w:val="24"/>
                <w:szCs w:val="24"/>
              </w:rPr>
              <w:t>2.7 液体制剂（液体制剂的质量要求及评价）</w:t>
            </w:r>
          </w:p>
          <w:p w14:paraId="0B7A7A11" w14:textId="77777777" w:rsidR="00534EC2" w:rsidRPr="00534EC2" w:rsidRDefault="00534EC2" w:rsidP="00534EC2">
            <w:pPr>
              <w:adjustRightInd w:val="0"/>
              <w:snapToGrid w:val="0"/>
              <w:spacing w:line="440" w:lineRule="atLeast"/>
              <w:rPr>
                <w:rFonts w:ascii="宋体" w:eastAsia="宋体" w:hAnsi="宋体" w:cs="宋体"/>
                <w:sz w:val="24"/>
                <w:szCs w:val="24"/>
              </w:rPr>
            </w:pPr>
            <w:r w:rsidRPr="00534EC2">
              <w:rPr>
                <w:rFonts w:ascii="宋体" w:eastAsia="宋体" w:hAnsi="宋体" w:cs="宋体" w:hint="eastAsia"/>
                <w:sz w:val="24"/>
                <w:szCs w:val="24"/>
              </w:rPr>
              <w:t>2.8 注射剂（注射剂及大容量注射液的质量要求及评价）</w:t>
            </w:r>
          </w:p>
          <w:p w14:paraId="74A998EB" w14:textId="77777777" w:rsidR="00534EC2" w:rsidRPr="00534EC2" w:rsidRDefault="00534EC2" w:rsidP="00534EC2">
            <w:pPr>
              <w:adjustRightInd w:val="0"/>
              <w:snapToGrid w:val="0"/>
              <w:spacing w:line="440" w:lineRule="atLeast"/>
              <w:rPr>
                <w:rFonts w:ascii="宋体" w:eastAsia="宋体" w:hAnsi="宋体" w:cs="宋体"/>
                <w:sz w:val="24"/>
                <w:szCs w:val="24"/>
              </w:rPr>
            </w:pPr>
            <w:r w:rsidRPr="00534EC2">
              <w:rPr>
                <w:rFonts w:ascii="宋体" w:eastAsia="宋体" w:hAnsi="宋体" w:cs="宋体" w:hint="eastAsia"/>
                <w:sz w:val="24"/>
                <w:szCs w:val="24"/>
              </w:rPr>
              <w:t>2.9 药物制剂的稳定性（药物与制剂、原料药与制剂稳定性试验方法）</w:t>
            </w:r>
          </w:p>
          <w:p w14:paraId="295C58CC" w14:textId="77777777" w:rsidR="00534EC2" w:rsidRPr="00534EC2" w:rsidRDefault="00534EC2" w:rsidP="00534EC2">
            <w:pPr>
              <w:adjustRightInd w:val="0"/>
              <w:snapToGrid w:val="0"/>
              <w:spacing w:line="440" w:lineRule="atLeast"/>
              <w:rPr>
                <w:rFonts w:ascii="宋体" w:eastAsia="宋体" w:hAnsi="宋体" w:cs="宋体"/>
                <w:sz w:val="24"/>
                <w:szCs w:val="24"/>
              </w:rPr>
            </w:pPr>
            <w:r w:rsidRPr="00534EC2">
              <w:rPr>
                <w:rFonts w:ascii="宋体" w:eastAsia="宋体" w:hAnsi="宋体" w:cs="宋体" w:hint="eastAsia"/>
                <w:sz w:val="24"/>
                <w:szCs w:val="24"/>
              </w:rPr>
              <w:t>2.10 药物制剂的设计（</w:t>
            </w:r>
            <w:r w:rsidRPr="00534EC2">
              <w:rPr>
                <w:rFonts w:ascii="Times New Roman" w:eastAsia="宋体" w:hAnsi="Times New Roman" w:cs="Times New Roman" w:hint="eastAsia"/>
                <w:color w:val="000000"/>
                <w:sz w:val="24"/>
                <w:szCs w:val="24"/>
              </w:rPr>
              <w:t>创新药物研发中的制剂设计；药物制剂处方前研究；药物制剂处方和工艺设计及优化</w:t>
            </w:r>
            <w:r w:rsidRPr="00534EC2">
              <w:rPr>
                <w:rFonts w:ascii="宋体" w:eastAsia="宋体" w:hAnsi="宋体" w:cs="宋体" w:hint="eastAsia"/>
                <w:sz w:val="24"/>
                <w:szCs w:val="24"/>
              </w:rPr>
              <w:t>）</w:t>
            </w:r>
          </w:p>
        </w:tc>
      </w:tr>
    </w:tbl>
    <w:p w14:paraId="37D9CF67" w14:textId="77777777" w:rsidR="00534EC2" w:rsidRPr="00534EC2" w:rsidRDefault="00534EC2" w:rsidP="00534EC2">
      <w:pPr>
        <w:spacing w:beforeLines="50" w:before="156" w:afterLines="50" w:after="156" w:line="440" w:lineRule="atLeast"/>
        <w:ind w:firstLineChars="200" w:firstLine="560"/>
        <w:rPr>
          <w:rFonts w:ascii="黑体" w:eastAsia="黑体" w:hAnsi="黑体" w:cs="Times New Roman"/>
          <w:sz w:val="28"/>
          <w:szCs w:val="28"/>
        </w:rPr>
      </w:pPr>
      <w:r w:rsidRPr="00534EC2">
        <w:rPr>
          <w:rFonts w:ascii="黑体" w:eastAsia="黑体" w:hAnsi="黑体" w:cs="Times New Roman" w:hint="eastAsia"/>
          <w:sz w:val="28"/>
          <w:szCs w:val="28"/>
        </w:rPr>
        <w:t>（二）课程考核方式</w:t>
      </w:r>
    </w:p>
    <w:p w14:paraId="39F66DB9" w14:textId="77777777" w:rsidR="00534EC2" w:rsidRPr="00534EC2" w:rsidRDefault="00534EC2" w:rsidP="00534EC2">
      <w:pPr>
        <w:spacing w:line="440" w:lineRule="atLeast"/>
        <w:ind w:firstLineChars="200" w:firstLine="480"/>
        <w:rPr>
          <w:rFonts w:ascii="宋体" w:eastAsia="宋体" w:hAnsi="宋体" w:cs="Times New Roman"/>
          <w:color w:val="FF0000"/>
          <w:sz w:val="24"/>
          <w:szCs w:val="24"/>
        </w:rPr>
      </w:pPr>
      <w:r w:rsidRPr="00534EC2">
        <w:rPr>
          <w:rFonts w:ascii="宋体" w:eastAsia="宋体" w:hAnsi="宋体" w:cs="Times New Roman" w:hint="eastAsia"/>
          <w:sz w:val="24"/>
          <w:szCs w:val="24"/>
        </w:rPr>
        <w:t>课程考核方式分为平时考核和期末考核。平时考核方式包括课堂表现和平时作业；期末考核采用闭卷考试。</w:t>
      </w:r>
    </w:p>
    <w:p w14:paraId="3DDC1ABD" w14:textId="77777777" w:rsidR="00534EC2" w:rsidRPr="00534EC2" w:rsidRDefault="00534EC2" w:rsidP="00534EC2">
      <w:pPr>
        <w:spacing w:beforeLines="50" w:before="156" w:afterLines="50" w:after="156" w:line="440" w:lineRule="atLeast"/>
        <w:ind w:firstLineChars="200" w:firstLine="560"/>
        <w:rPr>
          <w:rFonts w:ascii="黑体" w:eastAsia="黑体" w:hAnsi="黑体" w:cs="Times New Roman"/>
          <w:sz w:val="28"/>
          <w:szCs w:val="28"/>
        </w:rPr>
      </w:pPr>
      <w:r w:rsidRPr="00534EC2">
        <w:rPr>
          <w:rFonts w:ascii="黑体" w:eastAsia="黑体" w:hAnsi="黑体" w:cs="Times New Roman" w:hint="eastAsia"/>
          <w:sz w:val="28"/>
          <w:szCs w:val="28"/>
        </w:rPr>
        <w:t>（三）课程目标达成评价方式及考核比例</w:t>
      </w:r>
    </w:p>
    <w:p w14:paraId="3FFA97E8"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lastRenderedPageBreak/>
        <w:t>课程考核方式及成绩比例为：课堂表现10%</w:t>
      </w:r>
      <w:r w:rsidRPr="00534EC2">
        <w:rPr>
          <w:rFonts w:ascii="宋体" w:eastAsia="宋体" w:hAnsi="宋体" w:cs="Times New Roman"/>
          <w:sz w:val="24"/>
          <w:szCs w:val="24"/>
        </w:rPr>
        <w:t>+</w:t>
      </w:r>
      <w:r w:rsidRPr="00534EC2">
        <w:rPr>
          <w:rFonts w:ascii="宋体" w:eastAsia="宋体" w:hAnsi="宋体" w:cs="Times New Roman" w:hint="eastAsia"/>
          <w:sz w:val="24"/>
          <w:szCs w:val="24"/>
        </w:rPr>
        <w:t>平时作业1</w:t>
      </w:r>
      <w:r w:rsidRPr="00534EC2">
        <w:rPr>
          <w:rFonts w:ascii="宋体" w:eastAsia="宋体" w:hAnsi="宋体" w:cs="Times New Roman"/>
          <w:sz w:val="24"/>
          <w:szCs w:val="24"/>
        </w:rPr>
        <w:t>0</w:t>
      </w:r>
      <w:r w:rsidRPr="00534EC2">
        <w:rPr>
          <w:rFonts w:ascii="宋体" w:eastAsia="宋体" w:hAnsi="宋体" w:cs="Times New Roman" w:hint="eastAsia"/>
          <w:sz w:val="24"/>
          <w:szCs w:val="24"/>
        </w:rPr>
        <w:t>%</w:t>
      </w:r>
      <w:r w:rsidRPr="00534EC2">
        <w:rPr>
          <w:rFonts w:ascii="宋体" w:eastAsia="宋体" w:hAnsi="宋体" w:cs="Times New Roman"/>
          <w:sz w:val="24"/>
          <w:szCs w:val="24"/>
        </w:rPr>
        <w:t>+</w:t>
      </w:r>
      <w:r w:rsidRPr="00534EC2">
        <w:rPr>
          <w:rFonts w:ascii="宋体" w:eastAsia="宋体" w:hAnsi="宋体" w:cs="Times New Roman" w:hint="eastAsia"/>
          <w:sz w:val="24"/>
          <w:szCs w:val="24"/>
        </w:rPr>
        <w:t>课程论文10%</w:t>
      </w:r>
      <w:r w:rsidRPr="00534EC2">
        <w:rPr>
          <w:rFonts w:ascii="宋体" w:eastAsia="宋体" w:hAnsi="宋体" w:cs="Times New Roman"/>
          <w:sz w:val="24"/>
          <w:szCs w:val="24"/>
        </w:rPr>
        <w:t>+</w:t>
      </w:r>
      <w:r w:rsidRPr="00534EC2">
        <w:rPr>
          <w:rFonts w:ascii="宋体" w:eastAsia="宋体" w:hAnsi="宋体" w:cs="Times New Roman" w:hint="eastAsia"/>
          <w:sz w:val="24"/>
          <w:szCs w:val="24"/>
        </w:rPr>
        <w:t>期末考试7</w:t>
      </w:r>
      <w:r w:rsidRPr="00534EC2">
        <w:rPr>
          <w:rFonts w:ascii="宋体" w:eastAsia="宋体" w:hAnsi="宋体" w:cs="Times New Roman"/>
          <w:sz w:val="24"/>
          <w:szCs w:val="24"/>
        </w:rPr>
        <w:t>0</w:t>
      </w:r>
      <w:r w:rsidRPr="00534EC2">
        <w:rPr>
          <w:rFonts w:ascii="宋体" w:eastAsia="宋体" w:hAnsi="宋体" w:cs="Times New Roman" w:hint="eastAsia"/>
          <w:sz w:val="24"/>
          <w:szCs w:val="24"/>
        </w:rPr>
        <w:t>%；本课程共有三个课程目标，考核方式及成绩比例分别为：</w:t>
      </w:r>
    </w:p>
    <w:p w14:paraId="0BA2718E"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课程目标1：课堂表现15%+平时作业15%</w:t>
      </w:r>
      <w:r w:rsidRPr="00534EC2">
        <w:rPr>
          <w:rFonts w:ascii="宋体" w:eastAsia="宋体" w:hAnsi="宋体" w:cs="Times New Roman"/>
          <w:sz w:val="24"/>
          <w:szCs w:val="24"/>
        </w:rPr>
        <w:t>+</w:t>
      </w:r>
      <w:r w:rsidRPr="00534EC2">
        <w:rPr>
          <w:rFonts w:ascii="宋体" w:eastAsia="宋体" w:hAnsi="宋体" w:cs="Times New Roman" w:hint="eastAsia"/>
          <w:sz w:val="24"/>
          <w:szCs w:val="24"/>
        </w:rPr>
        <w:t>期末考试50%</w:t>
      </w:r>
    </w:p>
    <w:p w14:paraId="71EB18FE"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课程目标2：期末考试20%</w:t>
      </w:r>
    </w:p>
    <w:p w14:paraId="632AC241"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2090"/>
        <w:gridCol w:w="2090"/>
        <w:gridCol w:w="2091"/>
        <w:gridCol w:w="1559"/>
      </w:tblGrid>
      <w:tr w:rsidR="00534EC2" w:rsidRPr="00534EC2" w14:paraId="630AFC7D" w14:textId="77777777" w:rsidTr="00534EC2">
        <w:trPr>
          <w:trHeight w:val="540"/>
          <w:jc w:val="center"/>
        </w:trPr>
        <w:tc>
          <w:tcPr>
            <w:tcW w:w="1422" w:type="dxa"/>
            <w:vMerge w:val="restart"/>
            <w:vAlign w:val="center"/>
          </w:tcPr>
          <w:p w14:paraId="7A6B2CB9" w14:textId="77777777" w:rsidR="00534EC2" w:rsidRPr="00534EC2" w:rsidRDefault="00534EC2" w:rsidP="00534EC2">
            <w:pPr>
              <w:spacing w:line="440" w:lineRule="atLeast"/>
              <w:jc w:val="center"/>
              <w:rPr>
                <w:rFonts w:ascii="宋体" w:eastAsia="宋体" w:hAnsi="宋体" w:cs="Times New Roman"/>
                <w:b/>
                <w:sz w:val="24"/>
                <w:szCs w:val="24"/>
              </w:rPr>
            </w:pPr>
            <w:r w:rsidRPr="00534EC2">
              <w:rPr>
                <w:rFonts w:ascii="宋体" w:eastAsia="宋体" w:hAnsi="宋体" w:cs="Times New Roman" w:hint="eastAsia"/>
                <w:b/>
                <w:sz w:val="24"/>
                <w:szCs w:val="24"/>
              </w:rPr>
              <w:t>课程目标</w:t>
            </w:r>
          </w:p>
        </w:tc>
        <w:tc>
          <w:tcPr>
            <w:tcW w:w="6271" w:type="dxa"/>
            <w:gridSpan w:val="3"/>
            <w:vAlign w:val="center"/>
          </w:tcPr>
          <w:p w14:paraId="7C9FB1BC" w14:textId="77777777" w:rsidR="00534EC2" w:rsidRPr="00534EC2" w:rsidRDefault="00534EC2" w:rsidP="00534EC2">
            <w:pPr>
              <w:spacing w:line="440" w:lineRule="atLeast"/>
              <w:jc w:val="center"/>
              <w:rPr>
                <w:rFonts w:ascii="宋体" w:eastAsia="宋体" w:hAnsi="宋体" w:cs="Times New Roman"/>
                <w:b/>
                <w:sz w:val="24"/>
                <w:szCs w:val="24"/>
              </w:rPr>
            </w:pPr>
            <w:r w:rsidRPr="00534EC2">
              <w:rPr>
                <w:rFonts w:ascii="宋体" w:eastAsia="宋体" w:hAnsi="宋体" w:cs="Times New Roman" w:hint="eastAsia"/>
                <w:b/>
                <w:sz w:val="24"/>
                <w:szCs w:val="24"/>
              </w:rPr>
              <w:t>考核方式及成绩比例（%）</w:t>
            </w:r>
          </w:p>
        </w:tc>
        <w:tc>
          <w:tcPr>
            <w:tcW w:w="1559" w:type="dxa"/>
            <w:vMerge w:val="restart"/>
            <w:vAlign w:val="center"/>
          </w:tcPr>
          <w:p w14:paraId="1572754E" w14:textId="77777777" w:rsidR="00534EC2" w:rsidRPr="00534EC2" w:rsidRDefault="00534EC2" w:rsidP="00534EC2">
            <w:pPr>
              <w:spacing w:line="440" w:lineRule="atLeast"/>
              <w:jc w:val="center"/>
              <w:rPr>
                <w:rFonts w:ascii="宋体" w:eastAsia="宋体" w:hAnsi="宋体" w:cs="Times New Roman"/>
                <w:b/>
                <w:sz w:val="24"/>
                <w:szCs w:val="24"/>
              </w:rPr>
            </w:pPr>
            <w:r w:rsidRPr="00534EC2">
              <w:rPr>
                <w:rFonts w:ascii="宋体" w:eastAsia="宋体" w:hAnsi="宋体" w:cs="Times New Roman" w:hint="eastAsia"/>
                <w:b/>
                <w:sz w:val="24"/>
                <w:szCs w:val="24"/>
              </w:rPr>
              <w:t>合计</w:t>
            </w:r>
          </w:p>
        </w:tc>
      </w:tr>
      <w:tr w:rsidR="00534EC2" w:rsidRPr="00534EC2" w14:paraId="3F79915E" w14:textId="77777777" w:rsidTr="00534EC2">
        <w:trPr>
          <w:trHeight w:val="578"/>
          <w:jc w:val="center"/>
        </w:trPr>
        <w:tc>
          <w:tcPr>
            <w:tcW w:w="1422" w:type="dxa"/>
            <w:vMerge/>
            <w:vAlign w:val="center"/>
          </w:tcPr>
          <w:p w14:paraId="3785285E" w14:textId="77777777" w:rsidR="00534EC2" w:rsidRPr="00534EC2" w:rsidRDefault="00534EC2" w:rsidP="00534EC2">
            <w:pPr>
              <w:spacing w:line="440" w:lineRule="atLeast"/>
              <w:jc w:val="center"/>
              <w:rPr>
                <w:rFonts w:ascii="宋体" w:eastAsia="宋体" w:hAnsi="宋体" w:cs="Times New Roman"/>
                <w:b/>
                <w:sz w:val="24"/>
                <w:szCs w:val="24"/>
              </w:rPr>
            </w:pPr>
          </w:p>
        </w:tc>
        <w:tc>
          <w:tcPr>
            <w:tcW w:w="2090" w:type="dxa"/>
            <w:vAlign w:val="center"/>
          </w:tcPr>
          <w:p w14:paraId="0A6A79A4"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课堂表现</w:t>
            </w:r>
          </w:p>
        </w:tc>
        <w:tc>
          <w:tcPr>
            <w:tcW w:w="2090" w:type="dxa"/>
            <w:vAlign w:val="center"/>
          </w:tcPr>
          <w:p w14:paraId="31C933BD"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平时作业</w:t>
            </w:r>
          </w:p>
        </w:tc>
        <w:tc>
          <w:tcPr>
            <w:tcW w:w="2091" w:type="dxa"/>
            <w:vAlign w:val="center"/>
          </w:tcPr>
          <w:p w14:paraId="0ED2A51E"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期末考试</w:t>
            </w:r>
          </w:p>
        </w:tc>
        <w:tc>
          <w:tcPr>
            <w:tcW w:w="1559" w:type="dxa"/>
            <w:vMerge/>
          </w:tcPr>
          <w:p w14:paraId="42152001" w14:textId="77777777" w:rsidR="00534EC2" w:rsidRPr="00534EC2" w:rsidRDefault="00534EC2" w:rsidP="00534EC2">
            <w:pPr>
              <w:spacing w:line="440" w:lineRule="atLeast"/>
              <w:jc w:val="center"/>
              <w:rPr>
                <w:rFonts w:ascii="宋体" w:eastAsia="宋体" w:hAnsi="宋体" w:cs="Times New Roman"/>
                <w:bCs/>
                <w:sz w:val="24"/>
                <w:szCs w:val="24"/>
              </w:rPr>
            </w:pPr>
          </w:p>
        </w:tc>
      </w:tr>
      <w:tr w:rsidR="00534EC2" w:rsidRPr="00534EC2" w14:paraId="29D54EBE" w14:textId="77777777" w:rsidTr="00534EC2">
        <w:trPr>
          <w:jc w:val="center"/>
        </w:trPr>
        <w:tc>
          <w:tcPr>
            <w:tcW w:w="1422" w:type="dxa"/>
            <w:vAlign w:val="center"/>
          </w:tcPr>
          <w:p w14:paraId="35CA962C"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课程目标1</w:t>
            </w:r>
          </w:p>
        </w:tc>
        <w:tc>
          <w:tcPr>
            <w:tcW w:w="2090" w:type="dxa"/>
            <w:vAlign w:val="center"/>
          </w:tcPr>
          <w:p w14:paraId="37EFD35A"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15</w:t>
            </w:r>
          </w:p>
        </w:tc>
        <w:tc>
          <w:tcPr>
            <w:tcW w:w="2090" w:type="dxa"/>
            <w:vAlign w:val="center"/>
          </w:tcPr>
          <w:p w14:paraId="068BF479"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15</w:t>
            </w:r>
          </w:p>
        </w:tc>
        <w:tc>
          <w:tcPr>
            <w:tcW w:w="2091" w:type="dxa"/>
            <w:vAlign w:val="center"/>
          </w:tcPr>
          <w:p w14:paraId="422E7217"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50</w:t>
            </w:r>
          </w:p>
        </w:tc>
        <w:tc>
          <w:tcPr>
            <w:tcW w:w="1559" w:type="dxa"/>
          </w:tcPr>
          <w:p w14:paraId="0ADBB5AC"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80</w:t>
            </w:r>
          </w:p>
        </w:tc>
      </w:tr>
      <w:tr w:rsidR="00534EC2" w:rsidRPr="00534EC2" w14:paraId="1C0E2340" w14:textId="77777777" w:rsidTr="00534EC2">
        <w:trPr>
          <w:jc w:val="center"/>
        </w:trPr>
        <w:tc>
          <w:tcPr>
            <w:tcW w:w="1422" w:type="dxa"/>
            <w:vAlign w:val="center"/>
          </w:tcPr>
          <w:p w14:paraId="773A9EE5"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课程目标2</w:t>
            </w:r>
          </w:p>
        </w:tc>
        <w:tc>
          <w:tcPr>
            <w:tcW w:w="2090" w:type="dxa"/>
            <w:vAlign w:val="center"/>
          </w:tcPr>
          <w:p w14:paraId="1EEEA929" w14:textId="77777777" w:rsidR="00534EC2" w:rsidRPr="00534EC2" w:rsidRDefault="00534EC2" w:rsidP="00534EC2">
            <w:pPr>
              <w:spacing w:line="440" w:lineRule="atLeast"/>
              <w:jc w:val="center"/>
              <w:rPr>
                <w:rFonts w:ascii="宋体" w:eastAsia="宋体" w:hAnsi="宋体" w:cs="Times New Roman"/>
                <w:bCs/>
                <w:sz w:val="24"/>
                <w:szCs w:val="24"/>
              </w:rPr>
            </w:pPr>
          </w:p>
        </w:tc>
        <w:tc>
          <w:tcPr>
            <w:tcW w:w="2090" w:type="dxa"/>
            <w:vAlign w:val="center"/>
          </w:tcPr>
          <w:p w14:paraId="44DC4803" w14:textId="77777777" w:rsidR="00534EC2" w:rsidRPr="00534EC2" w:rsidRDefault="00534EC2" w:rsidP="00534EC2">
            <w:pPr>
              <w:spacing w:line="440" w:lineRule="atLeast"/>
              <w:jc w:val="center"/>
              <w:rPr>
                <w:rFonts w:ascii="宋体" w:eastAsia="宋体" w:hAnsi="宋体" w:cs="Times New Roman"/>
                <w:bCs/>
                <w:sz w:val="24"/>
                <w:szCs w:val="24"/>
              </w:rPr>
            </w:pPr>
          </w:p>
        </w:tc>
        <w:tc>
          <w:tcPr>
            <w:tcW w:w="2091" w:type="dxa"/>
            <w:vAlign w:val="center"/>
          </w:tcPr>
          <w:p w14:paraId="51C364D2"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20</w:t>
            </w:r>
          </w:p>
        </w:tc>
        <w:tc>
          <w:tcPr>
            <w:tcW w:w="1559" w:type="dxa"/>
          </w:tcPr>
          <w:p w14:paraId="4FFF9BF0"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20</w:t>
            </w:r>
          </w:p>
        </w:tc>
      </w:tr>
      <w:tr w:rsidR="00534EC2" w:rsidRPr="00534EC2" w14:paraId="47591F92" w14:textId="77777777" w:rsidTr="00534EC2">
        <w:trPr>
          <w:jc w:val="center"/>
        </w:trPr>
        <w:tc>
          <w:tcPr>
            <w:tcW w:w="1422" w:type="dxa"/>
            <w:vAlign w:val="center"/>
          </w:tcPr>
          <w:p w14:paraId="656B18A7"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合计</w:t>
            </w:r>
          </w:p>
        </w:tc>
        <w:tc>
          <w:tcPr>
            <w:tcW w:w="2090" w:type="dxa"/>
            <w:vAlign w:val="center"/>
          </w:tcPr>
          <w:p w14:paraId="589DA6AB"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15</w:t>
            </w:r>
          </w:p>
        </w:tc>
        <w:tc>
          <w:tcPr>
            <w:tcW w:w="2090" w:type="dxa"/>
            <w:vAlign w:val="center"/>
          </w:tcPr>
          <w:p w14:paraId="330FCC75"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15</w:t>
            </w:r>
          </w:p>
        </w:tc>
        <w:tc>
          <w:tcPr>
            <w:tcW w:w="2091" w:type="dxa"/>
            <w:vAlign w:val="center"/>
          </w:tcPr>
          <w:p w14:paraId="00237249"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70</w:t>
            </w:r>
          </w:p>
        </w:tc>
        <w:tc>
          <w:tcPr>
            <w:tcW w:w="1559" w:type="dxa"/>
          </w:tcPr>
          <w:p w14:paraId="6AE3FC76" w14:textId="77777777" w:rsidR="00534EC2" w:rsidRPr="00534EC2" w:rsidRDefault="00534EC2" w:rsidP="00534EC2">
            <w:pPr>
              <w:spacing w:line="440" w:lineRule="atLeast"/>
              <w:jc w:val="center"/>
              <w:rPr>
                <w:rFonts w:ascii="宋体" w:eastAsia="宋体" w:hAnsi="宋体" w:cs="Times New Roman"/>
                <w:bCs/>
                <w:sz w:val="24"/>
                <w:szCs w:val="24"/>
              </w:rPr>
            </w:pPr>
            <w:r w:rsidRPr="00534EC2">
              <w:rPr>
                <w:rFonts w:ascii="宋体" w:eastAsia="宋体" w:hAnsi="宋体" w:cs="Times New Roman" w:hint="eastAsia"/>
                <w:bCs/>
                <w:sz w:val="24"/>
                <w:szCs w:val="24"/>
              </w:rPr>
              <w:t>100</w:t>
            </w:r>
          </w:p>
        </w:tc>
      </w:tr>
    </w:tbl>
    <w:p w14:paraId="411D110F" w14:textId="77777777" w:rsidR="00534EC2" w:rsidRPr="00534EC2" w:rsidRDefault="00534EC2" w:rsidP="00534EC2">
      <w:pPr>
        <w:spacing w:beforeLines="50" w:before="156" w:afterLines="50" w:after="156" w:line="440" w:lineRule="atLeast"/>
        <w:ind w:firstLineChars="200" w:firstLine="560"/>
        <w:rPr>
          <w:rFonts w:ascii="黑体" w:eastAsia="黑体" w:hAnsi="黑体" w:cs="Times New Roman"/>
          <w:sz w:val="28"/>
          <w:szCs w:val="28"/>
        </w:rPr>
      </w:pPr>
      <w:r w:rsidRPr="00534EC2">
        <w:rPr>
          <w:rFonts w:ascii="黑体" w:eastAsia="黑体" w:hAnsi="黑体" w:cs="Times New Roman" w:hint="eastAsia"/>
          <w:sz w:val="28"/>
          <w:szCs w:val="28"/>
        </w:rPr>
        <w:t>五、成绩评定</w:t>
      </w:r>
    </w:p>
    <w:p w14:paraId="1324514E" w14:textId="77777777" w:rsidR="00534EC2" w:rsidRPr="00534EC2" w:rsidRDefault="00534EC2" w:rsidP="00534EC2">
      <w:pPr>
        <w:spacing w:beforeLines="50" w:before="156" w:afterLines="50" w:after="156" w:line="440" w:lineRule="atLeast"/>
        <w:ind w:firstLineChars="200" w:firstLine="560"/>
        <w:rPr>
          <w:rFonts w:ascii="黑体" w:eastAsia="黑体" w:hAnsi="黑体" w:cs="Times New Roman"/>
          <w:sz w:val="28"/>
          <w:szCs w:val="28"/>
        </w:rPr>
      </w:pPr>
      <w:r w:rsidRPr="00534EC2">
        <w:rPr>
          <w:rFonts w:ascii="黑体" w:eastAsia="黑体" w:hAnsi="黑体" w:cs="Times New Roman" w:hint="eastAsia"/>
          <w:sz w:val="28"/>
          <w:szCs w:val="28"/>
        </w:rPr>
        <w:t>（一）总成绩评定</w:t>
      </w:r>
    </w:p>
    <w:p w14:paraId="734FE38A"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总成绩=平时成绩×30%+期末成绩×70%</w:t>
      </w:r>
    </w:p>
    <w:p w14:paraId="5AD92CE7" w14:textId="77777777" w:rsidR="00534EC2" w:rsidRPr="00534EC2" w:rsidRDefault="00534EC2" w:rsidP="00534EC2">
      <w:pPr>
        <w:spacing w:beforeLines="50" w:before="156" w:afterLines="50" w:after="156" w:line="440" w:lineRule="atLeast"/>
        <w:ind w:firstLineChars="200" w:firstLine="560"/>
        <w:rPr>
          <w:rFonts w:ascii="宋体" w:eastAsia="宋体" w:hAnsi="宋体" w:cs="Times New Roman"/>
          <w:color w:val="FF0000"/>
          <w:sz w:val="24"/>
          <w:szCs w:val="24"/>
        </w:rPr>
      </w:pPr>
      <w:r w:rsidRPr="00534EC2">
        <w:rPr>
          <w:rFonts w:ascii="黑体" w:eastAsia="黑体" w:hAnsi="黑体" w:cs="Times New Roman" w:hint="eastAsia"/>
          <w:sz w:val="28"/>
          <w:szCs w:val="28"/>
        </w:rPr>
        <w:t>（二）平时成绩评定</w:t>
      </w:r>
    </w:p>
    <w:p w14:paraId="589C78DA"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平时成绩（100%）=课堂表现（50%）+平时作业（50%）</w:t>
      </w:r>
    </w:p>
    <w:p w14:paraId="05D5225C"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考核方式：</w:t>
      </w:r>
    </w:p>
    <w:p w14:paraId="5C93CAC2" w14:textId="77777777" w:rsidR="00534EC2" w:rsidRPr="00534EC2" w:rsidRDefault="00534EC2">
      <w:pPr>
        <w:numPr>
          <w:ilvl w:val="0"/>
          <w:numId w:val="223"/>
        </w:numPr>
        <w:spacing w:line="440" w:lineRule="atLeast"/>
        <w:ind w:firstLineChars="200" w:firstLine="480"/>
        <w:rPr>
          <w:rFonts w:ascii="宋体" w:eastAsia="宋体" w:hAnsi="宋体" w:cs="宋体"/>
          <w:sz w:val="24"/>
          <w:szCs w:val="24"/>
        </w:rPr>
      </w:pPr>
      <w:r w:rsidRPr="00534EC2">
        <w:rPr>
          <w:rFonts w:ascii="宋体" w:eastAsia="宋体" w:hAnsi="宋体" w:cs="Times New Roman" w:hint="eastAsia"/>
          <w:sz w:val="24"/>
          <w:szCs w:val="24"/>
        </w:rPr>
        <w:t>课堂表现：</w:t>
      </w:r>
      <w:r w:rsidRPr="00534EC2">
        <w:rPr>
          <w:rFonts w:ascii="宋体" w:eastAsia="宋体" w:hAnsi="宋体" w:cs="宋体" w:hint="eastAsia"/>
          <w:sz w:val="24"/>
          <w:szCs w:val="24"/>
        </w:rPr>
        <w:t>成绩基础分值为90分，在此基础上，由出勤情况、课上回答问题、课堂不良表现三个方面综合评定，满分100分：</w:t>
      </w:r>
      <w:r w:rsidRPr="00534EC2">
        <w:rPr>
          <w:rFonts w:ascii="宋体" w:eastAsia="宋体" w:hAnsi="宋体" w:cs="宋体"/>
          <w:sz w:val="24"/>
          <w:szCs w:val="24"/>
        </w:rPr>
        <w:fldChar w:fldCharType="begin"/>
      </w:r>
      <w:r w:rsidRPr="00534EC2">
        <w:rPr>
          <w:rFonts w:ascii="宋体" w:eastAsia="宋体" w:hAnsi="宋体" w:cs="宋体"/>
          <w:sz w:val="24"/>
          <w:szCs w:val="24"/>
        </w:rPr>
        <w:instrText xml:space="preserve"> </w:instrText>
      </w:r>
      <w:r w:rsidRPr="00534EC2">
        <w:rPr>
          <w:rFonts w:ascii="宋体" w:eastAsia="宋体" w:hAnsi="宋体" w:cs="宋体" w:hint="eastAsia"/>
          <w:sz w:val="24"/>
          <w:szCs w:val="24"/>
        </w:rPr>
        <w:instrText>= 1 \* GB3</w:instrText>
      </w:r>
      <w:r w:rsidRPr="00534EC2">
        <w:rPr>
          <w:rFonts w:ascii="宋体" w:eastAsia="宋体" w:hAnsi="宋体" w:cs="宋体"/>
          <w:sz w:val="24"/>
          <w:szCs w:val="24"/>
        </w:rPr>
        <w:instrText xml:space="preserve"> </w:instrText>
      </w:r>
      <w:r w:rsidRPr="00534EC2">
        <w:rPr>
          <w:rFonts w:ascii="宋体" w:eastAsia="宋体" w:hAnsi="宋体" w:cs="宋体"/>
          <w:sz w:val="24"/>
          <w:szCs w:val="24"/>
        </w:rPr>
        <w:fldChar w:fldCharType="separate"/>
      </w:r>
      <w:r w:rsidRPr="00534EC2">
        <w:rPr>
          <w:rFonts w:ascii="宋体" w:eastAsia="宋体" w:hAnsi="宋体" w:cs="宋体" w:hint="eastAsia"/>
          <w:sz w:val="24"/>
          <w:szCs w:val="24"/>
        </w:rPr>
        <w:t>①</w:t>
      </w:r>
      <w:r w:rsidRPr="00534EC2">
        <w:rPr>
          <w:rFonts w:ascii="宋体" w:eastAsia="宋体" w:hAnsi="宋体" w:cs="宋体"/>
          <w:sz w:val="24"/>
          <w:szCs w:val="24"/>
        </w:rPr>
        <w:fldChar w:fldCharType="end"/>
      </w:r>
      <w:r w:rsidRPr="00534EC2">
        <w:rPr>
          <w:rFonts w:ascii="宋体" w:eastAsia="宋体" w:hAnsi="宋体" w:cs="宋体" w:hint="eastAsia"/>
          <w:sz w:val="24"/>
          <w:szCs w:val="24"/>
        </w:rPr>
        <w:t>出勤情况：出勤90分；旷课0分；迟到80分；请假60分。</w:t>
      </w:r>
      <w:r w:rsidRPr="00534EC2">
        <w:rPr>
          <w:rFonts w:ascii="宋体" w:eastAsia="宋体" w:hAnsi="宋体" w:cs="宋体"/>
          <w:sz w:val="24"/>
          <w:szCs w:val="24"/>
        </w:rPr>
        <w:fldChar w:fldCharType="begin"/>
      </w:r>
      <w:r w:rsidRPr="00534EC2">
        <w:rPr>
          <w:rFonts w:ascii="宋体" w:eastAsia="宋体" w:hAnsi="宋体" w:cs="宋体"/>
          <w:sz w:val="24"/>
          <w:szCs w:val="24"/>
        </w:rPr>
        <w:instrText xml:space="preserve"> </w:instrText>
      </w:r>
      <w:r w:rsidRPr="00534EC2">
        <w:rPr>
          <w:rFonts w:ascii="宋体" w:eastAsia="宋体" w:hAnsi="宋体" w:cs="宋体" w:hint="eastAsia"/>
          <w:sz w:val="24"/>
          <w:szCs w:val="24"/>
        </w:rPr>
        <w:instrText>= 2 \* GB3</w:instrText>
      </w:r>
      <w:r w:rsidRPr="00534EC2">
        <w:rPr>
          <w:rFonts w:ascii="宋体" w:eastAsia="宋体" w:hAnsi="宋体" w:cs="宋体"/>
          <w:sz w:val="24"/>
          <w:szCs w:val="24"/>
        </w:rPr>
        <w:instrText xml:space="preserve"> </w:instrText>
      </w:r>
      <w:r w:rsidRPr="00534EC2">
        <w:rPr>
          <w:rFonts w:ascii="宋体" w:eastAsia="宋体" w:hAnsi="宋体" w:cs="宋体"/>
          <w:sz w:val="24"/>
          <w:szCs w:val="24"/>
        </w:rPr>
        <w:fldChar w:fldCharType="separate"/>
      </w:r>
      <w:r w:rsidRPr="00534EC2">
        <w:rPr>
          <w:rFonts w:ascii="宋体" w:eastAsia="宋体" w:hAnsi="宋体" w:cs="宋体" w:hint="eastAsia"/>
          <w:sz w:val="24"/>
          <w:szCs w:val="24"/>
        </w:rPr>
        <w:t>②</w:t>
      </w:r>
      <w:r w:rsidRPr="00534EC2">
        <w:rPr>
          <w:rFonts w:ascii="宋体" w:eastAsia="宋体" w:hAnsi="宋体" w:cs="宋体"/>
          <w:sz w:val="24"/>
          <w:szCs w:val="24"/>
        </w:rPr>
        <w:fldChar w:fldCharType="end"/>
      </w:r>
      <w:r w:rsidRPr="00534EC2">
        <w:rPr>
          <w:rFonts w:ascii="宋体" w:eastAsia="宋体" w:hAnsi="宋体" w:cs="宋体" w:hint="eastAsia"/>
          <w:sz w:val="24"/>
          <w:szCs w:val="24"/>
        </w:rPr>
        <w:t>课上积极回答老师的提问、课堂互动，加2分/次；</w:t>
      </w:r>
      <w:r w:rsidRPr="00534EC2">
        <w:rPr>
          <w:rFonts w:ascii="宋体" w:eastAsia="宋体" w:hAnsi="宋体" w:cs="宋体"/>
          <w:sz w:val="24"/>
          <w:szCs w:val="24"/>
        </w:rPr>
        <w:fldChar w:fldCharType="begin"/>
      </w:r>
      <w:r w:rsidRPr="00534EC2">
        <w:rPr>
          <w:rFonts w:ascii="宋体" w:eastAsia="宋体" w:hAnsi="宋体" w:cs="宋体"/>
          <w:sz w:val="24"/>
          <w:szCs w:val="24"/>
        </w:rPr>
        <w:instrText xml:space="preserve"> </w:instrText>
      </w:r>
      <w:r w:rsidRPr="00534EC2">
        <w:rPr>
          <w:rFonts w:ascii="宋体" w:eastAsia="宋体" w:hAnsi="宋体" w:cs="宋体" w:hint="eastAsia"/>
          <w:sz w:val="24"/>
          <w:szCs w:val="24"/>
        </w:rPr>
        <w:instrText>= 3 \* GB3</w:instrText>
      </w:r>
      <w:r w:rsidRPr="00534EC2">
        <w:rPr>
          <w:rFonts w:ascii="宋体" w:eastAsia="宋体" w:hAnsi="宋体" w:cs="宋体"/>
          <w:sz w:val="24"/>
          <w:szCs w:val="24"/>
        </w:rPr>
        <w:instrText xml:space="preserve"> </w:instrText>
      </w:r>
      <w:r w:rsidRPr="00534EC2">
        <w:rPr>
          <w:rFonts w:ascii="宋体" w:eastAsia="宋体" w:hAnsi="宋体" w:cs="宋体"/>
          <w:sz w:val="24"/>
          <w:szCs w:val="24"/>
        </w:rPr>
        <w:fldChar w:fldCharType="separate"/>
      </w:r>
      <w:r w:rsidRPr="00534EC2">
        <w:rPr>
          <w:rFonts w:ascii="宋体" w:eastAsia="宋体" w:hAnsi="宋体" w:cs="宋体" w:hint="eastAsia"/>
          <w:sz w:val="24"/>
          <w:szCs w:val="24"/>
        </w:rPr>
        <w:t>③</w:t>
      </w:r>
      <w:r w:rsidRPr="00534EC2">
        <w:rPr>
          <w:rFonts w:ascii="宋体" w:eastAsia="宋体" w:hAnsi="宋体" w:cs="宋体"/>
          <w:sz w:val="24"/>
          <w:szCs w:val="24"/>
        </w:rPr>
        <w:fldChar w:fldCharType="end"/>
      </w:r>
      <w:r w:rsidRPr="00534EC2">
        <w:rPr>
          <w:rFonts w:ascii="宋体" w:eastAsia="宋体" w:hAnsi="宋体" w:cs="宋体" w:hint="eastAsia"/>
          <w:sz w:val="24"/>
          <w:szCs w:val="24"/>
        </w:rPr>
        <w:t>课堂上凡有影响课堂秩序的行为（如玩手机、交头接耳等），视情节严重程度扣2~4分/次；</w:t>
      </w:r>
      <w:r w:rsidRPr="00534EC2">
        <w:rPr>
          <w:rFonts w:ascii="宋体" w:eastAsia="宋体" w:hAnsi="宋体" w:cs="宋体"/>
          <w:sz w:val="24"/>
          <w:szCs w:val="24"/>
        </w:rPr>
        <w:fldChar w:fldCharType="begin"/>
      </w:r>
      <w:r w:rsidRPr="00534EC2">
        <w:rPr>
          <w:rFonts w:ascii="宋体" w:eastAsia="宋体" w:hAnsi="宋体" w:cs="宋体"/>
          <w:sz w:val="24"/>
          <w:szCs w:val="24"/>
        </w:rPr>
        <w:instrText xml:space="preserve"> </w:instrText>
      </w:r>
      <w:r w:rsidRPr="00534EC2">
        <w:rPr>
          <w:rFonts w:ascii="宋体" w:eastAsia="宋体" w:hAnsi="宋体" w:cs="宋体" w:hint="eastAsia"/>
          <w:sz w:val="24"/>
          <w:szCs w:val="24"/>
        </w:rPr>
        <w:instrText>= 4 \* GB3</w:instrText>
      </w:r>
      <w:r w:rsidRPr="00534EC2">
        <w:rPr>
          <w:rFonts w:ascii="宋体" w:eastAsia="宋体" w:hAnsi="宋体" w:cs="宋体"/>
          <w:sz w:val="24"/>
          <w:szCs w:val="24"/>
        </w:rPr>
        <w:instrText xml:space="preserve"> </w:instrText>
      </w:r>
      <w:r w:rsidRPr="00534EC2">
        <w:rPr>
          <w:rFonts w:ascii="宋体" w:eastAsia="宋体" w:hAnsi="宋体" w:cs="宋体"/>
          <w:sz w:val="24"/>
          <w:szCs w:val="24"/>
        </w:rPr>
        <w:fldChar w:fldCharType="separate"/>
      </w:r>
      <w:r w:rsidRPr="00534EC2">
        <w:rPr>
          <w:rFonts w:ascii="宋体" w:eastAsia="宋体" w:hAnsi="宋体" w:cs="宋体" w:hint="eastAsia"/>
          <w:sz w:val="24"/>
          <w:szCs w:val="24"/>
        </w:rPr>
        <w:t>④</w:t>
      </w:r>
      <w:r w:rsidRPr="00534EC2">
        <w:rPr>
          <w:rFonts w:ascii="宋体" w:eastAsia="宋体" w:hAnsi="宋体" w:cs="宋体"/>
          <w:sz w:val="24"/>
          <w:szCs w:val="24"/>
        </w:rPr>
        <w:fldChar w:fldCharType="end"/>
      </w:r>
      <w:r w:rsidRPr="00534EC2">
        <w:rPr>
          <w:rFonts w:ascii="宋体" w:eastAsia="宋体" w:hAnsi="宋体" w:cs="宋体" w:hint="eastAsia"/>
          <w:sz w:val="24"/>
          <w:szCs w:val="24"/>
        </w:rPr>
        <w:t>课代表承担教学辅助工作，额外获得奖励性加分10分。</w:t>
      </w:r>
    </w:p>
    <w:p w14:paraId="2CD65C2E"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（2）平时作业完成情况：根据学生对于课后作业的完成及理解情况，进行评分，满分记100分。</w:t>
      </w:r>
    </w:p>
    <w:p w14:paraId="369B132C" w14:textId="77777777" w:rsidR="00534EC2" w:rsidRPr="00534EC2" w:rsidRDefault="00534EC2" w:rsidP="00534EC2">
      <w:pPr>
        <w:spacing w:beforeLines="50" w:before="156" w:afterLines="50" w:after="156" w:line="440" w:lineRule="atLeast"/>
        <w:ind w:firstLineChars="200" w:firstLine="560"/>
        <w:rPr>
          <w:rFonts w:ascii="黑体" w:eastAsia="黑体" w:hAnsi="黑体" w:cs="Times New Roman"/>
          <w:sz w:val="28"/>
          <w:szCs w:val="28"/>
        </w:rPr>
      </w:pPr>
      <w:r w:rsidRPr="00534EC2">
        <w:rPr>
          <w:rFonts w:ascii="黑体" w:eastAsia="黑体" w:hAnsi="黑体" w:cs="Times New Roman" w:hint="eastAsia"/>
          <w:sz w:val="28"/>
          <w:szCs w:val="28"/>
        </w:rPr>
        <w:t>（三）期末成绩评定</w:t>
      </w:r>
    </w:p>
    <w:p w14:paraId="763B5D3E" w14:textId="77777777" w:rsidR="00534EC2" w:rsidRPr="00534EC2" w:rsidRDefault="00534EC2" w:rsidP="00534EC2">
      <w:pPr>
        <w:adjustRightInd w:val="0"/>
        <w:snapToGrid w:val="0"/>
        <w:spacing w:line="440" w:lineRule="atLeast"/>
        <w:ind w:firstLine="480"/>
        <w:rPr>
          <w:rFonts w:ascii="宋体" w:eastAsia="宋体" w:hAnsi="宋体" w:cs="Times New Roman"/>
          <w:color w:val="FF0000"/>
          <w:sz w:val="24"/>
          <w:szCs w:val="24"/>
        </w:rPr>
      </w:pPr>
      <w:r w:rsidRPr="00534EC2">
        <w:rPr>
          <w:rFonts w:ascii="宋体" w:eastAsia="宋体" w:hAnsi="Times New Roman" w:cs="Times New Roman" w:hint="eastAsia"/>
          <w:bCs/>
          <w:color w:val="000000"/>
          <w:kern w:val="0"/>
          <w:sz w:val="24"/>
          <w:szCs w:val="24"/>
        </w:rPr>
        <w:t>期末考核主要考察学生对药物制剂概论、药物的溶解与溶出及释放、表面活性剂、药物制剂的稳定性、微粒性质、流变学概念、新药设计、液体制剂及注射剂等基础理</w:t>
      </w:r>
      <w:r w:rsidRPr="00534EC2">
        <w:rPr>
          <w:rFonts w:ascii="宋体" w:eastAsia="宋体" w:hAnsi="Times New Roman" w:cs="Times New Roman" w:hint="eastAsia"/>
          <w:bCs/>
          <w:color w:val="000000"/>
          <w:kern w:val="0"/>
          <w:sz w:val="24"/>
          <w:szCs w:val="24"/>
        </w:rPr>
        <w:lastRenderedPageBreak/>
        <w:t>论和基本知识的掌握程度。同时，考核学生分析问题和解决问题的能力，促进学生复习、巩固所学知识。考核内容包括名词解释、选择、填空，对满分，错零分。简答题，根据答案</w:t>
      </w:r>
      <w:r w:rsidRPr="00534EC2">
        <w:rPr>
          <w:rFonts w:ascii="Times New Roman" w:eastAsia="宋体" w:hAnsi="Times New Roman" w:cs="Times New Roman"/>
          <w:sz w:val="24"/>
          <w:szCs w:val="24"/>
        </w:rPr>
        <w:t>的得分点给分，满分记</w:t>
      </w:r>
      <w:r w:rsidRPr="00534EC2">
        <w:rPr>
          <w:rFonts w:ascii="Times New Roman" w:eastAsia="宋体" w:hAnsi="Times New Roman" w:cs="Times New Roman"/>
          <w:sz w:val="24"/>
          <w:szCs w:val="24"/>
        </w:rPr>
        <w:t>100</w:t>
      </w:r>
      <w:r w:rsidRPr="00534EC2">
        <w:rPr>
          <w:rFonts w:ascii="Times New Roman" w:eastAsia="宋体" w:hAnsi="Times New Roman" w:cs="Times New Roman"/>
          <w:sz w:val="24"/>
          <w:szCs w:val="24"/>
        </w:rPr>
        <w:t>分。</w:t>
      </w:r>
    </w:p>
    <w:p w14:paraId="5E7500B1" w14:textId="77777777" w:rsidR="00534EC2" w:rsidRPr="00534EC2" w:rsidRDefault="00534EC2" w:rsidP="00534EC2">
      <w:pPr>
        <w:spacing w:beforeLines="50" w:before="156" w:afterLines="50" w:after="156" w:line="440" w:lineRule="atLeast"/>
        <w:ind w:firstLineChars="200" w:firstLine="560"/>
        <w:rPr>
          <w:rFonts w:ascii="宋体" w:eastAsia="宋体" w:hAnsi="宋体" w:cs="Times New Roman"/>
          <w:sz w:val="24"/>
          <w:szCs w:val="24"/>
        </w:rPr>
      </w:pPr>
      <w:r w:rsidRPr="00534EC2">
        <w:rPr>
          <w:rFonts w:ascii="黑体" w:eastAsia="黑体" w:hAnsi="黑体" w:cs="Times New Roman" w:hint="eastAsia"/>
          <w:sz w:val="28"/>
          <w:szCs w:val="28"/>
        </w:rPr>
        <w:t>六、使用教材、相关推荐书目及课程资源</w:t>
      </w:r>
    </w:p>
    <w:p w14:paraId="49A8792A" w14:textId="77777777" w:rsidR="00534EC2" w:rsidRPr="00534EC2" w:rsidRDefault="00534EC2" w:rsidP="00534EC2">
      <w:pPr>
        <w:spacing w:line="440" w:lineRule="atLeast"/>
        <w:ind w:firstLineChars="200" w:firstLine="560"/>
        <w:rPr>
          <w:rFonts w:ascii="宋体" w:eastAsia="宋体" w:hAnsi="宋体" w:cs="Times New Roman"/>
          <w:sz w:val="24"/>
          <w:szCs w:val="24"/>
        </w:rPr>
      </w:pPr>
      <w:r w:rsidRPr="00534EC2">
        <w:rPr>
          <w:rFonts w:ascii="黑体" w:eastAsia="黑体" w:hAnsi="黑体" w:cs="Times New Roman" w:hint="eastAsia"/>
          <w:sz w:val="28"/>
          <w:szCs w:val="28"/>
        </w:rPr>
        <w:t>（一）使用教材</w:t>
      </w:r>
    </w:p>
    <w:p w14:paraId="5F3D2B8E" w14:textId="77777777" w:rsidR="00534EC2" w:rsidRPr="00534EC2" w:rsidRDefault="00534EC2" w:rsidP="00534EC2">
      <w:pPr>
        <w:adjustRightInd w:val="0"/>
        <w:snapToGrid w:val="0"/>
        <w:spacing w:line="440" w:lineRule="atLeast"/>
        <w:ind w:left="480"/>
        <w:rPr>
          <w:rFonts w:ascii="宋体" w:eastAsia="宋体" w:hAnsi="宋体" w:cs="Times New Roman"/>
          <w:color w:val="FF0000"/>
          <w:sz w:val="24"/>
          <w:szCs w:val="24"/>
        </w:rPr>
      </w:pPr>
      <w:proofErr w:type="gramStart"/>
      <w:r w:rsidRPr="00534EC2">
        <w:rPr>
          <w:rFonts w:ascii="Times New Roman" w:eastAsia="宋体" w:hAnsi="Times New Roman" w:cs="Times New Roman" w:hint="eastAsia"/>
          <w:sz w:val="24"/>
          <w:szCs w:val="24"/>
        </w:rPr>
        <w:t>方亮主编</w:t>
      </w:r>
      <w:proofErr w:type="gramEnd"/>
      <w:r w:rsidRPr="00534EC2">
        <w:rPr>
          <w:rFonts w:ascii="Times New Roman" w:eastAsia="宋体" w:hAnsi="Times New Roman" w:cs="Times New Roman" w:hint="eastAsia"/>
          <w:sz w:val="24"/>
          <w:szCs w:val="24"/>
        </w:rPr>
        <w:t>：</w:t>
      </w:r>
      <w:r w:rsidRPr="00534EC2">
        <w:rPr>
          <w:rFonts w:ascii="Times New Roman" w:eastAsia="宋体" w:hAnsi="Times New Roman" w:cs="Times New Roman"/>
          <w:sz w:val="24"/>
          <w:szCs w:val="24"/>
        </w:rPr>
        <w:t>《药剂学》</w:t>
      </w:r>
      <w:r w:rsidRPr="00534EC2">
        <w:rPr>
          <w:rFonts w:ascii="Times New Roman" w:eastAsia="宋体" w:hAnsi="Times New Roman" w:cs="Times New Roman" w:hint="eastAsia"/>
          <w:sz w:val="24"/>
          <w:szCs w:val="24"/>
        </w:rPr>
        <w:t>（第八版）</w:t>
      </w:r>
      <w:r w:rsidRPr="00534EC2">
        <w:rPr>
          <w:rFonts w:ascii="Times New Roman" w:eastAsia="宋体" w:hAnsi="Times New Roman" w:cs="Times New Roman"/>
          <w:sz w:val="24"/>
          <w:szCs w:val="24"/>
        </w:rPr>
        <w:t>，人民卫生出版社，</w:t>
      </w:r>
      <w:r w:rsidRPr="00534EC2">
        <w:rPr>
          <w:rFonts w:ascii="Times New Roman" w:eastAsia="宋体" w:hAnsi="Times New Roman" w:cs="Times New Roman"/>
          <w:sz w:val="24"/>
          <w:szCs w:val="24"/>
        </w:rPr>
        <w:t>20</w:t>
      </w:r>
      <w:r w:rsidRPr="00534EC2">
        <w:rPr>
          <w:rFonts w:ascii="Times New Roman" w:eastAsia="宋体" w:hAnsi="Times New Roman" w:cs="Times New Roman" w:hint="eastAsia"/>
          <w:sz w:val="24"/>
          <w:szCs w:val="24"/>
        </w:rPr>
        <w:t>16</w:t>
      </w:r>
      <w:r w:rsidRPr="00534EC2">
        <w:rPr>
          <w:rFonts w:ascii="Times New Roman" w:eastAsia="宋体" w:hAnsi="Times New Roman" w:cs="Times New Roman"/>
          <w:sz w:val="24"/>
          <w:szCs w:val="24"/>
        </w:rPr>
        <w:t>年</w:t>
      </w:r>
      <w:r w:rsidRPr="00534EC2">
        <w:rPr>
          <w:rFonts w:ascii="Times New Roman" w:eastAsia="宋体" w:hAnsi="Times New Roman" w:cs="Times New Roman" w:hint="eastAsia"/>
          <w:sz w:val="24"/>
          <w:szCs w:val="24"/>
        </w:rPr>
        <w:t>版；</w:t>
      </w:r>
    </w:p>
    <w:p w14:paraId="48BCC49F" w14:textId="77777777" w:rsidR="00534EC2" w:rsidRPr="00534EC2" w:rsidRDefault="00534EC2" w:rsidP="00534EC2">
      <w:pPr>
        <w:spacing w:line="440" w:lineRule="atLeast"/>
        <w:ind w:firstLineChars="200" w:firstLine="560"/>
        <w:rPr>
          <w:rFonts w:ascii="宋体" w:eastAsia="宋体" w:hAnsi="宋体" w:cs="Times New Roman"/>
          <w:sz w:val="24"/>
          <w:szCs w:val="24"/>
        </w:rPr>
      </w:pPr>
      <w:r w:rsidRPr="00534EC2">
        <w:rPr>
          <w:rFonts w:ascii="黑体" w:eastAsia="黑体" w:hAnsi="黑体" w:cs="Times New Roman" w:hint="eastAsia"/>
          <w:sz w:val="28"/>
          <w:szCs w:val="28"/>
        </w:rPr>
        <w:t>（二）相关推荐书目</w:t>
      </w:r>
    </w:p>
    <w:p w14:paraId="0CCFE008" w14:textId="77777777" w:rsidR="00534EC2" w:rsidRPr="00534EC2" w:rsidRDefault="00534EC2" w:rsidP="00534EC2">
      <w:pPr>
        <w:adjustRightInd w:val="0"/>
        <w:snapToGrid w:val="0"/>
        <w:spacing w:line="440" w:lineRule="atLeast"/>
        <w:ind w:left="480"/>
        <w:rPr>
          <w:rFonts w:ascii="Times New Roman" w:eastAsia="宋体" w:hAnsi="Times New Roman" w:cs="Times New Roman"/>
          <w:sz w:val="24"/>
          <w:szCs w:val="24"/>
        </w:rPr>
      </w:pPr>
      <w:r w:rsidRPr="00534EC2">
        <w:rPr>
          <w:rFonts w:ascii="宋体" w:eastAsia="宋体" w:hAnsi="宋体" w:cs="Times New Roman" w:hint="eastAsia"/>
          <w:sz w:val="24"/>
          <w:szCs w:val="24"/>
        </w:rPr>
        <w:t>1</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吴正红主编：《工业药剂学》，化学工业出版社，</w:t>
      </w:r>
      <w:r w:rsidRPr="00534EC2">
        <w:rPr>
          <w:rFonts w:ascii="Times New Roman" w:eastAsia="宋体" w:hAnsi="Times New Roman" w:cs="Times New Roman" w:hint="eastAsia"/>
          <w:sz w:val="24"/>
          <w:szCs w:val="24"/>
        </w:rPr>
        <w:t>2021</w:t>
      </w:r>
      <w:r w:rsidRPr="00534EC2">
        <w:rPr>
          <w:rFonts w:ascii="Times New Roman" w:eastAsia="宋体" w:hAnsi="Times New Roman" w:cs="Times New Roman" w:hint="eastAsia"/>
          <w:sz w:val="24"/>
          <w:szCs w:val="24"/>
        </w:rPr>
        <w:t>年版；</w:t>
      </w:r>
    </w:p>
    <w:p w14:paraId="1DD24556" w14:textId="77777777" w:rsidR="00534EC2" w:rsidRPr="00534EC2" w:rsidRDefault="00534EC2" w:rsidP="00534EC2">
      <w:pPr>
        <w:adjustRightInd w:val="0"/>
        <w:snapToGrid w:val="0"/>
        <w:spacing w:line="440" w:lineRule="atLeast"/>
        <w:ind w:left="480"/>
        <w:rPr>
          <w:rFonts w:ascii="宋体" w:eastAsia="宋体" w:hAnsi="宋体" w:cs="Times New Roman"/>
          <w:sz w:val="24"/>
          <w:szCs w:val="24"/>
        </w:rPr>
      </w:pPr>
      <w:r w:rsidRPr="00534EC2">
        <w:rPr>
          <w:rFonts w:ascii="宋体" w:eastAsia="宋体" w:hAnsi="宋体" w:cs="Times New Roman" w:hint="eastAsia"/>
          <w:sz w:val="24"/>
          <w:szCs w:val="24"/>
        </w:rPr>
        <w:t>2</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刘素梅</w:t>
      </w:r>
      <w:r w:rsidRPr="00534EC2">
        <w:rPr>
          <w:rFonts w:ascii="Times New Roman" w:eastAsia="宋体" w:hAnsi="Times New Roman" w:cs="Times New Roman"/>
          <w:sz w:val="24"/>
          <w:szCs w:val="24"/>
        </w:rPr>
        <w:t>主编</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sz w:val="24"/>
          <w:szCs w:val="24"/>
        </w:rPr>
        <w:t>《药物新剂型</w:t>
      </w:r>
      <w:r w:rsidRPr="00534EC2">
        <w:rPr>
          <w:rFonts w:ascii="Times New Roman" w:eastAsia="宋体" w:hAnsi="Times New Roman" w:cs="Times New Roman" w:hint="eastAsia"/>
          <w:sz w:val="24"/>
          <w:szCs w:val="24"/>
        </w:rPr>
        <w:t>与新技术</w:t>
      </w:r>
      <w:r w:rsidRPr="00534EC2">
        <w:rPr>
          <w:rFonts w:ascii="Times New Roman" w:eastAsia="宋体" w:hAnsi="Times New Roman" w:cs="Times New Roman"/>
          <w:sz w:val="24"/>
          <w:szCs w:val="24"/>
        </w:rPr>
        <w:t>》</w:t>
      </w:r>
      <w:r w:rsidRPr="00534EC2">
        <w:rPr>
          <w:rFonts w:ascii="Times New Roman" w:eastAsia="宋体" w:hAnsi="Times New Roman" w:cs="Times New Roman" w:hint="eastAsia"/>
          <w:sz w:val="24"/>
          <w:szCs w:val="24"/>
        </w:rPr>
        <w:t>，化学工业</w:t>
      </w:r>
      <w:r w:rsidRPr="00534EC2">
        <w:rPr>
          <w:rFonts w:ascii="Times New Roman" w:eastAsia="宋体" w:hAnsi="Times New Roman" w:cs="Times New Roman"/>
          <w:sz w:val="24"/>
          <w:szCs w:val="24"/>
        </w:rPr>
        <w:t>出版社</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hint="eastAsia"/>
          <w:sz w:val="24"/>
          <w:szCs w:val="24"/>
        </w:rPr>
        <w:t>2018</w:t>
      </w:r>
      <w:r w:rsidRPr="00534EC2">
        <w:rPr>
          <w:rFonts w:ascii="Times New Roman" w:eastAsia="宋体" w:hAnsi="Times New Roman" w:cs="Times New Roman" w:hint="eastAsia"/>
          <w:sz w:val="24"/>
          <w:szCs w:val="24"/>
        </w:rPr>
        <w:t>年版；</w:t>
      </w:r>
    </w:p>
    <w:p w14:paraId="26BAB116" w14:textId="77777777" w:rsidR="00534EC2" w:rsidRPr="00534EC2" w:rsidRDefault="00534EC2" w:rsidP="00534EC2">
      <w:pPr>
        <w:adjustRightInd w:val="0"/>
        <w:snapToGrid w:val="0"/>
        <w:spacing w:line="440" w:lineRule="atLeast"/>
        <w:ind w:left="480"/>
        <w:rPr>
          <w:rFonts w:ascii="宋体" w:eastAsia="宋体" w:hAnsi="宋体" w:cs="Times New Roman"/>
          <w:sz w:val="24"/>
          <w:szCs w:val="24"/>
        </w:rPr>
      </w:pPr>
      <w:r w:rsidRPr="00534EC2">
        <w:rPr>
          <w:rFonts w:ascii="宋体" w:eastAsia="宋体" w:hAnsi="宋体" w:cs="Times New Roman" w:hint="eastAsia"/>
          <w:sz w:val="24"/>
          <w:szCs w:val="24"/>
        </w:rPr>
        <w:t>3</w:t>
      </w:r>
      <w:r w:rsidRPr="00534EC2">
        <w:rPr>
          <w:rFonts w:ascii="宋体" w:eastAsia="宋体" w:hAnsi="宋体" w:cs="Times New Roman"/>
          <w:sz w:val="24"/>
          <w:szCs w:val="24"/>
        </w:rPr>
        <w:t xml:space="preserve">. </w:t>
      </w:r>
      <w:r w:rsidRPr="00534EC2">
        <w:rPr>
          <w:rFonts w:ascii="宋体" w:eastAsia="宋体" w:hAnsi="宋体" w:cs="Times New Roman" w:hint="eastAsia"/>
          <w:sz w:val="24"/>
          <w:szCs w:val="24"/>
        </w:rPr>
        <w:t>王</w:t>
      </w:r>
      <w:proofErr w:type="gramStart"/>
      <w:r w:rsidRPr="00534EC2">
        <w:rPr>
          <w:rFonts w:ascii="宋体" w:eastAsia="宋体" w:hAnsi="宋体" w:cs="Times New Roman" w:hint="eastAsia"/>
          <w:sz w:val="24"/>
          <w:szCs w:val="24"/>
        </w:rPr>
        <w:t>世</w:t>
      </w:r>
      <w:proofErr w:type="gramEnd"/>
      <w:r w:rsidRPr="00534EC2">
        <w:rPr>
          <w:rFonts w:ascii="宋体" w:eastAsia="宋体" w:hAnsi="宋体" w:cs="Times New Roman" w:hint="eastAsia"/>
          <w:sz w:val="24"/>
          <w:szCs w:val="24"/>
        </w:rPr>
        <w:t>宇</w:t>
      </w:r>
      <w:r w:rsidRPr="00534EC2">
        <w:rPr>
          <w:rFonts w:ascii="Times New Roman" w:eastAsia="宋体" w:hAnsi="Times New Roman" w:cs="Times New Roman"/>
          <w:sz w:val="24"/>
          <w:szCs w:val="24"/>
        </w:rPr>
        <w:t>主编</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sz w:val="24"/>
          <w:szCs w:val="24"/>
        </w:rPr>
        <w:t>《药物辅料</w:t>
      </w:r>
      <w:r w:rsidRPr="00534EC2">
        <w:rPr>
          <w:rFonts w:ascii="Times New Roman" w:eastAsia="宋体" w:hAnsi="Times New Roman" w:cs="Times New Roman" w:hint="eastAsia"/>
          <w:sz w:val="24"/>
          <w:szCs w:val="24"/>
        </w:rPr>
        <w:t>学</w:t>
      </w:r>
      <w:r w:rsidRPr="00534EC2">
        <w:rPr>
          <w:rFonts w:ascii="Times New Roman" w:eastAsia="宋体" w:hAnsi="Times New Roman" w:cs="Times New Roman"/>
          <w:sz w:val="24"/>
          <w:szCs w:val="24"/>
        </w:rPr>
        <w:t>》</w:t>
      </w:r>
      <w:r w:rsidRPr="00534EC2">
        <w:rPr>
          <w:rFonts w:ascii="Times New Roman" w:eastAsia="宋体" w:hAnsi="Times New Roman" w:cs="Times New Roman" w:hint="eastAsia"/>
          <w:sz w:val="24"/>
          <w:szCs w:val="24"/>
        </w:rPr>
        <w:t>，中国中医药</w:t>
      </w:r>
      <w:r w:rsidRPr="00534EC2">
        <w:rPr>
          <w:rFonts w:ascii="Times New Roman" w:eastAsia="宋体" w:hAnsi="Times New Roman" w:cs="Times New Roman"/>
          <w:sz w:val="24"/>
          <w:szCs w:val="24"/>
        </w:rPr>
        <w:t>出版社</w:t>
      </w:r>
      <w:r w:rsidRPr="00534EC2">
        <w:rPr>
          <w:rFonts w:ascii="Times New Roman" w:eastAsia="宋体" w:hAnsi="Times New Roman" w:cs="Times New Roman" w:hint="eastAsia"/>
          <w:sz w:val="24"/>
          <w:szCs w:val="24"/>
        </w:rPr>
        <w:t>，</w:t>
      </w:r>
      <w:r w:rsidRPr="00534EC2">
        <w:rPr>
          <w:rFonts w:ascii="Times New Roman" w:eastAsia="宋体" w:hAnsi="Times New Roman" w:cs="Times New Roman" w:hint="eastAsia"/>
          <w:sz w:val="24"/>
          <w:szCs w:val="24"/>
        </w:rPr>
        <w:t>2019</w:t>
      </w:r>
      <w:r w:rsidRPr="00534EC2">
        <w:rPr>
          <w:rFonts w:ascii="Times New Roman" w:eastAsia="宋体" w:hAnsi="Times New Roman" w:cs="Times New Roman" w:hint="eastAsia"/>
          <w:sz w:val="24"/>
          <w:szCs w:val="24"/>
        </w:rPr>
        <w:t>年版；</w:t>
      </w:r>
    </w:p>
    <w:p w14:paraId="63285F59" w14:textId="77777777" w:rsidR="00534EC2" w:rsidRPr="00534EC2" w:rsidRDefault="00534EC2" w:rsidP="00534EC2">
      <w:pPr>
        <w:adjustRightInd w:val="0"/>
        <w:snapToGrid w:val="0"/>
        <w:spacing w:line="440" w:lineRule="atLeast"/>
        <w:ind w:left="480"/>
        <w:rPr>
          <w:rFonts w:ascii="Times New Roman" w:eastAsia="宋体" w:hAnsi="Times New Roman" w:cs="Times New Roman"/>
          <w:sz w:val="24"/>
          <w:szCs w:val="24"/>
        </w:rPr>
      </w:pPr>
      <w:r w:rsidRPr="00534EC2">
        <w:rPr>
          <w:rFonts w:ascii="宋体" w:eastAsia="宋体" w:hAnsi="宋体" w:cs="Times New Roman" w:hint="eastAsia"/>
          <w:sz w:val="24"/>
          <w:szCs w:val="24"/>
        </w:rPr>
        <w:t>4</w:t>
      </w:r>
      <w:r w:rsidRPr="00534EC2">
        <w:rPr>
          <w:rFonts w:ascii="宋体" w:eastAsia="宋体" w:hAnsi="宋体" w:cs="Times New Roman"/>
          <w:sz w:val="24"/>
          <w:szCs w:val="24"/>
        </w:rPr>
        <w:t xml:space="preserve">. </w:t>
      </w:r>
      <w:r w:rsidRPr="00534EC2">
        <w:rPr>
          <w:rFonts w:ascii="Times New Roman" w:eastAsia="宋体" w:hAnsi="Times New Roman" w:cs="Times New Roman" w:hint="eastAsia"/>
          <w:sz w:val="24"/>
          <w:szCs w:val="24"/>
        </w:rPr>
        <w:t>何文主编：《现代药剂学》，武汉大学出版社，</w:t>
      </w:r>
      <w:r w:rsidRPr="00534EC2">
        <w:rPr>
          <w:rFonts w:ascii="Times New Roman" w:eastAsia="宋体" w:hAnsi="Times New Roman" w:cs="Times New Roman" w:hint="eastAsia"/>
          <w:sz w:val="24"/>
          <w:szCs w:val="24"/>
        </w:rPr>
        <w:t>2012</w:t>
      </w:r>
      <w:r w:rsidRPr="00534EC2">
        <w:rPr>
          <w:rFonts w:ascii="Times New Roman" w:eastAsia="宋体" w:hAnsi="Times New Roman" w:cs="Times New Roman" w:hint="eastAsia"/>
          <w:sz w:val="24"/>
          <w:szCs w:val="24"/>
        </w:rPr>
        <w:t>年版；</w:t>
      </w:r>
    </w:p>
    <w:p w14:paraId="1EDEC8AE" w14:textId="77777777" w:rsidR="00534EC2" w:rsidRPr="00534EC2" w:rsidRDefault="00534EC2" w:rsidP="00534EC2">
      <w:pPr>
        <w:adjustRightInd w:val="0"/>
        <w:snapToGrid w:val="0"/>
        <w:spacing w:line="440" w:lineRule="atLeast"/>
        <w:ind w:left="480"/>
        <w:rPr>
          <w:rFonts w:ascii="Times New Roman" w:eastAsia="宋体" w:hAnsi="Times New Roman" w:cs="Times New Roman"/>
          <w:sz w:val="24"/>
          <w:szCs w:val="24"/>
        </w:rPr>
      </w:pPr>
      <w:r w:rsidRPr="00534EC2">
        <w:rPr>
          <w:rFonts w:ascii="Times New Roman" w:eastAsia="宋体" w:hAnsi="Times New Roman" w:cs="Times New Roman" w:hint="eastAsia"/>
          <w:sz w:val="24"/>
          <w:szCs w:val="24"/>
        </w:rPr>
        <w:t xml:space="preserve">5.  </w:t>
      </w:r>
      <w:r w:rsidRPr="00534EC2">
        <w:rPr>
          <w:rFonts w:ascii="Times New Roman" w:eastAsia="宋体" w:hAnsi="Times New Roman" w:cs="Times New Roman" w:hint="eastAsia"/>
          <w:sz w:val="24"/>
          <w:szCs w:val="24"/>
        </w:rPr>
        <w:t>崔福德主编：《药剂学》，人民卫生出版社，</w:t>
      </w:r>
      <w:r w:rsidRPr="00534EC2">
        <w:rPr>
          <w:rFonts w:ascii="Times New Roman" w:eastAsia="宋体" w:hAnsi="Times New Roman" w:cs="Times New Roman" w:hint="eastAsia"/>
          <w:sz w:val="24"/>
          <w:szCs w:val="24"/>
        </w:rPr>
        <w:t>2011</w:t>
      </w:r>
      <w:r w:rsidRPr="00534EC2">
        <w:rPr>
          <w:rFonts w:ascii="Times New Roman" w:eastAsia="宋体" w:hAnsi="Times New Roman" w:cs="Times New Roman" w:hint="eastAsia"/>
          <w:sz w:val="24"/>
          <w:szCs w:val="24"/>
        </w:rPr>
        <w:t>年版。</w:t>
      </w:r>
    </w:p>
    <w:p w14:paraId="63C56B8A" w14:textId="77777777" w:rsidR="00534EC2" w:rsidRPr="00534EC2" w:rsidRDefault="00534EC2" w:rsidP="00534EC2">
      <w:pPr>
        <w:spacing w:beforeLines="50" w:before="156" w:afterLines="50" w:after="156" w:line="440" w:lineRule="atLeast"/>
        <w:ind w:firstLineChars="200" w:firstLine="560"/>
        <w:rPr>
          <w:rFonts w:ascii="黑体" w:eastAsia="黑体" w:hAnsi="黑体" w:cs="Times New Roman"/>
          <w:sz w:val="28"/>
          <w:szCs w:val="28"/>
        </w:rPr>
      </w:pPr>
      <w:r w:rsidRPr="00534EC2">
        <w:rPr>
          <w:rFonts w:ascii="黑体" w:eastAsia="黑体" w:hAnsi="黑体" w:cs="Times New Roman" w:hint="eastAsia"/>
          <w:sz w:val="28"/>
          <w:szCs w:val="28"/>
        </w:rPr>
        <w:t>（三）课程资源</w:t>
      </w:r>
    </w:p>
    <w:p w14:paraId="27BB6D0B" w14:textId="77777777" w:rsidR="00534EC2" w:rsidRPr="00534EC2" w:rsidRDefault="00534EC2" w:rsidP="00534EC2">
      <w:pPr>
        <w:spacing w:line="440" w:lineRule="atLeast"/>
        <w:ind w:firstLineChars="200" w:firstLine="480"/>
        <w:rPr>
          <w:rFonts w:ascii="宋体" w:eastAsia="宋体" w:hAnsi="宋体" w:cs="Times New Roman"/>
          <w:color w:val="FF0000"/>
          <w:sz w:val="24"/>
          <w:szCs w:val="24"/>
        </w:rPr>
      </w:pPr>
      <w:r w:rsidRPr="00534EC2">
        <w:rPr>
          <w:rFonts w:ascii="宋体" w:eastAsia="宋体" w:hAnsi="宋体" w:cs="Times New Roman" w:hint="eastAsia"/>
          <w:sz w:val="24"/>
          <w:szCs w:val="24"/>
        </w:rPr>
        <w:t>本课程的学生自主学习的途径可登陆</w:t>
      </w:r>
      <w:hyperlink r:id="rId48" w:tgtFrame="https://www.so.com/_blank" w:history="1">
        <w:r w:rsidRPr="00534EC2">
          <w:rPr>
            <w:rFonts w:ascii="宋体" w:eastAsia="宋体" w:hAnsi="宋体" w:cs="Times New Roman" w:hint="eastAsia"/>
            <w:sz w:val="24"/>
            <w:szCs w:val="24"/>
          </w:rPr>
          <w:t>中国大学MOOC(</w:t>
        </w:r>
        <w:proofErr w:type="gramStart"/>
        <w:r w:rsidRPr="00534EC2">
          <w:rPr>
            <w:rFonts w:ascii="宋体" w:eastAsia="宋体" w:hAnsi="宋体" w:cs="Times New Roman" w:hint="eastAsia"/>
            <w:sz w:val="24"/>
            <w:szCs w:val="24"/>
          </w:rPr>
          <w:t>慕课</w:t>
        </w:r>
        <w:proofErr w:type="gramEnd"/>
        <w:r w:rsidRPr="00534EC2">
          <w:rPr>
            <w:rFonts w:ascii="宋体" w:eastAsia="宋体" w:hAnsi="宋体" w:cs="Times New Roman" w:hint="eastAsia"/>
            <w:sz w:val="24"/>
            <w:szCs w:val="24"/>
          </w:rPr>
          <w:t>)国家精品课程在线学习平台</w:t>
        </w:r>
      </w:hyperlink>
      <w:r w:rsidRPr="00534EC2">
        <w:rPr>
          <w:rFonts w:ascii="宋体" w:eastAsia="宋体" w:hAnsi="宋体" w:cs="Times New Roman" w:hint="eastAsia"/>
          <w:sz w:val="24"/>
          <w:szCs w:val="24"/>
        </w:rPr>
        <w:t>进行线上学习。</w:t>
      </w:r>
    </w:p>
    <w:p w14:paraId="5C5305A7" w14:textId="77777777" w:rsidR="00534EC2" w:rsidRPr="00534EC2" w:rsidRDefault="00534EC2" w:rsidP="00534EC2">
      <w:pPr>
        <w:spacing w:beforeLines="50" w:before="156" w:afterLines="50" w:after="156" w:line="440" w:lineRule="atLeast"/>
        <w:ind w:firstLineChars="200" w:firstLine="560"/>
        <w:rPr>
          <w:rFonts w:ascii="黑体" w:eastAsia="黑体" w:hAnsi="黑体" w:cs="Times New Roman"/>
          <w:sz w:val="28"/>
          <w:szCs w:val="28"/>
        </w:rPr>
      </w:pPr>
      <w:r w:rsidRPr="00534EC2">
        <w:rPr>
          <w:rFonts w:ascii="黑体" w:eastAsia="黑体" w:hAnsi="黑体" w:cs="Times New Roman" w:hint="eastAsia"/>
          <w:sz w:val="28"/>
          <w:szCs w:val="28"/>
        </w:rPr>
        <w:t>七、课程大纲制定依据</w:t>
      </w:r>
    </w:p>
    <w:p w14:paraId="780CBC85" w14:textId="77777777" w:rsidR="00534EC2" w:rsidRPr="00534EC2" w:rsidRDefault="00534EC2" w:rsidP="00534EC2">
      <w:pPr>
        <w:spacing w:line="440" w:lineRule="atLeast"/>
        <w:ind w:firstLineChars="200" w:firstLine="480"/>
        <w:rPr>
          <w:rFonts w:ascii="宋体" w:eastAsia="宋体" w:hAnsi="宋体" w:cs="Times New Roman"/>
          <w:sz w:val="24"/>
          <w:szCs w:val="24"/>
        </w:rPr>
      </w:pPr>
      <w:r w:rsidRPr="00534EC2">
        <w:rPr>
          <w:rFonts w:ascii="宋体" w:eastAsia="宋体" w:hAnsi="宋体" w:cs="Times New Roman" w:hint="eastAsia"/>
          <w:sz w:val="24"/>
          <w:szCs w:val="24"/>
        </w:rPr>
        <w:t>本课程大纲依据2023 年药物分析专业人才培养方案制定。</w:t>
      </w:r>
    </w:p>
    <w:p w14:paraId="1BA926E4" w14:textId="77777777" w:rsidR="00534EC2" w:rsidRPr="00534EC2" w:rsidRDefault="00534EC2" w:rsidP="00534EC2">
      <w:pPr>
        <w:spacing w:line="440" w:lineRule="atLeast"/>
        <w:rPr>
          <w:rFonts w:ascii="Calibri" w:eastAsia="宋体" w:hAnsi="Calibri" w:cs="Times New Roman"/>
        </w:rPr>
      </w:pPr>
    </w:p>
    <w:p w14:paraId="4345B3F2" w14:textId="77777777" w:rsidR="00534EC2" w:rsidRDefault="00534EC2" w:rsidP="00D31397">
      <w:pPr>
        <w:spacing w:line="440" w:lineRule="exact"/>
        <w:rPr>
          <w:rFonts w:ascii="楷体" w:eastAsia="楷体" w:hAnsi="楷体" w:cs="Times New Roman"/>
          <w:bCs/>
          <w:sz w:val="24"/>
          <w:szCs w:val="24"/>
        </w:rPr>
      </w:pPr>
    </w:p>
    <w:p w14:paraId="641530D1" w14:textId="77777777" w:rsidR="00534EC2" w:rsidRDefault="00534EC2" w:rsidP="00D31397">
      <w:pPr>
        <w:spacing w:line="440" w:lineRule="exact"/>
        <w:rPr>
          <w:rFonts w:ascii="楷体" w:eastAsia="楷体" w:hAnsi="楷体" w:cs="Times New Roman"/>
          <w:bCs/>
          <w:sz w:val="24"/>
          <w:szCs w:val="24"/>
        </w:rPr>
      </w:pPr>
    </w:p>
    <w:p w14:paraId="1BFE9CF7" w14:textId="77777777" w:rsidR="00534EC2" w:rsidRDefault="00534EC2" w:rsidP="00D31397">
      <w:pPr>
        <w:spacing w:line="440" w:lineRule="exact"/>
        <w:rPr>
          <w:rFonts w:ascii="楷体" w:eastAsia="楷体" w:hAnsi="楷体" w:cs="Times New Roman"/>
          <w:bCs/>
          <w:sz w:val="24"/>
          <w:szCs w:val="24"/>
        </w:rPr>
      </w:pPr>
    </w:p>
    <w:p w14:paraId="11D87DCF" w14:textId="77777777" w:rsidR="00534EC2" w:rsidRDefault="00534EC2" w:rsidP="00D31397">
      <w:pPr>
        <w:spacing w:line="440" w:lineRule="exact"/>
        <w:rPr>
          <w:rFonts w:ascii="楷体" w:eastAsia="楷体" w:hAnsi="楷体" w:cs="Times New Roman"/>
          <w:bCs/>
          <w:sz w:val="24"/>
          <w:szCs w:val="24"/>
        </w:rPr>
      </w:pPr>
    </w:p>
    <w:p w14:paraId="395F2C04" w14:textId="77777777" w:rsidR="00534EC2" w:rsidRDefault="00534EC2" w:rsidP="00D31397">
      <w:pPr>
        <w:spacing w:line="440" w:lineRule="exact"/>
        <w:rPr>
          <w:rFonts w:ascii="楷体" w:eastAsia="楷体" w:hAnsi="楷体" w:cs="Times New Roman"/>
          <w:bCs/>
          <w:sz w:val="24"/>
          <w:szCs w:val="24"/>
        </w:rPr>
      </w:pPr>
    </w:p>
    <w:p w14:paraId="132869AD" w14:textId="77777777" w:rsidR="00534EC2" w:rsidRDefault="00534EC2" w:rsidP="00D31397">
      <w:pPr>
        <w:spacing w:line="440" w:lineRule="exact"/>
        <w:rPr>
          <w:rFonts w:ascii="楷体" w:eastAsia="楷体" w:hAnsi="楷体" w:cs="Times New Roman"/>
          <w:bCs/>
          <w:sz w:val="24"/>
          <w:szCs w:val="24"/>
        </w:rPr>
      </w:pPr>
    </w:p>
    <w:p w14:paraId="106ACB9F" w14:textId="77777777" w:rsidR="00534EC2" w:rsidRDefault="00534EC2" w:rsidP="00D31397">
      <w:pPr>
        <w:spacing w:line="440" w:lineRule="exact"/>
        <w:rPr>
          <w:rFonts w:ascii="楷体" w:eastAsia="楷体" w:hAnsi="楷体" w:cs="Times New Roman"/>
          <w:bCs/>
          <w:sz w:val="24"/>
          <w:szCs w:val="24"/>
        </w:rPr>
      </w:pPr>
    </w:p>
    <w:p w14:paraId="6C1247F5" w14:textId="77777777" w:rsidR="00534EC2" w:rsidRDefault="00534EC2" w:rsidP="00D31397">
      <w:pPr>
        <w:spacing w:line="440" w:lineRule="exact"/>
        <w:rPr>
          <w:rFonts w:ascii="楷体" w:eastAsia="楷体" w:hAnsi="楷体" w:cs="Times New Roman"/>
          <w:bCs/>
          <w:sz w:val="24"/>
          <w:szCs w:val="24"/>
        </w:rPr>
      </w:pPr>
    </w:p>
    <w:p w14:paraId="145F80DC" w14:textId="77777777" w:rsidR="00534EC2" w:rsidRPr="00D31397" w:rsidRDefault="00534EC2" w:rsidP="00D31397">
      <w:pPr>
        <w:spacing w:line="440" w:lineRule="exact"/>
        <w:rPr>
          <w:rFonts w:ascii="楷体" w:eastAsia="楷体" w:hAnsi="楷体" w:cs="Times New Roman"/>
          <w:bCs/>
          <w:sz w:val="24"/>
          <w:szCs w:val="24"/>
        </w:rPr>
      </w:pPr>
    </w:p>
    <w:p w14:paraId="2EDF3F54" w14:textId="77777777" w:rsidR="00D31397" w:rsidRPr="00D31397" w:rsidRDefault="00D31397" w:rsidP="003322BE">
      <w:pPr>
        <w:pStyle w:val="1"/>
      </w:pPr>
      <w:bookmarkStart w:id="223" w:name="_Toc149662367"/>
      <w:r w:rsidRPr="00D31397">
        <w:rPr>
          <w:rFonts w:hint="eastAsia"/>
        </w:rPr>
        <w:lastRenderedPageBreak/>
        <w:t>《体内药物分析》课程教学大纲</w:t>
      </w:r>
      <w:bookmarkEnd w:id="223"/>
    </w:p>
    <w:p w14:paraId="458D5753" w14:textId="77777777" w:rsidR="00D31397" w:rsidRPr="00D31397" w:rsidRDefault="00D31397" w:rsidP="00D31397">
      <w:pPr>
        <w:spacing w:beforeLines="50" w:before="156" w:afterLines="50" w:after="156" w:line="440" w:lineRule="exact"/>
        <w:ind w:firstLineChars="200" w:firstLine="560"/>
        <w:rPr>
          <w:rFonts w:ascii="黑体" w:eastAsia="黑体" w:hAnsi="黑体" w:cs="Times New Roman"/>
          <w:sz w:val="28"/>
          <w:szCs w:val="28"/>
        </w:rPr>
      </w:pPr>
      <w:r w:rsidRPr="00D31397">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2756"/>
        <w:gridCol w:w="1525"/>
        <w:gridCol w:w="2868"/>
      </w:tblGrid>
      <w:tr w:rsidR="00D31397" w:rsidRPr="00D31397" w14:paraId="4A6ECE4B" w14:textId="77777777" w:rsidTr="00C96426">
        <w:trPr>
          <w:trHeight w:val="886"/>
          <w:jc w:val="center"/>
        </w:trPr>
        <w:tc>
          <w:tcPr>
            <w:tcW w:w="1668" w:type="dxa"/>
            <w:shd w:val="clear" w:color="auto" w:fill="auto"/>
            <w:vAlign w:val="center"/>
          </w:tcPr>
          <w:p w14:paraId="5A5BF4E0"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课程名称</w:t>
            </w:r>
          </w:p>
        </w:tc>
        <w:tc>
          <w:tcPr>
            <w:tcW w:w="2833" w:type="dxa"/>
            <w:shd w:val="clear" w:color="auto" w:fill="auto"/>
            <w:vAlign w:val="center"/>
          </w:tcPr>
          <w:p w14:paraId="14CE1A88"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体内药物分析</w:t>
            </w:r>
          </w:p>
        </w:tc>
        <w:tc>
          <w:tcPr>
            <w:tcW w:w="1561" w:type="dxa"/>
            <w:shd w:val="clear" w:color="auto" w:fill="auto"/>
            <w:vAlign w:val="center"/>
          </w:tcPr>
          <w:p w14:paraId="41DC8F20"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课程代码</w:t>
            </w:r>
          </w:p>
        </w:tc>
        <w:tc>
          <w:tcPr>
            <w:tcW w:w="2941" w:type="dxa"/>
            <w:shd w:val="clear" w:color="auto" w:fill="auto"/>
            <w:vAlign w:val="center"/>
          </w:tcPr>
          <w:p w14:paraId="456B8F8C"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新课</w:t>
            </w:r>
          </w:p>
        </w:tc>
      </w:tr>
      <w:tr w:rsidR="00D31397" w:rsidRPr="00D31397" w14:paraId="2609E631" w14:textId="77777777" w:rsidTr="00C96426">
        <w:trPr>
          <w:trHeight w:val="829"/>
          <w:jc w:val="center"/>
        </w:trPr>
        <w:tc>
          <w:tcPr>
            <w:tcW w:w="1668" w:type="dxa"/>
            <w:shd w:val="clear" w:color="auto" w:fill="auto"/>
            <w:vAlign w:val="center"/>
          </w:tcPr>
          <w:p w14:paraId="17ECE452"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课程类别</w:t>
            </w:r>
          </w:p>
        </w:tc>
        <w:tc>
          <w:tcPr>
            <w:tcW w:w="2833" w:type="dxa"/>
            <w:shd w:val="clear" w:color="auto" w:fill="auto"/>
            <w:vAlign w:val="center"/>
          </w:tcPr>
          <w:p w14:paraId="75FFE5CB"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专业教育核心课程</w:t>
            </w:r>
          </w:p>
        </w:tc>
        <w:tc>
          <w:tcPr>
            <w:tcW w:w="1561" w:type="dxa"/>
            <w:shd w:val="clear" w:color="auto" w:fill="auto"/>
            <w:vAlign w:val="center"/>
          </w:tcPr>
          <w:p w14:paraId="751F8BF0"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学时</w:t>
            </w:r>
          </w:p>
          <w:p w14:paraId="5648654E"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/学分</w:t>
            </w:r>
          </w:p>
        </w:tc>
        <w:tc>
          <w:tcPr>
            <w:tcW w:w="2941" w:type="dxa"/>
            <w:shd w:val="clear" w:color="auto" w:fill="auto"/>
            <w:vAlign w:val="center"/>
          </w:tcPr>
          <w:p w14:paraId="32634990"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32/2</w:t>
            </w:r>
          </w:p>
        </w:tc>
      </w:tr>
      <w:tr w:rsidR="00D31397" w:rsidRPr="00D31397" w14:paraId="21897D4C" w14:textId="77777777" w:rsidTr="00C96426">
        <w:trPr>
          <w:trHeight w:val="811"/>
          <w:jc w:val="center"/>
        </w:trPr>
        <w:tc>
          <w:tcPr>
            <w:tcW w:w="1668" w:type="dxa"/>
            <w:shd w:val="clear" w:color="auto" w:fill="auto"/>
            <w:vAlign w:val="center"/>
          </w:tcPr>
          <w:p w14:paraId="64D0A736"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开课单位</w:t>
            </w:r>
          </w:p>
        </w:tc>
        <w:tc>
          <w:tcPr>
            <w:tcW w:w="2833" w:type="dxa"/>
            <w:shd w:val="clear" w:color="auto" w:fill="auto"/>
            <w:vAlign w:val="center"/>
          </w:tcPr>
          <w:p w14:paraId="33ABB269"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化工学院</w:t>
            </w:r>
          </w:p>
        </w:tc>
        <w:tc>
          <w:tcPr>
            <w:tcW w:w="1561" w:type="dxa"/>
            <w:shd w:val="clear" w:color="auto" w:fill="auto"/>
            <w:vAlign w:val="center"/>
          </w:tcPr>
          <w:p w14:paraId="5CE84048"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适用专业</w:t>
            </w:r>
          </w:p>
        </w:tc>
        <w:tc>
          <w:tcPr>
            <w:tcW w:w="2941" w:type="dxa"/>
            <w:shd w:val="clear" w:color="auto" w:fill="auto"/>
            <w:vAlign w:val="center"/>
          </w:tcPr>
          <w:p w14:paraId="54F6F7B3"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药物分析</w:t>
            </w:r>
          </w:p>
        </w:tc>
      </w:tr>
      <w:tr w:rsidR="00D31397" w:rsidRPr="00D31397" w14:paraId="0A3D4CEE" w14:textId="77777777" w:rsidTr="00C96426">
        <w:trPr>
          <w:trHeight w:val="811"/>
          <w:jc w:val="center"/>
        </w:trPr>
        <w:tc>
          <w:tcPr>
            <w:tcW w:w="1668" w:type="dxa"/>
            <w:shd w:val="clear" w:color="auto" w:fill="auto"/>
            <w:vAlign w:val="center"/>
          </w:tcPr>
          <w:p w14:paraId="32989C56"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课程负责人</w:t>
            </w:r>
          </w:p>
        </w:tc>
        <w:tc>
          <w:tcPr>
            <w:tcW w:w="7335" w:type="dxa"/>
            <w:gridSpan w:val="3"/>
            <w:shd w:val="clear" w:color="auto" w:fill="auto"/>
            <w:vAlign w:val="center"/>
          </w:tcPr>
          <w:p w14:paraId="23B24CE9" w14:textId="77777777" w:rsidR="00D31397" w:rsidRPr="00D31397" w:rsidRDefault="00D31397" w:rsidP="00D31397">
            <w:pPr>
              <w:spacing w:line="440" w:lineRule="exact"/>
              <w:jc w:val="center"/>
              <w:rPr>
                <w:rFonts w:ascii="宋体" w:eastAsia="宋体" w:hAnsi="宋体" w:cs="Times New Roman"/>
                <w:sz w:val="24"/>
                <w:szCs w:val="24"/>
              </w:rPr>
            </w:pPr>
            <w:proofErr w:type="gramStart"/>
            <w:r w:rsidRPr="00D31397">
              <w:rPr>
                <w:rFonts w:ascii="宋体" w:eastAsia="宋体" w:hAnsi="宋体" w:cs="Times New Roman" w:hint="eastAsia"/>
                <w:sz w:val="24"/>
                <w:szCs w:val="24"/>
              </w:rPr>
              <w:t>赵星</w:t>
            </w:r>
            <w:proofErr w:type="gramEnd"/>
          </w:p>
        </w:tc>
      </w:tr>
      <w:tr w:rsidR="00D31397" w:rsidRPr="00D31397" w14:paraId="2B0F215F" w14:textId="77777777" w:rsidTr="00C96426">
        <w:trPr>
          <w:trHeight w:val="836"/>
          <w:jc w:val="center"/>
        </w:trPr>
        <w:tc>
          <w:tcPr>
            <w:tcW w:w="1668" w:type="dxa"/>
            <w:shd w:val="clear" w:color="auto" w:fill="auto"/>
            <w:vAlign w:val="center"/>
          </w:tcPr>
          <w:p w14:paraId="6CBD0878"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大纲撰写人</w:t>
            </w:r>
          </w:p>
        </w:tc>
        <w:tc>
          <w:tcPr>
            <w:tcW w:w="2833" w:type="dxa"/>
            <w:shd w:val="clear" w:color="auto" w:fill="auto"/>
            <w:vAlign w:val="center"/>
          </w:tcPr>
          <w:p w14:paraId="2AFAE4C6" w14:textId="77777777" w:rsidR="00D31397" w:rsidRPr="00D31397" w:rsidRDefault="00D31397" w:rsidP="00D31397">
            <w:pPr>
              <w:spacing w:line="440" w:lineRule="exact"/>
              <w:jc w:val="center"/>
              <w:rPr>
                <w:rFonts w:ascii="宋体" w:eastAsia="宋体" w:hAnsi="宋体" w:cs="Times New Roman"/>
                <w:sz w:val="24"/>
                <w:szCs w:val="24"/>
              </w:rPr>
            </w:pPr>
            <w:proofErr w:type="gramStart"/>
            <w:r w:rsidRPr="00D31397">
              <w:rPr>
                <w:rFonts w:ascii="宋体" w:eastAsia="宋体" w:hAnsi="宋体" w:cs="Times New Roman" w:hint="eastAsia"/>
                <w:sz w:val="24"/>
                <w:szCs w:val="24"/>
              </w:rPr>
              <w:t>赵星</w:t>
            </w:r>
            <w:proofErr w:type="gramEnd"/>
          </w:p>
        </w:tc>
        <w:tc>
          <w:tcPr>
            <w:tcW w:w="1561" w:type="dxa"/>
            <w:shd w:val="clear" w:color="auto" w:fill="auto"/>
            <w:vAlign w:val="center"/>
          </w:tcPr>
          <w:p w14:paraId="76273919"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大纲审核人</w:t>
            </w:r>
          </w:p>
        </w:tc>
        <w:tc>
          <w:tcPr>
            <w:tcW w:w="2941" w:type="dxa"/>
            <w:shd w:val="clear" w:color="auto" w:fill="auto"/>
            <w:vAlign w:val="center"/>
          </w:tcPr>
          <w:p w14:paraId="59C664A0" w14:textId="77777777" w:rsidR="00D31397" w:rsidRPr="00D31397" w:rsidRDefault="00D31397" w:rsidP="00D31397">
            <w:pPr>
              <w:spacing w:line="440" w:lineRule="exact"/>
              <w:jc w:val="center"/>
              <w:rPr>
                <w:rFonts w:ascii="宋体" w:eastAsia="宋体" w:hAnsi="宋体" w:cs="Times New Roman"/>
                <w:sz w:val="24"/>
                <w:szCs w:val="24"/>
              </w:rPr>
            </w:pPr>
            <w:proofErr w:type="gramStart"/>
            <w:r w:rsidRPr="00D31397">
              <w:rPr>
                <w:rFonts w:ascii="宋体" w:eastAsia="宋体" w:hAnsi="宋体" w:cs="Times New Roman" w:hint="eastAsia"/>
                <w:sz w:val="24"/>
                <w:szCs w:val="24"/>
              </w:rPr>
              <w:t>冯</w:t>
            </w:r>
            <w:proofErr w:type="gramEnd"/>
            <w:r w:rsidRPr="00D31397">
              <w:rPr>
                <w:rFonts w:ascii="宋体" w:eastAsia="宋体" w:hAnsi="宋体" w:cs="Times New Roman" w:hint="eastAsia"/>
                <w:sz w:val="24"/>
                <w:szCs w:val="24"/>
              </w:rPr>
              <w:t>小龙</w:t>
            </w:r>
          </w:p>
        </w:tc>
      </w:tr>
      <w:tr w:rsidR="00D31397" w:rsidRPr="00D31397" w14:paraId="670B69A7" w14:textId="77777777" w:rsidTr="00C96426">
        <w:trPr>
          <w:trHeight w:val="848"/>
          <w:jc w:val="center"/>
        </w:trPr>
        <w:tc>
          <w:tcPr>
            <w:tcW w:w="1668" w:type="dxa"/>
            <w:shd w:val="clear" w:color="auto" w:fill="auto"/>
            <w:vAlign w:val="center"/>
          </w:tcPr>
          <w:p w14:paraId="7E800BC8"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先修课程</w:t>
            </w:r>
          </w:p>
        </w:tc>
        <w:tc>
          <w:tcPr>
            <w:tcW w:w="7335" w:type="dxa"/>
            <w:gridSpan w:val="3"/>
            <w:shd w:val="clear" w:color="auto" w:fill="auto"/>
            <w:vAlign w:val="center"/>
          </w:tcPr>
          <w:p w14:paraId="1150E26F"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药物光谱分析、药物色谱分析</w:t>
            </w:r>
          </w:p>
        </w:tc>
      </w:tr>
      <w:tr w:rsidR="00D31397" w:rsidRPr="00D31397" w14:paraId="7C43E1F9" w14:textId="77777777" w:rsidTr="00C96426">
        <w:trPr>
          <w:trHeight w:val="848"/>
          <w:jc w:val="center"/>
        </w:trPr>
        <w:tc>
          <w:tcPr>
            <w:tcW w:w="1668" w:type="dxa"/>
            <w:shd w:val="clear" w:color="auto" w:fill="auto"/>
            <w:vAlign w:val="center"/>
          </w:tcPr>
          <w:p w14:paraId="3BE127C0" w14:textId="77777777" w:rsidR="00D31397" w:rsidRPr="00D31397" w:rsidRDefault="00D31397" w:rsidP="00D31397">
            <w:pPr>
              <w:spacing w:line="440" w:lineRule="exact"/>
              <w:jc w:val="center"/>
              <w:rPr>
                <w:rFonts w:ascii="宋体" w:eastAsia="宋体" w:hAnsi="宋体" w:cs="Times New Roman"/>
                <w:sz w:val="24"/>
                <w:szCs w:val="24"/>
              </w:rPr>
            </w:pPr>
            <w:r w:rsidRPr="00D31397">
              <w:rPr>
                <w:rFonts w:ascii="宋体" w:eastAsia="宋体" w:hAnsi="宋体" w:cs="Times New Roman" w:hint="eastAsia"/>
                <w:sz w:val="24"/>
                <w:szCs w:val="24"/>
              </w:rPr>
              <w:t>课程网址</w:t>
            </w:r>
          </w:p>
        </w:tc>
        <w:tc>
          <w:tcPr>
            <w:tcW w:w="7335" w:type="dxa"/>
            <w:gridSpan w:val="3"/>
            <w:shd w:val="clear" w:color="auto" w:fill="auto"/>
            <w:vAlign w:val="center"/>
          </w:tcPr>
          <w:p w14:paraId="47BEC2CC" w14:textId="77777777" w:rsidR="00D31397" w:rsidRPr="00D31397" w:rsidRDefault="00D31397" w:rsidP="00D31397">
            <w:pPr>
              <w:spacing w:line="440" w:lineRule="exact"/>
              <w:rPr>
                <w:rFonts w:ascii="宋体" w:eastAsia="宋体" w:hAnsi="宋体" w:cs="Times New Roman"/>
                <w:color w:val="FF0000"/>
                <w:sz w:val="24"/>
                <w:szCs w:val="24"/>
              </w:rPr>
            </w:pPr>
          </w:p>
        </w:tc>
      </w:tr>
    </w:tbl>
    <w:p w14:paraId="534113CD" w14:textId="77777777" w:rsidR="00D31397" w:rsidRPr="00D31397" w:rsidRDefault="00D31397" w:rsidP="00D31397">
      <w:pPr>
        <w:spacing w:beforeLines="50" w:before="156" w:afterLines="50" w:after="156" w:line="440" w:lineRule="exact"/>
        <w:ind w:firstLineChars="200" w:firstLine="560"/>
        <w:rPr>
          <w:rFonts w:ascii="黑体" w:eastAsia="黑体" w:hAnsi="黑体" w:cs="Times New Roman"/>
          <w:sz w:val="28"/>
          <w:szCs w:val="28"/>
        </w:rPr>
      </w:pPr>
      <w:r w:rsidRPr="00D31397">
        <w:rPr>
          <w:rFonts w:ascii="黑体" w:eastAsia="黑体" w:hAnsi="黑体" w:cs="Times New Roman" w:hint="eastAsia"/>
          <w:sz w:val="28"/>
          <w:szCs w:val="28"/>
        </w:rPr>
        <w:t>二、课程学习目标及与毕业要求的对应关系</w:t>
      </w:r>
    </w:p>
    <w:p w14:paraId="02A1938A" w14:textId="77777777" w:rsidR="00D31397" w:rsidRPr="00D31397" w:rsidRDefault="00D31397" w:rsidP="00D31397">
      <w:pPr>
        <w:spacing w:beforeLines="50" w:before="156" w:afterLines="50" w:after="156" w:line="440" w:lineRule="exact"/>
        <w:ind w:firstLineChars="200" w:firstLine="560"/>
        <w:rPr>
          <w:rFonts w:ascii="黑体" w:eastAsia="黑体" w:hAnsi="黑体" w:cs="Times New Roman"/>
          <w:sz w:val="28"/>
          <w:szCs w:val="28"/>
        </w:rPr>
      </w:pPr>
      <w:r w:rsidRPr="00D31397">
        <w:rPr>
          <w:rFonts w:ascii="黑体" w:eastAsia="黑体" w:hAnsi="黑体" w:cs="Times New Roman" w:hint="eastAsia"/>
          <w:sz w:val="28"/>
          <w:szCs w:val="28"/>
        </w:rPr>
        <w:t>（一）课程学习目标</w:t>
      </w:r>
    </w:p>
    <w:p w14:paraId="0BA5D679"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宋体" w:hint="eastAsia"/>
          <w:color w:val="000000"/>
          <w:sz w:val="24"/>
          <w:szCs w:val="24"/>
        </w:rPr>
        <w:t>体内药物分析是药物分析在生物体内应用的重要分支学科，是一门研究生物机体中药物及其代谢物和内源性物质的质与量变化规律的分析方法学，主要内容包括药物在体内的动力学过程的基本知识、生物样本分析方法建立的一般规律和体内药物浓度检测的一般方法。通过本课程的教学，要求学生获得体内药物分析相关的基本概念、基础理论等基础知识</w:t>
      </w:r>
      <w:bookmarkStart w:id="224" w:name="OLE_LINK397"/>
      <w:r w:rsidRPr="00D31397">
        <w:rPr>
          <w:rFonts w:ascii="宋体" w:eastAsia="宋体" w:hAnsi="宋体" w:cs="宋体" w:hint="eastAsia"/>
          <w:color w:val="000000"/>
          <w:sz w:val="24"/>
          <w:szCs w:val="24"/>
        </w:rPr>
        <w:t>，掌握体内药物分析方法建立和验证的一般规律，综合运用体内药物分析理论和技术，为药品质量评价、临床用药以及精准医疗等提出切实可用的分析策略。</w:t>
      </w:r>
      <w:bookmarkEnd w:id="224"/>
      <w:r w:rsidRPr="00D31397">
        <w:rPr>
          <w:rFonts w:ascii="宋体" w:eastAsia="宋体" w:hAnsi="宋体" w:cs="Times New Roman" w:hint="eastAsia"/>
          <w:sz w:val="24"/>
          <w:szCs w:val="24"/>
        </w:rPr>
        <w:t>通过</w:t>
      </w:r>
      <w:r w:rsidRPr="00D31397">
        <w:rPr>
          <w:rFonts w:ascii="宋体" w:eastAsia="宋体" w:hAnsi="宋体" w:cs="Times New Roman"/>
          <w:sz w:val="24"/>
          <w:szCs w:val="24"/>
        </w:rPr>
        <w:t>本课程的学习，</w:t>
      </w:r>
      <w:r w:rsidRPr="00D31397">
        <w:rPr>
          <w:rFonts w:ascii="宋体" w:eastAsia="宋体" w:hAnsi="宋体" w:cs="Times New Roman" w:hint="eastAsia"/>
          <w:sz w:val="24"/>
          <w:szCs w:val="24"/>
        </w:rPr>
        <w:t>使学生达到以下</w:t>
      </w:r>
      <w:r w:rsidRPr="00D31397">
        <w:rPr>
          <w:rFonts w:ascii="宋体" w:eastAsia="宋体" w:hAnsi="宋体" w:cs="Times New Roman"/>
          <w:sz w:val="24"/>
          <w:szCs w:val="24"/>
        </w:rPr>
        <w:t>目标：</w:t>
      </w:r>
    </w:p>
    <w:p w14:paraId="7421A26B" w14:textId="77777777" w:rsidR="00D31397" w:rsidRPr="00D31397" w:rsidRDefault="00D31397" w:rsidP="00D31397">
      <w:pPr>
        <w:spacing w:line="440" w:lineRule="exact"/>
        <w:ind w:firstLineChars="200" w:firstLine="480"/>
        <w:rPr>
          <w:rFonts w:ascii="宋体" w:eastAsia="宋体" w:hAnsi="宋体" w:cs="Times New Roman"/>
          <w:b/>
          <w:sz w:val="24"/>
          <w:szCs w:val="24"/>
        </w:rPr>
      </w:pPr>
      <w:r w:rsidRPr="00D31397">
        <w:rPr>
          <w:rFonts w:ascii="宋体" w:eastAsia="宋体" w:hAnsi="宋体" w:cs="Times New Roman" w:hint="eastAsia"/>
          <w:sz w:val="24"/>
          <w:szCs w:val="24"/>
        </w:rPr>
        <w:t>1. 掌握体内药物分析相关的专业理论知识、科学研究方法和实验技能。</w:t>
      </w:r>
      <w:r w:rsidRPr="00D31397">
        <w:rPr>
          <w:rFonts w:ascii="宋体" w:eastAsia="宋体" w:hAnsi="宋体" w:cs="Times New Roman"/>
          <w:b/>
          <w:sz w:val="24"/>
          <w:szCs w:val="24"/>
        </w:rPr>
        <w:t>【毕业要求</w:t>
      </w:r>
      <w:r w:rsidRPr="00D31397">
        <w:rPr>
          <w:rFonts w:ascii="宋体" w:eastAsia="宋体" w:hAnsi="宋体" w:cs="Times New Roman" w:hint="eastAsia"/>
          <w:b/>
          <w:sz w:val="24"/>
          <w:szCs w:val="24"/>
        </w:rPr>
        <w:t>1</w:t>
      </w:r>
      <w:r w:rsidRPr="00D31397">
        <w:rPr>
          <w:rFonts w:ascii="宋体" w:eastAsia="宋体" w:hAnsi="宋体" w:cs="Times New Roman"/>
          <w:b/>
          <w:sz w:val="24"/>
          <w:szCs w:val="24"/>
        </w:rPr>
        <w:t xml:space="preserve"> </w:t>
      </w:r>
      <w:r w:rsidRPr="00D31397">
        <w:rPr>
          <w:rFonts w:ascii="宋体" w:eastAsia="宋体" w:hAnsi="宋体" w:cs="Times New Roman" w:hint="eastAsia"/>
          <w:b/>
          <w:sz w:val="24"/>
          <w:szCs w:val="24"/>
        </w:rPr>
        <w:t>药学知识</w:t>
      </w:r>
      <w:r w:rsidRPr="00D31397">
        <w:rPr>
          <w:rFonts w:ascii="宋体" w:eastAsia="宋体" w:hAnsi="宋体" w:cs="Times New Roman"/>
          <w:b/>
          <w:sz w:val="24"/>
          <w:szCs w:val="24"/>
        </w:rPr>
        <w:t>】</w:t>
      </w:r>
    </w:p>
    <w:p w14:paraId="4960D820" w14:textId="77777777" w:rsidR="00D31397" w:rsidRPr="00D31397" w:rsidRDefault="00D31397" w:rsidP="00D31397">
      <w:pPr>
        <w:spacing w:line="440" w:lineRule="exact"/>
        <w:ind w:firstLineChars="200" w:firstLine="480"/>
        <w:rPr>
          <w:rFonts w:ascii="宋体" w:eastAsia="宋体" w:hAnsi="宋体" w:cs="Times New Roman"/>
          <w:b/>
          <w:color w:val="FF0000"/>
          <w:sz w:val="24"/>
          <w:szCs w:val="24"/>
        </w:rPr>
      </w:pPr>
      <w:r w:rsidRPr="00D31397">
        <w:rPr>
          <w:rFonts w:ascii="宋体" w:eastAsia="宋体" w:hAnsi="宋体" w:cs="Times New Roman" w:hint="eastAsia"/>
          <w:sz w:val="24"/>
          <w:szCs w:val="24"/>
        </w:rPr>
        <w:t>2. 具有较好的基础理论，能够使用常用的药学实验仪器，具有选择、确定和设计体内药物分析相关实验方案的能力。</w:t>
      </w:r>
      <w:r w:rsidRPr="00D31397">
        <w:rPr>
          <w:rFonts w:ascii="宋体" w:eastAsia="宋体" w:hAnsi="宋体" w:cs="Times New Roman"/>
          <w:b/>
          <w:sz w:val="24"/>
          <w:szCs w:val="24"/>
        </w:rPr>
        <w:t>【毕业要</w:t>
      </w:r>
      <w:r w:rsidRPr="00D31397">
        <w:rPr>
          <w:rFonts w:ascii="宋体" w:eastAsia="宋体" w:hAnsi="宋体" w:cs="Times New Roman" w:hint="eastAsia"/>
          <w:b/>
          <w:sz w:val="24"/>
          <w:szCs w:val="24"/>
        </w:rPr>
        <w:t>求3 设计/开发解决方案</w:t>
      </w:r>
      <w:r w:rsidRPr="00D31397">
        <w:rPr>
          <w:rFonts w:ascii="宋体" w:eastAsia="宋体" w:hAnsi="宋体" w:cs="Times New Roman"/>
          <w:b/>
          <w:sz w:val="24"/>
          <w:szCs w:val="24"/>
        </w:rPr>
        <w:t>】</w:t>
      </w:r>
    </w:p>
    <w:p w14:paraId="23501885" w14:textId="77777777" w:rsidR="00D31397" w:rsidRPr="00D31397" w:rsidRDefault="00D31397" w:rsidP="00D31397">
      <w:pPr>
        <w:spacing w:line="440" w:lineRule="exact"/>
        <w:ind w:firstLineChars="200" w:firstLine="480"/>
        <w:rPr>
          <w:rFonts w:ascii="宋体" w:eastAsia="宋体" w:hAnsi="宋体" w:cs="Times New Roman"/>
          <w:b/>
          <w:sz w:val="24"/>
          <w:szCs w:val="24"/>
        </w:rPr>
      </w:pPr>
      <w:r w:rsidRPr="00D31397">
        <w:rPr>
          <w:rFonts w:ascii="宋体" w:eastAsia="宋体" w:hAnsi="宋体" w:cs="Times New Roman" w:hint="eastAsia"/>
          <w:sz w:val="24"/>
          <w:szCs w:val="24"/>
        </w:rPr>
        <w:lastRenderedPageBreak/>
        <w:t>3. 理解药学伦理的核心理念、职业性质和责任，在实践中能自觉遵守药学职业道德和规范，履行责任，具有法律意识。</w:t>
      </w:r>
      <w:r w:rsidRPr="00D31397">
        <w:rPr>
          <w:rFonts w:ascii="宋体" w:eastAsia="宋体" w:hAnsi="宋体" w:cs="Times New Roman" w:hint="eastAsia"/>
          <w:b/>
          <w:sz w:val="24"/>
          <w:szCs w:val="24"/>
        </w:rPr>
        <w:t>【毕业要求8</w:t>
      </w:r>
      <w:r w:rsidRPr="00D31397">
        <w:rPr>
          <w:rFonts w:ascii="宋体" w:eastAsia="宋体" w:hAnsi="宋体" w:cs="Times New Roman"/>
          <w:b/>
          <w:sz w:val="24"/>
          <w:szCs w:val="24"/>
        </w:rPr>
        <w:t xml:space="preserve"> </w:t>
      </w:r>
      <w:r w:rsidRPr="00D31397">
        <w:rPr>
          <w:rFonts w:ascii="宋体" w:eastAsia="宋体" w:hAnsi="宋体" w:cs="Times New Roman" w:hint="eastAsia"/>
          <w:b/>
          <w:sz w:val="24"/>
          <w:szCs w:val="24"/>
        </w:rPr>
        <w:t>职业规范】</w:t>
      </w:r>
    </w:p>
    <w:p w14:paraId="52C97870" w14:textId="77777777" w:rsidR="00D31397" w:rsidRPr="00D31397" w:rsidRDefault="00D31397" w:rsidP="00D31397">
      <w:pPr>
        <w:spacing w:beforeLines="50" w:before="156" w:afterLines="50" w:after="156" w:line="440" w:lineRule="exact"/>
        <w:ind w:firstLineChars="200" w:firstLine="560"/>
        <w:rPr>
          <w:rFonts w:ascii="黑体" w:eastAsia="黑体" w:hAnsi="黑体" w:cs="Times New Roman"/>
          <w:sz w:val="28"/>
          <w:szCs w:val="28"/>
        </w:rPr>
      </w:pPr>
      <w:r w:rsidRPr="00D31397">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D31397" w:rsidRPr="00D31397" w14:paraId="77AF6058" w14:textId="77777777" w:rsidTr="00C96426">
        <w:trPr>
          <w:trHeight w:val="815"/>
          <w:jc w:val="center"/>
        </w:trPr>
        <w:tc>
          <w:tcPr>
            <w:tcW w:w="1676" w:type="dxa"/>
            <w:vAlign w:val="center"/>
          </w:tcPr>
          <w:p w14:paraId="161E3D87" w14:textId="77777777" w:rsidR="00D31397" w:rsidRPr="00D31397" w:rsidRDefault="00D31397" w:rsidP="00D31397">
            <w:pPr>
              <w:spacing w:line="440" w:lineRule="exact"/>
              <w:jc w:val="center"/>
              <w:rPr>
                <w:rFonts w:ascii="宋体" w:eastAsia="宋体" w:hAnsi="宋体" w:cs="Times New Roman"/>
                <w:b/>
                <w:sz w:val="24"/>
                <w:szCs w:val="24"/>
              </w:rPr>
            </w:pPr>
            <w:r w:rsidRPr="00D31397">
              <w:rPr>
                <w:rFonts w:ascii="宋体" w:eastAsia="宋体" w:hAnsi="宋体" w:cs="Times New Roman" w:hint="eastAsia"/>
                <w:b/>
                <w:sz w:val="24"/>
                <w:szCs w:val="24"/>
              </w:rPr>
              <w:t>毕业要求</w:t>
            </w:r>
          </w:p>
        </w:tc>
        <w:tc>
          <w:tcPr>
            <w:tcW w:w="5534" w:type="dxa"/>
            <w:vAlign w:val="center"/>
          </w:tcPr>
          <w:p w14:paraId="212B198B" w14:textId="77777777" w:rsidR="00D31397" w:rsidRPr="00D31397" w:rsidRDefault="00D31397" w:rsidP="00D31397">
            <w:pPr>
              <w:spacing w:line="440" w:lineRule="exact"/>
              <w:jc w:val="center"/>
              <w:rPr>
                <w:rFonts w:ascii="宋体" w:eastAsia="宋体" w:hAnsi="宋体" w:cs="Times New Roman"/>
                <w:b/>
                <w:sz w:val="24"/>
                <w:szCs w:val="24"/>
              </w:rPr>
            </w:pPr>
            <w:r w:rsidRPr="00D31397">
              <w:rPr>
                <w:rFonts w:ascii="宋体" w:eastAsia="宋体" w:hAnsi="宋体" w:cs="Times New Roman" w:hint="eastAsia"/>
                <w:b/>
                <w:sz w:val="24"/>
                <w:szCs w:val="24"/>
              </w:rPr>
              <w:t>毕业要求指标点</w:t>
            </w:r>
          </w:p>
        </w:tc>
        <w:tc>
          <w:tcPr>
            <w:tcW w:w="1959" w:type="dxa"/>
            <w:vAlign w:val="center"/>
          </w:tcPr>
          <w:p w14:paraId="0D7FB780" w14:textId="77777777" w:rsidR="00D31397" w:rsidRPr="00D31397" w:rsidRDefault="00D31397" w:rsidP="00D31397">
            <w:pPr>
              <w:spacing w:line="440" w:lineRule="exact"/>
              <w:jc w:val="center"/>
              <w:rPr>
                <w:rFonts w:ascii="宋体" w:eastAsia="宋体" w:hAnsi="宋体" w:cs="Times New Roman"/>
                <w:b/>
                <w:sz w:val="24"/>
                <w:szCs w:val="24"/>
              </w:rPr>
            </w:pPr>
            <w:r w:rsidRPr="00D31397">
              <w:rPr>
                <w:rFonts w:ascii="宋体" w:eastAsia="宋体" w:hAnsi="宋体" w:cs="Times New Roman" w:hint="eastAsia"/>
                <w:b/>
                <w:sz w:val="24"/>
                <w:szCs w:val="24"/>
              </w:rPr>
              <w:t>课程目标</w:t>
            </w:r>
          </w:p>
        </w:tc>
      </w:tr>
      <w:tr w:rsidR="00D31397" w:rsidRPr="00D31397" w14:paraId="09B4124C" w14:textId="77777777" w:rsidTr="00C96426">
        <w:trPr>
          <w:jc w:val="center"/>
        </w:trPr>
        <w:tc>
          <w:tcPr>
            <w:tcW w:w="1676" w:type="dxa"/>
            <w:vAlign w:val="center"/>
          </w:tcPr>
          <w:p w14:paraId="1E100EAD" w14:textId="77777777" w:rsidR="00D31397" w:rsidRPr="00D31397" w:rsidRDefault="00D31397" w:rsidP="00D31397">
            <w:pPr>
              <w:spacing w:line="440" w:lineRule="exact"/>
              <w:jc w:val="center"/>
              <w:rPr>
                <w:rFonts w:ascii="Times New Roman" w:eastAsia="宋体" w:hAnsi="Times New Roman" w:cs="Times New Roman"/>
                <w:bCs/>
                <w:color w:val="FF0000"/>
                <w:sz w:val="24"/>
                <w:szCs w:val="24"/>
              </w:rPr>
            </w:pPr>
            <w:r w:rsidRPr="00D31397">
              <w:rPr>
                <w:rFonts w:ascii="Times New Roman" w:eastAsia="宋体" w:hAnsi="Times New Roman" w:cs="Times New Roman"/>
                <w:bCs/>
                <w:sz w:val="24"/>
                <w:szCs w:val="24"/>
              </w:rPr>
              <w:t xml:space="preserve">1 </w:t>
            </w:r>
            <w:r w:rsidRPr="00D31397">
              <w:rPr>
                <w:rFonts w:ascii="Times New Roman" w:eastAsia="宋体" w:hAnsi="Times New Roman" w:cs="Times New Roman"/>
                <w:bCs/>
                <w:sz w:val="24"/>
                <w:szCs w:val="24"/>
              </w:rPr>
              <w:t>药学知识</w:t>
            </w:r>
          </w:p>
        </w:tc>
        <w:tc>
          <w:tcPr>
            <w:tcW w:w="5534" w:type="dxa"/>
            <w:vAlign w:val="center"/>
          </w:tcPr>
          <w:p w14:paraId="690FBC51" w14:textId="77777777" w:rsidR="00D31397" w:rsidRPr="00D31397" w:rsidRDefault="00D31397" w:rsidP="00D31397">
            <w:pPr>
              <w:spacing w:line="440" w:lineRule="exact"/>
              <w:jc w:val="left"/>
              <w:rPr>
                <w:rFonts w:ascii="Times New Roman" w:eastAsia="宋体" w:hAnsi="Times New Roman" w:cs="Times New Roman"/>
                <w:color w:val="FF0000"/>
                <w:sz w:val="24"/>
                <w:szCs w:val="24"/>
              </w:rPr>
            </w:pPr>
            <w:r w:rsidRPr="00D31397">
              <w:rPr>
                <w:rFonts w:ascii="Times New Roman" w:eastAsia="宋体" w:hAnsi="Times New Roman" w:cs="Times New Roman"/>
                <w:sz w:val="24"/>
                <w:szCs w:val="24"/>
              </w:rPr>
              <w:t xml:space="preserve">1.3 </w:t>
            </w:r>
            <w:r w:rsidRPr="00D31397">
              <w:rPr>
                <w:rFonts w:ascii="Times New Roman" w:eastAsia="宋体" w:hAnsi="Times New Roman" w:cs="Times New Roman"/>
                <w:sz w:val="24"/>
                <w:szCs w:val="24"/>
              </w:rPr>
              <w:t>掌握药物分析、中药分析、体内药物分析、药剂学、药理学和药物化学等药学专业理论知识、科学研究方法和实验技能。（</w:t>
            </w:r>
            <w:r w:rsidRPr="00D31397">
              <w:rPr>
                <w:rFonts w:ascii="Times New Roman" w:eastAsia="宋体" w:hAnsi="Times New Roman" w:cs="Times New Roman"/>
                <w:sz w:val="24"/>
                <w:szCs w:val="24"/>
              </w:rPr>
              <w:t>H</w:t>
            </w:r>
            <w:r w:rsidRPr="00D31397">
              <w:rPr>
                <w:rFonts w:ascii="Times New Roman" w:eastAsia="宋体" w:hAnsi="Times New Roman" w:cs="Times New Roman"/>
                <w:sz w:val="24"/>
                <w:szCs w:val="24"/>
              </w:rPr>
              <w:t>）</w:t>
            </w:r>
          </w:p>
        </w:tc>
        <w:tc>
          <w:tcPr>
            <w:tcW w:w="1959" w:type="dxa"/>
            <w:vAlign w:val="center"/>
          </w:tcPr>
          <w:p w14:paraId="1BB8557B"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sz w:val="24"/>
                <w:szCs w:val="24"/>
              </w:rPr>
              <w:t>课程目标</w:t>
            </w:r>
            <w:r w:rsidRPr="00D31397">
              <w:rPr>
                <w:rFonts w:ascii="Times New Roman" w:eastAsia="宋体" w:hAnsi="Times New Roman" w:cs="Times New Roman"/>
                <w:sz w:val="24"/>
                <w:szCs w:val="24"/>
              </w:rPr>
              <w:t>1</w:t>
            </w:r>
          </w:p>
        </w:tc>
      </w:tr>
      <w:tr w:rsidR="00D31397" w:rsidRPr="00D31397" w14:paraId="061A52B6" w14:textId="77777777" w:rsidTr="00C96426">
        <w:trPr>
          <w:jc w:val="center"/>
        </w:trPr>
        <w:tc>
          <w:tcPr>
            <w:tcW w:w="1676" w:type="dxa"/>
            <w:vAlign w:val="center"/>
          </w:tcPr>
          <w:p w14:paraId="5C2EB371" w14:textId="77777777" w:rsidR="00D31397" w:rsidRPr="00D31397" w:rsidRDefault="00D31397" w:rsidP="00D31397">
            <w:pPr>
              <w:spacing w:line="440" w:lineRule="exact"/>
              <w:jc w:val="center"/>
              <w:rPr>
                <w:rFonts w:ascii="Times New Roman" w:eastAsia="宋体" w:hAnsi="Times New Roman" w:cs="Times New Roman"/>
                <w:bCs/>
                <w:color w:val="FF0000"/>
                <w:sz w:val="24"/>
                <w:szCs w:val="24"/>
              </w:rPr>
            </w:pPr>
            <w:r w:rsidRPr="00D31397">
              <w:rPr>
                <w:rFonts w:ascii="Times New Roman" w:eastAsia="宋体" w:hAnsi="Times New Roman" w:cs="Times New Roman"/>
                <w:bCs/>
                <w:sz w:val="24"/>
                <w:szCs w:val="24"/>
              </w:rPr>
              <w:t xml:space="preserve">3 </w:t>
            </w:r>
            <w:r w:rsidRPr="00D31397">
              <w:rPr>
                <w:rFonts w:ascii="Times New Roman" w:eastAsia="宋体" w:hAnsi="Times New Roman" w:cs="Times New Roman"/>
                <w:bCs/>
                <w:sz w:val="24"/>
                <w:szCs w:val="24"/>
              </w:rPr>
              <w:t>设计</w:t>
            </w:r>
            <w:r w:rsidRPr="00D31397">
              <w:rPr>
                <w:rFonts w:ascii="Times New Roman" w:eastAsia="宋体" w:hAnsi="Times New Roman" w:cs="Times New Roman"/>
                <w:bCs/>
                <w:sz w:val="24"/>
                <w:szCs w:val="24"/>
              </w:rPr>
              <w:t>/</w:t>
            </w:r>
            <w:r w:rsidRPr="00D31397">
              <w:rPr>
                <w:rFonts w:ascii="Times New Roman" w:eastAsia="宋体" w:hAnsi="Times New Roman" w:cs="Times New Roman"/>
                <w:bCs/>
                <w:sz w:val="24"/>
                <w:szCs w:val="24"/>
              </w:rPr>
              <w:t>开发解决方案</w:t>
            </w:r>
          </w:p>
        </w:tc>
        <w:tc>
          <w:tcPr>
            <w:tcW w:w="5534" w:type="dxa"/>
            <w:vAlign w:val="center"/>
          </w:tcPr>
          <w:p w14:paraId="06A6DAFC" w14:textId="77777777" w:rsidR="00D31397" w:rsidRPr="00D31397" w:rsidRDefault="00D31397" w:rsidP="00D31397">
            <w:pPr>
              <w:spacing w:line="440" w:lineRule="exact"/>
              <w:jc w:val="left"/>
              <w:rPr>
                <w:rFonts w:ascii="Times New Roman" w:eastAsia="宋体" w:hAnsi="Times New Roman" w:cs="Times New Roman"/>
                <w:sz w:val="24"/>
                <w:szCs w:val="24"/>
              </w:rPr>
            </w:pPr>
            <w:r w:rsidRPr="00D31397">
              <w:rPr>
                <w:rFonts w:ascii="Times New Roman" w:eastAsia="宋体" w:hAnsi="Times New Roman" w:cs="Times New Roman"/>
                <w:spacing w:val="-1"/>
                <w:sz w:val="24"/>
                <w:szCs w:val="24"/>
              </w:rPr>
              <w:t xml:space="preserve">3.1 </w:t>
            </w:r>
            <w:r w:rsidRPr="00D31397">
              <w:rPr>
                <w:rFonts w:ascii="Times New Roman" w:eastAsia="宋体" w:hAnsi="Times New Roman" w:cs="Times New Roman"/>
                <w:sz w:val="24"/>
                <w:szCs w:val="24"/>
              </w:rPr>
              <w:t>具有较好的基础理论，能够使用常用的药学实验仪器，具有选择、确定和设计实验方案的能力。（</w:t>
            </w:r>
            <w:r w:rsidRPr="00D31397">
              <w:rPr>
                <w:rFonts w:ascii="Times New Roman" w:eastAsia="宋体" w:hAnsi="Times New Roman" w:cs="Times New Roman"/>
                <w:sz w:val="24"/>
                <w:szCs w:val="24"/>
              </w:rPr>
              <w:t>M</w:t>
            </w:r>
            <w:r w:rsidRPr="00D31397">
              <w:rPr>
                <w:rFonts w:ascii="Times New Roman" w:eastAsia="宋体" w:hAnsi="Times New Roman" w:cs="Times New Roman"/>
                <w:sz w:val="24"/>
                <w:szCs w:val="24"/>
              </w:rPr>
              <w:t>）</w:t>
            </w:r>
          </w:p>
        </w:tc>
        <w:tc>
          <w:tcPr>
            <w:tcW w:w="1959" w:type="dxa"/>
            <w:vAlign w:val="center"/>
          </w:tcPr>
          <w:p w14:paraId="4A2B9C5C"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sz w:val="24"/>
                <w:szCs w:val="24"/>
              </w:rPr>
              <w:t>课程目标</w:t>
            </w:r>
            <w:r w:rsidRPr="00D31397">
              <w:rPr>
                <w:rFonts w:ascii="Times New Roman" w:eastAsia="宋体" w:hAnsi="Times New Roman" w:cs="Times New Roman"/>
                <w:sz w:val="24"/>
                <w:szCs w:val="24"/>
              </w:rPr>
              <w:t>2</w:t>
            </w:r>
          </w:p>
        </w:tc>
      </w:tr>
      <w:tr w:rsidR="00D31397" w:rsidRPr="00D31397" w14:paraId="3479AC5F" w14:textId="77777777" w:rsidTr="00C96426">
        <w:trPr>
          <w:jc w:val="center"/>
        </w:trPr>
        <w:tc>
          <w:tcPr>
            <w:tcW w:w="1676" w:type="dxa"/>
            <w:vAlign w:val="center"/>
          </w:tcPr>
          <w:p w14:paraId="3AE3C910" w14:textId="77777777" w:rsidR="00D31397" w:rsidRPr="00D31397" w:rsidRDefault="00D31397" w:rsidP="00D31397">
            <w:pPr>
              <w:spacing w:line="440" w:lineRule="exact"/>
              <w:jc w:val="center"/>
              <w:rPr>
                <w:rFonts w:ascii="Times New Roman" w:eastAsia="宋体" w:hAnsi="Times New Roman" w:cs="Times New Roman"/>
                <w:bCs/>
                <w:color w:val="FF0000"/>
                <w:sz w:val="24"/>
                <w:szCs w:val="24"/>
              </w:rPr>
            </w:pPr>
            <w:r w:rsidRPr="00D31397">
              <w:rPr>
                <w:rFonts w:ascii="Times New Roman" w:eastAsia="宋体" w:hAnsi="Times New Roman" w:cs="Times New Roman"/>
                <w:bCs/>
                <w:sz w:val="24"/>
                <w:szCs w:val="24"/>
              </w:rPr>
              <w:t xml:space="preserve">8 </w:t>
            </w:r>
            <w:r w:rsidRPr="00D31397">
              <w:rPr>
                <w:rFonts w:ascii="Times New Roman" w:eastAsia="宋体" w:hAnsi="Times New Roman" w:cs="Times New Roman"/>
                <w:bCs/>
                <w:sz w:val="24"/>
                <w:szCs w:val="24"/>
              </w:rPr>
              <w:t>职业规范</w:t>
            </w:r>
          </w:p>
        </w:tc>
        <w:tc>
          <w:tcPr>
            <w:tcW w:w="5534" w:type="dxa"/>
            <w:vAlign w:val="center"/>
          </w:tcPr>
          <w:p w14:paraId="4FA54673" w14:textId="77777777" w:rsidR="00D31397" w:rsidRPr="00D31397" w:rsidRDefault="00D31397" w:rsidP="00D31397">
            <w:pPr>
              <w:spacing w:line="440" w:lineRule="exact"/>
              <w:jc w:val="left"/>
              <w:rPr>
                <w:rFonts w:ascii="Times New Roman" w:eastAsia="宋体" w:hAnsi="Times New Roman" w:cs="Times New Roman"/>
                <w:sz w:val="24"/>
                <w:szCs w:val="24"/>
              </w:rPr>
            </w:pPr>
            <w:r w:rsidRPr="00D31397">
              <w:rPr>
                <w:rFonts w:ascii="Times New Roman" w:eastAsia="宋体" w:hAnsi="Times New Roman" w:cs="Times New Roman"/>
                <w:spacing w:val="-1"/>
                <w:sz w:val="24"/>
                <w:szCs w:val="24"/>
              </w:rPr>
              <w:t>8.2</w:t>
            </w:r>
            <w:r w:rsidRPr="00D31397">
              <w:rPr>
                <w:rFonts w:ascii="Times New Roman" w:eastAsia="宋体" w:hAnsi="Times New Roman" w:cs="Times New Roman" w:hint="eastAsia"/>
                <w:spacing w:val="-1"/>
                <w:sz w:val="24"/>
                <w:szCs w:val="24"/>
              </w:rPr>
              <w:t xml:space="preserve"> </w:t>
            </w:r>
            <w:r w:rsidRPr="00D31397">
              <w:rPr>
                <w:rFonts w:ascii="Times New Roman" w:eastAsia="宋体" w:hAnsi="Times New Roman" w:cs="Times New Roman"/>
                <w:spacing w:val="-1"/>
                <w:sz w:val="24"/>
                <w:szCs w:val="24"/>
              </w:rPr>
              <w:t>理解</w:t>
            </w:r>
            <w:r w:rsidRPr="00D31397">
              <w:rPr>
                <w:rFonts w:ascii="Times New Roman" w:eastAsia="宋体" w:hAnsi="Times New Roman" w:cs="Times New Roman" w:hint="eastAsia"/>
                <w:spacing w:val="-1"/>
                <w:sz w:val="24"/>
                <w:szCs w:val="24"/>
              </w:rPr>
              <w:t>药学</w:t>
            </w:r>
            <w:r w:rsidRPr="00D31397">
              <w:rPr>
                <w:rFonts w:ascii="Times New Roman" w:eastAsia="宋体" w:hAnsi="Times New Roman" w:cs="Times New Roman"/>
                <w:spacing w:val="-1"/>
                <w:sz w:val="24"/>
                <w:szCs w:val="24"/>
              </w:rPr>
              <w:t>伦理的核心理念</w:t>
            </w:r>
            <w:r w:rsidRPr="00D31397">
              <w:rPr>
                <w:rFonts w:ascii="Times New Roman" w:eastAsia="宋体" w:hAnsi="Times New Roman" w:cs="Times New Roman" w:hint="eastAsia"/>
                <w:spacing w:val="-1"/>
                <w:sz w:val="24"/>
                <w:szCs w:val="24"/>
              </w:rPr>
              <w:t>、</w:t>
            </w:r>
            <w:r w:rsidRPr="00D31397">
              <w:rPr>
                <w:rFonts w:ascii="Times New Roman" w:eastAsia="宋体" w:hAnsi="Times New Roman" w:cs="Times New Roman"/>
                <w:spacing w:val="-1"/>
                <w:sz w:val="24"/>
                <w:szCs w:val="24"/>
              </w:rPr>
              <w:t>职业性质和责任，在实践中能自觉遵守</w:t>
            </w:r>
            <w:r w:rsidRPr="00D31397">
              <w:rPr>
                <w:rFonts w:ascii="Times New Roman" w:eastAsia="宋体" w:hAnsi="Times New Roman" w:cs="Times New Roman" w:hint="eastAsia"/>
                <w:spacing w:val="-1"/>
                <w:sz w:val="24"/>
                <w:szCs w:val="24"/>
              </w:rPr>
              <w:t>药学</w:t>
            </w:r>
            <w:r w:rsidRPr="00D31397">
              <w:rPr>
                <w:rFonts w:ascii="Times New Roman" w:eastAsia="宋体" w:hAnsi="Times New Roman" w:cs="Times New Roman"/>
                <w:spacing w:val="-1"/>
                <w:sz w:val="24"/>
                <w:szCs w:val="24"/>
              </w:rPr>
              <w:t>职业道德和规范，履行责任，具有法律意识。</w:t>
            </w:r>
            <w:r w:rsidRPr="00D31397">
              <w:rPr>
                <w:rFonts w:ascii="Times New Roman" w:eastAsia="宋体" w:hAnsi="Times New Roman" w:cs="Times New Roman" w:hint="eastAsia"/>
                <w:spacing w:val="-1"/>
                <w:sz w:val="24"/>
                <w:szCs w:val="24"/>
              </w:rPr>
              <w:t>（</w:t>
            </w:r>
            <w:r w:rsidRPr="00D31397">
              <w:rPr>
                <w:rFonts w:ascii="Times New Roman" w:eastAsia="宋体" w:hAnsi="Times New Roman" w:cs="Times New Roman" w:hint="eastAsia"/>
                <w:spacing w:val="-1"/>
                <w:sz w:val="24"/>
                <w:szCs w:val="24"/>
              </w:rPr>
              <w:t>L</w:t>
            </w:r>
            <w:r w:rsidRPr="00D31397">
              <w:rPr>
                <w:rFonts w:ascii="Times New Roman" w:eastAsia="宋体" w:hAnsi="Times New Roman" w:cs="Times New Roman" w:hint="eastAsia"/>
                <w:spacing w:val="-1"/>
                <w:sz w:val="24"/>
                <w:szCs w:val="24"/>
              </w:rPr>
              <w:t>）</w:t>
            </w:r>
          </w:p>
        </w:tc>
        <w:tc>
          <w:tcPr>
            <w:tcW w:w="1959" w:type="dxa"/>
            <w:vAlign w:val="center"/>
          </w:tcPr>
          <w:p w14:paraId="128C893D"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sz w:val="24"/>
                <w:szCs w:val="24"/>
              </w:rPr>
              <w:t>课程目标</w:t>
            </w:r>
            <w:r w:rsidRPr="00D31397">
              <w:rPr>
                <w:rFonts w:ascii="Times New Roman" w:eastAsia="宋体" w:hAnsi="Times New Roman" w:cs="Times New Roman"/>
                <w:sz w:val="24"/>
                <w:szCs w:val="24"/>
              </w:rPr>
              <w:t>3</w:t>
            </w:r>
          </w:p>
        </w:tc>
      </w:tr>
    </w:tbl>
    <w:p w14:paraId="3AD68FBB" w14:textId="77777777" w:rsidR="00D31397" w:rsidRPr="00D31397" w:rsidRDefault="00D31397" w:rsidP="00D31397">
      <w:pPr>
        <w:spacing w:beforeLines="50" w:before="156" w:afterLines="50" w:after="156" w:line="440" w:lineRule="exact"/>
        <w:ind w:firstLineChars="200" w:firstLine="560"/>
        <w:rPr>
          <w:rFonts w:ascii="黑体" w:eastAsia="黑体" w:hAnsi="黑体" w:cs="Times New Roman"/>
          <w:sz w:val="28"/>
          <w:szCs w:val="28"/>
        </w:rPr>
      </w:pPr>
      <w:r w:rsidRPr="00D31397">
        <w:rPr>
          <w:rFonts w:ascii="黑体" w:eastAsia="黑体" w:hAnsi="黑体" w:cs="Times New Roman" w:hint="eastAsia"/>
          <w:sz w:val="28"/>
          <w:szCs w:val="28"/>
        </w:rPr>
        <w:t>三、课程学习内容及与课程学习目标的对应关系</w:t>
      </w:r>
    </w:p>
    <w:p w14:paraId="5454BCE5" w14:textId="77777777" w:rsidR="00D31397" w:rsidRPr="00D31397" w:rsidRDefault="00D31397" w:rsidP="00D31397">
      <w:pPr>
        <w:spacing w:beforeLines="50" w:before="156" w:afterLines="50" w:after="156" w:line="440" w:lineRule="exact"/>
        <w:ind w:firstLineChars="200" w:firstLine="562"/>
        <w:rPr>
          <w:rFonts w:ascii="黑体" w:eastAsia="黑体" w:hAnsi="黑体" w:cs="Times New Roman"/>
          <w:b/>
          <w:sz w:val="28"/>
          <w:szCs w:val="28"/>
        </w:rPr>
      </w:pPr>
      <w:r w:rsidRPr="00D31397">
        <w:rPr>
          <w:rFonts w:ascii="黑体" w:eastAsia="黑体" w:hAnsi="黑体" w:cs="Times New Roman" w:hint="eastAsia"/>
          <w:b/>
          <w:sz w:val="28"/>
          <w:szCs w:val="28"/>
        </w:rPr>
        <w:t>（一）课程学习内容</w:t>
      </w:r>
    </w:p>
    <w:p w14:paraId="51DF6D5D" w14:textId="77777777" w:rsidR="00D31397" w:rsidRPr="00D31397" w:rsidRDefault="00D31397" w:rsidP="00D31397">
      <w:pPr>
        <w:spacing w:beforeLines="50" w:before="156" w:afterLines="50" w:after="156" w:line="440" w:lineRule="exact"/>
        <w:ind w:firstLineChars="200" w:firstLine="560"/>
        <w:jc w:val="center"/>
        <w:rPr>
          <w:rFonts w:ascii="黑体" w:eastAsia="黑体" w:hAnsi="黑体" w:cs="Times New Roman"/>
          <w:sz w:val="28"/>
          <w:szCs w:val="28"/>
        </w:rPr>
      </w:pPr>
      <w:r w:rsidRPr="00D31397">
        <w:rPr>
          <w:rFonts w:ascii="黑体" w:eastAsia="黑体" w:hAnsi="黑体" w:cs="Times New Roman" w:hint="eastAsia"/>
          <w:sz w:val="28"/>
          <w:szCs w:val="28"/>
        </w:rPr>
        <w:t>第一章  绪论</w:t>
      </w:r>
    </w:p>
    <w:p w14:paraId="03737044"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【学习目标】</w:t>
      </w:r>
    </w:p>
    <w:p w14:paraId="7EA68E42" w14:textId="77777777" w:rsidR="00D31397" w:rsidRPr="00D31397" w:rsidRDefault="00D31397" w:rsidP="00D31397">
      <w:pPr>
        <w:spacing w:line="440" w:lineRule="exact"/>
        <w:ind w:firstLineChars="200" w:firstLine="480"/>
        <w:rPr>
          <w:rFonts w:ascii="宋体" w:eastAsia="黑体" w:hAnsi="宋体" w:cs="Times New Roman"/>
          <w:sz w:val="24"/>
          <w:szCs w:val="24"/>
        </w:rPr>
      </w:pPr>
      <w:r w:rsidRPr="00D31397">
        <w:rPr>
          <w:rFonts w:ascii="宋体" w:eastAsia="宋体" w:hAnsi="宋体" w:cs="Times New Roman" w:hint="eastAsia"/>
          <w:sz w:val="24"/>
          <w:szCs w:val="24"/>
        </w:rPr>
        <w:t>1</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认知类目标：掌握体内药物分析的特点与一般要求。熟悉体内药物分析的性质与任务、分析的对象与工作内容。了解体内药物分析的发展概况与研究热点、相关期刊文献。</w:t>
      </w:r>
    </w:p>
    <w:p w14:paraId="56AC6499"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过程与方法类目标：能够通过图书馆或网络检索查询体内药物分析的相关期刊文献。</w:t>
      </w:r>
    </w:p>
    <w:p w14:paraId="2E9C2DB4"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sz w:val="24"/>
          <w:szCs w:val="24"/>
        </w:rPr>
        <w:t xml:space="preserve">3. </w:t>
      </w:r>
      <w:r w:rsidRPr="00D31397">
        <w:rPr>
          <w:rFonts w:ascii="宋体" w:eastAsia="宋体" w:hAnsi="宋体" w:cs="Times New Roman" w:hint="eastAsia"/>
          <w:sz w:val="24"/>
          <w:szCs w:val="24"/>
        </w:rPr>
        <w:t>情感、态度、价值观类目标：理解体内药物分析的研究任务，体会药物分析工作者应该具备的专业知识和技能。</w:t>
      </w:r>
    </w:p>
    <w:p w14:paraId="3892305A"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【学习内容】</w:t>
      </w:r>
    </w:p>
    <w:p w14:paraId="5B55BDFE" w14:textId="77777777" w:rsidR="00D31397" w:rsidRPr="00D31397" w:rsidRDefault="00D31397" w:rsidP="00D31397">
      <w:pPr>
        <w:spacing w:line="440" w:lineRule="exact"/>
        <w:ind w:firstLineChars="200" w:firstLine="480"/>
        <w:rPr>
          <w:rFonts w:ascii="宋体" w:eastAsia="宋体" w:hAnsi="宋体" w:cs="Times New Roman"/>
          <w:b/>
          <w:sz w:val="24"/>
          <w:szCs w:val="24"/>
        </w:rPr>
      </w:pPr>
      <w:r w:rsidRPr="00D31397">
        <w:rPr>
          <w:rFonts w:ascii="宋体" w:eastAsia="宋体" w:hAnsi="宋体" w:cs="Times New Roman" w:hint="eastAsia"/>
          <w:sz w:val="24"/>
          <w:szCs w:val="24"/>
        </w:rPr>
        <w:t>1</w:t>
      </w:r>
      <w:r w:rsidRPr="00D31397">
        <w:rPr>
          <w:rFonts w:ascii="宋体" w:eastAsia="宋体" w:hAnsi="宋体" w:cs="Times New Roman"/>
          <w:sz w:val="24"/>
          <w:szCs w:val="24"/>
        </w:rPr>
        <w:t>.</w:t>
      </w:r>
      <w:r w:rsidRPr="00D31397">
        <w:rPr>
          <w:rFonts w:ascii="Times New Roman" w:eastAsia="宋体" w:hAnsi="Times New Roman" w:cs="Times New Roman" w:hint="eastAsia"/>
          <w:szCs w:val="24"/>
        </w:rPr>
        <w:t xml:space="preserve"> </w:t>
      </w:r>
      <w:r w:rsidRPr="00D31397">
        <w:rPr>
          <w:rFonts w:ascii="宋体" w:eastAsia="宋体" w:hAnsi="宋体" w:cs="Times New Roman" w:hint="eastAsia"/>
          <w:sz w:val="24"/>
          <w:szCs w:val="24"/>
        </w:rPr>
        <w:t>体内药物分析学科的发展概况；</w:t>
      </w:r>
    </w:p>
    <w:p w14:paraId="03669630"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w:t>
      </w:r>
      <w:r w:rsidRPr="00D31397">
        <w:rPr>
          <w:rFonts w:ascii="宋体" w:eastAsia="宋体" w:hAnsi="宋体" w:cs="Times New Roman"/>
          <w:sz w:val="24"/>
          <w:szCs w:val="24"/>
        </w:rPr>
        <w:t>.</w:t>
      </w:r>
      <w:r w:rsidRPr="00D31397">
        <w:rPr>
          <w:rFonts w:ascii="Times New Roman" w:eastAsia="宋体" w:hAnsi="Times New Roman" w:cs="Times New Roman" w:hint="eastAsia"/>
          <w:szCs w:val="24"/>
        </w:rPr>
        <w:t xml:space="preserve"> </w:t>
      </w:r>
      <w:r w:rsidRPr="00D31397">
        <w:rPr>
          <w:rFonts w:ascii="宋体" w:eastAsia="宋体" w:hAnsi="宋体" w:cs="Times New Roman" w:hint="eastAsia"/>
          <w:sz w:val="24"/>
          <w:szCs w:val="24"/>
        </w:rPr>
        <w:t>体内药物分析的对象与工作内容；</w:t>
      </w:r>
    </w:p>
    <w:p w14:paraId="119C6BE8"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3</w:t>
      </w:r>
      <w:r w:rsidRPr="00D31397">
        <w:rPr>
          <w:rFonts w:ascii="宋体" w:eastAsia="宋体" w:hAnsi="宋体" w:cs="Times New Roman"/>
          <w:sz w:val="24"/>
          <w:szCs w:val="24"/>
        </w:rPr>
        <w:t>.</w:t>
      </w:r>
      <w:r w:rsidRPr="00D31397">
        <w:rPr>
          <w:rFonts w:ascii="Times New Roman" w:eastAsia="宋体" w:hAnsi="Times New Roman" w:cs="Times New Roman" w:hint="eastAsia"/>
          <w:szCs w:val="24"/>
        </w:rPr>
        <w:t xml:space="preserve"> </w:t>
      </w:r>
      <w:r w:rsidRPr="00D31397">
        <w:rPr>
          <w:rFonts w:ascii="宋体" w:eastAsia="宋体" w:hAnsi="宋体" w:cs="Times New Roman" w:hint="eastAsia"/>
          <w:sz w:val="24"/>
          <w:szCs w:val="24"/>
        </w:rPr>
        <w:t>体内药物分析的特点与要求；</w:t>
      </w:r>
    </w:p>
    <w:p w14:paraId="38E46D29"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lastRenderedPageBreak/>
        <w:t>4. 体内药物分析的相关文献。</w:t>
      </w:r>
    </w:p>
    <w:p w14:paraId="2E3C9B7B"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【重点】</w:t>
      </w:r>
    </w:p>
    <w:p w14:paraId="66259280"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1</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体内药物分析的性质与任务、分析的对象与工作内容；</w:t>
      </w:r>
    </w:p>
    <w:p w14:paraId="4A722A04" w14:textId="77777777" w:rsidR="00D31397" w:rsidRPr="00D31397" w:rsidRDefault="00D31397" w:rsidP="00D31397">
      <w:pPr>
        <w:spacing w:line="440" w:lineRule="exact"/>
        <w:ind w:firstLineChars="200" w:firstLine="480"/>
        <w:rPr>
          <w:rFonts w:ascii="宋体" w:eastAsia="宋体" w:hAnsi="宋体" w:cs="Times New Roman"/>
          <w:b/>
          <w:sz w:val="24"/>
          <w:szCs w:val="24"/>
        </w:rPr>
      </w:pPr>
      <w:r w:rsidRPr="00D31397">
        <w:rPr>
          <w:rFonts w:ascii="宋体" w:eastAsia="宋体" w:hAnsi="宋体" w:cs="Times New Roman" w:hint="eastAsia"/>
          <w:sz w:val="24"/>
          <w:szCs w:val="24"/>
        </w:rPr>
        <w:t>2</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体内药物分析的特点与一般要求。</w:t>
      </w:r>
    </w:p>
    <w:p w14:paraId="18C2BC6A"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【难点】</w:t>
      </w:r>
    </w:p>
    <w:p w14:paraId="01C2E3A3"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体内药物分析的特点与一般要求</w:t>
      </w:r>
    </w:p>
    <w:p w14:paraId="2CA38F60" w14:textId="77777777" w:rsidR="00D31397" w:rsidRPr="00D31397" w:rsidRDefault="00D31397" w:rsidP="00D31397">
      <w:pPr>
        <w:spacing w:line="440" w:lineRule="exact"/>
        <w:ind w:firstLineChars="200" w:firstLine="482"/>
        <w:rPr>
          <w:rFonts w:ascii="宋体" w:eastAsia="宋体" w:hAnsi="宋体" w:cs="Times New Roman"/>
          <w:color w:val="FF0000"/>
          <w:sz w:val="24"/>
          <w:szCs w:val="24"/>
        </w:rPr>
      </w:pPr>
      <w:r w:rsidRPr="00D31397">
        <w:rPr>
          <w:rFonts w:ascii="宋体" w:eastAsia="宋体" w:hAnsi="宋体" w:cs="Times New Roman" w:hint="eastAsia"/>
          <w:b/>
          <w:bCs/>
          <w:sz w:val="24"/>
          <w:szCs w:val="24"/>
        </w:rPr>
        <w:t>【教学方法】</w:t>
      </w:r>
    </w:p>
    <w:p w14:paraId="19C02155"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1. 通过多媒体课件和传统教学相结合，阐明体内药物分析的分析对象与工作内容，展示相关期刊文献的查阅方法；</w:t>
      </w:r>
    </w:p>
    <w:p w14:paraId="7ACB80FC"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 通过案例分析，帮助学生理解体内药物分析的性质与任务，体会药物分析工作者应该具备的专业知识和技能。</w:t>
      </w:r>
    </w:p>
    <w:p w14:paraId="6C202BD8" w14:textId="77777777" w:rsidR="00D31397" w:rsidRPr="00D31397" w:rsidRDefault="00D31397" w:rsidP="00D31397">
      <w:pPr>
        <w:spacing w:line="440" w:lineRule="exact"/>
        <w:ind w:firstLineChars="200" w:firstLine="482"/>
        <w:rPr>
          <w:rFonts w:ascii="宋体" w:eastAsia="宋体" w:hAnsi="宋体" w:cs="Times New Roman"/>
          <w:bCs/>
          <w:color w:val="FF0000"/>
          <w:sz w:val="24"/>
          <w:szCs w:val="24"/>
        </w:rPr>
      </w:pPr>
      <w:r w:rsidRPr="00D31397">
        <w:rPr>
          <w:rFonts w:ascii="宋体" w:eastAsia="宋体" w:hAnsi="宋体" w:cs="Times New Roman" w:hint="eastAsia"/>
          <w:b/>
          <w:sz w:val="24"/>
          <w:szCs w:val="24"/>
        </w:rPr>
        <w:t>【复习思考】</w:t>
      </w:r>
    </w:p>
    <w:p w14:paraId="293EF7AE" w14:textId="77777777" w:rsidR="00D31397" w:rsidRPr="00D31397" w:rsidRDefault="00D31397" w:rsidP="00D31397">
      <w:pPr>
        <w:spacing w:line="440" w:lineRule="exact"/>
        <w:ind w:firstLineChars="200" w:firstLine="480"/>
        <w:rPr>
          <w:rFonts w:ascii="宋体" w:eastAsia="宋体" w:hAnsi="宋体" w:cs="Times New Roman"/>
          <w:b/>
          <w:sz w:val="24"/>
          <w:szCs w:val="24"/>
        </w:rPr>
      </w:pPr>
      <w:r w:rsidRPr="00D31397">
        <w:rPr>
          <w:rFonts w:ascii="宋体" w:eastAsia="宋体" w:hAnsi="宋体" w:cs="Times New Roman" w:hint="eastAsia"/>
          <w:sz w:val="24"/>
          <w:szCs w:val="24"/>
        </w:rPr>
        <w:t>1</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体内药物分析与药物分析的区别与联系；</w:t>
      </w:r>
    </w:p>
    <w:p w14:paraId="6FB08B93"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体内药物分析对药学发展的作用。</w:t>
      </w:r>
    </w:p>
    <w:p w14:paraId="62E77D89" w14:textId="77777777" w:rsidR="00D31397" w:rsidRPr="00D31397" w:rsidRDefault="00D31397" w:rsidP="00D31397">
      <w:pPr>
        <w:spacing w:beforeLines="50" w:before="156" w:afterLines="50" w:after="156" w:line="440" w:lineRule="exact"/>
        <w:ind w:firstLineChars="200" w:firstLine="560"/>
        <w:jc w:val="center"/>
        <w:rPr>
          <w:rFonts w:ascii="黑体" w:eastAsia="黑体" w:hAnsi="黑体" w:cs="Times New Roman"/>
          <w:sz w:val="28"/>
          <w:szCs w:val="28"/>
        </w:rPr>
      </w:pPr>
      <w:r w:rsidRPr="00D31397">
        <w:rPr>
          <w:rFonts w:ascii="黑体" w:eastAsia="黑体" w:hAnsi="黑体" w:cs="Times New Roman" w:hint="eastAsia"/>
          <w:sz w:val="28"/>
          <w:szCs w:val="28"/>
        </w:rPr>
        <w:t xml:space="preserve">第二章  </w:t>
      </w:r>
      <w:r w:rsidRPr="00D31397">
        <w:rPr>
          <w:rFonts w:ascii="黑体" w:eastAsia="黑体" w:hAnsi="黑体" w:cs="Times New Roman"/>
          <w:sz w:val="28"/>
          <w:szCs w:val="28"/>
        </w:rPr>
        <w:t>体内药物分析相关的基础理论概述</w:t>
      </w:r>
    </w:p>
    <w:p w14:paraId="65C7E9C7"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【学习目标】</w:t>
      </w:r>
    </w:p>
    <w:p w14:paraId="41605E8B" w14:textId="77777777" w:rsidR="00D31397" w:rsidRPr="00D31397" w:rsidRDefault="00D31397" w:rsidP="00D31397">
      <w:pPr>
        <w:spacing w:line="440" w:lineRule="exact"/>
        <w:ind w:firstLineChars="200" w:firstLine="480"/>
        <w:rPr>
          <w:rFonts w:ascii="宋体" w:eastAsia="黑体" w:hAnsi="宋体" w:cs="Times New Roman"/>
          <w:sz w:val="24"/>
          <w:szCs w:val="24"/>
        </w:rPr>
      </w:pPr>
      <w:r w:rsidRPr="00D31397">
        <w:rPr>
          <w:rFonts w:ascii="宋体" w:eastAsia="宋体" w:hAnsi="宋体" w:cs="Times New Roman" w:hint="eastAsia"/>
          <w:sz w:val="24"/>
          <w:szCs w:val="24"/>
        </w:rPr>
        <w:t>1</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认知类目标：掌握药物在体内的吸收、分布、代谢、排泄过程；药物在体内吸收、代谢与排泄的主要部位；药物在体内的代谢过程与反应类型；主要药代动力学参数及其意义与测定、计算方法。熟悉药物体内吸收、分布、代谢与排泄的影响因素；血浆蛋白结合率测定的意义与常用方法。了解非线性药代动力学的特点与识别。</w:t>
      </w:r>
    </w:p>
    <w:p w14:paraId="2917DFE0"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过程与方法类目标：掌握药物在体内的吸收、分布、代谢、排泄过程，能够运用药物的</w:t>
      </w:r>
      <w:proofErr w:type="gramStart"/>
      <w:r w:rsidRPr="00D31397">
        <w:rPr>
          <w:rFonts w:ascii="宋体" w:eastAsia="宋体" w:hAnsi="宋体" w:cs="Times New Roman" w:hint="eastAsia"/>
          <w:sz w:val="24"/>
          <w:szCs w:val="24"/>
        </w:rPr>
        <w:t>体内过程</w:t>
      </w:r>
      <w:proofErr w:type="gramEnd"/>
      <w:r w:rsidRPr="00D31397">
        <w:rPr>
          <w:rFonts w:ascii="宋体" w:eastAsia="宋体" w:hAnsi="宋体" w:cs="Times New Roman" w:hint="eastAsia"/>
          <w:sz w:val="24"/>
          <w:szCs w:val="24"/>
        </w:rPr>
        <w:t>规律理解不同剂型的作用特点。</w:t>
      </w:r>
    </w:p>
    <w:p w14:paraId="13F46500" w14:textId="77777777" w:rsidR="00D31397" w:rsidRPr="00D31397" w:rsidRDefault="00D31397" w:rsidP="00D31397">
      <w:pPr>
        <w:spacing w:line="440" w:lineRule="exact"/>
        <w:ind w:firstLineChars="200" w:firstLine="480"/>
        <w:rPr>
          <w:rFonts w:ascii="宋体" w:eastAsia="宋体" w:hAnsi="宋体" w:cs="Times New Roman"/>
          <w:b/>
          <w:sz w:val="24"/>
          <w:szCs w:val="24"/>
        </w:rPr>
      </w:pPr>
      <w:r w:rsidRPr="00D31397">
        <w:rPr>
          <w:rFonts w:ascii="宋体" w:eastAsia="宋体" w:hAnsi="宋体" w:cs="Times New Roman"/>
          <w:sz w:val="24"/>
          <w:szCs w:val="24"/>
        </w:rPr>
        <w:t xml:space="preserve">3. </w:t>
      </w:r>
      <w:r w:rsidRPr="00D31397">
        <w:rPr>
          <w:rFonts w:ascii="宋体" w:eastAsia="宋体" w:hAnsi="宋体" w:cs="Times New Roman" w:hint="eastAsia"/>
          <w:sz w:val="24"/>
          <w:szCs w:val="24"/>
        </w:rPr>
        <w:t>情感、态度、价值观类目标：理解药物的</w:t>
      </w:r>
      <w:proofErr w:type="gramStart"/>
      <w:r w:rsidRPr="00D31397">
        <w:rPr>
          <w:rFonts w:ascii="宋体" w:eastAsia="宋体" w:hAnsi="宋体" w:cs="Times New Roman" w:hint="eastAsia"/>
          <w:sz w:val="24"/>
          <w:szCs w:val="24"/>
        </w:rPr>
        <w:t>体内过程</w:t>
      </w:r>
      <w:proofErr w:type="gramEnd"/>
      <w:r w:rsidRPr="00D31397">
        <w:rPr>
          <w:rFonts w:ascii="宋体" w:eastAsia="宋体" w:hAnsi="宋体" w:cs="Times New Roman" w:hint="eastAsia"/>
          <w:sz w:val="24"/>
          <w:szCs w:val="24"/>
        </w:rPr>
        <w:t>与药物安全性的关系，体会药学工作者应该具备的职业素质。</w:t>
      </w:r>
    </w:p>
    <w:p w14:paraId="21D37590"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【学习内容】</w:t>
      </w:r>
    </w:p>
    <w:p w14:paraId="4851D081" w14:textId="77777777" w:rsidR="00D31397" w:rsidRPr="00D31397" w:rsidRDefault="00D31397">
      <w:pPr>
        <w:numPr>
          <w:ilvl w:val="0"/>
          <w:numId w:val="132"/>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药物的吸收：</w:t>
      </w:r>
    </w:p>
    <w:p w14:paraId="05B8D1BD" w14:textId="77777777" w:rsidR="00D31397" w:rsidRPr="00D31397" w:rsidRDefault="00D31397">
      <w:pPr>
        <w:numPr>
          <w:ilvl w:val="0"/>
          <w:numId w:val="132"/>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药物的分布；</w:t>
      </w:r>
    </w:p>
    <w:p w14:paraId="1E52F037" w14:textId="77777777" w:rsidR="00D31397" w:rsidRPr="00D31397" w:rsidRDefault="00D31397">
      <w:pPr>
        <w:numPr>
          <w:ilvl w:val="0"/>
          <w:numId w:val="132"/>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药物的代谢；</w:t>
      </w:r>
    </w:p>
    <w:p w14:paraId="6ED63C6E" w14:textId="77777777" w:rsidR="00D31397" w:rsidRPr="00D31397" w:rsidRDefault="00D31397">
      <w:pPr>
        <w:numPr>
          <w:ilvl w:val="0"/>
          <w:numId w:val="132"/>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药物的排泄；</w:t>
      </w:r>
    </w:p>
    <w:p w14:paraId="2BD9289F" w14:textId="77777777" w:rsidR="00D31397" w:rsidRPr="00D31397" w:rsidRDefault="00D31397">
      <w:pPr>
        <w:numPr>
          <w:ilvl w:val="0"/>
          <w:numId w:val="132"/>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药物的血浆蛋白结合率。</w:t>
      </w:r>
    </w:p>
    <w:p w14:paraId="44F81B87"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【重点】</w:t>
      </w:r>
    </w:p>
    <w:p w14:paraId="7D44D39E" w14:textId="77777777" w:rsidR="00D31397" w:rsidRPr="00D31397" w:rsidRDefault="00D31397">
      <w:pPr>
        <w:numPr>
          <w:ilvl w:val="0"/>
          <w:numId w:val="133"/>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lastRenderedPageBreak/>
        <w:t>药物在体内的吸收、分布、代谢、排泄过程；</w:t>
      </w:r>
    </w:p>
    <w:p w14:paraId="547762D6" w14:textId="77777777" w:rsidR="00D31397" w:rsidRPr="00D31397" w:rsidRDefault="00D31397">
      <w:pPr>
        <w:numPr>
          <w:ilvl w:val="0"/>
          <w:numId w:val="133"/>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药物在体内的代谢过程与反应类型；</w:t>
      </w:r>
    </w:p>
    <w:p w14:paraId="03179120" w14:textId="77777777" w:rsidR="00D31397" w:rsidRPr="00D31397" w:rsidRDefault="00D31397">
      <w:pPr>
        <w:numPr>
          <w:ilvl w:val="0"/>
          <w:numId w:val="133"/>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主要药代动力学参数及其意义与测定、计算方法。</w:t>
      </w:r>
    </w:p>
    <w:p w14:paraId="3A2722E3"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【难点】</w:t>
      </w:r>
    </w:p>
    <w:p w14:paraId="0A722308"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药物在体内的代谢过程与反应类型；</w:t>
      </w:r>
    </w:p>
    <w:p w14:paraId="57B695BD"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主要药代动力学参数及其意义与测定、计算方法。</w:t>
      </w:r>
    </w:p>
    <w:p w14:paraId="129B5778" w14:textId="77777777" w:rsidR="00D31397" w:rsidRPr="00D31397" w:rsidRDefault="00D31397" w:rsidP="00D31397">
      <w:pPr>
        <w:spacing w:line="440" w:lineRule="exact"/>
        <w:ind w:firstLineChars="200" w:firstLine="482"/>
        <w:rPr>
          <w:rFonts w:ascii="宋体" w:eastAsia="宋体" w:hAnsi="宋体" w:cs="Times New Roman"/>
          <w:color w:val="FF0000"/>
          <w:sz w:val="24"/>
          <w:szCs w:val="24"/>
        </w:rPr>
      </w:pPr>
      <w:r w:rsidRPr="00D31397">
        <w:rPr>
          <w:rFonts w:ascii="宋体" w:eastAsia="宋体" w:hAnsi="宋体" w:cs="Times New Roman" w:hint="eastAsia"/>
          <w:b/>
          <w:bCs/>
          <w:sz w:val="24"/>
          <w:szCs w:val="24"/>
        </w:rPr>
        <w:t>【教学方法】</w:t>
      </w:r>
    </w:p>
    <w:p w14:paraId="6C7747F8"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1. 通过多媒体课件和传统教学相结合，更加生动地阐明药物在体内的吸收、分布、代谢、排泄过程，理解主要药代动力学参数及其意义与测定、计算方法；</w:t>
      </w:r>
    </w:p>
    <w:p w14:paraId="3710E9D5"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 通过案例分析，帮助学生理解药物在体内的代谢过程与反应类型。</w:t>
      </w:r>
    </w:p>
    <w:p w14:paraId="1EE76A38" w14:textId="77777777" w:rsidR="00D31397" w:rsidRPr="00D31397" w:rsidRDefault="00D31397" w:rsidP="00D31397">
      <w:pPr>
        <w:spacing w:line="440" w:lineRule="exact"/>
        <w:ind w:firstLineChars="200" w:firstLine="482"/>
        <w:rPr>
          <w:rFonts w:ascii="宋体" w:eastAsia="宋体" w:hAnsi="宋体" w:cs="Times New Roman"/>
          <w:bCs/>
          <w:color w:val="FF0000"/>
          <w:sz w:val="24"/>
          <w:szCs w:val="24"/>
        </w:rPr>
      </w:pPr>
      <w:r w:rsidRPr="00D31397">
        <w:rPr>
          <w:rFonts w:ascii="宋体" w:eastAsia="宋体" w:hAnsi="宋体" w:cs="Times New Roman" w:hint="eastAsia"/>
          <w:b/>
          <w:sz w:val="24"/>
          <w:szCs w:val="24"/>
        </w:rPr>
        <w:t>【复习思考】</w:t>
      </w:r>
    </w:p>
    <w:p w14:paraId="2EE2B804"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1</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药物在体内吸收、分布、代谢、排泄过程间的区别与联系；</w:t>
      </w:r>
    </w:p>
    <w:p w14:paraId="4ABA4AD8" w14:textId="77777777" w:rsidR="00D31397" w:rsidRPr="00D31397" w:rsidRDefault="00D31397">
      <w:pPr>
        <w:numPr>
          <w:ilvl w:val="0"/>
          <w:numId w:val="134"/>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举例说明药物在体内的代谢过程与反应类型；</w:t>
      </w:r>
    </w:p>
    <w:p w14:paraId="67D60EB1"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3</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血浆蛋白结合率与药物体内过程的关系。</w:t>
      </w:r>
    </w:p>
    <w:p w14:paraId="19FE8E6B" w14:textId="77777777" w:rsidR="00D31397" w:rsidRPr="00D31397" w:rsidRDefault="00D31397" w:rsidP="00D31397">
      <w:pPr>
        <w:spacing w:beforeLines="50" w:before="156" w:afterLines="50" w:after="156" w:line="440" w:lineRule="exact"/>
        <w:ind w:firstLineChars="200" w:firstLine="560"/>
        <w:jc w:val="center"/>
        <w:rPr>
          <w:rFonts w:ascii="黑体" w:eastAsia="黑体" w:hAnsi="黑体" w:cs="Times New Roman"/>
          <w:sz w:val="28"/>
          <w:szCs w:val="28"/>
        </w:rPr>
      </w:pPr>
      <w:r w:rsidRPr="00D31397">
        <w:rPr>
          <w:rFonts w:ascii="黑体" w:eastAsia="黑体" w:hAnsi="黑体" w:cs="Times New Roman" w:hint="eastAsia"/>
          <w:sz w:val="28"/>
          <w:szCs w:val="28"/>
        </w:rPr>
        <w:t xml:space="preserve">第三章  </w:t>
      </w:r>
      <w:r w:rsidRPr="00D31397">
        <w:rPr>
          <w:rFonts w:ascii="黑体" w:eastAsia="黑体" w:hAnsi="黑体" w:cs="Times New Roman"/>
          <w:sz w:val="28"/>
          <w:szCs w:val="28"/>
        </w:rPr>
        <w:t>体内药物分析相关的分析方法概述</w:t>
      </w:r>
    </w:p>
    <w:p w14:paraId="55AA6AD9"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【学习目标】</w:t>
      </w:r>
    </w:p>
    <w:p w14:paraId="05D1E7B8" w14:textId="77777777" w:rsidR="00D31397" w:rsidRPr="00D31397" w:rsidRDefault="00D31397" w:rsidP="00D31397">
      <w:pPr>
        <w:spacing w:line="440" w:lineRule="exact"/>
        <w:ind w:firstLineChars="200" w:firstLine="480"/>
        <w:rPr>
          <w:rFonts w:ascii="宋体" w:eastAsia="黑体" w:hAnsi="宋体" w:cs="Times New Roman"/>
          <w:sz w:val="24"/>
          <w:szCs w:val="24"/>
        </w:rPr>
      </w:pPr>
      <w:r w:rsidRPr="00D31397">
        <w:rPr>
          <w:rFonts w:ascii="宋体" w:eastAsia="宋体" w:hAnsi="宋体" w:cs="Times New Roman" w:hint="eastAsia"/>
          <w:sz w:val="24"/>
          <w:szCs w:val="24"/>
        </w:rPr>
        <w:t>1</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认知类目标：掌握高效液相色谱法在体内样品分析中的使用要点与定量方法；免疫分析法的分类、竞争性免疫分析法的基本原理和基本条件；气相色谱-质谱和液相色谱-质谱联用技术的原理和特点。熟悉色谱法的分类；高效液相色谱直接进</w:t>
      </w:r>
      <w:proofErr w:type="gramStart"/>
      <w:r w:rsidRPr="00D31397">
        <w:rPr>
          <w:rFonts w:ascii="宋体" w:eastAsia="宋体" w:hAnsi="宋体" w:cs="Times New Roman" w:hint="eastAsia"/>
          <w:sz w:val="24"/>
          <w:szCs w:val="24"/>
        </w:rPr>
        <w:t>样技术</w:t>
      </w:r>
      <w:proofErr w:type="gramEnd"/>
      <w:r w:rsidRPr="00D31397">
        <w:rPr>
          <w:rFonts w:ascii="宋体" w:eastAsia="宋体" w:hAnsi="宋体" w:cs="Times New Roman" w:hint="eastAsia"/>
          <w:sz w:val="24"/>
          <w:szCs w:val="24"/>
        </w:rPr>
        <w:t>及其应用；放射免疫分析中常用的放射性同位素的种类、标记方法及放射性强度的测定；气相色谱-质谱和液相色谱-质谱联用方法在体内药物分析中的应用。了解手性高效液相色谱分析法及其应用；超高效液相色谱法原理及其在体内药物分析中的应用；各种免疫分析法的优缺点；气相色谱-质谱和液相色谱-质谱联用仪器的结构和性能。</w:t>
      </w:r>
    </w:p>
    <w:p w14:paraId="60B32BFF"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过程与方法类目标：掌握</w:t>
      </w:r>
      <w:r w:rsidRPr="00D31397">
        <w:rPr>
          <w:rFonts w:ascii="宋体" w:eastAsia="宋体" w:hAnsi="宋体" w:cs="Times New Roman"/>
          <w:sz w:val="24"/>
          <w:szCs w:val="24"/>
        </w:rPr>
        <w:t>体内药物分析相关的分析方法</w:t>
      </w:r>
      <w:r w:rsidRPr="00D31397">
        <w:rPr>
          <w:rFonts w:ascii="宋体" w:eastAsia="宋体" w:hAnsi="宋体" w:cs="Times New Roman" w:hint="eastAsia"/>
          <w:sz w:val="24"/>
          <w:szCs w:val="24"/>
        </w:rPr>
        <w:t>，能够根据实验目的与样品特征选择适合的</w:t>
      </w:r>
      <w:r w:rsidRPr="00D31397">
        <w:rPr>
          <w:rFonts w:ascii="宋体" w:eastAsia="宋体" w:hAnsi="宋体" w:cs="Times New Roman"/>
          <w:sz w:val="24"/>
          <w:szCs w:val="24"/>
        </w:rPr>
        <w:t>体内药物分析</w:t>
      </w:r>
      <w:r w:rsidRPr="00D31397">
        <w:rPr>
          <w:rFonts w:ascii="宋体" w:eastAsia="宋体" w:hAnsi="宋体" w:cs="Times New Roman" w:hint="eastAsia"/>
          <w:sz w:val="24"/>
          <w:szCs w:val="24"/>
        </w:rPr>
        <w:t>方法。</w:t>
      </w:r>
    </w:p>
    <w:p w14:paraId="54ABD1A4" w14:textId="77777777" w:rsidR="00D31397" w:rsidRPr="00D31397" w:rsidRDefault="00D31397" w:rsidP="00D31397">
      <w:pPr>
        <w:spacing w:line="440" w:lineRule="exact"/>
        <w:ind w:firstLineChars="200" w:firstLine="480"/>
        <w:rPr>
          <w:rFonts w:ascii="宋体" w:eastAsia="宋体" w:hAnsi="宋体" w:cs="Times New Roman"/>
          <w:b/>
          <w:sz w:val="24"/>
          <w:szCs w:val="24"/>
        </w:rPr>
      </w:pPr>
      <w:r w:rsidRPr="00D31397">
        <w:rPr>
          <w:rFonts w:ascii="宋体" w:eastAsia="宋体" w:hAnsi="宋体" w:cs="Times New Roman"/>
          <w:sz w:val="24"/>
          <w:szCs w:val="24"/>
        </w:rPr>
        <w:t xml:space="preserve">3. </w:t>
      </w:r>
      <w:r w:rsidRPr="00D31397">
        <w:rPr>
          <w:rFonts w:ascii="宋体" w:eastAsia="宋体" w:hAnsi="宋体" w:cs="Times New Roman" w:hint="eastAsia"/>
          <w:sz w:val="24"/>
          <w:szCs w:val="24"/>
        </w:rPr>
        <w:t>情感、态度、价值观类目标：体会新技术和新方法对体内药物分析学科发展的重要性，调动学生的学习积极性和科研热情，培养学生终身学习的意识。</w:t>
      </w:r>
    </w:p>
    <w:p w14:paraId="5E967205"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【学习内容】</w:t>
      </w:r>
    </w:p>
    <w:p w14:paraId="4CA103CE" w14:textId="77777777" w:rsidR="00D31397" w:rsidRPr="00D31397" w:rsidRDefault="00D31397">
      <w:pPr>
        <w:numPr>
          <w:ilvl w:val="0"/>
          <w:numId w:val="135"/>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色谱分析法；</w:t>
      </w:r>
    </w:p>
    <w:p w14:paraId="581BD571" w14:textId="77777777" w:rsidR="00D31397" w:rsidRPr="00D31397" w:rsidRDefault="00D31397">
      <w:pPr>
        <w:numPr>
          <w:ilvl w:val="0"/>
          <w:numId w:val="135"/>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免疫分析法；</w:t>
      </w:r>
    </w:p>
    <w:p w14:paraId="3ED84790" w14:textId="77777777" w:rsidR="00D31397" w:rsidRPr="00D31397" w:rsidRDefault="00D31397">
      <w:pPr>
        <w:numPr>
          <w:ilvl w:val="0"/>
          <w:numId w:val="135"/>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色谱联用技术。</w:t>
      </w:r>
    </w:p>
    <w:p w14:paraId="0A3E2E4A"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lastRenderedPageBreak/>
        <w:t>【重点】</w:t>
      </w:r>
    </w:p>
    <w:p w14:paraId="0E829198" w14:textId="77777777" w:rsidR="00D31397" w:rsidRPr="00D31397" w:rsidRDefault="00D31397">
      <w:pPr>
        <w:numPr>
          <w:ilvl w:val="0"/>
          <w:numId w:val="136"/>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高效液相色谱法在体内样品分析中的使用要点与定量方法；</w:t>
      </w:r>
    </w:p>
    <w:p w14:paraId="42183D59" w14:textId="77777777" w:rsidR="00D31397" w:rsidRPr="00D31397" w:rsidRDefault="00D31397">
      <w:pPr>
        <w:numPr>
          <w:ilvl w:val="0"/>
          <w:numId w:val="136"/>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竞争性免疫分析法的基本原理和基本条件；</w:t>
      </w:r>
    </w:p>
    <w:p w14:paraId="36F663F6" w14:textId="77777777" w:rsidR="00D31397" w:rsidRPr="00D31397" w:rsidRDefault="00D31397">
      <w:pPr>
        <w:numPr>
          <w:ilvl w:val="0"/>
          <w:numId w:val="136"/>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气相色谱-质谱和液相色谱-质谱联用技术的原理和特点。</w:t>
      </w:r>
    </w:p>
    <w:p w14:paraId="2565AC09"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【难点】</w:t>
      </w:r>
    </w:p>
    <w:p w14:paraId="48859CAD" w14:textId="77777777" w:rsidR="00D31397" w:rsidRPr="00D31397" w:rsidRDefault="00D31397">
      <w:pPr>
        <w:numPr>
          <w:ilvl w:val="0"/>
          <w:numId w:val="137"/>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免疫分析法的分类与基本原理；</w:t>
      </w:r>
    </w:p>
    <w:p w14:paraId="48D876A8" w14:textId="77777777" w:rsidR="00D31397" w:rsidRPr="00D31397" w:rsidRDefault="00D31397">
      <w:pPr>
        <w:numPr>
          <w:ilvl w:val="0"/>
          <w:numId w:val="137"/>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气相色谱-质谱和液相色谱-质谱联用技术的原理和特点。</w:t>
      </w:r>
    </w:p>
    <w:p w14:paraId="334CF4C2" w14:textId="77777777" w:rsidR="00D31397" w:rsidRPr="00D31397" w:rsidRDefault="00D31397" w:rsidP="00D31397">
      <w:pPr>
        <w:spacing w:line="440" w:lineRule="exact"/>
        <w:ind w:firstLineChars="200" w:firstLine="482"/>
        <w:rPr>
          <w:rFonts w:ascii="宋体" w:eastAsia="宋体" w:hAnsi="宋体" w:cs="Times New Roman"/>
          <w:color w:val="FF0000"/>
          <w:sz w:val="24"/>
          <w:szCs w:val="24"/>
        </w:rPr>
      </w:pPr>
      <w:r w:rsidRPr="00D31397">
        <w:rPr>
          <w:rFonts w:ascii="宋体" w:eastAsia="宋体" w:hAnsi="宋体" w:cs="Times New Roman" w:hint="eastAsia"/>
          <w:b/>
          <w:bCs/>
          <w:sz w:val="24"/>
          <w:szCs w:val="24"/>
        </w:rPr>
        <w:t>【教学方法】</w:t>
      </w:r>
    </w:p>
    <w:p w14:paraId="2A567545"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1. 通过多媒体课件和传统教学相结合，阐明</w:t>
      </w:r>
      <w:r w:rsidRPr="00D31397">
        <w:rPr>
          <w:rFonts w:ascii="宋体" w:eastAsia="宋体" w:hAnsi="宋体" w:cs="Times New Roman"/>
          <w:sz w:val="24"/>
          <w:szCs w:val="24"/>
        </w:rPr>
        <w:t>体内药物分析相关的分析方法</w:t>
      </w:r>
      <w:r w:rsidRPr="00D31397">
        <w:rPr>
          <w:rFonts w:ascii="宋体" w:eastAsia="宋体" w:hAnsi="宋体" w:cs="Times New Roman" w:hint="eastAsia"/>
          <w:sz w:val="24"/>
          <w:szCs w:val="24"/>
        </w:rPr>
        <w:t>的仪器组成、基本原理与操作要点；</w:t>
      </w:r>
    </w:p>
    <w:p w14:paraId="51DD93C9"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 通过案例分析，使学生理解</w:t>
      </w:r>
      <w:r w:rsidRPr="00D31397">
        <w:rPr>
          <w:rFonts w:ascii="宋体" w:eastAsia="宋体" w:hAnsi="宋体" w:cs="Times New Roman"/>
          <w:sz w:val="24"/>
          <w:szCs w:val="24"/>
        </w:rPr>
        <w:t>体内药物分析相关分析方法</w:t>
      </w:r>
      <w:r w:rsidRPr="00D31397">
        <w:rPr>
          <w:rFonts w:ascii="宋体" w:eastAsia="宋体" w:hAnsi="宋体" w:cs="Times New Roman" w:hint="eastAsia"/>
          <w:sz w:val="24"/>
          <w:szCs w:val="24"/>
        </w:rPr>
        <w:t>的特点，帮助学生根据实验目的与样品特征选择适合的</w:t>
      </w:r>
      <w:r w:rsidRPr="00D31397">
        <w:rPr>
          <w:rFonts w:ascii="宋体" w:eastAsia="宋体" w:hAnsi="宋体" w:cs="Times New Roman"/>
          <w:sz w:val="24"/>
          <w:szCs w:val="24"/>
        </w:rPr>
        <w:t>体内药物分析</w:t>
      </w:r>
      <w:r w:rsidRPr="00D31397">
        <w:rPr>
          <w:rFonts w:ascii="宋体" w:eastAsia="宋体" w:hAnsi="宋体" w:cs="Times New Roman" w:hint="eastAsia"/>
          <w:sz w:val="24"/>
          <w:szCs w:val="24"/>
        </w:rPr>
        <w:t>方法。</w:t>
      </w:r>
    </w:p>
    <w:p w14:paraId="3C7B56F1" w14:textId="77777777" w:rsidR="00D31397" w:rsidRPr="00D31397" w:rsidRDefault="00D31397" w:rsidP="00D31397">
      <w:pPr>
        <w:spacing w:line="440" w:lineRule="exact"/>
        <w:ind w:firstLineChars="200" w:firstLine="482"/>
        <w:rPr>
          <w:rFonts w:ascii="宋体" w:eastAsia="宋体" w:hAnsi="宋体" w:cs="Times New Roman"/>
          <w:bCs/>
          <w:color w:val="FF0000"/>
          <w:sz w:val="24"/>
          <w:szCs w:val="24"/>
        </w:rPr>
      </w:pPr>
      <w:r w:rsidRPr="00D31397">
        <w:rPr>
          <w:rFonts w:ascii="宋体" w:eastAsia="宋体" w:hAnsi="宋体" w:cs="Times New Roman" w:hint="eastAsia"/>
          <w:b/>
          <w:sz w:val="24"/>
          <w:szCs w:val="24"/>
        </w:rPr>
        <w:t>【复习思考】</w:t>
      </w:r>
    </w:p>
    <w:p w14:paraId="62C33BFB" w14:textId="77777777" w:rsidR="00D31397" w:rsidRPr="00D31397" w:rsidRDefault="00D31397" w:rsidP="00D31397">
      <w:pPr>
        <w:spacing w:line="440" w:lineRule="exact"/>
        <w:ind w:firstLineChars="200" w:firstLine="480"/>
        <w:rPr>
          <w:rFonts w:ascii="宋体" w:eastAsia="宋体" w:hAnsi="宋体" w:cs="Times New Roman"/>
          <w:b/>
          <w:sz w:val="24"/>
          <w:szCs w:val="24"/>
        </w:rPr>
      </w:pPr>
      <w:r w:rsidRPr="00D31397">
        <w:rPr>
          <w:rFonts w:ascii="宋体" w:eastAsia="宋体" w:hAnsi="宋体" w:cs="Times New Roman" w:hint="eastAsia"/>
          <w:sz w:val="24"/>
          <w:szCs w:val="24"/>
        </w:rPr>
        <w:t>1</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高效液相色谱法在体内样品分析中的重要性；</w:t>
      </w:r>
    </w:p>
    <w:p w14:paraId="76E1039E"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免疫分析法的分类与特征；</w:t>
      </w:r>
    </w:p>
    <w:p w14:paraId="3154B2C5"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3. 气相色谱-质谱和液相色谱-质谱联用技术的基本原理和特点。</w:t>
      </w:r>
    </w:p>
    <w:p w14:paraId="195AF879" w14:textId="77777777" w:rsidR="00D31397" w:rsidRPr="00D31397" w:rsidRDefault="00D31397" w:rsidP="00D31397">
      <w:pPr>
        <w:spacing w:beforeLines="50" w:before="156" w:afterLines="50" w:after="156" w:line="440" w:lineRule="exact"/>
        <w:ind w:firstLineChars="200" w:firstLine="560"/>
        <w:jc w:val="center"/>
        <w:rPr>
          <w:rFonts w:ascii="黑体" w:eastAsia="黑体" w:hAnsi="黑体" w:cs="Times New Roman"/>
          <w:sz w:val="28"/>
          <w:szCs w:val="28"/>
        </w:rPr>
      </w:pPr>
      <w:r w:rsidRPr="00D31397">
        <w:rPr>
          <w:rFonts w:ascii="黑体" w:eastAsia="黑体" w:hAnsi="黑体" w:cs="Times New Roman" w:hint="eastAsia"/>
          <w:sz w:val="28"/>
          <w:szCs w:val="28"/>
        </w:rPr>
        <w:t xml:space="preserve">第四章  </w:t>
      </w:r>
      <w:r w:rsidRPr="00D31397">
        <w:rPr>
          <w:rFonts w:ascii="黑体" w:eastAsia="黑体" w:hAnsi="黑体" w:cs="Times New Roman"/>
          <w:sz w:val="28"/>
          <w:szCs w:val="28"/>
        </w:rPr>
        <w:t>生物样品与分析样品的制备</w:t>
      </w:r>
    </w:p>
    <w:p w14:paraId="51FB09AE"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【学习目标】</w:t>
      </w:r>
    </w:p>
    <w:p w14:paraId="26AF3C3E" w14:textId="77777777" w:rsidR="00D31397" w:rsidRPr="00D31397" w:rsidRDefault="00D31397" w:rsidP="00D31397">
      <w:pPr>
        <w:spacing w:line="440" w:lineRule="exact"/>
        <w:ind w:firstLineChars="200" w:firstLine="480"/>
        <w:rPr>
          <w:rFonts w:ascii="宋体" w:eastAsia="黑体" w:hAnsi="宋体" w:cs="Times New Roman"/>
          <w:sz w:val="24"/>
          <w:szCs w:val="24"/>
        </w:rPr>
      </w:pPr>
      <w:r w:rsidRPr="00D31397">
        <w:rPr>
          <w:rFonts w:ascii="宋体" w:eastAsia="宋体" w:hAnsi="宋体" w:cs="Times New Roman" w:hint="eastAsia"/>
          <w:sz w:val="24"/>
          <w:szCs w:val="24"/>
        </w:rPr>
        <w:t>1</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认知类目标：掌握常用生物样品的分类与制备方法；常用分析样品的制备方法。熟悉常用分析样品制备方法的基本原理、特点及基本操作。了解生物基质的特性与采集方法；分析样品制备新兴技术的基本方法与特点。</w:t>
      </w:r>
    </w:p>
    <w:p w14:paraId="2BA6DCCF"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过程与方法类目标：掌握常用生物样品的分类与制备方法，能够根据不同的实验目的、检测方法、样品特征选择适合的生物样品处理方法。</w:t>
      </w:r>
    </w:p>
    <w:p w14:paraId="3B71B336" w14:textId="77777777" w:rsidR="00D31397" w:rsidRPr="00D31397" w:rsidRDefault="00D31397" w:rsidP="00D31397">
      <w:pPr>
        <w:spacing w:line="440" w:lineRule="exact"/>
        <w:ind w:firstLineChars="200" w:firstLine="480"/>
        <w:rPr>
          <w:rFonts w:ascii="宋体" w:eastAsia="宋体" w:hAnsi="宋体" w:cs="Times New Roman"/>
          <w:b/>
          <w:sz w:val="24"/>
          <w:szCs w:val="24"/>
        </w:rPr>
      </w:pPr>
      <w:r w:rsidRPr="00D31397">
        <w:rPr>
          <w:rFonts w:ascii="宋体" w:eastAsia="宋体" w:hAnsi="宋体" w:cs="Times New Roman"/>
          <w:sz w:val="24"/>
          <w:szCs w:val="24"/>
        </w:rPr>
        <w:t xml:space="preserve">3. </w:t>
      </w:r>
      <w:r w:rsidRPr="00D31397">
        <w:rPr>
          <w:rFonts w:ascii="宋体" w:eastAsia="宋体" w:hAnsi="宋体" w:cs="Times New Roman" w:hint="eastAsia"/>
          <w:sz w:val="24"/>
          <w:szCs w:val="24"/>
        </w:rPr>
        <w:t>情感、态度、价值观类目标：遵循医学伦理学原则，理解体内药物分析所涉及生物样品的珍贵性，遵守职业规范。</w:t>
      </w:r>
    </w:p>
    <w:p w14:paraId="13F4F96F"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【学习内容】</w:t>
      </w:r>
    </w:p>
    <w:p w14:paraId="3811D07F" w14:textId="77777777" w:rsidR="00D31397" w:rsidRPr="00D31397" w:rsidRDefault="00D31397">
      <w:pPr>
        <w:numPr>
          <w:ilvl w:val="0"/>
          <w:numId w:val="138"/>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sz w:val="24"/>
          <w:szCs w:val="24"/>
        </w:rPr>
        <w:t>生物基质与生物样品</w:t>
      </w:r>
      <w:r w:rsidRPr="00D31397">
        <w:rPr>
          <w:rFonts w:ascii="宋体" w:eastAsia="宋体" w:hAnsi="宋体" w:cs="Times New Roman" w:hint="eastAsia"/>
          <w:sz w:val="24"/>
          <w:szCs w:val="24"/>
        </w:rPr>
        <w:t>；</w:t>
      </w:r>
    </w:p>
    <w:p w14:paraId="1E786251" w14:textId="77777777" w:rsidR="00D31397" w:rsidRPr="00D31397" w:rsidRDefault="00D31397">
      <w:pPr>
        <w:numPr>
          <w:ilvl w:val="0"/>
          <w:numId w:val="138"/>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sz w:val="24"/>
          <w:szCs w:val="24"/>
        </w:rPr>
        <w:t>生物样品的制备与贮存</w:t>
      </w:r>
      <w:r w:rsidRPr="00D31397">
        <w:rPr>
          <w:rFonts w:ascii="宋体" w:eastAsia="宋体" w:hAnsi="宋体" w:cs="Times New Roman" w:hint="eastAsia"/>
          <w:sz w:val="24"/>
          <w:szCs w:val="24"/>
        </w:rPr>
        <w:t>；</w:t>
      </w:r>
    </w:p>
    <w:p w14:paraId="0B609086" w14:textId="77777777" w:rsidR="00D31397" w:rsidRPr="00D31397" w:rsidRDefault="00D31397">
      <w:pPr>
        <w:numPr>
          <w:ilvl w:val="0"/>
          <w:numId w:val="138"/>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sz w:val="24"/>
          <w:szCs w:val="24"/>
        </w:rPr>
        <w:t>分析样品的制备</w:t>
      </w:r>
      <w:r w:rsidRPr="00D31397">
        <w:rPr>
          <w:rFonts w:ascii="宋体" w:eastAsia="宋体" w:hAnsi="宋体" w:cs="Times New Roman" w:hint="eastAsia"/>
          <w:sz w:val="24"/>
          <w:szCs w:val="24"/>
        </w:rPr>
        <w:t>。</w:t>
      </w:r>
    </w:p>
    <w:p w14:paraId="12952904"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【重点】</w:t>
      </w:r>
    </w:p>
    <w:p w14:paraId="7F534B1A" w14:textId="77777777" w:rsidR="00D31397" w:rsidRPr="00D31397" w:rsidRDefault="00D31397">
      <w:pPr>
        <w:numPr>
          <w:ilvl w:val="0"/>
          <w:numId w:val="139"/>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常用分析样品的制备方法；</w:t>
      </w:r>
    </w:p>
    <w:p w14:paraId="39751DAE" w14:textId="77777777" w:rsidR="00D31397" w:rsidRPr="00D31397" w:rsidRDefault="00D31397">
      <w:pPr>
        <w:numPr>
          <w:ilvl w:val="0"/>
          <w:numId w:val="139"/>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lastRenderedPageBreak/>
        <w:t>常用分析样品制备方法的基本原理、特点及基本操作。</w:t>
      </w:r>
    </w:p>
    <w:p w14:paraId="5D007227"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【难点】</w:t>
      </w:r>
    </w:p>
    <w:p w14:paraId="7528291E"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常用分析样品制备方法的基本原理。</w:t>
      </w:r>
    </w:p>
    <w:p w14:paraId="20BE53C5" w14:textId="77777777" w:rsidR="00D31397" w:rsidRPr="00D31397" w:rsidRDefault="00D31397" w:rsidP="00D31397">
      <w:pPr>
        <w:spacing w:line="440" w:lineRule="exact"/>
        <w:ind w:firstLineChars="200" w:firstLine="482"/>
        <w:rPr>
          <w:rFonts w:ascii="宋体" w:eastAsia="宋体" w:hAnsi="宋体" w:cs="Times New Roman"/>
          <w:color w:val="FF0000"/>
          <w:sz w:val="24"/>
          <w:szCs w:val="24"/>
        </w:rPr>
      </w:pPr>
      <w:r w:rsidRPr="00D31397">
        <w:rPr>
          <w:rFonts w:ascii="宋体" w:eastAsia="宋体" w:hAnsi="宋体" w:cs="Times New Roman" w:hint="eastAsia"/>
          <w:b/>
          <w:bCs/>
          <w:sz w:val="24"/>
          <w:szCs w:val="24"/>
        </w:rPr>
        <w:t>【教学方法】</w:t>
      </w:r>
    </w:p>
    <w:p w14:paraId="40A06763"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1. 通过多媒体课件和传统教学相结合，阐明生物样品的分类、常用分析样品制备方法的基本原理与特点，展示常用分析样品制备方法的基本操作；</w:t>
      </w:r>
    </w:p>
    <w:p w14:paraId="64AB0AFE"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 通过案例分析，帮助学生理解常用分析样品的特点，便于学生根据不同的实验目的、检测方法、样品特征选择适合的生物样品处理方法。</w:t>
      </w:r>
    </w:p>
    <w:p w14:paraId="10D19DCC" w14:textId="77777777" w:rsidR="00D31397" w:rsidRPr="00D31397" w:rsidRDefault="00D31397" w:rsidP="00D31397">
      <w:pPr>
        <w:spacing w:line="440" w:lineRule="exact"/>
        <w:ind w:firstLineChars="200" w:firstLine="482"/>
        <w:rPr>
          <w:rFonts w:ascii="宋体" w:eastAsia="宋体" w:hAnsi="宋体" w:cs="Times New Roman"/>
          <w:bCs/>
          <w:color w:val="FF0000"/>
          <w:sz w:val="24"/>
          <w:szCs w:val="24"/>
        </w:rPr>
      </w:pPr>
      <w:r w:rsidRPr="00D31397">
        <w:rPr>
          <w:rFonts w:ascii="宋体" w:eastAsia="宋体" w:hAnsi="宋体" w:cs="Times New Roman" w:hint="eastAsia"/>
          <w:b/>
          <w:sz w:val="24"/>
          <w:szCs w:val="24"/>
        </w:rPr>
        <w:t>【复习思考】</w:t>
      </w:r>
    </w:p>
    <w:p w14:paraId="549F67AF" w14:textId="77777777" w:rsidR="00D31397" w:rsidRPr="00D31397" w:rsidRDefault="00D31397" w:rsidP="00D31397">
      <w:pPr>
        <w:spacing w:line="440" w:lineRule="exact"/>
        <w:ind w:firstLineChars="200" w:firstLine="480"/>
        <w:rPr>
          <w:rFonts w:ascii="宋体" w:eastAsia="宋体" w:hAnsi="宋体" w:cs="Times New Roman"/>
          <w:b/>
          <w:sz w:val="24"/>
          <w:szCs w:val="24"/>
        </w:rPr>
      </w:pPr>
      <w:r w:rsidRPr="00D31397">
        <w:rPr>
          <w:rFonts w:ascii="宋体" w:eastAsia="宋体" w:hAnsi="宋体" w:cs="Times New Roman" w:hint="eastAsia"/>
          <w:sz w:val="24"/>
          <w:szCs w:val="24"/>
        </w:rPr>
        <w:t>1</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常用生物样品的分类与特点；</w:t>
      </w:r>
    </w:p>
    <w:p w14:paraId="025996D8"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常用分析样品制备方法的特点与注意事项。</w:t>
      </w:r>
    </w:p>
    <w:p w14:paraId="41FC9005" w14:textId="77777777" w:rsidR="00D31397" w:rsidRPr="00D31397" w:rsidRDefault="00D31397" w:rsidP="00D31397">
      <w:pPr>
        <w:spacing w:beforeLines="50" w:before="156" w:afterLines="50" w:after="156" w:line="440" w:lineRule="exact"/>
        <w:ind w:firstLineChars="200" w:firstLine="560"/>
        <w:jc w:val="center"/>
        <w:rPr>
          <w:rFonts w:ascii="黑体" w:eastAsia="黑体" w:hAnsi="黑体" w:cs="Times New Roman"/>
          <w:sz w:val="28"/>
          <w:szCs w:val="28"/>
        </w:rPr>
      </w:pPr>
      <w:r w:rsidRPr="00D31397">
        <w:rPr>
          <w:rFonts w:ascii="黑体" w:eastAsia="黑体" w:hAnsi="黑体" w:cs="Times New Roman" w:hint="eastAsia"/>
          <w:sz w:val="28"/>
          <w:szCs w:val="28"/>
        </w:rPr>
        <w:t xml:space="preserve">第五章  </w:t>
      </w:r>
      <w:r w:rsidRPr="00D31397">
        <w:rPr>
          <w:rFonts w:ascii="黑体" w:eastAsia="黑体" w:hAnsi="黑体" w:cs="Times New Roman"/>
          <w:sz w:val="28"/>
          <w:szCs w:val="28"/>
        </w:rPr>
        <w:t>生物样品分析方法的建立与验证</w:t>
      </w:r>
    </w:p>
    <w:p w14:paraId="112DE876"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【学习目标】</w:t>
      </w:r>
    </w:p>
    <w:p w14:paraId="293BBCC7" w14:textId="77777777" w:rsidR="00D31397" w:rsidRPr="00D31397" w:rsidRDefault="00D31397" w:rsidP="00D31397">
      <w:pPr>
        <w:spacing w:line="440" w:lineRule="exact"/>
        <w:ind w:firstLineChars="200" w:firstLine="480"/>
        <w:rPr>
          <w:rFonts w:ascii="宋体" w:eastAsia="黑体" w:hAnsi="宋体" w:cs="Times New Roman"/>
          <w:sz w:val="24"/>
          <w:szCs w:val="24"/>
        </w:rPr>
      </w:pPr>
      <w:r w:rsidRPr="00D31397">
        <w:rPr>
          <w:rFonts w:ascii="宋体" w:eastAsia="宋体" w:hAnsi="宋体" w:cs="Times New Roman" w:hint="eastAsia"/>
          <w:sz w:val="24"/>
          <w:szCs w:val="24"/>
        </w:rPr>
        <w:t>1</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认知类目标：掌握生物样品分析方法建立的一般步骤；生物样品定量分析方法验证的分类；色谱分析法完整验证的内容。熟悉生物样品色谱定量分析方法完整验证的基本方法与一般要求。了解生物样品非色谱定量分析方法完整验证的基本内容与一般要求；相关国际规范关于色谱分析方法验证的基本内容与一般要求。</w:t>
      </w:r>
    </w:p>
    <w:p w14:paraId="73C5E3D3"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过程与方法类目标：掌握生物样品分析方法建立的一般步骤，能够根据实验目的设计定量分析方法的验证内容。</w:t>
      </w:r>
    </w:p>
    <w:p w14:paraId="09C20513" w14:textId="77777777" w:rsidR="00D31397" w:rsidRPr="00D31397" w:rsidRDefault="00D31397" w:rsidP="00D31397">
      <w:pPr>
        <w:spacing w:line="440" w:lineRule="exact"/>
        <w:ind w:firstLineChars="200" w:firstLine="480"/>
        <w:rPr>
          <w:rFonts w:ascii="宋体" w:eastAsia="宋体" w:hAnsi="宋体" w:cs="Times New Roman"/>
          <w:b/>
          <w:sz w:val="24"/>
          <w:szCs w:val="24"/>
        </w:rPr>
      </w:pPr>
      <w:r w:rsidRPr="00D31397">
        <w:rPr>
          <w:rFonts w:ascii="宋体" w:eastAsia="宋体" w:hAnsi="宋体" w:cs="Times New Roman"/>
          <w:sz w:val="24"/>
          <w:szCs w:val="24"/>
        </w:rPr>
        <w:t xml:space="preserve">3. </w:t>
      </w:r>
      <w:r w:rsidRPr="00D31397">
        <w:rPr>
          <w:rFonts w:ascii="宋体" w:eastAsia="宋体" w:hAnsi="宋体" w:cs="Times New Roman" w:hint="eastAsia"/>
          <w:sz w:val="24"/>
          <w:szCs w:val="24"/>
        </w:rPr>
        <w:t>情感、态度、价值观类目标：通过生物样品分析方法建立的一般步骤，强化学生具有严谨的科研态度。</w:t>
      </w:r>
    </w:p>
    <w:p w14:paraId="73496146"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【学习内容】</w:t>
      </w:r>
    </w:p>
    <w:p w14:paraId="61259D2F" w14:textId="77777777" w:rsidR="00D31397" w:rsidRPr="00D31397" w:rsidRDefault="00D31397">
      <w:pPr>
        <w:numPr>
          <w:ilvl w:val="0"/>
          <w:numId w:val="140"/>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生物样品分析方法的建立；</w:t>
      </w:r>
    </w:p>
    <w:p w14:paraId="7B0BFD7F" w14:textId="77777777" w:rsidR="00D31397" w:rsidRPr="00D31397" w:rsidRDefault="00D31397">
      <w:pPr>
        <w:numPr>
          <w:ilvl w:val="0"/>
          <w:numId w:val="140"/>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生物样品分析方法验证与样品分析；</w:t>
      </w:r>
    </w:p>
    <w:p w14:paraId="1608E0C8" w14:textId="77777777" w:rsidR="00D31397" w:rsidRPr="00D31397" w:rsidRDefault="00D31397">
      <w:pPr>
        <w:numPr>
          <w:ilvl w:val="0"/>
          <w:numId w:val="140"/>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生物样品分析方法验证的国际规范。</w:t>
      </w:r>
    </w:p>
    <w:p w14:paraId="6DA42501"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【重点】</w:t>
      </w:r>
    </w:p>
    <w:p w14:paraId="4D2C9B16" w14:textId="77777777" w:rsidR="00D31397" w:rsidRPr="00D31397" w:rsidRDefault="00D31397">
      <w:pPr>
        <w:numPr>
          <w:ilvl w:val="0"/>
          <w:numId w:val="141"/>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生物样品分析方法建立的一般步骤；</w:t>
      </w:r>
    </w:p>
    <w:p w14:paraId="4346816B" w14:textId="77777777" w:rsidR="00D31397" w:rsidRPr="00D31397" w:rsidRDefault="00D31397">
      <w:pPr>
        <w:numPr>
          <w:ilvl w:val="0"/>
          <w:numId w:val="141"/>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生物样品色谱定量分析方法完整验证的内容。</w:t>
      </w:r>
    </w:p>
    <w:p w14:paraId="02DFCB54"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【难点】</w:t>
      </w:r>
    </w:p>
    <w:p w14:paraId="5E8806BE"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生物样品色谱定量分析方法完整验证的内容。</w:t>
      </w:r>
    </w:p>
    <w:p w14:paraId="23778DD4" w14:textId="77777777" w:rsidR="00D31397" w:rsidRPr="00D31397" w:rsidRDefault="00D31397" w:rsidP="00D31397">
      <w:pPr>
        <w:spacing w:line="440" w:lineRule="exact"/>
        <w:ind w:firstLineChars="200" w:firstLine="482"/>
        <w:rPr>
          <w:rFonts w:ascii="宋体" w:eastAsia="宋体" w:hAnsi="宋体" w:cs="Times New Roman"/>
          <w:color w:val="FF0000"/>
          <w:sz w:val="24"/>
          <w:szCs w:val="24"/>
        </w:rPr>
      </w:pPr>
      <w:r w:rsidRPr="00D31397">
        <w:rPr>
          <w:rFonts w:ascii="宋体" w:eastAsia="宋体" w:hAnsi="宋体" w:cs="Times New Roman" w:hint="eastAsia"/>
          <w:b/>
          <w:bCs/>
          <w:sz w:val="24"/>
          <w:szCs w:val="24"/>
        </w:rPr>
        <w:t>【教学方法】</w:t>
      </w:r>
    </w:p>
    <w:p w14:paraId="3C88D096"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lastRenderedPageBreak/>
        <w:t>1. 通过多媒体课件和传统教学相结合，阐明生物样品分析方法建立的一般步骤和色谱分析法完整验证的内容；</w:t>
      </w:r>
    </w:p>
    <w:p w14:paraId="67B6EAC6"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 通过案例分析，帮助学生理解生物样品定量分析方法验证的分类。</w:t>
      </w:r>
    </w:p>
    <w:p w14:paraId="6F59976D" w14:textId="77777777" w:rsidR="00D31397" w:rsidRPr="00D31397" w:rsidRDefault="00D31397" w:rsidP="00D31397">
      <w:pPr>
        <w:spacing w:line="440" w:lineRule="exact"/>
        <w:ind w:firstLineChars="200" w:firstLine="482"/>
        <w:rPr>
          <w:rFonts w:ascii="宋体" w:eastAsia="宋体" w:hAnsi="宋体" w:cs="Times New Roman"/>
          <w:bCs/>
          <w:color w:val="FF0000"/>
          <w:sz w:val="24"/>
          <w:szCs w:val="24"/>
        </w:rPr>
      </w:pPr>
      <w:r w:rsidRPr="00D31397">
        <w:rPr>
          <w:rFonts w:ascii="宋体" w:eastAsia="宋体" w:hAnsi="宋体" w:cs="Times New Roman" w:hint="eastAsia"/>
          <w:b/>
          <w:sz w:val="24"/>
          <w:szCs w:val="24"/>
        </w:rPr>
        <w:t>【复习思考】</w:t>
      </w:r>
    </w:p>
    <w:p w14:paraId="5B132735" w14:textId="77777777" w:rsidR="00D31397" w:rsidRPr="00D31397" w:rsidRDefault="00D31397" w:rsidP="00D31397">
      <w:pPr>
        <w:spacing w:line="440" w:lineRule="exact"/>
        <w:ind w:firstLineChars="200" w:firstLine="480"/>
        <w:rPr>
          <w:rFonts w:ascii="宋体" w:eastAsia="宋体" w:hAnsi="宋体" w:cs="Times New Roman"/>
          <w:b/>
          <w:sz w:val="24"/>
          <w:szCs w:val="24"/>
        </w:rPr>
      </w:pPr>
      <w:r w:rsidRPr="00D31397">
        <w:rPr>
          <w:rFonts w:ascii="宋体" w:eastAsia="宋体" w:hAnsi="宋体" w:cs="Times New Roman" w:hint="eastAsia"/>
          <w:sz w:val="24"/>
          <w:szCs w:val="24"/>
        </w:rPr>
        <w:t>1</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生物样品分析方法建立的一般步骤；</w:t>
      </w:r>
    </w:p>
    <w:p w14:paraId="08D40AC7"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生物样品色谱定量分析方法的完整验证内容、基本方法与一般要求。</w:t>
      </w:r>
    </w:p>
    <w:p w14:paraId="49AE24B2" w14:textId="77777777" w:rsidR="00D31397" w:rsidRPr="00D31397" w:rsidRDefault="00D31397" w:rsidP="00D31397">
      <w:pPr>
        <w:spacing w:beforeLines="50" w:before="156" w:afterLines="50" w:after="156" w:line="440" w:lineRule="exact"/>
        <w:ind w:firstLineChars="200" w:firstLine="560"/>
        <w:jc w:val="center"/>
        <w:rPr>
          <w:rFonts w:ascii="黑体" w:eastAsia="黑体" w:hAnsi="黑体" w:cs="Times New Roman"/>
          <w:sz w:val="28"/>
          <w:szCs w:val="28"/>
        </w:rPr>
      </w:pPr>
      <w:r w:rsidRPr="00D31397">
        <w:rPr>
          <w:rFonts w:ascii="黑体" w:eastAsia="黑体" w:hAnsi="黑体" w:cs="Times New Roman" w:hint="eastAsia"/>
          <w:sz w:val="28"/>
          <w:szCs w:val="28"/>
        </w:rPr>
        <w:t>第六章  各论</w:t>
      </w:r>
    </w:p>
    <w:p w14:paraId="38C2A78B"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【学习目标】</w:t>
      </w:r>
    </w:p>
    <w:p w14:paraId="1EA24209" w14:textId="77777777" w:rsidR="00D31397" w:rsidRPr="00D31397" w:rsidRDefault="00D31397" w:rsidP="00D31397">
      <w:pPr>
        <w:spacing w:line="440" w:lineRule="exact"/>
        <w:ind w:firstLineChars="200" w:firstLine="480"/>
        <w:rPr>
          <w:rFonts w:ascii="宋体" w:eastAsia="黑体" w:hAnsi="宋体" w:cs="Times New Roman"/>
          <w:sz w:val="24"/>
          <w:szCs w:val="24"/>
        </w:rPr>
      </w:pPr>
      <w:r w:rsidRPr="00D31397">
        <w:rPr>
          <w:rFonts w:ascii="宋体" w:eastAsia="宋体" w:hAnsi="宋体" w:cs="Times New Roman" w:hint="eastAsia"/>
          <w:sz w:val="24"/>
          <w:szCs w:val="24"/>
        </w:rPr>
        <w:t>1</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认知类目标：掌握生物利用度与生物等效性评价的基本概念；治疗药物监测的目的、原则及监测药物的种类；滥用药物和毒物体内分析的特点及其常用方法。熟悉生物利用度与生物等效性评价的基本要求，包括试验设计、受试者纳入标准、采样时间、测定对象的选择以及等效性评价的参数、接受限度等血药浓度与合理用药；给药方案个体化的实施与血药浓度检测方法；滥用药物和毒物体内分析方法的建立与验证；</w:t>
      </w:r>
      <w:proofErr w:type="gramStart"/>
      <w:r w:rsidRPr="00D31397">
        <w:rPr>
          <w:rFonts w:ascii="宋体" w:eastAsia="宋体" w:hAnsi="宋体" w:cs="Times New Roman" w:hint="eastAsia"/>
          <w:sz w:val="24"/>
          <w:szCs w:val="24"/>
        </w:rPr>
        <w:t>代谢组</w:t>
      </w:r>
      <w:proofErr w:type="gramEnd"/>
      <w:r w:rsidRPr="00D31397">
        <w:rPr>
          <w:rFonts w:ascii="宋体" w:eastAsia="宋体" w:hAnsi="宋体" w:cs="Times New Roman" w:hint="eastAsia"/>
          <w:sz w:val="24"/>
          <w:szCs w:val="24"/>
        </w:rPr>
        <w:t>学分析常用的生物样品制备与数据处理方法，潜在生物标志物的筛选与鉴定方法。了解手性药物的</w:t>
      </w:r>
      <w:proofErr w:type="gramStart"/>
      <w:r w:rsidRPr="00D31397">
        <w:rPr>
          <w:rFonts w:ascii="宋体" w:eastAsia="宋体" w:hAnsi="宋体" w:cs="Times New Roman" w:hint="eastAsia"/>
          <w:sz w:val="24"/>
          <w:szCs w:val="24"/>
        </w:rPr>
        <w:t>体内过程</w:t>
      </w:r>
      <w:proofErr w:type="gramEnd"/>
      <w:r w:rsidRPr="00D31397">
        <w:rPr>
          <w:rFonts w:ascii="宋体" w:eastAsia="宋体" w:hAnsi="宋体" w:cs="Times New Roman" w:hint="eastAsia"/>
          <w:sz w:val="24"/>
          <w:szCs w:val="24"/>
        </w:rPr>
        <w:t>与药代动力学立体选择性；缓控释制剂的临床前药代动力学特征与评价方法；生物等效性评价的统计分析方法；血药浓度与临床效应的关系及其影响因素；滥用药物和毒物的危害；常见滥用药物和毒物的性质和体内过程；生物标志物与代谢通路的相关性。</w:t>
      </w:r>
    </w:p>
    <w:p w14:paraId="51CC1222"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 过程与方法类目标：以体内药物分析的实际应用领域为主线，为体内药物分析的方法研究提供应用案例，使学生能够运用体内药物分析方法解决药学领域的相关实际问题。</w:t>
      </w:r>
    </w:p>
    <w:p w14:paraId="1CE08B67" w14:textId="77777777" w:rsidR="00D31397" w:rsidRPr="00D31397" w:rsidRDefault="00D31397" w:rsidP="00D31397">
      <w:pPr>
        <w:spacing w:line="440" w:lineRule="exact"/>
        <w:ind w:firstLineChars="200" w:firstLine="480"/>
        <w:rPr>
          <w:rFonts w:ascii="宋体" w:eastAsia="宋体" w:hAnsi="宋体" w:cs="Times New Roman"/>
          <w:b/>
          <w:sz w:val="24"/>
          <w:szCs w:val="24"/>
        </w:rPr>
      </w:pPr>
      <w:r w:rsidRPr="00D31397">
        <w:rPr>
          <w:rFonts w:ascii="宋体" w:eastAsia="宋体" w:hAnsi="宋体" w:cs="Times New Roman"/>
          <w:sz w:val="24"/>
          <w:szCs w:val="24"/>
        </w:rPr>
        <w:t xml:space="preserve">3. </w:t>
      </w:r>
      <w:r w:rsidRPr="00D31397">
        <w:rPr>
          <w:rFonts w:ascii="宋体" w:eastAsia="宋体" w:hAnsi="宋体" w:cs="Times New Roman" w:hint="eastAsia"/>
          <w:sz w:val="24"/>
          <w:szCs w:val="24"/>
        </w:rPr>
        <w:t>情感、态度、价值观类目标：通过体内药物分析方法的应用案例，强调临床前研究数据完整性的重要性，强化学生具有高度的责任感。</w:t>
      </w:r>
    </w:p>
    <w:p w14:paraId="6D50BB38"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【学习内容】</w:t>
      </w:r>
    </w:p>
    <w:p w14:paraId="4D2B3427" w14:textId="77777777" w:rsidR="00D31397" w:rsidRPr="00D31397" w:rsidRDefault="00D31397">
      <w:pPr>
        <w:numPr>
          <w:ilvl w:val="0"/>
          <w:numId w:val="142"/>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临床前药代动力学研究；</w:t>
      </w:r>
    </w:p>
    <w:p w14:paraId="0D7C89B9" w14:textId="77777777" w:rsidR="00D31397" w:rsidRPr="00D31397" w:rsidRDefault="00D31397">
      <w:pPr>
        <w:numPr>
          <w:ilvl w:val="0"/>
          <w:numId w:val="142"/>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生物利用度与生物等效性评价；</w:t>
      </w:r>
    </w:p>
    <w:p w14:paraId="7DBC319B" w14:textId="77777777" w:rsidR="00D31397" w:rsidRPr="00D31397" w:rsidRDefault="00D31397">
      <w:pPr>
        <w:numPr>
          <w:ilvl w:val="0"/>
          <w:numId w:val="142"/>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临床治疗药物监测；</w:t>
      </w:r>
    </w:p>
    <w:p w14:paraId="37C7F860" w14:textId="77777777" w:rsidR="00D31397" w:rsidRPr="00D31397" w:rsidRDefault="00D31397">
      <w:pPr>
        <w:numPr>
          <w:ilvl w:val="0"/>
          <w:numId w:val="142"/>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滥用药物与毒物分析；</w:t>
      </w:r>
    </w:p>
    <w:p w14:paraId="0D905877" w14:textId="77777777" w:rsidR="00D31397" w:rsidRPr="00D31397" w:rsidRDefault="00D31397">
      <w:pPr>
        <w:numPr>
          <w:ilvl w:val="0"/>
          <w:numId w:val="142"/>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药物</w:t>
      </w:r>
      <w:proofErr w:type="gramStart"/>
      <w:r w:rsidRPr="00D31397">
        <w:rPr>
          <w:rFonts w:ascii="宋体" w:eastAsia="宋体" w:hAnsi="宋体" w:cs="Times New Roman" w:hint="eastAsia"/>
          <w:sz w:val="24"/>
          <w:szCs w:val="24"/>
        </w:rPr>
        <w:t>代谢组</w:t>
      </w:r>
      <w:proofErr w:type="gramEnd"/>
      <w:r w:rsidRPr="00D31397">
        <w:rPr>
          <w:rFonts w:ascii="宋体" w:eastAsia="宋体" w:hAnsi="宋体" w:cs="Times New Roman" w:hint="eastAsia"/>
          <w:sz w:val="24"/>
          <w:szCs w:val="24"/>
        </w:rPr>
        <w:t>学分析。</w:t>
      </w:r>
    </w:p>
    <w:p w14:paraId="759E7BAF"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【重点】</w:t>
      </w:r>
    </w:p>
    <w:p w14:paraId="5BFBDA17" w14:textId="77777777" w:rsidR="00D31397" w:rsidRPr="00D31397" w:rsidRDefault="00D31397">
      <w:pPr>
        <w:numPr>
          <w:ilvl w:val="0"/>
          <w:numId w:val="143"/>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生物利用度与生物等效性评价的基本概念、基本要求与研究方法；</w:t>
      </w:r>
    </w:p>
    <w:p w14:paraId="67EA8563" w14:textId="77777777" w:rsidR="00D31397" w:rsidRPr="00D31397" w:rsidRDefault="00D31397">
      <w:pPr>
        <w:numPr>
          <w:ilvl w:val="0"/>
          <w:numId w:val="143"/>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lastRenderedPageBreak/>
        <w:t>治疗药物监测的目的与原则；</w:t>
      </w:r>
    </w:p>
    <w:p w14:paraId="2B0C096C" w14:textId="77777777" w:rsidR="00D31397" w:rsidRPr="00D31397" w:rsidRDefault="00D31397">
      <w:pPr>
        <w:numPr>
          <w:ilvl w:val="0"/>
          <w:numId w:val="143"/>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滥用药物和毒物体内分析的特点及其常用方法；</w:t>
      </w:r>
    </w:p>
    <w:p w14:paraId="07D241A4" w14:textId="77777777" w:rsidR="00D31397" w:rsidRPr="00D31397" w:rsidRDefault="00D31397">
      <w:pPr>
        <w:numPr>
          <w:ilvl w:val="0"/>
          <w:numId w:val="143"/>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药物</w:t>
      </w:r>
      <w:proofErr w:type="gramStart"/>
      <w:r w:rsidRPr="00D31397">
        <w:rPr>
          <w:rFonts w:ascii="宋体" w:eastAsia="宋体" w:hAnsi="宋体" w:cs="Times New Roman" w:hint="eastAsia"/>
          <w:sz w:val="24"/>
          <w:szCs w:val="24"/>
        </w:rPr>
        <w:t>代谢组</w:t>
      </w:r>
      <w:proofErr w:type="gramEnd"/>
      <w:r w:rsidRPr="00D31397">
        <w:rPr>
          <w:rFonts w:ascii="宋体" w:eastAsia="宋体" w:hAnsi="宋体" w:cs="Times New Roman" w:hint="eastAsia"/>
          <w:sz w:val="24"/>
          <w:szCs w:val="24"/>
        </w:rPr>
        <w:t>学分析研究方法。</w:t>
      </w:r>
    </w:p>
    <w:p w14:paraId="282CD60B" w14:textId="77777777" w:rsidR="00D31397" w:rsidRPr="00D31397" w:rsidRDefault="00D31397" w:rsidP="00D31397">
      <w:pPr>
        <w:spacing w:line="440" w:lineRule="exact"/>
        <w:ind w:firstLineChars="200" w:firstLine="482"/>
        <w:rPr>
          <w:rFonts w:ascii="宋体" w:eastAsia="宋体" w:hAnsi="宋体" w:cs="Times New Roman"/>
          <w:b/>
          <w:sz w:val="24"/>
          <w:szCs w:val="24"/>
        </w:rPr>
      </w:pPr>
      <w:r w:rsidRPr="00D31397">
        <w:rPr>
          <w:rFonts w:ascii="宋体" w:eastAsia="宋体" w:hAnsi="宋体" w:cs="Times New Roman" w:hint="eastAsia"/>
          <w:b/>
          <w:sz w:val="24"/>
          <w:szCs w:val="24"/>
        </w:rPr>
        <w:t>【难点】</w:t>
      </w:r>
    </w:p>
    <w:p w14:paraId="5B1C36F1" w14:textId="77777777" w:rsidR="00D31397" w:rsidRPr="00D31397" w:rsidRDefault="00D31397">
      <w:pPr>
        <w:numPr>
          <w:ilvl w:val="0"/>
          <w:numId w:val="144"/>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生物利用度与生物等效性评价的基本要求与研究方法；</w:t>
      </w:r>
    </w:p>
    <w:p w14:paraId="6474984F" w14:textId="77777777" w:rsidR="00D31397" w:rsidRPr="00D31397" w:rsidRDefault="00D31397">
      <w:pPr>
        <w:numPr>
          <w:ilvl w:val="0"/>
          <w:numId w:val="144"/>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治疗药物监测的目的与原则；</w:t>
      </w:r>
    </w:p>
    <w:p w14:paraId="680409F4" w14:textId="77777777" w:rsidR="00D31397" w:rsidRPr="00D31397" w:rsidRDefault="00D31397">
      <w:pPr>
        <w:numPr>
          <w:ilvl w:val="0"/>
          <w:numId w:val="144"/>
        </w:num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药物</w:t>
      </w:r>
      <w:proofErr w:type="gramStart"/>
      <w:r w:rsidRPr="00D31397">
        <w:rPr>
          <w:rFonts w:ascii="宋体" w:eastAsia="宋体" w:hAnsi="宋体" w:cs="Times New Roman" w:hint="eastAsia"/>
          <w:sz w:val="24"/>
          <w:szCs w:val="24"/>
        </w:rPr>
        <w:t>代谢组</w:t>
      </w:r>
      <w:proofErr w:type="gramEnd"/>
      <w:r w:rsidRPr="00D31397">
        <w:rPr>
          <w:rFonts w:ascii="宋体" w:eastAsia="宋体" w:hAnsi="宋体" w:cs="Times New Roman" w:hint="eastAsia"/>
          <w:sz w:val="24"/>
          <w:szCs w:val="24"/>
        </w:rPr>
        <w:t>学的基本原理与数据分析方法。</w:t>
      </w:r>
    </w:p>
    <w:p w14:paraId="7DFECE1F" w14:textId="77777777" w:rsidR="00D31397" w:rsidRPr="00D31397" w:rsidRDefault="00D31397" w:rsidP="00D31397">
      <w:pPr>
        <w:spacing w:line="440" w:lineRule="exact"/>
        <w:ind w:firstLineChars="200" w:firstLine="482"/>
        <w:rPr>
          <w:rFonts w:ascii="宋体" w:eastAsia="宋体" w:hAnsi="宋体" w:cs="Times New Roman"/>
          <w:color w:val="FF0000"/>
          <w:sz w:val="24"/>
          <w:szCs w:val="24"/>
        </w:rPr>
      </w:pPr>
      <w:r w:rsidRPr="00D31397">
        <w:rPr>
          <w:rFonts w:ascii="宋体" w:eastAsia="宋体" w:hAnsi="宋体" w:cs="Times New Roman" w:hint="eastAsia"/>
          <w:b/>
          <w:bCs/>
          <w:sz w:val="24"/>
          <w:szCs w:val="24"/>
        </w:rPr>
        <w:t>【教学方法】</w:t>
      </w:r>
    </w:p>
    <w:p w14:paraId="33367E76"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1. 通过多媒体课件和传统教学相结合，加深学生对临床前药代动力学研究、生物利用度与生物等效性评价、临床治疗药物监测、滥用药物与毒物分析、药物</w:t>
      </w:r>
      <w:proofErr w:type="gramStart"/>
      <w:r w:rsidRPr="00D31397">
        <w:rPr>
          <w:rFonts w:ascii="宋体" w:eastAsia="宋体" w:hAnsi="宋体" w:cs="Times New Roman" w:hint="eastAsia"/>
          <w:sz w:val="24"/>
          <w:szCs w:val="24"/>
        </w:rPr>
        <w:t>代谢组</w:t>
      </w:r>
      <w:proofErr w:type="gramEnd"/>
      <w:r w:rsidRPr="00D31397">
        <w:rPr>
          <w:rFonts w:ascii="宋体" w:eastAsia="宋体" w:hAnsi="宋体" w:cs="Times New Roman" w:hint="eastAsia"/>
          <w:sz w:val="24"/>
          <w:szCs w:val="24"/>
        </w:rPr>
        <w:t>学分析基本原理与研究方法的理解；</w:t>
      </w:r>
    </w:p>
    <w:p w14:paraId="4C9E50CE"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 为体内药物分析的方法研究提供应用案例，帮助学生理解体内药物分析在药学领域的地位和作用。</w:t>
      </w:r>
    </w:p>
    <w:p w14:paraId="708EC3CD" w14:textId="77777777" w:rsidR="00D31397" w:rsidRPr="00D31397" w:rsidRDefault="00D31397" w:rsidP="00D31397">
      <w:pPr>
        <w:spacing w:line="440" w:lineRule="exact"/>
        <w:ind w:firstLineChars="200" w:firstLine="482"/>
        <w:rPr>
          <w:rFonts w:ascii="宋体" w:eastAsia="宋体" w:hAnsi="宋体" w:cs="Times New Roman"/>
          <w:bCs/>
          <w:color w:val="FF0000"/>
          <w:sz w:val="24"/>
          <w:szCs w:val="24"/>
        </w:rPr>
      </w:pPr>
      <w:r w:rsidRPr="00D31397">
        <w:rPr>
          <w:rFonts w:ascii="宋体" w:eastAsia="宋体" w:hAnsi="宋体" w:cs="Times New Roman" w:hint="eastAsia"/>
          <w:b/>
          <w:sz w:val="24"/>
          <w:szCs w:val="24"/>
        </w:rPr>
        <w:t>【复习思考】</w:t>
      </w:r>
    </w:p>
    <w:p w14:paraId="2FFA8EED" w14:textId="77777777" w:rsidR="00D31397" w:rsidRPr="00D31397" w:rsidRDefault="00D31397" w:rsidP="00D31397">
      <w:pPr>
        <w:spacing w:line="440" w:lineRule="exact"/>
        <w:ind w:firstLineChars="200" w:firstLine="480"/>
        <w:rPr>
          <w:rFonts w:ascii="宋体" w:eastAsia="宋体" w:hAnsi="宋体" w:cs="Times New Roman"/>
          <w:b/>
          <w:sz w:val="24"/>
          <w:szCs w:val="24"/>
        </w:rPr>
      </w:pPr>
      <w:r w:rsidRPr="00D31397">
        <w:rPr>
          <w:rFonts w:ascii="宋体" w:eastAsia="宋体" w:hAnsi="宋体" w:cs="Times New Roman" w:hint="eastAsia"/>
          <w:sz w:val="24"/>
          <w:szCs w:val="24"/>
        </w:rPr>
        <w:t>1</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生物利用度与生物等效性评价的意义与研究方法；</w:t>
      </w:r>
    </w:p>
    <w:p w14:paraId="3A49F2E3"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2</w:t>
      </w:r>
      <w:r w:rsidRPr="00D31397">
        <w:rPr>
          <w:rFonts w:ascii="宋体" w:eastAsia="宋体" w:hAnsi="宋体" w:cs="Times New Roman"/>
          <w:sz w:val="24"/>
          <w:szCs w:val="24"/>
        </w:rPr>
        <w:t xml:space="preserve">. </w:t>
      </w:r>
      <w:r w:rsidRPr="00D31397">
        <w:rPr>
          <w:rFonts w:ascii="宋体" w:eastAsia="宋体" w:hAnsi="宋体" w:cs="Times New Roman" w:hint="eastAsia"/>
          <w:sz w:val="24"/>
          <w:szCs w:val="24"/>
        </w:rPr>
        <w:t>临床治疗药物监测、滥用药物和毒物体内分析的必要性；</w:t>
      </w:r>
    </w:p>
    <w:p w14:paraId="41F7D1AC"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3. 药物</w:t>
      </w:r>
      <w:proofErr w:type="gramStart"/>
      <w:r w:rsidRPr="00D31397">
        <w:rPr>
          <w:rFonts w:ascii="宋体" w:eastAsia="宋体" w:hAnsi="宋体" w:cs="Times New Roman" w:hint="eastAsia"/>
          <w:sz w:val="24"/>
          <w:szCs w:val="24"/>
        </w:rPr>
        <w:t>代谢组</w:t>
      </w:r>
      <w:proofErr w:type="gramEnd"/>
      <w:r w:rsidRPr="00D31397">
        <w:rPr>
          <w:rFonts w:ascii="宋体" w:eastAsia="宋体" w:hAnsi="宋体" w:cs="Times New Roman" w:hint="eastAsia"/>
          <w:sz w:val="24"/>
          <w:szCs w:val="24"/>
        </w:rPr>
        <w:t>学分析的临床意义。</w:t>
      </w:r>
    </w:p>
    <w:p w14:paraId="5B3379D7" w14:textId="77777777" w:rsidR="00D31397" w:rsidRPr="00D31397" w:rsidRDefault="00D31397" w:rsidP="00D31397">
      <w:pPr>
        <w:spacing w:beforeLines="50" w:before="156" w:afterLines="50" w:after="156" w:line="440" w:lineRule="exact"/>
        <w:ind w:left="561"/>
        <w:rPr>
          <w:rFonts w:ascii="仿宋" w:eastAsia="仿宋" w:hAnsi="仿宋" w:cs="Times New Roman"/>
          <w:sz w:val="24"/>
          <w:szCs w:val="24"/>
        </w:rPr>
      </w:pPr>
      <w:r w:rsidRPr="00D31397">
        <w:rPr>
          <w:rFonts w:ascii="黑体" w:eastAsia="黑体" w:hAnsi="黑体" w:cs="Times New Roman" w:hint="eastAsia"/>
          <w:sz w:val="28"/>
          <w:szCs w:val="28"/>
        </w:rPr>
        <w:t>（二）课程学习内容与课程学习目标的对应关系</w:t>
      </w:r>
      <w:r w:rsidRPr="00D31397">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D31397" w:rsidRPr="00D31397" w14:paraId="416CCB2C" w14:textId="77777777" w:rsidTr="00C96426">
        <w:trPr>
          <w:trHeight w:val="660"/>
          <w:jc w:val="center"/>
        </w:trPr>
        <w:tc>
          <w:tcPr>
            <w:tcW w:w="3403" w:type="dxa"/>
            <w:vAlign w:val="center"/>
          </w:tcPr>
          <w:p w14:paraId="60D61C72" w14:textId="77777777" w:rsidR="00D31397" w:rsidRPr="00D31397" w:rsidRDefault="00D31397" w:rsidP="00D31397">
            <w:pPr>
              <w:spacing w:line="440" w:lineRule="exact"/>
              <w:jc w:val="center"/>
              <w:rPr>
                <w:rFonts w:ascii="Times New Roman" w:eastAsia="宋体" w:hAnsi="Times New Roman" w:cs="Times New Roman"/>
                <w:b/>
                <w:bCs/>
                <w:sz w:val="24"/>
                <w:szCs w:val="24"/>
              </w:rPr>
            </w:pPr>
            <w:r w:rsidRPr="00D31397">
              <w:rPr>
                <w:rFonts w:ascii="Times New Roman" w:eastAsia="宋体" w:hAnsi="Times New Roman" w:cs="Times New Roman"/>
                <w:b/>
                <w:bCs/>
                <w:sz w:val="24"/>
                <w:szCs w:val="24"/>
              </w:rPr>
              <w:t>课程学习内容</w:t>
            </w:r>
          </w:p>
        </w:tc>
        <w:tc>
          <w:tcPr>
            <w:tcW w:w="2693" w:type="dxa"/>
            <w:vAlign w:val="center"/>
          </w:tcPr>
          <w:p w14:paraId="110E3E79" w14:textId="77777777" w:rsidR="00D31397" w:rsidRPr="00D31397" w:rsidRDefault="00D31397" w:rsidP="00D31397">
            <w:pPr>
              <w:spacing w:line="440" w:lineRule="exact"/>
              <w:jc w:val="center"/>
              <w:rPr>
                <w:rFonts w:ascii="Times New Roman" w:eastAsia="宋体" w:hAnsi="Times New Roman" w:cs="Times New Roman"/>
                <w:b/>
                <w:bCs/>
                <w:sz w:val="24"/>
                <w:szCs w:val="24"/>
              </w:rPr>
            </w:pPr>
            <w:r w:rsidRPr="00D31397">
              <w:rPr>
                <w:rFonts w:ascii="Times New Roman" w:eastAsia="宋体" w:hAnsi="Times New Roman" w:cs="Times New Roman"/>
                <w:b/>
                <w:bCs/>
                <w:sz w:val="24"/>
                <w:szCs w:val="24"/>
              </w:rPr>
              <w:t>教学方法</w:t>
            </w:r>
          </w:p>
        </w:tc>
        <w:tc>
          <w:tcPr>
            <w:tcW w:w="1985" w:type="dxa"/>
            <w:vAlign w:val="center"/>
          </w:tcPr>
          <w:p w14:paraId="6A7F6180" w14:textId="77777777" w:rsidR="00D31397" w:rsidRPr="00D31397" w:rsidRDefault="00D31397" w:rsidP="00D31397">
            <w:pPr>
              <w:spacing w:line="440" w:lineRule="exact"/>
              <w:jc w:val="center"/>
              <w:rPr>
                <w:rFonts w:ascii="Times New Roman" w:eastAsia="宋体" w:hAnsi="Times New Roman" w:cs="Times New Roman"/>
                <w:b/>
                <w:bCs/>
                <w:sz w:val="24"/>
                <w:szCs w:val="24"/>
              </w:rPr>
            </w:pPr>
            <w:r w:rsidRPr="00D31397">
              <w:rPr>
                <w:rFonts w:ascii="Times New Roman" w:eastAsia="宋体" w:hAnsi="Times New Roman" w:cs="Times New Roman"/>
                <w:b/>
                <w:bCs/>
                <w:sz w:val="24"/>
                <w:szCs w:val="24"/>
              </w:rPr>
              <w:t>支撑的课程目标</w:t>
            </w:r>
          </w:p>
        </w:tc>
        <w:tc>
          <w:tcPr>
            <w:tcW w:w="1276" w:type="dxa"/>
            <w:vAlign w:val="center"/>
          </w:tcPr>
          <w:p w14:paraId="33CC5886" w14:textId="77777777" w:rsidR="00D31397" w:rsidRPr="00D31397" w:rsidRDefault="00D31397" w:rsidP="00D31397">
            <w:pPr>
              <w:spacing w:line="440" w:lineRule="exact"/>
              <w:jc w:val="center"/>
              <w:rPr>
                <w:rFonts w:ascii="Times New Roman" w:eastAsia="宋体" w:hAnsi="Times New Roman" w:cs="Times New Roman"/>
                <w:b/>
                <w:bCs/>
                <w:sz w:val="24"/>
                <w:szCs w:val="24"/>
              </w:rPr>
            </w:pPr>
            <w:r w:rsidRPr="00D31397">
              <w:rPr>
                <w:rFonts w:ascii="Times New Roman" w:eastAsia="宋体" w:hAnsi="Times New Roman" w:cs="Times New Roman"/>
                <w:b/>
                <w:bCs/>
                <w:sz w:val="24"/>
                <w:szCs w:val="24"/>
              </w:rPr>
              <w:t>学时安排</w:t>
            </w:r>
          </w:p>
        </w:tc>
      </w:tr>
      <w:tr w:rsidR="00D31397" w:rsidRPr="00D31397" w14:paraId="22128528" w14:textId="77777777" w:rsidTr="00C96426">
        <w:trPr>
          <w:trHeight w:val="514"/>
          <w:jc w:val="center"/>
        </w:trPr>
        <w:tc>
          <w:tcPr>
            <w:tcW w:w="3403" w:type="dxa"/>
            <w:vAlign w:val="center"/>
          </w:tcPr>
          <w:p w14:paraId="05BB1D32" w14:textId="77777777" w:rsidR="00D31397" w:rsidRPr="00D31397" w:rsidRDefault="00D31397" w:rsidP="00D31397">
            <w:pPr>
              <w:spacing w:line="440" w:lineRule="exact"/>
              <w:jc w:val="left"/>
              <w:rPr>
                <w:rFonts w:ascii="Times New Roman" w:eastAsia="宋体" w:hAnsi="Times New Roman" w:cs="Times New Roman"/>
                <w:sz w:val="24"/>
                <w:szCs w:val="24"/>
              </w:rPr>
            </w:pPr>
            <w:r w:rsidRPr="00D31397">
              <w:rPr>
                <w:rFonts w:ascii="Times New Roman" w:eastAsia="宋体" w:hAnsi="Times New Roman" w:cs="Times New Roman"/>
                <w:sz w:val="24"/>
                <w:szCs w:val="24"/>
              </w:rPr>
              <w:t>第一章</w:t>
            </w:r>
            <w:r w:rsidRPr="00D31397">
              <w:rPr>
                <w:rFonts w:ascii="Times New Roman" w:eastAsia="宋体" w:hAnsi="Times New Roman" w:cs="Times New Roman"/>
                <w:sz w:val="24"/>
                <w:szCs w:val="24"/>
              </w:rPr>
              <w:t xml:space="preserve"> </w:t>
            </w:r>
            <w:r w:rsidRPr="00D31397">
              <w:rPr>
                <w:rFonts w:ascii="Times New Roman" w:eastAsia="宋体" w:hAnsi="Times New Roman" w:cs="Times New Roman"/>
                <w:sz w:val="24"/>
                <w:szCs w:val="24"/>
              </w:rPr>
              <w:t>绪论</w:t>
            </w:r>
          </w:p>
        </w:tc>
        <w:tc>
          <w:tcPr>
            <w:tcW w:w="2693" w:type="dxa"/>
            <w:vAlign w:val="center"/>
          </w:tcPr>
          <w:p w14:paraId="765BC234"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hint="eastAsia"/>
                <w:sz w:val="24"/>
                <w:szCs w:val="24"/>
              </w:rPr>
              <w:t>讲授法、案例法</w:t>
            </w:r>
          </w:p>
        </w:tc>
        <w:tc>
          <w:tcPr>
            <w:tcW w:w="1985" w:type="dxa"/>
            <w:vAlign w:val="center"/>
          </w:tcPr>
          <w:p w14:paraId="39364A30"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sz w:val="24"/>
                <w:szCs w:val="24"/>
              </w:rPr>
              <w:t>课程目标</w:t>
            </w:r>
            <w:r w:rsidRPr="00D31397">
              <w:rPr>
                <w:rFonts w:ascii="Times New Roman" w:eastAsia="宋体" w:hAnsi="Times New Roman" w:cs="Times New Roman"/>
                <w:sz w:val="24"/>
                <w:szCs w:val="24"/>
              </w:rPr>
              <w:t>1</w:t>
            </w:r>
          </w:p>
        </w:tc>
        <w:tc>
          <w:tcPr>
            <w:tcW w:w="1276" w:type="dxa"/>
            <w:vAlign w:val="center"/>
          </w:tcPr>
          <w:p w14:paraId="72C8F2AB"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sz w:val="24"/>
                <w:szCs w:val="24"/>
              </w:rPr>
              <w:t>2</w:t>
            </w:r>
          </w:p>
        </w:tc>
      </w:tr>
      <w:tr w:rsidR="00D31397" w:rsidRPr="00D31397" w14:paraId="27369E0A" w14:textId="77777777" w:rsidTr="00C96426">
        <w:trPr>
          <w:trHeight w:val="514"/>
          <w:jc w:val="center"/>
        </w:trPr>
        <w:tc>
          <w:tcPr>
            <w:tcW w:w="3403" w:type="dxa"/>
            <w:vAlign w:val="center"/>
          </w:tcPr>
          <w:p w14:paraId="3B8B0CE6" w14:textId="77777777" w:rsidR="00D31397" w:rsidRPr="00D31397" w:rsidRDefault="00D31397" w:rsidP="00D31397">
            <w:pPr>
              <w:spacing w:line="440" w:lineRule="exact"/>
              <w:jc w:val="left"/>
              <w:rPr>
                <w:rFonts w:ascii="Times New Roman" w:eastAsia="宋体" w:hAnsi="Times New Roman" w:cs="Times New Roman"/>
                <w:sz w:val="24"/>
                <w:szCs w:val="24"/>
              </w:rPr>
            </w:pPr>
            <w:r w:rsidRPr="00D31397">
              <w:rPr>
                <w:rFonts w:ascii="Times New Roman" w:eastAsia="宋体" w:hAnsi="Times New Roman" w:cs="Times New Roman"/>
                <w:sz w:val="24"/>
                <w:szCs w:val="24"/>
              </w:rPr>
              <w:t>第二章</w:t>
            </w:r>
            <w:r w:rsidRPr="00D31397">
              <w:rPr>
                <w:rFonts w:ascii="Times New Roman" w:eastAsia="宋体" w:hAnsi="Times New Roman" w:cs="Times New Roman"/>
                <w:sz w:val="24"/>
                <w:szCs w:val="24"/>
              </w:rPr>
              <w:t xml:space="preserve"> </w:t>
            </w:r>
            <w:r w:rsidRPr="00D31397">
              <w:rPr>
                <w:rFonts w:ascii="Times New Roman" w:eastAsia="宋体" w:hAnsi="Times New Roman" w:cs="Times New Roman"/>
                <w:sz w:val="24"/>
                <w:szCs w:val="24"/>
              </w:rPr>
              <w:t>体内药物分析相关的基础理论概述</w:t>
            </w:r>
          </w:p>
        </w:tc>
        <w:tc>
          <w:tcPr>
            <w:tcW w:w="2693" w:type="dxa"/>
            <w:vAlign w:val="center"/>
          </w:tcPr>
          <w:p w14:paraId="607AA453"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hint="eastAsia"/>
                <w:sz w:val="24"/>
                <w:szCs w:val="24"/>
              </w:rPr>
              <w:t>讲授法、案例法</w:t>
            </w:r>
          </w:p>
        </w:tc>
        <w:tc>
          <w:tcPr>
            <w:tcW w:w="1985" w:type="dxa"/>
            <w:vAlign w:val="center"/>
          </w:tcPr>
          <w:p w14:paraId="5BFEFD03"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sz w:val="24"/>
                <w:szCs w:val="24"/>
              </w:rPr>
              <w:t>课程目标</w:t>
            </w:r>
            <w:r w:rsidRPr="00D31397">
              <w:rPr>
                <w:rFonts w:ascii="Times New Roman" w:eastAsia="宋体" w:hAnsi="Times New Roman" w:cs="Times New Roman"/>
                <w:sz w:val="24"/>
                <w:szCs w:val="24"/>
              </w:rPr>
              <w:t>1</w:t>
            </w:r>
          </w:p>
        </w:tc>
        <w:tc>
          <w:tcPr>
            <w:tcW w:w="1276" w:type="dxa"/>
            <w:vAlign w:val="center"/>
          </w:tcPr>
          <w:p w14:paraId="603D3567"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sz w:val="24"/>
                <w:szCs w:val="24"/>
              </w:rPr>
              <w:t>6</w:t>
            </w:r>
          </w:p>
        </w:tc>
      </w:tr>
      <w:tr w:rsidR="00D31397" w:rsidRPr="00D31397" w14:paraId="0AF9D54D" w14:textId="77777777" w:rsidTr="00C96426">
        <w:trPr>
          <w:trHeight w:val="90"/>
          <w:jc w:val="center"/>
        </w:trPr>
        <w:tc>
          <w:tcPr>
            <w:tcW w:w="3403" w:type="dxa"/>
            <w:vAlign w:val="center"/>
          </w:tcPr>
          <w:p w14:paraId="7559B581" w14:textId="77777777" w:rsidR="00D31397" w:rsidRPr="00D31397" w:rsidRDefault="00D31397" w:rsidP="00D31397">
            <w:pPr>
              <w:spacing w:line="440" w:lineRule="exact"/>
              <w:jc w:val="left"/>
              <w:rPr>
                <w:rFonts w:ascii="Times New Roman" w:eastAsia="宋体" w:hAnsi="Times New Roman" w:cs="Times New Roman"/>
                <w:sz w:val="24"/>
                <w:szCs w:val="24"/>
              </w:rPr>
            </w:pPr>
            <w:r w:rsidRPr="00D31397">
              <w:rPr>
                <w:rFonts w:ascii="Times New Roman" w:eastAsia="宋体" w:hAnsi="Times New Roman" w:cs="Times New Roman"/>
                <w:sz w:val="24"/>
                <w:szCs w:val="24"/>
              </w:rPr>
              <w:t>第三章</w:t>
            </w:r>
            <w:r w:rsidRPr="00D31397">
              <w:rPr>
                <w:rFonts w:ascii="Times New Roman" w:eastAsia="宋体" w:hAnsi="Times New Roman" w:cs="Times New Roman"/>
                <w:sz w:val="24"/>
                <w:szCs w:val="24"/>
              </w:rPr>
              <w:t xml:space="preserve"> </w:t>
            </w:r>
            <w:r w:rsidRPr="00D31397">
              <w:rPr>
                <w:rFonts w:ascii="Times New Roman" w:eastAsia="宋体" w:hAnsi="Times New Roman" w:cs="Times New Roman"/>
                <w:sz w:val="24"/>
                <w:szCs w:val="24"/>
              </w:rPr>
              <w:t>体内药物分析相关的分析方法概述</w:t>
            </w:r>
          </w:p>
        </w:tc>
        <w:tc>
          <w:tcPr>
            <w:tcW w:w="2693" w:type="dxa"/>
            <w:vAlign w:val="center"/>
          </w:tcPr>
          <w:p w14:paraId="0D9507D5"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hint="eastAsia"/>
                <w:sz w:val="24"/>
                <w:szCs w:val="24"/>
              </w:rPr>
              <w:t>讲授法、案例法</w:t>
            </w:r>
          </w:p>
        </w:tc>
        <w:tc>
          <w:tcPr>
            <w:tcW w:w="1985" w:type="dxa"/>
            <w:vAlign w:val="center"/>
          </w:tcPr>
          <w:p w14:paraId="295A347F"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sz w:val="24"/>
                <w:szCs w:val="24"/>
              </w:rPr>
              <w:t>课程目标</w:t>
            </w:r>
            <w:r w:rsidRPr="00D31397">
              <w:rPr>
                <w:rFonts w:ascii="Times New Roman" w:eastAsia="宋体" w:hAnsi="Times New Roman" w:cs="Times New Roman" w:hint="eastAsia"/>
                <w:sz w:val="24"/>
                <w:szCs w:val="24"/>
              </w:rPr>
              <w:t>1</w:t>
            </w:r>
            <w:r w:rsidRPr="00D31397">
              <w:rPr>
                <w:rFonts w:ascii="Times New Roman" w:eastAsia="宋体" w:hAnsi="Times New Roman" w:cs="Times New Roman" w:hint="eastAsia"/>
                <w:sz w:val="24"/>
                <w:szCs w:val="24"/>
              </w:rPr>
              <w:t>、</w:t>
            </w:r>
            <w:r w:rsidRPr="00D31397">
              <w:rPr>
                <w:rFonts w:ascii="Times New Roman" w:eastAsia="宋体" w:hAnsi="Times New Roman" w:cs="Times New Roman"/>
                <w:sz w:val="24"/>
                <w:szCs w:val="24"/>
              </w:rPr>
              <w:t>2</w:t>
            </w:r>
          </w:p>
        </w:tc>
        <w:tc>
          <w:tcPr>
            <w:tcW w:w="1276" w:type="dxa"/>
            <w:vAlign w:val="center"/>
          </w:tcPr>
          <w:p w14:paraId="049CB5DF"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hint="eastAsia"/>
                <w:sz w:val="24"/>
                <w:szCs w:val="24"/>
              </w:rPr>
              <w:t>4</w:t>
            </w:r>
          </w:p>
        </w:tc>
      </w:tr>
      <w:tr w:rsidR="00D31397" w:rsidRPr="00D31397" w14:paraId="34721C74" w14:textId="77777777" w:rsidTr="00C96426">
        <w:trPr>
          <w:trHeight w:val="90"/>
          <w:jc w:val="center"/>
        </w:trPr>
        <w:tc>
          <w:tcPr>
            <w:tcW w:w="3403" w:type="dxa"/>
            <w:vAlign w:val="center"/>
          </w:tcPr>
          <w:p w14:paraId="2D78A1AC" w14:textId="77777777" w:rsidR="00D31397" w:rsidRPr="00D31397" w:rsidRDefault="00D31397" w:rsidP="00D31397">
            <w:pPr>
              <w:spacing w:line="440" w:lineRule="exact"/>
              <w:jc w:val="left"/>
              <w:rPr>
                <w:rFonts w:ascii="Times New Roman" w:eastAsia="宋体" w:hAnsi="Times New Roman" w:cs="Times New Roman"/>
                <w:sz w:val="24"/>
                <w:szCs w:val="24"/>
              </w:rPr>
            </w:pPr>
            <w:r w:rsidRPr="00D31397">
              <w:rPr>
                <w:rFonts w:ascii="Times New Roman" w:eastAsia="宋体" w:hAnsi="Times New Roman" w:cs="Times New Roman"/>
                <w:sz w:val="24"/>
                <w:szCs w:val="24"/>
              </w:rPr>
              <w:t>第四章</w:t>
            </w:r>
            <w:r w:rsidRPr="00D31397">
              <w:rPr>
                <w:rFonts w:ascii="Times New Roman" w:eastAsia="宋体" w:hAnsi="Times New Roman" w:cs="Times New Roman"/>
                <w:sz w:val="24"/>
                <w:szCs w:val="24"/>
              </w:rPr>
              <w:t xml:space="preserve"> </w:t>
            </w:r>
            <w:r w:rsidRPr="00D31397">
              <w:rPr>
                <w:rFonts w:ascii="Times New Roman" w:eastAsia="宋体" w:hAnsi="Times New Roman" w:cs="Times New Roman"/>
                <w:sz w:val="24"/>
                <w:szCs w:val="24"/>
              </w:rPr>
              <w:t>生物样品与分析样品的制备</w:t>
            </w:r>
          </w:p>
        </w:tc>
        <w:tc>
          <w:tcPr>
            <w:tcW w:w="2693" w:type="dxa"/>
            <w:vAlign w:val="center"/>
          </w:tcPr>
          <w:p w14:paraId="07DF0DE4"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hint="eastAsia"/>
                <w:sz w:val="24"/>
                <w:szCs w:val="24"/>
              </w:rPr>
              <w:t>讲授法、案例法</w:t>
            </w:r>
          </w:p>
        </w:tc>
        <w:tc>
          <w:tcPr>
            <w:tcW w:w="1985" w:type="dxa"/>
            <w:vAlign w:val="center"/>
          </w:tcPr>
          <w:p w14:paraId="1324A578"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sz w:val="24"/>
                <w:szCs w:val="24"/>
              </w:rPr>
              <w:t>课程目标</w:t>
            </w:r>
            <w:r w:rsidRPr="00D31397">
              <w:rPr>
                <w:rFonts w:ascii="Times New Roman" w:eastAsia="宋体" w:hAnsi="Times New Roman" w:cs="Times New Roman" w:hint="eastAsia"/>
                <w:sz w:val="24"/>
                <w:szCs w:val="24"/>
              </w:rPr>
              <w:t>1</w:t>
            </w:r>
            <w:r w:rsidRPr="00D31397">
              <w:rPr>
                <w:rFonts w:ascii="Times New Roman" w:eastAsia="宋体" w:hAnsi="Times New Roman" w:cs="Times New Roman" w:hint="eastAsia"/>
                <w:sz w:val="24"/>
                <w:szCs w:val="24"/>
              </w:rPr>
              <w:t>、</w:t>
            </w:r>
            <w:r w:rsidRPr="00D31397">
              <w:rPr>
                <w:rFonts w:ascii="Times New Roman" w:eastAsia="宋体" w:hAnsi="Times New Roman" w:cs="Times New Roman"/>
                <w:sz w:val="24"/>
                <w:szCs w:val="24"/>
              </w:rPr>
              <w:t>2</w:t>
            </w:r>
          </w:p>
        </w:tc>
        <w:tc>
          <w:tcPr>
            <w:tcW w:w="1276" w:type="dxa"/>
            <w:vAlign w:val="center"/>
          </w:tcPr>
          <w:p w14:paraId="7FECA490"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sz w:val="24"/>
                <w:szCs w:val="24"/>
              </w:rPr>
              <w:t>6</w:t>
            </w:r>
          </w:p>
        </w:tc>
      </w:tr>
      <w:tr w:rsidR="00D31397" w:rsidRPr="00D31397" w14:paraId="53760202" w14:textId="77777777" w:rsidTr="00C96426">
        <w:trPr>
          <w:jc w:val="center"/>
        </w:trPr>
        <w:tc>
          <w:tcPr>
            <w:tcW w:w="3403" w:type="dxa"/>
            <w:vAlign w:val="center"/>
          </w:tcPr>
          <w:p w14:paraId="18BA5699" w14:textId="77777777" w:rsidR="00D31397" w:rsidRPr="00D31397" w:rsidRDefault="00D31397" w:rsidP="00D31397">
            <w:pPr>
              <w:spacing w:line="440" w:lineRule="exact"/>
              <w:jc w:val="left"/>
              <w:rPr>
                <w:rFonts w:ascii="Times New Roman" w:eastAsia="宋体" w:hAnsi="Times New Roman" w:cs="Times New Roman"/>
                <w:sz w:val="24"/>
                <w:szCs w:val="24"/>
              </w:rPr>
            </w:pPr>
            <w:r w:rsidRPr="00D31397">
              <w:rPr>
                <w:rFonts w:ascii="Times New Roman" w:eastAsia="宋体" w:hAnsi="Times New Roman" w:cs="Times New Roman"/>
                <w:sz w:val="24"/>
                <w:szCs w:val="24"/>
              </w:rPr>
              <w:t>第五章</w:t>
            </w:r>
            <w:r w:rsidRPr="00D31397">
              <w:rPr>
                <w:rFonts w:ascii="Times New Roman" w:eastAsia="宋体" w:hAnsi="Times New Roman" w:cs="Times New Roman"/>
                <w:sz w:val="24"/>
                <w:szCs w:val="24"/>
              </w:rPr>
              <w:t xml:space="preserve"> </w:t>
            </w:r>
            <w:r w:rsidRPr="00D31397">
              <w:rPr>
                <w:rFonts w:ascii="Times New Roman" w:eastAsia="宋体" w:hAnsi="Times New Roman" w:cs="Times New Roman"/>
                <w:sz w:val="24"/>
                <w:szCs w:val="24"/>
              </w:rPr>
              <w:t>生物样品分析方法的建立与验证</w:t>
            </w:r>
          </w:p>
        </w:tc>
        <w:tc>
          <w:tcPr>
            <w:tcW w:w="2693" w:type="dxa"/>
            <w:vAlign w:val="center"/>
          </w:tcPr>
          <w:p w14:paraId="3F98F7DC"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hint="eastAsia"/>
                <w:sz w:val="24"/>
                <w:szCs w:val="24"/>
              </w:rPr>
              <w:t>讲授法、案例法</w:t>
            </w:r>
          </w:p>
        </w:tc>
        <w:tc>
          <w:tcPr>
            <w:tcW w:w="1985" w:type="dxa"/>
            <w:vAlign w:val="center"/>
          </w:tcPr>
          <w:p w14:paraId="6A698950"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sz w:val="24"/>
                <w:szCs w:val="24"/>
              </w:rPr>
              <w:t>课程目标</w:t>
            </w:r>
            <w:r w:rsidRPr="00D31397">
              <w:rPr>
                <w:rFonts w:ascii="Times New Roman" w:eastAsia="宋体" w:hAnsi="Times New Roman" w:cs="Times New Roman"/>
                <w:sz w:val="24"/>
                <w:szCs w:val="24"/>
              </w:rPr>
              <w:t>1</w:t>
            </w:r>
            <w:r w:rsidRPr="00D31397">
              <w:rPr>
                <w:rFonts w:ascii="Times New Roman" w:eastAsia="宋体" w:hAnsi="Times New Roman" w:cs="Times New Roman" w:hint="eastAsia"/>
                <w:sz w:val="24"/>
                <w:szCs w:val="24"/>
              </w:rPr>
              <w:t>、</w:t>
            </w:r>
            <w:r w:rsidRPr="00D31397">
              <w:rPr>
                <w:rFonts w:ascii="Times New Roman" w:eastAsia="宋体" w:hAnsi="Times New Roman" w:cs="Times New Roman" w:hint="eastAsia"/>
                <w:sz w:val="24"/>
                <w:szCs w:val="24"/>
              </w:rPr>
              <w:t>2</w:t>
            </w:r>
          </w:p>
        </w:tc>
        <w:tc>
          <w:tcPr>
            <w:tcW w:w="1276" w:type="dxa"/>
            <w:vAlign w:val="center"/>
          </w:tcPr>
          <w:p w14:paraId="6DC5AC75"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sz w:val="24"/>
                <w:szCs w:val="24"/>
              </w:rPr>
              <w:t>6</w:t>
            </w:r>
          </w:p>
        </w:tc>
      </w:tr>
      <w:tr w:rsidR="00D31397" w:rsidRPr="00D31397" w14:paraId="29E57F3E" w14:textId="77777777" w:rsidTr="00C96426">
        <w:trPr>
          <w:jc w:val="center"/>
        </w:trPr>
        <w:tc>
          <w:tcPr>
            <w:tcW w:w="3403" w:type="dxa"/>
            <w:vAlign w:val="center"/>
          </w:tcPr>
          <w:p w14:paraId="7137EA27" w14:textId="77777777" w:rsidR="00D31397" w:rsidRPr="00D31397" w:rsidRDefault="00D31397" w:rsidP="00D31397">
            <w:pPr>
              <w:spacing w:line="440" w:lineRule="exact"/>
              <w:jc w:val="left"/>
              <w:rPr>
                <w:rFonts w:ascii="Times New Roman" w:eastAsia="宋体" w:hAnsi="Times New Roman" w:cs="Times New Roman"/>
                <w:sz w:val="24"/>
                <w:szCs w:val="24"/>
              </w:rPr>
            </w:pPr>
            <w:r w:rsidRPr="00D31397">
              <w:rPr>
                <w:rFonts w:ascii="Times New Roman" w:eastAsia="宋体" w:hAnsi="Times New Roman" w:cs="Times New Roman"/>
                <w:sz w:val="24"/>
                <w:szCs w:val="24"/>
              </w:rPr>
              <w:t>第六章</w:t>
            </w:r>
            <w:r w:rsidRPr="00D31397">
              <w:rPr>
                <w:rFonts w:ascii="Times New Roman" w:eastAsia="宋体" w:hAnsi="Times New Roman" w:cs="Times New Roman"/>
                <w:sz w:val="24"/>
                <w:szCs w:val="24"/>
              </w:rPr>
              <w:t xml:space="preserve"> </w:t>
            </w:r>
            <w:r w:rsidRPr="00D31397">
              <w:rPr>
                <w:rFonts w:ascii="Times New Roman" w:eastAsia="宋体" w:hAnsi="Times New Roman" w:cs="Times New Roman"/>
                <w:sz w:val="24"/>
                <w:szCs w:val="24"/>
              </w:rPr>
              <w:t>各论</w:t>
            </w:r>
          </w:p>
        </w:tc>
        <w:tc>
          <w:tcPr>
            <w:tcW w:w="2693" w:type="dxa"/>
            <w:vAlign w:val="center"/>
          </w:tcPr>
          <w:p w14:paraId="091EDBCC"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hint="eastAsia"/>
                <w:sz w:val="24"/>
                <w:szCs w:val="24"/>
              </w:rPr>
              <w:t>讲授法、案例法</w:t>
            </w:r>
          </w:p>
        </w:tc>
        <w:tc>
          <w:tcPr>
            <w:tcW w:w="1985" w:type="dxa"/>
            <w:vAlign w:val="center"/>
          </w:tcPr>
          <w:p w14:paraId="7FE2DDDF"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sz w:val="24"/>
                <w:szCs w:val="24"/>
              </w:rPr>
              <w:t>课程目标</w:t>
            </w:r>
            <w:r w:rsidRPr="00D31397">
              <w:rPr>
                <w:rFonts w:ascii="Times New Roman" w:eastAsia="宋体" w:hAnsi="Times New Roman" w:cs="Times New Roman" w:hint="eastAsia"/>
                <w:sz w:val="24"/>
                <w:szCs w:val="24"/>
              </w:rPr>
              <w:t>1</w:t>
            </w:r>
            <w:r w:rsidRPr="00D31397">
              <w:rPr>
                <w:rFonts w:ascii="Times New Roman" w:eastAsia="宋体" w:hAnsi="Times New Roman" w:cs="Times New Roman" w:hint="eastAsia"/>
                <w:sz w:val="24"/>
                <w:szCs w:val="24"/>
              </w:rPr>
              <w:t>、</w:t>
            </w:r>
            <w:r w:rsidRPr="00D31397">
              <w:rPr>
                <w:rFonts w:ascii="Times New Roman" w:eastAsia="宋体" w:hAnsi="Times New Roman" w:cs="Times New Roman"/>
                <w:sz w:val="24"/>
                <w:szCs w:val="24"/>
              </w:rPr>
              <w:t>3</w:t>
            </w:r>
          </w:p>
        </w:tc>
        <w:tc>
          <w:tcPr>
            <w:tcW w:w="1276" w:type="dxa"/>
            <w:vAlign w:val="center"/>
          </w:tcPr>
          <w:p w14:paraId="3D66C021"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hint="eastAsia"/>
                <w:sz w:val="24"/>
                <w:szCs w:val="24"/>
              </w:rPr>
              <w:t>8</w:t>
            </w:r>
          </w:p>
        </w:tc>
      </w:tr>
      <w:tr w:rsidR="00D31397" w:rsidRPr="00D31397" w14:paraId="028DF4AE" w14:textId="77777777" w:rsidTr="00C96426">
        <w:trPr>
          <w:jc w:val="center"/>
        </w:trPr>
        <w:tc>
          <w:tcPr>
            <w:tcW w:w="8081" w:type="dxa"/>
            <w:gridSpan w:val="3"/>
            <w:vAlign w:val="center"/>
          </w:tcPr>
          <w:p w14:paraId="644F2B6A" w14:textId="77777777" w:rsidR="00D31397" w:rsidRPr="00D31397" w:rsidRDefault="00D31397" w:rsidP="00D31397">
            <w:pPr>
              <w:spacing w:line="440" w:lineRule="exact"/>
              <w:jc w:val="center"/>
              <w:rPr>
                <w:rFonts w:ascii="Times New Roman" w:eastAsia="宋体" w:hAnsi="Times New Roman" w:cs="Times New Roman"/>
                <w:b/>
                <w:sz w:val="24"/>
                <w:szCs w:val="24"/>
              </w:rPr>
            </w:pPr>
            <w:r w:rsidRPr="00D31397">
              <w:rPr>
                <w:rFonts w:ascii="Times New Roman" w:eastAsia="宋体" w:hAnsi="Times New Roman" w:cs="Times New Roman"/>
                <w:b/>
                <w:sz w:val="24"/>
                <w:szCs w:val="24"/>
              </w:rPr>
              <w:t>合计</w:t>
            </w:r>
          </w:p>
        </w:tc>
        <w:tc>
          <w:tcPr>
            <w:tcW w:w="1276" w:type="dxa"/>
            <w:vAlign w:val="center"/>
          </w:tcPr>
          <w:p w14:paraId="4C415CB2" w14:textId="77777777" w:rsidR="00D31397" w:rsidRPr="00D31397" w:rsidRDefault="00D31397" w:rsidP="00D31397">
            <w:pPr>
              <w:spacing w:line="440" w:lineRule="exact"/>
              <w:jc w:val="center"/>
              <w:rPr>
                <w:rFonts w:ascii="Times New Roman" w:eastAsia="宋体" w:hAnsi="Times New Roman" w:cs="Times New Roman"/>
                <w:sz w:val="24"/>
                <w:szCs w:val="24"/>
              </w:rPr>
            </w:pPr>
            <w:r w:rsidRPr="00D31397">
              <w:rPr>
                <w:rFonts w:ascii="Times New Roman" w:eastAsia="宋体" w:hAnsi="Times New Roman" w:cs="Times New Roman" w:hint="eastAsia"/>
                <w:sz w:val="24"/>
                <w:szCs w:val="24"/>
              </w:rPr>
              <w:t>32</w:t>
            </w:r>
          </w:p>
        </w:tc>
      </w:tr>
    </w:tbl>
    <w:p w14:paraId="1AF06CCA" w14:textId="77777777" w:rsidR="00D31397" w:rsidRPr="00D31397" w:rsidRDefault="00D31397" w:rsidP="00D31397">
      <w:pPr>
        <w:spacing w:beforeLines="50" w:before="156" w:afterLines="50" w:after="156" w:line="440" w:lineRule="exact"/>
        <w:ind w:firstLineChars="200" w:firstLine="560"/>
        <w:rPr>
          <w:rFonts w:ascii="宋体" w:eastAsia="宋体" w:hAnsi="宋体" w:cs="Times New Roman"/>
          <w:sz w:val="24"/>
          <w:szCs w:val="24"/>
        </w:rPr>
      </w:pPr>
      <w:r w:rsidRPr="00D31397">
        <w:rPr>
          <w:rFonts w:ascii="黑体" w:eastAsia="黑体" w:hAnsi="黑体" w:cs="Times New Roman" w:hint="eastAsia"/>
          <w:sz w:val="28"/>
          <w:szCs w:val="28"/>
        </w:rPr>
        <w:lastRenderedPageBreak/>
        <w:t>四、课程考核及与课程学习目标的对应关系</w:t>
      </w:r>
    </w:p>
    <w:p w14:paraId="148A2FFE" w14:textId="77777777" w:rsidR="00D31397" w:rsidRPr="00D31397" w:rsidRDefault="00D31397" w:rsidP="00D31397">
      <w:pPr>
        <w:spacing w:beforeLines="50" w:before="156" w:afterLines="50" w:after="156" w:line="440" w:lineRule="exact"/>
        <w:ind w:firstLineChars="200" w:firstLine="560"/>
        <w:rPr>
          <w:rFonts w:ascii="黑体" w:eastAsia="黑体" w:hAnsi="黑体" w:cs="Times New Roman"/>
          <w:sz w:val="28"/>
          <w:szCs w:val="28"/>
        </w:rPr>
      </w:pPr>
      <w:r w:rsidRPr="00D31397">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D31397" w:rsidRPr="00D31397" w14:paraId="7F90C326" w14:textId="77777777" w:rsidTr="00C96426">
        <w:trPr>
          <w:trHeight w:val="515"/>
          <w:jc w:val="center"/>
        </w:trPr>
        <w:tc>
          <w:tcPr>
            <w:tcW w:w="1422" w:type="dxa"/>
          </w:tcPr>
          <w:p w14:paraId="145FED02" w14:textId="77777777" w:rsidR="00D31397" w:rsidRPr="00D31397" w:rsidRDefault="00D31397" w:rsidP="00D31397">
            <w:pPr>
              <w:spacing w:line="440" w:lineRule="exact"/>
              <w:jc w:val="center"/>
              <w:rPr>
                <w:rFonts w:ascii="宋体" w:eastAsia="宋体" w:hAnsi="宋体" w:cs="Times New Roman"/>
                <w:b/>
                <w:sz w:val="24"/>
                <w:szCs w:val="24"/>
              </w:rPr>
            </w:pPr>
            <w:r w:rsidRPr="00D31397">
              <w:rPr>
                <w:rFonts w:ascii="宋体" w:eastAsia="宋体" w:hAnsi="宋体" w:cs="Times New Roman" w:hint="eastAsia"/>
                <w:b/>
                <w:sz w:val="24"/>
                <w:szCs w:val="24"/>
              </w:rPr>
              <w:t>课程目标</w:t>
            </w:r>
          </w:p>
        </w:tc>
        <w:tc>
          <w:tcPr>
            <w:tcW w:w="7918" w:type="dxa"/>
            <w:vAlign w:val="center"/>
          </w:tcPr>
          <w:p w14:paraId="3F140F03" w14:textId="77777777" w:rsidR="00D31397" w:rsidRPr="00D31397" w:rsidRDefault="00D31397" w:rsidP="00D31397">
            <w:pPr>
              <w:spacing w:line="440" w:lineRule="exact"/>
              <w:jc w:val="center"/>
              <w:rPr>
                <w:rFonts w:ascii="宋体" w:eastAsia="宋体" w:hAnsi="宋体" w:cs="Times New Roman"/>
                <w:b/>
                <w:sz w:val="24"/>
                <w:szCs w:val="24"/>
              </w:rPr>
            </w:pPr>
            <w:r w:rsidRPr="00D31397">
              <w:rPr>
                <w:rFonts w:ascii="宋体" w:eastAsia="宋体" w:hAnsi="宋体" w:cs="Times New Roman" w:hint="eastAsia"/>
                <w:b/>
                <w:sz w:val="24"/>
                <w:szCs w:val="24"/>
              </w:rPr>
              <w:t>考核内容</w:t>
            </w:r>
          </w:p>
        </w:tc>
      </w:tr>
      <w:tr w:rsidR="00D31397" w:rsidRPr="00D31397" w14:paraId="560A8416" w14:textId="77777777" w:rsidTr="00C96426">
        <w:trPr>
          <w:jc w:val="center"/>
        </w:trPr>
        <w:tc>
          <w:tcPr>
            <w:tcW w:w="1422" w:type="dxa"/>
            <w:vAlign w:val="center"/>
          </w:tcPr>
          <w:p w14:paraId="6F9B7992"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课程目标1</w:t>
            </w:r>
          </w:p>
        </w:tc>
        <w:tc>
          <w:tcPr>
            <w:tcW w:w="7918" w:type="dxa"/>
            <w:vAlign w:val="center"/>
          </w:tcPr>
          <w:p w14:paraId="3A93BE1D" w14:textId="77777777" w:rsidR="00D31397" w:rsidRPr="00D31397" w:rsidRDefault="00D31397" w:rsidP="00D31397">
            <w:pPr>
              <w:spacing w:line="440" w:lineRule="exact"/>
              <w:rPr>
                <w:rFonts w:ascii="宋体" w:eastAsia="宋体" w:hAnsi="宋体" w:cs="Times New Roman"/>
                <w:bCs/>
                <w:sz w:val="24"/>
                <w:szCs w:val="24"/>
              </w:rPr>
            </w:pPr>
            <w:r w:rsidRPr="00D31397">
              <w:rPr>
                <w:rFonts w:ascii="宋体" w:eastAsia="宋体" w:hAnsi="宋体" w:cs="Times New Roman" w:hint="eastAsia"/>
                <w:bCs/>
                <w:sz w:val="24"/>
                <w:szCs w:val="24"/>
              </w:rPr>
              <w:t xml:space="preserve">1.1 </w:t>
            </w:r>
            <w:r w:rsidRPr="00D31397">
              <w:rPr>
                <w:rFonts w:ascii="宋体" w:eastAsia="宋体" w:hAnsi="宋体" w:cs="Times New Roman" w:hint="eastAsia"/>
                <w:sz w:val="24"/>
                <w:szCs w:val="24"/>
              </w:rPr>
              <w:t>体内药物分析的特点与要求</w:t>
            </w:r>
          </w:p>
          <w:p w14:paraId="50F143EA" w14:textId="77777777" w:rsidR="00D31397" w:rsidRPr="00D31397" w:rsidRDefault="00D31397" w:rsidP="00D31397">
            <w:pPr>
              <w:spacing w:line="440" w:lineRule="exact"/>
              <w:rPr>
                <w:rFonts w:ascii="宋体" w:eastAsia="宋体" w:hAnsi="宋体" w:cs="Times New Roman"/>
                <w:sz w:val="24"/>
                <w:szCs w:val="24"/>
              </w:rPr>
            </w:pPr>
            <w:r w:rsidRPr="00D31397">
              <w:rPr>
                <w:rFonts w:ascii="宋体" w:eastAsia="宋体" w:hAnsi="宋体" w:cs="Times New Roman" w:hint="eastAsia"/>
                <w:bCs/>
                <w:sz w:val="24"/>
                <w:szCs w:val="24"/>
              </w:rPr>
              <w:t xml:space="preserve">1.2 </w:t>
            </w:r>
            <w:r w:rsidRPr="00D31397">
              <w:rPr>
                <w:rFonts w:ascii="宋体" w:eastAsia="宋体" w:hAnsi="宋体" w:cs="Times New Roman" w:hint="eastAsia"/>
                <w:sz w:val="24"/>
                <w:szCs w:val="24"/>
              </w:rPr>
              <w:t>药物的吸收、分布、代谢、排泄</w:t>
            </w:r>
          </w:p>
          <w:p w14:paraId="52C738A1" w14:textId="77777777" w:rsidR="00D31397" w:rsidRPr="00D31397" w:rsidRDefault="00D31397" w:rsidP="00D31397">
            <w:pPr>
              <w:spacing w:line="440" w:lineRule="exact"/>
              <w:rPr>
                <w:rFonts w:ascii="宋体" w:eastAsia="宋体" w:hAnsi="宋体" w:cs="Times New Roman"/>
                <w:sz w:val="24"/>
                <w:szCs w:val="24"/>
              </w:rPr>
            </w:pPr>
            <w:r w:rsidRPr="00D31397">
              <w:rPr>
                <w:rFonts w:ascii="宋体" w:eastAsia="宋体" w:hAnsi="宋体" w:cs="Times New Roman" w:hint="eastAsia"/>
                <w:sz w:val="24"/>
                <w:szCs w:val="24"/>
              </w:rPr>
              <w:t>1.3 药物的血浆蛋白结合率</w:t>
            </w:r>
          </w:p>
          <w:p w14:paraId="3FD46369" w14:textId="77777777" w:rsidR="00D31397" w:rsidRPr="00D31397" w:rsidRDefault="00D31397" w:rsidP="00D31397">
            <w:pPr>
              <w:spacing w:line="440" w:lineRule="exact"/>
              <w:rPr>
                <w:rFonts w:ascii="宋体" w:eastAsia="宋体" w:hAnsi="宋体" w:cs="Times New Roman"/>
                <w:sz w:val="24"/>
                <w:szCs w:val="24"/>
              </w:rPr>
            </w:pPr>
            <w:r w:rsidRPr="00D31397">
              <w:rPr>
                <w:rFonts w:ascii="宋体" w:eastAsia="宋体" w:hAnsi="宋体" w:cs="Times New Roman" w:hint="eastAsia"/>
                <w:sz w:val="24"/>
                <w:szCs w:val="24"/>
              </w:rPr>
              <w:t xml:space="preserve">1.4 </w:t>
            </w:r>
            <w:r w:rsidRPr="00D31397">
              <w:rPr>
                <w:rFonts w:ascii="宋体" w:eastAsia="宋体" w:hAnsi="宋体" w:cs="Times New Roman"/>
                <w:sz w:val="24"/>
                <w:szCs w:val="24"/>
              </w:rPr>
              <w:t>体内药物分析相关的分析方法</w:t>
            </w:r>
            <w:r w:rsidRPr="00D31397">
              <w:rPr>
                <w:rFonts w:ascii="宋体" w:eastAsia="宋体" w:hAnsi="宋体" w:cs="Times New Roman" w:hint="eastAsia"/>
                <w:sz w:val="24"/>
                <w:szCs w:val="24"/>
              </w:rPr>
              <w:t>的基本原理</w:t>
            </w:r>
          </w:p>
          <w:p w14:paraId="51F694B3" w14:textId="77777777" w:rsidR="00D31397" w:rsidRPr="00D31397" w:rsidRDefault="00D31397" w:rsidP="00D31397">
            <w:pPr>
              <w:spacing w:line="440" w:lineRule="exact"/>
              <w:rPr>
                <w:rFonts w:ascii="宋体" w:eastAsia="宋体" w:hAnsi="宋体" w:cs="Times New Roman"/>
                <w:sz w:val="24"/>
                <w:szCs w:val="24"/>
              </w:rPr>
            </w:pPr>
            <w:r w:rsidRPr="00D31397">
              <w:rPr>
                <w:rFonts w:ascii="宋体" w:eastAsia="宋体" w:hAnsi="宋体" w:cs="Times New Roman" w:hint="eastAsia"/>
                <w:sz w:val="24"/>
                <w:szCs w:val="24"/>
              </w:rPr>
              <w:t xml:space="preserve">1.5 </w:t>
            </w:r>
            <w:r w:rsidRPr="00D31397">
              <w:rPr>
                <w:rFonts w:ascii="宋体" w:eastAsia="宋体" w:hAnsi="宋体" w:cs="Times New Roman"/>
                <w:sz w:val="24"/>
                <w:szCs w:val="24"/>
              </w:rPr>
              <w:t>生物基质与生物样品</w:t>
            </w:r>
          </w:p>
          <w:p w14:paraId="7BB383E5" w14:textId="77777777" w:rsidR="00D31397" w:rsidRPr="00D31397" w:rsidRDefault="00D31397" w:rsidP="00D31397">
            <w:pPr>
              <w:spacing w:line="440" w:lineRule="exact"/>
              <w:rPr>
                <w:rFonts w:ascii="宋体" w:eastAsia="宋体" w:hAnsi="宋体" w:cs="Times New Roman"/>
                <w:sz w:val="24"/>
                <w:szCs w:val="24"/>
              </w:rPr>
            </w:pPr>
            <w:r w:rsidRPr="00D31397">
              <w:rPr>
                <w:rFonts w:ascii="宋体" w:eastAsia="宋体" w:hAnsi="宋体" w:cs="Times New Roman" w:hint="eastAsia"/>
                <w:sz w:val="24"/>
                <w:szCs w:val="24"/>
              </w:rPr>
              <w:t xml:space="preserve">1.6 </w:t>
            </w:r>
            <w:r w:rsidRPr="00D31397">
              <w:rPr>
                <w:rFonts w:ascii="宋体" w:eastAsia="宋体" w:hAnsi="宋体" w:cs="Times New Roman"/>
                <w:sz w:val="24"/>
                <w:szCs w:val="24"/>
              </w:rPr>
              <w:t>生物样品的制备与贮存</w:t>
            </w:r>
          </w:p>
          <w:p w14:paraId="30D7E579" w14:textId="77777777" w:rsidR="00D31397" w:rsidRPr="00D31397" w:rsidRDefault="00D31397" w:rsidP="00D31397">
            <w:pPr>
              <w:spacing w:line="440" w:lineRule="exact"/>
              <w:rPr>
                <w:rFonts w:ascii="宋体" w:eastAsia="宋体" w:hAnsi="宋体" w:cs="Times New Roman"/>
                <w:sz w:val="24"/>
                <w:szCs w:val="24"/>
              </w:rPr>
            </w:pPr>
            <w:r w:rsidRPr="00D31397">
              <w:rPr>
                <w:rFonts w:ascii="宋体" w:eastAsia="宋体" w:hAnsi="宋体" w:cs="Times New Roman" w:hint="eastAsia"/>
                <w:sz w:val="24"/>
                <w:szCs w:val="24"/>
              </w:rPr>
              <w:t>1.7 生物样品分析方法验证与样品分析</w:t>
            </w:r>
          </w:p>
          <w:p w14:paraId="658B2168" w14:textId="77777777" w:rsidR="00D31397" w:rsidRPr="00D31397" w:rsidRDefault="00D31397" w:rsidP="00D31397">
            <w:pPr>
              <w:spacing w:line="440" w:lineRule="exact"/>
              <w:rPr>
                <w:rFonts w:ascii="宋体" w:eastAsia="宋体" w:hAnsi="宋体" w:cs="Times New Roman"/>
                <w:sz w:val="24"/>
                <w:szCs w:val="24"/>
              </w:rPr>
            </w:pPr>
            <w:r w:rsidRPr="00D31397">
              <w:rPr>
                <w:rFonts w:ascii="宋体" w:eastAsia="宋体" w:hAnsi="宋体" w:cs="Times New Roman" w:hint="eastAsia"/>
                <w:sz w:val="24"/>
                <w:szCs w:val="24"/>
              </w:rPr>
              <w:t>1.8 临床前药代动力学研究</w:t>
            </w:r>
          </w:p>
          <w:p w14:paraId="258D7371" w14:textId="77777777" w:rsidR="00D31397" w:rsidRPr="00D31397" w:rsidRDefault="00D31397" w:rsidP="00D31397">
            <w:pPr>
              <w:spacing w:line="440" w:lineRule="exact"/>
              <w:rPr>
                <w:rFonts w:ascii="宋体" w:eastAsia="宋体" w:hAnsi="宋体" w:cs="Times New Roman"/>
                <w:sz w:val="24"/>
                <w:szCs w:val="24"/>
              </w:rPr>
            </w:pPr>
            <w:r w:rsidRPr="00D31397">
              <w:rPr>
                <w:rFonts w:ascii="宋体" w:eastAsia="宋体" w:hAnsi="宋体" w:cs="Times New Roman" w:hint="eastAsia"/>
                <w:sz w:val="24"/>
                <w:szCs w:val="24"/>
              </w:rPr>
              <w:t>1.9 生物利用度与生物等效性评价</w:t>
            </w:r>
          </w:p>
          <w:p w14:paraId="3E9275AA" w14:textId="77777777" w:rsidR="00D31397" w:rsidRPr="00D31397" w:rsidRDefault="00D31397" w:rsidP="00D31397">
            <w:pPr>
              <w:spacing w:line="440" w:lineRule="exact"/>
              <w:rPr>
                <w:rFonts w:ascii="宋体" w:eastAsia="宋体" w:hAnsi="宋体" w:cs="Times New Roman"/>
                <w:sz w:val="24"/>
                <w:szCs w:val="24"/>
              </w:rPr>
            </w:pPr>
            <w:r w:rsidRPr="00D31397">
              <w:rPr>
                <w:rFonts w:ascii="宋体" w:eastAsia="宋体" w:hAnsi="宋体" w:cs="Times New Roman" w:hint="eastAsia"/>
                <w:sz w:val="24"/>
                <w:szCs w:val="24"/>
              </w:rPr>
              <w:t>1.10 临床治疗药物监测</w:t>
            </w:r>
          </w:p>
          <w:p w14:paraId="13B8DCC4" w14:textId="77777777" w:rsidR="00D31397" w:rsidRPr="00D31397" w:rsidRDefault="00D31397" w:rsidP="00D31397">
            <w:pPr>
              <w:spacing w:line="440" w:lineRule="exact"/>
              <w:rPr>
                <w:rFonts w:ascii="宋体" w:eastAsia="宋体" w:hAnsi="宋体" w:cs="Times New Roman"/>
                <w:sz w:val="24"/>
                <w:szCs w:val="24"/>
              </w:rPr>
            </w:pPr>
            <w:r w:rsidRPr="00D31397">
              <w:rPr>
                <w:rFonts w:ascii="宋体" w:eastAsia="宋体" w:hAnsi="宋体" w:cs="Times New Roman" w:hint="eastAsia"/>
                <w:sz w:val="24"/>
                <w:szCs w:val="24"/>
              </w:rPr>
              <w:t>1.11 滥用药物与毒物分析</w:t>
            </w:r>
          </w:p>
          <w:p w14:paraId="35FA1529" w14:textId="77777777" w:rsidR="00D31397" w:rsidRPr="00D31397" w:rsidRDefault="00D31397" w:rsidP="00D31397">
            <w:pPr>
              <w:spacing w:line="440" w:lineRule="exact"/>
              <w:rPr>
                <w:rFonts w:ascii="宋体" w:eastAsia="宋体" w:hAnsi="宋体" w:cs="Times New Roman"/>
                <w:sz w:val="24"/>
                <w:szCs w:val="24"/>
              </w:rPr>
            </w:pPr>
            <w:r w:rsidRPr="00D31397">
              <w:rPr>
                <w:rFonts w:ascii="宋体" w:eastAsia="宋体" w:hAnsi="宋体" w:cs="Times New Roman" w:hint="eastAsia"/>
                <w:sz w:val="24"/>
                <w:szCs w:val="24"/>
              </w:rPr>
              <w:t>1.12 药物</w:t>
            </w:r>
            <w:proofErr w:type="gramStart"/>
            <w:r w:rsidRPr="00D31397">
              <w:rPr>
                <w:rFonts w:ascii="宋体" w:eastAsia="宋体" w:hAnsi="宋体" w:cs="Times New Roman" w:hint="eastAsia"/>
                <w:sz w:val="24"/>
                <w:szCs w:val="24"/>
              </w:rPr>
              <w:t>代谢组</w:t>
            </w:r>
            <w:proofErr w:type="gramEnd"/>
            <w:r w:rsidRPr="00D31397">
              <w:rPr>
                <w:rFonts w:ascii="宋体" w:eastAsia="宋体" w:hAnsi="宋体" w:cs="Times New Roman" w:hint="eastAsia"/>
                <w:sz w:val="24"/>
                <w:szCs w:val="24"/>
              </w:rPr>
              <w:t>学分析</w:t>
            </w:r>
          </w:p>
        </w:tc>
      </w:tr>
      <w:tr w:rsidR="00D31397" w:rsidRPr="00D31397" w14:paraId="1868689D" w14:textId="77777777" w:rsidTr="00C96426">
        <w:trPr>
          <w:jc w:val="center"/>
        </w:trPr>
        <w:tc>
          <w:tcPr>
            <w:tcW w:w="1422" w:type="dxa"/>
            <w:vAlign w:val="center"/>
          </w:tcPr>
          <w:p w14:paraId="6C7A10B0"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课程目标2</w:t>
            </w:r>
          </w:p>
        </w:tc>
        <w:tc>
          <w:tcPr>
            <w:tcW w:w="7918" w:type="dxa"/>
            <w:vAlign w:val="center"/>
          </w:tcPr>
          <w:p w14:paraId="21DF21D5" w14:textId="77777777" w:rsidR="00D31397" w:rsidRPr="00D31397" w:rsidRDefault="00D31397" w:rsidP="00D31397">
            <w:pPr>
              <w:spacing w:line="440" w:lineRule="exact"/>
              <w:rPr>
                <w:rFonts w:ascii="宋体" w:eastAsia="宋体" w:hAnsi="宋体" w:cs="Times New Roman"/>
                <w:bCs/>
                <w:sz w:val="24"/>
                <w:szCs w:val="24"/>
              </w:rPr>
            </w:pPr>
            <w:r w:rsidRPr="00D31397">
              <w:rPr>
                <w:rFonts w:ascii="宋体" w:eastAsia="宋体" w:hAnsi="宋体" w:cs="Times New Roman" w:hint="eastAsia"/>
                <w:bCs/>
                <w:sz w:val="24"/>
                <w:szCs w:val="24"/>
              </w:rPr>
              <w:t xml:space="preserve">2.1 </w:t>
            </w:r>
            <w:r w:rsidRPr="00D31397">
              <w:rPr>
                <w:rFonts w:ascii="宋体" w:eastAsia="宋体" w:hAnsi="宋体" w:cs="Times New Roman"/>
                <w:sz w:val="24"/>
                <w:szCs w:val="24"/>
              </w:rPr>
              <w:t>体内药物分析相关的分析方法</w:t>
            </w:r>
            <w:r w:rsidRPr="00D31397">
              <w:rPr>
                <w:rFonts w:ascii="宋体" w:eastAsia="宋体" w:hAnsi="宋体" w:cs="Times New Roman" w:hint="eastAsia"/>
                <w:sz w:val="24"/>
                <w:szCs w:val="24"/>
              </w:rPr>
              <w:t>的特点</w:t>
            </w:r>
          </w:p>
          <w:p w14:paraId="08219F74" w14:textId="77777777" w:rsidR="00D31397" w:rsidRPr="00D31397" w:rsidRDefault="00D31397" w:rsidP="00D31397">
            <w:pPr>
              <w:spacing w:line="440" w:lineRule="exact"/>
              <w:rPr>
                <w:rFonts w:ascii="宋体" w:eastAsia="宋体" w:hAnsi="宋体" w:cs="Times New Roman"/>
                <w:sz w:val="24"/>
                <w:szCs w:val="24"/>
              </w:rPr>
            </w:pPr>
            <w:r w:rsidRPr="00D31397">
              <w:rPr>
                <w:rFonts w:ascii="宋体" w:eastAsia="宋体" w:hAnsi="宋体" w:cs="Times New Roman" w:hint="eastAsia"/>
                <w:bCs/>
                <w:sz w:val="24"/>
                <w:szCs w:val="24"/>
              </w:rPr>
              <w:t xml:space="preserve">2.2 </w:t>
            </w:r>
            <w:r w:rsidRPr="00D31397">
              <w:rPr>
                <w:rFonts w:ascii="宋体" w:eastAsia="宋体" w:hAnsi="宋体" w:cs="Times New Roman"/>
                <w:sz w:val="24"/>
                <w:szCs w:val="24"/>
              </w:rPr>
              <w:t>生物样品与分析样品的制备</w:t>
            </w:r>
            <w:r w:rsidRPr="00D31397">
              <w:rPr>
                <w:rFonts w:ascii="宋体" w:eastAsia="宋体" w:hAnsi="宋体" w:cs="Times New Roman" w:hint="eastAsia"/>
                <w:sz w:val="24"/>
                <w:szCs w:val="24"/>
              </w:rPr>
              <w:t>方法</w:t>
            </w:r>
          </w:p>
          <w:p w14:paraId="0CEEEC07" w14:textId="77777777" w:rsidR="00D31397" w:rsidRPr="00D31397" w:rsidRDefault="00D31397" w:rsidP="00D31397">
            <w:pPr>
              <w:spacing w:line="440" w:lineRule="exact"/>
              <w:rPr>
                <w:rFonts w:ascii="宋体" w:eastAsia="宋体" w:hAnsi="宋体" w:cs="Times New Roman"/>
                <w:sz w:val="24"/>
                <w:szCs w:val="24"/>
              </w:rPr>
            </w:pPr>
            <w:r w:rsidRPr="00D31397">
              <w:rPr>
                <w:rFonts w:ascii="宋体" w:eastAsia="宋体" w:hAnsi="宋体" w:cs="Times New Roman" w:hint="eastAsia"/>
                <w:sz w:val="24"/>
                <w:szCs w:val="24"/>
              </w:rPr>
              <w:t>2.3 生物样品分析方法的建立</w:t>
            </w:r>
          </w:p>
          <w:p w14:paraId="44E17593" w14:textId="77777777" w:rsidR="00D31397" w:rsidRPr="00D31397" w:rsidRDefault="00D31397" w:rsidP="00D31397">
            <w:pPr>
              <w:spacing w:line="440" w:lineRule="exact"/>
              <w:rPr>
                <w:rFonts w:ascii="宋体" w:eastAsia="宋体" w:hAnsi="宋体" w:cs="Times New Roman"/>
                <w:sz w:val="24"/>
                <w:szCs w:val="24"/>
              </w:rPr>
            </w:pPr>
            <w:r w:rsidRPr="00D31397">
              <w:rPr>
                <w:rFonts w:ascii="宋体" w:eastAsia="宋体" w:hAnsi="宋体" w:cs="Times New Roman" w:hint="eastAsia"/>
                <w:sz w:val="24"/>
                <w:szCs w:val="24"/>
              </w:rPr>
              <w:t>2.4 生物样品分析方法的验证</w:t>
            </w:r>
          </w:p>
        </w:tc>
      </w:tr>
      <w:tr w:rsidR="00D31397" w:rsidRPr="00D31397" w14:paraId="7740B76B" w14:textId="77777777" w:rsidTr="00C96426">
        <w:trPr>
          <w:jc w:val="center"/>
        </w:trPr>
        <w:tc>
          <w:tcPr>
            <w:tcW w:w="1422" w:type="dxa"/>
            <w:vAlign w:val="center"/>
          </w:tcPr>
          <w:p w14:paraId="78820B33"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课程目标3</w:t>
            </w:r>
          </w:p>
        </w:tc>
        <w:tc>
          <w:tcPr>
            <w:tcW w:w="7918" w:type="dxa"/>
            <w:vAlign w:val="center"/>
          </w:tcPr>
          <w:p w14:paraId="2FF49E43" w14:textId="77777777" w:rsidR="00D31397" w:rsidRPr="00D31397" w:rsidRDefault="00D31397" w:rsidP="00D31397">
            <w:pPr>
              <w:spacing w:line="440" w:lineRule="exact"/>
              <w:rPr>
                <w:rFonts w:ascii="宋体" w:eastAsia="宋体" w:hAnsi="宋体" w:cs="Times New Roman"/>
                <w:bCs/>
                <w:sz w:val="24"/>
                <w:szCs w:val="24"/>
              </w:rPr>
            </w:pPr>
            <w:r w:rsidRPr="00D31397">
              <w:rPr>
                <w:rFonts w:ascii="宋体" w:eastAsia="宋体" w:hAnsi="宋体" w:cs="Times New Roman" w:hint="eastAsia"/>
                <w:bCs/>
                <w:sz w:val="24"/>
                <w:szCs w:val="24"/>
              </w:rPr>
              <w:t xml:space="preserve">3.1 </w:t>
            </w:r>
            <w:r w:rsidRPr="00D31397">
              <w:rPr>
                <w:rFonts w:ascii="宋体" w:eastAsia="宋体" w:hAnsi="宋体" w:cs="Times New Roman" w:hint="eastAsia"/>
                <w:sz w:val="24"/>
                <w:szCs w:val="24"/>
              </w:rPr>
              <w:t>体内药物分析的对象与工作内容</w:t>
            </w:r>
          </w:p>
          <w:p w14:paraId="56683832" w14:textId="77777777" w:rsidR="00D31397" w:rsidRPr="00D31397" w:rsidRDefault="00D31397" w:rsidP="00D31397">
            <w:pPr>
              <w:spacing w:line="440" w:lineRule="exact"/>
              <w:rPr>
                <w:rFonts w:ascii="宋体" w:eastAsia="宋体" w:hAnsi="宋体" w:cs="Times New Roman"/>
                <w:bCs/>
                <w:sz w:val="24"/>
                <w:szCs w:val="24"/>
              </w:rPr>
            </w:pPr>
            <w:r w:rsidRPr="00D31397">
              <w:rPr>
                <w:rFonts w:ascii="宋体" w:eastAsia="宋体" w:hAnsi="宋体" w:cs="Times New Roman" w:hint="eastAsia"/>
                <w:bCs/>
                <w:sz w:val="24"/>
                <w:szCs w:val="24"/>
              </w:rPr>
              <w:t xml:space="preserve">3.2 </w:t>
            </w:r>
            <w:r w:rsidRPr="00D31397">
              <w:rPr>
                <w:rFonts w:ascii="宋体" w:eastAsia="宋体" w:hAnsi="宋体" w:cs="Times New Roman" w:hint="eastAsia"/>
                <w:sz w:val="24"/>
                <w:szCs w:val="24"/>
              </w:rPr>
              <w:t>生物样品分析方法验证的国际规范</w:t>
            </w:r>
          </w:p>
        </w:tc>
      </w:tr>
    </w:tbl>
    <w:p w14:paraId="08C97B3C" w14:textId="77777777" w:rsidR="00D31397" w:rsidRPr="00D31397" w:rsidRDefault="00D31397" w:rsidP="00D31397">
      <w:pPr>
        <w:spacing w:beforeLines="50" w:before="156" w:afterLines="50" w:after="156" w:line="440" w:lineRule="exact"/>
        <w:ind w:firstLineChars="200" w:firstLine="560"/>
        <w:rPr>
          <w:rFonts w:ascii="黑体" w:eastAsia="黑体" w:hAnsi="黑体" w:cs="Times New Roman"/>
          <w:sz w:val="28"/>
          <w:szCs w:val="28"/>
        </w:rPr>
      </w:pPr>
      <w:r w:rsidRPr="00D31397">
        <w:rPr>
          <w:rFonts w:ascii="黑体" w:eastAsia="黑体" w:hAnsi="黑体" w:cs="Times New Roman" w:hint="eastAsia"/>
          <w:sz w:val="28"/>
          <w:szCs w:val="28"/>
        </w:rPr>
        <w:t>（二）课程考核方式</w:t>
      </w:r>
    </w:p>
    <w:p w14:paraId="34896DE9"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课程考核方式分为平时考核和期末考核。平时考核方式包括课堂表现、阶段测试、平时作业；期末考核采用闭卷考试。</w:t>
      </w:r>
    </w:p>
    <w:p w14:paraId="174A5791" w14:textId="77777777" w:rsidR="00D31397" w:rsidRPr="00D31397" w:rsidRDefault="00D31397" w:rsidP="00D31397">
      <w:pPr>
        <w:spacing w:beforeLines="50" w:before="156" w:afterLines="50" w:after="156" w:line="440" w:lineRule="exact"/>
        <w:ind w:firstLineChars="200" w:firstLine="560"/>
        <w:rPr>
          <w:rFonts w:ascii="黑体" w:eastAsia="黑体" w:hAnsi="黑体" w:cs="Times New Roman"/>
          <w:sz w:val="28"/>
          <w:szCs w:val="28"/>
        </w:rPr>
      </w:pPr>
      <w:r w:rsidRPr="00D31397">
        <w:rPr>
          <w:rFonts w:ascii="黑体" w:eastAsia="黑体" w:hAnsi="黑体" w:cs="Times New Roman" w:hint="eastAsia"/>
          <w:sz w:val="28"/>
          <w:szCs w:val="28"/>
        </w:rPr>
        <w:t>（三）课程目标达成评价方式及考核比例</w:t>
      </w:r>
    </w:p>
    <w:p w14:paraId="1A0E19F0"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本课程考核方式及成绩比例为：课堂表现2</w:t>
      </w:r>
      <w:r w:rsidRPr="00D31397">
        <w:rPr>
          <w:rFonts w:ascii="宋体" w:eastAsia="宋体" w:hAnsi="宋体" w:cs="Times New Roman"/>
          <w:sz w:val="24"/>
          <w:szCs w:val="24"/>
        </w:rPr>
        <w:t>0</w:t>
      </w:r>
      <w:r w:rsidRPr="00D31397">
        <w:rPr>
          <w:rFonts w:ascii="宋体" w:eastAsia="宋体" w:hAnsi="宋体" w:cs="Times New Roman" w:hint="eastAsia"/>
          <w:sz w:val="24"/>
          <w:szCs w:val="24"/>
        </w:rPr>
        <w:t>%</w:t>
      </w:r>
      <w:r w:rsidRPr="00D31397">
        <w:rPr>
          <w:rFonts w:ascii="宋体" w:eastAsia="宋体" w:hAnsi="宋体" w:cs="Times New Roman"/>
          <w:sz w:val="24"/>
          <w:szCs w:val="24"/>
        </w:rPr>
        <w:t>+</w:t>
      </w:r>
      <w:r w:rsidRPr="00D31397">
        <w:rPr>
          <w:rFonts w:ascii="宋体" w:eastAsia="宋体" w:hAnsi="宋体" w:cs="Times New Roman" w:hint="eastAsia"/>
          <w:sz w:val="24"/>
          <w:szCs w:val="24"/>
        </w:rPr>
        <w:t>阶段测试15%</w:t>
      </w:r>
      <w:r w:rsidRPr="00D31397">
        <w:rPr>
          <w:rFonts w:ascii="宋体" w:eastAsia="宋体" w:hAnsi="宋体" w:cs="Times New Roman"/>
          <w:sz w:val="24"/>
          <w:szCs w:val="24"/>
        </w:rPr>
        <w:t>+</w:t>
      </w:r>
      <w:r w:rsidRPr="00D31397">
        <w:rPr>
          <w:rFonts w:ascii="宋体" w:eastAsia="宋体" w:hAnsi="宋体" w:cs="Times New Roman" w:hint="eastAsia"/>
          <w:sz w:val="24"/>
          <w:szCs w:val="24"/>
        </w:rPr>
        <w:t>平时作业15%</w:t>
      </w:r>
      <w:r w:rsidRPr="00D31397">
        <w:rPr>
          <w:rFonts w:ascii="宋体" w:eastAsia="宋体" w:hAnsi="宋体" w:cs="Times New Roman"/>
          <w:sz w:val="24"/>
          <w:szCs w:val="24"/>
        </w:rPr>
        <w:t>+</w:t>
      </w:r>
      <w:r w:rsidRPr="00D31397">
        <w:rPr>
          <w:rFonts w:ascii="宋体" w:eastAsia="宋体" w:hAnsi="宋体" w:cs="Times New Roman" w:hint="eastAsia"/>
          <w:sz w:val="24"/>
          <w:szCs w:val="24"/>
        </w:rPr>
        <w:t>期末考试5</w:t>
      </w:r>
      <w:r w:rsidRPr="00D31397">
        <w:rPr>
          <w:rFonts w:ascii="宋体" w:eastAsia="宋体" w:hAnsi="宋体" w:cs="Times New Roman"/>
          <w:sz w:val="24"/>
          <w:szCs w:val="24"/>
        </w:rPr>
        <w:t>0</w:t>
      </w:r>
      <w:r w:rsidRPr="00D31397">
        <w:rPr>
          <w:rFonts w:ascii="宋体" w:eastAsia="宋体" w:hAnsi="宋体" w:cs="Times New Roman" w:hint="eastAsia"/>
          <w:sz w:val="24"/>
          <w:szCs w:val="24"/>
        </w:rPr>
        <w:t>%；本课程共有三个课程目标，考核方式及成绩比例分别为：</w:t>
      </w:r>
    </w:p>
    <w:p w14:paraId="2A05D1DF"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课程目标1：课堂表现10%</w:t>
      </w:r>
      <w:r w:rsidRPr="00D31397">
        <w:rPr>
          <w:rFonts w:ascii="宋体" w:eastAsia="宋体" w:hAnsi="宋体" w:cs="Times New Roman"/>
          <w:sz w:val="24"/>
          <w:szCs w:val="24"/>
        </w:rPr>
        <w:t>+</w:t>
      </w:r>
      <w:r w:rsidRPr="00D31397">
        <w:rPr>
          <w:rFonts w:ascii="宋体" w:eastAsia="宋体" w:hAnsi="宋体" w:cs="Times New Roman" w:hint="eastAsia"/>
          <w:sz w:val="24"/>
          <w:szCs w:val="24"/>
        </w:rPr>
        <w:t>阶段测试15%</w:t>
      </w:r>
      <w:r w:rsidRPr="00D31397">
        <w:rPr>
          <w:rFonts w:ascii="宋体" w:eastAsia="宋体" w:hAnsi="宋体" w:cs="Times New Roman"/>
          <w:sz w:val="24"/>
          <w:szCs w:val="24"/>
        </w:rPr>
        <w:t>+</w:t>
      </w:r>
      <w:r w:rsidRPr="00D31397">
        <w:rPr>
          <w:rFonts w:ascii="宋体" w:eastAsia="宋体" w:hAnsi="宋体" w:cs="Times New Roman" w:hint="eastAsia"/>
          <w:sz w:val="24"/>
          <w:szCs w:val="24"/>
        </w:rPr>
        <w:t>平时作业5%</w:t>
      </w:r>
      <w:r w:rsidRPr="00D31397">
        <w:rPr>
          <w:rFonts w:ascii="宋体" w:eastAsia="宋体" w:hAnsi="宋体" w:cs="Times New Roman"/>
          <w:sz w:val="24"/>
          <w:szCs w:val="24"/>
        </w:rPr>
        <w:t>+</w:t>
      </w:r>
      <w:r w:rsidRPr="00D31397">
        <w:rPr>
          <w:rFonts w:ascii="宋体" w:eastAsia="宋体" w:hAnsi="宋体" w:cs="Times New Roman" w:hint="eastAsia"/>
          <w:sz w:val="24"/>
          <w:szCs w:val="24"/>
        </w:rPr>
        <w:t>期末考试30%</w:t>
      </w:r>
    </w:p>
    <w:p w14:paraId="3C512F01"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课程目标2：课堂表现5%</w:t>
      </w:r>
      <w:r w:rsidRPr="00D31397">
        <w:rPr>
          <w:rFonts w:ascii="宋体" w:eastAsia="宋体" w:hAnsi="宋体" w:cs="Times New Roman"/>
          <w:sz w:val="24"/>
          <w:szCs w:val="24"/>
        </w:rPr>
        <w:t>+</w:t>
      </w:r>
      <w:r w:rsidRPr="00D31397">
        <w:rPr>
          <w:rFonts w:ascii="宋体" w:eastAsia="宋体" w:hAnsi="宋体" w:cs="Times New Roman" w:hint="eastAsia"/>
          <w:sz w:val="24"/>
          <w:szCs w:val="24"/>
        </w:rPr>
        <w:t>平时作业1</w:t>
      </w:r>
      <w:r w:rsidRPr="00D31397">
        <w:rPr>
          <w:rFonts w:ascii="宋体" w:eastAsia="宋体" w:hAnsi="宋体" w:cs="Times New Roman"/>
          <w:sz w:val="24"/>
          <w:szCs w:val="24"/>
        </w:rPr>
        <w:t>0</w:t>
      </w:r>
      <w:r w:rsidRPr="00D31397">
        <w:rPr>
          <w:rFonts w:ascii="宋体" w:eastAsia="宋体" w:hAnsi="宋体" w:cs="Times New Roman" w:hint="eastAsia"/>
          <w:sz w:val="24"/>
          <w:szCs w:val="24"/>
        </w:rPr>
        <w:t>%</w:t>
      </w:r>
      <w:r w:rsidRPr="00D31397">
        <w:rPr>
          <w:rFonts w:ascii="宋体" w:eastAsia="宋体" w:hAnsi="宋体" w:cs="Times New Roman"/>
          <w:sz w:val="24"/>
          <w:szCs w:val="24"/>
        </w:rPr>
        <w:t>+</w:t>
      </w:r>
      <w:r w:rsidRPr="00D31397">
        <w:rPr>
          <w:rFonts w:ascii="宋体" w:eastAsia="宋体" w:hAnsi="宋体" w:cs="Times New Roman" w:hint="eastAsia"/>
          <w:sz w:val="24"/>
          <w:szCs w:val="24"/>
        </w:rPr>
        <w:t>期末考试1</w:t>
      </w:r>
      <w:r w:rsidRPr="00D31397">
        <w:rPr>
          <w:rFonts w:ascii="宋体" w:eastAsia="宋体" w:hAnsi="宋体" w:cs="Times New Roman"/>
          <w:sz w:val="24"/>
          <w:szCs w:val="24"/>
        </w:rPr>
        <w:t>5</w:t>
      </w:r>
      <w:r w:rsidRPr="00D31397">
        <w:rPr>
          <w:rFonts w:ascii="宋体" w:eastAsia="宋体" w:hAnsi="宋体" w:cs="Times New Roman" w:hint="eastAsia"/>
          <w:sz w:val="24"/>
          <w:szCs w:val="24"/>
        </w:rPr>
        <w:t>%</w:t>
      </w:r>
    </w:p>
    <w:p w14:paraId="11850EC9"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lastRenderedPageBreak/>
        <w:t>课程目标3：课堂表现5%</w:t>
      </w:r>
      <w:r w:rsidRPr="00D31397">
        <w:rPr>
          <w:rFonts w:ascii="宋体" w:eastAsia="宋体" w:hAnsi="宋体" w:cs="Times New Roman"/>
          <w:sz w:val="24"/>
          <w:szCs w:val="24"/>
        </w:rPr>
        <w:t>+</w:t>
      </w:r>
      <w:r w:rsidRPr="00D31397">
        <w:rPr>
          <w:rFonts w:ascii="宋体" w:eastAsia="宋体" w:hAnsi="宋体" w:cs="Times New Roman" w:hint="eastAsia"/>
          <w:sz w:val="24"/>
          <w:szCs w:val="24"/>
        </w:rPr>
        <w:t>期末考试5%</w:t>
      </w:r>
    </w:p>
    <w:p w14:paraId="3894EB32"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D31397" w:rsidRPr="00D31397" w14:paraId="616F80AA" w14:textId="77777777" w:rsidTr="00C96426">
        <w:trPr>
          <w:trHeight w:val="540"/>
          <w:jc w:val="center"/>
        </w:trPr>
        <w:tc>
          <w:tcPr>
            <w:tcW w:w="1422" w:type="dxa"/>
            <w:vMerge w:val="restart"/>
            <w:vAlign w:val="center"/>
          </w:tcPr>
          <w:p w14:paraId="440F9D27" w14:textId="77777777" w:rsidR="00D31397" w:rsidRPr="00D31397" w:rsidRDefault="00D31397" w:rsidP="00D31397">
            <w:pPr>
              <w:spacing w:line="440" w:lineRule="exact"/>
              <w:jc w:val="center"/>
              <w:rPr>
                <w:rFonts w:ascii="宋体" w:eastAsia="宋体" w:hAnsi="宋体" w:cs="Times New Roman"/>
                <w:b/>
                <w:sz w:val="24"/>
                <w:szCs w:val="24"/>
              </w:rPr>
            </w:pPr>
            <w:r w:rsidRPr="00D31397">
              <w:rPr>
                <w:rFonts w:ascii="宋体" w:eastAsia="宋体" w:hAnsi="宋体" w:cs="Times New Roman" w:hint="eastAsia"/>
                <w:b/>
                <w:sz w:val="24"/>
                <w:szCs w:val="24"/>
              </w:rPr>
              <w:t>课程目标</w:t>
            </w:r>
          </w:p>
        </w:tc>
        <w:tc>
          <w:tcPr>
            <w:tcW w:w="6271" w:type="dxa"/>
            <w:gridSpan w:val="4"/>
            <w:vAlign w:val="center"/>
          </w:tcPr>
          <w:p w14:paraId="260CBFA8" w14:textId="77777777" w:rsidR="00D31397" w:rsidRPr="00D31397" w:rsidRDefault="00D31397" w:rsidP="00D31397">
            <w:pPr>
              <w:spacing w:line="440" w:lineRule="exact"/>
              <w:jc w:val="center"/>
              <w:rPr>
                <w:rFonts w:ascii="宋体" w:eastAsia="宋体" w:hAnsi="宋体" w:cs="Times New Roman"/>
                <w:b/>
                <w:sz w:val="24"/>
                <w:szCs w:val="24"/>
              </w:rPr>
            </w:pPr>
            <w:r w:rsidRPr="00D31397">
              <w:rPr>
                <w:rFonts w:ascii="宋体" w:eastAsia="宋体" w:hAnsi="宋体" w:cs="Times New Roman" w:hint="eastAsia"/>
                <w:b/>
                <w:sz w:val="24"/>
                <w:szCs w:val="24"/>
              </w:rPr>
              <w:t>考核方式及成绩比例（%）</w:t>
            </w:r>
          </w:p>
        </w:tc>
        <w:tc>
          <w:tcPr>
            <w:tcW w:w="1559" w:type="dxa"/>
            <w:vMerge w:val="restart"/>
            <w:vAlign w:val="center"/>
          </w:tcPr>
          <w:p w14:paraId="52214561" w14:textId="77777777" w:rsidR="00D31397" w:rsidRPr="00D31397" w:rsidRDefault="00D31397" w:rsidP="00D31397">
            <w:pPr>
              <w:spacing w:line="440" w:lineRule="exact"/>
              <w:jc w:val="center"/>
              <w:rPr>
                <w:rFonts w:ascii="宋体" w:eastAsia="宋体" w:hAnsi="宋体" w:cs="Times New Roman"/>
                <w:b/>
                <w:sz w:val="24"/>
                <w:szCs w:val="24"/>
              </w:rPr>
            </w:pPr>
            <w:r w:rsidRPr="00D31397">
              <w:rPr>
                <w:rFonts w:ascii="宋体" w:eastAsia="宋体" w:hAnsi="宋体" w:cs="Times New Roman" w:hint="eastAsia"/>
                <w:b/>
                <w:sz w:val="24"/>
                <w:szCs w:val="24"/>
              </w:rPr>
              <w:t>合计</w:t>
            </w:r>
          </w:p>
        </w:tc>
      </w:tr>
      <w:tr w:rsidR="00D31397" w:rsidRPr="00D31397" w14:paraId="3D305A21" w14:textId="77777777" w:rsidTr="00C96426">
        <w:trPr>
          <w:trHeight w:val="578"/>
          <w:jc w:val="center"/>
        </w:trPr>
        <w:tc>
          <w:tcPr>
            <w:tcW w:w="1422" w:type="dxa"/>
            <w:vMerge/>
            <w:vAlign w:val="center"/>
          </w:tcPr>
          <w:p w14:paraId="0DA7DF37" w14:textId="77777777" w:rsidR="00D31397" w:rsidRPr="00D31397" w:rsidRDefault="00D31397" w:rsidP="00D31397">
            <w:pPr>
              <w:spacing w:line="440" w:lineRule="exact"/>
              <w:jc w:val="center"/>
              <w:rPr>
                <w:rFonts w:ascii="宋体" w:eastAsia="宋体" w:hAnsi="宋体" w:cs="Times New Roman"/>
                <w:b/>
                <w:sz w:val="24"/>
                <w:szCs w:val="24"/>
              </w:rPr>
            </w:pPr>
          </w:p>
        </w:tc>
        <w:tc>
          <w:tcPr>
            <w:tcW w:w="1452" w:type="dxa"/>
            <w:vAlign w:val="center"/>
          </w:tcPr>
          <w:p w14:paraId="7C2AF234" w14:textId="77777777" w:rsidR="00D31397" w:rsidRPr="00D31397" w:rsidRDefault="00D31397" w:rsidP="00D31397">
            <w:pPr>
              <w:spacing w:line="440" w:lineRule="exact"/>
              <w:jc w:val="center"/>
              <w:rPr>
                <w:rFonts w:ascii="宋体" w:eastAsia="宋体" w:hAnsi="宋体" w:cs="Times New Roman"/>
                <w:b/>
                <w:sz w:val="24"/>
                <w:szCs w:val="24"/>
              </w:rPr>
            </w:pPr>
            <w:r w:rsidRPr="00D31397">
              <w:rPr>
                <w:rFonts w:ascii="宋体" w:eastAsia="宋体" w:hAnsi="宋体" w:cs="Times New Roman" w:hint="eastAsia"/>
                <w:b/>
                <w:sz w:val="24"/>
                <w:szCs w:val="24"/>
              </w:rPr>
              <w:t>课堂表现</w:t>
            </w:r>
          </w:p>
        </w:tc>
        <w:tc>
          <w:tcPr>
            <w:tcW w:w="1559" w:type="dxa"/>
            <w:vAlign w:val="center"/>
          </w:tcPr>
          <w:p w14:paraId="169AC20F" w14:textId="77777777" w:rsidR="00D31397" w:rsidRPr="00D31397" w:rsidRDefault="00D31397" w:rsidP="00D31397">
            <w:pPr>
              <w:spacing w:line="440" w:lineRule="exact"/>
              <w:jc w:val="center"/>
              <w:rPr>
                <w:rFonts w:ascii="宋体" w:eastAsia="宋体" w:hAnsi="宋体" w:cs="Times New Roman"/>
                <w:b/>
                <w:sz w:val="24"/>
                <w:szCs w:val="24"/>
              </w:rPr>
            </w:pPr>
            <w:r w:rsidRPr="00D31397">
              <w:rPr>
                <w:rFonts w:ascii="宋体" w:eastAsia="宋体" w:hAnsi="宋体" w:cs="Times New Roman" w:hint="eastAsia"/>
                <w:b/>
                <w:sz w:val="24"/>
                <w:szCs w:val="24"/>
              </w:rPr>
              <w:t>阶段测试</w:t>
            </w:r>
          </w:p>
        </w:tc>
        <w:tc>
          <w:tcPr>
            <w:tcW w:w="1701" w:type="dxa"/>
            <w:vAlign w:val="center"/>
          </w:tcPr>
          <w:p w14:paraId="4A137504" w14:textId="77777777" w:rsidR="00D31397" w:rsidRPr="00D31397" w:rsidRDefault="00D31397" w:rsidP="00D31397">
            <w:pPr>
              <w:spacing w:line="440" w:lineRule="exact"/>
              <w:jc w:val="center"/>
              <w:rPr>
                <w:rFonts w:ascii="宋体" w:eastAsia="宋体" w:hAnsi="宋体" w:cs="Times New Roman"/>
                <w:b/>
                <w:sz w:val="24"/>
                <w:szCs w:val="24"/>
              </w:rPr>
            </w:pPr>
            <w:r w:rsidRPr="00D31397">
              <w:rPr>
                <w:rFonts w:ascii="宋体" w:eastAsia="宋体" w:hAnsi="宋体" w:cs="Times New Roman" w:hint="eastAsia"/>
                <w:b/>
                <w:sz w:val="24"/>
                <w:szCs w:val="24"/>
              </w:rPr>
              <w:t>平时作业</w:t>
            </w:r>
          </w:p>
        </w:tc>
        <w:tc>
          <w:tcPr>
            <w:tcW w:w="1559" w:type="dxa"/>
            <w:vAlign w:val="center"/>
          </w:tcPr>
          <w:p w14:paraId="677D03CD" w14:textId="77777777" w:rsidR="00D31397" w:rsidRPr="00D31397" w:rsidRDefault="00D31397" w:rsidP="00D31397">
            <w:pPr>
              <w:spacing w:line="440" w:lineRule="exact"/>
              <w:jc w:val="center"/>
              <w:rPr>
                <w:rFonts w:ascii="宋体" w:eastAsia="宋体" w:hAnsi="宋体" w:cs="Times New Roman"/>
                <w:b/>
                <w:sz w:val="24"/>
                <w:szCs w:val="24"/>
              </w:rPr>
            </w:pPr>
            <w:r w:rsidRPr="00D31397">
              <w:rPr>
                <w:rFonts w:ascii="宋体" w:eastAsia="宋体" w:hAnsi="宋体" w:cs="Times New Roman" w:hint="eastAsia"/>
                <w:b/>
                <w:sz w:val="24"/>
                <w:szCs w:val="24"/>
              </w:rPr>
              <w:t>期末考试</w:t>
            </w:r>
          </w:p>
        </w:tc>
        <w:tc>
          <w:tcPr>
            <w:tcW w:w="1559" w:type="dxa"/>
            <w:vMerge/>
          </w:tcPr>
          <w:p w14:paraId="4207B826" w14:textId="77777777" w:rsidR="00D31397" w:rsidRPr="00D31397" w:rsidRDefault="00D31397" w:rsidP="00D31397">
            <w:pPr>
              <w:spacing w:line="440" w:lineRule="exact"/>
              <w:jc w:val="center"/>
              <w:rPr>
                <w:rFonts w:ascii="宋体" w:eastAsia="宋体" w:hAnsi="宋体" w:cs="Times New Roman"/>
                <w:b/>
                <w:color w:val="FF0000"/>
                <w:sz w:val="24"/>
                <w:szCs w:val="24"/>
              </w:rPr>
            </w:pPr>
          </w:p>
        </w:tc>
      </w:tr>
      <w:tr w:rsidR="00D31397" w:rsidRPr="00D31397" w14:paraId="44E5C0F6" w14:textId="77777777" w:rsidTr="00C96426">
        <w:trPr>
          <w:jc w:val="center"/>
        </w:trPr>
        <w:tc>
          <w:tcPr>
            <w:tcW w:w="1422" w:type="dxa"/>
            <w:vAlign w:val="center"/>
          </w:tcPr>
          <w:p w14:paraId="02FE730B"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课程目标1</w:t>
            </w:r>
          </w:p>
        </w:tc>
        <w:tc>
          <w:tcPr>
            <w:tcW w:w="1452" w:type="dxa"/>
            <w:vAlign w:val="center"/>
          </w:tcPr>
          <w:p w14:paraId="7690124F"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10</w:t>
            </w:r>
          </w:p>
        </w:tc>
        <w:tc>
          <w:tcPr>
            <w:tcW w:w="1559" w:type="dxa"/>
            <w:vAlign w:val="center"/>
          </w:tcPr>
          <w:p w14:paraId="101B4C14"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15</w:t>
            </w:r>
          </w:p>
        </w:tc>
        <w:tc>
          <w:tcPr>
            <w:tcW w:w="1701" w:type="dxa"/>
            <w:vAlign w:val="center"/>
          </w:tcPr>
          <w:p w14:paraId="02424A8D"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5</w:t>
            </w:r>
          </w:p>
        </w:tc>
        <w:tc>
          <w:tcPr>
            <w:tcW w:w="1559" w:type="dxa"/>
            <w:vAlign w:val="center"/>
          </w:tcPr>
          <w:p w14:paraId="4432A7F0"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30</w:t>
            </w:r>
          </w:p>
        </w:tc>
        <w:tc>
          <w:tcPr>
            <w:tcW w:w="1559" w:type="dxa"/>
          </w:tcPr>
          <w:p w14:paraId="66617C2D"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60</w:t>
            </w:r>
          </w:p>
        </w:tc>
      </w:tr>
      <w:tr w:rsidR="00D31397" w:rsidRPr="00D31397" w14:paraId="3DF4D7D1" w14:textId="77777777" w:rsidTr="00C96426">
        <w:trPr>
          <w:jc w:val="center"/>
        </w:trPr>
        <w:tc>
          <w:tcPr>
            <w:tcW w:w="1422" w:type="dxa"/>
            <w:vAlign w:val="center"/>
          </w:tcPr>
          <w:p w14:paraId="3D286573"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课程目标2</w:t>
            </w:r>
          </w:p>
        </w:tc>
        <w:tc>
          <w:tcPr>
            <w:tcW w:w="1452" w:type="dxa"/>
            <w:vAlign w:val="center"/>
          </w:tcPr>
          <w:p w14:paraId="51C8BC93"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5</w:t>
            </w:r>
          </w:p>
        </w:tc>
        <w:tc>
          <w:tcPr>
            <w:tcW w:w="1559" w:type="dxa"/>
            <w:vAlign w:val="center"/>
          </w:tcPr>
          <w:p w14:paraId="1CF73E67"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0</w:t>
            </w:r>
          </w:p>
        </w:tc>
        <w:tc>
          <w:tcPr>
            <w:tcW w:w="1701" w:type="dxa"/>
            <w:vAlign w:val="center"/>
          </w:tcPr>
          <w:p w14:paraId="5421B794"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10</w:t>
            </w:r>
          </w:p>
        </w:tc>
        <w:tc>
          <w:tcPr>
            <w:tcW w:w="1559" w:type="dxa"/>
            <w:vAlign w:val="center"/>
          </w:tcPr>
          <w:p w14:paraId="2C8C9184"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15</w:t>
            </w:r>
          </w:p>
        </w:tc>
        <w:tc>
          <w:tcPr>
            <w:tcW w:w="1559" w:type="dxa"/>
          </w:tcPr>
          <w:p w14:paraId="27B74C3F"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30</w:t>
            </w:r>
          </w:p>
        </w:tc>
      </w:tr>
      <w:tr w:rsidR="00D31397" w:rsidRPr="00D31397" w14:paraId="5D4CC3B4" w14:textId="77777777" w:rsidTr="00C96426">
        <w:trPr>
          <w:jc w:val="center"/>
        </w:trPr>
        <w:tc>
          <w:tcPr>
            <w:tcW w:w="1422" w:type="dxa"/>
            <w:vAlign w:val="center"/>
          </w:tcPr>
          <w:p w14:paraId="750838FA"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课程目标3</w:t>
            </w:r>
          </w:p>
        </w:tc>
        <w:tc>
          <w:tcPr>
            <w:tcW w:w="1452" w:type="dxa"/>
            <w:vAlign w:val="center"/>
          </w:tcPr>
          <w:p w14:paraId="577EB6AB"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5</w:t>
            </w:r>
          </w:p>
        </w:tc>
        <w:tc>
          <w:tcPr>
            <w:tcW w:w="1559" w:type="dxa"/>
            <w:vAlign w:val="center"/>
          </w:tcPr>
          <w:p w14:paraId="3332B509"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0</w:t>
            </w:r>
          </w:p>
        </w:tc>
        <w:tc>
          <w:tcPr>
            <w:tcW w:w="1701" w:type="dxa"/>
            <w:vAlign w:val="center"/>
          </w:tcPr>
          <w:p w14:paraId="3B57D7DC"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0</w:t>
            </w:r>
          </w:p>
        </w:tc>
        <w:tc>
          <w:tcPr>
            <w:tcW w:w="1559" w:type="dxa"/>
            <w:vAlign w:val="center"/>
          </w:tcPr>
          <w:p w14:paraId="3400F89A"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5</w:t>
            </w:r>
          </w:p>
        </w:tc>
        <w:tc>
          <w:tcPr>
            <w:tcW w:w="1559" w:type="dxa"/>
          </w:tcPr>
          <w:p w14:paraId="244DF215"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10</w:t>
            </w:r>
          </w:p>
        </w:tc>
      </w:tr>
      <w:tr w:rsidR="00D31397" w:rsidRPr="00D31397" w14:paraId="6A6EEB01" w14:textId="77777777" w:rsidTr="00C96426">
        <w:trPr>
          <w:jc w:val="center"/>
        </w:trPr>
        <w:tc>
          <w:tcPr>
            <w:tcW w:w="1422" w:type="dxa"/>
            <w:vAlign w:val="center"/>
          </w:tcPr>
          <w:p w14:paraId="64FCB372"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合计</w:t>
            </w:r>
          </w:p>
        </w:tc>
        <w:tc>
          <w:tcPr>
            <w:tcW w:w="1452" w:type="dxa"/>
            <w:vAlign w:val="center"/>
          </w:tcPr>
          <w:p w14:paraId="4D7CFB33"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20</w:t>
            </w:r>
          </w:p>
        </w:tc>
        <w:tc>
          <w:tcPr>
            <w:tcW w:w="1559" w:type="dxa"/>
            <w:vAlign w:val="center"/>
          </w:tcPr>
          <w:p w14:paraId="4EBDA4C0"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15</w:t>
            </w:r>
          </w:p>
        </w:tc>
        <w:tc>
          <w:tcPr>
            <w:tcW w:w="1701" w:type="dxa"/>
            <w:vAlign w:val="center"/>
          </w:tcPr>
          <w:p w14:paraId="5C662FB1"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15</w:t>
            </w:r>
          </w:p>
        </w:tc>
        <w:tc>
          <w:tcPr>
            <w:tcW w:w="1559" w:type="dxa"/>
            <w:vAlign w:val="center"/>
          </w:tcPr>
          <w:p w14:paraId="57408040"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50</w:t>
            </w:r>
          </w:p>
        </w:tc>
        <w:tc>
          <w:tcPr>
            <w:tcW w:w="1559" w:type="dxa"/>
          </w:tcPr>
          <w:p w14:paraId="6085071E" w14:textId="77777777" w:rsidR="00D31397" w:rsidRPr="00D31397" w:rsidRDefault="00D31397" w:rsidP="00D31397">
            <w:pPr>
              <w:spacing w:line="440" w:lineRule="exact"/>
              <w:jc w:val="center"/>
              <w:rPr>
                <w:rFonts w:ascii="宋体" w:eastAsia="宋体" w:hAnsi="宋体" w:cs="Times New Roman"/>
                <w:bCs/>
                <w:sz w:val="24"/>
                <w:szCs w:val="24"/>
              </w:rPr>
            </w:pPr>
            <w:r w:rsidRPr="00D31397">
              <w:rPr>
                <w:rFonts w:ascii="宋体" w:eastAsia="宋体" w:hAnsi="宋体" w:cs="Times New Roman" w:hint="eastAsia"/>
                <w:bCs/>
                <w:sz w:val="24"/>
                <w:szCs w:val="24"/>
              </w:rPr>
              <w:t>100</w:t>
            </w:r>
          </w:p>
        </w:tc>
      </w:tr>
    </w:tbl>
    <w:p w14:paraId="3C3A6ECA" w14:textId="77777777" w:rsidR="00D31397" w:rsidRPr="00D31397" w:rsidRDefault="00D31397" w:rsidP="00D31397">
      <w:pPr>
        <w:spacing w:beforeLines="50" w:before="156" w:afterLines="50" w:after="156" w:line="440" w:lineRule="exact"/>
        <w:ind w:firstLineChars="200" w:firstLine="560"/>
        <w:rPr>
          <w:rFonts w:ascii="黑体" w:eastAsia="黑体" w:hAnsi="黑体" w:cs="Times New Roman"/>
          <w:sz w:val="28"/>
          <w:szCs w:val="28"/>
        </w:rPr>
      </w:pPr>
      <w:r w:rsidRPr="00D31397">
        <w:rPr>
          <w:rFonts w:ascii="黑体" w:eastAsia="黑体" w:hAnsi="黑体" w:cs="Times New Roman" w:hint="eastAsia"/>
          <w:sz w:val="28"/>
          <w:szCs w:val="28"/>
        </w:rPr>
        <w:t>五、成绩评定</w:t>
      </w:r>
    </w:p>
    <w:p w14:paraId="28B904AA" w14:textId="77777777" w:rsidR="00D31397" w:rsidRPr="00D31397" w:rsidRDefault="00D31397" w:rsidP="00D31397">
      <w:pPr>
        <w:spacing w:beforeLines="50" w:before="156" w:afterLines="50" w:after="156" w:line="440" w:lineRule="exact"/>
        <w:ind w:firstLineChars="200" w:firstLine="560"/>
        <w:rPr>
          <w:rFonts w:ascii="黑体" w:eastAsia="黑体" w:hAnsi="黑体" w:cs="Times New Roman"/>
          <w:sz w:val="28"/>
          <w:szCs w:val="28"/>
        </w:rPr>
      </w:pPr>
      <w:r w:rsidRPr="00D31397">
        <w:rPr>
          <w:rFonts w:ascii="黑体" w:eastAsia="黑体" w:hAnsi="黑体" w:cs="Times New Roman" w:hint="eastAsia"/>
          <w:sz w:val="28"/>
          <w:szCs w:val="28"/>
        </w:rPr>
        <w:t>（一）总成绩评定</w:t>
      </w:r>
    </w:p>
    <w:p w14:paraId="5CF4B9F5"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总成绩=平时成绩×50%+期末成绩×50%</w:t>
      </w:r>
    </w:p>
    <w:p w14:paraId="338EE1CB" w14:textId="77777777" w:rsidR="00D31397" w:rsidRPr="00D31397" w:rsidRDefault="00D31397" w:rsidP="00D31397">
      <w:pPr>
        <w:spacing w:beforeLines="50" w:before="156" w:afterLines="50" w:after="156" w:line="440" w:lineRule="exact"/>
        <w:ind w:firstLineChars="200" w:firstLine="560"/>
        <w:rPr>
          <w:rFonts w:ascii="宋体" w:eastAsia="宋体" w:hAnsi="宋体" w:cs="Times New Roman"/>
          <w:color w:val="FF0000"/>
          <w:sz w:val="24"/>
          <w:szCs w:val="24"/>
        </w:rPr>
      </w:pPr>
      <w:r w:rsidRPr="00D31397">
        <w:rPr>
          <w:rFonts w:ascii="黑体" w:eastAsia="黑体" w:hAnsi="黑体" w:cs="Times New Roman" w:hint="eastAsia"/>
          <w:sz w:val="28"/>
          <w:szCs w:val="28"/>
        </w:rPr>
        <w:t>（二）平时成绩评定</w:t>
      </w:r>
    </w:p>
    <w:p w14:paraId="0B78F0E8" w14:textId="77777777" w:rsidR="00D31397" w:rsidRPr="00D31397" w:rsidRDefault="00D31397" w:rsidP="00D31397">
      <w:pPr>
        <w:spacing w:line="440" w:lineRule="exact"/>
        <w:ind w:firstLineChars="200" w:firstLine="480"/>
        <w:rPr>
          <w:rFonts w:ascii="宋体" w:eastAsia="宋体" w:hAnsi="宋体" w:cs="Times New Roman"/>
          <w:color w:val="FF0000"/>
          <w:sz w:val="24"/>
          <w:szCs w:val="24"/>
        </w:rPr>
      </w:pPr>
      <w:r w:rsidRPr="00D31397">
        <w:rPr>
          <w:rFonts w:ascii="宋体" w:eastAsia="宋体" w:hAnsi="宋体" w:cs="Times New Roman" w:hint="eastAsia"/>
          <w:sz w:val="24"/>
          <w:szCs w:val="24"/>
        </w:rPr>
        <w:t>平时成绩（100%）=课堂表现（40%）+阶段测试（30%）+平时作业（30%）</w:t>
      </w:r>
    </w:p>
    <w:p w14:paraId="39BEA4B0"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（1）课堂表现：通过学生在课堂上的表现情况、发言与提问情况，来评价学生相关的能力。</w:t>
      </w:r>
    </w:p>
    <w:p w14:paraId="61C0B473" w14:textId="77777777" w:rsidR="00D31397" w:rsidRPr="00D31397" w:rsidRDefault="00D31397" w:rsidP="00D31397">
      <w:pPr>
        <w:spacing w:line="440" w:lineRule="exact"/>
        <w:ind w:firstLineChars="200" w:firstLine="480"/>
        <w:rPr>
          <w:rFonts w:ascii="宋体" w:eastAsia="宋体" w:hAnsi="宋体" w:cs="Times New Roman"/>
          <w:color w:val="FF0000"/>
          <w:sz w:val="24"/>
          <w:szCs w:val="24"/>
        </w:rPr>
      </w:pPr>
      <w:r w:rsidRPr="00D31397">
        <w:rPr>
          <w:rFonts w:ascii="宋体" w:eastAsia="宋体" w:hAnsi="宋体" w:cs="Times New Roman" w:hint="eastAsia"/>
          <w:sz w:val="24"/>
          <w:szCs w:val="24"/>
        </w:rPr>
        <w:t>（2）阶段测试：学生在平时测试、测验中掌握课程的情况；</w:t>
      </w:r>
    </w:p>
    <w:p w14:paraId="38D788AD"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（3）平时作业：围绕课程的学习目标进行作业的设计，让学生简述对知识的认识，考核学生对于概念的理解情况。</w:t>
      </w:r>
    </w:p>
    <w:p w14:paraId="3FA33A13" w14:textId="77777777" w:rsidR="00D31397" w:rsidRPr="00D31397" w:rsidRDefault="00D31397" w:rsidP="00D31397">
      <w:pPr>
        <w:spacing w:beforeLines="50" w:before="156" w:afterLines="50" w:after="156" w:line="440" w:lineRule="exact"/>
        <w:ind w:firstLineChars="200" w:firstLine="560"/>
        <w:rPr>
          <w:rFonts w:ascii="黑体" w:eastAsia="黑体" w:hAnsi="黑体" w:cs="Times New Roman"/>
          <w:sz w:val="28"/>
          <w:szCs w:val="28"/>
        </w:rPr>
      </w:pPr>
      <w:r w:rsidRPr="00D31397">
        <w:rPr>
          <w:rFonts w:ascii="黑体" w:eastAsia="黑体" w:hAnsi="黑体" w:cs="Times New Roman" w:hint="eastAsia"/>
          <w:sz w:val="28"/>
          <w:szCs w:val="28"/>
        </w:rPr>
        <w:t>（三）期末成绩评定</w:t>
      </w:r>
    </w:p>
    <w:p w14:paraId="73F7D3F3" w14:textId="77777777" w:rsidR="00D31397" w:rsidRPr="00D31397" w:rsidRDefault="00D31397" w:rsidP="00D31397">
      <w:pPr>
        <w:spacing w:line="440" w:lineRule="exact"/>
        <w:ind w:firstLineChars="200" w:firstLine="480"/>
        <w:rPr>
          <w:rFonts w:ascii="宋体" w:eastAsia="宋体" w:hAnsi="宋体" w:cs="Times New Roman"/>
          <w:color w:val="FF0000"/>
          <w:sz w:val="24"/>
          <w:szCs w:val="24"/>
        </w:rPr>
      </w:pPr>
      <w:r w:rsidRPr="00D31397">
        <w:rPr>
          <w:rFonts w:ascii="宋体" w:eastAsia="宋体" w:hAnsi="宋体" w:cs="Times New Roman" w:hint="eastAsia"/>
          <w:sz w:val="24"/>
          <w:szCs w:val="24"/>
        </w:rPr>
        <w:t>期末考核主要考察学生对基本概念、基本原理和具体方法的理解与运用等。方式为闭卷考试。要求学生掌握基本概念、基本原理，运用具体方法解决相关问题。</w:t>
      </w:r>
    </w:p>
    <w:p w14:paraId="058B0472" w14:textId="77777777" w:rsidR="00D31397" w:rsidRPr="00D31397" w:rsidRDefault="00D31397" w:rsidP="00D31397">
      <w:pPr>
        <w:spacing w:beforeLines="50" w:before="156" w:afterLines="50" w:after="156" w:line="440" w:lineRule="exact"/>
        <w:ind w:firstLineChars="200" w:firstLine="560"/>
        <w:rPr>
          <w:rFonts w:ascii="宋体" w:eastAsia="宋体" w:hAnsi="宋体" w:cs="Times New Roman"/>
          <w:sz w:val="24"/>
          <w:szCs w:val="24"/>
        </w:rPr>
      </w:pPr>
      <w:r w:rsidRPr="00D31397">
        <w:rPr>
          <w:rFonts w:ascii="黑体" w:eastAsia="黑体" w:hAnsi="黑体" w:cs="Times New Roman" w:hint="eastAsia"/>
          <w:sz w:val="28"/>
          <w:szCs w:val="28"/>
        </w:rPr>
        <w:t>六、使用教材、相关推荐书目及课程资源</w:t>
      </w:r>
    </w:p>
    <w:p w14:paraId="413643EF" w14:textId="77777777" w:rsidR="00D31397" w:rsidRPr="00D31397" w:rsidRDefault="00D31397" w:rsidP="00D31397">
      <w:pPr>
        <w:spacing w:beforeLines="50" w:before="156" w:afterLines="50" w:after="156" w:line="440" w:lineRule="exact"/>
        <w:ind w:firstLineChars="200" w:firstLine="560"/>
        <w:rPr>
          <w:rFonts w:ascii="黑体" w:eastAsia="黑体" w:hAnsi="黑体" w:cs="Times New Roman"/>
          <w:sz w:val="28"/>
          <w:szCs w:val="28"/>
        </w:rPr>
      </w:pPr>
      <w:r w:rsidRPr="00D31397">
        <w:rPr>
          <w:rFonts w:ascii="黑体" w:eastAsia="黑体" w:hAnsi="黑体" w:cs="Times New Roman" w:hint="eastAsia"/>
          <w:sz w:val="28"/>
          <w:szCs w:val="28"/>
        </w:rPr>
        <w:t>（一）使用教材</w:t>
      </w:r>
    </w:p>
    <w:p w14:paraId="59D8FC58"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赵云丽主编：《体内药物分析》，中国医药科技出版社，2019年版；</w:t>
      </w:r>
    </w:p>
    <w:p w14:paraId="7455919C" w14:textId="77777777" w:rsidR="00D31397" w:rsidRPr="00D31397" w:rsidRDefault="00D31397" w:rsidP="00D31397">
      <w:pPr>
        <w:spacing w:beforeLines="50" w:before="156" w:afterLines="50" w:after="156" w:line="440" w:lineRule="exact"/>
        <w:ind w:firstLineChars="200" w:firstLine="560"/>
        <w:rPr>
          <w:rFonts w:ascii="黑体" w:eastAsia="黑体" w:hAnsi="黑体" w:cs="Times New Roman"/>
          <w:sz w:val="28"/>
          <w:szCs w:val="28"/>
        </w:rPr>
      </w:pPr>
      <w:r w:rsidRPr="00D31397">
        <w:rPr>
          <w:rFonts w:ascii="黑体" w:eastAsia="黑体" w:hAnsi="黑体" w:cs="Times New Roman" w:hint="eastAsia"/>
          <w:sz w:val="28"/>
          <w:szCs w:val="28"/>
        </w:rPr>
        <w:t>（二）相关推荐书目</w:t>
      </w:r>
    </w:p>
    <w:p w14:paraId="11BFFF1E"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1. 于治国主编：《体内药物分析》，中国医药科技出版社，2017年版。</w:t>
      </w:r>
    </w:p>
    <w:p w14:paraId="0DAAD5AD"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lastRenderedPageBreak/>
        <w:t>2. 国家药典委员会：《中华人民共和国药典》，中国医药科技出版社，2020年版；</w:t>
      </w:r>
    </w:p>
    <w:p w14:paraId="6DD41507"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 xml:space="preserve">3. </w:t>
      </w:r>
      <w:proofErr w:type="gramStart"/>
      <w:r w:rsidRPr="00D31397">
        <w:rPr>
          <w:rFonts w:ascii="宋体" w:eastAsia="宋体" w:hAnsi="宋体" w:cs="Times New Roman" w:hint="eastAsia"/>
          <w:sz w:val="24"/>
          <w:szCs w:val="24"/>
        </w:rPr>
        <w:t>杭太俊</w:t>
      </w:r>
      <w:proofErr w:type="gramEnd"/>
      <w:r w:rsidRPr="00D31397">
        <w:rPr>
          <w:rFonts w:ascii="宋体" w:eastAsia="宋体" w:hAnsi="宋体" w:cs="Times New Roman" w:hint="eastAsia"/>
          <w:sz w:val="24"/>
          <w:szCs w:val="24"/>
        </w:rPr>
        <w:t>主编：《药物分析》，人民卫生出版社，2022年版；</w:t>
      </w:r>
    </w:p>
    <w:p w14:paraId="7C379CCF"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4. 罗国安主编：《药物与毒物分析技术》，</w:t>
      </w:r>
      <w:r>
        <w:fldChar w:fldCharType="begin"/>
      </w:r>
      <w:r>
        <w:instrText>HYPERLINK "https://baike.so.com/doc/5566644-5781760.html" \t "https://baike.so.com/doc/_blank"</w:instrText>
      </w:r>
      <w:r>
        <w:fldChar w:fldCharType="separate"/>
      </w:r>
      <w:r w:rsidRPr="00D31397">
        <w:rPr>
          <w:rFonts w:ascii="宋体" w:eastAsia="宋体" w:hAnsi="宋体" w:cs="Times New Roman"/>
          <w:sz w:val="24"/>
          <w:szCs w:val="24"/>
        </w:rPr>
        <w:t>化学工业出版社</w:t>
      </w:r>
      <w:r>
        <w:rPr>
          <w:rFonts w:ascii="宋体" w:eastAsia="宋体" w:hAnsi="宋体" w:cs="Times New Roman"/>
          <w:sz w:val="24"/>
          <w:szCs w:val="24"/>
        </w:rPr>
        <w:fldChar w:fldCharType="end"/>
      </w:r>
      <w:r w:rsidRPr="00D31397">
        <w:rPr>
          <w:rFonts w:ascii="宋体" w:eastAsia="宋体" w:hAnsi="宋体" w:cs="Times New Roman" w:hint="eastAsia"/>
          <w:sz w:val="24"/>
          <w:szCs w:val="24"/>
        </w:rPr>
        <w:t>，2007年版；</w:t>
      </w:r>
    </w:p>
    <w:p w14:paraId="7C87A75C"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5. 李见明，阳国平主编：《生物等效性试验》，人民卫生出版社，2021年版；</w:t>
      </w:r>
    </w:p>
    <w:p w14:paraId="7B2C5F7E" w14:textId="77777777" w:rsidR="00D31397" w:rsidRPr="00D31397" w:rsidRDefault="00D31397" w:rsidP="00D31397">
      <w:pPr>
        <w:spacing w:beforeLines="50" w:before="156" w:afterLines="50" w:after="156" w:line="440" w:lineRule="exact"/>
        <w:ind w:firstLineChars="200" w:firstLine="560"/>
        <w:rPr>
          <w:rFonts w:ascii="黑体" w:eastAsia="黑体" w:hAnsi="黑体" w:cs="Times New Roman"/>
          <w:sz w:val="28"/>
          <w:szCs w:val="28"/>
        </w:rPr>
      </w:pPr>
      <w:r w:rsidRPr="00D31397">
        <w:rPr>
          <w:rFonts w:ascii="黑体" w:eastAsia="黑体" w:hAnsi="黑体" w:cs="Times New Roman" w:hint="eastAsia"/>
          <w:sz w:val="28"/>
          <w:szCs w:val="28"/>
        </w:rPr>
        <w:t>（三）课程资源</w:t>
      </w:r>
    </w:p>
    <w:p w14:paraId="70585457"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中国大学MOOC：体内药物与毒物分析（吴春勇等，中国药科大学）</w:t>
      </w:r>
    </w:p>
    <w:p w14:paraId="07A87948"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中国大学MOOC SPOC：体内药物分析（许华容等，沈阳药科大学）</w:t>
      </w:r>
    </w:p>
    <w:p w14:paraId="65417361" w14:textId="77777777" w:rsidR="00D31397" w:rsidRPr="00D31397" w:rsidRDefault="00D31397" w:rsidP="00D31397">
      <w:pPr>
        <w:spacing w:beforeLines="50" w:before="156" w:afterLines="50" w:after="156" w:line="440" w:lineRule="exact"/>
        <w:ind w:firstLineChars="200" w:firstLine="560"/>
        <w:rPr>
          <w:rFonts w:ascii="黑体" w:eastAsia="黑体" w:hAnsi="黑体" w:cs="Times New Roman"/>
          <w:sz w:val="28"/>
          <w:szCs w:val="28"/>
        </w:rPr>
      </w:pPr>
      <w:r w:rsidRPr="00D31397">
        <w:rPr>
          <w:rFonts w:ascii="黑体" w:eastAsia="黑体" w:hAnsi="黑体" w:cs="Times New Roman" w:hint="eastAsia"/>
          <w:sz w:val="28"/>
          <w:szCs w:val="28"/>
        </w:rPr>
        <w:t>七、课程教学大纲制定依据</w:t>
      </w:r>
    </w:p>
    <w:p w14:paraId="1AF4413C" w14:textId="77777777" w:rsidR="00D31397" w:rsidRPr="00D31397" w:rsidRDefault="00D31397" w:rsidP="00D31397">
      <w:pPr>
        <w:spacing w:line="440" w:lineRule="exact"/>
        <w:ind w:firstLineChars="200" w:firstLine="480"/>
        <w:rPr>
          <w:rFonts w:ascii="宋体" w:eastAsia="宋体" w:hAnsi="宋体" w:cs="Times New Roman"/>
          <w:sz w:val="24"/>
          <w:szCs w:val="24"/>
        </w:rPr>
      </w:pPr>
      <w:r w:rsidRPr="00D31397">
        <w:rPr>
          <w:rFonts w:ascii="宋体" w:eastAsia="宋体" w:hAnsi="宋体" w:cs="Times New Roman" w:hint="eastAsia"/>
          <w:sz w:val="24"/>
          <w:szCs w:val="24"/>
        </w:rPr>
        <w:t>本课程教学大纲依据2023年药物分析专业人才培养方案制定。</w:t>
      </w:r>
    </w:p>
    <w:p w14:paraId="27774AFA" w14:textId="77777777" w:rsidR="00D31397" w:rsidRPr="00D31397" w:rsidRDefault="00D31397" w:rsidP="00D31397">
      <w:pPr>
        <w:spacing w:line="440" w:lineRule="exact"/>
        <w:ind w:firstLineChars="200" w:firstLine="480"/>
        <w:rPr>
          <w:rFonts w:ascii="宋体" w:eastAsia="宋体" w:hAnsi="宋体" w:cs="Times New Roman"/>
          <w:sz w:val="24"/>
          <w:szCs w:val="24"/>
        </w:rPr>
      </w:pPr>
    </w:p>
    <w:p w14:paraId="26842ACB" w14:textId="77777777" w:rsidR="00367215" w:rsidRDefault="00367215" w:rsidP="0085474C">
      <w:pPr>
        <w:spacing w:line="440" w:lineRule="exact"/>
        <w:ind w:firstLineChars="200" w:firstLine="480"/>
        <w:rPr>
          <w:rFonts w:ascii="宋体" w:eastAsia="宋体" w:hAnsi="宋体" w:cs="Times New Roman"/>
          <w:sz w:val="24"/>
          <w:szCs w:val="24"/>
        </w:rPr>
      </w:pPr>
    </w:p>
    <w:p w14:paraId="376A7CA5" w14:textId="77777777" w:rsidR="00D31397" w:rsidRDefault="00D31397" w:rsidP="0085474C">
      <w:pPr>
        <w:spacing w:line="440" w:lineRule="exact"/>
        <w:ind w:firstLineChars="200" w:firstLine="480"/>
        <w:rPr>
          <w:rFonts w:ascii="宋体" w:eastAsia="宋体" w:hAnsi="宋体" w:cs="Times New Roman"/>
          <w:sz w:val="24"/>
          <w:szCs w:val="24"/>
        </w:rPr>
      </w:pPr>
    </w:p>
    <w:p w14:paraId="0B3CAA0D" w14:textId="77777777" w:rsidR="00D31397" w:rsidRDefault="00D31397" w:rsidP="0085474C">
      <w:pPr>
        <w:spacing w:line="440" w:lineRule="exact"/>
        <w:ind w:firstLineChars="200" w:firstLine="480"/>
        <w:rPr>
          <w:rFonts w:ascii="宋体" w:eastAsia="宋体" w:hAnsi="宋体" w:cs="Times New Roman"/>
          <w:sz w:val="24"/>
          <w:szCs w:val="24"/>
        </w:rPr>
      </w:pPr>
    </w:p>
    <w:p w14:paraId="31545B9D" w14:textId="77777777" w:rsidR="00D31397" w:rsidRDefault="00D31397" w:rsidP="0085474C">
      <w:pPr>
        <w:spacing w:line="440" w:lineRule="exact"/>
        <w:ind w:firstLineChars="200" w:firstLine="480"/>
        <w:rPr>
          <w:rFonts w:ascii="宋体" w:eastAsia="宋体" w:hAnsi="宋体" w:cs="Times New Roman"/>
          <w:sz w:val="24"/>
          <w:szCs w:val="24"/>
        </w:rPr>
      </w:pPr>
    </w:p>
    <w:p w14:paraId="0C4B53EE" w14:textId="77777777" w:rsidR="00D31397" w:rsidRDefault="00D31397" w:rsidP="0085474C">
      <w:pPr>
        <w:spacing w:line="440" w:lineRule="exact"/>
        <w:ind w:firstLineChars="200" w:firstLine="480"/>
        <w:rPr>
          <w:rFonts w:ascii="宋体" w:eastAsia="宋体" w:hAnsi="宋体" w:cs="Times New Roman"/>
          <w:sz w:val="24"/>
          <w:szCs w:val="24"/>
        </w:rPr>
      </w:pPr>
    </w:p>
    <w:p w14:paraId="40DF8649" w14:textId="77777777" w:rsidR="00D31397" w:rsidRDefault="00D31397" w:rsidP="0085474C">
      <w:pPr>
        <w:spacing w:line="440" w:lineRule="exact"/>
        <w:ind w:firstLineChars="200" w:firstLine="480"/>
        <w:rPr>
          <w:rFonts w:ascii="宋体" w:eastAsia="宋体" w:hAnsi="宋体" w:cs="Times New Roman"/>
          <w:sz w:val="24"/>
          <w:szCs w:val="24"/>
        </w:rPr>
      </w:pPr>
    </w:p>
    <w:p w14:paraId="5A2F7A88" w14:textId="77777777" w:rsidR="00D31397" w:rsidRDefault="00D31397" w:rsidP="0085474C">
      <w:pPr>
        <w:spacing w:line="440" w:lineRule="exact"/>
        <w:ind w:firstLineChars="200" w:firstLine="480"/>
        <w:rPr>
          <w:rFonts w:ascii="宋体" w:eastAsia="宋体" w:hAnsi="宋体" w:cs="Times New Roman"/>
          <w:sz w:val="24"/>
          <w:szCs w:val="24"/>
        </w:rPr>
      </w:pPr>
    </w:p>
    <w:p w14:paraId="6A7C8F57" w14:textId="77777777" w:rsidR="00D31397" w:rsidRDefault="00D31397" w:rsidP="0085474C">
      <w:pPr>
        <w:spacing w:line="440" w:lineRule="exact"/>
        <w:ind w:firstLineChars="200" w:firstLine="480"/>
        <w:rPr>
          <w:rFonts w:ascii="宋体" w:eastAsia="宋体" w:hAnsi="宋体" w:cs="Times New Roman"/>
          <w:sz w:val="24"/>
          <w:szCs w:val="24"/>
        </w:rPr>
      </w:pPr>
    </w:p>
    <w:p w14:paraId="4793F7F0" w14:textId="77777777" w:rsidR="00D31397" w:rsidRDefault="00D31397" w:rsidP="0085474C">
      <w:pPr>
        <w:spacing w:line="440" w:lineRule="exact"/>
        <w:ind w:firstLineChars="200" w:firstLine="480"/>
        <w:rPr>
          <w:rFonts w:ascii="宋体" w:eastAsia="宋体" w:hAnsi="宋体" w:cs="Times New Roman"/>
          <w:sz w:val="24"/>
          <w:szCs w:val="24"/>
        </w:rPr>
      </w:pPr>
    </w:p>
    <w:p w14:paraId="129B8B48" w14:textId="77777777" w:rsidR="00D31397" w:rsidRDefault="00D31397" w:rsidP="0085474C">
      <w:pPr>
        <w:spacing w:line="440" w:lineRule="exact"/>
        <w:ind w:firstLineChars="200" w:firstLine="480"/>
        <w:rPr>
          <w:rFonts w:ascii="宋体" w:eastAsia="宋体" w:hAnsi="宋体" w:cs="Times New Roman"/>
          <w:sz w:val="24"/>
          <w:szCs w:val="24"/>
        </w:rPr>
      </w:pPr>
    </w:p>
    <w:p w14:paraId="743AFB81" w14:textId="77777777" w:rsidR="00B2107A" w:rsidRDefault="00B2107A" w:rsidP="0085474C">
      <w:pPr>
        <w:spacing w:line="440" w:lineRule="exact"/>
        <w:ind w:firstLineChars="200" w:firstLine="480"/>
        <w:rPr>
          <w:rFonts w:ascii="宋体" w:eastAsia="宋体" w:hAnsi="宋体" w:cs="Times New Roman"/>
          <w:sz w:val="24"/>
          <w:szCs w:val="24"/>
        </w:rPr>
      </w:pPr>
    </w:p>
    <w:p w14:paraId="15CF8677" w14:textId="77777777" w:rsidR="00B2107A" w:rsidRDefault="00B2107A" w:rsidP="0085474C">
      <w:pPr>
        <w:spacing w:line="440" w:lineRule="exact"/>
        <w:ind w:firstLineChars="200" w:firstLine="480"/>
        <w:rPr>
          <w:rFonts w:ascii="宋体" w:eastAsia="宋体" w:hAnsi="宋体" w:cs="Times New Roman"/>
          <w:sz w:val="24"/>
          <w:szCs w:val="24"/>
        </w:rPr>
      </w:pPr>
    </w:p>
    <w:p w14:paraId="55664DC8" w14:textId="77777777" w:rsidR="00B2107A" w:rsidRDefault="00B2107A" w:rsidP="0085474C">
      <w:pPr>
        <w:spacing w:line="440" w:lineRule="exact"/>
        <w:ind w:firstLineChars="200" w:firstLine="480"/>
        <w:rPr>
          <w:rFonts w:ascii="宋体" w:eastAsia="宋体" w:hAnsi="宋体" w:cs="Times New Roman"/>
          <w:sz w:val="24"/>
          <w:szCs w:val="24"/>
        </w:rPr>
      </w:pPr>
    </w:p>
    <w:p w14:paraId="50C2E798" w14:textId="77777777" w:rsidR="00B2107A" w:rsidRDefault="00B2107A" w:rsidP="0085474C">
      <w:pPr>
        <w:spacing w:line="440" w:lineRule="exact"/>
        <w:ind w:firstLineChars="200" w:firstLine="480"/>
        <w:rPr>
          <w:rFonts w:ascii="宋体" w:eastAsia="宋体" w:hAnsi="宋体" w:cs="Times New Roman"/>
          <w:sz w:val="24"/>
          <w:szCs w:val="24"/>
        </w:rPr>
      </w:pPr>
    </w:p>
    <w:p w14:paraId="603B884F" w14:textId="77777777" w:rsidR="00B2107A" w:rsidRDefault="00B2107A" w:rsidP="0085474C">
      <w:pPr>
        <w:spacing w:line="440" w:lineRule="exact"/>
        <w:ind w:firstLineChars="200" w:firstLine="480"/>
        <w:rPr>
          <w:rFonts w:ascii="宋体" w:eastAsia="宋体" w:hAnsi="宋体" w:cs="Times New Roman"/>
          <w:sz w:val="24"/>
          <w:szCs w:val="24"/>
        </w:rPr>
      </w:pPr>
    </w:p>
    <w:p w14:paraId="66E93396" w14:textId="77777777" w:rsidR="00B2107A" w:rsidRDefault="00B2107A" w:rsidP="0085474C">
      <w:pPr>
        <w:spacing w:line="440" w:lineRule="exact"/>
        <w:ind w:firstLineChars="200" w:firstLine="480"/>
        <w:rPr>
          <w:rFonts w:ascii="宋体" w:eastAsia="宋体" w:hAnsi="宋体" w:cs="Times New Roman"/>
          <w:sz w:val="24"/>
          <w:szCs w:val="24"/>
        </w:rPr>
      </w:pPr>
    </w:p>
    <w:p w14:paraId="1B6CE91F" w14:textId="77777777" w:rsidR="00B2107A" w:rsidRDefault="00B2107A" w:rsidP="0085474C">
      <w:pPr>
        <w:spacing w:line="440" w:lineRule="exact"/>
        <w:ind w:firstLineChars="200" w:firstLine="480"/>
        <w:rPr>
          <w:rFonts w:ascii="宋体" w:eastAsia="宋体" w:hAnsi="宋体" w:cs="Times New Roman"/>
          <w:sz w:val="24"/>
          <w:szCs w:val="24"/>
        </w:rPr>
      </w:pPr>
    </w:p>
    <w:p w14:paraId="3C3805C1" w14:textId="77777777" w:rsidR="0065230C" w:rsidRPr="0065230C" w:rsidRDefault="0065230C" w:rsidP="0065230C">
      <w:pPr>
        <w:keepNext/>
        <w:keepLines/>
        <w:spacing w:before="340" w:after="330" w:line="578" w:lineRule="auto"/>
        <w:jc w:val="center"/>
        <w:outlineLvl w:val="0"/>
        <w:rPr>
          <w:rFonts w:ascii="Calibri" w:eastAsia="黑体" w:hAnsi="Calibri" w:cs="Times New Roman"/>
          <w:bCs/>
          <w:kern w:val="44"/>
          <w:sz w:val="36"/>
          <w:szCs w:val="44"/>
        </w:rPr>
      </w:pPr>
      <w:bookmarkStart w:id="225" w:name="_Toc149662368"/>
      <w:r w:rsidRPr="0065230C">
        <w:rPr>
          <w:rFonts w:ascii="Calibri" w:eastAsia="黑体" w:hAnsi="Calibri" w:cs="Times New Roman"/>
          <w:bCs/>
          <w:kern w:val="44"/>
          <w:sz w:val="36"/>
          <w:szCs w:val="44"/>
        </w:rPr>
        <w:lastRenderedPageBreak/>
        <w:t>《药物色谱分析》课程大纲</w:t>
      </w:r>
      <w:bookmarkEnd w:id="225"/>
    </w:p>
    <w:p w14:paraId="4C419F7E" w14:textId="77777777" w:rsidR="0065230C" w:rsidRPr="0065230C" w:rsidRDefault="0065230C" w:rsidP="0065230C">
      <w:pPr>
        <w:spacing w:line="440" w:lineRule="exact"/>
        <w:ind w:firstLineChars="200" w:firstLine="560"/>
        <w:rPr>
          <w:rFonts w:ascii="Times New Roman" w:eastAsia="黑体" w:hAnsi="Times New Roman" w:cs="Times New Roman"/>
          <w:sz w:val="28"/>
          <w:szCs w:val="28"/>
        </w:rPr>
      </w:pPr>
      <w:r w:rsidRPr="0065230C">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833"/>
        <w:gridCol w:w="1561"/>
        <w:gridCol w:w="2941"/>
      </w:tblGrid>
      <w:tr w:rsidR="0065230C" w:rsidRPr="0065230C" w14:paraId="6C51B03A" w14:textId="77777777" w:rsidTr="00C96426">
        <w:trPr>
          <w:trHeight w:val="886"/>
          <w:jc w:val="center"/>
        </w:trPr>
        <w:tc>
          <w:tcPr>
            <w:tcW w:w="1668" w:type="dxa"/>
            <w:vAlign w:val="center"/>
          </w:tcPr>
          <w:p w14:paraId="0C909193"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课程名称</w:t>
            </w:r>
          </w:p>
        </w:tc>
        <w:tc>
          <w:tcPr>
            <w:tcW w:w="2833" w:type="dxa"/>
            <w:vAlign w:val="center"/>
          </w:tcPr>
          <w:p w14:paraId="212D5DFD"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药物色谱分析</w:t>
            </w:r>
          </w:p>
        </w:tc>
        <w:tc>
          <w:tcPr>
            <w:tcW w:w="1561" w:type="dxa"/>
            <w:vAlign w:val="center"/>
          </w:tcPr>
          <w:p w14:paraId="647B857B"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课程代码</w:t>
            </w:r>
          </w:p>
        </w:tc>
        <w:tc>
          <w:tcPr>
            <w:tcW w:w="2941" w:type="dxa"/>
            <w:vAlign w:val="center"/>
          </w:tcPr>
          <w:p w14:paraId="71BC9FF7"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新课</w:t>
            </w:r>
          </w:p>
        </w:tc>
      </w:tr>
      <w:tr w:rsidR="0065230C" w:rsidRPr="0065230C" w14:paraId="58AE0E27" w14:textId="77777777" w:rsidTr="00C96426">
        <w:trPr>
          <w:trHeight w:val="829"/>
          <w:jc w:val="center"/>
        </w:trPr>
        <w:tc>
          <w:tcPr>
            <w:tcW w:w="1668" w:type="dxa"/>
            <w:vAlign w:val="center"/>
          </w:tcPr>
          <w:p w14:paraId="14E297AF"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课程类别</w:t>
            </w:r>
          </w:p>
        </w:tc>
        <w:tc>
          <w:tcPr>
            <w:tcW w:w="2833" w:type="dxa"/>
            <w:vAlign w:val="center"/>
          </w:tcPr>
          <w:p w14:paraId="53E1DCBB"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hint="eastAsia"/>
                <w:sz w:val="24"/>
                <w:szCs w:val="24"/>
              </w:rPr>
              <w:t>分析检测方向</w:t>
            </w:r>
            <w:r w:rsidRPr="0065230C">
              <w:rPr>
                <w:rFonts w:ascii="Times New Roman" w:eastAsia="宋体" w:hAnsi="Times New Roman" w:cs="Times New Roman"/>
                <w:sz w:val="24"/>
                <w:szCs w:val="24"/>
              </w:rPr>
              <w:t>课程</w:t>
            </w:r>
          </w:p>
        </w:tc>
        <w:tc>
          <w:tcPr>
            <w:tcW w:w="1561" w:type="dxa"/>
            <w:vAlign w:val="center"/>
          </w:tcPr>
          <w:p w14:paraId="1ADDC8B4"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学时</w:t>
            </w:r>
          </w:p>
          <w:p w14:paraId="496961E7"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w:t>
            </w:r>
            <w:r w:rsidRPr="0065230C">
              <w:rPr>
                <w:rFonts w:ascii="Times New Roman" w:eastAsia="宋体" w:hAnsi="Times New Roman" w:cs="Times New Roman"/>
                <w:sz w:val="24"/>
                <w:szCs w:val="24"/>
              </w:rPr>
              <w:t>学分</w:t>
            </w:r>
          </w:p>
        </w:tc>
        <w:tc>
          <w:tcPr>
            <w:tcW w:w="2941" w:type="dxa"/>
            <w:vAlign w:val="center"/>
          </w:tcPr>
          <w:p w14:paraId="6ADDC3D1"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16</w:t>
            </w:r>
            <w:r w:rsidRPr="0065230C">
              <w:rPr>
                <w:rFonts w:ascii="Times New Roman" w:eastAsia="宋体" w:hAnsi="Times New Roman" w:cs="Times New Roman"/>
                <w:sz w:val="24"/>
                <w:szCs w:val="24"/>
              </w:rPr>
              <w:t>学时</w:t>
            </w:r>
            <w:r w:rsidRPr="0065230C">
              <w:rPr>
                <w:rFonts w:ascii="Times New Roman" w:eastAsia="宋体" w:hAnsi="Times New Roman" w:cs="Times New Roman"/>
                <w:sz w:val="24"/>
                <w:szCs w:val="24"/>
              </w:rPr>
              <w:t>/1</w:t>
            </w:r>
            <w:r w:rsidRPr="0065230C">
              <w:rPr>
                <w:rFonts w:ascii="Times New Roman" w:eastAsia="宋体" w:hAnsi="Times New Roman" w:cs="Times New Roman"/>
                <w:sz w:val="24"/>
                <w:szCs w:val="24"/>
              </w:rPr>
              <w:t>学分</w:t>
            </w:r>
          </w:p>
        </w:tc>
      </w:tr>
      <w:tr w:rsidR="0065230C" w:rsidRPr="0065230C" w14:paraId="690D059B" w14:textId="77777777" w:rsidTr="00C96426">
        <w:trPr>
          <w:trHeight w:val="811"/>
          <w:jc w:val="center"/>
        </w:trPr>
        <w:tc>
          <w:tcPr>
            <w:tcW w:w="1668" w:type="dxa"/>
            <w:vAlign w:val="center"/>
          </w:tcPr>
          <w:p w14:paraId="2861D74B"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开课单位</w:t>
            </w:r>
          </w:p>
        </w:tc>
        <w:tc>
          <w:tcPr>
            <w:tcW w:w="2833" w:type="dxa"/>
            <w:vAlign w:val="center"/>
          </w:tcPr>
          <w:p w14:paraId="4C8D2C04"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化工学院</w:t>
            </w:r>
          </w:p>
        </w:tc>
        <w:tc>
          <w:tcPr>
            <w:tcW w:w="1561" w:type="dxa"/>
            <w:vAlign w:val="center"/>
          </w:tcPr>
          <w:p w14:paraId="5EDE7223"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适用专业</w:t>
            </w:r>
          </w:p>
        </w:tc>
        <w:tc>
          <w:tcPr>
            <w:tcW w:w="2941" w:type="dxa"/>
            <w:vAlign w:val="center"/>
          </w:tcPr>
          <w:p w14:paraId="16CD9D02" w14:textId="77777777" w:rsidR="0065230C" w:rsidRPr="0065230C" w:rsidRDefault="008D5029" w:rsidP="0065230C">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药物分析</w:t>
            </w:r>
          </w:p>
        </w:tc>
      </w:tr>
      <w:tr w:rsidR="0065230C" w:rsidRPr="0065230C" w14:paraId="7A2BFFE1" w14:textId="77777777" w:rsidTr="00C96426">
        <w:trPr>
          <w:trHeight w:val="811"/>
          <w:jc w:val="center"/>
        </w:trPr>
        <w:tc>
          <w:tcPr>
            <w:tcW w:w="1668" w:type="dxa"/>
            <w:vAlign w:val="center"/>
          </w:tcPr>
          <w:p w14:paraId="339CE7C5"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课程负责人</w:t>
            </w:r>
          </w:p>
        </w:tc>
        <w:tc>
          <w:tcPr>
            <w:tcW w:w="7335" w:type="dxa"/>
            <w:gridSpan w:val="3"/>
            <w:vAlign w:val="center"/>
          </w:tcPr>
          <w:p w14:paraId="25744FF4"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hint="eastAsia"/>
                <w:sz w:val="24"/>
                <w:szCs w:val="24"/>
              </w:rPr>
              <w:t>李佳</w:t>
            </w:r>
          </w:p>
        </w:tc>
      </w:tr>
      <w:tr w:rsidR="0065230C" w:rsidRPr="0065230C" w14:paraId="6FF6A808" w14:textId="77777777" w:rsidTr="00C96426">
        <w:trPr>
          <w:trHeight w:val="836"/>
          <w:jc w:val="center"/>
        </w:trPr>
        <w:tc>
          <w:tcPr>
            <w:tcW w:w="1668" w:type="dxa"/>
            <w:vAlign w:val="center"/>
          </w:tcPr>
          <w:p w14:paraId="05045C71"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大纲撰写人</w:t>
            </w:r>
          </w:p>
        </w:tc>
        <w:tc>
          <w:tcPr>
            <w:tcW w:w="2833" w:type="dxa"/>
            <w:vAlign w:val="center"/>
          </w:tcPr>
          <w:p w14:paraId="135B1EB7" w14:textId="77777777" w:rsidR="0065230C" w:rsidRPr="0065230C" w:rsidRDefault="0065230C" w:rsidP="0065230C">
            <w:pPr>
              <w:spacing w:line="440" w:lineRule="exact"/>
              <w:ind w:firstLineChars="500" w:firstLine="1200"/>
              <w:rPr>
                <w:rFonts w:ascii="Times New Roman" w:eastAsia="宋体" w:hAnsi="Times New Roman" w:cs="Times New Roman"/>
                <w:sz w:val="24"/>
                <w:szCs w:val="24"/>
              </w:rPr>
            </w:pPr>
            <w:r w:rsidRPr="0065230C">
              <w:rPr>
                <w:rFonts w:ascii="Times New Roman" w:eastAsia="宋体" w:hAnsi="Times New Roman" w:cs="Times New Roman" w:hint="eastAsia"/>
                <w:sz w:val="24"/>
                <w:szCs w:val="24"/>
              </w:rPr>
              <w:t>李佳</w:t>
            </w:r>
          </w:p>
        </w:tc>
        <w:tc>
          <w:tcPr>
            <w:tcW w:w="1561" w:type="dxa"/>
            <w:vAlign w:val="center"/>
          </w:tcPr>
          <w:p w14:paraId="29B606C8"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大纲审核人</w:t>
            </w:r>
          </w:p>
        </w:tc>
        <w:tc>
          <w:tcPr>
            <w:tcW w:w="2941" w:type="dxa"/>
            <w:vAlign w:val="center"/>
          </w:tcPr>
          <w:p w14:paraId="472EF841" w14:textId="77777777" w:rsidR="0065230C" w:rsidRPr="0065230C" w:rsidRDefault="0065230C" w:rsidP="0065230C">
            <w:pPr>
              <w:spacing w:line="440" w:lineRule="exact"/>
              <w:jc w:val="center"/>
              <w:rPr>
                <w:rFonts w:ascii="Times New Roman" w:eastAsia="宋体" w:hAnsi="Times New Roman" w:cs="Times New Roman"/>
                <w:sz w:val="24"/>
                <w:szCs w:val="24"/>
              </w:rPr>
            </w:pPr>
            <w:proofErr w:type="gramStart"/>
            <w:r w:rsidRPr="0065230C">
              <w:rPr>
                <w:rFonts w:ascii="Times New Roman" w:eastAsia="宋体" w:hAnsi="Times New Roman" w:cs="Times New Roman" w:hint="eastAsia"/>
                <w:sz w:val="24"/>
                <w:szCs w:val="24"/>
              </w:rPr>
              <w:t>冯</w:t>
            </w:r>
            <w:proofErr w:type="gramEnd"/>
            <w:r w:rsidRPr="0065230C">
              <w:rPr>
                <w:rFonts w:ascii="Times New Roman" w:eastAsia="宋体" w:hAnsi="Times New Roman" w:cs="Times New Roman" w:hint="eastAsia"/>
                <w:sz w:val="24"/>
                <w:szCs w:val="24"/>
              </w:rPr>
              <w:t>小龙</w:t>
            </w:r>
          </w:p>
        </w:tc>
      </w:tr>
      <w:tr w:rsidR="0065230C" w:rsidRPr="0065230C" w14:paraId="052D24AB" w14:textId="77777777" w:rsidTr="00C96426">
        <w:trPr>
          <w:trHeight w:val="848"/>
          <w:jc w:val="center"/>
        </w:trPr>
        <w:tc>
          <w:tcPr>
            <w:tcW w:w="1668" w:type="dxa"/>
            <w:vAlign w:val="center"/>
          </w:tcPr>
          <w:p w14:paraId="6499339D"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先修课程</w:t>
            </w:r>
          </w:p>
        </w:tc>
        <w:tc>
          <w:tcPr>
            <w:tcW w:w="7335" w:type="dxa"/>
            <w:gridSpan w:val="3"/>
            <w:vAlign w:val="center"/>
          </w:tcPr>
          <w:p w14:paraId="645DFFD9"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先修</w:t>
            </w:r>
            <w:r w:rsidRPr="0065230C">
              <w:rPr>
                <w:rFonts w:ascii="Times New Roman" w:eastAsia="宋体" w:hAnsi="Times New Roman" w:cs="Times New Roman" w:hint="eastAsia"/>
                <w:sz w:val="24"/>
                <w:szCs w:val="24"/>
              </w:rPr>
              <w:t>《药物分析》、《药剂学》、</w:t>
            </w:r>
            <w:r w:rsidRPr="0065230C">
              <w:rPr>
                <w:rFonts w:ascii="Times New Roman" w:eastAsia="宋体" w:hAnsi="Times New Roman" w:cs="Times New Roman"/>
                <w:sz w:val="24"/>
                <w:szCs w:val="24"/>
              </w:rPr>
              <w:t>《</w:t>
            </w:r>
            <w:r w:rsidRPr="0065230C">
              <w:rPr>
                <w:rFonts w:ascii="Times New Roman" w:eastAsia="宋体" w:hAnsi="Times New Roman" w:cs="Times New Roman" w:hint="eastAsia"/>
                <w:sz w:val="24"/>
                <w:szCs w:val="24"/>
              </w:rPr>
              <w:t>药理学</w:t>
            </w:r>
            <w:r w:rsidRPr="0065230C">
              <w:rPr>
                <w:rFonts w:ascii="Times New Roman" w:eastAsia="宋体" w:hAnsi="Times New Roman" w:cs="Times New Roman"/>
                <w:sz w:val="24"/>
                <w:szCs w:val="24"/>
              </w:rPr>
              <w:t>》、《药物化学》课程</w:t>
            </w:r>
          </w:p>
        </w:tc>
      </w:tr>
      <w:tr w:rsidR="0065230C" w:rsidRPr="0065230C" w14:paraId="0E56F2A8" w14:textId="77777777" w:rsidTr="00C96426">
        <w:trPr>
          <w:trHeight w:val="848"/>
          <w:jc w:val="center"/>
        </w:trPr>
        <w:tc>
          <w:tcPr>
            <w:tcW w:w="1668" w:type="dxa"/>
            <w:vAlign w:val="center"/>
          </w:tcPr>
          <w:p w14:paraId="2FE458C3"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课程网址</w:t>
            </w:r>
          </w:p>
        </w:tc>
        <w:tc>
          <w:tcPr>
            <w:tcW w:w="7335" w:type="dxa"/>
            <w:gridSpan w:val="3"/>
            <w:vAlign w:val="center"/>
          </w:tcPr>
          <w:p w14:paraId="662E03DC" w14:textId="77777777" w:rsidR="0065230C" w:rsidRPr="0065230C" w:rsidRDefault="0065230C" w:rsidP="0065230C">
            <w:pPr>
              <w:spacing w:line="440" w:lineRule="exact"/>
              <w:rPr>
                <w:rFonts w:ascii="Times New Roman" w:eastAsia="宋体" w:hAnsi="Times New Roman" w:cs="Times New Roman"/>
                <w:sz w:val="24"/>
                <w:szCs w:val="24"/>
              </w:rPr>
            </w:pPr>
          </w:p>
        </w:tc>
      </w:tr>
    </w:tbl>
    <w:p w14:paraId="38A7C171" w14:textId="77777777" w:rsidR="0065230C" w:rsidRPr="0065230C" w:rsidRDefault="0065230C" w:rsidP="0065230C">
      <w:pPr>
        <w:spacing w:beforeLines="50" w:before="156" w:afterLines="50" w:after="156" w:line="440" w:lineRule="exact"/>
        <w:ind w:firstLineChars="200" w:firstLine="560"/>
        <w:rPr>
          <w:rFonts w:ascii="Times New Roman" w:eastAsia="黑体" w:hAnsi="Times New Roman" w:cs="Times New Roman"/>
          <w:sz w:val="28"/>
          <w:szCs w:val="28"/>
        </w:rPr>
      </w:pPr>
      <w:r w:rsidRPr="0065230C">
        <w:rPr>
          <w:rFonts w:ascii="Times New Roman" w:eastAsia="黑体" w:hAnsi="Times New Roman" w:cs="Times New Roman"/>
          <w:sz w:val="28"/>
          <w:szCs w:val="28"/>
        </w:rPr>
        <w:t>二、课程学习目标及与毕业要求的对应关系</w:t>
      </w:r>
    </w:p>
    <w:p w14:paraId="16B4DE8D" w14:textId="77777777" w:rsidR="0065230C" w:rsidRPr="0065230C" w:rsidRDefault="0065230C" w:rsidP="0065230C">
      <w:pPr>
        <w:spacing w:beforeLines="50" w:before="156" w:afterLines="50" w:after="156" w:line="440" w:lineRule="exact"/>
        <w:ind w:firstLineChars="200" w:firstLine="560"/>
        <w:rPr>
          <w:rFonts w:ascii="Times New Roman" w:eastAsia="黑体" w:hAnsi="Times New Roman" w:cs="Times New Roman"/>
          <w:sz w:val="28"/>
          <w:szCs w:val="28"/>
        </w:rPr>
      </w:pPr>
      <w:r w:rsidRPr="0065230C">
        <w:rPr>
          <w:rFonts w:ascii="Times New Roman" w:eastAsia="黑体" w:hAnsi="Times New Roman" w:cs="Times New Roman"/>
          <w:sz w:val="28"/>
          <w:szCs w:val="28"/>
        </w:rPr>
        <w:t>（一）课程学习目标</w:t>
      </w:r>
    </w:p>
    <w:p w14:paraId="33CA7A2D"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通过本课程的学习，使学生达到以下目标：</w:t>
      </w:r>
    </w:p>
    <w:p w14:paraId="79BDD79A" w14:textId="77777777" w:rsidR="0065230C" w:rsidRPr="0065230C" w:rsidRDefault="0065230C" w:rsidP="0065230C">
      <w:pPr>
        <w:adjustRightInd w:val="0"/>
        <w:snapToGrid w:val="0"/>
        <w:spacing w:line="440" w:lineRule="exact"/>
        <w:ind w:firstLineChars="203" w:firstLine="487"/>
        <w:rPr>
          <w:rFonts w:ascii="Times New Roman" w:eastAsia="宋体" w:hAnsi="Times New Roman" w:cs="Times New Roman"/>
          <w:sz w:val="24"/>
          <w:szCs w:val="24"/>
        </w:rPr>
      </w:pPr>
      <w:r w:rsidRPr="0065230C">
        <w:rPr>
          <w:rFonts w:ascii="Times New Roman" w:eastAsia="宋体" w:hAnsi="Times New Roman" w:cs="Times New Roman"/>
          <w:sz w:val="24"/>
          <w:szCs w:val="24"/>
        </w:rPr>
        <w:t>1.</w:t>
      </w:r>
      <w:r w:rsidRPr="0065230C">
        <w:rPr>
          <w:rFonts w:ascii="Times New Roman" w:eastAsia="宋体" w:hAnsi="Times New Roman" w:cs="Times New Roman" w:hint="eastAsia"/>
          <w:sz w:val="24"/>
          <w:szCs w:val="24"/>
        </w:rPr>
        <w:t>掌握色谱仪器的原理和使用方法，</w:t>
      </w:r>
      <w:r w:rsidRPr="0065230C">
        <w:rPr>
          <w:rFonts w:ascii="Times New Roman" w:eastAsia="宋体" w:hAnsi="Times New Roman" w:cs="Times New Roman"/>
          <w:sz w:val="24"/>
          <w:szCs w:val="24"/>
        </w:rPr>
        <w:t>能够基于科学原理并采用科学方法对</w:t>
      </w:r>
      <w:r w:rsidRPr="0065230C">
        <w:rPr>
          <w:rFonts w:ascii="Times New Roman" w:eastAsia="宋体" w:hAnsi="Times New Roman" w:cs="Times New Roman" w:hint="eastAsia"/>
          <w:sz w:val="24"/>
          <w:szCs w:val="24"/>
        </w:rPr>
        <w:t>药物分析领域进行实验研究并</w:t>
      </w:r>
      <w:r w:rsidRPr="0065230C">
        <w:rPr>
          <w:rFonts w:ascii="Times New Roman" w:eastAsia="宋体" w:hAnsi="Times New Roman" w:cs="Times New Roman"/>
          <w:sz w:val="24"/>
          <w:szCs w:val="24"/>
        </w:rPr>
        <w:t>得到合理有效的结论。【</w:t>
      </w:r>
      <w:r w:rsidRPr="0065230C">
        <w:rPr>
          <w:rFonts w:ascii="Times New Roman" w:eastAsia="宋体" w:hAnsi="Times New Roman" w:cs="Times New Roman"/>
          <w:b/>
          <w:sz w:val="24"/>
          <w:szCs w:val="24"/>
        </w:rPr>
        <w:t>毕业要求</w:t>
      </w:r>
      <w:r w:rsidRPr="0065230C">
        <w:rPr>
          <w:rFonts w:ascii="Times New Roman" w:eastAsia="宋体" w:hAnsi="Times New Roman" w:cs="Times New Roman" w:hint="eastAsia"/>
          <w:b/>
          <w:sz w:val="24"/>
          <w:szCs w:val="24"/>
        </w:rPr>
        <w:t>1</w:t>
      </w:r>
      <w:r w:rsidRPr="0065230C">
        <w:rPr>
          <w:rFonts w:ascii="Times New Roman" w:eastAsia="宋体" w:hAnsi="Times New Roman" w:cs="Times New Roman" w:hint="eastAsia"/>
          <w:b/>
          <w:sz w:val="24"/>
          <w:szCs w:val="24"/>
        </w:rPr>
        <w:t>药学知识</w:t>
      </w:r>
      <w:r w:rsidRPr="0065230C">
        <w:rPr>
          <w:rFonts w:ascii="Times New Roman" w:eastAsia="宋体" w:hAnsi="Times New Roman" w:cs="Times New Roman"/>
          <w:sz w:val="24"/>
          <w:szCs w:val="24"/>
        </w:rPr>
        <w:t>】</w:t>
      </w:r>
    </w:p>
    <w:p w14:paraId="03052530" w14:textId="77777777" w:rsidR="0065230C" w:rsidRPr="0065230C" w:rsidRDefault="0065230C" w:rsidP="0065230C">
      <w:pPr>
        <w:adjustRightInd w:val="0"/>
        <w:snapToGrid w:val="0"/>
        <w:spacing w:line="440" w:lineRule="exact"/>
        <w:ind w:firstLineChars="203" w:firstLine="487"/>
        <w:rPr>
          <w:rFonts w:ascii="Times New Roman" w:eastAsia="宋体" w:hAnsi="Times New Roman" w:cs="Times New Roman"/>
          <w:sz w:val="24"/>
          <w:szCs w:val="24"/>
        </w:rPr>
      </w:pPr>
      <w:r w:rsidRPr="0065230C">
        <w:rPr>
          <w:rFonts w:ascii="Times New Roman" w:eastAsia="宋体" w:hAnsi="Times New Roman" w:cs="Times New Roman"/>
          <w:sz w:val="24"/>
          <w:szCs w:val="24"/>
        </w:rPr>
        <w:t>2.</w:t>
      </w:r>
      <w:r w:rsidRPr="0065230C">
        <w:rPr>
          <w:rFonts w:ascii="Times New Roman" w:eastAsia="宋体" w:hAnsi="Times New Roman" w:cs="Times New Roman" w:hint="eastAsia"/>
          <w:sz w:val="24"/>
          <w:szCs w:val="24"/>
        </w:rPr>
        <w:t>了解色谱仪器数据分析的原理和基本方法，并用于生活和科研实验，树立科学探究意识、微观探析、创新意识和科学态度的核心素养。</w:t>
      </w:r>
      <w:r w:rsidRPr="0065230C">
        <w:rPr>
          <w:rFonts w:ascii="Times New Roman" w:eastAsia="宋体" w:hAnsi="Times New Roman" w:cs="Times New Roman"/>
          <w:sz w:val="24"/>
          <w:szCs w:val="24"/>
        </w:rPr>
        <w:t>【</w:t>
      </w:r>
      <w:r w:rsidRPr="0065230C">
        <w:rPr>
          <w:rFonts w:ascii="Times New Roman" w:eastAsia="宋体" w:hAnsi="Times New Roman" w:cs="Times New Roman"/>
          <w:b/>
          <w:sz w:val="24"/>
          <w:szCs w:val="24"/>
        </w:rPr>
        <w:t>毕业要求</w:t>
      </w:r>
      <w:r w:rsidRPr="0065230C">
        <w:rPr>
          <w:rFonts w:ascii="Times New Roman" w:eastAsia="宋体" w:hAnsi="Times New Roman" w:cs="Times New Roman"/>
          <w:b/>
          <w:sz w:val="24"/>
          <w:szCs w:val="24"/>
        </w:rPr>
        <w:t xml:space="preserve">4 </w:t>
      </w:r>
      <w:r w:rsidRPr="0065230C">
        <w:rPr>
          <w:rFonts w:ascii="Times New Roman" w:eastAsia="宋体" w:hAnsi="Times New Roman" w:cs="Times New Roman" w:hint="eastAsia"/>
          <w:b/>
          <w:sz w:val="24"/>
          <w:szCs w:val="24"/>
        </w:rPr>
        <w:t>科学</w:t>
      </w:r>
      <w:r w:rsidRPr="0065230C">
        <w:rPr>
          <w:rFonts w:ascii="Times New Roman" w:eastAsia="宋体" w:hAnsi="Times New Roman" w:cs="Times New Roman"/>
          <w:b/>
          <w:bCs/>
          <w:sz w:val="24"/>
          <w:szCs w:val="24"/>
        </w:rPr>
        <w:t>研究</w:t>
      </w:r>
      <w:r w:rsidRPr="0065230C">
        <w:rPr>
          <w:rFonts w:ascii="Times New Roman" w:eastAsia="宋体" w:hAnsi="Times New Roman" w:cs="Times New Roman"/>
          <w:sz w:val="24"/>
          <w:szCs w:val="24"/>
        </w:rPr>
        <w:t>】</w:t>
      </w:r>
    </w:p>
    <w:p w14:paraId="777047D3" w14:textId="77777777" w:rsidR="0065230C" w:rsidRPr="0065230C" w:rsidRDefault="0065230C" w:rsidP="0065230C">
      <w:pPr>
        <w:adjustRightInd w:val="0"/>
        <w:snapToGrid w:val="0"/>
        <w:spacing w:line="440" w:lineRule="exact"/>
        <w:ind w:firstLineChars="203" w:firstLine="487"/>
        <w:rPr>
          <w:rFonts w:ascii="Times New Roman" w:eastAsia="宋体" w:hAnsi="Times New Roman" w:cs="Times New Roman"/>
          <w:sz w:val="24"/>
          <w:szCs w:val="24"/>
        </w:rPr>
      </w:pPr>
      <w:r w:rsidRPr="0065230C">
        <w:rPr>
          <w:rFonts w:ascii="Times New Roman" w:eastAsia="宋体" w:hAnsi="Times New Roman" w:cs="Times New Roman"/>
          <w:sz w:val="24"/>
          <w:szCs w:val="24"/>
        </w:rPr>
        <w:t>3.</w:t>
      </w:r>
      <w:r w:rsidRPr="0065230C">
        <w:rPr>
          <w:rFonts w:ascii="Times New Roman" w:eastAsia="宋体" w:hAnsi="Times New Roman" w:cs="Times New Roman"/>
          <w:sz w:val="24"/>
          <w:szCs w:val="24"/>
        </w:rPr>
        <w:t>能够针对药剂学</w:t>
      </w:r>
      <w:r w:rsidRPr="0065230C">
        <w:rPr>
          <w:rFonts w:ascii="Times New Roman" w:eastAsia="宋体" w:hAnsi="Times New Roman" w:cs="Times New Roman" w:hint="eastAsia"/>
          <w:sz w:val="24"/>
          <w:szCs w:val="24"/>
        </w:rPr>
        <w:t>中的</w:t>
      </w:r>
      <w:r w:rsidRPr="0065230C">
        <w:rPr>
          <w:rFonts w:ascii="Times New Roman" w:eastAsia="宋体" w:hAnsi="Times New Roman" w:cs="Times New Roman"/>
          <w:sz w:val="24"/>
          <w:szCs w:val="24"/>
        </w:rPr>
        <w:t>复杂问题，开发、选择与使用恰当</w:t>
      </w:r>
      <w:r w:rsidRPr="0065230C">
        <w:rPr>
          <w:rFonts w:ascii="Times New Roman" w:eastAsia="宋体" w:hAnsi="Times New Roman" w:cs="Times New Roman" w:hint="eastAsia"/>
          <w:sz w:val="24"/>
          <w:szCs w:val="24"/>
        </w:rPr>
        <w:t>分析</w:t>
      </w:r>
      <w:r w:rsidRPr="0065230C">
        <w:rPr>
          <w:rFonts w:ascii="Times New Roman" w:eastAsia="宋体" w:hAnsi="Times New Roman" w:cs="Times New Roman"/>
          <w:sz w:val="24"/>
          <w:szCs w:val="24"/>
        </w:rPr>
        <w:t>的</w:t>
      </w:r>
      <w:r w:rsidRPr="0065230C">
        <w:rPr>
          <w:rFonts w:ascii="Times New Roman" w:eastAsia="宋体" w:hAnsi="Times New Roman" w:cs="Times New Roman" w:hint="eastAsia"/>
          <w:sz w:val="24"/>
          <w:szCs w:val="24"/>
        </w:rPr>
        <w:t>现代工具和技术，</w:t>
      </w:r>
      <w:r w:rsidRPr="0065230C">
        <w:rPr>
          <w:rFonts w:ascii="Times New Roman" w:eastAsia="宋体" w:hAnsi="Times New Roman" w:cs="Times New Roman"/>
          <w:sz w:val="24"/>
          <w:szCs w:val="24"/>
        </w:rPr>
        <w:t>并能够理解其局限性</w:t>
      </w:r>
      <w:r w:rsidRPr="0065230C">
        <w:rPr>
          <w:rFonts w:ascii="Times New Roman" w:eastAsia="宋体" w:hAnsi="Times New Roman" w:cs="Times New Roman" w:hint="eastAsia"/>
          <w:sz w:val="24"/>
          <w:szCs w:val="24"/>
        </w:rPr>
        <w:t>，为今后仪器研发贡献力量</w:t>
      </w:r>
      <w:r w:rsidRPr="0065230C">
        <w:rPr>
          <w:rFonts w:ascii="Times New Roman" w:eastAsia="宋体" w:hAnsi="Times New Roman" w:cs="Times New Roman"/>
          <w:sz w:val="24"/>
          <w:szCs w:val="24"/>
        </w:rPr>
        <w:t>。【</w:t>
      </w:r>
      <w:r w:rsidRPr="0065230C">
        <w:rPr>
          <w:rFonts w:ascii="Times New Roman" w:eastAsia="宋体" w:hAnsi="Times New Roman" w:cs="Times New Roman"/>
          <w:b/>
          <w:sz w:val="24"/>
          <w:szCs w:val="24"/>
        </w:rPr>
        <w:t>毕业要求</w:t>
      </w:r>
      <w:r w:rsidRPr="0065230C">
        <w:rPr>
          <w:rFonts w:ascii="Times New Roman" w:eastAsia="宋体" w:hAnsi="Times New Roman" w:cs="Times New Roman"/>
          <w:b/>
          <w:sz w:val="24"/>
          <w:szCs w:val="24"/>
        </w:rPr>
        <w:t>5</w:t>
      </w:r>
      <w:r w:rsidRPr="0065230C">
        <w:rPr>
          <w:rFonts w:ascii="Times New Roman" w:eastAsia="宋体" w:hAnsi="Times New Roman" w:cs="Times New Roman"/>
          <w:b/>
          <w:bCs/>
          <w:sz w:val="24"/>
          <w:szCs w:val="24"/>
        </w:rPr>
        <w:t>使用现代工具</w:t>
      </w:r>
      <w:r w:rsidRPr="0065230C">
        <w:rPr>
          <w:rFonts w:ascii="Times New Roman" w:eastAsia="宋体" w:hAnsi="Times New Roman" w:cs="Times New Roman"/>
          <w:sz w:val="24"/>
          <w:szCs w:val="24"/>
        </w:rPr>
        <w:t>】</w:t>
      </w:r>
    </w:p>
    <w:p w14:paraId="29805BFF" w14:textId="77777777" w:rsidR="0065230C" w:rsidRPr="0065230C" w:rsidRDefault="0065230C" w:rsidP="0065230C">
      <w:pPr>
        <w:spacing w:beforeLines="50" w:before="156" w:afterLines="50" w:after="156" w:line="440" w:lineRule="exact"/>
        <w:ind w:firstLineChars="200" w:firstLine="560"/>
        <w:rPr>
          <w:rFonts w:ascii="Times New Roman" w:eastAsia="黑体" w:hAnsi="Times New Roman" w:cs="Times New Roman"/>
          <w:sz w:val="28"/>
          <w:szCs w:val="28"/>
        </w:rPr>
      </w:pPr>
      <w:r w:rsidRPr="0065230C">
        <w:rPr>
          <w:rFonts w:ascii="Times New Roman" w:eastAsia="黑体" w:hAnsi="Times New Roman" w:cs="Times New Roman"/>
          <w:sz w:val="28"/>
          <w:szCs w:val="28"/>
        </w:rPr>
        <w:t>（二）课程学习目标与毕业要求指标点的对应关系</w:t>
      </w:r>
    </w:p>
    <w:tbl>
      <w:tblPr>
        <w:tblpPr w:leftFromText="180" w:rightFromText="180" w:vertAnchor="text" w:horzAnchor="page" w:tblpX="1533" w:tblpY="199"/>
        <w:tblOverlap w:val="never"/>
        <w:tblW w:w="9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95"/>
        <w:gridCol w:w="5415"/>
        <w:gridCol w:w="1959"/>
      </w:tblGrid>
      <w:tr w:rsidR="0065230C" w:rsidRPr="0065230C" w14:paraId="0B36B2AF" w14:textId="77777777" w:rsidTr="00C96426">
        <w:trPr>
          <w:trHeight w:val="815"/>
        </w:trPr>
        <w:tc>
          <w:tcPr>
            <w:tcW w:w="1795" w:type="dxa"/>
            <w:vAlign w:val="center"/>
          </w:tcPr>
          <w:p w14:paraId="3C56173C" w14:textId="77777777" w:rsidR="0065230C" w:rsidRPr="0065230C" w:rsidRDefault="0065230C" w:rsidP="0065230C">
            <w:pPr>
              <w:spacing w:line="440" w:lineRule="exact"/>
              <w:jc w:val="center"/>
              <w:rPr>
                <w:rFonts w:ascii="Times New Roman" w:eastAsia="宋体" w:hAnsi="Times New Roman" w:cs="Times New Roman"/>
                <w:b/>
                <w:sz w:val="24"/>
                <w:szCs w:val="24"/>
              </w:rPr>
            </w:pPr>
            <w:r w:rsidRPr="0065230C">
              <w:rPr>
                <w:rFonts w:ascii="Times New Roman" w:eastAsia="宋体" w:hAnsi="Times New Roman" w:cs="Times New Roman"/>
                <w:b/>
                <w:sz w:val="24"/>
                <w:szCs w:val="24"/>
              </w:rPr>
              <w:t>毕业要求</w:t>
            </w:r>
          </w:p>
        </w:tc>
        <w:tc>
          <w:tcPr>
            <w:tcW w:w="5415" w:type="dxa"/>
            <w:vAlign w:val="center"/>
          </w:tcPr>
          <w:p w14:paraId="4DC62B38" w14:textId="77777777" w:rsidR="0065230C" w:rsidRPr="0065230C" w:rsidRDefault="0065230C" w:rsidP="0065230C">
            <w:pPr>
              <w:spacing w:line="440" w:lineRule="exact"/>
              <w:jc w:val="center"/>
              <w:rPr>
                <w:rFonts w:ascii="Times New Roman" w:eastAsia="宋体" w:hAnsi="Times New Roman" w:cs="Times New Roman"/>
                <w:b/>
                <w:sz w:val="24"/>
                <w:szCs w:val="24"/>
              </w:rPr>
            </w:pPr>
            <w:r w:rsidRPr="0065230C">
              <w:rPr>
                <w:rFonts w:ascii="Times New Roman" w:eastAsia="宋体" w:hAnsi="Times New Roman" w:cs="Times New Roman"/>
                <w:b/>
                <w:sz w:val="24"/>
                <w:szCs w:val="24"/>
              </w:rPr>
              <w:t>毕业要求指标点</w:t>
            </w:r>
          </w:p>
        </w:tc>
        <w:tc>
          <w:tcPr>
            <w:tcW w:w="1959" w:type="dxa"/>
            <w:vAlign w:val="center"/>
          </w:tcPr>
          <w:p w14:paraId="4674D5B1" w14:textId="77777777" w:rsidR="0065230C" w:rsidRPr="0065230C" w:rsidRDefault="0065230C" w:rsidP="0065230C">
            <w:pPr>
              <w:spacing w:line="440" w:lineRule="exact"/>
              <w:jc w:val="center"/>
              <w:rPr>
                <w:rFonts w:ascii="Times New Roman" w:eastAsia="宋体" w:hAnsi="Times New Roman" w:cs="Times New Roman"/>
                <w:b/>
                <w:sz w:val="24"/>
                <w:szCs w:val="24"/>
              </w:rPr>
            </w:pPr>
            <w:r w:rsidRPr="0065230C">
              <w:rPr>
                <w:rFonts w:ascii="Times New Roman" w:eastAsia="宋体" w:hAnsi="Times New Roman" w:cs="Times New Roman"/>
                <w:b/>
                <w:sz w:val="24"/>
                <w:szCs w:val="24"/>
              </w:rPr>
              <w:t>课程目标</w:t>
            </w:r>
          </w:p>
        </w:tc>
      </w:tr>
      <w:tr w:rsidR="0065230C" w:rsidRPr="0065230C" w14:paraId="66FB1ADF" w14:textId="77777777" w:rsidTr="00C96426">
        <w:trPr>
          <w:trHeight w:val="815"/>
        </w:trPr>
        <w:tc>
          <w:tcPr>
            <w:tcW w:w="1795" w:type="dxa"/>
            <w:vAlign w:val="center"/>
          </w:tcPr>
          <w:p w14:paraId="4C718CB6" w14:textId="77777777" w:rsidR="0065230C" w:rsidRPr="0065230C" w:rsidRDefault="0065230C" w:rsidP="0065230C">
            <w:pPr>
              <w:widowControl/>
              <w:spacing w:line="440" w:lineRule="exact"/>
              <w:jc w:val="left"/>
              <w:rPr>
                <w:rFonts w:ascii="Times New Roman" w:eastAsia="宋体" w:hAnsi="Times New Roman" w:cs="Times New Roman"/>
                <w:b/>
                <w:sz w:val="24"/>
                <w:szCs w:val="24"/>
              </w:rPr>
            </w:pPr>
            <w:r w:rsidRPr="0065230C">
              <w:rPr>
                <w:rFonts w:ascii="Times New Roman" w:eastAsia="宋体" w:hAnsi="Times New Roman" w:cs="Times New Roman" w:hint="eastAsia"/>
                <w:spacing w:val="-1"/>
                <w:sz w:val="24"/>
                <w:szCs w:val="24"/>
              </w:rPr>
              <w:lastRenderedPageBreak/>
              <w:t>1</w:t>
            </w:r>
            <w:r w:rsidRPr="0065230C">
              <w:rPr>
                <w:rFonts w:ascii="Times New Roman" w:eastAsia="宋体" w:hAnsi="Times New Roman" w:cs="Times New Roman" w:hint="eastAsia"/>
                <w:spacing w:val="-1"/>
                <w:sz w:val="24"/>
                <w:szCs w:val="24"/>
              </w:rPr>
              <w:t>药学知识</w:t>
            </w:r>
          </w:p>
        </w:tc>
        <w:tc>
          <w:tcPr>
            <w:tcW w:w="5415" w:type="dxa"/>
            <w:vAlign w:val="center"/>
          </w:tcPr>
          <w:p w14:paraId="3B2FF13E" w14:textId="77777777" w:rsidR="0065230C" w:rsidRPr="0065230C" w:rsidRDefault="0065230C" w:rsidP="0065230C">
            <w:pPr>
              <w:spacing w:line="440" w:lineRule="exact"/>
              <w:jc w:val="left"/>
              <w:rPr>
                <w:rFonts w:ascii="Times New Roman" w:eastAsia="宋体" w:hAnsi="Times New Roman" w:cs="Times New Roman"/>
                <w:b/>
                <w:sz w:val="24"/>
                <w:szCs w:val="24"/>
              </w:rPr>
            </w:pPr>
            <w:r w:rsidRPr="0065230C">
              <w:rPr>
                <w:rFonts w:ascii="Times New Roman" w:eastAsia="宋体" w:hAnsi="Times New Roman" w:cs="Times New Roman" w:hint="eastAsia"/>
                <w:spacing w:val="-1"/>
                <w:sz w:val="24"/>
                <w:szCs w:val="24"/>
              </w:rPr>
              <w:t xml:space="preserve">1.3 </w:t>
            </w:r>
            <w:r w:rsidRPr="0065230C">
              <w:rPr>
                <w:rFonts w:ascii="Times New Roman" w:eastAsia="宋体" w:hAnsi="Times New Roman" w:cs="Times New Roman" w:hint="eastAsia"/>
                <w:spacing w:val="-1"/>
                <w:sz w:val="24"/>
                <w:szCs w:val="24"/>
              </w:rPr>
              <w:t>掌握药物分析、中药分析、体内药物分析、药剂学、药理学和药物化学等药学专业理论知识、科学研究方法和实验技能。（</w:t>
            </w:r>
            <w:r w:rsidRPr="0065230C">
              <w:rPr>
                <w:rFonts w:ascii="Times New Roman" w:eastAsia="宋体" w:hAnsi="Times New Roman" w:cs="Times New Roman" w:hint="eastAsia"/>
                <w:spacing w:val="-1"/>
                <w:sz w:val="24"/>
                <w:szCs w:val="24"/>
              </w:rPr>
              <w:t>H</w:t>
            </w:r>
            <w:r w:rsidRPr="0065230C">
              <w:rPr>
                <w:rFonts w:ascii="Times New Roman" w:eastAsia="宋体" w:hAnsi="Times New Roman" w:cs="Times New Roman" w:hint="eastAsia"/>
                <w:spacing w:val="-1"/>
                <w:sz w:val="24"/>
                <w:szCs w:val="24"/>
              </w:rPr>
              <w:t>）</w:t>
            </w:r>
          </w:p>
        </w:tc>
        <w:tc>
          <w:tcPr>
            <w:tcW w:w="1959" w:type="dxa"/>
            <w:vAlign w:val="center"/>
          </w:tcPr>
          <w:p w14:paraId="3946AA2C" w14:textId="77777777" w:rsidR="0065230C" w:rsidRPr="0065230C" w:rsidRDefault="0065230C" w:rsidP="0065230C">
            <w:pPr>
              <w:spacing w:line="440" w:lineRule="exact"/>
              <w:jc w:val="center"/>
              <w:rPr>
                <w:rFonts w:ascii="Times New Roman" w:eastAsia="宋体" w:hAnsi="Times New Roman" w:cs="Times New Roman"/>
                <w:b/>
                <w:sz w:val="24"/>
                <w:szCs w:val="24"/>
              </w:rPr>
            </w:pPr>
            <w:r w:rsidRPr="0065230C">
              <w:rPr>
                <w:rFonts w:ascii="Times New Roman" w:eastAsia="宋体" w:hAnsi="Times New Roman" w:cs="Times New Roman"/>
                <w:sz w:val="24"/>
                <w:szCs w:val="24"/>
              </w:rPr>
              <w:t>课程目标</w:t>
            </w:r>
            <w:r w:rsidRPr="0065230C">
              <w:rPr>
                <w:rFonts w:ascii="Times New Roman" w:eastAsia="宋体" w:hAnsi="Times New Roman" w:cs="Times New Roman"/>
                <w:sz w:val="24"/>
                <w:szCs w:val="24"/>
              </w:rPr>
              <w:t>1</w:t>
            </w:r>
          </w:p>
        </w:tc>
      </w:tr>
      <w:tr w:rsidR="0065230C" w:rsidRPr="0065230C" w14:paraId="51EB5D28" w14:textId="77777777" w:rsidTr="00C96426">
        <w:tc>
          <w:tcPr>
            <w:tcW w:w="1795" w:type="dxa"/>
            <w:vAlign w:val="center"/>
          </w:tcPr>
          <w:p w14:paraId="4A42C264" w14:textId="77777777" w:rsidR="0065230C" w:rsidRPr="0065230C" w:rsidRDefault="0065230C" w:rsidP="0065230C">
            <w:pPr>
              <w:widowControl/>
              <w:spacing w:line="440" w:lineRule="exact"/>
              <w:jc w:val="left"/>
              <w:rPr>
                <w:rFonts w:ascii="Times New Roman" w:eastAsia="宋体" w:hAnsi="Times New Roman" w:cs="Times New Roman"/>
                <w:sz w:val="24"/>
                <w:szCs w:val="24"/>
              </w:rPr>
            </w:pPr>
            <w:r w:rsidRPr="0065230C">
              <w:rPr>
                <w:rFonts w:ascii="Times New Roman" w:eastAsia="宋体" w:hAnsi="Times New Roman" w:cs="Times New Roman"/>
                <w:spacing w:val="-1"/>
                <w:sz w:val="24"/>
                <w:szCs w:val="24"/>
              </w:rPr>
              <w:t xml:space="preserve">4 </w:t>
            </w:r>
            <w:r w:rsidRPr="0065230C">
              <w:rPr>
                <w:rFonts w:ascii="Times New Roman" w:eastAsia="宋体" w:hAnsi="Times New Roman" w:cs="Times New Roman" w:hint="eastAsia"/>
                <w:spacing w:val="-1"/>
                <w:sz w:val="24"/>
                <w:szCs w:val="24"/>
              </w:rPr>
              <w:t>科学</w:t>
            </w:r>
            <w:r w:rsidRPr="0065230C">
              <w:rPr>
                <w:rFonts w:ascii="Times New Roman" w:eastAsia="宋体" w:hAnsi="Times New Roman" w:cs="Times New Roman"/>
                <w:spacing w:val="-1"/>
                <w:sz w:val="24"/>
                <w:szCs w:val="24"/>
              </w:rPr>
              <w:t>研究</w:t>
            </w:r>
          </w:p>
        </w:tc>
        <w:tc>
          <w:tcPr>
            <w:tcW w:w="5415" w:type="dxa"/>
            <w:vAlign w:val="center"/>
          </w:tcPr>
          <w:p w14:paraId="7E2846F3" w14:textId="77777777" w:rsidR="0065230C" w:rsidRPr="0065230C" w:rsidRDefault="0065230C" w:rsidP="0065230C">
            <w:pPr>
              <w:widowControl/>
              <w:spacing w:line="440" w:lineRule="exact"/>
              <w:jc w:val="left"/>
              <w:rPr>
                <w:rFonts w:ascii="Times New Roman" w:eastAsia="宋体" w:hAnsi="Times New Roman" w:cs="Times New Roman"/>
                <w:spacing w:val="-1"/>
                <w:sz w:val="24"/>
                <w:szCs w:val="24"/>
              </w:rPr>
            </w:pPr>
            <w:r w:rsidRPr="0065230C">
              <w:rPr>
                <w:rFonts w:ascii="Times New Roman" w:eastAsia="宋体" w:hAnsi="Times New Roman" w:cs="Times New Roman" w:hint="eastAsia"/>
                <w:spacing w:val="-1"/>
                <w:sz w:val="24"/>
                <w:szCs w:val="24"/>
              </w:rPr>
              <w:t xml:space="preserve">4.2 </w:t>
            </w:r>
            <w:r w:rsidRPr="0065230C">
              <w:rPr>
                <w:rFonts w:ascii="Times New Roman" w:eastAsia="宋体" w:hAnsi="Times New Roman" w:cs="Times New Roman" w:hint="eastAsia"/>
                <w:spacing w:val="-1"/>
                <w:sz w:val="24"/>
                <w:szCs w:val="24"/>
              </w:rPr>
              <w:t>能够根据药物分析</w:t>
            </w:r>
            <w:proofErr w:type="gramStart"/>
            <w:r w:rsidRPr="0065230C">
              <w:rPr>
                <w:rFonts w:ascii="Times New Roman" w:eastAsia="宋体" w:hAnsi="Times New Roman" w:cs="Times New Roman" w:hint="eastAsia"/>
                <w:spacing w:val="-1"/>
                <w:sz w:val="24"/>
                <w:szCs w:val="24"/>
              </w:rPr>
              <w:t>学实际</w:t>
            </w:r>
            <w:proofErr w:type="gramEnd"/>
            <w:r w:rsidRPr="0065230C">
              <w:rPr>
                <w:rFonts w:ascii="Times New Roman" w:eastAsia="宋体" w:hAnsi="Times New Roman" w:cs="Times New Roman" w:hint="eastAsia"/>
                <w:spacing w:val="-1"/>
                <w:sz w:val="24"/>
                <w:szCs w:val="24"/>
              </w:rPr>
              <w:t>问题的需要，选择适合的分析方法收集数据。</w:t>
            </w:r>
            <w:r w:rsidRPr="0065230C">
              <w:rPr>
                <w:rFonts w:ascii="Times New Roman" w:eastAsia="宋体" w:hAnsi="Times New Roman" w:cs="Times New Roman"/>
                <w:spacing w:val="-1"/>
                <w:sz w:val="24"/>
                <w:szCs w:val="24"/>
              </w:rPr>
              <w:t>（</w:t>
            </w:r>
            <w:r w:rsidRPr="0065230C">
              <w:rPr>
                <w:rFonts w:ascii="Times New Roman" w:eastAsia="宋体" w:hAnsi="Times New Roman" w:cs="Times New Roman"/>
                <w:spacing w:val="-1"/>
                <w:sz w:val="24"/>
                <w:szCs w:val="24"/>
              </w:rPr>
              <w:t>M</w:t>
            </w:r>
            <w:r w:rsidRPr="0065230C">
              <w:rPr>
                <w:rFonts w:ascii="Times New Roman" w:eastAsia="宋体" w:hAnsi="Times New Roman" w:cs="Times New Roman"/>
                <w:spacing w:val="-1"/>
                <w:sz w:val="24"/>
                <w:szCs w:val="24"/>
              </w:rPr>
              <w:t>）</w:t>
            </w:r>
          </w:p>
        </w:tc>
        <w:tc>
          <w:tcPr>
            <w:tcW w:w="1959" w:type="dxa"/>
            <w:vAlign w:val="center"/>
          </w:tcPr>
          <w:p w14:paraId="6A36C333"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课程目标</w:t>
            </w:r>
            <w:r w:rsidRPr="0065230C">
              <w:rPr>
                <w:rFonts w:ascii="Times New Roman" w:eastAsia="宋体" w:hAnsi="Times New Roman" w:cs="Times New Roman"/>
                <w:sz w:val="24"/>
                <w:szCs w:val="24"/>
              </w:rPr>
              <w:t>2</w:t>
            </w:r>
          </w:p>
        </w:tc>
      </w:tr>
      <w:tr w:rsidR="0065230C" w:rsidRPr="0065230C" w14:paraId="0CE550D2" w14:textId="77777777" w:rsidTr="00C96426">
        <w:tc>
          <w:tcPr>
            <w:tcW w:w="1795" w:type="dxa"/>
            <w:vAlign w:val="center"/>
          </w:tcPr>
          <w:p w14:paraId="4D61BB5F" w14:textId="77777777" w:rsidR="0065230C" w:rsidRPr="0065230C" w:rsidRDefault="0065230C" w:rsidP="0065230C">
            <w:pPr>
              <w:widowControl/>
              <w:spacing w:line="440" w:lineRule="exact"/>
              <w:jc w:val="left"/>
              <w:rPr>
                <w:rFonts w:ascii="Times New Roman" w:eastAsia="宋体" w:hAnsi="Times New Roman" w:cs="Times New Roman"/>
                <w:sz w:val="24"/>
                <w:szCs w:val="24"/>
              </w:rPr>
            </w:pPr>
            <w:r w:rsidRPr="0065230C">
              <w:rPr>
                <w:rFonts w:ascii="Times New Roman" w:eastAsia="宋体" w:hAnsi="Times New Roman" w:cs="Times New Roman"/>
                <w:spacing w:val="-1"/>
                <w:sz w:val="24"/>
                <w:szCs w:val="24"/>
              </w:rPr>
              <w:t>5</w:t>
            </w:r>
            <w:r w:rsidRPr="0065230C">
              <w:rPr>
                <w:rFonts w:ascii="Times New Roman" w:eastAsia="宋体" w:hAnsi="Times New Roman" w:cs="Times New Roman"/>
                <w:spacing w:val="-1"/>
                <w:sz w:val="24"/>
                <w:szCs w:val="24"/>
              </w:rPr>
              <w:t>使用现代工具</w:t>
            </w:r>
          </w:p>
        </w:tc>
        <w:tc>
          <w:tcPr>
            <w:tcW w:w="5415" w:type="dxa"/>
            <w:vAlign w:val="center"/>
          </w:tcPr>
          <w:p w14:paraId="395DFE4F" w14:textId="77777777" w:rsidR="0065230C" w:rsidRPr="0065230C" w:rsidRDefault="0065230C" w:rsidP="0065230C">
            <w:pPr>
              <w:widowControl/>
              <w:spacing w:line="440" w:lineRule="exact"/>
              <w:jc w:val="left"/>
              <w:rPr>
                <w:rFonts w:ascii="Times New Roman" w:eastAsia="宋体" w:hAnsi="Times New Roman" w:cs="Times New Roman"/>
                <w:sz w:val="24"/>
                <w:szCs w:val="24"/>
              </w:rPr>
            </w:pPr>
            <w:r w:rsidRPr="0065230C">
              <w:rPr>
                <w:rFonts w:ascii="Times New Roman" w:eastAsia="宋体" w:hAnsi="Times New Roman" w:cs="Times New Roman"/>
                <w:spacing w:val="-1"/>
                <w:sz w:val="24"/>
                <w:szCs w:val="24"/>
              </w:rPr>
              <w:t xml:space="preserve">5.2 </w:t>
            </w:r>
            <w:r w:rsidRPr="0065230C">
              <w:rPr>
                <w:rFonts w:ascii="Times New Roman" w:eastAsia="宋体" w:hAnsi="Times New Roman" w:cs="Times New Roman"/>
                <w:spacing w:val="-1"/>
                <w:sz w:val="24"/>
                <w:szCs w:val="24"/>
              </w:rPr>
              <w:t>能够选择与使用恰当的技术、信息资源、工程工具和专业模拟软件，模拟单元操作过程，应用恰当的工具计算并预测结果，并能够分析其局限性。（</w:t>
            </w:r>
            <w:r w:rsidRPr="0065230C">
              <w:rPr>
                <w:rFonts w:ascii="Times New Roman" w:eastAsia="宋体" w:hAnsi="Times New Roman" w:cs="Times New Roman"/>
                <w:spacing w:val="-1"/>
                <w:sz w:val="24"/>
                <w:szCs w:val="24"/>
              </w:rPr>
              <w:t>L</w:t>
            </w:r>
            <w:r w:rsidRPr="0065230C">
              <w:rPr>
                <w:rFonts w:ascii="Times New Roman" w:eastAsia="宋体" w:hAnsi="Times New Roman" w:cs="Times New Roman"/>
                <w:spacing w:val="-1"/>
                <w:sz w:val="24"/>
                <w:szCs w:val="24"/>
              </w:rPr>
              <w:t>）</w:t>
            </w:r>
          </w:p>
        </w:tc>
        <w:tc>
          <w:tcPr>
            <w:tcW w:w="1959" w:type="dxa"/>
            <w:vAlign w:val="center"/>
          </w:tcPr>
          <w:p w14:paraId="65F1EB86"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课程目标</w:t>
            </w:r>
            <w:r w:rsidRPr="0065230C">
              <w:rPr>
                <w:rFonts w:ascii="Times New Roman" w:eastAsia="宋体" w:hAnsi="Times New Roman" w:cs="Times New Roman"/>
                <w:sz w:val="24"/>
                <w:szCs w:val="24"/>
              </w:rPr>
              <w:t>3</w:t>
            </w:r>
          </w:p>
        </w:tc>
      </w:tr>
    </w:tbl>
    <w:p w14:paraId="545A334C" w14:textId="77777777" w:rsidR="0065230C" w:rsidRPr="0065230C" w:rsidRDefault="0065230C" w:rsidP="0065230C">
      <w:pPr>
        <w:spacing w:beforeLines="50" w:before="156" w:afterLines="50" w:after="156" w:line="440" w:lineRule="exact"/>
        <w:ind w:firstLineChars="200" w:firstLine="560"/>
        <w:rPr>
          <w:rFonts w:ascii="Times New Roman" w:eastAsia="黑体" w:hAnsi="Times New Roman" w:cs="Times New Roman"/>
          <w:sz w:val="28"/>
          <w:szCs w:val="28"/>
        </w:rPr>
      </w:pPr>
      <w:r w:rsidRPr="0065230C">
        <w:rPr>
          <w:rFonts w:ascii="Times New Roman" w:eastAsia="黑体" w:hAnsi="Times New Roman" w:cs="Times New Roman"/>
          <w:sz w:val="28"/>
          <w:szCs w:val="28"/>
        </w:rPr>
        <w:t>三、课程学习内容及与课程学习目标的对应关系</w:t>
      </w:r>
    </w:p>
    <w:p w14:paraId="236ECE7E" w14:textId="77777777" w:rsidR="0065230C" w:rsidRPr="0065230C" w:rsidRDefault="0065230C" w:rsidP="0065230C">
      <w:pPr>
        <w:spacing w:beforeLines="50" w:before="156" w:afterLines="50" w:after="156" w:line="440" w:lineRule="exact"/>
        <w:ind w:firstLineChars="200" w:firstLine="560"/>
        <w:rPr>
          <w:rFonts w:ascii="Times New Roman" w:eastAsia="黑体" w:hAnsi="Times New Roman" w:cs="Times New Roman"/>
          <w:sz w:val="28"/>
          <w:szCs w:val="28"/>
        </w:rPr>
      </w:pPr>
      <w:r w:rsidRPr="0065230C">
        <w:rPr>
          <w:rFonts w:ascii="Times New Roman" w:eastAsia="黑体" w:hAnsi="Times New Roman" w:cs="Times New Roman"/>
          <w:sz w:val="28"/>
          <w:szCs w:val="28"/>
        </w:rPr>
        <w:t>（一）课程学习内容</w:t>
      </w:r>
    </w:p>
    <w:p w14:paraId="6CF4701E" w14:textId="77777777" w:rsidR="0065230C" w:rsidRPr="0065230C" w:rsidRDefault="0065230C" w:rsidP="0065230C">
      <w:pPr>
        <w:adjustRightInd w:val="0"/>
        <w:snapToGrid w:val="0"/>
        <w:spacing w:beforeLines="50" w:before="156" w:afterLines="50" w:after="156" w:line="440" w:lineRule="exact"/>
        <w:jc w:val="center"/>
        <w:rPr>
          <w:rFonts w:ascii="Times New Roman" w:eastAsia="黑体" w:hAnsi="Times New Roman" w:cs="Times New Roman"/>
          <w:sz w:val="28"/>
          <w:szCs w:val="28"/>
        </w:rPr>
      </w:pPr>
      <w:r w:rsidRPr="0065230C">
        <w:rPr>
          <w:rFonts w:ascii="Times New Roman" w:eastAsia="黑体" w:hAnsi="Times New Roman" w:cs="Times New Roman"/>
          <w:sz w:val="28"/>
          <w:szCs w:val="28"/>
        </w:rPr>
        <w:t>第一章</w:t>
      </w:r>
      <w:r w:rsidRPr="0065230C">
        <w:rPr>
          <w:rFonts w:ascii="Times New Roman" w:eastAsia="黑体" w:hAnsi="Times New Roman" w:cs="Times New Roman"/>
          <w:sz w:val="28"/>
          <w:szCs w:val="28"/>
        </w:rPr>
        <w:t xml:space="preserve"> </w:t>
      </w:r>
      <w:r w:rsidRPr="0065230C">
        <w:rPr>
          <w:rFonts w:ascii="Times New Roman" w:eastAsia="黑体" w:hAnsi="Times New Roman" w:cs="Times New Roman" w:hint="eastAsia"/>
          <w:sz w:val="28"/>
          <w:szCs w:val="28"/>
        </w:rPr>
        <w:t>药物色谱分析</w:t>
      </w:r>
      <w:r w:rsidRPr="0065230C">
        <w:rPr>
          <w:rFonts w:ascii="Times New Roman" w:eastAsia="黑体" w:hAnsi="Times New Roman" w:cs="Times New Roman"/>
          <w:sz w:val="28"/>
          <w:szCs w:val="28"/>
        </w:rPr>
        <w:t>概论</w:t>
      </w:r>
      <w:r w:rsidRPr="0065230C">
        <w:rPr>
          <w:rFonts w:ascii="Times New Roman" w:eastAsia="黑体" w:hAnsi="Times New Roman" w:cs="Times New Roman"/>
          <w:sz w:val="28"/>
          <w:szCs w:val="28"/>
        </w:rPr>
        <w:t xml:space="preserve"> </w:t>
      </w:r>
    </w:p>
    <w:p w14:paraId="787E1F83" w14:textId="77777777" w:rsidR="0065230C" w:rsidRPr="0065230C" w:rsidRDefault="0065230C" w:rsidP="0065230C">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65230C">
        <w:rPr>
          <w:rFonts w:ascii="Times New Roman" w:eastAsia="宋体" w:hAnsi="Times New Roman" w:cs="Times New Roman"/>
          <w:b/>
          <w:sz w:val="24"/>
          <w:szCs w:val="24"/>
        </w:rPr>
        <w:t>【学习目标】</w:t>
      </w:r>
    </w:p>
    <w:p w14:paraId="198BE518"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1.</w:t>
      </w:r>
      <w:r w:rsidRPr="0065230C">
        <w:rPr>
          <w:rFonts w:ascii="Times New Roman" w:eastAsia="宋体" w:hAnsi="Times New Roman" w:cs="Times New Roman"/>
          <w:sz w:val="24"/>
          <w:szCs w:val="24"/>
        </w:rPr>
        <w:t>认知类目标：掌握色谱法的定义、特点</w:t>
      </w:r>
      <w:r w:rsidRPr="0065230C">
        <w:rPr>
          <w:rFonts w:ascii="Times New Roman" w:eastAsia="宋体" w:hAnsi="Times New Roman" w:cs="Times New Roman" w:hint="eastAsia"/>
          <w:sz w:val="24"/>
          <w:szCs w:val="24"/>
        </w:rPr>
        <w:t>；</w:t>
      </w:r>
      <w:r w:rsidRPr="0065230C">
        <w:rPr>
          <w:rFonts w:ascii="Times New Roman" w:eastAsia="宋体" w:hAnsi="Times New Roman" w:cs="Times New Roman"/>
          <w:sz w:val="24"/>
          <w:szCs w:val="24"/>
        </w:rPr>
        <w:t>熟悉色谱分析的分类、发展概况</w:t>
      </w:r>
      <w:r w:rsidRPr="0065230C">
        <w:rPr>
          <w:rFonts w:ascii="Times New Roman" w:eastAsia="宋体" w:hAnsi="Times New Roman" w:cs="Times New Roman" w:hint="eastAsia"/>
          <w:sz w:val="24"/>
          <w:szCs w:val="24"/>
        </w:rPr>
        <w:t>；色谱法基本术语及理论，为各类色谱法在要药物分析中的应用奠定基础。</w:t>
      </w:r>
    </w:p>
    <w:p w14:paraId="26E090FA"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2.</w:t>
      </w:r>
      <w:r w:rsidRPr="0065230C">
        <w:rPr>
          <w:rFonts w:ascii="Times New Roman" w:eastAsia="宋体" w:hAnsi="Times New Roman" w:cs="Times New Roman"/>
          <w:sz w:val="24"/>
          <w:szCs w:val="24"/>
        </w:rPr>
        <w:t>过程与方法类目标：了解色谱法与其他分析方法的区别</w:t>
      </w:r>
      <w:r w:rsidRPr="0065230C">
        <w:rPr>
          <w:rFonts w:ascii="Times New Roman" w:eastAsia="宋体" w:hAnsi="Times New Roman" w:cs="Times New Roman" w:hint="eastAsia"/>
          <w:sz w:val="24"/>
          <w:szCs w:val="24"/>
        </w:rPr>
        <w:t>；能通过网络或图书馆查阅</w:t>
      </w:r>
      <w:r w:rsidRPr="0065230C">
        <w:rPr>
          <w:rFonts w:ascii="Times New Roman" w:eastAsia="宋体" w:hAnsi="Times New Roman" w:cs="Times New Roman"/>
          <w:sz w:val="24"/>
          <w:szCs w:val="24"/>
        </w:rPr>
        <w:t>色谱法的相关文献。</w:t>
      </w:r>
    </w:p>
    <w:p w14:paraId="102696B2"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3.</w:t>
      </w:r>
      <w:r w:rsidRPr="0065230C">
        <w:rPr>
          <w:rFonts w:ascii="Times New Roman" w:eastAsia="宋体" w:hAnsi="Times New Roman" w:cs="Times New Roman"/>
          <w:sz w:val="24"/>
          <w:szCs w:val="24"/>
        </w:rPr>
        <w:t>情感、态度、价值观类目标：了解实验室安全有关知识，树</w:t>
      </w:r>
      <w:r w:rsidRPr="0065230C">
        <w:rPr>
          <w:rFonts w:ascii="微软雅黑" w:eastAsia="微软雅黑" w:hAnsi="微软雅黑" w:cs="微软雅黑" w:hint="eastAsia"/>
          <w:sz w:val="24"/>
          <w:szCs w:val="24"/>
        </w:rPr>
        <w:t>⽴</w:t>
      </w:r>
      <w:r w:rsidRPr="0065230C">
        <w:rPr>
          <w:rFonts w:ascii="宋体" w:eastAsia="宋体" w:hAnsi="宋体" w:cs="宋体" w:hint="eastAsia"/>
          <w:sz w:val="24"/>
          <w:szCs w:val="24"/>
        </w:rPr>
        <w:t>安全意识。并引领学生正确的价值观。</w:t>
      </w:r>
    </w:p>
    <w:p w14:paraId="336FF645" w14:textId="77777777" w:rsidR="0065230C" w:rsidRPr="0065230C" w:rsidRDefault="0065230C" w:rsidP="0065230C">
      <w:pPr>
        <w:adjustRightInd w:val="0"/>
        <w:snapToGrid w:val="0"/>
        <w:spacing w:line="440" w:lineRule="exact"/>
        <w:ind w:firstLineChars="200" w:firstLine="482"/>
        <w:rPr>
          <w:rFonts w:ascii="Times New Roman" w:eastAsia="宋体" w:hAnsi="Times New Roman" w:cs="Times New Roman"/>
          <w:b/>
          <w:sz w:val="24"/>
          <w:szCs w:val="24"/>
        </w:rPr>
      </w:pPr>
      <w:r w:rsidRPr="0065230C">
        <w:rPr>
          <w:rFonts w:ascii="Times New Roman" w:eastAsia="宋体" w:hAnsi="Times New Roman" w:cs="Times New Roman"/>
          <w:b/>
          <w:sz w:val="24"/>
          <w:szCs w:val="24"/>
        </w:rPr>
        <w:t>【学习内容】</w:t>
      </w:r>
    </w:p>
    <w:p w14:paraId="6947731B"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1.</w:t>
      </w:r>
      <w:r w:rsidRPr="0065230C">
        <w:rPr>
          <w:rFonts w:ascii="Times New Roman" w:eastAsia="宋体" w:hAnsi="Times New Roman" w:cs="Times New Roman"/>
          <w:sz w:val="24"/>
          <w:szCs w:val="24"/>
        </w:rPr>
        <w:t>色谱法的定义、特点</w:t>
      </w:r>
      <w:r w:rsidRPr="0065230C">
        <w:rPr>
          <w:rFonts w:ascii="Times New Roman" w:eastAsia="宋体" w:hAnsi="Times New Roman" w:cs="Times New Roman" w:hint="eastAsia"/>
          <w:sz w:val="24"/>
          <w:szCs w:val="24"/>
        </w:rPr>
        <w:t>及分类、</w:t>
      </w:r>
      <w:r w:rsidRPr="0065230C">
        <w:rPr>
          <w:rFonts w:ascii="Times New Roman" w:eastAsia="宋体" w:hAnsi="Times New Roman" w:cs="Times New Roman"/>
          <w:sz w:val="24"/>
          <w:szCs w:val="24"/>
        </w:rPr>
        <w:t>发展历史。</w:t>
      </w:r>
    </w:p>
    <w:p w14:paraId="7517BBEE"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2.</w:t>
      </w:r>
      <w:r w:rsidRPr="0065230C">
        <w:rPr>
          <w:rFonts w:ascii="Times New Roman" w:eastAsia="宋体" w:hAnsi="Times New Roman" w:cs="Times New Roman"/>
          <w:sz w:val="24"/>
          <w:szCs w:val="24"/>
        </w:rPr>
        <w:t>色谱法的</w:t>
      </w:r>
      <w:r w:rsidRPr="0065230C">
        <w:rPr>
          <w:rFonts w:ascii="Times New Roman" w:eastAsia="宋体" w:hAnsi="Times New Roman" w:cs="Times New Roman" w:hint="eastAsia"/>
          <w:sz w:val="24"/>
          <w:szCs w:val="24"/>
        </w:rPr>
        <w:t>基本术语及理论</w:t>
      </w:r>
      <w:r w:rsidRPr="0065230C">
        <w:rPr>
          <w:rFonts w:ascii="Times New Roman" w:eastAsia="宋体" w:hAnsi="Times New Roman" w:cs="Times New Roman"/>
          <w:sz w:val="24"/>
          <w:szCs w:val="24"/>
        </w:rPr>
        <w:t>。</w:t>
      </w:r>
    </w:p>
    <w:p w14:paraId="2A919398"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3.</w:t>
      </w:r>
      <w:r w:rsidRPr="0065230C">
        <w:rPr>
          <w:rFonts w:ascii="Times New Roman" w:eastAsia="宋体" w:hAnsi="Times New Roman" w:cs="Times New Roman"/>
          <w:sz w:val="24"/>
          <w:szCs w:val="24"/>
        </w:rPr>
        <w:t>色谱法在药学研究中的作用和未来。</w:t>
      </w:r>
    </w:p>
    <w:p w14:paraId="2DD80B0E"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4.</w:t>
      </w:r>
      <w:r w:rsidRPr="0065230C">
        <w:rPr>
          <w:rFonts w:ascii="Times New Roman" w:eastAsia="宋体" w:hAnsi="Times New Roman" w:cs="Times New Roman"/>
          <w:sz w:val="24"/>
          <w:szCs w:val="24"/>
        </w:rPr>
        <w:t>色谱法相关文献介绍。</w:t>
      </w:r>
    </w:p>
    <w:p w14:paraId="542CF3F2"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5.</w:t>
      </w:r>
      <w:r w:rsidRPr="0065230C">
        <w:rPr>
          <w:rFonts w:ascii="Times New Roman" w:eastAsia="宋体" w:hAnsi="Times New Roman" w:cs="Times New Roman"/>
          <w:sz w:val="24"/>
          <w:szCs w:val="24"/>
        </w:rPr>
        <w:t>介绍科学家</w:t>
      </w:r>
      <w:proofErr w:type="gramStart"/>
      <w:r w:rsidRPr="0065230C">
        <w:rPr>
          <w:rFonts w:ascii="Times New Roman" w:eastAsia="宋体" w:hAnsi="Times New Roman" w:cs="Times New Roman"/>
          <w:sz w:val="24"/>
          <w:szCs w:val="24"/>
        </w:rPr>
        <w:t>屠</w:t>
      </w:r>
      <w:proofErr w:type="gramEnd"/>
      <w:r w:rsidRPr="0065230C">
        <w:rPr>
          <w:rFonts w:ascii="Times New Roman" w:eastAsia="宋体" w:hAnsi="Times New Roman" w:cs="Times New Roman"/>
          <w:sz w:val="24"/>
          <w:szCs w:val="24"/>
        </w:rPr>
        <w:t>呦呦分离纯化青蒿素的故事</w:t>
      </w:r>
      <w:r w:rsidRPr="0065230C">
        <w:rPr>
          <w:rFonts w:ascii="Times New Roman" w:eastAsia="宋体" w:hAnsi="Times New Roman" w:cs="Times New Roman" w:hint="eastAsia"/>
          <w:sz w:val="24"/>
          <w:szCs w:val="24"/>
        </w:rPr>
        <w:t>；“</w:t>
      </w:r>
      <w:r w:rsidRPr="0065230C">
        <w:rPr>
          <w:rFonts w:ascii="Times New Roman" w:eastAsia="宋体" w:hAnsi="Times New Roman" w:cs="Times New Roman"/>
          <w:sz w:val="24"/>
          <w:szCs w:val="24"/>
        </w:rPr>
        <w:t>沙利度胺，从天使到魔鬼</w:t>
      </w:r>
      <w:r w:rsidRPr="0065230C">
        <w:rPr>
          <w:rFonts w:ascii="Times New Roman" w:eastAsia="宋体" w:hAnsi="Times New Roman" w:cs="Times New Roman" w:hint="eastAsia"/>
          <w:sz w:val="24"/>
          <w:szCs w:val="24"/>
        </w:rPr>
        <w:t>”</w:t>
      </w:r>
      <w:r w:rsidRPr="0065230C">
        <w:rPr>
          <w:rFonts w:ascii="Times New Roman" w:eastAsia="宋体" w:hAnsi="Times New Roman" w:cs="Times New Roman"/>
          <w:sz w:val="24"/>
          <w:szCs w:val="24"/>
        </w:rPr>
        <w:t>的案例分析。</w:t>
      </w:r>
    </w:p>
    <w:p w14:paraId="5B977F47" w14:textId="77777777" w:rsidR="0065230C" w:rsidRPr="0065230C" w:rsidRDefault="0065230C" w:rsidP="0065230C">
      <w:pPr>
        <w:autoSpaceDE w:val="0"/>
        <w:autoSpaceDN w:val="0"/>
        <w:adjustRightInd w:val="0"/>
        <w:snapToGrid w:val="0"/>
        <w:spacing w:line="440" w:lineRule="exact"/>
        <w:ind w:leftChars="257" w:left="540"/>
        <w:jc w:val="left"/>
        <w:rPr>
          <w:rFonts w:ascii="Times New Roman" w:eastAsia="宋体" w:hAnsi="Times New Roman" w:cs="Times New Roman"/>
          <w:sz w:val="24"/>
          <w:szCs w:val="24"/>
        </w:rPr>
      </w:pPr>
      <w:r w:rsidRPr="0065230C">
        <w:rPr>
          <w:rFonts w:ascii="Times New Roman" w:eastAsia="宋体" w:hAnsi="Times New Roman" w:cs="Times New Roman"/>
          <w:b/>
          <w:sz w:val="24"/>
          <w:szCs w:val="24"/>
        </w:rPr>
        <w:t>【重点】</w:t>
      </w:r>
      <w:r w:rsidRPr="0065230C">
        <w:rPr>
          <w:rFonts w:ascii="Times New Roman" w:eastAsia="宋体" w:hAnsi="Times New Roman" w:cs="Times New Roman"/>
          <w:sz w:val="24"/>
          <w:szCs w:val="24"/>
        </w:rPr>
        <w:t>色谱法的定义、特点及分类。色谱法在药学研究中的作用。</w:t>
      </w:r>
    </w:p>
    <w:p w14:paraId="5DFAA401" w14:textId="77777777" w:rsidR="0065230C" w:rsidRPr="0065230C" w:rsidRDefault="0065230C" w:rsidP="0065230C">
      <w:pPr>
        <w:autoSpaceDE w:val="0"/>
        <w:autoSpaceDN w:val="0"/>
        <w:adjustRightInd w:val="0"/>
        <w:snapToGrid w:val="0"/>
        <w:spacing w:line="440" w:lineRule="exact"/>
        <w:ind w:leftChars="257" w:left="540"/>
        <w:jc w:val="left"/>
        <w:rPr>
          <w:rFonts w:ascii="Times New Roman" w:eastAsia="宋体" w:hAnsi="Times New Roman" w:cs="Times New Roman"/>
          <w:sz w:val="24"/>
          <w:szCs w:val="24"/>
        </w:rPr>
      </w:pPr>
      <w:r w:rsidRPr="0065230C">
        <w:rPr>
          <w:rFonts w:ascii="Times New Roman" w:eastAsia="宋体" w:hAnsi="Times New Roman" w:cs="Times New Roman"/>
          <w:b/>
          <w:sz w:val="24"/>
          <w:szCs w:val="24"/>
        </w:rPr>
        <w:t>【难点】</w:t>
      </w:r>
      <w:r w:rsidRPr="0065230C">
        <w:rPr>
          <w:rFonts w:ascii="Times New Roman" w:eastAsia="宋体" w:hAnsi="Times New Roman" w:cs="Times New Roman"/>
          <w:sz w:val="24"/>
          <w:szCs w:val="24"/>
        </w:rPr>
        <w:t>色谱的</w:t>
      </w:r>
      <w:r w:rsidRPr="0065230C">
        <w:rPr>
          <w:rFonts w:ascii="Times New Roman" w:eastAsia="宋体" w:hAnsi="Times New Roman" w:cs="Times New Roman" w:hint="eastAsia"/>
          <w:sz w:val="24"/>
          <w:szCs w:val="24"/>
        </w:rPr>
        <w:t>理论</w:t>
      </w:r>
      <w:r w:rsidRPr="0065230C">
        <w:rPr>
          <w:rFonts w:ascii="Times New Roman" w:eastAsia="宋体" w:hAnsi="Times New Roman" w:cs="Times New Roman"/>
          <w:sz w:val="24"/>
          <w:szCs w:val="24"/>
        </w:rPr>
        <w:t>。</w:t>
      </w:r>
    </w:p>
    <w:p w14:paraId="737292B3" w14:textId="77777777" w:rsidR="0065230C" w:rsidRPr="0065230C" w:rsidRDefault="0065230C" w:rsidP="0065230C">
      <w:pPr>
        <w:autoSpaceDE w:val="0"/>
        <w:autoSpaceDN w:val="0"/>
        <w:adjustRightInd w:val="0"/>
        <w:snapToGrid w:val="0"/>
        <w:spacing w:line="440" w:lineRule="exact"/>
        <w:ind w:leftChars="257" w:left="540"/>
        <w:jc w:val="left"/>
        <w:rPr>
          <w:rFonts w:ascii="Times New Roman" w:eastAsia="宋体" w:hAnsi="Times New Roman" w:cs="Times New Roman"/>
          <w:b/>
          <w:bCs/>
          <w:sz w:val="24"/>
          <w:szCs w:val="24"/>
        </w:rPr>
      </w:pPr>
      <w:r w:rsidRPr="0065230C">
        <w:rPr>
          <w:rFonts w:ascii="Times New Roman" w:eastAsia="宋体" w:hAnsi="Times New Roman" w:cs="Times New Roman"/>
          <w:b/>
          <w:bCs/>
          <w:sz w:val="24"/>
          <w:szCs w:val="24"/>
        </w:rPr>
        <w:t>【教学方法】</w:t>
      </w:r>
    </w:p>
    <w:p w14:paraId="0D72E327"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hint="eastAsia"/>
          <w:sz w:val="24"/>
          <w:szCs w:val="24"/>
        </w:rPr>
        <w:t>1.</w:t>
      </w:r>
      <w:r w:rsidRPr="0065230C">
        <w:rPr>
          <w:rFonts w:ascii="Times New Roman" w:eastAsia="宋体" w:hAnsi="Times New Roman" w:cs="Times New Roman"/>
          <w:sz w:val="24"/>
          <w:szCs w:val="24"/>
        </w:rPr>
        <w:t>通过多媒体课件和传统教学相结合，阐明课程与教学基本原理，丰富学生课程</w:t>
      </w:r>
      <w:r w:rsidRPr="0065230C">
        <w:rPr>
          <w:rFonts w:ascii="Times New Roman" w:eastAsia="宋体" w:hAnsi="Times New Roman" w:cs="Times New Roman"/>
          <w:sz w:val="24"/>
          <w:szCs w:val="24"/>
        </w:rPr>
        <w:lastRenderedPageBreak/>
        <w:t>与教学的基本知识结构，培养学生的职业规范</w:t>
      </w:r>
      <w:r w:rsidRPr="0065230C">
        <w:rPr>
          <w:rFonts w:ascii="Times New Roman" w:eastAsia="宋体" w:hAnsi="Times New Roman" w:cs="Times New Roman" w:hint="eastAsia"/>
          <w:sz w:val="24"/>
          <w:szCs w:val="24"/>
        </w:rPr>
        <w:t>、</w:t>
      </w:r>
      <w:r w:rsidRPr="0065230C">
        <w:rPr>
          <w:rFonts w:ascii="Times New Roman" w:eastAsia="宋体" w:hAnsi="Times New Roman" w:cs="Times New Roman"/>
          <w:sz w:val="24"/>
          <w:szCs w:val="24"/>
        </w:rPr>
        <w:t>严谨的科学精神和专业素养</w:t>
      </w:r>
      <w:r w:rsidRPr="0065230C">
        <w:rPr>
          <w:rFonts w:ascii="Times New Roman" w:eastAsia="宋体" w:hAnsi="Times New Roman" w:cs="Times New Roman" w:hint="eastAsia"/>
          <w:sz w:val="24"/>
          <w:szCs w:val="24"/>
        </w:rPr>
        <w:t>。</w:t>
      </w:r>
    </w:p>
    <w:p w14:paraId="0B81080B"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hint="eastAsia"/>
          <w:sz w:val="24"/>
          <w:szCs w:val="24"/>
        </w:rPr>
        <w:t>2.</w:t>
      </w:r>
      <w:r w:rsidRPr="0065230C">
        <w:rPr>
          <w:rFonts w:ascii="Times New Roman" w:eastAsia="宋体" w:hAnsi="Times New Roman" w:cs="Times New Roman"/>
          <w:sz w:val="24"/>
          <w:szCs w:val="24"/>
        </w:rPr>
        <w:t>通过案例分析，提升学生们的文化自信，不畏艰险敢于实践创新的精神。</w:t>
      </w:r>
    </w:p>
    <w:p w14:paraId="701E3C4D" w14:textId="77777777" w:rsidR="0065230C" w:rsidRPr="0065230C" w:rsidRDefault="0065230C" w:rsidP="0065230C">
      <w:pPr>
        <w:adjustRightInd w:val="0"/>
        <w:snapToGrid w:val="0"/>
        <w:spacing w:line="440" w:lineRule="exact"/>
        <w:ind w:firstLineChars="200" w:firstLine="482"/>
        <w:rPr>
          <w:rFonts w:ascii="Times New Roman" w:eastAsia="宋体" w:hAnsi="Times New Roman" w:cs="Times New Roman"/>
          <w:b/>
          <w:sz w:val="24"/>
          <w:szCs w:val="24"/>
        </w:rPr>
      </w:pPr>
      <w:r w:rsidRPr="0065230C">
        <w:rPr>
          <w:rFonts w:ascii="Times New Roman" w:eastAsia="宋体" w:hAnsi="Times New Roman" w:cs="Times New Roman"/>
          <w:b/>
          <w:sz w:val="24"/>
          <w:szCs w:val="24"/>
        </w:rPr>
        <w:t>【复习思考】</w:t>
      </w:r>
    </w:p>
    <w:p w14:paraId="52FC398D"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1.</w:t>
      </w:r>
      <w:r w:rsidRPr="0065230C">
        <w:rPr>
          <w:rFonts w:ascii="Times New Roman" w:eastAsia="宋体" w:hAnsi="Times New Roman" w:cs="Times New Roman"/>
          <w:sz w:val="24"/>
          <w:szCs w:val="24"/>
        </w:rPr>
        <w:t>色谱法的定义</w:t>
      </w:r>
      <w:r w:rsidRPr="0065230C">
        <w:rPr>
          <w:rFonts w:ascii="Times New Roman" w:eastAsia="宋体" w:hAnsi="Times New Roman" w:cs="Times New Roman" w:hint="eastAsia"/>
          <w:sz w:val="24"/>
          <w:szCs w:val="24"/>
        </w:rPr>
        <w:t>与特点及与其他分析方法的区别</w:t>
      </w:r>
      <w:r w:rsidRPr="0065230C">
        <w:rPr>
          <w:rFonts w:ascii="Times New Roman" w:eastAsia="宋体" w:hAnsi="Times New Roman" w:cs="Times New Roman"/>
          <w:sz w:val="24"/>
          <w:szCs w:val="24"/>
        </w:rPr>
        <w:t>。</w:t>
      </w:r>
    </w:p>
    <w:p w14:paraId="3138BF80"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2.</w:t>
      </w:r>
      <w:r w:rsidRPr="0065230C">
        <w:rPr>
          <w:rFonts w:ascii="Times New Roman" w:eastAsia="宋体" w:hAnsi="Times New Roman" w:cs="Times New Roman"/>
          <w:sz w:val="24"/>
          <w:szCs w:val="24"/>
        </w:rPr>
        <w:t>色谱法的分类。</w:t>
      </w:r>
    </w:p>
    <w:p w14:paraId="69174CD7" w14:textId="77777777" w:rsidR="0065230C" w:rsidRPr="0065230C" w:rsidRDefault="0065230C" w:rsidP="0065230C">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r w:rsidRPr="0065230C">
        <w:rPr>
          <w:rFonts w:ascii="Times New Roman" w:eastAsia="宋体" w:hAnsi="Times New Roman" w:cs="Times New Roman"/>
          <w:sz w:val="24"/>
          <w:szCs w:val="20"/>
        </w:rPr>
        <w:t>3.</w:t>
      </w:r>
      <w:r w:rsidRPr="0065230C">
        <w:rPr>
          <w:rFonts w:ascii="Times New Roman" w:eastAsia="宋体" w:hAnsi="Times New Roman" w:cs="Times New Roman"/>
          <w:sz w:val="24"/>
          <w:szCs w:val="20"/>
        </w:rPr>
        <w:t>分离度的定义？影响分离度的因素？</w:t>
      </w:r>
    </w:p>
    <w:p w14:paraId="3DEBCEEA" w14:textId="77777777" w:rsidR="0065230C" w:rsidRPr="0065230C" w:rsidRDefault="0065230C" w:rsidP="0065230C">
      <w:pPr>
        <w:adjustRightInd w:val="0"/>
        <w:snapToGrid w:val="0"/>
        <w:spacing w:beforeLines="50" w:before="156" w:afterLines="50" w:after="156" w:line="440" w:lineRule="exact"/>
        <w:jc w:val="center"/>
        <w:rPr>
          <w:rFonts w:ascii="Times New Roman" w:eastAsia="黑体" w:hAnsi="Times New Roman" w:cs="Times New Roman"/>
          <w:sz w:val="28"/>
          <w:szCs w:val="28"/>
        </w:rPr>
      </w:pPr>
      <w:r w:rsidRPr="0065230C">
        <w:rPr>
          <w:rFonts w:ascii="Times New Roman" w:eastAsia="黑体" w:hAnsi="Times New Roman" w:cs="Times New Roman"/>
          <w:sz w:val="28"/>
          <w:szCs w:val="28"/>
        </w:rPr>
        <w:t>第</w:t>
      </w:r>
      <w:r w:rsidRPr="0065230C">
        <w:rPr>
          <w:rFonts w:ascii="Times New Roman" w:eastAsia="黑体" w:hAnsi="Times New Roman" w:cs="Times New Roman" w:hint="eastAsia"/>
          <w:sz w:val="28"/>
          <w:szCs w:val="28"/>
        </w:rPr>
        <w:t>二</w:t>
      </w:r>
      <w:r w:rsidRPr="0065230C">
        <w:rPr>
          <w:rFonts w:ascii="Times New Roman" w:eastAsia="黑体" w:hAnsi="Times New Roman" w:cs="Times New Roman"/>
          <w:sz w:val="28"/>
          <w:szCs w:val="28"/>
        </w:rPr>
        <w:t>章</w:t>
      </w:r>
      <w:r w:rsidRPr="0065230C">
        <w:rPr>
          <w:rFonts w:ascii="Times New Roman" w:eastAsia="黑体" w:hAnsi="Times New Roman" w:cs="Times New Roman"/>
          <w:sz w:val="28"/>
          <w:szCs w:val="28"/>
        </w:rPr>
        <w:t xml:space="preserve"> </w:t>
      </w:r>
      <w:r w:rsidRPr="0065230C">
        <w:rPr>
          <w:rFonts w:ascii="Times New Roman" w:eastAsia="黑体" w:hAnsi="Times New Roman" w:cs="Times New Roman"/>
          <w:sz w:val="28"/>
          <w:szCs w:val="28"/>
        </w:rPr>
        <w:t>气相色谱法</w:t>
      </w:r>
    </w:p>
    <w:p w14:paraId="1A6DB5AF" w14:textId="77777777" w:rsidR="0065230C" w:rsidRPr="0065230C" w:rsidRDefault="0065230C" w:rsidP="0065230C">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65230C">
        <w:rPr>
          <w:rFonts w:ascii="Times New Roman" w:eastAsia="宋体" w:hAnsi="Times New Roman" w:cs="Times New Roman"/>
          <w:b/>
          <w:sz w:val="24"/>
          <w:szCs w:val="24"/>
        </w:rPr>
        <w:t>【学习目标】</w:t>
      </w:r>
    </w:p>
    <w:p w14:paraId="7DDFC9C5" w14:textId="77777777" w:rsidR="0065230C" w:rsidRPr="0065230C" w:rsidRDefault="0065230C" w:rsidP="0065230C">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4"/>
        </w:rPr>
      </w:pPr>
      <w:r w:rsidRPr="0065230C">
        <w:rPr>
          <w:rFonts w:ascii="Times New Roman" w:eastAsia="宋体" w:hAnsi="Times New Roman" w:cs="Times New Roman"/>
          <w:sz w:val="24"/>
          <w:szCs w:val="24"/>
        </w:rPr>
        <w:t>1.</w:t>
      </w:r>
      <w:r w:rsidRPr="0065230C">
        <w:rPr>
          <w:rFonts w:ascii="Times New Roman" w:eastAsia="宋体" w:hAnsi="Times New Roman" w:cs="Times New Roman"/>
          <w:sz w:val="24"/>
          <w:szCs w:val="24"/>
        </w:rPr>
        <w:t>认知类目标：</w:t>
      </w:r>
      <w:r w:rsidRPr="0065230C">
        <w:rPr>
          <w:rFonts w:ascii="Times New Roman" w:eastAsia="宋体" w:hAnsi="Times New Roman" w:cs="Times New Roman"/>
          <w:sz w:val="24"/>
          <w:szCs w:val="20"/>
        </w:rPr>
        <w:t>掌握气相色谱分析仪器的基本结构</w:t>
      </w:r>
      <w:r w:rsidRPr="0065230C">
        <w:rPr>
          <w:rFonts w:ascii="Times New Roman" w:eastAsia="宋体" w:hAnsi="Times New Roman" w:cs="Times New Roman" w:hint="eastAsia"/>
          <w:sz w:val="24"/>
          <w:szCs w:val="20"/>
        </w:rPr>
        <w:t>、</w:t>
      </w:r>
      <w:r w:rsidRPr="0065230C">
        <w:rPr>
          <w:rFonts w:ascii="Times New Roman" w:eastAsia="宋体" w:hAnsi="Times New Roman" w:cs="Times New Roman"/>
          <w:sz w:val="24"/>
          <w:szCs w:val="20"/>
        </w:rPr>
        <w:t>检测器的分类方法。</w:t>
      </w:r>
    </w:p>
    <w:p w14:paraId="0D4C8A8C" w14:textId="77777777" w:rsidR="0065230C" w:rsidRPr="0065230C" w:rsidRDefault="0065230C" w:rsidP="0065230C">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4"/>
        </w:rPr>
      </w:pPr>
      <w:r w:rsidRPr="0065230C">
        <w:rPr>
          <w:rFonts w:ascii="Times New Roman" w:eastAsia="宋体" w:hAnsi="Times New Roman" w:cs="Times New Roman"/>
          <w:sz w:val="24"/>
          <w:szCs w:val="24"/>
        </w:rPr>
        <w:t>2.</w:t>
      </w:r>
      <w:r w:rsidRPr="0065230C">
        <w:rPr>
          <w:rFonts w:ascii="Times New Roman" w:eastAsia="宋体" w:hAnsi="Times New Roman" w:cs="Times New Roman"/>
          <w:sz w:val="24"/>
          <w:szCs w:val="24"/>
        </w:rPr>
        <w:t>过程与方法类目标：</w:t>
      </w:r>
      <w:r w:rsidRPr="0065230C">
        <w:rPr>
          <w:rFonts w:ascii="Times New Roman" w:eastAsia="宋体" w:hAnsi="Times New Roman" w:cs="Times New Roman"/>
          <w:sz w:val="24"/>
          <w:szCs w:val="20"/>
        </w:rPr>
        <w:t>掌握气相色谱分析仪器的基本操作流程及注意事项。</w:t>
      </w:r>
    </w:p>
    <w:p w14:paraId="4C6BD9A0"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3.</w:t>
      </w:r>
      <w:r w:rsidRPr="0065230C">
        <w:rPr>
          <w:rFonts w:ascii="Times New Roman" w:eastAsia="宋体" w:hAnsi="Times New Roman" w:cs="Times New Roman"/>
          <w:sz w:val="24"/>
          <w:szCs w:val="24"/>
        </w:rPr>
        <w:t>情感、态度、价值观类目标：</w:t>
      </w:r>
      <w:r w:rsidRPr="0065230C">
        <w:rPr>
          <w:rFonts w:ascii="Times New Roman" w:eastAsia="宋体" w:hAnsi="Times New Roman" w:cs="Times New Roman"/>
          <w:sz w:val="24"/>
          <w:szCs w:val="20"/>
        </w:rPr>
        <w:t>引领学生在实践中体会生态中国，绿色中国的战略。</w:t>
      </w:r>
    </w:p>
    <w:p w14:paraId="6088B4E0" w14:textId="77777777" w:rsidR="0065230C" w:rsidRPr="0065230C" w:rsidRDefault="0065230C" w:rsidP="0065230C">
      <w:pPr>
        <w:adjustRightInd w:val="0"/>
        <w:snapToGrid w:val="0"/>
        <w:spacing w:line="440" w:lineRule="exact"/>
        <w:ind w:firstLineChars="200" w:firstLine="482"/>
        <w:rPr>
          <w:rFonts w:ascii="Times New Roman" w:eastAsia="宋体" w:hAnsi="Times New Roman" w:cs="Times New Roman"/>
          <w:b/>
          <w:sz w:val="24"/>
          <w:szCs w:val="24"/>
        </w:rPr>
      </w:pPr>
      <w:r w:rsidRPr="0065230C">
        <w:rPr>
          <w:rFonts w:ascii="Times New Roman" w:eastAsia="宋体" w:hAnsi="Times New Roman" w:cs="Times New Roman"/>
          <w:b/>
          <w:sz w:val="24"/>
          <w:szCs w:val="24"/>
        </w:rPr>
        <w:t>【学习内容】</w:t>
      </w:r>
    </w:p>
    <w:p w14:paraId="778FE8D6" w14:textId="77777777" w:rsidR="0065230C" w:rsidRPr="0065230C" w:rsidRDefault="0065230C" w:rsidP="0065230C">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65230C">
        <w:rPr>
          <w:rFonts w:ascii="Times New Roman" w:eastAsia="宋体" w:hAnsi="Times New Roman" w:cs="Times New Roman"/>
          <w:sz w:val="24"/>
          <w:szCs w:val="20"/>
        </w:rPr>
        <w:t>1.</w:t>
      </w:r>
      <w:r w:rsidRPr="0065230C">
        <w:rPr>
          <w:rFonts w:ascii="Times New Roman" w:eastAsia="宋体" w:hAnsi="Times New Roman" w:cs="Times New Roman"/>
          <w:sz w:val="24"/>
          <w:szCs w:val="20"/>
        </w:rPr>
        <w:t>气相色谱法的特点、分类及流程。</w:t>
      </w:r>
    </w:p>
    <w:p w14:paraId="66E4566C" w14:textId="77777777" w:rsidR="0065230C" w:rsidRPr="0065230C" w:rsidRDefault="0065230C" w:rsidP="0065230C">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65230C">
        <w:rPr>
          <w:rFonts w:ascii="Times New Roman" w:eastAsia="宋体" w:hAnsi="Times New Roman" w:cs="Times New Roman"/>
          <w:sz w:val="24"/>
          <w:szCs w:val="20"/>
        </w:rPr>
        <w:t>2.</w:t>
      </w:r>
      <w:r w:rsidRPr="0065230C">
        <w:rPr>
          <w:rFonts w:ascii="Times New Roman" w:eastAsia="宋体" w:hAnsi="Times New Roman" w:cs="Times New Roman"/>
          <w:sz w:val="24"/>
          <w:szCs w:val="20"/>
        </w:rPr>
        <w:t>气相色谱法的固定相。</w:t>
      </w:r>
    </w:p>
    <w:p w14:paraId="60D450AA" w14:textId="77777777" w:rsidR="0065230C" w:rsidRPr="0065230C" w:rsidRDefault="0065230C" w:rsidP="0065230C">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65230C">
        <w:rPr>
          <w:rFonts w:ascii="Times New Roman" w:eastAsia="宋体" w:hAnsi="Times New Roman" w:cs="Times New Roman"/>
          <w:sz w:val="24"/>
          <w:szCs w:val="20"/>
        </w:rPr>
        <w:t>3.</w:t>
      </w:r>
      <w:r w:rsidRPr="0065230C">
        <w:rPr>
          <w:rFonts w:ascii="Times New Roman" w:eastAsia="宋体" w:hAnsi="Times New Roman" w:cs="Times New Roman"/>
          <w:sz w:val="24"/>
          <w:szCs w:val="20"/>
        </w:rPr>
        <w:t>填充柱气相色谱法</w:t>
      </w:r>
      <w:r w:rsidRPr="0065230C">
        <w:rPr>
          <w:rFonts w:ascii="Times New Roman" w:eastAsia="宋体" w:hAnsi="Times New Roman" w:cs="Times New Roman" w:hint="eastAsia"/>
          <w:sz w:val="24"/>
          <w:szCs w:val="20"/>
        </w:rPr>
        <w:t>与</w:t>
      </w:r>
      <w:r w:rsidRPr="0065230C">
        <w:rPr>
          <w:rFonts w:ascii="Times New Roman" w:eastAsia="宋体" w:hAnsi="Times New Roman" w:cs="Times New Roman"/>
          <w:sz w:val="24"/>
          <w:szCs w:val="20"/>
        </w:rPr>
        <w:t>毛细管气相色谱法。</w:t>
      </w:r>
    </w:p>
    <w:p w14:paraId="4C276505" w14:textId="77777777" w:rsidR="0065230C" w:rsidRPr="0065230C" w:rsidRDefault="0065230C" w:rsidP="0065230C">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65230C">
        <w:rPr>
          <w:rFonts w:ascii="Times New Roman" w:eastAsia="宋体" w:hAnsi="Times New Roman" w:cs="Times New Roman" w:hint="eastAsia"/>
          <w:sz w:val="24"/>
          <w:szCs w:val="20"/>
        </w:rPr>
        <w:t>4</w:t>
      </w:r>
      <w:r w:rsidRPr="0065230C">
        <w:rPr>
          <w:rFonts w:ascii="Times New Roman" w:eastAsia="宋体" w:hAnsi="Times New Roman" w:cs="Times New Roman"/>
          <w:sz w:val="24"/>
          <w:szCs w:val="20"/>
        </w:rPr>
        <w:t>.</w:t>
      </w:r>
      <w:r w:rsidRPr="0065230C">
        <w:rPr>
          <w:rFonts w:ascii="Times New Roman" w:eastAsia="宋体" w:hAnsi="Times New Roman" w:cs="Times New Roman"/>
          <w:sz w:val="24"/>
          <w:szCs w:val="20"/>
        </w:rPr>
        <w:t>气相色谱法的常见检测器。</w:t>
      </w:r>
    </w:p>
    <w:p w14:paraId="1E5B53CD" w14:textId="77777777" w:rsidR="0065230C" w:rsidRPr="0065230C" w:rsidRDefault="0065230C" w:rsidP="0065230C">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65230C">
        <w:rPr>
          <w:rFonts w:ascii="Times New Roman" w:eastAsia="宋体" w:hAnsi="Times New Roman" w:cs="Times New Roman" w:hint="eastAsia"/>
          <w:sz w:val="24"/>
          <w:szCs w:val="20"/>
        </w:rPr>
        <w:t>5</w:t>
      </w:r>
      <w:r w:rsidRPr="0065230C">
        <w:rPr>
          <w:rFonts w:ascii="Times New Roman" w:eastAsia="宋体" w:hAnsi="Times New Roman" w:cs="Times New Roman"/>
          <w:sz w:val="24"/>
          <w:szCs w:val="20"/>
        </w:rPr>
        <w:t>.</w:t>
      </w:r>
      <w:r w:rsidRPr="0065230C">
        <w:rPr>
          <w:rFonts w:ascii="Times New Roman" w:eastAsia="宋体" w:hAnsi="Times New Roman" w:cs="Times New Roman"/>
          <w:sz w:val="24"/>
          <w:szCs w:val="20"/>
        </w:rPr>
        <w:t>环境污染</w:t>
      </w:r>
      <w:proofErr w:type="gramStart"/>
      <w:r w:rsidRPr="0065230C">
        <w:rPr>
          <w:rFonts w:ascii="Times New Roman" w:eastAsia="宋体" w:hAnsi="Times New Roman" w:cs="Times New Roman"/>
          <w:sz w:val="24"/>
          <w:szCs w:val="20"/>
        </w:rPr>
        <w:t>物分析</w:t>
      </w:r>
      <w:proofErr w:type="gramEnd"/>
      <w:r w:rsidRPr="0065230C">
        <w:rPr>
          <w:rFonts w:ascii="Times New Roman" w:eastAsia="宋体" w:hAnsi="Times New Roman" w:cs="Times New Roman"/>
          <w:sz w:val="24"/>
          <w:szCs w:val="20"/>
        </w:rPr>
        <w:t>案例。</w:t>
      </w:r>
    </w:p>
    <w:p w14:paraId="30AA90ED" w14:textId="77777777" w:rsidR="0065230C" w:rsidRPr="0065230C" w:rsidRDefault="0065230C" w:rsidP="0065230C">
      <w:pPr>
        <w:autoSpaceDE w:val="0"/>
        <w:autoSpaceDN w:val="0"/>
        <w:adjustRightInd w:val="0"/>
        <w:snapToGrid w:val="0"/>
        <w:spacing w:line="440" w:lineRule="exact"/>
        <w:ind w:firstLineChars="250" w:firstLine="602"/>
        <w:jc w:val="left"/>
        <w:rPr>
          <w:rFonts w:ascii="Times New Roman" w:eastAsia="宋体" w:hAnsi="Times New Roman" w:cs="Times New Roman"/>
          <w:sz w:val="24"/>
          <w:szCs w:val="20"/>
        </w:rPr>
      </w:pPr>
      <w:r w:rsidRPr="0065230C">
        <w:rPr>
          <w:rFonts w:ascii="Times New Roman" w:eastAsia="宋体" w:hAnsi="Times New Roman" w:cs="Times New Roman"/>
          <w:b/>
          <w:sz w:val="24"/>
          <w:szCs w:val="24"/>
        </w:rPr>
        <w:t>【重点】</w:t>
      </w:r>
      <w:r w:rsidRPr="0065230C">
        <w:rPr>
          <w:rFonts w:ascii="Times New Roman" w:eastAsia="宋体" w:hAnsi="Times New Roman" w:cs="Times New Roman"/>
          <w:sz w:val="24"/>
          <w:szCs w:val="24"/>
        </w:rPr>
        <w:t>气相色谱法的特点及分类；</w:t>
      </w:r>
      <w:r w:rsidRPr="0065230C">
        <w:rPr>
          <w:rFonts w:ascii="Times New Roman" w:eastAsia="宋体" w:hAnsi="Times New Roman" w:cs="Times New Roman"/>
          <w:sz w:val="24"/>
          <w:szCs w:val="20"/>
        </w:rPr>
        <w:t>气相色谱分析仪器的基本结构。气相色谱分析仪器的基本操作流程及注意事项。</w:t>
      </w:r>
    </w:p>
    <w:p w14:paraId="1A86A972" w14:textId="77777777" w:rsidR="0065230C" w:rsidRPr="0065230C" w:rsidRDefault="0065230C" w:rsidP="0065230C">
      <w:pPr>
        <w:autoSpaceDE w:val="0"/>
        <w:autoSpaceDN w:val="0"/>
        <w:adjustRightInd w:val="0"/>
        <w:snapToGrid w:val="0"/>
        <w:spacing w:line="440" w:lineRule="exact"/>
        <w:ind w:firstLineChars="250" w:firstLine="602"/>
        <w:jc w:val="left"/>
        <w:rPr>
          <w:rFonts w:ascii="Times New Roman" w:eastAsia="宋体" w:hAnsi="Times New Roman" w:cs="Times New Roman"/>
          <w:sz w:val="24"/>
          <w:szCs w:val="20"/>
        </w:rPr>
      </w:pPr>
      <w:r w:rsidRPr="0065230C">
        <w:rPr>
          <w:rFonts w:ascii="Times New Roman" w:eastAsia="宋体" w:hAnsi="Times New Roman" w:cs="Times New Roman"/>
          <w:b/>
          <w:sz w:val="24"/>
          <w:szCs w:val="24"/>
        </w:rPr>
        <w:t>【难点】</w:t>
      </w:r>
      <w:r w:rsidRPr="0065230C">
        <w:rPr>
          <w:rFonts w:ascii="Times New Roman" w:eastAsia="宋体" w:hAnsi="Times New Roman" w:cs="Times New Roman"/>
          <w:sz w:val="24"/>
          <w:szCs w:val="20"/>
        </w:rPr>
        <w:t>气相色谱分析仪器的基本操作流程。</w:t>
      </w:r>
    </w:p>
    <w:p w14:paraId="3B1F299F" w14:textId="77777777" w:rsidR="0065230C" w:rsidRPr="0065230C" w:rsidRDefault="0065230C" w:rsidP="0065230C">
      <w:pPr>
        <w:autoSpaceDE w:val="0"/>
        <w:autoSpaceDN w:val="0"/>
        <w:adjustRightInd w:val="0"/>
        <w:snapToGrid w:val="0"/>
        <w:spacing w:line="440" w:lineRule="exact"/>
        <w:ind w:firstLineChars="250" w:firstLine="602"/>
        <w:jc w:val="left"/>
        <w:rPr>
          <w:rFonts w:ascii="Times New Roman" w:eastAsia="宋体" w:hAnsi="Times New Roman" w:cs="Times New Roman"/>
          <w:b/>
          <w:bCs/>
          <w:sz w:val="24"/>
          <w:szCs w:val="24"/>
        </w:rPr>
      </w:pPr>
      <w:r w:rsidRPr="0065230C">
        <w:rPr>
          <w:rFonts w:ascii="Times New Roman" w:eastAsia="宋体" w:hAnsi="Times New Roman" w:cs="Times New Roman"/>
          <w:b/>
          <w:bCs/>
          <w:sz w:val="24"/>
          <w:szCs w:val="24"/>
        </w:rPr>
        <w:t>【教学方法】</w:t>
      </w:r>
    </w:p>
    <w:p w14:paraId="358C7CDF"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1.</w:t>
      </w:r>
      <w:r w:rsidRPr="0065230C">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r w:rsidRPr="0065230C">
        <w:rPr>
          <w:rFonts w:ascii="Times New Roman" w:eastAsia="宋体" w:hAnsi="Times New Roman" w:cs="Times New Roman" w:hint="eastAsia"/>
          <w:sz w:val="24"/>
          <w:szCs w:val="24"/>
        </w:rPr>
        <w:t>。</w:t>
      </w:r>
    </w:p>
    <w:p w14:paraId="699F551F"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2.</w:t>
      </w:r>
      <w:r w:rsidRPr="0065230C">
        <w:rPr>
          <w:rFonts w:ascii="Times New Roman" w:eastAsia="宋体" w:hAnsi="Times New Roman" w:cs="Times New Roman"/>
          <w:sz w:val="24"/>
          <w:szCs w:val="24"/>
        </w:rPr>
        <w:t>通过案例分析，强调理论与实践相结合，促进学生知识整合，培养学生的反思能力</w:t>
      </w:r>
      <w:r w:rsidRPr="0065230C">
        <w:rPr>
          <w:rFonts w:ascii="Times New Roman" w:eastAsia="宋体" w:hAnsi="Times New Roman" w:cs="Times New Roman" w:hint="eastAsia"/>
          <w:sz w:val="24"/>
          <w:szCs w:val="24"/>
        </w:rPr>
        <w:t>。</w:t>
      </w:r>
    </w:p>
    <w:p w14:paraId="2091657F" w14:textId="77777777" w:rsidR="0065230C" w:rsidRPr="0065230C" w:rsidRDefault="0065230C" w:rsidP="0065230C">
      <w:pPr>
        <w:adjustRightInd w:val="0"/>
        <w:snapToGrid w:val="0"/>
        <w:spacing w:line="440" w:lineRule="exact"/>
        <w:ind w:firstLineChars="200" w:firstLine="482"/>
        <w:rPr>
          <w:rFonts w:ascii="Times New Roman" w:eastAsia="宋体" w:hAnsi="Times New Roman" w:cs="Times New Roman"/>
          <w:b/>
          <w:sz w:val="24"/>
          <w:szCs w:val="24"/>
        </w:rPr>
      </w:pPr>
      <w:r w:rsidRPr="0065230C">
        <w:rPr>
          <w:rFonts w:ascii="Times New Roman" w:eastAsia="宋体" w:hAnsi="Times New Roman" w:cs="Times New Roman"/>
          <w:b/>
          <w:sz w:val="24"/>
          <w:szCs w:val="24"/>
        </w:rPr>
        <w:t>【复习思考】</w:t>
      </w:r>
    </w:p>
    <w:p w14:paraId="04EF8DCF" w14:textId="77777777" w:rsidR="0065230C" w:rsidRPr="0065230C" w:rsidRDefault="0065230C" w:rsidP="0065230C">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r w:rsidRPr="0065230C">
        <w:rPr>
          <w:rFonts w:ascii="Times New Roman" w:eastAsia="宋体" w:hAnsi="Times New Roman" w:cs="Times New Roman"/>
          <w:sz w:val="24"/>
          <w:szCs w:val="24"/>
        </w:rPr>
        <w:t>1.</w:t>
      </w:r>
      <w:r w:rsidRPr="0065230C">
        <w:rPr>
          <w:rFonts w:ascii="Times New Roman" w:eastAsia="宋体" w:hAnsi="Times New Roman" w:cs="Times New Roman"/>
          <w:sz w:val="24"/>
          <w:szCs w:val="20"/>
        </w:rPr>
        <w:t>气相色谱分析仪器的工作原理和基本操作流程。</w:t>
      </w:r>
    </w:p>
    <w:p w14:paraId="751FFB6A" w14:textId="77777777" w:rsidR="0065230C" w:rsidRPr="0065230C" w:rsidRDefault="0065230C" w:rsidP="0065230C">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r w:rsidRPr="0065230C">
        <w:rPr>
          <w:rFonts w:ascii="Times New Roman" w:eastAsia="宋体" w:hAnsi="Times New Roman" w:cs="Times New Roman"/>
          <w:sz w:val="24"/>
          <w:szCs w:val="20"/>
        </w:rPr>
        <w:t>2.</w:t>
      </w:r>
      <w:r w:rsidRPr="0065230C">
        <w:rPr>
          <w:rFonts w:ascii="Times New Roman" w:eastAsia="宋体" w:hAnsi="Times New Roman" w:cs="Times New Roman"/>
          <w:sz w:val="24"/>
          <w:szCs w:val="20"/>
        </w:rPr>
        <w:t>程序升温色谱法的特点和升温方式。</w:t>
      </w:r>
    </w:p>
    <w:p w14:paraId="66FCFAB5" w14:textId="77777777" w:rsidR="0065230C" w:rsidRPr="0065230C" w:rsidRDefault="0065230C" w:rsidP="0065230C">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r w:rsidRPr="0065230C">
        <w:rPr>
          <w:rFonts w:ascii="Times New Roman" w:eastAsia="宋体" w:hAnsi="Times New Roman" w:cs="Times New Roman"/>
          <w:sz w:val="24"/>
          <w:szCs w:val="20"/>
        </w:rPr>
        <w:t>3.</w:t>
      </w:r>
      <w:r w:rsidRPr="0065230C">
        <w:rPr>
          <w:rFonts w:ascii="Times New Roman" w:eastAsia="宋体" w:hAnsi="Times New Roman" w:cs="Times New Roman"/>
          <w:sz w:val="24"/>
          <w:szCs w:val="20"/>
        </w:rPr>
        <w:t>顶空气相色谱法的原理。</w:t>
      </w:r>
    </w:p>
    <w:p w14:paraId="122ACC7F" w14:textId="77777777" w:rsidR="0065230C" w:rsidRPr="0065230C" w:rsidRDefault="0065230C" w:rsidP="0065230C">
      <w:pPr>
        <w:adjustRightInd w:val="0"/>
        <w:snapToGrid w:val="0"/>
        <w:spacing w:beforeLines="50" w:before="156" w:afterLines="50" w:after="156" w:line="440" w:lineRule="exact"/>
        <w:jc w:val="center"/>
        <w:rPr>
          <w:rFonts w:ascii="Times New Roman" w:eastAsia="黑体" w:hAnsi="Times New Roman" w:cs="Times New Roman"/>
          <w:sz w:val="28"/>
          <w:szCs w:val="28"/>
        </w:rPr>
      </w:pPr>
      <w:r w:rsidRPr="0065230C">
        <w:rPr>
          <w:rFonts w:ascii="Times New Roman" w:eastAsia="黑体" w:hAnsi="Times New Roman" w:cs="Times New Roman"/>
          <w:sz w:val="28"/>
          <w:szCs w:val="28"/>
        </w:rPr>
        <w:lastRenderedPageBreak/>
        <w:t>第</w:t>
      </w:r>
      <w:r w:rsidRPr="0065230C">
        <w:rPr>
          <w:rFonts w:ascii="Times New Roman" w:eastAsia="黑体" w:hAnsi="Times New Roman" w:cs="Times New Roman" w:hint="eastAsia"/>
          <w:sz w:val="28"/>
          <w:szCs w:val="28"/>
        </w:rPr>
        <w:t>三</w:t>
      </w:r>
      <w:r w:rsidRPr="0065230C">
        <w:rPr>
          <w:rFonts w:ascii="Times New Roman" w:eastAsia="黑体" w:hAnsi="Times New Roman" w:cs="Times New Roman"/>
          <w:sz w:val="28"/>
          <w:szCs w:val="28"/>
        </w:rPr>
        <w:t>章</w:t>
      </w:r>
      <w:r w:rsidRPr="0065230C">
        <w:rPr>
          <w:rFonts w:ascii="Times New Roman" w:eastAsia="黑体" w:hAnsi="Times New Roman" w:cs="Times New Roman"/>
          <w:sz w:val="28"/>
          <w:szCs w:val="28"/>
        </w:rPr>
        <w:t xml:space="preserve"> </w:t>
      </w:r>
      <w:r w:rsidRPr="0065230C">
        <w:rPr>
          <w:rFonts w:ascii="Times New Roman" w:eastAsia="黑体" w:hAnsi="Times New Roman" w:cs="Times New Roman"/>
          <w:sz w:val="28"/>
          <w:szCs w:val="28"/>
        </w:rPr>
        <w:t>高效液相色谱法</w:t>
      </w:r>
    </w:p>
    <w:p w14:paraId="0EF3D658" w14:textId="77777777" w:rsidR="0065230C" w:rsidRPr="0065230C" w:rsidRDefault="0065230C" w:rsidP="0065230C">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65230C">
        <w:rPr>
          <w:rFonts w:ascii="Times New Roman" w:eastAsia="宋体" w:hAnsi="Times New Roman" w:cs="Times New Roman"/>
          <w:b/>
          <w:sz w:val="24"/>
          <w:szCs w:val="24"/>
        </w:rPr>
        <w:t>【学习目标】</w:t>
      </w:r>
    </w:p>
    <w:p w14:paraId="3B7295E8"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1.</w:t>
      </w:r>
      <w:r w:rsidRPr="0065230C">
        <w:rPr>
          <w:rFonts w:ascii="Times New Roman" w:eastAsia="宋体" w:hAnsi="Times New Roman" w:cs="Times New Roman"/>
          <w:sz w:val="24"/>
          <w:szCs w:val="24"/>
        </w:rPr>
        <w:t>认知类目标：</w:t>
      </w:r>
      <w:r w:rsidRPr="0065230C">
        <w:rPr>
          <w:rFonts w:ascii="Times New Roman" w:eastAsia="宋体" w:hAnsi="Times New Roman" w:cs="Times New Roman"/>
          <w:sz w:val="24"/>
          <w:szCs w:val="20"/>
        </w:rPr>
        <w:t>掌握高效液相色谱法的基本</w:t>
      </w:r>
      <w:r w:rsidRPr="0065230C">
        <w:rPr>
          <w:rFonts w:ascii="Times New Roman" w:eastAsia="宋体" w:hAnsi="Times New Roman" w:cs="Times New Roman" w:hint="eastAsia"/>
          <w:sz w:val="24"/>
          <w:szCs w:val="20"/>
        </w:rPr>
        <w:t>原理</w:t>
      </w:r>
      <w:r w:rsidRPr="0065230C">
        <w:rPr>
          <w:rFonts w:ascii="Times New Roman" w:eastAsia="宋体" w:hAnsi="Times New Roman" w:cs="Times New Roman" w:hint="eastAsia"/>
          <w:sz w:val="24"/>
          <w:szCs w:val="24"/>
        </w:rPr>
        <w:t>。</w:t>
      </w:r>
    </w:p>
    <w:p w14:paraId="35EDB801"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0"/>
        </w:rPr>
      </w:pPr>
      <w:r w:rsidRPr="0065230C">
        <w:rPr>
          <w:rFonts w:ascii="Times New Roman" w:eastAsia="宋体" w:hAnsi="Times New Roman" w:cs="Times New Roman"/>
          <w:sz w:val="24"/>
          <w:szCs w:val="24"/>
        </w:rPr>
        <w:t>2.</w:t>
      </w:r>
      <w:r w:rsidRPr="0065230C">
        <w:rPr>
          <w:rFonts w:ascii="Times New Roman" w:eastAsia="宋体" w:hAnsi="Times New Roman" w:cs="Times New Roman"/>
          <w:sz w:val="24"/>
          <w:szCs w:val="24"/>
        </w:rPr>
        <w:t>过程与方法类目标：</w:t>
      </w:r>
      <w:r w:rsidRPr="0065230C">
        <w:rPr>
          <w:rFonts w:ascii="Times New Roman" w:eastAsia="宋体" w:hAnsi="Times New Roman" w:cs="Times New Roman"/>
          <w:sz w:val="24"/>
          <w:szCs w:val="20"/>
        </w:rPr>
        <w:t>掌握</w:t>
      </w:r>
      <w:r w:rsidRPr="0065230C">
        <w:rPr>
          <w:rFonts w:ascii="Times New Roman" w:eastAsia="宋体" w:hAnsi="Times New Roman" w:cs="Times New Roman" w:hint="eastAsia"/>
          <w:sz w:val="24"/>
          <w:szCs w:val="20"/>
        </w:rPr>
        <w:t>高效液相</w:t>
      </w:r>
      <w:r w:rsidRPr="0065230C">
        <w:rPr>
          <w:rFonts w:ascii="Times New Roman" w:eastAsia="宋体" w:hAnsi="Times New Roman" w:cs="Times New Roman"/>
          <w:sz w:val="24"/>
          <w:szCs w:val="20"/>
        </w:rPr>
        <w:t>色谱分析仪器的基本操作流程及注意事项</w:t>
      </w:r>
      <w:r w:rsidRPr="0065230C">
        <w:rPr>
          <w:rFonts w:ascii="Times New Roman" w:eastAsia="宋体" w:hAnsi="Times New Roman" w:cs="Times New Roman" w:hint="eastAsia"/>
          <w:sz w:val="24"/>
          <w:szCs w:val="20"/>
        </w:rPr>
        <w:t>；</w:t>
      </w:r>
      <w:r w:rsidRPr="0065230C">
        <w:rPr>
          <w:rFonts w:ascii="Times New Roman" w:eastAsia="宋体" w:hAnsi="Times New Roman" w:cs="Times New Roman"/>
          <w:sz w:val="24"/>
          <w:szCs w:val="20"/>
        </w:rPr>
        <w:t>掌握</w:t>
      </w:r>
      <w:r w:rsidRPr="0065230C">
        <w:rPr>
          <w:rFonts w:ascii="Times New Roman" w:eastAsia="宋体" w:hAnsi="Times New Roman" w:cs="Times New Roman" w:hint="eastAsia"/>
          <w:sz w:val="24"/>
          <w:szCs w:val="20"/>
        </w:rPr>
        <w:t>主要的洗脱</w:t>
      </w:r>
      <w:r w:rsidRPr="0065230C">
        <w:rPr>
          <w:rFonts w:ascii="Times New Roman" w:eastAsia="宋体" w:hAnsi="Times New Roman" w:cs="Times New Roman"/>
          <w:sz w:val="24"/>
          <w:szCs w:val="20"/>
        </w:rPr>
        <w:t>方法</w:t>
      </w:r>
      <w:r w:rsidRPr="0065230C">
        <w:rPr>
          <w:rFonts w:ascii="Times New Roman" w:eastAsia="宋体" w:hAnsi="Times New Roman" w:cs="Times New Roman" w:hint="eastAsia"/>
          <w:sz w:val="24"/>
          <w:szCs w:val="20"/>
        </w:rPr>
        <w:t>。</w:t>
      </w:r>
    </w:p>
    <w:p w14:paraId="7BB8C637"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0"/>
        </w:rPr>
      </w:pPr>
      <w:r w:rsidRPr="0065230C">
        <w:rPr>
          <w:rFonts w:ascii="Times New Roman" w:eastAsia="宋体" w:hAnsi="Times New Roman" w:cs="Times New Roman"/>
          <w:sz w:val="24"/>
          <w:szCs w:val="24"/>
        </w:rPr>
        <w:t>3.</w:t>
      </w:r>
      <w:r w:rsidRPr="0065230C">
        <w:rPr>
          <w:rFonts w:ascii="Times New Roman" w:eastAsia="宋体" w:hAnsi="Times New Roman" w:cs="Times New Roman"/>
          <w:sz w:val="24"/>
          <w:szCs w:val="24"/>
        </w:rPr>
        <w:t>情感、态度、价值观类目标：</w:t>
      </w:r>
      <w:r w:rsidRPr="0065230C">
        <w:rPr>
          <w:rFonts w:ascii="Times New Roman" w:eastAsia="宋体" w:hAnsi="Times New Roman" w:cs="Times New Roman"/>
          <w:sz w:val="24"/>
          <w:szCs w:val="20"/>
        </w:rPr>
        <w:t>了解国内仪器现状，促进学生学好当下知识。</w:t>
      </w:r>
    </w:p>
    <w:p w14:paraId="7A993399" w14:textId="77777777" w:rsidR="0065230C" w:rsidRPr="0065230C" w:rsidRDefault="0065230C" w:rsidP="0065230C">
      <w:pPr>
        <w:adjustRightInd w:val="0"/>
        <w:snapToGrid w:val="0"/>
        <w:spacing w:line="440" w:lineRule="exact"/>
        <w:ind w:firstLineChars="200" w:firstLine="482"/>
        <w:rPr>
          <w:rFonts w:ascii="Times New Roman" w:eastAsia="宋体" w:hAnsi="Times New Roman" w:cs="Times New Roman"/>
          <w:b/>
          <w:sz w:val="24"/>
          <w:szCs w:val="24"/>
        </w:rPr>
      </w:pPr>
      <w:r w:rsidRPr="0065230C">
        <w:rPr>
          <w:rFonts w:ascii="Times New Roman" w:eastAsia="宋体" w:hAnsi="Times New Roman" w:cs="Times New Roman"/>
          <w:b/>
          <w:sz w:val="24"/>
          <w:szCs w:val="24"/>
        </w:rPr>
        <w:t>【学习内容】</w:t>
      </w:r>
    </w:p>
    <w:p w14:paraId="625D6C17"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0"/>
        </w:rPr>
      </w:pPr>
      <w:r w:rsidRPr="0065230C">
        <w:rPr>
          <w:rFonts w:ascii="Times New Roman" w:eastAsia="宋体" w:hAnsi="Times New Roman" w:cs="Times New Roman"/>
          <w:sz w:val="24"/>
          <w:szCs w:val="20"/>
        </w:rPr>
        <w:t>1.</w:t>
      </w:r>
      <w:r w:rsidRPr="0065230C">
        <w:rPr>
          <w:rFonts w:ascii="Times New Roman" w:eastAsia="宋体" w:hAnsi="Times New Roman" w:cs="Times New Roman"/>
          <w:sz w:val="24"/>
          <w:szCs w:val="20"/>
        </w:rPr>
        <w:t>高效液相色谱法的定义与分类。</w:t>
      </w:r>
    </w:p>
    <w:p w14:paraId="3508A3C5"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0"/>
        </w:rPr>
      </w:pPr>
      <w:r w:rsidRPr="0065230C">
        <w:rPr>
          <w:rFonts w:ascii="Times New Roman" w:eastAsia="宋体" w:hAnsi="Times New Roman" w:cs="Times New Roman"/>
          <w:sz w:val="24"/>
          <w:szCs w:val="20"/>
        </w:rPr>
        <w:t>2.</w:t>
      </w:r>
      <w:r w:rsidRPr="0065230C">
        <w:rPr>
          <w:rFonts w:ascii="Times New Roman" w:eastAsia="宋体" w:hAnsi="Times New Roman" w:cs="Times New Roman"/>
          <w:sz w:val="24"/>
          <w:szCs w:val="20"/>
        </w:rPr>
        <w:t>高效液相色谱法与其他色谱法的比较。</w:t>
      </w:r>
    </w:p>
    <w:p w14:paraId="277F883F"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0"/>
        </w:rPr>
      </w:pPr>
      <w:r w:rsidRPr="0065230C">
        <w:rPr>
          <w:rFonts w:ascii="Times New Roman" w:eastAsia="宋体" w:hAnsi="Times New Roman" w:cs="Times New Roman"/>
          <w:sz w:val="24"/>
          <w:szCs w:val="20"/>
        </w:rPr>
        <w:t>3.</w:t>
      </w:r>
      <w:r w:rsidRPr="0065230C">
        <w:rPr>
          <w:rFonts w:ascii="Times New Roman" w:eastAsia="宋体" w:hAnsi="Times New Roman" w:cs="Times New Roman"/>
          <w:sz w:val="24"/>
          <w:szCs w:val="20"/>
        </w:rPr>
        <w:t>高效液相色谱仪的基本装置</w:t>
      </w:r>
      <w:r w:rsidRPr="0065230C">
        <w:rPr>
          <w:rFonts w:ascii="Times New Roman" w:eastAsia="宋体" w:hAnsi="Times New Roman" w:cs="Times New Roman" w:hint="eastAsia"/>
          <w:sz w:val="24"/>
          <w:szCs w:val="20"/>
        </w:rPr>
        <w:t>及相关操作技术</w:t>
      </w:r>
      <w:r w:rsidRPr="0065230C">
        <w:rPr>
          <w:rFonts w:ascii="Times New Roman" w:eastAsia="宋体" w:hAnsi="Times New Roman" w:cs="Times New Roman"/>
          <w:sz w:val="24"/>
          <w:szCs w:val="20"/>
        </w:rPr>
        <w:t>。</w:t>
      </w:r>
    </w:p>
    <w:p w14:paraId="629A9DE5"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0"/>
        </w:rPr>
      </w:pPr>
      <w:r w:rsidRPr="0065230C">
        <w:rPr>
          <w:rFonts w:ascii="Times New Roman" w:eastAsia="宋体" w:hAnsi="Times New Roman" w:cs="Times New Roman" w:hint="eastAsia"/>
          <w:sz w:val="24"/>
          <w:szCs w:val="20"/>
        </w:rPr>
        <w:t>4</w:t>
      </w:r>
      <w:r w:rsidRPr="0065230C">
        <w:rPr>
          <w:rFonts w:ascii="Times New Roman" w:eastAsia="宋体" w:hAnsi="Times New Roman" w:cs="Times New Roman"/>
          <w:sz w:val="24"/>
          <w:szCs w:val="20"/>
        </w:rPr>
        <w:t>.</w:t>
      </w:r>
      <w:r w:rsidRPr="0065230C">
        <w:rPr>
          <w:rFonts w:ascii="Times New Roman" w:eastAsia="宋体" w:hAnsi="Times New Roman" w:cs="Times New Roman"/>
          <w:sz w:val="24"/>
          <w:szCs w:val="20"/>
        </w:rPr>
        <w:t>介绍国内仪器现状。</w:t>
      </w:r>
    </w:p>
    <w:p w14:paraId="60A83F31" w14:textId="77777777" w:rsidR="0065230C" w:rsidRPr="0065230C" w:rsidRDefault="0065230C" w:rsidP="0065230C">
      <w:pPr>
        <w:adjustRightInd w:val="0"/>
        <w:snapToGrid w:val="0"/>
        <w:spacing w:line="440" w:lineRule="exact"/>
        <w:ind w:firstLineChars="200" w:firstLine="482"/>
        <w:rPr>
          <w:rFonts w:ascii="Times New Roman" w:eastAsia="宋体" w:hAnsi="Times New Roman" w:cs="Times New Roman"/>
          <w:sz w:val="24"/>
          <w:szCs w:val="20"/>
        </w:rPr>
      </w:pPr>
      <w:r w:rsidRPr="0065230C">
        <w:rPr>
          <w:rFonts w:ascii="Times New Roman" w:eastAsia="宋体" w:hAnsi="Times New Roman" w:cs="Times New Roman"/>
          <w:b/>
          <w:sz w:val="24"/>
          <w:szCs w:val="24"/>
        </w:rPr>
        <w:t>【重点】</w:t>
      </w:r>
      <w:r w:rsidRPr="0065230C">
        <w:rPr>
          <w:rFonts w:ascii="Times New Roman" w:eastAsia="宋体" w:hAnsi="Times New Roman" w:cs="Times New Roman"/>
          <w:sz w:val="24"/>
          <w:szCs w:val="24"/>
        </w:rPr>
        <w:t>高效液相色谱法的特点及分类；</w:t>
      </w:r>
      <w:r w:rsidRPr="0065230C">
        <w:rPr>
          <w:rFonts w:ascii="Times New Roman" w:eastAsia="宋体" w:hAnsi="Times New Roman" w:cs="Times New Roman"/>
          <w:sz w:val="24"/>
          <w:szCs w:val="20"/>
        </w:rPr>
        <w:t>高效液相色谱法的基本流路及相关技术。</w:t>
      </w:r>
    </w:p>
    <w:p w14:paraId="318D354F" w14:textId="77777777" w:rsidR="0065230C" w:rsidRPr="0065230C" w:rsidRDefault="0065230C" w:rsidP="0065230C">
      <w:pPr>
        <w:adjustRightInd w:val="0"/>
        <w:snapToGrid w:val="0"/>
        <w:spacing w:line="440" w:lineRule="exact"/>
        <w:ind w:firstLineChars="200" w:firstLine="482"/>
        <w:rPr>
          <w:rFonts w:ascii="Times New Roman" w:eastAsia="宋体" w:hAnsi="Times New Roman" w:cs="Times New Roman"/>
          <w:sz w:val="24"/>
          <w:szCs w:val="20"/>
        </w:rPr>
      </w:pPr>
      <w:r w:rsidRPr="0065230C">
        <w:rPr>
          <w:rFonts w:ascii="Times New Roman" w:eastAsia="宋体" w:hAnsi="Times New Roman" w:cs="Times New Roman"/>
          <w:b/>
          <w:sz w:val="24"/>
          <w:szCs w:val="24"/>
        </w:rPr>
        <w:t>【难点】</w:t>
      </w:r>
      <w:r w:rsidRPr="0065230C">
        <w:rPr>
          <w:rFonts w:ascii="Times New Roman" w:eastAsia="宋体" w:hAnsi="Times New Roman" w:cs="Times New Roman" w:hint="eastAsia"/>
          <w:sz w:val="24"/>
          <w:szCs w:val="24"/>
        </w:rPr>
        <w:t>梯度洗脱技术及液相分离条件</w:t>
      </w:r>
      <w:r w:rsidRPr="0065230C">
        <w:rPr>
          <w:rFonts w:ascii="Times New Roman" w:eastAsia="宋体" w:hAnsi="Times New Roman" w:cs="Times New Roman"/>
          <w:sz w:val="24"/>
          <w:szCs w:val="24"/>
        </w:rPr>
        <w:t>。</w:t>
      </w:r>
    </w:p>
    <w:p w14:paraId="1142F0DE" w14:textId="77777777" w:rsidR="0065230C" w:rsidRPr="0065230C" w:rsidRDefault="0065230C" w:rsidP="0065230C">
      <w:pPr>
        <w:adjustRightInd w:val="0"/>
        <w:snapToGrid w:val="0"/>
        <w:spacing w:line="440" w:lineRule="exact"/>
        <w:ind w:firstLineChars="200" w:firstLine="482"/>
        <w:rPr>
          <w:rFonts w:ascii="Times New Roman" w:eastAsia="宋体" w:hAnsi="Times New Roman" w:cs="Times New Roman"/>
          <w:b/>
          <w:bCs/>
          <w:sz w:val="24"/>
          <w:szCs w:val="24"/>
        </w:rPr>
      </w:pPr>
      <w:r w:rsidRPr="0065230C">
        <w:rPr>
          <w:rFonts w:ascii="Times New Roman" w:eastAsia="宋体" w:hAnsi="Times New Roman" w:cs="Times New Roman"/>
          <w:b/>
          <w:bCs/>
          <w:sz w:val="24"/>
          <w:szCs w:val="24"/>
        </w:rPr>
        <w:t>【教学方法】</w:t>
      </w:r>
    </w:p>
    <w:p w14:paraId="501F2DF8"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1.</w:t>
      </w:r>
      <w:r w:rsidRPr="0065230C">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57335B35"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b/>
          <w:bCs/>
          <w:sz w:val="24"/>
          <w:szCs w:val="24"/>
        </w:rPr>
      </w:pPr>
      <w:r w:rsidRPr="0065230C">
        <w:rPr>
          <w:rFonts w:ascii="Times New Roman" w:eastAsia="宋体" w:hAnsi="Times New Roman" w:cs="Times New Roman"/>
          <w:sz w:val="24"/>
          <w:szCs w:val="24"/>
        </w:rPr>
        <w:t>2.</w:t>
      </w:r>
      <w:r w:rsidRPr="0065230C">
        <w:rPr>
          <w:rFonts w:ascii="Times New Roman" w:eastAsia="宋体" w:hAnsi="Times New Roman" w:cs="Times New Roman"/>
          <w:sz w:val="24"/>
          <w:szCs w:val="24"/>
        </w:rPr>
        <w:t>通过案例分析，强调理论与实践相结合，促进学生知识整合，培养学生的反思能力；</w:t>
      </w:r>
    </w:p>
    <w:p w14:paraId="683EF178" w14:textId="77777777" w:rsidR="0065230C" w:rsidRPr="0065230C" w:rsidRDefault="0065230C" w:rsidP="0065230C">
      <w:pPr>
        <w:adjustRightInd w:val="0"/>
        <w:snapToGrid w:val="0"/>
        <w:spacing w:line="440" w:lineRule="exact"/>
        <w:ind w:firstLineChars="200" w:firstLine="482"/>
        <w:rPr>
          <w:rFonts w:ascii="Times New Roman" w:eastAsia="宋体" w:hAnsi="Times New Roman" w:cs="Times New Roman"/>
          <w:b/>
          <w:sz w:val="24"/>
          <w:szCs w:val="24"/>
        </w:rPr>
      </w:pPr>
      <w:r w:rsidRPr="0065230C">
        <w:rPr>
          <w:rFonts w:ascii="Times New Roman" w:eastAsia="宋体" w:hAnsi="Times New Roman" w:cs="Times New Roman"/>
          <w:b/>
          <w:sz w:val="24"/>
          <w:szCs w:val="24"/>
        </w:rPr>
        <w:t>【复习思考】</w:t>
      </w:r>
    </w:p>
    <w:p w14:paraId="51C2740A"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0"/>
        </w:rPr>
      </w:pPr>
      <w:r w:rsidRPr="0065230C">
        <w:rPr>
          <w:rFonts w:ascii="Times New Roman" w:eastAsia="宋体" w:hAnsi="Times New Roman" w:cs="Times New Roman"/>
          <w:sz w:val="24"/>
          <w:szCs w:val="20"/>
        </w:rPr>
        <w:t xml:space="preserve">       </w:t>
      </w:r>
      <w:r w:rsidRPr="0065230C">
        <w:rPr>
          <w:rFonts w:ascii="Times New Roman" w:eastAsia="宋体" w:hAnsi="Times New Roman" w:cs="Times New Roman" w:hint="eastAsia"/>
          <w:sz w:val="24"/>
          <w:szCs w:val="20"/>
        </w:rPr>
        <w:t>1</w:t>
      </w:r>
      <w:r w:rsidRPr="0065230C">
        <w:rPr>
          <w:rFonts w:ascii="Times New Roman" w:eastAsia="宋体" w:hAnsi="Times New Roman" w:cs="Times New Roman" w:hint="eastAsia"/>
          <w:sz w:val="24"/>
          <w:szCs w:val="20"/>
        </w:rPr>
        <w:t>、色谱柱长</w:t>
      </w:r>
      <w:r w:rsidRPr="0065230C">
        <w:rPr>
          <w:rFonts w:ascii="Times New Roman" w:eastAsia="宋体" w:hAnsi="Times New Roman" w:cs="Times New Roman" w:hint="eastAsia"/>
          <w:sz w:val="24"/>
          <w:szCs w:val="20"/>
        </w:rPr>
        <w:t>2m</w:t>
      </w:r>
      <w:r w:rsidRPr="0065230C">
        <w:rPr>
          <w:rFonts w:ascii="Times New Roman" w:eastAsia="宋体" w:hAnsi="Times New Roman" w:cs="Times New Roman" w:hint="eastAsia"/>
          <w:sz w:val="24"/>
          <w:szCs w:val="20"/>
        </w:rPr>
        <w:t>，放第</w:t>
      </w:r>
      <w:proofErr w:type="gramStart"/>
      <w:r w:rsidRPr="0065230C">
        <w:rPr>
          <w:rFonts w:ascii="Times New Roman" w:eastAsia="宋体" w:hAnsi="Times New Roman" w:cs="Times New Roman" w:hint="eastAsia"/>
          <w:sz w:val="24"/>
          <w:szCs w:val="20"/>
        </w:rPr>
        <w:t>姆特</w:t>
      </w:r>
      <w:proofErr w:type="gramEnd"/>
      <w:r w:rsidRPr="0065230C">
        <w:rPr>
          <w:rFonts w:ascii="Times New Roman" w:eastAsia="宋体" w:hAnsi="Times New Roman" w:cs="Times New Roman" w:hint="eastAsia"/>
          <w:sz w:val="24"/>
          <w:szCs w:val="20"/>
        </w:rPr>
        <w:t>方程中的常数</w:t>
      </w:r>
      <w:r w:rsidRPr="0065230C">
        <w:rPr>
          <w:rFonts w:ascii="Times New Roman" w:eastAsia="宋体" w:hAnsi="Times New Roman" w:cs="Times New Roman" w:hint="eastAsia"/>
          <w:sz w:val="24"/>
          <w:szCs w:val="20"/>
        </w:rPr>
        <w:t>A=0.050cm</w:t>
      </w:r>
      <w:r w:rsidRPr="0065230C">
        <w:rPr>
          <w:rFonts w:ascii="Times New Roman" w:eastAsia="宋体" w:hAnsi="Times New Roman" w:cs="Times New Roman" w:hint="eastAsia"/>
          <w:sz w:val="24"/>
          <w:szCs w:val="20"/>
        </w:rPr>
        <w:t>，</w:t>
      </w:r>
      <w:r w:rsidRPr="0065230C">
        <w:rPr>
          <w:rFonts w:ascii="Times New Roman" w:eastAsia="宋体" w:hAnsi="Times New Roman" w:cs="Times New Roman" w:hint="eastAsia"/>
          <w:sz w:val="24"/>
          <w:szCs w:val="20"/>
        </w:rPr>
        <w:t>B=0.033cm</w:t>
      </w:r>
      <w:r w:rsidRPr="0065230C">
        <w:rPr>
          <w:rFonts w:ascii="Times New Roman" w:eastAsia="宋体" w:hAnsi="Times New Roman" w:cs="Times New Roman" w:hint="eastAsia"/>
          <w:sz w:val="24"/>
          <w:szCs w:val="20"/>
          <w:vertAlign w:val="superscript"/>
        </w:rPr>
        <w:t>2</w:t>
      </w:r>
      <w:r w:rsidRPr="0065230C">
        <w:rPr>
          <w:rFonts w:ascii="Times New Roman" w:eastAsia="宋体" w:hAnsi="Times New Roman" w:cs="Times New Roman" w:hint="eastAsia"/>
          <w:sz w:val="24"/>
          <w:szCs w:val="20"/>
        </w:rPr>
        <w:t>/s</w:t>
      </w:r>
      <w:r w:rsidRPr="0065230C">
        <w:rPr>
          <w:rFonts w:ascii="Times New Roman" w:eastAsia="宋体" w:hAnsi="Times New Roman" w:cs="Times New Roman" w:hint="eastAsia"/>
          <w:sz w:val="24"/>
          <w:szCs w:val="20"/>
        </w:rPr>
        <w:t>，</w:t>
      </w:r>
      <w:r w:rsidRPr="0065230C">
        <w:rPr>
          <w:rFonts w:ascii="Times New Roman" w:eastAsia="宋体" w:hAnsi="Times New Roman" w:cs="Times New Roman" w:hint="eastAsia"/>
          <w:sz w:val="24"/>
          <w:szCs w:val="20"/>
        </w:rPr>
        <w:t xml:space="preserve"> </w:t>
      </w:r>
      <w:r w:rsidRPr="0065230C">
        <w:rPr>
          <w:rFonts w:ascii="Times New Roman" w:eastAsia="宋体" w:hAnsi="Times New Roman" w:cs="Times New Roman"/>
          <w:sz w:val="24"/>
          <w:szCs w:val="20"/>
        </w:rPr>
        <w:t xml:space="preserve"> </w:t>
      </w:r>
      <w:r w:rsidRPr="0065230C">
        <w:rPr>
          <w:rFonts w:ascii="Times New Roman" w:eastAsia="宋体" w:hAnsi="Times New Roman" w:cs="Times New Roman" w:hint="eastAsia"/>
          <w:sz w:val="24"/>
          <w:szCs w:val="20"/>
        </w:rPr>
        <w:t>C=0.12s</w:t>
      </w:r>
      <w:r w:rsidRPr="0065230C">
        <w:rPr>
          <w:rFonts w:ascii="Times New Roman" w:eastAsia="宋体" w:hAnsi="Times New Roman" w:cs="Times New Roman" w:hint="eastAsia"/>
          <w:sz w:val="24"/>
          <w:szCs w:val="20"/>
        </w:rPr>
        <w:t>，</w:t>
      </w:r>
      <w:r w:rsidRPr="0065230C">
        <w:rPr>
          <w:rFonts w:ascii="Times New Roman" w:eastAsia="宋体" w:hAnsi="Times New Roman" w:cs="Times New Roman" w:hint="eastAsia"/>
          <w:sz w:val="24"/>
          <w:szCs w:val="20"/>
        </w:rPr>
        <w:t>u=3.0cm/s</w:t>
      </w:r>
      <w:r w:rsidRPr="0065230C">
        <w:rPr>
          <w:rFonts w:ascii="Times New Roman" w:eastAsia="宋体" w:hAnsi="Times New Roman" w:cs="Times New Roman" w:hint="eastAsia"/>
          <w:sz w:val="24"/>
          <w:szCs w:val="20"/>
        </w:rPr>
        <w:t>。计算色谱柱的有效塔板高度及理论塔板数。</w:t>
      </w:r>
    </w:p>
    <w:p w14:paraId="2BEA8F9B"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0"/>
        </w:rPr>
      </w:pPr>
      <w:r w:rsidRPr="0065230C">
        <w:rPr>
          <w:rFonts w:ascii="Times New Roman" w:eastAsia="宋体" w:hAnsi="Times New Roman" w:cs="Times New Roman"/>
          <w:sz w:val="24"/>
          <w:szCs w:val="20"/>
        </w:rPr>
        <w:t xml:space="preserve">      2</w:t>
      </w:r>
      <w:r w:rsidRPr="0065230C">
        <w:rPr>
          <w:rFonts w:ascii="Times New Roman" w:eastAsia="宋体" w:hAnsi="Times New Roman" w:cs="Times New Roman"/>
          <w:sz w:val="24"/>
          <w:szCs w:val="20"/>
        </w:rPr>
        <w:t>、</w:t>
      </w:r>
      <w:r w:rsidRPr="0065230C">
        <w:rPr>
          <w:rFonts w:ascii="Times New Roman" w:eastAsia="宋体" w:hAnsi="Times New Roman" w:cs="Times New Roman" w:hint="eastAsia"/>
          <w:sz w:val="24"/>
          <w:szCs w:val="20"/>
        </w:rPr>
        <w:t>高效液相色谱法与其他色谱法（经典柱色谱法、气相色谱法）的比较。</w:t>
      </w:r>
    </w:p>
    <w:p w14:paraId="6093FD55"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0"/>
        </w:rPr>
      </w:pPr>
      <w:r w:rsidRPr="0065230C">
        <w:rPr>
          <w:rFonts w:ascii="Times New Roman" w:eastAsia="宋体" w:hAnsi="Times New Roman" w:cs="Times New Roman"/>
          <w:sz w:val="24"/>
          <w:szCs w:val="20"/>
        </w:rPr>
        <w:t xml:space="preserve">      3</w:t>
      </w:r>
      <w:r w:rsidRPr="0065230C">
        <w:rPr>
          <w:rFonts w:ascii="Times New Roman" w:eastAsia="宋体" w:hAnsi="Times New Roman" w:cs="Times New Roman" w:hint="eastAsia"/>
          <w:sz w:val="24"/>
          <w:szCs w:val="20"/>
        </w:rPr>
        <w:t>、梯度洗脱的特点及方式。</w:t>
      </w:r>
    </w:p>
    <w:p w14:paraId="286A7F6C" w14:textId="77777777" w:rsidR="0065230C" w:rsidRPr="0065230C" w:rsidRDefault="0065230C" w:rsidP="0065230C">
      <w:pPr>
        <w:adjustRightInd w:val="0"/>
        <w:snapToGrid w:val="0"/>
        <w:spacing w:beforeLines="50" w:before="156" w:afterLines="50" w:after="156" w:line="440" w:lineRule="exact"/>
        <w:jc w:val="center"/>
        <w:rPr>
          <w:rFonts w:ascii="Times New Roman" w:eastAsia="黑体" w:hAnsi="Times New Roman" w:cs="Times New Roman"/>
          <w:sz w:val="28"/>
          <w:szCs w:val="28"/>
        </w:rPr>
      </w:pPr>
      <w:r w:rsidRPr="0065230C">
        <w:rPr>
          <w:rFonts w:ascii="Times New Roman" w:eastAsia="黑体" w:hAnsi="Times New Roman" w:cs="Times New Roman"/>
          <w:sz w:val="28"/>
          <w:szCs w:val="28"/>
        </w:rPr>
        <w:t>第</w:t>
      </w:r>
      <w:r w:rsidRPr="0065230C">
        <w:rPr>
          <w:rFonts w:ascii="Times New Roman" w:eastAsia="黑体" w:hAnsi="Times New Roman" w:cs="Times New Roman" w:hint="eastAsia"/>
          <w:sz w:val="28"/>
          <w:szCs w:val="28"/>
        </w:rPr>
        <w:t>四</w:t>
      </w:r>
      <w:r w:rsidRPr="0065230C">
        <w:rPr>
          <w:rFonts w:ascii="Times New Roman" w:eastAsia="黑体" w:hAnsi="Times New Roman" w:cs="Times New Roman"/>
          <w:sz w:val="28"/>
          <w:szCs w:val="28"/>
        </w:rPr>
        <w:t>章</w:t>
      </w:r>
      <w:r w:rsidRPr="0065230C">
        <w:rPr>
          <w:rFonts w:ascii="Times New Roman" w:eastAsia="黑体" w:hAnsi="Times New Roman" w:cs="Times New Roman"/>
          <w:sz w:val="28"/>
          <w:szCs w:val="28"/>
        </w:rPr>
        <w:t xml:space="preserve"> </w:t>
      </w:r>
      <w:r w:rsidRPr="0065230C">
        <w:rPr>
          <w:rFonts w:ascii="Times New Roman" w:eastAsia="黑体" w:hAnsi="Times New Roman" w:cs="Times New Roman" w:hint="eastAsia"/>
          <w:color w:val="000000"/>
          <w:sz w:val="28"/>
          <w:szCs w:val="28"/>
        </w:rPr>
        <w:t>药物色谱分析方法及其</w:t>
      </w:r>
      <w:r w:rsidRPr="0065230C">
        <w:rPr>
          <w:rFonts w:ascii="Times New Roman" w:eastAsia="黑体" w:hAnsi="Times New Roman" w:cs="Times New Roman" w:hint="eastAsia"/>
          <w:sz w:val="28"/>
          <w:szCs w:val="28"/>
        </w:rPr>
        <w:t>验证</w:t>
      </w:r>
    </w:p>
    <w:p w14:paraId="18A70809" w14:textId="77777777" w:rsidR="0065230C" w:rsidRPr="0065230C" w:rsidRDefault="0065230C" w:rsidP="0065230C">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65230C">
        <w:rPr>
          <w:rFonts w:ascii="Times New Roman" w:eastAsia="宋体" w:hAnsi="Times New Roman" w:cs="Times New Roman"/>
          <w:b/>
          <w:sz w:val="24"/>
          <w:szCs w:val="24"/>
        </w:rPr>
        <w:t>【学习目标】</w:t>
      </w:r>
    </w:p>
    <w:p w14:paraId="5AEC04C7" w14:textId="77777777" w:rsidR="0065230C" w:rsidRPr="0065230C" w:rsidRDefault="0065230C" w:rsidP="0065230C">
      <w:pPr>
        <w:adjustRightInd w:val="0"/>
        <w:snapToGrid w:val="0"/>
        <w:spacing w:line="440" w:lineRule="exact"/>
        <w:ind w:firstLineChars="200" w:firstLine="440"/>
        <w:rPr>
          <w:rFonts w:ascii="Times New Roman" w:eastAsia="宋体" w:hAnsi="Times New Roman" w:cs="Times New Roman"/>
          <w:sz w:val="24"/>
          <w:szCs w:val="24"/>
        </w:rPr>
      </w:pPr>
      <w:r w:rsidRPr="0065230C">
        <w:rPr>
          <w:rFonts w:ascii="Calibri" w:eastAsia="等线" w:hAnsi="Calibri" w:cs="Times New Roman" w:hint="eastAsia"/>
          <w:kern w:val="0"/>
          <w:sz w:val="22"/>
        </w:rPr>
        <w:t xml:space="preserve"> </w:t>
      </w:r>
      <w:r w:rsidRPr="0065230C">
        <w:rPr>
          <w:rFonts w:ascii="Times New Roman" w:eastAsia="宋体" w:hAnsi="Times New Roman" w:cs="Times New Roman" w:hint="eastAsia"/>
          <w:sz w:val="24"/>
          <w:szCs w:val="24"/>
        </w:rPr>
        <w:t>1.</w:t>
      </w:r>
      <w:r w:rsidRPr="0065230C">
        <w:rPr>
          <w:rFonts w:ascii="Times New Roman" w:eastAsia="宋体" w:hAnsi="Times New Roman" w:cs="Times New Roman" w:hint="eastAsia"/>
          <w:sz w:val="24"/>
          <w:szCs w:val="24"/>
        </w:rPr>
        <w:t>认知类目标：掌握色谱联用技术基本原理。</w:t>
      </w:r>
    </w:p>
    <w:p w14:paraId="2B803962"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hint="eastAsia"/>
          <w:sz w:val="24"/>
          <w:szCs w:val="24"/>
        </w:rPr>
        <w:t>2.</w:t>
      </w:r>
      <w:r w:rsidRPr="0065230C">
        <w:rPr>
          <w:rFonts w:ascii="Times New Roman" w:eastAsia="宋体" w:hAnsi="Times New Roman" w:cs="Times New Roman" w:hint="eastAsia"/>
          <w:sz w:val="24"/>
          <w:szCs w:val="24"/>
        </w:rPr>
        <w:t>过程与方法类目标：掌握液</w:t>
      </w:r>
      <w:r w:rsidRPr="0065230C">
        <w:rPr>
          <w:rFonts w:ascii="Times New Roman" w:eastAsia="宋体" w:hAnsi="Times New Roman" w:cs="Times New Roman" w:hint="eastAsia"/>
          <w:sz w:val="24"/>
          <w:szCs w:val="24"/>
        </w:rPr>
        <w:t>-</w:t>
      </w:r>
      <w:proofErr w:type="gramStart"/>
      <w:r w:rsidRPr="0065230C">
        <w:rPr>
          <w:rFonts w:ascii="Times New Roman" w:eastAsia="宋体" w:hAnsi="Times New Roman" w:cs="Times New Roman" w:hint="eastAsia"/>
          <w:sz w:val="24"/>
          <w:szCs w:val="24"/>
        </w:rPr>
        <w:t>质联用</w:t>
      </w:r>
      <w:proofErr w:type="gramEnd"/>
      <w:r w:rsidRPr="0065230C">
        <w:rPr>
          <w:rFonts w:ascii="Times New Roman" w:eastAsia="宋体" w:hAnsi="Times New Roman" w:cs="Times New Roman" w:hint="eastAsia"/>
          <w:sz w:val="24"/>
          <w:szCs w:val="24"/>
        </w:rPr>
        <w:t>、气</w:t>
      </w:r>
      <w:r w:rsidRPr="0065230C">
        <w:rPr>
          <w:rFonts w:ascii="Times New Roman" w:eastAsia="宋体" w:hAnsi="Times New Roman" w:cs="Times New Roman" w:hint="eastAsia"/>
          <w:sz w:val="24"/>
          <w:szCs w:val="24"/>
        </w:rPr>
        <w:t>-</w:t>
      </w:r>
      <w:proofErr w:type="gramStart"/>
      <w:r w:rsidRPr="0065230C">
        <w:rPr>
          <w:rFonts w:ascii="Times New Roman" w:eastAsia="宋体" w:hAnsi="Times New Roman" w:cs="Times New Roman" w:hint="eastAsia"/>
          <w:sz w:val="24"/>
          <w:szCs w:val="24"/>
        </w:rPr>
        <w:t>质联用</w:t>
      </w:r>
      <w:proofErr w:type="gramEnd"/>
      <w:r w:rsidRPr="0065230C">
        <w:rPr>
          <w:rFonts w:ascii="Times New Roman" w:eastAsia="宋体" w:hAnsi="Times New Roman" w:cs="Times New Roman" w:hint="eastAsia"/>
          <w:sz w:val="24"/>
          <w:szCs w:val="24"/>
        </w:rPr>
        <w:t>的操作流程；掌握主要离子源种类。</w:t>
      </w:r>
    </w:p>
    <w:p w14:paraId="71263E70"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0"/>
        </w:rPr>
      </w:pPr>
      <w:r w:rsidRPr="0065230C">
        <w:rPr>
          <w:rFonts w:ascii="Times New Roman" w:eastAsia="宋体" w:hAnsi="Times New Roman" w:cs="Times New Roman" w:hint="eastAsia"/>
          <w:sz w:val="24"/>
          <w:szCs w:val="24"/>
        </w:rPr>
        <w:t>3.</w:t>
      </w:r>
      <w:r w:rsidRPr="0065230C">
        <w:rPr>
          <w:rFonts w:ascii="Times New Roman" w:eastAsia="宋体" w:hAnsi="Times New Roman" w:cs="Times New Roman" w:hint="eastAsia"/>
          <w:sz w:val="24"/>
          <w:szCs w:val="24"/>
        </w:rPr>
        <w:t>情感、态度、价值观类目标：了解药物分析领域常用的分析仪器，促进学生学好当下知识。</w:t>
      </w:r>
      <w:r w:rsidRPr="0065230C">
        <w:rPr>
          <w:rFonts w:ascii="Times New Roman" w:eastAsia="宋体" w:hAnsi="Times New Roman" w:cs="Times New Roman"/>
          <w:sz w:val="24"/>
          <w:szCs w:val="20"/>
        </w:rPr>
        <w:t>。</w:t>
      </w:r>
    </w:p>
    <w:p w14:paraId="633646B9" w14:textId="77777777" w:rsidR="0065230C" w:rsidRPr="0065230C" w:rsidRDefault="0065230C" w:rsidP="0065230C">
      <w:pPr>
        <w:adjustRightInd w:val="0"/>
        <w:snapToGrid w:val="0"/>
        <w:spacing w:line="440" w:lineRule="exact"/>
        <w:ind w:firstLineChars="200" w:firstLine="482"/>
        <w:rPr>
          <w:rFonts w:ascii="Times New Roman" w:eastAsia="宋体" w:hAnsi="Times New Roman" w:cs="Times New Roman"/>
          <w:b/>
          <w:sz w:val="24"/>
          <w:szCs w:val="24"/>
        </w:rPr>
      </w:pPr>
      <w:r w:rsidRPr="0065230C">
        <w:rPr>
          <w:rFonts w:ascii="Times New Roman" w:eastAsia="宋体" w:hAnsi="Times New Roman" w:cs="Times New Roman"/>
          <w:b/>
          <w:sz w:val="24"/>
          <w:szCs w:val="24"/>
        </w:rPr>
        <w:lastRenderedPageBreak/>
        <w:t>【学习内容】</w:t>
      </w:r>
    </w:p>
    <w:p w14:paraId="344400BF"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0"/>
        </w:rPr>
      </w:pPr>
      <w:r w:rsidRPr="0065230C">
        <w:rPr>
          <w:rFonts w:ascii="Times New Roman" w:eastAsia="宋体" w:hAnsi="Times New Roman" w:cs="Times New Roman" w:hint="eastAsia"/>
          <w:sz w:val="24"/>
          <w:szCs w:val="20"/>
        </w:rPr>
        <w:t>1</w:t>
      </w:r>
      <w:r w:rsidRPr="0065230C">
        <w:rPr>
          <w:rFonts w:ascii="Times New Roman" w:eastAsia="宋体" w:hAnsi="Times New Roman" w:cs="Times New Roman" w:hint="eastAsia"/>
          <w:sz w:val="24"/>
          <w:szCs w:val="20"/>
        </w:rPr>
        <w:t>、联用技术定性方法</w:t>
      </w:r>
    </w:p>
    <w:p w14:paraId="2FDD7B8D"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0"/>
        </w:rPr>
      </w:pPr>
      <w:r w:rsidRPr="0065230C">
        <w:rPr>
          <w:rFonts w:ascii="Times New Roman" w:eastAsia="宋体" w:hAnsi="Times New Roman" w:cs="Times New Roman" w:hint="eastAsia"/>
          <w:sz w:val="24"/>
          <w:szCs w:val="20"/>
        </w:rPr>
        <w:t>2</w:t>
      </w:r>
      <w:r w:rsidRPr="0065230C">
        <w:rPr>
          <w:rFonts w:ascii="Times New Roman" w:eastAsia="宋体" w:hAnsi="Times New Roman" w:cs="Times New Roman" w:hint="eastAsia"/>
          <w:sz w:val="24"/>
          <w:szCs w:val="20"/>
        </w:rPr>
        <w:t>、色谱定性分析方法</w:t>
      </w:r>
    </w:p>
    <w:p w14:paraId="5ED993BB"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0"/>
        </w:rPr>
      </w:pPr>
      <w:r w:rsidRPr="0065230C">
        <w:rPr>
          <w:rFonts w:ascii="Times New Roman" w:eastAsia="宋体" w:hAnsi="Times New Roman" w:cs="Times New Roman" w:hint="eastAsia"/>
          <w:sz w:val="24"/>
          <w:szCs w:val="20"/>
        </w:rPr>
        <w:t>3</w:t>
      </w:r>
      <w:r w:rsidRPr="0065230C">
        <w:rPr>
          <w:rFonts w:ascii="Times New Roman" w:eastAsia="宋体" w:hAnsi="Times New Roman" w:cs="Times New Roman" w:hint="eastAsia"/>
          <w:sz w:val="24"/>
          <w:szCs w:val="20"/>
        </w:rPr>
        <w:t>、色谱定量分析方法</w:t>
      </w:r>
    </w:p>
    <w:p w14:paraId="5C056006"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0"/>
        </w:rPr>
      </w:pPr>
      <w:r w:rsidRPr="0065230C">
        <w:rPr>
          <w:rFonts w:ascii="Times New Roman" w:eastAsia="宋体" w:hAnsi="Times New Roman" w:cs="Times New Roman" w:hint="eastAsia"/>
          <w:sz w:val="24"/>
          <w:szCs w:val="20"/>
        </w:rPr>
        <w:t>4</w:t>
      </w:r>
      <w:r w:rsidRPr="0065230C">
        <w:rPr>
          <w:rFonts w:ascii="Times New Roman" w:eastAsia="宋体" w:hAnsi="Times New Roman" w:cs="Times New Roman" w:hint="eastAsia"/>
          <w:sz w:val="24"/>
          <w:szCs w:val="20"/>
        </w:rPr>
        <w:t>、色谱分析方法验证</w:t>
      </w:r>
    </w:p>
    <w:p w14:paraId="5541A005" w14:textId="77777777" w:rsidR="0065230C" w:rsidRPr="0065230C" w:rsidRDefault="0065230C" w:rsidP="0065230C">
      <w:pPr>
        <w:adjustRightInd w:val="0"/>
        <w:snapToGrid w:val="0"/>
        <w:spacing w:line="440" w:lineRule="exact"/>
        <w:ind w:firstLineChars="200" w:firstLine="482"/>
        <w:rPr>
          <w:rFonts w:ascii="Times New Roman" w:eastAsia="宋体" w:hAnsi="Times New Roman" w:cs="Times New Roman"/>
          <w:sz w:val="24"/>
          <w:szCs w:val="24"/>
        </w:rPr>
      </w:pPr>
      <w:r w:rsidRPr="0065230C">
        <w:rPr>
          <w:rFonts w:ascii="Times New Roman" w:eastAsia="宋体" w:hAnsi="Times New Roman" w:cs="Times New Roman"/>
          <w:b/>
          <w:sz w:val="24"/>
          <w:szCs w:val="24"/>
        </w:rPr>
        <w:t>【重点】</w:t>
      </w:r>
      <w:r w:rsidRPr="0065230C">
        <w:rPr>
          <w:rFonts w:ascii="Times New Roman" w:eastAsia="宋体" w:hAnsi="Times New Roman" w:cs="Times New Roman" w:hint="eastAsia"/>
          <w:sz w:val="24"/>
          <w:szCs w:val="24"/>
        </w:rPr>
        <w:t>液</w:t>
      </w:r>
      <w:r w:rsidRPr="0065230C">
        <w:rPr>
          <w:rFonts w:ascii="Times New Roman" w:eastAsia="宋体" w:hAnsi="Times New Roman" w:cs="Times New Roman" w:hint="eastAsia"/>
          <w:sz w:val="24"/>
          <w:szCs w:val="24"/>
        </w:rPr>
        <w:t>-</w:t>
      </w:r>
      <w:r w:rsidRPr="0065230C">
        <w:rPr>
          <w:rFonts w:ascii="Times New Roman" w:eastAsia="宋体" w:hAnsi="Times New Roman" w:cs="Times New Roman" w:hint="eastAsia"/>
          <w:sz w:val="24"/>
          <w:szCs w:val="24"/>
        </w:rPr>
        <w:t>质色谱联用技术；物质定量分析方法。</w:t>
      </w:r>
    </w:p>
    <w:p w14:paraId="51A4B17D" w14:textId="77777777" w:rsidR="0065230C" w:rsidRPr="0065230C" w:rsidRDefault="0065230C" w:rsidP="0065230C">
      <w:pPr>
        <w:adjustRightInd w:val="0"/>
        <w:snapToGrid w:val="0"/>
        <w:spacing w:line="440" w:lineRule="exact"/>
        <w:ind w:firstLineChars="200" w:firstLine="482"/>
        <w:rPr>
          <w:rFonts w:ascii="Times New Roman" w:eastAsia="宋体" w:hAnsi="Times New Roman" w:cs="Times New Roman"/>
          <w:b/>
          <w:sz w:val="24"/>
          <w:szCs w:val="24"/>
        </w:rPr>
      </w:pPr>
      <w:r w:rsidRPr="0065230C">
        <w:rPr>
          <w:rFonts w:ascii="Times New Roman" w:eastAsia="宋体" w:hAnsi="Times New Roman" w:cs="Times New Roman"/>
          <w:b/>
          <w:sz w:val="24"/>
          <w:szCs w:val="24"/>
        </w:rPr>
        <w:t>【难点】</w:t>
      </w:r>
      <w:r w:rsidRPr="0065230C">
        <w:rPr>
          <w:rFonts w:ascii="Times New Roman" w:eastAsia="宋体" w:hAnsi="Times New Roman" w:cs="Times New Roman" w:hint="eastAsia"/>
          <w:sz w:val="24"/>
          <w:szCs w:val="24"/>
        </w:rPr>
        <w:t>联用技术分析原理</w:t>
      </w:r>
    </w:p>
    <w:p w14:paraId="3639E1CD" w14:textId="77777777" w:rsidR="0065230C" w:rsidRPr="0065230C" w:rsidRDefault="0065230C" w:rsidP="0065230C">
      <w:pPr>
        <w:adjustRightInd w:val="0"/>
        <w:snapToGrid w:val="0"/>
        <w:spacing w:line="440" w:lineRule="exact"/>
        <w:ind w:firstLineChars="200" w:firstLine="482"/>
        <w:rPr>
          <w:rFonts w:ascii="Times New Roman" w:eastAsia="宋体" w:hAnsi="Times New Roman" w:cs="Times New Roman"/>
          <w:b/>
          <w:bCs/>
          <w:sz w:val="24"/>
          <w:szCs w:val="24"/>
        </w:rPr>
      </w:pPr>
      <w:r w:rsidRPr="0065230C">
        <w:rPr>
          <w:rFonts w:ascii="Times New Roman" w:eastAsia="宋体" w:hAnsi="Times New Roman" w:cs="Times New Roman"/>
          <w:b/>
          <w:bCs/>
          <w:sz w:val="24"/>
          <w:szCs w:val="24"/>
        </w:rPr>
        <w:t>【教学方法】</w:t>
      </w:r>
    </w:p>
    <w:p w14:paraId="659843B2"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1.</w:t>
      </w:r>
      <w:r w:rsidRPr="0065230C">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1D69F5C8"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b/>
          <w:bCs/>
          <w:sz w:val="24"/>
          <w:szCs w:val="24"/>
        </w:rPr>
      </w:pPr>
      <w:r w:rsidRPr="0065230C">
        <w:rPr>
          <w:rFonts w:ascii="Times New Roman" w:eastAsia="宋体" w:hAnsi="Times New Roman" w:cs="Times New Roman"/>
          <w:sz w:val="24"/>
          <w:szCs w:val="24"/>
        </w:rPr>
        <w:t>2.</w:t>
      </w:r>
      <w:r w:rsidRPr="0065230C">
        <w:rPr>
          <w:rFonts w:ascii="Times New Roman" w:eastAsia="宋体" w:hAnsi="Times New Roman" w:cs="Times New Roman"/>
          <w:sz w:val="24"/>
          <w:szCs w:val="24"/>
        </w:rPr>
        <w:t>通过案例分析，强调理论与实践相结合，促进学生知识整合，培养学生的反思能力；</w:t>
      </w:r>
    </w:p>
    <w:p w14:paraId="0506C5A3" w14:textId="77777777" w:rsidR="0065230C" w:rsidRPr="0065230C" w:rsidRDefault="0065230C" w:rsidP="0065230C">
      <w:pPr>
        <w:adjustRightInd w:val="0"/>
        <w:snapToGrid w:val="0"/>
        <w:spacing w:line="440" w:lineRule="exact"/>
        <w:ind w:firstLineChars="200" w:firstLine="482"/>
        <w:rPr>
          <w:rFonts w:ascii="Times New Roman" w:eastAsia="宋体" w:hAnsi="Times New Roman" w:cs="Times New Roman"/>
          <w:b/>
          <w:sz w:val="24"/>
          <w:szCs w:val="24"/>
        </w:rPr>
      </w:pPr>
      <w:r w:rsidRPr="0065230C">
        <w:rPr>
          <w:rFonts w:ascii="Times New Roman" w:eastAsia="宋体" w:hAnsi="Times New Roman" w:cs="Times New Roman"/>
          <w:b/>
          <w:sz w:val="24"/>
          <w:szCs w:val="24"/>
        </w:rPr>
        <w:t>【复习思考】</w:t>
      </w:r>
    </w:p>
    <w:p w14:paraId="6FD8B8BB" w14:textId="77777777" w:rsidR="0065230C" w:rsidRPr="0065230C" w:rsidRDefault="0065230C" w:rsidP="0065230C">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r w:rsidRPr="0065230C">
        <w:rPr>
          <w:rFonts w:ascii="Times New Roman" w:eastAsia="宋体" w:hAnsi="Times New Roman" w:cs="Times New Roman"/>
          <w:sz w:val="24"/>
          <w:szCs w:val="20"/>
        </w:rPr>
        <w:t>1.</w:t>
      </w:r>
      <w:r w:rsidRPr="0065230C">
        <w:rPr>
          <w:rFonts w:ascii="Calibri" w:eastAsia="等线" w:hAnsi="Calibri" w:cs="Times New Roman" w:hint="eastAsia"/>
          <w:kern w:val="0"/>
          <w:sz w:val="22"/>
        </w:rPr>
        <w:t xml:space="preserve"> </w:t>
      </w:r>
      <w:r w:rsidRPr="0065230C">
        <w:rPr>
          <w:rFonts w:ascii="Times New Roman" w:eastAsia="宋体" w:hAnsi="Times New Roman" w:cs="Times New Roman" w:hint="eastAsia"/>
          <w:sz w:val="24"/>
          <w:szCs w:val="20"/>
        </w:rPr>
        <w:t>质谱组成及常用离子源有哪些？</w:t>
      </w:r>
    </w:p>
    <w:p w14:paraId="6833D8D0" w14:textId="77777777" w:rsidR="0065230C" w:rsidRPr="0065230C" w:rsidRDefault="0065230C" w:rsidP="0065230C">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r w:rsidRPr="0065230C">
        <w:rPr>
          <w:rFonts w:ascii="Times New Roman" w:eastAsia="宋体" w:hAnsi="Times New Roman" w:cs="Times New Roman" w:hint="eastAsia"/>
          <w:sz w:val="24"/>
          <w:szCs w:val="20"/>
        </w:rPr>
        <w:t>2.</w:t>
      </w:r>
      <w:r w:rsidRPr="0065230C">
        <w:rPr>
          <w:rFonts w:ascii="Times New Roman" w:eastAsia="宋体" w:hAnsi="Times New Roman" w:cs="Times New Roman"/>
          <w:sz w:val="24"/>
          <w:szCs w:val="20"/>
        </w:rPr>
        <w:t xml:space="preserve"> </w:t>
      </w:r>
      <w:r w:rsidRPr="0065230C">
        <w:rPr>
          <w:rFonts w:ascii="Times New Roman" w:eastAsia="宋体" w:hAnsi="Times New Roman" w:cs="Times New Roman" w:hint="eastAsia"/>
          <w:sz w:val="24"/>
          <w:szCs w:val="20"/>
        </w:rPr>
        <w:t>简述定量分析方法种类及步骤。</w:t>
      </w:r>
    </w:p>
    <w:p w14:paraId="28119F92" w14:textId="77777777" w:rsidR="0065230C" w:rsidRPr="0065230C" w:rsidRDefault="0065230C" w:rsidP="0065230C">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p>
    <w:p w14:paraId="47236F1E" w14:textId="77777777" w:rsidR="0065230C" w:rsidRPr="0065230C" w:rsidRDefault="0065230C" w:rsidP="0065230C">
      <w:pPr>
        <w:spacing w:beforeLines="50" w:before="156" w:afterLines="50" w:after="156" w:line="440" w:lineRule="exact"/>
        <w:ind w:left="561"/>
        <w:rPr>
          <w:rFonts w:ascii="Times New Roman" w:eastAsia="仿宋" w:hAnsi="Times New Roman" w:cs="Times New Roman"/>
          <w:sz w:val="24"/>
          <w:szCs w:val="24"/>
        </w:rPr>
      </w:pPr>
      <w:r w:rsidRPr="0065230C">
        <w:rPr>
          <w:rFonts w:ascii="Times New Roman" w:eastAsia="黑体" w:hAnsi="Times New Roman" w:cs="Times New Roman"/>
          <w:sz w:val="28"/>
          <w:szCs w:val="28"/>
        </w:rPr>
        <w:t>（二）课程学习内容与课程学习目标的对应关系</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85"/>
        <w:gridCol w:w="2340"/>
        <w:gridCol w:w="1794"/>
        <w:gridCol w:w="1538"/>
      </w:tblGrid>
      <w:tr w:rsidR="0065230C" w:rsidRPr="0065230C" w14:paraId="6F7E44CA" w14:textId="77777777" w:rsidTr="00C96426">
        <w:trPr>
          <w:trHeight w:val="660"/>
          <w:jc w:val="center"/>
        </w:trPr>
        <w:tc>
          <w:tcPr>
            <w:tcW w:w="3685" w:type="dxa"/>
            <w:vAlign w:val="center"/>
          </w:tcPr>
          <w:p w14:paraId="356AABE3" w14:textId="77777777" w:rsidR="0065230C" w:rsidRPr="0065230C" w:rsidRDefault="0065230C" w:rsidP="0065230C">
            <w:pPr>
              <w:spacing w:line="440" w:lineRule="exact"/>
              <w:jc w:val="center"/>
              <w:rPr>
                <w:rFonts w:ascii="Times New Roman" w:eastAsia="宋体" w:hAnsi="Times New Roman" w:cs="Times New Roman"/>
                <w:b/>
                <w:bCs/>
                <w:sz w:val="24"/>
                <w:szCs w:val="24"/>
              </w:rPr>
            </w:pPr>
            <w:r w:rsidRPr="0065230C">
              <w:rPr>
                <w:rFonts w:ascii="Times New Roman" w:eastAsia="宋体" w:hAnsi="Times New Roman" w:cs="Times New Roman"/>
                <w:b/>
                <w:bCs/>
                <w:sz w:val="24"/>
                <w:szCs w:val="24"/>
              </w:rPr>
              <w:t>课程学习内容</w:t>
            </w:r>
          </w:p>
        </w:tc>
        <w:tc>
          <w:tcPr>
            <w:tcW w:w="2340" w:type="dxa"/>
            <w:vAlign w:val="center"/>
          </w:tcPr>
          <w:p w14:paraId="58510312" w14:textId="77777777" w:rsidR="0065230C" w:rsidRPr="0065230C" w:rsidRDefault="0065230C" w:rsidP="0065230C">
            <w:pPr>
              <w:spacing w:line="440" w:lineRule="exact"/>
              <w:jc w:val="center"/>
              <w:rPr>
                <w:rFonts w:ascii="Times New Roman" w:eastAsia="宋体" w:hAnsi="Times New Roman" w:cs="Times New Roman"/>
                <w:b/>
                <w:bCs/>
                <w:sz w:val="24"/>
                <w:szCs w:val="24"/>
              </w:rPr>
            </w:pPr>
            <w:r w:rsidRPr="0065230C">
              <w:rPr>
                <w:rFonts w:ascii="Times New Roman" w:eastAsia="宋体" w:hAnsi="Times New Roman" w:cs="Times New Roman"/>
                <w:b/>
                <w:bCs/>
                <w:sz w:val="24"/>
                <w:szCs w:val="24"/>
              </w:rPr>
              <w:t>教学方法</w:t>
            </w:r>
          </w:p>
        </w:tc>
        <w:tc>
          <w:tcPr>
            <w:tcW w:w="1794" w:type="dxa"/>
            <w:vAlign w:val="center"/>
          </w:tcPr>
          <w:p w14:paraId="36EFC10D" w14:textId="77777777" w:rsidR="0065230C" w:rsidRPr="0065230C" w:rsidRDefault="0065230C" w:rsidP="0065230C">
            <w:pPr>
              <w:spacing w:line="440" w:lineRule="exact"/>
              <w:jc w:val="center"/>
              <w:rPr>
                <w:rFonts w:ascii="Times New Roman" w:eastAsia="宋体" w:hAnsi="Times New Roman" w:cs="Times New Roman"/>
                <w:b/>
                <w:bCs/>
                <w:sz w:val="24"/>
                <w:szCs w:val="24"/>
              </w:rPr>
            </w:pPr>
            <w:r w:rsidRPr="0065230C">
              <w:rPr>
                <w:rFonts w:ascii="Times New Roman" w:eastAsia="宋体" w:hAnsi="Times New Roman" w:cs="Times New Roman"/>
                <w:b/>
                <w:bCs/>
                <w:sz w:val="24"/>
                <w:szCs w:val="24"/>
              </w:rPr>
              <w:t>支撑的课程目标</w:t>
            </w:r>
          </w:p>
        </w:tc>
        <w:tc>
          <w:tcPr>
            <w:tcW w:w="1538" w:type="dxa"/>
            <w:vAlign w:val="center"/>
          </w:tcPr>
          <w:p w14:paraId="26CDDEB3" w14:textId="77777777" w:rsidR="0065230C" w:rsidRPr="0065230C" w:rsidRDefault="0065230C" w:rsidP="0065230C">
            <w:pPr>
              <w:spacing w:line="440" w:lineRule="exact"/>
              <w:jc w:val="center"/>
              <w:rPr>
                <w:rFonts w:ascii="Times New Roman" w:eastAsia="宋体" w:hAnsi="Times New Roman" w:cs="Times New Roman"/>
                <w:b/>
                <w:bCs/>
                <w:sz w:val="24"/>
                <w:szCs w:val="24"/>
              </w:rPr>
            </w:pPr>
            <w:r w:rsidRPr="0065230C">
              <w:rPr>
                <w:rFonts w:ascii="Times New Roman" w:eastAsia="宋体" w:hAnsi="Times New Roman" w:cs="Times New Roman"/>
                <w:b/>
                <w:bCs/>
                <w:sz w:val="24"/>
                <w:szCs w:val="24"/>
              </w:rPr>
              <w:t>学时</w:t>
            </w:r>
          </w:p>
          <w:p w14:paraId="42E53DBD" w14:textId="77777777" w:rsidR="0065230C" w:rsidRPr="0065230C" w:rsidRDefault="0065230C" w:rsidP="0065230C">
            <w:pPr>
              <w:spacing w:line="440" w:lineRule="exact"/>
              <w:jc w:val="center"/>
              <w:rPr>
                <w:rFonts w:ascii="Times New Roman" w:eastAsia="宋体" w:hAnsi="Times New Roman" w:cs="Times New Roman"/>
                <w:b/>
                <w:bCs/>
                <w:sz w:val="24"/>
                <w:szCs w:val="24"/>
              </w:rPr>
            </w:pPr>
            <w:r w:rsidRPr="0065230C">
              <w:rPr>
                <w:rFonts w:ascii="Times New Roman" w:eastAsia="宋体" w:hAnsi="Times New Roman" w:cs="Times New Roman"/>
                <w:b/>
                <w:bCs/>
                <w:sz w:val="24"/>
                <w:szCs w:val="24"/>
              </w:rPr>
              <w:t>安排</w:t>
            </w:r>
          </w:p>
        </w:tc>
      </w:tr>
      <w:tr w:rsidR="0065230C" w:rsidRPr="0065230C" w14:paraId="6B532492" w14:textId="77777777" w:rsidTr="00C96426">
        <w:trPr>
          <w:trHeight w:val="521"/>
          <w:jc w:val="center"/>
        </w:trPr>
        <w:tc>
          <w:tcPr>
            <w:tcW w:w="3685" w:type="dxa"/>
          </w:tcPr>
          <w:p w14:paraId="5A21DE03" w14:textId="77777777" w:rsidR="0065230C" w:rsidRPr="0065230C" w:rsidRDefault="0065230C" w:rsidP="0065230C">
            <w:pPr>
              <w:adjustRightInd w:val="0"/>
              <w:snapToGrid w:val="0"/>
              <w:spacing w:line="440" w:lineRule="exact"/>
              <w:jc w:val="left"/>
              <w:rPr>
                <w:rFonts w:ascii="Times New Roman" w:eastAsia="宋体" w:hAnsi="Times New Roman" w:cs="Times New Roman"/>
                <w:sz w:val="24"/>
                <w:szCs w:val="24"/>
              </w:rPr>
            </w:pPr>
            <w:r w:rsidRPr="0065230C">
              <w:rPr>
                <w:rFonts w:ascii="Times New Roman" w:eastAsia="宋体" w:hAnsi="Times New Roman" w:cs="Times New Roman"/>
                <w:sz w:val="24"/>
                <w:szCs w:val="24"/>
              </w:rPr>
              <w:t>第一章概论</w:t>
            </w:r>
          </w:p>
        </w:tc>
        <w:tc>
          <w:tcPr>
            <w:tcW w:w="2340" w:type="dxa"/>
            <w:vAlign w:val="center"/>
          </w:tcPr>
          <w:p w14:paraId="604EF0D4"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讲授法</w:t>
            </w:r>
          </w:p>
        </w:tc>
        <w:tc>
          <w:tcPr>
            <w:tcW w:w="1794" w:type="dxa"/>
            <w:vAlign w:val="center"/>
          </w:tcPr>
          <w:p w14:paraId="4F79E9C1"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课程目标</w:t>
            </w:r>
            <w:r w:rsidRPr="0065230C">
              <w:rPr>
                <w:rFonts w:ascii="Times New Roman" w:eastAsia="宋体" w:hAnsi="Times New Roman" w:cs="Times New Roman"/>
                <w:sz w:val="24"/>
                <w:szCs w:val="24"/>
              </w:rPr>
              <w:t>1-</w:t>
            </w:r>
            <w:r w:rsidRPr="0065230C">
              <w:rPr>
                <w:rFonts w:ascii="Times New Roman" w:eastAsia="宋体" w:hAnsi="Times New Roman" w:cs="Times New Roman" w:hint="eastAsia"/>
                <w:sz w:val="24"/>
                <w:szCs w:val="24"/>
              </w:rPr>
              <w:t>3</w:t>
            </w:r>
          </w:p>
        </w:tc>
        <w:tc>
          <w:tcPr>
            <w:tcW w:w="1538" w:type="dxa"/>
            <w:vAlign w:val="center"/>
          </w:tcPr>
          <w:p w14:paraId="13096ACE"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2</w:t>
            </w:r>
            <w:r w:rsidRPr="0065230C">
              <w:rPr>
                <w:rFonts w:ascii="Times New Roman" w:eastAsia="宋体" w:hAnsi="Times New Roman" w:cs="Times New Roman"/>
                <w:sz w:val="24"/>
                <w:szCs w:val="24"/>
              </w:rPr>
              <w:t>学时</w:t>
            </w:r>
          </w:p>
        </w:tc>
      </w:tr>
      <w:tr w:rsidR="0065230C" w:rsidRPr="0065230C" w14:paraId="2AD1F3DC" w14:textId="77777777" w:rsidTr="00C96426">
        <w:trPr>
          <w:trHeight w:val="90"/>
          <w:jc w:val="center"/>
        </w:trPr>
        <w:tc>
          <w:tcPr>
            <w:tcW w:w="3685" w:type="dxa"/>
          </w:tcPr>
          <w:p w14:paraId="6FAED6AB" w14:textId="77777777" w:rsidR="0065230C" w:rsidRPr="0065230C" w:rsidRDefault="0065230C" w:rsidP="0065230C">
            <w:pPr>
              <w:adjustRightInd w:val="0"/>
              <w:snapToGrid w:val="0"/>
              <w:spacing w:line="440" w:lineRule="exact"/>
              <w:jc w:val="left"/>
              <w:rPr>
                <w:rFonts w:ascii="Times New Roman" w:eastAsia="宋体" w:hAnsi="Times New Roman" w:cs="Times New Roman"/>
                <w:sz w:val="24"/>
                <w:szCs w:val="24"/>
              </w:rPr>
            </w:pPr>
            <w:r w:rsidRPr="0065230C">
              <w:rPr>
                <w:rFonts w:ascii="Times New Roman" w:eastAsia="宋体" w:hAnsi="Times New Roman" w:cs="Times New Roman"/>
                <w:sz w:val="24"/>
                <w:szCs w:val="24"/>
              </w:rPr>
              <w:t>第</w:t>
            </w:r>
            <w:r w:rsidRPr="0065230C">
              <w:rPr>
                <w:rFonts w:ascii="Times New Roman" w:eastAsia="宋体" w:hAnsi="Times New Roman" w:cs="Times New Roman" w:hint="eastAsia"/>
                <w:sz w:val="24"/>
                <w:szCs w:val="24"/>
              </w:rPr>
              <w:t>二</w:t>
            </w:r>
            <w:r w:rsidRPr="0065230C">
              <w:rPr>
                <w:rFonts w:ascii="Times New Roman" w:eastAsia="宋体" w:hAnsi="Times New Roman" w:cs="Times New Roman"/>
                <w:sz w:val="24"/>
                <w:szCs w:val="24"/>
              </w:rPr>
              <w:t>章气相色谱法</w:t>
            </w:r>
          </w:p>
        </w:tc>
        <w:tc>
          <w:tcPr>
            <w:tcW w:w="2340" w:type="dxa"/>
            <w:vAlign w:val="center"/>
          </w:tcPr>
          <w:p w14:paraId="216E520A"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讲授法、案例分析法</w:t>
            </w:r>
          </w:p>
        </w:tc>
        <w:tc>
          <w:tcPr>
            <w:tcW w:w="1794" w:type="dxa"/>
            <w:vAlign w:val="center"/>
          </w:tcPr>
          <w:p w14:paraId="204DFD1C"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课程目标</w:t>
            </w:r>
            <w:r w:rsidRPr="0065230C">
              <w:rPr>
                <w:rFonts w:ascii="Times New Roman" w:eastAsia="宋体" w:hAnsi="Times New Roman" w:cs="Times New Roman"/>
                <w:sz w:val="24"/>
                <w:szCs w:val="24"/>
              </w:rPr>
              <w:t>1-</w:t>
            </w:r>
            <w:r w:rsidRPr="0065230C">
              <w:rPr>
                <w:rFonts w:ascii="Times New Roman" w:eastAsia="宋体" w:hAnsi="Times New Roman" w:cs="Times New Roman" w:hint="eastAsia"/>
                <w:sz w:val="24"/>
                <w:szCs w:val="24"/>
              </w:rPr>
              <w:t>3</w:t>
            </w:r>
          </w:p>
        </w:tc>
        <w:tc>
          <w:tcPr>
            <w:tcW w:w="1538" w:type="dxa"/>
            <w:vAlign w:val="center"/>
          </w:tcPr>
          <w:p w14:paraId="6AF3ECD7"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hint="eastAsia"/>
                <w:sz w:val="24"/>
                <w:szCs w:val="24"/>
              </w:rPr>
              <w:t>4</w:t>
            </w:r>
            <w:r w:rsidRPr="0065230C">
              <w:rPr>
                <w:rFonts w:ascii="Times New Roman" w:eastAsia="宋体" w:hAnsi="Times New Roman" w:cs="Times New Roman"/>
                <w:sz w:val="24"/>
                <w:szCs w:val="24"/>
              </w:rPr>
              <w:t>学时</w:t>
            </w:r>
          </w:p>
        </w:tc>
      </w:tr>
      <w:tr w:rsidR="0065230C" w:rsidRPr="0065230C" w14:paraId="22126C13" w14:textId="77777777" w:rsidTr="00C96426">
        <w:trPr>
          <w:jc w:val="center"/>
        </w:trPr>
        <w:tc>
          <w:tcPr>
            <w:tcW w:w="3685" w:type="dxa"/>
          </w:tcPr>
          <w:p w14:paraId="53850D39" w14:textId="77777777" w:rsidR="0065230C" w:rsidRPr="0065230C" w:rsidRDefault="0065230C" w:rsidP="0065230C">
            <w:pPr>
              <w:adjustRightInd w:val="0"/>
              <w:snapToGrid w:val="0"/>
              <w:spacing w:line="440" w:lineRule="exact"/>
              <w:jc w:val="left"/>
              <w:rPr>
                <w:rFonts w:ascii="Times New Roman" w:eastAsia="宋体" w:hAnsi="Times New Roman" w:cs="Times New Roman"/>
                <w:sz w:val="24"/>
                <w:szCs w:val="24"/>
              </w:rPr>
            </w:pPr>
            <w:r w:rsidRPr="0065230C">
              <w:rPr>
                <w:rFonts w:ascii="Times New Roman" w:eastAsia="宋体" w:hAnsi="Times New Roman" w:cs="Times New Roman"/>
                <w:sz w:val="24"/>
                <w:szCs w:val="24"/>
              </w:rPr>
              <w:t>第</w:t>
            </w:r>
            <w:r w:rsidRPr="0065230C">
              <w:rPr>
                <w:rFonts w:ascii="Times New Roman" w:eastAsia="宋体" w:hAnsi="Times New Roman" w:cs="Times New Roman" w:hint="eastAsia"/>
                <w:sz w:val="24"/>
                <w:szCs w:val="24"/>
              </w:rPr>
              <w:t>三</w:t>
            </w:r>
            <w:r w:rsidRPr="0065230C">
              <w:rPr>
                <w:rFonts w:ascii="Times New Roman" w:eastAsia="宋体" w:hAnsi="Times New Roman" w:cs="Times New Roman"/>
                <w:sz w:val="24"/>
                <w:szCs w:val="24"/>
              </w:rPr>
              <w:t>章高效液相色谱法</w:t>
            </w:r>
          </w:p>
        </w:tc>
        <w:tc>
          <w:tcPr>
            <w:tcW w:w="2340" w:type="dxa"/>
            <w:vAlign w:val="center"/>
          </w:tcPr>
          <w:p w14:paraId="3259166E"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讲授法、案例分析法</w:t>
            </w:r>
          </w:p>
        </w:tc>
        <w:tc>
          <w:tcPr>
            <w:tcW w:w="1794" w:type="dxa"/>
            <w:vAlign w:val="center"/>
          </w:tcPr>
          <w:p w14:paraId="1EBE41D2"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课程目标</w:t>
            </w:r>
            <w:r w:rsidRPr="0065230C">
              <w:rPr>
                <w:rFonts w:ascii="Times New Roman" w:eastAsia="宋体" w:hAnsi="Times New Roman" w:cs="Times New Roman"/>
                <w:sz w:val="24"/>
                <w:szCs w:val="24"/>
              </w:rPr>
              <w:t>1-</w:t>
            </w:r>
            <w:r w:rsidRPr="0065230C">
              <w:rPr>
                <w:rFonts w:ascii="Times New Roman" w:eastAsia="宋体" w:hAnsi="Times New Roman" w:cs="Times New Roman" w:hint="eastAsia"/>
                <w:sz w:val="24"/>
                <w:szCs w:val="24"/>
              </w:rPr>
              <w:t>3</w:t>
            </w:r>
          </w:p>
        </w:tc>
        <w:tc>
          <w:tcPr>
            <w:tcW w:w="1538" w:type="dxa"/>
            <w:vAlign w:val="center"/>
          </w:tcPr>
          <w:p w14:paraId="03EFD030"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hint="eastAsia"/>
                <w:sz w:val="24"/>
                <w:szCs w:val="24"/>
              </w:rPr>
              <w:t>8</w:t>
            </w:r>
            <w:r w:rsidRPr="0065230C">
              <w:rPr>
                <w:rFonts w:ascii="Times New Roman" w:eastAsia="宋体" w:hAnsi="Times New Roman" w:cs="Times New Roman"/>
                <w:sz w:val="24"/>
                <w:szCs w:val="24"/>
              </w:rPr>
              <w:t>学时</w:t>
            </w:r>
          </w:p>
        </w:tc>
      </w:tr>
      <w:tr w:rsidR="0065230C" w:rsidRPr="0065230C" w14:paraId="783732AD" w14:textId="77777777" w:rsidTr="00C96426">
        <w:trPr>
          <w:jc w:val="center"/>
        </w:trPr>
        <w:tc>
          <w:tcPr>
            <w:tcW w:w="3685" w:type="dxa"/>
          </w:tcPr>
          <w:p w14:paraId="37C8D5F1" w14:textId="77777777" w:rsidR="0065230C" w:rsidRPr="0065230C" w:rsidRDefault="0065230C" w:rsidP="0065230C">
            <w:pPr>
              <w:adjustRightInd w:val="0"/>
              <w:snapToGrid w:val="0"/>
              <w:spacing w:line="440" w:lineRule="exact"/>
              <w:jc w:val="left"/>
              <w:rPr>
                <w:rFonts w:ascii="Times New Roman" w:eastAsia="宋体" w:hAnsi="Times New Roman" w:cs="Times New Roman"/>
                <w:sz w:val="24"/>
                <w:szCs w:val="24"/>
              </w:rPr>
            </w:pPr>
            <w:r w:rsidRPr="0065230C">
              <w:rPr>
                <w:rFonts w:ascii="Times New Roman" w:eastAsia="宋体" w:hAnsi="Times New Roman" w:cs="Times New Roman"/>
                <w:sz w:val="24"/>
                <w:szCs w:val="24"/>
              </w:rPr>
              <w:t>第</w:t>
            </w:r>
            <w:r w:rsidRPr="0065230C">
              <w:rPr>
                <w:rFonts w:ascii="Times New Roman" w:eastAsia="宋体" w:hAnsi="Times New Roman" w:cs="Times New Roman" w:hint="eastAsia"/>
                <w:sz w:val="24"/>
                <w:szCs w:val="24"/>
              </w:rPr>
              <w:t>四</w:t>
            </w:r>
            <w:r w:rsidRPr="0065230C">
              <w:rPr>
                <w:rFonts w:ascii="Times New Roman" w:eastAsia="宋体" w:hAnsi="Times New Roman" w:cs="Times New Roman"/>
                <w:sz w:val="24"/>
                <w:szCs w:val="24"/>
              </w:rPr>
              <w:t>章</w:t>
            </w:r>
            <w:r w:rsidRPr="0065230C">
              <w:rPr>
                <w:rFonts w:ascii="Times New Roman" w:eastAsia="宋体" w:hAnsi="Times New Roman" w:cs="Times New Roman" w:hint="eastAsia"/>
                <w:sz w:val="24"/>
                <w:szCs w:val="24"/>
              </w:rPr>
              <w:t>药物色谱分析方法及其验证</w:t>
            </w:r>
          </w:p>
        </w:tc>
        <w:tc>
          <w:tcPr>
            <w:tcW w:w="2340" w:type="dxa"/>
            <w:vAlign w:val="center"/>
          </w:tcPr>
          <w:p w14:paraId="2EC44B81"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讲授法、案例分析法</w:t>
            </w:r>
          </w:p>
        </w:tc>
        <w:tc>
          <w:tcPr>
            <w:tcW w:w="1794" w:type="dxa"/>
            <w:vAlign w:val="center"/>
          </w:tcPr>
          <w:p w14:paraId="3B915C3F"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课程目标</w:t>
            </w:r>
            <w:r w:rsidRPr="0065230C">
              <w:rPr>
                <w:rFonts w:ascii="Times New Roman" w:eastAsia="宋体" w:hAnsi="Times New Roman" w:cs="Times New Roman"/>
                <w:sz w:val="24"/>
                <w:szCs w:val="24"/>
              </w:rPr>
              <w:t>1-</w:t>
            </w:r>
            <w:r w:rsidRPr="0065230C">
              <w:rPr>
                <w:rFonts w:ascii="Times New Roman" w:eastAsia="宋体" w:hAnsi="Times New Roman" w:cs="Times New Roman" w:hint="eastAsia"/>
                <w:sz w:val="24"/>
                <w:szCs w:val="24"/>
              </w:rPr>
              <w:t>3</w:t>
            </w:r>
          </w:p>
        </w:tc>
        <w:tc>
          <w:tcPr>
            <w:tcW w:w="1538" w:type="dxa"/>
            <w:vAlign w:val="center"/>
          </w:tcPr>
          <w:p w14:paraId="528CA232"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2</w:t>
            </w:r>
            <w:r w:rsidRPr="0065230C">
              <w:rPr>
                <w:rFonts w:ascii="Times New Roman" w:eastAsia="宋体" w:hAnsi="Times New Roman" w:cs="Times New Roman"/>
                <w:sz w:val="24"/>
                <w:szCs w:val="24"/>
              </w:rPr>
              <w:t>学时</w:t>
            </w:r>
          </w:p>
        </w:tc>
      </w:tr>
      <w:tr w:rsidR="0065230C" w:rsidRPr="0065230C" w14:paraId="2ED6AF64" w14:textId="77777777" w:rsidTr="00C96426">
        <w:trPr>
          <w:jc w:val="center"/>
        </w:trPr>
        <w:tc>
          <w:tcPr>
            <w:tcW w:w="7819" w:type="dxa"/>
            <w:gridSpan w:val="3"/>
            <w:vAlign w:val="center"/>
          </w:tcPr>
          <w:p w14:paraId="78A000DE" w14:textId="77777777" w:rsidR="0065230C" w:rsidRPr="0065230C" w:rsidRDefault="0065230C" w:rsidP="0065230C">
            <w:pPr>
              <w:spacing w:line="440" w:lineRule="exact"/>
              <w:jc w:val="center"/>
              <w:rPr>
                <w:rFonts w:ascii="Times New Roman" w:eastAsia="宋体" w:hAnsi="Times New Roman" w:cs="Times New Roman"/>
                <w:b/>
                <w:sz w:val="24"/>
                <w:szCs w:val="24"/>
              </w:rPr>
            </w:pPr>
            <w:r w:rsidRPr="0065230C">
              <w:rPr>
                <w:rFonts w:ascii="Times New Roman" w:eastAsia="宋体" w:hAnsi="Times New Roman" w:cs="Times New Roman"/>
                <w:b/>
                <w:sz w:val="24"/>
                <w:szCs w:val="24"/>
              </w:rPr>
              <w:t>合计</w:t>
            </w:r>
          </w:p>
        </w:tc>
        <w:tc>
          <w:tcPr>
            <w:tcW w:w="1538" w:type="dxa"/>
            <w:vAlign w:val="center"/>
          </w:tcPr>
          <w:p w14:paraId="2D4E45C0" w14:textId="77777777" w:rsidR="0065230C" w:rsidRPr="0065230C" w:rsidRDefault="0065230C" w:rsidP="0065230C">
            <w:pPr>
              <w:spacing w:line="440" w:lineRule="exact"/>
              <w:jc w:val="center"/>
              <w:rPr>
                <w:rFonts w:ascii="Times New Roman" w:eastAsia="宋体" w:hAnsi="Times New Roman" w:cs="Times New Roman"/>
                <w:sz w:val="24"/>
                <w:szCs w:val="24"/>
              </w:rPr>
            </w:pPr>
            <w:r w:rsidRPr="0065230C">
              <w:rPr>
                <w:rFonts w:ascii="Times New Roman" w:eastAsia="宋体" w:hAnsi="Times New Roman" w:cs="Times New Roman"/>
                <w:sz w:val="24"/>
                <w:szCs w:val="24"/>
              </w:rPr>
              <w:t>16</w:t>
            </w:r>
            <w:r w:rsidRPr="0065230C">
              <w:rPr>
                <w:rFonts w:ascii="Times New Roman" w:eastAsia="宋体" w:hAnsi="Times New Roman" w:cs="Times New Roman"/>
                <w:sz w:val="24"/>
                <w:szCs w:val="24"/>
              </w:rPr>
              <w:t>学时</w:t>
            </w:r>
          </w:p>
        </w:tc>
      </w:tr>
    </w:tbl>
    <w:p w14:paraId="7D136498" w14:textId="77777777" w:rsidR="0065230C" w:rsidRPr="0065230C" w:rsidRDefault="0065230C" w:rsidP="0065230C">
      <w:pPr>
        <w:spacing w:beforeLines="50" w:before="156" w:afterLines="50" w:after="156" w:line="440" w:lineRule="exact"/>
        <w:ind w:firstLineChars="200" w:firstLine="560"/>
        <w:rPr>
          <w:rFonts w:ascii="Times New Roman" w:eastAsia="宋体" w:hAnsi="Times New Roman" w:cs="Times New Roman"/>
          <w:sz w:val="24"/>
          <w:szCs w:val="24"/>
        </w:rPr>
      </w:pPr>
      <w:r w:rsidRPr="0065230C">
        <w:rPr>
          <w:rFonts w:ascii="Times New Roman" w:eastAsia="黑体" w:hAnsi="Times New Roman" w:cs="Times New Roman"/>
          <w:sz w:val="28"/>
          <w:szCs w:val="28"/>
        </w:rPr>
        <w:t>四、课程考核及与课程学习目标的对应关系</w:t>
      </w:r>
    </w:p>
    <w:p w14:paraId="6C07102E" w14:textId="77777777" w:rsidR="0065230C" w:rsidRPr="0065230C" w:rsidRDefault="0065230C" w:rsidP="0065230C">
      <w:pPr>
        <w:spacing w:beforeLines="50" w:before="156" w:afterLines="50" w:after="156" w:line="440" w:lineRule="exact"/>
        <w:ind w:firstLineChars="200" w:firstLine="560"/>
        <w:rPr>
          <w:rFonts w:ascii="Times New Roman" w:eastAsia="黑体" w:hAnsi="Times New Roman" w:cs="Times New Roman"/>
          <w:sz w:val="28"/>
          <w:szCs w:val="28"/>
        </w:rPr>
      </w:pPr>
      <w:r w:rsidRPr="0065230C">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7815"/>
      </w:tblGrid>
      <w:tr w:rsidR="0065230C" w:rsidRPr="0065230C" w14:paraId="2953700F" w14:textId="77777777" w:rsidTr="00C96426">
        <w:trPr>
          <w:trHeight w:val="515"/>
          <w:jc w:val="center"/>
        </w:trPr>
        <w:tc>
          <w:tcPr>
            <w:tcW w:w="1525" w:type="dxa"/>
          </w:tcPr>
          <w:p w14:paraId="6604A361" w14:textId="77777777" w:rsidR="0065230C" w:rsidRPr="0065230C" w:rsidRDefault="0065230C" w:rsidP="0065230C">
            <w:pPr>
              <w:spacing w:line="440" w:lineRule="exact"/>
              <w:jc w:val="center"/>
              <w:rPr>
                <w:rFonts w:ascii="Times New Roman" w:eastAsia="宋体" w:hAnsi="Times New Roman" w:cs="Times New Roman"/>
                <w:b/>
                <w:sz w:val="24"/>
                <w:szCs w:val="24"/>
              </w:rPr>
            </w:pPr>
            <w:r w:rsidRPr="0065230C">
              <w:rPr>
                <w:rFonts w:ascii="Times New Roman" w:eastAsia="宋体" w:hAnsi="Times New Roman" w:cs="Times New Roman"/>
                <w:b/>
                <w:sz w:val="24"/>
                <w:szCs w:val="24"/>
              </w:rPr>
              <w:lastRenderedPageBreak/>
              <w:t>课程目标</w:t>
            </w:r>
          </w:p>
        </w:tc>
        <w:tc>
          <w:tcPr>
            <w:tcW w:w="7815" w:type="dxa"/>
            <w:vAlign w:val="center"/>
          </w:tcPr>
          <w:p w14:paraId="5AFCA504" w14:textId="77777777" w:rsidR="0065230C" w:rsidRPr="0065230C" w:rsidRDefault="0065230C" w:rsidP="0065230C">
            <w:pPr>
              <w:spacing w:line="440" w:lineRule="exact"/>
              <w:jc w:val="center"/>
              <w:rPr>
                <w:rFonts w:ascii="Times New Roman" w:eastAsia="宋体" w:hAnsi="Times New Roman" w:cs="Times New Roman"/>
                <w:b/>
                <w:sz w:val="24"/>
                <w:szCs w:val="24"/>
              </w:rPr>
            </w:pPr>
            <w:r w:rsidRPr="0065230C">
              <w:rPr>
                <w:rFonts w:ascii="Times New Roman" w:eastAsia="宋体" w:hAnsi="Times New Roman" w:cs="Times New Roman"/>
                <w:b/>
                <w:sz w:val="24"/>
                <w:szCs w:val="24"/>
              </w:rPr>
              <w:t>考核内容</w:t>
            </w:r>
          </w:p>
        </w:tc>
      </w:tr>
      <w:tr w:rsidR="0065230C" w:rsidRPr="0065230C" w14:paraId="32477D53" w14:textId="77777777" w:rsidTr="00C96426">
        <w:trPr>
          <w:jc w:val="center"/>
        </w:trPr>
        <w:tc>
          <w:tcPr>
            <w:tcW w:w="1525" w:type="dxa"/>
            <w:vAlign w:val="center"/>
          </w:tcPr>
          <w:p w14:paraId="00FEAE9E" w14:textId="77777777" w:rsidR="0065230C" w:rsidRPr="0065230C" w:rsidRDefault="0065230C" w:rsidP="0065230C">
            <w:pPr>
              <w:spacing w:line="440" w:lineRule="exact"/>
              <w:jc w:val="center"/>
              <w:rPr>
                <w:rFonts w:ascii="Times New Roman" w:eastAsia="宋体" w:hAnsi="Times New Roman" w:cs="Times New Roman"/>
                <w:bCs/>
                <w:sz w:val="24"/>
                <w:szCs w:val="24"/>
              </w:rPr>
            </w:pPr>
            <w:r w:rsidRPr="0065230C">
              <w:rPr>
                <w:rFonts w:ascii="Times New Roman" w:eastAsia="宋体" w:hAnsi="Times New Roman" w:cs="Times New Roman"/>
                <w:bCs/>
                <w:sz w:val="24"/>
                <w:szCs w:val="24"/>
              </w:rPr>
              <w:t>课程目标</w:t>
            </w:r>
            <w:r w:rsidRPr="0065230C">
              <w:rPr>
                <w:rFonts w:ascii="Times New Roman" w:eastAsia="宋体" w:hAnsi="Times New Roman" w:cs="Times New Roman"/>
                <w:bCs/>
                <w:sz w:val="24"/>
                <w:szCs w:val="24"/>
              </w:rPr>
              <w:t>1</w:t>
            </w:r>
            <w:r w:rsidRPr="0065230C">
              <w:rPr>
                <w:rFonts w:ascii="Times New Roman" w:eastAsia="宋体" w:hAnsi="Times New Roman" w:cs="Times New Roman" w:hint="eastAsia"/>
                <w:bCs/>
                <w:sz w:val="24"/>
                <w:szCs w:val="24"/>
              </w:rPr>
              <w:t>-2</w:t>
            </w:r>
          </w:p>
        </w:tc>
        <w:tc>
          <w:tcPr>
            <w:tcW w:w="7815" w:type="dxa"/>
            <w:vAlign w:val="center"/>
          </w:tcPr>
          <w:p w14:paraId="457D9B98" w14:textId="77777777" w:rsidR="0065230C" w:rsidRPr="0065230C" w:rsidRDefault="0065230C" w:rsidP="0065230C">
            <w:pPr>
              <w:spacing w:line="440" w:lineRule="exact"/>
              <w:rPr>
                <w:rFonts w:ascii="Times New Roman" w:eastAsia="宋体" w:hAnsi="Times New Roman" w:cs="Times New Roman"/>
                <w:kern w:val="0"/>
                <w:sz w:val="24"/>
                <w:szCs w:val="24"/>
              </w:rPr>
            </w:pPr>
            <w:r w:rsidRPr="0065230C">
              <w:rPr>
                <w:rFonts w:ascii="Times New Roman" w:eastAsia="宋体" w:hAnsi="Times New Roman" w:cs="Times New Roman"/>
                <w:kern w:val="0"/>
                <w:sz w:val="24"/>
                <w:szCs w:val="24"/>
              </w:rPr>
              <w:t>1.</w:t>
            </w:r>
            <w:r w:rsidRPr="0065230C">
              <w:rPr>
                <w:rFonts w:ascii="Times New Roman" w:eastAsia="宋体" w:hAnsi="Times New Roman" w:cs="Times New Roman"/>
                <w:kern w:val="0"/>
                <w:sz w:val="24"/>
                <w:szCs w:val="24"/>
              </w:rPr>
              <w:t>色谱法的定义、特点及分类。</w:t>
            </w:r>
          </w:p>
          <w:p w14:paraId="7EC6F8E6" w14:textId="77777777" w:rsidR="0065230C" w:rsidRPr="0065230C" w:rsidRDefault="0065230C" w:rsidP="0065230C">
            <w:pPr>
              <w:spacing w:line="440" w:lineRule="exact"/>
              <w:rPr>
                <w:rFonts w:ascii="Times New Roman" w:eastAsia="宋体" w:hAnsi="Times New Roman" w:cs="Times New Roman"/>
                <w:sz w:val="24"/>
                <w:szCs w:val="24"/>
              </w:rPr>
            </w:pPr>
            <w:r w:rsidRPr="0065230C">
              <w:rPr>
                <w:rFonts w:ascii="Times New Roman" w:eastAsia="宋体" w:hAnsi="Times New Roman" w:cs="Times New Roman"/>
                <w:kern w:val="0"/>
                <w:sz w:val="24"/>
                <w:szCs w:val="24"/>
              </w:rPr>
              <w:t>2.</w:t>
            </w:r>
            <w:r w:rsidRPr="0065230C">
              <w:rPr>
                <w:rFonts w:ascii="Times New Roman" w:eastAsia="宋体" w:hAnsi="Times New Roman" w:cs="Times New Roman"/>
                <w:kern w:val="0"/>
                <w:sz w:val="24"/>
                <w:szCs w:val="24"/>
              </w:rPr>
              <w:t>色谱法的基本术语及理论。</w:t>
            </w:r>
          </w:p>
        </w:tc>
      </w:tr>
      <w:tr w:rsidR="0065230C" w:rsidRPr="0065230C" w14:paraId="63670FFD" w14:textId="77777777" w:rsidTr="00C96426">
        <w:trPr>
          <w:jc w:val="center"/>
        </w:trPr>
        <w:tc>
          <w:tcPr>
            <w:tcW w:w="1525" w:type="dxa"/>
            <w:vAlign w:val="center"/>
          </w:tcPr>
          <w:p w14:paraId="7B9FB709" w14:textId="77777777" w:rsidR="0065230C" w:rsidRPr="0065230C" w:rsidRDefault="0065230C" w:rsidP="0065230C">
            <w:pPr>
              <w:spacing w:line="440" w:lineRule="exact"/>
              <w:jc w:val="center"/>
              <w:rPr>
                <w:rFonts w:ascii="Times New Roman" w:eastAsia="宋体" w:hAnsi="Times New Roman" w:cs="Times New Roman"/>
                <w:bCs/>
                <w:sz w:val="24"/>
                <w:szCs w:val="24"/>
              </w:rPr>
            </w:pPr>
            <w:r w:rsidRPr="0065230C">
              <w:rPr>
                <w:rFonts w:ascii="Times New Roman" w:eastAsia="宋体" w:hAnsi="Times New Roman" w:cs="Times New Roman"/>
                <w:bCs/>
                <w:sz w:val="24"/>
                <w:szCs w:val="24"/>
              </w:rPr>
              <w:t>课程目标</w:t>
            </w:r>
            <w:r w:rsidRPr="0065230C">
              <w:rPr>
                <w:rFonts w:ascii="Times New Roman" w:eastAsia="宋体" w:hAnsi="Times New Roman" w:cs="Times New Roman" w:hint="eastAsia"/>
                <w:bCs/>
                <w:sz w:val="24"/>
                <w:szCs w:val="24"/>
              </w:rPr>
              <w:t>1-</w:t>
            </w:r>
            <w:r w:rsidRPr="0065230C">
              <w:rPr>
                <w:rFonts w:ascii="Times New Roman" w:eastAsia="宋体" w:hAnsi="Times New Roman" w:cs="Times New Roman"/>
                <w:bCs/>
                <w:sz w:val="24"/>
                <w:szCs w:val="24"/>
              </w:rPr>
              <w:t>3</w:t>
            </w:r>
          </w:p>
        </w:tc>
        <w:tc>
          <w:tcPr>
            <w:tcW w:w="7815" w:type="dxa"/>
            <w:vAlign w:val="center"/>
          </w:tcPr>
          <w:p w14:paraId="393DC4F6" w14:textId="77777777" w:rsidR="0065230C" w:rsidRPr="0065230C" w:rsidRDefault="0065230C" w:rsidP="0065230C">
            <w:pPr>
              <w:spacing w:line="440" w:lineRule="exact"/>
              <w:rPr>
                <w:rFonts w:ascii="Times New Roman" w:eastAsia="宋体" w:hAnsi="Times New Roman" w:cs="Times New Roman"/>
                <w:kern w:val="0"/>
                <w:sz w:val="24"/>
                <w:szCs w:val="24"/>
              </w:rPr>
            </w:pPr>
            <w:r w:rsidRPr="0065230C">
              <w:rPr>
                <w:rFonts w:ascii="Times New Roman" w:eastAsia="宋体" w:hAnsi="Times New Roman" w:cs="Times New Roman"/>
                <w:kern w:val="0"/>
                <w:sz w:val="24"/>
                <w:szCs w:val="24"/>
              </w:rPr>
              <w:t>1.</w:t>
            </w:r>
            <w:r w:rsidRPr="0065230C">
              <w:rPr>
                <w:rFonts w:ascii="Times New Roman" w:eastAsia="宋体" w:hAnsi="Times New Roman" w:cs="Times New Roman"/>
                <w:kern w:val="0"/>
                <w:sz w:val="24"/>
                <w:szCs w:val="24"/>
              </w:rPr>
              <w:t>气</w:t>
            </w:r>
            <w:r w:rsidRPr="0065230C">
              <w:rPr>
                <w:rFonts w:ascii="Times New Roman" w:eastAsia="宋体" w:hAnsi="Times New Roman" w:cs="Times New Roman"/>
                <w:sz w:val="24"/>
                <w:szCs w:val="20"/>
              </w:rPr>
              <w:t>相色谱法的基本流路及相关技术</w:t>
            </w:r>
            <w:r w:rsidRPr="0065230C">
              <w:rPr>
                <w:rFonts w:ascii="Times New Roman" w:eastAsia="宋体" w:hAnsi="Times New Roman" w:cs="Times New Roman"/>
                <w:kern w:val="0"/>
                <w:sz w:val="24"/>
                <w:szCs w:val="24"/>
              </w:rPr>
              <w:t>。</w:t>
            </w:r>
          </w:p>
          <w:p w14:paraId="11B9F267" w14:textId="77777777" w:rsidR="0065230C" w:rsidRPr="0065230C" w:rsidRDefault="0065230C" w:rsidP="0065230C">
            <w:pPr>
              <w:spacing w:line="440" w:lineRule="exact"/>
              <w:rPr>
                <w:rFonts w:ascii="Times New Roman" w:eastAsia="宋体" w:hAnsi="Times New Roman" w:cs="Times New Roman"/>
                <w:kern w:val="0"/>
                <w:sz w:val="24"/>
                <w:szCs w:val="24"/>
              </w:rPr>
            </w:pPr>
            <w:r w:rsidRPr="0065230C">
              <w:rPr>
                <w:rFonts w:ascii="Times New Roman" w:eastAsia="宋体" w:hAnsi="Times New Roman" w:cs="Times New Roman"/>
                <w:kern w:val="0"/>
                <w:sz w:val="24"/>
                <w:szCs w:val="24"/>
              </w:rPr>
              <w:t>2.</w:t>
            </w:r>
            <w:r w:rsidRPr="0065230C">
              <w:rPr>
                <w:rFonts w:ascii="Times New Roman" w:eastAsia="宋体" w:hAnsi="Times New Roman" w:cs="Times New Roman"/>
                <w:sz w:val="24"/>
                <w:szCs w:val="20"/>
              </w:rPr>
              <w:t>高效液相色谱法与其他色谱法（经典柱色谱法、气相色谱法）的比较</w:t>
            </w:r>
            <w:r w:rsidRPr="0065230C">
              <w:rPr>
                <w:rFonts w:ascii="Times New Roman" w:eastAsia="宋体" w:hAnsi="Times New Roman" w:cs="Times New Roman"/>
                <w:kern w:val="0"/>
                <w:sz w:val="24"/>
                <w:szCs w:val="24"/>
              </w:rPr>
              <w:t>。</w:t>
            </w:r>
          </w:p>
          <w:p w14:paraId="25951583" w14:textId="77777777" w:rsidR="0065230C" w:rsidRPr="0065230C" w:rsidRDefault="0065230C" w:rsidP="0065230C">
            <w:pPr>
              <w:spacing w:line="440" w:lineRule="exact"/>
              <w:rPr>
                <w:rFonts w:ascii="Times New Roman" w:eastAsia="宋体" w:hAnsi="Times New Roman" w:cs="Times New Roman"/>
                <w:sz w:val="24"/>
                <w:szCs w:val="24"/>
              </w:rPr>
            </w:pPr>
            <w:r w:rsidRPr="0065230C">
              <w:rPr>
                <w:rFonts w:ascii="Times New Roman" w:eastAsia="宋体" w:hAnsi="Times New Roman" w:cs="Times New Roman"/>
                <w:sz w:val="24"/>
                <w:szCs w:val="20"/>
              </w:rPr>
              <w:t>3.</w:t>
            </w:r>
            <w:r w:rsidRPr="0065230C">
              <w:rPr>
                <w:rFonts w:ascii="Times New Roman" w:eastAsia="宋体" w:hAnsi="Times New Roman" w:cs="Times New Roman"/>
                <w:sz w:val="24"/>
                <w:szCs w:val="20"/>
              </w:rPr>
              <w:t>高效液相色谱法的基本流</w:t>
            </w:r>
            <w:r w:rsidRPr="0065230C">
              <w:rPr>
                <w:rFonts w:ascii="Times New Roman" w:eastAsia="宋体" w:hAnsi="Times New Roman" w:cs="Times New Roman"/>
                <w:color w:val="000000"/>
                <w:sz w:val="24"/>
                <w:szCs w:val="20"/>
              </w:rPr>
              <w:t>路及相关技术。</w:t>
            </w:r>
            <w:r w:rsidRPr="0065230C">
              <w:rPr>
                <w:rFonts w:ascii="Times New Roman" w:eastAsia="宋体" w:hAnsi="Times New Roman" w:cs="Times New Roman" w:hint="eastAsia"/>
                <w:color w:val="000000"/>
                <w:sz w:val="24"/>
                <w:szCs w:val="20"/>
              </w:rPr>
              <w:t>4.</w:t>
            </w:r>
            <w:r w:rsidRPr="0065230C">
              <w:rPr>
                <w:rFonts w:ascii="Times New Roman" w:eastAsia="宋体" w:hAnsi="Times New Roman" w:cs="Times New Roman"/>
                <w:color w:val="000000"/>
                <w:sz w:val="24"/>
                <w:szCs w:val="20"/>
              </w:rPr>
              <w:t xml:space="preserve"> </w:t>
            </w:r>
            <w:r w:rsidRPr="0065230C">
              <w:rPr>
                <w:rFonts w:ascii="Times New Roman" w:eastAsia="宋体" w:hAnsi="Times New Roman" w:cs="Times New Roman" w:hint="eastAsia"/>
                <w:color w:val="000000"/>
                <w:sz w:val="24"/>
                <w:szCs w:val="20"/>
              </w:rPr>
              <w:t>联用技术在药物分析中的应用</w:t>
            </w:r>
          </w:p>
        </w:tc>
      </w:tr>
    </w:tbl>
    <w:p w14:paraId="03DD4F1B" w14:textId="77777777" w:rsidR="0065230C" w:rsidRPr="0065230C" w:rsidRDefault="0065230C" w:rsidP="0065230C">
      <w:pPr>
        <w:spacing w:beforeLines="50" w:before="156" w:afterLines="50" w:after="156" w:line="440" w:lineRule="exact"/>
        <w:ind w:firstLineChars="200" w:firstLine="560"/>
        <w:rPr>
          <w:rFonts w:ascii="Times New Roman" w:eastAsia="黑体" w:hAnsi="Times New Roman" w:cs="Times New Roman"/>
          <w:sz w:val="28"/>
          <w:szCs w:val="28"/>
        </w:rPr>
      </w:pPr>
      <w:r w:rsidRPr="0065230C">
        <w:rPr>
          <w:rFonts w:ascii="Times New Roman" w:eastAsia="黑体" w:hAnsi="Times New Roman" w:cs="Times New Roman"/>
          <w:sz w:val="28"/>
          <w:szCs w:val="28"/>
        </w:rPr>
        <w:t>（二）课程考核方式</w:t>
      </w:r>
    </w:p>
    <w:p w14:paraId="5C306B64"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课程考核方式分为</w:t>
      </w:r>
      <w:r w:rsidRPr="0065230C">
        <w:rPr>
          <w:rFonts w:ascii="Times New Roman" w:eastAsia="宋体" w:hAnsi="Times New Roman" w:cs="Times New Roman" w:hint="eastAsia"/>
          <w:sz w:val="24"/>
          <w:szCs w:val="24"/>
        </w:rPr>
        <w:t>课堂表现、课后作业</w:t>
      </w:r>
      <w:r w:rsidRPr="0065230C">
        <w:rPr>
          <w:rFonts w:ascii="Times New Roman" w:eastAsia="宋体" w:hAnsi="Times New Roman" w:cs="Times New Roman"/>
          <w:sz w:val="24"/>
          <w:szCs w:val="24"/>
        </w:rPr>
        <w:t>、期末随堂测验。</w:t>
      </w:r>
    </w:p>
    <w:p w14:paraId="4894B817"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1.</w:t>
      </w:r>
      <w:r w:rsidRPr="0065230C">
        <w:rPr>
          <w:rFonts w:ascii="Times New Roman" w:eastAsia="宋体" w:hAnsi="Times New Roman" w:cs="Times New Roman"/>
          <w:sz w:val="24"/>
          <w:szCs w:val="24"/>
        </w:rPr>
        <w:t>平时成绩包括课堂表现（</w:t>
      </w:r>
      <w:r w:rsidRPr="0065230C">
        <w:rPr>
          <w:rFonts w:ascii="Times New Roman" w:eastAsia="宋体" w:hAnsi="Times New Roman" w:cs="Times New Roman"/>
          <w:sz w:val="24"/>
          <w:szCs w:val="24"/>
        </w:rPr>
        <w:t>10%</w:t>
      </w:r>
      <w:r w:rsidRPr="0065230C">
        <w:rPr>
          <w:rFonts w:ascii="Times New Roman" w:eastAsia="宋体" w:hAnsi="Times New Roman" w:cs="Times New Roman"/>
          <w:sz w:val="24"/>
          <w:szCs w:val="24"/>
        </w:rPr>
        <w:t>）</w:t>
      </w:r>
      <w:r w:rsidRPr="0065230C">
        <w:rPr>
          <w:rFonts w:ascii="Times New Roman" w:eastAsia="宋体" w:hAnsi="Times New Roman" w:cs="Times New Roman" w:hint="eastAsia"/>
          <w:sz w:val="24"/>
          <w:szCs w:val="24"/>
        </w:rPr>
        <w:t>；</w:t>
      </w:r>
    </w:p>
    <w:p w14:paraId="0C671F41"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hint="eastAsia"/>
          <w:sz w:val="24"/>
          <w:szCs w:val="24"/>
        </w:rPr>
        <w:t>2.</w:t>
      </w:r>
      <w:r w:rsidRPr="0065230C">
        <w:rPr>
          <w:rFonts w:ascii="Times New Roman" w:eastAsia="宋体" w:hAnsi="Times New Roman" w:cs="Times New Roman" w:hint="eastAsia"/>
          <w:sz w:val="24"/>
          <w:szCs w:val="24"/>
        </w:rPr>
        <w:t>课后</w:t>
      </w:r>
      <w:r w:rsidRPr="0065230C">
        <w:rPr>
          <w:rFonts w:ascii="Times New Roman" w:eastAsia="宋体" w:hAnsi="Times New Roman" w:cs="Times New Roman"/>
          <w:sz w:val="24"/>
          <w:szCs w:val="24"/>
        </w:rPr>
        <w:t>作业（</w:t>
      </w:r>
      <w:r w:rsidRPr="0065230C">
        <w:rPr>
          <w:rFonts w:ascii="Times New Roman" w:eastAsia="宋体" w:hAnsi="Times New Roman" w:cs="Times New Roman" w:hint="eastAsia"/>
          <w:sz w:val="24"/>
          <w:szCs w:val="24"/>
        </w:rPr>
        <w:t>3</w:t>
      </w:r>
      <w:r w:rsidRPr="0065230C">
        <w:rPr>
          <w:rFonts w:ascii="Times New Roman" w:eastAsia="宋体" w:hAnsi="Times New Roman" w:cs="Times New Roman"/>
          <w:sz w:val="24"/>
          <w:szCs w:val="24"/>
        </w:rPr>
        <w:t>0%</w:t>
      </w:r>
      <w:r w:rsidRPr="0065230C">
        <w:rPr>
          <w:rFonts w:ascii="Times New Roman" w:eastAsia="宋体" w:hAnsi="Times New Roman" w:cs="Times New Roman"/>
          <w:sz w:val="24"/>
          <w:szCs w:val="24"/>
        </w:rPr>
        <w:t>）；</w:t>
      </w:r>
    </w:p>
    <w:p w14:paraId="6B26AC5E" w14:textId="77777777" w:rsidR="0065230C" w:rsidRPr="0065230C" w:rsidRDefault="0065230C" w:rsidP="0065230C">
      <w:pPr>
        <w:adjustRightInd w:val="0"/>
        <w:snapToGrid w:val="0"/>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hint="eastAsia"/>
          <w:sz w:val="24"/>
          <w:szCs w:val="24"/>
        </w:rPr>
        <w:t>3</w:t>
      </w:r>
      <w:r w:rsidRPr="0065230C">
        <w:rPr>
          <w:rFonts w:ascii="Times New Roman" w:eastAsia="宋体" w:hAnsi="Times New Roman" w:cs="Times New Roman"/>
          <w:sz w:val="24"/>
          <w:szCs w:val="24"/>
        </w:rPr>
        <w:t>.</w:t>
      </w:r>
      <w:r w:rsidRPr="0065230C">
        <w:rPr>
          <w:rFonts w:ascii="Times New Roman" w:eastAsia="宋体" w:hAnsi="Times New Roman" w:cs="Times New Roman"/>
          <w:sz w:val="24"/>
          <w:szCs w:val="24"/>
        </w:rPr>
        <w:t>期末随堂测验采用</w:t>
      </w:r>
      <w:r w:rsidRPr="0065230C">
        <w:rPr>
          <w:rFonts w:ascii="Times New Roman" w:eastAsia="宋体" w:hAnsi="Times New Roman" w:cs="Times New Roman" w:hint="eastAsia"/>
          <w:sz w:val="24"/>
          <w:szCs w:val="24"/>
        </w:rPr>
        <w:t>闭</w:t>
      </w:r>
      <w:r w:rsidRPr="0065230C">
        <w:rPr>
          <w:rFonts w:ascii="Times New Roman" w:eastAsia="宋体" w:hAnsi="Times New Roman" w:cs="Times New Roman"/>
          <w:sz w:val="24"/>
          <w:szCs w:val="24"/>
        </w:rPr>
        <w:t>卷考试（</w:t>
      </w:r>
      <w:r w:rsidRPr="0065230C">
        <w:rPr>
          <w:rFonts w:ascii="Times New Roman" w:eastAsia="宋体" w:hAnsi="Times New Roman" w:cs="Times New Roman"/>
          <w:sz w:val="24"/>
          <w:szCs w:val="24"/>
        </w:rPr>
        <w:t>60%</w:t>
      </w:r>
      <w:r w:rsidRPr="0065230C">
        <w:rPr>
          <w:rFonts w:ascii="Times New Roman" w:eastAsia="宋体" w:hAnsi="Times New Roman" w:cs="Times New Roman"/>
          <w:sz w:val="24"/>
          <w:szCs w:val="24"/>
        </w:rPr>
        <w:t>）。</w:t>
      </w:r>
    </w:p>
    <w:p w14:paraId="45AF9559" w14:textId="77777777" w:rsidR="0065230C" w:rsidRPr="0065230C" w:rsidRDefault="0065230C" w:rsidP="0065230C">
      <w:pPr>
        <w:spacing w:beforeLines="50" w:before="156" w:afterLines="50" w:after="156" w:line="440" w:lineRule="exact"/>
        <w:ind w:firstLineChars="200" w:firstLine="560"/>
        <w:rPr>
          <w:rFonts w:ascii="Times New Roman" w:eastAsia="黑体" w:hAnsi="Times New Roman" w:cs="Times New Roman"/>
          <w:sz w:val="28"/>
          <w:szCs w:val="28"/>
        </w:rPr>
      </w:pPr>
      <w:r w:rsidRPr="0065230C">
        <w:rPr>
          <w:rFonts w:ascii="Times New Roman" w:eastAsia="黑体" w:hAnsi="Times New Roman" w:cs="Times New Roman"/>
          <w:sz w:val="28"/>
          <w:szCs w:val="28"/>
        </w:rPr>
        <w:t>（三）课程目标达成评价方式及考核比例</w:t>
      </w:r>
    </w:p>
    <w:p w14:paraId="7C015344" w14:textId="77777777" w:rsidR="0065230C" w:rsidRPr="0065230C" w:rsidRDefault="0065230C" w:rsidP="0065230C">
      <w:pPr>
        <w:spacing w:line="440" w:lineRule="exact"/>
        <w:ind w:firstLineChars="200" w:firstLine="480"/>
        <w:rPr>
          <w:rFonts w:ascii="Times New Roman" w:eastAsia="宋体" w:hAnsi="Times New Roman" w:cs="Times New Roman"/>
          <w:szCs w:val="24"/>
        </w:rPr>
      </w:pPr>
      <w:r w:rsidRPr="0065230C">
        <w:rPr>
          <w:rFonts w:ascii="Times New Roman" w:eastAsia="宋体" w:hAnsi="Times New Roman" w:cs="Times New Roman"/>
          <w:sz w:val="24"/>
          <w:szCs w:val="24"/>
        </w:rPr>
        <w:t>《药物</w:t>
      </w:r>
      <w:r w:rsidRPr="0065230C">
        <w:rPr>
          <w:rFonts w:ascii="Times New Roman" w:eastAsia="宋体" w:hAnsi="Times New Roman" w:cs="Times New Roman" w:hint="eastAsia"/>
          <w:sz w:val="24"/>
          <w:szCs w:val="24"/>
        </w:rPr>
        <w:t>色谱</w:t>
      </w:r>
      <w:r w:rsidRPr="0065230C">
        <w:rPr>
          <w:rFonts w:ascii="Times New Roman" w:eastAsia="宋体" w:hAnsi="Times New Roman" w:cs="Times New Roman"/>
          <w:sz w:val="24"/>
          <w:szCs w:val="24"/>
        </w:rPr>
        <w:t>分析》课程考核方式及成绩比例为：课堂表现</w:t>
      </w:r>
      <w:r w:rsidRPr="0065230C">
        <w:rPr>
          <w:rFonts w:ascii="Times New Roman" w:eastAsia="宋体" w:hAnsi="Times New Roman" w:cs="Times New Roman"/>
          <w:sz w:val="24"/>
          <w:szCs w:val="24"/>
        </w:rPr>
        <w:t>10%+</w:t>
      </w:r>
      <w:r w:rsidRPr="0065230C">
        <w:rPr>
          <w:rFonts w:ascii="Times New Roman" w:eastAsia="宋体" w:hAnsi="Times New Roman" w:cs="Times New Roman" w:hint="eastAsia"/>
          <w:sz w:val="24"/>
          <w:szCs w:val="24"/>
        </w:rPr>
        <w:t>课后</w:t>
      </w:r>
      <w:r w:rsidRPr="0065230C">
        <w:rPr>
          <w:rFonts w:ascii="Times New Roman" w:eastAsia="宋体" w:hAnsi="Times New Roman" w:cs="Times New Roman"/>
          <w:sz w:val="24"/>
          <w:szCs w:val="24"/>
        </w:rPr>
        <w:t>作业</w:t>
      </w:r>
      <w:r w:rsidRPr="0065230C">
        <w:rPr>
          <w:rFonts w:ascii="Times New Roman" w:eastAsia="宋体" w:hAnsi="Times New Roman" w:cs="Times New Roman" w:hint="eastAsia"/>
          <w:sz w:val="24"/>
          <w:szCs w:val="24"/>
        </w:rPr>
        <w:t>3</w:t>
      </w:r>
      <w:r w:rsidRPr="0065230C">
        <w:rPr>
          <w:rFonts w:ascii="Times New Roman" w:eastAsia="宋体" w:hAnsi="Times New Roman" w:cs="Times New Roman"/>
          <w:sz w:val="24"/>
          <w:szCs w:val="24"/>
        </w:rPr>
        <w:t>0%+</w:t>
      </w:r>
      <w:r w:rsidRPr="0065230C">
        <w:rPr>
          <w:rFonts w:ascii="Times New Roman" w:eastAsia="宋体" w:hAnsi="Times New Roman" w:cs="Times New Roman"/>
          <w:sz w:val="24"/>
          <w:szCs w:val="24"/>
        </w:rPr>
        <w:t>期末随堂测验</w:t>
      </w:r>
      <w:r w:rsidRPr="0065230C">
        <w:rPr>
          <w:rFonts w:ascii="Times New Roman" w:eastAsia="宋体" w:hAnsi="Times New Roman" w:cs="Times New Roman"/>
          <w:sz w:val="24"/>
          <w:szCs w:val="24"/>
        </w:rPr>
        <w:t>60%</w:t>
      </w:r>
      <w:r w:rsidRPr="0065230C">
        <w:rPr>
          <w:rFonts w:ascii="Times New Roman" w:eastAsia="宋体" w:hAnsi="Times New Roman" w:cs="Times New Roman"/>
          <w:sz w:val="24"/>
          <w:szCs w:val="24"/>
        </w:rPr>
        <w:t>。</w:t>
      </w:r>
    </w:p>
    <w:p w14:paraId="59E45309" w14:textId="77777777" w:rsidR="0065230C" w:rsidRPr="0065230C" w:rsidRDefault="0065230C" w:rsidP="0065230C">
      <w:pPr>
        <w:spacing w:line="440" w:lineRule="exact"/>
        <w:ind w:firstLineChars="200" w:firstLine="480"/>
        <w:rPr>
          <w:rFonts w:ascii="Times New Roman" w:eastAsia="宋体" w:hAnsi="Times New Roman" w:cs="Times New Roman"/>
          <w:szCs w:val="24"/>
        </w:rPr>
      </w:pPr>
      <w:r w:rsidRPr="0065230C">
        <w:rPr>
          <w:rFonts w:ascii="Times New Roman" w:eastAsia="宋体" w:hAnsi="Times New Roman" w:cs="Times New Roman"/>
          <w:sz w:val="24"/>
          <w:szCs w:val="24"/>
        </w:rPr>
        <w:t>本课程共有</w:t>
      </w:r>
      <w:r w:rsidRPr="0065230C">
        <w:rPr>
          <w:rFonts w:ascii="Times New Roman" w:eastAsia="宋体" w:hAnsi="Times New Roman" w:cs="Times New Roman" w:hint="eastAsia"/>
          <w:sz w:val="24"/>
          <w:szCs w:val="24"/>
        </w:rPr>
        <w:t>3</w:t>
      </w:r>
      <w:r w:rsidRPr="0065230C">
        <w:rPr>
          <w:rFonts w:ascii="Times New Roman" w:eastAsia="宋体" w:hAnsi="Times New Roman" w:cs="Times New Roman"/>
          <w:sz w:val="24"/>
          <w:szCs w:val="24"/>
        </w:rPr>
        <w:t>个课程目标，考核方式及成绩比例分别为：</w:t>
      </w:r>
    </w:p>
    <w:p w14:paraId="27525983" w14:textId="77777777" w:rsidR="0065230C" w:rsidRPr="0065230C" w:rsidRDefault="0065230C" w:rsidP="0065230C">
      <w:pPr>
        <w:spacing w:line="440" w:lineRule="exact"/>
        <w:rPr>
          <w:rFonts w:ascii="Times New Roman" w:eastAsia="宋体" w:hAnsi="Times New Roman" w:cs="Times New Roman"/>
          <w:szCs w:val="24"/>
        </w:rPr>
      </w:pPr>
      <w:r w:rsidRPr="0065230C">
        <w:rPr>
          <w:rFonts w:ascii="Times New Roman" w:eastAsia="宋体" w:hAnsi="Times New Roman" w:cs="Times New Roman"/>
          <w:sz w:val="24"/>
          <w:szCs w:val="24"/>
        </w:rPr>
        <w:t>课程目标</w:t>
      </w:r>
      <w:r w:rsidRPr="0065230C">
        <w:rPr>
          <w:rFonts w:ascii="Times New Roman" w:eastAsia="宋体" w:hAnsi="Times New Roman" w:cs="Times New Roman"/>
          <w:sz w:val="24"/>
          <w:szCs w:val="24"/>
        </w:rPr>
        <w:t>1</w:t>
      </w:r>
      <w:r w:rsidRPr="0065230C">
        <w:rPr>
          <w:rFonts w:ascii="Times New Roman" w:eastAsia="宋体" w:hAnsi="Times New Roman" w:cs="Times New Roman"/>
          <w:sz w:val="24"/>
          <w:szCs w:val="24"/>
        </w:rPr>
        <w:t>、</w:t>
      </w:r>
      <w:r w:rsidRPr="0065230C">
        <w:rPr>
          <w:rFonts w:ascii="Times New Roman" w:eastAsia="宋体" w:hAnsi="Times New Roman" w:cs="Times New Roman"/>
          <w:sz w:val="24"/>
          <w:szCs w:val="24"/>
        </w:rPr>
        <w:t>2</w:t>
      </w:r>
      <w:r w:rsidRPr="0065230C">
        <w:rPr>
          <w:rFonts w:ascii="Times New Roman" w:eastAsia="宋体" w:hAnsi="Times New Roman" w:cs="Times New Roman"/>
          <w:sz w:val="24"/>
          <w:szCs w:val="24"/>
        </w:rPr>
        <w:t>：课堂表现</w:t>
      </w:r>
      <w:r w:rsidRPr="0065230C">
        <w:rPr>
          <w:rFonts w:ascii="Times New Roman" w:eastAsia="宋体" w:hAnsi="Times New Roman" w:cs="Times New Roman" w:hint="eastAsia"/>
          <w:sz w:val="24"/>
          <w:szCs w:val="24"/>
        </w:rPr>
        <w:t>5</w:t>
      </w:r>
      <w:r w:rsidRPr="0065230C">
        <w:rPr>
          <w:rFonts w:ascii="Times New Roman" w:eastAsia="宋体" w:hAnsi="Times New Roman" w:cs="Times New Roman"/>
          <w:sz w:val="24"/>
          <w:szCs w:val="24"/>
        </w:rPr>
        <w:t>%+</w:t>
      </w:r>
      <w:r w:rsidRPr="0065230C">
        <w:rPr>
          <w:rFonts w:ascii="Times New Roman" w:eastAsia="宋体" w:hAnsi="Times New Roman" w:cs="Times New Roman" w:hint="eastAsia"/>
          <w:sz w:val="24"/>
          <w:szCs w:val="24"/>
        </w:rPr>
        <w:t>课后</w:t>
      </w:r>
      <w:r w:rsidRPr="0065230C">
        <w:rPr>
          <w:rFonts w:ascii="Times New Roman" w:eastAsia="宋体" w:hAnsi="Times New Roman" w:cs="Times New Roman"/>
          <w:sz w:val="24"/>
          <w:szCs w:val="24"/>
        </w:rPr>
        <w:t>作业</w:t>
      </w:r>
      <w:r w:rsidRPr="0065230C">
        <w:rPr>
          <w:rFonts w:ascii="Times New Roman" w:eastAsia="宋体" w:hAnsi="Times New Roman" w:cs="Times New Roman"/>
          <w:sz w:val="24"/>
          <w:szCs w:val="24"/>
        </w:rPr>
        <w:t>1</w:t>
      </w:r>
      <w:r w:rsidRPr="0065230C">
        <w:rPr>
          <w:rFonts w:ascii="Times New Roman" w:eastAsia="宋体" w:hAnsi="Times New Roman" w:cs="Times New Roman" w:hint="eastAsia"/>
          <w:sz w:val="24"/>
          <w:szCs w:val="24"/>
        </w:rPr>
        <w:t>5</w:t>
      </w:r>
      <w:r w:rsidRPr="0065230C">
        <w:rPr>
          <w:rFonts w:ascii="Times New Roman" w:eastAsia="宋体" w:hAnsi="Times New Roman" w:cs="Times New Roman"/>
          <w:sz w:val="24"/>
          <w:szCs w:val="24"/>
        </w:rPr>
        <w:t>%+</w:t>
      </w:r>
      <w:r w:rsidRPr="0065230C">
        <w:rPr>
          <w:rFonts w:ascii="Times New Roman" w:eastAsia="宋体" w:hAnsi="Times New Roman" w:cs="Times New Roman"/>
          <w:sz w:val="24"/>
          <w:szCs w:val="24"/>
        </w:rPr>
        <w:t>期末随堂测验</w:t>
      </w:r>
      <w:r w:rsidRPr="0065230C">
        <w:rPr>
          <w:rFonts w:ascii="Times New Roman" w:eastAsia="宋体" w:hAnsi="Times New Roman" w:cs="Times New Roman" w:hint="eastAsia"/>
          <w:sz w:val="24"/>
          <w:szCs w:val="24"/>
        </w:rPr>
        <w:t>4</w:t>
      </w:r>
      <w:r w:rsidRPr="0065230C">
        <w:rPr>
          <w:rFonts w:ascii="Times New Roman" w:eastAsia="宋体" w:hAnsi="Times New Roman" w:cs="Times New Roman"/>
          <w:sz w:val="24"/>
          <w:szCs w:val="24"/>
        </w:rPr>
        <w:t>0%</w:t>
      </w:r>
      <w:r w:rsidRPr="0065230C">
        <w:rPr>
          <w:rFonts w:ascii="Times New Roman" w:eastAsia="宋体" w:hAnsi="Times New Roman" w:cs="Times New Roman"/>
          <w:sz w:val="24"/>
          <w:szCs w:val="24"/>
        </w:rPr>
        <w:t>；</w:t>
      </w:r>
    </w:p>
    <w:p w14:paraId="1D40B6E1" w14:textId="77777777" w:rsidR="0065230C" w:rsidRPr="0065230C" w:rsidRDefault="0065230C" w:rsidP="0065230C">
      <w:pPr>
        <w:spacing w:line="440" w:lineRule="exact"/>
        <w:rPr>
          <w:rFonts w:ascii="Times New Roman" w:eastAsia="宋体" w:hAnsi="Times New Roman" w:cs="Times New Roman"/>
          <w:szCs w:val="24"/>
        </w:rPr>
      </w:pPr>
      <w:r w:rsidRPr="0065230C">
        <w:rPr>
          <w:rFonts w:ascii="Times New Roman" w:eastAsia="宋体" w:hAnsi="Times New Roman" w:cs="Times New Roman"/>
          <w:sz w:val="24"/>
          <w:szCs w:val="24"/>
        </w:rPr>
        <w:t>课程目标</w:t>
      </w:r>
      <w:r w:rsidRPr="0065230C">
        <w:rPr>
          <w:rFonts w:ascii="Times New Roman" w:eastAsia="宋体" w:hAnsi="Times New Roman" w:cs="Times New Roman"/>
          <w:sz w:val="24"/>
          <w:szCs w:val="24"/>
        </w:rPr>
        <w:t>3</w:t>
      </w:r>
      <w:r w:rsidRPr="0065230C">
        <w:rPr>
          <w:rFonts w:ascii="Times New Roman" w:eastAsia="宋体" w:hAnsi="Times New Roman" w:cs="Times New Roman"/>
          <w:sz w:val="24"/>
          <w:szCs w:val="24"/>
        </w:rPr>
        <w:t>：课堂表现</w:t>
      </w:r>
      <w:r w:rsidRPr="0065230C">
        <w:rPr>
          <w:rFonts w:ascii="Times New Roman" w:eastAsia="宋体" w:hAnsi="Times New Roman" w:cs="Times New Roman" w:hint="eastAsia"/>
          <w:sz w:val="24"/>
          <w:szCs w:val="24"/>
        </w:rPr>
        <w:t>5</w:t>
      </w:r>
      <w:r w:rsidRPr="0065230C">
        <w:rPr>
          <w:rFonts w:ascii="Times New Roman" w:eastAsia="宋体" w:hAnsi="Times New Roman" w:cs="Times New Roman"/>
          <w:sz w:val="24"/>
          <w:szCs w:val="24"/>
        </w:rPr>
        <w:t>%+</w:t>
      </w:r>
      <w:r w:rsidRPr="0065230C">
        <w:rPr>
          <w:rFonts w:ascii="Times New Roman" w:eastAsia="宋体" w:hAnsi="Times New Roman" w:cs="Times New Roman" w:hint="eastAsia"/>
          <w:sz w:val="24"/>
          <w:szCs w:val="24"/>
        </w:rPr>
        <w:t>课后</w:t>
      </w:r>
      <w:r w:rsidRPr="0065230C">
        <w:rPr>
          <w:rFonts w:ascii="Times New Roman" w:eastAsia="宋体" w:hAnsi="Times New Roman" w:cs="Times New Roman"/>
          <w:sz w:val="24"/>
          <w:szCs w:val="24"/>
        </w:rPr>
        <w:t>作业</w:t>
      </w:r>
      <w:r w:rsidRPr="0065230C">
        <w:rPr>
          <w:rFonts w:ascii="Times New Roman" w:eastAsia="宋体" w:hAnsi="Times New Roman" w:cs="Times New Roman"/>
          <w:sz w:val="24"/>
          <w:szCs w:val="24"/>
        </w:rPr>
        <w:t>1</w:t>
      </w:r>
      <w:r w:rsidRPr="0065230C">
        <w:rPr>
          <w:rFonts w:ascii="Times New Roman" w:eastAsia="宋体" w:hAnsi="Times New Roman" w:cs="Times New Roman" w:hint="eastAsia"/>
          <w:sz w:val="24"/>
          <w:szCs w:val="24"/>
        </w:rPr>
        <w:t>5</w:t>
      </w:r>
      <w:r w:rsidRPr="0065230C">
        <w:rPr>
          <w:rFonts w:ascii="Times New Roman" w:eastAsia="宋体" w:hAnsi="Times New Roman" w:cs="Times New Roman"/>
          <w:sz w:val="24"/>
          <w:szCs w:val="24"/>
        </w:rPr>
        <w:t>%+</w:t>
      </w:r>
      <w:r w:rsidRPr="0065230C">
        <w:rPr>
          <w:rFonts w:ascii="Times New Roman" w:eastAsia="宋体" w:hAnsi="Times New Roman" w:cs="Times New Roman"/>
          <w:sz w:val="24"/>
          <w:szCs w:val="24"/>
        </w:rPr>
        <w:t>期末随堂测验</w:t>
      </w:r>
      <w:r w:rsidRPr="0065230C">
        <w:rPr>
          <w:rFonts w:ascii="Times New Roman" w:eastAsia="宋体" w:hAnsi="Times New Roman" w:cs="Times New Roman" w:hint="eastAsia"/>
          <w:sz w:val="24"/>
          <w:szCs w:val="24"/>
        </w:rPr>
        <w:t>2</w:t>
      </w:r>
      <w:r w:rsidRPr="0065230C">
        <w:rPr>
          <w:rFonts w:ascii="Times New Roman" w:eastAsia="宋体" w:hAnsi="Times New Roman" w:cs="Times New Roman"/>
          <w:sz w:val="24"/>
          <w:szCs w:val="24"/>
        </w:rPr>
        <w:t>0%</w:t>
      </w:r>
      <w:r w:rsidRPr="0065230C">
        <w:rPr>
          <w:rFonts w:ascii="Times New Roman" w:eastAsia="宋体" w:hAnsi="Times New Roman" w:cs="Times New Roman"/>
          <w:sz w:val="24"/>
          <w:szCs w:val="24"/>
        </w:rPr>
        <w:t>。</w:t>
      </w:r>
    </w:p>
    <w:p w14:paraId="56B4A9BB" w14:textId="77777777" w:rsidR="0065230C" w:rsidRPr="0065230C" w:rsidRDefault="0065230C" w:rsidP="0065230C">
      <w:pPr>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如下图：</w:t>
      </w:r>
    </w:p>
    <w:tbl>
      <w:tblPr>
        <w:tblW w:w="8185" w:type="dxa"/>
        <w:tblLayout w:type="fixed"/>
        <w:tblLook w:val="0000" w:firstRow="0" w:lastRow="0" w:firstColumn="0" w:lastColumn="0" w:noHBand="0" w:noVBand="0"/>
      </w:tblPr>
      <w:tblGrid>
        <w:gridCol w:w="1975"/>
        <w:gridCol w:w="1710"/>
        <w:gridCol w:w="1620"/>
        <w:gridCol w:w="1620"/>
        <w:gridCol w:w="1260"/>
      </w:tblGrid>
      <w:tr w:rsidR="0065230C" w:rsidRPr="0065230C" w14:paraId="33FD739E" w14:textId="77777777" w:rsidTr="00C96426">
        <w:trPr>
          <w:trHeight w:val="540"/>
        </w:trPr>
        <w:tc>
          <w:tcPr>
            <w:tcW w:w="1975" w:type="dxa"/>
            <w:vMerge w:val="restart"/>
            <w:tcBorders>
              <w:top w:val="single" w:sz="4" w:space="0" w:color="auto"/>
              <w:left w:val="single" w:sz="4" w:space="0" w:color="auto"/>
              <w:bottom w:val="single" w:sz="4" w:space="0" w:color="auto"/>
              <w:right w:val="single" w:sz="4" w:space="0" w:color="auto"/>
            </w:tcBorders>
            <w:vAlign w:val="center"/>
          </w:tcPr>
          <w:p w14:paraId="6BE05C86" w14:textId="77777777" w:rsidR="0065230C" w:rsidRPr="0065230C" w:rsidRDefault="0065230C" w:rsidP="0065230C">
            <w:pPr>
              <w:spacing w:line="440" w:lineRule="exact"/>
              <w:jc w:val="center"/>
              <w:rPr>
                <w:rFonts w:ascii="Times New Roman" w:eastAsia="宋体" w:hAnsi="Times New Roman" w:cs="Times New Roman"/>
                <w:szCs w:val="24"/>
              </w:rPr>
            </w:pPr>
            <w:r w:rsidRPr="0065230C">
              <w:rPr>
                <w:rFonts w:ascii="Times New Roman" w:eastAsia="宋体" w:hAnsi="Times New Roman" w:cs="Times New Roman"/>
                <w:b/>
                <w:sz w:val="24"/>
                <w:szCs w:val="24"/>
              </w:rPr>
              <w:t>课程目标</w:t>
            </w:r>
          </w:p>
        </w:tc>
        <w:tc>
          <w:tcPr>
            <w:tcW w:w="4950" w:type="dxa"/>
            <w:gridSpan w:val="3"/>
            <w:tcBorders>
              <w:top w:val="single" w:sz="4" w:space="0" w:color="auto"/>
              <w:left w:val="single" w:sz="4" w:space="0" w:color="auto"/>
              <w:bottom w:val="single" w:sz="4" w:space="0" w:color="auto"/>
              <w:right w:val="single" w:sz="4" w:space="0" w:color="auto"/>
            </w:tcBorders>
          </w:tcPr>
          <w:p w14:paraId="194A689C" w14:textId="77777777" w:rsidR="0065230C" w:rsidRPr="0065230C" w:rsidRDefault="0065230C" w:rsidP="0065230C">
            <w:pPr>
              <w:spacing w:line="440" w:lineRule="exact"/>
              <w:jc w:val="center"/>
              <w:rPr>
                <w:rFonts w:ascii="Times New Roman" w:eastAsia="宋体" w:hAnsi="Times New Roman" w:cs="Times New Roman"/>
                <w:b/>
                <w:sz w:val="24"/>
                <w:szCs w:val="24"/>
              </w:rPr>
            </w:pPr>
            <w:r w:rsidRPr="0065230C">
              <w:rPr>
                <w:rFonts w:ascii="Times New Roman" w:eastAsia="宋体" w:hAnsi="Times New Roman" w:cs="Times New Roman"/>
                <w:b/>
                <w:sz w:val="24"/>
                <w:szCs w:val="24"/>
              </w:rPr>
              <w:t>考核方式及成绩比例（</w:t>
            </w:r>
            <w:r w:rsidRPr="0065230C">
              <w:rPr>
                <w:rFonts w:ascii="Times New Roman" w:eastAsia="宋体" w:hAnsi="Times New Roman" w:cs="Times New Roman"/>
                <w:b/>
                <w:sz w:val="24"/>
                <w:szCs w:val="24"/>
              </w:rPr>
              <w:t>%</w:t>
            </w:r>
            <w:r w:rsidRPr="0065230C">
              <w:rPr>
                <w:rFonts w:ascii="Times New Roman" w:eastAsia="宋体" w:hAnsi="Times New Roman" w:cs="Times New Roman"/>
                <w:b/>
                <w:sz w:val="24"/>
                <w:szCs w:val="24"/>
              </w:rPr>
              <w:t>）</w:t>
            </w:r>
          </w:p>
        </w:tc>
        <w:tc>
          <w:tcPr>
            <w:tcW w:w="1260" w:type="dxa"/>
            <w:vMerge w:val="restart"/>
            <w:tcBorders>
              <w:top w:val="single" w:sz="4" w:space="0" w:color="auto"/>
              <w:left w:val="single" w:sz="4" w:space="0" w:color="auto"/>
              <w:right w:val="single" w:sz="4" w:space="0" w:color="auto"/>
            </w:tcBorders>
            <w:vAlign w:val="center"/>
          </w:tcPr>
          <w:p w14:paraId="569BD9C0" w14:textId="77777777" w:rsidR="0065230C" w:rsidRPr="0065230C" w:rsidRDefault="0065230C" w:rsidP="0065230C">
            <w:pPr>
              <w:spacing w:line="440" w:lineRule="exact"/>
              <w:jc w:val="center"/>
              <w:rPr>
                <w:rFonts w:ascii="Times New Roman" w:eastAsia="宋体" w:hAnsi="Times New Roman" w:cs="Times New Roman"/>
                <w:b/>
                <w:sz w:val="24"/>
                <w:szCs w:val="24"/>
              </w:rPr>
            </w:pPr>
            <w:r w:rsidRPr="0065230C">
              <w:rPr>
                <w:rFonts w:ascii="Times New Roman" w:eastAsia="宋体" w:hAnsi="Times New Roman" w:cs="Times New Roman"/>
                <w:b/>
                <w:sz w:val="24"/>
                <w:szCs w:val="24"/>
              </w:rPr>
              <w:t>合计</w:t>
            </w:r>
          </w:p>
        </w:tc>
      </w:tr>
      <w:tr w:rsidR="0065230C" w:rsidRPr="0065230C" w14:paraId="54B358FC" w14:textId="77777777" w:rsidTr="00C96426">
        <w:trPr>
          <w:trHeight w:val="578"/>
        </w:trPr>
        <w:tc>
          <w:tcPr>
            <w:tcW w:w="1975" w:type="dxa"/>
            <w:vMerge/>
            <w:tcBorders>
              <w:top w:val="single" w:sz="4" w:space="0" w:color="auto"/>
              <w:left w:val="single" w:sz="4" w:space="0" w:color="auto"/>
              <w:bottom w:val="single" w:sz="4" w:space="0" w:color="auto"/>
              <w:right w:val="single" w:sz="4" w:space="0" w:color="auto"/>
            </w:tcBorders>
            <w:vAlign w:val="center"/>
          </w:tcPr>
          <w:p w14:paraId="1D493836" w14:textId="77777777" w:rsidR="0065230C" w:rsidRPr="0065230C" w:rsidRDefault="0065230C" w:rsidP="0065230C">
            <w:pPr>
              <w:spacing w:line="440" w:lineRule="exact"/>
              <w:jc w:val="center"/>
              <w:rPr>
                <w:rFonts w:ascii="Times New Roman" w:eastAsia="宋体" w:hAnsi="Times New Roman" w:cs="Times New Roman"/>
                <w:szCs w:val="24"/>
              </w:rPr>
            </w:pPr>
          </w:p>
        </w:tc>
        <w:tc>
          <w:tcPr>
            <w:tcW w:w="1710" w:type="dxa"/>
            <w:tcBorders>
              <w:top w:val="single" w:sz="4" w:space="0" w:color="auto"/>
              <w:left w:val="single" w:sz="4" w:space="0" w:color="auto"/>
              <w:bottom w:val="single" w:sz="4" w:space="0" w:color="auto"/>
              <w:right w:val="single" w:sz="4" w:space="0" w:color="auto"/>
            </w:tcBorders>
            <w:vAlign w:val="center"/>
          </w:tcPr>
          <w:p w14:paraId="1CFE31DB" w14:textId="77777777" w:rsidR="0065230C" w:rsidRPr="0065230C" w:rsidRDefault="0065230C" w:rsidP="0065230C">
            <w:pPr>
              <w:spacing w:line="440" w:lineRule="exact"/>
              <w:jc w:val="center"/>
              <w:rPr>
                <w:rFonts w:ascii="Times New Roman" w:eastAsia="宋体" w:hAnsi="Times New Roman" w:cs="Times New Roman"/>
                <w:b/>
                <w:sz w:val="24"/>
                <w:szCs w:val="24"/>
              </w:rPr>
            </w:pPr>
            <w:r w:rsidRPr="0065230C">
              <w:rPr>
                <w:rFonts w:ascii="Times New Roman" w:eastAsia="宋体" w:hAnsi="Times New Roman" w:cs="Times New Roman"/>
                <w:b/>
                <w:sz w:val="24"/>
                <w:szCs w:val="24"/>
              </w:rPr>
              <w:t>课堂表现</w:t>
            </w:r>
          </w:p>
        </w:tc>
        <w:tc>
          <w:tcPr>
            <w:tcW w:w="1620" w:type="dxa"/>
            <w:tcBorders>
              <w:top w:val="single" w:sz="4" w:space="0" w:color="auto"/>
              <w:left w:val="single" w:sz="4" w:space="0" w:color="auto"/>
              <w:bottom w:val="single" w:sz="4" w:space="0" w:color="auto"/>
              <w:right w:val="single" w:sz="4" w:space="0" w:color="auto"/>
            </w:tcBorders>
            <w:vAlign w:val="center"/>
          </w:tcPr>
          <w:p w14:paraId="5ECB67E9" w14:textId="77777777" w:rsidR="0065230C" w:rsidRPr="0065230C" w:rsidRDefault="00095B84" w:rsidP="0065230C">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课后</w:t>
            </w:r>
            <w:r w:rsidR="0065230C" w:rsidRPr="0065230C">
              <w:rPr>
                <w:rFonts w:ascii="Times New Roman" w:eastAsia="宋体" w:hAnsi="Times New Roman" w:cs="Times New Roman"/>
                <w:b/>
                <w:sz w:val="24"/>
                <w:szCs w:val="24"/>
              </w:rPr>
              <w:t>作业</w:t>
            </w:r>
          </w:p>
        </w:tc>
        <w:tc>
          <w:tcPr>
            <w:tcW w:w="1620" w:type="dxa"/>
            <w:tcBorders>
              <w:top w:val="single" w:sz="4" w:space="0" w:color="auto"/>
              <w:left w:val="single" w:sz="4" w:space="0" w:color="auto"/>
              <w:bottom w:val="single" w:sz="4" w:space="0" w:color="auto"/>
              <w:right w:val="single" w:sz="4" w:space="0" w:color="auto"/>
            </w:tcBorders>
            <w:vAlign w:val="center"/>
          </w:tcPr>
          <w:p w14:paraId="3C5E4F2E" w14:textId="77777777" w:rsidR="0065230C" w:rsidRPr="0065230C" w:rsidRDefault="0065230C" w:rsidP="0065230C">
            <w:pPr>
              <w:spacing w:line="440" w:lineRule="exact"/>
              <w:jc w:val="center"/>
              <w:rPr>
                <w:rFonts w:ascii="Times New Roman" w:eastAsia="宋体" w:hAnsi="Times New Roman" w:cs="Times New Roman"/>
                <w:b/>
                <w:sz w:val="24"/>
                <w:szCs w:val="24"/>
              </w:rPr>
            </w:pPr>
            <w:r w:rsidRPr="0065230C">
              <w:rPr>
                <w:rFonts w:ascii="Times New Roman" w:eastAsia="宋体" w:hAnsi="Times New Roman" w:cs="Times New Roman"/>
                <w:b/>
                <w:sz w:val="24"/>
                <w:szCs w:val="24"/>
              </w:rPr>
              <w:t>期末随堂测验</w:t>
            </w:r>
          </w:p>
        </w:tc>
        <w:tc>
          <w:tcPr>
            <w:tcW w:w="1260" w:type="dxa"/>
            <w:vMerge/>
            <w:tcBorders>
              <w:left w:val="single" w:sz="4" w:space="0" w:color="auto"/>
              <w:bottom w:val="single" w:sz="4" w:space="0" w:color="auto"/>
              <w:right w:val="single" w:sz="4" w:space="0" w:color="auto"/>
            </w:tcBorders>
            <w:vAlign w:val="center"/>
          </w:tcPr>
          <w:p w14:paraId="09106304" w14:textId="77777777" w:rsidR="0065230C" w:rsidRPr="0065230C" w:rsidRDefault="0065230C" w:rsidP="0065230C">
            <w:pPr>
              <w:spacing w:line="440" w:lineRule="exact"/>
              <w:jc w:val="center"/>
              <w:rPr>
                <w:rFonts w:ascii="Times New Roman" w:eastAsia="宋体" w:hAnsi="Times New Roman" w:cs="Times New Roman"/>
                <w:szCs w:val="24"/>
              </w:rPr>
            </w:pPr>
          </w:p>
        </w:tc>
      </w:tr>
      <w:tr w:rsidR="0065230C" w:rsidRPr="0065230C" w14:paraId="2B8B965F" w14:textId="77777777" w:rsidTr="00C96426">
        <w:tc>
          <w:tcPr>
            <w:tcW w:w="1975" w:type="dxa"/>
            <w:tcBorders>
              <w:top w:val="single" w:sz="4" w:space="0" w:color="auto"/>
              <w:left w:val="single" w:sz="4" w:space="0" w:color="auto"/>
              <w:bottom w:val="single" w:sz="4" w:space="0" w:color="auto"/>
              <w:right w:val="single" w:sz="4" w:space="0" w:color="auto"/>
            </w:tcBorders>
            <w:vAlign w:val="center"/>
          </w:tcPr>
          <w:p w14:paraId="7F698ECA" w14:textId="77777777" w:rsidR="0065230C" w:rsidRPr="0065230C" w:rsidRDefault="0065230C" w:rsidP="0065230C">
            <w:pPr>
              <w:spacing w:line="440" w:lineRule="exact"/>
              <w:jc w:val="center"/>
              <w:rPr>
                <w:rFonts w:ascii="Times New Roman" w:eastAsia="宋体" w:hAnsi="Times New Roman" w:cs="Times New Roman"/>
                <w:szCs w:val="24"/>
              </w:rPr>
            </w:pPr>
            <w:r w:rsidRPr="0065230C">
              <w:rPr>
                <w:rFonts w:ascii="Times New Roman" w:eastAsia="宋体" w:hAnsi="Times New Roman" w:cs="Times New Roman"/>
                <w:sz w:val="24"/>
                <w:szCs w:val="24"/>
              </w:rPr>
              <w:t>课程目标</w:t>
            </w:r>
            <w:r w:rsidRPr="0065230C">
              <w:rPr>
                <w:rFonts w:ascii="Times New Roman" w:eastAsia="宋体" w:hAnsi="Times New Roman" w:cs="Times New Roman"/>
                <w:sz w:val="24"/>
                <w:szCs w:val="24"/>
              </w:rPr>
              <w:t>1</w:t>
            </w:r>
            <w:r w:rsidRPr="0065230C">
              <w:rPr>
                <w:rFonts w:ascii="Times New Roman" w:eastAsia="宋体" w:hAnsi="Times New Roman" w:cs="Times New Roman"/>
                <w:sz w:val="24"/>
                <w:szCs w:val="24"/>
              </w:rPr>
              <w:t>、</w:t>
            </w:r>
            <w:r w:rsidRPr="0065230C">
              <w:rPr>
                <w:rFonts w:ascii="Times New Roman" w:eastAsia="宋体" w:hAnsi="Times New Roman" w:cs="Times New Roman"/>
                <w:sz w:val="24"/>
                <w:szCs w:val="24"/>
              </w:rPr>
              <w:t>2</w:t>
            </w:r>
          </w:p>
        </w:tc>
        <w:tc>
          <w:tcPr>
            <w:tcW w:w="1710" w:type="dxa"/>
            <w:tcBorders>
              <w:top w:val="single" w:sz="4" w:space="0" w:color="auto"/>
              <w:left w:val="single" w:sz="4" w:space="0" w:color="auto"/>
              <w:bottom w:val="single" w:sz="4" w:space="0" w:color="auto"/>
              <w:right w:val="single" w:sz="4" w:space="0" w:color="auto"/>
            </w:tcBorders>
            <w:vAlign w:val="center"/>
          </w:tcPr>
          <w:p w14:paraId="0F97D405" w14:textId="77777777" w:rsidR="0065230C" w:rsidRPr="0065230C" w:rsidRDefault="0065230C" w:rsidP="0065230C">
            <w:pPr>
              <w:spacing w:line="440" w:lineRule="exact"/>
              <w:jc w:val="center"/>
              <w:rPr>
                <w:rFonts w:ascii="Times New Roman" w:eastAsia="宋体" w:hAnsi="Times New Roman" w:cs="Times New Roman"/>
                <w:szCs w:val="24"/>
              </w:rPr>
            </w:pPr>
            <w:r w:rsidRPr="0065230C">
              <w:rPr>
                <w:rFonts w:ascii="Times New Roman" w:eastAsia="宋体" w:hAnsi="Times New Roman" w:cs="Times New Roman" w:hint="eastAsia"/>
                <w:szCs w:val="24"/>
              </w:rPr>
              <w:t>5</w:t>
            </w:r>
          </w:p>
        </w:tc>
        <w:tc>
          <w:tcPr>
            <w:tcW w:w="1620" w:type="dxa"/>
            <w:tcBorders>
              <w:top w:val="single" w:sz="4" w:space="0" w:color="auto"/>
              <w:left w:val="single" w:sz="4" w:space="0" w:color="auto"/>
              <w:bottom w:val="single" w:sz="4" w:space="0" w:color="auto"/>
              <w:right w:val="single" w:sz="4" w:space="0" w:color="auto"/>
            </w:tcBorders>
            <w:vAlign w:val="center"/>
          </w:tcPr>
          <w:p w14:paraId="4EAD8860" w14:textId="77777777" w:rsidR="0065230C" w:rsidRPr="0065230C" w:rsidRDefault="0065230C" w:rsidP="0065230C">
            <w:pPr>
              <w:spacing w:line="440" w:lineRule="exact"/>
              <w:jc w:val="center"/>
              <w:rPr>
                <w:rFonts w:ascii="Times New Roman" w:eastAsia="宋体" w:hAnsi="Times New Roman" w:cs="Times New Roman"/>
                <w:szCs w:val="24"/>
              </w:rPr>
            </w:pPr>
            <w:r w:rsidRPr="0065230C">
              <w:rPr>
                <w:rFonts w:ascii="Times New Roman" w:eastAsia="宋体" w:hAnsi="Times New Roman" w:cs="Times New Roman"/>
                <w:sz w:val="24"/>
                <w:szCs w:val="24"/>
              </w:rPr>
              <w:t>1</w:t>
            </w:r>
            <w:r w:rsidRPr="0065230C">
              <w:rPr>
                <w:rFonts w:ascii="Times New Roman" w:eastAsia="宋体" w:hAnsi="Times New Roman" w:cs="Times New Roman" w:hint="eastAsia"/>
                <w:sz w:val="24"/>
                <w:szCs w:val="24"/>
              </w:rPr>
              <w:t>5</w:t>
            </w:r>
          </w:p>
        </w:tc>
        <w:tc>
          <w:tcPr>
            <w:tcW w:w="1620" w:type="dxa"/>
            <w:tcBorders>
              <w:top w:val="single" w:sz="4" w:space="0" w:color="auto"/>
              <w:left w:val="single" w:sz="4" w:space="0" w:color="auto"/>
              <w:bottom w:val="single" w:sz="4" w:space="0" w:color="auto"/>
              <w:right w:val="single" w:sz="4" w:space="0" w:color="auto"/>
            </w:tcBorders>
            <w:vAlign w:val="center"/>
          </w:tcPr>
          <w:p w14:paraId="7255AC6E" w14:textId="77777777" w:rsidR="0065230C" w:rsidRPr="0065230C" w:rsidRDefault="0065230C" w:rsidP="0065230C">
            <w:pPr>
              <w:spacing w:line="440" w:lineRule="exact"/>
              <w:jc w:val="center"/>
              <w:rPr>
                <w:rFonts w:ascii="Times New Roman" w:eastAsia="宋体" w:hAnsi="Times New Roman" w:cs="Times New Roman"/>
                <w:szCs w:val="24"/>
              </w:rPr>
            </w:pPr>
            <w:r w:rsidRPr="0065230C">
              <w:rPr>
                <w:rFonts w:ascii="Times New Roman" w:eastAsia="宋体" w:hAnsi="Times New Roman" w:cs="Times New Roman" w:hint="eastAsia"/>
                <w:sz w:val="24"/>
                <w:szCs w:val="24"/>
              </w:rPr>
              <w:t>4</w:t>
            </w:r>
            <w:r w:rsidRPr="0065230C">
              <w:rPr>
                <w:rFonts w:ascii="Times New Roman" w:eastAsia="宋体" w:hAnsi="Times New Roman" w:cs="Times New Roman"/>
                <w:sz w:val="24"/>
                <w:szCs w:val="24"/>
              </w:rPr>
              <w:t>0</w:t>
            </w:r>
          </w:p>
        </w:tc>
        <w:tc>
          <w:tcPr>
            <w:tcW w:w="1260" w:type="dxa"/>
            <w:tcBorders>
              <w:top w:val="single" w:sz="4" w:space="0" w:color="auto"/>
              <w:left w:val="single" w:sz="4" w:space="0" w:color="auto"/>
              <w:bottom w:val="single" w:sz="4" w:space="0" w:color="auto"/>
              <w:right w:val="single" w:sz="4" w:space="0" w:color="auto"/>
            </w:tcBorders>
            <w:vAlign w:val="center"/>
          </w:tcPr>
          <w:p w14:paraId="5BC4E4D5" w14:textId="77777777" w:rsidR="0065230C" w:rsidRPr="0065230C" w:rsidRDefault="0065230C" w:rsidP="0065230C">
            <w:pPr>
              <w:spacing w:line="440" w:lineRule="exact"/>
              <w:jc w:val="center"/>
              <w:rPr>
                <w:rFonts w:ascii="Times New Roman" w:eastAsia="宋体" w:hAnsi="Times New Roman" w:cs="Times New Roman"/>
                <w:szCs w:val="24"/>
              </w:rPr>
            </w:pPr>
            <w:r w:rsidRPr="0065230C">
              <w:rPr>
                <w:rFonts w:ascii="Times New Roman" w:eastAsia="宋体" w:hAnsi="Times New Roman" w:cs="Times New Roman" w:hint="eastAsia"/>
                <w:sz w:val="24"/>
                <w:szCs w:val="24"/>
              </w:rPr>
              <w:t>6</w:t>
            </w:r>
            <w:r w:rsidRPr="0065230C">
              <w:rPr>
                <w:rFonts w:ascii="Times New Roman" w:eastAsia="宋体" w:hAnsi="Times New Roman" w:cs="Times New Roman"/>
                <w:sz w:val="24"/>
                <w:szCs w:val="24"/>
              </w:rPr>
              <w:t>0</w:t>
            </w:r>
          </w:p>
        </w:tc>
      </w:tr>
      <w:tr w:rsidR="0065230C" w:rsidRPr="0065230C" w14:paraId="4DF5F8D8" w14:textId="77777777" w:rsidTr="00C96426">
        <w:tc>
          <w:tcPr>
            <w:tcW w:w="1975" w:type="dxa"/>
            <w:tcBorders>
              <w:top w:val="single" w:sz="4" w:space="0" w:color="auto"/>
              <w:left w:val="single" w:sz="4" w:space="0" w:color="auto"/>
              <w:bottom w:val="single" w:sz="4" w:space="0" w:color="auto"/>
              <w:right w:val="single" w:sz="4" w:space="0" w:color="auto"/>
            </w:tcBorders>
            <w:vAlign w:val="center"/>
          </w:tcPr>
          <w:p w14:paraId="25148FEF" w14:textId="77777777" w:rsidR="0065230C" w:rsidRPr="0065230C" w:rsidRDefault="0065230C" w:rsidP="0065230C">
            <w:pPr>
              <w:spacing w:line="440" w:lineRule="exact"/>
              <w:jc w:val="center"/>
              <w:rPr>
                <w:rFonts w:ascii="Times New Roman" w:eastAsia="宋体" w:hAnsi="Times New Roman" w:cs="Times New Roman"/>
                <w:szCs w:val="24"/>
              </w:rPr>
            </w:pPr>
            <w:r w:rsidRPr="0065230C">
              <w:rPr>
                <w:rFonts w:ascii="Times New Roman" w:eastAsia="宋体" w:hAnsi="Times New Roman" w:cs="Times New Roman"/>
                <w:sz w:val="24"/>
                <w:szCs w:val="24"/>
              </w:rPr>
              <w:t>课程目标</w:t>
            </w:r>
            <w:r w:rsidRPr="0065230C">
              <w:rPr>
                <w:rFonts w:ascii="Times New Roman" w:eastAsia="宋体" w:hAnsi="Times New Roman" w:cs="Times New Roman"/>
                <w:sz w:val="24"/>
                <w:szCs w:val="24"/>
              </w:rPr>
              <w:t>3</w:t>
            </w:r>
          </w:p>
        </w:tc>
        <w:tc>
          <w:tcPr>
            <w:tcW w:w="1710" w:type="dxa"/>
            <w:tcBorders>
              <w:top w:val="single" w:sz="4" w:space="0" w:color="auto"/>
              <w:left w:val="single" w:sz="4" w:space="0" w:color="auto"/>
              <w:bottom w:val="single" w:sz="4" w:space="0" w:color="auto"/>
              <w:right w:val="single" w:sz="4" w:space="0" w:color="auto"/>
            </w:tcBorders>
            <w:vAlign w:val="center"/>
          </w:tcPr>
          <w:p w14:paraId="20E27A00" w14:textId="77777777" w:rsidR="0065230C" w:rsidRPr="0065230C" w:rsidRDefault="0065230C" w:rsidP="0065230C">
            <w:pPr>
              <w:spacing w:line="440" w:lineRule="exact"/>
              <w:jc w:val="center"/>
              <w:rPr>
                <w:rFonts w:ascii="Times New Roman" w:eastAsia="宋体" w:hAnsi="Times New Roman" w:cs="Times New Roman"/>
                <w:szCs w:val="24"/>
              </w:rPr>
            </w:pPr>
            <w:r w:rsidRPr="0065230C">
              <w:rPr>
                <w:rFonts w:ascii="Times New Roman" w:eastAsia="宋体" w:hAnsi="Times New Roman" w:cs="Times New Roman" w:hint="eastAsia"/>
                <w:sz w:val="24"/>
                <w:szCs w:val="24"/>
              </w:rPr>
              <w:t>5</w:t>
            </w:r>
          </w:p>
        </w:tc>
        <w:tc>
          <w:tcPr>
            <w:tcW w:w="1620" w:type="dxa"/>
            <w:tcBorders>
              <w:top w:val="single" w:sz="4" w:space="0" w:color="auto"/>
              <w:left w:val="single" w:sz="4" w:space="0" w:color="auto"/>
              <w:bottom w:val="single" w:sz="4" w:space="0" w:color="auto"/>
              <w:right w:val="single" w:sz="4" w:space="0" w:color="auto"/>
            </w:tcBorders>
            <w:vAlign w:val="center"/>
          </w:tcPr>
          <w:p w14:paraId="2B6F11FE" w14:textId="77777777" w:rsidR="0065230C" w:rsidRPr="0065230C" w:rsidRDefault="0065230C" w:rsidP="0065230C">
            <w:pPr>
              <w:spacing w:line="440" w:lineRule="exact"/>
              <w:jc w:val="center"/>
              <w:rPr>
                <w:rFonts w:ascii="Times New Roman" w:eastAsia="宋体" w:hAnsi="Times New Roman" w:cs="Times New Roman"/>
                <w:szCs w:val="24"/>
              </w:rPr>
            </w:pPr>
            <w:r w:rsidRPr="0065230C">
              <w:rPr>
                <w:rFonts w:ascii="Times New Roman" w:eastAsia="宋体" w:hAnsi="Times New Roman" w:cs="Times New Roman"/>
                <w:sz w:val="24"/>
                <w:szCs w:val="24"/>
              </w:rPr>
              <w:t>1</w:t>
            </w:r>
            <w:r w:rsidRPr="0065230C">
              <w:rPr>
                <w:rFonts w:ascii="Times New Roman" w:eastAsia="宋体" w:hAnsi="Times New Roman" w:cs="Times New Roman" w:hint="eastAsia"/>
                <w:sz w:val="24"/>
                <w:szCs w:val="24"/>
              </w:rPr>
              <w:t>5</w:t>
            </w:r>
          </w:p>
        </w:tc>
        <w:tc>
          <w:tcPr>
            <w:tcW w:w="1620" w:type="dxa"/>
            <w:tcBorders>
              <w:top w:val="single" w:sz="4" w:space="0" w:color="auto"/>
              <w:left w:val="single" w:sz="4" w:space="0" w:color="auto"/>
              <w:bottom w:val="single" w:sz="4" w:space="0" w:color="auto"/>
              <w:right w:val="single" w:sz="4" w:space="0" w:color="auto"/>
            </w:tcBorders>
            <w:vAlign w:val="center"/>
          </w:tcPr>
          <w:p w14:paraId="5F11F565" w14:textId="77777777" w:rsidR="0065230C" w:rsidRPr="0065230C" w:rsidRDefault="0065230C" w:rsidP="0065230C">
            <w:pPr>
              <w:spacing w:line="440" w:lineRule="exact"/>
              <w:jc w:val="center"/>
              <w:rPr>
                <w:rFonts w:ascii="Times New Roman" w:eastAsia="宋体" w:hAnsi="Times New Roman" w:cs="Times New Roman"/>
                <w:szCs w:val="24"/>
              </w:rPr>
            </w:pPr>
            <w:r w:rsidRPr="0065230C">
              <w:rPr>
                <w:rFonts w:ascii="Times New Roman" w:eastAsia="宋体" w:hAnsi="Times New Roman" w:cs="Times New Roman" w:hint="eastAsia"/>
                <w:sz w:val="24"/>
                <w:szCs w:val="24"/>
              </w:rPr>
              <w:t>2</w:t>
            </w:r>
            <w:r w:rsidRPr="0065230C">
              <w:rPr>
                <w:rFonts w:ascii="Times New Roman" w:eastAsia="宋体" w:hAnsi="Times New Roman" w:cs="Times New Roman"/>
                <w:sz w:val="24"/>
                <w:szCs w:val="24"/>
              </w:rPr>
              <w:t>0</w:t>
            </w:r>
          </w:p>
        </w:tc>
        <w:tc>
          <w:tcPr>
            <w:tcW w:w="1260" w:type="dxa"/>
            <w:tcBorders>
              <w:top w:val="single" w:sz="4" w:space="0" w:color="auto"/>
              <w:left w:val="single" w:sz="4" w:space="0" w:color="auto"/>
              <w:bottom w:val="single" w:sz="4" w:space="0" w:color="auto"/>
              <w:right w:val="single" w:sz="4" w:space="0" w:color="auto"/>
            </w:tcBorders>
            <w:vAlign w:val="center"/>
          </w:tcPr>
          <w:p w14:paraId="4EFFFF67" w14:textId="77777777" w:rsidR="0065230C" w:rsidRPr="0065230C" w:rsidRDefault="0065230C" w:rsidP="0065230C">
            <w:pPr>
              <w:spacing w:line="440" w:lineRule="exact"/>
              <w:jc w:val="center"/>
              <w:rPr>
                <w:rFonts w:ascii="Times New Roman" w:eastAsia="宋体" w:hAnsi="Times New Roman" w:cs="Times New Roman"/>
                <w:szCs w:val="24"/>
              </w:rPr>
            </w:pPr>
            <w:r w:rsidRPr="0065230C">
              <w:rPr>
                <w:rFonts w:ascii="Times New Roman" w:eastAsia="宋体" w:hAnsi="Times New Roman" w:cs="Times New Roman" w:hint="eastAsia"/>
                <w:sz w:val="24"/>
                <w:szCs w:val="24"/>
              </w:rPr>
              <w:t>4</w:t>
            </w:r>
            <w:r w:rsidRPr="0065230C">
              <w:rPr>
                <w:rFonts w:ascii="Times New Roman" w:eastAsia="宋体" w:hAnsi="Times New Roman" w:cs="Times New Roman"/>
                <w:sz w:val="24"/>
                <w:szCs w:val="24"/>
              </w:rPr>
              <w:t>0</w:t>
            </w:r>
          </w:p>
        </w:tc>
      </w:tr>
      <w:tr w:rsidR="0065230C" w:rsidRPr="0065230C" w14:paraId="380124EB" w14:textId="77777777" w:rsidTr="00C96426">
        <w:tc>
          <w:tcPr>
            <w:tcW w:w="1975" w:type="dxa"/>
            <w:tcBorders>
              <w:top w:val="single" w:sz="4" w:space="0" w:color="auto"/>
              <w:left w:val="single" w:sz="4" w:space="0" w:color="auto"/>
              <w:bottom w:val="single" w:sz="4" w:space="0" w:color="auto"/>
              <w:right w:val="single" w:sz="4" w:space="0" w:color="auto"/>
            </w:tcBorders>
            <w:vAlign w:val="center"/>
          </w:tcPr>
          <w:p w14:paraId="70585BEB" w14:textId="77777777" w:rsidR="0065230C" w:rsidRPr="0065230C" w:rsidRDefault="0065230C" w:rsidP="0065230C">
            <w:pPr>
              <w:spacing w:line="440" w:lineRule="exact"/>
              <w:jc w:val="center"/>
              <w:rPr>
                <w:rFonts w:ascii="Times New Roman" w:eastAsia="宋体" w:hAnsi="Times New Roman" w:cs="Times New Roman"/>
                <w:szCs w:val="24"/>
              </w:rPr>
            </w:pPr>
            <w:r w:rsidRPr="0065230C">
              <w:rPr>
                <w:rFonts w:ascii="Times New Roman" w:eastAsia="宋体" w:hAnsi="Times New Roman" w:cs="Times New Roman"/>
                <w:sz w:val="24"/>
                <w:szCs w:val="24"/>
              </w:rPr>
              <w:t>合计</w:t>
            </w:r>
          </w:p>
        </w:tc>
        <w:tc>
          <w:tcPr>
            <w:tcW w:w="1710" w:type="dxa"/>
            <w:tcBorders>
              <w:top w:val="single" w:sz="4" w:space="0" w:color="auto"/>
              <w:left w:val="single" w:sz="4" w:space="0" w:color="auto"/>
              <w:bottom w:val="single" w:sz="4" w:space="0" w:color="auto"/>
              <w:right w:val="single" w:sz="4" w:space="0" w:color="auto"/>
            </w:tcBorders>
            <w:vAlign w:val="center"/>
          </w:tcPr>
          <w:p w14:paraId="08CB4454" w14:textId="77777777" w:rsidR="0065230C" w:rsidRPr="0065230C" w:rsidRDefault="0065230C" w:rsidP="0065230C">
            <w:pPr>
              <w:spacing w:line="440" w:lineRule="exact"/>
              <w:jc w:val="center"/>
              <w:rPr>
                <w:rFonts w:ascii="Times New Roman" w:eastAsia="宋体" w:hAnsi="Times New Roman" w:cs="Times New Roman"/>
                <w:szCs w:val="24"/>
              </w:rPr>
            </w:pPr>
            <w:r w:rsidRPr="0065230C">
              <w:rPr>
                <w:rFonts w:ascii="Times New Roman" w:eastAsia="宋体" w:hAnsi="Times New Roman" w:cs="Times New Roman" w:hint="eastAsia"/>
                <w:sz w:val="24"/>
                <w:szCs w:val="24"/>
              </w:rPr>
              <w:t>1</w:t>
            </w:r>
            <w:r w:rsidRPr="0065230C">
              <w:rPr>
                <w:rFonts w:ascii="Times New Roman" w:eastAsia="宋体" w:hAnsi="Times New Roman" w:cs="Times New Roman"/>
                <w:sz w:val="24"/>
                <w:szCs w:val="24"/>
              </w:rPr>
              <w:t>0</w:t>
            </w:r>
          </w:p>
        </w:tc>
        <w:tc>
          <w:tcPr>
            <w:tcW w:w="1620" w:type="dxa"/>
            <w:tcBorders>
              <w:top w:val="single" w:sz="4" w:space="0" w:color="auto"/>
              <w:left w:val="single" w:sz="4" w:space="0" w:color="auto"/>
              <w:bottom w:val="single" w:sz="4" w:space="0" w:color="auto"/>
              <w:right w:val="single" w:sz="4" w:space="0" w:color="auto"/>
            </w:tcBorders>
            <w:vAlign w:val="center"/>
          </w:tcPr>
          <w:p w14:paraId="79090B07" w14:textId="77777777" w:rsidR="0065230C" w:rsidRPr="0065230C" w:rsidRDefault="0065230C" w:rsidP="0065230C">
            <w:pPr>
              <w:spacing w:line="440" w:lineRule="exact"/>
              <w:jc w:val="center"/>
              <w:rPr>
                <w:rFonts w:ascii="Times New Roman" w:eastAsia="宋体" w:hAnsi="Times New Roman" w:cs="Times New Roman"/>
                <w:szCs w:val="24"/>
              </w:rPr>
            </w:pPr>
            <w:r w:rsidRPr="0065230C">
              <w:rPr>
                <w:rFonts w:ascii="Times New Roman" w:eastAsia="宋体" w:hAnsi="Times New Roman" w:cs="Times New Roman" w:hint="eastAsia"/>
                <w:sz w:val="24"/>
                <w:szCs w:val="24"/>
              </w:rPr>
              <w:t>3</w:t>
            </w:r>
            <w:r w:rsidRPr="0065230C">
              <w:rPr>
                <w:rFonts w:ascii="Times New Roman" w:eastAsia="宋体" w:hAnsi="Times New Roman" w:cs="Times New Roman"/>
                <w:sz w:val="24"/>
                <w:szCs w:val="24"/>
              </w:rPr>
              <w:t>0</w:t>
            </w:r>
          </w:p>
        </w:tc>
        <w:tc>
          <w:tcPr>
            <w:tcW w:w="1620" w:type="dxa"/>
            <w:tcBorders>
              <w:top w:val="single" w:sz="4" w:space="0" w:color="auto"/>
              <w:left w:val="single" w:sz="4" w:space="0" w:color="auto"/>
              <w:bottom w:val="single" w:sz="4" w:space="0" w:color="auto"/>
              <w:right w:val="single" w:sz="4" w:space="0" w:color="auto"/>
            </w:tcBorders>
            <w:vAlign w:val="center"/>
          </w:tcPr>
          <w:p w14:paraId="6AF8F471" w14:textId="77777777" w:rsidR="0065230C" w:rsidRPr="0065230C" w:rsidRDefault="0065230C" w:rsidP="0065230C">
            <w:pPr>
              <w:spacing w:line="440" w:lineRule="exact"/>
              <w:jc w:val="center"/>
              <w:rPr>
                <w:rFonts w:ascii="Times New Roman" w:eastAsia="宋体" w:hAnsi="Times New Roman" w:cs="Times New Roman"/>
                <w:szCs w:val="24"/>
              </w:rPr>
            </w:pPr>
            <w:r w:rsidRPr="0065230C">
              <w:rPr>
                <w:rFonts w:ascii="Times New Roman" w:eastAsia="宋体" w:hAnsi="Times New Roman" w:cs="Times New Roman"/>
                <w:sz w:val="24"/>
                <w:szCs w:val="24"/>
              </w:rPr>
              <w:t>60</w:t>
            </w:r>
          </w:p>
        </w:tc>
        <w:tc>
          <w:tcPr>
            <w:tcW w:w="1260" w:type="dxa"/>
            <w:tcBorders>
              <w:top w:val="single" w:sz="4" w:space="0" w:color="auto"/>
              <w:left w:val="single" w:sz="4" w:space="0" w:color="auto"/>
              <w:bottom w:val="single" w:sz="4" w:space="0" w:color="auto"/>
              <w:right w:val="single" w:sz="4" w:space="0" w:color="auto"/>
            </w:tcBorders>
            <w:vAlign w:val="center"/>
          </w:tcPr>
          <w:p w14:paraId="6BC67847" w14:textId="77777777" w:rsidR="0065230C" w:rsidRPr="0065230C" w:rsidRDefault="0065230C" w:rsidP="0065230C">
            <w:pPr>
              <w:spacing w:line="440" w:lineRule="exact"/>
              <w:jc w:val="center"/>
              <w:rPr>
                <w:rFonts w:ascii="Times New Roman" w:eastAsia="宋体" w:hAnsi="Times New Roman" w:cs="Times New Roman"/>
                <w:szCs w:val="24"/>
              </w:rPr>
            </w:pPr>
            <w:r w:rsidRPr="0065230C">
              <w:rPr>
                <w:rFonts w:ascii="Times New Roman" w:eastAsia="宋体" w:hAnsi="Times New Roman" w:cs="Times New Roman"/>
                <w:sz w:val="24"/>
                <w:szCs w:val="24"/>
              </w:rPr>
              <w:t>100</w:t>
            </w:r>
          </w:p>
        </w:tc>
      </w:tr>
    </w:tbl>
    <w:p w14:paraId="1EF21F38" w14:textId="77777777" w:rsidR="0065230C" w:rsidRPr="0065230C" w:rsidRDefault="0065230C" w:rsidP="0065230C">
      <w:pPr>
        <w:spacing w:beforeLines="50" w:before="156" w:afterLines="50" w:after="156" w:line="440" w:lineRule="exact"/>
        <w:ind w:firstLineChars="200" w:firstLine="560"/>
        <w:rPr>
          <w:rFonts w:ascii="Times New Roman" w:eastAsia="黑体" w:hAnsi="Times New Roman" w:cs="Times New Roman"/>
          <w:sz w:val="28"/>
          <w:szCs w:val="28"/>
        </w:rPr>
      </w:pPr>
      <w:r w:rsidRPr="0065230C">
        <w:rPr>
          <w:rFonts w:ascii="Times New Roman" w:eastAsia="黑体" w:hAnsi="Times New Roman" w:cs="Times New Roman"/>
          <w:sz w:val="28"/>
          <w:szCs w:val="28"/>
        </w:rPr>
        <w:t>五、成绩评定</w:t>
      </w:r>
    </w:p>
    <w:p w14:paraId="49A464A3" w14:textId="77777777" w:rsidR="0065230C" w:rsidRPr="0065230C" w:rsidRDefault="0065230C" w:rsidP="0065230C">
      <w:pPr>
        <w:spacing w:beforeLines="50" w:before="156" w:afterLines="50" w:after="156" w:line="440" w:lineRule="exact"/>
        <w:ind w:firstLineChars="200" w:firstLine="560"/>
        <w:rPr>
          <w:rFonts w:ascii="Times New Roman" w:eastAsia="黑体" w:hAnsi="Times New Roman" w:cs="Times New Roman"/>
          <w:sz w:val="28"/>
          <w:szCs w:val="28"/>
        </w:rPr>
      </w:pPr>
      <w:r w:rsidRPr="0065230C">
        <w:rPr>
          <w:rFonts w:ascii="Times New Roman" w:eastAsia="黑体" w:hAnsi="Times New Roman" w:cs="Times New Roman"/>
          <w:sz w:val="28"/>
          <w:szCs w:val="28"/>
        </w:rPr>
        <w:t>（一）总成绩评定</w:t>
      </w:r>
    </w:p>
    <w:p w14:paraId="42B58B05" w14:textId="77777777" w:rsidR="0065230C" w:rsidRPr="0065230C" w:rsidRDefault="0065230C" w:rsidP="0065230C">
      <w:pPr>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总成绩</w:t>
      </w:r>
      <w:r w:rsidRPr="0065230C">
        <w:rPr>
          <w:rFonts w:ascii="Times New Roman" w:eastAsia="宋体" w:hAnsi="Times New Roman" w:cs="Times New Roman"/>
          <w:sz w:val="24"/>
          <w:szCs w:val="24"/>
        </w:rPr>
        <w:t>=</w:t>
      </w:r>
      <w:r w:rsidRPr="0065230C">
        <w:rPr>
          <w:rFonts w:ascii="Times New Roman" w:eastAsia="宋体" w:hAnsi="Times New Roman" w:cs="Times New Roman"/>
          <w:sz w:val="24"/>
          <w:szCs w:val="24"/>
        </w:rPr>
        <w:t>平时成绩</w:t>
      </w:r>
      <w:r w:rsidRPr="0065230C">
        <w:rPr>
          <w:rFonts w:ascii="Times New Roman" w:eastAsia="宋体" w:hAnsi="Times New Roman" w:cs="Times New Roman"/>
          <w:sz w:val="24"/>
          <w:szCs w:val="24"/>
        </w:rPr>
        <w:t>×40%+</w:t>
      </w:r>
      <w:r w:rsidRPr="0065230C">
        <w:rPr>
          <w:rFonts w:ascii="Times New Roman" w:eastAsia="宋体" w:hAnsi="Times New Roman" w:cs="Times New Roman"/>
          <w:sz w:val="24"/>
          <w:szCs w:val="24"/>
        </w:rPr>
        <w:t>期末随堂测验成绩</w:t>
      </w:r>
      <w:r w:rsidRPr="0065230C">
        <w:rPr>
          <w:rFonts w:ascii="Times New Roman" w:eastAsia="宋体" w:hAnsi="Times New Roman" w:cs="Times New Roman"/>
          <w:sz w:val="24"/>
          <w:szCs w:val="24"/>
        </w:rPr>
        <w:t>×60%</w:t>
      </w:r>
    </w:p>
    <w:p w14:paraId="49A3156F" w14:textId="77777777" w:rsidR="0065230C" w:rsidRPr="0065230C" w:rsidRDefault="0065230C" w:rsidP="0065230C">
      <w:pPr>
        <w:spacing w:beforeLines="50" w:before="156" w:afterLines="50" w:after="156" w:line="440" w:lineRule="exact"/>
        <w:ind w:firstLineChars="200" w:firstLine="560"/>
        <w:rPr>
          <w:rFonts w:ascii="Times New Roman" w:eastAsia="宋体" w:hAnsi="Times New Roman" w:cs="Times New Roman"/>
          <w:sz w:val="24"/>
          <w:szCs w:val="24"/>
        </w:rPr>
      </w:pPr>
      <w:r w:rsidRPr="0065230C">
        <w:rPr>
          <w:rFonts w:ascii="Times New Roman" w:eastAsia="黑体" w:hAnsi="Times New Roman" w:cs="Times New Roman"/>
          <w:sz w:val="28"/>
          <w:szCs w:val="28"/>
        </w:rPr>
        <w:lastRenderedPageBreak/>
        <w:t>（二）平时成绩评定</w:t>
      </w:r>
    </w:p>
    <w:p w14:paraId="107A1C44" w14:textId="77777777" w:rsidR="0065230C" w:rsidRPr="0065230C" w:rsidRDefault="0065230C" w:rsidP="0065230C">
      <w:pPr>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平时成绩（</w:t>
      </w:r>
      <w:r w:rsidRPr="0065230C">
        <w:rPr>
          <w:rFonts w:ascii="Times New Roman" w:eastAsia="宋体" w:hAnsi="Times New Roman" w:cs="Times New Roman" w:hint="eastAsia"/>
          <w:sz w:val="24"/>
          <w:szCs w:val="24"/>
        </w:rPr>
        <w:t>10</w:t>
      </w:r>
      <w:r w:rsidRPr="0065230C">
        <w:rPr>
          <w:rFonts w:ascii="Times New Roman" w:eastAsia="宋体" w:hAnsi="Times New Roman" w:cs="Times New Roman"/>
          <w:sz w:val="24"/>
          <w:szCs w:val="24"/>
        </w:rPr>
        <w:t>0%</w:t>
      </w:r>
      <w:r w:rsidRPr="0065230C">
        <w:rPr>
          <w:rFonts w:ascii="Times New Roman" w:eastAsia="宋体" w:hAnsi="Times New Roman" w:cs="Times New Roman"/>
          <w:sz w:val="24"/>
          <w:szCs w:val="24"/>
        </w:rPr>
        <w:t>）</w:t>
      </w:r>
      <w:r w:rsidRPr="0065230C">
        <w:rPr>
          <w:rFonts w:ascii="Times New Roman" w:eastAsia="宋体" w:hAnsi="Times New Roman" w:cs="Times New Roman"/>
          <w:sz w:val="24"/>
          <w:szCs w:val="24"/>
        </w:rPr>
        <w:t>=</w:t>
      </w:r>
      <w:r w:rsidRPr="0065230C">
        <w:rPr>
          <w:rFonts w:ascii="Times New Roman" w:eastAsia="宋体" w:hAnsi="Times New Roman" w:cs="Times New Roman"/>
          <w:sz w:val="24"/>
          <w:szCs w:val="24"/>
        </w:rPr>
        <w:t>课堂表现</w:t>
      </w:r>
      <w:r w:rsidR="00C148ED">
        <w:rPr>
          <w:rFonts w:ascii="Times New Roman" w:eastAsia="宋体" w:hAnsi="Times New Roman" w:cs="Times New Roman" w:hint="eastAsia"/>
          <w:sz w:val="24"/>
          <w:szCs w:val="24"/>
        </w:rPr>
        <w:t>25</w:t>
      </w:r>
      <w:r w:rsidRPr="0065230C">
        <w:rPr>
          <w:rFonts w:ascii="Times New Roman" w:eastAsia="宋体" w:hAnsi="Times New Roman" w:cs="Times New Roman"/>
          <w:sz w:val="24"/>
          <w:szCs w:val="24"/>
        </w:rPr>
        <w:t>%+</w:t>
      </w:r>
      <w:r w:rsidRPr="0065230C">
        <w:rPr>
          <w:rFonts w:ascii="Times New Roman" w:eastAsia="宋体" w:hAnsi="Times New Roman" w:cs="Times New Roman" w:hint="eastAsia"/>
          <w:sz w:val="24"/>
          <w:szCs w:val="24"/>
        </w:rPr>
        <w:t>课后</w:t>
      </w:r>
      <w:r w:rsidRPr="0065230C">
        <w:rPr>
          <w:rFonts w:ascii="Times New Roman" w:eastAsia="宋体" w:hAnsi="Times New Roman" w:cs="Times New Roman"/>
          <w:sz w:val="24"/>
          <w:szCs w:val="24"/>
        </w:rPr>
        <w:t>作业</w:t>
      </w:r>
      <w:r w:rsidR="00C148ED">
        <w:rPr>
          <w:rFonts w:ascii="Times New Roman" w:eastAsia="宋体" w:hAnsi="Times New Roman" w:cs="Times New Roman" w:hint="eastAsia"/>
          <w:sz w:val="24"/>
          <w:szCs w:val="24"/>
        </w:rPr>
        <w:t>75</w:t>
      </w:r>
      <w:r w:rsidRPr="0065230C">
        <w:rPr>
          <w:rFonts w:ascii="Times New Roman" w:eastAsia="宋体" w:hAnsi="Times New Roman" w:cs="Times New Roman"/>
          <w:sz w:val="24"/>
          <w:szCs w:val="24"/>
        </w:rPr>
        <w:t>%</w:t>
      </w:r>
    </w:p>
    <w:p w14:paraId="379B277B" w14:textId="77777777" w:rsidR="0065230C" w:rsidRPr="0065230C" w:rsidRDefault="0065230C" w:rsidP="0065230C">
      <w:pPr>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w:t>
      </w:r>
      <w:r w:rsidRPr="0065230C">
        <w:rPr>
          <w:rFonts w:ascii="Times New Roman" w:eastAsia="宋体" w:hAnsi="Times New Roman" w:cs="Times New Roman" w:hint="eastAsia"/>
          <w:sz w:val="24"/>
          <w:szCs w:val="24"/>
        </w:rPr>
        <w:t>1</w:t>
      </w:r>
      <w:r w:rsidRPr="0065230C">
        <w:rPr>
          <w:rFonts w:ascii="Times New Roman" w:eastAsia="宋体" w:hAnsi="Times New Roman" w:cs="Times New Roman"/>
          <w:sz w:val="24"/>
          <w:szCs w:val="24"/>
        </w:rPr>
        <w:t>）课堂表现：通过学生在课堂上的表现情况、发言与提问情况，来评价学生相关的能力</w:t>
      </w:r>
      <w:r w:rsidRPr="0065230C">
        <w:rPr>
          <w:rFonts w:ascii="Times New Roman" w:eastAsia="宋体" w:hAnsi="Times New Roman" w:cs="Times New Roman" w:hint="eastAsia"/>
          <w:sz w:val="24"/>
          <w:szCs w:val="24"/>
        </w:rPr>
        <w:t>和</w:t>
      </w:r>
      <w:r w:rsidRPr="0065230C">
        <w:rPr>
          <w:rFonts w:ascii="Times New Roman" w:eastAsia="宋体" w:hAnsi="Times New Roman" w:cs="Times New Roman"/>
          <w:sz w:val="24"/>
          <w:szCs w:val="24"/>
        </w:rPr>
        <w:t>学生的学习态度与积极性；</w:t>
      </w:r>
    </w:p>
    <w:p w14:paraId="56467E29" w14:textId="77777777" w:rsidR="0065230C" w:rsidRPr="0065230C" w:rsidRDefault="0065230C" w:rsidP="0065230C">
      <w:pPr>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w:t>
      </w:r>
      <w:r w:rsidRPr="0065230C">
        <w:rPr>
          <w:rFonts w:ascii="Times New Roman" w:eastAsia="宋体" w:hAnsi="Times New Roman" w:cs="Times New Roman" w:hint="eastAsia"/>
          <w:sz w:val="24"/>
          <w:szCs w:val="24"/>
        </w:rPr>
        <w:t>2</w:t>
      </w:r>
      <w:r w:rsidRPr="0065230C">
        <w:rPr>
          <w:rFonts w:ascii="Times New Roman" w:eastAsia="宋体" w:hAnsi="Times New Roman" w:cs="Times New Roman"/>
          <w:sz w:val="24"/>
          <w:szCs w:val="24"/>
        </w:rPr>
        <w:t>）</w:t>
      </w:r>
      <w:r w:rsidRPr="0065230C">
        <w:rPr>
          <w:rFonts w:ascii="Times New Roman" w:eastAsia="宋体" w:hAnsi="Times New Roman" w:cs="Times New Roman" w:hint="eastAsia"/>
          <w:sz w:val="24"/>
          <w:szCs w:val="24"/>
        </w:rPr>
        <w:t>课后</w:t>
      </w:r>
      <w:r w:rsidRPr="0065230C">
        <w:rPr>
          <w:rFonts w:ascii="Times New Roman" w:eastAsia="宋体" w:hAnsi="Times New Roman" w:cs="Times New Roman"/>
          <w:sz w:val="24"/>
          <w:szCs w:val="24"/>
        </w:rPr>
        <w:t>作业完成情况：围绕课程的学习目标进行作业的设计。如让学生简述对知识的认识，考核学生对于概念的理解情况，帮助学生将定义转化为自己的理解；</w:t>
      </w:r>
    </w:p>
    <w:p w14:paraId="6962DAFC" w14:textId="77777777" w:rsidR="0065230C" w:rsidRPr="0065230C" w:rsidRDefault="0065230C" w:rsidP="0065230C">
      <w:pPr>
        <w:spacing w:beforeLines="50" w:before="156" w:afterLines="50" w:after="156" w:line="440" w:lineRule="exact"/>
        <w:ind w:firstLineChars="200" w:firstLine="560"/>
        <w:rPr>
          <w:rFonts w:ascii="Times New Roman" w:eastAsia="黑体" w:hAnsi="Times New Roman" w:cs="Times New Roman"/>
          <w:sz w:val="28"/>
          <w:szCs w:val="28"/>
        </w:rPr>
      </w:pPr>
      <w:r w:rsidRPr="0065230C">
        <w:rPr>
          <w:rFonts w:ascii="Times New Roman" w:eastAsia="黑体" w:hAnsi="Times New Roman" w:cs="Times New Roman"/>
          <w:sz w:val="28"/>
          <w:szCs w:val="28"/>
        </w:rPr>
        <w:t>（三）期末随堂测验成绩评定</w:t>
      </w:r>
    </w:p>
    <w:p w14:paraId="1077EB90" w14:textId="77777777" w:rsidR="0065230C" w:rsidRPr="0065230C" w:rsidRDefault="0065230C" w:rsidP="0065230C">
      <w:pPr>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期末考核主要考察学生对色谱分析法的基本原理与方法有系统全面的了解</w:t>
      </w:r>
      <w:r w:rsidRPr="0065230C">
        <w:rPr>
          <w:rFonts w:ascii="Times New Roman" w:eastAsia="宋体" w:hAnsi="Times New Roman" w:cs="Times New Roman" w:hint="eastAsia"/>
          <w:sz w:val="24"/>
          <w:szCs w:val="24"/>
        </w:rPr>
        <w:t>，考试</w:t>
      </w:r>
      <w:r w:rsidRPr="0065230C">
        <w:rPr>
          <w:rFonts w:ascii="Times New Roman" w:eastAsia="宋体" w:hAnsi="Times New Roman" w:cs="Times New Roman"/>
          <w:sz w:val="24"/>
          <w:szCs w:val="24"/>
        </w:rPr>
        <w:t>方式为</w:t>
      </w:r>
      <w:r w:rsidRPr="0065230C">
        <w:rPr>
          <w:rFonts w:ascii="Times New Roman" w:eastAsia="宋体" w:hAnsi="Times New Roman" w:cs="Times New Roman" w:hint="eastAsia"/>
          <w:sz w:val="24"/>
          <w:szCs w:val="24"/>
        </w:rPr>
        <w:t>闭</w:t>
      </w:r>
      <w:r w:rsidRPr="0065230C">
        <w:rPr>
          <w:rFonts w:ascii="Times New Roman" w:eastAsia="宋体" w:hAnsi="Times New Roman" w:cs="Times New Roman"/>
          <w:sz w:val="24"/>
          <w:szCs w:val="24"/>
        </w:rPr>
        <w:t>卷。要求学生初步具有应用此类方法解决相关问题的能力，</w:t>
      </w:r>
      <w:r w:rsidRPr="0065230C">
        <w:rPr>
          <w:rFonts w:ascii="Times New Roman" w:eastAsia="宋体" w:hAnsi="Times New Roman" w:cs="Times New Roman" w:hint="eastAsia"/>
          <w:sz w:val="24"/>
          <w:szCs w:val="24"/>
        </w:rPr>
        <w:t>能为今后实验开展选择设计检测方案，</w:t>
      </w:r>
      <w:r w:rsidRPr="0065230C">
        <w:rPr>
          <w:rFonts w:ascii="Times New Roman" w:eastAsia="宋体" w:hAnsi="Times New Roman" w:cs="Times New Roman"/>
          <w:sz w:val="24"/>
          <w:szCs w:val="24"/>
        </w:rPr>
        <w:t>并对色谱分析法的发展趋势有初步的了解。</w:t>
      </w:r>
    </w:p>
    <w:p w14:paraId="6394AA02" w14:textId="77777777" w:rsidR="0065230C" w:rsidRPr="0065230C" w:rsidRDefault="0065230C" w:rsidP="0065230C">
      <w:pPr>
        <w:spacing w:beforeLines="50" w:before="156" w:afterLines="50" w:after="156" w:line="440" w:lineRule="exact"/>
        <w:ind w:firstLineChars="200" w:firstLine="560"/>
        <w:rPr>
          <w:rFonts w:ascii="Times New Roman" w:eastAsia="黑体" w:hAnsi="Times New Roman" w:cs="Times New Roman"/>
          <w:sz w:val="28"/>
          <w:szCs w:val="28"/>
        </w:rPr>
      </w:pPr>
      <w:r w:rsidRPr="0065230C">
        <w:rPr>
          <w:rFonts w:ascii="Times New Roman" w:eastAsia="黑体" w:hAnsi="Times New Roman" w:cs="Times New Roman"/>
          <w:sz w:val="28"/>
          <w:szCs w:val="28"/>
        </w:rPr>
        <w:t>六、使用教材、相关推荐书目及课程资源</w:t>
      </w:r>
    </w:p>
    <w:p w14:paraId="594AFF7E" w14:textId="77777777" w:rsidR="0065230C" w:rsidRPr="0065230C" w:rsidRDefault="0065230C" w:rsidP="0065230C">
      <w:pPr>
        <w:spacing w:beforeLines="50" w:before="156" w:afterLines="50" w:after="156" w:line="440" w:lineRule="exact"/>
        <w:ind w:firstLineChars="200" w:firstLine="560"/>
        <w:rPr>
          <w:rFonts w:ascii="Times New Roman" w:eastAsia="黑体" w:hAnsi="Times New Roman" w:cs="Times New Roman"/>
          <w:sz w:val="28"/>
          <w:szCs w:val="28"/>
        </w:rPr>
      </w:pPr>
      <w:r w:rsidRPr="0065230C">
        <w:rPr>
          <w:rFonts w:ascii="Times New Roman" w:eastAsia="黑体" w:hAnsi="Times New Roman" w:cs="Times New Roman"/>
          <w:sz w:val="28"/>
          <w:szCs w:val="28"/>
        </w:rPr>
        <w:t>（一）使用教材</w:t>
      </w:r>
    </w:p>
    <w:p w14:paraId="2D386CC6" w14:textId="77777777" w:rsidR="0065230C" w:rsidRPr="0065230C" w:rsidRDefault="0065230C" w:rsidP="0065230C">
      <w:pPr>
        <w:spacing w:line="440" w:lineRule="exact"/>
        <w:ind w:firstLineChars="200" w:firstLine="480"/>
        <w:rPr>
          <w:rFonts w:ascii="宋体" w:eastAsia="宋体" w:hAnsi="宋体" w:cs="Times New Roman"/>
          <w:sz w:val="24"/>
          <w:szCs w:val="24"/>
        </w:rPr>
      </w:pPr>
      <w:r w:rsidRPr="0065230C">
        <w:rPr>
          <w:rFonts w:ascii="宋体" w:eastAsia="宋体" w:hAnsi="宋体" w:cs="Times New Roman"/>
          <w:sz w:val="24"/>
          <w:szCs w:val="24"/>
        </w:rPr>
        <w:t>丁黎主编：药物色谱分析，人民卫生出版社，2013年版。</w:t>
      </w:r>
    </w:p>
    <w:p w14:paraId="68B1C643" w14:textId="77777777" w:rsidR="0065230C" w:rsidRPr="0065230C" w:rsidRDefault="0065230C" w:rsidP="0065230C">
      <w:pPr>
        <w:spacing w:beforeLines="50" w:before="156" w:afterLines="50" w:after="156" w:line="440" w:lineRule="exact"/>
        <w:ind w:firstLineChars="200" w:firstLine="560"/>
        <w:rPr>
          <w:rFonts w:ascii="Times New Roman" w:eastAsia="黑体" w:hAnsi="Times New Roman" w:cs="Times New Roman"/>
          <w:sz w:val="28"/>
          <w:szCs w:val="28"/>
        </w:rPr>
      </w:pPr>
      <w:r w:rsidRPr="0065230C">
        <w:rPr>
          <w:rFonts w:ascii="Times New Roman" w:eastAsia="黑体" w:hAnsi="Times New Roman" w:cs="Times New Roman"/>
          <w:sz w:val="28"/>
          <w:szCs w:val="28"/>
        </w:rPr>
        <w:t>（二）相关推荐书目</w:t>
      </w:r>
    </w:p>
    <w:p w14:paraId="070FEC7C" w14:textId="77777777" w:rsidR="0065230C" w:rsidRPr="0065230C" w:rsidRDefault="0065230C" w:rsidP="0065230C">
      <w:pPr>
        <w:spacing w:line="440" w:lineRule="exact"/>
        <w:ind w:firstLineChars="200" w:firstLine="480"/>
        <w:rPr>
          <w:rFonts w:ascii="宋体" w:eastAsia="宋体" w:hAnsi="宋体" w:cs="Times New Roman"/>
          <w:sz w:val="24"/>
          <w:szCs w:val="24"/>
        </w:rPr>
      </w:pPr>
      <w:r w:rsidRPr="0065230C">
        <w:rPr>
          <w:rFonts w:ascii="Times New Roman" w:eastAsia="新宋体" w:hAnsi="Times New Roman" w:cs="Times New Roman"/>
          <w:sz w:val="24"/>
          <w:szCs w:val="24"/>
        </w:rPr>
        <w:t>1.</w:t>
      </w:r>
      <w:proofErr w:type="gramStart"/>
      <w:r w:rsidRPr="0065230C">
        <w:rPr>
          <w:rFonts w:ascii="宋体" w:eastAsia="宋体" w:hAnsi="宋体" w:cs="Times New Roman"/>
          <w:sz w:val="24"/>
          <w:szCs w:val="24"/>
        </w:rPr>
        <w:t>傅若农</w:t>
      </w:r>
      <w:proofErr w:type="gramEnd"/>
      <w:r w:rsidRPr="0065230C">
        <w:rPr>
          <w:rFonts w:ascii="宋体" w:eastAsia="宋体" w:hAnsi="宋体" w:cs="Times New Roman"/>
          <w:sz w:val="24"/>
          <w:szCs w:val="24"/>
        </w:rPr>
        <w:t>主编：色谱分析概论，化学工业出版社，2005年版；</w:t>
      </w:r>
    </w:p>
    <w:p w14:paraId="08EFF2FE" w14:textId="77777777" w:rsidR="0065230C" w:rsidRPr="0065230C" w:rsidRDefault="0065230C" w:rsidP="0065230C">
      <w:pPr>
        <w:spacing w:line="440" w:lineRule="exact"/>
        <w:ind w:firstLineChars="200" w:firstLine="480"/>
        <w:rPr>
          <w:rFonts w:ascii="宋体" w:eastAsia="宋体" w:hAnsi="宋体" w:cs="Times New Roman"/>
          <w:sz w:val="24"/>
          <w:szCs w:val="24"/>
        </w:rPr>
      </w:pPr>
      <w:r w:rsidRPr="0065230C">
        <w:rPr>
          <w:rFonts w:ascii="宋体" w:eastAsia="宋体" w:hAnsi="宋体" w:cs="Times New Roman"/>
          <w:sz w:val="24"/>
          <w:szCs w:val="24"/>
        </w:rPr>
        <w:t>2.孙毓庆主编：现代色谱法及其在药物分析中的应用，科学出版社，2005年版；</w:t>
      </w:r>
    </w:p>
    <w:p w14:paraId="7849B89C" w14:textId="77777777" w:rsidR="0065230C" w:rsidRPr="0065230C" w:rsidRDefault="0065230C" w:rsidP="0065230C">
      <w:pPr>
        <w:spacing w:line="440" w:lineRule="exact"/>
        <w:ind w:firstLineChars="200" w:firstLine="480"/>
        <w:rPr>
          <w:rFonts w:ascii="宋体" w:eastAsia="宋体" w:hAnsi="宋体" w:cs="Times New Roman"/>
          <w:sz w:val="24"/>
          <w:szCs w:val="24"/>
        </w:rPr>
      </w:pPr>
      <w:r w:rsidRPr="0065230C">
        <w:rPr>
          <w:rFonts w:ascii="宋体" w:eastAsia="宋体" w:hAnsi="宋体" w:cs="Times New Roman"/>
          <w:sz w:val="24"/>
          <w:szCs w:val="24"/>
        </w:rPr>
        <w:t>3.于</w:t>
      </w:r>
      <w:proofErr w:type="gramStart"/>
      <w:r w:rsidRPr="0065230C">
        <w:rPr>
          <w:rFonts w:ascii="宋体" w:eastAsia="宋体" w:hAnsi="宋体" w:cs="Times New Roman"/>
          <w:sz w:val="24"/>
          <w:szCs w:val="24"/>
        </w:rPr>
        <w:t>世</w:t>
      </w:r>
      <w:proofErr w:type="gramEnd"/>
      <w:r w:rsidRPr="0065230C">
        <w:rPr>
          <w:rFonts w:ascii="宋体" w:eastAsia="宋体" w:hAnsi="宋体" w:cs="Times New Roman"/>
          <w:sz w:val="24"/>
          <w:szCs w:val="24"/>
        </w:rPr>
        <w:t>林主编：高效液相色谱方法及应用（第二版），化学工业出版社，2004年版；</w:t>
      </w:r>
    </w:p>
    <w:p w14:paraId="3F3C3DAC" w14:textId="77777777" w:rsidR="0065230C" w:rsidRPr="0065230C" w:rsidRDefault="0065230C" w:rsidP="0065230C">
      <w:pPr>
        <w:spacing w:line="440" w:lineRule="exact"/>
        <w:ind w:firstLineChars="200" w:firstLine="480"/>
        <w:rPr>
          <w:rFonts w:ascii="宋体" w:eastAsia="宋体" w:hAnsi="宋体" w:cs="Times New Roman"/>
          <w:sz w:val="24"/>
          <w:szCs w:val="24"/>
        </w:rPr>
      </w:pPr>
      <w:r w:rsidRPr="0065230C">
        <w:rPr>
          <w:rFonts w:ascii="宋体" w:eastAsia="宋体" w:hAnsi="宋体" w:cs="Times New Roman"/>
          <w:sz w:val="24"/>
          <w:szCs w:val="24"/>
        </w:rPr>
        <w:t>4.刘虎威主编：气相色谱方法及应用（第二版），化学工业出版社，2004年版；</w:t>
      </w:r>
    </w:p>
    <w:p w14:paraId="0516B2D9" w14:textId="77777777" w:rsidR="0065230C" w:rsidRPr="0065230C" w:rsidRDefault="0065230C" w:rsidP="0065230C">
      <w:pPr>
        <w:spacing w:line="440" w:lineRule="exact"/>
        <w:ind w:firstLineChars="200" w:firstLine="480"/>
        <w:rPr>
          <w:rFonts w:ascii="宋体" w:eastAsia="宋体" w:hAnsi="宋体" w:cs="Times New Roman"/>
          <w:sz w:val="24"/>
          <w:szCs w:val="24"/>
        </w:rPr>
      </w:pPr>
      <w:r w:rsidRPr="0065230C">
        <w:rPr>
          <w:rFonts w:ascii="宋体" w:eastAsia="宋体" w:hAnsi="宋体" w:cs="Times New Roman"/>
          <w:sz w:val="24"/>
          <w:szCs w:val="24"/>
        </w:rPr>
        <w:t>5.</w:t>
      </w:r>
      <w:proofErr w:type="gramStart"/>
      <w:r w:rsidRPr="0065230C">
        <w:rPr>
          <w:rFonts w:ascii="宋体" w:eastAsia="宋体" w:hAnsi="宋体" w:cs="Times New Roman"/>
          <w:sz w:val="24"/>
          <w:szCs w:val="24"/>
        </w:rPr>
        <w:t>杭太俊</w:t>
      </w:r>
      <w:proofErr w:type="gramEnd"/>
      <w:r w:rsidRPr="0065230C">
        <w:rPr>
          <w:rFonts w:ascii="宋体" w:eastAsia="宋体" w:hAnsi="宋体" w:cs="Times New Roman"/>
          <w:sz w:val="24"/>
          <w:szCs w:val="24"/>
        </w:rPr>
        <w:t>主编：药物分析（第8版），人民卫生出版社，2012年版。</w:t>
      </w:r>
    </w:p>
    <w:p w14:paraId="52D7ED9F" w14:textId="77777777" w:rsidR="0065230C" w:rsidRPr="0065230C" w:rsidRDefault="0065230C" w:rsidP="0065230C">
      <w:pPr>
        <w:spacing w:beforeLines="50" w:before="156" w:afterLines="50" w:after="156" w:line="440" w:lineRule="exact"/>
        <w:ind w:firstLineChars="200" w:firstLine="560"/>
        <w:rPr>
          <w:rFonts w:ascii="Times New Roman" w:eastAsia="黑体" w:hAnsi="Times New Roman" w:cs="Times New Roman"/>
          <w:sz w:val="28"/>
          <w:szCs w:val="28"/>
        </w:rPr>
      </w:pPr>
      <w:r w:rsidRPr="0065230C">
        <w:rPr>
          <w:rFonts w:ascii="Times New Roman" w:eastAsia="黑体" w:hAnsi="Times New Roman" w:cs="Times New Roman"/>
          <w:sz w:val="28"/>
          <w:szCs w:val="28"/>
        </w:rPr>
        <w:t>七、课程大纲制定依据</w:t>
      </w:r>
    </w:p>
    <w:p w14:paraId="40C3CED8" w14:textId="77777777" w:rsidR="0065230C" w:rsidRPr="0065230C" w:rsidRDefault="0065230C" w:rsidP="0065230C">
      <w:pPr>
        <w:spacing w:line="440" w:lineRule="exact"/>
        <w:ind w:firstLineChars="200" w:firstLine="480"/>
        <w:rPr>
          <w:rFonts w:ascii="Times New Roman" w:eastAsia="宋体" w:hAnsi="Times New Roman" w:cs="Times New Roman"/>
          <w:sz w:val="24"/>
          <w:szCs w:val="24"/>
        </w:rPr>
      </w:pPr>
      <w:r w:rsidRPr="0065230C">
        <w:rPr>
          <w:rFonts w:ascii="Times New Roman" w:eastAsia="宋体" w:hAnsi="Times New Roman" w:cs="Times New Roman"/>
          <w:sz w:val="24"/>
          <w:szCs w:val="24"/>
        </w:rPr>
        <w:t>本课程大纲依据</w:t>
      </w:r>
      <w:r w:rsidRPr="0065230C">
        <w:rPr>
          <w:rFonts w:ascii="Times New Roman" w:eastAsia="宋体" w:hAnsi="Times New Roman" w:cs="Times New Roman"/>
          <w:sz w:val="24"/>
          <w:szCs w:val="24"/>
        </w:rPr>
        <w:t>202</w:t>
      </w:r>
      <w:r w:rsidRPr="0065230C">
        <w:rPr>
          <w:rFonts w:ascii="Times New Roman" w:eastAsia="宋体" w:hAnsi="Times New Roman" w:cs="Times New Roman" w:hint="eastAsia"/>
          <w:sz w:val="24"/>
          <w:szCs w:val="24"/>
        </w:rPr>
        <w:t>3</w:t>
      </w:r>
      <w:r w:rsidRPr="0065230C">
        <w:rPr>
          <w:rFonts w:ascii="Times New Roman" w:eastAsia="宋体" w:hAnsi="Times New Roman" w:cs="Times New Roman"/>
          <w:sz w:val="24"/>
          <w:szCs w:val="24"/>
        </w:rPr>
        <w:t>年</w:t>
      </w:r>
      <w:r w:rsidRPr="0065230C">
        <w:rPr>
          <w:rFonts w:ascii="Times New Roman" w:eastAsia="宋体" w:hAnsi="Times New Roman" w:cs="Times New Roman" w:hint="eastAsia"/>
          <w:sz w:val="24"/>
          <w:szCs w:val="24"/>
        </w:rPr>
        <w:t>药物分析</w:t>
      </w:r>
      <w:r w:rsidRPr="0065230C">
        <w:rPr>
          <w:rFonts w:ascii="Times New Roman" w:eastAsia="宋体" w:hAnsi="Times New Roman" w:cs="Times New Roman"/>
          <w:sz w:val="24"/>
          <w:szCs w:val="24"/>
        </w:rPr>
        <w:t>专业人才培养方案制定。</w:t>
      </w:r>
    </w:p>
    <w:p w14:paraId="32E30564" w14:textId="77777777" w:rsidR="0065230C" w:rsidRPr="0065230C" w:rsidRDefault="0065230C" w:rsidP="0065230C">
      <w:pPr>
        <w:spacing w:beforeLines="50" w:before="156" w:afterLines="50" w:after="156" w:line="440" w:lineRule="exact"/>
        <w:ind w:firstLineChars="200" w:firstLine="560"/>
        <w:rPr>
          <w:rFonts w:ascii="Times New Roman" w:eastAsia="黑体" w:hAnsi="Times New Roman" w:cs="Times New Roman"/>
          <w:sz w:val="28"/>
          <w:szCs w:val="28"/>
        </w:rPr>
      </w:pPr>
    </w:p>
    <w:p w14:paraId="4A52ADC3" w14:textId="77777777" w:rsidR="0065230C" w:rsidRPr="0065230C" w:rsidRDefault="0065230C" w:rsidP="0065230C">
      <w:pPr>
        <w:spacing w:line="440" w:lineRule="exact"/>
        <w:rPr>
          <w:rFonts w:ascii="Calibri" w:eastAsia="黑体" w:hAnsi="Calibri" w:cs="Times New Roman"/>
          <w:bCs/>
          <w:kern w:val="44"/>
          <w:sz w:val="36"/>
          <w:szCs w:val="44"/>
        </w:rPr>
      </w:pPr>
    </w:p>
    <w:p w14:paraId="60E0E2E9" w14:textId="77777777" w:rsidR="00D31397" w:rsidRDefault="00D31397" w:rsidP="0085474C">
      <w:pPr>
        <w:spacing w:line="440" w:lineRule="exact"/>
        <w:ind w:firstLineChars="200" w:firstLine="480"/>
        <w:rPr>
          <w:rFonts w:ascii="宋体" w:eastAsia="宋体" w:hAnsi="宋体" w:cs="Times New Roman"/>
          <w:sz w:val="24"/>
          <w:szCs w:val="24"/>
        </w:rPr>
      </w:pPr>
    </w:p>
    <w:p w14:paraId="2E6DF304" w14:textId="77777777" w:rsidR="0085474C" w:rsidRDefault="0085474C" w:rsidP="0085474C">
      <w:pPr>
        <w:spacing w:line="440" w:lineRule="exact"/>
        <w:ind w:firstLineChars="200" w:firstLine="480"/>
        <w:rPr>
          <w:rFonts w:ascii="宋体" w:eastAsia="宋体" w:hAnsi="宋体" w:cs="Times New Roman"/>
          <w:sz w:val="24"/>
          <w:szCs w:val="24"/>
        </w:rPr>
      </w:pPr>
    </w:p>
    <w:p w14:paraId="4B10A948" w14:textId="77777777" w:rsidR="0085474C" w:rsidRDefault="0085474C" w:rsidP="0085474C">
      <w:pPr>
        <w:spacing w:line="440" w:lineRule="exact"/>
        <w:ind w:firstLineChars="200" w:firstLine="480"/>
        <w:rPr>
          <w:rFonts w:ascii="宋体" w:eastAsia="宋体" w:hAnsi="宋体" w:cs="Times New Roman"/>
          <w:sz w:val="24"/>
          <w:szCs w:val="24"/>
        </w:rPr>
      </w:pPr>
    </w:p>
    <w:p w14:paraId="593B1E46" w14:textId="77777777" w:rsidR="000E4776" w:rsidRPr="000E4776" w:rsidRDefault="000E4776" w:rsidP="000E4776">
      <w:pPr>
        <w:keepNext/>
        <w:keepLines/>
        <w:spacing w:before="340" w:after="330" w:line="578" w:lineRule="auto"/>
        <w:jc w:val="center"/>
        <w:outlineLvl w:val="0"/>
        <w:rPr>
          <w:rFonts w:ascii="Times New Roman" w:eastAsia="黑体" w:hAnsi="Times New Roman" w:cs="Times New Roman"/>
          <w:bCs/>
          <w:kern w:val="44"/>
          <w:sz w:val="36"/>
          <w:szCs w:val="44"/>
        </w:rPr>
      </w:pPr>
      <w:bookmarkStart w:id="226" w:name="_Toc149662369"/>
      <w:r w:rsidRPr="000E4776">
        <w:rPr>
          <w:rFonts w:ascii="Times New Roman" w:eastAsia="黑体" w:hAnsi="Times New Roman" w:cs="Times New Roman"/>
          <w:bCs/>
          <w:kern w:val="44"/>
          <w:sz w:val="36"/>
          <w:szCs w:val="44"/>
        </w:rPr>
        <w:lastRenderedPageBreak/>
        <w:t>《药物</w:t>
      </w:r>
      <w:r w:rsidRPr="000E4776">
        <w:rPr>
          <w:rFonts w:ascii="Times New Roman" w:eastAsia="黑体" w:hAnsi="Times New Roman" w:cs="Times New Roman" w:hint="eastAsia"/>
          <w:bCs/>
          <w:kern w:val="44"/>
          <w:sz w:val="36"/>
          <w:szCs w:val="44"/>
        </w:rPr>
        <w:t>光</w:t>
      </w:r>
      <w:r w:rsidRPr="000E4776">
        <w:rPr>
          <w:rFonts w:ascii="Times New Roman" w:eastAsia="黑体" w:hAnsi="Times New Roman" w:cs="Times New Roman"/>
          <w:bCs/>
          <w:kern w:val="44"/>
          <w:sz w:val="36"/>
          <w:szCs w:val="44"/>
        </w:rPr>
        <w:t>谱分析》课程大纲</w:t>
      </w:r>
      <w:bookmarkEnd w:id="226"/>
    </w:p>
    <w:p w14:paraId="7A9D2F73" w14:textId="77777777" w:rsidR="00D72FD2" w:rsidRPr="00D72FD2" w:rsidRDefault="00D72FD2" w:rsidP="00D72FD2">
      <w:pPr>
        <w:spacing w:beforeLines="50" w:before="156" w:afterLines="50" w:after="156" w:line="440" w:lineRule="exact"/>
        <w:ind w:firstLineChars="200" w:firstLine="560"/>
        <w:rPr>
          <w:rFonts w:ascii="Times New Roman" w:eastAsia="黑体" w:hAnsi="Times New Roman" w:cs="Times New Roman"/>
          <w:sz w:val="28"/>
          <w:szCs w:val="28"/>
        </w:rPr>
      </w:pPr>
      <w:bookmarkStart w:id="227" w:name="_Toc51933815"/>
      <w:bookmarkStart w:id="228" w:name="_Toc149662370"/>
      <w:r w:rsidRPr="00D72FD2">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833"/>
        <w:gridCol w:w="1561"/>
        <w:gridCol w:w="2941"/>
      </w:tblGrid>
      <w:tr w:rsidR="00D72FD2" w:rsidRPr="00D72FD2" w14:paraId="7EE387DF" w14:textId="77777777" w:rsidTr="006B1C7F">
        <w:trPr>
          <w:trHeight w:val="886"/>
          <w:jc w:val="center"/>
        </w:trPr>
        <w:tc>
          <w:tcPr>
            <w:tcW w:w="1668" w:type="dxa"/>
            <w:vAlign w:val="center"/>
          </w:tcPr>
          <w:p w14:paraId="7B325100"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课程名称</w:t>
            </w:r>
          </w:p>
        </w:tc>
        <w:tc>
          <w:tcPr>
            <w:tcW w:w="2833" w:type="dxa"/>
            <w:vAlign w:val="center"/>
          </w:tcPr>
          <w:p w14:paraId="545A6183"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hint="eastAsia"/>
                <w:sz w:val="24"/>
                <w:szCs w:val="24"/>
              </w:rPr>
              <w:t>药物光谱分析</w:t>
            </w:r>
          </w:p>
        </w:tc>
        <w:tc>
          <w:tcPr>
            <w:tcW w:w="1561" w:type="dxa"/>
            <w:vAlign w:val="center"/>
          </w:tcPr>
          <w:p w14:paraId="2A5BC9D0"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课程代码</w:t>
            </w:r>
          </w:p>
        </w:tc>
        <w:tc>
          <w:tcPr>
            <w:tcW w:w="2941" w:type="dxa"/>
            <w:vAlign w:val="center"/>
          </w:tcPr>
          <w:p w14:paraId="1E5A07A2"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新课</w:t>
            </w:r>
          </w:p>
        </w:tc>
      </w:tr>
      <w:tr w:rsidR="00D72FD2" w:rsidRPr="00D72FD2" w14:paraId="7D1122E6" w14:textId="77777777" w:rsidTr="006B1C7F">
        <w:trPr>
          <w:trHeight w:val="829"/>
          <w:jc w:val="center"/>
        </w:trPr>
        <w:tc>
          <w:tcPr>
            <w:tcW w:w="1668" w:type="dxa"/>
            <w:vAlign w:val="center"/>
          </w:tcPr>
          <w:p w14:paraId="79E074CA"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课程类别</w:t>
            </w:r>
          </w:p>
        </w:tc>
        <w:tc>
          <w:tcPr>
            <w:tcW w:w="2833" w:type="dxa"/>
            <w:vAlign w:val="center"/>
          </w:tcPr>
          <w:p w14:paraId="32ED501C" w14:textId="77777777" w:rsidR="00D72FD2" w:rsidRPr="00D72FD2" w:rsidRDefault="00D72FD2" w:rsidP="00D72FD2">
            <w:pPr>
              <w:spacing w:line="440" w:lineRule="exact"/>
              <w:jc w:val="center"/>
              <w:rPr>
                <w:rFonts w:ascii="Times New Roman" w:eastAsia="宋体" w:hAnsi="Times New Roman" w:cs="Times New Roman" w:hint="eastAsia"/>
                <w:sz w:val="24"/>
                <w:szCs w:val="24"/>
              </w:rPr>
            </w:pPr>
            <w:r w:rsidRPr="00D72FD2">
              <w:rPr>
                <w:rFonts w:ascii="Times New Roman" w:eastAsia="宋体" w:hAnsi="Times New Roman" w:cs="Times New Roman" w:hint="eastAsia"/>
                <w:sz w:val="24"/>
                <w:szCs w:val="24"/>
              </w:rPr>
              <w:t>专业教育核心课程</w:t>
            </w:r>
          </w:p>
        </w:tc>
        <w:tc>
          <w:tcPr>
            <w:tcW w:w="1561" w:type="dxa"/>
            <w:vAlign w:val="center"/>
          </w:tcPr>
          <w:p w14:paraId="55271D35"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学时</w:t>
            </w:r>
          </w:p>
          <w:p w14:paraId="58986EB1"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w:t>
            </w:r>
            <w:r w:rsidRPr="00D72FD2">
              <w:rPr>
                <w:rFonts w:ascii="Times New Roman" w:eastAsia="宋体" w:hAnsi="Times New Roman" w:cs="Times New Roman"/>
                <w:sz w:val="24"/>
                <w:szCs w:val="24"/>
              </w:rPr>
              <w:t>学分</w:t>
            </w:r>
          </w:p>
        </w:tc>
        <w:tc>
          <w:tcPr>
            <w:tcW w:w="2941" w:type="dxa"/>
            <w:vAlign w:val="center"/>
          </w:tcPr>
          <w:p w14:paraId="6ADB607A"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16</w:t>
            </w:r>
            <w:r w:rsidRPr="00D72FD2">
              <w:rPr>
                <w:rFonts w:ascii="Times New Roman" w:eastAsia="宋体" w:hAnsi="Times New Roman" w:cs="Times New Roman"/>
                <w:sz w:val="24"/>
                <w:szCs w:val="24"/>
              </w:rPr>
              <w:t>学时</w:t>
            </w:r>
            <w:r w:rsidRPr="00D72FD2">
              <w:rPr>
                <w:rFonts w:ascii="Times New Roman" w:eastAsia="宋体" w:hAnsi="Times New Roman" w:cs="Times New Roman"/>
                <w:sz w:val="24"/>
                <w:szCs w:val="24"/>
              </w:rPr>
              <w:t>/1</w:t>
            </w:r>
            <w:r w:rsidRPr="00D72FD2">
              <w:rPr>
                <w:rFonts w:ascii="Times New Roman" w:eastAsia="宋体" w:hAnsi="Times New Roman" w:cs="Times New Roman"/>
                <w:sz w:val="24"/>
                <w:szCs w:val="24"/>
              </w:rPr>
              <w:t>学分</w:t>
            </w:r>
          </w:p>
        </w:tc>
      </w:tr>
      <w:tr w:rsidR="00D72FD2" w:rsidRPr="00D72FD2" w14:paraId="1E6B9748" w14:textId="77777777" w:rsidTr="006B1C7F">
        <w:trPr>
          <w:trHeight w:val="811"/>
          <w:jc w:val="center"/>
        </w:trPr>
        <w:tc>
          <w:tcPr>
            <w:tcW w:w="1668" w:type="dxa"/>
            <w:vAlign w:val="center"/>
          </w:tcPr>
          <w:p w14:paraId="1574D80E"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开课单位</w:t>
            </w:r>
          </w:p>
        </w:tc>
        <w:tc>
          <w:tcPr>
            <w:tcW w:w="2833" w:type="dxa"/>
            <w:vAlign w:val="center"/>
          </w:tcPr>
          <w:p w14:paraId="3E91465C"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化工学院</w:t>
            </w:r>
          </w:p>
        </w:tc>
        <w:tc>
          <w:tcPr>
            <w:tcW w:w="1561" w:type="dxa"/>
            <w:vAlign w:val="center"/>
          </w:tcPr>
          <w:p w14:paraId="664516E1"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适用专业</w:t>
            </w:r>
          </w:p>
        </w:tc>
        <w:tc>
          <w:tcPr>
            <w:tcW w:w="2941" w:type="dxa"/>
            <w:vAlign w:val="center"/>
          </w:tcPr>
          <w:p w14:paraId="038B9F51" w14:textId="77777777" w:rsidR="00D72FD2" w:rsidRPr="00D72FD2" w:rsidRDefault="00D72FD2" w:rsidP="00D72FD2">
            <w:pPr>
              <w:spacing w:line="440" w:lineRule="exact"/>
              <w:jc w:val="center"/>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药物</w:t>
            </w:r>
            <w:r w:rsidRPr="00D72FD2">
              <w:rPr>
                <w:rFonts w:ascii="Times New Roman" w:eastAsia="宋体" w:hAnsi="Times New Roman" w:cs="Times New Roman" w:hint="eastAsia"/>
                <w:sz w:val="24"/>
                <w:szCs w:val="24"/>
              </w:rPr>
              <w:t>分析</w:t>
            </w:r>
          </w:p>
        </w:tc>
      </w:tr>
      <w:tr w:rsidR="00D72FD2" w:rsidRPr="00D72FD2" w14:paraId="3879BE04" w14:textId="77777777" w:rsidTr="006B1C7F">
        <w:trPr>
          <w:trHeight w:val="811"/>
          <w:jc w:val="center"/>
        </w:trPr>
        <w:tc>
          <w:tcPr>
            <w:tcW w:w="1668" w:type="dxa"/>
            <w:vAlign w:val="center"/>
          </w:tcPr>
          <w:p w14:paraId="2097691E"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课程负责人</w:t>
            </w:r>
          </w:p>
        </w:tc>
        <w:tc>
          <w:tcPr>
            <w:tcW w:w="7335" w:type="dxa"/>
            <w:gridSpan w:val="3"/>
            <w:vAlign w:val="center"/>
          </w:tcPr>
          <w:p w14:paraId="6BA87412"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hint="eastAsia"/>
                <w:sz w:val="24"/>
                <w:szCs w:val="24"/>
              </w:rPr>
              <w:t>李丽</w:t>
            </w:r>
            <w:proofErr w:type="gramStart"/>
            <w:r w:rsidRPr="00D72FD2">
              <w:rPr>
                <w:rFonts w:ascii="Times New Roman" w:eastAsia="宋体" w:hAnsi="Times New Roman" w:cs="Times New Roman" w:hint="eastAsia"/>
                <w:sz w:val="24"/>
                <w:szCs w:val="24"/>
              </w:rPr>
              <w:t>丽</w:t>
            </w:r>
            <w:proofErr w:type="gramEnd"/>
          </w:p>
        </w:tc>
      </w:tr>
      <w:tr w:rsidR="00D72FD2" w:rsidRPr="00D72FD2" w14:paraId="05CDE327" w14:textId="77777777" w:rsidTr="006B1C7F">
        <w:trPr>
          <w:trHeight w:val="836"/>
          <w:jc w:val="center"/>
        </w:trPr>
        <w:tc>
          <w:tcPr>
            <w:tcW w:w="1668" w:type="dxa"/>
            <w:vAlign w:val="center"/>
          </w:tcPr>
          <w:p w14:paraId="317B7373"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大纲撰写人</w:t>
            </w:r>
          </w:p>
        </w:tc>
        <w:tc>
          <w:tcPr>
            <w:tcW w:w="2833" w:type="dxa"/>
            <w:vAlign w:val="center"/>
          </w:tcPr>
          <w:p w14:paraId="6808CE01" w14:textId="77777777" w:rsidR="00D72FD2" w:rsidRPr="00D72FD2" w:rsidRDefault="00D72FD2" w:rsidP="00D72FD2">
            <w:pPr>
              <w:spacing w:line="440" w:lineRule="exact"/>
              <w:ind w:firstLineChars="500" w:firstLine="1200"/>
              <w:rPr>
                <w:rFonts w:ascii="Times New Roman" w:eastAsia="宋体" w:hAnsi="Times New Roman" w:cs="Times New Roman" w:hint="eastAsia"/>
                <w:sz w:val="24"/>
                <w:szCs w:val="24"/>
              </w:rPr>
            </w:pPr>
            <w:r w:rsidRPr="00D72FD2">
              <w:rPr>
                <w:rFonts w:ascii="Times New Roman" w:eastAsia="宋体" w:hAnsi="Times New Roman" w:cs="Times New Roman" w:hint="eastAsia"/>
                <w:sz w:val="24"/>
                <w:szCs w:val="24"/>
              </w:rPr>
              <w:t>李丽</w:t>
            </w:r>
            <w:proofErr w:type="gramStart"/>
            <w:r w:rsidRPr="00D72FD2">
              <w:rPr>
                <w:rFonts w:ascii="Times New Roman" w:eastAsia="宋体" w:hAnsi="Times New Roman" w:cs="Times New Roman" w:hint="eastAsia"/>
                <w:sz w:val="24"/>
                <w:szCs w:val="24"/>
              </w:rPr>
              <w:t>丽</w:t>
            </w:r>
            <w:proofErr w:type="gramEnd"/>
          </w:p>
        </w:tc>
        <w:tc>
          <w:tcPr>
            <w:tcW w:w="1561" w:type="dxa"/>
            <w:vAlign w:val="center"/>
          </w:tcPr>
          <w:p w14:paraId="34D3E44A"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大纲审核人</w:t>
            </w:r>
          </w:p>
        </w:tc>
        <w:tc>
          <w:tcPr>
            <w:tcW w:w="2941" w:type="dxa"/>
            <w:vAlign w:val="center"/>
          </w:tcPr>
          <w:p w14:paraId="3FE9C240" w14:textId="77777777" w:rsidR="00D72FD2" w:rsidRPr="00D72FD2" w:rsidRDefault="00D72FD2" w:rsidP="00D72FD2">
            <w:pPr>
              <w:spacing w:line="440" w:lineRule="exact"/>
              <w:jc w:val="center"/>
              <w:rPr>
                <w:rFonts w:ascii="Times New Roman" w:eastAsia="宋体" w:hAnsi="Times New Roman" w:cs="Times New Roman" w:hint="eastAsia"/>
                <w:sz w:val="24"/>
                <w:szCs w:val="24"/>
              </w:rPr>
            </w:pPr>
            <w:proofErr w:type="gramStart"/>
            <w:r w:rsidRPr="00D72FD2">
              <w:rPr>
                <w:rFonts w:ascii="Times New Roman" w:eastAsia="宋体" w:hAnsi="Times New Roman" w:cs="Times New Roman" w:hint="eastAsia"/>
                <w:sz w:val="24"/>
                <w:szCs w:val="24"/>
              </w:rPr>
              <w:t>冯</w:t>
            </w:r>
            <w:proofErr w:type="gramEnd"/>
            <w:r w:rsidRPr="00D72FD2">
              <w:rPr>
                <w:rFonts w:ascii="Times New Roman" w:eastAsia="宋体" w:hAnsi="Times New Roman" w:cs="Times New Roman" w:hint="eastAsia"/>
                <w:sz w:val="24"/>
                <w:szCs w:val="24"/>
              </w:rPr>
              <w:t>小龙</w:t>
            </w:r>
          </w:p>
        </w:tc>
      </w:tr>
      <w:tr w:rsidR="00D72FD2" w:rsidRPr="00D72FD2" w14:paraId="4D38958E" w14:textId="77777777" w:rsidTr="006B1C7F">
        <w:trPr>
          <w:trHeight w:val="848"/>
          <w:jc w:val="center"/>
        </w:trPr>
        <w:tc>
          <w:tcPr>
            <w:tcW w:w="1668" w:type="dxa"/>
            <w:vAlign w:val="center"/>
          </w:tcPr>
          <w:p w14:paraId="468FF0BC"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先修课程</w:t>
            </w:r>
          </w:p>
        </w:tc>
        <w:tc>
          <w:tcPr>
            <w:tcW w:w="7335" w:type="dxa"/>
            <w:gridSpan w:val="3"/>
            <w:vAlign w:val="center"/>
          </w:tcPr>
          <w:p w14:paraId="1B134486"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先修《仪器分析》、《药物化学》课程</w:t>
            </w:r>
          </w:p>
        </w:tc>
      </w:tr>
      <w:tr w:rsidR="00D72FD2" w:rsidRPr="00D72FD2" w14:paraId="0C4D1D1F" w14:textId="77777777" w:rsidTr="006B1C7F">
        <w:trPr>
          <w:trHeight w:val="848"/>
          <w:jc w:val="center"/>
        </w:trPr>
        <w:tc>
          <w:tcPr>
            <w:tcW w:w="1668" w:type="dxa"/>
            <w:vAlign w:val="center"/>
          </w:tcPr>
          <w:p w14:paraId="0ECE505D"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课程网址</w:t>
            </w:r>
          </w:p>
        </w:tc>
        <w:tc>
          <w:tcPr>
            <w:tcW w:w="7335" w:type="dxa"/>
            <w:gridSpan w:val="3"/>
            <w:vAlign w:val="center"/>
          </w:tcPr>
          <w:p w14:paraId="1BEDC938" w14:textId="77777777" w:rsidR="00D72FD2" w:rsidRPr="00D72FD2" w:rsidRDefault="00D72FD2" w:rsidP="00D72FD2">
            <w:pPr>
              <w:spacing w:line="440" w:lineRule="exact"/>
              <w:rPr>
                <w:rFonts w:ascii="Times New Roman" w:eastAsia="宋体" w:hAnsi="Times New Roman" w:cs="Times New Roman"/>
                <w:sz w:val="24"/>
                <w:szCs w:val="24"/>
              </w:rPr>
            </w:pPr>
          </w:p>
        </w:tc>
      </w:tr>
    </w:tbl>
    <w:p w14:paraId="0562F573" w14:textId="77777777" w:rsidR="00D72FD2" w:rsidRPr="00D72FD2" w:rsidRDefault="00D72FD2" w:rsidP="00D72FD2">
      <w:pPr>
        <w:spacing w:beforeLines="50" w:before="156" w:afterLines="50" w:after="156" w:line="440" w:lineRule="exact"/>
        <w:ind w:firstLineChars="200" w:firstLine="560"/>
        <w:rPr>
          <w:rFonts w:ascii="Times New Roman" w:eastAsia="黑体" w:hAnsi="Times New Roman" w:cs="Times New Roman"/>
          <w:sz w:val="28"/>
          <w:szCs w:val="28"/>
        </w:rPr>
      </w:pPr>
      <w:r w:rsidRPr="00D72FD2">
        <w:rPr>
          <w:rFonts w:ascii="Times New Roman" w:eastAsia="黑体" w:hAnsi="Times New Roman" w:cs="Times New Roman"/>
          <w:sz w:val="28"/>
          <w:szCs w:val="28"/>
        </w:rPr>
        <w:t>二、课程学习目标及与毕业要求的对应关系</w:t>
      </w:r>
    </w:p>
    <w:p w14:paraId="406EDF52" w14:textId="77777777" w:rsidR="00D72FD2" w:rsidRPr="00D72FD2" w:rsidRDefault="00D72FD2" w:rsidP="00D72FD2">
      <w:pPr>
        <w:spacing w:beforeLines="50" w:before="156" w:afterLines="50" w:after="156" w:line="440" w:lineRule="exact"/>
        <w:ind w:firstLineChars="200" w:firstLine="560"/>
        <w:rPr>
          <w:rFonts w:ascii="Times New Roman" w:eastAsia="黑体" w:hAnsi="Times New Roman" w:cs="Times New Roman"/>
          <w:sz w:val="28"/>
          <w:szCs w:val="28"/>
        </w:rPr>
      </w:pPr>
      <w:r w:rsidRPr="00D72FD2">
        <w:rPr>
          <w:rFonts w:ascii="Times New Roman" w:eastAsia="黑体" w:hAnsi="Times New Roman" w:cs="Times New Roman"/>
          <w:sz w:val="28"/>
          <w:szCs w:val="28"/>
        </w:rPr>
        <w:t>（一）课程学习目标</w:t>
      </w:r>
    </w:p>
    <w:p w14:paraId="787A1C82"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通过本课程的学习，使学生达到以下目标：</w:t>
      </w:r>
    </w:p>
    <w:p w14:paraId="7FA4B19E" w14:textId="77777777" w:rsidR="00D72FD2" w:rsidRPr="00D72FD2" w:rsidRDefault="00D72FD2" w:rsidP="00D72FD2">
      <w:pPr>
        <w:widowControl/>
        <w:spacing w:line="440" w:lineRule="exact"/>
        <w:ind w:firstLineChars="200" w:firstLine="480"/>
        <w:jc w:val="left"/>
        <w:rPr>
          <w:rFonts w:ascii="Helvetica" w:eastAsia="宋体" w:hAnsi="Helvetica" w:cs="Times New Roman"/>
          <w:b/>
          <w:bCs/>
          <w:color w:val="000000"/>
          <w:kern w:val="0"/>
          <w:sz w:val="24"/>
          <w:szCs w:val="24"/>
        </w:rPr>
      </w:pPr>
      <w:r w:rsidRPr="00D72FD2">
        <w:rPr>
          <w:rFonts w:ascii="Helvetica" w:eastAsia="宋体" w:hAnsi="Helvetica" w:cs="Times New Roman" w:hint="eastAsia"/>
          <w:color w:val="000000"/>
          <w:kern w:val="0"/>
          <w:sz w:val="24"/>
          <w:szCs w:val="24"/>
        </w:rPr>
        <w:t xml:space="preserve">1. </w:t>
      </w:r>
      <w:r w:rsidRPr="00D72FD2">
        <w:rPr>
          <w:rFonts w:ascii="Helvetica" w:eastAsia="宋体" w:hAnsi="Helvetica" w:cs="Times New Roman" w:hint="eastAsia"/>
          <w:color w:val="000000"/>
          <w:kern w:val="0"/>
          <w:sz w:val="24"/>
          <w:szCs w:val="24"/>
        </w:rPr>
        <w:t>掌握与药物分析学相关的基本理论与方法，掌握药物分析学各学科的基础知识、基本理论和实验技能，具备药物分析学相关方面的知识与能力。</w:t>
      </w:r>
      <w:r w:rsidRPr="00D72FD2">
        <w:rPr>
          <w:rFonts w:ascii="Helvetica" w:eastAsia="宋体" w:hAnsi="Helvetica" w:cs="Times New Roman"/>
          <w:b/>
          <w:bCs/>
          <w:color w:val="000000"/>
          <w:kern w:val="0"/>
          <w:sz w:val="24"/>
          <w:szCs w:val="24"/>
        </w:rPr>
        <w:t>【毕业要求</w:t>
      </w:r>
      <w:r w:rsidRPr="00D72FD2">
        <w:rPr>
          <w:rFonts w:ascii="Helvetica" w:eastAsia="宋体" w:hAnsi="Helvetica" w:cs="Times New Roman" w:hint="eastAsia"/>
          <w:b/>
          <w:bCs/>
          <w:color w:val="000000"/>
          <w:kern w:val="0"/>
          <w:sz w:val="24"/>
          <w:szCs w:val="24"/>
        </w:rPr>
        <w:t>1</w:t>
      </w:r>
      <w:r w:rsidRPr="00D72FD2">
        <w:rPr>
          <w:rFonts w:ascii="Helvetica" w:eastAsia="宋体" w:hAnsi="Helvetica" w:cs="Times New Roman" w:hint="eastAsia"/>
          <w:b/>
          <w:bCs/>
          <w:color w:val="000000"/>
          <w:kern w:val="0"/>
          <w:sz w:val="24"/>
          <w:szCs w:val="24"/>
        </w:rPr>
        <w:t>药学知识</w:t>
      </w:r>
      <w:r w:rsidRPr="00D72FD2">
        <w:rPr>
          <w:rFonts w:ascii="Helvetica" w:eastAsia="宋体" w:hAnsi="Helvetica" w:cs="Times New Roman"/>
          <w:b/>
          <w:bCs/>
          <w:color w:val="000000"/>
          <w:kern w:val="0"/>
          <w:sz w:val="24"/>
          <w:szCs w:val="24"/>
        </w:rPr>
        <w:t>】</w:t>
      </w:r>
    </w:p>
    <w:p w14:paraId="6C3EE71E" w14:textId="77777777" w:rsidR="00D72FD2" w:rsidRPr="00D72FD2" w:rsidRDefault="00D72FD2" w:rsidP="00D72FD2">
      <w:pPr>
        <w:widowControl/>
        <w:spacing w:line="440" w:lineRule="exact"/>
        <w:ind w:firstLineChars="200" w:firstLine="480"/>
        <w:jc w:val="left"/>
        <w:rPr>
          <w:rFonts w:ascii="Helvetica" w:eastAsia="宋体" w:hAnsi="Helvetica" w:cs="Times New Roman"/>
          <w:b/>
          <w:bCs/>
          <w:color w:val="000000"/>
          <w:kern w:val="0"/>
          <w:sz w:val="24"/>
          <w:szCs w:val="24"/>
        </w:rPr>
      </w:pPr>
      <w:r w:rsidRPr="00D72FD2">
        <w:rPr>
          <w:rFonts w:ascii="Helvetica" w:eastAsia="宋体" w:hAnsi="Helvetica" w:cs="Times New Roman"/>
          <w:color w:val="000000"/>
          <w:kern w:val="0"/>
          <w:sz w:val="24"/>
          <w:szCs w:val="24"/>
        </w:rPr>
        <w:t>2.</w:t>
      </w:r>
      <w:r w:rsidRPr="00D72FD2">
        <w:rPr>
          <w:rFonts w:ascii="Helvetica" w:eastAsia="宋体" w:hAnsi="Helvetica" w:cs="Times New Roman" w:hint="eastAsia"/>
          <w:color w:val="000000"/>
          <w:kern w:val="0"/>
          <w:sz w:val="24"/>
          <w:szCs w:val="24"/>
        </w:rPr>
        <w:t xml:space="preserve"> </w:t>
      </w:r>
      <w:r w:rsidRPr="00D72FD2">
        <w:rPr>
          <w:rFonts w:ascii="Helvetica" w:eastAsia="宋体" w:hAnsi="Helvetica" w:cs="Times New Roman" w:hint="eastAsia"/>
          <w:color w:val="000000"/>
          <w:kern w:val="0"/>
          <w:sz w:val="24"/>
          <w:szCs w:val="24"/>
        </w:rPr>
        <w:t>能够基于药物分析学基本理论并采用科学方法对药物分析</w:t>
      </w:r>
      <w:proofErr w:type="gramStart"/>
      <w:r w:rsidRPr="00D72FD2">
        <w:rPr>
          <w:rFonts w:ascii="Helvetica" w:eastAsia="宋体" w:hAnsi="Helvetica" w:cs="Times New Roman" w:hint="eastAsia"/>
          <w:color w:val="000000"/>
          <w:kern w:val="0"/>
          <w:sz w:val="24"/>
          <w:szCs w:val="24"/>
        </w:rPr>
        <w:t>学实际</w:t>
      </w:r>
      <w:proofErr w:type="gramEnd"/>
      <w:r w:rsidRPr="00D72FD2">
        <w:rPr>
          <w:rFonts w:ascii="Helvetica" w:eastAsia="宋体" w:hAnsi="Helvetica" w:cs="Times New Roman" w:hint="eastAsia"/>
          <w:color w:val="000000"/>
          <w:kern w:val="0"/>
          <w:sz w:val="24"/>
          <w:szCs w:val="24"/>
        </w:rPr>
        <w:t>问题进行研究，包括设计实验、分析与解释数据、并通过信息综合得到合理有效的结论</w:t>
      </w:r>
      <w:r w:rsidRPr="00D72FD2">
        <w:rPr>
          <w:rFonts w:ascii="Helvetica" w:eastAsia="宋体" w:hAnsi="Helvetica" w:cs="Times New Roman"/>
          <w:color w:val="000000"/>
          <w:kern w:val="0"/>
          <w:sz w:val="24"/>
          <w:szCs w:val="24"/>
        </w:rPr>
        <w:t>。</w:t>
      </w:r>
      <w:r w:rsidRPr="00D72FD2">
        <w:rPr>
          <w:rFonts w:ascii="Helvetica" w:eastAsia="宋体" w:hAnsi="Helvetica" w:cs="Times New Roman"/>
          <w:b/>
          <w:bCs/>
          <w:color w:val="000000"/>
          <w:kern w:val="0"/>
          <w:sz w:val="24"/>
          <w:szCs w:val="24"/>
        </w:rPr>
        <w:t>【毕业要求</w:t>
      </w:r>
      <w:r w:rsidRPr="00D72FD2">
        <w:rPr>
          <w:rFonts w:ascii="Helvetica" w:eastAsia="宋体" w:hAnsi="Helvetica" w:cs="Times New Roman" w:hint="eastAsia"/>
          <w:b/>
          <w:bCs/>
          <w:color w:val="000000"/>
          <w:kern w:val="0"/>
          <w:sz w:val="24"/>
          <w:szCs w:val="24"/>
        </w:rPr>
        <w:t xml:space="preserve">4 </w:t>
      </w:r>
      <w:r w:rsidRPr="00D72FD2">
        <w:rPr>
          <w:rFonts w:ascii="Helvetica" w:eastAsia="宋体" w:hAnsi="Helvetica" w:cs="Times New Roman" w:hint="eastAsia"/>
          <w:b/>
          <w:bCs/>
          <w:color w:val="000000"/>
          <w:kern w:val="0"/>
          <w:sz w:val="24"/>
          <w:szCs w:val="24"/>
        </w:rPr>
        <w:t>科学研究</w:t>
      </w:r>
      <w:r w:rsidRPr="00D72FD2">
        <w:rPr>
          <w:rFonts w:ascii="Helvetica" w:eastAsia="宋体" w:hAnsi="Helvetica" w:cs="Times New Roman"/>
          <w:b/>
          <w:bCs/>
          <w:color w:val="000000"/>
          <w:kern w:val="0"/>
          <w:sz w:val="24"/>
          <w:szCs w:val="24"/>
        </w:rPr>
        <w:t>】</w:t>
      </w:r>
    </w:p>
    <w:p w14:paraId="44355951" w14:textId="77777777" w:rsidR="00D72FD2" w:rsidRPr="00D72FD2" w:rsidRDefault="00D72FD2" w:rsidP="00D72FD2">
      <w:pPr>
        <w:widowControl/>
        <w:spacing w:line="440" w:lineRule="exact"/>
        <w:ind w:firstLineChars="200" w:firstLine="480"/>
        <w:jc w:val="left"/>
        <w:rPr>
          <w:rFonts w:ascii="Helvetica" w:eastAsia="宋体" w:hAnsi="Helvetica" w:cs="Times New Roman"/>
          <w:color w:val="000000"/>
          <w:kern w:val="0"/>
          <w:sz w:val="24"/>
          <w:szCs w:val="24"/>
        </w:rPr>
      </w:pPr>
      <w:r w:rsidRPr="00D72FD2">
        <w:rPr>
          <w:rFonts w:ascii="Helvetica" w:eastAsia="宋体" w:hAnsi="Helvetica" w:cs="Times New Roman" w:hint="eastAsia"/>
          <w:color w:val="000000"/>
          <w:kern w:val="0"/>
          <w:sz w:val="24"/>
          <w:szCs w:val="24"/>
        </w:rPr>
        <w:t xml:space="preserve">3. </w:t>
      </w:r>
      <w:r w:rsidRPr="00D72FD2">
        <w:rPr>
          <w:rFonts w:ascii="Helvetica" w:eastAsia="宋体" w:hAnsi="Helvetica" w:cs="Times New Roman" w:hint="eastAsia"/>
          <w:color w:val="000000"/>
          <w:kern w:val="0"/>
          <w:sz w:val="24"/>
          <w:szCs w:val="24"/>
        </w:rPr>
        <w:t>能够针对药物分析学相关领域的实际问题，开发、选择与使用恰当的技术、资源与工具。</w:t>
      </w:r>
      <w:r w:rsidRPr="00D72FD2">
        <w:rPr>
          <w:rFonts w:ascii="Helvetica" w:eastAsia="宋体" w:hAnsi="Helvetica" w:cs="Times New Roman"/>
          <w:b/>
          <w:bCs/>
          <w:color w:val="000000"/>
          <w:kern w:val="0"/>
          <w:sz w:val="24"/>
          <w:szCs w:val="24"/>
        </w:rPr>
        <w:t>【毕业要求</w:t>
      </w:r>
      <w:r w:rsidRPr="00D72FD2">
        <w:rPr>
          <w:rFonts w:ascii="Helvetica" w:eastAsia="宋体" w:hAnsi="Helvetica" w:cs="Times New Roman" w:hint="eastAsia"/>
          <w:b/>
          <w:bCs/>
          <w:color w:val="000000"/>
          <w:kern w:val="0"/>
          <w:sz w:val="24"/>
          <w:szCs w:val="24"/>
        </w:rPr>
        <w:t xml:space="preserve">5 </w:t>
      </w:r>
      <w:r w:rsidRPr="00D72FD2">
        <w:rPr>
          <w:rFonts w:ascii="Helvetica" w:eastAsia="宋体" w:hAnsi="Helvetica" w:cs="Times New Roman" w:hint="eastAsia"/>
          <w:b/>
          <w:bCs/>
          <w:color w:val="000000"/>
          <w:kern w:val="0"/>
          <w:sz w:val="24"/>
          <w:szCs w:val="24"/>
        </w:rPr>
        <w:t>现代工具使用</w:t>
      </w:r>
      <w:r w:rsidRPr="00D72FD2">
        <w:rPr>
          <w:rFonts w:ascii="Helvetica" w:eastAsia="宋体" w:hAnsi="Helvetica" w:cs="Times New Roman"/>
          <w:b/>
          <w:bCs/>
          <w:color w:val="000000"/>
          <w:kern w:val="0"/>
          <w:sz w:val="24"/>
          <w:szCs w:val="24"/>
        </w:rPr>
        <w:t>】</w:t>
      </w:r>
    </w:p>
    <w:p w14:paraId="4DB05629" w14:textId="77777777" w:rsidR="00D72FD2" w:rsidRPr="00D72FD2" w:rsidRDefault="00D72FD2" w:rsidP="00D72FD2">
      <w:pPr>
        <w:spacing w:beforeLines="50" w:before="156" w:afterLines="50" w:after="156" w:line="440" w:lineRule="exact"/>
        <w:ind w:firstLineChars="200" w:firstLine="560"/>
        <w:rPr>
          <w:rFonts w:ascii="Times New Roman" w:eastAsia="黑体" w:hAnsi="Times New Roman" w:cs="Times New Roman"/>
          <w:sz w:val="28"/>
          <w:szCs w:val="28"/>
        </w:rPr>
      </w:pPr>
      <w:r w:rsidRPr="00D72FD2">
        <w:rPr>
          <w:rFonts w:ascii="Times New Roman" w:eastAsia="黑体" w:hAnsi="Times New Roman" w:cs="Times New Roman"/>
          <w:sz w:val="28"/>
          <w:szCs w:val="28"/>
        </w:rPr>
        <w:t>（二）课程学习目标与毕业要求指标点的对应关系</w:t>
      </w:r>
    </w:p>
    <w:tbl>
      <w:tblPr>
        <w:tblpPr w:leftFromText="180" w:rightFromText="180" w:vertAnchor="text" w:horzAnchor="page" w:tblpX="1533" w:tblpY="199"/>
        <w:tblOverlap w:val="never"/>
        <w:tblW w:w="9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6"/>
        <w:gridCol w:w="5534"/>
        <w:gridCol w:w="1959"/>
      </w:tblGrid>
      <w:tr w:rsidR="00D72FD2" w:rsidRPr="00D72FD2" w14:paraId="218C9EE8" w14:textId="77777777" w:rsidTr="006B1C7F">
        <w:trPr>
          <w:trHeight w:val="815"/>
        </w:trPr>
        <w:tc>
          <w:tcPr>
            <w:tcW w:w="1676" w:type="dxa"/>
            <w:vAlign w:val="center"/>
          </w:tcPr>
          <w:p w14:paraId="00E645A7" w14:textId="77777777" w:rsidR="00D72FD2" w:rsidRPr="00D72FD2" w:rsidRDefault="00D72FD2" w:rsidP="00D72FD2">
            <w:pPr>
              <w:spacing w:line="440" w:lineRule="exact"/>
              <w:jc w:val="center"/>
              <w:rPr>
                <w:rFonts w:ascii="Times New Roman" w:eastAsia="宋体" w:hAnsi="Times New Roman" w:cs="Times New Roman"/>
                <w:b/>
                <w:sz w:val="24"/>
                <w:szCs w:val="24"/>
              </w:rPr>
            </w:pPr>
            <w:r w:rsidRPr="00D72FD2">
              <w:rPr>
                <w:rFonts w:ascii="Times New Roman" w:eastAsia="宋体" w:hAnsi="Times New Roman" w:cs="Times New Roman"/>
                <w:b/>
                <w:sz w:val="24"/>
                <w:szCs w:val="24"/>
              </w:rPr>
              <w:lastRenderedPageBreak/>
              <w:t>毕业要求</w:t>
            </w:r>
          </w:p>
        </w:tc>
        <w:tc>
          <w:tcPr>
            <w:tcW w:w="5534" w:type="dxa"/>
            <w:vAlign w:val="center"/>
          </w:tcPr>
          <w:p w14:paraId="1D0ADA95" w14:textId="77777777" w:rsidR="00D72FD2" w:rsidRPr="00D72FD2" w:rsidRDefault="00D72FD2" w:rsidP="00D72FD2">
            <w:pPr>
              <w:spacing w:line="440" w:lineRule="exact"/>
              <w:jc w:val="center"/>
              <w:rPr>
                <w:rFonts w:ascii="Times New Roman" w:eastAsia="宋体" w:hAnsi="Times New Roman" w:cs="Times New Roman"/>
                <w:b/>
                <w:sz w:val="24"/>
                <w:szCs w:val="24"/>
              </w:rPr>
            </w:pPr>
            <w:r w:rsidRPr="00D72FD2">
              <w:rPr>
                <w:rFonts w:ascii="Times New Roman" w:eastAsia="宋体" w:hAnsi="Times New Roman" w:cs="Times New Roman"/>
                <w:b/>
                <w:sz w:val="24"/>
                <w:szCs w:val="24"/>
              </w:rPr>
              <w:t>毕业要求指标点</w:t>
            </w:r>
          </w:p>
        </w:tc>
        <w:tc>
          <w:tcPr>
            <w:tcW w:w="1959" w:type="dxa"/>
            <w:vAlign w:val="center"/>
          </w:tcPr>
          <w:p w14:paraId="44704179" w14:textId="77777777" w:rsidR="00D72FD2" w:rsidRPr="00D72FD2" w:rsidRDefault="00D72FD2" w:rsidP="00D72FD2">
            <w:pPr>
              <w:spacing w:line="440" w:lineRule="exact"/>
              <w:jc w:val="center"/>
              <w:rPr>
                <w:rFonts w:ascii="Times New Roman" w:eastAsia="宋体" w:hAnsi="Times New Roman" w:cs="Times New Roman"/>
                <w:b/>
                <w:sz w:val="24"/>
                <w:szCs w:val="24"/>
              </w:rPr>
            </w:pPr>
            <w:r w:rsidRPr="00D72FD2">
              <w:rPr>
                <w:rFonts w:ascii="Times New Roman" w:eastAsia="宋体" w:hAnsi="Times New Roman" w:cs="Times New Roman"/>
                <w:b/>
                <w:sz w:val="24"/>
                <w:szCs w:val="24"/>
              </w:rPr>
              <w:t>课程目标</w:t>
            </w:r>
          </w:p>
        </w:tc>
      </w:tr>
      <w:tr w:rsidR="00D72FD2" w:rsidRPr="00D72FD2" w14:paraId="12F1D9EC" w14:textId="77777777" w:rsidTr="006B1C7F">
        <w:tc>
          <w:tcPr>
            <w:tcW w:w="1676" w:type="dxa"/>
            <w:vAlign w:val="center"/>
          </w:tcPr>
          <w:p w14:paraId="2AB8E148" w14:textId="77777777" w:rsidR="00D72FD2" w:rsidRPr="00D72FD2" w:rsidRDefault="00D72FD2" w:rsidP="00D72FD2">
            <w:pPr>
              <w:spacing w:line="440" w:lineRule="exact"/>
              <w:jc w:val="center"/>
              <w:rPr>
                <w:rFonts w:ascii="Times New Roman" w:eastAsia="宋体" w:hAnsi="Times New Roman" w:cs="Times New Roman"/>
                <w:color w:val="000000"/>
                <w:sz w:val="24"/>
                <w:szCs w:val="24"/>
              </w:rPr>
            </w:pPr>
            <w:r w:rsidRPr="00D72FD2">
              <w:rPr>
                <w:rFonts w:ascii="Times New Roman" w:eastAsia="宋体" w:hAnsi="Times New Roman" w:cs="Times New Roman" w:hint="eastAsia"/>
                <w:color w:val="000000"/>
                <w:sz w:val="24"/>
                <w:szCs w:val="24"/>
              </w:rPr>
              <w:t xml:space="preserve">1. </w:t>
            </w:r>
            <w:r w:rsidRPr="00D72FD2">
              <w:rPr>
                <w:rFonts w:ascii="Times New Roman" w:eastAsia="宋体" w:hAnsi="Times New Roman" w:cs="Times New Roman" w:hint="eastAsia"/>
                <w:color w:val="000000"/>
                <w:sz w:val="24"/>
                <w:szCs w:val="24"/>
              </w:rPr>
              <w:t>药学知识</w:t>
            </w:r>
          </w:p>
        </w:tc>
        <w:tc>
          <w:tcPr>
            <w:tcW w:w="5534" w:type="dxa"/>
            <w:vAlign w:val="center"/>
          </w:tcPr>
          <w:p w14:paraId="11A74713"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1.3熟悉药学行业相关的标准、政策与法规了解生物药物分析领域的相关政策对环境、社会可持续发展的影响。（H）</w:t>
            </w:r>
          </w:p>
        </w:tc>
        <w:tc>
          <w:tcPr>
            <w:tcW w:w="1959" w:type="dxa"/>
            <w:vAlign w:val="center"/>
          </w:tcPr>
          <w:p w14:paraId="595E550E"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课程目标1</w:t>
            </w:r>
          </w:p>
        </w:tc>
      </w:tr>
      <w:tr w:rsidR="00D72FD2" w:rsidRPr="00D72FD2" w14:paraId="2269FBB5" w14:textId="77777777" w:rsidTr="006B1C7F">
        <w:tc>
          <w:tcPr>
            <w:tcW w:w="1676" w:type="dxa"/>
            <w:vAlign w:val="center"/>
          </w:tcPr>
          <w:p w14:paraId="6341F26C" w14:textId="77777777" w:rsidR="00D72FD2" w:rsidRPr="00D72FD2" w:rsidRDefault="00D72FD2" w:rsidP="00D72FD2">
            <w:pPr>
              <w:spacing w:line="440" w:lineRule="exact"/>
              <w:jc w:val="center"/>
              <w:rPr>
                <w:rFonts w:ascii="Times New Roman" w:eastAsia="宋体" w:hAnsi="Times New Roman" w:cs="Times New Roman"/>
                <w:color w:val="000000"/>
                <w:sz w:val="24"/>
                <w:szCs w:val="24"/>
              </w:rPr>
            </w:pPr>
            <w:r w:rsidRPr="00D72FD2">
              <w:rPr>
                <w:rFonts w:ascii="Times New Roman" w:eastAsia="宋体" w:hAnsi="Times New Roman" w:cs="Times New Roman" w:hint="eastAsia"/>
                <w:color w:val="000000"/>
                <w:sz w:val="24"/>
                <w:szCs w:val="24"/>
              </w:rPr>
              <w:t>4</w:t>
            </w:r>
            <w:r w:rsidRPr="00D72FD2">
              <w:rPr>
                <w:rFonts w:ascii="Times New Roman" w:eastAsia="宋体" w:hAnsi="Times New Roman" w:cs="Times New Roman" w:hint="eastAsia"/>
                <w:color w:val="000000"/>
                <w:sz w:val="24"/>
                <w:szCs w:val="24"/>
              </w:rPr>
              <w:t>．科学研究</w:t>
            </w:r>
          </w:p>
        </w:tc>
        <w:tc>
          <w:tcPr>
            <w:tcW w:w="5534" w:type="dxa"/>
            <w:vAlign w:val="center"/>
          </w:tcPr>
          <w:p w14:paraId="73FE0235"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color w:val="000000"/>
                <w:sz w:val="24"/>
                <w:szCs w:val="24"/>
              </w:rPr>
              <w:t>4.3</w:t>
            </w:r>
            <w:r w:rsidRPr="00D72FD2">
              <w:rPr>
                <w:rFonts w:ascii="宋体" w:eastAsia="宋体" w:hAnsi="宋体" w:cs="Times New Roman" w:hint="eastAsia"/>
                <w:color w:val="000000"/>
                <w:sz w:val="24"/>
                <w:szCs w:val="24"/>
              </w:rPr>
              <w:t xml:space="preserve"> </w:t>
            </w:r>
            <w:r w:rsidRPr="00D72FD2">
              <w:rPr>
                <w:rFonts w:ascii="宋体" w:eastAsia="宋体" w:hAnsi="宋体" w:cs="Times New Roman"/>
                <w:color w:val="000000"/>
                <w:sz w:val="24"/>
                <w:szCs w:val="24"/>
              </w:rPr>
              <w:t>根据实验目的，获得实验结果，综合文献资料得到合理、有效的结论</w:t>
            </w:r>
            <w:r w:rsidRPr="00D72FD2">
              <w:rPr>
                <w:rFonts w:ascii="宋体" w:eastAsia="宋体" w:hAnsi="宋体" w:cs="Times New Roman" w:hint="eastAsia"/>
                <w:color w:val="000000"/>
                <w:sz w:val="24"/>
                <w:szCs w:val="24"/>
              </w:rPr>
              <w:t>。（L）</w:t>
            </w:r>
          </w:p>
        </w:tc>
        <w:tc>
          <w:tcPr>
            <w:tcW w:w="1959" w:type="dxa"/>
            <w:vAlign w:val="center"/>
          </w:tcPr>
          <w:p w14:paraId="72A79773"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课程目标2</w:t>
            </w:r>
          </w:p>
        </w:tc>
      </w:tr>
      <w:tr w:rsidR="00D72FD2" w:rsidRPr="00D72FD2" w14:paraId="63AA2494" w14:textId="77777777" w:rsidTr="006B1C7F">
        <w:tc>
          <w:tcPr>
            <w:tcW w:w="1676" w:type="dxa"/>
            <w:vAlign w:val="center"/>
          </w:tcPr>
          <w:p w14:paraId="56EA1C01" w14:textId="77777777" w:rsidR="00D72FD2" w:rsidRPr="00D72FD2" w:rsidRDefault="00D72FD2" w:rsidP="00D72FD2">
            <w:pPr>
              <w:spacing w:line="440" w:lineRule="exact"/>
              <w:jc w:val="center"/>
              <w:rPr>
                <w:rFonts w:ascii="Times New Roman" w:eastAsia="宋体" w:hAnsi="Times New Roman" w:cs="Times New Roman"/>
                <w:color w:val="000000"/>
                <w:sz w:val="24"/>
                <w:szCs w:val="24"/>
              </w:rPr>
            </w:pPr>
            <w:r w:rsidRPr="00D72FD2">
              <w:rPr>
                <w:rFonts w:ascii="Times New Roman" w:eastAsia="宋体" w:hAnsi="Times New Roman" w:cs="Times New Roman" w:hint="eastAsia"/>
                <w:color w:val="000000"/>
                <w:sz w:val="24"/>
                <w:szCs w:val="24"/>
              </w:rPr>
              <w:t>5</w:t>
            </w:r>
            <w:r w:rsidRPr="00D72FD2">
              <w:rPr>
                <w:rFonts w:ascii="Times New Roman" w:eastAsia="宋体" w:hAnsi="Times New Roman" w:cs="Times New Roman" w:hint="eastAsia"/>
                <w:color w:val="000000"/>
                <w:sz w:val="24"/>
                <w:szCs w:val="24"/>
              </w:rPr>
              <w:t>．现代工具使用</w:t>
            </w:r>
          </w:p>
        </w:tc>
        <w:tc>
          <w:tcPr>
            <w:tcW w:w="5534" w:type="dxa"/>
            <w:vAlign w:val="center"/>
          </w:tcPr>
          <w:p w14:paraId="6E41369D"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5.1熟悉信息技术工具、现代实验仪器、专业模拟软件等的使用方法，理解其局限性。（M）</w:t>
            </w:r>
          </w:p>
        </w:tc>
        <w:tc>
          <w:tcPr>
            <w:tcW w:w="1959" w:type="dxa"/>
            <w:vAlign w:val="center"/>
          </w:tcPr>
          <w:p w14:paraId="56D92696"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课程目标3</w:t>
            </w:r>
          </w:p>
        </w:tc>
      </w:tr>
    </w:tbl>
    <w:p w14:paraId="114A24AD" w14:textId="77777777" w:rsidR="00D72FD2" w:rsidRPr="00D72FD2" w:rsidRDefault="00D72FD2" w:rsidP="00D72FD2">
      <w:pPr>
        <w:spacing w:beforeLines="50" w:before="156" w:afterLines="50" w:after="156" w:line="440" w:lineRule="exact"/>
        <w:ind w:firstLineChars="200" w:firstLine="560"/>
        <w:rPr>
          <w:rFonts w:ascii="Times New Roman" w:eastAsia="黑体" w:hAnsi="Times New Roman" w:cs="Times New Roman"/>
          <w:sz w:val="28"/>
          <w:szCs w:val="28"/>
        </w:rPr>
      </w:pPr>
      <w:r w:rsidRPr="00D72FD2">
        <w:rPr>
          <w:rFonts w:ascii="Times New Roman" w:eastAsia="黑体" w:hAnsi="Times New Roman" w:cs="Times New Roman"/>
          <w:sz w:val="28"/>
          <w:szCs w:val="28"/>
        </w:rPr>
        <w:t>三、课程学习内容及与课程学习目标的对应关系</w:t>
      </w:r>
    </w:p>
    <w:p w14:paraId="646DAB55" w14:textId="77777777" w:rsidR="00D72FD2" w:rsidRPr="00D72FD2" w:rsidRDefault="00D72FD2" w:rsidP="00D72FD2">
      <w:pPr>
        <w:spacing w:beforeLines="50" w:before="156" w:afterLines="50" w:after="156" w:line="440" w:lineRule="exact"/>
        <w:ind w:firstLineChars="200" w:firstLine="560"/>
        <w:rPr>
          <w:rFonts w:ascii="Times New Roman" w:eastAsia="黑体" w:hAnsi="Times New Roman" w:cs="Times New Roman"/>
          <w:sz w:val="28"/>
          <w:szCs w:val="28"/>
        </w:rPr>
      </w:pPr>
      <w:r w:rsidRPr="00D72FD2">
        <w:rPr>
          <w:rFonts w:ascii="Times New Roman" w:eastAsia="黑体" w:hAnsi="Times New Roman" w:cs="Times New Roman"/>
          <w:sz w:val="28"/>
          <w:szCs w:val="28"/>
        </w:rPr>
        <w:t>（一）课程学习内容</w:t>
      </w:r>
    </w:p>
    <w:p w14:paraId="5E52B557" w14:textId="77777777" w:rsidR="00D72FD2" w:rsidRPr="00D72FD2" w:rsidRDefault="00D72FD2" w:rsidP="00D72FD2">
      <w:pPr>
        <w:adjustRightInd w:val="0"/>
        <w:snapToGrid w:val="0"/>
        <w:spacing w:beforeLines="50" w:before="156" w:afterLines="50" w:after="156" w:line="440" w:lineRule="exact"/>
        <w:jc w:val="center"/>
        <w:rPr>
          <w:rFonts w:ascii="Times New Roman" w:eastAsia="黑体" w:hAnsi="Times New Roman" w:cs="Times New Roman"/>
          <w:sz w:val="28"/>
          <w:szCs w:val="28"/>
        </w:rPr>
      </w:pPr>
      <w:r w:rsidRPr="00D72FD2">
        <w:rPr>
          <w:rFonts w:ascii="Times New Roman" w:eastAsia="黑体" w:hAnsi="Times New Roman" w:cs="Times New Roman"/>
          <w:sz w:val="28"/>
          <w:szCs w:val="28"/>
        </w:rPr>
        <w:t>第一章</w:t>
      </w:r>
      <w:r w:rsidRPr="00D72FD2">
        <w:rPr>
          <w:rFonts w:ascii="Times New Roman" w:eastAsia="黑体" w:hAnsi="Times New Roman" w:cs="Times New Roman"/>
          <w:sz w:val="28"/>
          <w:szCs w:val="28"/>
        </w:rPr>
        <w:t xml:space="preserve"> </w:t>
      </w:r>
      <w:r w:rsidRPr="00D72FD2">
        <w:rPr>
          <w:rFonts w:ascii="Times New Roman" w:eastAsia="黑体" w:hAnsi="Times New Roman" w:cs="Times New Roman"/>
          <w:sz w:val="28"/>
          <w:szCs w:val="28"/>
        </w:rPr>
        <w:t>概论</w:t>
      </w:r>
      <w:r w:rsidRPr="00D72FD2">
        <w:rPr>
          <w:rFonts w:ascii="Times New Roman" w:eastAsia="黑体" w:hAnsi="Times New Roman" w:cs="Times New Roman"/>
          <w:sz w:val="28"/>
          <w:szCs w:val="28"/>
        </w:rPr>
        <w:t xml:space="preserve"> </w:t>
      </w:r>
    </w:p>
    <w:p w14:paraId="2603C62A" w14:textId="77777777" w:rsidR="00D72FD2" w:rsidRPr="00D72FD2" w:rsidRDefault="00D72FD2" w:rsidP="00D72FD2">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D72FD2">
        <w:rPr>
          <w:rFonts w:ascii="Times New Roman" w:eastAsia="宋体" w:hAnsi="Times New Roman" w:cs="Times New Roman"/>
          <w:b/>
          <w:sz w:val="24"/>
          <w:szCs w:val="24"/>
        </w:rPr>
        <w:t>【学习目标】</w:t>
      </w:r>
    </w:p>
    <w:p w14:paraId="79D600E3"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1.</w:t>
      </w:r>
      <w:r w:rsidRPr="00D72FD2">
        <w:rPr>
          <w:rFonts w:ascii="Times New Roman" w:eastAsia="宋体" w:hAnsi="Times New Roman" w:cs="Times New Roman"/>
          <w:sz w:val="24"/>
          <w:szCs w:val="24"/>
        </w:rPr>
        <w:t>认知类目标：掌握</w:t>
      </w:r>
      <w:r w:rsidRPr="00D72FD2">
        <w:rPr>
          <w:rFonts w:ascii="Times New Roman" w:eastAsia="宋体" w:hAnsi="Times New Roman" w:cs="Times New Roman" w:hint="eastAsia"/>
          <w:sz w:val="24"/>
          <w:szCs w:val="24"/>
        </w:rPr>
        <w:t>光</w:t>
      </w:r>
      <w:r w:rsidRPr="00D72FD2">
        <w:rPr>
          <w:rFonts w:ascii="Times New Roman" w:eastAsia="宋体" w:hAnsi="Times New Roman" w:cs="Times New Roman"/>
          <w:sz w:val="24"/>
          <w:szCs w:val="24"/>
        </w:rPr>
        <w:t>谱法的定义、特点</w:t>
      </w:r>
      <w:r w:rsidRPr="00D72FD2">
        <w:rPr>
          <w:rFonts w:ascii="Times New Roman" w:eastAsia="宋体" w:hAnsi="Times New Roman" w:cs="Times New Roman" w:hint="eastAsia"/>
          <w:sz w:val="24"/>
          <w:szCs w:val="24"/>
        </w:rPr>
        <w:t>；</w:t>
      </w:r>
      <w:r w:rsidRPr="00D72FD2">
        <w:rPr>
          <w:rFonts w:ascii="Times New Roman" w:eastAsia="宋体" w:hAnsi="Times New Roman" w:cs="Times New Roman"/>
          <w:sz w:val="24"/>
          <w:szCs w:val="24"/>
        </w:rPr>
        <w:t>熟悉</w:t>
      </w:r>
      <w:r w:rsidRPr="00D72FD2">
        <w:rPr>
          <w:rFonts w:ascii="Times New Roman" w:eastAsia="宋体" w:hAnsi="Times New Roman" w:cs="Times New Roman" w:hint="eastAsia"/>
          <w:sz w:val="24"/>
          <w:szCs w:val="24"/>
        </w:rPr>
        <w:t>光</w:t>
      </w:r>
      <w:r w:rsidRPr="00D72FD2">
        <w:rPr>
          <w:rFonts w:ascii="Times New Roman" w:eastAsia="宋体" w:hAnsi="Times New Roman" w:cs="Times New Roman"/>
          <w:sz w:val="24"/>
          <w:szCs w:val="24"/>
        </w:rPr>
        <w:t>谱分析的分类、发展概况。</w:t>
      </w:r>
    </w:p>
    <w:p w14:paraId="21ECF72F"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2.</w:t>
      </w:r>
      <w:r w:rsidRPr="00D72FD2">
        <w:rPr>
          <w:rFonts w:ascii="Times New Roman" w:eastAsia="宋体" w:hAnsi="Times New Roman" w:cs="Times New Roman"/>
          <w:sz w:val="24"/>
          <w:szCs w:val="24"/>
        </w:rPr>
        <w:t>过程与方法类目标：了解</w:t>
      </w:r>
      <w:r w:rsidRPr="00D72FD2">
        <w:rPr>
          <w:rFonts w:ascii="Times New Roman" w:eastAsia="宋体" w:hAnsi="Times New Roman" w:cs="Times New Roman" w:hint="eastAsia"/>
          <w:sz w:val="24"/>
          <w:szCs w:val="24"/>
        </w:rPr>
        <w:t>光</w:t>
      </w:r>
      <w:r w:rsidRPr="00D72FD2">
        <w:rPr>
          <w:rFonts w:ascii="Times New Roman" w:eastAsia="宋体" w:hAnsi="Times New Roman" w:cs="Times New Roman"/>
          <w:sz w:val="24"/>
          <w:szCs w:val="24"/>
        </w:rPr>
        <w:t>谱法与其他分析方法的区别</w:t>
      </w:r>
      <w:r w:rsidRPr="00D72FD2">
        <w:rPr>
          <w:rFonts w:ascii="Times New Roman" w:eastAsia="宋体" w:hAnsi="Times New Roman" w:cs="Times New Roman" w:hint="eastAsia"/>
          <w:sz w:val="24"/>
          <w:szCs w:val="24"/>
        </w:rPr>
        <w:t>；能通过网络或图书馆查阅</w:t>
      </w:r>
      <w:r w:rsidRPr="00D72FD2">
        <w:rPr>
          <w:rFonts w:ascii="Times New Roman" w:eastAsia="宋体" w:hAnsi="Times New Roman" w:cs="Times New Roman"/>
          <w:sz w:val="24"/>
          <w:szCs w:val="24"/>
        </w:rPr>
        <w:t>光谱法的相关文献。</w:t>
      </w:r>
    </w:p>
    <w:p w14:paraId="1AD37D26"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3.</w:t>
      </w:r>
      <w:r w:rsidRPr="00D72FD2">
        <w:rPr>
          <w:rFonts w:ascii="Times New Roman" w:eastAsia="宋体" w:hAnsi="Times New Roman" w:cs="Times New Roman"/>
          <w:sz w:val="24"/>
          <w:szCs w:val="24"/>
        </w:rPr>
        <w:t>情感、态度、价值观类目标：了解实验室安全有关知识，树</w:t>
      </w:r>
      <w:r w:rsidRPr="00D72FD2">
        <w:rPr>
          <w:rFonts w:ascii="微软雅黑" w:eastAsia="微软雅黑" w:hAnsi="微软雅黑" w:cs="微软雅黑" w:hint="eastAsia"/>
          <w:sz w:val="24"/>
          <w:szCs w:val="24"/>
        </w:rPr>
        <w:t>⽴</w:t>
      </w:r>
      <w:r w:rsidRPr="00D72FD2">
        <w:rPr>
          <w:rFonts w:ascii="宋体" w:eastAsia="宋体" w:hAnsi="宋体" w:cs="宋体" w:hint="eastAsia"/>
          <w:sz w:val="24"/>
          <w:szCs w:val="24"/>
        </w:rPr>
        <w:t>安全意识。并引领学生正确的价值观。</w:t>
      </w:r>
    </w:p>
    <w:p w14:paraId="3E74E1B0" w14:textId="77777777" w:rsidR="00D72FD2" w:rsidRPr="00D72FD2" w:rsidRDefault="00D72FD2" w:rsidP="00D72FD2">
      <w:pPr>
        <w:adjustRightInd w:val="0"/>
        <w:snapToGrid w:val="0"/>
        <w:spacing w:line="440" w:lineRule="exact"/>
        <w:ind w:firstLineChars="200" w:firstLine="482"/>
        <w:rPr>
          <w:rFonts w:ascii="Times New Roman" w:eastAsia="宋体" w:hAnsi="Times New Roman" w:cs="Times New Roman"/>
          <w:b/>
          <w:sz w:val="24"/>
          <w:szCs w:val="24"/>
        </w:rPr>
      </w:pPr>
      <w:r w:rsidRPr="00D72FD2">
        <w:rPr>
          <w:rFonts w:ascii="Times New Roman" w:eastAsia="宋体" w:hAnsi="Times New Roman" w:cs="Times New Roman"/>
          <w:b/>
          <w:sz w:val="24"/>
          <w:szCs w:val="24"/>
        </w:rPr>
        <w:t>【学习内容】</w:t>
      </w:r>
    </w:p>
    <w:p w14:paraId="2502F056"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1.</w:t>
      </w:r>
      <w:r w:rsidRPr="00D72FD2">
        <w:rPr>
          <w:rFonts w:ascii="Times New Roman" w:eastAsia="宋体" w:hAnsi="Times New Roman" w:cs="Times New Roman" w:hint="eastAsia"/>
          <w:sz w:val="24"/>
          <w:szCs w:val="24"/>
        </w:rPr>
        <w:t>光</w:t>
      </w:r>
      <w:r w:rsidRPr="00D72FD2">
        <w:rPr>
          <w:rFonts w:ascii="Times New Roman" w:eastAsia="宋体" w:hAnsi="Times New Roman" w:cs="Times New Roman"/>
          <w:sz w:val="24"/>
          <w:szCs w:val="24"/>
        </w:rPr>
        <w:t>谱法的定义、特点及其发展历史。</w:t>
      </w:r>
    </w:p>
    <w:p w14:paraId="7CCACD15"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2.</w:t>
      </w:r>
      <w:r w:rsidRPr="00D72FD2">
        <w:rPr>
          <w:rFonts w:ascii="Times New Roman" w:eastAsia="宋体" w:hAnsi="Times New Roman" w:cs="Times New Roman" w:hint="eastAsia"/>
          <w:sz w:val="24"/>
          <w:szCs w:val="24"/>
        </w:rPr>
        <w:t>光</w:t>
      </w:r>
      <w:r w:rsidRPr="00D72FD2">
        <w:rPr>
          <w:rFonts w:ascii="Times New Roman" w:eastAsia="宋体" w:hAnsi="Times New Roman" w:cs="Times New Roman"/>
          <w:sz w:val="24"/>
          <w:szCs w:val="24"/>
        </w:rPr>
        <w:t>谱法的分类。</w:t>
      </w:r>
    </w:p>
    <w:p w14:paraId="0B2AA787"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3.</w:t>
      </w:r>
      <w:r w:rsidRPr="00D72FD2">
        <w:rPr>
          <w:rFonts w:ascii="Times New Roman" w:eastAsia="宋体" w:hAnsi="Times New Roman" w:cs="Times New Roman"/>
          <w:sz w:val="24"/>
          <w:szCs w:val="24"/>
        </w:rPr>
        <w:t>光谱法在药学研究中的作用和未来。</w:t>
      </w:r>
    </w:p>
    <w:p w14:paraId="7E69941F" w14:textId="77777777" w:rsidR="00D72FD2" w:rsidRPr="00D72FD2" w:rsidRDefault="00D72FD2" w:rsidP="00D72FD2">
      <w:pPr>
        <w:autoSpaceDE w:val="0"/>
        <w:autoSpaceDN w:val="0"/>
        <w:adjustRightInd w:val="0"/>
        <w:snapToGrid w:val="0"/>
        <w:spacing w:line="440" w:lineRule="exact"/>
        <w:ind w:leftChars="257" w:left="540"/>
        <w:jc w:val="left"/>
        <w:rPr>
          <w:rFonts w:ascii="Times New Roman" w:eastAsia="宋体" w:hAnsi="Times New Roman" w:cs="Times New Roman"/>
          <w:sz w:val="24"/>
          <w:szCs w:val="24"/>
        </w:rPr>
      </w:pPr>
      <w:r w:rsidRPr="00D72FD2">
        <w:rPr>
          <w:rFonts w:ascii="Times New Roman" w:eastAsia="宋体" w:hAnsi="Times New Roman" w:cs="Times New Roman"/>
          <w:b/>
          <w:sz w:val="24"/>
          <w:szCs w:val="24"/>
        </w:rPr>
        <w:t>【重点】</w:t>
      </w:r>
      <w:r w:rsidRPr="00D72FD2">
        <w:rPr>
          <w:rFonts w:ascii="Times New Roman" w:eastAsia="宋体" w:hAnsi="Times New Roman" w:cs="Times New Roman"/>
          <w:sz w:val="24"/>
          <w:szCs w:val="24"/>
        </w:rPr>
        <w:t>光谱法的定义、特点及分类。光谱法在药学研究中的作用。</w:t>
      </w:r>
    </w:p>
    <w:p w14:paraId="33645E4D" w14:textId="77777777" w:rsidR="00D72FD2" w:rsidRPr="00D72FD2" w:rsidRDefault="00D72FD2" w:rsidP="00D72FD2">
      <w:pPr>
        <w:autoSpaceDE w:val="0"/>
        <w:autoSpaceDN w:val="0"/>
        <w:adjustRightInd w:val="0"/>
        <w:snapToGrid w:val="0"/>
        <w:spacing w:line="440" w:lineRule="exact"/>
        <w:ind w:leftChars="257" w:left="540"/>
        <w:jc w:val="left"/>
        <w:rPr>
          <w:rFonts w:ascii="Times New Roman" w:eastAsia="宋体" w:hAnsi="Times New Roman" w:cs="Times New Roman"/>
          <w:sz w:val="24"/>
          <w:szCs w:val="24"/>
        </w:rPr>
      </w:pPr>
      <w:r w:rsidRPr="00D72FD2">
        <w:rPr>
          <w:rFonts w:ascii="Times New Roman" w:eastAsia="宋体" w:hAnsi="Times New Roman" w:cs="Times New Roman"/>
          <w:b/>
          <w:sz w:val="24"/>
          <w:szCs w:val="24"/>
        </w:rPr>
        <w:t>【难点】</w:t>
      </w:r>
      <w:r w:rsidRPr="00D72FD2">
        <w:rPr>
          <w:rFonts w:ascii="Times New Roman" w:eastAsia="宋体" w:hAnsi="Times New Roman" w:cs="Times New Roman"/>
          <w:sz w:val="24"/>
          <w:szCs w:val="24"/>
        </w:rPr>
        <w:t>光谱法的定义、特点及分类。</w:t>
      </w:r>
    </w:p>
    <w:p w14:paraId="2C827F53" w14:textId="77777777" w:rsidR="00D72FD2" w:rsidRPr="00D72FD2" w:rsidRDefault="00D72FD2" w:rsidP="00D72FD2">
      <w:pPr>
        <w:autoSpaceDE w:val="0"/>
        <w:autoSpaceDN w:val="0"/>
        <w:adjustRightInd w:val="0"/>
        <w:snapToGrid w:val="0"/>
        <w:spacing w:line="440" w:lineRule="exact"/>
        <w:ind w:leftChars="257" w:left="540"/>
        <w:jc w:val="left"/>
        <w:rPr>
          <w:rFonts w:ascii="Times New Roman" w:eastAsia="宋体" w:hAnsi="Times New Roman" w:cs="Times New Roman"/>
          <w:b/>
          <w:bCs/>
          <w:sz w:val="24"/>
          <w:szCs w:val="24"/>
        </w:rPr>
      </w:pPr>
      <w:r w:rsidRPr="00D72FD2">
        <w:rPr>
          <w:rFonts w:ascii="Times New Roman" w:eastAsia="宋体" w:hAnsi="Times New Roman" w:cs="Times New Roman"/>
          <w:b/>
          <w:bCs/>
          <w:sz w:val="24"/>
          <w:szCs w:val="24"/>
        </w:rPr>
        <w:t>【教学方法】</w:t>
      </w:r>
    </w:p>
    <w:p w14:paraId="255B5458"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hint="eastAsia"/>
          <w:sz w:val="24"/>
          <w:szCs w:val="24"/>
        </w:rPr>
        <w:t>1.</w:t>
      </w:r>
      <w:r w:rsidRPr="00D72FD2">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3BBF687E"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hint="eastAsia"/>
          <w:sz w:val="24"/>
          <w:szCs w:val="24"/>
        </w:rPr>
        <w:t>2.</w:t>
      </w:r>
      <w:r w:rsidRPr="00D72FD2">
        <w:rPr>
          <w:rFonts w:ascii="Times New Roman" w:eastAsia="宋体" w:hAnsi="Times New Roman" w:cs="Times New Roman"/>
          <w:sz w:val="24"/>
          <w:szCs w:val="24"/>
        </w:rPr>
        <w:t>通过案例分析，提升学生们的文化自信，不畏艰险敢于实践创新的精神。</w:t>
      </w:r>
    </w:p>
    <w:p w14:paraId="39189047" w14:textId="77777777" w:rsidR="00D72FD2" w:rsidRPr="00D72FD2" w:rsidRDefault="00D72FD2" w:rsidP="00D72FD2">
      <w:pPr>
        <w:adjustRightInd w:val="0"/>
        <w:snapToGrid w:val="0"/>
        <w:spacing w:line="440" w:lineRule="exact"/>
        <w:ind w:firstLineChars="200" w:firstLine="482"/>
        <w:rPr>
          <w:rFonts w:ascii="Times New Roman" w:eastAsia="宋体" w:hAnsi="Times New Roman" w:cs="Times New Roman"/>
          <w:b/>
          <w:sz w:val="24"/>
          <w:szCs w:val="24"/>
        </w:rPr>
      </w:pPr>
      <w:r w:rsidRPr="00D72FD2">
        <w:rPr>
          <w:rFonts w:ascii="Times New Roman" w:eastAsia="宋体" w:hAnsi="Times New Roman" w:cs="Times New Roman"/>
          <w:b/>
          <w:sz w:val="24"/>
          <w:szCs w:val="24"/>
        </w:rPr>
        <w:t>【复习思考】</w:t>
      </w:r>
    </w:p>
    <w:p w14:paraId="7E63B9D9"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lastRenderedPageBreak/>
        <w:t>1.</w:t>
      </w:r>
      <w:r w:rsidRPr="00D72FD2">
        <w:rPr>
          <w:rFonts w:ascii="Times New Roman" w:eastAsia="宋体" w:hAnsi="Times New Roman" w:cs="Times New Roman"/>
          <w:sz w:val="24"/>
          <w:szCs w:val="24"/>
        </w:rPr>
        <w:t>光谱法的定义。</w:t>
      </w:r>
    </w:p>
    <w:p w14:paraId="52DDB3AA"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2.</w:t>
      </w:r>
      <w:r w:rsidRPr="00D72FD2">
        <w:rPr>
          <w:rFonts w:ascii="Times New Roman" w:eastAsia="宋体" w:hAnsi="Times New Roman" w:cs="Times New Roman"/>
          <w:sz w:val="24"/>
          <w:szCs w:val="24"/>
        </w:rPr>
        <w:t>光谱法的分类。</w:t>
      </w:r>
    </w:p>
    <w:p w14:paraId="1E426816" w14:textId="77777777" w:rsidR="00D72FD2" w:rsidRPr="00D72FD2" w:rsidRDefault="00D72FD2" w:rsidP="00D72FD2">
      <w:pPr>
        <w:adjustRightInd w:val="0"/>
        <w:snapToGrid w:val="0"/>
        <w:spacing w:beforeLines="50" w:before="156" w:afterLines="50" w:after="156" w:line="440" w:lineRule="exact"/>
        <w:jc w:val="center"/>
        <w:rPr>
          <w:rFonts w:ascii="Times New Roman" w:eastAsia="黑体" w:hAnsi="Times New Roman" w:cs="Times New Roman"/>
          <w:sz w:val="28"/>
          <w:szCs w:val="28"/>
        </w:rPr>
      </w:pPr>
      <w:r w:rsidRPr="00D72FD2">
        <w:rPr>
          <w:rFonts w:ascii="Times New Roman" w:eastAsia="黑体" w:hAnsi="Times New Roman" w:cs="Times New Roman"/>
          <w:sz w:val="28"/>
          <w:szCs w:val="28"/>
        </w:rPr>
        <w:t>第二章</w:t>
      </w:r>
      <w:r w:rsidRPr="00D72FD2">
        <w:rPr>
          <w:rFonts w:ascii="Times New Roman" w:eastAsia="黑体" w:hAnsi="Times New Roman" w:cs="Times New Roman"/>
          <w:sz w:val="28"/>
          <w:szCs w:val="28"/>
        </w:rPr>
        <w:t xml:space="preserve"> </w:t>
      </w:r>
      <w:r w:rsidRPr="00D72FD2">
        <w:rPr>
          <w:rFonts w:ascii="Times New Roman" w:eastAsia="黑体" w:hAnsi="Times New Roman" w:cs="Times New Roman" w:hint="eastAsia"/>
          <w:sz w:val="28"/>
          <w:szCs w:val="28"/>
        </w:rPr>
        <w:t>紫外</w:t>
      </w:r>
      <w:r w:rsidRPr="00D72FD2">
        <w:rPr>
          <w:rFonts w:ascii="Times New Roman" w:eastAsia="黑体" w:hAnsi="Times New Roman" w:cs="Times New Roman"/>
          <w:sz w:val="28"/>
          <w:szCs w:val="28"/>
        </w:rPr>
        <w:t>光谱法</w:t>
      </w:r>
    </w:p>
    <w:p w14:paraId="749FD9F9" w14:textId="77777777" w:rsidR="00D72FD2" w:rsidRPr="00D72FD2" w:rsidRDefault="00D72FD2" w:rsidP="00D72FD2">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D72FD2">
        <w:rPr>
          <w:rFonts w:ascii="Times New Roman" w:eastAsia="宋体" w:hAnsi="Times New Roman" w:cs="Times New Roman"/>
          <w:b/>
          <w:sz w:val="24"/>
          <w:szCs w:val="24"/>
        </w:rPr>
        <w:t>【学习目标】</w:t>
      </w:r>
    </w:p>
    <w:p w14:paraId="337A1853"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1.</w:t>
      </w:r>
      <w:r w:rsidRPr="00D72FD2">
        <w:rPr>
          <w:rFonts w:ascii="Times New Roman" w:eastAsia="宋体" w:hAnsi="Times New Roman" w:cs="Times New Roman"/>
          <w:sz w:val="24"/>
          <w:szCs w:val="24"/>
        </w:rPr>
        <w:t>认知类目标：</w:t>
      </w:r>
      <w:r w:rsidRPr="00D72FD2">
        <w:rPr>
          <w:rFonts w:ascii="Times New Roman" w:eastAsia="宋体" w:hAnsi="Times New Roman" w:cs="Times New Roman" w:hint="eastAsia"/>
          <w:sz w:val="24"/>
          <w:szCs w:val="24"/>
        </w:rPr>
        <w:t>掌握紫外</w:t>
      </w:r>
      <w:r w:rsidRPr="00D72FD2">
        <w:rPr>
          <w:rFonts w:ascii="Times New Roman" w:eastAsia="宋体" w:hAnsi="Times New Roman" w:cs="Times New Roman"/>
          <w:sz w:val="24"/>
          <w:szCs w:val="24"/>
        </w:rPr>
        <w:t>光</w:t>
      </w:r>
      <w:proofErr w:type="gramStart"/>
      <w:r w:rsidRPr="00D72FD2">
        <w:rPr>
          <w:rFonts w:ascii="Times New Roman" w:eastAsia="宋体" w:hAnsi="Times New Roman" w:cs="Times New Roman" w:hint="eastAsia"/>
          <w:sz w:val="24"/>
          <w:szCs w:val="24"/>
        </w:rPr>
        <w:t>谱基本</w:t>
      </w:r>
      <w:proofErr w:type="gramEnd"/>
      <w:r w:rsidRPr="00D72FD2">
        <w:rPr>
          <w:rFonts w:ascii="Times New Roman" w:eastAsia="宋体" w:hAnsi="Times New Roman" w:cs="Times New Roman" w:hint="eastAsia"/>
          <w:sz w:val="24"/>
          <w:szCs w:val="24"/>
        </w:rPr>
        <w:t>理论及相关参数。</w:t>
      </w:r>
    </w:p>
    <w:p w14:paraId="6E03ED29"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2.</w:t>
      </w:r>
      <w:r w:rsidRPr="00D72FD2">
        <w:rPr>
          <w:rFonts w:ascii="Times New Roman" w:eastAsia="宋体" w:hAnsi="Times New Roman" w:cs="Times New Roman"/>
          <w:sz w:val="24"/>
          <w:szCs w:val="24"/>
        </w:rPr>
        <w:t>过程与方法类目标：通过</w:t>
      </w:r>
      <w:proofErr w:type="gramStart"/>
      <w:r w:rsidRPr="00D72FD2">
        <w:rPr>
          <w:rFonts w:ascii="Times New Roman" w:eastAsia="宋体" w:hAnsi="Times New Roman" w:cs="Times New Roman" w:hint="eastAsia"/>
          <w:sz w:val="24"/>
          <w:szCs w:val="24"/>
        </w:rPr>
        <w:t>紫外光谱与分</w:t>
      </w:r>
      <w:proofErr w:type="gramEnd"/>
      <w:r w:rsidRPr="00D72FD2">
        <w:rPr>
          <w:rFonts w:ascii="Times New Roman" w:eastAsia="宋体" w:hAnsi="Times New Roman" w:cs="Times New Roman" w:hint="eastAsia"/>
          <w:sz w:val="24"/>
          <w:szCs w:val="24"/>
        </w:rPr>
        <w:t>子结构的关系</w:t>
      </w:r>
      <w:r w:rsidRPr="00D72FD2">
        <w:rPr>
          <w:rFonts w:ascii="Times New Roman" w:eastAsia="宋体" w:hAnsi="Times New Roman" w:cs="Times New Roman"/>
          <w:sz w:val="24"/>
          <w:szCs w:val="24"/>
        </w:rPr>
        <w:t>的学习，掌握</w:t>
      </w:r>
      <w:proofErr w:type="gramStart"/>
      <w:r w:rsidRPr="00D72FD2">
        <w:rPr>
          <w:rFonts w:ascii="Times New Roman" w:eastAsia="宋体" w:hAnsi="Times New Roman" w:cs="Times New Roman" w:hint="eastAsia"/>
          <w:sz w:val="24"/>
          <w:szCs w:val="24"/>
        </w:rPr>
        <w:t>紫外</w:t>
      </w:r>
      <w:r w:rsidRPr="00D72FD2">
        <w:rPr>
          <w:rFonts w:ascii="Times New Roman" w:eastAsia="宋体" w:hAnsi="Times New Roman" w:cs="Times New Roman"/>
          <w:sz w:val="24"/>
          <w:szCs w:val="24"/>
        </w:rPr>
        <w:t>光</w:t>
      </w:r>
      <w:r w:rsidRPr="00D72FD2">
        <w:rPr>
          <w:rFonts w:ascii="Times New Roman" w:eastAsia="宋体" w:hAnsi="Times New Roman" w:cs="Times New Roman" w:hint="eastAsia"/>
          <w:sz w:val="24"/>
          <w:szCs w:val="24"/>
        </w:rPr>
        <w:t>谱在药物</w:t>
      </w:r>
      <w:proofErr w:type="gramEnd"/>
      <w:r w:rsidRPr="00D72FD2">
        <w:rPr>
          <w:rFonts w:ascii="Times New Roman" w:eastAsia="宋体" w:hAnsi="Times New Roman" w:cs="Times New Roman" w:hint="eastAsia"/>
          <w:sz w:val="24"/>
          <w:szCs w:val="24"/>
        </w:rPr>
        <w:t>鉴别、检查与含量测定中的应用。</w:t>
      </w:r>
    </w:p>
    <w:p w14:paraId="27AE22E6"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3.</w:t>
      </w:r>
      <w:r w:rsidRPr="00D72FD2">
        <w:rPr>
          <w:rFonts w:ascii="Times New Roman" w:eastAsia="宋体" w:hAnsi="Times New Roman" w:cs="Times New Roman"/>
          <w:sz w:val="24"/>
          <w:szCs w:val="24"/>
        </w:rPr>
        <w:t>情感、态度、价值观类目标：</w:t>
      </w:r>
      <w:r w:rsidRPr="00D72FD2">
        <w:rPr>
          <w:rFonts w:ascii="Times New Roman" w:eastAsia="宋体" w:hAnsi="Times New Roman" w:cs="Times New Roman" w:hint="eastAsia"/>
          <w:sz w:val="24"/>
          <w:szCs w:val="24"/>
        </w:rPr>
        <w:t>使</w:t>
      </w:r>
      <w:r w:rsidRPr="00D72FD2">
        <w:rPr>
          <w:rFonts w:ascii="Times New Roman" w:eastAsia="宋体" w:hAnsi="Times New Roman" w:cs="Times New Roman"/>
          <w:sz w:val="24"/>
          <w:szCs w:val="24"/>
        </w:rPr>
        <w:t>科学素养与伦理道德相结合</w:t>
      </w:r>
      <w:r w:rsidRPr="00D72FD2">
        <w:rPr>
          <w:rFonts w:ascii="Times New Roman" w:eastAsia="宋体" w:hAnsi="Times New Roman" w:cs="Times New Roman" w:hint="eastAsia"/>
          <w:sz w:val="24"/>
          <w:szCs w:val="24"/>
        </w:rPr>
        <w:t>，培养学生</w:t>
      </w:r>
      <w:r w:rsidRPr="00D72FD2">
        <w:rPr>
          <w:rFonts w:ascii="Times New Roman" w:eastAsia="宋体" w:hAnsi="Times New Roman" w:cs="Times New Roman"/>
          <w:sz w:val="24"/>
          <w:szCs w:val="24"/>
        </w:rPr>
        <w:t>严谨的科学精神和专业素养，并严守道德和良心的底线。</w:t>
      </w:r>
    </w:p>
    <w:p w14:paraId="5E7DA5B3" w14:textId="77777777" w:rsidR="00D72FD2" w:rsidRPr="00D72FD2" w:rsidRDefault="00D72FD2" w:rsidP="00D72FD2">
      <w:pPr>
        <w:adjustRightInd w:val="0"/>
        <w:snapToGrid w:val="0"/>
        <w:spacing w:line="440" w:lineRule="exact"/>
        <w:ind w:firstLineChars="200" w:firstLine="482"/>
        <w:rPr>
          <w:rFonts w:ascii="Times New Roman" w:eastAsia="宋体" w:hAnsi="Times New Roman" w:cs="Times New Roman"/>
          <w:b/>
          <w:sz w:val="24"/>
          <w:szCs w:val="24"/>
        </w:rPr>
      </w:pPr>
      <w:r w:rsidRPr="00D72FD2">
        <w:rPr>
          <w:rFonts w:ascii="Times New Roman" w:eastAsia="宋体" w:hAnsi="Times New Roman" w:cs="Times New Roman"/>
          <w:b/>
          <w:sz w:val="24"/>
          <w:szCs w:val="24"/>
        </w:rPr>
        <w:t>【学习内容】</w:t>
      </w:r>
    </w:p>
    <w:p w14:paraId="154A9D32"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1.</w:t>
      </w:r>
      <w:r w:rsidRPr="00D72FD2">
        <w:rPr>
          <w:rFonts w:ascii="Times New Roman" w:eastAsia="宋体" w:hAnsi="Times New Roman" w:cs="Times New Roman" w:hint="eastAsia"/>
          <w:sz w:val="24"/>
          <w:szCs w:val="24"/>
        </w:rPr>
        <w:t>紫外</w:t>
      </w:r>
      <w:r w:rsidRPr="00D72FD2">
        <w:rPr>
          <w:rFonts w:ascii="Times New Roman" w:eastAsia="宋体" w:hAnsi="Times New Roman" w:cs="Times New Roman"/>
          <w:sz w:val="24"/>
          <w:szCs w:val="24"/>
        </w:rPr>
        <w:t>光</w:t>
      </w:r>
      <w:proofErr w:type="gramStart"/>
      <w:r w:rsidRPr="00D72FD2">
        <w:rPr>
          <w:rFonts w:ascii="Times New Roman" w:eastAsia="宋体" w:hAnsi="Times New Roman" w:cs="Times New Roman" w:hint="eastAsia"/>
          <w:sz w:val="24"/>
          <w:szCs w:val="24"/>
        </w:rPr>
        <w:t>谱基本</w:t>
      </w:r>
      <w:proofErr w:type="gramEnd"/>
      <w:r w:rsidRPr="00D72FD2">
        <w:rPr>
          <w:rFonts w:ascii="Times New Roman" w:eastAsia="宋体" w:hAnsi="Times New Roman" w:cs="Times New Roman" w:hint="eastAsia"/>
          <w:sz w:val="24"/>
          <w:szCs w:val="24"/>
        </w:rPr>
        <w:t>理论及相关参数</w:t>
      </w:r>
      <w:r w:rsidRPr="00D72FD2">
        <w:rPr>
          <w:rFonts w:ascii="Times New Roman" w:eastAsia="宋体" w:hAnsi="Times New Roman" w:cs="Times New Roman"/>
          <w:sz w:val="24"/>
          <w:szCs w:val="24"/>
        </w:rPr>
        <w:t>。</w:t>
      </w:r>
    </w:p>
    <w:p w14:paraId="6A7D407B"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2.</w:t>
      </w:r>
      <w:proofErr w:type="gramStart"/>
      <w:r w:rsidRPr="00D72FD2">
        <w:rPr>
          <w:rFonts w:ascii="Times New Roman" w:eastAsia="宋体" w:hAnsi="Times New Roman" w:cs="Times New Roman" w:hint="eastAsia"/>
          <w:sz w:val="24"/>
          <w:szCs w:val="24"/>
        </w:rPr>
        <w:t>紫外</w:t>
      </w:r>
      <w:r w:rsidRPr="00D72FD2">
        <w:rPr>
          <w:rFonts w:ascii="Times New Roman" w:eastAsia="宋体" w:hAnsi="Times New Roman" w:cs="Times New Roman"/>
          <w:sz w:val="24"/>
          <w:szCs w:val="24"/>
        </w:rPr>
        <w:t>光</w:t>
      </w:r>
      <w:r w:rsidRPr="00D72FD2">
        <w:rPr>
          <w:rFonts w:ascii="Times New Roman" w:eastAsia="宋体" w:hAnsi="Times New Roman" w:cs="Times New Roman" w:hint="eastAsia"/>
          <w:sz w:val="24"/>
          <w:szCs w:val="24"/>
        </w:rPr>
        <w:t>谱在药物</w:t>
      </w:r>
      <w:proofErr w:type="gramEnd"/>
      <w:r w:rsidRPr="00D72FD2">
        <w:rPr>
          <w:rFonts w:ascii="Times New Roman" w:eastAsia="宋体" w:hAnsi="Times New Roman" w:cs="Times New Roman" w:hint="eastAsia"/>
          <w:sz w:val="24"/>
          <w:szCs w:val="24"/>
        </w:rPr>
        <w:t>鉴别、检查与含量测定中的应用</w:t>
      </w:r>
      <w:r w:rsidRPr="00D72FD2">
        <w:rPr>
          <w:rFonts w:ascii="Times New Roman" w:eastAsia="宋体" w:hAnsi="Times New Roman" w:cs="Times New Roman"/>
          <w:sz w:val="24"/>
          <w:szCs w:val="24"/>
        </w:rPr>
        <w:t>。</w:t>
      </w:r>
    </w:p>
    <w:p w14:paraId="621FAD29" w14:textId="77777777" w:rsidR="00D72FD2" w:rsidRPr="00D72FD2" w:rsidRDefault="00D72FD2" w:rsidP="00D72FD2">
      <w:pPr>
        <w:autoSpaceDE w:val="0"/>
        <w:autoSpaceDN w:val="0"/>
        <w:adjustRightInd w:val="0"/>
        <w:snapToGrid w:val="0"/>
        <w:spacing w:line="440" w:lineRule="exact"/>
        <w:ind w:firstLineChars="150" w:firstLine="361"/>
        <w:jc w:val="left"/>
        <w:rPr>
          <w:rFonts w:ascii="Times New Roman" w:eastAsia="宋体" w:hAnsi="Times New Roman" w:cs="Times New Roman"/>
          <w:kern w:val="0"/>
          <w:sz w:val="24"/>
          <w:szCs w:val="24"/>
        </w:rPr>
      </w:pPr>
      <w:r w:rsidRPr="00D72FD2">
        <w:rPr>
          <w:rFonts w:ascii="Times New Roman" w:eastAsia="宋体" w:hAnsi="Times New Roman" w:cs="Times New Roman"/>
          <w:b/>
          <w:sz w:val="24"/>
          <w:szCs w:val="24"/>
        </w:rPr>
        <w:t>【重点】</w:t>
      </w:r>
      <w:proofErr w:type="gramStart"/>
      <w:r w:rsidRPr="00D72FD2">
        <w:rPr>
          <w:rFonts w:ascii="Times New Roman" w:eastAsia="宋体" w:hAnsi="Times New Roman" w:cs="Times New Roman" w:hint="eastAsia"/>
          <w:sz w:val="24"/>
          <w:szCs w:val="24"/>
        </w:rPr>
        <w:t>紫外</w:t>
      </w:r>
      <w:r w:rsidRPr="00D72FD2">
        <w:rPr>
          <w:rFonts w:ascii="Times New Roman" w:eastAsia="宋体" w:hAnsi="Times New Roman" w:cs="Times New Roman"/>
          <w:sz w:val="24"/>
          <w:szCs w:val="24"/>
        </w:rPr>
        <w:t>光</w:t>
      </w:r>
      <w:r w:rsidRPr="00D72FD2">
        <w:rPr>
          <w:rFonts w:ascii="Times New Roman" w:eastAsia="宋体" w:hAnsi="Times New Roman" w:cs="Times New Roman" w:hint="eastAsia"/>
          <w:sz w:val="24"/>
          <w:szCs w:val="24"/>
        </w:rPr>
        <w:t>谱在药物</w:t>
      </w:r>
      <w:proofErr w:type="gramEnd"/>
      <w:r w:rsidRPr="00D72FD2">
        <w:rPr>
          <w:rFonts w:ascii="Times New Roman" w:eastAsia="宋体" w:hAnsi="Times New Roman" w:cs="Times New Roman" w:hint="eastAsia"/>
          <w:sz w:val="24"/>
          <w:szCs w:val="24"/>
        </w:rPr>
        <w:t>鉴别、检查与含量测定中的应用</w:t>
      </w:r>
      <w:r w:rsidRPr="00D72FD2">
        <w:rPr>
          <w:rFonts w:ascii="Times New Roman" w:eastAsia="宋体" w:hAnsi="Times New Roman" w:cs="Times New Roman"/>
          <w:sz w:val="24"/>
          <w:szCs w:val="24"/>
        </w:rPr>
        <w:t>。</w:t>
      </w:r>
    </w:p>
    <w:p w14:paraId="7442EF1C" w14:textId="77777777" w:rsidR="00D72FD2" w:rsidRPr="00D72FD2" w:rsidRDefault="00D72FD2" w:rsidP="00D72FD2">
      <w:pPr>
        <w:widowControl/>
        <w:adjustRightInd w:val="0"/>
        <w:snapToGrid w:val="0"/>
        <w:spacing w:line="440" w:lineRule="exact"/>
        <w:ind w:firstLine="420"/>
        <w:jc w:val="left"/>
        <w:rPr>
          <w:rFonts w:ascii="Times New Roman" w:eastAsia="宋体" w:hAnsi="Times New Roman" w:cs="Times New Roman"/>
          <w:kern w:val="0"/>
          <w:sz w:val="24"/>
          <w:szCs w:val="24"/>
        </w:rPr>
      </w:pPr>
      <w:r w:rsidRPr="00D72FD2">
        <w:rPr>
          <w:rFonts w:ascii="Times New Roman" w:eastAsia="宋体" w:hAnsi="Times New Roman" w:cs="Times New Roman"/>
          <w:b/>
          <w:kern w:val="0"/>
          <w:sz w:val="24"/>
          <w:szCs w:val="24"/>
        </w:rPr>
        <w:t>【难点】</w:t>
      </w:r>
      <w:proofErr w:type="gramStart"/>
      <w:r w:rsidRPr="00D72FD2">
        <w:rPr>
          <w:rFonts w:ascii="宋体" w:eastAsia="宋体" w:hAnsi="宋体" w:cs="宋体" w:hint="eastAsia"/>
          <w:color w:val="000000"/>
          <w:kern w:val="0"/>
          <w:sz w:val="24"/>
          <w:szCs w:val="24"/>
        </w:rPr>
        <w:t>紫外</w:t>
      </w:r>
      <w:r w:rsidRPr="00D72FD2">
        <w:rPr>
          <w:rFonts w:ascii="宋体" w:eastAsia="宋体" w:hAnsi="宋体" w:cs="宋体"/>
          <w:color w:val="000000"/>
          <w:kern w:val="0"/>
          <w:sz w:val="24"/>
          <w:szCs w:val="24"/>
        </w:rPr>
        <w:t>光</w:t>
      </w:r>
      <w:r w:rsidRPr="00D72FD2">
        <w:rPr>
          <w:rFonts w:ascii="宋体" w:eastAsia="宋体" w:hAnsi="宋体" w:cs="Times New Roman" w:hint="eastAsia"/>
          <w:kern w:val="0"/>
          <w:sz w:val="24"/>
          <w:szCs w:val="24"/>
        </w:rPr>
        <w:t>谱</w:t>
      </w:r>
      <w:r w:rsidRPr="00D72FD2">
        <w:rPr>
          <w:rFonts w:ascii="宋体" w:eastAsia="宋体" w:hAnsi="宋体" w:cs="宋体" w:hint="eastAsia"/>
          <w:color w:val="000000"/>
          <w:kern w:val="0"/>
          <w:sz w:val="24"/>
          <w:szCs w:val="24"/>
        </w:rPr>
        <w:t>在含量测定</w:t>
      </w:r>
      <w:proofErr w:type="gramEnd"/>
      <w:r w:rsidRPr="00D72FD2">
        <w:rPr>
          <w:rFonts w:ascii="宋体" w:eastAsia="宋体" w:hAnsi="宋体" w:cs="宋体" w:hint="eastAsia"/>
          <w:color w:val="000000"/>
          <w:kern w:val="0"/>
          <w:sz w:val="24"/>
          <w:szCs w:val="24"/>
        </w:rPr>
        <w:t>中的计算方法</w:t>
      </w:r>
      <w:r w:rsidRPr="00D72FD2">
        <w:rPr>
          <w:rFonts w:ascii="Times New Roman" w:eastAsia="宋体" w:hAnsi="Times New Roman" w:cs="Times New Roman"/>
          <w:kern w:val="0"/>
          <w:sz w:val="24"/>
          <w:szCs w:val="24"/>
        </w:rPr>
        <w:t>。</w:t>
      </w:r>
    </w:p>
    <w:p w14:paraId="46DBF09E" w14:textId="77777777" w:rsidR="00D72FD2" w:rsidRPr="00D72FD2" w:rsidRDefault="00D72FD2" w:rsidP="00D72FD2">
      <w:pPr>
        <w:widowControl/>
        <w:adjustRightInd w:val="0"/>
        <w:snapToGrid w:val="0"/>
        <w:spacing w:line="440" w:lineRule="exact"/>
        <w:ind w:firstLine="420"/>
        <w:jc w:val="left"/>
        <w:rPr>
          <w:rFonts w:ascii="Times New Roman" w:eastAsia="宋体" w:hAnsi="Times New Roman" w:cs="Times New Roman"/>
          <w:b/>
          <w:bCs/>
          <w:kern w:val="0"/>
          <w:sz w:val="24"/>
          <w:szCs w:val="24"/>
        </w:rPr>
      </w:pPr>
      <w:r w:rsidRPr="00D72FD2">
        <w:rPr>
          <w:rFonts w:ascii="Times New Roman" w:eastAsia="宋体" w:hAnsi="Times New Roman" w:cs="Times New Roman"/>
          <w:b/>
          <w:bCs/>
          <w:kern w:val="0"/>
          <w:sz w:val="24"/>
          <w:szCs w:val="24"/>
        </w:rPr>
        <w:t>【教学方法】</w:t>
      </w:r>
    </w:p>
    <w:p w14:paraId="7EAAC984"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7901D146"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通过案例分析，告诫学生在学习工作中需要严谨的科学精神和专业素养，并严守道德和良心的底线。</w:t>
      </w:r>
    </w:p>
    <w:p w14:paraId="55C6623D" w14:textId="77777777" w:rsidR="00D72FD2" w:rsidRPr="00D72FD2" w:rsidRDefault="00D72FD2" w:rsidP="00D72FD2">
      <w:pPr>
        <w:adjustRightInd w:val="0"/>
        <w:snapToGrid w:val="0"/>
        <w:spacing w:line="440" w:lineRule="exact"/>
        <w:ind w:firstLineChars="200" w:firstLine="482"/>
        <w:rPr>
          <w:rFonts w:ascii="Times New Roman" w:eastAsia="宋体" w:hAnsi="Times New Roman" w:cs="Times New Roman"/>
          <w:b/>
          <w:sz w:val="24"/>
          <w:szCs w:val="24"/>
        </w:rPr>
      </w:pPr>
      <w:r w:rsidRPr="00D72FD2">
        <w:rPr>
          <w:rFonts w:ascii="Times New Roman" w:eastAsia="宋体" w:hAnsi="Times New Roman" w:cs="Times New Roman"/>
          <w:b/>
          <w:sz w:val="24"/>
          <w:szCs w:val="24"/>
        </w:rPr>
        <w:t>【复习思考】</w:t>
      </w:r>
    </w:p>
    <w:p w14:paraId="36B3A915" w14:textId="77777777" w:rsidR="00D72FD2" w:rsidRPr="00D72FD2" w:rsidRDefault="00D72FD2" w:rsidP="00D72FD2">
      <w:pPr>
        <w:autoSpaceDE w:val="0"/>
        <w:autoSpaceDN w:val="0"/>
        <w:adjustRightInd w:val="0"/>
        <w:snapToGrid w:val="0"/>
        <w:spacing w:line="440" w:lineRule="exact"/>
        <w:ind w:firstLineChars="200" w:firstLine="480"/>
        <w:jc w:val="left"/>
        <w:rPr>
          <w:rFonts w:ascii="Times New Roman" w:eastAsia="宋体" w:hAnsi="Times New Roman" w:cs="Times New Roman" w:hint="eastAsia"/>
          <w:sz w:val="24"/>
          <w:szCs w:val="20"/>
        </w:rPr>
      </w:pPr>
      <w:r w:rsidRPr="00D72FD2">
        <w:rPr>
          <w:rFonts w:ascii="Times New Roman" w:eastAsia="宋体" w:hAnsi="Times New Roman" w:cs="Times New Roman"/>
          <w:sz w:val="24"/>
          <w:szCs w:val="20"/>
        </w:rPr>
        <w:t>1.</w:t>
      </w:r>
      <w:r w:rsidRPr="00D72FD2">
        <w:rPr>
          <w:rFonts w:ascii="Times New Roman" w:eastAsia="宋体" w:hAnsi="Times New Roman" w:cs="Times New Roman" w:hint="eastAsia"/>
          <w:sz w:val="24"/>
          <w:szCs w:val="20"/>
        </w:rPr>
        <w:t>计算分光光度法的分类</w:t>
      </w:r>
    </w:p>
    <w:p w14:paraId="256A6C30" w14:textId="77777777" w:rsidR="00D72FD2" w:rsidRPr="00D72FD2" w:rsidRDefault="00D72FD2" w:rsidP="00D72FD2">
      <w:pPr>
        <w:adjustRightInd w:val="0"/>
        <w:snapToGrid w:val="0"/>
        <w:spacing w:beforeLines="50" w:before="156" w:afterLines="50" w:after="156" w:line="440" w:lineRule="exact"/>
        <w:jc w:val="center"/>
        <w:rPr>
          <w:rFonts w:ascii="Times New Roman" w:eastAsia="黑体" w:hAnsi="Times New Roman" w:cs="Times New Roman"/>
          <w:sz w:val="28"/>
          <w:szCs w:val="28"/>
        </w:rPr>
      </w:pPr>
      <w:r w:rsidRPr="00D72FD2">
        <w:rPr>
          <w:rFonts w:ascii="Times New Roman" w:eastAsia="黑体" w:hAnsi="Times New Roman" w:cs="Times New Roman"/>
          <w:sz w:val="28"/>
          <w:szCs w:val="28"/>
        </w:rPr>
        <w:t>第三章</w:t>
      </w:r>
      <w:r w:rsidRPr="00D72FD2">
        <w:rPr>
          <w:rFonts w:ascii="Times New Roman" w:eastAsia="黑体" w:hAnsi="Times New Roman" w:cs="Times New Roman" w:hint="eastAsia"/>
          <w:sz w:val="28"/>
          <w:szCs w:val="28"/>
        </w:rPr>
        <w:t xml:space="preserve"> </w:t>
      </w:r>
      <w:r w:rsidRPr="00D72FD2">
        <w:rPr>
          <w:rFonts w:ascii="Times New Roman" w:eastAsia="黑体" w:hAnsi="Times New Roman" w:cs="Times New Roman" w:hint="eastAsia"/>
          <w:sz w:val="28"/>
          <w:szCs w:val="28"/>
        </w:rPr>
        <w:t>红外</w:t>
      </w:r>
      <w:r w:rsidRPr="00D72FD2">
        <w:rPr>
          <w:rFonts w:ascii="Times New Roman" w:eastAsia="黑体" w:hAnsi="Times New Roman" w:cs="Times New Roman"/>
          <w:sz w:val="28"/>
          <w:szCs w:val="28"/>
        </w:rPr>
        <w:t>光谱法</w:t>
      </w:r>
    </w:p>
    <w:p w14:paraId="7EC533F1" w14:textId="77777777" w:rsidR="00D72FD2" w:rsidRPr="00D72FD2" w:rsidRDefault="00D72FD2" w:rsidP="00D72FD2">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D72FD2">
        <w:rPr>
          <w:rFonts w:ascii="Times New Roman" w:eastAsia="宋体" w:hAnsi="Times New Roman" w:cs="Times New Roman"/>
          <w:b/>
          <w:sz w:val="24"/>
          <w:szCs w:val="24"/>
        </w:rPr>
        <w:t>【学习目标】</w:t>
      </w:r>
    </w:p>
    <w:p w14:paraId="6E66A1D4"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1.</w:t>
      </w:r>
      <w:r w:rsidRPr="00D72FD2">
        <w:rPr>
          <w:rFonts w:ascii="Times New Roman" w:eastAsia="宋体" w:hAnsi="Times New Roman" w:cs="Times New Roman"/>
          <w:sz w:val="24"/>
          <w:szCs w:val="24"/>
        </w:rPr>
        <w:t>认知类目标：</w:t>
      </w:r>
      <w:r w:rsidRPr="00D72FD2">
        <w:rPr>
          <w:rFonts w:ascii="Times New Roman" w:eastAsia="宋体" w:hAnsi="Times New Roman" w:cs="Times New Roman" w:hint="eastAsia"/>
          <w:sz w:val="24"/>
          <w:szCs w:val="24"/>
        </w:rPr>
        <w:t>掌握红外</w:t>
      </w:r>
      <w:r w:rsidRPr="00D72FD2">
        <w:rPr>
          <w:rFonts w:ascii="Times New Roman" w:eastAsia="宋体" w:hAnsi="Times New Roman" w:cs="Times New Roman"/>
          <w:sz w:val="24"/>
          <w:szCs w:val="24"/>
        </w:rPr>
        <w:t>光</w:t>
      </w:r>
      <w:r w:rsidRPr="00D72FD2">
        <w:rPr>
          <w:rFonts w:ascii="Times New Roman" w:eastAsia="宋体" w:hAnsi="Times New Roman" w:cs="Times New Roman" w:hint="eastAsia"/>
          <w:sz w:val="24"/>
          <w:szCs w:val="24"/>
        </w:rPr>
        <w:t>谱基本理论及相关参数。</w:t>
      </w:r>
    </w:p>
    <w:p w14:paraId="725B36D3"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2.</w:t>
      </w:r>
      <w:r w:rsidRPr="00D72FD2">
        <w:rPr>
          <w:rFonts w:ascii="Times New Roman" w:eastAsia="宋体" w:hAnsi="Times New Roman" w:cs="Times New Roman"/>
          <w:sz w:val="24"/>
          <w:szCs w:val="24"/>
        </w:rPr>
        <w:t>过程与方法类目标：通过</w:t>
      </w:r>
      <w:r w:rsidRPr="00D72FD2">
        <w:rPr>
          <w:rFonts w:ascii="Times New Roman" w:eastAsia="宋体" w:hAnsi="Times New Roman" w:cs="Times New Roman" w:hint="eastAsia"/>
          <w:sz w:val="24"/>
          <w:szCs w:val="24"/>
        </w:rPr>
        <w:t>红外光谱与分子结构的关系</w:t>
      </w:r>
      <w:r w:rsidRPr="00D72FD2">
        <w:rPr>
          <w:rFonts w:ascii="Times New Roman" w:eastAsia="宋体" w:hAnsi="Times New Roman" w:cs="Times New Roman"/>
          <w:sz w:val="24"/>
          <w:szCs w:val="24"/>
        </w:rPr>
        <w:t>的学习，掌握</w:t>
      </w:r>
      <w:r w:rsidRPr="00D72FD2">
        <w:rPr>
          <w:rFonts w:ascii="Times New Roman" w:eastAsia="宋体" w:hAnsi="Times New Roman" w:cs="Times New Roman" w:hint="eastAsia"/>
          <w:sz w:val="24"/>
          <w:szCs w:val="24"/>
        </w:rPr>
        <w:t>红外</w:t>
      </w:r>
      <w:r w:rsidRPr="00D72FD2">
        <w:rPr>
          <w:rFonts w:ascii="Times New Roman" w:eastAsia="宋体" w:hAnsi="Times New Roman" w:cs="Times New Roman"/>
          <w:sz w:val="24"/>
          <w:szCs w:val="24"/>
        </w:rPr>
        <w:t>光</w:t>
      </w:r>
      <w:r w:rsidRPr="00D72FD2">
        <w:rPr>
          <w:rFonts w:ascii="Times New Roman" w:eastAsia="宋体" w:hAnsi="Times New Roman" w:cs="Times New Roman" w:hint="eastAsia"/>
          <w:sz w:val="24"/>
          <w:szCs w:val="24"/>
        </w:rPr>
        <w:t>谱在药物鉴别、检查中的应用。</w:t>
      </w:r>
    </w:p>
    <w:p w14:paraId="305343C0"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3.</w:t>
      </w:r>
      <w:r w:rsidRPr="00D72FD2">
        <w:rPr>
          <w:rFonts w:ascii="Times New Roman" w:eastAsia="宋体" w:hAnsi="Times New Roman" w:cs="Times New Roman"/>
          <w:sz w:val="24"/>
          <w:szCs w:val="24"/>
        </w:rPr>
        <w:t>情感、态度、价值观类目标：</w:t>
      </w:r>
      <w:r w:rsidRPr="00D72FD2">
        <w:rPr>
          <w:rFonts w:ascii="Times New Roman" w:eastAsia="宋体" w:hAnsi="Times New Roman" w:cs="Times New Roman" w:hint="eastAsia"/>
          <w:sz w:val="24"/>
          <w:szCs w:val="24"/>
        </w:rPr>
        <w:t>使</w:t>
      </w:r>
      <w:r w:rsidRPr="00D72FD2">
        <w:rPr>
          <w:rFonts w:ascii="Times New Roman" w:eastAsia="宋体" w:hAnsi="Times New Roman" w:cs="Times New Roman"/>
          <w:sz w:val="24"/>
          <w:szCs w:val="24"/>
        </w:rPr>
        <w:t>科学素养与伦理道德相结合</w:t>
      </w:r>
      <w:r w:rsidRPr="00D72FD2">
        <w:rPr>
          <w:rFonts w:ascii="Times New Roman" w:eastAsia="宋体" w:hAnsi="Times New Roman" w:cs="Times New Roman" w:hint="eastAsia"/>
          <w:sz w:val="24"/>
          <w:szCs w:val="24"/>
        </w:rPr>
        <w:t>，培养学生</w:t>
      </w:r>
      <w:r w:rsidRPr="00D72FD2">
        <w:rPr>
          <w:rFonts w:ascii="Times New Roman" w:eastAsia="宋体" w:hAnsi="Times New Roman" w:cs="Times New Roman"/>
          <w:sz w:val="24"/>
          <w:szCs w:val="24"/>
        </w:rPr>
        <w:t>严谨的科学精神和专业素养，并严守道德和良心的底线。</w:t>
      </w:r>
    </w:p>
    <w:p w14:paraId="055AE369" w14:textId="77777777" w:rsidR="00D72FD2" w:rsidRPr="00D72FD2" w:rsidRDefault="00D72FD2" w:rsidP="00D72FD2">
      <w:pPr>
        <w:adjustRightInd w:val="0"/>
        <w:snapToGrid w:val="0"/>
        <w:spacing w:line="440" w:lineRule="exact"/>
        <w:ind w:firstLineChars="200" w:firstLine="482"/>
        <w:rPr>
          <w:rFonts w:ascii="Times New Roman" w:eastAsia="宋体" w:hAnsi="Times New Roman" w:cs="Times New Roman"/>
          <w:b/>
          <w:sz w:val="24"/>
          <w:szCs w:val="24"/>
        </w:rPr>
      </w:pPr>
      <w:r w:rsidRPr="00D72FD2">
        <w:rPr>
          <w:rFonts w:ascii="Times New Roman" w:eastAsia="宋体" w:hAnsi="Times New Roman" w:cs="Times New Roman"/>
          <w:b/>
          <w:sz w:val="24"/>
          <w:szCs w:val="24"/>
        </w:rPr>
        <w:t>【学习内容】</w:t>
      </w:r>
    </w:p>
    <w:p w14:paraId="0AD2F1A3"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1.</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hint="eastAsia"/>
          <w:sz w:val="24"/>
          <w:szCs w:val="24"/>
        </w:rPr>
        <w:t>红外</w:t>
      </w:r>
      <w:r w:rsidRPr="00D72FD2">
        <w:rPr>
          <w:rFonts w:ascii="Times New Roman" w:eastAsia="宋体" w:hAnsi="Times New Roman" w:cs="Times New Roman"/>
          <w:sz w:val="24"/>
          <w:szCs w:val="24"/>
        </w:rPr>
        <w:t>光</w:t>
      </w:r>
      <w:r w:rsidRPr="00D72FD2">
        <w:rPr>
          <w:rFonts w:ascii="Times New Roman" w:eastAsia="宋体" w:hAnsi="Times New Roman" w:cs="Times New Roman" w:hint="eastAsia"/>
          <w:sz w:val="24"/>
          <w:szCs w:val="24"/>
        </w:rPr>
        <w:t>谱基本理论及相关参数</w:t>
      </w:r>
      <w:r w:rsidRPr="00D72FD2">
        <w:rPr>
          <w:rFonts w:ascii="Times New Roman" w:eastAsia="宋体" w:hAnsi="Times New Roman" w:cs="Times New Roman"/>
          <w:sz w:val="24"/>
          <w:szCs w:val="24"/>
        </w:rPr>
        <w:t>。</w:t>
      </w:r>
    </w:p>
    <w:p w14:paraId="598CC06C"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lastRenderedPageBreak/>
        <w:t>2.</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hint="eastAsia"/>
          <w:sz w:val="24"/>
          <w:szCs w:val="24"/>
        </w:rPr>
        <w:t>红外</w:t>
      </w:r>
      <w:r w:rsidRPr="00D72FD2">
        <w:rPr>
          <w:rFonts w:ascii="Times New Roman" w:eastAsia="宋体" w:hAnsi="Times New Roman" w:cs="Times New Roman"/>
          <w:sz w:val="24"/>
          <w:szCs w:val="24"/>
        </w:rPr>
        <w:t>光</w:t>
      </w:r>
      <w:r w:rsidRPr="00D72FD2">
        <w:rPr>
          <w:rFonts w:ascii="Times New Roman" w:eastAsia="宋体" w:hAnsi="Times New Roman" w:cs="Times New Roman" w:hint="eastAsia"/>
          <w:sz w:val="24"/>
          <w:szCs w:val="24"/>
        </w:rPr>
        <w:t>谱在药物鉴别、检查中的应用</w:t>
      </w:r>
      <w:r w:rsidRPr="00D72FD2">
        <w:rPr>
          <w:rFonts w:ascii="Times New Roman" w:eastAsia="宋体" w:hAnsi="Times New Roman" w:cs="Times New Roman"/>
          <w:sz w:val="24"/>
          <w:szCs w:val="24"/>
        </w:rPr>
        <w:t>。</w:t>
      </w:r>
    </w:p>
    <w:p w14:paraId="07BED0A5" w14:textId="77777777" w:rsidR="00D72FD2" w:rsidRPr="00D72FD2" w:rsidRDefault="00D72FD2" w:rsidP="00D72FD2">
      <w:pPr>
        <w:autoSpaceDE w:val="0"/>
        <w:autoSpaceDN w:val="0"/>
        <w:adjustRightInd w:val="0"/>
        <w:snapToGrid w:val="0"/>
        <w:spacing w:line="440" w:lineRule="exact"/>
        <w:ind w:firstLineChars="150" w:firstLine="361"/>
        <w:jc w:val="left"/>
        <w:rPr>
          <w:rFonts w:ascii="Times New Roman" w:eastAsia="宋体" w:hAnsi="Times New Roman" w:cs="Times New Roman"/>
          <w:kern w:val="0"/>
          <w:sz w:val="24"/>
          <w:szCs w:val="24"/>
        </w:rPr>
      </w:pPr>
      <w:r w:rsidRPr="00D72FD2">
        <w:rPr>
          <w:rFonts w:ascii="Times New Roman" w:eastAsia="宋体" w:hAnsi="Times New Roman" w:cs="Times New Roman"/>
          <w:b/>
          <w:sz w:val="24"/>
          <w:szCs w:val="24"/>
        </w:rPr>
        <w:t>【重点】</w:t>
      </w:r>
      <w:r w:rsidRPr="00D72FD2">
        <w:rPr>
          <w:rFonts w:ascii="Times New Roman" w:eastAsia="宋体" w:hAnsi="Times New Roman" w:cs="Times New Roman" w:hint="eastAsia"/>
          <w:sz w:val="24"/>
          <w:szCs w:val="24"/>
        </w:rPr>
        <w:t>红外</w:t>
      </w:r>
      <w:r w:rsidRPr="00D72FD2">
        <w:rPr>
          <w:rFonts w:ascii="Times New Roman" w:eastAsia="宋体" w:hAnsi="Times New Roman" w:cs="Times New Roman"/>
          <w:sz w:val="24"/>
          <w:szCs w:val="24"/>
        </w:rPr>
        <w:t>光</w:t>
      </w:r>
      <w:r w:rsidRPr="00D72FD2">
        <w:rPr>
          <w:rFonts w:ascii="Times New Roman" w:eastAsia="宋体" w:hAnsi="Times New Roman" w:cs="Times New Roman" w:hint="eastAsia"/>
          <w:sz w:val="24"/>
          <w:szCs w:val="24"/>
        </w:rPr>
        <w:t>谱在药物鉴别、检查中的应用</w:t>
      </w:r>
      <w:r w:rsidRPr="00D72FD2">
        <w:rPr>
          <w:rFonts w:ascii="Times New Roman" w:eastAsia="宋体" w:hAnsi="Times New Roman" w:cs="Times New Roman"/>
          <w:sz w:val="24"/>
          <w:szCs w:val="24"/>
        </w:rPr>
        <w:t>。</w:t>
      </w:r>
    </w:p>
    <w:p w14:paraId="3E570283" w14:textId="77777777" w:rsidR="00D72FD2" w:rsidRPr="00D72FD2" w:rsidRDefault="00D72FD2" w:rsidP="00D72FD2">
      <w:pPr>
        <w:widowControl/>
        <w:adjustRightInd w:val="0"/>
        <w:snapToGrid w:val="0"/>
        <w:spacing w:line="440" w:lineRule="exact"/>
        <w:ind w:firstLine="420"/>
        <w:jc w:val="left"/>
        <w:rPr>
          <w:rFonts w:ascii="Times New Roman" w:eastAsia="宋体" w:hAnsi="Times New Roman" w:cs="Times New Roman"/>
          <w:kern w:val="0"/>
          <w:sz w:val="24"/>
          <w:szCs w:val="24"/>
        </w:rPr>
      </w:pPr>
      <w:r w:rsidRPr="00D72FD2">
        <w:rPr>
          <w:rFonts w:ascii="Times New Roman" w:eastAsia="宋体" w:hAnsi="Times New Roman" w:cs="Times New Roman"/>
          <w:b/>
          <w:kern w:val="0"/>
          <w:sz w:val="24"/>
          <w:szCs w:val="24"/>
        </w:rPr>
        <w:t>【难点】</w:t>
      </w:r>
      <w:r w:rsidRPr="00D72FD2">
        <w:rPr>
          <w:rFonts w:ascii="宋体" w:eastAsia="宋体" w:hAnsi="宋体" w:cs="宋体" w:hint="eastAsia"/>
          <w:color w:val="000000"/>
          <w:kern w:val="0"/>
          <w:sz w:val="24"/>
          <w:szCs w:val="24"/>
        </w:rPr>
        <w:t>红外光谱在药物鉴别、检查应用中解析方法</w:t>
      </w:r>
      <w:r w:rsidRPr="00D72FD2">
        <w:rPr>
          <w:rFonts w:ascii="Times New Roman" w:eastAsia="宋体" w:hAnsi="Times New Roman" w:cs="Times New Roman"/>
          <w:kern w:val="0"/>
          <w:sz w:val="24"/>
          <w:szCs w:val="24"/>
        </w:rPr>
        <w:t>。</w:t>
      </w:r>
    </w:p>
    <w:p w14:paraId="2B083AC0" w14:textId="77777777" w:rsidR="00D72FD2" w:rsidRPr="00D72FD2" w:rsidRDefault="00D72FD2" w:rsidP="00D72FD2">
      <w:pPr>
        <w:widowControl/>
        <w:adjustRightInd w:val="0"/>
        <w:snapToGrid w:val="0"/>
        <w:spacing w:line="440" w:lineRule="exact"/>
        <w:ind w:firstLine="420"/>
        <w:jc w:val="left"/>
        <w:rPr>
          <w:rFonts w:ascii="Times New Roman" w:eastAsia="宋体" w:hAnsi="Times New Roman" w:cs="Times New Roman"/>
          <w:b/>
          <w:bCs/>
          <w:kern w:val="0"/>
          <w:sz w:val="24"/>
          <w:szCs w:val="24"/>
        </w:rPr>
      </w:pPr>
      <w:r w:rsidRPr="00D72FD2">
        <w:rPr>
          <w:rFonts w:ascii="Times New Roman" w:eastAsia="宋体" w:hAnsi="Times New Roman" w:cs="Times New Roman"/>
          <w:b/>
          <w:bCs/>
          <w:kern w:val="0"/>
          <w:sz w:val="24"/>
          <w:szCs w:val="24"/>
        </w:rPr>
        <w:t>【教学方法】</w:t>
      </w:r>
    </w:p>
    <w:p w14:paraId="75C2A573"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4752147A"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通过案例分析，告诫学生在学习工作中需要严谨的科学精神和专业素养，并严守道德和良心的底线。</w:t>
      </w:r>
    </w:p>
    <w:p w14:paraId="32E87525" w14:textId="77777777" w:rsidR="00D72FD2" w:rsidRPr="00D72FD2" w:rsidRDefault="00D72FD2" w:rsidP="00D72FD2">
      <w:pPr>
        <w:adjustRightInd w:val="0"/>
        <w:snapToGrid w:val="0"/>
        <w:spacing w:line="440" w:lineRule="exact"/>
        <w:ind w:firstLineChars="200" w:firstLine="482"/>
        <w:rPr>
          <w:rFonts w:ascii="Times New Roman" w:eastAsia="宋体" w:hAnsi="Times New Roman" w:cs="Times New Roman"/>
          <w:b/>
          <w:sz w:val="24"/>
          <w:szCs w:val="24"/>
        </w:rPr>
      </w:pPr>
      <w:r w:rsidRPr="00D72FD2">
        <w:rPr>
          <w:rFonts w:ascii="Times New Roman" w:eastAsia="宋体" w:hAnsi="Times New Roman" w:cs="Times New Roman"/>
          <w:b/>
          <w:sz w:val="24"/>
          <w:szCs w:val="24"/>
        </w:rPr>
        <w:t>【复习思考】</w:t>
      </w:r>
    </w:p>
    <w:p w14:paraId="1AE2EAB4" w14:textId="77777777" w:rsidR="00D72FD2" w:rsidRPr="00D72FD2" w:rsidRDefault="00D72FD2" w:rsidP="00D72FD2">
      <w:pPr>
        <w:autoSpaceDE w:val="0"/>
        <w:autoSpaceDN w:val="0"/>
        <w:adjustRightInd w:val="0"/>
        <w:snapToGrid w:val="0"/>
        <w:spacing w:line="440" w:lineRule="exact"/>
        <w:ind w:firstLineChars="200" w:firstLine="480"/>
        <w:jc w:val="left"/>
        <w:rPr>
          <w:rFonts w:ascii="Times New Roman" w:eastAsia="宋体" w:hAnsi="Times New Roman" w:cs="Times New Roman" w:hint="eastAsia"/>
          <w:sz w:val="24"/>
          <w:szCs w:val="20"/>
        </w:rPr>
      </w:pPr>
      <w:r w:rsidRPr="00D72FD2">
        <w:rPr>
          <w:rFonts w:ascii="Times New Roman" w:eastAsia="宋体" w:hAnsi="Times New Roman" w:cs="Times New Roman"/>
          <w:sz w:val="24"/>
          <w:szCs w:val="20"/>
        </w:rPr>
        <w:t>1.</w:t>
      </w:r>
      <w:r w:rsidRPr="00D72FD2">
        <w:rPr>
          <w:rFonts w:ascii="Times New Roman" w:eastAsia="宋体" w:hAnsi="Times New Roman" w:cs="Times New Roman" w:hint="eastAsia"/>
          <w:szCs w:val="24"/>
        </w:rPr>
        <w:t xml:space="preserve"> </w:t>
      </w:r>
      <w:r w:rsidRPr="00D72FD2">
        <w:rPr>
          <w:rFonts w:ascii="Times New Roman" w:eastAsia="宋体" w:hAnsi="Times New Roman" w:cs="Times New Roman" w:hint="eastAsia"/>
          <w:sz w:val="24"/>
          <w:szCs w:val="20"/>
        </w:rPr>
        <w:t>采用红外光谱法对药品进行定性鉴别时，结果如何判定？</w:t>
      </w:r>
    </w:p>
    <w:p w14:paraId="0E52C234" w14:textId="77777777" w:rsidR="00D72FD2" w:rsidRPr="00D72FD2" w:rsidRDefault="00D72FD2" w:rsidP="00D72FD2">
      <w:pPr>
        <w:adjustRightInd w:val="0"/>
        <w:snapToGrid w:val="0"/>
        <w:spacing w:beforeLines="50" w:before="156" w:afterLines="50" w:after="156" w:line="440" w:lineRule="exact"/>
        <w:jc w:val="center"/>
        <w:rPr>
          <w:rFonts w:ascii="Times New Roman" w:eastAsia="黑体" w:hAnsi="Times New Roman" w:cs="Times New Roman"/>
          <w:sz w:val="28"/>
          <w:szCs w:val="28"/>
        </w:rPr>
      </w:pPr>
      <w:r w:rsidRPr="00D72FD2">
        <w:rPr>
          <w:rFonts w:ascii="Times New Roman" w:eastAsia="黑体" w:hAnsi="Times New Roman" w:cs="Times New Roman"/>
          <w:sz w:val="28"/>
          <w:szCs w:val="28"/>
        </w:rPr>
        <w:t>第四章</w:t>
      </w:r>
      <w:r w:rsidRPr="00D72FD2">
        <w:rPr>
          <w:rFonts w:ascii="Times New Roman" w:eastAsia="黑体" w:hAnsi="Times New Roman" w:cs="Times New Roman"/>
          <w:sz w:val="28"/>
          <w:szCs w:val="28"/>
        </w:rPr>
        <w:t xml:space="preserve"> </w:t>
      </w:r>
      <w:r w:rsidRPr="00D72FD2">
        <w:rPr>
          <w:rFonts w:ascii="Times New Roman" w:eastAsia="黑体" w:hAnsi="Times New Roman" w:cs="Times New Roman" w:hint="eastAsia"/>
          <w:sz w:val="28"/>
          <w:szCs w:val="28"/>
        </w:rPr>
        <w:t>质</w:t>
      </w:r>
      <w:r w:rsidRPr="00D72FD2">
        <w:rPr>
          <w:rFonts w:ascii="Times New Roman" w:eastAsia="黑体" w:hAnsi="Times New Roman" w:cs="Times New Roman"/>
          <w:sz w:val="28"/>
          <w:szCs w:val="28"/>
        </w:rPr>
        <w:t>谱法</w:t>
      </w:r>
    </w:p>
    <w:p w14:paraId="17F0EAF5" w14:textId="77777777" w:rsidR="00D72FD2" w:rsidRPr="00D72FD2" w:rsidRDefault="00D72FD2" w:rsidP="00D72FD2">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D72FD2">
        <w:rPr>
          <w:rFonts w:ascii="Times New Roman" w:eastAsia="宋体" w:hAnsi="Times New Roman" w:cs="Times New Roman"/>
          <w:b/>
          <w:sz w:val="24"/>
          <w:szCs w:val="24"/>
        </w:rPr>
        <w:t>【学习目标】</w:t>
      </w:r>
    </w:p>
    <w:p w14:paraId="107276F9"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1.</w:t>
      </w:r>
      <w:r w:rsidRPr="00D72FD2">
        <w:rPr>
          <w:rFonts w:ascii="Times New Roman" w:eastAsia="宋体" w:hAnsi="Times New Roman" w:cs="Times New Roman"/>
          <w:sz w:val="24"/>
          <w:szCs w:val="24"/>
        </w:rPr>
        <w:t>认知类目标：</w:t>
      </w:r>
      <w:r w:rsidRPr="00D72FD2">
        <w:rPr>
          <w:rFonts w:ascii="Times New Roman" w:eastAsia="宋体" w:hAnsi="Times New Roman" w:cs="Times New Roman"/>
          <w:sz w:val="24"/>
          <w:szCs w:val="20"/>
        </w:rPr>
        <w:t>掌握</w:t>
      </w:r>
      <w:r w:rsidRPr="00D72FD2">
        <w:rPr>
          <w:rFonts w:ascii="Times New Roman" w:eastAsia="宋体" w:hAnsi="Times New Roman" w:cs="Times New Roman" w:hint="eastAsia"/>
          <w:sz w:val="24"/>
          <w:szCs w:val="20"/>
        </w:rPr>
        <w:t>质谱法</w:t>
      </w:r>
      <w:r w:rsidRPr="00D72FD2">
        <w:rPr>
          <w:rFonts w:ascii="Times New Roman" w:eastAsia="宋体" w:hAnsi="Times New Roman" w:cs="Times New Roman"/>
          <w:sz w:val="24"/>
          <w:szCs w:val="20"/>
        </w:rPr>
        <w:t>的基本</w:t>
      </w:r>
      <w:r w:rsidRPr="00D72FD2">
        <w:rPr>
          <w:rFonts w:ascii="Times New Roman" w:eastAsia="宋体" w:hAnsi="Times New Roman" w:cs="Times New Roman" w:hint="eastAsia"/>
          <w:sz w:val="24"/>
          <w:szCs w:val="20"/>
        </w:rPr>
        <w:t>原理</w:t>
      </w:r>
      <w:r w:rsidRPr="00D72FD2">
        <w:rPr>
          <w:rFonts w:ascii="Times New Roman" w:eastAsia="宋体" w:hAnsi="Times New Roman" w:cs="Times New Roman" w:hint="eastAsia"/>
          <w:sz w:val="24"/>
          <w:szCs w:val="24"/>
        </w:rPr>
        <w:t>及相关参数。</w:t>
      </w:r>
    </w:p>
    <w:p w14:paraId="124AEA41"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hint="eastAsia"/>
          <w:sz w:val="24"/>
          <w:szCs w:val="20"/>
        </w:rPr>
      </w:pPr>
      <w:r w:rsidRPr="00D72FD2">
        <w:rPr>
          <w:rFonts w:ascii="Times New Roman" w:eastAsia="宋体" w:hAnsi="Times New Roman" w:cs="Times New Roman"/>
          <w:sz w:val="24"/>
          <w:szCs w:val="24"/>
        </w:rPr>
        <w:t>2.</w:t>
      </w:r>
      <w:r w:rsidRPr="00D72FD2">
        <w:rPr>
          <w:rFonts w:ascii="Times New Roman" w:eastAsia="宋体" w:hAnsi="Times New Roman" w:cs="Times New Roman"/>
          <w:sz w:val="24"/>
          <w:szCs w:val="24"/>
        </w:rPr>
        <w:t>过程与方法类目标：</w:t>
      </w:r>
      <w:r w:rsidRPr="00D72FD2">
        <w:rPr>
          <w:rFonts w:ascii="Times New Roman" w:eastAsia="宋体" w:hAnsi="Times New Roman" w:cs="Times New Roman"/>
          <w:sz w:val="24"/>
          <w:szCs w:val="20"/>
        </w:rPr>
        <w:t>掌握</w:t>
      </w:r>
      <w:r w:rsidRPr="00D72FD2">
        <w:rPr>
          <w:rFonts w:ascii="Times New Roman" w:eastAsia="宋体" w:hAnsi="Times New Roman" w:cs="Times New Roman" w:hint="eastAsia"/>
          <w:sz w:val="24"/>
          <w:szCs w:val="20"/>
        </w:rPr>
        <w:t>质谱法</w:t>
      </w:r>
      <w:r w:rsidRPr="00D72FD2">
        <w:rPr>
          <w:rFonts w:ascii="Times New Roman" w:eastAsia="宋体" w:hAnsi="Times New Roman" w:cs="Times New Roman"/>
          <w:sz w:val="24"/>
          <w:szCs w:val="20"/>
        </w:rPr>
        <w:t>的基本操作流程及注意事项</w:t>
      </w:r>
      <w:r w:rsidRPr="00D72FD2">
        <w:rPr>
          <w:rFonts w:ascii="Times New Roman" w:eastAsia="宋体" w:hAnsi="Times New Roman" w:cs="Times New Roman" w:hint="eastAsia"/>
          <w:sz w:val="24"/>
          <w:szCs w:val="20"/>
        </w:rPr>
        <w:t>；</w:t>
      </w:r>
      <w:r w:rsidRPr="00D72FD2">
        <w:rPr>
          <w:rFonts w:ascii="Times New Roman" w:eastAsia="宋体" w:hAnsi="Times New Roman" w:cs="Times New Roman"/>
          <w:sz w:val="24"/>
          <w:szCs w:val="20"/>
        </w:rPr>
        <w:t>掌握</w:t>
      </w:r>
      <w:r w:rsidRPr="00D72FD2">
        <w:rPr>
          <w:rFonts w:ascii="Times New Roman" w:eastAsia="宋体" w:hAnsi="Times New Roman" w:cs="Times New Roman" w:hint="eastAsia"/>
          <w:sz w:val="24"/>
          <w:szCs w:val="20"/>
        </w:rPr>
        <w:t>主要的化合物质谱特征参数。</w:t>
      </w:r>
    </w:p>
    <w:p w14:paraId="5F097124"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0"/>
        </w:rPr>
      </w:pPr>
      <w:r w:rsidRPr="00D72FD2">
        <w:rPr>
          <w:rFonts w:ascii="Times New Roman" w:eastAsia="宋体" w:hAnsi="Times New Roman" w:cs="Times New Roman"/>
          <w:sz w:val="24"/>
          <w:szCs w:val="24"/>
        </w:rPr>
        <w:t>3.</w:t>
      </w:r>
      <w:r w:rsidRPr="00D72FD2">
        <w:rPr>
          <w:rFonts w:ascii="Times New Roman" w:eastAsia="宋体" w:hAnsi="Times New Roman" w:cs="Times New Roman"/>
          <w:sz w:val="24"/>
          <w:szCs w:val="24"/>
        </w:rPr>
        <w:t>情感、态度、价值观类目标：</w:t>
      </w:r>
      <w:r w:rsidRPr="00D72FD2">
        <w:rPr>
          <w:rFonts w:ascii="Times New Roman" w:eastAsia="宋体" w:hAnsi="Times New Roman" w:cs="Times New Roman"/>
          <w:sz w:val="24"/>
          <w:szCs w:val="20"/>
        </w:rPr>
        <w:t>了解国内仪器现状，促进学生学好当下知识。</w:t>
      </w:r>
    </w:p>
    <w:p w14:paraId="08464E65" w14:textId="77777777" w:rsidR="00D72FD2" w:rsidRPr="00D72FD2" w:rsidRDefault="00D72FD2" w:rsidP="00D72FD2">
      <w:pPr>
        <w:adjustRightInd w:val="0"/>
        <w:snapToGrid w:val="0"/>
        <w:spacing w:line="440" w:lineRule="exact"/>
        <w:ind w:firstLineChars="200" w:firstLine="482"/>
        <w:rPr>
          <w:rFonts w:ascii="Times New Roman" w:eastAsia="宋体" w:hAnsi="Times New Roman" w:cs="Times New Roman"/>
          <w:b/>
          <w:sz w:val="24"/>
          <w:szCs w:val="24"/>
        </w:rPr>
      </w:pPr>
      <w:r w:rsidRPr="00D72FD2">
        <w:rPr>
          <w:rFonts w:ascii="Times New Roman" w:eastAsia="宋体" w:hAnsi="Times New Roman" w:cs="Times New Roman"/>
          <w:b/>
          <w:sz w:val="24"/>
          <w:szCs w:val="24"/>
        </w:rPr>
        <w:t>【学习内容】</w:t>
      </w:r>
    </w:p>
    <w:p w14:paraId="0C3A23C7"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0"/>
        </w:rPr>
      </w:pPr>
      <w:r w:rsidRPr="00D72FD2">
        <w:rPr>
          <w:rFonts w:ascii="Times New Roman" w:eastAsia="宋体" w:hAnsi="Times New Roman" w:cs="Times New Roman"/>
          <w:sz w:val="24"/>
          <w:szCs w:val="20"/>
        </w:rPr>
        <w:t>1.</w:t>
      </w:r>
      <w:r w:rsidRPr="00D72FD2">
        <w:rPr>
          <w:rFonts w:ascii="Times New Roman" w:eastAsia="宋体" w:hAnsi="Times New Roman" w:cs="Times New Roman" w:hint="eastAsia"/>
          <w:sz w:val="24"/>
          <w:szCs w:val="20"/>
        </w:rPr>
        <w:t xml:space="preserve"> </w:t>
      </w:r>
      <w:r w:rsidRPr="00D72FD2">
        <w:rPr>
          <w:rFonts w:ascii="Times New Roman" w:eastAsia="宋体" w:hAnsi="Times New Roman" w:cs="Times New Roman" w:hint="eastAsia"/>
          <w:sz w:val="24"/>
          <w:szCs w:val="20"/>
        </w:rPr>
        <w:t>质谱法</w:t>
      </w:r>
      <w:r w:rsidRPr="00D72FD2">
        <w:rPr>
          <w:rFonts w:ascii="Times New Roman" w:eastAsia="宋体" w:hAnsi="Times New Roman" w:cs="Times New Roman"/>
          <w:sz w:val="24"/>
          <w:szCs w:val="20"/>
        </w:rPr>
        <w:t>的基本</w:t>
      </w:r>
      <w:r w:rsidRPr="00D72FD2">
        <w:rPr>
          <w:rFonts w:ascii="Times New Roman" w:eastAsia="宋体" w:hAnsi="Times New Roman" w:cs="Times New Roman" w:hint="eastAsia"/>
          <w:sz w:val="24"/>
          <w:szCs w:val="20"/>
        </w:rPr>
        <w:t>原理</w:t>
      </w:r>
      <w:r w:rsidRPr="00D72FD2">
        <w:rPr>
          <w:rFonts w:ascii="Times New Roman" w:eastAsia="宋体" w:hAnsi="Times New Roman" w:cs="Times New Roman" w:hint="eastAsia"/>
          <w:sz w:val="24"/>
          <w:szCs w:val="24"/>
        </w:rPr>
        <w:t>、</w:t>
      </w:r>
      <w:r w:rsidRPr="00D72FD2">
        <w:rPr>
          <w:rFonts w:ascii="Times New Roman" w:eastAsia="宋体" w:hAnsi="Times New Roman" w:cs="Times New Roman" w:hint="eastAsia"/>
          <w:sz w:val="24"/>
          <w:szCs w:val="20"/>
        </w:rPr>
        <w:t>特征参数</w:t>
      </w:r>
      <w:r w:rsidRPr="00D72FD2">
        <w:rPr>
          <w:rFonts w:ascii="Times New Roman" w:eastAsia="宋体" w:hAnsi="Times New Roman" w:cs="Times New Roman"/>
          <w:sz w:val="24"/>
          <w:szCs w:val="20"/>
        </w:rPr>
        <w:t>。</w:t>
      </w:r>
    </w:p>
    <w:p w14:paraId="2D7B4DC7"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0"/>
        </w:rPr>
      </w:pPr>
      <w:r w:rsidRPr="00D72FD2">
        <w:rPr>
          <w:rFonts w:ascii="Times New Roman" w:eastAsia="宋体" w:hAnsi="Times New Roman" w:cs="Times New Roman"/>
          <w:sz w:val="24"/>
          <w:szCs w:val="20"/>
        </w:rPr>
        <w:t>2.</w:t>
      </w:r>
      <w:r w:rsidRPr="00D72FD2">
        <w:rPr>
          <w:rFonts w:ascii="Times New Roman" w:eastAsia="宋体" w:hAnsi="Times New Roman" w:cs="Times New Roman" w:hint="eastAsia"/>
          <w:sz w:val="24"/>
          <w:szCs w:val="20"/>
        </w:rPr>
        <w:t xml:space="preserve"> </w:t>
      </w:r>
      <w:r w:rsidRPr="00D72FD2">
        <w:rPr>
          <w:rFonts w:ascii="Times New Roman" w:eastAsia="宋体" w:hAnsi="Times New Roman" w:cs="Times New Roman" w:hint="eastAsia"/>
          <w:sz w:val="24"/>
          <w:szCs w:val="20"/>
        </w:rPr>
        <w:t>质谱法</w:t>
      </w:r>
      <w:r w:rsidRPr="00D72FD2">
        <w:rPr>
          <w:rFonts w:ascii="Times New Roman" w:eastAsia="宋体" w:hAnsi="Times New Roman" w:cs="Times New Roman"/>
          <w:sz w:val="24"/>
          <w:szCs w:val="20"/>
        </w:rPr>
        <w:t>与其他光谱法的比较。</w:t>
      </w:r>
    </w:p>
    <w:p w14:paraId="6E63A5E1"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0"/>
        </w:rPr>
      </w:pPr>
      <w:r w:rsidRPr="00D72FD2">
        <w:rPr>
          <w:rFonts w:ascii="Times New Roman" w:eastAsia="宋体" w:hAnsi="Times New Roman" w:cs="Times New Roman"/>
          <w:sz w:val="24"/>
          <w:szCs w:val="20"/>
        </w:rPr>
        <w:t>3.</w:t>
      </w:r>
      <w:r w:rsidRPr="00D72FD2">
        <w:rPr>
          <w:rFonts w:ascii="Times New Roman" w:eastAsia="宋体" w:hAnsi="Times New Roman" w:cs="Times New Roman" w:hint="eastAsia"/>
          <w:sz w:val="24"/>
          <w:szCs w:val="20"/>
        </w:rPr>
        <w:t xml:space="preserve"> </w:t>
      </w:r>
      <w:r w:rsidRPr="00D72FD2">
        <w:rPr>
          <w:rFonts w:ascii="Times New Roman" w:eastAsia="宋体" w:hAnsi="Times New Roman" w:cs="Times New Roman" w:hint="eastAsia"/>
          <w:sz w:val="24"/>
          <w:szCs w:val="20"/>
        </w:rPr>
        <w:t>质谱法</w:t>
      </w:r>
      <w:r w:rsidRPr="00D72FD2">
        <w:rPr>
          <w:rFonts w:ascii="Times New Roman" w:eastAsia="宋体" w:hAnsi="Times New Roman" w:cs="Times New Roman"/>
          <w:sz w:val="24"/>
          <w:szCs w:val="20"/>
        </w:rPr>
        <w:t>的基本装置</w:t>
      </w:r>
      <w:r w:rsidRPr="00D72FD2">
        <w:rPr>
          <w:rFonts w:ascii="Times New Roman" w:eastAsia="宋体" w:hAnsi="Times New Roman" w:cs="Times New Roman" w:hint="eastAsia"/>
          <w:sz w:val="24"/>
          <w:szCs w:val="20"/>
        </w:rPr>
        <w:t>及相关操作技术</w:t>
      </w:r>
      <w:r w:rsidRPr="00D72FD2">
        <w:rPr>
          <w:rFonts w:ascii="Times New Roman" w:eastAsia="宋体" w:hAnsi="Times New Roman" w:cs="Times New Roman"/>
          <w:sz w:val="24"/>
          <w:szCs w:val="20"/>
        </w:rPr>
        <w:t>。</w:t>
      </w:r>
    </w:p>
    <w:p w14:paraId="7FDF99BA"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0"/>
        </w:rPr>
      </w:pPr>
      <w:r w:rsidRPr="00D72FD2">
        <w:rPr>
          <w:rFonts w:ascii="Times New Roman" w:eastAsia="宋体" w:hAnsi="Times New Roman" w:cs="Times New Roman" w:hint="eastAsia"/>
          <w:sz w:val="24"/>
          <w:szCs w:val="20"/>
        </w:rPr>
        <w:t>4</w:t>
      </w:r>
      <w:r w:rsidRPr="00D72FD2">
        <w:rPr>
          <w:rFonts w:ascii="Times New Roman" w:eastAsia="宋体" w:hAnsi="Times New Roman" w:cs="Times New Roman"/>
          <w:sz w:val="24"/>
          <w:szCs w:val="20"/>
        </w:rPr>
        <w:t>.</w:t>
      </w:r>
      <w:r w:rsidRPr="00D72FD2">
        <w:rPr>
          <w:rFonts w:ascii="Times New Roman" w:eastAsia="宋体" w:hAnsi="Times New Roman" w:cs="Times New Roman" w:hint="eastAsia"/>
          <w:sz w:val="24"/>
          <w:szCs w:val="20"/>
        </w:rPr>
        <w:t xml:space="preserve"> </w:t>
      </w:r>
      <w:r w:rsidRPr="00D72FD2">
        <w:rPr>
          <w:rFonts w:ascii="Times New Roman" w:eastAsia="宋体" w:hAnsi="Times New Roman" w:cs="Times New Roman" w:hint="eastAsia"/>
          <w:sz w:val="24"/>
          <w:szCs w:val="20"/>
        </w:rPr>
        <w:t>质谱法与色谱的联用</w:t>
      </w:r>
      <w:r w:rsidRPr="00D72FD2">
        <w:rPr>
          <w:rFonts w:ascii="Times New Roman" w:eastAsia="宋体" w:hAnsi="Times New Roman" w:cs="Times New Roman"/>
          <w:sz w:val="24"/>
          <w:szCs w:val="20"/>
        </w:rPr>
        <w:t>。</w:t>
      </w:r>
    </w:p>
    <w:p w14:paraId="4019717A" w14:textId="77777777" w:rsidR="00D72FD2" w:rsidRPr="00D72FD2" w:rsidRDefault="00D72FD2" w:rsidP="00D72FD2">
      <w:pPr>
        <w:adjustRightInd w:val="0"/>
        <w:snapToGrid w:val="0"/>
        <w:spacing w:line="440" w:lineRule="exact"/>
        <w:ind w:firstLineChars="200" w:firstLine="482"/>
        <w:rPr>
          <w:rFonts w:ascii="Times New Roman" w:eastAsia="宋体" w:hAnsi="Times New Roman" w:cs="Times New Roman"/>
          <w:sz w:val="24"/>
          <w:szCs w:val="20"/>
        </w:rPr>
      </w:pPr>
      <w:r w:rsidRPr="00D72FD2">
        <w:rPr>
          <w:rFonts w:ascii="Times New Roman" w:eastAsia="宋体" w:hAnsi="Times New Roman" w:cs="Times New Roman"/>
          <w:b/>
          <w:sz w:val="24"/>
          <w:szCs w:val="24"/>
        </w:rPr>
        <w:t>【重点】</w:t>
      </w:r>
      <w:r w:rsidRPr="00D72FD2">
        <w:rPr>
          <w:rFonts w:ascii="Times New Roman" w:eastAsia="宋体" w:hAnsi="Times New Roman" w:cs="Times New Roman" w:hint="eastAsia"/>
          <w:sz w:val="24"/>
          <w:szCs w:val="20"/>
        </w:rPr>
        <w:t>质谱法</w:t>
      </w:r>
      <w:r w:rsidRPr="00D72FD2">
        <w:rPr>
          <w:rFonts w:ascii="Times New Roman" w:eastAsia="宋体" w:hAnsi="Times New Roman" w:cs="Times New Roman"/>
          <w:sz w:val="24"/>
          <w:szCs w:val="20"/>
        </w:rPr>
        <w:t>的</w:t>
      </w:r>
      <w:r w:rsidRPr="00D72FD2">
        <w:rPr>
          <w:rFonts w:ascii="Times New Roman" w:eastAsia="宋体" w:hAnsi="Times New Roman" w:cs="Times New Roman" w:hint="eastAsia"/>
          <w:sz w:val="24"/>
          <w:szCs w:val="20"/>
        </w:rPr>
        <w:t>特征参数</w:t>
      </w:r>
      <w:r w:rsidRPr="00D72FD2">
        <w:rPr>
          <w:rFonts w:ascii="Times New Roman" w:eastAsia="宋体" w:hAnsi="Times New Roman" w:cs="Times New Roman"/>
          <w:sz w:val="24"/>
          <w:szCs w:val="24"/>
        </w:rPr>
        <w:t>；</w:t>
      </w:r>
      <w:r w:rsidRPr="00D72FD2">
        <w:rPr>
          <w:rFonts w:ascii="Times New Roman" w:eastAsia="宋体" w:hAnsi="Times New Roman" w:cs="Times New Roman" w:hint="eastAsia"/>
          <w:sz w:val="24"/>
          <w:szCs w:val="20"/>
        </w:rPr>
        <w:t>质谱法与色谱的联用</w:t>
      </w:r>
      <w:r w:rsidRPr="00D72FD2">
        <w:rPr>
          <w:rFonts w:ascii="Times New Roman" w:eastAsia="宋体" w:hAnsi="Times New Roman" w:cs="Times New Roman"/>
          <w:sz w:val="24"/>
          <w:szCs w:val="20"/>
        </w:rPr>
        <w:t>。</w:t>
      </w:r>
    </w:p>
    <w:p w14:paraId="2B23275E" w14:textId="77777777" w:rsidR="00D72FD2" w:rsidRPr="00D72FD2" w:rsidRDefault="00D72FD2" w:rsidP="00D72FD2">
      <w:pPr>
        <w:adjustRightInd w:val="0"/>
        <w:snapToGrid w:val="0"/>
        <w:spacing w:line="440" w:lineRule="exact"/>
        <w:ind w:firstLineChars="200" w:firstLine="482"/>
        <w:rPr>
          <w:rFonts w:ascii="Times New Roman" w:eastAsia="宋体" w:hAnsi="Times New Roman" w:cs="Times New Roman"/>
          <w:sz w:val="24"/>
          <w:szCs w:val="20"/>
        </w:rPr>
      </w:pPr>
      <w:r w:rsidRPr="00D72FD2">
        <w:rPr>
          <w:rFonts w:ascii="Times New Roman" w:eastAsia="宋体" w:hAnsi="Times New Roman" w:cs="Times New Roman"/>
          <w:b/>
          <w:sz w:val="24"/>
          <w:szCs w:val="24"/>
        </w:rPr>
        <w:t>【难点】</w:t>
      </w:r>
      <w:r w:rsidRPr="00D72FD2">
        <w:rPr>
          <w:rFonts w:ascii="Times New Roman" w:eastAsia="宋体" w:hAnsi="Times New Roman" w:cs="Times New Roman" w:hint="eastAsia"/>
          <w:sz w:val="24"/>
          <w:szCs w:val="20"/>
        </w:rPr>
        <w:t>质谱法与色谱的联用</w:t>
      </w:r>
      <w:r w:rsidRPr="00D72FD2">
        <w:rPr>
          <w:rFonts w:ascii="Times New Roman" w:eastAsia="宋体" w:hAnsi="Times New Roman" w:cs="Times New Roman"/>
          <w:sz w:val="24"/>
          <w:szCs w:val="20"/>
        </w:rPr>
        <w:t>。</w:t>
      </w:r>
    </w:p>
    <w:p w14:paraId="7EAA1703" w14:textId="77777777" w:rsidR="00D72FD2" w:rsidRPr="00D72FD2" w:rsidRDefault="00D72FD2" w:rsidP="00D72FD2">
      <w:pPr>
        <w:adjustRightInd w:val="0"/>
        <w:snapToGrid w:val="0"/>
        <w:spacing w:line="440" w:lineRule="exact"/>
        <w:ind w:firstLineChars="200" w:firstLine="482"/>
        <w:rPr>
          <w:rFonts w:ascii="Times New Roman" w:eastAsia="宋体" w:hAnsi="Times New Roman" w:cs="Times New Roman"/>
          <w:b/>
          <w:bCs/>
          <w:sz w:val="24"/>
          <w:szCs w:val="24"/>
        </w:rPr>
      </w:pPr>
      <w:r w:rsidRPr="00D72FD2">
        <w:rPr>
          <w:rFonts w:ascii="Times New Roman" w:eastAsia="宋体" w:hAnsi="Times New Roman" w:cs="Times New Roman"/>
          <w:b/>
          <w:bCs/>
          <w:sz w:val="24"/>
          <w:szCs w:val="24"/>
        </w:rPr>
        <w:t>【教学方法】</w:t>
      </w:r>
    </w:p>
    <w:p w14:paraId="5E41D46F"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1.</w:t>
      </w:r>
      <w:r w:rsidRPr="00D72FD2">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1E7F9A64"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b/>
          <w:bCs/>
          <w:sz w:val="24"/>
          <w:szCs w:val="24"/>
        </w:rPr>
      </w:pPr>
      <w:r w:rsidRPr="00D72FD2">
        <w:rPr>
          <w:rFonts w:ascii="Times New Roman" w:eastAsia="宋体" w:hAnsi="Times New Roman" w:cs="Times New Roman"/>
          <w:sz w:val="24"/>
          <w:szCs w:val="24"/>
        </w:rPr>
        <w:t>2.</w:t>
      </w:r>
      <w:r w:rsidRPr="00D72FD2">
        <w:rPr>
          <w:rFonts w:ascii="Times New Roman" w:eastAsia="宋体" w:hAnsi="Times New Roman" w:cs="Times New Roman"/>
          <w:sz w:val="24"/>
          <w:szCs w:val="24"/>
        </w:rPr>
        <w:t>通过案例分析，强调理论与实践相结合，促进学生知识整合，培养学生的反思能力；</w:t>
      </w:r>
    </w:p>
    <w:p w14:paraId="2052AFAB" w14:textId="77777777" w:rsidR="00D72FD2" w:rsidRPr="00D72FD2" w:rsidRDefault="00D72FD2" w:rsidP="00D72FD2">
      <w:pPr>
        <w:adjustRightInd w:val="0"/>
        <w:snapToGrid w:val="0"/>
        <w:spacing w:line="440" w:lineRule="exact"/>
        <w:ind w:firstLineChars="200" w:firstLine="482"/>
        <w:rPr>
          <w:rFonts w:ascii="Times New Roman" w:eastAsia="宋体" w:hAnsi="Times New Roman" w:cs="Times New Roman"/>
          <w:b/>
          <w:sz w:val="24"/>
          <w:szCs w:val="24"/>
        </w:rPr>
      </w:pPr>
      <w:r w:rsidRPr="00D72FD2">
        <w:rPr>
          <w:rFonts w:ascii="Times New Roman" w:eastAsia="宋体" w:hAnsi="Times New Roman" w:cs="Times New Roman"/>
          <w:b/>
          <w:sz w:val="24"/>
          <w:szCs w:val="24"/>
        </w:rPr>
        <w:t>【复习思考】</w:t>
      </w:r>
    </w:p>
    <w:p w14:paraId="1F29F596" w14:textId="77777777" w:rsidR="00D72FD2" w:rsidRPr="00D72FD2" w:rsidRDefault="00D72FD2" w:rsidP="00D72FD2">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r w:rsidRPr="00D72FD2">
        <w:rPr>
          <w:rFonts w:ascii="Times New Roman" w:eastAsia="宋体" w:hAnsi="Times New Roman" w:cs="Times New Roman"/>
          <w:sz w:val="24"/>
          <w:szCs w:val="20"/>
        </w:rPr>
        <w:t>1.</w:t>
      </w:r>
      <w:r w:rsidRPr="00D72FD2">
        <w:rPr>
          <w:rFonts w:ascii="Times New Roman" w:eastAsia="宋体" w:hAnsi="Times New Roman" w:cs="Times New Roman" w:hint="eastAsia"/>
          <w:sz w:val="24"/>
          <w:szCs w:val="20"/>
        </w:rPr>
        <w:t xml:space="preserve"> </w:t>
      </w:r>
      <w:r w:rsidRPr="00D72FD2">
        <w:rPr>
          <w:rFonts w:ascii="Times New Roman" w:eastAsia="宋体" w:hAnsi="Times New Roman" w:cs="Times New Roman" w:hint="eastAsia"/>
          <w:sz w:val="24"/>
          <w:szCs w:val="20"/>
        </w:rPr>
        <w:t>质谱法与</w:t>
      </w:r>
      <w:r w:rsidRPr="00D72FD2">
        <w:rPr>
          <w:rFonts w:ascii="Times New Roman" w:eastAsia="宋体" w:hAnsi="Times New Roman" w:cs="Times New Roman"/>
          <w:sz w:val="24"/>
          <w:szCs w:val="20"/>
        </w:rPr>
        <w:t>其他光谱法的比较。</w:t>
      </w:r>
    </w:p>
    <w:p w14:paraId="27BF3364" w14:textId="77777777" w:rsidR="00D72FD2" w:rsidRPr="00D72FD2" w:rsidRDefault="00D72FD2" w:rsidP="00D72FD2">
      <w:pPr>
        <w:spacing w:beforeLines="50" w:before="156" w:afterLines="50" w:after="156" w:line="440" w:lineRule="exact"/>
        <w:ind w:left="561"/>
        <w:rPr>
          <w:rFonts w:ascii="Times New Roman" w:eastAsia="仿宋" w:hAnsi="Times New Roman" w:cs="Times New Roman"/>
          <w:sz w:val="24"/>
          <w:szCs w:val="24"/>
        </w:rPr>
      </w:pPr>
      <w:r w:rsidRPr="00D72FD2">
        <w:rPr>
          <w:rFonts w:ascii="Times New Roman" w:eastAsia="黑体" w:hAnsi="Times New Roman" w:cs="Times New Roman"/>
          <w:sz w:val="28"/>
          <w:szCs w:val="28"/>
        </w:rPr>
        <w:lastRenderedPageBreak/>
        <w:t>（二）课程学习内容与课程学习目标的对应关系</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99"/>
        <w:gridCol w:w="2358"/>
        <w:gridCol w:w="1962"/>
        <w:gridCol w:w="1538"/>
      </w:tblGrid>
      <w:tr w:rsidR="00D72FD2" w:rsidRPr="00D72FD2" w14:paraId="368ED178" w14:textId="77777777" w:rsidTr="006B1C7F">
        <w:trPr>
          <w:trHeight w:val="660"/>
          <w:jc w:val="center"/>
        </w:trPr>
        <w:tc>
          <w:tcPr>
            <w:tcW w:w="3499" w:type="dxa"/>
            <w:vAlign w:val="center"/>
          </w:tcPr>
          <w:p w14:paraId="6D234A22" w14:textId="77777777" w:rsidR="00D72FD2" w:rsidRPr="00D72FD2" w:rsidRDefault="00D72FD2" w:rsidP="00D72FD2">
            <w:pPr>
              <w:spacing w:line="440" w:lineRule="exact"/>
              <w:jc w:val="center"/>
              <w:rPr>
                <w:rFonts w:ascii="Times New Roman" w:eastAsia="宋体" w:hAnsi="Times New Roman" w:cs="Times New Roman"/>
                <w:b/>
                <w:bCs/>
                <w:sz w:val="24"/>
                <w:szCs w:val="24"/>
              </w:rPr>
            </w:pPr>
            <w:r w:rsidRPr="00D72FD2">
              <w:rPr>
                <w:rFonts w:ascii="Times New Roman" w:eastAsia="宋体" w:hAnsi="Times New Roman" w:cs="Times New Roman"/>
                <w:b/>
                <w:bCs/>
                <w:sz w:val="24"/>
                <w:szCs w:val="24"/>
              </w:rPr>
              <w:t>课程学习内容</w:t>
            </w:r>
          </w:p>
        </w:tc>
        <w:tc>
          <w:tcPr>
            <w:tcW w:w="2358" w:type="dxa"/>
            <w:vAlign w:val="center"/>
          </w:tcPr>
          <w:p w14:paraId="7DDFED23" w14:textId="77777777" w:rsidR="00D72FD2" w:rsidRPr="00D72FD2" w:rsidRDefault="00D72FD2" w:rsidP="00D72FD2">
            <w:pPr>
              <w:spacing w:line="440" w:lineRule="exact"/>
              <w:jc w:val="center"/>
              <w:rPr>
                <w:rFonts w:ascii="Times New Roman" w:eastAsia="宋体" w:hAnsi="Times New Roman" w:cs="Times New Roman"/>
                <w:b/>
                <w:bCs/>
                <w:sz w:val="24"/>
                <w:szCs w:val="24"/>
              </w:rPr>
            </w:pPr>
            <w:r w:rsidRPr="00D72FD2">
              <w:rPr>
                <w:rFonts w:ascii="Times New Roman" w:eastAsia="宋体" w:hAnsi="Times New Roman" w:cs="Times New Roman"/>
                <w:b/>
                <w:bCs/>
                <w:sz w:val="24"/>
                <w:szCs w:val="24"/>
              </w:rPr>
              <w:t>教学方法</w:t>
            </w:r>
          </w:p>
        </w:tc>
        <w:tc>
          <w:tcPr>
            <w:tcW w:w="1962" w:type="dxa"/>
            <w:vAlign w:val="center"/>
          </w:tcPr>
          <w:p w14:paraId="12996269" w14:textId="77777777" w:rsidR="00D72FD2" w:rsidRPr="00D72FD2" w:rsidRDefault="00D72FD2" w:rsidP="00D72FD2">
            <w:pPr>
              <w:spacing w:line="440" w:lineRule="exact"/>
              <w:jc w:val="center"/>
              <w:rPr>
                <w:rFonts w:ascii="Times New Roman" w:eastAsia="宋体" w:hAnsi="Times New Roman" w:cs="Times New Roman"/>
                <w:b/>
                <w:bCs/>
                <w:sz w:val="24"/>
                <w:szCs w:val="24"/>
              </w:rPr>
            </w:pPr>
            <w:r w:rsidRPr="00D72FD2">
              <w:rPr>
                <w:rFonts w:ascii="Times New Roman" w:eastAsia="宋体" w:hAnsi="Times New Roman" w:cs="Times New Roman"/>
                <w:b/>
                <w:bCs/>
                <w:sz w:val="24"/>
                <w:szCs w:val="24"/>
              </w:rPr>
              <w:t>支撑的课程目标</w:t>
            </w:r>
          </w:p>
        </w:tc>
        <w:tc>
          <w:tcPr>
            <w:tcW w:w="1538" w:type="dxa"/>
            <w:vAlign w:val="center"/>
          </w:tcPr>
          <w:p w14:paraId="21611204" w14:textId="77777777" w:rsidR="00D72FD2" w:rsidRPr="00D72FD2" w:rsidRDefault="00D72FD2" w:rsidP="00D72FD2">
            <w:pPr>
              <w:spacing w:line="440" w:lineRule="exact"/>
              <w:jc w:val="center"/>
              <w:rPr>
                <w:rFonts w:ascii="Times New Roman" w:eastAsia="宋体" w:hAnsi="Times New Roman" w:cs="Times New Roman"/>
                <w:b/>
                <w:bCs/>
                <w:sz w:val="24"/>
                <w:szCs w:val="24"/>
              </w:rPr>
            </w:pPr>
            <w:r w:rsidRPr="00D72FD2">
              <w:rPr>
                <w:rFonts w:ascii="Times New Roman" w:eastAsia="宋体" w:hAnsi="Times New Roman" w:cs="Times New Roman"/>
                <w:b/>
                <w:bCs/>
                <w:sz w:val="24"/>
                <w:szCs w:val="24"/>
              </w:rPr>
              <w:t>学时</w:t>
            </w:r>
          </w:p>
          <w:p w14:paraId="23FCDBF3" w14:textId="77777777" w:rsidR="00D72FD2" w:rsidRPr="00D72FD2" w:rsidRDefault="00D72FD2" w:rsidP="00D72FD2">
            <w:pPr>
              <w:spacing w:line="440" w:lineRule="exact"/>
              <w:jc w:val="center"/>
              <w:rPr>
                <w:rFonts w:ascii="Times New Roman" w:eastAsia="宋体" w:hAnsi="Times New Roman" w:cs="Times New Roman"/>
                <w:b/>
                <w:bCs/>
                <w:sz w:val="24"/>
                <w:szCs w:val="24"/>
              </w:rPr>
            </w:pPr>
            <w:r w:rsidRPr="00D72FD2">
              <w:rPr>
                <w:rFonts w:ascii="Times New Roman" w:eastAsia="宋体" w:hAnsi="Times New Roman" w:cs="Times New Roman"/>
                <w:b/>
                <w:bCs/>
                <w:sz w:val="24"/>
                <w:szCs w:val="24"/>
              </w:rPr>
              <w:t>安排</w:t>
            </w:r>
          </w:p>
        </w:tc>
      </w:tr>
      <w:tr w:rsidR="00D72FD2" w:rsidRPr="00D72FD2" w14:paraId="2639AFD7" w14:textId="77777777" w:rsidTr="006B1C7F">
        <w:trPr>
          <w:trHeight w:val="648"/>
          <w:jc w:val="center"/>
        </w:trPr>
        <w:tc>
          <w:tcPr>
            <w:tcW w:w="3499" w:type="dxa"/>
          </w:tcPr>
          <w:p w14:paraId="2006BA6B" w14:textId="77777777" w:rsidR="00D72FD2" w:rsidRPr="00D72FD2" w:rsidRDefault="00D72FD2" w:rsidP="00D72FD2">
            <w:pPr>
              <w:adjustRightInd w:val="0"/>
              <w:snapToGrid w:val="0"/>
              <w:spacing w:line="440" w:lineRule="exact"/>
              <w:jc w:val="left"/>
              <w:rPr>
                <w:rFonts w:ascii="Times New Roman" w:eastAsia="宋体" w:hAnsi="Times New Roman" w:cs="Times New Roman"/>
                <w:sz w:val="24"/>
                <w:szCs w:val="24"/>
              </w:rPr>
            </w:pPr>
            <w:r w:rsidRPr="00D72FD2">
              <w:rPr>
                <w:rFonts w:ascii="Times New Roman" w:eastAsia="宋体" w:hAnsi="Times New Roman" w:cs="Times New Roman"/>
                <w:sz w:val="24"/>
                <w:szCs w:val="24"/>
              </w:rPr>
              <w:t>第一章</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sz w:val="24"/>
                <w:szCs w:val="24"/>
              </w:rPr>
              <w:t>概论</w:t>
            </w:r>
          </w:p>
        </w:tc>
        <w:tc>
          <w:tcPr>
            <w:tcW w:w="2358" w:type="dxa"/>
            <w:vAlign w:val="center"/>
          </w:tcPr>
          <w:p w14:paraId="3D2A5BD6"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讲授法</w:t>
            </w:r>
          </w:p>
        </w:tc>
        <w:tc>
          <w:tcPr>
            <w:tcW w:w="1962" w:type="dxa"/>
            <w:vAlign w:val="center"/>
          </w:tcPr>
          <w:p w14:paraId="1D11E6BA" w14:textId="77777777" w:rsidR="00D72FD2" w:rsidRPr="00D72FD2" w:rsidRDefault="00D72FD2" w:rsidP="00D72FD2">
            <w:pPr>
              <w:spacing w:line="440" w:lineRule="exact"/>
              <w:jc w:val="center"/>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课程目标</w:t>
            </w:r>
            <w:r w:rsidRPr="00D72FD2">
              <w:rPr>
                <w:rFonts w:ascii="Times New Roman" w:eastAsia="宋体" w:hAnsi="Times New Roman" w:cs="Times New Roman"/>
                <w:sz w:val="24"/>
                <w:szCs w:val="24"/>
              </w:rPr>
              <w:t>1</w:t>
            </w:r>
          </w:p>
        </w:tc>
        <w:tc>
          <w:tcPr>
            <w:tcW w:w="1538" w:type="dxa"/>
            <w:vAlign w:val="center"/>
          </w:tcPr>
          <w:p w14:paraId="52CD3A12"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2</w:t>
            </w:r>
            <w:r w:rsidRPr="00D72FD2">
              <w:rPr>
                <w:rFonts w:ascii="Times New Roman" w:eastAsia="宋体" w:hAnsi="Times New Roman" w:cs="Times New Roman"/>
                <w:sz w:val="24"/>
                <w:szCs w:val="24"/>
              </w:rPr>
              <w:t>学时</w:t>
            </w:r>
          </w:p>
        </w:tc>
      </w:tr>
      <w:tr w:rsidR="00D72FD2" w:rsidRPr="00D72FD2" w14:paraId="3D03B602" w14:textId="77777777" w:rsidTr="006B1C7F">
        <w:trPr>
          <w:trHeight w:val="545"/>
          <w:jc w:val="center"/>
        </w:trPr>
        <w:tc>
          <w:tcPr>
            <w:tcW w:w="3499" w:type="dxa"/>
          </w:tcPr>
          <w:p w14:paraId="0E1B82C8" w14:textId="77777777" w:rsidR="00D72FD2" w:rsidRPr="00D72FD2" w:rsidRDefault="00D72FD2" w:rsidP="00D72FD2">
            <w:pPr>
              <w:adjustRightInd w:val="0"/>
              <w:snapToGrid w:val="0"/>
              <w:spacing w:line="440" w:lineRule="exact"/>
              <w:jc w:val="left"/>
              <w:rPr>
                <w:rFonts w:ascii="Times New Roman" w:eastAsia="宋体" w:hAnsi="Times New Roman" w:cs="Times New Roman"/>
                <w:sz w:val="24"/>
                <w:szCs w:val="24"/>
              </w:rPr>
            </w:pPr>
            <w:r w:rsidRPr="00D72FD2">
              <w:rPr>
                <w:rFonts w:ascii="Times New Roman" w:eastAsia="宋体" w:hAnsi="Times New Roman" w:cs="Times New Roman"/>
                <w:sz w:val="24"/>
                <w:szCs w:val="24"/>
              </w:rPr>
              <w:t>第二章</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hint="eastAsia"/>
                <w:sz w:val="24"/>
                <w:szCs w:val="24"/>
              </w:rPr>
              <w:t>紫外光谱法</w:t>
            </w:r>
          </w:p>
        </w:tc>
        <w:tc>
          <w:tcPr>
            <w:tcW w:w="2358" w:type="dxa"/>
            <w:vAlign w:val="center"/>
          </w:tcPr>
          <w:p w14:paraId="5074E48F"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讲授法、案例分析法</w:t>
            </w:r>
          </w:p>
        </w:tc>
        <w:tc>
          <w:tcPr>
            <w:tcW w:w="1962" w:type="dxa"/>
            <w:vAlign w:val="center"/>
          </w:tcPr>
          <w:p w14:paraId="2F711ABE"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课程目标</w:t>
            </w:r>
            <w:r w:rsidRPr="00D72FD2">
              <w:rPr>
                <w:rFonts w:ascii="Times New Roman" w:eastAsia="宋体" w:hAnsi="Times New Roman" w:cs="Times New Roman"/>
                <w:sz w:val="24"/>
                <w:szCs w:val="24"/>
              </w:rPr>
              <w:t>1-</w:t>
            </w:r>
            <w:r w:rsidRPr="00D72FD2">
              <w:rPr>
                <w:rFonts w:ascii="Times New Roman" w:eastAsia="宋体" w:hAnsi="Times New Roman" w:cs="Times New Roman" w:hint="eastAsia"/>
                <w:sz w:val="24"/>
                <w:szCs w:val="24"/>
              </w:rPr>
              <w:t>3</w:t>
            </w:r>
          </w:p>
        </w:tc>
        <w:tc>
          <w:tcPr>
            <w:tcW w:w="1538" w:type="dxa"/>
            <w:vAlign w:val="center"/>
          </w:tcPr>
          <w:p w14:paraId="211BA7DE"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hint="eastAsia"/>
                <w:sz w:val="24"/>
                <w:szCs w:val="24"/>
              </w:rPr>
              <w:t>4</w:t>
            </w:r>
            <w:r w:rsidRPr="00D72FD2">
              <w:rPr>
                <w:rFonts w:ascii="Times New Roman" w:eastAsia="宋体" w:hAnsi="Times New Roman" w:cs="Times New Roman"/>
                <w:sz w:val="24"/>
                <w:szCs w:val="24"/>
              </w:rPr>
              <w:t>学时</w:t>
            </w:r>
          </w:p>
        </w:tc>
      </w:tr>
      <w:tr w:rsidR="00D72FD2" w:rsidRPr="00D72FD2" w14:paraId="49EF560D" w14:textId="77777777" w:rsidTr="006B1C7F">
        <w:trPr>
          <w:trHeight w:val="90"/>
          <w:jc w:val="center"/>
        </w:trPr>
        <w:tc>
          <w:tcPr>
            <w:tcW w:w="3499" w:type="dxa"/>
          </w:tcPr>
          <w:p w14:paraId="526A33B5" w14:textId="77777777" w:rsidR="00D72FD2" w:rsidRPr="00D72FD2" w:rsidRDefault="00D72FD2" w:rsidP="00D72FD2">
            <w:pPr>
              <w:adjustRightInd w:val="0"/>
              <w:snapToGrid w:val="0"/>
              <w:spacing w:line="440" w:lineRule="exact"/>
              <w:jc w:val="left"/>
              <w:rPr>
                <w:rFonts w:ascii="Times New Roman" w:eastAsia="宋体" w:hAnsi="Times New Roman" w:cs="Times New Roman"/>
                <w:sz w:val="24"/>
                <w:szCs w:val="24"/>
              </w:rPr>
            </w:pPr>
            <w:r w:rsidRPr="00D72FD2">
              <w:rPr>
                <w:rFonts w:ascii="Times New Roman" w:eastAsia="宋体" w:hAnsi="Times New Roman" w:cs="Times New Roman"/>
                <w:sz w:val="24"/>
                <w:szCs w:val="24"/>
              </w:rPr>
              <w:t>第三章</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hint="eastAsia"/>
                <w:sz w:val="24"/>
                <w:szCs w:val="24"/>
              </w:rPr>
              <w:t>红外光谱法</w:t>
            </w:r>
          </w:p>
        </w:tc>
        <w:tc>
          <w:tcPr>
            <w:tcW w:w="2358" w:type="dxa"/>
            <w:vAlign w:val="center"/>
          </w:tcPr>
          <w:p w14:paraId="4F4E7D72"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讲授法、案例分析法</w:t>
            </w:r>
          </w:p>
        </w:tc>
        <w:tc>
          <w:tcPr>
            <w:tcW w:w="1962" w:type="dxa"/>
            <w:vAlign w:val="center"/>
          </w:tcPr>
          <w:p w14:paraId="112F5E53"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课程目标</w:t>
            </w:r>
            <w:r w:rsidRPr="00D72FD2">
              <w:rPr>
                <w:rFonts w:ascii="Times New Roman" w:eastAsia="宋体" w:hAnsi="Times New Roman" w:cs="Times New Roman"/>
                <w:sz w:val="24"/>
                <w:szCs w:val="24"/>
              </w:rPr>
              <w:t>1-</w:t>
            </w:r>
            <w:r w:rsidRPr="00D72FD2">
              <w:rPr>
                <w:rFonts w:ascii="Times New Roman" w:eastAsia="宋体" w:hAnsi="Times New Roman" w:cs="Times New Roman" w:hint="eastAsia"/>
                <w:sz w:val="24"/>
                <w:szCs w:val="24"/>
              </w:rPr>
              <w:t>3</w:t>
            </w:r>
          </w:p>
        </w:tc>
        <w:tc>
          <w:tcPr>
            <w:tcW w:w="1538" w:type="dxa"/>
            <w:vAlign w:val="center"/>
          </w:tcPr>
          <w:p w14:paraId="61425CCF"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hint="eastAsia"/>
                <w:sz w:val="24"/>
                <w:szCs w:val="24"/>
              </w:rPr>
              <w:t>5</w:t>
            </w:r>
            <w:r w:rsidRPr="00D72FD2">
              <w:rPr>
                <w:rFonts w:ascii="Times New Roman" w:eastAsia="宋体" w:hAnsi="Times New Roman" w:cs="Times New Roman"/>
                <w:sz w:val="24"/>
                <w:szCs w:val="24"/>
              </w:rPr>
              <w:t>学时</w:t>
            </w:r>
          </w:p>
        </w:tc>
      </w:tr>
      <w:tr w:rsidR="00D72FD2" w:rsidRPr="00D72FD2" w14:paraId="288430A9" w14:textId="77777777" w:rsidTr="006B1C7F">
        <w:trPr>
          <w:jc w:val="center"/>
        </w:trPr>
        <w:tc>
          <w:tcPr>
            <w:tcW w:w="3499" w:type="dxa"/>
          </w:tcPr>
          <w:p w14:paraId="7DC51D4A" w14:textId="77777777" w:rsidR="00D72FD2" w:rsidRPr="00D72FD2" w:rsidRDefault="00D72FD2" w:rsidP="00D72FD2">
            <w:pPr>
              <w:adjustRightInd w:val="0"/>
              <w:snapToGrid w:val="0"/>
              <w:spacing w:line="440" w:lineRule="exact"/>
              <w:jc w:val="left"/>
              <w:rPr>
                <w:rFonts w:ascii="Times New Roman" w:eastAsia="宋体" w:hAnsi="Times New Roman" w:cs="Times New Roman"/>
                <w:sz w:val="24"/>
                <w:szCs w:val="24"/>
              </w:rPr>
            </w:pPr>
            <w:r w:rsidRPr="00D72FD2">
              <w:rPr>
                <w:rFonts w:ascii="Times New Roman" w:eastAsia="宋体" w:hAnsi="Times New Roman" w:cs="Times New Roman"/>
                <w:sz w:val="24"/>
                <w:szCs w:val="24"/>
              </w:rPr>
              <w:t>第四章</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hint="eastAsia"/>
                <w:sz w:val="24"/>
                <w:szCs w:val="24"/>
              </w:rPr>
              <w:t>质</w:t>
            </w:r>
            <w:r w:rsidRPr="00D72FD2">
              <w:rPr>
                <w:rFonts w:ascii="Times New Roman" w:eastAsia="宋体" w:hAnsi="Times New Roman" w:cs="Times New Roman"/>
                <w:sz w:val="24"/>
                <w:szCs w:val="24"/>
              </w:rPr>
              <w:t>谱法</w:t>
            </w:r>
          </w:p>
        </w:tc>
        <w:tc>
          <w:tcPr>
            <w:tcW w:w="2358" w:type="dxa"/>
            <w:vAlign w:val="center"/>
          </w:tcPr>
          <w:p w14:paraId="0E01A7A8"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讲授法、案例分析法</w:t>
            </w:r>
          </w:p>
        </w:tc>
        <w:tc>
          <w:tcPr>
            <w:tcW w:w="1962" w:type="dxa"/>
            <w:vAlign w:val="center"/>
          </w:tcPr>
          <w:p w14:paraId="70899099"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课程目标</w:t>
            </w:r>
            <w:r w:rsidRPr="00D72FD2">
              <w:rPr>
                <w:rFonts w:ascii="Times New Roman" w:eastAsia="宋体" w:hAnsi="Times New Roman" w:cs="Times New Roman"/>
                <w:sz w:val="24"/>
                <w:szCs w:val="24"/>
              </w:rPr>
              <w:t>1-</w:t>
            </w:r>
            <w:r w:rsidRPr="00D72FD2">
              <w:rPr>
                <w:rFonts w:ascii="Times New Roman" w:eastAsia="宋体" w:hAnsi="Times New Roman" w:cs="Times New Roman" w:hint="eastAsia"/>
                <w:sz w:val="24"/>
                <w:szCs w:val="24"/>
              </w:rPr>
              <w:t>3</w:t>
            </w:r>
          </w:p>
        </w:tc>
        <w:tc>
          <w:tcPr>
            <w:tcW w:w="1538" w:type="dxa"/>
            <w:vAlign w:val="center"/>
          </w:tcPr>
          <w:p w14:paraId="687D431A"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hint="eastAsia"/>
                <w:sz w:val="24"/>
                <w:szCs w:val="24"/>
              </w:rPr>
              <w:t>5</w:t>
            </w:r>
            <w:r w:rsidRPr="00D72FD2">
              <w:rPr>
                <w:rFonts w:ascii="Times New Roman" w:eastAsia="宋体" w:hAnsi="Times New Roman" w:cs="Times New Roman"/>
                <w:sz w:val="24"/>
                <w:szCs w:val="24"/>
              </w:rPr>
              <w:t>学时</w:t>
            </w:r>
          </w:p>
        </w:tc>
      </w:tr>
      <w:tr w:rsidR="00D72FD2" w:rsidRPr="00D72FD2" w14:paraId="2543FA7A" w14:textId="77777777" w:rsidTr="006B1C7F">
        <w:trPr>
          <w:jc w:val="center"/>
        </w:trPr>
        <w:tc>
          <w:tcPr>
            <w:tcW w:w="7819" w:type="dxa"/>
            <w:gridSpan w:val="3"/>
            <w:vAlign w:val="center"/>
          </w:tcPr>
          <w:p w14:paraId="724B92AA" w14:textId="77777777" w:rsidR="00D72FD2" w:rsidRPr="00D72FD2" w:rsidRDefault="00D72FD2" w:rsidP="00D72FD2">
            <w:pPr>
              <w:spacing w:line="440" w:lineRule="exact"/>
              <w:jc w:val="center"/>
              <w:rPr>
                <w:rFonts w:ascii="Times New Roman" w:eastAsia="宋体" w:hAnsi="Times New Roman" w:cs="Times New Roman"/>
                <w:b/>
                <w:sz w:val="24"/>
                <w:szCs w:val="24"/>
              </w:rPr>
            </w:pPr>
            <w:r w:rsidRPr="00D72FD2">
              <w:rPr>
                <w:rFonts w:ascii="Times New Roman" w:eastAsia="宋体" w:hAnsi="Times New Roman" w:cs="Times New Roman"/>
                <w:b/>
                <w:sz w:val="24"/>
                <w:szCs w:val="24"/>
              </w:rPr>
              <w:t>合计</w:t>
            </w:r>
          </w:p>
        </w:tc>
        <w:tc>
          <w:tcPr>
            <w:tcW w:w="1538" w:type="dxa"/>
            <w:vAlign w:val="center"/>
          </w:tcPr>
          <w:p w14:paraId="58468AB4" w14:textId="77777777" w:rsidR="00D72FD2" w:rsidRPr="00D72FD2" w:rsidRDefault="00D72FD2" w:rsidP="00D72FD2">
            <w:pPr>
              <w:spacing w:line="440" w:lineRule="exact"/>
              <w:jc w:val="center"/>
              <w:rPr>
                <w:rFonts w:ascii="Times New Roman" w:eastAsia="宋体" w:hAnsi="Times New Roman" w:cs="Times New Roman"/>
                <w:sz w:val="24"/>
                <w:szCs w:val="24"/>
              </w:rPr>
            </w:pPr>
            <w:r w:rsidRPr="00D72FD2">
              <w:rPr>
                <w:rFonts w:ascii="Times New Roman" w:eastAsia="宋体" w:hAnsi="Times New Roman" w:cs="Times New Roman"/>
                <w:sz w:val="24"/>
                <w:szCs w:val="24"/>
              </w:rPr>
              <w:t>16</w:t>
            </w:r>
            <w:r w:rsidRPr="00D72FD2">
              <w:rPr>
                <w:rFonts w:ascii="Times New Roman" w:eastAsia="宋体" w:hAnsi="Times New Roman" w:cs="Times New Roman"/>
                <w:sz w:val="24"/>
                <w:szCs w:val="24"/>
              </w:rPr>
              <w:t>学时</w:t>
            </w:r>
          </w:p>
        </w:tc>
      </w:tr>
    </w:tbl>
    <w:p w14:paraId="3BECE10E" w14:textId="77777777" w:rsidR="00D72FD2" w:rsidRPr="00D72FD2" w:rsidRDefault="00D72FD2" w:rsidP="00D72FD2">
      <w:pPr>
        <w:spacing w:beforeLines="50" w:before="156" w:afterLines="50" w:after="156" w:line="440" w:lineRule="exact"/>
        <w:ind w:firstLineChars="200" w:firstLine="560"/>
        <w:rPr>
          <w:rFonts w:ascii="Times New Roman" w:eastAsia="宋体" w:hAnsi="Times New Roman" w:cs="Times New Roman"/>
          <w:sz w:val="24"/>
          <w:szCs w:val="24"/>
        </w:rPr>
      </w:pPr>
      <w:r w:rsidRPr="00D72FD2">
        <w:rPr>
          <w:rFonts w:ascii="Times New Roman" w:eastAsia="黑体" w:hAnsi="Times New Roman" w:cs="Times New Roman"/>
          <w:sz w:val="28"/>
          <w:szCs w:val="28"/>
        </w:rPr>
        <w:t>四、课程考核及与课程学习目标的对应关系</w:t>
      </w:r>
    </w:p>
    <w:p w14:paraId="09829B8C" w14:textId="77777777" w:rsidR="00D72FD2" w:rsidRPr="00D72FD2" w:rsidRDefault="00D72FD2" w:rsidP="00D72FD2">
      <w:pPr>
        <w:spacing w:beforeLines="50" w:before="156" w:afterLines="50" w:after="156" w:line="440" w:lineRule="exact"/>
        <w:ind w:firstLineChars="200" w:firstLine="560"/>
        <w:rPr>
          <w:rFonts w:ascii="Times New Roman" w:eastAsia="黑体" w:hAnsi="Times New Roman" w:cs="Times New Roman"/>
          <w:sz w:val="28"/>
          <w:szCs w:val="28"/>
        </w:rPr>
      </w:pPr>
      <w:r w:rsidRPr="00D72FD2">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D72FD2" w:rsidRPr="00D72FD2" w14:paraId="3A6D9C27" w14:textId="77777777" w:rsidTr="006B1C7F">
        <w:trPr>
          <w:trHeight w:val="515"/>
          <w:jc w:val="center"/>
        </w:trPr>
        <w:tc>
          <w:tcPr>
            <w:tcW w:w="1422" w:type="dxa"/>
          </w:tcPr>
          <w:p w14:paraId="72960BF2" w14:textId="77777777" w:rsidR="00D72FD2" w:rsidRPr="00D72FD2" w:rsidRDefault="00D72FD2" w:rsidP="00D72FD2">
            <w:pPr>
              <w:spacing w:line="440" w:lineRule="exact"/>
              <w:jc w:val="center"/>
              <w:rPr>
                <w:rFonts w:ascii="Times New Roman" w:eastAsia="宋体" w:hAnsi="Times New Roman" w:cs="Times New Roman"/>
                <w:b/>
                <w:sz w:val="24"/>
                <w:szCs w:val="24"/>
              </w:rPr>
            </w:pPr>
            <w:r w:rsidRPr="00D72FD2">
              <w:rPr>
                <w:rFonts w:ascii="Times New Roman" w:eastAsia="宋体" w:hAnsi="Times New Roman" w:cs="Times New Roman"/>
                <w:b/>
                <w:sz w:val="24"/>
                <w:szCs w:val="24"/>
              </w:rPr>
              <w:t>课程目标</w:t>
            </w:r>
          </w:p>
        </w:tc>
        <w:tc>
          <w:tcPr>
            <w:tcW w:w="7918" w:type="dxa"/>
            <w:vAlign w:val="center"/>
          </w:tcPr>
          <w:p w14:paraId="015524B3" w14:textId="77777777" w:rsidR="00D72FD2" w:rsidRPr="00D72FD2" w:rsidRDefault="00D72FD2" w:rsidP="00D72FD2">
            <w:pPr>
              <w:spacing w:line="440" w:lineRule="exact"/>
              <w:jc w:val="center"/>
              <w:rPr>
                <w:rFonts w:ascii="Times New Roman" w:eastAsia="宋体" w:hAnsi="Times New Roman" w:cs="Times New Roman"/>
                <w:b/>
                <w:sz w:val="24"/>
                <w:szCs w:val="24"/>
              </w:rPr>
            </w:pPr>
            <w:r w:rsidRPr="00D72FD2">
              <w:rPr>
                <w:rFonts w:ascii="Times New Roman" w:eastAsia="宋体" w:hAnsi="Times New Roman" w:cs="Times New Roman"/>
                <w:b/>
                <w:sz w:val="24"/>
                <w:szCs w:val="24"/>
              </w:rPr>
              <w:t>考核内容</w:t>
            </w:r>
          </w:p>
        </w:tc>
      </w:tr>
      <w:tr w:rsidR="00D72FD2" w:rsidRPr="00D72FD2" w14:paraId="0F812468" w14:textId="77777777" w:rsidTr="006B1C7F">
        <w:trPr>
          <w:jc w:val="center"/>
        </w:trPr>
        <w:tc>
          <w:tcPr>
            <w:tcW w:w="1422" w:type="dxa"/>
            <w:vAlign w:val="center"/>
          </w:tcPr>
          <w:p w14:paraId="1A0C55B2" w14:textId="77777777" w:rsidR="00D72FD2" w:rsidRPr="00D72FD2" w:rsidRDefault="00D72FD2" w:rsidP="00D72FD2">
            <w:pPr>
              <w:spacing w:line="440" w:lineRule="exact"/>
              <w:jc w:val="center"/>
              <w:rPr>
                <w:rFonts w:ascii="Times New Roman" w:eastAsia="宋体" w:hAnsi="Times New Roman" w:cs="Times New Roman"/>
                <w:bCs/>
                <w:sz w:val="24"/>
                <w:szCs w:val="24"/>
              </w:rPr>
            </w:pPr>
            <w:r w:rsidRPr="00D72FD2">
              <w:rPr>
                <w:rFonts w:ascii="Times New Roman" w:eastAsia="宋体" w:hAnsi="Times New Roman" w:cs="Times New Roman"/>
                <w:bCs/>
                <w:sz w:val="24"/>
                <w:szCs w:val="24"/>
              </w:rPr>
              <w:t>课程目标</w:t>
            </w:r>
            <w:r w:rsidRPr="00D72FD2">
              <w:rPr>
                <w:rFonts w:ascii="Times New Roman" w:eastAsia="宋体" w:hAnsi="Times New Roman" w:cs="Times New Roman"/>
                <w:bCs/>
                <w:sz w:val="24"/>
                <w:szCs w:val="24"/>
              </w:rPr>
              <w:t>1</w:t>
            </w:r>
          </w:p>
        </w:tc>
        <w:tc>
          <w:tcPr>
            <w:tcW w:w="7918" w:type="dxa"/>
            <w:vAlign w:val="center"/>
          </w:tcPr>
          <w:p w14:paraId="66403E37" w14:textId="77777777" w:rsidR="00D72FD2" w:rsidRPr="00D72FD2" w:rsidRDefault="00D72FD2" w:rsidP="00D72FD2">
            <w:pPr>
              <w:spacing w:line="440" w:lineRule="exact"/>
              <w:rPr>
                <w:rFonts w:ascii="Times New Roman" w:eastAsia="宋体" w:hAnsi="Times New Roman" w:cs="Times New Roman"/>
                <w:kern w:val="0"/>
                <w:sz w:val="24"/>
                <w:szCs w:val="24"/>
              </w:rPr>
            </w:pPr>
            <w:r w:rsidRPr="00D72FD2">
              <w:rPr>
                <w:rFonts w:ascii="Times New Roman" w:eastAsia="宋体" w:hAnsi="Times New Roman" w:cs="Times New Roman"/>
                <w:kern w:val="0"/>
                <w:sz w:val="24"/>
                <w:szCs w:val="24"/>
              </w:rPr>
              <w:t>1.</w:t>
            </w:r>
            <w:r w:rsidRPr="00D72FD2">
              <w:rPr>
                <w:rFonts w:ascii="Times New Roman" w:eastAsia="宋体" w:hAnsi="Times New Roman" w:cs="Times New Roman" w:hint="eastAsia"/>
                <w:kern w:val="0"/>
                <w:sz w:val="24"/>
                <w:szCs w:val="24"/>
              </w:rPr>
              <w:t xml:space="preserve"> </w:t>
            </w:r>
            <w:r w:rsidRPr="00D72FD2">
              <w:rPr>
                <w:rFonts w:ascii="Times New Roman" w:eastAsia="宋体" w:hAnsi="Times New Roman" w:cs="Times New Roman"/>
                <w:kern w:val="0"/>
                <w:sz w:val="24"/>
                <w:szCs w:val="24"/>
              </w:rPr>
              <w:t>光谱法的定义、特点及分类。</w:t>
            </w:r>
          </w:p>
          <w:p w14:paraId="499FB8CB" w14:textId="77777777" w:rsidR="00D72FD2" w:rsidRPr="00D72FD2" w:rsidRDefault="00D72FD2" w:rsidP="00D72FD2">
            <w:pPr>
              <w:spacing w:line="440" w:lineRule="exact"/>
              <w:rPr>
                <w:rFonts w:ascii="Times New Roman" w:eastAsia="宋体" w:hAnsi="Times New Roman" w:cs="Times New Roman"/>
                <w:sz w:val="24"/>
                <w:szCs w:val="24"/>
              </w:rPr>
            </w:pPr>
            <w:r w:rsidRPr="00D72FD2">
              <w:rPr>
                <w:rFonts w:ascii="Times New Roman" w:eastAsia="宋体" w:hAnsi="Times New Roman" w:cs="Times New Roman"/>
                <w:kern w:val="0"/>
                <w:sz w:val="24"/>
                <w:szCs w:val="24"/>
              </w:rPr>
              <w:t>2.</w:t>
            </w:r>
            <w:r w:rsidRPr="00D72FD2">
              <w:rPr>
                <w:rFonts w:ascii="Times New Roman" w:eastAsia="宋体" w:hAnsi="Times New Roman" w:cs="Times New Roman" w:hint="eastAsia"/>
                <w:kern w:val="0"/>
                <w:sz w:val="24"/>
                <w:szCs w:val="24"/>
              </w:rPr>
              <w:t xml:space="preserve"> </w:t>
            </w:r>
            <w:r w:rsidRPr="00D72FD2">
              <w:rPr>
                <w:rFonts w:ascii="Times New Roman" w:eastAsia="宋体" w:hAnsi="Times New Roman" w:cs="Times New Roman"/>
                <w:kern w:val="0"/>
                <w:sz w:val="24"/>
                <w:szCs w:val="24"/>
              </w:rPr>
              <w:t>光谱法的基本术语及理论。</w:t>
            </w:r>
          </w:p>
        </w:tc>
      </w:tr>
      <w:tr w:rsidR="00D72FD2" w:rsidRPr="00D72FD2" w14:paraId="77EC495B" w14:textId="77777777" w:rsidTr="006B1C7F">
        <w:trPr>
          <w:jc w:val="center"/>
        </w:trPr>
        <w:tc>
          <w:tcPr>
            <w:tcW w:w="1422" w:type="dxa"/>
            <w:vAlign w:val="center"/>
          </w:tcPr>
          <w:p w14:paraId="685E6965" w14:textId="77777777" w:rsidR="00D72FD2" w:rsidRPr="00D72FD2" w:rsidRDefault="00D72FD2" w:rsidP="00D72FD2">
            <w:pPr>
              <w:spacing w:line="440" w:lineRule="exact"/>
              <w:jc w:val="center"/>
              <w:rPr>
                <w:rFonts w:ascii="Times New Roman" w:eastAsia="宋体" w:hAnsi="Times New Roman" w:cs="Times New Roman" w:hint="eastAsia"/>
                <w:bCs/>
                <w:sz w:val="24"/>
                <w:szCs w:val="24"/>
              </w:rPr>
            </w:pPr>
            <w:r w:rsidRPr="00D72FD2">
              <w:rPr>
                <w:rFonts w:ascii="Times New Roman" w:eastAsia="宋体" w:hAnsi="Times New Roman" w:cs="Times New Roman"/>
                <w:bCs/>
                <w:sz w:val="24"/>
                <w:szCs w:val="24"/>
              </w:rPr>
              <w:t>课程目标</w:t>
            </w:r>
            <w:r w:rsidRPr="00D72FD2">
              <w:rPr>
                <w:rFonts w:ascii="Times New Roman" w:eastAsia="宋体" w:hAnsi="Times New Roman" w:cs="Times New Roman" w:hint="eastAsia"/>
                <w:bCs/>
                <w:sz w:val="24"/>
                <w:szCs w:val="24"/>
              </w:rPr>
              <w:t>2-3</w:t>
            </w:r>
          </w:p>
        </w:tc>
        <w:tc>
          <w:tcPr>
            <w:tcW w:w="7918" w:type="dxa"/>
            <w:vAlign w:val="center"/>
          </w:tcPr>
          <w:p w14:paraId="08FE29B4" w14:textId="77777777" w:rsidR="00D72FD2" w:rsidRPr="00D72FD2" w:rsidRDefault="00D72FD2" w:rsidP="00D72FD2">
            <w:pPr>
              <w:spacing w:line="440" w:lineRule="exact"/>
              <w:rPr>
                <w:rFonts w:ascii="Times New Roman" w:eastAsia="宋体" w:hAnsi="Times New Roman" w:cs="Times New Roman"/>
                <w:kern w:val="0"/>
                <w:sz w:val="24"/>
                <w:szCs w:val="24"/>
              </w:rPr>
            </w:pPr>
            <w:r w:rsidRPr="00D72FD2">
              <w:rPr>
                <w:rFonts w:ascii="Times New Roman" w:eastAsia="宋体" w:hAnsi="Times New Roman" w:cs="Times New Roman"/>
                <w:kern w:val="0"/>
                <w:sz w:val="24"/>
                <w:szCs w:val="24"/>
              </w:rPr>
              <w:t>1.</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hint="eastAsia"/>
                <w:sz w:val="24"/>
                <w:szCs w:val="24"/>
              </w:rPr>
              <w:t>质</w:t>
            </w:r>
            <w:r w:rsidRPr="00D72FD2">
              <w:rPr>
                <w:rFonts w:ascii="Times New Roman" w:eastAsia="宋体" w:hAnsi="Times New Roman" w:cs="Times New Roman"/>
                <w:sz w:val="24"/>
                <w:szCs w:val="20"/>
              </w:rPr>
              <w:t>谱法的基本</w:t>
            </w:r>
            <w:r w:rsidRPr="00D72FD2">
              <w:rPr>
                <w:rFonts w:ascii="Times New Roman" w:eastAsia="宋体" w:hAnsi="Times New Roman" w:cs="Times New Roman" w:hint="eastAsia"/>
                <w:sz w:val="24"/>
                <w:szCs w:val="20"/>
              </w:rPr>
              <w:t>操作</w:t>
            </w:r>
            <w:r w:rsidRPr="00D72FD2">
              <w:rPr>
                <w:rFonts w:ascii="Times New Roman" w:eastAsia="宋体" w:hAnsi="Times New Roman" w:cs="Times New Roman"/>
                <w:sz w:val="24"/>
                <w:szCs w:val="20"/>
              </w:rPr>
              <w:t>及相关技术</w:t>
            </w:r>
            <w:r w:rsidRPr="00D72FD2">
              <w:rPr>
                <w:rFonts w:ascii="Times New Roman" w:eastAsia="宋体" w:hAnsi="Times New Roman" w:cs="Times New Roman"/>
                <w:kern w:val="0"/>
                <w:sz w:val="24"/>
                <w:szCs w:val="24"/>
              </w:rPr>
              <w:t>。</w:t>
            </w:r>
          </w:p>
          <w:p w14:paraId="199281FC" w14:textId="77777777" w:rsidR="00D72FD2" w:rsidRPr="00D72FD2" w:rsidRDefault="00D72FD2" w:rsidP="00D72FD2">
            <w:pPr>
              <w:spacing w:line="440" w:lineRule="exact"/>
              <w:rPr>
                <w:rFonts w:ascii="Times New Roman" w:eastAsia="宋体" w:hAnsi="Times New Roman" w:cs="Times New Roman"/>
                <w:kern w:val="0"/>
                <w:sz w:val="24"/>
                <w:szCs w:val="24"/>
              </w:rPr>
            </w:pPr>
            <w:r w:rsidRPr="00D72FD2">
              <w:rPr>
                <w:rFonts w:ascii="Times New Roman" w:eastAsia="宋体" w:hAnsi="Times New Roman" w:cs="Times New Roman"/>
                <w:kern w:val="0"/>
                <w:sz w:val="24"/>
                <w:szCs w:val="24"/>
              </w:rPr>
              <w:t>2.</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hint="eastAsia"/>
                <w:sz w:val="24"/>
                <w:szCs w:val="24"/>
              </w:rPr>
              <w:t>质</w:t>
            </w:r>
            <w:r w:rsidRPr="00D72FD2">
              <w:rPr>
                <w:rFonts w:ascii="Times New Roman" w:eastAsia="宋体" w:hAnsi="Times New Roman" w:cs="Times New Roman"/>
                <w:sz w:val="24"/>
                <w:szCs w:val="20"/>
              </w:rPr>
              <w:t>谱法与其他光谱法的比较</w:t>
            </w:r>
            <w:r w:rsidRPr="00D72FD2">
              <w:rPr>
                <w:rFonts w:ascii="Times New Roman" w:eastAsia="宋体" w:hAnsi="Times New Roman" w:cs="Times New Roman"/>
                <w:kern w:val="0"/>
                <w:sz w:val="24"/>
                <w:szCs w:val="24"/>
              </w:rPr>
              <w:t>。</w:t>
            </w:r>
          </w:p>
          <w:p w14:paraId="24915EBD" w14:textId="77777777" w:rsidR="00D72FD2" w:rsidRPr="00D72FD2" w:rsidRDefault="00D72FD2" w:rsidP="00D72FD2">
            <w:pPr>
              <w:spacing w:line="440" w:lineRule="exact"/>
              <w:rPr>
                <w:rFonts w:ascii="Times New Roman" w:eastAsia="宋体" w:hAnsi="Times New Roman" w:cs="Times New Roman"/>
                <w:sz w:val="24"/>
                <w:szCs w:val="24"/>
              </w:rPr>
            </w:pPr>
            <w:r w:rsidRPr="00D72FD2">
              <w:rPr>
                <w:rFonts w:ascii="Times New Roman" w:eastAsia="宋体" w:hAnsi="Times New Roman" w:cs="Times New Roman"/>
                <w:sz w:val="24"/>
                <w:szCs w:val="20"/>
              </w:rPr>
              <w:t>3.</w:t>
            </w:r>
            <w:r w:rsidRPr="00D72FD2">
              <w:rPr>
                <w:rFonts w:ascii="Times New Roman" w:eastAsia="宋体" w:hAnsi="Times New Roman" w:cs="Times New Roman" w:hint="eastAsia"/>
                <w:sz w:val="24"/>
                <w:szCs w:val="20"/>
              </w:rPr>
              <w:t xml:space="preserve"> </w:t>
            </w:r>
            <w:r w:rsidRPr="00D72FD2">
              <w:rPr>
                <w:rFonts w:ascii="Times New Roman" w:eastAsia="宋体" w:hAnsi="Times New Roman" w:cs="Times New Roman" w:hint="eastAsia"/>
                <w:sz w:val="24"/>
                <w:szCs w:val="20"/>
              </w:rPr>
              <w:t>红外</w:t>
            </w:r>
            <w:r w:rsidRPr="00D72FD2">
              <w:rPr>
                <w:rFonts w:ascii="Times New Roman" w:eastAsia="宋体" w:hAnsi="Times New Roman" w:cs="Times New Roman"/>
                <w:sz w:val="24"/>
                <w:szCs w:val="20"/>
              </w:rPr>
              <w:t>光谱法的基本</w:t>
            </w:r>
            <w:r w:rsidRPr="00D72FD2">
              <w:rPr>
                <w:rFonts w:ascii="Times New Roman" w:eastAsia="宋体" w:hAnsi="Times New Roman" w:cs="Times New Roman" w:hint="eastAsia"/>
                <w:sz w:val="24"/>
                <w:szCs w:val="20"/>
              </w:rPr>
              <w:t>操作</w:t>
            </w:r>
            <w:r w:rsidRPr="00D72FD2">
              <w:rPr>
                <w:rFonts w:ascii="Times New Roman" w:eastAsia="宋体" w:hAnsi="Times New Roman" w:cs="Times New Roman"/>
                <w:sz w:val="24"/>
                <w:szCs w:val="20"/>
              </w:rPr>
              <w:t>及相关技术。</w:t>
            </w:r>
          </w:p>
        </w:tc>
      </w:tr>
    </w:tbl>
    <w:p w14:paraId="3EC719F3" w14:textId="77777777" w:rsidR="00D72FD2" w:rsidRPr="00D72FD2" w:rsidRDefault="00D72FD2" w:rsidP="00D72FD2">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72FD2">
        <w:rPr>
          <w:rFonts w:ascii="Times New Roman" w:eastAsia="黑体" w:hAnsi="Times New Roman" w:cs="Times New Roman"/>
          <w:color w:val="000000"/>
          <w:sz w:val="28"/>
          <w:szCs w:val="28"/>
        </w:rPr>
        <w:t>（二）课程考核方式</w:t>
      </w:r>
    </w:p>
    <w:p w14:paraId="773B5CB6"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课程考核方式分为平时考核、期末随堂测验。</w:t>
      </w:r>
    </w:p>
    <w:p w14:paraId="3B609F5D"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1.</w:t>
      </w:r>
      <w:r w:rsidRPr="00D72FD2">
        <w:rPr>
          <w:rFonts w:ascii="Times New Roman" w:eastAsia="宋体" w:hAnsi="Times New Roman" w:cs="Times New Roman"/>
          <w:sz w:val="24"/>
          <w:szCs w:val="24"/>
        </w:rPr>
        <w:t>平时成绩包括课堂表现（</w:t>
      </w:r>
      <w:r w:rsidRPr="00D72FD2">
        <w:rPr>
          <w:rFonts w:ascii="Times New Roman" w:eastAsia="宋体" w:hAnsi="Times New Roman" w:cs="Times New Roman" w:hint="eastAsia"/>
          <w:sz w:val="24"/>
          <w:szCs w:val="24"/>
        </w:rPr>
        <w:t>2</w:t>
      </w:r>
      <w:r w:rsidRPr="00D72FD2">
        <w:rPr>
          <w:rFonts w:ascii="Times New Roman" w:eastAsia="宋体" w:hAnsi="Times New Roman" w:cs="Times New Roman"/>
          <w:sz w:val="24"/>
          <w:szCs w:val="24"/>
        </w:rPr>
        <w:t>0%</w:t>
      </w:r>
      <w:r w:rsidRPr="00D72FD2">
        <w:rPr>
          <w:rFonts w:ascii="Times New Roman" w:eastAsia="宋体" w:hAnsi="Times New Roman" w:cs="Times New Roman"/>
          <w:sz w:val="24"/>
          <w:szCs w:val="24"/>
        </w:rPr>
        <w:t>）、平时作业（</w:t>
      </w:r>
      <w:r w:rsidRPr="00D72FD2">
        <w:rPr>
          <w:rFonts w:ascii="Times New Roman" w:eastAsia="宋体" w:hAnsi="Times New Roman" w:cs="Times New Roman"/>
          <w:sz w:val="24"/>
          <w:szCs w:val="24"/>
        </w:rPr>
        <w:t>20%</w:t>
      </w:r>
      <w:r w:rsidRPr="00D72FD2">
        <w:rPr>
          <w:rFonts w:ascii="Times New Roman" w:eastAsia="宋体" w:hAnsi="Times New Roman" w:cs="Times New Roman"/>
          <w:sz w:val="24"/>
          <w:szCs w:val="24"/>
        </w:rPr>
        <w:t>）；</w:t>
      </w:r>
    </w:p>
    <w:p w14:paraId="04CE8656" w14:textId="77777777" w:rsidR="00D72FD2" w:rsidRPr="00D72FD2" w:rsidRDefault="00D72FD2" w:rsidP="00D72FD2">
      <w:pPr>
        <w:adjustRightInd w:val="0"/>
        <w:snapToGrid w:val="0"/>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2.</w:t>
      </w:r>
      <w:r w:rsidRPr="00D72FD2">
        <w:rPr>
          <w:rFonts w:ascii="Times New Roman" w:eastAsia="宋体" w:hAnsi="Times New Roman" w:cs="Times New Roman"/>
          <w:sz w:val="24"/>
          <w:szCs w:val="24"/>
        </w:rPr>
        <w:t>期末随堂测验采用开卷考试（</w:t>
      </w:r>
      <w:r w:rsidRPr="00D72FD2">
        <w:rPr>
          <w:rFonts w:ascii="Times New Roman" w:eastAsia="宋体" w:hAnsi="Times New Roman" w:cs="Times New Roman"/>
          <w:sz w:val="24"/>
          <w:szCs w:val="24"/>
        </w:rPr>
        <w:t>60%</w:t>
      </w:r>
      <w:r w:rsidRPr="00D72FD2">
        <w:rPr>
          <w:rFonts w:ascii="Times New Roman" w:eastAsia="宋体" w:hAnsi="Times New Roman" w:cs="Times New Roman"/>
          <w:sz w:val="24"/>
          <w:szCs w:val="24"/>
        </w:rPr>
        <w:t>）。</w:t>
      </w:r>
    </w:p>
    <w:p w14:paraId="020432AA" w14:textId="77777777" w:rsidR="00D72FD2" w:rsidRPr="00D72FD2" w:rsidRDefault="00D72FD2" w:rsidP="00D72FD2">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72FD2">
        <w:rPr>
          <w:rFonts w:ascii="Times New Roman" w:eastAsia="黑体" w:hAnsi="Times New Roman" w:cs="Times New Roman"/>
          <w:color w:val="000000"/>
          <w:sz w:val="28"/>
          <w:szCs w:val="28"/>
        </w:rPr>
        <w:t>（三）课程目标达成评价方式及考核比例</w:t>
      </w:r>
    </w:p>
    <w:p w14:paraId="761857AE" w14:textId="77777777" w:rsidR="00D72FD2" w:rsidRPr="00D72FD2" w:rsidRDefault="00D72FD2" w:rsidP="00D72FD2">
      <w:pPr>
        <w:spacing w:line="440" w:lineRule="exact"/>
        <w:ind w:firstLineChars="200" w:firstLine="480"/>
        <w:rPr>
          <w:rFonts w:ascii="Times New Roman" w:eastAsia="宋体" w:hAnsi="Times New Roman" w:cs="Times New Roman"/>
          <w:szCs w:val="24"/>
        </w:rPr>
      </w:pPr>
      <w:r w:rsidRPr="00D72FD2">
        <w:rPr>
          <w:rFonts w:ascii="Times New Roman" w:eastAsia="宋体" w:hAnsi="Times New Roman" w:cs="Times New Roman"/>
          <w:sz w:val="24"/>
          <w:szCs w:val="24"/>
        </w:rPr>
        <w:t>《药物</w:t>
      </w:r>
      <w:r w:rsidRPr="00D72FD2">
        <w:rPr>
          <w:rFonts w:ascii="Times New Roman" w:eastAsia="宋体" w:hAnsi="Times New Roman" w:cs="Times New Roman" w:hint="eastAsia"/>
          <w:sz w:val="24"/>
          <w:szCs w:val="24"/>
        </w:rPr>
        <w:t>光谱</w:t>
      </w:r>
      <w:r w:rsidRPr="00D72FD2">
        <w:rPr>
          <w:rFonts w:ascii="Times New Roman" w:eastAsia="宋体" w:hAnsi="Times New Roman" w:cs="Times New Roman"/>
          <w:sz w:val="24"/>
          <w:szCs w:val="24"/>
        </w:rPr>
        <w:t>分析》课程考核方式及成绩比例为：课堂表现</w:t>
      </w:r>
      <w:r w:rsidRPr="00D72FD2">
        <w:rPr>
          <w:rFonts w:ascii="Times New Roman" w:eastAsia="宋体" w:hAnsi="Times New Roman" w:cs="Times New Roman" w:hint="eastAsia"/>
          <w:sz w:val="24"/>
          <w:szCs w:val="24"/>
        </w:rPr>
        <w:t>2</w:t>
      </w:r>
      <w:r w:rsidRPr="00D72FD2">
        <w:rPr>
          <w:rFonts w:ascii="Times New Roman" w:eastAsia="宋体" w:hAnsi="Times New Roman" w:cs="Times New Roman"/>
          <w:sz w:val="24"/>
          <w:szCs w:val="24"/>
        </w:rPr>
        <w:t>0%+</w:t>
      </w:r>
      <w:r w:rsidRPr="00D72FD2">
        <w:rPr>
          <w:rFonts w:ascii="Times New Roman" w:eastAsia="宋体" w:hAnsi="Times New Roman" w:cs="Times New Roman"/>
          <w:sz w:val="24"/>
          <w:szCs w:val="24"/>
        </w:rPr>
        <w:t>平时作业</w:t>
      </w:r>
      <w:r w:rsidRPr="00D72FD2">
        <w:rPr>
          <w:rFonts w:ascii="Times New Roman" w:eastAsia="宋体" w:hAnsi="Times New Roman" w:cs="Times New Roman"/>
          <w:sz w:val="24"/>
          <w:szCs w:val="24"/>
        </w:rPr>
        <w:t>20%+</w:t>
      </w:r>
      <w:r w:rsidRPr="00D72FD2">
        <w:rPr>
          <w:rFonts w:ascii="Times New Roman" w:eastAsia="宋体" w:hAnsi="Times New Roman" w:cs="Times New Roman"/>
          <w:sz w:val="24"/>
          <w:szCs w:val="24"/>
        </w:rPr>
        <w:t>期末随堂测验</w:t>
      </w:r>
      <w:r w:rsidRPr="00D72FD2">
        <w:rPr>
          <w:rFonts w:ascii="Times New Roman" w:eastAsia="宋体" w:hAnsi="Times New Roman" w:cs="Times New Roman"/>
          <w:sz w:val="24"/>
          <w:szCs w:val="24"/>
        </w:rPr>
        <w:t>60%</w:t>
      </w:r>
      <w:r w:rsidRPr="00D72FD2">
        <w:rPr>
          <w:rFonts w:ascii="Times New Roman" w:eastAsia="宋体" w:hAnsi="Times New Roman" w:cs="Times New Roman"/>
          <w:sz w:val="24"/>
          <w:szCs w:val="24"/>
        </w:rPr>
        <w:t>。</w:t>
      </w:r>
    </w:p>
    <w:p w14:paraId="1EE8A9B3" w14:textId="77777777" w:rsidR="00D72FD2" w:rsidRPr="00D72FD2" w:rsidRDefault="00D72FD2" w:rsidP="00D72FD2">
      <w:pPr>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如下图：</w:t>
      </w:r>
    </w:p>
    <w:tbl>
      <w:tblPr>
        <w:tblW w:w="9003" w:type="dxa"/>
        <w:tblLayout w:type="fixed"/>
        <w:tblLook w:val="0000" w:firstRow="0" w:lastRow="0" w:firstColumn="0" w:lastColumn="0" w:noHBand="0" w:noVBand="0"/>
      </w:tblPr>
      <w:tblGrid>
        <w:gridCol w:w="2332"/>
        <w:gridCol w:w="2537"/>
        <w:gridCol w:w="1337"/>
        <w:gridCol w:w="1732"/>
        <w:gridCol w:w="1065"/>
      </w:tblGrid>
      <w:tr w:rsidR="00D72FD2" w:rsidRPr="00D72FD2" w14:paraId="42F2D784" w14:textId="77777777" w:rsidTr="006B1C7F">
        <w:trPr>
          <w:trHeight w:val="540"/>
        </w:trPr>
        <w:tc>
          <w:tcPr>
            <w:tcW w:w="2332" w:type="dxa"/>
            <w:vMerge w:val="restart"/>
            <w:tcBorders>
              <w:top w:val="single" w:sz="4" w:space="0" w:color="auto"/>
              <w:left w:val="single" w:sz="4" w:space="0" w:color="auto"/>
              <w:bottom w:val="single" w:sz="4" w:space="0" w:color="auto"/>
              <w:right w:val="single" w:sz="4" w:space="0" w:color="auto"/>
            </w:tcBorders>
            <w:vAlign w:val="center"/>
          </w:tcPr>
          <w:p w14:paraId="5EC2E967" w14:textId="77777777" w:rsidR="00D72FD2" w:rsidRPr="00D72FD2" w:rsidRDefault="00D72FD2" w:rsidP="00D72FD2">
            <w:pPr>
              <w:spacing w:line="440" w:lineRule="exact"/>
              <w:jc w:val="center"/>
              <w:rPr>
                <w:rFonts w:ascii="Times New Roman" w:eastAsia="宋体" w:hAnsi="Times New Roman" w:cs="Times New Roman"/>
                <w:szCs w:val="24"/>
              </w:rPr>
            </w:pPr>
            <w:r w:rsidRPr="00D72FD2">
              <w:rPr>
                <w:rFonts w:ascii="Times New Roman" w:eastAsia="宋体" w:hAnsi="Times New Roman" w:cs="Times New Roman"/>
                <w:b/>
                <w:sz w:val="24"/>
                <w:szCs w:val="24"/>
              </w:rPr>
              <w:lastRenderedPageBreak/>
              <w:t>课程目标</w:t>
            </w:r>
          </w:p>
        </w:tc>
        <w:tc>
          <w:tcPr>
            <w:tcW w:w="5606" w:type="dxa"/>
            <w:gridSpan w:val="3"/>
            <w:tcBorders>
              <w:top w:val="single" w:sz="4" w:space="0" w:color="auto"/>
              <w:left w:val="single" w:sz="4" w:space="0" w:color="auto"/>
              <w:bottom w:val="single" w:sz="4" w:space="0" w:color="auto"/>
              <w:right w:val="single" w:sz="4" w:space="0" w:color="auto"/>
            </w:tcBorders>
          </w:tcPr>
          <w:p w14:paraId="76810927" w14:textId="77777777" w:rsidR="00D72FD2" w:rsidRPr="00D72FD2" w:rsidRDefault="00D72FD2" w:rsidP="00D72FD2">
            <w:pPr>
              <w:spacing w:line="440" w:lineRule="exact"/>
              <w:jc w:val="center"/>
              <w:rPr>
                <w:rFonts w:ascii="Times New Roman" w:eastAsia="宋体" w:hAnsi="Times New Roman" w:cs="Times New Roman"/>
                <w:b/>
                <w:sz w:val="24"/>
                <w:szCs w:val="24"/>
              </w:rPr>
            </w:pPr>
            <w:r w:rsidRPr="00D72FD2">
              <w:rPr>
                <w:rFonts w:ascii="Times New Roman" w:eastAsia="宋体" w:hAnsi="Times New Roman" w:cs="Times New Roman"/>
                <w:b/>
                <w:sz w:val="24"/>
                <w:szCs w:val="24"/>
              </w:rPr>
              <w:t>考核方式及成绩比例（</w:t>
            </w:r>
            <w:r w:rsidRPr="00D72FD2">
              <w:rPr>
                <w:rFonts w:ascii="Times New Roman" w:eastAsia="宋体" w:hAnsi="Times New Roman" w:cs="Times New Roman"/>
                <w:b/>
                <w:sz w:val="24"/>
                <w:szCs w:val="24"/>
              </w:rPr>
              <w:t>%</w:t>
            </w:r>
            <w:r w:rsidRPr="00D72FD2">
              <w:rPr>
                <w:rFonts w:ascii="Times New Roman" w:eastAsia="宋体" w:hAnsi="Times New Roman" w:cs="Times New Roman"/>
                <w:b/>
                <w:sz w:val="24"/>
                <w:szCs w:val="24"/>
              </w:rPr>
              <w:t>）</w:t>
            </w:r>
          </w:p>
        </w:tc>
        <w:tc>
          <w:tcPr>
            <w:tcW w:w="1065" w:type="dxa"/>
            <w:vMerge w:val="restart"/>
            <w:tcBorders>
              <w:top w:val="single" w:sz="4" w:space="0" w:color="auto"/>
              <w:left w:val="single" w:sz="4" w:space="0" w:color="auto"/>
              <w:right w:val="single" w:sz="4" w:space="0" w:color="auto"/>
            </w:tcBorders>
            <w:vAlign w:val="center"/>
          </w:tcPr>
          <w:p w14:paraId="4F491D38" w14:textId="77777777" w:rsidR="00D72FD2" w:rsidRPr="00D72FD2" w:rsidRDefault="00D72FD2" w:rsidP="00D72FD2">
            <w:pPr>
              <w:spacing w:line="440" w:lineRule="exact"/>
              <w:jc w:val="center"/>
              <w:rPr>
                <w:rFonts w:ascii="Times New Roman" w:eastAsia="宋体" w:hAnsi="Times New Roman" w:cs="Times New Roman"/>
                <w:b/>
                <w:sz w:val="24"/>
                <w:szCs w:val="24"/>
              </w:rPr>
            </w:pPr>
            <w:r w:rsidRPr="00D72FD2">
              <w:rPr>
                <w:rFonts w:ascii="Times New Roman" w:eastAsia="宋体" w:hAnsi="Times New Roman" w:cs="Times New Roman"/>
                <w:b/>
                <w:sz w:val="24"/>
                <w:szCs w:val="24"/>
              </w:rPr>
              <w:t>合计</w:t>
            </w:r>
          </w:p>
        </w:tc>
      </w:tr>
      <w:tr w:rsidR="00D72FD2" w:rsidRPr="00D72FD2" w14:paraId="39C75D74" w14:textId="77777777" w:rsidTr="006B1C7F">
        <w:trPr>
          <w:trHeight w:val="578"/>
        </w:trPr>
        <w:tc>
          <w:tcPr>
            <w:tcW w:w="2332" w:type="dxa"/>
            <w:vMerge/>
            <w:tcBorders>
              <w:top w:val="single" w:sz="4" w:space="0" w:color="auto"/>
              <w:left w:val="single" w:sz="4" w:space="0" w:color="auto"/>
              <w:bottom w:val="single" w:sz="4" w:space="0" w:color="auto"/>
              <w:right w:val="single" w:sz="4" w:space="0" w:color="auto"/>
            </w:tcBorders>
            <w:vAlign w:val="center"/>
          </w:tcPr>
          <w:p w14:paraId="7942CB8D" w14:textId="77777777" w:rsidR="00D72FD2" w:rsidRPr="00D72FD2" w:rsidRDefault="00D72FD2" w:rsidP="00D72FD2">
            <w:pPr>
              <w:spacing w:line="440" w:lineRule="exact"/>
              <w:jc w:val="center"/>
              <w:rPr>
                <w:rFonts w:ascii="Times New Roman" w:eastAsia="宋体" w:hAnsi="Times New Roman" w:cs="Times New Roman"/>
                <w:szCs w:val="24"/>
              </w:rPr>
            </w:pPr>
          </w:p>
        </w:tc>
        <w:tc>
          <w:tcPr>
            <w:tcW w:w="2537" w:type="dxa"/>
            <w:tcBorders>
              <w:top w:val="single" w:sz="4" w:space="0" w:color="auto"/>
              <w:left w:val="single" w:sz="4" w:space="0" w:color="auto"/>
              <w:bottom w:val="single" w:sz="4" w:space="0" w:color="auto"/>
              <w:right w:val="single" w:sz="4" w:space="0" w:color="auto"/>
            </w:tcBorders>
            <w:vAlign w:val="center"/>
          </w:tcPr>
          <w:p w14:paraId="1287CFF2" w14:textId="77777777" w:rsidR="00D72FD2" w:rsidRPr="00D72FD2" w:rsidRDefault="00D72FD2" w:rsidP="00D72FD2">
            <w:pPr>
              <w:spacing w:line="440" w:lineRule="exact"/>
              <w:jc w:val="center"/>
              <w:rPr>
                <w:rFonts w:ascii="Times New Roman" w:eastAsia="宋体" w:hAnsi="Times New Roman" w:cs="Times New Roman"/>
                <w:b/>
                <w:sz w:val="24"/>
                <w:szCs w:val="24"/>
              </w:rPr>
            </w:pPr>
            <w:r w:rsidRPr="00D72FD2">
              <w:rPr>
                <w:rFonts w:ascii="Times New Roman" w:eastAsia="宋体" w:hAnsi="Times New Roman" w:cs="Times New Roman"/>
                <w:b/>
                <w:sz w:val="24"/>
                <w:szCs w:val="24"/>
              </w:rPr>
              <w:t>课堂表现</w:t>
            </w:r>
          </w:p>
        </w:tc>
        <w:tc>
          <w:tcPr>
            <w:tcW w:w="1337" w:type="dxa"/>
            <w:tcBorders>
              <w:top w:val="single" w:sz="4" w:space="0" w:color="auto"/>
              <w:left w:val="single" w:sz="4" w:space="0" w:color="auto"/>
              <w:bottom w:val="single" w:sz="4" w:space="0" w:color="auto"/>
              <w:right w:val="single" w:sz="4" w:space="0" w:color="auto"/>
            </w:tcBorders>
            <w:vAlign w:val="center"/>
          </w:tcPr>
          <w:p w14:paraId="7F4123CB" w14:textId="77777777" w:rsidR="00D72FD2" w:rsidRPr="00D72FD2" w:rsidRDefault="00D72FD2" w:rsidP="00D72FD2">
            <w:pPr>
              <w:spacing w:line="440" w:lineRule="exact"/>
              <w:jc w:val="center"/>
              <w:rPr>
                <w:rFonts w:ascii="Times New Roman" w:eastAsia="宋体" w:hAnsi="Times New Roman" w:cs="Times New Roman"/>
                <w:b/>
                <w:sz w:val="24"/>
                <w:szCs w:val="24"/>
              </w:rPr>
            </w:pPr>
            <w:r w:rsidRPr="00D72FD2">
              <w:rPr>
                <w:rFonts w:ascii="Times New Roman" w:eastAsia="宋体" w:hAnsi="Times New Roman" w:cs="Times New Roman"/>
                <w:b/>
                <w:sz w:val="24"/>
                <w:szCs w:val="24"/>
              </w:rPr>
              <w:t>平时作业</w:t>
            </w:r>
          </w:p>
        </w:tc>
        <w:tc>
          <w:tcPr>
            <w:tcW w:w="1732" w:type="dxa"/>
            <w:tcBorders>
              <w:top w:val="single" w:sz="4" w:space="0" w:color="auto"/>
              <w:left w:val="single" w:sz="4" w:space="0" w:color="auto"/>
              <w:bottom w:val="single" w:sz="4" w:space="0" w:color="auto"/>
              <w:right w:val="single" w:sz="4" w:space="0" w:color="auto"/>
            </w:tcBorders>
            <w:vAlign w:val="center"/>
          </w:tcPr>
          <w:p w14:paraId="01071B63" w14:textId="77777777" w:rsidR="00D72FD2" w:rsidRPr="00D72FD2" w:rsidRDefault="00D72FD2" w:rsidP="00D72FD2">
            <w:pPr>
              <w:spacing w:line="440" w:lineRule="exact"/>
              <w:jc w:val="center"/>
              <w:rPr>
                <w:rFonts w:ascii="Times New Roman" w:eastAsia="宋体" w:hAnsi="Times New Roman" w:cs="Times New Roman"/>
                <w:b/>
                <w:sz w:val="24"/>
                <w:szCs w:val="24"/>
              </w:rPr>
            </w:pPr>
            <w:r w:rsidRPr="00D72FD2">
              <w:rPr>
                <w:rFonts w:ascii="Times New Roman" w:eastAsia="宋体" w:hAnsi="Times New Roman" w:cs="Times New Roman"/>
                <w:b/>
                <w:sz w:val="24"/>
                <w:szCs w:val="24"/>
              </w:rPr>
              <w:t>期末随堂测验</w:t>
            </w:r>
          </w:p>
        </w:tc>
        <w:tc>
          <w:tcPr>
            <w:tcW w:w="1065" w:type="dxa"/>
            <w:vMerge/>
            <w:tcBorders>
              <w:left w:val="single" w:sz="4" w:space="0" w:color="auto"/>
              <w:bottom w:val="single" w:sz="4" w:space="0" w:color="auto"/>
              <w:right w:val="single" w:sz="4" w:space="0" w:color="auto"/>
            </w:tcBorders>
            <w:vAlign w:val="center"/>
          </w:tcPr>
          <w:p w14:paraId="08B2432A" w14:textId="77777777" w:rsidR="00D72FD2" w:rsidRPr="00D72FD2" w:rsidRDefault="00D72FD2" w:rsidP="00D72FD2">
            <w:pPr>
              <w:spacing w:line="440" w:lineRule="exact"/>
              <w:jc w:val="center"/>
              <w:rPr>
                <w:rFonts w:ascii="Times New Roman" w:eastAsia="宋体" w:hAnsi="Times New Roman" w:cs="Times New Roman"/>
                <w:szCs w:val="24"/>
              </w:rPr>
            </w:pPr>
          </w:p>
        </w:tc>
      </w:tr>
      <w:tr w:rsidR="00D72FD2" w:rsidRPr="00D72FD2" w14:paraId="129A0157" w14:textId="77777777" w:rsidTr="006B1C7F">
        <w:tc>
          <w:tcPr>
            <w:tcW w:w="2332" w:type="dxa"/>
            <w:tcBorders>
              <w:top w:val="single" w:sz="4" w:space="0" w:color="auto"/>
              <w:left w:val="single" w:sz="4" w:space="0" w:color="auto"/>
              <w:bottom w:val="single" w:sz="4" w:space="0" w:color="auto"/>
              <w:right w:val="single" w:sz="4" w:space="0" w:color="auto"/>
            </w:tcBorders>
            <w:vAlign w:val="center"/>
          </w:tcPr>
          <w:p w14:paraId="3058FD27" w14:textId="77777777" w:rsidR="00D72FD2" w:rsidRPr="00D72FD2" w:rsidRDefault="00D72FD2" w:rsidP="00D72FD2">
            <w:pPr>
              <w:spacing w:line="440" w:lineRule="exact"/>
              <w:jc w:val="center"/>
              <w:rPr>
                <w:rFonts w:ascii="Times New Roman" w:eastAsia="宋体" w:hAnsi="Times New Roman" w:cs="Times New Roman" w:hint="eastAsia"/>
                <w:szCs w:val="24"/>
              </w:rPr>
            </w:pPr>
            <w:r w:rsidRPr="00D72FD2">
              <w:rPr>
                <w:rFonts w:ascii="Times New Roman" w:eastAsia="宋体" w:hAnsi="Times New Roman" w:cs="Times New Roman"/>
                <w:sz w:val="24"/>
                <w:szCs w:val="24"/>
              </w:rPr>
              <w:t>课程目标</w:t>
            </w:r>
            <w:r w:rsidRPr="00D72FD2">
              <w:rPr>
                <w:rFonts w:ascii="Times New Roman" w:eastAsia="宋体" w:hAnsi="Times New Roman" w:cs="Times New Roman"/>
                <w:sz w:val="24"/>
                <w:szCs w:val="24"/>
              </w:rPr>
              <w:t>1</w:t>
            </w:r>
            <w:r w:rsidRPr="00D72FD2">
              <w:rPr>
                <w:rFonts w:ascii="Times New Roman" w:eastAsia="宋体" w:hAnsi="Times New Roman" w:cs="Times New Roman" w:hint="eastAsia"/>
                <w:sz w:val="24"/>
                <w:szCs w:val="24"/>
              </w:rPr>
              <w:t>-3</w:t>
            </w:r>
          </w:p>
        </w:tc>
        <w:tc>
          <w:tcPr>
            <w:tcW w:w="2537" w:type="dxa"/>
            <w:tcBorders>
              <w:top w:val="single" w:sz="4" w:space="0" w:color="auto"/>
              <w:left w:val="single" w:sz="4" w:space="0" w:color="auto"/>
              <w:bottom w:val="single" w:sz="4" w:space="0" w:color="auto"/>
              <w:right w:val="single" w:sz="4" w:space="0" w:color="auto"/>
            </w:tcBorders>
            <w:vAlign w:val="center"/>
          </w:tcPr>
          <w:p w14:paraId="60F48068" w14:textId="77777777" w:rsidR="00D72FD2" w:rsidRPr="00D72FD2" w:rsidRDefault="00D72FD2" w:rsidP="00D72FD2">
            <w:pPr>
              <w:spacing w:line="440" w:lineRule="exact"/>
              <w:jc w:val="center"/>
              <w:rPr>
                <w:rFonts w:ascii="Times New Roman" w:eastAsia="宋体" w:hAnsi="Times New Roman" w:cs="Times New Roman" w:hint="eastAsia"/>
                <w:szCs w:val="24"/>
              </w:rPr>
            </w:pPr>
            <w:r w:rsidRPr="00D72FD2">
              <w:rPr>
                <w:rFonts w:ascii="Times New Roman" w:eastAsia="宋体" w:hAnsi="Times New Roman" w:cs="Times New Roman" w:hint="eastAsia"/>
                <w:sz w:val="24"/>
                <w:szCs w:val="24"/>
              </w:rPr>
              <w:t>20</w:t>
            </w:r>
          </w:p>
        </w:tc>
        <w:tc>
          <w:tcPr>
            <w:tcW w:w="1337" w:type="dxa"/>
            <w:tcBorders>
              <w:top w:val="single" w:sz="4" w:space="0" w:color="auto"/>
              <w:left w:val="single" w:sz="4" w:space="0" w:color="auto"/>
              <w:bottom w:val="single" w:sz="4" w:space="0" w:color="auto"/>
              <w:right w:val="single" w:sz="4" w:space="0" w:color="auto"/>
            </w:tcBorders>
            <w:vAlign w:val="center"/>
          </w:tcPr>
          <w:p w14:paraId="1EEEFB50" w14:textId="77777777" w:rsidR="00D72FD2" w:rsidRPr="00D72FD2" w:rsidRDefault="00D72FD2" w:rsidP="00D72FD2">
            <w:pPr>
              <w:spacing w:line="440" w:lineRule="exact"/>
              <w:jc w:val="center"/>
              <w:rPr>
                <w:rFonts w:ascii="Times New Roman" w:eastAsia="宋体" w:hAnsi="Times New Roman" w:cs="Times New Roman"/>
                <w:szCs w:val="24"/>
              </w:rPr>
            </w:pPr>
            <w:r w:rsidRPr="00D72FD2">
              <w:rPr>
                <w:rFonts w:ascii="Times New Roman" w:eastAsia="宋体" w:hAnsi="Times New Roman" w:cs="Times New Roman" w:hint="eastAsia"/>
                <w:sz w:val="24"/>
                <w:szCs w:val="24"/>
              </w:rPr>
              <w:t>2</w:t>
            </w:r>
            <w:r w:rsidRPr="00D72FD2">
              <w:rPr>
                <w:rFonts w:ascii="Times New Roman" w:eastAsia="宋体" w:hAnsi="Times New Roman" w:cs="Times New Roman"/>
                <w:sz w:val="24"/>
                <w:szCs w:val="24"/>
              </w:rPr>
              <w:t>0</w:t>
            </w:r>
          </w:p>
        </w:tc>
        <w:tc>
          <w:tcPr>
            <w:tcW w:w="1732" w:type="dxa"/>
            <w:tcBorders>
              <w:top w:val="single" w:sz="4" w:space="0" w:color="auto"/>
              <w:left w:val="single" w:sz="4" w:space="0" w:color="auto"/>
              <w:bottom w:val="single" w:sz="4" w:space="0" w:color="auto"/>
              <w:right w:val="single" w:sz="4" w:space="0" w:color="auto"/>
            </w:tcBorders>
            <w:vAlign w:val="center"/>
          </w:tcPr>
          <w:p w14:paraId="512BE442" w14:textId="77777777" w:rsidR="00D72FD2" w:rsidRPr="00D72FD2" w:rsidRDefault="00D72FD2" w:rsidP="00D72FD2">
            <w:pPr>
              <w:spacing w:line="440" w:lineRule="exact"/>
              <w:jc w:val="center"/>
              <w:rPr>
                <w:rFonts w:ascii="Times New Roman" w:eastAsia="宋体" w:hAnsi="Times New Roman" w:cs="Times New Roman"/>
                <w:szCs w:val="24"/>
              </w:rPr>
            </w:pPr>
            <w:r w:rsidRPr="00D72FD2">
              <w:rPr>
                <w:rFonts w:ascii="Times New Roman" w:eastAsia="宋体" w:hAnsi="Times New Roman" w:cs="Times New Roman" w:hint="eastAsia"/>
                <w:sz w:val="24"/>
                <w:szCs w:val="24"/>
              </w:rPr>
              <w:t>6</w:t>
            </w:r>
            <w:r w:rsidRPr="00D72FD2">
              <w:rPr>
                <w:rFonts w:ascii="Times New Roman" w:eastAsia="宋体" w:hAnsi="Times New Roman" w:cs="Times New Roman"/>
                <w:sz w:val="24"/>
                <w:szCs w:val="24"/>
              </w:rPr>
              <w:t>0</w:t>
            </w:r>
          </w:p>
        </w:tc>
        <w:tc>
          <w:tcPr>
            <w:tcW w:w="1065" w:type="dxa"/>
            <w:tcBorders>
              <w:top w:val="single" w:sz="4" w:space="0" w:color="auto"/>
              <w:left w:val="single" w:sz="4" w:space="0" w:color="auto"/>
              <w:bottom w:val="single" w:sz="4" w:space="0" w:color="auto"/>
              <w:right w:val="single" w:sz="4" w:space="0" w:color="auto"/>
            </w:tcBorders>
            <w:vAlign w:val="center"/>
          </w:tcPr>
          <w:p w14:paraId="1BE09AA9" w14:textId="77777777" w:rsidR="00D72FD2" w:rsidRPr="00D72FD2" w:rsidRDefault="00D72FD2" w:rsidP="00D72FD2">
            <w:pPr>
              <w:spacing w:line="440" w:lineRule="exact"/>
              <w:jc w:val="center"/>
              <w:rPr>
                <w:rFonts w:ascii="Times New Roman" w:eastAsia="宋体" w:hAnsi="Times New Roman" w:cs="Times New Roman" w:hint="eastAsia"/>
                <w:szCs w:val="24"/>
              </w:rPr>
            </w:pPr>
            <w:r w:rsidRPr="00D72FD2">
              <w:rPr>
                <w:rFonts w:ascii="Times New Roman" w:eastAsia="宋体" w:hAnsi="Times New Roman" w:cs="Times New Roman" w:hint="eastAsia"/>
                <w:sz w:val="24"/>
                <w:szCs w:val="24"/>
              </w:rPr>
              <w:t>100</w:t>
            </w:r>
          </w:p>
        </w:tc>
      </w:tr>
    </w:tbl>
    <w:p w14:paraId="39322612" w14:textId="77777777" w:rsidR="00D72FD2" w:rsidRPr="00D72FD2" w:rsidRDefault="00D72FD2" w:rsidP="00D72FD2">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72FD2">
        <w:rPr>
          <w:rFonts w:ascii="Times New Roman" w:eastAsia="黑体" w:hAnsi="Times New Roman" w:cs="Times New Roman"/>
          <w:color w:val="000000"/>
          <w:sz w:val="28"/>
          <w:szCs w:val="28"/>
        </w:rPr>
        <w:t>五、成绩评定</w:t>
      </w:r>
    </w:p>
    <w:p w14:paraId="53EB549C" w14:textId="77777777" w:rsidR="00D72FD2" w:rsidRPr="00D72FD2" w:rsidRDefault="00D72FD2" w:rsidP="00D72FD2">
      <w:pPr>
        <w:spacing w:beforeLines="50" w:before="156" w:afterLines="50" w:after="156" w:line="440" w:lineRule="exact"/>
        <w:ind w:firstLineChars="200" w:firstLine="560"/>
        <w:rPr>
          <w:rFonts w:ascii="Times New Roman" w:eastAsia="黑体" w:hAnsi="Times New Roman" w:cs="Times New Roman"/>
          <w:sz w:val="28"/>
          <w:szCs w:val="28"/>
        </w:rPr>
      </w:pPr>
      <w:r w:rsidRPr="00D72FD2">
        <w:rPr>
          <w:rFonts w:ascii="Times New Roman" w:eastAsia="黑体" w:hAnsi="Times New Roman" w:cs="Times New Roman"/>
          <w:sz w:val="28"/>
          <w:szCs w:val="28"/>
        </w:rPr>
        <w:t>（一）总成绩评定</w:t>
      </w:r>
    </w:p>
    <w:p w14:paraId="0619B6DF" w14:textId="77777777" w:rsidR="00D72FD2" w:rsidRPr="00D72FD2" w:rsidRDefault="00D72FD2" w:rsidP="00D72FD2">
      <w:pPr>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总成绩</w:t>
      </w:r>
      <w:r w:rsidRPr="00D72FD2">
        <w:rPr>
          <w:rFonts w:ascii="Times New Roman" w:eastAsia="宋体" w:hAnsi="Times New Roman" w:cs="Times New Roman"/>
          <w:sz w:val="24"/>
          <w:szCs w:val="24"/>
        </w:rPr>
        <w:t>=</w:t>
      </w:r>
      <w:r w:rsidRPr="00D72FD2">
        <w:rPr>
          <w:rFonts w:ascii="Times New Roman" w:eastAsia="宋体" w:hAnsi="Times New Roman" w:cs="Times New Roman"/>
          <w:sz w:val="24"/>
          <w:szCs w:val="24"/>
        </w:rPr>
        <w:t>平时成绩</w:t>
      </w:r>
      <w:r w:rsidRPr="00D72FD2">
        <w:rPr>
          <w:rFonts w:ascii="Times New Roman" w:eastAsia="宋体" w:hAnsi="Times New Roman" w:cs="Times New Roman"/>
          <w:sz w:val="24"/>
          <w:szCs w:val="24"/>
        </w:rPr>
        <w:t>×40%+</w:t>
      </w:r>
      <w:r w:rsidRPr="00D72FD2">
        <w:rPr>
          <w:rFonts w:ascii="Times New Roman" w:eastAsia="宋体" w:hAnsi="Times New Roman" w:cs="Times New Roman"/>
          <w:sz w:val="24"/>
          <w:szCs w:val="24"/>
        </w:rPr>
        <w:t>期末随堂测验成绩</w:t>
      </w:r>
      <w:r w:rsidRPr="00D72FD2">
        <w:rPr>
          <w:rFonts w:ascii="Times New Roman" w:eastAsia="宋体" w:hAnsi="Times New Roman" w:cs="Times New Roman"/>
          <w:sz w:val="24"/>
          <w:szCs w:val="24"/>
        </w:rPr>
        <w:t>×60%</w:t>
      </w:r>
    </w:p>
    <w:p w14:paraId="23894674" w14:textId="77777777" w:rsidR="00D72FD2" w:rsidRPr="00D72FD2" w:rsidRDefault="00D72FD2" w:rsidP="00D72FD2">
      <w:pPr>
        <w:spacing w:beforeLines="50" w:before="156" w:afterLines="50" w:after="156" w:line="440" w:lineRule="exact"/>
        <w:ind w:firstLineChars="200" w:firstLine="560"/>
        <w:rPr>
          <w:rFonts w:ascii="Times New Roman" w:eastAsia="宋体" w:hAnsi="Times New Roman" w:cs="Times New Roman"/>
          <w:sz w:val="24"/>
          <w:szCs w:val="24"/>
        </w:rPr>
      </w:pPr>
      <w:r w:rsidRPr="00D72FD2">
        <w:rPr>
          <w:rFonts w:ascii="Times New Roman" w:eastAsia="黑体" w:hAnsi="Times New Roman" w:cs="Times New Roman"/>
          <w:sz w:val="28"/>
          <w:szCs w:val="28"/>
        </w:rPr>
        <w:t>（二）平时成绩评定</w:t>
      </w:r>
    </w:p>
    <w:p w14:paraId="6460A7E1" w14:textId="77777777" w:rsidR="00D72FD2" w:rsidRPr="00D72FD2" w:rsidRDefault="00D72FD2" w:rsidP="00D72FD2">
      <w:pPr>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平时成绩（</w:t>
      </w:r>
      <w:r w:rsidRPr="00D72FD2">
        <w:rPr>
          <w:rFonts w:ascii="Times New Roman" w:eastAsia="宋体" w:hAnsi="Times New Roman" w:cs="Times New Roman"/>
          <w:sz w:val="24"/>
          <w:szCs w:val="24"/>
        </w:rPr>
        <w:t>40%</w:t>
      </w:r>
      <w:r w:rsidRPr="00D72FD2">
        <w:rPr>
          <w:rFonts w:ascii="Times New Roman" w:eastAsia="宋体" w:hAnsi="Times New Roman" w:cs="Times New Roman"/>
          <w:sz w:val="24"/>
          <w:szCs w:val="24"/>
        </w:rPr>
        <w:t>）</w:t>
      </w:r>
      <w:r w:rsidRPr="00D72FD2">
        <w:rPr>
          <w:rFonts w:ascii="Times New Roman" w:eastAsia="宋体" w:hAnsi="Times New Roman" w:cs="Times New Roman"/>
          <w:sz w:val="24"/>
          <w:szCs w:val="24"/>
        </w:rPr>
        <w:t>=</w:t>
      </w:r>
      <w:r w:rsidRPr="00D72FD2">
        <w:rPr>
          <w:rFonts w:ascii="Times New Roman" w:eastAsia="宋体" w:hAnsi="Times New Roman" w:cs="Times New Roman"/>
          <w:sz w:val="24"/>
          <w:szCs w:val="24"/>
        </w:rPr>
        <w:t>课堂表现</w:t>
      </w:r>
      <w:r w:rsidRPr="00D72FD2">
        <w:rPr>
          <w:rFonts w:ascii="Times New Roman" w:eastAsia="宋体" w:hAnsi="Times New Roman" w:cs="Times New Roman" w:hint="eastAsia"/>
          <w:sz w:val="24"/>
          <w:szCs w:val="24"/>
        </w:rPr>
        <w:t>2</w:t>
      </w:r>
      <w:r w:rsidRPr="00D72FD2">
        <w:rPr>
          <w:rFonts w:ascii="Times New Roman" w:eastAsia="宋体" w:hAnsi="Times New Roman" w:cs="Times New Roman"/>
          <w:sz w:val="24"/>
          <w:szCs w:val="24"/>
        </w:rPr>
        <w:t>0%+</w:t>
      </w:r>
      <w:r w:rsidRPr="00D72FD2">
        <w:rPr>
          <w:rFonts w:ascii="Times New Roman" w:eastAsia="宋体" w:hAnsi="Times New Roman" w:cs="Times New Roman"/>
          <w:sz w:val="24"/>
          <w:szCs w:val="24"/>
        </w:rPr>
        <w:t>平时作业</w:t>
      </w:r>
      <w:r w:rsidRPr="00D72FD2">
        <w:rPr>
          <w:rFonts w:ascii="Times New Roman" w:eastAsia="宋体" w:hAnsi="Times New Roman" w:cs="Times New Roman"/>
          <w:sz w:val="24"/>
          <w:szCs w:val="24"/>
        </w:rPr>
        <w:t>20%</w:t>
      </w:r>
    </w:p>
    <w:p w14:paraId="6B155779" w14:textId="77777777" w:rsidR="00D72FD2" w:rsidRPr="00D72FD2" w:rsidRDefault="00D72FD2" w:rsidP="00D72FD2">
      <w:pPr>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w:t>
      </w:r>
      <w:r w:rsidRPr="00D72FD2">
        <w:rPr>
          <w:rFonts w:ascii="Times New Roman" w:eastAsia="宋体" w:hAnsi="Times New Roman" w:cs="Times New Roman"/>
          <w:sz w:val="24"/>
          <w:szCs w:val="24"/>
        </w:rPr>
        <w:t>1</w:t>
      </w:r>
      <w:r w:rsidRPr="00D72FD2">
        <w:rPr>
          <w:rFonts w:ascii="Times New Roman" w:eastAsia="宋体" w:hAnsi="Times New Roman" w:cs="Times New Roman"/>
          <w:sz w:val="24"/>
          <w:szCs w:val="24"/>
        </w:rPr>
        <w:t>）课堂表现：通过学生在课堂上的表现情况、发言与提问情况，来评价学生相关的能力；</w:t>
      </w:r>
    </w:p>
    <w:p w14:paraId="2CC9BD03" w14:textId="77777777" w:rsidR="00D72FD2" w:rsidRPr="00D72FD2" w:rsidRDefault="00D72FD2" w:rsidP="00D72FD2">
      <w:pPr>
        <w:spacing w:line="440" w:lineRule="exact"/>
        <w:ind w:firstLineChars="200" w:firstLine="480"/>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w:t>
      </w:r>
      <w:r w:rsidRPr="00D72FD2">
        <w:rPr>
          <w:rFonts w:ascii="Times New Roman" w:eastAsia="宋体" w:hAnsi="Times New Roman" w:cs="Times New Roman" w:hint="eastAsia"/>
          <w:sz w:val="24"/>
          <w:szCs w:val="24"/>
        </w:rPr>
        <w:t>2</w:t>
      </w:r>
      <w:r w:rsidRPr="00D72FD2">
        <w:rPr>
          <w:rFonts w:ascii="Times New Roman" w:eastAsia="宋体" w:hAnsi="Times New Roman" w:cs="Times New Roman"/>
          <w:sz w:val="24"/>
          <w:szCs w:val="24"/>
        </w:rPr>
        <w:t>）平时作业完成情况：围绕课程的学习目标进行作业的设计。如让学生简述对知识的认识，考核学生对于概念的理解情况，帮助学生将定义转化为自己的理解。</w:t>
      </w:r>
    </w:p>
    <w:p w14:paraId="5264DFE6" w14:textId="77777777" w:rsidR="00D72FD2" w:rsidRPr="00D72FD2" w:rsidRDefault="00D72FD2" w:rsidP="00D72FD2">
      <w:pPr>
        <w:spacing w:beforeLines="50" w:before="156" w:afterLines="50" w:after="156" w:line="440" w:lineRule="exact"/>
        <w:ind w:firstLineChars="200" w:firstLine="560"/>
        <w:rPr>
          <w:rFonts w:ascii="Times New Roman" w:eastAsia="黑体" w:hAnsi="Times New Roman" w:cs="Times New Roman"/>
          <w:sz w:val="28"/>
          <w:szCs w:val="28"/>
        </w:rPr>
      </w:pPr>
      <w:r w:rsidRPr="00D72FD2">
        <w:rPr>
          <w:rFonts w:ascii="Times New Roman" w:eastAsia="黑体" w:hAnsi="Times New Roman" w:cs="Times New Roman"/>
          <w:sz w:val="28"/>
          <w:szCs w:val="28"/>
        </w:rPr>
        <w:t>（三）期末随堂测验成绩评定</w:t>
      </w:r>
    </w:p>
    <w:p w14:paraId="02EE6329" w14:textId="77777777" w:rsidR="00D72FD2" w:rsidRPr="00D72FD2" w:rsidRDefault="00D72FD2" w:rsidP="00D72FD2">
      <w:pPr>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期末考核主要考察学生对</w:t>
      </w:r>
      <w:r w:rsidRPr="00D72FD2">
        <w:rPr>
          <w:rFonts w:ascii="Times New Roman" w:eastAsia="宋体" w:hAnsi="Times New Roman" w:cs="Times New Roman" w:hint="eastAsia"/>
          <w:sz w:val="24"/>
          <w:szCs w:val="24"/>
        </w:rPr>
        <w:t>光</w:t>
      </w:r>
      <w:r w:rsidRPr="00D72FD2">
        <w:rPr>
          <w:rFonts w:ascii="Times New Roman" w:eastAsia="宋体" w:hAnsi="Times New Roman" w:cs="Times New Roman"/>
          <w:sz w:val="24"/>
          <w:szCs w:val="24"/>
        </w:rPr>
        <w:t>谱分析法的基本原理与方法有系统全面的了解。方式为开卷。要求学生初步具有应用此类方法解决相关问题的能力，并对</w:t>
      </w:r>
      <w:r w:rsidRPr="00D72FD2">
        <w:rPr>
          <w:rFonts w:ascii="Times New Roman" w:eastAsia="宋体" w:hAnsi="Times New Roman" w:cs="Times New Roman" w:hint="eastAsia"/>
          <w:sz w:val="24"/>
          <w:szCs w:val="24"/>
        </w:rPr>
        <w:t>光</w:t>
      </w:r>
      <w:r w:rsidRPr="00D72FD2">
        <w:rPr>
          <w:rFonts w:ascii="Times New Roman" w:eastAsia="宋体" w:hAnsi="Times New Roman" w:cs="Times New Roman"/>
          <w:sz w:val="24"/>
          <w:szCs w:val="24"/>
        </w:rPr>
        <w:t>谱分析法的发展趋势有初步的了解。</w:t>
      </w:r>
    </w:p>
    <w:p w14:paraId="0E5EBEE4" w14:textId="77777777" w:rsidR="00D72FD2" w:rsidRPr="00D72FD2" w:rsidRDefault="00D72FD2" w:rsidP="00D72FD2">
      <w:pPr>
        <w:spacing w:beforeLines="50" w:before="156" w:afterLines="50" w:after="156" w:line="440" w:lineRule="exact"/>
        <w:ind w:firstLineChars="200" w:firstLine="560"/>
        <w:rPr>
          <w:rFonts w:ascii="Times New Roman" w:eastAsia="黑体" w:hAnsi="Times New Roman" w:cs="Times New Roman"/>
          <w:sz w:val="28"/>
          <w:szCs w:val="28"/>
        </w:rPr>
      </w:pPr>
      <w:r w:rsidRPr="00D72FD2">
        <w:rPr>
          <w:rFonts w:ascii="Times New Roman" w:eastAsia="黑体" w:hAnsi="Times New Roman" w:cs="Times New Roman"/>
          <w:sz w:val="28"/>
          <w:szCs w:val="28"/>
        </w:rPr>
        <w:t>六、使用教材、相关推荐书目及课程资源</w:t>
      </w:r>
    </w:p>
    <w:p w14:paraId="63CDDDA3" w14:textId="77777777" w:rsidR="00D72FD2" w:rsidRPr="00D72FD2" w:rsidRDefault="00D72FD2" w:rsidP="00D72FD2">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72FD2">
        <w:rPr>
          <w:rFonts w:ascii="Times New Roman" w:eastAsia="黑体" w:hAnsi="Times New Roman" w:cs="Times New Roman"/>
          <w:color w:val="000000"/>
          <w:sz w:val="28"/>
          <w:szCs w:val="28"/>
        </w:rPr>
        <w:t>（一）使用教材</w:t>
      </w:r>
    </w:p>
    <w:p w14:paraId="6BBC9885" w14:textId="77777777" w:rsidR="00D72FD2" w:rsidRPr="00D72FD2" w:rsidRDefault="00D72FD2" w:rsidP="00D72FD2">
      <w:pPr>
        <w:spacing w:line="440" w:lineRule="exact"/>
        <w:ind w:firstLineChars="200" w:firstLine="480"/>
        <w:rPr>
          <w:rFonts w:ascii="Times New Roman" w:eastAsia="新宋体" w:hAnsi="Times New Roman" w:cs="Times New Roman"/>
          <w:sz w:val="24"/>
          <w:szCs w:val="24"/>
        </w:rPr>
      </w:pPr>
      <w:r w:rsidRPr="00D72FD2">
        <w:rPr>
          <w:rFonts w:ascii="Times New Roman" w:eastAsia="新宋体" w:hAnsi="Times New Roman" w:cs="Times New Roman" w:hint="eastAsia"/>
          <w:sz w:val="24"/>
          <w:szCs w:val="24"/>
        </w:rPr>
        <w:t>鄢海燕，邹纯才</w:t>
      </w:r>
      <w:r w:rsidRPr="00D72FD2">
        <w:rPr>
          <w:rFonts w:ascii="Times New Roman" w:eastAsia="新宋体" w:hAnsi="Times New Roman" w:cs="Times New Roman"/>
          <w:sz w:val="24"/>
          <w:szCs w:val="24"/>
        </w:rPr>
        <w:t>主编：</w:t>
      </w:r>
      <w:r w:rsidRPr="00D72FD2">
        <w:rPr>
          <w:rFonts w:ascii="Times New Roman" w:eastAsia="新宋体" w:hAnsi="Times New Roman" w:cs="Times New Roman" w:hint="eastAsia"/>
          <w:sz w:val="24"/>
          <w:szCs w:val="24"/>
        </w:rPr>
        <w:t>药物光度分析与色谱分析</w:t>
      </w:r>
      <w:r w:rsidRPr="00D72FD2">
        <w:rPr>
          <w:rFonts w:ascii="Times New Roman" w:eastAsia="新宋体" w:hAnsi="Times New Roman" w:cs="Times New Roman"/>
          <w:sz w:val="24"/>
          <w:szCs w:val="24"/>
        </w:rPr>
        <w:t>，</w:t>
      </w:r>
      <w:r w:rsidRPr="00D72FD2">
        <w:rPr>
          <w:rFonts w:ascii="Times New Roman" w:eastAsia="新宋体" w:hAnsi="Times New Roman" w:cs="Times New Roman" w:hint="eastAsia"/>
          <w:sz w:val="24"/>
          <w:szCs w:val="24"/>
        </w:rPr>
        <w:t>安徽科学技术</w:t>
      </w:r>
      <w:r w:rsidRPr="00D72FD2">
        <w:rPr>
          <w:rFonts w:ascii="Times New Roman" w:eastAsia="新宋体" w:hAnsi="Times New Roman" w:cs="Times New Roman"/>
          <w:sz w:val="24"/>
          <w:szCs w:val="24"/>
        </w:rPr>
        <w:t>出版社，</w:t>
      </w:r>
      <w:r w:rsidRPr="00D72FD2">
        <w:rPr>
          <w:rFonts w:ascii="Times New Roman" w:eastAsia="新宋体" w:hAnsi="Times New Roman" w:cs="Times New Roman"/>
          <w:sz w:val="24"/>
          <w:szCs w:val="24"/>
        </w:rPr>
        <w:t>201</w:t>
      </w:r>
      <w:r w:rsidRPr="00D72FD2">
        <w:rPr>
          <w:rFonts w:ascii="Times New Roman" w:eastAsia="新宋体" w:hAnsi="Times New Roman" w:cs="Times New Roman" w:hint="eastAsia"/>
          <w:sz w:val="24"/>
          <w:szCs w:val="24"/>
        </w:rPr>
        <w:t>4</w:t>
      </w:r>
      <w:r w:rsidRPr="00D72FD2">
        <w:rPr>
          <w:rFonts w:ascii="Times New Roman" w:eastAsia="新宋体" w:hAnsi="Times New Roman" w:cs="Times New Roman"/>
          <w:sz w:val="24"/>
          <w:szCs w:val="24"/>
        </w:rPr>
        <w:t>年版。</w:t>
      </w:r>
    </w:p>
    <w:p w14:paraId="3D340C25" w14:textId="77777777" w:rsidR="00D72FD2" w:rsidRPr="00D72FD2" w:rsidRDefault="00D72FD2" w:rsidP="00D72FD2">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72FD2">
        <w:rPr>
          <w:rFonts w:ascii="Times New Roman" w:eastAsia="黑体" w:hAnsi="Times New Roman" w:cs="Times New Roman"/>
          <w:color w:val="000000"/>
          <w:sz w:val="28"/>
          <w:szCs w:val="28"/>
        </w:rPr>
        <w:t>（二）相关推荐书目</w:t>
      </w:r>
    </w:p>
    <w:p w14:paraId="10C2BB97" w14:textId="77777777" w:rsidR="00D72FD2" w:rsidRPr="00D72FD2" w:rsidRDefault="00D72FD2" w:rsidP="00D72FD2">
      <w:pPr>
        <w:spacing w:line="440" w:lineRule="exact"/>
        <w:ind w:firstLineChars="200" w:firstLine="480"/>
        <w:rPr>
          <w:rFonts w:ascii="Times New Roman" w:eastAsia="新宋体" w:hAnsi="Times New Roman" w:cs="Times New Roman"/>
          <w:sz w:val="24"/>
          <w:szCs w:val="24"/>
        </w:rPr>
      </w:pPr>
      <w:r w:rsidRPr="00D72FD2">
        <w:rPr>
          <w:rFonts w:ascii="Times New Roman" w:eastAsia="新宋体" w:hAnsi="Times New Roman" w:cs="Times New Roman"/>
          <w:sz w:val="24"/>
          <w:szCs w:val="24"/>
        </w:rPr>
        <w:t>1.</w:t>
      </w:r>
      <w:r w:rsidRPr="00D72FD2">
        <w:rPr>
          <w:rFonts w:ascii="Times New Roman" w:eastAsia="宋体" w:hAnsi="Times New Roman" w:cs="Times New Roman" w:hint="eastAsia"/>
          <w:szCs w:val="24"/>
        </w:rPr>
        <w:t xml:space="preserve"> </w:t>
      </w:r>
      <w:proofErr w:type="gramStart"/>
      <w:r w:rsidRPr="00D72FD2">
        <w:rPr>
          <w:rFonts w:ascii="Times New Roman" w:eastAsia="新宋体" w:hAnsi="Times New Roman" w:cs="Times New Roman" w:hint="eastAsia"/>
          <w:sz w:val="24"/>
          <w:szCs w:val="24"/>
        </w:rPr>
        <w:t>周言凤</w:t>
      </w:r>
      <w:proofErr w:type="gramEnd"/>
      <w:r w:rsidRPr="00D72FD2">
        <w:rPr>
          <w:rFonts w:ascii="Times New Roman" w:eastAsia="新宋体" w:hAnsi="Times New Roman" w:cs="Times New Roman"/>
          <w:sz w:val="24"/>
          <w:szCs w:val="24"/>
        </w:rPr>
        <w:t>主编：</w:t>
      </w:r>
      <w:r w:rsidRPr="00D72FD2">
        <w:rPr>
          <w:rFonts w:ascii="Times New Roman" w:eastAsia="新宋体" w:hAnsi="Times New Roman" w:cs="Times New Roman" w:hint="eastAsia"/>
          <w:sz w:val="24"/>
          <w:szCs w:val="24"/>
        </w:rPr>
        <w:t>光谱分析技术</w:t>
      </w:r>
      <w:r w:rsidRPr="00D72FD2">
        <w:rPr>
          <w:rFonts w:ascii="Times New Roman" w:eastAsia="新宋体" w:hAnsi="Times New Roman" w:cs="Times New Roman"/>
          <w:sz w:val="24"/>
          <w:szCs w:val="24"/>
        </w:rPr>
        <w:t>，化学工业出版社，</w:t>
      </w:r>
      <w:r w:rsidRPr="00D72FD2">
        <w:rPr>
          <w:rFonts w:ascii="Times New Roman" w:eastAsia="新宋体" w:hAnsi="Times New Roman" w:cs="Times New Roman"/>
          <w:sz w:val="24"/>
          <w:szCs w:val="24"/>
        </w:rPr>
        <w:t>20</w:t>
      </w:r>
      <w:r w:rsidRPr="00D72FD2">
        <w:rPr>
          <w:rFonts w:ascii="Times New Roman" w:eastAsia="新宋体" w:hAnsi="Times New Roman" w:cs="Times New Roman" w:hint="eastAsia"/>
          <w:sz w:val="24"/>
          <w:szCs w:val="24"/>
        </w:rPr>
        <w:t>22</w:t>
      </w:r>
      <w:r w:rsidRPr="00D72FD2">
        <w:rPr>
          <w:rFonts w:ascii="Times New Roman" w:eastAsia="新宋体" w:hAnsi="Times New Roman" w:cs="Times New Roman"/>
          <w:sz w:val="24"/>
          <w:szCs w:val="24"/>
        </w:rPr>
        <w:t>年版；</w:t>
      </w:r>
    </w:p>
    <w:p w14:paraId="19A342A9" w14:textId="77777777" w:rsidR="00D72FD2" w:rsidRPr="00D72FD2" w:rsidRDefault="00D72FD2" w:rsidP="00D72FD2">
      <w:pPr>
        <w:spacing w:line="440" w:lineRule="exact"/>
        <w:ind w:firstLineChars="200" w:firstLine="480"/>
        <w:rPr>
          <w:rFonts w:ascii="Times New Roman" w:eastAsia="新宋体" w:hAnsi="Times New Roman" w:cs="Times New Roman" w:hint="eastAsia"/>
          <w:sz w:val="24"/>
          <w:szCs w:val="24"/>
        </w:rPr>
      </w:pPr>
      <w:r w:rsidRPr="00D72FD2">
        <w:rPr>
          <w:rFonts w:ascii="Times New Roman" w:eastAsia="新宋体" w:hAnsi="Times New Roman" w:cs="Times New Roman"/>
          <w:sz w:val="24"/>
          <w:szCs w:val="24"/>
        </w:rPr>
        <w:t xml:space="preserve">2. </w:t>
      </w:r>
      <w:proofErr w:type="gramStart"/>
      <w:r w:rsidRPr="00D72FD2">
        <w:rPr>
          <w:rFonts w:ascii="Times New Roman" w:eastAsia="新宋体" w:hAnsi="Times New Roman" w:cs="Times New Roman"/>
          <w:sz w:val="24"/>
          <w:szCs w:val="24"/>
        </w:rPr>
        <w:t>杭太俊</w:t>
      </w:r>
      <w:proofErr w:type="gramEnd"/>
      <w:r w:rsidRPr="00D72FD2">
        <w:rPr>
          <w:rFonts w:ascii="Times New Roman" w:eastAsia="新宋体" w:hAnsi="Times New Roman" w:cs="Times New Roman"/>
          <w:sz w:val="24"/>
          <w:szCs w:val="24"/>
        </w:rPr>
        <w:t>主编：药物分析（第</w:t>
      </w:r>
      <w:r w:rsidRPr="00D72FD2">
        <w:rPr>
          <w:rFonts w:ascii="Times New Roman" w:eastAsia="新宋体" w:hAnsi="Times New Roman" w:cs="Times New Roman" w:hint="eastAsia"/>
          <w:sz w:val="24"/>
          <w:szCs w:val="24"/>
        </w:rPr>
        <w:t>9</w:t>
      </w:r>
      <w:r w:rsidRPr="00D72FD2">
        <w:rPr>
          <w:rFonts w:ascii="Times New Roman" w:eastAsia="新宋体" w:hAnsi="Times New Roman" w:cs="Times New Roman"/>
          <w:sz w:val="24"/>
          <w:szCs w:val="24"/>
        </w:rPr>
        <w:t>版），人民卫生出版社，</w:t>
      </w:r>
      <w:r w:rsidRPr="00D72FD2">
        <w:rPr>
          <w:rFonts w:ascii="Times New Roman" w:eastAsia="新宋体" w:hAnsi="Times New Roman" w:cs="Times New Roman"/>
          <w:sz w:val="24"/>
          <w:szCs w:val="24"/>
        </w:rPr>
        <w:t>20</w:t>
      </w:r>
      <w:r w:rsidRPr="00D72FD2">
        <w:rPr>
          <w:rFonts w:ascii="Times New Roman" w:eastAsia="新宋体" w:hAnsi="Times New Roman" w:cs="Times New Roman" w:hint="eastAsia"/>
          <w:sz w:val="24"/>
          <w:szCs w:val="24"/>
        </w:rPr>
        <w:t>2</w:t>
      </w:r>
      <w:r w:rsidRPr="00D72FD2">
        <w:rPr>
          <w:rFonts w:ascii="Times New Roman" w:eastAsia="新宋体" w:hAnsi="Times New Roman" w:cs="Times New Roman"/>
          <w:sz w:val="24"/>
          <w:szCs w:val="24"/>
        </w:rPr>
        <w:t>2</w:t>
      </w:r>
      <w:r w:rsidRPr="00D72FD2">
        <w:rPr>
          <w:rFonts w:ascii="Times New Roman" w:eastAsia="新宋体" w:hAnsi="Times New Roman" w:cs="Times New Roman"/>
          <w:sz w:val="24"/>
          <w:szCs w:val="24"/>
        </w:rPr>
        <w:t>年版。</w:t>
      </w:r>
    </w:p>
    <w:p w14:paraId="274106B7" w14:textId="77777777" w:rsidR="00D72FD2" w:rsidRPr="00D72FD2" w:rsidRDefault="00D72FD2" w:rsidP="00D72FD2">
      <w:pPr>
        <w:spacing w:line="440" w:lineRule="exact"/>
        <w:ind w:firstLineChars="200" w:firstLine="480"/>
        <w:rPr>
          <w:rFonts w:ascii="Times New Roman" w:eastAsia="新宋体" w:hAnsi="Times New Roman" w:cs="Times New Roman" w:hint="eastAsia"/>
          <w:sz w:val="24"/>
          <w:szCs w:val="24"/>
        </w:rPr>
      </w:pPr>
      <w:r w:rsidRPr="00D72FD2">
        <w:rPr>
          <w:rFonts w:ascii="Times New Roman" w:eastAsia="新宋体" w:hAnsi="Times New Roman" w:cs="Times New Roman" w:hint="eastAsia"/>
          <w:sz w:val="24"/>
          <w:szCs w:val="24"/>
        </w:rPr>
        <w:t xml:space="preserve">3. </w:t>
      </w:r>
      <w:proofErr w:type="gramStart"/>
      <w:r w:rsidRPr="00D72FD2">
        <w:rPr>
          <w:rFonts w:ascii="Times New Roman" w:eastAsia="新宋体" w:hAnsi="Times New Roman" w:cs="Times New Roman" w:hint="eastAsia"/>
          <w:sz w:val="24"/>
          <w:szCs w:val="24"/>
        </w:rPr>
        <w:t>李民赞</w:t>
      </w:r>
      <w:r w:rsidRPr="00D72FD2">
        <w:rPr>
          <w:rFonts w:ascii="Times New Roman" w:eastAsia="新宋体" w:hAnsi="Times New Roman" w:cs="Times New Roman"/>
          <w:sz w:val="24"/>
          <w:szCs w:val="24"/>
        </w:rPr>
        <w:t>主编</w:t>
      </w:r>
      <w:proofErr w:type="gramEnd"/>
      <w:r w:rsidRPr="00D72FD2">
        <w:rPr>
          <w:rFonts w:ascii="Times New Roman" w:eastAsia="新宋体" w:hAnsi="Times New Roman" w:cs="Times New Roman"/>
          <w:sz w:val="24"/>
          <w:szCs w:val="24"/>
        </w:rPr>
        <w:t>：</w:t>
      </w:r>
      <w:r w:rsidRPr="00D72FD2">
        <w:rPr>
          <w:rFonts w:ascii="Times New Roman" w:eastAsia="新宋体" w:hAnsi="Times New Roman" w:cs="Times New Roman" w:hint="eastAsia"/>
          <w:sz w:val="24"/>
          <w:szCs w:val="24"/>
        </w:rPr>
        <w:t>光谱分析技术及其应用，科学出版社，</w:t>
      </w:r>
      <w:r w:rsidRPr="00D72FD2">
        <w:rPr>
          <w:rFonts w:ascii="Times New Roman" w:eastAsia="新宋体" w:hAnsi="Times New Roman" w:cs="Times New Roman"/>
          <w:sz w:val="24"/>
          <w:szCs w:val="24"/>
        </w:rPr>
        <w:t>20</w:t>
      </w:r>
      <w:r w:rsidRPr="00D72FD2">
        <w:rPr>
          <w:rFonts w:ascii="Times New Roman" w:eastAsia="新宋体" w:hAnsi="Times New Roman" w:cs="Times New Roman" w:hint="eastAsia"/>
          <w:sz w:val="24"/>
          <w:szCs w:val="24"/>
        </w:rPr>
        <w:t>07</w:t>
      </w:r>
      <w:r w:rsidRPr="00D72FD2">
        <w:rPr>
          <w:rFonts w:ascii="Times New Roman" w:eastAsia="新宋体" w:hAnsi="Times New Roman" w:cs="Times New Roman"/>
          <w:sz w:val="24"/>
          <w:szCs w:val="24"/>
        </w:rPr>
        <w:t>年版</w:t>
      </w:r>
    </w:p>
    <w:p w14:paraId="04AB729A" w14:textId="77777777" w:rsidR="00D72FD2" w:rsidRPr="00D72FD2" w:rsidRDefault="00D72FD2" w:rsidP="00D72FD2">
      <w:pPr>
        <w:spacing w:beforeLines="50" w:before="156" w:afterLines="50" w:after="156" w:line="440" w:lineRule="exact"/>
        <w:ind w:firstLineChars="200" w:firstLine="560"/>
        <w:rPr>
          <w:rFonts w:ascii="Times New Roman" w:eastAsia="黑体" w:hAnsi="Times New Roman" w:cs="Times New Roman"/>
          <w:sz w:val="28"/>
          <w:szCs w:val="28"/>
        </w:rPr>
      </w:pPr>
      <w:r w:rsidRPr="00D72FD2">
        <w:rPr>
          <w:rFonts w:ascii="Times New Roman" w:eastAsia="黑体" w:hAnsi="Times New Roman" w:cs="Times New Roman"/>
          <w:sz w:val="28"/>
          <w:szCs w:val="28"/>
        </w:rPr>
        <w:t>七、课程大纲制定依据</w:t>
      </w:r>
    </w:p>
    <w:p w14:paraId="40582270" w14:textId="7C1A067D" w:rsidR="00D72FD2" w:rsidRDefault="00D72FD2" w:rsidP="00D72FD2">
      <w:pPr>
        <w:spacing w:line="440" w:lineRule="exact"/>
        <w:ind w:firstLineChars="200" w:firstLine="480"/>
        <w:rPr>
          <w:rFonts w:ascii="Times New Roman" w:eastAsia="宋体" w:hAnsi="Times New Roman" w:cs="Times New Roman"/>
          <w:sz w:val="24"/>
          <w:szCs w:val="24"/>
        </w:rPr>
      </w:pPr>
      <w:r w:rsidRPr="00D72FD2">
        <w:rPr>
          <w:rFonts w:ascii="Times New Roman" w:eastAsia="宋体" w:hAnsi="Times New Roman" w:cs="Times New Roman"/>
          <w:sz w:val="24"/>
          <w:szCs w:val="24"/>
        </w:rPr>
        <w:t>本课程大纲依据</w:t>
      </w:r>
      <w:r w:rsidRPr="00D72FD2">
        <w:rPr>
          <w:rFonts w:ascii="Times New Roman" w:eastAsia="宋体" w:hAnsi="Times New Roman" w:cs="Times New Roman"/>
          <w:sz w:val="24"/>
          <w:szCs w:val="24"/>
        </w:rPr>
        <w:t>202</w:t>
      </w:r>
      <w:r w:rsidRPr="00D72FD2">
        <w:rPr>
          <w:rFonts w:ascii="Times New Roman" w:eastAsia="宋体" w:hAnsi="Times New Roman" w:cs="Times New Roman" w:hint="eastAsia"/>
          <w:sz w:val="24"/>
          <w:szCs w:val="24"/>
        </w:rPr>
        <w:t>3</w:t>
      </w:r>
      <w:r w:rsidRPr="00D72FD2">
        <w:rPr>
          <w:rFonts w:ascii="Times New Roman" w:eastAsia="宋体" w:hAnsi="Times New Roman" w:cs="Times New Roman"/>
          <w:sz w:val="24"/>
          <w:szCs w:val="24"/>
        </w:rPr>
        <w:t>年药物</w:t>
      </w:r>
      <w:r w:rsidRPr="00D72FD2">
        <w:rPr>
          <w:rFonts w:ascii="Times New Roman" w:eastAsia="宋体" w:hAnsi="Times New Roman" w:cs="Times New Roman" w:hint="eastAsia"/>
          <w:sz w:val="24"/>
          <w:szCs w:val="24"/>
        </w:rPr>
        <w:t>分析</w:t>
      </w:r>
      <w:r w:rsidRPr="00D72FD2">
        <w:rPr>
          <w:rFonts w:ascii="Times New Roman" w:eastAsia="宋体" w:hAnsi="Times New Roman" w:cs="Times New Roman"/>
          <w:sz w:val="24"/>
          <w:szCs w:val="24"/>
        </w:rPr>
        <w:t>专业人才培养方案制定。</w:t>
      </w:r>
    </w:p>
    <w:p w14:paraId="0D3C14EA" w14:textId="77777777" w:rsidR="00204102" w:rsidRPr="00204102" w:rsidRDefault="00204102" w:rsidP="00242099">
      <w:pPr>
        <w:pStyle w:val="1"/>
      </w:pPr>
      <w:r w:rsidRPr="00204102">
        <w:rPr>
          <w:rFonts w:hint="eastAsia"/>
        </w:rPr>
        <w:lastRenderedPageBreak/>
        <w:t>《药品开发指导原则》课程大纲</w:t>
      </w:r>
      <w:bookmarkEnd w:id="227"/>
      <w:bookmarkEnd w:id="228"/>
    </w:p>
    <w:p w14:paraId="54FB10E0" w14:textId="77777777" w:rsidR="00242099" w:rsidRPr="00242099" w:rsidRDefault="00242099" w:rsidP="00C86D5B">
      <w:pPr>
        <w:pStyle w:val="afc"/>
      </w:pPr>
      <w:bookmarkStart w:id="229" w:name="_Toc51933816"/>
      <w:r w:rsidRPr="00242099">
        <w:rPr>
          <w:rFonts w:hint="eastAsia"/>
        </w:rPr>
        <w:t>一、课程基本信息</w:t>
      </w:r>
      <w:bookmarkEnd w:id="229"/>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2756"/>
        <w:gridCol w:w="1525"/>
        <w:gridCol w:w="2868"/>
      </w:tblGrid>
      <w:tr w:rsidR="00242099" w:rsidRPr="00242099" w14:paraId="51032552" w14:textId="77777777" w:rsidTr="00B602D6">
        <w:trPr>
          <w:trHeight w:val="886"/>
          <w:jc w:val="center"/>
        </w:trPr>
        <w:tc>
          <w:tcPr>
            <w:tcW w:w="1668" w:type="dxa"/>
            <w:shd w:val="clear" w:color="auto" w:fill="auto"/>
            <w:vAlign w:val="center"/>
          </w:tcPr>
          <w:p w14:paraId="3EC3403C"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课程名称</w:t>
            </w:r>
          </w:p>
        </w:tc>
        <w:tc>
          <w:tcPr>
            <w:tcW w:w="2833" w:type="dxa"/>
            <w:shd w:val="clear" w:color="auto" w:fill="auto"/>
            <w:vAlign w:val="center"/>
          </w:tcPr>
          <w:p w14:paraId="638415FC"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药品开发指导原则</w:t>
            </w:r>
          </w:p>
        </w:tc>
        <w:tc>
          <w:tcPr>
            <w:tcW w:w="1561" w:type="dxa"/>
            <w:shd w:val="clear" w:color="auto" w:fill="auto"/>
            <w:vAlign w:val="center"/>
          </w:tcPr>
          <w:p w14:paraId="5D4C5CBB"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课程代码</w:t>
            </w:r>
          </w:p>
        </w:tc>
        <w:tc>
          <w:tcPr>
            <w:tcW w:w="2941" w:type="dxa"/>
            <w:shd w:val="clear" w:color="auto" w:fill="auto"/>
            <w:vAlign w:val="center"/>
          </w:tcPr>
          <w:p w14:paraId="558E5942"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新课</w:t>
            </w:r>
          </w:p>
        </w:tc>
      </w:tr>
      <w:tr w:rsidR="00242099" w:rsidRPr="00242099" w14:paraId="10195E15" w14:textId="77777777" w:rsidTr="00B602D6">
        <w:trPr>
          <w:trHeight w:val="829"/>
          <w:jc w:val="center"/>
        </w:trPr>
        <w:tc>
          <w:tcPr>
            <w:tcW w:w="1668" w:type="dxa"/>
            <w:shd w:val="clear" w:color="auto" w:fill="auto"/>
            <w:vAlign w:val="center"/>
          </w:tcPr>
          <w:p w14:paraId="00BBADA9"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课程类别</w:t>
            </w:r>
          </w:p>
        </w:tc>
        <w:tc>
          <w:tcPr>
            <w:tcW w:w="2833" w:type="dxa"/>
            <w:shd w:val="clear" w:color="auto" w:fill="auto"/>
            <w:vAlign w:val="center"/>
          </w:tcPr>
          <w:p w14:paraId="3B01CAF7"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专业选修课程</w:t>
            </w:r>
          </w:p>
        </w:tc>
        <w:tc>
          <w:tcPr>
            <w:tcW w:w="1561" w:type="dxa"/>
            <w:shd w:val="clear" w:color="auto" w:fill="auto"/>
            <w:vAlign w:val="center"/>
          </w:tcPr>
          <w:p w14:paraId="4ED443C4"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学时</w:t>
            </w:r>
          </w:p>
          <w:p w14:paraId="403899EF"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/学分</w:t>
            </w:r>
          </w:p>
        </w:tc>
        <w:tc>
          <w:tcPr>
            <w:tcW w:w="2941" w:type="dxa"/>
            <w:shd w:val="clear" w:color="auto" w:fill="auto"/>
            <w:vAlign w:val="center"/>
          </w:tcPr>
          <w:p w14:paraId="56763699"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16/1</w:t>
            </w:r>
          </w:p>
        </w:tc>
      </w:tr>
      <w:tr w:rsidR="00242099" w:rsidRPr="00242099" w14:paraId="0F9C8D29" w14:textId="77777777" w:rsidTr="00B602D6">
        <w:trPr>
          <w:trHeight w:val="811"/>
          <w:jc w:val="center"/>
        </w:trPr>
        <w:tc>
          <w:tcPr>
            <w:tcW w:w="1668" w:type="dxa"/>
            <w:shd w:val="clear" w:color="auto" w:fill="auto"/>
            <w:vAlign w:val="center"/>
          </w:tcPr>
          <w:p w14:paraId="383AFE95"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开课单位</w:t>
            </w:r>
          </w:p>
        </w:tc>
        <w:tc>
          <w:tcPr>
            <w:tcW w:w="2833" w:type="dxa"/>
            <w:shd w:val="clear" w:color="auto" w:fill="auto"/>
            <w:vAlign w:val="center"/>
          </w:tcPr>
          <w:p w14:paraId="4A456163"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化工学院</w:t>
            </w:r>
          </w:p>
        </w:tc>
        <w:tc>
          <w:tcPr>
            <w:tcW w:w="1561" w:type="dxa"/>
            <w:shd w:val="clear" w:color="auto" w:fill="auto"/>
            <w:vAlign w:val="center"/>
          </w:tcPr>
          <w:p w14:paraId="62B5E2D6"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适用专业</w:t>
            </w:r>
          </w:p>
        </w:tc>
        <w:tc>
          <w:tcPr>
            <w:tcW w:w="2941" w:type="dxa"/>
            <w:shd w:val="clear" w:color="auto" w:fill="auto"/>
            <w:vAlign w:val="center"/>
          </w:tcPr>
          <w:p w14:paraId="76CC1DB5"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药物</w:t>
            </w:r>
            <w:r w:rsidR="003C5C8E">
              <w:rPr>
                <w:rFonts w:ascii="宋体" w:eastAsia="宋体" w:hAnsi="宋体" w:cs="Times New Roman" w:hint="eastAsia"/>
                <w:sz w:val="24"/>
                <w:szCs w:val="24"/>
              </w:rPr>
              <w:t>分析</w:t>
            </w:r>
          </w:p>
        </w:tc>
      </w:tr>
      <w:tr w:rsidR="00242099" w:rsidRPr="00242099" w14:paraId="7E92B528" w14:textId="77777777" w:rsidTr="00B602D6">
        <w:trPr>
          <w:trHeight w:val="811"/>
          <w:jc w:val="center"/>
        </w:trPr>
        <w:tc>
          <w:tcPr>
            <w:tcW w:w="1668" w:type="dxa"/>
            <w:shd w:val="clear" w:color="auto" w:fill="auto"/>
            <w:vAlign w:val="center"/>
          </w:tcPr>
          <w:p w14:paraId="03E020A9"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课程负责人</w:t>
            </w:r>
          </w:p>
        </w:tc>
        <w:tc>
          <w:tcPr>
            <w:tcW w:w="7335" w:type="dxa"/>
            <w:gridSpan w:val="3"/>
            <w:shd w:val="clear" w:color="auto" w:fill="auto"/>
            <w:vAlign w:val="center"/>
          </w:tcPr>
          <w:p w14:paraId="4851A0CD" w14:textId="77777777" w:rsidR="00242099" w:rsidRPr="00242099" w:rsidRDefault="00242099" w:rsidP="00242099">
            <w:pPr>
              <w:spacing w:line="440" w:lineRule="exact"/>
              <w:jc w:val="center"/>
              <w:rPr>
                <w:rFonts w:ascii="宋体" w:eastAsia="宋体" w:hAnsi="宋体" w:cs="Times New Roman"/>
                <w:sz w:val="24"/>
                <w:szCs w:val="24"/>
              </w:rPr>
            </w:pPr>
            <w:proofErr w:type="gramStart"/>
            <w:r w:rsidRPr="00242099">
              <w:rPr>
                <w:rFonts w:ascii="宋体" w:eastAsia="宋体" w:hAnsi="宋体" w:cs="Times New Roman" w:hint="eastAsia"/>
                <w:sz w:val="24"/>
                <w:szCs w:val="24"/>
              </w:rPr>
              <w:t>冯</w:t>
            </w:r>
            <w:proofErr w:type="gramEnd"/>
            <w:r w:rsidRPr="00242099">
              <w:rPr>
                <w:rFonts w:ascii="宋体" w:eastAsia="宋体" w:hAnsi="宋体" w:cs="Times New Roman" w:hint="eastAsia"/>
                <w:sz w:val="24"/>
                <w:szCs w:val="24"/>
              </w:rPr>
              <w:t>小龙</w:t>
            </w:r>
          </w:p>
        </w:tc>
      </w:tr>
      <w:tr w:rsidR="00242099" w:rsidRPr="00242099" w14:paraId="07B17742" w14:textId="77777777" w:rsidTr="00B602D6">
        <w:trPr>
          <w:trHeight w:val="836"/>
          <w:jc w:val="center"/>
        </w:trPr>
        <w:tc>
          <w:tcPr>
            <w:tcW w:w="1668" w:type="dxa"/>
            <w:shd w:val="clear" w:color="auto" w:fill="auto"/>
            <w:vAlign w:val="center"/>
          </w:tcPr>
          <w:p w14:paraId="5D3CB3D2"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大纲撰写人</w:t>
            </w:r>
          </w:p>
        </w:tc>
        <w:tc>
          <w:tcPr>
            <w:tcW w:w="2833" w:type="dxa"/>
            <w:shd w:val="clear" w:color="auto" w:fill="auto"/>
            <w:vAlign w:val="center"/>
          </w:tcPr>
          <w:p w14:paraId="7CCB5587" w14:textId="77777777" w:rsidR="00242099" w:rsidRPr="00242099" w:rsidRDefault="00242099" w:rsidP="00242099">
            <w:pPr>
              <w:spacing w:line="440" w:lineRule="exact"/>
              <w:jc w:val="center"/>
              <w:rPr>
                <w:rFonts w:ascii="宋体" w:eastAsia="宋体" w:hAnsi="宋体" w:cs="Times New Roman"/>
                <w:sz w:val="24"/>
                <w:szCs w:val="24"/>
              </w:rPr>
            </w:pPr>
            <w:proofErr w:type="gramStart"/>
            <w:r w:rsidRPr="00242099">
              <w:rPr>
                <w:rFonts w:ascii="宋体" w:eastAsia="宋体" w:hAnsi="宋体" w:cs="Times New Roman" w:hint="eastAsia"/>
                <w:sz w:val="24"/>
                <w:szCs w:val="24"/>
              </w:rPr>
              <w:t>冯</w:t>
            </w:r>
            <w:proofErr w:type="gramEnd"/>
            <w:r w:rsidRPr="00242099">
              <w:rPr>
                <w:rFonts w:ascii="宋体" w:eastAsia="宋体" w:hAnsi="宋体" w:cs="Times New Roman" w:hint="eastAsia"/>
                <w:sz w:val="24"/>
                <w:szCs w:val="24"/>
              </w:rPr>
              <w:t>小龙</w:t>
            </w:r>
          </w:p>
        </w:tc>
        <w:tc>
          <w:tcPr>
            <w:tcW w:w="1561" w:type="dxa"/>
            <w:shd w:val="clear" w:color="auto" w:fill="auto"/>
            <w:vAlign w:val="center"/>
          </w:tcPr>
          <w:p w14:paraId="1F9D1EDF"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大纲审核人</w:t>
            </w:r>
          </w:p>
        </w:tc>
        <w:tc>
          <w:tcPr>
            <w:tcW w:w="2941" w:type="dxa"/>
            <w:shd w:val="clear" w:color="auto" w:fill="auto"/>
            <w:vAlign w:val="center"/>
          </w:tcPr>
          <w:p w14:paraId="69B60A2E" w14:textId="77777777" w:rsidR="00242099" w:rsidRPr="00242099" w:rsidRDefault="00242099" w:rsidP="00242099">
            <w:pPr>
              <w:spacing w:line="440" w:lineRule="exact"/>
              <w:jc w:val="center"/>
              <w:rPr>
                <w:rFonts w:ascii="宋体" w:eastAsia="宋体" w:hAnsi="宋体" w:cs="Times New Roman"/>
                <w:sz w:val="24"/>
                <w:szCs w:val="24"/>
              </w:rPr>
            </w:pPr>
            <w:proofErr w:type="gramStart"/>
            <w:r w:rsidRPr="00242099">
              <w:rPr>
                <w:rFonts w:ascii="宋体" w:eastAsia="宋体" w:hAnsi="宋体" w:cs="Times New Roman" w:hint="eastAsia"/>
                <w:sz w:val="24"/>
                <w:szCs w:val="24"/>
              </w:rPr>
              <w:t>冯</w:t>
            </w:r>
            <w:proofErr w:type="gramEnd"/>
            <w:r w:rsidRPr="00242099">
              <w:rPr>
                <w:rFonts w:ascii="宋体" w:eastAsia="宋体" w:hAnsi="宋体" w:cs="Times New Roman" w:hint="eastAsia"/>
                <w:sz w:val="24"/>
                <w:szCs w:val="24"/>
              </w:rPr>
              <w:t>小龙</w:t>
            </w:r>
          </w:p>
        </w:tc>
      </w:tr>
      <w:tr w:rsidR="00242099" w:rsidRPr="00242099" w14:paraId="279C33CB" w14:textId="77777777" w:rsidTr="00B602D6">
        <w:trPr>
          <w:trHeight w:val="848"/>
          <w:jc w:val="center"/>
        </w:trPr>
        <w:tc>
          <w:tcPr>
            <w:tcW w:w="1668" w:type="dxa"/>
            <w:shd w:val="clear" w:color="auto" w:fill="auto"/>
            <w:vAlign w:val="center"/>
          </w:tcPr>
          <w:p w14:paraId="3E38CBB6"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先修课程</w:t>
            </w:r>
          </w:p>
        </w:tc>
        <w:tc>
          <w:tcPr>
            <w:tcW w:w="7335" w:type="dxa"/>
            <w:gridSpan w:val="3"/>
            <w:shd w:val="clear" w:color="auto" w:fill="auto"/>
            <w:vAlign w:val="center"/>
          </w:tcPr>
          <w:p w14:paraId="23EBC974"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药剂学、药物分析</w:t>
            </w:r>
          </w:p>
        </w:tc>
      </w:tr>
      <w:tr w:rsidR="00242099" w:rsidRPr="00242099" w14:paraId="3D6874D1" w14:textId="77777777" w:rsidTr="00B602D6">
        <w:trPr>
          <w:trHeight w:val="848"/>
          <w:jc w:val="center"/>
        </w:trPr>
        <w:tc>
          <w:tcPr>
            <w:tcW w:w="1668" w:type="dxa"/>
            <w:shd w:val="clear" w:color="auto" w:fill="auto"/>
            <w:vAlign w:val="center"/>
          </w:tcPr>
          <w:p w14:paraId="2E7BC59E"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课程网址</w:t>
            </w:r>
          </w:p>
        </w:tc>
        <w:tc>
          <w:tcPr>
            <w:tcW w:w="7335" w:type="dxa"/>
            <w:gridSpan w:val="3"/>
            <w:shd w:val="clear" w:color="auto" w:fill="auto"/>
            <w:vAlign w:val="center"/>
          </w:tcPr>
          <w:p w14:paraId="5D591431" w14:textId="77777777" w:rsidR="00242099" w:rsidRPr="00242099" w:rsidRDefault="00242099" w:rsidP="00242099">
            <w:pPr>
              <w:spacing w:line="440" w:lineRule="exact"/>
              <w:rPr>
                <w:rFonts w:ascii="宋体" w:eastAsia="宋体" w:hAnsi="宋体" w:cs="Times New Roman"/>
                <w:color w:val="FF0000"/>
                <w:sz w:val="24"/>
                <w:szCs w:val="24"/>
              </w:rPr>
            </w:pPr>
          </w:p>
        </w:tc>
      </w:tr>
    </w:tbl>
    <w:p w14:paraId="6B5647AC" w14:textId="77777777" w:rsidR="00242099" w:rsidRPr="00242099" w:rsidRDefault="00242099" w:rsidP="00E85326">
      <w:pPr>
        <w:pStyle w:val="afc"/>
      </w:pPr>
      <w:bookmarkStart w:id="230" w:name="_Toc51933817"/>
      <w:r w:rsidRPr="00242099">
        <w:rPr>
          <w:rFonts w:hint="eastAsia"/>
        </w:rPr>
        <w:t>二、课程学习目标及与毕业要求的对应关系</w:t>
      </w:r>
      <w:bookmarkEnd w:id="230"/>
    </w:p>
    <w:p w14:paraId="680871D7" w14:textId="77777777" w:rsidR="00242099" w:rsidRPr="00242099" w:rsidRDefault="00242099" w:rsidP="00242099">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31" w:name="_Toc51933818"/>
      <w:r w:rsidRPr="00242099">
        <w:rPr>
          <w:rFonts w:ascii="黑体" w:eastAsia="黑体" w:hAnsi="黑体" w:cs="Times New Roman" w:hint="eastAsia"/>
          <w:sz w:val="28"/>
          <w:szCs w:val="28"/>
        </w:rPr>
        <w:t>（一）课程学习目标</w:t>
      </w:r>
      <w:bookmarkEnd w:id="231"/>
    </w:p>
    <w:p w14:paraId="270435B9" w14:textId="77777777" w:rsidR="00242099" w:rsidRPr="00242099" w:rsidRDefault="00242099" w:rsidP="00242099">
      <w:pPr>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通过</w:t>
      </w:r>
      <w:r w:rsidRPr="00242099">
        <w:rPr>
          <w:rFonts w:ascii="宋体" w:eastAsia="宋体" w:hAnsi="宋体" w:cs="Times New Roman"/>
          <w:color w:val="000000"/>
          <w:sz w:val="24"/>
          <w:szCs w:val="24"/>
        </w:rPr>
        <w:t>本课程的学习，</w:t>
      </w:r>
      <w:r w:rsidRPr="00242099">
        <w:rPr>
          <w:rFonts w:ascii="宋体" w:eastAsia="宋体" w:hAnsi="宋体" w:cs="Times New Roman" w:hint="eastAsia"/>
          <w:color w:val="000000"/>
          <w:sz w:val="24"/>
          <w:szCs w:val="24"/>
        </w:rPr>
        <w:t>使学生达到以下</w:t>
      </w:r>
      <w:r w:rsidRPr="00242099">
        <w:rPr>
          <w:rFonts w:ascii="宋体" w:eastAsia="宋体" w:hAnsi="宋体" w:cs="Times New Roman"/>
          <w:color w:val="000000"/>
          <w:sz w:val="24"/>
          <w:szCs w:val="24"/>
        </w:rPr>
        <w:t>目标：</w:t>
      </w:r>
    </w:p>
    <w:p w14:paraId="678DD445" w14:textId="77777777" w:rsidR="00242099" w:rsidRPr="00242099" w:rsidRDefault="00242099" w:rsidP="00242099">
      <w:pPr>
        <w:spacing w:line="440" w:lineRule="exact"/>
        <w:ind w:firstLineChars="200" w:firstLine="480"/>
        <w:rPr>
          <w:rFonts w:ascii="宋体" w:eastAsia="宋体" w:hAnsi="宋体" w:cs="Times New Roman"/>
          <w:b/>
          <w:color w:val="000000"/>
          <w:sz w:val="24"/>
          <w:szCs w:val="24"/>
        </w:rPr>
      </w:pPr>
      <w:r w:rsidRPr="00242099">
        <w:rPr>
          <w:rFonts w:ascii="宋体" w:eastAsia="宋体" w:hAnsi="宋体" w:cs="Times New Roman" w:hint="eastAsia"/>
          <w:color w:val="000000"/>
          <w:sz w:val="24"/>
          <w:szCs w:val="24"/>
        </w:rPr>
        <w:t>1. 能够基于上述药物分析学相关知识，应用基本原理，通过文献研究，识别与提炼、定义和分析药物分析学相关领域实际问题，以获得有效结论。</w:t>
      </w:r>
      <w:r w:rsidRPr="00242099">
        <w:rPr>
          <w:rFonts w:ascii="宋体" w:eastAsia="宋体" w:hAnsi="宋体" w:cs="Times New Roman"/>
          <w:b/>
          <w:color w:val="000000"/>
          <w:sz w:val="24"/>
          <w:szCs w:val="24"/>
        </w:rPr>
        <w:t>【毕业要求</w:t>
      </w:r>
      <w:r w:rsidRPr="00242099">
        <w:rPr>
          <w:rFonts w:ascii="宋体" w:eastAsia="宋体" w:hAnsi="宋体" w:cs="Times New Roman" w:hint="eastAsia"/>
          <w:b/>
          <w:color w:val="000000"/>
          <w:sz w:val="24"/>
          <w:szCs w:val="24"/>
        </w:rPr>
        <w:t>2</w:t>
      </w:r>
      <w:r w:rsidRPr="00242099">
        <w:rPr>
          <w:rFonts w:ascii="宋体" w:eastAsia="宋体" w:hAnsi="宋体" w:cs="Times New Roman"/>
          <w:b/>
          <w:color w:val="000000"/>
          <w:sz w:val="24"/>
          <w:szCs w:val="24"/>
        </w:rPr>
        <w:t xml:space="preserve"> </w:t>
      </w:r>
      <w:r w:rsidRPr="00242099">
        <w:rPr>
          <w:rFonts w:ascii="宋体" w:eastAsia="宋体" w:hAnsi="宋体" w:cs="Times New Roman" w:hint="eastAsia"/>
          <w:b/>
          <w:color w:val="000000"/>
          <w:sz w:val="24"/>
          <w:szCs w:val="24"/>
        </w:rPr>
        <w:t>问题分析</w:t>
      </w:r>
      <w:r w:rsidRPr="00242099">
        <w:rPr>
          <w:rFonts w:ascii="宋体" w:eastAsia="宋体" w:hAnsi="宋体" w:cs="Times New Roman"/>
          <w:b/>
          <w:color w:val="000000"/>
          <w:sz w:val="24"/>
          <w:szCs w:val="24"/>
        </w:rPr>
        <w:t>】</w:t>
      </w:r>
    </w:p>
    <w:p w14:paraId="471541A5" w14:textId="77777777" w:rsidR="00242099" w:rsidRPr="00242099" w:rsidRDefault="00242099" w:rsidP="00242099">
      <w:pPr>
        <w:spacing w:line="440" w:lineRule="exact"/>
        <w:ind w:firstLineChars="200" w:firstLine="480"/>
        <w:rPr>
          <w:rFonts w:ascii="宋体" w:eastAsia="宋体" w:hAnsi="宋体" w:cs="Times New Roman"/>
          <w:b/>
          <w:color w:val="000000"/>
          <w:sz w:val="24"/>
          <w:szCs w:val="24"/>
        </w:rPr>
      </w:pPr>
      <w:r w:rsidRPr="00242099">
        <w:rPr>
          <w:rFonts w:ascii="宋体" w:eastAsia="宋体" w:hAnsi="宋体" w:cs="Times New Roman" w:hint="eastAsia"/>
          <w:color w:val="000000"/>
          <w:sz w:val="24"/>
          <w:szCs w:val="24"/>
        </w:rPr>
        <w:t>2. 能够理解和评价药学实践对环境、社会可持续发展的影响。</w:t>
      </w:r>
      <w:r w:rsidRPr="00242099">
        <w:rPr>
          <w:rFonts w:ascii="宋体" w:eastAsia="宋体" w:hAnsi="宋体" w:cs="Times New Roman"/>
          <w:b/>
          <w:color w:val="000000"/>
          <w:sz w:val="24"/>
          <w:szCs w:val="24"/>
        </w:rPr>
        <w:t>【毕业要求</w:t>
      </w:r>
      <w:r w:rsidRPr="00242099">
        <w:rPr>
          <w:rFonts w:ascii="宋体" w:eastAsia="宋体" w:hAnsi="宋体" w:cs="Times New Roman" w:hint="eastAsia"/>
          <w:b/>
          <w:color w:val="000000"/>
          <w:sz w:val="24"/>
          <w:szCs w:val="24"/>
        </w:rPr>
        <w:t>7 环境和可持续发展</w:t>
      </w:r>
      <w:r w:rsidRPr="00242099">
        <w:rPr>
          <w:rFonts w:ascii="宋体" w:eastAsia="宋体" w:hAnsi="宋体" w:cs="Times New Roman"/>
          <w:b/>
          <w:color w:val="000000"/>
          <w:sz w:val="24"/>
          <w:szCs w:val="24"/>
        </w:rPr>
        <w:t>】</w:t>
      </w:r>
    </w:p>
    <w:p w14:paraId="158423F8" w14:textId="77777777" w:rsidR="00242099" w:rsidRPr="00242099" w:rsidRDefault="00242099" w:rsidP="00242099">
      <w:pPr>
        <w:spacing w:line="440" w:lineRule="exact"/>
        <w:ind w:firstLineChars="200" w:firstLine="480"/>
        <w:rPr>
          <w:rFonts w:ascii="宋体" w:eastAsia="宋体" w:hAnsi="宋体" w:cs="Times New Roman"/>
          <w:b/>
          <w:color w:val="000000"/>
          <w:sz w:val="24"/>
          <w:szCs w:val="24"/>
        </w:rPr>
      </w:pPr>
      <w:r w:rsidRPr="00242099">
        <w:rPr>
          <w:rFonts w:ascii="宋体" w:eastAsia="宋体" w:hAnsi="宋体" w:cs="Times New Roman" w:hint="eastAsia"/>
          <w:color w:val="000000"/>
          <w:sz w:val="24"/>
          <w:szCs w:val="24"/>
        </w:rPr>
        <w:t>3. 具有自主学习和终身学习的意识，有不断学习和适应发展的能力。</w:t>
      </w:r>
      <w:r w:rsidRPr="00242099">
        <w:rPr>
          <w:rFonts w:ascii="宋体" w:eastAsia="宋体" w:hAnsi="宋体" w:cs="Times New Roman"/>
          <w:b/>
          <w:color w:val="000000"/>
          <w:sz w:val="24"/>
          <w:szCs w:val="24"/>
        </w:rPr>
        <w:t>【毕业要求</w:t>
      </w:r>
      <w:r w:rsidRPr="00242099">
        <w:rPr>
          <w:rFonts w:ascii="宋体" w:eastAsia="宋体" w:hAnsi="宋体" w:cs="Times New Roman" w:hint="eastAsia"/>
          <w:b/>
          <w:color w:val="000000"/>
          <w:sz w:val="24"/>
          <w:szCs w:val="24"/>
        </w:rPr>
        <w:t>12 终身学习</w:t>
      </w:r>
      <w:r w:rsidRPr="00242099">
        <w:rPr>
          <w:rFonts w:ascii="宋体" w:eastAsia="宋体" w:hAnsi="宋体" w:cs="Times New Roman"/>
          <w:b/>
          <w:color w:val="000000"/>
          <w:sz w:val="24"/>
          <w:szCs w:val="24"/>
        </w:rPr>
        <w:t>】</w:t>
      </w:r>
    </w:p>
    <w:p w14:paraId="0964B072" w14:textId="77777777" w:rsidR="00242099" w:rsidRPr="00242099" w:rsidRDefault="00242099" w:rsidP="00242099">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32" w:name="_Toc51933819"/>
      <w:r w:rsidRPr="00242099">
        <w:rPr>
          <w:rFonts w:ascii="黑体" w:eastAsia="黑体" w:hAnsi="黑体" w:cs="Times New Roman" w:hint="eastAsia"/>
          <w:sz w:val="28"/>
          <w:szCs w:val="28"/>
        </w:rPr>
        <w:t>（二）课程学习目标与毕业要求指标点的对应关系</w:t>
      </w:r>
      <w:bookmarkEnd w:id="232"/>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7"/>
        <w:gridCol w:w="5516"/>
        <w:gridCol w:w="1966"/>
      </w:tblGrid>
      <w:tr w:rsidR="00242099" w:rsidRPr="00242099" w14:paraId="70342D07" w14:textId="77777777" w:rsidTr="00B602D6">
        <w:trPr>
          <w:trHeight w:val="815"/>
          <w:jc w:val="center"/>
        </w:trPr>
        <w:tc>
          <w:tcPr>
            <w:tcW w:w="1687" w:type="dxa"/>
            <w:vAlign w:val="center"/>
          </w:tcPr>
          <w:p w14:paraId="76D1C699" w14:textId="77777777" w:rsidR="00242099" w:rsidRPr="00242099" w:rsidRDefault="00242099" w:rsidP="00242099">
            <w:pPr>
              <w:spacing w:line="440" w:lineRule="exact"/>
              <w:jc w:val="center"/>
              <w:rPr>
                <w:rFonts w:ascii="宋体" w:eastAsia="宋体" w:hAnsi="宋体" w:cs="Times New Roman"/>
                <w:b/>
                <w:sz w:val="24"/>
                <w:szCs w:val="24"/>
              </w:rPr>
            </w:pPr>
            <w:r w:rsidRPr="00242099">
              <w:rPr>
                <w:rFonts w:ascii="宋体" w:eastAsia="宋体" w:hAnsi="宋体" w:cs="Times New Roman" w:hint="eastAsia"/>
                <w:b/>
                <w:sz w:val="24"/>
                <w:szCs w:val="24"/>
              </w:rPr>
              <w:lastRenderedPageBreak/>
              <w:t>毕业要求</w:t>
            </w:r>
          </w:p>
        </w:tc>
        <w:tc>
          <w:tcPr>
            <w:tcW w:w="5516" w:type="dxa"/>
            <w:vAlign w:val="center"/>
          </w:tcPr>
          <w:p w14:paraId="68BCDCD5" w14:textId="77777777" w:rsidR="00242099" w:rsidRPr="00242099" w:rsidRDefault="00242099" w:rsidP="00242099">
            <w:pPr>
              <w:spacing w:line="440" w:lineRule="exact"/>
              <w:jc w:val="center"/>
              <w:rPr>
                <w:rFonts w:ascii="宋体" w:eastAsia="宋体" w:hAnsi="宋体" w:cs="Times New Roman"/>
                <w:b/>
                <w:sz w:val="24"/>
                <w:szCs w:val="24"/>
              </w:rPr>
            </w:pPr>
            <w:r w:rsidRPr="00242099">
              <w:rPr>
                <w:rFonts w:ascii="宋体" w:eastAsia="宋体" w:hAnsi="宋体" w:cs="Times New Roman" w:hint="eastAsia"/>
                <w:b/>
                <w:sz w:val="24"/>
                <w:szCs w:val="24"/>
              </w:rPr>
              <w:t>毕业要求指标点</w:t>
            </w:r>
          </w:p>
        </w:tc>
        <w:tc>
          <w:tcPr>
            <w:tcW w:w="1966" w:type="dxa"/>
            <w:vAlign w:val="center"/>
          </w:tcPr>
          <w:p w14:paraId="3070BDF5" w14:textId="77777777" w:rsidR="00242099" w:rsidRPr="00242099" w:rsidRDefault="00242099" w:rsidP="00242099">
            <w:pPr>
              <w:spacing w:line="440" w:lineRule="exact"/>
              <w:jc w:val="center"/>
              <w:rPr>
                <w:rFonts w:ascii="宋体" w:eastAsia="宋体" w:hAnsi="宋体" w:cs="Times New Roman"/>
                <w:b/>
                <w:sz w:val="24"/>
                <w:szCs w:val="24"/>
              </w:rPr>
            </w:pPr>
            <w:r w:rsidRPr="00242099">
              <w:rPr>
                <w:rFonts w:ascii="宋体" w:eastAsia="宋体" w:hAnsi="宋体" w:cs="Times New Roman" w:hint="eastAsia"/>
                <w:b/>
                <w:sz w:val="24"/>
                <w:szCs w:val="24"/>
              </w:rPr>
              <w:t>课程目标</w:t>
            </w:r>
          </w:p>
        </w:tc>
      </w:tr>
      <w:tr w:rsidR="00242099" w:rsidRPr="00242099" w14:paraId="2613FDD6" w14:textId="77777777" w:rsidTr="00B602D6">
        <w:trPr>
          <w:jc w:val="center"/>
        </w:trPr>
        <w:tc>
          <w:tcPr>
            <w:tcW w:w="1687" w:type="dxa"/>
            <w:vAlign w:val="center"/>
          </w:tcPr>
          <w:p w14:paraId="1CB05B42"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color w:val="000000"/>
                <w:sz w:val="24"/>
                <w:szCs w:val="24"/>
              </w:rPr>
              <w:t>2.问题分析</w:t>
            </w:r>
          </w:p>
        </w:tc>
        <w:tc>
          <w:tcPr>
            <w:tcW w:w="5516" w:type="dxa"/>
            <w:vAlign w:val="center"/>
          </w:tcPr>
          <w:p w14:paraId="34A9B43D" w14:textId="77777777" w:rsidR="00242099" w:rsidRPr="00242099" w:rsidRDefault="00242099" w:rsidP="00242099">
            <w:pPr>
              <w:topLinePunct/>
              <w:adjustRightInd w:val="0"/>
              <w:snapToGrid w:val="0"/>
              <w:spacing w:line="400" w:lineRule="exact"/>
              <w:jc w:val="left"/>
              <w:textAlignment w:val="center"/>
              <w:rPr>
                <w:rFonts w:ascii="Times New Roman" w:eastAsia="宋体" w:hAnsi="Times New Roman" w:cs="Times New Roman"/>
                <w:sz w:val="24"/>
                <w:szCs w:val="24"/>
              </w:rPr>
            </w:pPr>
            <w:r w:rsidRPr="00242099">
              <w:rPr>
                <w:rFonts w:ascii="宋体" w:eastAsia="宋体" w:hAnsi="宋体" w:cs="Times New Roman" w:hint="eastAsia"/>
                <w:color w:val="000000"/>
                <w:sz w:val="24"/>
                <w:szCs w:val="24"/>
              </w:rPr>
              <w:t>2.2能够结合文献研究，应用基本原理，提炼、表达和分析药物分析学实践问题。</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M</w:t>
            </w:r>
            <w:r w:rsidRPr="00242099">
              <w:rPr>
                <w:rFonts w:ascii="宋体" w:eastAsia="宋体" w:hAnsi="宋体" w:cs="Times New Roman"/>
                <w:color w:val="000000"/>
                <w:sz w:val="24"/>
                <w:szCs w:val="24"/>
              </w:rPr>
              <w:t>)</w:t>
            </w:r>
          </w:p>
        </w:tc>
        <w:tc>
          <w:tcPr>
            <w:tcW w:w="1966" w:type="dxa"/>
            <w:vAlign w:val="center"/>
          </w:tcPr>
          <w:p w14:paraId="6D746A04"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课程目标1</w:t>
            </w:r>
          </w:p>
        </w:tc>
      </w:tr>
      <w:tr w:rsidR="00242099" w:rsidRPr="00242099" w14:paraId="0C1CF633" w14:textId="77777777" w:rsidTr="00B602D6">
        <w:trPr>
          <w:jc w:val="center"/>
        </w:trPr>
        <w:tc>
          <w:tcPr>
            <w:tcW w:w="1687" w:type="dxa"/>
            <w:vAlign w:val="center"/>
          </w:tcPr>
          <w:p w14:paraId="67FDC13F"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7</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环境和可持续发展</w:t>
            </w:r>
          </w:p>
        </w:tc>
        <w:tc>
          <w:tcPr>
            <w:tcW w:w="5516" w:type="dxa"/>
            <w:vAlign w:val="center"/>
          </w:tcPr>
          <w:p w14:paraId="0CEB8B2C" w14:textId="77777777" w:rsidR="00242099" w:rsidRPr="00242099" w:rsidRDefault="00242099" w:rsidP="00242099">
            <w:pPr>
              <w:topLinePunct/>
              <w:adjustRightInd w:val="0"/>
              <w:snapToGrid w:val="0"/>
              <w:spacing w:line="400" w:lineRule="exact"/>
              <w:jc w:val="left"/>
              <w:textAlignment w:val="center"/>
              <w:rPr>
                <w:rFonts w:ascii="宋体" w:eastAsia="宋体" w:hAnsi="宋体" w:cs="Times New Roman"/>
                <w:color w:val="000000"/>
                <w:sz w:val="24"/>
                <w:szCs w:val="24"/>
              </w:rPr>
            </w:pPr>
            <w:r w:rsidRPr="00242099">
              <w:rPr>
                <w:rFonts w:ascii="宋体" w:eastAsia="宋体" w:hAnsi="宋体" w:cs="Times New Roman"/>
                <w:color w:val="000000"/>
                <w:sz w:val="24"/>
                <w:szCs w:val="24"/>
              </w:rPr>
              <w:t>7</w:t>
            </w:r>
            <w:r w:rsidRPr="00242099">
              <w:rPr>
                <w:rFonts w:ascii="宋体" w:eastAsia="宋体" w:hAnsi="宋体" w:cs="Times New Roman" w:hint="eastAsia"/>
                <w:color w:val="000000"/>
                <w:sz w:val="24"/>
                <w:szCs w:val="24"/>
              </w:rPr>
              <w:t>.2药物分析学相关问题解决方案中体现对环境有害物的处理措施，能够结合给定的环境与条件，制定出科学、合理、经济、有效的解决方案。</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H</w:t>
            </w:r>
            <w:r w:rsidRPr="00242099">
              <w:rPr>
                <w:rFonts w:ascii="宋体" w:eastAsia="宋体" w:hAnsi="宋体" w:cs="Times New Roman"/>
                <w:color w:val="000000"/>
                <w:sz w:val="24"/>
                <w:szCs w:val="24"/>
              </w:rPr>
              <w:t>)</w:t>
            </w:r>
          </w:p>
        </w:tc>
        <w:tc>
          <w:tcPr>
            <w:tcW w:w="1966" w:type="dxa"/>
            <w:vAlign w:val="center"/>
          </w:tcPr>
          <w:p w14:paraId="4346BF12"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课程目标</w:t>
            </w:r>
            <w:r w:rsidRPr="00242099">
              <w:rPr>
                <w:rFonts w:ascii="宋体" w:eastAsia="宋体" w:hAnsi="宋体" w:cs="Times New Roman"/>
                <w:color w:val="000000"/>
                <w:sz w:val="24"/>
                <w:szCs w:val="24"/>
              </w:rPr>
              <w:t>2</w:t>
            </w:r>
          </w:p>
        </w:tc>
      </w:tr>
      <w:tr w:rsidR="00242099" w:rsidRPr="00242099" w14:paraId="38105278" w14:textId="77777777" w:rsidTr="00B602D6">
        <w:trPr>
          <w:jc w:val="center"/>
        </w:trPr>
        <w:tc>
          <w:tcPr>
            <w:tcW w:w="1687" w:type="dxa"/>
            <w:vAlign w:val="center"/>
          </w:tcPr>
          <w:p w14:paraId="4E1DC224" w14:textId="77777777" w:rsidR="00242099" w:rsidRPr="00242099" w:rsidRDefault="00242099" w:rsidP="00242099">
            <w:pPr>
              <w:spacing w:line="440" w:lineRule="exact"/>
              <w:jc w:val="center"/>
              <w:rPr>
                <w:rFonts w:ascii="Times New Roman" w:eastAsia="宋体" w:hAnsi="Times New Roman" w:cs="Times New Roman"/>
                <w:sz w:val="24"/>
                <w:szCs w:val="24"/>
              </w:rPr>
            </w:pPr>
            <w:r w:rsidRPr="00242099">
              <w:rPr>
                <w:rFonts w:ascii="宋体" w:eastAsia="宋体" w:hAnsi="宋体" w:cs="Times New Roman" w:hint="eastAsia"/>
                <w:color w:val="000000"/>
                <w:sz w:val="24"/>
                <w:szCs w:val="24"/>
              </w:rPr>
              <w:t>12</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终身学习</w:t>
            </w:r>
          </w:p>
        </w:tc>
        <w:tc>
          <w:tcPr>
            <w:tcW w:w="5516" w:type="dxa"/>
            <w:vAlign w:val="center"/>
          </w:tcPr>
          <w:p w14:paraId="66ADC115" w14:textId="77777777" w:rsidR="00242099" w:rsidRPr="00242099" w:rsidRDefault="00242099" w:rsidP="00242099">
            <w:pPr>
              <w:spacing w:line="440" w:lineRule="exact"/>
              <w:jc w:val="left"/>
              <w:rPr>
                <w:rFonts w:ascii="Times New Roman" w:eastAsia="宋体" w:hAnsi="Times New Roman" w:cs="Times New Roman"/>
                <w:sz w:val="24"/>
                <w:szCs w:val="24"/>
              </w:rPr>
            </w:pPr>
            <w:r w:rsidRPr="00242099">
              <w:rPr>
                <w:rFonts w:ascii="宋体" w:eastAsia="宋体" w:hAnsi="宋体" w:cs="Times New Roman" w:hint="eastAsia"/>
                <w:color w:val="000000"/>
                <w:sz w:val="24"/>
                <w:szCs w:val="24"/>
              </w:rPr>
              <w:t>12.1具有线上学习和终身学习的意识，有不断学习和适应发展的能力，能够根据职业认知合理规划职业生涯，具备创新能力和可持续发展能力。</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H</w:t>
            </w:r>
            <w:r w:rsidRPr="00242099">
              <w:rPr>
                <w:rFonts w:ascii="宋体" w:eastAsia="宋体" w:hAnsi="宋体" w:cs="Times New Roman"/>
                <w:color w:val="000000"/>
                <w:sz w:val="24"/>
                <w:szCs w:val="24"/>
              </w:rPr>
              <w:t>)</w:t>
            </w:r>
          </w:p>
        </w:tc>
        <w:tc>
          <w:tcPr>
            <w:tcW w:w="1966" w:type="dxa"/>
            <w:vAlign w:val="center"/>
          </w:tcPr>
          <w:p w14:paraId="32D532F3"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color w:val="000000"/>
                <w:sz w:val="24"/>
                <w:szCs w:val="24"/>
              </w:rPr>
              <w:t>课程目标</w:t>
            </w:r>
            <w:r w:rsidRPr="00242099">
              <w:rPr>
                <w:rFonts w:ascii="宋体" w:eastAsia="宋体" w:hAnsi="宋体" w:cs="Times New Roman"/>
                <w:color w:val="000000"/>
                <w:sz w:val="24"/>
                <w:szCs w:val="24"/>
              </w:rPr>
              <w:t>3</w:t>
            </w:r>
          </w:p>
        </w:tc>
      </w:tr>
    </w:tbl>
    <w:p w14:paraId="6538964A" w14:textId="77777777" w:rsidR="00242099" w:rsidRPr="00242099" w:rsidRDefault="00242099" w:rsidP="00E85326">
      <w:pPr>
        <w:pStyle w:val="afc"/>
      </w:pPr>
      <w:bookmarkStart w:id="233" w:name="_Toc51933820"/>
      <w:r w:rsidRPr="00242099">
        <w:rPr>
          <w:rFonts w:hint="eastAsia"/>
        </w:rPr>
        <w:t>三、课程学习内容及与课程学习目标的对应关系</w:t>
      </w:r>
      <w:bookmarkEnd w:id="233"/>
    </w:p>
    <w:p w14:paraId="46EA86C6" w14:textId="77777777" w:rsidR="00242099" w:rsidRPr="00242099" w:rsidRDefault="00242099" w:rsidP="00242099">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34" w:name="_Toc51933821"/>
      <w:r w:rsidRPr="00242099">
        <w:rPr>
          <w:rFonts w:ascii="黑体" w:eastAsia="黑体" w:hAnsi="黑体" w:cs="Times New Roman" w:hint="eastAsia"/>
          <w:sz w:val="28"/>
          <w:szCs w:val="28"/>
        </w:rPr>
        <w:t>（一）课程学习内容</w:t>
      </w:r>
      <w:bookmarkEnd w:id="234"/>
    </w:p>
    <w:p w14:paraId="2E41375E" w14:textId="77777777" w:rsidR="00242099" w:rsidRPr="00242099" w:rsidRDefault="00242099" w:rsidP="00242099">
      <w:pPr>
        <w:spacing w:beforeLines="50" w:before="156" w:afterLines="50" w:after="156" w:line="440" w:lineRule="exact"/>
        <w:ind w:firstLineChars="200" w:firstLine="560"/>
        <w:jc w:val="center"/>
        <w:rPr>
          <w:rFonts w:ascii="黑体" w:eastAsia="黑体" w:hAnsi="黑体" w:cs="Times New Roman"/>
          <w:sz w:val="28"/>
          <w:szCs w:val="28"/>
        </w:rPr>
      </w:pPr>
      <w:r w:rsidRPr="00242099">
        <w:rPr>
          <w:rFonts w:ascii="黑体" w:eastAsia="黑体" w:hAnsi="黑体" w:cs="Times New Roman" w:hint="eastAsia"/>
          <w:sz w:val="28"/>
          <w:szCs w:val="28"/>
        </w:rPr>
        <w:t>第一章  药品研究指导原则简介</w:t>
      </w:r>
    </w:p>
    <w:p w14:paraId="16F5D809"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【学习目标】</w:t>
      </w:r>
    </w:p>
    <w:p w14:paraId="706D7E4C"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了解药品研发指导原则国内外进展，培养学生与时俱进的思维；</w:t>
      </w:r>
    </w:p>
    <w:p w14:paraId="3393302F"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熟悉国内药品研发指导原则的分类及概况；</w:t>
      </w:r>
    </w:p>
    <w:p w14:paraId="30AC373E"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color w:val="000000"/>
          <w:sz w:val="24"/>
          <w:szCs w:val="24"/>
        </w:rPr>
        <w:t xml:space="preserve">3. </w:t>
      </w:r>
      <w:r w:rsidRPr="00242099">
        <w:rPr>
          <w:rFonts w:ascii="宋体" w:eastAsia="宋体" w:hAnsi="宋体" w:cs="Times New Roman" w:hint="eastAsia"/>
          <w:color w:val="000000"/>
          <w:sz w:val="24"/>
          <w:szCs w:val="24"/>
        </w:rPr>
        <w:t>掌握化学药品研发指导原则的种类及学习方法，培养科学严谨的意识。</w:t>
      </w:r>
    </w:p>
    <w:p w14:paraId="59D019E4"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【学习内容】</w:t>
      </w:r>
    </w:p>
    <w:p w14:paraId="1F7E2DE6"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国际指导原则分类；</w:t>
      </w:r>
    </w:p>
    <w:p w14:paraId="46B3A3E0"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国内指导原则分类及检索方法；</w:t>
      </w:r>
    </w:p>
    <w:p w14:paraId="74A2A19D"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3</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化学药品研究</w:t>
      </w:r>
      <w:proofErr w:type="gramStart"/>
      <w:r w:rsidRPr="00242099">
        <w:rPr>
          <w:rFonts w:ascii="宋体" w:eastAsia="宋体" w:hAnsi="宋体" w:cs="Times New Roman" w:hint="eastAsia"/>
          <w:color w:val="000000"/>
          <w:sz w:val="24"/>
          <w:szCs w:val="24"/>
        </w:rPr>
        <w:t>常用指导</w:t>
      </w:r>
      <w:proofErr w:type="gramEnd"/>
      <w:r w:rsidRPr="00242099">
        <w:rPr>
          <w:rFonts w:ascii="宋体" w:eastAsia="宋体" w:hAnsi="宋体" w:cs="Times New Roman" w:hint="eastAsia"/>
          <w:color w:val="000000"/>
          <w:sz w:val="24"/>
          <w:szCs w:val="24"/>
        </w:rPr>
        <w:t>原则简介；</w:t>
      </w:r>
    </w:p>
    <w:p w14:paraId="1E1EEAB0"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【重点】</w:t>
      </w:r>
    </w:p>
    <w:p w14:paraId="231E3616"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化学药品研究</w:t>
      </w:r>
      <w:proofErr w:type="gramStart"/>
      <w:r w:rsidRPr="00242099">
        <w:rPr>
          <w:rFonts w:ascii="宋体" w:eastAsia="宋体" w:hAnsi="宋体" w:cs="Times New Roman" w:hint="eastAsia"/>
          <w:color w:val="000000"/>
          <w:sz w:val="24"/>
          <w:szCs w:val="24"/>
        </w:rPr>
        <w:t>常用指导</w:t>
      </w:r>
      <w:proofErr w:type="gramEnd"/>
      <w:r w:rsidRPr="00242099">
        <w:rPr>
          <w:rFonts w:ascii="宋体" w:eastAsia="宋体" w:hAnsi="宋体" w:cs="Times New Roman" w:hint="eastAsia"/>
          <w:color w:val="000000"/>
          <w:sz w:val="24"/>
          <w:szCs w:val="24"/>
        </w:rPr>
        <w:t>原则分类</w:t>
      </w:r>
    </w:p>
    <w:p w14:paraId="590D9CCB"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【难点】</w:t>
      </w:r>
    </w:p>
    <w:p w14:paraId="7A44F76D"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指导原则的使用原则</w:t>
      </w:r>
    </w:p>
    <w:p w14:paraId="42D50F14" w14:textId="77777777" w:rsidR="00242099" w:rsidRPr="00242099" w:rsidRDefault="00242099" w:rsidP="00242099">
      <w:pPr>
        <w:spacing w:line="440" w:lineRule="exact"/>
        <w:ind w:firstLineChars="200" w:firstLine="482"/>
        <w:rPr>
          <w:rFonts w:ascii="宋体" w:eastAsia="宋体" w:hAnsi="宋体" w:cs="Times New Roman"/>
          <w:color w:val="FF0000"/>
          <w:sz w:val="24"/>
          <w:szCs w:val="24"/>
        </w:rPr>
      </w:pPr>
      <w:r w:rsidRPr="00242099">
        <w:rPr>
          <w:rFonts w:ascii="宋体" w:eastAsia="宋体" w:hAnsi="宋体" w:cs="Times New Roman" w:hint="eastAsia"/>
          <w:b/>
          <w:bCs/>
          <w:sz w:val="24"/>
          <w:szCs w:val="24"/>
        </w:rPr>
        <w:t>【教学方法】</w:t>
      </w:r>
    </w:p>
    <w:p w14:paraId="02B03D20"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 通过多媒体课件和传统教学相结合，结合实例，讲解药品研究相关指导原则，丰富学生的基本知识结构，培养学生的研发意识，掌握工作技能，提高适应能力。</w:t>
      </w:r>
    </w:p>
    <w:p w14:paraId="3E259359"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【复习思考】</w:t>
      </w:r>
    </w:p>
    <w:p w14:paraId="429282F1"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国内外指导原则的差异</w:t>
      </w:r>
    </w:p>
    <w:p w14:paraId="09B63E95" w14:textId="77777777" w:rsidR="00242099" w:rsidRPr="00242099" w:rsidRDefault="00242099" w:rsidP="00242099">
      <w:pPr>
        <w:spacing w:beforeLines="50" w:before="156" w:afterLines="50" w:after="156" w:line="440" w:lineRule="exact"/>
        <w:ind w:firstLineChars="200" w:firstLine="560"/>
        <w:jc w:val="center"/>
        <w:rPr>
          <w:rFonts w:ascii="黑体" w:eastAsia="黑体" w:hAnsi="黑体" w:cs="Times New Roman"/>
          <w:sz w:val="28"/>
          <w:szCs w:val="28"/>
        </w:rPr>
      </w:pPr>
      <w:r w:rsidRPr="00242099">
        <w:rPr>
          <w:rFonts w:ascii="黑体" w:eastAsia="黑体" w:hAnsi="黑体" w:cs="Times New Roman" w:hint="eastAsia"/>
          <w:sz w:val="28"/>
          <w:szCs w:val="28"/>
        </w:rPr>
        <w:lastRenderedPageBreak/>
        <w:t>第二章  制剂研究技术</w:t>
      </w:r>
    </w:p>
    <w:p w14:paraId="2F8B843D"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【学习目标】</w:t>
      </w:r>
    </w:p>
    <w:p w14:paraId="165CF526"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了解述制剂研究的基本思路和方法，培养精益求精的工匠精神；</w:t>
      </w:r>
    </w:p>
    <w:p w14:paraId="0735763E"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掌握制剂研究的基本内容；</w:t>
      </w:r>
    </w:p>
    <w:p w14:paraId="2905EE49" w14:textId="77777777" w:rsidR="00242099" w:rsidRPr="00242099" w:rsidRDefault="00242099" w:rsidP="00242099">
      <w:pPr>
        <w:spacing w:line="440" w:lineRule="exact"/>
        <w:ind w:firstLineChars="200" w:firstLine="482"/>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【学习内容】</w:t>
      </w:r>
    </w:p>
    <w:p w14:paraId="63931E1D"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制剂研究的基本内容；</w:t>
      </w:r>
    </w:p>
    <w:p w14:paraId="1DF73633"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剂型的选择；</w:t>
      </w:r>
    </w:p>
    <w:p w14:paraId="2FE6F914"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3</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处方研究；</w:t>
      </w:r>
    </w:p>
    <w:p w14:paraId="4AEE30BB"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4. 制剂工艺研究</w:t>
      </w:r>
    </w:p>
    <w:p w14:paraId="2ED0662D" w14:textId="77777777" w:rsidR="00242099" w:rsidRPr="00242099" w:rsidRDefault="00242099" w:rsidP="00242099">
      <w:pPr>
        <w:spacing w:line="440" w:lineRule="exact"/>
        <w:ind w:firstLineChars="200" w:firstLine="482"/>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【重点】</w:t>
      </w:r>
    </w:p>
    <w:p w14:paraId="0BECA9F0"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制剂研究的基本内容</w:t>
      </w:r>
    </w:p>
    <w:p w14:paraId="11400AA5" w14:textId="77777777" w:rsidR="00242099" w:rsidRPr="00242099" w:rsidRDefault="00242099" w:rsidP="00242099">
      <w:pPr>
        <w:spacing w:line="440" w:lineRule="exact"/>
        <w:ind w:firstLineChars="200" w:firstLine="482"/>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【难点】</w:t>
      </w:r>
    </w:p>
    <w:p w14:paraId="60E52718"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制剂研究的基本内容</w:t>
      </w:r>
    </w:p>
    <w:p w14:paraId="5219A4AD" w14:textId="77777777" w:rsidR="00242099" w:rsidRPr="00242099" w:rsidRDefault="00242099" w:rsidP="00242099">
      <w:pPr>
        <w:spacing w:line="440" w:lineRule="exact"/>
        <w:ind w:firstLineChars="200" w:firstLine="482"/>
        <w:rPr>
          <w:rFonts w:ascii="宋体" w:eastAsia="宋体" w:hAnsi="宋体" w:cs="Times New Roman"/>
          <w:color w:val="FF0000"/>
          <w:sz w:val="24"/>
          <w:szCs w:val="24"/>
        </w:rPr>
      </w:pPr>
      <w:r w:rsidRPr="00242099">
        <w:rPr>
          <w:rFonts w:ascii="宋体" w:eastAsia="宋体" w:hAnsi="宋体" w:cs="Times New Roman" w:hint="eastAsia"/>
          <w:b/>
          <w:bCs/>
          <w:sz w:val="24"/>
          <w:szCs w:val="24"/>
        </w:rPr>
        <w:t>【教学方法】</w:t>
      </w:r>
    </w:p>
    <w:p w14:paraId="3CCF5C56"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 通过多媒体课件和传统教学相结合，结合实例，讲解药品研究相关指导原则，丰富学生的基本知识结构，培养学生的研发意识，掌握工作技能，提高适应能力。</w:t>
      </w:r>
    </w:p>
    <w:p w14:paraId="7A1620C3"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【复习思考】</w:t>
      </w:r>
    </w:p>
    <w:p w14:paraId="3DF3CAA8"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制剂研究的基本内容</w:t>
      </w:r>
    </w:p>
    <w:p w14:paraId="4CB26593" w14:textId="77777777" w:rsidR="00242099" w:rsidRPr="00242099" w:rsidRDefault="00242099" w:rsidP="00242099">
      <w:pPr>
        <w:spacing w:beforeLines="50" w:before="156" w:afterLines="50" w:after="156" w:line="440" w:lineRule="exact"/>
        <w:ind w:firstLineChars="200" w:firstLine="560"/>
        <w:jc w:val="center"/>
        <w:rPr>
          <w:rFonts w:ascii="黑体" w:eastAsia="黑体" w:hAnsi="黑体" w:cs="Times New Roman"/>
          <w:sz w:val="28"/>
          <w:szCs w:val="28"/>
        </w:rPr>
      </w:pPr>
      <w:r w:rsidRPr="00242099">
        <w:rPr>
          <w:rFonts w:ascii="黑体" w:eastAsia="黑体" w:hAnsi="黑体" w:cs="Times New Roman" w:hint="eastAsia"/>
          <w:sz w:val="28"/>
          <w:szCs w:val="28"/>
        </w:rPr>
        <w:t>第三章  质量标准建立</w:t>
      </w:r>
    </w:p>
    <w:p w14:paraId="72EF8A5F"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【学习目标】</w:t>
      </w:r>
    </w:p>
    <w:p w14:paraId="6A9C53C6"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了解药物的质量研究与质量标准的制订内容，使学生深刻理解药品质量与生命至上的内涵；</w:t>
      </w:r>
    </w:p>
    <w:p w14:paraId="0A46B71D"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熟悉根据所研制药物的特点和药物研发的自身规律，理清研究思路，规范质量研究、质量标准的制订，以及质量标准的修订和完善的过程，提高质量标准的质量。</w:t>
      </w:r>
    </w:p>
    <w:p w14:paraId="55EB8164"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【学习内容】</w:t>
      </w:r>
    </w:p>
    <w:p w14:paraId="46CFB976"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质量标准建立的基本过程；</w:t>
      </w:r>
    </w:p>
    <w:p w14:paraId="2A0ABF6E"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药物的质量研究；</w:t>
      </w:r>
    </w:p>
    <w:p w14:paraId="795EB773"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3</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质量标准的制订；</w:t>
      </w:r>
    </w:p>
    <w:p w14:paraId="41B0A479"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4. 质量标准的修订。</w:t>
      </w:r>
    </w:p>
    <w:p w14:paraId="30A28CCD" w14:textId="77777777" w:rsidR="00242099" w:rsidRPr="00242099" w:rsidRDefault="00242099" w:rsidP="00242099">
      <w:pPr>
        <w:spacing w:line="440" w:lineRule="exact"/>
        <w:ind w:firstLineChars="200" w:firstLine="482"/>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【重点】</w:t>
      </w:r>
    </w:p>
    <w:p w14:paraId="67005BF4"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lastRenderedPageBreak/>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质量标准建立的基本过程</w:t>
      </w:r>
    </w:p>
    <w:p w14:paraId="13D4846C" w14:textId="77777777" w:rsidR="00242099" w:rsidRPr="00242099" w:rsidRDefault="00242099" w:rsidP="00242099">
      <w:pPr>
        <w:spacing w:line="440" w:lineRule="exact"/>
        <w:ind w:firstLineChars="200" w:firstLine="482"/>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【难点】</w:t>
      </w:r>
    </w:p>
    <w:p w14:paraId="5AE8E279"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质量标准的制订</w:t>
      </w:r>
    </w:p>
    <w:p w14:paraId="3345217C" w14:textId="77777777" w:rsidR="00242099" w:rsidRPr="00242099" w:rsidRDefault="00242099" w:rsidP="00242099">
      <w:pPr>
        <w:spacing w:line="440" w:lineRule="exact"/>
        <w:ind w:firstLineChars="200" w:firstLine="482"/>
        <w:rPr>
          <w:rFonts w:ascii="宋体" w:eastAsia="宋体" w:hAnsi="宋体" w:cs="Times New Roman"/>
          <w:color w:val="FF0000"/>
          <w:sz w:val="24"/>
          <w:szCs w:val="24"/>
        </w:rPr>
      </w:pPr>
      <w:r w:rsidRPr="00242099">
        <w:rPr>
          <w:rFonts w:ascii="宋体" w:eastAsia="宋体" w:hAnsi="宋体" w:cs="Times New Roman" w:hint="eastAsia"/>
          <w:b/>
          <w:bCs/>
          <w:sz w:val="24"/>
          <w:szCs w:val="24"/>
        </w:rPr>
        <w:t>【教学方法】</w:t>
      </w:r>
    </w:p>
    <w:p w14:paraId="7E22709A"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 通过多媒体课件和传统教学相结合，结合实例，讲解药品研究相关指导原则，丰富学生的基本知识结构，培养学生的研发意识，掌握工作技能，提高适应能力。</w:t>
      </w:r>
    </w:p>
    <w:p w14:paraId="0A46CCFE"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【复习思考】</w:t>
      </w:r>
    </w:p>
    <w:p w14:paraId="5932E84A"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质量标准的制订的基本内容</w:t>
      </w:r>
    </w:p>
    <w:p w14:paraId="11064BAF" w14:textId="77777777" w:rsidR="00242099" w:rsidRPr="00242099" w:rsidRDefault="00242099" w:rsidP="00242099">
      <w:pPr>
        <w:spacing w:beforeLines="50" w:before="156" w:afterLines="50" w:after="156" w:line="440" w:lineRule="exact"/>
        <w:ind w:firstLineChars="200" w:firstLine="560"/>
        <w:jc w:val="center"/>
        <w:rPr>
          <w:rFonts w:ascii="黑体" w:eastAsia="黑体" w:hAnsi="黑体" w:cs="Times New Roman"/>
          <w:sz w:val="28"/>
          <w:szCs w:val="28"/>
        </w:rPr>
      </w:pPr>
      <w:r w:rsidRPr="00242099">
        <w:rPr>
          <w:rFonts w:ascii="黑体" w:eastAsia="黑体" w:hAnsi="黑体" w:cs="Times New Roman" w:hint="eastAsia"/>
          <w:sz w:val="28"/>
          <w:szCs w:val="28"/>
        </w:rPr>
        <w:t>第四章  质量控制分析方法</w:t>
      </w:r>
    </w:p>
    <w:p w14:paraId="39922229"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【学习目标】</w:t>
      </w:r>
    </w:p>
    <w:p w14:paraId="36355177"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了解全面考察药品质量的原则及方法；</w:t>
      </w:r>
    </w:p>
    <w:p w14:paraId="36832284"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熟悉分析方法验证的要求与所要达到的目的结合起来进行系统和规律性；</w:t>
      </w:r>
    </w:p>
    <w:p w14:paraId="5FCFE516"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3．掌握如何科学合理地进行论证方案的设计。</w:t>
      </w:r>
    </w:p>
    <w:p w14:paraId="4594739B"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【学习内容】</w:t>
      </w:r>
    </w:p>
    <w:p w14:paraId="6B23C963"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方法验证的一般原则；</w:t>
      </w:r>
    </w:p>
    <w:p w14:paraId="56F1D120"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方法验证涉及到的三个主要方面；</w:t>
      </w:r>
    </w:p>
    <w:p w14:paraId="15F0A3B3"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3</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方法验证的具体内容；</w:t>
      </w:r>
    </w:p>
    <w:p w14:paraId="4BC4D328"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4. 方法验证的评价。</w:t>
      </w:r>
    </w:p>
    <w:p w14:paraId="58E58A29" w14:textId="77777777" w:rsidR="00242099" w:rsidRPr="00242099" w:rsidRDefault="00242099" w:rsidP="00242099">
      <w:pPr>
        <w:spacing w:line="440" w:lineRule="exact"/>
        <w:ind w:firstLineChars="200" w:firstLine="482"/>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【重点】</w:t>
      </w:r>
    </w:p>
    <w:p w14:paraId="78F21E8F"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方法验证的具体内容</w:t>
      </w:r>
    </w:p>
    <w:p w14:paraId="7B8B41B7" w14:textId="77777777" w:rsidR="00242099" w:rsidRPr="00242099" w:rsidRDefault="00242099" w:rsidP="00242099">
      <w:pPr>
        <w:spacing w:line="440" w:lineRule="exact"/>
        <w:ind w:firstLineChars="200" w:firstLine="482"/>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【难点】</w:t>
      </w:r>
    </w:p>
    <w:p w14:paraId="28650DBB"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方法验证的评价</w:t>
      </w:r>
    </w:p>
    <w:p w14:paraId="47CC8956" w14:textId="77777777" w:rsidR="00242099" w:rsidRPr="00242099" w:rsidRDefault="00242099" w:rsidP="00242099">
      <w:pPr>
        <w:spacing w:line="440" w:lineRule="exact"/>
        <w:ind w:firstLineChars="200" w:firstLine="482"/>
        <w:rPr>
          <w:rFonts w:ascii="宋体" w:eastAsia="宋体" w:hAnsi="宋体" w:cs="Times New Roman"/>
          <w:color w:val="FF0000"/>
          <w:sz w:val="24"/>
          <w:szCs w:val="24"/>
        </w:rPr>
      </w:pPr>
      <w:r w:rsidRPr="00242099">
        <w:rPr>
          <w:rFonts w:ascii="宋体" w:eastAsia="宋体" w:hAnsi="宋体" w:cs="Times New Roman" w:hint="eastAsia"/>
          <w:b/>
          <w:bCs/>
          <w:sz w:val="24"/>
          <w:szCs w:val="24"/>
        </w:rPr>
        <w:t>【教学方法】</w:t>
      </w:r>
    </w:p>
    <w:p w14:paraId="0CBD903F"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 通过多媒体课件和传统教学相结合，结合实例，讲解药品研究相关指导原则，丰富学生的基本知识结构，培养学生的研发意识，掌握工作技能，提高适应能力。</w:t>
      </w:r>
    </w:p>
    <w:p w14:paraId="5F5378DB"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【复习思考】</w:t>
      </w:r>
    </w:p>
    <w:p w14:paraId="20505DB3"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方法验证的具体内容及使用方法</w:t>
      </w:r>
    </w:p>
    <w:p w14:paraId="46276455" w14:textId="77777777" w:rsidR="00242099" w:rsidRPr="00242099" w:rsidRDefault="00242099" w:rsidP="00242099">
      <w:pPr>
        <w:spacing w:beforeLines="50" w:before="156" w:afterLines="50" w:after="156" w:line="440" w:lineRule="exact"/>
        <w:ind w:firstLineChars="200" w:firstLine="560"/>
        <w:jc w:val="center"/>
        <w:rPr>
          <w:rFonts w:ascii="黑体" w:eastAsia="黑体" w:hAnsi="黑体" w:cs="Times New Roman"/>
          <w:sz w:val="28"/>
          <w:szCs w:val="28"/>
        </w:rPr>
      </w:pPr>
      <w:r w:rsidRPr="00242099">
        <w:rPr>
          <w:rFonts w:ascii="黑体" w:eastAsia="黑体" w:hAnsi="黑体" w:cs="Times New Roman" w:hint="eastAsia"/>
          <w:sz w:val="28"/>
          <w:szCs w:val="28"/>
        </w:rPr>
        <w:t>第五章  口服缓释制剂药学研究</w:t>
      </w:r>
    </w:p>
    <w:p w14:paraId="7040F594"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【学习目标】</w:t>
      </w:r>
    </w:p>
    <w:p w14:paraId="071A33C4"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了解化学药物口服缓释制剂研究工作的基本思路、基本原则、一般方法；</w:t>
      </w:r>
    </w:p>
    <w:p w14:paraId="1340A991"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lastRenderedPageBreak/>
        <w:t>2</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熟悉口服缓释制剂的常用技术，培养学生在药品研制中的改革创新意识；</w:t>
      </w:r>
    </w:p>
    <w:p w14:paraId="32B5DE78"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3．掌握处方与制备工艺研究方法。</w:t>
      </w:r>
    </w:p>
    <w:p w14:paraId="06245D51" w14:textId="77777777" w:rsidR="00242099" w:rsidRPr="00242099" w:rsidRDefault="00242099" w:rsidP="00242099">
      <w:pPr>
        <w:spacing w:line="440" w:lineRule="exact"/>
        <w:ind w:firstLineChars="200" w:firstLine="482"/>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【学习内容】</w:t>
      </w:r>
    </w:p>
    <w:p w14:paraId="3C1C96FC"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口服缓释制剂研究的基本思路；</w:t>
      </w:r>
    </w:p>
    <w:p w14:paraId="2FD921FB"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制备口服缓释制剂的常用技术；</w:t>
      </w:r>
    </w:p>
    <w:p w14:paraId="37F96B42"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3</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释放度研究的基本原则与要求；</w:t>
      </w:r>
    </w:p>
    <w:p w14:paraId="76948AFB"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4. 处方与制备工艺研究。</w:t>
      </w:r>
    </w:p>
    <w:p w14:paraId="3BA4AE61" w14:textId="77777777" w:rsidR="00242099" w:rsidRPr="00242099" w:rsidRDefault="00242099" w:rsidP="00242099">
      <w:pPr>
        <w:spacing w:line="440" w:lineRule="exact"/>
        <w:ind w:firstLineChars="200" w:firstLine="482"/>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【重点】</w:t>
      </w:r>
    </w:p>
    <w:p w14:paraId="37C287FF"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口服缓释制剂研究的基本思路</w:t>
      </w:r>
    </w:p>
    <w:p w14:paraId="3CE8036D" w14:textId="77777777" w:rsidR="00242099" w:rsidRPr="00242099" w:rsidRDefault="00242099" w:rsidP="00242099">
      <w:pPr>
        <w:spacing w:line="440" w:lineRule="exact"/>
        <w:ind w:firstLineChars="200" w:firstLine="482"/>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【难点】</w:t>
      </w:r>
    </w:p>
    <w:p w14:paraId="2BD83282"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口服缓释制剂研究的基本思路</w:t>
      </w:r>
    </w:p>
    <w:p w14:paraId="20166AC3" w14:textId="77777777" w:rsidR="00242099" w:rsidRPr="00242099" w:rsidRDefault="00242099" w:rsidP="00242099">
      <w:pPr>
        <w:spacing w:line="440" w:lineRule="exact"/>
        <w:ind w:firstLineChars="200" w:firstLine="482"/>
        <w:rPr>
          <w:rFonts w:ascii="宋体" w:eastAsia="宋体" w:hAnsi="宋体" w:cs="Times New Roman"/>
          <w:color w:val="FF0000"/>
          <w:sz w:val="24"/>
          <w:szCs w:val="24"/>
        </w:rPr>
      </w:pPr>
      <w:r w:rsidRPr="00242099">
        <w:rPr>
          <w:rFonts w:ascii="宋体" w:eastAsia="宋体" w:hAnsi="宋体" w:cs="Times New Roman" w:hint="eastAsia"/>
          <w:b/>
          <w:bCs/>
          <w:sz w:val="24"/>
          <w:szCs w:val="24"/>
        </w:rPr>
        <w:t>【教学方法】</w:t>
      </w:r>
    </w:p>
    <w:p w14:paraId="170A83E6"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 通过多媒体课件和传统教学相结合，结合实例，讲解药品研究相关指导原则，丰富学生的基本知识结构，培养学生的研发意识，掌握工作技能，提高适应能力。</w:t>
      </w:r>
    </w:p>
    <w:p w14:paraId="0972C5DB"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【复习思考】</w:t>
      </w:r>
    </w:p>
    <w:p w14:paraId="131D17FC"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制备口服缓释制剂的常用技术</w:t>
      </w:r>
    </w:p>
    <w:p w14:paraId="5E2DE594" w14:textId="77777777" w:rsidR="00242099" w:rsidRPr="00242099" w:rsidRDefault="00242099" w:rsidP="00242099">
      <w:pPr>
        <w:spacing w:beforeLines="50" w:before="156" w:afterLines="50" w:after="156" w:line="440" w:lineRule="exact"/>
        <w:ind w:firstLineChars="200" w:firstLine="560"/>
        <w:jc w:val="center"/>
        <w:rPr>
          <w:rFonts w:ascii="黑体" w:eastAsia="黑体" w:hAnsi="黑体" w:cs="Times New Roman"/>
          <w:sz w:val="28"/>
          <w:szCs w:val="28"/>
        </w:rPr>
      </w:pPr>
      <w:r w:rsidRPr="00242099">
        <w:rPr>
          <w:rFonts w:ascii="黑体" w:eastAsia="黑体" w:hAnsi="黑体" w:cs="Times New Roman" w:hint="eastAsia"/>
          <w:sz w:val="28"/>
          <w:szCs w:val="28"/>
        </w:rPr>
        <w:t>第六章  注射剂基本技术要求</w:t>
      </w:r>
    </w:p>
    <w:p w14:paraId="21CD401A"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【学习目标】</w:t>
      </w:r>
    </w:p>
    <w:p w14:paraId="5A20D70C"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了解化学药品注射剂研发、生产和使用中存在的突出问题；</w:t>
      </w:r>
    </w:p>
    <w:p w14:paraId="38E6CAA4"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熟悉药品注射剂剂型选择的必要性、合理性；</w:t>
      </w:r>
    </w:p>
    <w:p w14:paraId="08F8C2E8"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3．掌握药品注射剂原、辅料质量控制及来源。</w:t>
      </w:r>
    </w:p>
    <w:p w14:paraId="4A5A0324"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【学习内容】</w:t>
      </w:r>
    </w:p>
    <w:p w14:paraId="7A375324"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化学药品注射剂剂型选择的必要性、合理性；</w:t>
      </w:r>
    </w:p>
    <w:p w14:paraId="377D8ED4"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化学药品注射剂规格的合理性、必要性；</w:t>
      </w:r>
    </w:p>
    <w:p w14:paraId="66DD3381"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3</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化学药品注射剂原、辅料质量控制及来源；</w:t>
      </w:r>
    </w:p>
    <w:p w14:paraId="4F0DC98F"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4. 化学药品注射剂质量研究及质量标准制订。</w:t>
      </w:r>
    </w:p>
    <w:p w14:paraId="5EFA49CA"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【重点】</w:t>
      </w:r>
    </w:p>
    <w:p w14:paraId="42EDB83A"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化学药品注射剂原、辅料质量控制及来源</w:t>
      </w:r>
    </w:p>
    <w:p w14:paraId="34C16DDA"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【难点】</w:t>
      </w:r>
    </w:p>
    <w:p w14:paraId="7BA0036E"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化学药品注射剂剂型选择的必要性、合理性</w:t>
      </w:r>
    </w:p>
    <w:p w14:paraId="44B09EDA"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【教学方法】</w:t>
      </w:r>
    </w:p>
    <w:p w14:paraId="46CAEFD4"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lastRenderedPageBreak/>
        <w:t>1. 通过多媒体课件和传统教学相结合，结合实例，讲解药品研究相关指导原则，丰富学生的基本知识结构，培养学生的研发意识，掌握工作技能，提高适应能力。</w:t>
      </w:r>
    </w:p>
    <w:p w14:paraId="725F81A9"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【复习思考】</w:t>
      </w:r>
    </w:p>
    <w:p w14:paraId="54FE34F1"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化学药品注射剂原、辅料质量控制及来源</w:t>
      </w:r>
    </w:p>
    <w:p w14:paraId="3741E7D4" w14:textId="77777777" w:rsidR="00242099" w:rsidRPr="00242099" w:rsidRDefault="00242099" w:rsidP="00242099">
      <w:pPr>
        <w:spacing w:beforeLines="50" w:before="156" w:afterLines="50" w:after="156" w:line="440" w:lineRule="exact"/>
        <w:ind w:firstLineChars="200" w:firstLine="560"/>
        <w:jc w:val="center"/>
        <w:rPr>
          <w:rFonts w:ascii="黑体" w:eastAsia="黑体" w:hAnsi="黑体" w:cs="Times New Roman"/>
          <w:sz w:val="28"/>
          <w:szCs w:val="28"/>
        </w:rPr>
      </w:pPr>
      <w:r w:rsidRPr="00242099">
        <w:rPr>
          <w:rFonts w:ascii="黑体" w:eastAsia="黑体" w:hAnsi="黑体" w:cs="Times New Roman" w:hint="eastAsia"/>
          <w:sz w:val="28"/>
          <w:szCs w:val="28"/>
        </w:rPr>
        <w:t>第七章  生产工艺变更研究</w:t>
      </w:r>
    </w:p>
    <w:p w14:paraId="76678787"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【学习目标】</w:t>
      </w:r>
    </w:p>
    <w:p w14:paraId="7CC74C3C"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了解已上市化学药品变更研究工作的基本原则；</w:t>
      </w:r>
    </w:p>
    <w:p w14:paraId="04C4A64B"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熟悉变更研究的种类；</w:t>
      </w:r>
    </w:p>
    <w:p w14:paraId="072C2E8B"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3．掌握部分变更研究的研究内容，培养学生的</w:t>
      </w:r>
      <w:r w:rsidRPr="00242099">
        <w:rPr>
          <w:rFonts w:ascii="Times New Roman" w:eastAsia="宋体" w:hAnsi="Times New Roman" w:cs="Times New Roman" w:hint="eastAsia"/>
          <w:color w:val="000000"/>
          <w:sz w:val="24"/>
          <w:szCs w:val="24"/>
        </w:rPr>
        <w:t>工匠精神与意识</w:t>
      </w:r>
      <w:r w:rsidRPr="00242099">
        <w:rPr>
          <w:rFonts w:ascii="宋体" w:eastAsia="宋体" w:hAnsi="宋体" w:cs="Times New Roman" w:hint="eastAsia"/>
          <w:color w:val="000000"/>
          <w:sz w:val="24"/>
          <w:szCs w:val="24"/>
        </w:rPr>
        <w:t>。</w:t>
      </w:r>
    </w:p>
    <w:p w14:paraId="45022CD0" w14:textId="77777777" w:rsidR="00242099" w:rsidRPr="00242099" w:rsidRDefault="00242099" w:rsidP="00242099">
      <w:pPr>
        <w:spacing w:line="440" w:lineRule="exact"/>
        <w:ind w:firstLineChars="200" w:firstLine="482"/>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【学习内容】</w:t>
      </w:r>
    </w:p>
    <w:p w14:paraId="7F7E08BE"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已上市化学药品变更研究工作的基本原则；</w:t>
      </w:r>
    </w:p>
    <w:p w14:paraId="2122516B"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变更原料药生产工艺；</w:t>
      </w:r>
    </w:p>
    <w:p w14:paraId="3C9A3B08"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3</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变更药品制剂的生产工艺；</w:t>
      </w:r>
    </w:p>
    <w:p w14:paraId="03D76E7D"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4. 变更药品注册标准。</w:t>
      </w:r>
    </w:p>
    <w:p w14:paraId="7AB656F2" w14:textId="77777777" w:rsidR="00242099" w:rsidRPr="00242099" w:rsidRDefault="00242099" w:rsidP="00242099">
      <w:pPr>
        <w:spacing w:line="440" w:lineRule="exact"/>
        <w:ind w:firstLineChars="200" w:firstLine="482"/>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【重点】</w:t>
      </w:r>
    </w:p>
    <w:p w14:paraId="40328231"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变更药品制剂的生产工艺</w:t>
      </w:r>
    </w:p>
    <w:p w14:paraId="6CB96A70" w14:textId="77777777" w:rsidR="00242099" w:rsidRPr="00242099" w:rsidRDefault="00242099" w:rsidP="00242099">
      <w:pPr>
        <w:spacing w:line="440" w:lineRule="exact"/>
        <w:ind w:firstLineChars="200" w:firstLine="482"/>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【难点】</w:t>
      </w:r>
    </w:p>
    <w:p w14:paraId="20354652"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变更原料药生产工艺</w:t>
      </w:r>
    </w:p>
    <w:p w14:paraId="36D7868A" w14:textId="77777777" w:rsidR="00242099" w:rsidRPr="00242099" w:rsidRDefault="00242099" w:rsidP="00242099">
      <w:pPr>
        <w:spacing w:line="440" w:lineRule="exact"/>
        <w:ind w:firstLineChars="200" w:firstLine="482"/>
        <w:rPr>
          <w:rFonts w:ascii="宋体" w:eastAsia="宋体" w:hAnsi="宋体" w:cs="Times New Roman"/>
          <w:color w:val="FF0000"/>
          <w:sz w:val="24"/>
          <w:szCs w:val="24"/>
        </w:rPr>
      </w:pPr>
      <w:r w:rsidRPr="00242099">
        <w:rPr>
          <w:rFonts w:ascii="宋体" w:eastAsia="宋体" w:hAnsi="宋体" w:cs="Times New Roman" w:hint="eastAsia"/>
          <w:b/>
          <w:bCs/>
          <w:sz w:val="24"/>
          <w:szCs w:val="24"/>
        </w:rPr>
        <w:t>【教学方法】</w:t>
      </w:r>
    </w:p>
    <w:p w14:paraId="0551324E"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 通过多媒体课件和传统教学相结合，结合实例，讲解药品研究相关指导原则，丰富学生的基本知识结构，培养学生的研发意识，掌握工作技能，提高适应能力。</w:t>
      </w:r>
    </w:p>
    <w:p w14:paraId="17038978"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【复习思考】</w:t>
      </w:r>
    </w:p>
    <w:p w14:paraId="7DBD7DBB"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变更药品制剂的生产工艺的研究内容</w:t>
      </w:r>
    </w:p>
    <w:p w14:paraId="698D7787" w14:textId="77777777" w:rsidR="00242099" w:rsidRPr="00242099" w:rsidRDefault="00242099" w:rsidP="00242099">
      <w:pPr>
        <w:spacing w:beforeLines="50" w:before="156" w:afterLines="50" w:after="156" w:line="440" w:lineRule="exact"/>
        <w:ind w:firstLineChars="200" w:firstLine="560"/>
        <w:jc w:val="center"/>
        <w:rPr>
          <w:rFonts w:ascii="黑体" w:eastAsia="黑体" w:hAnsi="黑体" w:cs="Times New Roman"/>
          <w:sz w:val="28"/>
          <w:szCs w:val="28"/>
        </w:rPr>
      </w:pPr>
      <w:r w:rsidRPr="00242099">
        <w:rPr>
          <w:rFonts w:ascii="黑体" w:eastAsia="黑体" w:hAnsi="黑体" w:cs="Times New Roman" w:hint="eastAsia"/>
          <w:sz w:val="28"/>
          <w:szCs w:val="28"/>
        </w:rPr>
        <w:t>第八章  古代经典名方中药</w:t>
      </w:r>
    </w:p>
    <w:p w14:paraId="732F54F9"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
          <w:sz w:val="24"/>
          <w:szCs w:val="24"/>
        </w:rPr>
      </w:pPr>
      <w:r w:rsidRPr="00242099">
        <w:rPr>
          <w:rFonts w:ascii="宋体" w:eastAsia="宋体" w:hAnsi="宋体" w:cs="Times New Roman" w:hint="eastAsia"/>
          <w:b/>
          <w:sz w:val="24"/>
          <w:szCs w:val="24"/>
        </w:rPr>
        <w:t>【学习目标】</w:t>
      </w:r>
    </w:p>
    <w:p w14:paraId="79DBD9FA"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了解申报资料项目，培养学生在药品研制中的改革创新精神；</w:t>
      </w:r>
    </w:p>
    <w:p w14:paraId="0246400A"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熟悉经典名方中药药学研究资料，培养学生对中药的文化自信，民族自豪感；</w:t>
      </w:r>
    </w:p>
    <w:p w14:paraId="5C13689E" w14:textId="77777777" w:rsidR="00242099" w:rsidRPr="00242099" w:rsidRDefault="00242099" w:rsidP="00242099">
      <w:pPr>
        <w:spacing w:line="440" w:lineRule="exact"/>
        <w:ind w:firstLineChars="200" w:firstLine="482"/>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【学习内容】</w:t>
      </w:r>
    </w:p>
    <w:p w14:paraId="6FA15CF3"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申报资料项目；</w:t>
      </w:r>
    </w:p>
    <w:p w14:paraId="1C77C82C"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（一）综述资料；</w:t>
      </w:r>
    </w:p>
    <w:p w14:paraId="3A46F70F"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lastRenderedPageBreak/>
        <w:t>3</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 xml:space="preserve"> （二）药学研究资料；</w:t>
      </w:r>
    </w:p>
    <w:p w14:paraId="4F80C155"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4. （三）非临床安全性研究资料。</w:t>
      </w:r>
    </w:p>
    <w:p w14:paraId="1985AD47" w14:textId="77777777" w:rsidR="00242099" w:rsidRPr="00242099" w:rsidRDefault="00242099" w:rsidP="00242099">
      <w:pPr>
        <w:spacing w:line="440" w:lineRule="exact"/>
        <w:ind w:firstLineChars="200" w:firstLine="482"/>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【重点】</w:t>
      </w:r>
    </w:p>
    <w:p w14:paraId="385536A3"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经典名方中药药学研究资料</w:t>
      </w:r>
    </w:p>
    <w:p w14:paraId="381DEDBF" w14:textId="77777777" w:rsidR="00242099" w:rsidRPr="00242099" w:rsidRDefault="00242099" w:rsidP="00242099">
      <w:pPr>
        <w:spacing w:line="440" w:lineRule="exact"/>
        <w:ind w:firstLineChars="200" w:firstLine="482"/>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【难点】</w:t>
      </w:r>
    </w:p>
    <w:p w14:paraId="6F368CC1"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申报资料项目要求</w:t>
      </w:r>
    </w:p>
    <w:p w14:paraId="1AC2B62F" w14:textId="77777777" w:rsidR="00242099" w:rsidRPr="00242099" w:rsidRDefault="00242099" w:rsidP="00242099">
      <w:pPr>
        <w:spacing w:line="440" w:lineRule="exact"/>
        <w:ind w:firstLineChars="200" w:firstLine="482"/>
        <w:rPr>
          <w:rFonts w:ascii="宋体" w:eastAsia="宋体" w:hAnsi="宋体" w:cs="Times New Roman"/>
          <w:color w:val="FF0000"/>
          <w:sz w:val="24"/>
          <w:szCs w:val="24"/>
        </w:rPr>
      </w:pPr>
      <w:r w:rsidRPr="00242099">
        <w:rPr>
          <w:rFonts w:ascii="宋体" w:eastAsia="宋体" w:hAnsi="宋体" w:cs="Times New Roman" w:hint="eastAsia"/>
          <w:b/>
          <w:bCs/>
          <w:sz w:val="24"/>
          <w:szCs w:val="24"/>
        </w:rPr>
        <w:t>【教学方法】</w:t>
      </w:r>
    </w:p>
    <w:p w14:paraId="3AD3FC78"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 通过多媒体课件和传统教学相结合，结合实例，讲解药品研究相关指导原则，丰富学生的基本知识结构，培养学生的研发意识，掌握工作技能，提高适应能力。</w:t>
      </w:r>
    </w:p>
    <w:p w14:paraId="718967CD" w14:textId="77777777" w:rsidR="00242099" w:rsidRPr="00242099" w:rsidRDefault="00242099" w:rsidP="00242099">
      <w:pPr>
        <w:adjustRightInd w:val="0"/>
        <w:snapToGrid w:val="0"/>
        <w:spacing w:line="440" w:lineRule="exact"/>
        <w:ind w:firstLineChars="200" w:firstLine="482"/>
        <w:rPr>
          <w:rFonts w:ascii="宋体" w:eastAsia="宋体" w:hAnsi="宋体" w:cs="Times New Roman"/>
          <w:bCs/>
          <w:color w:val="FF0000"/>
          <w:sz w:val="24"/>
          <w:szCs w:val="24"/>
        </w:rPr>
      </w:pPr>
      <w:r w:rsidRPr="00242099">
        <w:rPr>
          <w:rFonts w:ascii="宋体" w:eastAsia="宋体" w:hAnsi="宋体" w:cs="Times New Roman" w:hint="eastAsia"/>
          <w:b/>
          <w:sz w:val="24"/>
          <w:szCs w:val="24"/>
        </w:rPr>
        <w:t>【复习思考】</w:t>
      </w:r>
    </w:p>
    <w:p w14:paraId="3F600601"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经典名方中药药学研究资料的主要内容</w:t>
      </w:r>
    </w:p>
    <w:p w14:paraId="61D328CE" w14:textId="77777777" w:rsidR="00242099" w:rsidRPr="00242099" w:rsidRDefault="00242099" w:rsidP="00242099">
      <w:pPr>
        <w:adjustRightInd w:val="0"/>
        <w:snapToGrid w:val="0"/>
        <w:spacing w:beforeLines="50" w:before="156" w:afterLines="50" w:after="156" w:line="440" w:lineRule="exact"/>
        <w:ind w:firstLineChars="200" w:firstLine="560"/>
        <w:outlineLvl w:val="1"/>
        <w:rPr>
          <w:rFonts w:ascii="仿宋" w:eastAsia="仿宋" w:hAnsi="仿宋" w:cs="Times New Roman"/>
          <w:sz w:val="24"/>
          <w:szCs w:val="24"/>
        </w:rPr>
      </w:pPr>
      <w:bookmarkStart w:id="235" w:name="_Toc51933822"/>
      <w:r w:rsidRPr="00242099">
        <w:rPr>
          <w:rFonts w:ascii="黑体" w:eastAsia="黑体" w:hAnsi="黑体" w:cs="Times New Roman" w:hint="eastAsia"/>
          <w:sz w:val="28"/>
          <w:szCs w:val="28"/>
        </w:rPr>
        <w:t>（二）课程学习内容与课程学习目标的对应关系</w:t>
      </w:r>
      <w:bookmarkEnd w:id="235"/>
    </w:p>
    <w:tbl>
      <w:tblPr>
        <w:tblW w:w="9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6"/>
        <w:gridCol w:w="2221"/>
        <w:gridCol w:w="1985"/>
        <w:gridCol w:w="1276"/>
      </w:tblGrid>
      <w:tr w:rsidR="00242099" w:rsidRPr="00242099" w14:paraId="30A783C6" w14:textId="77777777" w:rsidTr="00B602D6">
        <w:trPr>
          <w:trHeight w:val="660"/>
          <w:jc w:val="center"/>
        </w:trPr>
        <w:tc>
          <w:tcPr>
            <w:tcW w:w="3546" w:type="dxa"/>
            <w:vAlign w:val="center"/>
          </w:tcPr>
          <w:p w14:paraId="7CD15BDF" w14:textId="77777777" w:rsidR="00242099" w:rsidRPr="00242099" w:rsidRDefault="00242099" w:rsidP="00242099">
            <w:pPr>
              <w:spacing w:line="440" w:lineRule="exact"/>
              <w:jc w:val="center"/>
              <w:rPr>
                <w:rFonts w:ascii="宋体" w:eastAsia="宋体" w:hAnsi="宋体" w:cs="Times New Roman"/>
                <w:b/>
                <w:bCs/>
                <w:sz w:val="24"/>
                <w:szCs w:val="24"/>
              </w:rPr>
            </w:pPr>
            <w:r w:rsidRPr="00242099">
              <w:rPr>
                <w:rFonts w:ascii="宋体" w:eastAsia="宋体" w:hAnsi="宋体" w:cs="Times New Roman" w:hint="eastAsia"/>
                <w:b/>
                <w:bCs/>
                <w:sz w:val="24"/>
                <w:szCs w:val="24"/>
              </w:rPr>
              <w:t>课程学习内容</w:t>
            </w:r>
          </w:p>
        </w:tc>
        <w:tc>
          <w:tcPr>
            <w:tcW w:w="2221" w:type="dxa"/>
            <w:vAlign w:val="center"/>
          </w:tcPr>
          <w:p w14:paraId="06BE6F94" w14:textId="77777777" w:rsidR="00242099" w:rsidRPr="00242099" w:rsidRDefault="00242099" w:rsidP="00242099">
            <w:pPr>
              <w:spacing w:line="440" w:lineRule="exact"/>
              <w:jc w:val="center"/>
              <w:rPr>
                <w:rFonts w:ascii="宋体" w:eastAsia="宋体" w:hAnsi="宋体" w:cs="Times New Roman"/>
                <w:b/>
                <w:bCs/>
                <w:sz w:val="24"/>
                <w:szCs w:val="24"/>
              </w:rPr>
            </w:pPr>
            <w:r w:rsidRPr="00242099">
              <w:rPr>
                <w:rFonts w:ascii="宋体" w:eastAsia="宋体" w:hAnsi="宋体" w:cs="Times New Roman" w:hint="eastAsia"/>
                <w:b/>
                <w:bCs/>
                <w:sz w:val="24"/>
                <w:szCs w:val="24"/>
              </w:rPr>
              <w:t>教学方法</w:t>
            </w:r>
          </w:p>
        </w:tc>
        <w:tc>
          <w:tcPr>
            <w:tcW w:w="1985" w:type="dxa"/>
            <w:vAlign w:val="center"/>
          </w:tcPr>
          <w:p w14:paraId="52CB3417" w14:textId="77777777" w:rsidR="00242099" w:rsidRPr="00242099" w:rsidRDefault="00242099" w:rsidP="00242099">
            <w:pPr>
              <w:spacing w:line="440" w:lineRule="exact"/>
              <w:jc w:val="center"/>
              <w:rPr>
                <w:rFonts w:ascii="宋体" w:eastAsia="宋体" w:hAnsi="宋体" w:cs="Times New Roman"/>
                <w:b/>
                <w:bCs/>
                <w:sz w:val="24"/>
                <w:szCs w:val="24"/>
              </w:rPr>
            </w:pPr>
            <w:r w:rsidRPr="00242099">
              <w:rPr>
                <w:rFonts w:ascii="宋体" w:eastAsia="宋体" w:hAnsi="宋体" w:cs="Times New Roman" w:hint="eastAsia"/>
                <w:b/>
                <w:bCs/>
                <w:sz w:val="24"/>
                <w:szCs w:val="24"/>
              </w:rPr>
              <w:t>支撑的课程目标</w:t>
            </w:r>
          </w:p>
        </w:tc>
        <w:tc>
          <w:tcPr>
            <w:tcW w:w="1276" w:type="dxa"/>
            <w:vAlign w:val="center"/>
          </w:tcPr>
          <w:p w14:paraId="589A4074" w14:textId="77777777" w:rsidR="00242099" w:rsidRPr="00242099" w:rsidRDefault="00242099" w:rsidP="00242099">
            <w:pPr>
              <w:spacing w:line="440" w:lineRule="exact"/>
              <w:jc w:val="center"/>
              <w:rPr>
                <w:rFonts w:ascii="宋体" w:eastAsia="宋体" w:hAnsi="宋体" w:cs="Times New Roman"/>
                <w:b/>
                <w:bCs/>
                <w:sz w:val="24"/>
                <w:szCs w:val="24"/>
              </w:rPr>
            </w:pPr>
            <w:r w:rsidRPr="00242099">
              <w:rPr>
                <w:rFonts w:ascii="宋体" w:eastAsia="宋体" w:hAnsi="宋体" w:cs="Times New Roman" w:hint="eastAsia"/>
                <w:b/>
                <w:bCs/>
                <w:sz w:val="24"/>
                <w:szCs w:val="24"/>
              </w:rPr>
              <w:t>学时安排</w:t>
            </w:r>
          </w:p>
        </w:tc>
      </w:tr>
      <w:tr w:rsidR="00242099" w:rsidRPr="00242099" w14:paraId="509B3EB8" w14:textId="77777777" w:rsidTr="00B602D6">
        <w:trPr>
          <w:trHeight w:val="514"/>
          <w:jc w:val="center"/>
        </w:trPr>
        <w:tc>
          <w:tcPr>
            <w:tcW w:w="3546" w:type="dxa"/>
            <w:vAlign w:val="center"/>
          </w:tcPr>
          <w:p w14:paraId="25771068" w14:textId="77777777" w:rsidR="00242099" w:rsidRPr="00242099" w:rsidRDefault="00242099" w:rsidP="00242099">
            <w:pPr>
              <w:spacing w:line="440" w:lineRule="exact"/>
              <w:jc w:val="left"/>
              <w:rPr>
                <w:rFonts w:ascii="宋体" w:eastAsia="宋体" w:hAnsi="宋体" w:cs="Times New Roman"/>
                <w:sz w:val="24"/>
                <w:szCs w:val="24"/>
              </w:rPr>
            </w:pPr>
            <w:r w:rsidRPr="00242099">
              <w:rPr>
                <w:rFonts w:ascii="宋体" w:eastAsia="宋体" w:hAnsi="宋体" w:cs="Times New Roman" w:hint="eastAsia"/>
                <w:sz w:val="24"/>
                <w:szCs w:val="24"/>
              </w:rPr>
              <w:t>第一章 药品研究指导原则简介</w:t>
            </w:r>
          </w:p>
        </w:tc>
        <w:tc>
          <w:tcPr>
            <w:tcW w:w="2221" w:type="dxa"/>
            <w:vAlign w:val="center"/>
          </w:tcPr>
          <w:p w14:paraId="63BD3893"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讲授法、案例教学</w:t>
            </w:r>
          </w:p>
        </w:tc>
        <w:tc>
          <w:tcPr>
            <w:tcW w:w="1985" w:type="dxa"/>
            <w:vAlign w:val="center"/>
          </w:tcPr>
          <w:p w14:paraId="6D305496"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课程</w:t>
            </w:r>
            <w:r w:rsidRPr="00242099">
              <w:rPr>
                <w:rFonts w:ascii="宋体" w:eastAsia="宋体" w:hAnsi="宋体" w:cs="Times New Roman"/>
                <w:color w:val="000000"/>
                <w:sz w:val="24"/>
                <w:szCs w:val="24"/>
              </w:rPr>
              <w:t>目标</w:t>
            </w: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2</w:t>
            </w:r>
          </w:p>
        </w:tc>
        <w:tc>
          <w:tcPr>
            <w:tcW w:w="1276" w:type="dxa"/>
            <w:vAlign w:val="center"/>
          </w:tcPr>
          <w:p w14:paraId="722A01FD"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2</w:t>
            </w:r>
          </w:p>
        </w:tc>
      </w:tr>
      <w:tr w:rsidR="00242099" w:rsidRPr="00242099" w14:paraId="6E7C7C7B" w14:textId="77777777" w:rsidTr="00B602D6">
        <w:trPr>
          <w:trHeight w:val="90"/>
          <w:jc w:val="center"/>
        </w:trPr>
        <w:tc>
          <w:tcPr>
            <w:tcW w:w="3546" w:type="dxa"/>
            <w:vAlign w:val="center"/>
          </w:tcPr>
          <w:p w14:paraId="6EC203C4" w14:textId="77777777" w:rsidR="00242099" w:rsidRPr="00242099" w:rsidRDefault="00242099" w:rsidP="00242099">
            <w:pPr>
              <w:spacing w:line="440" w:lineRule="exact"/>
              <w:jc w:val="left"/>
              <w:rPr>
                <w:rFonts w:ascii="宋体" w:eastAsia="宋体" w:hAnsi="宋体" w:cs="Times New Roman"/>
                <w:sz w:val="24"/>
                <w:szCs w:val="24"/>
              </w:rPr>
            </w:pPr>
            <w:r w:rsidRPr="00242099">
              <w:rPr>
                <w:rFonts w:ascii="宋体" w:eastAsia="宋体" w:hAnsi="宋体" w:cs="Times New Roman" w:hint="eastAsia"/>
                <w:sz w:val="24"/>
                <w:szCs w:val="24"/>
              </w:rPr>
              <w:t>第二章 制剂研究技术</w:t>
            </w:r>
          </w:p>
        </w:tc>
        <w:tc>
          <w:tcPr>
            <w:tcW w:w="2221" w:type="dxa"/>
            <w:vAlign w:val="center"/>
          </w:tcPr>
          <w:p w14:paraId="241757C3"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讲授法、案例教学</w:t>
            </w:r>
          </w:p>
        </w:tc>
        <w:tc>
          <w:tcPr>
            <w:tcW w:w="1985" w:type="dxa"/>
            <w:vAlign w:val="center"/>
          </w:tcPr>
          <w:p w14:paraId="2E8E9A80"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课程目标</w:t>
            </w:r>
            <w:r w:rsidRPr="00242099">
              <w:rPr>
                <w:rFonts w:ascii="宋体" w:eastAsia="宋体" w:hAnsi="宋体" w:cs="Times New Roman"/>
                <w:color w:val="000000"/>
                <w:sz w:val="24"/>
                <w:szCs w:val="24"/>
              </w:rPr>
              <w:t>3</w:t>
            </w:r>
          </w:p>
        </w:tc>
        <w:tc>
          <w:tcPr>
            <w:tcW w:w="1276" w:type="dxa"/>
            <w:vAlign w:val="center"/>
          </w:tcPr>
          <w:p w14:paraId="2FC9DEFE"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2</w:t>
            </w:r>
          </w:p>
        </w:tc>
      </w:tr>
      <w:tr w:rsidR="00242099" w:rsidRPr="00242099" w14:paraId="5890325D" w14:textId="77777777" w:rsidTr="00B602D6">
        <w:trPr>
          <w:jc w:val="center"/>
        </w:trPr>
        <w:tc>
          <w:tcPr>
            <w:tcW w:w="3546" w:type="dxa"/>
            <w:vAlign w:val="center"/>
          </w:tcPr>
          <w:p w14:paraId="38C05C17" w14:textId="77777777" w:rsidR="00242099" w:rsidRPr="00242099" w:rsidRDefault="00242099" w:rsidP="00242099">
            <w:pPr>
              <w:spacing w:line="440" w:lineRule="exact"/>
              <w:jc w:val="left"/>
              <w:rPr>
                <w:rFonts w:ascii="宋体" w:eastAsia="宋体" w:hAnsi="宋体" w:cs="Times New Roman"/>
                <w:sz w:val="24"/>
                <w:szCs w:val="24"/>
              </w:rPr>
            </w:pPr>
            <w:r w:rsidRPr="00242099">
              <w:rPr>
                <w:rFonts w:ascii="宋体" w:eastAsia="宋体" w:hAnsi="宋体" w:cs="Times New Roman" w:hint="eastAsia"/>
                <w:sz w:val="24"/>
                <w:szCs w:val="24"/>
              </w:rPr>
              <w:t>第三章 质量标准建立</w:t>
            </w:r>
          </w:p>
        </w:tc>
        <w:tc>
          <w:tcPr>
            <w:tcW w:w="2221" w:type="dxa"/>
            <w:vAlign w:val="center"/>
          </w:tcPr>
          <w:p w14:paraId="4699BD4A"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讲授法、案例教学</w:t>
            </w:r>
          </w:p>
        </w:tc>
        <w:tc>
          <w:tcPr>
            <w:tcW w:w="1985" w:type="dxa"/>
            <w:vAlign w:val="center"/>
          </w:tcPr>
          <w:p w14:paraId="12FF9F0B"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课程目标</w:t>
            </w:r>
            <w:r w:rsidRPr="00242099">
              <w:rPr>
                <w:rFonts w:ascii="宋体" w:eastAsia="宋体" w:hAnsi="宋体" w:cs="Times New Roman"/>
                <w:color w:val="000000"/>
                <w:sz w:val="24"/>
                <w:szCs w:val="24"/>
              </w:rPr>
              <w:t>3</w:t>
            </w:r>
          </w:p>
        </w:tc>
        <w:tc>
          <w:tcPr>
            <w:tcW w:w="1276" w:type="dxa"/>
            <w:vAlign w:val="center"/>
          </w:tcPr>
          <w:p w14:paraId="738536B2"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2</w:t>
            </w:r>
          </w:p>
        </w:tc>
      </w:tr>
      <w:tr w:rsidR="00242099" w:rsidRPr="00242099" w14:paraId="1830D620" w14:textId="77777777" w:rsidTr="00B602D6">
        <w:trPr>
          <w:jc w:val="center"/>
        </w:trPr>
        <w:tc>
          <w:tcPr>
            <w:tcW w:w="3546" w:type="dxa"/>
            <w:vAlign w:val="center"/>
          </w:tcPr>
          <w:p w14:paraId="2EE9029C" w14:textId="77777777" w:rsidR="00242099" w:rsidRPr="00242099" w:rsidRDefault="00242099" w:rsidP="00242099">
            <w:pPr>
              <w:spacing w:line="440" w:lineRule="exact"/>
              <w:jc w:val="left"/>
              <w:rPr>
                <w:rFonts w:ascii="宋体" w:eastAsia="宋体" w:hAnsi="宋体" w:cs="Times New Roman"/>
                <w:sz w:val="24"/>
                <w:szCs w:val="24"/>
              </w:rPr>
            </w:pPr>
            <w:r w:rsidRPr="00242099">
              <w:rPr>
                <w:rFonts w:ascii="宋体" w:eastAsia="宋体" w:hAnsi="宋体" w:cs="Times New Roman" w:hint="eastAsia"/>
                <w:sz w:val="24"/>
                <w:szCs w:val="24"/>
              </w:rPr>
              <w:t>第四章 质量控制分析方法</w:t>
            </w:r>
          </w:p>
        </w:tc>
        <w:tc>
          <w:tcPr>
            <w:tcW w:w="2221" w:type="dxa"/>
            <w:vAlign w:val="center"/>
          </w:tcPr>
          <w:p w14:paraId="3C15F8EF"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讲授法、案例教学</w:t>
            </w:r>
          </w:p>
        </w:tc>
        <w:tc>
          <w:tcPr>
            <w:tcW w:w="1985" w:type="dxa"/>
            <w:vAlign w:val="center"/>
          </w:tcPr>
          <w:p w14:paraId="31FBAFA2"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课程目标</w:t>
            </w:r>
            <w:r w:rsidRPr="00242099">
              <w:rPr>
                <w:rFonts w:ascii="宋体" w:eastAsia="宋体" w:hAnsi="宋体" w:cs="Times New Roman"/>
                <w:color w:val="000000"/>
                <w:sz w:val="24"/>
                <w:szCs w:val="24"/>
              </w:rPr>
              <w:t>3</w:t>
            </w:r>
          </w:p>
        </w:tc>
        <w:tc>
          <w:tcPr>
            <w:tcW w:w="1276" w:type="dxa"/>
            <w:vAlign w:val="center"/>
          </w:tcPr>
          <w:p w14:paraId="1F8DA648"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2</w:t>
            </w:r>
          </w:p>
        </w:tc>
      </w:tr>
      <w:tr w:rsidR="00242099" w:rsidRPr="00242099" w14:paraId="3A1C08E2" w14:textId="77777777" w:rsidTr="00B602D6">
        <w:trPr>
          <w:jc w:val="center"/>
        </w:trPr>
        <w:tc>
          <w:tcPr>
            <w:tcW w:w="3546" w:type="dxa"/>
            <w:vAlign w:val="center"/>
          </w:tcPr>
          <w:p w14:paraId="2493456B" w14:textId="77777777" w:rsidR="00242099" w:rsidRPr="00242099" w:rsidRDefault="00242099" w:rsidP="00242099">
            <w:pPr>
              <w:spacing w:line="440" w:lineRule="exact"/>
              <w:jc w:val="left"/>
              <w:rPr>
                <w:rFonts w:ascii="宋体" w:eastAsia="宋体" w:hAnsi="宋体" w:cs="Times New Roman"/>
                <w:sz w:val="24"/>
                <w:szCs w:val="24"/>
              </w:rPr>
            </w:pPr>
            <w:r w:rsidRPr="00242099">
              <w:rPr>
                <w:rFonts w:ascii="宋体" w:eastAsia="宋体" w:hAnsi="宋体" w:cs="Times New Roman" w:hint="eastAsia"/>
                <w:sz w:val="24"/>
                <w:szCs w:val="24"/>
              </w:rPr>
              <w:t>第五章 口服缓释制剂药学研究</w:t>
            </w:r>
          </w:p>
        </w:tc>
        <w:tc>
          <w:tcPr>
            <w:tcW w:w="2221" w:type="dxa"/>
            <w:vAlign w:val="center"/>
          </w:tcPr>
          <w:p w14:paraId="40DAF1C3"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讲授法、案例教学</w:t>
            </w:r>
          </w:p>
        </w:tc>
        <w:tc>
          <w:tcPr>
            <w:tcW w:w="1985" w:type="dxa"/>
            <w:vAlign w:val="center"/>
          </w:tcPr>
          <w:p w14:paraId="2A79A227"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课程目标</w:t>
            </w:r>
            <w:r w:rsidRPr="00242099">
              <w:rPr>
                <w:rFonts w:ascii="宋体" w:eastAsia="宋体" w:hAnsi="宋体" w:cs="Times New Roman"/>
                <w:color w:val="000000"/>
                <w:sz w:val="24"/>
                <w:szCs w:val="24"/>
              </w:rPr>
              <w:t>3</w:t>
            </w:r>
          </w:p>
        </w:tc>
        <w:tc>
          <w:tcPr>
            <w:tcW w:w="1276" w:type="dxa"/>
            <w:vAlign w:val="center"/>
          </w:tcPr>
          <w:p w14:paraId="174E839E"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2</w:t>
            </w:r>
          </w:p>
        </w:tc>
      </w:tr>
      <w:tr w:rsidR="00242099" w:rsidRPr="00242099" w14:paraId="40364324" w14:textId="77777777" w:rsidTr="00B602D6">
        <w:trPr>
          <w:jc w:val="center"/>
        </w:trPr>
        <w:tc>
          <w:tcPr>
            <w:tcW w:w="3546" w:type="dxa"/>
            <w:vAlign w:val="center"/>
          </w:tcPr>
          <w:p w14:paraId="608DA0B0" w14:textId="77777777" w:rsidR="00242099" w:rsidRPr="00242099" w:rsidRDefault="00242099" w:rsidP="00242099">
            <w:pPr>
              <w:spacing w:line="440" w:lineRule="exact"/>
              <w:jc w:val="left"/>
              <w:rPr>
                <w:rFonts w:ascii="宋体" w:eastAsia="宋体" w:hAnsi="宋体" w:cs="Times New Roman"/>
                <w:sz w:val="24"/>
                <w:szCs w:val="24"/>
              </w:rPr>
            </w:pPr>
            <w:r w:rsidRPr="00242099">
              <w:rPr>
                <w:rFonts w:ascii="宋体" w:eastAsia="宋体" w:hAnsi="宋体" w:cs="Times New Roman" w:hint="eastAsia"/>
                <w:sz w:val="24"/>
                <w:szCs w:val="24"/>
              </w:rPr>
              <w:t>第六章 注射剂基本技术要求</w:t>
            </w:r>
          </w:p>
        </w:tc>
        <w:tc>
          <w:tcPr>
            <w:tcW w:w="2221" w:type="dxa"/>
            <w:vAlign w:val="center"/>
          </w:tcPr>
          <w:p w14:paraId="345A70EE"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讲授法、案例教学</w:t>
            </w:r>
          </w:p>
        </w:tc>
        <w:tc>
          <w:tcPr>
            <w:tcW w:w="1985" w:type="dxa"/>
            <w:vAlign w:val="center"/>
          </w:tcPr>
          <w:p w14:paraId="0CAB3102"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课程目标</w:t>
            </w:r>
            <w:r w:rsidRPr="00242099">
              <w:rPr>
                <w:rFonts w:ascii="宋体" w:eastAsia="宋体" w:hAnsi="宋体" w:cs="Times New Roman"/>
                <w:color w:val="000000"/>
                <w:sz w:val="24"/>
                <w:szCs w:val="24"/>
              </w:rPr>
              <w:t>3</w:t>
            </w:r>
          </w:p>
        </w:tc>
        <w:tc>
          <w:tcPr>
            <w:tcW w:w="1276" w:type="dxa"/>
            <w:vAlign w:val="center"/>
          </w:tcPr>
          <w:p w14:paraId="1E83C556"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2</w:t>
            </w:r>
          </w:p>
        </w:tc>
      </w:tr>
      <w:tr w:rsidR="00242099" w:rsidRPr="00242099" w14:paraId="3C33EC26" w14:textId="77777777" w:rsidTr="00B602D6">
        <w:trPr>
          <w:jc w:val="center"/>
        </w:trPr>
        <w:tc>
          <w:tcPr>
            <w:tcW w:w="3546" w:type="dxa"/>
            <w:vAlign w:val="center"/>
          </w:tcPr>
          <w:p w14:paraId="7CBAA02E" w14:textId="77777777" w:rsidR="00242099" w:rsidRPr="00242099" w:rsidRDefault="00242099" w:rsidP="00242099">
            <w:pPr>
              <w:spacing w:line="440" w:lineRule="exact"/>
              <w:jc w:val="left"/>
              <w:rPr>
                <w:rFonts w:ascii="宋体" w:eastAsia="宋体" w:hAnsi="宋体" w:cs="Times New Roman"/>
                <w:sz w:val="24"/>
                <w:szCs w:val="24"/>
              </w:rPr>
            </w:pPr>
            <w:r w:rsidRPr="00242099">
              <w:rPr>
                <w:rFonts w:ascii="宋体" w:eastAsia="宋体" w:hAnsi="宋体" w:cs="Times New Roman" w:hint="eastAsia"/>
                <w:sz w:val="24"/>
                <w:szCs w:val="24"/>
              </w:rPr>
              <w:t>第七章 生产工艺变更研究</w:t>
            </w:r>
          </w:p>
        </w:tc>
        <w:tc>
          <w:tcPr>
            <w:tcW w:w="2221" w:type="dxa"/>
            <w:vAlign w:val="center"/>
          </w:tcPr>
          <w:p w14:paraId="1E9FF854"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讲授法、案例教学</w:t>
            </w:r>
          </w:p>
        </w:tc>
        <w:tc>
          <w:tcPr>
            <w:tcW w:w="1985" w:type="dxa"/>
            <w:vAlign w:val="center"/>
          </w:tcPr>
          <w:p w14:paraId="7A066C7A"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课程目标</w:t>
            </w:r>
            <w:r w:rsidRPr="00242099">
              <w:rPr>
                <w:rFonts w:ascii="宋体" w:eastAsia="宋体" w:hAnsi="宋体" w:cs="Times New Roman"/>
                <w:color w:val="000000"/>
                <w:sz w:val="24"/>
                <w:szCs w:val="24"/>
              </w:rPr>
              <w:t>3</w:t>
            </w:r>
          </w:p>
        </w:tc>
        <w:tc>
          <w:tcPr>
            <w:tcW w:w="1276" w:type="dxa"/>
            <w:vAlign w:val="center"/>
          </w:tcPr>
          <w:p w14:paraId="637C8CD6"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2</w:t>
            </w:r>
          </w:p>
        </w:tc>
      </w:tr>
      <w:tr w:rsidR="00242099" w:rsidRPr="00242099" w14:paraId="1F12B04B" w14:textId="77777777" w:rsidTr="00B602D6">
        <w:trPr>
          <w:jc w:val="center"/>
        </w:trPr>
        <w:tc>
          <w:tcPr>
            <w:tcW w:w="3546" w:type="dxa"/>
            <w:vAlign w:val="center"/>
          </w:tcPr>
          <w:p w14:paraId="2EF731B1" w14:textId="77777777" w:rsidR="00242099" w:rsidRPr="00242099" w:rsidRDefault="00242099" w:rsidP="00242099">
            <w:pPr>
              <w:spacing w:line="440" w:lineRule="exact"/>
              <w:jc w:val="left"/>
              <w:rPr>
                <w:rFonts w:ascii="宋体" w:eastAsia="宋体" w:hAnsi="宋体" w:cs="Times New Roman"/>
                <w:sz w:val="24"/>
                <w:szCs w:val="24"/>
              </w:rPr>
            </w:pPr>
            <w:r w:rsidRPr="00242099">
              <w:rPr>
                <w:rFonts w:ascii="宋体" w:eastAsia="宋体" w:hAnsi="宋体" w:cs="Times New Roman" w:hint="eastAsia"/>
                <w:sz w:val="24"/>
                <w:szCs w:val="24"/>
              </w:rPr>
              <w:t>第八章 古代经典名方中药</w:t>
            </w:r>
          </w:p>
        </w:tc>
        <w:tc>
          <w:tcPr>
            <w:tcW w:w="2221" w:type="dxa"/>
            <w:vAlign w:val="center"/>
          </w:tcPr>
          <w:p w14:paraId="5C3A1C81"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讲授法、案例教学</w:t>
            </w:r>
          </w:p>
        </w:tc>
        <w:tc>
          <w:tcPr>
            <w:tcW w:w="1985" w:type="dxa"/>
            <w:vAlign w:val="center"/>
          </w:tcPr>
          <w:p w14:paraId="3C646C76" w14:textId="77777777" w:rsidR="00242099" w:rsidRPr="00242099" w:rsidRDefault="00242099" w:rsidP="00242099">
            <w:pPr>
              <w:spacing w:line="440" w:lineRule="exact"/>
              <w:jc w:val="center"/>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课程目标</w:t>
            </w:r>
            <w:r w:rsidRPr="00242099">
              <w:rPr>
                <w:rFonts w:ascii="宋体" w:eastAsia="宋体" w:hAnsi="宋体" w:cs="Times New Roman"/>
                <w:color w:val="000000"/>
                <w:sz w:val="24"/>
                <w:szCs w:val="24"/>
              </w:rPr>
              <w:t>3</w:t>
            </w:r>
          </w:p>
        </w:tc>
        <w:tc>
          <w:tcPr>
            <w:tcW w:w="1276" w:type="dxa"/>
            <w:vAlign w:val="center"/>
          </w:tcPr>
          <w:p w14:paraId="73A1BE69"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2</w:t>
            </w:r>
          </w:p>
        </w:tc>
      </w:tr>
      <w:tr w:rsidR="00242099" w:rsidRPr="00242099" w14:paraId="3670E241" w14:textId="77777777" w:rsidTr="00B602D6">
        <w:trPr>
          <w:jc w:val="center"/>
        </w:trPr>
        <w:tc>
          <w:tcPr>
            <w:tcW w:w="7752" w:type="dxa"/>
            <w:gridSpan w:val="3"/>
            <w:vAlign w:val="center"/>
          </w:tcPr>
          <w:p w14:paraId="2B01E153" w14:textId="77777777" w:rsidR="00242099" w:rsidRPr="00242099" w:rsidRDefault="00242099" w:rsidP="00242099">
            <w:pPr>
              <w:spacing w:line="440" w:lineRule="exact"/>
              <w:jc w:val="center"/>
              <w:rPr>
                <w:rFonts w:ascii="宋体" w:eastAsia="宋体" w:hAnsi="宋体" w:cs="Times New Roman"/>
                <w:b/>
                <w:sz w:val="24"/>
                <w:szCs w:val="24"/>
              </w:rPr>
            </w:pPr>
            <w:r w:rsidRPr="00242099">
              <w:rPr>
                <w:rFonts w:ascii="宋体" w:eastAsia="宋体" w:hAnsi="宋体" w:cs="Times New Roman" w:hint="eastAsia"/>
                <w:b/>
                <w:sz w:val="24"/>
                <w:szCs w:val="24"/>
              </w:rPr>
              <w:t>合计</w:t>
            </w:r>
          </w:p>
        </w:tc>
        <w:tc>
          <w:tcPr>
            <w:tcW w:w="1276" w:type="dxa"/>
            <w:vAlign w:val="center"/>
          </w:tcPr>
          <w:p w14:paraId="022DE9D9" w14:textId="77777777" w:rsidR="00242099" w:rsidRPr="00242099" w:rsidRDefault="00242099" w:rsidP="00242099">
            <w:pPr>
              <w:spacing w:line="440" w:lineRule="exact"/>
              <w:jc w:val="center"/>
              <w:rPr>
                <w:rFonts w:ascii="宋体" w:eastAsia="宋体" w:hAnsi="宋体" w:cs="Times New Roman"/>
                <w:sz w:val="24"/>
                <w:szCs w:val="24"/>
              </w:rPr>
            </w:pPr>
            <w:r w:rsidRPr="00242099">
              <w:rPr>
                <w:rFonts w:ascii="宋体" w:eastAsia="宋体" w:hAnsi="宋体" w:cs="Times New Roman" w:hint="eastAsia"/>
                <w:sz w:val="24"/>
                <w:szCs w:val="24"/>
              </w:rPr>
              <w:t>16</w:t>
            </w:r>
          </w:p>
        </w:tc>
      </w:tr>
    </w:tbl>
    <w:p w14:paraId="23A4A8D7" w14:textId="77777777" w:rsidR="00242099" w:rsidRPr="00242099" w:rsidRDefault="00242099" w:rsidP="00E85326">
      <w:pPr>
        <w:pStyle w:val="afc"/>
      </w:pPr>
      <w:bookmarkStart w:id="236" w:name="_Toc51933823"/>
      <w:r w:rsidRPr="00242099">
        <w:rPr>
          <w:rFonts w:hint="eastAsia"/>
        </w:rPr>
        <w:t>四、课程考核及与课程学习目标的对应关系</w:t>
      </w:r>
      <w:bookmarkEnd w:id="236"/>
    </w:p>
    <w:p w14:paraId="7EEE06AF" w14:textId="77777777" w:rsidR="00242099" w:rsidRPr="00242099" w:rsidRDefault="00242099" w:rsidP="00242099">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37" w:name="_Toc51933824"/>
      <w:r w:rsidRPr="00242099">
        <w:rPr>
          <w:rFonts w:ascii="黑体" w:eastAsia="黑体" w:hAnsi="黑体" w:cs="Times New Roman" w:hint="eastAsia"/>
          <w:sz w:val="28"/>
          <w:szCs w:val="28"/>
        </w:rPr>
        <w:t>（一）课程考核内容与课程学习目标的对应关系</w:t>
      </w:r>
      <w:bookmarkEnd w:id="237"/>
    </w:p>
    <w:tbl>
      <w:tblPr>
        <w:tblW w:w="72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21"/>
        <w:gridCol w:w="4962"/>
      </w:tblGrid>
      <w:tr w:rsidR="00242099" w:rsidRPr="00242099" w14:paraId="3FF52916" w14:textId="77777777" w:rsidTr="00B602D6">
        <w:trPr>
          <w:trHeight w:val="515"/>
          <w:jc w:val="center"/>
        </w:trPr>
        <w:tc>
          <w:tcPr>
            <w:tcW w:w="2321" w:type="dxa"/>
          </w:tcPr>
          <w:p w14:paraId="0C836BD3" w14:textId="77777777" w:rsidR="00242099" w:rsidRPr="00242099" w:rsidRDefault="00242099" w:rsidP="00242099">
            <w:pPr>
              <w:spacing w:line="440" w:lineRule="exact"/>
              <w:jc w:val="center"/>
              <w:rPr>
                <w:rFonts w:ascii="宋体" w:eastAsia="宋体" w:hAnsi="宋体" w:cs="Times New Roman"/>
                <w:b/>
                <w:sz w:val="24"/>
                <w:szCs w:val="24"/>
              </w:rPr>
            </w:pPr>
            <w:r w:rsidRPr="00242099">
              <w:rPr>
                <w:rFonts w:ascii="宋体" w:eastAsia="宋体" w:hAnsi="宋体" w:cs="Times New Roman" w:hint="eastAsia"/>
                <w:b/>
                <w:sz w:val="24"/>
                <w:szCs w:val="24"/>
              </w:rPr>
              <w:t>课程目标</w:t>
            </w:r>
          </w:p>
        </w:tc>
        <w:tc>
          <w:tcPr>
            <w:tcW w:w="4962" w:type="dxa"/>
            <w:vAlign w:val="center"/>
          </w:tcPr>
          <w:p w14:paraId="28CC480F" w14:textId="77777777" w:rsidR="00242099" w:rsidRPr="00242099" w:rsidRDefault="00242099" w:rsidP="00242099">
            <w:pPr>
              <w:spacing w:line="440" w:lineRule="exact"/>
              <w:jc w:val="center"/>
              <w:rPr>
                <w:rFonts w:ascii="宋体" w:eastAsia="宋体" w:hAnsi="宋体" w:cs="Times New Roman"/>
                <w:b/>
                <w:sz w:val="24"/>
                <w:szCs w:val="24"/>
              </w:rPr>
            </w:pPr>
            <w:r w:rsidRPr="00242099">
              <w:rPr>
                <w:rFonts w:ascii="宋体" w:eastAsia="宋体" w:hAnsi="宋体" w:cs="Times New Roman" w:hint="eastAsia"/>
                <w:b/>
                <w:sz w:val="24"/>
                <w:szCs w:val="24"/>
              </w:rPr>
              <w:t>考核内容</w:t>
            </w:r>
          </w:p>
        </w:tc>
      </w:tr>
      <w:tr w:rsidR="00242099" w:rsidRPr="00242099" w14:paraId="00A153BC" w14:textId="77777777" w:rsidTr="00B602D6">
        <w:trPr>
          <w:jc w:val="center"/>
        </w:trPr>
        <w:tc>
          <w:tcPr>
            <w:tcW w:w="2321" w:type="dxa"/>
            <w:vAlign w:val="center"/>
          </w:tcPr>
          <w:p w14:paraId="3B360F54" w14:textId="77777777" w:rsidR="00242099" w:rsidRPr="00242099" w:rsidRDefault="00242099" w:rsidP="00242099">
            <w:pPr>
              <w:spacing w:line="440" w:lineRule="exact"/>
              <w:jc w:val="center"/>
              <w:rPr>
                <w:rFonts w:ascii="宋体" w:eastAsia="宋体" w:hAnsi="宋体" w:cs="Times New Roman"/>
                <w:bCs/>
                <w:sz w:val="24"/>
                <w:szCs w:val="24"/>
              </w:rPr>
            </w:pPr>
            <w:r w:rsidRPr="00242099">
              <w:rPr>
                <w:rFonts w:ascii="宋体" w:eastAsia="宋体" w:hAnsi="宋体" w:cs="Times New Roman" w:hint="eastAsia"/>
                <w:bCs/>
                <w:sz w:val="24"/>
                <w:szCs w:val="24"/>
              </w:rPr>
              <w:t>课程目标1</w:t>
            </w:r>
          </w:p>
          <w:p w14:paraId="23F6D74B" w14:textId="77777777" w:rsidR="00242099" w:rsidRPr="00242099" w:rsidRDefault="00242099" w:rsidP="00242099">
            <w:pPr>
              <w:spacing w:line="440" w:lineRule="exact"/>
              <w:jc w:val="center"/>
              <w:rPr>
                <w:rFonts w:ascii="宋体" w:eastAsia="宋体" w:hAnsi="宋体" w:cs="Times New Roman"/>
                <w:bCs/>
                <w:sz w:val="24"/>
                <w:szCs w:val="24"/>
              </w:rPr>
            </w:pPr>
            <w:r w:rsidRPr="00242099">
              <w:rPr>
                <w:rFonts w:ascii="宋体" w:eastAsia="宋体" w:hAnsi="宋体" w:cs="Times New Roman" w:hint="eastAsia"/>
                <w:bCs/>
                <w:sz w:val="24"/>
                <w:szCs w:val="24"/>
              </w:rPr>
              <w:t>课程目标</w:t>
            </w:r>
            <w:r w:rsidRPr="00242099">
              <w:rPr>
                <w:rFonts w:ascii="宋体" w:eastAsia="宋体" w:hAnsi="宋体" w:cs="Times New Roman"/>
                <w:bCs/>
                <w:sz w:val="24"/>
                <w:szCs w:val="24"/>
              </w:rPr>
              <w:t>2</w:t>
            </w:r>
          </w:p>
        </w:tc>
        <w:tc>
          <w:tcPr>
            <w:tcW w:w="4962" w:type="dxa"/>
            <w:vAlign w:val="center"/>
          </w:tcPr>
          <w:p w14:paraId="4FAE208D" w14:textId="77777777" w:rsidR="00242099" w:rsidRPr="00242099" w:rsidRDefault="00242099" w:rsidP="00242099">
            <w:pPr>
              <w:spacing w:line="440" w:lineRule="exact"/>
              <w:rPr>
                <w:rFonts w:ascii="宋体" w:eastAsia="宋体" w:hAnsi="宋体" w:cs="Times New Roman"/>
                <w:bCs/>
                <w:sz w:val="24"/>
                <w:szCs w:val="24"/>
              </w:rPr>
            </w:pPr>
            <w:r w:rsidRPr="00242099">
              <w:rPr>
                <w:rFonts w:ascii="宋体" w:eastAsia="宋体" w:hAnsi="宋体" w:cs="Times New Roman" w:hint="eastAsia"/>
                <w:bCs/>
                <w:sz w:val="24"/>
                <w:szCs w:val="24"/>
              </w:rPr>
              <w:t>1.1 国际指导原则分类</w:t>
            </w:r>
          </w:p>
          <w:p w14:paraId="6623A5ED" w14:textId="77777777" w:rsidR="00242099" w:rsidRPr="00242099" w:rsidRDefault="00242099" w:rsidP="00242099">
            <w:pPr>
              <w:spacing w:line="440" w:lineRule="exact"/>
              <w:rPr>
                <w:rFonts w:ascii="宋体" w:eastAsia="宋体" w:hAnsi="宋体" w:cs="Times New Roman"/>
                <w:bCs/>
                <w:sz w:val="24"/>
                <w:szCs w:val="24"/>
              </w:rPr>
            </w:pPr>
            <w:r w:rsidRPr="00242099">
              <w:rPr>
                <w:rFonts w:ascii="宋体" w:eastAsia="宋体" w:hAnsi="宋体" w:cs="Times New Roman" w:hint="eastAsia"/>
                <w:bCs/>
                <w:sz w:val="24"/>
                <w:szCs w:val="24"/>
              </w:rPr>
              <w:t>1.2 化学药品研究</w:t>
            </w:r>
            <w:proofErr w:type="gramStart"/>
            <w:r w:rsidRPr="00242099">
              <w:rPr>
                <w:rFonts w:ascii="宋体" w:eastAsia="宋体" w:hAnsi="宋体" w:cs="Times New Roman" w:hint="eastAsia"/>
                <w:bCs/>
                <w:sz w:val="24"/>
                <w:szCs w:val="24"/>
              </w:rPr>
              <w:t>常用指导</w:t>
            </w:r>
            <w:proofErr w:type="gramEnd"/>
            <w:r w:rsidRPr="00242099">
              <w:rPr>
                <w:rFonts w:ascii="宋体" w:eastAsia="宋体" w:hAnsi="宋体" w:cs="Times New Roman" w:hint="eastAsia"/>
                <w:bCs/>
                <w:sz w:val="24"/>
                <w:szCs w:val="24"/>
              </w:rPr>
              <w:t>原则简介</w:t>
            </w:r>
          </w:p>
        </w:tc>
      </w:tr>
      <w:tr w:rsidR="00242099" w:rsidRPr="00242099" w14:paraId="7C8793C7" w14:textId="77777777" w:rsidTr="00B602D6">
        <w:trPr>
          <w:jc w:val="center"/>
        </w:trPr>
        <w:tc>
          <w:tcPr>
            <w:tcW w:w="2321" w:type="dxa"/>
            <w:vAlign w:val="center"/>
          </w:tcPr>
          <w:p w14:paraId="48161695" w14:textId="77777777" w:rsidR="00242099" w:rsidRPr="00242099" w:rsidRDefault="00242099" w:rsidP="00242099">
            <w:pPr>
              <w:spacing w:line="440" w:lineRule="exact"/>
              <w:jc w:val="center"/>
              <w:rPr>
                <w:rFonts w:ascii="宋体" w:eastAsia="宋体" w:hAnsi="宋体" w:cs="Times New Roman"/>
                <w:bCs/>
                <w:sz w:val="24"/>
                <w:szCs w:val="24"/>
              </w:rPr>
            </w:pPr>
            <w:r w:rsidRPr="00242099">
              <w:rPr>
                <w:rFonts w:ascii="宋体" w:eastAsia="宋体" w:hAnsi="宋体" w:cs="Times New Roman" w:hint="eastAsia"/>
                <w:bCs/>
                <w:sz w:val="24"/>
                <w:szCs w:val="24"/>
              </w:rPr>
              <w:t>课程目标3</w:t>
            </w:r>
          </w:p>
        </w:tc>
        <w:tc>
          <w:tcPr>
            <w:tcW w:w="4962" w:type="dxa"/>
            <w:vAlign w:val="center"/>
          </w:tcPr>
          <w:p w14:paraId="126D3051" w14:textId="77777777" w:rsidR="00242099" w:rsidRPr="00242099" w:rsidRDefault="00242099" w:rsidP="00242099">
            <w:pPr>
              <w:spacing w:line="440" w:lineRule="exact"/>
              <w:rPr>
                <w:rFonts w:ascii="宋体" w:eastAsia="宋体" w:hAnsi="宋体" w:cs="Times New Roman"/>
                <w:bCs/>
                <w:sz w:val="24"/>
                <w:szCs w:val="24"/>
              </w:rPr>
            </w:pPr>
            <w:r w:rsidRPr="00242099">
              <w:rPr>
                <w:rFonts w:ascii="宋体" w:eastAsia="宋体" w:hAnsi="宋体" w:cs="Times New Roman" w:hint="eastAsia"/>
                <w:bCs/>
                <w:sz w:val="24"/>
                <w:szCs w:val="24"/>
              </w:rPr>
              <w:t>2.1 制剂研究的基本内容</w:t>
            </w:r>
          </w:p>
          <w:p w14:paraId="01E35EBC" w14:textId="77777777" w:rsidR="00242099" w:rsidRPr="00242099" w:rsidRDefault="00242099" w:rsidP="00242099">
            <w:pPr>
              <w:spacing w:line="440" w:lineRule="exact"/>
              <w:rPr>
                <w:rFonts w:ascii="宋体" w:eastAsia="宋体" w:hAnsi="宋体" w:cs="Times New Roman"/>
                <w:bCs/>
                <w:sz w:val="24"/>
                <w:szCs w:val="24"/>
              </w:rPr>
            </w:pPr>
            <w:r w:rsidRPr="00242099">
              <w:rPr>
                <w:rFonts w:ascii="宋体" w:eastAsia="宋体" w:hAnsi="宋体" w:cs="Times New Roman" w:hint="eastAsia"/>
                <w:bCs/>
                <w:sz w:val="24"/>
                <w:szCs w:val="24"/>
              </w:rPr>
              <w:lastRenderedPageBreak/>
              <w:t>2.2 质量标准建立的基本过程</w:t>
            </w:r>
          </w:p>
          <w:p w14:paraId="0AB5F478" w14:textId="77777777" w:rsidR="00242099" w:rsidRPr="00242099" w:rsidRDefault="00242099" w:rsidP="00242099">
            <w:pPr>
              <w:spacing w:line="440" w:lineRule="exact"/>
              <w:rPr>
                <w:rFonts w:ascii="宋体" w:eastAsia="宋体" w:hAnsi="宋体" w:cs="Times New Roman"/>
                <w:color w:val="000000"/>
                <w:sz w:val="24"/>
                <w:szCs w:val="24"/>
              </w:rPr>
            </w:pPr>
            <w:r w:rsidRPr="00242099">
              <w:rPr>
                <w:rFonts w:ascii="宋体" w:eastAsia="宋体" w:hAnsi="宋体" w:cs="Times New Roman" w:hint="eastAsia"/>
                <w:bCs/>
                <w:sz w:val="24"/>
                <w:szCs w:val="24"/>
              </w:rPr>
              <w:t>2.3</w:t>
            </w:r>
            <w:r w:rsidRPr="00242099">
              <w:rPr>
                <w:rFonts w:ascii="宋体" w:eastAsia="宋体" w:hAnsi="宋体" w:cs="Times New Roman" w:hint="eastAsia"/>
                <w:color w:val="000000"/>
                <w:sz w:val="24"/>
                <w:szCs w:val="24"/>
              </w:rPr>
              <w:t>方法验证的具体内容</w:t>
            </w:r>
          </w:p>
          <w:p w14:paraId="01704C7B" w14:textId="77777777" w:rsidR="00242099" w:rsidRPr="00242099" w:rsidRDefault="00242099" w:rsidP="00242099">
            <w:pPr>
              <w:spacing w:line="440" w:lineRule="exact"/>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2.5化学药品注射剂原、辅料质量控制及来源</w:t>
            </w:r>
          </w:p>
          <w:p w14:paraId="4C32CD96" w14:textId="77777777" w:rsidR="00242099" w:rsidRPr="00242099" w:rsidRDefault="00242099" w:rsidP="00242099">
            <w:pPr>
              <w:spacing w:line="440" w:lineRule="exact"/>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2.6变更药品制剂的生产工艺的研究内容</w:t>
            </w:r>
          </w:p>
          <w:p w14:paraId="5405C5F1" w14:textId="77777777" w:rsidR="00242099" w:rsidRPr="00242099" w:rsidRDefault="00242099" w:rsidP="00242099">
            <w:pPr>
              <w:spacing w:line="440" w:lineRule="exact"/>
              <w:rPr>
                <w:rFonts w:ascii="宋体" w:eastAsia="宋体" w:hAnsi="宋体" w:cs="Times New Roman"/>
                <w:bCs/>
                <w:sz w:val="24"/>
                <w:szCs w:val="24"/>
              </w:rPr>
            </w:pPr>
            <w:r w:rsidRPr="00242099">
              <w:rPr>
                <w:rFonts w:ascii="宋体" w:eastAsia="宋体" w:hAnsi="宋体" w:cs="Times New Roman" w:hint="eastAsia"/>
                <w:color w:val="000000"/>
                <w:sz w:val="24"/>
                <w:szCs w:val="24"/>
              </w:rPr>
              <w:t>2.7经典名方中药药学研究资料的主要内容</w:t>
            </w:r>
          </w:p>
        </w:tc>
      </w:tr>
    </w:tbl>
    <w:p w14:paraId="783D2257" w14:textId="77777777" w:rsidR="00242099" w:rsidRPr="00242099" w:rsidRDefault="00242099" w:rsidP="00242099">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38" w:name="_Toc51933825"/>
      <w:r w:rsidRPr="00242099">
        <w:rPr>
          <w:rFonts w:ascii="黑体" w:eastAsia="黑体" w:hAnsi="黑体" w:cs="Times New Roman" w:hint="eastAsia"/>
          <w:sz w:val="28"/>
          <w:szCs w:val="28"/>
        </w:rPr>
        <w:t>（二）课程考核方式</w:t>
      </w:r>
      <w:bookmarkEnd w:id="238"/>
    </w:p>
    <w:p w14:paraId="5C5B56EB"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课程考核方式分为平时考核和期末作品设计。</w:t>
      </w:r>
    </w:p>
    <w:p w14:paraId="37226431"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 平时考核方式包括课堂表现(10%)、平时作业(10%)、调研报告(20%)等。</w:t>
      </w:r>
    </w:p>
    <w:p w14:paraId="3D6A7814"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 期末考核采用作品设计(60%)。</w:t>
      </w:r>
    </w:p>
    <w:p w14:paraId="388D6DA9" w14:textId="77777777" w:rsidR="00242099" w:rsidRPr="00242099" w:rsidRDefault="00242099" w:rsidP="00242099">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39" w:name="_Toc51933826"/>
      <w:r w:rsidRPr="00242099">
        <w:rPr>
          <w:rFonts w:ascii="黑体" w:eastAsia="黑体" w:hAnsi="黑体" w:cs="Times New Roman" w:hint="eastAsia"/>
          <w:sz w:val="28"/>
          <w:szCs w:val="28"/>
        </w:rPr>
        <w:t>（三）课程目标达成评价方式及考核比例</w:t>
      </w:r>
      <w:bookmarkEnd w:id="239"/>
    </w:p>
    <w:p w14:paraId="24B4B06E"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课堂表现1</w:t>
      </w:r>
      <w:r w:rsidRPr="00242099">
        <w:rPr>
          <w:rFonts w:ascii="宋体" w:eastAsia="宋体" w:hAnsi="宋体" w:cs="Times New Roman"/>
          <w:color w:val="000000"/>
          <w:sz w:val="24"/>
          <w:szCs w:val="24"/>
        </w:rPr>
        <w:t>0</w:t>
      </w:r>
      <w:r w:rsidRPr="00242099">
        <w:rPr>
          <w:rFonts w:ascii="宋体" w:eastAsia="宋体" w:hAnsi="宋体" w:cs="Times New Roman" w:hint="eastAsia"/>
          <w:color w:val="000000"/>
          <w:sz w:val="24"/>
          <w:szCs w:val="24"/>
        </w:rPr>
        <w:t>%</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平时作业1</w:t>
      </w:r>
      <w:r w:rsidRPr="00242099">
        <w:rPr>
          <w:rFonts w:ascii="宋体" w:eastAsia="宋体" w:hAnsi="宋体" w:cs="Times New Roman"/>
          <w:color w:val="000000"/>
          <w:sz w:val="24"/>
          <w:szCs w:val="24"/>
        </w:rPr>
        <w:t>0</w:t>
      </w:r>
      <w:r w:rsidRPr="00242099">
        <w:rPr>
          <w:rFonts w:ascii="宋体" w:eastAsia="宋体" w:hAnsi="宋体" w:cs="Times New Roman" w:hint="eastAsia"/>
          <w:color w:val="000000"/>
          <w:sz w:val="24"/>
          <w:szCs w:val="24"/>
        </w:rPr>
        <w:t>%</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调研报告1</w:t>
      </w:r>
      <w:r w:rsidRPr="00242099">
        <w:rPr>
          <w:rFonts w:ascii="宋体" w:eastAsia="宋体" w:hAnsi="宋体" w:cs="Times New Roman"/>
          <w:color w:val="000000"/>
          <w:sz w:val="24"/>
          <w:szCs w:val="24"/>
        </w:rPr>
        <w:t>0</w:t>
      </w:r>
      <w:r w:rsidRPr="00242099">
        <w:rPr>
          <w:rFonts w:ascii="宋体" w:eastAsia="宋体" w:hAnsi="宋体" w:cs="Times New Roman" w:hint="eastAsia"/>
          <w:color w:val="000000"/>
          <w:sz w:val="24"/>
          <w:szCs w:val="24"/>
        </w:rPr>
        <w:t>%</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期末考试6</w:t>
      </w:r>
      <w:r w:rsidRPr="00242099">
        <w:rPr>
          <w:rFonts w:ascii="宋体" w:eastAsia="宋体" w:hAnsi="宋体" w:cs="Times New Roman"/>
          <w:color w:val="000000"/>
          <w:sz w:val="24"/>
          <w:szCs w:val="24"/>
        </w:rPr>
        <w:t>0</w:t>
      </w:r>
      <w:r w:rsidRPr="00242099">
        <w:rPr>
          <w:rFonts w:ascii="宋体" w:eastAsia="宋体" w:hAnsi="宋体" w:cs="Times New Roman" w:hint="eastAsia"/>
          <w:color w:val="000000"/>
          <w:sz w:val="24"/>
          <w:szCs w:val="24"/>
        </w:rPr>
        <w:t>%；本课程共有三个课程目标，考核方式及成绩比例分别为：</w:t>
      </w:r>
    </w:p>
    <w:p w14:paraId="42E1431A"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课程目标1、2：课堂表现5%</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平时作业5%</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作品设计10%</w:t>
      </w:r>
    </w:p>
    <w:p w14:paraId="56D81FCD"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课程目标</w:t>
      </w:r>
      <w:r w:rsidRPr="00242099">
        <w:rPr>
          <w:rFonts w:ascii="宋体" w:eastAsia="宋体" w:hAnsi="宋体" w:cs="Times New Roman"/>
          <w:color w:val="000000"/>
          <w:sz w:val="24"/>
          <w:szCs w:val="24"/>
        </w:rPr>
        <w:t>3</w:t>
      </w:r>
      <w:r w:rsidRPr="00242099">
        <w:rPr>
          <w:rFonts w:ascii="宋体" w:eastAsia="宋体" w:hAnsi="宋体" w:cs="Times New Roman" w:hint="eastAsia"/>
          <w:color w:val="000000"/>
          <w:sz w:val="24"/>
          <w:szCs w:val="24"/>
        </w:rPr>
        <w:t>：课堂表现5%</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平时作业5%</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调研报告1%</w:t>
      </w:r>
      <w:r w:rsidRPr="00242099">
        <w:rPr>
          <w:rFonts w:ascii="宋体" w:eastAsia="宋体" w:hAnsi="宋体" w:cs="Times New Roman"/>
          <w:color w:val="000000"/>
          <w:sz w:val="24"/>
          <w:szCs w:val="24"/>
        </w:rPr>
        <w:t>+</w:t>
      </w:r>
      <w:r w:rsidRPr="00242099">
        <w:rPr>
          <w:rFonts w:ascii="宋体" w:eastAsia="宋体" w:hAnsi="宋体" w:cs="Times New Roman" w:hint="eastAsia"/>
          <w:color w:val="000000"/>
          <w:sz w:val="24"/>
          <w:szCs w:val="24"/>
        </w:rPr>
        <w:t>作品设计60%</w:t>
      </w:r>
    </w:p>
    <w:p w14:paraId="3C48CFC4"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如下图：</w:t>
      </w:r>
    </w:p>
    <w:tbl>
      <w:tblPr>
        <w:tblW w:w="8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0"/>
        <w:gridCol w:w="4146"/>
        <w:gridCol w:w="1382"/>
        <w:gridCol w:w="1030"/>
      </w:tblGrid>
      <w:tr w:rsidR="00242099" w:rsidRPr="00242099" w14:paraId="0D1F63B5" w14:textId="77777777" w:rsidTr="00B602D6">
        <w:trPr>
          <w:trHeight w:val="540"/>
          <w:jc w:val="center"/>
        </w:trPr>
        <w:tc>
          <w:tcPr>
            <w:tcW w:w="1650" w:type="dxa"/>
            <w:vMerge w:val="restart"/>
            <w:vAlign w:val="center"/>
          </w:tcPr>
          <w:p w14:paraId="5057794E" w14:textId="77777777" w:rsidR="00242099" w:rsidRPr="00242099" w:rsidRDefault="00242099" w:rsidP="00242099">
            <w:pPr>
              <w:spacing w:line="440" w:lineRule="exact"/>
              <w:jc w:val="center"/>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课程目标</w:t>
            </w:r>
          </w:p>
        </w:tc>
        <w:tc>
          <w:tcPr>
            <w:tcW w:w="5528" w:type="dxa"/>
            <w:gridSpan w:val="2"/>
            <w:vAlign w:val="center"/>
          </w:tcPr>
          <w:p w14:paraId="46D57CC7" w14:textId="77777777" w:rsidR="00242099" w:rsidRPr="00242099" w:rsidRDefault="00242099" w:rsidP="00242099">
            <w:pPr>
              <w:spacing w:line="440" w:lineRule="exact"/>
              <w:jc w:val="center"/>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考核方式及成绩比例（%）</w:t>
            </w:r>
          </w:p>
        </w:tc>
        <w:tc>
          <w:tcPr>
            <w:tcW w:w="1030" w:type="dxa"/>
            <w:vMerge w:val="restart"/>
            <w:vAlign w:val="center"/>
          </w:tcPr>
          <w:p w14:paraId="0720B729" w14:textId="77777777" w:rsidR="00242099" w:rsidRPr="00242099" w:rsidRDefault="00242099" w:rsidP="00242099">
            <w:pPr>
              <w:spacing w:line="440" w:lineRule="exact"/>
              <w:jc w:val="center"/>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合计</w:t>
            </w:r>
          </w:p>
        </w:tc>
      </w:tr>
      <w:tr w:rsidR="00242099" w:rsidRPr="00242099" w14:paraId="753CE18E" w14:textId="77777777" w:rsidTr="00B602D6">
        <w:trPr>
          <w:trHeight w:val="578"/>
          <w:jc w:val="center"/>
        </w:trPr>
        <w:tc>
          <w:tcPr>
            <w:tcW w:w="1650" w:type="dxa"/>
            <w:vMerge/>
            <w:vAlign w:val="center"/>
          </w:tcPr>
          <w:p w14:paraId="0840D8FF" w14:textId="77777777" w:rsidR="00242099" w:rsidRPr="00242099" w:rsidRDefault="00242099" w:rsidP="00242099">
            <w:pPr>
              <w:spacing w:line="440" w:lineRule="exact"/>
              <w:jc w:val="center"/>
              <w:rPr>
                <w:rFonts w:ascii="宋体" w:eastAsia="宋体" w:hAnsi="宋体" w:cs="Times New Roman"/>
                <w:b/>
                <w:color w:val="000000"/>
                <w:sz w:val="24"/>
                <w:szCs w:val="24"/>
              </w:rPr>
            </w:pPr>
          </w:p>
        </w:tc>
        <w:tc>
          <w:tcPr>
            <w:tcW w:w="4146" w:type="dxa"/>
            <w:vAlign w:val="center"/>
          </w:tcPr>
          <w:p w14:paraId="3AD151A1" w14:textId="77777777" w:rsidR="00242099" w:rsidRPr="00242099" w:rsidRDefault="00242099" w:rsidP="00242099">
            <w:pPr>
              <w:spacing w:line="440" w:lineRule="exact"/>
              <w:jc w:val="center"/>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课堂表现</w:t>
            </w:r>
          </w:p>
        </w:tc>
        <w:tc>
          <w:tcPr>
            <w:tcW w:w="1382" w:type="dxa"/>
            <w:vAlign w:val="center"/>
          </w:tcPr>
          <w:p w14:paraId="0B3560AA" w14:textId="77777777" w:rsidR="00242099" w:rsidRPr="00242099" w:rsidRDefault="00242099" w:rsidP="00242099">
            <w:pPr>
              <w:spacing w:line="440" w:lineRule="exact"/>
              <w:jc w:val="center"/>
              <w:rPr>
                <w:rFonts w:ascii="宋体" w:eastAsia="宋体" w:hAnsi="宋体" w:cs="Times New Roman"/>
                <w:b/>
                <w:color w:val="000000"/>
                <w:sz w:val="24"/>
                <w:szCs w:val="24"/>
              </w:rPr>
            </w:pPr>
            <w:r w:rsidRPr="00242099">
              <w:rPr>
                <w:rFonts w:ascii="宋体" w:eastAsia="宋体" w:hAnsi="宋体" w:cs="Times New Roman" w:hint="eastAsia"/>
                <w:b/>
                <w:color w:val="000000"/>
                <w:sz w:val="24"/>
                <w:szCs w:val="24"/>
              </w:rPr>
              <w:t>作品设计</w:t>
            </w:r>
          </w:p>
        </w:tc>
        <w:tc>
          <w:tcPr>
            <w:tcW w:w="1030" w:type="dxa"/>
            <w:vMerge/>
          </w:tcPr>
          <w:p w14:paraId="19C9FEB3" w14:textId="77777777" w:rsidR="00242099" w:rsidRPr="00242099" w:rsidRDefault="00242099" w:rsidP="00242099">
            <w:pPr>
              <w:spacing w:line="440" w:lineRule="exact"/>
              <w:jc w:val="center"/>
              <w:rPr>
                <w:rFonts w:ascii="宋体" w:eastAsia="宋体" w:hAnsi="宋体" w:cs="Times New Roman"/>
                <w:b/>
                <w:color w:val="000000"/>
                <w:sz w:val="24"/>
                <w:szCs w:val="24"/>
              </w:rPr>
            </w:pPr>
          </w:p>
        </w:tc>
      </w:tr>
      <w:tr w:rsidR="00242099" w:rsidRPr="00242099" w14:paraId="490DC558" w14:textId="77777777" w:rsidTr="00B602D6">
        <w:trPr>
          <w:jc w:val="center"/>
        </w:trPr>
        <w:tc>
          <w:tcPr>
            <w:tcW w:w="1650" w:type="dxa"/>
            <w:vAlign w:val="center"/>
          </w:tcPr>
          <w:p w14:paraId="3BA5FE32" w14:textId="77777777" w:rsidR="00242099" w:rsidRPr="00242099" w:rsidRDefault="00242099" w:rsidP="00242099">
            <w:pPr>
              <w:spacing w:line="440" w:lineRule="exact"/>
              <w:jc w:val="center"/>
              <w:rPr>
                <w:rFonts w:ascii="宋体" w:eastAsia="宋体" w:hAnsi="宋体" w:cs="Times New Roman"/>
                <w:bCs/>
                <w:color w:val="000000"/>
                <w:sz w:val="24"/>
                <w:szCs w:val="24"/>
              </w:rPr>
            </w:pPr>
            <w:r w:rsidRPr="00242099">
              <w:rPr>
                <w:rFonts w:ascii="宋体" w:eastAsia="宋体" w:hAnsi="宋体" w:cs="Times New Roman" w:hint="eastAsia"/>
                <w:bCs/>
                <w:color w:val="000000"/>
                <w:sz w:val="24"/>
                <w:szCs w:val="24"/>
              </w:rPr>
              <w:t>课程目标1课程目标</w:t>
            </w:r>
            <w:r w:rsidRPr="00242099">
              <w:rPr>
                <w:rFonts w:ascii="宋体" w:eastAsia="宋体" w:hAnsi="宋体" w:cs="Times New Roman"/>
                <w:bCs/>
                <w:color w:val="000000"/>
                <w:sz w:val="24"/>
                <w:szCs w:val="24"/>
              </w:rPr>
              <w:t>2</w:t>
            </w:r>
          </w:p>
        </w:tc>
        <w:tc>
          <w:tcPr>
            <w:tcW w:w="4146" w:type="dxa"/>
            <w:vAlign w:val="center"/>
          </w:tcPr>
          <w:p w14:paraId="6A159682" w14:textId="77777777" w:rsidR="00242099" w:rsidRPr="00242099" w:rsidRDefault="00242099" w:rsidP="00242099">
            <w:pPr>
              <w:spacing w:line="440" w:lineRule="exact"/>
              <w:jc w:val="center"/>
              <w:rPr>
                <w:rFonts w:ascii="宋体" w:eastAsia="宋体" w:hAnsi="宋体" w:cs="Times New Roman"/>
                <w:bCs/>
                <w:color w:val="000000"/>
                <w:sz w:val="24"/>
                <w:szCs w:val="24"/>
              </w:rPr>
            </w:pPr>
            <w:r w:rsidRPr="00242099">
              <w:rPr>
                <w:rFonts w:ascii="宋体" w:eastAsia="宋体" w:hAnsi="宋体" w:cs="Times New Roman"/>
                <w:bCs/>
                <w:color w:val="000000"/>
                <w:sz w:val="24"/>
                <w:szCs w:val="24"/>
              </w:rPr>
              <w:t>10</w:t>
            </w:r>
          </w:p>
        </w:tc>
        <w:tc>
          <w:tcPr>
            <w:tcW w:w="1382" w:type="dxa"/>
            <w:vAlign w:val="center"/>
          </w:tcPr>
          <w:p w14:paraId="593BEAF7" w14:textId="77777777" w:rsidR="00242099" w:rsidRPr="00242099" w:rsidRDefault="00242099" w:rsidP="00242099">
            <w:pPr>
              <w:spacing w:line="440" w:lineRule="exact"/>
              <w:jc w:val="center"/>
              <w:rPr>
                <w:rFonts w:ascii="宋体" w:eastAsia="宋体" w:hAnsi="宋体" w:cs="Times New Roman"/>
                <w:bCs/>
                <w:color w:val="000000"/>
                <w:sz w:val="24"/>
                <w:szCs w:val="24"/>
              </w:rPr>
            </w:pPr>
            <w:r w:rsidRPr="00242099">
              <w:rPr>
                <w:rFonts w:ascii="宋体" w:eastAsia="宋体" w:hAnsi="宋体" w:cs="Times New Roman"/>
                <w:bCs/>
                <w:color w:val="000000"/>
                <w:sz w:val="24"/>
                <w:szCs w:val="24"/>
              </w:rPr>
              <w:t>2</w:t>
            </w:r>
            <w:r w:rsidRPr="00242099">
              <w:rPr>
                <w:rFonts w:ascii="宋体" w:eastAsia="宋体" w:hAnsi="宋体" w:cs="Times New Roman" w:hint="eastAsia"/>
                <w:bCs/>
                <w:color w:val="000000"/>
                <w:sz w:val="24"/>
                <w:szCs w:val="24"/>
              </w:rPr>
              <w:t>0</w:t>
            </w:r>
          </w:p>
        </w:tc>
        <w:tc>
          <w:tcPr>
            <w:tcW w:w="1030" w:type="dxa"/>
          </w:tcPr>
          <w:p w14:paraId="6AB1FB97" w14:textId="77777777" w:rsidR="00242099" w:rsidRPr="00242099" w:rsidRDefault="00242099" w:rsidP="00242099">
            <w:pPr>
              <w:spacing w:line="440" w:lineRule="exact"/>
              <w:jc w:val="center"/>
              <w:rPr>
                <w:rFonts w:ascii="宋体" w:eastAsia="宋体" w:hAnsi="宋体" w:cs="Times New Roman"/>
                <w:bCs/>
                <w:color w:val="000000"/>
                <w:sz w:val="24"/>
                <w:szCs w:val="24"/>
              </w:rPr>
            </w:pPr>
            <w:r w:rsidRPr="00242099">
              <w:rPr>
                <w:rFonts w:ascii="宋体" w:eastAsia="宋体" w:hAnsi="宋体" w:cs="Times New Roman"/>
                <w:bCs/>
                <w:color w:val="000000"/>
                <w:sz w:val="24"/>
                <w:szCs w:val="24"/>
              </w:rPr>
              <w:t>30</w:t>
            </w:r>
          </w:p>
        </w:tc>
      </w:tr>
      <w:tr w:rsidR="00242099" w:rsidRPr="00242099" w14:paraId="6C033745" w14:textId="77777777" w:rsidTr="00B602D6">
        <w:trPr>
          <w:jc w:val="center"/>
        </w:trPr>
        <w:tc>
          <w:tcPr>
            <w:tcW w:w="1650" w:type="dxa"/>
            <w:vAlign w:val="center"/>
          </w:tcPr>
          <w:p w14:paraId="3058939E" w14:textId="77777777" w:rsidR="00242099" w:rsidRPr="00242099" w:rsidRDefault="00242099" w:rsidP="00242099">
            <w:pPr>
              <w:spacing w:line="440" w:lineRule="exact"/>
              <w:jc w:val="center"/>
              <w:rPr>
                <w:rFonts w:ascii="宋体" w:eastAsia="宋体" w:hAnsi="宋体" w:cs="Times New Roman"/>
                <w:bCs/>
                <w:color w:val="000000"/>
                <w:sz w:val="24"/>
                <w:szCs w:val="24"/>
              </w:rPr>
            </w:pPr>
            <w:r w:rsidRPr="00242099">
              <w:rPr>
                <w:rFonts w:ascii="宋体" w:eastAsia="宋体" w:hAnsi="宋体" w:cs="Times New Roman" w:hint="eastAsia"/>
                <w:bCs/>
                <w:color w:val="000000"/>
                <w:sz w:val="24"/>
                <w:szCs w:val="24"/>
              </w:rPr>
              <w:t>课程目标</w:t>
            </w:r>
            <w:r w:rsidRPr="00242099">
              <w:rPr>
                <w:rFonts w:ascii="宋体" w:eastAsia="宋体" w:hAnsi="宋体" w:cs="Times New Roman"/>
                <w:bCs/>
                <w:color w:val="000000"/>
                <w:sz w:val="24"/>
                <w:szCs w:val="24"/>
              </w:rPr>
              <w:t>3</w:t>
            </w:r>
          </w:p>
        </w:tc>
        <w:tc>
          <w:tcPr>
            <w:tcW w:w="4146" w:type="dxa"/>
            <w:vAlign w:val="center"/>
          </w:tcPr>
          <w:p w14:paraId="5123D549" w14:textId="77777777" w:rsidR="00242099" w:rsidRPr="00242099" w:rsidRDefault="00242099" w:rsidP="00242099">
            <w:pPr>
              <w:spacing w:line="440" w:lineRule="exact"/>
              <w:jc w:val="center"/>
              <w:rPr>
                <w:rFonts w:ascii="宋体" w:eastAsia="宋体" w:hAnsi="宋体" w:cs="Times New Roman"/>
                <w:bCs/>
                <w:color w:val="000000"/>
                <w:sz w:val="24"/>
                <w:szCs w:val="24"/>
              </w:rPr>
            </w:pPr>
            <w:r w:rsidRPr="00242099">
              <w:rPr>
                <w:rFonts w:ascii="宋体" w:eastAsia="宋体" w:hAnsi="宋体" w:cs="Times New Roman"/>
                <w:bCs/>
                <w:color w:val="000000"/>
                <w:sz w:val="24"/>
                <w:szCs w:val="24"/>
              </w:rPr>
              <w:t>20</w:t>
            </w:r>
          </w:p>
        </w:tc>
        <w:tc>
          <w:tcPr>
            <w:tcW w:w="1382" w:type="dxa"/>
            <w:vAlign w:val="center"/>
          </w:tcPr>
          <w:p w14:paraId="66BA36E5" w14:textId="77777777" w:rsidR="00242099" w:rsidRPr="00242099" w:rsidRDefault="00242099" w:rsidP="00242099">
            <w:pPr>
              <w:spacing w:line="440" w:lineRule="exact"/>
              <w:jc w:val="center"/>
              <w:rPr>
                <w:rFonts w:ascii="宋体" w:eastAsia="宋体" w:hAnsi="宋体" w:cs="Times New Roman"/>
                <w:bCs/>
                <w:color w:val="000000"/>
                <w:sz w:val="24"/>
                <w:szCs w:val="24"/>
              </w:rPr>
            </w:pPr>
            <w:r w:rsidRPr="00242099">
              <w:rPr>
                <w:rFonts w:ascii="宋体" w:eastAsia="宋体" w:hAnsi="宋体" w:cs="Times New Roman"/>
                <w:bCs/>
                <w:color w:val="000000"/>
                <w:sz w:val="24"/>
                <w:szCs w:val="24"/>
              </w:rPr>
              <w:t>5</w:t>
            </w:r>
            <w:r w:rsidRPr="00242099">
              <w:rPr>
                <w:rFonts w:ascii="宋体" w:eastAsia="宋体" w:hAnsi="宋体" w:cs="Times New Roman" w:hint="eastAsia"/>
                <w:bCs/>
                <w:color w:val="000000"/>
                <w:sz w:val="24"/>
                <w:szCs w:val="24"/>
              </w:rPr>
              <w:t>0</w:t>
            </w:r>
          </w:p>
        </w:tc>
        <w:tc>
          <w:tcPr>
            <w:tcW w:w="1030" w:type="dxa"/>
          </w:tcPr>
          <w:p w14:paraId="10D8E62E" w14:textId="77777777" w:rsidR="00242099" w:rsidRPr="00242099" w:rsidRDefault="00242099" w:rsidP="00242099">
            <w:pPr>
              <w:spacing w:line="440" w:lineRule="exact"/>
              <w:jc w:val="center"/>
              <w:rPr>
                <w:rFonts w:ascii="宋体" w:eastAsia="宋体" w:hAnsi="宋体" w:cs="Times New Roman"/>
                <w:bCs/>
                <w:color w:val="000000"/>
                <w:sz w:val="24"/>
                <w:szCs w:val="24"/>
              </w:rPr>
            </w:pPr>
            <w:r w:rsidRPr="00242099">
              <w:rPr>
                <w:rFonts w:ascii="宋体" w:eastAsia="宋体" w:hAnsi="宋体" w:cs="Times New Roman"/>
                <w:bCs/>
                <w:color w:val="000000"/>
                <w:sz w:val="24"/>
                <w:szCs w:val="24"/>
              </w:rPr>
              <w:t>70</w:t>
            </w:r>
          </w:p>
        </w:tc>
      </w:tr>
      <w:tr w:rsidR="00242099" w:rsidRPr="00242099" w14:paraId="529DC684" w14:textId="77777777" w:rsidTr="00B602D6">
        <w:trPr>
          <w:jc w:val="center"/>
        </w:trPr>
        <w:tc>
          <w:tcPr>
            <w:tcW w:w="1650" w:type="dxa"/>
            <w:vAlign w:val="center"/>
          </w:tcPr>
          <w:p w14:paraId="526C339F" w14:textId="77777777" w:rsidR="00242099" w:rsidRPr="00242099" w:rsidRDefault="00242099" w:rsidP="00242099">
            <w:pPr>
              <w:spacing w:line="440" w:lineRule="exact"/>
              <w:jc w:val="center"/>
              <w:rPr>
                <w:rFonts w:ascii="宋体" w:eastAsia="宋体" w:hAnsi="宋体" w:cs="Times New Roman"/>
                <w:bCs/>
                <w:color w:val="000000"/>
                <w:sz w:val="24"/>
                <w:szCs w:val="24"/>
              </w:rPr>
            </w:pPr>
            <w:r w:rsidRPr="00242099">
              <w:rPr>
                <w:rFonts w:ascii="宋体" w:eastAsia="宋体" w:hAnsi="宋体" w:cs="Times New Roman" w:hint="eastAsia"/>
                <w:bCs/>
                <w:color w:val="000000"/>
                <w:sz w:val="24"/>
                <w:szCs w:val="24"/>
              </w:rPr>
              <w:t>合计</w:t>
            </w:r>
          </w:p>
        </w:tc>
        <w:tc>
          <w:tcPr>
            <w:tcW w:w="4146" w:type="dxa"/>
            <w:vAlign w:val="center"/>
          </w:tcPr>
          <w:p w14:paraId="1C0547C9" w14:textId="77777777" w:rsidR="00242099" w:rsidRPr="00242099" w:rsidRDefault="00242099" w:rsidP="00242099">
            <w:pPr>
              <w:spacing w:line="440" w:lineRule="exact"/>
              <w:jc w:val="center"/>
              <w:rPr>
                <w:rFonts w:ascii="宋体" w:eastAsia="宋体" w:hAnsi="宋体" w:cs="Times New Roman"/>
                <w:bCs/>
                <w:color w:val="000000"/>
                <w:sz w:val="24"/>
                <w:szCs w:val="24"/>
              </w:rPr>
            </w:pPr>
            <w:r w:rsidRPr="00242099">
              <w:rPr>
                <w:rFonts w:ascii="宋体" w:eastAsia="宋体" w:hAnsi="宋体" w:cs="Times New Roman"/>
                <w:bCs/>
                <w:color w:val="000000"/>
                <w:sz w:val="24"/>
                <w:szCs w:val="24"/>
              </w:rPr>
              <w:t>30</w:t>
            </w:r>
          </w:p>
        </w:tc>
        <w:tc>
          <w:tcPr>
            <w:tcW w:w="1382" w:type="dxa"/>
            <w:vAlign w:val="center"/>
          </w:tcPr>
          <w:p w14:paraId="119FA883" w14:textId="77777777" w:rsidR="00242099" w:rsidRPr="00242099" w:rsidRDefault="00242099" w:rsidP="00242099">
            <w:pPr>
              <w:spacing w:line="440" w:lineRule="exact"/>
              <w:jc w:val="center"/>
              <w:rPr>
                <w:rFonts w:ascii="宋体" w:eastAsia="宋体" w:hAnsi="宋体" w:cs="Times New Roman"/>
                <w:bCs/>
                <w:color w:val="000000"/>
                <w:sz w:val="24"/>
                <w:szCs w:val="24"/>
              </w:rPr>
            </w:pPr>
            <w:r w:rsidRPr="00242099">
              <w:rPr>
                <w:rFonts w:ascii="宋体" w:eastAsia="宋体" w:hAnsi="宋体" w:cs="Times New Roman" w:hint="eastAsia"/>
                <w:bCs/>
                <w:color w:val="000000"/>
                <w:sz w:val="24"/>
                <w:szCs w:val="24"/>
              </w:rPr>
              <w:t>7</w:t>
            </w:r>
            <w:r w:rsidRPr="00242099">
              <w:rPr>
                <w:rFonts w:ascii="宋体" w:eastAsia="宋体" w:hAnsi="宋体" w:cs="Times New Roman"/>
                <w:bCs/>
                <w:color w:val="000000"/>
                <w:sz w:val="24"/>
                <w:szCs w:val="24"/>
              </w:rPr>
              <w:t>0</w:t>
            </w:r>
          </w:p>
        </w:tc>
        <w:tc>
          <w:tcPr>
            <w:tcW w:w="1030" w:type="dxa"/>
          </w:tcPr>
          <w:p w14:paraId="35106FCC" w14:textId="77777777" w:rsidR="00242099" w:rsidRPr="00242099" w:rsidRDefault="00242099" w:rsidP="00242099">
            <w:pPr>
              <w:spacing w:line="440" w:lineRule="exact"/>
              <w:jc w:val="center"/>
              <w:rPr>
                <w:rFonts w:ascii="宋体" w:eastAsia="宋体" w:hAnsi="宋体" w:cs="Times New Roman"/>
                <w:bCs/>
                <w:color w:val="000000"/>
                <w:sz w:val="24"/>
                <w:szCs w:val="24"/>
              </w:rPr>
            </w:pPr>
            <w:r w:rsidRPr="00242099">
              <w:rPr>
                <w:rFonts w:ascii="宋体" w:eastAsia="宋体" w:hAnsi="宋体" w:cs="Times New Roman" w:hint="eastAsia"/>
                <w:bCs/>
                <w:color w:val="000000"/>
                <w:sz w:val="24"/>
                <w:szCs w:val="24"/>
              </w:rPr>
              <w:t>1</w:t>
            </w:r>
            <w:r w:rsidRPr="00242099">
              <w:rPr>
                <w:rFonts w:ascii="宋体" w:eastAsia="宋体" w:hAnsi="宋体" w:cs="Times New Roman"/>
                <w:bCs/>
                <w:color w:val="000000"/>
                <w:sz w:val="24"/>
                <w:szCs w:val="24"/>
              </w:rPr>
              <w:t>00</w:t>
            </w:r>
          </w:p>
        </w:tc>
      </w:tr>
    </w:tbl>
    <w:p w14:paraId="09D594E4" w14:textId="77777777" w:rsidR="00242099" w:rsidRPr="00242099" w:rsidRDefault="00242099" w:rsidP="00E85326">
      <w:pPr>
        <w:pStyle w:val="afc"/>
      </w:pPr>
      <w:bookmarkStart w:id="240" w:name="_Toc51933827"/>
      <w:r w:rsidRPr="00242099">
        <w:rPr>
          <w:rFonts w:hint="eastAsia"/>
        </w:rPr>
        <w:t>五、成绩评定</w:t>
      </w:r>
      <w:bookmarkEnd w:id="240"/>
    </w:p>
    <w:p w14:paraId="61BDA79F" w14:textId="77777777" w:rsidR="00242099" w:rsidRPr="00242099" w:rsidRDefault="00242099" w:rsidP="00242099">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41" w:name="_Toc51933828"/>
      <w:r w:rsidRPr="00242099">
        <w:rPr>
          <w:rFonts w:ascii="黑体" w:eastAsia="黑体" w:hAnsi="黑体" w:cs="Times New Roman" w:hint="eastAsia"/>
          <w:sz w:val="28"/>
          <w:szCs w:val="28"/>
        </w:rPr>
        <w:t>（一）总成绩评定</w:t>
      </w:r>
      <w:bookmarkEnd w:id="241"/>
    </w:p>
    <w:p w14:paraId="43D472D3"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总成绩=平时成绩×30%+期末成绩×70%</w:t>
      </w:r>
    </w:p>
    <w:p w14:paraId="4845F05A" w14:textId="77777777" w:rsidR="00242099" w:rsidRPr="00242099" w:rsidRDefault="00242099" w:rsidP="00242099">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42" w:name="_Toc51933829"/>
      <w:r w:rsidRPr="00242099">
        <w:rPr>
          <w:rFonts w:ascii="黑体" w:eastAsia="黑体" w:hAnsi="黑体" w:cs="Times New Roman" w:hint="eastAsia"/>
          <w:sz w:val="28"/>
          <w:szCs w:val="28"/>
        </w:rPr>
        <w:t>（二）平时成绩评定</w:t>
      </w:r>
      <w:bookmarkEnd w:id="242"/>
    </w:p>
    <w:p w14:paraId="3E229585"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平时成绩（100%）=课堂表现（10%）+作业完成（10%）+调研报告（10%）</w:t>
      </w:r>
    </w:p>
    <w:p w14:paraId="4FCEED93"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建议考核方式:</w:t>
      </w:r>
    </w:p>
    <w:p w14:paraId="507D0D92"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lastRenderedPageBreak/>
        <w:t>（1）课堂表现：通过学生在课堂上的表现情况、课上参与程度进行记分。</w:t>
      </w:r>
    </w:p>
    <w:p w14:paraId="687E8CD4"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作业完成：围绕课程的学习目标进行作业的设计。如让学生简述对相关知识的认识，考核学生对于概念的理解情况，帮助学生将定义转化为自己的理解。3次作业，每次作业以10分记，根据完成情况进行打分。</w:t>
      </w:r>
    </w:p>
    <w:p w14:paraId="59ED8558"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（3）调研报告：学生收集资料能力，研究设计能力，解决实际问题能力和合作研究能力。每名学生独立完成1个方向的调研报告，根据完成情况，及质量进行评分，以100分为满分，根据具体情况进行打分。</w:t>
      </w:r>
    </w:p>
    <w:p w14:paraId="08216321" w14:textId="77777777" w:rsidR="00242099" w:rsidRPr="00242099" w:rsidRDefault="00242099" w:rsidP="00242099">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43" w:name="_Toc51933830"/>
      <w:r w:rsidRPr="00242099">
        <w:rPr>
          <w:rFonts w:ascii="黑体" w:eastAsia="黑体" w:hAnsi="黑体" w:cs="Times New Roman" w:hint="eastAsia"/>
          <w:sz w:val="28"/>
          <w:szCs w:val="28"/>
        </w:rPr>
        <w:t>（三）期末成绩评定</w:t>
      </w:r>
      <w:bookmarkEnd w:id="243"/>
    </w:p>
    <w:p w14:paraId="03E49A85"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期末考核主要考察学生对相关知识的理解，操作程序和具体方法的理解与运用等。方式为作品设计，要求学生掌握相关知识，独立完成相关作品的设计。要求内容完整，条理清晰，有特定意义，根据作品情况进行打分。</w:t>
      </w:r>
    </w:p>
    <w:p w14:paraId="74089643" w14:textId="77777777" w:rsidR="00242099" w:rsidRPr="00242099" w:rsidRDefault="00242099" w:rsidP="00E85326">
      <w:pPr>
        <w:pStyle w:val="afc"/>
      </w:pPr>
      <w:bookmarkStart w:id="244" w:name="_Toc51933831"/>
      <w:r w:rsidRPr="00242099">
        <w:rPr>
          <w:rFonts w:hint="eastAsia"/>
        </w:rPr>
        <w:t>六、使用教材、相关推荐书目及课程资源</w:t>
      </w:r>
      <w:bookmarkEnd w:id="244"/>
    </w:p>
    <w:p w14:paraId="08798027" w14:textId="77777777" w:rsidR="00242099" w:rsidRPr="00242099" w:rsidRDefault="00242099" w:rsidP="00242099">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45" w:name="_Toc51933832"/>
      <w:r w:rsidRPr="00242099">
        <w:rPr>
          <w:rFonts w:ascii="黑体" w:eastAsia="黑体" w:hAnsi="黑体" w:cs="Times New Roman" w:hint="eastAsia"/>
          <w:sz w:val="28"/>
          <w:szCs w:val="28"/>
        </w:rPr>
        <w:t>（一）使用教材</w:t>
      </w:r>
      <w:bookmarkEnd w:id="245"/>
    </w:p>
    <w:p w14:paraId="38361CBA"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自编教材</w:t>
      </w:r>
    </w:p>
    <w:p w14:paraId="0EF8ED21" w14:textId="77777777" w:rsidR="00242099" w:rsidRPr="00242099" w:rsidRDefault="00242099" w:rsidP="00242099">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46" w:name="_Toc51933833"/>
      <w:r w:rsidRPr="00242099">
        <w:rPr>
          <w:rFonts w:ascii="黑体" w:eastAsia="黑体" w:hAnsi="黑体" w:cs="Times New Roman" w:hint="eastAsia"/>
          <w:sz w:val="28"/>
          <w:szCs w:val="28"/>
        </w:rPr>
        <w:t>（二）相关推荐书目</w:t>
      </w:r>
      <w:bookmarkEnd w:id="246"/>
    </w:p>
    <w:p w14:paraId="7EADD17E"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国家食品药品监督管理局主编：《药物研究技术指导原则》，中国医药科技出版社，2015年版；</w:t>
      </w:r>
    </w:p>
    <w:p w14:paraId="6D4ACC0D"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2</w:t>
      </w:r>
      <w:r w:rsidRPr="00242099">
        <w:rPr>
          <w:rFonts w:ascii="宋体" w:eastAsia="宋体" w:hAnsi="宋体" w:cs="Times New Roman"/>
          <w:color w:val="000000"/>
          <w:sz w:val="24"/>
          <w:szCs w:val="24"/>
        </w:rPr>
        <w:t xml:space="preserve">. </w:t>
      </w:r>
      <w:r w:rsidRPr="00242099">
        <w:rPr>
          <w:rFonts w:ascii="宋体" w:eastAsia="宋体" w:hAnsi="宋体" w:cs="Times New Roman" w:hint="eastAsia"/>
          <w:color w:val="000000"/>
          <w:sz w:val="24"/>
          <w:szCs w:val="24"/>
        </w:rPr>
        <w:t>ICH指导委员会，</w:t>
      </w:r>
      <w:proofErr w:type="gramStart"/>
      <w:r w:rsidRPr="00242099">
        <w:rPr>
          <w:rFonts w:ascii="宋体" w:eastAsia="宋体" w:hAnsi="宋体" w:cs="Times New Roman" w:hint="eastAsia"/>
          <w:color w:val="000000"/>
          <w:sz w:val="24"/>
          <w:szCs w:val="24"/>
        </w:rPr>
        <w:t>周海钧主编</w:t>
      </w:r>
      <w:proofErr w:type="gramEnd"/>
      <w:r w:rsidRPr="00242099">
        <w:rPr>
          <w:rFonts w:ascii="宋体" w:eastAsia="宋体" w:hAnsi="宋体" w:cs="Times New Roman" w:hint="eastAsia"/>
          <w:color w:val="000000"/>
          <w:sz w:val="24"/>
          <w:szCs w:val="24"/>
        </w:rPr>
        <w:t>：《药品注册的国际技术要求.质量部分中英对照》，人民卫生出版社，2010年版；</w:t>
      </w:r>
    </w:p>
    <w:p w14:paraId="69830389"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3．</w:t>
      </w:r>
      <w:proofErr w:type="gramStart"/>
      <w:r w:rsidRPr="00242099">
        <w:rPr>
          <w:rFonts w:ascii="宋体" w:eastAsia="宋体" w:hAnsi="宋体" w:cs="Times New Roman" w:hint="eastAsia"/>
          <w:color w:val="000000"/>
          <w:sz w:val="24"/>
          <w:szCs w:val="24"/>
        </w:rPr>
        <w:t>张哲峰主编</w:t>
      </w:r>
      <w:proofErr w:type="gramEnd"/>
      <w:r w:rsidRPr="00242099">
        <w:rPr>
          <w:rFonts w:ascii="宋体" w:eastAsia="宋体" w:hAnsi="宋体" w:cs="Times New Roman" w:hint="eastAsia"/>
          <w:color w:val="000000"/>
          <w:sz w:val="24"/>
          <w:szCs w:val="24"/>
        </w:rPr>
        <w:t>：解读《药品注册管理办法》，中国医药科技出版社，2</w:t>
      </w:r>
      <w:r w:rsidRPr="00242099">
        <w:rPr>
          <w:rFonts w:ascii="宋体" w:eastAsia="宋体" w:hAnsi="宋体" w:cs="Times New Roman"/>
          <w:color w:val="000000"/>
          <w:sz w:val="24"/>
          <w:szCs w:val="24"/>
        </w:rPr>
        <w:t>020</w:t>
      </w:r>
      <w:r w:rsidRPr="00242099">
        <w:rPr>
          <w:rFonts w:ascii="宋体" w:eastAsia="宋体" w:hAnsi="宋体" w:cs="Times New Roman" w:hint="eastAsia"/>
          <w:color w:val="000000"/>
          <w:sz w:val="24"/>
          <w:szCs w:val="24"/>
        </w:rPr>
        <w:t>年版；</w:t>
      </w:r>
    </w:p>
    <w:p w14:paraId="622B7F80"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4．李春花主编：《经典名方传承与现代制剂开发》，中国医药科技出版社，2</w:t>
      </w:r>
      <w:r w:rsidRPr="00242099">
        <w:rPr>
          <w:rFonts w:ascii="宋体" w:eastAsia="宋体" w:hAnsi="宋体" w:cs="Times New Roman"/>
          <w:color w:val="000000"/>
          <w:sz w:val="24"/>
          <w:szCs w:val="24"/>
        </w:rPr>
        <w:t>020</w:t>
      </w:r>
      <w:r w:rsidRPr="00242099">
        <w:rPr>
          <w:rFonts w:ascii="宋体" w:eastAsia="宋体" w:hAnsi="宋体" w:cs="Times New Roman" w:hint="eastAsia"/>
          <w:color w:val="000000"/>
          <w:sz w:val="24"/>
          <w:szCs w:val="24"/>
        </w:rPr>
        <w:t>年版；</w:t>
      </w:r>
    </w:p>
    <w:p w14:paraId="39C73E72"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5．国家食品药品监督管理局药品认证管理中心主编：《药品GMP指南:质量管理体系》，中国医药科技出版社，2</w:t>
      </w:r>
      <w:r w:rsidRPr="00242099">
        <w:rPr>
          <w:rFonts w:ascii="宋体" w:eastAsia="宋体" w:hAnsi="宋体" w:cs="Times New Roman"/>
          <w:color w:val="000000"/>
          <w:sz w:val="24"/>
          <w:szCs w:val="24"/>
        </w:rPr>
        <w:t>011</w:t>
      </w:r>
      <w:r w:rsidRPr="00242099">
        <w:rPr>
          <w:rFonts w:ascii="宋体" w:eastAsia="宋体" w:hAnsi="宋体" w:cs="Times New Roman" w:hint="eastAsia"/>
          <w:color w:val="000000"/>
          <w:sz w:val="24"/>
          <w:szCs w:val="24"/>
        </w:rPr>
        <w:t>年版。</w:t>
      </w:r>
    </w:p>
    <w:p w14:paraId="2BB3794D" w14:textId="77777777" w:rsidR="00242099" w:rsidRPr="00242099" w:rsidRDefault="00242099" w:rsidP="00242099">
      <w:pPr>
        <w:adjustRightInd w:val="0"/>
        <w:snapToGrid w:val="0"/>
        <w:spacing w:line="440" w:lineRule="exact"/>
        <w:ind w:firstLineChars="200" w:firstLine="480"/>
        <w:rPr>
          <w:rFonts w:ascii="宋体" w:eastAsia="宋体" w:hAnsi="宋体" w:cs="Times New Roman"/>
          <w:color w:val="000000"/>
          <w:sz w:val="24"/>
          <w:szCs w:val="24"/>
        </w:rPr>
      </w:pPr>
    </w:p>
    <w:p w14:paraId="1F41494E" w14:textId="77777777" w:rsidR="00242099" w:rsidRPr="00242099" w:rsidRDefault="00242099" w:rsidP="00242099">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47" w:name="_Toc51933834"/>
      <w:r w:rsidRPr="00242099">
        <w:rPr>
          <w:rFonts w:ascii="黑体" w:eastAsia="黑体" w:hAnsi="黑体" w:cs="Times New Roman" w:hint="eastAsia"/>
          <w:sz w:val="28"/>
          <w:szCs w:val="28"/>
        </w:rPr>
        <w:t>（三）课程资源</w:t>
      </w:r>
      <w:bookmarkEnd w:id="247"/>
    </w:p>
    <w:p w14:paraId="26A5F002" w14:textId="77777777" w:rsidR="00242099" w:rsidRPr="00242099" w:rsidRDefault="00242099" w:rsidP="00242099">
      <w:pPr>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1. 该学科属应用性学科，学生应学会检索相关网站，重点是掌握国家药品审评中心（</w:t>
      </w:r>
      <w:r w:rsidRPr="00242099">
        <w:rPr>
          <w:rFonts w:ascii="宋体" w:eastAsia="宋体" w:hAnsi="宋体" w:cs="Times New Roman"/>
          <w:color w:val="000000"/>
          <w:sz w:val="24"/>
          <w:szCs w:val="24"/>
        </w:rPr>
        <w:t>http://www.cde.org.cn/</w:t>
      </w:r>
      <w:r w:rsidRPr="00242099">
        <w:rPr>
          <w:rFonts w:ascii="宋体" w:eastAsia="宋体" w:hAnsi="宋体" w:cs="Times New Roman" w:hint="eastAsia"/>
          <w:color w:val="000000"/>
          <w:sz w:val="24"/>
          <w:szCs w:val="24"/>
        </w:rPr>
        <w:t>）等相关网站的检索及查询能力。</w:t>
      </w:r>
    </w:p>
    <w:p w14:paraId="46F538D2" w14:textId="77777777" w:rsidR="00242099" w:rsidRPr="00242099" w:rsidRDefault="00242099" w:rsidP="00E85326">
      <w:pPr>
        <w:pStyle w:val="afc"/>
      </w:pPr>
      <w:bookmarkStart w:id="248" w:name="_Toc51933835"/>
      <w:r w:rsidRPr="00242099">
        <w:rPr>
          <w:rFonts w:hint="eastAsia"/>
        </w:rPr>
        <w:lastRenderedPageBreak/>
        <w:t>七、课程大纲制定依据</w:t>
      </w:r>
      <w:bookmarkEnd w:id="248"/>
    </w:p>
    <w:p w14:paraId="48919DB1" w14:textId="77777777" w:rsidR="00242099" w:rsidRPr="00242099" w:rsidRDefault="00242099" w:rsidP="00242099">
      <w:pPr>
        <w:spacing w:line="440" w:lineRule="exact"/>
        <w:ind w:firstLineChars="200" w:firstLine="480"/>
        <w:rPr>
          <w:rFonts w:ascii="宋体" w:eastAsia="宋体" w:hAnsi="宋体" w:cs="Times New Roman"/>
          <w:color w:val="000000"/>
          <w:sz w:val="24"/>
          <w:szCs w:val="24"/>
        </w:rPr>
      </w:pPr>
      <w:r w:rsidRPr="00242099">
        <w:rPr>
          <w:rFonts w:ascii="宋体" w:eastAsia="宋体" w:hAnsi="宋体" w:cs="Times New Roman" w:hint="eastAsia"/>
          <w:color w:val="000000"/>
          <w:sz w:val="24"/>
          <w:szCs w:val="24"/>
        </w:rPr>
        <w:t>本课程大纲依据202</w:t>
      </w:r>
      <w:r w:rsidRPr="00242099">
        <w:rPr>
          <w:rFonts w:ascii="宋体" w:eastAsia="宋体" w:hAnsi="宋体" w:cs="Times New Roman"/>
          <w:color w:val="000000"/>
          <w:sz w:val="24"/>
          <w:szCs w:val="24"/>
        </w:rPr>
        <w:t>3</w:t>
      </w:r>
      <w:r w:rsidRPr="00242099">
        <w:rPr>
          <w:rFonts w:ascii="宋体" w:eastAsia="宋体" w:hAnsi="宋体" w:cs="Times New Roman" w:hint="eastAsia"/>
          <w:color w:val="000000"/>
          <w:sz w:val="24"/>
          <w:szCs w:val="24"/>
        </w:rPr>
        <w:t>年药物分析专业人才培养方案制定。</w:t>
      </w:r>
    </w:p>
    <w:p w14:paraId="155B5B22" w14:textId="77777777" w:rsidR="00242099" w:rsidRPr="00242099" w:rsidRDefault="00242099" w:rsidP="00242099">
      <w:pPr>
        <w:adjustRightInd w:val="0"/>
        <w:snapToGrid w:val="0"/>
        <w:spacing w:beforeLines="100" w:before="312" w:afterLines="100" w:after="312" w:line="440" w:lineRule="exact"/>
        <w:jc w:val="center"/>
        <w:outlineLvl w:val="0"/>
        <w:rPr>
          <w:rFonts w:ascii="黑体" w:eastAsia="黑体" w:hAnsi="黑体" w:cs="Times New Roman"/>
          <w:bCs/>
          <w:sz w:val="36"/>
          <w:szCs w:val="36"/>
        </w:rPr>
      </w:pPr>
    </w:p>
    <w:p w14:paraId="6CC3D3EE" w14:textId="77777777" w:rsidR="00242099" w:rsidRPr="00242099" w:rsidRDefault="00242099" w:rsidP="00242099">
      <w:pPr>
        <w:rPr>
          <w:rFonts w:ascii="Times New Roman" w:eastAsia="宋体" w:hAnsi="Times New Roman" w:cs="Times New Roman"/>
          <w:szCs w:val="24"/>
        </w:rPr>
      </w:pPr>
    </w:p>
    <w:p w14:paraId="2FA65496" w14:textId="77777777" w:rsidR="007E375B" w:rsidRDefault="007E375B" w:rsidP="00204102">
      <w:pPr>
        <w:rPr>
          <w:rFonts w:ascii="Times New Roman" w:eastAsia="宋体" w:hAnsi="Times New Roman" w:cs="Times New Roman"/>
          <w:szCs w:val="24"/>
        </w:rPr>
      </w:pPr>
    </w:p>
    <w:p w14:paraId="1B07D38A" w14:textId="77777777" w:rsidR="00794C54" w:rsidRDefault="00794C54" w:rsidP="00204102">
      <w:pPr>
        <w:rPr>
          <w:rFonts w:ascii="Times New Roman" w:eastAsia="宋体" w:hAnsi="Times New Roman" w:cs="Times New Roman"/>
          <w:szCs w:val="24"/>
        </w:rPr>
      </w:pPr>
    </w:p>
    <w:p w14:paraId="164B0ED5" w14:textId="77777777" w:rsidR="00794C54" w:rsidRDefault="00794C54" w:rsidP="00204102">
      <w:pPr>
        <w:rPr>
          <w:rFonts w:ascii="Times New Roman" w:eastAsia="宋体" w:hAnsi="Times New Roman" w:cs="Times New Roman"/>
          <w:szCs w:val="24"/>
        </w:rPr>
      </w:pPr>
    </w:p>
    <w:p w14:paraId="5884AF9C" w14:textId="77777777" w:rsidR="00794C54" w:rsidRDefault="00794C54" w:rsidP="00204102">
      <w:pPr>
        <w:rPr>
          <w:rFonts w:ascii="Times New Roman" w:eastAsia="宋体" w:hAnsi="Times New Roman" w:cs="Times New Roman"/>
          <w:szCs w:val="24"/>
        </w:rPr>
      </w:pPr>
    </w:p>
    <w:p w14:paraId="47C369FD" w14:textId="77777777" w:rsidR="00895319" w:rsidRDefault="00895319">
      <w:pPr>
        <w:widowControl/>
        <w:jc w:val="left"/>
        <w:rPr>
          <w:rFonts w:ascii="Times New Roman" w:eastAsia="宋体" w:hAnsi="Times New Roman" w:cs="Times New Roman"/>
          <w:szCs w:val="24"/>
        </w:rPr>
      </w:pPr>
      <w:bookmarkStart w:id="249" w:name="_Toc149662371"/>
      <w:r>
        <w:rPr>
          <w:rFonts w:ascii="Times New Roman" w:hAnsi="Times New Roman" w:cs="Times New Roman"/>
          <w:b/>
          <w:szCs w:val="24"/>
        </w:rPr>
        <w:br w:type="page"/>
      </w:r>
    </w:p>
    <w:p w14:paraId="6BAA5EDD" w14:textId="3592473B" w:rsidR="007E375B" w:rsidRPr="007E375B" w:rsidRDefault="007E375B" w:rsidP="003322BE">
      <w:pPr>
        <w:pStyle w:val="1"/>
      </w:pPr>
      <w:r w:rsidRPr="007E375B">
        <w:rPr>
          <w:rFonts w:hint="eastAsia"/>
        </w:rPr>
        <w:lastRenderedPageBreak/>
        <w:t>《生物药物分析》课程教学大纲</w:t>
      </w:r>
      <w:bookmarkEnd w:id="249"/>
    </w:p>
    <w:p w14:paraId="1409B521"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color w:val="000000"/>
          <w:sz w:val="28"/>
          <w:szCs w:val="28"/>
        </w:rPr>
      </w:pPr>
      <w:bookmarkStart w:id="250" w:name="_Toc149662372"/>
      <w:r w:rsidRPr="00D72FD2">
        <w:rPr>
          <w:rFonts w:ascii="黑体" w:eastAsia="黑体" w:hAnsi="黑体" w:cs="Times New Roman" w:hint="eastAsia"/>
          <w:color w:val="000000"/>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2756"/>
        <w:gridCol w:w="1525"/>
        <w:gridCol w:w="2868"/>
      </w:tblGrid>
      <w:tr w:rsidR="00D72FD2" w:rsidRPr="00D72FD2" w14:paraId="6DB2CE1F" w14:textId="77777777" w:rsidTr="006B1C7F">
        <w:trPr>
          <w:trHeight w:val="886"/>
          <w:jc w:val="center"/>
        </w:trPr>
        <w:tc>
          <w:tcPr>
            <w:tcW w:w="1668" w:type="dxa"/>
            <w:shd w:val="clear" w:color="auto" w:fill="auto"/>
            <w:vAlign w:val="center"/>
          </w:tcPr>
          <w:p w14:paraId="537668DC"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课程名称</w:t>
            </w:r>
          </w:p>
        </w:tc>
        <w:tc>
          <w:tcPr>
            <w:tcW w:w="2833" w:type="dxa"/>
            <w:shd w:val="clear" w:color="auto" w:fill="auto"/>
            <w:vAlign w:val="center"/>
          </w:tcPr>
          <w:p w14:paraId="00A1B0C5"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生物药物分析</w:t>
            </w:r>
          </w:p>
        </w:tc>
        <w:tc>
          <w:tcPr>
            <w:tcW w:w="1561" w:type="dxa"/>
            <w:shd w:val="clear" w:color="auto" w:fill="auto"/>
            <w:vAlign w:val="center"/>
          </w:tcPr>
          <w:p w14:paraId="560717CF"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课程代码</w:t>
            </w:r>
          </w:p>
        </w:tc>
        <w:tc>
          <w:tcPr>
            <w:tcW w:w="2941" w:type="dxa"/>
            <w:shd w:val="clear" w:color="auto" w:fill="auto"/>
            <w:vAlign w:val="center"/>
          </w:tcPr>
          <w:p w14:paraId="69293A69"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新课</w:t>
            </w:r>
          </w:p>
        </w:tc>
      </w:tr>
      <w:tr w:rsidR="00D72FD2" w:rsidRPr="00D72FD2" w14:paraId="62DD660B" w14:textId="77777777" w:rsidTr="006B1C7F">
        <w:trPr>
          <w:trHeight w:val="829"/>
          <w:jc w:val="center"/>
        </w:trPr>
        <w:tc>
          <w:tcPr>
            <w:tcW w:w="1668" w:type="dxa"/>
            <w:shd w:val="clear" w:color="auto" w:fill="auto"/>
            <w:vAlign w:val="center"/>
          </w:tcPr>
          <w:p w14:paraId="7F9A5E63"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课程类别</w:t>
            </w:r>
          </w:p>
        </w:tc>
        <w:tc>
          <w:tcPr>
            <w:tcW w:w="2833" w:type="dxa"/>
            <w:shd w:val="clear" w:color="auto" w:fill="auto"/>
            <w:vAlign w:val="center"/>
          </w:tcPr>
          <w:p w14:paraId="60240827"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专业教育选修课程</w:t>
            </w:r>
          </w:p>
        </w:tc>
        <w:tc>
          <w:tcPr>
            <w:tcW w:w="1561" w:type="dxa"/>
            <w:shd w:val="clear" w:color="auto" w:fill="auto"/>
            <w:vAlign w:val="center"/>
          </w:tcPr>
          <w:p w14:paraId="6159BAAD"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学时</w:t>
            </w:r>
          </w:p>
          <w:p w14:paraId="4A5B5803"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/学分</w:t>
            </w:r>
          </w:p>
        </w:tc>
        <w:tc>
          <w:tcPr>
            <w:tcW w:w="2941" w:type="dxa"/>
            <w:shd w:val="clear" w:color="auto" w:fill="auto"/>
            <w:vAlign w:val="center"/>
          </w:tcPr>
          <w:p w14:paraId="2D4C4AC6"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16/1</w:t>
            </w:r>
          </w:p>
        </w:tc>
      </w:tr>
      <w:tr w:rsidR="00D72FD2" w:rsidRPr="00D72FD2" w14:paraId="083FAF8A" w14:textId="77777777" w:rsidTr="006B1C7F">
        <w:trPr>
          <w:trHeight w:val="811"/>
          <w:jc w:val="center"/>
        </w:trPr>
        <w:tc>
          <w:tcPr>
            <w:tcW w:w="1668" w:type="dxa"/>
            <w:shd w:val="clear" w:color="auto" w:fill="auto"/>
            <w:vAlign w:val="center"/>
          </w:tcPr>
          <w:p w14:paraId="62A0A536"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开课单位</w:t>
            </w:r>
          </w:p>
        </w:tc>
        <w:tc>
          <w:tcPr>
            <w:tcW w:w="2833" w:type="dxa"/>
            <w:shd w:val="clear" w:color="auto" w:fill="auto"/>
            <w:vAlign w:val="center"/>
          </w:tcPr>
          <w:p w14:paraId="47EEF410"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化工学院</w:t>
            </w:r>
          </w:p>
        </w:tc>
        <w:tc>
          <w:tcPr>
            <w:tcW w:w="1561" w:type="dxa"/>
            <w:shd w:val="clear" w:color="auto" w:fill="auto"/>
            <w:vAlign w:val="center"/>
          </w:tcPr>
          <w:p w14:paraId="3515F5C9"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适用专业</w:t>
            </w:r>
          </w:p>
        </w:tc>
        <w:tc>
          <w:tcPr>
            <w:tcW w:w="2941" w:type="dxa"/>
            <w:shd w:val="clear" w:color="auto" w:fill="auto"/>
            <w:vAlign w:val="center"/>
          </w:tcPr>
          <w:p w14:paraId="2682F00B"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药物分析本科</w:t>
            </w:r>
          </w:p>
        </w:tc>
      </w:tr>
      <w:tr w:rsidR="00D72FD2" w:rsidRPr="00D72FD2" w14:paraId="28FB99F8" w14:textId="77777777" w:rsidTr="006B1C7F">
        <w:trPr>
          <w:trHeight w:val="811"/>
          <w:jc w:val="center"/>
        </w:trPr>
        <w:tc>
          <w:tcPr>
            <w:tcW w:w="1668" w:type="dxa"/>
            <w:shd w:val="clear" w:color="auto" w:fill="auto"/>
            <w:vAlign w:val="center"/>
          </w:tcPr>
          <w:p w14:paraId="0E3DF6EF"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课程负责人</w:t>
            </w:r>
          </w:p>
        </w:tc>
        <w:tc>
          <w:tcPr>
            <w:tcW w:w="7335" w:type="dxa"/>
            <w:gridSpan w:val="3"/>
            <w:shd w:val="clear" w:color="auto" w:fill="auto"/>
            <w:vAlign w:val="center"/>
          </w:tcPr>
          <w:p w14:paraId="7A36F255"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李丽</w:t>
            </w:r>
            <w:proofErr w:type="gramStart"/>
            <w:r w:rsidRPr="00D72FD2">
              <w:rPr>
                <w:rFonts w:ascii="宋体" w:eastAsia="宋体" w:hAnsi="宋体" w:cs="Times New Roman" w:hint="eastAsia"/>
                <w:color w:val="000000"/>
                <w:sz w:val="24"/>
                <w:szCs w:val="24"/>
              </w:rPr>
              <w:t>丽</w:t>
            </w:r>
            <w:proofErr w:type="gramEnd"/>
          </w:p>
        </w:tc>
      </w:tr>
      <w:tr w:rsidR="00D72FD2" w:rsidRPr="00D72FD2" w14:paraId="046A32B2" w14:textId="77777777" w:rsidTr="006B1C7F">
        <w:trPr>
          <w:trHeight w:val="836"/>
          <w:jc w:val="center"/>
        </w:trPr>
        <w:tc>
          <w:tcPr>
            <w:tcW w:w="1668" w:type="dxa"/>
            <w:shd w:val="clear" w:color="auto" w:fill="auto"/>
            <w:vAlign w:val="center"/>
          </w:tcPr>
          <w:p w14:paraId="574E98EF"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大纲撰写人</w:t>
            </w:r>
          </w:p>
        </w:tc>
        <w:tc>
          <w:tcPr>
            <w:tcW w:w="2833" w:type="dxa"/>
            <w:shd w:val="clear" w:color="auto" w:fill="auto"/>
            <w:vAlign w:val="center"/>
          </w:tcPr>
          <w:p w14:paraId="7D4DDA7E"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李丽</w:t>
            </w:r>
            <w:proofErr w:type="gramStart"/>
            <w:r w:rsidRPr="00D72FD2">
              <w:rPr>
                <w:rFonts w:ascii="宋体" w:eastAsia="宋体" w:hAnsi="宋体" w:cs="Times New Roman" w:hint="eastAsia"/>
                <w:color w:val="000000"/>
                <w:sz w:val="24"/>
                <w:szCs w:val="24"/>
              </w:rPr>
              <w:t>丽</w:t>
            </w:r>
            <w:proofErr w:type="gramEnd"/>
          </w:p>
        </w:tc>
        <w:tc>
          <w:tcPr>
            <w:tcW w:w="1561" w:type="dxa"/>
            <w:shd w:val="clear" w:color="auto" w:fill="auto"/>
            <w:vAlign w:val="center"/>
          </w:tcPr>
          <w:p w14:paraId="2EC41387"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大纲审核人</w:t>
            </w:r>
          </w:p>
        </w:tc>
        <w:tc>
          <w:tcPr>
            <w:tcW w:w="2941" w:type="dxa"/>
            <w:shd w:val="clear" w:color="auto" w:fill="auto"/>
            <w:vAlign w:val="center"/>
          </w:tcPr>
          <w:p w14:paraId="332DF058" w14:textId="77777777" w:rsidR="00D72FD2" w:rsidRPr="00D72FD2" w:rsidRDefault="00D72FD2" w:rsidP="00D72FD2">
            <w:pPr>
              <w:spacing w:line="440" w:lineRule="exact"/>
              <w:jc w:val="center"/>
              <w:rPr>
                <w:rFonts w:ascii="宋体" w:eastAsia="宋体" w:hAnsi="宋体" w:cs="Times New Roman"/>
                <w:color w:val="000000"/>
                <w:sz w:val="24"/>
                <w:szCs w:val="24"/>
              </w:rPr>
            </w:pPr>
            <w:proofErr w:type="gramStart"/>
            <w:r w:rsidRPr="00D72FD2">
              <w:rPr>
                <w:rFonts w:ascii="宋体" w:eastAsia="宋体" w:hAnsi="宋体" w:cs="Times New Roman" w:hint="eastAsia"/>
                <w:color w:val="000000"/>
                <w:sz w:val="24"/>
                <w:szCs w:val="24"/>
              </w:rPr>
              <w:t>冯</w:t>
            </w:r>
            <w:proofErr w:type="gramEnd"/>
            <w:r w:rsidRPr="00D72FD2">
              <w:rPr>
                <w:rFonts w:ascii="宋体" w:eastAsia="宋体" w:hAnsi="宋体" w:cs="Times New Roman" w:hint="eastAsia"/>
                <w:color w:val="000000"/>
                <w:sz w:val="24"/>
                <w:szCs w:val="24"/>
              </w:rPr>
              <w:t>小龙</w:t>
            </w:r>
          </w:p>
        </w:tc>
      </w:tr>
      <w:tr w:rsidR="00D72FD2" w:rsidRPr="00D72FD2" w14:paraId="09B55189" w14:textId="77777777" w:rsidTr="006B1C7F">
        <w:trPr>
          <w:trHeight w:val="848"/>
          <w:jc w:val="center"/>
        </w:trPr>
        <w:tc>
          <w:tcPr>
            <w:tcW w:w="1668" w:type="dxa"/>
            <w:shd w:val="clear" w:color="auto" w:fill="auto"/>
            <w:vAlign w:val="center"/>
          </w:tcPr>
          <w:p w14:paraId="79277827"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先修课程</w:t>
            </w:r>
          </w:p>
        </w:tc>
        <w:tc>
          <w:tcPr>
            <w:tcW w:w="7335" w:type="dxa"/>
            <w:gridSpan w:val="3"/>
            <w:shd w:val="clear" w:color="auto" w:fill="auto"/>
            <w:vAlign w:val="center"/>
          </w:tcPr>
          <w:p w14:paraId="7A3977C9"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分析化学 仪器分析 药物分析</w:t>
            </w:r>
          </w:p>
        </w:tc>
      </w:tr>
      <w:tr w:rsidR="00D72FD2" w:rsidRPr="00D72FD2" w14:paraId="2DE19916" w14:textId="77777777" w:rsidTr="006B1C7F">
        <w:trPr>
          <w:trHeight w:val="848"/>
          <w:jc w:val="center"/>
        </w:trPr>
        <w:tc>
          <w:tcPr>
            <w:tcW w:w="1668" w:type="dxa"/>
            <w:shd w:val="clear" w:color="auto" w:fill="auto"/>
            <w:vAlign w:val="center"/>
          </w:tcPr>
          <w:p w14:paraId="0C059D76"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课程网址</w:t>
            </w:r>
          </w:p>
        </w:tc>
        <w:tc>
          <w:tcPr>
            <w:tcW w:w="7335" w:type="dxa"/>
            <w:gridSpan w:val="3"/>
            <w:shd w:val="clear" w:color="auto" w:fill="auto"/>
            <w:vAlign w:val="center"/>
          </w:tcPr>
          <w:p w14:paraId="4E765D2E" w14:textId="77777777" w:rsidR="00D72FD2" w:rsidRPr="00D72FD2" w:rsidRDefault="00D72FD2" w:rsidP="00D72FD2">
            <w:pPr>
              <w:spacing w:line="440" w:lineRule="exact"/>
              <w:rPr>
                <w:rFonts w:ascii="宋体" w:eastAsia="宋体" w:hAnsi="宋体" w:cs="Times New Roman"/>
                <w:color w:val="000000"/>
                <w:sz w:val="24"/>
                <w:szCs w:val="24"/>
              </w:rPr>
            </w:pPr>
          </w:p>
        </w:tc>
      </w:tr>
    </w:tbl>
    <w:p w14:paraId="42BA9FA2"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二、课程学习目标及与毕业要求的对应关系</w:t>
      </w:r>
    </w:p>
    <w:p w14:paraId="0C8ADE00"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（一）课程学习目标</w:t>
      </w:r>
    </w:p>
    <w:p w14:paraId="467358CD" w14:textId="77777777" w:rsidR="00D72FD2" w:rsidRPr="00D72FD2" w:rsidRDefault="00D72FD2" w:rsidP="00D72FD2">
      <w:pPr>
        <w:widowControl/>
        <w:spacing w:line="440" w:lineRule="exact"/>
        <w:ind w:firstLineChars="200" w:firstLine="480"/>
        <w:jc w:val="left"/>
        <w:rPr>
          <w:rFonts w:ascii="Helvetica" w:eastAsia="宋体" w:hAnsi="Helvetica" w:cs="Times New Roman"/>
          <w:color w:val="000000"/>
          <w:kern w:val="0"/>
          <w:sz w:val="24"/>
          <w:szCs w:val="24"/>
        </w:rPr>
      </w:pPr>
      <w:r w:rsidRPr="00D72FD2">
        <w:rPr>
          <w:rFonts w:ascii="Helvetica" w:eastAsia="宋体" w:hAnsi="Helvetica" w:cs="Times New Roman" w:hint="eastAsia"/>
          <w:color w:val="000000"/>
          <w:kern w:val="0"/>
          <w:sz w:val="24"/>
          <w:szCs w:val="24"/>
        </w:rPr>
        <w:t>本课程融理论与实践教学为一体开展教学活动，通过对生物药物及其制剂的质量控制方法的教学，使学生较系统地掌握本课程的基础理论、基本知识与实际技能，为学生将来从事药品生产、分析检测、医疗服务、临床应用等方面提供了发展平台。</w:t>
      </w:r>
    </w:p>
    <w:p w14:paraId="52229028" w14:textId="77777777" w:rsidR="00D72FD2" w:rsidRPr="00D72FD2" w:rsidRDefault="00D72FD2" w:rsidP="00D72FD2">
      <w:pPr>
        <w:widowControl/>
        <w:spacing w:line="440" w:lineRule="exact"/>
        <w:ind w:firstLineChars="200" w:firstLine="480"/>
        <w:jc w:val="left"/>
        <w:rPr>
          <w:rFonts w:ascii="Helvetica" w:eastAsia="宋体" w:hAnsi="Helvetica" w:cs="Times New Roman"/>
          <w:color w:val="000000"/>
          <w:kern w:val="0"/>
          <w:sz w:val="24"/>
          <w:szCs w:val="24"/>
        </w:rPr>
      </w:pPr>
      <w:r w:rsidRPr="00D72FD2">
        <w:rPr>
          <w:rFonts w:ascii="Helvetica" w:eastAsia="宋体" w:hAnsi="Helvetica" w:cs="Times New Roman" w:hint="eastAsia"/>
          <w:color w:val="000000"/>
          <w:kern w:val="0"/>
          <w:sz w:val="24"/>
          <w:szCs w:val="24"/>
        </w:rPr>
        <w:t>本课程强调从掌握生物药物的基本概念及范畴、安全性检查与微生物限度检查、具体生物药物的质量控制等方面逐步深入展开教学。生物药物分析是应用微生物学、分子生物学、免疫学、生物化学、有机化学、数学、分析化学、生化工程等学科的理论及技术，检测和研究各种生物药物及其制剂的质量控制方法的学科，是理论性和实践性都很强的应用型学科。生物药物的研究范畴包括从动物、植物、微生物等生物原料制取的各种天然生物活性物质及其人工合成或半合成的天然物质类似物。因此，抗生素、生化药物、生物制品等均属生物药物的范畴，也包括近年高</w:t>
      </w:r>
      <w:r w:rsidRPr="00D72FD2">
        <w:rPr>
          <w:rFonts w:ascii="Helvetica" w:eastAsia="宋体" w:hAnsi="Helvetica" w:cs="Times New Roman" w:hint="eastAsia"/>
          <w:color w:val="000000"/>
          <w:kern w:val="0"/>
          <w:sz w:val="24"/>
          <w:szCs w:val="24"/>
        </w:rPr>
        <w:lastRenderedPageBreak/>
        <w:t>速发展的生物技术药物（基因工程药物）。生物药物与化学药物相比，其质量控制的方法有很多不同。通过生物药物分析课程的教学，使学生掌握生物药物特有的一些分析思路和分析手段，能够设计生物药物的标准规格，培养学生独立思考工作的能力。</w:t>
      </w:r>
    </w:p>
    <w:p w14:paraId="130126A6" w14:textId="77777777" w:rsidR="00D72FD2" w:rsidRPr="00D72FD2" w:rsidRDefault="00D72FD2" w:rsidP="00D72FD2">
      <w:pPr>
        <w:widowControl/>
        <w:spacing w:line="440" w:lineRule="exact"/>
        <w:ind w:firstLineChars="200" w:firstLine="480"/>
        <w:jc w:val="left"/>
        <w:rPr>
          <w:rFonts w:ascii="Helvetica" w:eastAsia="宋体" w:hAnsi="Helvetica" w:cs="Times New Roman"/>
          <w:color w:val="000000"/>
          <w:kern w:val="0"/>
          <w:sz w:val="24"/>
          <w:szCs w:val="24"/>
        </w:rPr>
      </w:pPr>
      <w:r w:rsidRPr="00D72FD2">
        <w:rPr>
          <w:rFonts w:ascii="Helvetica" w:eastAsia="宋体" w:hAnsi="Helvetica" w:cs="Times New Roman" w:hint="eastAsia"/>
          <w:color w:val="000000"/>
          <w:kern w:val="0"/>
          <w:sz w:val="24"/>
          <w:szCs w:val="24"/>
        </w:rPr>
        <w:t>通过本课程的学习，使学生达到以下目标：</w:t>
      </w:r>
    </w:p>
    <w:p w14:paraId="2E347929" w14:textId="77777777" w:rsidR="00D72FD2" w:rsidRPr="00D72FD2" w:rsidRDefault="00D72FD2" w:rsidP="00D72FD2">
      <w:pPr>
        <w:widowControl/>
        <w:spacing w:line="440" w:lineRule="exact"/>
        <w:ind w:firstLineChars="200" w:firstLine="480"/>
        <w:jc w:val="left"/>
        <w:rPr>
          <w:rFonts w:ascii="Helvetica" w:eastAsia="宋体" w:hAnsi="Helvetica" w:cs="Times New Roman"/>
          <w:b/>
          <w:bCs/>
          <w:color w:val="000000"/>
          <w:kern w:val="0"/>
          <w:sz w:val="24"/>
          <w:szCs w:val="24"/>
        </w:rPr>
      </w:pPr>
      <w:r w:rsidRPr="00D72FD2">
        <w:rPr>
          <w:rFonts w:ascii="Helvetica" w:eastAsia="宋体" w:hAnsi="Helvetica" w:cs="Times New Roman" w:hint="eastAsia"/>
          <w:color w:val="000000"/>
          <w:kern w:val="0"/>
          <w:sz w:val="24"/>
          <w:szCs w:val="24"/>
        </w:rPr>
        <w:t xml:space="preserve">1. </w:t>
      </w:r>
      <w:r w:rsidRPr="00D72FD2">
        <w:rPr>
          <w:rFonts w:ascii="Helvetica" w:eastAsia="宋体" w:hAnsi="Helvetica" w:cs="Times New Roman" w:hint="eastAsia"/>
          <w:color w:val="000000"/>
          <w:kern w:val="0"/>
          <w:sz w:val="24"/>
          <w:szCs w:val="24"/>
        </w:rPr>
        <w:t>掌握与药物分析学相关的基本理论与方法，掌握药物分析学各学科的基础知识、基本理论和实验技能，具备药物分析学相关方面的知识与能力。</w:t>
      </w:r>
      <w:r w:rsidRPr="00D72FD2">
        <w:rPr>
          <w:rFonts w:ascii="Helvetica" w:eastAsia="宋体" w:hAnsi="Helvetica" w:cs="Times New Roman"/>
          <w:b/>
          <w:bCs/>
          <w:color w:val="000000"/>
          <w:kern w:val="0"/>
          <w:sz w:val="24"/>
          <w:szCs w:val="24"/>
        </w:rPr>
        <w:t>【毕业要求</w:t>
      </w:r>
      <w:r w:rsidRPr="00D72FD2">
        <w:rPr>
          <w:rFonts w:ascii="Helvetica" w:eastAsia="宋体" w:hAnsi="Helvetica" w:cs="Times New Roman" w:hint="eastAsia"/>
          <w:b/>
          <w:bCs/>
          <w:color w:val="000000"/>
          <w:kern w:val="0"/>
          <w:sz w:val="24"/>
          <w:szCs w:val="24"/>
        </w:rPr>
        <w:t>1</w:t>
      </w:r>
      <w:r w:rsidRPr="00D72FD2">
        <w:rPr>
          <w:rFonts w:ascii="Helvetica" w:eastAsia="宋体" w:hAnsi="Helvetica" w:cs="Times New Roman" w:hint="eastAsia"/>
          <w:b/>
          <w:bCs/>
          <w:color w:val="000000"/>
          <w:kern w:val="0"/>
          <w:sz w:val="24"/>
          <w:szCs w:val="24"/>
        </w:rPr>
        <w:t>药学知识</w:t>
      </w:r>
      <w:r w:rsidRPr="00D72FD2">
        <w:rPr>
          <w:rFonts w:ascii="Helvetica" w:eastAsia="宋体" w:hAnsi="Helvetica" w:cs="Times New Roman"/>
          <w:b/>
          <w:bCs/>
          <w:color w:val="000000"/>
          <w:kern w:val="0"/>
          <w:sz w:val="24"/>
          <w:szCs w:val="24"/>
        </w:rPr>
        <w:t>】</w:t>
      </w:r>
    </w:p>
    <w:p w14:paraId="2E18DEFB" w14:textId="77777777" w:rsidR="00D72FD2" w:rsidRPr="00D72FD2" w:rsidRDefault="00D72FD2" w:rsidP="00D72FD2">
      <w:pPr>
        <w:widowControl/>
        <w:spacing w:line="440" w:lineRule="exact"/>
        <w:ind w:firstLineChars="200" w:firstLine="480"/>
        <w:jc w:val="left"/>
        <w:rPr>
          <w:rFonts w:ascii="Helvetica" w:eastAsia="宋体" w:hAnsi="Helvetica" w:cs="Times New Roman"/>
          <w:b/>
          <w:bCs/>
          <w:color w:val="000000"/>
          <w:kern w:val="0"/>
          <w:sz w:val="24"/>
          <w:szCs w:val="24"/>
        </w:rPr>
      </w:pPr>
      <w:r w:rsidRPr="00D72FD2">
        <w:rPr>
          <w:rFonts w:ascii="Helvetica" w:eastAsia="宋体" w:hAnsi="Helvetica" w:cs="Times New Roman" w:hint="eastAsia"/>
          <w:color w:val="000000"/>
          <w:kern w:val="0"/>
          <w:sz w:val="24"/>
          <w:szCs w:val="24"/>
        </w:rPr>
        <w:t xml:space="preserve">2. </w:t>
      </w:r>
      <w:r w:rsidRPr="00D72FD2">
        <w:rPr>
          <w:rFonts w:ascii="Helvetica" w:eastAsia="宋体" w:hAnsi="Helvetica" w:cs="Times New Roman" w:hint="eastAsia"/>
          <w:color w:val="000000"/>
          <w:kern w:val="0"/>
          <w:sz w:val="24"/>
          <w:szCs w:val="24"/>
        </w:rPr>
        <w:t>能够基于上述药物分析学相关知识，应用基本原理，通过文献研究，识别与提炼、定义和分析药物分析学相关领域实际问题，以获得有效结论。</w:t>
      </w:r>
      <w:r w:rsidRPr="00D72FD2">
        <w:rPr>
          <w:rFonts w:ascii="Helvetica" w:eastAsia="宋体" w:hAnsi="Helvetica" w:cs="Times New Roman"/>
          <w:b/>
          <w:bCs/>
          <w:color w:val="000000"/>
          <w:kern w:val="0"/>
          <w:sz w:val="24"/>
          <w:szCs w:val="24"/>
        </w:rPr>
        <w:t>【毕业要求</w:t>
      </w:r>
      <w:r w:rsidRPr="00D72FD2">
        <w:rPr>
          <w:rFonts w:ascii="Helvetica" w:eastAsia="宋体" w:hAnsi="Helvetica" w:cs="Times New Roman" w:hint="eastAsia"/>
          <w:b/>
          <w:bCs/>
          <w:color w:val="000000"/>
          <w:kern w:val="0"/>
          <w:sz w:val="24"/>
          <w:szCs w:val="24"/>
        </w:rPr>
        <w:t>2</w:t>
      </w:r>
      <w:r w:rsidRPr="00D72FD2">
        <w:rPr>
          <w:rFonts w:ascii="Helvetica" w:eastAsia="宋体" w:hAnsi="Helvetica" w:cs="Times New Roman" w:hint="eastAsia"/>
          <w:b/>
          <w:bCs/>
          <w:color w:val="000000"/>
          <w:kern w:val="0"/>
          <w:sz w:val="24"/>
          <w:szCs w:val="24"/>
        </w:rPr>
        <w:t>问题分析</w:t>
      </w:r>
      <w:r w:rsidRPr="00D72FD2">
        <w:rPr>
          <w:rFonts w:ascii="Helvetica" w:eastAsia="宋体" w:hAnsi="Helvetica" w:cs="Times New Roman"/>
          <w:b/>
          <w:bCs/>
          <w:color w:val="000000"/>
          <w:kern w:val="0"/>
          <w:sz w:val="24"/>
          <w:szCs w:val="24"/>
        </w:rPr>
        <w:t>】</w:t>
      </w:r>
    </w:p>
    <w:p w14:paraId="0B2F08CC" w14:textId="77777777" w:rsidR="00D72FD2" w:rsidRPr="00D72FD2" w:rsidRDefault="00D72FD2" w:rsidP="00D72FD2">
      <w:pPr>
        <w:widowControl/>
        <w:spacing w:line="440" w:lineRule="exact"/>
        <w:ind w:firstLineChars="200" w:firstLine="480"/>
        <w:jc w:val="left"/>
        <w:rPr>
          <w:rFonts w:ascii="Helvetica" w:eastAsia="宋体" w:hAnsi="Helvetica" w:cs="Times New Roman"/>
          <w:b/>
          <w:bCs/>
          <w:color w:val="000000"/>
          <w:kern w:val="0"/>
          <w:sz w:val="24"/>
          <w:szCs w:val="24"/>
        </w:rPr>
      </w:pPr>
      <w:r w:rsidRPr="00D72FD2">
        <w:rPr>
          <w:rFonts w:ascii="Helvetica" w:eastAsia="宋体" w:hAnsi="Helvetica" w:cs="Times New Roman" w:hint="eastAsia"/>
          <w:color w:val="000000"/>
          <w:kern w:val="0"/>
          <w:sz w:val="24"/>
          <w:szCs w:val="24"/>
        </w:rPr>
        <w:t>3</w:t>
      </w:r>
      <w:r w:rsidRPr="00D72FD2">
        <w:rPr>
          <w:rFonts w:ascii="Helvetica" w:eastAsia="宋体" w:hAnsi="Helvetica" w:cs="Times New Roman"/>
          <w:color w:val="000000"/>
          <w:kern w:val="0"/>
          <w:sz w:val="24"/>
          <w:szCs w:val="24"/>
        </w:rPr>
        <w:t>.</w:t>
      </w:r>
      <w:r w:rsidRPr="00D72FD2">
        <w:rPr>
          <w:rFonts w:ascii="Helvetica" w:eastAsia="宋体" w:hAnsi="Helvetica" w:cs="Times New Roman" w:hint="eastAsia"/>
          <w:color w:val="000000"/>
          <w:kern w:val="0"/>
          <w:sz w:val="24"/>
          <w:szCs w:val="24"/>
        </w:rPr>
        <w:t xml:space="preserve"> </w:t>
      </w:r>
      <w:r w:rsidRPr="00D72FD2">
        <w:rPr>
          <w:rFonts w:ascii="Helvetica" w:eastAsia="宋体" w:hAnsi="Helvetica" w:cs="Times New Roman" w:hint="eastAsia"/>
          <w:color w:val="000000"/>
          <w:kern w:val="0"/>
          <w:sz w:val="24"/>
          <w:szCs w:val="24"/>
        </w:rPr>
        <w:t>能够根据药物分析学相关知识，在认识和分析药学领域实际问题的基础上，正确设计和开发相应解决方案，并能够在设计环节中体现创新意识。</w:t>
      </w:r>
      <w:r w:rsidRPr="00D72FD2">
        <w:rPr>
          <w:rFonts w:ascii="Helvetica" w:eastAsia="宋体" w:hAnsi="Helvetica" w:cs="Times New Roman"/>
          <w:b/>
          <w:bCs/>
          <w:color w:val="000000"/>
          <w:kern w:val="0"/>
          <w:sz w:val="24"/>
          <w:szCs w:val="24"/>
        </w:rPr>
        <w:t>【毕业要求</w:t>
      </w:r>
      <w:r w:rsidRPr="00D72FD2">
        <w:rPr>
          <w:rFonts w:ascii="Helvetica" w:eastAsia="宋体" w:hAnsi="Helvetica" w:cs="Times New Roman" w:hint="eastAsia"/>
          <w:b/>
          <w:bCs/>
          <w:color w:val="000000"/>
          <w:kern w:val="0"/>
          <w:sz w:val="24"/>
          <w:szCs w:val="24"/>
        </w:rPr>
        <w:t>3</w:t>
      </w:r>
      <w:r w:rsidRPr="00D72FD2">
        <w:rPr>
          <w:rFonts w:ascii="Helvetica" w:eastAsia="宋体" w:hAnsi="Helvetica" w:cs="Times New Roman" w:hint="eastAsia"/>
          <w:b/>
          <w:bCs/>
          <w:color w:val="000000"/>
          <w:kern w:val="0"/>
          <w:sz w:val="24"/>
          <w:szCs w:val="24"/>
        </w:rPr>
        <w:t>设计</w:t>
      </w:r>
      <w:r w:rsidRPr="00D72FD2">
        <w:rPr>
          <w:rFonts w:ascii="Helvetica" w:eastAsia="宋体" w:hAnsi="Helvetica" w:cs="Times New Roman" w:hint="eastAsia"/>
          <w:b/>
          <w:bCs/>
          <w:color w:val="000000"/>
          <w:kern w:val="0"/>
          <w:sz w:val="24"/>
          <w:szCs w:val="24"/>
        </w:rPr>
        <w:t>/</w:t>
      </w:r>
      <w:r w:rsidRPr="00D72FD2">
        <w:rPr>
          <w:rFonts w:ascii="Helvetica" w:eastAsia="宋体" w:hAnsi="Helvetica" w:cs="Times New Roman" w:hint="eastAsia"/>
          <w:b/>
          <w:bCs/>
          <w:color w:val="000000"/>
          <w:kern w:val="0"/>
          <w:sz w:val="24"/>
          <w:szCs w:val="24"/>
        </w:rPr>
        <w:t>开发解决方案</w:t>
      </w:r>
      <w:r w:rsidRPr="00D72FD2">
        <w:rPr>
          <w:rFonts w:ascii="Helvetica" w:eastAsia="宋体" w:hAnsi="Helvetica" w:cs="Times New Roman"/>
          <w:b/>
          <w:bCs/>
          <w:color w:val="000000"/>
          <w:kern w:val="0"/>
          <w:sz w:val="24"/>
          <w:szCs w:val="24"/>
        </w:rPr>
        <w:t>】</w:t>
      </w:r>
    </w:p>
    <w:p w14:paraId="267123C5"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D72FD2" w:rsidRPr="00D72FD2" w14:paraId="3583AAD2" w14:textId="77777777" w:rsidTr="006B1C7F">
        <w:trPr>
          <w:trHeight w:val="815"/>
          <w:jc w:val="center"/>
        </w:trPr>
        <w:tc>
          <w:tcPr>
            <w:tcW w:w="1676" w:type="dxa"/>
            <w:vAlign w:val="center"/>
          </w:tcPr>
          <w:p w14:paraId="5D76161B" w14:textId="77777777" w:rsidR="00D72FD2" w:rsidRPr="00D72FD2" w:rsidRDefault="00D72FD2" w:rsidP="00D72FD2">
            <w:pPr>
              <w:spacing w:line="440" w:lineRule="exact"/>
              <w:jc w:val="center"/>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毕业要求</w:t>
            </w:r>
          </w:p>
        </w:tc>
        <w:tc>
          <w:tcPr>
            <w:tcW w:w="5534" w:type="dxa"/>
            <w:vAlign w:val="center"/>
          </w:tcPr>
          <w:p w14:paraId="163AE5F9" w14:textId="77777777" w:rsidR="00D72FD2" w:rsidRPr="00D72FD2" w:rsidRDefault="00D72FD2" w:rsidP="00D72FD2">
            <w:pPr>
              <w:spacing w:line="440" w:lineRule="exact"/>
              <w:jc w:val="center"/>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毕业要求指标点</w:t>
            </w:r>
          </w:p>
        </w:tc>
        <w:tc>
          <w:tcPr>
            <w:tcW w:w="1959" w:type="dxa"/>
            <w:vAlign w:val="center"/>
          </w:tcPr>
          <w:p w14:paraId="6C9544F7" w14:textId="77777777" w:rsidR="00D72FD2" w:rsidRPr="00D72FD2" w:rsidRDefault="00D72FD2" w:rsidP="00D72FD2">
            <w:pPr>
              <w:spacing w:line="440" w:lineRule="exact"/>
              <w:jc w:val="center"/>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课程目标</w:t>
            </w:r>
          </w:p>
        </w:tc>
      </w:tr>
      <w:tr w:rsidR="00D72FD2" w:rsidRPr="00D72FD2" w14:paraId="254B683F" w14:textId="77777777" w:rsidTr="006B1C7F">
        <w:trPr>
          <w:jc w:val="center"/>
        </w:trPr>
        <w:tc>
          <w:tcPr>
            <w:tcW w:w="1676" w:type="dxa"/>
            <w:vAlign w:val="center"/>
          </w:tcPr>
          <w:p w14:paraId="173D1422" w14:textId="77777777" w:rsidR="00D72FD2" w:rsidRPr="00D72FD2" w:rsidRDefault="00D72FD2" w:rsidP="00D72FD2">
            <w:pPr>
              <w:spacing w:line="440" w:lineRule="exact"/>
              <w:jc w:val="center"/>
              <w:rPr>
                <w:rFonts w:ascii="Times New Roman" w:eastAsia="宋体" w:hAnsi="Times New Roman" w:cs="Times New Roman"/>
                <w:color w:val="000000"/>
                <w:sz w:val="24"/>
                <w:szCs w:val="24"/>
              </w:rPr>
            </w:pPr>
            <w:r w:rsidRPr="00D72FD2">
              <w:rPr>
                <w:rFonts w:ascii="Times New Roman" w:eastAsia="宋体" w:hAnsi="Times New Roman" w:cs="Times New Roman" w:hint="eastAsia"/>
                <w:color w:val="000000"/>
                <w:sz w:val="24"/>
                <w:szCs w:val="24"/>
              </w:rPr>
              <w:t xml:space="preserve">1. </w:t>
            </w:r>
            <w:r w:rsidRPr="00D72FD2">
              <w:rPr>
                <w:rFonts w:ascii="Times New Roman" w:eastAsia="宋体" w:hAnsi="Times New Roman" w:cs="Times New Roman" w:hint="eastAsia"/>
                <w:color w:val="000000"/>
                <w:sz w:val="24"/>
                <w:szCs w:val="24"/>
              </w:rPr>
              <w:t>药学知识</w:t>
            </w:r>
          </w:p>
        </w:tc>
        <w:tc>
          <w:tcPr>
            <w:tcW w:w="5534" w:type="dxa"/>
            <w:vAlign w:val="center"/>
          </w:tcPr>
          <w:p w14:paraId="1D3A07AA"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1.3掌握药物分析、中药分析、体内药物分析、药剂学、药理学和药物化学等药学专业理论知识、科学研究方法和实验技能。（H）</w:t>
            </w:r>
          </w:p>
        </w:tc>
        <w:tc>
          <w:tcPr>
            <w:tcW w:w="1959" w:type="dxa"/>
            <w:vAlign w:val="center"/>
          </w:tcPr>
          <w:p w14:paraId="5644B7C8"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课程目标1</w:t>
            </w:r>
          </w:p>
        </w:tc>
      </w:tr>
      <w:tr w:rsidR="00D72FD2" w:rsidRPr="00D72FD2" w14:paraId="74A9031C" w14:textId="77777777" w:rsidTr="006B1C7F">
        <w:trPr>
          <w:jc w:val="center"/>
        </w:trPr>
        <w:tc>
          <w:tcPr>
            <w:tcW w:w="1676" w:type="dxa"/>
            <w:vAlign w:val="center"/>
          </w:tcPr>
          <w:p w14:paraId="58EB04A3" w14:textId="77777777" w:rsidR="00D72FD2" w:rsidRPr="00D72FD2" w:rsidRDefault="00D72FD2" w:rsidP="00D72FD2">
            <w:pPr>
              <w:spacing w:line="440" w:lineRule="exact"/>
              <w:jc w:val="center"/>
              <w:rPr>
                <w:rFonts w:ascii="Times New Roman" w:eastAsia="宋体" w:hAnsi="Times New Roman" w:cs="Times New Roman"/>
                <w:color w:val="000000"/>
                <w:sz w:val="24"/>
                <w:szCs w:val="24"/>
              </w:rPr>
            </w:pPr>
            <w:r w:rsidRPr="00D72FD2">
              <w:rPr>
                <w:rFonts w:ascii="Times New Roman" w:eastAsia="宋体" w:hAnsi="Times New Roman" w:cs="Times New Roman" w:hint="eastAsia"/>
                <w:color w:val="000000"/>
                <w:sz w:val="24"/>
                <w:szCs w:val="24"/>
              </w:rPr>
              <w:t xml:space="preserve">2. </w:t>
            </w:r>
            <w:r w:rsidRPr="00D72FD2">
              <w:rPr>
                <w:rFonts w:ascii="Times New Roman" w:eastAsia="宋体" w:hAnsi="Times New Roman" w:cs="Times New Roman" w:hint="eastAsia"/>
                <w:color w:val="000000"/>
                <w:sz w:val="24"/>
                <w:szCs w:val="24"/>
              </w:rPr>
              <w:t>问题分析</w:t>
            </w:r>
          </w:p>
        </w:tc>
        <w:tc>
          <w:tcPr>
            <w:tcW w:w="5534" w:type="dxa"/>
            <w:vAlign w:val="center"/>
          </w:tcPr>
          <w:p w14:paraId="4B1DD38E"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2.1能够运用数学、化学、药学基本原理，识别、定义药物分析学的实践问题。（L）</w:t>
            </w:r>
          </w:p>
        </w:tc>
        <w:tc>
          <w:tcPr>
            <w:tcW w:w="1959" w:type="dxa"/>
            <w:vAlign w:val="center"/>
          </w:tcPr>
          <w:p w14:paraId="5249CF78"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课程目标2</w:t>
            </w:r>
          </w:p>
        </w:tc>
      </w:tr>
      <w:tr w:rsidR="00D72FD2" w:rsidRPr="00D72FD2" w14:paraId="25C38903" w14:textId="77777777" w:rsidTr="006B1C7F">
        <w:trPr>
          <w:jc w:val="center"/>
        </w:trPr>
        <w:tc>
          <w:tcPr>
            <w:tcW w:w="1676" w:type="dxa"/>
            <w:vAlign w:val="center"/>
          </w:tcPr>
          <w:p w14:paraId="12E9452E" w14:textId="77777777" w:rsidR="00D72FD2" w:rsidRPr="00D72FD2" w:rsidRDefault="00D72FD2" w:rsidP="00D72FD2">
            <w:pPr>
              <w:spacing w:line="440" w:lineRule="exact"/>
              <w:jc w:val="center"/>
              <w:rPr>
                <w:rFonts w:ascii="Times New Roman" w:eastAsia="宋体" w:hAnsi="Times New Roman" w:cs="Times New Roman"/>
                <w:color w:val="000000"/>
                <w:sz w:val="24"/>
                <w:szCs w:val="24"/>
              </w:rPr>
            </w:pPr>
            <w:r w:rsidRPr="00D72FD2">
              <w:rPr>
                <w:rFonts w:ascii="Times New Roman" w:eastAsia="宋体" w:hAnsi="Times New Roman" w:cs="Times New Roman" w:hint="eastAsia"/>
                <w:color w:val="000000"/>
                <w:sz w:val="24"/>
                <w:szCs w:val="24"/>
              </w:rPr>
              <w:t xml:space="preserve">3. </w:t>
            </w:r>
            <w:r w:rsidRPr="00D72FD2">
              <w:rPr>
                <w:rFonts w:ascii="Times New Roman" w:eastAsia="宋体" w:hAnsi="Times New Roman" w:cs="Times New Roman" w:hint="eastAsia"/>
                <w:color w:val="000000"/>
                <w:sz w:val="24"/>
                <w:szCs w:val="24"/>
              </w:rPr>
              <w:t>设计</w:t>
            </w:r>
            <w:r w:rsidRPr="00D72FD2">
              <w:rPr>
                <w:rFonts w:ascii="Times New Roman" w:eastAsia="宋体" w:hAnsi="Times New Roman" w:cs="Times New Roman" w:hint="eastAsia"/>
                <w:color w:val="000000"/>
                <w:sz w:val="24"/>
                <w:szCs w:val="24"/>
              </w:rPr>
              <w:t>/</w:t>
            </w:r>
            <w:r w:rsidRPr="00D72FD2">
              <w:rPr>
                <w:rFonts w:ascii="Times New Roman" w:eastAsia="宋体" w:hAnsi="Times New Roman" w:cs="Times New Roman" w:hint="eastAsia"/>
                <w:color w:val="000000"/>
                <w:sz w:val="24"/>
                <w:szCs w:val="24"/>
              </w:rPr>
              <w:t>开发解决方案</w:t>
            </w:r>
          </w:p>
        </w:tc>
        <w:tc>
          <w:tcPr>
            <w:tcW w:w="5534" w:type="dxa"/>
            <w:vAlign w:val="center"/>
          </w:tcPr>
          <w:p w14:paraId="1A0FC0DE"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3.1具有较好的基础理论，能够使用常用的药学实验仪器，具有选择、确定和设计实验方案的能力。（L）</w:t>
            </w:r>
          </w:p>
        </w:tc>
        <w:tc>
          <w:tcPr>
            <w:tcW w:w="1959" w:type="dxa"/>
            <w:vAlign w:val="center"/>
          </w:tcPr>
          <w:p w14:paraId="6966BF3D"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课程目标3</w:t>
            </w:r>
          </w:p>
        </w:tc>
      </w:tr>
    </w:tbl>
    <w:p w14:paraId="596C099C" w14:textId="77777777" w:rsidR="00D72FD2" w:rsidRPr="00D72FD2" w:rsidRDefault="00D72FD2" w:rsidP="00D72FD2">
      <w:pPr>
        <w:rPr>
          <w:rFonts w:ascii="Times New Roman" w:eastAsia="宋体" w:hAnsi="Times New Roman" w:cs="Times New Roman"/>
          <w:color w:val="000000"/>
          <w:szCs w:val="24"/>
        </w:rPr>
      </w:pPr>
    </w:p>
    <w:p w14:paraId="20B9977D"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三、课程学习内容及与课程学习目标的对应关系</w:t>
      </w:r>
    </w:p>
    <w:p w14:paraId="0AF56CE2" w14:textId="77777777" w:rsidR="00D72FD2" w:rsidRPr="00D72FD2" w:rsidRDefault="00D72FD2" w:rsidP="00D72FD2">
      <w:pPr>
        <w:spacing w:beforeLines="50" w:before="156" w:afterLines="50" w:after="156" w:line="440" w:lineRule="exact"/>
        <w:ind w:firstLineChars="200" w:firstLine="562"/>
        <w:rPr>
          <w:rFonts w:ascii="黑体" w:eastAsia="黑体" w:hAnsi="黑体" w:cs="Times New Roman"/>
          <w:b/>
          <w:color w:val="000000"/>
          <w:sz w:val="28"/>
          <w:szCs w:val="28"/>
        </w:rPr>
      </w:pPr>
      <w:r w:rsidRPr="00D72FD2">
        <w:rPr>
          <w:rFonts w:ascii="黑体" w:eastAsia="黑体" w:hAnsi="黑体" w:cs="Times New Roman" w:hint="eastAsia"/>
          <w:b/>
          <w:color w:val="000000"/>
          <w:sz w:val="28"/>
          <w:szCs w:val="28"/>
        </w:rPr>
        <w:t>（一）课程学习内容</w:t>
      </w:r>
    </w:p>
    <w:p w14:paraId="045EBEBF"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第一章  绪论</w:t>
      </w:r>
    </w:p>
    <w:p w14:paraId="41C8520B"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【学习目标】</w:t>
      </w:r>
    </w:p>
    <w:p w14:paraId="3D0053BA" w14:textId="77777777" w:rsidR="00D72FD2" w:rsidRPr="00D72FD2" w:rsidRDefault="00D72FD2">
      <w:pPr>
        <w:numPr>
          <w:ilvl w:val="0"/>
          <w:numId w:val="145"/>
        </w:num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lastRenderedPageBreak/>
        <w:t>认知类目标：了解生物药物分析的任务与发展趋势；了解常用的国外药典内</w:t>
      </w:r>
    </w:p>
    <w:p w14:paraId="5098D758"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容；</w:t>
      </w:r>
    </w:p>
    <w:p w14:paraId="128A1D78" w14:textId="77777777" w:rsidR="00D72FD2" w:rsidRPr="00D72FD2" w:rsidRDefault="00D72FD2">
      <w:pPr>
        <w:numPr>
          <w:ilvl w:val="0"/>
          <w:numId w:val="145"/>
        </w:num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过程与方法类目标：掌握生物药物的定义与特点；掌握生物药物检验的基本</w:t>
      </w:r>
    </w:p>
    <w:p w14:paraId="5799378B"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工作程序与操作规范；熟悉生物药物的质量管理条例。</w:t>
      </w:r>
    </w:p>
    <w:p w14:paraId="2BF4BD1E"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【学习内容】</w:t>
      </w:r>
    </w:p>
    <w:p w14:paraId="6707F7C5"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生物药物分析的性质与任务；</w:t>
      </w:r>
    </w:p>
    <w:p w14:paraId="37B93288"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生物药物的质量标准；</w:t>
      </w:r>
    </w:p>
    <w:p w14:paraId="56D46FCF"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3.全面控制药品质量的科学管理；</w:t>
      </w:r>
    </w:p>
    <w:p w14:paraId="2ED24153"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4.生物药物检验工作的基本程序与标准操作规范。</w:t>
      </w:r>
    </w:p>
    <w:p w14:paraId="5320E0EC"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【重点】</w:t>
      </w:r>
    </w:p>
    <w:p w14:paraId="2F619A6C"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生物药物的定义与特点</w:t>
      </w:r>
    </w:p>
    <w:p w14:paraId="4E6DEF29" w14:textId="77777777" w:rsidR="00D72FD2" w:rsidRPr="00D72FD2" w:rsidRDefault="00D72FD2" w:rsidP="00D72FD2">
      <w:pPr>
        <w:spacing w:line="440" w:lineRule="exact"/>
        <w:ind w:firstLineChars="200" w:firstLine="480"/>
        <w:rPr>
          <w:rFonts w:ascii="宋体" w:eastAsia="宋体" w:hAnsi="宋体" w:cs="Times New Roman"/>
          <w:b/>
          <w:color w:val="000000"/>
          <w:sz w:val="24"/>
          <w:szCs w:val="24"/>
        </w:rPr>
      </w:pPr>
      <w:r w:rsidRPr="00D72FD2">
        <w:rPr>
          <w:rFonts w:ascii="宋体" w:eastAsia="宋体" w:hAnsi="宋体" w:cs="Times New Roman" w:hint="eastAsia"/>
          <w:color w:val="000000"/>
          <w:sz w:val="24"/>
          <w:szCs w:val="24"/>
        </w:rPr>
        <w:t>2</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生物药物检验工作的程序与方法</w:t>
      </w:r>
    </w:p>
    <w:p w14:paraId="6A7CCE22"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【难点】</w:t>
      </w:r>
    </w:p>
    <w:p w14:paraId="50FCF12D" w14:textId="77777777" w:rsidR="00D72FD2" w:rsidRPr="00D72FD2" w:rsidRDefault="00D72FD2" w:rsidP="00D72FD2">
      <w:pPr>
        <w:spacing w:line="440" w:lineRule="exact"/>
        <w:ind w:firstLineChars="200" w:firstLine="480"/>
        <w:rPr>
          <w:rFonts w:ascii="宋体" w:eastAsia="宋体" w:hAnsi="宋体" w:cs="Times New Roman"/>
          <w:b/>
          <w:color w:val="000000"/>
          <w:sz w:val="24"/>
          <w:szCs w:val="24"/>
        </w:rPr>
      </w:pPr>
      <w:r w:rsidRPr="00D72FD2">
        <w:rPr>
          <w:rFonts w:ascii="宋体" w:eastAsia="宋体" w:hAnsi="宋体" w:cs="Times New Roman" w:hint="eastAsia"/>
          <w:color w:val="000000"/>
          <w:sz w:val="24"/>
          <w:szCs w:val="24"/>
        </w:rPr>
        <w:t>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生物药物检验工作的方法</w:t>
      </w:r>
    </w:p>
    <w:p w14:paraId="12BD2ABC" w14:textId="77777777" w:rsidR="00D72FD2" w:rsidRPr="00D72FD2" w:rsidRDefault="00D72FD2" w:rsidP="00D72FD2">
      <w:pPr>
        <w:spacing w:line="440" w:lineRule="exact"/>
        <w:ind w:firstLineChars="200" w:firstLine="482"/>
        <w:rPr>
          <w:rFonts w:ascii="宋体" w:eastAsia="宋体" w:hAnsi="宋体" w:cs="Times New Roman"/>
          <w:color w:val="000000"/>
          <w:sz w:val="24"/>
          <w:szCs w:val="24"/>
        </w:rPr>
      </w:pPr>
      <w:r w:rsidRPr="00D72FD2">
        <w:rPr>
          <w:rFonts w:ascii="宋体" w:eastAsia="宋体" w:hAnsi="宋体" w:cs="Times New Roman" w:hint="eastAsia"/>
          <w:b/>
          <w:bCs/>
          <w:color w:val="000000"/>
          <w:sz w:val="24"/>
          <w:szCs w:val="24"/>
        </w:rPr>
        <w:t>【教学方法】</w:t>
      </w:r>
    </w:p>
    <w:p w14:paraId="7E1D2A89"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1.通过多媒体课件和传统教学相结合，阐明生物药物分析的性质与任务，以基因工程药物的质量控制为例，丰富学生生物药物检验工作的程序与规范；</w:t>
      </w:r>
    </w:p>
    <w:p w14:paraId="3FF5CB79"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2.通过案例分析，促进学生与生物药物分析知识整合，培养学生知识整合和反思能力。</w:t>
      </w:r>
    </w:p>
    <w:p w14:paraId="538BA49E" w14:textId="77777777" w:rsidR="00D72FD2" w:rsidRPr="00D72FD2" w:rsidRDefault="00D72FD2" w:rsidP="00D72FD2">
      <w:pPr>
        <w:spacing w:line="440" w:lineRule="exact"/>
        <w:ind w:firstLineChars="200" w:firstLine="482"/>
        <w:rPr>
          <w:rFonts w:ascii="宋体" w:eastAsia="宋体" w:hAnsi="宋体" w:cs="Times New Roman"/>
          <w:bCs/>
          <w:color w:val="000000"/>
          <w:sz w:val="24"/>
          <w:szCs w:val="24"/>
        </w:rPr>
      </w:pPr>
      <w:r w:rsidRPr="00D72FD2">
        <w:rPr>
          <w:rFonts w:ascii="宋体" w:eastAsia="宋体" w:hAnsi="宋体" w:cs="Times New Roman" w:hint="eastAsia"/>
          <w:b/>
          <w:color w:val="000000"/>
          <w:sz w:val="24"/>
          <w:szCs w:val="24"/>
        </w:rPr>
        <w:t>【复习思考】</w:t>
      </w:r>
    </w:p>
    <w:p w14:paraId="2F371C10"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生物药物的定义与特点</w:t>
      </w:r>
    </w:p>
    <w:p w14:paraId="703C6368" w14:textId="77777777" w:rsidR="00D72FD2" w:rsidRPr="00D72FD2" w:rsidRDefault="00D72FD2" w:rsidP="00D72FD2">
      <w:pPr>
        <w:spacing w:line="440" w:lineRule="exact"/>
        <w:ind w:firstLineChars="200" w:firstLine="480"/>
        <w:rPr>
          <w:rFonts w:ascii="宋体" w:eastAsia="宋体" w:hAnsi="宋体" w:cs="Times New Roman"/>
          <w:b/>
          <w:color w:val="000000"/>
          <w:sz w:val="24"/>
          <w:szCs w:val="24"/>
        </w:rPr>
      </w:pPr>
      <w:r w:rsidRPr="00D72FD2">
        <w:rPr>
          <w:rFonts w:ascii="宋体" w:eastAsia="宋体" w:hAnsi="宋体" w:cs="Times New Roman" w:hint="eastAsia"/>
          <w:color w:val="000000"/>
          <w:sz w:val="24"/>
          <w:szCs w:val="24"/>
        </w:rPr>
        <w:t>2.熟悉生物药物的质量标准</w:t>
      </w:r>
    </w:p>
    <w:p w14:paraId="57BE8591"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3</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生物药物检验工作的程序是什么？</w:t>
      </w:r>
    </w:p>
    <w:p w14:paraId="4316DE06"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第二章  生物药物的安全性检查</w:t>
      </w:r>
    </w:p>
    <w:p w14:paraId="5F50578E"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【学习目标】</w:t>
      </w:r>
    </w:p>
    <w:p w14:paraId="283BD873" w14:textId="77777777" w:rsidR="00D72FD2" w:rsidRPr="00D72FD2" w:rsidRDefault="00D72FD2">
      <w:pPr>
        <w:numPr>
          <w:ilvl w:val="0"/>
          <w:numId w:val="146"/>
        </w:num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认知类目标：了解生物药物安全性检查的概念与意义；</w:t>
      </w:r>
    </w:p>
    <w:p w14:paraId="1AEB82E7" w14:textId="77777777" w:rsidR="00D72FD2" w:rsidRPr="00D72FD2" w:rsidRDefault="00D72FD2">
      <w:pPr>
        <w:numPr>
          <w:ilvl w:val="0"/>
          <w:numId w:val="146"/>
        </w:num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过程与方法类目标：掌握生物药物安全性检查各方法的原理；熟悉生物药物</w:t>
      </w:r>
    </w:p>
    <w:p w14:paraId="5809AA90"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安全性检查的范围、种类与具体方法。</w:t>
      </w:r>
    </w:p>
    <w:p w14:paraId="05E13D91"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【学习内容】</w:t>
      </w:r>
    </w:p>
    <w:p w14:paraId="2D03A2B1"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生物药物安全性检查各方法的原理；</w:t>
      </w:r>
    </w:p>
    <w:p w14:paraId="7F8530EC"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生物药物安全性检查的范围、种类与具体方法。</w:t>
      </w:r>
    </w:p>
    <w:p w14:paraId="33B2B8A8"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lastRenderedPageBreak/>
        <w:t>【重点】</w:t>
      </w:r>
    </w:p>
    <w:p w14:paraId="6A62E6A9"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异常毒性检查法、热原检查法、细菌内毒素检查法和无菌检查法的原理</w:t>
      </w:r>
    </w:p>
    <w:p w14:paraId="6F37D53B"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【难点】</w:t>
      </w:r>
    </w:p>
    <w:p w14:paraId="4BFC3198" w14:textId="77777777" w:rsidR="00D72FD2" w:rsidRPr="00D72FD2" w:rsidRDefault="00D72FD2" w:rsidP="00D72FD2">
      <w:pPr>
        <w:spacing w:line="440" w:lineRule="exact"/>
        <w:ind w:firstLineChars="200" w:firstLine="480"/>
        <w:rPr>
          <w:rFonts w:ascii="宋体" w:eastAsia="宋体" w:hAnsi="宋体" w:cs="Times New Roman"/>
          <w:b/>
          <w:color w:val="000000"/>
          <w:sz w:val="24"/>
          <w:szCs w:val="24"/>
        </w:rPr>
      </w:pPr>
      <w:r w:rsidRPr="00D72FD2">
        <w:rPr>
          <w:rFonts w:ascii="宋体" w:eastAsia="宋体" w:hAnsi="宋体" w:cs="Times New Roman" w:hint="eastAsia"/>
          <w:color w:val="000000"/>
          <w:sz w:val="24"/>
          <w:szCs w:val="24"/>
        </w:rPr>
        <w:t>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生物药物安全性检查的具体方法</w:t>
      </w:r>
    </w:p>
    <w:p w14:paraId="2507631F" w14:textId="77777777" w:rsidR="00D72FD2" w:rsidRPr="00D72FD2" w:rsidRDefault="00D72FD2" w:rsidP="00D72FD2">
      <w:pPr>
        <w:spacing w:line="440" w:lineRule="exact"/>
        <w:ind w:firstLineChars="200" w:firstLine="482"/>
        <w:rPr>
          <w:rFonts w:ascii="宋体" w:eastAsia="宋体" w:hAnsi="宋体" w:cs="Times New Roman"/>
          <w:color w:val="000000"/>
          <w:sz w:val="24"/>
          <w:szCs w:val="24"/>
        </w:rPr>
      </w:pPr>
      <w:r w:rsidRPr="00D72FD2">
        <w:rPr>
          <w:rFonts w:ascii="宋体" w:eastAsia="宋体" w:hAnsi="宋体" w:cs="Times New Roman" w:hint="eastAsia"/>
          <w:b/>
          <w:bCs/>
          <w:color w:val="000000"/>
          <w:sz w:val="24"/>
          <w:szCs w:val="24"/>
        </w:rPr>
        <w:t>【教学方法】</w:t>
      </w:r>
    </w:p>
    <w:p w14:paraId="27725A01"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1.通过多媒体课件和传统教学相结合，阐明生物药物安全性检查各方法的原理；</w:t>
      </w:r>
    </w:p>
    <w:p w14:paraId="68F3A59D"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2.通过案例分析，强调异常毒性检查法、热原检查法、细菌内毒素检查法和无菌检查法的原理与具体方法，理论与实践相结合，促进学生对生物药物安全性检查的知识融合，培养学生的生物药物安全性检查能力。</w:t>
      </w:r>
    </w:p>
    <w:p w14:paraId="66255C4A" w14:textId="77777777" w:rsidR="00D72FD2" w:rsidRPr="00D72FD2" w:rsidRDefault="00D72FD2" w:rsidP="00D72FD2">
      <w:pPr>
        <w:spacing w:line="440" w:lineRule="exact"/>
        <w:ind w:firstLineChars="200" w:firstLine="482"/>
        <w:rPr>
          <w:rFonts w:ascii="宋体" w:eastAsia="宋体" w:hAnsi="宋体" w:cs="Times New Roman"/>
          <w:bCs/>
          <w:color w:val="000000"/>
          <w:sz w:val="24"/>
          <w:szCs w:val="24"/>
        </w:rPr>
      </w:pPr>
      <w:r w:rsidRPr="00D72FD2">
        <w:rPr>
          <w:rFonts w:ascii="宋体" w:eastAsia="宋体" w:hAnsi="宋体" w:cs="Times New Roman" w:hint="eastAsia"/>
          <w:b/>
          <w:color w:val="000000"/>
          <w:sz w:val="24"/>
          <w:szCs w:val="24"/>
        </w:rPr>
        <w:t>【复习思考】</w:t>
      </w:r>
    </w:p>
    <w:p w14:paraId="42525E12"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异常毒性检查法、热原检查法、细菌内毒素检查法和无菌检查法的原理</w:t>
      </w:r>
    </w:p>
    <w:p w14:paraId="6CEFB48C"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2.生物药物安全性检查的具体内容是什么？</w:t>
      </w:r>
    </w:p>
    <w:p w14:paraId="42EE6129"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第三章  生物药物的微生物限度检查</w:t>
      </w:r>
    </w:p>
    <w:p w14:paraId="4E1236F0"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【学习目标】</w:t>
      </w:r>
    </w:p>
    <w:p w14:paraId="2BD2753F"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1.认知类目标：了解生物药物的微生物限度检查的意义；</w:t>
      </w:r>
    </w:p>
    <w:p w14:paraId="43E8C67B"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2.过程与方法类目标：掌握控制微生物的检查原理与方法；熟悉以大肠埃希菌、</w:t>
      </w:r>
    </w:p>
    <w:p w14:paraId="5413394B"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金黄色葡萄球菌、铜绿假单胞菌、沙门菌等常见致病菌为例的生物药物含菌量的检查方法。</w:t>
      </w:r>
    </w:p>
    <w:p w14:paraId="0089DF92"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【学习内容】</w:t>
      </w:r>
    </w:p>
    <w:p w14:paraId="4452980A"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生物药物微生物限度检查必要性；</w:t>
      </w:r>
    </w:p>
    <w:p w14:paraId="2F9F93B9"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生物药物的微生物限度检查方法；</w:t>
      </w:r>
    </w:p>
    <w:p w14:paraId="17F2E837"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3.控制菌的检查方法；</w:t>
      </w:r>
    </w:p>
    <w:p w14:paraId="5CC34ECF"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4.含抑菌成分的生物药物染菌检查方法</w:t>
      </w:r>
    </w:p>
    <w:p w14:paraId="4BB34A51"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【重点】</w:t>
      </w:r>
    </w:p>
    <w:p w14:paraId="3836ED94"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控制微生物的检查原理与方法</w:t>
      </w:r>
    </w:p>
    <w:p w14:paraId="2E450CAD"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【难点】</w:t>
      </w:r>
    </w:p>
    <w:p w14:paraId="2A040E62" w14:textId="77777777" w:rsidR="00D72FD2" w:rsidRPr="00D72FD2" w:rsidRDefault="00D72FD2">
      <w:pPr>
        <w:numPr>
          <w:ilvl w:val="0"/>
          <w:numId w:val="147"/>
        </w:num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控制微生物的检查具体方法</w:t>
      </w:r>
    </w:p>
    <w:p w14:paraId="78A88EA7" w14:textId="77777777" w:rsidR="00D72FD2" w:rsidRPr="00D72FD2" w:rsidRDefault="00D72FD2" w:rsidP="00D72FD2">
      <w:pPr>
        <w:spacing w:line="440" w:lineRule="exact"/>
        <w:ind w:left="480"/>
        <w:rPr>
          <w:rFonts w:ascii="宋体" w:eastAsia="宋体" w:hAnsi="宋体" w:cs="Times New Roman"/>
          <w:color w:val="000000"/>
          <w:sz w:val="24"/>
          <w:szCs w:val="24"/>
        </w:rPr>
      </w:pPr>
      <w:r w:rsidRPr="00D72FD2">
        <w:rPr>
          <w:rFonts w:ascii="宋体" w:eastAsia="宋体" w:hAnsi="宋体" w:cs="Times New Roman" w:hint="eastAsia"/>
          <w:b/>
          <w:bCs/>
          <w:color w:val="000000"/>
          <w:sz w:val="24"/>
          <w:szCs w:val="24"/>
        </w:rPr>
        <w:t>【教学方法】</w:t>
      </w:r>
    </w:p>
    <w:p w14:paraId="7575A0B0"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1.通过多媒体课件和传统教学相结合，阐明生物药物微生物限度检查方法的原理；</w:t>
      </w:r>
    </w:p>
    <w:p w14:paraId="3CA2823D"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2.通过案例分析，以大肠埃希菌、金黄色葡萄球菌、铜绿假单胞菌、沙门菌等常见致病菌为例的生物药物含菌量的检查原理与具体方法，理论与实践相结合，促进学</w:t>
      </w:r>
      <w:r w:rsidRPr="00D72FD2">
        <w:rPr>
          <w:rFonts w:ascii="宋体" w:eastAsia="宋体" w:hAnsi="宋体" w:cs="Times New Roman" w:hint="eastAsia"/>
          <w:color w:val="000000"/>
          <w:sz w:val="24"/>
          <w:szCs w:val="24"/>
        </w:rPr>
        <w:lastRenderedPageBreak/>
        <w:t>生对生物药物微生物限度检查的知识融合，培养学生的生物药物微生物限度检查能力。</w:t>
      </w:r>
    </w:p>
    <w:p w14:paraId="416B3334" w14:textId="77777777" w:rsidR="00D72FD2" w:rsidRPr="00D72FD2" w:rsidRDefault="00D72FD2" w:rsidP="00D72FD2">
      <w:pPr>
        <w:spacing w:line="440" w:lineRule="exact"/>
        <w:ind w:firstLineChars="200" w:firstLine="482"/>
        <w:rPr>
          <w:rFonts w:ascii="宋体" w:eastAsia="宋体" w:hAnsi="宋体" w:cs="Times New Roman"/>
          <w:bCs/>
          <w:color w:val="000000"/>
          <w:sz w:val="24"/>
          <w:szCs w:val="24"/>
        </w:rPr>
      </w:pPr>
      <w:r w:rsidRPr="00D72FD2">
        <w:rPr>
          <w:rFonts w:ascii="宋体" w:eastAsia="宋体" w:hAnsi="宋体" w:cs="Times New Roman" w:hint="eastAsia"/>
          <w:b/>
          <w:color w:val="000000"/>
          <w:sz w:val="24"/>
          <w:szCs w:val="24"/>
        </w:rPr>
        <w:t>【复习思考】</w:t>
      </w:r>
    </w:p>
    <w:p w14:paraId="489831F3"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控制微生物的检查原理与方法</w:t>
      </w:r>
    </w:p>
    <w:p w14:paraId="11C10BE0"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2.生物药物微生物限度检查的步骤</w:t>
      </w:r>
    </w:p>
    <w:p w14:paraId="35F146A0"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第四章  生物药物的酶学分析法</w:t>
      </w:r>
    </w:p>
    <w:p w14:paraId="042F2F16"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【学习目标】</w:t>
      </w:r>
    </w:p>
    <w:p w14:paraId="212E12FF"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1.认知类目标：了解生物药物酶学分析法的主要分析方法；</w:t>
      </w:r>
    </w:p>
    <w:p w14:paraId="7F9B765B"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2.过程与方法类目标：掌握酶学分析法的定义，酶学分析法主要方法及原理；熟悉酶学分析法的分类、用途及方法等。</w:t>
      </w:r>
    </w:p>
    <w:p w14:paraId="0A188A55"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【学习内容】</w:t>
      </w:r>
    </w:p>
    <w:p w14:paraId="6A7F895C"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 xml:space="preserve"> 酶学分析法的定义、分类、用途以及研究进展；</w:t>
      </w:r>
    </w:p>
    <w:p w14:paraId="39C58E40"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 xml:space="preserve"> 生物药物酶学分析法的主要分析方法</w:t>
      </w:r>
    </w:p>
    <w:p w14:paraId="6AEF0271"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3. 酶学分析法主要方法及原理；</w:t>
      </w:r>
    </w:p>
    <w:p w14:paraId="6E3D970B"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【重点】</w:t>
      </w:r>
    </w:p>
    <w:p w14:paraId="4BD873B6" w14:textId="77777777" w:rsidR="00D72FD2" w:rsidRPr="00D72FD2" w:rsidRDefault="00D72FD2">
      <w:pPr>
        <w:numPr>
          <w:ilvl w:val="0"/>
          <w:numId w:val="149"/>
        </w:num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酶学分析法的定义</w:t>
      </w:r>
    </w:p>
    <w:p w14:paraId="49DBEA8D" w14:textId="77777777" w:rsidR="00D72FD2" w:rsidRPr="00D72FD2" w:rsidRDefault="00D72FD2">
      <w:pPr>
        <w:numPr>
          <w:ilvl w:val="0"/>
          <w:numId w:val="149"/>
        </w:num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酶学分析法主要方法及原理</w:t>
      </w:r>
    </w:p>
    <w:p w14:paraId="14C21079"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【难点】</w:t>
      </w:r>
    </w:p>
    <w:p w14:paraId="73FE9EFC" w14:textId="77777777" w:rsidR="00D72FD2" w:rsidRPr="00D72FD2" w:rsidRDefault="00D72FD2">
      <w:pPr>
        <w:numPr>
          <w:ilvl w:val="0"/>
          <w:numId w:val="148"/>
        </w:num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酶学分析法主要方法及原理</w:t>
      </w:r>
    </w:p>
    <w:p w14:paraId="0A26301F" w14:textId="77777777" w:rsidR="00D72FD2" w:rsidRPr="00D72FD2" w:rsidRDefault="00D72FD2" w:rsidP="00D72FD2">
      <w:pPr>
        <w:spacing w:line="440" w:lineRule="exact"/>
        <w:ind w:left="480"/>
        <w:rPr>
          <w:rFonts w:ascii="宋体" w:eastAsia="宋体" w:hAnsi="宋体" w:cs="Times New Roman"/>
          <w:color w:val="000000"/>
          <w:sz w:val="24"/>
          <w:szCs w:val="24"/>
        </w:rPr>
      </w:pPr>
      <w:r w:rsidRPr="00D72FD2">
        <w:rPr>
          <w:rFonts w:ascii="宋体" w:eastAsia="宋体" w:hAnsi="宋体" w:cs="Times New Roman" w:hint="eastAsia"/>
          <w:b/>
          <w:bCs/>
          <w:color w:val="000000"/>
          <w:sz w:val="24"/>
          <w:szCs w:val="24"/>
        </w:rPr>
        <w:t>【教学方法】</w:t>
      </w:r>
    </w:p>
    <w:p w14:paraId="7610D16D"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1.通过多媒体课件和传统教学相结合，阐明生物药物的酶学分析法的定义、主要方法及原理；</w:t>
      </w:r>
    </w:p>
    <w:p w14:paraId="7E3F3D54"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2.通过案例分析，以酶免疫法与酶</w:t>
      </w:r>
      <w:proofErr w:type="gramStart"/>
      <w:r w:rsidRPr="00D72FD2">
        <w:rPr>
          <w:rFonts w:ascii="宋体" w:eastAsia="宋体" w:hAnsi="宋体" w:cs="Times New Roman" w:hint="eastAsia"/>
          <w:color w:val="000000"/>
          <w:sz w:val="24"/>
          <w:szCs w:val="24"/>
        </w:rPr>
        <w:t>联方法</w:t>
      </w:r>
      <w:proofErr w:type="gramEnd"/>
      <w:r w:rsidRPr="00D72FD2">
        <w:rPr>
          <w:rFonts w:ascii="宋体" w:eastAsia="宋体" w:hAnsi="宋体" w:cs="Times New Roman" w:hint="eastAsia"/>
          <w:color w:val="000000"/>
          <w:sz w:val="24"/>
          <w:szCs w:val="24"/>
        </w:rPr>
        <w:t>为例的生物酶学分析法的检查原理与具体方法，理论与实践相结合，促进学生对生物药物酶学分析法的知识融合，培养学生的生物药物的酶学分析能力；</w:t>
      </w:r>
    </w:p>
    <w:p w14:paraId="5B20ADBC" w14:textId="77777777" w:rsidR="00D72FD2" w:rsidRPr="00D72FD2" w:rsidRDefault="00D72FD2" w:rsidP="00D72FD2">
      <w:pPr>
        <w:spacing w:line="440" w:lineRule="exact"/>
        <w:ind w:firstLineChars="200" w:firstLine="482"/>
        <w:rPr>
          <w:rFonts w:ascii="宋体" w:eastAsia="宋体" w:hAnsi="宋体" w:cs="Times New Roman"/>
          <w:bCs/>
          <w:color w:val="000000"/>
          <w:sz w:val="24"/>
          <w:szCs w:val="24"/>
        </w:rPr>
      </w:pPr>
      <w:r w:rsidRPr="00D72FD2">
        <w:rPr>
          <w:rFonts w:ascii="宋体" w:eastAsia="宋体" w:hAnsi="宋体" w:cs="Times New Roman" w:hint="eastAsia"/>
          <w:b/>
          <w:color w:val="000000"/>
          <w:sz w:val="24"/>
          <w:szCs w:val="24"/>
        </w:rPr>
        <w:t>【复习思考】</w:t>
      </w:r>
    </w:p>
    <w:p w14:paraId="0FB5E6A2"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 xml:space="preserve"> 酶学分析法的定义</w:t>
      </w:r>
    </w:p>
    <w:p w14:paraId="505D8674"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2. 酶学分析法主要方法及原理</w:t>
      </w:r>
    </w:p>
    <w:p w14:paraId="2EFBF36C"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第五章  抗生素类药物的分析</w:t>
      </w:r>
    </w:p>
    <w:p w14:paraId="12B64390"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【学习目标】</w:t>
      </w:r>
    </w:p>
    <w:p w14:paraId="754AB02B"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1.认知类目标：了解生物统计法的基本概念，在抗生素效价检定中生物统计的计</w:t>
      </w:r>
      <w:r w:rsidRPr="00D72FD2">
        <w:rPr>
          <w:rFonts w:ascii="宋体" w:eastAsia="宋体" w:hAnsi="宋体" w:cs="Times New Roman" w:hint="eastAsia"/>
          <w:color w:val="000000"/>
          <w:sz w:val="24"/>
          <w:szCs w:val="24"/>
        </w:rPr>
        <w:lastRenderedPageBreak/>
        <w:t>算步骤；</w:t>
      </w:r>
    </w:p>
    <w:p w14:paraId="4D555F0D" w14:textId="77777777" w:rsidR="00D72FD2" w:rsidRPr="00D72FD2" w:rsidRDefault="00D72FD2" w:rsidP="00D72FD2">
      <w:pPr>
        <w:spacing w:line="440" w:lineRule="exact"/>
        <w:ind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过程与方法类目标：掌握常用抗生素鉴别及主要杂质检查的原理，常用抗生素含量测定方法，二剂量法测定抗生素类药物效价的原理、计算公式的意义及影响检测结果的因素与控制措施；熟悉抗生素类药物的类型、结构以及分析方法。</w:t>
      </w:r>
    </w:p>
    <w:p w14:paraId="5F2C5242"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【学习内容】</w:t>
      </w:r>
    </w:p>
    <w:p w14:paraId="425C9454"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 xml:space="preserve"> 抗生素类药物的分类及抗生素效价的定义与表示方法；</w:t>
      </w:r>
    </w:p>
    <w:p w14:paraId="74B338FF"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 xml:space="preserve"> 常用抗生素鉴别、主要杂质检查的原理与含量测定方法；</w:t>
      </w:r>
    </w:p>
    <w:p w14:paraId="1A9E90B7"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3. 抗生素效价微生物检定法；</w:t>
      </w:r>
    </w:p>
    <w:p w14:paraId="50227C8B"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4. 生物统计法在抗生素效价检定中的作用</w:t>
      </w:r>
    </w:p>
    <w:p w14:paraId="5610C5F3"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【重点】</w:t>
      </w:r>
    </w:p>
    <w:p w14:paraId="5C86D2DE" w14:textId="77777777" w:rsidR="00D72FD2" w:rsidRPr="00D72FD2" w:rsidRDefault="00D72FD2">
      <w:pPr>
        <w:numPr>
          <w:ilvl w:val="0"/>
          <w:numId w:val="150"/>
        </w:num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抗生素效价的定义与表示方法；</w:t>
      </w:r>
    </w:p>
    <w:p w14:paraId="3B547573" w14:textId="77777777" w:rsidR="00D72FD2" w:rsidRPr="00D72FD2" w:rsidRDefault="00D72FD2">
      <w:pPr>
        <w:numPr>
          <w:ilvl w:val="0"/>
          <w:numId w:val="150"/>
        </w:num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常用抗生素鉴别、主要杂质检查的原理与含量测定方法；</w:t>
      </w:r>
    </w:p>
    <w:p w14:paraId="322A9EB6" w14:textId="77777777" w:rsidR="00D72FD2" w:rsidRPr="00D72FD2" w:rsidRDefault="00D72FD2">
      <w:pPr>
        <w:numPr>
          <w:ilvl w:val="0"/>
          <w:numId w:val="150"/>
        </w:num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抗生素效价微生物检定法</w:t>
      </w:r>
    </w:p>
    <w:p w14:paraId="28176F1B"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【难点】</w:t>
      </w:r>
    </w:p>
    <w:p w14:paraId="260E211F" w14:textId="77777777" w:rsidR="00D72FD2" w:rsidRPr="00D72FD2" w:rsidRDefault="00D72FD2">
      <w:pPr>
        <w:numPr>
          <w:ilvl w:val="0"/>
          <w:numId w:val="151"/>
        </w:num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抗生素效价微生物检定法</w:t>
      </w:r>
    </w:p>
    <w:p w14:paraId="07197297" w14:textId="77777777" w:rsidR="00D72FD2" w:rsidRPr="00D72FD2" w:rsidRDefault="00D72FD2" w:rsidP="00D72FD2">
      <w:pPr>
        <w:spacing w:line="440" w:lineRule="exact"/>
        <w:ind w:left="480"/>
        <w:rPr>
          <w:rFonts w:ascii="宋体" w:eastAsia="宋体" w:hAnsi="宋体" w:cs="Times New Roman"/>
          <w:color w:val="000000"/>
          <w:sz w:val="24"/>
          <w:szCs w:val="24"/>
        </w:rPr>
      </w:pPr>
      <w:r w:rsidRPr="00D72FD2">
        <w:rPr>
          <w:rFonts w:ascii="宋体" w:eastAsia="宋体" w:hAnsi="宋体" w:cs="Times New Roman" w:hint="eastAsia"/>
          <w:b/>
          <w:bCs/>
          <w:color w:val="000000"/>
          <w:sz w:val="24"/>
          <w:szCs w:val="24"/>
        </w:rPr>
        <w:t>【教学方法】</w:t>
      </w:r>
    </w:p>
    <w:p w14:paraId="764DB38A"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1.通过多媒体课件和传统教学相结合，阐明抗生素效价的定义、表示方法及微生物检定法；</w:t>
      </w:r>
    </w:p>
    <w:p w14:paraId="1DEDA72D"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2.通过案例分析，以β-内酰胺类、氨基糖苷类及大环内酯类抗生素为例的常用抗生素鉴别、主要杂质检查的原理与含量测定方法，理论与实践相结合，促进学生对生物药物酶学分析法的知识融合，培养学生的常用抗生素药物的质量分析能力</w:t>
      </w:r>
    </w:p>
    <w:p w14:paraId="41332E82" w14:textId="77777777" w:rsidR="00D72FD2" w:rsidRPr="00D72FD2" w:rsidRDefault="00D72FD2" w:rsidP="00D72FD2">
      <w:pPr>
        <w:spacing w:line="440" w:lineRule="exact"/>
        <w:ind w:firstLineChars="200" w:firstLine="482"/>
        <w:rPr>
          <w:rFonts w:ascii="宋体" w:eastAsia="宋体" w:hAnsi="宋体" w:cs="Times New Roman"/>
          <w:bCs/>
          <w:color w:val="000000"/>
          <w:sz w:val="24"/>
          <w:szCs w:val="24"/>
        </w:rPr>
      </w:pPr>
      <w:r w:rsidRPr="00D72FD2">
        <w:rPr>
          <w:rFonts w:ascii="宋体" w:eastAsia="宋体" w:hAnsi="宋体" w:cs="Times New Roman" w:hint="eastAsia"/>
          <w:b/>
          <w:color w:val="000000"/>
          <w:sz w:val="24"/>
          <w:szCs w:val="24"/>
        </w:rPr>
        <w:t>【复习思考】</w:t>
      </w:r>
    </w:p>
    <w:p w14:paraId="638BFDCD"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 xml:space="preserve"> 抗生素效价的定义与表示方法</w:t>
      </w:r>
    </w:p>
    <w:p w14:paraId="0C9493BE"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2. 抗生素效价微生物检定法主要分为哪些？</w:t>
      </w:r>
    </w:p>
    <w:p w14:paraId="3AF49393"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第六章 疫苗类药物的分析</w:t>
      </w:r>
    </w:p>
    <w:p w14:paraId="53CE470B"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【学习目标】</w:t>
      </w:r>
    </w:p>
    <w:p w14:paraId="2B884644"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1.认知类目标：了解疫苗类药物质量监控的主要检定方法；</w:t>
      </w:r>
    </w:p>
    <w:p w14:paraId="25FC6D4E" w14:textId="77777777" w:rsidR="00D72FD2" w:rsidRPr="00D72FD2" w:rsidRDefault="00D72FD2" w:rsidP="00D72FD2">
      <w:pPr>
        <w:spacing w:line="440" w:lineRule="exact"/>
        <w:ind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2.过程与方法类目标：掌握疫苗类药物的概念及分类，疫苗类药物质量监控的程序及监控要点；熟悉疫苗类药物质量监控的标准。</w:t>
      </w:r>
    </w:p>
    <w:p w14:paraId="5FFA1191"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【学习内容】</w:t>
      </w:r>
    </w:p>
    <w:p w14:paraId="1780C56A"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 xml:space="preserve"> 疫苗类药物的概念、分类、用途以及研究进展；</w:t>
      </w:r>
    </w:p>
    <w:p w14:paraId="42222FE6"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lastRenderedPageBreak/>
        <w:t>2</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 xml:space="preserve"> 疫苗类药物质量监控的标准与机构、程序及监控要点；</w:t>
      </w:r>
    </w:p>
    <w:p w14:paraId="349473D4"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3. 乙肝与卡介苗质量监控方法</w:t>
      </w:r>
    </w:p>
    <w:p w14:paraId="3E2C6DB9"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【重点】</w:t>
      </w:r>
    </w:p>
    <w:p w14:paraId="497A26A7" w14:textId="77777777" w:rsidR="00D72FD2" w:rsidRPr="00D72FD2" w:rsidRDefault="00D72FD2">
      <w:pPr>
        <w:numPr>
          <w:ilvl w:val="0"/>
          <w:numId w:val="152"/>
        </w:num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疫苗类药物的概念、分类；</w:t>
      </w:r>
    </w:p>
    <w:p w14:paraId="6E29A357" w14:textId="77777777" w:rsidR="00D72FD2" w:rsidRPr="00D72FD2" w:rsidRDefault="00D72FD2">
      <w:pPr>
        <w:numPr>
          <w:ilvl w:val="0"/>
          <w:numId w:val="152"/>
        </w:num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疫苗类药物质量监控的程序及监控要点；</w:t>
      </w:r>
    </w:p>
    <w:p w14:paraId="4E6C362B" w14:textId="77777777" w:rsidR="00D72FD2" w:rsidRPr="00D72FD2" w:rsidRDefault="00D72FD2">
      <w:pPr>
        <w:numPr>
          <w:ilvl w:val="0"/>
          <w:numId w:val="152"/>
        </w:num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乙肝与卡介苗类疫苗药物的质量监控方法</w:t>
      </w:r>
    </w:p>
    <w:p w14:paraId="2866E950"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【难点】</w:t>
      </w:r>
    </w:p>
    <w:p w14:paraId="0F1165CD" w14:textId="77777777" w:rsidR="00D72FD2" w:rsidRPr="00D72FD2" w:rsidRDefault="00D72FD2">
      <w:pPr>
        <w:numPr>
          <w:ilvl w:val="0"/>
          <w:numId w:val="153"/>
        </w:num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乙肝与卡介苗质量监控方法</w:t>
      </w:r>
    </w:p>
    <w:p w14:paraId="297B24BE" w14:textId="77777777" w:rsidR="00D72FD2" w:rsidRPr="00D72FD2" w:rsidRDefault="00D72FD2" w:rsidP="00D72FD2">
      <w:pPr>
        <w:spacing w:line="440" w:lineRule="exact"/>
        <w:ind w:left="480"/>
        <w:rPr>
          <w:rFonts w:ascii="宋体" w:eastAsia="宋体" w:hAnsi="宋体" w:cs="Times New Roman"/>
          <w:color w:val="000000"/>
          <w:sz w:val="24"/>
          <w:szCs w:val="24"/>
        </w:rPr>
      </w:pPr>
      <w:r w:rsidRPr="00D72FD2">
        <w:rPr>
          <w:rFonts w:ascii="宋体" w:eastAsia="宋体" w:hAnsi="宋体" w:cs="Times New Roman" w:hint="eastAsia"/>
          <w:b/>
          <w:bCs/>
          <w:color w:val="000000"/>
          <w:sz w:val="24"/>
          <w:szCs w:val="24"/>
        </w:rPr>
        <w:t>【教学方法】</w:t>
      </w:r>
    </w:p>
    <w:p w14:paraId="743D5A7F"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1.通过多媒体课件和传统教学相结合，阐明疫苗类药物的概念、分类及质量监控的标准与机构、程序及监控要点；</w:t>
      </w:r>
    </w:p>
    <w:p w14:paraId="70C5B34B"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2.通过案例分析，以3.</w:t>
      </w:r>
      <w:r w:rsidRPr="00D72FD2">
        <w:rPr>
          <w:rFonts w:ascii="宋体" w:eastAsia="宋体" w:hAnsi="宋体" w:cs="Times New Roman" w:hint="eastAsia"/>
          <w:color w:val="000000"/>
          <w:sz w:val="24"/>
          <w:szCs w:val="24"/>
        </w:rPr>
        <w:tab/>
        <w:t>乙肝与卡介苗类疫苗药物为例的疫苗药物质量监控方法，理论与实践相结合，促进学生对疫苗类药物质量监控的知识融合，培养学生的常用疫苗类药物质的质量分析能力</w:t>
      </w:r>
    </w:p>
    <w:p w14:paraId="6B7C3982" w14:textId="77777777" w:rsidR="00D72FD2" w:rsidRPr="00D72FD2" w:rsidRDefault="00D72FD2" w:rsidP="00D72FD2">
      <w:pPr>
        <w:spacing w:line="440" w:lineRule="exact"/>
        <w:ind w:firstLineChars="200" w:firstLine="482"/>
        <w:rPr>
          <w:rFonts w:ascii="宋体" w:eastAsia="宋体" w:hAnsi="宋体" w:cs="Times New Roman"/>
          <w:bCs/>
          <w:color w:val="000000"/>
          <w:sz w:val="24"/>
          <w:szCs w:val="24"/>
        </w:rPr>
      </w:pPr>
      <w:r w:rsidRPr="00D72FD2">
        <w:rPr>
          <w:rFonts w:ascii="宋体" w:eastAsia="宋体" w:hAnsi="宋体" w:cs="Times New Roman" w:hint="eastAsia"/>
          <w:b/>
          <w:color w:val="000000"/>
          <w:sz w:val="24"/>
          <w:szCs w:val="24"/>
        </w:rPr>
        <w:t>【复习思考】</w:t>
      </w:r>
    </w:p>
    <w:p w14:paraId="17B71469"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 xml:space="preserve"> 疫苗类药物的概念与分类</w:t>
      </w:r>
    </w:p>
    <w:p w14:paraId="6596AE13"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2. 疫苗类药物质量监控的程序及监控要点</w:t>
      </w:r>
    </w:p>
    <w:p w14:paraId="60A0F601"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第七章 血液制品类药物的分析</w:t>
      </w:r>
    </w:p>
    <w:p w14:paraId="1A0A5BCF"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【学习目标】</w:t>
      </w:r>
    </w:p>
    <w:p w14:paraId="1A70C6B4"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1.认知类目标：了解血液制品类药物质量监控的主要检定方法；</w:t>
      </w:r>
    </w:p>
    <w:p w14:paraId="7383AB33" w14:textId="77777777" w:rsidR="00D72FD2" w:rsidRPr="00D72FD2" w:rsidRDefault="00D72FD2" w:rsidP="00D72FD2">
      <w:pPr>
        <w:spacing w:line="440" w:lineRule="exact"/>
        <w:ind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2.过程与方法类目标：掌握血液制品类药物的概念及分类，血液制品类药物质量监控的程序及监控要点；熟悉血液制品类药物质量监控的标准。</w:t>
      </w:r>
    </w:p>
    <w:p w14:paraId="1D4BAC21"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【学习内容】</w:t>
      </w:r>
    </w:p>
    <w:p w14:paraId="7B173757"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血液制品类药物的概念、分类、用途以及研究进展；</w:t>
      </w:r>
    </w:p>
    <w:p w14:paraId="44B2FE24"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血液制品类药物质量监控的标准与机构、程序及监控要点；</w:t>
      </w:r>
    </w:p>
    <w:p w14:paraId="21CC7688"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3.人血球蛋白与人免疫球蛋白质量监控方法</w:t>
      </w:r>
    </w:p>
    <w:p w14:paraId="3BEC15E0"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【重点】</w:t>
      </w:r>
    </w:p>
    <w:p w14:paraId="6B0FFD60"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1.血液制品类药物的概念、分类；</w:t>
      </w:r>
    </w:p>
    <w:p w14:paraId="5F784542"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2.血液制品类药物质量监控的程序及监控要点；</w:t>
      </w:r>
    </w:p>
    <w:p w14:paraId="2405D8B5"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3.人血球蛋白与人免疫球蛋白药物的质量监控方法</w:t>
      </w:r>
    </w:p>
    <w:p w14:paraId="0F576888" w14:textId="77777777" w:rsidR="00D72FD2" w:rsidRPr="00D72FD2" w:rsidRDefault="00D72FD2" w:rsidP="00D72FD2">
      <w:pPr>
        <w:spacing w:line="440" w:lineRule="exact"/>
        <w:ind w:firstLineChars="200" w:firstLine="482"/>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【难点】</w:t>
      </w:r>
    </w:p>
    <w:p w14:paraId="2751D58A"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lastRenderedPageBreak/>
        <w:t xml:space="preserve">    1.人血球蛋白与人免疫球蛋白药物的质量监控方法</w:t>
      </w:r>
    </w:p>
    <w:p w14:paraId="0979E873" w14:textId="77777777" w:rsidR="00D72FD2" w:rsidRPr="00D72FD2" w:rsidRDefault="00D72FD2" w:rsidP="00D72FD2">
      <w:pPr>
        <w:spacing w:line="440" w:lineRule="exact"/>
        <w:ind w:left="480"/>
        <w:rPr>
          <w:rFonts w:ascii="宋体" w:eastAsia="宋体" w:hAnsi="宋体" w:cs="Times New Roman"/>
          <w:color w:val="000000"/>
          <w:sz w:val="24"/>
          <w:szCs w:val="24"/>
        </w:rPr>
      </w:pPr>
      <w:r w:rsidRPr="00D72FD2">
        <w:rPr>
          <w:rFonts w:ascii="宋体" w:eastAsia="宋体" w:hAnsi="宋体" w:cs="Times New Roman" w:hint="eastAsia"/>
          <w:b/>
          <w:bCs/>
          <w:color w:val="000000"/>
          <w:sz w:val="24"/>
          <w:szCs w:val="24"/>
        </w:rPr>
        <w:t>【教学方法】</w:t>
      </w:r>
    </w:p>
    <w:p w14:paraId="24D74B09"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1.通过多媒体课件和传统教学相结合，阐明血液制品类药物的概念、分类及质量监控的标准与机构、程序及监控要点；</w:t>
      </w:r>
    </w:p>
    <w:p w14:paraId="72666824"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2.通过案例分析，以人血球蛋白与人免疫球蛋白药物为例的血液制品类药物质量监控方法，理论与实践相结合，促进学生对血液制品类药物质量监控的知识融合，培养学生的常用血液制品类药物质的质量分析能力</w:t>
      </w:r>
    </w:p>
    <w:p w14:paraId="5DB61F0B" w14:textId="77777777" w:rsidR="00D72FD2" w:rsidRPr="00D72FD2" w:rsidRDefault="00D72FD2" w:rsidP="00D72FD2">
      <w:pPr>
        <w:spacing w:line="440" w:lineRule="exact"/>
        <w:ind w:firstLineChars="200" w:firstLine="482"/>
        <w:rPr>
          <w:rFonts w:ascii="宋体" w:eastAsia="宋体" w:hAnsi="宋体" w:cs="Times New Roman"/>
          <w:bCs/>
          <w:color w:val="000000"/>
          <w:sz w:val="24"/>
          <w:szCs w:val="24"/>
        </w:rPr>
      </w:pPr>
      <w:r w:rsidRPr="00D72FD2">
        <w:rPr>
          <w:rFonts w:ascii="宋体" w:eastAsia="宋体" w:hAnsi="宋体" w:cs="Times New Roman" w:hint="eastAsia"/>
          <w:b/>
          <w:color w:val="000000"/>
          <w:sz w:val="24"/>
          <w:szCs w:val="24"/>
        </w:rPr>
        <w:t>【复习思考】</w:t>
      </w:r>
    </w:p>
    <w:p w14:paraId="2ED1CD7A"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1</w:t>
      </w:r>
      <w:r w:rsidRPr="00D72FD2">
        <w:rPr>
          <w:rFonts w:ascii="宋体" w:eastAsia="宋体" w:hAnsi="宋体" w:cs="Times New Roman"/>
          <w:color w:val="000000"/>
          <w:sz w:val="24"/>
          <w:szCs w:val="24"/>
        </w:rPr>
        <w:t>.</w:t>
      </w:r>
      <w:r w:rsidRPr="00D72FD2">
        <w:rPr>
          <w:rFonts w:ascii="宋体" w:eastAsia="宋体" w:hAnsi="宋体" w:cs="Times New Roman" w:hint="eastAsia"/>
          <w:color w:val="000000"/>
          <w:sz w:val="24"/>
          <w:szCs w:val="24"/>
        </w:rPr>
        <w:t xml:space="preserve"> 血液制品类药物的概念与分类</w:t>
      </w:r>
    </w:p>
    <w:p w14:paraId="41C48B0D" w14:textId="77777777" w:rsidR="00D72FD2" w:rsidRPr="00D72FD2" w:rsidRDefault="00D72FD2" w:rsidP="00D72FD2">
      <w:pPr>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 xml:space="preserve">    2. 血液制品类药物质量监控的程序及监控要点</w:t>
      </w:r>
    </w:p>
    <w:p w14:paraId="2C17415F" w14:textId="77777777" w:rsidR="00D72FD2" w:rsidRPr="00D72FD2" w:rsidRDefault="00D72FD2" w:rsidP="00D72FD2">
      <w:pPr>
        <w:spacing w:beforeLines="50" w:before="156" w:afterLines="50" w:after="156" w:line="440" w:lineRule="exact"/>
        <w:ind w:left="561"/>
        <w:rPr>
          <w:rFonts w:ascii="仿宋" w:eastAsia="仿宋" w:hAnsi="仿宋" w:cs="Times New Roman"/>
          <w:color w:val="000000"/>
          <w:sz w:val="24"/>
          <w:szCs w:val="24"/>
        </w:rPr>
      </w:pPr>
      <w:r w:rsidRPr="00D72FD2">
        <w:rPr>
          <w:rFonts w:ascii="黑体" w:eastAsia="黑体" w:hAnsi="黑体" w:cs="Times New Roman" w:hint="eastAsia"/>
          <w:color w:val="000000"/>
          <w:sz w:val="28"/>
          <w:szCs w:val="28"/>
        </w:rPr>
        <w:t>（二）课程学习内容与课程学习目标的对应关系</w:t>
      </w:r>
      <w:r w:rsidRPr="00D72FD2">
        <w:rPr>
          <w:rFonts w:ascii="仿宋" w:eastAsia="仿宋" w:hAnsi="仿宋" w:cs="Times New Roman" w:hint="eastAsia"/>
          <w:color w:val="000000"/>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8"/>
        <w:gridCol w:w="2128"/>
        <w:gridCol w:w="1985"/>
        <w:gridCol w:w="1276"/>
      </w:tblGrid>
      <w:tr w:rsidR="00D72FD2" w:rsidRPr="00D72FD2" w14:paraId="3FF71E0B" w14:textId="77777777" w:rsidTr="006B1C7F">
        <w:trPr>
          <w:trHeight w:val="660"/>
          <w:jc w:val="center"/>
        </w:trPr>
        <w:tc>
          <w:tcPr>
            <w:tcW w:w="3968" w:type="dxa"/>
            <w:vAlign w:val="center"/>
          </w:tcPr>
          <w:p w14:paraId="1333B693" w14:textId="77777777" w:rsidR="00D72FD2" w:rsidRPr="00D72FD2" w:rsidRDefault="00D72FD2" w:rsidP="00D72FD2">
            <w:pPr>
              <w:spacing w:line="440" w:lineRule="exact"/>
              <w:jc w:val="center"/>
              <w:rPr>
                <w:rFonts w:ascii="宋体" w:eastAsia="宋体" w:hAnsi="宋体" w:cs="Times New Roman"/>
                <w:b/>
                <w:bCs/>
                <w:color w:val="000000"/>
                <w:sz w:val="24"/>
                <w:szCs w:val="24"/>
              </w:rPr>
            </w:pPr>
            <w:r w:rsidRPr="00D72FD2">
              <w:rPr>
                <w:rFonts w:ascii="宋体" w:eastAsia="宋体" w:hAnsi="宋体" w:cs="Times New Roman" w:hint="eastAsia"/>
                <w:b/>
                <w:bCs/>
                <w:color w:val="000000"/>
                <w:sz w:val="24"/>
                <w:szCs w:val="24"/>
              </w:rPr>
              <w:t>课程学习内容</w:t>
            </w:r>
          </w:p>
        </w:tc>
        <w:tc>
          <w:tcPr>
            <w:tcW w:w="2128" w:type="dxa"/>
            <w:vAlign w:val="center"/>
          </w:tcPr>
          <w:p w14:paraId="41EFEFCE" w14:textId="77777777" w:rsidR="00D72FD2" w:rsidRPr="00D72FD2" w:rsidRDefault="00D72FD2" w:rsidP="00D72FD2">
            <w:pPr>
              <w:spacing w:line="440" w:lineRule="exact"/>
              <w:jc w:val="center"/>
              <w:rPr>
                <w:rFonts w:ascii="宋体" w:eastAsia="宋体" w:hAnsi="宋体" w:cs="Times New Roman"/>
                <w:b/>
                <w:bCs/>
                <w:color w:val="000000"/>
                <w:sz w:val="24"/>
                <w:szCs w:val="24"/>
              </w:rPr>
            </w:pPr>
            <w:r w:rsidRPr="00D72FD2">
              <w:rPr>
                <w:rFonts w:ascii="宋体" w:eastAsia="宋体" w:hAnsi="宋体" w:cs="Times New Roman" w:hint="eastAsia"/>
                <w:b/>
                <w:bCs/>
                <w:color w:val="000000"/>
                <w:sz w:val="24"/>
                <w:szCs w:val="24"/>
              </w:rPr>
              <w:t>教学方法</w:t>
            </w:r>
          </w:p>
        </w:tc>
        <w:tc>
          <w:tcPr>
            <w:tcW w:w="1985" w:type="dxa"/>
            <w:vAlign w:val="center"/>
          </w:tcPr>
          <w:p w14:paraId="2CCF99D7" w14:textId="77777777" w:rsidR="00D72FD2" w:rsidRPr="00D72FD2" w:rsidRDefault="00D72FD2" w:rsidP="00D72FD2">
            <w:pPr>
              <w:spacing w:line="440" w:lineRule="exact"/>
              <w:jc w:val="center"/>
              <w:rPr>
                <w:rFonts w:ascii="宋体" w:eastAsia="宋体" w:hAnsi="宋体" w:cs="Times New Roman"/>
                <w:b/>
                <w:bCs/>
                <w:color w:val="000000"/>
                <w:sz w:val="24"/>
                <w:szCs w:val="24"/>
              </w:rPr>
            </w:pPr>
            <w:r w:rsidRPr="00D72FD2">
              <w:rPr>
                <w:rFonts w:ascii="宋体" w:eastAsia="宋体" w:hAnsi="宋体" w:cs="Times New Roman" w:hint="eastAsia"/>
                <w:b/>
                <w:bCs/>
                <w:color w:val="000000"/>
                <w:sz w:val="24"/>
                <w:szCs w:val="24"/>
              </w:rPr>
              <w:t>支撑的课程目标</w:t>
            </w:r>
          </w:p>
        </w:tc>
        <w:tc>
          <w:tcPr>
            <w:tcW w:w="1276" w:type="dxa"/>
            <w:vAlign w:val="center"/>
          </w:tcPr>
          <w:p w14:paraId="334D8514" w14:textId="77777777" w:rsidR="00D72FD2" w:rsidRPr="00D72FD2" w:rsidRDefault="00D72FD2" w:rsidP="00D72FD2">
            <w:pPr>
              <w:spacing w:line="440" w:lineRule="exact"/>
              <w:jc w:val="center"/>
              <w:rPr>
                <w:rFonts w:ascii="宋体" w:eastAsia="宋体" w:hAnsi="宋体" w:cs="Times New Roman"/>
                <w:b/>
                <w:bCs/>
                <w:color w:val="000000"/>
                <w:sz w:val="24"/>
                <w:szCs w:val="24"/>
              </w:rPr>
            </w:pPr>
            <w:r w:rsidRPr="00D72FD2">
              <w:rPr>
                <w:rFonts w:ascii="宋体" w:eastAsia="宋体" w:hAnsi="宋体" w:cs="Times New Roman" w:hint="eastAsia"/>
                <w:b/>
                <w:bCs/>
                <w:color w:val="000000"/>
                <w:sz w:val="24"/>
                <w:szCs w:val="24"/>
              </w:rPr>
              <w:t>学时安排</w:t>
            </w:r>
          </w:p>
        </w:tc>
      </w:tr>
      <w:tr w:rsidR="00D72FD2" w:rsidRPr="00D72FD2" w14:paraId="0923B011" w14:textId="77777777" w:rsidTr="006B1C7F">
        <w:trPr>
          <w:trHeight w:val="514"/>
          <w:jc w:val="center"/>
        </w:trPr>
        <w:tc>
          <w:tcPr>
            <w:tcW w:w="3968" w:type="dxa"/>
            <w:vAlign w:val="center"/>
          </w:tcPr>
          <w:p w14:paraId="0648544E" w14:textId="77777777" w:rsidR="00D72FD2" w:rsidRPr="00D72FD2" w:rsidRDefault="00D72FD2" w:rsidP="00D72FD2">
            <w:pPr>
              <w:spacing w:line="440" w:lineRule="exact"/>
              <w:jc w:val="lef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第一章 绪论</w:t>
            </w:r>
          </w:p>
        </w:tc>
        <w:tc>
          <w:tcPr>
            <w:tcW w:w="2128" w:type="dxa"/>
            <w:vAlign w:val="center"/>
          </w:tcPr>
          <w:p w14:paraId="1FD6F2AE"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讲授法</w:t>
            </w:r>
          </w:p>
        </w:tc>
        <w:tc>
          <w:tcPr>
            <w:tcW w:w="1985" w:type="dxa"/>
            <w:vAlign w:val="center"/>
          </w:tcPr>
          <w:p w14:paraId="1428B57C"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w:t>
            </w:r>
            <w:r w:rsidRPr="00D72FD2">
              <w:rPr>
                <w:rFonts w:ascii="宋体" w:eastAsia="宋体" w:hAnsi="宋体" w:cs="Times New Roman"/>
                <w:color w:val="000000"/>
                <w:sz w:val="24"/>
                <w:szCs w:val="24"/>
              </w:rPr>
              <w:t>目标</w:t>
            </w:r>
            <w:r w:rsidRPr="00D72FD2">
              <w:rPr>
                <w:rFonts w:ascii="宋体" w:eastAsia="宋体" w:hAnsi="宋体" w:cs="Times New Roman" w:hint="eastAsia"/>
                <w:color w:val="000000"/>
                <w:sz w:val="24"/>
                <w:szCs w:val="24"/>
              </w:rPr>
              <w:t>1</w:t>
            </w:r>
          </w:p>
        </w:tc>
        <w:tc>
          <w:tcPr>
            <w:tcW w:w="1276" w:type="dxa"/>
            <w:vAlign w:val="center"/>
          </w:tcPr>
          <w:p w14:paraId="78C71954"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w:t>
            </w:r>
          </w:p>
        </w:tc>
      </w:tr>
      <w:tr w:rsidR="00D72FD2" w:rsidRPr="00D72FD2" w14:paraId="62590E4A" w14:textId="77777777" w:rsidTr="006B1C7F">
        <w:trPr>
          <w:trHeight w:val="90"/>
          <w:jc w:val="center"/>
        </w:trPr>
        <w:tc>
          <w:tcPr>
            <w:tcW w:w="3968" w:type="dxa"/>
            <w:vAlign w:val="center"/>
          </w:tcPr>
          <w:p w14:paraId="39263C17" w14:textId="77777777" w:rsidR="00D72FD2" w:rsidRPr="00D72FD2" w:rsidRDefault="00D72FD2" w:rsidP="00D72FD2">
            <w:pPr>
              <w:spacing w:line="440" w:lineRule="exact"/>
              <w:jc w:val="lef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第二章 生物药物的安全性检查</w:t>
            </w:r>
          </w:p>
        </w:tc>
        <w:tc>
          <w:tcPr>
            <w:tcW w:w="2128" w:type="dxa"/>
            <w:vAlign w:val="center"/>
          </w:tcPr>
          <w:p w14:paraId="0ADC15E0"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讲授法、案例教学</w:t>
            </w:r>
          </w:p>
        </w:tc>
        <w:tc>
          <w:tcPr>
            <w:tcW w:w="1985" w:type="dxa"/>
          </w:tcPr>
          <w:p w14:paraId="383FEBD9"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w:t>
            </w:r>
            <w:r w:rsidRPr="00D72FD2">
              <w:rPr>
                <w:rFonts w:ascii="宋体" w:eastAsia="宋体" w:hAnsi="宋体" w:cs="Times New Roman"/>
                <w:color w:val="000000"/>
                <w:sz w:val="24"/>
                <w:szCs w:val="24"/>
              </w:rPr>
              <w:t>目标</w:t>
            </w:r>
            <w:r w:rsidRPr="00D72FD2">
              <w:rPr>
                <w:rFonts w:ascii="宋体" w:eastAsia="宋体" w:hAnsi="宋体" w:cs="Times New Roman" w:hint="eastAsia"/>
                <w:color w:val="000000"/>
                <w:sz w:val="24"/>
                <w:szCs w:val="24"/>
              </w:rPr>
              <w:t>1-3</w:t>
            </w:r>
          </w:p>
        </w:tc>
        <w:tc>
          <w:tcPr>
            <w:tcW w:w="1276" w:type="dxa"/>
            <w:vAlign w:val="center"/>
          </w:tcPr>
          <w:p w14:paraId="0747A386"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3</w:t>
            </w:r>
          </w:p>
        </w:tc>
      </w:tr>
      <w:tr w:rsidR="00D72FD2" w:rsidRPr="00D72FD2" w14:paraId="7B0817E0" w14:textId="77777777" w:rsidTr="006B1C7F">
        <w:trPr>
          <w:jc w:val="center"/>
        </w:trPr>
        <w:tc>
          <w:tcPr>
            <w:tcW w:w="3968" w:type="dxa"/>
            <w:vAlign w:val="center"/>
          </w:tcPr>
          <w:p w14:paraId="0D861915" w14:textId="77777777" w:rsidR="00D72FD2" w:rsidRPr="00D72FD2" w:rsidRDefault="00D72FD2" w:rsidP="00D72FD2">
            <w:pPr>
              <w:spacing w:line="440" w:lineRule="exact"/>
              <w:jc w:val="lef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第三章 生物药物的微生物限度检查</w:t>
            </w:r>
          </w:p>
        </w:tc>
        <w:tc>
          <w:tcPr>
            <w:tcW w:w="2128" w:type="dxa"/>
            <w:vAlign w:val="center"/>
          </w:tcPr>
          <w:p w14:paraId="6C7CF931"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讲授法、案例教学</w:t>
            </w:r>
          </w:p>
        </w:tc>
        <w:tc>
          <w:tcPr>
            <w:tcW w:w="1985" w:type="dxa"/>
          </w:tcPr>
          <w:p w14:paraId="1170C058"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w:t>
            </w:r>
            <w:r w:rsidRPr="00D72FD2">
              <w:rPr>
                <w:rFonts w:ascii="宋体" w:eastAsia="宋体" w:hAnsi="宋体" w:cs="Times New Roman"/>
                <w:color w:val="000000"/>
                <w:sz w:val="24"/>
                <w:szCs w:val="24"/>
              </w:rPr>
              <w:t>目标</w:t>
            </w:r>
            <w:r w:rsidRPr="00D72FD2">
              <w:rPr>
                <w:rFonts w:ascii="宋体" w:eastAsia="宋体" w:hAnsi="宋体" w:cs="Times New Roman" w:hint="eastAsia"/>
                <w:color w:val="000000"/>
                <w:sz w:val="24"/>
                <w:szCs w:val="24"/>
              </w:rPr>
              <w:t>1-3</w:t>
            </w:r>
          </w:p>
        </w:tc>
        <w:tc>
          <w:tcPr>
            <w:tcW w:w="1276" w:type="dxa"/>
            <w:vAlign w:val="center"/>
          </w:tcPr>
          <w:p w14:paraId="2D8FA70B"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3</w:t>
            </w:r>
          </w:p>
        </w:tc>
      </w:tr>
      <w:tr w:rsidR="00D72FD2" w:rsidRPr="00D72FD2" w14:paraId="2ECA3225" w14:textId="77777777" w:rsidTr="006B1C7F">
        <w:trPr>
          <w:jc w:val="center"/>
        </w:trPr>
        <w:tc>
          <w:tcPr>
            <w:tcW w:w="3968" w:type="dxa"/>
            <w:vAlign w:val="center"/>
          </w:tcPr>
          <w:p w14:paraId="0088E623" w14:textId="77777777" w:rsidR="00D72FD2" w:rsidRPr="00D72FD2" w:rsidRDefault="00D72FD2" w:rsidP="00D72FD2">
            <w:pPr>
              <w:spacing w:line="440" w:lineRule="exact"/>
              <w:jc w:val="lef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第四章 生物药物的酶学分析法</w:t>
            </w:r>
          </w:p>
        </w:tc>
        <w:tc>
          <w:tcPr>
            <w:tcW w:w="2128" w:type="dxa"/>
            <w:vAlign w:val="center"/>
          </w:tcPr>
          <w:p w14:paraId="1EF186A3"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讲授法、案例教学</w:t>
            </w:r>
          </w:p>
        </w:tc>
        <w:tc>
          <w:tcPr>
            <w:tcW w:w="1985" w:type="dxa"/>
          </w:tcPr>
          <w:p w14:paraId="32C6DE5A"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w:t>
            </w:r>
            <w:r w:rsidRPr="00D72FD2">
              <w:rPr>
                <w:rFonts w:ascii="宋体" w:eastAsia="宋体" w:hAnsi="宋体" w:cs="Times New Roman"/>
                <w:color w:val="000000"/>
                <w:sz w:val="24"/>
                <w:szCs w:val="24"/>
              </w:rPr>
              <w:t>目标</w:t>
            </w:r>
            <w:r w:rsidRPr="00D72FD2">
              <w:rPr>
                <w:rFonts w:ascii="宋体" w:eastAsia="宋体" w:hAnsi="宋体" w:cs="Times New Roman" w:hint="eastAsia"/>
                <w:color w:val="000000"/>
                <w:sz w:val="24"/>
                <w:szCs w:val="24"/>
              </w:rPr>
              <w:t>1-3</w:t>
            </w:r>
          </w:p>
        </w:tc>
        <w:tc>
          <w:tcPr>
            <w:tcW w:w="1276" w:type="dxa"/>
            <w:vAlign w:val="center"/>
          </w:tcPr>
          <w:p w14:paraId="124CFE73"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w:t>
            </w:r>
          </w:p>
        </w:tc>
      </w:tr>
      <w:tr w:rsidR="00D72FD2" w:rsidRPr="00D72FD2" w14:paraId="2449755F" w14:textId="77777777" w:rsidTr="006B1C7F">
        <w:trPr>
          <w:jc w:val="center"/>
        </w:trPr>
        <w:tc>
          <w:tcPr>
            <w:tcW w:w="3968" w:type="dxa"/>
            <w:vAlign w:val="center"/>
          </w:tcPr>
          <w:p w14:paraId="1DF285A8" w14:textId="77777777" w:rsidR="00D72FD2" w:rsidRPr="00D72FD2" w:rsidRDefault="00D72FD2" w:rsidP="00D72FD2">
            <w:pPr>
              <w:spacing w:line="440" w:lineRule="exact"/>
              <w:jc w:val="lef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第五章 抗生素类药物的分析</w:t>
            </w:r>
          </w:p>
        </w:tc>
        <w:tc>
          <w:tcPr>
            <w:tcW w:w="2128" w:type="dxa"/>
            <w:vAlign w:val="center"/>
          </w:tcPr>
          <w:p w14:paraId="7BFE2F71"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讲授法、案例教学</w:t>
            </w:r>
          </w:p>
        </w:tc>
        <w:tc>
          <w:tcPr>
            <w:tcW w:w="1985" w:type="dxa"/>
          </w:tcPr>
          <w:p w14:paraId="616F0D74"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w:t>
            </w:r>
            <w:r w:rsidRPr="00D72FD2">
              <w:rPr>
                <w:rFonts w:ascii="宋体" w:eastAsia="宋体" w:hAnsi="宋体" w:cs="Times New Roman"/>
                <w:color w:val="000000"/>
                <w:sz w:val="24"/>
                <w:szCs w:val="24"/>
              </w:rPr>
              <w:t>目标</w:t>
            </w:r>
            <w:r w:rsidRPr="00D72FD2">
              <w:rPr>
                <w:rFonts w:ascii="宋体" w:eastAsia="宋体" w:hAnsi="宋体" w:cs="Times New Roman" w:hint="eastAsia"/>
                <w:color w:val="000000"/>
                <w:sz w:val="24"/>
                <w:szCs w:val="24"/>
              </w:rPr>
              <w:t>1-3</w:t>
            </w:r>
          </w:p>
        </w:tc>
        <w:tc>
          <w:tcPr>
            <w:tcW w:w="1276" w:type="dxa"/>
            <w:vAlign w:val="center"/>
          </w:tcPr>
          <w:p w14:paraId="7C64060F"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w:t>
            </w:r>
          </w:p>
        </w:tc>
      </w:tr>
      <w:tr w:rsidR="00D72FD2" w:rsidRPr="00D72FD2" w14:paraId="7EC89694" w14:textId="77777777" w:rsidTr="006B1C7F">
        <w:trPr>
          <w:trHeight w:val="431"/>
          <w:jc w:val="center"/>
        </w:trPr>
        <w:tc>
          <w:tcPr>
            <w:tcW w:w="3968" w:type="dxa"/>
            <w:vAlign w:val="center"/>
          </w:tcPr>
          <w:p w14:paraId="3128842C" w14:textId="77777777" w:rsidR="00D72FD2" w:rsidRPr="00D72FD2" w:rsidRDefault="00D72FD2" w:rsidP="00D72FD2">
            <w:pPr>
              <w:spacing w:line="440" w:lineRule="exact"/>
              <w:jc w:val="lef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第六章 疫苗类药物的分析</w:t>
            </w:r>
          </w:p>
        </w:tc>
        <w:tc>
          <w:tcPr>
            <w:tcW w:w="2128" w:type="dxa"/>
            <w:vAlign w:val="center"/>
          </w:tcPr>
          <w:p w14:paraId="7A634A79"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讲授法、案例教学</w:t>
            </w:r>
          </w:p>
        </w:tc>
        <w:tc>
          <w:tcPr>
            <w:tcW w:w="1985" w:type="dxa"/>
          </w:tcPr>
          <w:p w14:paraId="4E2CF087"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w:t>
            </w:r>
            <w:r w:rsidRPr="00D72FD2">
              <w:rPr>
                <w:rFonts w:ascii="宋体" w:eastAsia="宋体" w:hAnsi="宋体" w:cs="Times New Roman"/>
                <w:color w:val="000000"/>
                <w:sz w:val="24"/>
                <w:szCs w:val="24"/>
              </w:rPr>
              <w:t>目标</w:t>
            </w:r>
            <w:r w:rsidRPr="00D72FD2">
              <w:rPr>
                <w:rFonts w:ascii="宋体" w:eastAsia="宋体" w:hAnsi="宋体" w:cs="Times New Roman" w:hint="eastAsia"/>
                <w:color w:val="000000"/>
                <w:sz w:val="24"/>
                <w:szCs w:val="24"/>
              </w:rPr>
              <w:t>1-3</w:t>
            </w:r>
          </w:p>
        </w:tc>
        <w:tc>
          <w:tcPr>
            <w:tcW w:w="1276" w:type="dxa"/>
            <w:vAlign w:val="center"/>
          </w:tcPr>
          <w:p w14:paraId="2D144C87"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w:t>
            </w:r>
          </w:p>
        </w:tc>
      </w:tr>
      <w:tr w:rsidR="00D72FD2" w:rsidRPr="00D72FD2" w14:paraId="6806AC50" w14:textId="77777777" w:rsidTr="006B1C7F">
        <w:trPr>
          <w:jc w:val="center"/>
        </w:trPr>
        <w:tc>
          <w:tcPr>
            <w:tcW w:w="3968" w:type="dxa"/>
            <w:vAlign w:val="center"/>
          </w:tcPr>
          <w:p w14:paraId="7045AD2A" w14:textId="77777777" w:rsidR="00D72FD2" w:rsidRPr="00D72FD2" w:rsidRDefault="00D72FD2" w:rsidP="00D72FD2">
            <w:pPr>
              <w:spacing w:line="440" w:lineRule="exact"/>
              <w:jc w:val="lef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第七章 血液制品类药物的分析</w:t>
            </w:r>
          </w:p>
        </w:tc>
        <w:tc>
          <w:tcPr>
            <w:tcW w:w="2128" w:type="dxa"/>
            <w:vAlign w:val="center"/>
          </w:tcPr>
          <w:p w14:paraId="3C1118C6"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讲授法、案例教学</w:t>
            </w:r>
          </w:p>
        </w:tc>
        <w:tc>
          <w:tcPr>
            <w:tcW w:w="1985" w:type="dxa"/>
          </w:tcPr>
          <w:p w14:paraId="76F028C9"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w:t>
            </w:r>
            <w:r w:rsidRPr="00D72FD2">
              <w:rPr>
                <w:rFonts w:ascii="宋体" w:eastAsia="宋体" w:hAnsi="宋体" w:cs="Times New Roman"/>
                <w:color w:val="000000"/>
                <w:sz w:val="24"/>
                <w:szCs w:val="24"/>
              </w:rPr>
              <w:t>目标</w:t>
            </w:r>
            <w:r w:rsidRPr="00D72FD2">
              <w:rPr>
                <w:rFonts w:ascii="宋体" w:eastAsia="宋体" w:hAnsi="宋体" w:cs="Times New Roman" w:hint="eastAsia"/>
                <w:color w:val="000000"/>
                <w:sz w:val="24"/>
                <w:szCs w:val="24"/>
              </w:rPr>
              <w:t>1-3</w:t>
            </w:r>
          </w:p>
        </w:tc>
        <w:tc>
          <w:tcPr>
            <w:tcW w:w="1276" w:type="dxa"/>
            <w:vAlign w:val="center"/>
          </w:tcPr>
          <w:p w14:paraId="7659A472"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w:t>
            </w:r>
          </w:p>
        </w:tc>
      </w:tr>
      <w:tr w:rsidR="00D72FD2" w:rsidRPr="00D72FD2" w14:paraId="2D0DACE1" w14:textId="77777777" w:rsidTr="006B1C7F">
        <w:trPr>
          <w:jc w:val="center"/>
        </w:trPr>
        <w:tc>
          <w:tcPr>
            <w:tcW w:w="8081" w:type="dxa"/>
            <w:gridSpan w:val="3"/>
            <w:vAlign w:val="center"/>
          </w:tcPr>
          <w:p w14:paraId="630D5F7D" w14:textId="77777777" w:rsidR="00D72FD2" w:rsidRPr="00D72FD2" w:rsidRDefault="00D72FD2" w:rsidP="00D72FD2">
            <w:pPr>
              <w:spacing w:line="440" w:lineRule="exact"/>
              <w:jc w:val="center"/>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合计</w:t>
            </w:r>
          </w:p>
        </w:tc>
        <w:tc>
          <w:tcPr>
            <w:tcW w:w="1276" w:type="dxa"/>
            <w:vAlign w:val="center"/>
          </w:tcPr>
          <w:p w14:paraId="131523DE" w14:textId="77777777" w:rsidR="00D72FD2" w:rsidRPr="00D72FD2" w:rsidRDefault="00D72FD2" w:rsidP="00D72FD2">
            <w:pPr>
              <w:spacing w:line="440" w:lineRule="exact"/>
              <w:jc w:val="center"/>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16</w:t>
            </w:r>
          </w:p>
        </w:tc>
      </w:tr>
    </w:tbl>
    <w:p w14:paraId="00ADF42E" w14:textId="77777777" w:rsidR="00D72FD2" w:rsidRPr="00D72FD2" w:rsidRDefault="00D72FD2" w:rsidP="00D72FD2">
      <w:pPr>
        <w:spacing w:beforeLines="50" w:before="156" w:afterLines="50" w:after="156" w:line="440" w:lineRule="exact"/>
        <w:ind w:firstLineChars="200" w:firstLine="560"/>
        <w:rPr>
          <w:rFonts w:ascii="宋体" w:eastAsia="宋体" w:hAnsi="宋体" w:cs="Times New Roman"/>
          <w:color w:val="000000"/>
          <w:sz w:val="24"/>
          <w:szCs w:val="24"/>
        </w:rPr>
      </w:pPr>
      <w:r w:rsidRPr="00D72FD2">
        <w:rPr>
          <w:rFonts w:ascii="黑体" w:eastAsia="黑体" w:hAnsi="黑体" w:cs="Times New Roman" w:hint="eastAsia"/>
          <w:color w:val="000000"/>
          <w:sz w:val="28"/>
          <w:szCs w:val="28"/>
        </w:rPr>
        <w:t>四、课程考核及与课程学习目标的对应关系</w:t>
      </w:r>
    </w:p>
    <w:p w14:paraId="2C7D4448"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8"/>
        <w:gridCol w:w="7932"/>
      </w:tblGrid>
      <w:tr w:rsidR="00D72FD2" w:rsidRPr="00D72FD2" w14:paraId="4D1FFA9F" w14:textId="77777777" w:rsidTr="006B1C7F">
        <w:trPr>
          <w:trHeight w:val="515"/>
          <w:jc w:val="center"/>
        </w:trPr>
        <w:tc>
          <w:tcPr>
            <w:tcW w:w="1408" w:type="dxa"/>
          </w:tcPr>
          <w:p w14:paraId="5CB14124" w14:textId="77777777" w:rsidR="00D72FD2" w:rsidRPr="00D72FD2" w:rsidRDefault="00D72FD2" w:rsidP="00D72FD2">
            <w:pPr>
              <w:spacing w:line="440" w:lineRule="exact"/>
              <w:jc w:val="center"/>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lastRenderedPageBreak/>
              <w:t>课程目标</w:t>
            </w:r>
          </w:p>
        </w:tc>
        <w:tc>
          <w:tcPr>
            <w:tcW w:w="7932" w:type="dxa"/>
            <w:vAlign w:val="center"/>
          </w:tcPr>
          <w:p w14:paraId="171CF642" w14:textId="77777777" w:rsidR="00D72FD2" w:rsidRPr="00D72FD2" w:rsidRDefault="00D72FD2" w:rsidP="00D72FD2">
            <w:pPr>
              <w:spacing w:line="440" w:lineRule="exact"/>
              <w:jc w:val="center"/>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考核内容</w:t>
            </w:r>
          </w:p>
        </w:tc>
      </w:tr>
      <w:tr w:rsidR="00D72FD2" w:rsidRPr="00D72FD2" w14:paraId="71B02B1E" w14:textId="77777777" w:rsidTr="006B1C7F">
        <w:trPr>
          <w:jc w:val="center"/>
        </w:trPr>
        <w:tc>
          <w:tcPr>
            <w:tcW w:w="1408" w:type="dxa"/>
            <w:vAlign w:val="center"/>
          </w:tcPr>
          <w:p w14:paraId="5EDE8BE3" w14:textId="77777777" w:rsidR="00D72FD2" w:rsidRPr="00D72FD2" w:rsidRDefault="00D72FD2" w:rsidP="00D72FD2">
            <w:pPr>
              <w:spacing w:line="440" w:lineRule="exact"/>
              <w:jc w:val="center"/>
              <w:rPr>
                <w:rFonts w:ascii="宋体" w:eastAsia="宋体" w:hAnsi="宋体" w:cs="Times New Roman"/>
                <w:bCs/>
                <w:color w:val="000000"/>
                <w:sz w:val="24"/>
                <w:szCs w:val="24"/>
              </w:rPr>
            </w:pPr>
            <w:r w:rsidRPr="00D72FD2">
              <w:rPr>
                <w:rFonts w:ascii="宋体" w:eastAsia="宋体" w:hAnsi="宋体" w:cs="Times New Roman" w:hint="eastAsia"/>
                <w:color w:val="000000"/>
                <w:sz w:val="24"/>
                <w:szCs w:val="24"/>
              </w:rPr>
              <w:t>课程</w:t>
            </w:r>
            <w:r w:rsidRPr="00D72FD2">
              <w:rPr>
                <w:rFonts w:ascii="宋体" w:eastAsia="宋体" w:hAnsi="宋体" w:cs="Times New Roman"/>
                <w:color w:val="000000"/>
                <w:sz w:val="24"/>
                <w:szCs w:val="24"/>
              </w:rPr>
              <w:t>目标</w:t>
            </w:r>
            <w:r w:rsidRPr="00D72FD2">
              <w:rPr>
                <w:rFonts w:ascii="宋体" w:eastAsia="宋体" w:hAnsi="宋体" w:cs="Times New Roman" w:hint="eastAsia"/>
                <w:color w:val="000000"/>
                <w:sz w:val="24"/>
                <w:szCs w:val="24"/>
              </w:rPr>
              <w:t>1-3</w:t>
            </w:r>
          </w:p>
        </w:tc>
        <w:tc>
          <w:tcPr>
            <w:tcW w:w="7932" w:type="dxa"/>
            <w:vAlign w:val="center"/>
          </w:tcPr>
          <w:p w14:paraId="1AA97369" w14:textId="77777777" w:rsidR="00D72FD2" w:rsidRPr="00D72FD2" w:rsidRDefault="00D72FD2" w:rsidP="00D72FD2">
            <w:pPr>
              <w:spacing w:line="440" w:lineRule="exact"/>
              <w:rPr>
                <w:rFonts w:ascii="宋体" w:eastAsia="宋体" w:hAnsi="宋体" w:cs="Times New Roman"/>
                <w:bCs/>
                <w:color w:val="000000"/>
                <w:sz w:val="24"/>
                <w:szCs w:val="24"/>
              </w:rPr>
            </w:pPr>
            <w:r w:rsidRPr="00D72FD2">
              <w:rPr>
                <w:rFonts w:ascii="宋体" w:eastAsia="宋体" w:hAnsi="宋体" w:cs="Times New Roman" w:hint="eastAsia"/>
                <w:bCs/>
                <w:color w:val="000000"/>
                <w:sz w:val="24"/>
                <w:szCs w:val="24"/>
              </w:rPr>
              <w:t>1.生物药物分析在药学科学领域中的地位，建立全面的药品质量管理概念。</w:t>
            </w:r>
          </w:p>
          <w:p w14:paraId="71BD44DB" w14:textId="77777777" w:rsidR="00D72FD2" w:rsidRPr="00D72FD2" w:rsidRDefault="00D72FD2" w:rsidP="00D72FD2">
            <w:pPr>
              <w:spacing w:line="440" w:lineRule="exact"/>
              <w:rPr>
                <w:rFonts w:ascii="宋体" w:eastAsia="宋体" w:hAnsi="宋体" w:cs="Times New Roman"/>
                <w:bCs/>
                <w:color w:val="000000"/>
                <w:sz w:val="24"/>
                <w:szCs w:val="24"/>
              </w:rPr>
            </w:pPr>
            <w:r w:rsidRPr="00D72FD2">
              <w:rPr>
                <w:rFonts w:ascii="宋体" w:eastAsia="宋体" w:hAnsi="宋体" w:cs="Times New Roman" w:hint="eastAsia"/>
                <w:bCs/>
                <w:color w:val="000000"/>
                <w:sz w:val="24"/>
                <w:szCs w:val="24"/>
              </w:rPr>
              <w:t>2.生物药物及其制剂分析技术的基本原理与基本方法。</w:t>
            </w:r>
          </w:p>
          <w:p w14:paraId="05076ADE" w14:textId="77777777" w:rsidR="00D72FD2" w:rsidRPr="00D72FD2" w:rsidRDefault="00D72FD2" w:rsidP="00D72FD2">
            <w:pPr>
              <w:spacing w:line="440" w:lineRule="exact"/>
              <w:rPr>
                <w:rFonts w:ascii="宋体" w:eastAsia="宋体" w:hAnsi="宋体" w:cs="Times New Roman"/>
                <w:bCs/>
                <w:color w:val="000000"/>
                <w:sz w:val="24"/>
                <w:szCs w:val="24"/>
              </w:rPr>
            </w:pPr>
            <w:r w:rsidRPr="00D72FD2">
              <w:rPr>
                <w:rFonts w:ascii="宋体" w:eastAsia="宋体" w:hAnsi="宋体" w:cs="Times New Roman" w:hint="eastAsia"/>
                <w:bCs/>
                <w:color w:val="000000"/>
                <w:sz w:val="24"/>
                <w:szCs w:val="24"/>
              </w:rPr>
              <w:t>3.常用检测技术在生物药物分析工作中的应用。</w:t>
            </w:r>
          </w:p>
          <w:p w14:paraId="089B69F2" w14:textId="77777777" w:rsidR="00D72FD2" w:rsidRPr="00D72FD2" w:rsidRDefault="00D72FD2" w:rsidP="00D72FD2">
            <w:pPr>
              <w:spacing w:line="440" w:lineRule="exact"/>
              <w:rPr>
                <w:rFonts w:ascii="宋体" w:eastAsia="宋体" w:hAnsi="宋体" w:cs="Times New Roman"/>
                <w:bCs/>
                <w:color w:val="000000"/>
                <w:sz w:val="24"/>
                <w:szCs w:val="24"/>
              </w:rPr>
            </w:pPr>
            <w:r w:rsidRPr="00D72FD2">
              <w:rPr>
                <w:rFonts w:ascii="宋体" w:eastAsia="宋体" w:hAnsi="宋体" w:cs="Times New Roman" w:hint="eastAsia"/>
                <w:bCs/>
                <w:color w:val="000000"/>
                <w:sz w:val="24"/>
                <w:szCs w:val="24"/>
              </w:rPr>
              <w:t>4.主要国外药典中有关药品的质量标准。</w:t>
            </w:r>
          </w:p>
          <w:p w14:paraId="4D3C0B3B" w14:textId="77777777" w:rsidR="00D72FD2" w:rsidRPr="00D72FD2" w:rsidRDefault="00D72FD2" w:rsidP="00D72FD2">
            <w:pPr>
              <w:spacing w:line="440" w:lineRule="exact"/>
              <w:rPr>
                <w:rFonts w:ascii="宋体" w:eastAsia="宋体" w:hAnsi="宋体" w:cs="Times New Roman"/>
                <w:bCs/>
                <w:color w:val="000000"/>
                <w:sz w:val="24"/>
                <w:szCs w:val="24"/>
              </w:rPr>
            </w:pPr>
            <w:r w:rsidRPr="00D72FD2">
              <w:rPr>
                <w:rFonts w:ascii="宋体" w:eastAsia="宋体" w:hAnsi="宋体" w:cs="Times New Roman" w:hint="eastAsia"/>
                <w:bCs/>
                <w:color w:val="000000"/>
                <w:sz w:val="24"/>
                <w:szCs w:val="24"/>
              </w:rPr>
              <w:t>5.生物药品检验工作的基本程序。</w:t>
            </w:r>
          </w:p>
          <w:p w14:paraId="1387B79E" w14:textId="77777777" w:rsidR="00D72FD2" w:rsidRPr="00D72FD2" w:rsidRDefault="00D72FD2" w:rsidP="00D72FD2">
            <w:pPr>
              <w:spacing w:line="440" w:lineRule="exact"/>
              <w:rPr>
                <w:rFonts w:ascii="宋体" w:eastAsia="宋体" w:hAnsi="宋体" w:cs="Times New Roman"/>
                <w:bCs/>
                <w:color w:val="000000"/>
                <w:sz w:val="24"/>
                <w:szCs w:val="24"/>
              </w:rPr>
            </w:pPr>
            <w:r w:rsidRPr="00D72FD2">
              <w:rPr>
                <w:rFonts w:ascii="宋体" w:eastAsia="宋体" w:hAnsi="宋体" w:cs="Times New Roman" w:hint="eastAsia"/>
                <w:bCs/>
                <w:color w:val="000000"/>
                <w:sz w:val="24"/>
                <w:szCs w:val="24"/>
              </w:rPr>
              <w:t>6.生物药品质量分析方法的建立和各项效能指标的评价。</w:t>
            </w:r>
          </w:p>
          <w:p w14:paraId="589BF26D" w14:textId="77777777" w:rsidR="00D72FD2" w:rsidRPr="00D72FD2" w:rsidRDefault="00D72FD2" w:rsidP="00D72FD2">
            <w:pPr>
              <w:spacing w:line="440" w:lineRule="exact"/>
              <w:rPr>
                <w:rFonts w:ascii="宋体" w:eastAsia="宋体" w:hAnsi="宋体" w:cs="Times New Roman"/>
                <w:bCs/>
                <w:color w:val="000000"/>
                <w:sz w:val="24"/>
                <w:szCs w:val="24"/>
              </w:rPr>
            </w:pPr>
            <w:r w:rsidRPr="00D72FD2">
              <w:rPr>
                <w:rFonts w:ascii="宋体" w:eastAsia="宋体" w:hAnsi="宋体" w:cs="Times New Roman" w:hint="eastAsia"/>
                <w:bCs/>
                <w:color w:val="000000"/>
                <w:sz w:val="24"/>
                <w:szCs w:val="24"/>
              </w:rPr>
              <w:t>7.我国药典收载的常见类型生物药物及其制剂的质量标准。</w:t>
            </w:r>
          </w:p>
        </w:tc>
      </w:tr>
    </w:tbl>
    <w:p w14:paraId="0E7310D8"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（二）课程考核方式</w:t>
      </w:r>
    </w:p>
    <w:p w14:paraId="6F59D428" w14:textId="77777777" w:rsidR="00D72FD2" w:rsidRPr="00D72FD2" w:rsidRDefault="00D72FD2" w:rsidP="00D72FD2">
      <w:pPr>
        <w:adjustRightInd w:val="0"/>
        <w:snapToGrid w:val="0"/>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课程考核方式分为平时考核和期末考核。</w:t>
      </w:r>
    </w:p>
    <w:p w14:paraId="642CEA61" w14:textId="77777777" w:rsidR="00D72FD2" w:rsidRPr="00D72FD2" w:rsidRDefault="00D72FD2" w:rsidP="00D72FD2">
      <w:pPr>
        <w:adjustRightInd w:val="0"/>
        <w:snapToGrid w:val="0"/>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平时考核方式包括：课堂表现、平时作业；</w:t>
      </w:r>
    </w:p>
    <w:p w14:paraId="2A288227" w14:textId="77777777" w:rsidR="00D72FD2" w:rsidRPr="00D72FD2" w:rsidRDefault="00D72FD2" w:rsidP="00D72FD2">
      <w:pPr>
        <w:adjustRightInd w:val="0"/>
        <w:snapToGrid w:val="0"/>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期末考核采用课程论文</w:t>
      </w:r>
    </w:p>
    <w:p w14:paraId="6F15CFC2"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（三）课程目标达成评价方式及考核比例</w:t>
      </w:r>
    </w:p>
    <w:p w14:paraId="32D02B28" w14:textId="77777777" w:rsidR="00D72FD2" w:rsidRPr="00D72FD2" w:rsidRDefault="00D72FD2" w:rsidP="00D72FD2">
      <w:pPr>
        <w:adjustRightInd w:val="0"/>
        <w:snapToGrid w:val="0"/>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《生物药物分析》课程考核方式及成绩比例为：课堂表现20%+平时作业20%+期末考试60%。；本课程共有2个课程目标，考核方式及成绩比例分别为：</w:t>
      </w:r>
    </w:p>
    <w:p w14:paraId="771463BC" w14:textId="77777777" w:rsidR="00D72FD2" w:rsidRPr="00D72FD2" w:rsidRDefault="00D72FD2" w:rsidP="00D72FD2">
      <w:pPr>
        <w:adjustRightInd w:val="0"/>
        <w:snapToGrid w:val="0"/>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课程目标1-3：课堂表现20%+平时作业20%+期末考试60%</w:t>
      </w:r>
    </w:p>
    <w:p w14:paraId="64432B11"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如下图：</w:t>
      </w:r>
    </w:p>
    <w:tbl>
      <w:tblPr>
        <w:tblW w:w="91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24"/>
        <w:gridCol w:w="1559"/>
        <w:gridCol w:w="1717"/>
        <w:gridCol w:w="1559"/>
      </w:tblGrid>
      <w:tr w:rsidR="00D72FD2" w:rsidRPr="00D72FD2" w14:paraId="4BE78235" w14:textId="77777777" w:rsidTr="006B1C7F">
        <w:trPr>
          <w:trHeight w:val="361"/>
          <w:jc w:val="center"/>
        </w:trPr>
        <w:tc>
          <w:tcPr>
            <w:tcW w:w="1602" w:type="dxa"/>
            <w:vMerge w:val="restart"/>
            <w:vAlign w:val="center"/>
          </w:tcPr>
          <w:p w14:paraId="7FD80A1B" w14:textId="77777777" w:rsidR="00D72FD2" w:rsidRPr="00D72FD2" w:rsidRDefault="00D72FD2" w:rsidP="00D72FD2">
            <w:pPr>
              <w:spacing w:line="440" w:lineRule="exact"/>
              <w:jc w:val="center"/>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课程目标</w:t>
            </w:r>
          </w:p>
        </w:tc>
        <w:tc>
          <w:tcPr>
            <w:tcW w:w="6000" w:type="dxa"/>
            <w:gridSpan w:val="3"/>
          </w:tcPr>
          <w:p w14:paraId="1E08B355" w14:textId="77777777" w:rsidR="00D72FD2" w:rsidRPr="00D72FD2" w:rsidRDefault="00D72FD2" w:rsidP="00D72FD2">
            <w:pPr>
              <w:spacing w:line="440" w:lineRule="exact"/>
              <w:jc w:val="center"/>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考核方式及成绩比例（%）</w:t>
            </w:r>
          </w:p>
        </w:tc>
        <w:tc>
          <w:tcPr>
            <w:tcW w:w="1559" w:type="dxa"/>
            <w:vMerge w:val="restart"/>
            <w:vAlign w:val="center"/>
          </w:tcPr>
          <w:p w14:paraId="4ED491BB" w14:textId="77777777" w:rsidR="00D72FD2" w:rsidRPr="00D72FD2" w:rsidRDefault="00D72FD2" w:rsidP="00D72FD2">
            <w:pPr>
              <w:spacing w:line="440" w:lineRule="exact"/>
              <w:jc w:val="center"/>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合计</w:t>
            </w:r>
          </w:p>
        </w:tc>
      </w:tr>
      <w:tr w:rsidR="00D72FD2" w:rsidRPr="00D72FD2" w14:paraId="5840D1CD" w14:textId="77777777" w:rsidTr="006B1C7F">
        <w:trPr>
          <w:trHeight w:val="417"/>
          <w:jc w:val="center"/>
        </w:trPr>
        <w:tc>
          <w:tcPr>
            <w:tcW w:w="1602" w:type="dxa"/>
            <w:vMerge/>
            <w:vAlign w:val="center"/>
          </w:tcPr>
          <w:p w14:paraId="0B7B0BD7" w14:textId="77777777" w:rsidR="00D72FD2" w:rsidRPr="00D72FD2" w:rsidRDefault="00D72FD2" w:rsidP="00D72FD2">
            <w:pPr>
              <w:spacing w:line="440" w:lineRule="exact"/>
              <w:jc w:val="center"/>
              <w:rPr>
                <w:rFonts w:ascii="宋体" w:eastAsia="宋体" w:hAnsi="宋体" w:cs="Times New Roman"/>
                <w:b/>
                <w:color w:val="000000"/>
                <w:sz w:val="24"/>
                <w:szCs w:val="24"/>
              </w:rPr>
            </w:pPr>
          </w:p>
        </w:tc>
        <w:tc>
          <w:tcPr>
            <w:tcW w:w="2724" w:type="dxa"/>
          </w:tcPr>
          <w:p w14:paraId="0A81EFC1" w14:textId="77777777" w:rsidR="00D72FD2" w:rsidRPr="00D72FD2" w:rsidRDefault="00D72FD2" w:rsidP="00D72FD2">
            <w:pPr>
              <w:spacing w:line="440" w:lineRule="exact"/>
              <w:jc w:val="center"/>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课堂表现</w:t>
            </w:r>
          </w:p>
        </w:tc>
        <w:tc>
          <w:tcPr>
            <w:tcW w:w="1559" w:type="dxa"/>
            <w:vAlign w:val="center"/>
          </w:tcPr>
          <w:p w14:paraId="35D77EE1" w14:textId="77777777" w:rsidR="00D72FD2" w:rsidRPr="00D72FD2" w:rsidRDefault="00D72FD2" w:rsidP="00D72FD2">
            <w:pPr>
              <w:spacing w:line="440" w:lineRule="exact"/>
              <w:jc w:val="center"/>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平时作业</w:t>
            </w:r>
          </w:p>
        </w:tc>
        <w:tc>
          <w:tcPr>
            <w:tcW w:w="1717" w:type="dxa"/>
            <w:vAlign w:val="center"/>
          </w:tcPr>
          <w:p w14:paraId="272B4752" w14:textId="77777777" w:rsidR="00D72FD2" w:rsidRPr="00D72FD2" w:rsidRDefault="00D72FD2" w:rsidP="00D72FD2">
            <w:pPr>
              <w:spacing w:line="440" w:lineRule="exact"/>
              <w:jc w:val="center"/>
              <w:rPr>
                <w:rFonts w:ascii="宋体" w:eastAsia="宋体" w:hAnsi="宋体" w:cs="Times New Roman"/>
                <w:b/>
                <w:color w:val="000000"/>
                <w:sz w:val="24"/>
                <w:szCs w:val="24"/>
              </w:rPr>
            </w:pPr>
            <w:r w:rsidRPr="00D72FD2">
              <w:rPr>
                <w:rFonts w:ascii="宋体" w:eastAsia="宋体" w:hAnsi="宋体" w:cs="Times New Roman" w:hint="eastAsia"/>
                <w:b/>
                <w:color w:val="000000"/>
                <w:sz w:val="24"/>
                <w:szCs w:val="24"/>
              </w:rPr>
              <w:t>课程论文</w:t>
            </w:r>
          </w:p>
        </w:tc>
        <w:tc>
          <w:tcPr>
            <w:tcW w:w="1559" w:type="dxa"/>
            <w:vMerge/>
          </w:tcPr>
          <w:p w14:paraId="425BD680" w14:textId="77777777" w:rsidR="00D72FD2" w:rsidRPr="00D72FD2" w:rsidRDefault="00D72FD2" w:rsidP="00D72FD2">
            <w:pPr>
              <w:spacing w:line="440" w:lineRule="exact"/>
              <w:jc w:val="center"/>
              <w:rPr>
                <w:rFonts w:ascii="宋体" w:eastAsia="宋体" w:hAnsi="宋体" w:cs="Times New Roman"/>
                <w:b/>
                <w:color w:val="000000"/>
                <w:sz w:val="24"/>
                <w:szCs w:val="24"/>
              </w:rPr>
            </w:pPr>
          </w:p>
        </w:tc>
      </w:tr>
      <w:tr w:rsidR="00D72FD2" w:rsidRPr="00D72FD2" w14:paraId="59E6EE5F" w14:textId="77777777" w:rsidTr="006B1C7F">
        <w:trPr>
          <w:jc w:val="center"/>
        </w:trPr>
        <w:tc>
          <w:tcPr>
            <w:tcW w:w="1602" w:type="dxa"/>
            <w:vAlign w:val="center"/>
          </w:tcPr>
          <w:p w14:paraId="49BD957D" w14:textId="77777777" w:rsidR="00D72FD2" w:rsidRPr="00D72FD2" w:rsidRDefault="00D72FD2" w:rsidP="00D72FD2">
            <w:pPr>
              <w:spacing w:line="440" w:lineRule="exact"/>
              <w:jc w:val="center"/>
              <w:rPr>
                <w:rFonts w:ascii="宋体" w:eastAsia="宋体" w:hAnsi="宋体" w:cs="Times New Roman"/>
                <w:bCs/>
                <w:color w:val="000000"/>
                <w:sz w:val="24"/>
                <w:szCs w:val="24"/>
              </w:rPr>
            </w:pPr>
            <w:r w:rsidRPr="00D72FD2">
              <w:rPr>
                <w:rFonts w:ascii="宋体" w:eastAsia="宋体" w:hAnsi="宋体" w:cs="Times New Roman" w:hint="eastAsia"/>
                <w:bCs/>
                <w:color w:val="000000"/>
                <w:sz w:val="24"/>
                <w:szCs w:val="24"/>
              </w:rPr>
              <w:t>课程目标1-3</w:t>
            </w:r>
          </w:p>
        </w:tc>
        <w:tc>
          <w:tcPr>
            <w:tcW w:w="2724" w:type="dxa"/>
            <w:vAlign w:val="center"/>
          </w:tcPr>
          <w:p w14:paraId="091CCB75" w14:textId="77777777" w:rsidR="00D72FD2" w:rsidRPr="00D72FD2" w:rsidRDefault="00D72FD2" w:rsidP="00D72FD2">
            <w:pPr>
              <w:spacing w:line="440" w:lineRule="exact"/>
              <w:jc w:val="center"/>
              <w:rPr>
                <w:rFonts w:ascii="宋体" w:eastAsia="宋体" w:hAnsi="宋体" w:cs="Times New Roman"/>
                <w:bCs/>
                <w:color w:val="000000"/>
                <w:sz w:val="24"/>
                <w:szCs w:val="24"/>
              </w:rPr>
            </w:pPr>
            <w:r w:rsidRPr="00D72FD2">
              <w:rPr>
                <w:rFonts w:ascii="宋体" w:eastAsia="宋体" w:hAnsi="宋体" w:cs="Times New Roman" w:hint="eastAsia"/>
                <w:bCs/>
                <w:color w:val="000000"/>
                <w:sz w:val="24"/>
                <w:szCs w:val="24"/>
              </w:rPr>
              <w:t>20</w:t>
            </w:r>
          </w:p>
        </w:tc>
        <w:tc>
          <w:tcPr>
            <w:tcW w:w="1559" w:type="dxa"/>
            <w:vAlign w:val="center"/>
          </w:tcPr>
          <w:p w14:paraId="30B60253" w14:textId="77777777" w:rsidR="00D72FD2" w:rsidRPr="00D72FD2" w:rsidRDefault="00D72FD2" w:rsidP="00D72FD2">
            <w:pPr>
              <w:spacing w:line="440" w:lineRule="exact"/>
              <w:jc w:val="center"/>
              <w:rPr>
                <w:rFonts w:ascii="宋体" w:eastAsia="宋体" w:hAnsi="宋体" w:cs="Times New Roman"/>
                <w:bCs/>
                <w:color w:val="000000"/>
                <w:sz w:val="24"/>
                <w:szCs w:val="24"/>
              </w:rPr>
            </w:pPr>
            <w:r w:rsidRPr="00D72FD2">
              <w:rPr>
                <w:rFonts w:ascii="宋体" w:eastAsia="宋体" w:hAnsi="宋体" w:cs="Times New Roman" w:hint="eastAsia"/>
                <w:bCs/>
                <w:color w:val="000000"/>
                <w:sz w:val="24"/>
                <w:szCs w:val="24"/>
              </w:rPr>
              <w:t>20</w:t>
            </w:r>
          </w:p>
        </w:tc>
        <w:tc>
          <w:tcPr>
            <w:tcW w:w="1717" w:type="dxa"/>
            <w:vAlign w:val="center"/>
          </w:tcPr>
          <w:p w14:paraId="5183F42E" w14:textId="77777777" w:rsidR="00D72FD2" w:rsidRPr="00D72FD2" w:rsidRDefault="00D72FD2" w:rsidP="00D72FD2">
            <w:pPr>
              <w:spacing w:line="440" w:lineRule="exact"/>
              <w:jc w:val="center"/>
              <w:rPr>
                <w:rFonts w:ascii="宋体" w:eastAsia="宋体" w:hAnsi="宋体" w:cs="Times New Roman"/>
                <w:bCs/>
                <w:color w:val="000000"/>
                <w:sz w:val="24"/>
                <w:szCs w:val="24"/>
              </w:rPr>
            </w:pPr>
            <w:r w:rsidRPr="00D72FD2">
              <w:rPr>
                <w:rFonts w:ascii="宋体" w:eastAsia="宋体" w:hAnsi="宋体" w:cs="Times New Roman" w:hint="eastAsia"/>
                <w:bCs/>
                <w:color w:val="000000"/>
                <w:sz w:val="24"/>
                <w:szCs w:val="24"/>
              </w:rPr>
              <w:t>60</w:t>
            </w:r>
          </w:p>
        </w:tc>
        <w:tc>
          <w:tcPr>
            <w:tcW w:w="1559" w:type="dxa"/>
            <w:vAlign w:val="center"/>
          </w:tcPr>
          <w:p w14:paraId="4E3B743C" w14:textId="77777777" w:rsidR="00D72FD2" w:rsidRPr="00D72FD2" w:rsidRDefault="00D72FD2" w:rsidP="00D72FD2">
            <w:pPr>
              <w:spacing w:line="440" w:lineRule="exact"/>
              <w:jc w:val="center"/>
              <w:rPr>
                <w:rFonts w:ascii="宋体" w:eastAsia="宋体" w:hAnsi="宋体" w:cs="Times New Roman"/>
                <w:bCs/>
                <w:color w:val="000000"/>
                <w:sz w:val="24"/>
                <w:szCs w:val="24"/>
              </w:rPr>
            </w:pPr>
            <w:r w:rsidRPr="00D72FD2">
              <w:rPr>
                <w:rFonts w:ascii="宋体" w:eastAsia="宋体" w:hAnsi="宋体" w:cs="Times New Roman" w:hint="eastAsia"/>
                <w:bCs/>
                <w:color w:val="000000"/>
                <w:sz w:val="24"/>
                <w:szCs w:val="24"/>
              </w:rPr>
              <w:t>100</w:t>
            </w:r>
          </w:p>
        </w:tc>
      </w:tr>
    </w:tbl>
    <w:p w14:paraId="0B53A4C8"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五、成绩评定</w:t>
      </w:r>
    </w:p>
    <w:p w14:paraId="22E54036"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（一）总成绩评定</w:t>
      </w:r>
    </w:p>
    <w:p w14:paraId="4FDD09E5" w14:textId="77777777" w:rsidR="00D72FD2" w:rsidRPr="00D72FD2" w:rsidRDefault="00D72FD2" w:rsidP="00D72FD2">
      <w:pPr>
        <w:adjustRightInd w:val="0"/>
        <w:snapToGrid w:val="0"/>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总成绩=平时成绩×40%+期末成绩×60%</w:t>
      </w:r>
    </w:p>
    <w:p w14:paraId="6DD16B75" w14:textId="77777777" w:rsidR="00D72FD2" w:rsidRPr="00D72FD2" w:rsidRDefault="00D72FD2" w:rsidP="00D72FD2">
      <w:pPr>
        <w:spacing w:beforeLines="50" w:before="156" w:afterLines="50" w:after="156" w:line="440" w:lineRule="exact"/>
        <w:ind w:firstLineChars="200" w:firstLine="560"/>
        <w:rPr>
          <w:rFonts w:ascii="宋体" w:eastAsia="宋体" w:hAnsi="宋体" w:cs="Times New Roman"/>
          <w:color w:val="000000"/>
          <w:sz w:val="24"/>
          <w:szCs w:val="24"/>
        </w:rPr>
      </w:pPr>
      <w:r w:rsidRPr="00D72FD2">
        <w:rPr>
          <w:rFonts w:ascii="黑体" w:eastAsia="黑体" w:hAnsi="黑体" w:cs="Times New Roman" w:hint="eastAsia"/>
          <w:color w:val="000000"/>
          <w:sz w:val="28"/>
          <w:szCs w:val="28"/>
        </w:rPr>
        <w:t>（二）平时成绩评定</w:t>
      </w:r>
    </w:p>
    <w:p w14:paraId="16145C78" w14:textId="77777777" w:rsidR="00D72FD2" w:rsidRPr="00D72FD2" w:rsidRDefault="00D72FD2" w:rsidP="00D72FD2">
      <w:pPr>
        <w:adjustRightInd w:val="0"/>
        <w:snapToGrid w:val="0"/>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平时成绩（40%）= 课堂表现20%+平时作业20%</w:t>
      </w:r>
    </w:p>
    <w:p w14:paraId="262C2FE7" w14:textId="77777777" w:rsidR="00D72FD2" w:rsidRPr="00D72FD2" w:rsidRDefault="00D72FD2" w:rsidP="00D72FD2">
      <w:pPr>
        <w:adjustRightInd w:val="0"/>
        <w:snapToGrid w:val="0"/>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（1）课堂表现：通过学生在课堂上的表现情况、发言与提问情况，来评价学生</w:t>
      </w:r>
    </w:p>
    <w:p w14:paraId="08366F43" w14:textId="77777777" w:rsidR="00D72FD2" w:rsidRPr="00D72FD2" w:rsidRDefault="00D72FD2" w:rsidP="00D72FD2">
      <w:pPr>
        <w:adjustRightInd w:val="0"/>
        <w:snapToGrid w:val="0"/>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相关的能力；</w:t>
      </w:r>
    </w:p>
    <w:p w14:paraId="2B57159D" w14:textId="77777777" w:rsidR="00D72FD2" w:rsidRPr="00D72FD2" w:rsidRDefault="00D72FD2" w:rsidP="00D72FD2">
      <w:pPr>
        <w:adjustRightInd w:val="0"/>
        <w:snapToGrid w:val="0"/>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（2）平时作业完成情况：围绕课程的学习目标进行作业的设计。如让学生简述</w:t>
      </w:r>
    </w:p>
    <w:p w14:paraId="46E4EB52" w14:textId="77777777" w:rsidR="00D72FD2" w:rsidRPr="00D72FD2" w:rsidRDefault="00D72FD2" w:rsidP="00D72FD2">
      <w:pPr>
        <w:adjustRightInd w:val="0"/>
        <w:snapToGrid w:val="0"/>
        <w:spacing w:line="440" w:lineRule="exact"/>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lastRenderedPageBreak/>
        <w:t>对知识的认识，考核学生对于概念的理解情况，帮助学生将定义转化为自己的理解。5次作业，每次作业以百分制进行记分，根据完成情况进行打分。</w:t>
      </w:r>
    </w:p>
    <w:p w14:paraId="572486F9"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（三）期末成绩评定</w:t>
      </w:r>
    </w:p>
    <w:p w14:paraId="2F5AE4A9" w14:textId="77777777" w:rsidR="00D72FD2" w:rsidRPr="00D72FD2" w:rsidRDefault="00D72FD2" w:rsidP="00D72FD2">
      <w:pPr>
        <w:spacing w:beforeLines="50" w:before="156" w:afterLines="50" w:after="156"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期末考核主要考察学生对生物药物分析知识的理解，操作程序和具体方法的理解与运用等。方式为课程论文。</w:t>
      </w:r>
    </w:p>
    <w:p w14:paraId="4D02F7F1" w14:textId="77777777" w:rsidR="00D72FD2" w:rsidRPr="00D72FD2" w:rsidRDefault="00D72FD2" w:rsidP="00D72FD2">
      <w:pPr>
        <w:spacing w:beforeLines="50" w:before="156" w:afterLines="50" w:after="156" w:line="440" w:lineRule="exact"/>
        <w:ind w:firstLineChars="200" w:firstLine="560"/>
        <w:rPr>
          <w:rFonts w:ascii="宋体" w:eastAsia="宋体" w:hAnsi="宋体" w:cs="Times New Roman"/>
          <w:color w:val="000000"/>
          <w:sz w:val="24"/>
          <w:szCs w:val="24"/>
        </w:rPr>
      </w:pPr>
      <w:r w:rsidRPr="00D72FD2">
        <w:rPr>
          <w:rFonts w:ascii="黑体" w:eastAsia="黑体" w:hAnsi="黑体" w:cs="Times New Roman" w:hint="eastAsia"/>
          <w:color w:val="000000"/>
          <w:sz w:val="28"/>
          <w:szCs w:val="28"/>
        </w:rPr>
        <w:t>六、使用教材、相关推荐书目及课程资源</w:t>
      </w:r>
    </w:p>
    <w:p w14:paraId="05EEBC82"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（一）使用教材</w:t>
      </w:r>
    </w:p>
    <w:p w14:paraId="32C2868B" w14:textId="77777777" w:rsidR="00D72FD2" w:rsidRPr="00D72FD2" w:rsidRDefault="00D72FD2" w:rsidP="00D72FD2">
      <w:pPr>
        <w:spacing w:beforeLines="50" w:before="156" w:afterLines="50" w:after="156" w:line="440" w:lineRule="exact"/>
        <w:ind w:firstLineChars="200" w:firstLine="480"/>
        <w:rPr>
          <w:rFonts w:ascii="宋体" w:eastAsia="宋体" w:hAnsi="宋体" w:cs="Times New Roman"/>
          <w:color w:val="000000"/>
          <w:sz w:val="24"/>
          <w:szCs w:val="28"/>
        </w:rPr>
      </w:pPr>
      <w:r w:rsidRPr="00D72FD2">
        <w:rPr>
          <w:rFonts w:ascii="宋体" w:eastAsia="宋体" w:hAnsi="宋体" w:cs="Times New Roman" w:hint="eastAsia"/>
          <w:color w:val="000000"/>
          <w:sz w:val="24"/>
          <w:szCs w:val="28"/>
        </w:rPr>
        <w:t>张怡轩主编：《生物药物分析》第3版，中国医药科技出版社，2020年版。</w:t>
      </w:r>
    </w:p>
    <w:p w14:paraId="6BB048A0"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（二）相关推荐书目</w:t>
      </w:r>
    </w:p>
    <w:p w14:paraId="64DF22ED" w14:textId="77777777" w:rsidR="00D72FD2" w:rsidRPr="00D72FD2" w:rsidRDefault="00D72FD2" w:rsidP="00D72FD2">
      <w:pPr>
        <w:spacing w:beforeLines="50" w:before="156" w:afterLines="50" w:after="156" w:line="440" w:lineRule="exact"/>
        <w:ind w:firstLineChars="200" w:firstLine="480"/>
        <w:rPr>
          <w:rFonts w:ascii="宋体" w:eastAsia="宋体" w:hAnsi="宋体" w:cs="Times New Roman"/>
          <w:color w:val="000000"/>
          <w:sz w:val="24"/>
          <w:szCs w:val="28"/>
        </w:rPr>
      </w:pPr>
      <w:r w:rsidRPr="00D72FD2">
        <w:rPr>
          <w:rFonts w:ascii="宋体" w:eastAsia="宋体" w:hAnsi="宋体" w:cs="Times New Roman" w:hint="eastAsia"/>
          <w:color w:val="000000"/>
          <w:sz w:val="24"/>
          <w:szCs w:val="28"/>
        </w:rPr>
        <w:t>1.《中华人民共和国药典》（三部），化学工业出版社，2020年版；</w:t>
      </w:r>
    </w:p>
    <w:p w14:paraId="5F4BC13A" w14:textId="77777777" w:rsidR="00D72FD2" w:rsidRPr="00D72FD2" w:rsidRDefault="00D72FD2" w:rsidP="00D72FD2">
      <w:pPr>
        <w:spacing w:beforeLines="50" w:before="156" w:afterLines="50" w:after="156" w:line="440" w:lineRule="exact"/>
        <w:ind w:firstLineChars="200" w:firstLine="480"/>
        <w:rPr>
          <w:rFonts w:ascii="宋体" w:eastAsia="宋体" w:hAnsi="宋体" w:cs="Times New Roman"/>
          <w:color w:val="000000"/>
          <w:sz w:val="24"/>
          <w:szCs w:val="28"/>
        </w:rPr>
      </w:pPr>
      <w:r w:rsidRPr="00D72FD2">
        <w:rPr>
          <w:rFonts w:ascii="宋体" w:eastAsia="宋体" w:hAnsi="宋体" w:cs="Times New Roman" w:hint="eastAsia"/>
          <w:color w:val="000000"/>
          <w:sz w:val="24"/>
          <w:szCs w:val="28"/>
        </w:rPr>
        <w:t>2.白秀峰主编：《生物药物分析》第3版，中国医药科技出版社，2002年版。</w:t>
      </w:r>
    </w:p>
    <w:p w14:paraId="7840B3D2"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color w:val="000000"/>
          <w:sz w:val="28"/>
          <w:szCs w:val="28"/>
        </w:rPr>
      </w:pPr>
      <w:r w:rsidRPr="00D72FD2">
        <w:rPr>
          <w:rFonts w:ascii="黑体" w:eastAsia="黑体" w:hAnsi="黑体" w:cs="Times New Roman" w:hint="eastAsia"/>
          <w:color w:val="000000"/>
          <w:sz w:val="28"/>
          <w:szCs w:val="28"/>
        </w:rPr>
        <w:t>七、课程教学大纲制定依据</w:t>
      </w:r>
    </w:p>
    <w:p w14:paraId="653F72C0"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r w:rsidRPr="00D72FD2">
        <w:rPr>
          <w:rFonts w:ascii="宋体" w:eastAsia="宋体" w:hAnsi="宋体" w:cs="Times New Roman" w:hint="eastAsia"/>
          <w:color w:val="000000"/>
          <w:sz w:val="24"/>
          <w:szCs w:val="24"/>
        </w:rPr>
        <w:t>本课程教学大纲依据2023年药物分析专业人才培养方案制定。</w:t>
      </w:r>
    </w:p>
    <w:p w14:paraId="4E222C81" w14:textId="77777777" w:rsidR="00D72FD2" w:rsidRPr="00D72FD2" w:rsidRDefault="00D72FD2" w:rsidP="00D72FD2">
      <w:pPr>
        <w:spacing w:line="440" w:lineRule="exact"/>
        <w:ind w:firstLineChars="200" w:firstLine="480"/>
        <w:rPr>
          <w:rFonts w:ascii="宋体" w:eastAsia="宋体" w:hAnsi="宋体" w:cs="Times New Roman"/>
          <w:color w:val="000000"/>
          <w:sz w:val="24"/>
          <w:szCs w:val="24"/>
        </w:rPr>
      </w:pPr>
    </w:p>
    <w:p w14:paraId="63E54C7B" w14:textId="77777777" w:rsidR="00D72FD2" w:rsidRDefault="00D72FD2">
      <w:pPr>
        <w:widowControl/>
        <w:jc w:val="left"/>
        <w:rPr>
          <w:rFonts w:eastAsia="宋体"/>
          <w:b/>
          <w:kern w:val="44"/>
          <w:sz w:val="36"/>
        </w:rPr>
      </w:pPr>
      <w:r>
        <w:br w:type="page"/>
      </w:r>
    </w:p>
    <w:p w14:paraId="5861459C" w14:textId="5CD148DE" w:rsidR="00FB7195" w:rsidRPr="00FB7195" w:rsidRDefault="00FB7195" w:rsidP="003322BE">
      <w:pPr>
        <w:pStyle w:val="1"/>
      </w:pPr>
      <w:r w:rsidRPr="00FB7195">
        <w:rPr>
          <w:rFonts w:hint="eastAsia"/>
        </w:rPr>
        <w:lastRenderedPageBreak/>
        <w:t>《中药分析》课程大纲</w:t>
      </w:r>
      <w:bookmarkEnd w:id="250"/>
    </w:p>
    <w:p w14:paraId="369AA5E2" w14:textId="77777777" w:rsidR="00D72FD2" w:rsidRPr="00D72FD2" w:rsidRDefault="00D72FD2" w:rsidP="00D72FD2">
      <w:pPr>
        <w:spacing w:beforeLines="50" w:before="156" w:afterLines="50" w:after="156" w:line="360" w:lineRule="auto"/>
        <w:ind w:firstLineChars="200" w:firstLine="560"/>
        <w:rPr>
          <w:rFonts w:ascii="黑体" w:eastAsia="黑体" w:hAnsi="黑体" w:cs="Times New Roman"/>
          <w:sz w:val="28"/>
          <w:szCs w:val="28"/>
        </w:rPr>
      </w:pPr>
      <w:bookmarkStart w:id="251" w:name="_Toc149662373"/>
      <w:r w:rsidRPr="00D72FD2">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30"/>
        <w:gridCol w:w="2758"/>
        <w:gridCol w:w="1526"/>
        <w:gridCol w:w="2863"/>
      </w:tblGrid>
      <w:tr w:rsidR="00D72FD2" w:rsidRPr="00D72FD2" w14:paraId="448C1E42" w14:textId="77777777" w:rsidTr="006B1C7F">
        <w:trPr>
          <w:trHeight w:val="886"/>
          <w:jc w:val="center"/>
        </w:trPr>
        <w:tc>
          <w:tcPr>
            <w:tcW w:w="1668" w:type="dxa"/>
            <w:vAlign w:val="center"/>
          </w:tcPr>
          <w:p w14:paraId="65DAAB56"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课程名称</w:t>
            </w:r>
          </w:p>
        </w:tc>
        <w:tc>
          <w:tcPr>
            <w:tcW w:w="2833" w:type="dxa"/>
            <w:vAlign w:val="center"/>
          </w:tcPr>
          <w:p w14:paraId="10EBF316"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中药分析</w:t>
            </w:r>
          </w:p>
        </w:tc>
        <w:tc>
          <w:tcPr>
            <w:tcW w:w="1561" w:type="dxa"/>
            <w:vAlign w:val="center"/>
          </w:tcPr>
          <w:p w14:paraId="46D95B99"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课程代码</w:t>
            </w:r>
          </w:p>
        </w:tc>
        <w:tc>
          <w:tcPr>
            <w:tcW w:w="2941" w:type="dxa"/>
            <w:vAlign w:val="center"/>
          </w:tcPr>
          <w:p w14:paraId="1B9BD6CC"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新课</w:t>
            </w:r>
          </w:p>
        </w:tc>
      </w:tr>
      <w:tr w:rsidR="00D72FD2" w:rsidRPr="00D72FD2" w14:paraId="2E327908" w14:textId="77777777" w:rsidTr="006B1C7F">
        <w:trPr>
          <w:trHeight w:val="829"/>
          <w:jc w:val="center"/>
        </w:trPr>
        <w:tc>
          <w:tcPr>
            <w:tcW w:w="1668" w:type="dxa"/>
            <w:vAlign w:val="center"/>
          </w:tcPr>
          <w:p w14:paraId="4E71B520"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课程类别</w:t>
            </w:r>
          </w:p>
        </w:tc>
        <w:tc>
          <w:tcPr>
            <w:tcW w:w="2833" w:type="dxa"/>
            <w:vAlign w:val="center"/>
          </w:tcPr>
          <w:p w14:paraId="7B3E5CB8"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专业教育选修课程</w:t>
            </w:r>
          </w:p>
        </w:tc>
        <w:tc>
          <w:tcPr>
            <w:tcW w:w="1561" w:type="dxa"/>
            <w:vAlign w:val="center"/>
          </w:tcPr>
          <w:p w14:paraId="227805B8"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学时</w:t>
            </w:r>
          </w:p>
          <w:p w14:paraId="71801585"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/学分</w:t>
            </w:r>
          </w:p>
        </w:tc>
        <w:tc>
          <w:tcPr>
            <w:tcW w:w="2941" w:type="dxa"/>
            <w:vAlign w:val="center"/>
          </w:tcPr>
          <w:p w14:paraId="59C67990"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16学时/1学分</w:t>
            </w:r>
          </w:p>
        </w:tc>
      </w:tr>
      <w:tr w:rsidR="00D72FD2" w:rsidRPr="00D72FD2" w14:paraId="02F8B4DF" w14:textId="77777777" w:rsidTr="006B1C7F">
        <w:trPr>
          <w:trHeight w:val="811"/>
          <w:jc w:val="center"/>
        </w:trPr>
        <w:tc>
          <w:tcPr>
            <w:tcW w:w="1668" w:type="dxa"/>
            <w:vAlign w:val="center"/>
          </w:tcPr>
          <w:p w14:paraId="6159FB13"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开课单位</w:t>
            </w:r>
          </w:p>
        </w:tc>
        <w:tc>
          <w:tcPr>
            <w:tcW w:w="2833" w:type="dxa"/>
            <w:vAlign w:val="center"/>
          </w:tcPr>
          <w:p w14:paraId="5401F991"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化工学院</w:t>
            </w:r>
          </w:p>
        </w:tc>
        <w:tc>
          <w:tcPr>
            <w:tcW w:w="1561" w:type="dxa"/>
            <w:vAlign w:val="center"/>
          </w:tcPr>
          <w:p w14:paraId="6AD01E91"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适用专业</w:t>
            </w:r>
          </w:p>
        </w:tc>
        <w:tc>
          <w:tcPr>
            <w:tcW w:w="2941" w:type="dxa"/>
            <w:vAlign w:val="center"/>
          </w:tcPr>
          <w:p w14:paraId="4D319A49"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药物分析</w:t>
            </w:r>
          </w:p>
        </w:tc>
      </w:tr>
      <w:tr w:rsidR="00D72FD2" w:rsidRPr="00D72FD2" w14:paraId="7E358C1F" w14:textId="77777777" w:rsidTr="006B1C7F">
        <w:trPr>
          <w:trHeight w:val="811"/>
          <w:jc w:val="center"/>
        </w:trPr>
        <w:tc>
          <w:tcPr>
            <w:tcW w:w="1668" w:type="dxa"/>
            <w:vAlign w:val="center"/>
          </w:tcPr>
          <w:p w14:paraId="1A3F7407"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课程负责人</w:t>
            </w:r>
          </w:p>
        </w:tc>
        <w:tc>
          <w:tcPr>
            <w:tcW w:w="7335" w:type="dxa"/>
            <w:gridSpan w:val="3"/>
            <w:vAlign w:val="center"/>
          </w:tcPr>
          <w:p w14:paraId="0F53000C" w14:textId="77777777" w:rsidR="00D72FD2" w:rsidRPr="00D72FD2" w:rsidRDefault="00D72FD2" w:rsidP="00D72FD2">
            <w:pPr>
              <w:spacing w:line="360" w:lineRule="auto"/>
              <w:jc w:val="center"/>
              <w:rPr>
                <w:rFonts w:ascii="宋体" w:eastAsia="宋体" w:hAnsi="宋体" w:cs="Times New Roman" w:hint="eastAsia"/>
                <w:sz w:val="24"/>
                <w:szCs w:val="24"/>
              </w:rPr>
            </w:pPr>
            <w:proofErr w:type="gramStart"/>
            <w:r w:rsidRPr="00D72FD2">
              <w:rPr>
                <w:rFonts w:ascii="宋体" w:eastAsia="宋体" w:hAnsi="宋体" w:cs="Times New Roman" w:hint="eastAsia"/>
                <w:sz w:val="24"/>
                <w:szCs w:val="24"/>
              </w:rPr>
              <w:t>孙硕</w:t>
            </w:r>
            <w:proofErr w:type="gramEnd"/>
          </w:p>
        </w:tc>
      </w:tr>
      <w:tr w:rsidR="00D72FD2" w:rsidRPr="00D72FD2" w14:paraId="2053F330" w14:textId="77777777" w:rsidTr="006B1C7F">
        <w:trPr>
          <w:trHeight w:val="836"/>
          <w:jc w:val="center"/>
        </w:trPr>
        <w:tc>
          <w:tcPr>
            <w:tcW w:w="1668" w:type="dxa"/>
            <w:vAlign w:val="center"/>
          </w:tcPr>
          <w:p w14:paraId="674D7134"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大纲撰写人</w:t>
            </w:r>
          </w:p>
        </w:tc>
        <w:tc>
          <w:tcPr>
            <w:tcW w:w="2833" w:type="dxa"/>
            <w:vAlign w:val="center"/>
          </w:tcPr>
          <w:p w14:paraId="20FCC01E" w14:textId="77777777" w:rsidR="00D72FD2" w:rsidRPr="00D72FD2" w:rsidRDefault="00D72FD2" w:rsidP="00D72FD2">
            <w:pPr>
              <w:spacing w:line="360" w:lineRule="auto"/>
              <w:jc w:val="center"/>
              <w:rPr>
                <w:rFonts w:ascii="宋体" w:eastAsia="宋体" w:hAnsi="宋体" w:cs="Times New Roman" w:hint="eastAsia"/>
                <w:sz w:val="24"/>
                <w:szCs w:val="24"/>
              </w:rPr>
            </w:pPr>
            <w:proofErr w:type="gramStart"/>
            <w:r w:rsidRPr="00D72FD2">
              <w:rPr>
                <w:rFonts w:ascii="宋体" w:eastAsia="宋体" w:hAnsi="宋体" w:cs="Times New Roman" w:hint="eastAsia"/>
                <w:sz w:val="24"/>
                <w:szCs w:val="24"/>
              </w:rPr>
              <w:t>孙硕</w:t>
            </w:r>
            <w:proofErr w:type="gramEnd"/>
          </w:p>
        </w:tc>
        <w:tc>
          <w:tcPr>
            <w:tcW w:w="1561" w:type="dxa"/>
            <w:vAlign w:val="center"/>
          </w:tcPr>
          <w:p w14:paraId="1B630BC7"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大纲审核人</w:t>
            </w:r>
          </w:p>
        </w:tc>
        <w:tc>
          <w:tcPr>
            <w:tcW w:w="2941" w:type="dxa"/>
            <w:vAlign w:val="center"/>
          </w:tcPr>
          <w:p w14:paraId="41C792B5" w14:textId="77777777" w:rsidR="00D72FD2" w:rsidRPr="00D72FD2" w:rsidRDefault="00D72FD2" w:rsidP="00D72FD2">
            <w:pPr>
              <w:spacing w:line="360" w:lineRule="auto"/>
              <w:jc w:val="center"/>
              <w:rPr>
                <w:rFonts w:ascii="宋体" w:eastAsia="宋体" w:hAnsi="宋体" w:cs="Times New Roman" w:hint="eastAsia"/>
                <w:sz w:val="24"/>
                <w:szCs w:val="24"/>
              </w:rPr>
            </w:pPr>
            <w:proofErr w:type="gramStart"/>
            <w:r w:rsidRPr="00D72FD2">
              <w:rPr>
                <w:rFonts w:ascii="宋体" w:eastAsia="宋体" w:hAnsi="宋体" w:cs="Times New Roman" w:hint="eastAsia"/>
                <w:sz w:val="24"/>
                <w:szCs w:val="24"/>
              </w:rPr>
              <w:t>冯</w:t>
            </w:r>
            <w:proofErr w:type="gramEnd"/>
            <w:r w:rsidRPr="00D72FD2">
              <w:rPr>
                <w:rFonts w:ascii="宋体" w:eastAsia="宋体" w:hAnsi="宋体" w:cs="Times New Roman" w:hint="eastAsia"/>
                <w:sz w:val="24"/>
                <w:szCs w:val="24"/>
              </w:rPr>
              <w:t>小龙</w:t>
            </w:r>
          </w:p>
        </w:tc>
      </w:tr>
      <w:tr w:rsidR="00D72FD2" w:rsidRPr="00D72FD2" w14:paraId="5E9F7129" w14:textId="77777777" w:rsidTr="006B1C7F">
        <w:trPr>
          <w:trHeight w:val="848"/>
          <w:jc w:val="center"/>
        </w:trPr>
        <w:tc>
          <w:tcPr>
            <w:tcW w:w="1668" w:type="dxa"/>
            <w:vAlign w:val="center"/>
          </w:tcPr>
          <w:p w14:paraId="4FA52C36"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先修课程</w:t>
            </w:r>
          </w:p>
        </w:tc>
        <w:tc>
          <w:tcPr>
            <w:tcW w:w="7335" w:type="dxa"/>
            <w:gridSpan w:val="3"/>
            <w:vAlign w:val="center"/>
          </w:tcPr>
          <w:p w14:paraId="0E9E012A"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Times New Roman" w:eastAsia="宋体" w:hAnsi="Times New Roman" w:cs="Times New Roman" w:hint="eastAsia"/>
                <w:sz w:val="24"/>
                <w:szCs w:val="24"/>
              </w:rPr>
              <w:t>《中药学》</w:t>
            </w:r>
            <w:r w:rsidRPr="00D72FD2">
              <w:rPr>
                <w:rFonts w:ascii="Times New Roman" w:eastAsia="宋体" w:hAnsi="Times New Roman" w:cs="Times New Roman"/>
                <w:sz w:val="24"/>
                <w:szCs w:val="24"/>
              </w:rPr>
              <w:t>《</w:t>
            </w:r>
            <w:r w:rsidRPr="00D72FD2">
              <w:rPr>
                <w:rFonts w:ascii="Times New Roman" w:eastAsia="宋体" w:hAnsi="Times New Roman" w:cs="Times New Roman" w:hint="eastAsia"/>
                <w:sz w:val="24"/>
                <w:szCs w:val="24"/>
              </w:rPr>
              <w:t>药物分析</w:t>
            </w:r>
            <w:r w:rsidRPr="00D72FD2">
              <w:rPr>
                <w:rFonts w:ascii="Times New Roman" w:eastAsia="宋体" w:hAnsi="Times New Roman" w:cs="Times New Roman"/>
                <w:sz w:val="24"/>
                <w:szCs w:val="24"/>
              </w:rPr>
              <w:t>》</w:t>
            </w:r>
            <w:r w:rsidRPr="00D72FD2">
              <w:rPr>
                <w:rFonts w:ascii="Times New Roman" w:eastAsia="宋体" w:hAnsi="Times New Roman" w:cs="Times New Roman" w:hint="eastAsia"/>
                <w:sz w:val="24"/>
                <w:szCs w:val="24"/>
              </w:rPr>
              <w:t>等</w:t>
            </w:r>
          </w:p>
        </w:tc>
      </w:tr>
      <w:tr w:rsidR="00D72FD2" w:rsidRPr="00D72FD2" w14:paraId="4A2A8043" w14:textId="77777777" w:rsidTr="006B1C7F">
        <w:trPr>
          <w:trHeight w:val="848"/>
          <w:jc w:val="center"/>
        </w:trPr>
        <w:tc>
          <w:tcPr>
            <w:tcW w:w="1668" w:type="dxa"/>
            <w:vAlign w:val="center"/>
          </w:tcPr>
          <w:p w14:paraId="25C527FC"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课程网址</w:t>
            </w:r>
          </w:p>
        </w:tc>
        <w:tc>
          <w:tcPr>
            <w:tcW w:w="7335" w:type="dxa"/>
            <w:gridSpan w:val="3"/>
            <w:vAlign w:val="center"/>
          </w:tcPr>
          <w:p w14:paraId="179BAC37" w14:textId="77777777" w:rsidR="00D72FD2" w:rsidRPr="00D72FD2" w:rsidRDefault="00D72FD2" w:rsidP="00D72FD2">
            <w:pPr>
              <w:spacing w:line="360" w:lineRule="auto"/>
              <w:rPr>
                <w:rFonts w:ascii="宋体" w:eastAsia="宋体" w:hAnsi="宋体" w:cs="Times New Roman" w:hint="eastAsia"/>
                <w:color w:val="FF0000"/>
                <w:sz w:val="24"/>
                <w:szCs w:val="24"/>
              </w:rPr>
            </w:pPr>
          </w:p>
        </w:tc>
      </w:tr>
    </w:tbl>
    <w:p w14:paraId="5B8772B7"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hint="eastAsia"/>
          <w:sz w:val="28"/>
          <w:szCs w:val="28"/>
        </w:rPr>
      </w:pPr>
      <w:r w:rsidRPr="00D72FD2">
        <w:rPr>
          <w:rFonts w:ascii="黑体" w:eastAsia="黑体" w:hAnsi="黑体" w:cs="Times New Roman" w:hint="eastAsia"/>
          <w:sz w:val="28"/>
          <w:szCs w:val="28"/>
        </w:rPr>
        <w:t>二、课程学习目标及与毕业要求的对应关系</w:t>
      </w:r>
    </w:p>
    <w:p w14:paraId="7648B14A"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hint="eastAsia"/>
          <w:sz w:val="28"/>
          <w:szCs w:val="28"/>
        </w:rPr>
      </w:pPr>
      <w:r w:rsidRPr="00D72FD2">
        <w:rPr>
          <w:rFonts w:ascii="黑体" w:eastAsia="黑体" w:hAnsi="黑体" w:cs="Times New Roman" w:hint="eastAsia"/>
          <w:sz w:val="28"/>
          <w:szCs w:val="28"/>
        </w:rPr>
        <w:t>（一）课程学习目标</w:t>
      </w:r>
    </w:p>
    <w:p w14:paraId="5DC669C7"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hint="eastAsia"/>
          <w:sz w:val="24"/>
          <w:szCs w:val="24"/>
        </w:rPr>
        <w:t>通过本课程的学习，使学生达到以下目标：</w:t>
      </w:r>
    </w:p>
    <w:p w14:paraId="1FD4E7EA" w14:textId="77777777" w:rsidR="00D72FD2" w:rsidRPr="00D72FD2" w:rsidRDefault="00D72FD2">
      <w:pPr>
        <w:numPr>
          <w:ilvl w:val="0"/>
          <w:numId w:val="310"/>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掌握中药分析的基本原理和实验技能，掌握中药的鉴别、检查和含量测定方法。综合运用以往所学的相关基础知识，应用现代分析技术对中药进行全面质量评价和质量控制研究。</w:t>
      </w:r>
      <w:r w:rsidRPr="00D72FD2">
        <w:rPr>
          <w:rFonts w:ascii="宋体" w:eastAsia="宋体" w:hAnsi="宋体" w:cs="Times New Roman" w:hint="eastAsia"/>
          <w:b/>
          <w:bCs/>
          <w:sz w:val="24"/>
          <w:szCs w:val="24"/>
        </w:rPr>
        <w:t>【毕业要求1 药学知识】【毕业要求2 问题分析】</w:t>
      </w:r>
    </w:p>
    <w:p w14:paraId="45D1AFB5" w14:textId="77777777" w:rsidR="00D72FD2" w:rsidRPr="00D72FD2" w:rsidRDefault="00D72FD2">
      <w:pPr>
        <w:numPr>
          <w:ilvl w:val="0"/>
          <w:numId w:val="310"/>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能够根据药品标准对中药进行全面质量控制及进行中药质量标准的研究，具有开拓创新的意识，具备不断获取新知识、新技术以适应药品检验发展趋势的基本能力和素质。</w:t>
      </w:r>
      <w:r w:rsidRPr="00D72FD2">
        <w:rPr>
          <w:rFonts w:ascii="宋体" w:eastAsia="宋体" w:hAnsi="宋体" w:cs="Times New Roman" w:hint="eastAsia"/>
          <w:b/>
          <w:bCs/>
          <w:sz w:val="24"/>
          <w:szCs w:val="24"/>
        </w:rPr>
        <w:t>【毕业要求3 设计/开发解决方案】</w:t>
      </w:r>
    </w:p>
    <w:p w14:paraId="184E9955"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hint="eastAsia"/>
          <w:sz w:val="28"/>
          <w:szCs w:val="28"/>
        </w:rPr>
      </w:pPr>
      <w:r w:rsidRPr="00D72FD2">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7"/>
        <w:gridCol w:w="5670"/>
        <w:gridCol w:w="2032"/>
      </w:tblGrid>
      <w:tr w:rsidR="00D72FD2" w:rsidRPr="00D72FD2" w14:paraId="18D54386" w14:textId="77777777" w:rsidTr="006B1C7F">
        <w:trPr>
          <w:trHeight w:val="815"/>
          <w:jc w:val="center"/>
        </w:trPr>
        <w:tc>
          <w:tcPr>
            <w:tcW w:w="1467" w:type="dxa"/>
            <w:vAlign w:val="center"/>
          </w:tcPr>
          <w:p w14:paraId="1A5D1EE8" w14:textId="77777777" w:rsidR="00D72FD2" w:rsidRPr="00D72FD2" w:rsidRDefault="00D72FD2" w:rsidP="00D72FD2">
            <w:pPr>
              <w:spacing w:line="440" w:lineRule="exact"/>
              <w:jc w:val="center"/>
              <w:rPr>
                <w:rFonts w:ascii="宋体" w:eastAsia="宋体" w:hAnsi="宋体" w:cs="宋体" w:hint="eastAsia"/>
                <w:b/>
                <w:sz w:val="24"/>
                <w:szCs w:val="24"/>
              </w:rPr>
            </w:pPr>
            <w:r w:rsidRPr="00D72FD2">
              <w:rPr>
                <w:rFonts w:ascii="宋体" w:eastAsia="宋体" w:hAnsi="宋体" w:cs="宋体" w:hint="eastAsia"/>
                <w:b/>
                <w:sz w:val="24"/>
                <w:szCs w:val="24"/>
              </w:rPr>
              <w:t>毕业要求</w:t>
            </w:r>
          </w:p>
        </w:tc>
        <w:tc>
          <w:tcPr>
            <w:tcW w:w="5670" w:type="dxa"/>
            <w:vAlign w:val="center"/>
          </w:tcPr>
          <w:p w14:paraId="017779A2" w14:textId="77777777" w:rsidR="00D72FD2" w:rsidRPr="00D72FD2" w:rsidRDefault="00D72FD2" w:rsidP="00D72FD2">
            <w:pPr>
              <w:spacing w:line="440" w:lineRule="exact"/>
              <w:jc w:val="center"/>
              <w:rPr>
                <w:rFonts w:ascii="宋体" w:eastAsia="宋体" w:hAnsi="宋体" w:cs="宋体" w:hint="eastAsia"/>
                <w:b/>
                <w:sz w:val="24"/>
                <w:szCs w:val="24"/>
              </w:rPr>
            </w:pPr>
            <w:r w:rsidRPr="00D72FD2">
              <w:rPr>
                <w:rFonts w:ascii="宋体" w:eastAsia="宋体" w:hAnsi="宋体" w:cs="宋体" w:hint="eastAsia"/>
                <w:b/>
                <w:sz w:val="24"/>
                <w:szCs w:val="24"/>
              </w:rPr>
              <w:t>毕业要求指标点</w:t>
            </w:r>
          </w:p>
        </w:tc>
        <w:tc>
          <w:tcPr>
            <w:tcW w:w="2032" w:type="dxa"/>
            <w:vAlign w:val="center"/>
          </w:tcPr>
          <w:p w14:paraId="5F81FD0A" w14:textId="77777777" w:rsidR="00D72FD2" w:rsidRPr="00D72FD2" w:rsidRDefault="00D72FD2" w:rsidP="00D72FD2">
            <w:pPr>
              <w:spacing w:line="440" w:lineRule="exact"/>
              <w:jc w:val="center"/>
              <w:rPr>
                <w:rFonts w:ascii="宋体" w:eastAsia="宋体" w:hAnsi="宋体" w:cs="宋体" w:hint="eastAsia"/>
                <w:b/>
                <w:sz w:val="24"/>
                <w:szCs w:val="24"/>
              </w:rPr>
            </w:pPr>
            <w:r w:rsidRPr="00D72FD2">
              <w:rPr>
                <w:rFonts w:ascii="宋体" w:eastAsia="宋体" w:hAnsi="宋体" w:cs="宋体" w:hint="eastAsia"/>
                <w:b/>
                <w:sz w:val="24"/>
                <w:szCs w:val="24"/>
              </w:rPr>
              <w:t>课程目标</w:t>
            </w:r>
          </w:p>
        </w:tc>
      </w:tr>
      <w:tr w:rsidR="00D72FD2" w:rsidRPr="00D72FD2" w14:paraId="6D35F8AB" w14:textId="77777777" w:rsidTr="006B1C7F">
        <w:trPr>
          <w:jc w:val="center"/>
        </w:trPr>
        <w:tc>
          <w:tcPr>
            <w:tcW w:w="1467" w:type="dxa"/>
            <w:vAlign w:val="center"/>
          </w:tcPr>
          <w:p w14:paraId="488C3748" w14:textId="77777777" w:rsidR="00D72FD2" w:rsidRPr="00D72FD2" w:rsidRDefault="00D72FD2" w:rsidP="00D72FD2">
            <w:pPr>
              <w:spacing w:line="440" w:lineRule="exact"/>
              <w:jc w:val="center"/>
              <w:rPr>
                <w:rFonts w:ascii="宋体" w:eastAsia="宋体" w:hAnsi="宋体" w:cs="宋体" w:hint="eastAsia"/>
                <w:sz w:val="24"/>
                <w:szCs w:val="24"/>
              </w:rPr>
            </w:pPr>
            <w:r w:rsidRPr="00D72FD2">
              <w:rPr>
                <w:rFonts w:ascii="宋体" w:eastAsia="宋体" w:hAnsi="宋体" w:cs="宋体" w:hint="eastAsia"/>
                <w:color w:val="000000"/>
                <w:sz w:val="24"/>
                <w:szCs w:val="24"/>
              </w:rPr>
              <w:lastRenderedPageBreak/>
              <w:t>1 药学知识</w:t>
            </w:r>
          </w:p>
        </w:tc>
        <w:tc>
          <w:tcPr>
            <w:tcW w:w="5670" w:type="dxa"/>
            <w:vAlign w:val="center"/>
          </w:tcPr>
          <w:p w14:paraId="4631A98F" w14:textId="77777777" w:rsidR="00D72FD2" w:rsidRPr="00D72FD2" w:rsidRDefault="00D72FD2" w:rsidP="00D72FD2">
            <w:pPr>
              <w:spacing w:line="440" w:lineRule="exact"/>
              <w:jc w:val="center"/>
              <w:rPr>
                <w:rFonts w:ascii="宋体" w:eastAsia="宋体" w:hAnsi="宋体" w:cs="宋体" w:hint="eastAsia"/>
                <w:sz w:val="24"/>
                <w:szCs w:val="24"/>
              </w:rPr>
            </w:pPr>
            <w:r w:rsidRPr="00D72FD2">
              <w:rPr>
                <w:rFonts w:ascii="宋体" w:eastAsia="宋体" w:hAnsi="宋体" w:cs="宋体" w:hint="eastAsia"/>
                <w:color w:val="000000"/>
                <w:sz w:val="24"/>
                <w:szCs w:val="24"/>
              </w:rPr>
              <w:t>1.3 掌握药物分析、中药分析、体内药物分析、药剂学、药理学和药物化学等药学专业理论知识、科学研究方法和实验技能。</w:t>
            </w:r>
          </w:p>
        </w:tc>
        <w:tc>
          <w:tcPr>
            <w:tcW w:w="2032" w:type="dxa"/>
            <w:vAlign w:val="center"/>
          </w:tcPr>
          <w:p w14:paraId="7A42BC12" w14:textId="77777777" w:rsidR="00D72FD2" w:rsidRPr="00D72FD2" w:rsidRDefault="00D72FD2" w:rsidP="00D72FD2">
            <w:pPr>
              <w:widowControl/>
              <w:spacing w:line="440" w:lineRule="exact"/>
              <w:jc w:val="left"/>
              <w:rPr>
                <w:rFonts w:ascii="宋体" w:eastAsia="宋体" w:hAnsi="宋体" w:cs="宋体" w:hint="eastAsia"/>
                <w:bCs/>
                <w:sz w:val="24"/>
                <w:szCs w:val="24"/>
              </w:rPr>
            </w:pPr>
            <w:r w:rsidRPr="00D72FD2">
              <w:rPr>
                <w:rFonts w:ascii="宋体" w:eastAsia="宋体" w:hAnsi="宋体" w:cs="宋体" w:hint="eastAsia"/>
                <w:bCs/>
                <w:sz w:val="24"/>
                <w:szCs w:val="24"/>
              </w:rPr>
              <w:t>课程目标1</w:t>
            </w:r>
          </w:p>
        </w:tc>
      </w:tr>
      <w:tr w:rsidR="00D72FD2" w:rsidRPr="00D72FD2" w14:paraId="65A29F38" w14:textId="77777777" w:rsidTr="006B1C7F">
        <w:trPr>
          <w:jc w:val="center"/>
        </w:trPr>
        <w:tc>
          <w:tcPr>
            <w:tcW w:w="1467" w:type="dxa"/>
            <w:vAlign w:val="center"/>
          </w:tcPr>
          <w:p w14:paraId="4A91BB52" w14:textId="77777777" w:rsidR="00D72FD2" w:rsidRPr="00D72FD2" w:rsidRDefault="00D72FD2" w:rsidP="00D72FD2">
            <w:pPr>
              <w:spacing w:line="440" w:lineRule="exact"/>
              <w:jc w:val="center"/>
              <w:rPr>
                <w:rFonts w:ascii="宋体" w:eastAsia="宋体" w:hAnsi="宋体" w:cs="宋体" w:hint="eastAsia"/>
                <w:sz w:val="24"/>
                <w:szCs w:val="24"/>
              </w:rPr>
            </w:pPr>
            <w:r w:rsidRPr="00D72FD2">
              <w:rPr>
                <w:rFonts w:ascii="宋体" w:eastAsia="宋体" w:hAnsi="宋体" w:cs="宋体" w:hint="eastAsia"/>
                <w:color w:val="000000"/>
                <w:sz w:val="24"/>
                <w:szCs w:val="24"/>
              </w:rPr>
              <w:t>2 问题分析</w:t>
            </w:r>
          </w:p>
        </w:tc>
        <w:tc>
          <w:tcPr>
            <w:tcW w:w="5670" w:type="dxa"/>
            <w:vAlign w:val="center"/>
          </w:tcPr>
          <w:p w14:paraId="53CC14BA" w14:textId="77777777" w:rsidR="00D72FD2" w:rsidRPr="00D72FD2" w:rsidRDefault="00D72FD2" w:rsidP="00D72FD2">
            <w:pPr>
              <w:spacing w:line="440" w:lineRule="exact"/>
              <w:rPr>
                <w:rFonts w:ascii="宋体" w:eastAsia="宋体" w:hAnsi="宋体" w:cs="宋体" w:hint="eastAsia"/>
                <w:sz w:val="24"/>
                <w:szCs w:val="24"/>
              </w:rPr>
            </w:pPr>
            <w:r w:rsidRPr="00D72FD2">
              <w:rPr>
                <w:rFonts w:ascii="宋体" w:eastAsia="宋体" w:hAnsi="宋体" w:cs="宋体" w:hint="eastAsia"/>
                <w:color w:val="000000"/>
                <w:sz w:val="24"/>
                <w:szCs w:val="24"/>
              </w:rPr>
              <w:t>2.1 能够运用数学、化学、药学基本原理，识别、定义药物分析学的实践问题。</w:t>
            </w:r>
          </w:p>
        </w:tc>
        <w:tc>
          <w:tcPr>
            <w:tcW w:w="2032" w:type="dxa"/>
            <w:vAlign w:val="center"/>
          </w:tcPr>
          <w:p w14:paraId="5743F88A" w14:textId="77777777" w:rsidR="00D72FD2" w:rsidRPr="00D72FD2" w:rsidRDefault="00D72FD2" w:rsidP="00D72FD2">
            <w:pPr>
              <w:widowControl/>
              <w:spacing w:line="440" w:lineRule="exact"/>
              <w:jc w:val="left"/>
              <w:rPr>
                <w:rFonts w:ascii="宋体" w:eastAsia="宋体" w:hAnsi="宋体" w:cs="宋体" w:hint="eastAsia"/>
                <w:bCs/>
                <w:sz w:val="24"/>
                <w:szCs w:val="24"/>
              </w:rPr>
            </w:pPr>
            <w:r w:rsidRPr="00D72FD2">
              <w:rPr>
                <w:rFonts w:ascii="宋体" w:eastAsia="宋体" w:hAnsi="宋体" w:cs="宋体" w:hint="eastAsia"/>
                <w:bCs/>
                <w:sz w:val="24"/>
                <w:szCs w:val="24"/>
              </w:rPr>
              <w:t>课程目标1</w:t>
            </w:r>
          </w:p>
        </w:tc>
      </w:tr>
      <w:tr w:rsidR="00D72FD2" w:rsidRPr="00D72FD2" w14:paraId="19CDAE4C" w14:textId="77777777" w:rsidTr="006B1C7F">
        <w:trPr>
          <w:jc w:val="center"/>
        </w:trPr>
        <w:tc>
          <w:tcPr>
            <w:tcW w:w="1467" w:type="dxa"/>
            <w:vAlign w:val="center"/>
          </w:tcPr>
          <w:p w14:paraId="2AC3266C" w14:textId="77777777" w:rsidR="00D72FD2" w:rsidRPr="00D72FD2" w:rsidRDefault="00D72FD2" w:rsidP="00D72FD2">
            <w:pPr>
              <w:spacing w:line="440" w:lineRule="exact"/>
              <w:rPr>
                <w:rFonts w:ascii="宋体" w:eastAsia="宋体" w:hAnsi="宋体" w:cs="宋体" w:hint="eastAsia"/>
                <w:sz w:val="24"/>
                <w:szCs w:val="24"/>
              </w:rPr>
            </w:pPr>
            <w:r w:rsidRPr="00D72FD2">
              <w:rPr>
                <w:rFonts w:ascii="宋体" w:eastAsia="宋体" w:hAnsi="宋体" w:cs="宋体" w:hint="eastAsia"/>
                <w:color w:val="000000"/>
                <w:sz w:val="24"/>
                <w:szCs w:val="24"/>
              </w:rPr>
              <w:t>3 设计/开发解决方案</w:t>
            </w:r>
          </w:p>
        </w:tc>
        <w:tc>
          <w:tcPr>
            <w:tcW w:w="5670" w:type="dxa"/>
            <w:vAlign w:val="center"/>
          </w:tcPr>
          <w:p w14:paraId="1BA5D979" w14:textId="77777777" w:rsidR="00D72FD2" w:rsidRPr="00D72FD2" w:rsidRDefault="00D72FD2" w:rsidP="00D72FD2">
            <w:pPr>
              <w:spacing w:line="440" w:lineRule="exact"/>
              <w:rPr>
                <w:rFonts w:ascii="宋体" w:eastAsia="宋体" w:hAnsi="宋体" w:cs="宋体" w:hint="eastAsia"/>
                <w:sz w:val="24"/>
                <w:szCs w:val="24"/>
              </w:rPr>
            </w:pPr>
            <w:r w:rsidRPr="00D72FD2">
              <w:rPr>
                <w:rFonts w:ascii="宋体" w:eastAsia="宋体" w:hAnsi="宋体" w:cs="宋体" w:hint="eastAsia"/>
                <w:color w:val="000000"/>
                <w:sz w:val="24"/>
                <w:szCs w:val="24"/>
              </w:rPr>
              <w:t>3.3 具有创新思维，在运用基本原理与方法的基础上，设计方案具有一定的创新性。</w:t>
            </w:r>
          </w:p>
        </w:tc>
        <w:tc>
          <w:tcPr>
            <w:tcW w:w="2032" w:type="dxa"/>
            <w:vAlign w:val="center"/>
          </w:tcPr>
          <w:p w14:paraId="4494C170" w14:textId="77777777" w:rsidR="00D72FD2" w:rsidRPr="00D72FD2" w:rsidRDefault="00D72FD2" w:rsidP="00D72FD2">
            <w:pPr>
              <w:widowControl/>
              <w:spacing w:line="440" w:lineRule="exact"/>
              <w:jc w:val="left"/>
              <w:rPr>
                <w:rFonts w:ascii="宋体" w:eastAsia="宋体" w:hAnsi="宋体" w:cs="宋体" w:hint="eastAsia"/>
                <w:bCs/>
                <w:sz w:val="24"/>
                <w:szCs w:val="24"/>
              </w:rPr>
            </w:pPr>
            <w:r w:rsidRPr="00D72FD2">
              <w:rPr>
                <w:rFonts w:ascii="宋体" w:eastAsia="宋体" w:hAnsi="宋体" w:cs="宋体" w:hint="eastAsia"/>
                <w:bCs/>
                <w:sz w:val="24"/>
                <w:szCs w:val="24"/>
              </w:rPr>
              <w:t>课程目标2</w:t>
            </w:r>
          </w:p>
        </w:tc>
      </w:tr>
    </w:tbl>
    <w:p w14:paraId="02A44D77"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hint="eastAsia"/>
          <w:sz w:val="28"/>
          <w:szCs w:val="28"/>
        </w:rPr>
      </w:pPr>
      <w:r w:rsidRPr="00D72FD2">
        <w:rPr>
          <w:rFonts w:ascii="黑体" w:eastAsia="黑体" w:hAnsi="黑体" w:cs="Times New Roman" w:hint="eastAsia"/>
          <w:sz w:val="28"/>
          <w:szCs w:val="28"/>
        </w:rPr>
        <w:t>三、课程学习内容及与课程学习目标的对应关系</w:t>
      </w:r>
    </w:p>
    <w:p w14:paraId="743C7604"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hint="eastAsia"/>
          <w:b/>
          <w:sz w:val="28"/>
          <w:szCs w:val="28"/>
        </w:rPr>
      </w:pPr>
      <w:r w:rsidRPr="00D72FD2">
        <w:rPr>
          <w:rFonts w:ascii="黑体" w:eastAsia="黑体" w:hAnsi="黑体" w:cs="Times New Roman" w:hint="eastAsia"/>
          <w:sz w:val="28"/>
          <w:szCs w:val="28"/>
        </w:rPr>
        <w:t>（一）课程</w:t>
      </w:r>
      <w:r w:rsidRPr="00D72FD2">
        <w:rPr>
          <w:rFonts w:ascii="黑体" w:eastAsia="黑体" w:hAnsi="黑体" w:cs="Times New Roman" w:hint="eastAsia"/>
          <w:b/>
          <w:sz w:val="28"/>
          <w:szCs w:val="28"/>
        </w:rPr>
        <w:t>学习内容</w:t>
      </w:r>
    </w:p>
    <w:p w14:paraId="4E88629A"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hint="eastAsia"/>
          <w:sz w:val="28"/>
          <w:szCs w:val="28"/>
        </w:rPr>
      </w:pPr>
      <w:r w:rsidRPr="00D72FD2">
        <w:rPr>
          <w:rFonts w:ascii="黑体" w:eastAsia="黑体" w:hAnsi="黑体" w:cs="Times New Roman"/>
          <w:sz w:val="28"/>
          <w:szCs w:val="28"/>
        </w:rPr>
        <w:t xml:space="preserve">第一章  </w:t>
      </w:r>
      <w:r w:rsidRPr="00D72FD2">
        <w:rPr>
          <w:rFonts w:ascii="黑体" w:eastAsia="黑体" w:hAnsi="黑体" w:cs="Times New Roman" w:hint="eastAsia"/>
          <w:sz w:val="28"/>
          <w:szCs w:val="28"/>
        </w:rPr>
        <w:t>概述</w:t>
      </w:r>
    </w:p>
    <w:p w14:paraId="613B951F"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【学习目标】</w:t>
      </w:r>
    </w:p>
    <w:p w14:paraId="45D4A4AC" w14:textId="77777777" w:rsidR="00D72FD2" w:rsidRPr="00D72FD2" w:rsidRDefault="00D72FD2">
      <w:pPr>
        <w:numPr>
          <w:ilvl w:val="0"/>
          <w:numId w:val="311"/>
        </w:numPr>
        <w:spacing w:line="360" w:lineRule="auto"/>
        <w:ind w:firstLineChars="200" w:firstLine="480"/>
        <w:rPr>
          <w:rFonts w:ascii="宋体" w:eastAsia="宋体" w:hAnsi="宋体" w:cs="宋体" w:hint="eastAsia"/>
          <w:sz w:val="24"/>
          <w:szCs w:val="24"/>
        </w:rPr>
      </w:pPr>
      <w:r w:rsidRPr="00D72FD2">
        <w:rPr>
          <w:rFonts w:ascii="宋体" w:eastAsia="宋体" w:hAnsi="宋体" w:cs="宋体" w:hint="eastAsia"/>
          <w:sz w:val="24"/>
          <w:szCs w:val="24"/>
        </w:rPr>
        <w:t>掌握中药分析的内容与中药分析的特点。【课程目标1】</w:t>
      </w:r>
    </w:p>
    <w:p w14:paraId="09BE2F3B" w14:textId="77777777" w:rsidR="00D72FD2" w:rsidRPr="00D72FD2" w:rsidRDefault="00D72FD2">
      <w:pPr>
        <w:widowControl/>
        <w:numPr>
          <w:ilvl w:val="0"/>
          <w:numId w:val="311"/>
        </w:numPr>
        <w:spacing w:line="360" w:lineRule="auto"/>
        <w:ind w:firstLineChars="200" w:firstLine="480"/>
        <w:jc w:val="left"/>
        <w:rPr>
          <w:rFonts w:ascii="宋体" w:eastAsia="宋体" w:hAnsi="宋体" w:cs="Times New Roman" w:hint="eastAsia"/>
          <w:sz w:val="24"/>
          <w:szCs w:val="24"/>
        </w:rPr>
      </w:pPr>
      <w:r w:rsidRPr="00D72FD2">
        <w:rPr>
          <w:rFonts w:ascii="宋体" w:eastAsia="宋体" w:hAnsi="宋体" w:cs="宋体" w:hint="eastAsia"/>
          <w:sz w:val="24"/>
          <w:szCs w:val="24"/>
        </w:rPr>
        <w:t>了解中药分析的历史沿革与中药检验工作的基本程序，着重了解各国药品质</w:t>
      </w:r>
      <w:r w:rsidRPr="00D72FD2">
        <w:rPr>
          <w:rFonts w:ascii="Times New Roman" w:eastAsia="宋体" w:hAnsi="Times New Roman" w:cs="Times New Roman" w:hint="eastAsia"/>
          <w:sz w:val="24"/>
          <w:szCs w:val="24"/>
        </w:rPr>
        <w:t>量标准。</w:t>
      </w:r>
      <w:r w:rsidRPr="00D72FD2">
        <w:rPr>
          <w:rFonts w:ascii="宋体" w:eastAsia="宋体" w:hAnsi="宋体" w:cs="Times New Roman" w:hint="eastAsia"/>
          <w:sz w:val="24"/>
          <w:szCs w:val="24"/>
        </w:rPr>
        <w:t>【课程目标</w:t>
      </w:r>
      <w:r w:rsidRPr="00D72FD2">
        <w:rPr>
          <w:rFonts w:ascii="宋体" w:eastAsia="宋体" w:hAnsi="宋体" w:cs="Times New Roman"/>
          <w:sz w:val="24"/>
          <w:szCs w:val="24"/>
        </w:rPr>
        <w:t>1</w:t>
      </w:r>
      <w:r w:rsidRPr="00D72FD2">
        <w:rPr>
          <w:rFonts w:ascii="宋体" w:eastAsia="宋体" w:hAnsi="宋体" w:cs="Times New Roman" w:hint="eastAsia"/>
          <w:sz w:val="24"/>
          <w:szCs w:val="24"/>
        </w:rPr>
        <w:t>】</w:t>
      </w:r>
    </w:p>
    <w:p w14:paraId="6026AE9E"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【学习内容】</w:t>
      </w:r>
    </w:p>
    <w:p w14:paraId="4705C87A" w14:textId="77777777" w:rsidR="00D72FD2" w:rsidRPr="00D72FD2" w:rsidRDefault="00D72FD2">
      <w:pPr>
        <w:numPr>
          <w:ilvl w:val="0"/>
          <w:numId w:val="312"/>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中药分析研究对象与各自特点</w:t>
      </w:r>
    </w:p>
    <w:p w14:paraId="43E8CB6F"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2. 中药检验工作的基本程序与要求</w:t>
      </w:r>
    </w:p>
    <w:p w14:paraId="54D1365E" w14:textId="77777777" w:rsidR="00D72FD2" w:rsidRPr="00D72FD2" w:rsidRDefault="00D72FD2" w:rsidP="00D72FD2">
      <w:pPr>
        <w:spacing w:line="440" w:lineRule="exact"/>
        <w:ind w:firstLineChars="200" w:firstLine="480"/>
        <w:rPr>
          <w:rFonts w:ascii="Times New Roman" w:eastAsia="宋体" w:hAnsi="Times New Roman" w:cs="Times New Roman" w:hint="eastAsia"/>
          <w:sz w:val="24"/>
          <w:szCs w:val="24"/>
        </w:rPr>
      </w:pPr>
      <w:r w:rsidRPr="00D72FD2">
        <w:rPr>
          <w:rFonts w:ascii="宋体" w:eastAsia="宋体" w:hAnsi="宋体" w:cs="Times New Roman" w:hint="eastAsia"/>
          <w:sz w:val="24"/>
          <w:szCs w:val="24"/>
        </w:rPr>
        <w:t>3. 《中国</w:t>
      </w:r>
      <w:r w:rsidRPr="00D72FD2">
        <w:rPr>
          <w:rFonts w:ascii="Times New Roman" w:eastAsia="宋体" w:hAnsi="Times New Roman" w:cs="Times New Roman" w:hint="eastAsia"/>
          <w:sz w:val="24"/>
          <w:szCs w:val="24"/>
        </w:rPr>
        <w:t>药典》出版年代、组成部分、凡例内容</w:t>
      </w:r>
    </w:p>
    <w:p w14:paraId="791F9434"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【重点】</w:t>
      </w:r>
    </w:p>
    <w:p w14:paraId="4B8589D9"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中药分析研究内容</w:t>
      </w:r>
    </w:p>
    <w:p w14:paraId="5D062684"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【难点】</w:t>
      </w:r>
    </w:p>
    <w:p w14:paraId="50008A3E"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中药检验工作的程序</w:t>
      </w:r>
    </w:p>
    <w:p w14:paraId="3FC442C4"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【教学方法】</w:t>
      </w:r>
    </w:p>
    <w:p w14:paraId="674235AA" w14:textId="77777777" w:rsidR="00D72FD2" w:rsidRPr="00D72FD2" w:rsidRDefault="00D72FD2">
      <w:pPr>
        <w:numPr>
          <w:ilvl w:val="0"/>
          <w:numId w:val="313"/>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72119A24" w14:textId="77777777" w:rsidR="00D72FD2" w:rsidRPr="00D72FD2" w:rsidRDefault="00D72FD2">
      <w:pPr>
        <w:numPr>
          <w:ilvl w:val="0"/>
          <w:numId w:val="313"/>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sz w:val="24"/>
          <w:szCs w:val="24"/>
        </w:rPr>
        <w:t>采用课</w:t>
      </w:r>
      <w:r w:rsidRPr="00D72FD2">
        <w:rPr>
          <w:rFonts w:ascii="宋体" w:eastAsia="宋体" w:hAnsi="宋体" w:cs="Times New Roman" w:hint="eastAsia"/>
          <w:sz w:val="24"/>
          <w:szCs w:val="24"/>
        </w:rPr>
        <w:t>前</w:t>
      </w:r>
      <w:r w:rsidRPr="00D72FD2">
        <w:rPr>
          <w:rFonts w:ascii="宋体" w:eastAsia="宋体" w:hAnsi="宋体" w:cs="Times New Roman"/>
          <w:sz w:val="24"/>
          <w:szCs w:val="24"/>
        </w:rPr>
        <w:t>学习课堂汇报的方法，安排学生提前预习，培养学生自主学习、独立思考的</w:t>
      </w:r>
      <w:proofErr w:type="gramStart"/>
      <w:r w:rsidRPr="00D72FD2">
        <w:rPr>
          <w:rFonts w:ascii="宋体" w:eastAsia="宋体" w:hAnsi="宋体" w:cs="Times New Roman"/>
          <w:sz w:val="24"/>
          <w:szCs w:val="24"/>
        </w:rPr>
        <w:t>的</w:t>
      </w:r>
      <w:proofErr w:type="gramEnd"/>
      <w:r w:rsidRPr="00D72FD2">
        <w:rPr>
          <w:rFonts w:ascii="宋体" w:eastAsia="宋体" w:hAnsi="宋体" w:cs="Times New Roman"/>
          <w:sz w:val="24"/>
          <w:szCs w:val="24"/>
        </w:rPr>
        <w:t>精神，强化学生对知识学习的应用意识，提升学生的教学技能。</w:t>
      </w:r>
    </w:p>
    <w:p w14:paraId="285339AF"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【复习思考】</w:t>
      </w:r>
    </w:p>
    <w:p w14:paraId="1BD8C9EA"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1. 什么是中药分析学？其研究对象包括哪些？</w:t>
      </w:r>
    </w:p>
    <w:p w14:paraId="66C6D997"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2. 我国现行的国家药品标准包括哪些？</w:t>
      </w:r>
    </w:p>
    <w:p w14:paraId="75966FE9"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sz w:val="28"/>
          <w:szCs w:val="28"/>
        </w:rPr>
      </w:pPr>
      <w:r w:rsidRPr="00D72FD2">
        <w:rPr>
          <w:rFonts w:ascii="黑体" w:eastAsia="黑体" w:hAnsi="黑体" w:cs="Times New Roman" w:hint="eastAsia"/>
          <w:sz w:val="28"/>
          <w:szCs w:val="28"/>
        </w:rPr>
        <w:lastRenderedPageBreak/>
        <w:t>第二章  中药分析中</w:t>
      </w:r>
      <w:proofErr w:type="gramStart"/>
      <w:r w:rsidRPr="00D72FD2">
        <w:rPr>
          <w:rFonts w:ascii="黑体" w:eastAsia="黑体" w:hAnsi="黑体" w:cs="Times New Roman" w:hint="eastAsia"/>
          <w:sz w:val="28"/>
          <w:szCs w:val="28"/>
        </w:rPr>
        <w:t>供试品的</w:t>
      </w:r>
      <w:proofErr w:type="gramEnd"/>
      <w:r w:rsidRPr="00D72FD2">
        <w:rPr>
          <w:rFonts w:ascii="黑体" w:eastAsia="黑体" w:hAnsi="黑体" w:cs="Times New Roman" w:hint="eastAsia"/>
          <w:sz w:val="28"/>
          <w:szCs w:val="28"/>
        </w:rPr>
        <w:t>制备</w:t>
      </w:r>
    </w:p>
    <w:p w14:paraId="275039BA"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【学习目标】</w:t>
      </w:r>
    </w:p>
    <w:p w14:paraId="4BC3669E" w14:textId="77777777" w:rsidR="00D72FD2" w:rsidRPr="00D72FD2" w:rsidRDefault="00D72FD2">
      <w:pPr>
        <w:numPr>
          <w:ilvl w:val="0"/>
          <w:numId w:val="314"/>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掌握中药分析中</w:t>
      </w:r>
      <w:proofErr w:type="gramStart"/>
      <w:r w:rsidRPr="00D72FD2">
        <w:rPr>
          <w:rFonts w:ascii="宋体" w:eastAsia="宋体" w:hAnsi="宋体" w:cs="Times New Roman" w:hint="eastAsia"/>
          <w:sz w:val="24"/>
          <w:szCs w:val="24"/>
        </w:rPr>
        <w:t>供试品制备</w:t>
      </w:r>
      <w:proofErr w:type="gramEnd"/>
      <w:r w:rsidRPr="00D72FD2">
        <w:rPr>
          <w:rFonts w:ascii="宋体" w:eastAsia="宋体" w:hAnsi="宋体" w:cs="Times New Roman" w:hint="eastAsia"/>
          <w:sz w:val="24"/>
          <w:szCs w:val="24"/>
        </w:rPr>
        <w:t>的一般程序、常用方法和注意事项。【课程目标</w:t>
      </w:r>
      <w:r w:rsidRPr="00D72FD2">
        <w:rPr>
          <w:rFonts w:ascii="宋体" w:eastAsia="宋体" w:hAnsi="宋体" w:cs="Times New Roman"/>
          <w:sz w:val="24"/>
          <w:szCs w:val="24"/>
        </w:rPr>
        <w:t>1</w:t>
      </w:r>
      <w:r w:rsidRPr="00D72FD2">
        <w:rPr>
          <w:rFonts w:ascii="宋体" w:eastAsia="宋体" w:hAnsi="宋体" w:cs="Times New Roman" w:hint="eastAsia"/>
          <w:sz w:val="24"/>
          <w:szCs w:val="24"/>
        </w:rPr>
        <w:t>、2】</w:t>
      </w:r>
    </w:p>
    <w:p w14:paraId="22449145"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【学习内容】</w:t>
      </w:r>
    </w:p>
    <w:p w14:paraId="3B85BDB0" w14:textId="77777777" w:rsidR="00D72FD2" w:rsidRPr="00D72FD2" w:rsidRDefault="00D72FD2">
      <w:pPr>
        <w:numPr>
          <w:ilvl w:val="0"/>
          <w:numId w:val="315"/>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取样、提取、净化、浓缩、衍生化</w:t>
      </w:r>
    </w:p>
    <w:p w14:paraId="14CAD691"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【重点】</w:t>
      </w:r>
    </w:p>
    <w:p w14:paraId="4496330C"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proofErr w:type="gramStart"/>
      <w:r w:rsidRPr="00D72FD2">
        <w:rPr>
          <w:rFonts w:ascii="宋体" w:eastAsia="宋体" w:hAnsi="宋体" w:cs="Times New Roman" w:hint="eastAsia"/>
          <w:sz w:val="24"/>
          <w:szCs w:val="24"/>
        </w:rPr>
        <w:t>供试品制备</w:t>
      </w:r>
      <w:proofErr w:type="gramEnd"/>
      <w:r w:rsidRPr="00D72FD2">
        <w:rPr>
          <w:rFonts w:ascii="宋体" w:eastAsia="宋体" w:hAnsi="宋体" w:cs="Times New Roman" w:hint="eastAsia"/>
          <w:sz w:val="24"/>
          <w:szCs w:val="24"/>
        </w:rPr>
        <w:t>的步骤</w:t>
      </w:r>
    </w:p>
    <w:p w14:paraId="513119F1"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【难点】</w:t>
      </w:r>
    </w:p>
    <w:p w14:paraId="63BD106F"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不同类型的样品设计方法</w:t>
      </w:r>
    </w:p>
    <w:p w14:paraId="672C6304"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【教学方法】</w:t>
      </w:r>
    </w:p>
    <w:p w14:paraId="2CDF717D"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13118481"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 xml:space="preserve">2. </w:t>
      </w:r>
      <w:r w:rsidRPr="00D72FD2">
        <w:rPr>
          <w:rFonts w:ascii="宋体" w:eastAsia="宋体" w:hAnsi="宋体" w:cs="Times New Roman"/>
          <w:sz w:val="24"/>
          <w:szCs w:val="24"/>
        </w:rPr>
        <w:t>通过问题聚焦，</w:t>
      </w:r>
      <w:r w:rsidRPr="00D72FD2">
        <w:rPr>
          <w:rFonts w:ascii="宋体" w:eastAsia="宋体" w:hAnsi="宋体" w:cs="Times New Roman" w:hint="eastAsia"/>
          <w:sz w:val="24"/>
          <w:szCs w:val="24"/>
        </w:rPr>
        <w:t>让学生</w:t>
      </w:r>
      <w:r w:rsidRPr="00D72FD2">
        <w:rPr>
          <w:rFonts w:ascii="宋体" w:eastAsia="宋体" w:hAnsi="宋体" w:cs="Times New Roman"/>
          <w:sz w:val="24"/>
          <w:szCs w:val="24"/>
        </w:rPr>
        <w:t>自行查阅资料，同学相互交流，教师适时点拨</w:t>
      </w:r>
      <w:r w:rsidRPr="00D72FD2">
        <w:rPr>
          <w:rFonts w:ascii="宋体" w:eastAsia="宋体" w:hAnsi="宋体" w:cs="Times New Roman" w:hint="eastAsia"/>
          <w:sz w:val="24"/>
          <w:szCs w:val="24"/>
        </w:rPr>
        <w:t>，学生</w:t>
      </w:r>
      <w:r w:rsidRPr="00D72FD2">
        <w:rPr>
          <w:rFonts w:ascii="宋体" w:eastAsia="宋体" w:hAnsi="宋体" w:cs="Times New Roman"/>
          <w:sz w:val="24"/>
          <w:szCs w:val="24"/>
        </w:rPr>
        <w:t>独立完成调研报告等形式，进一步理解与掌握相关的理论知识，培养学生分析问题、解决问题的能力。</w:t>
      </w:r>
    </w:p>
    <w:p w14:paraId="22151644"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【复习思考】</w:t>
      </w:r>
    </w:p>
    <w:p w14:paraId="1E03FA88"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1. 比较冷浸法、直接回流法和连续回流法的主要优缺点</w:t>
      </w:r>
    </w:p>
    <w:p w14:paraId="19AF065B"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hint="eastAsia"/>
          <w:sz w:val="28"/>
          <w:szCs w:val="28"/>
        </w:rPr>
      </w:pPr>
      <w:r w:rsidRPr="00D72FD2">
        <w:rPr>
          <w:rFonts w:ascii="黑体" w:eastAsia="黑体" w:hAnsi="黑体" w:cs="Times New Roman"/>
          <w:sz w:val="28"/>
          <w:szCs w:val="28"/>
        </w:rPr>
        <w:t xml:space="preserve">第三章  </w:t>
      </w:r>
      <w:r w:rsidRPr="00D72FD2">
        <w:rPr>
          <w:rFonts w:ascii="黑体" w:eastAsia="黑体" w:hAnsi="黑体" w:cs="Times New Roman" w:hint="eastAsia"/>
          <w:sz w:val="28"/>
          <w:szCs w:val="28"/>
        </w:rPr>
        <w:t>中药的鉴别</w:t>
      </w:r>
    </w:p>
    <w:p w14:paraId="6A938774"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【学习目标】</w:t>
      </w:r>
    </w:p>
    <w:p w14:paraId="38C06866" w14:textId="77777777" w:rsidR="00D72FD2" w:rsidRPr="00D72FD2" w:rsidRDefault="00D72FD2">
      <w:pPr>
        <w:numPr>
          <w:ilvl w:val="0"/>
          <w:numId w:val="316"/>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掌握中药鉴别的概念。【课程目标1】</w:t>
      </w:r>
    </w:p>
    <w:p w14:paraId="4871E32D" w14:textId="77777777" w:rsidR="00D72FD2" w:rsidRPr="00D72FD2" w:rsidRDefault="00D72FD2">
      <w:pPr>
        <w:numPr>
          <w:ilvl w:val="0"/>
          <w:numId w:val="316"/>
        </w:numPr>
        <w:spacing w:line="440" w:lineRule="exact"/>
        <w:ind w:firstLineChars="200" w:firstLine="480"/>
        <w:rPr>
          <w:rFonts w:ascii="宋体" w:eastAsia="宋体" w:hAnsi="宋体" w:cs="Times New Roman"/>
          <w:kern w:val="0"/>
          <w:sz w:val="24"/>
          <w:szCs w:val="24"/>
        </w:rPr>
      </w:pPr>
      <w:r w:rsidRPr="00D72FD2">
        <w:rPr>
          <w:rFonts w:ascii="宋体" w:eastAsia="宋体" w:hAnsi="宋体" w:cs="Times New Roman" w:hint="eastAsia"/>
          <w:sz w:val="24"/>
          <w:szCs w:val="24"/>
        </w:rPr>
        <w:t>掌握常用鉴别方法及相关知识，为中药质量分析及质量标准制定等章节的学习奠定基础。【课程目标2】</w:t>
      </w:r>
    </w:p>
    <w:p w14:paraId="5425122F"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【学习内容】</w:t>
      </w:r>
    </w:p>
    <w:p w14:paraId="2D3770F0" w14:textId="77777777" w:rsidR="00D72FD2" w:rsidRPr="00D72FD2" w:rsidRDefault="00D72FD2">
      <w:pPr>
        <w:numPr>
          <w:ilvl w:val="0"/>
          <w:numId w:val="317"/>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中药鉴别的概念、意义</w:t>
      </w:r>
    </w:p>
    <w:p w14:paraId="42F47530" w14:textId="77777777" w:rsidR="00D72FD2" w:rsidRPr="00D72FD2" w:rsidRDefault="00D72FD2">
      <w:pPr>
        <w:numPr>
          <w:ilvl w:val="0"/>
          <w:numId w:val="317"/>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中药的性状鉴别、显微鉴别、理化鉴别和生物鉴别的概念、主要内容和特点</w:t>
      </w:r>
    </w:p>
    <w:p w14:paraId="37408FA6"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【重点】</w:t>
      </w:r>
    </w:p>
    <w:p w14:paraId="42D3ABA5"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理解中药性状鉴别、显微鉴别、理化鉴别、生物鉴别的内容、特点及局限</w:t>
      </w:r>
    </w:p>
    <w:p w14:paraId="4D6CB8B3"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【难点】</w:t>
      </w:r>
    </w:p>
    <w:p w14:paraId="5EF68A1C"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理解中药性状鉴别、显微鉴别、理化鉴别、生物鉴别的内容、特点及局限。</w:t>
      </w:r>
    </w:p>
    <w:p w14:paraId="331D4145"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lastRenderedPageBreak/>
        <w:t>【教学方法】</w:t>
      </w:r>
    </w:p>
    <w:p w14:paraId="045DB987"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1AA33222"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 xml:space="preserve">2. </w:t>
      </w:r>
      <w:r w:rsidRPr="00D72FD2">
        <w:rPr>
          <w:rFonts w:ascii="宋体" w:eastAsia="宋体" w:hAnsi="宋体" w:cs="Times New Roman"/>
          <w:sz w:val="24"/>
          <w:szCs w:val="24"/>
        </w:rPr>
        <w:t>采用</w:t>
      </w:r>
      <w:r w:rsidRPr="00D72FD2">
        <w:rPr>
          <w:rFonts w:ascii="宋体" w:eastAsia="宋体" w:hAnsi="宋体" w:cs="Times New Roman" w:hint="eastAsia"/>
          <w:sz w:val="24"/>
          <w:szCs w:val="24"/>
        </w:rPr>
        <w:t>类比式教学法</w:t>
      </w:r>
      <w:r w:rsidRPr="00D72FD2">
        <w:rPr>
          <w:rFonts w:ascii="宋体" w:eastAsia="宋体" w:hAnsi="宋体" w:cs="Times New Roman"/>
          <w:sz w:val="24"/>
          <w:szCs w:val="24"/>
        </w:rPr>
        <w:t>，</w:t>
      </w:r>
      <w:r w:rsidRPr="00D72FD2">
        <w:rPr>
          <w:rFonts w:ascii="宋体" w:eastAsia="宋体" w:hAnsi="宋体" w:cs="Times New Roman" w:hint="eastAsia"/>
          <w:sz w:val="24"/>
          <w:szCs w:val="24"/>
        </w:rPr>
        <w:t>将不同的鉴别方式相类比，从而使要讲授的内容变得通俗易懂</w:t>
      </w:r>
      <w:r w:rsidRPr="00D72FD2">
        <w:rPr>
          <w:rFonts w:ascii="宋体" w:eastAsia="宋体" w:hAnsi="宋体" w:cs="Times New Roman"/>
          <w:sz w:val="24"/>
          <w:szCs w:val="24"/>
        </w:rPr>
        <w:t xml:space="preserve">, </w:t>
      </w:r>
      <w:r w:rsidRPr="00D72FD2">
        <w:rPr>
          <w:rFonts w:ascii="宋体" w:eastAsia="宋体" w:hAnsi="宋体" w:cs="Times New Roman" w:hint="eastAsia"/>
          <w:sz w:val="24"/>
          <w:szCs w:val="24"/>
        </w:rPr>
        <w:t>容易接受，</w:t>
      </w:r>
      <w:r w:rsidRPr="00D72FD2">
        <w:rPr>
          <w:rFonts w:ascii="宋体" w:eastAsia="宋体" w:hAnsi="宋体" w:cs="Times New Roman"/>
          <w:sz w:val="24"/>
          <w:szCs w:val="24"/>
        </w:rPr>
        <w:t>培养学生</w:t>
      </w:r>
      <w:r w:rsidRPr="00D72FD2">
        <w:rPr>
          <w:rFonts w:ascii="宋体" w:eastAsia="宋体" w:hAnsi="宋体" w:cs="Times New Roman" w:hint="eastAsia"/>
          <w:sz w:val="24"/>
          <w:szCs w:val="24"/>
        </w:rPr>
        <w:t>举一反三、触类旁通的学习</w:t>
      </w:r>
      <w:r w:rsidRPr="00D72FD2">
        <w:rPr>
          <w:rFonts w:ascii="宋体" w:eastAsia="宋体" w:hAnsi="宋体" w:cs="Times New Roman"/>
          <w:sz w:val="24"/>
          <w:szCs w:val="24"/>
        </w:rPr>
        <w:t>能力。</w:t>
      </w:r>
    </w:p>
    <w:p w14:paraId="01C6FDC6"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【复习思考】</w:t>
      </w:r>
    </w:p>
    <w:p w14:paraId="4A0249FB" w14:textId="77777777" w:rsidR="00D72FD2" w:rsidRPr="00D72FD2" w:rsidRDefault="00D72FD2">
      <w:pPr>
        <w:numPr>
          <w:ilvl w:val="0"/>
          <w:numId w:val="318"/>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常用鉴别方法有哪些?</w:t>
      </w:r>
    </w:p>
    <w:p w14:paraId="54DCECBD" w14:textId="77777777" w:rsidR="00D72FD2" w:rsidRPr="00D72FD2" w:rsidRDefault="00D72FD2">
      <w:pPr>
        <w:numPr>
          <w:ilvl w:val="0"/>
          <w:numId w:val="318"/>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试述薄层色谱法在鉴别中药中有何特点?</w:t>
      </w:r>
    </w:p>
    <w:p w14:paraId="3A72F53D"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hint="eastAsia"/>
          <w:sz w:val="28"/>
          <w:szCs w:val="28"/>
        </w:rPr>
      </w:pPr>
      <w:r w:rsidRPr="00D72FD2">
        <w:rPr>
          <w:rFonts w:ascii="黑体" w:eastAsia="黑体" w:hAnsi="黑体" w:cs="Times New Roman"/>
          <w:sz w:val="28"/>
          <w:szCs w:val="28"/>
        </w:rPr>
        <w:t xml:space="preserve">第四章  </w:t>
      </w:r>
      <w:r w:rsidRPr="00D72FD2">
        <w:rPr>
          <w:rFonts w:ascii="黑体" w:eastAsia="黑体" w:hAnsi="黑体" w:cs="Times New Roman" w:hint="eastAsia"/>
          <w:sz w:val="28"/>
          <w:szCs w:val="28"/>
        </w:rPr>
        <w:t>中药的检查</w:t>
      </w:r>
    </w:p>
    <w:p w14:paraId="6736F22F"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【学习目标】</w:t>
      </w:r>
    </w:p>
    <w:p w14:paraId="41F5EAC9" w14:textId="77777777" w:rsidR="00D72FD2" w:rsidRPr="00D72FD2" w:rsidRDefault="00D72FD2">
      <w:pPr>
        <w:numPr>
          <w:ilvl w:val="0"/>
          <w:numId w:val="319"/>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掌握中药检查的分类。【课程目标1】</w:t>
      </w:r>
    </w:p>
    <w:p w14:paraId="123D0893" w14:textId="77777777" w:rsidR="00D72FD2" w:rsidRPr="00D72FD2" w:rsidRDefault="00D72FD2">
      <w:pPr>
        <w:numPr>
          <w:ilvl w:val="0"/>
          <w:numId w:val="319"/>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进行有关杂质限量的计算。【课程目标2】</w:t>
      </w:r>
    </w:p>
    <w:p w14:paraId="4A7EA3ED"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【学习内容】</w:t>
      </w:r>
    </w:p>
    <w:p w14:paraId="7763A199" w14:textId="77777777" w:rsidR="00D72FD2" w:rsidRPr="00D72FD2" w:rsidRDefault="00D72FD2">
      <w:pPr>
        <w:numPr>
          <w:ilvl w:val="0"/>
          <w:numId w:val="320"/>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hint="eastAsia"/>
          <w:sz w:val="24"/>
          <w:szCs w:val="24"/>
        </w:rPr>
        <w:t>有效性检查</w:t>
      </w:r>
    </w:p>
    <w:p w14:paraId="443B5701" w14:textId="77777777" w:rsidR="00D72FD2" w:rsidRPr="00D72FD2" w:rsidRDefault="00D72FD2">
      <w:pPr>
        <w:numPr>
          <w:ilvl w:val="0"/>
          <w:numId w:val="320"/>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hint="eastAsia"/>
          <w:sz w:val="24"/>
          <w:szCs w:val="24"/>
        </w:rPr>
        <w:t>安全性检查</w:t>
      </w:r>
    </w:p>
    <w:p w14:paraId="338594E9" w14:textId="77777777" w:rsidR="00D72FD2" w:rsidRPr="00D72FD2" w:rsidRDefault="00D72FD2">
      <w:pPr>
        <w:numPr>
          <w:ilvl w:val="0"/>
          <w:numId w:val="320"/>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hint="eastAsia"/>
          <w:sz w:val="24"/>
          <w:szCs w:val="24"/>
        </w:rPr>
        <w:t>杂质检查（纯度检查）</w:t>
      </w:r>
    </w:p>
    <w:p w14:paraId="26AE766D" w14:textId="77777777" w:rsidR="00D72FD2" w:rsidRPr="00D72FD2" w:rsidRDefault="00D72FD2">
      <w:pPr>
        <w:numPr>
          <w:ilvl w:val="0"/>
          <w:numId w:val="320"/>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hint="eastAsia"/>
          <w:sz w:val="24"/>
          <w:szCs w:val="24"/>
        </w:rPr>
        <w:t>制剂通则检查</w:t>
      </w:r>
    </w:p>
    <w:p w14:paraId="0E020DE4"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【重点】</w:t>
      </w:r>
    </w:p>
    <w:p w14:paraId="7FDB9294"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中药杂质检查的基本方法</w:t>
      </w:r>
    </w:p>
    <w:p w14:paraId="25934528"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【难点】</w:t>
      </w:r>
    </w:p>
    <w:p w14:paraId="1DD0E015"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重金属、砷盐等检查原理和方法</w:t>
      </w:r>
    </w:p>
    <w:p w14:paraId="71314338"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【教学方法】</w:t>
      </w:r>
    </w:p>
    <w:p w14:paraId="09ECA106" w14:textId="77777777" w:rsidR="00D72FD2" w:rsidRPr="00D72FD2" w:rsidRDefault="00D72FD2">
      <w:pPr>
        <w:numPr>
          <w:ilvl w:val="0"/>
          <w:numId w:val="321"/>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55EA2963"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【复习思考】</w:t>
      </w:r>
    </w:p>
    <w:p w14:paraId="13429C60" w14:textId="77777777" w:rsidR="00D72FD2" w:rsidRPr="00D72FD2" w:rsidRDefault="00D72FD2">
      <w:pPr>
        <w:numPr>
          <w:ilvl w:val="0"/>
          <w:numId w:val="155"/>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中药检查包含哪些主要内容?</w:t>
      </w:r>
    </w:p>
    <w:p w14:paraId="7D75C771" w14:textId="77777777" w:rsidR="00D72FD2" w:rsidRPr="00D72FD2" w:rsidRDefault="00D72FD2">
      <w:pPr>
        <w:numPr>
          <w:ilvl w:val="0"/>
          <w:numId w:val="155"/>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中药杂质来源的主要途径是什么?</w:t>
      </w:r>
    </w:p>
    <w:p w14:paraId="2A713F93"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hint="eastAsia"/>
          <w:sz w:val="28"/>
          <w:szCs w:val="28"/>
        </w:rPr>
      </w:pPr>
      <w:r w:rsidRPr="00D72FD2">
        <w:rPr>
          <w:rFonts w:ascii="黑体" w:eastAsia="黑体" w:hAnsi="黑体" w:cs="Times New Roman"/>
          <w:sz w:val="28"/>
          <w:szCs w:val="28"/>
        </w:rPr>
        <w:t xml:space="preserve">第五章  </w:t>
      </w:r>
      <w:r w:rsidRPr="00D72FD2">
        <w:rPr>
          <w:rFonts w:ascii="黑体" w:eastAsia="黑体" w:hAnsi="黑体" w:cs="Times New Roman" w:hint="eastAsia"/>
          <w:sz w:val="28"/>
          <w:szCs w:val="28"/>
        </w:rPr>
        <w:t>中药指纹图谱</w:t>
      </w:r>
    </w:p>
    <w:p w14:paraId="55A0B840"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【学习目标】</w:t>
      </w:r>
    </w:p>
    <w:p w14:paraId="11C964E4" w14:textId="77777777" w:rsidR="00D72FD2" w:rsidRPr="00D72FD2" w:rsidRDefault="00D72FD2">
      <w:pPr>
        <w:numPr>
          <w:ilvl w:val="0"/>
          <w:numId w:val="322"/>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掌握中药指纹图谱的概念、特性、作用及构建程序与方法。【课程目标1】</w:t>
      </w:r>
    </w:p>
    <w:p w14:paraId="7630390B" w14:textId="77777777" w:rsidR="00D72FD2" w:rsidRPr="00D72FD2" w:rsidRDefault="00D72FD2">
      <w:pPr>
        <w:numPr>
          <w:ilvl w:val="0"/>
          <w:numId w:val="322"/>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lastRenderedPageBreak/>
        <w:t>了解中药质量控制与评价的新技术与新方法。【课程目标2】</w:t>
      </w:r>
    </w:p>
    <w:p w14:paraId="3309605F"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【学习内容】</w:t>
      </w:r>
    </w:p>
    <w:p w14:paraId="09C2DC48" w14:textId="77777777" w:rsidR="00D72FD2" w:rsidRPr="00D72FD2" w:rsidRDefault="00D72FD2">
      <w:pPr>
        <w:numPr>
          <w:ilvl w:val="0"/>
          <w:numId w:val="323"/>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色谱法</w:t>
      </w:r>
    </w:p>
    <w:p w14:paraId="13895960" w14:textId="77777777" w:rsidR="00D72FD2" w:rsidRPr="00D72FD2" w:rsidRDefault="00D72FD2">
      <w:pPr>
        <w:numPr>
          <w:ilvl w:val="0"/>
          <w:numId w:val="323"/>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光谱法</w:t>
      </w:r>
    </w:p>
    <w:p w14:paraId="17367997" w14:textId="77777777" w:rsidR="00D72FD2" w:rsidRPr="00D72FD2" w:rsidRDefault="00D72FD2">
      <w:pPr>
        <w:numPr>
          <w:ilvl w:val="0"/>
          <w:numId w:val="323"/>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生物测定法</w:t>
      </w:r>
    </w:p>
    <w:p w14:paraId="1FE354CC" w14:textId="77777777" w:rsidR="00D72FD2" w:rsidRPr="00D72FD2" w:rsidRDefault="00D72FD2">
      <w:pPr>
        <w:numPr>
          <w:ilvl w:val="0"/>
          <w:numId w:val="323"/>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hint="eastAsia"/>
          <w:sz w:val="24"/>
          <w:szCs w:val="24"/>
        </w:rPr>
        <w:t>指纹图谱测定程序</w:t>
      </w:r>
    </w:p>
    <w:p w14:paraId="6F38DFC3"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【重点】</w:t>
      </w:r>
    </w:p>
    <w:p w14:paraId="73ED2AE1"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中药指纹图谱的测定方法</w:t>
      </w:r>
    </w:p>
    <w:p w14:paraId="6C93016E"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【难点】</w:t>
      </w:r>
    </w:p>
    <w:p w14:paraId="5EAAD75D"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指纹图谱测定程序</w:t>
      </w:r>
    </w:p>
    <w:p w14:paraId="5B14F51B"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【教学方法】</w:t>
      </w:r>
    </w:p>
    <w:p w14:paraId="4E0C0358" w14:textId="77777777" w:rsidR="00D72FD2" w:rsidRPr="00D72FD2" w:rsidRDefault="00D72FD2">
      <w:pPr>
        <w:numPr>
          <w:ilvl w:val="0"/>
          <w:numId w:val="324"/>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3DE92E72"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【复习思考】</w:t>
      </w:r>
    </w:p>
    <w:p w14:paraId="35A79F56" w14:textId="77777777" w:rsidR="00D72FD2" w:rsidRPr="00D72FD2" w:rsidRDefault="00D72FD2">
      <w:pPr>
        <w:numPr>
          <w:ilvl w:val="0"/>
          <w:numId w:val="156"/>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如何理解指纹图谱和特征图谱的区别</w:t>
      </w:r>
    </w:p>
    <w:p w14:paraId="7A986A80"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sz w:val="28"/>
          <w:szCs w:val="28"/>
        </w:rPr>
      </w:pPr>
      <w:r w:rsidRPr="00D72FD2">
        <w:rPr>
          <w:rFonts w:ascii="黑体" w:eastAsia="黑体" w:hAnsi="黑体" w:cs="Times New Roman"/>
          <w:sz w:val="28"/>
          <w:szCs w:val="28"/>
        </w:rPr>
        <w:t xml:space="preserve">第六章  </w:t>
      </w:r>
      <w:r w:rsidRPr="00D72FD2">
        <w:rPr>
          <w:rFonts w:ascii="黑体" w:eastAsia="黑体" w:hAnsi="黑体" w:cs="Times New Roman" w:hint="eastAsia"/>
          <w:sz w:val="28"/>
          <w:szCs w:val="28"/>
        </w:rPr>
        <w:t>中药的含量测定</w:t>
      </w:r>
    </w:p>
    <w:p w14:paraId="443A9C8C"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【学习目标】</w:t>
      </w:r>
    </w:p>
    <w:p w14:paraId="17947E01" w14:textId="77777777" w:rsidR="00D72FD2" w:rsidRPr="00D72FD2" w:rsidRDefault="00D72FD2">
      <w:pPr>
        <w:numPr>
          <w:ilvl w:val="0"/>
          <w:numId w:val="325"/>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掌握各类化学分析法和仪器分析法的基本原理、特点、适用范围、条件选择及应用。【课程目标1、2】</w:t>
      </w:r>
    </w:p>
    <w:p w14:paraId="36B2A95B"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【学习内容】</w:t>
      </w:r>
    </w:p>
    <w:p w14:paraId="7F17DC59" w14:textId="77777777" w:rsidR="00D72FD2" w:rsidRPr="00D72FD2" w:rsidRDefault="00D72FD2">
      <w:pPr>
        <w:numPr>
          <w:ilvl w:val="0"/>
          <w:numId w:val="326"/>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中药含量测定的目的、意义、特点</w:t>
      </w:r>
    </w:p>
    <w:p w14:paraId="516D4FCC" w14:textId="77777777" w:rsidR="00D72FD2" w:rsidRPr="00D72FD2" w:rsidRDefault="00D72FD2">
      <w:pPr>
        <w:numPr>
          <w:ilvl w:val="0"/>
          <w:numId w:val="326"/>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各类分析方法及其条件选择的依据、适用范围</w:t>
      </w:r>
    </w:p>
    <w:p w14:paraId="699B1C8C" w14:textId="77777777" w:rsidR="00D72FD2" w:rsidRPr="00D72FD2" w:rsidRDefault="00D72FD2">
      <w:pPr>
        <w:numPr>
          <w:ilvl w:val="0"/>
          <w:numId w:val="326"/>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含量测定方法学验证中各项考察指标的意义、实验要求</w:t>
      </w:r>
    </w:p>
    <w:p w14:paraId="7EA32616"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【重点】</w:t>
      </w:r>
    </w:p>
    <w:p w14:paraId="53F9042A"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各种含量测定方法的特点、适用范围。</w:t>
      </w:r>
    </w:p>
    <w:p w14:paraId="1321A7F0"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【难点】</w:t>
      </w:r>
    </w:p>
    <w:p w14:paraId="0D344C27"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含量测定方法验证。</w:t>
      </w:r>
    </w:p>
    <w:p w14:paraId="2A5A1CDB"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【教学方法】</w:t>
      </w:r>
    </w:p>
    <w:p w14:paraId="5E11C93C" w14:textId="77777777" w:rsidR="00D72FD2" w:rsidRPr="00D72FD2" w:rsidRDefault="00D72FD2">
      <w:pPr>
        <w:numPr>
          <w:ilvl w:val="0"/>
          <w:numId w:val="327"/>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6B61EE2B" w14:textId="77777777" w:rsidR="00D72FD2" w:rsidRPr="00D72FD2" w:rsidRDefault="00D72FD2">
      <w:pPr>
        <w:numPr>
          <w:ilvl w:val="0"/>
          <w:numId w:val="327"/>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采用探究式教学法，使要讲授的内容变得通俗易懂, 容易接受，培养学生举</w:t>
      </w:r>
      <w:r w:rsidRPr="00D72FD2">
        <w:rPr>
          <w:rFonts w:ascii="宋体" w:eastAsia="宋体" w:hAnsi="宋体" w:cs="Times New Roman" w:hint="eastAsia"/>
          <w:sz w:val="24"/>
          <w:szCs w:val="24"/>
        </w:rPr>
        <w:lastRenderedPageBreak/>
        <w:t>一反三、触类旁通的学习能力。</w:t>
      </w:r>
    </w:p>
    <w:p w14:paraId="26FACCA0"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【复习思考】</w:t>
      </w:r>
    </w:p>
    <w:p w14:paraId="7E88EA44" w14:textId="77777777" w:rsidR="00D72FD2" w:rsidRPr="00D72FD2" w:rsidRDefault="00D72FD2">
      <w:pPr>
        <w:numPr>
          <w:ilvl w:val="0"/>
          <w:numId w:val="157"/>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气相色谱法在中药定量分析中的系统适用性包括哪些内容?各有哪些要求?</w:t>
      </w:r>
    </w:p>
    <w:p w14:paraId="6590323B" w14:textId="77777777" w:rsidR="00D72FD2" w:rsidRPr="00D72FD2" w:rsidRDefault="00D72FD2">
      <w:pPr>
        <w:numPr>
          <w:ilvl w:val="0"/>
          <w:numId w:val="157"/>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HPLC分析时，如何选择合适的固定相(色谱柱)及流动相?</w:t>
      </w:r>
    </w:p>
    <w:p w14:paraId="67E3E144"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hint="eastAsia"/>
          <w:sz w:val="28"/>
          <w:szCs w:val="28"/>
        </w:rPr>
      </w:pPr>
      <w:r w:rsidRPr="00D72FD2">
        <w:rPr>
          <w:rFonts w:ascii="黑体" w:eastAsia="黑体" w:hAnsi="黑体" w:cs="Times New Roman"/>
          <w:sz w:val="28"/>
          <w:szCs w:val="28"/>
        </w:rPr>
        <w:t xml:space="preserve">第七章  </w:t>
      </w:r>
      <w:r w:rsidRPr="00D72FD2">
        <w:rPr>
          <w:rFonts w:ascii="黑体" w:eastAsia="黑体" w:hAnsi="黑体" w:cs="Times New Roman" w:hint="eastAsia"/>
          <w:sz w:val="28"/>
          <w:szCs w:val="28"/>
        </w:rPr>
        <w:t>中药中各类化学成分的分析</w:t>
      </w:r>
    </w:p>
    <w:p w14:paraId="2C45D3C2"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【学习目标】</w:t>
      </w:r>
    </w:p>
    <w:p w14:paraId="0DD97C17" w14:textId="77777777" w:rsidR="00D72FD2" w:rsidRPr="00D72FD2" w:rsidRDefault="00D72FD2">
      <w:pPr>
        <w:numPr>
          <w:ilvl w:val="0"/>
          <w:numId w:val="328"/>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熟悉中药中生物碱类成分、黄酮类成分、蒽醌类成分、皂苷类成分的定性鉴别和含量测定原理与方法。【课程目标1】</w:t>
      </w:r>
    </w:p>
    <w:p w14:paraId="6B7A4430" w14:textId="77777777" w:rsidR="00D72FD2" w:rsidRPr="00D72FD2" w:rsidRDefault="00D72FD2">
      <w:pPr>
        <w:numPr>
          <w:ilvl w:val="0"/>
          <w:numId w:val="328"/>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熟悉动物药、矿物药及含动物药、矿物药中药制剂质量分析的特点、样品前处理方法。【课程目标</w:t>
      </w:r>
      <w:r w:rsidRPr="00D72FD2">
        <w:rPr>
          <w:rFonts w:ascii="宋体" w:eastAsia="宋体" w:hAnsi="宋体" w:cs="Times New Roman"/>
          <w:sz w:val="24"/>
          <w:szCs w:val="24"/>
        </w:rPr>
        <w:t>2</w:t>
      </w:r>
      <w:r w:rsidRPr="00D72FD2">
        <w:rPr>
          <w:rFonts w:ascii="宋体" w:eastAsia="宋体" w:hAnsi="宋体" w:cs="Times New Roman" w:hint="eastAsia"/>
          <w:sz w:val="24"/>
          <w:szCs w:val="24"/>
        </w:rPr>
        <w:t>】</w:t>
      </w:r>
    </w:p>
    <w:p w14:paraId="4C96CA5E"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【学习内容】</w:t>
      </w:r>
    </w:p>
    <w:p w14:paraId="4FDE4566" w14:textId="77777777" w:rsidR="00D72FD2" w:rsidRPr="00D72FD2" w:rsidRDefault="00D72FD2">
      <w:pPr>
        <w:numPr>
          <w:ilvl w:val="0"/>
          <w:numId w:val="329"/>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中药中各类成分的性质、定性鉴别和含量测定的原理与方法</w:t>
      </w:r>
    </w:p>
    <w:p w14:paraId="1D193E50" w14:textId="77777777" w:rsidR="00D72FD2" w:rsidRPr="00D72FD2" w:rsidRDefault="00D72FD2">
      <w:pPr>
        <w:numPr>
          <w:ilvl w:val="0"/>
          <w:numId w:val="329"/>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常见</w:t>
      </w:r>
      <w:proofErr w:type="gramStart"/>
      <w:r w:rsidRPr="00D72FD2">
        <w:rPr>
          <w:rFonts w:ascii="宋体" w:eastAsia="宋体" w:hAnsi="宋体" w:cs="Times New Roman" w:hint="eastAsia"/>
          <w:sz w:val="24"/>
          <w:szCs w:val="24"/>
        </w:rPr>
        <w:t>动物药所含有</w:t>
      </w:r>
      <w:proofErr w:type="gramEnd"/>
      <w:r w:rsidRPr="00D72FD2">
        <w:rPr>
          <w:rFonts w:ascii="宋体" w:eastAsia="宋体" w:hAnsi="宋体" w:cs="Times New Roman" w:hint="eastAsia"/>
          <w:sz w:val="24"/>
          <w:szCs w:val="24"/>
        </w:rPr>
        <w:t>的主要活性成分的结构与类别</w:t>
      </w:r>
    </w:p>
    <w:p w14:paraId="6C7837E2"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【重点】</w:t>
      </w:r>
    </w:p>
    <w:p w14:paraId="5B04DB7A"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生物碱、黄酮、蒽醌、皂苷等常见中药成分的理化性质</w:t>
      </w:r>
    </w:p>
    <w:p w14:paraId="6464B341"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【难点】</w:t>
      </w:r>
    </w:p>
    <w:p w14:paraId="063DBFF3"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定性鉴别及含量测定的原理与方法</w:t>
      </w:r>
    </w:p>
    <w:p w14:paraId="09F98002"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【教学方法】</w:t>
      </w:r>
    </w:p>
    <w:p w14:paraId="43B07F14" w14:textId="77777777" w:rsidR="00D72FD2" w:rsidRPr="00D72FD2" w:rsidRDefault="00D72FD2">
      <w:pPr>
        <w:numPr>
          <w:ilvl w:val="0"/>
          <w:numId w:val="330"/>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6507FE80" w14:textId="77777777" w:rsidR="00D72FD2" w:rsidRPr="00D72FD2" w:rsidRDefault="00D72FD2">
      <w:pPr>
        <w:numPr>
          <w:ilvl w:val="0"/>
          <w:numId w:val="330"/>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sz w:val="24"/>
          <w:szCs w:val="24"/>
        </w:rPr>
        <w:t>采用以问题为导向的探究式教学法，通过问题聚焦，</w:t>
      </w:r>
      <w:r w:rsidRPr="00D72FD2">
        <w:rPr>
          <w:rFonts w:ascii="宋体" w:eastAsia="宋体" w:hAnsi="宋体" w:cs="Times New Roman" w:hint="eastAsia"/>
          <w:sz w:val="24"/>
          <w:szCs w:val="24"/>
        </w:rPr>
        <w:t>让学生</w:t>
      </w:r>
      <w:r w:rsidRPr="00D72FD2">
        <w:rPr>
          <w:rFonts w:ascii="宋体" w:eastAsia="宋体" w:hAnsi="宋体" w:cs="Times New Roman"/>
          <w:sz w:val="24"/>
          <w:szCs w:val="24"/>
        </w:rPr>
        <w:t>自行查阅资料，同学相互交流，教师适时点拨</w:t>
      </w:r>
      <w:r w:rsidRPr="00D72FD2">
        <w:rPr>
          <w:rFonts w:ascii="宋体" w:eastAsia="宋体" w:hAnsi="宋体" w:cs="Times New Roman" w:hint="eastAsia"/>
          <w:sz w:val="24"/>
          <w:szCs w:val="24"/>
        </w:rPr>
        <w:t>，学生</w:t>
      </w:r>
      <w:r w:rsidRPr="00D72FD2">
        <w:rPr>
          <w:rFonts w:ascii="宋体" w:eastAsia="宋体" w:hAnsi="宋体" w:cs="Times New Roman"/>
          <w:sz w:val="24"/>
          <w:szCs w:val="24"/>
        </w:rPr>
        <w:t>独立完成调研报告等形式，进一步理解与掌握相关的理论知识，培养学生分析问题、解决问题的能力。</w:t>
      </w:r>
    </w:p>
    <w:p w14:paraId="7EBB6557"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【复习思考】</w:t>
      </w:r>
    </w:p>
    <w:p w14:paraId="762BA992" w14:textId="77777777" w:rsidR="00D72FD2" w:rsidRPr="00D72FD2" w:rsidRDefault="00D72FD2">
      <w:pPr>
        <w:numPr>
          <w:ilvl w:val="0"/>
          <w:numId w:val="158"/>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可用于黄酮类成分含量测定的方法有哪些?</w:t>
      </w:r>
    </w:p>
    <w:p w14:paraId="041546B2" w14:textId="77777777" w:rsidR="00D72FD2" w:rsidRPr="00D72FD2" w:rsidRDefault="00D72FD2">
      <w:pPr>
        <w:numPr>
          <w:ilvl w:val="0"/>
          <w:numId w:val="158"/>
        </w:numPr>
        <w:spacing w:line="440" w:lineRule="exact"/>
        <w:ind w:firstLineChars="200" w:firstLine="480"/>
        <w:rPr>
          <w:rFonts w:ascii="宋体" w:eastAsia="宋体" w:hAnsi="宋体" w:cs="Times New Roman"/>
          <w:sz w:val="24"/>
          <w:szCs w:val="24"/>
        </w:rPr>
      </w:pPr>
      <w:proofErr w:type="gramStart"/>
      <w:r w:rsidRPr="00D72FD2">
        <w:rPr>
          <w:rFonts w:ascii="宋体" w:eastAsia="宋体" w:hAnsi="宋体" w:cs="Times New Roman"/>
          <w:sz w:val="24"/>
          <w:szCs w:val="24"/>
        </w:rPr>
        <w:t>醌</w:t>
      </w:r>
      <w:proofErr w:type="gramEnd"/>
      <w:r w:rsidRPr="00D72FD2">
        <w:rPr>
          <w:rFonts w:ascii="宋体" w:eastAsia="宋体" w:hAnsi="宋体" w:cs="Times New Roman"/>
          <w:sz w:val="24"/>
          <w:szCs w:val="24"/>
        </w:rPr>
        <w:t>类化合物的定性鉴别方法有哪些?</w:t>
      </w:r>
    </w:p>
    <w:p w14:paraId="3F45C97F"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hint="eastAsia"/>
          <w:sz w:val="28"/>
          <w:szCs w:val="28"/>
        </w:rPr>
      </w:pPr>
      <w:r w:rsidRPr="00D72FD2">
        <w:rPr>
          <w:rFonts w:ascii="黑体" w:eastAsia="黑体" w:hAnsi="黑体" w:cs="Times New Roman"/>
          <w:sz w:val="28"/>
          <w:szCs w:val="28"/>
        </w:rPr>
        <w:t>第</w:t>
      </w:r>
      <w:r w:rsidRPr="00D72FD2">
        <w:rPr>
          <w:rFonts w:ascii="黑体" w:eastAsia="黑体" w:hAnsi="黑体" w:cs="Times New Roman" w:hint="eastAsia"/>
          <w:sz w:val="28"/>
          <w:szCs w:val="28"/>
        </w:rPr>
        <w:t>八</w:t>
      </w:r>
      <w:r w:rsidRPr="00D72FD2">
        <w:rPr>
          <w:rFonts w:ascii="黑体" w:eastAsia="黑体" w:hAnsi="黑体" w:cs="Times New Roman"/>
          <w:sz w:val="28"/>
          <w:szCs w:val="28"/>
        </w:rPr>
        <w:t xml:space="preserve">章  </w:t>
      </w:r>
      <w:r w:rsidRPr="00D72FD2">
        <w:rPr>
          <w:rFonts w:ascii="黑体" w:eastAsia="黑体" w:hAnsi="黑体" w:cs="Times New Roman" w:hint="eastAsia"/>
          <w:sz w:val="28"/>
          <w:szCs w:val="28"/>
        </w:rPr>
        <w:t>生物样品内中药化学成分的分析</w:t>
      </w:r>
    </w:p>
    <w:p w14:paraId="734FD4C4"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【学习目标】</w:t>
      </w:r>
    </w:p>
    <w:p w14:paraId="58A255EB" w14:textId="77777777" w:rsidR="00D72FD2" w:rsidRPr="00D72FD2" w:rsidRDefault="00D72FD2">
      <w:pPr>
        <w:numPr>
          <w:ilvl w:val="0"/>
          <w:numId w:val="331"/>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掌握生物样品内中药化学成分预处理及分析方法特殊性的学习，探讨中药真正的有效成分。【课程目标1、2】</w:t>
      </w:r>
    </w:p>
    <w:p w14:paraId="66C6F5CE"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lastRenderedPageBreak/>
        <w:t>【学习内容】</w:t>
      </w:r>
    </w:p>
    <w:p w14:paraId="79D0CD14" w14:textId="77777777" w:rsidR="00D72FD2" w:rsidRPr="00D72FD2" w:rsidRDefault="00D72FD2">
      <w:pPr>
        <w:numPr>
          <w:ilvl w:val="0"/>
          <w:numId w:val="159"/>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生物样品种类、分析特点</w:t>
      </w:r>
    </w:p>
    <w:p w14:paraId="5A587206" w14:textId="77777777" w:rsidR="00D72FD2" w:rsidRPr="00D72FD2" w:rsidRDefault="00D72FD2">
      <w:pPr>
        <w:numPr>
          <w:ilvl w:val="0"/>
          <w:numId w:val="159"/>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生物样品的采集及贮存</w:t>
      </w:r>
    </w:p>
    <w:p w14:paraId="0E1B3077" w14:textId="77777777" w:rsidR="00D72FD2" w:rsidRPr="00D72FD2" w:rsidRDefault="00D72FD2">
      <w:pPr>
        <w:numPr>
          <w:ilvl w:val="0"/>
          <w:numId w:val="159"/>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生物样品预处理</w:t>
      </w:r>
    </w:p>
    <w:p w14:paraId="441F085E" w14:textId="77777777" w:rsidR="00D72FD2" w:rsidRPr="00D72FD2" w:rsidRDefault="00D72FD2">
      <w:pPr>
        <w:numPr>
          <w:ilvl w:val="0"/>
          <w:numId w:val="159"/>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hint="eastAsia"/>
          <w:sz w:val="24"/>
          <w:szCs w:val="24"/>
        </w:rPr>
        <w:t>分析方法的建立</w:t>
      </w:r>
    </w:p>
    <w:p w14:paraId="7590CE65" w14:textId="77777777" w:rsidR="00D72FD2" w:rsidRPr="00D72FD2" w:rsidRDefault="00D72FD2">
      <w:pPr>
        <w:numPr>
          <w:ilvl w:val="0"/>
          <w:numId w:val="159"/>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hint="eastAsia"/>
          <w:sz w:val="24"/>
          <w:szCs w:val="24"/>
        </w:rPr>
        <w:t>分析方法的验证</w:t>
      </w:r>
    </w:p>
    <w:p w14:paraId="4F4AE723"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【重点】</w:t>
      </w:r>
    </w:p>
    <w:p w14:paraId="0791F9AB"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生物样品处理方法</w:t>
      </w:r>
    </w:p>
    <w:p w14:paraId="0623C155"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【难点】</w:t>
      </w:r>
    </w:p>
    <w:p w14:paraId="24BC93CD"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hint="eastAsia"/>
          <w:sz w:val="24"/>
          <w:szCs w:val="24"/>
        </w:rPr>
        <w:t>分析方法的建立与验证</w:t>
      </w:r>
    </w:p>
    <w:p w14:paraId="717EE29B"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【教学方法】</w:t>
      </w:r>
    </w:p>
    <w:p w14:paraId="2BC84AEC"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1.通过多媒体课件和传统教学相结合，阐明课程与教学基本原理，丰富学生课程与教学的基本知识结构，培养学生的职业规范；</w:t>
      </w:r>
    </w:p>
    <w:p w14:paraId="3DEF07E4"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2.</w:t>
      </w:r>
      <w:r w:rsidRPr="00D72FD2">
        <w:rPr>
          <w:rFonts w:ascii="宋体" w:eastAsia="宋体" w:hAnsi="宋体" w:cs="Times New Roman"/>
          <w:sz w:val="24"/>
          <w:szCs w:val="24"/>
        </w:rPr>
        <w:t>采用以问题为导向的探究式教学法，通过问题聚焦，</w:t>
      </w:r>
      <w:r w:rsidRPr="00D72FD2">
        <w:rPr>
          <w:rFonts w:ascii="宋体" w:eastAsia="宋体" w:hAnsi="宋体" w:cs="Times New Roman" w:hint="eastAsia"/>
          <w:sz w:val="24"/>
          <w:szCs w:val="24"/>
        </w:rPr>
        <w:t>让学生</w:t>
      </w:r>
      <w:r w:rsidRPr="00D72FD2">
        <w:rPr>
          <w:rFonts w:ascii="宋体" w:eastAsia="宋体" w:hAnsi="宋体" w:cs="Times New Roman"/>
          <w:sz w:val="24"/>
          <w:szCs w:val="24"/>
        </w:rPr>
        <w:t>自行查阅资料，同学相互交流，教师适时点拨</w:t>
      </w:r>
      <w:r w:rsidRPr="00D72FD2">
        <w:rPr>
          <w:rFonts w:ascii="宋体" w:eastAsia="宋体" w:hAnsi="宋体" w:cs="Times New Roman" w:hint="eastAsia"/>
          <w:sz w:val="24"/>
          <w:szCs w:val="24"/>
        </w:rPr>
        <w:t>，学生</w:t>
      </w:r>
      <w:r w:rsidRPr="00D72FD2">
        <w:rPr>
          <w:rFonts w:ascii="宋体" w:eastAsia="宋体" w:hAnsi="宋体" w:cs="Times New Roman"/>
          <w:sz w:val="24"/>
          <w:szCs w:val="24"/>
        </w:rPr>
        <w:t>独立完成调研报告等形式，进一步理解与掌握相关的理论知识，培养学生分析问题、解决问题的能力。</w:t>
      </w:r>
    </w:p>
    <w:p w14:paraId="160E8C99"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【复习思考】</w:t>
      </w:r>
    </w:p>
    <w:p w14:paraId="47348A18"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1.</w:t>
      </w:r>
      <w:r w:rsidRPr="00D72FD2">
        <w:rPr>
          <w:rFonts w:ascii="宋体" w:eastAsia="宋体" w:hAnsi="宋体" w:cs="Times New Roman"/>
          <w:sz w:val="24"/>
          <w:szCs w:val="24"/>
        </w:rPr>
        <w:t xml:space="preserve"> 在生物样品分析方法验证时，选择低、中、高QC样品浓度的原则是什么?</w:t>
      </w:r>
    </w:p>
    <w:p w14:paraId="45A2A39E"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hint="eastAsia"/>
          <w:sz w:val="28"/>
          <w:szCs w:val="28"/>
        </w:rPr>
      </w:pPr>
      <w:r w:rsidRPr="00D72FD2">
        <w:rPr>
          <w:rFonts w:ascii="黑体" w:eastAsia="黑体" w:hAnsi="黑体" w:cs="Times New Roman"/>
          <w:sz w:val="28"/>
          <w:szCs w:val="28"/>
        </w:rPr>
        <w:t>第</w:t>
      </w:r>
      <w:r w:rsidRPr="00D72FD2">
        <w:rPr>
          <w:rFonts w:ascii="黑体" w:eastAsia="黑体" w:hAnsi="黑体" w:cs="Times New Roman" w:hint="eastAsia"/>
          <w:sz w:val="28"/>
          <w:szCs w:val="28"/>
        </w:rPr>
        <w:t>九</w:t>
      </w:r>
      <w:r w:rsidRPr="00D72FD2">
        <w:rPr>
          <w:rFonts w:ascii="黑体" w:eastAsia="黑体" w:hAnsi="黑体" w:cs="Times New Roman"/>
          <w:sz w:val="28"/>
          <w:szCs w:val="28"/>
        </w:rPr>
        <w:t xml:space="preserve">章  </w:t>
      </w:r>
      <w:r w:rsidRPr="00D72FD2">
        <w:rPr>
          <w:rFonts w:ascii="黑体" w:eastAsia="黑体" w:hAnsi="黑体" w:cs="Times New Roman" w:hint="eastAsia"/>
          <w:sz w:val="28"/>
          <w:szCs w:val="28"/>
        </w:rPr>
        <w:t>中药质量标准的制定</w:t>
      </w:r>
    </w:p>
    <w:p w14:paraId="0B6BC9A1"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【学习目标】</w:t>
      </w:r>
    </w:p>
    <w:p w14:paraId="4122E82D" w14:textId="77777777" w:rsidR="00D72FD2" w:rsidRPr="00D72FD2" w:rsidRDefault="00D72FD2">
      <w:pPr>
        <w:numPr>
          <w:ilvl w:val="0"/>
          <w:numId w:val="332"/>
        </w:num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理解《中国药典》2020年版(一部)正文部分质量标准的主要内容以及质量标准起草说明的撰写要点。【课程目标1、2】</w:t>
      </w:r>
    </w:p>
    <w:p w14:paraId="7331D325"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【学习内容】</w:t>
      </w:r>
    </w:p>
    <w:p w14:paraId="597E399C"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hint="eastAsia"/>
          <w:sz w:val="24"/>
          <w:szCs w:val="24"/>
        </w:rPr>
        <w:t>1．中药质量标准的概念及主要内容、药品质量标准的特性</w:t>
      </w:r>
    </w:p>
    <w:p w14:paraId="5A750996"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hint="eastAsia"/>
          <w:sz w:val="24"/>
          <w:szCs w:val="24"/>
        </w:rPr>
        <w:t>2．制定中药质量标准的原则、前提</w:t>
      </w:r>
    </w:p>
    <w:p w14:paraId="56FD9941"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【重点】</w:t>
      </w:r>
    </w:p>
    <w:p w14:paraId="59ED43AE"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起草说明的撰写要点</w:t>
      </w:r>
    </w:p>
    <w:p w14:paraId="7E4A47B8"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【难点】</w:t>
      </w:r>
    </w:p>
    <w:p w14:paraId="02AE5210"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起草说明的撰写要点</w:t>
      </w:r>
    </w:p>
    <w:p w14:paraId="748ED8CC"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【教学方法】</w:t>
      </w:r>
    </w:p>
    <w:p w14:paraId="271FF1AA"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1.通过多媒体课件和传统教学相结合，阐明课程与教学基本原理，丰富学生课程</w:t>
      </w:r>
      <w:r w:rsidRPr="00D72FD2">
        <w:rPr>
          <w:rFonts w:ascii="宋体" w:eastAsia="宋体" w:hAnsi="宋体" w:cs="Times New Roman" w:hint="eastAsia"/>
          <w:sz w:val="24"/>
          <w:szCs w:val="24"/>
        </w:rPr>
        <w:lastRenderedPageBreak/>
        <w:t>与教学的基本知识结构，培养学生的职业规范；</w:t>
      </w:r>
    </w:p>
    <w:p w14:paraId="0F86D25D"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2.</w:t>
      </w:r>
      <w:r w:rsidRPr="00D72FD2">
        <w:rPr>
          <w:rFonts w:ascii="宋体" w:eastAsia="宋体" w:hAnsi="宋体" w:cs="Times New Roman"/>
          <w:sz w:val="24"/>
          <w:szCs w:val="24"/>
        </w:rPr>
        <w:t>采用以问题为导向的探究式教学法，通过问题聚焦，</w:t>
      </w:r>
      <w:r w:rsidRPr="00D72FD2">
        <w:rPr>
          <w:rFonts w:ascii="宋体" w:eastAsia="宋体" w:hAnsi="宋体" w:cs="Times New Roman" w:hint="eastAsia"/>
          <w:sz w:val="24"/>
          <w:szCs w:val="24"/>
        </w:rPr>
        <w:t>让学生</w:t>
      </w:r>
      <w:r w:rsidRPr="00D72FD2">
        <w:rPr>
          <w:rFonts w:ascii="宋体" w:eastAsia="宋体" w:hAnsi="宋体" w:cs="Times New Roman"/>
          <w:sz w:val="24"/>
          <w:szCs w:val="24"/>
        </w:rPr>
        <w:t>自行查阅资料，同学相互交流，教师适时点拨</w:t>
      </w:r>
      <w:r w:rsidRPr="00D72FD2">
        <w:rPr>
          <w:rFonts w:ascii="宋体" w:eastAsia="宋体" w:hAnsi="宋体" w:cs="Times New Roman" w:hint="eastAsia"/>
          <w:sz w:val="24"/>
          <w:szCs w:val="24"/>
        </w:rPr>
        <w:t>，学生</w:t>
      </w:r>
      <w:r w:rsidRPr="00D72FD2">
        <w:rPr>
          <w:rFonts w:ascii="宋体" w:eastAsia="宋体" w:hAnsi="宋体" w:cs="Times New Roman"/>
          <w:sz w:val="24"/>
          <w:szCs w:val="24"/>
        </w:rPr>
        <w:t>独立完成调研报告等形式，进一步理解与掌握相关的理论知识，培养学生分析问题、解决问题的能力。</w:t>
      </w:r>
    </w:p>
    <w:p w14:paraId="4240F7D3" w14:textId="77777777" w:rsidR="00D72FD2" w:rsidRPr="00D72FD2" w:rsidRDefault="00D72FD2" w:rsidP="00D72FD2">
      <w:pPr>
        <w:spacing w:line="440" w:lineRule="exact"/>
        <w:ind w:firstLineChars="200" w:firstLine="482"/>
        <w:rPr>
          <w:rFonts w:ascii="宋体" w:eastAsia="宋体" w:hAnsi="宋体" w:cs="Times New Roman" w:hint="eastAsia"/>
          <w:b/>
          <w:sz w:val="24"/>
          <w:szCs w:val="24"/>
        </w:rPr>
      </w:pPr>
      <w:r w:rsidRPr="00D72FD2">
        <w:rPr>
          <w:rFonts w:ascii="宋体" w:eastAsia="宋体" w:hAnsi="宋体" w:cs="Times New Roman" w:hint="eastAsia"/>
          <w:b/>
          <w:sz w:val="24"/>
          <w:szCs w:val="24"/>
        </w:rPr>
        <w:t>【复习思考】</w:t>
      </w:r>
    </w:p>
    <w:p w14:paraId="517042C7"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sz w:val="24"/>
          <w:szCs w:val="24"/>
        </w:rPr>
        <w:t>1.质量标准研究的程序是什么?</w:t>
      </w:r>
    </w:p>
    <w:p w14:paraId="5ABEA010" w14:textId="77777777" w:rsidR="00D72FD2" w:rsidRPr="00D72FD2" w:rsidRDefault="00D72FD2" w:rsidP="00D72FD2">
      <w:pPr>
        <w:spacing w:beforeLines="50" w:before="156" w:afterLines="50" w:after="156" w:line="360" w:lineRule="auto"/>
        <w:ind w:left="561"/>
        <w:rPr>
          <w:rFonts w:ascii="仿宋" w:eastAsia="仿宋" w:hAnsi="仿宋" w:cs="Times New Roman" w:hint="eastAsia"/>
          <w:sz w:val="24"/>
          <w:szCs w:val="24"/>
        </w:rPr>
      </w:pPr>
      <w:r w:rsidRPr="00D72FD2">
        <w:rPr>
          <w:rFonts w:ascii="黑体" w:eastAsia="黑体" w:hAnsi="黑体" w:cs="Times New Roman" w:hint="eastAsia"/>
          <w:sz w:val="28"/>
          <w:szCs w:val="28"/>
        </w:rPr>
        <w:t>（二）课程学习内容与课程学习目标的对应关系</w:t>
      </w:r>
      <w:r w:rsidRPr="00D72FD2">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69"/>
        <w:gridCol w:w="2714"/>
        <w:gridCol w:w="1956"/>
        <w:gridCol w:w="1318"/>
      </w:tblGrid>
      <w:tr w:rsidR="00D72FD2" w:rsidRPr="00D72FD2" w14:paraId="069D8F10" w14:textId="77777777" w:rsidTr="006B1C7F">
        <w:trPr>
          <w:trHeight w:val="660"/>
          <w:jc w:val="center"/>
        </w:trPr>
        <w:tc>
          <w:tcPr>
            <w:tcW w:w="3369" w:type="dxa"/>
            <w:vAlign w:val="center"/>
          </w:tcPr>
          <w:p w14:paraId="5E0F627F" w14:textId="77777777" w:rsidR="00D72FD2" w:rsidRPr="00D72FD2" w:rsidRDefault="00D72FD2" w:rsidP="00D72FD2">
            <w:pPr>
              <w:spacing w:line="360" w:lineRule="auto"/>
              <w:jc w:val="center"/>
              <w:rPr>
                <w:rFonts w:ascii="宋体" w:eastAsia="宋体" w:hAnsi="宋体" w:cs="Times New Roman" w:hint="eastAsia"/>
                <w:b/>
                <w:bCs/>
                <w:sz w:val="24"/>
                <w:szCs w:val="24"/>
              </w:rPr>
            </w:pPr>
            <w:r w:rsidRPr="00D72FD2">
              <w:rPr>
                <w:rFonts w:ascii="宋体" w:eastAsia="宋体" w:hAnsi="宋体" w:cs="Times New Roman" w:hint="eastAsia"/>
                <w:b/>
                <w:bCs/>
                <w:sz w:val="24"/>
                <w:szCs w:val="24"/>
              </w:rPr>
              <w:t>课程学习内容</w:t>
            </w:r>
          </w:p>
        </w:tc>
        <w:tc>
          <w:tcPr>
            <w:tcW w:w="2714" w:type="dxa"/>
            <w:vAlign w:val="center"/>
          </w:tcPr>
          <w:p w14:paraId="0F42966E" w14:textId="77777777" w:rsidR="00D72FD2" w:rsidRPr="00D72FD2" w:rsidRDefault="00D72FD2" w:rsidP="00D72FD2">
            <w:pPr>
              <w:spacing w:line="360" w:lineRule="auto"/>
              <w:jc w:val="center"/>
              <w:rPr>
                <w:rFonts w:ascii="宋体" w:eastAsia="宋体" w:hAnsi="宋体" w:cs="Times New Roman" w:hint="eastAsia"/>
                <w:b/>
                <w:bCs/>
                <w:sz w:val="24"/>
                <w:szCs w:val="24"/>
              </w:rPr>
            </w:pPr>
            <w:r w:rsidRPr="00D72FD2">
              <w:rPr>
                <w:rFonts w:ascii="宋体" w:eastAsia="宋体" w:hAnsi="宋体" w:cs="Times New Roman" w:hint="eastAsia"/>
                <w:b/>
                <w:bCs/>
                <w:sz w:val="24"/>
                <w:szCs w:val="24"/>
              </w:rPr>
              <w:t>教学方法</w:t>
            </w:r>
          </w:p>
        </w:tc>
        <w:tc>
          <w:tcPr>
            <w:tcW w:w="1956" w:type="dxa"/>
            <w:vAlign w:val="center"/>
          </w:tcPr>
          <w:p w14:paraId="0891A9D8" w14:textId="77777777" w:rsidR="00D72FD2" w:rsidRPr="00D72FD2" w:rsidRDefault="00D72FD2" w:rsidP="00D72FD2">
            <w:pPr>
              <w:spacing w:line="360" w:lineRule="auto"/>
              <w:jc w:val="center"/>
              <w:rPr>
                <w:rFonts w:ascii="宋体" w:eastAsia="宋体" w:hAnsi="宋体" w:cs="Times New Roman" w:hint="eastAsia"/>
                <w:b/>
                <w:bCs/>
                <w:sz w:val="24"/>
                <w:szCs w:val="24"/>
              </w:rPr>
            </w:pPr>
            <w:r w:rsidRPr="00D72FD2">
              <w:rPr>
                <w:rFonts w:ascii="宋体" w:eastAsia="宋体" w:hAnsi="宋体" w:cs="Times New Roman" w:hint="eastAsia"/>
                <w:b/>
                <w:bCs/>
                <w:sz w:val="24"/>
                <w:szCs w:val="24"/>
              </w:rPr>
              <w:t>支撑的课程目标</w:t>
            </w:r>
          </w:p>
        </w:tc>
        <w:tc>
          <w:tcPr>
            <w:tcW w:w="1318" w:type="dxa"/>
            <w:vAlign w:val="center"/>
          </w:tcPr>
          <w:p w14:paraId="572D7991" w14:textId="77777777" w:rsidR="00D72FD2" w:rsidRPr="00D72FD2" w:rsidRDefault="00D72FD2" w:rsidP="00D72FD2">
            <w:pPr>
              <w:spacing w:line="360" w:lineRule="auto"/>
              <w:jc w:val="center"/>
              <w:rPr>
                <w:rFonts w:ascii="宋体" w:eastAsia="宋体" w:hAnsi="宋体" w:cs="Times New Roman" w:hint="eastAsia"/>
                <w:b/>
                <w:bCs/>
                <w:sz w:val="24"/>
                <w:szCs w:val="24"/>
              </w:rPr>
            </w:pPr>
            <w:r w:rsidRPr="00D72FD2">
              <w:rPr>
                <w:rFonts w:ascii="宋体" w:eastAsia="宋体" w:hAnsi="宋体" w:cs="Times New Roman" w:hint="eastAsia"/>
                <w:b/>
                <w:bCs/>
                <w:sz w:val="24"/>
                <w:szCs w:val="24"/>
              </w:rPr>
              <w:t>学时安排</w:t>
            </w:r>
          </w:p>
        </w:tc>
      </w:tr>
      <w:tr w:rsidR="00D72FD2" w:rsidRPr="00D72FD2" w14:paraId="17788B4A" w14:textId="77777777" w:rsidTr="006B1C7F">
        <w:trPr>
          <w:trHeight w:val="514"/>
          <w:jc w:val="center"/>
        </w:trPr>
        <w:tc>
          <w:tcPr>
            <w:tcW w:w="3369" w:type="dxa"/>
          </w:tcPr>
          <w:p w14:paraId="6586150E" w14:textId="77777777" w:rsidR="00D72FD2" w:rsidRPr="00D72FD2" w:rsidRDefault="00D72FD2" w:rsidP="00D72FD2">
            <w:pPr>
              <w:spacing w:line="360" w:lineRule="auto"/>
              <w:jc w:val="left"/>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第一章</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hint="eastAsia"/>
                <w:sz w:val="24"/>
                <w:szCs w:val="24"/>
              </w:rPr>
              <w:t>绪论</w:t>
            </w:r>
          </w:p>
        </w:tc>
        <w:tc>
          <w:tcPr>
            <w:tcW w:w="2714" w:type="dxa"/>
            <w:vAlign w:val="center"/>
          </w:tcPr>
          <w:p w14:paraId="63E2956C"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讲授法</w:t>
            </w:r>
          </w:p>
        </w:tc>
        <w:tc>
          <w:tcPr>
            <w:tcW w:w="1956" w:type="dxa"/>
            <w:vAlign w:val="center"/>
          </w:tcPr>
          <w:p w14:paraId="068B3A30"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课程</w:t>
            </w:r>
            <w:r w:rsidRPr="00D72FD2">
              <w:rPr>
                <w:rFonts w:ascii="宋体" w:eastAsia="宋体" w:hAnsi="宋体" w:cs="Times New Roman"/>
                <w:sz w:val="24"/>
                <w:szCs w:val="24"/>
              </w:rPr>
              <w:t>目标</w:t>
            </w:r>
            <w:r w:rsidRPr="00D72FD2">
              <w:rPr>
                <w:rFonts w:ascii="宋体" w:eastAsia="宋体" w:hAnsi="宋体" w:cs="Times New Roman" w:hint="eastAsia"/>
                <w:sz w:val="24"/>
                <w:szCs w:val="24"/>
              </w:rPr>
              <w:t>1</w:t>
            </w:r>
          </w:p>
        </w:tc>
        <w:tc>
          <w:tcPr>
            <w:tcW w:w="1318" w:type="dxa"/>
            <w:vAlign w:val="center"/>
          </w:tcPr>
          <w:p w14:paraId="2643F0C5"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1学时</w:t>
            </w:r>
          </w:p>
        </w:tc>
      </w:tr>
      <w:tr w:rsidR="00D72FD2" w:rsidRPr="00D72FD2" w14:paraId="7400B86E" w14:textId="77777777" w:rsidTr="006B1C7F">
        <w:trPr>
          <w:trHeight w:val="90"/>
          <w:jc w:val="center"/>
        </w:trPr>
        <w:tc>
          <w:tcPr>
            <w:tcW w:w="3369" w:type="dxa"/>
          </w:tcPr>
          <w:p w14:paraId="06844192" w14:textId="77777777" w:rsidR="00D72FD2" w:rsidRPr="00D72FD2" w:rsidRDefault="00D72FD2" w:rsidP="00D72FD2">
            <w:pPr>
              <w:spacing w:line="360" w:lineRule="auto"/>
              <w:jc w:val="left"/>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第二章</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hint="eastAsia"/>
                <w:sz w:val="24"/>
                <w:szCs w:val="24"/>
              </w:rPr>
              <w:t>中药分析中</w:t>
            </w:r>
            <w:proofErr w:type="gramStart"/>
            <w:r w:rsidRPr="00D72FD2">
              <w:rPr>
                <w:rFonts w:ascii="Times New Roman" w:eastAsia="宋体" w:hAnsi="Times New Roman" w:cs="Times New Roman" w:hint="eastAsia"/>
                <w:sz w:val="24"/>
                <w:szCs w:val="24"/>
              </w:rPr>
              <w:t>供试品的</w:t>
            </w:r>
            <w:proofErr w:type="gramEnd"/>
            <w:r w:rsidRPr="00D72FD2">
              <w:rPr>
                <w:rFonts w:ascii="Times New Roman" w:eastAsia="宋体" w:hAnsi="Times New Roman" w:cs="Times New Roman" w:hint="eastAsia"/>
                <w:sz w:val="24"/>
                <w:szCs w:val="24"/>
              </w:rPr>
              <w:t>制备</w:t>
            </w:r>
          </w:p>
        </w:tc>
        <w:tc>
          <w:tcPr>
            <w:tcW w:w="2714" w:type="dxa"/>
            <w:vAlign w:val="center"/>
          </w:tcPr>
          <w:p w14:paraId="1AD42D8C"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讲授法</w:t>
            </w:r>
          </w:p>
        </w:tc>
        <w:tc>
          <w:tcPr>
            <w:tcW w:w="1956" w:type="dxa"/>
            <w:vAlign w:val="center"/>
          </w:tcPr>
          <w:p w14:paraId="58E40D7A"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课程目标1、2</w:t>
            </w:r>
          </w:p>
        </w:tc>
        <w:tc>
          <w:tcPr>
            <w:tcW w:w="1318" w:type="dxa"/>
            <w:vAlign w:val="center"/>
          </w:tcPr>
          <w:p w14:paraId="3FE5F54F"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1学时</w:t>
            </w:r>
          </w:p>
        </w:tc>
      </w:tr>
      <w:tr w:rsidR="00D72FD2" w:rsidRPr="00D72FD2" w14:paraId="05865590" w14:textId="77777777" w:rsidTr="006B1C7F">
        <w:trPr>
          <w:jc w:val="center"/>
        </w:trPr>
        <w:tc>
          <w:tcPr>
            <w:tcW w:w="3369" w:type="dxa"/>
          </w:tcPr>
          <w:p w14:paraId="5AB040E8" w14:textId="77777777" w:rsidR="00D72FD2" w:rsidRPr="00D72FD2" w:rsidRDefault="00D72FD2" w:rsidP="00D72FD2">
            <w:pPr>
              <w:spacing w:line="360" w:lineRule="auto"/>
              <w:jc w:val="left"/>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第三章</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hint="eastAsia"/>
                <w:sz w:val="24"/>
                <w:szCs w:val="24"/>
              </w:rPr>
              <w:t>中药的鉴别</w:t>
            </w:r>
          </w:p>
        </w:tc>
        <w:tc>
          <w:tcPr>
            <w:tcW w:w="2714" w:type="dxa"/>
            <w:vAlign w:val="center"/>
          </w:tcPr>
          <w:p w14:paraId="36B6E251"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类比式教学法</w:t>
            </w:r>
          </w:p>
        </w:tc>
        <w:tc>
          <w:tcPr>
            <w:tcW w:w="1956" w:type="dxa"/>
            <w:vAlign w:val="center"/>
          </w:tcPr>
          <w:p w14:paraId="211515B2"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课程目标1、2</w:t>
            </w:r>
          </w:p>
        </w:tc>
        <w:tc>
          <w:tcPr>
            <w:tcW w:w="1318" w:type="dxa"/>
            <w:vAlign w:val="center"/>
          </w:tcPr>
          <w:p w14:paraId="40EE0017"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sz w:val="24"/>
                <w:szCs w:val="24"/>
              </w:rPr>
              <w:t>2</w:t>
            </w:r>
            <w:r w:rsidRPr="00D72FD2">
              <w:rPr>
                <w:rFonts w:ascii="宋体" w:eastAsia="宋体" w:hAnsi="宋体" w:cs="Times New Roman" w:hint="eastAsia"/>
                <w:sz w:val="24"/>
                <w:szCs w:val="24"/>
              </w:rPr>
              <w:t>学时</w:t>
            </w:r>
          </w:p>
        </w:tc>
      </w:tr>
      <w:tr w:rsidR="00D72FD2" w:rsidRPr="00D72FD2" w14:paraId="7092C278" w14:textId="77777777" w:rsidTr="006B1C7F">
        <w:trPr>
          <w:jc w:val="center"/>
        </w:trPr>
        <w:tc>
          <w:tcPr>
            <w:tcW w:w="3369" w:type="dxa"/>
          </w:tcPr>
          <w:p w14:paraId="0D8D3BAC" w14:textId="77777777" w:rsidR="00D72FD2" w:rsidRPr="00D72FD2" w:rsidRDefault="00D72FD2" w:rsidP="00D72FD2">
            <w:pPr>
              <w:spacing w:line="360" w:lineRule="auto"/>
              <w:jc w:val="left"/>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第四章</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hint="eastAsia"/>
                <w:sz w:val="24"/>
                <w:szCs w:val="24"/>
              </w:rPr>
              <w:t>中药的检查</w:t>
            </w:r>
          </w:p>
        </w:tc>
        <w:tc>
          <w:tcPr>
            <w:tcW w:w="2714" w:type="dxa"/>
            <w:vAlign w:val="center"/>
          </w:tcPr>
          <w:p w14:paraId="7E36FE76"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讲授法</w:t>
            </w:r>
          </w:p>
        </w:tc>
        <w:tc>
          <w:tcPr>
            <w:tcW w:w="1956" w:type="dxa"/>
            <w:vAlign w:val="center"/>
          </w:tcPr>
          <w:p w14:paraId="1ECCF1ED"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课程目标1、2</w:t>
            </w:r>
          </w:p>
        </w:tc>
        <w:tc>
          <w:tcPr>
            <w:tcW w:w="1318" w:type="dxa"/>
            <w:vAlign w:val="center"/>
          </w:tcPr>
          <w:p w14:paraId="3769CAB8"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sz w:val="24"/>
                <w:szCs w:val="24"/>
              </w:rPr>
              <w:t>2</w:t>
            </w:r>
            <w:r w:rsidRPr="00D72FD2">
              <w:rPr>
                <w:rFonts w:ascii="宋体" w:eastAsia="宋体" w:hAnsi="宋体" w:cs="Times New Roman" w:hint="eastAsia"/>
                <w:sz w:val="24"/>
                <w:szCs w:val="24"/>
              </w:rPr>
              <w:t>学时</w:t>
            </w:r>
          </w:p>
        </w:tc>
      </w:tr>
      <w:tr w:rsidR="00D72FD2" w:rsidRPr="00D72FD2" w14:paraId="392F8778" w14:textId="77777777" w:rsidTr="006B1C7F">
        <w:trPr>
          <w:jc w:val="center"/>
        </w:trPr>
        <w:tc>
          <w:tcPr>
            <w:tcW w:w="3369" w:type="dxa"/>
          </w:tcPr>
          <w:p w14:paraId="493B5653" w14:textId="77777777" w:rsidR="00D72FD2" w:rsidRPr="00D72FD2" w:rsidRDefault="00D72FD2" w:rsidP="00D72FD2">
            <w:pPr>
              <w:spacing w:line="360" w:lineRule="auto"/>
              <w:jc w:val="left"/>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第五章</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hint="eastAsia"/>
                <w:sz w:val="24"/>
                <w:szCs w:val="24"/>
              </w:rPr>
              <w:t>中药指纹图谱</w:t>
            </w:r>
          </w:p>
        </w:tc>
        <w:tc>
          <w:tcPr>
            <w:tcW w:w="2714" w:type="dxa"/>
            <w:vAlign w:val="center"/>
          </w:tcPr>
          <w:p w14:paraId="046B9B2D"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探究式教学法</w:t>
            </w:r>
          </w:p>
        </w:tc>
        <w:tc>
          <w:tcPr>
            <w:tcW w:w="1956" w:type="dxa"/>
            <w:vAlign w:val="center"/>
          </w:tcPr>
          <w:p w14:paraId="2F2CCBD7"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课程目标1、2</w:t>
            </w:r>
          </w:p>
        </w:tc>
        <w:tc>
          <w:tcPr>
            <w:tcW w:w="1318" w:type="dxa"/>
            <w:vAlign w:val="center"/>
          </w:tcPr>
          <w:p w14:paraId="6494BD50"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2学时</w:t>
            </w:r>
          </w:p>
        </w:tc>
      </w:tr>
      <w:tr w:rsidR="00D72FD2" w:rsidRPr="00D72FD2" w14:paraId="332A3B31" w14:textId="77777777" w:rsidTr="006B1C7F">
        <w:trPr>
          <w:jc w:val="center"/>
        </w:trPr>
        <w:tc>
          <w:tcPr>
            <w:tcW w:w="3369" w:type="dxa"/>
          </w:tcPr>
          <w:p w14:paraId="6F6CE586" w14:textId="77777777" w:rsidR="00D72FD2" w:rsidRPr="00D72FD2" w:rsidRDefault="00D72FD2" w:rsidP="00D72FD2">
            <w:pPr>
              <w:spacing w:line="360" w:lineRule="auto"/>
              <w:jc w:val="left"/>
              <w:rPr>
                <w:rFonts w:ascii="Times New Roman" w:eastAsia="宋体" w:hAnsi="Times New Roman" w:cs="Times New Roman"/>
                <w:sz w:val="24"/>
                <w:szCs w:val="24"/>
              </w:rPr>
            </w:pPr>
            <w:r w:rsidRPr="00D72FD2">
              <w:rPr>
                <w:rFonts w:ascii="Times New Roman" w:eastAsia="宋体" w:hAnsi="Times New Roman" w:cs="Times New Roman"/>
                <w:sz w:val="24"/>
                <w:szCs w:val="24"/>
              </w:rPr>
              <w:t>第六章</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hint="eastAsia"/>
                <w:sz w:val="24"/>
                <w:szCs w:val="24"/>
              </w:rPr>
              <w:t>中药的含量测定</w:t>
            </w:r>
          </w:p>
        </w:tc>
        <w:tc>
          <w:tcPr>
            <w:tcW w:w="2714" w:type="dxa"/>
            <w:vAlign w:val="center"/>
          </w:tcPr>
          <w:p w14:paraId="3FAE4B34"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探究式教学法</w:t>
            </w:r>
          </w:p>
        </w:tc>
        <w:tc>
          <w:tcPr>
            <w:tcW w:w="1956" w:type="dxa"/>
            <w:vAlign w:val="center"/>
          </w:tcPr>
          <w:p w14:paraId="1C87D7BE"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课程目标1、2</w:t>
            </w:r>
          </w:p>
        </w:tc>
        <w:tc>
          <w:tcPr>
            <w:tcW w:w="1318" w:type="dxa"/>
            <w:vAlign w:val="center"/>
          </w:tcPr>
          <w:p w14:paraId="226C634D"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2学时</w:t>
            </w:r>
          </w:p>
        </w:tc>
      </w:tr>
      <w:tr w:rsidR="00D72FD2" w:rsidRPr="00D72FD2" w14:paraId="7556E6F0" w14:textId="77777777" w:rsidTr="006B1C7F">
        <w:trPr>
          <w:jc w:val="center"/>
        </w:trPr>
        <w:tc>
          <w:tcPr>
            <w:tcW w:w="3369" w:type="dxa"/>
          </w:tcPr>
          <w:p w14:paraId="762DA5CF" w14:textId="77777777" w:rsidR="00D72FD2" w:rsidRPr="00D72FD2" w:rsidRDefault="00D72FD2" w:rsidP="00D72FD2">
            <w:pPr>
              <w:spacing w:line="360" w:lineRule="auto"/>
              <w:jc w:val="left"/>
              <w:rPr>
                <w:rFonts w:ascii="Times New Roman" w:eastAsia="宋体" w:hAnsi="Times New Roman" w:cs="Times New Roman"/>
                <w:sz w:val="24"/>
                <w:szCs w:val="24"/>
              </w:rPr>
            </w:pPr>
            <w:r w:rsidRPr="00D72FD2">
              <w:rPr>
                <w:rFonts w:ascii="Times New Roman" w:eastAsia="宋体" w:hAnsi="Times New Roman" w:cs="Times New Roman"/>
                <w:sz w:val="24"/>
                <w:szCs w:val="24"/>
              </w:rPr>
              <w:t>第七章</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hint="eastAsia"/>
                <w:sz w:val="24"/>
                <w:szCs w:val="24"/>
              </w:rPr>
              <w:t>中药中各类化学成分的分析</w:t>
            </w:r>
          </w:p>
        </w:tc>
        <w:tc>
          <w:tcPr>
            <w:tcW w:w="2714" w:type="dxa"/>
            <w:vAlign w:val="center"/>
          </w:tcPr>
          <w:p w14:paraId="503EDC53"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探究式教学法</w:t>
            </w:r>
          </w:p>
        </w:tc>
        <w:tc>
          <w:tcPr>
            <w:tcW w:w="1956" w:type="dxa"/>
            <w:vAlign w:val="center"/>
          </w:tcPr>
          <w:p w14:paraId="16974C2C"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w:t>
            </w:r>
            <w:r w:rsidRPr="00D72FD2">
              <w:rPr>
                <w:rFonts w:ascii="宋体" w:eastAsia="宋体" w:hAnsi="宋体" w:cs="Times New Roman"/>
                <w:sz w:val="24"/>
                <w:szCs w:val="24"/>
              </w:rPr>
              <w:t>目标</w:t>
            </w:r>
            <w:r w:rsidRPr="00D72FD2">
              <w:rPr>
                <w:rFonts w:ascii="宋体" w:eastAsia="宋体" w:hAnsi="宋体" w:cs="Times New Roman" w:hint="eastAsia"/>
                <w:sz w:val="24"/>
                <w:szCs w:val="24"/>
              </w:rPr>
              <w:t>1、2</w:t>
            </w:r>
          </w:p>
        </w:tc>
        <w:tc>
          <w:tcPr>
            <w:tcW w:w="1318" w:type="dxa"/>
            <w:vAlign w:val="center"/>
          </w:tcPr>
          <w:p w14:paraId="4551FCAA"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2学时</w:t>
            </w:r>
          </w:p>
        </w:tc>
      </w:tr>
      <w:tr w:rsidR="00D72FD2" w:rsidRPr="00D72FD2" w14:paraId="5520EE7B" w14:textId="77777777" w:rsidTr="006B1C7F">
        <w:trPr>
          <w:jc w:val="center"/>
        </w:trPr>
        <w:tc>
          <w:tcPr>
            <w:tcW w:w="3369" w:type="dxa"/>
          </w:tcPr>
          <w:p w14:paraId="21E67595" w14:textId="77777777" w:rsidR="00D72FD2" w:rsidRPr="00D72FD2" w:rsidRDefault="00D72FD2" w:rsidP="00D72FD2">
            <w:pPr>
              <w:spacing w:line="360" w:lineRule="auto"/>
              <w:jc w:val="left"/>
              <w:rPr>
                <w:rFonts w:ascii="Times New Roman" w:eastAsia="宋体" w:hAnsi="Times New Roman" w:cs="Times New Roman"/>
                <w:sz w:val="24"/>
                <w:szCs w:val="24"/>
              </w:rPr>
            </w:pPr>
            <w:r w:rsidRPr="00D72FD2">
              <w:rPr>
                <w:rFonts w:ascii="Times New Roman" w:eastAsia="宋体" w:hAnsi="Times New Roman" w:cs="Times New Roman" w:hint="eastAsia"/>
                <w:sz w:val="24"/>
                <w:szCs w:val="24"/>
              </w:rPr>
              <w:t>第八章</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hint="eastAsia"/>
                <w:sz w:val="24"/>
                <w:szCs w:val="24"/>
              </w:rPr>
              <w:t>生物样品内中药化学成分的分析</w:t>
            </w:r>
          </w:p>
        </w:tc>
        <w:tc>
          <w:tcPr>
            <w:tcW w:w="2714" w:type="dxa"/>
            <w:vAlign w:val="center"/>
          </w:tcPr>
          <w:p w14:paraId="21399A4A"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探究式教学法</w:t>
            </w:r>
          </w:p>
        </w:tc>
        <w:tc>
          <w:tcPr>
            <w:tcW w:w="1956" w:type="dxa"/>
            <w:vAlign w:val="center"/>
          </w:tcPr>
          <w:p w14:paraId="39E0D576"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w:t>
            </w:r>
            <w:r w:rsidRPr="00D72FD2">
              <w:rPr>
                <w:rFonts w:ascii="宋体" w:eastAsia="宋体" w:hAnsi="宋体" w:cs="Times New Roman"/>
                <w:sz w:val="24"/>
                <w:szCs w:val="24"/>
              </w:rPr>
              <w:t>目标</w:t>
            </w:r>
            <w:r w:rsidRPr="00D72FD2">
              <w:rPr>
                <w:rFonts w:ascii="宋体" w:eastAsia="宋体" w:hAnsi="宋体" w:cs="Times New Roman" w:hint="eastAsia"/>
                <w:sz w:val="24"/>
                <w:szCs w:val="24"/>
              </w:rPr>
              <w:t>1、2</w:t>
            </w:r>
          </w:p>
        </w:tc>
        <w:tc>
          <w:tcPr>
            <w:tcW w:w="1318" w:type="dxa"/>
            <w:vAlign w:val="center"/>
          </w:tcPr>
          <w:p w14:paraId="0169DBC6"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2学时</w:t>
            </w:r>
          </w:p>
        </w:tc>
      </w:tr>
      <w:tr w:rsidR="00D72FD2" w:rsidRPr="00D72FD2" w14:paraId="7DE5A71A" w14:textId="77777777" w:rsidTr="006B1C7F">
        <w:trPr>
          <w:jc w:val="center"/>
        </w:trPr>
        <w:tc>
          <w:tcPr>
            <w:tcW w:w="3369" w:type="dxa"/>
          </w:tcPr>
          <w:p w14:paraId="6B69BD53" w14:textId="77777777" w:rsidR="00D72FD2" w:rsidRPr="00D72FD2" w:rsidRDefault="00D72FD2" w:rsidP="00D72FD2">
            <w:pPr>
              <w:spacing w:line="360" w:lineRule="auto"/>
              <w:jc w:val="left"/>
              <w:rPr>
                <w:rFonts w:ascii="Times New Roman" w:eastAsia="宋体" w:hAnsi="Times New Roman" w:cs="Times New Roman"/>
                <w:sz w:val="24"/>
                <w:szCs w:val="24"/>
              </w:rPr>
            </w:pPr>
            <w:r w:rsidRPr="00D72FD2">
              <w:rPr>
                <w:rFonts w:ascii="Times New Roman" w:eastAsia="宋体" w:hAnsi="Times New Roman" w:cs="Times New Roman"/>
                <w:sz w:val="24"/>
                <w:szCs w:val="24"/>
              </w:rPr>
              <w:t>第</w:t>
            </w:r>
            <w:r w:rsidRPr="00D72FD2">
              <w:rPr>
                <w:rFonts w:ascii="Times New Roman" w:eastAsia="宋体" w:hAnsi="Times New Roman" w:cs="Times New Roman" w:hint="eastAsia"/>
                <w:sz w:val="24"/>
                <w:szCs w:val="24"/>
              </w:rPr>
              <w:t>九</w:t>
            </w:r>
            <w:r w:rsidRPr="00D72FD2">
              <w:rPr>
                <w:rFonts w:ascii="Times New Roman" w:eastAsia="宋体" w:hAnsi="Times New Roman" w:cs="Times New Roman"/>
                <w:sz w:val="24"/>
                <w:szCs w:val="24"/>
              </w:rPr>
              <w:t>章</w:t>
            </w:r>
            <w:r w:rsidRPr="00D72FD2">
              <w:rPr>
                <w:rFonts w:ascii="Times New Roman" w:eastAsia="宋体" w:hAnsi="Times New Roman" w:cs="Times New Roman" w:hint="eastAsia"/>
                <w:sz w:val="24"/>
                <w:szCs w:val="24"/>
              </w:rPr>
              <w:t xml:space="preserve"> </w:t>
            </w:r>
            <w:r w:rsidRPr="00D72FD2">
              <w:rPr>
                <w:rFonts w:ascii="Times New Roman" w:eastAsia="宋体" w:hAnsi="Times New Roman" w:cs="Times New Roman" w:hint="eastAsia"/>
                <w:sz w:val="24"/>
                <w:szCs w:val="24"/>
              </w:rPr>
              <w:t>中药质量标准的制定</w:t>
            </w:r>
          </w:p>
        </w:tc>
        <w:tc>
          <w:tcPr>
            <w:tcW w:w="2714" w:type="dxa"/>
            <w:vAlign w:val="center"/>
          </w:tcPr>
          <w:p w14:paraId="5290F9E2"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探究式教学法</w:t>
            </w:r>
          </w:p>
        </w:tc>
        <w:tc>
          <w:tcPr>
            <w:tcW w:w="1956" w:type="dxa"/>
            <w:vAlign w:val="center"/>
          </w:tcPr>
          <w:p w14:paraId="1ECF4020"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w:t>
            </w:r>
            <w:r w:rsidRPr="00D72FD2">
              <w:rPr>
                <w:rFonts w:ascii="宋体" w:eastAsia="宋体" w:hAnsi="宋体" w:cs="Times New Roman"/>
                <w:sz w:val="24"/>
                <w:szCs w:val="24"/>
              </w:rPr>
              <w:t>目标</w:t>
            </w:r>
            <w:r w:rsidRPr="00D72FD2">
              <w:rPr>
                <w:rFonts w:ascii="宋体" w:eastAsia="宋体" w:hAnsi="宋体" w:cs="Times New Roman" w:hint="eastAsia"/>
                <w:sz w:val="24"/>
                <w:szCs w:val="24"/>
              </w:rPr>
              <w:t>1、2</w:t>
            </w:r>
          </w:p>
        </w:tc>
        <w:tc>
          <w:tcPr>
            <w:tcW w:w="1318" w:type="dxa"/>
            <w:vAlign w:val="center"/>
          </w:tcPr>
          <w:p w14:paraId="0FDBCA1E"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2学时</w:t>
            </w:r>
          </w:p>
        </w:tc>
      </w:tr>
      <w:tr w:rsidR="00D72FD2" w:rsidRPr="00D72FD2" w14:paraId="2B3A743E" w14:textId="77777777" w:rsidTr="006B1C7F">
        <w:trPr>
          <w:jc w:val="center"/>
        </w:trPr>
        <w:tc>
          <w:tcPr>
            <w:tcW w:w="8039" w:type="dxa"/>
            <w:gridSpan w:val="3"/>
            <w:vAlign w:val="center"/>
          </w:tcPr>
          <w:p w14:paraId="6E489836" w14:textId="77777777" w:rsidR="00D72FD2" w:rsidRPr="00D72FD2" w:rsidRDefault="00D72FD2" w:rsidP="00D72FD2">
            <w:pPr>
              <w:spacing w:line="360" w:lineRule="auto"/>
              <w:jc w:val="center"/>
              <w:rPr>
                <w:rFonts w:ascii="宋体" w:eastAsia="宋体" w:hAnsi="宋体" w:cs="Times New Roman" w:hint="eastAsia"/>
                <w:b/>
                <w:sz w:val="24"/>
                <w:szCs w:val="24"/>
              </w:rPr>
            </w:pPr>
            <w:r w:rsidRPr="00D72FD2">
              <w:rPr>
                <w:rFonts w:ascii="宋体" w:eastAsia="宋体" w:hAnsi="宋体" w:cs="Times New Roman" w:hint="eastAsia"/>
                <w:b/>
                <w:sz w:val="24"/>
                <w:szCs w:val="24"/>
              </w:rPr>
              <w:t>合计</w:t>
            </w:r>
          </w:p>
        </w:tc>
        <w:tc>
          <w:tcPr>
            <w:tcW w:w="1318" w:type="dxa"/>
            <w:vAlign w:val="center"/>
          </w:tcPr>
          <w:p w14:paraId="720454E9"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16学时</w:t>
            </w:r>
          </w:p>
        </w:tc>
      </w:tr>
    </w:tbl>
    <w:p w14:paraId="7C8A4344"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hint="eastAsia"/>
          <w:sz w:val="28"/>
          <w:szCs w:val="28"/>
        </w:rPr>
        <w:t>四、课程考核及与课程学习目标的对应关系</w:t>
      </w:r>
    </w:p>
    <w:p w14:paraId="5F437240"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D72FD2" w:rsidRPr="00D72FD2" w14:paraId="7C4A6C4F" w14:textId="77777777" w:rsidTr="006B1C7F">
        <w:trPr>
          <w:trHeight w:val="515"/>
          <w:jc w:val="center"/>
        </w:trPr>
        <w:tc>
          <w:tcPr>
            <w:tcW w:w="1422" w:type="dxa"/>
          </w:tcPr>
          <w:p w14:paraId="3982E67B" w14:textId="77777777" w:rsidR="00D72FD2" w:rsidRPr="00D72FD2" w:rsidRDefault="00D72FD2" w:rsidP="00D72FD2">
            <w:pPr>
              <w:spacing w:line="360" w:lineRule="auto"/>
              <w:jc w:val="center"/>
              <w:rPr>
                <w:rFonts w:ascii="宋体" w:eastAsia="宋体" w:hAnsi="宋体" w:cs="Times New Roman" w:hint="eastAsia"/>
                <w:b/>
                <w:sz w:val="24"/>
                <w:szCs w:val="24"/>
              </w:rPr>
            </w:pPr>
            <w:r w:rsidRPr="00D72FD2">
              <w:rPr>
                <w:rFonts w:ascii="宋体" w:eastAsia="宋体" w:hAnsi="宋体" w:cs="Times New Roman" w:hint="eastAsia"/>
                <w:b/>
                <w:sz w:val="24"/>
                <w:szCs w:val="24"/>
              </w:rPr>
              <w:t>课程目标</w:t>
            </w:r>
          </w:p>
        </w:tc>
        <w:tc>
          <w:tcPr>
            <w:tcW w:w="7918" w:type="dxa"/>
            <w:vAlign w:val="center"/>
          </w:tcPr>
          <w:p w14:paraId="6DD0BF5E" w14:textId="77777777" w:rsidR="00D72FD2" w:rsidRPr="00D72FD2" w:rsidRDefault="00D72FD2" w:rsidP="00D72FD2">
            <w:pPr>
              <w:spacing w:line="360" w:lineRule="auto"/>
              <w:jc w:val="center"/>
              <w:rPr>
                <w:rFonts w:ascii="宋体" w:eastAsia="宋体" w:hAnsi="宋体" w:cs="Times New Roman" w:hint="eastAsia"/>
                <w:b/>
                <w:sz w:val="24"/>
                <w:szCs w:val="24"/>
              </w:rPr>
            </w:pPr>
            <w:r w:rsidRPr="00D72FD2">
              <w:rPr>
                <w:rFonts w:ascii="宋体" w:eastAsia="宋体" w:hAnsi="宋体" w:cs="Times New Roman" w:hint="eastAsia"/>
                <w:b/>
                <w:sz w:val="24"/>
                <w:szCs w:val="24"/>
              </w:rPr>
              <w:t>考核内容</w:t>
            </w:r>
          </w:p>
        </w:tc>
      </w:tr>
      <w:tr w:rsidR="00D72FD2" w:rsidRPr="00D72FD2" w14:paraId="6008B0D6" w14:textId="77777777" w:rsidTr="006B1C7F">
        <w:trPr>
          <w:jc w:val="center"/>
        </w:trPr>
        <w:tc>
          <w:tcPr>
            <w:tcW w:w="1422" w:type="dxa"/>
            <w:vAlign w:val="center"/>
          </w:tcPr>
          <w:p w14:paraId="4E2A19F2" w14:textId="77777777" w:rsidR="00D72FD2" w:rsidRPr="00D72FD2" w:rsidRDefault="00D72FD2" w:rsidP="00D72FD2">
            <w:pPr>
              <w:spacing w:line="360" w:lineRule="auto"/>
              <w:jc w:val="center"/>
              <w:rPr>
                <w:rFonts w:ascii="宋体" w:eastAsia="宋体" w:hAnsi="宋体" w:cs="Times New Roman" w:hint="eastAsia"/>
                <w:bCs/>
                <w:sz w:val="24"/>
                <w:szCs w:val="24"/>
              </w:rPr>
            </w:pPr>
            <w:r w:rsidRPr="00D72FD2">
              <w:rPr>
                <w:rFonts w:ascii="宋体" w:eastAsia="宋体" w:hAnsi="宋体" w:cs="Times New Roman" w:hint="eastAsia"/>
                <w:bCs/>
                <w:sz w:val="24"/>
                <w:szCs w:val="24"/>
              </w:rPr>
              <w:t>课程目标1</w:t>
            </w:r>
          </w:p>
        </w:tc>
        <w:tc>
          <w:tcPr>
            <w:tcW w:w="7918" w:type="dxa"/>
            <w:vAlign w:val="center"/>
          </w:tcPr>
          <w:p w14:paraId="40322D82" w14:textId="77777777" w:rsidR="00D72FD2" w:rsidRPr="00D72FD2" w:rsidRDefault="00D72FD2" w:rsidP="00D72FD2">
            <w:pPr>
              <w:spacing w:line="360" w:lineRule="auto"/>
              <w:rPr>
                <w:rFonts w:ascii="Times New Roman" w:eastAsia="宋体" w:hAnsi="Times New Roman" w:cs="Times New Roman" w:hint="eastAsia"/>
                <w:color w:val="000000"/>
                <w:sz w:val="24"/>
                <w:szCs w:val="24"/>
              </w:rPr>
            </w:pPr>
            <w:r w:rsidRPr="00D72FD2">
              <w:rPr>
                <w:rFonts w:ascii="宋体" w:eastAsia="宋体" w:hAnsi="宋体" w:cs="Times New Roman" w:hint="eastAsia"/>
                <w:bCs/>
                <w:sz w:val="24"/>
                <w:szCs w:val="24"/>
              </w:rPr>
              <w:t>根据</w:t>
            </w:r>
            <w:r w:rsidRPr="00D72FD2">
              <w:rPr>
                <w:rFonts w:ascii="Times New Roman" w:eastAsia="宋体" w:hAnsi="Times New Roman" w:cs="Times New Roman" w:hint="eastAsia"/>
                <w:color w:val="000000"/>
                <w:sz w:val="24"/>
                <w:szCs w:val="24"/>
              </w:rPr>
              <w:t>给定题目，运用所掌握的知识进行课程设计完成考试内容</w:t>
            </w:r>
          </w:p>
        </w:tc>
      </w:tr>
      <w:tr w:rsidR="00D72FD2" w:rsidRPr="00D72FD2" w14:paraId="3C60816F" w14:textId="77777777" w:rsidTr="006B1C7F">
        <w:trPr>
          <w:jc w:val="center"/>
        </w:trPr>
        <w:tc>
          <w:tcPr>
            <w:tcW w:w="1422" w:type="dxa"/>
            <w:vAlign w:val="center"/>
          </w:tcPr>
          <w:p w14:paraId="4874EF10" w14:textId="77777777" w:rsidR="00D72FD2" w:rsidRPr="00D72FD2" w:rsidRDefault="00D72FD2" w:rsidP="00D72FD2">
            <w:pPr>
              <w:spacing w:line="360" w:lineRule="auto"/>
              <w:jc w:val="center"/>
              <w:rPr>
                <w:rFonts w:ascii="宋体" w:eastAsia="宋体" w:hAnsi="宋体" w:cs="Times New Roman" w:hint="eastAsia"/>
                <w:bCs/>
                <w:sz w:val="24"/>
                <w:szCs w:val="24"/>
              </w:rPr>
            </w:pPr>
            <w:r w:rsidRPr="00D72FD2">
              <w:rPr>
                <w:rFonts w:ascii="宋体" w:eastAsia="宋体" w:hAnsi="宋体" w:cs="Times New Roman" w:hint="eastAsia"/>
                <w:bCs/>
                <w:sz w:val="24"/>
                <w:szCs w:val="24"/>
              </w:rPr>
              <w:t>课程目标2</w:t>
            </w:r>
          </w:p>
        </w:tc>
        <w:tc>
          <w:tcPr>
            <w:tcW w:w="7918" w:type="dxa"/>
            <w:vAlign w:val="center"/>
          </w:tcPr>
          <w:p w14:paraId="4904132D" w14:textId="77777777" w:rsidR="00D72FD2" w:rsidRPr="00D72FD2" w:rsidRDefault="00D72FD2" w:rsidP="00D72FD2">
            <w:pPr>
              <w:spacing w:line="360" w:lineRule="auto"/>
              <w:rPr>
                <w:rFonts w:ascii="Times New Roman" w:eastAsia="宋体" w:hAnsi="Times New Roman" w:cs="Times New Roman" w:hint="eastAsia"/>
                <w:bCs/>
                <w:sz w:val="24"/>
                <w:szCs w:val="24"/>
              </w:rPr>
            </w:pPr>
            <w:r w:rsidRPr="00D72FD2">
              <w:rPr>
                <w:rFonts w:ascii="Times New Roman" w:eastAsia="宋体" w:hAnsi="Times New Roman" w:cs="Times New Roman" w:hint="eastAsia"/>
                <w:bCs/>
                <w:sz w:val="24"/>
                <w:szCs w:val="24"/>
              </w:rPr>
              <w:t>结合给定题目，通过课堂提问、课后复习和实践应用，完成考试内容</w:t>
            </w:r>
          </w:p>
        </w:tc>
      </w:tr>
    </w:tbl>
    <w:p w14:paraId="5D52623A"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hint="eastAsia"/>
          <w:sz w:val="28"/>
          <w:szCs w:val="28"/>
        </w:rPr>
      </w:pPr>
      <w:r w:rsidRPr="00D72FD2">
        <w:rPr>
          <w:rFonts w:ascii="黑体" w:eastAsia="黑体" w:hAnsi="黑体" w:cs="Times New Roman" w:hint="eastAsia"/>
          <w:sz w:val="28"/>
          <w:szCs w:val="28"/>
        </w:rPr>
        <w:t>（二）课程考核方式</w:t>
      </w:r>
    </w:p>
    <w:p w14:paraId="3C8F4248"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lastRenderedPageBreak/>
        <w:t>1.平时成绩(平时作业+阶段测试+课堂表现)</w:t>
      </w:r>
    </w:p>
    <w:p w14:paraId="5EEE9D9E"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sz w:val="24"/>
          <w:szCs w:val="24"/>
        </w:rPr>
        <w:t>2</w:t>
      </w:r>
      <w:r w:rsidRPr="00D72FD2">
        <w:rPr>
          <w:rFonts w:ascii="宋体" w:eastAsia="宋体" w:hAnsi="宋体" w:cs="Times New Roman" w:hint="eastAsia"/>
          <w:sz w:val="24"/>
          <w:szCs w:val="24"/>
        </w:rPr>
        <w:t>.期末课程设计成绩</w:t>
      </w:r>
    </w:p>
    <w:p w14:paraId="0321B1F6"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学生最后总成绩由平时成绩(30%)+期末课程设计成绩(70%)的总和确定。</w:t>
      </w:r>
    </w:p>
    <w:p w14:paraId="3EB4CBA3"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hint="eastAsia"/>
          <w:sz w:val="28"/>
          <w:szCs w:val="28"/>
        </w:rPr>
        <w:t>（三）课程目标达成评价方式及考核比例</w:t>
      </w:r>
    </w:p>
    <w:p w14:paraId="38F4F892"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w:t>
      </w:r>
      <w:r w:rsidRPr="00D72FD2">
        <w:rPr>
          <w:rFonts w:ascii="宋体" w:eastAsia="宋体" w:hAnsi="宋体" w:cs="Times New Roman" w:hint="eastAsia"/>
          <w:sz w:val="24"/>
          <w:szCs w:val="24"/>
        </w:rPr>
        <w:t>中药分析</w:t>
      </w:r>
      <w:r w:rsidRPr="00D72FD2">
        <w:rPr>
          <w:rFonts w:ascii="宋体" w:eastAsia="宋体" w:hAnsi="宋体" w:cs="Times New Roman"/>
          <w:sz w:val="24"/>
          <w:szCs w:val="24"/>
        </w:rPr>
        <w:t>》课程考核方式及成绩比例为：</w:t>
      </w:r>
      <w:r w:rsidRPr="00D72FD2">
        <w:rPr>
          <w:rFonts w:ascii="宋体" w:eastAsia="宋体" w:hAnsi="宋体" w:cs="Times New Roman" w:hint="eastAsia"/>
          <w:sz w:val="24"/>
          <w:szCs w:val="24"/>
        </w:rPr>
        <w:t>平时成绩(平时作业+阶段测试+课堂表现) (30%)+期末成绩(70%)</w:t>
      </w:r>
      <w:r w:rsidRPr="00D72FD2">
        <w:rPr>
          <w:rFonts w:ascii="宋体" w:eastAsia="宋体" w:hAnsi="宋体" w:cs="Times New Roman"/>
          <w:sz w:val="24"/>
          <w:szCs w:val="24"/>
        </w:rPr>
        <w:t>。</w:t>
      </w:r>
    </w:p>
    <w:p w14:paraId="28F0C70B"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本课程共有</w:t>
      </w:r>
      <w:r w:rsidRPr="00D72FD2">
        <w:rPr>
          <w:rFonts w:ascii="宋体" w:eastAsia="宋体" w:hAnsi="宋体" w:cs="Times New Roman" w:hint="eastAsia"/>
          <w:sz w:val="24"/>
          <w:szCs w:val="24"/>
        </w:rPr>
        <w:t>两个</w:t>
      </w:r>
      <w:r w:rsidRPr="00D72FD2">
        <w:rPr>
          <w:rFonts w:ascii="宋体" w:eastAsia="宋体" w:hAnsi="宋体" w:cs="Times New Roman"/>
          <w:sz w:val="24"/>
          <w:szCs w:val="24"/>
        </w:rPr>
        <w:t>课程目标，考核方式及成绩比例分别为：</w:t>
      </w:r>
    </w:p>
    <w:p w14:paraId="3810A7D8"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课程目标1：</w:t>
      </w:r>
      <w:r w:rsidRPr="00D72FD2">
        <w:rPr>
          <w:rFonts w:ascii="宋体" w:eastAsia="宋体" w:hAnsi="宋体" w:cs="Times New Roman" w:hint="eastAsia"/>
          <w:sz w:val="24"/>
          <w:szCs w:val="24"/>
        </w:rPr>
        <w:t>平时成绩(平时作业+阶段测试+课堂表现)(20%)+期末成绩(40%)</w:t>
      </w:r>
      <w:r w:rsidRPr="00D72FD2">
        <w:rPr>
          <w:rFonts w:ascii="宋体" w:eastAsia="宋体" w:hAnsi="宋体" w:cs="Times New Roman"/>
          <w:sz w:val="24"/>
          <w:szCs w:val="24"/>
        </w:rPr>
        <w:t>；</w:t>
      </w:r>
    </w:p>
    <w:p w14:paraId="7203E1CE"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sz w:val="24"/>
          <w:szCs w:val="24"/>
        </w:rPr>
        <w:t>课程目标2：</w:t>
      </w:r>
      <w:r w:rsidRPr="00D72FD2">
        <w:rPr>
          <w:rFonts w:ascii="宋体" w:eastAsia="宋体" w:hAnsi="宋体" w:cs="Times New Roman" w:hint="eastAsia"/>
          <w:sz w:val="24"/>
          <w:szCs w:val="24"/>
        </w:rPr>
        <w:t>平时成绩(平时作业+阶段测试+课堂表现)(10%)+期末成绩(30%)</w:t>
      </w:r>
    </w:p>
    <w:p w14:paraId="19FAA1F6"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如下图：</w:t>
      </w:r>
    </w:p>
    <w:p w14:paraId="3F24133D" w14:textId="77777777" w:rsidR="00D72FD2" w:rsidRPr="00D72FD2" w:rsidRDefault="00D72FD2" w:rsidP="00D72FD2">
      <w:pPr>
        <w:spacing w:line="360" w:lineRule="auto"/>
        <w:rPr>
          <w:rFonts w:ascii="宋体" w:eastAsia="宋体" w:hAnsi="宋体" w:cs="Times New Roman" w:hint="eastAsia"/>
          <w:sz w:val="24"/>
          <w:szCs w:val="24"/>
        </w:rPr>
      </w:pPr>
    </w:p>
    <w:tbl>
      <w:tblPr>
        <w:tblpPr w:vertAnchor="text" w:horzAnchor="margin" w:tblpXSpec="right" w:tblpY="-84"/>
        <w:tblW w:w="0" w:type="auto"/>
        <w:tblLayout w:type="fixed"/>
        <w:tblLook w:val="0000" w:firstRow="0" w:lastRow="0" w:firstColumn="0" w:lastColumn="0" w:noHBand="0" w:noVBand="0"/>
      </w:tblPr>
      <w:tblGrid>
        <w:gridCol w:w="1427"/>
        <w:gridCol w:w="2158"/>
        <w:gridCol w:w="2760"/>
        <w:gridCol w:w="2262"/>
        <w:gridCol w:w="6"/>
      </w:tblGrid>
      <w:tr w:rsidR="00D72FD2" w:rsidRPr="00D72FD2" w14:paraId="7292169B" w14:textId="77777777" w:rsidTr="006B1C7F">
        <w:trPr>
          <w:gridAfter w:val="1"/>
          <w:wAfter w:w="6" w:type="dxa"/>
          <w:trHeight w:val="540"/>
        </w:trPr>
        <w:tc>
          <w:tcPr>
            <w:tcW w:w="1427" w:type="dxa"/>
            <w:vMerge w:val="restart"/>
            <w:tcBorders>
              <w:top w:val="single" w:sz="4" w:space="0" w:color="auto"/>
              <w:left w:val="single" w:sz="4" w:space="0" w:color="auto"/>
              <w:bottom w:val="single" w:sz="4" w:space="0" w:color="auto"/>
              <w:right w:val="single" w:sz="4" w:space="0" w:color="auto"/>
            </w:tcBorders>
            <w:vAlign w:val="center"/>
          </w:tcPr>
          <w:p w14:paraId="6602DFD4"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b/>
                <w:sz w:val="24"/>
                <w:szCs w:val="24"/>
              </w:rPr>
              <w:t>课程目标</w:t>
            </w:r>
          </w:p>
        </w:tc>
        <w:tc>
          <w:tcPr>
            <w:tcW w:w="4918" w:type="dxa"/>
            <w:gridSpan w:val="2"/>
            <w:tcBorders>
              <w:top w:val="single" w:sz="4" w:space="0" w:color="auto"/>
              <w:left w:val="single" w:sz="4" w:space="0" w:color="auto"/>
              <w:bottom w:val="single" w:sz="4" w:space="0" w:color="auto"/>
              <w:right w:val="single" w:sz="4" w:space="0" w:color="auto"/>
            </w:tcBorders>
          </w:tcPr>
          <w:p w14:paraId="1751AB99"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b/>
                <w:sz w:val="24"/>
                <w:szCs w:val="24"/>
              </w:rPr>
              <w:t>考核方式及成绩比例（%）</w:t>
            </w:r>
          </w:p>
        </w:tc>
        <w:tc>
          <w:tcPr>
            <w:tcW w:w="2262" w:type="dxa"/>
            <w:tcBorders>
              <w:top w:val="single" w:sz="4" w:space="0" w:color="auto"/>
              <w:left w:val="single" w:sz="4" w:space="0" w:color="auto"/>
              <w:bottom w:val="single" w:sz="4" w:space="0" w:color="auto"/>
              <w:right w:val="single" w:sz="4" w:space="0" w:color="auto"/>
            </w:tcBorders>
            <w:vAlign w:val="center"/>
          </w:tcPr>
          <w:p w14:paraId="3330CF6B"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b/>
                <w:sz w:val="24"/>
                <w:szCs w:val="24"/>
              </w:rPr>
              <w:t>合计</w:t>
            </w:r>
          </w:p>
        </w:tc>
      </w:tr>
      <w:tr w:rsidR="00D72FD2" w:rsidRPr="00D72FD2" w14:paraId="19A379C8" w14:textId="77777777" w:rsidTr="006B1C7F">
        <w:trPr>
          <w:trHeight w:val="578"/>
        </w:trPr>
        <w:tc>
          <w:tcPr>
            <w:tcW w:w="1427" w:type="dxa"/>
            <w:vMerge/>
            <w:tcBorders>
              <w:top w:val="single" w:sz="4" w:space="0" w:color="auto"/>
              <w:left w:val="single" w:sz="4" w:space="0" w:color="auto"/>
              <w:bottom w:val="single" w:sz="4" w:space="0" w:color="auto"/>
              <w:right w:val="single" w:sz="4" w:space="0" w:color="auto"/>
            </w:tcBorders>
            <w:vAlign w:val="center"/>
          </w:tcPr>
          <w:p w14:paraId="697A373C" w14:textId="77777777" w:rsidR="00D72FD2" w:rsidRPr="00D72FD2" w:rsidRDefault="00D72FD2" w:rsidP="00D72FD2">
            <w:pPr>
              <w:spacing w:line="360" w:lineRule="auto"/>
              <w:jc w:val="center"/>
              <w:rPr>
                <w:rFonts w:ascii="Times New Roman" w:eastAsia="宋体" w:hAnsi="Times New Roman" w:cs="Times New Roman"/>
                <w:szCs w:val="24"/>
              </w:rPr>
            </w:pPr>
          </w:p>
        </w:tc>
        <w:tc>
          <w:tcPr>
            <w:tcW w:w="2158" w:type="dxa"/>
            <w:tcBorders>
              <w:top w:val="single" w:sz="4" w:space="0" w:color="auto"/>
              <w:left w:val="single" w:sz="4" w:space="0" w:color="auto"/>
              <w:bottom w:val="single" w:sz="4" w:space="0" w:color="auto"/>
              <w:right w:val="single" w:sz="4" w:space="0" w:color="auto"/>
            </w:tcBorders>
            <w:vAlign w:val="center"/>
          </w:tcPr>
          <w:p w14:paraId="10A5ED9D"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hint="eastAsia"/>
                <w:b/>
                <w:sz w:val="24"/>
                <w:szCs w:val="24"/>
              </w:rPr>
              <w:t>平时成绩</w:t>
            </w:r>
          </w:p>
        </w:tc>
        <w:tc>
          <w:tcPr>
            <w:tcW w:w="2760" w:type="dxa"/>
            <w:tcBorders>
              <w:top w:val="single" w:sz="4" w:space="0" w:color="auto"/>
              <w:left w:val="single" w:sz="4" w:space="0" w:color="auto"/>
              <w:bottom w:val="single" w:sz="4" w:space="0" w:color="auto"/>
              <w:right w:val="single" w:sz="4" w:space="0" w:color="auto"/>
            </w:tcBorders>
            <w:vAlign w:val="center"/>
          </w:tcPr>
          <w:p w14:paraId="48995A54"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hint="eastAsia"/>
                <w:b/>
                <w:sz w:val="24"/>
                <w:szCs w:val="24"/>
              </w:rPr>
              <w:t>期末成绩</w:t>
            </w: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3E2B2E7E" w14:textId="77777777" w:rsidR="00D72FD2" w:rsidRPr="00D72FD2" w:rsidRDefault="00D72FD2" w:rsidP="00D72FD2">
            <w:pPr>
              <w:spacing w:line="360" w:lineRule="auto"/>
              <w:jc w:val="center"/>
              <w:rPr>
                <w:rFonts w:ascii="Times New Roman" w:eastAsia="宋体" w:hAnsi="Times New Roman" w:cs="Times New Roman"/>
                <w:szCs w:val="24"/>
              </w:rPr>
            </w:pPr>
          </w:p>
        </w:tc>
      </w:tr>
      <w:tr w:rsidR="00D72FD2" w:rsidRPr="00D72FD2" w14:paraId="0A5ECC1B" w14:textId="77777777" w:rsidTr="006B1C7F">
        <w:tc>
          <w:tcPr>
            <w:tcW w:w="1427" w:type="dxa"/>
            <w:tcBorders>
              <w:top w:val="single" w:sz="4" w:space="0" w:color="auto"/>
              <w:left w:val="single" w:sz="4" w:space="0" w:color="auto"/>
              <w:bottom w:val="single" w:sz="4" w:space="0" w:color="auto"/>
              <w:right w:val="single" w:sz="4" w:space="0" w:color="auto"/>
            </w:tcBorders>
            <w:vAlign w:val="center"/>
          </w:tcPr>
          <w:p w14:paraId="2F83B79D"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sz w:val="24"/>
                <w:szCs w:val="24"/>
              </w:rPr>
              <w:t>课程目标1</w:t>
            </w:r>
          </w:p>
        </w:tc>
        <w:tc>
          <w:tcPr>
            <w:tcW w:w="2158" w:type="dxa"/>
            <w:tcBorders>
              <w:top w:val="single" w:sz="4" w:space="0" w:color="auto"/>
              <w:left w:val="single" w:sz="4" w:space="0" w:color="auto"/>
              <w:bottom w:val="single" w:sz="4" w:space="0" w:color="auto"/>
              <w:right w:val="single" w:sz="4" w:space="0" w:color="auto"/>
            </w:tcBorders>
            <w:vAlign w:val="center"/>
          </w:tcPr>
          <w:p w14:paraId="6B27C039"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hint="eastAsia"/>
                <w:sz w:val="24"/>
                <w:szCs w:val="24"/>
              </w:rPr>
              <w:t>20</w:t>
            </w:r>
          </w:p>
        </w:tc>
        <w:tc>
          <w:tcPr>
            <w:tcW w:w="2760" w:type="dxa"/>
            <w:tcBorders>
              <w:top w:val="single" w:sz="4" w:space="0" w:color="auto"/>
              <w:left w:val="single" w:sz="4" w:space="0" w:color="auto"/>
              <w:bottom w:val="single" w:sz="4" w:space="0" w:color="auto"/>
              <w:right w:val="single" w:sz="4" w:space="0" w:color="auto"/>
            </w:tcBorders>
            <w:vAlign w:val="center"/>
          </w:tcPr>
          <w:p w14:paraId="6F0641C4"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hint="eastAsia"/>
                <w:sz w:val="24"/>
                <w:szCs w:val="24"/>
              </w:rPr>
              <w:t>40</w:t>
            </w:r>
          </w:p>
        </w:tc>
        <w:tc>
          <w:tcPr>
            <w:tcW w:w="2268" w:type="dxa"/>
            <w:gridSpan w:val="2"/>
            <w:tcBorders>
              <w:top w:val="single" w:sz="4" w:space="0" w:color="auto"/>
              <w:left w:val="single" w:sz="4" w:space="0" w:color="auto"/>
              <w:bottom w:val="single" w:sz="4" w:space="0" w:color="auto"/>
              <w:right w:val="single" w:sz="4" w:space="0" w:color="auto"/>
            </w:tcBorders>
          </w:tcPr>
          <w:p w14:paraId="5E15EE2B" w14:textId="77777777" w:rsidR="00D72FD2" w:rsidRPr="00D72FD2" w:rsidRDefault="00D72FD2" w:rsidP="00D72FD2">
            <w:pPr>
              <w:spacing w:line="360" w:lineRule="auto"/>
              <w:jc w:val="center"/>
              <w:rPr>
                <w:rFonts w:ascii="Times New Roman" w:eastAsia="宋体" w:hAnsi="Times New Roman" w:cs="Times New Roman" w:hint="eastAsia"/>
                <w:szCs w:val="24"/>
              </w:rPr>
            </w:pPr>
            <w:r w:rsidRPr="00D72FD2">
              <w:rPr>
                <w:rFonts w:ascii="宋体" w:eastAsia="宋体" w:hAnsi="宋体" w:cs="Times New Roman"/>
                <w:sz w:val="24"/>
                <w:szCs w:val="24"/>
              </w:rPr>
              <w:t>6</w:t>
            </w:r>
            <w:r w:rsidRPr="00D72FD2">
              <w:rPr>
                <w:rFonts w:ascii="宋体" w:eastAsia="宋体" w:hAnsi="宋体" w:cs="Times New Roman" w:hint="eastAsia"/>
                <w:sz w:val="24"/>
                <w:szCs w:val="24"/>
              </w:rPr>
              <w:t>0</w:t>
            </w:r>
          </w:p>
        </w:tc>
      </w:tr>
      <w:tr w:rsidR="00D72FD2" w:rsidRPr="00D72FD2" w14:paraId="185B3DDB" w14:textId="77777777" w:rsidTr="006B1C7F">
        <w:tc>
          <w:tcPr>
            <w:tcW w:w="1427" w:type="dxa"/>
            <w:tcBorders>
              <w:top w:val="single" w:sz="4" w:space="0" w:color="auto"/>
              <w:left w:val="single" w:sz="4" w:space="0" w:color="auto"/>
              <w:bottom w:val="single" w:sz="4" w:space="0" w:color="auto"/>
              <w:right w:val="single" w:sz="4" w:space="0" w:color="auto"/>
            </w:tcBorders>
            <w:vAlign w:val="center"/>
          </w:tcPr>
          <w:p w14:paraId="71C8CB2C"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sz w:val="24"/>
                <w:szCs w:val="24"/>
              </w:rPr>
              <w:t>课程目标2</w:t>
            </w:r>
          </w:p>
        </w:tc>
        <w:tc>
          <w:tcPr>
            <w:tcW w:w="2158" w:type="dxa"/>
            <w:tcBorders>
              <w:top w:val="single" w:sz="4" w:space="0" w:color="auto"/>
              <w:left w:val="single" w:sz="4" w:space="0" w:color="auto"/>
              <w:bottom w:val="single" w:sz="4" w:space="0" w:color="auto"/>
              <w:right w:val="single" w:sz="4" w:space="0" w:color="auto"/>
            </w:tcBorders>
            <w:vAlign w:val="center"/>
          </w:tcPr>
          <w:p w14:paraId="3F274CFF"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sz w:val="24"/>
                <w:szCs w:val="24"/>
              </w:rPr>
              <w:t>1</w:t>
            </w:r>
            <w:r w:rsidRPr="00D72FD2">
              <w:rPr>
                <w:rFonts w:ascii="宋体" w:eastAsia="宋体" w:hAnsi="宋体" w:cs="Times New Roman" w:hint="eastAsia"/>
                <w:sz w:val="24"/>
                <w:szCs w:val="24"/>
              </w:rPr>
              <w:t>0</w:t>
            </w:r>
          </w:p>
        </w:tc>
        <w:tc>
          <w:tcPr>
            <w:tcW w:w="2760" w:type="dxa"/>
            <w:tcBorders>
              <w:top w:val="single" w:sz="4" w:space="0" w:color="auto"/>
              <w:left w:val="single" w:sz="4" w:space="0" w:color="auto"/>
              <w:bottom w:val="single" w:sz="4" w:space="0" w:color="auto"/>
              <w:right w:val="single" w:sz="4" w:space="0" w:color="auto"/>
            </w:tcBorders>
            <w:vAlign w:val="center"/>
          </w:tcPr>
          <w:p w14:paraId="61C1AFC5"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sz w:val="24"/>
                <w:szCs w:val="24"/>
              </w:rPr>
              <w:t>3</w:t>
            </w:r>
            <w:r w:rsidRPr="00D72FD2">
              <w:rPr>
                <w:rFonts w:ascii="宋体" w:eastAsia="宋体" w:hAnsi="宋体" w:cs="Times New Roman" w:hint="eastAsia"/>
                <w:sz w:val="24"/>
                <w:szCs w:val="24"/>
              </w:rPr>
              <w:t>0</w:t>
            </w:r>
          </w:p>
        </w:tc>
        <w:tc>
          <w:tcPr>
            <w:tcW w:w="2268" w:type="dxa"/>
            <w:gridSpan w:val="2"/>
            <w:tcBorders>
              <w:top w:val="single" w:sz="4" w:space="0" w:color="auto"/>
              <w:left w:val="single" w:sz="4" w:space="0" w:color="auto"/>
              <w:bottom w:val="single" w:sz="4" w:space="0" w:color="auto"/>
              <w:right w:val="single" w:sz="4" w:space="0" w:color="auto"/>
            </w:tcBorders>
          </w:tcPr>
          <w:p w14:paraId="5E81104D"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sz w:val="24"/>
                <w:szCs w:val="24"/>
              </w:rPr>
              <w:t>4</w:t>
            </w:r>
            <w:r w:rsidRPr="00D72FD2">
              <w:rPr>
                <w:rFonts w:ascii="宋体" w:eastAsia="宋体" w:hAnsi="宋体" w:cs="Times New Roman" w:hint="eastAsia"/>
                <w:sz w:val="24"/>
                <w:szCs w:val="24"/>
              </w:rPr>
              <w:t>0</w:t>
            </w:r>
          </w:p>
        </w:tc>
      </w:tr>
      <w:tr w:rsidR="00D72FD2" w:rsidRPr="00D72FD2" w14:paraId="3F051BEC" w14:textId="77777777" w:rsidTr="006B1C7F">
        <w:tc>
          <w:tcPr>
            <w:tcW w:w="1427" w:type="dxa"/>
            <w:tcBorders>
              <w:top w:val="single" w:sz="4" w:space="0" w:color="auto"/>
              <w:left w:val="single" w:sz="4" w:space="0" w:color="auto"/>
              <w:bottom w:val="single" w:sz="4" w:space="0" w:color="auto"/>
              <w:right w:val="single" w:sz="4" w:space="0" w:color="auto"/>
            </w:tcBorders>
            <w:vAlign w:val="center"/>
          </w:tcPr>
          <w:p w14:paraId="7F60B2E7"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sz w:val="24"/>
                <w:szCs w:val="24"/>
              </w:rPr>
              <w:t>合计</w:t>
            </w:r>
          </w:p>
        </w:tc>
        <w:tc>
          <w:tcPr>
            <w:tcW w:w="2158" w:type="dxa"/>
            <w:tcBorders>
              <w:top w:val="single" w:sz="4" w:space="0" w:color="auto"/>
              <w:left w:val="single" w:sz="4" w:space="0" w:color="auto"/>
              <w:bottom w:val="single" w:sz="4" w:space="0" w:color="auto"/>
              <w:right w:val="single" w:sz="4" w:space="0" w:color="auto"/>
            </w:tcBorders>
            <w:vAlign w:val="center"/>
          </w:tcPr>
          <w:p w14:paraId="3BBC3889" w14:textId="77777777" w:rsidR="00D72FD2" w:rsidRPr="00D72FD2" w:rsidRDefault="00D72FD2" w:rsidP="00D72FD2">
            <w:pPr>
              <w:spacing w:line="360" w:lineRule="auto"/>
              <w:jc w:val="center"/>
              <w:rPr>
                <w:rFonts w:ascii="Times New Roman" w:eastAsia="宋体" w:hAnsi="Times New Roman" w:cs="Times New Roman" w:hint="eastAsia"/>
                <w:szCs w:val="24"/>
              </w:rPr>
            </w:pPr>
            <w:r w:rsidRPr="00D72FD2">
              <w:rPr>
                <w:rFonts w:ascii="宋体" w:eastAsia="宋体" w:hAnsi="宋体" w:cs="Times New Roman" w:hint="eastAsia"/>
                <w:sz w:val="24"/>
                <w:szCs w:val="24"/>
              </w:rPr>
              <w:t>30</w:t>
            </w:r>
          </w:p>
        </w:tc>
        <w:tc>
          <w:tcPr>
            <w:tcW w:w="2760" w:type="dxa"/>
            <w:tcBorders>
              <w:top w:val="single" w:sz="4" w:space="0" w:color="auto"/>
              <w:left w:val="single" w:sz="4" w:space="0" w:color="auto"/>
              <w:bottom w:val="single" w:sz="4" w:space="0" w:color="auto"/>
              <w:right w:val="single" w:sz="4" w:space="0" w:color="auto"/>
            </w:tcBorders>
            <w:vAlign w:val="center"/>
          </w:tcPr>
          <w:p w14:paraId="3ED1B9E9" w14:textId="77777777" w:rsidR="00D72FD2" w:rsidRPr="00D72FD2" w:rsidRDefault="00D72FD2" w:rsidP="00D72FD2">
            <w:pPr>
              <w:spacing w:line="360" w:lineRule="auto"/>
              <w:jc w:val="center"/>
              <w:rPr>
                <w:rFonts w:ascii="Times New Roman" w:eastAsia="宋体" w:hAnsi="Times New Roman" w:cs="Times New Roman" w:hint="eastAsia"/>
                <w:szCs w:val="24"/>
              </w:rPr>
            </w:pPr>
            <w:r w:rsidRPr="00D72FD2">
              <w:rPr>
                <w:rFonts w:ascii="宋体" w:eastAsia="宋体" w:hAnsi="宋体" w:cs="Times New Roman" w:hint="eastAsia"/>
                <w:sz w:val="24"/>
                <w:szCs w:val="24"/>
              </w:rPr>
              <w:t>70</w:t>
            </w:r>
          </w:p>
        </w:tc>
        <w:tc>
          <w:tcPr>
            <w:tcW w:w="2268" w:type="dxa"/>
            <w:gridSpan w:val="2"/>
            <w:tcBorders>
              <w:top w:val="single" w:sz="4" w:space="0" w:color="auto"/>
              <w:left w:val="single" w:sz="4" w:space="0" w:color="auto"/>
              <w:bottom w:val="single" w:sz="4" w:space="0" w:color="auto"/>
              <w:right w:val="single" w:sz="4" w:space="0" w:color="auto"/>
            </w:tcBorders>
          </w:tcPr>
          <w:p w14:paraId="0ED5E6D4"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sz w:val="24"/>
                <w:szCs w:val="24"/>
              </w:rPr>
              <w:t>100</w:t>
            </w:r>
          </w:p>
        </w:tc>
      </w:tr>
    </w:tbl>
    <w:p w14:paraId="420CFC75"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hint="eastAsia"/>
          <w:sz w:val="28"/>
          <w:szCs w:val="28"/>
        </w:rPr>
      </w:pPr>
      <w:r w:rsidRPr="00D72FD2">
        <w:rPr>
          <w:rFonts w:ascii="黑体" w:eastAsia="黑体" w:hAnsi="黑体" w:cs="Times New Roman" w:hint="eastAsia"/>
          <w:sz w:val="28"/>
          <w:szCs w:val="28"/>
        </w:rPr>
        <w:t>五、成绩评定</w:t>
      </w:r>
    </w:p>
    <w:p w14:paraId="073DF889"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hint="eastAsia"/>
          <w:sz w:val="28"/>
          <w:szCs w:val="28"/>
        </w:rPr>
      </w:pPr>
      <w:r w:rsidRPr="00D72FD2">
        <w:rPr>
          <w:rFonts w:ascii="黑体" w:eastAsia="黑体" w:hAnsi="黑体" w:cs="Times New Roman" w:hint="eastAsia"/>
          <w:sz w:val="28"/>
          <w:szCs w:val="28"/>
        </w:rPr>
        <w:t>（一）总成绩评定</w:t>
      </w:r>
    </w:p>
    <w:p w14:paraId="6F74660D"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总成绩=平时成绩×30%+期末成绩×70%</w:t>
      </w:r>
    </w:p>
    <w:p w14:paraId="5F7BE919"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hint="eastAsia"/>
          <w:sz w:val="28"/>
          <w:szCs w:val="28"/>
        </w:rPr>
      </w:pPr>
      <w:r w:rsidRPr="00D72FD2">
        <w:rPr>
          <w:rFonts w:ascii="黑体" w:eastAsia="黑体" w:hAnsi="黑体" w:cs="Times New Roman" w:hint="eastAsia"/>
          <w:sz w:val="28"/>
          <w:szCs w:val="28"/>
        </w:rPr>
        <w:t>（二）平时成绩评定</w:t>
      </w:r>
    </w:p>
    <w:p w14:paraId="2FAA3EF9"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平时成绩（100%）=平时成绩(平时作业（</w:t>
      </w:r>
      <w:r w:rsidRPr="00D72FD2">
        <w:rPr>
          <w:rFonts w:ascii="宋体" w:eastAsia="宋体" w:hAnsi="宋体" w:cs="Times New Roman"/>
          <w:sz w:val="24"/>
          <w:szCs w:val="24"/>
        </w:rPr>
        <w:t>40</w:t>
      </w:r>
      <w:r w:rsidRPr="00D72FD2">
        <w:rPr>
          <w:rFonts w:ascii="宋体" w:eastAsia="宋体" w:hAnsi="宋体" w:cs="Times New Roman" w:hint="eastAsia"/>
          <w:sz w:val="24"/>
          <w:szCs w:val="24"/>
        </w:rPr>
        <w:t>%）+阶段测试（</w:t>
      </w:r>
      <w:r w:rsidRPr="00D72FD2">
        <w:rPr>
          <w:rFonts w:ascii="宋体" w:eastAsia="宋体" w:hAnsi="宋体" w:cs="Times New Roman"/>
          <w:sz w:val="24"/>
          <w:szCs w:val="24"/>
        </w:rPr>
        <w:t>4</w:t>
      </w:r>
      <w:r w:rsidRPr="00D72FD2">
        <w:rPr>
          <w:rFonts w:ascii="宋体" w:eastAsia="宋体" w:hAnsi="宋体" w:cs="Times New Roman" w:hint="eastAsia"/>
          <w:sz w:val="24"/>
          <w:szCs w:val="24"/>
        </w:rPr>
        <w:t>0%）+课堂表现（</w:t>
      </w:r>
      <w:r w:rsidRPr="00D72FD2">
        <w:rPr>
          <w:rFonts w:ascii="宋体" w:eastAsia="宋体" w:hAnsi="宋体" w:cs="Times New Roman"/>
          <w:sz w:val="24"/>
          <w:szCs w:val="24"/>
        </w:rPr>
        <w:t>20</w:t>
      </w:r>
      <w:r w:rsidRPr="00D72FD2">
        <w:rPr>
          <w:rFonts w:ascii="宋体" w:eastAsia="宋体" w:hAnsi="宋体" w:cs="Times New Roman" w:hint="eastAsia"/>
          <w:sz w:val="24"/>
          <w:szCs w:val="24"/>
        </w:rPr>
        <w:t xml:space="preserve">%）) </w:t>
      </w:r>
    </w:p>
    <w:p w14:paraId="313E9699"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（1）平时作业完成情况：围绕课程的学习目标进行作业的设计。如让学生简述对知识的认识，考核学生对于概念的理解情况，帮助学生将定义转化为自己的理解；</w:t>
      </w:r>
    </w:p>
    <w:p w14:paraId="492431A4"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（2）阶段测试：对学生进行阶段测试，以评价学生的学习态度与学习掌握情况；</w:t>
      </w:r>
    </w:p>
    <w:p w14:paraId="0C91340D"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（3）课堂表现：通过学生在课堂上的表现情况、发言与提问情况，来评价学生相关的能力；</w:t>
      </w:r>
    </w:p>
    <w:p w14:paraId="39869789"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hint="eastAsia"/>
          <w:sz w:val="28"/>
          <w:szCs w:val="28"/>
        </w:rPr>
      </w:pPr>
      <w:r w:rsidRPr="00D72FD2">
        <w:rPr>
          <w:rFonts w:ascii="黑体" w:eastAsia="黑体" w:hAnsi="黑体" w:cs="Times New Roman" w:hint="eastAsia"/>
          <w:sz w:val="28"/>
          <w:szCs w:val="28"/>
        </w:rPr>
        <w:t>（三）期末成绩评定</w:t>
      </w:r>
    </w:p>
    <w:p w14:paraId="7B70412D"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lastRenderedPageBreak/>
        <w:t>期末考核主要考察学生对基本概念、知识和实践应用的理解与运用等。方式为开卷考试或期末课程设计。要求学生掌握基本概念、实践应用，运用具体方法解决相关问题。</w:t>
      </w:r>
    </w:p>
    <w:p w14:paraId="1C815675"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hint="eastAsia"/>
          <w:sz w:val="28"/>
          <w:szCs w:val="28"/>
        </w:rPr>
        <w:t>六、使用教材、相关推荐书目及课程资源</w:t>
      </w:r>
    </w:p>
    <w:p w14:paraId="28DE8AC4"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hint="eastAsia"/>
          <w:sz w:val="28"/>
          <w:szCs w:val="28"/>
        </w:rPr>
        <w:t>（一）使用教材</w:t>
      </w:r>
    </w:p>
    <w:p w14:paraId="7C7E46E2" w14:textId="77777777" w:rsidR="00D72FD2" w:rsidRPr="00D72FD2" w:rsidRDefault="00D72FD2" w:rsidP="00D72FD2">
      <w:pPr>
        <w:spacing w:line="360" w:lineRule="auto"/>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《中药分析学》，</w:t>
      </w:r>
      <w:r w:rsidRPr="00D72FD2">
        <w:rPr>
          <w:rFonts w:ascii="宋体" w:eastAsia="宋体" w:hAnsi="宋体" w:cs="宋体"/>
          <w:sz w:val="24"/>
          <w:szCs w:val="24"/>
        </w:rPr>
        <w:t>蔡宝昌</w:t>
      </w:r>
      <w:r w:rsidRPr="00D72FD2">
        <w:rPr>
          <w:rFonts w:ascii="宋体" w:eastAsia="宋体" w:hAnsi="宋体" w:cs="Times New Roman" w:hint="eastAsia"/>
          <w:sz w:val="24"/>
          <w:szCs w:val="24"/>
        </w:rPr>
        <w:t>，人民卫生出版社,2012.</w:t>
      </w:r>
    </w:p>
    <w:p w14:paraId="13724976"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hint="eastAsia"/>
          <w:sz w:val="28"/>
          <w:szCs w:val="28"/>
        </w:rPr>
      </w:pPr>
      <w:r w:rsidRPr="00D72FD2">
        <w:rPr>
          <w:rFonts w:ascii="黑体" w:eastAsia="黑体" w:hAnsi="黑体" w:cs="Times New Roman" w:hint="eastAsia"/>
          <w:sz w:val="28"/>
          <w:szCs w:val="28"/>
        </w:rPr>
        <w:t>（二）相关推荐书目</w:t>
      </w:r>
    </w:p>
    <w:p w14:paraId="2278E300" w14:textId="77777777" w:rsidR="00D72FD2" w:rsidRPr="00D72FD2" w:rsidRDefault="00D72FD2" w:rsidP="00D72FD2">
      <w:pPr>
        <w:spacing w:line="360" w:lineRule="auto"/>
        <w:ind w:firstLineChars="200" w:firstLine="480"/>
        <w:rPr>
          <w:rFonts w:ascii="宋体" w:eastAsia="宋体" w:hAnsi="宋体" w:cs="Times New Roman" w:hint="eastAsia"/>
          <w:sz w:val="24"/>
          <w:szCs w:val="24"/>
        </w:rPr>
      </w:pPr>
      <w:r w:rsidRPr="00D72FD2">
        <w:rPr>
          <w:rFonts w:ascii="宋体" w:eastAsia="宋体" w:hAnsi="宋体" w:cs="Times New Roman"/>
          <w:sz w:val="24"/>
          <w:szCs w:val="24"/>
        </w:rPr>
        <w:fldChar w:fldCharType="begin"/>
      </w:r>
      <w:r w:rsidRPr="00D72FD2">
        <w:rPr>
          <w:rFonts w:ascii="宋体" w:eastAsia="宋体" w:hAnsi="宋体" w:cs="Times New Roman"/>
          <w:sz w:val="24"/>
          <w:szCs w:val="24"/>
        </w:rPr>
        <w:instrText xml:space="preserve"> = 1 \* GB3 </w:instrText>
      </w:r>
      <w:r w:rsidRPr="00D72FD2">
        <w:rPr>
          <w:rFonts w:ascii="宋体" w:eastAsia="宋体" w:hAnsi="宋体" w:cs="Times New Roman"/>
          <w:sz w:val="24"/>
          <w:szCs w:val="24"/>
        </w:rPr>
        <w:fldChar w:fldCharType="separate"/>
      </w:r>
      <w:r w:rsidRPr="00D72FD2">
        <w:rPr>
          <w:rFonts w:ascii="宋体" w:eastAsia="宋体" w:hAnsi="宋体" w:cs="Times New Roman" w:hint="eastAsia"/>
          <w:sz w:val="24"/>
          <w:szCs w:val="24"/>
        </w:rPr>
        <w:t>①</w:t>
      </w:r>
      <w:r w:rsidRPr="00D72FD2">
        <w:rPr>
          <w:rFonts w:ascii="宋体" w:eastAsia="宋体" w:hAnsi="宋体" w:cs="Times New Roman"/>
          <w:sz w:val="24"/>
          <w:szCs w:val="24"/>
        </w:rPr>
        <w:fldChar w:fldCharType="end"/>
      </w:r>
      <w:r w:rsidRPr="00D72FD2">
        <w:rPr>
          <w:rFonts w:ascii="Times New Roman" w:eastAsia="宋体" w:hAnsi="Times New Roman" w:cs="Times New Roman" w:hint="eastAsia"/>
          <w:sz w:val="24"/>
          <w:szCs w:val="24"/>
        </w:rPr>
        <w:t>《中药分析学》</w:t>
      </w:r>
      <w:r w:rsidRPr="00D72FD2">
        <w:rPr>
          <w:rFonts w:ascii="Times New Roman" w:eastAsia="宋体" w:hAnsi="Times New Roman" w:cs="Times New Roman" w:hint="eastAsia"/>
          <w:sz w:val="24"/>
          <w:szCs w:val="24"/>
        </w:rPr>
        <w:t xml:space="preserve">, </w:t>
      </w:r>
      <w:r w:rsidRPr="00D72FD2">
        <w:rPr>
          <w:rFonts w:ascii="宋体" w:eastAsia="宋体" w:hAnsi="宋体" w:cs="宋体" w:hint="eastAsia"/>
          <w:sz w:val="24"/>
          <w:szCs w:val="24"/>
        </w:rPr>
        <w:t>梁生旺</w:t>
      </w:r>
      <w:r w:rsidRPr="00D72FD2">
        <w:rPr>
          <w:rFonts w:ascii="Times New Roman" w:eastAsia="宋体" w:hAnsi="Times New Roman" w:cs="Times New Roman" w:hint="eastAsia"/>
          <w:sz w:val="24"/>
          <w:szCs w:val="24"/>
        </w:rPr>
        <w:t xml:space="preserve">, </w:t>
      </w:r>
      <w:r w:rsidRPr="00D72FD2">
        <w:rPr>
          <w:rFonts w:ascii="宋体" w:eastAsia="宋体" w:hAnsi="宋体" w:cs="Times New Roman"/>
          <w:sz w:val="24"/>
          <w:szCs w:val="24"/>
        </w:rPr>
        <w:t>中国中医药出版社</w:t>
      </w:r>
      <w:r w:rsidRPr="00D72FD2">
        <w:rPr>
          <w:rFonts w:ascii="宋体" w:eastAsia="宋体" w:hAnsi="宋体" w:cs="Times New Roman" w:hint="eastAsia"/>
          <w:sz w:val="24"/>
          <w:szCs w:val="24"/>
        </w:rPr>
        <w:t>，2021.</w:t>
      </w:r>
    </w:p>
    <w:p w14:paraId="12A93425" w14:textId="77777777" w:rsidR="00D72FD2" w:rsidRPr="00D72FD2" w:rsidRDefault="00D72FD2" w:rsidP="00D72FD2">
      <w:pPr>
        <w:spacing w:beforeLines="50" w:before="156" w:afterLines="50" w:after="156" w:line="360" w:lineRule="auto"/>
        <w:ind w:firstLineChars="200" w:firstLine="480"/>
        <w:rPr>
          <w:rFonts w:ascii="宋体" w:eastAsia="宋体" w:hAnsi="宋体" w:cs="Times New Roman" w:hint="eastAsia"/>
          <w:color w:val="FF0000"/>
          <w:sz w:val="24"/>
          <w:szCs w:val="24"/>
        </w:rPr>
      </w:pPr>
      <w:r w:rsidRPr="00D72FD2">
        <w:rPr>
          <w:rFonts w:ascii="宋体" w:eastAsia="宋体" w:hAnsi="宋体" w:cs="Times New Roman"/>
          <w:sz w:val="24"/>
          <w:szCs w:val="24"/>
        </w:rPr>
        <w:fldChar w:fldCharType="begin"/>
      </w:r>
      <w:r w:rsidRPr="00D72FD2">
        <w:rPr>
          <w:rFonts w:ascii="宋体" w:eastAsia="宋体" w:hAnsi="宋体" w:cs="Times New Roman"/>
          <w:sz w:val="24"/>
          <w:szCs w:val="24"/>
        </w:rPr>
        <w:instrText xml:space="preserve"> = 2 \* GB3 </w:instrText>
      </w:r>
      <w:r w:rsidRPr="00D72FD2">
        <w:rPr>
          <w:rFonts w:ascii="宋体" w:eastAsia="宋体" w:hAnsi="宋体" w:cs="Times New Roman"/>
          <w:sz w:val="24"/>
          <w:szCs w:val="24"/>
        </w:rPr>
        <w:fldChar w:fldCharType="separate"/>
      </w:r>
      <w:r w:rsidRPr="00D72FD2">
        <w:rPr>
          <w:rFonts w:ascii="宋体" w:eastAsia="宋体" w:hAnsi="宋体" w:cs="Times New Roman" w:hint="eastAsia"/>
          <w:sz w:val="24"/>
          <w:szCs w:val="24"/>
        </w:rPr>
        <w:t>②</w:t>
      </w:r>
      <w:r w:rsidRPr="00D72FD2">
        <w:rPr>
          <w:rFonts w:ascii="宋体" w:eastAsia="宋体" w:hAnsi="宋体" w:cs="Times New Roman"/>
          <w:sz w:val="24"/>
          <w:szCs w:val="24"/>
        </w:rPr>
        <w:fldChar w:fldCharType="end"/>
      </w:r>
      <w:r w:rsidRPr="00D72FD2">
        <w:rPr>
          <w:rFonts w:ascii="宋体" w:eastAsia="宋体" w:hAnsi="宋体" w:cs="Times New Roman"/>
          <w:sz w:val="24"/>
          <w:szCs w:val="24"/>
        </w:rPr>
        <w:t>《</w:t>
      </w:r>
      <w:r w:rsidRPr="00D72FD2">
        <w:rPr>
          <w:rFonts w:ascii="宋体" w:eastAsia="宋体" w:hAnsi="宋体" w:cs="Times New Roman" w:hint="eastAsia"/>
          <w:sz w:val="24"/>
          <w:szCs w:val="24"/>
        </w:rPr>
        <w:t>中药鉴定学</w:t>
      </w:r>
      <w:r w:rsidRPr="00D72FD2">
        <w:rPr>
          <w:rFonts w:ascii="宋体" w:eastAsia="宋体" w:hAnsi="宋体" w:cs="Times New Roman"/>
          <w:sz w:val="24"/>
          <w:szCs w:val="24"/>
        </w:rPr>
        <w:t>》</w:t>
      </w:r>
      <w:r w:rsidRPr="00D72FD2">
        <w:rPr>
          <w:rFonts w:ascii="宋体" w:eastAsia="宋体" w:hAnsi="宋体" w:cs="Times New Roman" w:hint="eastAsia"/>
          <w:sz w:val="24"/>
          <w:szCs w:val="24"/>
        </w:rPr>
        <w:t>, 张贵君, 科学出版社，2009.</w:t>
      </w:r>
    </w:p>
    <w:p w14:paraId="00422B50"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hint="eastAsia"/>
          <w:sz w:val="28"/>
          <w:szCs w:val="28"/>
        </w:rPr>
      </w:pPr>
      <w:r w:rsidRPr="00D72FD2">
        <w:rPr>
          <w:rFonts w:ascii="黑体" w:eastAsia="黑体" w:hAnsi="黑体" w:cs="Times New Roman" w:hint="eastAsia"/>
          <w:sz w:val="28"/>
          <w:szCs w:val="28"/>
        </w:rPr>
        <w:t>七、课程大纲制定依据</w:t>
      </w:r>
    </w:p>
    <w:p w14:paraId="05845490" w14:textId="77777777" w:rsidR="00D72FD2" w:rsidRPr="00D72FD2" w:rsidRDefault="00D72FD2" w:rsidP="00D72FD2">
      <w:pPr>
        <w:spacing w:line="440" w:lineRule="exact"/>
        <w:ind w:firstLineChars="200" w:firstLine="480"/>
        <w:rPr>
          <w:rFonts w:ascii="宋体" w:eastAsia="宋体" w:hAnsi="宋体" w:cs="Times New Roman" w:hint="eastAsia"/>
          <w:sz w:val="24"/>
          <w:szCs w:val="24"/>
        </w:rPr>
      </w:pPr>
      <w:r w:rsidRPr="00D72FD2">
        <w:rPr>
          <w:rFonts w:ascii="宋体" w:eastAsia="宋体" w:hAnsi="宋体" w:cs="Times New Roman" w:hint="eastAsia"/>
          <w:sz w:val="24"/>
          <w:szCs w:val="24"/>
        </w:rPr>
        <w:t>本课程大纲依据2023年药物分析专业人才培养方案制定。</w:t>
      </w:r>
    </w:p>
    <w:p w14:paraId="1843756A" w14:textId="77777777" w:rsidR="00D72FD2" w:rsidRDefault="00D72FD2">
      <w:pPr>
        <w:widowControl/>
        <w:jc w:val="left"/>
        <w:rPr>
          <w:rFonts w:eastAsia="宋体"/>
          <w:b/>
          <w:kern w:val="44"/>
          <w:sz w:val="36"/>
        </w:rPr>
      </w:pPr>
      <w:r>
        <w:br w:type="page"/>
      </w:r>
    </w:p>
    <w:p w14:paraId="1BC96043" w14:textId="67A0A0BE" w:rsidR="0036092D" w:rsidRPr="0036092D" w:rsidRDefault="0036092D" w:rsidP="0036092D">
      <w:pPr>
        <w:pStyle w:val="1"/>
      </w:pPr>
      <w:r w:rsidRPr="0036092D">
        <w:rPr>
          <w:rFonts w:hint="eastAsia"/>
        </w:rPr>
        <w:lastRenderedPageBreak/>
        <w:t>《生物药剂学与药代动力学》课程大纲</w:t>
      </w:r>
      <w:bookmarkEnd w:id="251"/>
    </w:p>
    <w:p w14:paraId="177E9BA5" w14:textId="77777777" w:rsidR="0036092D" w:rsidRPr="0036092D" w:rsidRDefault="0036092D" w:rsidP="0036092D">
      <w:pPr>
        <w:spacing w:beforeLines="50" w:before="156" w:afterLines="50" w:after="156" w:line="440" w:lineRule="exact"/>
        <w:ind w:firstLineChars="200" w:firstLine="560"/>
        <w:rPr>
          <w:rFonts w:ascii="黑体" w:eastAsia="黑体" w:hAnsi="黑体" w:cs="Times New Roman"/>
          <w:sz w:val="28"/>
          <w:szCs w:val="28"/>
        </w:rPr>
      </w:pPr>
      <w:r w:rsidRPr="0036092D">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7"/>
        <w:gridCol w:w="2751"/>
        <w:gridCol w:w="1523"/>
        <w:gridCol w:w="2876"/>
      </w:tblGrid>
      <w:tr w:rsidR="0036092D" w:rsidRPr="0036092D" w14:paraId="3AF1F735" w14:textId="77777777" w:rsidTr="00B602D6">
        <w:trPr>
          <w:trHeight w:val="886"/>
          <w:jc w:val="center"/>
        </w:trPr>
        <w:tc>
          <w:tcPr>
            <w:tcW w:w="1668" w:type="dxa"/>
            <w:vAlign w:val="center"/>
          </w:tcPr>
          <w:p w14:paraId="6F25D058"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课程名称</w:t>
            </w:r>
          </w:p>
        </w:tc>
        <w:tc>
          <w:tcPr>
            <w:tcW w:w="2833" w:type="dxa"/>
            <w:vAlign w:val="center"/>
          </w:tcPr>
          <w:p w14:paraId="18B6C425"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生物药剂学与药代动力学</w:t>
            </w:r>
          </w:p>
        </w:tc>
        <w:tc>
          <w:tcPr>
            <w:tcW w:w="1561" w:type="dxa"/>
            <w:vAlign w:val="center"/>
          </w:tcPr>
          <w:p w14:paraId="368F82CE"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课程代码</w:t>
            </w:r>
          </w:p>
        </w:tc>
        <w:tc>
          <w:tcPr>
            <w:tcW w:w="2941" w:type="dxa"/>
            <w:vAlign w:val="center"/>
          </w:tcPr>
          <w:p w14:paraId="3A99D7A0"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宋体" w:hint="eastAsia"/>
                <w:sz w:val="24"/>
                <w:szCs w:val="24"/>
              </w:rPr>
              <w:t>0714B16</w:t>
            </w:r>
          </w:p>
        </w:tc>
      </w:tr>
      <w:tr w:rsidR="0036092D" w:rsidRPr="0036092D" w14:paraId="602BAF60" w14:textId="77777777" w:rsidTr="00B602D6">
        <w:trPr>
          <w:trHeight w:val="829"/>
          <w:jc w:val="center"/>
        </w:trPr>
        <w:tc>
          <w:tcPr>
            <w:tcW w:w="1668" w:type="dxa"/>
            <w:vAlign w:val="center"/>
          </w:tcPr>
          <w:p w14:paraId="6FA57D2D"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课程类别</w:t>
            </w:r>
          </w:p>
        </w:tc>
        <w:tc>
          <w:tcPr>
            <w:tcW w:w="2833" w:type="dxa"/>
            <w:vAlign w:val="center"/>
          </w:tcPr>
          <w:p w14:paraId="3AC007C8"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专业教育选修课程</w:t>
            </w:r>
          </w:p>
        </w:tc>
        <w:tc>
          <w:tcPr>
            <w:tcW w:w="1561" w:type="dxa"/>
            <w:vAlign w:val="center"/>
          </w:tcPr>
          <w:p w14:paraId="73F754CD"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学时</w:t>
            </w:r>
          </w:p>
          <w:p w14:paraId="727D31CF"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/学分</w:t>
            </w:r>
          </w:p>
        </w:tc>
        <w:tc>
          <w:tcPr>
            <w:tcW w:w="2941" w:type="dxa"/>
            <w:vAlign w:val="center"/>
          </w:tcPr>
          <w:p w14:paraId="47ECBD6C"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 xml:space="preserve">32 /2 </w:t>
            </w:r>
          </w:p>
        </w:tc>
      </w:tr>
      <w:tr w:rsidR="0036092D" w:rsidRPr="0036092D" w14:paraId="2A1E5BF7" w14:textId="77777777" w:rsidTr="00B602D6">
        <w:trPr>
          <w:trHeight w:val="811"/>
          <w:jc w:val="center"/>
        </w:trPr>
        <w:tc>
          <w:tcPr>
            <w:tcW w:w="1668" w:type="dxa"/>
            <w:vAlign w:val="center"/>
          </w:tcPr>
          <w:p w14:paraId="06F3D93C"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开课单位</w:t>
            </w:r>
          </w:p>
        </w:tc>
        <w:tc>
          <w:tcPr>
            <w:tcW w:w="2833" w:type="dxa"/>
            <w:vAlign w:val="center"/>
          </w:tcPr>
          <w:p w14:paraId="53E180BA"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化工学院</w:t>
            </w:r>
          </w:p>
        </w:tc>
        <w:tc>
          <w:tcPr>
            <w:tcW w:w="1561" w:type="dxa"/>
            <w:vAlign w:val="center"/>
          </w:tcPr>
          <w:p w14:paraId="0D1446AD"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适用专业</w:t>
            </w:r>
          </w:p>
        </w:tc>
        <w:tc>
          <w:tcPr>
            <w:tcW w:w="2941" w:type="dxa"/>
            <w:vAlign w:val="center"/>
          </w:tcPr>
          <w:p w14:paraId="5DE80BED"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药物分析</w:t>
            </w:r>
          </w:p>
        </w:tc>
      </w:tr>
      <w:tr w:rsidR="0036092D" w:rsidRPr="0036092D" w14:paraId="105079A8" w14:textId="77777777" w:rsidTr="00B602D6">
        <w:trPr>
          <w:trHeight w:val="811"/>
          <w:jc w:val="center"/>
        </w:trPr>
        <w:tc>
          <w:tcPr>
            <w:tcW w:w="1668" w:type="dxa"/>
            <w:vAlign w:val="center"/>
          </w:tcPr>
          <w:p w14:paraId="69BAD68A"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课程负责人</w:t>
            </w:r>
          </w:p>
        </w:tc>
        <w:tc>
          <w:tcPr>
            <w:tcW w:w="7335" w:type="dxa"/>
            <w:gridSpan w:val="3"/>
            <w:vAlign w:val="center"/>
          </w:tcPr>
          <w:p w14:paraId="3FC554BC"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贾玉涛</w:t>
            </w:r>
          </w:p>
        </w:tc>
      </w:tr>
      <w:tr w:rsidR="0036092D" w:rsidRPr="0036092D" w14:paraId="1A8C75E2" w14:textId="77777777" w:rsidTr="00B602D6">
        <w:trPr>
          <w:trHeight w:val="836"/>
          <w:jc w:val="center"/>
        </w:trPr>
        <w:tc>
          <w:tcPr>
            <w:tcW w:w="1668" w:type="dxa"/>
            <w:vAlign w:val="center"/>
          </w:tcPr>
          <w:p w14:paraId="7A57CED6"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大纲撰写人</w:t>
            </w:r>
          </w:p>
        </w:tc>
        <w:tc>
          <w:tcPr>
            <w:tcW w:w="2833" w:type="dxa"/>
            <w:vAlign w:val="center"/>
          </w:tcPr>
          <w:p w14:paraId="15A6D969"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贾玉涛</w:t>
            </w:r>
          </w:p>
        </w:tc>
        <w:tc>
          <w:tcPr>
            <w:tcW w:w="1561" w:type="dxa"/>
            <w:vAlign w:val="center"/>
          </w:tcPr>
          <w:p w14:paraId="3CEF59C0"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大纲审核人</w:t>
            </w:r>
          </w:p>
        </w:tc>
        <w:tc>
          <w:tcPr>
            <w:tcW w:w="2941" w:type="dxa"/>
            <w:vAlign w:val="center"/>
          </w:tcPr>
          <w:p w14:paraId="4552F4F7" w14:textId="77777777" w:rsidR="0036092D" w:rsidRPr="0036092D" w:rsidRDefault="0036092D" w:rsidP="0036092D">
            <w:pPr>
              <w:spacing w:line="440" w:lineRule="exact"/>
              <w:jc w:val="center"/>
              <w:rPr>
                <w:rFonts w:ascii="宋体" w:eastAsia="宋体" w:hAnsi="宋体" w:cs="Times New Roman"/>
                <w:sz w:val="24"/>
                <w:szCs w:val="24"/>
              </w:rPr>
            </w:pPr>
            <w:proofErr w:type="gramStart"/>
            <w:r w:rsidRPr="0036092D">
              <w:rPr>
                <w:rFonts w:ascii="宋体" w:eastAsia="宋体" w:hAnsi="宋体" w:cs="Times New Roman" w:hint="eastAsia"/>
                <w:sz w:val="24"/>
                <w:szCs w:val="24"/>
              </w:rPr>
              <w:t>冯</w:t>
            </w:r>
            <w:proofErr w:type="gramEnd"/>
            <w:r w:rsidRPr="0036092D">
              <w:rPr>
                <w:rFonts w:ascii="宋体" w:eastAsia="宋体" w:hAnsi="宋体" w:cs="Times New Roman" w:hint="eastAsia"/>
                <w:sz w:val="24"/>
                <w:szCs w:val="24"/>
              </w:rPr>
              <w:t>小龙</w:t>
            </w:r>
          </w:p>
        </w:tc>
      </w:tr>
      <w:tr w:rsidR="0036092D" w:rsidRPr="0036092D" w14:paraId="40FAF3D2" w14:textId="77777777" w:rsidTr="00B602D6">
        <w:trPr>
          <w:trHeight w:val="848"/>
          <w:jc w:val="center"/>
        </w:trPr>
        <w:tc>
          <w:tcPr>
            <w:tcW w:w="1668" w:type="dxa"/>
            <w:vAlign w:val="center"/>
          </w:tcPr>
          <w:p w14:paraId="199323E3"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先修课程</w:t>
            </w:r>
          </w:p>
        </w:tc>
        <w:tc>
          <w:tcPr>
            <w:tcW w:w="7335" w:type="dxa"/>
            <w:gridSpan w:val="3"/>
            <w:vAlign w:val="center"/>
          </w:tcPr>
          <w:p w14:paraId="3CD48B90"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《生物化学》、《药理学》、《生理学》、《药剂学》</w:t>
            </w:r>
          </w:p>
        </w:tc>
      </w:tr>
      <w:tr w:rsidR="0036092D" w:rsidRPr="0036092D" w14:paraId="15073790" w14:textId="77777777" w:rsidTr="00B602D6">
        <w:trPr>
          <w:trHeight w:val="848"/>
          <w:jc w:val="center"/>
        </w:trPr>
        <w:tc>
          <w:tcPr>
            <w:tcW w:w="1668" w:type="dxa"/>
            <w:vAlign w:val="center"/>
          </w:tcPr>
          <w:p w14:paraId="76689754"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课程网址</w:t>
            </w:r>
          </w:p>
        </w:tc>
        <w:tc>
          <w:tcPr>
            <w:tcW w:w="7335" w:type="dxa"/>
            <w:gridSpan w:val="3"/>
            <w:vAlign w:val="center"/>
          </w:tcPr>
          <w:p w14:paraId="25825BC4" w14:textId="77777777" w:rsidR="0036092D" w:rsidRPr="0036092D" w:rsidRDefault="0036092D" w:rsidP="0036092D">
            <w:pPr>
              <w:spacing w:line="440" w:lineRule="exact"/>
              <w:rPr>
                <w:rFonts w:ascii="宋体" w:eastAsia="宋体" w:hAnsi="宋体" w:cs="Times New Roman"/>
                <w:color w:val="FF0000"/>
                <w:sz w:val="24"/>
                <w:szCs w:val="24"/>
              </w:rPr>
            </w:pPr>
          </w:p>
        </w:tc>
      </w:tr>
    </w:tbl>
    <w:p w14:paraId="50EB3C1E" w14:textId="77777777" w:rsidR="0036092D" w:rsidRPr="0036092D" w:rsidRDefault="0036092D" w:rsidP="0036092D">
      <w:pPr>
        <w:spacing w:beforeLines="50" w:before="156" w:afterLines="50" w:after="156" w:line="440" w:lineRule="exact"/>
        <w:ind w:firstLineChars="200" w:firstLine="560"/>
        <w:rPr>
          <w:rFonts w:ascii="黑体" w:eastAsia="黑体" w:hAnsi="黑体" w:cs="Times New Roman"/>
          <w:sz w:val="28"/>
          <w:szCs w:val="28"/>
        </w:rPr>
      </w:pPr>
      <w:r w:rsidRPr="0036092D">
        <w:rPr>
          <w:rFonts w:ascii="黑体" w:eastAsia="黑体" w:hAnsi="黑体" w:cs="Times New Roman" w:hint="eastAsia"/>
          <w:sz w:val="28"/>
          <w:szCs w:val="28"/>
        </w:rPr>
        <w:t>二、课程学习目标及与毕业要求的对应关系</w:t>
      </w:r>
    </w:p>
    <w:p w14:paraId="6B6E3C90" w14:textId="77777777" w:rsidR="0036092D" w:rsidRPr="0036092D" w:rsidRDefault="0036092D" w:rsidP="0036092D">
      <w:pPr>
        <w:spacing w:beforeLines="50" w:before="156" w:afterLines="50" w:after="156" w:line="440" w:lineRule="exact"/>
        <w:ind w:firstLineChars="200" w:firstLine="560"/>
        <w:rPr>
          <w:rFonts w:ascii="黑体" w:eastAsia="黑体" w:hAnsi="黑体" w:cs="Times New Roman"/>
          <w:sz w:val="28"/>
          <w:szCs w:val="28"/>
        </w:rPr>
      </w:pPr>
      <w:r w:rsidRPr="0036092D">
        <w:rPr>
          <w:rFonts w:ascii="黑体" w:eastAsia="黑体" w:hAnsi="黑体" w:cs="Times New Roman" w:hint="eastAsia"/>
          <w:sz w:val="28"/>
          <w:szCs w:val="28"/>
        </w:rPr>
        <w:t>（一）课程学习目标</w:t>
      </w:r>
    </w:p>
    <w:p w14:paraId="7F164F34" w14:textId="77777777" w:rsidR="0036092D" w:rsidRPr="0036092D" w:rsidRDefault="0036092D" w:rsidP="0036092D">
      <w:pPr>
        <w:spacing w:line="440" w:lineRule="exact"/>
        <w:ind w:firstLineChars="176" w:firstLine="422"/>
        <w:rPr>
          <w:rFonts w:ascii="宋体" w:eastAsia="宋体" w:hAnsi="宋体" w:cs="Times New Roman"/>
          <w:sz w:val="24"/>
          <w:szCs w:val="24"/>
        </w:rPr>
      </w:pPr>
      <w:r w:rsidRPr="0036092D">
        <w:rPr>
          <w:rFonts w:ascii="宋体" w:eastAsia="宋体" w:hAnsi="宋体" w:cs="Times New Roman" w:hint="eastAsia"/>
          <w:sz w:val="24"/>
          <w:szCs w:val="24"/>
        </w:rPr>
        <w:t>通过本课程的学习，使学生达到以下目标：</w:t>
      </w:r>
    </w:p>
    <w:p w14:paraId="15E97781" w14:textId="77777777" w:rsidR="0036092D" w:rsidRPr="0036092D" w:rsidRDefault="0036092D" w:rsidP="0036092D">
      <w:pPr>
        <w:spacing w:line="440" w:lineRule="exact"/>
        <w:ind w:firstLineChars="176" w:firstLine="422"/>
        <w:rPr>
          <w:rFonts w:ascii="宋体" w:eastAsia="宋体" w:hAnsi="宋体" w:cs="宋体"/>
          <w:b/>
          <w:bCs/>
          <w:color w:val="000000"/>
          <w:sz w:val="24"/>
          <w:szCs w:val="24"/>
        </w:rPr>
      </w:pPr>
      <w:r w:rsidRPr="0036092D">
        <w:rPr>
          <w:rFonts w:ascii="宋体" w:eastAsia="宋体" w:hAnsi="宋体" w:cs="宋体" w:hint="eastAsia"/>
          <w:color w:val="000000"/>
          <w:kern w:val="0"/>
          <w:sz w:val="24"/>
          <w:szCs w:val="24"/>
          <w:lang w:bidi="ar"/>
        </w:rPr>
        <w:t>1.能够将专业知识用于工业药剂实验、研究等问题</w:t>
      </w:r>
      <w:r w:rsidRPr="0036092D">
        <w:rPr>
          <w:rFonts w:ascii="Times New Roman" w:eastAsia="宋体" w:hAnsi="宋体" w:cs="Times New Roman" w:hint="eastAsia"/>
          <w:sz w:val="24"/>
          <w:szCs w:val="24"/>
        </w:rPr>
        <w:t>。</w:t>
      </w:r>
      <w:r w:rsidRPr="0036092D">
        <w:rPr>
          <w:rFonts w:ascii="宋体" w:eastAsia="宋体" w:hAnsi="宋体" w:cs="宋体" w:hint="eastAsia"/>
          <w:b/>
          <w:bCs/>
          <w:color w:val="000000"/>
          <w:sz w:val="24"/>
          <w:szCs w:val="24"/>
        </w:rPr>
        <w:t>【毕业要求1 工程知识】</w:t>
      </w:r>
    </w:p>
    <w:p w14:paraId="389A3BD9" w14:textId="77777777" w:rsidR="0036092D" w:rsidRPr="0036092D" w:rsidRDefault="0036092D" w:rsidP="0036092D">
      <w:pPr>
        <w:spacing w:line="440" w:lineRule="exact"/>
        <w:ind w:firstLineChars="200" w:firstLine="476"/>
        <w:rPr>
          <w:rFonts w:ascii="宋体" w:eastAsia="宋体" w:hAnsi="宋体" w:cs="宋体"/>
          <w:b/>
          <w:bCs/>
          <w:color w:val="000000"/>
          <w:sz w:val="24"/>
          <w:szCs w:val="24"/>
        </w:rPr>
      </w:pPr>
      <w:r w:rsidRPr="0036092D">
        <w:rPr>
          <w:rFonts w:ascii="宋体" w:eastAsia="宋体" w:hAnsi="宋体" w:cs="宋体" w:hint="eastAsia"/>
          <w:color w:val="000000"/>
          <w:spacing w:val="-1"/>
          <w:sz w:val="24"/>
          <w:szCs w:val="24"/>
        </w:rPr>
        <w:t>2.掌握设计和实施工程实验的基本原理和基本方法，能够合理设计实验</w:t>
      </w:r>
      <w:r w:rsidRPr="0036092D">
        <w:rPr>
          <w:rFonts w:ascii="宋体" w:eastAsia="宋体" w:hAnsi="宋体" w:cs="宋体" w:hint="eastAsia"/>
          <w:sz w:val="24"/>
          <w:szCs w:val="24"/>
        </w:rPr>
        <w:t>。</w:t>
      </w:r>
      <w:r w:rsidRPr="0036092D">
        <w:rPr>
          <w:rFonts w:ascii="宋体" w:eastAsia="宋体" w:hAnsi="宋体" w:cs="宋体" w:hint="eastAsia"/>
          <w:b/>
          <w:bCs/>
          <w:color w:val="000000"/>
          <w:sz w:val="24"/>
          <w:szCs w:val="24"/>
        </w:rPr>
        <w:t>【毕业要求4 研究】</w:t>
      </w:r>
    </w:p>
    <w:p w14:paraId="0FF6BF37" w14:textId="77777777" w:rsidR="0036092D" w:rsidRPr="0036092D" w:rsidRDefault="0036092D" w:rsidP="0036092D">
      <w:pPr>
        <w:spacing w:line="440" w:lineRule="exact"/>
        <w:ind w:firstLineChars="200" w:firstLine="480"/>
        <w:rPr>
          <w:rFonts w:ascii="宋体" w:eastAsia="宋体" w:hAnsi="宋体" w:cs="宋体"/>
          <w:b/>
          <w:bCs/>
          <w:color w:val="000000"/>
          <w:sz w:val="24"/>
          <w:szCs w:val="24"/>
        </w:rPr>
      </w:pPr>
      <w:r w:rsidRPr="0036092D">
        <w:rPr>
          <w:rFonts w:ascii="宋体" w:eastAsia="宋体" w:hAnsi="宋体" w:cs="宋体" w:hint="eastAsia"/>
          <w:color w:val="000000"/>
          <w:kern w:val="0"/>
          <w:sz w:val="24"/>
          <w:szCs w:val="24"/>
          <w:lang w:bidi="ar"/>
        </w:rPr>
        <w:t>3.熟悉药品生产、经营相关的标准、政策与法规，能够在法律、法规的框架内进行初步工程设计</w:t>
      </w:r>
      <w:r w:rsidRPr="0036092D">
        <w:rPr>
          <w:rFonts w:ascii="宋体" w:eastAsia="宋体" w:hAnsi="宋体" w:cs="宋体" w:hint="eastAsia"/>
          <w:kern w:val="0"/>
          <w:sz w:val="24"/>
          <w:szCs w:val="24"/>
          <w:lang w:bidi="ar"/>
        </w:rPr>
        <w:t>。</w:t>
      </w:r>
      <w:r w:rsidRPr="0036092D">
        <w:rPr>
          <w:rFonts w:ascii="宋体" w:eastAsia="宋体" w:hAnsi="宋体" w:cs="宋体" w:hint="eastAsia"/>
          <w:b/>
          <w:bCs/>
          <w:color w:val="000000"/>
          <w:sz w:val="24"/>
          <w:szCs w:val="24"/>
        </w:rPr>
        <w:t>【毕业要求6 工程与社会】</w:t>
      </w:r>
    </w:p>
    <w:p w14:paraId="08124A1F" w14:textId="77777777" w:rsidR="0036092D" w:rsidRPr="0036092D" w:rsidRDefault="0036092D" w:rsidP="0036092D">
      <w:pPr>
        <w:spacing w:beforeLines="50" w:before="156" w:afterLines="50" w:after="156" w:line="440" w:lineRule="exact"/>
        <w:ind w:firstLineChars="200" w:firstLine="560"/>
        <w:rPr>
          <w:rFonts w:ascii="黑体" w:eastAsia="黑体" w:hAnsi="黑体" w:cs="Times New Roman"/>
          <w:sz w:val="28"/>
          <w:szCs w:val="28"/>
        </w:rPr>
      </w:pPr>
      <w:r w:rsidRPr="0036092D">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9"/>
        <w:gridCol w:w="5784"/>
        <w:gridCol w:w="1726"/>
      </w:tblGrid>
      <w:tr w:rsidR="0036092D" w:rsidRPr="0036092D" w14:paraId="45B23C4C" w14:textId="77777777" w:rsidTr="00B602D6">
        <w:trPr>
          <w:trHeight w:val="815"/>
          <w:jc w:val="center"/>
        </w:trPr>
        <w:tc>
          <w:tcPr>
            <w:tcW w:w="1659" w:type="dxa"/>
            <w:vAlign w:val="center"/>
          </w:tcPr>
          <w:p w14:paraId="40B23006" w14:textId="77777777" w:rsidR="0036092D" w:rsidRPr="0036092D" w:rsidRDefault="0036092D" w:rsidP="0036092D">
            <w:pPr>
              <w:spacing w:line="440" w:lineRule="exact"/>
              <w:jc w:val="center"/>
              <w:rPr>
                <w:rFonts w:ascii="宋体" w:eastAsia="宋体" w:hAnsi="宋体" w:cs="Times New Roman"/>
                <w:b/>
                <w:sz w:val="24"/>
                <w:szCs w:val="24"/>
              </w:rPr>
            </w:pPr>
            <w:r w:rsidRPr="0036092D">
              <w:rPr>
                <w:rFonts w:ascii="宋体" w:eastAsia="宋体" w:hAnsi="宋体" w:cs="Times New Roman" w:hint="eastAsia"/>
                <w:b/>
                <w:sz w:val="24"/>
                <w:szCs w:val="24"/>
              </w:rPr>
              <w:t>毕业要求</w:t>
            </w:r>
          </w:p>
        </w:tc>
        <w:tc>
          <w:tcPr>
            <w:tcW w:w="5784" w:type="dxa"/>
            <w:vAlign w:val="center"/>
          </w:tcPr>
          <w:p w14:paraId="0EE928D4" w14:textId="77777777" w:rsidR="0036092D" w:rsidRPr="0036092D" w:rsidRDefault="0036092D" w:rsidP="0036092D">
            <w:pPr>
              <w:spacing w:line="440" w:lineRule="exact"/>
              <w:jc w:val="center"/>
              <w:rPr>
                <w:rFonts w:ascii="宋体" w:eastAsia="宋体" w:hAnsi="宋体" w:cs="Times New Roman"/>
                <w:b/>
                <w:sz w:val="24"/>
                <w:szCs w:val="24"/>
              </w:rPr>
            </w:pPr>
            <w:r w:rsidRPr="0036092D">
              <w:rPr>
                <w:rFonts w:ascii="宋体" w:eastAsia="宋体" w:hAnsi="宋体" w:cs="Times New Roman" w:hint="eastAsia"/>
                <w:b/>
                <w:sz w:val="24"/>
                <w:szCs w:val="24"/>
              </w:rPr>
              <w:t>毕业要求指标点</w:t>
            </w:r>
          </w:p>
        </w:tc>
        <w:tc>
          <w:tcPr>
            <w:tcW w:w="1726" w:type="dxa"/>
            <w:vAlign w:val="center"/>
          </w:tcPr>
          <w:p w14:paraId="21D00DE8" w14:textId="77777777" w:rsidR="0036092D" w:rsidRPr="0036092D" w:rsidRDefault="0036092D" w:rsidP="0036092D">
            <w:pPr>
              <w:spacing w:line="440" w:lineRule="exact"/>
              <w:jc w:val="center"/>
              <w:rPr>
                <w:rFonts w:ascii="宋体" w:eastAsia="宋体" w:hAnsi="宋体" w:cs="Times New Roman"/>
                <w:b/>
                <w:sz w:val="24"/>
                <w:szCs w:val="24"/>
              </w:rPr>
            </w:pPr>
            <w:r w:rsidRPr="0036092D">
              <w:rPr>
                <w:rFonts w:ascii="宋体" w:eastAsia="宋体" w:hAnsi="宋体" w:cs="Times New Roman" w:hint="eastAsia"/>
                <w:b/>
                <w:sz w:val="24"/>
                <w:szCs w:val="24"/>
              </w:rPr>
              <w:t>课程目标</w:t>
            </w:r>
          </w:p>
        </w:tc>
      </w:tr>
      <w:tr w:rsidR="0036092D" w:rsidRPr="0036092D" w14:paraId="5E6DB9E8" w14:textId="77777777" w:rsidTr="00B602D6">
        <w:trPr>
          <w:trHeight w:val="867"/>
          <w:jc w:val="center"/>
        </w:trPr>
        <w:tc>
          <w:tcPr>
            <w:tcW w:w="1659" w:type="dxa"/>
            <w:vAlign w:val="center"/>
          </w:tcPr>
          <w:p w14:paraId="61C0003B"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宋体" w:hint="eastAsia"/>
                <w:color w:val="000000"/>
                <w:sz w:val="24"/>
                <w:szCs w:val="24"/>
              </w:rPr>
              <w:lastRenderedPageBreak/>
              <w:t>1.工程知识</w:t>
            </w:r>
            <w:r w:rsidRPr="0036092D">
              <w:rPr>
                <w:rFonts w:ascii="宋体" w:eastAsia="宋体" w:hAnsi="宋体" w:cs="Times New Roman"/>
                <w:sz w:val="24"/>
                <w:szCs w:val="24"/>
              </w:rPr>
              <w:t xml:space="preserve"> </w:t>
            </w:r>
          </w:p>
        </w:tc>
        <w:tc>
          <w:tcPr>
            <w:tcW w:w="5784" w:type="dxa"/>
            <w:vAlign w:val="center"/>
          </w:tcPr>
          <w:p w14:paraId="1DD5C25C" w14:textId="77777777" w:rsidR="0036092D" w:rsidRPr="0036092D" w:rsidRDefault="0036092D" w:rsidP="0036092D">
            <w:pPr>
              <w:spacing w:line="440" w:lineRule="exact"/>
              <w:jc w:val="left"/>
              <w:rPr>
                <w:rFonts w:ascii="宋体" w:eastAsia="宋体" w:hAnsi="宋体" w:cs="宋体"/>
                <w:sz w:val="24"/>
                <w:szCs w:val="24"/>
              </w:rPr>
            </w:pPr>
            <w:r w:rsidRPr="0036092D">
              <w:rPr>
                <w:rFonts w:ascii="宋体" w:eastAsia="宋体" w:hAnsi="宋体" w:cs="宋体" w:hint="eastAsia"/>
                <w:color w:val="000000"/>
                <w:kern w:val="0"/>
                <w:sz w:val="24"/>
                <w:szCs w:val="24"/>
                <w:lang w:bidi="ar"/>
              </w:rPr>
              <w:t>1.3能够将专业知识用于工业药剂实验、研究等问题</w:t>
            </w:r>
            <w:r w:rsidRPr="0036092D">
              <w:rPr>
                <w:rFonts w:ascii="宋体" w:eastAsia="宋体" w:hAnsi="宋体" w:cs="宋体" w:hint="eastAsia"/>
                <w:sz w:val="24"/>
                <w:szCs w:val="24"/>
              </w:rPr>
              <w:t>。(M)</w:t>
            </w:r>
          </w:p>
        </w:tc>
        <w:tc>
          <w:tcPr>
            <w:tcW w:w="1726" w:type="dxa"/>
            <w:vAlign w:val="center"/>
          </w:tcPr>
          <w:p w14:paraId="2C8DFE9E" w14:textId="77777777" w:rsidR="0036092D" w:rsidRPr="0036092D" w:rsidRDefault="0036092D" w:rsidP="0036092D">
            <w:pPr>
              <w:widowControl/>
              <w:wordWrap w:val="0"/>
              <w:spacing w:line="360" w:lineRule="auto"/>
              <w:jc w:val="center"/>
              <w:rPr>
                <w:rFonts w:ascii="宋体" w:eastAsia="宋体" w:hAnsi="宋体" w:cs="Times New Roman"/>
                <w:sz w:val="24"/>
                <w:szCs w:val="24"/>
              </w:rPr>
            </w:pPr>
            <w:r w:rsidRPr="0036092D">
              <w:rPr>
                <w:rFonts w:ascii="宋体" w:eastAsia="宋体" w:hAnsi="宋体" w:cs="Times New Roman" w:hint="eastAsia"/>
                <w:sz w:val="24"/>
                <w:szCs w:val="24"/>
              </w:rPr>
              <w:t>课程目标1</w:t>
            </w:r>
          </w:p>
        </w:tc>
      </w:tr>
      <w:tr w:rsidR="0036092D" w:rsidRPr="0036092D" w14:paraId="35935B4C" w14:textId="77777777" w:rsidTr="00B602D6">
        <w:trPr>
          <w:trHeight w:val="1084"/>
          <w:jc w:val="center"/>
        </w:trPr>
        <w:tc>
          <w:tcPr>
            <w:tcW w:w="1659" w:type="dxa"/>
            <w:vAlign w:val="center"/>
          </w:tcPr>
          <w:p w14:paraId="3281D033"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4</w:t>
            </w:r>
            <w:r w:rsidRPr="0036092D">
              <w:rPr>
                <w:rFonts w:ascii="宋体" w:eastAsia="宋体" w:hAnsi="宋体" w:cs="Times New Roman"/>
                <w:sz w:val="24"/>
                <w:szCs w:val="24"/>
              </w:rPr>
              <w:t>.</w:t>
            </w:r>
            <w:r w:rsidRPr="0036092D">
              <w:rPr>
                <w:rFonts w:ascii="宋体" w:eastAsia="宋体" w:hAnsi="宋体" w:cs="宋体" w:hint="eastAsia"/>
                <w:color w:val="000000"/>
                <w:sz w:val="24"/>
                <w:szCs w:val="24"/>
              </w:rPr>
              <w:t>研究</w:t>
            </w:r>
            <w:r w:rsidRPr="0036092D">
              <w:rPr>
                <w:rFonts w:ascii="宋体" w:eastAsia="宋体" w:hAnsi="宋体" w:cs="Times New Roman"/>
                <w:sz w:val="24"/>
                <w:szCs w:val="24"/>
              </w:rPr>
              <w:t xml:space="preserve"> </w:t>
            </w:r>
          </w:p>
        </w:tc>
        <w:tc>
          <w:tcPr>
            <w:tcW w:w="5784" w:type="dxa"/>
            <w:vAlign w:val="center"/>
          </w:tcPr>
          <w:p w14:paraId="391D02FA" w14:textId="77777777" w:rsidR="0036092D" w:rsidRPr="0036092D" w:rsidRDefault="0036092D" w:rsidP="0036092D">
            <w:pPr>
              <w:spacing w:line="440" w:lineRule="exact"/>
              <w:jc w:val="left"/>
              <w:rPr>
                <w:rFonts w:ascii="宋体" w:eastAsia="宋体" w:hAnsi="宋体" w:cs="宋体"/>
                <w:sz w:val="24"/>
                <w:szCs w:val="24"/>
              </w:rPr>
            </w:pPr>
            <w:r w:rsidRPr="0036092D">
              <w:rPr>
                <w:rFonts w:ascii="宋体" w:eastAsia="宋体" w:hAnsi="宋体" w:cs="宋体" w:hint="eastAsia"/>
                <w:color w:val="000000"/>
                <w:spacing w:val="-1"/>
                <w:sz w:val="24"/>
                <w:szCs w:val="24"/>
              </w:rPr>
              <w:t>4.2掌握设计和实施工程实验的基本原理和基本方法，能够合理设计实验</w:t>
            </w:r>
            <w:r w:rsidRPr="0036092D">
              <w:rPr>
                <w:rFonts w:ascii="宋体" w:eastAsia="宋体" w:hAnsi="宋体" w:cs="宋体" w:hint="eastAsia"/>
                <w:sz w:val="24"/>
                <w:szCs w:val="24"/>
              </w:rPr>
              <w:t>。(M)</w:t>
            </w:r>
          </w:p>
        </w:tc>
        <w:tc>
          <w:tcPr>
            <w:tcW w:w="1726" w:type="dxa"/>
            <w:vAlign w:val="center"/>
          </w:tcPr>
          <w:p w14:paraId="2908117B" w14:textId="77777777" w:rsidR="0036092D" w:rsidRPr="0036092D" w:rsidRDefault="0036092D" w:rsidP="0036092D">
            <w:pPr>
              <w:widowControl/>
              <w:wordWrap w:val="0"/>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课程目标2</w:t>
            </w:r>
          </w:p>
        </w:tc>
      </w:tr>
      <w:tr w:rsidR="0036092D" w:rsidRPr="0036092D" w14:paraId="25DC97D2" w14:textId="77777777" w:rsidTr="00B602D6">
        <w:trPr>
          <w:jc w:val="center"/>
        </w:trPr>
        <w:tc>
          <w:tcPr>
            <w:tcW w:w="1659" w:type="dxa"/>
            <w:vAlign w:val="center"/>
          </w:tcPr>
          <w:p w14:paraId="7122549D"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6</w:t>
            </w:r>
            <w:r w:rsidRPr="0036092D">
              <w:rPr>
                <w:rFonts w:ascii="宋体" w:eastAsia="宋体" w:hAnsi="宋体" w:cs="Times New Roman"/>
                <w:sz w:val="24"/>
                <w:szCs w:val="24"/>
              </w:rPr>
              <w:t>.</w:t>
            </w:r>
            <w:r w:rsidRPr="0036092D">
              <w:rPr>
                <w:rFonts w:ascii="宋体" w:eastAsia="宋体" w:hAnsi="宋体" w:cs="宋体" w:hint="eastAsia"/>
                <w:color w:val="000000"/>
                <w:sz w:val="24"/>
                <w:szCs w:val="24"/>
              </w:rPr>
              <w:t>工程与社会</w:t>
            </w:r>
            <w:r w:rsidRPr="0036092D">
              <w:rPr>
                <w:rFonts w:ascii="宋体" w:eastAsia="宋体" w:hAnsi="宋体" w:cs="Times New Roman"/>
                <w:sz w:val="24"/>
                <w:szCs w:val="24"/>
              </w:rPr>
              <w:t xml:space="preserve"> </w:t>
            </w:r>
          </w:p>
        </w:tc>
        <w:tc>
          <w:tcPr>
            <w:tcW w:w="5784" w:type="dxa"/>
            <w:vAlign w:val="center"/>
          </w:tcPr>
          <w:p w14:paraId="4D14FB5A" w14:textId="77777777" w:rsidR="0036092D" w:rsidRPr="0036092D" w:rsidRDefault="0036092D" w:rsidP="0036092D">
            <w:pPr>
              <w:spacing w:line="440" w:lineRule="exact"/>
              <w:jc w:val="left"/>
              <w:rPr>
                <w:rFonts w:ascii="宋体" w:eastAsia="宋体" w:hAnsi="宋体" w:cs="宋体"/>
                <w:sz w:val="24"/>
                <w:szCs w:val="24"/>
              </w:rPr>
            </w:pPr>
            <w:r w:rsidRPr="0036092D">
              <w:rPr>
                <w:rFonts w:ascii="宋体" w:eastAsia="宋体" w:hAnsi="宋体" w:cs="宋体" w:hint="eastAsia"/>
                <w:color w:val="000000"/>
                <w:spacing w:val="-1"/>
                <w:sz w:val="24"/>
                <w:szCs w:val="24"/>
              </w:rPr>
              <w:t>6.1</w:t>
            </w:r>
            <w:r w:rsidRPr="0036092D">
              <w:rPr>
                <w:rFonts w:ascii="宋体" w:eastAsia="宋体" w:hAnsi="宋体" w:cs="宋体" w:hint="eastAsia"/>
                <w:color w:val="000000"/>
                <w:kern w:val="0"/>
                <w:sz w:val="24"/>
                <w:szCs w:val="24"/>
                <w:lang w:bidi="ar"/>
              </w:rPr>
              <w:t>熟悉药品生产、经营相关的标准、政策与法规，能够在法律、法规的框架内进行初步工程设计</w:t>
            </w:r>
            <w:r w:rsidRPr="0036092D">
              <w:rPr>
                <w:rFonts w:ascii="宋体" w:eastAsia="宋体" w:hAnsi="宋体" w:cs="宋体" w:hint="eastAsia"/>
                <w:color w:val="000000"/>
                <w:sz w:val="24"/>
                <w:szCs w:val="24"/>
              </w:rPr>
              <w:t>。</w:t>
            </w:r>
            <w:r w:rsidRPr="0036092D">
              <w:rPr>
                <w:rFonts w:ascii="宋体" w:eastAsia="宋体" w:hAnsi="宋体" w:cs="宋体" w:hint="eastAsia"/>
                <w:sz w:val="24"/>
                <w:szCs w:val="24"/>
              </w:rPr>
              <w:t>(L)</w:t>
            </w:r>
          </w:p>
        </w:tc>
        <w:tc>
          <w:tcPr>
            <w:tcW w:w="1726" w:type="dxa"/>
            <w:vAlign w:val="center"/>
          </w:tcPr>
          <w:p w14:paraId="38FB9053" w14:textId="77777777" w:rsidR="0036092D" w:rsidRPr="0036092D" w:rsidRDefault="0036092D" w:rsidP="0036092D">
            <w:pPr>
              <w:widowControl/>
              <w:wordWrap w:val="0"/>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课程目标3</w:t>
            </w:r>
          </w:p>
        </w:tc>
      </w:tr>
    </w:tbl>
    <w:p w14:paraId="1AB91AB3" w14:textId="77777777" w:rsidR="0036092D" w:rsidRPr="0036092D" w:rsidRDefault="0036092D" w:rsidP="0036092D">
      <w:pPr>
        <w:widowControl/>
        <w:jc w:val="left"/>
        <w:rPr>
          <w:rFonts w:ascii="Times New Roman" w:eastAsia="宋体" w:hAnsi="Times New Roman" w:cs="Times New Roman"/>
          <w:szCs w:val="24"/>
          <w:lang w:val="en-GB"/>
        </w:rPr>
      </w:pPr>
    </w:p>
    <w:p w14:paraId="4A41FC79" w14:textId="77777777" w:rsidR="0036092D" w:rsidRPr="0036092D" w:rsidRDefault="0036092D" w:rsidP="0036092D">
      <w:pPr>
        <w:spacing w:beforeLines="50" w:before="156" w:afterLines="50" w:after="156" w:line="440" w:lineRule="exact"/>
        <w:ind w:firstLineChars="200" w:firstLine="560"/>
        <w:rPr>
          <w:rFonts w:ascii="黑体" w:eastAsia="黑体" w:hAnsi="黑体" w:cs="Times New Roman"/>
          <w:sz w:val="28"/>
          <w:szCs w:val="28"/>
        </w:rPr>
      </w:pPr>
      <w:r w:rsidRPr="0036092D">
        <w:rPr>
          <w:rFonts w:ascii="黑体" w:eastAsia="黑体" w:hAnsi="黑体" w:cs="Times New Roman" w:hint="eastAsia"/>
          <w:sz w:val="28"/>
          <w:szCs w:val="28"/>
        </w:rPr>
        <w:t>三、课程学习内容及与课程学习目标的对应关系</w:t>
      </w:r>
    </w:p>
    <w:p w14:paraId="607F97AE" w14:textId="77777777" w:rsidR="0036092D" w:rsidRPr="0036092D" w:rsidRDefault="0036092D" w:rsidP="0036092D">
      <w:pPr>
        <w:spacing w:beforeLines="50" w:before="156" w:afterLines="50" w:after="156" w:line="440" w:lineRule="exact"/>
        <w:ind w:firstLineChars="200" w:firstLine="562"/>
        <w:rPr>
          <w:rFonts w:ascii="黑体" w:eastAsia="黑体" w:hAnsi="黑体" w:cs="Times New Roman"/>
          <w:b/>
          <w:sz w:val="28"/>
          <w:szCs w:val="28"/>
        </w:rPr>
      </w:pPr>
      <w:r w:rsidRPr="0036092D">
        <w:rPr>
          <w:rFonts w:ascii="黑体" w:eastAsia="黑体" w:hAnsi="黑体" w:cs="Times New Roman" w:hint="eastAsia"/>
          <w:b/>
          <w:sz w:val="28"/>
          <w:szCs w:val="28"/>
        </w:rPr>
        <w:t>（一）课程学习内容</w:t>
      </w:r>
    </w:p>
    <w:p w14:paraId="19EAD35E" w14:textId="77777777" w:rsidR="0036092D" w:rsidRPr="0036092D" w:rsidRDefault="0036092D" w:rsidP="0036092D">
      <w:pPr>
        <w:spacing w:beforeLines="50" w:before="156" w:afterLines="50" w:after="156" w:line="440" w:lineRule="exact"/>
        <w:ind w:firstLineChars="200" w:firstLine="560"/>
        <w:jc w:val="center"/>
        <w:rPr>
          <w:rFonts w:ascii="黑体" w:eastAsia="黑体" w:hAnsi="黑体" w:cs="Times New Roman"/>
          <w:sz w:val="28"/>
          <w:szCs w:val="28"/>
        </w:rPr>
      </w:pPr>
      <w:r w:rsidRPr="0036092D">
        <w:rPr>
          <w:rFonts w:ascii="黑体" w:eastAsia="黑体" w:hAnsi="黑体" w:cs="Times New Roman" w:hint="eastAsia"/>
          <w:sz w:val="28"/>
          <w:szCs w:val="28"/>
        </w:rPr>
        <w:t>第一章  生物药剂学概述</w:t>
      </w:r>
    </w:p>
    <w:p w14:paraId="60BB78DD"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【学习目标】</w:t>
      </w:r>
    </w:p>
    <w:p w14:paraId="1318AD93"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1.认知类目标：</w:t>
      </w:r>
      <w:r w:rsidRPr="0036092D">
        <w:rPr>
          <w:rFonts w:ascii="宋体" w:eastAsia="宋体" w:hAnsi="宋体" w:cs="宋体" w:hint="eastAsia"/>
          <w:sz w:val="24"/>
          <w:szCs w:val="24"/>
        </w:rPr>
        <w:t>了解生物生物药剂学的基本概念；</w:t>
      </w:r>
    </w:p>
    <w:p w14:paraId="34C79A79"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2</w:t>
      </w:r>
      <w:r w:rsidRPr="0036092D">
        <w:rPr>
          <w:rFonts w:ascii="宋体" w:eastAsia="宋体" w:hAnsi="宋体" w:cs="Times New Roman"/>
          <w:sz w:val="24"/>
          <w:szCs w:val="24"/>
        </w:rPr>
        <w:t xml:space="preserve">. </w:t>
      </w:r>
      <w:r w:rsidRPr="0036092D">
        <w:rPr>
          <w:rFonts w:ascii="宋体" w:eastAsia="宋体" w:hAnsi="宋体" w:cs="Times New Roman" w:hint="eastAsia"/>
          <w:sz w:val="24"/>
          <w:szCs w:val="24"/>
        </w:rPr>
        <w:t>过程与方法类目标：通过查阅电子文献期刊，</w:t>
      </w:r>
      <w:r w:rsidRPr="0036092D">
        <w:rPr>
          <w:rFonts w:ascii="Times New Roman" w:eastAsia="宋体" w:hAnsi="宋体" w:cs="Times New Roman" w:hint="eastAsia"/>
          <w:sz w:val="24"/>
          <w:szCs w:val="24"/>
        </w:rPr>
        <w:t>生物药剂学的发展和研究的意义</w:t>
      </w:r>
      <w:r w:rsidRPr="0036092D">
        <w:rPr>
          <w:rFonts w:ascii="宋体" w:eastAsia="宋体" w:hAnsi="宋体" w:cs="宋体" w:hint="eastAsia"/>
          <w:sz w:val="24"/>
          <w:szCs w:val="24"/>
        </w:rPr>
        <w:t>；</w:t>
      </w:r>
    </w:p>
    <w:p w14:paraId="687DE507" w14:textId="77777777" w:rsidR="0036092D" w:rsidRPr="0036092D" w:rsidRDefault="0036092D" w:rsidP="0036092D">
      <w:pPr>
        <w:spacing w:line="440" w:lineRule="exact"/>
        <w:ind w:firstLineChars="200" w:firstLine="480"/>
        <w:rPr>
          <w:rFonts w:ascii="宋体" w:eastAsia="宋体" w:hAnsi="宋体" w:cs="Times New Roman"/>
          <w:b/>
          <w:sz w:val="24"/>
          <w:szCs w:val="24"/>
        </w:rPr>
      </w:pPr>
      <w:r w:rsidRPr="0036092D">
        <w:rPr>
          <w:rFonts w:ascii="宋体" w:eastAsia="宋体" w:hAnsi="宋体" w:cs="Times New Roman"/>
          <w:sz w:val="24"/>
          <w:szCs w:val="24"/>
        </w:rPr>
        <w:t xml:space="preserve">3. </w:t>
      </w:r>
      <w:r w:rsidRPr="0036092D">
        <w:rPr>
          <w:rFonts w:ascii="宋体" w:eastAsia="宋体" w:hAnsi="宋体" w:cs="Times New Roman" w:hint="eastAsia"/>
          <w:sz w:val="24"/>
          <w:szCs w:val="24"/>
        </w:rPr>
        <w:t>情感、态度、价值观类目标：通过专业理论的学习，了解</w:t>
      </w:r>
      <w:r w:rsidRPr="0036092D">
        <w:rPr>
          <w:rFonts w:ascii="宋体" w:eastAsia="宋体" w:hAnsi="宋体" w:cs="宋体" w:hint="eastAsia"/>
          <w:color w:val="000000"/>
          <w:spacing w:val="-1"/>
          <w:sz w:val="24"/>
          <w:szCs w:val="24"/>
        </w:rPr>
        <w:t>工业药剂师的职业性质和责任，在工程实践中能自觉遵</w:t>
      </w:r>
      <w:r w:rsidRPr="0036092D">
        <w:rPr>
          <w:rFonts w:ascii="宋体" w:eastAsia="宋体" w:hAnsi="宋体" w:cs="宋体" w:hint="eastAsia"/>
          <w:color w:val="000000"/>
          <w:sz w:val="24"/>
          <w:szCs w:val="24"/>
        </w:rPr>
        <w:t>守职业道德和规范，履行责任，具有法律意识</w:t>
      </w:r>
      <w:r w:rsidRPr="0036092D">
        <w:rPr>
          <w:rFonts w:ascii="Times New Roman" w:eastAsia="宋体" w:hAnsi="Times New Roman" w:cs="Times New Roman"/>
          <w:sz w:val="24"/>
          <w:szCs w:val="24"/>
        </w:rPr>
        <w:t>。</w:t>
      </w:r>
    </w:p>
    <w:p w14:paraId="40C82BEA"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【学习内容】</w:t>
      </w:r>
    </w:p>
    <w:p w14:paraId="5A4978D6" w14:textId="77777777" w:rsidR="0036092D" w:rsidRPr="0036092D" w:rsidRDefault="0036092D" w:rsidP="0036092D">
      <w:pPr>
        <w:widowControl/>
        <w:spacing w:line="440" w:lineRule="exact"/>
        <w:ind w:leftChars="113" w:left="237" w:firstLineChars="99" w:firstLine="238"/>
        <w:jc w:val="left"/>
        <w:rPr>
          <w:rFonts w:ascii="Times New Roman" w:eastAsia="宋体" w:hAnsi="Times New Roman" w:cs="Times New Roman"/>
          <w:szCs w:val="24"/>
        </w:rPr>
      </w:pPr>
      <w:r w:rsidRPr="0036092D">
        <w:rPr>
          <w:rFonts w:ascii="宋体" w:eastAsia="宋体" w:hAnsi="宋体" w:cs="宋体" w:hint="eastAsia"/>
          <w:kern w:val="0"/>
          <w:sz w:val="24"/>
          <w:szCs w:val="24"/>
          <w:lang w:bidi="ar"/>
        </w:rPr>
        <w:t>1.生物药剂学的定义</w:t>
      </w:r>
    </w:p>
    <w:p w14:paraId="4FAD98DC" w14:textId="77777777" w:rsidR="0036092D" w:rsidRPr="0036092D" w:rsidRDefault="0036092D" w:rsidP="0036092D">
      <w:pPr>
        <w:spacing w:line="440" w:lineRule="exact"/>
        <w:ind w:firstLineChars="200" w:firstLine="480"/>
        <w:rPr>
          <w:rFonts w:ascii="Times New Roman" w:eastAsia="宋体" w:hAnsi="Times New Roman" w:cs="Times New Roman"/>
          <w:szCs w:val="24"/>
        </w:rPr>
      </w:pPr>
      <w:r w:rsidRPr="0036092D">
        <w:rPr>
          <w:rFonts w:ascii="宋体" w:eastAsia="宋体" w:hAnsi="宋体" w:cs="宋体" w:hint="eastAsia"/>
          <w:kern w:val="0"/>
          <w:sz w:val="24"/>
          <w:szCs w:val="24"/>
          <w:lang w:bidi="ar"/>
        </w:rPr>
        <w:t>2.药物的体内过程</w:t>
      </w:r>
    </w:p>
    <w:p w14:paraId="51CE1812" w14:textId="77777777" w:rsidR="0036092D" w:rsidRPr="0036092D" w:rsidRDefault="0036092D" w:rsidP="0036092D">
      <w:pPr>
        <w:widowControl/>
        <w:spacing w:line="440" w:lineRule="exact"/>
        <w:ind w:leftChars="113" w:left="237" w:firstLineChars="99" w:firstLine="238"/>
        <w:jc w:val="left"/>
        <w:rPr>
          <w:rFonts w:ascii="Times New Roman" w:eastAsia="宋体" w:hAnsi="Times New Roman" w:cs="Times New Roman"/>
          <w:szCs w:val="24"/>
        </w:rPr>
      </w:pPr>
      <w:r w:rsidRPr="0036092D">
        <w:rPr>
          <w:rFonts w:ascii="宋体" w:eastAsia="宋体" w:hAnsi="宋体" w:cs="宋体" w:hint="eastAsia"/>
          <w:kern w:val="0"/>
          <w:sz w:val="24"/>
          <w:szCs w:val="24"/>
          <w:lang w:bidi="ar"/>
        </w:rPr>
        <w:t>3.生物药剂学研究内容</w:t>
      </w:r>
    </w:p>
    <w:p w14:paraId="6A7E56CF" w14:textId="77777777" w:rsidR="0036092D" w:rsidRPr="0036092D" w:rsidRDefault="0036092D" w:rsidP="0036092D">
      <w:pPr>
        <w:widowControl/>
        <w:spacing w:line="440" w:lineRule="exact"/>
        <w:ind w:leftChars="113" w:left="237" w:firstLineChars="99" w:firstLine="238"/>
        <w:jc w:val="left"/>
        <w:rPr>
          <w:rFonts w:ascii="Times New Roman" w:eastAsia="宋体" w:hAnsi="Times New Roman" w:cs="Times New Roman"/>
          <w:szCs w:val="24"/>
        </w:rPr>
      </w:pPr>
      <w:r w:rsidRPr="0036092D">
        <w:rPr>
          <w:rFonts w:ascii="宋体" w:eastAsia="宋体" w:hAnsi="宋体" w:cs="宋体" w:hint="eastAsia"/>
          <w:kern w:val="0"/>
          <w:sz w:val="24"/>
          <w:szCs w:val="24"/>
          <w:lang w:bidi="ar"/>
        </w:rPr>
        <w:t>4.生物药剂学的发展</w:t>
      </w:r>
    </w:p>
    <w:p w14:paraId="0BD52F19" w14:textId="77777777" w:rsidR="0036092D" w:rsidRPr="0036092D" w:rsidRDefault="0036092D" w:rsidP="0036092D">
      <w:pPr>
        <w:spacing w:line="440" w:lineRule="exact"/>
        <w:ind w:firstLineChars="200" w:firstLine="480"/>
        <w:rPr>
          <w:rFonts w:ascii="宋体" w:eastAsia="宋体" w:hAnsi="宋体" w:cs="Times New Roman"/>
          <w:b/>
          <w:sz w:val="24"/>
          <w:szCs w:val="24"/>
        </w:rPr>
      </w:pPr>
      <w:r w:rsidRPr="0036092D">
        <w:rPr>
          <w:rFonts w:ascii="宋体" w:eastAsia="宋体" w:hAnsi="宋体" w:cs="宋体" w:hint="eastAsia"/>
          <w:kern w:val="0"/>
          <w:sz w:val="24"/>
          <w:szCs w:val="24"/>
          <w:lang w:bidi="ar"/>
        </w:rPr>
        <w:t>5.生物药剂学与相关学科的关系</w:t>
      </w:r>
      <w:r w:rsidRPr="0036092D">
        <w:rPr>
          <w:rFonts w:ascii="Times New Roman" w:eastAsia="宋体" w:hAnsi="Times New Roman" w:cs="Times New Roman"/>
          <w:sz w:val="24"/>
          <w:szCs w:val="24"/>
        </w:rPr>
        <w:t xml:space="preserve"> </w:t>
      </w:r>
    </w:p>
    <w:p w14:paraId="0C7C9B24"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【重点】</w:t>
      </w:r>
    </w:p>
    <w:p w14:paraId="23586B61" w14:textId="77777777" w:rsidR="0036092D" w:rsidRPr="0036092D" w:rsidRDefault="0036092D" w:rsidP="0036092D">
      <w:pPr>
        <w:spacing w:line="440" w:lineRule="exact"/>
        <w:ind w:firstLineChars="200" w:firstLine="480"/>
        <w:rPr>
          <w:rFonts w:ascii="Times New Roman" w:eastAsia="宋体" w:hAnsi="Times New Roman" w:cs="Times New Roman"/>
          <w:szCs w:val="24"/>
        </w:rPr>
      </w:pPr>
      <w:r w:rsidRPr="0036092D">
        <w:rPr>
          <w:rFonts w:ascii="宋体" w:eastAsia="宋体" w:hAnsi="宋体" w:cs="Times New Roman" w:hint="eastAsia"/>
          <w:bCs/>
          <w:sz w:val="24"/>
          <w:szCs w:val="24"/>
        </w:rPr>
        <w:t>1.</w:t>
      </w:r>
      <w:r w:rsidRPr="0036092D">
        <w:rPr>
          <w:rFonts w:ascii="Times New Roman" w:eastAsia="宋体" w:hAnsi="宋体" w:cs="Times New Roman" w:hint="eastAsia"/>
          <w:sz w:val="24"/>
          <w:szCs w:val="24"/>
        </w:rPr>
        <w:t>生物药剂学中的基础概念</w:t>
      </w:r>
      <w:r w:rsidRPr="0036092D">
        <w:rPr>
          <w:rFonts w:ascii="Times New Roman" w:eastAsia="宋体" w:hAnsi="Times New Roman" w:cs="Times New Roman"/>
          <w:sz w:val="24"/>
          <w:szCs w:val="24"/>
        </w:rPr>
        <w:t>。</w:t>
      </w:r>
    </w:p>
    <w:p w14:paraId="121C1DAA"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【难点】 </w:t>
      </w:r>
    </w:p>
    <w:p w14:paraId="5BAAC9CA" w14:textId="77777777" w:rsidR="0036092D" w:rsidRPr="0036092D" w:rsidRDefault="0036092D" w:rsidP="0036092D">
      <w:pPr>
        <w:spacing w:line="440" w:lineRule="exact"/>
        <w:ind w:firstLineChars="200" w:firstLine="480"/>
        <w:rPr>
          <w:rFonts w:ascii="Times New Roman" w:eastAsia="宋体" w:hAnsi="Times New Roman" w:cs="Times New Roman"/>
          <w:sz w:val="24"/>
          <w:szCs w:val="24"/>
        </w:rPr>
      </w:pPr>
      <w:r w:rsidRPr="0036092D">
        <w:rPr>
          <w:rFonts w:ascii="宋体" w:eastAsia="宋体" w:hAnsi="宋体" w:cs="Times New Roman" w:hint="eastAsia"/>
          <w:bCs/>
          <w:sz w:val="24"/>
          <w:szCs w:val="24"/>
        </w:rPr>
        <w:t>1.</w:t>
      </w:r>
      <w:r w:rsidRPr="0036092D">
        <w:rPr>
          <w:rFonts w:ascii="Times New Roman" w:eastAsia="宋体" w:hAnsi="宋体" w:cs="Times New Roman" w:hint="eastAsia"/>
          <w:sz w:val="24"/>
          <w:szCs w:val="24"/>
        </w:rPr>
        <w:t>药物的体内过程</w:t>
      </w:r>
      <w:r w:rsidRPr="0036092D">
        <w:rPr>
          <w:rFonts w:ascii="Times New Roman" w:eastAsia="宋体" w:hAnsi="Times New Roman" w:cs="Times New Roman"/>
          <w:sz w:val="24"/>
          <w:szCs w:val="24"/>
        </w:rPr>
        <w:t>。</w:t>
      </w:r>
    </w:p>
    <w:p w14:paraId="420C2BB7" w14:textId="77777777" w:rsidR="0036092D" w:rsidRPr="0036092D" w:rsidRDefault="0036092D" w:rsidP="0036092D">
      <w:pPr>
        <w:spacing w:line="400" w:lineRule="exact"/>
        <w:ind w:firstLineChars="200" w:firstLine="482"/>
        <w:rPr>
          <w:rFonts w:ascii="Times New Roman" w:eastAsia="宋体" w:hAnsi="Times New Roman" w:cs="Times New Roman"/>
          <w:sz w:val="24"/>
          <w:szCs w:val="24"/>
        </w:rPr>
      </w:pPr>
      <w:r w:rsidRPr="0036092D">
        <w:rPr>
          <w:rFonts w:ascii="宋体" w:eastAsia="宋体" w:hAnsi="宋体" w:cs="Times New Roman" w:hint="eastAsia"/>
          <w:b/>
          <w:bCs/>
          <w:sz w:val="24"/>
          <w:szCs w:val="24"/>
        </w:rPr>
        <w:t>【教学方法】</w:t>
      </w:r>
    </w:p>
    <w:p w14:paraId="67F5E372"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5F236FB1" w14:textId="77777777" w:rsidR="0036092D" w:rsidRPr="0036092D" w:rsidRDefault="0036092D" w:rsidP="0036092D">
      <w:pPr>
        <w:spacing w:line="440" w:lineRule="exact"/>
        <w:ind w:firstLineChars="200" w:firstLine="480"/>
        <w:rPr>
          <w:rFonts w:ascii="Times New Roman" w:eastAsia="宋体" w:hAnsi="Times New Roman" w:cs="Times New Roman"/>
          <w:sz w:val="24"/>
          <w:szCs w:val="24"/>
        </w:rPr>
      </w:pPr>
      <w:r w:rsidRPr="0036092D">
        <w:rPr>
          <w:rFonts w:ascii="宋体" w:eastAsia="宋体" w:hAnsi="宋体" w:cs="宋体" w:hint="eastAsia"/>
          <w:sz w:val="24"/>
          <w:szCs w:val="24"/>
        </w:rPr>
        <w:t>2. 采用</w:t>
      </w:r>
      <w:r w:rsidRPr="0036092D">
        <w:rPr>
          <w:rFonts w:ascii="Times New Roman" w:eastAsia="宋体" w:hAnsi="Times New Roman" w:cs="Times New Roman"/>
          <w:sz w:val="24"/>
          <w:szCs w:val="24"/>
        </w:rPr>
        <w:t>课</w:t>
      </w:r>
      <w:r w:rsidRPr="0036092D">
        <w:rPr>
          <w:rFonts w:ascii="Times New Roman" w:eastAsia="宋体" w:hAnsi="Times New Roman" w:cs="Times New Roman" w:hint="eastAsia"/>
          <w:sz w:val="24"/>
          <w:szCs w:val="24"/>
        </w:rPr>
        <w:t>前</w:t>
      </w:r>
      <w:r w:rsidRPr="0036092D">
        <w:rPr>
          <w:rFonts w:ascii="Times New Roman" w:eastAsia="宋体" w:hAnsi="Times New Roman" w:cs="Times New Roman"/>
          <w:sz w:val="24"/>
          <w:szCs w:val="24"/>
        </w:rPr>
        <w:t>学习的方法，通过安排学生提前预习，培养学生自主学习、独立思</w:t>
      </w:r>
      <w:r w:rsidRPr="0036092D">
        <w:rPr>
          <w:rFonts w:ascii="Times New Roman" w:eastAsia="宋体" w:hAnsi="Times New Roman" w:cs="Times New Roman"/>
          <w:sz w:val="24"/>
          <w:szCs w:val="24"/>
        </w:rPr>
        <w:lastRenderedPageBreak/>
        <w:t>考的</w:t>
      </w:r>
      <w:proofErr w:type="gramStart"/>
      <w:r w:rsidRPr="0036092D">
        <w:rPr>
          <w:rFonts w:ascii="Times New Roman" w:eastAsia="宋体" w:hAnsi="Times New Roman" w:cs="Times New Roman"/>
          <w:sz w:val="24"/>
          <w:szCs w:val="24"/>
        </w:rPr>
        <w:t>的</w:t>
      </w:r>
      <w:proofErr w:type="gramEnd"/>
      <w:r w:rsidRPr="0036092D">
        <w:rPr>
          <w:rFonts w:ascii="Times New Roman" w:eastAsia="宋体" w:hAnsi="Times New Roman" w:cs="Times New Roman"/>
          <w:sz w:val="24"/>
          <w:szCs w:val="24"/>
        </w:rPr>
        <w:t>精神，强化学生对知识学习的应用意识，提升学生的教学技能。</w:t>
      </w:r>
    </w:p>
    <w:p w14:paraId="6D80CCFD"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【复习思考】</w:t>
      </w:r>
    </w:p>
    <w:p w14:paraId="0144F123" w14:textId="77777777" w:rsidR="0036092D" w:rsidRPr="0036092D" w:rsidRDefault="0036092D">
      <w:pPr>
        <w:numPr>
          <w:ilvl w:val="0"/>
          <w:numId w:val="160"/>
        </w:num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生物药剂学研究的范畴</w:t>
      </w:r>
    </w:p>
    <w:p w14:paraId="4CE37C7E" w14:textId="77777777" w:rsidR="0036092D" w:rsidRPr="0036092D" w:rsidRDefault="0036092D">
      <w:pPr>
        <w:numPr>
          <w:ilvl w:val="0"/>
          <w:numId w:val="160"/>
        </w:num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生物药剂学中的一些基本概念</w:t>
      </w:r>
    </w:p>
    <w:p w14:paraId="4E2BD121" w14:textId="77777777" w:rsidR="0036092D" w:rsidRPr="0036092D" w:rsidRDefault="0036092D">
      <w:pPr>
        <w:numPr>
          <w:ilvl w:val="0"/>
          <w:numId w:val="160"/>
        </w:num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药物的体内过程</w:t>
      </w:r>
    </w:p>
    <w:p w14:paraId="0202BEC0" w14:textId="77777777" w:rsidR="0036092D" w:rsidRPr="0036092D" w:rsidRDefault="0036092D" w:rsidP="0036092D">
      <w:pPr>
        <w:spacing w:beforeLines="50" w:before="156" w:afterLines="50" w:after="156" w:line="440" w:lineRule="exact"/>
        <w:ind w:firstLineChars="200" w:firstLine="560"/>
        <w:jc w:val="center"/>
        <w:rPr>
          <w:rFonts w:ascii="黑体" w:eastAsia="黑体" w:hAnsi="黑体" w:cs="Times New Roman"/>
          <w:sz w:val="28"/>
          <w:szCs w:val="28"/>
        </w:rPr>
      </w:pPr>
      <w:r w:rsidRPr="0036092D">
        <w:rPr>
          <w:rFonts w:ascii="黑体" w:eastAsia="黑体" w:hAnsi="黑体" w:cs="Times New Roman" w:hint="eastAsia"/>
          <w:sz w:val="28"/>
          <w:szCs w:val="28"/>
        </w:rPr>
        <w:t>第二章  口服药物的吸收</w:t>
      </w:r>
    </w:p>
    <w:p w14:paraId="3E5C8479"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【学习目标】</w:t>
      </w:r>
    </w:p>
    <w:p w14:paraId="7E52DCB0"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1.认知类目标：掌握影响口服药物吸收的因素和转运方式的特点</w:t>
      </w:r>
      <w:r w:rsidRPr="0036092D">
        <w:rPr>
          <w:rFonts w:ascii="宋体" w:eastAsia="宋体" w:hAnsi="宋体" w:cs="宋体" w:hint="eastAsia"/>
          <w:sz w:val="24"/>
          <w:szCs w:val="24"/>
        </w:rPr>
        <w:t>；</w:t>
      </w:r>
      <w:r w:rsidRPr="0036092D">
        <w:rPr>
          <w:rFonts w:ascii="宋体" w:eastAsia="宋体" w:hAnsi="宋体" w:cs="Times New Roman" w:hint="eastAsia"/>
          <w:sz w:val="24"/>
          <w:szCs w:val="24"/>
        </w:rPr>
        <w:t>了解药物吸收的制剂设计原则和依据，以及不同药物吸收途径的研究方法和技术；</w:t>
      </w:r>
    </w:p>
    <w:p w14:paraId="4BE94EC3"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2</w:t>
      </w:r>
      <w:r w:rsidRPr="0036092D">
        <w:rPr>
          <w:rFonts w:ascii="宋体" w:eastAsia="宋体" w:hAnsi="宋体" w:cs="Times New Roman"/>
          <w:sz w:val="24"/>
          <w:szCs w:val="24"/>
        </w:rPr>
        <w:t xml:space="preserve">. </w:t>
      </w:r>
      <w:r w:rsidRPr="0036092D">
        <w:rPr>
          <w:rFonts w:ascii="宋体" w:eastAsia="宋体" w:hAnsi="宋体" w:cs="Times New Roman" w:hint="eastAsia"/>
          <w:sz w:val="24"/>
          <w:szCs w:val="24"/>
        </w:rPr>
        <w:t>过程与方法类目标：通过查阅电子文献期刊，</w:t>
      </w:r>
      <w:r w:rsidRPr="0036092D">
        <w:rPr>
          <w:rFonts w:ascii="宋体" w:eastAsia="宋体" w:hAnsi="宋体" w:cs="宋体" w:hint="eastAsia"/>
          <w:sz w:val="24"/>
          <w:szCs w:val="24"/>
        </w:rPr>
        <w:t>了解口服药物吸收的研究技术；</w:t>
      </w:r>
    </w:p>
    <w:p w14:paraId="507F6E5F" w14:textId="77777777" w:rsidR="0036092D" w:rsidRPr="0036092D" w:rsidRDefault="0036092D" w:rsidP="0036092D">
      <w:pPr>
        <w:spacing w:line="440" w:lineRule="exact"/>
        <w:ind w:firstLineChars="200" w:firstLine="480"/>
        <w:rPr>
          <w:rFonts w:ascii="宋体" w:eastAsia="宋体" w:hAnsi="宋体" w:cs="Times New Roman"/>
          <w:b/>
          <w:sz w:val="24"/>
          <w:szCs w:val="24"/>
        </w:rPr>
      </w:pPr>
      <w:r w:rsidRPr="0036092D">
        <w:rPr>
          <w:rFonts w:ascii="宋体" w:eastAsia="宋体" w:hAnsi="宋体" w:cs="Times New Roman"/>
          <w:sz w:val="24"/>
          <w:szCs w:val="24"/>
        </w:rPr>
        <w:t xml:space="preserve">3. </w:t>
      </w:r>
      <w:r w:rsidRPr="0036092D">
        <w:rPr>
          <w:rFonts w:ascii="宋体" w:eastAsia="宋体" w:hAnsi="宋体" w:cs="Times New Roman" w:hint="eastAsia"/>
          <w:sz w:val="24"/>
          <w:szCs w:val="24"/>
        </w:rPr>
        <w:t>情感、态度、价值观类目标：通过专业理论的学习，了解</w:t>
      </w:r>
      <w:r w:rsidRPr="0036092D">
        <w:rPr>
          <w:rFonts w:ascii="宋体" w:eastAsia="宋体" w:hAnsi="宋体" w:cs="宋体" w:hint="eastAsia"/>
          <w:color w:val="000000"/>
          <w:spacing w:val="-1"/>
          <w:sz w:val="24"/>
          <w:szCs w:val="24"/>
        </w:rPr>
        <w:t>工业药剂师的职业性质和责任，在工程实践中能自觉遵</w:t>
      </w:r>
      <w:r w:rsidRPr="0036092D">
        <w:rPr>
          <w:rFonts w:ascii="宋体" w:eastAsia="宋体" w:hAnsi="宋体" w:cs="宋体" w:hint="eastAsia"/>
          <w:color w:val="000000"/>
          <w:sz w:val="24"/>
          <w:szCs w:val="24"/>
        </w:rPr>
        <w:t>守职业道德和规范，履行责任，具有法律意识</w:t>
      </w:r>
      <w:r w:rsidRPr="0036092D">
        <w:rPr>
          <w:rFonts w:ascii="Times New Roman" w:eastAsia="宋体" w:hAnsi="Times New Roman" w:cs="Times New Roman"/>
          <w:sz w:val="24"/>
          <w:szCs w:val="24"/>
        </w:rPr>
        <w:t>。</w:t>
      </w:r>
    </w:p>
    <w:p w14:paraId="43BA230E"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【学习内容】</w:t>
      </w:r>
    </w:p>
    <w:p w14:paraId="56DFA32E" w14:textId="77777777" w:rsidR="0036092D" w:rsidRPr="0036092D" w:rsidRDefault="0036092D" w:rsidP="0036092D">
      <w:pPr>
        <w:widowControl/>
        <w:spacing w:line="440" w:lineRule="exact"/>
        <w:ind w:leftChars="113" w:left="237" w:firstLineChars="99" w:firstLine="238"/>
        <w:jc w:val="left"/>
        <w:rPr>
          <w:rFonts w:ascii="Times New Roman" w:eastAsia="宋体" w:hAnsi="Times New Roman" w:cs="Times New Roman"/>
          <w:szCs w:val="24"/>
        </w:rPr>
      </w:pPr>
      <w:r w:rsidRPr="0036092D">
        <w:rPr>
          <w:rFonts w:ascii="宋体" w:eastAsia="宋体" w:hAnsi="宋体" w:cs="宋体" w:hint="eastAsia"/>
          <w:kern w:val="0"/>
          <w:sz w:val="24"/>
          <w:szCs w:val="24"/>
          <w:lang w:bidi="ar"/>
        </w:rPr>
        <w:t>1.药物的膜转运与胃肠道吸收</w:t>
      </w:r>
    </w:p>
    <w:p w14:paraId="5C840668" w14:textId="77777777" w:rsidR="0036092D" w:rsidRPr="0036092D" w:rsidRDefault="0036092D" w:rsidP="0036092D">
      <w:pPr>
        <w:widowControl/>
        <w:spacing w:line="440" w:lineRule="exact"/>
        <w:ind w:leftChars="113" w:left="237" w:firstLineChars="99" w:firstLine="238"/>
        <w:jc w:val="left"/>
        <w:rPr>
          <w:rFonts w:ascii="Times New Roman" w:eastAsia="宋体" w:hAnsi="Times New Roman" w:cs="Times New Roman"/>
          <w:szCs w:val="24"/>
        </w:rPr>
      </w:pPr>
      <w:r w:rsidRPr="0036092D">
        <w:rPr>
          <w:rFonts w:ascii="宋体" w:eastAsia="宋体" w:hAnsi="宋体" w:cs="宋体" w:hint="eastAsia"/>
          <w:kern w:val="0"/>
          <w:sz w:val="24"/>
          <w:szCs w:val="24"/>
          <w:lang w:bidi="ar"/>
        </w:rPr>
        <w:t>2.影响药物吸收的因素</w:t>
      </w:r>
    </w:p>
    <w:p w14:paraId="4FF6B6CC" w14:textId="77777777" w:rsidR="0036092D" w:rsidRPr="0036092D" w:rsidRDefault="0036092D" w:rsidP="0036092D">
      <w:pPr>
        <w:widowControl/>
        <w:spacing w:line="440" w:lineRule="exact"/>
        <w:ind w:leftChars="113" w:left="237" w:firstLineChars="99" w:firstLine="238"/>
        <w:jc w:val="left"/>
        <w:rPr>
          <w:rFonts w:ascii="Times New Roman" w:eastAsia="宋体" w:hAnsi="Times New Roman" w:cs="Times New Roman"/>
          <w:szCs w:val="24"/>
        </w:rPr>
      </w:pPr>
      <w:r w:rsidRPr="0036092D">
        <w:rPr>
          <w:rFonts w:ascii="宋体" w:eastAsia="宋体" w:hAnsi="宋体" w:cs="宋体" w:hint="eastAsia"/>
          <w:kern w:val="0"/>
          <w:sz w:val="24"/>
          <w:szCs w:val="24"/>
          <w:lang w:bidi="ar"/>
        </w:rPr>
        <w:t>3.口服药物吸收与制剂设计</w:t>
      </w:r>
    </w:p>
    <w:p w14:paraId="46CF82FB" w14:textId="77777777" w:rsidR="0036092D" w:rsidRPr="0036092D" w:rsidRDefault="0036092D" w:rsidP="0036092D">
      <w:pPr>
        <w:spacing w:line="440" w:lineRule="exact"/>
        <w:ind w:firstLineChars="200" w:firstLine="480"/>
        <w:rPr>
          <w:rFonts w:ascii="宋体" w:eastAsia="宋体" w:hAnsi="宋体" w:cs="Times New Roman"/>
          <w:b/>
          <w:sz w:val="24"/>
          <w:szCs w:val="24"/>
        </w:rPr>
      </w:pPr>
      <w:r w:rsidRPr="0036092D">
        <w:rPr>
          <w:rFonts w:ascii="宋体" w:eastAsia="宋体" w:hAnsi="宋体" w:cs="宋体" w:hint="eastAsia"/>
          <w:kern w:val="0"/>
          <w:sz w:val="24"/>
          <w:szCs w:val="24"/>
          <w:lang w:bidi="ar"/>
        </w:rPr>
        <w:t>4.口服药物吸收的研究方法与技术</w:t>
      </w:r>
    </w:p>
    <w:p w14:paraId="21E0ACFB"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【重点】 </w:t>
      </w:r>
    </w:p>
    <w:p w14:paraId="4358CBD6" w14:textId="77777777" w:rsidR="0036092D" w:rsidRPr="0036092D" w:rsidRDefault="0036092D" w:rsidP="0036092D">
      <w:pPr>
        <w:spacing w:line="400" w:lineRule="exact"/>
        <w:ind w:firstLineChars="200" w:firstLine="480"/>
        <w:rPr>
          <w:rFonts w:ascii="Times New Roman" w:eastAsia="宋体" w:hAnsi="Times New Roman" w:cs="Times New Roman"/>
          <w:szCs w:val="24"/>
        </w:rPr>
      </w:pPr>
      <w:r w:rsidRPr="0036092D">
        <w:rPr>
          <w:rFonts w:ascii="宋体" w:eastAsia="宋体" w:hAnsi="宋体" w:cs="Times New Roman" w:hint="eastAsia"/>
          <w:bCs/>
          <w:sz w:val="24"/>
          <w:szCs w:val="24"/>
        </w:rPr>
        <w:t>1.</w:t>
      </w:r>
      <w:r w:rsidRPr="0036092D">
        <w:rPr>
          <w:rFonts w:ascii="宋体" w:eastAsia="宋体" w:hAnsi="宋体" w:cs="Times New Roman" w:hint="eastAsia"/>
          <w:sz w:val="24"/>
          <w:szCs w:val="24"/>
        </w:rPr>
        <w:t>影响口服药物的吸收的因素</w:t>
      </w:r>
      <w:r w:rsidRPr="0036092D">
        <w:rPr>
          <w:rFonts w:ascii="Times New Roman" w:eastAsia="宋体" w:hAnsi="Times New Roman" w:cs="Times New Roman"/>
          <w:sz w:val="24"/>
          <w:szCs w:val="24"/>
        </w:rPr>
        <w:t>。</w:t>
      </w:r>
    </w:p>
    <w:p w14:paraId="4090A27D" w14:textId="77777777" w:rsidR="0036092D" w:rsidRPr="0036092D" w:rsidRDefault="0036092D" w:rsidP="0036092D">
      <w:pPr>
        <w:spacing w:line="400" w:lineRule="exact"/>
        <w:ind w:firstLineChars="200" w:firstLine="482"/>
        <w:rPr>
          <w:rFonts w:ascii="宋体" w:eastAsia="宋体" w:hAnsi="宋体" w:cs="Times New Roman"/>
          <w:bCs/>
          <w:sz w:val="24"/>
          <w:szCs w:val="24"/>
        </w:rPr>
      </w:pPr>
      <w:r w:rsidRPr="0036092D">
        <w:rPr>
          <w:rFonts w:ascii="宋体" w:eastAsia="宋体" w:hAnsi="宋体" w:cs="Times New Roman" w:hint="eastAsia"/>
          <w:b/>
          <w:sz w:val="24"/>
          <w:szCs w:val="24"/>
        </w:rPr>
        <w:t>【难点】</w:t>
      </w:r>
      <w:r w:rsidRPr="0036092D">
        <w:rPr>
          <w:rFonts w:ascii="宋体" w:eastAsia="宋体" w:hAnsi="宋体" w:cs="Times New Roman" w:hint="eastAsia"/>
          <w:bCs/>
          <w:sz w:val="24"/>
          <w:szCs w:val="24"/>
        </w:rPr>
        <w:t xml:space="preserve"> </w:t>
      </w:r>
    </w:p>
    <w:p w14:paraId="07B675C6" w14:textId="77777777" w:rsidR="0036092D" w:rsidRPr="0036092D" w:rsidRDefault="0036092D" w:rsidP="0036092D">
      <w:pPr>
        <w:spacing w:line="400" w:lineRule="exact"/>
        <w:ind w:firstLineChars="200" w:firstLine="480"/>
        <w:rPr>
          <w:rFonts w:ascii="Times New Roman" w:eastAsia="宋体" w:hAnsi="Times New Roman" w:cs="Times New Roman"/>
          <w:sz w:val="24"/>
          <w:szCs w:val="24"/>
        </w:rPr>
      </w:pPr>
      <w:r w:rsidRPr="0036092D">
        <w:rPr>
          <w:rFonts w:ascii="宋体" w:eastAsia="宋体" w:hAnsi="宋体" w:cs="Times New Roman" w:hint="eastAsia"/>
          <w:bCs/>
          <w:sz w:val="24"/>
          <w:szCs w:val="24"/>
        </w:rPr>
        <w:t>1.</w:t>
      </w:r>
      <w:r w:rsidRPr="0036092D">
        <w:rPr>
          <w:rFonts w:ascii="宋体" w:eastAsia="宋体" w:hAnsi="宋体" w:cs="Times New Roman" w:hint="eastAsia"/>
          <w:sz w:val="24"/>
          <w:szCs w:val="24"/>
        </w:rPr>
        <w:t>口服药物的制剂设计</w:t>
      </w:r>
      <w:r w:rsidRPr="0036092D">
        <w:rPr>
          <w:rFonts w:ascii="Times New Roman" w:eastAsia="宋体" w:hAnsi="Times New Roman" w:cs="Times New Roman"/>
          <w:sz w:val="24"/>
          <w:szCs w:val="24"/>
        </w:rPr>
        <w:t>。</w:t>
      </w:r>
    </w:p>
    <w:p w14:paraId="7DD0D0AB" w14:textId="77777777" w:rsidR="0036092D" w:rsidRPr="0036092D" w:rsidRDefault="0036092D" w:rsidP="0036092D">
      <w:pPr>
        <w:spacing w:line="400" w:lineRule="exact"/>
        <w:ind w:firstLineChars="200" w:firstLine="482"/>
        <w:rPr>
          <w:rFonts w:ascii="Times New Roman" w:eastAsia="宋体" w:hAnsi="Times New Roman" w:cs="Times New Roman"/>
          <w:sz w:val="24"/>
          <w:szCs w:val="24"/>
        </w:rPr>
      </w:pPr>
      <w:r w:rsidRPr="0036092D">
        <w:rPr>
          <w:rFonts w:ascii="宋体" w:eastAsia="宋体" w:hAnsi="宋体" w:cs="Times New Roman" w:hint="eastAsia"/>
          <w:b/>
          <w:bCs/>
          <w:sz w:val="24"/>
          <w:szCs w:val="24"/>
        </w:rPr>
        <w:t>【教学方法】</w:t>
      </w:r>
    </w:p>
    <w:p w14:paraId="4EE2229C"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5456A97D"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2. 采用课前学习课堂汇报的方法，通过安排学生提前预习，培养学生自主学习、独立思考的</w:t>
      </w:r>
      <w:proofErr w:type="gramStart"/>
      <w:r w:rsidRPr="0036092D">
        <w:rPr>
          <w:rFonts w:ascii="宋体" w:eastAsia="宋体" w:hAnsi="宋体" w:cs="宋体" w:hint="eastAsia"/>
          <w:sz w:val="24"/>
          <w:szCs w:val="24"/>
        </w:rPr>
        <w:t>的</w:t>
      </w:r>
      <w:proofErr w:type="gramEnd"/>
      <w:r w:rsidRPr="0036092D">
        <w:rPr>
          <w:rFonts w:ascii="宋体" w:eastAsia="宋体" w:hAnsi="宋体" w:cs="宋体" w:hint="eastAsia"/>
          <w:sz w:val="24"/>
          <w:szCs w:val="24"/>
        </w:rPr>
        <w:t>精神，强化学生对知识学习的应用意识，提升学生的教学技能。</w:t>
      </w:r>
    </w:p>
    <w:p w14:paraId="1BB1130E"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【复习思考】</w:t>
      </w:r>
    </w:p>
    <w:p w14:paraId="7334B01D" w14:textId="77777777" w:rsidR="0036092D" w:rsidRPr="0036092D" w:rsidRDefault="0036092D">
      <w:pPr>
        <w:numPr>
          <w:ilvl w:val="0"/>
          <w:numId w:val="161"/>
        </w:num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口服药物吸收的影响因素</w:t>
      </w:r>
    </w:p>
    <w:p w14:paraId="475532EF" w14:textId="77777777" w:rsidR="0036092D" w:rsidRPr="0036092D" w:rsidRDefault="0036092D">
      <w:pPr>
        <w:numPr>
          <w:ilvl w:val="0"/>
          <w:numId w:val="161"/>
        </w:numPr>
        <w:spacing w:line="440" w:lineRule="exact"/>
        <w:ind w:firstLineChars="200" w:firstLine="480"/>
        <w:rPr>
          <w:rFonts w:ascii="宋体" w:eastAsia="宋体" w:hAnsi="宋体" w:cs="宋体"/>
          <w:b/>
          <w:sz w:val="24"/>
          <w:szCs w:val="24"/>
        </w:rPr>
      </w:pPr>
      <w:r w:rsidRPr="0036092D">
        <w:rPr>
          <w:rFonts w:ascii="宋体" w:eastAsia="宋体" w:hAnsi="宋体" w:cs="宋体" w:hint="eastAsia"/>
          <w:sz w:val="24"/>
          <w:szCs w:val="24"/>
        </w:rPr>
        <w:t>BCS系统的分类依据</w:t>
      </w:r>
    </w:p>
    <w:p w14:paraId="2A8FD1F8" w14:textId="77777777" w:rsidR="0036092D" w:rsidRPr="0036092D" w:rsidRDefault="0036092D">
      <w:pPr>
        <w:numPr>
          <w:ilvl w:val="0"/>
          <w:numId w:val="161"/>
        </w:numPr>
        <w:spacing w:line="440" w:lineRule="exact"/>
        <w:ind w:firstLineChars="200" w:firstLine="480"/>
        <w:rPr>
          <w:rFonts w:ascii="宋体" w:eastAsia="宋体" w:hAnsi="宋体" w:cs="宋体"/>
          <w:bCs/>
          <w:sz w:val="24"/>
          <w:szCs w:val="24"/>
        </w:rPr>
      </w:pPr>
      <w:r w:rsidRPr="0036092D">
        <w:rPr>
          <w:rFonts w:ascii="宋体" w:eastAsia="宋体" w:hAnsi="宋体" w:cs="宋体" w:hint="eastAsia"/>
          <w:bCs/>
          <w:sz w:val="24"/>
          <w:szCs w:val="24"/>
        </w:rPr>
        <w:t>口服药物的制剂设计方案</w:t>
      </w:r>
    </w:p>
    <w:p w14:paraId="6A76D415" w14:textId="77777777" w:rsidR="0036092D" w:rsidRPr="0036092D" w:rsidRDefault="0036092D" w:rsidP="0036092D">
      <w:pPr>
        <w:spacing w:beforeLines="50" w:before="156" w:afterLines="50" w:after="156" w:line="440" w:lineRule="exact"/>
        <w:ind w:firstLineChars="200" w:firstLine="560"/>
        <w:jc w:val="center"/>
        <w:rPr>
          <w:rFonts w:ascii="黑体" w:eastAsia="黑体" w:hAnsi="黑体" w:cs="Times New Roman"/>
          <w:sz w:val="28"/>
          <w:szCs w:val="28"/>
        </w:rPr>
      </w:pPr>
      <w:r w:rsidRPr="0036092D">
        <w:rPr>
          <w:rFonts w:ascii="黑体" w:eastAsia="黑体" w:hAnsi="黑体" w:cs="Times New Roman" w:hint="eastAsia"/>
          <w:sz w:val="28"/>
          <w:szCs w:val="28"/>
        </w:rPr>
        <w:t>第三章  非口服药物的吸收</w:t>
      </w:r>
    </w:p>
    <w:p w14:paraId="6BB32449"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lastRenderedPageBreak/>
        <w:t>【学习目标】</w:t>
      </w:r>
    </w:p>
    <w:p w14:paraId="5283EB9F"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1.认知类目标：</w:t>
      </w:r>
      <w:r w:rsidRPr="0036092D">
        <w:rPr>
          <w:rFonts w:ascii="宋体" w:eastAsia="宋体" w:hAnsi="宋体" w:cs="宋体" w:hint="eastAsia"/>
          <w:sz w:val="24"/>
          <w:szCs w:val="24"/>
        </w:rPr>
        <w:t>掌握影响非口服药物吸收的因素和不同给药途径的药物吸收特点，了解不同药物吸收途径的研究方法和技术；</w:t>
      </w:r>
    </w:p>
    <w:p w14:paraId="29F30A34"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2</w:t>
      </w:r>
      <w:r w:rsidRPr="0036092D">
        <w:rPr>
          <w:rFonts w:ascii="宋体" w:eastAsia="宋体" w:hAnsi="宋体" w:cs="Times New Roman"/>
          <w:sz w:val="24"/>
          <w:szCs w:val="24"/>
        </w:rPr>
        <w:t xml:space="preserve">. </w:t>
      </w:r>
      <w:r w:rsidRPr="0036092D">
        <w:rPr>
          <w:rFonts w:ascii="宋体" w:eastAsia="宋体" w:hAnsi="宋体" w:cs="Times New Roman" w:hint="eastAsia"/>
          <w:sz w:val="24"/>
          <w:szCs w:val="24"/>
        </w:rPr>
        <w:t>过程与方法类目标：通过查阅电子文献期刊，</w:t>
      </w:r>
      <w:proofErr w:type="gramStart"/>
      <w:r w:rsidRPr="0036092D">
        <w:rPr>
          <w:rFonts w:ascii="宋体" w:eastAsia="宋体" w:hAnsi="宋体" w:cs="宋体" w:hint="eastAsia"/>
          <w:sz w:val="24"/>
          <w:szCs w:val="24"/>
        </w:rPr>
        <w:t>了解非</w:t>
      </w:r>
      <w:proofErr w:type="gramEnd"/>
      <w:r w:rsidRPr="0036092D">
        <w:rPr>
          <w:rFonts w:ascii="宋体" w:eastAsia="宋体" w:hAnsi="宋体" w:cs="宋体" w:hint="eastAsia"/>
          <w:sz w:val="24"/>
          <w:szCs w:val="24"/>
        </w:rPr>
        <w:t>口服给药的研究进展；</w:t>
      </w:r>
    </w:p>
    <w:p w14:paraId="6BDB45C1" w14:textId="77777777" w:rsidR="0036092D" w:rsidRPr="0036092D" w:rsidRDefault="0036092D" w:rsidP="0036092D">
      <w:pPr>
        <w:spacing w:line="440" w:lineRule="exact"/>
        <w:ind w:firstLineChars="200" w:firstLine="480"/>
        <w:rPr>
          <w:rFonts w:ascii="宋体" w:eastAsia="宋体" w:hAnsi="宋体" w:cs="Times New Roman"/>
          <w:b/>
          <w:sz w:val="24"/>
          <w:szCs w:val="24"/>
        </w:rPr>
      </w:pPr>
      <w:r w:rsidRPr="0036092D">
        <w:rPr>
          <w:rFonts w:ascii="宋体" w:eastAsia="宋体" w:hAnsi="宋体" w:cs="Times New Roman"/>
          <w:sz w:val="24"/>
          <w:szCs w:val="24"/>
        </w:rPr>
        <w:t xml:space="preserve">3. </w:t>
      </w:r>
      <w:r w:rsidRPr="0036092D">
        <w:rPr>
          <w:rFonts w:ascii="宋体" w:eastAsia="宋体" w:hAnsi="宋体" w:cs="Times New Roman" w:hint="eastAsia"/>
          <w:sz w:val="24"/>
          <w:szCs w:val="24"/>
        </w:rPr>
        <w:t>情感、态度、价值观类目标：通过专业理论的学习，了解</w:t>
      </w:r>
      <w:r w:rsidRPr="0036092D">
        <w:rPr>
          <w:rFonts w:ascii="宋体" w:eastAsia="宋体" w:hAnsi="宋体" w:cs="宋体" w:hint="eastAsia"/>
          <w:color w:val="000000"/>
          <w:spacing w:val="-1"/>
          <w:sz w:val="24"/>
          <w:szCs w:val="24"/>
        </w:rPr>
        <w:t>工业药剂师的职业性质和责任，在工程实践中能自觉遵</w:t>
      </w:r>
      <w:r w:rsidRPr="0036092D">
        <w:rPr>
          <w:rFonts w:ascii="宋体" w:eastAsia="宋体" w:hAnsi="宋体" w:cs="宋体" w:hint="eastAsia"/>
          <w:color w:val="000000"/>
          <w:sz w:val="24"/>
          <w:szCs w:val="24"/>
        </w:rPr>
        <w:t>守职业道德和规范，履行责任，具有法律意识</w:t>
      </w:r>
      <w:r w:rsidRPr="0036092D">
        <w:rPr>
          <w:rFonts w:ascii="Times New Roman" w:eastAsia="宋体" w:hAnsi="Times New Roman" w:cs="Times New Roman"/>
          <w:sz w:val="24"/>
          <w:szCs w:val="24"/>
        </w:rPr>
        <w:t>。</w:t>
      </w:r>
    </w:p>
    <w:p w14:paraId="560FE749"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【学习内容】</w:t>
      </w:r>
    </w:p>
    <w:p w14:paraId="3B28C432" w14:textId="77777777" w:rsidR="0036092D" w:rsidRPr="0036092D" w:rsidRDefault="0036092D" w:rsidP="0036092D">
      <w:pPr>
        <w:widowControl/>
        <w:spacing w:line="440" w:lineRule="exact"/>
        <w:ind w:leftChars="113" w:left="237" w:firstLineChars="99" w:firstLine="238"/>
        <w:jc w:val="left"/>
        <w:rPr>
          <w:rFonts w:ascii="Times New Roman" w:eastAsia="宋体" w:hAnsi="Times New Roman" w:cs="Times New Roman"/>
          <w:szCs w:val="24"/>
        </w:rPr>
      </w:pPr>
      <w:r w:rsidRPr="0036092D">
        <w:rPr>
          <w:rFonts w:ascii="宋体" w:eastAsia="宋体" w:hAnsi="宋体" w:cs="宋体" w:hint="eastAsia"/>
          <w:kern w:val="0"/>
          <w:sz w:val="24"/>
          <w:szCs w:val="24"/>
          <w:lang w:bidi="ar"/>
        </w:rPr>
        <w:t>1.注射给药</w:t>
      </w:r>
    </w:p>
    <w:p w14:paraId="25FB827D" w14:textId="77777777" w:rsidR="0036092D" w:rsidRPr="0036092D" w:rsidRDefault="0036092D" w:rsidP="0036092D">
      <w:pPr>
        <w:widowControl/>
        <w:spacing w:line="440" w:lineRule="exact"/>
        <w:ind w:firstLineChars="200" w:firstLine="480"/>
        <w:jc w:val="left"/>
        <w:rPr>
          <w:rFonts w:ascii="Times New Roman" w:eastAsia="宋体" w:hAnsi="Times New Roman" w:cs="Times New Roman"/>
          <w:szCs w:val="24"/>
        </w:rPr>
      </w:pPr>
      <w:r w:rsidRPr="0036092D">
        <w:rPr>
          <w:rFonts w:ascii="宋体" w:eastAsia="宋体" w:hAnsi="宋体" w:cs="宋体" w:hint="eastAsia"/>
          <w:kern w:val="0"/>
          <w:sz w:val="24"/>
          <w:szCs w:val="24"/>
          <w:lang w:bidi="ar"/>
        </w:rPr>
        <w:t>2.肺部给药</w:t>
      </w:r>
    </w:p>
    <w:p w14:paraId="3CC9C476" w14:textId="77777777" w:rsidR="0036092D" w:rsidRPr="0036092D" w:rsidRDefault="0036092D" w:rsidP="0036092D">
      <w:pPr>
        <w:widowControl/>
        <w:spacing w:line="440" w:lineRule="exact"/>
        <w:ind w:leftChars="113" w:left="237" w:firstLineChars="99" w:firstLine="238"/>
        <w:jc w:val="left"/>
        <w:rPr>
          <w:rFonts w:ascii="Times New Roman" w:eastAsia="宋体" w:hAnsi="Times New Roman" w:cs="Times New Roman"/>
          <w:szCs w:val="24"/>
        </w:rPr>
      </w:pPr>
      <w:r w:rsidRPr="0036092D">
        <w:rPr>
          <w:rFonts w:ascii="宋体" w:eastAsia="宋体" w:hAnsi="宋体" w:cs="宋体" w:hint="eastAsia"/>
          <w:kern w:val="0"/>
          <w:sz w:val="24"/>
          <w:szCs w:val="24"/>
          <w:lang w:bidi="ar"/>
        </w:rPr>
        <w:t>3.皮肤给药</w:t>
      </w:r>
    </w:p>
    <w:p w14:paraId="2382AE8C" w14:textId="77777777" w:rsidR="0036092D" w:rsidRPr="0036092D" w:rsidRDefault="0036092D" w:rsidP="0036092D">
      <w:pPr>
        <w:widowControl/>
        <w:spacing w:line="440" w:lineRule="exact"/>
        <w:ind w:leftChars="113" w:left="237" w:firstLineChars="99" w:firstLine="238"/>
        <w:jc w:val="left"/>
        <w:rPr>
          <w:rFonts w:ascii="Times New Roman" w:eastAsia="宋体" w:hAnsi="Times New Roman" w:cs="Times New Roman"/>
          <w:sz w:val="24"/>
          <w:szCs w:val="24"/>
        </w:rPr>
      </w:pPr>
      <w:r w:rsidRPr="0036092D">
        <w:rPr>
          <w:rFonts w:ascii="宋体" w:eastAsia="宋体" w:hAnsi="宋体" w:cs="宋体" w:hint="eastAsia"/>
          <w:kern w:val="0"/>
          <w:sz w:val="24"/>
          <w:szCs w:val="24"/>
          <w:lang w:bidi="ar"/>
        </w:rPr>
        <w:t>4.鼻腔给药</w:t>
      </w:r>
      <w:r w:rsidRPr="0036092D">
        <w:rPr>
          <w:rFonts w:ascii="Times New Roman" w:eastAsia="宋体" w:hAnsi="Times New Roman" w:cs="Times New Roman"/>
          <w:sz w:val="24"/>
          <w:szCs w:val="24"/>
        </w:rPr>
        <w:t xml:space="preserve"> </w:t>
      </w:r>
    </w:p>
    <w:p w14:paraId="676EF5DE" w14:textId="77777777" w:rsidR="0036092D" w:rsidRPr="0036092D" w:rsidRDefault="0036092D" w:rsidP="0036092D">
      <w:pPr>
        <w:widowControl/>
        <w:spacing w:line="440" w:lineRule="exact"/>
        <w:ind w:leftChars="113" w:left="237" w:firstLineChars="99" w:firstLine="238"/>
        <w:jc w:val="left"/>
        <w:rPr>
          <w:rFonts w:ascii="Times New Roman" w:eastAsia="宋体" w:hAnsi="Times New Roman" w:cs="Times New Roman"/>
          <w:szCs w:val="24"/>
        </w:rPr>
      </w:pPr>
      <w:r w:rsidRPr="0036092D">
        <w:rPr>
          <w:rFonts w:ascii="宋体" w:eastAsia="宋体" w:hAnsi="宋体" w:cs="宋体" w:hint="eastAsia"/>
          <w:kern w:val="0"/>
          <w:sz w:val="24"/>
          <w:szCs w:val="24"/>
          <w:lang w:bidi="ar"/>
        </w:rPr>
        <w:t>5.口腔黏膜给药</w:t>
      </w:r>
    </w:p>
    <w:p w14:paraId="26DB2AA7" w14:textId="77777777" w:rsidR="0036092D" w:rsidRPr="0036092D" w:rsidRDefault="0036092D" w:rsidP="0036092D">
      <w:pPr>
        <w:widowControl/>
        <w:spacing w:line="440" w:lineRule="exact"/>
        <w:ind w:leftChars="113" w:left="237" w:firstLineChars="99" w:firstLine="238"/>
        <w:jc w:val="left"/>
        <w:rPr>
          <w:rFonts w:ascii="Times New Roman" w:eastAsia="宋体" w:hAnsi="Times New Roman" w:cs="Times New Roman"/>
          <w:szCs w:val="24"/>
        </w:rPr>
      </w:pPr>
      <w:r w:rsidRPr="0036092D">
        <w:rPr>
          <w:rFonts w:ascii="宋体" w:eastAsia="宋体" w:hAnsi="宋体" w:cs="宋体" w:hint="eastAsia"/>
          <w:kern w:val="0"/>
          <w:sz w:val="24"/>
          <w:szCs w:val="24"/>
          <w:lang w:bidi="ar"/>
        </w:rPr>
        <w:t>6.直肠给药与阴道给药</w:t>
      </w:r>
    </w:p>
    <w:p w14:paraId="41001CD0" w14:textId="77777777" w:rsidR="0036092D" w:rsidRPr="0036092D" w:rsidRDefault="0036092D" w:rsidP="0036092D">
      <w:pPr>
        <w:widowControl/>
        <w:spacing w:line="440" w:lineRule="exact"/>
        <w:ind w:leftChars="113" w:left="237" w:firstLineChars="99" w:firstLine="238"/>
        <w:jc w:val="left"/>
        <w:rPr>
          <w:rFonts w:ascii="宋体" w:eastAsia="宋体" w:hAnsi="宋体" w:cs="Times New Roman"/>
          <w:b/>
          <w:sz w:val="24"/>
          <w:szCs w:val="24"/>
        </w:rPr>
      </w:pPr>
      <w:r w:rsidRPr="0036092D">
        <w:rPr>
          <w:rFonts w:ascii="宋体" w:eastAsia="宋体" w:hAnsi="宋体" w:cs="宋体" w:hint="eastAsia"/>
          <w:kern w:val="0"/>
          <w:sz w:val="24"/>
          <w:szCs w:val="24"/>
          <w:lang w:bidi="ar"/>
        </w:rPr>
        <w:t>7.眼部给药</w:t>
      </w:r>
    </w:p>
    <w:p w14:paraId="3C5E30BA"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【重点】 </w:t>
      </w:r>
    </w:p>
    <w:p w14:paraId="04802F42" w14:textId="77777777" w:rsidR="0036092D" w:rsidRPr="0036092D" w:rsidRDefault="0036092D" w:rsidP="0036092D">
      <w:pPr>
        <w:spacing w:line="440" w:lineRule="exact"/>
        <w:ind w:firstLineChars="200" w:firstLine="480"/>
        <w:rPr>
          <w:rFonts w:ascii="Times New Roman" w:eastAsia="宋体" w:hAnsi="Times New Roman" w:cs="Times New Roman"/>
          <w:szCs w:val="24"/>
        </w:rPr>
      </w:pPr>
      <w:r w:rsidRPr="0036092D">
        <w:rPr>
          <w:rFonts w:ascii="宋体" w:eastAsia="宋体" w:hAnsi="宋体" w:cs="Times New Roman" w:hint="eastAsia"/>
          <w:bCs/>
          <w:sz w:val="24"/>
          <w:szCs w:val="24"/>
        </w:rPr>
        <w:t>1.</w:t>
      </w:r>
      <w:r w:rsidRPr="0036092D">
        <w:rPr>
          <w:rFonts w:ascii="Times New Roman" w:eastAsia="宋体" w:hAnsi="宋体" w:cs="Times New Roman" w:hint="eastAsia"/>
          <w:sz w:val="24"/>
          <w:szCs w:val="24"/>
        </w:rPr>
        <w:t>不</w:t>
      </w:r>
      <w:proofErr w:type="gramStart"/>
      <w:r w:rsidRPr="0036092D">
        <w:rPr>
          <w:rFonts w:ascii="Times New Roman" w:eastAsia="宋体" w:hAnsi="宋体" w:cs="Times New Roman" w:hint="eastAsia"/>
          <w:sz w:val="24"/>
          <w:szCs w:val="24"/>
        </w:rPr>
        <w:t>同种非</w:t>
      </w:r>
      <w:proofErr w:type="gramEnd"/>
      <w:r w:rsidRPr="0036092D">
        <w:rPr>
          <w:rFonts w:ascii="Times New Roman" w:eastAsia="宋体" w:hAnsi="宋体" w:cs="Times New Roman" w:hint="eastAsia"/>
          <w:sz w:val="24"/>
          <w:szCs w:val="24"/>
        </w:rPr>
        <w:t>口服给药途径中，</w:t>
      </w:r>
      <w:r w:rsidRPr="0036092D">
        <w:rPr>
          <w:rFonts w:ascii="宋体" w:eastAsia="宋体" w:hAnsi="宋体" w:cs="Times New Roman" w:hint="eastAsia"/>
          <w:sz w:val="24"/>
          <w:szCs w:val="24"/>
        </w:rPr>
        <w:t>影响药物的吸收的因素</w:t>
      </w:r>
      <w:r w:rsidRPr="0036092D">
        <w:rPr>
          <w:rFonts w:ascii="Times New Roman" w:eastAsia="宋体" w:hAnsi="Times New Roman" w:cs="Times New Roman"/>
          <w:sz w:val="24"/>
          <w:szCs w:val="24"/>
        </w:rPr>
        <w:t>。</w:t>
      </w:r>
    </w:p>
    <w:p w14:paraId="44A1A8BB"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【难点】 </w:t>
      </w:r>
    </w:p>
    <w:p w14:paraId="08D2D8CA" w14:textId="77777777" w:rsidR="0036092D" w:rsidRPr="0036092D" w:rsidRDefault="0036092D" w:rsidP="0036092D">
      <w:pPr>
        <w:spacing w:line="440" w:lineRule="exact"/>
        <w:ind w:firstLineChars="200" w:firstLine="480"/>
        <w:rPr>
          <w:rFonts w:ascii="Times New Roman" w:eastAsia="宋体" w:hAnsi="Times New Roman" w:cs="Times New Roman"/>
          <w:sz w:val="24"/>
          <w:szCs w:val="24"/>
        </w:rPr>
      </w:pPr>
      <w:r w:rsidRPr="0036092D">
        <w:rPr>
          <w:rFonts w:ascii="宋体" w:eastAsia="宋体" w:hAnsi="宋体" w:cs="Times New Roman" w:hint="eastAsia"/>
          <w:bCs/>
          <w:sz w:val="24"/>
          <w:szCs w:val="24"/>
        </w:rPr>
        <w:t>1.</w:t>
      </w:r>
      <w:r w:rsidRPr="0036092D">
        <w:rPr>
          <w:rFonts w:ascii="Times New Roman" w:eastAsia="宋体" w:hAnsi="宋体" w:cs="Times New Roman" w:hint="eastAsia"/>
          <w:sz w:val="24"/>
          <w:szCs w:val="24"/>
        </w:rPr>
        <w:t>不</w:t>
      </w:r>
      <w:proofErr w:type="gramStart"/>
      <w:r w:rsidRPr="0036092D">
        <w:rPr>
          <w:rFonts w:ascii="Times New Roman" w:eastAsia="宋体" w:hAnsi="宋体" w:cs="Times New Roman" w:hint="eastAsia"/>
          <w:sz w:val="24"/>
          <w:szCs w:val="24"/>
        </w:rPr>
        <w:t>同种非</w:t>
      </w:r>
      <w:proofErr w:type="gramEnd"/>
      <w:r w:rsidRPr="0036092D">
        <w:rPr>
          <w:rFonts w:ascii="Times New Roman" w:eastAsia="宋体" w:hAnsi="宋体" w:cs="Times New Roman" w:hint="eastAsia"/>
          <w:sz w:val="24"/>
          <w:szCs w:val="24"/>
        </w:rPr>
        <w:t>口服给药途径中，</w:t>
      </w:r>
      <w:r w:rsidRPr="0036092D">
        <w:rPr>
          <w:rFonts w:ascii="宋体" w:eastAsia="宋体" w:hAnsi="宋体" w:cs="Times New Roman" w:hint="eastAsia"/>
          <w:sz w:val="24"/>
          <w:szCs w:val="24"/>
        </w:rPr>
        <w:t>影响药物的吸收的因素</w:t>
      </w:r>
      <w:r w:rsidRPr="0036092D">
        <w:rPr>
          <w:rFonts w:ascii="Times New Roman" w:eastAsia="宋体" w:hAnsi="Times New Roman" w:cs="Times New Roman"/>
          <w:sz w:val="24"/>
          <w:szCs w:val="24"/>
        </w:rPr>
        <w:t>。</w:t>
      </w:r>
    </w:p>
    <w:p w14:paraId="1BD38278" w14:textId="77777777" w:rsidR="0036092D" w:rsidRPr="0036092D" w:rsidRDefault="0036092D" w:rsidP="0036092D">
      <w:pPr>
        <w:spacing w:line="400" w:lineRule="exact"/>
        <w:ind w:firstLineChars="200" w:firstLine="482"/>
        <w:rPr>
          <w:rFonts w:ascii="Times New Roman" w:eastAsia="宋体" w:hAnsi="Times New Roman" w:cs="Times New Roman"/>
          <w:sz w:val="24"/>
          <w:szCs w:val="24"/>
        </w:rPr>
      </w:pPr>
      <w:r w:rsidRPr="0036092D">
        <w:rPr>
          <w:rFonts w:ascii="宋体" w:eastAsia="宋体" w:hAnsi="宋体" w:cs="Times New Roman" w:hint="eastAsia"/>
          <w:b/>
          <w:bCs/>
          <w:sz w:val="24"/>
          <w:szCs w:val="24"/>
        </w:rPr>
        <w:t>【教学方法】</w:t>
      </w:r>
    </w:p>
    <w:p w14:paraId="1C40FB34"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Times New Roman" w:hint="eastAsia"/>
          <w:sz w:val="24"/>
          <w:szCs w:val="24"/>
        </w:rPr>
        <w:t>1.通过多媒体</w:t>
      </w:r>
      <w:r w:rsidRPr="0036092D">
        <w:rPr>
          <w:rFonts w:ascii="宋体" w:eastAsia="宋体" w:hAnsi="宋体" w:cs="宋体" w:hint="eastAsia"/>
          <w:sz w:val="24"/>
          <w:szCs w:val="24"/>
        </w:rPr>
        <w:t>课件和传统教学相结合，阐明课程与教学基本原理，丰富学生课程与教学的基本知识结构，培养学生的职业规范；</w:t>
      </w:r>
    </w:p>
    <w:p w14:paraId="03F1C9EB"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2. 采用课前学习课堂汇报的方法，通过安排学生提前预习，培养学生自主学习、独立思考的</w:t>
      </w:r>
      <w:proofErr w:type="gramStart"/>
      <w:r w:rsidRPr="0036092D">
        <w:rPr>
          <w:rFonts w:ascii="宋体" w:eastAsia="宋体" w:hAnsi="宋体" w:cs="宋体" w:hint="eastAsia"/>
          <w:sz w:val="24"/>
          <w:szCs w:val="24"/>
        </w:rPr>
        <w:t>的</w:t>
      </w:r>
      <w:proofErr w:type="gramEnd"/>
      <w:r w:rsidRPr="0036092D">
        <w:rPr>
          <w:rFonts w:ascii="宋体" w:eastAsia="宋体" w:hAnsi="宋体" w:cs="宋体" w:hint="eastAsia"/>
          <w:sz w:val="24"/>
          <w:szCs w:val="24"/>
        </w:rPr>
        <w:t>精神，强化学生对知识学习的应用意识，提升学生的教学技能。</w:t>
      </w:r>
    </w:p>
    <w:p w14:paraId="6DDBEF8B"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【复习思考】</w:t>
      </w:r>
    </w:p>
    <w:p w14:paraId="2981AA06" w14:textId="77777777" w:rsidR="0036092D" w:rsidRPr="0036092D" w:rsidRDefault="0036092D">
      <w:pPr>
        <w:numPr>
          <w:ilvl w:val="0"/>
          <w:numId w:val="162"/>
        </w:num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非口服给药的途径</w:t>
      </w:r>
    </w:p>
    <w:p w14:paraId="6E646BD6" w14:textId="77777777" w:rsidR="0036092D" w:rsidRPr="0036092D" w:rsidRDefault="0036092D">
      <w:pPr>
        <w:numPr>
          <w:ilvl w:val="0"/>
          <w:numId w:val="162"/>
        </w:num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人体内的首过效应</w:t>
      </w:r>
    </w:p>
    <w:p w14:paraId="1D89F1C5" w14:textId="77777777" w:rsidR="0036092D" w:rsidRPr="0036092D" w:rsidRDefault="0036092D">
      <w:pPr>
        <w:numPr>
          <w:ilvl w:val="0"/>
          <w:numId w:val="162"/>
        </w:num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不同给药途径中的影响因素</w:t>
      </w:r>
    </w:p>
    <w:p w14:paraId="500CE450" w14:textId="77777777" w:rsidR="0036092D" w:rsidRPr="0036092D" w:rsidRDefault="0036092D" w:rsidP="0036092D">
      <w:pPr>
        <w:spacing w:beforeLines="50" w:before="156" w:afterLines="50" w:after="156" w:line="440" w:lineRule="exact"/>
        <w:ind w:firstLineChars="200" w:firstLine="560"/>
        <w:jc w:val="center"/>
        <w:rPr>
          <w:rFonts w:ascii="黑体" w:eastAsia="黑体" w:hAnsi="黑体" w:cs="Times New Roman"/>
          <w:sz w:val="28"/>
          <w:szCs w:val="28"/>
        </w:rPr>
      </w:pPr>
      <w:r w:rsidRPr="0036092D">
        <w:rPr>
          <w:rFonts w:ascii="黑体" w:eastAsia="黑体" w:hAnsi="黑体" w:cs="Times New Roman" w:hint="eastAsia"/>
          <w:sz w:val="28"/>
          <w:szCs w:val="28"/>
        </w:rPr>
        <w:t>第四章  药物的分布</w:t>
      </w:r>
    </w:p>
    <w:p w14:paraId="199FB16C"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【学习目标】</w:t>
      </w:r>
    </w:p>
    <w:p w14:paraId="1E664657"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1.认知类目标：</w:t>
      </w:r>
      <w:r w:rsidRPr="0036092D">
        <w:rPr>
          <w:rFonts w:ascii="宋体" w:eastAsia="宋体" w:hAnsi="宋体" w:cs="宋体" w:hint="eastAsia"/>
          <w:sz w:val="24"/>
          <w:szCs w:val="24"/>
        </w:rPr>
        <w:t>了解药物分布的特点和影响因素；</w:t>
      </w:r>
    </w:p>
    <w:p w14:paraId="54A543BB"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2</w:t>
      </w:r>
      <w:r w:rsidRPr="0036092D">
        <w:rPr>
          <w:rFonts w:ascii="宋体" w:eastAsia="宋体" w:hAnsi="宋体" w:cs="Times New Roman"/>
          <w:sz w:val="24"/>
          <w:szCs w:val="24"/>
        </w:rPr>
        <w:t xml:space="preserve">. </w:t>
      </w:r>
      <w:r w:rsidRPr="0036092D">
        <w:rPr>
          <w:rFonts w:ascii="宋体" w:eastAsia="宋体" w:hAnsi="宋体" w:cs="Times New Roman" w:hint="eastAsia"/>
          <w:sz w:val="24"/>
          <w:szCs w:val="24"/>
        </w:rPr>
        <w:t>过程与方法类目标：通过查阅电子文献期刊，</w:t>
      </w:r>
      <w:r w:rsidRPr="0036092D">
        <w:rPr>
          <w:rFonts w:ascii="宋体" w:eastAsia="宋体" w:hAnsi="宋体" w:cs="宋体" w:hint="eastAsia"/>
          <w:sz w:val="24"/>
          <w:szCs w:val="24"/>
        </w:rPr>
        <w:t>了解临床药物设计和分布之间</w:t>
      </w:r>
      <w:r w:rsidRPr="0036092D">
        <w:rPr>
          <w:rFonts w:ascii="宋体" w:eastAsia="宋体" w:hAnsi="宋体" w:cs="宋体" w:hint="eastAsia"/>
          <w:sz w:val="24"/>
          <w:szCs w:val="24"/>
        </w:rPr>
        <w:lastRenderedPageBreak/>
        <w:t>的关系；</w:t>
      </w:r>
    </w:p>
    <w:p w14:paraId="63244BC0" w14:textId="77777777" w:rsidR="0036092D" w:rsidRPr="0036092D" w:rsidRDefault="0036092D" w:rsidP="0036092D">
      <w:pPr>
        <w:spacing w:line="440" w:lineRule="exact"/>
        <w:ind w:firstLineChars="200" w:firstLine="480"/>
        <w:rPr>
          <w:rFonts w:ascii="宋体" w:eastAsia="宋体" w:hAnsi="宋体" w:cs="Times New Roman"/>
          <w:b/>
          <w:sz w:val="24"/>
          <w:szCs w:val="24"/>
        </w:rPr>
      </w:pPr>
      <w:r w:rsidRPr="0036092D">
        <w:rPr>
          <w:rFonts w:ascii="宋体" w:eastAsia="宋体" w:hAnsi="宋体" w:cs="Times New Roman"/>
          <w:sz w:val="24"/>
          <w:szCs w:val="24"/>
        </w:rPr>
        <w:t xml:space="preserve">3. </w:t>
      </w:r>
      <w:r w:rsidRPr="0036092D">
        <w:rPr>
          <w:rFonts w:ascii="宋体" w:eastAsia="宋体" w:hAnsi="宋体" w:cs="Times New Roman" w:hint="eastAsia"/>
          <w:sz w:val="24"/>
          <w:szCs w:val="24"/>
        </w:rPr>
        <w:t>情感、态度、价值观类目标：通过专业理论的学习，了解</w:t>
      </w:r>
      <w:r w:rsidRPr="0036092D">
        <w:rPr>
          <w:rFonts w:ascii="宋体" w:eastAsia="宋体" w:hAnsi="宋体" w:cs="宋体" w:hint="eastAsia"/>
          <w:color w:val="000000"/>
          <w:spacing w:val="-1"/>
          <w:sz w:val="24"/>
          <w:szCs w:val="24"/>
        </w:rPr>
        <w:t>工业药剂师的职业性质和责任，在工程实践中能自觉遵</w:t>
      </w:r>
      <w:r w:rsidRPr="0036092D">
        <w:rPr>
          <w:rFonts w:ascii="宋体" w:eastAsia="宋体" w:hAnsi="宋体" w:cs="宋体" w:hint="eastAsia"/>
          <w:color w:val="000000"/>
          <w:sz w:val="24"/>
          <w:szCs w:val="24"/>
        </w:rPr>
        <w:t>守职业道德和规范，履行责任，具有法律意识</w:t>
      </w:r>
      <w:r w:rsidRPr="0036092D">
        <w:rPr>
          <w:rFonts w:ascii="Times New Roman" w:eastAsia="宋体" w:hAnsi="Times New Roman" w:cs="Times New Roman"/>
          <w:sz w:val="24"/>
          <w:szCs w:val="24"/>
        </w:rPr>
        <w:t>。</w:t>
      </w:r>
    </w:p>
    <w:p w14:paraId="027AF765"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【学习内容】</w:t>
      </w:r>
    </w:p>
    <w:p w14:paraId="42718DB8" w14:textId="77777777" w:rsidR="0036092D" w:rsidRPr="0036092D" w:rsidRDefault="0036092D">
      <w:pPr>
        <w:numPr>
          <w:ilvl w:val="0"/>
          <w:numId w:val="163"/>
        </w:numPr>
        <w:spacing w:line="440" w:lineRule="exact"/>
        <w:ind w:firstLineChars="200" w:firstLine="480"/>
        <w:jc w:val="left"/>
        <w:rPr>
          <w:rFonts w:ascii="宋体" w:eastAsia="宋体" w:hAnsi="宋体" w:cs="宋体"/>
          <w:color w:val="000000"/>
          <w:sz w:val="24"/>
          <w:szCs w:val="24"/>
        </w:rPr>
      </w:pPr>
      <w:r w:rsidRPr="0036092D">
        <w:rPr>
          <w:rFonts w:ascii="宋体" w:eastAsia="宋体" w:hAnsi="宋体" w:cs="宋体" w:hint="eastAsia"/>
          <w:color w:val="000000"/>
          <w:sz w:val="24"/>
          <w:szCs w:val="24"/>
        </w:rPr>
        <w:t>概述</w:t>
      </w:r>
    </w:p>
    <w:p w14:paraId="1956B63F"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 xml:space="preserve">2. </w:t>
      </w:r>
      <w:r w:rsidRPr="0036092D">
        <w:rPr>
          <w:rFonts w:ascii="宋体" w:eastAsia="宋体" w:hAnsi="宋体" w:cs="宋体" w:hint="eastAsia"/>
          <w:sz w:val="24"/>
          <w:szCs w:val="24"/>
        </w:rPr>
        <w:t>影响分布的因素</w:t>
      </w:r>
    </w:p>
    <w:p w14:paraId="2E9A56AB"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sz w:val="24"/>
          <w:szCs w:val="24"/>
        </w:rPr>
        <w:t>3. 药物的淋巴系统转运</w:t>
      </w:r>
    </w:p>
    <w:p w14:paraId="71FBB868"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4. 药物的脑分布</w:t>
      </w:r>
    </w:p>
    <w:p w14:paraId="60DE6943"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color w:val="000000"/>
          <w:sz w:val="24"/>
          <w:szCs w:val="24"/>
        </w:rPr>
        <w:t xml:space="preserve">5. </w:t>
      </w:r>
      <w:r w:rsidRPr="0036092D">
        <w:rPr>
          <w:rFonts w:ascii="宋体" w:eastAsia="宋体" w:hAnsi="宋体" w:cs="宋体" w:hint="eastAsia"/>
          <w:sz w:val="24"/>
          <w:szCs w:val="24"/>
        </w:rPr>
        <w:t>药物在红细胞内的分布</w:t>
      </w:r>
    </w:p>
    <w:p w14:paraId="4F79165E"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6. 药物在胎儿内分布</w:t>
      </w:r>
    </w:p>
    <w:p w14:paraId="735BE49E"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7. 药物的脂肪组织分布</w:t>
      </w:r>
    </w:p>
    <w:p w14:paraId="275E84C0" w14:textId="77777777" w:rsidR="0036092D" w:rsidRPr="0036092D" w:rsidRDefault="0036092D" w:rsidP="0036092D">
      <w:pPr>
        <w:spacing w:line="440" w:lineRule="exact"/>
        <w:ind w:firstLineChars="200" w:firstLine="480"/>
        <w:rPr>
          <w:rFonts w:ascii="宋体" w:eastAsia="宋体" w:hAnsi="宋体" w:cs="宋体"/>
          <w:b/>
          <w:sz w:val="24"/>
          <w:szCs w:val="24"/>
        </w:rPr>
      </w:pPr>
      <w:r w:rsidRPr="0036092D">
        <w:rPr>
          <w:rFonts w:ascii="宋体" w:eastAsia="宋体" w:hAnsi="宋体" w:cs="宋体" w:hint="eastAsia"/>
          <w:sz w:val="24"/>
          <w:szCs w:val="24"/>
        </w:rPr>
        <w:t>8. 药物的体内分布与制剂设计</w:t>
      </w:r>
    </w:p>
    <w:p w14:paraId="70177D42"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【重点】 </w:t>
      </w:r>
    </w:p>
    <w:p w14:paraId="502D4011" w14:textId="77777777" w:rsidR="0036092D" w:rsidRPr="0036092D" w:rsidRDefault="0036092D" w:rsidP="0036092D">
      <w:pPr>
        <w:spacing w:line="440" w:lineRule="exact"/>
        <w:ind w:firstLineChars="200" w:firstLine="480"/>
        <w:rPr>
          <w:rFonts w:ascii="Times New Roman" w:eastAsia="宋体" w:hAnsi="Times New Roman" w:cs="Times New Roman"/>
          <w:szCs w:val="24"/>
        </w:rPr>
      </w:pPr>
      <w:r w:rsidRPr="0036092D">
        <w:rPr>
          <w:rFonts w:ascii="宋体" w:eastAsia="宋体" w:hAnsi="宋体" w:cs="Times New Roman" w:hint="eastAsia"/>
          <w:bCs/>
          <w:sz w:val="24"/>
          <w:szCs w:val="24"/>
        </w:rPr>
        <w:t>1.</w:t>
      </w:r>
      <w:r w:rsidRPr="0036092D">
        <w:rPr>
          <w:rFonts w:ascii="宋体" w:eastAsia="宋体" w:hAnsi="宋体" w:cs="Times New Roman" w:hint="eastAsia"/>
          <w:sz w:val="24"/>
          <w:szCs w:val="24"/>
        </w:rPr>
        <w:t>药物分布的概念以及不同组织中分布的特点</w:t>
      </w:r>
      <w:r w:rsidRPr="0036092D">
        <w:rPr>
          <w:rFonts w:ascii="Times New Roman" w:eastAsia="宋体" w:hAnsi="Times New Roman" w:cs="Times New Roman"/>
          <w:sz w:val="24"/>
          <w:szCs w:val="24"/>
        </w:rPr>
        <w:t>。</w:t>
      </w:r>
    </w:p>
    <w:p w14:paraId="72FFA603"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【难点】 </w:t>
      </w:r>
    </w:p>
    <w:p w14:paraId="5490B920" w14:textId="77777777" w:rsidR="0036092D" w:rsidRPr="0036092D" w:rsidRDefault="0036092D" w:rsidP="0036092D">
      <w:pPr>
        <w:spacing w:line="440" w:lineRule="exact"/>
        <w:ind w:firstLineChars="200" w:firstLine="480"/>
        <w:rPr>
          <w:rFonts w:ascii="Times New Roman" w:eastAsia="宋体" w:hAnsi="Times New Roman" w:cs="Times New Roman"/>
          <w:sz w:val="24"/>
          <w:szCs w:val="24"/>
        </w:rPr>
      </w:pPr>
      <w:r w:rsidRPr="0036092D">
        <w:rPr>
          <w:rFonts w:ascii="宋体" w:eastAsia="宋体" w:hAnsi="宋体" w:cs="Times New Roman" w:hint="eastAsia"/>
          <w:bCs/>
          <w:sz w:val="24"/>
          <w:szCs w:val="24"/>
        </w:rPr>
        <w:t>1.</w:t>
      </w:r>
      <w:r w:rsidRPr="0036092D">
        <w:rPr>
          <w:rFonts w:ascii="宋体" w:eastAsia="宋体" w:hAnsi="宋体" w:cs="Times New Roman" w:hint="eastAsia"/>
          <w:sz w:val="24"/>
          <w:szCs w:val="24"/>
        </w:rPr>
        <w:t>药物的体内分布与制剂设计</w:t>
      </w:r>
      <w:r w:rsidRPr="0036092D">
        <w:rPr>
          <w:rFonts w:ascii="Times New Roman" w:eastAsia="宋体" w:hAnsi="Times New Roman" w:cs="Times New Roman"/>
          <w:sz w:val="24"/>
          <w:szCs w:val="24"/>
        </w:rPr>
        <w:t>。</w:t>
      </w:r>
    </w:p>
    <w:p w14:paraId="4F1ADA2A" w14:textId="77777777" w:rsidR="0036092D" w:rsidRPr="0036092D" w:rsidRDefault="0036092D" w:rsidP="0036092D">
      <w:pPr>
        <w:spacing w:line="440" w:lineRule="exact"/>
        <w:ind w:firstLineChars="200" w:firstLine="482"/>
        <w:rPr>
          <w:rFonts w:ascii="Times New Roman" w:eastAsia="宋体" w:hAnsi="Times New Roman" w:cs="Times New Roman"/>
          <w:sz w:val="24"/>
          <w:szCs w:val="24"/>
        </w:rPr>
      </w:pPr>
      <w:r w:rsidRPr="0036092D">
        <w:rPr>
          <w:rFonts w:ascii="宋体" w:eastAsia="宋体" w:hAnsi="宋体" w:cs="Times New Roman" w:hint="eastAsia"/>
          <w:b/>
          <w:bCs/>
          <w:sz w:val="24"/>
          <w:szCs w:val="24"/>
        </w:rPr>
        <w:t>【教学方法】</w:t>
      </w:r>
    </w:p>
    <w:p w14:paraId="5430596B"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5DE347BE"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2. 采用课前学习课堂汇报的方法，通过安排学生提前预习，培养学生自主学习、独立思考的</w:t>
      </w:r>
      <w:proofErr w:type="gramStart"/>
      <w:r w:rsidRPr="0036092D">
        <w:rPr>
          <w:rFonts w:ascii="宋体" w:eastAsia="宋体" w:hAnsi="宋体" w:cs="宋体" w:hint="eastAsia"/>
          <w:sz w:val="24"/>
          <w:szCs w:val="24"/>
        </w:rPr>
        <w:t>的</w:t>
      </w:r>
      <w:proofErr w:type="gramEnd"/>
      <w:r w:rsidRPr="0036092D">
        <w:rPr>
          <w:rFonts w:ascii="宋体" w:eastAsia="宋体" w:hAnsi="宋体" w:cs="宋体" w:hint="eastAsia"/>
          <w:sz w:val="24"/>
          <w:szCs w:val="24"/>
        </w:rPr>
        <w:t>精神，强化学生对知识学习的应用意识，提升学生的教学技能。</w:t>
      </w:r>
    </w:p>
    <w:p w14:paraId="7344371C"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【复习思考】</w:t>
      </w:r>
    </w:p>
    <w:p w14:paraId="1B032D60" w14:textId="77777777" w:rsidR="0036092D" w:rsidRPr="0036092D" w:rsidRDefault="0036092D">
      <w:pPr>
        <w:numPr>
          <w:ilvl w:val="0"/>
          <w:numId w:val="164"/>
        </w:num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影响分布的因素</w:t>
      </w:r>
    </w:p>
    <w:p w14:paraId="63F08D9F" w14:textId="77777777" w:rsidR="0036092D" w:rsidRPr="0036092D" w:rsidRDefault="0036092D">
      <w:pPr>
        <w:numPr>
          <w:ilvl w:val="0"/>
          <w:numId w:val="164"/>
        </w:num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药物的分布形式</w:t>
      </w:r>
    </w:p>
    <w:p w14:paraId="1E75ED1F" w14:textId="77777777" w:rsidR="0036092D" w:rsidRPr="0036092D" w:rsidRDefault="0036092D">
      <w:pPr>
        <w:numPr>
          <w:ilvl w:val="0"/>
          <w:numId w:val="164"/>
        </w:num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药物的制剂设计</w:t>
      </w:r>
    </w:p>
    <w:p w14:paraId="2D16885E" w14:textId="77777777" w:rsidR="0036092D" w:rsidRPr="0036092D" w:rsidRDefault="0036092D" w:rsidP="0036092D">
      <w:pPr>
        <w:spacing w:beforeLines="50" w:before="156" w:afterLines="50" w:after="156" w:line="440" w:lineRule="exact"/>
        <w:ind w:firstLineChars="200" w:firstLine="560"/>
        <w:jc w:val="center"/>
        <w:rPr>
          <w:rFonts w:ascii="黑体" w:eastAsia="黑体" w:hAnsi="黑体" w:cs="Times New Roman"/>
          <w:sz w:val="28"/>
          <w:szCs w:val="28"/>
        </w:rPr>
      </w:pPr>
      <w:r w:rsidRPr="0036092D">
        <w:rPr>
          <w:rFonts w:ascii="黑体" w:eastAsia="黑体" w:hAnsi="黑体" w:cs="Times New Roman" w:hint="eastAsia"/>
          <w:sz w:val="28"/>
          <w:szCs w:val="28"/>
        </w:rPr>
        <w:t>第五章  药物的代谢</w:t>
      </w:r>
    </w:p>
    <w:p w14:paraId="547A4A46"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【学习目标】</w:t>
      </w:r>
    </w:p>
    <w:p w14:paraId="72804E3F"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1.认知类目标：</w:t>
      </w:r>
      <w:r w:rsidRPr="0036092D">
        <w:rPr>
          <w:rFonts w:ascii="宋体" w:eastAsia="宋体" w:hAnsi="宋体" w:cs="宋体" w:hint="eastAsia"/>
          <w:bCs/>
          <w:color w:val="000000"/>
          <w:sz w:val="24"/>
          <w:szCs w:val="24"/>
          <w:lang w:val="zh-CN"/>
        </w:rPr>
        <w:t>了解药物代谢的基本概念，熟悉药物代谢酶在人体内的主要分布和其作用机理，掌握影响药物代谢的主要因素和研究方法</w:t>
      </w:r>
      <w:r w:rsidRPr="0036092D">
        <w:rPr>
          <w:rFonts w:ascii="宋体" w:eastAsia="宋体" w:hAnsi="宋体" w:cs="宋体" w:hint="eastAsia"/>
          <w:sz w:val="24"/>
          <w:szCs w:val="24"/>
        </w:rPr>
        <w:t>；</w:t>
      </w:r>
    </w:p>
    <w:p w14:paraId="3F46B987"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2</w:t>
      </w:r>
      <w:r w:rsidRPr="0036092D">
        <w:rPr>
          <w:rFonts w:ascii="宋体" w:eastAsia="宋体" w:hAnsi="宋体" w:cs="Times New Roman"/>
          <w:sz w:val="24"/>
          <w:szCs w:val="24"/>
        </w:rPr>
        <w:t xml:space="preserve">. </w:t>
      </w:r>
      <w:r w:rsidRPr="0036092D">
        <w:rPr>
          <w:rFonts w:ascii="宋体" w:eastAsia="宋体" w:hAnsi="宋体" w:cs="Times New Roman" w:hint="eastAsia"/>
          <w:sz w:val="24"/>
          <w:szCs w:val="24"/>
        </w:rPr>
        <w:t>过程与方法类目标：通过查阅电子文献期刊，</w:t>
      </w:r>
      <w:r w:rsidRPr="0036092D">
        <w:rPr>
          <w:rFonts w:ascii="宋体" w:eastAsia="宋体" w:hAnsi="宋体" w:cs="宋体" w:hint="eastAsia"/>
          <w:sz w:val="24"/>
          <w:szCs w:val="24"/>
        </w:rPr>
        <w:t>了解药物代谢的临床意义；</w:t>
      </w:r>
    </w:p>
    <w:p w14:paraId="17484697" w14:textId="77777777" w:rsidR="0036092D" w:rsidRPr="0036092D" w:rsidRDefault="0036092D" w:rsidP="0036092D">
      <w:pPr>
        <w:spacing w:line="440" w:lineRule="exact"/>
        <w:ind w:firstLineChars="200" w:firstLine="480"/>
        <w:rPr>
          <w:rFonts w:ascii="宋体" w:eastAsia="宋体" w:hAnsi="宋体" w:cs="Times New Roman"/>
          <w:b/>
          <w:sz w:val="24"/>
          <w:szCs w:val="24"/>
        </w:rPr>
      </w:pPr>
      <w:r w:rsidRPr="0036092D">
        <w:rPr>
          <w:rFonts w:ascii="宋体" w:eastAsia="宋体" w:hAnsi="宋体" w:cs="Times New Roman"/>
          <w:sz w:val="24"/>
          <w:szCs w:val="24"/>
        </w:rPr>
        <w:t xml:space="preserve">3. </w:t>
      </w:r>
      <w:r w:rsidRPr="0036092D">
        <w:rPr>
          <w:rFonts w:ascii="宋体" w:eastAsia="宋体" w:hAnsi="宋体" w:cs="Times New Roman" w:hint="eastAsia"/>
          <w:sz w:val="24"/>
          <w:szCs w:val="24"/>
        </w:rPr>
        <w:t>情感、态度、价值观类目标：通过专业理论的学习，了解</w:t>
      </w:r>
      <w:r w:rsidRPr="0036092D">
        <w:rPr>
          <w:rFonts w:ascii="宋体" w:eastAsia="宋体" w:hAnsi="宋体" w:cs="宋体" w:hint="eastAsia"/>
          <w:color w:val="000000"/>
          <w:spacing w:val="-1"/>
          <w:sz w:val="24"/>
          <w:szCs w:val="24"/>
        </w:rPr>
        <w:t>工业药剂师的职业</w:t>
      </w:r>
      <w:r w:rsidRPr="0036092D">
        <w:rPr>
          <w:rFonts w:ascii="宋体" w:eastAsia="宋体" w:hAnsi="宋体" w:cs="宋体" w:hint="eastAsia"/>
          <w:color w:val="000000"/>
          <w:spacing w:val="-1"/>
          <w:sz w:val="24"/>
          <w:szCs w:val="24"/>
        </w:rPr>
        <w:lastRenderedPageBreak/>
        <w:t>性质和责任，在工程实践中能自觉遵</w:t>
      </w:r>
      <w:r w:rsidRPr="0036092D">
        <w:rPr>
          <w:rFonts w:ascii="宋体" w:eastAsia="宋体" w:hAnsi="宋体" w:cs="宋体" w:hint="eastAsia"/>
          <w:color w:val="000000"/>
          <w:sz w:val="24"/>
          <w:szCs w:val="24"/>
        </w:rPr>
        <w:t>守职业道德和规范，履行责任，具有法律意识</w:t>
      </w:r>
      <w:r w:rsidRPr="0036092D">
        <w:rPr>
          <w:rFonts w:ascii="Times New Roman" w:eastAsia="宋体" w:hAnsi="Times New Roman" w:cs="Times New Roman"/>
          <w:sz w:val="24"/>
          <w:szCs w:val="24"/>
        </w:rPr>
        <w:t>。</w:t>
      </w:r>
    </w:p>
    <w:p w14:paraId="4AC8BA77"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【学习内容】</w:t>
      </w:r>
    </w:p>
    <w:p w14:paraId="11A63622" w14:textId="77777777" w:rsidR="0036092D" w:rsidRPr="0036092D" w:rsidRDefault="0036092D">
      <w:pPr>
        <w:numPr>
          <w:ilvl w:val="0"/>
          <w:numId w:val="165"/>
        </w:num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概述</w:t>
      </w:r>
    </w:p>
    <w:p w14:paraId="30777418" w14:textId="77777777" w:rsidR="0036092D" w:rsidRPr="0036092D" w:rsidRDefault="0036092D">
      <w:pPr>
        <w:numPr>
          <w:ilvl w:val="0"/>
          <w:numId w:val="165"/>
        </w:num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药物代谢酶与其组织分布</w:t>
      </w:r>
    </w:p>
    <w:p w14:paraId="71AD89F8"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sz w:val="24"/>
          <w:szCs w:val="24"/>
        </w:rPr>
        <w:t>3. 药物代谢反应的类型</w:t>
      </w:r>
    </w:p>
    <w:p w14:paraId="2992D359"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sz w:val="24"/>
          <w:szCs w:val="24"/>
        </w:rPr>
        <w:t>4. 影响药物代谢的因素</w:t>
      </w:r>
    </w:p>
    <w:p w14:paraId="00C2D8AC"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sz w:val="24"/>
          <w:szCs w:val="24"/>
        </w:rPr>
        <w:t>5. 药物代谢的研究方法</w:t>
      </w:r>
    </w:p>
    <w:p w14:paraId="4DFF0212"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【重点】 </w:t>
      </w:r>
    </w:p>
    <w:p w14:paraId="4AFF403C" w14:textId="77777777" w:rsidR="0036092D" w:rsidRPr="0036092D" w:rsidRDefault="0036092D" w:rsidP="0036092D">
      <w:pPr>
        <w:spacing w:line="440" w:lineRule="exact"/>
        <w:ind w:firstLineChars="200" w:firstLine="480"/>
        <w:rPr>
          <w:rFonts w:ascii="Times New Roman" w:eastAsia="宋体" w:hAnsi="Times New Roman" w:cs="Times New Roman"/>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color w:val="000000"/>
          <w:sz w:val="24"/>
          <w:szCs w:val="24"/>
          <w:lang w:val="zh-CN"/>
        </w:rPr>
        <w:t>药物代谢酶的主要作用机理和影响因素</w:t>
      </w:r>
      <w:r w:rsidRPr="0036092D">
        <w:rPr>
          <w:rFonts w:ascii="Times New Roman" w:eastAsia="宋体" w:hAnsi="Times New Roman" w:cs="Times New Roman"/>
          <w:sz w:val="24"/>
          <w:szCs w:val="24"/>
        </w:rPr>
        <w:t>。</w:t>
      </w:r>
    </w:p>
    <w:p w14:paraId="3D501EFB"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【难点】 </w:t>
      </w:r>
    </w:p>
    <w:p w14:paraId="45C14D36" w14:textId="77777777" w:rsidR="0036092D" w:rsidRPr="0036092D" w:rsidRDefault="0036092D" w:rsidP="0036092D">
      <w:pPr>
        <w:spacing w:line="440" w:lineRule="exact"/>
        <w:ind w:firstLineChars="200" w:firstLine="480"/>
        <w:rPr>
          <w:rFonts w:ascii="Times New Roman" w:eastAsia="宋体" w:hAnsi="Times New Roman" w:cs="Times New Roman"/>
          <w:sz w:val="24"/>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color w:val="000000"/>
          <w:sz w:val="24"/>
          <w:szCs w:val="24"/>
          <w:lang w:val="zh-CN"/>
        </w:rPr>
        <w:t>药物代谢酶的组织分布</w:t>
      </w:r>
      <w:r w:rsidRPr="0036092D">
        <w:rPr>
          <w:rFonts w:ascii="Times New Roman" w:eastAsia="宋体" w:hAnsi="Times New Roman" w:cs="Times New Roman"/>
          <w:sz w:val="24"/>
          <w:szCs w:val="24"/>
        </w:rPr>
        <w:t>。</w:t>
      </w:r>
    </w:p>
    <w:p w14:paraId="23BBFC24" w14:textId="77777777" w:rsidR="0036092D" w:rsidRPr="0036092D" w:rsidRDefault="0036092D" w:rsidP="0036092D">
      <w:pPr>
        <w:spacing w:line="400" w:lineRule="exact"/>
        <w:ind w:firstLineChars="200" w:firstLine="482"/>
        <w:rPr>
          <w:rFonts w:ascii="Times New Roman" w:eastAsia="宋体" w:hAnsi="Times New Roman" w:cs="Times New Roman"/>
          <w:sz w:val="24"/>
          <w:szCs w:val="24"/>
        </w:rPr>
      </w:pPr>
      <w:r w:rsidRPr="0036092D">
        <w:rPr>
          <w:rFonts w:ascii="宋体" w:eastAsia="宋体" w:hAnsi="宋体" w:cs="Times New Roman" w:hint="eastAsia"/>
          <w:b/>
          <w:bCs/>
          <w:sz w:val="24"/>
          <w:szCs w:val="24"/>
        </w:rPr>
        <w:t>【教学方法】</w:t>
      </w:r>
    </w:p>
    <w:p w14:paraId="7DC4BDA7"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7FACA1EE"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2. 采用课前学习课堂汇报的方法，通过安排学生提前预习，培养学生自主学习、独立思考的</w:t>
      </w:r>
      <w:proofErr w:type="gramStart"/>
      <w:r w:rsidRPr="0036092D">
        <w:rPr>
          <w:rFonts w:ascii="宋体" w:eastAsia="宋体" w:hAnsi="宋体" w:cs="宋体" w:hint="eastAsia"/>
          <w:sz w:val="24"/>
          <w:szCs w:val="24"/>
        </w:rPr>
        <w:t>的</w:t>
      </w:r>
      <w:proofErr w:type="gramEnd"/>
      <w:r w:rsidRPr="0036092D">
        <w:rPr>
          <w:rFonts w:ascii="宋体" w:eastAsia="宋体" w:hAnsi="宋体" w:cs="宋体" w:hint="eastAsia"/>
          <w:sz w:val="24"/>
          <w:szCs w:val="24"/>
        </w:rPr>
        <w:t>精神，强化学生对知识学习的应用意识，提升学生的教学技能。</w:t>
      </w:r>
    </w:p>
    <w:p w14:paraId="1CCD27D1"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【复习思考】</w:t>
      </w:r>
    </w:p>
    <w:p w14:paraId="057D3640" w14:textId="77777777" w:rsidR="0036092D" w:rsidRPr="0036092D" w:rsidRDefault="0036092D">
      <w:pPr>
        <w:numPr>
          <w:ilvl w:val="0"/>
          <w:numId w:val="166"/>
        </w:numPr>
        <w:spacing w:line="440" w:lineRule="exact"/>
        <w:ind w:firstLineChars="200" w:firstLine="480"/>
        <w:rPr>
          <w:rFonts w:ascii="宋体" w:eastAsia="宋体" w:hAnsi="宋体" w:cs="宋体"/>
          <w:bCs/>
          <w:sz w:val="24"/>
          <w:szCs w:val="24"/>
        </w:rPr>
      </w:pPr>
      <w:r w:rsidRPr="0036092D">
        <w:rPr>
          <w:rFonts w:ascii="宋体" w:eastAsia="宋体" w:hAnsi="宋体" w:cs="宋体" w:hint="eastAsia"/>
          <w:sz w:val="24"/>
          <w:szCs w:val="24"/>
        </w:rPr>
        <w:t>药物代谢反应的类型</w:t>
      </w:r>
    </w:p>
    <w:p w14:paraId="2F96E701" w14:textId="77777777" w:rsidR="0036092D" w:rsidRPr="0036092D" w:rsidRDefault="0036092D">
      <w:pPr>
        <w:numPr>
          <w:ilvl w:val="0"/>
          <w:numId w:val="166"/>
        </w:numPr>
        <w:spacing w:line="440" w:lineRule="exact"/>
        <w:ind w:firstLineChars="200" w:firstLine="480"/>
        <w:rPr>
          <w:rFonts w:ascii="宋体" w:eastAsia="宋体" w:hAnsi="宋体" w:cs="宋体"/>
          <w:bCs/>
          <w:sz w:val="24"/>
          <w:szCs w:val="24"/>
        </w:rPr>
      </w:pPr>
      <w:r w:rsidRPr="0036092D">
        <w:rPr>
          <w:rFonts w:ascii="宋体" w:eastAsia="宋体" w:hAnsi="宋体" w:cs="宋体" w:hint="eastAsia"/>
          <w:bCs/>
          <w:sz w:val="24"/>
          <w:szCs w:val="24"/>
        </w:rPr>
        <w:t>影响药物代谢的因素</w:t>
      </w:r>
    </w:p>
    <w:p w14:paraId="4B28DC37" w14:textId="77777777" w:rsidR="0036092D" w:rsidRPr="0036092D" w:rsidRDefault="0036092D" w:rsidP="0036092D">
      <w:pPr>
        <w:spacing w:beforeLines="50" w:before="156" w:afterLines="50" w:after="156" w:line="440" w:lineRule="exact"/>
        <w:ind w:firstLineChars="200" w:firstLine="560"/>
        <w:jc w:val="center"/>
        <w:rPr>
          <w:rFonts w:ascii="黑体" w:eastAsia="黑体" w:hAnsi="黑体" w:cs="黑体"/>
          <w:bCs/>
          <w:sz w:val="28"/>
          <w:szCs w:val="28"/>
        </w:rPr>
      </w:pPr>
      <w:r w:rsidRPr="0036092D">
        <w:rPr>
          <w:rFonts w:ascii="黑体" w:eastAsia="黑体" w:hAnsi="黑体" w:cs="黑体" w:hint="eastAsia"/>
          <w:bCs/>
          <w:sz w:val="28"/>
          <w:szCs w:val="28"/>
        </w:rPr>
        <w:t>第六章  药物排泄</w:t>
      </w:r>
    </w:p>
    <w:p w14:paraId="7995156D"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【学习目标】</w:t>
      </w:r>
    </w:p>
    <w:p w14:paraId="6763E291"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1.认知类目标：</w:t>
      </w:r>
      <w:r w:rsidRPr="0036092D">
        <w:rPr>
          <w:rFonts w:ascii="宋体" w:eastAsia="宋体" w:hAnsi="宋体" w:cs="宋体" w:hint="eastAsia"/>
          <w:color w:val="000000"/>
          <w:sz w:val="24"/>
          <w:szCs w:val="24"/>
          <w:lang w:val="zh-CN"/>
        </w:rPr>
        <w:t>掌握药物在人体内的主要排泄途径和影响因素，</w:t>
      </w:r>
      <w:r w:rsidRPr="0036092D">
        <w:rPr>
          <w:rFonts w:ascii="宋体" w:eastAsia="宋体" w:hAnsi="宋体" w:cs="宋体" w:hint="eastAsia"/>
          <w:sz w:val="24"/>
          <w:szCs w:val="24"/>
        </w:rPr>
        <w:t>；</w:t>
      </w:r>
    </w:p>
    <w:p w14:paraId="7DF7CB22"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2</w:t>
      </w:r>
      <w:r w:rsidRPr="0036092D">
        <w:rPr>
          <w:rFonts w:ascii="宋体" w:eastAsia="宋体" w:hAnsi="宋体" w:cs="Times New Roman"/>
          <w:sz w:val="24"/>
          <w:szCs w:val="24"/>
        </w:rPr>
        <w:t xml:space="preserve">. </w:t>
      </w:r>
      <w:r w:rsidRPr="0036092D">
        <w:rPr>
          <w:rFonts w:ascii="宋体" w:eastAsia="宋体" w:hAnsi="宋体" w:cs="Times New Roman" w:hint="eastAsia"/>
          <w:sz w:val="24"/>
          <w:szCs w:val="24"/>
        </w:rPr>
        <w:t>过程与方法类目标：通过查阅电子文献期刊，</w:t>
      </w:r>
      <w:r w:rsidRPr="0036092D">
        <w:rPr>
          <w:rFonts w:ascii="宋体" w:eastAsia="宋体" w:hAnsi="宋体" w:cs="宋体" w:hint="eastAsia"/>
          <w:sz w:val="24"/>
          <w:szCs w:val="24"/>
        </w:rPr>
        <w:t>了解</w:t>
      </w:r>
      <w:r w:rsidRPr="0036092D">
        <w:rPr>
          <w:rFonts w:ascii="宋体" w:eastAsia="宋体" w:hAnsi="宋体" w:cs="宋体" w:hint="eastAsia"/>
          <w:color w:val="000000"/>
          <w:sz w:val="24"/>
          <w:szCs w:val="24"/>
          <w:lang w:val="zh-CN"/>
        </w:rPr>
        <w:t>了解其他排泄途径的作用机制</w:t>
      </w:r>
      <w:r w:rsidRPr="0036092D">
        <w:rPr>
          <w:rFonts w:ascii="宋体" w:eastAsia="宋体" w:hAnsi="宋体" w:cs="宋体" w:hint="eastAsia"/>
          <w:sz w:val="24"/>
          <w:szCs w:val="24"/>
        </w:rPr>
        <w:t>；</w:t>
      </w:r>
    </w:p>
    <w:p w14:paraId="2638DE39" w14:textId="77777777" w:rsidR="0036092D" w:rsidRPr="0036092D" w:rsidRDefault="0036092D" w:rsidP="0036092D">
      <w:pPr>
        <w:spacing w:line="440" w:lineRule="exact"/>
        <w:ind w:firstLineChars="200" w:firstLine="480"/>
        <w:rPr>
          <w:rFonts w:ascii="宋体" w:eastAsia="宋体" w:hAnsi="宋体" w:cs="Times New Roman"/>
          <w:b/>
          <w:sz w:val="24"/>
          <w:szCs w:val="24"/>
        </w:rPr>
      </w:pPr>
      <w:r w:rsidRPr="0036092D">
        <w:rPr>
          <w:rFonts w:ascii="宋体" w:eastAsia="宋体" w:hAnsi="宋体" w:cs="Times New Roman"/>
          <w:sz w:val="24"/>
          <w:szCs w:val="24"/>
        </w:rPr>
        <w:t xml:space="preserve">3. </w:t>
      </w:r>
      <w:r w:rsidRPr="0036092D">
        <w:rPr>
          <w:rFonts w:ascii="宋体" w:eastAsia="宋体" w:hAnsi="宋体" w:cs="Times New Roman" w:hint="eastAsia"/>
          <w:sz w:val="24"/>
          <w:szCs w:val="24"/>
        </w:rPr>
        <w:t>情感、态度、价值观类目标：通过专业理论的学习，了解</w:t>
      </w:r>
      <w:r w:rsidRPr="0036092D">
        <w:rPr>
          <w:rFonts w:ascii="宋体" w:eastAsia="宋体" w:hAnsi="宋体" w:cs="宋体" w:hint="eastAsia"/>
          <w:color w:val="000000"/>
          <w:spacing w:val="-1"/>
          <w:sz w:val="24"/>
          <w:szCs w:val="24"/>
        </w:rPr>
        <w:t>工业药剂师的职业性质和责任，在工程实践中能自觉遵</w:t>
      </w:r>
      <w:r w:rsidRPr="0036092D">
        <w:rPr>
          <w:rFonts w:ascii="宋体" w:eastAsia="宋体" w:hAnsi="宋体" w:cs="宋体" w:hint="eastAsia"/>
          <w:color w:val="000000"/>
          <w:sz w:val="24"/>
          <w:szCs w:val="24"/>
        </w:rPr>
        <w:t>守职业道德和规范，履行责任，具有法律意识</w:t>
      </w:r>
      <w:r w:rsidRPr="0036092D">
        <w:rPr>
          <w:rFonts w:ascii="Times New Roman" w:eastAsia="宋体" w:hAnsi="Times New Roman" w:cs="Times New Roman"/>
          <w:sz w:val="24"/>
          <w:szCs w:val="24"/>
        </w:rPr>
        <w:t>。</w:t>
      </w:r>
    </w:p>
    <w:p w14:paraId="6EB208BF"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【学习内容】</w:t>
      </w:r>
    </w:p>
    <w:p w14:paraId="3F0671A3"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 xml:space="preserve">1. </w:t>
      </w:r>
      <w:r w:rsidRPr="0036092D">
        <w:rPr>
          <w:rFonts w:ascii="宋体" w:eastAsia="宋体" w:hAnsi="宋体" w:cs="宋体" w:hint="eastAsia"/>
          <w:sz w:val="24"/>
          <w:szCs w:val="24"/>
        </w:rPr>
        <w:t>肾排泄</w:t>
      </w:r>
    </w:p>
    <w:p w14:paraId="75424391" w14:textId="77777777" w:rsidR="0036092D" w:rsidRPr="0036092D" w:rsidRDefault="0036092D" w:rsidP="0036092D">
      <w:pPr>
        <w:autoSpaceDE w:val="0"/>
        <w:autoSpaceDN w:val="0"/>
        <w:spacing w:line="440" w:lineRule="exact"/>
        <w:ind w:firstLineChars="200" w:firstLine="480"/>
        <w:rPr>
          <w:rFonts w:ascii="宋体" w:eastAsia="宋体" w:hAnsi="宋体" w:cs="宋体"/>
          <w:color w:val="000000"/>
          <w:sz w:val="24"/>
          <w:szCs w:val="24"/>
        </w:rPr>
      </w:pPr>
      <w:r w:rsidRPr="0036092D">
        <w:rPr>
          <w:rFonts w:ascii="宋体" w:eastAsia="宋体" w:hAnsi="宋体" w:cs="宋体" w:hint="eastAsia"/>
          <w:color w:val="000000"/>
          <w:sz w:val="24"/>
          <w:szCs w:val="24"/>
        </w:rPr>
        <w:t xml:space="preserve">2. </w:t>
      </w:r>
      <w:r w:rsidRPr="0036092D">
        <w:rPr>
          <w:rFonts w:ascii="宋体" w:eastAsia="宋体" w:hAnsi="宋体" w:cs="宋体" w:hint="eastAsia"/>
          <w:sz w:val="24"/>
          <w:szCs w:val="24"/>
        </w:rPr>
        <w:t>胆汁排泄</w:t>
      </w:r>
    </w:p>
    <w:p w14:paraId="0A270B37" w14:textId="77777777" w:rsidR="0036092D" w:rsidRPr="0036092D" w:rsidRDefault="0036092D" w:rsidP="0036092D">
      <w:pPr>
        <w:autoSpaceDE w:val="0"/>
        <w:autoSpaceDN w:val="0"/>
        <w:spacing w:line="440" w:lineRule="exact"/>
        <w:ind w:firstLineChars="200" w:firstLine="480"/>
        <w:rPr>
          <w:rFonts w:ascii="宋体" w:eastAsia="宋体" w:hAnsi="宋体" w:cs="宋体"/>
          <w:sz w:val="24"/>
          <w:szCs w:val="24"/>
        </w:rPr>
      </w:pPr>
      <w:r w:rsidRPr="0036092D">
        <w:rPr>
          <w:rFonts w:ascii="宋体" w:eastAsia="宋体" w:hAnsi="宋体" w:cs="宋体" w:hint="eastAsia"/>
          <w:color w:val="000000"/>
          <w:sz w:val="24"/>
          <w:szCs w:val="24"/>
        </w:rPr>
        <w:t xml:space="preserve">3. </w:t>
      </w:r>
      <w:r w:rsidRPr="0036092D">
        <w:rPr>
          <w:rFonts w:ascii="宋体" w:eastAsia="宋体" w:hAnsi="宋体" w:cs="宋体" w:hint="eastAsia"/>
          <w:sz w:val="24"/>
          <w:szCs w:val="24"/>
        </w:rPr>
        <w:t>其他排泄途径</w:t>
      </w:r>
    </w:p>
    <w:p w14:paraId="16E5E213"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color w:val="000000"/>
          <w:sz w:val="24"/>
          <w:szCs w:val="24"/>
        </w:rPr>
        <w:t xml:space="preserve">4. </w:t>
      </w:r>
      <w:r w:rsidRPr="0036092D">
        <w:rPr>
          <w:rFonts w:ascii="宋体" w:eastAsia="宋体" w:hAnsi="宋体" w:cs="宋体" w:hint="eastAsia"/>
          <w:sz w:val="24"/>
          <w:szCs w:val="24"/>
        </w:rPr>
        <w:t>影响排泄的因素</w:t>
      </w:r>
    </w:p>
    <w:p w14:paraId="0C1EA303"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lastRenderedPageBreak/>
        <w:t xml:space="preserve">【重点】 </w:t>
      </w:r>
    </w:p>
    <w:p w14:paraId="0E604EBC" w14:textId="77777777" w:rsidR="0036092D" w:rsidRPr="0036092D" w:rsidRDefault="0036092D" w:rsidP="0036092D">
      <w:pPr>
        <w:spacing w:line="440" w:lineRule="exact"/>
        <w:ind w:firstLineChars="200" w:firstLine="480"/>
        <w:rPr>
          <w:rFonts w:ascii="Times New Roman" w:eastAsia="宋体" w:hAnsi="Times New Roman" w:cs="Times New Roman"/>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color w:val="000000"/>
          <w:sz w:val="24"/>
          <w:szCs w:val="24"/>
          <w:lang w:val="zh-CN"/>
        </w:rPr>
        <w:t>药物的肾排泄和胆汁排泄，和其循环途径</w:t>
      </w:r>
      <w:r w:rsidRPr="0036092D">
        <w:rPr>
          <w:rFonts w:ascii="Times New Roman" w:eastAsia="宋体" w:hAnsi="Times New Roman" w:cs="Times New Roman"/>
          <w:sz w:val="24"/>
          <w:szCs w:val="24"/>
        </w:rPr>
        <w:t>。</w:t>
      </w:r>
    </w:p>
    <w:p w14:paraId="1FB92EF5" w14:textId="77777777" w:rsidR="0036092D" w:rsidRPr="0036092D" w:rsidRDefault="0036092D" w:rsidP="0036092D">
      <w:pPr>
        <w:spacing w:line="400" w:lineRule="exact"/>
        <w:ind w:firstLineChars="200" w:firstLine="482"/>
        <w:rPr>
          <w:rFonts w:ascii="宋体" w:eastAsia="宋体" w:hAnsi="宋体" w:cs="Times New Roman"/>
          <w:bCs/>
          <w:sz w:val="24"/>
          <w:szCs w:val="24"/>
        </w:rPr>
      </w:pPr>
      <w:r w:rsidRPr="0036092D">
        <w:rPr>
          <w:rFonts w:ascii="宋体" w:eastAsia="宋体" w:hAnsi="宋体" w:cs="Times New Roman" w:hint="eastAsia"/>
          <w:b/>
          <w:sz w:val="24"/>
          <w:szCs w:val="24"/>
        </w:rPr>
        <w:t>【难点】</w:t>
      </w:r>
      <w:r w:rsidRPr="0036092D">
        <w:rPr>
          <w:rFonts w:ascii="宋体" w:eastAsia="宋体" w:hAnsi="宋体" w:cs="Times New Roman" w:hint="eastAsia"/>
          <w:bCs/>
          <w:sz w:val="24"/>
          <w:szCs w:val="24"/>
        </w:rPr>
        <w:t xml:space="preserve"> </w:t>
      </w:r>
    </w:p>
    <w:p w14:paraId="1E4B2A5F" w14:textId="77777777" w:rsidR="0036092D" w:rsidRPr="0036092D" w:rsidRDefault="0036092D" w:rsidP="0036092D">
      <w:pPr>
        <w:spacing w:line="440" w:lineRule="exact"/>
        <w:ind w:firstLineChars="200" w:firstLine="480"/>
        <w:rPr>
          <w:rFonts w:ascii="Times New Roman" w:eastAsia="宋体" w:hAnsi="Times New Roman" w:cs="Times New Roman"/>
          <w:sz w:val="24"/>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color w:val="000000"/>
          <w:sz w:val="24"/>
          <w:szCs w:val="24"/>
          <w:lang w:val="zh-CN"/>
        </w:rPr>
        <w:t>药物的其他排泄途径及其作用机制</w:t>
      </w:r>
      <w:r w:rsidRPr="0036092D">
        <w:rPr>
          <w:rFonts w:ascii="Times New Roman" w:eastAsia="宋体" w:hAnsi="Times New Roman" w:cs="Times New Roman"/>
          <w:sz w:val="24"/>
          <w:szCs w:val="24"/>
        </w:rPr>
        <w:t>。</w:t>
      </w:r>
    </w:p>
    <w:p w14:paraId="44A54F49" w14:textId="77777777" w:rsidR="0036092D" w:rsidRPr="0036092D" w:rsidRDefault="0036092D" w:rsidP="0036092D">
      <w:pPr>
        <w:spacing w:line="400" w:lineRule="exact"/>
        <w:ind w:firstLineChars="200" w:firstLine="482"/>
        <w:rPr>
          <w:rFonts w:ascii="Times New Roman" w:eastAsia="宋体" w:hAnsi="Times New Roman" w:cs="Times New Roman"/>
          <w:sz w:val="24"/>
          <w:szCs w:val="24"/>
        </w:rPr>
      </w:pPr>
      <w:r w:rsidRPr="0036092D">
        <w:rPr>
          <w:rFonts w:ascii="宋体" w:eastAsia="宋体" w:hAnsi="宋体" w:cs="Times New Roman" w:hint="eastAsia"/>
          <w:b/>
          <w:bCs/>
          <w:sz w:val="24"/>
          <w:szCs w:val="24"/>
        </w:rPr>
        <w:t>【教学方法】</w:t>
      </w:r>
    </w:p>
    <w:p w14:paraId="14DF7605"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5BBF50C4" w14:textId="77777777" w:rsidR="0036092D" w:rsidRPr="0036092D" w:rsidRDefault="0036092D" w:rsidP="0036092D">
      <w:pPr>
        <w:spacing w:line="440" w:lineRule="exact"/>
        <w:ind w:firstLineChars="200" w:firstLine="480"/>
        <w:rPr>
          <w:rFonts w:ascii="Times New Roman" w:eastAsia="宋体" w:hAnsi="Times New Roman" w:cs="Times New Roman"/>
          <w:sz w:val="24"/>
          <w:szCs w:val="24"/>
        </w:rPr>
      </w:pPr>
      <w:r w:rsidRPr="0036092D">
        <w:rPr>
          <w:rFonts w:ascii="宋体" w:eastAsia="宋体" w:hAnsi="宋体" w:cs="宋体" w:hint="eastAsia"/>
          <w:sz w:val="24"/>
          <w:szCs w:val="24"/>
        </w:rPr>
        <w:t>2. 采</w:t>
      </w:r>
      <w:r w:rsidRPr="0036092D">
        <w:rPr>
          <w:rFonts w:ascii="Times New Roman" w:eastAsia="宋体" w:hAnsi="Times New Roman" w:cs="Times New Roman"/>
          <w:sz w:val="24"/>
          <w:szCs w:val="24"/>
        </w:rPr>
        <w:t>用课</w:t>
      </w:r>
      <w:r w:rsidRPr="0036092D">
        <w:rPr>
          <w:rFonts w:ascii="Times New Roman" w:eastAsia="宋体" w:hAnsi="Times New Roman" w:cs="Times New Roman" w:hint="eastAsia"/>
          <w:sz w:val="24"/>
          <w:szCs w:val="24"/>
        </w:rPr>
        <w:t>上随机提问</w:t>
      </w:r>
      <w:r w:rsidRPr="0036092D">
        <w:rPr>
          <w:rFonts w:ascii="Times New Roman" w:eastAsia="宋体" w:hAnsi="Times New Roman" w:cs="Times New Roman"/>
          <w:sz w:val="24"/>
          <w:szCs w:val="24"/>
        </w:rPr>
        <w:t>的方法，通过安排学生提前预习，培养学生自主学习、独立思考的</w:t>
      </w:r>
      <w:proofErr w:type="gramStart"/>
      <w:r w:rsidRPr="0036092D">
        <w:rPr>
          <w:rFonts w:ascii="Times New Roman" w:eastAsia="宋体" w:hAnsi="Times New Roman" w:cs="Times New Roman"/>
          <w:sz w:val="24"/>
          <w:szCs w:val="24"/>
        </w:rPr>
        <w:t>的</w:t>
      </w:r>
      <w:proofErr w:type="gramEnd"/>
      <w:r w:rsidRPr="0036092D">
        <w:rPr>
          <w:rFonts w:ascii="Times New Roman" w:eastAsia="宋体" w:hAnsi="Times New Roman" w:cs="Times New Roman"/>
          <w:sz w:val="24"/>
          <w:szCs w:val="24"/>
        </w:rPr>
        <w:t>精神，强化学生对知识学习的应用意识，提升学生的教学技能。</w:t>
      </w:r>
    </w:p>
    <w:p w14:paraId="558A5CD2"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【复习思考】</w:t>
      </w:r>
    </w:p>
    <w:p w14:paraId="3817DA87" w14:textId="77777777" w:rsidR="0036092D" w:rsidRPr="0036092D" w:rsidRDefault="0036092D">
      <w:pPr>
        <w:numPr>
          <w:ilvl w:val="0"/>
          <w:numId w:val="167"/>
        </w:num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药物排泄的方式</w:t>
      </w:r>
    </w:p>
    <w:p w14:paraId="062738A6" w14:textId="77777777" w:rsidR="0036092D" w:rsidRPr="0036092D" w:rsidRDefault="0036092D">
      <w:pPr>
        <w:numPr>
          <w:ilvl w:val="0"/>
          <w:numId w:val="167"/>
        </w:numPr>
        <w:spacing w:line="440" w:lineRule="exact"/>
        <w:ind w:firstLineChars="200" w:firstLine="480"/>
        <w:rPr>
          <w:rFonts w:ascii="宋体" w:eastAsia="宋体" w:hAnsi="宋体" w:cs="Times New Roman"/>
          <w:b/>
          <w:sz w:val="24"/>
          <w:szCs w:val="24"/>
        </w:rPr>
      </w:pPr>
      <w:r w:rsidRPr="0036092D">
        <w:rPr>
          <w:rFonts w:ascii="宋体" w:eastAsia="宋体" w:hAnsi="宋体" w:cs="宋体" w:hint="eastAsia"/>
          <w:sz w:val="24"/>
          <w:szCs w:val="24"/>
        </w:rPr>
        <w:t>不同排泄途径的影响因</w:t>
      </w:r>
      <w:r w:rsidRPr="0036092D">
        <w:rPr>
          <w:rFonts w:ascii="Times New Roman" w:eastAsia="宋体" w:hAnsi="Times New Roman" w:cs="Times New Roman" w:hint="eastAsia"/>
          <w:sz w:val="24"/>
          <w:szCs w:val="24"/>
        </w:rPr>
        <w:t>素</w:t>
      </w:r>
    </w:p>
    <w:p w14:paraId="29B4F659" w14:textId="77777777" w:rsidR="0036092D" w:rsidRPr="0036092D" w:rsidRDefault="0036092D" w:rsidP="0036092D">
      <w:pPr>
        <w:spacing w:beforeLines="50" w:before="156" w:afterLines="50" w:after="156" w:line="440" w:lineRule="exact"/>
        <w:ind w:firstLineChars="200" w:firstLine="560"/>
        <w:jc w:val="center"/>
        <w:rPr>
          <w:rFonts w:ascii="黑体" w:eastAsia="黑体" w:hAnsi="黑体" w:cs="黑体"/>
          <w:bCs/>
          <w:sz w:val="28"/>
          <w:szCs w:val="28"/>
        </w:rPr>
      </w:pPr>
      <w:r w:rsidRPr="0036092D">
        <w:rPr>
          <w:rFonts w:ascii="黑体" w:eastAsia="黑体" w:hAnsi="黑体" w:cs="黑体" w:hint="eastAsia"/>
          <w:bCs/>
          <w:sz w:val="28"/>
          <w:szCs w:val="28"/>
        </w:rPr>
        <w:t>第七章  药物动力学概述</w:t>
      </w:r>
    </w:p>
    <w:p w14:paraId="1E5B7718"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【学习目标】</w:t>
      </w:r>
    </w:p>
    <w:p w14:paraId="35F4A77D"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1.认知类目标：</w:t>
      </w:r>
      <w:r w:rsidRPr="0036092D">
        <w:rPr>
          <w:rFonts w:ascii="宋体" w:eastAsia="宋体" w:hAnsi="宋体" w:cs="宋体" w:hint="eastAsia"/>
          <w:color w:val="000000"/>
          <w:sz w:val="24"/>
          <w:szCs w:val="24"/>
          <w:lang w:val="zh-CN"/>
        </w:rPr>
        <w:t>了解药物动力学的基本概念和研究范畴，掌握药物动力学过程中的几种基本模型和相关参数</w:t>
      </w:r>
      <w:r w:rsidRPr="0036092D">
        <w:rPr>
          <w:rFonts w:ascii="宋体" w:eastAsia="宋体" w:hAnsi="宋体" w:cs="宋体" w:hint="eastAsia"/>
          <w:sz w:val="24"/>
          <w:szCs w:val="24"/>
        </w:rPr>
        <w:t>；</w:t>
      </w:r>
    </w:p>
    <w:p w14:paraId="05CA431A"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2</w:t>
      </w:r>
      <w:r w:rsidRPr="0036092D">
        <w:rPr>
          <w:rFonts w:ascii="宋体" w:eastAsia="宋体" w:hAnsi="宋体" w:cs="Times New Roman"/>
          <w:sz w:val="24"/>
          <w:szCs w:val="24"/>
        </w:rPr>
        <w:t xml:space="preserve">. </w:t>
      </w:r>
      <w:r w:rsidRPr="0036092D">
        <w:rPr>
          <w:rFonts w:ascii="宋体" w:eastAsia="宋体" w:hAnsi="宋体" w:cs="Times New Roman" w:hint="eastAsia"/>
          <w:sz w:val="24"/>
          <w:szCs w:val="24"/>
        </w:rPr>
        <w:t>过程与方法类目标：通过查阅电子文献期刊，</w:t>
      </w:r>
      <w:r w:rsidRPr="0036092D">
        <w:rPr>
          <w:rFonts w:ascii="宋体" w:eastAsia="宋体" w:hAnsi="宋体" w:cs="宋体" w:hint="eastAsia"/>
          <w:color w:val="000000"/>
          <w:sz w:val="24"/>
          <w:szCs w:val="24"/>
          <w:lang w:val="zh-CN"/>
        </w:rPr>
        <w:t>了解药物动力学在临床给药方案设计中的指导作用</w:t>
      </w:r>
      <w:r w:rsidRPr="0036092D">
        <w:rPr>
          <w:rFonts w:ascii="宋体" w:eastAsia="宋体" w:hAnsi="宋体" w:cs="宋体" w:hint="eastAsia"/>
          <w:sz w:val="24"/>
          <w:szCs w:val="24"/>
        </w:rPr>
        <w:t>；</w:t>
      </w:r>
    </w:p>
    <w:p w14:paraId="3B7CE402" w14:textId="77777777" w:rsidR="0036092D" w:rsidRPr="0036092D" w:rsidRDefault="0036092D" w:rsidP="0036092D">
      <w:pPr>
        <w:spacing w:line="440" w:lineRule="exact"/>
        <w:ind w:firstLineChars="200" w:firstLine="480"/>
        <w:rPr>
          <w:rFonts w:ascii="宋体" w:eastAsia="宋体" w:hAnsi="宋体" w:cs="Times New Roman"/>
          <w:b/>
          <w:sz w:val="24"/>
          <w:szCs w:val="24"/>
        </w:rPr>
      </w:pPr>
      <w:r w:rsidRPr="0036092D">
        <w:rPr>
          <w:rFonts w:ascii="宋体" w:eastAsia="宋体" w:hAnsi="宋体" w:cs="Times New Roman"/>
          <w:sz w:val="24"/>
          <w:szCs w:val="24"/>
        </w:rPr>
        <w:t xml:space="preserve">3. </w:t>
      </w:r>
      <w:r w:rsidRPr="0036092D">
        <w:rPr>
          <w:rFonts w:ascii="宋体" w:eastAsia="宋体" w:hAnsi="宋体" w:cs="Times New Roman" w:hint="eastAsia"/>
          <w:sz w:val="24"/>
          <w:szCs w:val="24"/>
        </w:rPr>
        <w:t>情感、态度、价值观类目标：通过专业理论的学习，了解</w:t>
      </w:r>
      <w:r w:rsidRPr="0036092D">
        <w:rPr>
          <w:rFonts w:ascii="宋体" w:eastAsia="宋体" w:hAnsi="宋体" w:cs="宋体" w:hint="eastAsia"/>
          <w:color w:val="000000"/>
          <w:spacing w:val="-1"/>
          <w:sz w:val="24"/>
          <w:szCs w:val="24"/>
        </w:rPr>
        <w:t>工业药剂师的职业性质和责任，在工程实践中能自觉遵</w:t>
      </w:r>
      <w:r w:rsidRPr="0036092D">
        <w:rPr>
          <w:rFonts w:ascii="宋体" w:eastAsia="宋体" w:hAnsi="宋体" w:cs="宋体" w:hint="eastAsia"/>
          <w:color w:val="000000"/>
          <w:sz w:val="24"/>
          <w:szCs w:val="24"/>
        </w:rPr>
        <w:t>守职业道德和规范，履行责任，具有法律意识</w:t>
      </w:r>
      <w:r w:rsidRPr="0036092D">
        <w:rPr>
          <w:rFonts w:ascii="Times New Roman" w:eastAsia="宋体" w:hAnsi="Times New Roman" w:cs="Times New Roman"/>
          <w:sz w:val="24"/>
          <w:szCs w:val="24"/>
        </w:rPr>
        <w:t>。</w:t>
      </w:r>
    </w:p>
    <w:p w14:paraId="4143F6F8"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【学习内容】</w:t>
      </w:r>
    </w:p>
    <w:p w14:paraId="6766648E"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1.</w:t>
      </w:r>
      <w:r w:rsidRPr="0036092D">
        <w:rPr>
          <w:rFonts w:ascii="宋体" w:eastAsia="宋体" w:hAnsi="宋体" w:cs="宋体" w:hint="eastAsia"/>
          <w:sz w:val="24"/>
          <w:szCs w:val="24"/>
        </w:rPr>
        <w:t xml:space="preserve"> 概述</w:t>
      </w:r>
    </w:p>
    <w:p w14:paraId="5E2C7AF8"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2.</w:t>
      </w:r>
      <w:r w:rsidRPr="0036092D">
        <w:rPr>
          <w:rFonts w:ascii="宋体" w:eastAsia="宋体" w:hAnsi="宋体" w:cs="宋体" w:hint="eastAsia"/>
          <w:sz w:val="24"/>
          <w:szCs w:val="24"/>
        </w:rPr>
        <w:t xml:space="preserve"> 药物动力学的基本模型和基本参数</w:t>
      </w:r>
    </w:p>
    <w:p w14:paraId="6B765EB2"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【重点】 </w:t>
      </w:r>
    </w:p>
    <w:p w14:paraId="371BD45E" w14:textId="77777777" w:rsidR="0036092D" w:rsidRPr="0036092D" w:rsidRDefault="0036092D" w:rsidP="0036092D">
      <w:pPr>
        <w:spacing w:line="440" w:lineRule="exact"/>
        <w:ind w:firstLineChars="200" w:firstLine="480"/>
        <w:rPr>
          <w:rFonts w:ascii="Times New Roman" w:eastAsia="宋体" w:hAnsi="Times New Roman" w:cs="Times New Roman"/>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bCs/>
          <w:color w:val="000000"/>
          <w:sz w:val="24"/>
          <w:szCs w:val="24"/>
          <w:lang w:val="zh-CN"/>
        </w:rPr>
        <w:t>药</w:t>
      </w:r>
      <w:r w:rsidRPr="0036092D">
        <w:rPr>
          <w:rFonts w:ascii="Times New Roman" w:eastAsia="宋体" w:hAnsi="Times New Roman" w:cs="Times New Roman" w:hint="eastAsia"/>
          <w:color w:val="000000"/>
          <w:sz w:val="24"/>
          <w:szCs w:val="24"/>
          <w:lang w:val="zh-CN"/>
        </w:rPr>
        <w:t>物动力学的基本模型和基本参数</w:t>
      </w:r>
      <w:r w:rsidRPr="0036092D">
        <w:rPr>
          <w:rFonts w:ascii="Times New Roman" w:eastAsia="宋体" w:hAnsi="Times New Roman" w:cs="Times New Roman"/>
          <w:sz w:val="24"/>
          <w:szCs w:val="24"/>
        </w:rPr>
        <w:t>。</w:t>
      </w:r>
    </w:p>
    <w:p w14:paraId="41AEDDCF"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【难点】 </w:t>
      </w:r>
    </w:p>
    <w:p w14:paraId="6C8028DC" w14:textId="77777777" w:rsidR="0036092D" w:rsidRPr="0036092D" w:rsidRDefault="0036092D" w:rsidP="0036092D">
      <w:pPr>
        <w:spacing w:line="440" w:lineRule="exact"/>
        <w:ind w:firstLineChars="200" w:firstLine="480"/>
        <w:rPr>
          <w:rFonts w:ascii="Times New Roman" w:eastAsia="宋体" w:hAnsi="Times New Roman" w:cs="Times New Roman"/>
          <w:sz w:val="24"/>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color w:val="000000"/>
          <w:sz w:val="24"/>
          <w:szCs w:val="24"/>
          <w:lang w:val="zh-CN"/>
        </w:rPr>
        <w:t>相关参数的计算及公式的推导</w:t>
      </w:r>
      <w:r w:rsidRPr="0036092D">
        <w:rPr>
          <w:rFonts w:ascii="Times New Roman" w:eastAsia="宋体" w:hAnsi="Times New Roman" w:cs="Times New Roman"/>
          <w:sz w:val="24"/>
          <w:szCs w:val="24"/>
        </w:rPr>
        <w:t>。</w:t>
      </w:r>
    </w:p>
    <w:p w14:paraId="0BAC77E3" w14:textId="77777777" w:rsidR="0036092D" w:rsidRPr="0036092D" w:rsidRDefault="0036092D" w:rsidP="0036092D">
      <w:pPr>
        <w:spacing w:line="400" w:lineRule="exact"/>
        <w:ind w:firstLineChars="200" w:firstLine="482"/>
        <w:rPr>
          <w:rFonts w:ascii="Times New Roman" w:eastAsia="宋体" w:hAnsi="Times New Roman" w:cs="Times New Roman"/>
          <w:sz w:val="24"/>
          <w:szCs w:val="24"/>
        </w:rPr>
      </w:pPr>
      <w:r w:rsidRPr="0036092D">
        <w:rPr>
          <w:rFonts w:ascii="宋体" w:eastAsia="宋体" w:hAnsi="宋体" w:cs="Times New Roman" w:hint="eastAsia"/>
          <w:b/>
          <w:bCs/>
          <w:sz w:val="24"/>
          <w:szCs w:val="24"/>
        </w:rPr>
        <w:t>【教学方法】</w:t>
      </w:r>
    </w:p>
    <w:p w14:paraId="727FEB98"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307E25E6"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2. 采用课题分组讨论，通过安排学生提前预习，培养学生自主学习、独立思考</w:t>
      </w:r>
      <w:r w:rsidRPr="0036092D">
        <w:rPr>
          <w:rFonts w:ascii="宋体" w:eastAsia="宋体" w:hAnsi="宋体" w:cs="宋体" w:hint="eastAsia"/>
          <w:sz w:val="24"/>
          <w:szCs w:val="24"/>
        </w:rPr>
        <w:lastRenderedPageBreak/>
        <w:t>的</w:t>
      </w:r>
      <w:proofErr w:type="gramStart"/>
      <w:r w:rsidRPr="0036092D">
        <w:rPr>
          <w:rFonts w:ascii="宋体" w:eastAsia="宋体" w:hAnsi="宋体" w:cs="宋体" w:hint="eastAsia"/>
          <w:sz w:val="24"/>
          <w:szCs w:val="24"/>
        </w:rPr>
        <w:t>的</w:t>
      </w:r>
      <w:proofErr w:type="gramEnd"/>
      <w:r w:rsidRPr="0036092D">
        <w:rPr>
          <w:rFonts w:ascii="宋体" w:eastAsia="宋体" w:hAnsi="宋体" w:cs="宋体" w:hint="eastAsia"/>
          <w:sz w:val="24"/>
          <w:szCs w:val="24"/>
        </w:rPr>
        <w:t>精神，强化学生对知识学习的应用意识，提升学生的教学技能。</w:t>
      </w:r>
    </w:p>
    <w:p w14:paraId="7280AFCF"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【复习思考】</w:t>
      </w:r>
    </w:p>
    <w:p w14:paraId="4DE58E70" w14:textId="77777777" w:rsidR="0036092D" w:rsidRPr="0036092D" w:rsidRDefault="0036092D">
      <w:pPr>
        <w:numPr>
          <w:ilvl w:val="0"/>
          <w:numId w:val="168"/>
        </w:numPr>
        <w:spacing w:line="440" w:lineRule="exact"/>
        <w:ind w:firstLineChars="200" w:firstLine="480"/>
        <w:rPr>
          <w:rFonts w:ascii="宋体" w:eastAsia="宋体" w:hAnsi="宋体" w:cs="宋体"/>
          <w:bCs/>
          <w:sz w:val="24"/>
          <w:szCs w:val="24"/>
        </w:rPr>
      </w:pPr>
      <w:r w:rsidRPr="0036092D">
        <w:rPr>
          <w:rFonts w:ascii="宋体" w:eastAsia="宋体" w:hAnsi="宋体" w:cs="宋体" w:hint="eastAsia"/>
          <w:sz w:val="24"/>
          <w:szCs w:val="24"/>
        </w:rPr>
        <w:t>药物动力学的基本模型</w:t>
      </w:r>
    </w:p>
    <w:p w14:paraId="7A962A70" w14:textId="77777777" w:rsidR="0036092D" w:rsidRPr="0036092D" w:rsidRDefault="0036092D">
      <w:pPr>
        <w:numPr>
          <w:ilvl w:val="0"/>
          <w:numId w:val="168"/>
        </w:numPr>
        <w:spacing w:line="440" w:lineRule="exact"/>
        <w:ind w:firstLineChars="200" w:firstLine="480"/>
        <w:rPr>
          <w:rFonts w:ascii="宋体" w:eastAsia="宋体" w:hAnsi="宋体" w:cs="宋体"/>
          <w:bCs/>
          <w:sz w:val="24"/>
          <w:szCs w:val="24"/>
        </w:rPr>
      </w:pPr>
      <w:r w:rsidRPr="0036092D">
        <w:rPr>
          <w:rFonts w:ascii="宋体" w:eastAsia="宋体" w:hAnsi="宋体" w:cs="宋体" w:hint="eastAsia"/>
          <w:bCs/>
          <w:sz w:val="24"/>
          <w:szCs w:val="24"/>
        </w:rPr>
        <w:t>药物动力学的基本参数</w:t>
      </w:r>
    </w:p>
    <w:p w14:paraId="6DE6FD07" w14:textId="77777777" w:rsidR="0036092D" w:rsidRPr="0036092D" w:rsidRDefault="0036092D">
      <w:pPr>
        <w:numPr>
          <w:ilvl w:val="0"/>
          <w:numId w:val="168"/>
        </w:numPr>
        <w:spacing w:line="440" w:lineRule="exact"/>
        <w:ind w:firstLineChars="200" w:firstLine="480"/>
        <w:rPr>
          <w:rFonts w:ascii="宋体" w:eastAsia="宋体" w:hAnsi="宋体" w:cs="宋体"/>
          <w:bCs/>
          <w:sz w:val="24"/>
          <w:szCs w:val="24"/>
        </w:rPr>
      </w:pPr>
      <w:r w:rsidRPr="0036092D">
        <w:rPr>
          <w:rFonts w:ascii="宋体" w:eastAsia="宋体" w:hAnsi="宋体" w:cs="宋体" w:hint="eastAsia"/>
          <w:bCs/>
          <w:sz w:val="24"/>
          <w:szCs w:val="24"/>
        </w:rPr>
        <w:t>药物转运的速率方程及其特点</w:t>
      </w:r>
    </w:p>
    <w:p w14:paraId="5185D693" w14:textId="77777777" w:rsidR="0036092D" w:rsidRPr="0036092D" w:rsidRDefault="0036092D" w:rsidP="0036092D">
      <w:pPr>
        <w:spacing w:line="440" w:lineRule="exact"/>
        <w:ind w:firstLineChars="200" w:firstLine="562"/>
        <w:jc w:val="center"/>
        <w:rPr>
          <w:rFonts w:ascii="Times New Roman" w:eastAsia="宋体" w:hAnsi="Times New Roman" w:cs="Times New Roman"/>
          <w:b/>
          <w:sz w:val="28"/>
          <w:szCs w:val="28"/>
        </w:rPr>
      </w:pPr>
    </w:p>
    <w:p w14:paraId="1685A7F0" w14:textId="77777777" w:rsidR="0036092D" w:rsidRPr="0036092D" w:rsidRDefault="0036092D" w:rsidP="0036092D">
      <w:pPr>
        <w:spacing w:beforeLines="50" w:before="156" w:afterLines="50" w:after="156" w:line="440" w:lineRule="exact"/>
        <w:ind w:firstLineChars="200" w:firstLine="560"/>
        <w:jc w:val="center"/>
        <w:rPr>
          <w:rFonts w:ascii="黑体" w:eastAsia="黑体" w:hAnsi="黑体" w:cs="黑体"/>
          <w:bCs/>
          <w:sz w:val="28"/>
          <w:szCs w:val="28"/>
        </w:rPr>
      </w:pPr>
      <w:r w:rsidRPr="0036092D">
        <w:rPr>
          <w:rFonts w:ascii="黑体" w:eastAsia="黑体" w:hAnsi="黑体" w:cs="黑体" w:hint="eastAsia"/>
          <w:bCs/>
          <w:sz w:val="28"/>
          <w:szCs w:val="28"/>
        </w:rPr>
        <w:t>第八章  单室模型</w:t>
      </w:r>
    </w:p>
    <w:p w14:paraId="20885032"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【学习目标】</w:t>
      </w:r>
    </w:p>
    <w:p w14:paraId="287955DF"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1.认知类目标：</w:t>
      </w:r>
      <w:r w:rsidRPr="0036092D">
        <w:rPr>
          <w:rFonts w:ascii="宋体" w:eastAsia="宋体" w:hAnsi="宋体" w:cs="宋体" w:hint="eastAsia"/>
          <w:color w:val="000000"/>
          <w:sz w:val="24"/>
          <w:szCs w:val="24"/>
          <w:lang w:val="zh-CN"/>
        </w:rPr>
        <w:t>了解药物动力学中静脉注射、静脉滴注及血管外给药的血药浓度的计算，</w:t>
      </w:r>
      <w:proofErr w:type="gramStart"/>
      <w:r w:rsidRPr="0036092D">
        <w:rPr>
          <w:rFonts w:ascii="宋体" w:eastAsia="宋体" w:hAnsi="宋体" w:cs="宋体" w:hint="eastAsia"/>
          <w:color w:val="000000"/>
          <w:sz w:val="24"/>
          <w:szCs w:val="24"/>
          <w:lang w:val="zh-CN"/>
        </w:rPr>
        <w:t>及尿药排泄</w:t>
      </w:r>
      <w:proofErr w:type="gramEnd"/>
      <w:r w:rsidRPr="0036092D">
        <w:rPr>
          <w:rFonts w:ascii="宋体" w:eastAsia="宋体" w:hAnsi="宋体" w:cs="宋体" w:hint="eastAsia"/>
          <w:color w:val="000000"/>
          <w:sz w:val="24"/>
          <w:szCs w:val="24"/>
          <w:lang w:val="zh-CN"/>
        </w:rPr>
        <w:t>数据的比较</w:t>
      </w:r>
      <w:r w:rsidRPr="0036092D">
        <w:rPr>
          <w:rFonts w:ascii="宋体" w:eastAsia="宋体" w:hAnsi="宋体" w:cs="宋体" w:hint="eastAsia"/>
          <w:sz w:val="24"/>
          <w:szCs w:val="24"/>
        </w:rPr>
        <w:t>；</w:t>
      </w:r>
    </w:p>
    <w:p w14:paraId="51E01F55"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2</w:t>
      </w:r>
      <w:r w:rsidRPr="0036092D">
        <w:rPr>
          <w:rFonts w:ascii="宋体" w:eastAsia="宋体" w:hAnsi="宋体" w:cs="Times New Roman"/>
          <w:sz w:val="24"/>
          <w:szCs w:val="24"/>
        </w:rPr>
        <w:t xml:space="preserve">. </w:t>
      </w:r>
      <w:r w:rsidRPr="0036092D">
        <w:rPr>
          <w:rFonts w:ascii="宋体" w:eastAsia="宋体" w:hAnsi="宋体" w:cs="Times New Roman" w:hint="eastAsia"/>
          <w:sz w:val="24"/>
          <w:szCs w:val="24"/>
        </w:rPr>
        <w:t>过程与方法类目标：通过案例教学，</w:t>
      </w:r>
      <w:r w:rsidRPr="0036092D">
        <w:rPr>
          <w:rFonts w:ascii="宋体" w:eastAsia="宋体" w:hAnsi="宋体" w:cs="宋体" w:hint="eastAsia"/>
          <w:sz w:val="24"/>
          <w:szCs w:val="24"/>
        </w:rPr>
        <w:t>了解动力学模型在血药浓度计算时的作用；</w:t>
      </w:r>
    </w:p>
    <w:p w14:paraId="1E1ED91F" w14:textId="77777777" w:rsidR="0036092D" w:rsidRPr="0036092D" w:rsidRDefault="0036092D" w:rsidP="0036092D">
      <w:pPr>
        <w:spacing w:line="440" w:lineRule="exact"/>
        <w:ind w:firstLineChars="200" w:firstLine="480"/>
        <w:rPr>
          <w:rFonts w:ascii="宋体" w:eastAsia="宋体" w:hAnsi="宋体" w:cs="Times New Roman"/>
          <w:b/>
          <w:sz w:val="24"/>
          <w:szCs w:val="24"/>
        </w:rPr>
      </w:pPr>
      <w:r w:rsidRPr="0036092D">
        <w:rPr>
          <w:rFonts w:ascii="宋体" w:eastAsia="宋体" w:hAnsi="宋体" w:cs="Times New Roman"/>
          <w:sz w:val="24"/>
          <w:szCs w:val="24"/>
        </w:rPr>
        <w:t xml:space="preserve">3. </w:t>
      </w:r>
      <w:r w:rsidRPr="0036092D">
        <w:rPr>
          <w:rFonts w:ascii="宋体" w:eastAsia="宋体" w:hAnsi="宋体" w:cs="Times New Roman" w:hint="eastAsia"/>
          <w:sz w:val="24"/>
          <w:szCs w:val="24"/>
        </w:rPr>
        <w:t>情感、态度、价值观类目标：通过专业理论的学习，了解</w:t>
      </w:r>
      <w:r w:rsidRPr="0036092D">
        <w:rPr>
          <w:rFonts w:ascii="宋体" w:eastAsia="宋体" w:hAnsi="宋体" w:cs="宋体" w:hint="eastAsia"/>
          <w:color w:val="000000"/>
          <w:spacing w:val="-1"/>
          <w:sz w:val="24"/>
          <w:szCs w:val="24"/>
        </w:rPr>
        <w:t>工业药剂师的职业性质和责任，在工程实践中能自觉遵</w:t>
      </w:r>
      <w:r w:rsidRPr="0036092D">
        <w:rPr>
          <w:rFonts w:ascii="宋体" w:eastAsia="宋体" w:hAnsi="宋体" w:cs="宋体" w:hint="eastAsia"/>
          <w:color w:val="000000"/>
          <w:sz w:val="24"/>
          <w:szCs w:val="24"/>
        </w:rPr>
        <w:t>守职业道德和规范，履行责任，具有法律意识</w:t>
      </w:r>
      <w:r w:rsidRPr="0036092D">
        <w:rPr>
          <w:rFonts w:ascii="Times New Roman" w:eastAsia="宋体" w:hAnsi="Times New Roman" w:cs="Times New Roman"/>
          <w:sz w:val="24"/>
          <w:szCs w:val="24"/>
        </w:rPr>
        <w:t>。</w:t>
      </w:r>
    </w:p>
    <w:p w14:paraId="207C3A8D"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【学习内容】</w:t>
      </w:r>
    </w:p>
    <w:p w14:paraId="58DF0737"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1.</w:t>
      </w:r>
      <w:r w:rsidRPr="0036092D">
        <w:rPr>
          <w:rFonts w:ascii="宋体" w:eastAsia="宋体" w:hAnsi="宋体" w:cs="宋体" w:hint="eastAsia"/>
          <w:sz w:val="24"/>
          <w:szCs w:val="24"/>
        </w:rPr>
        <w:t xml:space="preserve"> 静脉注射给药</w:t>
      </w:r>
    </w:p>
    <w:p w14:paraId="7F24BA91"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2.</w:t>
      </w:r>
      <w:r w:rsidRPr="0036092D">
        <w:rPr>
          <w:rFonts w:ascii="宋体" w:eastAsia="宋体" w:hAnsi="宋体" w:cs="宋体" w:hint="eastAsia"/>
          <w:sz w:val="24"/>
          <w:szCs w:val="24"/>
        </w:rPr>
        <w:t xml:space="preserve"> 静脉滴注给药</w:t>
      </w:r>
    </w:p>
    <w:p w14:paraId="3F165AF7"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color w:val="000000"/>
          <w:sz w:val="24"/>
          <w:szCs w:val="24"/>
        </w:rPr>
        <w:t>3.</w:t>
      </w:r>
      <w:r w:rsidRPr="0036092D">
        <w:rPr>
          <w:rFonts w:ascii="宋体" w:eastAsia="宋体" w:hAnsi="宋体" w:cs="宋体" w:hint="eastAsia"/>
          <w:sz w:val="24"/>
          <w:szCs w:val="24"/>
        </w:rPr>
        <w:t xml:space="preserve"> 血管外给药</w:t>
      </w:r>
    </w:p>
    <w:p w14:paraId="57AC8D2C"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【重点】 </w:t>
      </w:r>
    </w:p>
    <w:p w14:paraId="11B0A9DA" w14:textId="77777777" w:rsidR="0036092D" w:rsidRPr="0036092D" w:rsidRDefault="0036092D" w:rsidP="0036092D">
      <w:pPr>
        <w:spacing w:line="440" w:lineRule="exact"/>
        <w:ind w:firstLineChars="200" w:firstLine="480"/>
        <w:rPr>
          <w:rFonts w:ascii="Times New Roman" w:eastAsia="宋体" w:hAnsi="Times New Roman" w:cs="Times New Roman"/>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color w:val="000000"/>
          <w:sz w:val="24"/>
          <w:szCs w:val="24"/>
          <w:lang w:val="zh-CN"/>
        </w:rPr>
        <w:t>药物动力学中静脉注射、静脉滴注及血管外给药的血药浓度的计算</w:t>
      </w:r>
      <w:r w:rsidRPr="0036092D">
        <w:rPr>
          <w:rFonts w:ascii="Times New Roman" w:eastAsia="宋体" w:hAnsi="Times New Roman" w:cs="Times New Roman"/>
          <w:sz w:val="24"/>
          <w:szCs w:val="24"/>
        </w:rPr>
        <w:t>。</w:t>
      </w:r>
    </w:p>
    <w:p w14:paraId="4170D401"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【难点】 </w:t>
      </w:r>
    </w:p>
    <w:p w14:paraId="208212F7" w14:textId="77777777" w:rsidR="0036092D" w:rsidRPr="0036092D" w:rsidRDefault="0036092D" w:rsidP="0036092D">
      <w:pPr>
        <w:spacing w:line="440" w:lineRule="exact"/>
        <w:ind w:firstLineChars="200" w:firstLine="480"/>
        <w:rPr>
          <w:rFonts w:ascii="Times New Roman" w:eastAsia="宋体" w:hAnsi="Times New Roman" w:cs="Times New Roman"/>
          <w:sz w:val="24"/>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color w:val="000000"/>
          <w:sz w:val="24"/>
          <w:szCs w:val="24"/>
          <w:lang w:val="zh-CN"/>
        </w:rPr>
        <w:t>单室模型中血药浓度和尿药浓度的关系</w:t>
      </w:r>
      <w:r w:rsidRPr="0036092D">
        <w:rPr>
          <w:rFonts w:ascii="Times New Roman" w:eastAsia="宋体" w:hAnsi="Times New Roman" w:cs="Times New Roman"/>
          <w:sz w:val="24"/>
          <w:szCs w:val="24"/>
        </w:rPr>
        <w:t>。</w:t>
      </w:r>
    </w:p>
    <w:p w14:paraId="391E5716" w14:textId="77777777" w:rsidR="0036092D" w:rsidRPr="0036092D" w:rsidRDefault="0036092D" w:rsidP="0036092D">
      <w:pPr>
        <w:spacing w:line="400" w:lineRule="exact"/>
        <w:ind w:firstLineChars="200" w:firstLine="482"/>
        <w:rPr>
          <w:rFonts w:ascii="Times New Roman" w:eastAsia="宋体" w:hAnsi="Times New Roman" w:cs="Times New Roman"/>
          <w:sz w:val="24"/>
          <w:szCs w:val="24"/>
        </w:rPr>
      </w:pPr>
      <w:r w:rsidRPr="0036092D">
        <w:rPr>
          <w:rFonts w:ascii="宋体" w:eastAsia="宋体" w:hAnsi="宋体" w:cs="Times New Roman" w:hint="eastAsia"/>
          <w:b/>
          <w:bCs/>
          <w:sz w:val="24"/>
          <w:szCs w:val="24"/>
        </w:rPr>
        <w:t>【教学方法】</w:t>
      </w:r>
    </w:p>
    <w:p w14:paraId="5BFFBA29"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Times New Roman" w:hint="eastAsia"/>
          <w:sz w:val="24"/>
          <w:szCs w:val="24"/>
        </w:rPr>
        <w:t>1.通过多媒体课件</w:t>
      </w:r>
      <w:r w:rsidRPr="0036092D">
        <w:rPr>
          <w:rFonts w:ascii="宋体" w:eastAsia="宋体" w:hAnsi="宋体" w:cs="宋体" w:hint="eastAsia"/>
          <w:sz w:val="24"/>
          <w:szCs w:val="24"/>
        </w:rPr>
        <w:t>和传统教学相结合，阐明课程与教学基本原理，丰富学生课程与教学的基本知识结构，培养学生的职业规范；</w:t>
      </w:r>
    </w:p>
    <w:p w14:paraId="7C95A88F"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2. 采用课题分组讨论，通过安排学生提前预习，培养学生自主学习、独立思考的</w:t>
      </w:r>
      <w:proofErr w:type="gramStart"/>
      <w:r w:rsidRPr="0036092D">
        <w:rPr>
          <w:rFonts w:ascii="宋体" w:eastAsia="宋体" w:hAnsi="宋体" w:cs="宋体" w:hint="eastAsia"/>
          <w:sz w:val="24"/>
          <w:szCs w:val="24"/>
        </w:rPr>
        <w:t>的</w:t>
      </w:r>
      <w:proofErr w:type="gramEnd"/>
      <w:r w:rsidRPr="0036092D">
        <w:rPr>
          <w:rFonts w:ascii="宋体" w:eastAsia="宋体" w:hAnsi="宋体" w:cs="宋体" w:hint="eastAsia"/>
          <w:sz w:val="24"/>
          <w:szCs w:val="24"/>
        </w:rPr>
        <w:t>精神，强化学生对知识学习的应用意识，提升学生的教学技能。</w:t>
      </w:r>
    </w:p>
    <w:p w14:paraId="147064D9"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【复习思考】</w:t>
      </w:r>
    </w:p>
    <w:p w14:paraId="36D985B7" w14:textId="77777777" w:rsidR="0036092D" w:rsidRPr="0036092D" w:rsidRDefault="0036092D">
      <w:pPr>
        <w:numPr>
          <w:ilvl w:val="0"/>
          <w:numId w:val="169"/>
        </w:num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静脉注射给药的血药浓度变化</w:t>
      </w:r>
    </w:p>
    <w:p w14:paraId="51EB8FC0" w14:textId="77777777" w:rsidR="0036092D" w:rsidRPr="0036092D" w:rsidRDefault="0036092D">
      <w:pPr>
        <w:numPr>
          <w:ilvl w:val="0"/>
          <w:numId w:val="169"/>
        </w:numPr>
        <w:spacing w:line="440" w:lineRule="exact"/>
        <w:ind w:firstLineChars="200" w:firstLine="480"/>
        <w:rPr>
          <w:rFonts w:ascii="宋体" w:eastAsia="宋体" w:hAnsi="宋体" w:cs="宋体"/>
          <w:bCs/>
          <w:sz w:val="24"/>
          <w:szCs w:val="24"/>
        </w:rPr>
      </w:pPr>
      <w:r w:rsidRPr="0036092D">
        <w:rPr>
          <w:rFonts w:ascii="宋体" w:eastAsia="宋体" w:hAnsi="宋体" w:cs="宋体" w:hint="eastAsia"/>
          <w:bCs/>
          <w:sz w:val="24"/>
          <w:szCs w:val="24"/>
        </w:rPr>
        <w:t>静脉滴注时的血药浓度变化</w:t>
      </w:r>
    </w:p>
    <w:p w14:paraId="54F6A386" w14:textId="77777777" w:rsidR="0036092D" w:rsidRPr="0036092D" w:rsidRDefault="0036092D">
      <w:pPr>
        <w:numPr>
          <w:ilvl w:val="0"/>
          <w:numId w:val="169"/>
        </w:numPr>
        <w:spacing w:line="440" w:lineRule="exact"/>
        <w:ind w:firstLineChars="200" w:firstLine="480"/>
        <w:rPr>
          <w:rFonts w:ascii="宋体" w:eastAsia="宋体" w:hAnsi="宋体" w:cs="宋体"/>
          <w:bCs/>
          <w:sz w:val="24"/>
          <w:szCs w:val="24"/>
        </w:rPr>
      </w:pPr>
      <w:r w:rsidRPr="0036092D">
        <w:rPr>
          <w:rFonts w:ascii="宋体" w:eastAsia="宋体" w:hAnsi="宋体" w:cs="宋体" w:hint="eastAsia"/>
          <w:bCs/>
          <w:sz w:val="24"/>
          <w:szCs w:val="24"/>
        </w:rPr>
        <w:t>血管外给药时的血药浓度变化</w:t>
      </w:r>
    </w:p>
    <w:p w14:paraId="14EC1F4D" w14:textId="77777777" w:rsidR="0036092D" w:rsidRPr="0036092D" w:rsidRDefault="0036092D" w:rsidP="0036092D">
      <w:pPr>
        <w:spacing w:beforeLines="50" w:before="156" w:afterLines="50" w:after="156" w:line="440" w:lineRule="exact"/>
        <w:ind w:firstLineChars="200" w:firstLine="560"/>
        <w:jc w:val="center"/>
        <w:rPr>
          <w:rFonts w:ascii="黑体" w:eastAsia="黑体" w:hAnsi="黑体" w:cs="黑体"/>
          <w:bCs/>
          <w:sz w:val="28"/>
          <w:szCs w:val="28"/>
        </w:rPr>
      </w:pPr>
      <w:r w:rsidRPr="0036092D">
        <w:rPr>
          <w:rFonts w:ascii="黑体" w:eastAsia="黑体" w:hAnsi="黑体" w:cs="黑体" w:hint="eastAsia"/>
          <w:bCs/>
          <w:sz w:val="28"/>
          <w:szCs w:val="28"/>
        </w:rPr>
        <w:lastRenderedPageBreak/>
        <w:t>第九章  多室模型</w:t>
      </w:r>
    </w:p>
    <w:p w14:paraId="41799BB9"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【学习目标】</w:t>
      </w:r>
    </w:p>
    <w:p w14:paraId="7157DE5F"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1.认知类目标：</w:t>
      </w:r>
      <w:r w:rsidRPr="0036092D">
        <w:rPr>
          <w:rFonts w:ascii="宋体" w:eastAsia="宋体" w:hAnsi="宋体" w:cs="宋体" w:hint="eastAsia"/>
          <w:color w:val="000000"/>
          <w:sz w:val="24"/>
          <w:szCs w:val="24"/>
          <w:lang w:val="zh-CN"/>
        </w:rPr>
        <w:t>了解二室静脉注射、静脉滴注、血管外给药的血药浓度和时间的关系</w:t>
      </w:r>
      <w:r w:rsidRPr="0036092D">
        <w:rPr>
          <w:rFonts w:ascii="宋体" w:eastAsia="宋体" w:hAnsi="宋体" w:cs="宋体" w:hint="eastAsia"/>
          <w:sz w:val="24"/>
          <w:szCs w:val="24"/>
        </w:rPr>
        <w:t>；</w:t>
      </w:r>
    </w:p>
    <w:p w14:paraId="52FADE5E"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2</w:t>
      </w:r>
      <w:r w:rsidRPr="0036092D">
        <w:rPr>
          <w:rFonts w:ascii="宋体" w:eastAsia="宋体" w:hAnsi="宋体" w:cs="Times New Roman"/>
          <w:sz w:val="24"/>
          <w:szCs w:val="24"/>
        </w:rPr>
        <w:t xml:space="preserve">. </w:t>
      </w:r>
      <w:r w:rsidRPr="0036092D">
        <w:rPr>
          <w:rFonts w:ascii="宋体" w:eastAsia="宋体" w:hAnsi="宋体" w:cs="Times New Roman" w:hint="eastAsia"/>
          <w:sz w:val="24"/>
          <w:szCs w:val="24"/>
        </w:rPr>
        <w:t>过程与方法类目标：通过案例教学，</w:t>
      </w:r>
      <w:r w:rsidRPr="0036092D">
        <w:rPr>
          <w:rFonts w:ascii="宋体" w:eastAsia="宋体" w:hAnsi="宋体" w:cs="宋体" w:hint="eastAsia"/>
          <w:sz w:val="24"/>
          <w:szCs w:val="24"/>
        </w:rPr>
        <w:t>了解动力学模型在血药浓度计算时的作用；</w:t>
      </w:r>
    </w:p>
    <w:p w14:paraId="7D319FBA" w14:textId="77777777" w:rsidR="0036092D" w:rsidRPr="0036092D" w:rsidRDefault="0036092D" w:rsidP="0036092D">
      <w:pPr>
        <w:spacing w:line="440" w:lineRule="exact"/>
        <w:ind w:firstLineChars="200" w:firstLine="480"/>
        <w:rPr>
          <w:rFonts w:ascii="宋体" w:eastAsia="宋体" w:hAnsi="宋体" w:cs="Times New Roman"/>
          <w:b/>
          <w:sz w:val="24"/>
          <w:szCs w:val="24"/>
        </w:rPr>
      </w:pPr>
      <w:r w:rsidRPr="0036092D">
        <w:rPr>
          <w:rFonts w:ascii="宋体" w:eastAsia="宋体" w:hAnsi="宋体" w:cs="Times New Roman"/>
          <w:sz w:val="24"/>
          <w:szCs w:val="24"/>
        </w:rPr>
        <w:t xml:space="preserve">3. </w:t>
      </w:r>
      <w:r w:rsidRPr="0036092D">
        <w:rPr>
          <w:rFonts w:ascii="宋体" w:eastAsia="宋体" w:hAnsi="宋体" w:cs="Times New Roman" w:hint="eastAsia"/>
          <w:sz w:val="24"/>
          <w:szCs w:val="24"/>
        </w:rPr>
        <w:t>情感、态度、价值观类目标：通过专业理论的学习，了解</w:t>
      </w:r>
      <w:r w:rsidRPr="0036092D">
        <w:rPr>
          <w:rFonts w:ascii="宋体" w:eastAsia="宋体" w:hAnsi="宋体" w:cs="宋体" w:hint="eastAsia"/>
          <w:color w:val="000000"/>
          <w:spacing w:val="-1"/>
          <w:sz w:val="24"/>
          <w:szCs w:val="24"/>
        </w:rPr>
        <w:t>工业药剂师的职业性质和责任，在工程实践中能自觉遵</w:t>
      </w:r>
      <w:r w:rsidRPr="0036092D">
        <w:rPr>
          <w:rFonts w:ascii="宋体" w:eastAsia="宋体" w:hAnsi="宋体" w:cs="宋体" w:hint="eastAsia"/>
          <w:color w:val="000000"/>
          <w:sz w:val="24"/>
          <w:szCs w:val="24"/>
        </w:rPr>
        <w:t>守职业道德和规范，履行责任，具有法律意识</w:t>
      </w:r>
      <w:r w:rsidRPr="0036092D">
        <w:rPr>
          <w:rFonts w:ascii="Times New Roman" w:eastAsia="宋体" w:hAnsi="Times New Roman" w:cs="Times New Roman"/>
          <w:sz w:val="24"/>
          <w:szCs w:val="24"/>
        </w:rPr>
        <w:t>。</w:t>
      </w:r>
    </w:p>
    <w:p w14:paraId="73C98BC4"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【学习内容】</w:t>
      </w:r>
    </w:p>
    <w:p w14:paraId="1603DF4F"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1.</w:t>
      </w:r>
      <w:r w:rsidRPr="0036092D">
        <w:rPr>
          <w:rFonts w:ascii="宋体" w:eastAsia="宋体" w:hAnsi="宋体" w:cs="宋体" w:hint="eastAsia"/>
          <w:sz w:val="24"/>
          <w:szCs w:val="24"/>
        </w:rPr>
        <w:t xml:space="preserve"> 二室模型静脉注射给药</w:t>
      </w:r>
    </w:p>
    <w:p w14:paraId="2D9A8BFA"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2.</w:t>
      </w:r>
      <w:r w:rsidRPr="0036092D">
        <w:rPr>
          <w:rFonts w:ascii="宋体" w:eastAsia="宋体" w:hAnsi="宋体" w:cs="宋体" w:hint="eastAsia"/>
          <w:sz w:val="24"/>
          <w:szCs w:val="24"/>
        </w:rPr>
        <w:t xml:space="preserve"> 三室模型静脉注射给药</w:t>
      </w:r>
    </w:p>
    <w:p w14:paraId="1CF8CB17"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3.</w:t>
      </w:r>
      <w:r w:rsidRPr="0036092D">
        <w:rPr>
          <w:rFonts w:ascii="宋体" w:eastAsia="宋体" w:hAnsi="宋体" w:cs="宋体" w:hint="eastAsia"/>
          <w:sz w:val="24"/>
          <w:szCs w:val="24"/>
        </w:rPr>
        <w:t xml:space="preserve"> 二室模型静脉滴注给药</w:t>
      </w:r>
    </w:p>
    <w:p w14:paraId="0F93FFF5"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4.</w:t>
      </w:r>
      <w:r w:rsidRPr="0036092D">
        <w:rPr>
          <w:rFonts w:ascii="宋体" w:eastAsia="宋体" w:hAnsi="宋体" w:cs="宋体" w:hint="eastAsia"/>
          <w:sz w:val="24"/>
          <w:szCs w:val="24"/>
        </w:rPr>
        <w:t xml:space="preserve"> 二室模型血管外给药</w:t>
      </w:r>
    </w:p>
    <w:p w14:paraId="3BCF223C" w14:textId="77777777" w:rsidR="0036092D" w:rsidRPr="0036092D" w:rsidRDefault="0036092D" w:rsidP="0036092D">
      <w:pPr>
        <w:spacing w:line="440" w:lineRule="exact"/>
        <w:ind w:firstLineChars="200" w:firstLine="480"/>
        <w:jc w:val="left"/>
        <w:rPr>
          <w:rFonts w:ascii="宋体" w:eastAsia="宋体" w:hAnsi="宋体" w:cs="宋体"/>
          <w:b/>
          <w:bCs/>
          <w:color w:val="000000"/>
          <w:sz w:val="24"/>
          <w:szCs w:val="24"/>
          <w:lang w:val="zh-CN"/>
        </w:rPr>
      </w:pPr>
      <w:r w:rsidRPr="0036092D">
        <w:rPr>
          <w:rFonts w:ascii="宋体" w:eastAsia="宋体" w:hAnsi="宋体" w:cs="宋体" w:hint="eastAsia"/>
          <w:color w:val="000000"/>
          <w:sz w:val="24"/>
          <w:szCs w:val="24"/>
        </w:rPr>
        <w:t>5.</w:t>
      </w:r>
      <w:r w:rsidRPr="0036092D">
        <w:rPr>
          <w:rFonts w:ascii="宋体" w:eastAsia="宋体" w:hAnsi="宋体" w:cs="宋体" w:hint="eastAsia"/>
          <w:sz w:val="24"/>
          <w:szCs w:val="24"/>
        </w:rPr>
        <w:t xml:space="preserve"> 隔室模型的判别</w:t>
      </w:r>
    </w:p>
    <w:p w14:paraId="14613589"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【重点】 </w:t>
      </w:r>
    </w:p>
    <w:p w14:paraId="704F8529" w14:textId="77777777" w:rsidR="0036092D" w:rsidRPr="0036092D" w:rsidRDefault="0036092D" w:rsidP="0036092D">
      <w:pPr>
        <w:spacing w:line="440" w:lineRule="exact"/>
        <w:ind w:firstLineChars="200" w:firstLine="480"/>
        <w:rPr>
          <w:rFonts w:ascii="Times New Roman" w:eastAsia="宋体" w:hAnsi="Times New Roman" w:cs="Times New Roman"/>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color w:val="000000"/>
          <w:sz w:val="24"/>
          <w:szCs w:val="24"/>
          <w:lang w:val="zh-CN"/>
        </w:rPr>
        <w:t>药物动力学中隔室模型判别的方法</w:t>
      </w:r>
      <w:r w:rsidRPr="0036092D">
        <w:rPr>
          <w:rFonts w:ascii="Times New Roman" w:eastAsia="宋体" w:hAnsi="Times New Roman" w:cs="Times New Roman"/>
          <w:sz w:val="24"/>
          <w:szCs w:val="24"/>
        </w:rPr>
        <w:t>。</w:t>
      </w:r>
    </w:p>
    <w:p w14:paraId="35B45F2B"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【难点】 </w:t>
      </w:r>
    </w:p>
    <w:p w14:paraId="63B3D667" w14:textId="77777777" w:rsidR="0036092D" w:rsidRPr="0036092D" w:rsidRDefault="0036092D" w:rsidP="0036092D">
      <w:pPr>
        <w:spacing w:line="440" w:lineRule="exact"/>
        <w:ind w:firstLineChars="200" w:firstLine="480"/>
        <w:rPr>
          <w:rFonts w:ascii="Times New Roman" w:eastAsia="宋体" w:hAnsi="Times New Roman" w:cs="Times New Roman"/>
          <w:sz w:val="24"/>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color w:val="000000"/>
          <w:sz w:val="24"/>
          <w:szCs w:val="24"/>
          <w:lang w:val="zh-CN"/>
        </w:rPr>
        <w:t>多室模型中给药的血药浓度和时间的关系</w:t>
      </w:r>
      <w:r w:rsidRPr="0036092D">
        <w:rPr>
          <w:rFonts w:ascii="Times New Roman" w:eastAsia="宋体" w:hAnsi="Times New Roman" w:cs="Times New Roman"/>
          <w:sz w:val="24"/>
          <w:szCs w:val="24"/>
        </w:rPr>
        <w:t>。</w:t>
      </w:r>
    </w:p>
    <w:p w14:paraId="053508D6" w14:textId="77777777" w:rsidR="0036092D" w:rsidRPr="0036092D" w:rsidRDefault="0036092D" w:rsidP="0036092D">
      <w:pPr>
        <w:spacing w:line="400" w:lineRule="exact"/>
        <w:ind w:firstLineChars="200" w:firstLine="482"/>
        <w:rPr>
          <w:rFonts w:ascii="Times New Roman" w:eastAsia="宋体" w:hAnsi="Times New Roman" w:cs="Times New Roman"/>
          <w:sz w:val="24"/>
          <w:szCs w:val="24"/>
        </w:rPr>
      </w:pPr>
      <w:r w:rsidRPr="0036092D">
        <w:rPr>
          <w:rFonts w:ascii="宋体" w:eastAsia="宋体" w:hAnsi="宋体" w:cs="Times New Roman" w:hint="eastAsia"/>
          <w:b/>
          <w:bCs/>
          <w:sz w:val="24"/>
          <w:szCs w:val="24"/>
        </w:rPr>
        <w:t>【教学方法】</w:t>
      </w:r>
    </w:p>
    <w:p w14:paraId="5EA09DEE"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52D7A966"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2. 采用课题分组讨论，通过安排学生提前预习，培养学生自主学习、独立思考的</w:t>
      </w:r>
      <w:proofErr w:type="gramStart"/>
      <w:r w:rsidRPr="0036092D">
        <w:rPr>
          <w:rFonts w:ascii="宋体" w:eastAsia="宋体" w:hAnsi="宋体" w:cs="宋体" w:hint="eastAsia"/>
          <w:sz w:val="24"/>
          <w:szCs w:val="24"/>
        </w:rPr>
        <w:t>的</w:t>
      </w:r>
      <w:proofErr w:type="gramEnd"/>
      <w:r w:rsidRPr="0036092D">
        <w:rPr>
          <w:rFonts w:ascii="宋体" w:eastAsia="宋体" w:hAnsi="宋体" w:cs="宋体" w:hint="eastAsia"/>
          <w:sz w:val="24"/>
          <w:szCs w:val="24"/>
        </w:rPr>
        <w:t>精神，强化学生对知识学习的应用意识，提升学生的教学技能。</w:t>
      </w:r>
    </w:p>
    <w:p w14:paraId="368A8426"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【复习思考】</w:t>
      </w:r>
    </w:p>
    <w:p w14:paraId="7AFC7454" w14:textId="77777777" w:rsidR="0036092D" w:rsidRPr="0036092D" w:rsidRDefault="0036092D">
      <w:pPr>
        <w:numPr>
          <w:ilvl w:val="0"/>
          <w:numId w:val="170"/>
        </w:numPr>
        <w:spacing w:line="440" w:lineRule="exact"/>
        <w:ind w:leftChars="200" w:left="420"/>
        <w:rPr>
          <w:rFonts w:ascii="宋体" w:eastAsia="宋体" w:hAnsi="宋体" w:cs="宋体"/>
          <w:bCs/>
          <w:sz w:val="24"/>
          <w:szCs w:val="24"/>
        </w:rPr>
      </w:pPr>
      <w:r w:rsidRPr="0036092D">
        <w:rPr>
          <w:rFonts w:ascii="宋体" w:eastAsia="宋体" w:hAnsi="宋体" w:cs="宋体" w:hint="eastAsia"/>
          <w:color w:val="000000"/>
          <w:sz w:val="24"/>
          <w:szCs w:val="24"/>
          <w:lang w:val="zh-CN"/>
        </w:rPr>
        <w:t>药物动力学中隔室模型判别的方法</w:t>
      </w:r>
    </w:p>
    <w:p w14:paraId="4207A224" w14:textId="77777777" w:rsidR="0036092D" w:rsidRPr="0036092D" w:rsidRDefault="0036092D">
      <w:pPr>
        <w:numPr>
          <w:ilvl w:val="0"/>
          <w:numId w:val="170"/>
        </w:numPr>
        <w:spacing w:line="440" w:lineRule="exact"/>
        <w:ind w:leftChars="200" w:left="420"/>
        <w:rPr>
          <w:rFonts w:ascii="宋体" w:eastAsia="宋体" w:hAnsi="宋体" w:cs="宋体"/>
          <w:bCs/>
          <w:sz w:val="24"/>
          <w:szCs w:val="24"/>
        </w:rPr>
      </w:pPr>
      <w:r w:rsidRPr="0036092D">
        <w:rPr>
          <w:rFonts w:ascii="宋体" w:eastAsia="宋体" w:hAnsi="宋体" w:cs="宋体" w:hint="eastAsia"/>
          <w:bCs/>
          <w:sz w:val="24"/>
          <w:szCs w:val="24"/>
        </w:rPr>
        <w:t>二室模型中血药浓度变化和时间的关系</w:t>
      </w:r>
    </w:p>
    <w:p w14:paraId="39E42103" w14:textId="77777777" w:rsidR="0036092D" w:rsidRPr="0036092D" w:rsidRDefault="0036092D" w:rsidP="0036092D">
      <w:pPr>
        <w:spacing w:beforeLines="50" w:before="156" w:afterLines="50" w:after="156" w:line="440" w:lineRule="exact"/>
        <w:ind w:firstLineChars="200" w:firstLine="560"/>
        <w:jc w:val="center"/>
        <w:rPr>
          <w:rFonts w:ascii="黑体" w:eastAsia="黑体" w:hAnsi="黑体" w:cs="黑体"/>
          <w:bCs/>
          <w:sz w:val="28"/>
          <w:szCs w:val="28"/>
        </w:rPr>
      </w:pPr>
      <w:r w:rsidRPr="0036092D">
        <w:rPr>
          <w:rFonts w:ascii="黑体" w:eastAsia="黑体" w:hAnsi="黑体" w:cs="黑体" w:hint="eastAsia"/>
          <w:bCs/>
          <w:sz w:val="28"/>
          <w:szCs w:val="28"/>
        </w:rPr>
        <w:t>第十章  多剂量给药</w:t>
      </w:r>
    </w:p>
    <w:p w14:paraId="7FD33312"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【学习目标】</w:t>
      </w:r>
    </w:p>
    <w:p w14:paraId="645B4893"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1.认知类目标：</w:t>
      </w:r>
      <w:r w:rsidRPr="0036092D">
        <w:rPr>
          <w:rFonts w:ascii="宋体" w:eastAsia="宋体" w:hAnsi="宋体" w:cs="宋体" w:hint="eastAsia"/>
          <w:color w:val="000000"/>
          <w:sz w:val="24"/>
          <w:szCs w:val="24"/>
          <w:lang w:val="zh-CN"/>
        </w:rPr>
        <w:t>通过学习能够推算出多剂量给药后，血药浓度和时间的关系，并掌握平均稳态血药浓度的计算</w:t>
      </w:r>
      <w:r w:rsidRPr="0036092D">
        <w:rPr>
          <w:rFonts w:ascii="宋体" w:eastAsia="宋体" w:hAnsi="宋体" w:cs="宋体" w:hint="eastAsia"/>
          <w:sz w:val="24"/>
          <w:szCs w:val="24"/>
        </w:rPr>
        <w:t>；</w:t>
      </w:r>
    </w:p>
    <w:p w14:paraId="1CFC262B"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2</w:t>
      </w:r>
      <w:r w:rsidRPr="0036092D">
        <w:rPr>
          <w:rFonts w:ascii="宋体" w:eastAsia="宋体" w:hAnsi="宋体" w:cs="Times New Roman"/>
          <w:sz w:val="24"/>
          <w:szCs w:val="24"/>
        </w:rPr>
        <w:t xml:space="preserve">. </w:t>
      </w:r>
      <w:r w:rsidRPr="0036092D">
        <w:rPr>
          <w:rFonts w:ascii="宋体" w:eastAsia="宋体" w:hAnsi="宋体" w:cs="Times New Roman" w:hint="eastAsia"/>
          <w:sz w:val="24"/>
          <w:szCs w:val="24"/>
        </w:rPr>
        <w:t>过程与方法类目标：</w:t>
      </w:r>
      <w:r w:rsidRPr="0036092D">
        <w:rPr>
          <w:rFonts w:ascii="宋体" w:eastAsia="宋体" w:hAnsi="宋体" w:cs="宋体" w:hint="eastAsia"/>
          <w:color w:val="000000"/>
          <w:sz w:val="24"/>
          <w:szCs w:val="24"/>
          <w:lang w:val="zh-CN"/>
        </w:rPr>
        <w:t>根据体内</w:t>
      </w:r>
      <w:r w:rsidRPr="0036092D">
        <w:rPr>
          <w:rFonts w:ascii="宋体" w:eastAsia="宋体" w:hAnsi="宋体" w:cs="宋体" w:hint="eastAsia"/>
          <w:sz w:val="24"/>
          <w:szCs w:val="24"/>
        </w:rPr>
        <w:t>药量的蓄积与血药浓度的波动，给临床用药提</w:t>
      </w:r>
      <w:r w:rsidRPr="0036092D">
        <w:rPr>
          <w:rFonts w:ascii="宋体" w:eastAsia="宋体" w:hAnsi="宋体" w:cs="宋体" w:hint="eastAsia"/>
          <w:sz w:val="24"/>
          <w:szCs w:val="24"/>
        </w:rPr>
        <w:lastRenderedPageBreak/>
        <w:t>供有意义的数据；</w:t>
      </w:r>
    </w:p>
    <w:p w14:paraId="1050EF47" w14:textId="77777777" w:rsidR="0036092D" w:rsidRPr="0036092D" w:rsidRDefault="0036092D" w:rsidP="0036092D">
      <w:pPr>
        <w:spacing w:line="440" w:lineRule="exact"/>
        <w:ind w:firstLineChars="200" w:firstLine="480"/>
        <w:rPr>
          <w:rFonts w:ascii="宋体" w:eastAsia="宋体" w:hAnsi="宋体" w:cs="Times New Roman"/>
          <w:b/>
          <w:sz w:val="24"/>
          <w:szCs w:val="24"/>
        </w:rPr>
      </w:pPr>
      <w:r w:rsidRPr="0036092D">
        <w:rPr>
          <w:rFonts w:ascii="宋体" w:eastAsia="宋体" w:hAnsi="宋体" w:cs="Times New Roman"/>
          <w:sz w:val="24"/>
          <w:szCs w:val="24"/>
        </w:rPr>
        <w:t xml:space="preserve">3. </w:t>
      </w:r>
      <w:r w:rsidRPr="0036092D">
        <w:rPr>
          <w:rFonts w:ascii="宋体" w:eastAsia="宋体" w:hAnsi="宋体" w:cs="Times New Roman" w:hint="eastAsia"/>
          <w:sz w:val="24"/>
          <w:szCs w:val="24"/>
        </w:rPr>
        <w:t>情感、态度、价值观类目标：通过专业理论的学习，了解</w:t>
      </w:r>
      <w:r w:rsidRPr="0036092D">
        <w:rPr>
          <w:rFonts w:ascii="宋体" w:eastAsia="宋体" w:hAnsi="宋体" w:cs="宋体" w:hint="eastAsia"/>
          <w:color w:val="000000"/>
          <w:spacing w:val="-1"/>
          <w:sz w:val="24"/>
          <w:szCs w:val="24"/>
        </w:rPr>
        <w:t>工业药剂师的职业性质和责任，在工程实践中能自觉遵</w:t>
      </w:r>
      <w:r w:rsidRPr="0036092D">
        <w:rPr>
          <w:rFonts w:ascii="宋体" w:eastAsia="宋体" w:hAnsi="宋体" w:cs="宋体" w:hint="eastAsia"/>
          <w:color w:val="000000"/>
          <w:sz w:val="24"/>
          <w:szCs w:val="24"/>
        </w:rPr>
        <w:t>守职业道德和规范，履行责任，具有法律意识</w:t>
      </w:r>
      <w:r w:rsidRPr="0036092D">
        <w:rPr>
          <w:rFonts w:ascii="Times New Roman" w:eastAsia="宋体" w:hAnsi="Times New Roman" w:cs="Times New Roman"/>
          <w:sz w:val="24"/>
          <w:szCs w:val="24"/>
        </w:rPr>
        <w:t>。</w:t>
      </w:r>
    </w:p>
    <w:p w14:paraId="0BF83E5A"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【学习内容】</w:t>
      </w:r>
    </w:p>
    <w:p w14:paraId="4D7CC814"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1.</w:t>
      </w:r>
      <w:r w:rsidRPr="0036092D">
        <w:rPr>
          <w:rFonts w:ascii="宋体" w:eastAsia="宋体" w:hAnsi="宋体" w:cs="宋体" w:hint="eastAsia"/>
          <w:sz w:val="24"/>
          <w:szCs w:val="24"/>
        </w:rPr>
        <w:t xml:space="preserve"> 多剂量给药血药浓度和时间的关系</w:t>
      </w:r>
    </w:p>
    <w:p w14:paraId="471488BF"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2.</w:t>
      </w:r>
      <w:r w:rsidRPr="0036092D">
        <w:rPr>
          <w:rFonts w:ascii="宋体" w:eastAsia="宋体" w:hAnsi="宋体" w:cs="宋体" w:hint="eastAsia"/>
          <w:sz w:val="24"/>
          <w:szCs w:val="24"/>
        </w:rPr>
        <w:t xml:space="preserve"> 平均稳态血药浓度</w:t>
      </w:r>
    </w:p>
    <w:p w14:paraId="79CEED49" w14:textId="77777777" w:rsidR="0036092D" w:rsidRPr="0036092D" w:rsidRDefault="0036092D" w:rsidP="0036092D">
      <w:pPr>
        <w:spacing w:line="440" w:lineRule="exact"/>
        <w:ind w:firstLineChars="200" w:firstLine="480"/>
        <w:jc w:val="left"/>
        <w:rPr>
          <w:rFonts w:ascii="宋体" w:eastAsia="宋体" w:hAnsi="宋体" w:cs="宋体"/>
          <w:color w:val="000000"/>
          <w:sz w:val="24"/>
          <w:szCs w:val="24"/>
        </w:rPr>
      </w:pPr>
      <w:r w:rsidRPr="0036092D">
        <w:rPr>
          <w:rFonts w:ascii="宋体" w:eastAsia="宋体" w:hAnsi="宋体" w:cs="宋体" w:hint="eastAsia"/>
          <w:sz w:val="24"/>
          <w:szCs w:val="24"/>
        </w:rPr>
        <w:t>3. 体内药量的蓄积与血药浓度的波动</w:t>
      </w:r>
    </w:p>
    <w:p w14:paraId="12720AEC"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【重点】 </w:t>
      </w:r>
    </w:p>
    <w:p w14:paraId="3C19CDE3" w14:textId="77777777" w:rsidR="0036092D" w:rsidRPr="0036092D" w:rsidRDefault="0036092D" w:rsidP="0036092D">
      <w:pPr>
        <w:spacing w:line="440" w:lineRule="exact"/>
        <w:ind w:firstLineChars="200" w:firstLine="480"/>
        <w:rPr>
          <w:rFonts w:ascii="Times New Roman" w:eastAsia="宋体" w:hAnsi="Times New Roman" w:cs="Times New Roman"/>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color w:val="000000"/>
          <w:sz w:val="24"/>
          <w:szCs w:val="24"/>
          <w:lang w:val="zh-CN"/>
        </w:rPr>
        <w:t>多剂量给药后，血药浓度和时间的关系，并掌握平均稳态血药浓度的计算</w:t>
      </w:r>
      <w:r w:rsidRPr="0036092D">
        <w:rPr>
          <w:rFonts w:ascii="Times New Roman" w:eastAsia="宋体" w:hAnsi="Times New Roman" w:cs="Times New Roman"/>
          <w:sz w:val="24"/>
          <w:szCs w:val="24"/>
        </w:rPr>
        <w:t>。</w:t>
      </w:r>
    </w:p>
    <w:p w14:paraId="44FC4240" w14:textId="77777777" w:rsidR="0036092D" w:rsidRPr="0036092D" w:rsidRDefault="0036092D" w:rsidP="0036092D">
      <w:pPr>
        <w:spacing w:line="400" w:lineRule="exact"/>
        <w:ind w:firstLineChars="200" w:firstLine="482"/>
        <w:rPr>
          <w:rFonts w:ascii="宋体" w:eastAsia="宋体" w:hAnsi="宋体" w:cs="Times New Roman"/>
          <w:bCs/>
          <w:sz w:val="24"/>
          <w:szCs w:val="24"/>
        </w:rPr>
      </w:pPr>
      <w:r w:rsidRPr="0036092D">
        <w:rPr>
          <w:rFonts w:ascii="宋体" w:eastAsia="宋体" w:hAnsi="宋体" w:cs="Times New Roman" w:hint="eastAsia"/>
          <w:b/>
          <w:sz w:val="24"/>
          <w:szCs w:val="24"/>
        </w:rPr>
        <w:t>【难点】</w:t>
      </w:r>
      <w:r w:rsidRPr="0036092D">
        <w:rPr>
          <w:rFonts w:ascii="宋体" w:eastAsia="宋体" w:hAnsi="宋体" w:cs="Times New Roman" w:hint="eastAsia"/>
          <w:bCs/>
          <w:sz w:val="24"/>
          <w:szCs w:val="24"/>
        </w:rPr>
        <w:t xml:space="preserve"> </w:t>
      </w:r>
    </w:p>
    <w:p w14:paraId="1C86615A" w14:textId="77777777" w:rsidR="0036092D" w:rsidRPr="0036092D" w:rsidRDefault="0036092D" w:rsidP="0036092D">
      <w:pPr>
        <w:spacing w:line="440" w:lineRule="exact"/>
        <w:ind w:firstLineChars="200" w:firstLine="480"/>
        <w:rPr>
          <w:rFonts w:ascii="Times New Roman" w:eastAsia="宋体" w:hAnsi="Times New Roman" w:cs="Times New Roman"/>
          <w:sz w:val="24"/>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color w:val="000000"/>
          <w:sz w:val="24"/>
          <w:szCs w:val="24"/>
          <w:lang w:val="zh-CN"/>
        </w:rPr>
        <w:t>多剂量给药后，血药浓度和时间的关系，并掌握平均稳态血药浓度的计算</w:t>
      </w:r>
      <w:r w:rsidRPr="0036092D">
        <w:rPr>
          <w:rFonts w:ascii="Times New Roman" w:eastAsia="宋体" w:hAnsi="Times New Roman" w:cs="Times New Roman"/>
          <w:sz w:val="24"/>
          <w:szCs w:val="24"/>
        </w:rPr>
        <w:t>。</w:t>
      </w:r>
    </w:p>
    <w:p w14:paraId="6A5173D6" w14:textId="77777777" w:rsidR="0036092D" w:rsidRPr="0036092D" w:rsidRDefault="0036092D" w:rsidP="0036092D">
      <w:pPr>
        <w:spacing w:line="400" w:lineRule="exact"/>
        <w:ind w:firstLineChars="200" w:firstLine="482"/>
        <w:rPr>
          <w:rFonts w:ascii="Times New Roman" w:eastAsia="宋体" w:hAnsi="Times New Roman" w:cs="Times New Roman"/>
          <w:sz w:val="24"/>
          <w:szCs w:val="24"/>
        </w:rPr>
      </w:pPr>
      <w:r w:rsidRPr="0036092D">
        <w:rPr>
          <w:rFonts w:ascii="宋体" w:eastAsia="宋体" w:hAnsi="宋体" w:cs="Times New Roman" w:hint="eastAsia"/>
          <w:b/>
          <w:bCs/>
          <w:sz w:val="24"/>
          <w:szCs w:val="24"/>
        </w:rPr>
        <w:t>【教学方法】</w:t>
      </w:r>
    </w:p>
    <w:p w14:paraId="51D5D725"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13AB90B1"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2. 采用课题分组讨论，通过安排学生提前预习，培养学生自主学习、独立思考的</w:t>
      </w:r>
      <w:proofErr w:type="gramStart"/>
      <w:r w:rsidRPr="0036092D">
        <w:rPr>
          <w:rFonts w:ascii="宋体" w:eastAsia="宋体" w:hAnsi="宋体" w:cs="宋体" w:hint="eastAsia"/>
          <w:sz w:val="24"/>
          <w:szCs w:val="24"/>
        </w:rPr>
        <w:t>的</w:t>
      </w:r>
      <w:proofErr w:type="gramEnd"/>
      <w:r w:rsidRPr="0036092D">
        <w:rPr>
          <w:rFonts w:ascii="宋体" w:eastAsia="宋体" w:hAnsi="宋体" w:cs="宋体" w:hint="eastAsia"/>
          <w:sz w:val="24"/>
          <w:szCs w:val="24"/>
        </w:rPr>
        <w:t>精神，强化学生对知识学习的应用意识，提升学生的教学技能。</w:t>
      </w:r>
    </w:p>
    <w:p w14:paraId="37DA9F82"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【复习思考】</w:t>
      </w:r>
    </w:p>
    <w:p w14:paraId="59260376" w14:textId="77777777" w:rsidR="0036092D" w:rsidRPr="0036092D" w:rsidRDefault="0036092D">
      <w:pPr>
        <w:numPr>
          <w:ilvl w:val="0"/>
          <w:numId w:val="171"/>
        </w:num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蓄积的概念和计算</w:t>
      </w:r>
    </w:p>
    <w:p w14:paraId="225F996A" w14:textId="77777777" w:rsidR="0036092D" w:rsidRPr="0036092D" w:rsidRDefault="0036092D">
      <w:pPr>
        <w:numPr>
          <w:ilvl w:val="0"/>
          <w:numId w:val="171"/>
        </w:numPr>
        <w:spacing w:line="440" w:lineRule="exact"/>
        <w:ind w:firstLineChars="200" w:firstLine="480"/>
        <w:rPr>
          <w:rFonts w:ascii="宋体" w:eastAsia="宋体" w:hAnsi="宋体" w:cs="宋体"/>
          <w:bCs/>
          <w:sz w:val="24"/>
          <w:szCs w:val="24"/>
        </w:rPr>
      </w:pPr>
      <w:r w:rsidRPr="0036092D">
        <w:rPr>
          <w:rFonts w:ascii="宋体" w:eastAsia="宋体" w:hAnsi="宋体" w:cs="宋体" w:hint="eastAsia"/>
          <w:bCs/>
          <w:sz w:val="24"/>
          <w:szCs w:val="24"/>
        </w:rPr>
        <w:t>稳态血药浓度的计算</w:t>
      </w:r>
    </w:p>
    <w:p w14:paraId="488D3F4A" w14:textId="77777777" w:rsidR="0036092D" w:rsidRPr="0036092D" w:rsidRDefault="0036092D" w:rsidP="0036092D">
      <w:pPr>
        <w:spacing w:beforeLines="50" w:before="156" w:afterLines="50" w:after="156" w:line="440" w:lineRule="exact"/>
        <w:ind w:firstLineChars="200" w:firstLine="560"/>
        <w:jc w:val="center"/>
        <w:rPr>
          <w:rFonts w:ascii="黑体" w:eastAsia="黑体" w:hAnsi="黑体" w:cs="黑体"/>
          <w:bCs/>
          <w:sz w:val="28"/>
          <w:szCs w:val="28"/>
        </w:rPr>
      </w:pPr>
      <w:r w:rsidRPr="0036092D">
        <w:rPr>
          <w:rFonts w:ascii="黑体" w:eastAsia="黑体" w:hAnsi="黑体" w:cs="黑体" w:hint="eastAsia"/>
          <w:bCs/>
          <w:sz w:val="28"/>
          <w:szCs w:val="28"/>
        </w:rPr>
        <w:t>第十一章  非线性药物动力学</w:t>
      </w:r>
    </w:p>
    <w:p w14:paraId="6DC1D42B"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【学习目标】</w:t>
      </w:r>
    </w:p>
    <w:p w14:paraId="3FF5711A"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1.认知类目标：</w:t>
      </w:r>
      <w:r w:rsidRPr="0036092D">
        <w:rPr>
          <w:rFonts w:ascii="宋体" w:eastAsia="宋体" w:hAnsi="宋体" w:cs="宋体" w:hint="eastAsia"/>
          <w:color w:val="000000"/>
          <w:sz w:val="24"/>
          <w:szCs w:val="24"/>
          <w:lang w:val="zh-CN"/>
        </w:rPr>
        <w:t>掌握非线性药物动力学的特点以及与现行药物动力学的区别</w:t>
      </w:r>
      <w:r w:rsidRPr="0036092D">
        <w:rPr>
          <w:rFonts w:ascii="宋体" w:eastAsia="宋体" w:hAnsi="宋体" w:cs="宋体" w:hint="eastAsia"/>
          <w:color w:val="000000"/>
          <w:sz w:val="24"/>
          <w:szCs w:val="24"/>
        </w:rPr>
        <w:t>,</w:t>
      </w:r>
      <w:r w:rsidRPr="0036092D">
        <w:rPr>
          <w:rFonts w:ascii="宋体" w:eastAsia="宋体" w:hAnsi="宋体" w:cs="宋体" w:hint="eastAsia"/>
          <w:color w:val="000000"/>
          <w:sz w:val="24"/>
          <w:szCs w:val="24"/>
          <w:lang w:val="zh-CN"/>
        </w:rPr>
        <w:t>了解非线性药物动力学的机制</w:t>
      </w:r>
      <w:r w:rsidRPr="0036092D">
        <w:rPr>
          <w:rFonts w:ascii="宋体" w:eastAsia="宋体" w:hAnsi="宋体" w:cs="宋体" w:hint="eastAsia"/>
          <w:sz w:val="24"/>
          <w:szCs w:val="24"/>
        </w:rPr>
        <w:t>；</w:t>
      </w:r>
    </w:p>
    <w:p w14:paraId="4600D979"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2</w:t>
      </w:r>
      <w:r w:rsidRPr="0036092D">
        <w:rPr>
          <w:rFonts w:ascii="宋体" w:eastAsia="宋体" w:hAnsi="宋体" w:cs="Times New Roman"/>
          <w:sz w:val="24"/>
          <w:szCs w:val="24"/>
        </w:rPr>
        <w:t xml:space="preserve">. </w:t>
      </w:r>
      <w:r w:rsidRPr="0036092D">
        <w:rPr>
          <w:rFonts w:ascii="宋体" w:eastAsia="宋体" w:hAnsi="宋体" w:cs="Times New Roman" w:hint="eastAsia"/>
          <w:sz w:val="24"/>
          <w:szCs w:val="24"/>
        </w:rPr>
        <w:t>过程与方法类目标：通过案例教学和查阅电子文献期刊，</w:t>
      </w:r>
      <w:r w:rsidRPr="0036092D">
        <w:rPr>
          <w:rFonts w:ascii="宋体" w:eastAsia="宋体" w:hAnsi="宋体" w:cs="宋体" w:hint="eastAsia"/>
          <w:sz w:val="24"/>
          <w:szCs w:val="24"/>
        </w:rPr>
        <w:t>了解非线性药物动力学药物的临床应用；</w:t>
      </w:r>
    </w:p>
    <w:p w14:paraId="29A3C76F" w14:textId="77777777" w:rsidR="0036092D" w:rsidRPr="0036092D" w:rsidRDefault="0036092D" w:rsidP="0036092D">
      <w:pPr>
        <w:spacing w:line="440" w:lineRule="exact"/>
        <w:ind w:firstLineChars="200" w:firstLine="480"/>
        <w:rPr>
          <w:rFonts w:ascii="宋体" w:eastAsia="宋体" w:hAnsi="宋体" w:cs="Times New Roman"/>
          <w:b/>
          <w:sz w:val="24"/>
          <w:szCs w:val="24"/>
        </w:rPr>
      </w:pPr>
      <w:r w:rsidRPr="0036092D">
        <w:rPr>
          <w:rFonts w:ascii="宋体" w:eastAsia="宋体" w:hAnsi="宋体" w:cs="Times New Roman"/>
          <w:sz w:val="24"/>
          <w:szCs w:val="24"/>
        </w:rPr>
        <w:t xml:space="preserve">3. </w:t>
      </w:r>
      <w:r w:rsidRPr="0036092D">
        <w:rPr>
          <w:rFonts w:ascii="宋体" w:eastAsia="宋体" w:hAnsi="宋体" w:cs="Times New Roman" w:hint="eastAsia"/>
          <w:sz w:val="24"/>
          <w:szCs w:val="24"/>
        </w:rPr>
        <w:t>情感、态度、价值观类目标：通过专业理论的学习，了解</w:t>
      </w:r>
      <w:r w:rsidRPr="0036092D">
        <w:rPr>
          <w:rFonts w:ascii="宋体" w:eastAsia="宋体" w:hAnsi="宋体" w:cs="宋体" w:hint="eastAsia"/>
          <w:color w:val="000000"/>
          <w:spacing w:val="-1"/>
          <w:sz w:val="24"/>
          <w:szCs w:val="24"/>
        </w:rPr>
        <w:t>工业药剂师的职业性质和责任，在工程实践中能自觉遵</w:t>
      </w:r>
      <w:r w:rsidRPr="0036092D">
        <w:rPr>
          <w:rFonts w:ascii="宋体" w:eastAsia="宋体" w:hAnsi="宋体" w:cs="宋体" w:hint="eastAsia"/>
          <w:color w:val="000000"/>
          <w:sz w:val="24"/>
          <w:szCs w:val="24"/>
        </w:rPr>
        <w:t>守职业道德和规范，履行责任，具有法律意识</w:t>
      </w:r>
      <w:r w:rsidRPr="0036092D">
        <w:rPr>
          <w:rFonts w:ascii="Times New Roman" w:eastAsia="宋体" w:hAnsi="Times New Roman" w:cs="Times New Roman"/>
          <w:sz w:val="24"/>
          <w:szCs w:val="24"/>
        </w:rPr>
        <w:t>。</w:t>
      </w:r>
    </w:p>
    <w:p w14:paraId="0B26A3F3"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【学习内容】</w:t>
      </w:r>
    </w:p>
    <w:p w14:paraId="646C64B6"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1.</w:t>
      </w:r>
      <w:r w:rsidRPr="0036092D">
        <w:rPr>
          <w:rFonts w:ascii="宋体" w:eastAsia="宋体" w:hAnsi="宋体" w:cs="宋体" w:hint="eastAsia"/>
          <w:sz w:val="24"/>
          <w:szCs w:val="24"/>
        </w:rPr>
        <w:t xml:space="preserve"> 概述</w:t>
      </w:r>
    </w:p>
    <w:p w14:paraId="2D60863D"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2.</w:t>
      </w:r>
      <w:r w:rsidRPr="0036092D">
        <w:rPr>
          <w:rFonts w:ascii="宋体" w:eastAsia="宋体" w:hAnsi="宋体" w:cs="宋体" w:hint="eastAsia"/>
          <w:sz w:val="24"/>
          <w:szCs w:val="24"/>
        </w:rPr>
        <w:t xml:space="preserve"> 非线性药物动力学方程</w:t>
      </w:r>
    </w:p>
    <w:p w14:paraId="6B0AB01E" w14:textId="77777777" w:rsidR="0036092D" w:rsidRPr="0036092D" w:rsidRDefault="0036092D" w:rsidP="0036092D">
      <w:pPr>
        <w:spacing w:line="440" w:lineRule="exact"/>
        <w:ind w:firstLineChars="200" w:firstLine="480"/>
        <w:jc w:val="left"/>
        <w:rPr>
          <w:rFonts w:ascii="宋体" w:eastAsia="宋体" w:hAnsi="宋体" w:cs="宋体"/>
          <w:color w:val="000000"/>
          <w:sz w:val="24"/>
          <w:szCs w:val="24"/>
        </w:rPr>
      </w:pPr>
      <w:r w:rsidRPr="0036092D">
        <w:rPr>
          <w:rFonts w:ascii="宋体" w:eastAsia="宋体" w:hAnsi="宋体" w:cs="宋体" w:hint="eastAsia"/>
          <w:sz w:val="24"/>
          <w:szCs w:val="24"/>
        </w:rPr>
        <w:t>3. 血药浓度和时间的关系</w:t>
      </w:r>
    </w:p>
    <w:p w14:paraId="14136690"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lastRenderedPageBreak/>
        <w:t xml:space="preserve">【重点】 </w:t>
      </w:r>
    </w:p>
    <w:p w14:paraId="475258EF" w14:textId="77777777" w:rsidR="0036092D" w:rsidRPr="0036092D" w:rsidRDefault="0036092D" w:rsidP="0036092D">
      <w:pPr>
        <w:spacing w:line="440" w:lineRule="exact"/>
        <w:ind w:firstLineChars="200" w:firstLine="480"/>
        <w:rPr>
          <w:rFonts w:ascii="Times New Roman" w:eastAsia="宋体" w:hAnsi="Times New Roman" w:cs="Times New Roman"/>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color w:val="000000"/>
          <w:sz w:val="24"/>
          <w:szCs w:val="24"/>
          <w:lang w:val="zh-CN"/>
        </w:rPr>
        <w:t>非线性药物动力学的特点以及与现行药物动力学的区别，了解非线性药物动力学的机制</w:t>
      </w:r>
      <w:r w:rsidRPr="0036092D">
        <w:rPr>
          <w:rFonts w:ascii="Times New Roman" w:eastAsia="宋体" w:hAnsi="Times New Roman" w:cs="Times New Roman"/>
          <w:sz w:val="24"/>
          <w:szCs w:val="24"/>
        </w:rPr>
        <w:t>。</w:t>
      </w:r>
    </w:p>
    <w:p w14:paraId="3D2AB2A0"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【难点】 </w:t>
      </w:r>
    </w:p>
    <w:p w14:paraId="2A1369E3" w14:textId="77777777" w:rsidR="0036092D" w:rsidRPr="0036092D" w:rsidRDefault="0036092D" w:rsidP="0036092D">
      <w:pPr>
        <w:spacing w:line="440" w:lineRule="exact"/>
        <w:ind w:firstLineChars="200" w:firstLine="480"/>
        <w:rPr>
          <w:rFonts w:ascii="Times New Roman" w:eastAsia="宋体" w:hAnsi="Times New Roman" w:cs="Times New Roman"/>
          <w:sz w:val="24"/>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color w:val="000000"/>
          <w:sz w:val="24"/>
          <w:szCs w:val="24"/>
          <w:lang w:val="zh-CN"/>
        </w:rPr>
        <w:t>非线性药物动力学的特点以及与现行药物动力学的区别，了解非线性药物动力学的机制</w:t>
      </w:r>
      <w:r w:rsidRPr="0036092D">
        <w:rPr>
          <w:rFonts w:ascii="Times New Roman" w:eastAsia="宋体" w:hAnsi="Times New Roman" w:cs="Times New Roman"/>
          <w:sz w:val="24"/>
          <w:szCs w:val="24"/>
        </w:rPr>
        <w:t>。</w:t>
      </w:r>
    </w:p>
    <w:p w14:paraId="45D1E110" w14:textId="77777777" w:rsidR="0036092D" w:rsidRPr="0036092D" w:rsidRDefault="0036092D" w:rsidP="0036092D">
      <w:pPr>
        <w:spacing w:line="400" w:lineRule="exact"/>
        <w:ind w:firstLineChars="200" w:firstLine="482"/>
        <w:rPr>
          <w:rFonts w:ascii="Times New Roman" w:eastAsia="宋体" w:hAnsi="Times New Roman" w:cs="Times New Roman"/>
          <w:sz w:val="24"/>
          <w:szCs w:val="24"/>
        </w:rPr>
      </w:pPr>
      <w:r w:rsidRPr="0036092D">
        <w:rPr>
          <w:rFonts w:ascii="宋体" w:eastAsia="宋体" w:hAnsi="宋体" w:cs="Times New Roman" w:hint="eastAsia"/>
          <w:b/>
          <w:bCs/>
          <w:sz w:val="24"/>
          <w:szCs w:val="24"/>
        </w:rPr>
        <w:t>【教学方法】</w:t>
      </w:r>
    </w:p>
    <w:p w14:paraId="1FB3F41D"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55A8B315"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2. 采用课题分组讨论，通过安排学生提前预习，培养学生自主学习、独立思考的</w:t>
      </w:r>
      <w:proofErr w:type="gramStart"/>
      <w:r w:rsidRPr="0036092D">
        <w:rPr>
          <w:rFonts w:ascii="宋体" w:eastAsia="宋体" w:hAnsi="宋体" w:cs="宋体" w:hint="eastAsia"/>
          <w:sz w:val="24"/>
          <w:szCs w:val="24"/>
        </w:rPr>
        <w:t>的</w:t>
      </w:r>
      <w:proofErr w:type="gramEnd"/>
      <w:r w:rsidRPr="0036092D">
        <w:rPr>
          <w:rFonts w:ascii="宋体" w:eastAsia="宋体" w:hAnsi="宋体" w:cs="宋体" w:hint="eastAsia"/>
          <w:sz w:val="24"/>
          <w:szCs w:val="24"/>
        </w:rPr>
        <w:t>精神，强化学生对知识学习的应用意识，提升学生的教学技能。</w:t>
      </w:r>
    </w:p>
    <w:p w14:paraId="43EB0F76"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【复习思考】</w:t>
      </w:r>
    </w:p>
    <w:p w14:paraId="2BBCEBC0" w14:textId="77777777" w:rsidR="0036092D" w:rsidRPr="0036092D" w:rsidRDefault="0036092D">
      <w:pPr>
        <w:numPr>
          <w:ilvl w:val="0"/>
          <w:numId w:val="172"/>
        </w:numPr>
        <w:spacing w:line="440" w:lineRule="exact"/>
        <w:ind w:leftChars="200" w:left="420"/>
        <w:rPr>
          <w:rFonts w:ascii="宋体" w:eastAsia="宋体" w:hAnsi="宋体" w:cs="宋体"/>
          <w:bCs/>
          <w:sz w:val="24"/>
          <w:szCs w:val="24"/>
        </w:rPr>
      </w:pPr>
      <w:r w:rsidRPr="0036092D">
        <w:rPr>
          <w:rFonts w:ascii="宋体" w:eastAsia="宋体" w:hAnsi="宋体" w:cs="宋体" w:hint="eastAsia"/>
          <w:bCs/>
          <w:sz w:val="24"/>
          <w:szCs w:val="24"/>
        </w:rPr>
        <w:t>非线性药物动力学的特点和机制</w:t>
      </w:r>
    </w:p>
    <w:p w14:paraId="09ACDBFA" w14:textId="77777777" w:rsidR="0036092D" w:rsidRPr="0036092D" w:rsidRDefault="0036092D">
      <w:pPr>
        <w:numPr>
          <w:ilvl w:val="0"/>
          <w:numId w:val="172"/>
        </w:numPr>
        <w:spacing w:line="440" w:lineRule="exact"/>
        <w:ind w:leftChars="200" w:left="420"/>
        <w:rPr>
          <w:rFonts w:ascii="宋体" w:eastAsia="宋体" w:hAnsi="宋体" w:cs="宋体"/>
          <w:bCs/>
          <w:sz w:val="24"/>
          <w:szCs w:val="24"/>
        </w:rPr>
      </w:pPr>
      <w:r w:rsidRPr="0036092D">
        <w:rPr>
          <w:rFonts w:ascii="宋体" w:eastAsia="宋体" w:hAnsi="宋体" w:cs="宋体" w:hint="eastAsia"/>
          <w:bCs/>
          <w:sz w:val="24"/>
          <w:szCs w:val="24"/>
        </w:rPr>
        <w:t>线性药物动力学的基本特征</w:t>
      </w:r>
    </w:p>
    <w:p w14:paraId="477FB447" w14:textId="77777777" w:rsidR="0036092D" w:rsidRPr="0036092D" w:rsidRDefault="0036092D" w:rsidP="0036092D">
      <w:pPr>
        <w:spacing w:beforeLines="50" w:before="156" w:afterLines="50" w:after="156" w:line="440" w:lineRule="exact"/>
        <w:ind w:firstLineChars="200" w:firstLine="560"/>
        <w:jc w:val="center"/>
        <w:rPr>
          <w:rFonts w:ascii="黑体" w:eastAsia="黑体" w:hAnsi="黑体" w:cs="黑体"/>
          <w:bCs/>
          <w:sz w:val="28"/>
          <w:szCs w:val="28"/>
        </w:rPr>
      </w:pPr>
      <w:r w:rsidRPr="0036092D">
        <w:rPr>
          <w:rFonts w:ascii="黑体" w:eastAsia="黑体" w:hAnsi="黑体" w:cs="黑体" w:hint="eastAsia"/>
          <w:bCs/>
          <w:sz w:val="28"/>
          <w:szCs w:val="28"/>
        </w:rPr>
        <w:t>第十二章  药物动力学在临床药学中的应用</w:t>
      </w:r>
    </w:p>
    <w:p w14:paraId="0933D2F3"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【学习目标】</w:t>
      </w:r>
    </w:p>
    <w:p w14:paraId="24306EE0"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1.认知类目标：</w:t>
      </w:r>
      <w:r w:rsidRPr="0036092D">
        <w:rPr>
          <w:rFonts w:ascii="宋体" w:eastAsia="宋体" w:hAnsi="宋体" w:cs="宋体" w:hint="eastAsia"/>
          <w:color w:val="000000"/>
          <w:sz w:val="24"/>
          <w:szCs w:val="24"/>
          <w:lang w:val="zh-CN"/>
        </w:rPr>
        <w:t>根据用药个体的具体情况以及药物的动力学和药效学特征，设计合理的给药方案，并通过监测，体现给药方案的具体化</w:t>
      </w:r>
      <w:r w:rsidRPr="0036092D">
        <w:rPr>
          <w:rFonts w:ascii="宋体" w:eastAsia="宋体" w:hAnsi="宋体" w:cs="宋体" w:hint="eastAsia"/>
          <w:sz w:val="24"/>
          <w:szCs w:val="24"/>
        </w:rPr>
        <w:t>；</w:t>
      </w:r>
    </w:p>
    <w:p w14:paraId="711A3C7F"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2</w:t>
      </w:r>
      <w:r w:rsidRPr="0036092D">
        <w:rPr>
          <w:rFonts w:ascii="宋体" w:eastAsia="宋体" w:hAnsi="宋体" w:cs="Times New Roman"/>
          <w:sz w:val="24"/>
          <w:szCs w:val="24"/>
        </w:rPr>
        <w:t xml:space="preserve">. </w:t>
      </w:r>
      <w:r w:rsidRPr="0036092D">
        <w:rPr>
          <w:rFonts w:ascii="宋体" w:eastAsia="宋体" w:hAnsi="宋体" w:cs="Times New Roman" w:hint="eastAsia"/>
          <w:sz w:val="24"/>
          <w:szCs w:val="24"/>
        </w:rPr>
        <w:t>过程与方法类目标：通过案例教学，</w:t>
      </w:r>
      <w:r w:rsidRPr="0036092D">
        <w:rPr>
          <w:rFonts w:ascii="宋体" w:eastAsia="宋体" w:hAnsi="宋体" w:cs="宋体" w:hint="eastAsia"/>
          <w:sz w:val="24"/>
          <w:szCs w:val="24"/>
        </w:rPr>
        <w:t>了解药物动力学在临床药学中的应用；</w:t>
      </w:r>
    </w:p>
    <w:p w14:paraId="168FCC06" w14:textId="77777777" w:rsidR="0036092D" w:rsidRPr="0036092D" w:rsidRDefault="0036092D" w:rsidP="0036092D">
      <w:pPr>
        <w:spacing w:line="440" w:lineRule="exact"/>
        <w:ind w:firstLineChars="200" w:firstLine="480"/>
        <w:rPr>
          <w:rFonts w:ascii="宋体" w:eastAsia="宋体" w:hAnsi="宋体" w:cs="Times New Roman"/>
          <w:b/>
          <w:sz w:val="24"/>
          <w:szCs w:val="24"/>
        </w:rPr>
      </w:pPr>
      <w:r w:rsidRPr="0036092D">
        <w:rPr>
          <w:rFonts w:ascii="宋体" w:eastAsia="宋体" w:hAnsi="宋体" w:cs="Times New Roman"/>
          <w:sz w:val="24"/>
          <w:szCs w:val="24"/>
        </w:rPr>
        <w:t xml:space="preserve">3. </w:t>
      </w:r>
      <w:r w:rsidRPr="0036092D">
        <w:rPr>
          <w:rFonts w:ascii="宋体" w:eastAsia="宋体" w:hAnsi="宋体" w:cs="Times New Roman" w:hint="eastAsia"/>
          <w:sz w:val="24"/>
          <w:szCs w:val="24"/>
        </w:rPr>
        <w:t>情感、态度、价值观类目标：通过专业理论的学习，了解</w:t>
      </w:r>
      <w:r w:rsidRPr="0036092D">
        <w:rPr>
          <w:rFonts w:ascii="宋体" w:eastAsia="宋体" w:hAnsi="宋体" w:cs="宋体" w:hint="eastAsia"/>
          <w:color w:val="000000"/>
          <w:spacing w:val="-1"/>
          <w:sz w:val="24"/>
          <w:szCs w:val="24"/>
        </w:rPr>
        <w:t>工业药剂师的职业性质和责任，在工程实践中能自觉遵</w:t>
      </w:r>
      <w:r w:rsidRPr="0036092D">
        <w:rPr>
          <w:rFonts w:ascii="宋体" w:eastAsia="宋体" w:hAnsi="宋体" w:cs="宋体" w:hint="eastAsia"/>
          <w:color w:val="000000"/>
          <w:sz w:val="24"/>
          <w:szCs w:val="24"/>
        </w:rPr>
        <w:t>守职业道德和规范，履行责任，具有法律意识</w:t>
      </w:r>
      <w:r w:rsidRPr="0036092D">
        <w:rPr>
          <w:rFonts w:ascii="Times New Roman" w:eastAsia="宋体" w:hAnsi="Times New Roman" w:cs="Times New Roman"/>
          <w:sz w:val="24"/>
          <w:szCs w:val="24"/>
        </w:rPr>
        <w:t>。</w:t>
      </w:r>
    </w:p>
    <w:p w14:paraId="2592CDA2"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【学习内容】</w:t>
      </w:r>
    </w:p>
    <w:p w14:paraId="0BE79653"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1.</w:t>
      </w:r>
      <w:r w:rsidRPr="0036092D">
        <w:rPr>
          <w:rFonts w:ascii="宋体" w:eastAsia="宋体" w:hAnsi="宋体" w:cs="宋体" w:hint="eastAsia"/>
          <w:sz w:val="24"/>
          <w:szCs w:val="24"/>
        </w:rPr>
        <w:t xml:space="preserve"> 给药方案设计</w:t>
      </w:r>
    </w:p>
    <w:p w14:paraId="4E7E92CB"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2.</w:t>
      </w:r>
      <w:r w:rsidRPr="0036092D">
        <w:rPr>
          <w:rFonts w:ascii="宋体" w:eastAsia="宋体" w:hAnsi="宋体" w:cs="宋体" w:hint="eastAsia"/>
          <w:sz w:val="24"/>
          <w:szCs w:val="24"/>
        </w:rPr>
        <w:t xml:space="preserve"> 治疗药物的监测与给药方案的个体化</w:t>
      </w:r>
    </w:p>
    <w:p w14:paraId="68D248C4" w14:textId="77777777" w:rsidR="0036092D" w:rsidRPr="0036092D" w:rsidRDefault="0036092D" w:rsidP="0036092D">
      <w:pPr>
        <w:spacing w:line="440" w:lineRule="exact"/>
        <w:ind w:firstLineChars="200" w:firstLine="480"/>
        <w:jc w:val="left"/>
        <w:rPr>
          <w:rFonts w:ascii="宋体" w:eastAsia="宋体" w:hAnsi="宋体" w:cs="宋体"/>
          <w:b/>
          <w:bCs/>
          <w:color w:val="000000"/>
          <w:sz w:val="24"/>
          <w:szCs w:val="24"/>
        </w:rPr>
      </w:pPr>
      <w:r w:rsidRPr="0036092D">
        <w:rPr>
          <w:rFonts w:ascii="宋体" w:eastAsia="宋体" w:hAnsi="宋体" w:cs="宋体" w:hint="eastAsia"/>
          <w:sz w:val="24"/>
          <w:szCs w:val="24"/>
        </w:rPr>
        <w:t>3. 群体药物动力学</w:t>
      </w:r>
    </w:p>
    <w:p w14:paraId="663E6AEE"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【重点】 </w:t>
      </w:r>
    </w:p>
    <w:p w14:paraId="0399239A" w14:textId="77777777" w:rsidR="0036092D" w:rsidRPr="0036092D" w:rsidRDefault="0036092D" w:rsidP="0036092D">
      <w:pPr>
        <w:spacing w:line="440" w:lineRule="exact"/>
        <w:ind w:firstLineChars="200" w:firstLine="480"/>
        <w:rPr>
          <w:rFonts w:ascii="Times New Roman" w:eastAsia="宋体" w:hAnsi="Times New Roman" w:cs="Times New Roman"/>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color w:val="000000"/>
          <w:sz w:val="24"/>
          <w:szCs w:val="24"/>
          <w:lang w:val="zh-CN"/>
        </w:rPr>
        <w:t>如何根据用药个体的具体情况以及药物的动力学和药效学特征，设计合理的给药方案</w:t>
      </w:r>
      <w:r w:rsidRPr="0036092D">
        <w:rPr>
          <w:rFonts w:ascii="Times New Roman" w:eastAsia="宋体" w:hAnsi="Times New Roman" w:cs="Times New Roman"/>
          <w:sz w:val="24"/>
          <w:szCs w:val="24"/>
        </w:rPr>
        <w:t>。</w:t>
      </w:r>
    </w:p>
    <w:p w14:paraId="24F77714"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【难点】 </w:t>
      </w:r>
    </w:p>
    <w:p w14:paraId="44A01395" w14:textId="77777777" w:rsidR="0036092D" w:rsidRPr="0036092D" w:rsidRDefault="0036092D" w:rsidP="0036092D">
      <w:pPr>
        <w:spacing w:line="440" w:lineRule="exact"/>
        <w:ind w:firstLineChars="200" w:firstLine="480"/>
        <w:rPr>
          <w:rFonts w:ascii="Times New Roman" w:eastAsia="宋体" w:hAnsi="Times New Roman" w:cs="Times New Roman"/>
          <w:sz w:val="24"/>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color w:val="000000"/>
          <w:sz w:val="24"/>
          <w:szCs w:val="24"/>
          <w:lang w:val="zh-CN"/>
        </w:rPr>
        <w:t>如何根据用药个体的具体情况以及药物的动力学和药效学特征，设计合理的给药方案</w:t>
      </w:r>
      <w:r w:rsidRPr="0036092D">
        <w:rPr>
          <w:rFonts w:ascii="Times New Roman" w:eastAsia="宋体" w:hAnsi="Times New Roman" w:cs="Times New Roman"/>
          <w:sz w:val="24"/>
          <w:szCs w:val="24"/>
        </w:rPr>
        <w:t>。</w:t>
      </w:r>
    </w:p>
    <w:p w14:paraId="4C1C0263" w14:textId="77777777" w:rsidR="0036092D" w:rsidRPr="0036092D" w:rsidRDefault="0036092D" w:rsidP="0036092D">
      <w:pPr>
        <w:spacing w:line="400" w:lineRule="exact"/>
        <w:ind w:firstLineChars="200" w:firstLine="482"/>
        <w:rPr>
          <w:rFonts w:ascii="Times New Roman" w:eastAsia="宋体" w:hAnsi="Times New Roman" w:cs="Times New Roman"/>
          <w:sz w:val="24"/>
          <w:szCs w:val="24"/>
        </w:rPr>
      </w:pPr>
      <w:r w:rsidRPr="0036092D">
        <w:rPr>
          <w:rFonts w:ascii="宋体" w:eastAsia="宋体" w:hAnsi="宋体" w:cs="Times New Roman" w:hint="eastAsia"/>
          <w:b/>
          <w:bCs/>
          <w:sz w:val="24"/>
          <w:szCs w:val="24"/>
        </w:rPr>
        <w:lastRenderedPageBreak/>
        <w:t>【教学方法】</w:t>
      </w:r>
    </w:p>
    <w:p w14:paraId="69945FD6"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7C2D86B4"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2. 采用课题分组讨论，通过安排学生提前预习，培养学生自主学习、独立思考的</w:t>
      </w:r>
      <w:proofErr w:type="gramStart"/>
      <w:r w:rsidRPr="0036092D">
        <w:rPr>
          <w:rFonts w:ascii="宋体" w:eastAsia="宋体" w:hAnsi="宋体" w:cs="宋体" w:hint="eastAsia"/>
          <w:sz w:val="24"/>
          <w:szCs w:val="24"/>
        </w:rPr>
        <w:t>的</w:t>
      </w:r>
      <w:proofErr w:type="gramEnd"/>
      <w:r w:rsidRPr="0036092D">
        <w:rPr>
          <w:rFonts w:ascii="宋体" w:eastAsia="宋体" w:hAnsi="宋体" w:cs="宋体" w:hint="eastAsia"/>
          <w:sz w:val="24"/>
          <w:szCs w:val="24"/>
        </w:rPr>
        <w:t>精神，强化学生对知识学习的应用意识，提升学生的教学技能。</w:t>
      </w:r>
    </w:p>
    <w:p w14:paraId="7995B228"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【复习思考】</w:t>
      </w:r>
    </w:p>
    <w:p w14:paraId="7EE091A7" w14:textId="77777777" w:rsidR="0036092D" w:rsidRPr="0036092D" w:rsidRDefault="0036092D">
      <w:pPr>
        <w:numPr>
          <w:ilvl w:val="0"/>
          <w:numId w:val="173"/>
        </w:num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给药方案的设计的基本方法</w:t>
      </w:r>
    </w:p>
    <w:p w14:paraId="0840ADE1" w14:textId="77777777" w:rsidR="0036092D" w:rsidRPr="0036092D" w:rsidRDefault="0036092D">
      <w:pPr>
        <w:numPr>
          <w:ilvl w:val="0"/>
          <w:numId w:val="173"/>
        </w:numPr>
        <w:spacing w:line="440" w:lineRule="exact"/>
        <w:ind w:firstLineChars="200" w:firstLine="480"/>
        <w:rPr>
          <w:rFonts w:ascii="宋体" w:eastAsia="宋体" w:hAnsi="宋体" w:cs="宋体"/>
          <w:bCs/>
          <w:sz w:val="24"/>
          <w:szCs w:val="24"/>
        </w:rPr>
      </w:pPr>
      <w:r w:rsidRPr="0036092D">
        <w:rPr>
          <w:rFonts w:ascii="宋体" w:eastAsia="宋体" w:hAnsi="宋体" w:cs="宋体" w:hint="eastAsia"/>
          <w:bCs/>
          <w:sz w:val="24"/>
          <w:szCs w:val="24"/>
        </w:rPr>
        <w:t>群体药物动力学的概念和研究方法</w:t>
      </w:r>
    </w:p>
    <w:p w14:paraId="345B4E1B" w14:textId="77777777" w:rsidR="0036092D" w:rsidRPr="0036092D" w:rsidRDefault="0036092D" w:rsidP="0036092D">
      <w:pPr>
        <w:spacing w:beforeLines="50" w:before="156" w:afterLines="50" w:after="156" w:line="440" w:lineRule="exact"/>
        <w:ind w:firstLineChars="200" w:firstLine="560"/>
        <w:jc w:val="center"/>
        <w:rPr>
          <w:rFonts w:ascii="黑体" w:eastAsia="黑体" w:hAnsi="黑体" w:cs="黑体"/>
          <w:bCs/>
          <w:sz w:val="28"/>
          <w:szCs w:val="28"/>
        </w:rPr>
      </w:pPr>
      <w:r w:rsidRPr="0036092D">
        <w:rPr>
          <w:rFonts w:ascii="黑体" w:eastAsia="黑体" w:hAnsi="黑体" w:cs="黑体" w:hint="eastAsia"/>
          <w:bCs/>
          <w:sz w:val="28"/>
          <w:szCs w:val="28"/>
        </w:rPr>
        <w:t>第十三章  药物动力学在新药研究中的应用</w:t>
      </w:r>
    </w:p>
    <w:p w14:paraId="2DD03295"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【学习目标】</w:t>
      </w:r>
    </w:p>
    <w:p w14:paraId="273150A0"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1.认知类目标：</w:t>
      </w:r>
      <w:r w:rsidRPr="0036092D">
        <w:rPr>
          <w:rFonts w:ascii="宋体" w:eastAsia="宋体" w:hAnsi="宋体" w:cs="宋体" w:hint="eastAsia"/>
          <w:color w:val="000000"/>
          <w:sz w:val="24"/>
          <w:szCs w:val="24"/>
          <w:lang w:val="zh-CN"/>
        </w:rPr>
        <w:t>了解新药药物动力学研究的内容，掌握生物利用度和生物等效性的基本概念</w:t>
      </w:r>
      <w:r w:rsidRPr="0036092D">
        <w:rPr>
          <w:rFonts w:ascii="宋体" w:eastAsia="宋体" w:hAnsi="宋体" w:cs="宋体" w:hint="eastAsia"/>
          <w:sz w:val="24"/>
          <w:szCs w:val="24"/>
        </w:rPr>
        <w:t>；</w:t>
      </w:r>
    </w:p>
    <w:p w14:paraId="29EEE371"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2</w:t>
      </w:r>
      <w:r w:rsidRPr="0036092D">
        <w:rPr>
          <w:rFonts w:ascii="宋体" w:eastAsia="宋体" w:hAnsi="宋体" w:cs="Times New Roman"/>
          <w:sz w:val="24"/>
          <w:szCs w:val="24"/>
        </w:rPr>
        <w:t xml:space="preserve">. </w:t>
      </w:r>
      <w:r w:rsidRPr="0036092D">
        <w:rPr>
          <w:rFonts w:ascii="宋体" w:eastAsia="宋体" w:hAnsi="宋体" w:cs="Times New Roman" w:hint="eastAsia"/>
          <w:sz w:val="24"/>
          <w:szCs w:val="24"/>
        </w:rPr>
        <w:t>过程与方法类目标：通过查阅电子文献期刊，</w:t>
      </w:r>
      <w:r w:rsidRPr="0036092D">
        <w:rPr>
          <w:rFonts w:ascii="宋体" w:eastAsia="宋体" w:hAnsi="宋体" w:cs="宋体" w:hint="eastAsia"/>
          <w:color w:val="000000"/>
          <w:sz w:val="24"/>
          <w:szCs w:val="24"/>
          <w:lang w:val="zh-CN"/>
        </w:rPr>
        <w:t>熟悉</w:t>
      </w:r>
      <w:r w:rsidRPr="0036092D">
        <w:rPr>
          <w:rFonts w:ascii="宋体" w:eastAsia="宋体" w:hAnsi="宋体" w:cs="宋体" w:hint="eastAsia"/>
          <w:sz w:val="24"/>
          <w:szCs w:val="24"/>
        </w:rPr>
        <w:t>缓、控制剂的药物动力学，了解生物药剂学未来的发展趋势；</w:t>
      </w:r>
    </w:p>
    <w:p w14:paraId="4C982D4F" w14:textId="77777777" w:rsidR="0036092D" w:rsidRPr="0036092D" w:rsidRDefault="0036092D" w:rsidP="0036092D">
      <w:pPr>
        <w:spacing w:line="440" w:lineRule="exact"/>
        <w:ind w:firstLineChars="200" w:firstLine="480"/>
        <w:rPr>
          <w:rFonts w:ascii="宋体" w:eastAsia="宋体" w:hAnsi="宋体" w:cs="Times New Roman"/>
          <w:b/>
          <w:sz w:val="24"/>
          <w:szCs w:val="24"/>
        </w:rPr>
      </w:pPr>
      <w:r w:rsidRPr="0036092D">
        <w:rPr>
          <w:rFonts w:ascii="宋体" w:eastAsia="宋体" w:hAnsi="宋体" w:cs="Times New Roman"/>
          <w:sz w:val="24"/>
          <w:szCs w:val="24"/>
        </w:rPr>
        <w:t xml:space="preserve">3. </w:t>
      </w:r>
      <w:r w:rsidRPr="0036092D">
        <w:rPr>
          <w:rFonts w:ascii="宋体" w:eastAsia="宋体" w:hAnsi="宋体" w:cs="Times New Roman" w:hint="eastAsia"/>
          <w:sz w:val="24"/>
          <w:szCs w:val="24"/>
        </w:rPr>
        <w:t>情感、态度、价值观类目标：通过专业理论的学习，了解</w:t>
      </w:r>
      <w:r w:rsidRPr="0036092D">
        <w:rPr>
          <w:rFonts w:ascii="宋体" w:eastAsia="宋体" w:hAnsi="宋体" w:cs="宋体" w:hint="eastAsia"/>
          <w:color w:val="000000"/>
          <w:spacing w:val="-1"/>
          <w:sz w:val="24"/>
          <w:szCs w:val="24"/>
        </w:rPr>
        <w:t>工业药剂师的职业性质和责任，在工程实践中能自觉遵</w:t>
      </w:r>
      <w:r w:rsidRPr="0036092D">
        <w:rPr>
          <w:rFonts w:ascii="宋体" w:eastAsia="宋体" w:hAnsi="宋体" w:cs="宋体" w:hint="eastAsia"/>
          <w:color w:val="000000"/>
          <w:sz w:val="24"/>
          <w:szCs w:val="24"/>
        </w:rPr>
        <w:t>守职业道德和规范，履行责任，具有法律意识</w:t>
      </w:r>
      <w:r w:rsidRPr="0036092D">
        <w:rPr>
          <w:rFonts w:ascii="Times New Roman" w:eastAsia="宋体" w:hAnsi="Times New Roman" w:cs="Times New Roman"/>
          <w:sz w:val="24"/>
          <w:szCs w:val="24"/>
        </w:rPr>
        <w:t>。</w:t>
      </w:r>
    </w:p>
    <w:p w14:paraId="050EFF94" w14:textId="77777777" w:rsidR="0036092D" w:rsidRPr="0036092D" w:rsidRDefault="0036092D" w:rsidP="0036092D">
      <w:pPr>
        <w:spacing w:line="44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【学习内容】</w:t>
      </w:r>
    </w:p>
    <w:p w14:paraId="2B6F7602"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1.</w:t>
      </w:r>
      <w:r w:rsidRPr="0036092D">
        <w:rPr>
          <w:rFonts w:ascii="宋体" w:eastAsia="宋体" w:hAnsi="宋体" w:cs="宋体" w:hint="eastAsia"/>
          <w:sz w:val="24"/>
          <w:szCs w:val="24"/>
        </w:rPr>
        <w:t xml:space="preserve"> 新药药物动力学研究的内容</w:t>
      </w:r>
    </w:p>
    <w:p w14:paraId="6E0EE8C4"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color w:val="000000"/>
          <w:sz w:val="24"/>
          <w:szCs w:val="24"/>
        </w:rPr>
        <w:t>2.</w:t>
      </w:r>
      <w:r w:rsidRPr="0036092D">
        <w:rPr>
          <w:rFonts w:ascii="宋体" w:eastAsia="宋体" w:hAnsi="宋体" w:cs="宋体" w:hint="eastAsia"/>
          <w:sz w:val="24"/>
          <w:szCs w:val="24"/>
        </w:rPr>
        <w:t xml:space="preserve"> 生物利用度和生物等效性</w:t>
      </w:r>
    </w:p>
    <w:p w14:paraId="4D049054" w14:textId="77777777" w:rsidR="0036092D" w:rsidRPr="0036092D" w:rsidRDefault="0036092D" w:rsidP="0036092D">
      <w:pPr>
        <w:spacing w:line="440" w:lineRule="exact"/>
        <w:ind w:firstLineChars="200" w:firstLine="480"/>
        <w:jc w:val="left"/>
        <w:rPr>
          <w:rFonts w:ascii="宋体" w:eastAsia="宋体" w:hAnsi="宋体" w:cs="宋体"/>
          <w:sz w:val="24"/>
          <w:szCs w:val="24"/>
        </w:rPr>
      </w:pPr>
      <w:r w:rsidRPr="0036092D">
        <w:rPr>
          <w:rFonts w:ascii="宋体" w:eastAsia="宋体" w:hAnsi="宋体" w:cs="宋体" w:hint="eastAsia"/>
          <w:sz w:val="24"/>
          <w:szCs w:val="24"/>
        </w:rPr>
        <w:t>3. 缓、控制剂的药物动力学</w:t>
      </w:r>
    </w:p>
    <w:p w14:paraId="4321BA5C"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【重点】 </w:t>
      </w:r>
    </w:p>
    <w:p w14:paraId="7FF73F13" w14:textId="77777777" w:rsidR="0036092D" w:rsidRPr="0036092D" w:rsidRDefault="0036092D" w:rsidP="0036092D">
      <w:pPr>
        <w:spacing w:line="440" w:lineRule="exact"/>
        <w:ind w:firstLineChars="200" w:firstLine="480"/>
        <w:rPr>
          <w:rFonts w:ascii="Times New Roman" w:eastAsia="宋体" w:hAnsi="Times New Roman" w:cs="Times New Roman"/>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color w:val="000000"/>
          <w:sz w:val="24"/>
          <w:szCs w:val="24"/>
          <w:lang w:val="zh-CN"/>
        </w:rPr>
        <w:t>生物利用度和生物等效性的基本概念</w:t>
      </w:r>
      <w:r w:rsidRPr="0036092D">
        <w:rPr>
          <w:rFonts w:ascii="Times New Roman" w:eastAsia="宋体" w:hAnsi="Times New Roman" w:cs="Times New Roman"/>
          <w:sz w:val="24"/>
          <w:szCs w:val="24"/>
        </w:rPr>
        <w:t>。</w:t>
      </w:r>
    </w:p>
    <w:p w14:paraId="4B3BAC12"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 xml:space="preserve">【难点】 </w:t>
      </w:r>
    </w:p>
    <w:p w14:paraId="4B45053B" w14:textId="77777777" w:rsidR="0036092D" w:rsidRPr="0036092D" w:rsidRDefault="0036092D" w:rsidP="0036092D">
      <w:pPr>
        <w:spacing w:line="440" w:lineRule="exact"/>
        <w:ind w:firstLineChars="200" w:firstLine="480"/>
        <w:rPr>
          <w:rFonts w:ascii="Times New Roman" w:eastAsia="宋体" w:hAnsi="Times New Roman" w:cs="Times New Roman"/>
          <w:sz w:val="24"/>
          <w:szCs w:val="24"/>
        </w:rPr>
      </w:pPr>
      <w:r w:rsidRPr="0036092D">
        <w:rPr>
          <w:rFonts w:ascii="宋体" w:eastAsia="宋体" w:hAnsi="宋体" w:cs="Times New Roman" w:hint="eastAsia"/>
          <w:bCs/>
          <w:sz w:val="24"/>
          <w:szCs w:val="24"/>
        </w:rPr>
        <w:t>1.</w:t>
      </w:r>
      <w:r w:rsidRPr="0036092D">
        <w:rPr>
          <w:rFonts w:ascii="Times New Roman" w:eastAsia="宋体" w:hAnsi="Times New Roman" w:cs="Times New Roman" w:hint="eastAsia"/>
          <w:sz w:val="24"/>
          <w:szCs w:val="24"/>
        </w:rPr>
        <w:t>缓、控制剂的药物动力学特征</w:t>
      </w:r>
      <w:r w:rsidRPr="0036092D">
        <w:rPr>
          <w:rFonts w:ascii="Times New Roman" w:eastAsia="宋体" w:hAnsi="Times New Roman" w:cs="Times New Roman"/>
          <w:sz w:val="24"/>
          <w:szCs w:val="24"/>
        </w:rPr>
        <w:t>。</w:t>
      </w:r>
    </w:p>
    <w:p w14:paraId="31E68858" w14:textId="77777777" w:rsidR="0036092D" w:rsidRPr="0036092D" w:rsidRDefault="0036092D" w:rsidP="0036092D">
      <w:pPr>
        <w:spacing w:line="400" w:lineRule="exact"/>
        <w:ind w:firstLineChars="200" w:firstLine="482"/>
        <w:rPr>
          <w:rFonts w:ascii="Times New Roman" w:eastAsia="宋体" w:hAnsi="Times New Roman" w:cs="Times New Roman"/>
          <w:sz w:val="24"/>
          <w:szCs w:val="24"/>
        </w:rPr>
      </w:pPr>
      <w:r w:rsidRPr="0036092D">
        <w:rPr>
          <w:rFonts w:ascii="宋体" w:eastAsia="宋体" w:hAnsi="宋体" w:cs="Times New Roman" w:hint="eastAsia"/>
          <w:b/>
          <w:bCs/>
          <w:sz w:val="24"/>
          <w:szCs w:val="24"/>
        </w:rPr>
        <w:t>【教学方法】</w:t>
      </w:r>
    </w:p>
    <w:p w14:paraId="74095EA0"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268004FB" w14:textId="77777777" w:rsidR="0036092D" w:rsidRPr="0036092D" w:rsidRDefault="0036092D" w:rsidP="0036092D">
      <w:pPr>
        <w:spacing w:line="440" w:lineRule="exact"/>
        <w:ind w:firstLineChars="200" w:firstLine="480"/>
        <w:rPr>
          <w:rFonts w:ascii="Times New Roman" w:eastAsia="宋体" w:hAnsi="Times New Roman" w:cs="Times New Roman"/>
          <w:sz w:val="24"/>
          <w:szCs w:val="24"/>
        </w:rPr>
      </w:pPr>
      <w:r w:rsidRPr="0036092D">
        <w:rPr>
          <w:rFonts w:ascii="宋体" w:eastAsia="宋体" w:hAnsi="宋体" w:cs="宋体" w:hint="eastAsia"/>
          <w:sz w:val="24"/>
          <w:szCs w:val="24"/>
        </w:rPr>
        <w:t>2. 采用课题分组讨论，通过安排学生提前预习，培养学生自主学习、独立思考的</w:t>
      </w:r>
      <w:proofErr w:type="gramStart"/>
      <w:r w:rsidRPr="0036092D">
        <w:rPr>
          <w:rFonts w:ascii="宋体" w:eastAsia="宋体" w:hAnsi="宋体" w:cs="宋体" w:hint="eastAsia"/>
          <w:sz w:val="24"/>
          <w:szCs w:val="24"/>
        </w:rPr>
        <w:t>的</w:t>
      </w:r>
      <w:proofErr w:type="gramEnd"/>
      <w:r w:rsidRPr="0036092D">
        <w:rPr>
          <w:rFonts w:ascii="宋体" w:eastAsia="宋体" w:hAnsi="宋体" w:cs="宋体" w:hint="eastAsia"/>
          <w:sz w:val="24"/>
          <w:szCs w:val="24"/>
        </w:rPr>
        <w:t>精神，强化学生对知识学习的应用意识，提升学生的教学技能</w:t>
      </w:r>
      <w:r w:rsidRPr="0036092D">
        <w:rPr>
          <w:rFonts w:ascii="Times New Roman" w:eastAsia="宋体" w:hAnsi="Times New Roman" w:cs="Times New Roman"/>
          <w:sz w:val="24"/>
          <w:szCs w:val="24"/>
        </w:rPr>
        <w:t>。</w:t>
      </w:r>
    </w:p>
    <w:p w14:paraId="184BD78B" w14:textId="77777777" w:rsidR="0036092D" w:rsidRPr="0036092D" w:rsidRDefault="0036092D" w:rsidP="0036092D">
      <w:pPr>
        <w:spacing w:line="400" w:lineRule="exact"/>
        <w:ind w:firstLineChars="200" w:firstLine="482"/>
        <w:rPr>
          <w:rFonts w:ascii="宋体" w:eastAsia="宋体" w:hAnsi="宋体" w:cs="Times New Roman"/>
          <w:b/>
          <w:sz w:val="24"/>
          <w:szCs w:val="24"/>
        </w:rPr>
      </w:pPr>
      <w:r w:rsidRPr="0036092D">
        <w:rPr>
          <w:rFonts w:ascii="宋体" w:eastAsia="宋体" w:hAnsi="宋体" w:cs="Times New Roman" w:hint="eastAsia"/>
          <w:b/>
          <w:sz w:val="24"/>
          <w:szCs w:val="24"/>
        </w:rPr>
        <w:t>【复习思考】</w:t>
      </w:r>
    </w:p>
    <w:p w14:paraId="3098B87A" w14:textId="77777777" w:rsidR="0036092D" w:rsidRPr="0036092D" w:rsidRDefault="0036092D">
      <w:pPr>
        <w:numPr>
          <w:ilvl w:val="0"/>
          <w:numId w:val="174"/>
        </w:numPr>
        <w:spacing w:line="440" w:lineRule="exact"/>
        <w:ind w:leftChars="200" w:left="420"/>
        <w:rPr>
          <w:rFonts w:ascii="宋体" w:eastAsia="宋体" w:hAnsi="宋体" w:cs="宋体"/>
          <w:bCs/>
          <w:sz w:val="24"/>
          <w:szCs w:val="24"/>
        </w:rPr>
      </w:pPr>
      <w:r w:rsidRPr="0036092D">
        <w:rPr>
          <w:rFonts w:ascii="宋体" w:eastAsia="宋体" w:hAnsi="宋体" w:cs="宋体" w:hint="eastAsia"/>
          <w:sz w:val="24"/>
          <w:szCs w:val="24"/>
        </w:rPr>
        <w:t>生物利用度的概念</w:t>
      </w:r>
    </w:p>
    <w:p w14:paraId="6DE9F703" w14:textId="77777777" w:rsidR="0036092D" w:rsidRPr="0036092D" w:rsidRDefault="0036092D">
      <w:pPr>
        <w:numPr>
          <w:ilvl w:val="0"/>
          <w:numId w:val="174"/>
        </w:numPr>
        <w:spacing w:line="440" w:lineRule="exact"/>
        <w:ind w:leftChars="200" w:left="420"/>
        <w:rPr>
          <w:rFonts w:ascii="宋体" w:eastAsia="宋体" w:hAnsi="宋体" w:cs="宋体"/>
          <w:bCs/>
          <w:sz w:val="24"/>
          <w:szCs w:val="24"/>
        </w:rPr>
      </w:pPr>
      <w:r w:rsidRPr="0036092D">
        <w:rPr>
          <w:rFonts w:ascii="宋体" w:eastAsia="宋体" w:hAnsi="宋体" w:cs="宋体" w:hint="eastAsia"/>
          <w:bCs/>
          <w:sz w:val="24"/>
          <w:szCs w:val="24"/>
        </w:rPr>
        <w:lastRenderedPageBreak/>
        <w:t>生物等效性、药学等效性、基本类似药物的区别</w:t>
      </w:r>
    </w:p>
    <w:p w14:paraId="43B60E00" w14:textId="77777777" w:rsidR="0036092D" w:rsidRPr="0036092D" w:rsidRDefault="0036092D" w:rsidP="0036092D">
      <w:pPr>
        <w:spacing w:beforeLines="50" w:before="156" w:afterLines="50" w:after="156" w:line="440" w:lineRule="exact"/>
        <w:ind w:left="561"/>
        <w:rPr>
          <w:rFonts w:ascii="仿宋" w:eastAsia="仿宋" w:hAnsi="仿宋" w:cs="Times New Roman"/>
          <w:sz w:val="24"/>
          <w:szCs w:val="24"/>
        </w:rPr>
      </w:pPr>
      <w:r w:rsidRPr="0036092D">
        <w:rPr>
          <w:rFonts w:ascii="黑体" w:eastAsia="黑体" w:hAnsi="黑体" w:cs="Times New Roman" w:hint="eastAsia"/>
          <w:sz w:val="28"/>
          <w:szCs w:val="28"/>
        </w:rPr>
        <w:t>（二）课程学习内容与课程学习目标的对应关系</w:t>
      </w:r>
      <w:r w:rsidRPr="0036092D">
        <w:rPr>
          <w:rFonts w:ascii="仿宋" w:eastAsia="仿宋" w:hAnsi="仿宋" w:cs="Times New Roman" w:hint="eastAsia"/>
          <w:sz w:val="24"/>
          <w:szCs w:val="24"/>
        </w:rPr>
        <w:t xml:space="preserve"> </w:t>
      </w:r>
    </w:p>
    <w:tbl>
      <w:tblPr>
        <w:tblW w:w="8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09"/>
        <w:gridCol w:w="2169"/>
        <w:gridCol w:w="2115"/>
        <w:gridCol w:w="1132"/>
      </w:tblGrid>
      <w:tr w:rsidR="0036092D" w:rsidRPr="0036092D" w14:paraId="74D33FC2" w14:textId="77777777" w:rsidTr="00B602D6">
        <w:trPr>
          <w:trHeight w:val="660"/>
          <w:jc w:val="center"/>
        </w:trPr>
        <w:tc>
          <w:tcPr>
            <w:tcW w:w="2709" w:type="dxa"/>
            <w:vAlign w:val="center"/>
          </w:tcPr>
          <w:p w14:paraId="3A43DCA8" w14:textId="77777777" w:rsidR="0036092D" w:rsidRPr="0036092D" w:rsidRDefault="0036092D" w:rsidP="0036092D">
            <w:pPr>
              <w:spacing w:line="440" w:lineRule="exact"/>
              <w:jc w:val="center"/>
              <w:rPr>
                <w:rFonts w:ascii="宋体" w:eastAsia="宋体" w:hAnsi="宋体" w:cs="Times New Roman"/>
                <w:b/>
                <w:bCs/>
                <w:sz w:val="24"/>
                <w:szCs w:val="24"/>
              </w:rPr>
            </w:pPr>
            <w:r w:rsidRPr="0036092D">
              <w:rPr>
                <w:rFonts w:ascii="宋体" w:eastAsia="宋体" w:hAnsi="宋体" w:cs="Times New Roman" w:hint="eastAsia"/>
                <w:b/>
                <w:bCs/>
                <w:sz w:val="24"/>
                <w:szCs w:val="24"/>
              </w:rPr>
              <w:t>课程学习内容</w:t>
            </w:r>
          </w:p>
        </w:tc>
        <w:tc>
          <w:tcPr>
            <w:tcW w:w="2169" w:type="dxa"/>
            <w:vAlign w:val="center"/>
          </w:tcPr>
          <w:p w14:paraId="5874FDE2" w14:textId="77777777" w:rsidR="0036092D" w:rsidRPr="0036092D" w:rsidRDefault="0036092D" w:rsidP="0036092D">
            <w:pPr>
              <w:spacing w:line="440" w:lineRule="exact"/>
              <w:jc w:val="center"/>
              <w:rPr>
                <w:rFonts w:ascii="宋体" w:eastAsia="宋体" w:hAnsi="宋体" w:cs="Times New Roman"/>
                <w:b/>
                <w:bCs/>
                <w:sz w:val="24"/>
                <w:szCs w:val="24"/>
              </w:rPr>
            </w:pPr>
            <w:r w:rsidRPr="0036092D">
              <w:rPr>
                <w:rFonts w:ascii="宋体" w:eastAsia="宋体" w:hAnsi="宋体" w:cs="Times New Roman" w:hint="eastAsia"/>
                <w:b/>
                <w:bCs/>
                <w:sz w:val="24"/>
                <w:szCs w:val="24"/>
              </w:rPr>
              <w:t>教学方法</w:t>
            </w:r>
          </w:p>
        </w:tc>
        <w:tc>
          <w:tcPr>
            <w:tcW w:w="2115" w:type="dxa"/>
            <w:vAlign w:val="center"/>
          </w:tcPr>
          <w:p w14:paraId="1B3CB3AD" w14:textId="77777777" w:rsidR="0036092D" w:rsidRPr="0036092D" w:rsidRDefault="0036092D" w:rsidP="0036092D">
            <w:pPr>
              <w:spacing w:line="440" w:lineRule="exact"/>
              <w:jc w:val="center"/>
              <w:rPr>
                <w:rFonts w:ascii="宋体" w:eastAsia="宋体" w:hAnsi="宋体" w:cs="Times New Roman"/>
                <w:b/>
                <w:bCs/>
                <w:sz w:val="24"/>
                <w:szCs w:val="24"/>
              </w:rPr>
            </w:pPr>
            <w:r w:rsidRPr="0036092D">
              <w:rPr>
                <w:rFonts w:ascii="宋体" w:eastAsia="宋体" w:hAnsi="宋体" w:cs="Times New Roman" w:hint="eastAsia"/>
                <w:b/>
                <w:bCs/>
                <w:sz w:val="24"/>
                <w:szCs w:val="24"/>
              </w:rPr>
              <w:t>支撑的课程目标</w:t>
            </w:r>
          </w:p>
        </w:tc>
        <w:tc>
          <w:tcPr>
            <w:tcW w:w="1132" w:type="dxa"/>
            <w:vAlign w:val="center"/>
          </w:tcPr>
          <w:p w14:paraId="02C5AEE5" w14:textId="77777777" w:rsidR="0036092D" w:rsidRPr="0036092D" w:rsidRDefault="0036092D" w:rsidP="0036092D">
            <w:pPr>
              <w:spacing w:line="440" w:lineRule="exact"/>
              <w:jc w:val="center"/>
              <w:rPr>
                <w:rFonts w:ascii="宋体" w:eastAsia="宋体" w:hAnsi="宋体" w:cs="Times New Roman"/>
                <w:b/>
                <w:bCs/>
                <w:sz w:val="24"/>
                <w:szCs w:val="24"/>
              </w:rPr>
            </w:pPr>
            <w:r w:rsidRPr="0036092D">
              <w:rPr>
                <w:rFonts w:ascii="宋体" w:eastAsia="宋体" w:hAnsi="宋体" w:cs="Times New Roman" w:hint="eastAsia"/>
                <w:b/>
                <w:bCs/>
                <w:sz w:val="24"/>
                <w:szCs w:val="24"/>
              </w:rPr>
              <w:t>学时安排</w:t>
            </w:r>
          </w:p>
        </w:tc>
      </w:tr>
      <w:tr w:rsidR="0036092D" w:rsidRPr="0036092D" w14:paraId="22331D68" w14:textId="77777777" w:rsidTr="00B602D6">
        <w:trPr>
          <w:trHeight w:val="514"/>
          <w:jc w:val="center"/>
        </w:trPr>
        <w:tc>
          <w:tcPr>
            <w:tcW w:w="2709" w:type="dxa"/>
          </w:tcPr>
          <w:p w14:paraId="6741FB00" w14:textId="77777777" w:rsidR="0036092D" w:rsidRPr="0036092D" w:rsidRDefault="0036092D" w:rsidP="0036092D">
            <w:pPr>
              <w:spacing w:line="440" w:lineRule="exact"/>
              <w:jc w:val="left"/>
              <w:rPr>
                <w:rFonts w:ascii="Times New Roman" w:eastAsia="宋体" w:hAnsi="Times New Roman" w:cs="Times New Roman"/>
                <w:sz w:val="24"/>
                <w:szCs w:val="24"/>
              </w:rPr>
            </w:pPr>
            <w:r w:rsidRPr="0036092D">
              <w:rPr>
                <w:rFonts w:ascii="Times New Roman" w:eastAsia="宋体" w:hAnsi="Times New Roman" w:cs="Times New Roman"/>
                <w:sz w:val="24"/>
                <w:szCs w:val="24"/>
              </w:rPr>
              <w:t>第</w:t>
            </w:r>
            <w:r w:rsidRPr="0036092D">
              <w:rPr>
                <w:rFonts w:ascii="Times New Roman" w:eastAsia="宋体" w:hAnsi="Times New Roman" w:cs="Times New Roman" w:hint="eastAsia"/>
                <w:sz w:val="24"/>
                <w:szCs w:val="24"/>
              </w:rPr>
              <w:t>一</w:t>
            </w:r>
            <w:r w:rsidRPr="0036092D">
              <w:rPr>
                <w:rFonts w:ascii="Times New Roman" w:eastAsia="宋体" w:hAnsi="Times New Roman" w:cs="Times New Roman"/>
                <w:sz w:val="24"/>
                <w:szCs w:val="24"/>
              </w:rPr>
              <w:t>章</w:t>
            </w:r>
            <w:r w:rsidRPr="0036092D">
              <w:rPr>
                <w:rFonts w:ascii="Times New Roman" w:eastAsia="宋体" w:hAnsi="Times New Roman" w:cs="Times New Roman"/>
                <w:sz w:val="24"/>
                <w:szCs w:val="24"/>
              </w:rPr>
              <w:t xml:space="preserve"> </w:t>
            </w:r>
            <w:r w:rsidRPr="0036092D">
              <w:rPr>
                <w:rFonts w:ascii="Times New Roman" w:eastAsia="宋体" w:hAnsi="Times New Roman" w:cs="Times New Roman" w:hint="eastAsia"/>
                <w:sz w:val="24"/>
                <w:szCs w:val="24"/>
              </w:rPr>
              <w:t>生物药剂学概述</w:t>
            </w:r>
          </w:p>
        </w:tc>
        <w:tc>
          <w:tcPr>
            <w:tcW w:w="2169" w:type="dxa"/>
            <w:vAlign w:val="center"/>
          </w:tcPr>
          <w:p w14:paraId="694713C7"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讲授法、</w:t>
            </w:r>
            <w:r w:rsidRPr="0036092D">
              <w:rPr>
                <w:rFonts w:ascii="宋体" w:eastAsia="宋体" w:hAnsi="宋体" w:cs="Times New Roman"/>
                <w:sz w:val="24"/>
                <w:szCs w:val="24"/>
              </w:rPr>
              <w:t>课堂汇报</w:t>
            </w:r>
          </w:p>
        </w:tc>
        <w:tc>
          <w:tcPr>
            <w:tcW w:w="2115" w:type="dxa"/>
            <w:vAlign w:val="center"/>
          </w:tcPr>
          <w:p w14:paraId="66CE9EE5"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w:t>
            </w:r>
            <w:r w:rsidRPr="0036092D">
              <w:rPr>
                <w:rFonts w:ascii="宋体" w:eastAsia="宋体" w:hAnsi="宋体" w:cs="Times New Roman"/>
                <w:sz w:val="24"/>
                <w:szCs w:val="24"/>
              </w:rPr>
              <w:t>目标</w:t>
            </w:r>
            <w:r w:rsidRPr="0036092D">
              <w:rPr>
                <w:rFonts w:ascii="宋体" w:eastAsia="宋体" w:hAnsi="宋体" w:cs="Times New Roman" w:hint="eastAsia"/>
                <w:sz w:val="24"/>
                <w:szCs w:val="24"/>
              </w:rPr>
              <w:t>1、2</w:t>
            </w:r>
          </w:p>
        </w:tc>
        <w:tc>
          <w:tcPr>
            <w:tcW w:w="1132" w:type="dxa"/>
            <w:vAlign w:val="center"/>
          </w:tcPr>
          <w:p w14:paraId="1FB29CB9"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2学时</w:t>
            </w:r>
          </w:p>
        </w:tc>
      </w:tr>
      <w:tr w:rsidR="0036092D" w:rsidRPr="0036092D" w14:paraId="13E6CA20" w14:textId="77777777" w:rsidTr="00B602D6">
        <w:trPr>
          <w:trHeight w:val="514"/>
          <w:jc w:val="center"/>
        </w:trPr>
        <w:tc>
          <w:tcPr>
            <w:tcW w:w="2709" w:type="dxa"/>
          </w:tcPr>
          <w:p w14:paraId="1DFBDB1A" w14:textId="77777777" w:rsidR="0036092D" w:rsidRPr="0036092D" w:rsidRDefault="0036092D" w:rsidP="0036092D">
            <w:pPr>
              <w:spacing w:line="440" w:lineRule="exact"/>
              <w:jc w:val="left"/>
              <w:rPr>
                <w:rFonts w:ascii="Times New Roman" w:eastAsia="宋体" w:hAnsi="Times New Roman" w:cs="Times New Roman"/>
                <w:sz w:val="24"/>
                <w:szCs w:val="24"/>
              </w:rPr>
            </w:pPr>
            <w:r w:rsidRPr="0036092D">
              <w:rPr>
                <w:rFonts w:ascii="Times New Roman" w:eastAsia="宋体" w:hAnsi="Times New Roman" w:cs="Times New Roman" w:hint="eastAsia"/>
                <w:sz w:val="24"/>
                <w:szCs w:val="24"/>
              </w:rPr>
              <w:t>第二章</w:t>
            </w:r>
            <w:r w:rsidRPr="0036092D">
              <w:rPr>
                <w:rFonts w:ascii="Times New Roman" w:eastAsia="宋体" w:hAnsi="Times New Roman" w:cs="Times New Roman" w:hint="eastAsia"/>
                <w:sz w:val="24"/>
                <w:szCs w:val="24"/>
              </w:rPr>
              <w:t xml:space="preserve"> </w:t>
            </w:r>
            <w:r w:rsidRPr="0036092D">
              <w:rPr>
                <w:rFonts w:ascii="Times New Roman" w:eastAsia="宋体" w:hAnsi="Times New Roman" w:cs="Times New Roman" w:hint="eastAsia"/>
                <w:sz w:val="24"/>
                <w:szCs w:val="24"/>
              </w:rPr>
              <w:t>口服药物的吸收</w:t>
            </w:r>
          </w:p>
        </w:tc>
        <w:tc>
          <w:tcPr>
            <w:tcW w:w="2169" w:type="dxa"/>
            <w:vAlign w:val="center"/>
          </w:tcPr>
          <w:p w14:paraId="62113063"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讲授法、</w:t>
            </w:r>
            <w:r w:rsidRPr="0036092D">
              <w:rPr>
                <w:rFonts w:ascii="宋体" w:eastAsia="宋体" w:hAnsi="宋体" w:cs="Times New Roman"/>
                <w:sz w:val="24"/>
                <w:szCs w:val="24"/>
              </w:rPr>
              <w:t>探究式教学法</w:t>
            </w:r>
          </w:p>
        </w:tc>
        <w:tc>
          <w:tcPr>
            <w:tcW w:w="2115" w:type="dxa"/>
            <w:vAlign w:val="center"/>
          </w:tcPr>
          <w:p w14:paraId="487A2BCB"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w:t>
            </w:r>
            <w:r w:rsidRPr="0036092D">
              <w:rPr>
                <w:rFonts w:ascii="宋体" w:eastAsia="宋体" w:hAnsi="宋体" w:cs="Times New Roman"/>
                <w:sz w:val="24"/>
                <w:szCs w:val="24"/>
              </w:rPr>
              <w:t>目标</w:t>
            </w:r>
            <w:r w:rsidRPr="0036092D">
              <w:rPr>
                <w:rFonts w:ascii="宋体" w:eastAsia="宋体" w:hAnsi="宋体" w:cs="Times New Roman" w:hint="eastAsia"/>
                <w:sz w:val="24"/>
                <w:szCs w:val="24"/>
              </w:rPr>
              <w:t>1、2、3</w:t>
            </w:r>
          </w:p>
        </w:tc>
        <w:tc>
          <w:tcPr>
            <w:tcW w:w="1132" w:type="dxa"/>
            <w:vAlign w:val="center"/>
          </w:tcPr>
          <w:p w14:paraId="11EEDED2"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4学时</w:t>
            </w:r>
          </w:p>
        </w:tc>
      </w:tr>
      <w:tr w:rsidR="0036092D" w:rsidRPr="0036092D" w14:paraId="4A916F00" w14:textId="77777777" w:rsidTr="00B602D6">
        <w:trPr>
          <w:trHeight w:val="514"/>
          <w:jc w:val="center"/>
        </w:trPr>
        <w:tc>
          <w:tcPr>
            <w:tcW w:w="2709" w:type="dxa"/>
          </w:tcPr>
          <w:p w14:paraId="17E4EB12" w14:textId="77777777" w:rsidR="0036092D" w:rsidRPr="0036092D" w:rsidRDefault="0036092D" w:rsidP="0036092D">
            <w:pPr>
              <w:spacing w:line="440" w:lineRule="exact"/>
              <w:jc w:val="left"/>
              <w:rPr>
                <w:rFonts w:ascii="Times New Roman" w:eastAsia="宋体" w:hAnsi="Times New Roman" w:cs="Times New Roman"/>
                <w:sz w:val="24"/>
                <w:szCs w:val="24"/>
              </w:rPr>
            </w:pPr>
            <w:r w:rsidRPr="0036092D">
              <w:rPr>
                <w:rFonts w:ascii="Times New Roman" w:eastAsia="宋体" w:hAnsi="Times New Roman" w:cs="Times New Roman" w:hint="eastAsia"/>
                <w:sz w:val="24"/>
                <w:szCs w:val="24"/>
              </w:rPr>
              <w:t>第三章</w:t>
            </w:r>
            <w:r w:rsidRPr="0036092D">
              <w:rPr>
                <w:rFonts w:ascii="Times New Roman" w:eastAsia="宋体" w:hAnsi="Times New Roman" w:cs="Times New Roman" w:hint="eastAsia"/>
                <w:sz w:val="24"/>
                <w:szCs w:val="24"/>
              </w:rPr>
              <w:t xml:space="preserve"> </w:t>
            </w:r>
            <w:r w:rsidRPr="0036092D">
              <w:rPr>
                <w:rFonts w:ascii="Times New Roman" w:eastAsia="宋体" w:hAnsi="Times New Roman" w:cs="Times New Roman" w:hint="eastAsia"/>
                <w:sz w:val="24"/>
                <w:szCs w:val="24"/>
              </w:rPr>
              <w:t>非口服药物的吸收</w:t>
            </w:r>
          </w:p>
        </w:tc>
        <w:tc>
          <w:tcPr>
            <w:tcW w:w="2169" w:type="dxa"/>
            <w:vAlign w:val="center"/>
          </w:tcPr>
          <w:p w14:paraId="441AC2EB"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讲授法、</w:t>
            </w:r>
            <w:r w:rsidRPr="0036092D">
              <w:rPr>
                <w:rFonts w:ascii="宋体" w:eastAsia="宋体" w:hAnsi="宋体" w:cs="Times New Roman"/>
                <w:sz w:val="24"/>
                <w:szCs w:val="24"/>
              </w:rPr>
              <w:t>类比式教学法</w:t>
            </w:r>
          </w:p>
        </w:tc>
        <w:tc>
          <w:tcPr>
            <w:tcW w:w="2115" w:type="dxa"/>
            <w:vAlign w:val="center"/>
          </w:tcPr>
          <w:p w14:paraId="51B47FBF"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课程目标1、2、3</w:t>
            </w:r>
          </w:p>
        </w:tc>
        <w:tc>
          <w:tcPr>
            <w:tcW w:w="1132" w:type="dxa"/>
            <w:vAlign w:val="center"/>
          </w:tcPr>
          <w:p w14:paraId="14959C14"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4学时</w:t>
            </w:r>
          </w:p>
        </w:tc>
      </w:tr>
      <w:tr w:rsidR="0036092D" w:rsidRPr="0036092D" w14:paraId="2956E99A" w14:textId="77777777" w:rsidTr="00B602D6">
        <w:trPr>
          <w:trHeight w:val="514"/>
          <w:jc w:val="center"/>
        </w:trPr>
        <w:tc>
          <w:tcPr>
            <w:tcW w:w="2709" w:type="dxa"/>
          </w:tcPr>
          <w:p w14:paraId="485C34A2" w14:textId="77777777" w:rsidR="0036092D" w:rsidRPr="0036092D" w:rsidRDefault="0036092D" w:rsidP="0036092D">
            <w:pPr>
              <w:spacing w:line="440" w:lineRule="exact"/>
              <w:jc w:val="left"/>
              <w:rPr>
                <w:rFonts w:ascii="Times New Roman" w:eastAsia="宋体" w:hAnsi="Times New Roman" w:cs="Times New Roman"/>
                <w:sz w:val="24"/>
                <w:szCs w:val="24"/>
              </w:rPr>
            </w:pPr>
            <w:r w:rsidRPr="0036092D">
              <w:rPr>
                <w:rFonts w:ascii="Times New Roman" w:eastAsia="宋体" w:hAnsi="Times New Roman" w:cs="Times New Roman" w:hint="eastAsia"/>
                <w:sz w:val="24"/>
                <w:szCs w:val="24"/>
              </w:rPr>
              <w:t>第四章</w:t>
            </w:r>
            <w:r w:rsidRPr="0036092D">
              <w:rPr>
                <w:rFonts w:ascii="Times New Roman" w:eastAsia="宋体" w:hAnsi="Times New Roman" w:cs="Times New Roman" w:hint="eastAsia"/>
                <w:sz w:val="24"/>
                <w:szCs w:val="24"/>
              </w:rPr>
              <w:t xml:space="preserve"> </w:t>
            </w:r>
            <w:r w:rsidRPr="0036092D">
              <w:rPr>
                <w:rFonts w:ascii="Times New Roman" w:eastAsia="宋体" w:hAnsi="Times New Roman" w:cs="Times New Roman" w:hint="eastAsia"/>
                <w:sz w:val="24"/>
                <w:szCs w:val="24"/>
              </w:rPr>
              <w:t>药物的分布</w:t>
            </w:r>
          </w:p>
        </w:tc>
        <w:tc>
          <w:tcPr>
            <w:tcW w:w="2169" w:type="dxa"/>
            <w:vAlign w:val="center"/>
          </w:tcPr>
          <w:p w14:paraId="145BF855"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讲授法</w:t>
            </w:r>
          </w:p>
        </w:tc>
        <w:tc>
          <w:tcPr>
            <w:tcW w:w="2115" w:type="dxa"/>
            <w:vAlign w:val="center"/>
          </w:tcPr>
          <w:p w14:paraId="27528150"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课程目标1、2、3</w:t>
            </w:r>
          </w:p>
        </w:tc>
        <w:tc>
          <w:tcPr>
            <w:tcW w:w="1132" w:type="dxa"/>
            <w:vAlign w:val="center"/>
          </w:tcPr>
          <w:p w14:paraId="2337A8E4"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4学时</w:t>
            </w:r>
          </w:p>
        </w:tc>
      </w:tr>
      <w:tr w:rsidR="0036092D" w:rsidRPr="0036092D" w14:paraId="3C87F319" w14:textId="77777777" w:rsidTr="00B602D6">
        <w:trPr>
          <w:trHeight w:val="514"/>
          <w:jc w:val="center"/>
        </w:trPr>
        <w:tc>
          <w:tcPr>
            <w:tcW w:w="2709" w:type="dxa"/>
          </w:tcPr>
          <w:p w14:paraId="064C8A52" w14:textId="77777777" w:rsidR="0036092D" w:rsidRPr="0036092D" w:rsidRDefault="0036092D" w:rsidP="0036092D">
            <w:pPr>
              <w:spacing w:line="440" w:lineRule="exact"/>
              <w:jc w:val="left"/>
              <w:rPr>
                <w:rFonts w:ascii="Times New Roman" w:eastAsia="宋体" w:hAnsi="Times New Roman" w:cs="Times New Roman"/>
                <w:sz w:val="24"/>
                <w:szCs w:val="24"/>
              </w:rPr>
            </w:pPr>
            <w:r w:rsidRPr="0036092D">
              <w:rPr>
                <w:rFonts w:ascii="Times New Roman" w:eastAsia="宋体" w:hAnsi="Times New Roman" w:cs="Times New Roman" w:hint="eastAsia"/>
                <w:sz w:val="24"/>
                <w:szCs w:val="24"/>
              </w:rPr>
              <w:t>第五章</w:t>
            </w:r>
            <w:r w:rsidRPr="0036092D">
              <w:rPr>
                <w:rFonts w:ascii="Times New Roman" w:eastAsia="宋体" w:hAnsi="Times New Roman" w:cs="Times New Roman" w:hint="eastAsia"/>
                <w:sz w:val="24"/>
                <w:szCs w:val="24"/>
              </w:rPr>
              <w:t xml:space="preserve"> </w:t>
            </w:r>
            <w:r w:rsidRPr="0036092D">
              <w:rPr>
                <w:rFonts w:ascii="Times New Roman" w:eastAsia="宋体" w:hAnsi="Times New Roman" w:cs="Times New Roman" w:hint="eastAsia"/>
                <w:sz w:val="24"/>
                <w:szCs w:val="24"/>
              </w:rPr>
              <w:t>药物的代谢</w:t>
            </w:r>
          </w:p>
        </w:tc>
        <w:tc>
          <w:tcPr>
            <w:tcW w:w="2169" w:type="dxa"/>
            <w:vAlign w:val="center"/>
          </w:tcPr>
          <w:p w14:paraId="4163294E"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讲授法</w:t>
            </w:r>
          </w:p>
        </w:tc>
        <w:tc>
          <w:tcPr>
            <w:tcW w:w="2115" w:type="dxa"/>
            <w:vAlign w:val="center"/>
          </w:tcPr>
          <w:p w14:paraId="1434740C"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课程目标1、2、3</w:t>
            </w:r>
          </w:p>
        </w:tc>
        <w:tc>
          <w:tcPr>
            <w:tcW w:w="1132" w:type="dxa"/>
            <w:vAlign w:val="center"/>
          </w:tcPr>
          <w:p w14:paraId="3B54BA9D"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2学时</w:t>
            </w:r>
          </w:p>
        </w:tc>
      </w:tr>
      <w:tr w:rsidR="0036092D" w:rsidRPr="0036092D" w14:paraId="0B071741" w14:textId="77777777" w:rsidTr="00B602D6">
        <w:trPr>
          <w:trHeight w:val="514"/>
          <w:jc w:val="center"/>
        </w:trPr>
        <w:tc>
          <w:tcPr>
            <w:tcW w:w="2709" w:type="dxa"/>
          </w:tcPr>
          <w:p w14:paraId="4685ECA9" w14:textId="77777777" w:rsidR="0036092D" w:rsidRPr="0036092D" w:rsidRDefault="0036092D" w:rsidP="0036092D">
            <w:pPr>
              <w:spacing w:line="440" w:lineRule="exact"/>
              <w:jc w:val="left"/>
              <w:rPr>
                <w:rFonts w:ascii="Times New Roman" w:eastAsia="宋体" w:hAnsi="Times New Roman" w:cs="Times New Roman"/>
                <w:sz w:val="24"/>
                <w:szCs w:val="24"/>
              </w:rPr>
            </w:pPr>
            <w:r w:rsidRPr="0036092D">
              <w:rPr>
                <w:rFonts w:ascii="Times New Roman" w:eastAsia="宋体" w:hAnsi="Times New Roman" w:cs="Times New Roman" w:hint="eastAsia"/>
                <w:sz w:val="24"/>
                <w:szCs w:val="24"/>
              </w:rPr>
              <w:t>第六章</w:t>
            </w:r>
            <w:r w:rsidRPr="0036092D">
              <w:rPr>
                <w:rFonts w:ascii="Times New Roman" w:eastAsia="宋体" w:hAnsi="Times New Roman" w:cs="Times New Roman" w:hint="eastAsia"/>
                <w:sz w:val="24"/>
                <w:szCs w:val="24"/>
              </w:rPr>
              <w:t xml:space="preserve"> </w:t>
            </w:r>
            <w:r w:rsidRPr="0036092D">
              <w:rPr>
                <w:rFonts w:ascii="Times New Roman" w:eastAsia="宋体" w:hAnsi="Times New Roman" w:cs="Times New Roman" w:hint="eastAsia"/>
                <w:sz w:val="24"/>
                <w:szCs w:val="24"/>
              </w:rPr>
              <w:t>药物排泄</w:t>
            </w:r>
          </w:p>
        </w:tc>
        <w:tc>
          <w:tcPr>
            <w:tcW w:w="2169" w:type="dxa"/>
            <w:vAlign w:val="center"/>
          </w:tcPr>
          <w:p w14:paraId="1AD4DC6C"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讲授法、</w:t>
            </w:r>
            <w:r w:rsidRPr="0036092D">
              <w:rPr>
                <w:rFonts w:ascii="宋体" w:eastAsia="宋体" w:hAnsi="宋体" w:cs="Times New Roman"/>
                <w:sz w:val="24"/>
                <w:szCs w:val="24"/>
              </w:rPr>
              <w:t>类比式教学法</w:t>
            </w:r>
          </w:p>
        </w:tc>
        <w:tc>
          <w:tcPr>
            <w:tcW w:w="2115" w:type="dxa"/>
            <w:vAlign w:val="center"/>
          </w:tcPr>
          <w:p w14:paraId="7318EA95"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课程目标1、2、3</w:t>
            </w:r>
          </w:p>
        </w:tc>
        <w:tc>
          <w:tcPr>
            <w:tcW w:w="1132" w:type="dxa"/>
            <w:vAlign w:val="center"/>
          </w:tcPr>
          <w:p w14:paraId="1DEC3DAF"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4学时</w:t>
            </w:r>
          </w:p>
        </w:tc>
      </w:tr>
      <w:tr w:rsidR="0036092D" w:rsidRPr="0036092D" w14:paraId="1757198C" w14:textId="77777777" w:rsidTr="00B602D6">
        <w:trPr>
          <w:trHeight w:val="514"/>
          <w:jc w:val="center"/>
        </w:trPr>
        <w:tc>
          <w:tcPr>
            <w:tcW w:w="2709" w:type="dxa"/>
          </w:tcPr>
          <w:p w14:paraId="2A13C054" w14:textId="77777777" w:rsidR="0036092D" w:rsidRPr="0036092D" w:rsidRDefault="0036092D" w:rsidP="0036092D">
            <w:pPr>
              <w:spacing w:line="440" w:lineRule="exact"/>
              <w:jc w:val="left"/>
              <w:rPr>
                <w:rFonts w:ascii="Times New Roman" w:eastAsia="宋体" w:hAnsi="Times New Roman" w:cs="Times New Roman"/>
                <w:sz w:val="24"/>
                <w:szCs w:val="24"/>
              </w:rPr>
            </w:pPr>
            <w:r w:rsidRPr="0036092D">
              <w:rPr>
                <w:rFonts w:ascii="Times New Roman" w:eastAsia="宋体" w:hAnsi="Times New Roman" w:cs="Times New Roman" w:hint="eastAsia"/>
                <w:sz w:val="24"/>
                <w:szCs w:val="24"/>
              </w:rPr>
              <w:t>第七章</w:t>
            </w:r>
            <w:r w:rsidRPr="0036092D">
              <w:rPr>
                <w:rFonts w:ascii="Times New Roman" w:eastAsia="宋体" w:hAnsi="Times New Roman" w:cs="Times New Roman" w:hint="eastAsia"/>
                <w:sz w:val="24"/>
                <w:szCs w:val="24"/>
              </w:rPr>
              <w:t xml:space="preserve"> </w:t>
            </w:r>
            <w:r w:rsidRPr="0036092D">
              <w:rPr>
                <w:rFonts w:ascii="Times New Roman" w:eastAsia="宋体" w:hAnsi="Times New Roman" w:cs="Times New Roman" w:hint="eastAsia"/>
                <w:sz w:val="24"/>
                <w:szCs w:val="24"/>
              </w:rPr>
              <w:t>药物动力学概述</w:t>
            </w:r>
          </w:p>
        </w:tc>
        <w:tc>
          <w:tcPr>
            <w:tcW w:w="2169" w:type="dxa"/>
            <w:vAlign w:val="center"/>
          </w:tcPr>
          <w:p w14:paraId="52C61455"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讲授法、</w:t>
            </w:r>
            <w:r w:rsidRPr="0036092D">
              <w:rPr>
                <w:rFonts w:ascii="宋体" w:eastAsia="宋体" w:hAnsi="宋体" w:cs="Times New Roman"/>
                <w:sz w:val="24"/>
                <w:szCs w:val="24"/>
              </w:rPr>
              <w:t>探究式教学法</w:t>
            </w:r>
          </w:p>
        </w:tc>
        <w:tc>
          <w:tcPr>
            <w:tcW w:w="2115" w:type="dxa"/>
            <w:vAlign w:val="center"/>
          </w:tcPr>
          <w:p w14:paraId="1406D51A"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课程目标1、2</w:t>
            </w:r>
          </w:p>
        </w:tc>
        <w:tc>
          <w:tcPr>
            <w:tcW w:w="1132" w:type="dxa"/>
            <w:vAlign w:val="center"/>
          </w:tcPr>
          <w:p w14:paraId="652A0037"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1学时</w:t>
            </w:r>
          </w:p>
        </w:tc>
      </w:tr>
      <w:tr w:rsidR="0036092D" w:rsidRPr="0036092D" w14:paraId="72673D44" w14:textId="77777777" w:rsidTr="00B602D6">
        <w:trPr>
          <w:trHeight w:val="514"/>
          <w:jc w:val="center"/>
        </w:trPr>
        <w:tc>
          <w:tcPr>
            <w:tcW w:w="2709" w:type="dxa"/>
          </w:tcPr>
          <w:p w14:paraId="037BC1FE" w14:textId="77777777" w:rsidR="0036092D" w:rsidRPr="0036092D" w:rsidRDefault="0036092D" w:rsidP="0036092D">
            <w:pPr>
              <w:spacing w:line="440" w:lineRule="exact"/>
              <w:jc w:val="left"/>
              <w:rPr>
                <w:rFonts w:ascii="Times New Roman" w:eastAsia="宋体" w:hAnsi="Times New Roman" w:cs="Times New Roman"/>
                <w:sz w:val="24"/>
                <w:szCs w:val="24"/>
              </w:rPr>
            </w:pPr>
            <w:r w:rsidRPr="0036092D">
              <w:rPr>
                <w:rFonts w:ascii="Times New Roman" w:eastAsia="宋体" w:hAnsi="Times New Roman" w:cs="Times New Roman"/>
                <w:sz w:val="24"/>
                <w:szCs w:val="24"/>
              </w:rPr>
              <w:t>第</w:t>
            </w:r>
            <w:r w:rsidRPr="0036092D">
              <w:rPr>
                <w:rFonts w:ascii="Times New Roman" w:eastAsia="宋体" w:hAnsi="Times New Roman" w:cs="Times New Roman" w:hint="eastAsia"/>
                <w:sz w:val="24"/>
                <w:szCs w:val="24"/>
              </w:rPr>
              <w:t>八</w:t>
            </w:r>
            <w:r w:rsidRPr="0036092D">
              <w:rPr>
                <w:rFonts w:ascii="Times New Roman" w:eastAsia="宋体" w:hAnsi="Times New Roman" w:cs="Times New Roman"/>
                <w:sz w:val="24"/>
                <w:szCs w:val="24"/>
              </w:rPr>
              <w:t>章</w:t>
            </w:r>
            <w:r w:rsidRPr="0036092D">
              <w:rPr>
                <w:rFonts w:ascii="Times New Roman" w:eastAsia="宋体" w:hAnsi="Times New Roman" w:cs="Times New Roman"/>
                <w:sz w:val="24"/>
                <w:szCs w:val="24"/>
              </w:rPr>
              <w:t xml:space="preserve"> </w:t>
            </w:r>
            <w:r w:rsidRPr="0036092D">
              <w:rPr>
                <w:rFonts w:ascii="Times New Roman" w:eastAsia="宋体" w:hAnsi="Times New Roman" w:cs="Times New Roman" w:hint="eastAsia"/>
                <w:sz w:val="24"/>
                <w:szCs w:val="24"/>
              </w:rPr>
              <w:t>单室模型</w:t>
            </w:r>
          </w:p>
        </w:tc>
        <w:tc>
          <w:tcPr>
            <w:tcW w:w="2169" w:type="dxa"/>
            <w:vAlign w:val="center"/>
          </w:tcPr>
          <w:p w14:paraId="3DCDCE3E"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讲授法、</w:t>
            </w:r>
            <w:r w:rsidRPr="0036092D">
              <w:rPr>
                <w:rFonts w:ascii="宋体" w:eastAsia="宋体" w:hAnsi="宋体" w:cs="Times New Roman"/>
                <w:sz w:val="24"/>
                <w:szCs w:val="24"/>
              </w:rPr>
              <w:t>探究式教学法</w:t>
            </w:r>
          </w:p>
        </w:tc>
        <w:tc>
          <w:tcPr>
            <w:tcW w:w="2115" w:type="dxa"/>
            <w:vAlign w:val="center"/>
          </w:tcPr>
          <w:p w14:paraId="1B6DF75E"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课程目标1、2</w:t>
            </w:r>
          </w:p>
        </w:tc>
        <w:tc>
          <w:tcPr>
            <w:tcW w:w="1132" w:type="dxa"/>
            <w:vAlign w:val="center"/>
          </w:tcPr>
          <w:p w14:paraId="64B798A1"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2学时</w:t>
            </w:r>
          </w:p>
        </w:tc>
      </w:tr>
      <w:tr w:rsidR="0036092D" w:rsidRPr="0036092D" w14:paraId="518EAEF2" w14:textId="77777777" w:rsidTr="00B602D6">
        <w:trPr>
          <w:trHeight w:val="514"/>
          <w:jc w:val="center"/>
        </w:trPr>
        <w:tc>
          <w:tcPr>
            <w:tcW w:w="2709" w:type="dxa"/>
          </w:tcPr>
          <w:p w14:paraId="7DA63F4D" w14:textId="77777777" w:rsidR="0036092D" w:rsidRPr="0036092D" w:rsidRDefault="0036092D" w:rsidP="0036092D">
            <w:pPr>
              <w:spacing w:line="440" w:lineRule="exact"/>
              <w:jc w:val="left"/>
              <w:rPr>
                <w:rFonts w:ascii="Times New Roman" w:eastAsia="宋体" w:hAnsi="Times New Roman" w:cs="Times New Roman"/>
                <w:sz w:val="24"/>
                <w:szCs w:val="24"/>
              </w:rPr>
            </w:pPr>
            <w:r w:rsidRPr="0036092D">
              <w:rPr>
                <w:rFonts w:ascii="Times New Roman" w:eastAsia="宋体" w:hAnsi="Times New Roman" w:cs="Times New Roman" w:hint="eastAsia"/>
                <w:sz w:val="24"/>
                <w:szCs w:val="24"/>
              </w:rPr>
              <w:t>第九章</w:t>
            </w:r>
            <w:r w:rsidRPr="0036092D">
              <w:rPr>
                <w:rFonts w:ascii="Times New Roman" w:eastAsia="宋体" w:hAnsi="Times New Roman" w:cs="Times New Roman" w:hint="eastAsia"/>
                <w:sz w:val="24"/>
                <w:szCs w:val="24"/>
              </w:rPr>
              <w:t xml:space="preserve"> </w:t>
            </w:r>
            <w:r w:rsidRPr="0036092D">
              <w:rPr>
                <w:rFonts w:ascii="Times New Roman" w:eastAsia="宋体" w:hAnsi="Times New Roman" w:cs="Times New Roman" w:hint="eastAsia"/>
                <w:sz w:val="24"/>
                <w:szCs w:val="24"/>
              </w:rPr>
              <w:t>多室模型</w:t>
            </w:r>
          </w:p>
        </w:tc>
        <w:tc>
          <w:tcPr>
            <w:tcW w:w="2169" w:type="dxa"/>
            <w:vAlign w:val="center"/>
          </w:tcPr>
          <w:p w14:paraId="6DD778DC"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讲授法、</w:t>
            </w:r>
            <w:r w:rsidRPr="0036092D">
              <w:rPr>
                <w:rFonts w:ascii="宋体" w:eastAsia="宋体" w:hAnsi="宋体" w:cs="Times New Roman"/>
                <w:sz w:val="24"/>
                <w:szCs w:val="24"/>
              </w:rPr>
              <w:t>探究式教学法</w:t>
            </w:r>
          </w:p>
        </w:tc>
        <w:tc>
          <w:tcPr>
            <w:tcW w:w="2115" w:type="dxa"/>
            <w:vAlign w:val="center"/>
          </w:tcPr>
          <w:p w14:paraId="7E4494EB"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课程目标1、2</w:t>
            </w:r>
          </w:p>
        </w:tc>
        <w:tc>
          <w:tcPr>
            <w:tcW w:w="1132" w:type="dxa"/>
            <w:vAlign w:val="center"/>
          </w:tcPr>
          <w:p w14:paraId="2811E519"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1学时</w:t>
            </w:r>
          </w:p>
        </w:tc>
      </w:tr>
      <w:tr w:rsidR="0036092D" w:rsidRPr="0036092D" w14:paraId="15701E2C" w14:textId="77777777" w:rsidTr="00B602D6">
        <w:trPr>
          <w:trHeight w:val="514"/>
          <w:jc w:val="center"/>
        </w:trPr>
        <w:tc>
          <w:tcPr>
            <w:tcW w:w="2709" w:type="dxa"/>
          </w:tcPr>
          <w:p w14:paraId="69DA62F6" w14:textId="77777777" w:rsidR="0036092D" w:rsidRPr="0036092D" w:rsidRDefault="0036092D" w:rsidP="0036092D">
            <w:pPr>
              <w:spacing w:line="440" w:lineRule="exact"/>
              <w:jc w:val="left"/>
              <w:rPr>
                <w:rFonts w:ascii="Times New Roman" w:eastAsia="宋体" w:hAnsi="Times New Roman" w:cs="Times New Roman"/>
                <w:sz w:val="24"/>
                <w:szCs w:val="24"/>
              </w:rPr>
            </w:pPr>
            <w:r w:rsidRPr="0036092D">
              <w:rPr>
                <w:rFonts w:ascii="Times New Roman" w:eastAsia="宋体" w:hAnsi="Times New Roman" w:cs="Times New Roman" w:hint="eastAsia"/>
                <w:sz w:val="24"/>
                <w:szCs w:val="24"/>
              </w:rPr>
              <w:t>第十章</w:t>
            </w:r>
            <w:r w:rsidRPr="0036092D">
              <w:rPr>
                <w:rFonts w:ascii="Times New Roman" w:eastAsia="宋体" w:hAnsi="Times New Roman" w:cs="Times New Roman" w:hint="eastAsia"/>
                <w:sz w:val="24"/>
                <w:szCs w:val="24"/>
              </w:rPr>
              <w:t xml:space="preserve"> </w:t>
            </w:r>
            <w:r w:rsidRPr="0036092D">
              <w:rPr>
                <w:rFonts w:ascii="Times New Roman" w:eastAsia="宋体" w:hAnsi="Times New Roman" w:cs="Times New Roman" w:hint="eastAsia"/>
                <w:sz w:val="24"/>
                <w:szCs w:val="24"/>
              </w:rPr>
              <w:t>多剂量给药</w:t>
            </w:r>
          </w:p>
        </w:tc>
        <w:tc>
          <w:tcPr>
            <w:tcW w:w="2169" w:type="dxa"/>
            <w:vAlign w:val="center"/>
          </w:tcPr>
          <w:p w14:paraId="7A136A87"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讲授法、</w:t>
            </w:r>
            <w:r w:rsidRPr="0036092D">
              <w:rPr>
                <w:rFonts w:ascii="宋体" w:eastAsia="宋体" w:hAnsi="宋体" w:cs="Times New Roman"/>
                <w:sz w:val="24"/>
                <w:szCs w:val="24"/>
              </w:rPr>
              <w:t>探究式教学法</w:t>
            </w:r>
          </w:p>
        </w:tc>
        <w:tc>
          <w:tcPr>
            <w:tcW w:w="2115" w:type="dxa"/>
            <w:vAlign w:val="center"/>
          </w:tcPr>
          <w:p w14:paraId="55EAC436"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课程目标3</w:t>
            </w:r>
          </w:p>
        </w:tc>
        <w:tc>
          <w:tcPr>
            <w:tcW w:w="1132" w:type="dxa"/>
            <w:vAlign w:val="center"/>
          </w:tcPr>
          <w:p w14:paraId="2A763F88"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2学时</w:t>
            </w:r>
          </w:p>
        </w:tc>
      </w:tr>
      <w:tr w:rsidR="0036092D" w:rsidRPr="0036092D" w14:paraId="51C9F66C" w14:textId="77777777" w:rsidTr="00B602D6">
        <w:trPr>
          <w:trHeight w:val="514"/>
          <w:jc w:val="center"/>
        </w:trPr>
        <w:tc>
          <w:tcPr>
            <w:tcW w:w="2709" w:type="dxa"/>
          </w:tcPr>
          <w:p w14:paraId="094248B1" w14:textId="77777777" w:rsidR="0036092D" w:rsidRPr="0036092D" w:rsidRDefault="0036092D" w:rsidP="0036092D">
            <w:pPr>
              <w:spacing w:line="440" w:lineRule="exact"/>
              <w:jc w:val="left"/>
              <w:rPr>
                <w:rFonts w:ascii="Times New Roman" w:eastAsia="宋体" w:hAnsi="Times New Roman" w:cs="Times New Roman"/>
                <w:sz w:val="24"/>
                <w:szCs w:val="24"/>
              </w:rPr>
            </w:pPr>
            <w:r w:rsidRPr="0036092D">
              <w:rPr>
                <w:rFonts w:ascii="Times New Roman" w:eastAsia="宋体" w:hAnsi="Times New Roman" w:cs="Times New Roman" w:hint="eastAsia"/>
                <w:sz w:val="24"/>
                <w:szCs w:val="24"/>
              </w:rPr>
              <w:t>第十一章</w:t>
            </w:r>
            <w:r w:rsidRPr="0036092D">
              <w:rPr>
                <w:rFonts w:ascii="Times New Roman" w:eastAsia="宋体" w:hAnsi="Times New Roman" w:cs="Times New Roman" w:hint="eastAsia"/>
                <w:sz w:val="24"/>
                <w:szCs w:val="24"/>
              </w:rPr>
              <w:t xml:space="preserve"> </w:t>
            </w:r>
            <w:r w:rsidRPr="0036092D">
              <w:rPr>
                <w:rFonts w:ascii="Times New Roman" w:eastAsia="宋体" w:hAnsi="Times New Roman" w:cs="Times New Roman" w:hint="eastAsia"/>
                <w:sz w:val="24"/>
                <w:szCs w:val="24"/>
              </w:rPr>
              <w:t>非线性药物动力学</w:t>
            </w:r>
          </w:p>
        </w:tc>
        <w:tc>
          <w:tcPr>
            <w:tcW w:w="2169" w:type="dxa"/>
            <w:vAlign w:val="center"/>
          </w:tcPr>
          <w:p w14:paraId="4EEB6573"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讲授法、</w:t>
            </w:r>
            <w:r w:rsidRPr="0036092D">
              <w:rPr>
                <w:rFonts w:ascii="宋体" w:eastAsia="宋体" w:hAnsi="宋体" w:cs="Times New Roman"/>
                <w:sz w:val="24"/>
                <w:szCs w:val="24"/>
              </w:rPr>
              <w:t>探究式教学法</w:t>
            </w:r>
          </w:p>
        </w:tc>
        <w:tc>
          <w:tcPr>
            <w:tcW w:w="2115" w:type="dxa"/>
            <w:vAlign w:val="center"/>
          </w:tcPr>
          <w:p w14:paraId="379FBAA1"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课程目标1、2、3</w:t>
            </w:r>
          </w:p>
        </w:tc>
        <w:tc>
          <w:tcPr>
            <w:tcW w:w="1132" w:type="dxa"/>
            <w:vAlign w:val="center"/>
          </w:tcPr>
          <w:p w14:paraId="05C781C4"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2学时</w:t>
            </w:r>
          </w:p>
        </w:tc>
      </w:tr>
      <w:tr w:rsidR="0036092D" w:rsidRPr="0036092D" w14:paraId="6B8A26AB" w14:textId="77777777" w:rsidTr="00B602D6">
        <w:trPr>
          <w:trHeight w:val="514"/>
          <w:jc w:val="center"/>
        </w:trPr>
        <w:tc>
          <w:tcPr>
            <w:tcW w:w="2709" w:type="dxa"/>
          </w:tcPr>
          <w:p w14:paraId="4BFF6C3E" w14:textId="77777777" w:rsidR="0036092D" w:rsidRPr="0036092D" w:rsidRDefault="0036092D" w:rsidP="0036092D">
            <w:pPr>
              <w:spacing w:line="440" w:lineRule="exact"/>
              <w:jc w:val="left"/>
              <w:rPr>
                <w:rFonts w:ascii="Times New Roman" w:eastAsia="宋体" w:hAnsi="Times New Roman" w:cs="Times New Roman"/>
                <w:sz w:val="24"/>
                <w:szCs w:val="24"/>
              </w:rPr>
            </w:pPr>
            <w:r w:rsidRPr="0036092D">
              <w:rPr>
                <w:rFonts w:ascii="Times New Roman" w:eastAsia="宋体" w:hAnsi="Times New Roman" w:cs="Times New Roman" w:hint="eastAsia"/>
                <w:sz w:val="24"/>
                <w:szCs w:val="24"/>
              </w:rPr>
              <w:t>第十二章</w:t>
            </w:r>
            <w:r w:rsidRPr="0036092D">
              <w:rPr>
                <w:rFonts w:ascii="Times New Roman" w:eastAsia="宋体" w:hAnsi="Times New Roman" w:cs="Times New Roman" w:hint="eastAsia"/>
                <w:sz w:val="24"/>
                <w:szCs w:val="24"/>
              </w:rPr>
              <w:t xml:space="preserve"> </w:t>
            </w:r>
            <w:r w:rsidRPr="0036092D">
              <w:rPr>
                <w:rFonts w:ascii="Times New Roman" w:eastAsia="宋体" w:hAnsi="Times New Roman" w:cs="Times New Roman" w:hint="eastAsia"/>
                <w:sz w:val="24"/>
                <w:szCs w:val="24"/>
              </w:rPr>
              <w:t>药物动力学在临床医学中的应用</w:t>
            </w:r>
          </w:p>
        </w:tc>
        <w:tc>
          <w:tcPr>
            <w:tcW w:w="2169" w:type="dxa"/>
            <w:vAlign w:val="center"/>
          </w:tcPr>
          <w:p w14:paraId="20E86CA7"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讲授法、</w:t>
            </w:r>
            <w:r w:rsidRPr="0036092D">
              <w:rPr>
                <w:rFonts w:ascii="宋体" w:eastAsia="宋体" w:hAnsi="宋体" w:cs="Times New Roman"/>
                <w:sz w:val="24"/>
                <w:szCs w:val="24"/>
              </w:rPr>
              <w:t>探究式教学法</w:t>
            </w:r>
          </w:p>
        </w:tc>
        <w:tc>
          <w:tcPr>
            <w:tcW w:w="2115" w:type="dxa"/>
            <w:vAlign w:val="center"/>
          </w:tcPr>
          <w:p w14:paraId="0F9D0C40"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课程目标3</w:t>
            </w:r>
          </w:p>
        </w:tc>
        <w:tc>
          <w:tcPr>
            <w:tcW w:w="1132" w:type="dxa"/>
            <w:vAlign w:val="center"/>
          </w:tcPr>
          <w:p w14:paraId="16EBB4F7"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2学时</w:t>
            </w:r>
          </w:p>
        </w:tc>
      </w:tr>
      <w:tr w:rsidR="0036092D" w:rsidRPr="0036092D" w14:paraId="13A81DB4" w14:textId="77777777" w:rsidTr="00B602D6">
        <w:trPr>
          <w:trHeight w:val="514"/>
          <w:jc w:val="center"/>
        </w:trPr>
        <w:tc>
          <w:tcPr>
            <w:tcW w:w="2709" w:type="dxa"/>
          </w:tcPr>
          <w:p w14:paraId="2DFA5E24" w14:textId="77777777" w:rsidR="0036092D" w:rsidRPr="0036092D" w:rsidRDefault="0036092D" w:rsidP="0036092D">
            <w:pPr>
              <w:spacing w:line="440" w:lineRule="exact"/>
              <w:jc w:val="left"/>
              <w:rPr>
                <w:rFonts w:ascii="Times New Roman" w:eastAsia="宋体" w:hAnsi="Times New Roman" w:cs="Times New Roman"/>
                <w:sz w:val="24"/>
                <w:szCs w:val="24"/>
              </w:rPr>
            </w:pPr>
            <w:r w:rsidRPr="0036092D">
              <w:rPr>
                <w:rFonts w:ascii="Times New Roman" w:eastAsia="宋体" w:hAnsi="Times New Roman" w:cs="Times New Roman" w:hint="eastAsia"/>
                <w:sz w:val="24"/>
                <w:szCs w:val="24"/>
              </w:rPr>
              <w:t>第十三章</w:t>
            </w:r>
            <w:r w:rsidRPr="0036092D">
              <w:rPr>
                <w:rFonts w:ascii="Times New Roman" w:eastAsia="宋体" w:hAnsi="Times New Roman" w:cs="Times New Roman" w:hint="eastAsia"/>
                <w:sz w:val="24"/>
                <w:szCs w:val="24"/>
              </w:rPr>
              <w:t xml:space="preserve"> </w:t>
            </w:r>
            <w:r w:rsidRPr="0036092D">
              <w:rPr>
                <w:rFonts w:ascii="Times New Roman" w:eastAsia="宋体" w:hAnsi="Times New Roman" w:cs="Times New Roman" w:hint="eastAsia"/>
                <w:sz w:val="24"/>
                <w:szCs w:val="24"/>
              </w:rPr>
              <w:t>药物动力学在新药研究中的应用</w:t>
            </w:r>
          </w:p>
        </w:tc>
        <w:tc>
          <w:tcPr>
            <w:tcW w:w="2169" w:type="dxa"/>
            <w:vAlign w:val="center"/>
          </w:tcPr>
          <w:p w14:paraId="78FA53D5"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讲授法、</w:t>
            </w:r>
            <w:r w:rsidRPr="0036092D">
              <w:rPr>
                <w:rFonts w:ascii="宋体" w:eastAsia="宋体" w:hAnsi="宋体" w:cs="Times New Roman"/>
                <w:sz w:val="24"/>
                <w:szCs w:val="24"/>
              </w:rPr>
              <w:t>探究式教学法</w:t>
            </w:r>
          </w:p>
        </w:tc>
        <w:tc>
          <w:tcPr>
            <w:tcW w:w="2115" w:type="dxa"/>
            <w:vAlign w:val="center"/>
          </w:tcPr>
          <w:p w14:paraId="366EFA88"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课程目标1、2、3</w:t>
            </w:r>
          </w:p>
        </w:tc>
        <w:tc>
          <w:tcPr>
            <w:tcW w:w="1132" w:type="dxa"/>
            <w:vAlign w:val="center"/>
          </w:tcPr>
          <w:p w14:paraId="5A8DF977"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2学时</w:t>
            </w:r>
          </w:p>
        </w:tc>
      </w:tr>
      <w:tr w:rsidR="0036092D" w:rsidRPr="0036092D" w14:paraId="0F235EB8" w14:textId="77777777" w:rsidTr="00B602D6">
        <w:trPr>
          <w:jc w:val="center"/>
        </w:trPr>
        <w:tc>
          <w:tcPr>
            <w:tcW w:w="6993" w:type="dxa"/>
            <w:gridSpan w:val="3"/>
            <w:vAlign w:val="center"/>
          </w:tcPr>
          <w:p w14:paraId="33884334" w14:textId="77777777" w:rsidR="0036092D" w:rsidRPr="0036092D" w:rsidRDefault="0036092D" w:rsidP="0036092D">
            <w:pPr>
              <w:spacing w:line="440" w:lineRule="exact"/>
              <w:jc w:val="center"/>
              <w:rPr>
                <w:rFonts w:ascii="宋体" w:eastAsia="宋体" w:hAnsi="宋体" w:cs="Times New Roman"/>
                <w:b/>
                <w:sz w:val="24"/>
                <w:szCs w:val="24"/>
              </w:rPr>
            </w:pPr>
            <w:r w:rsidRPr="0036092D">
              <w:rPr>
                <w:rFonts w:ascii="宋体" w:eastAsia="宋体" w:hAnsi="宋体" w:cs="Times New Roman" w:hint="eastAsia"/>
                <w:b/>
                <w:sz w:val="24"/>
                <w:szCs w:val="24"/>
              </w:rPr>
              <w:t>合计</w:t>
            </w:r>
          </w:p>
        </w:tc>
        <w:tc>
          <w:tcPr>
            <w:tcW w:w="1132" w:type="dxa"/>
            <w:vAlign w:val="center"/>
          </w:tcPr>
          <w:p w14:paraId="0D87004E" w14:textId="77777777" w:rsidR="0036092D" w:rsidRPr="0036092D" w:rsidRDefault="0036092D" w:rsidP="0036092D">
            <w:pPr>
              <w:spacing w:line="440" w:lineRule="exact"/>
              <w:jc w:val="center"/>
              <w:rPr>
                <w:rFonts w:ascii="宋体" w:eastAsia="宋体" w:hAnsi="宋体" w:cs="Times New Roman"/>
                <w:sz w:val="24"/>
                <w:szCs w:val="24"/>
              </w:rPr>
            </w:pPr>
            <w:r w:rsidRPr="0036092D">
              <w:rPr>
                <w:rFonts w:ascii="宋体" w:eastAsia="宋体" w:hAnsi="宋体" w:cs="Times New Roman" w:hint="eastAsia"/>
                <w:sz w:val="24"/>
                <w:szCs w:val="24"/>
              </w:rPr>
              <w:t>32学时</w:t>
            </w:r>
          </w:p>
        </w:tc>
      </w:tr>
    </w:tbl>
    <w:p w14:paraId="5AF57D07" w14:textId="77777777" w:rsidR="0036092D" w:rsidRPr="0036092D" w:rsidRDefault="0036092D" w:rsidP="0036092D">
      <w:pPr>
        <w:spacing w:beforeLines="50" w:before="156" w:afterLines="50" w:after="156" w:line="440" w:lineRule="exact"/>
        <w:ind w:firstLineChars="200" w:firstLine="560"/>
        <w:rPr>
          <w:rFonts w:ascii="宋体" w:eastAsia="宋体" w:hAnsi="宋体" w:cs="Times New Roman"/>
          <w:sz w:val="24"/>
          <w:szCs w:val="24"/>
        </w:rPr>
      </w:pPr>
      <w:r w:rsidRPr="0036092D">
        <w:rPr>
          <w:rFonts w:ascii="黑体" w:eastAsia="黑体" w:hAnsi="黑体" w:cs="Times New Roman" w:hint="eastAsia"/>
          <w:sz w:val="28"/>
          <w:szCs w:val="28"/>
        </w:rPr>
        <w:t>四、课程考核及与课程学习目标的对应关系</w:t>
      </w:r>
    </w:p>
    <w:p w14:paraId="16CA5AA0" w14:textId="77777777" w:rsidR="0036092D" w:rsidRPr="0036092D" w:rsidRDefault="0036092D" w:rsidP="0036092D">
      <w:pPr>
        <w:spacing w:beforeLines="50" w:before="156" w:afterLines="50" w:after="156" w:line="440" w:lineRule="exact"/>
        <w:ind w:firstLineChars="200" w:firstLine="560"/>
        <w:rPr>
          <w:rFonts w:ascii="黑体" w:eastAsia="黑体" w:hAnsi="黑体" w:cs="Times New Roman"/>
          <w:sz w:val="28"/>
          <w:szCs w:val="28"/>
        </w:rPr>
      </w:pPr>
      <w:r w:rsidRPr="0036092D">
        <w:rPr>
          <w:rFonts w:ascii="黑体" w:eastAsia="黑体" w:hAnsi="黑体" w:cs="Times New Roman" w:hint="eastAsia"/>
          <w:sz w:val="28"/>
          <w:szCs w:val="28"/>
        </w:rPr>
        <w:lastRenderedPageBreak/>
        <w:t>（一）课程考核内容与课程学习目标的对应关系</w:t>
      </w:r>
    </w:p>
    <w:tbl>
      <w:tblPr>
        <w:tblW w:w="8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6643"/>
      </w:tblGrid>
      <w:tr w:rsidR="0036092D" w:rsidRPr="0036092D" w14:paraId="4AA25701" w14:textId="77777777" w:rsidTr="00B602D6">
        <w:trPr>
          <w:trHeight w:val="515"/>
          <w:jc w:val="center"/>
        </w:trPr>
        <w:tc>
          <w:tcPr>
            <w:tcW w:w="1422" w:type="dxa"/>
          </w:tcPr>
          <w:p w14:paraId="6C0360DF" w14:textId="77777777" w:rsidR="0036092D" w:rsidRPr="0036092D" w:rsidRDefault="0036092D" w:rsidP="0036092D">
            <w:pPr>
              <w:spacing w:line="440" w:lineRule="exact"/>
              <w:jc w:val="center"/>
              <w:rPr>
                <w:rFonts w:ascii="宋体" w:eastAsia="宋体" w:hAnsi="宋体" w:cs="Times New Roman"/>
                <w:b/>
                <w:sz w:val="24"/>
                <w:szCs w:val="24"/>
              </w:rPr>
            </w:pPr>
            <w:r w:rsidRPr="0036092D">
              <w:rPr>
                <w:rFonts w:ascii="宋体" w:eastAsia="宋体" w:hAnsi="宋体" w:cs="Times New Roman" w:hint="eastAsia"/>
                <w:b/>
                <w:sz w:val="24"/>
                <w:szCs w:val="24"/>
              </w:rPr>
              <w:t>课程目标</w:t>
            </w:r>
          </w:p>
        </w:tc>
        <w:tc>
          <w:tcPr>
            <w:tcW w:w="6643" w:type="dxa"/>
            <w:vAlign w:val="center"/>
          </w:tcPr>
          <w:p w14:paraId="58A8466B" w14:textId="77777777" w:rsidR="0036092D" w:rsidRPr="0036092D" w:rsidRDefault="0036092D" w:rsidP="0036092D">
            <w:pPr>
              <w:spacing w:line="440" w:lineRule="exact"/>
              <w:jc w:val="center"/>
              <w:rPr>
                <w:rFonts w:ascii="宋体" w:eastAsia="宋体" w:hAnsi="宋体" w:cs="Times New Roman"/>
                <w:b/>
                <w:sz w:val="24"/>
                <w:szCs w:val="24"/>
              </w:rPr>
            </w:pPr>
            <w:r w:rsidRPr="0036092D">
              <w:rPr>
                <w:rFonts w:ascii="宋体" w:eastAsia="宋体" w:hAnsi="宋体" w:cs="Times New Roman" w:hint="eastAsia"/>
                <w:b/>
                <w:sz w:val="24"/>
                <w:szCs w:val="24"/>
              </w:rPr>
              <w:t>考核内容</w:t>
            </w:r>
          </w:p>
        </w:tc>
      </w:tr>
      <w:tr w:rsidR="0036092D" w:rsidRPr="0036092D" w14:paraId="70D250EF" w14:textId="77777777" w:rsidTr="00B602D6">
        <w:trPr>
          <w:jc w:val="center"/>
        </w:trPr>
        <w:tc>
          <w:tcPr>
            <w:tcW w:w="1422" w:type="dxa"/>
            <w:vAlign w:val="center"/>
          </w:tcPr>
          <w:p w14:paraId="50F09CED" w14:textId="77777777" w:rsidR="0036092D" w:rsidRPr="0036092D" w:rsidRDefault="0036092D" w:rsidP="0036092D">
            <w:pPr>
              <w:spacing w:line="440" w:lineRule="exact"/>
              <w:jc w:val="center"/>
              <w:rPr>
                <w:rFonts w:ascii="宋体" w:eastAsia="宋体" w:hAnsi="宋体" w:cs="Times New Roman"/>
                <w:bCs/>
                <w:sz w:val="24"/>
                <w:szCs w:val="24"/>
              </w:rPr>
            </w:pPr>
            <w:r w:rsidRPr="0036092D">
              <w:rPr>
                <w:rFonts w:ascii="宋体" w:eastAsia="宋体" w:hAnsi="宋体" w:cs="Times New Roman" w:hint="eastAsia"/>
                <w:bCs/>
                <w:sz w:val="24"/>
                <w:szCs w:val="24"/>
              </w:rPr>
              <w:t>课程目标1、2</w:t>
            </w:r>
          </w:p>
        </w:tc>
        <w:tc>
          <w:tcPr>
            <w:tcW w:w="6643" w:type="dxa"/>
            <w:vAlign w:val="center"/>
          </w:tcPr>
          <w:p w14:paraId="39C10897" w14:textId="77777777" w:rsidR="0036092D" w:rsidRPr="0036092D" w:rsidRDefault="0036092D" w:rsidP="0036092D">
            <w:pPr>
              <w:autoSpaceDE w:val="0"/>
              <w:autoSpaceDN w:val="0"/>
              <w:adjustRightInd w:val="0"/>
              <w:spacing w:line="400" w:lineRule="exact"/>
              <w:rPr>
                <w:rFonts w:ascii="Times New Roman" w:eastAsia="宋体" w:hAnsi="Times New Roman" w:cs="Times New Roman"/>
                <w:sz w:val="24"/>
                <w:szCs w:val="24"/>
              </w:rPr>
            </w:pPr>
            <w:r w:rsidRPr="0036092D">
              <w:rPr>
                <w:rFonts w:ascii="宋体" w:eastAsia="宋体" w:hAnsi="宋体" w:cs="宋体" w:hint="eastAsia"/>
                <w:sz w:val="24"/>
                <w:szCs w:val="24"/>
              </w:rPr>
              <w:t>1</w:t>
            </w:r>
            <w:r w:rsidRPr="0036092D">
              <w:rPr>
                <w:rFonts w:ascii="Times New Roman" w:eastAsia="宋体" w:hAnsi="Times New Roman" w:cs="Times New Roman" w:hint="eastAsia"/>
                <w:sz w:val="24"/>
                <w:szCs w:val="24"/>
              </w:rPr>
              <w:t xml:space="preserve"> </w:t>
            </w:r>
            <w:r w:rsidRPr="0036092D">
              <w:rPr>
                <w:rFonts w:ascii="Times New Roman" w:eastAsia="宋体" w:hAnsi="Times New Roman" w:cs="Times New Roman" w:hint="eastAsia"/>
                <w:sz w:val="24"/>
                <w:szCs w:val="24"/>
              </w:rPr>
              <w:t>药剂学概述</w:t>
            </w:r>
          </w:p>
          <w:p w14:paraId="3D735030" w14:textId="77777777" w:rsidR="0036092D" w:rsidRPr="0036092D" w:rsidRDefault="0036092D" w:rsidP="0036092D">
            <w:pPr>
              <w:widowControl/>
              <w:wordWrap w:val="0"/>
              <w:spacing w:line="400" w:lineRule="exact"/>
              <w:jc w:val="left"/>
              <w:rPr>
                <w:rFonts w:ascii="宋体" w:eastAsia="宋体" w:hAnsi="宋体" w:cs="宋体"/>
                <w:szCs w:val="24"/>
              </w:rPr>
            </w:pPr>
            <w:r w:rsidRPr="0036092D">
              <w:rPr>
                <w:rFonts w:ascii="宋体" w:eastAsia="宋体" w:hAnsi="宋体" w:cs="宋体" w:hint="eastAsia"/>
                <w:kern w:val="0"/>
                <w:sz w:val="24"/>
                <w:szCs w:val="24"/>
                <w:lang w:bidi="ar"/>
              </w:rPr>
              <w:t>2.1药物的膜转运与胃肠道吸收</w:t>
            </w:r>
          </w:p>
          <w:p w14:paraId="0BD81848" w14:textId="77777777" w:rsidR="0036092D" w:rsidRPr="0036092D" w:rsidRDefault="0036092D" w:rsidP="0036092D">
            <w:pPr>
              <w:widowControl/>
              <w:wordWrap w:val="0"/>
              <w:spacing w:line="400" w:lineRule="exact"/>
              <w:jc w:val="left"/>
              <w:rPr>
                <w:rFonts w:ascii="宋体" w:eastAsia="宋体" w:hAnsi="宋体" w:cs="宋体"/>
                <w:szCs w:val="24"/>
              </w:rPr>
            </w:pPr>
            <w:r w:rsidRPr="0036092D">
              <w:rPr>
                <w:rFonts w:ascii="宋体" w:eastAsia="宋体" w:hAnsi="宋体" w:cs="宋体" w:hint="eastAsia"/>
                <w:kern w:val="0"/>
                <w:sz w:val="24"/>
                <w:szCs w:val="24"/>
                <w:lang w:bidi="ar"/>
              </w:rPr>
              <w:t>2.2影响药物吸收的因素</w:t>
            </w:r>
          </w:p>
          <w:p w14:paraId="7C2849A2" w14:textId="77777777" w:rsidR="0036092D" w:rsidRPr="0036092D" w:rsidRDefault="0036092D" w:rsidP="0036092D">
            <w:pPr>
              <w:widowControl/>
              <w:wordWrap w:val="0"/>
              <w:spacing w:line="400" w:lineRule="exact"/>
              <w:jc w:val="left"/>
              <w:rPr>
                <w:rFonts w:ascii="宋体" w:eastAsia="宋体" w:hAnsi="宋体" w:cs="宋体"/>
                <w:szCs w:val="24"/>
              </w:rPr>
            </w:pPr>
            <w:r w:rsidRPr="0036092D">
              <w:rPr>
                <w:rFonts w:ascii="宋体" w:eastAsia="宋体" w:hAnsi="宋体" w:cs="宋体" w:hint="eastAsia"/>
                <w:kern w:val="0"/>
                <w:sz w:val="24"/>
                <w:szCs w:val="24"/>
                <w:lang w:bidi="ar"/>
              </w:rPr>
              <w:t>3.1.注射给药</w:t>
            </w:r>
          </w:p>
          <w:p w14:paraId="309DD6FF" w14:textId="77777777" w:rsidR="0036092D" w:rsidRPr="0036092D" w:rsidRDefault="0036092D" w:rsidP="0036092D">
            <w:pPr>
              <w:widowControl/>
              <w:wordWrap w:val="0"/>
              <w:spacing w:line="400" w:lineRule="exact"/>
              <w:jc w:val="left"/>
              <w:rPr>
                <w:rFonts w:ascii="宋体" w:eastAsia="宋体" w:hAnsi="宋体" w:cs="宋体"/>
                <w:szCs w:val="24"/>
              </w:rPr>
            </w:pPr>
            <w:r w:rsidRPr="0036092D">
              <w:rPr>
                <w:rFonts w:ascii="宋体" w:eastAsia="宋体" w:hAnsi="宋体" w:cs="宋体" w:hint="eastAsia"/>
                <w:kern w:val="0"/>
                <w:sz w:val="24"/>
                <w:szCs w:val="24"/>
                <w:lang w:bidi="ar"/>
              </w:rPr>
              <w:t>3.2 肺部给药</w:t>
            </w:r>
          </w:p>
          <w:p w14:paraId="324DB3F4" w14:textId="77777777" w:rsidR="0036092D" w:rsidRPr="0036092D" w:rsidRDefault="0036092D" w:rsidP="0036092D">
            <w:pPr>
              <w:widowControl/>
              <w:wordWrap w:val="0"/>
              <w:spacing w:line="400" w:lineRule="exact"/>
              <w:jc w:val="left"/>
              <w:rPr>
                <w:rFonts w:ascii="宋体" w:eastAsia="宋体" w:hAnsi="宋体" w:cs="宋体"/>
                <w:szCs w:val="24"/>
              </w:rPr>
            </w:pPr>
            <w:r w:rsidRPr="0036092D">
              <w:rPr>
                <w:rFonts w:ascii="宋体" w:eastAsia="宋体" w:hAnsi="宋体" w:cs="宋体" w:hint="eastAsia"/>
                <w:kern w:val="0"/>
                <w:sz w:val="24"/>
                <w:szCs w:val="24"/>
                <w:lang w:bidi="ar"/>
              </w:rPr>
              <w:t>3.3皮肤给药</w:t>
            </w:r>
          </w:p>
          <w:p w14:paraId="69FD5DC5" w14:textId="77777777" w:rsidR="0036092D" w:rsidRPr="0036092D" w:rsidRDefault="0036092D" w:rsidP="0036092D">
            <w:pPr>
              <w:widowControl/>
              <w:wordWrap w:val="0"/>
              <w:spacing w:line="400" w:lineRule="exact"/>
              <w:jc w:val="left"/>
              <w:rPr>
                <w:rFonts w:ascii="宋体" w:eastAsia="宋体" w:hAnsi="宋体" w:cs="宋体"/>
                <w:sz w:val="24"/>
                <w:szCs w:val="24"/>
              </w:rPr>
            </w:pPr>
            <w:r w:rsidRPr="0036092D">
              <w:rPr>
                <w:rFonts w:ascii="宋体" w:eastAsia="宋体" w:hAnsi="宋体" w:cs="宋体" w:hint="eastAsia"/>
                <w:kern w:val="0"/>
                <w:sz w:val="24"/>
                <w:szCs w:val="24"/>
                <w:lang w:bidi="ar"/>
              </w:rPr>
              <w:t>3.4鼻腔给药</w:t>
            </w:r>
            <w:r w:rsidRPr="0036092D">
              <w:rPr>
                <w:rFonts w:ascii="宋体" w:eastAsia="宋体" w:hAnsi="宋体" w:cs="宋体" w:hint="eastAsia"/>
                <w:sz w:val="24"/>
                <w:szCs w:val="24"/>
              </w:rPr>
              <w:t xml:space="preserve"> </w:t>
            </w:r>
          </w:p>
          <w:p w14:paraId="38034F5E" w14:textId="77777777" w:rsidR="0036092D" w:rsidRPr="0036092D" w:rsidRDefault="0036092D" w:rsidP="0036092D">
            <w:pPr>
              <w:widowControl/>
              <w:wordWrap w:val="0"/>
              <w:spacing w:line="400" w:lineRule="exact"/>
              <w:jc w:val="left"/>
              <w:rPr>
                <w:rFonts w:ascii="宋体" w:eastAsia="宋体" w:hAnsi="宋体" w:cs="宋体"/>
                <w:szCs w:val="24"/>
              </w:rPr>
            </w:pPr>
            <w:r w:rsidRPr="0036092D">
              <w:rPr>
                <w:rFonts w:ascii="宋体" w:eastAsia="宋体" w:hAnsi="宋体" w:cs="宋体" w:hint="eastAsia"/>
                <w:kern w:val="0"/>
                <w:sz w:val="24"/>
                <w:szCs w:val="24"/>
                <w:lang w:bidi="ar"/>
              </w:rPr>
              <w:t>3.5口腔黏膜给药</w:t>
            </w:r>
          </w:p>
          <w:p w14:paraId="7208AC33" w14:textId="77777777" w:rsidR="0036092D" w:rsidRPr="0036092D" w:rsidRDefault="0036092D" w:rsidP="0036092D">
            <w:pPr>
              <w:widowControl/>
              <w:wordWrap w:val="0"/>
              <w:spacing w:line="400" w:lineRule="exact"/>
              <w:jc w:val="left"/>
              <w:rPr>
                <w:rFonts w:ascii="宋体" w:eastAsia="宋体" w:hAnsi="宋体" w:cs="宋体"/>
                <w:szCs w:val="24"/>
              </w:rPr>
            </w:pPr>
            <w:r w:rsidRPr="0036092D">
              <w:rPr>
                <w:rFonts w:ascii="宋体" w:eastAsia="宋体" w:hAnsi="宋体" w:cs="宋体" w:hint="eastAsia"/>
                <w:kern w:val="0"/>
                <w:sz w:val="24"/>
                <w:szCs w:val="24"/>
                <w:lang w:bidi="ar"/>
              </w:rPr>
              <w:t>3.6直肠给药与阴道给药</w:t>
            </w:r>
          </w:p>
          <w:p w14:paraId="51C325AD" w14:textId="77777777" w:rsidR="0036092D" w:rsidRPr="0036092D" w:rsidRDefault="0036092D" w:rsidP="0036092D">
            <w:pPr>
              <w:widowControl/>
              <w:wordWrap w:val="0"/>
              <w:spacing w:line="400" w:lineRule="exact"/>
              <w:jc w:val="left"/>
              <w:rPr>
                <w:rFonts w:ascii="宋体" w:eastAsia="宋体" w:hAnsi="宋体" w:cs="宋体"/>
                <w:b/>
                <w:sz w:val="24"/>
                <w:szCs w:val="24"/>
              </w:rPr>
            </w:pPr>
            <w:r w:rsidRPr="0036092D">
              <w:rPr>
                <w:rFonts w:ascii="宋体" w:eastAsia="宋体" w:hAnsi="宋体" w:cs="宋体" w:hint="eastAsia"/>
                <w:kern w:val="0"/>
                <w:sz w:val="24"/>
                <w:szCs w:val="24"/>
                <w:lang w:bidi="ar"/>
              </w:rPr>
              <w:t>3.7眼部给药</w:t>
            </w:r>
          </w:p>
          <w:p w14:paraId="46892F25"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sz w:val="24"/>
                <w:szCs w:val="24"/>
              </w:rPr>
              <w:t>4.3 药物的淋巴系统转运</w:t>
            </w:r>
          </w:p>
          <w:p w14:paraId="17E27B5B" w14:textId="77777777" w:rsidR="0036092D" w:rsidRPr="0036092D" w:rsidRDefault="0036092D" w:rsidP="0036092D">
            <w:pPr>
              <w:spacing w:line="400" w:lineRule="exact"/>
              <w:rPr>
                <w:rFonts w:ascii="宋体" w:eastAsia="宋体" w:hAnsi="宋体" w:cs="宋体"/>
                <w:sz w:val="24"/>
                <w:szCs w:val="24"/>
              </w:rPr>
            </w:pPr>
            <w:r w:rsidRPr="0036092D">
              <w:rPr>
                <w:rFonts w:ascii="宋体" w:eastAsia="宋体" w:hAnsi="宋体" w:cs="宋体" w:hint="eastAsia"/>
                <w:sz w:val="24"/>
                <w:szCs w:val="24"/>
              </w:rPr>
              <w:t>4.4 药物的脑分布</w:t>
            </w:r>
          </w:p>
          <w:p w14:paraId="66A30E86" w14:textId="77777777" w:rsidR="0036092D" w:rsidRPr="0036092D" w:rsidRDefault="0036092D" w:rsidP="0036092D">
            <w:pPr>
              <w:spacing w:line="400" w:lineRule="exact"/>
              <w:rPr>
                <w:rFonts w:ascii="宋体" w:eastAsia="宋体" w:hAnsi="宋体" w:cs="宋体"/>
                <w:sz w:val="24"/>
                <w:szCs w:val="24"/>
              </w:rPr>
            </w:pPr>
            <w:r w:rsidRPr="0036092D">
              <w:rPr>
                <w:rFonts w:ascii="宋体" w:eastAsia="宋体" w:hAnsi="宋体" w:cs="宋体" w:hint="eastAsia"/>
                <w:color w:val="000000"/>
                <w:sz w:val="24"/>
                <w:szCs w:val="24"/>
              </w:rPr>
              <w:t xml:space="preserve">4.5 </w:t>
            </w:r>
            <w:r w:rsidRPr="0036092D">
              <w:rPr>
                <w:rFonts w:ascii="宋体" w:eastAsia="宋体" w:hAnsi="宋体" w:cs="宋体" w:hint="eastAsia"/>
                <w:sz w:val="24"/>
                <w:szCs w:val="24"/>
              </w:rPr>
              <w:t>药物在红细胞内的分布</w:t>
            </w:r>
          </w:p>
          <w:p w14:paraId="18711AED" w14:textId="77777777" w:rsidR="0036092D" w:rsidRPr="0036092D" w:rsidRDefault="0036092D" w:rsidP="0036092D">
            <w:pPr>
              <w:spacing w:line="400" w:lineRule="exact"/>
              <w:rPr>
                <w:rFonts w:ascii="宋体" w:eastAsia="宋体" w:hAnsi="宋体" w:cs="宋体"/>
                <w:sz w:val="24"/>
                <w:szCs w:val="24"/>
              </w:rPr>
            </w:pPr>
            <w:r w:rsidRPr="0036092D">
              <w:rPr>
                <w:rFonts w:ascii="宋体" w:eastAsia="宋体" w:hAnsi="宋体" w:cs="宋体" w:hint="eastAsia"/>
                <w:sz w:val="24"/>
                <w:szCs w:val="24"/>
              </w:rPr>
              <w:t>4.6 药物在胎儿内分布</w:t>
            </w:r>
          </w:p>
          <w:p w14:paraId="4622AD52" w14:textId="77777777" w:rsidR="0036092D" w:rsidRPr="0036092D" w:rsidRDefault="0036092D" w:rsidP="0036092D">
            <w:pPr>
              <w:spacing w:line="400" w:lineRule="exact"/>
              <w:rPr>
                <w:rFonts w:ascii="宋体" w:eastAsia="宋体" w:hAnsi="宋体" w:cs="宋体"/>
                <w:sz w:val="24"/>
                <w:szCs w:val="24"/>
              </w:rPr>
            </w:pPr>
            <w:r w:rsidRPr="0036092D">
              <w:rPr>
                <w:rFonts w:ascii="宋体" w:eastAsia="宋体" w:hAnsi="宋体" w:cs="宋体" w:hint="eastAsia"/>
                <w:sz w:val="24"/>
                <w:szCs w:val="24"/>
              </w:rPr>
              <w:t>4.7 药物的脂肪组织分布</w:t>
            </w:r>
          </w:p>
          <w:p w14:paraId="3B5FF79C"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color w:val="000000"/>
                <w:sz w:val="24"/>
                <w:szCs w:val="24"/>
              </w:rPr>
              <w:t>5.2药物代谢酶与其组织分布</w:t>
            </w:r>
          </w:p>
          <w:p w14:paraId="6BAAE6D3"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sz w:val="24"/>
                <w:szCs w:val="24"/>
              </w:rPr>
              <w:t>5.3 药物代谢反应的类型</w:t>
            </w:r>
          </w:p>
          <w:p w14:paraId="16660D9D"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color w:val="000000"/>
                <w:sz w:val="24"/>
                <w:szCs w:val="24"/>
              </w:rPr>
              <w:t xml:space="preserve">6.1 </w:t>
            </w:r>
            <w:r w:rsidRPr="0036092D">
              <w:rPr>
                <w:rFonts w:ascii="宋体" w:eastAsia="宋体" w:hAnsi="宋体" w:cs="宋体" w:hint="eastAsia"/>
                <w:sz w:val="24"/>
                <w:szCs w:val="24"/>
              </w:rPr>
              <w:t>肾排泄</w:t>
            </w:r>
          </w:p>
          <w:p w14:paraId="6424F54F" w14:textId="77777777" w:rsidR="0036092D" w:rsidRPr="0036092D" w:rsidRDefault="0036092D" w:rsidP="0036092D">
            <w:pPr>
              <w:autoSpaceDE w:val="0"/>
              <w:autoSpaceDN w:val="0"/>
              <w:adjustRightInd w:val="0"/>
              <w:spacing w:line="400" w:lineRule="exact"/>
              <w:rPr>
                <w:rFonts w:ascii="宋体" w:eastAsia="宋体" w:hAnsi="宋体" w:cs="宋体"/>
                <w:color w:val="000000"/>
                <w:sz w:val="24"/>
                <w:szCs w:val="24"/>
              </w:rPr>
            </w:pPr>
            <w:r w:rsidRPr="0036092D">
              <w:rPr>
                <w:rFonts w:ascii="宋体" w:eastAsia="宋体" w:hAnsi="宋体" w:cs="宋体" w:hint="eastAsia"/>
                <w:color w:val="000000"/>
                <w:sz w:val="24"/>
                <w:szCs w:val="24"/>
              </w:rPr>
              <w:t xml:space="preserve">6.2 </w:t>
            </w:r>
            <w:r w:rsidRPr="0036092D">
              <w:rPr>
                <w:rFonts w:ascii="宋体" w:eastAsia="宋体" w:hAnsi="宋体" w:cs="宋体" w:hint="eastAsia"/>
                <w:sz w:val="24"/>
                <w:szCs w:val="24"/>
              </w:rPr>
              <w:t>胆汁排泄</w:t>
            </w:r>
          </w:p>
          <w:p w14:paraId="78E3B728" w14:textId="77777777" w:rsidR="0036092D" w:rsidRPr="0036092D" w:rsidRDefault="0036092D" w:rsidP="0036092D">
            <w:pPr>
              <w:autoSpaceDE w:val="0"/>
              <w:autoSpaceDN w:val="0"/>
              <w:adjustRightInd w:val="0"/>
              <w:spacing w:line="400" w:lineRule="exact"/>
              <w:rPr>
                <w:rFonts w:ascii="宋体" w:eastAsia="宋体" w:hAnsi="宋体" w:cs="宋体"/>
                <w:sz w:val="24"/>
                <w:szCs w:val="24"/>
              </w:rPr>
            </w:pPr>
            <w:r w:rsidRPr="0036092D">
              <w:rPr>
                <w:rFonts w:ascii="宋体" w:eastAsia="宋体" w:hAnsi="宋体" w:cs="宋体" w:hint="eastAsia"/>
                <w:color w:val="000000"/>
                <w:sz w:val="24"/>
                <w:szCs w:val="24"/>
              </w:rPr>
              <w:t xml:space="preserve">6.3 </w:t>
            </w:r>
            <w:r w:rsidRPr="0036092D">
              <w:rPr>
                <w:rFonts w:ascii="宋体" w:eastAsia="宋体" w:hAnsi="宋体" w:cs="宋体" w:hint="eastAsia"/>
                <w:sz w:val="24"/>
                <w:szCs w:val="24"/>
              </w:rPr>
              <w:t>其他排泄途径</w:t>
            </w:r>
          </w:p>
          <w:p w14:paraId="52F6631B"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color w:val="000000"/>
                <w:sz w:val="24"/>
                <w:szCs w:val="24"/>
              </w:rPr>
              <w:t>7.2</w:t>
            </w:r>
            <w:r w:rsidRPr="0036092D">
              <w:rPr>
                <w:rFonts w:ascii="宋体" w:eastAsia="宋体" w:hAnsi="宋体" w:cs="宋体" w:hint="eastAsia"/>
                <w:sz w:val="24"/>
                <w:szCs w:val="24"/>
              </w:rPr>
              <w:t xml:space="preserve"> 药物动力学的基本模型和基本参数</w:t>
            </w:r>
          </w:p>
          <w:p w14:paraId="5144DA19"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color w:val="000000"/>
                <w:sz w:val="24"/>
                <w:szCs w:val="24"/>
              </w:rPr>
              <w:t>8.1</w:t>
            </w:r>
            <w:r w:rsidRPr="0036092D">
              <w:rPr>
                <w:rFonts w:ascii="宋体" w:eastAsia="宋体" w:hAnsi="宋体" w:cs="宋体" w:hint="eastAsia"/>
                <w:sz w:val="24"/>
                <w:szCs w:val="24"/>
              </w:rPr>
              <w:t xml:space="preserve"> 静脉注射给药</w:t>
            </w:r>
          </w:p>
          <w:p w14:paraId="596FE25F"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color w:val="000000"/>
                <w:sz w:val="24"/>
                <w:szCs w:val="24"/>
              </w:rPr>
              <w:t>8.2</w:t>
            </w:r>
            <w:r w:rsidRPr="0036092D">
              <w:rPr>
                <w:rFonts w:ascii="宋体" w:eastAsia="宋体" w:hAnsi="宋体" w:cs="宋体" w:hint="eastAsia"/>
                <w:sz w:val="24"/>
                <w:szCs w:val="24"/>
              </w:rPr>
              <w:t xml:space="preserve"> 静脉滴注给药</w:t>
            </w:r>
          </w:p>
          <w:p w14:paraId="344C48EE" w14:textId="77777777" w:rsidR="0036092D" w:rsidRPr="0036092D" w:rsidRDefault="0036092D" w:rsidP="0036092D">
            <w:pPr>
              <w:spacing w:line="400" w:lineRule="exact"/>
              <w:rPr>
                <w:rFonts w:ascii="宋体" w:eastAsia="宋体" w:hAnsi="宋体" w:cs="宋体"/>
                <w:sz w:val="24"/>
                <w:szCs w:val="24"/>
              </w:rPr>
            </w:pPr>
            <w:r w:rsidRPr="0036092D">
              <w:rPr>
                <w:rFonts w:ascii="宋体" w:eastAsia="宋体" w:hAnsi="宋体" w:cs="宋体" w:hint="eastAsia"/>
                <w:color w:val="000000"/>
                <w:sz w:val="24"/>
                <w:szCs w:val="24"/>
              </w:rPr>
              <w:t>8.3</w:t>
            </w:r>
            <w:r w:rsidRPr="0036092D">
              <w:rPr>
                <w:rFonts w:ascii="宋体" w:eastAsia="宋体" w:hAnsi="宋体" w:cs="宋体" w:hint="eastAsia"/>
                <w:sz w:val="24"/>
                <w:szCs w:val="24"/>
              </w:rPr>
              <w:t xml:space="preserve"> 血管外给药</w:t>
            </w:r>
          </w:p>
          <w:p w14:paraId="6D9693F2"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color w:val="000000"/>
                <w:sz w:val="24"/>
                <w:szCs w:val="24"/>
              </w:rPr>
              <w:t>9.1</w:t>
            </w:r>
            <w:r w:rsidRPr="0036092D">
              <w:rPr>
                <w:rFonts w:ascii="宋体" w:eastAsia="宋体" w:hAnsi="宋体" w:cs="宋体" w:hint="eastAsia"/>
                <w:sz w:val="24"/>
                <w:szCs w:val="24"/>
              </w:rPr>
              <w:t xml:space="preserve"> 二室模型静脉注射给药</w:t>
            </w:r>
          </w:p>
          <w:p w14:paraId="44B6A1AD"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color w:val="000000"/>
                <w:sz w:val="24"/>
                <w:szCs w:val="24"/>
              </w:rPr>
              <w:t>9.2</w:t>
            </w:r>
            <w:r w:rsidRPr="0036092D">
              <w:rPr>
                <w:rFonts w:ascii="宋体" w:eastAsia="宋体" w:hAnsi="宋体" w:cs="宋体" w:hint="eastAsia"/>
                <w:sz w:val="24"/>
                <w:szCs w:val="24"/>
              </w:rPr>
              <w:t xml:space="preserve"> 三室模型静脉注射给药</w:t>
            </w:r>
          </w:p>
          <w:p w14:paraId="2D653FF1"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color w:val="000000"/>
                <w:sz w:val="24"/>
                <w:szCs w:val="24"/>
              </w:rPr>
              <w:t>9.3</w:t>
            </w:r>
            <w:r w:rsidRPr="0036092D">
              <w:rPr>
                <w:rFonts w:ascii="宋体" w:eastAsia="宋体" w:hAnsi="宋体" w:cs="宋体" w:hint="eastAsia"/>
                <w:sz w:val="24"/>
                <w:szCs w:val="24"/>
              </w:rPr>
              <w:t xml:space="preserve"> 二室模型静脉滴注给药</w:t>
            </w:r>
          </w:p>
          <w:p w14:paraId="2052CF14"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color w:val="000000"/>
                <w:sz w:val="24"/>
                <w:szCs w:val="24"/>
              </w:rPr>
              <w:t>9.4</w:t>
            </w:r>
            <w:r w:rsidRPr="0036092D">
              <w:rPr>
                <w:rFonts w:ascii="宋体" w:eastAsia="宋体" w:hAnsi="宋体" w:cs="宋体" w:hint="eastAsia"/>
                <w:sz w:val="24"/>
                <w:szCs w:val="24"/>
              </w:rPr>
              <w:t xml:space="preserve"> 二室模型血管外给药</w:t>
            </w:r>
          </w:p>
          <w:p w14:paraId="23DEF388"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color w:val="000000"/>
                <w:sz w:val="24"/>
                <w:szCs w:val="24"/>
              </w:rPr>
              <w:t>13.1</w:t>
            </w:r>
            <w:r w:rsidRPr="0036092D">
              <w:rPr>
                <w:rFonts w:ascii="宋体" w:eastAsia="宋体" w:hAnsi="宋体" w:cs="宋体" w:hint="eastAsia"/>
                <w:sz w:val="24"/>
                <w:szCs w:val="24"/>
              </w:rPr>
              <w:t xml:space="preserve"> 新药药物动力学研究的内容</w:t>
            </w:r>
          </w:p>
          <w:p w14:paraId="3B3163E6" w14:textId="77777777" w:rsidR="0036092D" w:rsidRPr="0036092D" w:rsidRDefault="0036092D" w:rsidP="0036092D">
            <w:pPr>
              <w:adjustRightInd w:val="0"/>
              <w:snapToGrid w:val="0"/>
              <w:spacing w:line="400" w:lineRule="exact"/>
              <w:jc w:val="left"/>
              <w:rPr>
                <w:rFonts w:ascii="Times New Roman" w:eastAsia="宋体" w:hAnsi="Times New Roman" w:cs="Times New Roman"/>
                <w:sz w:val="24"/>
                <w:szCs w:val="24"/>
              </w:rPr>
            </w:pPr>
            <w:r w:rsidRPr="0036092D">
              <w:rPr>
                <w:rFonts w:ascii="宋体" w:eastAsia="宋体" w:hAnsi="宋体" w:cs="宋体" w:hint="eastAsia"/>
                <w:color w:val="000000"/>
                <w:sz w:val="24"/>
                <w:szCs w:val="24"/>
              </w:rPr>
              <w:t>13.2</w:t>
            </w:r>
            <w:r w:rsidRPr="0036092D">
              <w:rPr>
                <w:rFonts w:ascii="宋体" w:eastAsia="宋体" w:hAnsi="宋体" w:cs="宋体" w:hint="eastAsia"/>
                <w:sz w:val="24"/>
                <w:szCs w:val="24"/>
              </w:rPr>
              <w:t xml:space="preserve"> 生物利用度和生物等效性</w:t>
            </w:r>
          </w:p>
        </w:tc>
      </w:tr>
      <w:tr w:rsidR="0036092D" w:rsidRPr="0036092D" w14:paraId="548B0AE4" w14:textId="77777777" w:rsidTr="00B602D6">
        <w:trPr>
          <w:jc w:val="center"/>
        </w:trPr>
        <w:tc>
          <w:tcPr>
            <w:tcW w:w="1422" w:type="dxa"/>
            <w:vAlign w:val="center"/>
          </w:tcPr>
          <w:p w14:paraId="4F77CD9F" w14:textId="77777777" w:rsidR="0036092D" w:rsidRPr="0036092D" w:rsidRDefault="0036092D" w:rsidP="0036092D">
            <w:pPr>
              <w:spacing w:line="440" w:lineRule="exact"/>
              <w:jc w:val="center"/>
              <w:rPr>
                <w:rFonts w:ascii="宋体" w:eastAsia="宋体" w:hAnsi="宋体" w:cs="Times New Roman"/>
                <w:bCs/>
                <w:sz w:val="24"/>
                <w:szCs w:val="24"/>
              </w:rPr>
            </w:pPr>
            <w:r w:rsidRPr="0036092D">
              <w:rPr>
                <w:rFonts w:ascii="宋体" w:eastAsia="宋体" w:hAnsi="宋体" w:cs="Times New Roman" w:hint="eastAsia"/>
                <w:bCs/>
                <w:sz w:val="24"/>
                <w:szCs w:val="24"/>
              </w:rPr>
              <w:t>课程目标3</w:t>
            </w:r>
          </w:p>
        </w:tc>
        <w:tc>
          <w:tcPr>
            <w:tcW w:w="6643" w:type="dxa"/>
            <w:vAlign w:val="center"/>
          </w:tcPr>
          <w:p w14:paraId="42181CB6" w14:textId="77777777" w:rsidR="0036092D" w:rsidRPr="0036092D" w:rsidRDefault="0036092D" w:rsidP="0036092D">
            <w:pPr>
              <w:widowControl/>
              <w:wordWrap w:val="0"/>
              <w:spacing w:line="400" w:lineRule="exact"/>
              <w:jc w:val="left"/>
              <w:rPr>
                <w:rFonts w:ascii="宋体" w:eastAsia="宋体" w:hAnsi="宋体" w:cs="宋体"/>
                <w:szCs w:val="24"/>
              </w:rPr>
            </w:pPr>
            <w:r w:rsidRPr="0036092D">
              <w:rPr>
                <w:rFonts w:ascii="宋体" w:eastAsia="宋体" w:hAnsi="宋体" w:cs="宋体" w:hint="eastAsia"/>
                <w:kern w:val="0"/>
                <w:sz w:val="24"/>
                <w:szCs w:val="24"/>
                <w:lang w:bidi="ar"/>
              </w:rPr>
              <w:t>2.3口服药物吸收与制剂设计</w:t>
            </w:r>
          </w:p>
          <w:p w14:paraId="321244B0" w14:textId="77777777" w:rsidR="0036092D" w:rsidRPr="0036092D" w:rsidRDefault="0036092D" w:rsidP="0036092D">
            <w:pPr>
              <w:spacing w:line="400" w:lineRule="exact"/>
              <w:rPr>
                <w:rFonts w:ascii="宋体" w:eastAsia="宋体" w:hAnsi="宋体" w:cs="宋体"/>
                <w:b/>
                <w:sz w:val="24"/>
                <w:szCs w:val="24"/>
              </w:rPr>
            </w:pPr>
            <w:r w:rsidRPr="0036092D">
              <w:rPr>
                <w:rFonts w:ascii="宋体" w:eastAsia="宋体" w:hAnsi="宋体" w:cs="宋体" w:hint="eastAsia"/>
                <w:kern w:val="0"/>
                <w:sz w:val="24"/>
                <w:szCs w:val="24"/>
                <w:lang w:bidi="ar"/>
              </w:rPr>
              <w:t>2.4口服药物吸收的研究方法与技术</w:t>
            </w:r>
          </w:p>
          <w:p w14:paraId="01E1F439"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color w:val="000000"/>
                <w:sz w:val="24"/>
                <w:szCs w:val="24"/>
              </w:rPr>
              <w:lastRenderedPageBreak/>
              <w:t xml:space="preserve">4.2 </w:t>
            </w:r>
            <w:r w:rsidRPr="0036092D">
              <w:rPr>
                <w:rFonts w:ascii="宋体" w:eastAsia="宋体" w:hAnsi="宋体" w:cs="宋体" w:hint="eastAsia"/>
                <w:sz w:val="24"/>
                <w:szCs w:val="24"/>
              </w:rPr>
              <w:t>影响分布的因素</w:t>
            </w:r>
          </w:p>
          <w:p w14:paraId="5462F1D8" w14:textId="77777777" w:rsidR="0036092D" w:rsidRPr="0036092D" w:rsidRDefault="0036092D" w:rsidP="0036092D">
            <w:pPr>
              <w:spacing w:line="400" w:lineRule="exact"/>
              <w:rPr>
                <w:rFonts w:ascii="宋体" w:eastAsia="宋体" w:hAnsi="宋体" w:cs="宋体"/>
                <w:b/>
                <w:sz w:val="24"/>
                <w:szCs w:val="24"/>
              </w:rPr>
            </w:pPr>
            <w:r w:rsidRPr="0036092D">
              <w:rPr>
                <w:rFonts w:ascii="宋体" w:eastAsia="宋体" w:hAnsi="宋体" w:cs="宋体" w:hint="eastAsia"/>
                <w:sz w:val="24"/>
                <w:szCs w:val="24"/>
              </w:rPr>
              <w:t>4.8 药物的体内分布与制剂设计</w:t>
            </w:r>
          </w:p>
          <w:p w14:paraId="72E4BBB7"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sz w:val="24"/>
                <w:szCs w:val="24"/>
              </w:rPr>
              <w:t>5.4 影响药物代谢的因素</w:t>
            </w:r>
          </w:p>
          <w:p w14:paraId="4C0260ED"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sz w:val="24"/>
                <w:szCs w:val="24"/>
              </w:rPr>
              <w:t>5.5 药物代谢的研究方法</w:t>
            </w:r>
          </w:p>
          <w:p w14:paraId="124D5145" w14:textId="77777777" w:rsidR="0036092D" w:rsidRPr="0036092D" w:rsidRDefault="0036092D" w:rsidP="0036092D">
            <w:pPr>
              <w:spacing w:line="400" w:lineRule="exact"/>
              <w:rPr>
                <w:rFonts w:ascii="宋体" w:eastAsia="宋体" w:hAnsi="宋体" w:cs="宋体"/>
                <w:sz w:val="24"/>
                <w:szCs w:val="24"/>
              </w:rPr>
            </w:pPr>
            <w:r w:rsidRPr="0036092D">
              <w:rPr>
                <w:rFonts w:ascii="宋体" w:eastAsia="宋体" w:hAnsi="宋体" w:cs="宋体" w:hint="eastAsia"/>
                <w:color w:val="000000"/>
                <w:sz w:val="24"/>
                <w:szCs w:val="24"/>
              </w:rPr>
              <w:t xml:space="preserve">6.4 </w:t>
            </w:r>
            <w:r w:rsidRPr="0036092D">
              <w:rPr>
                <w:rFonts w:ascii="宋体" w:eastAsia="宋体" w:hAnsi="宋体" w:cs="宋体" w:hint="eastAsia"/>
                <w:sz w:val="24"/>
                <w:szCs w:val="24"/>
              </w:rPr>
              <w:t>影响排泄的因素</w:t>
            </w:r>
          </w:p>
          <w:p w14:paraId="3B33907E" w14:textId="77777777" w:rsidR="0036092D" w:rsidRPr="0036092D" w:rsidRDefault="0036092D" w:rsidP="0036092D">
            <w:pPr>
              <w:adjustRightInd w:val="0"/>
              <w:snapToGrid w:val="0"/>
              <w:spacing w:line="400" w:lineRule="exact"/>
              <w:jc w:val="left"/>
              <w:rPr>
                <w:rFonts w:ascii="宋体" w:eastAsia="宋体" w:hAnsi="宋体" w:cs="宋体"/>
                <w:b/>
                <w:bCs/>
                <w:color w:val="000000"/>
                <w:sz w:val="24"/>
                <w:szCs w:val="24"/>
                <w:lang w:val="zh-CN"/>
              </w:rPr>
            </w:pPr>
            <w:r w:rsidRPr="0036092D">
              <w:rPr>
                <w:rFonts w:ascii="宋体" w:eastAsia="宋体" w:hAnsi="宋体" w:cs="宋体" w:hint="eastAsia"/>
                <w:color w:val="000000"/>
                <w:sz w:val="24"/>
                <w:szCs w:val="24"/>
              </w:rPr>
              <w:t>9.5</w:t>
            </w:r>
            <w:r w:rsidRPr="0036092D">
              <w:rPr>
                <w:rFonts w:ascii="宋体" w:eastAsia="宋体" w:hAnsi="宋体" w:cs="宋体" w:hint="eastAsia"/>
                <w:sz w:val="24"/>
                <w:szCs w:val="24"/>
              </w:rPr>
              <w:t>隔室模型的判别</w:t>
            </w:r>
          </w:p>
          <w:p w14:paraId="443B161A"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color w:val="000000"/>
                <w:sz w:val="24"/>
                <w:szCs w:val="24"/>
              </w:rPr>
              <w:t>10.1</w:t>
            </w:r>
            <w:r w:rsidRPr="0036092D">
              <w:rPr>
                <w:rFonts w:ascii="宋体" w:eastAsia="宋体" w:hAnsi="宋体" w:cs="宋体" w:hint="eastAsia"/>
                <w:sz w:val="24"/>
                <w:szCs w:val="24"/>
              </w:rPr>
              <w:t xml:space="preserve"> 多剂量给药血药浓度和时间的关系</w:t>
            </w:r>
          </w:p>
          <w:p w14:paraId="29CBC59A"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color w:val="000000"/>
                <w:sz w:val="24"/>
                <w:szCs w:val="24"/>
              </w:rPr>
              <w:t>10.2</w:t>
            </w:r>
            <w:r w:rsidRPr="0036092D">
              <w:rPr>
                <w:rFonts w:ascii="宋体" w:eastAsia="宋体" w:hAnsi="宋体" w:cs="宋体" w:hint="eastAsia"/>
                <w:sz w:val="24"/>
                <w:szCs w:val="24"/>
              </w:rPr>
              <w:t xml:space="preserve"> 平均稳态血药浓度</w:t>
            </w:r>
          </w:p>
          <w:p w14:paraId="09687CD7" w14:textId="77777777" w:rsidR="0036092D" w:rsidRPr="0036092D" w:rsidRDefault="0036092D" w:rsidP="0036092D">
            <w:pPr>
              <w:adjustRightInd w:val="0"/>
              <w:snapToGrid w:val="0"/>
              <w:spacing w:line="400" w:lineRule="exact"/>
              <w:jc w:val="left"/>
              <w:rPr>
                <w:rFonts w:ascii="宋体" w:eastAsia="宋体" w:hAnsi="宋体" w:cs="宋体"/>
                <w:color w:val="000000"/>
                <w:sz w:val="24"/>
                <w:szCs w:val="24"/>
              </w:rPr>
            </w:pPr>
            <w:r w:rsidRPr="0036092D">
              <w:rPr>
                <w:rFonts w:ascii="宋体" w:eastAsia="宋体" w:hAnsi="宋体" w:cs="宋体" w:hint="eastAsia"/>
                <w:sz w:val="24"/>
                <w:szCs w:val="24"/>
              </w:rPr>
              <w:t>10.3 体内药量的蓄积与血药浓度的波动</w:t>
            </w:r>
          </w:p>
          <w:p w14:paraId="0889FA0F"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color w:val="000000"/>
                <w:sz w:val="24"/>
                <w:szCs w:val="24"/>
              </w:rPr>
              <w:t>11.2</w:t>
            </w:r>
            <w:r w:rsidRPr="0036092D">
              <w:rPr>
                <w:rFonts w:ascii="宋体" w:eastAsia="宋体" w:hAnsi="宋体" w:cs="宋体" w:hint="eastAsia"/>
                <w:sz w:val="24"/>
                <w:szCs w:val="24"/>
              </w:rPr>
              <w:t xml:space="preserve"> 非线性药物动力学方程</w:t>
            </w:r>
          </w:p>
          <w:p w14:paraId="304ABC89" w14:textId="77777777" w:rsidR="0036092D" w:rsidRPr="0036092D" w:rsidRDefault="0036092D" w:rsidP="0036092D">
            <w:pPr>
              <w:adjustRightInd w:val="0"/>
              <w:snapToGrid w:val="0"/>
              <w:spacing w:line="400" w:lineRule="exact"/>
              <w:jc w:val="left"/>
              <w:rPr>
                <w:rFonts w:ascii="宋体" w:eastAsia="宋体" w:hAnsi="宋体" w:cs="宋体"/>
                <w:color w:val="000000"/>
                <w:sz w:val="24"/>
                <w:szCs w:val="24"/>
              </w:rPr>
            </w:pPr>
            <w:r w:rsidRPr="0036092D">
              <w:rPr>
                <w:rFonts w:ascii="宋体" w:eastAsia="宋体" w:hAnsi="宋体" w:cs="宋体" w:hint="eastAsia"/>
                <w:sz w:val="24"/>
                <w:szCs w:val="24"/>
              </w:rPr>
              <w:t>11.3 血药浓度和时间的关系</w:t>
            </w:r>
          </w:p>
          <w:p w14:paraId="3E2F9841"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color w:val="000000"/>
                <w:sz w:val="24"/>
                <w:szCs w:val="24"/>
              </w:rPr>
              <w:t>12.1</w:t>
            </w:r>
            <w:r w:rsidRPr="0036092D">
              <w:rPr>
                <w:rFonts w:ascii="宋体" w:eastAsia="宋体" w:hAnsi="宋体" w:cs="宋体" w:hint="eastAsia"/>
                <w:sz w:val="24"/>
                <w:szCs w:val="24"/>
              </w:rPr>
              <w:t xml:space="preserve"> 给药方案设计</w:t>
            </w:r>
          </w:p>
          <w:p w14:paraId="42F0D034" w14:textId="77777777" w:rsidR="0036092D" w:rsidRPr="0036092D" w:rsidRDefault="0036092D" w:rsidP="0036092D">
            <w:pPr>
              <w:adjustRightInd w:val="0"/>
              <w:snapToGrid w:val="0"/>
              <w:spacing w:line="400" w:lineRule="exact"/>
              <w:jc w:val="left"/>
              <w:rPr>
                <w:rFonts w:ascii="宋体" w:eastAsia="宋体" w:hAnsi="宋体" w:cs="宋体"/>
                <w:sz w:val="24"/>
                <w:szCs w:val="24"/>
              </w:rPr>
            </w:pPr>
            <w:r w:rsidRPr="0036092D">
              <w:rPr>
                <w:rFonts w:ascii="宋体" w:eastAsia="宋体" w:hAnsi="宋体" w:cs="宋体" w:hint="eastAsia"/>
                <w:color w:val="000000"/>
                <w:sz w:val="24"/>
                <w:szCs w:val="24"/>
              </w:rPr>
              <w:t>12.2</w:t>
            </w:r>
            <w:r w:rsidRPr="0036092D">
              <w:rPr>
                <w:rFonts w:ascii="宋体" w:eastAsia="宋体" w:hAnsi="宋体" w:cs="宋体" w:hint="eastAsia"/>
                <w:sz w:val="24"/>
                <w:szCs w:val="24"/>
              </w:rPr>
              <w:t xml:space="preserve"> 治疗药物的监测与给药方案的个体化</w:t>
            </w:r>
          </w:p>
          <w:p w14:paraId="2B702585" w14:textId="77777777" w:rsidR="0036092D" w:rsidRPr="0036092D" w:rsidRDefault="0036092D" w:rsidP="0036092D">
            <w:pPr>
              <w:adjustRightInd w:val="0"/>
              <w:snapToGrid w:val="0"/>
              <w:spacing w:line="400" w:lineRule="exact"/>
              <w:jc w:val="left"/>
              <w:rPr>
                <w:rFonts w:ascii="宋体" w:eastAsia="宋体" w:hAnsi="宋体" w:cs="宋体"/>
                <w:b/>
                <w:bCs/>
                <w:color w:val="000000"/>
                <w:sz w:val="24"/>
                <w:szCs w:val="24"/>
              </w:rPr>
            </w:pPr>
            <w:r w:rsidRPr="0036092D">
              <w:rPr>
                <w:rFonts w:ascii="宋体" w:eastAsia="宋体" w:hAnsi="宋体" w:cs="宋体" w:hint="eastAsia"/>
                <w:sz w:val="24"/>
                <w:szCs w:val="24"/>
              </w:rPr>
              <w:t>12.3 群体药物动力学</w:t>
            </w:r>
          </w:p>
          <w:p w14:paraId="085C35DD" w14:textId="77777777" w:rsidR="0036092D" w:rsidRPr="0036092D" w:rsidRDefault="0036092D" w:rsidP="0036092D">
            <w:pPr>
              <w:autoSpaceDE w:val="0"/>
              <w:autoSpaceDN w:val="0"/>
              <w:adjustRightInd w:val="0"/>
              <w:spacing w:line="400" w:lineRule="exact"/>
              <w:rPr>
                <w:rFonts w:ascii="Times New Roman" w:eastAsia="宋体" w:hAnsi="Times New Roman" w:cs="Times New Roman"/>
                <w:sz w:val="24"/>
                <w:szCs w:val="24"/>
              </w:rPr>
            </w:pPr>
            <w:r w:rsidRPr="0036092D">
              <w:rPr>
                <w:rFonts w:ascii="宋体" w:eastAsia="宋体" w:hAnsi="宋体" w:cs="宋体" w:hint="eastAsia"/>
                <w:sz w:val="24"/>
                <w:szCs w:val="24"/>
              </w:rPr>
              <w:t>13.3 缓、控制剂的药物动力学</w:t>
            </w:r>
          </w:p>
        </w:tc>
      </w:tr>
    </w:tbl>
    <w:p w14:paraId="752DC217" w14:textId="77777777" w:rsidR="0036092D" w:rsidRPr="0036092D" w:rsidRDefault="0036092D" w:rsidP="0036092D">
      <w:pPr>
        <w:spacing w:beforeLines="50" w:before="156" w:afterLines="50" w:after="156" w:line="440" w:lineRule="exact"/>
        <w:ind w:firstLineChars="200" w:firstLine="560"/>
        <w:rPr>
          <w:rFonts w:ascii="黑体" w:eastAsia="黑体" w:hAnsi="黑体" w:cs="Times New Roman"/>
          <w:sz w:val="28"/>
          <w:szCs w:val="28"/>
        </w:rPr>
      </w:pPr>
      <w:r w:rsidRPr="0036092D">
        <w:rPr>
          <w:rFonts w:ascii="黑体" w:eastAsia="黑体" w:hAnsi="黑体" w:cs="Times New Roman" w:hint="eastAsia"/>
          <w:sz w:val="28"/>
          <w:szCs w:val="28"/>
        </w:rPr>
        <w:t>（二）课程考核方式</w:t>
      </w:r>
    </w:p>
    <w:p w14:paraId="777BD075" w14:textId="77777777" w:rsidR="0036092D" w:rsidRPr="0036092D" w:rsidRDefault="0036092D" w:rsidP="0036092D">
      <w:pPr>
        <w:spacing w:beforeLines="50" w:before="156" w:afterLines="50" w:after="156"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课程考核方式分为平时考核和期末考核。</w:t>
      </w:r>
    </w:p>
    <w:p w14:paraId="63F90C1E" w14:textId="77777777" w:rsidR="0036092D" w:rsidRPr="0036092D" w:rsidRDefault="0036092D" w:rsidP="0036092D">
      <w:pPr>
        <w:spacing w:beforeLines="50" w:before="156" w:afterLines="50" w:after="156"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1. 平时成绩包括课堂表现（20%）、平时作业（20%）；</w:t>
      </w:r>
    </w:p>
    <w:p w14:paraId="6452BF3A" w14:textId="77777777" w:rsidR="0036092D" w:rsidRPr="0036092D" w:rsidRDefault="0036092D" w:rsidP="0036092D">
      <w:pPr>
        <w:spacing w:line="440" w:lineRule="exact"/>
        <w:ind w:firstLineChars="200" w:firstLine="480"/>
        <w:rPr>
          <w:rFonts w:ascii="宋体" w:eastAsia="宋体" w:hAnsi="宋体" w:cs="宋体"/>
          <w:sz w:val="28"/>
          <w:szCs w:val="28"/>
        </w:rPr>
      </w:pPr>
      <w:r w:rsidRPr="0036092D">
        <w:rPr>
          <w:rFonts w:ascii="宋体" w:eastAsia="宋体" w:hAnsi="宋体" w:cs="宋体" w:hint="eastAsia"/>
          <w:sz w:val="24"/>
          <w:szCs w:val="24"/>
        </w:rPr>
        <w:t>2. 期末考核采用闭卷考试（60%）。</w:t>
      </w:r>
    </w:p>
    <w:p w14:paraId="557EF63A" w14:textId="77777777" w:rsidR="0036092D" w:rsidRPr="0036092D" w:rsidRDefault="0036092D" w:rsidP="0036092D">
      <w:pPr>
        <w:spacing w:beforeLines="50" w:before="156" w:afterLines="50" w:after="156" w:line="440" w:lineRule="exact"/>
        <w:ind w:firstLineChars="200" w:firstLine="560"/>
        <w:rPr>
          <w:rFonts w:ascii="Times New Roman" w:eastAsia="黑体" w:hAnsi="Times New Roman" w:cs="Times New Roman"/>
          <w:sz w:val="28"/>
          <w:szCs w:val="28"/>
        </w:rPr>
      </w:pPr>
      <w:r w:rsidRPr="0036092D">
        <w:rPr>
          <w:rFonts w:ascii="Times New Roman" w:eastAsia="黑体" w:hAnsi="Times New Roman" w:cs="Times New Roman"/>
          <w:sz w:val="28"/>
          <w:szCs w:val="28"/>
        </w:rPr>
        <w:t>（三）课程目标达成评价方式及考核比例</w:t>
      </w:r>
    </w:p>
    <w:p w14:paraId="02B8E6F7" w14:textId="77777777" w:rsidR="0036092D" w:rsidRPr="0036092D" w:rsidRDefault="0036092D" w:rsidP="0036092D">
      <w:pPr>
        <w:spacing w:line="440" w:lineRule="atLeast"/>
        <w:ind w:firstLineChars="200" w:firstLine="480"/>
        <w:rPr>
          <w:rFonts w:ascii="宋体" w:eastAsia="宋体" w:hAnsi="宋体" w:cs="宋体"/>
          <w:sz w:val="24"/>
          <w:szCs w:val="24"/>
        </w:rPr>
      </w:pPr>
      <w:r w:rsidRPr="0036092D">
        <w:rPr>
          <w:rFonts w:ascii="宋体" w:eastAsia="宋体" w:hAnsi="宋体" w:cs="宋体" w:hint="eastAsia"/>
          <w:sz w:val="24"/>
          <w:szCs w:val="24"/>
        </w:rPr>
        <w:t>课程目标1：课堂表现5%+平时作业5%+期末考试20%；</w:t>
      </w:r>
    </w:p>
    <w:p w14:paraId="0A8147AF" w14:textId="77777777" w:rsidR="0036092D" w:rsidRPr="0036092D" w:rsidRDefault="0036092D" w:rsidP="0036092D">
      <w:pPr>
        <w:spacing w:line="440" w:lineRule="atLeast"/>
        <w:ind w:firstLineChars="200" w:firstLine="480"/>
        <w:rPr>
          <w:rFonts w:ascii="宋体" w:eastAsia="宋体" w:hAnsi="宋体" w:cs="宋体"/>
          <w:sz w:val="24"/>
          <w:szCs w:val="24"/>
        </w:rPr>
      </w:pPr>
      <w:r w:rsidRPr="0036092D">
        <w:rPr>
          <w:rFonts w:ascii="宋体" w:eastAsia="宋体" w:hAnsi="宋体" w:cs="宋体" w:hint="eastAsia"/>
          <w:sz w:val="24"/>
          <w:szCs w:val="24"/>
        </w:rPr>
        <w:t>课程目标2：课堂表现5%+平时作业5%+期末考试20%；</w:t>
      </w:r>
    </w:p>
    <w:p w14:paraId="1CA7AFAA" w14:textId="77777777" w:rsidR="0036092D" w:rsidRPr="0036092D" w:rsidRDefault="0036092D" w:rsidP="0036092D">
      <w:pPr>
        <w:spacing w:line="440" w:lineRule="atLeast"/>
        <w:ind w:firstLineChars="200" w:firstLine="480"/>
        <w:rPr>
          <w:rFonts w:ascii="宋体" w:eastAsia="宋体" w:hAnsi="宋体" w:cs="宋体"/>
          <w:sz w:val="24"/>
          <w:szCs w:val="24"/>
        </w:rPr>
      </w:pPr>
      <w:r w:rsidRPr="0036092D">
        <w:rPr>
          <w:rFonts w:ascii="宋体" w:eastAsia="宋体" w:hAnsi="宋体" w:cs="宋体" w:hint="eastAsia"/>
          <w:sz w:val="24"/>
          <w:szCs w:val="24"/>
        </w:rPr>
        <w:t>课程目标3：课堂表现10%+平时作业10%+期末考试20%；</w:t>
      </w:r>
    </w:p>
    <w:p w14:paraId="680AC1DF"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如下图：</w:t>
      </w:r>
    </w:p>
    <w:tbl>
      <w:tblPr>
        <w:tblW w:w="81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07"/>
        <w:gridCol w:w="1669"/>
        <w:gridCol w:w="1669"/>
        <w:gridCol w:w="1669"/>
        <w:gridCol w:w="612"/>
        <w:gridCol w:w="1058"/>
      </w:tblGrid>
      <w:tr w:rsidR="0036092D" w:rsidRPr="0036092D" w14:paraId="628449AA" w14:textId="77777777" w:rsidTr="00B602D6">
        <w:trPr>
          <w:trHeight w:val="540"/>
          <w:jc w:val="center"/>
        </w:trPr>
        <w:tc>
          <w:tcPr>
            <w:tcW w:w="1507" w:type="dxa"/>
            <w:vMerge w:val="restart"/>
            <w:vAlign w:val="center"/>
          </w:tcPr>
          <w:p w14:paraId="7FBC70A5" w14:textId="77777777" w:rsidR="0036092D" w:rsidRPr="0036092D" w:rsidRDefault="0036092D" w:rsidP="0036092D">
            <w:pPr>
              <w:spacing w:line="440" w:lineRule="exact"/>
              <w:jc w:val="center"/>
              <w:rPr>
                <w:rFonts w:ascii="宋体" w:eastAsia="宋体" w:hAnsi="宋体" w:cs="Times New Roman"/>
                <w:b/>
                <w:color w:val="000000"/>
                <w:sz w:val="24"/>
                <w:szCs w:val="24"/>
              </w:rPr>
            </w:pPr>
            <w:r w:rsidRPr="0036092D">
              <w:rPr>
                <w:rFonts w:ascii="宋体" w:eastAsia="宋体" w:hAnsi="宋体" w:cs="Times New Roman" w:hint="eastAsia"/>
                <w:b/>
                <w:color w:val="000000"/>
                <w:sz w:val="24"/>
                <w:szCs w:val="24"/>
              </w:rPr>
              <w:t>课程目标</w:t>
            </w:r>
          </w:p>
        </w:tc>
        <w:tc>
          <w:tcPr>
            <w:tcW w:w="5619" w:type="dxa"/>
            <w:gridSpan w:val="4"/>
            <w:vAlign w:val="center"/>
          </w:tcPr>
          <w:p w14:paraId="7B3A705C" w14:textId="77777777" w:rsidR="0036092D" w:rsidRPr="0036092D" w:rsidRDefault="0036092D" w:rsidP="0036092D">
            <w:pPr>
              <w:spacing w:line="440" w:lineRule="exact"/>
              <w:jc w:val="center"/>
              <w:rPr>
                <w:rFonts w:ascii="宋体" w:eastAsia="宋体" w:hAnsi="宋体" w:cs="Times New Roman"/>
                <w:b/>
                <w:color w:val="000000"/>
                <w:sz w:val="24"/>
                <w:szCs w:val="24"/>
              </w:rPr>
            </w:pPr>
            <w:r w:rsidRPr="0036092D">
              <w:rPr>
                <w:rFonts w:ascii="宋体" w:eastAsia="宋体" w:hAnsi="宋体" w:cs="Times New Roman" w:hint="eastAsia"/>
                <w:b/>
                <w:color w:val="000000"/>
                <w:sz w:val="24"/>
                <w:szCs w:val="24"/>
              </w:rPr>
              <w:t>考核方式及成绩比例（%）</w:t>
            </w:r>
          </w:p>
        </w:tc>
        <w:tc>
          <w:tcPr>
            <w:tcW w:w="1058" w:type="dxa"/>
            <w:vAlign w:val="center"/>
          </w:tcPr>
          <w:p w14:paraId="0BF57488" w14:textId="77777777" w:rsidR="0036092D" w:rsidRPr="0036092D" w:rsidRDefault="0036092D" w:rsidP="0036092D">
            <w:pPr>
              <w:spacing w:line="440" w:lineRule="exact"/>
              <w:jc w:val="center"/>
              <w:rPr>
                <w:rFonts w:ascii="宋体" w:eastAsia="宋体" w:hAnsi="宋体" w:cs="Times New Roman"/>
                <w:b/>
                <w:color w:val="000000"/>
                <w:sz w:val="24"/>
                <w:szCs w:val="24"/>
              </w:rPr>
            </w:pPr>
            <w:r w:rsidRPr="0036092D">
              <w:rPr>
                <w:rFonts w:ascii="宋体" w:eastAsia="宋体" w:hAnsi="宋体" w:cs="Times New Roman" w:hint="eastAsia"/>
                <w:b/>
                <w:color w:val="000000"/>
                <w:sz w:val="24"/>
                <w:szCs w:val="24"/>
              </w:rPr>
              <w:t>合计</w:t>
            </w:r>
          </w:p>
        </w:tc>
      </w:tr>
      <w:tr w:rsidR="0036092D" w:rsidRPr="0036092D" w14:paraId="1E9E0CE4" w14:textId="77777777" w:rsidTr="00B602D6">
        <w:trPr>
          <w:trHeight w:val="578"/>
          <w:jc w:val="center"/>
        </w:trPr>
        <w:tc>
          <w:tcPr>
            <w:tcW w:w="1507" w:type="dxa"/>
            <w:vMerge/>
            <w:vAlign w:val="center"/>
          </w:tcPr>
          <w:p w14:paraId="080AEACF" w14:textId="77777777" w:rsidR="0036092D" w:rsidRPr="0036092D" w:rsidRDefault="0036092D" w:rsidP="0036092D">
            <w:pPr>
              <w:spacing w:line="440" w:lineRule="exact"/>
              <w:jc w:val="center"/>
              <w:rPr>
                <w:rFonts w:ascii="宋体" w:eastAsia="宋体" w:hAnsi="宋体" w:cs="Times New Roman"/>
                <w:b/>
                <w:color w:val="000000"/>
                <w:sz w:val="24"/>
                <w:szCs w:val="24"/>
              </w:rPr>
            </w:pPr>
          </w:p>
        </w:tc>
        <w:tc>
          <w:tcPr>
            <w:tcW w:w="1669" w:type="dxa"/>
            <w:vAlign w:val="center"/>
          </w:tcPr>
          <w:p w14:paraId="25DEB7D4" w14:textId="77777777" w:rsidR="0036092D" w:rsidRPr="0036092D" w:rsidRDefault="0036092D" w:rsidP="0036092D">
            <w:pPr>
              <w:spacing w:line="440" w:lineRule="exact"/>
              <w:jc w:val="center"/>
              <w:rPr>
                <w:rFonts w:ascii="宋体" w:eastAsia="宋体" w:hAnsi="宋体" w:cs="Times New Roman"/>
                <w:b/>
                <w:color w:val="000000"/>
                <w:sz w:val="24"/>
                <w:szCs w:val="24"/>
              </w:rPr>
            </w:pPr>
            <w:r w:rsidRPr="0036092D">
              <w:rPr>
                <w:rFonts w:ascii="宋体" w:eastAsia="宋体" w:hAnsi="宋体" w:cs="Times New Roman" w:hint="eastAsia"/>
                <w:b/>
                <w:color w:val="000000"/>
                <w:sz w:val="24"/>
                <w:szCs w:val="24"/>
              </w:rPr>
              <w:t>课堂</w:t>
            </w:r>
          </w:p>
          <w:p w14:paraId="6C3F156E" w14:textId="77777777" w:rsidR="0036092D" w:rsidRPr="0036092D" w:rsidRDefault="0036092D" w:rsidP="0036092D">
            <w:pPr>
              <w:spacing w:line="440" w:lineRule="exact"/>
              <w:jc w:val="center"/>
              <w:rPr>
                <w:rFonts w:ascii="宋体" w:eastAsia="宋体" w:hAnsi="宋体" w:cs="Times New Roman"/>
                <w:b/>
                <w:color w:val="000000"/>
                <w:sz w:val="24"/>
                <w:szCs w:val="24"/>
              </w:rPr>
            </w:pPr>
            <w:r w:rsidRPr="0036092D">
              <w:rPr>
                <w:rFonts w:ascii="宋体" w:eastAsia="宋体" w:hAnsi="宋体" w:cs="Times New Roman" w:hint="eastAsia"/>
                <w:b/>
                <w:color w:val="000000"/>
                <w:sz w:val="24"/>
                <w:szCs w:val="24"/>
              </w:rPr>
              <w:t>表现</w:t>
            </w:r>
          </w:p>
        </w:tc>
        <w:tc>
          <w:tcPr>
            <w:tcW w:w="1669" w:type="dxa"/>
            <w:vAlign w:val="center"/>
          </w:tcPr>
          <w:p w14:paraId="4B261FDC" w14:textId="77777777" w:rsidR="0036092D" w:rsidRPr="0036092D" w:rsidRDefault="0036092D" w:rsidP="0036092D">
            <w:pPr>
              <w:spacing w:line="440" w:lineRule="exact"/>
              <w:jc w:val="center"/>
              <w:rPr>
                <w:rFonts w:ascii="宋体" w:eastAsia="宋体" w:hAnsi="宋体" w:cs="Times New Roman"/>
                <w:b/>
                <w:color w:val="000000"/>
                <w:sz w:val="24"/>
                <w:szCs w:val="24"/>
              </w:rPr>
            </w:pPr>
            <w:r w:rsidRPr="0036092D">
              <w:rPr>
                <w:rFonts w:ascii="宋体" w:eastAsia="宋体" w:hAnsi="宋体" w:cs="Times New Roman" w:hint="eastAsia"/>
                <w:b/>
                <w:color w:val="000000"/>
                <w:sz w:val="24"/>
                <w:szCs w:val="24"/>
              </w:rPr>
              <w:t>平时</w:t>
            </w:r>
          </w:p>
          <w:p w14:paraId="10A1215A" w14:textId="77777777" w:rsidR="0036092D" w:rsidRPr="0036092D" w:rsidRDefault="0036092D" w:rsidP="0036092D">
            <w:pPr>
              <w:spacing w:line="440" w:lineRule="exact"/>
              <w:jc w:val="center"/>
              <w:rPr>
                <w:rFonts w:ascii="宋体" w:eastAsia="宋体" w:hAnsi="宋体" w:cs="Times New Roman"/>
                <w:b/>
                <w:color w:val="000000"/>
                <w:sz w:val="24"/>
                <w:szCs w:val="24"/>
              </w:rPr>
            </w:pPr>
            <w:r w:rsidRPr="0036092D">
              <w:rPr>
                <w:rFonts w:ascii="宋体" w:eastAsia="宋体" w:hAnsi="宋体" w:cs="Times New Roman" w:hint="eastAsia"/>
                <w:b/>
                <w:color w:val="000000"/>
                <w:sz w:val="24"/>
                <w:szCs w:val="24"/>
              </w:rPr>
              <w:t>作业</w:t>
            </w:r>
          </w:p>
        </w:tc>
        <w:tc>
          <w:tcPr>
            <w:tcW w:w="1669" w:type="dxa"/>
            <w:vAlign w:val="center"/>
          </w:tcPr>
          <w:p w14:paraId="108938CA" w14:textId="77777777" w:rsidR="0036092D" w:rsidRPr="0036092D" w:rsidRDefault="0036092D" w:rsidP="0036092D">
            <w:pPr>
              <w:spacing w:line="440" w:lineRule="exact"/>
              <w:jc w:val="center"/>
              <w:rPr>
                <w:rFonts w:ascii="宋体" w:eastAsia="宋体" w:hAnsi="宋体" w:cs="Times New Roman"/>
                <w:b/>
                <w:color w:val="000000"/>
                <w:sz w:val="24"/>
                <w:szCs w:val="24"/>
              </w:rPr>
            </w:pPr>
            <w:r w:rsidRPr="0036092D">
              <w:rPr>
                <w:rFonts w:ascii="宋体" w:eastAsia="宋体" w:hAnsi="宋体" w:cs="Times New Roman" w:hint="eastAsia"/>
                <w:b/>
                <w:color w:val="000000"/>
                <w:sz w:val="24"/>
                <w:szCs w:val="24"/>
              </w:rPr>
              <w:t>期末</w:t>
            </w:r>
          </w:p>
          <w:p w14:paraId="7B544E9B" w14:textId="77777777" w:rsidR="0036092D" w:rsidRPr="0036092D" w:rsidRDefault="0036092D" w:rsidP="0036092D">
            <w:pPr>
              <w:spacing w:line="440" w:lineRule="exact"/>
              <w:jc w:val="center"/>
              <w:rPr>
                <w:rFonts w:ascii="宋体" w:eastAsia="宋体" w:hAnsi="宋体" w:cs="Times New Roman"/>
                <w:b/>
                <w:color w:val="000000"/>
                <w:sz w:val="24"/>
                <w:szCs w:val="24"/>
              </w:rPr>
            </w:pPr>
            <w:r w:rsidRPr="0036092D">
              <w:rPr>
                <w:rFonts w:ascii="宋体" w:eastAsia="宋体" w:hAnsi="宋体" w:cs="Times New Roman" w:hint="eastAsia"/>
                <w:b/>
                <w:color w:val="000000"/>
                <w:sz w:val="24"/>
                <w:szCs w:val="24"/>
              </w:rPr>
              <w:t>考试</w:t>
            </w:r>
          </w:p>
        </w:tc>
        <w:tc>
          <w:tcPr>
            <w:tcW w:w="1670" w:type="dxa"/>
            <w:gridSpan w:val="2"/>
          </w:tcPr>
          <w:p w14:paraId="6C589D79" w14:textId="77777777" w:rsidR="0036092D" w:rsidRPr="0036092D" w:rsidRDefault="0036092D" w:rsidP="0036092D">
            <w:pPr>
              <w:spacing w:line="440" w:lineRule="exact"/>
              <w:jc w:val="center"/>
              <w:rPr>
                <w:rFonts w:ascii="宋体" w:eastAsia="宋体" w:hAnsi="宋体" w:cs="Times New Roman"/>
                <w:b/>
                <w:color w:val="000000"/>
                <w:sz w:val="24"/>
                <w:szCs w:val="24"/>
              </w:rPr>
            </w:pPr>
          </w:p>
        </w:tc>
      </w:tr>
      <w:tr w:rsidR="0036092D" w:rsidRPr="0036092D" w14:paraId="504A93C1" w14:textId="77777777" w:rsidTr="00B602D6">
        <w:trPr>
          <w:jc w:val="center"/>
        </w:trPr>
        <w:tc>
          <w:tcPr>
            <w:tcW w:w="1507" w:type="dxa"/>
            <w:vAlign w:val="center"/>
          </w:tcPr>
          <w:p w14:paraId="306149E4"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课程目标1</w:t>
            </w:r>
          </w:p>
        </w:tc>
        <w:tc>
          <w:tcPr>
            <w:tcW w:w="1669" w:type="dxa"/>
            <w:vAlign w:val="center"/>
          </w:tcPr>
          <w:p w14:paraId="1F5C791C"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5</w:t>
            </w:r>
          </w:p>
        </w:tc>
        <w:tc>
          <w:tcPr>
            <w:tcW w:w="1669" w:type="dxa"/>
            <w:vAlign w:val="center"/>
          </w:tcPr>
          <w:p w14:paraId="399EF360"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5</w:t>
            </w:r>
          </w:p>
        </w:tc>
        <w:tc>
          <w:tcPr>
            <w:tcW w:w="1669" w:type="dxa"/>
            <w:vAlign w:val="center"/>
          </w:tcPr>
          <w:p w14:paraId="21EB794D"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20</w:t>
            </w:r>
          </w:p>
        </w:tc>
        <w:tc>
          <w:tcPr>
            <w:tcW w:w="1670" w:type="dxa"/>
            <w:gridSpan w:val="2"/>
          </w:tcPr>
          <w:p w14:paraId="61994720"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30</w:t>
            </w:r>
          </w:p>
        </w:tc>
      </w:tr>
      <w:tr w:rsidR="0036092D" w:rsidRPr="0036092D" w14:paraId="21BFA682" w14:textId="77777777" w:rsidTr="00B602D6">
        <w:trPr>
          <w:jc w:val="center"/>
        </w:trPr>
        <w:tc>
          <w:tcPr>
            <w:tcW w:w="1507" w:type="dxa"/>
            <w:vAlign w:val="center"/>
          </w:tcPr>
          <w:p w14:paraId="581339FD"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课程目标2</w:t>
            </w:r>
          </w:p>
        </w:tc>
        <w:tc>
          <w:tcPr>
            <w:tcW w:w="1669" w:type="dxa"/>
            <w:vAlign w:val="center"/>
          </w:tcPr>
          <w:p w14:paraId="74A487CF"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5</w:t>
            </w:r>
          </w:p>
        </w:tc>
        <w:tc>
          <w:tcPr>
            <w:tcW w:w="1669" w:type="dxa"/>
            <w:vAlign w:val="center"/>
          </w:tcPr>
          <w:p w14:paraId="66FAF56D"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5</w:t>
            </w:r>
          </w:p>
        </w:tc>
        <w:tc>
          <w:tcPr>
            <w:tcW w:w="1669" w:type="dxa"/>
            <w:vAlign w:val="center"/>
          </w:tcPr>
          <w:p w14:paraId="44A63FB9"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20</w:t>
            </w:r>
          </w:p>
        </w:tc>
        <w:tc>
          <w:tcPr>
            <w:tcW w:w="1670" w:type="dxa"/>
            <w:gridSpan w:val="2"/>
          </w:tcPr>
          <w:p w14:paraId="38E76FFA"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30</w:t>
            </w:r>
          </w:p>
        </w:tc>
      </w:tr>
      <w:tr w:rsidR="0036092D" w:rsidRPr="0036092D" w14:paraId="2464D99F" w14:textId="77777777" w:rsidTr="00B602D6">
        <w:trPr>
          <w:jc w:val="center"/>
        </w:trPr>
        <w:tc>
          <w:tcPr>
            <w:tcW w:w="1507" w:type="dxa"/>
            <w:vAlign w:val="center"/>
          </w:tcPr>
          <w:p w14:paraId="50639727"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课程目标3</w:t>
            </w:r>
          </w:p>
        </w:tc>
        <w:tc>
          <w:tcPr>
            <w:tcW w:w="1669" w:type="dxa"/>
            <w:vAlign w:val="center"/>
          </w:tcPr>
          <w:p w14:paraId="17AA896A"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10</w:t>
            </w:r>
          </w:p>
        </w:tc>
        <w:tc>
          <w:tcPr>
            <w:tcW w:w="1669" w:type="dxa"/>
            <w:vAlign w:val="center"/>
          </w:tcPr>
          <w:p w14:paraId="04665D9C"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10</w:t>
            </w:r>
          </w:p>
        </w:tc>
        <w:tc>
          <w:tcPr>
            <w:tcW w:w="1669" w:type="dxa"/>
            <w:vAlign w:val="center"/>
          </w:tcPr>
          <w:p w14:paraId="6621E2B1"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20</w:t>
            </w:r>
          </w:p>
        </w:tc>
        <w:tc>
          <w:tcPr>
            <w:tcW w:w="1670" w:type="dxa"/>
            <w:gridSpan w:val="2"/>
          </w:tcPr>
          <w:p w14:paraId="3D0282E8"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40</w:t>
            </w:r>
          </w:p>
        </w:tc>
      </w:tr>
      <w:tr w:rsidR="0036092D" w:rsidRPr="0036092D" w14:paraId="42FF565D" w14:textId="77777777" w:rsidTr="00B602D6">
        <w:trPr>
          <w:jc w:val="center"/>
        </w:trPr>
        <w:tc>
          <w:tcPr>
            <w:tcW w:w="1507" w:type="dxa"/>
            <w:vAlign w:val="center"/>
          </w:tcPr>
          <w:p w14:paraId="4BFD6C59"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lastRenderedPageBreak/>
              <w:t>合计</w:t>
            </w:r>
          </w:p>
        </w:tc>
        <w:tc>
          <w:tcPr>
            <w:tcW w:w="1669" w:type="dxa"/>
            <w:vAlign w:val="center"/>
          </w:tcPr>
          <w:p w14:paraId="54326607"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20</w:t>
            </w:r>
          </w:p>
        </w:tc>
        <w:tc>
          <w:tcPr>
            <w:tcW w:w="1669" w:type="dxa"/>
            <w:vAlign w:val="center"/>
          </w:tcPr>
          <w:p w14:paraId="2C80F043"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20</w:t>
            </w:r>
          </w:p>
        </w:tc>
        <w:tc>
          <w:tcPr>
            <w:tcW w:w="1669" w:type="dxa"/>
            <w:vAlign w:val="center"/>
          </w:tcPr>
          <w:p w14:paraId="698E0C62"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60</w:t>
            </w:r>
          </w:p>
        </w:tc>
        <w:tc>
          <w:tcPr>
            <w:tcW w:w="1670" w:type="dxa"/>
            <w:gridSpan w:val="2"/>
          </w:tcPr>
          <w:p w14:paraId="097E07D6" w14:textId="77777777" w:rsidR="0036092D" w:rsidRPr="0036092D" w:rsidRDefault="0036092D" w:rsidP="0036092D">
            <w:pPr>
              <w:spacing w:line="440" w:lineRule="exact"/>
              <w:jc w:val="center"/>
              <w:rPr>
                <w:rFonts w:ascii="宋体" w:eastAsia="宋体" w:hAnsi="宋体" w:cs="Times New Roman"/>
                <w:bCs/>
                <w:color w:val="000000"/>
                <w:sz w:val="24"/>
                <w:szCs w:val="24"/>
              </w:rPr>
            </w:pPr>
            <w:r w:rsidRPr="0036092D">
              <w:rPr>
                <w:rFonts w:ascii="宋体" w:eastAsia="宋体" w:hAnsi="宋体" w:cs="Times New Roman" w:hint="eastAsia"/>
                <w:bCs/>
                <w:color w:val="000000"/>
                <w:sz w:val="24"/>
                <w:szCs w:val="24"/>
              </w:rPr>
              <w:t>1</w:t>
            </w:r>
            <w:r w:rsidRPr="0036092D">
              <w:rPr>
                <w:rFonts w:ascii="宋体" w:eastAsia="宋体" w:hAnsi="宋体" w:cs="Times New Roman"/>
                <w:bCs/>
                <w:color w:val="000000"/>
                <w:sz w:val="24"/>
                <w:szCs w:val="24"/>
              </w:rPr>
              <w:t>00</w:t>
            </w:r>
          </w:p>
        </w:tc>
      </w:tr>
    </w:tbl>
    <w:p w14:paraId="58A0FB69" w14:textId="77777777" w:rsidR="0036092D" w:rsidRPr="0036092D" w:rsidRDefault="0036092D" w:rsidP="0036092D">
      <w:pPr>
        <w:spacing w:beforeLines="50" w:before="156" w:afterLines="50" w:after="156" w:line="440" w:lineRule="exact"/>
        <w:ind w:firstLineChars="100" w:firstLine="280"/>
        <w:rPr>
          <w:rFonts w:ascii="黑体" w:eastAsia="黑体" w:hAnsi="黑体" w:cs="Times New Roman"/>
          <w:sz w:val="28"/>
          <w:szCs w:val="28"/>
        </w:rPr>
      </w:pPr>
      <w:r w:rsidRPr="0036092D">
        <w:rPr>
          <w:rFonts w:ascii="黑体" w:eastAsia="黑体" w:hAnsi="黑体" w:cs="Times New Roman" w:hint="eastAsia"/>
          <w:sz w:val="28"/>
          <w:szCs w:val="28"/>
        </w:rPr>
        <w:t>五、成绩评定</w:t>
      </w:r>
    </w:p>
    <w:p w14:paraId="32D9CBE1" w14:textId="77777777" w:rsidR="0036092D" w:rsidRPr="0036092D" w:rsidRDefault="0036092D" w:rsidP="0036092D">
      <w:pPr>
        <w:spacing w:beforeLines="50" w:before="156" w:afterLines="50" w:after="156" w:line="440" w:lineRule="exact"/>
        <w:ind w:firstLineChars="200" w:firstLine="560"/>
        <w:rPr>
          <w:rFonts w:ascii="黑体" w:eastAsia="黑体" w:hAnsi="黑体" w:cs="Times New Roman"/>
          <w:sz w:val="28"/>
          <w:szCs w:val="28"/>
        </w:rPr>
      </w:pPr>
      <w:r w:rsidRPr="0036092D">
        <w:rPr>
          <w:rFonts w:ascii="黑体" w:eastAsia="黑体" w:hAnsi="黑体" w:cs="Times New Roman" w:hint="eastAsia"/>
          <w:sz w:val="28"/>
          <w:szCs w:val="28"/>
        </w:rPr>
        <w:t>（一）总成绩评定</w:t>
      </w:r>
    </w:p>
    <w:p w14:paraId="686F3D52"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总成绩=平时成绩×40%+期末成绩×60%</w:t>
      </w:r>
    </w:p>
    <w:p w14:paraId="0E9050AD" w14:textId="77777777" w:rsidR="0036092D" w:rsidRPr="0036092D" w:rsidRDefault="0036092D" w:rsidP="0036092D">
      <w:pPr>
        <w:spacing w:beforeLines="50" w:before="156" w:afterLines="50" w:after="156" w:line="440" w:lineRule="exact"/>
        <w:ind w:firstLineChars="200" w:firstLine="560"/>
        <w:rPr>
          <w:rFonts w:ascii="宋体" w:eastAsia="宋体" w:hAnsi="宋体" w:cs="Times New Roman"/>
          <w:color w:val="FF0000"/>
          <w:sz w:val="24"/>
          <w:szCs w:val="24"/>
        </w:rPr>
      </w:pPr>
      <w:r w:rsidRPr="0036092D">
        <w:rPr>
          <w:rFonts w:ascii="黑体" w:eastAsia="黑体" w:hAnsi="黑体" w:cs="Times New Roman" w:hint="eastAsia"/>
          <w:sz w:val="28"/>
          <w:szCs w:val="28"/>
        </w:rPr>
        <w:t>（二）平时成绩评定</w:t>
      </w:r>
    </w:p>
    <w:p w14:paraId="5173C72D"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平时成绩（40%）=课堂表现20%+平时作业20%。</w:t>
      </w:r>
    </w:p>
    <w:p w14:paraId="61ACEA61" w14:textId="77777777" w:rsidR="0036092D" w:rsidRPr="0036092D" w:rsidRDefault="0036092D" w:rsidP="0036092D">
      <w:pPr>
        <w:spacing w:line="440" w:lineRule="exact"/>
        <w:ind w:firstLineChars="200" w:firstLine="480"/>
        <w:rPr>
          <w:rFonts w:ascii="宋体" w:eastAsia="宋体" w:hAnsi="宋体" w:cs="宋体"/>
          <w:sz w:val="24"/>
          <w:szCs w:val="24"/>
        </w:rPr>
      </w:pPr>
      <w:r w:rsidRPr="0036092D">
        <w:rPr>
          <w:rFonts w:ascii="宋体" w:eastAsia="宋体" w:hAnsi="宋体" w:cs="宋体" w:hint="eastAsia"/>
          <w:sz w:val="24"/>
          <w:szCs w:val="24"/>
        </w:rPr>
        <w:t>（1）课堂表现：通过学生在课堂上的表现情况、发言与提问情况，来评价学生相关的能力；</w:t>
      </w:r>
    </w:p>
    <w:p w14:paraId="41A86DB2" w14:textId="77777777" w:rsidR="0036092D" w:rsidRPr="0036092D" w:rsidRDefault="0036092D" w:rsidP="0036092D">
      <w:pPr>
        <w:spacing w:line="440" w:lineRule="exact"/>
        <w:ind w:firstLineChars="200" w:firstLine="480"/>
        <w:rPr>
          <w:rFonts w:ascii="宋体" w:eastAsia="宋体" w:hAnsi="宋体" w:cs="宋体"/>
          <w:color w:val="FF0000"/>
          <w:sz w:val="24"/>
          <w:szCs w:val="24"/>
        </w:rPr>
      </w:pPr>
      <w:r w:rsidRPr="0036092D">
        <w:rPr>
          <w:rFonts w:ascii="宋体" w:eastAsia="宋体" w:hAnsi="宋体" w:cs="宋体" w:hint="eastAsia"/>
          <w:sz w:val="24"/>
          <w:szCs w:val="24"/>
        </w:rPr>
        <w:t>（2）平时作业完成情况：围绕课程的学习目标进行作业的设计，考核学生对于知识的理解情况；</w:t>
      </w:r>
    </w:p>
    <w:p w14:paraId="75851310" w14:textId="77777777" w:rsidR="0036092D" w:rsidRPr="0036092D" w:rsidRDefault="0036092D" w:rsidP="0036092D">
      <w:pPr>
        <w:spacing w:beforeLines="50" w:before="156" w:afterLines="50" w:after="156" w:line="440" w:lineRule="exact"/>
        <w:ind w:firstLineChars="200" w:firstLine="560"/>
        <w:rPr>
          <w:rFonts w:ascii="黑体" w:eastAsia="黑体" w:hAnsi="黑体" w:cs="Times New Roman"/>
          <w:sz w:val="28"/>
          <w:szCs w:val="28"/>
        </w:rPr>
      </w:pPr>
      <w:r w:rsidRPr="0036092D">
        <w:rPr>
          <w:rFonts w:ascii="黑体" w:eastAsia="黑体" w:hAnsi="黑体" w:cs="Times New Roman" w:hint="eastAsia"/>
          <w:sz w:val="28"/>
          <w:szCs w:val="28"/>
        </w:rPr>
        <w:t>（三）期末成绩评定</w:t>
      </w:r>
    </w:p>
    <w:p w14:paraId="0D393F02" w14:textId="77777777" w:rsidR="0036092D" w:rsidRPr="0036092D" w:rsidRDefault="0036092D" w:rsidP="0036092D">
      <w:pPr>
        <w:adjustRightInd w:val="0"/>
        <w:snapToGrid w:val="0"/>
        <w:spacing w:line="440" w:lineRule="exact"/>
        <w:ind w:firstLineChars="199" w:firstLine="478"/>
        <w:rPr>
          <w:rFonts w:ascii="宋体" w:eastAsia="宋体" w:hAnsi="宋体" w:cs="Times New Roman"/>
          <w:color w:val="FF0000"/>
          <w:sz w:val="24"/>
          <w:szCs w:val="24"/>
        </w:rPr>
      </w:pPr>
      <w:r w:rsidRPr="0036092D">
        <w:rPr>
          <w:rFonts w:ascii="宋体" w:eastAsia="宋体" w:hAnsi="Times New Roman" w:cs="Times New Roman" w:hint="eastAsia"/>
          <w:bCs/>
          <w:color w:val="000000"/>
          <w:kern w:val="0"/>
          <w:sz w:val="24"/>
          <w:szCs w:val="24"/>
        </w:rPr>
        <w:t>考核学生对</w:t>
      </w:r>
      <w:r w:rsidRPr="0036092D">
        <w:rPr>
          <w:rFonts w:ascii="Times New Roman" w:eastAsia="宋体" w:hAnsi="Times New Roman" w:cs="Times New Roman" w:hint="eastAsia"/>
          <w:sz w:val="24"/>
          <w:szCs w:val="24"/>
        </w:rPr>
        <w:t>药物及其剂型在体内的吸收、分布、代谢和排泄过程的掌握，了解药物的剂型因素，机体生物因素和药物疗效间相互关系</w:t>
      </w:r>
      <w:r w:rsidRPr="0036092D">
        <w:rPr>
          <w:rFonts w:ascii="宋体" w:eastAsia="宋体" w:hAnsi="宋体" w:cs="Times New Roman" w:hint="eastAsia"/>
          <w:sz w:val="24"/>
          <w:szCs w:val="24"/>
        </w:rPr>
        <w:t>。</w:t>
      </w:r>
      <w:r w:rsidRPr="0036092D">
        <w:rPr>
          <w:rFonts w:ascii="宋体" w:eastAsia="宋体" w:hAnsi="宋体" w:cs="宋体" w:hint="eastAsia"/>
          <w:sz w:val="24"/>
          <w:szCs w:val="24"/>
        </w:rPr>
        <w:t>名词解释、选择、填空、判断，对满分，错零分。简答题，根据答案的得分点给分，满分记100分。</w:t>
      </w:r>
    </w:p>
    <w:p w14:paraId="6832DC4F" w14:textId="77777777" w:rsidR="0036092D" w:rsidRPr="0036092D" w:rsidRDefault="0036092D" w:rsidP="0036092D">
      <w:pPr>
        <w:spacing w:beforeLines="50" w:before="156" w:afterLines="50" w:after="156" w:line="440" w:lineRule="exact"/>
        <w:ind w:firstLineChars="200" w:firstLine="560"/>
        <w:rPr>
          <w:rFonts w:ascii="宋体" w:eastAsia="宋体" w:hAnsi="宋体" w:cs="Times New Roman"/>
          <w:sz w:val="24"/>
          <w:szCs w:val="24"/>
        </w:rPr>
      </w:pPr>
      <w:r w:rsidRPr="0036092D">
        <w:rPr>
          <w:rFonts w:ascii="黑体" w:eastAsia="黑体" w:hAnsi="黑体" w:cs="Times New Roman" w:hint="eastAsia"/>
          <w:sz w:val="28"/>
          <w:szCs w:val="28"/>
        </w:rPr>
        <w:t>六、使用教材、相关推荐书目及课程资源</w:t>
      </w:r>
    </w:p>
    <w:p w14:paraId="023A9F77" w14:textId="77777777" w:rsidR="0036092D" w:rsidRPr="0036092D" w:rsidRDefault="0036092D" w:rsidP="0036092D">
      <w:pPr>
        <w:autoSpaceDE w:val="0"/>
        <w:autoSpaceDN w:val="0"/>
        <w:adjustRightInd w:val="0"/>
        <w:spacing w:line="500" w:lineRule="exact"/>
        <w:ind w:firstLineChars="200" w:firstLine="560"/>
        <w:rPr>
          <w:rFonts w:ascii="黑体" w:eastAsia="黑体" w:hAnsi="黑体" w:cs="黑体"/>
          <w:color w:val="000000"/>
          <w:sz w:val="28"/>
          <w:szCs w:val="28"/>
        </w:rPr>
      </w:pPr>
      <w:r w:rsidRPr="0036092D">
        <w:rPr>
          <w:rFonts w:ascii="黑体" w:eastAsia="黑体" w:hAnsi="黑体" w:cs="Times New Roman" w:hint="eastAsia"/>
          <w:sz w:val="28"/>
          <w:szCs w:val="28"/>
        </w:rPr>
        <w:t>（一）使用教材</w:t>
      </w:r>
    </w:p>
    <w:p w14:paraId="1E0446C3" w14:textId="77777777" w:rsidR="0036092D" w:rsidRPr="0036092D" w:rsidRDefault="0036092D" w:rsidP="0036092D">
      <w:pPr>
        <w:widowControl/>
        <w:wordWrap w:val="0"/>
        <w:spacing w:before="100" w:after="100" w:line="400" w:lineRule="exact"/>
        <w:ind w:firstLineChars="200" w:firstLine="480"/>
        <w:jc w:val="left"/>
        <w:rPr>
          <w:rFonts w:ascii="宋体" w:eastAsia="宋体" w:hAnsi="宋体" w:cs="宋体"/>
          <w:szCs w:val="24"/>
        </w:rPr>
      </w:pPr>
      <w:r w:rsidRPr="0036092D">
        <w:rPr>
          <w:rFonts w:ascii="宋体" w:eastAsia="宋体" w:hAnsi="宋体" w:cs="宋体" w:hint="eastAsia"/>
          <w:kern w:val="0"/>
          <w:sz w:val="24"/>
          <w:szCs w:val="24"/>
          <w:lang w:bidi="ar"/>
        </w:rPr>
        <w:t>1. 刘健平主编：</w:t>
      </w:r>
      <w:r w:rsidRPr="0036092D">
        <w:rPr>
          <w:rFonts w:ascii="Times New Roman" w:eastAsia="宋体" w:hAnsi="宋体" w:cs="宋体" w:hint="eastAsia"/>
          <w:kern w:val="0"/>
          <w:sz w:val="24"/>
          <w:szCs w:val="24"/>
          <w:lang w:bidi="ar"/>
        </w:rPr>
        <w:t>《</w:t>
      </w:r>
      <w:r w:rsidRPr="0036092D">
        <w:rPr>
          <w:rFonts w:ascii="宋体" w:eastAsia="宋体" w:hAnsi="宋体" w:cs="宋体" w:hint="eastAsia"/>
          <w:kern w:val="0"/>
          <w:sz w:val="24"/>
          <w:szCs w:val="24"/>
          <w:lang w:bidi="ar"/>
        </w:rPr>
        <w:t>生物药剂学与药物动力学》（第5版）, 人民卫生出版社, 2016年版；</w:t>
      </w:r>
    </w:p>
    <w:p w14:paraId="251B78F7" w14:textId="77777777" w:rsidR="0036092D" w:rsidRPr="0036092D" w:rsidRDefault="0036092D" w:rsidP="0036092D">
      <w:pPr>
        <w:widowControl/>
        <w:wordWrap w:val="0"/>
        <w:spacing w:before="100" w:after="100" w:line="400" w:lineRule="exact"/>
        <w:ind w:firstLineChars="200" w:firstLine="560"/>
        <w:jc w:val="left"/>
        <w:rPr>
          <w:rFonts w:ascii="黑体" w:eastAsia="黑体" w:hAnsi="黑体" w:cs="Times New Roman"/>
          <w:sz w:val="28"/>
          <w:szCs w:val="28"/>
        </w:rPr>
      </w:pPr>
      <w:r w:rsidRPr="0036092D">
        <w:rPr>
          <w:rFonts w:ascii="黑体" w:eastAsia="黑体" w:hAnsi="黑体" w:cs="Times New Roman" w:hint="eastAsia"/>
          <w:sz w:val="28"/>
          <w:szCs w:val="28"/>
        </w:rPr>
        <w:t>（二）相关推荐书目</w:t>
      </w:r>
    </w:p>
    <w:p w14:paraId="29FC6935" w14:textId="77777777" w:rsidR="0036092D" w:rsidRPr="0036092D" w:rsidRDefault="0036092D" w:rsidP="0036092D">
      <w:pPr>
        <w:widowControl/>
        <w:wordWrap w:val="0"/>
        <w:spacing w:before="100" w:after="100" w:line="400" w:lineRule="exact"/>
        <w:ind w:firstLineChars="200" w:firstLine="480"/>
        <w:jc w:val="left"/>
        <w:rPr>
          <w:rFonts w:ascii="宋体" w:eastAsia="宋体" w:hAnsi="宋体" w:cs="宋体"/>
          <w:szCs w:val="24"/>
        </w:rPr>
      </w:pPr>
      <w:r w:rsidRPr="0036092D">
        <w:rPr>
          <w:rFonts w:ascii="宋体" w:eastAsia="宋体" w:hAnsi="宋体" w:cs="宋体" w:hint="eastAsia"/>
          <w:kern w:val="0"/>
          <w:sz w:val="24"/>
          <w:szCs w:val="24"/>
          <w:lang w:bidi="ar"/>
        </w:rPr>
        <w:t>1. 梁文权主编：《生物药剂学与药物动力学》（第3版）,  人民卫生出版社, 2000年版；</w:t>
      </w:r>
    </w:p>
    <w:p w14:paraId="535CE90C" w14:textId="77777777" w:rsidR="0036092D" w:rsidRPr="0036092D" w:rsidRDefault="0036092D" w:rsidP="0036092D">
      <w:pPr>
        <w:widowControl/>
        <w:wordWrap w:val="0"/>
        <w:spacing w:before="100" w:after="100" w:line="400" w:lineRule="exact"/>
        <w:ind w:firstLineChars="200" w:firstLine="480"/>
        <w:jc w:val="left"/>
        <w:rPr>
          <w:rFonts w:ascii="宋体" w:eastAsia="宋体" w:hAnsi="宋体" w:cs="宋体"/>
          <w:kern w:val="0"/>
          <w:sz w:val="24"/>
          <w:szCs w:val="24"/>
          <w:lang w:bidi="ar"/>
        </w:rPr>
      </w:pPr>
      <w:r w:rsidRPr="0036092D">
        <w:rPr>
          <w:rFonts w:ascii="宋体" w:eastAsia="宋体" w:hAnsi="宋体" w:cs="宋体" w:hint="eastAsia"/>
          <w:kern w:val="0"/>
          <w:sz w:val="24"/>
          <w:szCs w:val="24"/>
          <w:lang w:bidi="ar"/>
        </w:rPr>
        <w:t>2. 刘健平主编：《生物药剂学与药物动力学》（第4版）,  人民卫生出版社, 2015年版；</w:t>
      </w:r>
    </w:p>
    <w:p w14:paraId="2E65668C" w14:textId="77777777" w:rsidR="0036092D" w:rsidRPr="0036092D" w:rsidRDefault="0036092D" w:rsidP="0036092D">
      <w:pPr>
        <w:widowControl/>
        <w:wordWrap w:val="0"/>
        <w:spacing w:before="100" w:after="100" w:line="400" w:lineRule="exact"/>
        <w:ind w:firstLineChars="200" w:firstLine="480"/>
        <w:jc w:val="left"/>
        <w:rPr>
          <w:rFonts w:ascii="宋体" w:eastAsia="宋体" w:hAnsi="宋体" w:cs="宋体"/>
          <w:kern w:val="0"/>
          <w:sz w:val="24"/>
          <w:szCs w:val="24"/>
          <w:lang w:bidi="ar"/>
        </w:rPr>
      </w:pPr>
      <w:r w:rsidRPr="0036092D">
        <w:rPr>
          <w:rFonts w:ascii="宋体" w:eastAsia="宋体" w:hAnsi="宋体" w:cs="宋体" w:hint="eastAsia"/>
          <w:kern w:val="0"/>
          <w:sz w:val="24"/>
          <w:szCs w:val="24"/>
          <w:lang w:bidi="ar"/>
        </w:rPr>
        <w:t>3.刘克辛主编：《临床药物代谢动力学》（第3版）,  人民卫生出版社, 2016年版；</w:t>
      </w:r>
    </w:p>
    <w:p w14:paraId="031BE600" w14:textId="77777777" w:rsidR="0036092D" w:rsidRPr="0036092D" w:rsidRDefault="0036092D" w:rsidP="0036092D">
      <w:pPr>
        <w:widowControl/>
        <w:wordWrap w:val="0"/>
        <w:spacing w:before="100" w:after="100" w:line="400" w:lineRule="exact"/>
        <w:ind w:firstLineChars="200" w:firstLine="480"/>
        <w:jc w:val="left"/>
        <w:rPr>
          <w:rFonts w:ascii="宋体" w:eastAsia="宋体" w:hAnsi="宋体" w:cs="宋体"/>
          <w:kern w:val="0"/>
          <w:sz w:val="24"/>
          <w:szCs w:val="24"/>
          <w:lang w:bidi="ar"/>
        </w:rPr>
      </w:pPr>
      <w:r w:rsidRPr="0036092D">
        <w:rPr>
          <w:rFonts w:ascii="宋体" w:eastAsia="宋体" w:hAnsi="宋体" w:cs="宋体" w:hint="eastAsia"/>
          <w:kern w:val="0"/>
          <w:sz w:val="24"/>
          <w:szCs w:val="24"/>
          <w:lang w:bidi="ar"/>
        </w:rPr>
        <w:t>4.</w:t>
      </w:r>
      <w:proofErr w:type="gramStart"/>
      <w:r w:rsidRPr="0036092D">
        <w:rPr>
          <w:rFonts w:ascii="宋体" w:eastAsia="宋体" w:hAnsi="宋体" w:cs="宋体" w:hint="eastAsia"/>
          <w:kern w:val="0"/>
          <w:sz w:val="24"/>
          <w:szCs w:val="24"/>
          <w:lang w:bidi="ar"/>
        </w:rPr>
        <w:t>方亮主编</w:t>
      </w:r>
      <w:proofErr w:type="gramEnd"/>
      <w:r w:rsidRPr="0036092D">
        <w:rPr>
          <w:rFonts w:ascii="宋体" w:eastAsia="宋体" w:hAnsi="宋体" w:cs="宋体" w:hint="eastAsia"/>
          <w:kern w:val="0"/>
          <w:sz w:val="24"/>
          <w:szCs w:val="24"/>
          <w:lang w:bidi="ar"/>
        </w:rPr>
        <w:t>：《药剂学》（第8版）,  人民卫生出版社, 2016年版；</w:t>
      </w:r>
    </w:p>
    <w:p w14:paraId="60533902" w14:textId="77777777" w:rsidR="0036092D" w:rsidRPr="0036092D" w:rsidRDefault="0036092D" w:rsidP="0036092D">
      <w:pPr>
        <w:widowControl/>
        <w:wordWrap w:val="0"/>
        <w:spacing w:before="100" w:after="100" w:line="400" w:lineRule="exact"/>
        <w:ind w:firstLineChars="200" w:firstLine="480"/>
        <w:jc w:val="left"/>
        <w:rPr>
          <w:rFonts w:ascii="宋体" w:eastAsia="宋体" w:hAnsi="宋体" w:cs="宋体"/>
          <w:kern w:val="0"/>
          <w:sz w:val="24"/>
          <w:szCs w:val="24"/>
          <w:lang w:bidi="ar"/>
        </w:rPr>
      </w:pPr>
      <w:r w:rsidRPr="0036092D">
        <w:rPr>
          <w:rFonts w:ascii="宋体" w:eastAsia="宋体" w:hAnsi="宋体" w:cs="宋体" w:hint="eastAsia"/>
          <w:kern w:val="0"/>
          <w:sz w:val="24"/>
          <w:szCs w:val="24"/>
          <w:lang w:bidi="ar"/>
        </w:rPr>
        <w:t>5.潘卫三主编：《工业药剂学》（第4版）,  高等教育出版社, 2019年版；</w:t>
      </w:r>
    </w:p>
    <w:p w14:paraId="73BEE59B" w14:textId="77777777" w:rsidR="0036092D" w:rsidRPr="0036092D" w:rsidRDefault="0036092D" w:rsidP="0036092D">
      <w:pPr>
        <w:spacing w:beforeLines="50" w:before="156" w:afterLines="50" w:after="156" w:line="440" w:lineRule="exact"/>
        <w:ind w:firstLineChars="200" w:firstLine="560"/>
        <w:rPr>
          <w:rFonts w:ascii="黑体" w:eastAsia="黑体" w:hAnsi="黑体" w:cs="Times New Roman"/>
          <w:sz w:val="28"/>
          <w:szCs w:val="28"/>
        </w:rPr>
      </w:pPr>
      <w:r w:rsidRPr="0036092D">
        <w:rPr>
          <w:rFonts w:ascii="黑体" w:eastAsia="黑体" w:hAnsi="黑体" w:cs="Times New Roman" w:hint="eastAsia"/>
          <w:sz w:val="28"/>
          <w:szCs w:val="28"/>
        </w:rPr>
        <w:lastRenderedPageBreak/>
        <w:t>（三）课程资源</w:t>
      </w:r>
    </w:p>
    <w:p w14:paraId="7D7B6104" w14:textId="77777777" w:rsidR="0036092D" w:rsidRPr="0036092D" w:rsidRDefault="0036092D" w:rsidP="0036092D">
      <w:pPr>
        <w:spacing w:beforeLines="50" w:before="156" w:afterLines="50" w:after="156" w:line="440" w:lineRule="exact"/>
        <w:ind w:firstLineChars="200" w:firstLine="480"/>
        <w:rPr>
          <w:rFonts w:ascii="宋体" w:eastAsia="宋体" w:hAnsi="宋体" w:cs="Times New Roman"/>
          <w:color w:val="FF0000"/>
          <w:sz w:val="24"/>
          <w:szCs w:val="24"/>
        </w:rPr>
      </w:pPr>
      <w:r w:rsidRPr="0036092D">
        <w:rPr>
          <w:rFonts w:ascii="宋体" w:eastAsia="宋体" w:hAnsi="宋体" w:cs="宋体" w:hint="eastAsia"/>
          <w:sz w:val="24"/>
          <w:szCs w:val="24"/>
        </w:rPr>
        <w:t>学生可以通过学习通等线上教学平台观看在线开放课程，也可以通过学校图书馆电子阅览库查阅文献。</w:t>
      </w:r>
    </w:p>
    <w:p w14:paraId="0145E472" w14:textId="77777777" w:rsidR="0036092D" w:rsidRPr="0036092D" w:rsidRDefault="0036092D" w:rsidP="0036092D">
      <w:pPr>
        <w:spacing w:beforeLines="50" w:before="156" w:afterLines="50" w:after="156" w:line="440" w:lineRule="exact"/>
        <w:ind w:firstLineChars="200" w:firstLine="560"/>
        <w:rPr>
          <w:rFonts w:ascii="黑体" w:eastAsia="黑体" w:hAnsi="黑体" w:cs="Times New Roman"/>
          <w:sz w:val="28"/>
          <w:szCs w:val="28"/>
        </w:rPr>
      </w:pPr>
      <w:r w:rsidRPr="0036092D">
        <w:rPr>
          <w:rFonts w:ascii="黑体" w:eastAsia="黑体" w:hAnsi="黑体" w:cs="Times New Roman" w:hint="eastAsia"/>
          <w:sz w:val="28"/>
          <w:szCs w:val="28"/>
        </w:rPr>
        <w:t>七、课程大纲制定依据</w:t>
      </w:r>
    </w:p>
    <w:p w14:paraId="7159A4FB" w14:textId="77777777" w:rsidR="0036092D" w:rsidRPr="0036092D" w:rsidRDefault="0036092D" w:rsidP="0036092D">
      <w:pPr>
        <w:spacing w:line="440" w:lineRule="exact"/>
        <w:ind w:firstLineChars="200" w:firstLine="480"/>
        <w:rPr>
          <w:rFonts w:ascii="宋体" w:eastAsia="宋体" w:hAnsi="宋体" w:cs="Times New Roman"/>
          <w:sz w:val="24"/>
          <w:szCs w:val="24"/>
        </w:rPr>
      </w:pPr>
      <w:r w:rsidRPr="0036092D">
        <w:rPr>
          <w:rFonts w:ascii="宋体" w:eastAsia="宋体" w:hAnsi="宋体" w:cs="Times New Roman" w:hint="eastAsia"/>
          <w:sz w:val="24"/>
          <w:szCs w:val="24"/>
        </w:rPr>
        <w:t>本课程大纲依据2023年药物分析专业人才培养方案制定。</w:t>
      </w:r>
    </w:p>
    <w:p w14:paraId="171B1A89" w14:textId="77777777" w:rsidR="0036092D" w:rsidRDefault="0036092D" w:rsidP="009F5318">
      <w:pPr>
        <w:adjustRightInd w:val="0"/>
        <w:snapToGrid w:val="0"/>
        <w:spacing w:beforeLines="100" w:before="312" w:afterLines="100" w:after="312" w:line="440" w:lineRule="exact"/>
        <w:jc w:val="center"/>
        <w:outlineLvl w:val="0"/>
        <w:rPr>
          <w:rFonts w:ascii="黑体" w:eastAsia="黑体" w:hAnsi="黑体" w:cs="Times New Roman"/>
          <w:bCs/>
          <w:sz w:val="36"/>
          <w:szCs w:val="36"/>
        </w:rPr>
      </w:pPr>
    </w:p>
    <w:p w14:paraId="05D5C7A0" w14:textId="77777777" w:rsidR="0036092D" w:rsidRDefault="0036092D" w:rsidP="009F5318">
      <w:pPr>
        <w:adjustRightInd w:val="0"/>
        <w:snapToGrid w:val="0"/>
        <w:spacing w:beforeLines="100" w:before="312" w:afterLines="100" w:after="312" w:line="440" w:lineRule="exact"/>
        <w:jc w:val="center"/>
        <w:outlineLvl w:val="0"/>
        <w:rPr>
          <w:rFonts w:ascii="黑体" w:eastAsia="黑体" w:hAnsi="黑体" w:cs="Times New Roman"/>
          <w:bCs/>
          <w:sz w:val="36"/>
          <w:szCs w:val="36"/>
        </w:rPr>
      </w:pPr>
    </w:p>
    <w:p w14:paraId="7557EE08" w14:textId="77777777" w:rsidR="0036092D" w:rsidRDefault="0036092D" w:rsidP="009F5318">
      <w:pPr>
        <w:adjustRightInd w:val="0"/>
        <w:snapToGrid w:val="0"/>
        <w:spacing w:beforeLines="100" w:before="312" w:afterLines="100" w:after="312" w:line="440" w:lineRule="exact"/>
        <w:jc w:val="center"/>
        <w:outlineLvl w:val="0"/>
        <w:rPr>
          <w:rFonts w:ascii="黑体" w:eastAsia="黑体" w:hAnsi="黑体" w:cs="Times New Roman"/>
          <w:bCs/>
          <w:sz w:val="36"/>
          <w:szCs w:val="36"/>
        </w:rPr>
      </w:pPr>
    </w:p>
    <w:p w14:paraId="4953AFDA" w14:textId="77777777" w:rsidR="0036092D" w:rsidRDefault="0036092D" w:rsidP="009F5318">
      <w:pPr>
        <w:adjustRightInd w:val="0"/>
        <w:snapToGrid w:val="0"/>
        <w:spacing w:beforeLines="100" w:before="312" w:afterLines="100" w:after="312" w:line="440" w:lineRule="exact"/>
        <w:jc w:val="center"/>
        <w:outlineLvl w:val="0"/>
        <w:rPr>
          <w:rFonts w:ascii="黑体" w:eastAsia="黑体" w:hAnsi="黑体" w:cs="Times New Roman"/>
          <w:bCs/>
          <w:sz w:val="36"/>
          <w:szCs w:val="36"/>
        </w:rPr>
      </w:pPr>
    </w:p>
    <w:p w14:paraId="7C2DE082" w14:textId="77777777" w:rsidR="00895319" w:rsidRDefault="00895319">
      <w:pPr>
        <w:widowControl/>
        <w:jc w:val="left"/>
        <w:rPr>
          <w:rFonts w:ascii="黑体" w:eastAsia="黑体" w:hAnsi="黑体" w:cs="Times New Roman"/>
          <w:bCs/>
          <w:sz w:val="36"/>
          <w:szCs w:val="36"/>
        </w:rPr>
      </w:pPr>
      <w:bookmarkStart w:id="252" w:name="_Toc149662374"/>
      <w:r>
        <w:rPr>
          <w:rFonts w:ascii="黑体" w:eastAsia="黑体" w:hAnsi="黑体" w:cs="Times New Roman"/>
          <w:bCs/>
          <w:sz w:val="36"/>
          <w:szCs w:val="36"/>
        </w:rPr>
        <w:br w:type="page"/>
      </w:r>
    </w:p>
    <w:p w14:paraId="012423DD" w14:textId="2EC5FAA9" w:rsidR="009F5318" w:rsidRPr="009F5318" w:rsidRDefault="009F5318" w:rsidP="009F5318">
      <w:pPr>
        <w:adjustRightInd w:val="0"/>
        <w:snapToGrid w:val="0"/>
        <w:spacing w:beforeLines="100" w:before="312" w:afterLines="100" w:after="312" w:line="440" w:lineRule="exact"/>
        <w:jc w:val="center"/>
        <w:outlineLvl w:val="0"/>
        <w:rPr>
          <w:rFonts w:ascii="黑体" w:eastAsia="黑体" w:hAnsi="黑体" w:cs="Times New Roman"/>
          <w:bCs/>
          <w:sz w:val="36"/>
          <w:szCs w:val="36"/>
        </w:rPr>
      </w:pPr>
      <w:r w:rsidRPr="009F5318">
        <w:rPr>
          <w:rFonts w:ascii="黑体" w:eastAsia="黑体" w:hAnsi="黑体" w:cs="Times New Roman" w:hint="eastAsia"/>
          <w:bCs/>
          <w:sz w:val="36"/>
          <w:szCs w:val="36"/>
        </w:rPr>
        <w:lastRenderedPageBreak/>
        <w:t>《药学统计学》课程大纲</w:t>
      </w:r>
      <w:bookmarkEnd w:id="252"/>
    </w:p>
    <w:p w14:paraId="6280914D" w14:textId="77777777" w:rsidR="009F5318" w:rsidRPr="009F5318" w:rsidRDefault="009F5318" w:rsidP="00C63ECC">
      <w:pPr>
        <w:pStyle w:val="afc"/>
      </w:pPr>
      <w:r w:rsidRPr="009F5318">
        <w:rPr>
          <w:rFonts w:hint="eastAsia"/>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7"/>
        <w:gridCol w:w="2751"/>
        <w:gridCol w:w="1523"/>
        <w:gridCol w:w="2876"/>
      </w:tblGrid>
      <w:tr w:rsidR="009F5318" w:rsidRPr="009F5318" w14:paraId="20797FE4" w14:textId="77777777" w:rsidTr="00C96426">
        <w:trPr>
          <w:trHeight w:val="886"/>
          <w:jc w:val="center"/>
        </w:trPr>
        <w:tc>
          <w:tcPr>
            <w:tcW w:w="1668" w:type="dxa"/>
            <w:vAlign w:val="center"/>
          </w:tcPr>
          <w:p w14:paraId="795323C4"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课程名称</w:t>
            </w:r>
          </w:p>
        </w:tc>
        <w:tc>
          <w:tcPr>
            <w:tcW w:w="2833" w:type="dxa"/>
            <w:vAlign w:val="center"/>
          </w:tcPr>
          <w:p w14:paraId="059017FC"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药学统计学</w:t>
            </w:r>
          </w:p>
        </w:tc>
        <w:tc>
          <w:tcPr>
            <w:tcW w:w="1561" w:type="dxa"/>
            <w:vAlign w:val="center"/>
          </w:tcPr>
          <w:p w14:paraId="03F4C2BE"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课程代码</w:t>
            </w:r>
          </w:p>
        </w:tc>
        <w:tc>
          <w:tcPr>
            <w:tcW w:w="2941" w:type="dxa"/>
            <w:vAlign w:val="center"/>
          </w:tcPr>
          <w:p w14:paraId="5FDF9C3B"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sz w:val="24"/>
                <w:szCs w:val="24"/>
              </w:rPr>
              <w:t>0715D04</w:t>
            </w:r>
          </w:p>
        </w:tc>
      </w:tr>
      <w:tr w:rsidR="009F5318" w:rsidRPr="009F5318" w14:paraId="53931BA4" w14:textId="77777777" w:rsidTr="00C96426">
        <w:trPr>
          <w:trHeight w:val="829"/>
          <w:jc w:val="center"/>
        </w:trPr>
        <w:tc>
          <w:tcPr>
            <w:tcW w:w="1668" w:type="dxa"/>
            <w:vAlign w:val="center"/>
          </w:tcPr>
          <w:p w14:paraId="702C1C5A"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课程类别</w:t>
            </w:r>
          </w:p>
        </w:tc>
        <w:tc>
          <w:tcPr>
            <w:tcW w:w="2833" w:type="dxa"/>
            <w:vAlign w:val="center"/>
          </w:tcPr>
          <w:p w14:paraId="67489052"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专业教育选修课程</w:t>
            </w:r>
          </w:p>
        </w:tc>
        <w:tc>
          <w:tcPr>
            <w:tcW w:w="1561" w:type="dxa"/>
            <w:vAlign w:val="center"/>
          </w:tcPr>
          <w:p w14:paraId="65D57BB8"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学时</w:t>
            </w:r>
          </w:p>
          <w:p w14:paraId="49F82B31"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/学分</w:t>
            </w:r>
          </w:p>
        </w:tc>
        <w:tc>
          <w:tcPr>
            <w:tcW w:w="2941" w:type="dxa"/>
            <w:vAlign w:val="center"/>
          </w:tcPr>
          <w:p w14:paraId="509DDF7A"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40/2</w:t>
            </w:r>
          </w:p>
        </w:tc>
      </w:tr>
      <w:tr w:rsidR="009F5318" w:rsidRPr="009F5318" w14:paraId="0C0246D9" w14:textId="77777777" w:rsidTr="00C96426">
        <w:trPr>
          <w:trHeight w:val="811"/>
          <w:jc w:val="center"/>
        </w:trPr>
        <w:tc>
          <w:tcPr>
            <w:tcW w:w="1668" w:type="dxa"/>
            <w:vAlign w:val="center"/>
          </w:tcPr>
          <w:p w14:paraId="4D9857FE"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开课单位</w:t>
            </w:r>
          </w:p>
        </w:tc>
        <w:tc>
          <w:tcPr>
            <w:tcW w:w="2833" w:type="dxa"/>
            <w:vAlign w:val="center"/>
          </w:tcPr>
          <w:p w14:paraId="687476F3"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化工学院</w:t>
            </w:r>
          </w:p>
        </w:tc>
        <w:tc>
          <w:tcPr>
            <w:tcW w:w="1561" w:type="dxa"/>
            <w:vAlign w:val="center"/>
          </w:tcPr>
          <w:p w14:paraId="570433A6"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适用专业</w:t>
            </w:r>
          </w:p>
        </w:tc>
        <w:tc>
          <w:tcPr>
            <w:tcW w:w="2941" w:type="dxa"/>
            <w:vAlign w:val="center"/>
          </w:tcPr>
          <w:p w14:paraId="573E4C4F"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药物分析本科专业</w:t>
            </w:r>
          </w:p>
        </w:tc>
      </w:tr>
      <w:tr w:rsidR="009F5318" w:rsidRPr="009F5318" w14:paraId="711ABAE2" w14:textId="77777777" w:rsidTr="00C96426">
        <w:trPr>
          <w:trHeight w:val="811"/>
          <w:jc w:val="center"/>
        </w:trPr>
        <w:tc>
          <w:tcPr>
            <w:tcW w:w="1668" w:type="dxa"/>
            <w:vAlign w:val="center"/>
          </w:tcPr>
          <w:p w14:paraId="4E64A5A2"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课程负责人</w:t>
            </w:r>
          </w:p>
        </w:tc>
        <w:tc>
          <w:tcPr>
            <w:tcW w:w="7335" w:type="dxa"/>
            <w:gridSpan w:val="3"/>
            <w:vAlign w:val="center"/>
          </w:tcPr>
          <w:p w14:paraId="0633178A" w14:textId="77777777" w:rsidR="009F5318" w:rsidRPr="009F5318" w:rsidRDefault="009F5318" w:rsidP="009F5318">
            <w:pPr>
              <w:spacing w:line="440" w:lineRule="exact"/>
              <w:jc w:val="center"/>
              <w:rPr>
                <w:rFonts w:ascii="宋体" w:eastAsia="宋体" w:hAnsi="宋体" w:cs="Times New Roman"/>
                <w:sz w:val="24"/>
                <w:szCs w:val="24"/>
              </w:rPr>
            </w:pPr>
            <w:proofErr w:type="gramStart"/>
            <w:r w:rsidRPr="009F5318">
              <w:rPr>
                <w:rFonts w:ascii="宋体" w:eastAsia="宋体" w:hAnsi="宋体" w:cs="Times New Roman" w:hint="eastAsia"/>
                <w:sz w:val="24"/>
                <w:szCs w:val="24"/>
              </w:rPr>
              <w:t>赵星</w:t>
            </w:r>
            <w:proofErr w:type="gramEnd"/>
          </w:p>
        </w:tc>
      </w:tr>
      <w:tr w:rsidR="009F5318" w:rsidRPr="009F5318" w14:paraId="05C36EC9" w14:textId="77777777" w:rsidTr="00C96426">
        <w:trPr>
          <w:trHeight w:val="836"/>
          <w:jc w:val="center"/>
        </w:trPr>
        <w:tc>
          <w:tcPr>
            <w:tcW w:w="1668" w:type="dxa"/>
            <w:vAlign w:val="center"/>
          </w:tcPr>
          <w:p w14:paraId="29806152"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大纲撰写人</w:t>
            </w:r>
          </w:p>
        </w:tc>
        <w:tc>
          <w:tcPr>
            <w:tcW w:w="2833" w:type="dxa"/>
            <w:vAlign w:val="center"/>
          </w:tcPr>
          <w:p w14:paraId="3D224BF3" w14:textId="77777777" w:rsidR="009F5318" w:rsidRPr="009F5318" w:rsidRDefault="009F5318" w:rsidP="009F5318">
            <w:pPr>
              <w:spacing w:line="440" w:lineRule="exact"/>
              <w:jc w:val="center"/>
              <w:rPr>
                <w:rFonts w:ascii="宋体" w:eastAsia="宋体" w:hAnsi="宋体" w:cs="Times New Roman"/>
                <w:sz w:val="24"/>
                <w:szCs w:val="24"/>
              </w:rPr>
            </w:pPr>
            <w:proofErr w:type="gramStart"/>
            <w:r w:rsidRPr="009F5318">
              <w:rPr>
                <w:rFonts w:ascii="宋体" w:eastAsia="宋体" w:hAnsi="宋体" w:cs="Times New Roman" w:hint="eastAsia"/>
                <w:sz w:val="24"/>
                <w:szCs w:val="24"/>
              </w:rPr>
              <w:t>赵星</w:t>
            </w:r>
            <w:proofErr w:type="gramEnd"/>
          </w:p>
        </w:tc>
        <w:tc>
          <w:tcPr>
            <w:tcW w:w="1561" w:type="dxa"/>
            <w:vAlign w:val="center"/>
          </w:tcPr>
          <w:p w14:paraId="67C875DA"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大纲审核人</w:t>
            </w:r>
          </w:p>
        </w:tc>
        <w:tc>
          <w:tcPr>
            <w:tcW w:w="2941" w:type="dxa"/>
            <w:vAlign w:val="center"/>
          </w:tcPr>
          <w:p w14:paraId="105E1E77" w14:textId="77777777" w:rsidR="009F5318" w:rsidRPr="009F5318" w:rsidRDefault="009F5318" w:rsidP="009F5318">
            <w:pPr>
              <w:spacing w:line="440" w:lineRule="exact"/>
              <w:jc w:val="center"/>
              <w:rPr>
                <w:rFonts w:ascii="宋体" w:eastAsia="宋体" w:hAnsi="宋体" w:cs="Times New Roman"/>
                <w:sz w:val="24"/>
                <w:szCs w:val="24"/>
              </w:rPr>
            </w:pPr>
            <w:proofErr w:type="gramStart"/>
            <w:r w:rsidRPr="009F5318">
              <w:rPr>
                <w:rFonts w:ascii="宋体" w:eastAsia="宋体" w:hAnsi="宋体" w:cs="Times New Roman" w:hint="eastAsia"/>
                <w:sz w:val="24"/>
                <w:szCs w:val="24"/>
              </w:rPr>
              <w:t>冯</w:t>
            </w:r>
            <w:proofErr w:type="gramEnd"/>
            <w:r w:rsidRPr="009F5318">
              <w:rPr>
                <w:rFonts w:ascii="宋体" w:eastAsia="宋体" w:hAnsi="宋体" w:cs="Times New Roman" w:hint="eastAsia"/>
                <w:sz w:val="24"/>
                <w:szCs w:val="24"/>
              </w:rPr>
              <w:t>小龙</w:t>
            </w:r>
          </w:p>
        </w:tc>
      </w:tr>
      <w:tr w:rsidR="009F5318" w:rsidRPr="009F5318" w14:paraId="5FF71D56" w14:textId="77777777" w:rsidTr="00C96426">
        <w:trPr>
          <w:trHeight w:val="848"/>
          <w:jc w:val="center"/>
        </w:trPr>
        <w:tc>
          <w:tcPr>
            <w:tcW w:w="1668" w:type="dxa"/>
            <w:vAlign w:val="center"/>
          </w:tcPr>
          <w:p w14:paraId="357DC74C"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先修课程</w:t>
            </w:r>
          </w:p>
        </w:tc>
        <w:tc>
          <w:tcPr>
            <w:tcW w:w="7335" w:type="dxa"/>
            <w:gridSpan w:val="3"/>
            <w:vAlign w:val="center"/>
          </w:tcPr>
          <w:p w14:paraId="355383E1"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Times New Roman" w:eastAsia="宋体" w:hAnsi="Times New Roman" w:cs="Times New Roman" w:hint="eastAsia"/>
                <w:sz w:val="24"/>
                <w:szCs w:val="24"/>
              </w:rPr>
              <w:t>《高等数学》、《概率论与数理统计》、《计算机基础》、《分析化学》</w:t>
            </w:r>
          </w:p>
        </w:tc>
      </w:tr>
      <w:tr w:rsidR="009F5318" w:rsidRPr="009F5318" w14:paraId="40F9A813" w14:textId="77777777" w:rsidTr="00C96426">
        <w:trPr>
          <w:trHeight w:val="848"/>
          <w:jc w:val="center"/>
        </w:trPr>
        <w:tc>
          <w:tcPr>
            <w:tcW w:w="1668" w:type="dxa"/>
            <w:vAlign w:val="center"/>
          </w:tcPr>
          <w:p w14:paraId="262D5AD7"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课程网址</w:t>
            </w:r>
          </w:p>
        </w:tc>
        <w:tc>
          <w:tcPr>
            <w:tcW w:w="7335" w:type="dxa"/>
            <w:gridSpan w:val="3"/>
            <w:vAlign w:val="center"/>
          </w:tcPr>
          <w:p w14:paraId="3502A17A" w14:textId="77777777" w:rsidR="009F5318" w:rsidRPr="009F5318" w:rsidRDefault="009F5318" w:rsidP="009F5318">
            <w:pPr>
              <w:spacing w:line="440" w:lineRule="exact"/>
              <w:rPr>
                <w:rFonts w:ascii="宋体" w:eastAsia="宋体" w:hAnsi="宋体" w:cs="Times New Roman"/>
                <w:sz w:val="24"/>
                <w:szCs w:val="24"/>
              </w:rPr>
            </w:pPr>
          </w:p>
        </w:tc>
      </w:tr>
    </w:tbl>
    <w:p w14:paraId="44B1CA2D" w14:textId="77777777" w:rsidR="009F5318" w:rsidRPr="009F5318" w:rsidRDefault="009F5318" w:rsidP="00C63ECC">
      <w:pPr>
        <w:pStyle w:val="afc"/>
      </w:pPr>
      <w:r w:rsidRPr="009F5318">
        <w:rPr>
          <w:rFonts w:hint="eastAsia"/>
        </w:rPr>
        <w:t>二、课程学习目标及与毕业要求的对应关系</w:t>
      </w:r>
    </w:p>
    <w:p w14:paraId="73A6020D" w14:textId="77777777" w:rsidR="009F5318" w:rsidRPr="009F5318" w:rsidRDefault="009F5318" w:rsidP="009F5318">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F5318">
        <w:rPr>
          <w:rFonts w:ascii="黑体" w:eastAsia="黑体" w:hAnsi="黑体" w:cs="Times New Roman" w:hint="eastAsia"/>
          <w:sz w:val="28"/>
          <w:szCs w:val="28"/>
        </w:rPr>
        <w:t>（一）课程学习目标</w:t>
      </w:r>
    </w:p>
    <w:p w14:paraId="42A9A788"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通过本课程的学习，使学生达到以下目标：</w:t>
      </w:r>
    </w:p>
    <w:p w14:paraId="018CDB29" w14:textId="77777777" w:rsidR="009F5318" w:rsidRPr="009F5318" w:rsidRDefault="009F5318" w:rsidP="009F5318">
      <w:pPr>
        <w:spacing w:line="440" w:lineRule="exact"/>
        <w:rPr>
          <w:rFonts w:ascii="宋体" w:eastAsia="宋体" w:hAnsi="宋体" w:cs="Times New Roman"/>
          <w:sz w:val="24"/>
          <w:szCs w:val="24"/>
        </w:rPr>
      </w:pPr>
      <w:r w:rsidRPr="009F5318">
        <w:rPr>
          <w:rFonts w:ascii="宋体" w:eastAsia="宋体" w:hAnsi="宋体" w:cs="Times New Roman" w:hint="eastAsia"/>
          <w:sz w:val="24"/>
          <w:szCs w:val="24"/>
        </w:rPr>
        <w:t xml:space="preserve">    1. 熟练掌握</w:t>
      </w:r>
      <w:r w:rsidRPr="009F5318">
        <w:rPr>
          <w:rFonts w:ascii="宋体" w:eastAsia="宋体" w:hAnsi="宋体" w:cs="Times New Roman"/>
          <w:sz w:val="24"/>
          <w:szCs w:val="24"/>
        </w:rPr>
        <w:t>药学统计学基本原理，</w:t>
      </w:r>
      <w:r w:rsidRPr="009F5318">
        <w:rPr>
          <w:rFonts w:ascii="宋体" w:eastAsia="宋体" w:hAnsi="宋体" w:cs="Times New Roman" w:hint="eastAsia"/>
          <w:sz w:val="24"/>
          <w:szCs w:val="24"/>
        </w:rPr>
        <w:t>掌握数据处理、文献检索及获取现代信息的基本方法</w:t>
      </w:r>
      <w:r w:rsidRPr="009F5318">
        <w:rPr>
          <w:rFonts w:ascii="宋体" w:eastAsia="宋体" w:hAnsi="宋体" w:cs="Times New Roman"/>
          <w:sz w:val="24"/>
          <w:szCs w:val="24"/>
        </w:rPr>
        <w:t>；</w:t>
      </w:r>
      <w:r w:rsidRPr="009F5318">
        <w:rPr>
          <w:rFonts w:ascii="宋体" w:eastAsia="宋体" w:hAnsi="宋体" w:cs="Times New Roman"/>
          <w:b/>
          <w:sz w:val="24"/>
          <w:szCs w:val="24"/>
        </w:rPr>
        <w:t>【</w:t>
      </w:r>
      <w:r w:rsidRPr="009F5318">
        <w:rPr>
          <w:rFonts w:ascii="宋体" w:eastAsia="宋体" w:hAnsi="宋体" w:cs="宋体" w:hint="eastAsia"/>
          <w:b/>
          <w:sz w:val="24"/>
          <w:szCs w:val="24"/>
        </w:rPr>
        <w:t>毕业要求1：药学知识</w:t>
      </w:r>
      <w:r w:rsidRPr="009F5318">
        <w:rPr>
          <w:rFonts w:ascii="宋体" w:eastAsia="宋体" w:hAnsi="宋体" w:cs="Times New Roman"/>
          <w:b/>
          <w:sz w:val="24"/>
          <w:szCs w:val="24"/>
        </w:rPr>
        <w:t>】</w:t>
      </w:r>
    </w:p>
    <w:p w14:paraId="13C063B4" w14:textId="77777777" w:rsidR="009F5318" w:rsidRPr="009F5318" w:rsidRDefault="009F5318" w:rsidP="009F5318">
      <w:pPr>
        <w:spacing w:line="440" w:lineRule="exact"/>
        <w:ind w:firstLine="480"/>
        <w:rPr>
          <w:rFonts w:ascii="宋体" w:eastAsia="宋体" w:hAnsi="宋体" w:cs="Times New Roman"/>
          <w:b/>
          <w:sz w:val="24"/>
          <w:szCs w:val="24"/>
        </w:rPr>
      </w:pPr>
      <w:r w:rsidRPr="009F5318">
        <w:rPr>
          <w:rFonts w:ascii="宋体" w:eastAsia="宋体" w:hAnsi="宋体" w:cs="Times New Roman" w:hint="eastAsia"/>
          <w:sz w:val="24"/>
          <w:szCs w:val="24"/>
        </w:rPr>
        <w:t>2. 能够综合运用数学、化学、药学等基本原理，识别、定义药物分析学的实践问题，并选择合理的统计手段加以分析；</w:t>
      </w:r>
      <w:r w:rsidRPr="009F5318">
        <w:rPr>
          <w:rFonts w:ascii="宋体" w:eastAsia="宋体" w:hAnsi="宋体" w:cs="Times New Roman"/>
          <w:b/>
          <w:sz w:val="24"/>
          <w:szCs w:val="24"/>
        </w:rPr>
        <w:t>【</w:t>
      </w:r>
      <w:r w:rsidRPr="009F5318">
        <w:rPr>
          <w:rFonts w:ascii="宋体" w:eastAsia="宋体" w:hAnsi="宋体" w:cs="宋体" w:hint="eastAsia"/>
          <w:b/>
          <w:sz w:val="24"/>
          <w:szCs w:val="24"/>
        </w:rPr>
        <w:t>毕业要求2：</w:t>
      </w:r>
      <w:r w:rsidRPr="009F5318">
        <w:rPr>
          <w:rFonts w:ascii="宋体" w:eastAsia="宋体" w:hAnsi="宋体" w:cs="宋体" w:hint="eastAsia"/>
          <w:b/>
          <w:bCs/>
          <w:sz w:val="24"/>
          <w:szCs w:val="24"/>
        </w:rPr>
        <w:t>问题分析</w:t>
      </w:r>
      <w:r w:rsidRPr="009F5318">
        <w:rPr>
          <w:rFonts w:ascii="宋体" w:eastAsia="宋体" w:hAnsi="宋体" w:cs="Times New Roman"/>
          <w:b/>
          <w:sz w:val="24"/>
          <w:szCs w:val="24"/>
        </w:rPr>
        <w:t>】</w:t>
      </w:r>
    </w:p>
    <w:p w14:paraId="56BD9F85" w14:textId="77777777" w:rsidR="009F5318" w:rsidRPr="009F5318" w:rsidRDefault="009F5318" w:rsidP="009F5318">
      <w:pPr>
        <w:spacing w:line="440" w:lineRule="exact"/>
        <w:ind w:firstLine="480"/>
        <w:rPr>
          <w:rFonts w:ascii="宋体" w:eastAsia="宋体" w:hAnsi="宋体" w:cs="Times New Roman"/>
          <w:b/>
          <w:sz w:val="24"/>
          <w:szCs w:val="24"/>
        </w:rPr>
      </w:pPr>
      <w:r w:rsidRPr="009F5318">
        <w:rPr>
          <w:rFonts w:ascii="宋体" w:eastAsia="宋体" w:hAnsi="宋体" w:cs="Times New Roman" w:hint="eastAsia"/>
          <w:sz w:val="24"/>
          <w:szCs w:val="24"/>
        </w:rPr>
        <w:t xml:space="preserve">3. </w:t>
      </w:r>
      <w:r w:rsidRPr="009F5318">
        <w:rPr>
          <w:rFonts w:ascii="宋体" w:eastAsia="宋体" w:hAnsi="宋体" w:cs="Times New Roman"/>
          <w:sz w:val="24"/>
          <w:szCs w:val="24"/>
        </w:rPr>
        <w:t>根据</w:t>
      </w:r>
      <w:r w:rsidRPr="009F5318">
        <w:rPr>
          <w:rFonts w:ascii="宋体" w:eastAsia="宋体" w:hAnsi="宋体" w:cs="Times New Roman" w:hint="eastAsia"/>
          <w:sz w:val="24"/>
          <w:szCs w:val="24"/>
        </w:rPr>
        <w:t>药物分析学相关的</w:t>
      </w:r>
      <w:r w:rsidRPr="009F5318">
        <w:rPr>
          <w:rFonts w:ascii="宋体" w:eastAsia="宋体" w:hAnsi="宋体" w:cs="Times New Roman"/>
          <w:sz w:val="24"/>
          <w:szCs w:val="24"/>
        </w:rPr>
        <w:t>实验目的，</w:t>
      </w:r>
      <w:r w:rsidRPr="009F5318">
        <w:rPr>
          <w:rFonts w:ascii="宋体" w:eastAsia="宋体" w:hAnsi="宋体" w:cs="Times New Roman" w:hint="eastAsia"/>
          <w:sz w:val="24"/>
          <w:szCs w:val="24"/>
        </w:rPr>
        <w:t>通过合理的实验设计，</w:t>
      </w:r>
      <w:r w:rsidRPr="009F5318">
        <w:rPr>
          <w:rFonts w:ascii="宋体" w:eastAsia="宋体" w:hAnsi="宋体" w:cs="Times New Roman"/>
          <w:sz w:val="24"/>
          <w:szCs w:val="24"/>
        </w:rPr>
        <w:t>获得实验结果，</w:t>
      </w:r>
      <w:r w:rsidRPr="009F5318">
        <w:rPr>
          <w:rFonts w:ascii="宋体" w:eastAsia="宋体" w:hAnsi="宋体" w:cs="Times New Roman" w:hint="eastAsia"/>
          <w:sz w:val="24"/>
          <w:szCs w:val="24"/>
        </w:rPr>
        <w:t>并</w:t>
      </w:r>
      <w:r w:rsidRPr="009F5318">
        <w:rPr>
          <w:rFonts w:ascii="宋体" w:eastAsia="宋体" w:hAnsi="宋体" w:cs="Times New Roman"/>
          <w:sz w:val="24"/>
          <w:szCs w:val="24"/>
        </w:rPr>
        <w:t>综合文献资料得到合理、有效的结论。</w:t>
      </w:r>
      <w:r w:rsidRPr="009F5318">
        <w:rPr>
          <w:rFonts w:ascii="宋体" w:eastAsia="宋体" w:hAnsi="宋体" w:cs="Times New Roman" w:hint="eastAsia"/>
          <w:sz w:val="24"/>
          <w:szCs w:val="24"/>
        </w:rPr>
        <w:t>【</w:t>
      </w:r>
      <w:r w:rsidRPr="009F5318">
        <w:rPr>
          <w:rFonts w:ascii="宋体" w:eastAsia="宋体" w:hAnsi="宋体" w:cs="宋体" w:hint="eastAsia"/>
          <w:b/>
          <w:sz w:val="24"/>
          <w:szCs w:val="24"/>
        </w:rPr>
        <w:t>毕业要求4：科学研究</w:t>
      </w:r>
      <w:r w:rsidRPr="009F5318">
        <w:rPr>
          <w:rFonts w:ascii="宋体" w:eastAsia="宋体" w:hAnsi="宋体" w:cs="Times New Roman" w:hint="eastAsia"/>
          <w:sz w:val="24"/>
          <w:szCs w:val="24"/>
        </w:rPr>
        <w:t>】</w:t>
      </w:r>
    </w:p>
    <w:p w14:paraId="439DA053" w14:textId="77777777" w:rsidR="009F5318" w:rsidRPr="009F5318" w:rsidRDefault="009F5318" w:rsidP="009F5318">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F5318">
        <w:rPr>
          <w:rFonts w:ascii="黑体" w:eastAsia="黑体" w:hAnsi="黑体" w:cs="Times New Roman" w:hint="eastAsia"/>
          <w:sz w:val="28"/>
          <w:szCs w:val="28"/>
        </w:rPr>
        <w:t>（二）课程学习目标与毕业要求指标点的对应关系</w:t>
      </w:r>
    </w:p>
    <w:tbl>
      <w:tblPr>
        <w:tblW w:w="9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4"/>
        <w:gridCol w:w="5670"/>
        <w:gridCol w:w="1701"/>
      </w:tblGrid>
      <w:tr w:rsidR="009F5318" w:rsidRPr="009F5318" w14:paraId="7EC783FE" w14:textId="77777777" w:rsidTr="00C96426">
        <w:trPr>
          <w:trHeight w:val="867"/>
          <w:jc w:val="center"/>
        </w:trPr>
        <w:tc>
          <w:tcPr>
            <w:tcW w:w="1704" w:type="dxa"/>
            <w:tcBorders>
              <w:top w:val="single" w:sz="4" w:space="0" w:color="auto"/>
              <w:left w:val="single" w:sz="4" w:space="0" w:color="auto"/>
              <w:bottom w:val="single" w:sz="4" w:space="0" w:color="auto"/>
              <w:right w:val="single" w:sz="4" w:space="0" w:color="auto"/>
            </w:tcBorders>
            <w:vAlign w:val="center"/>
          </w:tcPr>
          <w:p w14:paraId="111C5AA2" w14:textId="77777777" w:rsidR="009F5318" w:rsidRPr="009F5318" w:rsidRDefault="009F5318" w:rsidP="009F5318">
            <w:pPr>
              <w:spacing w:line="440" w:lineRule="exact"/>
              <w:jc w:val="center"/>
              <w:rPr>
                <w:rFonts w:ascii="宋体" w:eastAsia="宋体" w:hAnsi="宋体" w:cs="Times New Roman"/>
                <w:b/>
                <w:sz w:val="24"/>
                <w:szCs w:val="24"/>
              </w:rPr>
            </w:pPr>
            <w:r w:rsidRPr="009F5318">
              <w:rPr>
                <w:rFonts w:ascii="宋体" w:eastAsia="宋体" w:hAnsi="宋体" w:cs="Times New Roman" w:hint="eastAsia"/>
                <w:b/>
                <w:sz w:val="24"/>
                <w:szCs w:val="24"/>
              </w:rPr>
              <w:t>毕业要求</w:t>
            </w:r>
          </w:p>
        </w:tc>
        <w:tc>
          <w:tcPr>
            <w:tcW w:w="5670" w:type="dxa"/>
            <w:tcBorders>
              <w:top w:val="single" w:sz="4" w:space="0" w:color="auto"/>
              <w:left w:val="single" w:sz="4" w:space="0" w:color="auto"/>
              <w:bottom w:val="single" w:sz="4" w:space="0" w:color="auto"/>
              <w:right w:val="single" w:sz="4" w:space="0" w:color="auto"/>
            </w:tcBorders>
            <w:vAlign w:val="center"/>
          </w:tcPr>
          <w:p w14:paraId="07CDC176" w14:textId="77777777" w:rsidR="009F5318" w:rsidRPr="009F5318" w:rsidRDefault="009F5318" w:rsidP="009F5318">
            <w:pPr>
              <w:spacing w:line="440" w:lineRule="exact"/>
              <w:jc w:val="center"/>
              <w:rPr>
                <w:rFonts w:ascii="宋体" w:eastAsia="宋体" w:hAnsi="宋体" w:cs="Times New Roman"/>
                <w:b/>
                <w:sz w:val="24"/>
                <w:szCs w:val="24"/>
              </w:rPr>
            </w:pPr>
            <w:r w:rsidRPr="009F5318">
              <w:rPr>
                <w:rFonts w:ascii="宋体" w:eastAsia="宋体" w:hAnsi="宋体" w:cs="Times New Roman" w:hint="eastAsia"/>
                <w:b/>
                <w:sz w:val="24"/>
                <w:szCs w:val="24"/>
              </w:rPr>
              <w:t>毕业要求指标点</w:t>
            </w:r>
          </w:p>
        </w:tc>
        <w:tc>
          <w:tcPr>
            <w:tcW w:w="1701" w:type="dxa"/>
            <w:tcBorders>
              <w:top w:val="single" w:sz="4" w:space="0" w:color="auto"/>
              <w:left w:val="single" w:sz="4" w:space="0" w:color="auto"/>
              <w:bottom w:val="single" w:sz="4" w:space="0" w:color="auto"/>
              <w:right w:val="single" w:sz="4" w:space="0" w:color="auto"/>
            </w:tcBorders>
            <w:vAlign w:val="center"/>
          </w:tcPr>
          <w:p w14:paraId="7B837FB7" w14:textId="77777777" w:rsidR="009F5318" w:rsidRPr="009F5318" w:rsidRDefault="009F5318" w:rsidP="009F5318">
            <w:pPr>
              <w:spacing w:line="440" w:lineRule="exact"/>
              <w:jc w:val="center"/>
              <w:rPr>
                <w:rFonts w:ascii="宋体" w:eastAsia="宋体" w:hAnsi="宋体" w:cs="Times New Roman"/>
                <w:b/>
                <w:sz w:val="24"/>
                <w:szCs w:val="24"/>
              </w:rPr>
            </w:pPr>
            <w:r w:rsidRPr="009F5318">
              <w:rPr>
                <w:rFonts w:ascii="宋体" w:eastAsia="宋体" w:hAnsi="宋体" w:cs="Times New Roman" w:hint="eastAsia"/>
                <w:b/>
                <w:sz w:val="24"/>
                <w:szCs w:val="24"/>
              </w:rPr>
              <w:t>课程目标</w:t>
            </w:r>
          </w:p>
        </w:tc>
      </w:tr>
      <w:tr w:rsidR="009F5318" w:rsidRPr="009F5318" w14:paraId="08FF821A" w14:textId="77777777" w:rsidTr="00C96426">
        <w:trPr>
          <w:jc w:val="center"/>
        </w:trPr>
        <w:tc>
          <w:tcPr>
            <w:tcW w:w="1704" w:type="dxa"/>
            <w:tcBorders>
              <w:top w:val="single" w:sz="4" w:space="0" w:color="auto"/>
              <w:left w:val="single" w:sz="4" w:space="0" w:color="auto"/>
              <w:bottom w:val="single" w:sz="4" w:space="0" w:color="auto"/>
              <w:right w:val="single" w:sz="4" w:space="0" w:color="auto"/>
            </w:tcBorders>
            <w:vAlign w:val="center"/>
          </w:tcPr>
          <w:p w14:paraId="471F927F" w14:textId="77777777" w:rsidR="009F5318" w:rsidRPr="009F5318" w:rsidRDefault="009F5318" w:rsidP="009F5318">
            <w:pPr>
              <w:spacing w:line="440" w:lineRule="exact"/>
              <w:rPr>
                <w:rFonts w:ascii="宋体" w:eastAsia="宋体" w:hAnsi="宋体" w:cs="Times New Roman"/>
                <w:sz w:val="24"/>
                <w:szCs w:val="24"/>
              </w:rPr>
            </w:pPr>
            <w:r w:rsidRPr="009F5318">
              <w:rPr>
                <w:rFonts w:ascii="宋体" w:eastAsia="宋体" w:hAnsi="宋体" w:cs="Times New Roman" w:hint="eastAsia"/>
                <w:sz w:val="24"/>
                <w:szCs w:val="24"/>
              </w:rPr>
              <w:t>1．药学知识</w:t>
            </w:r>
          </w:p>
        </w:tc>
        <w:tc>
          <w:tcPr>
            <w:tcW w:w="5670" w:type="dxa"/>
            <w:tcBorders>
              <w:top w:val="single" w:sz="4" w:space="0" w:color="auto"/>
              <w:left w:val="single" w:sz="4" w:space="0" w:color="auto"/>
              <w:bottom w:val="single" w:sz="4" w:space="0" w:color="auto"/>
              <w:right w:val="single" w:sz="4" w:space="0" w:color="auto"/>
            </w:tcBorders>
            <w:vAlign w:val="center"/>
          </w:tcPr>
          <w:p w14:paraId="2143E948"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hint="eastAsia"/>
                <w:sz w:val="24"/>
                <w:szCs w:val="24"/>
              </w:rPr>
              <w:t>1.4 熟练掌握一门外语，掌握数据处理、文献检索</w:t>
            </w:r>
            <w:r w:rsidRPr="009F5318">
              <w:rPr>
                <w:rFonts w:ascii="宋体" w:eastAsia="宋体" w:hAnsi="宋体" w:cs="Times New Roman" w:hint="eastAsia"/>
                <w:sz w:val="24"/>
                <w:szCs w:val="24"/>
              </w:rPr>
              <w:lastRenderedPageBreak/>
              <w:t>及获取现代信息的基本方法</w:t>
            </w:r>
            <w:r w:rsidRPr="009F5318">
              <w:rPr>
                <w:rFonts w:ascii="宋体" w:eastAsia="宋体" w:hAnsi="宋体" w:cs="Times New Roman"/>
                <w:sz w:val="24"/>
                <w:szCs w:val="24"/>
              </w:rPr>
              <w:t>；</w:t>
            </w:r>
            <w:r w:rsidRPr="009F5318">
              <w:rPr>
                <w:rFonts w:ascii="宋体" w:eastAsia="宋体" w:hAnsi="宋体" w:cs="Times New Roman" w:hint="eastAsia"/>
                <w:sz w:val="24"/>
                <w:szCs w:val="24"/>
              </w:rPr>
              <w:t>（M）</w:t>
            </w:r>
          </w:p>
        </w:tc>
        <w:tc>
          <w:tcPr>
            <w:tcW w:w="1701" w:type="dxa"/>
            <w:tcBorders>
              <w:top w:val="single" w:sz="4" w:space="0" w:color="auto"/>
              <w:left w:val="single" w:sz="4" w:space="0" w:color="auto"/>
              <w:bottom w:val="single" w:sz="4" w:space="0" w:color="auto"/>
              <w:right w:val="single" w:sz="4" w:space="0" w:color="auto"/>
            </w:tcBorders>
            <w:vAlign w:val="center"/>
          </w:tcPr>
          <w:p w14:paraId="45592C26"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lastRenderedPageBreak/>
              <w:t>课程目标1</w:t>
            </w:r>
          </w:p>
        </w:tc>
      </w:tr>
      <w:tr w:rsidR="009F5318" w:rsidRPr="009F5318" w14:paraId="1D272E1A" w14:textId="77777777" w:rsidTr="00C96426">
        <w:trPr>
          <w:trHeight w:val="814"/>
          <w:jc w:val="center"/>
        </w:trPr>
        <w:tc>
          <w:tcPr>
            <w:tcW w:w="1704" w:type="dxa"/>
            <w:tcBorders>
              <w:top w:val="single" w:sz="4" w:space="0" w:color="auto"/>
              <w:left w:val="single" w:sz="4" w:space="0" w:color="auto"/>
              <w:bottom w:val="single" w:sz="4" w:space="0" w:color="auto"/>
              <w:right w:val="single" w:sz="4" w:space="0" w:color="auto"/>
            </w:tcBorders>
            <w:vAlign w:val="center"/>
          </w:tcPr>
          <w:p w14:paraId="4D2EE02F"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hint="eastAsia"/>
                <w:sz w:val="24"/>
                <w:szCs w:val="24"/>
              </w:rPr>
              <w:t>2．问题分析</w:t>
            </w:r>
          </w:p>
        </w:tc>
        <w:tc>
          <w:tcPr>
            <w:tcW w:w="5670" w:type="dxa"/>
            <w:tcBorders>
              <w:top w:val="single" w:sz="4" w:space="0" w:color="auto"/>
              <w:left w:val="single" w:sz="4" w:space="0" w:color="auto"/>
              <w:bottom w:val="single" w:sz="4" w:space="0" w:color="auto"/>
              <w:right w:val="single" w:sz="4" w:space="0" w:color="auto"/>
            </w:tcBorders>
            <w:vAlign w:val="center"/>
          </w:tcPr>
          <w:p w14:paraId="1A5B4285"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hint="eastAsia"/>
                <w:sz w:val="24"/>
                <w:szCs w:val="24"/>
              </w:rPr>
              <w:t>2.1 能够运用数学、化学、药学基本原理，识别、定义药物分析学的实践问题。（H）</w:t>
            </w:r>
          </w:p>
        </w:tc>
        <w:tc>
          <w:tcPr>
            <w:tcW w:w="1701" w:type="dxa"/>
            <w:tcBorders>
              <w:top w:val="single" w:sz="4" w:space="0" w:color="auto"/>
              <w:left w:val="single" w:sz="4" w:space="0" w:color="auto"/>
              <w:bottom w:val="single" w:sz="4" w:space="0" w:color="auto"/>
              <w:right w:val="single" w:sz="4" w:space="0" w:color="auto"/>
            </w:tcBorders>
            <w:vAlign w:val="center"/>
          </w:tcPr>
          <w:p w14:paraId="3A139AD2"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课程目标2</w:t>
            </w:r>
          </w:p>
        </w:tc>
      </w:tr>
      <w:tr w:rsidR="009F5318" w:rsidRPr="009F5318" w14:paraId="49B4F526" w14:textId="77777777" w:rsidTr="00C96426">
        <w:trPr>
          <w:jc w:val="center"/>
        </w:trPr>
        <w:tc>
          <w:tcPr>
            <w:tcW w:w="1704" w:type="dxa"/>
            <w:tcBorders>
              <w:top w:val="single" w:sz="4" w:space="0" w:color="auto"/>
              <w:left w:val="single" w:sz="4" w:space="0" w:color="auto"/>
              <w:bottom w:val="single" w:sz="4" w:space="0" w:color="auto"/>
              <w:right w:val="single" w:sz="4" w:space="0" w:color="auto"/>
            </w:tcBorders>
            <w:vAlign w:val="center"/>
          </w:tcPr>
          <w:p w14:paraId="03205DB0" w14:textId="77777777" w:rsidR="009F5318" w:rsidRPr="009F5318" w:rsidRDefault="009F5318" w:rsidP="009F5318">
            <w:pPr>
              <w:spacing w:line="440" w:lineRule="exact"/>
              <w:rPr>
                <w:rFonts w:ascii="宋体" w:eastAsia="宋体" w:hAnsi="宋体" w:cs="Times New Roman"/>
                <w:sz w:val="24"/>
                <w:szCs w:val="24"/>
              </w:rPr>
            </w:pPr>
            <w:r w:rsidRPr="009F5318">
              <w:rPr>
                <w:rFonts w:ascii="宋体" w:eastAsia="宋体" w:hAnsi="宋体" w:cs="Times New Roman" w:hint="eastAsia"/>
                <w:sz w:val="24"/>
                <w:szCs w:val="24"/>
              </w:rPr>
              <w:t>4．科学研究</w:t>
            </w:r>
          </w:p>
        </w:tc>
        <w:tc>
          <w:tcPr>
            <w:tcW w:w="5670" w:type="dxa"/>
            <w:tcBorders>
              <w:top w:val="single" w:sz="4" w:space="0" w:color="auto"/>
              <w:left w:val="single" w:sz="4" w:space="0" w:color="auto"/>
              <w:bottom w:val="single" w:sz="4" w:space="0" w:color="auto"/>
              <w:right w:val="single" w:sz="4" w:space="0" w:color="auto"/>
            </w:tcBorders>
            <w:vAlign w:val="center"/>
          </w:tcPr>
          <w:p w14:paraId="0BB6CBEF"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hint="eastAsia"/>
                <w:sz w:val="24"/>
                <w:szCs w:val="24"/>
              </w:rPr>
              <w:t>4.3 根据实验目的，获得实验结果，综合文献资料得到合理、有效的结论。（H）</w:t>
            </w:r>
          </w:p>
        </w:tc>
        <w:tc>
          <w:tcPr>
            <w:tcW w:w="1701" w:type="dxa"/>
            <w:tcBorders>
              <w:top w:val="single" w:sz="4" w:space="0" w:color="auto"/>
              <w:left w:val="single" w:sz="4" w:space="0" w:color="auto"/>
              <w:bottom w:val="single" w:sz="4" w:space="0" w:color="auto"/>
              <w:right w:val="single" w:sz="4" w:space="0" w:color="auto"/>
            </w:tcBorders>
            <w:vAlign w:val="center"/>
          </w:tcPr>
          <w:p w14:paraId="7EBA3CA1"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课程目标3</w:t>
            </w:r>
          </w:p>
        </w:tc>
      </w:tr>
    </w:tbl>
    <w:p w14:paraId="3E2D897F" w14:textId="77777777" w:rsidR="009F5318" w:rsidRPr="009F5318" w:rsidRDefault="009F5318" w:rsidP="00C63ECC">
      <w:pPr>
        <w:pStyle w:val="afc"/>
      </w:pPr>
      <w:r w:rsidRPr="009F5318">
        <w:rPr>
          <w:rFonts w:hint="eastAsia"/>
        </w:rPr>
        <w:t>三、课程学习内容及与课程学习目标的对应关系</w:t>
      </w:r>
    </w:p>
    <w:p w14:paraId="7400AD0B" w14:textId="77777777" w:rsidR="009F5318" w:rsidRPr="009F5318" w:rsidRDefault="009F5318" w:rsidP="009F5318">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F5318">
        <w:rPr>
          <w:rFonts w:ascii="黑体" w:eastAsia="黑体" w:hAnsi="黑体" w:cs="Times New Roman" w:hint="eastAsia"/>
          <w:sz w:val="28"/>
          <w:szCs w:val="28"/>
        </w:rPr>
        <w:t>（一）课程学习内容</w:t>
      </w:r>
    </w:p>
    <w:p w14:paraId="58FB6C04"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本课程的学习内容包括两部分，即理论学习内容和实验学习内容。</w:t>
      </w:r>
    </w:p>
    <w:p w14:paraId="406BBA62" w14:textId="77777777" w:rsidR="009F5318" w:rsidRPr="009F5318" w:rsidRDefault="009F5318" w:rsidP="009F5318">
      <w:pPr>
        <w:spacing w:beforeLines="50" w:before="156" w:afterLines="50" w:after="156" w:line="440" w:lineRule="exact"/>
        <w:ind w:firstLineChars="200" w:firstLine="560"/>
        <w:jc w:val="center"/>
        <w:rPr>
          <w:rFonts w:ascii="黑体" w:eastAsia="黑体" w:hAnsi="黑体" w:cs="Times New Roman"/>
          <w:sz w:val="28"/>
          <w:szCs w:val="28"/>
        </w:rPr>
      </w:pPr>
      <w:r w:rsidRPr="009F5318">
        <w:rPr>
          <w:rFonts w:ascii="黑体" w:eastAsia="黑体" w:hAnsi="黑体" w:cs="Times New Roman" w:hint="eastAsia"/>
          <w:sz w:val="28"/>
          <w:szCs w:val="28"/>
        </w:rPr>
        <w:t>第一部分 理论内容</w:t>
      </w:r>
    </w:p>
    <w:p w14:paraId="7FDA0EC6" w14:textId="77777777" w:rsidR="009F5318" w:rsidRPr="009F5318" w:rsidRDefault="009F5318" w:rsidP="009F5318">
      <w:pPr>
        <w:spacing w:beforeLines="50" w:before="156" w:afterLines="50" w:after="156" w:line="440" w:lineRule="exact"/>
        <w:ind w:firstLineChars="200" w:firstLine="560"/>
        <w:jc w:val="center"/>
        <w:rPr>
          <w:rFonts w:ascii="黑体" w:eastAsia="黑体" w:hAnsi="黑体" w:cs="Times New Roman"/>
          <w:sz w:val="28"/>
          <w:szCs w:val="28"/>
        </w:rPr>
      </w:pPr>
      <w:r w:rsidRPr="009F5318">
        <w:rPr>
          <w:rFonts w:ascii="黑体" w:eastAsia="黑体" w:hAnsi="黑体" w:cs="Times New Roman" w:hint="eastAsia"/>
          <w:sz w:val="28"/>
          <w:szCs w:val="28"/>
        </w:rPr>
        <w:t>第一章  绪</w:t>
      </w:r>
      <w:r w:rsidRPr="009F5318">
        <w:rPr>
          <w:rFonts w:ascii="黑体" w:eastAsia="黑体" w:hAnsi="黑体" w:cs="Times New Roman"/>
          <w:sz w:val="28"/>
          <w:szCs w:val="28"/>
        </w:rPr>
        <w:t>论</w:t>
      </w:r>
    </w:p>
    <w:p w14:paraId="6B75C594" w14:textId="77777777" w:rsidR="009F5318" w:rsidRPr="009F5318" w:rsidRDefault="009F5318" w:rsidP="009F5318">
      <w:pPr>
        <w:adjustRightInd w:val="0"/>
        <w:snapToGrid w:val="0"/>
        <w:spacing w:line="440" w:lineRule="exact"/>
        <w:ind w:firstLineChars="200" w:firstLine="482"/>
        <w:rPr>
          <w:rFonts w:ascii="宋体" w:eastAsia="宋体" w:hAnsi="宋体" w:cs="Times New Roman"/>
          <w:b/>
          <w:sz w:val="24"/>
          <w:szCs w:val="24"/>
        </w:rPr>
      </w:pPr>
      <w:r w:rsidRPr="009F5318">
        <w:rPr>
          <w:rFonts w:ascii="宋体" w:eastAsia="宋体" w:hAnsi="宋体" w:cs="Times New Roman" w:hint="eastAsia"/>
          <w:b/>
          <w:sz w:val="24"/>
          <w:szCs w:val="24"/>
        </w:rPr>
        <w:t>【学习目标】</w:t>
      </w:r>
    </w:p>
    <w:p w14:paraId="20299E27"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认知类目标：掌握必然事件、随机事件的定义；概率的定义与性质；总体与样本的区别与联系；数据的定义、类型、相互关系；变量的定义、类型；观测值特征描述的三个方面；描述集中位置的常用变量；均值、中位数、众数的定义、特点；均值的计算公式；总体方差、总体标准差、样本方差、样本标准差的定义与计算公式；变异系数的概念、计算公式与应用。熟悉频率的概念，频率与概率的关系；置信度（置信概率、信度）的定义；统计推断与实际推断原理；总体的特征；先验概率与后验概率；描述离散程度的常用变量；峰度与偏度的含义；总体方差和样本方差的区别。了解统计学简史与定义；药学统计学的概念及主要研究内容；统计数据的搜集和来源；四分位数的定义与应用；极差、平均（绝对）偏差的应用；峰度与偏度的计算公式。</w:t>
      </w:r>
    </w:p>
    <w:p w14:paraId="77A4FA7B"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过程与方法类目标：</w:t>
      </w:r>
      <w:r w:rsidRPr="009F5318">
        <w:rPr>
          <w:rFonts w:ascii="宋体" w:eastAsia="宋体" w:hAnsi="宋体" w:cs="Times New Roman"/>
          <w:sz w:val="24"/>
          <w:szCs w:val="24"/>
        </w:rPr>
        <w:t>提高学生</w:t>
      </w:r>
      <w:r w:rsidRPr="009F5318">
        <w:rPr>
          <w:rFonts w:ascii="宋体" w:eastAsia="宋体" w:hAnsi="宋体" w:cs="Times New Roman" w:hint="eastAsia"/>
          <w:sz w:val="24"/>
          <w:szCs w:val="24"/>
        </w:rPr>
        <w:t>从不同角度，</w:t>
      </w:r>
      <w:r w:rsidRPr="009F5318">
        <w:rPr>
          <w:rFonts w:ascii="宋体" w:eastAsia="宋体" w:hAnsi="宋体" w:cs="Times New Roman"/>
          <w:sz w:val="24"/>
          <w:szCs w:val="24"/>
        </w:rPr>
        <w:t>分析统计数据的能力。</w:t>
      </w:r>
    </w:p>
    <w:p w14:paraId="0F2A495B"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 xml:space="preserve">3. </w:t>
      </w:r>
      <w:r w:rsidRPr="009F5318">
        <w:rPr>
          <w:rFonts w:ascii="宋体" w:eastAsia="宋体" w:hAnsi="宋体" w:cs="Times New Roman" w:hint="eastAsia"/>
          <w:sz w:val="24"/>
          <w:szCs w:val="24"/>
        </w:rPr>
        <w:t>情感、态度、价值观类目标：感受药学相关实验数据的逻辑性与严谨性，认同观测值特征描述的要求。</w:t>
      </w:r>
    </w:p>
    <w:p w14:paraId="644CE785" w14:textId="77777777" w:rsidR="009F5318" w:rsidRPr="009F5318" w:rsidRDefault="009F5318" w:rsidP="009F5318">
      <w:pPr>
        <w:adjustRightInd w:val="0"/>
        <w:snapToGrid w:val="0"/>
        <w:spacing w:line="440" w:lineRule="exact"/>
        <w:ind w:firstLineChars="200" w:firstLine="482"/>
        <w:rPr>
          <w:rFonts w:ascii="宋体" w:eastAsia="宋体" w:hAnsi="宋体" w:cs="Times New Roman"/>
          <w:b/>
          <w:sz w:val="24"/>
          <w:szCs w:val="24"/>
        </w:rPr>
      </w:pPr>
      <w:r w:rsidRPr="009F5318">
        <w:rPr>
          <w:rFonts w:ascii="宋体" w:eastAsia="宋体" w:hAnsi="宋体" w:cs="Times New Roman" w:hint="eastAsia"/>
          <w:b/>
          <w:sz w:val="24"/>
          <w:szCs w:val="24"/>
        </w:rPr>
        <w:t>【学习内容】</w:t>
      </w:r>
    </w:p>
    <w:p w14:paraId="755AD3BF" w14:textId="77777777" w:rsidR="009F5318" w:rsidRPr="009F5318" w:rsidRDefault="009F5318" w:rsidP="009F5318">
      <w:pPr>
        <w:adjustRightInd w:val="0"/>
        <w:snapToGrid w:val="0"/>
        <w:spacing w:line="50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1.1</w:t>
      </w:r>
      <w:r w:rsidRPr="009F5318">
        <w:rPr>
          <w:rFonts w:ascii="宋体" w:eastAsia="宋体" w:hAnsi="宋体" w:cs="Times New Roman" w:hint="eastAsia"/>
          <w:sz w:val="24"/>
          <w:szCs w:val="24"/>
        </w:rPr>
        <w:t xml:space="preserve"> 统计学简史与定义</w:t>
      </w:r>
    </w:p>
    <w:p w14:paraId="387A3EF2" w14:textId="77777777" w:rsidR="009F5318" w:rsidRPr="009F5318" w:rsidRDefault="009F5318" w:rsidP="009F5318">
      <w:pPr>
        <w:adjustRightInd w:val="0"/>
        <w:snapToGrid w:val="0"/>
        <w:spacing w:line="500" w:lineRule="exact"/>
        <w:ind w:firstLine="480"/>
        <w:rPr>
          <w:rFonts w:ascii="宋体" w:eastAsia="宋体" w:hAnsi="宋体" w:cs="Times New Roman"/>
          <w:sz w:val="24"/>
          <w:szCs w:val="24"/>
        </w:rPr>
      </w:pPr>
      <w:r w:rsidRPr="009F5318">
        <w:rPr>
          <w:rFonts w:ascii="宋体" w:eastAsia="宋体" w:hAnsi="宋体" w:cs="Times New Roman"/>
          <w:sz w:val="24"/>
          <w:szCs w:val="24"/>
        </w:rPr>
        <w:t>1.2</w:t>
      </w:r>
      <w:r w:rsidRPr="009F5318">
        <w:rPr>
          <w:rFonts w:ascii="宋体" w:eastAsia="宋体" w:hAnsi="宋体" w:cs="Times New Roman" w:hint="eastAsia"/>
          <w:sz w:val="24"/>
          <w:szCs w:val="24"/>
        </w:rPr>
        <w:t xml:space="preserve"> 统计学的几个基本概念</w:t>
      </w:r>
    </w:p>
    <w:p w14:paraId="44CDADCB" w14:textId="77777777" w:rsidR="009F5318" w:rsidRPr="009F5318" w:rsidRDefault="009F5318" w:rsidP="009F5318">
      <w:pPr>
        <w:spacing w:line="440" w:lineRule="exact"/>
        <w:ind w:firstLineChars="200" w:firstLine="482"/>
        <w:rPr>
          <w:rFonts w:ascii="宋体" w:eastAsia="宋体" w:hAnsi="宋体" w:cs="Times New Roman"/>
          <w:b/>
          <w:sz w:val="24"/>
          <w:szCs w:val="24"/>
        </w:rPr>
      </w:pPr>
      <w:r w:rsidRPr="009F5318">
        <w:rPr>
          <w:rFonts w:ascii="宋体" w:eastAsia="宋体" w:hAnsi="宋体" w:cs="Times New Roman" w:hint="eastAsia"/>
          <w:b/>
          <w:sz w:val="24"/>
          <w:szCs w:val="24"/>
        </w:rPr>
        <w:t>【重点】</w:t>
      </w:r>
    </w:p>
    <w:p w14:paraId="21912375"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必然事件、随机事件的定义；</w:t>
      </w:r>
    </w:p>
    <w:p w14:paraId="580A09C2"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概率的定义与性质；</w:t>
      </w:r>
    </w:p>
    <w:p w14:paraId="1425318B"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lastRenderedPageBreak/>
        <w:t>3. 总体与样本的区别与联系；</w:t>
      </w:r>
    </w:p>
    <w:p w14:paraId="71EA61B5"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 数据与变量的定义、类型、相互关系；</w:t>
      </w:r>
    </w:p>
    <w:p w14:paraId="47B35025"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5. 文献中的数据来源；</w:t>
      </w:r>
    </w:p>
    <w:p w14:paraId="45166ACA"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 观测值特征描述的三个方面；</w:t>
      </w:r>
    </w:p>
    <w:p w14:paraId="080BAEF0"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7. 均值、中位数、众数的定义与特点；</w:t>
      </w:r>
    </w:p>
    <w:p w14:paraId="4342E1B6"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8. 方差、标准差、变异系数的定义、计算公式与应用。</w:t>
      </w:r>
    </w:p>
    <w:p w14:paraId="77D9E99E" w14:textId="77777777" w:rsidR="009F5318" w:rsidRPr="009F5318" w:rsidRDefault="009F5318" w:rsidP="009F5318">
      <w:pPr>
        <w:spacing w:line="440" w:lineRule="exact"/>
        <w:ind w:firstLineChars="200" w:firstLine="482"/>
        <w:rPr>
          <w:rFonts w:ascii="宋体" w:eastAsia="宋体" w:hAnsi="宋体" w:cs="Times New Roman"/>
          <w:b/>
          <w:sz w:val="24"/>
          <w:szCs w:val="24"/>
        </w:rPr>
      </w:pPr>
      <w:r w:rsidRPr="009F5318">
        <w:rPr>
          <w:rFonts w:ascii="宋体" w:eastAsia="宋体" w:hAnsi="宋体" w:cs="Times New Roman" w:hint="eastAsia"/>
          <w:b/>
          <w:sz w:val="24"/>
          <w:szCs w:val="24"/>
        </w:rPr>
        <w:t>【难点】</w:t>
      </w:r>
    </w:p>
    <w:p w14:paraId="7DE43ED1"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w:t>
      </w:r>
      <w:r w:rsidRPr="009F5318">
        <w:rPr>
          <w:rFonts w:ascii="宋体" w:eastAsia="宋体" w:hAnsi="宋体" w:cs="Times New Roman"/>
          <w:sz w:val="24"/>
          <w:szCs w:val="24"/>
        </w:rPr>
        <w:t>. 总体的特征、与样本的区别与联系；</w:t>
      </w:r>
    </w:p>
    <w:p w14:paraId="384AD1D6"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w:t>
      </w:r>
      <w:r w:rsidRPr="009F5318">
        <w:rPr>
          <w:rFonts w:ascii="宋体" w:eastAsia="宋体" w:hAnsi="宋体" w:cs="Times New Roman"/>
          <w:sz w:val="24"/>
          <w:szCs w:val="24"/>
        </w:rPr>
        <w:t>. 先验概率与后验概率</w:t>
      </w:r>
      <w:r w:rsidRPr="009F5318">
        <w:rPr>
          <w:rFonts w:ascii="宋体" w:eastAsia="宋体" w:hAnsi="宋体" w:cs="Times New Roman" w:hint="eastAsia"/>
          <w:sz w:val="24"/>
          <w:szCs w:val="24"/>
        </w:rPr>
        <w:t>的理解；</w:t>
      </w:r>
    </w:p>
    <w:p w14:paraId="2960C69A"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集中位置、离散程度、偏度与峰度含义的区分；</w:t>
      </w:r>
    </w:p>
    <w:p w14:paraId="00AFBCD8"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 中位数、四分位数的理解；</w:t>
      </w:r>
    </w:p>
    <w:p w14:paraId="70EC551A"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5. 众数、中位数和均值的关系；</w:t>
      </w:r>
    </w:p>
    <w:p w14:paraId="3589ADD9"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 总体方差、总体标准差、样本方差、样本标准差计算公式的区分；</w:t>
      </w:r>
    </w:p>
    <w:p w14:paraId="7DDF3652"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7. 变异系数的理解。</w:t>
      </w:r>
    </w:p>
    <w:p w14:paraId="7733D57B"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bCs/>
          <w:sz w:val="24"/>
          <w:szCs w:val="24"/>
        </w:rPr>
        <w:t>【教学方法】</w:t>
      </w:r>
    </w:p>
    <w:p w14:paraId="1A91CCE4"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通过多媒体课件和传统教学相结合，阐明统计学简史与定义，丰富学生课程与教学的基本知识结构；</w:t>
      </w:r>
    </w:p>
    <w:p w14:paraId="666E0E62"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通过案例分析与小组讨论，培养学生运用统计学基本理论分析问题、解决问题的能力和探究意识。</w:t>
      </w:r>
    </w:p>
    <w:p w14:paraId="272AB15A"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通过案例教学、归纳比较，帮助学生理解掌握统计学的几个基本概念，突破本章的教学难点。</w:t>
      </w:r>
    </w:p>
    <w:p w14:paraId="2BE284D1"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【复习思考】</w:t>
      </w:r>
    </w:p>
    <w:p w14:paraId="2C0E0577"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观测值特征描述三个方面的区别与联系；</w:t>
      </w:r>
    </w:p>
    <w:p w14:paraId="30F48145"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描述观测值特征时，所使用的统计量应如何选择；</w:t>
      </w:r>
    </w:p>
    <w:p w14:paraId="2F100225"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变异系数的特点与应用。</w:t>
      </w:r>
    </w:p>
    <w:p w14:paraId="142F0343" w14:textId="77777777" w:rsidR="009F5318" w:rsidRPr="009F5318" w:rsidRDefault="009F5318" w:rsidP="009F5318">
      <w:pPr>
        <w:spacing w:beforeLines="50" w:before="156" w:afterLines="50" w:after="156" w:line="440" w:lineRule="exact"/>
        <w:ind w:firstLineChars="200" w:firstLine="560"/>
        <w:jc w:val="center"/>
        <w:rPr>
          <w:rFonts w:ascii="黑体" w:eastAsia="黑体" w:hAnsi="黑体" w:cs="Times New Roman"/>
          <w:sz w:val="28"/>
          <w:szCs w:val="28"/>
        </w:rPr>
      </w:pPr>
      <w:r w:rsidRPr="009F5318">
        <w:rPr>
          <w:rFonts w:ascii="黑体" w:eastAsia="黑体" w:hAnsi="黑体" w:cs="Times New Roman" w:hint="eastAsia"/>
          <w:sz w:val="28"/>
          <w:szCs w:val="28"/>
        </w:rPr>
        <w:t>第二章  描述统计</w:t>
      </w:r>
    </w:p>
    <w:p w14:paraId="6A9CCF32" w14:textId="77777777" w:rsidR="009F5318" w:rsidRPr="009F5318" w:rsidRDefault="009F5318" w:rsidP="009F5318">
      <w:pPr>
        <w:adjustRightInd w:val="0"/>
        <w:snapToGrid w:val="0"/>
        <w:spacing w:line="440" w:lineRule="exact"/>
        <w:ind w:firstLineChars="200" w:firstLine="482"/>
        <w:rPr>
          <w:rFonts w:ascii="宋体" w:eastAsia="宋体" w:hAnsi="宋体" w:cs="Times New Roman"/>
          <w:b/>
          <w:sz w:val="24"/>
          <w:szCs w:val="24"/>
        </w:rPr>
      </w:pPr>
      <w:r w:rsidRPr="009F5318">
        <w:rPr>
          <w:rFonts w:ascii="宋体" w:eastAsia="宋体" w:hAnsi="宋体" w:cs="Times New Roman" w:hint="eastAsia"/>
          <w:b/>
          <w:sz w:val="24"/>
          <w:szCs w:val="24"/>
        </w:rPr>
        <w:t>【学习目标】</w:t>
      </w:r>
    </w:p>
    <w:p w14:paraId="1CC5914D"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认知类目标：掌握描述观测值的特征的</w:t>
      </w:r>
      <w:r w:rsidRPr="009F5318">
        <w:rPr>
          <w:rFonts w:ascii="宋体" w:eastAsia="宋体" w:hAnsi="宋体" w:cs="Times New Roman"/>
          <w:sz w:val="24"/>
          <w:szCs w:val="24"/>
        </w:rPr>
        <w:t>Excel</w:t>
      </w:r>
      <w:r w:rsidRPr="009F5318">
        <w:rPr>
          <w:rFonts w:ascii="宋体" w:eastAsia="宋体" w:hAnsi="宋体" w:cs="Times New Roman" w:hint="eastAsia"/>
          <w:sz w:val="24"/>
          <w:szCs w:val="24"/>
        </w:rPr>
        <w:t>函数计算公式；用</w:t>
      </w:r>
      <w:r w:rsidRPr="009F5318">
        <w:rPr>
          <w:rFonts w:ascii="宋体" w:eastAsia="宋体" w:hAnsi="宋体" w:cs="Times New Roman"/>
          <w:sz w:val="24"/>
          <w:szCs w:val="24"/>
        </w:rPr>
        <w:t>Excel</w:t>
      </w:r>
      <w:r w:rsidRPr="009F5318">
        <w:rPr>
          <w:rFonts w:ascii="宋体" w:eastAsia="宋体" w:hAnsi="宋体" w:cs="Times New Roman" w:hint="eastAsia"/>
          <w:sz w:val="24"/>
          <w:szCs w:val="24"/>
        </w:rPr>
        <w:t>软件进行描述统计的步骤；统计表的结构与绘制要求；统计图的结构与绘制要求；直方图、条形图、线图的绘制方法；用Excel软件绘制直方图、柱形图、条形图、线图。熟悉用</w:t>
      </w:r>
      <w:r w:rsidRPr="009F5318">
        <w:rPr>
          <w:rFonts w:ascii="宋体" w:eastAsia="宋体" w:hAnsi="宋体" w:cs="Times New Roman"/>
          <w:sz w:val="24"/>
          <w:szCs w:val="24"/>
        </w:rPr>
        <w:t>Excel</w:t>
      </w:r>
      <w:r w:rsidRPr="009F5318">
        <w:rPr>
          <w:rFonts w:ascii="宋体" w:eastAsia="宋体" w:hAnsi="宋体" w:cs="Times New Roman" w:hint="eastAsia"/>
          <w:sz w:val="24"/>
          <w:szCs w:val="24"/>
        </w:rPr>
        <w:t>软件进行“数据分析”功能的加载操作；用</w:t>
      </w:r>
      <w:r w:rsidRPr="009F5318">
        <w:rPr>
          <w:rFonts w:ascii="宋体" w:eastAsia="宋体" w:hAnsi="宋体" w:cs="Times New Roman"/>
          <w:sz w:val="24"/>
          <w:szCs w:val="24"/>
        </w:rPr>
        <w:t>Excel</w:t>
      </w:r>
      <w:r w:rsidRPr="009F5318">
        <w:rPr>
          <w:rFonts w:ascii="宋体" w:eastAsia="宋体" w:hAnsi="宋体" w:cs="Times New Roman" w:hint="eastAsia"/>
          <w:sz w:val="24"/>
          <w:szCs w:val="24"/>
        </w:rPr>
        <w:t>软件进行描述统计的结果</w:t>
      </w:r>
      <w:r w:rsidRPr="009F5318">
        <w:rPr>
          <w:rFonts w:ascii="宋体" w:eastAsia="宋体" w:hAnsi="宋体" w:cs="Times New Roman" w:hint="eastAsia"/>
          <w:sz w:val="24"/>
          <w:szCs w:val="24"/>
        </w:rPr>
        <w:lastRenderedPageBreak/>
        <w:t>分析；统计图的分类；</w:t>
      </w:r>
      <w:r w:rsidRPr="009F5318">
        <w:rPr>
          <w:rFonts w:ascii="宋体" w:eastAsia="宋体" w:hAnsi="宋体" w:cs="Times New Roman"/>
          <w:sz w:val="24"/>
          <w:szCs w:val="24"/>
        </w:rPr>
        <w:t>Excel</w:t>
      </w:r>
      <w:r w:rsidRPr="009F5318">
        <w:rPr>
          <w:rFonts w:ascii="宋体" w:eastAsia="宋体" w:hAnsi="宋体" w:cs="Times New Roman" w:hint="eastAsia"/>
          <w:sz w:val="24"/>
          <w:szCs w:val="24"/>
        </w:rPr>
        <w:t>软件中图表的基本类型；图表选择的常见误区；图表中的颜色运用。了解圆形图、百分比条图、半对数线图的定义与绘制方法；数据墨水比的概念；最大化数据墨水比的操作方法。</w:t>
      </w:r>
    </w:p>
    <w:p w14:paraId="6263EC2C"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过程与方法类目标：</w:t>
      </w:r>
      <w:r w:rsidRPr="009F5318">
        <w:rPr>
          <w:rFonts w:ascii="宋体" w:eastAsia="宋体" w:hAnsi="宋体" w:cs="Times New Roman"/>
          <w:sz w:val="24"/>
          <w:szCs w:val="24"/>
        </w:rPr>
        <w:t>提高学生运用统计学软件呈现实验数据的能力。</w:t>
      </w:r>
    </w:p>
    <w:p w14:paraId="2E682C7A"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 xml:space="preserve">3. </w:t>
      </w:r>
      <w:r w:rsidRPr="009F5318">
        <w:rPr>
          <w:rFonts w:ascii="宋体" w:eastAsia="宋体" w:hAnsi="宋体" w:cs="Times New Roman" w:hint="eastAsia"/>
          <w:sz w:val="24"/>
          <w:szCs w:val="24"/>
        </w:rPr>
        <w:t>情感、态度、价值观类目标：能够根据描述统计的要求，本着实事求是的态度，客观、准确地展现药学相关实验数据。</w:t>
      </w:r>
    </w:p>
    <w:p w14:paraId="6D7F0BA6" w14:textId="77777777" w:rsidR="009F5318" w:rsidRPr="009F5318" w:rsidRDefault="009F5318" w:rsidP="009F5318">
      <w:pPr>
        <w:adjustRightInd w:val="0"/>
        <w:snapToGrid w:val="0"/>
        <w:spacing w:line="500" w:lineRule="exact"/>
        <w:ind w:firstLineChars="200" w:firstLine="482"/>
        <w:rPr>
          <w:rFonts w:ascii="宋体" w:eastAsia="宋体" w:hAnsi="宋体" w:cs="Times New Roman"/>
          <w:b/>
          <w:sz w:val="24"/>
          <w:szCs w:val="24"/>
        </w:rPr>
      </w:pPr>
      <w:r w:rsidRPr="009F5318">
        <w:rPr>
          <w:rFonts w:ascii="宋体" w:eastAsia="宋体" w:hAnsi="宋体" w:cs="Times New Roman" w:hint="eastAsia"/>
          <w:b/>
          <w:sz w:val="24"/>
          <w:szCs w:val="24"/>
        </w:rPr>
        <w:t>【学习内容】</w:t>
      </w:r>
    </w:p>
    <w:p w14:paraId="3DEEDC83"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2.1</w:t>
      </w:r>
      <w:r w:rsidRPr="009F5318">
        <w:rPr>
          <w:rFonts w:ascii="宋体" w:eastAsia="宋体" w:hAnsi="宋体" w:cs="Times New Roman" w:hint="eastAsia"/>
          <w:sz w:val="24"/>
          <w:szCs w:val="24"/>
        </w:rPr>
        <w:t xml:space="preserve"> 数据图解的重要性及分类</w:t>
      </w:r>
    </w:p>
    <w:p w14:paraId="0F8E5526"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2.2</w:t>
      </w:r>
      <w:r w:rsidRPr="009F5318">
        <w:rPr>
          <w:rFonts w:ascii="宋体" w:eastAsia="宋体" w:hAnsi="宋体" w:cs="Times New Roman" w:hint="eastAsia"/>
          <w:sz w:val="24"/>
          <w:szCs w:val="24"/>
        </w:rPr>
        <w:t xml:space="preserve"> 频数或频率的图解</w:t>
      </w:r>
    </w:p>
    <w:p w14:paraId="62655830"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2.3 用</w:t>
      </w:r>
      <w:r w:rsidRPr="009F5318">
        <w:rPr>
          <w:rFonts w:ascii="宋体" w:eastAsia="宋体" w:hAnsi="宋体" w:cs="Times New Roman"/>
          <w:sz w:val="24"/>
          <w:szCs w:val="24"/>
        </w:rPr>
        <w:t>Excel</w:t>
      </w:r>
      <w:r w:rsidRPr="009F5318">
        <w:rPr>
          <w:rFonts w:ascii="宋体" w:eastAsia="宋体" w:hAnsi="宋体" w:cs="Times New Roman" w:hint="eastAsia"/>
          <w:sz w:val="24"/>
          <w:szCs w:val="24"/>
        </w:rPr>
        <w:t>软件进行观测值的特征的计算和描述统计</w:t>
      </w:r>
    </w:p>
    <w:p w14:paraId="64F50AEB"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    2.4 用Excel软件绘制统计图和统计表</w:t>
      </w:r>
    </w:p>
    <w:p w14:paraId="27B0BF46"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【重点】</w:t>
      </w:r>
    </w:p>
    <w:p w14:paraId="42A6BB78"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用</w:t>
      </w:r>
      <w:r w:rsidRPr="009F5318">
        <w:rPr>
          <w:rFonts w:ascii="宋体" w:eastAsia="宋体" w:hAnsi="宋体" w:cs="Times New Roman"/>
          <w:sz w:val="24"/>
          <w:szCs w:val="24"/>
        </w:rPr>
        <w:t>Excel</w:t>
      </w:r>
      <w:r w:rsidRPr="009F5318">
        <w:rPr>
          <w:rFonts w:ascii="宋体" w:eastAsia="宋体" w:hAnsi="宋体" w:cs="Times New Roman" w:hint="eastAsia"/>
          <w:sz w:val="24"/>
          <w:szCs w:val="24"/>
        </w:rPr>
        <w:t>软件进行描述统计；</w:t>
      </w:r>
    </w:p>
    <w:p w14:paraId="1172B8AC"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统计表的绘制要求；</w:t>
      </w:r>
    </w:p>
    <w:p w14:paraId="79235C4C"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统计图的绘制要求；</w:t>
      </w:r>
    </w:p>
    <w:p w14:paraId="5C98CA31"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 直方图、条形图、线图的绘制方法；</w:t>
      </w:r>
    </w:p>
    <w:p w14:paraId="6C9199EE"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5. 图表选择的常见误区；</w:t>
      </w:r>
    </w:p>
    <w:p w14:paraId="28CB4163"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 最大化数据墨水比的操作方法；</w:t>
      </w:r>
    </w:p>
    <w:p w14:paraId="18984B9C"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7. 图表中的颜色运用；</w:t>
      </w:r>
    </w:p>
    <w:p w14:paraId="25994E94"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8. Excel软件的常用操作技巧；</w:t>
      </w:r>
    </w:p>
    <w:p w14:paraId="0568525F"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9. 用Excel软件绘制直方图、柱形图、条形图、线图。</w:t>
      </w:r>
    </w:p>
    <w:p w14:paraId="0E2CA862"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【难点】</w:t>
      </w:r>
    </w:p>
    <w:p w14:paraId="62446EF9"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统计图的分类与选择；</w:t>
      </w:r>
    </w:p>
    <w:p w14:paraId="76622936"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数据墨水比的概念与最大化数据墨水比的操作方法；</w:t>
      </w:r>
    </w:p>
    <w:p w14:paraId="2ED3E5E5"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图表中的颜色运用；</w:t>
      </w:r>
    </w:p>
    <w:p w14:paraId="12273D9D"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 用Excel软件绘制直方图、柱形图、条形图、线图的具体操作。</w:t>
      </w:r>
    </w:p>
    <w:p w14:paraId="06736517"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bCs/>
          <w:sz w:val="24"/>
          <w:szCs w:val="24"/>
        </w:rPr>
        <w:t>【教学方法】</w:t>
      </w:r>
    </w:p>
    <w:p w14:paraId="13F9C78D"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通过多媒体课件和传统教学相结合，阐明数据图解的重要性和统计图表的绘制要求，丰富学生课程与教学的基本知识结构；</w:t>
      </w:r>
    </w:p>
    <w:p w14:paraId="7069156E"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通过案例分析，归纳比较，帮助学生理解统计图表的分类，与不同类别统计图表的绘制要点。</w:t>
      </w:r>
    </w:p>
    <w:p w14:paraId="0A68196C"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lastRenderedPageBreak/>
        <w:t>3. 通过演示法，阐明Excel软件的常用操作技巧与统计图表的绘制步骤；</w:t>
      </w:r>
    </w:p>
    <w:p w14:paraId="56A3EC78"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 通过练习法，小组讨论法，培养学生正确选择统计图表的类型，绘制与设计统计图表的能力。</w:t>
      </w:r>
    </w:p>
    <w:p w14:paraId="69B3A630"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【复习思考】</w:t>
      </w:r>
    </w:p>
    <w:p w14:paraId="2BFB5D2D"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如何选择统计图表的类型，才能完整、准确地展示实验数据；</w:t>
      </w:r>
    </w:p>
    <w:p w14:paraId="653243BD"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如何Excel软件，绘制出美观、得体的统计图。</w:t>
      </w:r>
    </w:p>
    <w:p w14:paraId="545D92EF" w14:textId="77777777" w:rsidR="009F5318" w:rsidRPr="009F5318" w:rsidRDefault="009F5318" w:rsidP="009F5318">
      <w:pPr>
        <w:spacing w:beforeLines="50" w:before="156" w:afterLines="50" w:after="156" w:line="440" w:lineRule="exact"/>
        <w:ind w:firstLineChars="200" w:firstLine="560"/>
        <w:jc w:val="center"/>
        <w:rPr>
          <w:rFonts w:ascii="黑体" w:eastAsia="黑体" w:hAnsi="黑体" w:cs="Times New Roman"/>
          <w:sz w:val="28"/>
          <w:szCs w:val="28"/>
        </w:rPr>
      </w:pPr>
      <w:r w:rsidRPr="009F5318">
        <w:rPr>
          <w:rFonts w:ascii="黑体" w:eastAsia="黑体" w:hAnsi="黑体" w:cs="Times New Roman"/>
          <w:sz w:val="28"/>
          <w:szCs w:val="28"/>
        </w:rPr>
        <w:t xml:space="preserve">第三章  </w:t>
      </w:r>
      <w:r w:rsidRPr="009F5318">
        <w:rPr>
          <w:rFonts w:ascii="黑体" w:eastAsia="黑体" w:hAnsi="黑体" w:cs="Times New Roman" w:hint="eastAsia"/>
          <w:sz w:val="28"/>
          <w:szCs w:val="28"/>
        </w:rPr>
        <w:t>数据的误差叠加与处理</w:t>
      </w:r>
    </w:p>
    <w:p w14:paraId="24DABC88" w14:textId="77777777" w:rsidR="009F5318" w:rsidRPr="009F5318" w:rsidRDefault="009F5318" w:rsidP="009F5318">
      <w:pPr>
        <w:adjustRightInd w:val="0"/>
        <w:snapToGrid w:val="0"/>
        <w:spacing w:line="440" w:lineRule="exact"/>
        <w:ind w:firstLineChars="200" w:firstLine="482"/>
        <w:rPr>
          <w:rFonts w:ascii="宋体" w:eastAsia="宋体" w:hAnsi="宋体" w:cs="Times New Roman"/>
          <w:b/>
          <w:sz w:val="24"/>
          <w:szCs w:val="24"/>
        </w:rPr>
      </w:pPr>
      <w:r w:rsidRPr="009F5318">
        <w:rPr>
          <w:rFonts w:ascii="宋体" w:eastAsia="宋体" w:hAnsi="宋体" w:cs="Times New Roman" w:hint="eastAsia"/>
          <w:b/>
          <w:sz w:val="24"/>
          <w:szCs w:val="24"/>
        </w:rPr>
        <w:t>【学习目标】</w:t>
      </w:r>
    </w:p>
    <w:p w14:paraId="767F81D9"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认知类目标：掌握误差、相对误差、偏差、相对偏差的区别与计算；相对偏差、相对标准偏差、标准差、标准误的区别；系统误差、随机误差的定义、产生原因与减免方法；准确度、精密度的概念、衡量指标、相互关系；有效数字的定义、修约与运算规则；</w:t>
      </w:r>
      <w:proofErr w:type="gramStart"/>
      <w:r w:rsidRPr="009F5318">
        <w:rPr>
          <w:rFonts w:ascii="宋体" w:eastAsia="宋体" w:hAnsi="宋体" w:cs="Times New Roman" w:hint="eastAsia"/>
          <w:sz w:val="24"/>
          <w:szCs w:val="24"/>
        </w:rPr>
        <w:t>逸出值</w:t>
      </w:r>
      <w:proofErr w:type="gramEnd"/>
      <w:r w:rsidRPr="009F5318">
        <w:rPr>
          <w:rFonts w:ascii="宋体" w:eastAsia="宋体" w:hAnsi="宋体" w:cs="Times New Roman" w:hint="eastAsia"/>
          <w:sz w:val="24"/>
          <w:szCs w:val="24"/>
        </w:rPr>
        <w:t>的</w:t>
      </w:r>
      <w:r w:rsidRPr="009F5318">
        <w:rPr>
          <w:rFonts w:ascii="宋体" w:eastAsia="宋体" w:hAnsi="宋体" w:cs="Times New Roman"/>
          <w:i/>
          <w:sz w:val="24"/>
          <w:szCs w:val="24"/>
        </w:rPr>
        <w:t>Q</w:t>
      </w:r>
      <w:r w:rsidRPr="009F5318">
        <w:rPr>
          <w:rFonts w:ascii="宋体" w:eastAsia="宋体" w:hAnsi="宋体" w:cs="Times New Roman" w:hint="eastAsia"/>
          <w:sz w:val="24"/>
          <w:szCs w:val="24"/>
        </w:rPr>
        <w:t>检验。熟悉对照试验中对照的类型选择方法；系统误差、随机误差的特征；回收率试验的定义与分类；</w:t>
      </w:r>
      <w:r w:rsidRPr="009F5318">
        <w:rPr>
          <w:rFonts w:ascii="宋体" w:eastAsia="宋体" w:hAnsi="宋体" w:cs="Times New Roman"/>
          <w:sz w:val="24"/>
          <w:szCs w:val="24"/>
        </w:rPr>
        <w:t>可靠数字、欠准数字的定义</w:t>
      </w:r>
      <w:r w:rsidRPr="009F5318">
        <w:rPr>
          <w:rFonts w:ascii="宋体" w:eastAsia="宋体" w:hAnsi="宋体" w:cs="Times New Roman" w:hint="eastAsia"/>
          <w:sz w:val="24"/>
          <w:szCs w:val="24"/>
        </w:rPr>
        <w:t>；逸出值（异常数据）的定义、产生原因；</w:t>
      </w:r>
      <w:proofErr w:type="gramStart"/>
      <w:r w:rsidRPr="009F5318">
        <w:rPr>
          <w:rFonts w:ascii="宋体" w:eastAsia="宋体" w:hAnsi="宋体" w:cs="Times New Roman" w:hint="eastAsia"/>
          <w:sz w:val="24"/>
          <w:szCs w:val="24"/>
        </w:rPr>
        <w:t>逸出值</w:t>
      </w:r>
      <w:proofErr w:type="gramEnd"/>
      <w:r w:rsidRPr="009F5318">
        <w:rPr>
          <w:rFonts w:ascii="宋体" w:eastAsia="宋体" w:hAnsi="宋体" w:cs="Times New Roman" w:hint="eastAsia"/>
          <w:sz w:val="24"/>
          <w:szCs w:val="24"/>
        </w:rPr>
        <w:t>的格鲁布斯检验法（</w:t>
      </w:r>
      <w:r w:rsidRPr="009F5318">
        <w:rPr>
          <w:rFonts w:ascii="宋体" w:eastAsia="宋体" w:hAnsi="宋体" w:cs="Times New Roman"/>
          <w:sz w:val="24"/>
          <w:szCs w:val="24"/>
        </w:rPr>
        <w:t>Grubbs</w:t>
      </w:r>
      <w:r w:rsidRPr="009F5318">
        <w:rPr>
          <w:rFonts w:ascii="宋体" w:eastAsia="宋体" w:hAnsi="宋体" w:cs="Times New Roman" w:hint="eastAsia"/>
          <w:sz w:val="24"/>
          <w:szCs w:val="24"/>
        </w:rPr>
        <w:t>准则）；回收率的计算公式与试验操作中的注意事项；观测误差对计算结果的影响；</w:t>
      </w:r>
      <w:r w:rsidRPr="009F5318">
        <w:rPr>
          <w:rFonts w:ascii="宋体" w:eastAsia="宋体" w:hAnsi="宋体" w:cs="Times New Roman"/>
          <w:sz w:val="24"/>
          <w:szCs w:val="24"/>
        </w:rPr>
        <w:t>数据的编码变换</w:t>
      </w:r>
      <w:r w:rsidRPr="009F5318">
        <w:rPr>
          <w:rFonts w:ascii="宋体" w:eastAsia="宋体" w:hAnsi="宋体" w:cs="Times New Roman" w:hint="eastAsia"/>
          <w:sz w:val="24"/>
          <w:szCs w:val="24"/>
        </w:rPr>
        <w:t>；</w:t>
      </w:r>
      <w:r w:rsidRPr="009F5318">
        <w:rPr>
          <w:rFonts w:ascii="宋体" w:eastAsia="宋体" w:hAnsi="宋体" w:cs="Times New Roman"/>
          <w:sz w:val="24"/>
          <w:szCs w:val="24"/>
        </w:rPr>
        <w:t>3σ</w:t>
      </w:r>
      <w:r w:rsidRPr="009F5318">
        <w:rPr>
          <w:rFonts w:ascii="宋体" w:eastAsia="宋体" w:hAnsi="宋体" w:cs="Times New Roman" w:hint="eastAsia"/>
          <w:sz w:val="24"/>
          <w:szCs w:val="24"/>
        </w:rPr>
        <w:t>准则（</w:t>
      </w:r>
      <w:proofErr w:type="gramStart"/>
      <w:r w:rsidRPr="009F5318">
        <w:rPr>
          <w:rFonts w:ascii="宋体" w:eastAsia="宋体" w:hAnsi="宋体" w:cs="Times New Roman" w:hint="eastAsia"/>
          <w:sz w:val="24"/>
          <w:szCs w:val="24"/>
        </w:rPr>
        <w:t>莱</w:t>
      </w:r>
      <w:proofErr w:type="gramEnd"/>
      <w:r w:rsidRPr="009F5318">
        <w:rPr>
          <w:rFonts w:ascii="宋体" w:eastAsia="宋体" w:hAnsi="宋体" w:cs="Times New Roman" w:hint="eastAsia"/>
          <w:sz w:val="24"/>
          <w:szCs w:val="24"/>
        </w:rPr>
        <w:t>依达法则）；</w:t>
      </w:r>
      <w:proofErr w:type="gramStart"/>
      <w:r w:rsidRPr="009F5318">
        <w:rPr>
          <w:rFonts w:ascii="宋体" w:eastAsia="宋体" w:hAnsi="宋体" w:cs="Times New Roman" w:hint="eastAsia"/>
          <w:sz w:val="24"/>
          <w:szCs w:val="24"/>
        </w:rPr>
        <w:t>逸出值</w:t>
      </w:r>
      <w:proofErr w:type="gramEnd"/>
      <w:r w:rsidRPr="009F5318">
        <w:rPr>
          <w:rFonts w:ascii="宋体" w:eastAsia="宋体" w:hAnsi="宋体" w:cs="Times New Roman" w:hint="eastAsia"/>
          <w:sz w:val="24"/>
          <w:szCs w:val="24"/>
        </w:rPr>
        <w:t>的</w:t>
      </w:r>
      <w:r w:rsidRPr="009F5318">
        <w:rPr>
          <w:rFonts w:ascii="宋体" w:eastAsia="宋体" w:hAnsi="宋体" w:cs="Times New Roman"/>
          <w:sz w:val="24"/>
          <w:szCs w:val="24"/>
        </w:rPr>
        <w:t>4d</w:t>
      </w:r>
      <w:r w:rsidRPr="009F5318">
        <w:rPr>
          <w:rFonts w:ascii="宋体" w:eastAsia="宋体" w:hAnsi="宋体" w:cs="Times New Roman" w:hint="eastAsia"/>
          <w:sz w:val="24"/>
          <w:szCs w:val="24"/>
        </w:rPr>
        <w:t>检验法。</w:t>
      </w:r>
    </w:p>
    <w:p w14:paraId="14A556DF"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过程与方法类目标：理解数据误差存在的客观性，能够在科学研究中正确认识误差，并采用合理的方法，客观地分析、减免实验误差。</w:t>
      </w:r>
    </w:p>
    <w:p w14:paraId="2602785D"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 xml:space="preserve">3. </w:t>
      </w:r>
      <w:r w:rsidRPr="009F5318">
        <w:rPr>
          <w:rFonts w:ascii="宋体" w:eastAsia="宋体" w:hAnsi="宋体" w:cs="Times New Roman" w:hint="eastAsia"/>
          <w:sz w:val="24"/>
          <w:szCs w:val="24"/>
        </w:rPr>
        <w:t>情感、态度、价值观类目标：培养学生科学、严谨的数据运算习惯，避免主观地改动实验数据，准确剔除过失数据。</w:t>
      </w:r>
    </w:p>
    <w:p w14:paraId="47D048F9" w14:textId="77777777" w:rsidR="009F5318" w:rsidRPr="009F5318" w:rsidRDefault="009F5318" w:rsidP="009F5318">
      <w:pPr>
        <w:adjustRightInd w:val="0"/>
        <w:snapToGrid w:val="0"/>
        <w:spacing w:line="500" w:lineRule="exact"/>
        <w:ind w:firstLineChars="200" w:firstLine="482"/>
        <w:rPr>
          <w:rFonts w:ascii="宋体" w:eastAsia="宋体" w:hAnsi="宋体" w:cs="Times New Roman"/>
          <w:b/>
          <w:sz w:val="24"/>
          <w:szCs w:val="24"/>
        </w:rPr>
      </w:pPr>
      <w:r w:rsidRPr="009F5318">
        <w:rPr>
          <w:rFonts w:ascii="宋体" w:eastAsia="宋体" w:hAnsi="宋体" w:cs="Times New Roman" w:hint="eastAsia"/>
          <w:b/>
          <w:sz w:val="24"/>
          <w:szCs w:val="24"/>
        </w:rPr>
        <w:t>【学习内容】</w:t>
      </w:r>
    </w:p>
    <w:p w14:paraId="1C8C5359"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w:t>
      </w:r>
      <w:r w:rsidRPr="009F5318">
        <w:rPr>
          <w:rFonts w:ascii="宋体" w:eastAsia="宋体" w:hAnsi="宋体" w:cs="Times New Roman"/>
          <w:sz w:val="24"/>
          <w:szCs w:val="24"/>
        </w:rPr>
        <w:t>.1</w:t>
      </w:r>
      <w:r w:rsidRPr="009F5318">
        <w:rPr>
          <w:rFonts w:ascii="宋体" w:eastAsia="宋体" w:hAnsi="宋体" w:cs="Times New Roman" w:hint="eastAsia"/>
          <w:sz w:val="24"/>
          <w:szCs w:val="24"/>
        </w:rPr>
        <w:t xml:space="preserve"> 误差及其种类</w:t>
      </w:r>
    </w:p>
    <w:p w14:paraId="4E663D78"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3.2 观测误差对计算结果的影响</w:t>
      </w:r>
    </w:p>
    <w:p w14:paraId="43511104"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3.3 有效数字与计算规则</w:t>
      </w:r>
    </w:p>
    <w:p w14:paraId="180699ED"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3.4 数据的编码变换</w:t>
      </w:r>
    </w:p>
    <w:p w14:paraId="504BD9E9"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3.5 </w:t>
      </w:r>
      <w:proofErr w:type="gramStart"/>
      <w:r w:rsidRPr="009F5318">
        <w:rPr>
          <w:rFonts w:ascii="宋体" w:eastAsia="宋体" w:hAnsi="宋体" w:cs="Times New Roman" w:hint="eastAsia"/>
          <w:sz w:val="24"/>
          <w:szCs w:val="24"/>
        </w:rPr>
        <w:t>逸出值</w:t>
      </w:r>
      <w:proofErr w:type="gramEnd"/>
      <w:r w:rsidRPr="009F5318">
        <w:rPr>
          <w:rFonts w:ascii="宋体" w:eastAsia="宋体" w:hAnsi="宋体" w:cs="Times New Roman" w:hint="eastAsia"/>
          <w:sz w:val="24"/>
          <w:szCs w:val="24"/>
        </w:rPr>
        <w:t>的检验</w:t>
      </w:r>
    </w:p>
    <w:p w14:paraId="08F39E0F"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【重点】</w:t>
      </w:r>
    </w:p>
    <w:p w14:paraId="050353D5"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误差、相对误差、偏差、相对偏差、相对标准偏差、标准差、标准误的区别；</w:t>
      </w:r>
    </w:p>
    <w:p w14:paraId="6BB3D690"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系统误差、随机误差的产生原因与减免方法；</w:t>
      </w:r>
    </w:p>
    <w:p w14:paraId="6D3B3763"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准确度、精密度的概念、衡量指标与相互关系；</w:t>
      </w:r>
    </w:p>
    <w:p w14:paraId="13C8D285"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lastRenderedPageBreak/>
        <w:t>4. 有效数字的计算规则；</w:t>
      </w:r>
    </w:p>
    <w:p w14:paraId="1A40EE0B"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5. </w:t>
      </w:r>
      <w:proofErr w:type="gramStart"/>
      <w:r w:rsidRPr="009F5318">
        <w:rPr>
          <w:rFonts w:ascii="宋体" w:eastAsia="宋体" w:hAnsi="宋体" w:cs="Times New Roman" w:hint="eastAsia"/>
          <w:sz w:val="24"/>
          <w:szCs w:val="24"/>
        </w:rPr>
        <w:t>逸出值</w:t>
      </w:r>
      <w:proofErr w:type="gramEnd"/>
      <w:r w:rsidRPr="009F5318">
        <w:rPr>
          <w:rFonts w:ascii="宋体" w:eastAsia="宋体" w:hAnsi="宋体" w:cs="Times New Roman" w:hint="eastAsia"/>
          <w:sz w:val="24"/>
          <w:szCs w:val="24"/>
        </w:rPr>
        <w:t>的</w:t>
      </w:r>
      <w:r w:rsidRPr="009F5318">
        <w:rPr>
          <w:rFonts w:ascii="宋体" w:eastAsia="宋体" w:hAnsi="宋体" w:cs="Times New Roman"/>
          <w:i/>
          <w:sz w:val="24"/>
          <w:szCs w:val="24"/>
        </w:rPr>
        <w:t>Q</w:t>
      </w:r>
      <w:r w:rsidRPr="009F5318">
        <w:rPr>
          <w:rFonts w:ascii="宋体" w:eastAsia="宋体" w:hAnsi="宋体" w:cs="Times New Roman" w:hint="eastAsia"/>
          <w:sz w:val="24"/>
          <w:szCs w:val="24"/>
        </w:rPr>
        <w:t>检验；</w:t>
      </w:r>
    </w:p>
    <w:p w14:paraId="47F8D88A"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6. </w:t>
      </w:r>
      <w:proofErr w:type="gramStart"/>
      <w:r w:rsidRPr="009F5318">
        <w:rPr>
          <w:rFonts w:ascii="宋体" w:eastAsia="宋体" w:hAnsi="宋体" w:cs="Times New Roman" w:hint="eastAsia"/>
          <w:sz w:val="24"/>
          <w:szCs w:val="24"/>
        </w:rPr>
        <w:t>逸出值</w:t>
      </w:r>
      <w:proofErr w:type="gramEnd"/>
      <w:r w:rsidRPr="009F5318">
        <w:rPr>
          <w:rFonts w:ascii="宋体" w:eastAsia="宋体" w:hAnsi="宋体" w:cs="Times New Roman" w:hint="eastAsia"/>
          <w:sz w:val="24"/>
          <w:szCs w:val="24"/>
        </w:rPr>
        <w:t>的格鲁布斯检验法（</w:t>
      </w:r>
      <w:r w:rsidRPr="009F5318">
        <w:rPr>
          <w:rFonts w:ascii="宋体" w:eastAsia="宋体" w:hAnsi="宋体" w:cs="Times New Roman"/>
          <w:sz w:val="24"/>
          <w:szCs w:val="24"/>
        </w:rPr>
        <w:t>Grubbs</w:t>
      </w:r>
      <w:r w:rsidRPr="009F5318">
        <w:rPr>
          <w:rFonts w:ascii="宋体" w:eastAsia="宋体" w:hAnsi="宋体" w:cs="Times New Roman" w:hint="eastAsia"/>
          <w:sz w:val="24"/>
          <w:szCs w:val="24"/>
        </w:rPr>
        <w:t>准则）。</w:t>
      </w:r>
    </w:p>
    <w:p w14:paraId="3097F6FB"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【难点】</w:t>
      </w:r>
    </w:p>
    <w:p w14:paraId="50EAD4A6"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误差、相对误差、偏差、相对偏差、相对标准偏差、标准差、标准误的区别；</w:t>
      </w:r>
    </w:p>
    <w:p w14:paraId="5BECB97F"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系统误差的产生原因与减免方法；</w:t>
      </w:r>
    </w:p>
    <w:p w14:paraId="23952B22"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对照试验中对照的类型选择方法；</w:t>
      </w:r>
    </w:p>
    <w:p w14:paraId="2CA483B4"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 准确度、精密度的衡量指标；</w:t>
      </w:r>
    </w:p>
    <w:p w14:paraId="3E5D6DC0"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5. 有效数字的计算规则；</w:t>
      </w:r>
    </w:p>
    <w:p w14:paraId="21484508" w14:textId="77777777" w:rsidR="009F5318" w:rsidRPr="009F5318" w:rsidRDefault="009F5318" w:rsidP="009F5318">
      <w:pPr>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6. </w:t>
      </w:r>
      <w:proofErr w:type="gramStart"/>
      <w:r w:rsidRPr="009F5318">
        <w:rPr>
          <w:rFonts w:ascii="宋体" w:eastAsia="宋体" w:hAnsi="宋体" w:cs="Times New Roman" w:hint="eastAsia"/>
          <w:sz w:val="24"/>
          <w:szCs w:val="24"/>
        </w:rPr>
        <w:t>逸出值</w:t>
      </w:r>
      <w:proofErr w:type="gramEnd"/>
      <w:r w:rsidRPr="009F5318">
        <w:rPr>
          <w:rFonts w:ascii="宋体" w:eastAsia="宋体" w:hAnsi="宋体" w:cs="Times New Roman" w:hint="eastAsia"/>
          <w:sz w:val="24"/>
          <w:szCs w:val="24"/>
        </w:rPr>
        <w:t>的四种检验方法。</w:t>
      </w:r>
    </w:p>
    <w:p w14:paraId="6C8CF50F"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bCs/>
          <w:sz w:val="24"/>
          <w:szCs w:val="24"/>
        </w:rPr>
        <w:t>【教学方法】</w:t>
      </w:r>
    </w:p>
    <w:p w14:paraId="76A22048"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通过多媒体课件和传统教学相结合，阐明误差及其种类、有效数字与计算规则、数据编码变换、</w:t>
      </w:r>
      <w:proofErr w:type="gramStart"/>
      <w:r w:rsidRPr="009F5318">
        <w:rPr>
          <w:rFonts w:ascii="宋体" w:eastAsia="宋体" w:hAnsi="宋体" w:cs="Times New Roman" w:hint="eastAsia"/>
          <w:sz w:val="24"/>
          <w:szCs w:val="24"/>
        </w:rPr>
        <w:t>逸出值</w:t>
      </w:r>
      <w:proofErr w:type="gramEnd"/>
      <w:r w:rsidRPr="009F5318">
        <w:rPr>
          <w:rFonts w:ascii="宋体" w:eastAsia="宋体" w:hAnsi="宋体" w:cs="Times New Roman" w:hint="eastAsia"/>
          <w:sz w:val="24"/>
          <w:szCs w:val="24"/>
        </w:rPr>
        <w:t>检验的基本原理，丰富学生课程与教学的基本知识结构；</w:t>
      </w:r>
    </w:p>
    <w:p w14:paraId="44BD5049"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通过比较法，归纳系统误差、随机误差的产生原因与减免方法，帮助学生准确理解准确度、精密度的概念、衡量指标与相互关系。</w:t>
      </w:r>
    </w:p>
    <w:p w14:paraId="2DBDCA2D"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通过案例法、练习法，阐明</w:t>
      </w:r>
      <w:proofErr w:type="gramStart"/>
      <w:r w:rsidRPr="009F5318">
        <w:rPr>
          <w:rFonts w:ascii="宋体" w:eastAsia="宋体" w:hAnsi="宋体" w:cs="Times New Roman" w:hint="eastAsia"/>
          <w:sz w:val="24"/>
          <w:szCs w:val="24"/>
        </w:rPr>
        <w:t>逸出值</w:t>
      </w:r>
      <w:proofErr w:type="gramEnd"/>
      <w:r w:rsidRPr="009F5318">
        <w:rPr>
          <w:rFonts w:ascii="宋体" w:eastAsia="宋体" w:hAnsi="宋体" w:cs="Times New Roman" w:hint="eastAsia"/>
          <w:sz w:val="24"/>
          <w:szCs w:val="24"/>
        </w:rPr>
        <w:t>的四种检验方法，突破本章的教学难点。</w:t>
      </w:r>
    </w:p>
    <w:p w14:paraId="6501E907"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【复习思考】</w:t>
      </w:r>
    </w:p>
    <w:p w14:paraId="155592BA"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如何准确区分实验过程中的过失与误差；</w:t>
      </w:r>
    </w:p>
    <w:p w14:paraId="0EEAB39A"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系统误差与偶然误差的产生原因与减免方法；</w:t>
      </w:r>
    </w:p>
    <w:p w14:paraId="5CF8E01A"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有效数字的概念；实际工作中，如何确定有效数字的位数；</w:t>
      </w:r>
    </w:p>
    <w:p w14:paraId="52BA3862"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4. </w:t>
      </w:r>
      <w:proofErr w:type="gramStart"/>
      <w:r w:rsidRPr="009F5318">
        <w:rPr>
          <w:rFonts w:ascii="宋体" w:eastAsia="宋体" w:hAnsi="宋体" w:cs="Times New Roman" w:hint="eastAsia"/>
          <w:sz w:val="24"/>
          <w:szCs w:val="24"/>
        </w:rPr>
        <w:t>逸出值</w:t>
      </w:r>
      <w:proofErr w:type="gramEnd"/>
      <w:r w:rsidRPr="009F5318">
        <w:rPr>
          <w:rFonts w:ascii="宋体" w:eastAsia="宋体" w:hAnsi="宋体" w:cs="Times New Roman" w:hint="eastAsia"/>
          <w:sz w:val="24"/>
          <w:szCs w:val="24"/>
        </w:rPr>
        <w:t>产生的原因与识别方法。</w:t>
      </w:r>
    </w:p>
    <w:p w14:paraId="4D11F9DE" w14:textId="77777777" w:rsidR="009F5318" w:rsidRPr="009F5318" w:rsidRDefault="009F5318" w:rsidP="009F5318">
      <w:pPr>
        <w:spacing w:beforeLines="50" w:before="156" w:afterLines="50" w:after="156" w:line="440" w:lineRule="exact"/>
        <w:ind w:firstLineChars="200" w:firstLine="560"/>
        <w:jc w:val="center"/>
        <w:rPr>
          <w:rFonts w:ascii="黑体" w:eastAsia="黑体" w:hAnsi="黑体" w:cs="Times New Roman"/>
          <w:sz w:val="28"/>
          <w:szCs w:val="28"/>
        </w:rPr>
      </w:pPr>
      <w:r w:rsidRPr="009F5318">
        <w:rPr>
          <w:rFonts w:ascii="黑体" w:eastAsia="黑体" w:hAnsi="黑体" w:cs="Times New Roman"/>
          <w:sz w:val="28"/>
          <w:szCs w:val="28"/>
        </w:rPr>
        <w:t>第四章  取样</w:t>
      </w:r>
    </w:p>
    <w:p w14:paraId="45AB9390" w14:textId="77777777" w:rsidR="009F5318" w:rsidRPr="009F5318" w:rsidRDefault="009F5318" w:rsidP="009F5318">
      <w:pPr>
        <w:adjustRightInd w:val="0"/>
        <w:snapToGrid w:val="0"/>
        <w:spacing w:line="440" w:lineRule="exact"/>
        <w:ind w:firstLineChars="200" w:firstLine="480"/>
        <w:rPr>
          <w:rFonts w:ascii="宋体" w:eastAsia="宋体" w:hAnsi="宋体" w:cs="Times New Roman"/>
          <w:b/>
          <w:sz w:val="24"/>
          <w:szCs w:val="24"/>
        </w:rPr>
      </w:pPr>
      <w:r w:rsidRPr="009F5318">
        <w:rPr>
          <w:rFonts w:ascii="宋体" w:eastAsia="宋体" w:hAnsi="宋体" w:cs="Times New Roman" w:hint="eastAsia"/>
          <w:sz w:val="24"/>
          <w:szCs w:val="24"/>
        </w:rPr>
        <w:t xml:space="preserve">    </w:t>
      </w:r>
      <w:r w:rsidRPr="009F5318">
        <w:rPr>
          <w:rFonts w:ascii="宋体" w:eastAsia="宋体" w:hAnsi="宋体" w:cs="Times New Roman" w:hint="eastAsia"/>
          <w:b/>
          <w:sz w:val="24"/>
          <w:szCs w:val="24"/>
        </w:rPr>
        <w:t>【学习目标】</w:t>
      </w:r>
    </w:p>
    <w:p w14:paraId="6248D3F3"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认知类目标：掌握</w:t>
      </w:r>
      <w:r w:rsidRPr="009F5318">
        <w:rPr>
          <w:rFonts w:ascii="宋体" w:eastAsia="宋体" w:hAnsi="宋体" w:cs="Times New Roman"/>
          <w:sz w:val="24"/>
          <w:szCs w:val="24"/>
        </w:rPr>
        <w:t>总体、样本、样本个数、样本容量、样本框的概念</w:t>
      </w:r>
      <w:r w:rsidRPr="009F5318">
        <w:rPr>
          <w:rFonts w:ascii="宋体" w:eastAsia="宋体" w:hAnsi="宋体" w:cs="Times New Roman" w:hint="eastAsia"/>
          <w:sz w:val="24"/>
          <w:szCs w:val="24"/>
        </w:rPr>
        <w:t>；</w:t>
      </w:r>
      <w:r w:rsidRPr="009F5318">
        <w:rPr>
          <w:rFonts w:ascii="宋体" w:eastAsia="宋体" w:hAnsi="宋体" w:cs="Times New Roman"/>
          <w:sz w:val="24"/>
          <w:szCs w:val="24"/>
        </w:rPr>
        <w:t>简单随机取样、散装物取样、集束取样的概念与原理</w:t>
      </w:r>
      <w:r w:rsidRPr="009F5318">
        <w:rPr>
          <w:rFonts w:ascii="宋体" w:eastAsia="宋体" w:hAnsi="宋体" w:cs="Times New Roman" w:hint="eastAsia"/>
          <w:sz w:val="24"/>
          <w:szCs w:val="24"/>
        </w:rPr>
        <w:t>；</w:t>
      </w:r>
      <w:r w:rsidRPr="009F5318">
        <w:rPr>
          <w:rFonts w:ascii="宋体" w:eastAsia="宋体" w:hAnsi="宋体" w:cs="Times New Roman"/>
          <w:sz w:val="24"/>
          <w:szCs w:val="24"/>
        </w:rPr>
        <w:t>标准误的概念、计算公式</w:t>
      </w:r>
      <w:r w:rsidRPr="009F5318">
        <w:rPr>
          <w:rFonts w:ascii="宋体" w:eastAsia="宋体" w:hAnsi="宋体" w:cs="Times New Roman" w:hint="eastAsia"/>
          <w:sz w:val="24"/>
          <w:szCs w:val="24"/>
        </w:rPr>
        <w:t>；</w:t>
      </w:r>
      <w:r w:rsidRPr="009F5318">
        <w:rPr>
          <w:rFonts w:ascii="宋体" w:eastAsia="宋体" w:hAnsi="宋体" w:cs="Times New Roman"/>
          <w:sz w:val="24"/>
          <w:szCs w:val="24"/>
        </w:rPr>
        <w:t>标准误与标准差的区别与联系</w:t>
      </w:r>
      <w:r w:rsidRPr="009F5318">
        <w:rPr>
          <w:rFonts w:ascii="宋体" w:eastAsia="宋体" w:hAnsi="宋体" w:cs="Times New Roman" w:hint="eastAsia"/>
          <w:sz w:val="24"/>
          <w:szCs w:val="24"/>
        </w:rPr>
        <w:t>。</w:t>
      </w:r>
      <w:r w:rsidRPr="009F5318">
        <w:rPr>
          <w:rFonts w:ascii="宋体" w:eastAsia="宋体" w:hAnsi="宋体" w:cs="Times New Roman"/>
          <w:sz w:val="24"/>
          <w:szCs w:val="24"/>
        </w:rPr>
        <w:t>熟悉样本点、点集、样本空间的概念</w:t>
      </w:r>
      <w:r w:rsidRPr="009F5318">
        <w:rPr>
          <w:rFonts w:ascii="宋体" w:eastAsia="宋体" w:hAnsi="宋体" w:cs="Times New Roman" w:hint="eastAsia"/>
          <w:sz w:val="24"/>
          <w:szCs w:val="24"/>
        </w:rPr>
        <w:t>；</w:t>
      </w:r>
      <w:r w:rsidRPr="009F5318">
        <w:rPr>
          <w:rFonts w:ascii="宋体" w:eastAsia="宋体" w:hAnsi="宋体" w:cs="Times New Roman"/>
          <w:sz w:val="24"/>
          <w:szCs w:val="24"/>
        </w:rPr>
        <w:t>分层取样、系统取样、验收取样的概念与原理</w:t>
      </w:r>
      <w:r w:rsidRPr="009F5318">
        <w:rPr>
          <w:rFonts w:ascii="宋体" w:eastAsia="宋体" w:hAnsi="宋体" w:cs="Times New Roman" w:hint="eastAsia"/>
          <w:sz w:val="24"/>
          <w:szCs w:val="24"/>
        </w:rPr>
        <w:t>；</w:t>
      </w:r>
      <w:r w:rsidRPr="009F5318">
        <w:rPr>
          <w:rFonts w:ascii="宋体" w:eastAsia="宋体" w:hAnsi="宋体" w:cs="Times New Roman"/>
          <w:sz w:val="24"/>
          <w:szCs w:val="24"/>
        </w:rPr>
        <w:t>中心极限定理的表现</w:t>
      </w:r>
      <w:r w:rsidRPr="009F5318">
        <w:rPr>
          <w:rFonts w:ascii="宋体" w:eastAsia="宋体" w:hAnsi="宋体" w:cs="Times New Roman" w:hint="eastAsia"/>
          <w:sz w:val="24"/>
          <w:szCs w:val="24"/>
        </w:rPr>
        <w:t>。</w:t>
      </w:r>
      <w:r w:rsidRPr="009F5318">
        <w:rPr>
          <w:rFonts w:ascii="宋体" w:eastAsia="宋体" w:hAnsi="宋体" w:cs="Times New Roman"/>
          <w:sz w:val="24"/>
          <w:szCs w:val="24"/>
        </w:rPr>
        <w:t>了解分层取样、系统取样、集束取样的分类</w:t>
      </w:r>
      <w:r w:rsidRPr="009F5318">
        <w:rPr>
          <w:rFonts w:ascii="宋体" w:eastAsia="宋体" w:hAnsi="宋体" w:cs="Times New Roman" w:hint="eastAsia"/>
          <w:sz w:val="24"/>
          <w:szCs w:val="24"/>
        </w:rPr>
        <w:t>；</w:t>
      </w:r>
      <w:r w:rsidRPr="009F5318">
        <w:rPr>
          <w:rFonts w:ascii="宋体" w:eastAsia="宋体" w:hAnsi="宋体" w:cs="Times New Roman"/>
          <w:sz w:val="24"/>
          <w:szCs w:val="24"/>
        </w:rPr>
        <w:t>工作特性曲线（OC曲线）</w:t>
      </w:r>
      <w:r w:rsidRPr="009F5318">
        <w:rPr>
          <w:rFonts w:ascii="宋体" w:eastAsia="宋体" w:hAnsi="宋体" w:cs="Times New Roman" w:hint="eastAsia"/>
          <w:sz w:val="24"/>
          <w:szCs w:val="24"/>
        </w:rPr>
        <w:t>；</w:t>
      </w:r>
      <w:r w:rsidRPr="009F5318">
        <w:rPr>
          <w:rFonts w:ascii="宋体" w:eastAsia="宋体" w:hAnsi="宋体" w:cs="Times New Roman"/>
          <w:sz w:val="24"/>
          <w:szCs w:val="24"/>
        </w:rPr>
        <w:t>取样误差与分析误差的叠加公式</w:t>
      </w:r>
      <w:r w:rsidRPr="009F5318">
        <w:rPr>
          <w:rFonts w:ascii="宋体" w:eastAsia="宋体" w:hAnsi="宋体" w:cs="Times New Roman" w:hint="eastAsia"/>
          <w:sz w:val="24"/>
          <w:szCs w:val="24"/>
        </w:rPr>
        <w:t>。</w:t>
      </w:r>
    </w:p>
    <w:p w14:paraId="1EF80CE9"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过程与方法类目标：熟悉统计学常用的随机抽样原理与方法，提高实际工作中进行随机取样设计的能力。</w:t>
      </w:r>
    </w:p>
    <w:p w14:paraId="2D14153F"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 xml:space="preserve">3. </w:t>
      </w:r>
      <w:r w:rsidRPr="009F5318">
        <w:rPr>
          <w:rFonts w:ascii="宋体" w:eastAsia="宋体" w:hAnsi="宋体" w:cs="Times New Roman" w:hint="eastAsia"/>
          <w:sz w:val="24"/>
          <w:szCs w:val="24"/>
        </w:rPr>
        <w:t>情感、态度、价值观类目标：理解取样误差存在的客观性，能够在科学研究</w:t>
      </w:r>
      <w:r w:rsidRPr="009F5318">
        <w:rPr>
          <w:rFonts w:ascii="宋体" w:eastAsia="宋体" w:hAnsi="宋体" w:cs="Times New Roman" w:hint="eastAsia"/>
          <w:sz w:val="24"/>
          <w:szCs w:val="24"/>
        </w:rPr>
        <w:lastRenderedPageBreak/>
        <w:t>中避免主观原因所产生的取样误差。</w:t>
      </w:r>
    </w:p>
    <w:p w14:paraId="767FDA1D" w14:textId="77777777" w:rsidR="009F5318" w:rsidRPr="009F5318" w:rsidRDefault="009F5318" w:rsidP="009F5318">
      <w:pPr>
        <w:adjustRightInd w:val="0"/>
        <w:snapToGrid w:val="0"/>
        <w:spacing w:line="500" w:lineRule="exact"/>
        <w:ind w:firstLineChars="200" w:firstLine="482"/>
        <w:rPr>
          <w:rFonts w:ascii="宋体" w:eastAsia="宋体" w:hAnsi="宋体" w:cs="Times New Roman"/>
          <w:b/>
          <w:sz w:val="24"/>
          <w:szCs w:val="24"/>
        </w:rPr>
      </w:pPr>
      <w:r w:rsidRPr="009F5318">
        <w:rPr>
          <w:rFonts w:ascii="宋体" w:eastAsia="宋体" w:hAnsi="宋体" w:cs="Times New Roman" w:hint="eastAsia"/>
          <w:b/>
          <w:sz w:val="24"/>
          <w:szCs w:val="24"/>
        </w:rPr>
        <w:t>【学习内容】</w:t>
      </w:r>
    </w:p>
    <w:p w14:paraId="21DF8EA3"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.1</w:t>
      </w:r>
      <w:r w:rsidRPr="009F5318">
        <w:rPr>
          <w:rFonts w:ascii="宋体" w:eastAsia="宋体" w:hAnsi="宋体" w:cs="Times New Roman" w:hint="eastAsia"/>
          <w:sz w:val="24"/>
          <w:szCs w:val="24"/>
        </w:rPr>
        <w:t xml:space="preserve"> 随机取样与随机数表</w:t>
      </w:r>
    </w:p>
    <w:p w14:paraId="186FBFAF"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 xml:space="preserve">2 </w:t>
      </w:r>
      <w:r w:rsidRPr="009F5318">
        <w:rPr>
          <w:rFonts w:ascii="宋体" w:eastAsia="宋体" w:hAnsi="宋体" w:cs="Times New Roman" w:hint="eastAsia"/>
          <w:sz w:val="24"/>
          <w:szCs w:val="24"/>
        </w:rPr>
        <w:t>分层取样</w:t>
      </w:r>
    </w:p>
    <w:p w14:paraId="12196675"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 xml:space="preserve">3 </w:t>
      </w:r>
      <w:r w:rsidRPr="009F5318">
        <w:rPr>
          <w:rFonts w:ascii="宋体" w:eastAsia="宋体" w:hAnsi="宋体" w:cs="Times New Roman" w:hint="eastAsia"/>
          <w:sz w:val="24"/>
          <w:szCs w:val="24"/>
        </w:rPr>
        <w:t>系统取样</w:t>
      </w:r>
    </w:p>
    <w:p w14:paraId="737C4DB9"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 xml:space="preserve">4 </w:t>
      </w:r>
      <w:r w:rsidRPr="009F5318">
        <w:rPr>
          <w:rFonts w:ascii="宋体" w:eastAsia="宋体" w:hAnsi="宋体" w:cs="Times New Roman" w:hint="eastAsia"/>
          <w:sz w:val="24"/>
          <w:szCs w:val="24"/>
        </w:rPr>
        <w:t>散装物取样</w:t>
      </w:r>
    </w:p>
    <w:p w14:paraId="02BEAD65"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 xml:space="preserve">5 </w:t>
      </w:r>
      <w:r w:rsidRPr="009F5318">
        <w:rPr>
          <w:rFonts w:ascii="宋体" w:eastAsia="宋体" w:hAnsi="宋体" w:cs="Times New Roman" w:hint="eastAsia"/>
          <w:sz w:val="24"/>
          <w:szCs w:val="24"/>
        </w:rPr>
        <w:t>验收取样</w:t>
      </w:r>
    </w:p>
    <w:p w14:paraId="680EA07B"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 xml:space="preserve">6 </w:t>
      </w:r>
      <w:r w:rsidRPr="009F5318">
        <w:rPr>
          <w:rFonts w:ascii="宋体" w:eastAsia="宋体" w:hAnsi="宋体" w:cs="Times New Roman" w:hint="eastAsia"/>
          <w:sz w:val="24"/>
          <w:szCs w:val="24"/>
        </w:rPr>
        <w:t>集束取样</w:t>
      </w:r>
    </w:p>
    <w:p w14:paraId="142F6FA5"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7</w:t>
      </w:r>
      <w:r w:rsidRPr="009F5318">
        <w:rPr>
          <w:rFonts w:ascii="宋体" w:eastAsia="宋体" w:hAnsi="宋体" w:cs="Times New Roman" w:hint="eastAsia"/>
          <w:sz w:val="24"/>
          <w:szCs w:val="24"/>
        </w:rPr>
        <w:t xml:space="preserve"> 取样误差与分析误差的叠加</w:t>
      </w:r>
    </w:p>
    <w:p w14:paraId="7ADAD911"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【重点】</w:t>
      </w:r>
    </w:p>
    <w:p w14:paraId="38C64FFF"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1. </w:t>
      </w:r>
      <w:r w:rsidRPr="009F5318">
        <w:rPr>
          <w:rFonts w:ascii="宋体" w:eastAsia="宋体" w:hAnsi="宋体" w:cs="Times New Roman"/>
          <w:sz w:val="24"/>
          <w:szCs w:val="24"/>
        </w:rPr>
        <w:t>抽样调查中的几个基本概念</w:t>
      </w:r>
      <w:r w:rsidRPr="009F5318">
        <w:rPr>
          <w:rFonts w:ascii="宋体" w:eastAsia="宋体" w:hAnsi="宋体" w:cs="Times New Roman" w:hint="eastAsia"/>
          <w:sz w:val="24"/>
          <w:szCs w:val="24"/>
        </w:rPr>
        <w:t>；</w:t>
      </w:r>
    </w:p>
    <w:p w14:paraId="2AF7B5FE"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六种取样方式的定义与原理；</w:t>
      </w:r>
    </w:p>
    <w:p w14:paraId="7C0D8844"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3. </w:t>
      </w:r>
      <w:r w:rsidRPr="009F5318">
        <w:rPr>
          <w:rFonts w:ascii="宋体" w:eastAsia="宋体" w:hAnsi="宋体" w:cs="Times New Roman"/>
          <w:sz w:val="24"/>
          <w:szCs w:val="24"/>
        </w:rPr>
        <w:t>中心极限定理</w:t>
      </w:r>
      <w:r w:rsidRPr="009F5318">
        <w:rPr>
          <w:rFonts w:ascii="宋体" w:eastAsia="宋体" w:hAnsi="宋体" w:cs="Times New Roman" w:hint="eastAsia"/>
          <w:sz w:val="24"/>
          <w:szCs w:val="24"/>
        </w:rPr>
        <w:t>；</w:t>
      </w:r>
    </w:p>
    <w:p w14:paraId="2E31A558"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 标准误的定义</w:t>
      </w:r>
      <w:r w:rsidRPr="009F5318">
        <w:rPr>
          <w:rFonts w:ascii="宋体" w:eastAsia="宋体" w:hAnsi="宋体" w:cs="Times New Roman"/>
          <w:sz w:val="24"/>
          <w:szCs w:val="24"/>
        </w:rPr>
        <w:t>、计算公式</w:t>
      </w:r>
      <w:r w:rsidRPr="009F5318">
        <w:rPr>
          <w:rFonts w:ascii="宋体" w:eastAsia="宋体" w:hAnsi="宋体" w:cs="Times New Roman" w:hint="eastAsia"/>
          <w:sz w:val="24"/>
          <w:szCs w:val="24"/>
        </w:rPr>
        <w:t>、意义；</w:t>
      </w:r>
    </w:p>
    <w:p w14:paraId="41A0F88F"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5. </w:t>
      </w:r>
      <w:r w:rsidRPr="009F5318">
        <w:rPr>
          <w:rFonts w:ascii="宋体" w:eastAsia="宋体" w:hAnsi="宋体" w:cs="Times New Roman"/>
          <w:sz w:val="24"/>
          <w:szCs w:val="24"/>
        </w:rPr>
        <w:t>标准误与标准差的区别与联系。</w:t>
      </w:r>
    </w:p>
    <w:p w14:paraId="576C6CC0"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【难点】</w:t>
      </w:r>
    </w:p>
    <w:p w14:paraId="7594E3AE"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1. </w:t>
      </w:r>
      <w:r w:rsidRPr="009F5318">
        <w:rPr>
          <w:rFonts w:ascii="宋体" w:eastAsia="宋体" w:hAnsi="宋体" w:cs="Times New Roman"/>
          <w:sz w:val="24"/>
          <w:szCs w:val="24"/>
        </w:rPr>
        <w:t>样本个数、样本容量</w:t>
      </w:r>
      <w:r w:rsidRPr="009F5318">
        <w:rPr>
          <w:rFonts w:ascii="宋体" w:eastAsia="宋体" w:hAnsi="宋体" w:cs="Times New Roman" w:hint="eastAsia"/>
          <w:sz w:val="24"/>
          <w:szCs w:val="24"/>
        </w:rPr>
        <w:t>、样本点、</w:t>
      </w:r>
      <w:proofErr w:type="gramStart"/>
      <w:r w:rsidRPr="009F5318">
        <w:rPr>
          <w:rFonts w:ascii="宋体" w:eastAsia="宋体" w:hAnsi="宋体" w:cs="Times New Roman" w:hint="eastAsia"/>
          <w:sz w:val="24"/>
          <w:szCs w:val="24"/>
        </w:rPr>
        <w:t>点集与</w:t>
      </w:r>
      <w:proofErr w:type="gramEnd"/>
      <w:r w:rsidRPr="009F5318">
        <w:rPr>
          <w:rFonts w:ascii="宋体" w:eastAsia="宋体" w:hAnsi="宋体" w:cs="Times New Roman" w:hint="eastAsia"/>
          <w:sz w:val="24"/>
          <w:szCs w:val="24"/>
        </w:rPr>
        <w:t>样本空间的理解；</w:t>
      </w:r>
    </w:p>
    <w:p w14:paraId="6BEF738F"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2. </w:t>
      </w:r>
      <w:r w:rsidRPr="009F5318">
        <w:rPr>
          <w:rFonts w:ascii="宋体" w:eastAsia="宋体" w:hAnsi="宋体" w:cs="Times New Roman"/>
          <w:sz w:val="24"/>
          <w:szCs w:val="24"/>
        </w:rPr>
        <w:t>中心极限定理</w:t>
      </w:r>
      <w:r w:rsidRPr="009F5318">
        <w:rPr>
          <w:rFonts w:ascii="宋体" w:eastAsia="宋体" w:hAnsi="宋体" w:cs="Times New Roman" w:hint="eastAsia"/>
          <w:sz w:val="24"/>
          <w:szCs w:val="24"/>
        </w:rPr>
        <w:t>的理解；</w:t>
      </w:r>
    </w:p>
    <w:p w14:paraId="5C311DC6"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标准误的理解；</w:t>
      </w:r>
    </w:p>
    <w:p w14:paraId="63501343"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4. </w:t>
      </w:r>
      <w:r w:rsidRPr="009F5318">
        <w:rPr>
          <w:rFonts w:ascii="宋体" w:eastAsia="宋体" w:hAnsi="宋体" w:cs="Times New Roman"/>
          <w:sz w:val="24"/>
          <w:szCs w:val="24"/>
        </w:rPr>
        <w:t>标准误与标准差的区别与联系</w:t>
      </w:r>
      <w:r w:rsidRPr="009F5318">
        <w:rPr>
          <w:rFonts w:ascii="宋体" w:eastAsia="宋体" w:hAnsi="宋体" w:cs="Times New Roman" w:hint="eastAsia"/>
          <w:sz w:val="24"/>
          <w:szCs w:val="24"/>
        </w:rPr>
        <w:t>。</w:t>
      </w:r>
    </w:p>
    <w:p w14:paraId="11FFE57B"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bCs/>
          <w:sz w:val="24"/>
          <w:szCs w:val="24"/>
        </w:rPr>
        <w:t>【教学方法】</w:t>
      </w:r>
    </w:p>
    <w:p w14:paraId="211367FE"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通过多媒体课件和传统教学相结合，阐明</w:t>
      </w:r>
      <w:r w:rsidRPr="009F5318">
        <w:rPr>
          <w:rFonts w:ascii="宋体" w:eastAsia="宋体" w:hAnsi="宋体" w:cs="Times New Roman"/>
          <w:sz w:val="24"/>
          <w:szCs w:val="24"/>
        </w:rPr>
        <w:t>抽样调查中的几个基本概念</w:t>
      </w:r>
      <w:r w:rsidRPr="009F5318">
        <w:rPr>
          <w:rFonts w:ascii="宋体" w:eastAsia="宋体" w:hAnsi="宋体" w:cs="Times New Roman" w:hint="eastAsia"/>
          <w:sz w:val="24"/>
          <w:szCs w:val="24"/>
        </w:rPr>
        <w:t>、六种取样方式的定义与原理、</w:t>
      </w:r>
      <w:r w:rsidRPr="009F5318">
        <w:rPr>
          <w:rFonts w:ascii="宋体" w:eastAsia="宋体" w:hAnsi="宋体" w:cs="Times New Roman"/>
          <w:sz w:val="24"/>
          <w:szCs w:val="24"/>
        </w:rPr>
        <w:t>中心极限定理的内容</w:t>
      </w:r>
      <w:r w:rsidRPr="009F5318">
        <w:rPr>
          <w:rFonts w:ascii="宋体" w:eastAsia="宋体" w:hAnsi="宋体" w:cs="Times New Roman" w:hint="eastAsia"/>
          <w:sz w:val="24"/>
          <w:szCs w:val="24"/>
        </w:rPr>
        <w:t>，丰富学生课程与教学的基本知识结构；</w:t>
      </w:r>
    </w:p>
    <w:p w14:paraId="0089399E"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通过比较法，阐明</w:t>
      </w:r>
      <w:r w:rsidRPr="009F5318">
        <w:rPr>
          <w:rFonts w:ascii="宋体" w:eastAsia="宋体" w:hAnsi="宋体" w:cs="Times New Roman"/>
          <w:sz w:val="24"/>
          <w:szCs w:val="24"/>
        </w:rPr>
        <w:t>标准误与标准差的区别与联系，</w:t>
      </w:r>
      <w:r w:rsidRPr="009F5318">
        <w:rPr>
          <w:rFonts w:ascii="宋体" w:eastAsia="宋体" w:hAnsi="宋体" w:cs="Times New Roman" w:hint="eastAsia"/>
          <w:sz w:val="24"/>
          <w:szCs w:val="24"/>
        </w:rPr>
        <w:t>突破本章的教学难点。</w:t>
      </w:r>
    </w:p>
    <w:p w14:paraId="2B741AAC"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通过案例法，帮助学生深入理解中心极限定理的含义与应用条件，增强学生对于统计学基本原理的实际应用能力。</w:t>
      </w:r>
    </w:p>
    <w:p w14:paraId="202FFBC6"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【复习思考】</w:t>
      </w:r>
    </w:p>
    <w:p w14:paraId="6BDA9E40"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不同取样方式的要求与注意事项；</w:t>
      </w:r>
    </w:p>
    <w:p w14:paraId="3CF5F21A"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中心极限定理的含义与应用；</w:t>
      </w:r>
    </w:p>
    <w:p w14:paraId="4255A071"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3. </w:t>
      </w:r>
      <w:r w:rsidRPr="009F5318">
        <w:rPr>
          <w:rFonts w:ascii="宋体" w:eastAsia="宋体" w:hAnsi="宋体" w:cs="Times New Roman"/>
          <w:sz w:val="24"/>
          <w:szCs w:val="24"/>
        </w:rPr>
        <w:t>标准误与标准差的区别与联系。</w:t>
      </w:r>
    </w:p>
    <w:p w14:paraId="69F8F673" w14:textId="77777777" w:rsidR="009F5318" w:rsidRPr="009F5318" w:rsidRDefault="009F5318" w:rsidP="009F5318">
      <w:pPr>
        <w:spacing w:beforeLines="50" w:before="156" w:afterLines="50" w:after="156" w:line="440" w:lineRule="exact"/>
        <w:ind w:firstLineChars="200" w:firstLine="560"/>
        <w:jc w:val="center"/>
        <w:rPr>
          <w:rFonts w:ascii="黑体" w:eastAsia="黑体" w:hAnsi="黑体" w:cs="Times New Roman"/>
          <w:sz w:val="28"/>
          <w:szCs w:val="28"/>
        </w:rPr>
      </w:pPr>
      <w:r w:rsidRPr="009F5318">
        <w:rPr>
          <w:rFonts w:ascii="黑体" w:eastAsia="黑体" w:hAnsi="黑体" w:cs="Times New Roman"/>
          <w:sz w:val="28"/>
          <w:szCs w:val="28"/>
        </w:rPr>
        <w:t xml:space="preserve">第五章  </w:t>
      </w:r>
      <w:r w:rsidRPr="009F5318">
        <w:rPr>
          <w:rFonts w:ascii="黑体" w:eastAsia="黑体" w:hAnsi="黑体" w:cs="Times New Roman" w:hint="eastAsia"/>
          <w:sz w:val="28"/>
          <w:szCs w:val="28"/>
        </w:rPr>
        <w:t>统计推断之一——统计估计</w:t>
      </w:r>
    </w:p>
    <w:p w14:paraId="0F138D18" w14:textId="77777777" w:rsidR="009F5318" w:rsidRPr="009F5318" w:rsidRDefault="009F5318" w:rsidP="009F5318">
      <w:pPr>
        <w:adjustRightInd w:val="0"/>
        <w:snapToGrid w:val="0"/>
        <w:spacing w:line="440" w:lineRule="exact"/>
        <w:ind w:firstLineChars="200" w:firstLine="482"/>
        <w:rPr>
          <w:rFonts w:ascii="宋体" w:eastAsia="宋体" w:hAnsi="宋体" w:cs="Times New Roman"/>
          <w:b/>
          <w:sz w:val="24"/>
          <w:szCs w:val="24"/>
        </w:rPr>
      </w:pPr>
      <w:r w:rsidRPr="009F5318">
        <w:rPr>
          <w:rFonts w:ascii="宋体" w:eastAsia="宋体" w:hAnsi="宋体" w:cs="Times New Roman" w:hint="eastAsia"/>
          <w:b/>
          <w:sz w:val="24"/>
          <w:szCs w:val="24"/>
        </w:rPr>
        <w:lastRenderedPageBreak/>
        <w:t>【学习目标】</w:t>
      </w:r>
    </w:p>
    <w:p w14:paraId="7C189A19"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认知类目标：掌握</w:t>
      </w:r>
      <w:r w:rsidRPr="009F5318">
        <w:rPr>
          <w:rFonts w:ascii="宋体" w:eastAsia="宋体" w:hAnsi="宋体" w:cs="Times New Roman"/>
          <w:sz w:val="24"/>
          <w:szCs w:val="24"/>
        </w:rPr>
        <w:t>统计估计与假设检验的目的</w:t>
      </w:r>
      <w:r w:rsidRPr="009F5318">
        <w:rPr>
          <w:rFonts w:ascii="宋体" w:eastAsia="宋体" w:hAnsi="宋体" w:cs="Times New Roman" w:hint="eastAsia"/>
          <w:sz w:val="24"/>
          <w:szCs w:val="24"/>
        </w:rPr>
        <w:t>；</w:t>
      </w:r>
      <w:r w:rsidRPr="009F5318">
        <w:rPr>
          <w:rFonts w:ascii="宋体" w:eastAsia="宋体" w:hAnsi="宋体" w:cs="Times New Roman"/>
          <w:sz w:val="24"/>
          <w:szCs w:val="24"/>
        </w:rPr>
        <w:t>点估计与区间估计的概念</w:t>
      </w:r>
      <w:r w:rsidRPr="009F5318">
        <w:rPr>
          <w:rFonts w:ascii="宋体" w:eastAsia="宋体" w:hAnsi="宋体" w:cs="Times New Roman" w:hint="eastAsia"/>
          <w:sz w:val="24"/>
          <w:szCs w:val="24"/>
        </w:rPr>
        <w:t>；</w:t>
      </w:r>
      <w:r w:rsidRPr="009F5318">
        <w:rPr>
          <w:rFonts w:ascii="宋体" w:eastAsia="宋体" w:hAnsi="宋体" w:cs="Times New Roman"/>
          <w:sz w:val="24"/>
          <w:szCs w:val="24"/>
        </w:rPr>
        <w:t>置信度、显著性水平、置信下限、置信上限的概念</w:t>
      </w:r>
      <w:r w:rsidRPr="009F5318">
        <w:rPr>
          <w:rFonts w:ascii="宋体" w:eastAsia="宋体" w:hAnsi="宋体" w:cs="Times New Roman" w:hint="eastAsia"/>
          <w:sz w:val="24"/>
          <w:szCs w:val="24"/>
        </w:rPr>
        <w:t>；</w:t>
      </w:r>
      <w:r w:rsidRPr="009F5318">
        <w:rPr>
          <w:rFonts w:ascii="宋体" w:eastAsia="宋体" w:hAnsi="宋体" w:cs="Times New Roman"/>
          <w:sz w:val="24"/>
          <w:szCs w:val="24"/>
        </w:rPr>
        <w:t>均值置信区间在不同情况下的计算方法</w:t>
      </w:r>
      <w:r w:rsidRPr="009F5318">
        <w:rPr>
          <w:rFonts w:ascii="宋体" w:eastAsia="宋体" w:hAnsi="宋体" w:cs="Times New Roman" w:hint="eastAsia"/>
          <w:sz w:val="24"/>
          <w:szCs w:val="24"/>
        </w:rPr>
        <w:t>。</w:t>
      </w:r>
      <w:r w:rsidRPr="009F5318">
        <w:rPr>
          <w:rFonts w:ascii="宋体" w:eastAsia="宋体" w:hAnsi="宋体" w:cs="Times New Roman"/>
          <w:sz w:val="24"/>
          <w:szCs w:val="24"/>
        </w:rPr>
        <w:t>了解统计推断的分类</w:t>
      </w:r>
      <w:r w:rsidRPr="009F5318">
        <w:rPr>
          <w:rFonts w:ascii="宋体" w:eastAsia="宋体" w:hAnsi="宋体" w:cs="Times New Roman" w:hint="eastAsia"/>
          <w:sz w:val="24"/>
          <w:szCs w:val="24"/>
        </w:rPr>
        <w:t>；</w:t>
      </w:r>
      <w:r w:rsidRPr="009F5318">
        <w:rPr>
          <w:rFonts w:ascii="宋体" w:eastAsia="宋体" w:hAnsi="宋体" w:cs="Times New Roman"/>
          <w:sz w:val="24"/>
          <w:szCs w:val="24"/>
        </w:rPr>
        <w:t>区间估计的必备要素；点估计的优良性原则与优缺点。</w:t>
      </w:r>
    </w:p>
    <w:p w14:paraId="56DC9CC1"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过程与方法类目标：使学生理解、运用</w:t>
      </w:r>
      <w:r w:rsidRPr="009F5318">
        <w:rPr>
          <w:rFonts w:ascii="宋体" w:eastAsia="宋体" w:hAnsi="宋体" w:cs="Times New Roman"/>
          <w:sz w:val="24"/>
          <w:szCs w:val="24"/>
        </w:rPr>
        <w:t>统计推断的原则</w:t>
      </w:r>
      <w:r w:rsidRPr="009F5318">
        <w:rPr>
          <w:rFonts w:ascii="宋体" w:eastAsia="宋体" w:hAnsi="宋体" w:cs="Times New Roman" w:hint="eastAsia"/>
          <w:sz w:val="24"/>
          <w:szCs w:val="24"/>
        </w:rPr>
        <w:t>，提高决策能力。</w:t>
      </w:r>
    </w:p>
    <w:p w14:paraId="687672B3"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 xml:space="preserve">3. </w:t>
      </w:r>
      <w:r w:rsidRPr="009F5318">
        <w:rPr>
          <w:rFonts w:ascii="宋体" w:eastAsia="宋体" w:hAnsi="宋体" w:cs="Times New Roman" w:hint="eastAsia"/>
          <w:sz w:val="24"/>
          <w:szCs w:val="24"/>
        </w:rPr>
        <w:t>情感、态度、价值观类目标：培养学生正确运用统计推断原理，获得科学实验结论的习惯。</w:t>
      </w:r>
    </w:p>
    <w:p w14:paraId="231B2E05" w14:textId="77777777" w:rsidR="009F5318" w:rsidRPr="009F5318" w:rsidRDefault="009F5318" w:rsidP="009F5318">
      <w:pPr>
        <w:adjustRightInd w:val="0"/>
        <w:snapToGrid w:val="0"/>
        <w:spacing w:line="500" w:lineRule="exact"/>
        <w:ind w:firstLineChars="200" w:firstLine="482"/>
        <w:rPr>
          <w:rFonts w:ascii="宋体" w:eastAsia="宋体" w:hAnsi="宋体" w:cs="Times New Roman"/>
          <w:b/>
          <w:sz w:val="24"/>
          <w:szCs w:val="24"/>
        </w:rPr>
      </w:pPr>
      <w:r w:rsidRPr="009F5318">
        <w:rPr>
          <w:rFonts w:ascii="宋体" w:eastAsia="宋体" w:hAnsi="宋体" w:cs="Times New Roman" w:hint="eastAsia"/>
          <w:b/>
          <w:sz w:val="24"/>
          <w:szCs w:val="24"/>
        </w:rPr>
        <w:t>【学习内容】</w:t>
      </w:r>
    </w:p>
    <w:p w14:paraId="64C14C5B"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5</w:t>
      </w:r>
      <w:r w:rsidRPr="009F5318">
        <w:rPr>
          <w:rFonts w:ascii="宋体" w:eastAsia="宋体" w:hAnsi="宋体" w:cs="Times New Roman"/>
          <w:sz w:val="24"/>
          <w:szCs w:val="24"/>
        </w:rPr>
        <w:t>.1</w:t>
      </w:r>
      <w:r w:rsidRPr="009F5318">
        <w:rPr>
          <w:rFonts w:ascii="宋体" w:eastAsia="宋体" w:hAnsi="宋体" w:cs="Times New Roman" w:hint="eastAsia"/>
          <w:sz w:val="24"/>
          <w:szCs w:val="24"/>
        </w:rPr>
        <w:t xml:space="preserve"> 统计估计的种类</w:t>
      </w:r>
    </w:p>
    <w:p w14:paraId="669B3764"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5</w:t>
      </w:r>
      <w:r w:rsidRPr="009F5318">
        <w:rPr>
          <w:rFonts w:ascii="宋体" w:eastAsia="宋体" w:hAnsi="宋体" w:cs="Times New Roman"/>
          <w:sz w:val="24"/>
          <w:szCs w:val="24"/>
        </w:rPr>
        <w:t>.</w:t>
      </w:r>
      <w:r w:rsidRPr="009F5318">
        <w:rPr>
          <w:rFonts w:ascii="宋体" w:eastAsia="宋体" w:hAnsi="宋体" w:cs="Times New Roman" w:hint="eastAsia"/>
          <w:sz w:val="24"/>
          <w:szCs w:val="24"/>
        </w:rPr>
        <w:t>2 与均值有关的统计估计</w:t>
      </w:r>
    </w:p>
    <w:p w14:paraId="6BA8EC97"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5</w:t>
      </w:r>
      <w:r w:rsidRPr="009F5318">
        <w:rPr>
          <w:rFonts w:ascii="宋体" w:eastAsia="宋体" w:hAnsi="宋体" w:cs="Times New Roman"/>
          <w:sz w:val="24"/>
          <w:szCs w:val="24"/>
        </w:rPr>
        <w:t>.</w:t>
      </w:r>
      <w:r w:rsidRPr="009F5318">
        <w:rPr>
          <w:rFonts w:ascii="宋体" w:eastAsia="宋体" w:hAnsi="宋体" w:cs="Times New Roman" w:hint="eastAsia"/>
          <w:sz w:val="24"/>
          <w:szCs w:val="24"/>
        </w:rPr>
        <w:t>3 置信区间、容许区间和预测区间</w:t>
      </w:r>
    </w:p>
    <w:p w14:paraId="4A8940F6"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5.4 用Excel软件</w:t>
      </w:r>
      <w:r w:rsidRPr="009F5318">
        <w:rPr>
          <w:rFonts w:ascii="宋体" w:eastAsia="宋体" w:hAnsi="宋体" w:cs="Times New Roman"/>
          <w:sz w:val="24"/>
          <w:szCs w:val="24"/>
        </w:rPr>
        <w:t>求</w:t>
      </w:r>
      <w:r w:rsidRPr="009F5318">
        <w:rPr>
          <w:rFonts w:ascii="宋体" w:eastAsia="宋体" w:hAnsi="宋体" w:cs="Times New Roman" w:hint="eastAsia"/>
          <w:sz w:val="24"/>
          <w:szCs w:val="24"/>
        </w:rPr>
        <w:t>总体</w:t>
      </w:r>
      <w:r w:rsidRPr="009F5318">
        <w:rPr>
          <w:rFonts w:ascii="宋体" w:eastAsia="宋体" w:hAnsi="宋体" w:cs="Times New Roman"/>
          <w:sz w:val="24"/>
          <w:szCs w:val="24"/>
        </w:rPr>
        <w:t>均值的置信区间</w:t>
      </w:r>
    </w:p>
    <w:p w14:paraId="0E8DEA9F"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【重点】</w:t>
      </w:r>
    </w:p>
    <w:p w14:paraId="756E93A6"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1. </w:t>
      </w:r>
      <w:r w:rsidRPr="009F5318">
        <w:rPr>
          <w:rFonts w:ascii="宋体" w:eastAsia="宋体" w:hAnsi="宋体" w:cs="Times New Roman"/>
          <w:sz w:val="24"/>
          <w:szCs w:val="24"/>
        </w:rPr>
        <w:t>区间估计的</w:t>
      </w:r>
      <w:r w:rsidRPr="009F5318">
        <w:rPr>
          <w:rFonts w:ascii="宋体" w:eastAsia="宋体" w:hAnsi="宋体" w:cs="Times New Roman" w:hint="eastAsia"/>
          <w:sz w:val="24"/>
          <w:szCs w:val="24"/>
        </w:rPr>
        <w:t>组成与要素（</w:t>
      </w:r>
      <w:r w:rsidRPr="009F5318">
        <w:rPr>
          <w:rFonts w:ascii="宋体" w:eastAsia="宋体" w:hAnsi="宋体" w:cs="Times New Roman"/>
          <w:sz w:val="24"/>
          <w:szCs w:val="24"/>
        </w:rPr>
        <w:t>显著性水平</w:t>
      </w:r>
      <w:r w:rsidRPr="009F5318">
        <w:rPr>
          <w:rFonts w:ascii="宋体" w:eastAsia="宋体" w:hAnsi="宋体" w:cs="Times New Roman" w:hint="eastAsia"/>
          <w:sz w:val="24"/>
          <w:szCs w:val="24"/>
        </w:rPr>
        <w:t>的选择）；</w:t>
      </w:r>
    </w:p>
    <w:p w14:paraId="2E2348DB"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2. </w:t>
      </w:r>
      <w:r w:rsidRPr="009F5318">
        <w:rPr>
          <w:rFonts w:ascii="宋体" w:eastAsia="宋体" w:hAnsi="宋体" w:cs="Times New Roman"/>
          <w:sz w:val="24"/>
          <w:szCs w:val="24"/>
        </w:rPr>
        <w:t>均值置信区间在不同情况下的计算方法</w:t>
      </w:r>
      <w:r w:rsidRPr="009F5318">
        <w:rPr>
          <w:rFonts w:ascii="宋体" w:eastAsia="宋体" w:hAnsi="宋体" w:cs="Times New Roman" w:hint="eastAsia"/>
          <w:sz w:val="24"/>
          <w:szCs w:val="24"/>
        </w:rPr>
        <w:t>；</w:t>
      </w:r>
    </w:p>
    <w:p w14:paraId="1AAED5A6"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3. </w:t>
      </w:r>
      <w:r w:rsidRPr="009F5318">
        <w:rPr>
          <w:rFonts w:ascii="宋体" w:eastAsia="宋体" w:hAnsi="宋体" w:cs="Times New Roman"/>
          <w:sz w:val="24"/>
          <w:szCs w:val="24"/>
        </w:rPr>
        <w:t>用Excel</w:t>
      </w:r>
      <w:r w:rsidRPr="009F5318">
        <w:rPr>
          <w:rFonts w:ascii="宋体" w:eastAsia="宋体" w:hAnsi="宋体" w:cs="Times New Roman" w:hint="eastAsia"/>
          <w:sz w:val="24"/>
          <w:szCs w:val="24"/>
        </w:rPr>
        <w:t>软件</w:t>
      </w:r>
      <w:r w:rsidRPr="009F5318">
        <w:rPr>
          <w:rFonts w:ascii="宋体" w:eastAsia="宋体" w:hAnsi="宋体" w:cs="Times New Roman"/>
          <w:sz w:val="24"/>
          <w:szCs w:val="24"/>
        </w:rPr>
        <w:t>求</w:t>
      </w:r>
      <w:r w:rsidRPr="009F5318">
        <w:rPr>
          <w:rFonts w:ascii="宋体" w:eastAsia="宋体" w:hAnsi="宋体" w:cs="Times New Roman" w:hint="eastAsia"/>
          <w:sz w:val="24"/>
          <w:szCs w:val="24"/>
        </w:rPr>
        <w:t>总体</w:t>
      </w:r>
      <w:r w:rsidRPr="009F5318">
        <w:rPr>
          <w:rFonts w:ascii="宋体" w:eastAsia="宋体" w:hAnsi="宋体" w:cs="Times New Roman"/>
          <w:sz w:val="24"/>
          <w:szCs w:val="24"/>
        </w:rPr>
        <w:t>均值的置信区间</w:t>
      </w:r>
      <w:r w:rsidRPr="009F5318">
        <w:rPr>
          <w:rFonts w:ascii="宋体" w:eastAsia="宋体" w:hAnsi="宋体" w:cs="Times New Roman" w:hint="eastAsia"/>
          <w:sz w:val="24"/>
          <w:szCs w:val="24"/>
        </w:rPr>
        <w:t>。</w:t>
      </w:r>
    </w:p>
    <w:p w14:paraId="4046FDD9"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【难点】</w:t>
      </w:r>
    </w:p>
    <w:p w14:paraId="7E853EAD"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置信区间的理解；</w:t>
      </w:r>
    </w:p>
    <w:p w14:paraId="58C272AD"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2. </w:t>
      </w:r>
      <w:r w:rsidRPr="009F5318">
        <w:rPr>
          <w:rFonts w:ascii="宋体" w:eastAsia="宋体" w:hAnsi="宋体" w:cs="Times New Roman"/>
          <w:sz w:val="24"/>
          <w:szCs w:val="24"/>
        </w:rPr>
        <w:t>均值置信区间在不同情况下的计算方法</w:t>
      </w:r>
      <w:r w:rsidRPr="009F5318">
        <w:rPr>
          <w:rFonts w:ascii="宋体" w:eastAsia="宋体" w:hAnsi="宋体" w:cs="Times New Roman" w:hint="eastAsia"/>
          <w:sz w:val="24"/>
          <w:szCs w:val="24"/>
        </w:rPr>
        <w:t>；</w:t>
      </w:r>
    </w:p>
    <w:p w14:paraId="36B62C31"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3. </w:t>
      </w:r>
      <w:r w:rsidRPr="009F5318">
        <w:rPr>
          <w:rFonts w:ascii="宋体" w:eastAsia="宋体" w:hAnsi="宋体" w:cs="Times New Roman"/>
          <w:sz w:val="24"/>
          <w:szCs w:val="24"/>
        </w:rPr>
        <w:t>置信区间、容许区间、预测区间的关系</w:t>
      </w:r>
      <w:r w:rsidRPr="009F5318">
        <w:rPr>
          <w:rFonts w:ascii="宋体" w:eastAsia="宋体" w:hAnsi="宋体" w:cs="Times New Roman" w:hint="eastAsia"/>
          <w:sz w:val="24"/>
          <w:szCs w:val="24"/>
        </w:rPr>
        <w:t>。</w:t>
      </w:r>
    </w:p>
    <w:p w14:paraId="05CA295F"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bCs/>
          <w:sz w:val="24"/>
          <w:szCs w:val="24"/>
        </w:rPr>
        <w:t>【教学方法】</w:t>
      </w:r>
    </w:p>
    <w:p w14:paraId="37A1E59F"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通过多媒体课件和传统教学相结合，阐明统计估计的种类、与均值有关的统计估计的基本原理，丰富学生课程与教学的基本知识结构；</w:t>
      </w:r>
    </w:p>
    <w:p w14:paraId="58F2E2DF"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通过比较法，帮助学生理解置信区间、容许区间和预测区间的区别与联系。</w:t>
      </w:r>
    </w:p>
    <w:p w14:paraId="78F6643E"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通过</w:t>
      </w:r>
      <w:r w:rsidRPr="009F5318">
        <w:rPr>
          <w:rFonts w:ascii="宋体" w:eastAsia="宋体" w:hAnsi="宋体" w:cs="Times New Roman"/>
          <w:sz w:val="24"/>
          <w:szCs w:val="24"/>
        </w:rPr>
        <w:t>案例法、</w:t>
      </w:r>
      <w:r w:rsidRPr="009F5318">
        <w:rPr>
          <w:rFonts w:ascii="宋体" w:eastAsia="宋体" w:hAnsi="宋体" w:cs="Times New Roman" w:hint="eastAsia"/>
          <w:sz w:val="24"/>
          <w:szCs w:val="24"/>
        </w:rPr>
        <w:t>演示法、练习法，帮助学生掌握Excel软件总体</w:t>
      </w:r>
      <w:r w:rsidRPr="009F5318">
        <w:rPr>
          <w:rFonts w:ascii="宋体" w:eastAsia="宋体" w:hAnsi="宋体" w:cs="Times New Roman"/>
          <w:sz w:val="24"/>
          <w:szCs w:val="24"/>
        </w:rPr>
        <w:t>均值的置信区间</w:t>
      </w:r>
      <w:r w:rsidRPr="009F5318">
        <w:rPr>
          <w:rFonts w:ascii="宋体" w:eastAsia="宋体" w:hAnsi="宋体" w:cs="Times New Roman" w:hint="eastAsia"/>
          <w:sz w:val="24"/>
          <w:szCs w:val="24"/>
        </w:rPr>
        <w:t>的操作要点，增强学生对于统计软件的实际操作用能力。</w:t>
      </w:r>
    </w:p>
    <w:p w14:paraId="1F70998F"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【复习思考】</w:t>
      </w:r>
    </w:p>
    <w:p w14:paraId="3DBFC051"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统计估计的种类与区分；</w:t>
      </w:r>
    </w:p>
    <w:p w14:paraId="0041B434"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置信区间的理解与计算。</w:t>
      </w:r>
    </w:p>
    <w:p w14:paraId="73AADB05" w14:textId="77777777" w:rsidR="009F5318" w:rsidRPr="009F5318" w:rsidRDefault="009F5318" w:rsidP="009F5318">
      <w:pPr>
        <w:spacing w:beforeLines="50" w:before="156" w:afterLines="50" w:after="156" w:line="440" w:lineRule="exact"/>
        <w:ind w:firstLineChars="200" w:firstLine="560"/>
        <w:jc w:val="center"/>
        <w:rPr>
          <w:rFonts w:ascii="黑体" w:eastAsia="黑体" w:hAnsi="黑体" w:cs="Times New Roman"/>
          <w:sz w:val="28"/>
          <w:szCs w:val="28"/>
        </w:rPr>
      </w:pPr>
      <w:r w:rsidRPr="009F5318">
        <w:rPr>
          <w:rFonts w:ascii="黑体" w:eastAsia="黑体" w:hAnsi="黑体" w:cs="Times New Roman"/>
          <w:sz w:val="28"/>
          <w:szCs w:val="28"/>
        </w:rPr>
        <w:t xml:space="preserve">第六章  </w:t>
      </w:r>
      <w:r w:rsidRPr="009F5318">
        <w:rPr>
          <w:rFonts w:ascii="黑体" w:eastAsia="黑体" w:hAnsi="黑体" w:cs="Times New Roman" w:hint="eastAsia"/>
          <w:sz w:val="28"/>
          <w:szCs w:val="28"/>
        </w:rPr>
        <w:t>统计推断之二——假设检验</w:t>
      </w:r>
    </w:p>
    <w:p w14:paraId="7CA14E7E" w14:textId="77777777" w:rsidR="009F5318" w:rsidRPr="009F5318" w:rsidRDefault="009F5318" w:rsidP="009F5318">
      <w:pPr>
        <w:adjustRightInd w:val="0"/>
        <w:snapToGrid w:val="0"/>
        <w:spacing w:line="440" w:lineRule="exact"/>
        <w:ind w:firstLineChars="200" w:firstLine="482"/>
        <w:rPr>
          <w:rFonts w:ascii="宋体" w:eastAsia="宋体" w:hAnsi="宋体" w:cs="Times New Roman"/>
          <w:b/>
          <w:sz w:val="24"/>
          <w:szCs w:val="24"/>
        </w:rPr>
      </w:pPr>
      <w:r w:rsidRPr="009F5318">
        <w:rPr>
          <w:rFonts w:ascii="宋体" w:eastAsia="宋体" w:hAnsi="宋体" w:cs="Times New Roman" w:hint="eastAsia"/>
          <w:b/>
          <w:sz w:val="24"/>
          <w:szCs w:val="24"/>
        </w:rPr>
        <w:lastRenderedPageBreak/>
        <w:t>【学习目标】</w:t>
      </w:r>
    </w:p>
    <w:p w14:paraId="534D33C7"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认知类目标：掌握假设检验的基本原理（假设检验的小概率原则）；假设检验的一般步骤；双侧检验、左侧检验、右侧检验的选择方法；确定零假设的方法；假设检验的两类错误及其关系；一个总体均值的参数的</w:t>
      </w:r>
      <w:r w:rsidRPr="009F5318">
        <w:rPr>
          <w:rFonts w:ascii="宋体" w:eastAsia="宋体" w:hAnsi="宋体" w:cs="Times New Roman"/>
          <w:i/>
          <w:sz w:val="24"/>
          <w:szCs w:val="24"/>
        </w:rPr>
        <w:t>Z</w:t>
      </w:r>
      <w:r w:rsidRPr="009F5318">
        <w:rPr>
          <w:rFonts w:ascii="宋体" w:eastAsia="宋体" w:hAnsi="宋体" w:cs="Times New Roman"/>
          <w:sz w:val="24"/>
          <w:szCs w:val="24"/>
        </w:rPr>
        <w:t>-</w:t>
      </w:r>
      <w:r w:rsidRPr="009F5318">
        <w:rPr>
          <w:rFonts w:ascii="宋体" w:eastAsia="宋体" w:hAnsi="宋体" w:cs="Times New Roman" w:hint="eastAsia"/>
          <w:sz w:val="24"/>
          <w:szCs w:val="24"/>
        </w:rPr>
        <w:t>检验与</w:t>
      </w:r>
      <w:r w:rsidRPr="009F5318">
        <w:rPr>
          <w:rFonts w:ascii="宋体" w:eastAsia="宋体" w:hAnsi="宋体" w:cs="Times New Roman"/>
          <w:i/>
          <w:sz w:val="24"/>
          <w:szCs w:val="24"/>
        </w:rPr>
        <w:t>t</w:t>
      </w:r>
      <w:r w:rsidRPr="009F5318">
        <w:rPr>
          <w:rFonts w:ascii="宋体" w:eastAsia="宋体" w:hAnsi="宋体" w:cs="Times New Roman"/>
          <w:sz w:val="24"/>
          <w:szCs w:val="24"/>
        </w:rPr>
        <w:t>-</w:t>
      </w:r>
      <w:r w:rsidRPr="009F5318">
        <w:rPr>
          <w:rFonts w:ascii="宋体" w:eastAsia="宋体" w:hAnsi="宋体" w:cs="Times New Roman" w:hint="eastAsia"/>
          <w:sz w:val="24"/>
          <w:szCs w:val="24"/>
        </w:rPr>
        <w:t>检验；两个独立样本总体均值的比较；两个配对样本总体均值的比较；两个</w:t>
      </w:r>
      <w:proofErr w:type="gramStart"/>
      <w:r w:rsidRPr="009F5318">
        <w:rPr>
          <w:rFonts w:ascii="宋体" w:eastAsia="宋体" w:hAnsi="宋体" w:cs="Times New Roman" w:hint="eastAsia"/>
          <w:sz w:val="24"/>
          <w:szCs w:val="24"/>
        </w:rPr>
        <w:t>总体方差齐性的</w:t>
      </w:r>
      <w:proofErr w:type="gramEnd"/>
      <w:r w:rsidRPr="009F5318">
        <w:rPr>
          <w:rFonts w:ascii="宋体" w:eastAsia="宋体" w:hAnsi="宋体" w:cs="Times New Roman" w:hint="eastAsia"/>
          <w:sz w:val="24"/>
          <w:szCs w:val="24"/>
        </w:rPr>
        <w:t>检验。熟悉假设检验的特点；假设检验的一些基本概念；假设检验做出正确决策和犯错误的概率归纳；用</w:t>
      </w:r>
      <w:r w:rsidRPr="009F5318">
        <w:rPr>
          <w:rFonts w:ascii="宋体" w:eastAsia="宋体" w:hAnsi="宋体" w:cs="Times New Roman"/>
          <w:sz w:val="24"/>
          <w:szCs w:val="24"/>
        </w:rPr>
        <w:t>Excel</w:t>
      </w:r>
      <w:r w:rsidRPr="009F5318">
        <w:rPr>
          <w:rFonts w:ascii="宋体" w:eastAsia="宋体" w:hAnsi="宋体" w:cs="Times New Roman" w:hint="eastAsia"/>
          <w:sz w:val="24"/>
          <w:szCs w:val="24"/>
        </w:rPr>
        <w:t>软件进行一个总体均值的检验；两个</w:t>
      </w:r>
      <w:proofErr w:type="gramStart"/>
      <w:r w:rsidRPr="009F5318">
        <w:rPr>
          <w:rFonts w:ascii="宋体" w:eastAsia="宋体" w:hAnsi="宋体" w:cs="Times New Roman" w:hint="eastAsia"/>
          <w:sz w:val="24"/>
          <w:szCs w:val="24"/>
        </w:rPr>
        <w:t>总体方差齐性的</w:t>
      </w:r>
      <w:proofErr w:type="gramEnd"/>
      <w:r w:rsidRPr="009F5318">
        <w:rPr>
          <w:rFonts w:ascii="宋体" w:eastAsia="宋体" w:hAnsi="宋体" w:cs="Times New Roman" w:hint="eastAsia"/>
          <w:sz w:val="24"/>
          <w:szCs w:val="24"/>
        </w:rPr>
        <w:t>检验与两个样本总体均值比较的关系；用</w:t>
      </w:r>
      <w:r w:rsidRPr="009F5318">
        <w:rPr>
          <w:rFonts w:ascii="宋体" w:eastAsia="宋体" w:hAnsi="宋体" w:cs="Times New Roman"/>
          <w:sz w:val="24"/>
          <w:szCs w:val="24"/>
        </w:rPr>
        <w:t>Excel</w:t>
      </w:r>
      <w:r w:rsidRPr="009F5318">
        <w:rPr>
          <w:rFonts w:ascii="宋体" w:eastAsia="宋体" w:hAnsi="宋体" w:cs="Times New Roman" w:hint="eastAsia"/>
          <w:sz w:val="24"/>
          <w:szCs w:val="24"/>
        </w:rPr>
        <w:t>软件进行两个总体均值的比较；用</w:t>
      </w:r>
      <w:r w:rsidRPr="009F5318">
        <w:rPr>
          <w:rFonts w:ascii="宋体" w:eastAsia="宋体" w:hAnsi="宋体" w:cs="Times New Roman"/>
          <w:sz w:val="24"/>
          <w:szCs w:val="24"/>
        </w:rPr>
        <w:t>Excel</w:t>
      </w:r>
      <w:r w:rsidRPr="009F5318">
        <w:rPr>
          <w:rFonts w:ascii="宋体" w:eastAsia="宋体" w:hAnsi="宋体" w:cs="Times New Roman" w:hint="eastAsia"/>
          <w:sz w:val="24"/>
          <w:szCs w:val="24"/>
        </w:rPr>
        <w:t>软件进行两个</w:t>
      </w:r>
      <w:proofErr w:type="gramStart"/>
      <w:r w:rsidRPr="009F5318">
        <w:rPr>
          <w:rFonts w:ascii="宋体" w:eastAsia="宋体" w:hAnsi="宋体" w:cs="Times New Roman" w:hint="eastAsia"/>
          <w:sz w:val="24"/>
          <w:szCs w:val="24"/>
        </w:rPr>
        <w:t>总体方差齐性的</w:t>
      </w:r>
      <w:proofErr w:type="gramEnd"/>
      <w:r w:rsidRPr="009F5318">
        <w:rPr>
          <w:rFonts w:ascii="宋体" w:eastAsia="宋体" w:hAnsi="宋体" w:cs="Times New Roman" w:hint="eastAsia"/>
          <w:sz w:val="24"/>
          <w:szCs w:val="24"/>
        </w:rPr>
        <w:t>检验。</w:t>
      </w:r>
      <w:r w:rsidRPr="009F5318">
        <w:rPr>
          <w:rFonts w:ascii="宋体" w:eastAsia="宋体" w:hAnsi="宋体" w:cs="Times New Roman"/>
          <w:sz w:val="24"/>
          <w:szCs w:val="24"/>
        </w:rPr>
        <w:t>了解</w:t>
      </w:r>
      <w:r w:rsidRPr="009F5318">
        <w:rPr>
          <w:rFonts w:ascii="宋体" w:eastAsia="宋体" w:hAnsi="宋体" w:cs="Times New Roman" w:hint="eastAsia"/>
          <w:sz w:val="24"/>
          <w:szCs w:val="24"/>
        </w:rPr>
        <w:t>假设检验的分类；</w:t>
      </w:r>
      <w:r w:rsidRPr="009F5318">
        <w:rPr>
          <w:rFonts w:ascii="宋体" w:eastAsia="宋体" w:hAnsi="宋体" w:cs="Times New Roman"/>
          <w:i/>
          <w:sz w:val="24"/>
          <w:szCs w:val="24"/>
        </w:rPr>
        <w:t>χ</w:t>
      </w:r>
      <w:r w:rsidRPr="009F5318">
        <w:rPr>
          <w:rFonts w:ascii="宋体" w:eastAsia="宋体" w:hAnsi="宋体" w:cs="Times New Roman"/>
          <w:sz w:val="24"/>
          <w:szCs w:val="24"/>
          <w:vertAlign w:val="superscript"/>
        </w:rPr>
        <w:t>2</w:t>
      </w:r>
      <w:r w:rsidRPr="009F5318">
        <w:rPr>
          <w:rFonts w:ascii="宋体" w:eastAsia="宋体" w:hAnsi="宋体" w:cs="Times New Roman" w:hint="eastAsia"/>
          <w:sz w:val="24"/>
          <w:szCs w:val="24"/>
        </w:rPr>
        <w:t>检验的功能与操作步骤</w:t>
      </w:r>
      <w:r w:rsidRPr="009F5318">
        <w:rPr>
          <w:rFonts w:ascii="宋体" w:eastAsia="宋体" w:hAnsi="宋体" w:cs="Times New Roman"/>
          <w:sz w:val="24"/>
          <w:szCs w:val="24"/>
        </w:rPr>
        <w:t>。</w:t>
      </w:r>
    </w:p>
    <w:p w14:paraId="53C84ACF"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过程与方法类目标：理解假设检验</w:t>
      </w:r>
      <w:r w:rsidRPr="009F5318">
        <w:rPr>
          <w:rFonts w:ascii="宋体" w:eastAsia="宋体" w:hAnsi="宋体" w:cs="Times New Roman"/>
          <w:sz w:val="24"/>
          <w:szCs w:val="24"/>
        </w:rPr>
        <w:t>的原则与步骤</w:t>
      </w:r>
      <w:r w:rsidRPr="009F5318">
        <w:rPr>
          <w:rFonts w:ascii="宋体" w:eastAsia="宋体" w:hAnsi="宋体" w:cs="Times New Roman" w:hint="eastAsia"/>
          <w:sz w:val="24"/>
          <w:szCs w:val="24"/>
        </w:rPr>
        <w:t>，告别主观臆断，提高所获得实验结论的准确性。</w:t>
      </w:r>
    </w:p>
    <w:p w14:paraId="45EAC828"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 xml:space="preserve">3. </w:t>
      </w:r>
      <w:r w:rsidRPr="009F5318">
        <w:rPr>
          <w:rFonts w:ascii="宋体" w:eastAsia="宋体" w:hAnsi="宋体" w:cs="Times New Roman" w:hint="eastAsia"/>
          <w:sz w:val="24"/>
          <w:szCs w:val="24"/>
        </w:rPr>
        <w:t>情感、态度、价值观类目标：透彻理解小概率原理，培养学生辩证、严谨、实事求是的科学态度。</w:t>
      </w:r>
    </w:p>
    <w:p w14:paraId="5B0D8204" w14:textId="77777777" w:rsidR="009F5318" w:rsidRPr="009F5318" w:rsidRDefault="009F5318" w:rsidP="009F5318">
      <w:pPr>
        <w:adjustRightInd w:val="0"/>
        <w:snapToGrid w:val="0"/>
        <w:spacing w:line="500" w:lineRule="exact"/>
        <w:ind w:firstLineChars="200" w:firstLine="482"/>
        <w:rPr>
          <w:rFonts w:ascii="宋体" w:eastAsia="宋体" w:hAnsi="宋体" w:cs="Times New Roman"/>
          <w:b/>
          <w:sz w:val="24"/>
          <w:szCs w:val="24"/>
        </w:rPr>
      </w:pPr>
      <w:r w:rsidRPr="009F5318">
        <w:rPr>
          <w:rFonts w:ascii="宋体" w:eastAsia="宋体" w:hAnsi="宋体" w:cs="Times New Roman" w:hint="eastAsia"/>
          <w:b/>
          <w:sz w:val="24"/>
          <w:szCs w:val="24"/>
        </w:rPr>
        <w:t>【学习内容】</w:t>
      </w:r>
    </w:p>
    <w:p w14:paraId="3041CB57"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w:t>
      </w:r>
      <w:r w:rsidRPr="009F5318">
        <w:rPr>
          <w:rFonts w:ascii="宋体" w:eastAsia="宋体" w:hAnsi="宋体" w:cs="Times New Roman"/>
          <w:sz w:val="24"/>
          <w:szCs w:val="24"/>
        </w:rPr>
        <w:t>.1</w:t>
      </w:r>
      <w:r w:rsidRPr="009F5318">
        <w:rPr>
          <w:rFonts w:ascii="宋体" w:eastAsia="宋体" w:hAnsi="宋体" w:cs="Times New Roman" w:hint="eastAsia"/>
          <w:sz w:val="24"/>
          <w:szCs w:val="24"/>
        </w:rPr>
        <w:t xml:space="preserve"> 引子</w:t>
      </w:r>
    </w:p>
    <w:p w14:paraId="6722940E"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6.2 假设检验的两类错误</w:t>
      </w:r>
    </w:p>
    <w:p w14:paraId="3496D9EB"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w:t>
      </w:r>
      <w:r w:rsidRPr="009F5318">
        <w:rPr>
          <w:rFonts w:ascii="宋体" w:eastAsia="宋体" w:hAnsi="宋体" w:cs="Times New Roman"/>
          <w:sz w:val="24"/>
          <w:szCs w:val="24"/>
        </w:rPr>
        <w:t>.3</w:t>
      </w:r>
      <w:r w:rsidRPr="009F5318">
        <w:rPr>
          <w:rFonts w:ascii="宋体" w:eastAsia="宋体" w:hAnsi="宋体" w:cs="Times New Roman" w:hint="eastAsia"/>
          <w:sz w:val="24"/>
          <w:szCs w:val="24"/>
        </w:rPr>
        <w:t xml:space="preserve"> 假设检验的一般步骤</w:t>
      </w:r>
    </w:p>
    <w:p w14:paraId="1A32D760"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w:t>
      </w:r>
      <w:r w:rsidRPr="009F5318">
        <w:rPr>
          <w:rFonts w:ascii="宋体" w:eastAsia="宋体" w:hAnsi="宋体" w:cs="Times New Roman"/>
          <w:sz w:val="24"/>
          <w:szCs w:val="24"/>
        </w:rPr>
        <w:t>.</w:t>
      </w:r>
      <w:r w:rsidRPr="009F5318">
        <w:rPr>
          <w:rFonts w:ascii="宋体" w:eastAsia="宋体" w:hAnsi="宋体" w:cs="Times New Roman" w:hint="eastAsia"/>
          <w:sz w:val="24"/>
          <w:szCs w:val="24"/>
        </w:rPr>
        <w:t>4 一个总体均值的参数检验</w:t>
      </w:r>
    </w:p>
    <w:p w14:paraId="2B7D50E6"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w:t>
      </w:r>
      <w:r w:rsidRPr="009F5318">
        <w:rPr>
          <w:rFonts w:ascii="宋体" w:eastAsia="宋体" w:hAnsi="宋体" w:cs="Times New Roman"/>
          <w:sz w:val="24"/>
          <w:szCs w:val="24"/>
        </w:rPr>
        <w:t>.</w:t>
      </w:r>
      <w:r w:rsidRPr="009F5318">
        <w:rPr>
          <w:rFonts w:ascii="宋体" w:eastAsia="宋体" w:hAnsi="宋体" w:cs="Times New Roman" w:hint="eastAsia"/>
          <w:sz w:val="24"/>
          <w:szCs w:val="24"/>
        </w:rPr>
        <w:t>5 两个总体均值的参数比较</w:t>
      </w:r>
    </w:p>
    <w:p w14:paraId="019544ED"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w:t>
      </w:r>
      <w:r w:rsidRPr="009F5318">
        <w:rPr>
          <w:rFonts w:ascii="宋体" w:eastAsia="宋体" w:hAnsi="宋体" w:cs="Times New Roman"/>
          <w:sz w:val="24"/>
          <w:szCs w:val="24"/>
        </w:rPr>
        <w:t>.</w:t>
      </w:r>
      <w:r w:rsidRPr="009F5318">
        <w:rPr>
          <w:rFonts w:ascii="宋体" w:eastAsia="宋体" w:hAnsi="宋体" w:cs="Times New Roman" w:hint="eastAsia"/>
          <w:sz w:val="24"/>
          <w:szCs w:val="24"/>
        </w:rPr>
        <w:t xml:space="preserve">6 </w:t>
      </w:r>
      <w:r w:rsidRPr="009F5318">
        <w:rPr>
          <w:rFonts w:ascii="宋体" w:eastAsia="宋体" w:hAnsi="宋体" w:cs="Times New Roman" w:hint="eastAsia"/>
          <w:i/>
          <w:sz w:val="24"/>
          <w:szCs w:val="24"/>
        </w:rPr>
        <w:t>Χ</w:t>
      </w:r>
      <w:r w:rsidRPr="009F5318">
        <w:rPr>
          <w:rFonts w:ascii="宋体" w:eastAsia="宋体" w:hAnsi="宋体" w:cs="Times New Roman"/>
          <w:sz w:val="24"/>
          <w:szCs w:val="24"/>
          <w:vertAlign w:val="superscript"/>
        </w:rPr>
        <w:t>2</w:t>
      </w:r>
      <w:r w:rsidRPr="009F5318">
        <w:rPr>
          <w:rFonts w:ascii="宋体" w:eastAsia="宋体" w:hAnsi="宋体" w:cs="Times New Roman" w:hint="eastAsia"/>
          <w:sz w:val="24"/>
          <w:szCs w:val="24"/>
        </w:rPr>
        <w:t>检验</w:t>
      </w:r>
    </w:p>
    <w:p w14:paraId="5681E282"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w:t>
      </w:r>
      <w:r w:rsidRPr="009F5318">
        <w:rPr>
          <w:rFonts w:ascii="宋体" w:eastAsia="宋体" w:hAnsi="宋体" w:cs="Times New Roman"/>
          <w:sz w:val="24"/>
          <w:szCs w:val="24"/>
        </w:rPr>
        <w:t>.</w:t>
      </w:r>
      <w:r w:rsidRPr="009F5318">
        <w:rPr>
          <w:rFonts w:ascii="宋体" w:eastAsia="宋体" w:hAnsi="宋体" w:cs="Times New Roman" w:hint="eastAsia"/>
          <w:sz w:val="24"/>
          <w:szCs w:val="24"/>
        </w:rPr>
        <w:t xml:space="preserve">7 </w:t>
      </w:r>
      <w:r w:rsidRPr="009F5318">
        <w:rPr>
          <w:rFonts w:ascii="宋体" w:eastAsia="宋体" w:hAnsi="宋体" w:cs="Times New Roman"/>
          <w:i/>
          <w:sz w:val="24"/>
          <w:szCs w:val="24"/>
        </w:rPr>
        <w:t>F</w:t>
      </w:r>
      <w:r w:rsidRPr="009F5318">
        <w:rPr>
          <w:rFonts w:ascii="宋体" w:eastAsia="宋体" w:hAnsi="宋体" w:cs="Times New Roman" w:hint="eastAsia"/>
          <w:sz w:val="24"/>
          <w:szCs w:val="24"/>
        </w:rPr>
        <w:t>检验</w:t>
      </w:r>
    </w:p>
    <w:p w14:paraId="4FDB67B9"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6.8 用Excel软件进行假设检验</w:t>
      </w:r>
    </w:p>
    <w:p w14:paraId="2F2708FD"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【重点】</w:t>
      </w:r>
    </w:p>
    <w:p w14:paraId="07909127"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假设检验的基本原理（假设检验的小概率原则）；</w:t>
      </w:r>
    </w:p>
    <w:p w14:paraId="501D4455"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假设检验的一般步骤；</w:t>
      </w:r>
    </w:p>
    <w:p w14:paraId="0DD34F71"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假设检验的两类错误及其关系；</w:t>
      </w:r>
    </w:p>
    <w:p w14:paraId="7E9B5E5D"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 一个总体均值的参数的</w:t>
      </w:r>
      <w:r w:rsidRPr="009F5318">
        <w:rPr>
          <w:rFonts w:ascii="宋体" w:eastAsia="宋体" w:hAnsi="宋体" w:cs="Times New Roman"/>
          <w:i/>
          <w:sz w:val="24"/>
          <w:szCs w:val="24"/>
        </w:rPr>
        <w:t>Z</w:t>
      </w:r>
      <w:r w:rsidRPr="009F5318">
        <w:rPr>
          <w:rFonts w:ascii="宋体" w:eastAsia="宋体" w:hAnsi="宋体" w:cs="Times New Roman"/>
          <w:sz w:val="24"/>
          <w:szCs w:val="24"/>
        </w:rPr>
        <w:t>-</w:t>
      </w:r>
      <w:r w:rsidRPr="009F5318">
        <w:rPr>
          <w:rFonts w:ascii="宋体" w:eastAsia="宋体" w:hAnsi="宋体" w:cs="Times New Roman" w:hint="eastAsia"/>
          <w:sz w:val="24"/>
          <w:szCs w:val="24"/>
        </w:rPr>
        <w:t>检验与</w:t>
      </w:r>
      <w:r w:rsidRPr="009F5318">
        <w:rPr>
          <w:rFonts w:ascii="宋体" w:eastAsia="宋体" w:hAnsi="宋体" w:cs="Times New Roman"/>
          <w:i/>
          <w:sz w:val="24"/>
          <w:szCs w:val="24"/>
        </w:rPr>
        <w:t>t</w:t>
      </w:r>
      <w:r w:rsidRPr="009F5318">
        <w:rPr>
          <w:rFonts w:ascii="宋体" w:eastAsia="宋体" w:hAnsi="宋体" w:cs="Times New Roman"/>
          <w:sz w:val="24"/>
          <w:szCs w:val="24"/>
        </w:rPr>
        <w:t>-</w:t>
      </w:r>
      <w:r w:rsidRPr="009F5318">
        <w:rPr>
          <w:rFonts w:ascii="宋体" w:eastAsia="宋体" w:hAnsi="宋体" w:cs="Times New Roman" w:hint="eastAsia"/>
          <w:sz w:val="24"/>
          <w:szCs w:val="24"/>
        </w:rPr>
        <w:t>检验；</w:t>
      </w:r>
    </w:p>
    <w:p w14:paraId="29801E75"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5. 两个独立样本的总体均值的比较；</w:t>
      </w:r>
    </w:p>
    <w:p w14:paraId="331D2DF8"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 两个配对样本的总体均值的比较；</w:t>
      </w:r>
    </w:p>
    <w:p w14:paraId="0179572B"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7. 两个</w:t>
      </w:r>
      <w:proofErr w:type="gramStart"/>
      <w:r w:rsidRPr="009F5318">
        <w:rPr>
          <w:rFonts w:ascii="宋体" w:eastAsia="宋体" w:hAnsi="宋体" w:cs="Times New Roman" w:hint="eastAsia"/>
          <w:sz w:val="24"/>
          <w:szCs w:val="24"/>
        </w:rPr>
        <w:t>总体方差齐性的</w:t>
      </w:r>
      <w:proofErr w:type="gramEnd"/>
      <w:r w:rsidRPr="009F5318">
        <w:rPr>
          <w:rFonts w:ascii="宋体" w:eastAsia="宋体" w:hAnsi="宋体" w:cs="Times New Roman" w:hint="eastAsia"/>
          <w:sz w:val="24"/>
          <w:szCs w:val="24"/>
        </w:rPr>
        <w:t>检验。</w:t>
      </w:r>
    </w:p>
    <w:p w14:paraId="2711B875"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【难点】</w:t>
      </w:r>
    </w:p>
    <w:p w14:paraId="6DDE1DF2"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lastRenderedPageBreak/>
        <w:t>1. 假设检验的基本原理（假设检验的小概率原则）；</w:t>
      </w:r>
    </w:p>
    <w:p w14:paraId="7D2FB027"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双侧检验、左侧检验、右侧检验的选择方法；</w:t>
      </w:r>
    </w:p>
    <w:p w14:paraId="2985CBAB"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假设检验的两类错误的关系；</w:t>
      </w:r>
    </w:p>
    <w:p w14:paraId="0CE33092"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 一个总体均值的检验时统计量的选择；</w:t>
      </w:r>
    </w:p>
    <w:p w14:paraId="02CB1587"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5. 根据</w:t>
      </w:r>
      <w:r w:rsidRPr="009F5318">
        <w:rPr>
          <w:rFonts w:ascii="宋体" w:eastAsia="宋体" w:hAnsi="宋体" w:cs="Times New Roman"/>
          <w:i/>
          <w:sz w:val="24"/>
          <w:szCs w:val="24"/>
        </w:rPr>
        <w:t>p</w:t>
      </w:r>
      <w:r w:rsidRPr="009F5318">
        <w:rPr>
          <w:rFonts w:ascii="宋体" w:eastAsia="宋体" w:hAnsi="宋体" w:cs="Times New Roman" w:hint="eastAsia"/>
          <w:sz w:val="24"/>
          <w:szCs w:val="24"/>
        </w:rPr>
        <w:t>值进行假设检验的原理与步骤；</w:t>
      </w:r>
    </w:p>
    <w:p w14:paraId="44059045"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 两个独立样本的假设检验时统计量的选择；</w:t>
      </w:r>
    </w:p>
    <w:p w14:paraId="247C71B3"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7. 用</w:t>
      </w:r>
      <w:r w:rsidRPr="009F5318">
        <w:rPr>
          <w:rFonts w:ascii="宋体" w:eastAsia="宋体" w:hAnsi="宋体" w:cs="Times New Roman"/>
          <w:sz w:val="24"/>
          <w:szCs w:val="24"/>
        </w:rPr>
        <w:t>Excel</w:t>
      </w:r>
      <w:r w:rsidRPr="009F5318">
        <w:rPr>
          <w:rFonts w:ascii="宋体" w:eastAsia="宋体" w:hAnsi="宋体" w:cs="Times New Roman" w:hint="eastAsia"/>
          <w:sz w:val="24"/>
          <w:szCs w:val="24"/>
        </w:rPr>
        <w:t>软件进行假设检验时临界值的读取（单侧与双侧临界值的选择）。</w:t>
      </w:r>
    </w:p>
    <w:p w14:paraId="5522A735"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bCs/>
          <w:sz w:val="24"/>
          <w:szCs w:val="24"/>
        </w:rPr>
        <w:t>【教学方法】</w:t>
      </w:r>
    </w:p>
    <w:p w14:paraId="2D758B86"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通过多媒体课件和传统教学相结合，阐明假设检验的基本原理、一般步骤、两类错误，丰富学生课程与教学的基本知识结构；</w:t>
      </w:r>
    </w:p>
    <w:p w14:paraId="11766368"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通过</w:t>
      </w:r>
      <w:r w:rsidRPr="009F5318">
        <w:rPr>
          <w:rFonts w:ascii="宋体" w:eastAsia="宋体" w:hAnsi="宋体" w:cs="Times New Roman"/>
          <w:sz w:val="24"/>
          <w:szCs w:val="24"/>
        </w:rPr>
        <w:t>案例法、</w:t>
      </w:r>
      <w:r w:rsidRPr="009F5318">
        <w:rPr>
          <w:rFonts w:ascii="宋体" w:eastAsia="宋体" w:hAnsi="宋体" w:cs="Times New Roman" w:hint="eastAsia"/>
          <w:sz w:val="24"/>
          <w:szCs w:val="24"/>
        </w:rPr>
        <w:t>演示法、练习法，阐明总体均值假设检验的原理、步骤与注意事项，增强学生下实验结论的准确力和统计软件的实际操作用能力。</w:t>
      </w:r>
    </w:p>
    <w:p w14:paraId="05D04A73"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【复习思考】</w:t>
      </w:r>
    </w:p>
    <w:p w14:paraId="22C4E410"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如何准确理解假设检验的两类错误及其关系；</w:t>
      </w:r>
    </w:p>
    <w:p w14:paraId="766DFBD2"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总体均值假设检验的分类与操作步骤。</w:t>
      </w:r>
    </w:p>
    <w:p w14:paraId="7462A876" w14:textId="77777777" w:rsidR="009F5318" w:rsidRPr="009F5318" w:rsidRDefault="009F5318" w:rsidP="009F5318">
      <w:pPr>
        <w:spacing w:beforeLines="50" w:before="156" w:afterLines="50" w:after="156" w:line="440" w:lineRule="exact"/>
        <w:ind w:firstLineChars="200" w:firstLine="560"/>
        <w:jc w:val="center"/>
        <w:rPr>
          <w:rFonts w:ascii="黑体" w:eastAsia="黑体" w:hAnsi="黑体" w:cs="Times New Roman"/>
          <w:sz w:val="28"/>
          <w:szCs w:val="28"/>
        </w:rPr>
      </w:pPr>
      <w:r w:rsidRPr="009F5318">
        <w:rPr>
          <w:rFonts w:ascii="黑体" w:eastAsia="黑体" w:hAnsi="黑体" w:cs="Times New Roman"/>
          <w:sz w:val="28"/>
          <w:szCs w:val="28"/>
        </w:rPr>
        <w:t>第七章  回归与相关</w:t>
      </w:r>
    </w:p>
    <w:p w14:paraId="07E5BCC5" w14:textId="77777777" w:rsidR="009F5318" w:rsidRPr="009F5318" w:rsidRDefault="009F5318" w:rsidP="009F5318">
      <w:pPr>
        <w:adjustRightInd w:val="0"/>
        <w:snapToGrid w:val="0"/>
        <w:spacing w:line="440" w:lineRule="exact"/>
        <w:ind w:firstLineChars="200" w:firstLine="482"/>
        <w:rPr>
          <w:rFonts w:ascii="宋体" w:eastAsia="宋体" w:hAnsi="宋体" w:cs="Times New Roman"/>
          <w:b/>
          <w:sz w:val="24"/>
          <w:szCs w:val="24"/>
        </w:rPr>
      </w:pPr>
      <w:r w:rsidRPr="009F5318">
        <w:rPr>
          <w:rFonts w:ascii="宋体" w:eastAsia="宋体" w:hAnsi="宋体" w:cs="Times New Roman" w:hint="eastAsia"/>
          <w:b/>
          <w:sz w:val="24"/>
          <w:szCs w:val="24"/>
        </w:rPr>
        <w:t>【学习目标】</w:t>
      </w:r>
    </w:p>
    <w:p w14:paraId="13877576"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认知类目标：掌握回归分析、相关分析的定义；相关系数、回归系数的定义；线性相关和回归的区别与联系；简单线性回归的</w:t>
      </w:r>
      <w:r w:rsidRPr="009F5318">
        <w:rPr>
          <w:rFonts w:ascii="宋体" w:eastAsia="宋体" w:hAnsi="宋体" w:cs="Times New Roman"/>
          <w:sz w:val="24"/>
          <w:szCs w:val="24"/>
        </w:rPr>
        <w:t>Excel</w:t>
      </w:r>
      <w:r w:rsidRPr="009F5318">
        <w:rPr>
          <w:rFonts w:ascii="宋体" w:eastAsia="宋体" w:hAnsi="宋体" w:cs="Times New Roman" w:hint="eastAsia"/>
          <w:sz w:val="24"/>
          <w:szCs w:val="24"/>
        </w:rPr>
        <w:t>操作步骤。熟悉回归系数估计的基本原理——最小二乘法；线性回归的前提假设。了解客观事物之间的关系；回归系数（</w:t>
      </w:r>
      <w:r w:rsidRPr="009F5318">
        <w:rPr>
          <w:rFonts w:ascii="宋体" w:eastAsia="宋体" w:hAnsi="宋体" w:cs="Times New Roman"/>
          <w:sz w:val="24"/>
          <w:szCs w:val="24"/>
        </w:rPr>
        <w:t>b</w:t>
      </w:r>
      <w:r w:rsidRPr="009F5318">
        <w:rPr>
          <w:rFonts w:ascii="宋体" w:eastAsia="宋体" w:hAnsi="宋体" w:cs="Times New Roman" w:hint="eastAsia"/>
          <w:sz w:val="24"/>
          <w:szCs w:val="24"/>
        </w:rPr>
        <w:t>）的假设检验；相关与回归应用的注意事项</w:t>
      </w:r>
      <w:r w:rsidRPr="009F5318">
        <w:rPr>
          <w:rFonts w:ascii="宋体" w:eastAsia="宋体" w:hAnsi="宋体" w:cs="Times New Roman"/>
          <w:sz w:val="24"/>
          <w:szCs w:val="24"/>
        </w:rPr>
        <w:t>。</w:t>
      </w:r>
    </w:p>
    <w:p w14:paraId="4EB1E391"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过程与方法类目标：理解客观事物之间数学关系的判别方法，提高判断力、洞察力，善于发现客观事物间的联系。</w:t>
      </w:r>
    </w:p>
    <w:p w14:paraId="19741841"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 xml:space="preserve">3. </w:t>
      </w:r>
      <w:r w:rsidRPr="009F5318">
        <w:rPr>
          <w:rFonts w:ascii="宋体" w:eastAsia="宋体" w:hAnsi="宋体" w:cs="Times New Roman" w:hint="eastAsia"/>
          <w:sz w:val="24"/>
          <w:szCs w:val="24"/>
        </w:rPr>
        <w:t>情感、态度、价值观类目标：通过参加“限时小测”，提高压力状态下的统筹能力、思考速度等综合素质，当遇到困难与挫折时，能够冷静思考，从容面对；</w:t>
      </w:r>
    </w:p>
    <w:p w14:paraId="15D342A4" w14:textId="77777777" w:rsidR="009F5318" w:rsidRPr="009F5318" w:rsidRDefault="009F5318" w:rsidP="009F5318">
      <w:pPr>
        <w:adjustRightInd w:val="0"/>
        <w:snapToGrid w:val="0"/>
        <w:spacing w:line="500" w:lineRule="exact"/>
        <w:ind w:firstLineChars="200" w:firstLine="482"/>
        <w:rPr>
          <w:rFonts w:ascii="宋体" w:eastAsia="宋体" w:hAnsi="宋体" w:cs="Times New Roman"/>
          <w:b/>
          <w:sz w:val="24"/>
          <w:szCs w:val="24"/>
        </w:rPr>
      </w:pPr>
      <w:r w:rsidRPr="009F5318">
        <w:rPr>
          <w:rFonts w:ascii="宋体" w:eastAsia="宋体" w:hAnsi="宋体" w:cs="Times New Roman" w:hint="eastAsia"/>
          <w:b/>
          <w:sz w:val="24"/>
          <w:szCs w:val="24"/>
        </w:rPr>
        <w:t>【学习内容】</w:t>
      </w:r>
    </w:p>
    <w:p w14:paraId="64B05CED"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7</w:t>
      </w:r>
      <w:r w:rsidRPr="009F5318">
        <w:rPr>
          <w:rFonts w:ascii="宋体" w:eastAsia="宋体" w:hAnsi="宋体" w:cs="Times New Roman"/>
          <w:sz w:val="24"/>
          <w:szCs w:val="24"/>
        </w:rPr>
        <w:t>.1</w:t>
      </w:r>
      <w:r w:rsidRPr="009F5318">
        <w:rPr>
          <w:rFonts w:ascii="宋体" w:eastAsia="宋体" w:hAnsi="宋体" w:cs="Times New Roman" w:hint="eastAsia"/>
          <w:sz w:val="24"/>
          <w:szCs w:val="24"/>
        </w:rPr>
        <w:t xml:space="preserve"> 简单线性回归</w:t>
      </w:r>
    </w:p>
    <w:p w14:paraId="5CE9D7A6"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7</w:t>
      </w:r>
      <w:r w:rsidRPr="009F5318">
        <w:rPr>
          <w:rFonts w:ascii="宋体" w:eastAsia="宋体" w:hAnsi="宋体" w:cs="Times New Roman"/>
          <w:sz w:val="24"/>
          <w:szCs w:val="24"/>
        </w:rPr>
        <w:t>.</w:t>
      </w:r>
      <w:r w:rsidRPr="009F5318">
        <w:rPr>
          <w:rFonts w:ascii="宋体" w:eastAsia="宋体" w:hAnsi="宋体" w:cs="Times New Roman" w:hint="eastAsia"/>
          <w:sz w:val="24"/>
          <w:szCs w:val="24"/>
        </w:rPr>
        <w:t>2 相关分析</w:t>
      </w:r>
    </w:p>
    <w:p w14:paraId="1202D632"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7.3 用Excel软件进行回归与相关分析</w:t>
      </w:r>
    </w:p>
    <w:p w14:paraId="11DFFC4E"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【重点】</w:t>
      </w:r>
    </w:p>
    <w:p w14:paraId="58DF0265"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lastRenderedPageBreak/>
        <w:t>1. 回归系数估计的基本原理——最小二乘法；</w:t>
      </w:r>
    </w:p>
    <w:p w14:paraId="7E6BB028"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相关系数、回归系数的含义；</w:t>
      </w:r>
    </w:p>
    <w:p w14:paraId="0451FC13"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线性相关和回归的区别与联系；</w:t>
      </w:r>
    </w:p>
    <w:p w14:paraId="58401D06"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 相关与回归应用的注意事项；</w:t>
      </w:r>
    </w:p>
    <w:p w14:paraId="2EA64AE5"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5. 简单线性回归的</w:t>
      </w:r>
      <w:r w:rsidRPr="009F5318">
        <w:rPr>
          <w:rFonts w:ascii="宋体" w:eastAsia="宋体" w:hAnsi="宋体" w:cs="Times New Roman"/>
          <w:sz w:val="24"/>
          <w:szCs w:val="24"/>
        </w:rPr>
        <w:t>Excel</w:t>
      </w:r>
      <w:r w:rsidRPr="009F5318">
        <w:rPr>
          <w:rFonts w:ascii="宋体" w:eastAsia="宋体" w:hAnsi="宋体" w:cs="Times New Roman" w:hint="eastAsia"/>
          <w:sz w:val="24"/>
          <w:szCs w:val="24"/>
        </w:rPr>
        <w:t>操作步骤。</w:t>
      </w:r>
    </w:p>
    <w:p w14:paraId="3C93F341"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【难点】</w:t>
      </w:r>
    </w:p>
    <w:p w14:paraId="12E7EA12"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回归系数估计的基本原理——最小二乘法；</w:t>
      </w:r>
    </w:p>
    <w:p w14:paraId="660B65C4"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相关系数、回归系数的理解；</w:t>
      </w:r>
    </w:p>
    <w:p w14:paraId="5E4BF701"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线性回归的前提假设与回归系数（</w:t>
      </w:r>
      <w:r w:rsidRPr="009F5318">
        <w:rPr>
          <w:rFonts w:ascii="宋体" w:eastAsia="宋体" w:hAnsi="宋体" w:cs="Times New Roman"/>
          <w:i/>
          <w:sz w:val="24"/>
          <w:szCs w:val="24"/>
        </w:rPr>
        <w:t>b</w:t>
      </w:r>
      <w:r w:rsidRPr="009F5318">
        <w:rPr>
          <w:rFonts w:ascii="宋体" w:eastAsia="宋体" w:hAnsi="宋体" w:cs="Times New Roman" w:hint="eastAsia"/>
          <w:sz w:val="24"/>
          <w:szCs w:val="24"/>
        </w:rPr>
        <w:t>）的假设检验；</w:t>
      </w:r>
    </w:p>
    <w:p w14:paraId="234FC34C"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 线性相关和回归的区别与联系。</w:t>
      </w:r>
    </w:p>
    <w:p w14:paraId="4603FD98"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bCs/>
          <w:sz w:val="24"/>
          <w:szCs w:val="24"/>
        </w:rPr>
        <w:t>【教学方法】</w:t>
      </w:r>
    </w:p>
    <w:p w14:paraId="222498E5"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通过多媒体课件和传统教学相结合，阐明客观事物之间的关系，简单线性回归与相关分析的原理与注意事项，丰富学生课程与教学的基本知识结构；</w:t>
      </w:r>
    </w:p>
    <w:p w14:paraId="710A5983"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通过</w:t>
      </w:r>
      <w:r w:rsidRPr="009F5318">
        <w:rPr>
          <w:rFonts w:ascii="宋体" w:eastAsia="宋体" w:hAnsi="宋体" w:cs="Times New Roman"/>
          <w:sz w:val="24"/>
          <w:szCs w:val="24"/>
        </w:rPr>
        <w:t>案例法、</w:t>
      </w:r>
      <w:r w:rsidRPr="009F5318">
        <w:rPr>
          <w:rFonts w:ascii="宋体" w:eastAsia="宋体" w:hAnsi="宋体" w:cs="Times New Roman" w:hint="eastAsia"/>
          <w:sz w:val="24"/>
          <w:szCs w:val="24"/>
        </w:rPr>
        <w:t>演示法、练习法，阐明用Excel软件进行回归与相关分析的步骤与注意事项，增强学生统计软件的实际操作用能力。</w:t>
      </w:r>
    </w:p>
    <w:p w14:paraId="3518EC01" w14:textId="77777777" w:rsidR="009F5318" w:rsidRPr="009F5318" w:rsidRDefault="009F5318" w:rsidP="009F5318">
      <w:pPr>
        <w:spacing w:line="440" w:lineRule="exact"/>
        <w:ind w:firstLineChars="200" w:firstLine="482"/>
        <w:rPr>
          <w:rFonts w:ascii="宋体" w:eastAsia="宋体" w:hAnsi="宋体" w:cs="Times New Roman"/>
          <w:b/>
          <w:bCs/>
          <w:sz w:val="24"/>
          <w:szCs w:val="24"/>
        </w:rPr>
      </w:pPr>
      <w:r w:rsidRPr="009F5318">
        <w:rPr>
          <w:rFonts w:ascii="宋体" w:eastAsia="宋体" w:hAnsi="宋体" w:cs="Times New Roman" w:hint="eastAsia"/>
          <w:b/>
          <w:sz w:val="24"/>
          <w:szCs w:val="24"/>
        </w:rPr>
        <w:t>【复习思考】</w:t>
      </w:r>
    </w:p>
    <w:p w14:paraId="1822AE1E"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 线性相关和回归的区别与联系；</w:t>
      </w:r>
    </w:p>
    <w:p w14:paraId="057E80E1"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 如何理解最小二乘法的原理。</w:t>
      </w:r>
    </w:p>
    <w:p w14:paraId="6122F241" w14:textId="77777777" w:rsidR="009F5318" w:rsidRPr="009F5318" w:rsidRDefault="009F5318" w:rsidP="009F5318">
      <w:pPr>
        <w:spacing w:beforeLines="50" w:before="156" w:afterLines="50" w:after="156" w:line="440" w:lineRule="exact"/>
        <w:ind w:firstLineChars="200" w:firstLine="560"/>
        <w:jc w:val="center"/>
        <w:rPr>
          <w:rFonts w:ascii="黑体" w:eastAsia="黑体" w:hAnsi="黑体" w:cs="Times New Roman"/>
          <w:sz w:val="28"/>
          <w:szCs w:val="28"/>
        </w:rPr>
      </w:pPr>
      <w:r w:rsidRPr="009F5318">
        <w:rPr>
          <w:rFonts w:ascii="黑体" w:eastAsia="黑体" w:hAnsi="黑体" w:cs="Times New Roman" w:hint="eastAsia"/>
          <w:sz w:val="28"/>
          <w:szCs w:val="28"/>
        </w:rPr>
        <w:t>第二部分 实践内容</w:t>
      </w:r>
    </w:p>
    <w:p w14:paraId="14B4A280" w14:textId="77777777" w:rsidR="009F5318" w:rsidRPr="009F5318" w:rsidRDefault="009F5318" w:rsidP="009F5318">
      <w:pPr>
        <w:spacing w:afterLines="50" w:after="156" w:line="440" w:lineRule="exact"/>
        <w:ind w:firstLineChars="200" w:firstLine="560"/>
        <w:jc w:val="center"/>
        <w:rPr>
          <w:rFonts w:ascii="黑体" w:eastAsia="黑体" w:hAnsi="黑体" w:cs="Times New Roman"/>
          <w:sz w:val="28"/>
          <w:szCs w:val="28"/>
        </w:rPr>
      </w:pPr>
      <w:r w:rsidRPr="009F5318">
        <w:rPr>
          <w:rFonts w:ascii="黑体" w:eastAsia="黑体" w:hAnsi="黑体" w:cs="Times New Roman" w:hint="eastAsia"/>
          <w:sz w:val="28"/>
          <w:szCs w:val="28"/>
        </w:rPr>
        <w:t>利用气相色谱法比较花生中油酸与亚油酸的相对含量</w:t>
      </w:r>
    </w:p>
    <w:p w14:paraId="70CAB7C7" w14:textId="77777777" w:rsidR="009F5318" w:rsidRPr="009F5318" w:rsidRDefault="009F5318" w:rsidP="009F5318">
      <w:pPr>
        <w:adjustRightInd w:val="0"/>
        <w:snapToGrid w:val="0"/>
        <w:spacing w:line="440" w:lineRule="exact"/>
        <w:ind w:firstLineChars="200" w:firstLine="482"/>
        <w:rPr>
          <w:rFonts w:ascii="Times New Roman" w:eastAsia="宋体" w:hAnsi="Times New Roman" w:cs="Times New Roman"/>
          <w:bCs/>
          <w:sz w:val="24"/>
          <w:szCs w:val="24"/>
        </w:rPr>
      </w:pPr>
      <w:r w:rsidRPr="009F5318">
        <w:rPr>
          <w:rFonts w:ascii="Times New Roman" w:eastAsia="宋体" w:hAnsi="Times New Roman" w:cs="Times New Roman"/>
          <w:b/>
          <w:sz w:val="24"/>
          <w:szCs w:val="24"/>
        </w:rPr>
        <w:t>【学习目标】</w:t>
      </w:r>
    </w:p>
    <w:p w14:paraId="2BF93EBC" w14:textId="77777777" w:rsidR="009F5318" w:rsidRPr="009F5318" w:rsidRDefault="009F5318" w:rsidP="009F5318">
      <w:pPr>
        <w:adjustRightInd w:val="0"/>
        <w:snapToGrid w:val="0"/>
        <w:spacing w:line="440" w:lineRule="exact"/>
        <w:ind w:firstLineChars="200" w:firstLine="480"/>
        <w:rPr>
          <w:rFonts w:ascii="宋体" w:eastAsia="宋体" w:hAnsi="宋体" w:cs="Times New Roman"/>
          <w:bCs/>
          <w:kern w:val="0"/>
          <w:sz w:val="24"/>
          <w:szCs w:val="24"/>
        </w:rPr>
      </w:pPr>
      <w:r w:rsidRPr="009F5318">
        <w:rPr>
          <w:rFonts w:ascii="宋体" w:eastAsia="宋体" w:hAnsi="宋体" w:cs="Times New Roman"/>
          <w:bCs/>
          <w:kern w:val="0"/>
          <w:sz w:val="24"/>
          <w:szCs w:val="24"/>
        </w:rPr>
        <w:t>1.</w:t>
      </w:r>
      <w:r w:rsidRPr="009F5318">
        <w:rPr>
          <w:rFonts w:ascii="宋体" w:eastAsia="宋体" w:hAnsi="宋体" w:cs="Times New Roman" w:hint="eastAsia"/>
          <w:bCs/>
          <w:kern w:val="0"/>
          <w:sz w:val="24"/>
          <w:szCs w:val="24"/>
        </w:rPr>
        <w:t xml:space="preserve"> </w:t>
      </w:r>
      <w:r w:rsidRPr="009F5318">
        <w:rPr>
          <w:rFonts w:ascii="宋体" w:eastAsia="宋体" w:hAnsi="宋体" w:cs="Times New Roman" w:hint="eastAsia"/>
          <w:sz w:val="24"/>
          <w:szCs w:val="24"/>
        </w:rPr>
        <w:t>认知类目标：要求学生</w:t>
      </w:r>
      <w:r w:rsidRPr="009F5318">
        <w:rPr>
          <w:rFonts w:ascii="宋体" w:eastAsia="宋体" w:hAnsi="宋体" w:cs="Times New Roman" w:hint="eastAsia"/>
          <w:bCs/>
          <w:kern w:val="0"/>
          <w:sz w:val="24"/>
          <w:szCs w:val="24"/>
        </w:rPr>
        <w:t>掌握测定花生中油酸与亚油酸相对含量时，花生样品前处理与定量分析的基本原理与方法；</w:t>
      </w:r>
    </w:p>
    <w:p w14:paraId="13E88C70" w14:textId="77777777" w:rsidR="009F5318" w:rsidRPr="009F5318" w:rsidRDefault="009F5318" w:rsidP="009F5318">
      <w:pPr>
        <w:adjustRightInd w:val="0"/>
        <w:snapToGrid w:val="0"/>
        <w:spacing w:line="440" w:lineRule="exact"/>
        <w:ind w:firstLineChars="200" w:firstLine="480"/>
        <w:rPr>
          <w:rFonts w:ascii="宋体" w:eastAsia="宋体" w:hAnsi="宋体" w:cs="Times New Roman"/>
          <w:bCs/>
          <w:kern w:val="0"/>
          <w:sz w:val="24"/>
          <w:szCs w:val="24"/>
        </w:rPr>
      </w:pPr>
      <w:r w:rsidRPr="009F5318">
        <w:rPr>
          <w:rFonts w:ascii="宋体" w:eastAsia="宋体" w:hAnsi="宋体" w:cs="Times New Roman"/>
          <w:bCs/>
          <w:kern w:val="0"/>
          <w:sz w:val="24"/>
          <w:szCs w:val="24"/>
        </w:rPr>
        <w:t>2.</w:t>
      </w:r>
      <w:r w:rsidRPr="009F5318">
        <w:rPr>
          <w:rFonts w:ascii="宋体" w:eastAsia="宋体" w:hAnsi="宋体" w:cs="Times New Roman" w:hint="eastAsia"/>
          <w:bCs/>
          <w:kern w:val="0"/>
          <w:sz w:val="24"/>
          <w:szCs w:val="24"/>
        </w:rPr>
        <w:t xml:space="preserve"> </w:t>
      </w:r>
      <w:r w:rsidRPr="009F5318">
        <w:rPr>
          <w:rFonts w:ascii="宋体" w:eastAsia="宋体" w:hAnsi="宋体" w:cs="Times New Roman" w:hint="eastAsia"/>
          <w:sz w:val="24"/>
          <w:szCs w:val="24"/>
        </w:rPr>
        <w:t>过程与方法类目标：使学生</w:t>
      </w:r>
      <w:r w:rsidRPr="009F5318">
        <w:rPr>
          <w:rFonts w:ascii="宋体" w:eastAsia="宋体" w:hAnsi="宋体" w:cs="Times New Roman" w:hint="eastAsia"/>
          <w:bCs/>
          <w:kern w:val="0"/>
          <w:sz w:val="24"/>
          <w:szCs w:val="24"/>
        </w:rPr>
        <w:t>熟悉食品、药品质量控制研究的基本流程，提高学生利用化学手段分析和解决实际问题的能力；</w:t>
      </w:r>
    </w:p>
    <w:p w14:paraId="5B606BDE" w14:textId="77777777" w:rsidR="009F5318" w:rsidRPr="009F5318" w:rsidRDefault="009F5318" w:rsidP="009F5318">
      <w:pPr>
        <w:adjustRightInd w:val="0"/>
        <w:snapToGrid w:val="0"/>
        <w:spacing w:line="440" w:lineRule="exact"/>
        <w:ind w:firstLineChars="200" w:firstLine="480"/>
        <w:rPr>
          <w:rFonts w:ascii="宋体" w:eastAsia="宋体" w:hAnsi="宋体" w:cs="Times New Roman"/>
          <w:bCs/>
          <w:kern w:val="0"/>
          <w:sz w:val="24"/>
          <w:szCs w:val="24"/>
        </w:rPr>
      </w:pPr>
      <w:r w:rsidRPr="009F5318">
        <w:rPr>
          <w:rFonts w:ascii="宋体" w:eastAsia="宋体" w:hAnsi="宋体" w:cs="Times New Roman"/>
          <w:bCs/>
          <w:kern w:val="0"/>
          <w:sz w:val="24"/>
          <w:szCs w:val="24"/>
        </w:rPr>
        <w:t>3.</w:t>
      </w:r>
      <w:r w:rsidRPr="009F5318">
        <w:rPr>
          <w:rFonts w:ascii="宋体" w:eastAsia="宋体" w:hAnsi="宋体" w:cs="Times New Roman" w:hint="eastAsia"/>
          <w:sz w:val="24"/>
          <w:szCs w:val="24"/>
        </w:rPr>
        <w:t xml:space="preserve"> 情感、态度、价值观类目标：</w:t>
      </w:r>
      <w:r w:rsidRPr="009F5318">
        <w:rPr>
          <w:rFonts w:ascii="宋体" w:eastAsia="宋体" w:hAnsi="宋体" w:cs="Times New Roman"/>
          <w:bCs/>
          <w:kern w:val="0"/>
          <w:sz w:val="24"/>
          <w:szCs w:val="24"/>
        </w:rPr>
        <w:t>多学科交叉共融，</w:t>
      </w:r>
      <w:r w:rsidRPr="009F5318">
        <w:rPr>
          <w:rFonts w:ascii="宋体" w:eastAsia="宋体" w:hAnsi="宋体" w:cs="Times New Roman" w:hint="eastAsia"/>
          <w:bCs/>
          <w:kern w:val="0"/>
          <w:sz w:val="24"/>
          <w:szCs w:val="24"/>
        </w:rPr>
        <w:t>强化学生的科学思维，培养其综合运用知识的能力和创新能力。</w:t>
      </w:r>
    </w:p>
    <w:p w14:paraId="1D1712EB" w14:textId="77777777" w:rsidR="009F5318" w:rsidRPr="009F5318" w:rsidRDefault="009F5318" w:rsidP="009F5318">
      <w:pPr>
        <w:adjustRightInd w:val="0"/>
        <w:snapToGrid w:val="0"/>
        <w:spacing w:line="440" w:lineRule="exact"/>
        <w:ind w:firstLineChars="200" w:firstLine="482"/>
        <w:rPr>
          <w:rFonts w:ascii="宋体" w:eastAsia="宋体" w:hAnsi="宋体" w:cs="Times New Roman"/>
          <w:b/>
          <w:sz w:val="24"/>
          <w:szCs w:val="24"/>
        </w:rPr>
      </w:pPr>
      <w:r w:rsidRPr="009F5318">
        <w:rPr>
          <w:rFonts w:ascii="宋体" w:eastAsia="宋体" w:hAnsi="宋体" w:cs="Times New Roman"/>
          <w:b/>
          <w:sz w:val="24"/>
          <w:szCs w:val="24"/>
        </w:rPr>
        <w:t>【学习内容】</w:t>
      </w:r>
    </w:p>
    <w:p w14:paraId="193D9119" w14:textId="77777777" w:rsidR="009F5318" w:rsidRPr="009F5318" w:rsidRDefault="009F5318" w:rsidP="009F5318">
      <w:pPr>
        <w:adjustRightInd w:val="0"/>
        <w:snapToGrid w:val="0"/>
        <w:spacing w:line="440" w:lineRule="exact"/>
        <w:rPr>
          <w:rFonts w:ascii="宋体" w:eastAsia="宋体" w:hAnsi="宋体" w:cs="Times New Roman"/>
          <w:sz w:val="24"/>
          <w:szCs w:val="24"/>
        </w:rPr>
      </w:pPr>
      <w:r w:rsidRPr="009F5318">
        <w:rPr>
          <w:rFonts w:ascii="宋体" w:eastAsia="宋体" w:hAnsi="宋体" w:cs="Times New Roman"/>
          <w:sz w:val="24"/>
          <w:szCs w:val="24"/>
        </w:rPr>
        <w:t xml:space="preserve">    1.基于超声波辅助提取法制备脂肪提取液；</w:t>
      </w:r>
    </w:p>
    <w:p w14:paraId="69F429BF" w14:textId="77777777" w:rsidR="009F5318" w:rsidRPr="009F5318" w:rsidRDefault="009F5318" w:rsidP="009F5318">
      <w:pPr>
        <w:adjustRightInd w:val="0"/>
        <w:snapToGrid w:val="0"/>
        <w:spacing w:line="440" w:lineRule="exact"/>
        <w:ind w:firstLine="480"/>
        <w:rPr>
          <w:rFonts w:ascii="宋体" w:eastAsia="宋体" w:hAnsi="宋体" w:cs="Times New Roman"/>
          <w:sz w:val="24"/>
          <w:szCs w:val="24"/>
        </w:rPr>
      </w:pPr>
      <w:r w:rsidRPr="009F5318">
        <w:rPr>
          <w:rFonts w:ascii="宋体" w:eastAsia="宋体" w:hAnsi="宋体" w:cs="Times New Roman"/>
          <w:sz w:val="24"/>
          <w:szCs w:val="24"/>
        </w:rPr>
        <w:t>2.基于氢氧化钾-甲醇溶液法制备</w:t>
      </w:r>
      <w:proofErr w:type="gramStart"/>
      <w:r w:rsidRPr="009F5318">
        <w:rPr>
          <w:rFonts w:ascii="宋体" w:eastAsia="宋体" w:hAnsi="宋体" w:cs="Times New Roman"/>
          <w:sz w:val="24"/>
          <w:szCs w:val="24"/>
        </w:rPr>
        <w:t>供试品溶液</w:t>
      </w:r>
      <w:proofErr w:type="gramEnd"/>
      <w:r w:rsidRPr="009F5318">
        <w:rPr>
          <w:rFonts w:ascii="宋体" w:eastAsia="宋体" w:hAnsi="宋体" w:cs="Times New Roman"/>
          <w:sz w:val="24"/>
          <w:szCs w:val="24"/>
        </w:rPr>
        <w:t>；</w:t>
      </w:r>
    </w:p>
    <w:p w14:paraId="56F27108" w14:textId="77777777" w:rsidR="009F5318" w:rsidRPr="009F5318" w:rsidRDefault="009F5318" w:rsidP="009F5318">
      <w:pPr>
        <w:adjustRightInd w:val="0"/>
        <w:snapToGrid w:val="0"/>
        <w:spacing w:line="440" w:lineRule="exact"/>
        <w:ind w:firstLine="480"/>
        <w:rPr>
          <w:rFonts w:ascii="宋体" w:eastAsia="宋体" w:hAnsi="宋体" w:cs="Times New Roman"/>
          <w:sz w:val="24"/>
          <w:szCs w:val="24"/>
        </w:rPr>
      </w:pPr>
      <w:r w:rsidRPr="009F5318">
        <w:rPr>
          <w:rFonts w:ascii="宋体" w:eastAsia="宋体" w:hAnsi="宋体" w:cs="Times New Roman" w:hint="eastAsia"/>
          <w:sz w:val="24"/>
          <w:szCs w:val="24"/>
        </w:rPr>
        <w:lastRenderedPageBreak/>
        <w:t>3.基于气相色谱技术测定油酸甲酯与亚油酸甲酯的相对含量；</w:t>
      </w:r>
    </w:p>
    <w:p w14:paraId="2DE72848" w14:textId="77777777" w:rsidR="009F5318" w:rsidRPr="009F5318" w:rsidRDefault="009F5318" w:rsidP="009F5318">
      <w:pPr>
        <w:adjustRightInd w:val="0"/>
        <w:snapToGrid w:val="0"/>
        <w:spacing w:line="440" w:lineRule="exact"/>
        <w:ind w:firstLine="480"/>
        <w:rPr>
          <w:rFonts w:ascii="宋体" w:eastAsia="宋体" w:hAnsi="宋体" w:cs="Times New Roman"/>
          <w:kern w:val="0"/>
          <w:szCs w:val="21"/>
        </w:rPr>
      </w:pPr>
      <w:r w:rsidRPr="009F5318">
        <w:rPr>
          <w:rFonts w:ascii="宋体" w:eastAsia="宋体" w:hAnsi="宋体" w:cs="Times New Roman" w:hint="eastAsia"/>
          <w:sz w:val="24"/>
          <w:szCs w:val="24"/>
        </w:rPr>
        <w:t>4.不同花生品种油酸与亚油酸相对含量的比较。</w:t>
      </w:r>
    </w:p>
    <w:p w14:paraId="18012CF9" w14:textId="77777777" w:rsidR="009F5318" w:rsidRPr="009F5318" w:rsidRDefault="009F5318" w:rsidP="009F5318">
      <w:pPr>
        <w:adjustRightInd w:val="0"/>
        <w:snapToGrid w:val="0"/>
        <w:spacing w:line="440" w:lineRule="exact"/>
        <w:ind w:firstLineChars="200" w:firstLine="482"/>
        <w:rPr>
          <w:rFonts w:ascii="宋体" w:eastAsia="宋体" w:hAnsi="宋体" w:cs="Times New Roman"/>
          <w:b/>
          <w:sz w:val="24"/>
          <w:szCs w:val="24"/>
        </w:rPr>
      </w:pPr>
      <w:r w:rsidRPr="009F5318">
        <w:rPr>
          <w:rFonts w:ascii="宋体" w:eastAsia="宋体" w:hAnsi="宋体" w:cs="Times New Roman"/>
          <w:b/>
          <w:sz w:val="24"/>
          <w:szCs w:val="24"/>
        </w:rPr>
        <w:t>【重点】</w:t>
      </w:r>
    </w:p>
    <w:p w14:paraId="002705A2" w14:textId="77777777" w:rsidR="009F5318" w:rsidRPr="009F5318" w:rsidRDefault="009F5318" w:rsidP="009F5318">
      <w:pPr>
        <w:adjustRightInd w:val="0"/>
        <w:snapToGrid w:val="0"/>
        <w:spacing w:line="440" w:lineRule="exact"/>
        <w:rPr>
          <w:rFonts w:ascii="宋体" w:eastAsia="宋体" w:hAnsi="宋体" w:cs="Times New Roman"/>
          <w:sz w:val="24"/>
          <w:szCs w:val="24"/>
        </w:rPr>
      </w:pPr>
      <w:r w:rsidRPr="009F5318">
        <w:rPr>
          <w:rFonts w:ascii="宋体" w:eastAsia="宋体" w:hAnsi="宋体" w:cs="Times New Roman"/>
          <w:sz w:val="24"/>
          <w:szCs w:val="24"/>
        </w:rPr>
        <w:t xml:space="preserve">    1.样品前处理与定量分析的注意事项；</w:t>
      </w:r>
    </w:p>
    <w:p w14:paraId="740FBBAA" w14:textId="77777777" w:rsidR="009F5318" w:rsidRPr="009F5318" w:rsidRDefault="009F5318" w:rsidP="009F5318">
      <w:pPr>
        <w:adjustRightInd w:val="0"/>
        <w:snapToGrid w:val="0"/>
        <w:spacing w:line="440" w:lineRule="exact"/>
        <w:rPr>
          <w:rFonts w:ascii="宋体" w:eastAsia="宋体" w:hAnsi="宋体" w:cs="Times New Roman"/>
          <w:sz w:val="24"/>
          <w:szCs w:val="24"/>
        </w:rPr>
      </w:pPr>
      <w:r w:rsidRPr="009F5318">
        <w:rPr>
          <w:rFonts w:ascii="宋体" w:eastAsia="宋体" w:hAnsi="宋体" w:cs="Times New Roman"/>
          <w:sz w:val="24"/>
          <w:szCs w:val="24"/>
        </w:rPr>
        <w:t xml:space="preserve">    2.</w:t>
      </w:r>
      <w:r w:rsidRPr="009F5318">
        <w:rPr>
          <w:rFonts w:ascii="宋体" w:eastAsia="宋体" w:hAnsi="宋体" w:cs="Times New Roman" w:hint="eastAsia"/>
          <w:sz w:val="24"/>
          <w:szCs w:val="24"/>
        </w:rPr>
        <w:t>不同花生品种油酸与亚油酸相对含量的比较</w:t>
      </w:r>
      <w:r w:rsidRPr="009F5318">
        <w:rPr>
          <w:rFonts w:ascii="宋体" w:eastAsia="宋体" w:hAnsi="宋体" w:cs="Times New Roman"/>
          <w:sz w:val="24"/>
          <w:szCs w:val="24"/>
        </w:rPr>
        <w:t>。</w:t>
      </w:r>
    </w:p>
    <w:p w14:paraId="1A9F6238" w14:textId="77777777" w:rsidR="009F5318" w:rsidRPr="009F5318" w:rsidRDefault="009F5318" w:rsidP="009F5318">
      <w:pPr>
        <w:adjustRightInd w:val="0"/>
        <w:snapToGrid w:val="0"/>
        <w:spacing w:line="440" w:lineRule="exact"/>
        <w:rPr>
          <w:rFonts w:ascii="宋体" w:eastAsia="宋体" w:hAnsi="宋体" w:cs="Times New Roman"/>
          <w:b/>
          <w:sz w:val="24"/>
          <w:szCs w:val="24"/>
        </w:rPr>
      </w:pPr>
      <w:r w:rsidRPr="009F5318">
        <w:rPr>
          <w:rFonts w:ascii="宋体" w:eastAsia="宋体" w:hAnsi="宋体" w:cs="Times New Roman"/>
          <w:sz w:val="24"/>
          <w:szCs w:val="24"/>
        </w:rPr>
        <w:t xml:space="preserve">    </w:t>
      </w:r>
      <w:r w:rsidRPr="009F5318">
        <w:rPr>
          <w:rFonts w:ascii="宋体" w:eastAsia="宋体" w:hAnsi="宋体" w:cs="Times New Roman"/>
          <w:b/>
          <w:sz w:val="24"/>
          <w:szCs w:val="24"/>
        </w:rPr>
        <w:t>【难点】</w:t>
      </w:r>
    </w:p>
    <w:p w14:paraId="6F87D123" w14:textId="77777777" w:rsidR="009F5318" w:rsidRPr="009F5318" w:rsidRDefault="009F5318" w:rsidP="009F5318">
      <w:pPr>
        <w:adjustRightInd w:val="0"/>
        <w:snapToGrid w:val="0"/>
        <w:spacing w:line="440" w:lineRule="exact"/>
        <w:rPr>
          <w:rFonts w:ascii="宋体" w:eastAsia="宋体" w:hAnsi="宋体" w:cs="Times New Roman"/>
          <w:sz w:val="24"/>
          <w:szCs w:val="24"/>
        </w:rPr>
      </w:pPr>
      <w:r w:rsidRPr="009F5318">
        <w:rPr>
          <w:rFonts w:ascii="宋体" w:eastAsia="宋体" w:hAnsi="宋体" w:cs="Times New Roman"/>
          <w:sz w:val="24"/>
          <w:szCs w:val="24"/>
        </w:rPr>
        <w:t xml:space="preserve">    1.</w:t>
      </w:r>
      <w:r w:rsidRPr="009F5318">
        <w:rPr>
          <w:rFonts w:ascii="宋体" w:eastAsia="宋体" w:hAnsi="宋体" w:cs="Times New Roman" w:hint="eastAsia"/>
          <w:bCs/>
          <w:kern w:val="0"/>
          <w:sz w:val="24"/>
          <w:szCs w:val="24"/>
        </w:rPr>
        <w:t>食品、药品质量控制研究的基本流程；</w:t>
      </w:r>
    </w:p>
    <w:p w14:paraId="486F20E7" w14:textId="77777777" w:rsidR="009F5318" w:rsidRPr="009F5318" w:rsidRDefault="009F5318" w:rsidP="009F5318">
      <w:pPr>
        <w:adjustRightInd w:val="0"/>
        <w:snapToGrid w:val="0"/>
        <w:spacing w:line="440" w:lineRule="exact"/>
        <w:rPr>
          <w:rFonts w:ascii="宋体" w:eastAsia="宋体" w:hAnsi="宋体" w:cs="Times New Roman"/>
          <w:sz w:val="24"/>
          <w:szCs w:val="24"/>
        </w:rPr>
      </w:pPr>
      <w:r w:rsidRPr="009F5318">
        <w:rPr>
          <w:rFonts w:ascii="宋体" w:eastAsia="宋体" w:hAnsi="宋体" w:cs="Times New Roman"/>
          <w:sz w:val="24"/>
          <w:szCs w:val="24"/>
        </w:rPr>
        <w:t xml:space="preserve">    2.如何综合利用本课程涉及的统计学知识得出实验结论。</w:t>
      </w:r>
    </w:p>
    <w:p w14:paraId="6A4E1B0D" w14:textId="77777777" w:rsidR="009F5318" w:rsidRPr="009F5318" w:rsidRDefault="009F5318" w:rsidP="009F5318">
      <w:pPr>
        <w:adjustRightInd w:val="0"/>
        <w:snapToGrid w:val="0"/>
        <w:spacing w:line="440" w:lineRule="exact"/>
        <w:ind w:firstLineChars="200" w:firstLine="482"/>
        <w:rPr>
          <w:rFonts w:ascii="宋体" w:eastAsia="宋体" w:hAnsi="宋体" w:cs="Times New Roman"/>
          <w:sz w:val="24"/>
          <w:szCs w:val="24"/>
        </w:rPr>
      </w:pPr>
      <w:r w:rsidRPr="009F5318">
        <w:rPr>
          <w:rFonts w:ascii="宋体" w:eastAsia="宋体" w:hAnsi="宋体" w:cs="Times New Roman"/>
          <w:b/>
          <w:bCs/>
          <w:sz w:val="24"/>
          <w:szCs w:val="24"/>
        </w:rPr>
        <w:t>【实施方式】</w:t>
      </w:r>
    </w:p>
    <w:p w14:paraId="5170B975"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理论+实验</w:t>
      </w:r>
    </w:p>
    <w:p w14:paraId="6C87A162" w14:textId="77777777" w:rsidR="009F5318" w:rsidRPr="009F5318" w:rsidRDefault="009F5318" w:rsidP="009F5318">
      <w:pPr>
        <w:spacing w:line="440" w:lineRule="exact"/>
        <w:ind w:firstLineChars="200" w:firstLine="482"/>
        <w:rPr>
          <w:rFonts w:ascii="宋体" w:eastAsia="宋体" w:hAnsi="宋体" w:cs="Times New Roman"/>
          <w:bCs/>
          <w:sz w:val="24"/>
          <w:szCs w:val="24"/>
        </w:rPr>
      </w:pPr>
      <w:r w:rsidRPr="009F5318">
        <w:rPr>
          <w:rFonts w:ascii="宋体" w:eastAsia="宋体" w:hAnsi="宋体" w:cs="Times New Roman"/>
          <w:b/>
          <w:sz w:val="24"/>
          <w:szCs w:val="24"/>
        </w:rPr>
        <w:t>【学习要求】</w:t>
      </w:r>
    </w:p>
    <w:p w14:paraId="2A470B50"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1.</w:t>
      </w:r>
      <w:r w:rsidRPr="009F5318">
        <w:rPr>
          <w:rFonts w:ascii="宋体" w:eastAsia="宋体" w:hAnsi="宋体" w:cs="Times New Roman" w:hint="eastAsia"/>
          <w:sz w:val="24"/>
          <w:szCs w:val="24"/>
        </w:rPr>
        <w:t xml:space="preserve"> </w:t>
      </w:r>
      <w:r w:rsidRPr="009F5318">
        <w:rPr>
          <w:rFonts w:ascii="宋体" w:eastAsia="宋体" w:hAnsi="宋体" w:cs="Times New Roman"/>
          <w:sz w:val="24"/>
          <w:szCs w:val="24"/>
        </w:rPr>
        <w:t>掌握超声波辅助提取法、氢氧化钾-甲醇溶液法、气相色谱法的基本原理与实验操作注意事项；</w:t>
      </w:r>
    </w:p>
    <w:p w14:paraId="0289C652"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2.</w:t>
      </w:r>
      <w:r w:rsidRPr="009F5318">
        <w:rPr>
          <w:rFonts w:ascii="宋体" w:eastAsia="宋体" w:hAnsi="宋体" w:cs="Times New Roman" w:hint="eastAsia"/>
          <w:sz w:val="24"/>
          <w:szCs w:val="24"/>
        </w:rPr>
        <w:t xml:space="preserve"> </w:t>
      </w:r>
      <w:r w:rsidRPr="009F5318">
        <w:rPr>
          <w:rFonts w:ascii="宋体" w:eastAsia="宋体" w:hAnsi="宋体" w:cs="Times New Roman"/>
          <w:sz w:val="24"/>
          <w:szCs w:val="24"/>
        </w:rPr>
        <w:t>熟悉花生中油酸与亚油酸相对含量的计算方法；</w:t>
      </w:r>
    </w:p>
    <w:p w14:paraId="7A89EB7D"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3. </w:t>
      </w:r>
      <w:r w:rsidRPr="009F5318">
        <w:rPr>
          <w:rFonts w:ascii="宋体" w:eastAsia="宋体" w:hAnsi="宋体" w:cs="Times New Roman"/>
          <w:sz w:val="24"/>
          <w:szCs w:val="24"/>
        </w:rPr>
        <w:t>掌握</w:t>
      </w:r>
      <w:proofErr w:type="gramStart"/>
      <w:r w:rsidRPr="009F5318">
        <w:rPr>
          <w:rFonts w:ascii="宋体" w:eastAsia="宋体" w:hAnsi="宋体" w:cs="Times New Roman"/>
          <w:sz w:val="24"/>
          <w:szCs w:val="24"/>
        </w:rPr>
        <w:t>逸出值</w:t>
      </w:r>
      <w:proofErr w:type="gramEnd"/>
      <w:r w:rsidRPr="009F5318">
        <w:rPr>
          <w:rFonts w:ascii="宋体" w:eastAsia="宋体" w:hAnsi="宋体" w:cs="Times New Roman"/>
          <w:sz w:val="24"/>
          <w:szCs w:val="24"/>
        </w:rPr>
        <w:t>检验、</w:t>
      </w:r>
      <w:r w:rsidRPr="009F5318">
        <w:rPr>
          <w:rFonts w:ascii="宋体" w:eastAsia="宋体" w:hAnsi="宋体" w:cs="Times New Roman"/>
          <w:i/>
          <w:sz w:val="24"/>
          <w:szCs w:val="24"/>
        </w:rPr>
        <w:t>F</w:t>
      </w:r>
      <w:r w:rsidRPr="009F5318">
        <w:rPr>
          <w:rFonts w:ascii="宋体" w:eastAsia="宋体" w:hAnsi="宋体" w:cs="Times New Roman"/>
          <w:sz w:val="24"/>
          <w:szCs w:val="24"/>
        </w:rPr>
        <w:t>检验、</w:t>
      </w:r>
      <w:r w:rsidRPr="009F5318">
        <w:rPr>
          <w:rFonts w:ascii="宋体" w:eastAsia="宋体" w:hAnsi="宋体" w:cs="Times New Roman"/>
          <w:i/>
          <w:sz w:val="24"/>
          <w:szCs w:val="24"/>
        </w:rPr>
        <w:t>t</w:t>
      </w:r>
      <w:r w:rsidRPr="009F5318">
        <w:rPr>
          <w:rFonts w:ascii="宋体" w:eastAsia="宋体" w:hAnsi="宋体" w:cs="Times New Roman"/>
          <w:sz w:val="24"/>
          <w:szCs w:val="24"/>
        </w:rPr>
        <w:t>检验在</w:t>
      </w:r>
      <w:r w:rsidRPr="009F5318">
        <w:rPr>
          <w:rFonts w:ascii="宋体" w:eastAsia="宋体" w:hAnsi="宋体" w:cs="Times New Roman" w:hint="eastAsia"/>
          <w:sz w:val="24"/>
          <w:szCs w:val="24"/>
        </w:rPr>
        <w:t>不同花生品种油酸与亚油酸相对含量的比较中</w:t>
      </w:r>
      <w:r w:rsidRPr="009F5318">
        <w:rPr>
          <w:rFonts w:ascii="宋体" w:eastAsia="宋体" w:hAnsi="宋体" w:cs="Times New Roman"/>
          <w:sz w:val="24"/>
          <w:szCs w:val="24"/>
        </w:rPr>
        <w:t>的作用。</w:t>
      </w:r>
    </w:p>
    <w:p w14:paraId="181C00FE" w14:textId="77777777" w:rsidR="009F5318" w:rsidRPr="009F5318" w:rsidRDefault="009F5318" w:rsidP="009F5318">
      <w:pPr>
        <w:spacing w:line="440" w:lineRule="exact"/>
        <w:ind w:firstLineChars="200" w:firstLine="482"/>
        <w:rPr>
          <w:rFonts w:ascii="宋体" w:eastAsia="宋体" w:hAnsi="宋体" w:cs="Times New Roman"/>
          <w:sz w:val="24"/>
          <w:szCs w:val="24"/>
        </w:rPr>
      </w:pPr>
      <w:r w:rsidRPr="009F5318">
        <w:rPr>
          <w:rFonts w:ascii="宋体" w:eastAsia="宋体" w:hAnsi="宋体" w:cs="Times New Roman"/>
          <w:b/>
          <w:sz w:val="24"/>
          <w:szCs w:val="24"/>
        </w:rPr>
        <w:t>【实验要求】</w:t>
      </w:r>
    </w:p>
    <w:p w14:paraId="055ECDF1"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1.实验属性：综合性实验</w:t>
      </w:r>
    </w:p>
    <w:p w14:paraId="210F5CD6"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2.开出要求：必做</w:t>
      </w:r>
    </w:p>
    <w:p w14:paraId="65693FC1"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3.分组要求：</w:t>
      </w:r>
      <w:r w:rsidRPr="009F5318">
        <w:rPr>
          <w:rFonts w:ascii="宋体" w:eastAsia="宋体" w:hAnsi="宋体" w:cs="Times New Roman" w:hint="eastAsia"/>
          <w:sz w:val="24"/>
          <w:szCs w:val="24"/>
        </w:rPr>
        <w:t>6-8</w:t>
      </w:r>
      <w:r w:rsidRPr="009F5318">
        <w:rPr>
          <w:rFonts w:ascii="宋体" w:eastAsia="宋体" w:hAnsi="宋体" w:cs="Times New Roman"/>
          <w:sz w:val="24"/>
          <w:szCs w:val="24"/>
        </w:rPr>
        <w:t>人1组</w:t>
      </w:r>
    </w:p>
    <w:p w14:paraId="11BFA9EE"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4.实验准备：</w:t>
      </w:r>
      <w:r w:rsidRPr="009F5318">
        <w:rPr>
          <w:rFonts w:ascii="宋体" w:eastAsia="宋体" w:hAnsi="宋体" w:cs="Times New Roman" w:hint="eastAsia"/>
          <w:sz w:val="24"/>
          <w:szCs w:val="24"/>
        </w:rPr>
        <w:t>①仪器设备、药品试剂：气相色谱仪、超声波清洗机、高速离心机、水浴锅；花生（品种不限）、正己烷、甲醇、氢氧化钾等。</w:t>
      </w:r>
    </w:p>
    <w:p w14:paraId="00E6C8A3"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②</w:t>
      </w:r>
      <w:r w:rsidRPr="009F5318">
        <w:rPr>
          <w:rFonts w:ascii="宋体" w:eastAsia="宋体" w:hAnsi="宋体" w:cs="Times New Roman"/>
          <w:sz w:val="24"/>
          <w:szCs w:val="24"/>
        </w:rPr>
        <w:t>预习要求：实验前撰写预习报告，明确实验目的、原理、操作过程。</w:t>
      </w:r>
    </w:p>
    <w:p w14:paraId="30ABB908"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③</w:t>
      </w:r>
      <w:r w:rsidRPr="009F5318">
        <w:rPr>
          <w:rFonts w:ascii="宋体" w:eastAsia="宋体" w:hAnsi="宋体" w:cs="Times New Roman"/>
          <w:sz w:val="24"/>
          <w:szCs w:val="24"/>
        </w:rPr>
        <w:t>实验报告要求：学生以原始记录为基础，书面形式详实叙述本次实验的目的、原理、材料、操作过程、现象和结果等，并以思考与讨论讨论的形式，如实叙述实验过程中发现的问题，根据本课程的理论学习内容，分析本次实验中出现的问题、应注意的事项与个人的学习体会等，完成研究报告。</w:t>
      </w:r>
    </w:p>
    <w:p w14:paraId="46E63B01" w14:textId="77777777" w:rsidR="009F5318" w:rsidRPr="009F5318" w:rsidRDefault="009F5318" w:rsidP="009F5318">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F5318">
        <w:rPr>
          <w:rFonts w:ascii="黑体" w:eastAsia="黑体" w:hAnsi="黑体" w:cs="Times New Roman" w:hint="eastAsia"/>
          <w:sz w:val="28"/>
          <w:szCs w:val="28"/>
        </w:rPr>
        <w:t xml:space="preserve">（二）课程学习内容与课程学习目标的对应关系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75"/>
        <w:gridCol w:w="3064"/>
        <w:gridCol w:w="1750"/>
        <w:gridCol w:w="788"/>
      </w:tblGrid>
      <w:tr w:rsidR="009F5318" w:rsidRPr="009F5318" w14:paraId="0B788C4B" w14:textId="77777777" w:rsidTr="00C96426">
        <w:trPr>
          <w:trHeight w:val="660"/>
          <w:jc w:val="center"/>
        </w:trPr>
        <w:tc>
          <w:tcPr>
            <w:tcW w:w="3085" w:type="dxa"/>
            <w:vAlign w:val="center"/>
          </w:tcPr>
          <w:p w14:paraId="09726534" w14:textId="77777777" w:rsidR="009F5318" w:rsidRPr="009F5318" w:rsidRDefault="009F5318" w:rsidP="009F5318">
            <w:pPr>
              <w:spacing w:line="440" w:lineRule="exact"/>
              <w:jc w:val="center"/>
              <w:rPr>
                <w:rFonts w:ascii="宋体" w:eastAsia="宋体" w:hAnsi="宋体" w:cs="Times New Roman"/>
                <w:b/>
                <w:bCs/>
                <w:sz w:val="24"/>
                <w:szCs w:val="24"/>
              </w:rPr>
            </w:pPr>
            <w:r w:rsidRPr="009F5318">
              <w:rPr>
                <w:rFonts w:ascii="宋体" w:eastAsia="宋体" w:hAnsi="宋体" w:cs="Times New Roman" w:hint="eastAsia"/>
                <w:b/>
                <w:bCs/>
                <w:sz w:val="24"/>
                <w:szCs w:val="24"/>
              </w:rPr>
              <w:t>课程学习内容</w:t>
            </w:r>
          </w:p>
        </w:tc>
        <w:tc>
          <w:tcPr>
            <w:tcW w:w="2977" w:type="dxa"/>
            <w:vAlign w:val="center"/>
          </w:tcPr>
          <w:p w14:paraId="04A130CB" w14:textId="77777777" w:rsidR="009F5318" w:rsidRPr="009F5318" w:rsidRDefault="009F5318" w:rsidP="009F5318">
            <w:pPr>
              <w:spacing w:line="440" w:lineRule="exact"/>
              <w:jc w:val="center"/>
              <w:rPr>
                <w:rFonts w:ascii="宋体" w:eastAsia="宋体" w:hAnsi="宋体" w:cs="Times New Roman"/>
                <w:b/>
                <w:bCs/>
                <w:sz w:val="24"/>
                <w:szCs w:val="24"/>
              </w:rPr>
            </w:pPr>
            <w:r w:rsidRPr="009F5318">
              <w:rPr>
                <w:rFonts w:ascii="宋体" w:eastAsia="宋体" w:hAnsi="宋体" w:cs="Times New Roman" w:hint="eastAsia"/>
                <w:b/>
                <w:bCs/>
                <w:sz w:val="24"/>
                <w:szCs w:val="24"/>
              </w:rPr>
              <w:t>教学方法</w:t>
            </w:r>
          </w:p>
        </w:tc>
        <w:tc>
          <w:tcPr>
            <w:tcW w:w="1701" w:type="dxa"/>
            <w:vAlign w:val="center"/>
          </w:tcPr>
          <w:p w14:paraId="36D9985D" w14:textId="77777777" w:rsidR="009F5318" w:rsidRPr="009F5318" w:rsidRDefault="009F5318" w:rsidP="009F5318">
            <w:pPr>
              <w:spacing w:line="440" w:lineRule="exact"/>
              <w:jc w:val="center"/>
              <w:rPr>
                <w:rFonts w:ascii="宋体" w:eastAsia="宋体" w:hAnsi="宋体" w:cs="Times New Roman"/>
                <w:b/>
                <w:bCs/>
                <w:sz w:val="24"/>
                <w:szCs w:val="24"/>
              </w:rPr>
            </w:pPr>
            <w:r w:rsidRPr="009F5318">
              <w:rPr>
                <w:rFonts w:ascii="宋体" w:eastAsia="宋体" w:hAnsi="宋体" w:cs="Times New Roman" w:hint="eastAsia"/>
                <w:b/>
                <w:bCs/>
                <w:sz w:val="24"/>
                <w:szCs w:val="24"/>
              </w:rPr>
              <w:t>支撑的课程目标</w:t>
            </w:r>
          </w:p>
        </w:tc>
        <w:tc>
          <w:tcPr>
            <w:tcW w:w="766" w:type="dxa"/>
            <w:vAlign w:val="center"/>
          </w:tcPr>
          <w:p w14:paraId="54B6FF9A" w14:textId="77777777" w:rsidR="009F5318" w:rsidRPr="009F5318" w:rsidRDefault="009F5318" w:rsidP="009F5318">
            <w:pPr>
              <w:spacing w:line="440" w:lineRule="exact"/>
              <w:jc w:val="center"/>
              <w:rPr>
                <w:rFonts w:ascii="宋体" w:eastAsia="宋体" w:hAnsi="宋体" w:cs="Times New Roman"/>
                <w:b/>
                <w:bCs/>
                <w:sz w:val="24"/>
                <w:szCs w:val="24"/>
              </w:rPr>
            </w:pPr>
            <w:r w:rsidRPr="009F5318">
              <w:rPr>
                <w:rFonts w:ascii="宋体" w:eastAsia="宋体" w:hAnsi="宋体" w:cs="Times New Roman" w:hint="eastAsia"/>
                <w:b/>
                <w:bCs/>
                <w:sz w:val="24"/>
                <w:szCs w:val="24"/>
              </w:rPr>
              <w:t>学时安排</w:t>
            </w:r>
          </w:p>
        </w:tc>
      </w:tr>
      <w:tr w:rsidR="009F5318" w:rsidRPr="009F5318" w14:paraId="7FF3ECB2" w14:textId="77777777" w:rsidTr="00C96426">
        <w:trPr>
          <w:trHeight w:val="514"/>
          <w:jc w:val="center"/>
        </w:trPr>
        <w:tc>
          <w:tcPr>
            <w:tcW w:w="3085" w:type="dxa"/>
            <w:vAlign w:val="center"/>
          </w:tcPr>
          <w:p w14:paraId="2AAAC874"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hint="eastAsia"/>
                <w:sz w:val="24"/>
                <w:szCs w:val="24"/>
              </w:rPr>
              <w:lastRenderedPageBreak/>
              <w:t>第一章 绪</w:t>
            </w:r>
            <w:r w:rsidRPr="009F5318">
              <w:rPr>
                <w:rFonts w:ascii="宋体" w:eastAsia="宋体" w:hAnsi="宋体" w:cs="Times New Roman"/>
                <w:sz w:val="24"/>
                <w:szCs w:val="24"/>
              </w:rPr>
              <w:t>论</w:t>
            </w:r>
          </w:p>
        </w:tc>
        <w:tc>
          <w:tcPr>
            <w:tcW w:w="2977" w:type="dxa"/>
            <w:vAlign w:val="center"/>
          </w:tcPr>
          <w:p w14:paraId="74D8CE3F"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讲授法、案例法</w:t>
            </w:r>
          </w:p>
        </w:tc>
        <w:tc>
          <w:tcPr>
            <w:tcW w:w="1701" w:type="dxa"/>
            <w:vAlign w:val="center"/>
          </w:tcPr>
          <w:p w14:paraId="3C6D4B5C"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课程</w:t>
            </w:r>
            <w:r w:rsidRPr="009F5318">
              <w:rPr>
                <w:rFonts w:ascii="宋体" w:eastAsia="宋体" w:hAnsi="宋体" w:cs="Times New Roman"/>
                <w:sz w:val="24"/>
                <w:szCs w:val="24"/>
              </w:rPr>
              <w:t>目标</w:t>
            </w:r>
            <w:r w:rsidRPr="009F5318">
              <w:rPr>
                <w:rFonts w:ascii="宋体" w:eastAsia="宋体" w:hAnsi="宋体" w:cs="Times New Roman" w:hint="eastAsia"/>
                <w:sz w:val="24"/>
                <w:szCs w:val="24"/>
              </w:rPr>
              <w:t>1</w:t>
            </w:r>
          </w:p>
        </w:tc>
        <w:tc>
          <w:tcPr>
            <w:tcW w:w="766" w:type="dxa"/>
            <w:vAlign w:val="center"/>
          </w:tcPr>
          <w:p w14:paraId="47F0E7A8"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4</w:t>
            </w:r>
          </w:p>
        </w:tc>
      </w:tr>
      <w:tr w:rsidR="009F5318" w:rsidRPr="009F5318" w14:paraId="7C20EC1C" w14:textId="77777777" w:rsidTr="00C96426">
        <w:trPr>
          <w:trHeight w:val="90"/>
          <w:jc w:val="center"/>
        </w:trPr>
        <w:tc>
          <w:tcPr>
            <w:tcW w:w="3085" w:type="dxa"/>
            <w:vAlign w:val="center"/>
          </w:tcPr>
          <w:p w14:paraId="4BCC729B"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hint="eastAsia"/>
                <w:sz w:val="24"/>
                <w:szCs w:val="24"/>
              </w:rPr>
              <w:t>第二章 描述统计</w:t>
            </w:r>
          </w:p>
        </w:tc>
        <w:tc>
          <w:tcPr>
            <w:tcW w:w="2977" w:type="dxa"/>
            <w:vAlign w:val="center"/>
          </w:tcPr>
          <w:p w14:paraId="7D558D94"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hint="eastAsia"/>
                <w:sz w:val="24"/>
                <w:szCs w:val="24"/>
              </w:rPr>
              <w:t>讲授法、比较法、案例法、演示法、练习法</w:t>
            </w:r>
          </w:p>
        </w:tc>
        <w:tc>
          <w:tcPr>
            <w:tcW w:w="1701" w:type="dxa"/>
            <w:vAlign w:val="center"/>
          </w:tcPr>
          <w:p w14:paraId="56256ED6"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课程目标1、2</w:t>
            </w:r>
          </w:p>
        </w:tc>
        <w:tc>
          <w:tcPr>
            <w:tcW w:w="766" w:type="dxa"/>
            <w:vAlign w:val="center"/>
          </w:tcPr>
          <w:p w14:paraId="7519DC2F"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4</w:t>
            </w:r>
          </w:p>
        </w:tc>
      </w:tr>
      <w:tr w:rsidR="009F5318" w:rsidRPr="009F5318" w14:paraId="03C4139F" w14:textId="77777777" w:rsidTr="00C96426">
        <w:trPr>
          <w:jc w:val="center"/>
        </w:trPr>
        <w:tc>
          <w:tcPr>
            <w:tcW w:w="3085" w:type="dxa"/>
            <w:vAlign w:val="center"/>
          </w:tcPr>
          <w:p w14:paraId="160EE3E3"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hint="eastAsia"/>
                <w:sz w:val="24"/>
                <w:szCs w:val="24"/>
              </w:rPr>
              <w:t>第三章 数据的误差叠加与处理</w:t>
            </w:r>
          </w:p>
        </w:tc>
        <w:tc>
          <w:tcPr>
            <w:tcW w:w="2977" w:type="dxa"/>
            <w:vAlign w:val="center"/>
          </w:tcPr>
          <w:p w14:paraId="54493CBA"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sz w:val="24"/>
                <w:szCs w:val="24"/>
              </w:rPr>
              <w:t>讲授法、案例法、练习法</w:t>
            </w:r>
          </w:p>
        </w:tc>
        <w:tc>
          <w:tcPr>
            <w:tcW w:w="1701" w:type="dxa"/>
            <w:vAlign w:val="center"/>
          </w:tcPr>
          <w:p w14:paraId="18AB8D6E"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课程目标1、2</w:t>
            </w:r>
          </w:p>
        </w:tc>
        <w:tc>
          <w:tcPr>
            <w:tcW w:w="766" w:type="dxa"/>
            <w:vAlign w:val="center"/>
          </w:tcPr>
          <w:p w14:paraId="085D70FB"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4</w:t>
            </w:r>
          </w:p>
        </w:tc>
      </w:tr>
      <w:tr w:rsidR="009F5318" w:rsidRPr="009F5318" w14:paraId="333ACCCB" w14:textId="77777777" w:rsidTr="00C96426">
        <w:trPr>
          <w:jc w:val="center"/>
        </w:trPr>
        <w:tc>
          <w:tcPr>
            <w:tcW w:w="3085" w:type="dxa"/>
            <w:vAlign w:val="center"/>
          </w:tcPr>
          <w:p w14:paraId="1431645A"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hint="eastAsia"/>
                <w:sz w:val="24"/>
                <w:szCs w:val="24"/>
              </w:rPr>
              <w:t>第四章 取样</w:t>
            </w:r>
          </w:p>
        </w:tc>
        <w:tc>
          <w:tcPr>
            <w:tcW w:w="2977" w:type="dxa"/>
            <w:vAlign w:val="center"/>
          </w:tcPr>
          <w:p w14:paraId="45E37CE7"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sz w:val="24"/>
                <w:szCs w:val="24"/>
              </w:rPr>
              <w:t>讲授法、比较法、案例法</w:t>
            </w:r>
          </w:p>
        </w:tc>
        <w:tc>
          <w:tcPr>
            <w:tcW w:w="1701" w:type="dxa"/>
            <w:vAlign w:val="center"/>
          </w:tcPr>
          <w:p w14:paraId="433B8A33"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课程</w:t>
            </w:r>
            <w:r w:rsidRPr="009F5318">
              <w:rPr>
                <w:rFonts w:ascii="宋体" w:eastAsia="宋体" w:hAnsi="宋体" w:cs="Times New Roman"/>
                <w:sz w:val="24"/>
                <w:szCs w:val="24"/>
              </w:rPr>
              <w:t>目标</w:t>
            </w:r>
            <w:r w:rsidRPr="009F5318">
              <w:rPr>
                <w:rFonts w:ascii="宋体" w:eastAsia="宋体" w:hAnsi="宋体" w:cs="Times New Roman" w:hint="eastAsia"/>
                <w:sz w:val="24"/>
                <w:szCs w:val="24"/>
              </w:rPr>
              <w:t>1、2、3</w:t>
            </w:r>
          </w:p>
        </w:tc>
        <w:tc>
          <w:tcPr>
            <w:tcW w:w="766" w:type="dxa"/>
            <w:vAlign w:val="center"/>
          </w:tcPr>
          <w:p w14:paraId="5E31B006"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2</w:t>
            </w:r>
          </w:p>
        </w:tc>
      </w:tr>
      <w:tr w:rsidR="009F5318" w:rsidRPr="009F5318" w14:paraId="54055B99" w14:textId="77777777" w:rsidTr="00C96426">
        <w:trPr>
          <w:jc w:val="center"/>
        </w:trPr>
        <w:tc>
          <w:tcPr>
            <w:tcW w:w="3085" w:type="dxa"/>
            <w:vAlign w:val="center"/>
          </w:tcPr>
          <w:p w14:paraId="71CF4FD3"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hint="eastAsia"/>
                <w:sz w:val="24"/>
                <w:szCs w:val="24"/>
              </w:rPr>
              <w:t>第五章 统计推断之一——统计估计</w:t>
            </w:r>
          </w:p>
        </w:tc>
        <w:tc>
          <w:tcPr>
            <w:tcW w:w="2977" w:type="dxa"/>
            <w:vAlign w:val="center"/>
          </w:tcPr>
          <w:p w14:paraId="393647D1"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sz w:val="24"/>
                <w:szCs w:val="24"/>
              </w:rPr>
              <w:t>讲授法、比较法、案例法、</w:t>
            </w:r>
            <w:r w:rsidRPr="009F5318">
              <w:rPr>
                <w:rFonts w:ascii="宋体" w:eastAsia="宋体" w:hAnsi="宋体" w:cs="Times New Roman" w:hint="eastAsia"/>
                <w:sz w:val="24"/>
                <w:szCs w:val="24"/>
              </w:rPr>
              <w:t>演示法、练习法</w:t>
            </w:r>
          </w:p>
        </w:tc>
        <w:tc>
          <w:tcPr>
            <w:tcW w:w="1701" w:type="dxa"/>
            <w:vAlign w:val="center"/>
          </w:tcPr>
          <w:p w14:paraId="726DE1A2"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课程</w:t>
            </w:r>
            <w:r w:rsidRPr="009F5318">
              <w:rPr>
                <w:rFonts w:ascii="宋体" w:eastAsia="宋体" w:hAnsi="宋体" w:cs="Times New Roman"/>
                <w:sz w:val="24"/>
                <w:szCs w:val="24"/>
              </w:rPr>
              <w:t>目标</w:t>
            </w:r>
            <w:r w:rsidRPr="009F5318">
              <w:rPr>
                <w:rFonts w:ascii="宋体" w:eastAsia="宋体" w:hAnsi="宋体" w:cs="Times New Roman" w:hint="eastAsia"/>
                <w:sz w:val="24"/>
                <w:szCs w:val="24"/>
              </w:rPr>
              <w:t>1、2</w:t>
            </w:r>
          </w:p>
        </w:tc>
        <w:tc>
          <w:tcPr>
            <w:tcW w:w="766" w:type="dxa"/>
            <w:vAlign w:val="center"/>
          </w:tcPr>
          <w:p w14:paraId="7C75F357"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2</w:t>
            </w:r>
          </w:p>
        </w:tc>
      </w:tr>
      <w:tr w:rsidR="009F5318" w:rsidRPr="009F5318" w14:paraId="26051652" w14:textId="77777777" w:rsidTr="00C96426">
        <w:trPr>
          <w:jc w:val="center"/>
        </w:trPr>
        <w:tc>
          <w:tcPr>
            <w:tcW w:w="3085" w:type="dxa"/>
            <w:vAlign w:val="center"/>
          </w:tcPr>
          <w:p w14:paraId="6C97D452"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hint="eastAsia"/>
                <w:sz w:val="24"/>
                <w:szCs w:val="24"/>
              </w:rPr>
              <w:t>第六章 统计推断之二——假设检验</w:t>
            </w:r>
          </w:p>
        </w:tc>
        <w:tc>
          <w:tcPr>
            <w:tcW w:w="2977" w:type="dxa"/>
            <w:vAlign w:val="center"/>
          </w:tcPr>
          <w:p w14:paraId="17B94288"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sz w:val="24"/>
                <w:szCs w:val="24"/>
              </w:rPr>
              <w:t>讲授法、案例法、演示法、练习法</w:t>
            </w:r>
          </w:p>
        </w:tc>
        <w:tc>
          <w:tcPr>
            <w:tcW w:w="1701" w:type="dxa"/>
            <w:vAlign w:val="center"/>
          </w:tcPr>
          <w:p w14:paraId="393A0EE2"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课程</w:t>
            </w:r>
            <w:r w:rsidRPr="009F5318">
              <w:rPr>
                <w:rFonts w:ascii="宋体" w:eastAsia="宋体" w:hAnsi="宋体" w:cs="Times New Roman"/>
                <w:sz w:val="24"/>
                <w:szCs w:val="24"/>
              </w:rPr>
              <w:t>目标</w:t>
            </w:r>
            <w:r w:rsidRPr="009F5318">
              <w:rPr>
                <w:rFonts w:ascii="宋体" w:eastAsia="宋体" w:hAnsi="宋体" w:cs="Times New Roman" w:hint="eastAsia"/>
                <w:sz w:val="24"/>
                <w:szCs w:val="24"/>
              </w:rPr>
              <w:t>1、2、3</w:t>
            </w:r>
          </w:p>
        </w:tc>
        <w:tc>
          <w:tcPr>
            <w:tcW w:w="766" w:type="dxa"/>
            <w:vAlign w:val="center"/>
          </w:tcPr>
          <w:p w14:paraId="0359C5C7"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6</w:t>
            </w:r>
          </w:p>
        </w:tc>
      </w:tr>
      <w:tr w:rsidR="009F5318" w:rsidRPr="009F5318" w14:paraId="194B2406" w14:textId="77777777" w:rsidTr="00C96426">
        <w:trPr>
          <w:jc w:val="center"/>
        </w:trPr>
        <w:tc>
          <w:tcPr>
            <w:tcW w:w="3085" w:type="dxa"/>
            <w:vAlign w:val="center"/>
          </w:tcPr>
          <w:p w14:paraId="2C361604"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hint="eastAsia"/>
                <w:sz w:val="24"/>
                <w:szCs w:val="24"/>
              </w:rPr>
              <w:t>第七章 回归与相关</w:t>
            </w:r>
          </w:p>
        </w:tc>
        <w:tc>
          <w:tcPr>
            <w:tcW w:w="2977" w:type="dxa"/>
            <w:vAlign w:val="center"/>
          </w:tcPr>
          <w:p w14:paraId="31F76335"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sz w:val="24"/>
                <w:szCs w:val="24"/>
              </w:rPr>
              <w:t>讲授法、案例法、演示法、练习法</w:t>
            </w:r>
          </w:p>
        </w:tc>
        <w:tc>
          <w:tcPr>
            <w:tcW w:w="1701" w:type="dxa"/>
            <w:vAlign w:val="center"/>
          </w:tcPr>
          <w:p w14:paraId="7AA5B43A"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课程</w:t>
            </w:r>
            <w:r w:rsidRPr="009F5318">
              <w:rPr>
                <w:rFonts w:ascii="宋体" w:eastAsia="宋体" w:hAnsi="宋体" w:cs="Times New Roman"/>
                <w:sz w:val="24"/>
                <w:szCs w:val="24"/>
              </w:rPr>
              <w:t>目标</w:t>
            </w:r>
            <w:r w:rsidRPr="009F5318">
              <w:rPr>
                <w:rFonts w:ascii="宋体" w:eastAsia="宋体" w:hAnsi="宋体" w:cs="Times New Roman" w:hint="eastAsia"/>
                <w:sz w:val="24"/>
                <w:szCs w:val="24"/>
              </w:rPr>
              <w:t>1</w:t>
            </w:r>
          </w:p>
        </w:tc>
        <w:tc>
          <w:tcPr>
            <w:tcW w:w="766" w:type="dxa"/>
            <w:vAlign w:val="center"/>
          </w:tcPr>
          <w:p w14:paraId="42001C51"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2</w:t>
            </w:r>
          </w:p>
        </w:tc>
      </w:tr>
      <w:tr w:rsidR="009F5318" w:rsidRPr="009F5318" w14:paraId="6CC73765" w14:textId="77777777" w:rsidTr="00C96426">
        <w:trPr>
          <w:jc w:val="center"/>
        </w:trPr>
        <w:tc>
          <w:tcPr>
            <w:tcW w:w="3085" w:type="dxa"/>
            <w:vAlign w:val="center"/>
          </w:tcPr>
          <w:p w14:paraId="72B1B06D"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hint="eastAsia"/>
                <w:sz w:val="24"/>
                <w:szCs w:val="24"/>
              </w:rPr>
              <w:t>实验：利用气相色谱法比较花生中油酸与亚油酸的相对含量</w:t>
            </w:r>
          </w:p>
        </w:tc>
        <w:tc>
          <w:tcPr>
            <w:tcW w:w="2977" w:type="dxa"/>
            <w:vAlign w:val="center"/>
          </w:tcPr>
          <w:p w14:paraId="25CA32EC" w14:textId="77777777" w:rsidR="009F5318" w:rsidRPr="009F5318" w:rsidRDefault="009F5318" w:rsidP="009F5318">
            <w:pPr>
              <w:spacing w:line="440" w:lineRule="exact"/>
              <w:jc w:val="left"/>
              <w:rPr>
                <w:rFonts w:ascii="宋体" w:eastAsia="宋体" w:hAnsi="宋体" w:cs="Times New Roman"/>
                <w:sz w:val="24"/>
                <w:szCs w:val="24"/>
              </w:rPr>
            </w:pPr>
            <w:r w:rsidRPr="009F5318">
              <w:rPr>
                <w:rFonts w:ascii="宋体" w:eastAsia="宋体" w:hAnsi="宋体" w:cs="Times New Roman"/>
                <w:sz w:val="24"/>
                <w:szCs w:val="24"/>
              </w:rPr>
              <w:t>讲授法、演示法、练习法</w:t>
            </w:r>
          </w:p>
        </w:tc>
        <w:tc>
          <w:tcPr>
            <w:tcW w:w="1701" w:type="dxa"/>
            <w:vAlign w:val="center"/>
          </w:tcPr>
          <w:p w14:paraId="59103BCF"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课程目标2、3</w:t>
            </w:r>
          </w:p>
        </w:tc>
        <w:tc>
          <w:tcPr>
            <w:tcW w:w="766" w:type="dxa"/>
            <w:vAlign w:val="center"/>
          </w:tcPr>
          <w:p w14:paraId="5ED35741"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16</w:t>
            </w:r>
          </w:p>
        </w:tc>
      </w:tr>
      <w:tr w:rsidR="009F5318" w:rsidRPr="009F5318" w14:paraId="74C4853F" w14:textId="77777777" w:rsidTr="00C96426">
        <w:trPr>
          <w:jc w:val="center"/>
        </w:trPr>
        <w:tc>
          <w:tcPr>
            <w:tcW w:w="7763" w:type="dxa"/>
            <w:gridSpan w:val="3"/>
            <w:vAlign w:val="center"/>
          </w:tcPr>
          <w:p w14:paraId="31A51547" w14:textId="77777777" w:rsidR="009F5318" w:rsidRPr="009F5318" w:rsidRDefault="009F5318" w:rsidP="009F5318">
            <w:pPr>
              <w:spacing w:line="440" w:lineRule="exact"/>
              <w:jc w:val="center"/>
              <w:rPr>
                <w:rFonts w:ascii="宋体" w:eastAsia="宋体" w:hAnsi="宋体" w:cs="Times New Roman"/>
                <w:b/>
                <w:sz w:val="24"/>
                <w:szCs w:val="24"/>
              </w:rPr>
            </w:pPr>
            <w:r w:rsidRPr="009F5318">
              <w:rPr>
                <w:rFonts w:ascii="宋体" w:eastAsia="宋体" w:hAnsi="宋体" w:cs="Times New Roman" w:hint="eastAsia"/>
                <w:b/>
                <w:sz w:val="24"/>
                <w:szCs w:val="24"/>
              </w:rPr>
              <w:t>合计</w:t>
            </w:r>
          </w:p>
        </w:tc>
        <w:tc>
          <w:tcPr>
            <w:tcW w:w="766" w:type="dxa"/>
            <w:vAlign w:val="center"/>
          </w:tcPr>
          <w:p w14:paraId="252E1ABD" w14:textId="77777777" w:rsidR="009F5318" w:rsidRPr="009F5318" w:rsidRDefault="009F5318" w:rsidP="009F5318">
            <w:pPr>
              <w:spacing w:line="440" w:lineRule="exact"/>
              <w:jc w:val="center"/>
              <w:rPr>
                <w:rFonts w:ascii="宋体" w:eastAsia="宋体" w:hAnsi="宋体" w:cs="Times New Roman"/>
                <w:sz w:val="24"/>
                <w:szCs w:val="24"/>
              </w:rPr>
            </w:pPr>
            <w:r w:rsidRPr="009F5318">
              <w:rPr>
                <w:rFonts w:ascii="宋体" w:eastAsia="宋体" w:hAnsi="宋体" w:cs="Times New Roman" w:hint="eastAsia"/>
                <w:sz w:val="24"/>
                <w:szCs w:val="24"/>
              </w:rPr>
              <w:t>40</w:t>
            </w:r>
          </w:p>
        </w:tc>
      </w:tr>
    </w:tbl>
    <w:p w14:paraId="3238B1C1" w14:textId="77777777" w:rsidR="009F5318" w:rsidRPr="009F5318" w:rsidRDefault="009F5318" w:rsidP="00C63ECC">
      <w:pPr>
        <w:pStyle w:val="afc"/>
      </w:pPr>
      <w:r w:rsidRPr="009F5318">
        <w:rPr>
          <w:rFonts w:hint="eastAsia"/>
        </w:rPr>
        <w:t>四、课程考核及与课程学习目标的对应关系</w:t>
      </w:r>
    </w:p>
    <w:p w14:paraId="44081A4C" w14:textId="77777777" w:rsidR="009F5318" w:rsidRPr="009F5318" w:rsidRDefault="009F5318" w:rsidP="009F5318">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F5318">
        <w:rPr>
          <w:rFonts w:ascii="黑体" w:eastAsia="黑体" w:hAnsi="黑体" w:cs="Times New Roman" w:hint="eastAsia"/>
          <w:sz w:val="28"/>
          <w:szCs w:val="28"/>
        </w:rPr>
        <w:t>（一）课程考核内容与课程学习目标的对应关系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47"/>
        <w:gridCol w:w="7430"/>
      </w:tblGrid>
      <w:tr w:rsidR="009F5318" w:rsidRPr="009F5318" w14:paraId="4B76EE3D" w14:textId="77777777" w:rsidTr="00C96426">
        <w:trPr>
          <w:trHeight w:val="515"/>
          <w:jc w:val="center"/>
        </w:trPr>
        <w:tc>
          <w:tcPr>
            <w:tcW w:w="1422" w:type="dxa"/>
          </w:tcPr>
          <w:p w14:paraId="05E59FA4" w14:textId="77777777" w:rsidR="009F5318" w:rsidRPr="009F5318" w:rsidRDefault="009F5318" w:rsidP="009F5318">
            <w:pPr>
              <w:spacing w:line="440" w:lineRule="exact"/>
              <w:jc w:val="center"/>
              <w:rPr>
                <w:rFonts w:ascii="宋体" w:eastAsia="宋体" w:hAnsi="宋体" w:cs="Times New Roman"/>
                <w:b/>
                <w:sz w:val="24"/>
                <w:szCs w:val="24"/>
              </w:rPr>
            </w:pPr>
            <w:r w:rsidRPr="009F5318">
              <w:rPr>
                <w:rFonts w:ascii="宋体" w:eastAsia="宋体" w:hAnsi="宋体" w:cs="Times New Roman" w:hint="eastAsia"/>
                <w:b/>
                <w:sz w:val="24"/>
                <w:szCs w:val="24"/>
              </w:rPr>
              <w:t>课程目标</w:t>
            </w:r>
          </w:p>
        </w:tc>
        <w:tc>
          <w:tcPr>
            <w:tcW w:w="7918" w:type="dxa"/>
            <w:vAlign w:val="center"/>
          </w:tcPr>
          <w:p w14:paraId="552A1BBC" w14:textId="77777777" w:rsidR="009F5318" w:rsidRPr="009F5318" w:rsidRDefault="009F5318" w:rsidP="009F5318">
            <w:pPr>
              <w:spacing w:line="440" w:lineRule="exact"/>
              <w:jc w:val="center"/>
              <w:rPr>
                <w:rFonts w:ascii="宋体" w:eastAsia="宋体" w:hAnsi="宋体" w:cs="Times New Roman"/>
                <w:b/>
                <w:sz w:val="24"/>
                <w:szCs w:val="24"/>
              </w:rPr>
            </w:pPr>
            <w:r w:rsidRPr="009F5318">
              <w:rPr>
                <w:rFonts w:ascii="宋体" w:eastAsia="宋体" w:hAnsi="宋体" w:cs="Times New Roman" w:hint="eastAsia"/>
                <w:b/>
                <w:sz w:val="24"/>
                <w:szCs w:val="24"/>
              </w:rPr>
              <w:t>考核内容</w:t>
            </w:r>
          </w:p>
        </w:tc>
      </w:tr>
      <w:tr w:rsidR="009F5318" w:rsidRPr="009F5318" w14:paraId="7AC03F33" w14:textId="77777777" w:rsidTr="00C96426">
        <w:trPr>
          <w:jc w:val="center"/>
        </w:trPr>
        <w:tc>
          <w:tcPr>
            <w:tcW w:w="1422" w:type="dxa"/>
            <w:vAlign w:val="center"/>
          </w:tcPr>
          <w:p w14:paraId="2C9E6610"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课程目标1</w:t>
            </w:r>
          </w:p>
        </w:tc>
        <w:tc>
          <w:tcPr>
            <w:tcW w:w="7918" w:type="dxa"/>
            <w:vAlign w:val="center"/>
          </w:tcPr>
          <w:p w14:paraId="53BE4DBA"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1.1</w:t>
            </w:r>
            <w:r w:rsidRPr="009F5318">
              <w:rPr>
                <w:rFonts w:ascii="宋体" w:eastAsia="宋体" w:hAnsi="宋体" w:cs="Times New Roman" w:hint="eastAsia"/>
                <w:sz w:val="24"/>
                <w:szCs w:val="24"/>
              </w:rPr>
              <w:t xml:space="preserve"> 统计学简史与定义</w:t>
            </w:r>
          </w:p>
          <w:p w14:paraId="46B8B136"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1.2</w:t>
            </w:r>
            <w:r w:rsidRPr="009F5318">
              <w:rPr>
                <w:rFonts w:ascii="宋体" w:eastAsia="宋体" w:hAnsi="宋体" w:cs="Times New Roman" w:hint="eastAsia"/>
                <w:sz w:val="24"/>
                <w:szCs w:val="24"/>
              </w:rPr>
              <w:t xml:space="preserve"> 统计学的几个基本概念</w:t>
            </w:r>
          </w:p>
          <w:p w14:paraId="367339E3"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2.1</w:t>
            </w:r>
            <w:r w:rsidRPr="009F5318">
              <w:rPr>
                <w:rFonts w:ascii="宋体" w:eastAsia="宋体" w:hAnsi="宋体" w:cs="Times New Roman" w:hint="eastAsia"/>
                <w:sz w:val="24"/>
                <w:szCs w:val="24"/>
              </w:rPr>
              <w:t xml:space="preserve"> 数据图解的重要性及分类</w:t>
            </w:r>
          </w:p>
          <w:p w14:paraId="7D808810"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sz w:val="24"/>
                <w:szCs w:val="24"/>
              </w:rPr>
              <w:t>2.2</w:t>
            </w:r>
            <w:r w:rsidRPr="009F5318">
              <w:rPr>
                <w:rFonts w:ascii="宋体" w:eastAsia="宋体" w:hAnsi="宋体" w:cs="Times New Roman" w:hint="eastAsia"/>
                <w:sz w:val="24"/>
                <w:szCs w:val="24"/>
              </w:rPr>
              <w:t xml:space="preserve"> 频数或频率的图解</w:t>
            </w:r>
          </w:p>
          <w:p w14:paraId="46F0BC68"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w:t>
            </w:r>
            <w:r w:rsidRPr="009F5318">
              <w:rPr>
                <w:rFonts w:ascii="宋体" w:eastAsia="宋体" w:hAnsi="宋体" w:cs="Times New Roman"/>
                <w:sz w:val="24"/>
                <w:szCs w:val="24"/>
              </w:rPr>
              <w:t>.1</w:t>
            </w:r>
            <w:r w:rsidRPr="009F5318">
              <w:rPr>
                <w:rFonts w:ascii="宋体" w:eastAsia="宋体" w:hAnsi="宋体" w:cs="Times New Roman" w:hint="eastAsia"/>
                <w:sz w:val="24"/>
                <w:szCs w:val="24"/>
              </w:rPr>
              <w:t xml:space="preserve"> 误差及其种类</w:t>
            </w:r>
          </w:p>
          <w:p w14:paraId="1C78BF85"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 xml:space="preserve">2 </w:t>
            </w:r>
            <w:r w:rsidRPr="009F5318">
              <w:rPr>
                <w:rFonts w:ascii="宋体" w:eastAsia="宋体" w:hAnsi="宋体" w:cs="Times New Roman" w:hint="eastAsia"/>
                <w:sz w:val="24"/>
                <w:szCs w:val="24"/>
              </w:rPr>
              <w:t>分层取样</w:t>
            </w:r>
          </w:p>
          <w:p w14:paraId="5F580DB5"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 xml:space="preserve">3 </w:t>
            </w:r>
            <w:r w:rsidRPr="009F5318">
              <w:rPr>
                <w:rFonts w:ascii="宋体" w:eastAsia="宋体" w:hAnsi="宋体" w:cs="Times New Roman" w:hint="eastAsia"/>
                <w:sz w:val="24"/>
                <w:szCs w:val="24"/>
              </w:rPr>
              <w:t>系统取样</w:t>
            </w:r>
          </w:p>
          <w:p w14:paraId="5012C207"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 xml:space="preserve">4 </w:t>
            </w:r>
            <w:r w:rsidRPr="009F5318">
              <w:rPr>
                <w:rFonts w:ascii="宋体" w:eastAsia="宋体" w:hAnsi="宋体" w:cs="Times New Roman" w:hint="eastAsia"/>
                <w:sz w:val="24"/>
                <w:szCs w:val="24"/>
              </w:rPr>
              <w:t>散装物取样</w:t>
            </w:r>
          </w:p>
          <w:p w14:paraId="7AAA683F"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 xml:space="preserve">5 </w:t>
            </w:r>
            <w:r w:rsidRPr="009F5318">
              <w:rPr>
                <w:rFonts w:ascii="宋体" w:eastAsia="宋体" w:hAnsi="宋体" w:cs="Times New Roman" w:hint="eastAsia"/>
                <w:sz w:val="24"/>
                <w:szCs w:val="24"/>
              </w:rPr>
              <w:t>验收取样</w:t>
            </w:r>
          </w:p>
          <w:p w14:paraId="766E33B1"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 xml:space="preserve">6 </w:t>
            </w:r>
            <w:r w:rsidRPr="009F5318">
              <w:rPr>
                <w:rFonts w:ascii="宋体" w:eastAsia="宋体" w:hAnsi="宋体" w:cs="Times New Roman" w:hint="eastAsia"/>
                <w:sz w:val="24"/>
                <w:szCs w:val="24"/>
              </w:rPr>
              <w:t>集束取样</w:t>
            </w:r>
          </w:p>
          <w:p w14:paraId="7CC20269"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lastRenderedPageBreak/>
              <w:t>5</w:t>
            </w:r>
            <w:r w:rsidRPr="009F5318">
              <w:rPr>
                <w:rFonts w:ascii="宋体" w:eastAsia="宋体" w:hAnsi="宋体" w:cs="Times New Roman"/>
                <w:sz w:val="24"/>
                <w:szCs w:val="24"/>
              </w:rPr>
              <w:t>.1</w:t>
            </w:r>
            <w:r w:rsidRPr="009F5318">
              <w:rPr>
                <w:rFonts w:ascii="宋体" w:eastAsia="宋体" w:hAnsi="宋体" w:cs="Times New Roman" w:hint="eastAsia"/>
                <w:sz w:val="24"/>
                <w:szCs w:val="24"/>
              </w:rPr>
              <w:t xml:space="preserve"> 统计估计的种类</w:t>
            </w:r>
          </w:p>
          <w:p w14:paraId="39E372C0"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5</w:t>
            </w:r>
            <w:r w:rsidRPr="009F5318">
              <w:rPr>
                <w:rFonts w:ascii="宋体" w:eastAsia="宋体" w:hAnsi="宋体" w:cs="Times New Roman"/>
                <w:sz w:val="24"/>
                <w:szCs w:val="24"/>
              </w:rPr>
              <w:t>.</w:t>
            </w:r>
            <w:r w:rsidRPr="009F5318">
              <w:rPr>
                <w:rFonts w:ascii="宋体" w:eastAsia="宋体" w:hAnsi="宋体" w:cs="Times New Roman" w:hint="eastAsia"/>
                <w:sz w:val="24"/>
                <w:szCs w:val="24"/>
              </w:rPr>
              <w:t>2 与均值有关的统计估计</w:t>
            </w:r>
          </w:p>
          <w:p w14:paraId="65B60C49"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5</w:t>
            </w:r>
            <w:r w:rsidRPr="009F5318">
              <w:rPr>
                <w:rFonts w:ascii="宋体" w:eastAsia="宋体" w:hAnsi="宋体" w:cs="Times New Roman"/>
                <w:sz w:val="24"/>
                <w:szCs w:val="24"/>
              </w:rPr>
              <w:t>.</w:t>
            </w:r>
            <w:r w:rsidRPr="009F5318">
              <w:rPr>
                <w:rFonts w:ascii="宋体" w:eastAsia="宋体" w:hAnsi="宋体" w:cs="Times New Roman" w:hint="eastAsia"/>
                <w:sz w:val="24"/>
                <w:szCs w:val="24"/>
              </w:rPr>
              <w:t>3 置信区间、容许区间和预测区间</w:t>
            </w:r>
          </w:p>
          <w:p w14:paraId="140232E0"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w:t>
            </w:r>
            <w:r w:rsidRPr="009F5318">
              <w:rPr>
                <w:rFonts w:ascii="宋体" w:eastAsia="宋体" w:hAnsi="宋体" w:cs="Times New Roman"/>
                <w:sz w:val="24"/>
                <w:szCs w:val="24"/>
              </w:rPr>
              <w:t>.1</w:t>
            </w:r>
            <w:r w:rsidRPr="009F5318">
              <w:rPr>
                <w:rFonts w:ascii="宋体" w:eastAsia="宋体" w:hAnsi="宋体" w:cs="Times New Roman" w:hint="eastAsia"/>
                <w:sz w:val="24"/>
                <w:szCs w:val="24"/>
              </w:rPr>
              <w:t xml:space="preserve"> 引子</w:t>
            </w:r>
          </w:p>
          <w:p w14:paraId="3366737F"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6.2 假设检验的两类错误</w:t>
            </w:r>
          </w:p>
          <w:p w14:paraId="7C69AAD8"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w:t>
            </w:r>
            <w:r w:rsidRPr="009F5318">
              <w:rPr>
                <w:rFonts w:ascii="宋体" w:eastAsia="宋体" w:hAnsi="宋体" w:cs="Times New Roman"/>
                <w:sz w:val="24"/>
                <w:szCs w:val="24"/>
              </w:rPr>
              <w:t>.3</w:t>
            </w:r>
            <w:r w:rsidRPr="009F5318">
              <w:rPr>
                <w:rFonts w:ascii="宋体" w:eastAsia="宋体" w:hAnsi="宋体" w:cs="Times New Roman" w:hint="eastAsia"/>
                <w:sz w:val="24"/>
                <w:szCs w:val="24"/>
              </w:rPr>
              <w:t xml:space="preserve"> 假设检验的一般步骤</w:t>
            </w:r>
          </w:p>
          <w:p w14:paraId="7CCC2D41"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w:t>
            </w:r>
            <w:r w:rsidRPr="009F5318">
              <w:rPr>
                <w:rFonts w:ascii="宋体" w:eastAsia="宋体" w:hAnsi="宋体" w:cs="Times New Roman"/>
                <w:sz w:val="24"/>
                <w:szCs w:val="24"/>
              </w:rPr>
              <w:t>.</w:t>
            </w:r>
            <w:r w:rsidRPr="009F5318">
              <w:rPr>
                <w:rFonts w:ascii="宋体" w:eastAsia="宋体" w:hAnsi="宋体" w:cs="Times New Roman" w:hint="eastAsia"/>
                <w:sz w:val="24"/>
                <w:szCs w:val="24"/>
              </w:rPr>
              <w:t xml:space="preserve">6 </w:t>
            </w:r>
            <w:r w:rsidRPr="009F5318">
              <w:rPr>
                <w:rFonts w:ascii="宋体" w:eastAsia="宋体" w:hAnsi="宋体" w:cs="Times New Roman" w:hint="eastAsia"/>
                <w:i/>
                <w:sz w:val="24"/>
                <w:szCs w:val="24"/>
              </w:rPr>
              <w:t>Χ</w:t>
            </w:r>
            <w:r w:rsidRPr="009F5318">
              <w:rPr>
                <w:rFonts w:ascii="宋体" w:eastAsia="宋体" w:hAnsi="宋体" w:cs="Times New Roman"/>
                <w:sz w:val="24"/>
                <w:szCs w:val="24"/>
                <w:vertAlign w:val="superscript"/>
              </w:rPr>
              <w:t>2</w:t>
            </w:r>
            <w:r w:rsidRPr="009F5318">
              <w:rPr>
                <w:rFonts w:ascii="宋体" w:eastAsia="宋体" w:hAnsi="宋体" w:cs="Times New Roman" w:hint="eastAsia"/>
                <w:sz w:val="24"/>
                <w:szCs w:val="24"/>
              </w:rPr>
              <w:t>检验</w:t>
            </w:r>
          </w:p>
          <w:p w14:paraId="3FF12281"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w:t>
            </w:r>
            <w:r w:rsidRPr="009F5318">
              <w:rPr>
                <w:rFonts w:ascii="宋体" w:eastAsia="宋体" w:hAnsi="宋体" w:cs="Times New Roman"/>
                <w:sz w:val="24"/>
                <w:szCs w:val="24"/>
              </w:rPr>
              <w:t>.</w:t>
            </w:r>
            <w:r w:rsidRPr="009F5318">
              <w:rPr>
                <w:rFonts w:ascii="宋体" w:eastAsia="宋体" w:hAnsi="宋体" w:cs="Times New Roman" w:hint="eastAsia"/>
                <w:sz w:val="24"/>
                <w:szCs w:val="24"/>
              </w:rPr>
              <w:t xml:space="preserve">7 </w:t>
            </w:r>
            <w:r w:rsidRPr="009F5318">
              <w:rPr>
                <w:rFonts w:ascii="宋体" w:eastAsia="宋体" w:hAnsi="宋体" w:cs="Times New Roman"/>
                <w:i/>
                <w:iCs/>
                <w:sz w:val="24"/>
                <w:szCs w:val="24"/>
              </w:rPr>
              <w:t>F</w:t>
            </w:r>
            <w:r w:rsidRPr="009F5318">
              <w:rPr>
                <w:rFonts w:ascii="宋体" w:eastAsia="宋体" w:hAnsi="宋体" w:cs="Times New Roman" w:hint="eastAsia"/>
                <w:sz w:val="24"/>
                <w:szCs w:val="24"/>
              </w:rPr>
              <w:t>检验</w:t>
            </w:r>
          </w:p>
          <w:p w14:paraId="20C58D80"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7</w:t>
            </w:r>
            <w:r w:rsidRPr="009F5318">
              <w:rPr>
                <w:rFonts w:ascii="宋体" w:eastAsia="宋体" w:hAnsi="宋体" w:cs="Times New Roman"/>
                <w:sz w:val="24"/>
                <w:szCs w:val="24"/>
              </w:rPr>
              <w:t>.1</w:t>
            </w:r>
            <w:r w:rsidRPr="009F5318">
              <w:rPr>
                <w:rFonts w:ascii="宋体" w:eastAsia="宋体" w:hAnsi="宋体" w:cs="Times New Roman" w:hint="eastAsia"/>
                <w:sz w:val="24"/>
                <w:szCs w:val="24"/>
              </w:rPr>
              <w:t xml:space="preserve"> 简单线性回归</w:t>
            </w:r>
          </w:p>
          <w:p w14:paraId="55D22AC9" w14:textId="77777777" w:rsidR="009F5318" w:rsidRPr="009F5318" w:rsidRDefault="009F5318" w:rsidP="009F5318">
            <w:pPr>
              <w:adjustRightInd w:val="0"/>
              <w:snapToGrid w:val="0"/>
              <w:spacing w:line="440" w:lineRule="exact"/>
              <w:ind w:firstLineChars="200" w:firstLine="480"/>
              <w:rPr>
                <w:rFonts w:ascii="宋体" w:eastAsia="宋体" w:hAnsi="宋体" w:cs="Times New Roman"/>
                <w:bCs/>
                <w:sz w:val="24"/>
                <w:szCs w:val="24"/>
              </w:rPr>
            </w:pPr>
            <w:r w:rsidRPr="009F5318">
              <w:rPr>
                <w:rFonts w:ascii="宋体" w:eastAsia="宋体" w:hAnsi="宋体" w:cs="Times New Roman" w:hint="eastAsia"/>
                <w:sz w:val="24"/>
                <w:szCs w:val="24"/>
              </w:rPr>
              <w:t>7</w:t>
            </w:r>
            <w:r w:rsidRPr="009F5318">
              <w:rPr>
                <w:rFonts w:ascii="宋体" w:eastAsia="宋体" w:hAnsi="宋体" w:cs="Times New Roman"/>
                <w:sz w:val="24"/>
                <w:szCs w:val="24"/>
              </w:rPr>
              <w:t>.</w:t>
            </w:r>
            <w:r w:rsidRPr="009F5318">
              <w:rPr>
                <w:rFonts w:ascii="宋体" w:eastAsia="宋体" w:hAnsi="宋体" w:cs="Times New Roman" w:hint="eastAsia"/>
                <w:sz w:val="24"/>
                <w:szCs w:val="24"/>
              </w:rPr>
              <w:t>2 相关分析</w:t>
            </w:r>
          </w:p>
        </w:tc>
      </w:tr>
      <w:tr w:rsidR="009F5318" w:rsidRPr="009F5318" w14:paraId="265635AE" w14:textId="77777777" w:rsidTr="00C96426">
        <w:trPr>
          <w:jc w:val="center"/>
        </w:trPr>
        <w:tc>
          <w:tcPr>
            <w:tcW w:w="1422" w:type="dxa"/>
            <w:vAlign w:val="center"/>
          </w:tcPr>
          <w:p w14:paraId="3C459418"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课程目标2</w:t>
            </w:r>
          </w:p>
        </w:tc>
        <w:tc>
          <w:tcPr>
            <w:tcW w:w="7918" w:type="dxa"/>
            <w:vAlign w:val="center"/>
          </w:tcPr>
          <w:p w14:paraId="544F2D44"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2.3 用</w:t>
            </w:r>
            <w:r w:rsidRPr="009F5318">
              <w:rPr>
                <w:rFonts w:ascii="宋体" w:eastAsia="宋体" w:hAnsi="宋体" w:cs="Times New Roman"/>
                <w:sz w:val="24"/>
                <w:szCs w:val="24"/>
              </w:rPr>
              <w:t>Excel</w:t>
            </w:r>
            <w:r w:rsidRPr="009F5318">
              <w:rPr>
                <w:rFonts w:ascii="宋体" w:eastAsia="宋体" w:hAnsi="宋体" w:cs="Times New Roman" w:hint="eastAsia"/>
                <w:sz w:val="24"/>
                <w:szCs w:val="24"/>
              </w:rPr>
              <w:t>软件进行观测值的特征的计算和描述统计</w:t>
            </w:r>
          </w:p>
          <w:p w14:paraId="7C886DA7"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2.4 用Excel软件绘制统计图和统计表</w:t>
            </w:r>
          </w:p>
          <w:p w14:paraId="18E3ABB6"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3.2 观测误差对计算结果的影响</w:t>
            </w:r>
          </w:p>
          <w:p w14:paraId="713F2B53"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3.3 有效数字与计算规则</w:t>
            </w:r>
          </w:p>
          <w:p w14:paraId="1F6DF090"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3.4 数据的编码变换</w:t>
            </w:r>
          </w:p>
          <w:p w14:paraId="57B27CE2"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 xml:space="preserve">3.5 </w:t>
            </w:r>
            <w:proofErr w:type="gramStart"/>
            <w:r w:rsidRPr="009F5318">
              <w:rPr>
                <w:rFonts w:ascii="宋体" w:eastAsia="宋体" w:hAnsi="宋体" w:cs="Times New Roman" w:hint="eastAsia"/>
                <w:sz w:val="24"/>
                <w:szCs w:val="24"/>
              </w:rPr>
              <w:t>逸出值</w:t>
            </w:r>
            <w:proofErr w:type="gramEnd"/>
            <w:r w:rsidRPr="009F5318">
              <w:rPr>
                <w:rFonts w:ascii="宋体" w:eastAsia="宋体" w:hAnsi="宋体" w:cs="Times New Roman" w:hint="eastAsia"/>
                <w:sz w:val="24"/>
                <w:szCs w:val="24"/>
              </w:rPr>
              <w:t>的检验</w:t>
            </w:r>
          </w:p>
          <w:p w14:paraId="756DC942"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.1</w:t>
            </w:r>
            <w:r w:rsidRPr="009F5318">
              <w:rPr>
                <w:rFonts w:ascii="宋体" w:eastAsia="宋体" w:hAnsi="宋体" w:cs="Times New Roman" w:hint="eastAsia"/>
                <w:sz w:val="24"/>
                <w:szCs w:val="24"/>
              </w:rPr>
              <w:t xml:space="preserve"> 随机取样与随机数表</w:t>
            </w:r>
          </w:p>
          <w:p w14:paraId="0FCEDD0B"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5.4 用Excel软件</w:t>
            </w:r>
            <w:r w:rsidRPr="009F5318">
              <w:rPr>
                <w:rFonts w:ascii="宋体" w:eastAsia="宋体" w:hAnsi="宋体" w:cs="Times New Roman"/>
                <w:sz w:val="24"/>
                <w:szCs w:val="24"/>
              </w:rPr>
              <w:t>求</w:t>
            </w:r>
            <w:r w:rsidRPr="009F5318">
              <w:rPr>
                <w:rFonts w:ascii="宋体" w:eastAsia="宋体" w:hAnsi="宋体" w:cs="Times New Roman" w:hint="eastAsia"/>
                <w:sz w:val="24"/>
                <w:szCs w:val="24"/>
              </w:rPr>
              <w:t>总体</w:t>
            </w:r>
            <w:r w:rsidRPr="009F5318">
              <w:rPr>
                <w:rFonts w:ascii="宋体" w:eastAsia="宋体" w:hAnsi="宋体" w:cs="Times New Roman"/>
                <w:sz w:val="24"/>
                <w:szCs w:val="24"/>
              </w:rPr>
              <w:t>均值的置信区间</w:t>
            </w:r>
          </w:p>
          <w:p w14:paraId="0E02B069"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6.8 用Excel软件进行假设检验</w:t>
            </w:r>
          </w:p>
          <w:p w14:paraId="18367594"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7.3 用Excel软件进行回归与相关分析</w:t>
            </w:r>
          </w:p>
          <w:p w14:paraId="7C49628A"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实践：利用气相色谱法比较花生中油酸与亚油酸的相对含量</w:t>
            </w:r>
          </w:p>
        </w:tc>
      </w:tr>
      <w:tr w:rsidR="009F5318" w:rsidRPr="009F5318" w14:paraId="667B872D" w14:textId="77777777" w:rsidTr="00C96426">
        <w:trPr>
          <w:jc w:val="center"/>
        </w:trPr>
        <w:tc>
          <w:tcPr>
            <w:tcW w:w="1422" w:type="dxa"/>
            <w:vAlign w:val="center"/>
          </w:tcPr>
          <w:p w14:paraId="54561D44"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课程目标3</w:t>
            </w:r>
          </w:p>
        </w:tc>
        <w:tc>
          <w:tcPr>
            <w:tcW w:w="7918" w:type="dxa"/>
            <w:vAlign w:val="center"/>
          </w:tcPr>
          <w:p w14:paraId="06AD975E"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 xml:space="preserve">2 </w:t>
            </w:r>
            <w:r w:rsidRPr="009F5318">
              <w:rPr>
                <w:rFonts w:ascii="宋体" w:eastAsia="宋体" w:hAnsi="宋体" w:cs="Times New Roman" w:hint="eastAsia"/>
                <w:sz w:val="24"/>
                <w:szCs w:val="24"/>
              </w:rPr>
              <w:t>分层取样</w:t>
            </w:r>
          </w:p>
          <w:p w14:paraId="4C94A692"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 xml:space="preserve">3 </w:t>
            </w:r>
            <w:r w:rsidRPr="009F5318">
              <w:rPr>
                <w:rFonts w:ascii="宋体" w:eastAsia="宋体" w:hAnsi="宋体" w:cs="Times New Roman" w:hint="eastAsia"/>
                <w:sz w:val="24"/>
                <w:szCs w:val="24"/>
              </w:rPr>
              <w:t>系统取样</w:t>
            </w:r>
          </w:p>
          <w:p w14:paraId="7DC71C6E"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 xml:space="preserve">4 </w:t>
            </w:r>
            <w:r w:rsidRPr="009F5318">
              <w:rPr>
                <w:rFonts w:ascii="宋体" w:eastAsia="宋体" w:hAnsi="宋体" w:cs="Times New Roman" w:hint="eastAsia"/>
                <w:sz w:val="24"/>
                <w:szCs w:val="24"/>
              </w:rPr>
              <w:t>散装物取样</w:t>
            </w:r>
          </w:p>
          <w:p w14:paraId="5A9AAFA8"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 xml:space="preserve">5 </w:t>
            </w:r>
            <w:r w:rsidRPr="009F5318">
              <w:rPr>
                <w:rFonts w:ascii="宋体" w:eastAsia="宋体" w:hAnsi="宋体" w:cs="Times New Roman" w:hint="eastAsia"/>
                <w:sz w:val="24"/>
                <w:szCs w:val="24"/>
              </w:rPr>
              <w:t>验收取样</w:t>
            </w:r>
          </w:p>
          <w:p w14:paraId="7B519812"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 xml:space="preserve">6 </w:t>
            </w:r>
            <w:r w:rsidRPr="009F5318">
              <w:rPr>
                <w:rFonts w:ascii="宋体" w:eastAsia="宋体" w:hAnsi="宋体" w:cs="Times New Roman" w:hint="eastAsia"/>
                <w:sz w:val="24"/>
                <w:szCs w:val="24"/>
              </w:rPr>
              <w:t>集束取样</w:t>
            </w:r>
          </w:p>
          <w:p w14:paraId="0443D4CB"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w:t>
            </w:r>
            <w:r w:rsidRPr="009F5318">
              <w:rPr>
                <w:rFonts w:ascii="宋体" w:eastAsia="宋体" w:hAnsi="宋体" w:cs="Times New Roman"/>
                <w:sz w:val="24"/>
                <w:szCs w:val="24"/>
              </w:rPr>
              <w:t>7</w:t>
            </w:r>
            <w:r w:rsidRPr="009F5318">
              <w:rPr>
                <w:rFonts w:ascii="宋体" w:eastAsia="宋体" w:hAnsi="宋体" w:cs="Times New Roman" w:hint="eastAsia"/>
                <w:sz w:val="24"/>
                <w:szCs w:val="24"/>
              </w:rPr>
              <w:t xml:space="preserve"> 取样误差与分析误差的叠加</w:t>
            </w:r>
          </w:p>
          <w:p w14:paraId="394712BD"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w:t>
            </w:r>
            <w:r w:rsidRPr="009F5318">
              <w:rPr>
                <w:rFonts w:ascii="宋体" w:eastAsia="宋体" w:hAnsi="宋体" w:cs="Times New Roman"/>
                <w:sz w:val="24"/>
                <w:szCs w:val="24"/>
              </w:rPr>
              <w:t>.</w:t>
            </w:r>
            <w:r w:rsidRPr="009F5318">
              <w:rPr>
                <w:rFonts w:ascii="宋体" w:eastAsia="宋体" w:hAnsi="宋体" w:cs="Times New Roman" w:hint="eastAsia"/>
                <w:sz w:val="24"/>
                <w:szCs w:val="24"/>
              </w:rPr>
              <w:t>4 一个总体均值的参数检验</w:t>
            </w:r>
          </w:p>
          <w:p w14:paraId="76A6AFD4"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6</w:t>
            </w:r>
            <w:r w:rsidRPr="009F5318">
              <w:rPr>
                <w:rFonts w:ascii="宋体" w:eastAsia="宋体" w:hAnsi="宋体" w:cs="Times New Roman"/>
                <w:sz w:val="24"/>
                <w:szCs w:val="24"/>
              </w:rPr>
              <w:t>.</w:t>
            </w:r>
            <w:r w:rsidRPr="009F5318">
              <w:rPr>
                <w:rFonts w:ascii="宋体" w:eastAsia="宋体" w:hAnsi="宋体" w:cs="Times New Roman" w:hint="eastAsia"/>
                <w:sz w:val="24"/>
                <w:szCs w:val="24"/>
              </w:rPr>
              <w:t>5 两个总体均值的参数比较</w:t>
            </w:r>
          </w:p>
          <w:p w14:paraId="73B449AE"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实践：利用气相色谱法比较花生中油酸与亚油酸的相对含量</w:t>
            </w:r>
          </w:p>
        </w:tc>
      </w:tr>
    </w:tbl>
    <w:p w14:paraId="2BFDCA00" w14:textId="77777777" w:rsidR="009F5318" w:rsidRPr="009F5318" w:rsidRDefault="009F5318" w:rsidP="009F5318">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F5318">
        <w:rPr>
          <w:rFonts w:ascii="黑体" w:eastAsia="黑体" w:hAnsi="黑体" w:cs="Times New Roman" w:hint="eastAsia"/>
          <w:sz w:val="28"/>
          <w:szCs w:val="28"/>
        </w:rPr>
        <w:t>（二）课程考核方式</w:t>
      </w:r>
    </w:p>
    <w:p w14:paraId="423B371E"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lastRenderedPageBreak/>
        <w:t>课程考核方式分为平时考核</w:t>
      </w:r>
      <w:r w:rsidRPr="009F5318">
        <w:rPr>
          <w:rFonts w:ascii="Times New Roman" w:eastAsia="宋体" w:hAnsi="Times New Roman" w:cs="Times New Roman"/>
          <w:sz w:val="24"/>
          <w:szCs w:val="24"/>
        </w:rPr>
        <w:t>和</w:t>
      </w:r>
      <w:r w:rsidRPr="009F5318">
        <w:rPr>
          <w:rFonts w:ascii="宋体" w:eastAsia="宋体" w:hAnsi="宋体" w:cs="Times New Roman" w:hint="eastAsia"/>
          <w:sz w:val="24"/>
          <w:szCs w:val="24"/>
        </w:rPr>
        <w:t>期末考核。平时考核方式包括课堂表现、平时作业、阶段性测试等；期末考核采用</w:t>
      </w:r>
      <w:r w:rsidRPr="009F5318">
        <w:rPr>
          <w:rFonts w:ascii="Times New Roman" w:eastAsia="宋体" w:hAnsi="Times New Roman" w:cs="Times New Roman" w:hint="eastAsia"/>
          <w:sz w:val="24"/>
          <w:szCs w:val="24"/>
        </w:rPr>
        <w:t>研究</w:t>
      </w:r>
      <w:r w:rsidRPr="009F5318">
        <w:rPr>
          <w:rFonts w:ascii="Times New Roman" w:eastAsia="宋体" w:hAnsi="Times New Roman" w:cs="Times New Roman"/>
          <w:sz w:val="24"/>
          <w:szCs w:val="24"/>
        </w:rPr>
        <w:t>报告的形式</w:t>
      </w:r>
      <w:r w:rsidRPr="009F5318">
        <w:rPr>
          <w:rFonts w:ascii="宋体" w:eastAsia="宋体" w:hAnsi="宋体" w:cs="Times New Roman" w:hint="eastAsia"/>
          <w:sz w:val="24"/>
          <w:szCs w:val="24"/>
        </w:rPr>
        <w:t>。</w:t>
      </w:r>
    </w:p>
    <w:p w14:paraId="74BE60EC" w14:textId="77777777" w:rsidR="009F5318" w:rsidRPr="009F5318" w:rsidRDefault="009F5318">
      <w:pPr>
        <w:numPr>
          <w:ilvl w:val="0"/>
          <w:numId w:val="175"/>
        </w:num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F5318">
        <w:rPr>
          <w:rFonts w:ascii="黑体" w:eastAsia="黑体" w:hAnsi="黑体" w:cs="Times New Roman" w:hint="eastAsia"/>
          <w:sz w:val="28"/>
          <w:szCs w:val="28"/>
        </w:rPr>
        <w:t>课程目标达成评价方式及考核比例</w:t>
      </w:r>
    </w:p>
    <w:p w14:paraId="46993492"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本课程考核方式及成绩比例为：课堂表现2</w:t>
      </w:r>
      <w:r w:rsidRPr="009F5318">
        <w:rPr>
          <w:rFonts w:ascii="宋体" w:eastAsia="宋体" w:hAnsi="宋体" w:cs="Times New Roman"/>
          <w:sz w:val="24"/>
          <w:szCs w:val="24"/>
        </w:rPr>
        <w:t>0</w:t>
      </w:r>
      <w:r w:rsidRPr="009F5318">
        <w:rPr>
          <w:rFonts w:ascii="宋体" w:eastAsia="宋体" w:hAnsi="宋体" w:cs="Times New Roman" w:hint="eastAsia"/>
          <w:sz w:val="24"/>
          <w:szCs w:val="24"/>
        </w:rPr>
        <w:t>%</w:t>
      </w:r>
      <w:r w:rsidRPr="009F5318">
        <w:rPr>
          <w:rFonts w:ascii="宋体" w:eastAsia="宋体" w:hAnsi="宋体" w:cs="Times New Roman"/>
          <w:sz w:val="24"/>
          <w:szCs w:val="24"/>
        </w:rPr>
        <w:t>+</w:t>
      </w:r>
      <w:r w:rsidRPr="009F5318">
        <w:rPr>
          <w:rFonts w:ascii="宋体" w:eastAsia="宋体" w:hAnsi="宋体" w:cs="Times New Roman" w:hint="eastAsia"/>
          <w:sz w:val="24"/>
          <w:szCs w:val="24"/>
        </w:rPr>
        <w:t>平时作业2</w:t>
      </w:r>
      <w:r w:rsidRPr="009F5318">
        <w:rPr>
          <w:rFonts w:ascii="宋体" w:eastAsia="宋体" w:hAnsi="宋体" w:cs="Times New Roman"/>
          <w:sz w:val="24"/>
          <w:szCs w:val="24"/>
        </w:rPr>
        <w:t>0</w:t>
      </w:r>
      <w:r w:rsidRPr="009F5318">
        <w:rPr>
          <w:rFonts w:ascii="宋体" w:eastAsia="宋体" w:hAnsi="宋体" w:cs="Times New Roman" w:hint="eastAsia"/>
          <w:sz w:val="24"/>
          <w:szCs w:val="24"/>
        </w:rPr>
        <w:t>%</w:t>
      </w:r>
      <w:r w:rsidRPr="009F5318">
        <w:rPr>
          <w:rFonts w:ascii="宋体" w:eastAsia="宋体" w:hAnsi="宋体" w:cs="Times New Roman"/>
          <w:sz w:val="24"/>
          <w:szCs w:val="24"/>
        </w:rPr>
        <w:t>+</w:t>
      </w:r>
      <w:r w:rsidRPr="009F5318">
        <w:rPr>
          <w:rFonts w:ascii="宋体" w:eastAsia="宋体" w:hAnsi="宋体" w:cs="Times New Roman" w:hint="eastAsia"/>
          <w:sz w:val="24"/>
          <w:szCs w:val="24"/>
        </w:rPr>
        <w:t>阶段测试1</w:t>
      </w:r>
      <w:r w:rsidRPr="009F5318">
        <w:rPr>
          <w:rFonts w:ascii="宋体" w:eastAsia="宋体" w:hAnsi="宋体" w:cs="Times New Roman"/>
          <w:sz w:val="24"/>
          <w:szCs w:val="24"/>
        </w:rPr>
        <w:t>0</w:t>
      </w:r>
      <w:r w:rsidRPr="009F5318">
        <w:rPr>
          <w:rFonts w:ascii="宋体" w:eastAsia="宋体" w:hAnsi="宋体" w:cs="Times New Roman" w:hint="eastAsia"/>
          <w:sz w:val="24"/>
          <w:szCs w:val="24"/>
        </w:rPr>
        <w:t>%</w:t>
      </w:r>
      <w:r w:rsidRPr="009F5318">
        <w:rPr>
          <w:rFonts w:ascii="宋体" w:eastAsia="宋体" w:hAnsi="宋体" w:cs="Times New Roman"/>
          <w:sz w:val="24"/>
          <w:szCs w:val="24"/>
        </w:rPr>
        <w:t>+</w:t>
      </w:r>
      <w:r w:rsidRPr="009F5318">
        <w:rPr>
          <w:rFonts w:ascii="宋体" w:eastAsia="宋体" w:hAnsi="宋体" w:cs="Times New Roman" w:hint="eastAsia"/>
          <w:sz w:val="24"/>
          <w:szCs w:val="24"/>
        </w:rPr>
        <w:t>50%；本课程共有三个课程目标，考核方式及成绩比例分别为：</w:t>
      </w:r>
    </w:p>
    <w:p w14:paraId="7E82A22C"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课程目标1：课堂表现10%</w:t>
      </w:r>
      <w:r w:rsidRPr="009F5318">
        <w:rPr>
          <w:rFonts w:ascii="宋体" w:eastAsia="宋体" w:hAnsi="宋体" w:cs="Times New Roman"/>
          <w:sz w:val="24"/>
          <w:szCs w:val="24"/>
        </w:rPr>
        <w:t>+</w:t>
      </w:r>
      <w:r w:rsidRPr="009F5318">
        <w:rPr>
          <w:rFonts w:ascii="宋体" w:eastAsia="宋体" w:hAnsi="宋体" w:cs="Times New Roman" w:hint="eastAsia"/>
          <w:sz w:val="24"/>
          <w:szCs w:val="24"/>
        </w:rPr>
        <w:t>阶段测试1</w:t>
      </w:r>
      <w:r w:rsidRPr="009F5318">
        <w:rPr>
          <w:rFonts w:ascii="宋体" w:eastAsia="宋体" w:hAnsi="宋体" w:cs="Times New Roman"/>
          <w:sz w:val="24"/>
          <w:szCs w:val="24"/>
        </w:rPr>
        <w:t>0</w:t>
      </w:r>
      <w:r w:rsidRPr="009F5318">
        <w:rPr>
          <w:rFonts w:ascii="宋体" w:eastAsia="宋体" w:hAnsi="宋体" w:cs="Times New Roman" w:hint="eastAsia"/>
          <w:sz w:val="24"/>
          <w:szCs w:val="24"/>
        </w:rPr>
        <w:t>%</w:t>
      </w:r>
    </w:p>
    <w:p w14:paraId="749469B8"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课程目标2：平时作业2</w:t>
      </w:r>
      <w:r w:rsidRPr="009F5318">
        <w:rPr>
          <w:rFonts w:ascii="宋体" w:eastAsia="宋体" w:hAnsi="宋体" w:cs="Times New Roman"/>
          <w:sz w:val="24"/>
          <w:szCs w:val="24"/>
        </w:rPr>
        <w:t>0</w:t>
      </w:r>
      <w:r w:rsidRPr="009F5318">
        <w:rPr>
          <w:rFonts w:ascii="宋体" w:eastAsia="宋体" w:hAnsi="宋体" w:cs="Times New Roman" w:hint="eastAsia"/>
          <w:sz w:val="24"/>
          <w:szCs w:val="24"/>
        </w:rPr>
        <w:t>%</w:t>
      </w:r>
      <w:r w:rsidRPr="009F5318">
        <w:rPr>
          <w:rFonts w:ascii="宋体" w:eastAsia="宋体" w:hAnsi="宋体" w:cs="Times New Roman"/>
          <w:sz w:val="24"/>
          <w:szCs w:val="24"/>
        </w:rPr>
        <w:t>+</w:t>
      </w:r>
      <w:r w:rsidRPr="009F5318">
        <w:rPr>
          <w:rFonts w:ascii="宋体" w:eastAsia="宋体" w:hAnsi="宋体" w:cs="Times New Roman" w:hint="eastAsia"/>
          <w:sz w:val="24"/>
          <w:szCs w:val="24"/>
        </w:rPr>
        <w:t>研究报告20%</w:t>
      </w:r>
    </w:p>
    <w:p w14:paraId="7CA89BDF"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课程目标3：课堂表现10%</w:t>
      </w:r>
      <w:r w:rsidRPr="009F5318">
        <w:rPr>
          <w:rFonts w:ascii="宋体" w:eastAsia="宋体" w:hAnsi="宋体" w:cs="Times New Roman"/>
          <w:sz w:val="24"/>
          <w:szCs w:val="24"/>
        </w:rPr>
        <w:t>+</w:t>
      </w:r>
      <w:r w:rsidRPr="009F5318">
        <w:rPr>
          <w:rFonts w:ascii="宋体" w:eastAsia="宋体" w:hAnsi="宋体" w:cs="Times New Roman" w:hint="eastAsia"/>
          <w:sz w:val="24"/>
          <w:szCs w:val="24"/>
        </w:rPr>
        <w:t>研究报告30%</w:t>
      </w:r>
    </w:p>
    <w:p w14:paraId="6B70A6BB"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452"/>
        <w:gridCol w:w="1559"/>
        <w:gridCol w:w="1701"/>
        <w:gridCol w:w="1559"/>
        <w:gridCol w:w="1559"/>
      </w:tblGrid>
      <w:tr w:rsidR="009F5318" w:rsidRPr="009F5318" w14:paraId="72E074E7" w14:textId="77777777" w:rsidTr="00C96426">
        <w:trPr>
          <w:trHeight w:val="540"/>
          <w:jc w:val="center"/>
        </w:trPr>
        <w:tc>
          <w:tcPr>
            <w:tcW w:w="1422" w:type="dxa"/>
            <w:vMerge w:val="restart"/>
            <w:vAlign w:val="center"/>
          </w:tcPr>
          <w:p w14:paraId="5BB9435A" w14:textId="77777777" w:rsidR="009F5318" w:rsidRPr="009F5318" w:rsidRDefault="009F5318" w:rsidP="009F5318">
            <w:pPr>
              <w:spacing w:line="440" w:lineRule="exact"/>
              <w:jc w:val="center"/>
              <w:rPr>
                <w:rFonts w:ascii="宋体" w:eastAsia="宋体" w:hAnsi="宋体" w:cs="Times New Roman"/>
                <w:b/>
                <w:sz w:val="24"/>
                <w:szCs w:val="24"/>
              </w:rPr>
            </w:pPr>
            <w:r w:rsidRPr="009F5318">
              <w:rPr>
                <w:rFonts w:ascii="宋体" w:eastAsia="宋体" w:hAnsi="宋体" w:cs="Times New Roman" w:hint="eastAsia"/>
                <w:b/>
                <w:sz w:val="24"/>
                <w:szCs w:val="24"/>
              </w:rPr>
              <w:t>课程目标</w:t>
            </w:r>
          </w:p>
        </w:tc>
        <w:tc>
          <w:tcPr>
            <w:tcW w:w="6271" w:type="dxa"/>
            <w:gridSpan w:val="4"/>
            <w:vAlign w:val="center"/>
          </w:tcPr>
          <w:p w14:paraId="6D59B16E" w14:textId="77777777" w:rsidR="009F5318" w:rsidRPr="009F5318" w:rsidRDefault="009F5318" w:rsidP="009F5318">
            <w:pPr>
              <w:spacing w:line="440" w:lineRule="exact"/>
              <w:jc w:val="center"/>
              <w:rPr>
                <w:rFonts w:ascii="宋体" w:eastAsia="宋体" w:hAnsi="宋体" w:cs="Times New Roman"/>
                <w:b/>
                <w:sz w:val="24"/>
                <w:szCs w:val="24"/>
              </w:rPr>
            </w:pPr>
            <w:r w:rsidRPr="009F5318">
              <w:rPr>
                <w:rFonts w:ascii="宋体" w:eastAsia="宋体" w:hAnsi="宋体" w:cs="Times New Roman" w:hint="eastAsia"/>
                <w:b/>
                <w:sz w:val="24"/>
                <w:szCs w:val="24"/>
              </w:rPr>
              <w:t>考核方式及成绩比例（%）</w:t>
            </w:r>
          </w:p>
        </w:tc>
        <w:tc>
          <w:tcPr>
            <w:tcW w:w="1559" w:type="dxa"/>
            <w:vMerge w:val="restart"/>
            <w:vAlign w:val="center"/>
          </w:tcPr>
          <w:p w14:paraId="24F8ABB8" w14:textId="77777777" w:rsidR="009F5318" w:rsidRPr="009F5318" w:rsidRDefault="009F5318" w:rsidP="009F5318">
            <w:pPr>
              <w:spacing w:line="440" w:lineRule="exact"/>
              <w:jc w:val="center"/>
              <w:rPr>
                <w:rFonts w:ascii="宋体" w:eastAsia="宋体" w:hAnsi="宋体" w:cs="Times New Roman"/>
                <w:b/>
                <w:sz w:val="24"/>
                <w:szCs w:val="24"/>
              </w:rPr>
            </w:pPr>
            <w:r w:rsidRPr="009F5318">
              <w:rPr>
                <w:rFonts w:ascii="宋体" w:eastAsia="宋体" w:hAnsi="宋体" w:cs="Times New Roman" w:hint="eastAsia"/>
                <w:b/>
                <w:sz w:val="24"/>
                <w:szCs w:val="24"/>
              </w:rPr>
              <w:t>合计</w:t>
            </w:r>
          </w:p>
        </w:tc>
      </w:tr>
      <w:tr w:rsidR="009F5318" w:rsidRPr="009F5318" w14:paraId="5307BB1E" w14:textId="77777777" w:rsidTr="00C96426">
        <w:trPr>
          <w:trHeight w:val="578"/>
          <w:jc w:val="center"/>
        </w:trPr>
        <w:tc>
          <w:tcPr>
            <w:tcW w:w="1422" w:type="dxa"/>
            <w:vMerge/>
            <w:vAlign w:val="center"/>
          </w:tcPr>
          <w:p w14:paraId="27F1B190" w14:textId="77777777" w:rsidR="009F5318" w:rsidRPr="009F5318" w:rsidRDefault="009F5318" w:rsidP="009F5318">
            <w:pPr>
              <w:spacing w:line="440" w:lineRule="exact"/>
              <w:jc w:val="center"/>
              <w:rPr>
                <w:rFonts w:ascii="宋体" w:eastAsia="宋体" w:hAnsi="宋体" w:cs="Times New Roman"/>
                <w:b/>
                <w:sz w:val="24"/>
                <w:szCs w:val="24"/>
              </w:rPr>
            </w:pPr>
          </w:p>
        </w:tc>
        <w:tc>
          <w:tcPr>
            <w:tcW w:w="1452" w:type="dxa"/>
            <w:vAlign w:val="center"/>
          </w:tcPr>
          <w:p w14:paraId="7E35ADA9" w14:textId="77777777" w:rsidR="009F5318" w:rsidRPr="009F5318" w:rsidRDefault="009F5318" w:rsidP="009F5318">
            <w:pPr>
              <w:spacing w:line="440" w:lineRule="exact"/>
              <w:jc w:val="center"/>
              <w:rPr>
                <w:rFonts w:ascii="宋体" w:eastAsia="宋体" w:hAnsi="宋体" w:cs="Times New Roman"/>
                <w:b/>
                <w:sz w:val="24"/>
                <w:szCs w:val="24"/>
              </w:rPr>
            </w:pPr>
            <w:r w:rsidRPr="009F5318">
              <w:rPr>
                <w:rFonts w:ascii="宋体" w:eastAsia="宋体" w:hAnsi="宋体" w:cs="Times New Roman" w:hint="eastAsia"/>
                <w:b/>
                <w:sz w:val="24"/>
                <w:szCs w:val="24"/>
              </w:rPr>
              <w:t>课堂表现</w:t>
            </w:r>
          </w:p>
        </w:tc>
        <w:tc>
          <w:tcPr>
            <w:tcW w:w="1559" w:type="dxa"/>
            <w:vAlign w:val="center"/>
          </w:tcPr>
          <w:p w14:paraId="6C54301E" w14:textId="77777777" w:rsidR="009F5318" w:rsidRPr="009F5318" w:rsidRDefault="009F5318" w:rsidP="009F5318">
            <w:pPr>
              <w:spacing w:line="440" w:lineRule="exact"/>
              <w:jc w:val="center"/>
              <w:rPr>
                <w:rFonts w:ascii="宋体" w:eastAsia="宋体" w:hAnsi="宋体" w:cs="Times New Roman"/>
                <w:b/>
                <w:sz w:val="24"/>
                <w:szCs w:val="24"/>
              </w:rPr>
            </w:pPr>
            <w:r w:rsidRPr="009F5318">
              <w:rPr>
                <w:rFonts w:ascii="宋体" w:eastAsia="宋体" w:hAnsi="宋体" w:cs="Times New Roman" w:hint="eastAsia"/>
                <w:b/>
                <w:sz w:val="24"/>
                <w:szCs w:val="24"/>
              </w:rPr>
              <w:t>平时作业</w:t>
            </w:r>
          </w:p>
        </w:tc>
        <w:tc>
          <w:tcPr>
            <w:tcW w:w="1701" w:type="dxa"/>
            <w:vAlign w:val="center"/>
          </w:tcPr>
          <w:p w14:paraId="74C6D553" w14:textId="77777777" w:rsidR="009F5318" w:rsidRPr="009F5318" w:rsidRDefault="009F5318" w:rsidP="009F5318">
            <w:pPr>
              <w:spacing w:line="440" w:lineRule="exact"/>
              <w:jc w:val="center"/>
              <w:rPr>
                <w:rFonts w:ascii="宋体" w:eastAsia="宋体" w:hAnsi="宋体" w:cs="Times New Roman"/>
                <w:b/>
                <w:sz w:val="24"/>
                <w:szCs w:val="24"/>
              </w:rPr>
            </w:pPr>
            <w:r w:rsidRPr="009F5318">
              <w:rPr>
                <w:rFonts w:ascii="宋体" w:eastAsia="宋体" w:hAnsi="宋体" w:cs="Times New Roman" w:hint="eastAsia"/>
                <w:b/>
                <w:sz w:val="24"/>
                <w:szCs w:val="24"/>
              </w:rPr>
              <w:t>阶段测试</w:t>
            </w:r>
          </w:p>
        </w:tc>
        <w:tc>
          <w:tcPr>
            <w:tcW w:w="1559" w:type="dxa"/>
            <w:vAlign w:val="center"/>
          </w:tcPr>
          <w:p w14:paraId="0AF2B6AF" w14:textId="77777777" w:rsidR="009F5318" w:rsidRPr="009F5318" w:rsidRDefault="009F5318" w:rsidP="009F5318">
            <w:pPr>
              <w:spacing w:line="440" w:lineRule="exact"/>
              <w:jc w:val="center"/>
              <w:rPr>
                <w:rFonts w:ascii="宋体" w:eastAsia="宋体" w:hAnsi="宋体" w:cs="Times New Roman"/>
                <w:b/>
                <w:sz w:val="24"/>
                <w:szCs w:val="24"/>
              </w:rPr>
            </w:pPr>
            <w:r w:rsidRPr="009F5318">
              <w:rPr>
                <w:rFonts w:ascii="宋体" w:eastAsia="宋体" w:hAnsi="宋体" w:cs="Times New Roman" w:hint="eastAsia"/>
                <w:b/>
                <w:sz w:val="24"/>
                <w:szCs w:val="24"/>
              </w:rPr>
              <w:t>研究报告</w:t>
            </w:r>
          </w:p>
        </w:tc>
        <w:tc>
          <w:tcPr>
            <w:tcW w:w="1559" w:type="dxa"/>
            <w:vMerge/>
          </w:tcPr>
          <w:p w14:paraId="1C570FD9" w14:textId="77777777" w:rsidR="009F5318" w:rsidRPr="009F5318" w:rsidRDefault="009F5318" w:rsidP="009F5318">
            <w:pPr>
              <w:spacing w:line="440" w:lineRule="exact"/>
              <w:jc w:val="center"/>
              <w:rPr>
                <w:rFonts w:ascii="宋体" w:eastAsia="宋体" w:hAnsi="宋体" w:cs="Times New Roman"/>
                <w:b/>
                <w:sz w:val="24"/>
                <w:szCs w:val="24"/>
              </w:rPr>
            </w:pPr>
          </w:p>
        </w:tc>
      </w:tr>
      <w:tr w:rsidR="009F5318" w:rsidRPr="009F5318" w14:paraId="372C329B" w14:textId="77777777" w:rsidTr="00C96426">
        <w:trPr>
          <w:jc w:val="center"/>
        </w:trPr>
        <w:tc>
          <w:tcPr>
            <w:tcW w:w="1422" w:type="dxa"/>
            <w:vAlign w:val="center"/>
          </w:tcPr>
          <w:p w14:paraId="6AA24C15"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课程目标1</w:t>
            </w:r>
          </w:p>
        </w:tc>
        <w:tc>
          <w:tcPr>
            <w:tcW w:w="1452" w:type="dxa"/>
            <w:vAlign w:val="center"/>
          </w:tcPr>
          <w:p w14:paraId="6F4DA7D4"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10</w:t>
            </w:r>
          </w:p>
        </w:tc>
        <w:tc>
          <w:tcPr>
            <w:tcW w:w="1559" w:type="dxa"/>
            <w:vAlign w:val="center"/>
          </w:tcPr>
          <w:p w14:paraId="112C66EE"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0</w:t>
            </w:r>
          </w:p>
        </w:tc>
        <w:tc>
          <w:tcPr>
            <w:tcW w:w="1701" w:type="dxa"/>
            <w:vAlign w:val="center"/>
          </w:tcPr>
          <w:p w14:paraId="6F757620"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10</w:t>
            </w:r>
          </w:p>
        </w:tc>
        <w:tc>
          <w:tcPr>
            <w:tcW w:w="1559" w:type="dxa"/>
            <w:vAlign w:val="center"/>
          </w:tcPr>
          <w:p w14:paraId="08419646"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0</w:t>
            </w:r>
          </w:p>
        </w:tc>
        <w:tc>
          <w:tcPr>
            <w:tcW w:w="1559" w:type="dxa"/>
          </w:tcPr>
          <w:p w14:paraId="572EBD97"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20</w:t>
            </w:r>
          </w:p>
        </w:tc>
      </w:tr>
      <w:tr w:rsidR="009F5318" w:rsidRPr="009F5318" w14:paraId="33C274B5" w14:textId="77777777" w:rsidTr="00C96426">
        <w:trPr>
          <w:jc w:val="center"/>
        </w:trPr>
        <w:tc>
          <w:tcPr>
            <w:tcW w:w="1422" w:type="dxa"/>
            <w:vAlign w:val="center"/>
          </w:tcPr>
          <w:p w14:paraId="359E3B9A"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课程目标2</w:t>
            </w:r>
          </w:p>
        </w:tc>
        <w:tc>
          <w:tcPr>
            <w:tcW w:w="1452" w:type="dxa"/>
            <w:vAlign w:val="center"/>
          </w:tcPr>
          <w:p w14:paraId="12614DE0"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0</w:t>
            </w:r>
          </w:p>
        </w:tc>
        <w:tc>
          <w:tcPr>
            <w:tcW w:w="1559" w:type="dxa"/>
            <w:vAlign w:val="center"/>
          </w:tcPr>
          <w:p w14:paraId="39F5566E"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20</w:t>
            </w:r>
          </w:p>
        </w:tc>
        <w:tc>
          <w:tcPr>
            <w:tcW w:w="1701" w:type="dxa"/>
            <w:vAlign w:val="center"/>
          </w:tcPr>
          <w:p w14:paraId="14017B74"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0</w:t>
            </w:r>
          </w:p>
        </w:tc>
        <w:tc>
          <w:tcPr>
            <w:tcW w:w="1559" w:type="dxa"/>
            <w:vAlign w:val="center"/>
          </w:tcPr>
          <w:p w14:paraId="17E9BB2E"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20</w:t>
            </w:r>
          </w:p>
        </w:tc>
        <w:tc>
          <w:tcPr>
            <w:tcW w:w="1559" w:type="dxa"/>
          </w:tcPr>
          <w:p w14:paraId="7CBE835D"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40</w:t>
            </w:r>
          </w:p>
        </w:tc>
      </w:tr>
      <w:tr w:rsidR="009F5318" w:rsidRPr="009F5318" w14:paraId="143421F3" w14:textId="77777777" w:rsidTr="00C96426">
        <w:trPr>
          <w:jc w:val="center"/>
        </w:trPr>
        <w:tc>
          <w:tcPr>
            <w:tcW w:w="1422" w:type="dxa"/>
            <w:vAlign w:val="center"/>
          </w:tcPr>
          <w:p w14:paraId="46040936"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课程目标3</w:t>
            </w:r>
          </w:p>
        </w:tc>
        <w:tc>
          <w:tcPr>
            <w:tcW w:w="1452" w:type="dxa"/>
            <w:vAlign w:val="center"/>
          </w:tcPr>
          <w:p w14:paraId="23E24512"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10</w:t>
            </w:r>
          </w:p>
        </w:tc>
        <w:tc>
          <w:tcPr>
            <w:tcW w:w="1559" w:type="dxa"/>
            <w:vAlign w:val="center"/>
          </w:tcPr>
          <w:p w14:paraId="3A807EF5"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0</w:t>
            </w:r>
          </w:p>
        </w:tc>
        <w:tc>
          <w:tcPr>
            <w:tcW w:w="1701" w:type="dxa"/>
            <w:vAlign w:val="center"/>
          </w:tcPr>
          <w:p w14:paraId="6E93586A"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0</w:t>
            </w:r>
          </w:p>
        </w:tc>
        <w:tc>
          <w:tcPr>
            <w:tcW w:w="1559" w:type="dxa"/>
            <w:vAlign w:val="center"/>
          </w:tcPr>
          <w:p w14:paraId="25B3CB6D"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30</w:t>
            </w:r>
          </w:p>
        </w:tc>
        <w:tc>
          <w:tcPr>
            <w:tcW w:w="1559" w:type="dxa"/>
          </w:tcPr>
          <w:p w14:paraId="7D8FE43E"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40</w:t>
            </w:r>
          </w:p>
        </w:tc>
      </w:tr>
      <w:tr w:rsidR="009F5318" w:rsidRPr="009F5318" w14:paraId="507DA4AA" w14:textId="77777777" w:rsidTr="00C96426">
        <w:trPr>
          <w:jc w:val="center"/>
        </w:trPr>
        <w:tc>
          <w:tcPr>
            <w:tcW w:w="1422" w:type="dxa"/>
            <w:vAlign w:val="center"/>
          </w:tcPr>
          <w:p w14:paraId="2F0731D5"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合计</w:t>
            </w:r>
          </w:p>
        </w:tc>
        <w:tc>
          <w:tcPr>
            <w:tcW w:w="1452" w:type="dxa"/>
            <w:vAlign w:val="center"/>
          </w:tcPr>
          <w:p w14:paraId="420F87F4"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20</w:t>
            </w:r>
          </w:p>
        </w:tc>
        <w:tc>
          <w:tcPr>
            <w:tcW w:w="1559" w:type="dxa"/>
            <w:vAlign w:val="center"/>
          </w:tcPr>
          <w:p w14:paraId="68DF71BB"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20</w:t>
            </w:r>
          </w:p>
        </w:tc>
        <w:tc>
          <w:tcPr>
            <w:tcW w:w="1701" w:type="dxa"/>
            <w:vAlign w:val="center"/>
          </w:tcPr>
          <w:p w14:paraId="5F1B07D2"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10</w:t>
            </w:r>
          </w:p>
        </w:tc>
        <w:tc>
          <w:tcPr>
            <w:tcW w:w="1559" w:type="dxa"/>
            <w:vAlign w:val="center"/>
          </w:tcPr>
          <w:p w14:paraId="2B07EAEB"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50</w:t>
            </w:r>
          </w:p>
        </w:tc>
        <w:tc>
          <w:tcPr>
            <w:tcW w:w="1559" w:type="dxa"/>
          </w:tcPr>
          <w:p w14:paraId="69CBF4DD" w14:textId="77777777" w:rsidR="009F5318" w:rsidRPr="009F5318" w:rsidRDefault="009F5318" w:rsidP="009F5318">
            <w:pPr>
              <w:spacing w:line="440" w:lineRule="exact"/>
              <w:jc w:val="center"/>
              <w:rPr>
                <w:rFonts w:ascii="宋体" w:eastAsia="宋体" w:hAnsi="宋体" w:cs="Times New Roman"/>
                <w:bCs/>
                <w:sz w:val="24"/>
                <w:szCs w:val="24"/>
              </w:rPr>
            </w:pPr>
            <w:r w:rsidRPr="009F5318">
              <w:rPr>
                <w:rFonts w:ascii="宋体" w:eastAsia="宋体" w:hAnsi="宋体" w:cs="Times New Roman" w:hint="eastAsia"/>
                <w:bCs/>
                <w:sz w:val="24"/>
                <w:szCs w:val="24"/>
              </w:rPr>
              <w:t>100</w:t>
            </w:r>
          </w:p>
        </w:tc>
      </w:tr>
    </w:tbl>
    <w:p w14:paraId="7F22FA8D" w14:textId="77777777" w:rsidR="009F5318" w:rsidRPr="009F5318" w:rsidRDefault="009F5318" w:rsidP="00C63ECC">
      <w:pPr>
        <w:pStyle w:val="afc"/>
      </w:pPr>
      <w:r w:rsidRPr="009F5318">
        <w:rPr>
          <w:rFonts w:hint="eastAsia"/>
        </w:rPr>
        <w:t>五、成绩评定</w:t>
      </w:r>
    </w:p>
    <w:p w14:paraId="7BF2E988" w14:textId="77777777" w:rsidR="009F5318" w:rsidRPr="009F5318" w:rsidRDefault="009F5318" w:rsidP="009F5318">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F5318">
        <w:rPr>
          <w:rFonts w:ascii="黑体" w:eastAsia="黑体" w:hAnsi="黑体" w:cs="Times New Roman" w:hint="eastAsia"/>
          <w:sz w:val="28"/>
          <w:szCs w:val="28"/>
        </w:rPr>
        <w:t>（一）总成绩评定</w:t>
      </w:r>
    </w:p>
    <w:p w14:paraId="30F5FF6B"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总成绩=平时成绩×50%+期末成绩×50%</w:t>
      </w:r>
    </w:p>
    <w:p w14:paraId="68546CD5" w14:textId="77777777" w:rsidR="009F5318" w:rsidRPr="009F5318" w:rsidRDefault="009F5318" w:rsidP="009F5318">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F5318">
        <w:rPr>
          <w:rFonts w:ascii="黑体" w:eastAsia="黑体" w:hAnsi="黑体" w:cs="Times New Roman" w:hint="eastAsia"/>
          <w:sz w:val="28"/>
          <w:szCs w:val="28"/>
        </w:rPr>
        <w:t>（二）平时成绩评定</w:t>
      </w:r>
    </w:p>
    <w:p w14:paraId="09E013BB"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平时成绩（100%）=课堂表现（40%）+平时作业（40%）+阶段测试（20%）</w:t>
      </w:r>
    </w:p>
    <w:p w14:paraId="74619312"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（1）课堂表现：</w:t>
      </w:r>
      <w:r w:rsidR="00215A15">
        <w:rPr>
          <w:rFonts w:ascii="宋体" w:eastAsia="宋体" w:hAnsi="宋体" w:cs="Times New Roman" w:hint="eastAsia"/>
          <w:sz w:val="24"/>
          <w:szCs w:val="24"/>
        </w:rPr>
        <w:t>根据学生</w:t>
      </w:r>
      <w:r w:rsidRPr="009F5318">
        <w:rPr>
          <w:rFonts w:ascii="宋体" w:eastAsia="宋体" w:hAnsi="宋体" w:cs="Times New Roman" w:hint="eastAsia"/>
          <w:sz w:val="24"/>
          <w:szCs w:val="24"/>
        </w:rPr>
        <w:t>课堂上的表现情况，如发言、提问情况等。</w:t>
      </w:r>
    </w:p>
    <w:p w14:paraId="5E5404D6"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（2）平时作业：根据多次完成作业的情况综合评定。</w:t>
      </w:r>
    </w:p>
    <w:p w14:paraId="584A63C7"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（3）阶段测试：包括平时测试、测验中掌握课程的情况。</w:t>
      </w:r>
    </w:p>
    <w:p w14:paraId="38E2A18F" w14:textId="77777777" w:rsidR="009F5318" w:rsidRPr="009F5318" w:rsidRDefault="009F5318" w:rsidP="009F5318">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F5318">
        <w:rPr>
          <w:rFonts w:ascii="黑体" w:eastAsia="黑体" w:hAnsi="黑体" w:cs="Times New Roman" w:hint="eastAsia"/>
          <w:sz w:val="28"/>
          <w:szCs w:val="28"/>
        </w:rPr>
        <w:t>（三）期末成绩评定</w:t>
      </w:r>
    </w:p>
    <w:p w14:paraId="695CC3BD"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期末考核采用研究报告的形式，要求学生根据实践教学内容完成实验，并结合理论教学内容撰写研究报告，研究报告应包含实验目的、实验材料、实验过程与方法、实验结果、实验分析与讨论、实验结论、主要参考文献等内容，其中，实验结果、实</w:t>
      </w:r>
      <w:r w:rsidRPr="009F5318">
        <w:rPr>
          <w:rFonts w:ascii="宋体" w:eastAsia="宋体" w:hAnsi="宋体" w:cs="Times New Roman" w:hint="eastAsia"/>
          <w:sz w:val="24"/>
          <w:szCs w:val="24"/>
        </w:rPr>
        <w:lastRenderedPageBreak/>
        <w:t>验分析与讨论为考核的重点内容。总分100分，占总评成绩的50%。</w:t>
      </w:r>
    </w:p>
    <w:p w14:paraId="26CE0CDE" w14:textId="77777777" w:rsidR="009F5318" w:rsidRPr="009F5318" w:rsidRDefault="009F5318" w:rsidP="00C63ECC">
      <w:pPr>
        <w:pStyle w:val="afc"/>
      </w:pPr>
      <w:r w:rsidRPr="009F5318">
        <w:rPr>
          <w:rFonts w:hint="eastAsia"/>
        </w:rPr>
        <w:t>六、使用教材、相关推荐书目及课程资源</w:t>
      </w:r>
    </w:p>
    <w:p w14:paraId="49D06701" w14:textId="77777777" w:rsidR="009F5318" w:rsidRPr="009F5318" w:rsidRDefault="009F5318" w:rsidP="009F5318">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F5318">
        <w:rPr>
          <w:rFonts w:ascii="黑体" w:eastAsia="黑体" w:hAnsi="黑体" w:cs="Times New Roman" w:hint="eastAsia"/>
          <w:sz w:val="28"/>
          <w:szCs w:val="28"/>
        </w:rPr>
        <w:t>（一）使用教材</w:t>
      </w:r>
    </w:p>
    <w:p w14:paraId="5B0C80B5"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罗旭、毕开顺</w:t>
      </w:r>
      <w:r w:rsidRPr="009F5318">
        <w:rPr>
          <w:rFonts w:ascii="宋体" w:eastAsia="宋体" w:hAnsi="宋体" w:cs="Times New Roman"/>
          <w:sz w:val="24"/>
          <w:szCs w:val="24"/>
        </w:rPr>
        <w:t>主编：《</w:t>
      </w:r>
      <w:r w:rsidRPr="009F5318">
        <w:rPr>
          <w:rFonts w:ascii="宋体" w:eastAsia="宋体" w:hAnsi="宋体" w:cs="Times New Roman" w:hint="eastAsia"/>
          <w:sz w:val="24"/>
          <w:szCs w:val="24"/>
        </w:rPr>
        <w:t>医药统计学</w:t>
      </w:r>
      <w:r w:rsidRPr="009F5318">
        <w:rPr>
          <w:rFonts w:ascii="宋体" w:eastAsia="宋体" w:hAnsi="宋体" w:cs="Times New Roman"/>
          <w:sz w:val="24"/>
          <w:szCs w:val="24"/>
        </w:rPr>
        <w:t>》（</w:t>
      </w:r>
      <w:r w:rsidRPr="009F5318">
        <w:rPr>
          <w:rFonts w:ascii="宋体" w:eastAsia="宋体" w:hAnsi="宋体" w:cs="Times New Roman" w:hint="eastAsia"/>
          <w:sz w:val="24"/>
          <w:szCs w:val="24"/>
        </w:rPr>
        <w:t>第1版</w:t>
      </w:r>
      <w:r w:rsidRPr="009F5318">
        <w:rPr>
          <w:rFonts w:ascii="宋体" w:eastAsia="宋体" w:hAnsi="宋体" w:cs="Times New Roman"/>
          <w:sz w:val="24"/>
          <w:szCs w:val="24"/>
        </w:rPr>
        <w:t>）</w:t>
      </w:r>
      <w:r w:rsidRPr="009F5318">
        <w:rPr>
          <w:rFonts w:ascii="宋体" w:eastAsia="宋体" w:hAnsi="宋体" w:cs="Times New Roman" w:hint="eastAsia"/>
          <w:sz w:val="24"/>
          <w:szCs w:val="24"/>
        </w:rPr>
        <w:t>，高等教育出版社，</w:t>
      </w:r>
      <w:r w:rsidRPr="009F5318">
        <w:rPr>
          <w:rFonts w:ascii="宋体" w:eastAsia="宋体" w:hAnsi="宋体" w:cs="Times New Roman"/>
          <w:sz w:val="24"/>
          <w:szCs w:val="24"/>
        </w:rPr>
        <w:t>20</w:t>
      </w:r>
      <w:r w:rsidRPr="009F5318">
        <w:rPr>
          <w:rFonts w:ascii="宋体" w:eastAsia="宋体" w:hAnsi="宋体" w:cs="Times New Roman" w:hint="eastAsia"/>
          <w:sz w:val="24"/>
          <w:szCs w:val="24"/>
        </w:rPr>
        <w:t>10年版。</w:t>
      </w:r>
    </w:p>
    <w:p w14:paraId="09B27673" w14:textId="77777777" w:rsidR="009F5318" w:rsidRPr="009F5318" w:rsidRDefault="009F5318" w:rsidP="009F5318">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F5318">
        <w:rPr>
          <w:rFonts w:ascii="黑体" w:eastAsia="黑体" w:hAnsi="黑体" w:cs="Times New Roman" w:hint="eastAsia"/>
          <w:sz w:val="28"/>
          <w:szCs w:val="28"/>
        </w:rPr>
        <w:t>（二）相关推荐书目</w:t>
      </w:r>
    </w:p>
    <w:p w14:paraId="1E76D353"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1</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高祖新</w:t>
      </w:r>
      <w:r w:rsidRPr="009F5318">
        <w:rPr>
          <w:rFonts w:ascii="宋体" w:eastAsia="宋体" w:hAnsi="宋体" w:cs="Times New Roman"/>
          <w:sz w:val="24"/>
          <w:szCs w:val="24"/>
        </w:rPr>
        <w:t>主编：</w:t>
      </w:r>
      <w:r w:rsidRPr="009F5318">
        <w:rPr>
          <w:rFonts w:ascii="宋体" w:eastAsia="宋体" w:hAnsi="宋体" w:cs="Times New Roman" w:hint="eastAsia"/>
          <w:sz w:val="24"/>
          <w:szCs w:val="24"/>
        </w:rPr>
        <w:t>《医药数理统计方法》（第5版），高祖新</w:t>
      </w:r>
      <w:r w:rsidRPr="009F5318">
        <w:rPr>
          <w:rFonts w:ascii="宋体" w:eastAsia="宋体" w:hAnsi="宋体" w:cs="Times New Roman"/>
          <w:sz w:val="24"/>
          <w:szCs w:val="24"/>
        </w:rPr>
        <w:t>主编</w:t>
      </w:r>
      <w:r w:rsidRPr="009F5318">
        <w:rPr>
          <w:rFonts w:ascii="宋体" w:eastAsia="宋体" w:hAnsi="宋体" w:cs="Times New Roman" w:hint="eastAsia"/>
          <w:sz w:val="24"/>
          <w:szCs w:val="24"/>
        </w:rPr>
        <w:t>，</w:t>
      </w:r>
      <w:r w:rsidRPr="009F5318">
        <w:rPr>
          <w:rFonts w:ascii="宋体" w:eastAsia="宋体" w:hAnsi="宋体" w:cs="Times New Roman"/>
          <w:sz w:val="24"/>
          <w:szCs w:val="24"/>
        </w:rPr>
        <w:t>人民卫生出版社，20</w:t>
      </w:r>
      <w:r w:rsidRPr="009F5318">
        <w:rPr>
          <w:rFonts w:ascii="宋体" w:eastAsia="宋体" w:hAnsi="宋体" w:cs="Times New Roman" w:hint="eastAsia"/>
          <w:sz w:val="24"/>
          <w:szCs w:val="24"/>
        </w:rPr>
        <w:t>11年版；</w:t>
      </w:r>
    </w:p>
    <w:p w14:paraId="4F95DDCF"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2</w:t>
      </w:r>
      <w:r w:rsidRPr="009F5318">
        <w:rPr>
          <w:rFonts w:ascii="宋体" w:eastAsia="宋体" w:hAnsi="宋体" w:cs="Times New Roman"/>
          <w:sz w:val="24"/>
          <w:szCs w:val="24"/>
        </w:rPr>
        <w:t xml:space="preserve">. </w:t>
      </w:r>
      <w:r w:rsidRPr="009F5318">
        <w:rPr>
          <w:rFonts w:ascii="宋体" w:eastAsia="宋体" w:hAnsi="宋体" w:cs="Times New Roman" w:hint="eastAsia"/>
          <w:sz w:val="24"/>
          <w:szCs w:val="24"/>
        </w:rPr>
        <w:t>邓芳</w:t>
      </w:r>
      <w:r w:rsidRPr="009F5318">
        <w:rPr>
          <w:rFonts w:ascii="宋体" w:eastAsia="宋体" w:hAnsi="宋体" w:cs="Times New Roman"/>
          <w:sz w:val="24"/>
          <w:szCs w:val="24"/>
        </w:rPr>
        <w:t>主编：</w:t>
      </w:r>
      <w:r w:rsidRPr="009F5318">
        <w:rPr>
          <w:rFonts w:ascii="宋体" w:eastAsia="宋体" w:hAnsi="宋体" w:cs="Times New Roman" w:hint="eastAsia"/>
          <w:sz w:val="24"/>
          <w:szCs w:val="24"/>
        </w:rPr>
        <w:t>《Excel高效办公——数据处理与分析》（修订版），</w:t>
      </w:r>
      <w:r w:rsidRPr="009F5318">
        <w:rPr>
          <w:rFonts w:ascii="宋体" w:eastAsia="宋体" w:hAnsi="宋体" w:cs="Times New Roman"/>
          <w:sz w:val="24"/>
          <w:szCs w:val="24"/>
        </w:rPr>
        <w:t>人民</w:t>
      </w:r>
      <w:r w:rsidRPr="009F5318">
        <w:rPr>
          <w:rFonts w:ascii="宋体" w:eastAsia="宋体" w:hAnsi="宋体" w:cs="Times New Roman" w:hint="eastAsia"/>
          <w:sz w:val="24"/>
          <w:szCs w:val="24"/>
        </w:rPr>
        <w:t>邮电</w:t>
      </w:r>
      <w:r w:rsidRPr="009F5318">
        <w:rPr>
          <w:rFonts w:ascii="宋体" w:eastAsia="宋体" w:hAnsi="宋体" w:cs="Times New Roman"/>
          <w:sz w:val="24"/>
          <w:szCs w:val="24"/>
        </w:rPr>
        <w:t>出版社，20</w:t>
      </w:r>
      <w:r w:rsidRPr="009F5318">
        <w:rPr>
          <w:rFonts w:ascii="宋体" w:eastAsia="宋体" w:hAnsi="宋体" w:cs="Times New Roman" w:hint="eastAsia"/>
          <w:sz w:val="24"/>
          <w:szCs w:val="24"/>
        </w:rPr>
        <w:t>12年版；</w:t>
      </w:r>
    </w:p>
    <w:p w14:paraId="436B330E"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3. 中国药典委员会主编：《中华人民共和国药典》第一部，</w:t>
      </w:r>
      <w:r w:rsidRPr="009F5318">
        <w:rPr>
          <w:rFonts w:ascii="宋体" w:eastAsia="宋体" w:hAnsi="宋体" w:cs="Times New Roman"/>
          <w:sz w:val="24"/>
          <w:szCs w:val="24"/>
        </w:rPr>
        <w:t>中国医药科技出版社</w:t>
      </w:r>
      <w:r w:rsidRPr="009F5318">
        <w:rPr>
          <w:rFonts w:ascii="宋体" w:eastAsia="宋体" w:hAnsi="宋体" w:cs="Times New Roman" w:hint="eastAsia"/>
          <w:sz w:val="24"/>
          <w:szCs w:val="24"/>
        </w:rPr>
        <w:t>，2020年版；</w:t>
      </w:r>
    </w:p>
    <w:p w14:paraId="0292664C"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4. 中国药典委员会主编：《中华人民共和国药典》第二部，</w:t>
      </w:r>
      <w:r w:rsidRPr="009F5318">
        <w:rPr>
          <w:rFonts w:ascii="宋体" w:eastAsia="宋体" w:hAnsi="宋体" w:cs="Times New Roman"/>
          <w:sz w:val="24"/>
          <w:szCs w:val="24"/>
        </w:rPr>
        <w:t>中国医药科技出版社</w:t>
      </w:r>
      <w:r w:rsidRPr="009F5318">
        <w:rPr>
          <w:rFonts w:ascii="宋体" w:eastAsia="宋体" w:hAnsi="宋体" w:cs="Times New Roman" w:hint="eastAsia"/>
          <w:sz w:val="24"/>
          <w:szCs w:val="24"/>
        </w:rPr>
        <w:t>，2020年版；</w:t>
      </w:r>
    </w:p>
    <w:p w14:paraId="456B2CA7" w14:textId="77777777" w:rsidR="009F5318" w:rsidRPr="009F5318" w:rsidRDefault="009F5318" w:rsidP="009F5318">
      <w:pPr>
        <w:adjustRightInd w:val="0"/>
        <w:snapToGrid w:val="0"/>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5. 中国药典委员会主编：《中华人民共和国药典》第四部，</w:t>
      </w:r>
      <w:r w:rsidRPr="009F5318">
        <w:rPr>
          <w:rFonts w:ascii="宋体" w:eastAsia="宋体" w:hAnsi="宋体" w:cs="Times New Roman"/>
          <w:sz w:val="24"/>
          <w:szCs w:val="24"/>
        </w:rPr>
        <w:t>中国医药科技出版社</w:t>
      </w:r>
      <w:r w:rsidRPr="009F5318">
        <w:rPr>
          <w:rFonts w:ascii="宋体" w:eastAsia="宋体" w:hAnsi="宋体" w:cs="Times New Roman" w:hint="eastAsia"/>
          <w:sz w:val="24"/>
          <w:szCs w:val="24"/>
        </w:rPr>
        <w:t>，2020年版。</w:t>
      </w:r>
    </w:p>
    <w:p w14:paraId="3B9CE19B" w14:textId="77777777" w:rsidR="009F5318" w:rsidRPr="009F5318" w:rsidRDefault="009F5318" w:rsidP="009F5318">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F5318">
        <w:rPr>
          <w:rFonts w:ascii="黑体" w:eastAsia="黑体" w:hAnsi="黑体" w:cs="Times New Roman" w:hint="eastAsia"/>
          <w:sz w:val="28"/>
          <w:szCs w:val="28"/>
        </w:rPr>
        <w:t>（三）课程资源</w:t>
      </w:r>
    </w:p>
    <w:p w14:paraId="0C87C71C"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中国国家食品药品监督管理局官方网站（</w:t>
      </w:r>
      <w:r w:rsidRPr="009F5318">
        <w:rPr>
          <w:rFonts w:ascii="宋体" w:eastAsia="宋体" w:hAnsi="宋体" w:cs="Times New Roman"/>
          <w:sz w:val="24"/>
          <w:szCs w:val="24"/>
        </w:rPr>
        <w:t>http://www.sfda.gov.cn/</w:t>
      </w:r>
      <w:r w:rsidRPr="009F5318">
        <w:rPr>
          <w:rFonts w:ascii="宋体" w:eastAsia="宋体" w:hAnsi="宋体" w:cs="Times New Roman" w:hint="eastAsia"/>
          <w:sz w:val="24"/>
          <w:szCs w:val="24"/>
        </w:rPr>
        <w:t>）可获取与本课程相关的药品法规信息。</w:t>
      </w:r>
    </w:p>
    <w:p w14:paraId="4FEE41CE" w14:textId="77777777" w:rsidR="009F5318" w:rsidRPr="009F5318" w:rsidRDefault="009F5318" w:rsidP="00C63ECC">
      <w:pPr>
        <w:pStyle w:val="afc"/>
      </w:pPr>
      <w:r w:rsidRPr="009F5318">
        <w:rPr>
          <w:rFonts w:hint="eastAsia"/>
        </w:rPr>
        <w:t>七、课程大纲制定依据</w:t>
      </w:r>
    </w:p>
    <w:p w14:paraId="025F645D" w14:textId="77777777" w:rsidR="009F5318" w:rsidRPr="009F5318" w:rsidRDefault="009F5318" w:rsidP="009F5318">
      <w:pPr>
        <w:spacing w:line="440" w:lineRule="exact"/>
        <w:ind w:firstLineChars="200" w:firstLine="480"/>
        <w:rPr>
          <w:rFonts w:ascii="宋体" w:eastAsia="宋体" w:hAnsi="宋体" w:cs="Times New Roman"/>
          <w:sz w:val="24"/>
          <w:szCs w:val="24"/>
        </w:rPr>
      </w:pPr>
      <w:r w:rsidRPr="009F5318">
        <w:rPr>
          <w:rFonts w:ascii="宋体" w:eastAsia="宋体" w:hAnsi="宋体" w:cs="Times New Roman" w:hint="eastAsia"/>
          <w:sz w:val="24"/>
          <w:szCs w:val="24"/>
        </w:rPr>
        <w:t>本课程大纲依据2023年药物分析专业人才培养方案制定。</w:t>
      </w:r>
    </w:p>
    <w:p w14:paraId="209A062D" w14:textId="77777777" w:rsidR="009F5318" w:rsidRDefault="009F5318" w:rsidP="00423AD2">
      <w:pPr>
        <w:rPr>
          <w:rFonts w:ascii="Calibri" w:eastAsia="宋体" w:hAnsi="Calibri" w:cs="Times New Roman"/>
          <w:bCs/>
        </w:rPr>
      </w:pPr>
    </w:p>
    <w:p w14:paraId="4FEB9D47" w14:textId="77777777" w:rsidR="009F5318" w:rsidRDefault="009F5318" w:rsidP="00423AD2">
      <w:pPr>
        <w:rPr>
          <w:rFonts w:ascii="Calibri" w:eastAsia="宋体" w:hAnsi="Calibri" w:cs="Times New Roman"/>
          <w:bCs/>
        </w:rPr>
      </w:pPr>
    </w:p>
    <w:p w14:paraId="1CFD8EBA" w14:textId="77777777" w:rsidR="009F5318" w:rsidRDefault="009F5318" w:rsidP="00423AD2">
      <w:pPr>
        <w:rPr>
          <w:rFonts w:ascii="Calibri" w:eastAsia="宋体" w:hAnsi="Calibri" w:cs="Times New Roman"/>
          <w:bCs/>
        </w:rPr>
      </w:pPr>
    </w:p>
    <w:p w14:paraId="4659388E" w14:textId="77777777" w:rsidR="009F5318" w:rsidRDefault="009F5318" w:rsidP="00423AD2">
      <w:pPr>
        <w:rPr>
          <w:rFonts w:ascii="Calibri" w:eastAsia="宋体" w:hAnsi="Calibri" w:cs="Times New Roman"/>
          <w:bCs/>
        </w:rPr>
      </w:pPr>
    </w:p>
    <w:p w14:paraId="67DB8842" w14:textId="77777777" w:rsidR="009F5318" w:rsidRDefault="009F5318" w:rsidP="00423AD2">
      <w:pPr>
        <w:rPr>
          <w:rFonts w:ascii="Calibri" w:eastAsia="宋体" w:hAnsi="Calibri" w:cs="Times New Roman"/>
          <w:bCs/>
        </w:rPr>
      </w:pPr>
    </w:p>
    <w:p w14:paraId="6C0742A9" w14:textId="77777777" w:rsidR="008448D4" w:rsidRDefault="008448D4" w:rsidP="00423AD2">
      <w:pPr>
        <w:rPr>
          <w:rFonts w:ascii="Calibri" w:eastAsia="宋体" w:hAnsi="Calibri" w:cs="Times New Roman"/>
          <w:bCs/>
        </w:rPr>
      </w:pPr>
    </w:p>
    <w:p w14:paraId="6D9542CE" w14:textId="77777777" w:rsidR="008448D4" w:rsidRDefault="008448D4" w:rsidP="00423AD2">
      <w:pPr>
        <w:rPr>
          <w:rFonts w:ascii="Calibri" w:eastAsia="宋体" w:hAnsi="Calibri" w:cs="Times New Roman"/>
          <w:bCs/>
        </w:rPr>
      </w:pPr>
    </w:p>
    <w:p w14:paraId="1230CAF4" w14:textId="77777777" w:rsidR="008448D4" w:rsidRDefault="008448D4" w:rsidP="00423AD2">
      <w:pPr>
        <w:rPr>
          <w:rFonts w:ascii="Calibri" w:eastAsia="宋体" w:hAnsi="Calibri" w:cs="Times New Roman"/>
          <w:bCs/>
        </w:rPr>
      </w:pPr>
    </w:p>
    <w:p w14:paraId="74E6BEB1" w14:textId="77777777" w:rsidR="009F5318" w:rsidRDefault="009F5318" w:rsidP="00423AD2">
      <w:pPr>
        <w:rPr>
          <w:rFonts w:ascii="Calibri" w:eastAsia="宋体" w:hAnsi="Calibri" w:cs="Times New Roman"/>
          <w:bCs/>
        </w:rPr>
      </w:pPr>
    </w:p>
    <w:p w14:paraId="532E7427" w14:textId="77777777" w:rsidR="009F5318" w:rsidRDefault="009F5318" w:rsidP="00423AD2">
      <w:pPr>
        <w:rPr>
          <w:rFonts w:ascii="Calibri" w:eastAsia="宋体" w:hAnsi="Calibri" w:cs="Times New Roman"/>
          <w:bCs/>
        </w:rPr>
      </w:pPr>
    </w:p>
    <w:p w14:paraId="382ACCB7" w14:textId="77777777" w:rsidR="00924971" w:rsidRPr="00924971" w:rsidRDefault="00C96426" w:rsidP="00924971">
      <w:pPr>
        <w:adjustRightInd w:val="0"/>
        <w:snapToGrid w:val="0"/>
        <w:spacing w:beforeLines="100" w:before="312" w:afterLines="100" w:after="312" w:line="440" w:lineRule="exact"/>
        <w:jc w:val="center"/>
        <w:outlineLvl w:val="0"/>
        <w:rPr>
          <w:rFonts w:ascii="黑体" w:eastAsia="黑体" w:hAnsi="黑体" w:cs="Times New Roman"/>
          <w:bCs/>
          <w:sz w:val="36"/>
          <w:szCs w:val="36"/>
        </w:rPr>
      </w:pPr>
      <w:bookmarkStart w:id="253" w:name="_Toc149662375"/>
      <w:r w:rsidRPr="00C96426">
        <w:rPr>
          <w:rFonts w:ascii="黑体" w:eastAsia="黑体" w:hAnsi="黑体" w:cs="Times New Roman" w:hint="eastAsia"/>
          <w:bCs/>
          <w:sz w:val="36"/>
          <w:szCs w:val="36"/>
        </w:rPr>
        <w:lastRenderedPageBreak/>
        <w:t>《药事管理学》课程大纲</w:t>
      </w:r>
      <w:bookmarkEnd w:id="253"/>
    </w:p>
    <w:p w14:paraId="5CFC6C6F" w14:textId="77777777" w:rsidR="00924971" w:rsidRPr="00924971" w:rsidRDefault="00924971" w:rsidP="00B07C4C">
      <w:pPr>
        <w:pStyle w:val="afc"/>
      </w:pPr>
      <w:r w:rsidRPr="00924971">
        <w:rPr>
          <w:rFonts w:hint="eastAsia"/>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7"/>
        <w:gridCol w:w="2751"/>
        <w:gridCol w:w="1523"/>
        <w:gridCol w:w="2876"/>
      </w:tblGrid>
      <w:tr w:rsidR="00924971" w:rsidRPr="00924971" w14:paraId="1EE07B71" w14:textId="77777777" w:rsidTr="00B602D6">
        <w:trPr>
          <w:trHeight w:val="886"/>
          <w:jc w:val="center"/>
        </w:trPr>
        <w:tc>
          <w:tcPr>
            <w:tcW w:w="1668" w:type="dxa"/>
            <w:shd w:val="clear" w:color="auto" w:fill="auto"/>
            <w:vAlign w:val="center"/>
          </w:tcPr>
          <w:p w14:paraId="5AD8C400"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课程名称</w:t>
            </w:r>
          </w:p>
        </w:tc>
        <w:tc>
          <w:tcPr>
            <w:tcW w:w="2833" w:type="dxa"/>
            <w:shd w:val="clear" w:color="auto" w:fill="auto"/>
            <w:vAlign w:val="center"/>
          </w:tcPr>
          <w:p w14:paraId="48E4207F"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药事管理学</w:t>
            </w:r>
          </w:p>
        </w:tc>
        <w:tc>
          <w:tcPr>
            <w:tcW w:w="1561" w:type="dxa"/>
            <w:shd w:val="clear" w:color="auto" w:fill="auto"/>
            <w:vAlign w:val="center"/>
          </w:tcPr>
          <w:p w14:paraId="72BF8293"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课程代码</w:t>
            </w:r>
          </w:p>
        </w:tc>
        <w:tc>
          <w:tcPr>
            <w:tcW w:w="2941" w:type="dxa"/>
            <w:shd w:val="clear" w:color="auto" w:fill="auto"/>
            <w:vAlign w:val="center"/>
          </w:tcPr>
          <w:p w14:paraId="38012475"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sz w:val="24"/>
                <w:szCs w:val="24"/>
              </w:rPr>
              <w:t>0714A09</w:t>
            </w:r>
          </w:p>
        </w:tc>
      </w:tr>
      <w:tr w:rsidR="00924971" w:rsidRPr="00924971" w14:paraId="5D212157" w14:textId="77777777" w:rsidTr="00B602D6">
        <w:trPr>
          <w:trHeight w:val="829"/>
          <w:jc w:val="center"/>
        </w:trPr>
        <w:tc>
          <w:tcPr>
            <w:tcW w:w="1668" w:type="dxa"/>
            <w:shd w:val="clear" w:color="auto" w:fill="auto"/>
            <w:vAlign w:val="center"/>
          </w:tcPr>
          <w:p w14:paraId="24EC56D9"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课程类别</w:t>
            </w:r>
          </w:p>
        </w:tc>
        <w:tc>
          <w:tcPr>
            <w:tcW w:w="2833" w:type="dxa"/>
            <w:shd w:val="clear" w:color="auto" w:fill="auto"/>
            <w:vAlign w:val="center"/>
          </w:tcPr>
          <w:p w14:paraId="19CC9089"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专业方向课程</w:t>
            </w:r>
          </w:p>
        </w:tc>
        <w:tc>
          <w:tcPr>
            <w:tcW w:w="1561" w:type="dxa"/>
            <w:shd w:val="clear" w:color="auto" w:fill="auto"/>
            <w:vAlign w:val="center"/>
          </w:tcPr>
          <w:p w14:paraId="57D1991B"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学时</w:t>
            </w:r>
          </w:p>
          <w:p w14:paraId="1EEB89A3"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/学分</w:t>
            </w:r>
          </w:p>
        </w:tc>
        <w:tc>
          <w:tcPr>
            <w:tcW w:w="2941" w:type="dxa"/>
            <w:shd w:val="clear" w:color="auto" w:fill="auto"/>
            <w:vAlign w:val="center"/>
          </w:tcPr>
          <w:p w14:paraId="4D0BEA1C"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sz w:val="24"/>
                <w:szCs w:val="24"/>
              </w:rPr>
              <w:t>32</w:t>
            </w:r>
            <w:r w:rsidRPr="00924971">
              <w:rPr>
                <w:rFonts w:ascii="宋体" w:eastAsia="宋体" w:hAnsi="宋体" w:cs="Times New Roman" w:hint="eastAsia"/>
                <w:sz w:val="24"/>
                <w:szCs w:val="24"/>
              </w:rPr>
              <w:t>/</w:t>
            </w:r>
            <w:r w:rsidRPr="00924971">
              <w:rPr>
                <w:rFonts w:ascii="宋体" w:eastAsia="宋体" w:hAnsi="宋体" w:cs="Times New Roman"/>
                <w:sz w:val="24"/>
                <w:szCs w:val="24"/>
              </w:rPr>
              <w:t>2</w:t>
            </w:r>
          </w:p>
        </w:tc>
      </w:tr>
      <w:tr w:rsidR="00924971" w:rsidRPr="00924971" w14:paraId="1B59A6A6" w14:textId="77777777" w:rsidTr="00B602D6">
        <w:trPr>
          <w:trHeight w:val="811"/>
          <w:jc w:val="center"/>
        </w:trPr>
        <w:tc>
          <w:tcPr>
            <w:tcW w:w="1668" w:type="dxa"/>
            <w:shd w:val="clear" w:color="auto" w:fill="auto"/>
            <w:vAlign w:val="center"/>
          </w:tcPr>
          <w:p w14:paraId="5B08F965"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开课单位</w:t>
            </w:r>
          </w:p>
        </w:tc>
        <w:tc>
          <w:tcPr>
            <w:tcW w:w="2833" w:type="dxa"/>
            <w:shd w:val="clear" w:color="auto" w:fill="auto"/>
            <w:vAlign w:val="center"/>
          </w:tcPr>
          <w:p w14:paraId="02547C06"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化工学院</w:t>
            </w:r>
          </w:p>
        </w:tc>
        <w:tc>
          <w:tcPr>
            <w:tcW w:w="1561" w:type="dxa"/>
            <w:shd w:val="clear" w:color="auto" w:fill="auto"/>
            <w:vAlign w:val="center"/>
          </w:tcPr>
          <w:p w14:paraId="7E26ADF8"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适用专业</w:t>
            </w:r>
          </w:p>
        </w:tc>
        <w:tc>
          <w:tcPr>
            <w:tcW w:w="2941" w:type="dxa"/>
            <w:shd w:val="clear" w:color="auto" w:fill="auto"/>
            <w:vAlign w:val="center"/>
          </w:tcPr>
          <w:p w14:paraId="2CED015A"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药物</w:t>
            </w:r>
            <w:r w:rsidR="0081035A">
              <w:rPr>
                <w:rFonts w:ascii="宋体" w:eastAsia="宋体" w:hAnsi="宋体" w:cs="Times New Roman" w:hint="eastAsia"/>
                <w:sz w:val="24"/>
                <w:szCs w:val="24"/>
              </w:rPr>
              <w:t>分析</w:t>
            </w:r>
          </w:p>
        </w:tc>
      </w:tr>
      <w:tr w:rsidR="00924971" w:rsidRPr="00924971" w14:paraId="21D5E267" w14:textId="77777777" w:rsidTr="00B602D6">
        <w:trPr>
          <w:trHeight w:val="811"/>
          <w:jc w:val="center"/>
        </w:trPr>
        <w:tc>
          <w:tcPr>
            <w:tcW w:w="1668" w:type="dxa"/>
            <w:shd w:val="clear" w:color="auto" w:fill="auto"/>
            <w:vAlign w:val="center"/>
          </w:tcPr>
          <w:p w14:paraId="595AF6AF"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课程负责人</w:t>
            </w:r>
          </w:p>
        </w:tc>
        <w:tc>
          <w:tcPr>
            <w:tcW w:w="7335" w:type="dxa"/>
            <w:gridSpan w:val="3"/>
            <w:shd w:val="clear" w:color="auto" w:fill="auto"/>
            <w:vAlign w:val="center"/>
          </w:tcPr>
          <w:p w14:paraId="11B68340" w14:textId="77777777" w:rsidR="00924971" w:rsidRPr="00924971" w:rsidRDefault="00924971" w:rsidP="00924971">
            <w:pPr>
              <w:spacing w:line="440" w:lineRule="exact"/>
              <w:jc w:val="center"/>
              <w:rPr>
                <w:rFonts w:ascii="宋体" w:eastAsia="宋体" w:hAnsi="宋体" w:cs="Times New Roman"/>
                <w:sz w:val="24"/>
                <w:szCs w:val="24"/>
              </w:rPr>
            </w:pPr>
            <w:proofErr w:type="gramStart"/>
            <w:r w:rsidRPr="00924971">
              <w:rPr>
                <w:rFonts w:ascii="宋体" w:eastAsia="宋体" w:hAnsi="宋体" w:cs="Times New Roman" w:hint="eastAsia"/>
                <w:sz w:val="24"/>
                <w:szCs w:val="24"/>
              </w:rPr>
              <w:t>冯</w:t>
            </w:r>
            <w:proofErr w:type="gramEnd"/>
            <w:r w:rsidRPr="00924971">
              <w:rPr>
                <w:rFonts w:ascii="宋体" w:eastAsia="宋体" w:hAnsi="宋体" w:cs="Times New Roman" w:hint="eastAsia"/>
                <w:sz w:val="24"/>
                <w:szCs w:val="24"/>
              </w:rPr>
              <w:t>小龙</w:t>
            </w:r>
          </w:p>
        </w:tc>
      </w:tr>
      <w:tr w:rsidR="00924971" w:rsidRPr="00924971" w14:paraId="7426E05B" w14:textId="77777777" w:rsidTr="00B602D6">
        <w:trPr>
          <w:trHeight w:val="836"/>
          <w:jc w:val="center"/>
        </w:trPr>
        <w:tc>
          <w:tcPr>
            <w:tcW w:w="1668" w:type="dxa"/>
            <w:shd w:val="clear" w:color="auto" w:fill="auto"/>
            <w:vAlign w:val="center"/>
          </w:tcPr>
          <w:p w14:paraId="255B4D15"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大纲撰写人</w:t>
            </w:r>
          </w:p>
        </w:tc>
        <w:tc>
          <w:tcPr>
            <w:tcW w:w="2833" w:type="dxa"/>
            <w:shd w:val="clear" w:color="auto" w:fill="auto"/>
            <w:vAlign w:val="center"/>
          </w:tcPr>
          <w:p w14:paraId="3AA8D2EE" w14:textId="77777777" w:rsidR="00924971" w:rsidRPr="00924971" w:rsidRDefault="00924971" w:rsidP="00924971">
            <w:pPr>
              <w:spacing w:line="440" w:lineRule="exact"/>
              <w:jc w:val="center"/>
              <w:rPr>
                <w:rFonts w:ascii="宋体" w:eastAsia="宋体" w:hAnsi="宋体" w:cs="Times New Roman"/>
                <w:sz w:val="24"/>
                <w:szCs w:val="24"/>
              </w:rPr>
            </w:pPr>
            <w:proofErr w:type="gramStart"/>
            <w:r w:rsidRPr="00924971">
              <w:rPr>
                <w:rFonts w:ascii="宋体" w:eastAsia="宋体" w:hAnsi="宋体" w:cs="Times New Roman" w:hint="eastAsia"/>
                <w:sz w:val="24"/>
                <w:szCs w:val="24"/>
              </w:rPr>
              <w:t>冯</w:t>
            </w:r>
            <w:proofErr w:type="gramEnd"/>
            <w:r w:rsidRPr="00924971">
              <w:rPr>
                <w:rFonts w:ascii="宋体" w:eastAsia="宋体" w:hAnsi="宋体" w:cs="Times New Roman" w:hint="eastAsia"/>
                <w:sz w:val="24"/>
                <w:szCs w:val="24"/>
              </w:rPr>
              <w:t>小龙</w:t>
            </w:r>
          </w:p>
        </w:tc>
        <w:tc>
          <w:tcPr>
            <w:tcW w:w="1561" w:type="dxa"/>
            <w:shd w:val="clear" w:color="auto" w:fill="auto"/>
            <w:vAlign w:val="center"/>
          </w:tcPr>
          <w:p w14:paraId="79B0C60E"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大纲审核人</w:t>
            </w:r>
          </w:p>
        </w:tc>
        <w:tc>
          <w:tcPr>
            <w:tcW w:w="2941" w:type="dxa"/>
            <w:shd w:val="clear" w:color="auto" w:fill="auto"/>
            <w:vAlign w:val="center"/>
          </w:tcPr>
          <w:p w14:paraId="0DAAFFE0" w14:textId="77777777" w:rsidR="00924971" w:rsidRPr="00924971" w:rsidRDefault="00924971" w:rsidP="00924971">
            <w:pPr>
              <w:spacing w:line="440" w:lineRule="exact"/>
              <w:jc w:val="center"/>
              <w:rPr>
                <w:rFonts w:ascii="宋体" w:eastAsia="宋体" w:hAnsi="宋体" w:cs="Times New Roman"/>
                <w:sz w:val="24"/>
                <w:szCs w:val="24"/>
              </w:rPr>
            </w:pPr>
            <w:proofErr w:type="gramStart"/>
            <w:r w:rsidRPr="00924971">
              <w:rPr>
                <w:rFonts w:ascii="宋体" w:eastAsia="宋体" w:hAnsi="宋体" w:cs="Times New Roman" w:hint="eastAsia"/>
                <w:sz w:val="24"/>
                <w:szCs w:val="24"/>
              </w:rPr>
              <w:t>冯</w:t>
            </w:r>
            <w:proofErr w:type="gramEnd"/>
            <w:r w:rsidRPr="00924971">
              <w:rPr>
                <w:rFonts w:ascii="宋体" w:eastAsia="宋体" w:hAnsi="宋体" w:cs="Times New Roman" w:hint="eastAsia"/>
                <w:sz w:val="24"/>
                <w:szCs w:val="24"/>
              </w:rPr>
              <w:t>小龙</w:t>
            </w:r>
          </w:p>
        </w:tc>
      </w:tr>
      <w:tr w:rsidR="00924971" w:rsidRPr="00924971" w14:paraId="06F67E54" w14:textId="77777777" w:rsidTr="00B602D6">
        <w:trPr>
          <w:trHeight w:val="848"/>
          <w:jc w:val="center"/>
        </w:trPr>
        <w:tc>
          <w:tcPr>
            <w:tcW w:w="1668" w:type="dxa"/>
            <w:shd w:val="clear" w:color="auto" w:fill="auto"/>
            <w:vAlign w:val="center"/>
          </w:tcPr>
          <w:p w14:paraId="1279F4CE"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先修课程</w:t>
            </w:r>
          </w:p>
        </w:tc>
        <w:tc>
          <w:tcPr>
            <w:tcW w:w="7335" w:type="dxa"/>
            <w:gridSpan w:val="3"/>
            <w:shd w:val="clear" w:color="auto" w:fill="auto"/>
            <w:vAlign w:val="center"/>
          </w:tcPr>
          <w:p w14:paraId="6BB12C1E"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GMP训练、科研训练</w:t>
            </w:r>
          </w:p>
        </w:tc>
      </w:tr>
      <w:tr w:rsidR="00924971" w:rsidRPr="00924971" w14:paraId="21F63F9C" w14:textId="77777777" w:rsidTr="00B602D6">
        <w:trPr>
          <w:trHeight w:val="848"/>
          <w:jc w:val="center"/>
        </w:trPr>
        <w:tc>
          <w:tcPr>
            <w:tcW w:w="1668" w:type="dxa"/>
            <w:shd w:val="clear" w:color="auto" w:fill="auto"/>
            <w:vAlign w:val="center"/>
          </w:tcPr>
          <w:p w14:paraId="395900B5"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hint="eastAsia"/>
                <w:sz w:val="24"/>
                <w:szCs w:val="24"/>
              </w:rPr>
              <w:t>课程网址</w:t>
            </w:r>
          </w:p>
        </w:tc>
        <w:tc>
          <w:tcPr>
            <w:tcW w:w="7335" w:type="dxa"/>
            <w:gridSpan w:val="3"/>
            <w:shd w:val="clear" w:color="auto" w:fill="auto"/>
            <w:vAlign w:val="center"/>
          </w:tcPr>
          <w:p w14:paraId="267CEF54" w14:textId="77777777" w:rsidR="00924971" w:rsidRPr="00924971" w:rsidRDefault="00924971" w:rsidP="00924971">
            <w:pPr>
              <w:spacing w:line="440" w:lineRule="exact"/>
              <w:rPr>
                <w:rFonts w:ascii="宋体" w:eastAsia="宋体" w:hAnsi="宋体" w:cs="Times New Roman"/>
                <w:color w:val="FF0000"/>
                <w:sz w:val="24"/>
                <w:szCs w:val="24"/>
              </w:rPr>
            </w:pPr>
          </w:p>
        </w:tc>
      </w:tr>
    </w:tbl>
    <w:p w14:paraId="7EF31231" w14:textId="77777777" w:rsidR="00924971" w:rsidRPr="00924971" w:rsidRDefault="00924971" w:rsidP="00B07C4C">
      <w:pPr>
        <w:pStyle w:val="afc"/>
      </w:pPr>
      <w:r w:rsidRPr="00924971">
        <w:rPr>
          <w:rFonts w:hint="eastAsia"/>
        </w:rPr>
        <w:t>二、课程学习目标及与毕业要求的对应关系</w:t>
      </w:r>
    </w:p>
    <w:p w14:paraId="4E0DEFCA" w14:textId="77777777" w:rsidR="00924971" w:rsidRPr="00924971" w:rsidRDefault="00924971" w:rsidP="00924971">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24971">
        <w:rPr>
          <w:rFonts w:ascii="黑体" w:eastAsia="黑体" w:hAnsi="黑体" w:cs="Times New Roman" w:hint="eastAsia"/>
          <w:sz w:val="28"/>
          <w:szCs w:val="28"/>
        </w:rPr>
        <w:t>（一）课程学习目标</w:t>
      </w:r>
    </w:p>
    <w:p w14:paraId="07B4FA51"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sz w:val="24"/>
          <w:szCs w:val="24"/>
        </w:rPr>
        <w:t>通过本课程的学习，使学生达到以下目标</w:t>
      </w:r>
      <w:r w:rsidRPr="00924971">
        <w:rPr>
          <w:rFonts w:ascii="宋体" w:eastAsia="宋体" w:hAnsi="宋体" w:cs="Times New Roman"/>
          <w:color w:val="000000"/>
          <w:sz w:val="24"/>
          <w:szCs w:val="24"/>
        </w:rPr>
        <w:t>：</w:t>
      </w:r>
    </w:p>
    <w:p w14:paraId="44F3B869"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1. 能够基于药学相关背景知识进行合理分析，评价药学实践对社会、健康、安全、法律以及文化的影响，并理解应承担的责任，引导学生把保证药品质量和人民群众用药安全放在首位，以培养合格的药学人才。</w:t>
      </w:r>
      <w:r w:rsidRPr="00924971">
        <w:rPr>
          <w:rFonts w:ascii="宋体" w:eastAsia="宋体" w:hAnsi="宋体" w:cs="Times New Roman" w:hint="eastAsia"/>
          <w:b/>
          <w:color w:val="000000"/>
          <w:sz w:val="24"/>
          <w:szCs w:val="24"/>
        </w:rPr>
        <w:t>【毕业要求6 药学与社会</w:t>
      </w:r>
      <w:r w:rsidRPr="00924971">
        <w:rPr>
          <w:rFonts w:ascii="宋体" w:eastAsia="宋体" w:hAnsi="宋体" w:cs="Times New Roman"/>
          <w:b/>
          <w:color w:val="000000"/>
          <w:sz w:val="24"/>
          <w:szCs w:val="24"/>
        </w:rPr>
        <w:t>】</w:t>
      </w:r>
    </w:p>
    <w:p w14:paraId="54F67CD2"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2.</w:t>
      </w:r>
      <w:r w:rsidRPr="00924971">
        <w:rPr>
          <w:rFonts w:ascii="Times New Roman" w:eastAsia="宋体" w:hAnsi="Times New Roman" w:cs="Times New Roman" w:hint="eastAsia"/>
          <w:szCs w:val="24"/>
        </w:rPr>
        <w:t xml:space="preserve"> </w:t>
      </w:r>
      <w:r w:rsidRPr="00924971">
        <w:rPr>
          <w:rFonts w:ascii="宋体" w:eastAsia="宋体" w:hAnsi="宋体" w:cs="Times New Roman" w:hint="eastAsia"/>
          <w:color w:val="000000"/>
          <w:sz w:val="24"/>
          <w:szCs w:val="24"/>
        </w:rPr>
        <w:t>能够理解和评价药学实践对环境、社会可持续发展的影响, 使学生深刻理解生命至上的内涵，培养学生精益求精的大国工匠精神。</w:t>
      </w:r>
      <w:r w:rsidRPr="00924971">
        <w:rPr>
          <w:rFonts w:ascii="宋体" w:eastAsia="宋体" w:hAnsi="宋体" w:cs="Times New Roman" w:hint="eastAsia"/>
          <w:b/>
          <w:color w:val="000000"/>
          <w:sz w:val="24"/>
          <w:szCs w:val="24"/>
        </w:rPr>
        <w:t>【毕业要求7 环境和可持续发展</w:t>
      </w:r>
      <w:r w:rsidRPr="00924971">
        <w:rPr>
          <w:rFonts w:ascii="宋体" w:eastAsia="宋体" w:hAnsi="宋体" w:cs="Times New Roman"/>
          <w:b/>
          <w:color w:val="000000"/>
          <w:sz w:val="24"/>
          <w:szCs w:val="24"/>
        </w:rPr>
        <w:t>】</w:t>
      </w:r>
    </w:p>
    <w:p w14:paraId="0F1F549E" w14:textId="77777777" w:rsidR="00924971" w:rsidRPr="00924971" w:rsidRDefault="00924971" w:rsidP="00924971">
      <w:pPr>
        <w:adjustRightInd w:val="0"/>
        <w:snapToGrid w:val="0"/>
        <w:spacing w:line="440" w:lineRule="exact"/>
        <w:ind w:firstLineChars="200" w:firstLine="480"/>
        <w:rPr>
          <w:rFonts w:ascii="Times New Roman" w:eastAsia="宋体" w:hAnsi="Times New Roman" w:cs="Times New Roman"/>
          <w:szCs w:val="24"/>
        </w:rPr>
      </w:pPr>
      <w:r w:rsidRPr="00924971">
        <w:rPr>
          <w:rFonts w:ascii="宋体" w:eastAsia="宋体" w:hAnsi="宋体" w:cs="Times New Roman" w:hint="eastAsia"/>
          <w:color w:val="000000"/>
          <w:sz w:val="24"/>
          <w:szCs w:val="24"/>
        </w:rPr>
        <w:t>3</w:t>
      </w:r>
      <w:r w:rsidRPr="00924971">
        <w:rPr>
          <w:rFonts w:ascii="宋体" w:eastAsia="宋体" w:hAnsi="宋体" w:cs="Times New Roman"/>
          <w:color w:val="000000"/>
          <w:sz w:val="24"/>
          <w:szCs w:val="24"/>
        </w:rPr>
        <w:t>.</w:t>
      </w:r>
      <w:r w:rsidRPr="00924971">
        <w:rPr>
          <w:rFonts w:ascii="Times New Roman" w:eastAsia="宋体" w:hAnsi="Times New Roman" w:cs="Times New Roman" w:hint="eastAsia"/>
          <w:szCs w:val="24"/>
        </w:rPr>
        <w:t xml:space="preserve"> </w:t>
      </w:r>
      <w:r w:rsidRPr="00924971">
        <w:rPr>
          <w:rFonts w:ascii="宋体" w:eastAsia="宋体" w:hAnsi="宋体" w:cs="Times New Roman" w:hint="eastAsia"/>
          <w:color w:val="000000"/>
          <w:sz w:val="24"/>
          <w:szCs w:val="24"/>
        </w:rPr>
        <w:t>具有人文社会科学素养、社会责任感，能够在药物分析学实践中理解并遵守药学职业道德和规范，履行责任，具有良好的思想政治素质，较强的法律意识和责任意识；良好的职业品格和严谨的行为规范；具有自我评价能力。</w:t>
      </w:r>
      <w:r w:rsidRPr="00924971">
        <w:rPr>
          <w:rFonts w:ascii="宋体" w:eastAsia="宋体" w:hAnsi="宋体" w:cs="Times New Roman" w:hint="eastAsia"/>
          <w:b/>
          <w:color w:val="000000"/>
          <w:sz w:val="24"/>
          <w:szCs w:val="24"/>
        </w:rPr>
        <w:t>【毕业要求8 职业规范</w:t>
      </w:r>
      <w:r w:rsidRPr="00924971">
        <w:rPr>
          <w:rFonts w:ascii="宋体" w:eastAsia="宋体" w:hAnsi="宋体" w:cs="Times New Roman"/>
          <w:b/>
          <w:color w:val="000000"/>
          <w:sz w:val="24"/>
          <w:szCs w:val="24"/>
        </w:rPr>
        <w:t>】</w:t>
      </w:r>
    </w:p>
    <w:p w14:paraId="3FFDDA16" w14:textId="77777777" w:rsidR="00924971" w:rsidRPr="00924971" w:rsidRDefault="00924971" w:rsidP="00924971">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24971">
        <w:rPr>
          <w:rFonts w:ascii="黑体" w:eastAsia="黑体" w:hAnsi="黑体" w:cs="Times New Roman" w:hint="eastAsia"/>
          <w:sz w:val="28"/>
          <w:szCs w:val="28"/>
        </w:rPr>
        <w:lastRenderedPageBreak/>
        <w:t>（二）课程学习目标与毕业要求指标点的对应关系</w:t>
      </w:r>
    </w:p>
    <w:tbl>
      <w:tblPr>
        <w:tblW w:w="81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9"/>
        <w:gridCol w:w="4918"/>
        <w:gridCol w:w="1740"/>
      </w:tblGrid>
      <w:tr w:rsidR="00924971" w:rsidRPr="00924971" w14:paraId="57392470" w14:textId="77777777" w:rsidTr="00B602D6">
        <w:trPr>
          <w:trHeight w:val="826"/>
          <w:jc w:val="center"/>
        </w:trPr>
        <w:tc>
          <w:tcPr>
            <w:tcW w:w="1489" w:type="dxa"/>
            <w:vAlign w:val="center"/>
          </w:tcPr>
          <w:p w14:paraId="08A449AC" w14:textId="77777777" w:rsidR="00924971" w:rsidRPr="00924971" w:rsidRDefault="00924971" w:rsidP="00924971">
            <w:pPr>
              <w:spacing w:line="440" w:lineRule="exact"/>
              <w:jc w:val="center"/>
              <w:rPr>
                <w:rFonts w:ascii="宋体" w:eastAsia="宋体" w:hAnsi="宋体" w:cs="Times New Roman"/>
                <w:b/>
                <w:sz w:val="24"/>
                <w:szCs w:val="24"/>
              </w:rPr>
            </w:pPr>
            <w:r w:rsidRPr="00924971">
              <w:rPr>
                <w:rFonts w:ascii="宋体" w:eastAsia="宋体" w:hAnsi="宋体" w:cs="Times New Roman" w:hint="eastAsia"/>
                <w:b/>
                <w:sz w:val="24"/>
                <w:szCs w:val="24"/>
              </w:rPr>
              <w:t>毕业要求</w:t>
            </w:r>
          </w:p>
        </w:tc>
        <w:tc>
          <w:tcPr>
            <w:tcW w:w="4918" w:type="dxa"/>
            <w:vAlign w:val="center"/>
          </w:tcPr>
          <w:p w14:paraId="21AB107F" w14:textId="77777777" w:rsidR="00924971" w:rsidRPr="00924971" w:rsidRDefault="00924971" w:rsidP="00924971">
            <w:pPr>
              <w:spacing w:line="440" w:lineRule="exact"/>
              <w:jc w:val="center"/>
              <w:rPr>
                <w:rFonts w:ascii="宋体" w:eastAsia="宋体" w:hAnsi="宋体" w:cs="Times New Roman"/>
                <w:b/>
                <w:sz w:val="24"/>
                <w:szCs w:val="24"/>
              </w:rPr>
            </w:pPr>
            <w:r w:rsidRPr="00924971">
              <w:rPr>
                <w:rFonts w:ascii="宋体" w:eastAsia="宋体" w:hAnsi="宋体" w:cs="Times New Roman" w:hint="eastAsia"/>
                <w:b/>
                <w:sz w:val="24"/>
                <w:szCs w:val="24"/>
              </w:rPr>
              <w:t>毕业要求指标点</w:t>
            </w:r>
          </w:p>
        </w:tc>
        <w:tc>
          <w:tcPr>
            <w:tcW w:w="1740" w:type="dxa"/>
            <w:vAlign w:val="center"/>
          </w:tcPr>
          <w:p w14:paraId="3AA496C7" w14:textId="77777777" w:rsidR="00924971" w:rsidRPr="00924971" w:rsidRDefault="00924971" w:rsidP="00924971">
            <w:pPr>
              <w:spacing w:line="440" w:lineRule="exact"/>
              <w:jc w:val="center"/>
              <w:rPr>
                <w:rFonts w:ascii="宋体" w:eastAsia="宋体" w:hAnsi="宋体" w:cs="Times New Roman"/>
                <w:b/>
                <w:sz w:val="24"/>
                <w:szCs w:val="24"/>
              </w:rPr>
            </w:pPr>
            <w:r w:rsidRPr="00924971">
              <w:rPr>
                <w:rFonts w:ascii="宋体" w:eastAsia="宋体" w:hAnsi="宋体" w:cs="Times New Roman" w:hint="eastAsia"/>
                <w:b/>
                <w:sz w:val="24"/>
                <w:szCs w:val="24"/>
              </w:rPr>
              <w:t>课程目标</w:t>
            </w:r>
          </w:p>
        </w:tc>
      </w:tr>
      <w:tr w:rsidR="00924971" w:rsidRPr="00924971" w14:paraId="63737269" w14:textId="77777777" w:rsidTr="00B602D6">
        <w:trPr>
          <w:trHeight w:val="897"/>
          <w:jc w:val="center"/>
        </w:trPr>
        <w:tc>
          <w:tcPr>
            <w:tcW w:w="1489" w:type="dxa"/>
            <w:vAlign w:val="center"/>
          </w:tcPr>
          <w:p w14:paraId="4637B5DA"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Times New Roman" w:eastAsia="宋体" w:hAnsi="Times New Roman" w:cs="Times New Roman" w:hint="eastAsia"/>
                <w:color w:val="000000"/>
                <w:sz w:val="24"/>
                <w:szCs w:val="24"/>
              </w:rPr>
              <w:t>6.</w:t>
            </w:r>
            <w:r w:rsidRPr="00924971">
              <w:rPr>
                <w:rFonts w:ascii="Times New Roman" w:eastAsia="宋体" w:hAnsi="Times New Roman" w:cs="Times New Roman" w:hint="eastAsia"/>
                <w:color w:val="000000"/>
                <w:sz w:val="24"/>
                <w:szCs w:val="24"/>
              </w:rPr>
              <w:t>药学与社会</w:t>
            </w:r>
          </w:p>
        </w:tc>
        <w:tc>
          <w:tcPr>
            <w:tcW w:w="4918" w:type="dxa"/>
          </w:tcPr>
          <w:p w14:paraId="62484BE1" w14:textId="77777777" w:rsidR="00924971" w:rsidRPr="00924971" w:rsidRDefault="00924971" w:rsidP="00924971">
            <w:pPr>
              <w:spacing w:line="440" w:lineRule="exact"/>
              <w:jc w:val="left"/>
              <w:rPr>
                <w:rFonts w:ascii="Times New Roman" w:eastAsia="宋体" w:hAnsi="Times New Roman" w:cs="Times New Roman"/>
                <w:color w:val="000000"/>
                <w:sz w:val="24"/>
                <w:szCs w:val="24"/>
              </w:rPr>
            </w:pPr>
            <w:r w:rsidRPr="00924971">
              <w:rPr>
                <w:rFonts w:ascii="Times New Roman" w:eastAsia="宋体" w:hAnsi="Times New Roman" w:cs="Times New Roman" w:hint="eastAsia"/>
                <w:color w:val="000000"/>
                <w:sz w:val="24"/>
                <w:szCs w:val="24"/>
              </w:rPr>
              <w:t>6.1</w:t>
            </w:r>
            <w:r w:rsidRPr="00924971">
              <w:rPr>
                <w:rFonts w:ascii="Times New Roman" w:eastAsia="宋体" w:hAnsi="Times New Roman" w:cs="Times New Roman" w:hint="eastAsia"/>
                <w:color w:val="000000"/>
                <w:sz w:val="24"/>
                <w:szCs w:val="24"/>
              </w:rPr>
              <w:t>熟悉药学相关的标准、政策与法规，能够在法律、法规的框架内开展实践。</w:t>
            </w:r>
            <w:r w:rsidRPr="00924971">
              <w:rPr>
                <w:rFonts w:ascii="宋体" w:eastAsia="宋体" w:hAnsi="宋体" w:cs="Times New Roman"/>
                <w:color w:val="000000"/>
                <w:sz w:val="24"/>
                <w:szCs w:val="24"/>
              </w:rPr>
              <w:t>(H)</w:t>
            </w:r>
          </w:p>
        </w:tc>
        <w:tc>
          <w:tcPr>
            <w:tcW w:w="1740" w:type="dxa"/>
            <w:vAlign w:val="center"/>
          </w:tcPr>
          <w:p w14:paraId="0A93CEDC" w14:textId="77777777" w:rsidR="00924971" w:rsidRPr="00924971" w:rsidRDefault="00924971" w:rsidP="00924971">
            <w:pPr>
              <w:spacing w:line="440" w:lineRule="exact"/>
              <w:jc w:val="left"/>
              <w:rPr>
                <w:rFonts w:ascii="Times New Roman" w:eastAsia="宋体" w:hAnsi="Times New Roman" w:cs="Times New Roman"/>
                <w:color w:val="000000"/>
                <w:sz w:val="24"/>
                <w:szCs w:val="24"/>
              </w:rPr>
            </w:pPr>
            <w:r w:rsidRPr="00924971">
              <w:rPr>
                <w:rFonts w:ascii="Times New Roman" w:eastAsia="宋体" w:hAnsi="Times New Roman" w:cs="Times New Roman" w:hint="eastAsia"/>
                <w:color w:val="000000"/>
                <w:sz w:val="24"/>
                <w:szCs w:val="24"/>
              </w:rPr>
              <w:t>课程目标</w:t>
            </w:r>
            <w:r w:rsidRPr="00924971">
              <w:rPr>
                <w:rFonts w:ascii="Times New Roman" w:eastAsia="宋体" w:hAnsi="Times New Roman" w:cs="Times New Roman"/>
                <w:color w:val="000000"/>
                <w:sz w:val="24"/>
                <w:szCs w:val="24"/>
              </w:rPr>
              <w:t>1</w:t>
            </w:r>
          </w:p>
        </w:tc>
      </w:tr>
      <w:tr w:rsidR="00924971" w:rsidRPr="00924971" w14:paraId="0CC8BB2D" w14:textId="77777777" w:rsidTr="00B602D6">
        <w:trPr>
          <w:trHeight w:val="886"/>
          <w:jc w:val="center"/>
        </w:trPr>
        <w:tc>
          <w:tcPr>
            <w:tcW w:w="1489" w:type="dxa"/>
            <w:vAlign w:val="center"/>
          </w:tcPr>
          <w:p w14:paraId="5EF91197"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Times New Roman" w:eastAsia="宋体" w:hAnsi="Times New Roman" w:cs="Times New Roman" w:hint="eastAsia"/>
                <w:color w:val="000000"/>
                <w:sz w:val="24"/>
                <w:szCs w:val="24"/>
              </w:rPr>
              <w:t>7</w:t>
            </w:r>
            <w:r w:rsidRPr="00924971">
              <w:rPr>
                <w:rFonts w:ascii="Times New Roman" w:eastAsia="宋体" w:hAnsi="Times New Roman" w:cs="Times New Roman"/>
                <w:color w:val="000000"/>
                <w:sz w:val="24"/>
                <w:szCs w:val="24"/>
              </w:rPr>
              <w:t>.</w:t>
            </w:r>
            <w:r w:rsidRPr="00924971">
              <w:rPr>
                <w:rFonts w:ascii="Times New Roman" w:eastAsia="宋体" w:hAnsi="Times New Roman" w:cs="Times New Roman" w:hint="eastAsia"/>
                <w:color w:val="000000"/>
                <w:sz w:val="24"/>
                <w:szCs w:val="24"/>
              </w:rPr>
              <w:t>环境和可持续发展</w:t>
            </w:r>
          </w:p>
        </w:tc>
        <w:tc>
          <w:tcPr>
            <w:tcW w:w="4918" w:type="dxa"/>
          </w:tcPr>
          <w:p w14:paraId="1424B9D5" w14:textId="77777777" w:rsidR="00924971" w:rsidRPr="00924971" w:rsidRDefault="00924971" w:rsidP="00924971">
            <w:pPr>
              <w:spacing w:line="440" w:lineRule="exact"/>
              <w:jc w:val="left"/>
              <w:rPr>
                <w:rFonts w:ascii="Times New Roman" w:eastAsia="宋体" w:hAnsi="Times New Roman" w:cs="Times New Roman"/>
                <w:color w:val="000000"/>
                <w:sz w:val="24"/>
                <w:szCs w:val="24"/>
              </w:rPr>
            </w:pPr>
            <w:r w:rsidRPr="00924971">
              <w:rPr>
                <w:rFonts w:ascii="Times New Roman" w:eastAsia="宋体" w:hAnsi="Times New Roman" w:cs="Times New Roman" w:hint="eastAsia"/>
                <w:color w:val="000000"/>
                <w:sz w:val="24"/>
                <w:szCs w:val="24"/>
              </w:rPr>
              <w:t>7.1</w:t>
            </w:r>
            <w:r w:rsidRPr="00924971">
              <w:rPr>
                <w:rFonts w:ascii="Times New Roman" w:eastAsia="宋体" w:hAnsi="Times New Roman" w:cs="Times New Roman" w:hint="eastAsia"/>
                <w:color w:val="000000"/>
                <w:sz w:val="24"/>
                <w:szCs w:val="24"/>
              </w:rPr>
              <w:t>熟悉药学行业中有关环境、社会可持续发展的相关标准、政策与法规，理解相关政策对环境、社会可持续发展的影响。</w:t>
            </w:r>
            <w:r w:rsidRPr="00924971">
              <w:rPr>
                <w:rFonts w:ascii="宋体" w:eastAsia="宋体" w:hAnsi="宋体" w:cs="Times New Roman"/>
                <w:color w:val="000000"/>
                <w:sz w:val="24"/>
                <w:szCs w:val="24"/>
              </w:rPr>
              <w:t>(L)</w:t>
            </w:r>
          </w:p>
        </w:tc>
        <w:tc>
          <w:tcPr>
            <w:tcW w:w="1740" w:type="dxa"/>
            <w:vAlign w:val="center"/>
          </w:tcPr>
          <w:p w14:paraId="5FF9CA0A" w14:textId="77777777" w:rsidR="00924971" w:rsidRPr="00924971" w:rsidRDefault="00924971" w:rsidP="00924971">
            <w:pPr>
              <w:spacing w:line="440" w:lineRule="exact"/>
              <w:jc w:val="left"/>
              <w:rPr>
                <w:rFonts w:ascii="Times New Roman" w:eastAsia="宋体" w:hAnsi="Times New Roman" w:cs="Times New Roman"/>
                <w:color w:val="000000"/>
                <w:sz w:val="24"/>
                <w:szCs w:val="24"/>
              </w:rPr>
            </w:pPr>
            <w:r w:rsidRPr="00924971">
              <w:rPr>
                <w:rFonts w:ascii="Times New Roman" w:eastAsia="宋体" w:hAnsi="Times New Roman" w:cs="Times New Roman" w:hint="eastAsia"/>
                <w:color w:val="000000"/>
                <w:sz w:val="24"/>
                <w:szCs w:val="24"/>
              </w:rPr>
              <w:t>课程目标</w:t>
            </w:r>
            <w:r w:rsidRPr="00924971">
              <w:rPr>
                <w:rFonts w:ascii="Times New Roman" w:eastAsia="宋体" w:hAnsi="Times New Roman" w:cs="Times New Roman"/>
                <w:color w:val="000000"/>
                <w:sz w:val="24"/>
                <w:szCs w:val="24"/>
              </w:rPr>
              <w:t>2</w:t>
            </w:r>
          </w:p>
        </w:tc>
      </w:tr>
      <w:tr w:rsidR="00924971" w:rsidRPr="00924971" w14:paraId="3CBFAE02" w14:textId="77777777" w:rsidTr="00B602D6">
        <w:trPr>
          <w:trHeight w:val="1335"/>
          <w:jc w:val="center"/>
        </w:trPr>
        <w:tc>
          <w:tcPr>
            <w:tcW w:w="1489" w:type="dxa"/>
            <w:vAlign w:val="center"/>
          </w:tcPr>
          <w:p w14:paraId="0BC16326"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Times New Roman" w:eastAsia="宋体" w:hAnsi="Times New Roman" w:cs="Times New Roman" w:hint="eastAsia"/>
                <w:color w:val="000000"/>
                <w:sz w:val="24"/>
                <w:szCs w:val="24"/>
              </w:rPr>
              <w:t>8</w:t>
            </w:r>
            <w:r w:rsidRPr="00924971">
              <w:rPr>
                <w:rFonts w:ascii="Times New Roman" w:eastAsia="宋体" w:hAnsi="Times New Roman" w:cs="Times New Roman"/>
                <w:color w:val="000000"/>
                <w:sz w:val="24"/>
                <w:szCs w:val="24"/>
              </w:rPr>
              <w:t>.</w:t>
            </w:r>
            <w:r w:rsidRPr="00924971">
              <w:rPr>
                <w:rFonts w:ascii="Times New Roman" w:eastAsia="宋体" w:hAnsi="Times New Roman" w:cs="Times New Roman" w:hint="eastAsia"/>
                <w:color w:val="000000"/>
                <w:sz w:val="24"/>
                <w:szCs w:val="24"/>
              </w:rPr>
              <w:t>职业规范</w:t>
            </w:r>
          </w:p>
        </w:tc>
        <w:tc>
          <w:tcPr>
            <w:tcW w:w="4918" w:type="dxa"/>
          </w:tcPr>
          <w:p w14:paraId="15056C51" w14:textId="77777777" w:rsidR="00924971" w:rsidRPr="00924971" w:rsidRDefault="00924971" w:rsidP="00924971">
            <w:pPr>
              <w:spacing w:line="440" w:lineRule="exact"/>
              <w:jc w:val="left"/>
              <w:rPr>
                <w:rFonts w:ascii="Times New Roman" w:eastAsia="宋体" w:hAnsi="Times New Roman" w:cs="Times New Roman"/>
                <w:color w:val="000000"/>
                <w:sz w:val="24"/>
                <w:szCs w:val="24"/>
              </w:rPr>
            </w:pPr>
            <w:r w:rsidRPr="00924971">
              <w:rPr>
                <w:rFonts w:ascii="Times New Roman" w:eastAsia="宋体" w:hAnsi="Times New Roman" w:cs="Times New Roman" w:hint="eastAsia"/>
                <w:color w:val="000000"/>
                <w:sz w:val="24"/>
                <w:szCs w:val="24"/>
              </w:rPr>
              <w:t>8.2</w:t>
            </w:r>
            <w:r w:rsidRPr="00924971">
              <w:rPr>
                <w:rFonts w:ascii="Times New Roman" w:eastAsia="宋体" w:hAnsi="Times New Roman" w:cs="Times New Roman" w:hint="eastAsia"/>
                <w:color w:val="000000"/>
                <w:sz w:val="24"/>
                <w:szCs w:val="24"/>
              </w:rPr>
              <w:t>理解药学伦理的核心理念、职业性质和责任，在实践中能自觉遵守药学职业道德和规范，履行责任，具有法律意识。</w:t>
            </w:r>
            <w:r w:rsidRPr="00924971">
              <w:rPr>
                <w:rFonts w:ascii="宋体" w:eastAsia="宋体" w:hAnsi="宋体" w:cs="Times New Roman"/>
                <w:color w:val="000000"/>
                <w:sz w:val="24"/>
                <w:szCs w:val="24"/>
              </w:rPr>
              <w:t>(H)</w:t>
            </w:r>
          </w:p>
        </w:tc>
        <w:tc>
          <w:tcPr>
            <w:tcW w:w="1740" w:type="dxa"/>
            <w:vAlign w:val="center"/>
          </w:tcPr>
          <w:p w14:paraId="0C192C28" w14:textId="77777777" w:rsidR="00924971" w:rsidRPr="00924971" w:rsidRDefault="00924971" w:rsidP="00924971">
            <w:pPr>
              <w:spacing w:line="440" w:lineRule="exact"/>
              <w:jc w:val="left"/>
              <w:rPr>
                <w:rFonts w:ascii="Times New Roman" w:eastAsia="宋体" w:hAnsi="Times New Roman" w:cs="Times New Roman"/>
                <w:color w:val="000000"/>
                <w:sz w:val="24"/>
                <w:szCs w:val="24"/>
              </w:rPr>
            </w:pPr>
            <w:r w:rsidRPr="00924971">
              <w:rPr>
                <w:rFonts w:ascii="Times New Roman" w:eastAsia="宋体" w:hAnsi="Times New Roman" w:cs="Times New Roman" w:hint="eastAsia"/>
                <w:color w:val="000000"/>
                <w:sz w:val="24"/>
                <w:szCs w:val="24"/>
              </w:rPr>
              <w:t>课程目标</w:t>
            </w:r>
            <w:r w:rsidRPr="00924971">
              <w:rPr>
                <w:rFonts w:ascii="Times New Roman" w:eastAsia="宋体" w:hAnsi="Times New Roman" w:cs="Times New Roman"/>
                <w:color w:val="000000"/>
                <w:sz w:val="24"/>
                <w:szCs w:val="24"/>
              </w:rPr>
              <w:t>3</w:t>
            </w:r>
          </w:p>
        </w:tc>
      </w:tr>
    </w:tbl>
    <w:p w14:paraId="20835467" w14:textId="77777777" w:rsidR="00924971" w:rsidRPr="00924971" w:rsidRDefault="00924971" w:rsidP="00B07C4C">
      <w:pPr>
        <w:pStyle w:val="afc"/>
      </w:pPr>
      <w:r w:rsidRPr="00924971">
        <w:rPr>
          <w:rFonts w:hint="eastAsia"/>
        </w:rPr>
        <w:t>三、课程学习内容及与课程学习目标的对应关系</w:t>
      </w:r>
    </w:p>
    <w:p w14:paraId="6949A671" w14:textId="77777777" w:rsidR="00924971" w:rsidRPr="00924971" w:rsidRDefault="00924971" w:rsidP="00924971">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24971">
        <w:rPr>
          <w:rFonts w:ascii="黑体" w:eastAsia="黑体" w:hAnsi="黑体" w:cs="Times New Roman" w:hint="eastAsia"/>
          <w:sz w:val="28"/>
          <w:szCs w:val="28"/>
        </w:rPr>
        <w:t>（一）课程学习内容</w:t>
      </w:r>
    </w:p>
    <w:p w14:paraId="498331A4" w14:textId="77777777" w:rsidR="00924971" w:rsidRPr="00924971" w:rsidRDefault="00924971" w:rsidP="00924971">
      <w:pPr>
        <w:spacing w:beforeLines="50" w:before="156" w:afterLines="50" w:after="156" w:line="440" w:lineRule="exact"/>
        <w:ind w:firstLineChars="200" w:firstLine="560"/>
        <w:jc w:val="center"/>
        <w:rPr>
          <w:rFonts w:ascii="黑体" w:eastAsia="黑体" w:hAnsi="黑体" w:cs="Times New Roman"/>
          <w:sz w:val="28"/>
          <w:szCs w:val="28"/>
        </w:rPr>
      </w:pPr>
      <w:r w:rsidRPr="00924971">
        <w:rPr>
          <w:rFonts w:ascii="黑体" w:eastAsia="黑体" w:hAnsi="黑体" w:cs="Times New Roman" w:hint="eastAsia"/>
          <w:sz w:val="28"/>
          <w:szCs w:val="28"/>
        </w:rPr>
        <w:t>第一章  绪论</w:t>
      </w:r>
    </w:p>
    <w:p w14:paraId="49142C55"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【学习目标】</w:t>
      </w:r>
    </w:p>
    <w:p w14:paraId="25F584DC"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1</w:t>
      </w:r>
      <w:r w:rsidRPr="00924971">
        <w:rPr>
          <w:rFonts w:ascii="宋体" w:eastAsia="宋体" w:hAnsi="宋体" w:cs="Times New Roman"/>
          <w:color w:val="000000"/>
          <w:sz w:val="24"/>
          <w:szCs w:val="24"/>
        </w:rPr>
        <w:t xml:space="preserve">. </w:t>
      </w:r>
      <w:r w:rsidRPr="00924971">
        <w:rPr>
          <w:rFonts w:ascii="宋体" w:eastAsia="宋体" w:hAnsi="宋体" w:cs="Times New Roman" w:hint="eastAsia"/>
          <w:color w:val="000000"/>
          <w:sz w:val="24"/>
          <w:szCs w:val="24"/>
        </w:rPr>
        <w:t>了解药事管理学科的发展概况；</w:t>
      </w:r>
    </w:p>
    <w:p w14:paraId="56F6A671"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2</w:t>
      </w:r>
      <w:r w:rsidRPr="00924971">
        <w:rPr>
          <w:rFonts w:ascii="宋体" w:eastAsia="宋体" w:hAnsi="宋体" w:cs="Times New Roman"/>
          <w:color w:val="000000"/>
          <w:sz w:val="24"/>
          <w:szCs w:val="24"/>
        </w:rPr>
        <w:t xml:space="preserve">. </w:t>
      </w:r>
      <w:r w:rsidRPr="00924971">
        <w:rPr>
          <w:rFonts w:ascii="宋体" w:eastAsia="宋体" w:hAnsi="宋体" w:cs="Times New Roman" w:hint="eastAsia"/>
          <w:color w:val="000000"/>
          <w:sz w:val="24"/>
          <w:szCs w:val="24"/>
        </w:rPr>
        <w:t>熟悉药事管理学的基本研究方法和研究过程及其步骤；</w:t>
      </w:r>
      <w:r w:rsidRPr="00924971">
        <w:rPr>
          <w:rFonts w:ascii="宋体" w:eastAsia="宋体" w:hAnsi="宋体" w:cs="Times New Roman"/>
          <w:color w:val="000000"/>
          <w:sz w:val="24"/>
          <w:szCs w:val="24"/>
        </w:rPr>
        <w:t xml:space="preserve"> </w:t>
      </w:r>
    </w:p>
    <w:p w14:paraId="4F5C1192"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color w:val="000000"/>
          <w:sz w:val="24"/>
          <w:szCs w:val="24"/>
        </w:rPr>
        <w:t xml:space="preserve">3. </w:t>
      </w:r>
      <w:r w:rsidRPr="00924971">
        <w:rPr>
          <w:rFonts w:ascii="宋体" w:eastAsia="宋体" w:hAnsi="宋体" w:cs="Times New Roman" w:hint="eastAsia"/>
          <w:color w:val="000000"/>
          <w:sz w:val="24"/>
          <w:szCs w:val="24"/>
        </w:rPr>
        <w:t>掌握药事管理的含义及其重要性，药事管理学科的定义、性质，药事管理学课程的研究内容，培养学生与时俱进的思维。</w:t>
      </w:r>
    </w:p>
    <w:p w14:paraId="1A1AE3AF"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【学习内容】</w:t>
      </w:r>
    </w:p>
    <w:p w14:paraId="149D7BA8"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1</w:t>
      </w:r>
      <w:r w:rsidRPr="00924971">
        <w:rPr>
          <w:rFonts w:ascii="宋体" w:eastAsia="宋体" w:hAnsi="宋体" w:cs="Times New Roman"/>
          <w:color w:val="000000"/>
          <w:sz w:val="24"/>
          <w:szCs w:val="24"/>
        </w:rPr>
        <w:t>.</w:t>
      </w:r>
      <w:r w:rsidRPr="00924971">
        <w:rPr>
          <w:rFonts w:ascii="宋体" w:eastAsia="宋体" w:hAnsi="宋体" w:cs="Times New Roman" w:hint="eastAsia"/>
          <w:color w:val="000000"/>
          <w:sz w:val="24"/>
          <w:szCs w:val="24"/>
        </w:rPr>
        <w:t xml:space="preserve"> 药事及药事管理的概念</w:t>
      </w:r>
    </w:p>
    <w:p w14:paraId="789D8FA7"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2</w:t>
      </w:r>
      <w:r w:rsidRPr="00924971">
        <w:rPr>
          <w:rFonts w:ascii="宋体" w:eastAsia="宋体" w:hAnsi="宋体" w:cs="Times New Roman"/>
          <w:color w:val="000000"/>
          <w:sz w:val="24"/>
          <w:szCs w:val="24"/>
        </w:rPr>
        <w:t>.</w:t>
      </w:r>
      <w:r w:rsidRPr="00924971">
        <w:rPr>
          <w:rFonts w:ascii="宋体" w:eastAsia="宋体" w:hAnsi="宋体" w:cs="Times New Roman" w:hint="eastAsia"/>
          <w:color w:val="000000"/>
          <w:sz w:val="24"/>
          <w:szCs w:val="24"/>
        </w:rPr>
        <w:t xml:space="preserve"> 药事管理学科的发展概况</w:t>
      </w:r>
    </w:p>
    <w:p w14:paraId="4F9CFFA4"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3</w:t>
      </w:r>
      <w:r w:rsidRPr="00924971">
        <w:rPr>
          <w:rFonts w:ascii="宋体" w:eastAsia="宋体" w:hAnsi="宋体" w:cs="Times New Roman"/>
          <w:color w:val="000000"/>
          <w:sz w:val="24"/>
          <w:szCs w:val="24"/>
        </w:rPr>
        <w:t>.</w:t>
      </w:r>
      <w:r w:rsidRPr="00924971">
        <w:rPr>
          <w:rFonts w:ascii="宋体" w:eastAsia="宋体" w:hAnsi="宋体" w:cs="Times New Roman" w:hint="eastAsia"/>
          <w:color w:val="000000"/>
          <w:sz w:val="24"/>
          <w:szCs w:val="24"/>
        </w:rPr>
        <w:t xml:space="preserve"> 药事管理学的基本内容和学习目的及意义</w:t>
      </w:r>
    </w:p>
    <w:p w14:paraId="550807B9"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4</w:t>
      </w:r>
      <w:r w:rsidRPr="00924971">
        <w:rPr>
          <w:rFonts w:ascii="宋体" w:eastAsia="宋体" w:hAnsi="宋体" w:cs="Times New Roman"/>
          <w:color w:val="000000"/>
          <w:sz w:val="24"/>
          <w:szCs w:val="24"/>
        </w:rPr>
        <w:t>.</w:t>
      </w:r>
      <w:r w:rsidRPr="00924971">
        <w:rPr>
          <w:rFonts w:ascii="宋体" w:eastAsia="宋体" w:hAnsi="宋体" w:cs="Times New Roman" w:hint="eastAsia"/>
          <w:color w:val="000000"/>
          <w:sz w:val="24"/>
          <w:szCs w:val="24"/>
        </w:rPr>
        <w:t xml:space="preserve"> 药事管理学的基本研究方法和研究过程</w:t>
      </w:r>
    </w:p>
    <w:p w14:paraId="301D398C"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5</w:t>
      </w:r>
      <w:r w:rsidRPr="00924971">
        <w:rPr>
          <w:rFonts w:ascii="宋体" w:eastAsia="宋体" w:hAnsi="宋体" w:cs="Times New Roman"/>
          <w:color w:val="000000"/>
          <w:sz w:val="24"/>
          <w:szCs w:val="24"/>
        </w:rPr>
        <w:t>.</w:t>
      </w:r>
      <w:r w:rsidRPr="00924971">
        <w:rPr>
          <w:rFonts w:ascii="宋体" w:eastAsia="宋体" w:hAnsi="宋体" w:cs="Times New Roman" w:hint="eastAsia"/>
          <w:color w:val="000000"/>
          <w:sz w:val="24"/>
          <w:szCs w:val="24"/>
        </w:rPr>
        <w:t xml:space="preserve"> 药事管理学相关的管理学知识补充</w:t>
      </w:r>
    </w:p>
    <w:p w14:paraId="6C357491"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【重点】</w:t>
      </w:r>
    </w:p>
    <w:p w14:paraId="59C5CE2B"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1</w:t>
      </w:r>
      <w:r w:rsidRPr="00924971">
        <w:rPr>
          <w:rFonts w:ascii="宋体" w:eastAsia="宋体" w:hAnsi="宋体" w:cs="Times New Roman"/>
          <w:color w:val="000000"/>
          <w:sz w:val="24"/>
          <w:szCs w:val="24"/>
        </w:rPr>
        <w:t xml:space="preserve">. </w:t>
      </w:r>
      <w:r w:rsidRPr="00924971">
        <w:rPr>
          <w:rFonts w:ascii="宋体" w:eastAsia="宋体" w:hAnsi="宋体" w:cs="Times New Roman" w:hint="eastAsia"/>
          <w:color w:val="000000"/>
          <w:sz w:val="24"/>
          <w:szCs w:val="24"/>
        </w:rPr>
        <w:t>药事、药事管理、药事管理学科的定义</w:t>
      </w:r>
    </w:p>
    <w:p w14:paraId="14832C41"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【难点】</w:t>
      </w:r>
    </w:p>
    <w:p w14:paraId="07456AEB" w14:textId="77777777" w:rsidR="00924971" w:rsidRPr="00924971" w:rsidRDefault="00924971" w:rsidP="00924971">
      <w:pPr>
        <w:adjustRightInd w:val="0"/>
        <w:snapToGrid w:val="0"/>
        <w:spacing w:line="440" w:lineRule="exact"/>
        <w:ind w:firstLineChars="200" w:firstLine="480"/>
        <w:rPr>
          <w:rFonts w:ascii="宋体" w:eastAsia="宋体" w:hAnsi="宋体" w:cs="Times New Roman"/>
          <w:b/>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宋体" w:hint="eastAsia"/>
          <w:color w:val="000000"/>
          <w:kern w:val="0"/>
          <w:sz w:val="24"/>
          <w:szCs w:val="24"/>
        </w:rPr>
        <w:t>药事管理学科体系及其发展。</w:t>
      </w:r>
    </w:p>
    <w:p w14:paraId="0D2380C8" w14:textId="77777777" w:rsidR="00924971" w:rsidRPr="00924971" w:rsidRDefault="00924971" w:rsidP="00924971">
      <w:pPr>
        <w:spacing w:line="440" w:lineRule="exact"/>
        <w:ind w:firstLineChars="200" w:firstLine="482"/>
        <w:rPr>
          <w:rFonts w:ascii="宋体" w:eastAsia="宋体" w:hAnsi="宋体" w:cs="Times New Roman"/>
          <w:b/>
          <w:bCs/>
          <w:sz w:val="24"/>
          <w:szCs w:val="24"/>
        </w:rPr>
      </w:pPr>
      <w:r w:rsidRPr="00924971">
        <w:rPr>
          <w:rFonts w:ascii="宋体" w:eastAsia="宋体" w:hAnsi="宋体" w:cs="Times New Roman" w:hint="eastAsia"/>
          <w:b/>
          <w:bCs/>
          <w:sz w:val="24"/>
          <w:szCs w:val="24"/>
        </w:rPr>
        <w:lastRenderedPageBreak/>
        <w:t>【教学方法】</w:t>
      </w:r>
    </w:p>
    <w:p w14:paraId="2610301B" w14:textId="77777777" w:rsidR="00924971" w:rsidRPr="00924971" w:rsidRDefault="00924971" w:rsidP="00924971">
      <w:pPr>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通过多媒体课件和传统教学相结合，阐明课程与教学基本原理，丰富学生课程与教学的基本知识结构，培养学生对药事管理学的学习兴趣。</w:t>
      </w:r>
    </w:p>
    <w:p w14:paraId="56123F2B" w14:textId="77777777" w:rsidR="00924971" w:rsidRPr="00924971" w:rsidRDefault="00924971" w:rsidP="00924971">
      <w:pPr>
        <w:spacing w:line="440" w:lineRule="exact"/>
        <w:ind w:firstLineChars="200" w:firstLine="482"/>
        <w:rPr>
          <w:rFonts w:ascii="宋体" w:eastAsia="宋体" w:hAnsi="宋体" w:cs="Times New Roman"/>
          <w:bCs/>
          <w:color w:val="FF0000"/>
          <w:sz w:val="24"/>
          <w:szCs w:val="24"/>
        </w:rPr>
      </w:pPr>
      <w:r w:rsidRPr="00924971">
        <w:rPr>
          <w:rFonts w:ascii="宋体" w:eastAsia="宋体" w:hAnsi="宋体" w:cs="Times New Roman" w:hint="eastAsia"/>
          <w:b/>
          <w:sz w:val="24"/>
          <w:szCs w:val="24"/>
        </w:rPr>
        <w:t>【复习思考】</w:t>
      </w:r>
    </w:p>
    <w:p w14:paraId="150E39C7"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1</w:t>
      </w:r>
      <w:r w:rsidRPr="00924971">
        <w:rPr>
          <w:rFonts w:ascii="宋体" w:eastAsia="宋体" w:hAnsi="宋体" w:cs="Times New Roman"/>
          <w:color w:val="000000"/>
          <w:sz w:val="24"/>
          <w:szCs w:val="24"/>
        </w:rPr>
        <w:t xml:space="preserve">. </w:t>
      </w:r>
      <w:r w:rsidRPr="00924971">
        <w:rPr>
          <w:rFonts w:ascii="宋体" w:eastAsia="宋体" w:hAnsi="宋体" w:cs="Times New Roman" w:hint="eastAsia"/>
          <w:color w:val="000000"/>
          <w:sz w:val="24"/>
          <w:szCs w:val="24"/>
        </w:rPr>
        <w:t>生活中常见的药事问题</w:t>
      </w:r>
    </w:p>
    <w:p w14:paraId="5DCB4302" w14:textId="77777777" w:rsidR="00924971" w:rsidRPr="00924971" w:rsidRDefault="00924971" w:rsidP="00924971">
      <w:pPr>
        <w:spacing w:beforeLines="50" w:before="156" w:afterLines="50" w:after="156" w:line="440" w:lineRule="exact"/>
        <w:ind w:firstLineChars="200" w:firstLine="560"/>
        <w:jc w:val="center"/>
        <w:rPr>
          <w:rFonts w:ascii="黑体" w:eastAsia="黑体" w:hAnsi="黑体" w:cs="Times New Roman"/>
          <w:sz w:val="28"/>
          <w:szCs w:val="28"/>
        </w:rPr>
      </w:pPr>
      <w:r w:rsidRPr="00924971">
        <w:rPr>
          <w:rFonts w:ascii="黑体" w:eastAsia="黑体" w:hAnsi="黑体" w:cs="Times New Roman" w:hint="eastAsia"/>
          <w:sz w:val="28"/>
          <w:szCs w:val="28"/>
        </w:rPr>
        <w:t>第二章  药品及药品管理制度</w:t>
      </w:r>
    </w:p>
    <w:p w14:paraId="59D69B03"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【学习目标】</w:t>
      </w:r>
    </w:p>
    <w:p w14:paraId="1905A286" w14:textId="77777777" w:rsidR="00924971" w:rsidRPr="00924971" w:rsidRDefault="00924971" w:rsidP="00924971">
      <w:pPr>
        <w:adjustRightInd w:val="0"/>
        <w:snapToGrid w:val="0"/>
        <w:spacing w:line="440" w:lineRule="exact"/>
        <w:ind w:firstLineChars="200" w:firstLine="480"/>
        <w:rPr>
          <w:rFonts w:ascii="宋体" w:eastAsia="宋体" w:hAnsi="宋体" w:cs="Times New Roman"/>
          <w:bCs/>
          <w:color w:val="000000"/>
          <w:sz w:val="24"/>
          <w:szCs w:val="24"/>
        </w:rPr>
      </w:pPr>
      <w:r w:rsidRPr="00924971">
        <w:rPr>
          <w:rFonts w:ascii="宋体" w:eastAsia="宋体" w:hAnsi="宋体" w:cs="Times New Roman" w:hint="eastAsia"/>
          <w:color w:val="000000"/>
          <w:sz w:val="24"/>
          <w:szCs w:val="24"/>
        </w:rPr>
        <w:t>1</w:t>
      </w:r>
      <w:r w:rsidRPr="00924971">
        <w:rPr>
          <w:rFonts w:ascii="宋体" w:eastAsia="宋体" w:hAnsi="宋体" w:cs="Times New Roman"/>
          <w:color w:val="000000"/>
          <w:sz w:val="24"/>
          <w:szCs w:val="24"/>
        </w:rPr>
        <w:t>.</w:t>
      </w:r>
      <w:r w:rsidRPr="00924971">
        <w:rPr>
          <w:rFonts w:ascii="宋体" w:eastAsia="宋体" w:hAnsi="宋体" w:cs="Times New Roman" w:hint="eastAsia"/>
          <w:bCs/>
          <w:color w:val="000000"/>
          <w:sz w:val="24"/>
          <w:szCs w:val="24"/>
        </w:rPr>
        <w:t>了解药品的定义及特征，药品的生命关联性和生命至上含义；</w:t>
      </w:r>
    </w:p>
    <w:p w14:paraId="0838BFC1" w14:textId="77777777" w:rsidR="00924971" w:rsidRPr="00924971" w:rsidRDefault="00924971" w:rsidP="00924971">
      <w:pPr>
        <w:adjustRightInd w:val="0"/>
        <w:snapToGrid w:val="0"/>
        <w:spacing w:line="440" w:lineRule="exact"/>
        <w:ind w:firstLineChars="200" w:firstLine="480"/>
        <w:rPr>
          <w:rFonts w:ascii="宋体" w:eastAsia="宋体" w:hAnsi="宋体" w:cs="宋体"/>
          <w:color w:val="000000"/>
          <w:kern w:val="0"/>
          <w:sz w:val="24"/>
          <w:szCs w:val="24"/>
        </w:rPr>
      </w:pPr>
      <w:r w:rsidRPr="00924971">
        <w:rPr>
          <w:rFonts w:ascii="宋体" w:eastAsia="宋体" w:hAnsi="宋体" w:cs="Times New Roman" w:hint="eastAsia"/>
          <w:color w:val="000000"/>
          <w:sz w:val="24"/>
          <w:szCs w:val="24"/>
        </w:rPr>
        <w:t>2</w:t>
      </w:r>
      <w:r w:rsidRPr="00924971">
        <w:rPr>
          <w:rFonts w:ascii="宋体" w:eastAsia="宋体" w:hAnsi="宋体" w:cs="Times New Roman"/>
          <w:color w:val="000000"/>
          <w:sz w:val="24"/>
          <w:szCs w:val="24"/>
        </w:rPr>
        <w:t>.</w:t>
      </w:r>
      <w:r w:rsidRPr="00924971">
        <w:rPr>
          <w:rFonts w:ascii="宋体" w:eastAsia="宋体" w:hAnsi="宋体" w:cs="宋体" w:hint="eastAsia"/>
          <w:color w:val="000000"/>
          <w:kern w:val="0"/>
          <w:sz w:val="24"/>
          <w:szCs w:val="24"/>
        </w:rPr>
        <w:t>熟悉药品的分类管理政策，熟悉国家基本药物制度，讲解制度优势，培养学生制度自信；</w:t>
      </w:r>
    </w:p>
    <w:p w14:paraId="04211720"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3.</w:t>
      </w:r>
      <w:r w:rsidRPr="00924971">
        <w:rPr>
          <w:rFonts w:ascii="宋体" w:eastAsia="宋体" w:hAnsi="宋体" w:cs="宋体" w:hint="eastAsia"/>
          <w:color w:val="000000"/>
          <w:kern w:val="0"/>
          <w:sz w:val="24"/>
          <w:szCs w:val="24"/>
        </w:rPr>
        <w:t>掌握药品的定义、质量特性，药品监督管理的定义及药品监督管理公正、法制的特点；掌握药品质量监督检验的概念、性质及分类，基本药物生产、经营、使用的监督管理，药品分类管理的主要内容。</w:t>
      </w:r>
    </w:p>
    <w:p w14:paraId="0480C919"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【学习内容】</w:t>
      </w:r>
    </w:p>
    <w:p w14:paraId="5BAF6679"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药品</w:t>
      </w:r>
    </w:p>
    <w:p w14:paraId="72FB181B"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 药品监督管理</w:t>
      </w:r>
    </w:p>
    <w:p w14:paraId="25D8B015"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3. 药品标准与药品质量监督检验</w:t>
      </w:r>
    </w:p>
    <w:p w14:paraId="04E7DB3E"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【重点】</w:t>
      </w:r>
    </w:p>
    <w:p w14:paraId="4DD2832F" w14:textId="77777777" w:rsidR="00924971" w:rsidRPr="00924971" w:rsidRDefault="00924971">
      <w:pPr>
        <w:numPr>
          <w:ilvl w:val="0"/>
          <w:numId w:val="176"/>
        </w:numPr>
        <w:adjustRightInd w:val="0"/>
        <w:snapToGrid w:val="0"/>
        <w:spacing w:line="440" w:lineRule="exact"/>
        <w:ind w:firstLineChars="200" w:firstLine="480"/>
        <w:rPr>
          <w:rFonts w:ascii="宋体" w:eastAsia="宋体" w:hAnsi="宋体" w:cs="宋体"/>
          <w:color w:val="000000"/>
          <w:kern w:val="0"/>
          <w:sz w:val="24"/>
          <w:szCs w:val="24"/>
        </w:rPr>
      </w:pPr>
      <w:r w:rsidRPr="00924971">
        <w:rPr>
          <w:rFonts w:ascii="宋体" w:eastAsia="宋体" w:hAnsi="宋体" w:cs="宋体" w:hint="eastAsia"/>
          <w:color w:val="000000"/>
          <w:kern w:val="0"/>
          <w:sz w:val="24"/>
          <w:szCs w:val="24"/>
        </w:rPr>
        <w:t>药品的定义</w:t>
      </w:r>
    </w:p>
    <w:p w14:paraId="1FFF7B9E" w14:textId="77777777" w:rsidR="00924971" w:rsidRPr="00924971" w:rsidRDefault="00924971">
      <w:pPr>
        <w:numPr>
          <w:ilvl w:val="0"/>
          <w:numId w:val="176"/>
        </w:num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宋体" w:hint="eastAsia"/>
          <w:color w:val="000000"/>
          <w:kern w:val="0"/>
          <w:sz w:val="24"/>
          <w:szCs w:val="24"/>
        </w:rPr>
        <w:t>药品监督管理的含义</w:t>
      </w:r>
    </w:p>
    <w:p w14:paraId="27361233"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【难点】</w:t>
      </w:r>
    </w:p>
    <w:p w14:paraId="6064F209"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药品标准和国家药品标准。</w:t>
      </w:r>
    </w:p>
    <w:p w14:paraId="1BA6365D"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【教学方法】</w:t>
      </w:r>
    </w:p>
    <w:p w14:paraId="52804143" w14:textId="77777777" w:rsidR="00924971" w:rsidRPr="00924971" w:rsidRDefault="00924971">
      <w:pPr>
        <w:numPr>
          <w:ilvl w:val="0"/>
          <w:numId w:val="177"/>
        </w:numPr>
        <w:adjustRightInd w:val="0"/>
        <w:snapToGrid w:val="0"/>
        <w:spacing w:line="440" w:lineRule="exact"/>
        <w:ind w:left="0"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通过多媒体课件和传统教学相结合，阐明相关知识，培养学生对药品正确意识。</w:t>
      </w:r>
    </w:p>
    <w:p w14:paraId="1D547904" w14:textId="77777777" w:rsidR="00924971" w:rsidRPr="00924971" w:rsidRDefault="00924971" w:rsidP="00924971">
      <w:pPr>
        <w:spacing w:line="440" w:lineRule="exact"/>
        <w:ind w:firstLineChars="200" w:firstLine="482"/>
        <w:rPr>
          <w:rFonts w:ascii="宋体" w:eastAsia="宋体" w:hAnsi="宋体" w:cs="Times New Roman"/>
          <w:bCs/>
          <w:color w:val="FF0000"/>
          <w:sz w:val="24"/>
          <w:szCs w:val="24"/>
        </w:rPr>
      </w:pPr>
      <w:r w:rsidRPr="00924971">
        <w:rPr>
          <w:rFonts w:ascii="宋体" w:eastAsia="宋体" w:hAnsi="宋体" w:cs="Times New Roman" w:hint="eastAsia"/>
          <w:b/>
          <w:sz w:val="24"/>
          <w:szCs w:val="24"/>
        </w:rPr>
        <w:t>【复习思考】</w:t>
      </w:r>
    </w:p>
    <w:p w14:paraId="4CB3417B"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药品，处方药，非处方药，新药仿制药的含义。</w:t>
      </w:r>
    </w:p>
    <w:p w14:paraId="13E3D9E9" w14:textId="77777777" w:rsidR="00924971" w:rsidRPr="00924971" w:rsidRDefault="00924971" w:rsidP="00924971">
      <w:pPr>
        <w:spacing w:beforeLines="50" w:before="156" w:afterLines="50" w:after="156" w:line="440" w:lineRule="exact"/>
        <w:ind w:firstLineChars="200" w:firstLine="560"/>
        <w:jc w:val="center"/>
        <w:rPr>
          <w:rFonts w:ascii="黑体" w:eastAsia="黑体" w:hAnsi="黑体" w:cs="Times New Roman"/>
          <w:sz w:val="28"/>
          <w:szCs w:val="28"/>
        </w:rPr>
      </w:pPr>
      <w:r w:rsidRPr="00924971">
        <w:rPr>
          <w:rFonts w:ascii="黑体" w:eastAsia="黑体" w:hAnsi="黑体" w:cs="Times New Roman" w:hint="eastAsia"/>
          <w:sz w:val="28"/>
          <w:szCs w:val="28"/>
        </w:rPr>
        <w:t>第三章  药事组织</w:t>
      </w:r>
    </w:p>
    <w:p w14:paraId="272B8B66"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【学习目标】</w:t>
      </w:r>
    </w:p>
    <w:p w14:paraId="4C8F9408"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w:t>
      </w:r>
      <w:r w:rsidRPr="00924971">
        <w:rPr>
          <w:rFonts w:ascii="宋体" w:eastAsia="宋体" w:hAnsi="宋体" w:cs="Times New Roman" w:hint="eastAsia"/>
          <w:sz w:val="24"/>
          <w:szCs w:val="24"/>
        </w:rPr>
        <w:t>了解国外的重要药事管理组织；</w:t>
      </w:r>
    </w:p>
    <w:p w14:paraId="3B2ED7CA"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lastRenderedPageBreak/>
        <w:t>2</w:t>
      </w:r>
      <w:r w:rsidRPr="00924971">
        <w:rPr>
          <w:rFonts w:ascii="宋体" w:eastAsia="宋体" w:hAnsi="宋体" w:cs="Times New Roman"/>
          <w:sz w:val="24"/>
          <w:szCs w:val="24"/>
        </w:rPr>
        <w:t>.</w:t>
      </w:r>
      <w:proofErr w:type="gramStart"/>
      <w:r w:rsidRPr="00924971">
        <w:rPr>
          <w:rFonts w:ascii="宋体" w:eastAsia="宋体" w:hAnsi="宋体" w:cs="Times New Roman" w:hint="eastAsia"/>
          <w:sz w:val="24"/>
          <w:szCs w:val="24"/>
        </w:rPr>
        <w:t>熟悉药事组织</w:t>
      </w:r>
      <w:proofErr w:type="gramEnd"/>
      <w:r w:rsidRPr="00924971">
        <w:rPr>
          <w:rFonts w:ascii="宋体" w:eastAsia="宋体" w:hAnsi="宋体" w:cs="Times New Roman" w:hint="eastAsia"/>
          <w:sz w:val="24"/>
          <w:szCs w:val="24"/>
        </w:rPr>
        <w:t>的类型，我国药品监督管理体系，国家和省级药品监督管理部门职能，药品检验机构职责；</w:t>
      </w:r>
    </w:p>
    <w:p w14:paraId="0F1934E8"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3.掌握我国药品监督管理组织体系，国家药品监督管理局的职责，国家药品监督管理局直属技术机构的职责，理解药品生命至上，组织保障的特点，掌握制度优势，培养制度自信。</w:t>
      </w:r>
    </w:p>
    <w:p w14:paraId="550F578F"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【学习内容】</w:t>
      </w:r>
    </w:p>
    <w:p w14:paraId="489EFA64"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药</w:t>
      </w:r>
      <w:proofErr w:type="gramStart"/>
      <w:r w:rsidRPr="00924971">
        <w:rPr>
          <w:rFonts w:ascii="宋体" w:eastAsia="宋体" w:hAnsi="宋体" w:cs="Times New Roman" w:hint="eastAsia"/>
          <w:sz w:val="24"/>
          <w:szCs w:val="24"/>
        </w:rPr>
        <w:t>事组织</w:t>
      </w:r>
      <w:proofErr w:type="gramEnd"/>
      <w:r w:rsidRPr="00924971">
        <w:rPr>
          <w:rFonts w:ascii="宋体" w:eastAsia="宋体" w:hAnsi="宋体" w:cs="Times New Roman" w:hint="eastAsia"/>
          <w:sz w:val="24"/>
          <w:szCs w:val="24"/>
        </w:rPr>
        <w:t>概述</w:t>
      </w:r>
    </w:p>
    <w:p w14:paraId="15F8A852"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 药事管理组织的类型</w:t>
      </w:r>
    </w:p>
    <w:p w14:paraId="7F5E0B08"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3. 国外药事管理组织简介</w:t>
      </w:r>
    </w:p>
    <w:p w14:paraId="55DA296A"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【重点】</w:t>
      </w:r>
    </w:p>
    <w:p w14:paraId="2D73BCEC"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药事组织、药事管理的定义</w:t>
      </w:r>
    </w:p>
    <w:p w14:paraId="4C237569"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【难点】</w:t>
      </w:r>
    </w:p>
    <w:p w14:paraId="075C2885"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国家药品监督管理局直属技术机构体制。</w:t>
      </w:r>
    </w:p>
    <w:p w14:paraId="758B34F4"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【教学方法】</w:t>
      </w:r>
    </w:p>
    <w:p w14:paraId="787B6F25"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通过多媒体课件和传统教学相结合，阐明相关知识，培养学生的职业规范。</w:t>
      </w:r>
    </w:p>
    <w:p w14:paraId="3263DE0C" w14:textId="77777777" w:rsidR="00924971" w:rsidRPr="00924971" w:rsidRDefault="00924971" w:rsidP="00924971">
      <w:pPr>
        <w:spacing w:line="440" w:lineRule="exact"/>
        <w:ind w:firstLineChars="200" w:firstLine="482"/>
        <w:rPr>
          <w:rFonts w:ascii="宋体" w:eastAsia="宋体" w:hAnsi="宋体" w:cs="Times New Roman"/>
          <w:bCs/>
          <w:color w:val="FF0000"/>
          <w:sz w:val="24"/>
          <w:szCs w:val="24"/>
        </w:rPr>
      </w:pPr>
      <w:r w:rsidRPr="00924971">
        <w:rPr>
          <w:rFonts w:ascii="宋体" w:eastAsia="宋体" w:hAnsi="宋体" w:cs="Times New Roman" w:hint="eastAsia"/>
          <w:b/>
          <w:sz w:val="24"/>
          <w:szCs w:val="24"/>
        </w:rPr>
        <w:t>【复习思考】</w:t>
      </w:r>
    </w:p>
    <w:p w14:paraId="3C4A32B9"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我国药</w:t>
      </w:r>
      <w:proofErr w:type="gramStart"/>
      <w:r w:rsidRPr="00924971">
        <w:rPr>
          <w:rFonts w:ascii="宋体" w:eastAsia="宋体" w:hAnsi="宋体" w:cs="Times New Roman" w:hint="eastAsia"/>
          <w:sz w:val="24"/>
          <w:szCs w:val="24"/>
        </w:rPr>
        <w:t>事组织</w:t>
      </w:r>
      <w:proofErr w:type="gramEnd"/>
      <w:r w:rsidRPr="00924971">
        <w:rPr>
          <w:rFonts w:ascii="宋体" w:eastAsia="宋体" w:hAnsi="宋体" w:cs="Times New Roman" w:hint="eastAsia"/>
          <w:sz w:val="24"/>
          <w:szCs w:val="24"/>
        </w:rPr>
        <w:t>的分类及</w:t>
      </w:r>
      <w:proofErr w:type="gramStart"/>
      <w:r w:rsidRPr="00924971">
        <w:rPr>
          <w:rFonts w:ascii="宋体" w:eastAsia="宋体" w:hAnsi="宋体" w:cs="Times New Roman" w:hint="eastAsia"/>
          <w:sz w:val="24"/>
          <w:szCs w:val="24"/>
        </w:rPr>
        <w:t>共功能</w:t>
      </w:r>
      <w:proofErr w:type="gramEnd"/>
      <w:r w:rsidRPr="00924971">
        <w:rPr>
          <w:rFonts w:ascii="宋体" w:eastAsia="宋体" w:hAnsi="宋体" w:cs="Times New Roman" w:hint="eastAsia"/>
          <w:sz w:val="24"/>
          <w:szCs w:val="24"/>
        </w:rPr>
        <w:t>作用。</w:t>
      </w:r>
    </w:p>
    <w:p w14:paraId="0588BE2D" w14:textId="77777777" w:rsidR="00924971" w:rsidRPr="00924971" w:rsidRDefault="00924971" w:rsidP="00924971">
      <w:pPr>
        <w:spacing w:beforeLines="50" w:before="156" w:afterLines="50" w:after="156" w:line="440" w:lineRule="exact"/>
        <w:ind w:firstLineChars="200" w:firstLine="560"/>
        <w:jc w:val="center"/>
        <w:rPr>
          <w:rFonts w:ascii="黑体" w:eastAsia="黑体" w:hAnsi="黑体" w:cs="Times New Roman"/>
          <w:sz w:val="28"/>
          <w:szCs w:val="28"/>
        </w:rPr>
      </w:pPr>
      <w:r w:rsidRPr="00924971">
        <w:rPr>
          <w:rFonts w:ascii="黑体" w:eastAsia="黑体" w:hAnsi="黑体" w:cs="Times New Roman" w:hint="eastAsia"/>
          <w:sz w:val="28"/>
          <w:szCs w:val="28"/>
        </w:rPr>
        <w:t>第四章  药学技术人员管理</w:t>
      </w:r>
    </w:p>
    <w:p w14:paraId="69F46517"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【学习目标】</w:t>
      </w:r>
    </w:p>
    <w:p w14:paraId="5FD70BA7"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w:t>
      </w:r>
      <w:r w:rsidRPr="00924971">
        <w:rPr>
          <w:rFonts w:ascii="宋体" w:eastAsia="宋体" w:hAnsi="宋体" w:cs="Times New Roman" w:hint="eastAsia"/>
          <w:sz w:val="24"/>
          <w:szCs w:val="24"/>
        </w:rPr>
        <w:t>了解药学技术人员的类别；</w:t>
      </w:r>
    </w:p>
    <w:p w14:paraId="57E6FFE0"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w:t>
      </w:r>
      <w:r w:rsidRPr="00924971">
        <w:rPr>
          <w:rFonts w:ascii="宋体" w:eastAsia="宋体" w:hAnsi="宋体" w:cs="Times New Roman"/>
          <w:sz w:val="24"/>
          <w:szCs w:val="24"/>
        </w:rPr>
        <w:t>.</w:t>
      </w:r>
      <w:r w:rsidRPr="00924971">
        <w:rPr>
          <w:rFonts w:ascii="宋体" w:eastAsia="宋体" w:hAnsi="宋体" w:cs="Times New Roman" w:hint="eastAsia"/>
          <w:sz w:val="24"/>
          <w:szCs w:val="24"/>
        </w:rPr>
        <w:t>熟悉</w:t>
      </w:r>
      <w:proofErr w:type="gramStart"/>
      <w:r w:rsidRPr="00924971">
        <w:rPr>
          <w:rFonts w:ascii="宋体" w:eastAsia="宋体" w:hAnsi="宋体" w:cs="Times New Roman" w:hint="eastAsia"/>
          <w:sz w:val="24"/>
          <w:szCs w:val="24"/>
        </w:rPr>
        <w:t>药师法规</w:t>
      </w:r>
      <w:proofErr w:type="gramEnd"/>
      <w:r w:rsidRPr="00924971">
        <w:rPr>
          <w:rFonts w:ascii="宋体" w:eastAsia="宋体" w:hAnsi="宋体" w:cs="Times New Roman" w:hint="eastAsia"/>
          <w:sz w:val="24"/>
          <w:szCs w:val="24"/>
        </w:rPr>
        <w:t>及药学职业道德；</w:t>
      </w:r>
    </w:p>
    <w:p w14:paraId="53F31807"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3.掌握执业药师的定义，执业药师考试、注册、继续教育，管理规定，执业药师的职责，引导学生深刻理解职业精神和职业规范，增加职业责任感。</w:t>
      </w:r>
    </w:p>
    <w:p w14:paraId="2FEDB4B6"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【学习内容】</w:t>
      </w:r>
    </w:p>
    <w:p w14:paraId="4D3A80BC"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药学技术人员概述</w:t>
      </w:r>
    </w:p>
    <w:p w14:paraId="5869853C"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 药师及药师法规</w:t>
      </w:r>
    </w:p>
    <w:p w14:paraId="63293FF0"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3. 药学职业道德</w:t>
      </w:r>
    </w:p>
    <w:p w14:paraId="4086BEAB"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【重点】</w:t>
      </w:r>
    </w:p>
    <w:p w14:paraId="0C4D6FDB"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执业药师的考试内容及要求。</w:t>
      </w:r>
    </w:p>
    <w:p w14:paraId="11C8CDD9"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【难点】</w:t>
      </w:r>
    </w:p>
    <w:p w14:paraId="5F8DB487"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执业药师的职责。</w:t>
      </w:r>
    </w:p>
    <w:p w14:paraId="5A538FCF"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lastRenderedPageBreak/>
        <w:t>【教学方法】</w:t>
      </w:r>
    </w:p>
    <w:p w14:paraId="52C0E033"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通过多媒体课件和传统教学相结合，阐明相关知识，培养学生的职业规范。</w:t>
      </w:r>
    </w:p>
    <w:p w14:paraId="4C65E2DD" w14:textId="77777777" w:rsidR="00924971" w:rsidRPr="00924971" w:rsidRDefault="00924971" w:rsidP="00924971">
      <w:pPr>
        <w:spacing w:line="440" w:lineRule="exact"/>
        <w:ind w:firstLineChars="200" w:firstLine="482"/>
        <w:rPr>
          <w:rFonts w:ascii="宋体" w:eastAsia="宋体" w:hAnsi="宋体" w:cs="Times New Roman"/>
          <w:bCs/>
          <w:color w:val="FF0000"/>
          <w:sz w:val="24"/>
          <w:szCs w:val="24"/>
        </w:rPr>
      </w:pPr>
      <w:r w:rsidRPr="00924971">
        <w:rPr>
          <w:rFonts w:ascii="宋体" w:eastAsia="宋体" w:hAnsi="宋体" w:cs="Times New Roman" w:hint="eastAsia"/>
          <w:b/>
          <w:sz w:val="24"/>
          <w:szCs w:val="24"/>
        </w:rPr>
        <w:t>【复习思考】</w:t>
      </w:r>
    </w:p>
    <w:p w14:paraId="7BBD060F"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药学职业道德的特点与作用。</w:t>
      </w:r>
    </w:p>
    <w:p w14:paraId="1D9E5C1F" w14:textId="77777777" w:rsidR="00924971" w:rsidRPr="00924971" w:rsidRDefault="00924971" w:rsidP="00924971">
      <w:pPr>
        <w:spacing w:beforeLines="50" w:before="156" w:afterLines="50" w:after="156" w:line="440" w:lineRule="exact"/>
        <w:ind w:firstLineChars="200" w:firstLine="560"/>
        <w:jc w:val="center"/>
        <w:rPr>
          <w:rFonts w:ascii="黑体" w:eastAsia="黑体" w:hAnsi="黑体" w:cs="Times New Roman"/>
          <w:sz w:val="28"/>
          <w:szCs w:val="28"/>
        </w:rPr>
      </w:pPr>
      <w:r w:rsidRPr="00924971">
        <w:rPr>
          <w:rFonts w:ascii="黑体" w:eastAsia="黑体" w:hAnsi="黑体" w:cs="Times New Roman" w:hint="eastAsia"/>
          <w:sz w:val="28"/>
          <w:szCs w:val="28"/>
        </w:rPr>
        <w:t>第五章  药品管理立法</w:t>
      </w:r>
    </w:p>
    <w:p w14:paraId="5F40CFAD"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【学习目标】</w:t>
      </w:r>
    </w:p>
    <w:p w14:paraId="546C0573"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w:t>
      </w:r>
      <w:r w:rsidRPr="00924971">
        <w:rPr>
          <w:rFonts w:ascii="宋体" w:eastAsia="宋体" w:hAnsi="宋体" w:cs="Times New Roman" w:hint="eastAsia"/>
          <w:sz w:val="24"/>
          <w:szCs w:val="24"/>
        </w:rPr>
        <w:t>掌握《药品管理法》的立法宗旨，使学生领悟依法治药的理念；掌握药品管理的规定、假药、劣药的认定与禁止性规定，培养学生诚信和法治的观念；</w:t>
      </w:r>
    </w:p>
    <w:p w14:paraId="4F19F24E"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w:t>
      </w:r>
      <w:r w:rsidRPr="00924971">
        <w:rPr>
          <w:rFonts w:ascii="宋体" w:eastAsia="宋体" w:hAnsi="宋体" w:cs="Times New Roman"/>
          <w:sz w:val="24"/>
          <w:szCs w:val="24"/>
        </w:rPr>
        <w:t>.</w:t>
      </w:r>
      <w:r w:rsidRPr="00924971">
        <w:rPr>
          <w:rFonts w:ascii="宋体" w:eastAsia="宋体" w:hAnsi="宋体" w:cs="Times New Roman" w:hint="eastAsia"/>
          <w:sz w:val="24"/>
          <w:szCs w:val="24"/>
        </w:rPr>
        <w:t>熟悉药品包装管理的规定，药品价格和广告管理的规定，新药研制管理，进口药品管理的相关规定，使学生理解创新、协调、绿色、开放、共享的内涵；</w:t>
      </w:r>
    </w:p>
    <w:p w14:paraId="317178E6"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3.了解药品生产、经营企业及医疗机构的药剂管理规定。</w:t>
      </w:r>
    </w:p>
    <w:p w14:paraId="6937CBDF"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【学习内容】</w:t>
      </w:r>
    </w:p>
    <w:p w14:paraId="1C950C52"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药品管理立法概述</w:t>
      </w:r>
    </w:p>
    <w:p w14:paraId="1D066541"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 药品管理法的介绍</w:t>
      </w:r>
    </w:p>
    <w:p w14:paraId="196742AF"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【重点】</w:t>
      </w:r>
    </w:p>
    <w:p w14:paraId="297605C6"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《药品管理法》，药品管理的规定。</w:t>
      </w:r>
    </w:p>
    <w:p w14:paraId="2FC83A5F"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【难点】</w:t>
      </w:r>
    </w:p>
    <w:p w14:paraId="2F742641" w14:textId="77777777" w:rsidR="00924971" w:rsidRPr="00924971" w:rsidRDefault="00924971" w:rsidP="00924971">
      <w:pPr>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假药、劣药的认定与禁止性规定。</w:t>
      </w:r>
    </w:p>
    <w:p w14:paraId="15EC59FE"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【教学方法】</w:t>
      </w:r>
    </w:p>
    <w:p w14:paraId="2745189A" w14:textId="77777777" w:rsidR="00924971" w:rsidRPr="00924971" w:rsidRDefault="00924971" w:rsidP="00924971">
      <w:pPr>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color w:val="000000"/>
          <w:sz w:val="24"/>
          <w:szCs w:val="24"/>
        </w:rPr>
        <w:t xml:space="preserve">1. </w:t>
      </w:r>
      <w:r w:rsidRPr="00924971">
        <w:rPr>
          <w:rFonts w:ascii="宋体" w:eastAsia="宋体" w:hAnsi="宋体" w:cs="Times New Roman" w:hint="eastAsia"/>
          <w:sz w:val="24"/>
          <w:szCs w:val="24"/>
        </w:rPr>
        <w:t>通过案例分析，强调理论与实践相结合，促进学生知识整合，培养学生的反思能力。</w:t>
      </w:r>
    </w:p>
    <w:p w14:paraId="20CD8FAF"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【复习思考】</w:t>
      </w:r>
    </w:p>
    <w:p w14:paraId="090DE7D9"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药事管理法律规范的具体表现形式。</w:t>
      </w:r>
    </w:p>
    <w:p w14:paraId="758416F1" w14:textId="77777777" w:rsidR="00924971" w:rsidRPr="00924971" w:rsidRDefault="00924971" w:rsidP="00924971">
      <w:pPr>
        <w:spacing w:beforeLines="50" w:before="156" w:afterLines="50" w:after="156" w:line="440" w:lineRule="exact"/>
        <w:ind w:firstLineChars="200" w:firstLine="560"/>
        <w:jc w:val="center"/>
        <w:rPr>
          <w:rFonts w:ascii="黑体" w:eastAsia="黑体" w:hAnsi="黑体" w:cs="Times New Roman"/>
          <w:sz w:val="28"/>
          <w:szCs w:val="28"/>
        </w:rPr>
      </w:pPr>
      <w:r w:rsidRPr="00924971">
        <w:rPr>
          <w:rFonts w:ascii="黑体" w:eastAsia="黑体" w:hAnsi="黑体" w:cs="Times New Roman" w:hint="eastAsia"/>
          <w:sz w:val="28"/>
          <w:szCs w:val="28"/>
        </w:rPr>
        <w:t>第六章  药品注册管理</w:t>
      </w:r>
    </w:p>
    <w:p w14:paraId="677114B5"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【学习目标】</w:t>
      </w:r>
    </w:p>
    <w:p w14:paraId="78345903"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 xml:space="preserve">熟悉药物非临床研究质量管理规范，药物临床研究质量管理规范； </w:t>
      </w:r>
    </w:p>
    <w:p w14:paraId="0B47D290"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掌握药品注册申请的类型，药品注册管理机构，药品注册管理的中心内容，新药、仿制药、药品再注册、药品技术转让的申报与审批程序和要求，新药特殊审批的范围和程序，培养学生在药品研制中的改革创新精神，以及不同类别药物间协调发展的理念。</w:t>
      </w:r>
    </w:p>
    <w:p w14:paraId="5D658533"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lastRenderedPageBreak/>
        <w:t>【学习内容】</w:t>
      </w:r>
    </w:p>
    <w:p w14:paraId="1AB3D9C9" w14:textId="77777777" w:rsidR="00924971" w:rsidRPr="00924971" w:rsidRDefault="00924971" w:rsidP="00924971">
      <w:pPr>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药品注册管理的历史发展</w:t>
      </w:r>
    </w:p>
    <w:p w14:paraId="00B6A8D9" w14:textId="77777777" w:rsidR="00924971" w:rsidRPr="00924971" w:rsidRDefault="00924971" w:rsidP="00924971">
      <w:pPr>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 我国的新药管理</w:t>
      </w:r>
    </w:p>
    <w:p w14:paraId="7A78427A" w14:textId="77777777" w:rsidR="00924971" w:rsidRPr="00924971" w:rsidRDefault="00924971" w:rsidP="00924971">
      <w:pPr>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3. 新药注册管理</w:t>
      </w:r>
    </w:p>
    <w:p w14:paraId="729B449E" w14:textId="77777777" w:rsidR="00924971" w:rsidRPr="00924971" w:rsidRDefault="00924971" w:rsidP="00924971">
      <w:pPr>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4. 进口药品、已有国家标准药品注册管理和药品标准的管理</w:t>
      </w:r>
    </w:p>
    <w:p w14:paraId="49A46858"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【重点】</w:t>
      </w:r>
    </w:p>
    <w:p w14:paraId="4343D70E"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药品注册管理的中心内容。</w:t>
      </w:r>
    </w:p>
    <w:p w14:paraId="1C9DFAD2"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【难点】</w:t>
      </w:r>
    </w:p>
    <w:p w14:paraId="73AC0FBF"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新药、仿制药、药品一致性评价的申报与审批要求。</w:t>
      </w:r>
    </w:p>
    <w:p w14:paraId="2AE4FAD7"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【教学方法】</w:t>
      </w:r>
    </w:p>
    <w:p w14:paraId="2D77C5AD" w14:textId="77777777" w:rsidR="00924971" w:rsidRPr="00924971" w:rsidRDefault="00924971" w:rsidP="00924971">
      <w:pPr>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通过案例分析，强调理论与实践相结合，促进学生知识整合，培养学生的反思能力。</w:t>
      </w:r>
    </w:p>
    <w:p w14:paraId="66E740D5"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【复习思考】</w:t>
      </w:r>
    </w:p>
    <w:p w14:paraId="50AF140E"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药物研发的意义和药品注册管理的必要性。</w:t>
      </w:r>
    </w:p>
    <w:p w14:paraId="67A12D68" w14:textId="77777777" w:rsidR="00924971" w:rsidRPr="00924971" w:rsidRDefault="00924971" w:rsidP="00924971">
      <w:pPr>
        <w:spacing w:beforeLines="50" w:before="156" w:afterLines="50" w:after="156" w:line="440" w:lineRule="exact"/>
        <w:ind w:firstLineChars="200" w:firstLine="560"/>
        <w:jc w:val="center"/>
        <w:rPr>
          <w:rFonts w:ascii="黑体" w:eastAsia="黑体" w:hAnsi="黑体" w:cs="Times New Roman"/>
          <w:sz w:val="28"/>
          <w:szCs w:val="28"/>
        </w:rPr>
      </w:pPr>
      <w:r w:rsidRPr="00924971">
        <w:rPr>
          <w:rFonts w:ascii="黑体" w:eastAsia="黑体" w:hAnsi="黑体" w:cs="Times New Roman" w:hint="eastAsia"/>
          <w:sz w:val="28"/>
          <w:szCs w:val="28"/>
        </w:rPr>
        <w:t>第八章  特殊药品管理</w:t>
      </w:r>
    </w:p>
    <w:p w14:paraId="2D57E432"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【学习目标】</w:t>
      </w:r>
    </w:p>
    <w:p w14:paraId="1FDA1DD8"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 xml:space="preserve">了解麻醉药品和精神药品的滥用与管制； </w:t>
      </w:r>
    </w:p>
    <w:p w14:paraId="0DB7AC7B"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熟悉国际麻醉品管制机构名称；放射性药品管理办法；</w:t>
      </w:r>
    </w:p>
    <w:p w14:paraId="5A60A953"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3. 掌握麻醉药品、精神药品概念，我国生产及使用麻醉药品、精神药品的品种，在各个环节进行管制的相关内容，应当承担的相关法律责任，教育和引导学生珍爱生命，远离毒品。</w:t>
      </w:r>
    </w:p>
    <w:p w14:paraId="494CA94C"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【学习内容】</w:t>
      </w:r>
    </w:p>
    <w:p w14:paraId="1D07A1C7"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麻醉药品的管理</w:t>
      </w:r>
    </w:p>
    <w:p w14:paraId="48D6089D"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 精神药品的管理</w:t>
      </w:r>
    </w:p>
    <w:p w14:paraId="56154726"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3. 放射性药品管理办法</w:t>
      </w:r>
    </w:p>
    <w:p w14:paraId="09576E06"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4. 医疗用毒性药品的管理</w:t>
      </w:r>
    </w:p>
    <w:p w14:paraId="7A24A143"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【重点】</w:t>
      </w:r>
    </w:p>
    <w:p w14:paraId="6A4B734F"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麻醉药品和精神药品的管理规定。</w:t>
      </w:r>
    </w:p>
    <w:p w14:paraId="6B939429"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【难点】</w:t>
      </w:r>
    </w:p>
    <w:p w14:paraId="17A7C968"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戒毒药品和医疗用毒性药品的生产、经营管理规定。</w:t>
      </w:r>
    </w:p>
    <w:p w14:paraId="1AE64C76"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【教学方法】</w:t>
      </w:r>
    </w:p>
    <w:p w14:paraId="10100EC1" w14:textId="77777777" w:rsidR="00924971" w:rsidRPr="00924971" w:rsidRDefault="00924971" w:rsidP="00924971">
      <w:pPr>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sz w:val="24"/>
          <w:szCs w:val="24"/>
        </w:rPr>
        <w:lastRenderedPageBreak/>
        <w:t>1. 通过多媒体课件和传统教学相结合，强调理论与实践相结合，促进学生知识整合，培养学生的反思能力与规范意识</w:t>
      </w:r>
      <w:r w:rsidRPr="00924971">
        <w:rPr>
          <w:rFonts w:ascii="宋体" w:eastAsia="宋体" w:hAnsi="宋体" w:cs="Times New Roman" w:hint="eastAsia"/>
          <w:color w:val="000000"/>
          <w:sz w:val="24"/>
          <w:szCs w:val="24"/>
        </w:rPr>
        <w:t>。</w:t>
      </w:r>
    </w:p>
    <w:p w14:paraId="5312CB51"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【复习思考】</w:t>
      </w:r>
    </w:p>
    <w:p w14:paraId="130ECE07"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麻醉药品，精神药品与毒品的区别。</w:t>
      </w:r>
    </w:p>
    <w:p w14:paraId="3A028FBA" w14:textId="77777777" w:rsidR="00924971" w:rsidRPr="00924971" w:rsidRDefault="00924971" w:rsidP="00924971">
      <w:pPr>
        <w:spacing w:beforeLines="50" w:before="156" w:afterLines="50" w:after="156" w:line="440" w:lineRule="exact"/>
        <w:ind w:firstLineChars="200" w:firstLine="560"/>
        <w:jc w:val="center"/>
        <w:rPr>
          <w:rFonts w:ascii="黑体" w:eastAsia="黑体" w:hAnsi="黑体" w:cs="Times New Roman"/>
          <w:sz w:val="28"/>
          <w:szCs w:val="28"/>
        </w:rPr>
      </w:pPr>
      <w:r w:rsidRPr="00924971">
        <w:rPr>
          <w:rFonts w:ascii="黑体" w:eastAsia="黑体" w:hAnsi="黑体" w:cs="Times New Roman" w:hint="eastAsia"/>
          <w:sz w:val="28"/>
          <w:szCs w:val="28"/>
        </w:rPr>
        <w:t>第九章  中药管理</w:t>
      </w:r>
    </w:p>
    <w:p w14:paraId="0F509A5B"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【学习目标】</w:t>
      </w:r>
    </w:p>
    <w:p w14:paraId="223E48FC"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 xml:space="preserve">了解中药的概念及其作用，学习中医药悠久的历史，灿烂的文化，增加学生的文化自信和民族自豪感； </w:t>
      </w:r>
    </w:p>
    <w:p w14:paraId="4A82C0AA"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熟悉中药现代化，中药品种保护条例和野生药材资源保护管理条例，培养学生树立以改革创新促进中医药振兴和人与自然和谐共生的环境观；</w:t>
      </w:r>
    </w:p>
    <w:p w14:paraId="152620CA"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3. 掌握药品管理法及实施条例对中药材、中药饮片、中成药的管理规定，中药品种保护的保护措施，野生药材资源保护管理的具体办法。</w:t>
      </w:r>
    </w:p>
    <w:p w14:paraId="72C48F7D"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【学习内容】</w:t>
      </w:r>
    </w:p>
    <w:p w14:paraId="79C1B1C2"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中药及中药现代化</w:t>
      </w:r>
    </w:p>
    <w:p w14:paraId="16CD495A"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 中药管理有关规定</w:t>
      </w:r>
    </w:p>
    <w:p w14:paraId="5C83CE7F"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3. 中药品种保护条例</w:t>
      </w:r>
    </w:p>
    <w:p w14:paraId="4795BEF2"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4. 野生药材资源保护管理条例</w:t>
      </w:r>
    </w:p>
    <w:p w14:paraId="56CB1777"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【重点】</w:t>
      </w:r>
    </w:p>
    <w:p w14:paraId="485009FF"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中药管理有关规定；GAP</w:t>
      </w:r>
    </w:p>
    <w:p w14:paraId="419C4657"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【难点】</w:t>
      </w:r>
    </w:p>
    <w:p w14:paraId="2343551E"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中药品种保护的保护措施</w:t>
      </w:r>
    </w:p>
    <w:p w14:paraId="69252DBF" w14:textId="77777777" w:rsidR="00924971" w:rsidRPr="00924971" w:rsidRDefault="00924971" w:rsidP="00924971">
      <w:pPr>
        <w:spacing w:line="440" w:lineRule="exact"/>
        <w:ind w:firstLineChars="200" w:firstLine="482"/>
        <w:rPr>
          <w:rFonts w:ascii="宋体" w:eastAsia="宋体" w:hAnsi="宋体" w:cs="Times New Roman"/>
          <w:color w:val="FF0000"/>
          <w:sz w:val="24"/>
          <w:szCs w:val="24"/>
        </w:rPr>
      </w:pPr>
      <w:r w:rsidRPr="00924971">
        <w:rPr>
          <w:rFonts w:ascii="宋体" w:eastAsia="宋体" w:hAnsi="宋体" w:cs="Times New Roman" w:hint="eastAsia"/>
          <w:b/>
          <w:bCs/>
          <w:sz w:val="24"/>
          <w:szCs w:val="24"/>
        </w:rPr>
        <w:t>【教学方法】</w:t>
      </w:r>
    </w:p>
    <w:p w14:paraId="5258EE06"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通过多媒体课件和传统教学相结合，强调理论与实践相结合，促进学生知识整合，培养学生的反思能力与规范意识。</w:t>
      </w:r>
    </w:p>
    <w:p w14:paraId="38B03CC3"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【复习思考】</w:t>
      </w:r>
    </w:p>
    <w:p w14:paraId="5C17E3D9"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为什么要对中药品种进行保护？</w:t>
      </w:r>
    </w:p>
    <w:p w14:paraId="1B8CE1F6" w14:textId="77777777" w:rsidR="00924971" w:rsidRPr="00924971" w:rsidRDefault="00924971" w:rsidP="00924971">
      <w:pPr>
        <w:spacing w:beforeLines="50" w:before="156" w:afterLines="50" w:after="156" w:line="440" w:lineRule="exact"/>
        <w:ind w:firstLineChars="200" w:firstLine="560"/>
        <w:jc w:val="center"/>
        <w:rPr>
          <w:rFonts w:ascii="黑体" w:eastAsia="黑体" w:hAnsi="黑体" w:cs="Times New Roman"/>
          <w:sz w:val="28"/>
          <w:szCs w:val="28"/>
        </w:rPr>
      </w:pPr>
      <w:r w:rsidRPr="00924971">
        <w:rPr>
          <w:rFonts w:ascii="黑体" w:eastAsia="黑体" w:hAnsi="黑体" w:cs="Times New Roman" w:hint="eastAsia"/>
          <w:sz w:val="28"/>
          <w:szCs w:val="28"/>
        </w:rPr>
        <w:t>第十章  药品知识产权管理</w:t>
      </w:r>
    </w:p>
    <w:p w14:paraId="06C563F3"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【学习目标】</w:t>
      </w:r>
    </w:p>
    <w:p w14:paraId="5D9822FD"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 xml:space="preserve">了解药品知识产权及其作用，学习理解尊重知识、崇尚创新、诚信守法、公平竞争的知识产权文化； </w:t>
      </w:r>
    </w:p>
    <w:p w14:paraId="30832937"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lastRenderedPageBreak/>
        <w:t>2</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熟悉药品商标保护的内容；药品商业秘密及综合保护措施； </w:t>
      </w:r>
    </w:p>
    <w:p w14:paraId="32D0ECA3"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3. 掌握药品专利的类型及授予条件，专利的取得与保护，药品商标的注册申请、商标权的内容，药品商标侵权的保护。</w:t>
      </w:r>
    </w:p>
    <w:p w14:paraId="1412F1E6"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【学习内容】</w:t>
      </w:r>
    </w:p>
    <w:p w14:paraId="35D6BF60"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药品知识产权管理概述</w:t>
      </w:r>
    </w:p>
    <w:p w14:paraId="0A788FE8"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 药品专利保护</w:t>
      </w:r>
    </w:p>
    <w:p w14:paraId="4E357C71"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3. 药品商标保护</w:t>
      </w:r>
    </w:p>
    <w:p w14:paraId="74F3C7A0"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4. 药品商业秘密及综合保护</w:t>
      </w:r>
    </w:p>
    <w:p w14:paraId="473E3764"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【重点】</w:t>
      </w:r>
    </w:p>
    <w:p w14:paraId="38DFD151"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药品专利保护的内容及管理规定</w:t>
      </w:r>
    </w:p>
    <w:p w14:paraId="7D6DF008"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【难点】</w:t>
      </w:r>
    </w:p>
    <w:p w14:paraId="7D9E5A6A"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药品商标的注册申请、商标权的内容</w:t>
      </w:r>
    </w:p>
    <w:p w14:paraId="3EFF89EC" w14:textId="77777777" w:rsidR="00924971" w:rsidRPr="00924971" w:rsidRDefault="00924971" w:rsidP="00924971">
      <w:pPr>
        <w:spacing w:line="440" w:lineRule="exact"/>
        <w:ind w:firstLineChars="200" w:firstLine="482"/>
        <w:rPr>
          <w:rFonts w:ascii="宋体" w:eastAsia="宋体" w:hAnsi="宋体" w:cs="Times New Roman"/>
          <w:color w:val="FF0000"/>
          <w:sz w:val="24"/>
          <w:szCs w:val="24"/>
        </w:rPr>
      </w:pPr>
      <w:r w:rsidRPr="00924971">
        <w:rPr>
          <w:rFonts w:ascii="宋体" w:eastAsia="宋体" w:hAnsi="宋体" w:cs="Times New Roman" w:hint="eastAsia"/>
          <w:b/>
          <w:bCs/>
          <w:sz w:val="24"/>
          <w:szCs w:val="24"/>
        </w:rPr>
        <w:t>【教学方法】</w:t>
      </w:r>
    </w:p>
    <w:p w14:paraId="6C5AEE7C"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通过多媒体课件和传统教学相结合，强调理论与实践相结合，促进学生知识整合，培养学生的反思能力与规范意识。</w:t>
      </w:r>
    </w:p>
    <w:p w14:paraId="777BFD62"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【复习思考】</w:t>
      </w:r>
    </w:p>
    <w:p w14:paraId="6AB49FFF"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简述药品专利的类型。</w:t>
      </w:r>
    </w:p>
    <w:p w14:paraId="2E6ADC2B" w14:textId="77777777" w:rsidR="00924971" w:rsidRPr="00924971" w:rsidRDefault="00924971" w:rsidP="00924971">
      <w:pPr>
        <w:spacing w:beforeLines="50" w:before="156" w:afterLines="50" w:after="156" w:line="440" w:lineRule="exact"/>
        <w:ind w:firstLineChars="200" w:firstLine="560"/>
        <w:jc w:val="center"/>
        <w:rPr>
          <w:rFonts w:ascii="黑体" w:eastAsia="黑体" w:hAnsi="黑体" w:cs="Times New Roman"/>
          <w:sz w:val="28"/>
          <w:szCs w:val="28"/>
        </w:rPr>
      </w:pPr>
      <w:r w:rsidRPr="00924971">
        <w:rPr>
          <w:rFonts w:ascii="黑体" w:eastAsia="黑体" w:hAnsi="黑体" w:cs="Times New Roman" w:hint="eastAsia"/>
          <w:sz w:val="28"/>
          <w:szCs w:val="28"/>
        </w:rPr>
        <w:t>第十一章  药品信息管理</w:t>
      </w:r>
    </w:p>
    <w:p w14:paraId="548D31FD"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color w:val="000000"/>
          <w:sz w:val="24"/>
          <w:szCs w:val="24"/>
        </w:rPr>
      </w:pPr>
      <w:r w:rsidRPr="00924971">
        <w:rPr>
          <w:rFonts w:ascii="宋体" w:eastAsia="宋体" w:hAnsi="宋体" w:cs="Times New Roman" w:hint="eastAsia"/>
          <w:b/>
          <w:color w:val="000000"/>
          <w:sz w:val="24"/>
          <w:szCs w:val="24"/>
        </w:rPr>
        <w:t>【学习目标】</w:t>
      </w:r>
    </w:p>
    <w:p w14:paraId="47C3A4FB"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 xml:space="preserve">了解药品信息的含义及作用；熟悉药品标识物的类型；药品广告管理，药品互联网信息管理； </w:t>
      </w:r>
    </w:p>
    <w:p w14:paraId="379D0481"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掌握药品说明书的内容要求和格式，药品标签的内容与书写印制要求，药品广告审查发布标准。培养学生独立思考、明辨是非、拒绝虚假宣传的能力。</w:t>
      </w:r>
    </w:p>
    <w:p w14:paraId="1DC2A21B"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【学习内容】</w:t>
      </w:r>
    </w:p>
    <w:p w14:paraId="4ED1A619"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药品信息管理概述</w:t>
      </w:r>
    </w:p>
    <w:p w14:paraId="5BDDE113"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 药品标识物管理</w:t>
      </w:r>
    </w:p>
    <w:p w14:paraId="6A10877E"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3. 药品广告管理</w:t>
      </w:r>
    </w:p>
    <w:p w14:paraId="172AD4B4"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4. 药品互联网信息管理</w:t>
      </w:r>
    </w:p>
    <w:p w14:paraId="612EAE64"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【重点】</w:t>
      </w:r>
    </w:p>
    <w:p w14:paraId="56E52A96"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说明书的内容要求和格式，标签内容与印制要求。</w:t>
      </w:r>
    </w:p>
    <w:p w14:paraId="309FAACA"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【难点】</w:t>
      </w:r>
    </w:p>
    <w:p w14:paraId="7867C93E" w14:textId="77777777" w:rsidR="00924971" w:rsidRPr="00924971" w:rsidRDefault="00924971" w:rsidP="00924971">
      <w:pPr>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lastRenderedPageBreak/>
        <w:t>1</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药品广告审查发布标准。</w:t>
      </w:r>
    </w:p>
    <w:p w14:paraId="40A042C3"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【教学方法】</w:t>
      </w:r>
    </w:p>
    <w:p w14:paraId="5F2E1AC4" w14:textId="77777777" w:rsidR="00924971" w:rsidRPr="00924971" w:rsidRDefault="00924971" w:rsidP="00924971">
      <w:pPr>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通过多媒体课件和传统教学相结合，强调理论与实践相结合，促进学生知识整合，培养学生的反思能力与规范意识。</w:t>
      </w:r>
    </w:p>
    <w:p w14:paraId="06C5A893"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【复习思考】</w:t>
      </w:r>
    </w:p>
    <w:p w14:paraId="67E0BAEF"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药品信息收集的渠道。</w:t>
      </w:r>
    </w:p>
    <w:p w14:paraId="3370511F" w14:textId="77777777" w:rsidR="00924971" w:rsidRPr="00924971" w:rsidRDefault="00924971" w:rsidP="00924971">
      <w:pPr>
        <w:spacing w:beforeLines="50" w:before="156" w:afterLines="50" w:after="156" w:line="440" w:lineRule="exact"/>
        <w:ind w:firstLineChars="200" w:firstLine="560"/>
        <w:jc w:val="center"/>
        <w:rPr>
          <w:rFonts w:ascii="黑体" w:eastAsia="黑体" w:hAnsi="黑体" w:cs="Times New Roman"/>
          <w:sz w:val="28"/>
          <w:szCs w:val="28"/>
        </w:rPr>
      </w:pPr>
      <w:r w:rsidRPr="00924971">
        <w:rPr>
          <w:rFonts w:ascii="黑体" w:eastAsia="黑体" w:hAnsi="黑体" w:cs="Times New Roman" w:hint="eastAsia"/>
          <w:sz w:val="28"/>
          <w:szCs w:val="28"/>
        </w:rPr>
        <w:t>第十二章  药品生产监督管理</w:t>
      </w:r>
    </w:p>
    <w:p w14:paraId="76E4D41F"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【学习目标】</w:t>
      </w:r>
    </w:p>
    <w:p w14:paraId="43AA9C80"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了解制药工业的特点及现状，增强学生推动我国的药品创新与发展责任感、自信心；</w:t>
      </w:r>
    </w:p>
    <w:p w14:paraId="0342C26E"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熟悉生产管理与药品生产概述，质量和质量管理的基本概念；</w:t>
      </w:r>
    </w:p>
    <w:p w14:paraId="3329A6F7"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sz w:val="24"/>
          <w:szCs w:val="24"/>
        </w:rPr>
        <w:t xml:space="preserve">3. </w:t>
      </w:r>
      <w:r w:rsidRPr="00924971">
        <w:rPr>
          <w:rFonts w:ascii="宋体" w:eastAsia="宋体" w:hAnsi="宋体" w:cs="Times New Roman" w:hint="eastAsia"/>
          <w:sz w:val="24"/>
          <w:szCs w:val="24"/>
        </w:rPr>
        <w:t>掌握药品生产及药品生产管理的特点，培养学生精益求精的大国工匠精神；掌握GMP的主要内容及特点，GMP认证管理，开办药品生产企业的审批规定及《药品生产许可证》管理。</w:t>
      </w:r>
    </w:p>
    <w:p w14:paraId="5FF723A1"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【学习内容】</w:t>
      </w:r>
    </w:p>
    <w:p w14:paraId="271EB66D"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生产管理与药品生产概述</w:t>
      </w:r>
    </w:p>
    <w:p w14:paraId="60492C64"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 制药工业的发展与现状</w:t>
      </w:r>
    </w:p>
    <w:p w14:paraId="7238EC64"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3. 质量和质量管理的基本概念</w:t>
      </w:r>
    </w:p>
    <w:p w14:paraId="0CD1A008"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4. GMP及其认证管理</w:t>
      </w:r>
    </w:p>
    <w:p w14:paraId="60F5155E"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【重点】</w:t>
      </w:r>
    </w:p>
    <w:p w14:paraId="35419569"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药品生产及药品生产管理的特点。</w:t>
      </w:r>
    </w:p>
    <w:p w14:paraId="300DA3F4"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【难点】</w:t>
      </w:r>
    </w:p>
    <w:p w14:paraId="16579412" w14:textId="77777777" w:rsidR="00924971" w:rsidRPr="00924971" w:rsidRDefault="00924971" w:rsidP="00924971">
      <w:pPr>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GMP的主要内容及特点。</w:t>
      </w:r>
    </w:p>
    <w:p w14:paraId="38D83481"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【教学方法】</w:t>
      </w:r>
    </w:p>
    <w:p w14:paraId="59631B05" w14:textId="77777777" w:rsidR="00924971" w:rsidRPr="00924971" w:rsidRDefault="00924971" w:rsidP="00924971">
      <w:pPr>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通过案例分析，强调理论与实践相结合，促进学生知识整合，培养学生的反思能力与规范意识。</w:t>
      </w:r>
    </w:p>
    <w:p w14:paraId="4A1066B5"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【复习思考】</w:t>
      </w:r>
    </w:p>
    <w:p w14:paraId="72410A10"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我国现行GMP中对人员有何要求？</w:t>
      </w:r>
    </w:p>
    <w:p w14:paraId="442BFF9F" w14:textId="77777777" w:rsidR="00924971" w:rsidRPr="00924971" w:rsidRDefault="00924971" w:rsidP="00924971">
      <w:pPr>
        <w:spacing w:beforeLines="50" w:before="156" w:afterLines="50" w:after="156" w:line="440" w:lineRule="exact"/>
        <w:ind w:firstLineChars="200" w:firstLine="560"/>
        <w:jc w:val="center"/>
        <w:rPr>
          <w:rFonts w:ascii="黑体" w:eastAsia="黑体" w:hAnsi="黑体" w:cs="Times New Roman"/>
          <w:sz w:val="28"/>
          <w:szCs w:val="28"/>
        </w:rPr>
      </w:pPr>
      <w:r w:rsidRPr="00924971">
        <w:rPr>
          <w:rFonts w:ascii="黑体" w:eastAsia="黑体" w:hAnsi="黑体" w:cs="Times New Roman" w:hint="eastAsia"/>
          <w:sz w:val="28"/>
          <w:szCs w:val="28"/>
        </w:rPr>
        <w:t>第十三章  药品经营监督管理</w:t>
      </w:r>
    </w:p>
    <w:p w14:paraId="66FA61AF"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【学习目标】</w:t>
      </w:r>
    </w:p>
    <w:p w14:paraId="2E825822"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lastRenderedPageBreak/>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 xml:space="preserve">了解药品市场营销的含义及作用，培养并提升学生在药品经营方面的诚信意识；禁止商业贿赂行为；熟悉药品市场的确定及特征；药品销售渠道；药品流通监督管理概况，药品价格管理； </w:t>
      </w:r>
    </w:p>
    <w:p w14:paraId="597BD6DC"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掌握药品经营质量管理规范的主要内容，药品流通监督管理的主要规定。</w:t>
      </w:r>
    </w:p>
    <w:p w14:paraId="7EEE8CD6"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【学习内容】</w:t>
      </w:r>
    </w:p>
    <w:p w14:paraId="209DE28F"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药品市场</w:t>
      </w:r>
    </w:p>
    <w:p w14:paraId="64094251"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2. 药品销售渠道</w:t>
      </w:r>
    </w:p>
    <w:p w14:paraId="52420A5F"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3. 药品流通监督管理</w:t>
      </w:r>
    </w:p>
    <w:p w14:paraId="4A94BC66"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【重点】</w:t>
      </w:r>
    </w:p>
    <w:p w14:paraId="470C5F62"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GSP及认证管理。</w:t>
      </w:r>
    </w:p>
    <w:p w14:paraId="40B413A2" w14:textId="77777777" w:rsidR="00924971" w:rsidRPr="00924971" w:rsidRDefault="00924971" w:rsidP="00924971">
      <w:pPr>
        <w:spacing w:line="440" w:lineRule="exact"/>
        <w:ind w:firstLineChars="200" w:firstLine="482"/>
        <w:rPr>
          <w:rFonts w:ascii="宋体" w:eastAsia="宋体" w:hAnsi="宋体" w:cs="Times New Roman"/>
          <w:b/>
          <w:sz w:val="24"/>
          <w:szCs w:val="24"/>
        </w:rPr>
      </w:pPr>
      <w:r w:rsidRPr="00924971">
        <w:rPr>
          <w:rFonts w:ascii="宋体" w:eastAsia="宋体" w:hAnsi="宋体" w:cs="Times New Roman" w:hint="eastAsia"/>
          <w:b/>
          <w:sz w:val="24"/>
          <w:szCs w:val="24"/>
        </w:rPr>
        <w:t>【难点】</w:t>
      </w:r>
    </w:p>
    <w:p w14:paraId="5762104E"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w:t>
      </w:r>
      <w:r w:rsidRPr="00924971">
        <w:rPr>
          <w:rFonts w:ascii="宋体" w:eastAsia="宋体" w:hAnsi="宋体" w:cs="Times New Roman" w:hint="eastAsia"/>
          <w:sz w:val="24"/>
          <w:szCs w:val="24"/>
        </w:rPr>
        <w:t xml:space="preserve"> 药品经营质量管理规范的主要内容。</w:t>
      </w:r>
    </w:p>
    <w:p w14:paraId="68187419"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
          <w:color w:val="000000"/>
          <w:sz w:val="24"/>
          <w:szCs w:val="24"/>
        </w:rPr>
      </w:pPr>
      <w:r w:rsidRPr="00924971">
        <w:rPr>
          <w:rFonts w:ascii="宋体" w:eastAsia="宋体" w:hAnsi="宋体" w:cs="Times New Roman" w:hint="eastAsia"/>
          <w:b/>
          <w:color w:val="000000"/>
          <w:sz w:val="24"/>
          <w:szCs w:val="24"/>
        </w:rPr>
        <w:t>【教学方法】</w:t>
      </w:r>
    </w:p>
    <w:p w14:paraId="0D2AD547"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 通过多媒体课件和传统教学相结合，强调理论与实践相结合，促进学生知识整合，培养学生的反思能力与规范意识。</w:t>
      </w:r>
    </w:p>
    <w:p w14:paraId="3F44B160" w14:textId="77777777" w:rsidR="00924971" w:rsidRPr="00924971" w:rsidRDefault="00924971" w:rsidP="00924971">
      <w:pPr>
        <w:adjustRightInd w:val="0"/>
        <w:snapToGrid w:val="0"/>
        <w:spacing w:line="440" w:lineRule="exact"/>
        <w:ind w:firstLineChars="200" w:firstLine="482"/>
        <w:rPr>
          <w:rFonts w:ascii="宋体" w:eastAsia="宋体" w:hAnsi="宋体" w:cs="Times New Roman"/>
          <w:bCs/>
          <w:color w:val="000000"/>
          <w:sz w:val="24"/>
          <w:szCs w:val="24"/>
        </w:rPr>
      </w:pPr>
      <w:r w:rsidRPr="00924971">
        <w:rPr>
          <w:rFonts w:ascii="宋体" w:eastAsia="宋体" w:hAnsi="宋体" w:cs="Times New Roman" w:hint="eastAsia"/>
          <w:b/>
          <w:color w:val="000000"/>
          <w:sz w:val="24"/>
          <w:szCs w:val="24"/>
        </w:rPr>
        <w:t>【复习思考】</w:t>
      </w:r>
    </w:p>
    <w:p w14:paraId="49558CA3" w14:textId="77777777" w:rsidR="00924971" w:rsidRPr="00924971" w:rsidRDefault="00924971" w:rsidP="00924971">
      <w:pPr>
        <w:adjustRightInd w:val="0"/>
        <w:snapToGrid w:val="0"/>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sz w:val="24"/>
          <w:szCs w:val="24"/>
        </w:rPr>
        <w:t>1</w:t>
      </w:r>
      <w:r w:rsidRPr="00924971">
        <w:rPr>
          <w:rFonts w:ascii="宋体" w:eastAsia="宋体" w:hAnsi="宋体" w:cs="Times New Roman"/>
          <w:sz w:val="24"/>
          <w:szCs w:val="24"/>
        </w:rPr>
        <w:t xml:space="preserve">. </w:t>
      </w:r>
      <w:r w:rsidRPr="00924971">
        <w:rPr>
          <w:rFonts w:ascii="宋体" w:eastAsia="宋体" w:hAnsi="宋体" w:cs="Times New Roman" w:hint="eastAsia"/>
          <w:sz w:val="24"/>
          <w:szCs w:val="24"/>
        </w:rPr>
        <w:t>我国现行GMP中对人员有何要求？</w:t>
      </w:r>
    </w:p>
    <w:p w14:paraId="72011E1B" w14:textId="77777777" w:rsidR="00924971" w:rsidRPr="00924971" w:rsidRDefault="00924971" w:rsidP="00924971">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54" w:name="_Hlk149397455"/>
      <w:r w:rsidRPr="00924971">
        <w:rPr>
          <w:rFonts w:ascii="黑体" w:eastAsia="黑体" w:hAnsi="黑体" w:cs="Times New Roman" w:hint="eastAsia"/>
          <w:sz w:val="28"/>
          <w:szCs w:val="28"/>
        </w:rPr>
        <w:t xml:space="preserve">（二）课程学习内容与课程学习目标的对应关系 </w:t>
      </w:r>
    </w:p>
    <w:tbl>
      <w:tblPr>
        <w:tblW w:w="8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53"/>
        <w:gridCol w:w="2268"/>
        <w:gridCol w:w="1985"/>
        <w:gridCol w:w="850"/>
      </w:tblGrid>
      <w:tr w:rsidR="00924971" w:rsidRPr="00924971" w14:paraId="754E7123" w14:textId="77777777" w:rsidTr="00B602D6">
        <w:trPr>
          <w:trHeight w:val="660"/>
          <w:jc w:val="center"/>
        </w:trPr>
        <w:tc>
          <w:tcPr>
            <w:tcW w:w="3253" w:type="dxa"/>
            <w:vAlign w:val="center"/>
          </w:tcPr>
          <w:p w14:paraId="2FECEA4B" w14:textId="77777777" w:rsidR="00924971" w:rsidRPr="00924971" w:rsidRDefault="00924971" w:rsidP="00924971">
            <w:pPr>
              <w:spacing w:line="440" w:lineRule="exact"/>
              <w:jc w:val="center"/>
              <w:rPr>
                <w:rFonts w:ascii="宋体" w:eastAsia="宋体" w:hAnsi="宋体" w:cs="Times New Roman"/>
                <w:b/>
                <w:bCs/>
                <w:sz w:val="24"/>
                <w:szCs w:val="24"/>
              </w:rPr>
            </w:pPr>
            <w:r w:rsidRPr="00924971">
              <w:rPr>
                <w:rFonts w:ascii="宋体" w:eastAsia="宋体" w:hAnsi="宋体" w:cs="Times New Roman" w:hint="eastAsia"/>
                <w:b/>
                <w:bCs/>
                <w:sz w:val="24"/>
                <w:szCs w:val="24"/>
              </w:rPr>
              <w:t>课程学习内容</w:t>
            </w:r>
          </w:p>
        </w:tc>
        <w:tc>
          <w:tcPr>
            <w:tcW w:w="2268" w:type="dxa"/>
            <w:vAlign w:val="center"/>
          </w:tcPr>
          <w:p w14:paraId="2EE51C15" w14:textId="77777777" w:rsidR="00924971" w:rsidRPr="00924971" w:rsidRDefault="00924971" w:rsidP="00924971">
            <w:pPr>
              <w:spacing w:line="440" w:lineRule="exact"/>
              <w:jc w:val="center"/>
              <w:rPr>
                <w:rFonts w:ascii="宋体" w:eastAsia="宋体" w:hAnsi="宋体" w:cs="Times New Roman"/>
                <w:b/>
                <w:bCs/>
                <w:sz w:val="24"/>
                <w:szCs w:val="24"/>
              </w:rPr>
            </w:pPr>
            <w:r w:rsidRPr="00924971">
              <w:rPr>
                <w:rFonts w:ascii="宋体" w:eastAsia="宋体" w:hAnsi="宋体" w:cs="Times New Roman" w:hint="eastAsia"/>
                <w:b/>
                <w:bCs/>
                <w:sz w:val="24"/>
                <w:szCs w:val="24"/>
              </w:rPr>
              <w:t>教学方法</w:t>
            </w:r>
          </w:p>
        </w:tc>
        <w:tc>
          <w:tcPr>
            <w:tcW w:w="1985" w:type="dxa"/>
            <w:vAlign w:val="center"/>
          </w:tcPr>
          <w:p w14:paraId="26732D7E" w14:textId="77777777" w:rsidR="00924971" w:rsidRPr="00924971" w:rsidRDefault="00924971" w:rsidP="00924971">
            <w:pPr>
              <w:spacing w:line="440" w:lineRule="exact"/>
              <w:jc w:val="center"/>
              <w:rPr>
                <w:rFonts w:ascii="宋体" w:eastAsia="宋体" w:hAnsi="宋体" w:cs="Times New Roman"/>
                <w:b/>
                <w:bCs/>
                <w:sz w:val="24"/>
                <w:szCs w:val="24"/>
              </w:rPr>
            </w:pPr>
            <w:r w:rsidRPr="00924971">
              <w:rPr>
                <w:rFonts w:ascii="宋体" w:eastAsia="宋体" w:hAnsi="宋体" w:cs="Times New Roman" w:hint="eastAsia"/>
                <w:b/>
                <w:bCs/>
                <w:sz w:val="24"/>
                <w:szCs w:val="24"/>
              </w:rPr>
              <w:t>支撑的课程目标</w:t>
            </w:r>
          </w:p>
        </w:tc>
        <w:tc>
          <w:tcPr>
            <w:tcW w:w="850" w:type="dxa"/>
            <w:vAlign w:val="center"/>
          </w:tcPr>
          <w:p w14:paraId="2BA508C6" w14:textId="77777777" w:rsidR="00924971" w:rsidRPr="00924971" w:rsidRDefault="00924971" w:rsidP="00924971">
            <w:pPr>
              <w:spacing w:line="440" w:lineRule="exact"/>
              <w:jc w:val="center"/>
              <w:rPr>
                <w:rFonts w:ascii="宋体" w:eastAsia="宋体" w:hAnsi="宋体" w:cs="Times New Roman"/>
                <w:b/>
                <w:bCs/>
                <w:sz w:val="24"/>
                <w:szCs w:val="24"/>
              </w:rPr>
            </w:pPr>
            <w:r w:rsidRPr="00924971">
              <w:rPr>
                <w:rFonts w:ascii="宋体" w:eastAsia="宋体" w:hAnsi="宋体" w:cs="Times New Roman" w:hint="eastAsia"/>
                <w:b/>
                <w:bCs/>
                <w:sz w:val="24"/>
                <w:szCs w:val="24"/>
              </w:rPr>
              <w:t>学时安排</w:t>
            </w:r>
          </w:p>
        </w:tc>
      </w:tr>
      <w:tr w:rsidR="00924971" w:rsidRPr="00924971" w14:paraId="6DC6131D" w14:textId="77777777" w:rsidTr="00B602D6">
        <w:trPr>
          <w:trHeight w:val="514"/>
          <w:jc w:val="center"/>
        </w:trPr>
        <w:tc>
          <w:tcPr>
            <w:tcW w:w="3253" w:type="dxa"/>
            <w:vAlign w:val="center"/>
          </w:tcPr>
          <w:p w14:paraId="5D574A6B" w14:textId="77777777" w:rsidR="00924971" w:rsidRPr="00924971" w:rsidRDefault="00924971" w:rsidP="00924971">
            <w:pPr>
              <w:spacing w:line="440" w:lineRule="exact"/>
              <w:jc w:val="left"/>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第一章 绪论</w:t>
            </w:r>
          </w:p>
        </w:tc>
        <w:tc>
          <w:tcPr>
            <w:tcW w:w="2268" w:type="dxa"/>
            <w:vAlign w:val="center"/>
          </w:tcPr>
          <w:p w14:paraId="78CECAB4"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讲授法</w:t>
            </w:r>
          </w:p>
        </w:tc>
        <w:tc>
          <w:tcPr>
            <w:tcW w:w="1985" w:type="dxa"/>
          </w:tcPr>
          <w:p w14:paraId="30434172"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课程</w:t>
            </w:r>
            <w:r w:rsidRPr="00924971">
              <w:rPr>
                <w:rFonts w:ascii="宋体" w:eastAsia="宋体" w:hAnsi="宋体" w:cs="Times New Roman"/>
                <w:color w:val="000000"/>
                <w:sz w:val="24"/>
                <w:szCs w:val="24"/>
              </w:rPr>
              <w:t>目标1</w:t>
            </w:r>
          </w:p>
        </w:tc>
        <w:tc>
          <w:tcPr>
            <w:tcW w:w="850" w:type="dxa"/>
          </w:tcPr>
          <w:p w14:paraId="1F32752D"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Times New Roman" w:eastAsia="宋体" w:hAnsi="Times New Roman" w:cs="Times New Roman"/>
                <w:szCs w:val="24"/>
              </w:rPr>
              <w:t>2</w:t>
            </w:r>
          </w:p>
        </w:tc>
      </w:tr>
      <w:tr w:rsidR="00924971" w:rsidRPr="00924971" w14:paraId="61D1AB39" w14:textId="77777777" w:rsidTr="00B602D6">
        <w:trPr>
          <w:jc w:val="center"/>
        </w:trPr>
        <w:tc>
          <w:tcPr>
            <w:tcW w:w="3253" w:type="dxa"/>
            <w:vAlign w:val="center"/>
          </w:tcPr>
          <w:p w14:paraId="62D84295" w14:textId="77777777" w:rsidR="00924971" w:rsidRPr="00924971" w:rsidRDefault="00924971" w:rsidP="00924971">
            <w:pPr>
              <w:spacing w:line="440" w:lineRule="exact"/>
              <w:jc w:val="left"/>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第二章 药品及药品管理制度</w:t>
            </w:r>
          </w:p>
        </w:tc>
        <w:tc>
          <w:tcPr>
            <w:tcW w:w="2268" w:type="dxa"/>
            <w:vAlign w:val="center"/>
          </w:tcPr>
          <w:p w14:paraId="1D7F427F"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讲授法、案例教学</w:t>
            </w:r>
          </w:p>
        </w:tc>
        <w:tc>
          <w:tcPr>
            <w:tcW w:w="1985" w:type="dxa"/>
          </w:tcPr>
          <w:p w14:paraId="3626B8FC"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课程</w:t>
            </w:r>
            <w:r w:rsidRPr="00924971">
              <w:rPr>
                <w:rFonts w:ascii="宋体" w:eastAsia="宋体" w:hAnsi="宋体" w:cs="Times New Roman"/>
                <w:color w:val="000000"/>
                <w:sz w:val="24"/>
                <w:szCs w:val="24"/>
              </w:rPr>
              <w:t>目标1</w:t>
            </w:r>
          </w:p>
        </w:tc>
        <w:tc>
          <w:tcPr>
            <w:tcW w:w="850" w:type="dxa"/>
          </w:tcPr>
          <w:p w14:paraId="069373E4"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Times New Roman" w:eastAsia="宋体" w:hAnsi="Times New Roman" w:cs="Times New Roman"/>
                <w:szCs w:val="24"/>
              </w:rPr>
              <w:t>4</w:t>
            </w:r>
          </w:p>
        </w:tc>
      </w:tr>
      <w:tr w:rsidR="00924971" w:rsidRPr="00924971" w14:paraId="6269EBF9" w14:textId="77777777" w:rsidTr="00B602D6">
        <w:trPr>
          <w:trHeight w:val="90"/>
          <w:jc w:val="center"/>
        </w:trPr>
        <w:tc>
          <w:tcPr>
            <w:tcW w:w="3253" w:type="dxa"/>
            <w:vAlign w:val="center"/>
          </w:tcPr>
          <w:p w14:paraId="43A288CB" w14:textId="77777777" w:rsidR="00924971" w:rsidRPr="00924971" w:rsidRDefault="00924971" w:rsidP="00924971">
            <w:pPr>
              <w:spacing w:line="440" w:lineRule="exact"/>
              <w:jc w:val="left"/>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第三章 药</w:t>
            </w:r>
            <w:proofErr w:type="gramStart"/>
            <w:r w:rsidRPr="00924971">
              <w:rPr>
                <w:rFonts w:ascii="宋体" w:eastAsia="宋体" w:hAnsi="宋体" w:cs="Times New Roman" w:hint="eastAsia"/>
                <w:color w:val="000000"/>
                <w:sz w:val="24"/>
                <w:szCs w:val="24"/>
              </w:rPr>
              <w:t>事组织</w:t>
            </w:r>
            <w:proofErr w:type="gramEnd"/>
          </w:p>
        </w:tc>
        <w:tc>
          <w:tcPr>
            <w:tcW w:w="2268" w:type="dxa"/>
            <w:vAlign w:val="center"/>
          </w:tcPr>
          <w:p w14:paraId="4D669A7A"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讲授法、专题</w:t>
            </w:r>
            <w:r w:rsidRPr="00924971">
              <w:rPr>
                <w:rFonts w:ascii="宋体" w:eastAsia="宋体" w:hAnsi="宋体" w:cs="Times New Roman"/>
                <w:color w:val="000000"/>
                <w:sz w:val="24"/>
                <w:szCs w:val="24"/>
              </w:rPr>
              <w:t>研讨</w:t>
            </w:r>
          </w:p>
        </w:tc>
        <w:tc>
          <w:tcPr>
            <w:tcW w:w="1985" w:type="dxa"/>
          </w:tcPr>
          <w:p w14:paraId="74412624"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课程</w:t>
            </w:r>
            <w:r w:rsidRPr="00924971">
              <w:rPr>
                <w:rFonts w:ascii="宋体" w:eastAsia="宋体" w:hAnsi="宋体" w:cs="Times New Roman"/>
                <w:color w:val="000000"/>
                <w:sz w:val="24"/>
                <w:szCs w:val="24"/>
              </w:rPr>
              <w:t>目标1</w:t>
            </w:r>
          </w:p>
        </w:tc>
        <w:tc>
          <w:tcPr>
            <w:tcW w:w="850" w:type="dxa"/>
          </w:tcPr>
          <w:p w14:paraId="02611B88"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Times New Roman" w:eastAsia="宋体" w:hAnsi="Times New Roman" w:cs="Times New Roman"/>
                <w:szCs w:val="24"/>
              </w:rPr>
              <w:t>2</w:t>
            </w:r>
          </w:p>
        </w:tc>
      </w:tr>
      <w:tr w:rsidR="00924971" w:rsidRPr="00924971" w14:paraId="02024D61" w14:textId="77777777" w:rsidTr="00B602D6">
        <w:trPr>
          <w:jc w:val="center"/>
        </w:trPr>
        <w:tc>
          <w:tcPr>
            <w:tcW w:w="3253" w:type="dxa"/>
            <w:vAlign w:val="center"/>
          </w:tcPr>
          <w:p w14:paraId="148E98D0" w14:textId="77777777" w:rsidR="00924971" w:rsidRPr="00924971" w:rsidRDefault="00924971" w:rsidP="00924971">
            <w:pPr>
              <w:spacing w:line="440" w:lineRule="exact"/>
              <w:jc w:val="left"/>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第四章 药学技术人员管理</w:t>
            </w:r>
          </w:p>
        </w:tc>
        <w:tc>
          <w:tcPr>
            <w:tcW w:w="2268" w:type="dxa"/>
            <w:vAlign w:val="center"/>
          </w:tcPr>
          <w:p w14:paraId="3D891684"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讲授法、案例教学</w:t>
            </w:r>
          </w:p>
        </w:tc>
        <w:tc>
          <w:tcPr>
            <w:tcW w:w="1985" w:type="dxa"/>
          </w:tcPr>
          <w:p w14:paraId="4F318D36"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课程</w:t>
            </w:r>
            <w:r w:rsidRPr="00924971">
              <w:rPr>
                <w:rFonts w:ascii="宋体" w:eastAsia="宋体" w:hAnsi="宋体" w:cs="Times New Roman"/>
                <w:color w:val="000000"/>
                <w:sz w:val="24"/>
                <w:szCs w:val="24"/>
              </w:rPr>
              <w:t>目标3</w:t>
            </w:r>
          </w:p>
        </w:tc>
        <w:tc>
          <w:tcPr>
            <w:tcW w:w="850" w:type="dxa"/>
          </w:tcPr>
          <w:p w14:paraId="3B03207E"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Times New Roman" w:eastAsia="宋体" w:hAnsi="Times New Roman" w:cs="Times New Roman"/>
                <w:szCs w:val="24"/>
              </w:rPr>
              <w:t>2</w:t>
            </w:r>
          </w:p>
        </w:tc>
      </w:tr>
      <w:tr w:rsidR="00924971" w:rsidRPr="00924971" w14:paraId="19136591" w14:textId="77777777" w:rsidTr="00B602D6">
        <w:trPr>
          <w:jc w:val="center"/>
        </w:trPr>
        <w:tc>
          <w:tcPr>
            <w:tcW w:w="3253" w:type="dxa"/>
            <w:vAlign w:val="center"/>
          </w:tcPr>
          <w:p w14:paraId="2D5F4048" w14:textId="77777777" w:rsidR="00924971" w:rsidRPr="00924971" w:rsidRDefault="00924971" w:rsidP="00924971">
            <w:pPr>
              <w:spacing w:line="440" w:lineRule="exact"/>
              <w:jc w:val="left"/>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第五章 药品管理立法</w:t>
            </w:r>
          </w:p>
        </w:tc>
        <w:tc>
          <w:tcPr>
            <w:tcW w:w="2268" w:type="dxa"/>
            <w:vAlign w:val="center"/>
          </w:tcPr>
          <w:p w14:paraId="3A31CCEC"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讲授法、案例教学</w:t>
            </w:r>
          </w:p>
        </w:tc>
        <w:tc>
          <w:tcPr>
            <w:tcW w:w="1985" w:type="dxa"/>
          </w:tcPr>
          <w:p w14:paraId="238F3E25"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课程</w:t>
            </w:r>
            <w:r w:rsidRPr="00924971">
              <w:rPr>
                <w:rFonts w:ascii="宋体" w:eastAsia="宋体" w:hAnsi="宋体" w:cs="Times New Roman"/>
                <w:color w:val="000000"/>
                <w:sz w:val="24"/>
                <w:szCs w:val="24"/>
              </w:rPr>
              <w:t>目标2</w:t>
            </w:r>
          </w:p>
        </w:tc>
        <w:tc>
          <w:tcPr>
            <w:tcW w:w="850" w:type="dxa"/>
          </w:tcPr>
          <w:p w14:paraId="494FE510"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Times New Roman" w:eastAsia="宋体" w:hAnsi="Times New Roman" w:cs="Times New Roman"/>
                <w:szCs w:val="24"/>
              </w:rPr>
              <w:t>4</w:t>
            </w:r>
          </w:p>
        </w:tc>
      </w:tr>
      <w:tr w:rsidR="00924971" w:rsidRPr="00924971" w14:paraId="78793574" w14:textId="77777777" w:rsidTr="00B602D6">
        <w:trPr>
          <w:jc w:val="center"/>
        </w:trPr>
        <w:tc>
          <w:tcPr>
            <w:tcW w:w="3253" w:type="dxa"/>
            <w:vAlign w:val="center"/>
          </w:tcPr>
          <w:p w14:paraId="182C1B7C" w14:textId="77777777" w:rsidR="00924971" w:rsidRPr="00924971" w:rsidRDefault="00924971" w:rsidP="00924971">
            <w:pPr>
              <w:spacing w:line="440" w:lineRule="exact"/>
              <w:jc w:val="left"/>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第六章 药品注册管理</w:t>
            </w:r>
          </w:p>
        </w:tc>
        <w:tc>
          <w:tcPr>
            <w:tcW w:w="2268" w:type="dxa"/>
            <w:vAlign w:val="center"/>
          </w:tcPr>
          <w:p w14:paraId="6F27132D"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讲授法、案例教学</w:t>
            </w:r>
          </w:p>
        </w:tc>
        <w:tc>
          <w:tcPr>
            <w:tcW w:w="1985" w:type="dxa"/>
          </w:tcPr>
          <w:p w14:paraId="491788DA"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课程</w:t>
            </w:r>
            <w:r w:rsidRPr="00924971">
              <w:rPr>
                <w:rFonts w:ascii="宋体" w:eastAsia="宋体" w:hAnsi="宋体" w:cs="Times New Roman"/>
                <w:color w:val="000000"/>
                <w:sz w:val="24"/>
                <w:szCs w:val="24"/>
              </w:rPr>
              <w:t>目标2</w:t>
            </w:r>
          </w:p>
        </w:tc>
        <w:tc>
          <w:tcPr>
            <w:tcW w:w="850" w:type="dxa"/>
          </w:tcPr>
          <w:p w14:paraId="26E9F56E"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Times New Roman" w:eastAsia="宋体" w:hAnsi="Times New Roman" w:cs="Times New Roman"/>
                <w:szCs w:val="24"/>
              </w:rPr>
              <w:t>2</w:t>
            </w:r>
          </w:p>
        </w:tc>
      </w:tr>
      <w:tr w:rsidR="00924971" w:rsidRPr="00924971" w14:paraId="374FDFA1" w14:textId="77777777" w:rsidTr="00B602D6">
        <w:trPr>
          <w:jc w:val="center"/>
        </w:trPr>
        <w:tc>
          <w:tcPr>
            <w:tcW w:w="3253" w:type="dxa"/>
            <w:vAlign w:val="center"/>
          </w:tcPr>
          <w:p w14:paraId="5D04A1B1" w14:textId="77777777" w:rsidR="00924971" w:rsidRPr="00924971" w:rsidRDefault="00924971" w:rsidP="00924971">
            <w:pPr>
              <w:spacing w:line="440" w:lineRule="exact"/>
              <w:jc w:val="left"/>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第八章 特殊药品管理</w:t>
            </w:r>
          </w:p>
        </w:tc>
        <w:tc>
          <w:tcPr>
            <w:tcW w:w="2268" w:type="dxa"/>
            <w:vAlign w:val="center"/>
          </w:tcPr>
          <w:p w14:paraId="15BBFB90"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讲授法、案例教学</w:t>
            </w:r>
          </w:p>
        </w:tc>
        <w:tc>
          <w:tcPr>
            <w:tcW w:w="1985" w:type="dxa"/>
          </w:tcPr>
          <w:p w14:paraId="67AE8B3E"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课程</w:t>
            </w:r>
            <w:r w:rsidRPr="00924971">
              <w:rPr>
                <w:rFonts w:ascii="宋体" w:eastAsia="宋体" w:hAnsi="宋体" w:cs="Times New Roman"/>
                <w:color w:val="000000"/>
                <w:sz w:val="24"/>
                <w:szCs w:val="24"/>
              </w:rPr>
              <w:t>目标1</w:t>
            </w:r>
          </w:p>
        </w:tc>
        <w:tc>
          <w:tcPr>
            <w:tcW w:w="850" w:type="dxa"/>
          </w:tcPr>
          <w:p w14:paraId="2E20B1C0"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Times New Roman" w:eastAsia="宋体" w:hAnsi="Times New Roman" w:cs="Times New Roman"/>
                <w:szCs w:val="24"/>
              </w:rPr>
              <w:t>2</w:t>
            </w:r>
          </w:p>
        </w:tc>
      </w:tr>
      <w:tr w:rsidR="00924971" w:rsidRPr="00924971" w14:paraId="7C9FA9FB" w14:textId="77777777" w:rsidTr="00B602D6">
        <w:trPr>
          <w:jc w:val="center"/>
        </w:trPr>
        <w:tc>
          <w:tcPr>
            <w:tcW w:w="3253" w:type="dxa"/>
            <w:vAlign w:val="center"/>
          </w:tcPr>
          <w:p w14:paraId="0E42E4E7" w14:textId="77777777" w:rsidR="00924971" w:rsidRPr="00924971" w:rsidRDefault="00924971" w:rsidP="00924971">
            <w:pPr>
              <w:spacing w:line="440" w:lineRule="exact"/>
              <w:jc w:val="left"/>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第九章 中药管理</w:t>
            </w:r>
          </w:p>
        </w:tc>
        <w:tc>
          <w:tcPr>
            <w:tcW w:w="2268" w:type="dxa"/>
            <w:vAlign w:val="center"/>
          </w:tcPr>
          <w:p w14:paraId="37543B59"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讲授法、案例教学</w:t>
            </w:r>
          </w:p>
        </w:tc>
        <w:tc>
          <w:tcPr>
            <w:tcW w:w="1985" w:type="dxa"/>
          </w:tcPr>
          <w:p w14:paraId="35759F79"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课程</w:t>
            </w:r>
            <w:r w:rsidRPr="00924971">
              <w:rPr>
                <w:rFonts w:ascii="宋体" w:eastAsia="宋体" w:hAnsi="宋体" w:cs="Times New Roman"/>
                <w:color w:val="000000"/>
                <w:sz w:val="24"/>
                <w:szCs w:val="24"/>
              </w:rPr>
              <w:t>目标1</w:t>
            </w:r>
          </w:p>
        </w:tc>
        <w:tc>
          <w:tcPr>
            <w:tcW w:w="850" w:type="dxa"/>
          </w:tcPr>
          <w:p w14:paraId="7C73AC23"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Times New Roman" w:eastAsia="宋体" w:hAnsi="Times New Roman" w:cs="Times New Roman"/>
                <w:szCs w:val="24"/>
              </w:rPr>
              <w:t>2</w:t>
            </w:r>
          </w:p>
        </w:tc>
      </w:tr>
      <w:tr w:rsidR="00924971" w:rsidRPr="00924971" w14:paraId="60E0AB47" w14:textId="77777777" w:rsidTr="00B602D6">
        <w:trPr>
          <w:jc w:val="center"/>
        </w:trPr>
        <w:tc>
          <w:tcPr>
            <w:tcW w:w="3253" w:type="dxa"/>
            <w:vAlign w:val="center"/>
          </w:tcPr>
          <w:p w14:paraId="1448F859" w14:textId="77777777" w:rsidR="00924971" w:rsidRPr="00924971" w:rsidRDefault="00924971" w:rsidP="00924971">
            <w:pPr>
              <w:spacing w:line="440" w:lineRule="exact"/>
              <w:jc w:val="left"/>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第十章 药品知识产权管理</w:t>
            </w:r>
          </w:p>
        </w:tc>
        <w:tc>
          <w:tcPr>
            <w:tcW w:w="2268" w:type="dxa"/>
            <w:vAlign w:val="center"/>
          </w:tcPr>
          <w:p w14:paraId="4E6C330A"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讲授法、案例教学</w:t>
            </w:r>
          </w:p>
        </w:tc>
        <w:tc>
          <w:tcPr>
            <w:tcW w:w="1985" w:type="dxa"/>
          </w:tcPr>
          <w:p w14:paraId="27EEF621"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课程</w:t>
            </w:r>
            <w:r w:rsidRPr="00924971">
              <w:rPr>
                <w:rFonts w:ascii="宋体" w:eastAsia="宋体" w:hAnsi="宋体" w:cs="Times New Roman"/>
                <w:color w:val="000000"/>
                <w:sz w:val="24"/>
                <w:szCs w:val="24"/>
              </w:rPr>
              <w:t>目标1</w:t>
            </w:r>
          </w:p>
        </w:tc>
        <w:tc>
          <w:tcPr>
            <w:tcW w:w="850" w:type="dxa"/>
          </w:tcPr>
          <w:p w14:paraId="15650E42"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Times New Roman" w:eastAsia="宋体" w:hAnsi="Times New Roman" w:cs="Times New Roman"/>
                <w:szCs w:val="24"/>
              </w:rPr>
              <w:t>2</w:t>
            </w:r>
          </w:p>
        </w:tc>
      </w:tr>
      <w:tr w:rsidR="00924971" w:rsidRPr="00924971" w14:paraId="320304FB" w14:textId="77777777" w:rsidTr="00B602D6">
        <w:trPr>
          <w:jc w:val="center"/>
        </w:trPr>
        <w:tc>
          <w:tcPr>
            <w:tcW w:w="3253" w:type="dxa"/>
            <w:vAlign w:val="center"/>
          </w:tcPr>
          <w:p w14:paraId="2617B091" w14:textId="77777777" w:rsidR="00924971" w:rsidRPr="00924971" w:rsidRDefault="00924971" w:rsidP="00924971">
            <w:pPr>
              <w:spacing w:line="440" w:lineRule="exact"/>
              <w:jc w:val="left"/>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第十一章 药品信息管理</w:t>
            </w:r>
          </w:p>
        </w:tc>
        <w:tc>
          <w:tcPr>
            <w:tcW w:w="2268" w:type="dxa"/>
            <w:vAlign w:val="center"/>
          </w:tcPr>
          <w:p w14:paraId="75DD621F"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讲授法、案例教学</w:t>
            </w:r>
          </w:p>
        </w:tc>
        <w:tc>
          <w:tcPr>
            <w:tcW w:w="1985" w:type="dxa"/>
          </w:tcPr>
          <w:p w14:paraId="490A28FC"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课程</w:t>
            </w:r>
            <w:r w:rsidRPr="00924971">
              <w:rPr>
                <w:rFonts w:ascii="宋体" w:eastAsia="宋体" w:hAnsi="宋体" w:cs="Times New Roman"/>
                <w:color w:val="000000"/>
                <w:sz w:val="24"/>
                <w:szCs w:val="24"/>
              </w:rPr>
              <w:t>目标1</w:t>
            </w:r>
          </w:p>
        </w:tc>
        <w:tc>
          <w:tcPr>
            <w:tcW w:w="850" w:type="dxa"/>
          </w:tcPr>
          <w:p w14:paraId="25D330C7"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Times New Roman" w:eastAsia="宋体" w:hAnsi="Times New Roman" w:cs="Times New Roman"/>
                <w:szCs w:val="24"/>
              </w:rPr>
              <w:t>4</w:t>
            </w:r>
          </w:p>
        </w:tc>
      </w:tr>
      <w:tr w:rsidR="00924971" w:rsidRPr="00924971" w14:paraId="50961643" w14:textId="77777777" w:rsidTr="00B602D6">
        <w:trPr>
          <w:jc w:val="center"/>
        </w:trPr>
        <w:tc>
          <w:tcPr>
            <w:tcW w:w="3253" w:type="dxa"/>
            <w:vAlign w:val="center"/>
          </w:tcPr>
          <w:p w14:paraId="38E2DDFC" w14:textId="77777777" w:rsidR="00924971" w:rsidRPr="00924971" w:rsidRDefault="00924971" w:rsidP="00924971">
            <w:pPr>
              <w:spacing w:line="440" w:lineRule="exact"/>
              <w:jc w:val="left"/>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lastRenderedPageBreak/>
              <w:t>第十二章 药品生产监督管理</w:t>
            </w:r>
          </w:p>
        </w:tc>
        <w:tc>
          <w:tcPr>
            <w:tcW w:w="2268" w:type="dxa"/>
            <w:vAlign w:val="center"/>
          </w:tcPr>
          <w:p w14:paraId="726AED5A"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讲授法、案例教学</w:t>
            </w:r>
          </w:p>
        </w:tc>
        <w:tc>
          <w:tcPr>
            <w:tcW w:w="1985" w:type="dxa"/>
          </w:tcPr>
          <w:p w14:paraId="0B20899D"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课程</w:t>
            </w:r>
            <w:r w:rsidRPr="00924971">
              <w:rPr>
                <w:rFonts w:ascii="宋体" w:eastAsia="宋体" w:hAnsi="宋体" w:cs="Times New Roman"/>
                <w:color w:val="000000"/>
                <w:sz w:val="24"/>
                <w:szCs w:val="24"/>
              </w:rPr>
              <w:t>目标2</w:t>
            </w:r>
          </w:p>
        </w:tc>
        <w:tc>
          <w:tcPr>
            <w:tcW w:w="850" w:type="dxa"/>
          </w:tcPr>
          <w:p w14:paraId="7A4BFF82"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Times New Roman" w:eastAsia="宋体" w:hAnsi="Times New Roman" w:cs="Times New Roman"/>
                <w:szCs w:val="24"/>
              </w:rPr>
              <w:t>2</w:t>
            </w:r>
          </w:p>
        </w:tc>
      </w:tr>
      <w:tr w:rsidR="00924971" w:rsidRPr="00924971" w14:paraId="0D2A1AC8" w14:textId="77777777" w:rsidTr="00B602D6">
        <w:trPr>
          <w:jc w:val="center"/>
        </w:trPr>
        <w:tc>
          <w:tcPr>
            <w:tcW w:w="3253" w:type="dxa"/>
            <w:vAlign w:val="center"/>
          </w:tcPr>
          <w:p w14:paraId="28E0E1E2" w14:textId="77777777" w:rsidR="00924971" w:rsidRPr="00924971" w:rsidRDefault="00924971" w:rsidP="00924971">
            <w:pPr>
              <w:spacing w:line="440" w:lineRule="exact"/>
              <w:jc w:val="left"/>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第十三章 药品经营监督管理</w:t>
            </w:r>
          </w:p>
        </w:tc>
        <w:tc>
          <w:tcPr>
            <w:tcW w:w="2268" w:type="dxa"/>
            <w:vAlign w:val="center"/>
          </w:tcPr>
          <w:p w14:paraId="564650E6"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讲授法、案例教学</w:t>
            </w:r>
          </w:p>
        </w:tc>
        <w:tc>
          <w:tcPr>
            <w:tcW w:w="1985" w:type="dxa"/>
          </w:tcPr>
          <w:p w14:paraId="629A716D" w14:textId="77777777" w:rsidR="00924971" w:rsidRPr="00924971" w:rsidRDefault="00924971" w:rsidP="00924971">
            <w:pPr>
              <w:spacing w:line="440" w:lineRule="exact"/>
              <w:jc w:val="center"/>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课程</w:t>
            </w:r>
            <w:r w:rsidRPr="00924971">
              <w:rPr>
                <w:rFonts w:ascii="宋体" w:eastAsia="宋体" w:hAnsi="宋体" w:cs="Times New Roman"/>
                <w:color w:val="000000"/>
                <w:sz w:val="24"/>
                <w:szCs w:val="24"/>
              </w:rPr>
              <w:t>目标3</w:t>
            </w:r>
          </w:p>
        </w:tc>
        <w:tc>
          <w:tcPr>
            <w:tcW w:w="850" w:type="dxa"/>
          </w:tcPr>
          <w:p w14:paraId="59FE55B0"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Times New Roman" w:eastAsia="宋体" w:hAnsi="Times New Roman" w:cs="Times New Roman"/>
                <w:szCs w:val="24"/>
              </w:rPr>
              <w:t>2</w:t>
            </w:r>
          </w:p>
        </w:tc>
      </w:tr>
      <w:tr w:rsidR="00924971" w:rsidRPr="00924971" w14:paraId="62F0397C" w14:textId="77777777" w:rsidTr="00B602D6">
        <w:trPr>
          <w:jc w:val="center"/>
        </w:trPr>
        <w:tc>
          <w:tcPr>
            <w:tcW w:w="7506" w:type="dxa"/>
            <w:gridSpan w:val="3"/>
            <w:vAlign w:val="center"/>
          </w:tcPr>
          <w:p w14:paraId="235215F8" w14:textId="77777777" w:rsidR="00924971" w:rsidRPr="00924971" w:rsidRDefault="00924971" w:rsidP="00924971">
            <w:pPr>
              <w:spacing w:line="440" w:lineRule="exact"/>
              <w:jc w:val="center"/>
              <w:rPr>
                <w:rFonts w:ascii="宋体" w:eastAsia="宋体" w:hAnsi="宋体" w:cs="Times New Roman"/>
                <w:b/>
                <w:sz w:val="24"/>
                <w:szCs w:val="24"/>
              </w:rPr>
            </w:pPr>
            <w:r w:rsidRPr="00924971">
              <w:rPr>
                <w:rFonts w:ascii="宋体" w:eastAsia="宋体" w:hAnsi="宋体" w:cs="Times New Roman" w:hint="eastAsia"/>
                <w:b/>
                <w:sz w:val="24"/>
                <w:szCs w:val="24"/>
              </w:rPr>
              <w:t>合计</w:t>
            </w:r>
          </w:p>
        </w:tc>
        <w:tc>
          <w:tcPr>
            <w:tcW w:w="850" w:type="dxa"/>
            <w:vAlign w:val="center"/>
          </w:tcPr>
          <w:p w14:paraId="1F217E1F" w14:textId="77777777" w:rsidR="00924971" w:rsidRPr="00924971" w:rsidRDefault="00924971" w:rsidP="00924971">
            <w:pPr>
              <w:spacing w:line="440" w:lineRule="exact"/>
              <w:jc w:val="center"/>
              <w:rPr>
                <w:rFonts w:ascii="宋体" w:eastAsia="宋体" w:hAnsi="宋体" w:cs="Times New Roman"/>
                <w:sz w:val="24"/>
                <w:szCs w:val="24"/>
              </w:rPr>
            </w:pPr>
            <w:r w:rsidRPr="00924971">
              <w:rPr>
                <w:rFonts w:ascii="宋体" w:eastAsia="宋体" w:hAnsi="宋体" w:cs="Times New Roman"/>
                <w:sz w:val="24"/>
                <w:szCs w:val="24"/>
              </w:rPr>
              <w:t>32</w:t>
            </w:r>
          </w:p>
        </w:tc>
      </w:tr>
    </w:tbl>
    <w:p w14:paraId="34DA3C2A" w14:textId="77777777" w:rsidR="00924971" w:rsidRPr="00924971" w:rsidRDefault="00924971" w:rsidP="00B07C4C">
      <w:pPr>
        <w:pStyle w:val="afc"/>
      </w:pPr>
      <w:r w:rsidRPr="00924971">
        <w:rPr>
          <w:rFonts w:hint="eastAsia"/>
        </w:rPr>
        <w:t>四、课程考核及与课程学习目标的对应关系</w:t>
      </w:r>
    </w:p>
    <w:p w14:paraId="3342E33C" w14:textId="77777777" w:rsidR="00924971" w:rsidRPr="00924971" w:rsidRDefault="00924971" w:rsidP="00924971">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24971">
        <w:rPr>
          <w:rFonts w:ascii="黑体" w:eastAsia="黑体" w:hAnsi="黑体" w:cs="Times New Roman" w:hint="eastAsia"/>
          <w:sz w:val="28"/>
          <w:szCs w:val="28"/>
        </w:rPr>
        <w:t>（一）课程考核内容与课程学习目标的对应关系</w:t>
      </w:r>
    </w:p>
    <w:tbl>
      <w:tblPr>
        <w:tblW w:w="80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6587"/>
      </w:tblGrid>
      <w:tr w:rsidR="00924971" w:rsidRPr="00924971" w14:paraId="244C8394" w14:textId="77777777" w:rsidTr="00B602D6">
        <w:trPr>
          <w:trHeight w:val="515"/>
          <w:jc w:val="center"/>
        </w:trPr>
        <w:tc>
          <w:tcPr>
            <w:tcW w:w="1422" w:type="dxa"/>
          </w:tcPr>
          <w:p w14:paraId="281455AE" w14:textId="77777777" w:rsidR="00924971" w:rsidRPr="00924971" w:rsidRDefault="00924971" w:rsidP="00924971">
            <w:pPr>
              <w:spacing w:line="440" w:lineRule="exact"/>
              <w:jc w:val="center"/>
              <w:rPr>
                <w:rFonts w:ascii="宋体" w:eastAsia="宋体" w:hAnsi="宋体" w:cs="Times New Roman"/>
                <w:b/>
                <w:sz w:val="24"/>
                <w:szCs w:val="24"/>
              </w:rPr>
            </w:pPr>
            <w:r w:rsidRPr="00924971">
              <w:rPr>
                <w:rFonts w:ascii="宋体" w:eastAsia="宋体" w:hAnsi="宋体" w:cs="Times New Roman" w:hint="eastAsia"/>
                <w:b/>
                <w:sz w:val="24"/>
                <w:szCs w:val="24"/>
              </w:rPr>
              <w:t>课程目标</w:t>
            </w:r>
          </w:p>
        </w:tc>
        <w:tc>
          <w:tcPr>
            <w:tcW w:w="6587" w:type="dxa"/>
            <w:vAlign w:val="center"/>
          </w:tcPr>
          <w:p w14:paraId="2F27C8BB" w14:textId="77777777" w:rsidR="00924971" w:rsidRPr="00924971" w:rsidRDefault="00924971" w:rsidP="00924971">
            <w:pPr>
              <w:spacing w:line="440" w:lineRule="exact"/>
              <w:jc w:val="center"/>
              <w:rPr>
                <w:rFonts w:ascii="宋体" w:eastAsia="宋体" w:hAnsi="宋体" w:cs="Times New Roman"/>
                <w:b/>
                <w:sz w:val="24"/>
                <w:szCs w:val="24"/>
              </w:rPr>
            </w:pPr>
            <w:r w:rsidRPr="00924971">
              <w:rPr>
                <w:rFonts w:ascii="宋体" w:eastAsia="宋体" w:hAnsi="宋体" w:cs="Times New Roman" w:hint="eastAsia"/>
                <w:b/>
                <w:sz w:val="24"/>
                <w:szCs w:val="24"/>
              </w:rPr>
              <w:t>考核内容</w:t>
            </w:r>
          </w:p>
        </w:tc>
      </w:tr>
      <w:tr w:rsidR="00924971" w:rsidRPr="00924971" w14:paraId="1FAF96F5" w14:textId="77777777" w:rsidTr="00B602D6">
        <w:trPr>
          <w:trHeight w:val="515"/>
          <w:jc w:val="center"/>
        </w:trPr>
        <w:tc>
          <w:tcPr>
            <w:tcW w:w="1422" w:type="dxa"/>
          </w:tcPr>
          <w:p w14:paraId="26608FD8" w14:textId="77777777" w:rsidR="00924971" w:rsidRPr="00924971" w:rsidRDefault="00924971" w:rsidP="00924971">
            <w:pPr>
              <w:spacing w:line="440" w:lineRule="exact"/>
              <w:jc w:val="center"/>
              <w:rPr>
                <w:rFonts w:ascii="宋体" w:eastAsia="宋体" w:hAnsi="宋体" w:cs="Times New Roman"/>
                <w:b/>
                <w:sz w:val="24"/>
                <w:szCs w:val="24"/>
              </w:rPr>
            </w:pPr>
            <w:r w:rsidRPr="00924971">
              <w:rPr>
                <w:rFonts w:ascii="宋体" w:eastAsia="宋体" w:hAnsi="宋体" w:cs="Times New Roman" w:hint="eastAsia"/>
                <w:bCs/>
                <w:sz w:val="24"/>
                <w:szCs w:val="24"/>
              </w:rPr>
              <w:t>课程目标1</w:t>
            </w:r>
          </w:p>
        </w:tc>
        <w:tc>
          <w:tcPr>
            <w:tcW w:w="6587" w:type="dxa"/>
            <w:vAlign w:val="center"/>
          </w:tcPr>
          <w:p w14:paraId="617B2B75" w14:textId="77777777" w:rsidR="00924971" w:rsidRPr="00924971" w:rsidRDefault="00924971" w:rsidP="00924971">
            <w:pPr>
              <w:spacing w:line="440" w:lineRule="exact"/>
              <w:rPr>
                <w:rFonts w:ascii="宋体" w:eastAsia="宋体" w:hAnsi="宋体" w:cs="Times New Roman"/>
                <w:bCs/>
                <w:sz w:val="24"/>
                <w:szCs w:val="24"/>
              </w:rPr>
            </w:pPr>
            <w:r w:rsidRPr="00924971">
              <w:rPr>
                <w:rFonts w:ascii="宋体" w:eastAsia="宋体" w:hAnsi="宋体" w:cs="Times New Roman" w:hint="eastAsia"/>
                <w:bCs/>
                <w:sz w:val="24"/>
                <w:szCs w:val="24"/>
              </w:rPr>
              <w:t>1.1药事、药事管理、药事管理学科的定义；药事组织、药事管理的定义</w:t>
            </w:r>
          </w:p>
          <w:p w14:paraId="4D3F071D" w14:textId="77777777" w:rsidR="00924971" w:rsidRPr="00924971" w:rsidRDefault="00924971" w:rsidP="00924971">
            <w:pPr>
              <w:spacing w:line="440" w:lineRule="exact"/>
              <w:rPr>
                <w:rFonts w:ascii="宋体" w:eastAsia="宋体" w:hAnsi="宋体" w:cs="Times New Roman"/>
                <w:bCs/>
                <w:sz w:val="24"/>
                <w:szCs w:val="24"/>
              </w:rPr>
            </w:pPr>
            <w:r w:rsidRPr="00924971">
              <w:rPr>
                <w:rFonts w:ascii="宋体" w:eastAsia="宋体" w:hAnsi="宋体" w:cs="Times New Roman" w:hint="eastAsia"/>
                <w:bCs/>
                <w:sz w:val="24"/>
                <w:szCs w:val="24"/>
              </w:rPr>
              <w:t>1.</w:t>
            </w:r>
            <w:r w:rsidRPr="00924971">
              <w:rPr>
                <w:rFonts w:ascii="宋体" w:eastAsia="宋体" w:hAnsi="宋体" w:cs="Times New Roman"/>
                <w:bCs/>
                <w:sz w:val="24"/>
                <w:szCs w:val="24"/>
              </w:rPr>
              <w:t>2</w:t>
            </w:r>
            <w:r w:rsidRPr="00924971">
              <w:rPr>
                <w:rFonts w:ascii="宋体" w:eastAsia="宋体" w:hAnsi="宋体" w:cs="Times New Roman" w:hint="eastAsia"/>
                <w:bCs/>
                <w:sz w:val="24"/>
                <w:szCs w:val="24"/>
              </w:rPr>
              <w:t>说明书的内容要求和格式，标签内容与印制要求;</w:t>
            </w:r>
          </w:p>
          <w:p w14:paraId="0600B4B0" w14:textId="77777777" w:rsidR="00924971" w:rsidRPr="00924971" w:rsidRDefault="00924971" w:rsidP="00924971">
            <w:pPr>
              <w:spacing w:line="440" w:lineRule="exact"/>
              <w:rPr>
                <w:rFonts w:ascii="宋体" w:eastAsia="宋体" w:hAnsi="宋体" w:cs="Times New Roman"/>
                <w:bCs/>
                <w:sz w:val="24"/>
                <w:szCs w:val="24"/>
              </w:rPr>
            </w:pPr>
            <w:r w:rsidRPr="00924971">
              <w:rPr>
                <w:rFonts w:ascii="宋体" w:eastAsia="宋体" w:hAnsi="宋体" w:cs="Times New Roman" w:hint="eastAsia"/>
                <w:bCs/>
                <w:sz w:val="24"/>
                <w:szCs w:val="24"/>
              </w:rPr>
              <w:t>1.</w:t>
            </w:r>
            <w:r w:rsidRPr="00924971">
              <w:rPr>
                <w:rFonts w:ascii="宋体" w:eastAsia="宋体" w:hAnsi="宋体" w:cs="Times New Roman"/>
                <w:bCs/>
                <w:sz w:val="24"/>
                <w:szCs w:val="24"/>
              </w:rPr>
              <w:t>3</w:t>
            </w:r>
            <w:r w:rsidRPr="00924971">
              <w:rPr>
                <w:rFonts w:ascii="宋体" w:eastAsia="宋体" w:hAnsi="宋体" w:cs="Times New Roman" w:hint="eastAsia"/>
                <w:bCs/>
                <w:sz w:val="24"/>
                <w:szCs w:val="24"/>
              </w:rPr>
              <w:t xml:space="preserve"> 麻醉药品和精神药品的管理规定;</w:t>
            </w:r>
          </w:p>
          <w:p w14:paraId="64206C8C" w14:textId="77777777" w:rsidR="00924971" w:rsidRPr="00924971" w:rsidRDefault="00924971" w:rsidP="00924971">
            <w:pPr>
              <w:spacing w:line="440" w:lineRule="exact"/>
              <w:rPr>
                <w:rFonts w:ascii="宋体" w:eastAsia="宋体" w:hAnsi="宋体" w:cs="Times New Roman"/>
                <w:bCs/>
                <w:sz w:val="24"/>
                <w:szCs w:val="24"/>
              </w:rPr>
            </w:pPr>
            <w:r w:rsidRPr="00924971">
              <w:rPr>
                <w:rFonts w:ascii="宋体" w:eastAsia="宋体" w:hAnsi="宋体" w:cs="Times New Roman" w:hint="eastAsia"/>
                <w:bCs/>
                <w:sz w:val="24"/>
                <w:szCs w:val="24"/>
              </w:rPr>
              <w:t>1.</w:t>
            </w:r>
            <w:r w:rsidRPr="00924971">
              <w:rPr>
                <w:rFonts w:ascii="宋体" w:eastAsia="宋体" w:hAnsi="宋体" w:cs="Times New Roman"/>
                <w:bCs/>
                <w:sz w:val="24"/>
                <w:szCs w:val="24"/>
              </w:rPr>
              <w:t>4</w:t>
            </w:r>
            <w:r w:rsidRPr="00924971">
              <w:rPr>
                <w:rFonts w:ascii="宋体" w:eastAsia="宋体" w:hAnsi="宋体" w:cs="Times New Roman" w:hint="eastAsia"/>
                <w:bCs/>
                <w:sz w:val="24"/>
                <w:szCs w:val="24"/>
              </w:rPr>
              <w:t xml:space="preserve"> 中药管理有关规定；GAP;</w:t>
            </w:r>
          </w:p>
          <w:p w14:paraId="4AF121EE" w14:textId="77777777" w:rsidR="00924971" w:rsidRPr="00924971" w:rsidRDefault="00924971" w:rsidP="00924971">
            <w:pPr>
              <w:spacing w:line="440" w:lineRule="exact"/>
              <w:rPr>
                <w:rFonts w:ascii="宋体" w:eastAsia="宋体" w:hAnsi="宋体" w:cs="Times New Roman"/>
                <w:b/>
                <w:sz w:val="24"/>
                <w:szCs w:val="24"/>
              </w:rPr>
            </w:pPr>
            <w:r w:rsidRPr="00924971">
              <w:rPr>
                <w:rFonts w:ascii="宋体" w:eastAsia="宋体" w:hAnsi="宋体" w:cs="Times New Roman" w:hint="eastAsia"/>
                <w:bCs/>
                <w:sz w:val="24"/>
                <w:szCs w:val="24"/>
              </w:rPr>
              <w:t>1.</w:t>
            </w:r>
            <w:r w:rsidRPr="00924971">
              <w:rPr>
                <w:rFonts w:ascii="宋体" w:eastAsia="宋体" w:hAnsi="宋体" w:cs="Times New Roman"/>
                <w:bCs/>
                <w:sz w:val="24"/>
                <w:szCs w:val="24"/>
              </w:rPr>
              <w:t>5</w:t>
            </w:r>
            <w:r w:rsidRPr="00924971">
              <w:rPr>
                <w:rFonts w:ascii="宋体" w:eastAsia="宋体" w:hAnsi="宋体" w:cs="Times New Roman" w:hint="eastAsia"/>
                <w:bCs/>
                <w:sz w:val="24"/>
                <w:szCs w:val="24"/>
              </w:rPr>
              <w:t xml:space="preserve"> 药品专利保护的内容及管理规定。</w:t>
            </w:r>
          </w:p>
        </w:tc>
      </w:tr>
      <w:tr w:rsidR="00924971" w:rsidRPr="00924971" w14:paraId="58732567" w14:textId="77777777" w:rsidTr="00B602D6">
        <w:trPr>
          <w:trHeight w:val="515"/>
          <w:jc w:val="center"/>
        </w:trPr>
        <w:tc>
          <w:tcPr>
            <w:tcW w:w="1422" w:type="dxa"/>
          </w:tcPr>
          <w:p w14:paraId="2E3EF345" w14:textId="77777777" w:rsidR="00924971" w:rsidRPr="00924971" w:rsidRDefault="00924971" w:rsidP="00924971">
            <w:pPr>
              <w:spacing w:line="440" w:lineRule="exact"/>
              <w:jc w:val="center"/>
              <w:rPr>
                <w:rFonts w:ascii="宋体" w:eastAsia="宋体" w:hAnsi="宋体" w:cs="Times New Roman"/>
                <w:b/>
                <w:sz w:val="24"/>
                <w:szCs w:val="24"/>
              </w:rPr>
            </w:pPr>
            <w:r w:rsidRPr="00924971">
              <w:rPr>
                <w:rFonts w:ascii="宋体" w:eastAsia="宋体" w:hAnsi="宋体" w:cs="Times New Roman" w:hint="eastAsia"/>
                <w:bCs/>
                <w:sz w:val="24"/>
                <w:szCs w:val="24"/>
              </w:rPr>
              <w:t>课程目标</w:t>
            </w:r>
            <w:r w:rsidRPr="00924971">
              <w:rPr>
                <w:rFonts w:ascii="宋体" w:eastAsia="宋体" w:hAnsi="宋体" w:cs="Times New Roman"/>
                <w:bCs/>
                <w:sz w:val="24"/>
                <w:szCs w:val="24"/>
              </w:rPr>
              <w:t>2</w:t>
            </w:r>
          </w:p>
        </w:tc>
        <w:tc>
          <w:tcPr>
            <w:tcW w:w="6587" w:type="dxa"/>
            <w:vAlign w:val="center"/>
          </w:tcPr>
          <w:p w14:paraId="400775BC" w14:textId="77777777" w:rsidR="00924971" w:rsidRPr="00924971" w:rsidRDefault="00924971" w:rsidP="00924971">
            <w:pPr>
              <w:spacing w:line="440" w:lineRule="exact"/>
              <w:jc w:val="left"/>
              <w:rPr>
                <w:rFonts w:ascii="宋体" w:eastAsia="宋体" w:hAnsi="宋体" w:cs="Times New Roman"/>
                <w:bCs/>
                <w:sz w:val="24"/>
                <w:szCs w:val="24"/>
              </w:rPr>
            </w:pPr>
            <w:r w:rsidRPr="00924971">
              <w:rPr>
                <w:rFonts w:ascii="宋体" w:eastAsia="宋体" w:hAnsi="宋体" w:cs="Times New Roman" w:hint="eastAsia"/>
                <w:bCs/>
                <w:sz w:val="24"/>
                <w:szCs w:val="24"/>
              </w:rPr>
              <w:t>2.</w:t>
            </w:r>
            <w:r w:rsidRPr="00924971">
              <w:rPr>
                <w:rFonts w:ascii="宋体" w:eastAsia="宋体" w:hAnsi="宋体" w:cs="Times New Roman"/>
                <w:bCs/>
                <w:sz w:val="24"/>
                <w:szCs w:val="24"/>
              </w:rPr>
              <w:t>1</w:t>
            </w:r>
            <w:r w:rsidRPr="00924971">
              <w:rPr>
                <w:rFonts w:ascii="宋体" w:eastAsia="宋体" w:hAnsi="宋体" w:cs="Times New Roman" w:hint="eastAsia"/>
                <w:bCs/>
                <w:sz w:val="24"/>
                <w:szCs w:val="24"/>
              </w:rPr>
              <w:t xml:space="preserve"> 药品的定义、药品监督管理的含义；</w:t>
            </w:r>
          </w:p>
          <w:p w14:paraId="793C74B3" w14:textId="77777777" w:rsidR="00924971" w:rsidRPr="00924971" w:rsidRDefault="00924971" w:rsidP="00924971">
            <w:pPr>
              <w:spacing w:line="440" w:lineRule="exact"/>
              <w:jc w:val="left"/>
              <w:rPr>
                <w:rFonts w:ascii="宋体" w:eastAsia="宋体" w:hAnsi="宋体" w:cs="宋体"/>
                <w:color w:val="000000"/>
                <w:kern w:val="0"/>
                <w:sz w:val="24"/>
                <w:szCs w:val="24"/>
              </w:rPr>
            </w:pPr>
            <w:r w:rsidRPr="00924971">
              <w:rPr>
                <w:rFonts w:ascii="宋体" w:eastAsia="宋体" w:hAnsi="宋体" w:cs="Times New Roman" w:hint="eastAsia"/>
                <w:bCs/>
                <w:sz w:val="24"/>
                <w:szCs w:val="24"/>
              </w:rPr>
              <w:t>2.</w:t>
            </w:r>
            <w:r w:rsidRPr="00924971">
              <w:rPr>
                <w:rFonts w:ascii="宋体" w:eastAsia="宋体" w:hAnsi="宋体" w:cs="Times New Roman"/>
                <w:bCs/>
                <w:sz w:val="24"/>
                <w:szCs w:val="24"/>
              </w:rPr>
              <w:t>2</w:t>
            </w:r>
            <w:r w:rsidRPr="00924971">
              <w:rPr>
                <w:rFonts w:ascii="宋体" w:eastAsia="宋体" w:hAnsi="宋体" w:cs="宋体" w:hint="eastAsia"/>
                <w:color w:val="000000"/>
                <w:kern w:val="0"/>
                <w:sz w:val="24"/>
                <w:szCs w:val="24"/>
              </w:rPr>
              <w:t>假药、劣药的认定与禁止性规定；</w:t>
            </w:r>
          </w:p>
          <w:p w14:paraId="1F55FB34" w14:textId="77777777" w:rsidR="00924971" w:rsidRPr="00924971" w:rsidRDefault="00924971" w:rsidP="00924971">
            <w:pPr>
              <w:spacing w:line="440" w:lineRule="exact"/>
              <w:jc w:val="left"/>
              <w:rPr>
                <w:rFonts w:ascii="宋体" w:eastAsia="宋体" w:hAnsi="宋体" w:cs="宋体"/>
                <w:color w:val="000000"/>
                <w:kern w:val="0"/>
                <w:sz w:val="24"/>
                <w:szCs w:val="24"/>
              </w:rPr>
            </w:pPr>
            <w:r w:rsidRPr="00924971">
              <w:rPr>
                <w:rFonts w:ascii="宋体" w:eastAsia="宋体" w:hAnsi="宋体" w:cs="宋体" w:hint="eastAsia"/>
                <w:color w:val="000000"/>
                <w:kern w:val="0"/>
                <w:sz w:val="24"/>
                <w:szCs w:val="24"/>
              </w:rPr>
              <w:t>2.</w:t>
            </w:r>
            <w:r w:rsidRPr="00924971">
              <w:rPr>
                <w:rFonts w:ascii="宋体" w:eastAsia="宋体" w:hAnsi="宋体" w:cs="宋体"/>
                <w:color w:val="000000"/>
                <w:kern w:val="0"/>
                <w:sz w:val="24"/>
                <w:szCs w:val="24"/>
              </w:rPr>
              <w:t>3</w:t>
            </w:r>
            <w:r w:rsidRPr="00924971">
              <w:rPr>
                <w:rFonts w:ascii="宋体" w:eastAsia="宋体" w:hAnsi="宋体" w:cs="宋体" w:hint="eastAsia"/>
                <w:color w:val="000000"/>
                <w:kern w:val="0"/>
                <w:sz w:val="24"/>
                <w:szCs w:val="24"/>
              </w:rPr>
              <w:t>新药、仿制药、药品一致性评价的申报与审批要求；</w:t>
            </w:r>
          </w:p>
          <w:p w14:paraId="4092BD40" w14:textId="77777777" w:rsidR="00924971" w:rsidRPr="00924971" w:rsidRDefault="00924971" w:rsidP="00924971">
            <w:pPr>
              <w:spacing w:line="440" w:lineRule="exact"/>
              <w:jc w:val="left"/>
              <w:rPr>
                <w:rFonts w:ascii="宋体" w:eastAsia="宋体" w:hAnsi="宋体" w:cs="Times New Roman"/>
                <w:b/>
                <w:sz w:val="24"/>
                <w:szCs w:val="24"/>
              </w:rPr>
            </w:pPr>
            <w:r w:rsidRPr="00924971">
              <w:rPr>
                <w:rFonts w:ascii="宋体" w:eastAsia="宋体" w:hAnsi="宋体" w:cs="宋体" w:hint="eastAsia"/>
                <w:color w:val="000000"/>
                <w:kern w:val="0"/>
                <w:sz w:val="24"/>
                <w:szCs w:val="24"/>
              </w:rPr>
              <w:t>2.</w:t>
            </w:r>
            <w:r w:rsidRPr="00924971">
              <w:rPr>
                <w:rFonts w:ascii="宋体" w:eastAsia="宋体" w:hAnsi="宋体" w:cs="宋体"/>
                <w:color w:val="000000"/>
                <w:kern w:val="0"/>
                <w:sz w:val="24"/>
                <w:szCs w:val="24"/>
              </w:rPr>
              <w:t>4</w:t>
            </w:r>
            <w:r w:rsidRPr="00924971">
              <w:rPr>
                <w:rFonts w:ascii="宋体" w:eastAsia="宋体" w:hAnsi="宋体" w:cs="宋体" w:hint="eastAsia"/>
                <w:color w:val="000000"/>
                <w:kern w:val="0"/>
                <w:sz w:val="24"/>
                <w:szCs w:val="24"/>
              </w:rPr>
              <w:t>药品生产及药品生产管理的特点。</w:t>
            </w:r>
          </w:p>
        </w:tc>
      </w:tr>
      <w:tr w:rsidR="00924971" w:rsidRPr="00924971" w14:paraId="050AE533" w14:textId="77777777" w:rsidTr="00B602D6">
        <w:trPr>
          <w:jc w:val="center"/>
        </w:trPr>
        <w:tc>
          <w:tcPr>
            <w:tcW w:w="1422" w:type="dxa"/>
            <w:vAlign w:val="center"/>
          </w:tcPr>
          <w:p w14:paraId="546EC280" w14:textId="77777777" w:rsidR="00924971" w:rsidRPr="00924971" w:rsidRDefault="00924971" w:rsidP="00924971">
            <w:pPr>
              <w:spacing w:line="440" w:lineRule="exact"/>
              <w:jc w:val="center"/>
              <w:rPr>
                <w:rFonts w:ascii="宋体" w:eastAsia="宋体" w:hAnsi="宋体" w:cs="Times New Roman"/>
                <w:bCs/>
                <w:sz w:val="24"/>
                <w:szCs w:val="24"/>
              </w:rPr>
            </w:pPr>
            <w:r w:rsidRPr="00924971">
              <w:rPr>
                <w:rFonts w:ascii="宋体" w:eastAsia="宋体" w:hAnsi="宋体" w:cs="Times New Roman" w:hint="eastAsia"/>
                <w:bCs/>
                <w:sz w:val="24"/>
                <w:szCs w:val="24"/>
              </w:rPr>
              <w:t>课程目标</w:t>
            </w:r>
            <w:r w:rsidRPr="00924971">
              <w:rPr>
                <w:rFonts w:ascii="宋体" w:eastAsia="宋体" w:hAnsi="宋体" w:cs="Times New Roman"/>
                <w:bCs/>
                <w:sz w:val="24"/>
                <w:szCs w:val="24"/>
              </w:rPr>
              <w:t>3</w:t>
            </w:r>
          </w:p>
        </w:tc>
        <w:tc>
          <w:tcPr>
            <w:tcW w:w="6587" w:type="dxa"/>
            <w:vAlign w:val="center"/>
          </w:tcPr>
          <w:p w14:paraId="3828796C" w14:textId="77777777" w:rsidR="00924971" w:rsidRPr="00924971" w:rsidRDefault="00924971" w:rsidP="00924971">
            <w:pPr>
              <w:spacing w:line="440" w:lineRule="exact"/>
              <w:rPr>
                <w:rFonts w:ascii="宋体" w:eastAsia="宋体" w:hAnsi="宋体" w:cs="宋体"/>
                <w:color w:val="000000"/>
                <w:kern w:val="0"/>
                <w:sz w:val="24"/>
                <w:szCs w:val="24"/>
              </w:rPr>
            </w:pPr>
            <w:r w:rsidRPr="00924971">
              <w:rPr>
                <w:rFonts w:ascii="宋体" w:eastAsia="宋体" w:hAnsi="宋体" w:cs="Times New Roman" w:hint="eastAsia"/>
                <w:bCs/>
                <w:sz w:val="24"/>
                <w:szCs w:val="24"/>
              </w:rPr>
              <w:t>3.</w:t>
            </w:r>
            <w:r w:rsidRPr="00924971">
              <w:rPr>
                <w:rFonts w:ascii="宋体" w:eastAsia="宋体" w:hAnsi="宋体" w:cs="Times New Roman"/>
                <w:bCs/>
                <w:sz w:val="24"/>
                <w:szCs w:val="24"/>
              </w:rPr>
              <w:t>1</w:t>
            </w:r>
            <w:r w:rsidRPr="00924971">
              <w:rPr>
                <w:rFonts w:ascii="宋体" w:eastAsia="宋体" w:hAnsi="宋体" w:cs="宋体" w:hint="eastAsia"/>
                <w:color w:val="000000"/>
                <w:kern w:val="0"/>
                <w:sz w:val="24"/>
                <w:szCs w:val="24"/>
              </w:rPr>
              <w:t>执业药师的考试内容及要求</w:t>
            </w:r>
          </w:p>
          <w:p w14:paraId="03C704AC" w14:textId="77777777" w:rsidR="00924971" w:rsidRPr="00924971" w:rsidRDefault="00924971" w:rsidP="00924971">
            <w:pPr>
              <w:spacing w:line="440" w:lineRule="exact"/>
              <w:rPr>
                <w:rFonts w:ascii="宋体" w:eastAsia="宋体" w:hAnsi="宋体" w:cs="Times New Roman"/>
                <w:bCs/>
                <w:sz w:val="24"/>
                <w:szCs w:val="24"/>
              </w:rPr>
            </w:pPr>
            <w:r w:rsidRPr="00924971">
              <w:rPr>
                <w:rFonts w:ascii="宋体" w:eastAsia="宋体" w:hAnsi="宋体" w:cs="Times New Roman"/>
                <w:bCs/>
                <w:sz w:val="24"/>
                <w:szCs w:val="24"/>
              </w:rPr>
              <w:t>3</w:t>
            </w:r>
            <w:r w:rsidRPr="00924971">
              <w:rPr>
                <w:rFonts w:ascii="宋体" w:eastAsia="宋体" w:hAnsi="宋体" w:cs="Times New Roman" w:hint="eastAsia"/>
                <w:bCs/>
                <w:sz w:val="24"/>
                <w:szCs w:val="24"/>
              </w:rPr>
              <w:t>.</w:t>
            </w:r>
            <w:r w:rsidRPr="00924971">
              <w:rPr>
                <w:rFonts w:ascii="宋体" w:eastAsia="宋体" w:hAnsi="宋体" w:cs="Times New Roman"/>
                <w:bCs/>
                <w:sz w:val="24"/>
                <w:szCs w:val="24"/>
              </w:rPr>
              <w:t>2</w:t>
            </w:r>
            <w:r w:rsidRPr="00924971">
              <w:rPr>
                <w:rFonts w:ascii="宋体" w:eastAsia="宋体" w:hAnsi="宋体" w:cs="Times New Roman" w:hint="eastAsia"/>
                <w:bCs/>
                <w:sz w:val="24"/>
                <w:szCs w:val="24"/>
              </w:rPr>
              <w:t>药品经营质量管理规范的主要内容；</w:t>
            </w:r>
          </w:p>
        </w:tc>
      </w:tr>
    </w:tbl>
    <w:bookmarkEnd w:id="254"/>
    <w:p w14:paraId="0E07772C" w14:textId="77777777" w:rsidR="00924971" w:rsidRPr="00924971" w:rsidRDefault="00924971" w:rsidP="00924971">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24971">
        <w:rPr>
          <w:rFonts w:ascii="黑体" w:eastAsia="黑体" w:hAnsi="黑体" w:cs="Times New Roman" w:hint="eastAsia"/>
          <w:sz w:val="28"/>
          <w:szCs w:val="28"/>
        </w:rPr>
        <w:t>（二）课程考核方式</w:t>
      </w:r>
    </w:p>
    <w:p w14:paraId="4F739BD0"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课程考核方式分为平时考核和期末考核。平时考核方式包括课堂表现、平时作业等；期末考核采用开卷考试。</w:t>
      </w:r>
    </w:p>
    <w:p w14:paraId="3807A527" w14:textId="77777777" w:rsidR="00BE564B" w:rsidRDefault="00BE564B" w:rsidP="00BE564B">
      <w:pPr>
        <w:adjustRightInd w:val="0"/>
        <w:snapToGrid w:val="0"/>
        <w:spacing w:beforeLines="50" w:before="156" w:afterLines="50" w:after="156" w:line="440" w:lineRule="exact"/>
        <w:ind w:firstLineChars="200" w:firstLine="560"/>
        <w:outlineLvl w:val="1"/>
        <w:rPr>
          <w:rFonts w:ascii="黑体" w:eastAsia="黑体" w:hAnsi="黑体"/>
          <w:sz w:val="28"/>
          <w:szCs w:val="28"/>
        </w:rPr>
      </w:pPr>
      <w:r w:rsidRPr="00DD5CED">
        <w:rPr>
          <w:rFonts w:ascii="黑体" w:eastAsia="黑体" w:hAnsi="黑体" w:hint="eastAsia"/>
          <w:sz w:val="28"/>
          <w:szCs w:val="28"/>
        </w:rPr>
        <w:t>（</w:t>
      </w:r>
      <w:r>
        <w:rPr>
          <w:rFonts w:ascii="黑体" w:eastAsia="黑体" w:hAnsi="黑体" w:hint="eastAsia"/>
          <w:sz w:val="28"/>
          <w:szCs w:val="28"/>
        </w:rPr>
        <w:t>三</w:t>
      </w:r>
      <w:r w:rsidRPr="00DD5CED">
        <w:rPr>
          <w:rFonts w:ascii="黑体" w:eastAsia="黑体" w:hAnsi="黑体" w:hint="eastAsia"/>
          <w:sz w:val="28"/>
          <w:szCs w:val="28"/>
        </w:rPr>
        <w:t>）</w:t>
      </w:r>
      <w:r>
        <w:rPr>
          <w:rFonts w:ascii="黑体" w:eastAsia="黑体" w:hAnsi="黑体" w:hint="eastAsia"/>
          <w:sz w:val="28"/>
          <w:szCs w:val="28"/>
        </w:rPr>
        <w:t>课程目标达成评价方式及考核比例</w:t>
      </w:r>
    </w:p>
    <w:p w14:paraId="1857AAA7" w14:textId="77777777" w:rsidR="00BE564B" w:rsidRPr="007328B2" w:rsidRDefault="00BE564B" w:rsidP="00BE564B">
      <w:pPr>
        <w:adjustRightInd w:val="0"/>
        <w:snapToGrid w:val="0"/>
        <w:spacing w:line="440" w:lineRule="exact"/>
        <w:ind w:firstLineChars="200" w:firstLine="480"/>
        <w:rPr>
          <w:rFonts w:ascii="宋体" w:hAnsi="宋体"/>
          <w:color w:val="000000"/>
          <w:sz w:val="24"/>
        </w:rPr>
      </w:pPr>
      <w:r w:rsidRPr="007328B2">
        <w:rPr>
          <w:rFonts w:ascii="宋体" w:hAnsi="宋体" w:hint="eastAsia"/>
          <w:color w:val="000000"/>
          <w:sz w:val="24"/>
        </w:rPr>
        <w:t>课堂表现</w:t>
      </w:r>
      <w:r w:rsidRPr="007328B2">
        <w:rPr>
          <w:rFonts w:ascii="宋体" w:hAnsi="宋体" w:hint="eastAsia"/>
          <w:color w:val="000000"/>
          <w:sz w:val="24"/>
        </w:rPr>
        <w:t>1</w:t>
      </w:r>
      <w:r w:rsidRPr="007328B2">
        <w:rPr>
          <w:rFonts w:ascii="宋体" w:hAnsi="宋体"/>
          <w:color w:val="000000"/>
          <w:sz w:val="24"/>
        </w:rPr>
        <w:t>0</w:t>
      </w:r>
      <w:r w:rsidRPr="007328B2">
        <w:rPr>
          <w:rFonts w:ascii="宋体" w:hAnsi="宋体" w:hint="eastAsia"/>
          <w:color w:val="000000"/>
          <w:sz w:val="24"/>
        </w:rPr>
        <w:t>%</w:t>
      </w:r>
      <w:r w:rsidRPr="007328B2">
        <w:rPr>
          <w:rFonts w:ascii="宋体" w:hAnsi="宋体"/>
          <w:color w:val="000000"/>
          <w:sz w:val="24"/>
        </w:rPr>
        <w:t>+</w:t>
      </w:r>
      <w:r w:rsidRPr="007328B2">
        <w:rPr>
          <w:rFonts w:ascii="宋体" w:hAnsi="宋体" w:hint="eastAsia"/>
          <w:color w:val="000000"/>
          <w:sz w:val="24"/>
        </w:rPr>
        <w:t>平时作业</w:t>
      </w:r>
      <w:r w:rsidRPr="007328B2">
        <w:rPr>
          <w:rFonts w:ascii="宋体" w:hAnsi="宋体" w:hint="eastAsia"/>
          <w:color w:val="000000"/>
          <w:sz w:val="24"/>
        </w:rPr>
        <w:t>2</w:t>
      </w:r>
      <w:r w:rsidRPr="007328B2">
        <w:rPr>
          <w:rFonts w:ascii="宋体" w:hAnsi="宋体"/>
          <w:color w:val="000000"/>
          <w:sz w:val="24"/>
        </w:rPr>
        <w:t>0</w:t>
      </w:r>
      <w:r w:rsidRPr="007328B2">
        <w:rPr>
          <w:rFonts w:ascii="宋体" w:hAnsi="宋体" w:hint="eastAsia"/>
          <w:color w:val="000000"/>
          <w:sz w:val="24"/>
        </w:rPr>
        <w:t>%</w:t>
      </w:r>
      <w:r w:rsidRPr="007328B2">
        <w:rPr>
          <w:rFonts w:ascii="宋体" w:hAnsi="宋体"/>
          <w:color w:val="000000"/>
          <w:sz w:val="24"/>
        </w:rPr>
        <w:t>+</w:t>
      </w:r>
      <w:r w:rsidRPr="007328B2">
        <w:rPr>
          <w:rFonts w:ascii="宋体" w:hAnsi="宋体" w:hint="eastAsia"/>
          <w:color w:val="000000"/>
          <w:sz w:val="24"/>
        </w:rPr>
        <w:t>期末考试</w:t>
      </w:r>
      <w:r w:rsidRPr="007328B2">
        <w:rPr>
          <w:rFonts w:ascii="宋体" w:hAnsi="宋体" w:hint="eastAsia"/>
          <w:color w:val="000000"/>
          <w:sz w:val="24"/>
        </w:rPr>
        <w:t>7</w:t>
      </w:r>
      <w:r w:rsidRPr="007328B2">
        <w:rPr>
          <w:rFonts w:ascii="宋体" w:hAnsi="宋体"/>
          <w:color w:val="000000"/>
          <w:sz w:val="24"/>
        </w:rPr>
        <w:t>0</w:t>
      </w:r>
      <w:r w:rsidRPr="007328B2">
        <w:rPr>
          <w:rFonts w:ascii="宋体" w:hAnsi="宋体" w:hint="eastAsia"/>
          <w:color w:val="000000"/>
          <w:sz w:val="24"/>
        </w:rPr>
        <w:t>%</w:t>
      </w:r>
      <w:r w:rsidRPr="007328B2">
        <w:rPr>
          <w:rFonts w:ascii="宋体" w:hAnsi="宋体" w:hint="eastAsia"/>
          <w:color w:val="000000"/>
          <w:sz w:val="24"/>
        </w:rPr>
        <w:t>；本课程共有</w:t>
      </w:r>
      <w:r>
        <w:rPr>
          <w:rFonts w:ascii="宋体" w:hAnsi="宋体" w:hint="eastAsia"/>
          <w:color w:val="000000"/>
          <w:sz w:val="24"/>
        </w:rPr>
        <w:t>三</w:t>
      </w:r>
      <w:r w:rsidRPr="007328B2">
        <w:rPr>
          <w:rFonts w:ascii="宋体" w:hAnsi="宋体" w:hint="eastAsia"/>
          <w:color w:val="000000"/>
          <w:sz w:val="24"/>
        </w:rPr>
        <w:t>个课程目标，考核方式及成绩比例分别为：</w:t>
      </w:r>
    </w:p>
    <w:p w14:paraId="763A8834" w14:textId="77777777" w:rsidR="00BE564B" w:rsidRPr="007328B2" w:rsidRDefault="00BE564B" w:rsidP="00BE564B">
      <w:pPr>
        <w:adjustRightInd w:val="0"/>
        <w:snapToGrid w:val="0"/>
        <w:spacing w:line="440" w:lineRule="exact"/>
        <w:ind w:firstLineChars="200" w:firstLine="480"/>
        <w:rPr>
          <w:rFonts w:ascii="宋体" w:hAnsi="宋体"/>
          <w:color w:val="000000"/>
          <w:sz w:val="24"/>
        </w:rPr>
      </w:pPr>
      <w:r w:rsidRPr="007328B2">
        <w:rPr>
          <w:rFonts w:ascii="宋体" w:hAnsi="宋体" w:hint="eastAsia"/>
          <w:color w:val="000000"/>
          <w:sz w:val="24"/>
        </w:rPr>
        <w:t>课程目标</w:t>
      </w:r>
      <w:r w:rsidRPr="007328B2">
        <w:rPr>
          <w:rFonts w:ascii="宋体" w:hAnsi="宋体" w:hint="eastAsia"/>
          <w:color w:val="000000"/>
          <w:sz w:val="24"/>
        </w:rPr>
        <w:t>1</w:t>
      </w:r>
      <w:r w:rsidRPr="007328B2">
        <w:rPr>
          <w:rFonts w:ascii="宋体" w:hAnsi="宋体" w:hint="eastAsia"/>
          <w:color w:val="000000"/>
          <w:sz w:val="24"/>
        </w:rPr>
        <w:t>：</w:t>
      </w:r>
      <w:r w:rsidRPr="00EC17B7">
        <w:rPr>
          <w:rFonts w:ascii="宋体" w:hAnsi="宋体" w:hint="eastAsia"/>
          <w:color w:val="000000"/>
          <w:sz w:val="24"/>
        </w:rPr>
        <w:t>课堂表现</w:t>
      </w:r>
      <w:r>
        <w:rPr>
          <w:rFonts w:ascii="宋体" w:hAnsi="宋体"/>
          <w:color w:val="000000"/>
          <w:sz w:val="24"/>
        </w:rPr>
        <w:t>10</w:t>
      </w:r>
      <w:r w:rsidRPr="00EC17B7">
        <w:rPr>
          <w:rFonts w:ascii="宋体" w:hAnsi="宋体" w:hint="eastAsia"/>
          <w:color w:val="000000"/>
          <w:sz w:val="24"/>
        </w:rPr>
        <w:t>%</w:t>
      </w:r>
      <w:r w:rsidRPr="00EC17B7">
        <w:rPr>
          <w:rFonts w:ascii="宋体" w:hAnsi="宋体"/>
          <w:color w:val="000000"/>
          <w:sz w:val="24"/>
        </w:rPr>
        <w:t>+</w:t>
      </w:r>
      <w:r w:rsidRPr="00EC17B7">
        <w:rPr>
          <w:rFonts w:ascii="宋体" w:hAnsi="宋体" w:hint="eastAsia"/>
          <w:color w:val="000000"/>
          <w:sz w:val="24"/>
        </w:rPr>
        <w:t>平时作业</w:t>
      </w:r>
      <w:r>
        <w:rPr>
          <w:rFonts w:ascii="宋体" w:hAnsi="宋体"/>
          <w:color w:val="000000"/>
          <w:sz w:val="24"/>
        </w:rPr>
        <w:t>2</w:t>
      </w:r>
      <w:r w:rsidRPr="00EC17B7">
        <w:rPr>
          <w:rFonts w:ascii="宋体" w:hAnsi="宋体"/>
          <w:color w:val="000000"/>
          <w:sz w:val="24"/>
        </w:rPr>
        <w:t>0</w:t>
      </w:r>
      <w:r w:rsidRPr="00EC17B7">
        <w:rPr>
          <w:rFonts w:ascii="宋体" w:hAnsi="宋体" w:hint="eastAsia"/>
          <w:color w:val="000000"/>
          <w:sz w:val="24"/>
        </w:rPr>
        <w:t>%</w:t>
      </w:r>
      <w:r w:rsidRPr="00EC17B7">
        <w:rPr>
          <w:rFonts w:ascii="宋体" w:hAnsi="宋体"/>
          <w:color w:val="000000"/>
          <w:sz w:val="24"/>
        </w:rPr>
        <w:t>+</w:t>
      </w:r>
      <w:r w:rsidRPr="00EC17B7">
        <w:rPr>
          <w:rFonts w:ascii="宋体" w:hAnsi="宋体" w:hint="eastAsia"/>
          <w:color w:val="000000"/>
          <w:sz w:val="24"/>
        </w:rPr>
        <w:t>期末考试</w:t>
      </w:r>
      <w:r>
        <w:rPr>
          <w:rFonts w:ascii="宋体" w:hAnsi="宋体"/>
          <w:color w:val="000000"/>
          <w:sz w:val="24"/>
        </w:rPr>
        <w:t>70</w:t>
      </w:r>
      <w:r w:rsidRPr="00EC17B7">
        <w:rPr>
          <w:rFonts w:ascii="宋体" w:hAnsi="宋体" w:hint="eastAsia"/>
          <w:color w:val="000000"/>
          <w:sz w:val="24"/>
        </w:rPr>
        <w:t>%</w:t>
      </w:r>
    </w:p>
    <w:p w14:paraId="3E88344B" w14:textId="77777777" w:rsidR="00BE564B" w:rsidRPr="007328B2" w:rsidRDefault="00BE564B" w:rsidP="00BE564B">
      <w:pPr>
        <w:adjustRightInd w:val="0"/>
        <w:snapToGrid w:val="0"/>
        <w:spacing w:line="440" w:lineRule="exact"/>
        <w:ind w:firstLineChars="200" w:firstLine="480"/>
        <w:rPr>
          <w:rFonts w:ascii="宋体" w:hAnsi="宋体"/>
          <w:color w:val="000000"/>
          <w:sz w:val="24"/>
        </w:rPr>
      </w:pPr>
      <w:r w:rsidRPr="007328B2">
        <w:rPr>
          <w:rFonts w:ascii="宋体" w:hAnsi="宋体" w:hint="eastAsia"/>
          <w:color w:val="000000"/>
          <w:sz w:val="24"/>
        </w:rPr>
        <w:t>如下图：</w:t>
      </w:r>
    </w:p>
    <w:tbl>
      <w:tblPr>
        <w:tblW w:w="78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04"/>
        <w:gridCol w:w="1652"/>
        <w:gridCol w:w="1652"/>
        <w:gridCol w:w="1652"/>
        <w:gridCol w:w="978"/>
      </w:tblGrid>
      <w:tr w:rsidR="00BE564B" w:rsidRPr="00E57466" w14:paraId="166E737A" w14:textId="77777777" w:rsidTr="00D2600E">
        <w:trPr>
          <w:trHeight w:val="546"/>
          <w:jc w:val="center"/>
        </w:trPr>
        <w:tc>
          <w:tcPr>
            <w:tcW w:w="0" w:type="auto"/>
            <w:vMerge w:val="restart"/>
            <w:vAlign w:val="center"/>
          </w:tcPr>
          <w:p w14:paraId="0A4AEF66" w14:textId="77777777" w:rsidR="00BE564B" w:rsidRPr="00E57466" w:rsidRDefault="00BE564B" w:rsidP="00D2600E">
            <w:pPr>
              <w:spacing w:line="440" w:lineRule="exact"/>
              <w:jc w:val="center"/>
              <w:rPr>
                <w:rFonts w:ascii="宋体" w:hAnsi="宋体"/>
                <w:b/>
                <w:sz w:val="24"/>
              </w:rPr>
            </w:pPr>
            <w:r w:rsidRPr="00E57466">
              <w:rPr>
                <w:rFonts w:ascii="宋体" w:hAnsi="宋体" w:hint="eastAsia"/>
                <w:b/>
                <w:sz w:val="24"/>
              </w:rPr>
              <w:t>课程目标</w:t>
            </w:r>
          </w:p>
        </w:tc>
        <w:tc>
          <w:tcPr>
            <w:tcW w:w="0" w:type="auto"/>
            <w:gridSpan w:val="3"/>
            <w:vAlign w:val="center"/>
          </w:tcPr>
          <w:p w14:paraId="77CEE0D6" w14:textId="77777777" w:rsidR="00BE564B" w:rsidRPr="00E57466" w:rsidRDefault="00BE564B" w:rsidP="00D2600E">
            <w:pPr>
              <w:spacing w:line="440" w:lineRule="exact"/>
              <w:jc w:val="center"/>
              <w:rPr>
                <w:rFonts w:ascii="宋体" w:hAnsi="宋体"/>
                <w:b/>
                <w:sz w:val="24"/>
              </w:rPr>
            </w:pPr>
            <w:r w:rsidRPr="00E57466">
              <w:rPr>
                <w:rFonts w:ascii="宋体" w:hAnsi="宋体" w:hint="eastAsia"/>
                <w:b/>
                <w:sz w:val="24"/>
              </w:rPr>
              <w:t>考核方式</w:t>
            </w:r>
            <w:r>
              <w:rPr>
                <w:rFonts w:ascii="宋体" w:hAnsi="宋体" w:hint="eastAsia"/>
                <w:b/>
                <w:sz w:val="24"/>
              </w:rPr>
              <w:t>及成绩比例（</w:t>
            </w:r>
            <w:r>
              <w:rPr>
                <w:rFonts w:ascii="宋体" w:hAnsi="宋体" w:hint="eastAsia"/>
                <w:b/>
                <w:sz w:val="24"/>
              </w:rPr>
              <w:t>%</w:t>
            </w:r>
            <w:r>
              <w:rPr>
                <w:rFonts w:ascii="宋体" w:hAnsi="宋体" w:hint="eastAsia"/>
                <w:b/>
                <w:sz w:val="24"/>
              </w:rPr>
              <w:t>）</w:t>
            </w:r>
          </w:p>
        </w:tc>
        <w:tc>
          <w:tcPr>
            <w:tcW w:w="0" w:type="auto"/>
            <w:vMerge w:val="restart"/>
            <w:vAlign w:val="center"/>
          </w:tcPr>
          <w:p w14:paraId="56946834" w14:textId="77777777" w:rsidR="00BE564B" w:rsidRPr="00E57466" w:rsidRDefault="00BE564B" w:rsidP="00D2600E">
            <w:pPr>
              <w:spacing w:line="440" w:lineRule="exact"/>
              <w:jc w:val="center"/>
              <w:rPr>
                <w:rFonts w:ascii="宋体" w:hAnsi="宋体"/>
                <w:b/>
                <w:sz w:val="24"/>
              </w:rPr>
            </w:pPr>
            <w:r>
              <w:rPr>
                <w:rFonts w:ascii="宋体" w:hAnsi="宋体" w:hint="eastAsia"/>
                <w:b/>
                <w:sz w:val="24"/>
              </w:rPr>
              <w:t>合计</w:t>
            </w:r>
          </w:p>
        </w:tc>
      </w:tr>
      <w:tr w:rsidR="00BE564B" w:rsidRPr="00E57466" w14:paraId="5B662468" w14:textId="77777777" w:rsidTr="00D2600E">
        <w:trPr>
          <w:trHeight w:val="584"/>
          <w:jc w:val="center"/>
        </w:trPr>
        <w:tc>
          <w:tcPr>
            <w:tcW w:w="0" w:type="auto"/>
            <w:vMerge/>
            <w:vAlign w:val="center"/>
          </w:tcPr>
          <w:p w14:paraId="2650C7F8" w14:textId="77777777" w:rsidR="00BE564B" w:rsidRPr="00E57466" w:rsidRDefault="00BE564B" w:rsidP="00D2600E">
            <w:pPr>
              <w:spacing w:line="440" w:lineRule="exact"/>
              <w:jc w:val="center"/>
              <w:rPr>
                <w:rFonts w:ascii="宋体" w:hAnsi="宋体"/>
                <w:b/>
                <w:sz w:val="24"/>
              </w:rPr>
            </w:pPr>
          </w:p>
        </w:tc>
        <w:tc>
          <w:tcPr>
            <w:tcW w:w="0" w:type="auto"/>
            <w:vAlign w:val="center"/>
          </w:tcPr>
          <w:p w14:paraId="041434DD" w14:textId="77777777" w:rsidR="00BE564B" w:rsidRPr="007328B2" w:rsidRDefault="00BE564B" w:rsidP="00D2600E">
            <w:pPr>
              <w:spacing w:line="440" w:lineRule="exact"/>
              <w:jc w:val="center"/>
              <w:rPr>
                <w:rFonts w:ascii="宋体" w:hAnsi="宋体"/>
                <w:b/>
                <w:color w:val="000000"/>
                <w:sz w:val="24"/>
              </w:rPr>
            </w:pPr>
            <w:r w:rsidRPr="007328B2">
              <w:rPr>
                <w:rFonts w:ascii="宋体" w:hAnsi="宋体" w:hint="eastAsia"/>
                <w:b/>
                <w:color w:val="000000"/>
                <w:sz w:val="24"/>
              </w:rPr>
              <w:t>课堂表现</w:t>
            </w:r>
          </w:p>
        </w:tc>
        <w:tc>
          <w:tcPr>
            <w:tcW w:w="0" w:type="auto"/>
            <w:vAlign w:val="center"/>
          </w:tcPr>
          <w:p w14:paraId="163CA581" w14:textId="77777777" w:rsidR="00BE564B" w:rsidRPr="007328B2" w:rsidRDefault="00BE564B" w:rsidP="00D2600E">
            <w:pPr>
              <w:spacing w:line="440" w:lineRule="exact"/>
              <w:jc w:val="center"/>
              <w:rPr>
                <w:rFonts w:ascii="宋体" w:hAnsi="宋体"/>
                <w:b/>
                <w:color w:val="000000"/>
                <w:sz w:val="24"/>
              </w:rPr>
            </w:pPr>
            <w:r w:rsidRPr="007328B2">
              <w:rPr>
                <w:rFonts w:ascii="宋体" w:hAnsi="宋体" w:hint="eastAsia"/>
                <w:b/>
                <w:color w:val="000000"/>
                <w:sz w:val="24"/>
              </w:rPr>
              <w:t>平时作业</w:t>
            </w:r>
          </w:p>
        </w:tc>
        <w:tc>
          <w:tcPr>
            <w:tcW w:w="0" w:type="auto"/>
            <w:vAlign w:val="center"/>
          </w:tcPr>
          <w:p w14:paraId="2FA60794" w14:textId="77777777" w:rsidR="00BE564B" w:rsidRPr="007328B2" w:rsidRDefault="00BE564B" w:rsidP="00D2600E">
            <w:pPr>
              <w:spacing w:line="440" w:lineRule="exact"/>
              <w:jc w:val="center"/>
              <w:rPr>
                <w:rFonts w:ascii="宋体" w:hAnsi="宋体"/>
                <w:b/>
                <w:color w:val="000000"/>
                <w:sz w:val="24"/>
              </w:rPr>
            </w:pPr>
            <w:r w:rsidRPr="007328B2">
              <w:rPr>
                <w:rFonts w:ascii="宋体" w:hAnsi="宋体" w:hint="eastAsia"/>
                <w:b/>
                <w:color w:val="000000"/>
                <w:sz w:val="24"/>
              </w:rPr>
              <w:t>期末考试</w:t>
            </w:r>
          </w:p>
        </w:tc>
        <w:tc>
          <w:tcPr>
            <w:tcW w:w="0" w:type="auto"/>
            <w:vMerge/>
          </w:tcPr>
          <w:p w14:paraId="0F7D77B5" w14:textId="77777777" w:rsidR="00BE564B" w:rsidRPr="007328B2" w:rsidRDefault="00BE564B" w:rsidP="00D2600E">
            <w:pPr>
              <w:spacing w:line="440" w:lineRule="exact"/>
              <w:jc w:val="center"/>
              <w:rPr>
                <w:rFonts w:ascii="宋体" w:hAnsi="宋体"/>
                <w:b/>
                <w:color w:val="000000"/>
                <w:sz w:val="24"/>
              </w:rPr>
            </w:pPr>
          </w:p>
        </w:tc>
      </w:tr>
      <w:tr w:rsidR="00BE564B" w:rsidRPr="00E57466" w14:paraId="404BD9EE" w14:textId="77777777" w:rsidTr="00D2600E">
        <w:trPr>
          <w:trHeight w:val="443"/>
          <w:jc w:val="center"/>
        </w:trPr>
        <w:tc>
          <w:tcPr>
            <w:tcW w:w="0" w:type="auto"/>
            <w:vAlign w:val="center"/>
          </w:tcPr>
          <w:p w14:paraId="788F98D2" w14:textId="77777777" w:rsidR="00BE564B" w:rsidRPr="00E57466" w:rsidRDefault="00BE564B" w:rsidP="00D2600E">
            <w:pPr>
              <w:spacing w:line="440" w:lineRule="exact"/>
              <w:jc w:val="center"/>
              <w:rPr>
                <w:rFonts w:ascii="宋体" w:hAnsi="宋体"/>
                <w:bCs/>
                <w:sz w:val="24"/>
              </w:rPr>
            </w:pPr>
            <w:r w:rsidRPr="00E57466">
              <w:rPr>
                <w:rFonts w:ascii="宋体" w:hAnsi="宋体" w:hint="eastAsia"/>
                <w:bCs/>
                <w:sz w:val="24"/>
              </w:rPr>
              <w:lastRenderedPageBreak/>
              <w:t>课程目标</w:t>
            </w:r>
            <w:r w:rsidRPr="00E57466">
              <w:rPr>
                <w:rFonts w:ascii="宋体" w:hAnsi="宋体" w:hint="eastAsia"/>
                <w:bCs/>
                <w:sz w:val="24"/>
              </w:rPr>
              <w:t>1</w:t>
            </w:r>
          </w:p>
        </w:tc>
        <w:tc>
          <w:tcPr>
            <w:tcW w:w="0" w:type="auto"/>
            <w:vAlign w:val="center"/>
          </w:tcPr>
          <w:p w14:paraId="37E6B7D6" w14:textId="77777777" w:rsidR="00BE564B" w:rsidRPr="007328B2" w:rsidRDefault="00BE564B" w:rsidP="00D2600E">
            <w:pPr>
              <w:spacing w:line="440" w:lineRule="exact"/>
              <w:jc w:val="center"/>
              <w:rPr>
                <w:rFonts w:ascii="宋体" w:hAnsi="宋体"/>
                <w:bCs/>
                <w:color w:val="000000"/>
                <w:sz w:val="24"/>
              </w:rPr>
            </w:pPr>
            <w:r>
              <w:rPr>
                <w:rFonts w:ascii="宋体" w:hAnsi="宋体"/>
                <w:bCs/>
                <w:color w:val="000000"/>
                <w:sz w:val="24"/>
              </w:rPr>
              <w:t>5</w:t>
            </w:r>
          </w:p>
        </w:tc>
        <w:tc>
          <w:tcPr>
            <w:tcW w:w="0" w:type="auto"/>
            <w:vAlign w:val="center"/>
          </w:tcPr>
          <w:p w14:paraId="292756D9" w14:textId="77777777" w:rsidR="00BE564B" w:rsidRPr="007328B2" w:rsidRDefault="00BE564B" w:rsidP="00D2600E">
            <w:pPr>
              <w:spacing w:line="440" w:lineRule="exact"/>
              <w:jc w:val="center"/>
              <w:rPr>
                <w:rFonts w:ascii="宋体" w:hAnsi="宋体"/>
                <w:bCs/>
                <w:color w:val="000000"/>
                <w:sz w:val="24"/>
              </w:rPr>
            </w:pPr>
            <w:r>
              <w:rPr>
                <w:rFonts w:ascii="宋体" w:hAnsi="宋体"/>
                <w:bCs/>
                <w:color w:val="000000"/>
                <w:sz w:val="24"/>
              </w:rPr>
              <w:t>5</w:t>
            </w:r>
          </w:p>
        </w:tc>
        <w:tc>
          <w:tcPr>
            <w:tcW w:w="0" w:type="auto"/>
            <w:vAlign w:val="center"/>
          </w:tcPr>
          <w:p w14:paraId="653B8EF5" w14:textId="77777777" w:rsidR="00BE564B" w:rsidRPr="007328B2" w:rsidRDefault="00BE564B" w:rsidP="00D2600E">
            <w:pPr>
              <w:spacing w:line="440" w:lineRule="exact"/>
              <w:jc w:val="center"/>
              <w:rPr>
                <w:rFonts w:ascii="宋体" w:hAnsi="宋体"/>
                <w:bCs/>
                <w:color w:val="000000"/>
                <w:sz w:val="24"/>
              </w:rPr>
            </w:pPr>
            <w:r>
              <w:rPr>
                <w:rFonts w:ascii="宋体" w:hAnsi="宋体"/>
                <w:bCs/>
                <w:color w:val="000000"/>
                <w:sz w:val="24"/>
              </w:rPr>
              <w:t>30</w:t>
            </w:r>
          </w:p>
        </w:tc>
        <w:tc>
          <w:tcPr>
            <w:tcW w:w="0" w:type="auto"/>
          </w:tcPr>
          <w:p w14:paraId="38E83BD3" w14:textId="77777777" w:rsidR="00BE564B" w:rsidRPr="007328B2" w:rsidRDefault="00BE564B" w:rsidP="00D2600E">
            <w:pPr>
              <w:spacing w:line="440" w:lineRule="exact"/>
              <w:jc w:val="center"/>
              <w:rPr>
                <w:rFonts w:ascii="宋体" w:hAnsi="宋体"/>
                <w:bCs/>
                <w:color w:val="000000"/>
                <w:sz w:val="24"/>
              </w:rPr>
            </w:pPr>
            <w:r>
              <w:rPr>
                <w:rFonts w:ascii="宋体" w:hAnsi="宋体"/>
                <w:bCs/>
                <w:color w:val="000000"/>
                <w:sz w:val="24"/>
              </w:rPr>
              <w:t>4</w:t>
            </w:r>
            <w:r w:rsidRPr="007328B2">
              <w:rPr>
                <w:rFonts w:ascii="宋体" w:hAnsi="宋体"/>
                <w:bCs/>
                <w:color w:val="000000"/>
                <w:sz w:val="24"/>
              </w:rPr>
              <w:t>0</w:t>
            </w:r>
          </w:p>
        </w:tc>
      </w:tr>
      <w:tr w:rsidR="00BE564B" w:rsidRPr="00E57466" w14:paraId="461D27AB" w14:textId="77777777" w:rsidTr="00D2600E">
        <w:trPr>
          <w:trHeight w:val="443"/>
          <w:jc w:val="center"/>
        </w:trPr>
        <w:tc>
          <w:tcPr>
            <w:tcW w:w="0" w:type="auto"/>
            <w:vAlign w:val="center"/>
          </w:tcPr>
          <w:p w14:paraId="38F455DB" w14:textId="77777777" w:rsidR="00BE564B" w:rsidRPr="00E57466" w:rsidRDefault="00BE564B" w:rsidP="00D2600E">
            <w:pPr>
              <w:spacing w:line="440" w:lineRule="exact"/>
              <w:jc w:val="center"/>
              <w:rPr>
                <w:rFonts w:ascii="宋体" w:hAnsi="宋体"/>
                <w:bCs/>
                <w:sz w:val="24"/>
              </w:rPr>
            </w:pPr>
            <w:r w:rsidRPr="00E57466">
              <w:rPr>
                <w:rFonts w:ascii="宋体" w:hAnsi="宋体" w:hint="eastAsia"/>
                <w:bCs/>
                <w:sz w:val="24"/>
              </w:rPr>
              <w:t>课程目标</w:t>
            </w:r>
            <w:r>
              <w:rPr>
                <w:rFonts w:ascii="宋体" w:hAnsi="宋体"/>
                <w:bCs/>
                <w:sz w:val="24"/>
              </w:rPr>
              <w:t>2</w:t>
            </w:r>
          </w:p>
        </w:tc>
        <w:tc>
          <w:tcPr>
            <w:tcW w:w="0" w:type="auto"/>
            <w:vAlign w:val="center"/>
          </w:tcPr>
          <w:p w14:paraId="108E7699" w14:textId="77777777" w:rsidR="00BE564B" w:rsidRDefault="00BE564B" w:rsidP="00D2600E">
            <w:pPr>
              <w:spacing w:line="440" w:lineRule="exact"/>
              <w:jc w:val="center"/>
              <w:rPr>
                <w:rFonts w:ascii="宋体" w:hAnsi="宋体"/>
                <w:bCs/>
                <w:color w:val="000000"/>
                <w:sz w:val="24"/>
              </w:rPr>
            </w:pPr>
          </w:p>
        </w:tc>
        <w:tc>
          <w:tcPr>
            <w:tcW w:w="0" w:type="auto"/>
            <w:vAlign w:val="center"/>
          </w:tcPr>
          <w:p w14:paraId="44687C5C" w14:textId="77777777" w:rsidR="00BE564B" w:rsidRDefault="00BE564B" w:rsidP="00D2600E">
            <w:pPr>
              <w:spacing w:line="440" w:lineRule="exact"/>
              <w:jc w:val="center"/>
              <w:rPr>
                <w:rFonts w:ascii="宋体" w:hAnsi="宋体"/>
                <w:bCs/>
                <w:color w:val="000000"/>
                <w:sz w:val="24"/>
              </w:rPr>
            </w:pPr>
            <w:r>
              <w:rPr>
                <w:rFonts w:ascii="宋体" w:hAnsi="宋体" w:hint="eastAsia"/>
                <w:bCs/>
                <w:color w:val="000000"/>
                <w:sz w:val="24"/>
              </w:rPr>
              <w:t>5</w:t>
            </w:r>
          </w:p>
        </w:tc>
        <w:tc>
          <w:tcPr>
            <w:tcW w:w="0" w:type="auto"/>
            <w:vAlign w:val="center"/>
          </w:tcPr>
          <w:p w14:paraId="7777B8C6" w14:textId="77777777" w:rsidR="00BE564B" w:rsidRDefault="00BE564B" w:rsidP="00D2600E">
            <w:pPr>
              <w:spacing w:line="440" w:lineRule="exact"/>
              <w:jc w:val="center"/>
              <w:rPr>
                <w:rFonts w:ascii="宋体" w:hAnsi="宋体"/>
                <w:bCs/>
                <w:color w:val="000000"/>
                <w:sz w:val="24"/>
              </w:rPr>
            </w:pPr>
            <w:r>
              <w:rPr>
                <w:rFonts w:ascii="宋体" w:hAnsi="宋体" w:hint="eastAsia"/>
                <w:bCs/>
                <w:color w:val="000000"/>
                <w:sz w:val="24"/>
              </w:rPr>
              <w:t>2</w:t>
            </w:r>
            <w:r>
              <w:rPr>
                <w:rFonts w:ascii="宋体" w:hAnsi="宋体"/>
                <w:bCs/>
                <w:color w:val="000000"/>
                <w:sz w:val="24"/>
              </w:rPr>
              <w:t>0</w:t>
            </w:r>
          </w:p>
        </w:tc>
        <w:tc>
          <w:tcPr>
            <w:tcW w:w="0" w:type="auto"/>
          </w:tcPr>
          <w:p w14:paraId="46F87E96" w14:textId="77777777" w:rsidR="00BE564B" w:rsidRDefault="00BE564B" w:rsidP="00D2600E">
            <w:pPr>
              <w:spacing w:line="440" w:lineRule="exact"/>
              <w:jc w:val="center"/>
              <w:rPr>
                <w:rFonts w:ascii="宋体" w:hAnsi="宋体"/>
                <w:bCs/>
                <w:color w:val="000000"/>
                <w:sz w:val="24"/>
              </w:rPr>
            </w:pPr>
            <w:r>
              <w:rPr>
                <w:rFonts w:ascii="宋体" w:hAnsi="宋体"/>
                <w:bCs/>
                <w:color w:val="000000"/>
                <w:sz w:val="24"/>
              </w:rPr>
              <w:t>25</w:t>
            </w:r>
          </w:p>
        </w:tc>
      </w:tr>
      <w:tr w:rsidR="00BE564B" w:rsidRPr="00E57466" w14:paraId="28A925EA" w14:textId="77777777" w:rsidTr="00D2600E">
        <w:trPr>
          <w:trHeight w:val="443"/>
          <w:jc w:val="center"/>
        </w:trPr>
        <w:tc>
          <w:tcPr>
            <w:tcW w:w="0" w:type="auto"/>
            <w:vAlign w:val="center"/>
          </w:tcPr>
          <w:p w14:paraId="6787A987" w14:textId="77777777" w:rsidR="00BE564B" w:rsidRPr="00E57466" w:rsidRDefault="00BE564B" w:rsidP="00D2600E">
            <w:pPr>
              <w:spacing w:line="440" w:lineRule="exact"/>
              <w:jc w:val="center"/>
              <w:rPr>
                <w:rFonts w:ascii="宋体" w:hAnsi="宋体"/>
                <w:bCs/>
                <w:sz w:val="24"/>
              </w:rPr>
            </w:pPr>
            <w:r w:rsidRPr="00E57466">
              <w:rPr>
                <w:rFonts w:ascii="宋体" w:hAnsi="宋体" w:hint="eastAsia"/>
                <w:bCs/>
                <w:sz w:val="24"/>
              </w:rPr>
              <w:t>课程目标</w:t>
            </w:r>
            <w:r>
              <w:rPr>
                <w:rFonts w:ascii="宋体" w:hAnsi="宋体"/>
                <w:bCs/>
                <w:sz w:val="24"/>
              </w:rPr>
              <w:t>3</w:t>
            </w:r>
          </w:p>
        </w:tc>
        <w:tc>
          <w:tcPr>
            <w:tcW w:w="0" w:type="auto"/>
            <w:vAlign w:val="center"/>
          </w:tcPr>
          <w:p w14:paraId="5A7F9B26" w14:textId="77777777" w:rsidR="00BE564B" w:rsidRDefault="00BE564B" w:rsidP="00D2600E">
            <w:pPr>
              <w:spacing w:line="440" w:lineRule="exact"/>
              <w:jc w:val="center"/>
              <w:rPr>
                <w:rFonts w:ascii="宋体" w:hAnsi="宋体"/>
                <w:bCs/>
                <w:color w:val="000000"/>
                <w:sz w:val="24"/>
              </w:rPr>
            </w:pPr>
            <w:r>
              <w:rPr>
                <w:rFonts w:ascii="宋体" w:hAnsi="宋体" w:hint="eastAsia"/>
                <w:bCs/>
                <w:color w:val="000000"/>
                <w:sz w:val="24"/>
              </w:rPr>
              <w:t>5</w:t>
            </w:r>
          </w:p>
        </w:tc>
        <w:tc>
          <w:tcPr>
            <w:tcW w:w="0" w:type="auto"/>
            <w:vAlign w:val="center"/>
          </w:tcPr>
          <w:p w14:paraId="6C6FEB5A" w14:textId="77777777" w:rsidR="00BE564B" w:rsidRDefault="00BE564B" w:rsidP="00D2600E">
            <w:pPr>
              <w:spacing w:line="440" w:lineRule="exact"/>
              <w:jc w:val="center"/>
              <w:rPr>
                <w:rFonts w:ascii="宋体" w:hAnsi="宋体"/>
                <w:bCs/>
                <w:color w:val="000000"/>
                <w:sz w:val="24"/>
              </w:rPr>
            </w:pPr>
            <w:r>
              <w:rPr>
                <w:rFonts w:ascii="宋体" w:hAnsi="宋体" w:hint="eastAsia"/>
                <w:bCs/>
                <w:color w:val="000000"/>
                <w:sz w:val="24"/>
              </w:rPr>
              <w:t>1</w:t>
            </w:r>
            <w:r>
              <w:rPr>
                <w:rFonts w:ascii="宋体" w:hAnsi="宋体"/>
                <w:bCs/>
                <w:color w:val="000000"/>
                <w:sz w:val="24"/>
              </w:rPr>
              <w:t>0</w:t>
            </w:r>
          </w:p>
        </w:tc>
        <w:tc>
          <w:tcPr>
            <w:tcW w:w="0" w:type="auto"/>
            <w:vAlign w:val="center"/>
          </w:tcPr>
          <w:p w14:paraId="1CA4C0C7" w14:textId="77777777" w:rsidR="00BE564B" w:rsidRDefault="00BE564B" w:rsidP="00D2600E">
            <w:pPr>
              <w:spacing w:line="440" w:lineRule="exact"/>
              <w:jc w:val="center"/>
              <w:rPr>
                <w:rFonts w:ascii="宋体" w:hAnsi="宋体"/>
                <w:bCs/>
                <w:color w:val="000000"/>
                <w:sz w:val="24"/>
              </w:rPr>
            </w:pPr>
            <w:r>
              <w:rPr>
                <w:rFonts w:ascii="宋体" w:hAnsi="宋体" w:hint="eastAsia"/>
                <w:bCs/>
                <w:color w:val="000000"/>
                <w:sz w:val="24"/>
              </w:rPr>
              <w:t>2</w:t>
            </w:r>
            <w:r>
              <w:rPr>
                <w:rFonts w:ascii="宋体" w:hAnsi="宋体"/>
                <w:bCs/>
                <w:color w:val="000000"/>
                <w:sz w:val="24"/>
              </w:rPr>
              <w:t>0</w:t>
            </w:r>
          </w:p>
        </w:tc>
        <w:tc>
          <w:tcPr>
            <w:tcW w:w="0" w:type="auto"/>
          </w:tcPr>
          <w:p w14:paraId="7784471D" w14:textId="77777777" w:rsidR="00BE564B" w:rsidRDefault="00BE564B" w:rsidP="00D2600E">
            <w:pPr>
              <w:spacing w:line="440" w:lineRule="exact"/>
              <w:jc w:val="center"/>
              <w:rPr>
                <w:rFonts w:ascii="宋体" w:hAnsi="宋体"/>
                <w:bCs/>
                <w:color w:val="000000"/>
                <w:sz w:val="24"/>
              </w:rPr>
            </w:pPr>
            <w:r>
              <w:rPr>
                <w:rFonts w:ascii="宋体" w:hAnsi="宋体" w:hint="eastAsia"/>
                <w:bCs/>
                <w:color w:val="000000"/>
                <w:sz w:val="24"/>
              </w:rPr>
              <w:t>3</w:t>
            </w:r>
            <w:r>
              <w:rPr>
                <w:rFonts w:ascii="宋体" w:hAnsi="宋体"/>
                <w:bCs/>
                <w:color w:val="000000"/>
                <w:sz w:val="24"/>
              </w:rPr>
              <w:t>5</w:t>
            </w:r>
          </w:p>
        </w:tc>
      </w:tr>
      <w:tr w:rsidR="00BE564B" w:rsidRPr="00E57466" w14:paraId="24CDC45A" w14:textId="77777777" w:rsidTr="00D2600E">
        <w:trPr>
          <w:trHeight w:val="456"/>
          <w:jc w:val="center"/>
        </w:trPr>
        <w:tc>
          <w:tcPr>
            <w:tcW w:w="0" w:type="auto"/>
            <w:vAlign w:val="center"/>
          </w:tcPr>
          <w:p w14:paraId="7C203794" w14:textId="77777777" w:rsidR="00BE564B" w:rsidRPr="00E57466" w:rsidRDefault="00BE564B" w:rsidP="00D2600E">
            <w:pPr>
              <w:spacing w:line="440" w:lineRule="exact"/>
              <w:jc w:val="center"/>
              <w:rPr>
                <w:rFonts w:ascii="宋体" w:hAnsi="宋体"/>
                <w:bCs/>
                <w:sz w:val="24"/>
              </w:rPr>
            </w:pPr>
            <w:r>
              <w:rPr>
                <w:rFonts w:ascii="宋体" w:hAnsi="宋体" w:hint="eastAsia"/>
                <w:bCs/>
                <w:sz w:val="24"/>
              </w:rPr>
              <w:t>合计</w:t>
            </w:r>
          </w:p>
        </w:tc>
        <w:tc>
          <w:tcPr>
            <w:tcW w:w="0" w:type="auto"/>
            <w:vAlign w:val="center"/>
          </w:tcPr>
          <w:p w14:paraId="7B012418" w14:textId="77777777" w:rsidR="00BE564B" w:rsidRPr="007328B2" w:rsidRDefault="00BE564B" w:rsidP="00D2600E">
            <w:pPr>
              <w:spacing w:line="440" w:lineRule="exact"/>
              <w:jc w:val="center"/>
              <w:rPr>
                <w:rFonts w:ascii="宋体" w:hAnsi="宋体"/>
                <w:bCs/>
                <w:color w:val="000000"/>
                <w:sz w:val="24"/>
              </w:rPr>
            </w:pPr>
            <w:r w:rsidRPr="007328B2">
              <w:rPr>
                <w:rFonts w:ascii="宋体" w:hAnsi="宋体" w:hint="eastAsia"/>
                <w:bCs/>
                <w:color w:val="000000"/>
                <w:sz w:val="24"/>
              </w:rPr>
              <w:t>1</w:t>
            </w:r>
            <w:r w:rsidRPr="007328B2">
              <w:rPr>
                <w:rFonts w:ascii="宋体" w:hAnsi="宋体"/>
                <w:bCs/>
                <w:color w:val="000000"/>
                <w:sz w:val="24"/>
              </w:rPr>
              <w:t>0</w:t>
            </w:r>
          </w:p>
        </w:tc>
        <w:tc>
          <w:tcPr>
            <w:tcW w:w="0" w:type="auto"/>
            <w:vAlign w:val="center"/>
          </w:tcPr>
          <w:p w14:paraId="75D2AC52" w14:textId="77777777" w:rsidR="00BE564B" w:rsidRPr="007328B2" w:rsidRDefault="00BE564B" w:rsidP="00D2600E">
            <w:pPr>
              <w:spacing w:line="440" w:lineRule="exact"/>
              <w:jc w:val="center"/>
              <w:rPr>
                <w:rFonts w:ascii="宋体" w:hAnsi="宋体"/>
                <w:bCs/>
                <w:color w:val="000000"/>
                <w:sz w:val="24"/>
              </w:rPr>
            </w:pPr>
            <w:r w:rsidRPr="007328B2">
              <w:rPr>
                <w:rFonts w:ascii="宋体" w:hAnsi="宋体" w:hint="eastAsia"/>
                <w:bCs/>
                <w:color w:val="000000"/>
                <w:sz w:val="24"/>
              </w:rPr>
              <w:t>2</w:t>
            </w:r>
            <w:r w:rsidRPr="007328B2">
              <w:rPr>
                <w:rFonts w:ascii="宋体" w:hAnsi="宋体"/>
                <w:bCs/>
                <w:color w:val="000000"/>
                <w:sz w:val="24"/>
              </w:rPr>
              <w:t>0</w:t>
            </w:r>
          </w:p>
        </w:tc>
        <w:tc>
          <w:tcPr>
            <w:tcW w:w="0" w:type="auto"/>
            <w:vAlign w:val="center"/>
          </w:tcPr>
          <w:p w14:paraId="2E29AC84" w14:textId="77777777" w:rsidR="00BE564B" w:rsidRPr="007328B2" w:rsidRDefault="00BE564B" w:rsidP="00D2600E">
            <w:pPr>
              <w:spacing w:line="440" w:lineRule="exact"/>
              <w:jc w:val="center"/>
              <w:rPr>
                <w:rFonts w:ascii="宋体" w:hAnsi="宋体"/>
                <w:bCs/>
                <w:color w:val="000000"/>
                <w:sz w:val="24"/>
              </w:rPr>
            </w:pPr>
            <w:r w:rsidRPr="007328B2">
              <w:rPr>
                <w:rFonts w:ascii="宋体" w:hAnsi="宋体" w:hint="eastAsia"/>
                <w:bCs/>
                <w:color w:val="000000"/>
                <w:sz w:val="24"/>
              </w:rPr>
              <w:t>7</w:t>
            </w:r>
            <w:r w:rsidRPr="007328B2">
              <w:rPr>
                <w:rFonts w:ascii="宋体" w:hAnsi="宋体"/>
                <w:bCs/>
                <w:color w:val="000000"/>
                <w:sz w:val="24"/>
              </w:rPr>
              <w:t>0</w:t>
            </w:r>
          </w:p>
        </w:tc>
        <w:tc>
          <w:tcPr>
            <w:tcW w:w="0" w:type="auto"/>
          </w:tcPr>
          <w:p w14:paraId="0FCC1EFF" w14:textId="77777777" w:rsidR="00BE564B" w:rsidRPr="007328B2" w:rsidRDefault="00BE564B" w:rsidP="00D2600E">
            <w:pPr>
              <w:spacing w:line="440" w:lineRule="exact"/>
              <w:jc w:val="center"/>
              <w:rPr>
                <w:rFonts w:ascii="宋体" w:hAnsi="宋体"/>
                <w:bCs/>
                <w:color w:val="000000"/>
                <w:sz w:val="24"/>
              </w:rPr>
            </w:pPr>
            <w:r w:rsidRPr="007328B2">
              <w:rPr>
                <w:rFonts w:ascii="宋体" w:hAnsi="宋体" w:hint="eastAsia"/>
                <w:bCs/>
                <w:color w:val="000000"/>
                <w:sz w:val="24"/>
              </w:rPr>
              <w:t>1</w:t>
            </w:r>
            <w:r w:rsidRPr="007328B2">
              <w:rPr>
                <w:rFonts w:ascii="宋体" w:hAnsi="宋体"/>
                <w:bCs/>
                <w:color w:val="000000"/>
                <w:sz w:val="24"/>
              </w:rPr>
              <w:t>00</w:t>
            </w:r>
          </w:p>
        </w:tc>
      </w:tr>
    </w:tbl>
    <w:p w14:paraId="04F26E84" w14:textId="77777777" w:rsidR="00BE564B" w:rsidRDefault="00BE564B" w:rsidP="00BE564B">
      <w:pPr>
        <w:adjustRightInd w:val="0"/>
        <w:snapToGrid w:val="0"/>
        <w:spacing w:beforeLines="50" w:before="156" w:afterLines="50" w:after="156" w:line="440" w:lineRule="exact"/>
        <w:ind w:firstLineChars="200" w:firstLine="560"/>
        <w:outlineLvl w:val="0"/>
        <w:rPr>
          <w:rFonts w:ascii="黑体" w:eastAsia="黑体" w:hAnsi="黑体"/>
          <w:sz w:val="28"/>
          <w:szCs w:val="28"/>
        </w:rPr>
      </w:pPr>
      <w:r>
        <w:rPr>
          <w:rFonts w:ascii="黑体" w:eastAsia="黑体" w:hAnsi="黑体" w:hint="eastAsia"/>
          <w:sz w:val="28"/>
          <w:szCs w:val="28"/>
        </w:rPr>
        <w:t>五、成绩评定</w:t>
      </w:r>
    </w:p>
    <w:p w14:paraId="63866BCF" w14:textId="77777777" w:rsidR="00BE564B" w:rsidRPr="000B5821" w:rsidRDefault="00BE564B" w:rsidP="00BE564B">
      <w:pPr>
        <w:adjustRightInd w:val="0"/>
        <w:snapToGrid w:val="0"/>
        <w:spacing w:beforeLines="50" w:before="156" w:afterLines="50" w:after="156" w:line="440" w:lineRule="exact"/>
        <w:ind w:firstLineChars="200" w:firstLine="560"/>
        <w:outlineLvl w:val="1"/>
        <w:rPr>
          <w:rFonts w:ascii="黑体" w:eastAsia="黑体" w:hAnsi="黑体"/>
          <w:sz w:val="28"/>
          <w:szCs w:val="28"/>
        </w:rPr>
      </w:pPr>
      <w:r w:rsidRPr="000B5821">
        <w:rPr>
          <w:rFonts w:ascii="黑体" w:eastAsia="黑体" w:hAnsi="黑体" w:hint="eastAsia"/>
          <w:sz w:val="28"/>
          <w:szCs w:val="28"/>
        </w:rPr>
        <w:t>（一）总成绩评定</w:t>
      </w:r>
    </w:p>
    <w:p w14:paraId="36E2C455" w14:textId="77777777" w:rsidR="00BE564B" w:rsidRPr="00EC103A" w:rsidRDefault="00BE564B" w:rsidP="00BE564B">
      <w:pPr>
        <w:adjustRightInd w:val="0"/>
        <w:snapToGrid w:val="0"/>
        <w:spacing w:line="440" w:lineRule="exact"/>
        <w:ind w:firstLineChars="200" w:firstLine="480"/>
        <w:rPr>
          <w:rFonts w:ascii="宋体" w:hAnsi="宋体"/>
          <w:color w:val="000000"/>
          <w:sz w:val="24"/>
        </w:rPr>
      </w:pPr>
      <w:r w:rsidRPr="00EC103A">
        <w:rPr>
          <w:rFonts w:ascii="宋体" w:hAnsi="宋体" w:hint="eastAsia"/>
          <w:color w:val="000000"/>
          <w:sz w:val="24"/>
        </w:rPr>
        <w:t>总成绩</w:t>
      </w:r>
      <w:r w:rsidRPr="00EC103A">
        <w:rPr>
          <w:rFonts w:ascii="宋体" w:hAnsi="宋体" w:hint="eastAsia"/>
          <w:color w:val="000000"/>
          <w:sz w:val="24"/>
        </w:rPr>
        <w:t>=</w:t>
      </w:r>
      <w:r w:rsidRPr="00EC103A">
        <w:rPr>
          <w:rFonts w:ascii="宋体" w:hAnsi="宋体" w:hint="eastAsia"/>
          <w:color w:val="000000"/>
          <w:sz w:val="24"/>
        </w:rPr>
        <w:t>平时成绩×</w:t>
      </w:r>
      <w:r w:rsidRPr="00EC103A">
        <w:rPr>
          <w:rFonts w:ascii="宋体" w:hAnsi="宋体" w:hint="eastAsia"/>
          <w:color w:val="000000"/>
          <w:sz w:val="24"/>
        </w:rPr>
        <w:t>30%+</w:t>
      </w:r>
      <w:r w:rsidRPr="00EC103A">
        <w:rPr>
          <w:rFonts w:ascii="宋体" w:hAnsi="宋体" w:hint="eastAsia"/>
          <w:color w:val="000000"/>
          <w:sz w:val="24"/>
        </w:rPr>
        <w:t>期末成绩×</w:t>
      </w:r>
      <w:r w:rsidRPr="00EC103A">
        <w:rPr>
          <w:rFonts w:ascii="宋体" w:hAnsi="宋体" w:hint="eastAsia"/>
          <w:color w:val="000000"/>
          <w:sz w:val="24"/>
        </w:rPr>
        <w:t>70%</w:t>
      </w:r>
    </w:p>
    <w:p w14:paraId="3492CC71" w14:textId="77777777" w:rsidR="00BE564B" w:rsidRPr="00EC103A" w:rsidRDefault="00BE564B" w:rsidP="00BE564B">
      <w:pPr>
        <w:adjustRightInd w:val="0"/>
        <w:snapToGrid w:val="0"/>
        <w:spacing w:beforeLines="50" w:before="156" w:afterLines="50" w:after="156" w:line="440" w:lineRule="exact"/>
        <w:ind w:firstLineChars="200" w:firstLine="560"/>
        <w:outlineLvl w:val="1"/>
        <w:rPr>
          <w:rFonts w:ascii="黑体" w:eastAsia="黑体" w:hAnsi="黑体"/>
          <w:sz w:val="28"/>
          <w:szCs w:val="28"/>
        </w:rPr>
      </w:pPr>
      <w:r w:rsidRPr="000B5821">
        <w:rPr>
          <w:rFonts w:ascii="黑体" w:eastAsia="黑体" w:hAnsi="黑体" w:hint="eastAsia"/>
          <w:sz w:val="28"/>
          <w:szCs w:val="28"/>
        </w:rPr>
        <w:t>（</w:t>
      </w:r>
      <w:r>
        <w:rPr>
          <w:rFonts w:ascii="黑体" w:eastAsia="黑体" w:hAnsi="黑体" w:hint="eastAsia"/>
          <w:sz w:val="28"/>
          <w:szCs w:val="28"/>
        </w:rPr>
        <w:t>二</w:t>
      </w:r>
      <w:r w:rsidRPr="000B5821">
        <w:rPr>
          <w:rFonts w:ascii="黑体" w:eastAsia="黑体" w:hAnsi="黑体" w:hint="eastAsia"/>
          <w:sz w:val="28"/>
          <w:szCs w:val="28"/>
        </w:rPr>
        <w:t>）</w:t>
      </w:r>
      <w:r>
        <w:rPr>
          <w:rFonts w:ascii="黑体" w:eastAsia="黑体" w:hAnsi="黑体" w:hint="eastAsia"/>
          <w:sz w:val="28"/>
          <w:szCs w:val="28"/>
        </w:rPr>
        <w:t>平时</w:t>
      </w:r>
      <w:r w:rsidRPr="000B5821">
        <w:rPr>
          <w:rFonts w:ascii="黑体" w:eastAsia="黑体" w:hAnsi="黑体" w:hint="eastAsia"/>
          <w:sz w:val="28"/>
          <w:szCs w:val="28"/>
        </w:rPr>
        <w:t>成绩评定</w:t>
      </w:r>
    </w:p>
    <w:p w14:paraId="7EB9E38A" w14:textId="77777777" w:rsidR="00BE564B" w:rsidRPr="007328B2" w:rsidRDefault="00BE564B" w:rsidP="00BE564B">
      <w:pPr>
        <w:adjustRightInd w:val="0"/>
        <w:snapToGrid w:val="0"/>
        <w:spacing w:line="440" w:lineRule="exact"/>
        <w:ind w:firstLineChars="200" w:firstLine="480"/>
        <w:rPr>
          <w:rFonts w:ascii="宋体" w:hAnsi="宋体"/>
          <w:color w:val="000000"/>
          <w:sz w:val="24"/>
        </w:rPr>
      </w:pPr>
      <w:r w:rsidRPr="007328B2">
        <w:rPr>
          <w:rFonts w:ascii="宋体" w:hAnsi="宋体" w:hint="eastAsia"/>
          <w:color w:val="000000"/>
          <w:sz w:val="24"/>
        </w:rPr>
        <w:t>平时成绩（</w:t>
      </w:r>
      <w:r w:rsidRPr="007328B2">
        <w:rPr>
          <w:rFonts w:ascii="宋体" w:hAnsi="宋体" w:hint="eastAsia"/>
          <w:color w:val="000000"/>
          <w:sz w:val="24"/>
        </w:rPr>
        <w:t>100%</w:t>
      </w:r>
      <w:r w:rsidRPr="007328B2">
        <w:rPr>
          <w:rFonts w:ascii="宋体" w:hAnsi="宋体" w:hint="eastAsia"/>
          <w:color w:val="000000"/>
          <w:sz w:val="24"/>
        </w:rPr>
        <w:t>）</w:t>
      </w:r>
      <w:r w:rsidRPr="007328B2">
        <w:rPr>
          <w:rFonts w:ascii="宋体" w:hAnsi="宋体" w:hint="eastAsia"/>
          <w:color w:val="000000"/>
          <w:sz w:val="24"/>
        </w:rPr>
        <w:t>=</w:t>
      </w:r>
      <w:r w:rsidRPr="007328B2">
        <w:rPr>
          <w:rFonts w:ascii="宋体" w:hAnsi="宋体" w:hint="eastAsia"/>
          <w:color w:val="000000"/>
          <w:sz w:val="24"/>
        </w:rPr>
        <w:t>课堂表现（</w:t>
      </w:r>
      <w:r>
        <w:rPr>
          <w:rFonts w:ascii="宋体" w:hAnsi="宋体"/>
          <w:color w:val="000000"/>
          <w:sz w:val="24"/>
        </w:rPr>
        <w:t>5</w:t>
      </w:r>
      <w:r w:rsidRPr="007328B2">
        <w:rPr>
          <w:rFonts w:ascii="宋体" w:hAnsi="宋体" w:hint="eastAsia"/>
          <w:color w:val="000000"/>
          <w:sz w:val="24"/>
        </w:rPr>
        <w:t>0%</w:t>
      </w:r>
      <w:r w:rsidRPr="007328B2">
        <w:rPr>
          <w:rFonts w:ascii="宋体" w:hAnsi="宋体" w:hint="eastAsia"/>
          <w:color w:val="000000"/>
          <w:sz w:val="24"/>
        </w:rPr>
        <w:t>）</w:t>
      </w:r>
      <w:r w:rsidRPr="007328B2">
        <w:rPr>
          <w:rFonts w:ascii="宋体" w:hAnsi="宋体" w:hint="eastAsia"/>
          <w:color w:val="000000"/>
          <w:sz w:val="24"/>
        </w:rPr>
        <w:t>+</w:t>
      </w:r>
      <w:r w:rsidRPr="007328B2">
        <w:rPr>
          <w:rFonts w:ascii="宋体" w:hAnsi="宋体" w:hint="eastAsia"/>
          <w:color w:val="000000"/>
          <w:sz w:val="24"/>
        </w:rPr>
        <w:t>平时作业（</w:t>
      </w:r>
      <w:r>
        <w:rPr>
          <w:rFonts w:ascii="宋体" w:hAnsi="宋体"/>
          <w:color w:val="000000"/>
          <w:sz w:val="24"/>
        </w:rPr>
        <w:t>5</w:t>
      </w:r>
      <w:r w:rsidRPr="007328B2">
        <w:rPr>
          <w:rFonts w:ascii="宋体" w:hAnsi="宋体" w:hint="eastAsia"/>
          <w:color w:val="000000"/>
          <w:sz w:val="24"/>
        </w:rPr>
        <w:t>0%</w:t>
      </w:r>
      <w:r w:rsidRPr="007328B2">
        <w:rPr>
          <w:rFonts w:ascii="宋体" w:hAnsi="宋体" w:hint="eastAsia"/>
          <w:color w:val="000000"/>
          <w:sz w:val="24"/>
        </w:rPr>
        <w:t>）</w:t>
      </w:r>
    </w:p>
    <w:p w14:paraId="3C5B12D4" w14:textId="77777777" w:rsidR="00BE564B" w:rsidRPr="007328B2" w:rsidRDefault="00BE564B" w:rsidP="00BE564B">
      <w:pPr>
        <w:adjustRightInd w:val="0"/>
        <w:snapToGrid w:val="0"/>
        <w:spacing w:line="440" w:lineRule="exact"/>
        <w:ind w:firstLineChars="200" w:firstLine="480"/>
        <w:rPr>
          <w:rFonts w:ascii="宋体" w:hAnsi="宋体"/>
          <w:color w:val="000000"/>
          <w:sz w:val="24"/>
        </w:rPr>
      </w:pPr>
      <w:r w:rsidRPr="007328B2">
        <w:rPr>
          <w:rFonts w:ascii="宋体" w:hAnsi="宋体" w:hint="eastAsia"/>
          <w:color w:val="000000"/>
          <w:sz w:val="24"/>
        </w:rPr>
        <w:t>建议考核方式</w:t>
      </w:r>
      <w:r w:rsidRPr="007328B2">
        <w:rPr>
          <w:rFonts w:ascii="宋体" w:hAnsi="宋体" w:hint="eastAsia"/>
          <w:color w:val="000000"/>
          <w:sz w:val="24"/>
        </w:rPr>
        <w:t>:</w:t>
      </w:r>
    </w:p>
    <w:p w14:paraId="0CEE25DC" w14:textId="77777777" w:rsidR="00BE564B" w:rsidRPr="007328B2" w:rsidRDefault="00BE564B" w:rsidP="00BE564B">
      <w:pPr>
        <w:adjustRightInd w:val="0"/>
        <w:snapToGrid w:val="0"/>
        <w:spacing w:line="440" w:lineRule="exact"/>
        <w:ind w:firstLineChars="200" w:firstLine="480"/>
        <w:rPr>
          <w:rFonts w:ascii="宋体" w:hAnsi="宋体"/>
          <w:color w:val="000000"/>
          <w:sz w:val="24"/>
        </w:rPr>
      </w:pPr>
      <w:r w:rsidRPr="007328B2">
        <w:rPr>
          <w:rFonts w:ascii="宋体" w:hAnsi="宋体" w:hint="eastAsia"/>
          <w:color w:val="000000"/>
          <w:sz w:val="24"/>
        </w:rPr>
        <w:t>（</w:t>
      </w:r>
      <w:r w:rsidRPr="007328B2">
        <w:rPr>
          <w:rFonts w:ascii="宋体" w:hAnsi="宋体" w:hint="eastAsia"/>
          <w:color w:val="000000"/>
          <w:sz w:val="24"/>
        </w:rPr>
        <w:t>1</w:t>
      </w:r>
      <w:r w:rsidRPr="007328B2">
        <w:rPr>
          <w:rFonts w:ascii="宋体" w:hAnsi="宋体" w:hint="eastAsia"/>
          <w:color w:val="000000"/>
          <w:sz w:val="24"/>
        </w:rPr>
        <w:t>）课堂表现：通过学生在课堂上的表现情况、发言与提问情况，来评价学生相关的能力。</w:t>
      </w:r>
    </w:p>
    <w:p w14:paraId="272F3068" w14:textId="77777777" w:rsidR="00BE564B" w:rsidRDefault="00BE564B" w:rsidP="00BE564B">
      <w:pPr>
        <w:adjustRightInd w:val="0"/>
        <w:snapToGrid w:val="0"/>
        <w:spacing w:line="440" w:lineRule="exact"/>
        <w:ind w:firstLineChars="200" w:firstLine="480"/>
        <w:rPr>
          <w:rFonts w:ascii="宋体" w:hAnsi="宋体"/>
          <w:color w:val="000000"/>
          <w:sz w:val="24"/>
        </w:rPr>
      </w:pPr>
      <w:r w:rsidRPr="007328B2">
        <w:rPr>
          <w:rFonts w:ascii="宋体" w:hAnsi="宋体" w:hint="eastAsia"/>
          <w:color w:val="000000"/>
          <w:sz w:val="24"/>
        </w:rPr>
        <w:t>（</w:t>
      </w:r>
      <w:r w:rsidRPr="007328B2">
        <w:rPr>
          <w:rFonts w:ascii="宋体" w:hAnsi="宋体" w:hint="eastAsia"/>
          <w:color w:val="000000"/>
          <w:sz w:val="24"/>
        </w:rPr>
        <w:t>2</w:t>
      </w:r>
      <w:r w:rsidRPr="007328B2">
        <w:rPr>
          <w:rFonts w:ascii="宋体" w:hAnsi="宋体" w:hint="eastAsia"/>
          <w:color w:val="000000"/>
          <w:sz w:val="24"/>
        </w:rPr>
        <w:t>）</w:t>
      </w:r>
      <w:r w:rsidRPr="00D80DF6">
        <w:rPr>
          <w:rFonts w:ascii="宋体" w:hAnsi="宋体" w:hint="eastAsia"/>
          <w:color w:val="000000"/>
          <w:sz w:val="24"/>
        </w:rPr>
        <w:t>平时作业</w:t>
      </w:r>
      <w:r w:rsidRPr="007328B2">
        <w:rPr>
          <w:rFonts w:ascii="宋体" w:hAnsi="宋体" w:hint="eastAsia"/>
          <w:color w:val="000000"/>
          <w:sz w:val="24"/>
        </w:rPr>
        <w:t>：</w:t>
      </w:r>
      <w:r>
        <w:rPr>
          <w:rFonts w:ascii="宋体" w:hAnsi="宋体" w:hint="eastAsia"/>
          <w:color w:val="000000"/>
          <w:sz w:val="24"/>
        </w:rPr>
        <w:t>采用学习平台等安排作业，每次</w:t>
      </w:r>
      <w:proofErr w:type="gramStart"/>
      <w:r>
        <w:rPr>
          <w:rFonts w:ascii="宋体" w:hAnsi="宋体" w:hint="eastAsia"/>
          <w:color w:val="000000"/>
          <w:sz w:val="24"/>
        </w:rPr>
        <w:t>作业按</w:t>
      </w:r>
      <w:proofErr w:type="gramEnd"/>
      <w:r>
        <w:rPr>
          <w:rFonts w:ascii="宋体" w:hAnsi="宋体" w:hint="eastAsia"/>
          <w:color w:val="000000"/>
          <w:sz w:val="24"/>
        </w:rPr>
        <w:t>1</w:t>
      </w:r>
      <w:r>
        <w:rPr>
          <w:rFonts w:ascii="宋体" w:hAnsi="宋体"/>
          <w:color w:val="000000"/>
          <w:sz w:val="24"/>
        </w:rPr>
        <w:t>00</w:t>
      </w:r>
      <w:r>
        <w:rPr>
          <w:rFonts w:ascii="宋体" w:hAnsi="宋体" w:hint="eastAsia"/>
          <w:color w:val="000000"/>
          <w:sz w:val="24"/>
        </w:rPr>
        <w:t>分记，作业次数不少于</w:t>
      </w:r>
      <w:r>
        <w:rPr>
          <w:rFonts w:ascii="宋体" w:hAnsi="宋体" w:hint="eastAsia"/>
          <w:color w:val="000000"/>
          <w:sz w:val="24"/>
        </w:rPr>
        <w:t>5</w:t>
      </w:r>
      <w:r>
        <w:rPr>
          <w:rFonts w:ascii="宋体" w:hAnsi="宋体" w:hint="eastAsia"/>
          <w:color w:val="000000"/>
          <w:sz w:val="24"/>
        </w:rPr>
        <w:t>次，取平均值</w:t>
      </w:r>
      <w:r w:rsidRPr="00D80DF6">
        <w:rPr>
          <w:rFonts w:ascii="宋体" w:hAnsi="宋体" w:hint="eastAsia"/>
          <w:color w:val="000000"/>
          <w:sz w:val="24"/>
        </w:rPr>
        <w:t>。</w:t>
      </w:r>
    </w:p>
    <w:p w14:paraId="5860C432" w14:textId="77777777" w:rsidR="00BE564B" w:rsidRPr="007328B2" w:rsidRDefault="00BE564B" w:rsidP="00BE564B">
      <w:pPr>
        <w:adjustRightInd w:val="0"/>
        <w:snapToGrid w:val="0"/>
        <w:spacing w:line="440" w:lineRule="exact"/>
        <w:ind w:firstLineChars="200" w:firstLine="480"/>
        <w:rPr>
          <w:rFonts w:ascii="宋体" w:hAnsi="宋体"/>
          <w:color w:val="000000"/>
          <w:sz w:val="24"/>
        </w:rPr>
      </w:pPr>
      <w:r>
        <w:rPr>
          <w:rFonts w:ascii="宋体" w:hAnsi="宋体" w:hint="eastAsia"/>
          <w:color w:val="000000"/>
          <w:sz w:val="24"/>
        </w:rPr>
        <w:t>可仅以</w:t>
      </w:r>
      <w:r w:rsidRPr="00D80DF6">
        <w:rPr>
          <w:rFonts w:ascii="宋体" w:hAnsi="宋体" w:hint="eastAsia"/>
          <w:color w:val="000000"/>
          <w:sz w:val="24"/>
        </w:rPr>
        <w:t>平时作业</w:t>
      </w:r>
      <w:r>
        <w:rPr>
          <w:rFonts w:ascii="宋体" w:hAnsi="宋体" w:hint="eastAsia"/>
          <w:color w:val="000000"/>
          <w:sz w:val="24"/>
        </w:rPr>
        <w:t>作为平时成绩</w:t>
      </w:r>
    </w:p>
    <w:p w14:paraId="1604938E" w14:textId="77777777" w:rsidR="00924971" w:rsidRPr="00924971" w:rsidRDefault="00924971" w:rsidP="00924971">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24971">
        <w:rPr>
          <w:rFonts w:ascii="黑体" w:eastAsia="黑体" w:hAnsi="黑体" w:cs="Times New Roman" w:hint="eastAsia"/>
          <w:sz w:val="28"/>
          <w:szCs w:val="28"/>
        </w:rPr>
        <w:t>（三）期末成绩评定</w:t>
      </w:r>
    </w:p>
    <w:p w14:paraId="489D601D"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期末考核主要考察学生对基本概念、法规的理解与运用等。方式为开卷考试。要求学生掌握基本概念、操作程序，运用具体方法解决相关问题。试卷类：名词解释：对满分，错零分。选择题：对满分，错零分。判断题：对满分，错零分。简答题：按得分点给分。论述题：按得分点给分，满分记100分。</w:t>
      </w:r>
    </w:p>
    <w:p w14:paraId="587D14D8" w14:textId="77777777" w:rsidR="00924971" w:rsidRPr="00924971" w:rsidRDefault="00924971" w:rsidP="00B07C4C">
      <w:pPr>
        <w:pStyle w:val="afc"/>
      </w:pPr>
      <w:r w:rsidRPr="00924971">
        <w:rPr>
          <w:rFonts w:hint="eastAsia"/>
        </w:rPr>
        <w:t>六、使用教材、相关推荐书目及课程资源</w:t>
      </w:r>
    </w:p>
    <w:p w14:paraId="51959A47" w14:textId="77777777" w:rsidR="00924971" w:rsidRPr="00924971" w:rsidRDefault="00924971" w:rsidP="00924971">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24971">
        <w:rPr>
          <w:rFonts w:ascii="黑体" w:eastAsia="黑体" w:hAnsi="黑体" w:cs="Times New Roman" w:hint="eastAsia"/>
          <w:sz w:val="28"/>
          <w:szCs w:val="28"/>
        </w:rPr>
        <w:t>（一）使用教材</w:t>
      </w:r>
    </w:p>
    <w:p w14:paraId="734C80A3"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杨</w:t>
      </w:r>
      <w:proofErr w:type="gramStart"/>
      <w:r w:rsidRPr="00924971">
        <w:rPr>
          <w:rFonts w:ascii="宋体" w:eastAsia="宋体" w:hAnsi="宋体" w:cs="Times New Roman" w:hint="eastAsia"/>
          <w:color w:val="000000"/>
          <w:sz w:val="24"/>
          <w:szCs w:val="24"/>
        </w:rPr>
        <w:t>世</w:t>
      </w:r>
      <w:proofErr w:type="gramEnd"/>
      <w:r w:rsidRPr="00924971">
        <w:rPr>
          <w:rFonts w:ascii="宋体" w:eastAsia="宋体" w:hAnsi="宋体" w:cs="Times New Roman" w:hint="eastAsia"/>
          <w:color w:val="000000"/>
          <w:sz w:val="24"/>
          <w:szCs w:val="24"/>
        </w:rPr>
        <w:t>民主编：《药事管理学》（第七版），人民卫生出版社出版，20</w:t>
      </w:r>
      <w:r w:rsidRPr="00924971">
        <w:rPr>
          <w:rFonts w:ascii="宋体" w:eastAsia="宋体" w:hAnsi="宋体" w:cs="Times New Roman"/>
          <w:color w:val="000000"/>
          <w:sz w:val="24"/>
          <w:szCs w:val="24"/>
        </w:rPr>
        <w:t>22</w:t>
      </w:r>
      <w:r w:rsidRPr="00924971">
        <w:rPr>
          <w:rFonts w:ascii="宋体" w:eastAsia="宋体" w:hAnsi="宋体" w:cs="Times New Roman" w:hint="eastAsia"/>
          <w:color w:val="000000"/>
          <w:sz w:val="24"/>
          <w:szCs w:val="24"/>
        </w:rPr>
        <w:t>年版</w:t>
      </w:r>
    </w:p>
    <w:p w14:paraId="58EFEE2A" w14:textId="77777777" w:rsidR="00924971" w:rsidRPr="00924971" w:rsidRDefault="00924971" w:rsidP="00924971">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24971">
        <w:rPr>
          <w:rFonts w:ascii="黑体" w:eastAsia="黑体" w:hAnsi="黑体" w:cs="Times New Roman" w:hint="eastAsia"/>
          <w:sz w:val="28"/>
          <w:szCs w:val="28"/>
        </w:rPr>
        <w:t>（二）相关推荐书目</w:t>
      </w:r>
    </w:p>
    <w:p w14:paraId="0790B254" w14:textId="77777777" w:rsidR="00924971" w:rsidRPr="00924971" w:rsidRDefault="00924971" w:rsidP="00924971">
      <w:pPr>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1</w:t>
      </w:r>
      <w:r w:rsidRPr="00924971">
        <w:rPr>
          <w:rFonts w:ascii="宋体" w:eastAsia="宋体" w:hAnsi="宋体" w:cs="Times New Roman"/>
          <w:color w:val="000000"/>
          <w:sz w:val="24"/>
          <w:szCs w:val="24"/>
        </w:rPr>
        <w:t xml:space="preserve">. </w:t>
      </w:r>
      <w:proofErr w:type="gramStart"/>
      <w:r w:rsidRPr="00924971">
        <w:rPr>
          <w:rFonts w:ascii="宋体" w:eastAsia="宋体" w:hAnsi="宋体" w:cs="Times New Roman" w:hint="eastAsia"/>
          <w:color w:val="000000"/>
          <w:sz w:val="24"/>
          <w:szCs w:val="24"/>
        </w:rPr>
        <w:t>吴蓬主编</w:t>
      </w:r>
      <w:proofErr w:type="gramEnd"/>
      <w:r w:rsidRPr="00924971">
        <w:rPr>
          <w:rFonts w:ascii="宋体" w:eastAsia="宋体" w:hAnsi="宋体" w:cs="Times New Roman" w:hint="eastAsia"/>
          <w:color w:val="000000"/>
          <w:sz w:val="24"/>
          <w:szCs w:val="24"/>
        </w:rPr>
        <w:t>：《药事管理学》（第三版），人民卫生出版社，2013年版；</w:t>
      </w:r>
    </w:p>
    <w:p w14:paraId="5515F7A9" w14:textId="77777777" w:rsidR="00924971" w:rsidRPr="00924971" w:rsidRDefault="00924971" w:rsidP="00924971">
      <w:pPr>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2</w:t>
      </w:r>
      <w:r w:rsidRPr="00924971">
        <w:rPr>
          <w:rFonts w:ascii="宋体" w:eastAsia="宋体" w:hAnsi="宋体" w:cs="Times New Roman"/>
          <w:color w:val="000000"/>
          <w:sz w:val="24"/>
          <w:szCs w:val="24"/>
        </w:rPr>
        <w:t xml:space="preserve">. </w:t>
      </w:r>
      <w:r w:rsidRPr="00924971">
        <w:rPr>
          <w:rFonts w:ascii="宋体" w:eastAsia="宋体" w:hAnsi="宋体" w:cs="Times New Roman" w:hint="eastAsia"/>
          <w:color w:val="000000"/>
          <w:sz w:val="24"/>
          <w:szCs w:val="24"/>
        </w:rPr>
        <w:t>杨</w:t>
      </w:r>
      <w:proofErr w:type="gramStart"/>
      <w:r w:rsidRPr="00924971">
        <w:rPr>
          <w:rFonts w:ascii="宋体" w:eastAsia="宋体" w:hAnsi="宋体" w:cs="Times New Roman" w:hint="eastAsia"/>
          <w:color w:val="000000"/>
          <w:sz w:val="24"/>
          <w:szCs w:val="24"/>
        </w:rPr>
        <w:t>世</w:t>
      </w:r>
      <w:proofErr w:type="gramEnd"/>
      <w:r w:rsidRPr="00924971">
        <w:rPr>
          <w:rFonts w:ascii="宋体" w:eastAsia="宋体" w:hAnsi="宋体" w:cs="Times New Roman" w:hint="eastAsia"/>
          <w:color w:val="000000"/>
          <w:sz w:val="24"/>
          <w:szCs w:val="24"/>
        </w:rPr>
        <w:t>民主编：《药事管理学》（第一版），中国医药科技出版社，2015年版；</w:t>
      </w:r>
    </w:p>
    <w:p w14:paraId="46CB029C" w14:textId="77777777" w:rsidR="00924971" w:rsidRPr="00924971" w:rsidRDefault="00924971" w:rsidP="00924971">
      <w:pPr>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3</w:t>
      </w:r>
      <w:r w:rsidRPr="00924971">
        <w:rPr>
          <w:rFonts w:ascii="宋体" w:eastAsia="宋体" w:hAnsi="宋体" w:cs="Times New Roman"/>
          <w:color w:val="000000"/>
          <w:sz w:val="24"/>
          <w:szCs w:val="24"/>
        </w:rPr>
        <w:t xml:space="preserve">. </w:t>
      </w:r>
      <w:r w:rsidRPr="00924971">
        <w:rPr>
          <w:rFonts w:ascii="宋体" w:eastAsia="宋体" w:hAnsi="宋体" w:cs="Times New Roman" w:hint="eastAsia"/>
          <w:color w:val="000000"/>
          <w:sz w:val="24"/>
          <w:szCs w:val="24"/>
        </w:rPr>
        <w:t>国家食品药品监督管理局主编：《药事管理法规汇编》，中国医药科技出版社，</w:t>
      </w:r>
      <w:r w:rsidRPr="00924971">
        <w:rPr>
          <w:rFonts w:ascii="宋体" w:eastAsia="宋体" w:hAnsi="宋体" w:cs="Times New Roman" w:hint="eastAsia"/>
          <w:color w:val="000000"/>
          <w:sz w:val="24"/>
          <w:szCs w:val="24"/>
        </w:rPr>
        <w:lastRenderedPageBreak/>
        <w:t>2016年版；</w:t>
      </w:r>
    </w:p>
    <w:p w14:paraId="752FE9F1" w14:textId="77777777" w:rsidR="00924971" w:rsidRPr="00924971" w:rsidRDefault="00924971" w:rsidP="00924971">
      <w:pPr>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4．谢明主编：《药事管理与法规》，人民卫生出版社，</w:t>
      </w:r>
      <w:r w:rsidRPr="00924971">
        <w:rPr>
          <w:rFonts w:ascii="宋体" w:eastAsia="宋体" w:hAnsi="宋体" w:cs="Times New Roman"/>
          <w:color w:val="000000"/>
          <w:sz w:val="24"/>
          <w:szCs w:val="24"/>
        </w:rPr>
        <w:t>2021</w:t>
      </w:r>
      <w:r w:rsidRPr="00924971">
        <w:rPr>
          <w:rFonts w:ascii="宋体" w:eastAsia="宋体" w:hAnsi="宋体" w:cs="Times New Roman" w:hint="eastAsia"/>
          <w:color w:val="000000"/>
          <w:sz w:val="24"/>
          <w:szCs w:val="24"/>
        </w:rPr>
        <w:t>年版；</w:t>
      </w:r>
    </w:p>
    <w:p w14:paraId="4A2EC97F" w14:textId="77777777" w:rsidR="00924971" w:rsidRPr="00924971" w:rsidRDefault="00924971" w:rsidP="00924971">
      <w:pPr>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5．杨</w:t>
      </w:r>
      <w:proofErr w:type="gramStart"/>
      <w:r w:rsidRPr="00924971">
        <w:rPr>
          <w:rFonts w:ascii="宋体" w:eastAsia="宋体" w:hAnsi="宋体" w:cs="Times New Roman" w:hint="eastAsia"/>
          <w:color w:val="000000"/>
          <w:sz w:val="24"/>
          <w:szCs w:val="24"/>
        </w:rPr>
        <w:t>世</w:t>
      </w:r>
      <w:proofErr w:type="gramEnd"/>
      <w:r w:rsidRPr="00924971">
        <w:rPr>
          <w:rFonts w:ascii="宋体" w:eastAsia="宋体" w:hAnsi="宋体" w:cs="Times New Roman" w:hint="eastAsia"/>
          <w:color w:val="000000"/>
          <w:sz w:val="24"/>
          <w:szCs w:val="24"/>
        </w:rPr>
        <w:t>民主编：《药事管理学》（第6版），中国医药科技出版社，201</w:t>
      </w:r>
      <w:r w:rsidRPr="00924971">
        <w:rPr>
          <w:rFonts w:ascii="宋体" w:eastAsia="宋体" w:hAnsi="宋体" w:cs="Times New Roman"/>
          <w:color w:val="000000"/>
          <w:sz w:val="24"/>
          <w:szCs w:val="24"/>
        </w:rPr>
        <w:t>9</w:t>
      </w:r>
      <w:r w:rsidRPr="00924971">
        <w:rPr>
          <w:rFonts w:ascii="宋体" w:eastAsia="宋体" w:hAnsi="宋体" w:cs="Times New Roman" w:hint="eastAsia"/>
          <w:color w:val="000000"/>
          <w:sz w:val="24"/>
          <w:szCs w:val="24"/>
        </w:rPr>
        <w:t>年版。</w:t>
      </w:r>
    </w:p>
    <w:p w14:paraId="7FF4EC38" w14:textId="77777777" w:rsidR="00924971" w:rsidRPr="00924971" w:rsidRDefault="00924971" w:rsidP="00924971">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924971">
        <w:rPr>
          <w:rFonts w:ascii="黑体" w:eastAsia="黑体" w:hAnsi="黑体" w:cs="Times New Roman" w:hint="eastAsia"/>
          <w:sz w:val="28"/>
          <w:szCs w:val="28"/>
        </w:rPr>
        <w:t>（三）课程资源</w:t>
      </w:r>
    </w:p>
    <w:p w14:paraId="72170D70"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hint="eastAsia"/>
          <w:color w:val="000000"/>
          <w:sz w:val="24"/>
          <w:szCs w:val="24"/>
        </w:rPr>
        <w:t>1. 该学科属应用性学科，学生应学会检索相关网站，重点是掌握药事管理机构相关网站的检索及查询能力。</w:t>
      </w:r>
    </w:p>
    <w:p w14:paraId="796B6D82"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color w:val="000000"/>
          <w:sz w:val="24"/>
          <w:szCs w:val="24"/>
        </w:rPr>
        <w:t>http://www.samr.gov.cn/</w:t>
      </w:r>
    </w:p>
    <w:p w14:paraId="2954FCC1" w14:textId="77777777" w:rsidR="00924971" w:rsidRPr="00924971" w:rsidRDefault="00924971" w:rsidP="00924971">
      <w:pPr>
        <w:adjustRightInd w:val="0"/>
        <w:snapToGrid w:val="0"/>
        <w:spacing w:line="440" w:lineRule="exact"/>
        <w:ind w:firstLineChars="200" w:firstLine="480"/>
        <w:rPr>
          <w:rFonts w:ascii="宋体" w:eastAsia="宋体" w:hAnsi="宋体" w:cs="Times New Roman"/>
          <w:color w:val="000000"/>
          <w:sz w:val="24"/>
          <w:szCs w:val="24"/>
        </w:rPr>
      </w:pPr>
      <w:r w:rsidRPr="00924971">
        <w:rPr>
          <w:rFonts w:ascii="宋体" w:eastAsia="宋体" w:hAnsi="宋体" w:cs="Times New Roman"/>
          <w:color w:val="000000"/>
          <w:sz w:val="24"/>
          <w:szCs w:val="24"/>
        </w:rPr>
        <w:t>https://www.fda.gov/</w:t>
      </w:r>
    </w:p>
    <w:p w14:paraId="3C713A93" w14:textId="77777777" w:rsidR="00924971" w:rsidRPr="00924971" w:rsidRDefault="00924971" w:rsidP="00B07C4C">
      <w:pPr>
        <w:pStyle w:val="afc"/>
      </w:pPr>
      <w:r w:rsidRPr="00924971">
        <w:rPr>
          <w:rFonts w:hint="eastAsia"/>
        </w:rPr>
        <w:t>七、课程大纲制定依据</w:t>
      </w:r>
    </w:p>
    <w:p w14:paraId="5EE0F7A9" w14:textId="77777777" w:rsidR="00924971" w:rsidRPr="00924971" w:rsidRDefault="00924971" w:rsidP="00924971">
      <w:pPr>
        <w:spacing w:line="440" w:lineRule="exact"/>
        <w:ind w:firstLineChars="200" w:firstLine="480"/>
        <w:rPr>
          <w:rFonts w:ascii="宋体" w:eastAsia="宋体" w:hAnsi="宋体" w:cs="Times New Roman"/>
          <w:sz w:val="24"/>
          <w:szCs w:val="24"/>
        </w:rPr>
      </w:pPr>
      <w:r w:rsidRPr="00924971">
        <w:rPr>
          <w:rFonts w:ascii="宋体" w:eastAsia="宋体" w:hAnsi="宋体" w:cs="Times New Roman" w:hint="eastAsia"/>
          <w:color w:val="000000"/>
          <w:sz w:val="24"/>
          <w:szCs w:val="24"/>
        </w:rPr>
        <w:t>本课程大纲依据202</w:t>
      </w:r>
      <w:r w:rsidRPr="00924971">
        <w:rPr>
          <w:rFonts w:ascii="宋体" w:eastAsia="宋体" w:hAnsi="宋体" w:cs="Times New Roman"/>
          <w:color w:val="000000"/>
          <w:sz w:val="24"/>
          <w:szCs w:val="24"/>
        </w:rPr>
        <w:t>3</w:t>
      </w:r>
      <w:r w:rsidRPr="00924971">
        <w:rPr>
          <w:rFonts w:ascii="宋体" w:eastAsia="宋体" w:hAnsi="宋体" w:cs="Times New Roman" w:hint="eastAsia"/>
          <w:color w:val="000000"/>
          <w:sz w:val="24"/>
          <w:szCs w:val="24"/>
        </w:rPr>
        <w:t>年药物分析专业人才培养方案制定</w:t>
      </w:r>
      <w:r w:rsidRPr="00924971">
        <w:rPr>
          <w:rFonts w:ascii="宋体" w:eastAsia="宋体" w:hAnsi="宋体" w:cs="Times New Roman" w:hint="eastAsia"/>
          <w:sz w:val="24"/>
          <w:szCs w:val="24"/>
        </w:rPr>
        <w:t>。</w:t>
      </w:r>
    </w:p>
    <w:p w14:paraId="7789FB90" w14:textId="77777777" w:rsidR="00924971" w:rsidRPr="00924971" w:rsidRDefault="00924971" w:rsidP="00924971">
      <w:pPr>
        <w:spacing w:line="440" w:lineRule="exact"/>
        <w:ind w:firstLineChars="200" w:firstLine="480"/>
        <w:rPr>
          <w:rFonts w:ascii="宋体" w:eastAsia="宋体" w:hAnsi="宋体" w:cs="Times New Roman"/>
          <w:sz w:val="24"/>
          <w:szCs w:val="24"/>
        </w:rPr>
      </w:pPr>
    </w:p>
    <w:p w14:paraId="0384B61B" w14:textId="77777777" w:rsidR="009F5318" w:rsidRPr="00924971" w:rsidRDefault="009F5318" w:rsidP="00924971"/>
    <w:p w14:paraId="485FA7D0" w14:textId="77777777" w:rsidR="00895319" w:rsidRDefault="00895319">
      <w:pPr>
        <w:widowControl/>
        <w:jc w:val="left"/>
        <w:rPr>
          <w:rFonts w:ascii="黑体" w:eastAsia="黑体" w:hAnsi="黑体" w:cs="Times New Roman"/>
          <w:sz w:val="28"/>
          <w:szCs w:val="28"/>
        </w:rPr>
      </w:pPr>
      <w:bookmarkStart w:id="255" w:name="_Toc97886426"/>
      <w:bookmarkStart w:id="256" w:name="_Toc149662376"/>
      <w:r>
        <w:rPr>
          <w:rFonts w:ascii="黑体" w:eastAsia="黑体" w:hAnsi="黑体" w:cs="Times New Roman"/>
          <w:sz w:val="28"/>
          <w:szCs w:val="28"/>
        </w:rPr>
        <w:br w:type="page"/>
      </w:r>
    </w:p>
    <w:p w14:paraId="20A4D737" w14:textId="070AE77F" w:rsidR="00C843E6" w:rsidRPr="00C843E6" w:rsidRDefault="00C843E6" w:rsidP="00C843E6">
      <w:pPr>
        <w:spacing w:before="240" w:after="60" w:line="360" w:lineRule="auto"/>
        <w:jc w:val="center"/>
        <w:outlineLvl w:val="0"/>
        <w:rPr>
          <w:rFonts w:ascii="Cambria" w:eastAsia="黑体" w:hAnsi="Cambria" w:cs="Times New Roman"/>
          <w:b/>
          <w:bCs/>
          <w:sz w:val="32"/>
          <w:szCs w:val="32"/>
        </w:rPr>
      </w:pPr>
      <w:r w:rsidRPr="00C843E6">
        <w:rPr>
          <w:rFonts w:ascii="Cambria" w:eastAsia="黑体" w:hAnsi="Cambria" w:cs="Times New Roman" w:hint="eastAsia"/>
          <w:b/>
          <w:bCs/>
          <w:sz w:val="32"/>
          <w:szCs w:val="32"/>
        </w:rPr>
        <w:lastRenderedPageBreak/>
        <w:t>《药学</w:t>
      </w:r>
      <w:r w:rsidRPr="00C843E6">
        <w:rPr>
          <w:rFonts w:ascii="Cambria" w:eastAsia="黑体" w:hAnsi="Cambria" w:cs="Times New Roman"/>
          <w:b/>
          <w:bCs/>
          <w:sz w:val="32"/>
          <w:szCs w:val="32"/>
        </w:rPr>
        <w:t>专业英语</w:t>
      </w:r>
      <w:r w:rsidRPr="00C843E6">
        <w:rPr>
          <w:rFonts w:ascii="Cambria" w:eastAsia="黑体" w:hAnsi="Cambria" w:cs="Times New Roman" w:hint="eastAsia"/>
          <w:b/>
          <w:bCs/>
          <w:sz w:val="32"/>
          <w:szCs w:val="32"/>
        </w:rPr>
        <w:t>》课程大纲</w:t>
      </w:r>
      <w:bookmarkEnd w:id="255"/>
      <w:bookmarkEnd w:id="256"/>
    </w:p>
    <w:p w14:paraId="6EE10FD3" w14:textId="77777777" w:rsidR="00C843E6" w:rsidRPr="00C843E6" w:rsidRDefault="00C843E6" w:rsidP="00C843E6">
      <w:pPr>
        <w:spacing w:beforeLines="50" w:before="156" w:afterLines="50" w:after="156" w:line="440" w:lineRule="exact"/>
        <w:ind w:firstLineChars="200" w:firstLine="560"/>
        <w:rPr>
          <w:rFonts w:ascii="黑体" w:eastAsia="黑体" w:hAnsi="黑体" w:cs="Times New Roman"/>
          <w:sz w:val="28"/>
          <w:szCs w:val="28"/>
        </w:rPr>
      </w:pPr>
      <w:r w:rsidRPr="00C843E6">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7"/>
        <w:gridCol w:w="2751"/>
        <w:gridCol w:w="1523"/>
        <w:gridCol w:w="2876"/>
      </w:tblGrid>
      <w:tr w:rsidR="00C843E6" w:rsidRPr="00C843E6" w14:paraId="32A687D1" w14:textId="77777777" w:rsidTr="00106206">
        <w:trPr>
          <w:trHeight w:val="886"/>
          <w:jc w:val="center"/>
        </w:trPr>
        <w:tc>
          <w:tcPr>
            <w:tcW w:w="1668" w:type="dxa"/>
            <w:shd w:val="clear" w:color="auto" w:fill="auto"/>
            <w:vAlign w:val="center"/>
          </w:tcPr>
          <w:p w14:paraId="4B29105B"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课程名称</w:t>
            </w:r>
          </w:p>
        </w:tc>
        <w:tc>
          <w:tcPr>
            <w:tcW w:w="2833" w:type="dxa"/>
            <w:shd w:val="clear" w:color="auto" w:fill="auto"/>
            <w:vAlign w:val="center"/>
          </w:tcPr>
          <w:p w14:paraId="016552E5" w14:textId="77777777" w:rsidR="00C843E6" w:rsidRPr="00E328A0" w:rsidRDefault="00C843E6" w:rsidP="00C843E6">
            <w:pPr>
              <w:spacing w:line="440" w:lineRule="exact"/>
              <w:jc w:val="center"/>
              <w:rPr>
                <w:rFonts w:ascii="宋体" w:eastAsia="宋体" w:hAnsi="宋体" w:cs="Times New Roman"/>
                <w:sz w:val="24"/>
              </w:rPr>
            </w:pPr>
            <w:r w:rsidRPr="00E328A0">
              <w:rPr>
                <w:rFonts w:ascii="宋体" w:eastAsia="宋体" w:hAnsi="宋体" w:cs="Times New Roman"/>
                <w:sz w:val="24"/>
              </w:rPr>
              <w:t>专业英语</w:t>
            </w:r>
          </w:p>
        </w:tc>
        <w:tc>
          <w:tcPr>
            <w:tcW w:w="1561" w:type="dxa"/>
            <w:shd w:val="clear" w:color="auto" w:fill="auto"/>
            <w:vAlign w:val="center"/>
          </w:tcPr>
          <w:p w14:paraId="2729DAE2"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课程代码</w:t>
            </w:r>
          </w:p>
        </w:tc>
        <w:tc>
          <w:tcPr>
            <w:tcW w:w="2941" w:type="dxa"/>
            <w:shd w:val="clear" w:color="auto" w:fill="auto"/>
            <w:vAlign w:val="center"/>
          </w:tcPr>
          <w:p w14:paraId="0BBED2B8"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0714</w:t>
            </w:r>
            <w:r w:rsidRPr="00C843E6">
              <w:rPr>
                <w:rFonts w:ascii="宋体" w:eastAsia="宋体" w:hAnsi="宋体" w:cs="Times New Roman"/>
                <w:sz w:val="24"/>
              </w:rPr>
              <w:t>C08</w:t>
            </w:r>
          </w:p>
        </w:tc>
      </w:tr>
      <w:tr w:rsidR="00C843E6" w:rsidRPr="00C843E6" w14:paraId="729A66C5" w14:textId="77777777" w:rsidTr="00106206">
        <w:trPr>
          <w:trHeight w:val="829"/>
          <w:jc w:val="center"/>
        </w:trPr>
        <w:tc>
          <w:tcPr>
            <w:tcW w:w="1668" w:type="dxa"/>
            <w:shd w:val="clear" w:color="auto" w:fill="auto"/>
            <w:vAlign w:val="center"/>
          </w:tcPr>
          <w:p w14:paraId="39B52A24"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课程类别</w:t>
            </w:r>
          </w:p>
        </w:tc>
        <w:tc>
          <w:tcPr>
            <w:tcW w:w="2833" w:type="dxa"/>
            <w:shd w:val="clear" w:color="auto" w:fill="auto"/>
            <w:vAlign w:val="center"/>
          </w:tcPr>
          <w:p w14:paraId="761E74AA"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专业选修课</w:t>
            </w:r>
          </w:p>
        </w:tc>
        <w:tc>
          <w:tcPr>
            <w:tcW w:w="1561" w:type="dxa"/>
            <w:shd w:val="clear" w:color="auto" w:fill="auto"/>
            <w:vAlign w:val="center"/>
          </w:tcPr>
          <w:p w14:paraId="096E8E27"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学时</w:t>
            </w:r>
          </w:p>
          <w:p w14:paraId="71503353"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/学分</w:t>
            </w:r>
          </w:p>
        </w:tc>
        <w:tc>
          <w:tcPr>
            <w:tcW w:w="2941" w:type="dxa"/>
            <w:shd w:val="clear" w:color="auto" w:fill="auto"/>
            <w:vAlign w:val="center"/>
          </w:tcPr>
          <w:p w14:paraId="2CCDEA18"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16/1</w:t>
            </w:r>
          </w:p>
        </w:tc>
      </w:tr>
      <w:tr w:rsidR="00C843E6" w:rsidRPr="00C843E6" w14:paraId="693D6B02" w14:textId="77777777" w:rsidTr="00106206">
        <w:trPr>
          <w:trHeight w:val="811"/>
          <w:jc w:val="center"/>
        </w:trPr>
        <w:tc>
          <w:tcPr>
            <w:tcW w:w="1668" w:type="dxa"/>
            <w:shd w:val="clear" w:color="auto" w:fill="auto"/>
            <w:vAlign w:val="center"/>
          </w:tcPr>
          <w:p w14:paraId="28657B6B"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开课单位</w:t>
            </w:r>
          </w:p>
        </w:tc>
        <w:tc>
          <w:tcPr>
            <w:tcW w:w="2833" w:type="dxa"/>
            <w:shd w:val="clear" w:color="auto" w:fill="auto"/>
            <w:vAlign w:val="center"/>
          </w:tcPr>
          <w:p w14:paraId="583C886B"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化工学院</w:t>
            </w:r>
          </w:p>
        </w:tc>
        <w:tc>
          <w:tcPr>
            <w:tcW w:w="1561" w:type="dxa"/>
            <w:shd w:val="clear" w:color="auto" w:fill="auto"/>
            <w:vAlign w:val="center"/>
          </w:tcPr>
          <w:p w14:paraId="254A54D4"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适用专业</w:t>
            </w:r>
          </w:p>
        </w:tc>
        <w:tc>
          <w:tcPr>
            <w:tcW w:w="2941" w:type="dxa"/>
            <w:shd w:val="clear" w:color="auto" w:fill="auto"/>
            <w:vAlign w:val="center"/>
          </w:tcPr>
          <w:p w14:paraId="2FA50855"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药物分析专业</w:t>
            </w:r>
          </w:p>
        </w:tc>
      </w:tr>
      <w:tr w:rsidR="00C843E6" w:rsidRPr="00C843E6" w14:paraId="1DA21005" w14:textId="77777777" w:rsidTr="00106206">
        <w:trPr>
          <w:trHeight w:val="811"/>
          <w:jc w:val="center"/>
        </w:trPr>
        <w:tc>
          <w:tcPr>
            <w:tcW w:w="1668" w:type="dxa"/>
            <w:shd w:val="clear" w:color="auto" w:fill="auto"/>
            <w:vAlign w:val="center"/>
          </w:tcPr>
          <w:p w14:paraId="743F2C87"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课程负责人</w:t>
            </w:r>
          </w:p>
        </w:tc>
        <w:tc>
          <w:tcPr>
            <w:tcW w:w="7335" w:type="dxa"/>
            <w:gridSpan w:val="3"/>
            <w:shd w:val="clear" w:color="auto" w:fill="auto"/>
            <w:vAlign w:val="center"/>
          </w:tcPr>
          <w:p w14:paraId="369C1A19"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李佳</w:t>
            </w:r>
          </w:p>
        </w:tc>
      </w:tr>
      <w:tr w:rsidR="00C843E6" w:rsidRPr="00C843E6" w14:paraId="4E3D9104" w14:textId="77777777" w:rsidTr="00106206">
        <w:trPr>
          <w:trHeight w:val="836"/>
          <w:jc w:val="center"/>
        </w:trPr>
        <w:tc>
          <w:tcPr>
            <w:tcW w:w="1668" w:type="dxa"/>
            <w:shd w:val="clear" w:color="auto" w:fill="auto"/>
            <w:vAlign w:val="center"/>
          </w:tcPr>
          <w:p w14:paraId="6D4D489C"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大纲撰写人</w:t>
            </w:r>
          </w:p>
        </w:tc>
        <w:tc>
          <w:tcPr>
            <w:tcW w:w="2833" w:type="dxa"/>
            <w:shd w:val="clear" w:color="auto" w:fill="auto"/>
            <w:vAlign w:val="center"/>
          </w:tcPr>
          <w:p w14:paraId="48E77CBC"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李佳</w:t>
            </w:r>
          </w:p>
        </w:tc>
        <w:tc>
          <w:tcPr>
            <w:tcW w:w="1561" w:type="dxa"/>
            <w:shd w:val="clear" w:color="auto" w:fill="auto"/>
            <w:vAlign w:val="center"/>
          </w:tcPr>
          <w:p w14:paraId="73A92012"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大纲审核人</w:t>
            </w:r>
          </w:p>
        </w:tc>
        <w:tc>
          <w:tcPr>
            <w:tcW w:w="2941" w:type="dxa"/>
            <w:shd w:val="clear" w:color="auto" w:fill="auto"/>
            <w:vAlign w:val="center"/>
          </w:tcPr>
          <w:p w14:paraId="3A404255" w14:textId="77777777" w:rsidR="00C843E6" w:rsidRPr="00C843E6" w:rsidRDefault="00C843E6" w:rsidP="00C843E6">
            <w:pPr>
              <w:spacing w:line="440" w:lineRule="exact"/>
              <w:jc w:val="center"/>
              <w:rPr>
                <w:rFonts w:ascii="宋体" w:eastAsia="宋体" w:hAnsi="宋体" w:cs="Times New Roman"/>
                <w:sz w:val="24"/>
              </w:rPr>
            </w:pPr>
            <w:proofErr w:type="gramStart"/>
            <w:r w:rsidRPr="00C843E6">
              <w:rPr>
                <w:rFonts w:ascii="宋体" w:eastAsia="宋体" w:hAnsi="宋体" w:cs="Times New Roman" w:hint="eastAsia"/>
                <w:sz w:val="24"/>
              </w:rPr>
              <w:t>冯</w:t>
            </w:r>
            <w:proofErr w:type="gramEnd"/>
            <w:r w:rsidRPr="00C843E6">
              <w:rPr>
                <w:rFonts w:ascii="宋体" w:eastAsia="宋体" w:hAnsi="宋体" w:cs="Times New Roman" w:hint="eastAsia"/>
                <w:sz w:val="24"/>
              </w:rPr>
              <w:t>小龙</w:t>
            </w:r>
          </w:p>
        </w:tc>
      </w:tr>
      <w:tr w:rsidR="00C843E6" w:rsidRPr="00C843E6" w14:paraId="6B4A1001" w14:textId="77777777" w:rsidTr="00106206">
        <w:trPr>
          <w:trHeight w:val="848"/>
          <w:jc w:val="center"/>
        </w:trPr>
        <w:tc>
          <w:tcPr>
            <w:tcW w:w="1668" w:type="dxa"/>
            <w:shd w:val="clear" w:color="auto" w:fill="auto"/>
            <w:vAlign w:val="center"/>
          </w:tcPr>
          <w:p w14:paraId="2AF13400"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先修课程</w:t>
            </w:r>
          </w:p>
        </w:tc>
        <w:tc>
          <w:tcPr>
            <w:tcW w:w="7335" w:type="dxa"/>
            <w:gridSpan w:val="3"/>
            <w:shd w:val="clear" w:color="auto" w:fill="auto"/>
            <w:vAlign w:val="center"/>
          </w:tcPr>
          <w:p w14:paraId="0264ACE9"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《大学英语》、《天然药物化学》、《药物分析》、《中药学》等相关专业课程</w:t>
            </w:r>
          </w:p>
        </w:tc>
      </w:tr>
      <w:tr w:rsidR="00C843E6" w:rsidRPr="00C843E6" w14:paraId="14C92322" w14:textId="77777777" w:rsidTr="00106206">
        <w:trPr>
          <w:trHeight w:val="848"/>
          <w:jc w:val="center"/>
        </w:trPr>
        <w:tc>
          <w:tcPr>
            <w:tcW w:w="1668" w:type="dxa"/>
            <w:shd w:val="clear" w:color="auto" w:fill="auto"/>
            <w:vAlign w:val="center"/>
          </w:tcPr>
          <w:p w14:paraId="1354DA66"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课程网址</w:t>
            </w:r>
          </w:p>
        </w:tc>
        <w:tc>
          <w:tcPr>
            <w:tcW w:w="7335" w:type="dxa"/>
            <w:gridSpan w:val="3"/>
            <w:shd w:val="clear" w:color="auto" w:fill="auto"/>
            <w:vAlign w:val="center"/>
          </w:tcPr>
          <w:p w14:paraId="394B31FA" w14:textId="77777777" w:rsidR="00C843E6" w:rsidRPr="00C843E6" w:rsidRDefault="00C843E6" w:rsidP="00C843E6">
            <w:pPr>
              <w:spacing w:line="440" w:lineRule="exact"/>
              <w:rPr>
                <w:rFonts w:ascii="宋体" w:eastAsia="宋体" w:hAnsi="宋体" w:cs="Times New Roman"/>
                <w:color w:val="FF0000"/>
                <w:sz w:val="24"/>
              </w:rPr>
            </w:pPr>
          </w:p>
        </w:tc>
      </w:tr>
    </w:tbl>
    <w:p w14:paraId="035584A1" w14:textId="77777777" w:rsidR="00C843E6" w:rsidRPr="00C843E6" w:rsidRDefault="00C843E6" w:rsidP="00C843E6">
      <w:pPr>
        <w:spacing w:beforeLines="50" w:before="156" w:afterLines="50" w:after="156" w:line="440" w:lineRule="exact"/>
        <w:ind w:firstLineChars="200" w:firstLine="560"/>
        <w:rPr>
          <w:rFonts w:ascii="黑体" w:eastAsia="黑体" w:hAnsi="黑体" w:cs="Times New Roman"/>
          <w:sz w:val="28"/>
          <w:szCs w:val="28"/>
        </w:rPr>
      </w:pPr>
      <w:r w:rsidRPr="00C843E6">
        <w:rPr>
          <w:rFonts w:ascii="黑体" w:eastAsia="黑体" w:hAnsi="黑体" w:cs="Times New Roman" w:hint="eastAsia"/>
          <w:sz w:val="28"/>
          <w:szCs w:val="28"/>
        </w:rPr>
        <w:t>二、课程学习目标及与毕业要求的对应关系</w:t>
      </w:r>
    </w:p>
    <w:p w14:paraId="02CDCD96" w14:textId="77777777" w:rsidR="00C843E6" w:rsidRPr="00C843E6" w:rsidRDefault="00C843E6" w:rsidP="00C843E6">
      <w:pPr>
        <w:spacing w:beforeLines="50" w:before="156" w:afterLines="50" w:after="156" w:line="440" w:lineRule="exact"/>
        <w:ind w:firstLineChars="200" w:firstLine="560"/>
        <w:rPr>
          <w:rFonts w:ascii="黑体" w:eastAsia="黑体" w:hAnsi="黑体" w:cs="Times New Roman"/>
          <w:sz w:val="28"/>
          <w:szCs w:val="28"/>
        </w:rPr>
      </w:pPr>
      <w:r w:rsidRPr="00C843E6">
        <w:rPr>
          <w:rFonts w:ascii="黑体" w:eastAsia="黑体" w:hAnsi="黑体" w:cs="Times New Roman" w:hint="eastAsia"/>
          <w:sz w:val="28"/>
          <w:szCs w:val="28"/>
        </w:rPr>
        <w:t>（一）课程学习目标</w:t>
      </w:r>
    </w:p>
    <w:p w14:paraId="2C54B6B4" w14:textId="77777777" w:rsidR="00C843E6" w:rsidRPr="00C843E6" w:rsidRDefault="00C843E6" w:rsidP="00C843E6">
      <w:pPr>
        <w:spacing w:line="440" w:lineRule="exact"/>
        <w:ind w:firstLineChars="200" w:firstLine="480"/>
        <w:rPr>
          <w:rFonts w:ascii="宋体" w:eastAsia="宋体" w:hAnsi="宋体" w:cs="Times New Roman"/>
          <w:sz w:val="24"/>
        </w:rPr>
      </w:pPr>
      <w:r w:rsidRPr="00C843E6">
        <w:rPr>
          <w:rFonts w:ascii="宋体" w:eastAsia="宋体" w:hAnsi="宋体" w:cs="Times New Roman" w:hint="eastAsia"/>
          <w:sz w:val="24"/>
        </w:rPr>
        <w:t>通过本课程的学习，使学生达到以下目标：</w:t>
      </w:r>
    </w:p>
    <w:p w14:paraId="48F1EE9C" w14:textId="77777777" w:rsidR="00C843E6" w:rsidRPr="00C843E6" w:rsidRDefault="00C843E6" w:rsidP="00C843E6">
      <w:pPr>
        <w:spacing w:line="440" w:lineRule="exact"/>
        <w:ind w:firstLineChars="200" w:firstLine="480"/>
        <w:rPr>
          <w:rFonts w:ascii="宋体" w:eastAsia="宋体" w:hAnsi="宋体" w:cs="Times New Roman"/>
          <w:sz w:val="24"/>
        </w:rPr>
      </w:pPr>
      <w:r w:rsidRPr="00C843E6">
        <w:rPr>
          <w:rFonts w:ascii="宋体" w:eastAsia="宋体" w:hAnsi="宋体" w:cs="Times New Roman" w:hint="eastAsia"/>
          <w:sz w:val="24"/>
        </w:rPr>
        <w:t>1.熟悉药学专业英语词汇的构词法和常见药学相关英语词汇的词义，</w:t>
      </w:r>
      <w:r w:rsidRPr="00C843E6">
        <w:rPr>
          <w:rFonts w:ascii="宋体" w:eastAsia="宋体" w:hAnsi="宋体" w:cs="Times New Roman"/>
          <w:sz w:val="24"/>
        </w:rPr>
        <w:t>提高</w:t>
      </w:r>
      <w:r w:rsidRPr="00C843E6">
        <w:rPr>
          <w:rFonts w:ascii="宋体" w:eastAsia="宋体" w:hAnsi="宋体" w:cs="Times New Roman" w:hint="eastAsia"/>
          <w:sz w:val="24"/>
        </w:rPr>
        <w:t>学生</w:t>
      </w:r>
      <w:r w:rsidRPr="00C843E6">
        <w:rPr>
          <w:rFonts w:ascii="宋体" w:eastAsia="宋体" w:hAnsi="宋体" w:cs="Times New Roman"/>
          <w:sz w:val="24"/>
        </w:rPr>
        <w:t>阅读、翻译专业英语的能力。旨在拓宽学生的专业词汇量和阅读量，力求将英语与专业紧密结合</w:t>
      </w:r>
      <w:r w:rsidRPr="00C843E6">
        <w:rPr>
          <w:rFonts w:ascii="宋体" w:eastAsia="宋体" w:hAnsi="宋体" w:cs="Times New Roman" w:hint="eastAsia"/>
          <w:sz w:val="24"/>
        </w:rPr>
        <w:t>。</w:t>
      </w:r>
      <w:r w:rsidRPr="00C843E6">
        <w:rPr>
          <w:rFonts w:ascii="宋体" w:eastAsia="宋体" w:hAnsi="宋体" w:cs="Times New Roman"/>
          <w:b/>
          <w:sz w:val="24"/>
        </w:rPr>
        <w:t>【毕业要求1</w:t>
      </w:r>
      <w:r w:rsidRPr="00C843E6">
        <w:rPr>
          <w:rFonts w:ascii="宋体" w:eastAsia="宋体" w:hAnsi="宋体" w:cs="Times New Roman" w:hint="eastAsia"/>
          <w:b/>
          <w:sz w:val="24"/>
        </w:rPr>
        <w:t>药学知识</w:t>
      </w:r>
      <w:r w:rsidRPr="00C843E6">
        <w:rPr>
          <w:rFonts w:ascii="宋体" w:eastAsia="宋体" w:hAnsi="宋体" w:cs="Times New Roman"/>
          <w:b/>
          <w:sz w:val="24"/>
        </w:rPr>
        <w:t>】</w:t>
      </w:r>
    </w:p>
    <w:p w14:paraId="045BB1A4" w14:textId="77777777" w:rsidR="00C843E6" w:rsidRPr="00C843E6" w:rsidRDefault="00C843E6" w:rsidP="00C843E6">
      <w:pPr>
        <w:spacing w:line="440" w:lineRule="exact"/>
        <w:ind w:firstLineChars="200" w:firstLine="480"/>
        <w:rPr>
          <w:rFonts w:ascii="宋体" w:eastAsia="宋体" w:hAnsi="宋体" w:cs="Times New Roman"/>
          <w:b/>
          <w:sz w:val="24"/>
        </w:rPr>
      </w:pPr>
      <w:r w:rsidRPr="00C843E6">
        <w:rPr>
          <w:rFonts w:ascii="宋体" w:eastAsia="宋体" w:hAnsi="宋体" w:cs="Times New Roman" w:hint="eastAsia"/>
          <w:sz w:val="24"/>
        </w:rPr>
        <w:t>2.</w:t>
      </w:r>
      <w:r w:rsidRPr="00C843E6">
        <w:rPr>
          <w:rFonts w:ascii="Calibri" w:eastAsia="等线" w:hAnsi="Calibri" w:cs="Times New Roman" w:hint="eastAsia"/>
          <w:kern w:val="0"/>
          <w:sz w:val="22"/>
        </w:rPr>
        <w:t xml:space="preserve"> </w:t>
      </w:r>
      <w:r w:rsidRPr="00C843E6">
        <w:rPr>
          <w:rFonts w:ascii="宋体" w:eastAsia="宋体" w:hAnsi="宋体" w:cs="Times New Roman" w:hint="eastAsia"/>
          <w:sz w:val="24"/>
        </w:rPr>
        <w:t>熟悉检索文献，了解药学专业科技论文进行相关科学研究设计的一般方法，获取科研信息。养成科学严谨、实事求是的态度；树立正确的人生观，能够将所学外语知识运用到药物分析过程中</w:t>
      </w:r>
      <w:r w:rsidRPr="00C843E6">
        <w:rPr>
          <w:rFonts w:ascii="宋体" w:eastAsia="宋体" w:hAnsi="宋体" w:cs="Times New Roman"/>
          <w:sz w:val="24"/>
        </w:rPr>
        <w:t>。</w:t>
      </w:r>
      <w:r w:rsidRPr="00C843E6">
        <w:rPr>
          <w:rFonts w:ascii="宋体" w:eastAsia="宋体" w:hAnsi="宋体" w:cs="Times New Roman"/>
          <w:b/>
          <w:sz w:val="24"/>
        </w:rPr>
        <w:t>【毕业要求</w:t>
      </w:r>
      <w:r w:rsidRPr="00C843E6">
        <w:rPr>
          <w:rFonts w:ascii="宋体" w:eastAsia="宋体" w:hAnsi="宋体" w:cs="Times New Roman" w:hint="eastAsia"/>
          <w:b/>
          <w:sz w:val="24"/>
        </w:rPr>
        <w:t>4科学研究</w:t>
      </w:r>
      <w:r w:rsidRPr="00C843E6">
        <w:rPr>
          <w:rFonts w:ascii="宋体" w:eastAsia="宋体" w:hAnsi="宋体" w:cs="Times New Roman"/>
          <w:b/>
          <w:sz w:val="24"/>
        </w:rPr>
        <w:t>】</w:t>
      </w:r>
    </w:p>
    <w:p w14:paraId="4CBA8152" w14:textId="77777777" w:rsidR="00C843E6" w:rsidRPr="00C843E6" w:rsidRDefault="00C843E6" w:rsidP="00C843E6">
      <w:pPr>
        <w:spacing w:line="440" w:lineRule="exact"/>
        <w:ind w:firstLineChars="200" w:firstLine="480"/>
        <w:rPr>
          <w:rFonts w:ascii="宋体" w:eastAsia="宋体" w:hAnsi="宋体" w:cs="Times New Roman"/>
          <w:b/>
          <w:sz w:val="24"/>
          <w:szCs w:val="24"/>
        </w:rPr>
      </w:pPr>
      <w:r w:rsidRPr="00C843E6">
        <w:rPr>
          <w:rFonts w:ascii="宋体" w:eastAsia="宋体" w:hAnsi="宋体" w:cs="Times New Roman" w:hint="eastAsia"/>
          <w:sz w:val="24"/>
        </w:rPr>
        <w:t>3.</w:t>
      </w:r>
      <w:r w:rsidRPr="00C843E6">
        <w:rPr>
          <w:rFonts w:ascii="Calibri" w:eastAsia="等线" w:hAnsi="Calibri" w:cs="Times New Roman" w:hint="eastAsia"/>
          <w:kern w:val="0"/>
          <w:sz w:val="22"/>
        </w:rPr>
        <w:t xml:space="preserve"> </w:t>
      </w:r>
      <w:r w:rsidRPr="00C843E6">
        <w:rPr>
          <w:rFonts w:ascii="宋体" w:eastAsia="宋体" w:hAnsi="宋体" w:cs="Times New Roman" w:hint="eastAsia"/>
          <w:sz w:val="24"/>
        </w:rPr>
        <w:t>熟悉药学专业相关科技论文的构成及写作基本知识、毕业论文写作的要求与技巧及英文摘要的写作，培养学生严谨踏实、实事求是的工作态度，遵守学术规范，为将来的学术论文的阅读写作和交流打下坚实的基础。</w:t>
      </w:r>
      <w:r w:rsidRPr="00C843E6">
        <w:rPr>
          <w:rFonts w:ascii="宋体" w:eastAsia="宋体" w:hAnsi="宋体" w:cs="Times New Roman"/>
          <w:b/>
          <w:sz w:val="24"/>
          <w:szCs w:val="24"/>
        </w:rPr>
        <w:t>【毕业要求</w:t>
      </w:r>
      <w:r w:rsidRPr="00C843E6">
        <w:rPr>
          <w:rFonts w:ascii="宋体" w:eastAsia="宋体" w:hAnsi="宋体" w:cs="Times New Roman" w:hint="eastAsia"/>
          <w:b/>
          <w:sz w:val="24"/>
          <w:szCs w:val="24"/>
        </w:rPr>
        <w:t>10</w:t>
      </w:r>
      <w:r w:rsidRPr="00C843E6">
        <w:rPr>
          <w:rFonts w:ascii="宋体" w:eastAsia="宋体" w:hAnsi="宋体" w:cs="Times New Roman"/>
          <w:b/>
          <w:sz w:val="24"/>
          <w:szCs w:val="24"/>
        </w:rPr>
        <w:t xml:space="preserve"> </w:t>
      </w:r>
      <w:r w:rsidRPr="00C843E6">
        <w:rPr>
          <w:rFonts w:ascii="宋体" w:eastAsia="宋体" w:hAnsi="宋体" w:cs="Times New Roman" w:hint="eastAsia"/>
          <w:b/>
          <w:sz w:val="24"/>
          <w:szCs w:val="24"/>
        </w:rPr>
        <w:t>沟通与交流</w:t>
      </w:r>
      <w:r w:rsidRPr="00C843E6">
        <w:rPr>
          <w:rFonts w:ascii="宋体" w:eastAsia="宋体" w:hAnsi="宋体" w:cs="Times New Roman"/>
          <w:b/>
          <w:sz w:val="24"/>
          <w:szCs w:val="24"/>
        </w:rPr>
        <w:t>】</w:t>
      </w:r>
    </w:p>
    <w:p w14:paraId="2A000F17" w14:textId="77777777" w:rsidR="00C843E6" w:rsidRPr="00C843E6" w:rsidRDefault="00C843E6" w:rsidP="00C843E6">
      <w:pPr>
        <w:spacing w:line="440" w:lineRule="exact"/>
        <w:ind w:firstLineChars="200" w:firstLine="480"/>
        <w:rPr>
          <w:rFonts w:ascii="宋体" w:eastAsia="宋体" w:hAnsi="宋体" w:cs="Times New Roman"/>
          <w:sz w:val="24"/>
        </w:rPr>
      </w:pPr>
      <w:r w:rsidRPr="00C843E6">
        <w:rPr>
          <w:rFonts w:ascii="宋体" w:eastAsia="宋体" w:hAnsi="宋体" w:cs="Times New Roman" w:hint="eastAsia"/>
          <w:sz w:val="24"/>
        </w:rPr>
        <w:t>4.</w:t>
      </w:r>
      <w:r w:rsidRPr="00C843E6">
        <w:rPr>
          <w:rFonts w:ascii="Times New Roman" w:eastAsia="宋体" w:hAnsi="Times New Roman" w:cs="Times New Roman"/>
          <w:color w:val="000000"/>
          <w:sz w:val="24"/>
          <w:szCs w:val="24"/>
        </w:rPr>
        <w:t>能够针对</w:t>
      </w:r>
      <w:r w:rsidRPr="00C843E6">
        <w:rPr>
          <w:rFonts w:ascii="Times New Roman" w:eastAsia="宋体" w:hAnsi="Times New Roman" w:cs="Times New Roman" w:hint="eastAsia"/>
          <w:color w:val="000000"/>
          <w:sz w:val="24"/>
          <w:szCs w:val="24"/>
        </w:rPr>
        <w:t>药物分析</w:t>
      </w:r>
      <w:r w:rsidRPr="00C843E6">
        <w:rPr>
          <w:rFonts w:ascii="Times New Roman" w:eastAsia="宋体" w:hAnsi="Times New Roman" w:cs="Times New Roman"/>
          <w:color w:val="000000"/>
          <w:sz w:val="24"/>
          <w:szCs w:val="24"/>
        </w:rPr>
        <w:t>过程的复杂问题，开发、选择与使用恰当的国际资源，养成</w:t>
      </w:r>
      <w:r w:rsidRPr="00C843E6">
        <w:rPr>
          <w:rFonts w:ascii="Times New Roman" w:eastAsia="宋体" w:hAnsi="Times New Roman" w:cs="Times New Roman"/>
          <w:color w:val="000000"/>
          <w:sz w:val="24"/>
          <w:szCs w:val="24"/>
        </w:rPr>
        <w:lastRenderedPageBreak/>
        <w:t>认真、求实、勤奋良好科研精神与学风。</w:t>
      </w:r>
      <w:r w:rsidRPr="00C843E6">
        <w:rPr>
          <w:rFonts w:ascii="宋体" w:eastAsia="宋体" w:hAnsi="宋体" w:cs="Times New Roman"/>
          <w:b/>
          <w:sz w:val="24"/>
        </w:rPr>
        <w:t>【毕业要求</w:t>
      </w:r>
      <w:r w:rsidRPr="00C843E6">
        <w:rPr>
          <w:rFonts w:ascii="宋体" w:eastAsia="宋体" w:hAnsi="宋体" w:cs="Times New Roman" w:hint="eastAsia"/>
          <w:b/>
          <w:sz w:val="24"/>
        </w:rPr>
        <w:t>4科学研究</w:t>
      </w:r>
      <w:r w:rsidRPr="00C843E6">
        <w:rPr>
          <w:rFonts w:ascii="宋体" w:eastAsia="宋体" w:hAnsi="宋体" w:cs="Times New Roman"/>
          <w:b/>
          <w:sz w:val="24"/>
        </w:rPr>
        <w:t>】</w:t>
      </w:r>
    </w:p>
    <w:p w14:paraId="5F4FB933" w14:textId="77777777" w:rsidR="00C843E6" w:rsidRPr="00C843E6" w:rsidRDefault="00C843E6" w:rsidP="00C843E6">
      <w:pPr>
        <w:spacing w:beforeLines="50" w:before="156" w:afterLines="50" w:after="156" w:line="440" w:lineRule="exact"/>
        <w:ind w:firstLineChars="200" w:firstLine="560"/>
        <w:rPr>
          <w:rFonts w:ascii="黑体" w:eastAsia="黑体" w:hAnsi="黑体" w:cs="Times New Roman"/>
          <w:sz w:val="28"/>
          <w:szCs w:val="28"/>
        </w:rPr>
      </w:pPr>
      <w:r w:rsidRPr="00C843E6">
        <w:rPr>
          <w:rFonts w:ascii="黑体" w:eastAsia="黑体" w:hAnsi="黑体" w:cs="Times New Roman" w:hint="eastAsia"/>
          <w:sz w:val="28"/>
          <w:szCs w:val="28"/>
        </w:rPr>
        <w:t>（二）课程学习目标与毕业要求指标点的对应关系</w:t>
      </w:r>
    </w:p>
    <w:tbl>
      <w:tblPr>
        <w:tblW w:w="90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95"/>
        <w:gridCol w:w="5220"/>
        <w:gridCol w:w="2070"/>
      </w:tblGrid>
      <w:tr w:rsidR="00C843E6" w:rsidRPr="00C843E6" w14:paraId="23593700" w14:textId="77777777" w:rsidTr="00106206">
        <w:trPr>
          <w:trHeight w:val="815"/>
          <w:jc w:val="center"/>
        </w:trPr>
        <w:tc>
          <w:tcPr>
            <w:tcW w:w="1795" w:type="dxa"/>
            <w:vAlign w:val="center"/>
          </w:tcPr>
          <w:p w14:paraId="1080BD2F" w14:textId="77777777" w:rsidR="00C843E6" w:rsidRPr="00C843E6" w:rsidRDefault="00C843E6" w:rsidP="00C843E6">
            <w:pPr>
              <w:spacing w:line="440" w:lineRule="exact"/>
              <w:jc w:val="center"/>
              <w:rPr>
                <w:rFonts w:ascii="宋体" w:eastAsia="宋体" w:hAnsi="宋体" w:cs="Times New Roman"/>
                <w:b/>
                <w:sz w:val="24"/>
              </w:rPr>
            </w:pPr>
            <w:r w:rsidRPr="00C843E6">
              <w:rPr>
                <w:rFonts w:ascii="宋体" w:eastAsia="宋体" w:hAnsi="宋体" w:cs="Times New Roman" w:hint="eastAsia"/>
                <w:b/>
                <w:sz w:val="24"/>
              </w:rPr>
              <w:t>毕业要求</w:t>
            </w:r>
          </w:p>
        </w:tc>
        <w:tc>
          <w:tcPr>
            <w:tcW w:w="5220" w:type="dxa"/>
            <w:vAlign w:val="center"/>
          </w:tcPr>
          <w:p w14:paraId="35E67DE1" w14:textId="77777777" w:rsidR="00C843E6" w:rsidRPr="00C843E6" w:rsidRDefault="00C843E6" w:rsidP="00C843E6">
            <w:pPr>
              <w:spacing w:line="440" w:lineRule="exact"/>
              <w:jc w:val="center"/>
              <w:rPr>
                <w:rFonts w:ascii="宋体" w:eastAsia="宋体" w:hAnsi="宋体" w:cs="Times New Roman"/>
                <w:b/>
                <w:sz w:val="24"/>
              </w:rPr>
            </w:pPr>
            <w:r w:rsidRPr="00C843E6">
              <w:rPr>
                <w:rFonts w:ascii="宋体" w:eastAsia="宋体" w:hAnsi="宋体" w:cs="Times New Roman" w:hint="eastAsia"/>
                <w:b/>
                <w:sz w:val="24"/>
              </w:rPr>
              <w:t>毕业要求指标点</w:t>
            </w:r>
          </w:p>
        </w:tc>
        <w:tc>
          <w:tcPr>
            <w:tcW w:w="2070" w:type="dxa"/>
            <w:vAlign w:val="center"/>
          </w:tcPr>
          <w:p w14:paraId="6677F75A" w14:textId="77777777" w:rsidR="00C843E6" w:rsidRPr="00C843E6" w:rsidRDefault="00C843E6" w:rsidP="00C843E6">
            <w:pPr>
              <w:spacing w:line="440" w:lineRule="exact"/>
              <w:jc w:val="center"/>
              <w:rPr>
                <w:rFonts w:ascii="宋体" w:eastAsia="宋体" w:hAnsi="宋体" w:cs="Times New Roman"/>
                <w:b/>
                <w:sz w:val="24"/>
              </w:rPr>
            </w:pPr>
            <w:r w:rsidRPr="00C843E6">
              <w:rPr>
                <w:rFonts w:ascii="宋体" w:eastAsia="宋体" w:hAnsi="宋体" w:cs="Times New Roman" w:hint="eastAsia"/>
                <w:b/>
                <w:sz w:val="24"/>
              </w:rPr>
              <w:t>课程目标</w:t>
            </w:r>
          </w:p>
        </w:tc>
      </w:tr>
      <w:tr w:rsidR="00C843E6" w:rsidRPr="00C843E6" w14:paraId="11DE630C" w14:textId="77777777" w:rsidTr="00106206">
        <w:trPr>
          <w:jc w:val="center"/>
        </w:trPr>
        <w:tc>
          <w:tcPr>
            <w:tcW w:w="1795" w:type="dxa"/>
            <w:vAlign w:val="center"/>
          </w:tcPr>
          <w:p w14:paraId="309FC5C8"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1.药学知识</w:t>
            </w:r>
          </w:p>
        </w:tc>
        <w:tc>
          <w:tcPr>
            <w:tcW w:w="5220" w:type="dxa"/>
            <w:vAlign w:val="center"/>
          </w:tcPr>
          <w:p w14:paraId="7C7347C5" w14:textId="77777777" w:rsidR="00C843E6" w:rsidRPr="00C843E6" w:rsidRDefault="00C843E6" w:rsidP="00C843E6">
            <w:pPr>
              <w:spacing w:line="440" w:lineRule="exact"/>
              <w:jc w:val="left"/>
              <w:rPr>
                <w:rFonts w:ascii="宋体" w:eastAsia="宋体" w:hAnsi="宋体" w:cs="Times New Roman"/>
                <w:bCs/>
                <w:sz w:val="24"/>
              </w:rPr>
            </w:pPr>
            <w:r w:rsidRPr="00C843E6">
              <w:rPr>
                <w:rFonts w:ascii="宋体" w:eastAsia="宋体" w:hAnsi="宋体" w:cs="Times New Roman" w:hint="eastAsia"/>
                <w:bCs/>
                <w:sz w:val="24"/>
              </w:rPr>
              <w:t>1.4 熟练掌握一门外语，掌握数据处理、文献检索及获取现代信息的基本方法。</w:t>
            </w:r>
            <w:r w:rsidRPr="00C843E6">
              <w:rPr>
                <w:rFonts w:ascii="宋体" w:eastAsia="宋体" w:hAnsi="宋体" w:cs="Times New Roman"/>
                <w:sz w:val="24"/>
              </w:rPr>
              <w:t>(L)</w:t>
            </w:r>
          </w:p>
        </w:tc>
        <w:tc>
          <w:tcPr>
            <w:tcW w:w="2070" w:type="dxa"/>
            <w:vAlign w:val="center"/>
          </w:tcPr>
          <w:p w14:paraId="6D9540A8"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课程目标1</w:t>
            </w:r>
          </w:p>
        </w:tc>
      </w:tr>
      <w:tr w:rsidR="00C843E6" w:rsidRPr="00C843E6" w14:paraId="4B9471A5" w14:textId="77777777" w:rsidTr="00106206">
        <w:trPr>
          <w:jc w:val="center"/>
        </w:trPr>
        <w:tc>
          <w:tcPr>
            <w:tcW w:w="1795" w:type="dxa"/>
            <w:vAlign w:val="center"/>
          </w:tcPr>
          <w:p w14:paraId="1B8A7A22"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4.科学探究</w:t>
            </w:r>
          </w:p>
        </w:tc>
        <w:tc>
          <w:tcPr>
            <w:tcW w:w="5220" w:type="dxa"/>
            <w:vAlign w:val="center"/>
          </w:tcPr>
          <w:p w14:paraId="2A7C3BBA" w14:textId="77777777" w:rsidR="00C843E6" w:rsidRPr="00C843E6" w:rsidRDefault="00C843E6" w:rsidP="00C843E6">
            <w:pPr>
              <w:spacing w:line="440" w:lineRule="exact"/>
              <w:jc w:val="left"/>
              <w:rPr>
                <w:rFonts w:ascii="宋体" w:eastAsia="宋体" w:hAnsi="宋体" w:cs="Times New Roman"/>
                <w:bCs/>
                <w:sz w:val="24"/>
              </w:rPr>
            </w:pPr>
            <w:r w:rsidRPr="00C843E6">
              <w:rPr>
                <w:rFonts w:ascii="宋体" w:eastAsia="宋体" w:hAnsi="宋体" w:cs="Times New Roman" w:hint="eastAsia"/>
                <w:bCs/>
                <w:sz w:val="24"/>
              </w:rPr>
              <w:t>4.3 根据实验目的，获得实验结果，综合文献资料得到合理、有效的结论。(</w:t>
            </w:r>
            <w:r w:rsidRPr="00C843E6">
              <w:rPr>
                <w:rFonts w:ascii="宋体" w:eastAsia="宋体" w:hAnsi="宋体" w:cs="Times New Roman"/>
                <w:bCs/>
                <w:sz w:val="24"/>
              </w:rPr>
              <w:t>M)</w:t>
            </w:r>
          </w:p>
        </w:tc>
        <w:tc>
          <w:tcPr>
            <w:tcW w:w="2070" w:type="dxa"/>
            <w:vAlign w:val="center"/>
          </w:tcPr>
          <w:p w14:paraId="7B0C0C15"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课程目标2</w:t>
            </w:r>
          </w:p>
          <w:p w14:paraId="183886B4"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课程目标4</w:t>
            </w:r>
          </w:p>
        </w:tc>
      </w:tr>
      <w:tr w:rsidR="00C843E6" w:rsidRPr="00C843E6" w14:paraId="7EC1901C" w14:textId="77777777" w:rsidTr="00106206">
        <w:trPr>
          <w:jc w:val="center"/>
        </w:trPr>
        <w:tc>
          <w:tcPr>
            <w:tcW w:w="1795" w:type="dxa"/>
            <w:vAlign w:val="center"/>
          </w:tcPr>
          <w:p w14:paraId="18D8A102"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sz w:val="24"/>
              </w:rPr>
              <w:t>10.</w:t>
            </w:r>
            <w:r w:rsidRPr="00C843E6">
              <w:rPr>
                <w:rFonts w:ascii="宋体" w:eastAsia="宋体" w:hAnsi="宋体" w:cs="Times New Roman" w:hint="eastAsia"/>
                <w:sz w:val="24"/>
              </w:rPr>
              <w:t>沟通与交流</w:t>
            </w:r>
          </w:p>
        </w:tc>
        <w:tc>
          <w:tcPr>
            <w:tcW w:w="5220" w:type="dxa"/>
            <w:vAlign w:val="center"/>
          </w:tcPr>
          <w:p w14:paraId="49A589F1" w14:textId="77777777" w:rsidR="00C843E6" w:rsidRPr="00C843E6" w:rsidRDefault="00C843E6" w:rsidP="00C843E6">
            <w:pPr>
              <w:spacing w:line="440" w:lineRule="exact"/>
              <w:jc w:val="left"/>
              <w:rPr>
                <w:rFonts w:ascii="宋体" w:eastAsia="宋体" w:hAnsi="宋体" w:cs="Times New Roman"/>
                <w:bCs/>
                <w:sz w:val="24"/>
              </w:rPr>
            </w:pPr>
            <w:r w:rsidRPr="00C843E6">
              <w:rPr>
                <w:rFonts w:ascii="宋体" w:eastAsia="宋体" w:hAnsi="宋体" w:cs="Times New Roman" w:hint="eastAsia"/>
                <w:bCs/>
                <w:sz w:val="24"/>
              </w:rPr>
              <w:t>10.1 具备一门外语应用的基本能力，能够撰写报告及设计文稿、陈述发言、清晰表达。(</w:t>
            </w:r>
            <w:r w:rsidRPr="00C843E6">
              <w:rPr>
                <w:rFonts w:ascii="宋体" w:eastAsia="宋体" w:hAnsi="宋体" w:cs="Times New Roman"/>
                <w:bCs/>
                <w:sz w:val="24"/>
              </w:rPr>
              <w:t>H)</w:t>
            </w:r>
          </w:p>
        </w:tc>
        <w:tc>
          <w:tcPr>
            <w:tcW w:w="2070" w:type="dxa"/>
            <w:vAlign w:val="center"/>
          </w:tcPr>
          <w:p w14:paraId="6EA9AF93" w14:textId="77777777" w:rsidR="00C843E6" w:rsidRPr="00C843E6" w:rsidRDefault="00C843E6" w:rsidP="00C843E6">
            <w:pPr>
              <w:spacing w:line="440" w:lineRule="exact"/>
              <w:jc w:val="center"/>
              <w:rPr>
                <w:rFonts w:ascii="宋体" w:eastAsia="宋体" w:hAnsi="宋体" w:cs="Times New Roman"/>
                <w:sz w:val="24"/>
              </w:rPr>
            </w:pPr>
            <w:r w:rsidRPr="00C843E6">
              <w:rPr>
                <w:rFonts w:ascii="宋体" w:eastAsia="宋体" w:hAnsi="宋体" w:cs="Times New Roman" w:hint="eastAsia"/>
                <w:sz w:val="24"/>
              </w:rPr>
              <w:t>课程目标3</w:t>
            </w:r>
          </w:p>
        </w:tc>
      </w:tr>
    </w:tbl>
    <w:p w14:paraId="62C29029" w14:textId="77777777" w:rsidR="00C843E6" w:rsidRPr="00C843E6" w:rsidRDefault="00C843E6" w:rsidP="00C843E6">
      <w:pPr>
        <w:spacing w:beforeLines="50" w:before="156" w:afterLines="50" w:after="156" w:line="440" w:lineRule="exact"/>
        <w:ind w:firstLineChars="200" w:firstLine="560"/>
        <w:rPr>
          <w:rFonts w:ascii="黑体" w:eastAsia="黑体" w:hAnsi="黑体" w:cs="Times New Roman"/>
          <w:sz w:val="28"/>
          <w:szCs w:val="28"/>
        </w:rPr>
      </w:pPr>
    </w:p>
    <w:p w14:paraId="5D2156D3" w14:textId="77777777" w:rsidR="00C843E6" w:rsidRPr="00C843E6" w:rsidRDefault="00C843E6" w:rsidP="00C843E6">
      <w:pPr>
        <w:spacing w:beforeLines="50" w:before="156" w:afterLines="50" w:after="156" w:line="440" w:lineRule="exact"/>
        <w:ind w:firstLineChars="200" w:firstLine="560"/>
        <w:rPr>
          <w:rFonts w:ascii="黑体" w:eastAsia="黑体" w:hAnsi="黑体" w:cs="Times New Roman"/>
          <w:sz w:val="28"/>
          <w:szCs w:val="28"/>
        </w:rPr>
      </w:pPr>
      <w:r w:rsidRPr="00C843E6">
        <w:rPr>
          <w:rFonts w:ascii="黑体" w:eastAsia="黑体" w:hAnsi="黑体" w:cs="Times New Roman" w:hint="eastAsia"/>
          <w:sz w:val="28"/>
          <w:szCs w:val="28"/>
        </w:rPr>
        <w:t>三、课程学习内容及与课程学习目标的对应关系</w:t>
      </w:r>
    </w:p>
    <w:p w14:paraId="630CC600" w14:textId="77777777" w:rsidR="00C843E6" w:rsidRPr="00C843E6" w:rsidRDefault="00C843E6" w:rsidP="00C843E6">
      <w:pPr>
        <w:spacing w:beforeLines="50" w:before="156" w:afterLines="50" w:after="156" w:line="440" w:lineRule="exact"/>
        <w:ind w:firstLineChars="200" w:firstLine="562"/>
        <w:rPr>
          <w:rFonts w:ascii="黑体" w:eastAsia="黑体" w:hAnsi="黑体" w:cs="Times New Roman"/>
          <w:b/>
          <w:sz w:val="28"/>
          <w:szCs w:val="28"/>
        </w:rPr>
      </w:pPr>
      <w:r w:rsidRPr="00C843E6">
        <w:rPr>
          <w:rFonts w:ascii="黑体" w:eastAsia="黑体" w:hAnsi="黑体" w:cs="Times New Roman" w:hint="eastAsia"/>
          <w:b/>
          <w:sz w:val="28"/>
          <w:szCs w:val="28"/>
        </w:rPr>
        <w:t>（一）课程学习内容</w:t>
      </w:r>
    </w:p>
    <w:p w14:paraId="7C14D6AC" w14:textId="77777777" w:rsidR="00C843E6" w:rsidRPr="00C843E6" w:rsidRDefault="00C843E6" w:rsidP="00C843E6">
      <w:pPr>
        <w:spacing w:beforeLines="50" w:before="156" w:afterLines="50" w:after="156" w:line="440" w:lineRule="exact"/>
        <w:ind w:firstLineChars="200" w:firstLine="562"/>
        <w:jc w:val="center"/>
        <w:rPr>
          <w:rFonts w:ascii="黑体" w:eastAsia="黑体" w:hAnsi="黑体" w:cs="Times New Roman"/>
          <w:sz w:val="28"/>
          <w:szCs w:val="28"/>
        </w:rPr>
      </w:pPr>
      <w:r w:rsidRPr="00C843E6">
        <w:rPr>
          <w:rFonts w:ascii="黑体" w:eastAsia="黑体" w:hAnsi="黑体" w:cs="Times New Roman" w:hint="eastAsia"/>
          <w:b/>
          <w:sz w:val="28"/>
          <w:szCs w:val="28"/>
        </w:rPr>
        <w:t>第一章 药学英语翻译常识与技巧</w:t>
      </w:r>
    </w:p>
    <w:p w14:paraId="467C7B2C" w14:textId="77777777" w:rsidR="00C843E6" w:rsidRPr="00C843E6" w:rsidRDefault="00C843E6" w:rsidP="00C843E6">
      <w:pPr>
        <w:spacing w:line="440" w:lineRule="exact"/>
        <w:ind w:firstLineChars="200" w:firstLine="482"/>
        <w:rPr>
          <w:rFonts w:ascii="宋体" w:eastAsia="宋体" w:hAnsi="宋体" w:cs="Times New Roman"/>
          <w:b/>
          <w:sz w:val="24"/>
        </w:rPr>
      </w:pPr>
      <w:r w:rsidRPr="00C843E6">
        <w:rPr>
          <w:rFonts w:ascii="宋体" w:eastAsia="宋体" w:hAnsi="宋体" w:cs="Times New Roman" w:hint="eastAsia"/>
          <w:b/>
          <w:sz w:val="24"/>
        </w:rPr>
        <w:t>【学习目标】</w:t>
      </w:r>
    </w:p>
    <w:p w14:paraId="308E1609" w14:textId="77777777" w:rsidR="00C843E6" w:rsidRPr="00C843E6" w:rsidRDefault="00C843E6" w:rsidP="00C843E6">
      <w:pPr>
        <w:spacing w:line="440" w:lineRule="exact"/>
        <w:ind w:firstLineChars="200" w:firstLine="480"/>
        <w:rPr>
          <w:rFonts w:ascii="宋体" w:eastAsia="宋体" w:hAnsi="宋体" w:cs="Times New Roman"/>
          <w:sz w:val="24"/>
        </w:rPr>
      </w:pPr>
      <w:r w:rsidRPr="00C843E6">
        <w:rPr>
          <w:rFonts w:ascii="宋体" w:eastAsia="宋体" w:hAnsi="宋体" w:cs="Times New Roman" w:hint="eastAsia"/>
          <w:sz w:val="24"/>
        </w:rPr>
        <w:t>1</w:t>
      </w:r>
      <w:r w:rsidRPr="00C843E6">
        <w:rPr>
          <w:rFonts w:ascii="宋体" w:eastAsia="宋体" w:hAnsi="宋体" w:cs="Times New Roman"/>
          <w:sz w:val="24"/>
        </w:rPr>
        <w:t>.</w:t>
      </w:r>
      <w:r w:rsidRPr="00C843E6">
        <w:rPr>
          <w:rFonts w:ascii="Calibri" w:eastAsia="宋体" w:hAnsi="Calibri" w:cs="Times New Roman"/>
          <w:kern w:val="0"/>
          <w:sz w:val="24"/>
        </w:rPr>
        <w:t xml:space="preserve"> </w:t>
      </w:r>
      <w:r w:rsidRPr="00C843E6">
        <w:rPr>
          <w:rFonts w:ascii="Calibri" w:eastAsia="宋体" w:hAnsi="Calibri" w:cs="Times New Roman" w:hint="eastAsia"/>
          <w:kern w:val="0"/>
          <w:sz w:val="24"/>
        </w:rPr>
        <w:t>认知类目标：</w:t>
      </w:r>
      <w:r w:rsidRPr="00C843E6">
        <w:rPr>
          <w:rFonts w:ascii="宋体" w:eastAsia="宋体" w:hAnsi="宋体" w:cs="Times New Roman" w:hint="eastAsia"/>
          <w:sz w:val="24"/>
        </w:rPr>
        <w:t>了解药学英语</w:t>
      </w:r>
      <w:proofErr w:type="gramStart"/>
      <w:r w:rsidRPr="00C843E6">
        <w:rPr>
          <w:rFonts w:ascii="宋体" w:eastAsia="宋体" w:hAnsi="宋体" w:cs="Times New Roman" w:hint="eastAsia"/>
          <w:sz w:val="24"/>
        </w:rPr>
        <w:t>语篇特点</w:t>
      </w:r>
      <w:proofErr w:type="gramEnd"/>
      <w:r w:rsidRPr="00C843E6">
        <w:rPr>
          <w:rFonts w:ascii="宋体" w:eastAsia="宋体" w:hAnsi="宋体" w:cs="Times New Roman" w:hint="eastAsia"/>
          <w:sz w:val="24"/>
        </w:rPr>
        <w:t>与翻译要求，药学英语翻译的策略、步骤与实际运用；</w:t>
      </w:r>
      <w:r w:rsidRPr="00C843E6">
        <w:rPr>
          <w:rFonts w:ascii="宋体" w:eastAsia="宋体" w:hAnsi="宋体" w:cs="Times New Roman"/>
          <w:sz w:val="24"/>
        </w:rPr>
        <w:t xml:space="preserve"> </w:t>
      </w:r>
    </w:p>
    <w:p w14:paraId="55F022F2" w14:textId="77777777" w:rsidR="00C843E6" w:rsidRPr="00C843E6" w:rsidRDefault="00C843E6" w:rsidP="00C843E6">
      <w:pPr>
        <w:spacing w:line="440" w:lineRule="exact"/>
        <w:ind w:firstLineChars="200" w:firstLine="480"/>
        <w:rPr>
          <w:rFonts w:ascii="宋体" w:eastAsia="宋体" w:hAnsi="宋体" w:cs="Times New Roman"/>
          <w:sz w:val="24"/>
        </w:rPr>
      </w:pPr>
      <w:r w:rsidRPr="00C843E6">
        <w:rPr>
          <w:rFonts w:ascii="宋体" w:eastAsia="宋体" w:hAnsi="宋体" w:cs="Times New Roman" w:hint="eastAsia"/>
          <w:sz w:val="24"/>
        </w:rPr>
        <w:t>2.</w:t>
      </w:r>
      <w:r w:rsidRPr="00C843E6">
        <w:rPr>
          <w:rFonts w:ascii="宋体" w:eastAsia="宋体" w:hAnsi="宋体" w:cs="Times New Roman"/>
          <w:sz w:val="24"/>
        </w:rPr>
        <w:t xml:space="preserve"> </w:t>
      </w:r>
      <w:r w:rsidRPr="00C843E6">
        <w:rPr>
          <w:rFonts w:ascii="宋体" w:eastAsia="宋体" w:hAnsi="宋体" w:cs="Times New Roman" w:hint="eastAsia"/>
          <w:sz w:val="24"/>
        </w:rPr>
        <w:t>过程与方法类目标：掌握药学英语的翻译步骤；药学英语的翻译技巧与实际运用；熟悉药学英语的词汇特征，句式特征与语篇特征；药学英语的翻译策略以及药品说明书的阅读与翻译技巧。了解药学英语</w:t>
      </w:r>
      <w:proofErr w:type="gramStart"/>
      <w:r w:rsidRPr="00C843E6">
        <w:rPr>
          <w:rFonts w:ascii="宋体" w:eastAsia="宋体" w:hAnsi="宋体" w:cs="Times New Roman" w:hint="eastAsia"/>
          <w:sz w:val="24"/>
        </w:rPr>
        <w:t>语</w:t>
      </w:r>
      <w:proofErr w:type="gramEnd"/>
      <w:r w:rsidRPr="00C843E6">
        <w:rPr>
          <w:rFonts w:ascii="宋体" w:eastAsia="宋体" w:hAnsi="宋体" w:cs="Times New Roman" w:hint="eastAsia"/>
          <w:sz w:val="24"/>
        </w:rPr>
        <w:t>篇的文体处理，对译者的要求；</w:t>
      </w:r>
    </w:p>
    <w:p w14:paraId="78798948" w14:textId="77777777" w:rsidR="00C843E6" w:rsidRPr="00C843E6" w:rsidRDefault="00C843E6" w:rsidP="00C843E6">
      <w:pPr>
        <w:spacing w:line="440" w:lineRule="exact"/>
        <w:ind w:firstLineChars="200" w:firstLine="480"/>
        <w:rPr>
          <w:rFonts w:ascii="宋体" w:eastAsia="宋体" w:hAnsi="宋体" w:cs="Times New Roman"/>
          <w:sz w:val="24"/>
        </w:rPr>
      </w:pPr>
      <w:r w:rsidRPr="00C843E6">
        <w:rPr>
          <w:rFonts w:ascii="宋体" w:eastAsia="宋体" w:hAnsi="宋体" w:cs="Times New Roman" w:hint="eastAsia"/>
          <w:sz w:val="24"/>
        </w:rPr>
        <w:t>3</w:t>
      </w:r>
      <w:r w:rsidRPr="00C843E6">
        <w:rPr>
          <w:rFonts w:ascii="宋体" w:eastAsia="宋体" w:hAnsi="宋体" w:cs="Times New Roman"/>
          <w:sz w:val="24"/>
        </w:rPr>
        <w:t xml:space="preserve">. </w:t>
      </w:r>
      <w:r w:rsidRPr="00C843E6">
        <w:rPr>
          <w:rFonts w:ascii="宋体" w:eastAsia="宋体" w:hAnsi="宋体" w:cs="Times New Roman" w:hint="eastAsia"/>
          <w:sz w:val="24"/>
        </w:rPr>
        <w:t>情感、态度、价值观类目标：通过药学专业英语的学习，帮助学生形成正确的世界观、人生观和价值观；通过查阅药学英语的相关资料，了解药学英语的重要性及相关岗位应该具备的专业知识和技能，提升学生交流沟通协作的能力，培养学生立德树人的品格。</w:t>
      </w:r>
    </w:p>
    <w:p w14:paraId="69949A85" w14:textId="77777777" w:rsidR="00C843E6" w:rsidRPr="00C843E6" w:rsidRDefault="00C843E6" w:rsidP="00C843E6">
      <w:pPr>
        <w:spacing w:line="440" w:lineRule="exact"/>
        <w:ind w:firstLineChars="200" w:firstLine="482"/>
        <w:rPr>
          <w:rFonts w:ascii="宋体" w:eastAsia="宋体" w:hAnsi="宋体" w:cs="Times New Roman"/>
          <w:b/>
          <w:sz w:val="24"/>
        </w:rPr>
      </w:pPr>
      <w:r w:rsidRPr="00C843E6">
        <w:rPr>
          <w:rFonts w:ascii="宋体" w:eastAsia="宋体" w:hAnsi="宋体" w:cs="Times New Roman" w:hint="eastAsia"/>
          <w:b/>
          <w:sz w:val="24"/>
        </w:rPr>
        <w:t>【学习内容】</w:t>
      </w:r>
    </w:p>
    <w:p w14:paraId="04F8DAD4"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 xml:space="preserve">1. </w:t>
      </w:r>
      <w:r w:rsidRPr="00C843E6">
        <w:rPr>
          <w:rFonts w:ascii="Times New Roman" w:eastAsia="宋体" w:hAnsi="Times New Roman" w:cs="Times New Roman" w:hint="eastAsia"/>
          <w:sz w:val="24"/>
          <w:szCs w:val="24"/>
        </w:rPr>
        <w:t>1</w:t>
      </w:r>
      <w:r w:rsidRPr="00C843E6">
        <w:rPr>
          <w:rFonts w:ascii="Times New Roman" w:eastAsia="宋体" w:hAnsi="Times New Roman" w:cs="Times New Roman"/>
          <w:sz w:val="24"/>
          <w:szCs w:val="24"/>
        </w:rPr>
        <w:t>药学英语</w:t>
      </w:r>
      <w:proofErr w:type="gramStart"/>
      <w:r w:rsidRPr="00C843E6">
        <w:rPr>
          <w:rFonts w:ascii="Times New Roman" w:eastAsia="宋体" w:hAnsi="Times New Roman" w:cs="Times New Roman"/>
          <w:sz w:val="24"/>
          <w:szCs w:val="24"/>
        </w:rPr>
        <w:t>语篇特点</w:t>
      </w:r>
      <w:proofErr w:type="gramEnd"/>
      <w:r w:rsidRPr="00C843E6">
        <w:rPr>
          <w:rFonts w:ascii="Times New Roman" w:eastAsia="宋体" w:hAnsi="Times New Roman" w:cs="Times New Roman"/>
          <w:sz w:val="24"/>
          <w:szCs w:val="24"/>
        </w:rPr>
        <w:t>与翻译要求</w:t>
      </w:r>
    </w:p>
    <w:p w14:paraId="59EFA9D1"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 xml:space="preserve">1.1.1 </w:t>
      </w:r>
      <w:r w:rsidRPr="00C843E6">
        <w:rPr>
          <w:rFonts w:ascii="Times New Roman" w:eastAsia="宋体" w:hAnsi="Times New Roman" w:cs="Times New Roman"/>
          <w:sz w:val="24"/>
          <w:szCs w:val="24"/>
        </w:rPr>
        <w:t>药学英语的词汇特征</w:t>
      </w:r>
    </w:p>
    <w:p w14:paraId="5A52969C"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 xml:space="preserve">1.1.2 </w:t>
      </w:r>
      <w:r w:rsidRPr="00C843E6">
        <w:rPr>
          <w:rFonts w:ascii="Times New Roman" w:eastAsia="宋体" w:hAnsi="Times New Roman" w:cs="Times New Roman"/>
          <w:sz w:val="24"/>
          <w:szCs w:val="24"/>
        </w:rPr>
        <w:t>药学英语的句式特征</w:t>
      </w:r>
    </w:p>
    <w:p w14:paraId="2D68B6CA"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 xml:space="preserve">1.1.3 </w:t>
      </w:r>
      <w:r w:rsidRPr="00C843E6">
        <w:rPr>
          <w:rFonts w:ascii="Times New Roman" w:eastAsia="宋体" w:hAnsi="Times New Roman" w:cs="Times New Roman"/>
          <w:sz w:val="24"/>
          <w:szCs w:val="24"/>
        </w:rPr>
        <w:t>药学英语的语篇特征</w:t>
      </w:r>
    </w:p>
    <w:p w14:paraId="25392E3D"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lastRenderedPageBreak/>
        <w:t>1.</w:t>
      </w:r>
      <w:r w:rsidRPr="00C843E6">
        <w:rPr>
          <w:rFonts w:ascii="Times New Roman" w:eastAsia="宋体" w:hAnsi="Times New Roman" w:cs="Times New Roman" w:hint="eastAsia"/>
          <w:sz w:val="24"/>
          <w:szCs w:val="24"/>
        </w:rPr>
        <w:t>2</w:t>
      </w:r>
      <w:r w:rsidRPr="00C843E6">
        <w:rPr>
          <w:rFonts w:ascii="Times New Roman" w:eastAsia="宋体" w:hAnsi="Times New Roman" w:cs="Times New Roman"/>
          <w:sz w:val="24"/>
          <w:szCs w:val="24"/>
        </w:rPr>
        <w:t>药学英语</w:t>
      </w:r>
      <w:proofErr w:type="gramStart"/>
      <w:r w:rsidRPr="00C843E6">
        <w:rPr>
          <w:rFonts w:ascii="Times New Roman" w:eastAsia="宋体" w:hAnsi="Times New Roman" w:cs="Times New Roman"/>
          <w:sz w:val="24"/>
          <w:szCs w:val="24"/>
        </w:rPr>
        <w:t>语</w:t>
      </w:r>
      <w:proofErr w:type="gramEnd"/>
      <w:r w:rsidRPr="00C843E6">
        <w:rPr>
          <w:rFonts w:ascii="Times New Roman" w:eastAsia="宋体" w:hAnsi="Times New Roman" w:cs="Times New Roman"/>
          <w:sz w:val="24"/>
          <w:szCs w:val="24"/>
        </w:rPr>
        <w:t>篇的文体处理</w:t>
      </w:r>
    </w:p>
    <w:p w14:paraId="1DAF9F3F"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3</w:t>
      </w:r>
      <w:r w:rsidRPr="00C843E6">
        <w:rPr>
          <w:rFonts w:ascii="Times New Roman" w:eastAsia="宋体" w:hAnsi="Times New Roman" w:cs="Times New Roman"/>
          <w:sz w:val="24"/>
          <w:szCs w:val="24"/>
        </w:rPr>
        <w:t>药学英语翻译对译者的要求</w:t>
      </w:r>
    </w:p>
    <w:p w14:paraId="757CF97E"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hint="eastAsia"/>
          <w:sz w:val="24"/>
          <w:szCs w:val="24"/>
        </w:rPr>
        <w:t>1.4</w:t>
      </w:r>
      <w:r w:rsidRPr="00C843E6">
        <w:rPr>
          <w:rFonts w:ascii="Times New Roman" w:eastAsia="宋体" w:hAnsi="Times New Roman" w:cs="Times New Roman" w:hint="eastAsia"/>
          <w:sz w:val="24"/>
          <w:szCs w:val="24"/>
        </w:rPr>
        <w:t>药学专业英语翻译策略与步骤</w:t>
      </w:r>
    </w:p>
    <w:p w14:paraId="567C4D29"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4</w:t>
      </w:r>
      <w:r w:rsidRPr="00C843E6">
        <w:rPr>
          <w:rFonts w:ascii="Times New Roman" w:eastAsia="宋体" w:hAnsi="Times New Roman" w:cs="Times New Roman"/>
          <w:sz w:val="24"/>
          <w:szCs w:val="24"/>
        </w:rPr>
        <w:t xml:space="preserve">.1 </w:t>
      </w:r>
      <w:r w:rsidRPr="00C843E6">
        <w:rPr>
          <w:rFonts w:ascii="Times New Roman" w:eastAsia="宋体" w:hAnsi="Times New Roman" w:cs="Times New Roman"/>
          <w:sz w:val="24"/>
          <w:szCs w:val="24"/>
        </w:rPr>
        <w:t>药学英语翻译策略</w:t>
      </w:r>
    </w:p>
    <w:p w14:paraId="79A8F76E"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4</w:t>
      </w:r>
      <w:r w:rsidRPr="00C843E6">
        <w:rPr>
          <w:rFonts w:ascii="Times New Roman" w:eastAsia="宋体" w:hAnsi="Times New Roman" w:cs="Times New Roman"/>
          <w:sz w:val="24"/>
          <w:szCs w:val="24"/>
        </w:rPr>
        <w:t xml:space="preserve">.2 </w:t>
      </w:r>
      <w:r w:rsidRPr="00C843E6">
        <w:rPr>
          <w:rFonts w:ascii="Times New Roman" w:eastAsia="宋体" w:hAnsi="Times New Roman" w:cs="Times New Roman"/>
          <w:sz w:val="24"/>
          <w:szCs w:val="24"/>
        </w:rPr>
        <w:t>药学英语翻译步骤</w:t>
      </w:r>
    </w:p>
    <w:p w14:paraId="6229397C"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5</w:t>
      </w:r>
      <w:r w:rsidRPr="00C843E6">
        <w:rPr>
          <w:rFonts w:ascii="Times New Roman" w:eastAsia="宋体" w:hAnsi="Times New Roman" w:cs="Times New Roman"/>
          <w:sz w:val="24"/>
          <w:szCs w:val="24"/>
        </w:rPr>
        <w:t xml:space="preserve"> </w:t>
      </w:r>
      <w:r w:rsidRPr="00C843E6">
        <w:rPr>
          <w:rFonts w:ascii="Times New Roman" w:eastAsia="宋体" w:hAnsi="Times New Roman" w:cs="Times New Roman"/>
          <w:sz w:val="24"/>
          <w:szCs w:val="24"/>
        </w:rPr>
        <w:t>药学英语翻译技巧</w:t>
      </w:r>
      <w:r w:rsidRPr="00C843E6">
        <w:rPr>
          <w:rFonts w:ascii="Times New Roman" w:eastAsia="宋体" w:hAnsi="Times New Roman" w:cs="Times New Roman"/>
          <w:sz w:val="24"/>
          <w:szCs w:val="24"/>
        </w:rPr>
        <w:t xml:space="preserve"> </w:t>
      </w:r>
    </w:p>
    <w:p w14:paraId="628F3412"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5</w:t>
      </w:r>
      <w:r w:rsidRPr="00C843E6">
        <w:rPr>
          <w:rFonts w:ascii="Times New Roman" w:eastAsia="宋体" w:hAnsi="Times New Roman" w:cs="Times New Roman"/>
          <w:sz w:val="24"/>
          <w:szCs w:val="24"/>
        </w:rPr>
        <w:t xml:space="preserve">.1 </w:t>
      </w:r>
      <w:r w:rsidRPr="00C843E6">
        <w:rPr>
          <w:rFonts w:ascii="Times New Roman" w:eastAsia="宋体" w:hAnsi="Times New Roman" w:cs="Times New Roman"/>
          <w:sz w:val="24"/>
          <w:szCs w:val="24"/>
        </w:rPr>
        <w:t>词性转换法</w:t>
      </w:r>
    </w:p>
    <w:p w14:paraId="2ACD7134"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5</w:t>
      </w:r>
      <w:r w:rsidRPr="00C843E6">
        <w:rPr>
          <w:rFonts w:ascii="Times New Roman" w:eastAsia="宋体" w:hAnsi="Times New Roman" w:cs="Times New Roman"/>
          <w:sz w:val="24"/>
          <w:szCs w:val="24"/>
        </w:rPr>
        <w:t xml:space="preserve">.2 </w:t>
      </w:r>
      <w:r w:rsidRPr="00C843E6">
        <w:rPr>
          <w:rFonts w:ascii="Times New Roman" w:eastAsia="宋体" w:hAnsi="Times New Roman" w:cs="Times New Roman"/>
          <w:sz w:val="24"/>
          <w:szCs w:val="24"/>
        </w:rPr>
        <w:t>句子成分转换法</w:t>
      </w:r>
    </w:p>
    <w:p w14:paraId="267CA97D"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5</w:t>
      </w:r>
      <w:r w:rsidRPr="00C843E6">
        <w:rPr>
          <w:rFonts w:ascii="Times New Roman" w:eastAsia="宋体" w:hAnsi="Times New Roman" w:cs="Times New Roman"/>
          <w:sz w:val="24"/>
          <w:szCs w:val="24"/>
        </w:rPr>
        <w:t xml:space="preserve">.3 </w:t>
      </w:r>
      <w:r w:rsidRPr="00C843E6">
        <w:rPr>
          <w:rFonts w:ascii="Times New Roman" w:eastAsia="宋体" w:hAnsi="Times New Roman" w:cs="Times New Roman"/>
          <w:sz w:val="24"/>
          <w:szCs w:val="24"/>
        </w:rPr>
        <w:t>增词法</w:t>
      </w:r>
    </w:p>
    <w:p w14:paraId="177EF2D6"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5</w:t>
      </w:r>
      <w:r w:rsidRPr="00C843E6">
        <w:rPr>
          <w:rFonts w:ascii="Times New Roman" w:eastAsia="宋体" w:hAnsi="Times New Roman" w:cs="Times New Roman"/>
          <w:sz w:val="24"/>
          <w:szCs w:val="24"/>
        </w:rPr>
        <w:t xml:space="preserve">.4 </w:t>
      </w:r>
      <w:r w:rsidRPr="00C843E6">
        <w:rPr>
          <w:rFonts w:ascii="Times New Roman" w:eastAsia="宋体" w:hAnsi="Times New Roman" w:cs="Times New Roman"/>
          <w:sz w:val="24"/>
          <w:szCs w:val="24"/>
        </w:rPr>
        <w:t>减词法</w:t>
      </w:r>
      <w:r w:rsidRPr="00C843E6">
        <w:rPr>
          <w:rFonts w:ascii="Times New Roman" w:eastAsia="宋体" w:hAnsi="Times New Roman" w:cs="Times New Roman"/>
          <w:sz w:val="24"/>
          <w:szCs w:val="24"/>
        </w:rPr>
        <w:t xml:space="preserve"> </w:t>
      </w:r>
    </w:p>
    <w:p w14:paraId="7C36A7B9"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5</w:t>
      </w:r>
      <w:r w:rsidRPr="00C843E6">
        <w:rPr>
          <w:rFonts w:ascii="Times New Roman" w:eastAsia="宋体" w:hAnsi="Times New Roman" w:cs="Times New Roman"/>
          <w:sz w:val="24"/>
          <w:szCs w:val="24"/>
        </w:rPr>
        <w:t xml:space="preserve">.5 </w:t>
      </w:r>
      <w:r w:rsidRPr="00C843E6">
        <w:rPr>
          <w:rFonts w:ascii="Times New Roman" w:eastAsia="宋体" w:hAnsi="Times New Roman" w:cs="Times New Roman"/>
          <w:sz w:val="24"/>
          <w:szCs w:val="24"/>
        </w:rPr>
        <w:t>重复法</w:t>
      </w:r>
    </w:p>
    <w:p w14:paraId="57CD55F2"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5</w:t>
      </w:r>
      <w:r w:rsidRPr="00C843E6">
        <w:rPr>
          <w:rFonts w:ascii="Times New Roman" w:eastAsia="宋体" w:hAnsi="Times New Roman" w:cs="Times New Roman"/>
          <w:sz w:val="24"/>
          <w:szCs w:val="24"/>
        </w:rPr>
        <w:t xml:space="preserve">.6 </w:t>
      </w:r>
      <w:r w:rsidRPr="00C843E6">
        <w:rPr>
          <w:rFonts w:ascii="Times New Roman" w:eastAsia="宋体" w:hAnsi="Times New Roman" w:cs="Times New Roman"/>
          <w:sz w:val="24"/>
          <w:szCs w:val="24"/>
        </w:rPr>
        <w:t>解包袱法</w:t>
      </w:r>
    </w:p>
    <w:p w14:paraId="7B671AEC"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5</w:t>
      </w:r>
      <w:r w:rsidRPr="00C843E6">
        <w:rPr>
          <w:rFonts w:ascii="Times New Roman" w:eastAsia="宋体" w:hAnsi="Times New Roman" w:cs="Times New Roman"/>
          <w:sz w:val="24"/>
          <w:szCs w:val="24"/>
        </w:rPr>
        <w:t xml:space="preserve">.7 </w:t>
      </w:r>
      <w:r w:rsidRPr="00C843E6">
        <w:rPr>
          <w:rFonts w:ascii="Times New Roman" w:eastAsia="宋体" w:hAnsi="Times New Roman" w:cs="Times New Roman"/>
          <w:sz w:val="24"/>
          <w:szCs w:val="24"/>
        </w:rPr>
        <w:t>分合移位法</w:t>
      </w:r>
    </w:p>
    <w:p w14:paraId="3D80D329" w14:textId="77777777" w:rsidR="00C843E6" w:rsidRPr="00C843E6" w:rsidRDefault="00C843E6" w:rsidP="00C843E6">
      <w:pPr>
        <w:spacing w:line="440" w:lineRule="exact"/>
        <w:ind w:firstLineChars="200" w:firstLine="482"/>
        <w:rPr>
          <w:rFonts w:ascii="宋体" w:eastAsia="宋体" w:hAnsi="宋体" w:cs="Times New Roman"/>
          <w:b/>
          <w:sz w:val="24"/>
        </w:rPr>
      </w:pPr>
      <w:r w:rsidRPr="00C843E6">
        <w:rPr>
          <w:rFonts w:ascii="宋体" w:eastAsia="宋体" w:hAnsi="宋体" w:cs="Times New Roman" w:hint="eastAsia"/>
          <w:b/>
          <w:sz w:val="24"/>
        </w:rPr>
        <w:t>【重点】</w:t>
      </w:r>
      <w:r w:rsidRPr="00C843E6">
        <w:rPr>
          <w:rFonts w:ascii="Times New Roman" w:eastAsia="宋体" w:hAnsi="Times New Roman" w:cs="Times New Roman"/>
          <w:sz w:val="24"/>
          <w:szCs w:val="24"/>
        </w:rPr>
        <w:t>药学</w:t>
      </w:r>
      <w:r w:rsidRPr="00C843E6">
        <w:rPr>
          <w:rFonts w:ascii="Times New Roman" w:eastAsia="宋体" w:hAnsi="Times New Roman" w:cs="Times New Roman" w:hint="eastAsia"/>
          <w:sz w:val="24"/>
          <w:szCs w:val="24"/>
        </w:rPr>
        <w:t>专业</w:t>
      </w:r>
      <w:r w:rsidRPr="00C843E6">
        <w:rPr>
          <w:rFonts w:ascii="Times New Roman" w:eastAsia="宋体" w:hAnsi="Times New Roman" w:cs="Times New Roman"/>
          <w:sz w:val="24"/>
          <w:szCs w:val="24"/>
        </w:rPr>
        <w:t>英语翻译步骤与实际运用</w:t>
      </w:r>
      <w:r w:rsidRPr="00C843E6">
        <w:rPr>
          <w:rFonts w:ascii="宋体" w:eastAsia="宋体" w:hAnsi="宋体" w:cs="Times New Roman" w:hint="eastAsia"/>
          <w:sz w:val="24"/>
        </w:rPr>
        <w:t>；</w:t>
      </w:r>
      <w:r w:rsidRPr="00C843E6">
        <w:rPr>
          <w:rFonts w:ascii="Times New Roman" w:eastAsia="宋体" w:hAnsi="Times New Roman" w:cs="Times New Roman"/>
          <w:sz w:val="24"/>
          <w:szCs w:val="24"/>
        </w:rPr>
        <w:t>药学英语翻译技巧与实际运用</w:t>
      </w:r>
      <w:r w:rsidRPr="00C843E6">
        <w:rPr>
          <w:rFonts w:ascii="宋体" w:eastAsia="宋体" w:hAnsi="宋体" w:cs="Times New Roman" w:hint="eastAsia"/>
          <w:sz w:val="24"/>
        </w:rPr>
        <w:t>；</w:t>
      </w:r>
    </w:p>
    <w:p w14:paraId="12319674" w14:textId="77777777" w:rsidR="00C843E6" w:rsidRPr="00C843E6" w:rsidRDefault="00C843E6" w:rsidP="00C843E6">
      <w:pPr>
        <w:spacing w:line="440" w:lineRule="exact"/>
        <w:ind w:firstLineChars="200" w:firstLine="482"/>
        <w:rPr>
          <w:rFonts w:ascii="宋体" w:eastAsia="宋体" w:hAnsi="宋体" w:cs="Times New Roman"/>
          <w:b/>
          <w:sz w:val="24"/>
        </w:rPr>
      </w:pPr>
      <w:r w:rsidRPr="00C843E6">
        <w:rPr>
          <w:rFonts w:ascii="宋体" w:eastAsia="宋体" w:hAnsi="宋体" w:cs="Times New Roman" w:hint="eastAsia"/>
          <w:b/>
          <w:sz w:val="24"/>
        </w:rPr>
        <w:t>【难点】</w:t>
      </w:r>
      <w:r w:rsidRPr="00C843E6">
        <w:rPr>
          <w:rFonts w:ascii="Times New Roman" w:eastAsia="宋体" w:hAnsi="Times New Roman" w:cs="Times New Roman"/>
          <w:sz w:val="24"/>
          <w:szCs w:val="24"/>
        </w:rPr>
        <w:t>药学</w:t>
      </w:r>
      <w:r w:rsidRPr="00C843E6">
        <w:rPr>
          <w:rFonts w:ascii="Times New Roman" w:eastAsia="宋体" w:hAnsi="Times New Roman" w:cs="Times New Roman" w:hint="eastAsia"/>
          <w:sz w:val="24"/>
          <w:szCs w:val="24"/>
        </w:rPr>
        <w:t>专业</w:t>
      </w:r>
      <w:r w:rsidRPr="00C843E6">
        <w:rPr>
          <w:rFonts w:ascii="Times New Roman" w:eastAsia="宋体" w:hAnsi="Times New Roman" w:cs="Times New Roman"/>
          <w:sz w:val="24"/>
          <w:szCs w:val="24"/>
        </w:rPr>
        <w:t>英语</w:t>
      </w:r>
      <w:r w:rsidRPr="00C843E6">
        <w:rPr>
          <w:rFonts w:ascii="Times New Roman" w:eastAsia="宋体" w:hAnsi="Times New Roman" w:cs="Times New Roman" w:hint="eastAsia"/>
          <w:sz w:val="24"/>
          <w:szCs w:val="24"/>
        </w:rPr>
        <w:t>翻译技巧灵活运用</w:t>
      </w:r>
      <w:r w:rsidRPr="00C843E6">
        <w:rPr>
          <w:rFonts w:ascii="Times New Roman" w:eastAsia="宋体" w:hAnsi="Times New Roman" w:cs="Times New Roman"/>
          <w:sz w:val="24"/>
          <w:szCs w:val="24"/>
        </w:rPr>
        <w:t>，药学英语</w:t>
      </w:r>
      <w:proofErr w:type="gramStart"/>
      <w:r w:rsidRPr="00C843E6">
        <w:rPr>
          <w:rFonts w:ascii="Times New Roman" w:eastAsia="宋体" w:hAnsi="Times New Roman" w:cs="Times New Roman"/>
          <w:sz w:val="24"/>
          <w:szCs w:val="24"/>
        </w:rPr>
        <w:t>语</w:t>
      </w:r>
      <w:proofErr w:type="gramEnd"/>
      <w:r w:rsidRPr="00C843E6">
        <w:rPr>
          <w:rFonts w:ascii="Times New Roman" w:eastAsia="宋体" w:hAnsi="Times New Roman" w:cs="Times New Roman"/>
          <w:sz w:val="24"/>
          <w:szCs w:val="24"/>
        </w:rPr>
        <w:t>篇的文体处理；</w:t>
      </w:r>
    </w:p>
    <w:p w14:paraId="1365895B" w14:textId="77777777" w:rsidR="00C843E6" w:rsidRPr="00C843E6" w:rsidRDefault="00C843E6" w:rsidP="00C843E6">
      <w:pPr>
        <w:spacing w:line="440" w:lineRule="exact"/>
        <w:ind w:firstLineChars="200" w:firstLine="482"/>
        <w:rPr>
          <w:rFonts w:ascii="宋体" w:eastAsia="宋体" w:hAnsi="宋体" w:cs="Times New Roman"/>
          <w:color w:val="FF0000"/>
          <w:sz w:val="24"/>
        </w:rPr>
      </w:pPr>
      <w:r w:rsidRPr="00C843E6">
        <w:rPr>
          <w:rFonts w:ascii="宋体" w:eastAsia="宋体" w:hAnsi="宋体" w:cs="Times New Roman" w:hint="eastAsia"/>
          <w:b/>
          <w:bCs/>
          <w:sz w:val="24"/>
        </w:rPr>
        <w:t>【教学方法】</w:t>
      </w:r>
    </w:p>
    <w:p w14:paraId="395317CA"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1.</w:t>
      </w:r>
      <w:r w:rsidRPr="00C843E6">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43C46EE8"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2.</w:t>
      </w:r>
      <w:r w:rsidRPr="00C843E6">
        <w:rPr>
          <w:rFonts w:ascii="Times New Roman" w:eastAsia="宋体" w:hAnsi="Times New Roman" w:cs="Times New Roman"/>
          <w:sz w:val="24"/>
          <w:szCs w:val="24"/>
        </w:rPr>
        <w:t>采用课前学习课堂汇报的方法，通过安排学生提前预习，在课上派代表台上汇报，培养学生自主学习、独立思考的</w:t>
      </w:r>
      <w:proofErr w:type="gramStart"/>
      <w:r w:rsidRPr="00C843E6">
        <w:rPr>
          <w:rFonts w:ascii="Times New Roman" w:eastAsia="宋体" w:hAnsi="Times New Roman" w:cs="Times New Roman"/>
          <w:sz w:val="24"/>
          <w:szCs w:val="24"/>
        </w:rPr>
        <w:t>的</w:t>
      </w:r>
      <w:proofErr w:type="gramEnd"/>
      <w:r w:rsidRPr="00C843E6">
        <w:rPr>
          <w:rFonts w:ascii="Times New Roman" w:eastAsia="宋体" w:hAnsi="Times New Roman" w:cs="Times New Roman"/>
          <w:sz w:val="24"/>
          <w:szCs w:val="24"/>
        </w:rPr>
        <w:t>精神，强化学生对知识学习的应用意识，提升学生的教学技能和口语表达交流能力。</w:t>
      </w:r>
    </w:p>
    <w:p w14:paraId="61DFA1E8" w14:textId="77777777" w:rsidR="00C843E6" w:rsidRPr="00C843E6" w:rsidRDefault="00C843E6" w:rsidP="00C843E6">
      <w:pPr>
        <w:spacing w:line="440" w:lineRule="exact"/>
        <w:ind w:firstLineChars="200" w:firstLine="482"/>
        <w:rPr>
          <w:rFonts w:ascii="宋体" w:eastAsia="宋体" w:hAnsi="宋体" w:cs="Times New Roman"/>
          <w:bCs/>
          <w:color w:val="FF0000"/>
          <w:sz w:val="24"/>
        </w:rPr>
      </w:pPr>
      <w:r w:rsidRPr="00C843E6">
        <w:rPr>
          <w:rFonts w:ascii="宋体" w:eastAsia="宋体" w:hAnsi="宋体" w:cs="Times New Roman" w:hint="eastAsia"/>
          <w:b/>
          <w:sz w:val="24"/>
        </w:rPr>
        <w:t>【复习思考】</w:t>
      </w:r>
    </w:p>
    <w:p w14:paraId="5B532323" w14:textId="77777777" w:rsidR="00C843E6" w:rsidRPr="00C843E6" w:rsidRDefault="00C843E6" w:rsidP="00C843E6">
      <w:pPr>
        <w:spacing w:line="440" w:lineRule="exact"/>
        <w:ind w:firstLineChars="200" w:firstLine="480"/>
        <w:rPr>
          <w:rFonts w:ascii="宋体" w:eastAsia="宋体" w:hAnsi="宋体" w:cs="Times New Roman"/>
          <w:b/>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 xml:space="preserve">. </w:t>
      </w:r>
      <w:r w:rsidRPr="00C843E6">
        <w:rPr>
          <w:rFonts w:ascii="宋体" w:eastAsia="宋体" w:hAnsi="宋体" w:cs="Times New Roman" w:hint="eastAsia"/>
          <w:sz w:val="24"/>
          <w:szCs w:val="24"/>
        </w:rPr>
        <w:t>简述药学英语的词汇、句式特点及翻译要求。</w:t>
      </w:r>
    </w:p>
    <w:p w14:paraId="1F77D819"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 xml:space="preserve">. </w:t>
      </w:r>
      <w:r w:rsidRPr="00C843E6">
        <w:rPr>
          <w:rFonts w:ascii="宋体" w:eastAsia="宋体" w:hAnsi="宋体" w:cs="Times New Roman" w:hint="eastAsia"/>
          <w:sz w:val="24"/>
          <w:szCs w:val="24"/>
        </w:rPr>
        <w:t>举例说明药学英语的翻译技巧。</w:t>
      </w:r>
      <w:r w:rsidRPr="00C843E6">
        <w:rPr>
          <w:rFonts w:ascii="宋体" w:eastAsia="宋体" w:hAnsi="宋体" w:cs="Times New Roman"/>
          <w:sz w:val="24"/>
          <w:szCs w:val="24"/>
        </w:rPr>
        <w:t xml:space="preserve"> </w:t>
      </w:r>
    </w:p>
    <w:p w14:paraId="53A9FD84" w14:textId="77777777" w:rsidR="00C843E6" w:rsidRPr="00C843E6" w:rsidRDefault="00C843E6" w:rsidP="00C843E6">
      <w:pPr>
        <w:spacing w:beforeLines="50" w:before="156" w:afterLines="50" w:after="156" w:line="440" w:lineRule="exact"/>
        <w:ind w:firstLineChars="200" w:firstLine="560"/>
        <w:jc w:val="center"/>
        <w:rPr>
          <w:rFonts w:ascii="黑体" w:eastAsia="黑体" w:hAnsi="黑体" w:cs="Times New Roman"/>
          <w:sz w:val="28"/>
          <w:szCs w:val="28"/>
        </w:rPr>
      </w:pPr>
      <w:r w:rsidRPr="00C843E6">
        <w:rPr>
          <w:rFonts w:ascii="黑体" w:eastAsia="黑体" w:hAnsi="黑体" w:cs="Times New Roman" w:hint="eastAsia"/>
          <w:sz w:val="28"/>
          <w:szCs w:val="28"/>
        </w:rPr>
        <w:t>第二章  药学专业科技论文翻译</w:t>
      </w:r>
    </w:p>
    <w:p w14:paraId="3B6F80E7" w14:textId="77777777" w:rsidR="00C843E6" w:rsidRPr="00C843E6" w:rsidRDefault="00C843E6" w:rsidP="00C843E6">
      <w:pPr>
        <w:spacing w:line="440" w:lineRule="exact"/>
        <w:ind w:firstLineChars="200" w:firstLine="482"/>
        <w:rPr>
          <w:rFonts w:ascii="宋体" w:eastAsia="宋体" w:hAnsi="宋体" w:cs="Times New Roman"/>
          <w:b/>
          <w:sz w:val="24"/>
        </w:rPr>
      </w:pPr>
      <w:r w:rsidRPr="00C843E6">
        <w:rPr>
          <w:rFonts w:ascii="宋体" w:eastAsia="宋体" w:hAnsi="宋体" w:cs="Times New Roman" w:hint="eastAsia"/>
          <w:b/>
          <w:sz w:val="24"/>
        </w:rPr>
        <w:t>【学习目标】</w:t>
      </w:r>
    </w:p>
    <w:p w14:paraId="3FB0F07D" w14:textId="77777777" w:rsidR="00C843E6" w:rsidRPr="00C843E6" w:rsidRDefault="00C843E6">
      <w:pPr>
        <w:widowControl/>
        <w:numPr>
          <w:ilvl w:val="0"/>
          <w:numId w:val="178"/>
        </w:numPr>
        <w:spacing w:after="160" w:line="440" w:lineRule="exact"/>
        <w:ind w:firstLineChars="200" w:firstLine="480"/>
        <w:jc w:val="left"/>
        <w:rPr>
          <w:rFonts w:ascii="宋体" w:eastAsia="宋体" w:hAnsi="宋体" w:cs="Times New Roman"/>
          <w:sz w:val="24"/>
          <w:szCs w:val="24"/>
        </w:rPr>
      </w:pPr>
      <w:r w:rsidRPr="00C843E6">
        <w:rPr>
          <w:rFonts w:ascii="宋体" w:eastAsia="宋体" w:hAnsi="宋体" w:cs="Times New Roman" w:hint="eastAsia"/>
          <w:sz w:val="24"/>
          <w:szCs w:val="24"/>
        </w:rPr>
        <w:t>认知类目标：</w:t>
      </w:r>
      <w:r w:rsidRPr="00C843E6">
        <w:rPr>
          <w:rFonts w:ascii="宋体" w:eastAsia="宋体" w:hAnsi="宋体" w:cs="Times New Roman"/>
          <w:sz w:val="24"/>
          <w:szCs w:val="24"/>
        </w:rPr>
        <w:t>熟悉</w:t>
      </w:r>
      <w:r w:rsidRPr="00C843E6">
        <w:rPr>
          <w:rFonts w:ascii="宋体" w:eastAsia="宋体" w:hAnsi="宋体" w:cs="Times New Roman" w:hint="eastAsia"/>
          <w:sz w:val="24"/>
          <w:szCs w:val="24"/>
        </w:rPr>
        <w:t>科技论文的概念、特点与构成；了</w:t>
      </w:r>
      <w:r w:rsidRPr="00C843E6">
        <w:rPr>
          <w:rFonts w:ascii="宋体" w:eastAsia="宋体" w:hAnsi="宋体" w:cs="Times New Roman"/>
          <w:sz w:val="24"/>
          <w:szCs w:val="24"/>
        </w:rPr>
        <w:t>解</w:t>
      </w:r>
      <w:r w:rsidRPr="00C843E6">
        <w:rPr>
          <w:rFonts w:ascii="宋体" w:eastAsia="宋体" w:hAnsi="宋体" w:cs="Times New Roman" w:hint="eastAsia"/>
          <w:sz w:val="24"/>
          <w:szCs w:val="24"/>
        </w:rPr>
        <w:t>学位论文写作中常见的问题；</w:t>
      </w:r>
    </w:p>
    <w:p w14:paraId="0206CBB2" w14:textId="77777777" w:rsidR="00C843E6" w:rsidRPr="00C843E6" w:rsidRDefault="00C843E6">
      <w:pPr>
        <w:widowControl/>
        <w:numPr>
          <w:ilvl w:val="0"/>
          <w:numId w:val="178"/>
        </w:numPr>
        <w:spacing w:after="160" w:line="440" w:lineRule="exact"/>
        <w:ind w:firstLineChars="200" w:firstLine="480"/>
        <w:jc w:val="left"/>
        <w:rPr>
          <w:rFonts w:ascii="宋体" w:eastAsia="宋体" w:hAnsi="宋体" w:cs="Times New Roman"/>
          <w:sz w:val="24"/>
          <w:szCs w:val="24"/>
        </w:rPr>
      </w:pPr>
      <w:r w:rsidRPr="00C843E6">
        <w:rPr>
          <w:rFonts w:ascii="宋体" w:eastAsia="宋体" w:hAnsi="宋体" w:cs="Times New Roman" w:hint="eastAsia"/>
          <w:sz w:val="24"/>
          <w:szCs w:val="24"/>
        </w:rPr>
        <w:t>过程与方法类目标：掌握药学专业英文文献的翻译；熟悉参考文献的准确编写格式；</w:t>
      </w:r>
      <w:r w:rsidRPr="00C843E6">
        <w:rPr>
          <w:rFonts w:ascii="宋体" w:eastAsia="宋体" w:hAnsi="宋体" w:cs="Times New Roman"/>
          <w:sz w:val="24"/>
          <w:szCs w:val="24"/>
        </w:rPr>
        <w:t>掌握</w:t>
      </w:r>
      <w:r w:rsidRPr="00C843E6">
        <w:rPr>
          <w:rFonts w:ascii="宋体" w:eastAsia="宋体" w:hAnsi="宋体" w:cs="Times New Roman" w:hint="eastAsia"/>
          <w:sz w:val="24"/>
          <w:szCs w:val="24"/>
        </w:rPr>
        <w:t>科技论文的写作要求；</w:t>
      </w:r>
    </w:p>
    <w:p w14:paraId="59C12ECC" w14:textId="77777777" w:rsidR="00C843E6" w:rsidRPr="00C843E6" w:rsidRDefault="00C843E6">
      <w:pPr>
        <w:widowControl/>
        <w:numPr>
          <w:ilvl w:val="0"/>
          <w:numId w:val="178"/>
        </w:numPr>
        <w:spacing w:after="160" w:line="440" w:lineRule="exact"/>
        <w:ind w:firstLineChars="200" w:firstLine="480"/>
        <w:jc w:val="left"/>
        <w:rPr>
          <w:rFonts w:ascii="宋体" w:eastAsia="宋体" w:hAnsi="宋体" w:cs="Times New Roman"/>
          <w:b/>
          <w:sz w:val="24"/>
        </w:rPr>
      </w:pPr>
      <w:r w:rsidRPr="00C843E6">
        <w:rPr>
          <w:rFonts w:ascii="宋体" w:eastAsia="宋体" w:hAnsi="宋体" w:cs="Times New Roman" w:hint="eastAsia"/>
          <w:sz w:val="24"/>
          <w:szCs w:val="24"/>
        </w:rPr>
        <w:lastRenderedPageBreak/>
        <w:t>情感、态度、价值观类目标：通过阅读国内外药学专业科技论文等内容的相关资料，提升学生对阅读翻译专业科技论文的兴趣，为中国药学的发展努力奋斗。</w:t>
      </w:r>
    </w:p>
    <w:p w14:paraId="632D3EB9" w14:textId="77777777" w:rsidR="00C843E6" w:rsidRPr="00C843E6" w:rsidRDefault="00C843E6" w:rsidP="00C843E6">
      <w:pPr>
        <w:spacing w:line="440" w:lineRule="exact"/>
        <w:ind w:left="482"/>
        <w:rPr>
          <w:rFonts w:ascii="宋体" w:eastAsia="宋体" w:hAnsi="宋体" w:cs="Times New Roman"/>
          <w:b/>
          <w:sz w:val="24"/>
        </w:rPr>
      </w:pPr>
      <w:r w:rsidRPr="00C843E6">
        <w:rPr>
          <w:rFonts w:ascii="宋体" w:eastAsia="宋体" w:hAnsi="宋体" w:cs="Times New Roman" w:hint="eastAsia"/>
          <w:b/>
          <w:sz w:val="24"/>
        </w:rPr>
        <w:t>【学习内容】</w:t>
      </w:r>
    </w:p>
    <w:p w14:paraId="59CC1E4A"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 xml:space="preserve">2.1 </w:t>
      </w:r>
      <w:r w:rsidRPr="00C843E6">
        <w:rPr>
          <w:rFonts w:ascii="Times New Roman" w:eastAsia="宋体" w:hAnsi="Times New Roman" w:cs="Times New Roman"/>
          <w:sz w:val="24"/>
          <w:szCs w:val="24"/>
        </w:rPr>
        <w:t>科技论文的特点与构成</w:t>
      </w:r>
    </w:p>
    <w:p w14:paraId="06B2E9FB"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2.1.1</w:t>
      </w:r>
      <w:r w:rsidRPr="00C843E6">
        <w:rPr>
          <w:rFonts w:ascii="Times New Roman" w:eastAsia="宋体" w:hAnsi="Times New Roman" w:cs="Times New Roman"/>
          <w:sz w:val="24"/>
          <w:szCs w:val="24"/>
        </w:rPr>
        <w:t>科技论文的概念</w:t>
      </w:r>
    </w:p>
    <w:p w14:paraId="18C707A5"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2.1.2</w:t>
      </w:r>
      <w:r w:rsidRPr="00C843E6">
        <w:rPr>
          <w:rFonts w:ascii="Times New Roman" w:eastAsia="宋体" w:hAnsi="Times New Roman" w:cs="Times New Roman"/>
          <w:sz w:val="24"/>
          <w:szCs w:val="24"/>
        </w:rPr>
        <w:t>科技论文写作与发表的意义</w:t>
      </w:r>
    </w:p>
    <w:p w14:paraId="267D0708"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2.1.3</w:t>
      </w:r>
      <w:r w:rsidRPr="00C843E6">
        <w:rPr>
          <w:rFonts w:ascii="Times New Roman" w:eastAsia="宋体" w:hAnsi="Times New Roman" w:cs="Times New Roman"/>
          <w:sz w:val="24"/>
          <w:szCs w:val="24"/>
        </w:rPr>
        <w:t>科技论文的分类</w:t>
      </w:r>
    </w:p>
    <w:p w14:paraId="25837954"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2.1.4</w:t>
      </w:r>
      <w:r w:rsidRPr="00C843E6">
        <w:rPr>
          <w:rFonts w:ascii="Times New Roman" w:eastAsia="宋体" w:hAnsi="Times New Roman" w:cs="Times New Roman"/>
          <w:sz w:val="24"/>
          <w:szCs w:val="24"/>
        </w:rPr>
        <w:t>科技论文的特点</w:t>
      </w:r>
    </w:p>
    <w:p w14:paraId="3FD24091"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2.1.5</w:t>
      </w:r>
      <w:r w:rsidRPr="00C843E6">
        <w:rPr>
          <w:rFonts w:ascii="Times New Roman" w:eastAsia="宋体" w:hAnsi="Times New Roman" w:cs="Times New Roman"/>
          <w:sz w:val="24"/>
          <w:szCs w:val="24"/>
        </w:rPr>
        <w:t>科技论文的构成</w:t>
      </w:r>
    </w:p>
    <w:p w14:paraId="0003C53C"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 xml:space="preserve">2.2 </w:t>
      </w:r>
      <w:r w:rsidRPr="00C843E6">
        <w:rPr>
          <w:rFonts w:ascii="Times New Roman" w:eastAsia="宋体" w:hAnsi="Times New Roman" w:cs="Times New Roman"/>
          <w:sz w:val="24"/>
          <w:szCs w:val="24"/>
        </w:rPr>
        <w:t>科技论文的写作要求</w:t>
      </w:r>
    </w:p>
    <w:p w14:paraId="2BB23802"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2.2.1</w:t>
      </w:r>
      <w:r w:rsidRPr="00C843E6">
        <w:rPr>
          <w:rFonts w:ascii="Times New Roman" w:eastAsia="宋体" w:hAnsi="Times New Roman" w:cs="Times New Roman"/>
          <w:sz w:val="24"/>
          <w:szCs w:val="24"/>
        </w:rPr>
        <w:t>科技论文的前置部分</w:t>
      </w:r>
    </w:p>
    <w:p w14:paraId="6F1B7AD1"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2.2.2</w:t>
      </w:r>
      <w:r w:rsidRPr="00C843E6">
        <w:rPr>
          <w:rFonts w:ascii="Times New Roman" w:eastAsia="宋体" w:hAnsi="Times New Roman" w:cs="Times New Roman"/>
          <w:sz w:val="24"/>
          <w:szCs w:val="24"/>
        </w:rPr>
        <w:t>科技论文的主体部分</w:t>
      </w:r>
    </w:p>
    <w:p w14:paraId="0C43A6A4"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2.2.3</w:t>
      </w:r>
      <w:r w:rsidRPr="00C843E6">
        <w:rPr>
          <w:rFonts w:ascii="Times New Roman" w:eastAsia="宋体" w:hAnsi="Times New Roman" w:cs="Times New Roman"/>
          <w:sz w:val="24"/>
          <w:szCs w:val="24"/>
        </w:rPr>
        <w:t>学位论文的写作要求</w:t>
      </w:r>
    </w:p>
    <w:p w14:paraId="1A5CA371"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2.2.4</w:t>
      </w:r>
      <w:r w:rsidRPr="00C843E6">
        <w:rPr>
          <w:rFonts w:ascii="Times New Roman" w:eastAsia="宋体" w:hAnsi="Times New Roman" w:cs="Times New Roman"/>
          <w:sz w:val="24"/>
          <w:szCs w:val="24"/>
        </w:rPr>
        <w:t>学位论文写作中常见的问题</w:t>
      </w:r>
    </w:p>
    <w:p w14:paraId="6EF6F2ED"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 xml:space="preserve">2.3 </w:t>
      </w:r>
      <w:r w:rsidRPr="00C843E6">
        <w:rPr>
          <w:rFonts w:ascii="Times New Roman" w:eastAsia="宋体" w:hAnsi="Times New Roman" w:cs="Times New Roman"/>
          <w:sz w:val="24"/>
          <w:szCs w:val="24"/>
        </w:rPr>
        <w:t>药学专业英文文献</w:t>
      </w:r>
      <w:r w:rsidRPr="00C843E6">
        <w:rPr>
          <w:rFonts w:ascii="Times New Roman" w:eastAsia="宋体" w:hAnsi="Times New Roman" w:cs="Times New Roman" w:hint="eastAsia"/>
          <w:sz w:val="24"/>
          <w:szCs w:val="24"/>
        </w:rPr>
        <w:t>词汇和</w:t>
      </w:r>
      <w:r w:rsidRPr="00C843E6">
        <w:rPr>
          <w:rFonts w:ascii="Times New Roman" w:eastAsia="宋体" w:hAnsi="Times New Roman" w:cs="Times New Roman"/>
          <w:sz w:val="24"/>
          <w:szCs w:val="24"/>
        </w:rPr>
        <w:t>翻译</w:t>
      </w:r>
    </w:p>
    <w:p w14:paraId="12D255E0" w14:textId="77777777" w:rsidR="00C843E6" w:rsidRPr="00C843E6" w:rsidRDefault="00C843E6" w:rsidP="00C843E6">
      <w:pPr>
        <w:spacing w:line="440" w:lineRule="exact"/>
        <w:ind w:firstLineChars="200" w:firstLine="482"/>
        <w:rPr>
          <w:rFonts w:ascii="宋体" w:eastAsia="宋体" w:hAnsi="宋体" w:cs="Times New Roman"/>
          <w:b/>
          <w:sz w:val="24"/>
        </w:rPr>
      </w:pPr>
      <w:r w:rsidRPr="00C843E6">
        <w:rPr>
          <w:rFonts w:ascii="宋体" w:eastAsia="宋体" w:hAnsi="宋体" w:cs="Times New Roman" w:hint="eastAsia"/>
          <w:b/>
          <w:sz w:val="24"/>
        </w:rPr>
        <w:t>【教学方法】</w:t>
      </w:r>
    </w:p>
    <w:p w14:paraId="2A353BE2" w14:textId="77777777" w:rsidR="00C843E6" w:rsidRPr="00C843E6" w:rsidRDefault="00C843E6">
      <w:pPr>
        <w:widowControl/>
        <w:numPr>
          <w:ilvl w:val="0"/>
          <w:numId w:val="179"/>
        </w:numPr>
        <w:spacing w:after="160" w:line="440" w:lineRule="exact"/>
        <w:ind w:firstLineChars="200" w:firstLine="480"/>
        <w:jc w:val="left"/>
        <w:rPr>
          <w:rFonts w:ascii="宋体" w:eastAsia="宋体" w:hAnsi="宋体" w:cs="Times New Roman"/>
          <w:sz w:val="24"/>
          <w:szCs w:val="24"/>
        </w:rPr>
      </w:pPr>
      <w:r w:rsidRPr="00C843E6">
        <w:rPr>
          <w:rFonts w:ascii="宋体" w:eastAsia="宋体" w:hAnsi="宋体" w:cs="Times New Roman" w:hint="eastAsia"/>
          <w:sz w:val="24"/>
          <w:szCs w:val="24"/>
        </w:rPr>
        <w:t>通过多媒体课件和传统教学相结合，讲授</w:t>
      </w:r>
      <w:r w:rsidRPr="00C843E6">
        <w:rPr>
          <w:rFonts w:ascii="ˎ̥" w:eastAsia="宋体" w:hAnsi="ˎ̥" w:cs="宋体" w:hint="eastAsia"/>
          <w:kern w:val="0"/>
          <w:sz w:val="24"/>
          <w:szCs w:val="24"/>
        </w:rPr>
        <w:t>药学专业科技论文翻译及科技论文写作，培养学生的职业规范；</w:t>
      </w:r>
    </w:p>
    <w:p w14:paraId="574707D8"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 xml:space="preserve"> </w:t>
      </w:r>
      <w:r w:rsidRPr="00C843E6">
        <w:rPr>
          <w:rFonts w:ascii="宋体" w:eastAsia="宋体" w:hAnsi="宋体" w:cs="Times New Roman" w:hint="eastAsia"/>
          <w:sz w:val="24"/>
          <w:szCs w:val="24"/>
        </w:rPr>
        <w:t>采用探究式教学方法，通过小组合作学习，自行查找文献资料，发展学生的合作能力，教师及时点拨；</w:t>
      </w:r>
    </w:p>
    <w:p w14:paraId="5B04D2E4"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w:t>
      </w:r>
      <w:r w:rsidRPr="00C843E6">
        <w:rPr>
          <w:rFonts w:ascii="宋体" w:eastAsia="宋体" w:hAnsi="宋体" w:cs="Times New Roman"/>
          <w:sz w:val="24"/>
          <w:szCs w:val="24"/>
        </w:rPr>
        <w:t xml:space="preserve"> </w:t>
      </w:r>
      <w:r w:rsidRPr="00C843E6">
        <w:rPr>
          <w:rFonts w:ascii="宋体" w:eastAsia="宋体" w:hAnsi="宋体" w:cs="Times New Roman" w:hint="eastAsia"/>
          <w:sz w:val="24"/>
          <w:szCs w:val="24"/>
        </w:rPr>
        <w:t>通过课堂口述表达和课后独立写作，培养学生的自主表达能力，强化知识应用意识，发展学生的学习能力和举一反三能力。</w:t>
      </w:r>
    </w:p>
    <w:p w14:paraId="631B6478" w14:textId="77777777" w:rsidR="00C843E6" w:rsidRPr="00C843E6" w:rsidRDefault="00C843E6" w:rsidP="00C843E6">
      <w:pPr>
        <w:spacing w:line="440" w:lineRule="exact"/>
        <w:ind w:left="482"/>
        <w:rPr>
          <w:rFonts w:ascii="宋体" w:eastAsia="宋体" w:hAnsi="宋体" w:cs="Times New Roman"/>
          <w:b/>
          <w:sz w:val="24"/>
        </w:rPr>
      </w:pPr>
      <w:r w:rsidRPr="00C843E6">
        <w:rPr>
          <w:rFonts w:ascii="宋体" w:eastAsia="宋体" w:hAnsi="宋体" w:cs="Times New Roman" w:hint="eastAsia"/>
          <w:b/>
          <w:sz w:val="24"/>
        </w:rPr>
        <w:t>【复习思考】</w:t>
      </w:r>
    </w:p>
    <w:p w14:paraId="2CEA4229"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 xml:space="preserve">1. </w:t>
      </w:r>
      <w:r w:rsidRPr="00C843E6">
        <w:rPr>
          <w:rFonts w:ascii="Times New Roman" w:eastAsia="宋体" w:hAnsi="Times New Roman" w:cs="Times New Roman"/>
          <w:sz w:val="24"/>
          <w:szCs w:val="24"/>
        </w:rPr>
        <w:t>科技论文的结构特点</w:t>
      </w:r>
      <w:r w:rsidRPr="00C843E6">
        <w:rPr>
          <w:rFonts w:ascii="Times New Roman" w:eastAsia="宋体" w:hAnsi="Times New Roman" w:cs="Times New Roman" w:hint="eastAsia"/>
          <w:sz w:val="24"/>
          <w:szCs w:val="24"/>
        </w:rPr>
        <w:t>；</w:t>
      </w:r>
    </w:p>
    <w:p w14:paraId="31F8EE52" w14:textId="77777777" w:rsidR="00C843E6" w:rsidRPr="00C843E6" w:rsidRDefault="00C843E6" w:rsidP="00C843E6">
      <w:pPr>
        <w:spacing w:line="440" w:lineRule="exact"/>
        <w:ind w:firstLineChars="200" w:firstLine="480"/>
        <w:rPr>
          <w:rFonts w:ascii="Times New Roman" w:eastAsia="宋体" w:hAnsi="Times New Roman" w:cs="Times New Roman"/>
          <w:szCs w:val="24"/>
        </w:rPr>
      </w:pPr>
      <w:r w:rsidRPr="00C843E6">
        <w:rPr>
          <w:rFonts w:ascii="Times New Roman" w:eastAsia="宋体" w:hAnsi="Times New Roman" w:cs="Times New Roman"/>
          <w:sz w:val="24"/>
          <w:szCs w:val="24"/>
        </w:rPr>
        <w:t xml:space="preserve">2. </w:t>
      </w:r>
      <w:r w:rsidRPr="00C843E6">
        <w:rPr>
          <w:rFonts w:ascii="Times New Roman" w:eastAsia="宋体" w:hAnsi="Times New Roman" w:cs="Times New Roman"/>
          <w:sz w:val="24"/>
          <w:szCs w:val="24"/>
        </w:rPr>
        <w:t>科技论文的分类</w:t>
      </w:r>
      <w:r w:rsidRPr="00C843E6">
        <w:rPr>
          <w:rFonts w:ascii="Times New Roman" w:eastAsia="宋体" w:hAnsi="Times New Roman" w:cs="Times New Roman" w:hint="eastAsia"/>
          <w:sz w:val="24"/>
          <w:szCs w:val="24"/>
        </w:rPr>
        <w:t>。</w:t>
      </w:r>
    </w:p>
    <w:p w14:paraId="35DB87F2" w14:textId="77777777" w:rsidR="00C843E6" w:rsidRPr="00C843E6" w:rsidRDefault="00C843E6" w:rsidP="00C843E6">
      <w:pPr>
        <w:spacing w:beforeLines="50" w:before="156" w:afterLines="50" w:after="156" w:line="440" w:lineRule="exact"/>
        <w:ind w:firstLineChars="200" w:firstLine="562"/>
        <w:jc w:val="center"/>
        <w:rPr>
          <w:rFonts w:ascii="黑体" w:eastAsia="黑体" w:hAnsi="黑体" w:cs="黑体"/>
          <w:b/>
          <w:sz w:val="28"/>
          <w:szCs w:val="28"/>
        </w:rPr>
      </w:pPr>
      <w:r w:rsidRPr="00C843E6">
        <w:rPr>
          <w:rFonts w:ascii="黑体" w:eastAsia="黑体" w:hAnsi="黑体" w:cs="黑体" w:hint="eastAsia"/>
          <w:b/>
          <w:sz w:val="28"/>
          <w:szCs w:val="28"/>
        </w:rPr>
        <w:t>第三章  英文摘要的写作</w:t>
      </w:r>
    </w:p>
    <w:p w14:paraId="41FB25AE" w14:textId="77777777" w:rsidR="00C843E6" w:rsidRPr="00C843E6" w:rsidRDefault="00C843E6" w:rsidP="00C843E6">
      <w:pPr>
        <w:spacing w:line="440" w:lineRule="exact"/>
        <w:ind w:firstLineChars="200" w:firstLine="482"/>
        <w:rPr>
          <w:rFonts w:ascii="宋体" w:eastAsia="宋体" w:hAnsi="宋体" w:cs="Times New Roman"/>
          <w:bCs/>
          <w:sz w:val="24"/>
        </w:rPr>
      </w:pPr>
      <w:r w:rsidRPr="00C843E6">
        <w:rPr>
          <w:rFonts w:ascii="宋体" w:eastAsia="宋体" w:hAnsi="宋体" w:cs="Times New Roman" w:hint="eastAsia"/>
          <w:b/>
          <w:sz w:val="24"/>
        </w:rPr>
        <w:t>【学习目标】</w:t>
      </w:r>
    </w:p>
    <w:p w14:paraId="5AE16B16"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hint="eastAsia"/>
          <w:sz w:val="24"/>
          <w:szCs w:val="24"/>
        </w:rPr>
        <w:t xml:space="preserve">1. </w:t>
      </w:r>
      <w:r w:rsidRPr="00C843E6">
        <w:rPr>
          <w:rFonts w:ascii="Times New Roman" w:eastAsia="宋体" w:hAnsi="Times New Roman" w:cs="Times New Roman" w:hint="eastAsia"/>
          <w:sz w:val="24"/>
          <w:szCs w:val="24"/>
        </w:rPr>
        <w:t>认知类目标：</w:t>
      </w:r>
      <w:r w:rsidRPr="00C843E6">
        <w:rPr>
          <w:rFonts w:ascii="Times New Roman" w:eastAsia="宋体" w:hAnsi="Times New Roman" w:cs="Times New Roman"/>
          <w:sz w:val="24"/>
          <w:szCs w:val="24"/>
        </w:rPr>
        <w:t>了解英文摘要的写作技巧与运用</w:t>
      </w:r>
      <w:r w:rsidRPr="00C843E6">
        <w:rPr>
          <w:rFonts w:ascii="Times New Roman" w:eastAsia="宋体" w:hAnsi="Times New Roman" w:cs="Times New Roman" w:hint="eastAsia"/>
          <w:sz w:val="24"/>
          <w:szCs w:val="24"/>
        </w:rPr>
        <w:t>；</w:t>
      </w:r>
    </w:p>
    <w:p w14:paraId="14D613E5"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hint="eastAsia"/>
          <w:sz w:val="24"/>
          <w:szCs w:val="24"/>
        </w:rPr>
        <w:t xml:space="preserve">2. </w:t>
      </w:r>
      <w:r w:rsidRPr="00C843E6">
        <w:rPr>
          <w:rFonts w:ascii="Times New Roman" w:eastAsia="宋体" w:hAnsi="Times New Roman" w:cs="Times New Roman" w:hint="eastAsia"/>
          <w:sz w:val="24"/>
          <w:szCs w:val="24"/>
        </w:rPr>
        <w:t>过程与方法类目标：</w:t>
      </w:r>
      <w:r w:rsidRPr="00C843E6">
        <w:rPr>
          <w:rFonts w:ascii="Times New Roman" w:eastAsia="宋体" w:hAnsi="Times New Roman" w:cs="Times New Roman"/>
          <w:sz w:val="24"/>
          <w:szCs w:val="24"/>
        </w:rPr>
        <w:t>掌握英文摘要的写作技巧与常见问题，熟悉摘要的重要性</w:t>
      </w:r>
      <w:r w:rsidRPr="00C843E6">
        <w:rPr>
          <w:rFonts w:ascii="Times New Roman" w:eastAsia="宋体" w:hAnsi="Times New Roman" w:cs="Times New Roman" w:hint="eastAsia"/>
          <w:sz w:val="24"/>
          <w:szCs w:val="24"/>
        </w:rPr>
        <w:t>；</w:t>
      </w:r>
    </w:p>
    <w:p w14:paraId="73C5F70E"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hint="eastAsia"/>
          <w:sz w:val="24"/>
          <w:szCs w:val="24"/>
        </w:rPr>
        <w:lastRenderedPageBreak/>
        <w:t xml:space="preserve">3. </w:t>
      </w:r>
      <w:r w:rsidRPr="00C843E6">
        <w:rPr>
          <w:rFonts w:ascii="Times New Roman" w:eastAsia="宋体" w:hAnsi="Times New Roman" w:cs="Times New Roman" w:hint="eastAsia"/>
          <w:sz w:val="24"/>
          <w:szCs w:val="24"/>
        </w:rPr>
        <w:t>情感、态度、价值观类目标：激发学生撰写英文论文写作的热情，为今后中国科研的发展奉献力量。</w:t>
      </w:r>
    </w:p>
    <w:p w14:paraId="0CA3BD24" w14:textId="77777777" w:rsidR="00C843E6" w:rsidRPr="00C843E6" w:rsidRDefault="00C843E6" w:rsidP="00C843E6">
      <w:pPr>
        <w:spacing w:line="440" w:lineRule="exact"/>
        <w:ind w:firstLineChars="200" w:firstLine="482"/>
        <w:rPr>
          <w:rFonts w:ascii="Times New Roman" w:eastAsia="宋体" w:hAnsi="Times New Roman" w:cs="Times New Roman"/>
          <w:b/>
          <w:sz w:val="24"/>
          <w:szCs w:val="24"/>
        </w:rPr>
      </w:pPr>
      <w:r w:rsidRPr="00C843E6">
        <w:rPr>
          <w:rFonts w:ascii="Times New Roman" w:eastAsia="宋体" w:hAnsi="Times New Roman" w:cs="Times New Roman"/>
          <w:b/>
          <w:sz w:val="24"/>
          <w:szCs w:val="24"/>
        </w:rPr>
        <w:t>【学习内容】</w:t>
      </w:r>
    </w:p>
    <w:p w14:paraId="009BB4AC"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 xml:space="preserve">3.1 </w:t>
      </w:r>
      <w:r w:rsidRPr="00C843E6">
        <w:rPr>
          <w:rFonts w:ascii="Times New Roman" w:eastAsia="宋体" w:hAnsi="Times New Roman" w:cs="Times New Roman"/>
          <w:sz w:val="24"/>
          <w:szCs w:val="24"/>
        </w:rPr>
        <w:t>摘要的重要性</w:t>
      </w:r>
    </w:p>
    <w:p w14:paraId="706ECC80"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 xml:space="preserve">3.2 </w:t>
      </w:r>
      <w:r w:rsidRPr="00C843E6">
        <w:rPr>
          <w:rFonts w:ascii="Times New Roman" w:eastAsia="宋体" w:hAnsi="Times New Roman" w:cs="Times New Roman"/>
          <w:sz w:val="24"/>
          <w:szCs w:val="24"/>
        </w:rPr>
        <w:t>英文摘要的写作技巧</w:t>
      </w:r>
    </w:p>
    <w:p w14:paraId="65A8362C"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3.2.1</w:t>
      </w:r>
      <w:r w:rsidRPr="00C843E6">
        <w:rPr>
          <w:rFonts w:ascii="Times New Roman" w:eastAsia="宋体" w:hAnsi="Times New Roman" w:cs="Times New Roman"/>
          <w:sz w:val="24"/>
          <w:szCs w:val="24"/>
        </w:rPr>
        <w:t>英文科技论文的题目</w:t>
      </w:r>
    </w:p>
    <w:p w14:paraId="01331C1E"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3.2.2</w:t>
      </w:r>
      <w:r w:rsidRPr="00C843E6">
        <w:rPr>
          <w:rFonts w:ascii="Times New Roman" w:eastAsia="宋体" w:hAnsi="Times New Roman" w:cs="Times New Roman"/>
          <w:sz w:val="24"/>
          <w:szCs w:val="24"/>
        </w:rPr>
        <w:t>英文科技论文的关键词</w:t>
      </w:r>
    </w:p>
    <w:p w14:paraId="20CA4E1E"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3.2.3</w:t>
      </w:r>
      <w:r w:rsidRPr="00C843E6">
        <w:rPr>
          <w:rFonts w:ascii="Times New Roman" w:eastAsia="宋体" w:hAnsi="Times New Roman" w:cs="Times New Roman"/>
          <w:sz w:val="24"/>
          <w:szCs w:val="24"/>
        </w:rPr>
        <w:t>英文科技论文的摘要</w:t>
      </w:r>
    </w:p>
    <w:p w14:paraId="0C23969D"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 xml:space="preserve">3.3 </w:t>
      </w:r>
      <w:r w:rsidRPr="00C843E6">
        <w:rPr>
          <w:rFonts w:ascii="Times New Roman" w:eastAsia="宋体" w:hAnsi="Times New Roman" w:cs="Times New Roman"/>
          <w:sz w:val="24"/>
          <w:szCs w:val="24"/>
        </w:rPr>
        <w:t>英文摘要写作练习</w:t>
      </w:r>
    </w:p>
    <w:p w14:paraId="4C55CF7A" w14:textId="77777777" w:rsidR="00C843E6" w:rsidRPr="00C843E6" w:rsidRDefault="00C843E6" w:rsidP="00C843E6">
      <w:pPr>
        <w:spacing w:line="440" w:lineRule="exact"/>
        <w:ind w:firstLineChars="200" w:firstLine="482"/>
        <w:rPr>
          <w:rFonts w:ascii="Times New Roman" w:eastAsia="宋体" w:hAnsi="Times New Roman" w:cs="Times New Roman"/>
          <w:sz w:val="24"/>
          <w:szCs w:val="24"/>
        </w:rPr>
      </w:pPr>
      <w:r w:rsidRPr="00C843E6">
        <w:rPr>
          <w:rFonts w:ascii="Times New Roman" w:eastAsia="宋体" w:hAnsi="Times New Roman" w:cs="Times New Roman"/>
          <w:b/>
          <w:sz w:val="24"/>
          <w:szCs w:val="24"/>
        </w:rPr>
        <w:t>【重点】</w:t>
      </w:r>
      <w:r w:rsidRPr="00C843E6">
        <w:rPr>
          <w:rFonts w:ascii="Times New Roman" w:eastAsia="宋体" w:hAnsi="Times New Roman" w:cs="Times New Roman"/>
          <w:b/>
          <w:sz w:val="24"/>
          <w:szCs w:val="24"/>
        </w:rPr>
        <w:t xml:space="preserve"> </w:t>
      </w:r>
      <w:r w:rsidRPr="00C843E6">
        <w:rPr>
          <w:rFonts w:ascii="Times New Roman" w:eastAsia="宋体" w:hAnsi="Times New Roman" w:cs="Times New Roman"/>
          <w:sz w:val="24"/>
          <w:szCs w:val="24"/>
        </w:rPr>
        <w:t>英文摘要的写作技巧与常见问题。</w:t>
      </w:r>
    </w:p>
    <w:p w14:paraId="130553A0" w14:textId="77777777" w:rsidR="00C843E6" w:rsidRPr="00C843E6" w:rsidRDefault="00C843E6" w:rsidP="00C843E6">
      <w:pPr>
        <w:spacing w:line="440" w:lineRule="exact"/>
        <w:ind w:firstLineChars="200" w:firstLine="482"/>
        <w:rPr>
          <w:rFonts w:ascii="Times New Roman" w:eastAsia="宋体" w:hAnsi="Times New Roman" w:cs="Times New Roman"/>
          <w:b/>
          <w:bCs/>
          <w:sz w:val="24"/>
          <w:szCs w:val="24"/>
        </w:rPr>
      </w:pPr>
      <w:r w:rsidRPr="00C843E6">
        <w:rPr>
          <w:rFonts w:ascii="Times New Roman" w:eastAsia="宋体" w:hAnsi="Times New Roman" w:cs="Times New Roman"/>
          <w:b/>
          <w:sz w:val="24"/>
          <w:szCs w:val="24"/>
        </w:rPr>
        <w:t>【难点】</w:t>
      </w:r>
      <w:r w:rsidRPr="00C843E6">
        <w:rPr>
          <w:rFonts w:ascii="Times New Roman" w:eastAsia="宋体" w:hAnsi="Times New Roman" w:cs="Times New Roman"/>
          <w:b/>
          <w:sz w:val="24"/>
          <w:szCs w:val="24"/>
        </w:rPr>
        <w:t xml:space="preserve"> </w:t>
      </w:r>
      <w:r w:rsidRPr="00C843E6">
        <w:rPr>
          <w:rFonts w:ascii="Times New Roman" w:eastAsia="宋体" w:hAnsi="Times New Roman" w:cs="Times New Roman"/>
          <w:sz w:val="24"/>
          <w:szCs w:val="24"/>
        </w:rPr>
        <w:t>英文摘要的写作技巧与运用。</w:t>
      </w:r>
    </w:p>
    <w:p w14:paraId="4E65EA41" w14:textId="77777777" w:rsidR="00C843E6" w:rsidRPr="00C843E6" w:rsidRDefault="00C843E6" w:rsidP="00C843E6">
      <w:pPr>
        <w:spacing w:line="440" w:lineRule="exact"/>
        <w:ind w:firstLineChars="200" w:firstLine="482"/>
        <w:rPr>
          <w:rFonts w:ascii="Times New Roman" w:eastAsia="宋体" w:hAnsi="Times New Roman" w:cs="Times New Roman"/>
          <w:sz w:val="24"/>
          <w:szCs w:val="24"/>
        </w:rPr>
      </w:pPr>
      <w:r w:rsidRPr="00C843E6">
        <w:rPr>
          <w:rFonts w:ascii="Times New Roman" w:eastAsia="宋体" w:hAnsi="Times New Roman" w:cs="Times New Roman"/>
          <w:b/>
          <w:bCs/>
          <w:sz w:val="24"/>
          <w:szCs w:val="24"/>
        </w:rPr>
        <w:t>【教学方法】</w:t>
      </w:r>
    </w:p>
    <w:p w14:paraId="36D8A43E"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hint="eastAsia"/>
          <w:sz w:val="24"/>
          <w:szCs w:val="24"/>
        </w:rPr>
        <w:t>1.</w:t>
      </w:r>
      <w:r w:rsidRPr="00C843E6">
        <w:rPr>
          <w:rFonts w:ascii="Times New Roman" w:eastAsia="宋体" w:hAnsi="Times New Roman" w:cs="Times New Roman"/>
          <w:sz w:val="24"/>
          <w:szCs w:val="24"/>
        </w:rPr>
        <w:t xml:space="preserve"> </w:t>
      </w:r>
      <w:r w:rsidRPr="00C843E6">
        <w:rPr>
          <w:rFonts w:ascii="Times New Roman" w:eastAsia="宋体" w:hAnsi="Times New Roman" w:cs="Times New Roman"/>
          <w:sz w:val="24"/>
          <w:szCs w:val="24"/>
        </w:rPr>
        <w:t>通过多媒体课件和传统教学相结合，阐明课程与教学基本原理，丰富学生课程与教学的基本知识结构</w:t>
      </w:r>
      <w:r w:rsidRPr="00C843E6">
        <w:rPr>
          <w:rFonts w:ascii="Times New Roman" w:eastAsia="宋体" w:hAnsi="Times New Roman" w:cs="Times New Roman" w:hint="eastAsia"/>
          <w:sz w:val="24"/>
          <w:szCs w:val="24"/>
        </w:rPr>
        <w:t>；</w:t>
      </w:r>
    </w:p>
    <w:p w14:paraId="3021B631" w14:textId="77777777" w:rsidR="00C843E6" w:rsidRPr="00C843E6" w:rsidRDefault="00C843E6" w:rsidP="00C843E6">
      <w:pPr>
        <w:spacing w:line="440" w:lineRule="exact"/>
        <w:ind w:firstLineChars="200" w:firstLine="480"/>
        <w:rPr>
          <w:rFonts w:ascii="Times New Roman" w:eastAsia="宋体" w:hAnsi="Times New Roman" w:cs="Times New Roman"/>
          <w:b/>
          <w:sz w:val="24"/>
          <w:szCs w:val="24"/>
        </w:rPr>
      </w:pPr>
      <w:r w:rsidRPr="00C843E6">
        <w:rPr>
          <w:rFonts w:ascii="Times New Roman" w:eastAsia="宋体" w:hAnsi="Times New Roman" w:cs="Times New Roman" w:hint="eastAsia"/>
          <w:sz w:val="24"/>
          <w:szCs w:val="24"/>
        </w:rPr>
        <w:t>2.</w:t>
      </w:r>
      <w:r w:rsidRPr="00C843E6">
        <w:rPr>
          <w:rFonts w:ascii="Times New Roman" w:eastAsia="宋体" w:hAnsi="Times New Roman" w:cs="Times New Roman"/>
          <w:sz w:val="24"/>
          <w:szCs w:val="24"/>
        </w:rPr>
        <w:t xml:space="preserve"> </w:t>
      </w:r>
      <w:r w:rsidRPr="00C843E6">
        <w:rPr>
          <w:rFonts w:ascii="Times New Roman" w:eastAsia="宋体" w:hAnsi="Times New Roman" w:cs="Times New Roman" w:hint="eastAsia"/>
          <w:sz w:val="24"/>
          <w:szCs w:val="24"/>
        </w:rPr>
        <w:t>通过案例分析，促进学生知识整合，培养学生</w:t>
      </w:r>
      <w:r w:rsidRPr="00C843E6">
        <w:rPr>
          <w:rFonts w:ascii="Times New Roman" w:eastAsia="宋体" w:hAnsi="Times New Roman" w:cs="Times New Roman"/>
          <w:sz w:val="24"/>
          <w:szCs w:val="24"/>
        </w:rPr>
        <w:t>的</w:t>
      </w:r>
      <w:r w:rsidRPr="00C843E6">
        <w:rPr>
          <w:rFonts w:ascii="Times New Roman" w:eastAsia="宋体" w:hAnsi="Times New Roman" w:cs="Times New Roman" w:hint="eastAsia"/>
          <w:sz w:val="24"/>
          <w:szCs w:val="24"/>
        </w:rPr>
        <w:t>写作</w:t>
      </w:r>
      <w:r w:rsidRPr="00C843E6">
        <w:rPr>
          <w:rFonts w:ascii="Times New Roman" w:eastAsia="宋体" w:hAnsi="Times New Roman" w:cs="Times New Roman"/>
          <w:sz w:val="24"/>
          <w:szCs w:val="24"/>
        </w:rPr>
        <w:t>规范</w:t>
      </w:r>
      <w:r w:rsidRPr="00C843E6">
        <w:rPr>
          <w:rFonts w:ascii="Times New Roman" w:eastAsia="宋体" w:hAnsi="Times New Roman" w:cs="Times New Roman" w:hint="eastAsia"/>
          <w:sz w:val="24"/>
          <w:szCs w:val="24"/>
        </w:rPr>
        <w:t>。</w:t>
      </w:r>
    </w:p>
    <w:p w14:paraId="18573D36" w14:textId="77777777" w:rsidR="00C843E6" w:rsidRPr="00C843E6" w:rsidRDefault="00C843E6" w:rsidP="00C843E6">
      <w:pPr>
        <w:spacing w:line="440" w:lineRule="exact"/>
        <w:ind w:firstLineChars="200" w:firstLine="482"/>
        <w:rPr>
          <w:rFonts w:ascii="Times New Roman" w:eastAsia="宋体" w:hAnsi="Times New Roman" w:cs="Times New Roman"/>
          <w:b/>
          <w:sz w:val="24"/>
          <w:szCs w:val="24"/>
        </w:rPr>
      </w:pPr>
      <w:r w:rsidRPr="00C843E6">
        <w:rPr>
          <w:rFonts w:ascii="Times New Roman" w:eastAsia="宋体" w:hAnsi="Times New Roman" w:cs="Times New Roman"/>
          <w:b/>
          <w:sz w:val="24"/>
          <w:szCs w:val="24"/>
        </w:rPr>
        <w:t>【复习思考】</w:t>
      </w:r>
    </w:p>
    <w:p w14:paraId="65D3F810"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 xml:space="preserve">1. </w:t>
      </w:r>
      <w:r w:rsidRPr="00C843E6">
        <w:rPr>
          <w:rFonts w:ascii="Times New Roman" w:eastAsia="宋体" w:hAnsi="Times New Roman" w:cs="Times New Roman"/>
          <w:sz w:val="24"/>
          <w:szCs w:val="24"/>
        </w:rPr>
        <w:t>科技论文摘要的分类</w:t>
      </w:r>
      <w:r w:rsidRPr="00C843E6">
        <w:rPr>
          <w:rFonts w:ascii="Times New Roman" w:eastAsia="宋体" w:hAnsi="Times New Roman" w:cs="Times New Roman" w:hint="eastAsia"/>
          <w:sz w:val="24"/>
          <w:szCs w:val="24"/>
        </w:rPr>
        <w:t>；</w:t>
      </w:r>
    </w:p>
    <w:p w14:paraId="0FE0678A"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 xml:space="preserve">2. </w:t>
      </w:r>
      <w:r w:rsidRPr="00C843E6">
        <w:rPr>
          <w:rFonts w:ascii="Times New Roman" w:eastAsia="宋体" w:hAnsi="Times New Roman" w:cs="Times New Roman"/>
          <w:sz w:val="24"/>
          <w:szCs w:val="24"/>
        </w:rPr>
        <w:t>科技论文摘要的表述特点</w:t>
      </w:r>
      <w:r w:rsidRPr="00C843E6">
        <w:rPr>
          <w:rFonts w:ascii="Times New Roman" w:eastAsia="宋体" w:hAnsi="Times New Roman" w:cs="Times New Roman" w:hint="eastAsia"/>
          <w:sz w:val="24"/>
          <w:szCs w:val="24"/>
        </w:rPr>
        <w:t>。</w:t>
      </w:r>
    </w:p>
    <w:p w14:paraId="2EF0D7ED" w14:textId="77777777" w:rsidR="00C843E6" w:rsidRPr="00C843E6" w:rsidRDefault="00C843E6" w:rsidP="00C843E6">
      <w:pPr>
        <w:spacing w:beforeLines="50" w:before="156" w:afterLines="50" w:after="156" w:line="440" w:lineRule="exact"/>
        <w:ind w:left="561"/>
        <w:rPr>
          <w:rFonts w:ascii="仿宋" w:eastAsia="仿宋" w:hAnsi="仿宋" w:cs="Times New Roman"/>
          <w:sz w:val="24"/>
        </w:rPr>
      </w:pPr>
      <w:r w:rsidRPr="00C843E6">
        <w:rPr>
          <w:rFonts w:ascii="黑体" w:eastAsia="黑体" w:hAnsi="黑体" w:cs="Times New Roman" w:hint="eastAsia"/>
          <w:sz w:val="28"/>
          <w:szCs w:val="28"/>
        </w:rPr>
        <w:t>（二）课程学习内容与课程学习目标的对应关系</w:t>
      </w:r>
      <w:r w:rsidRPr="00C843E6">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45"/>
        <w:gridCol w:w="2790"/>
        <w:gridCol w:w="1980"/>
        <w:gridCol w:w="1442"/>
      </w:tblGrid>
      <w:tr w:rsidR="00C843E6" w:rsidRPr="00C843E6" w14:paraId="0AE5684D" w14:textId="77777777" w:rsidTr="00106206">
        <w:trPr>
          <w:trHeight w:val="660"/>
          <w:jc w:val="center"/>
        </w:trPr>
        <w:tc>
          <w:tcPr>
            <w:tcW w:w="3145" w:type="dxa"/>
            <w:vAlign w:val="center"/>
          </w:tcPr>
          <w:p w14:paraId="68985AD0" w14:textId="77777777" w:rsidR="00C843E6" w:rsidRPr="00C843E6" w:rsidRDefault="00C843E6" w:rsidP="00C843E6">
            <w:pPr>
              <w:spacing w:line="440" w:lineRule="exact"/>
              <w:jc w:val="center"/>
              <w:rPr>
                <w:rFonts w:ascii="Times New Roman" w:eastAsia="宋体" w:hAnsi="Times New Roman" w:cs="Times New Roman"/>
                <w:b/>
                <w:bCs/>
                <w:sz w:val="24"/>
                <w:szCs w:val="24"/>
              </w:rPr>
            </w:pPr>
            <w:r w:rsidRPr="00C843E6">
              <w:rPr>
                <w:rFonts w:ascii="Times New Roman" w:eastAsia="宋体" w:hAnsi="Times New Roman" w:cs="Times New Roman"/>
                <w:b/>
                <w:bCs/>
                <w:sz w:val="24"/>
                <w:szCs w:val="24"/>
              </w:rPr>
              <w:t>课程学习内容</w:t>
            </w:r>
          </w:p>
        </w:tc>
        <w:tc>
          <w:tcPr>
            <w:tcW w:w="2790" w:type="dxa"/>
            <w:vAlign w:val="center"/>
          </w:tcPr>
          <w:p w14:paraId="37E0D4D9" w14:textId="77777777" w:rsidR="00C843E6" w:rsidRPr="00C843E6" w:rsidRDefault="00C843E6" w:rsidP="00C843E6">
            <w:pPr>
              <w:spacing w:line="440" w:lineRule="exact"/>
              <w:jc w:val="center"/>
              <w:rPr>
                <w:rFonts w:ascii="Times New Roman" w:eastAsia="宋体" w:hAnsi="Times New Roman" w:cs="Times New Roman"/>
                <w:b/>
                <w:bCs/>
                <w:sz w:val="24"/>
                <w:szCs w:val="24"/>
              </w:rPr>
            </w:pPr>
            <w:r w:rsidRPr="00C843E6">
              <w:rPr>
                <w:rFonts w:ascii="Times New Roman" w:eastAsia="宋体" w:hAnsi="Times New Roman" w:cs="Times New Roman"/>
                <w:b/>
                <w:bCs/>
                <w:sz w:val="24"/>
                <w:szCs w:val="24"/>
              </w:rPr>
              <w:t>教学方法</w:t>
            </w:r>
          </w:p>
        </w:tc>
        <w:tc>
          <w:tcPr>
            <w:tcW w:w="1980" w:type="dxa"/>
            <w:vAlign w:val="center"/>
          </w:tcPr>
          <w:p w14:paraId="47526944" w14:textId="77777777" w:rsidR="00C843E6" w:rsidRPr="00C843E6" w:rsidRDefault="00C843E6" w:rsidP="00C843E6">
            <w:pPr>
              <w:spacing w:line="440" w:lineRule="exact"/>
              <w:jc w:val="center"/>
              <w:rPr>
                <w:rFonts w:ascii="Times New Roman" w:eastAsia="宋体" w:hAnsi="Times New Roman" w:cs="Times New Roman"/>
                <w:b/>
                <w:bCs/>
                <w:sz w:val="24"/>
                <w:szCs w:val="24"/>
              </w:rPr>
            </w:pPr>
            <w:r w:rsidRPr="00C843E6">
              <w:rPr>
                <w:rFonts w:ascii="Times New Roman" w:eastAsia="宋体" w:hAnsi="Times New Roman" w:cs="Times New Roman"/>
                <w:b/>
                <w:bCs/>
                <w:sz w:val="24"/>
                <w:szCs w:val="24"/>
              </w:rPr>
              <w:t>支撑的课程目标</w:t>
            </w:r>
          </w:p>
        </w:tc>
        <w:tc>
          <w:tcPr>
            <w:tcW w:w="1442" w:type="dxa"/>
            <w:vAlign w:val="center"/>
          </w:tcPr>
          <w:p w14:paraId="3F9D26C7" w14:textId="77777777" w:rsidR="00C843E6" w:rsidRPr="00C843E6" w:rsidRDefault="00C843E6" w:rsidP="00C843E6">
            <w:pPr>
              <w:spacing w:line="440" w:lineRule="exact"/>
              <w:jc w:val="center"/>
              <w:rPr>
                <w:rFonts w:ascii="Times New Roman" w:eastAsia="宋体" w:hAnsi="Times New Roman" w:cs="Times New Roman"/>
                <w:b/>
                <w:bCs/>
                <w:sz w:val="24"/>
                <w:szCs w:val="24"/>
              </w:rPr>
            </w:pPr>
            <w:r w:rsidRPr="00C843E6">
              <w:rPr>
                <w:rFonts w:ascii="Times New Roman" w:eastAsia="宋体" w:hAnsi="Times New Roman" w:cs="Times New Roman"/>
                <w:b/>
                <w:bCs/>
                <w:sz w:val="24"/>
                <w:szCs w:val="24"/>
              </w:rPr>
              <w:t>学时安排</w:t>
            </w:r>
          </w:p>
        </w:tc>
      </w:tr>
      <w:tr w:rsidR="00C843E6" w:rsidRPr="00C843E6" w14:paraId="4F88CABF" w14:textId="77777777" w:rsidTr="00106206">
        <w:trPr>
          <w:trHeight w:val="514"/>
          <w:jc w:val="center"/>
        </w:trPr>
        <w:tc>
          <w:tcPr>
            <w:tcW w:w="3145" w:type="dxa"/>
          </w:tcPr>
          <w:p w14:paraId="1DDF1ACE" w14:textId="77777777" w:rsidR="00C843E6" w:rsidRPr="00C843E6" w:rsidRDefault="00C843E6" w:rsidP="00C843E6">
            <w:pPr>
              <w:spacing w:line="440" w:lineRule="exact"/>
              <w:jc w:val="center"/>
              <w:rPr>
                <w:rFonts w:ascii="Times New Roman" w:eastAsia="宋体" w:hAnsi="Times New Roman" w:cs="Times New Roman"/>
                <w:sz w:val="24"/>
                <w:szCs w:val="24"/>
              </w:rPr>
            </w:pPr>
            <w:r w:rsidRPr="00C843E6">
              <w:rPr>
                <w:rFonts w:ascii="Times New Roman" w:eastAsia="宋体" w:hAnsi="Times New Roman" w:cs="Times New Roman"/>
                <w:sz w:val="24"/>
                <w:szCs w:val="24"/>
              </w:rPr>
              <w:t>第一章</w:t>
            </w:r>
            <w:r w:rsidRPr="00C843E6">
              <w:rPr>
                <w:rFonts w:ascii="Times New Roman" w:eastAsia="宋体" w:hAnsi="Times New Roman" w:cs="Times New Roman" w:hint="eastAsia"/>
                <w:sz w:val="24"/>
                <w:szCs w:val="24"/>
              </w:rPr>
              <w:t xml:space="preserve"> </w:t>
            </w:r>
            <w:r w:rsidRPr="00C843E6">
              <w:rPr>
                <w:rFonts w:ascii="Times New Roman" w:eastAsia="宋体" w:hAnsi="Times New Roman" w:cs="Times New Roman"/>
                <w:sz w:val="24"/>
                <w:szCs w:val="24"/>
              </w:rPr>
              <w:t>药学英语翻译常识与技巧</w:t>
            </w:r>
          </w:p>
        </w:tc>
        <w:tc>
          <w:tcPr>
            <w:tcW w:w="2790" w:type="dxa"/>
            <w:vAlign w:val="center"/>
          </w:tcPr>
          <w:p w14:paraId="13141998" w14:textId="77777777" w:rsidR="00C843E6" w:rsidRPr="00C843E6" w:rsidRDefault="00C843E6" w:rsidP="00C843E6">
            <w:pPr>
              <w:spacing w:line="440" w:lineRule="exact"/>
              <w:jc w:val="center"/>
              <w:rPr>
                <w:rFonts w:ascii="Times New Roman" w:eastAsia="宋体" w:hAnsi="Times New Roman" w:cs="Times New Roman"/>
                <w:sz w:val="24"/>
                <w:szCs w:val="24"/>
              </w:rPr>
            </w:pPr>
            <w:r w:rsidRPr="00C843E6">
              <w:rPr>
                <w:rFonts w:ascii="Times New Roman" w:eastAsia="宋体" w:hAnsi="Times New Roman" w:cs="Times New Roman"/>
                <w:sz w:val="24"/>
                <w:szCs w:val="24"/>
              </w:rPr>
              <w:t>讲授法、课堂汇报</w:t>
            </w:r>
          </w:p>
        </w:tc>
        <w:tc>
          <w:tcPr>
            <w:tcW w:w="1980" w:type="dxa"/>
            <w:vAlign w:val="center"/>
          </w:tcPr>
          <w:p w14:paraId="05269E02" w14:textId="77777777" w:rsidR="00C843E6" w:rsidRPr="00C843E6" w:rsidRDefault="00C843E6" w:rsidP="00C843E6">
            <w:pPr>
              <w:spacing w:line="440" w:lineRule="exact"/>
              <w:jc w:val="center"/>
              <w:rPr>
                <w:rFonts w:ascii="Times New Roman" w:eastAsia="宋体" w:hAnsi="Times New Roman" w:cs="Times New Roman"/>
                <w:sz w:val="24"/>
                <w:szCs w:val="24"/>
              </w:rPr>
            </w:pPr>
            <w:r w:rsidRPr="00C843E6">
              <w:rPr>
                <w:rFonts w:ascii="Times New Roman" w:eastAsia="宋体" w:hAnsi="Times New Roman" w:cs="Times New Roman"/>
                <w:sz w:val="24"/>
                <w:szCs w:val="24"/>
              </w:rPr>
              <w:t>课程目标</w:t>
            </w: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3</w:t>
            </w:r>
          </w:p>
        </w:tc>
        <w:tc>
          <w:tcPr>
            <w:tcW w:w="1442" w:type="dxa"/>
            <w:vAlign w:val="center"/>
          </w:tcPr>
          <w:p w14:paraId="358878A3" w14:textId="77777777" w:rsidR="00C843E6" w:rsidRPr="00C843E6" w:rsidRDefault="00C843E6" w:rsidP="00C843E6">
            <w:pPr>
              <w:spacing w:line="440" w:lineRule="exact"/>
              <w:jc w:val="center"/>
              <w:rPr>
                <w:rFonts w:ascii="Times New Roman" w:eastAsia="宋体" w:hAnsi="Times New Roman" w:cs="Times New Roman"/>
                <w:sz w:val="24"/>
                <w:szCs w:val="24"/>
              </w:rPr>
            </w:pPr>
            <w:r w:rsidRPr="00C843E6">
              <w:rPr>
                <w:rFonts w:ascii="Times New Roman" w:eastAsia="宋体" w:hAnsi="Times New Roman" w:cs="Times New Roman" w:hint="eastAsia"/>
                <w:sz w:val="24"/>
                <w:szCs w:val="24"/>
              </w:rPr>
              <w:t>6</w:t>
            </w:r>
            <w:r w:rsidRPr="00C843E6">
              <w:rPr>
                <w:rFonts w:ascii="Times New Roman" w:eastAsia="宋体" w:hAnsi="Times New Roman" w:cs="Times New Roman"/>
                <w:sz w:val="24"/>
                <w:szCs w:val="24"/>
              </w:rPr>
              <w:t>学时</w:t>
            </w:r>
          </w:p>
        </w:tc>
      </w:tr>
      <w:tr w:rsidR="00C843E6" w:rsidRPr="00C843E6" w14:paraId="0823E953" w14:textId="77777777" w:rsidTr="00106206">
        <w:trPr>
          <w:trHeight w:val="90"/>
          <w:jc w:val="center"/>
        </w:trPr>
        <w:tc>
          <w:tcPr>
            <w:tcW w:w="3145" w:type="dxa"/>
          </w:tcPr>
          <w:p w14:paraId="4DD6F0CE" w14:textId="77777777" w:rsidR="00C843E6" w:rsidRPr="00C843E6" w:rsidRDefault="00C843E6" w:rsidP="00C843E6">
            <w:pPr>
              <w:spacing w:line="440" w:lineRule="exact"/>
              <w:jc w:val="center"/>
              <w:rPr>
                <w:rFonts w:ascii="Times New Roman" w:eastAsia="宋体" w:hAnsi="Times New Roman" w:cs="Times New Roman"/>
                <w:sz w:val="24"/>
                <w:szCs w:val="24"/>
              </w:rPr>
            </w:pPr>
            <w:r w:rsidRPr="00C843E6">
              <w:rPr>
                <w:rFonts w:ascii="Times New Roman" w:eastAsia="宋体" w:hAnsi="Times New Roman" w:cs="Times New Roman"/>
                <w:sz w:val="24"/>
                <w:szCs w:val="24"/>
              </w:rPr>
              <w:t>第二章</w:t>
            </w:r>
            <w:r w:rsidRPr="00C843E6">
              <w:rPr>
                <w:rFonts w:ascii="Times New Roman" w:eastAsia="宋体" w:hAnsi="Times New Roman" w:cs="Times New Roman" w:hint="eastAsia"/>
                <w:sz w:val="24"/>
                <w:szCs w:val="24"/>
              </w:rPr>
              <w:t xml:space="preserve"> </w:t>
            </w:r>
            <w:r w:rsidRPr="00C843E6">
              <w:rPr>
                <w:rFonts w:ascii="Times New Roman" w:eastAsia="宋体" w:hAnsi="Times New Roman" w:cs="Times New Roman"/>
                <w:sz w:val="24"/>
                <w:szCs w:val="24"/>
              </w:rPr>
              <w:t>药学专业科技论文翻译</w:t>
            </w:r>
          </w:p>
        </w:tc>
        <w:tc>
          <w:tcPr>
            <w:tcW w:w="2790" w:type="dxa"/>
            <w:vAlign w:val="center"/>
          </w:tcPr>
          <w:p w14:paraId="49E0EC7F" w14:textId="77777777" w:rsidR="00C843E6" w:rsidRPr="00C843E6" w:rsidRDefault="00C843E6" w:rsidP="00C843E6">
            <w:pPr>
              <w:spacing w:line="440" w:lineRule="exact"/>
              <w:jc w:val="center"/>
              <w:rPr>
                <w:rFonts w:ascii="Times New Roman" w:eastAsia="宋体" w:hAnsi="Times New Roman" w:cs="Times New Roman"/>
                <w:sz w:val="24"/>
                <w:szCs w:val="24"/>
              </w:rPr>
            </w:pPr>
            <w:r w:rsidRPr="00C843E6">
              <w:rPr>
                <w:rFonts w:ascii="Times New Roman" w:eastAsia="宋体" w:hAnsi="Times New Roman" w:cs="Times New Roman"/>
                <w:sz w:val="24"/>
                <w:szCs w:val="24"/>
              </w:rPr>
              <w:t>讲授法、探究式教学法</w:t>
            </w:r>
          </w:p>
        </w:tc>
        <w:tc>
          <w:tcPr>
            <w:tcW w:w="1980" w:type="dxa"/>
            <w:vAlign w:val="center"/>
          </w:tcPr>
          <w:p w14:paraId="54DD9FEC" w14:textId="77777777" w:rsidR="00C843E6" w:rsidRPr="00C843E6" w:rsidRDefault="00C843E6" w:rsidP="00C843E6">
            <w:pPr>
              <w:spacing w:line="440" w:lineRule="exact"/>
              <w:jc w:val="center"/>
              <w:rPr>
                <w:rFonts w:ascii="Times New Roman" w:eastAsia="宋体" w:hAnsi="Times New Roman" w:cs="Times New Roman"/>
                <w:sz w:val="24"/>
                <w:szCs w:val="24"/>
              </w:rPr>
            </w:pPr>
            <w:r w:rsidRPr="00C843E6">
              <w:rPr>
                <w:rFonts w:ascii="Times New Roman" w:eastAsia="宋体" w:hAnsi="Times New Roman" w:cs="Times New Roman"/>
                <w:sz w:val="24"/>
                <w:szCs w:val="24"/>
              </w:rPr>
              <w:t>课程目标</w:t>
            </w: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3</w:t>
            </w:r>
          </w:p>
        </w:tc>
        <w:tc>
          <w:tcPr>
            <w:tcW w:w="1442" w:type="dxa"/>
            <w:vAlign w:val="center"/>
          </w:tcPr>
          <w:p w14:paraId="554D0E21" w14:textId="77777777" w:rsidR="00C843E6" w:rsidRPr="00C843E6" w:rsidRDefault="00C843E6" w:rsidP="00C843E6">
            <w:pPr>
              <w:spacing w:line="440" w:lineRule="exact"/>
              <w:jc w:val="center"/>
              <w:rPr>
                <w:rFonts w:ascii="Times New Roman" w:eastAsia="宋体" w:hAnsi="Times New Roman" w:cs="Times New Roman"/>
                <w:sz w:val="24"/>
                <w:szCs w:val="24"/>
              </w:rPr>
            </w:pPr>
            <w:r w:rsidRPr="00C843E6">
              <w:rPr>
                <w:rFonts w:ascii="Times New Roman" w:eastAsia="宋体" w:hAnsi="Times New Roman" w:cs="Times New Roman" w:hint="eastAsia"/>
                <w:sz w:val="24"/>
                <w:szCs w:val="24"/>
              </w:rPr>
              <w:t>6</w:t>
            </w:r>
            <w:r w:rsidRPr="00C843E6">
              <w:rPr>
                <w:rFonts w:ascii="Times New Roman" w:eastAsia="宋体" w:hAnsi="Times New Roman" w:cs="Times New Roman"/>
                <w:sz w:val="24"/>
                <w:szCs w:val="24"/>
              </w:rPr>
              <w:t>学时</w:t>
            </w:r>
          </w:p>
        </w:tc>
      </w:tr>
      <w:tr w:rsidR="00C843E6" w:rsidRPr="00C843E6" w14:paraId="5A75D8EA" w14:textId="77777777" w:rsidTr="00106206">
        <w:trPr>
          <w:jc w:val="center"/>
        </w:trPr>
        <w:tc>
          <w:tcPr>
            <w:tcW w:w="3145" w:type="dxa"/>
          </w:tcPr>
          <w:p w14:paraId="64BAC6C1" w14:textId="77777777" w:rsidR="00C843E6" w:rsidRPr="00C843E6" w:rsidRDefault="00C843E6" w:rsidP="00C843E6">
            <w:pPr>
              <w:spacing w:line="440" w:lineRule="exact"/>
              <w:jc w:val="center"/>
              <w:rPr>
                <w:rFonts w:ascii="Times New Roman" w:eastAsia="宋体" w:hAnsi="Times New Roman" w:cs="Times New Roman"/>
                <w:sz w:val="24"/>
                <w:szCs w:val="24"/>
              </w:rPr>
            </w:pPr>
            <w:r w:rsidRPr="00C843E6">
              <w:rPr>
                <w:rFonts w:ascii="Times New Roman" w:eastAsia="宋体" w:hAnsi="Times New Roman" w:cs="Times New Roman"/>
                <w:sz w:val="24"/>
                <w:szCs w:val="24"/>
              </w:rPr>
              <w:t>第三章</w:t>
            </w:r>
            <w:r w:rsidRPr="00C843E6">
              <w:rPr>
                <w:rFonts w:ascii="Times New Roman" w:eastAsia="宋体" w:hAnsi="Times New Roman" w:cs="Times New Roman" w:hint="eastAsia"/>
                <w:sz w:val="24"/>
                <w:szCs w:val="24"/>
              </w:rPr>
              <w:t xml:space="preserve"> </w:t>
            </w:r>
            <w:r w:rsidRPr="00C843E6">
              <w:rPr>
                <w:rFonts w:ascii="Times New Roman" w:eastAsia="宋体" w:hAnsi="Times New Roman" w:cs="Times New Roman"/>
                <w:sz w:val="24"/>
                <w:szCs w:val="24"/>
              </w:rPr>
              <w:t>英文摘要的写作</w:t>
            </w:r>
          </w:p>
        </w:tc>
        <w:tc>
          <w:tcPr>
            <w:tcW w:w="2790" w:type="dxa"/>
            <w:vAlign w:val="center"/>
          </w:tcPr>
          <w:p w14:paraId="6C67BD64" w14:textId="77777777" w:rsidR="00C843E6" w:rsidRPr="00C843E6" w:rsidRDefault="00C843E6" w:rsidP="00C843E6">
            <w:pPr>
              <w:spacing w:line="440" w:lineRule="exact"/>
              <w:jc w:val="center"/>
              <w:rPr>
                <w:rFonts w:ascii="Times New Roman" w:eastAsia="宋体" w:hAnsi="Times New Roman" w:cs="Times New Roman"/>
                <w:sz w:val="24"/>
                <w:szCs w:val="24"/>
              </w:rPr>
            </w:pPr>
            <w:r w:rsidRPr="00C843E6">
              <w:rPr>
                <w:rFonts w:ascii="Times New Roman" w:eastAsia="宋体" w:hAnsi="Times New Roman" w:cs="Times New Roman"/>
                <w:sz w:val="24"/>
                <w:szCs w:val="24"/>
              </w:rPr>
              <w:t>讲授法、探究式教学法</w:t>
            </w:r>
          </w:p>
        </w:tc>
        <w:tc>
          <w:tcPr>
            <w:tcW w:w="1980" w:type="dxa"/>
            <w:vAlign w:val="center"/>
          </w:tcPr>
          <w:p w14:paraId="62D99904" w14:textId="77777777" w:rsidR="00C843E6" w:rsidRPr="00C843E6" w:rsidRDefault="00C843E6" w:rsidP="00C843E6">
            <w:pPr>
              <w:spacing w:line="440" w:lineRule="exact"/>
              <w:jc w:val="center"/>
              <w:rPr>
                <w:rFonts w:ascii="Times New Roman" w:eastAsia="宋体" w:hAnsi="Times New Roman" w:cs="Times New Roman"/>
                <w:sz w:val="24"/>
                <w:szCs w:val="24"/>
              </w:rPr>
            </w:pPr>
            <w:r w:rsidRPr="00C843E6">
              <w:rPr>
                <w:rFonts w:ascii="Times New Roman" w:eastAsia="宋体" w:hAnsi="Times New Roman" w:cs="Times New Roman"/>
                <w:sz w:val="24"/>
                <w:szCs w:val="24"/>
              </w:rPr>
              <w:t>课程目标</w:t>
            </w: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3</w:t>
            </w:r>
          </w:p>
        </w:tc>
        <w:tc>
          <w:tcPr>
            <w:tcW w:w="1442" w:type="dxa"/>
            <w:vAlign w:val="center"/>
          </w:tcPr>
          <w:p w14:paraId="50D019AD" w14:textId="77777777" w:rsidR="00C843E6" w:rsidRPr="00C843E6" w:rsidRDefault="00C843E6" w:rsidP="00C843E6">
            <w:pPr>
              <w:spacing w:line="440" w:lineRule="exact"/>
              <w:jc w:val="center"/>
              <w:rPr>
                <w:rFonts w:ascii="Times New Roman" w:eastAsia="宋体" w:hAnsi="Times New Roman" w:cs="Times New Roman"/>
                <w:sz w:val="24"/>
                <w:szCs w:val="24"/>
              </w:rPr>
            </w:pPr>
            <w:r w:rsidRPr="00C843E6">
              <w:rPr>
                <w:rFonts w:ascii="Times New Roman" w:eastAsia="宋体" w:hAnsi="Times New Roman" w:cs="Times New Roman" w:hint="eastAsia"/>
                <w:sz w:val="24"/>
                <w:szCs w:val="24"/>
              </w:rPr>
              <w:t>4</w:t>
            </w:r>
            <w:r w:rsidRPr="00C843E6">
              <w:rPr>
                <w:rFonts w:ascii="Times New Roman" w:eastAsia="宋体" w:hAnsi="Times New Roman" w:cs="Times New Roman"/>
                <w:sz w:val="24"/>
                <w:szCs w:val="24"/>
              </w:rPr>
              <w:t>学时</w:t>
            </w:r>
          </w:p>
        </w:tc>
      </w:tr>
      <w:tr w:rsidR="00C843E6" w:rsidRPr="00C843E6" w14:paraId="06246E8A" w14:textId="77777777" w:rsidTr="00106206">
        <w:trPr>
          <w:jc w:val="center"/>
        </w:trPr>
        <w:tc>
          <w:tcPr>
            <w:tcW w:w="7915" w:type="dxa"/>
            <w:gridSpan w:val="3"/>
            <w:vAlign w:val="center"/>
          </w:tcPr>
          <w:p w14:paraId="760F6564" w14:textId="77777777" w:rsidR="00C843E6" w:rsidRPr="00C843E6" w:rsidRDefault="00C843E6" w:rsidP="00C843E6">
            <w:pPr>
              <w:spacing w:line="440" w:lineRule="exact"/>
              <w:jc w:val="center"/>
              <w:rPr>
                <w:rFonts w:ascii="Times New Roman" w:eastAsia="宋体" w:hAnsi="Times New Roman" w:cs="Times New Roman"/>
                <w:b/>
                <w:sz w:val="24"/>
                <w:szCs w:val="24"/>
              </w:rPr>
            </w:pPr>
            <w:r w:rsidRPr="00C843E6">
              <w:rPr>
                <w:rFonts w:ascii="Times New Roman" w:eastAsia="宋体" w:hAnsi="Times New Roman" w:cs="Times New Roman"/>
                <w:b/>
                <w:sz w:val="24"/>
                <w:szCs w:val="24"/>
              </w:rPr>
              <w:t>合计</w:t>
            </w:r>
          </w:p>
        </w:tc>
        <w:tc>
          <w:tcPr>
            <w:tcW w:w="1442" w:type="dxa"/>
            <w:vAlign w:val="center"/>
          </w:tcPr>
          <w:p w14:paraId="47B1AC1B" w14:textId="77777777" w:rsidR="00C843E6" w:rsidRPr="00C843E6" w:rsidRDefault="00C843E6" w:rsidP="00C843E6">
            <w:pPr>
              <w:spacing w:line="440" w:lineRule="exact"/>
              <w:jc w:val="center"/>
              <w:rPr>
                <w:rFonts w:ascii="Times New Roman" w:eastAsia="宋体" w:hAnsi="Times New Roman" w:cs="Times New Roman"/>
                <w:sz w:val="24"/>
                <w:szCs w:val="24"/>
              </w:rPr>
            </w:pPr>
            <w:r w:rsidRPr="00C843E6">
              <w:rPr>
                <w:rFonts w:ascii="Times New Roman" w:eastAsia="宋体" w:hAnsi="Times New Roman" w:cs="Times New Roman" w:hint="eastAsia"/>
                <w:sz w:val="24"/>
                <w:szCs w:val="24"/>
              </w:rPr>
              <w:t>16</w:t>
            </w:r>
            <w:r w:rsidRPr="00C843E6">
              <w:rPr>
                <w:rFonts w:ascii="Times New Roman" w:eastAsia="宋体" w:hAnsi="Times New Roman" w:cs="Times New Roman"/>
                <w:sz w:val="24"/>
                <w:szCs w:val="24"/>
              </w:rPr>
              <w:t>学时</w:t>
            </w:r>
          </w:p>
        </w:tc>
      </w:tr>
    </w:tbl>
    <w:p w14:paraId="3EB158BC" w14:textId="77777777" w:rsidR="00C843E6" w:rsidRPr="00C843E6" w:rsidRDefault="00C843E6" w:rsidP="00C843E6">
      <w:pPr>
        <w:spacing w:beforeLines="50" w:before="156" w:afterLines="50" w:after="156" w:line="440" w:lineRule="exact"/>
        <w:ind w:firstLineChars="200" w:firstLine="560"/>
        <w:rPr>
          <w:rFonts w:ascii="宋体" w:eastAsia="宋体" w:hAnsi="宋体" w:cs="Times New Roman"/>
          <w:sz w:val="24"/>
        </w:rPr>
      </w:pPr>
      <w:r w:rsidRPr="00C843E6">
        <w:rPr>
          <w:rFonts w:ascii="黑体" w:eastAsia="黑体" w:hAnsi="黑体" w:cs="Times New Roman" w:hint="eastAsia"/>
          <w:sz w:val="28"/>
          <w:szCs w:val="28"/>
        </w:rPr>
        <w:t>四、课程考核及与课程学习目标的对应关系</w:t>
      </w:r>
    </w:p>
    <w:p w14:paraId="34A5EB68" w14:textId="77777777" w:rsidR="00C843E6" w:rsidRPr="00C843E6" w:rsidRDefault="00C843E6" w:rsidP="00C843E6">
      <w:pPr>
        <w:spacing w:beforeLines="50" w:before="156" w:afterLines="50" w:after="156" w:line="440" w:lineRule="exact"/>
        <w:ind w:firstLineChars="200" w:firstLine="560"/>
        <w:rPr>
          <w:rFonts w:ascii="黑体" w:eastAsia="黑体" w:hAnsi="黑体" w:cs="Times New Roman"/>
          <w:sz w:val="28"/>
          <w:szCs w:val="28"/>
        </w:rPr>
      </w:pPr>
      <w:r w:rsidRPr="00C843E6">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C843E6" w:rsidRPr="00C843E6" w14:paraId="6E493797" w14:textId="77777777" w:rsidTr="00106206">
        <w:trPr>
          <w:trHeight w:val="515"/>
          <w:jc w:val="center"/>
        </w:trPr>
        <w:tc>
          <w:tcPr>
            <w:tcW w:w="1422" w:type="dxa"/>
          </w:tcPr>
          <w:p w14:paraId="5C44B6B7" w14:textId="77777777" w:rsidR="00C843E6" w:rsidRPr="00C843E6" w:rsidRDefault="00C843E6" w:rsidP="00C843E6">
            <w:pPr>
              <w:spacing w:line="440" w:lineRule="exact"/>
              <w:jc w:val="center"/>
              <w:rPr>
                <w:rFonts w:ascii="Times New Roman" w:eastAsia="宋体" w:hAnsi="Times New Roman" w:cs="Times New Roman"/>
                <w:b/>
                <w:sz w:val="24"/>
                <w:szCs w:val="24"/>
              </w:rPr>
            </w:pPr>
            <w:r w:rsidRPr="00C843E6">
              <w:rPr>
                <w:rFonts w:ascii="Times New Roman" w:eastAsia="宋体" w:hAnsi="Times New Roman" w:cs="Times New Roman"/>
                <w:b/>
                <w:sz w:val="24"/>
                <w:szCs w:val="24"/>
              </w:rPr>
              <w:t>课程目标</w:t>
            </w:r>
          </w:p>
        </w:tc>
        <w:tc>
          <w:tcPr>
            <w:tcW w:w="7918" w:type="dxa"/>
            <w:vAlign w:val="center"/>
          </w:tcPr>
          <w:p w14:paraId="532284B0" w14:textId="77777777" w:rsidR="00C843E6" w:rsidRPr="00C843E6" w:rsidRDefault="00C843E6" w:rsidP="00C843E6">
            <w:pPr>
              <w:spacing w:line="440" w:lineRule="exact"/>
              <w:jc w:val="center"/>
              <w:rPr>
                <w:rFonts w:ascii="Times New Roman" w:eastAsia="宋体" w:hAnsi="Times New Roman" w:cs="Times New Roman"/>
                <w:b/>
                <w:sz w:val="24"/>
                <w:szCs w:val="24"/>
              </w:rPr>
            </w:pPr>
            <w:r w:rsidRPr="00C843E6">
              <w:rPr>
                <w:rFonts w:ascii="Times New Roman" w:eastAsia="宋体" w:hAnsi="Times New Roman" w:cs="Times New Roman"/>
                <w:b/>
                <w:sz w:val="24"/>
                <w:szCs w:val="24"/>
              </w:rPr>
              <w:t>考核内容</w:t>
            </w:r>
          </w:p>
        </w:tc>
      </w:tr>
      <w:tr w:rsidR="00C843E6" w:rsidRPr="00C843E6" w14:paraId="3B5E261F" w14:textId="77777777" w:rsidTr="00106206">
        <w:trPr>
          <w:jc w:val="center"/>
        </w:trPr>
        <w:tc>
          <w:tcPr>
            <w:tcW w:w="1422" w:type="dxa"/>
            <w:vAlign w:val="center"/>
          </w:tcPr>
          <w:p w14:paraId="09E68C07" w14:textId="77777777" w:rsidR="00C843E6" w:rsidRPr="00C843E6" w:rsidRDefault="00C843E6" w:rsidP="00C843E6">
            <w:pPr>
              <w:spacing w:line="440" w:lineRule="exact"/>
              <w:jc w:val="center"/>
              <w:rPr>
                <w:rFonts w:ascii="Times New Roman" w:eastAsia="宋体" w:hAnsi="Times New Roman" w:cs="Times New Roman"/>
                <w:bCs/>
                <w:sz w:val="24"/>
                <w:szCs w:val="24"/>
              </w:rPr>
            </w:pPr>
            <w:r w:rsidRPr="00C843E6">
              <w:rPr>
                <w:rFonts w:ascii="Times New Roman" w:eastAsia="宋体" w:hAnsi="Times New Roman" w:cs="Times New Roman"/>
                <w:bCs/>
                <w:sz w:val="24"/>
                <w:szCs w:val="24"/>
              </w:rPr>
              <w:lastRenderedPageBreak/>
              <w:t>课程目标</w:t>
            </w:r>
            <w:r w:rsidRPr="00C843E6">
              <w:rPr>
                <w:rFonts w:ascii="Times New Roman" w:eastAsia="宋体" w:hAnsi="Times New Roman" w:cs="Times New Roman"/>
                <w:bCs/>
                <w:sz w:val="24"/>
                <w:szCs w:val="24"/>
              </w:rPr>
              <w:t>1</w:t>
            </w:r>
            <w:r w:rsidRPr="00C843E6">
              <w:rPr>
                <w:rFonts w:ascii="Times New Roman" w:eastAsia="宋体" w:hAnsi="Times New Roman" w:cs="Times New Roman"/>
                <w:bCs/>
                <w:sz w:val="24"/>
                <w:szCs w:val="24"/>
              </w:rPr>
              <w:t>、</w:t>
            </w:r>
            <w:r w:rsidRPr="00C843E6">
              <w:rPr>
                <w:rFonts w:ascii="Times New Roman" w:eastAsia="宋体" w:hAnsi="Times New Roman" w:cs="Times New Roman"/>
                <w:bCs/>
                <w:sz w:val="24"/>
                <w:szCs w:val="24"/>
              </w:rPr>
              <w:t>2</w:t>
            </w:r>
          </w:p>
        </w:tc>
        <w:tc>
          <w:tcPr>
            <w:tcW w:w="7918" w:type="dxa"/>
            <w:vAlign w:val="center"/>
          </w:tcPr>
          <w:p w14:paraId="6C9698DF" w14:textId="77777777" w:rsidR="00C843E6" w:rsidRPr="00C843E6" w:rsidRDefault="00C843E6" w:rsidP="00C843E6">
            <w:pPr>
              <w:spacing w:line="440" w:lineRule="exact"/>
              <w:rPr>
                <w:rFonts w:ascii="Times New Roman" w:eastAsia="宋体" w:hAnsi="Times New Roman" w:cs="Times New Roman"/>
                <w:bCs/>
                <w:sz w:val="24"/>
                <w:szCs w:val="24"/>
              </w:rPr>
            </w:pPr>
            <w:r w:rsidRPr="00C843E6">
              <w:rPr>
                <w:rFonts w:ascii="Times New Roman" w:eastAsia="宋体" w:hAnsi="Times New Roman" w:cs="Times New Roman"/>
                <w:bCs/>
                <w:sz w:val="24"/>
                <w:szCs w:val="24"/>
              </w:rPr>
              <w:t>第一章</w:t>
            </w:r>
            <w:r w:rsidRPr="00C843E6">
              <w:rPr>
                <w:rFonts w:ascii="Times New Roman" w:eastAsia="宋体" w:hAnsi="Times New Roman" w:cs="Times New Roman"/>
                <w:bCs/>
                <w:sz w:val="24"/>
                <w:szCs w:val="24"/>
              </w:rPr>
              <w:t xml:space="preserve">  </w:t>
            </w:r>
            <w:r w:rsidRPr="00C843E6">
              <w:rPr>
                <w:rFonts w:ascii="Times New Roman" w:eastAsia="宋体" w:hAnsi="Times New Roman" w:cs="Times New Roman"/>
                <w:bCs/>
                <w:sz w:val="24"/>
                <w:szCs w:val="24"/>
              </w:rPr>
              <w:t>药学英语翻译常识与技巧</w:t>
            </w:r>
          </w:p>
          <w:p w14:paraId="687382EB" w14:textId="77777777" w:rsidR="00C843E6" w:rsidRPr="00C843E6" w:rsidRDefault="00C843E6" w:rsidP="00C843E6">
            <w:pPr>
              <w:spacing w:line="440" w:lineRule="exact"/>
              <w:rPr>
                <w:rFonts w:ascii="Times New Roman" w:eastAsia="宋体" w:hAnsi="Times New Roman" w:cs="Times New Roman"/>
                <w:bCs/>
                <w:sz w:val="24"/>
                <w:szCs w:val="24"/>
              </w:rPr>
            </w:pPr>
            <w:r w:rsidRPr="00C843E6">
              <w:rPr>
                <w:rFonts w:ascii="Times New Roman" w:eastAsia="宋体" w:hAnsi="Times New Roman" w:cs="Times New Roman"/>
                <w:bCs/>
                <w:sz w:val="24"/>
                <w:szCs w:val="24"/>
              </w:rPr>
              <w:t>（</w:t>
            </w:r>
            <w:r w:rsidRPr="00C843E6">
              <w:rPr>
                <w:rFonts w:ascii="Times New Roman" w:eastAsia="宋体" w:hAnsi="Times New Roman" w:cs="Times New Roman"/>
                <w:bCs/>
                <w:sz w:val="24"/>
                <w:szCs w:val="24"/>
              </w:rPr>
              <w:t>1</w:t>
            </w:r>
            <w:r w:rsidRPr="00C843E6">
              <w:rPr>
                <w:rFonts w:ascii="Times New Roman" w:eastAsia="宋体" w:hAnsi="Times New Roman" w:cs="Times New Roman"/>
                <w:bCs/>
                <w:sz w:val="24"/>
                <w:szCs w:val="24"/>
              </w:rPr>
              <w:t>）药学英语</w:t>
            </w:r>
            <w:proofErr w:type="gramStart"/>
            <w:r w:rsidRPr="00C843E6">
              <w:rPr>
                <w:rFonts w:ascii="Times New Roman" w:eastAsia="宋体" w:hAnsi="Times New Roman" w:cs="Times New Roman"/>
                <w:bCs/>
                <w:sz w:val="24"/>
                <w:szCs w:val="24"/>
              </w:rPr>
              <w:t>语篇特点</w:t>
            </w:r>
            <w:proofErr w:type="gramEnd"/>
            <w:r w:rsidRPr="00C843E6">
              <w:rPr>
                <w:rFonts w:ascii="Times New Roman" w:eastAsia="宋体" w:hAnsi="Times New Roman" w:cs="Times New Roman"/>
                <w:bCs/>
                <w:sz w:val="24"/>
                <w:szCs w:val="24"/>
              </w:rPr>
              <w:t>与翻译要求</w:t>
            </w:r>
          </w:p>
          <w:p w14:paraId="32725E65" w14:textId="77777777" w:rsidR="00C843E6" w:rsidRPr="00C843E6" w:rsidRDefault="00C843E6" w:rsidP="00C843E6">
            <w:pPr>
              <w:spacing w:line="440" w:lineRule="exact"/>
              <w:rPr>
                <w:rFonts w:ascii="Times New Roman" w:eastAsia="宋体" w:hAnsi="Times New Roman" w:cs="Times New Roman"/>
                <w:bCs/>
                <w:sz w:val="24"/>
                <w:szCs w:val="24"/>
              </w:rPr>
            </w:pPr>
            <w:r w:rsidRPr="00C843E6">
              <w:rPr>
                <w:rFonts w:ascii="Times New Roman" w:eastAsia="宋体" w:hAnsi="Times New Roman" w:cs="Times New Roman"/>
                <w:bCs/>
                <w:sz w:val="24"/>
                <w:szCs w:val="24"/>
              </w:rPr>
              <w:t>（</w:t>
            </w:r>
            <w:r w:rsidRPr="00C843E6">
              <w:rPr>
                <w:rFonts w:ascii="Times New Roman" w:eastAsia="宋体" w:hAnsi="Times New Roman" w:cs="Times New Roman"/>
                <w:bCs/>
                <w:sz w:val="24"/>
                <w:szCs w:val="24"/>
              </w:rPr>
              <w:t>2</w:t>
            </w:r>
            <w:r w:rsidRPr="00C843E6">
              <w:rPr>
                <w:rFonts w:ascii="Times New Roman" w:eastAsia="宋体" w:hAnsi="Times New Roman" w:cs="Times New Roman"/>
                <w:bCs/>
                <w:sz w:val="24"/>
                <w:szCs w:val="24"/>
              </w:rPr>
              <w:t>）药学英语翻译的策略、步骤与实际运用</w:t>
            </w:r>
          </w:p>
          <w:p w14:paraId="689C072E" w14:textId="77777777" w:rsidR="00C843E6" w:rsidRPr="00C843E6" w:rsidRDefault="00C843E6" w:rsidP="00C843E6">
            <w:pPr>
              <w:spacing w:line="440" w:lineRule="exact"/>
              <w:rPr>
                <w:rFonts w:ascii="Times New Roman" w:eastAsia="宋体" w:hAnsi="Times New Roman" w:cs="Times New Roman"/>
                <w:bCs/>
                <w:sz w:val="24"/>
                <w:szCs w:val="24"/>
              </w:rPr>
            </w:pPr>
            <w:r w:rsidRPr="00C843E6">
              <w:rPr>
                <w:rFonts w:ascii="Times New Roman" w:eastAsia="宋体" w:hAnsi="Times New Roman" w:cs="Times New Roman"/>
                <w:bCs/>
                <w:sz w:val="24"/>
                <w:szCs w:val="24"/>
              </w:rPr>
              <w:t>（</w:t>
            </w:r>
            <w:r w:rsidRPr="00C843E6">
              <w:rPr>
                <w:rFonts w:ascii="Times New Roman" w:eastAsia="宋体" w:hAnsi="Times New Roman" w:cs="Times New Roman"/>
                <w:bCs/>
                <w:sz w:val="24"/>
                <w:szCs w:val="24"/>
              </w:rPr>
              <w:t>3</w:t>
            </w:r>
            <w:r w:rsidRPr="00C843E6">
              <w:rPr>
                <w:rFonts w:ascii="Times New Roman" w:eastAsia="宋体" w:hAnsi="Times New Roman" w:cs="Times New Roman"/>
                <w:bCs/>
                <w:sz w:val="24"/>
                <w:szCs w:val="24"/>
              </w:rPr>
              <w:t>）药学英语的翻译技巧与实际运用（包括词性转换法、句子成分转换法、增词法、减词法、重复法、解包袱法、分合移位法）</w:t>
            </w:r>
          </w:p>
          <w:p w14:paraId="44CC5C48" w14:textId="77777777" w:rsidR="00C843E6" w:rsidRPr="00C843E6" w:rsidRDefault="00C843E6" w:rsidP="00C843E6">
            <w:pPr>
              <w:spacing w:line="440" w:lineRule="exact"/>
              <w:rPr>
                <w:rFonts w:ascii="Times New Roman" w:eastAsia="宋体" w:hAnsi="Times New Roman" w:cs="Times New Roman"/>
                <w:bCs/>
                <w:sz w:val="24"/>
                <w:szCs w:val="24"/>
              </w:rPr>
            </w:pPr>
            <w:r w:rsidRPr="00C843E6">
              <w:rPr>
                <w:rFonts w:ascii="Times New Roman" w:eastAsia="宋体" w:hAnsi="Times New Roman" w:cs="Times New Roman"/>
                <w:bCs/>
                <w:sz w:val="24"/>
                <w:szCs w:val="24"/>
              </w:rPr>
              <w:t>第三章</w:t>
            </w:r>
            <w:r w:rsidRPr="00C843E6">
              <w:rPr>
                <w:rFonts w:ascii="Times New Roman" w:eastAsia="宋体" w:hAnsi="Times New Roman" w:cs="Times New Roman"/>
                <w:bCs/>
                <w:sz w:val="24"/>
                <w:szCs w:val="24"/>
              </w:rPr>
              <w:t xml:space="preserve">  </w:t>
            </w:r>
            <w:r w:rsidRPr="00C843E6">
              <w:rPr>
                <w:rFonts w:ascii="Times New Roman" w:eastAsia="宋体" w:hAnsi="Times New Roman" w:cs="Times New Roman"/>
                <w:bCs/>
                <w:sz w:val="24"/>
                <w:szCs w:val="24"/>
              </w:rPr>
              <w:t>英文摘要的写作</w:t>
            </w:r>
          </w:p>
          <w:p w14:paraId="6EFD178F" w14:textId="77777777" w:rsidR="00C843E6" w:rsidRPr="00C843E6" w:rsidRDefault="00C843E6" w:rsidP="00C843E6">
            <w:pPr>
              <w:spacing w:line="440" w:lineRule="exact"/>
              <w:rPr>
                <w:rFonts w:ascii="Times New Roman" w:eastAsia="宋体" w:hAnsi="Times New Roman" w:cs="Times New Roman"/>
                <w:bCs/>
                <w:sz w:val="24"/>
                <w:szCs w:val="24"/>
              </w:rPr>
            </w:pPr>
            <w:r w:rsidRPr="00C843E6">
              <w:rPr>
                <w:rFonts w:ascii="Times New Roman" w:eastAsia="宋体" w:hAnsi="Times New Roman" w:cs="Times New Roman"/>
                <w:bCs/>
                <w:sz w:val="24"/>
                <w:szCs w:val="24"/>
              </w:rPr>
              <w:t>（</w:t>
            </w:r>
            <w:r w:rsidRPr="00C843E6">
              <w:rPr>
                <w:rFonts w:ascii="Times New Roman" w:eastAsia="宋体" w:hAnsi="Times New Roman" w:cs="Times New Roman"/>
                <w:bCs/>
                <w:sz w:val="24"/>
                <w:szCs w:val="24"/>
              </w:rPr>
              <w:t>1</w:t>
            </w:r>
            <w:r w:rsidRPr="00C843E6">
              <w:rPr>
                <w:rFonts w:ascii="Times New Roman" w:eastAsia="宋体" w:hAnsi="Times New Roman" w:cs="Times New Roman"/>
                <w:bCs/>
                <w:sz w:val="24"/>
                <w:szCs w:val="24"/>
              </w:rPr>
              <w:t>）英文摘要的写作技巧</w:t>
            </w:r>
          </w:p>
          <w:p w14:paraId="7E7DCE3E" w14:textId="77777777" w:rsidR="00C843E6" w:rsidRPr="00C843E6" w:rsidRDefault="00C843E6" w:rsidP="00C843E6">
            <w:pPr>
              <w:spacing w:line="440" w:lineRule="exact"/>
              <w:rPr>
                <w:rFonts w:ascii="Times New Roman" w:eastAsia="宋体" w:hAnsi="Times New Roman" w:cs="Times New Roman"/>
                <w:bCs/>
                <w:sz w:val="24"/>
                <w:szCs w:val="24"/>
              </w:rPr>
            </w:pPr>
            <w:r w:rsidRPr="00C843E6">
              <w:rPr>
                <w:rFonts w:ascii="Times New Roman" w:eastAsia="宋体" w:hAnsi="Times New Roman" w:cs="Times New Roman"/>
                <w:bCs/>
                <w:sz w:val="24"/>
                <w:szCs w:val="24"/>
              </w:rPr>
              <w:t>（</w:t>
            </w:r>
            <w:r w:rsidRPr="00C843E6">
              <w:rPr>
                <w:rFonts w:ascii="Times New Roman" w:eastAsia="宋体" w:hAnsi="Times New Roman" w:cs="Times New Roman"/>
                <w:bCs/>
                <w:sz w:val="24"/>
                <w:szCs w:val="24"/>
              </w:rPr>
              <w:t>2</w:t>
            </w:r>
            <w:r w:rsidRPr="00C843E6">
              <w:rPr>
                <w:rFonts w:ascii="Times New Roman" w:eastAsia="宋体" w:hAnsi="Times New Roman" w:cs="Times New Roman"/>
                <w:bCs/>
                <w:sz w:val="24"/>
                <w:szCs w:val="24"/>
              </w:rPr>
              <w:t>）英文摘要的写作的常见问题</w:t>
            </w:r>
          </w:p>
        </w:tc>
      </w:tr>
      <w:tr w:rsidR="00C843E6" w:rsidRPr="00C843E6" w14:paraId="4F588D55" w14:textId="77777777" w:rsidTr="00106206">
        <w:trPr>
          <w:jc w:val="center"/>
        </w:trPr>
        <w:tc>
          <w:tcPr>
            <w:tcW w:w="1422" w:type="dxa"/>
            <w:vAlign w:val="center"/>
          </w:tcPr>
          <w:p w14:paraId="25E94802" w14:textId="77777777" w:rsidR="00C843E6" w:rsidRPr="00C843E6" w:rsidRDefault="00C843E6" w:rsidP="00C843E6">
            <w:pPr>
              <w:spacing w:line="440" w:lineRule="exact"/>
              <w:jc w:val="center"/>
              <w:rPr>
                <w:rFonts w:ascii="Times New Roman" w:eastAsia="宋体" w:hAnsi="Times New Roman" w:cs="Times New Roman"/>
                <w:bCs/>
                <w:sz w:val="24"/>
                <w:szCs w:val="24"/>
              </w:rPr>
            </w:pPr>
            <w:r w:rsidRPr="00C843E6">
              <w:rPr>
                <w:rFonts w:ascii="Times New Roman" w:eastAsia="宋体" w:hAnsi="Times New Roman" w:cs="Times New Roman"/>
                <w:bCs/>
                <w:sz w:val="24"/>
                <w:szCs w:val="24"/>
              </w:rPr>
              <w:t>课程目标</w:t>
            </w:r>
            <w:r w:rsidRPr="00C843E6">
              <w:rPr>
                <w:rFonts w:ascii="Times New Roman" w:eastAsia="宋体" w:hAnsi="Times New Roman" w:cs="Times New Roman"/>
                <w:bCs/>
                <w:sz w:val="24"/>
                <w:szCs w:val="24"/>
              </w:rPr>
              <w:t>3</w:t>
            </w:r>
            <w:r w:rsidRPr="00C843E6">
              <w:rPr>
                <w:rFonts w:ascii="Times New Roman" w:eastAsia="宋体" w:hAnsi="Times New Roman" w:cs="Times New Roman" w:hint="eastAsia"/>
                <w:bCs/>
                <w:sz w:val="24"/>
                <w:szCs w:val="24"/>
              </w:rPr>
              <w:t>、</w:t>
            </w:r>
            <w:r w:rsidRPr="00C843E6">
              <w:rPr>
                <w:rFonts w:ascii="Times New Roman" w:eastAsia="宋体" w:hAnsi="Times New Roman" w:cs="Times New Roman" w:hint="eastAsia"/>
                <w:bCs/>
                <w:sz w:val="24"/>
                <w:szCs w:val="24"/>
              </w:rPr>
              <w:t>4</w:t>
            </w:r>
          </w:p>
        </w:tc>
        <w:tc>
          <w:tcPr>
            <w:tcW w:w="7918" w:type="dxa"/>
            <w:vAlign w:val="center"/>
          </w:tcPr>
          <w:p w14:paraId="017C38EA" w14:textId="77777777" w:rsidR="00C843E6" w:rsidRPr="00C843E6" w:rsidRDefault="00C843E6" w:rsidP="00C843E6">
            <w:pPr>
              <w:spacing w:line="440" w:lineRule="exact"/>
              <w:rPr>
                <w:rFonts w:ascii="Times New Roman" w:eastAsia="宋体" w:hAnsi="Times New Roman" w:cs="Times New Roman"/>
                <w:bCs/>
                <w:sz w:val="24"/>
                <w:szCs w:val="24"/>
              </w:rPr>
            </w:pPr>
            <w:r w:rsidRPr="00C843E6">
              <w:rPr>
                <w:rFonts w:ascii="Times New Roman" w:eastAsia="宋体" w:hAnsi="Times New Roman" w:cs="Times New Roman"/>
                <w:bCs/>
                <w:sz w:val="24"/>
                <w:szCs w:val="24"/>
              </w:rPr>
              <w:t>第二章</w:t>
            </w:r>
            <w:r w:rsidRPr="00C843E6">
              <w:rPr>
                <w:rFonts w:ascii="Times New Roman" w:eastAsia="宋体" w:hAnsi="Times New Roman" w:cs="Times New Roman"/>
                <w:bCs/>
                <w:sz w:val="24"/>
                <w:szCs w:val="24"/>
              </w:rPr>
              <w:t xml:space="preserve">  </w:t>
            </w:r>
            <w:r w:rsidRPr="00C843E6">
              <w:rPr>
                <w:rFonts w:ascii="Times New Roman" w:eastAsia="宋体" w:hAnsi="Times New Roman" w:cs="Times New Roman"/>
                <w:bCs/>
                <w:sz w:val="24"/>
                <w:szCs w:val="24"/>
              </w:rPr>
              <w:t>药学专业科技论文翻译</w:t>
            </w:r>
          </w:p>
          <w:p w14:paraId="15A027BA" w14:textId="77777777" w:rsidR="00C843E6" w:rsidRPr="00C843E6" w:rsidRDefault="00C843E6" w:rsidP="00C843E6">
            <w:pPr>
              <w:spacing w:line="440" w:lineRule="exact"/>
              <w:rPr>
                <w:rFonts w:ascii="Times New Roman" w:eastAsia="宋体" w:hAnsi="Times New Roman" w:cs="Times New Roman"/>
                <w:bCs/>
                <w:sz w:val="24"/>
                <w:szCs w:val="24"/>
              </w:rPr>
            </w:pPr>
            <w:r w:rsidRPr="00C843E6">
              <w:rPr>
                <w:rFonts w:ascii="Times New Roman" w:eastAsia="宋体" w:hAnsi="Times New Roman" w:cs="Times New Roman"/>
                <w:bCs/>
                <w:sz w:val="24"/>
                <w:szCs w:val="24"/>
              </w:rPr>
              <w:t>（</w:t>
            </w:r>
            <w:r w:rsidRPr="00C843E6">
              <w:rPr>
                <w:rFonts w:ascii="Times New Roman" w:eastAsia="宋体" w:hAnsi="Times New Roman" w:cs="Times New Roman"/>
                <w:bCs/>
                <w:sz w:val="24"/>
                <w:szCs w:val="24"/>
              </w:rPr>
              <w:t>1</w:t>
            </w:r>
            <w:r w:rsidRPr="00C843E6">
              <w:rPr>
                <w:rFonts w:ascii="Times New Roman" w:eastAsia="宋体" w:hAnsi="Times New Roman" w:cs="Times New Roman"/>
                <w:bCs/>
                <w:sz w:val="24"/>
                <w:szCs w:val="24"/>
              </w:rPr>
              <w:t>）科技论文的写作要求</w:t>
            </w:r>
          </w:p>
          <w:p w14:paraId="3C20BF52" w14:textId="77777777" w:rsidR="00C843E6" w:rsidRPr="00C843E6" w:rsidRDefault="00C843E6" w:rsidP="00C843E6">
            <w:pPr>
              <w:spacing w:line="440" w:lineRule="exact"/>
              <w:rPr>
                <w:rFonts w:ascii="Times New Roman" w:eastAsia="宋体" w:hAnsi="Times New Roman" w:cs="Times New Roman"/>
                <w:bCs/>
                <w:sz w:val="24"/>
                <w:szCs w:val="24"/>
              </w:rPr>
            </w:pPr>
            <w:r w:rsidRPr="00C843E6">
              <w:rPr>
                <w:rFonts w:ascii="Times New Roman" w:eastAsia="宋体" w:hAnsi="Times New Roman" w:cs="Times New Roman"/>
                <w:bCs/>
                <w:sz w:val="24"/>
                <w:szCs w:val="24"/>
              </w:rPr>
              <w:t>（</w:t>
            </w:r>
            <w:r w:rsidRPr="00C843E6">
              <w:rPr>
                <w:rFonts w:ascii="Times New Roman" w:eastAsia="宋体" w:hAnsi="Times New Roman" w:cs="Times New Roman"/>
                <w:bCs/>
                <w:sz w:val="24"/>
                <w:szCs w:val="24"/>
              </w:rPr>
              <w:t>2</w:t>
            </w:r>
            <w:r w:rsidRPr="00C843E6">
              <w:rPr>
                <w:rFonts w:ascii="Times New Roman" w:eastAsia="宋体" w:hAnsi="Times New Roman" w:cs="Times New Roman"/>
                <w:bCs/>
                <w:sz w:val="24"/>
                <w:szCs w:val="24"/>
              </w:rPr>
              <w:t>）</w:t>
            </w:r>
            <w:r w:rsidRPr="00C843E6">
              <w:rPr>
                <w:rFonts w:ascii="Times New Roman" w:eastAsia="宋体" w:hAnsi="Times New Roman" w:cs="Times New Roman" w:hint="eastAsia"/>
                <w:bCs/>
                <w:sz w:val="24"/>
                <w:szCs w:val="24"/>
              </w:rPr>
              <w:t>学位论文写作中常见的问题</w:t>
            </w:r>
          </w:p>
        </w:tc>
      </w:tr>
    </w:tbl>
    <w:p w14:paraId="1332E4A0" w14:textId="77777777" w:rsidR="00C843E6" w:rsidRPr="00C843E6" w:rsidRDefault="00C843E6" w:rsidP="00C843E6">
      <w:pPr>
        <w:spacing w:beforeLines="50" w:before="156" w:afterLines="50" w:after="156" w:line="440" w:lineRule="exact"/>
        <w:rPr>
          <w:rFonts w:ascii="黑体" w:eastAsia="黑体" w:hAnsi="黑体" w:cs="Times New Roman"/>
          <w:sz w:val="28"/>
          <w:szCs w:val="28"/>
        </w:rPr>
      </w:pPr>
      <w:r w:rsidRPr="00C843E6">
        <w:rPr>
          <w:rFonts w:ascii="黑体" w:eastAsia="黑体" w:hAnsi="黑体" w:cs="Times New Roman"/>
          <w:sz w:val="28"/>
          <w:szCs w:val="28"/>
        </w:rPr>
        <w:t xml:space="preserve">    </w:t>
      </w:r>
      <w:r w:rsidRPr="00C843E6">
        <w:rPr>
          <w:rFonts w:ascii="黑体" w:eastAsia="黑体" w:hAnsi="黑体" w:cs="Times New Roman" w:hint="eastAsia"/>
          <w:sz w:val="28"/>
          <w:szCs w:val="28"/>
        </w:rPr>
        <w:t>（二）课程考核方式</w:t>
      </w:r>
    </w:p>
    <w:p w14:paraId="22799370" w14:textId="77777777" w:rsidR="00C843E6" w:rsidRPr="00C843E6" w:rsidRDefault="00C843E6" w:rsidP="00C843E6">
      <w:pPr>
        <w:spacing w:line="440" w:lineRule="exact"/>
        <w:ind w:firstLineChars="200" w:firstLine="480"/>
        <w:rPr>
          <w:rFonts w:ascii="宋体" w:eastAsia="宋体" w:hAnsi="宋体" w:cs="Times New Roman"/>
          <w:sz w:val="24"/>
        </w:rPr>
      </w:pPr>
      <w:r w:rsidRPr="00C843E6">
        <w:rPr>
          <w:rFonts w:ascii="宋体" w:eastAsia="宋体" w:hAnsi="宋体" w:cs="Times New Roman" w:hint="eastAsia"/>
          <w:sz w:val="24"/>
        </w:rPr>
        <w:t>课程考核方式分为平时考核和期末考核。平时考核方式包括课堂表现、平时作业；期末考核为科技文献翻译，采用开卷考试。</w:t>
      </w:r>
    </w:p>
    <w:p w14:paraId="2D19E3D7" w14:textId="77777777" w:rsidR="00C843E6" w:rsidRPr="00C843E6" w:rsidRDefault="00C843E6" w:rsidP="00C843E6">
      <w:pPr>
        <w:spacing w:beforeLines="50" w:before="156" w:afterLines="50" w:after="156" w:line="440" w:lineRule="exact"/>
        <w:ind w:firstLineChars="200" w:firstLine="560"/>
        <w:rPr>
          <w:rFonts w:ascii="黑体" w:eastAsia="黑体" w:hAnsi="黑体" w:cs="Times New Roman"/>
          <w:sz w:val="28"/>
          <w:szCs w:val="28"/>
        </w:rPr>
      </w:pPr>
      <w:r w:rsidRPr="00C843E6">
        <w:rPr>
          <w:rFonts w:ascii="黑体" w:eastAsia="黑体" w:hAnsi="黑体" w:cs="Times New Roman" w:hint="eastAsia"/>
          <w:sz w:val="28"/>
          <w:szCs w:val="28"/>
        </w:rPr>
        <w:t>（三）课程目标达成评价方式及考核比例</w:t>
      </w:r>
    </w:p>
    <w:p w14:paraId="554672C4" w14:textId="77777777" w:rsidR="00C843E6" w:rsidRPr="00C843E6" w:rsidRDefault="00C843E6" w:rsidP="00C843E6">
      <w:pPr>
        <w:spacing w:line="440" w:lineRule="exact"/>
        <w:ind w:firstLineChars="200" w:firstLine="480"/>
        <w:rPr>
          <w:rFonts w:ascii="宋体" w:eastAsia="宋体" w:hAnsi="宋体" w:cs="Times New Roman"/>
          <w:sz w:val="24"/>
        </w:rPr>
      </w:pPr>
      <w:r w:rsidRPr="00C843E6">
        <w:rPr>
          <w:rFonts w:ascii="宋体" w:eastAsia="宋体" w:hAnsi="宋体" w:cs="Times New Roman" w:hint="eastAsia"/>
          <w:sz w:val="24"/>
        </w:rPr>
        <w:t>本课程考核方式及成绩比例为：课堂表现20%</w:t>
      </w:r>
      <w:r w:rsidRPr="00C843E6">
        <w:rPr>
          <w:rFonts w:ascii="宋体" w:eastAsia="宋体" w:hAnsi="宋体" w:cs="Times New Roman"/>
          <w:sz w:val="24"/>
        </w:rPr>
        <w:t xml:space="preserve"> + </w:t>
      </w:r>
      <w:r w:rsidRPr="00C843E6">
        <w:rPr>
          <w:rFonts w:ascii="宋体" w:eastAsia="宋体" w:hAnsi="宋体" w:cs="Times New Roman" w:hint="eastAsia"/>
          <w:sz w:val="24"/>
        </w:rPr>
        <w:t>平时作业20%</w:t>
      </w:r>
      <w:r w:rsidRPr="00C843E6">
        <w:rPr>
          <w:rFonts w:ascii="宋体" w:eastAsia="宋体" w:hAnsi="宋体" w:cs="Times New Roman"/>
          <w:sz w:val="24"/>
        </w:rPr>
        <w:t xml:space="preserve"> </w:t>
      </w:r>
      <w:r w:rsidRPr="00C843E6">
        <w:rPr>
          <w:rFonts w:ascii="宋体" w:eastAsia="宋体" w:hAnsi="宋体" w:cs="Times New Roman" w:hint="eastAsia"/>
          <w:sz w:val="24"/>
        </w:rPr>
        <w:t>+</w:t>
      </w:r>
      <w:r w:rsidRPr="00C843E6">
        <w:rPr>
          <w:rFonts w:ascii="宋体" w:eastAsia="宋体" w:hAnsi="宋体" w:cs="Times New Roman"/>
          <w:sz w:val="24"/>
        </w:rPr>
        <w:t xml:space="preserve"> </w:t>
      </w:r>
      <w:r w:rsidRPr="00C843E6">
        <w:rPr>
          <w:rFonts w:ascii="宋体" w:eastAsia="宋体" w:hAnsi="宋体" w:cs="Times New Roman" w:hint="eastAsia"/>
          <w:sz w:val="24"/>
        </w:rPr>
        <w:t>期末随堂测验60%；本课程共有四个课程目标，考核方式及成绩比例分别为：</w:t>
      </w:r>
    </w:p>
    <w:p w14:paraId="0AADA3DF"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课程目标</w:t>
      </w: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w:t>
      </w:r>
      <w:r w:rsidRPr="00C843E6">
        <w:rPr>
          <w:rFonts w:ascii="Times New Roman" w:eastAsia="宋体" w:hAnsi="Times New Roman" w:cs="Times New Roman"/>
          <w:sz w:val="24"/>
          <w:szCs w:val="24"/>
        </w:rPr>
        <w:t>2</w:t>
      </w:r>
      <w:r w:rsidRPr="00C843E6">
        <w:rPr>
          <w:rFonts w:ascii="Times New Roman" w:eastAsia="宋体" w:hAnsi="Times New Roman" w:cs="Times New Roman"/>
          <w:sz w:val="24"/>
          <w:szCs w:val="24"/>
        </w:rPr>
        <w:t>：平时成绩</w:t>
      </w:r>
      <w:r w:rsidRPr="00C843E6">
        <w:rPr>
          <w:rFonts w:ascii="Times New Roman" w:eastAsia="宋体" w:hAnsi="Times New Roman" w:cs="Times New Roman" w:hint="eastAsia"/>
          <w:sz w:val="24"/>
          <w:szCs w:val="24"/>
        </w:rPr>
        <w:t>（</w:t>
      </w:r>
      <w:r w:rsidRPr="00C843E6">
        <w:rPr>
          <w:rFonts w:ascii="Times New Roman" w:eastAsia="宋体" w:hAnsi="Times New Roman" w:cs="Times New Roman"/>
          <w:sz w:val="24"/>
          <w:szCs w:val="24"/>
        </w:rPr>
        <w:t>平时作业</w:t>
      </w:r>
      <w:r w:rsidRPr="00C843E6">
        <w:rPr>
          <w:rFonts w:ascii="Times New Roman" w:eastAsia="宋体" w:hAnsi="Times New Roman" w:cs="Times New Roman"/>
          <w:sz w:val="24"/>
          <w:szCs w:val="24"/>
        </w:rPr>
        <w:t>+</w:t>
      </w:r>
      <w:r w:rsidRPr="00C843E6">
        <w:rPr>
          <w:rFonts w:ascii="Times New Roman" w:eastAsia="宋体" w:hAnsi="Times New Roman" w:cs="Times New Roman"/>
          <w:sz w:val="24"/>
          <w:szCs w:val="24"/>
        </w:rPr>
        <w:t>课堂表现</w:t>
      </w:r>
      <w:r w:rsidRPr="00C843E6">
        <w:rPr>
          <w:rFonts w:ascii="Times New Roman" w:eastAsia="宋体" w:hAnsi="Times New Roman" w:cs="Times New Roman" w:hint="eastAsia"/>
          <w:sz w:val="24"/>
          <w:szCs w:val="24"/>
        </w:rPr>
        <w:t>）</w:t>
      </w:r>
      <w:r w:rsidRPr="00C843E6">
        <w:rPr>
          <w:rFonts w:ascii="Times New Roman" w:eastAsia="宋体" w:hAnsi="Times New Roman" w:cs="Times New Roman"/>
          <w:sz w:val="24"/>
          <w:szCs w:val="24"/>
        </w:rPr>
        <w:t xml:space="preserve"> </w:t>
      </w:r>
      <w:r w:rsidRPr="00C843E6">
        <w:rPr>
          <w:rFonts w:ascii="Times New Roman" w:eastAsia="宋体" w:hAnsi="Times New Roman" w:cs="Times New Roman" w:hint="eastAsia"/>
          <w:sz w:val="24"/>
          <w:szCs w:val="24"/>
        </w:rPr>
        <w:t>（</w:t>
      </w:r>
      <w:r w:rsidRPr="00C843E6">
        <w:rPr>
          <w:rFonts w:ascii="Times New Roman" w:eastAsia="宋体" w:hAnsi="Times New Roman" w:cs="Times New Roman" w:hint="eastAsia"/>
          <w:sz w:val="24"/>
          <w:szCs w:val="24"/>
        </w:rPr>
        <w:t>2</w:t>
      </w:r>
      <w:r w:rsidRPr="00C843E6">
        <w:rPr>
          <w:rFonts w:ascii="Times New Roman" w:eastAsia="宋体" w:hAnsi="Times New Roman" w:cs="Times New Roman"/>
          <w:sz w:val="24"/>
          <w:szCs w:val="24"/>
        </w:rPr>
        <w:t>0%</w:t>
      </w:r>
      <w:r w:rsidRPr="00C843E6">
        <w:rPr>
          <w:rFonts w:ascii="Times New Roman" w:eastAsia="宋体" w:hAnsi="Times New Roman" w:cs="Times New Roman" w:hint="eastAsia"/>
          <w:sz w:val="24"/>
          <w:szCs w:val="24"/>
        </w:rPr>
        <w:t>）</w:t>
      </w:r>
      <w:r w:rsidRPr="00C843E6">
        <w:rPr>
          <w:rFonts w:ascii="Times New Roman" w:eastAsia="宋体" w:hAnsi="Times New Roman" w:cs="Times New Roman"/>
          <w:sz w:val="24"/>
          <w:szCs w:val="24"/>
        </w:rPr>
        <w:t>+</w:t>
      </w:r>
      <w:r w:rsidRPr="00C843E6">
        <w:rPr>
          <w:rFonts w:ascii="Times New Roman" w:eastAsia="宋体" w:hAnsi="Times New Roman" w:cs="Times New Roman"/>
          <w:sz w:val="24"/>
          <w:szCs w:val="24"/>
        </w:rPr>
        <w:t>期末</w:t>
      </w:r>
      <w:r w:rsidRPr="00C843E6">
        <w:rPr>
          <w:rFonts w:ascii="Times New Roman" w:eastAsia="宋体" w:hAnsi="Times New Roman" w:cs="Times New Roman" w:hint="eastAsia"/>
          <w:sz w:val="24"/>
          <w:szCs w:val="24"/>
        </w:rPr>
        <w:t>随堂测验（</w:t>
      </w:r>
      <w:r w:rsidRPr="00C843E6">
        <w:rPr>
          <w:rFonts w:ascii="Times New Roman" w:eastAsia="宋体" w:hAnsi="Times New Roman" w:cs="Times New Roman" w:hint="eastAsia"/>
          <w:sz w:val="24"/>
          <w:szCs w:val="24"/>
        </w:rPr>
        <w:t>3</w:t>
      </w:r>
      <w:r w:rsidRPr="00C843E6">
        <w:rPr>
          <w:rFonts w:ascii="Times New Roman" w:eastAsia="宋体" w:hAnsi="Times New Roman" w:cs="Times New Roman"/>
          <w:sz w:val="24"/>
          <w:szCs w:val="24"/>
        </w:rPr>
        <w:t>0%</w:t>
      </w:r>
      <w:r w:rsidRPr="00C843E6">
        <w:rPr>
          <w:rFonts w:ascii="Times New Roman" w:eastAsia="宋体" w:hAnsi="Times New Roman" w:cs="Times New Roman" w:hint="eastAsia"/>
          <w:sz w:val="24"/>
          <w:szCs w:val="24"/>
        </w:rPr>
        <w:t>）</w:t>
      </w:r>
      <w:r w:rsidRPr="00C843E6">
        <w:rPr>
          <w:rFonts w:ascii="Times New Roman" w:eastAsia="宋体" w:hAnsi="Times New Roman" w:cs="Times New Roman"/>
          <w:sz w:val="24"/>
          <w:szCs w:val="24"/>
        </w:rPr>
        <w:t>；</w:t>
      </w:r>
    </w:p>
    <w:p w14:paraId="42744D3F"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课程目标</w:t>
      </w:r>
      <w:r w:rsidRPr="00C843E6">
        <w:rPr>
          <w:rFonts w:ascii="Times New Roman" w:eastAsia="宋体" w:hAnsi="Times New Roman" w:cs="Times New Roman"/>
          <w:sz w:val="24"/>
          <w:szCs w:val="24"/>
        </w:rPr>
        <w:t>3</w:t>
      </w:r>
      <w:r w:rsidRPr="00C843E6">
        <w:rPr>
          <w:rFonts w:ascii="Times New Roman" w:eastAsia="宋体" w:hAnsi="Times New Roman" w:cs="Times New Roman" w:hint="eastAsia"/>
          <w:sz w:val="24"/>
          <w:szCs w:val="24"/>
        </w:rPr>
        <w:t>、</w:t>
      </w:r>
      <w:r w:rsidRPr="00C843E6">
        <w:rPr>
          <w:rFonts w:ascii="Times New Roman" w:eastAsia="宋体" w:hAnsi="Times New Roman" w:cs="Times New Roman"/>
          <w:sz w:val="24"/>
          <w:szCs w:val="24"/>
        </w:rPr>
        <w:t>4</w:t>
      </w:r>
      <w:r w:rsidRPr="00C843E6">
        <w:rPr>
          <w:rFonts w:ascii="Times New Roman" w:eastAsia="宋体" w:hAnsi="Times New Roman" w:cs="Times New Roman"/>
          <w:sz w:val="24"/>
          <w:szCs w:val="24"/>
        </w:rPr>
        <w:t>：平时成绩</w:t>
      </w:r>
      <w:r w:rsidRPr="00C843E6">
        <w:rPr>
          <w:rFonts w:ascii="Times New Roman" w:eastAsia="宋体" w:hAnsi="Times New Roman" w:cs="Times New Roman" w:hint="eastAsia"/>
          <w:sz w:val="24"/>
          <w:szCs w:val="24"/>
        </w:rPr>
        <w:t>（</w:t>
      </w:r>
      <w:r w:rsidRPr="00C843E6">
        <w:rPr>
          <w:rFonts w:ascii="Times New Roman" w:eastAsia="宋体" w:hAnsi="Times New Roman" w:cs="Times New Roman"/>
          <w:sz w:val="24"/>
          <w:szCs w:val="24"/>
        </w:rPr>
        <w:t>平时作业</w:t>
      </w:r>
      <w:r w:rsidRPr="00C843E6">
        <w:rPr>
          <w:rFonts w:ascii="Times New Roman" w:eastAsia="宋体" w:hAnsi="Times New Roman" w:cs="Times New Roman"/>
          <w:sz w:val="24"/>
          <w:szCs w:val="24"/>
        </w:rPr>
        <w:t>+</w:t>
      </w:r>
      <w:r w:rsidRPr="00C843E6">
        <w:rPr>
          <w:rFonts w:ascii="Times New Roman" w:eastAsia="宋体" w:hAnsi="Times New Roman" w:cs="Times New Roman"/>
          <w:sz w:val="24"/>
          <w:szCs w:val="24"/>
        </w:rPr>
        <w:t>课堂表现</w:t>
      </w:r>
      <w:r w:rsidRPr="00C843E6">
        <w:rPr>
          <w:rFonts w:ascii="Times New Roman" w:eastAsia="宋体" w:hAnsi="Times New Roman" w:cs="Times New Roman" w:hint="eastAsia"/>
          <w:sz w:val="24"/>
          <w:szCs w:val="24"/>
        </w:rPr>
        <w:t>）</w:t>
      </w:r>
      <w:r w:rsidRPr="00C843E6">
        <w:rPr>
          <w:rFonts w:ascii="Times New Roman" w:eastAsia="宋体" w:hAnsi="Times New Roman" w:cs="Times New Roman"/>
          <w:sz w:val="24"/>
          <w:szCs w:val="24"/>
        </w:rPr>
        <w:t xml:space="preserve"> </w:t>
      </w:r>
      <w:r w:rsidRPr="00C843E6">
        <w:rPr>
          <w:rFonts w:ascii="Times New Roman" w:eastAsia="宋体" w:hAnsi="Times New Roman" w:cs="Times New Roman" w:hint="eastAsia"/>
          <w:sz w:val="24"/>
          <w:szCs w:val="24"/>
        </w:rPr>
        <w:t>（</w:t>
      </w:r>
      <w:r w:rsidRPr="00C843E6">
        <w:rPr>
          <w:rFonts w:ascii="Times New Roman" w:eastAsia="宋体" w:hAnsi="Times New Roman" w:cs="Times New Roman" w:hint="eastAsia"/>
          <w:sz w:val="24"/>
          <w:szCs w:val="24"/>
        </w:rPr>
        <w:t>20</w:t>
      </w:r>
      <w:r w:rsidRPr="00C843E6">
        <w:rPr>
          <w:rFonts w:ascii="Times New Roman" w:eastAsia="宋体" w:hAnsi="Times New Roman" w:cs="Times New Roman"/>
          <w:sz w:val="24"/>
          <w:szCs w:val="24"/>
        </w:rPr>
        <w:t>%</w:t>
      </w:r>
      <w:r w:rsidRPr="00C843E6">
        <w:rPr>
          <w:rFonts w:ascii="Times New Roman" w:eastAsia="宋体" w:hAnsi="Times New Roman" w:cs="Times New Roman" w:hint="eastAsia"/>
          <w:sz w:val="24"/>
          <w:szCs w:val="24"/>
        </w:rPr>
        <w:t>）</w:t>
      </w:r>
      <w:r w:rsidRPr="00C843E6">
        <w:rPr>
          <w:rFonts w:ascii="Times New Roman" w:eastAsia="宋体" w:hAnsi="Times New Roman" w:cs="Times New Roman"/>
          <w:sz w:val="24"/>
          <w:szCs w:val="24"/>
        </w:rPr>
        <w:t>+</w:t>
      </w:r>
      <w:r w:rsidRPr="00C843E6">
        <w:rPr>
          <w:rFonts w:ascii="Times New Roman" w:eastAsia="宋体" w:hAnsi="Times New Roman" w:cs="Times New Roman"/>
          <w:sz w:val="24"/>
          <w:szCs w:val="24"/>
        </w:rPr>
        <w:t>期末</w:t>
      </w:r>
      <w:r w:rsidRPr="00C843E6">
        <w:rPr>
          <w:rFonts w:ascii="Times New Roman" w:eastAsia="宋体" w:hAnsi="Times New Roman" w:cs="Times New Roman" w:hint="eastAsia"/>
          <w:sz w:val="24"/>
          <w:szCs w:val="24"/>
        </w:rPr>
        <w:t>随堂测验（</w:t>
      </w:r>
      <w:r w:rsidRPr="00C843E6">
        <w:rPr>
          <w:rFonts w:ascii="Times New Roman" w:eastAsia="宋体" w:hAnsi="Times New Roman" w:cs="Times New Roman" w:hint="eastAsia"/>
          <w:sz w:val="24"/>
          <w:szCs w:val="24"/>
        </w:rPr>
        <w:t>3</w:t>
      </w:r>
      <w:r w:rsidRPr="00C843E6">
        <w:rPr>
          <w:rFonts w:ascii="Times New Roman" w:eastAsia="宋体" w:hAnsi="Times New Roman" w:cs="Times New Roman"/>
          <w:sz w:val="24"/>
          <w:szCs w:val="24"/>
        </w:rPr>
        <w:t>0%</w:t>
      </w:r>
      <w:r w:rsidRPr="00C843E6">
        <w:rPr>
          <w:rFonts w:ascii="Times New Roman" w:eastAsia="宋体" w:hAnsi="Times New Roman" w:cs="Times New Roman" w:hint="eastAsia"/>
          <w:sz w:val="24"/>
          <w:szCs w:val="24"/>
        </w:rPr>
        <w:t>）</w:t>
      </w:r>
      <w:r w:rsidRPr="00C843E6">
        <w:rPr>
          <w:rFonts w:ascii="Times New Roman" w:eastAsia="宋体" w:hAnsi="Times New Roman" w:cs="Times New Roman"/>
          <w:sz w:val="24"/>
          <w:szCs w:val="24"/>
        </w:rPr>
        <w:t>；</w:t>
      </w:r>
    </w:p>
    <w:p w14:paraId="02C43C50"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hint="eastAsia"/>
          <w:sz w:val="24"/>
          <w:szCs w:val="24"/>
        </w:rPr>
        <w:t>如下图：</w:t>
      </w:r>
    </w:p>
    <w:tbl>
      <w:tblPr>
        <w:tblW w:w="8185" w:type="dxa"/>
        <w:jc w:val="center"/>
        <w:tblLayout w:type="fixed"/>
        <w:tblLook w:val="0000" w:firstRow="0" w:lastRow="0" w:firstColumn="0" w:lastColumn="0" w:noHBand="0" w:noVBand="0"/>
      </w:tblPr>
      <w:tblGrid>
        <w:gridCol w:w="1975"/>
        <w:gridCol w:w="1710"/>
        <w:gridCol w:w="1350"/>
        <w:gridCol w:w="1890"/>
        <w:gridCol w:w="1260"/>
      </w:tblGrid>
      <w:tr w:rsidR="00C843E6" w:rsidRPr="00C843E6" w14:paraId="114E9E52" w14:textId="77777777" w:rsidTr="00106206">
        <w:trPr>
          <w:trHeight w:val="540"/>
          <w:jc w:val="center"/>
        </w:trPr>
        <w:tc>
          <w:tcPr>
            <w:tcW w:w="1975" w:type="dxa"/>
            <w:vMerge w:val="restart"/>
            <w:tcBorders>
              <w:top w:val="single" w:sz="4" w:space="0" w:color="auto"/>
              <w:left w:val="single" w:sz="4" w:space="0" w:color="auto"/>
              <w:bottom w:val="single" w:sz="4" w:space="0" w:color="auto"/>
              <w:right w:val="single" w:sz="4" w:space="0" w:color="auto"/>
            </w:tcBorders>
            <w:vAlign w:val="center"/>
          </w:tcPr>
          <w:p w14:paraId="3D4A750C" w14:textId="77777777" w:rsidR="00C843E6" w:rsidRPr="00C843E6" w:rsidRDefault="00C843E6" w:rsidP="00C843E6">
            <w:pPr>
              <w:spacing w:line="440" w:lineRule="exact"/>
              <w:jc w:val="center"/>
              <w:rPr>
                <w:rFonts w:ascii="Times New Roman" w:eastAsia="宋体" w:hAnsi="Times New Roman" w:cs="Times New Roman"/>
                <w:szCs w:val="24"/>
              </w:rPr>
            </w:pPr>
            <w:r w:rsidRPr="00C843E6">
              <w:rPr>
                <w:rFonts w:ascii="Times New Roman" w:eastAsia="宋体" w:hAnsi="Times New Roman" w:cs="Times New Roman"/>
                <w:b/>
                <w:sz w:val="24"/>
                <w:szCs w:val="24"/>
              </w:rPr>
              <w:t>课程目标</w:t>
            </w:r>
          </w:p>
        </w:tc>
        <w:tc>
          <w:tcPr>
            <w:tcW w:w="4950" w:type="dxa"/>
            <w:gridSpan w:val="3"/>
            <w:tcBorders>
              <w:top w:val="single" w:sz="4" w:space="0" w:color="auto"/>
              <w:left w:val="single" w:sz="4" w:space="0" w:color="auto"/>
              <w:bottom w:val="single" w:sz="4" w:space="0" w:color="auto"/>
              <w:right w:val="single" w:sz="4" w:space="0" w:color="auto"/>
            </w:tcBorders>
          </w:tcPr>
          <w:p w14:paraId="6C7918BD" w14:textId="77777777" w:rsidR="00C843E6" w:rsidRPr="00C843E6" w:rsidRDefault="00C843E6" w:rsidP="00C843E6">
            <w:pPr>
              <w:spacing w:line="440" w:lineRule="exact"/>
              <w:jc w:val="center"/>
              <w:rPr>
                <w:rFonts w:ascii="Times New Roman" w:eastAsia="宋体" w:hAnsi="Times New Roman" w:cs="Times New Roman"/>
                <w:b/>
                <w:sz w:val="24"/>
                <w:szCs w:val="24"/>
              </w:rPr>
            </w:pPr>
            <w:r w:rsidRPr="00C843E6">
              <w:rPr>
                <w:rFonts w:ascii="Times New Roman" w:eastAsia="宋体" w:hAnsi="Times New Roman" w:cs="Times New Roman"/>
                <w:b/>
                <w:sz w:val="24"/>
                <w:szCs w:val="24"/>
              </w:rPr>
              <w:t>考核方式及成绩比例（</w:t>
            </w:r>
            <w:r w:rsidRPr="00C843E6">
              <w:rPr>
                <w:rFonts w:ascii="Times New Roman" w:eastAsia="宋体" w:hAnsi="Times New Roman" w:cs="Times New Roman"/>
                <w:b/>
                <w:sz w:val="24"/>
                <w:szCs w:val="24"/>
              </w:rPr>
              <w:t>%</w:t>
            </w:r>
            <w:r w:rsidRPr="00C843E6">
              <w:rPr>
                <w:rFonts w:ascii="Times New Roman" w:eastAsia="宋体" w:hAnsi="Times New Roman" w:cs="Times New Roman"/>
                <w:b/>
                <w:sz w:val="24"/>
                <w:szCs w:val="24"/>
              </w:rPr>
              <w:t>）</w:t>
            </w:r>
          </w:p>
        </w:tc>
        <w:tc>
          <w:tcPr>
            <w:tcW w:w="1260" w:type="dxa"/>
            <w:vMerge w:val="restart"/>
            <w:tcBorders>
              <w:top w:val="single" w:sz="4" w:space="0" w:color="auto"/>
              <w:left w:val="single" w:sz="4" w:space="0" w:color="auto"/>
              <w:right w:val="single" w:sz="4" w:space="0" w:color="auto"/>
            </w:tcBorders>
            <w:vAlign w:val="center"/>
          </w:tcPr>
          <w:p w14:paraId="7CB6F129" w14:textId="77777777" w:rsidR="00C843E6" w:rsidRPr="00C843E6" w:rsidRDefault="00C843E6" w:rsidP="00C843E6">
            <w:pPr>
              <w:spacing w:line="440" w:lineRule="exact"/>
              <w:jc w:val="center"/>
              <w:rPr>
                <w:rFonts w:ascii="Times New Roman" w:eastAsia="宋体" w:hAnsi="Times New Roman" w:cs="Times New Roman"/>
                <w:b/>
                <w:sz w:val="24"/>
                <w:szCs w:val="24"/>
              </w:rPr>
            </w:pPr>
            <w:r w:rsidRPr="00C843E6">
              <w:rPr>
                <w:rFonts w:ascii="Times New Roman" w:eastAsia="宋体" w:hAnsi="Times New Roman" w:cs="Times New Roman"/>
                <w:b/>
                <w:sz w:val="24"/>
                <w:szCs w:val="24"/>
              </w:rPr>
              <w:t>合计</w:t>
            </w:r>
          </w:p>
        </w:tc>
      </w:tr>
      <w:tr w:rsidR="00C843E6" w:rsidRPr="00C843E6" w14:paraId="1B33D6D2" w14:textId="77777777" w:rsidTr="00106206">
        <w:trPr>
          <w:trHeight w:val="578"/>
          <w:jc w:val="center"/>
        </w:trPr>
        <w:tc>
          <w:tcPr>
            <w:tcW w:w="1975" w:type="dxa"/>
            <w:vMerge/>
            <w:tcBorders>
              <w:top w:val="single" w:sz="4" w:space="0" w:color="auto"/>
              <w:left w:val="single" w:sz="4" w:space="0" w:color="auto"/>
              <w:bottom w:val="single" w:sz="4" w:space="0" w:color="auto"/>
              <w:right w:val="single" w:sz="4" w:space="0" w:color="auto"/>
            </w:tcBorders>
            <w:vAlign w:val="center"/>
          </w:tcPr>
          <w:p w14:paraId="101C5CF9" w14:textId="77777777" w:rsidR="00C843E6" w:rsidRPr="00C843E6" w:rsidRDefault="00C843E6" w:rsidP="00C843E6">
            <w:pPr>
              <w:spacing w:line="440" w:lineRule="exact"/>
              <w:jc w:val="center"/>
              <w:rPr>
                <w:rFonts w:ascii="Times New Roman" w:eastAsia="宋体" w:hAnsi="Times New Roman" w:cs="Times New Roman"/>
                <w:szCs w:val="24"/>
              </w:rPr>
            </w:pPr>
          </w:p>
        </w:tc>
        <w:tc>
          <w:tcPr>
            <w:tcW w:w="1710" w:type="dxa"/>
            <w:tcBorders>
              <w:top w:val="single" w:sz="4" w:space="0" w:color="auto"/>
              <w:left w:val="single" w:sz="4" w:space="0" w:color="auto"/>
              <w:bottom w:val="single" w:sz="4" w:space="0" w:color="auto"/>
              <w:right w:val="single" w:sz="4" w:space="0" w:color="auto"/>
            </w:tcBorders>
            <w:vAlign w:val="center"/>
          </w:tcPr>
          <w:p w14:paraId="2B27843D" w14:textId="77777777" w:rsidR="00C843E6" w:rsidRPr="00C843E6" w:rsidRDefault="00C843E6" w:rsidP="00C843E6">
            <w:pPr>
              <w:spacing w:line="440" w:lineRule="exact"/>
              <w:jc w:val="center"/>
              <w:rPr>
                <w:rFonts w:ascii="Times New Roman" w:eastAsia="宋体" w:hAnsi="Times New Roman" w:cs="Times New Roman"/>
                <w:b/>
                <w:sz w:val="24"/>
                <w:szCs w:val="24"/>
              </w:rPr>
            </w:pPr>
            <w:r w:rsidRPr="00C843E6">
              <w:rPr>
                <w:rFonts w:ascii="Times New Roman" w:eastAsia="宋体" w:hAnsi="Times New Roman" w:cs="Times New Roman"/>
                <w:b/>
                <w:sz w:val="24"/>
                <w:szCs w:val="24"/>
              </w:rPr>
              <w:t>课堂表现</w:t>
            </w:r>
          </w:p>
        </w:tc>
        <w:tc>
          <w:tcPr>
            <w:tcW w:w="1350" w:type="dxa"/>
            <w:tcBorders>
              <w:top w:val="single" w:sz="4" w:space="0" w:color="auto"/>
              <w:left w:val="single" w:sz="4" w:space="0" w:color="auto"/>
              <w:bottom w:val="single" w:sz="4" w:space="0" w:color="auto"/>
              <w:right w:val="single" w:sz="4" w:space="0" w:color="auto"/>
            </w:tcBorders>
            <w:vAlign w:val="center"/>
          </w:tcPr>
          <w:p w14:paraId="2608F273" w14:textId="77777777" w:rsidR="00C843E6" w:rsidRPr="00C843E6" w:rsidRDefault="00C843E6" w:rsidP="00C843E6">
            <w:pPr>
              <w:spacing w:line="440" w:lineRule="exact"/>
              <w:jc w:val="center"/>
              <w:rPr>
                <w:rFonts w:ascii="Times New Roman" w:eastAsia="宋体" w:hAnsi="Times New Roman" w:cs="Times New Roman"/>
                <w:b/>
                <w:sz w:val="24"/>
                <w:szCs w:val="24"/>
              </w:rPr>
            </w:pPr>
            <w:r w:rsidRPr="00C843E6">
              <w:rPr>
                <w:rFonts w:ascii="Times New Roman" w:eastAsia="宋体" w:hAnsi="Times New Roman" w:cs="Times New Roman"/>
                <w:b/>
                <w:sz w:val="24"/>
                <w:szCs w:val="24"/>
              </w:rPr>
              <w:t>平时作业</w:t>
            </w:r>
          </w:p>
        </w:tc>
        <w:tc>
          <w:tcPr>
            <w:tcW w:w="1890" w:type="dxa"/>
            <w:tcBorders>
              <w:top w:val="single" w:sz="4" w:space="0" w:color="auto"/>
              <w:left w:val="single" w:sz="4" w:space="0" w:color="auto"/>
              <w:bottom w:val="single" w:sz="4" w:space="0" w:color="auto"/>
              <w:right w:val="single" w:sz="4" w:space="0" w:color="auto"/>
            </w:tcBorders>
            <w:vAlign w:val="center"/>
          </w:tcPr>
          <w:p w14:paraId="4049FAE5" w14:textId="77777777" w:rsidR="00C843E6" w:rsidRPr="00C843E6" w:rsidRDefault="00C843E6" w:rsidP="00C843E6">
            <w:pPr>
              <w:spacing w:line="440" w:lineRule="exact"/>
              <w:jc w:val="center"/>
              <w:rPr>
                <w:rFonts w:ascii="Times New Roman" w:eastAsia="宋体" w:hAnsi="Times New Roman" w:cs="Times New Roman"/>
                <w:b/>
                <w:sz w:val="24"/>
                <w:szCs w:val="24"/>
              </w:rPr>
            </w:pPr>
            <w:r w:rsidRPr="00C843E6">
              <w:rPr>
                <w:rFonts w:ascii="Times New Roman" w:eastAsia="宋体" w:hAnsi="Times New Roman" w:cs="Times New Roman"/>
                <w:b/>
                <w:sz w:val="24"/>
                <w:szCs w:val="24"/>
              </w:rPr>
              <w:t>期末随堂测验</w:t>
            </w:r>
          </w:p>
        </w:tc>
        <w:tc>
          <w:tcPr>
            <w:tcW w:w="1260" w:type="dxa"/>
            <w:vMerge/>
            <w:tcBorders>
              <w:left w:val="single" w:sz="4" w:space="0" w:color="auto"/>
              <w:bottom w:val="single" w:sz="4" w:space="0" w:color="auto"/>
              <w:right w:val="single" w:sz="4" w:space="0" w:color="auto"/>
            </w:tcBorders>
            <w:vAlign w:val="center"/>
          </w:tcPr>
          <w:p w14:paraId="712B0A37" w14:textId="77777777" w:rsidR="00C843E6" w:rsidRPr="00C843E6" w:rsidRDefault="00C843E6" w:rsidP="00C843E6">
            <w:pPr>
              <w:spacing w:line="440" w:lineRule="exact"/>
              <w:jc w:val="center"/>
              <w:rPr>
                <w:rFonts w:ascii="Times New Roman" w:eastAsia="宋体" w:hAnsi="Times New Roman" w:cs="Times New Roman"/>
                <w:szCs w:val="24"/>
              </w:rPr>
            </w:pPr>
          </w:p>
        </w:tc>
      </w:tr>
      <w:tr w:rsidR="00C843E6" w:rsidRPr="00C843E6" w14:paraId="5E1FCF57" w14:textId="77777777" w:rsidTr="00106206">
        <w:trPr>
          <w:jc w:val="center"/>
        </w:trPr>
        <w:tc>
          <w:tcPr>
            <w:tcW w:w="1975" w:type="dxa"/>
            <w:tcBorders>
              <w:top w:val="single" w:sz="4" w:space="0" w:color="auto"/>
              <w:left w:val="single" w:sz="4" w:space="0" w:color="auto"/>
              <w:bottom w:val="single" w:sz="4" w:space="0" w:color="auto"/>
              <w:right w:val="single" w:sz="4" w:space="0" w:color="auto"/>
            </w:tcBorders>
            <w:vAlign w:val="center"/>
          </w:tcPr>
          <w:p w14:paraId="2EC4ED10" w14:textId="77777777" w:rsidR="00C843E6" w:rsidRPr="00C843E6" w:rsidRDefault="00C843E6" w:rsidP="00C843E6">
            <w:pPr>
              <w:spacing w:line="440" w:lineRule="exact"/>
              <w:jc w:val="center"/>
              <w:rPr>
                <w:rFonts w:ascii="Times New Roman" w:eastAsia="宋体" w:hAnsi="Times New Roman" w:cs="Times New Roman"/>
                <w:szCs w:val="24"/>
              </w:rPr>
            </w:pPr>
            <w:r w:rsidRPr="00C843E6">
              <w:rPr>
                <w:rFonts w:ascii="Times New Roman" w:eastAsia="宋体" w:hAnsi="Times New Roman" w:cs="Times New Roman"/>
                <w:sz w:val="24"/>
                <w:szCs w:val="24"/>
              </w:rPr>
              <w:t>课程目标</w:t>
            </w:r>
            <w:r w:rsidRPr="00C843E6">
              <w:rPr>
                <w:rFonts w:ascii="Times New Roman" w:eastAsia="宋体" w:hAnsi="Times New Roman" w:cs="Times New Roman"/>
                <w:sz w:val="24"/>
                <w:szCs w:val="24"/>
              </w:rPr>
              <w:t>1</w:t>
            </w:r>
            <w:r w:rsidRPr="00C843E6">
              <w:rPr>
                <w:rFonts w:ascii="Times New Roman" w:eastAsia="宋体" w:hAnsi="Times New Roman" w:cs="Times New Roman"/>
                <w:sz w:val="24"/>
                <w:szCs w:val="24"/>
              </w:rPr>
              <w:t>、</w:t>
            </w:r>
            <w:r w:rsidRPr="00C843E6">
              <w:rPr>
                <w:rFonts w:ascii="Times New Roman" w:eastAsia="宋体" w:hAnsi="Times New Roman" w:cs="Times New Roman"/>
                <w:sz w:val="24"/>
                <w:szCs w:val="24"/>
              </w:rPr>
              <w:t>2</w:t>
            </w:r>
          </w:p>
        </w:tc>
        <w:tc>
          <w:tcPr>
            <w:tcW w:w="1710" w:type="dxa"/>
            <w:tcBorders>
              <w:top w:val="single" w:sz="4" w:space="0" w:color="auto"/>
              <w:left w:val="single" w:sz="4" w:space="0" w:color="auto"/>
              <w:bottom w:val="single" w:sz="4" w:space="0" w:color="auto"/>
              <w:right w:val="single" w:sz="4" w:space="0" w:color="auto"/>
            </w:tcBorders>
            <w:vAlign w:val="center"/>
          </w:tcPr>
          <w:p w14:paraId="53C7502F" w14:textId="77777777" w:rsidR="00C843E6" w:rsidRPr="00C843E6" w:rsidRDefault="00C843E6" w:rsidP="00C843E6">
            <w:pPr>
              <w:spacing w:line="440" w:lineRule="exact"/>
              <w:jc w:val="center"/>
              <w:rPr>
                <w:rFonts w:ascii="Times New Roman" w:eastAsia="宋体" w:hAnsi="Times New Roman" w:cs="Times New Roman"/>
                <w:szCs w:val="24"/>
              </w:rPr>
            </w:pPr>
            <w:r w:rsidRPr="00C843E6">
              <w:rPr>
                <w:rFonts w:ascii="Times New Roman" w:eastAsia="宋体" w:hAnsi="Times New Roman" w:cs="Times New Roman" w:hint="eastAsia"/>
                <w:szCs w:val="24"/>
              </w:rPr>
              <w:t>10</w:t>
            </w:r>
          </w:p>
        </w:tc>
        <w:tc>
          <w:tcPr>
            <w:tcW w:w="1350" w:type="dxa"/>
            <w:tcBorders>
              <w:top w:val="single" w:sz="4" w:space="0" w:color="auto"/>
              <w:left w:val="single" w:sz="4" w:space="0" w:color="auto"/>
              <w:bottom w:val="single" w:sz="4" w:space="0" w:color="auto"/>
              <w:right w:val="single" w:sz="4" w:space="0" w:color="auto"/>
            </w:tcBorders>
            <w:vAlign w:val="center"/>
          </w:tcPr>
          <w:p w14:paraId="205BFEF5" w14:textId="77777777" w:rsidR="00C843E6" w:rsidRPr="00C843E6" w:rsidRDefault="00C843E6" w:rsidP="00C843E6">
            <w:pPr>
              <w:spacing w:line="440" w:lineRule="exact"/>
              <w:jc w:val="center"/>
              <w:rPr>
                <w:rFonts w:ascii="Times New Roman" w:eastAsia="宋体" w:hAnsi="Times New Roman" w:cs="Times New Roman"/>
                <w:szCs w:val="24"/>
              </w:rPr>
            </w:pP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0</w:t>
            </w:r>
          </w:p>
        </w:tc>
        <w:tc>
          <w:tcPr>
            <w:tcW w:w="1890" w:type="dxa"/>
            <w:tcBorders>
              <w:top w:val="single" w:sz="4" w:space="0" w:color="auto"/>
              <w:left w:val="single" w:sz="4" w:space="0" w:color="auto"/>
              <w:bottom w:val="single" w:sz="4" w:space="0" w:color="auto"/>
              <w:right w:val="single" w:sz="4" w:space="0" w:color="auto"/>
            </w:tcBorders>
            <w:vAlign w:val="center"/>
          </w:tcPr>
          <w:p w14:paraId="0450B55B" w14:textId="77777777" w:rsidR="00C843E6" w:rsidRPr="00C843E6" w:rsidRDefault="00C843E6" w:rsidP="00C843E6">
            <w:pPr>
              <w:spacing w:line="440" w:lineRule="exact"/>
              <w:jc w:val="center"/>
              <w:rPr>
                <w:rFonts w:ascii="Times New Roman" w:eastAsia="宋体" w:hAnsi="Times New Roman" w:cs="Times New Roman"/>
                <w:szCs w:val="24"/>
              </w:rPr>
            </w:pPr>
            <w:r w:rsidRPr="00C843E6">
              <w:rPr>
                <w:rFonts w:ascii="Times New Roman" w:eastAsia="宋体" w:hAnsi="Times New Roman" w:cs="Times New Roman"/>
                <w:sz w:val="24"/>
                <w:szCs w:val="24"/>
              </w:rPr>
              <w:t>30</w:t>
            </w:r>
          </w:p>
        </w:tc>
        <w:tc>
          <w:tcPr>
            <w:tcW w:w="1260" w:type="dxa"/>
            <w:tcBorders>
              <w:top w:val="single" w:sz="4" w:space="0" w:color="auto"/>
              <w:left w:val="single" w:sz="4" w:space="0" w:color="auto"/>
              <w:bottom w:val="single" w:sz="4" w:space="0" w:color="auto"/>
              <w:right w:val="single" w:sz="4" w:space="0" w:color="auto"/>
            </w:tcBorders>
            <w:vAlign w:val="center"/>
          </w:tcPr>
          <w:p w14:paraId="274A07F3" w14:textId="77777777" w:rsidR="00C843E6" w:rsidRPr="00C843E6" w:rsidRDefault="00C843E6" w:rsidP="00C843E6">
            <w:pPr>
              <w:spacing w:line="440" w:lineRule="exact"/>
              <w:jc w:val="center"/>
              <w:rPr>
                <w:rFonts w:ascii="Times New Roman" w:eastAsia="宋体" w:hAnsi="Times New Roman" w:cs="Times New Roman"/>
                <w:szCs w:val="24"/>
              </w:rPr>
            </w:pPr>
            <w:r w:rsidRPr="00C843E6">
              <w:rPr>
                <w:rFonts w:ascii="Times New Roman" w:eastAsia="宋体" w:hAnsi="Times New Roman" w:cs="Times New Roman"/>
                <w:sz w:val="24"/>
                <w:szCs w:val="24"/>
              </w:rPr>
              <w:t>50</w:t>
            </w:r>
          </w:p>
        </w:tc>
      </w:tr>
      <w:tr w:rsidR="00C843E6" w:rsidRPr="00C843E6" w14:paraId="290AE2A4" w14:textId="77777777" w:rsidTr="00106206">
        <w:trPr>
          <w:jc w:val="center"/>
        </w:trPr>
        <w:tc>
          <w:tcPr>
            <w:tcW w:w="1975" w:type="dxa"/>
            <w:tcBorders>
              <w:top w:val="single" w:sz="4" w:space="0" w:color="auto"/>
              <w:left w:val="single" w:sz="4" w:space="0" w:color="auto"/>
              <w:bottom w:val="single" w:sz="4" w:space="0" w:color="auto"/>
              <w:right w:val="single" w:sz="4" w:space="0" w:color="auto"/>
            </w:tcBorders>
            <w:vAlign w:val="center"/>
          </w:tcPr>
          <w:p w14:paraId="05622330" w14:textId="77777777" w:rsidR="00C843E6" w:rsidRPr="00C843E6" w:rsidRDefault="00C843E6" w:rsidP="00C843E6">
            <w:pPr>
              <w:spacing w:line="440" w:lineRule="exact"/>
              <w:jc w:val="center"/>
              <w:rPr>
                <w:rFonts w:ascii="Times New Roman" w:eastAsia="宋体" w:hAnsi="Times New Roman" w:cs="Times New Roman"/>
                <w:szCs w:val="24"/>
              </w:rPr>
            </w:pPr>
            <w:r w:rsidRPr="00C843E6">
              <w:rPr>
                <w:rFonts w:ascii="Times New Roman" w:eastAsia="宋体" w:hAnsi="Times New Roman" w:cs="Times New Roman"/>
                <w:sz w:val="24"/>
                <w:szCs w:val="24"/>
              </w:rPr>
              <w:t>课程目标</w:t>
            </w:r>
            <w:r w:rsidRPr="00C843E6">
              <w:rPr>
                <w:rFonts w:ascii="Times New Roman" w:eastAsia="宋体" w:hAnsi="Times New Roman" w:cs="Times New Roman"/>
                <w:sz w:val="24"/>
                <w:szCs w:val="24"/>
              </w:rPr>
              <w:t>3</w:t>
            </w:r>
            <w:r w:rsidRPr="00C843E6">
              <w:rPr>
                <w:rFonts w:ascii="Times New Roman" w:eastAsia="宋体" w:hAnsi="Times New Roman" w:cs="Times New Roman"/>
                <w:sz w:val="24"/>
                <w:szCs w:val="24"/>
              </w:rPr>
              <w:t>、</w:t>
            </w:r>
            <w:r w:rsidRPr="00C843E6">
              <w:rPr>
                <w:rFonts w:ascii="Times New Roman" w:eastAsia="宋体" w:hAnsi="Times New Roman" w:cs="Times New Roman"/>
                <w:sz w:val="24"/>
                <w:szCs w:val="24"/>
              </w:rPr>
              <w:t>4</w:t>
            </w:r>
          </w:p>
        </w:tc>
        <w:tc>
          <w:tcPr>
            <w:tcW w:w="1710" w:type="dxa"/>
            <w:tcBorders>
              <w:top w:val="single" w:sz="4" w:space="0" w:color="auto"/>
              <w:left w:val="single" w:sz="4" w:space="0" w:color="auto"/>
              <w:bottom w:val="single" w:sz="4" w:space="0" w:color="auto"/>
              <w:right w:val="single" w:sz="4" w:space="0" w:color="auto"/>
            </w:tcBorders>
            <w:vAlign w:val="center"/>
          </w:tcPr>
          <w:p w14:paraId="20EC8F1A" w14:textId="77777777" w:rsidR="00C843E6" w:rsidRPr="00C843E6" w:rsidRDefault="00C843E6" w:rsidP="00C843E6">
            <w:pPr>
              <w:spacing w:line="440" w:lineRule="exact"/>
              <w:jc w:val="center"/>
              <w:rPr>
                <w:rFonts w:ascii="Times New Roman" w:eastAsia="宋体" w:hAnsi="Times New Roman" w:cs="Times New Roman"/>
                <w:szCs w:val="24"/>
              </w:rPr>
            </w:pPr>
            <w:r w:rsidRPr="00C843E6">
              <w:rPr>
                <w:rFonts w:ascii="Times New Roman" w:eastAsia="宋体" w:hAnsi="Times New Roman" w:cs="Times New Roman" w:hint="eastAsia"/>
                <w:sz w:val="24"/>
                <w:szCs w:val="24"/>
              </w:rPr>
              <w:t>10</w:t>
            </w:r>
          </w:p>
        </w:tc>
        <w:tc>
          <w:tcPr>
            <w:tcW w:w="1350" w:type="dxa"/>
            <w:tcBorders>
              <w:top w:val="single" w:sz="4" w:space="0" w:color="auto"/>
              <w:left w:val="single" w:sz="4" w:space="0" w:color="auto"/>
              <w:bottom w:val="single" w:sz="4" w:space="0" w:color="auto"/>
              <w:right w:val="single" w:sz="4" w:space="0" w:color="auto"/>
            </w:tcBorders>
            <w:vAlign w:val="center"/>
          </w:tcPr>
          <w:p w14:paraId="2E3AA7CC" w14:textId="77777777" w:rsidR="00C843E6" w:rsidRPr="00C843E6" w:rsidRDefault="00C843E6" w:rsidP="00C843E6">
            <w:pPr>
              <w:spacing w:line="440" w:lineRule="exact"/>
              <w:jc w:val="center"/>
              <w:rPr>
                <w:rFonts w:ascii="Times New Roman" w:eastAsia="宋体" w:hAnsi="Times New Roman" w:cs="Times New Roman"/>
                <w:szCs w:val="24"/>
              </w:rPr>
            </w:pPr>
            <w:r w:rsidRPr="00C843E6">
              <w:rPr>
                <w:rFonts w:ascii="Times New Roman" w:eastAsia="宋体" w:hAnsi="Times New Roman" w:cs="Times New Roman"/>
                <w:sz w:val="24"/>
                <w:szCs w:val="24"/>
              </w:rPr>
              <w:t>1</w:t>
            </w:r>
            <w:r w:rsidRPr="00C843E6">
              <w:rPr>
                <w:rFonts w:ascii="Times New Roman" w:eastAsia="宋体" w:hAnsi="Times New Roman" w:cs="Times New Roman" w:hint="eastAsia"/>
                <w:sz w:val="24"/>
                <w:szCs w:val="24"/>
              </w:rPr>
              <w:t>0</w:t>
            </w:r>
          </w:p>
        </w:tc>
        <w:tc>
          <w:tcPr>
            <w:tcW w:w="1890" w:type="dxa"/>
            <w:tcBorders>
              <w:top w:val="single" w:sz="4" w:space="0" w:color="auto"/>
              <w:left w:val="single" w:sz="4" w:space="0" w:color="auto"/>
              <w:bottom w:val="single" w:sz="4" w:space="0" w:color="auto"/>
              <w:right w:val="single" w:sz="4" w:space="0" w:color="auto"/>
            </w:tcBorders>
            <w:vAlign w:val="center"/>
          </w:tcPr>
          <w:p w14:paraId="1B43FE4D" w14:textId="77777777" w:rsidR="00C843E6" w:rsidRPr="00C843E6" w:rsidRDefault="00C843E6" w:rsidP="00C843E6">
            <w:pPr>
              <w:spacing w:line="440" w:lineRule="exact"/>
              <w:jc w:val="center"/>
              <w:rPr>
                <w:rFonts w:ascii="Times New Roman" w:eastAsia="宋体" w:hAnsi="Times New Roman" w:cs="Times New Roman"/>
                <w:szCs w:val="24"/>
              </w:rPr>
            </w:pPr>
            <w:r w:rsidRPr="00C843E6">
              <w:rPr>
                <w:rFonts w:ascii="Times New Roman" w:eastAsia="宋体" w:hAnsi="Times New Roman" w:cs="Times New Roman"/>
                <w:sz w:val="24"/>
                <w:szCs w:val="24"/>
              </w:rPr>
              <w:t>30</w:t>
            </w:r>
          </w:p>
        </w:tc>
        <w:tc>
          <w:tcPr>
            <w:tcW w:w="1260" w:type="dxa"/>
            <w:tcBorders>
              <w:top w:val="single" w:sz="4" w:space="0" w:color="auto"/>
              <w:left w:val="single" w:sz="4" w:space="0" w:color="auto"/>
              <w:bottom w:val="single" w:sz="4" w:space="0" w:color="auto"/>
              <w:right w:val="single" w:sz="4" w:space="0" w:color="auto"/>
            </w:tcBorders>
            <w:vAlign w:val="center"/>
          </w:tcPr>
          <w:p w14:paraId="1A7F8480" w14:textId="77777777" w:rsidR="00C843E6" w:rsidRPr="00C843E6" w:rsidRDefault="00C843E6" w:rsidP="00C843E6">
            <w:pPr>
              <w:spacing w:line="440" w:lineRule="exact"/>
              <w:jc w:val="center"/>
              <w:rPr>
                <w:rFonts w:ascii="Times New Roman" w:eastAsia="宋体" w:hAnsi="Times New Roman" w:cs="Times New Roman"/>
                <w:szCs w:val="24"/>
              </w:rPr>
            </w:pPr>
            <w:r w:rsidRPr="00C843E6">
              <w:rPr>
                <w:rFonts w:ascii="Times New Roman" w:eastAsia="宋体" w:hAnsi="Times New Roman" w:cs="Times New Roman"/>
                <w:sz w:val="24"/>
                <w:szCs w:val="24"/>
              </w:rPr>
              <w:t>50</w:t>
            </w:r>
          </w:p>
        </w:tc>
      </w:tr>
      <w:tr w:rsidR="00C843E6" w:rsidRPr="00C843E6" w14:paraId="1F51E7C4" w14:textId="77777777" w:rsidTr="00106206">
        <w:trPr>
          <w:jc w:val="center"/>
        </w:trPr>
        <w:tc>
          <w:tcPr>
            <w:tcW w:w="1975" w:type="dxa"/>
            <w:tcBorders>
              <w:top w:val="single" w:sz="4" w:space="0" w:color="auto"/>
              <w:left w:val="single" w:sz="4" w:space="0" w:color="auto"/>
              <w:bottom w:val="single" w:sz="4" w:space="0" w:color="auto"/>
              <w:right w:val="single" w:sz="4" w:space="0" w:color="auto"/>
            </w:tcBorders>
            <w:vAlign w:val="center"/>
          </w:tcPr>
          <w:p w14:paraId="21A573A3" w14:textId="77777777" w:rsidR="00C843E6" w:rsidRPr="00C843E6" w:rsidRDefault="00C843E6" w:rsidP="00C843E6">
            <w:pPr>
              <w:spacing w:line="440" w:lineRule="exact"/>
              <w:jc w:val="center"/>
              <w:rPr>
                <w:rFonts w:ascii="Times New Roman" w:eastAsia="宋体" w:hAnsi="Times New Roman" w:cs="Times New Roman"/>
                <w:szCs w:val="24"/>
              </w:rPr>
            </w:pPr>
            <w:r w:rsidRPr="00C843E6">
              <w:rPr>
                <w:rFonts w:ascii="Times New Roman" w:eastAsia="宋体" w:hAnsi="Times New Roman" w:cs="Times New Roman"/>
                <w:sz w:val="24"/>
                <w:szCs w:val="24"/>
              </w:rPr>
              <w:t>合计</w:t>
            </w:r>
          </w:p>
        </w:tc>
        <w:tc>
          <w:tcPr>
            <w:tcW w:w="1710" w:type="dxa"/>
            <w:tcBorders>
              <w:top w:val="single" w:sz="4" w:space="0" w:color="auto"/>
              <w:left w:val="single" w:sz="4" w:space="0" w:color="auto"/>
              <w:bottom w:val="single" w:sz="4" w:space="0" w:color="auto"/>
              <w:right w:val="single" w:sz="4" w:space="0" w:color="auto"/>
            </w:tcBorders>
            <w:vAlign w:val="center"/>
          </w:tcPr>
          <w:p w14:paraId="635207AF" w14:textId="77777777" w:rsidR="00C843E6" w:rsidRPr="00C843E6" w:rsidRDefault="00C843E6" w:rsidP="00C843E6">
            <w:pPr>
              <w:spacing w:line="440" w:lineRule="exact"/>
              <w:jc w:val="center"/>
              <w:rPr>
                <w:rFonts w:ascii="Times New Roman" w:eastAsia="宋体" w:hAnsi="Times New Roman" w:cs="Times New Roman"/>
                <w:szCs w:val="24"/>
              </w:rPr>
            </w:pPr>
            <w:r w:rsidRPr="00C843E6">
              <w:rPr>
                <w:rFonts w:ascii="Times New Roman" w:eastAsia="宋体" w:hAnsi="Times New Roman" w:cs="Times New Roman" w:hint="eastAsia"/>
                <w:sz w:val="24"/>
                <w:szCs w:val="24"/>
              </w:rPr>
              <w:t>20</w:t>
            </w:r>
          </w:p>
        </w:tc>
        <w:tc>
          <w:tcPr>
            <w:tcW w:w="1350" w:type="dxa"/>
            <w:tcBorders>
              <w:top w:val="single" w:sz="4" w:space="0" w:color="auto"/>
              <w:left w:val="single" w:sz="4" w:space="0" w:color="auto"/>
              <w:bottom w:val="single" w:sz="4" w:space="0" w:color="auto"/>
              <w:right w:val="single" w:sz="4" w:space="0" w:color="auto"/>
            </w:tcBorders>
            <w:vAlign w:val="center"/>
          </w:tcPr>
          <w:p w14:paraId="5CFDABC0" w14:textId="77777777" w:rsidR="00C843E6" w:rsidRPr="00C843E6" w:rsidRDefault="00C843E6" w:rsidP="00C843E6">
            <w:pPr>
              <w:spacing w:line="440" w:lineRule="exact"/>
              <w:jc w:val="center"/>
              <w:rPr>
                <w:rFonts w:ascii="Times New Roman" w:eastAsia="宋体" w:hAnsi="Times New Roman" w:cs="Times New Roman"/>
                <w:szCs w:val="24"/>
              </w:rPr>
            </w:pPr>
            <w:r w:rsidRPr="00C843E6">
              <w:rPr>
                <w:rFonts w:ascii="Times New Roman" w:eastAsia="宋体" w:hAnsi="Times New Roman" w:cs="Times New Roman" w:hint="eastAsia"/>
                <w:sz w:val="24"/>
                <w:szCs w:val="24"/>
              </w:rPr>
              <w:t>2</w:t>
            </w:r>
            <w:r w:rsidRPr="00C843E6">
              <w:rPr>
                <w:rFonts w:ascii="Times New Roman" w:eastAsia="宋体" w:hAnsi="Times New Roman" w:cs="Times New Roman"/>
                <w:sz w:val="24"/>
                <w:szCs w:val="24"/>
              </w:rPr>
              <w:t>0</w:t>
            </w:r>
          </w:p>
        </w:tc>
        <w:tc>
          <w:tcPr>
            <w:tcW w:w="1890" w:type="dxa"/>
            <w:tcBorders>
              <w:top w:val="single" w:sz="4" w:space="0" w:color="auto"/>
              <w:left w:val="single" w:sz="4" w:space="0" w:color="auto"/>
              <w:bottom w:val="single" w:sz="4" w:space="0" w:color="auto"/>
              <w:right w:val="single" w:sz="4" w:space="0" w:color="auto"/>
            </w:tcBorders>
            <w:vAlign w:val="center"/>
          </w:tcPr>
          <w:p w14:paraId="0AB2C32A" w14:textId="77777777" w:rsidR="00C843E6" w:rsidRPr="00C843E6" w:rsidRDefault="00C843E6" w:rsidP="00C843E6">
            <w:pPr>
              <w:spacing w:line="440" w:lineRule="exact"/>
              <w:jc w:val="center"/>
              <w:rPr>
                <w:rFonts w:ascii="Times New Roman" w:eastAsia="宋体" w:hAnsi="Times New Roman" w:cs="Times New Roman"/>
                <w:szCs w:val="24"/>
              </w:rPr>
            </w:pPr>
            <w:r w:rsidRPr="00C843E6">
              <w:rPr>
                <w:rFonts w:ascii="Times New Roman" w:eastAsia="宋体" w:hAnsi="Times New Roman" w:cs="Times New Roman"/>
                <w:sz w:val="24"/>
                <w:szCs w:val="24"/>
              </w:rPr>
              <w:t>60</w:t>
            </w:r>
          </w:p>
        </w:tc>
        <w:tc>
          <w:tcPr>
            <w:tcW w:w="1260" w:type="dxa"/>
            <w:tcBorders>
              <w:top w:val="single" w:sz="4" w:space="0" w:color="auto"/>
              <w:left w:val="single" w:sz="4" w:space="0" w:color="auto"/>
              <w:bottom w:val="single" w:sz="4" w:space="0" w:color="auto"/>
              <w:right w:val="single" w:sz="4" w:space="0" w:color="auto"/>
            </w:tcBorders>
            <w:vAlign w:val="center"/>
          </w:tcPr>
          <w:p w14:paraId="06F5D0A4" w14:textId="77777777" w:rsidR="00C843E6" w:rsidRPr="00C843E6" w:rsidRDefault="00C843E6" w:rsidP="00C843E6">
            <w:pPr>
              <w:spacing w:line="440" w:lineRule="exact"/>
              <w:jc w:val="center"/>
              <w:rPr>
                <w:rFonts w:ascii="Times New Roman" w:eastAsia="宋体" w:hAnsi="Times New Roman" w:cs="Times New Roman"/>
                <w:szCs w:val="24"/>
              </w:rPr>
            </w:pPr>
            <w:r w:rsidRPr="00C843E6">
              <w:rPr>
                <w:rFonts w:ascii="Times New Roman" w:eastAsia="宋体" w:hAnsi="Times New Roman" w:cs="Times New Roman"/>
                <w:sz w:val="24"/>
                <w:szCs w:val="24"/>
              </w:rPr>
              <w:t>100</w:t>
            </w:r>
          </w:p>
        </w:tc>
      </w:tr>
    </w:tbl>
    <w:p w14:paraId="243508EC" w14:textId="77777777" w:rsidR="00C843E6" w:rsidRPr="00C843E6" w:rsidRDefault="00C843E6" w:rsidP="00C843E6">
      <w:pPr>
        <w:spacing w:beforeLines="50" w:before="156" w:afterLines="50" w:after="156" w:line="440" w:lineRule="exact"/>
        <w:ind w:firstLineChars="200" w:firstLine="560"/>
        <w:rPr>
          <w:rFonts w:ascii="黑体" w:eastAsia="黑体" w:hAnsi="黑体" w:cs="Times New Roman"/>
          <w:sz w:val="28"/>
          <w:szCs w:val="28"/>
        </w:rPr>
      </w:pPr>
    </w:p>
    <w:p w14:paraId="21A3FA7C" w14:textId="77777777" w:rsidR="00C843E6" w:rsidRPr="00C843E6" w:rsidRDefault="00C843E6" w:rsidP="00C843E6">
      <w:pPr>
        <w:spacing w:beforeLines="50" w:before="156" w:afterLines="50" w:after="156" w:line="440" w:lineRule="exact"/>
        <w:ind w:firstLineChars="200" w:firstLine="560"/>
        <w:rPr>
          <w:rFonts w:ascii="黑体" w:eastAsia="黑体" w:hAnsi="黑体" w:cs="Times New Roman"/>
          <w:sz w:val="28"/>
          <w:szCs w:val="28"/>
        </w:rPr>
      </w:pPr>
      <w:r w:rsidRPr="00C843E6">
        <w:rPr>
          <w:rFonts w:ascii="黑体" w:eastAsia="黑体" w:hAnsi="黑体" w:cs="Times New Roman" w:hint="eastAsia"/>
          <w:sz w:val="28"/>
          <w:szCs w:val="28"/>
        </w:rPr>
        <w:t>五、成绩评定</w:t>
      </w:r>
    </w:p>
    <w:p w14:paraId="2ACD3C18" w14:textId="77777777" w:rsidR="00C843E6" w:rsidRPr="00C843E6" w:rsidRDefault="00C843E6" w:rsidP="00C843E6">
      <w:pPr>
        <w:spacing w:beforeLines="50" w:before="156" w:afterLines="50" w:after="156" w:line="440" w:lineRule="exact"/>
        <w:ind w:firstLineChars="200" w:firstLine="560"/>
        <w:rPr>
          <w:rFonts w:ascii="黑体" w:eastAsia="黑体" w:hAnsi="黑体" w:cs="Times New Roman"/>
          <w:sz w:val="28"/>
          <w:szCs w:val="28"/>
        </w:rPr>
      </w:pPr>
      <w:r w:rsidRPr="00C843E6">
        <w:rPr>
          <w:rFonts w:ascii="黑体" w:eastAsia="黑体" w:hAnsi="黑体" w:cs="Times New Roman" w:hint="eastAsia"/>
          <w:sz w:val="28"/>
          <w:szCs w:val="28"/>
        </w:rPr>
        <w:t>（一）总成绩评定</w:t>
      </w:r>
    </w:p>
    <w:p w14:paraId="1E871E6A" w14:textId="77777777" w:rsidR="00C843E6" w:rsidRPr="00C843E6" w:rsidRDefault="00C843E6" w:rsidP="00C843E6">
      <w:pPr>
        <w:spacing w:line="440" w:lineRule="exact"/>
        <w:ind w:firstLineChars="200" w:firstLine="480"/>
        <w:rPr>
          <w:rFonts w:ascii="宋体" w:eastAsia="宋体" w:hAnsi="宋体" w:cs="Times New Roman"/>
          <w:sz w:val="24"/>
        </w:rPr>
      </w:pPr>
      <w:r w:rsidRPr="00C843E6">
        <w:rPr>
          <w:rFonts w:ascii="宋体" w:eastAsia="宋体" w:hAnsi="宋体" w:cs="Times New Roman" w:hint="eastAsia"/>
          <w:sz w:val="24"/>
        </w:rPr>
        <w:lastRenderedPageBreak/>
        <w:t>总成绩=平时成绩×40%+期末随堂测验×60%</w:t>
      </w:r>
    </w:p>
    <w:p w14:paraId="40A69D1A" w14:textId="77777777" w:rsidR="00C843E6" w:rsidRPr="00C843E6" w:rsidRDefault="00C843E6" w:rsidP="00C843E6">
      <w:pPr>
        <w:spacing w:beforeLines="50" w:before="156" w:afterLines="50" w:after="156" w:line="440" w:lineRule="exact"/>
        <w:ind w:firstLineChars="200" w:firstLine="560"/>
        <w:rPr>
          <w:rFonts w:ascii="宋体" w:eastAsia="宋体" w:hAnsi="宋体" w:cs="Times New Roman"/>
          <w:color w:val="FF0000"/>
          <w:sz w:val="24"/>
        </w:rPr>
      </w:pPr>
      <w:r w:rsidRPr="00C843E6">
        <w:rPr>
          <w:rFonts w:ascii="黑体" w:eastAsia="黑体" w:hAnsi="黑体" w:cs="Times New Roman" w:hint="eastAsia"/>
          <w:sz w:val="28"/>
          <w:szCs w:val="28"/>
        </w:rPr>
        <w:t>（二）平时成绩评定</w:t>
      </w:r>
    </w:p>
    <w:p w14:paraId="52E5CB0E" w14:textId="77777777" w:rsidR="00C843E6" w:rsidRPr="00C843E6" w:rsidRDefault="00C843E6" w:rsidP="00C843E6">
      <w:pPr>
        <w:spacing w:beforeLines="50" w:before="156" w:afterLines="50" w:after="156" w:line="440" w:lineRule="exact"/>
        <w:ind w:firstLineChars="200" w:firstLine="480"/>
        <w:rPr>
          <w:rFonts w:ascii="宋体" w:eastAsia="宋体" w:hAnsi="宋体" w:cs="Times New Roman"/>
          <w:sz w:val="24"/>
        </w:rPr>
      </w:pPr>
      <w:r w:rsidRPr="00C843E6">
        <w:rPr>
          <w:rFonts w:ascii="宋体" w:eastAsia="宋体" w:hAnsi="宋体" w:cs="Times New Roman" w:hint="eastAsia"/>
          <w:sz w:val="24"/>
        </w:rPr>
        <w:t>平时成绩（100%）=</w:t>
      </w:r>
      <w:r w:rsidRPr="00C843E6">
        <w:rPr>
          <w:rFonts w:ascii="宋体" w:eastAsia="宋体" w:hAnsi="宋体" w:cs="Times New Roman"/>
          <w:sz w:val="24"/>
        </w:rPr>
        <w:t xml:space="preserve"> </w:t>
      </w:r>
      <w:r w:rsidRPr="00C843E6">
        <w:rPr>
          <w:rFonts w:ascii="宋体" w:eastAsia="宋体" w:hAnsi="宋体" w:cs="Times New Roman" w:hint="eastAsia"/>
          <w:sz w:val="24"/>
        </w:rPr>
        <w:t>课堂表现（</w:t>
      </w:r>
      <w:r w:rsidRPr="00C843E6">
        <w:rPr>
          <w:rFonts w:ascii="宋体" w:eastAsia="宋体" w:hAnsi="宋体" w:cs="Times New Roman"/>
          <w:sz w:val="24"/>
        </w:rPr>
        <w:t>5</w:t>
      </w:r>
      <w:r w:rsidRPr="00C843E6">
        <w:rPr>
          <w:rFonts w:ascii="宋体" w:eastAsia="宋体" w:hAnsi="宋体" w:cs="Times New Roman" w:hint="eastAsia"/>
          <w:sz w:val="24"/>
        </w:rPr>
        <w:t>0%）+平时作业（</w:t>
      </w:r>
      <w:r w:rsidRPr="00C843E6">
        <w:rPr>
          <w:rFonts w:ascii="宋体" w:eastAsia="宋体" w:hAnsi="宋体" w:cs="Times New Roman"/>
          <w:sz w:val="24"/>
        </w:rPr>
        <w:t>5</w:t>
      </w:r>
      <w:r w:rsidRPr="00C843E6">
        <w:rPr>
          <w:rFonts w:ascii="宋体" w:eastAsia="宋体" w:hAnsi="宋体" w:cs="Times New Roman" w:hint="eastAsia"/>
          <w:sz w:val="24"/>
        </w:rPr>
        <w:t>0%）</w:t>
      </w:r>
    </w:p>
    <w:p w14:paraId="54ABC568" w14:textId="77777777" w:rsidR="00C843E6" w:rsidRPr="00C843E6" w:rsidRDefault="00C843E6" w:rsidP="00C843E6">
      <w:pPr>
        <w:widowControl/>
        <w:adjustRightInd w:val="0"/>
        <w:snapToGrid w:val="0"/>
        <w:spacing w:after="240" w:line="440" w:lineRule="exact"/>
        <w:ind w:firstLineChars="200" w:firstLine="480"/>
        <w:jc w:val="left"/>
        <w:rPr>
          <w:rFonts w:ascii="宋体" w:eastAsia="宋体" w:hAnsi="宋体" w:cs="Times New Roman"/>
          <w:sz w:val="24"/>
          <w:szCs w:val="24"/>
        </w:rPr>
      </w:pPr>
      <w:r w:rsidRPr="00C843E6">
        <w:rPr>
          <w:rFonts w:ascii="Times New Roman" w:eastAsia="宋体" w:hAnsi="Times New Roman" w:cs="Times New Roman"/>
          <w:sz w:val="24"/>
          <w:szCs w:val="24"/>
        </w:rPr>
        <w:t>（</w:t>
      </w:r>
      <w:r w:rsidRPr="00C843E6">
        <w:rPr>
          <w:rFonts w:ascii="Times New Roman" w:eastAsia="宋体" w:hAnsi="Times New Roman" w:cs="Times New Roman" w:hint="eastAsia"/>
          <w:sz w:val="24"/>
          <w:szCs w:val="24"/>
        </w:rPr>
        <w:t>1</w:t>
      </w:r>
      <w:r w:rsidRPr="00C843E6">
        <w:rPr>
          <w:rFonts w:ascii="Times New Roman" w:eastAsia="宋体" w:hAnsi="Times New Roman" w:cs="Times New Roman"/>
          <w:sz w:val="24"/>
          <w:szCs w:val="24"/>
        </w:rPr>
        <w:t>）课堂表现：通过学生在课堂上的表现情况、发言与提问情况，来评价学生相关的能力</w:t>
      </w:r>
      <w:r w:rsidRPr="00C843E6">
        <w:rPr>
          <w:rFonts w:ascii="Times New Roman" w:eastAsia="宋体" w:hAnsi="Times New Roman" w:cs="Times New Roman" w:hint="eastAsia"/>
          <w:sz w:val="24"/>
          <w:szCs w:val="24"/>
        </w:rPr>
        <w:t>和</w:t>
      </w:r>
      <w:r w:rsidRPr="00C843E6">
        <w:rPr>
          <w:rFonts w:ascii="Times New Roman" w:eastAsia="宋体" w:hAnsi="Times New Roman" w:cs="Times New Roman"/>
          <w:sz w:val="24"/>
          <w:szCs w:val="24"/>
        </w:rPr>
        <w:t>学生的学习态度与积极性</w:t>
      </w:r>
      <w:r w:rsidRPr="00C843E6">
        <w:rPr>
          <w:rFonts w:ascii="Times New Roman" w:eastAsia="宋体" w:hAnsi="Times New Roman" w:cs="Times New Roman" w:hint="eastAsia"/>
          <w:sz w:val="24"/>
          <w:szCs w:val="24"/>
        </w:rPr>
        <w:t>。</w:t>
      </w:r>
      <w:r w:rsidRPr="00C843E6">
        <w:rPr>
          <w:rFonts w:ascii="宋体" w:eastAsia="宋体" w:hAnsi="宋体" w:cs="宋体" w:hint="eastAsia"/>
          <w:sz w:val="24"/>
          <w:szCs w:val="24"/>
        </w:rPr>
        <w:t>基础分值为80分，在此基础上，由课上回答问题、课堂不良表现两个方面综合评定，满分100分：</w:t>
      </w:r>
      <w:r w:rsidRPr="00C843E6">
        <w:rPr>
          <w:rFonts w:ascii="宋体" w:eastAsia="宋体" w:hAnsi="宋体" w:cs="宋体"/>
          <w:sz w:val="24"/>
          <w:szCs w:val="24"/>
        </w:rPr>
        <w:fldChar w:fldCharType="begin"/>
      </w:r>
      <w:r w:rsidRPr="00C843E6">
        <w:rPr>
          <w:rFonts w:ascii="宋体" w:eastAsia="宋体" w:hAnsi="宋体" w:cs="宋体"/>
          <w:sz w:val="24"/>
          <w:szCs w:val="24"/>
        </w:rPr>
        <w:instrText xml:space="preserve"> </w:instrText>
      </w:r>
      <w:r w:rsidRPr="00C843E6">
        <w:rPr>
          <w:rFonts w:ascii="宋体" w:eastAsia="宋体" w:hAnsi="宋体" w:cs="宋体" w:hint="eastAsia"/>
          <w:sz w:val="24"/>
          <w:szCs w:val="24"/>
        </w:rPr>
        <w:instrText>= 1 \* GB3</w:instrText>
      </w:r>
      <w:r w:rsidRPr="00C843E6">
        <w:rPr>
          <w:rFonts w:ascii="宋体" w:eastAsia="宋体" w:hAnsi="宋体" w:cs="宋体"/>
          <w:sz w:val="24"/>
          <w:szCs w:val="24"/>
        </w:rPr>
        <w:instrText xml:space="preserve"> </w:instrText>
      </w:r>
      <w:r w:rsidRPr="00C843E6">
        <w:rPr>
          <w:rFonts w:ascii="宋体" w:eastAsia="宋体" w:hAnsi="宋体" w:cs="宋体"/>
          <w:sz w:val="24"/>
          <w:szCs w:val="24"/>
        </w:rPr>
        <w:fldChar w:fldCharType="separate"/>
      </w:r>
      <w:r w:rsidRPr="00C843E6">
        <w:rPr>
          <w:rFonts w:ascii="宋体" w:eastAsia="宋体" w:hAnsi="宋体" w:cs="宋体" w:hint="eastAsia"/>
          <w:noProof/>
          <w:sz w:val="24"/>
          <w:szCs w:val="24"/>
        </w:rPr>
        <w:t>①</w:t>
      </w:r>
      <w:r w:rsidRPr="00C843E6">
        <w:rPr>
          <w:rFonts w:ascii="宋体" w:eastAsia="宋体" w:hAnsi="宋体" w:cs="宋体"/>
          <w:sz w:val="24"/>
          <w:szCs w:val="24"/>
        </w:rPr>
        <w:fldChar w:fldCharType="end"/>
      </w:r>
      <w:r w:rsidRPr="00C843E6">
        <w:rPr>
          <w:rFonts w:ascii="宋体" w:eastAsia="宋体" w:hAnsi="宋体" w:cs="宋体" w:hint="eastAsia"/>
          <w:sz w:val="24"/>
          <w:szCs w:val="24"/>
        </w:rPr>
        <w:t>课上积极回答老师的提问、课堂互动，加5分/次；</w:t>
      </w:r>
      <w:r w:rsidRPr="00C843E6">
        <w:rPr>
          <w:rFonts w:ascii="宋体" w:eastAsia="宋体" w:hAnsi="宋体" w:cs="宋体"/>
          <w:sz w:val="24"/>
          <w:szCs w:val="24"/>
        </w:rPr>
        <w:fldChar w:fldCharType="begin"/>
      </w:r>
      <w:r w:rsidRPr="00C843E6">
        <w:rPr>
          <w:rFonts w:ascii="宋体" w:eastAsia="宋体" w:hAnsi="宋体" w:cs="宋体"/>
          <w:sz w:val="24"/>
          <w:szCs w:val="24"/>
        </w:rPr>
        <w:instrText xml:space="preserve"> </w:instrText>
      </w:r>
      <w:r w:rsidRPr="00C843E6">
        <w:rPr>
          <w:rFonts w:ascii="宋体" w:eastAsia="宋体" w:hAnsi="宋体" w:cs="宋体" w:hint="eastAsia"/>
          <w:sz w:val="24"/>
          <w:szCs w:val="24"/>
        </w:rPr>
        <w:instrText>= 2 \* GB3</w:instrText>
      </w:r>
      <w:r w:rsidRPr="00C843E6">
        <w:rPr>
          <w:rFonts w:ascii="宋体" w:eastAsia="宋体" w:hAnsi="宋体" w:cs="宋体"/>
          <w:sz w:val="24"/>
          <w:szCs w:val="24"/>
        </w:rPr>
        <w:instrText xml:space="preserve"> </w:instrText>
      </w:r>
      <w:r w:rsidRPr="00C843E6">
        <w:rPr>
          <w:rFonts w:ascii="宋体" w:eastAsia="宋体" w:hAnsi="宋体" w:cs="宋体"/>
          <w:sz w:val="24"/>
          <w:szCs w:val="24"/>
        </w:rPr>
        <w:fldChar w:fldCharType="separate"/>
      </w:r>
      <w:r w:rsidRPr="00C843E6">
        <w:rPr>
          <w:rFonts w:ascii="宋体" w:eastAsia="宋体" w:hAnsi="宋体" w:cs="宋体" w:hint="eastAsia"/>
          <w:noProof/>
          <w:sz w:val="24"/>
          <w:szCs w:val="24"/>
        </w:rPr>
        <w:t>②</w:t>
      </w:r>
      <w:r w:rsidRPr="00C843E6">
        <w:rPr>
          <w:rFonts w:ascii="宋体" w:eastAsia="宋体" w:hAnsi="宋体" w:cs="宋体"/>
          <w:sz w:val="24"/>
          <w:szCs w:val="24"/>
        </w:rPr>
        <w:fldChar w:fldCharType="end"/>
      </w:r>
      <w:r w:rsidRPr="00C843E6">
        <w:rPr>
          <w:rFonts w:ascii="宋体" w:eastAsia="宋体" w:hAnsi="宋体" w:cs="宋体" w:hint="eastAsia"/>
          <w:sz w:val="24"/>
          <w:szCs w:val="24"/>
        </w:rPr>
        <w:t>课堂上凡有影响课堂秩序的行为（如玩手机、交头接耳等），视情节严重程度扣2~4分/次；</w:t>
      </w:r>
      <w:r w:rsidRPr="00C843E6">
        <w:rPr>
          <w:rFonts w:ascii="宋体" w:eastAsia="宋体" w:hAnsi="宋体" w:cs="宋体"/>
          <w:sz w:val="24"/>
          <w:szCs w:val="24"/>
        </w:rPr>
        <w:fldChar w:fldCharType="begin"/>
      </w:r>
      <w:r w:rsidRPr="00C843E6">
        <w:rPr>
          <w:rFonts w:ascii="宋体" w:eastAsia="宋体" w:hAnsi="宋体" w:cs="宋体"/>
          <w:sz w:val="24"/>
          <w:szCs w:val="24"/>
        </w:rPr>
        <w:instrText xml:space="preserve"> </w:instrText>
      </w:r>
      <w:r w:rsidRPr="00C843E6">
        <w:rPr>
          <w:rFonts w:ascii="宋体" w:eastAsia="宋体" w:hAnsi="宋体" w:cs="宋体" w:hint="eastAsia"/>
          <w:sz w:val="24"/>
          <w:szCs w:val="24"/>
        </w:rPr>
        <w:instrText>= 3 \* GB3</w:instrText>
      </w:r>
      <w:r w:rsidRPr="00C843E6">
        <w:rPr>
          <w:rFonts w:ascii="宋体" w:eastAsia="宋体" w:hAnsi="宋体" w:cs="宋体"/>
          <w:sz w:val="24"/>
          <w:szCs w:val="24"/>
        </w:rPr>
        <w:instrText xml:space="preserve"> </w:instrText>
      </w:r>
      <w:r w:rsidRPr="00C843E6">
        <w:rPr>
          <w:rFonts w:ascii="宋体" w:eastAsia="宋体" w:hAnsi="宋体" w:cs="宋体"/>
          <w:sz w:val="24"/>
          <w:szCs w:val="24"/>
        </w:rPr>
        <w:fldChar w:fldCharType="separate"/>
      </w:r>
      <w:r w:rsidRPr="00C843E6">
        <w:rPr>
          <w:rFonts w:ascii="宋体" w:eastAsia="宋体" w:hAnsi="宋体" w:cs="宋体" w:hint="eastAsia"/>
          <w:noProof/>
          <w:sz w:val="24"/>
          <w:szCs w:val="24"/>
        </w:rPr>
        <w:t>③</w:t>
      </w:r>
      <w:r w:rsidRPr="00C843E6">
        <w:rPr>
          <w:rFonts w:ascii="宋体" w:eastAsia="宋体" w:hAnsi="宋体" w:cs="宋体"/>
          <w:sz w:val="24"/>
          <w:szCs w:val="24"/>
        </w:rPr>
        <w:fldChar w:fldCharType="end"/>
      </w:r>
      <w:r w:rsidRPr="00C843E6">
        <w:rPr>
          <w:rFonts w:ascii="宋体" w:eastAsia="宋体" w:hAnsi="宋体" w:cs="宋体" w:hint="eastAsia"/>
          <w:sz w:val="24"/>
          <w:szCs w:val="24"/>
        </w:rPr>
        <w:t>课代表承担教学辅助工作，额外获得奖励性加分10分。</w:t>
      </w:r>
    </w:p>
    <w:p w14:paraId="5CC10125" w14:textId="77777777" w:rsidR="00C843E6" w:rsidRPr="00C843E6" w:rsidRDefault="00C843E6" w:rsidP="00C843E6">
      <w:pPr>
        <w:spacing w:beforeLines="50" w:before="156" w:afterLines="50" w:after="156"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w:t>
      </w:r>
      <w:r w:rsidRPr="00C843E6">
        <w:rPr>
          <w:rFonts w:ascii="Times New Roman" w:eastAsia="宋体" w:hAnsi="Times New Roman" w:cs="Times New Roman" w:hint="eastAsia"/>
          <w:sz w:val="24"/>
          <w:szCs w:val="24"/>
        </w:rPr>
        <w:t>2</w:t>
      </w:r>
      <w:r w:rsidRPr="00C843E6">
        <w:rPr>
          <w:rFonts w:ascii="Times New Roman" w:eastAsia="宋体" w:hAnsi="Times New Roman" w:cs="Times New Roman"/>
          <w:sz w:val="24"/>
          <w:szCs w:val="24"/>
        </w:rPr>
        <w:t>）</w:t>
      </w:r>
      <w:r w:rsidRPr="00C843E6">
        <w:rPr>
          <w:rFonts w:ascii="Times New Roman" w:eastAsia="宋体" w:hAnsi="Times New Roman" w:cs="Times New Roman" w:hint="eastAsia"/>
          <w:sz w:val="24"/>
          <w:szCs w:val="24"/>
        </w:rPr>
        <w:t>课后</w:t>
      </w:r>
      <w:r w:rsidRPr="00C843E6">
        <w:rPr>
          <w:rFonts w:ascii="Times New Roman" w:eastAsia="宋体" w:hAnsi="Times New Roman" w:cs="Times New Roman"/>
          <w:sz w:val="24"/>
          <w:szCs w:val="24"/>
        </w:rPr>
        <w:t>作业完成情况：</w:t>
      </w:r>
      <w:r w:rsidRPr="00C843E6">
        <w:rPr>
          <w:rFonts w:ascii="Times New Roman" w:eastAsia="宋体" w:hAnsi="Times New Roman" w:cs="Times New Roman" w:hint="eastAsia"/>
          <w:sz w:val="24"/>
          <w:szCs w:val="24"/>
        </w:rPr>
        <w:t>根据学生对于课后作业的完成及理解情况，进行评分，满分记</w:t>
      </w:r>
      <w:r w:rsidRPr="00C843E6">
        <w:rPr>
          <w:rFonts w:ascii="Times New Roman" w:eastAsia="宋体" w:hAnsi="Times New Roman" w:cs="Times New Roman" w:hint="eastAsia"/>
          <w:sz w:val="24"/>
          <w:szCs w:val="24"/>
        </w:rPr>
        <w:t>100</w:t>
      </w:r>
      <w:r w:rsidRPr="00C843E6">
        <w:rPr>
          <w:rFonts w:ascii="Times New Roman" w:eastAsia="宋体" w:hAnsi="Times New Roman" w:cs="Times New Roman" w:hint="eastAsia"/>
          <w:sz w:val="24"/>
          <w:szCs w:val="24"/>
        </w:rPr>
        <w:t>分。</w:t>
      </w:r>
    </w:p>
    <w:p w14:paraId="7355C487" w14:textId="77777777" w:rsidR="00C843E6" w:rsidRPr="00C843E6" w:rsidRDefault="00C843E6" w:rsidP="00C843E6">
      <w:pPr>
        <w:spacing w:beforeLines="50" w:before="156" w:afterLines="50" w:after="156" w:line="440" w:lineRule="exact"/>
        <w:ind w:firstLineChars="200" w:firstLine="560"/>
        <w:rPr>
          <w:rFonts w:ascii="黑体" w:eastAsia="黑体" w:hAnsi="黑体" w:cs="Times New Roman"/>
          <w:sz w:val="28"/>
          <w:szCs w:val="28"/>
        </w:rPr>
      </w:pPr>
      <w:r w:rsidRPr="00C843E6">
        <w:rPr>
          <w:rFonts w:ascii="黑体" w:eastAsia="黑体" w:hAnsi="黑体" w:cs="Times New Roman" w:hint="eastAsia"/>
          <w:sz w:val="28"/>
          <w:szCs w:val="28"/>
        </w:rPr>
        <w:t>（三）期末成绩评定</w:t>
      </w:r>
    </w:p>
    <w:p w14:paraId="3C6151F3" w14:textId="77777777" w:rsidR="00C843E6" w:rsidRPr="00C843E6" w:rsidRDefault="00C843E6" w:rsidP="00C843E6">
      <w:pPr>
        <w:spacing w:line="440" w:lineRule="exact"/>
        <w:ind w:firstLineChars="200" w:firstLine="480"/>
        <w:rPr>
          <w:rFonts w:ascii="宋体" w:eastAsia="宋体" w:hAnsi="宋体" w:cs="Times New Roman"/>
          <w:sz w:val="24"/>
        </w:rPr>
      </w:pPr>
      <w:r w:rsidRPr="00C843E6">
        <w:rPr>
          <w:rFonts w:ascii="宋体" w:eastAsia="宋体" w:hAnsi="宋体" w:cs="Times New Roman" w:hint="eastAsia"/>
          <w:sz w:val="24"/>
        </w:rPr>
        <w:t>期末考核主要考察学生对药学领域科技文献的阅读和写作能力，考试方式为开卷。要求学生能够掌握科技论文翻译技巧，能够读懂药学专业相关文章，能为今后科研资料搜索、方案设计和实验问题思考奠定基础，为中国科技强国做出应有贡献。</w:t>
      </w:r>
    </w:p>
    <w:p w14:paraId="7C91A81F" w14:textId="77777777" w:rsidR="00C843E6" w:rsidRPr="00C843E6" w:rsidRDefault="00C843E6" w:rsidP="00C843E6">
      <w:pPr>
        <w:spacing w:beforeLines="50" w:before="156" w:afterLines="50" w:after="156" w:line="440" w:lineRule="exact"/>
        <w:ind w:firstLineChars="200" w:firstLine="560"/>
        <w:rPr>
          <w:rFonts w:ascii="宋体" w:eastAsia="宋体" w:hAnsi="宋体" w:cs="Times New Roman"/>
          <w:sz w:val="24"/>
        </w:rPr>
      </w:pPr>
      <w:r w:rsidRPr="00C843E6">
        <w:rPr>
          <w:rFonts w:ascii="黑体" w:eastAsia="黑体" w:hAnsi="黑体" w:cs="Times New Roman" w:hint="eastAsia"/>
          <w:sz w:val="28"/>
          <w:szCs w:val="28"/>
        </w:rPr>
        <w:t>六、使用教材、相关推荐书目及课程资源</w:t>
      </w:r>
    </w:p>
    <w:p w14:paraId="7AEBAD16" w14:textId="77777777" w:rsidR="00C843E6" w:rsidRPr="00C843E6" w:rsidRDefault="00C843E6" w:rsidP="00C843E6">
      <w:pPr>
        <w:spacing w:line="440" w:lineRule="exact"/>
        <w:ind w:firstLineChars="200" w:firstLine="560"/>
        <w:rPr>
          <w:rFonts w:ascii="宋体" w:eastAsia="宋体" w:hAnsi="宋体" w:cs="Times New Roman"/>
          <w:sz w:val="24"/>
        </w:rPr>
      </w:pPr>
      <w:r w:rsidRPr="00C843E6">
        <w:rPr>
          <w:rFonts w:ascii="黑体" w:eastAsia="黑体" w:hAnsi="黑体" w:cs="Times New Roman" w:hint="eastAsia"/>
          <w:sz w:val="28"/>
          <w:szCs w:val="28"/>
        </w:rPr>
        <w:t>（一）使用教材</w:t>
      </w:r>
    </w:p>
    <w:p w14:paraId="3E5C20B3" w14:textId="77777777" w:rsidR="00C843E6" w:rsidRPr="00C843E6" w:rsidRDefault="00C843E6" w:rsidP="00C843E6">
      <w:pPr>
        <w:adjustRightInd w:val="0"/>
        <w:snapToGrid w:val="0"/>
        <w:spacing w:line="440" w:lineRule="exact"/>
        <w:ind w:firstLineChars="200" w:firstLine="480"/>
        <w:rPr>
          <w:rFonts w:ascii="Times New Roman" w:eastAsia="宋体" w:hAnsi="Times New Roman" w:cs="Times New Roman"/>
          <w:sz w:val="24"/>
          <w:szCs w:val="24"/>
        </w:rPr>
      </w:pPr>
      <w:r w:rsidRPr="00C843E6">
        <w:rPr>
          <w:rFonts w:ascii="ˎ̥" w:eastAsia="宋体" w:hAnsi="ˎ̥" w:cs="宋体"/>
          <w:color w:val="000000"/>
          <w:kern w:val="0"/>
          <w:sz w:val="24"/>
          <w:szCs w:val="24"/>
        </w:rPr>
        <w:t>本大纲</w:t>
      </w:r>
      <w:r w:rsidRPr="00C843E6">
        <w:rPr>
          <w:rFonts w:ascii="ˎ̥" w:eastAsia="宋体" w:hAnsi="ˎ̥" w:cs="宋体" w:hint="eastAsia"/>
          <w:color w:val="000000"/>
          <w:kern w:val="0"/>
          <w:sz w:val="24"/>
          <w:szCs w:val="24"/>
        </w:rPr>
        <w:t>无</w:t>
      </w:r>
      <w:r w:rsidRPr="00C843E6">
        <w:rPr>
          <w:rFonts w:ascii="ˎ̥" w:eastAsia="宋体" w:hAnsi="ˎ̥" w:cs="宋体"/>
          <w:color w:val="000000"/>
          <w:kern w:val="0"/>
          <w:sz w:val="24"/>
          <w:szCs w:val="24"/>
        </w:rPr>
        <w:t>配套使用教材</w:t>
      </w:r>
      <w:r w:rsidRPr="00C843E6">
        <w:rPr>
          <w:rFonts w:ascii="ˎ̥" w:eastAsia="宋体" w:hAnsi="ˎ̥" w:cs="宋体" w:hint="eastAsia"/>
          <w:color w:val="000000"/>
          <w:kern w:val="0"/>
          <w:sz w:val="24"/>
          <w:szCs w:val="24"/>
        </w:rPr>
        <w:t>，课堂教学中为学生提供讲义</w:t>
      </w:r>
      <w:r w:rsidRPr="00C843E6">
        <w:rPr>
          <w:rFonts w:ascii="宋体" w:eastAsia="宋体" w:hAnsi="宋体" w:cs="Times New Roman" w:hint="eastAsia"/>
          <w:sz w:val="24"/>
          <w:szCs w:val="24"/>
        </w:rPr>
        <w:t>与ppt作</w:t>
      </w:r>
      <w:r w:rsidRPr="00C843E6">
        <w:rPr>
          <w:rFonts w:ascii="ˎ̥" w:eastAsia="宋体" w:hAnsi="ˎ̥" w:cs="宋体" w:hint="eastAsia"/>
          <w:color w:val="000000"/>
          <w:kern w:val="0"/>
          <w:sz w:val="24"/>
          <w:szCs w:val="24"/>
        </w:rPr>
        <w:t>为辅导教材。</w:t>
      </w:r>
    </w:p>
    <w:p w14:paraId="6F5F48AB" w14:textId="77777777" w:rsidR="00C843E6" w:rsidRPr="00C843E6" w:rsidRDefault="00C843E6" w:rsidP="00C843E6">
      <w:pPr>
        <w:spacing w:line="440" w:lineRule="exact"/>
        <w:ind w:firstLineChars="200" w:firstLine="560"/>
        <w:rPr>
          <w:rFonts w:ascii="宋体" w:eastAsia="宋体" w:hAnsi="宋体" w:cs="Times New Roman"/>
          <w:sz w:val="24"/>
        </w:rPr>
      </w:pPr>
      <w:r w:rsidRPr="00C843E6">
        <w:rPr>
          <w:rFonts w:ascii="黑体" w:eastAsia="黑体" w:hAnsi="黑体" w:cs="Times New Roman" w:hint="eastAsia"/>
          <w:sz w:val="28"/>
          <w:szCs w:val="28"/>
        </w:rPr>
        <w:t>（二）相关推荐书目</w:t>
      </w:r>
    </w:p>
    <w:p w14:paraId="3573B990"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 xml:space="preserve">. </w:t>
      </w:r>
      <w:r w:rsidRPr="00C843E6">
        <w:rPr>
          <w:rFonts w:ascii="ˎ̥" w:eastAsia="宋体" w:hAnsi="ˎ̥" w:cs="宋体" w:hint="eastAsia"/>
          <w:kern w:val="0"/>
          <w:sz w:val="24"/>
          <w:szCs w:val="24"/>
        </w:rPr>
        <w:t>王亚娜、吴让科</w:t>
      </w:r>
      <w:r w:rsidRPr="00C843E6">
        <w:rPr>
          <w:rFonts w:ascii="Times New Roman" w:eastAsia="宋体" w:hAnsi="Times New Roman" w:cs="Times New Roman"/>
          <w:sz w:val="24"/>
          <w:szCs w:val="24"/>
        </w:rPr>
        <w:t>主编</w:t>
      </w:r>
      <w:r w:rsidRPr="00C843E6">
        <w:rPr>
          <w:rFonts w:ascii="Times New Roman" w:eastAsia="宋体" w:hAnsi="Times New Roman" w:cs="Times New Roman" w:hint="eastAsia"/>
          <w:sz w:val="24"/>
          <w:szCs w:val="24"/>
        </w:rPr>
        <w:t>：</w:t>
      </w:r>
      <w:r w:rsidRPr="00C843E6">
        <w:rPr>
          <w:rFonts w:ascii="宋体" w:eastAsia="宋体" w:hAnsi="宋体" w:cs="Times New Roman" w:hint="eastAsia"/>
          <w:sz w:val="24"/>
          <w:szCs w:val="24"/>
        </w:rPr>
        <w:t>《</w:t>
      </w:r>
      <w:r w:rsidRPr="00C843E6">
        <w:rPr>
          <w:rFonts w:ascii="ˎ̥" w:eastAsia="宋体" w:hAnsi="ˎ̥" w:cs="宋体" w:hint="eastAsia"/>
          <w:kern w:val="0"/>
          <w:sz w:val="24"/>
          <w:szCs w:val="24"/>
        </w:rPr>
        <w:t>药学英语翻译实践教程》</w:t>
      </w:r>
      <w:r w:rsidRPr="00C843E6">
        <w:rPr>
          <w:rFonts w:ascii="Times New Roman" w:eastAsia="宋体" w:hAnsi="Times New Roman" w:cs="Times New Roman" w:hint="eastAsia"/>
          <w:sz w:val="24"/>
          <w:szCs w:val="24"/>
        </w:rPr>
        <w:t>，</w:t>
      </w:r>
      <w:r w:rsidRPr="00C843E6">
        <w:rPr>
          <w:rFonts w:ascii="ˎ̥" w:eastAsia="宋体" w:hAnsi="ˎ̥" w:cs="宋体" w:hint="eastAsia"/>
          <w:kern w:val="0"/>
          <w:sz w:val="24"/>
          <w:szCs w:val="24"/>
        </w:rPr>
        <w:t>世界图书出版公司</w:t>
      </w:r>
      <w:r w:rsidRPr="00C843E6">
        <w:rPr>
          <w:rFonts w:ascii="Times New Roman" w:eastAsia="宋体" w:hAnsi="Times New Roman" w:cs="Times New Roman"/>
          <w:sz w:val="24"/>
          <w:szCs w:val="24"/>
        </w:rPr>
        <w:t>，</w:t>
      </w:r>
      <w:r w:rsidRPr="00C843E6">
        <w:rPr>
          <w:rFonts w:ascii="Times New Roman" w:eastAsia="宋体" w:hAnsi="Times New Roman" w:cs="Times New Roman"/>
          <w:sz w:val="24"/>
          <w:szCs w:val="24"/>
        </w:rPr>
        <w:t>20</w:t>
      </w:r>
      <w:r w:rsidRPr="00C843E6">
        <w:rPr>
          <w:rFonts w:ascii="Times New Roman" w:eastAsia="宋体" w:hAnsi="Times New Roman" w:cs="Times New Roman" w:hint="eastAsia"/>
          <w:sz w:val="24"/>
          <w:szCs w:val="24"/>
        </w:rPr>
        <w:t>14</w:t>
      </w:r>
      <w:r w:rsidRPr="00C843E6">
        <w:rPr>
          <w:rFonts w:ascii="宋体" w:eastAsia="宋体" w:hAnsi="宋体" w:cs="Times New Roman" w:hint="eastAsia"/>
          <w:sz w:val="24"/>
          <w:szCs w:val="24"/>
        </w:rPr>
        <w:t>年版；</w:t>
      </w:r>
    </w:p>
    <w:p w14:paraId="33A2A374"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 xml:space="preserve">2. </w:t>
      </w:r>
      <w:hyperlink r:id="rId49" w:tgtFrame="_blank" w:history="1">
        <w:r w:rsidRPr="00C843E6">
          <w:rPr>
            <w:rFonts w:ascii="Times New Roman" w:eastAsia="宋体" w:hAnsi="Times New Roman" w:cs="Times New Roman"/>
            <w:sz w:val="24"/>
            <w:szCs w:val="24"/>
          </w:rPr>
          <w:t>戴起勋</w:t>
        </w:r>
      </w:hyperlink>
      <w:r w:rsidRPr="00C843E6">
        <w:rPr>
          <w:rFonts w:ascii="Times New Roman" w:eastAsia="宋体" w:hAnsi="Times New Roman" w:cs="Times New Roman"/>
          <w:sz w:val="24"/>
          <w:szCs w:val="24"/>
        </w:rPr>
        <w:t>主编</w:t>
      </w:r>
      <w:r w:rsidRPr="00C843E6">
        <w:rPr>
          <w:rFonts w:ascii="Times New Roman" w:eastAsia="宋体" w:hAnsi="Times New Roman" w:cs="Times New Roman" w:hint="eastAsia"/>
          <w:sz w:val="24"/>
          <w:szCs w:val="24"/>
        </w:rPr>
        <w:t>：《</w:t>
      </w:r>
      <w:r w:rsidRPr="00C843E6">
        <w:rPr>
          <w:rFonts w:ascii="ˎ̥" w:eastAsia="宋体" w:hAnsi="ˎ̥" w:cs="宋体" w:hint="eastAsia"/>
          <w:kern w:val="0"/>
          <w:sz w:val="24"/>
          <w:szCs w:val="24"/>
        </w:rPr>
        <w:t>科技创新与论文写作</w:t>
      </w:r>
      <w:r w:rsidRPr="00C843E6">
        <w:rPr>
          <w:rFonts w:ascii="Times New Roman" w:eastAsia="宋体" w:hAnsi="Times New Roman" w:cs="Times New Roman" w:hint="eastAsia"/>
          <w:sz w:val="24"/>
          <w:szCs w:val="24"/>
        </w:rPr>
        <w:t>》，机械工业出版社</w:t>
      </w:r>
      <w:r w:rsidRPr="00C843E6">
        <w:rPr>
          <w:rFonts w:ascii="Times New Roman" w:eastAsia="宋体" w:hAnsi="Times New Roman" w:cs="Times New Roman"/>
          <w:sz w:val="24"/>
          <w:szCs w:val="24"/>
        </w:rPr>
        <w:t>，</w:t>
      </w:r>
      <w:r w:rsidRPr="00C843E6">
        <w:rPr>
          <w:rFonts w:ascii="Times New Roman" w:eastAsia="宋体" w:hAnsi="Times New Roman" w:cs="Times New Roman" w:hint="eastAsia"/>
          <w:sz w:val="24"/>
          <w:szCs w:val="24"/>
        </w:rPr>
        <w:t>2014</w:t>
      </w:r>
      <w:r w:rsidRPr="00C843E6">
        <w:rPr>
          <w:rFonts w:ascii="宋体" w:eastAsia="宋体" w:hAnsi="宋体" w:cs="Times New Roman" w:hint="eastAsia"/>
          <w:sz w:val="24"/>
          <w:szCs w:val="24"/>
        </w:rPr>
        <w:t>年版；</w:t>
      </w:r>
    </w:p>
    <w:p w14:paraId="01656054" w14:textId="77777777" w:rsidR="00C843E6" w:rsidRPr="00C843E6" w:rsidRDefault="00C843E6" w:rsidP="00C843E6">
      <w:pPr>
        <w:spacing w:line="440" w:lineRule="exact"/>
        <w:ind w:firstLineChars="200" w:firstLine="480"/>
        <w:rPr>
          <w:rFonts w:ascii="宋体" w:eastAsia="宋体" w:hAnsi="宋体" w:cs="Times New Roman"/>
          <w:sz w:val="24"/>
        </w:rPr>
      </w:pPr>
      <w:r w:rsidRPr="00C843E6">
        <w:rPr>
          <w:rFonts w:ascii="宋体" w:eastAsia="宋体" w:hAnsi="宋体" w:cs="Times New Roman" w:hint="eastAsia"/>
          <w:sz w:val="24"/>
        </w:rPr>
        <w:t>3. 史志祥主编：《药学英语》，人民卫生出版社，2016年版；</w:t>
      </w:r>
    </w:p>
    <w:p w14:paraId="292D190F" w14:textId="77777777" w:rsidR="00C843E6" w:rsidRPr="00C843E6" w:rsidRDefault="00C843E6" w:rsidP="00C843E6">
      <w:pPr>
        <w:spacing w:line="440" w:lineRule="exact"/>
        <w:ind w:firstLineChars="200" w:firstLine="480"/>
        <w:rPr>
          <w:rFonts w:ascii="宋体" w:eastAsia="宋体" w:hAnsi="宋体" w:cs="Times New Roman"/>
          <w:sz w:val="24"/>
        </w:rPr>
      </w:pPr>
      <w:r w:rsidRPr="00C843E6">
        <w:rPr>
          <w:rFonts w:ascii="宋体" w:eastAsia="宋体" w:hAnsi="宋体" w:cs="Times New Roman" w:hint="eastAsia"/>
          <w:sz w:val="24"/>
        </w:rPr>
        <w:t>4.赵文英、张丹丹主编：《药学专业英语》，化学工业出版社，2022年版。</w:t>
      </w:r>
    </w:p>
    <w:p w14:paraId="4227242D" w14:textId="77777777" w:rsidR="00C843E6" w:rsidRPr="00C843E6" w:rsidRDefault="00C843E6" w:rsidP="00C843E6">
      <w:pPr>
        <w:spacing w:beforeLines="50" w:before="156" w:afterLines="50" w:after="156" w:line="440" w:lineRule="exact"/>
        <w:ind w:firstLineChars="200" w:firstLine="560"/>
        <w:rPr>
          <w:rFonts w:ascii="黑体" w:eastAsia="黑体" w:hAnsi="黑体" w:cs="Times New Roman"/>
          <w:sz w:val="28"/>
          <w:szCs w:val="28"/>
        </w:rPr>
      </w:pPr>
      <w:r w:rsidRPr="00C843E6">
        <w:rPr>
          <w:rFonts w:ascii="黑体" w:eastAsia="黑体" w:hAnsi="黑体" w:cs="Times New Roman" w:hint="eastAsia"/>
          <w:sz w:val="28"/>
          <w:szCs w:val="28"/>
        </w:rPr>
        <w:t>七、课程大纲制定依据</w:t>
      </w:r>
    </w:p>
    <w:p w14:paraId="72A39B83" w14:textId="77777777" w:rsidR="00C843E6" w:rsidRPr="00C843E6" w:rsidRDefault="00C843E6" w:rsidP="00C843E6">
      <w:pPr>
        <w:widowControl/>
        <w:spacing w:after="160" w:line="259" w:lineRule="auto"/>
        <w:jc w:val="left"/>
        <w:rPr>
          <w:rFonts w:ascii="Calibri" w:eastAsia="等线" w:hAnsi="Calibri" w:cs="Times New Roman"/>
          <w:kern w:val="0"/>
          <w:sz w:val="22"/>
        </w:rPr>
      </w:pPr>
      <w:r w:rsidRPr="00C843E6">
        <w:rPr>
          <w:rFonts w:ascii="宋体" w:eastAsia="宋体" w:hAnsi="宋体" w:cs="Times New Roman" w:hint="eastAsia"/>
          <w:sz w:val="24"/>
        </w:rPr>
        <w:t xml:space="preserve"> </w:t>
      </w:r>
      <w:r w:rsidRPr="00C843E6">
        <w:rPr>
          <w:rFonts w:ascii="宋体" w:eastAsia="宋体" w:hAnsi="宋体" w:cs="Times New Roman"/>
          <w:sz w:val="24"/>
        </w:rPr>
        <w:t xml:space="preserve">   </w:t>
      </w:r>
      <w:r w:rsidRPr="00C843E6">
        <w:rPr>
          <w:rFonts w:ascii="宋体" w:eastAsia="宋体" w:hAnsi="宋体" w:cs="Times New Roman" w:hint="eastAsia"/>
          <w:sz w:val="24"/>
        </w:rPr>
        <w:t>本课程大纲依据2</w:t>
      </w:r>
      <w:r w:rsidRPr="00C843E6">
        <w:rPr>
          <w:rFonts w:ascii="宋体" w:eastAsia="宋体" w:hAnsi="宋体" w:cs="Times New Roman"/>
          <w:sz w:val="24"/>
        </w:rPr>
        <w:t>02</w:t>
      </w:r>
      <w:r w:rsidRPr="00C843E6">
        <w:rPr>
          <w:rFonts w:ascii="宋体" w:eastAsia="宋体" w:hAnsi="宋体" w:cs="Times New Roman" w:hint="eastAsia"/>
          <w:sz w:val="24"/>
        </w:rPr>
        <w:t>3年药物分析专业人才培养方案制定。</w:t>
      </w:r>
    </w:p>
    <w:p w14:paraId="0991EBED" w14:textId="77777777" w:rsidR="00C843E6" w:rsidRDefault="00C843E6" w:rsidP="00423AD2">
      <w:pPr>
        <w:rPr>
          <w:rFonts w:ascii="Calibri" w:eastAsia="宋体" w:hAnsi="Calibri" w:cs="Times New Roman"/>
          <w:bCs/>
        </w:rPr>
      </w:pPr>
    </w:p>
    <w:p w14:paraId="3E1495F9" w14:textId="77777777" w:rsidR="00C843E6" w:rsidRDefault="00C843E6" w:rsidP="00423AD2">
      <w:pPr>
        <w:rPr>
          <w:rFonts w:ascii="Calibri" w:eastAsia="宋体" w:hAnsi="Calibri" w:cs="Times New Roman"/>
          <w:bCs/>
        </w:rPr>
      </w:pPr>
    </w:p>
    <w:p w14:paraId="36CA581C" w14:textId="77777777" w:rsidR="00C843E6" w:rsidRPr="00C843E6" w:rsidRDefault="00C843E6" w:rsidP="00C843E6">
      <w:pPr>
        <w:keepNext/>
        <w:keepLines/>
        <w:spacing w:before="340" w:after="330" w:line="578" w:lineRule="auto"/>
        <w:jc w:val="center"/>
        <w:outlineLvl w:val="0"/>
        <w:rPr>
          <w:rFonts w:ascii="Calibri" w:eastAsia="黑体" w:hAnsi="Calibri" w:cs="Times New Roman"/>
          <w:bCs/>
          <w:kern w:val="44"/>
          <w:sz w:val="36"/>
          <w:szCs w:val="44"/>
        </w:rPr>
      </w:pPr>
      <w:bookmarkStart w:id="257" w:name="_Toc149662377"/>
      <w:r w:rsidRPr="00C843E6">
        <w:rPr>
          <w:rFonts w:ascii="Calibri" w:eastAsia="黑体" w:hAnsi="Calibri" w:cs="Times New Roman" w:hint="eastAsia"/>
          <w:bCs/>
          <w:kern w:val="44"/>
          <w:sz w:val="36"/>
          <w:szCs w:val="44"/>
        </w:rPr>
        <w:lastRenderedPageBreak/>
        <w:t>《药用高分子材料》课程大纲</w:t>
      </w:r>
      <w:bookmarkEnd w:id="257"/>
    </w:p>
    <w:p w14:paraId="0BA2FE2C" w14:textId="77777777" w:rsidR="00C843E6" w:rsidRPr="00C843E6" w:rsidRDefault="00C843E6" w:rsidP="00C63ECC">
      <w:pPr>
        <w:pStyle w:val="afc"/>
      </w:pPr>
      <w:bookmarkStart w:id="258" w:name="_Toc51933773"/>
      <w:r w:rsidRPr="00C843E6">
        <w:rPr>
          <w:rFonts w:hint="eastAsia"/>
        </w:rPr>
        <w:t>一、课程基本信息</w:t>
      </w:r>
      <w:bookmarkEnd w:id="258"/>
    </w:p>
    <w:tbl>
      <w:tblPr>
        <w:tblW w:w="9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2885"/>
        <w:gridCol w:w="1590"/>
        <w:gridCol w:w="2995"/>
      </w:tblGrid>
      <w:tr w:rsidR="00C843E6" w:rsidRPr="00C843E6" w14:paraId="481A7D14" w14:textId="77777777" w:rsidTr="00106206">
        <w:trPr>
          <w:trHeight w:val="886"/>
          <w:jc w:val="center"/>
        </w:trPr>
        <w:tc>
          <w:tcPr>
            <w:tcW w:w="1668" w:type="dxa"/>
            <w:shd w:val="clear" w:color="auto" w:fill="auto"/>
            <w:vAlign w:val="center"/>
          </w:tcPr>
          <w:p w14:paraId="06FD82DA"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课程名称</w:t>
            </w:r>
          </w:p>
        </w:tc>
        <w:tc>
          <w:tcPr>
            <w:tcW w:w="2833" w:type="dxa"/>
            <w:shd w:val="clear" w:color="auto" w:fill="auto"/>
            <w:vAlign w:val="center"/>
          </w:tcPr>
          <w:p w14:paraId="4691A6C2"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药用高分子材料</w:t>
            </w:r>
          </w:p>
        </w:tc>
        <w:tc>
          <w:tcPr>
            <w:tcW w:w="1561" w:type="dxa"/>
            <w:shd w:val="clear" w:color="auto" w:fill="auto"/>
            <w:vAlign w:val="center"/>
          </w:tcPr>
          <w:p w14:paraId="5CB737D7"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课程代码</w:t>
            </w:r>
          </w:p>
        </w:tc>
        <w:tc>
          <w:tcPr>
            <w:tcW w:w="2941" w:type="dxa"/>
            <w:shd w:val="clear" w:color="auto" w:fill="auto"/>
            <w:vAlign w:val="center"/>
          </w:tcPr>
          <w:p w14:paraId="7BE62B5D"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sz w:val="24"/>
                <w:szCs w:val="24"/>
              </w:rPr>
              <w:t>0714B02</w:t>
            </w:r>
          </w:p>
        </w:tc>
      </w:tr>
      <w:tr w:rsidR="00C843E6" w:rsidRPr="00C843E6" w14:paraId="47AA2A0A" w14:textId="77777777" w:rsidTr="00106206">
        <w:trPr>
          <w:trHeight w:val="829"/>
          <w:jc w:val="center"/>
        </w:trPr>
        <w:tc>
          <w:tcPr>
            <w:tcW w:w="1668" w:type="dxa"/>
            <w:shd w:val="clear" w:color="auto" w:fill="auto"/>
            <w:vAlign w:val="center"/>
          </w:tcPr>
          <w:p w14:paraId="3B3D507E"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课程类别</w:t>
            </w:r>
          </w:p>
        </w:tc>
        <w:tc>
          <w:tcPr>
            <w:tcW w:w="2833" w:type="dxa"/>
            <w:shd w:val="clear" w:color="auto" w:fill="auto"/>
            <w:vAlign w:val="center"/>
          </w:tcPr>
          <w:p w14:paraId="3A45BEA7"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sz w:val="24"/>
                <w:szCs w:val="24"/>
              </w:rPr>
              <w:t>专业</w:t>
            </w:r>
            <w:r w:rsidRPr="00C843E6">
              <w:rPr>
                <w:rFonts w:ascii="宋体" w:eastAsia="宋体" w:hAnsi="宋体" w:cs="Times New Roman" w:hint="eastAsia"/>
                <w:sz w:val="24"/>
                <w:szCs w:val="24"/>
              </w:rPr>
              <w:t>必</w:t>
            </w:r>
            <w:r w:rsidRPr="00C843E6">
              <w:rPr>
                <w:rFonts w:ascii="宋体" w:eastAsia="宋体" w:hAnsi="宋体" w:cs="Times New Roman"/>
                <w:sz w:val="24"/>
                <w:szCs w:val="24"/>
              </w:rPr>
              <w:t>修课</w:t>
            </w:r>
            <w:r w:rsidRPr="00C843E6">
              <w:rPr>
                <w:rFonts w:ascii="宋体" w:eastAsia="宋体" w:hAnsi="宋体" w:cs="Times New Roman" w:hint="eastAsia"/>
                <w:sz w:val="24"/>
                <w:szCs w:val="24"/>
              </w:rPr>
              <w:t>程</w:t>
            </w:r>
          </w:p>
        </w:tc>
        <w:tc>
          <w:tcPr>
            <w:tcW w:w="1561" w:type="dxa"/>
            <w:shd w:val="clear" w:color="auto" w:fill="auto"/>
            <w:vAlign w:val="center"/>
          </w:tcPr>
          <w:p w14:paraId="20AFCE15"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学时</w:t>
            </w:r>
          </w:p>
          <w:p w14:paraId="1381C510"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/学分</w:t>
            </w:r>
          </w:p>
        </w:tc>
        <w:tc>
          <w:tcPr>
            <w:tcW w:w="2941" w:type="dxa"/>
            <w:shd w:val="clear" w:color="auto" w:fill="auto"/>
            <w:vAlign w:val="center"/>
          </w:tcPr>
          <w:p w14:paraId="7471AA96"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16/1</w:t>
            </w:r>
          </w:p>
        </w:tc>
      </w:tr>
      <w:tr w:rsidR="00C843E6" w:rsidRPr="00C843E6" w14:paraId="4F4F78D4" w14:textId="77777777" w:rsidTr="00106206">
        <w:trPr>
          <w:trHeight w:val="811"/>
          <w:jc w:val="center"/>
        </w:trPr>
        <w:tc>
          <w:tcPr>
            <w:tcW w:w="1668" w:type="dxa"/>
            <w:shd w:val="clear" w:color="auto" w:fill="auto"/>
            <w:vAlign w:val="center"/>
          </w:tcPr>
          <w:p w14:paraId="661B8AB0"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开课单位</w:t>
            </w:r>
          </w:p>
        </w:tc>
        <w:tc>
          <w:tcPr>
            <w:tcW w:w="2833" w:type="dxa"/>
            <w:shd w:val="clear" w:color="auto" w:fill="auto"/>
            <w:vAlign w:val="center"/>
          </w:tcPr>
          <w:p w14:paraId="49A45F99"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化工学院</w:t>
            </w:r>
          </w:p>
        </w:tc>
        <w:tc>
          <w:tcPr>
            <w:tcW w:w="1561" w:type="dxa"/>
            <w:shd w:val="clear" w:color="auto" w:fill="auto"/>
            <w:vAlign w:val="center"/>
          </w:tcPr>
          <w:p w14:paraId="41F44C5F"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适用专业</w:t>
            </w:r>
          </w:p>
        </w:tc>
        <w:tc>
          <w:tcPr>
            <w:tcW w:w="2941" w:type="dxa"/>
            <w:shd w:val="clear" w:color="auto" w:fill="auto"/>
            <w:vAlign w:val="center"/>
          </w:tcPr>
          <w:p w14:paraId="54229F8B"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药物</w:t>
            </w:r>
            <w:r>
              <w:rPr>
                <w:rFonts w:ascii="宋体" w:eastAsia="宋体" w:hAnsi="宋体" w:cs="Times New Roman" w:hint="eastAsia"/>
                <w:sz w:val="24"/>
                <w:szCs w:val="24"/>
              </w:rPr>
              <w:t>分析</w:t>
            </w:r>
          </w:p>
        </w:tc>
      </w:tr>
      <w:tr w:rsidR="00C843E6" w:rsidRPr="00C843E6" w14:paraId="2EF6F68F" w14:textId="77777777" w:rsidTr="00106206">
        <w:trPr>
          <w:trHeight w:val="811"/>
          <w:jc w:val="center"/>
        </w:trPr>
        <w:tc>
          <w:tcPr>
            <w:tcW w:w="1668" w:type="dxa"/>
            <w:shd w:val="clear" w:color="auto" w:fill="auto"/>
            <w:vAlign w:val="center"/>
          </w:tcPr>
          <w:p w14:paraId="36DB34FB"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课程负责人</w:t>
            </w:r>
          </w:p>
        </w:tc>
        <w:tc>
          <w:tcPr>
            <w:tcW w:w="7335" w:type="dxa"/>
            <w:gridSpan w:val="3"/>
            <w:shd w:val="clear" w:color="auto" w:fill="auto"/>
            <w:vAlign w:val="center"/>
          </w:tcPr>
          <w:p w14:paraId="128C6477"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常明</w:t>
            </w:r>
          </w:p>
        </w:tc>
      </w:tr>
      <w:tr w:rsidR="00C843E6" w:rsidRPr="00C843E6" w14:paraId="2BD15F4B" w14:textId="77777777" w:rsidTr="00106206">
        <w:trPr>
          <w:trHeight w:val="836"/>
          <w:jc w:val="center"/>
        </w:trPr>
        <w:tc>
          <w:tcPr>
            <w:tcW w:w="1668" w:type="dxa"/>
            <w:shd w:val="clear" w:color="auto" w:fill="auto"/>
            <w:vAlign w:val="center"/>
          </w:tcPr>
          <w:p w14:paraId="535D90CF"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大纲撰写人</w:t>
            </w:r>
          </w:p>
        </w:tc>
        <w:tc>
          <w:tcPr>
            <w:tcW w:w="2833" w:type="dxa"/>
            <w:shd w:val="clear" w:color="auto" w:fill="auto"/>
            <w:vAlign w:val="center"/>
          </w:tcPr>
          <w:p w14:paraId="47892C44"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常明</w:t>
            </w:r>
          </w:p>
        </w:tc>
        <w:tc>
          <w:tcPr>
            <w:tcW w:w="1561" w:type="dxa"/>
            <w:shd w:val="clear" w:color="auto" w:fill="auto"/>
            <w:vAlign w:val="center"/>
          </w:tcPr>
          <w:p w14:paraId="74740916"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大纲审核人</w:t>
            </w:r>
          </w:p>
        </w:tc>
        <w:tc>
          <w:tcPr>
            <w:tcW w:w="2941" w:type="dxa"/>
            <w:shd w:val="clear" w:color="auto" w:fill="auto"/>
            <w:vAlign w:val="center"/>
          </w:tcPr>
          <w:p w14:paraId="228D8FC6"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proofErr w:type="gramStart"/>
            <w:r>
              <w:rPr>
                <w:rFonts w:ascii="宋体" w:eastAsia="宋体" w:hAnsi="宋体" w:cs="Times New Roman" w:hint="eastAsia"/>
                <w:sz w:val="24"/>
                <w:szCs w:val="24"/>
              </w:rPr>
              <w:t>冯</w:t>
            </w:r>
            <w:proofErr w:type="gramEnd"/>
            <w:r>
              <w:rPr>
                <w:rFonts w:ascii="宋体" w:eastAsia="宋体" w:hAnsi="宋体" w:cs="Times New Roman" w:hint="eastAsia"/>
                <w:sz w:val="24"/>
                <w:szCs w:val="24"/>
              </w:rPr>
              <w:t>小龙</w:t>
            </w:r>
          </w:p>
        </w:tc>
      </w:tr>
      <w:tr w:rsidR="00C843E6" w:rsidRPr="00C843E6" w14:paraId="3CA2FA82" w14:textId="77777777" w:rsidTr="00106206">
        <w:trPr>
          <w:trHeight w:val="848"/>
          <w:jc w:val="center"/>
        </w:trPr>
        <w:tc>
          <w:tcPr>
            <w:tcW w:w="1668" w:type="dxa"/>
            <w:shd w:val="clear" w:color="auto" w:fill="auto"/>
            <w:vAlign w:val="center"/>
          </w:tcPr>
          <w:p w14:paraId="1A419B36"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先修课程</w:t>
            </w:r>
          </w:p>
        </w:tc>
        <w:tc>
          <w:tcPr>
            <w:tcW w:w="7335" w:type="dxa"/>
            <w:gridSpan w:val="3"/>
            <w:shd w:val="clear" w:color="auto" w:fill="auto"/>
            <w:vAlign w:val="center"/>
          </w:tcPr>
          <w:p w14:paraId="61EC2DB9"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有机化学、无机化学、药剂学、工业药剂学、物理化学</w:t>
            </w:r>
          </w:p>
        </w:tc>
      </w:tr>
      <w:tr w:rsidR="00C843E6" w:rsidRPr="00C843E6" w14:paraId="6831AEF7" w14:textId="77777777" w:rsidTr="00106206">
        <w:trPr>
          <w:trHeight w:val="848"/>
          <w:jc w:val="center"/>
        </w:trPr>
        <w:tc>
          <w:tcPr>
            <w:tcW w:w="1668" w:type="dxa"/>
            <w:shd w:val="clear" w:color="auto" w:fill="auto"/>
            <w:vAlign w:val="center"/>
          </w:tcPr>
          <w:p w14:paraId="53712112"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课程网址</w:t>
            </w:r>
          </w:p>
        </w:tc>
        <w:tc>
          <w:tcPr>
            <w:tcW w:w="7335" w:type="dxa"/>
            <w:gridSpan w:val="3"/>
            <w:shd w:val="clear" w:color="auto" w:fill="auto"/>
            <w:vAlign w:val="center"/>
          </w:tcPr>
          <w:p w14:paraId="360E9332" w14:textId="77777777" w:rsidR="00C843E6" w:rsidRPr="00C843E6" w:rsidRDefault="00C843E6" w:rsidP="00C843E6">
            <w:pPr>
              <w:adjustRightInd w:val="0"/>
              <w:snapToGrid w:val="0"/>
              <w:spacing w:line="440" w:lineRule="exact"/>
              <w:jc w:val="center"/>
              <w:rPr>
                <w:rFonts w:ascii="宋体" w:eastAsia="宋体" w:hAnsi="宋体" w:cs="Times New Roman"/>
                <w:bCs/>
                <w:kern w:val="44"/>
                <w:sz w:val="24"/>
                <w:szCs w:val="24"/>
              </w:rPr>
            </w:pPr>
            <w:r w:rsidRPr="00C843E6">
              <w:rPr>
                <w:rFonts w:ascii="宋体" w:eastAsia="宋体" w:hAnsi="宋体" w:cs="Times New Roman" w:hint="eastAsia"/>
                <w:bCs/>
                <w:kern w:val="44"/>
                <w:sz w:val="24"/>
                <w:szCs w:val="24"/>
              </w:rPr>
              <w:t>无</w:t>
            </w:r>
          </w:p>
        </w:tc>
      </w:tr>
    </w:tbl>
    <w:p w14:paraId="551236B6" w14:textId="77777777" w:rsidR="00C843E6" w:rsidRPr="00C843E6" w:rsidRDefault="00C843E6" w:rsidP="00C63ECC">
      <w:pPr>
        <w:pStyle w:val="afc"/>
      </w:pPr>
      <w:bookmarkStart w:id="259" w:name="_Toc51933774"/>
      <w:r w:rsidRPr="00C843E6">
        <w:rPr>
          <w:rFonts w:hint="eastAsia"/>
        </w:rPr>
        <w:t>二、课程学习目标及与毕业要求的对应关系</w:t>
      </w:r>
      <w:bookmarkEnd w:id="259"/>
    </w:p>
    <w:p w14:paraId="36C9BD0F" w14:textId="77777777" w:rsidR="00C843E6" w:rsidRPr="00C843E6" w:rsidRDefault="00C843E6" w:rsidP="00C843E6">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60" w:name="_Toc51933775"/>
      <w:r w:rsidRPr="00C843E6">
        <w:rPr>
          <w:rFonts w:ascii="黑体" w:eastAsia="黑体" w:hAnsi="黑体" w:cs="Times New Roman" w:hint="eastAsia"/>
          <w:sz w:val="28"/>
          <w:szCs w:val="28"/>
        </w:rPr>
        <w:t>（一）课程学习目标</w:t>
      </w:r>
      <w:bookmarkEnd w:id="260"/>
    </w:p>
    <w:p w14:paraId="7466B33A"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hint="eastAsia"/>
          <w:sz w:val="24"/>
          <w:szCs w:val="24"/>
        </w:rPr>
        <w:t>通过本课程的学习，使学生达到以下目标：</w:t>
      </w:r>
    </w:p>
    <w:p w14:paraId="22F69C8D" w14:textId="77777777" w:rsidR="00C843E6" w:rsidRPr="00C843E6" w:rsidRDefault="00C843E6" w:rsidP="00C843E6">
      <w:pPr>
        <w:spacing w:line="440" w:lineRule="exact"/>
        <w:ind w:firstLineChars="200" w:firstLine="480"/>
        <w:rPr>
          <w:rFonts w:ascii="Times New Roman" w:eastAsia="宋体" w:hAnsi="Times New Roman" w:cs="Times New Roman"/>
          <w:szCs w:val="24"/>
        </w:rPr>
      </w:pPr>
      <w:r w:rsidRPr="00C843E6">
        <w:rPr>
          <w:rFonts w:ascii="Times New Roman" w:eastAsia="宋体" w:hAnsi="Times New Roman" w:cs="Times New Roman"/>
          <w:sz w:val="24"/>
          <w:szCs w:val="24"/>
        </w:rPr>
        <w:t>掌握高分子材料的基本理论和药物制剂中常用高分子材料的物理化学性质性能及用途</w:t>
      </w:r>
      <w:r w:rsidRPr="00C843E6">
        <w:rPr>
          <w:rFonts w:ascii="宋体" w:eastAsia="宋体" w:hAnsi="宋体" w:cs="Times New Roman" w:hint="eastAsia"/>
          <w:b/>
          <w:sz w:val="24"/>
          <w:szCs w:val="24"/>
        </w:rPr>
        <w:t>。</w:t>
      </w:r>
      <w:r w:rsidRPr="00C843E6">
        <w:rPr>
          <w:rFonts w:ascii="Times New Roman" w:eastAsia="宋体" w:hAnsi="Times New Roman" w:cs="Times New Roman"/>
          <w:sz w:val="24"/>
          <w:szCs w:val="24"/>
        </w:rPr>
        <w:t>能够将高分子材料学的基础理论知识，在普通药物制剂、特别是在长效，</w:t>
      </w:r>
      <w:proofErr w:type="gramStart"/>
      <w:r w:rsidRPr="00C843E6">
        <w:rPr>
          <w:rFonts w:ascii="Times New Roman" w:eastAsia="宋体" w:hAnsi="Times New Roman" w:cs="Times New Roman"/>
          <w:sz w:val="24"/>
          <w:szCs w:val="24"/>
        </w:rPr>
        <w:t>控释及靶向制剂</w:t>
      </w:r>
      <w:proofErr w:type="gramEnd"/>
      <w:r w:rsidRPr="00C843E6">
        <w:rPr>
          <w:rFonts w:ascii="Times New Roman" w:eastAsia="宋体" w:hAnsi="Times New Roman" w:cs="Times New Roman"/>
          <w:sz w:val="24"/>
          <w:szCs w:val="24"/>
        </w:rPr>
        <w:t>中应用，从而为药物新剂型的研究与开发奠定基础。</w:t>
      </w:r>
      <w:r w:rsidRPr="00C843E6">
        <w:rPr>
          <w:rFonts w:ascii="宋体" w:eastAsia="宋体" w:hAnsi="宋体" w:cs="Times New Roman" w:hint="eastAsia"/>
          <w:sz w:val="24"/>
          <w:szCs w:val="24"/>
        </w:rPr>
        <w:t>了解制剂辅料在药品成本中的构成，优化辅料的决策方法。</w:t>
      </w:r>
      <w:r w:rsidRPr="00C843E6">
        <w:rPr>
          <w:rFonts w:ascii="宋体" w:eastAsia="宋体" w:hAnsi="宋体" w:cs="宋体" w:hint="eastAsia"/>
          <w:sz w:val="24"/>
          <w:szCs w:val="21"/>
        </w:rPr>
        <w:t>【毕业要求</w:t>
      </w:r>
      <w:r w:rsidRPr="00C843E6">
        <w:rPr>
          <w:rFonts w:ascii="宋体" w:eastAsia="宋体" w:hAnsi="宋体" w:cs="宋体" w:hint="eastAsia"/>
          <w:color w:val="000000"/>
          <w:kern w:val="0"/>
          <w:sz w:val="24"/>
          <w:szCs w:val="21"/>
        </w:rPr>
        <w:t>1</w:t>
      </w:r>
      <w:r w:rsidRPr="00C843E6">
        <w:rPr>
          <w:rFonts w:ascii="宋体" w:eastAsia="宋体" w:hAnsi="宋体" w:cs="宋体" w:hint="eastAsia"/>
          <w:sz w:val="24"/>
          <w:szCs w:val="21"/>
        </w:rPr>
        <w:t>工程知识】</w:t>
      </w:r>
    </w:p>
    <w:p w14:paraId="69E09706" w14:textId="77777777" w:rsidR="00C843E6" w:rsidRPr="00C843E6" w:rsidRDefault="00C843E6" w:rsidP="00C843E6">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61" w:name="_Toc51933776"/>
      <w:r w:rsidRPr="00C843E6">
        <w:rPr>
          <w:rFonts w:ascii="黑体" w:eastAsia="黑体" w:hAnsi="黑体" w:cs="Times New Roman" w:hint="eastAsia"/>
          <w:sz w:val="28"/>
          <w:szCs w:val="28"/>
        </w:rPr>
        <w:t>（二）课程学习目标与毕业要求指标点的对应关系</w:t>
      </w:r>
      <w:bookmarkEnd w:id="261"/>
    </w:p>
    <w:tbl>
      <w:tblPr>
        <w:tblW w:w="9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6"/>
        <w:gridCol w:w="4585"/>
        <w:gridCol w:w="3117"/>
      </w:tblGrid>
      <w:tr w:rsidR="00C843E6" w:rsidRPr="00C843E6" w14:paraId="538019CB" w14:textId="77777777" w:rsidTr="00106206">
        <w:trPr>
          <w:trHeight w:val="815"/>
          <w:jc w:val="center"/>
        </w:trPr>
        <w:tc>
          <w:tcPr>
            <w:tcW w:w="1466" w:type="dxa"/>
            <w:vAlign w:val="center"/>
          </w:tcPr>
          <w:p w14:paraId="680EBE28" w14:textId="77777777" w:rsidR="00C843E6" w:rsidRPr="00C843E6" w:rsidRDefault="00C843E6" w:rsidP="00C843E6">
            <w:pPr>
              <w:adjustRightInd w:val="0"/>
              <w:snapToGrid w:val="0"/>
              <w:spacing w:line="440" w:lineRule="exact"/>
              <w:jc w:val="center"/>
              <w:rPr>
                <w:rFonts w:ascii="宋体" w:eastAsia="宋体" w:hAnsi="宋体" w:cs="Times New Roman"/>
                <w:b/>
                <w:sz w:val="24"/>
                <w:szCs w:val="24"/>
              </w:rPr>
            </w:pPr>
            <w:r w:rsidRPr="00C843E6">
              <w:rPr>
                <w:rFonts w:ascii="宋体" w:eastAsia="宋体" w:hAnsi="宋体" w:cs="Times New Roman" w:hint="eastAsia"/>
                <w:b/>
                <w:sz w:val="24"/>
                <w:szCs w:val="24"/>
              </w:rPr>
              <w:t>毕业要求</w:t>
            </w:r>
          </w:p>
        </w:tc>
        <w:tc>
          <w:tcPr>
            <w:tcW w:w="4585" w:type="dxa"/>
            <w:vAlign w:val="center"/>
          </w:tcPr>
          <w:p w14:paraId="18A203D6" w14:textId="77777777" w:rsidR="00C843E6" w:rsidRPr="00C843E6" w:rsidRDefault="00C843E6" w:rsidP="00C843E6">
            <w:pPr>
              <w:adjustRightInd w:val="0"/>
              <w:snapToGrid w:val="0"/>
              <w:spacing w:line="440" w:lineRule="exact"/>
              <w:jc w:val="center"/>
              <w:rPr>
                <w:rFonts w:ascii="宋体" w:eastAsia="宋体" w:hAnsi="宋体" w:cs="Times New Roman"/>
                <w:b/>
                <w:sz w:val="24"/>
                <w:szCs w:val="24"/>
              </w:rPr>
            </w:pPr>
            <w:r w:rsidRPr="00C843E6">
              <w:rPr>
                <w:rFonts w:ascii="宋体" w:eastAsia="宋体" w:hAnsi="宋体" w:cs="Times New Roman" w:hint="eastAsia"/>
                <w:b/>
                <w:sz w:val="24"/>
                <w:szCs w:val="24"/>
              </w:rPr>
              <w:t>支撑的毕业要求指标点</w:t>
            </w:r>
          </w:p>
        </w:tc>
        <w:tc>
          <w:tcPr>
            <w:tcW w:w="3117" w:type="dxa"/>
            <w:vAlign w:val="center"/>
          </w:tcPr>
          <w:p w14:paraId="1A79F386" w14:textId="77777777" w:rsidR="00C843E6" w:rsidRPr="00C843E6" w:rsidRDefault="00C843E6" w:rsidP="00C843E6">
            <w:pPr>
              <w:adjustRightInd w:val="0"/>
              <w:snapToGrid w:val="0"/>
              <w:spacing w:line="440" w:lineRule="exact"/>
              <w:jc w:val="center"/>
              <w:rPr>
                <w:rFonts w:ascii="宋体" w:eastAsia="宋体" w:hAnsi="宋体" w:cs="Times New Roman"/>
                <w:b/>
                <w:sz w:val="24"/>
                <w:szCs w:val="24"/>
              </w:rPr>
            </w:pPr>
            <w:r w:rsidRPr="00C843E6">
              <w:rPr>
                <w:rFonts w:ascii="宋体" w:eastAsia="宋体" w:hAnsi="宋体" w:cs="Times New Roman" w:hint="eastAsia"/>
                <w:b/>
                <w:sz w:val="24"/>
                <w:szCs w:val="24"/>
              </w:rPr>
              <w:t>课程目标</w:t>
            </w:r>
          </w:p>
        </w:tc>
      </w:tr>
      <w:tr w:rsidR="00C843E6" w:rsidRPr="00C843E6" w14:paraId="38341C9F" w14:textId="77777777" w:rsidTr="00106206">
        <w:trPr>
          <w:jc w:val="center"/>
        </w:trPr>
        <w:tc>
          <w:tcPr>
            <w:tcW w:w="1466" w:type="dxa"/>
            <w:vAlign w:val="center"/>
          </w:tcPr>
          <w:p w14:paraId="746A70D6" w14:textId="77777777" w:rsidR="00C843E6" w:rsidRPr="00C843E6" w:rsidRDefault="00C843E6" w:rsidP="00C843E6">
            <w:pPr>
              <w:adjustRightInd w:val="0"/>
              <w:snapToGrid w:val="0"/>
              <w:spacing w:line="440" w:lineRule="exact"/>
              <w:rPr>
                <w:rFonts w:ascii="Times New Roman" w:eastAsia="宋体" w:hAnsi="Times New Roman" w:cs="Calibri"/>
                <w:kern w:val="0"/>
                <w:sz w:val="24"/>
                <w:szCs w:val="24"/>
              </w:rPr>
            </w:pPr>
            <w:r w:rsidRPr="00C843E6">
              <w:rPr>
                <w:rFonts w:ascii="Times New Roman" w:eastAsia="宋体" w:hAnsi="Times New Roman" w:cs="Calibri" w:hint="eastAsia"/>
                <w:kern w:val="0"/>
                <w:sz w:val="24"/>
                <w:szCs w:val="24"/>
              </w:rPr>
              <w:t>3</w:t>
            </w:r>
            <w:r w:rsidRPr="00C843E6">
              <w:rPr>
                <w:rFonts w:ascii="Times New Roman" w:eastAsia="宋体" w:hAnsi="Times New Roman" w:cs="Calibri"/>
                <w:kern w:val="0"/>
                <w:sz w:val="24"/>
                <w:szCs w:val="24"/>
              </w:rPr>
              <w:t>.</w:t>
            </w:r>
            <w:r w:rsidRPr="00C843E6">
              <w:rPr>
                <w:rFonts w:ascii="Times New Roman" w:eastAsia="宋体" w:hAnsi="Times New Roman" w:cs="Calibri" w:hint="eastAsia"/>
                <w:kern w:val="0"/>
                <w:sz w:val="24"/>
                <w:szCs w:val="24"/>
              </w:rPr>
              <w:t>设计</w:t>
            </w:r>
            <w:r w:rsidRPr="00C843E6">
              <w:rPr>
                <w:rFonts w:ascii="Times New Roman" w:eastAsia="宋体" w:hAnsi="Times New Roman" w:cs="Calibri" w:hint="eastAsia"/>
                <w:kern w:val="0"/>
                <w:sz w:val="24"/>
                <w:szCs w:val="24"/>
              </w:rPr>
              <w:t>/</w:t>
            </w:r>
            <w:r w:rsidRPr="00C843E6">
              <w:rPr>
                <w:rFonts w:ascii="Times New Roman" w:eastAsia="宋体" w:hAnsi="Times New Roman" w:cs="Calibri" w:hint="eastAsia"/>
                <w:kern w:val="0"/>
                <w:sz w:val="24"/>
                <w:szCs w:val="24"/>
              </w:rPr>
              <w:t>开发解决方案</w:t>
            </w:r>
          </w:p>
        </w:tc>
        <w:tc>
          <w:tcPr>
            <w:tcW w:w="4585" w:type="dxa"/>
            <w:vAlign w:val="center"/>
          </w:tcPr>
          <w:p w14:paraId="3277B7C1" w14:textId="77777777" w:rsidR="00C843E6" w:rsidRPr="00C843E6" w:rsidRDefault="00C843E6" w:rsidP="00C843E6">
            <w:pPr>
              <w:spacing w:line="400" w:lineRule="exact"/>
              <w:ind w:leftChars="-5" w:left="2" w:hangingChars="5" w:hanging="12"/>
              <w:rPr>
                <w:rFonts w:ascii="Times New Roman" w:eastAsia="宋体" w:hAnsi="Times New Roman" w:cs="Calibri"/>
                <w:kern w:val="0"/>
                <w:sz w:val="24"/>
                <w:szCs w:val="24"/>
              </w:rPr>
            </w:pPr>
            <w:r w:rsidRPr="00C843E6">
              <w:rPr>
                <w:rFonts w:ascii="Times New Roman" w:eastAsia="宋体" w:hAnsi="Times New Roman" w:cs="Calibri" w:hint="eastAsia"/>
                <w:kern w:val="0"/>
                <w:sz w:val="24"/>
                <w:szCs w:val="24"/>
              </w:rPr>
              <w:t>3.3</w:t>
            </w:r>
            <w:r w:rsidRPr="00C843E6">
              <w:rPr>
                <w:rFonts w:ascii="Times New Roman" w:eastAsia="宋体" w:hAnsi="Times New Roman" w:cs="Calibri" w:hint="eastAsia"/>
                <w:kern w:val="0"/>
                <w:sz w:val="24"/>
                <w:szCs w:val="24"/>
              </w:rPr>
              <w:t>能够在社会、安全、环境、法律等约束条件下，针对工业药剂领域的复杂工程问</w:t>
            </w:r>
            <w:r w:rsidRPr="00C843E6">
              <w:rPr>
                <w:rFonts w:ascii="Times New Roman" w:eastAsia="宋体" w:hAnsi="Times New Roman" w:cs="Calibri" w:hint="eastAsia"/>
                <w:kern w:val="0"/>
                <w:sz w:val="24"/>
                <w:szCs w:val="24"/>
              </w:rPr>
              <w:lastRenderedPageBreak/>
              <w:t>题，能够设计与选择合理的解决方案。（</w:t>
            </w:r>
            <w:r w:rsidRPr="00C843E6">
              <w:rPr>
                <w:rFonts w:ascii="Times New Roman" w:eastAsia="宋体" w:hAnsi="Times New Roman" w:cs="Calibri" w:hint="eastAsia"/>
                <w:kern w:val="0"/>
                <w:sz w:val="24"/>
                <w:szCs w:val="24"/>
              </w:rPr>
              <w:t>H</w:t>
            </w:r>
            <w:r w:rsidRPr="00C843E6">
              <w:rPr>
                <w:rFonts w:ascii="Times New Roman" w:eastAsia="宋体" w:hAnsi="Times New Roman" w:cs="Calibri" w:hint="eastAsia"/>
                <w:kern w:val="0"/>
                <w:sz w:val="24"/>
                <w:szCs w:val="24"/>
              </w:rPr>
              <w:t>）</w:t>
            </w:r>
          </w:p>
        </w:tc>
        <w:tc>
          <w:tcPr>
            <w:tcW w:w="3117" w:type="dxa"/>
            <w:vAlign w:val="center"/>
          </w:tcPr>
          <w:p w14:paraId="35D14440"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lastRenderedPageBreak/>
              <w:t>课程目标1</w:t>
            </w:r>
          </w:p>
        </w:tc>
      </w:tr>
      <w:tr w:rsidR="00C843E6" w:rsidRPr="00C843E6" w14:paraId="6733C6C7" w14:textId="77777777" w:rsidTr="00106206">
        <w:trPr>
          <w:jc w:val="center"/>
        </w:trPr>
        <w:tc>
          <w:tcPr>
            <w:tcW w:w="1466" w:type="dxa"/>
            <w:vAlign w:val="center"/>
          </w:tcPr>
          <w:p w14:paraId="423AE3A4" w14:textId="77777777" w:rsidR="00C843E6" w:rsidRPr="00C843E6" w:rsidRDefault="00C843E6" w:rsidP="00C843E6">
            <w:pPr>
              <w:adjustRightInd w:val="0"/>
              <w:snapToGrid w:val="0"/>
              <w:spacing w:line="440" w:lineRule="exact"/>
              <w:rPr>
                <w:rFonts w:ascii="Times New Roman" w:eastAsia="宋体" w:hAnsi="Times New Roman" w:cs="Calibri"/>
                <w:kern w:val="0"/>
                <w:sz w:val="24"/>
                <w:szCs w:val="24"/>
              </w:rPr>
            </w:pPr>
            <w:r w:rsidRPr="00C843E6">
              <w:rPr>
                <w:rFonts w:ascii="Times New Roman" w:eastAsia="宋体" w:hAnsi="Times New Roman" w:cs="Calibri" w:hint="eastAsia"/>
                <w:kern w:val="0"/>
                <w:sz w:val="24"/>
                <w:szCs w:val="24"/>
              </w:rPr>
              <w:t>6</w:t>
            </w:r>
            <w:r w:rsidRPr="00C843E6">
              <w:rPr>
                <w:rFonts w:ascii="Times New Roman" w:eastAsia="宋体" w:hAnsi="Times New Roman" w:cs="Calibri" w:hint="eastAsia"/>
                <w:kern w:val="0"/>
                <w:sz w:val="24"/>
                <w:szCs w:val="24"/>
              </w:rPr>
              <w:t>工程与社会</w:t>
            </w:r>
          </w:p>
        </w:tc>
        <w:tc>
          <w:tcPr>
            <w:tcW w:w="4585" w:type="dxa"/>
            <w:vAlign w:val="center"/>
          </w:tcPr>
          <w:p w14:paraId="683BE949" w14:textId="77777777" w:rsidR="00C843E6" w:rsidRPr="00C843E6" w:rsidRDefault="00C843E6" w:rsidP="00C843E6">
            <w:pPr>
              <w:spacing w:line="400" w:lineRule="exact"/>
              <w:ind w:leftChars="-5" w:left="2" w:hangingChars="5" w:hanging="12"/>
              <w:rPr>
                <w:rFonts w:ascii="Times New Roman" w:eastAsia="宋体" w:hAnsi="Times New Roman" w:cs="Calibri"/>
                <w:kern w:val="0"/>
                <w:sz w:val="24"/>
                <w:szCs w:val="24"/>
              </w:rPr>
            </w:pPr>
            <w:r w:rsidRPr="00C843E6">
              <w:rPr>
                <w:rFonts w:ascii="Times New Roman" w:eastAsia="宋体" w:hAnsi="Times New Roman" w:cs="Calibri" w:hint="eastAsia"/>
                <w:kern w:val="0"/>
                <w:sz w:val="24"/>
                <w:szCs w:val="24"/>
              </w:rPr>
              <w:t>6.2</w:t>
            </w:r>
            <w:r w:rsidRPr="00C843E6">
              <w:rPr>
                <w:rFonts w:ascii="Times New Roman" w:eastAsia="宋体" w:hAnsi="Times New Roman" w:cs="Calibri" w:hint="eastAsia"/>
                <w:kern w:val="0"/>
                <w:sz w:val="24"/>
                <w:szCs w:val="24"/>
              </w:rPr>
              <w:t>能够正确评价工业药剂专业工程实践和复杂工程问题的解决方案对社会、健康、安全、法律以及文化的影响，并理解应承担的责任。（</w:t>
            </w:r>
            <w:r w:rsidRPr="00C843E6">
              <w:rPr>
                <w:rFonts w:ascii="Times New Roman" w:eastAsia="宋体" w:hAnsi="Times New Roman" w:cs="Calibri" w:hint="eastAsia"/>
                <w:kern w:val="0"/>
                <w:sz w:val="24"/>
                <w:szCs w:val="24"/>
              </w:rPr>
              <w:t>M</w:t>
            </w:r>
            <w:r w:rsidRPr="00C843E6">
              <w:rPr>
                <w:rFonts w:ascii="Times New Roman" w:eastAsia="宋体" w:hAnsi="Times New Roman" w:cs="Calibri" w:hint="eastAsia"/>
                <w:kern w:val="0"/>
                <w:sz w:val="24"/>
                <w:szCs w:val="24"/>
              </w:rPr>
              <w:t>）</w:t>
            </w:r>
          </w:p>
        </w:tc>
        <w:tc>
          <w:tcPr>
            <w:tcW w:w="3117" w:type="dxa"/>
            <w:vAlign w:val="center"/>
          </w:tcPr>
          <w:p w14:paraId="5D718623"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课程目标2</w:t>
            </w:r>
          </w:p>
        </w:tc>
      </w:tr>
      <w:tr w:rsidR="00C843E6" w:rsidRPr="00C843E6" w14:paraId="331F10BC" w14:textId="77777777" w:rsidTr="00106206">
        <w:trPr>
          <w:jc w:val="center"/>
        </w:trPr>
        <w:tc>
          <w:tcPr>
            <w:tcW w:w="1466" w:type="dxa"/>
            <w:vAlign w:val="center"/>
          </w:tcPr>
          <w:p w14:paraId="485DA6DF" w14:textId="77777777" w:rsidR="00C843E6" w:rsidRPr="00C843E6" w:rsidRDefault="00C843E6" w:rsidP="00C843E6">
            <w:pPr>
              <w:adjustRightInd w:val="0"/>
              <w:snapToGrid w:val="0"/>
              <w:spacing w:line="440" w:lineRule="exact"/>
              <w:rPr>
                <w:rFonts w:ascii="Times New Roman" w:eastAsia="宋体" w:hAnsi="Times New Roman" w:cs="Calibri"/>
                <w:kern w:val="0"/>
                <w:sz w:val="24"/>
                <w:szCs w:val="24"/>
              </w:rPr>
            </w:pPr>
            <w:r w:rsidRPr="00C843E6">
              <w:rPr>
                <w:rFonts w:ascii="Times New Roman" w:eastAsia="宋体" w:hAnsi="Times New Roman" w:cs="Calibri" w:hint="eastAsia"/>
                <w:kern w:val="0"/>
                <w:sz w:val="24"/>
                <w:szCs w:val="24"/>
              </w:rPr>
              <w:t>11</w:t>
            </w:r>
            <w:r w:rsidRPr="00C843E6">
              <w:rPr>
                <w:rFonts w:ascii="Times New Roman" w:eastAsia="宋体" w:hAnsi="Times New Roman" w:cs="Calibri" w:hint="eastAsia"/>
                <w:kern w:val="0"/>
                <w:sz w:val="24"/>
                <w:szCs w:val="24"/>
              </w:rPr>
              <w:t>项目与管理</w:t>
            </w:r>
          </w:p>
        </w:tc>
        <w:tc>
          <w:tcPr>
            <w:tcW w:w="4585" w:type="dxa"/>
            <w:vAlign w:val="center"/>
          </w:tcPr>
          <w:p w14:paraId="4BD7860A" w14:textId="77777777" w:rsidR="00C843E6" w:rsidRPr="00C843E6" w:rsidRDefault="00C843E6" w:rsidP="00C843E6">
            <w:pPr>
              <w:spacing w:line="400" w:lineRule="exact"/>
              <w:ind w:leftChars="-5" w:left="2" w:hangingChars="5" w:hanging="12"/>
              <w:rPr>
                <w:rFonts w:ascii="Times New Roman" w:eastAsia="宋体" w:hAnsi="Times New Roman" w:cs="Calibri"/>
                <w:kern w:val="0"/>
                <w:sz w:val="24"/>
                <w:szCs w:val="24"/>
              </w:rPr>
            </w:pPr>
            <w:r w:rsidRPr="00C843E6">
              <w:rPr>
                <w:rFonts w:ascii="Times New Roman" w:eastAsia="宋体" w:hAnsi="Times New Roman" w:cs="Calibri" w:hint="eastAsia"/>
                <w:kern w:val="0"/>
                <w:sz w:val="24"/>
                <w:szCs w:val="24"/>
              </w:rPr>
              <w:t xml:space="preserve">11.1 </w:t>
            </w:r>
            <w:r w:rsidRPr="00C843E6">
              <w:rPr>
                <w:rFonts w:ascii="Times New Roman" w:eastAsia="宋体" w:hAnsi="Times New Roman" w:cs="Calibri" w:hint="eastAsia"/>
                <w:kern w:val="0"/>
                <w:sz w:val="24"/>
                <w:szCs w:val="24"/>
              </w:rPr>
              <w:t>理解和掌握工业药剂学管理原理与经济决策方法。（</w:t>
            </w:r>
            <w:r w:rsidRPr="00C843E6">
              <w:rPr>
                <w:rFonts w:ascii="Times New Roman" w:eastAsia="宋体" w:hAnsi="Times New Roman" w:cs="Calibri" w:hint="eastAsia"/>
                <w:kern w:val="0"/>
                <w:sz w:val="24"/>
                <w:szCs w:val="24"/>
              </w:rPr>
              <w:t>L</w:t>
            </w:r>
            <w:r w:rsidRPr="00C843E6">
              <w:rPr>
                <w:rFonts w:ascii="Times New Roman" w:eastAsia="宋体" w:hAnsi="Times New Roman" w:cs="Calibri" w:hint="eastAsia"/>
                <w:kern w:val="0"/>
                <w:sz w:val="24"/>
                <w:szCs w:val="24"/>
              </w:rPr>
              <w:t>）</w:t>
            </w:r>
          </w:p>
        </w:tc>
        <w:tc>
          <w:tcPr>
            <w:tcW w:w="3117" w:type="dxa"/>
            <w:vAlign w:val="center"/>
          </w:tcPr>
          <w:p w14:paraId="263DFCFC"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课程目标3</w:t>
            </w:r>
          </w:p>
        </w:tc>
      </w:tr>
    </w:tbl>
    <w:p w14:paraId="49D1D72F" w14:textId="77777777" w:rsidR="00C843E6" w:rsidRPr="00C843E6" w:rsidRDefault="00C843E6" w:rsidP="00C63ECC">
      <w:pPr>
        <w:pStyle w:val="afc"/>
      </w:pPr>
      <w:bookmarkStart w:id="262" w:name="_Toc51933777"/>
      <w:r w:rsidRPr="00C843E6">
        <w:rPr>
          <w:rFonts w:hint="eastAsia"/>
        </w:rPr>
        <w:t>三、课程学习内容及与课程学习目标的对应关系</w:t>
      </w:r>
      <w:bookmarkEnd w:id="262"/>
    </w:p>
    <w:p w14:paraId="12390C94" w14:textId="77777777" w:rsidR="00C843E6" w:rsidRPr="00C843E6" w:rsidRDefault="00C843E6" w:rsidP="00C843E6">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63" w:name="_Toc51933778"/>
      <w:r w:rsidRPr="00C843E6">
        <w:rPr>
          <w:rFonts w:ascii="黑体" w:eastAsia="黑体" w:hAnsi="黑体" w:cs="Times New Roman" w:hint="eastAsia"/>
          <w:sz w:val="28"/>
          <w:szCs w:val="28"/>
        </w:rPr>
        <w:t>（一）课程学习内容</w:t>
      </w:r>
      <w:bookmarkEnd w:id="263"/>
    </w:p>
    <w:p w14:paraId="31A44FD3" w14:textId="77777777" w:rsidR="00C843E6" w:rsidRPr="00C843E6" w:rsidRDefault="00C843E6" w:rsidP="00C843E6">
      <w:pPr>
        <w:spacing w:beforeLines="50" w:before="156" w:afterLines="50" w:after="156" w:line="440" w:lineRule="exact"/>
        <w:ind w:firstLineChars="200" w:firstLine="560"/>
        <w:jc w:val="center"/>
        <w:rPr>
          <w:rFonts w:ascii="黑体" w:eastAsia="黑体" w:hAnsi="黑体" w:cs="Times New Roman"/>
          <w:sz w:val="28"/>
          <w:szCs w:val="28"/>
        </w:rPr>
      </w:pPr>
      <w:r w:rsidRPr="00C843E6">
        <w:rPr>
          <w:rFonts w:ascii="黑体" w:eastAsia="黑体" w:hAnsi="黑体" w:cs="Times New Roman" w:hint="eastAsia"/>
          <w:sz w:val="28"/>
          <w:szCs w:val="28"/>
        </w:rPr>
        <w:t xml:space="preserve">第一章  </w:t>
      </w:r>
      <w:proofErr w:type="gramStart"/>
      <w:r w:rsidRPr="00C843E6">
        <w:rPr>
          <w:rFonts w:ascii="黑体" w:eastAsia="黑体" w:hAnsi="黑体" w:cs="Times New Roman" w:hint="eastAsia"/>
          <w:sz w:val="28"/>
          <w:szCs w:val="28"/>
        </w:rPr>
        <w:t>绪</w:t>
      </w:r>
      <w:proofErr w:type="gramEnd"/>
      <w:r w:rsidRPr="00C843E6">
        <w:rPr>
          <w:rFonts w:ascii="黑体" w:eastAsia="黑体" w:hAnsi="黑体" w:cs="Times New Roman" w:hint="eastAsia"/>
          <w:sz w:val="28"/>
          <w:szCs w:val="28"/>
        </w:rPr>
        <w:t xml:space="preserve"> 论 </w:t>
      </w:r>
    </w:p>
    <w:p w14:paraId="07972520"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【学习目标】</w:t>
      </w:r>
    </w:p>
    <w:p w14:paraId="4C77FD70"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w:t>
      </w:r>
      <w:r w:rsidRPr="00C843E6">
        <w:rPr>
          <w:rFonts w:ascii="宋体" w:eastAsia="宋体" w:hAnsi="宋体" w:cs="Times New Roman" w:hint="eastAsia"/>
          <w:sz w:val="24"/>
          <w:szCs w:val="24"/>
        </w:rPr>
        <w:t>认知类目标：</w:t>
      </w:r>
      <w:r w:rsidRPr="00C843E6">
        <w:rPr>
          <w:rFonts w:ascii="宋体" w:eastAsia="宋体" w:hAnsi="宋体" w:cs="Times New Roman"/>
          <w:sz w:val="24"/>
          <w:szCs w:val="24"/>
        </w:rPr>
        <w:t>了解医药对高分子材料的基本要求</w:t>
      </w:r>
      <w:r w:rsidRPr="00C843E6">
        <w:rPr>
          <w:rFonts w:ascii="宋体" w:eastAsia="宋体" w:hAnsi="宋体" w:cs="Times New Roman" w:hint="eastAsia"/>
          <w:sz w:val="24"/>
          <w:szCs w:val="24"/>
        </w:rPr>
        <w:t>。</w:t>
      </w:r>
    </w:p>
    <w:p w14:paraId="32429019"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w:t>
      </w:r>
      <w:r w:rsidRPr="00C843E6">
        <w:rPr>
          <w:rFonts w:ascii="宋体" w:eastAsia="宋体" w:hAnsi="宋体" w:cs="Times New Roman" w:hint="eastAsia"/>
          <w:sz w:val="24"/>
          <w:szCs w:val="24"/>
        </w:rPr>
        <w:t>过程与方法类目标：掌握</w:t>
      </w:r>
      <w:r w:rsidRPr="00C843E6">
        <w:rPr>
          <w:rFonts w:ascii="宋体" w:eastAsia="宋体" w:hAnsi="宋体" w:cs="Times New Roman"/>
          <w:sz w:val="24"/>
          <w:szCs w:val="24"/>
        </w:rPr>
        <w:t>高分子材料在药剂学中的应用；我国药用高分子材料的发展概况。</w:t>
      </w:r>
    </w:p>
    <w:p w14:paraId="3E9EE3D4"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【学习内容】</w:t>
      </w:r>
    </w:p>
    <w:p w14:paraId="70970033"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.课程的目的、任务和学习范围</w:t>
      </w:r>
    </w:p>
    <w:p w14:paraId="6BEF899A"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高分子材料在药剂学中的应用</w:t>
      </w:r>
    </w:p>
    <w:p w14:paraId="5F7EDA7F"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w:t>
      </w:r>
      <w:r w:rsidRPr="00C843E6">
        <w:rPr>
          <w:rFonts w:ascii="宋体" w:eastAsia="宋体" w:hAnsi="宋体" w:cs="Times New Roman"/>
          <w:sz w:val="24"/>
          <w:szCs w:val="24"/>
        </w:rPr>
        <w:t>我国药用高分子材料的发展概况</w:t>
      </w:r>
    </w:p>
    <w:p w14:paraId="2091163A"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4.</w:t>
      </w:r>
      <w:r w:rsidRPr="00C843E6">
        <w:rPr>
          <w:rFonts w:ascii="宋体" w:eastAsia="宋体" w:hAnsi="宋体" w:cs="Times New Roman"/>
          <w:sz w:val="24"/>
          <w:szCs w:val="24"/>
        </w:rPr>
        <w:t>药用高分子辅料发展面临的新挑战</w:t>
      </w:r>
    </w:p>
    <w:p w14:paraId="790E6B9C"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5.</w:t>
      </w:r>
      <w:r w:rsidRPr="00C843E6">
        <w:rPr>
          <w:rFonts w:ascii="宋体" w:eastAsia="宋体" w:hAnsi="宋体" w:cs="Times New Roman"/>
          <w:sz w:val="24"/>
          <w:szCs w:val="24"/>
        </w:rPr>
        <w:t>有关药用高分子材料的国内外法规和参考资料</w:t>
      </w:r>
    </w:p>
    <w:p w14:paraId="394336E2"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【重点】</w:t>
      </w:r>
    </w:p>
    <w:p w14:paraId="629D55A4"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我国药用高分子材料的发展概况</w:t>
      </w:r>
    </w:p>
    <w:p w14:paraId="48EB50BD"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【难点】</w:t>
      </w:r>
    </w:p>
    <w:p w14:paraId="06854C8A"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.高分子材料在药剂学中的应用</w:t>
      </w:r>
    </w:p>
    <w:p w14:paraId="42D5F07F" w14:textId="77777777" w:rsidR="00C843E6" w:rsidRPr="00C843E6" w:rsidRDefault="00C843E6" w:rsidP="00C843E6">
      <w:pPr>
        <w:adjustRightInd w:val="0"/>
        <w:snapToGrid w:val="0"/>
        <w:spacing w:line="440" w:lineRule="exact"/>
        <w:ind w:firstLineChars="200" w:firstLine="482"/>
        <w:rPr>
          <w:rFonts w:ascii="宋体" w:eastAsia="宋体" w:hAnsi="宋体" w:cs="Times New Roman"/>
          <w:sz w:val="24"/>
          <w:szCs w:val="24"/>
        </w:rPr>
      </w:pPr>
      <w:r w:rsidRPr="00C843E6">
        <w:rPr>
          <w:rFonts w:ascii="宋体" w:eastAsia="宋体" w:hAnsi="宋体" w:cs="Times New Roman" w:hint="eastAsia"/>
          <w:b/>
          <w:bCs/>
          <w:sz w:val="24"/>
          <w:szCs w:val="24"/>
        </w:rPr>
        <w:t>【教学方法】</w:t>
      </w:r>
    </w:p>
    <w:p w14:paraId="247811FA"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1.通过多媒体课件和传统教学相结合，阐明本门课程学习的基本方法，丰富学生与相关学科的基本知识结构，培养学生的专业思维；</w:t>
      </w:r>
    </w:p>
    <w:p w14:paraId="2D56757E"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2.通过讲解发展历程，分析目前存在的问题与不足，提高学生学习本门课程的积极性，通过强调本门课程学习特点，促进学生知识整合，理论与实践相结合，培养学生的思考能力；</w:t>
      </w:r>
    </w:p>
    <w:p w14:paraId="68E63C29"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lastRenderedPageBreak/>
        <w:t>3.通过因内外法规的讲解，培养同学们查询资料的能力，树立专业思维，强化知识应用意识，发展学生的发现问题、分析问题、解决问题的能力；</w:t>
      </w:r>
    </w:p>
    <w:p w14:paraId="639EE57B"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bCs/>
          <w:sz w:val="24"/>
          <w:szCs w:val="24"/>
        </w:rPr>
      </w:pPr>
      <w:r w:rsidRPr="00C843E6">
        <w:rPr>
          <w:rFonts w:ascii="宋体" w:eastAsia="宋体" w:hAnsi="宋体" w:cs="Times New Roman" w:hint="eastAsia"/>
          <w:b/>
          <w:bCs/>
          <w:sz w:val="24"/>
          <w:szCs w:val="24"/>
        </w:rPr>
        <w:t>【复习思考】</w:t>
      </w:r>
    </w:p>
    <w:p w14:paraId="61D691CC"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w:t>
      </w:r>
      <w:r w:rsidRPr="00C843E6">
        <w:rPr>
          <w:rFonts w:ascii="宋体" w:eastAsia="宋体" w:hAnsi="宋体" w:cs="Times New Roman" w:hint="eastAsia"/>
          <w:sz w:val="24"/>
          <w:szCs w:val="24"/>
        </w:rPr>
        <w:t>无水碳酸钾是未收我国药典的一种食品级辅料，因产品开发需要在药品生产过程中使用，应如何实施才符合法规的要求？</w:t>
      </w:r>
    </w:p>
    <w:p w14:paraId="7FA43172"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w:t>
      </w:r>
      <w:r w:rsidRPr="00C843E6">
        <w:rPr>
          <w:rFonts w:ascii="宋体" w:eastAsia="宋体" w:hAnsi="宋体" w:cs="Times New Roman" w:hint="eastAsia"/>
          <w:sz w:val="24"/>
          <w:szCs w:val="24"/>
        </w:rPr>
        <w:t>药用辅料在药物制剂产品中是物理形式存在，是否会与药品发生化学反应？</w:t>
      </w:r>
    </w:p>
    <w:p w14:paraId="5909E9A9"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w:t>
      </w:r>
      <w:r w:rsidRPr="00C843E6">
        <w:rPr>
          <w:rFonts w:ascii="宋体" w:eastAsia="宋体" w:hAnsi="宋体" w:cs="Times New Roman"/>
          <w:sz w:val="24"/>
          <w:szCs w:val="24"/>
        </w:rPr>
        <w:t>.</w:t>
      </w:r>
      <w:r w:rsidRPr="00C843E6">
        <w:rPr>
          <w:rFonts w:ascii="宋体" w:eastAsia="宋体" w:hAnsi="宋体" w:cs="Times New Roman" w:hint="eastAsia"/>
          <w:sz w:val="24"/>
          <w:szCs w:val="24"/>
        </w:rPr>
        <w:t>不同国家的药用高分子材料的标准不同，我国的标准应如何确立？</w:t>
      </w:r>
    </w:p>
    <w:p w14:paraId="6C55CCFC" w14:textId="77777777" w:rsidR="00C843E6" w:rsidRPr="00C843E6" w:rsidRDefault="00C843E6" w:rsidP="00C843E6">
      <w:pPr>
        <w:spacing w:beforeLines="50" w:before="156" w:afterLines="50" w:after="156" w:line="440" w:lineRule="exact"/>
        <w:ind w:firstLineChars="200" w:firstLine="560"/>
        <w:jc w:val="center"/>
        <w:rPr>
          <w:rFonts w:ascii="黑体" w:eastAsia="黑体" w:hAnsi="黑体" w:cs="Times New Roman"/>
          <w:sz w:val="28"/>
          <w:szCs w:val="28"/>
        </w:rPr>
      </w:pPr>
      <w:r w:rsidRPr="00C843E6">
        <w:rPr>
          <w:rFonts w:ascii="黑体" w:eastAsia="黑体" w:hAnsi="黑体" w:cs="Times New Roman"/>
          <w:sz w:val="28"/>
          <w:szCs w:val="28"/>
        </w:rPr>
        <w:t>第二章 高分子的结构、合成和化学反应</w:t>
      </w:r>
    </w:p>
    <w:p w14:paraId="32A5E286"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【学习目标】</w:t>
      </w:r>
    </w:p>
    <w:p w14:paraId="20EFF5A4"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w:t>
      </w:r>
      <w:r w:rsidRPr="00C843E6">
        <w:rPr>
          <w:rFonts w:ascii="宋体" w:eastAsia="宋体" w:hAnsi="宋体" w:cs="Times New Roman" w:hint="eastAsia"/>
          <w:sz w:val="24"/>
          <w:szCs w:val="24"/>
        </w:rPr>
        <w:t>认知类目标：</w:t>
      </w:r>
      <w:r w:rsidRPr="00C843E6">
        <w:rPr>
          <w:rFonts w:ascii="宋体" w:eastAsia="宋体" w:hAnsi="宋体" w:cs="Times New Roman"/>
          <w:sz w:val="24"/>
          <w:szCs w:val="24"/>
        </w:rPr>
        <w:t>了解相对分子质量及其分布的测定方法。</w:t>
      </w:r>
    </w:p>
    <w:p w14:paraId="30AF4894"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w:t>
      </w:r>
      <w:r w:rsidRPr="00C843E6">
        <w:rPr>
          <w:rFonts w:ascii="宋体" w:eastAsia="宋体" w:hAnsi="宋体" w:cs="Times New Roman" w:hint="eastAsia"/>
          <w:sz w:val="24"/>
          <w:szCs w:val="24"/>
        </w:rPr>
        <w:t>过程与方法类目标：</w:t>
      </w:r>
      <w:r w:rsidRPr="00C843E6">
        <w:rPr>
          <w:rFonts w:ascii="宋体" w:eastAsia="宋体" w:hAnsi="宋体" w:cs="Times New Roman"/>
          <w:sz w:val="24"/>
          <w:szCs w:val="24"/>
        </w:rPr>
        <w:t>掌握高分子链的构成分类与命名，高分子结晶态、取向态、</w:t>
      </w:r>
      <w:proofErr w:type="gramStart"/>
      <w:r w:rsidRPr="00C843E6">
        <w:rPr>
          <w:rFonts w:ascii="宋体" w:eastAsia="宋体" w:hAnsi="宋体" w:cs="Times New Roman"/>
          <w:sz w:val="24"/>
          <w:szCs w:val="24"/>
        </w:rPr>
        <w:t>织态结构</w:t>
      </w:r>
      <w:proofErr w:type="gramEnd"/>
      <w:r w:rsidRPr="00C843E6">
        <w:rPr>
          <w:rFonts w:ascii="宋体" w:eastAsia="宋体" w:hAnsi="宋体" w:cs="Times New Roman"/>
          <w:sz w:val="24"/>
          <w:szCs w:val="24"/>
        </w:rPr>
        <w:t>掌握聚合物的化学反应特征及影响因素。</w:t>
      </w:r>
    </w:p>
    <w:p w14:paraId="4F8031DA"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【学习内容】</w:t>
      </w:r>
    </w:p>
    <w:p w14:paraId="04055B1B"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.高分子链的构成、定义</w:t>
      </w:r>
    </w:p>
    <w:p w14:paraId="5C84C54B"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2</w:t>
      </w:r>
      <w:r w:rsidRPr="00C843E6">
        <w:rPr>
          <w:rFonts w:ascii="宋体" w:eastAsia="宋体" w:hAnsi="宋体" w:cs="Times New Roman" w:hint="eastAsia"/>
          <w:sz w:val="24"/>
          <w:szCs w:val="24"/>
        </w:rPr>
        <w:t>.</w:t>
      </w:r>
      <w:r w:rsidRPr="00C843E6">
        <w:rPr>
          <w:rFonts w:ascii="宋体" w:eastAsia="宋体" w:hAnsi="宋体" w:cs="Times New Roman"/>
          <w:sz w:val="24"/>
          <w:szCs w:val="24"/>
        </w:rPr>
        <w:t>高分子的分类与命名</w:t>
      </w:r>
    </w:p>
    <w:p w14:paraId="6C91A7B5"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w:t>
      </w:r>
      <w:r w:rsidRPr="00C843E6">
        <w:rPr>
          <w:rFonts w:ascii="宋体" w:eastAsia="宋体" w:hAnsi="宋体" w:cs="Times New Roman"/>
          <w:sz w:val="24"/>
          <w:szCs w:val="24"/>
        </w:rPr>
        <w:t>高分子链结构</w:t>
      </w:r>
    </w:p>
    <w:p w14:paraId="2ADBC650"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4.</w:t>
      </w:r>
      <w:r w:rsidRPr="00C843E6">
        <w:rPr>
          <w:rFonts w:ascii="宋体" w:eastAsia="宋体" w:hAnsi="宋体" w:cs="Times New Roman"/>
          <w:sz w:val="24"/>
          <w:szCs w:val="24"/>
        </w:rPr>
        <w:t>高分子聚集态结构</w:t>
      </w:r>
    </w:p>
    <w:p w14:paraId="4C53B2C5"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5.</w:t>
      </w:r>
      <w:r w:rsidRPr="00C843E6">
        <w:rPr>
          <w:rFonts w:ascii="宋体" w:eastAsia="宋体" w:hAnsi="宋体" w:cs="Times New Roman"/>
          <w:sz w:val="24"/>
          <w:szCs w:val="24"/>
        </w:rPr>
        <w:t>聚合反应</w:t>
      </w:r>
    </w:p>
    <w:p w14:paraId="41FE02E3"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6.</w:t>
      </w:r>
      <w:r w:rsidRPr="00C843E6">
        <w:rPr>
          <w:rFonts w:ascii="宋体" w:eastAsia="宋体" w:hAnsi="宋体" w:cs="Times New Roman"/>
          <w:sz w:val="24"/>
          <w:szCs w:val="24"/>
        </w:rPr>
        <w:t>聚合物的化学反应</w:t>
      </w:r>
    </w:p>
    <w:p w14:paraId="48C197B4"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7</w:t>
      </w:r>
      <w:r w:rsidRPr="00C843E6">
        <w:rPr>
          <w:rFonts w:ascii="宋体" w:eastAsia="宋体" w:hAnsi="宋体" w:cs="Times New Roman" w:hint="eastAsia"/>
          <w:sz w:val="24"/>
          <w:szCs w:val="24"/>
        </w:rPr>
        <w:t>.</w:t>
      </w:r>
      <w:r w:rsidRPr="00C843E6">
        <w:rPr>
          <w:rFonts w:ascii="宋体" w:eastAsia="宋体" w:hAnsi="宋体" w:cs="Times New Roman"/>
          <w:sz w:val="24"/>
          <w:szCs w:val="24"/>
        </w:rPr>
        <w:t>高分子的相对分子质量及相对分子质量分布</w:t>
      </w:r>
    </w:p>
    <w:p w14:paraId="45E5BB0B"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【重点】</w:t>
      </w:r>
    </w:p>
    <w:p w14:paraId="194568FE"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Times New Roman" w:eastAsia="宋体" w:hAnsi="Times New Roman" w:cs="Times New Roman"/>
          <w:sz w:val="24"/>
          <w:szCs w:val="24"/>
        </w:rPr>
        <w:t>高分子链的构成，高分子</w:t>
      </w:r>
      <w:r w:rsidRPr="00C843E6">
        <w:rPr>
          <w:rFonts w:ascii="Times New Roman" w:eastAsia="宋体" w:hAnsi="Verdana" w:cs="Times New Roman"/>
          <w:sz w:val="24"/>
          <w:szCs w:val="24"/>
        </w:rPr>
        <w:t>结晶态、取向态、</w:t>
      </w:r>
      <w:proofErr w:type="gramStart"/>
      <w:r w:rsidRPr="00C843E6">
        <w:rPr>
          <w:rFonts w:ascii="Times New Roman" w:eastAsia="宋体" w:hAnsi="Verdana" w:cs="Times New Roman"/>
          <w:sz w:val="24"/>
          <w:szCs w:val="24"/>
        </w:rPr>
        <w:t>织态结构</w:t>
      </w:r>
      <w:proofErr w:type="gramEnd"/>
    </w:p>
    <w:p w14:paraId="16D9A381"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【难点】</w:t>
      </w:r>
    </w:p>
    <w:p w14:paraId="36624D6D"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高分子结晶态、取向态、</w:t>
      </w:r>
      <w:proofErr w:type="gramStart"/>
      <w:r w:rsidRPr="00C843E6">
        <w:rPr>
          <w:rFonts w:ascii="宋体" w:eastAsia="宋体" w:hAnsi="宋体" w:cs="Times New Roman"/>
          <w:sz w:val="24"/>
          <w:szCs w:val="24"/>
        </w:rPr>
        <w:t>织态结构</w:t>
      </w:r>
      <w:proofErr w:type="gramEnd"/>
    </w:p>
    <w:p w14:paraId="744125F6" w14:textId="77777777" w:rsidR="00C843E6" w:rsidRPr="00C843E6" w:rsidRDefault="00C843E6" w:rsidP="00C843E6">
      <w:pPr>
        <w:adjustRightInd w:val="0"/>
        <w:snapToGrid w:val="0"/>
        <w:spacing w:line="440" w:lineRule="exact"/>
        <w:ind w:firstLineChars="200" w:firstLine="482"/>
        <w:rPr>
          <w:rFonts w:ascii="宋体" w:eastAsia="宋体" w:hAnsi="宋体" w:cs="Times New Roman"/>
          <w:sz w:val="24"/>
          <w:szCs w:val="24"/>
        </w:rPr>
      </w:pPr>
      <w:r w:rsidRPr="00C843E6">
        <w:rPr>
          <w:rFonts w:ascii="宋体" w:eastAsia="宋体" w:hAnsi="宋体" w:cs="Times New Roman" w:hint="eastAsia"/>
          <w:b/>
          <w:bCs/>
          <w:sz w:val="24"/>
          <w:szCs w:val="24"/>
        </w:rPr>
        <w:t>【教学方法】</w:t>
      </w:r>
    </w:p>
    <w:p w14:paraId="025A46A2"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1.通过多媒体课件和传统教学相结合，阐明高分子的分类、</w:t>
      </w:r>
      <w:r w:rsidRPr="00C843E6">
        <w:rPr>
          <w:rFonts w:ascii="Times New Roman" w:eastAsia="宋体" w:hAnsi="Times New Roman" w:cs="Times New Roman"/>
          <w:sz w:val="24"/>
          <w:szCs w:val="24"/>
        </w:rPr>
        <w:t>高分子链的构成，高分子</w:t>
      </w:r>
      <w:r w:rsidRPr="00C843E6">
        <w:rPr>
          <w:rFonts w:ascii="Times New Roman" w:eastAsia="宋体" w:hAnsi="Verdana" w:cs="Times New Roman"/>
          <w:sz w:val="24"/>
          <w:szCs w:val="24"/>
        </w:rPr>
        <w:t>结晶态、取向态、</w:t>
      </w:r>
      <w:proofErr w:type="gramStart"/>
      <w:r w:rsidRPr="00C843E6">
        <w:rPr>
          <w:rFonts w:ascii="Times New Roman" w:eastAsia="宋体" w:hAnsi="Verdana" w:cs="Times New Roman"/>
          <w:sz w:val="24"/>
          <w:szCs w:val="24"/>
        </w:rPr>
        <w:t>织态结构</w:t>
      </w:r>
      <w:proofErr w:type="gramEnd"/>
      <w:r w:rsidRPr="00C843E6">
        <w:rPr>
          <w:rFonts w:ascii="Times New Roman" w:eastAsia="宋体" w:hAnsi="Verdana" w:cs="Times New Roman" w:hint="eastAsia"/>
          <w:sz w:val="24"/>
          <w:szCs w:val="24"/>
        </w:rPr>
        <w:t>等组成</w:t>
      </w:r>
      <w:r w:rsidRPr="00C843E6">
        <w:rPr>
          <w:rFonts w:ascii="宋体" w:eastAsia="宋体" w:hAnsi="宋体" w:cs="Times New Roman" w:hint="eastAsia"/>
          <w:sz w:val="24"/>
          <w:szCs w:val="24"/>
        </w:rPr>
        <w:t>；</w:t>
      </w:r>
    </w:p>
    <w:p w14:paraId="5C54567E"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2.阐明</w:t>
      </w:r>
      <w:proofErr w:type="gramStart"/>
      <w:r w:rsidRPr="00C843E6">
        <w:rPr>
          <w:rFonts w:ascii="宋体" w:eastAsia="宋体" w:hAnsi="宋体" w:cs="Times New Roman" w:hint="eastAsia"/>
          <w:sz w:val="24"/>
          <w:szCs w:val="24"/>
        </w:rPr>
        <w:t>高分子高分子</w:t>
      </w:r>
      <w:proofErr w:type="gramEnd"/>
      <w:r w:rsidRPr="00C843E6">
        <w:rPr>
          <w:rFonts w:ascii="宋体" w:eastAsia="宋体" w:hAnsi="宋体" w:cs="Times New Roman" w:hint="eastAsia"/>
          <w:sz w:val="24"/>
          <w:szCs w:val="24"/>
        </w:rPr>
        <w:t>一级、二级、三级结构的分类法；讲解高分子</w:t>
      </w:r>
      <w:r w:rsidRPr="00C843E6">
        <w:rPr>
          <w:rFonts w:ascii="宋体" w:eastAsia="宋体" w:hAnsi="宋体" w:cs="Times New Roman"/>
          <w:sz w:val="24"/>
          <w:szCs w:val="24"/>
        </w:rPr>
        <w:t>的化学反应</w:t>
      </w:r>
    </w:p>
    <w:p w14:paraId="2A870EF9"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bCs/>
          <w:sz w:val="24"/>
          <w:szCs w:val="24"/>
        </w:rPr>
      </w:pPr>
      <w:r w:rsidRPr="00C843E6">
        <w:rPr>
          <w:rFonts w:ascii="宋体" w:eastAsia="宋体" w:hAnsi="宋体" w:cs="Times New Roman" w:hint="eastAsia"/>
          <w:b/>
          <w:bCs/>
          <w:sz w:val="24"/>
          <w:szCs w:val="24"/>
        </w:rPr>
        <w:t>【复习思考】</w:t>
      </w:r>
    </w:p>
    <w:p w14:paraId="1A561FDB"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.高分子聚集态结构</w:t>
      </w:r>
      <w:r w:rsidRPr="00C843E6">
        <w:rPr>
          <w:rFonts w:ascii="宋体" w:eastAsia="宋体" w:hAnsi="宋体" w:cs="Times New Roman" w:hint="eastAsia"/>
          <w:sz w:val="24"/>
          <w:szCs w:val="24"/>
        </w:rPr>
        <w:t>有哪些？</w:t>
      </w:r>
    </w:p>
    <w:p w14:paraId="7510CD47"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.高分子的相对分子质量及相对分子质量分布</w:t>
      </w:r>
      <w:r w:rsidRPr="00C843E6">
        <w:rPr>
          <w:rFonts w:ascii="宋体" w:eastAsia="宋体" w:hAnsi="宋体" w:cs="Times New Roman" w:hint="eastAsia"/>
          <w:sz w:val="24"/>
          <w:szCs w:val="24"/>
        </w:rPr>
        <w:t>的测定方法？</w:t>
      </w:r>
    </w:p>
    <w:p w14:paraId="20A009E4"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lastRenderedPageBreak/>
        <w:t>3</w:t>
      </w:r>
      <w:r w:rsidRPr="00C843E6">
        <w:rPr>
          <w:rFonts w:ascii="宋体" w:eastAsia="宋体" w:hAnsi="宋体" w:cs="Times New Roman"/>
          <w:sz w:val="24"/>
          <w:szCs w:val="24"/>
        </w:rPr>
        <w:t>.</w:t>
      </w:r>
      <w:r w:rsidRPr="00C843E6">
        <w:rPr>
          <w:rFonts w:ascii="宋体" w:eastAsia="宋体" w:hAnsi="宋体" w:cs="Times New Roman" w:hint="eastAsia"/>
          <w:sz w:val="24"/>
          <w:szCs w:val="24"/>
        </w:rPr>
        <w:t>举例说明</w:t>
      </w:r>
      <w:r w:rsidRPr="00C843E6">
        <w:rPr>
          <w:rFonts w:ascii="宋体" w:eastAsia="宋体" w:hAnsi="宋体" w:cs="Times New Roman"/>
          <w:sz w:val="24"/>
          <w:szCs w:val="24"/>
        </w:rPr>
        <w:t>聚合物的</w:t>
      </w:r>
      <w:r w:rsidRPr="00C843E6">
        <w:rPr>
          <w:rFonts w:ascii="宋体" w:eastAsia="宋体" w:hAnsi="宋体" w:cs="Times New Roman" w:hint="eastAsia"/>
          <w:sz w:val="24"/>
          <w:szCs w:val="24"/>
        </w:rPr>
        <w:t>一种</w:t>
      </w:r>
      <w:r w:rsidRPr="00C843E6">
        <w:rPr>
          <w:rFonts w:ascii="宋体" w:eastAsia="宋体" w:hAnsi="宋体" w:cs="Times New Roman"/>
          <w:sz w:val="24"/>
          <w:szCs w:val="24"/>
        </w:rPr>
        <w:t>化学反应</w:t>
      </w:r>
    </w:p>
    <w:p w14:paraId="36A8354A" w14:textId="77777777" w:rsidR="00C843E6" w:rsidRPr="00C843E6" w:rsidRDefault="00C843E6" w:rsidP="00C843E6">
      <w:pPr>
        <w:spacing w:beforeLines="50" w:before="156" w:afterLines="50" w:after="156" w:line="440" w:lineRule="exact"/>
        <w:ind w:firstLineChars="200" w:firstLine="560"/>
        <w:jc w:val="center"/>
        <w:rPr>
          <w:rFonts w:ascii="黑体" w:eastAsia="黑体" w:hAnsi="黑体" w:cs="Times New Roman"/>
          <w:sz w:val="28"/>
          <w:szCs w:val="28"/>
        </w:rPr>
      </w:pPr>
      <w:r w:rsidRPr="00C843E6">
        <w:rPr>
          <w:rFonts w:ascii="黑体" w:eastAsia="黑体" w:hAnsi="黑体" w:cs="Times New Roman"/>
          <w:sz w:val="28"/>
          <w:szCs w:val="28"/>
        </w:rPr>
        <w:t>第三章 高分子材料的物理化学性质</w:t>
      </w:r>
    </w:p>
    <w:p w14:paraId="6E1119F8"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【学习目标】</w:t>
      </w:r>
    </w:p>
    <w:p w14:paraId="211E20E1"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w:t>
      </w:r>
      <w:r w:rsidRPr="00C843E6">
        <w:rPr>
          <w:rFonts w:ascii="宋体" w:eastAsia="宋体" w:hAnsi="宋体" w:cs="Times New Roman" w:hint="eastAsia"/>
          <w:sz w:val="24"/>
          <w:szCs w:val="24"/>
        </w:rPr>
        <w:t>认知类目标：</w:t>
      </w:r>
      <w:r w:rsidRPr="00C843E6">
        <w:rPr>
          <w:rFonts w:ascii="Times New Roman" w:eastAsia="宋体" w:hAnsi="Times New Roman" w:cs="Times New Roman"/>
          <w:sz w:val="24"/>
          <w:szCs w:val="24"/>
        </w:rPr>
        <w:t>了解高聚物的渗透性与透气性用及高分子运动的特点、玻璃化转变和</w:t>
      </w:r>
      <w:proofErr w:type="gramStart"/>
      <w:r w:rsidRPr="00C843E6">
        <w:rPr>
          <w:rFonts w:ascii="Times New Roman" w:eastAsia="宋体" w:hAnsi="Times New Roman" w:cs="Times New Roman"/>
          <w:sz w:val="24"/>
          <w:szCs w:val="24"/>
        </w:rPr>
        <w:t>黏</w:t>
      </w:r>
      <w:proofErr w:type="gramEnd"/>
      <w:r w:rsidRPr="00C843E6">
        <w:rPr>
          <w:rFonts w:ascii="Times New Roman" w:eastAsia="宋体" w:hAnsi="Times New Roman" w:cs="Times New Roman"/>
          <w:sz w:val="24"/>
          <w:szCs w:val="24"/>
        </w:rPr>
        <w:t>流态的特点，高分子材料的力学性能；</w:t>
      </w:r>
    </w:p>
    <w:p w14:paraId="1BE00CDD"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w:t>
      </w:r>
      <w:r w:rsidRPr="00C843E6">
        <w:rPr>
          <w:rFonts w:ascii="宋体" w:eastAsia="宋体" w:hAnsi="宋体" w:cs="Times New Roman" w:hint="eastAsia"/>
          <w:sz w:val="24"/>
          <w:szCs w:val="24"/>
        </w:rPr>
        <w:t>过程与方法类目标：</w:t>
      </w:r>
      <w:r w:rsidRPr="00C843E6">
        <w:rPr>
          <w:rFonts w:ascii="Times New Roman" w:eastAsia="宋体" w:hAnsi="Times New Roman" w:cs="Times New Roman"/>
          <w:sz w:val="24"/>
          <w:szCs w:val="24"/>
        </w:rPr>
        <w:t>掌握溶胀与溶解，</w:t>
      </w:r>
      <w:r w:rsidRPr="00C843E6">
        <w:rPr>
          <w:rFonts w:ascii="Times New Roman" w:eastAsia="宋体" w:hAnsi="Verdana" w:cs="Times New Roman"/>
          <w:sz w:val="24"/>
          <w:szCs w:val="24"/>
        </w:rPr>
        <w:t>聚合物溶解过程的热力学。熟悉</w:t>
      </w:r>
      <w:r w:rsidRPr="00C843E6">
        <w:rPr>
          <w:rFonts w:ascii="Times New Roman" w:eastAsia="宋体" w:hAnsi="Times New Roman" w:cs="Times New Roman"/>
          <w:sz w:val="24"/>
          <w:szCs w:val="24"/>
        </w:rPr>
        <w:t>溶剂的选择，高分子的分子量及分子量分布的特点及测定。</w:t>
      </w:r>
    </w:p>
    <w:p w14:paraId="7D5A4BCE"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【学习内容】</w:t>
      </w:r>
    </w:p>
    <w:p w14:paraId="0C1B0FA8"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.高分子溶液的理化性质</w:t>
      </w:r>
    </w:p>
    <w:p w14:paraId="05345037"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2</w:t>
      </w:r>
      <w:r w:rsidRPr="00C843E6">
        <w:rPr>
          <w:rFonts w:ascii="宋体" w:eastAsia="宋体" w:hAnsi="宋体" w:cs="Times New Roman" w:hint="eastAsia"/>
          <w:sz w:val="24"/>
          <w:szCs w:val="24"/>
        </w:rPr>
        <w:t>.</w:t>
      </w:r>
      <w:r w:rsidRPr="00C843E6">
        <w:rPr>
          <w:rFonts w:ascii="宋体" w:eastAsia="宋体" w:hAnsi="宋体" w:cs="Times New Roman"/>
          <w:sz w:val="24"/>
          <w:szCs w:val="24"/>
        </w:rPr>
        <w:t>高分子的分子量及分子量分布</w:t>
      </w:r>
    </w:p>
    <w:p w14:paraId="42F5F997"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3.聚合物的力学状态及高分子材料的力学性质</w:t>
      </w:r>
    </w:p>
    <w:p w14:paraId="7174E4C1"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4.</w:t>
      </w:r>
      <w:r w:rsidRPr="00C843E6">
        <w:rPr>
          <w:rFonts w:ascii="宋体" w:eastAsia="宋体" w:hAnsi="宋体" w:cs="Times New Roman"/>
          <w:sz w:val="24"/>
          <w:szCs w:val="24"/>
        </w:rPr>
        <w:t>药物通过聚合物的扩散</w:t>
      </w:r>
    </w:p>
    <w:p w14:paraId="2C78A438"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5</w:t>
      </w:r>
      <w:r w:rsidRPr="00C843E6">
        <w:rPr>
          <w:rFonts w:ascii="宋体" w:eastAsia="宋体" w:hAnsi="宋体" w:cs="Times New Roman" w:hint="eastAsia"/>
          <w:sz w:val="24"/>
          <w:szCs w:val="24"/>
        </w:rPr>
        <w:t>.</w:t>
      </w:r>
      <w:r w:rsidRPr="00C843E6">
        <w:rPr>
          <w:rFonts w:ascii="宋体" w:eastAsia="宋体" w:hAnsi="宋体" w:cs="Times New Roman"/>
          <w:sz w:val="24"/>
          <w:szCs w:val="24"/>
        </w:rPr>
        <w:t>药用高分子凝胶</w:t>
      </w:r>
    </w:p>
    <w:p w14:paraId="2B40C599"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【重点】</w:t>
      </w:r>
    </w:p>
    <w:p w14:paraId="6EE93C78"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.高分子材料的力学性能</w:t>
      </w:r>
    </w:p>
    <w:p w14:paraId="04C1C926"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高分子的玻璃化转变和黏性流动。</w:t>
      </w:r>
    </w:p>
    <w:p w14:paraId="194E6C88"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【难点】</w:t>
      </w:r>
    </w:p>
    <w:p w14:paraId="70A659F2"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药物经过聚合物的扩散</w:t>
      </w:r>
    </w:p>
    <w:p w14:paraId="38D59020" w14:textId="77777777" w:rsidR="00C843E6" w:rsidRPr="00C843E6" w:rsidRDefault="00C843E6" w:rsidP="00C843E6">
      <w:pPr>
        <w:adjustRightInd w:val="0"/>
        <w:snapToGrid w:val="0"/>
        <w:spacing w:line="440" w:lineRule="exact"/>
        <w:ind w:firstLineChars="200" w:firstLine="482"/>
        <w:rPr>
          <w:rFonts w:ascii="宋体" w:eastAsia="宋体" w:hAnsi="宋体" w:cs="Times New Roman"/>
          <w:sz w:val="24"/>
          <w:szCs w:val="24"/>
        </w:rPr>
      </w:pPr>
      <w:r w:rsidRPr="00C843E6">
        <w:rPr>
          <w:rFonts w:ascii="宋体" w:eastAsia="宋体" w:hAnsi="宋体" w:cs="Times New Roman" w:hint="eastAsia"/>
          <w:b/>
          <w:bCs/>
          <w:sz w:val="24"/>
          <w:szCs w:val="24"/>
        </w:rPr>
        <w:t>【教学方法】</w:t>
      </w:r>
    </w:p>
    <w:p w14:paraId="7406F529"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1.通过与药剂学低分子溶液剂进行对比，阐明高分子溶液剂的特殊性；对比分析，明确高分子在使用上的特点；</w:t>
      </w:r>
    </w:p>
    <w:p w14:paraId="49F8286B"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2.通过案例分析，使学生</w:t>
      </w:r>
      <w:r w:rsidRPr="00C843E6">
        <w:rPr>
          <w:rFonts w:ascii="宋体" w:eastAsia="宋体" w:hAnsi="宋体" w:cs="Times New Roman"/>
          <w:sz w:val="24"/>
          <w:szCs w:val="24"/>
        </w:rPr>
        <w:t>掌握溶胀与溶解，聚合物溶解过程的热力学</w:t>
      </w:r>
      <w:r w:rsidRPr="00C843E6">
        <w:rPr>
          <w:rFonts w:ascii="宋体" w:eastAsia="宋体" w:hAnsi="宋体" w:cs="Times New Roman" w:hint="eastAsia"/>
          <w:sz w:val="24"/>
          <w:szCs w:val="24"/>
        </w:rPr>
        <w:t>的基本理论知识，并能做简单的溶解判断；</w:t>
      </w:r>
    </w:p>
    <w:p w14:paraId="50337AE5"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3.通过案例分析，使学生</w:t>
      </w:r>
      <w:r w:rsidRPr="00C843E6">
        <w:rPr>
          <w:rFonts w:ascii="宋体" w:eastAsia="宋体" w:hAnsi="宋体" w:cs="Times New Roman"/>
          <w:sz w:val="24"/>
          <w:szCs w:val="24"/>
        </w:rPr>
        <w:t>掌握</w:t>
      </w:r>
      <w:r w:rsidRPr="00C843E6">
        <w:rPr>
          <w:rFonts w:ascii="宋体" w:eastAsia="宋体" w:hAnsi="宋体" w:cs="Times New Roman" w:hint="eastAsia"/>
          <w:sz w:val="24"/>
          <w:szCs w:val="24"/>
        </w:rPr>
        <w:t>高分子的“3态”及各态的特点。如：</w:t>
      </w:r>
      <w:r w:rsidRPr="00C843E6">
        <w:rPr>
          <w:rFonts w:ascii="宋体" w:eastAsia="宋体" w:hAnsi="宋体" w:cs="Times New Roman"/>
          <w:sz w:val="24"/>
          <w:szCs w:val="24"/>
        </w:rPr>
        <w:t>玻璃化转变和</w:t>
      </w:r>
      <w:proofErr w:type="gramStart"/>
      <w:r w:rsidRPr="00C843E6">
        <w:rPr>
          <w:rFonts w:ascii="宋体" w:eastAsia="宋体" w:hAnsi="宋体" w:cs="Times New Roman"/>
          <w:sz w:val="24"/>
          <w:szCs w:val="24"/>
        </w:rPr>
        <w:t>黏</w:t>
      </w:r>
      <w:proofErr w:type="gramEnd"/>
      <w:r w:rsidRPr="00C843E6">
        <w:rPr>
          <w:rFonts w:ascii="宋体" w:eastAsia="宋体" w:hAnsi="宋体" w:cs="Times New Roman"/>
          <w:sz w:val="24"/>
          <w:szCs w:val="24"/>
        </w:rPr>
        <w:t>流态的特点</w:t>
      </w:r>
    </w:p>
    <w:p w14:paraId="61FE7DDA"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3.通过举例，进一步了解</w:t>
      </w:r>
      <w:r w:rsidRPr="00C843E6">
        <w:rPr>
          <w:rFonts w:ascii="宋体" w:eastAsia="宋体" w:hAnsi="宋体" w:cs="Times New Roman"/>
          <w:sz w:val="24"/>
          <w:szCs w:val="24"/>
        </w:rPr>
        <w:t>高分子材料的力学性能；</w:t>
      </w:r>
    </w:p>
    <w:p w14:paraId="7B2F0C27"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【复习思考】</w:t>
      </w:r>
    </w:p>
    <w:p w14:paraId="56F22CF4" w14:textId="77777777" w:rsidR="00C843E6" w:rsidRPr="00C843E6" w:rsidRDefault="00C843E6" w:rsidP="00C843E6">
      <w:pPr>
        <w:adjustRightInd w:val="0"/>
        <w:snapToGrid w:val="0"/>
        <w:spacing w:line="440" w:lineRule="exact"/>
        <w:ind w:firstLineChars="200" w:firstLine="480"/>
        <w:rPr>
          <w:rFonts w:ascii="宋体" w:eastAsia="宋体" w:hAnsi="宋体" w:cs="Times New Roman"/>
          <w:b/>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w:t>
      </w:r>
      <w:r w:rsidRPr="00C843E6">
        <w:rPr>
          <w:rFonts w:ascii="宋体" w:eastAsia="宋体" w:hAnsi="宋体" w:cs="Times New Roman" w:hint="eastAsia"/>
          <w:sz w:val="24"/>
          <w:szCs w:val="24"/>
        </w:rPr>
        <w:t>总结</w:t>
      </w:r>
      <w:r w:rsidRPr="00C843E6">
        <w:rPr>
          <w:rFonts w:ascii="Times New Roman" w:eastAsia="宋体" w:hAnsi="Times New Roman" w:cs="Times New Roman" w:hint="eastAsia"/>
          <w:sz w:val="24"/>
          <w:szCs w:val="24"/>
        </w:rPr>
        <w:t>高分子的“</w:t>
      </w:r>
      <w:r w:rsidRPr="00C843E6">
        <w:rPr>
          <w:rFonts w:ascii="Times New Roman" w:eastAsia="宋体" w:hAnsi="Times New Roman" w:cs="Times New Roman" w:hint="eastAsia"/>
          <w:sz w:val="24"/>
          <w:szCs w:val="24"/>
        </w:rPr>
        <w:t>3</w:t>
      </w:r>
      <w:r w:rsidRPr="00C843E6">
        <w:rPr>
          <w:rFonts w:ascii="Times New Roman" w:eastAsia="宋体" w:hAnsi="Times New Roman" w:cs="Times New Roman" w:hint="eastAsia"/>
          <w:sz w:val="24"/>
          <w:szCs w:val="24"/>
        </w:rPr>
        <w:t>态”及各态的特点</w:t>
      </w:r>
    </w:p>
    <w:p w14:paraId="23B35EFD"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w:t>
      </w:r>
      <w:r w:rsidRPr="00C843E6">
        <w:rPr>
          <w:rFonts w:ascii="宋体" w:eastAsia="宋体" w:hAnsi="宋体" w:cs="Times New Roman" w:hint="eastAsia"/>
          <w:sz w:val="24"/>
          <w:szCs w:val="24"/>
        </w:rPr>
        <w:t>总结</w:t>
      </w:r>
      <w:r w:rsidRPr="00C843E6">
        <w:rPr>
          <w:rFonts w:ascii="宋体" w:eastAsia="宋体" w:hAnsi="宋体" w:cs="Times New Roman"/>
          <w:sz w:val="24"/>
          <w:szCs w:val="24"/>
        </w:rPr>
        <w:t>聚合物的力学状态及高分子材料的力学性质</w:t>
      </w:r>
    </w:p>
    <w:p w14:paraId="334FDB4A"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w:t>
      </w:r>
      <w:r w:rsidRPr="00C843E6">
        <w:rPr>
          <w:rFonts w:ascii="宋体" w:eastAsia="宋体" w:hAnsi="宋体" w:cs="Times New Roman"/>
          <w:sz w:val="24"/>
          <w:szCs w:val="24"/>
        </w:rPr>
        <w:t>.</w:t>
      </w:r>
      <w:r w:rsidRPr="00C843E6">
        <w:rPr>
          <w:rFonts w:ascii="宋体" w:eastAsia="宋体" w:hAnsi="宋体" w:cs="Times New Roman" w:hint="eastAsia"/>
          <w:sz w:val="24"/>
          <w:szCs w:val="24"/>
        </w:rPr>
        <w:t>举例说明</w:t>
      </w:r>
      <w:r w:rsidRPr="00C843E6">
        <w:rPr>
          <w:rFonts w:ascii="宋体" w:eastAsia="宋体" w:hAnsi="宋体" w:cs="Times New Roman"/>
          <w:sz w:val="24"/>
          <w:szCs w:val="24"/>
        </w:rPr>
        <w:t>药用高分子凝胶</w:t>
      </w:r>
      <w:r w:rsidRPr="00C843E6">
        <w:rPr>
          <w:rFonts w:ascii="宋体" w:eastAsia="宋体" w:hAnsi="宋体" w:cs="Times New Roman" w:hint="eastAsia"/>
          <w:sz w:val="24"/>
          <w:szCs w:val="24"/>
        </w:rPr>
        <w:t>的形成与特点。</w:t>
      </w:r>
    </w:p>
    <w:p w14:paraId="199C7562" w14:textId="77777777" w:rsidR="00C843E6" w:rsidRPr="00C843E6" w:rsidRDefault="00C843E6" w:rsidP="00C843E6">
      <w:pPr>
        <w:spacing w:beforeLines="50" w:before="156" w:afterLines="50" w:after="156" w:line="440" w:lineRule="exact"/>
        <w:ind w:firstLineChars="200" w:firstLine="560"/>
        <w:jc w:val="center"/>
        <w:rPr>
          <w:rFonts w:ascii="黑体" w:eastAsia="黑体" w:hAnsi="黑体" w:cs="Times New Roman"/>
          <w:sz w:val="28"/>
          <w:szCs w:val="28"/>
        </w:rPr>
      </w:pPr>
      <w:r w:rsidRPr="00C843E6">
        <w:rPr>
          <w:rFonts w:ascii="黑体" w:eastAsia="黑体" w:hAnsi="黑体" w:cs="Times New Roman"/>
          <w:sz w:val="28"/>
          <w:szCs w:val="28"/>
        </w:rPr>
        <w:lastRenderedPageBreak/>
        <w:t>第四章 药用天然高分子材料</w:t>
      </w:r>
    </w:p>
    <w:p w14:paraId="224FFFBA"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【学习目标】</w:t>
      </w:r>
    </w:p>
    <w:p w14:paraId="72125537"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w:t>
      </w:r>
      <w:r w:rsidRPr="00C843E6">
        <w:rPr>
          <w:rFonts w:ascii="宋体" w:eastAsia="宋体" w:hAnsi="宋体" w:cs="Times New Roman" w:hint="eastAsia"/>
          <w:sz w:val="24"/>
          <w:szCs w:val="24"/>
        </w:rPr>
        <w:t>认知类目标：</w:t>
      </w:r>
      <w:r w:rsidRPr="00C843E6">
        <w:rPr>
          <w:rFonts w:ascii="Times New Roman" w:eastAsia="宋体" w:hAnsi="Times New Roman" w:cs="Times New Roman"/>
          <w:kern w:val="0"/>
          <w:sz w:val="24"/>
          <w:szCs w:val="24"/>
        </w:rPr>
        <w:t>了解</w:t>
      </w:r>
      <w:r w:rsidRPr="00C843E6">
        <w:rPr>
          <w:rFonts w:ascii="Times New Roman" w:eastAsia="宋体" w:hAnsi="Times New Roman" w:cs="Times New Roman"/>
          <w:sz w:val="24"/>
          <w:szCs w:val="24"/>
        </w:rPr>
        <w:t>其他天然药用高分子材料的结构、性质、来源、制法和应用。</w:t>
      </w:r>
    </w:p>
    <w:p w14:paraId="445C063B" w14:textId="77777777" w:rsidR="00C843E6" w:rsidRPr="00C843E6" w:rsidRDefault="00C843E6" w:rsidP="00C843E6">
      <w:pPr>
        <w:spacing w:line="440" w:lineRule="exact"/>
        <w:ind w:firstLineChars="200" w:firstLine="480"/>
        <w:rPr>
          <w:rFonts w:ascii="Times New Roman" w:eastAsia="宋体" w:hAnsi="Times New Roman"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w:t>
      </w:r>
      <w:r w:rsidRPr="00C843E6">
        <w:rPr>
          <w:rFonts w:ascii="宋体" w:eastAsia="宋体" w:hAnsi="宋体" w:cs="Times New Roman" w:hint="eastAsia"/>
          <w:sz w:val="24"/>
          <w:szCs w:val="24"/>
        </w:rPr>
        <w:t>过程与方法类目标：</w:t>
      </w:r>
      <w:r w:rsidRPr="00C843E6">
        <w:rPr>
          <w:rFonts w:ascii="Times New Roman" w:eastAsia="宋体" w:hAnsi="Times New Roman" w:cs="Times New Roman"/>
          <w:kern w:val="0"/>
          <w:sz w:val="24"/>
          <w:szCs w:val="24"/>
        </w:rPr>
        <w:t>掌握</w:t>
      </w:r>
      <w:r w:rsidRPr="00C843E6">
        <w:rPr>
          <w:rFonts w:ascii="Times New Roman" w:eastAsia="宋体" w:hAnsi="Times New Roman" w:cs="Times New Roman"/>
          <w:sz w:val="24"/>
          <w:szCs w:val="24"/>
        </w:rPr>
        <w:t>淀粉及其衍生物的结构与制法、性质、应用。</w:t>
      </w:r>
      <w:r w:rsidRPr="00C843E6">
        <w:rPr>
          <w:rFonts w:ascii="Times New Roman" w:eastAsia="宋体" w:hAnsi="Times New Roman" w:cs="Times New Roman"/>
          <w:kern w:val="0"/>
          <w:sz w:val="24"/>
          <w:szCs w:val="24"/>
        </w:rPr>
        <w:t>熟悉</w:t>
      </w:r>
      <w:r w:rsidRPr="00C843E6">
        <w:rPr>
          <w:rFonts w:ascii="Times New Roman" w:eastAsia="宋体" w:hAnsi="Times New Roman" w:cs="Times New Roman"/>
          <w:sz w:val="24"/>
          <w:szCs w:val="24"/>
        </w:rPr>
        <w:t>纤维素衍生物及药用纤维素衍生物的性质和应用，</w:t>
      </w:r>
      <w:r w:rsidRPr="00C843E6">
        <w:rPr>
          <w:rFonts w:ascii="Times New Roman" w:eastAsia="宋体" w:hAnsi="Verdana" w:cs="Times New Roman"/>
          <w:sz w:val="24"/>
          <w:szCs w:val="24"/>
        </w:rPr>
        <w:t>玻璃化转变温度。</w:t>
      </w:r>
    </w:p>
    <w:p w14:paraId="1967EAF7"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【学习内容】</w:t>
      </w:r>
    </w:p>
    <w:p w14:paraId="42ADBDED"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.淀粉及其衍生物</w:t>
      </w:r>
    </w:p>
    <w:p w14:paraId="1E5C0FC8"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2</w:t>
      </w:r>
      <w:r w:rsidRPr="00C843E6">
        <w:rPr>
          <w:rFonts w:ascii="宋体" w:eastAsia="宋体" w:hAnsi="宋体" w:cs="Times New Roman" w:hint="eastAsia"/>
          <w:sz w:val="24"/>
          <w:szCs w:val="24"/>
        </w:rPr>
        <w:t>.</w:t>
      </w:r>
      <w:r w:rsidRPr="00C843E6">
        <w:rPr>
          <w:rFonts w:ascii="宋体" w:eastAsia="宋体" w:hAnsi="宋体" w:cs="Times New Roman"/>
          <w:sz w:val="24"/>
          <w:szCs w:val="24"/>
        </w:rPr>
        <w:t>纤维素</w:t>
      </w:r>
    </w:p>
    <w:p w14:paraId="4CD62799"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w:t>
      </w:r>
      <w:r w:rsidRPr="00C843E6">
        <w:rPr>
          <w:rFonts w:ascii="宋体" w:eastAsia="宋体" w:hAnsi="宋体" w:cs="Times New Roman"/>
          <w:sz w:val="24"/>
          <w:szCs w:val="24"/>
        </w:rPr>
        <w:t>纤维素衍生物概述</w:t>
      </w:r>
    </w:p>
    <w:p w14:paraId="4EB9FE69"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4.药用纤维素衍生物各论</w:t>
      </w:r>
    </w:p>
    <w:p w14:paraId="5061D637"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5</w:t>
      </w:r>
      <w:r w:rsidRPr="00C843E6">
        <w:rPr>
          <w:rFonts w:ascii="宋体" w:eastAsia="宋体" w:hAnsi="宋体" w:cs="Times New Roman" w:hint="eastAsia"/>
          <w:sz w:val="24"/>
          <w:szCs w:val="24"/>
        </w:rPr>
        <w:t>.</w:t>
      </w:r>
      <w:r w:rsidRPr="00C843E6">
        <w:rPr>
          <w:rFonts w:ascii="宋体" w:eastAsia="宋体" w:hAnsi="宋体" w:cs="Times New Roman"/>
          <w:sz w:val="24"/>
          <w:szCs w:val="24"/>
        </w:rPr>
        <w:t>其他天然药用高分子材料</w:t>
      </w:r>
    </w:p>
    <w:p w14:paraId="5463CE2D"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【重点】</w:t>
      </w:r>
    </w:p>
    <w:p w14:paraId="13E97828"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Times New Roman" w:eastAsia="宋体" w:hAnsi="Times New Roman" w:cs="Times New Roman"/>
          <w:sz w:val="24"/>
          <w:szCs w:val="24"/>
        </w:rPr>
        <w:t>淀粉及其衍生物的结构与制法、性质、应用；</w:t>
      </w:r>
    </w:p>
    <w:p w14:paraId="7EB347E8"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【难点】</w:t>
      </w:r>
    </w:p>
    <w:p w14:paraId="3EDA8405" w14:textId="77777777" w:rsidR="00C843E6" w:rsidRPr="00C843E6" w:rsidRDefault="00C843E6" w:rsidP="00C843E6">
      <w:pPr>
        <w:adjustRightInd w:val="0"/>
        <w:snapToGrid w:val="0"/>
        <w:spacing w:line="440" w:lineRule="exact"/>
        <w:ind w:firstLineChars="200" w:firstLine="480"/>
        <w:rPr>
          <w:rFonts w:ascii="Times New Roman" w:eastAsia="宋体" w:hAnsi="Times New Roman" w:cs="Times New Roman"/>
          <w:kern w:val="0"/>
          <w:sz w:val="24"/>
          <w:szCs w:val="24"/>
        </w:rPr>
      </w:pPr>
      <w:r w:rsidRPr="00C843E6">
        <w:rPr>
          <w:rFonts w:ascii="Times New Roman" w:eastAsia="宋体" w:hAnsi="Times New Roman" w:cs="Times New Roman"/>
          <w:sz w:val="24"/>
          <w:szCs w:val="24"/>
        </w:rPr>
        <w:t>纤维素及其衍生物的结构、性质、来源、制备和应用</w:t>
      </w:r>
    </w:p>
    <w:p w14:paraId="60078DA7" w14:textId="77777777" w:rsidR="00C843E6" w:rsidRPr="00C843E6" w:rsidRDefault="00C843E6" w:rsidP="00C843E6">
      <w:pPr>
        <w:adjustRightInd w:val="0"/>
        <w:snapToGrid w:val="0"/>
        <w:spacing w:line="440" w:lineRule="exact"/>
        <w:ind w:firstLineChars="200" w:firstLine="482"/>
        <w:rPr>
          <w:rFonts w:ascii="宋体" w:eastAsia="宋体" w:hAnsi="宋体" w:cs="Times New Roman"/>
          <w:sz w:val="24"/>
          <w:szCs w:val="24"/>
        </w:rPr>
      </w:pPr>
      <w:r w:rsidRPr="00C843E6">
        <w:rPr>
          <w:rFonts w:ascii="宋体" w:eastAsia="宋体" w:hAnsi="宋体" w:cs="Times New Roman" w:hint="eastAsia"/>
          <w:b/>
          <w:bCs/>
          <w:sz w:val="24"/>
          <w:szCs w:val="24"/>
        </w:rPr>
        <w:t>【教学方法】</w:t>
      </w:r>
    </w:p>
    <w:p w14:paraId="1CD237B5"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1.通过对以淀粉和纤维素的辅料进行来源、制法、分型、改性的研究。阐明天然药用高分子材料最常见的两大类辅料。课程与教学基本原理，丰富学生课程与教学的基本知识结构，培养学生的职业规范；</w:t>
      </w:r>
    </w:p>
    <w:p w14:paraId="47AFCDC8"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2.通过案例分析，强调不同类型的淀粉在使用上的差异，理论与实践相结合，促进学生知识整合，培养学生对不同辅料使用特点的思考能力；</w:t>
      </w:r>
    </w:p>
    <w:p w14:paraId="3E763FE2"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3.通过对</w:t>
      </w:r>
      <w:r w:rsidRPr="00C843E6">
        <w:rPr>
          <w:rFonts w:ascii="宋体" w:eastAsia="宋体" w:hAnsi="宋体" w:cs="Times New Roman"/>
          <w:sz w:val="24"/>
          <w:szCs w:val="24"/>
        </w:rPr>
        <w:t>药用纤维素衍生物各论</w:t>
      </w:r>
      <w:r w:rsidRPr="00C843E6">
        <w:rPr>
          <w:rFonts w:ascii="宋体" w:eastAsia="宋体" w:hAnsi="宋体" w:cs="Times New Roman" w:hint="eastAsia"/>
          <w:sz w:val="24"/>
          <w:szCs w:val="24"/>
        </w:rPr>
        <w:t>的学习，树立天然药用高分子材料改性的意识，通过对各个衍生物性能和使用的了解，发展学生</w:t>
      </w:r>
      <w:proofErr w:type="gramStart"/>
      <w:r w:rsidRPr="00C843E6">
        <w:rPr>
          <w:rFonts w:ascii="宋体" w:eastAsia="宋体" w:hAnsi="宋体" w:cs="Times New Roman" w:hint="eastAsia"/>
          <w:sz w:val="24"/>
          <w:szCs w:val="24"/>
        </w:rPr>
        <w:t>全面把</w:t>
      </w:r>
      <w:proofErr w:type="gramEnd"/>
      <w:r w:rsidRPr="00C843E6">
        <w:rPr>
          <w:rFonts w:ascii="宋体" w:eastAsia="宋体" w:hAnsi="宋体" w:cs="Times New Roman" w:hint="eastAsia"/>
          <w:sz w:val="24"/>
          <w:szCs w:val="24"/>
        </w:rPr>
        <w:t>控辅料应用的能力；</w:t>
      </w:r>
    </w:p>
    <w:p w14:paraId="597D8CDA"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bCs/>
          <w:sz w:val="24"/>
          <w:szCs w:val="24"/>
        </w:rPr>
      </w:pPr>
      <w:r w:rsidRPr="00C843E6">
        <w:rPr>
          <w:rFonts w:ascii="宋体" w:eastAsia="宋体" w:hAnsi="宋体" w:cs="Times New Roman" w:hint="eastAsia"/>
          <w:b/>
          <w:bCs/>
          <w:sz w:val="24"/>
          <w:szCs w:val="24"/>
        </w:rPr>
        <w:t>【复习思考】</w:t>
      </w:r>
    </w:p>
    <w:p w14:paraId="40917989"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w:t>
      </w:r>
      <w:r w:rsidRPr="00C843E6">
        <w:rPr>
          <w:rFonts w:ascii="宋体" w:eastAsia="宋体" w:hAnsi="宋体" w:cs="Times New Roman" w:hint="eastAsia"/>
          <w:sz w:val="24"/>
          <w:szCs w:val="24"/>
        </w:rPr>
        <w:t>举例说明</w:t>
      </w:r>
      <w:r w:rsidRPr="00C843E6">
        <w:rPr>
          <w:rFonts w:ascii="宋体" w:eastAsia="宋体" w:hAnsi="宋体" w:cs="Times New Roman"/>
          <w:sz w:val="24"/>
          <w:szCs w:val="24"/>
        </w:rPr>
        <w:t>药用纤维素衍生物</w:t>
      </w:r>
      <w:r w:rsidRPr="00C843E6">
        <w:rPr>
          <w:rFonts w:ascii="宋体" w:eastAsia="宋体" w:hAnsi="宋体" w:cs="Times New Roman" w:hint="eastAsia"/>
          <w:sz w:val="24"/>
          <w:szCs w:val="24"/>
        </w:rPr>
        <w:t>的应用</w:t>
      </w:r>
    </w:p>
    <w:p w14:paraId="27F05DA7"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w:t>
      </w:r>
      <w:r w:rsidRPr="00C843E6">
        <w:rPr>
          <w:rFonts w:ascii="宋体" w:eastAsia="宋体" w:hAnsi="宋体" w:cs="Times New Roman" w:hint="eastAsia"/>
          <w:sz w:val="24"/>
          <w:szCs w:val="24"/>
        </w:rPr>
        <w:t>举例说明两种药用型号的淀粉性能上的差异，以及使用上的区别。</w:t>
      </w:r>
    </w:p>
    <w:p w14:paraId="4B45A430"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w:t>
      </w:r>
      <w:r w:rsidRPr="00C843E6">
        <w:rPr>
          <w:rFonts w:ascii="宋体" w:eastAsia="宋体" w:hAnsi="宋体" w:cs="Times New Roman"/>
          <w:sz w:val="24"/>
          <w:szCs w:val="24"/>
        </w:rPr>
        <w:t>.</w:t>
      </w:r>
      <w:r w:rsidRPr="00C843E6">
        <w:rPr>
          <w:rFonts w:ascii="宋体" w:eastAsia="宋体" w:hAnsi="宋体" w:cs="Times New Roman" w:hint="eastAsia"/>
          <w:sz w:val="24"/>
          <w:szCs w:val="24"/>
        </w:rPr>
        <w:t>举例说明</w:t>
      </w:r>
      <w:r w:rsidRPr="00C843E6">
        <w:rPr>
          <w:rFonts w:ascii="宋体" w:eastAsia="宋体" w:hAnsi="宋体" w:cs="Times New Roman"/>
          <w:sz w:val="24"/>
          <w:szCs w:val="24"/>
        </w:rPr>
        <w:t>其他天然药用高分子材料</w:t>
      </w:r>
      <w:r w:rsidRPr="00C843E6">
        <w:rPr>
          <w:rFonts w:ascii="宋体" w:eastAsia="宋体" w:hAnsi="宋体" w:cs="Times New Roman" w:hint="eastAsia"/>
          <w:sz w:val="24"/>
          <w:szCs w:val="24"/>
        </w:rPr>
        <w:t>有哪些？</w:t>
      </w:r>
    </w:p>
    <w:p w14:paraId="49B89B15" w14:textId="77777777" w:rsidR="00C843E6" w:rsidRPr="00C843E6" w:rsidRDefault="00C843E6" w:rsidP="00C843E6">
      <w:pPr>
        <w:spacing w:beforeLines="50" w:before="156" w:afterLines="50" w:after="156" w:line="440" w:lineRule="exact"/>
        <w:ind w:firstLineChars="200" w:firstLine="560"/>
        <w:jc w:val="center"/>
        <w:rPr>
          <w:rFonts w:ascii="黑体" w:eastAsia="黑体" w:hAnsi="黑体" w:cs="Times New Roman"/>
          <w:sz w:val="28"/>
          <w:szCs w:val="28"/>
        </w:rPr>
      </w:pPr>
      <w:r w:rsidRPr="00C843E6">
        <w:rPr>
          <w:rFonts w:ascii="黑体" w:eastAsia="黑体" w:hAnsi="黑体" w:cs="Times New Roman"/>
          <w:sz w:val="28"/>
          <w:szCs w:val="28"/>
        </w:rPr>
        <w:t>第五章 药用合成高分子材料</w:t>
      </w:r>
    </w:p>
    <w:p w14:paraId="4A223FB5"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【学习目标】</w:t>
      </w:r>
    </w:p>
    <w:p w14:paraId="1EF2DCBF"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w:t>
      </w:r>
      <w:r w:rsidRPr="00C843E6">
        <w:rPr>
          <w:rFonts w:ascii="宋体" w:eastAsia="宋体" w:hAnsi="宋体" w:cs="Times New Roman" w:hint="eastAsia"/>
          <w:sz w:val="24"/>
          <w:szCs w:val="24"/>
        </w:rPr>
        <w:t>认知类目标：了解</w:t>
      </w:r>
      <w:r w:rsidRPr="00C843E6">
        <w:rPr>
          <w:rFonts w:ascii="宋体" w:eastAsia="宋体" w:hAnsi="宋体" w:cs="Times New Roman"/>
          <w:sz w:val="24"/>
          <w:szCs w:val="24"/>
        </w:rPr>
        <w:t>本章各类均聚物与共聚物高分子物质的化学结构</w:t>
      </w:r>
    </w:p>
    <w:p w14:paraId="660B44A1"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lastRenderedPageBreak/>
        <w:t>2</w:t>
      </w:r>
      <w:r w:rsidRPr="00C843E6">
        <w:rPr>
          <w:rFonts w:ascii="宋体" w:eastAsia="宋体" w:hAnsi="宋体" w:cs="Times New Roman"/>
          <w:sz w:val="24"/>
          <w:szCs w:val="24"/>
        </w:rPr>
        <w:t>.</w:t>
      </w:r>
      <w:r w:rsidRPr="00C843E6">
        <w:rPr>
          <w:rFonts w:ascii="宋体" w:eastAsia="宋体" w:hAnsi="宋体" w:cs="Times New Roman" w:hint="eastAsia"/>
          <w:sz w:val="24"/>
          <w:szCs w:val="24"/>
        </w:rPr>
        <w:t>过程与方法类目标：</w:t>
      </w:r>
      <w:r w:rsidRPr="00C843E6">
        <w:rPr>
          <w:rFonts w:ascii="宋体" w:eastAsia="宋体" w:hAnsi="宋体" w:cs="Times New Roman"/>
          <w:sz w:val="24"/>
          <w:szCs w:val="24"/>
        </w:rPr>
        <w:t>掌握本章各类均聚物与共聚物高分子物质的制备、性质及应用。</w:t>
      </w:r>
    </w:p>
    <w:p w14:paraId="5954CBFF"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【学习内容】</w:t>
      </w:r>
    </w:p>
    <w:p w14:paraId="2522EAFA"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丙烯酸类均聚物和共聚物</w:t>
      </w:r>
    </w:p>
    <w:p w14:paraId="479D3D88"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proofErr w:type="gramStart"/>
      <w:r w:rsidRPr="00C843E6">
        <w:rPr>
          <w:rFonts w:ascii="宋体" w:eastAsia="宋体" w:hAnsi="宋体" w:cs="Times New Roman"/>
          <w:sz w:val="24"/>
          <w:szCs w:val="24"/>
        </w:rPr>
        <w:t>乙烯基类均聚物</w:t>
      </w:r>
      <w:proofErr w:type="gramEnd"/>
      <w:r w:rsidRPr="00C843E6">
        <w:rPr>
          <w:rFonts w:ascii="宋体" w:eastAsia="宋体" w:hAnsi="宋体" w:cs="Times New Roman"/>
          <w:sz w:val="24"/>
          <w:szCs w:val="24"/>
        </w:rPr>
        <w:t>和共聚物</w:t>
      </w:r>
    </w:p>
    <w:p w14:paraId="764E5389"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w:t>
      </w:r>
      <w:r w:rsidRPr="00C843E6">
        <w:rPr>
          <w:rFonts w:ascii="宋体" w:eastAsia="宋体" w:hAnsi="宋体" w:cs="Times New Roman"/>
          <w:sz w:val="24"/>
          <w:szCs w:val="24"/>
        </w:rPr>
        <w:t>环氧乙烷类均聚物和共聚物</w:t>
      </w:r>
    </w:p>
    <w:p w14:paraId="35E79366"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4</w:t>
      </w:r>
      <w:r w:rsidRPr="00C843E6">
        <w:rPr>
          <w:rFonts w:ascii="宋体" w:eastAsia="宋体" w:hAnsi="宋体" w:cs="Times New Roman" w:hint="eastAsia"/>
          <w:sz w:val="24"/>
          <w:szCs w:val="24"/>
        </w:rPr>
        <w:t>.</w:t>
      </w:r>
      <w:r w:rsidRPr="00C843E6">
        <w:rPr>
          <w:rFonts w:ascii="宋体" w:eastAsia="宋体" w:hAnsi="宋体" w:cs="Times New Roman"/>
          <w:sz w:val="24"/>
          <w:szCs w:val="24"/>
        </w:rPr>
        <w:t>其他合成药用高分子材料及其制品</w:t>
      </w:r>
    </w:p>
    <w:p w14:paraId="100E87CD"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【重点】</w:t>
      </w:r>
    </w:p>
    <w:p w14:paraId="187C6B7D"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各类高分子材料的性质及其应用。</w:t>
      </w:r>
    </w:p>
    <w:p w14:paraId="78344DBC"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【难点】</w:t>
      </w:r>
    </w:p>
    <w:p w14:paraId="09970F66"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丙烯酸类均聚物的性质及其应用 。</w:t>
      </w:r>
    </w:p>
    <w:p w14:paraId="03367754" w14:textId="77777777" w:rsidR="00C843E6" w:rsidRPr="00C843E6" w:rsidRDefault="00C843E6" w:rsidP="00C843E6">
      <w:pPr>
        <w:adjustRightInd w:val="0"/>
        <w:snapToGrid w:val="0"/>
        <w:spacing w:line="440" w:lineRule="exact"/>
        <w:ind w:firstLineChars="200" w:firstLine="482"/>
        <w:rPr>
          <w:rFonts w:ascii="宋体" w:eastAsia="宋体" w:hAnsi="宋体" w:cs="Times New Roman"/>
          <w:sz w:val="24"/>
          <w:szCs w:val="24"/>
        </w:rPr>
      </w:pPr>
      <w:r w:rsidRPr="00C843E6">
        <w:rPr>
          <w:rFonts w:ascii="宋体" w:eastAsia="宋体" w:hAnsi="宋体" w:cs="Times New Roman" w:hint="eastAsia"/>
          <w:b/>
          <w:bCs/>
          <w:sz w:val="24"/>
          <w:szCs w:val="24"/>
        </w:rPr>
        <w:t>【教学方法】</w:t>
      </w:r>
    </w:p>
    <w:p w14:paraId="5B8C78A0"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1.通过多媒体课件和传统教学相结合，阐明</w:t>
      </w:r>
      <w:r w:rsidRPr="00C843E6">
        <w:rPr>
          <w:rFonts w:ascii="宋体" w:eastAsia="宋体" w:hAnsi="宋体" w:cs="Times New Roman"/>
          <w:sz w:val="24"/>
          <w:szCs w:val="24"/>
        </w:rPr>
        <w:t>丙烯酸</w:t>
      </w:r>
      <w:r w:rsidRPr="00C843E6">
        <w:rPr>
          <w:rFonts w:ascii="宋体" w:eastAsia="宋体" w:hAnsi="宋体" w:cs="Times New Roman" w:hint="eastAsia"/>
          <w:sz w:val="24"/>
          <w:szCs w:val="24"/>
        </w:rPr>
        <w:t>类、</w:t>
      </w:r>
      <w:r w:rsidRPr="00C843E6">
        <w:rPr>
          <w:rFonts w:ascii="宋体" w:eastAsia="宋体" w:hAnsi="宋体" w:cs="Times New Roman"/>
          <w:sz w:val="24"/>
          <w:szCs w:val="24"/>
        </w:rPr>
        <w:t>乙烯基类</w:t>
      </w:r>
      <w:r w:rsidRPr="00C843E6">
        <w:rPr>
          <w:rFonts w:ascii="宋体" w:eastAsia="宋体" w:hAnsi="宋体" w:cs="Times New Roman" w:hint="eastAsia"/>
          <w:sz w:val="24"/>
          <w:szCs w:val="24"/>
        </w:rPr>
        <w:t>、</w:t>
      </w:r>
      <w:r w:rsidRPr="00C843E6">
        <w:rPr>
          <w:rFonts w:ascii="宋体" w:eastAsia="宋体" w:hAnsi="宋体" w:cs="Times New Roman"/>
          <w:sz w:val="24"/>
          <w:szCs w:val="24"/>
        </w:rPr>
        <w:t>环氧乙烷类均聚物与共聚物高分子物质的化学结构</w:t>
      </w:r>
      <w:r w:rsidRPr="00C843E6">
        <w:rPr>
          <w:rFonts w:ascii="宋体" w:eastAsia="宋体" w:hAnsi="宋体" w:cs="Times New Roman" w:hint="eastAsia"/>
          <w:sz w:val="24"/>
          <w:szCs w:val="24"/>
        </w:rPr>
        <w:t>。</w:t>
      </w:r>
    </w:p>
    <w:p w14:paraId="36FC8B4A"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2.通过案例分析，阐明</w:t>
      </w:r>
      <w:r w:rsidRPr="00C843E6">
        <w:rPr>
          <w:rFonts w:ascii="宋体" w:eastAsia="宋体" w:hAnsi="宋体" w:cs="Times New Roman"/>
          <w:sz w:val="24"/>
          <w:szCs w:val="24"/>
        </w:rPr>
        <w:t>其他合成药用高分子材料及其制品</w:t>
      </w:r>
      <w:r w:rsidRPr="00C843E6">
        <w:rPr>
          <w:rFonts w:ascii="宋体" w:eastAsia="宋体" w:hAnsi="宋体" w:cs="Times New Roman" w:hint="eastAsia"/>
          <w:sz w:val="24"/>
          <w:szCs w:val="24"/>
        </w:rPr>
        <w:t>的特点及分类；</w:t>
      </w:r>
    </w:p>
    <w:p w14:paraId="1178555A"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bCs/>
          <w:sz w:val="24"/>
          <w:szCs w:val="24"/>
        </w:rPr>
      </w:pPr>
      <w:r w:rsidRPr="00C843E6">
        <w:rPr>
          <w:rFonts w:ascii="宋体" w:eastAsia="宋体" w:hAnsi="宋体" w:cs="Times New Roman" w:hint="eastAsia"/>
          <w:b/>
          <w:bCs/>
          <w:sz w:val="24"/>
          <w:szCs w:val="24"/>
        </w:rPr>
        <w:t>【复习思考】</w:t>
      </w:r>
    </w:p>
    <w:p w14:paraId="506F0B67"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w:t>
      </w:r>
      <w:r w:rsidRPr="00C843E6">
        <w:rPr>
          <w:rFonts w:ascii="宋体" w:eastAsia="宋体" w:hAnsi="宋体" w:cs="Times New Roman" w:hint="eastAsia"/>
          <w:sz w:val="24"/>
          <w:szCs w:val="24"/>
        </w:rPr>
        <w:t>举例说明</w:t>
      </w:r>
      <w:r w:rsidRPr="00C843E6">
        <w:rPr>
          <w:rFonts w:ascii="宋体" w:eastAsia="宋体" w:hAnsi="宋体" w:cs="Times New Roman"/>
          <w:sz w:val="24"/>
          <w:szCs w:val="24"/>
        </w:rPr>
        <w:t>丙烯酸类均聚物和共聚物</w:t>
      </w:r>
      <w:r w:rsidRPr="00C843E6">
        <w:rPr>
          <w:rFonts w:ascii="宋体" w:eastAsia="宋体" w:hAnsi="宋体" w:cs="Times New Roman" w:hint="eastAsia"/>
          <w:sz w:val="24"/>
          <w:szCs w:val="24"/>
        </w:rPr>
        <w:t>的结构及特点</w:t>
      </w:r>
    </w:p>
    <w:p w14:paraId="4F15409D"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w:t>
      </w:r>
      <w:r w:rsidRPr="00C843E6">
        <w:rPr>
          <w:rFonts w:ascii="宋体" w:eastAsia="宋体" w:hAnsi="宋体" w:cs="Times New Roman" w:hint="eastAsia"/>
          <w:sz w:val="24"/>
          <w:szCs w:val="24"/>
        </w:rPr>
        <w:t>举例说明</w:t>
      </w:r>
      <w:proofErr w:type="gramStart"/>
      <w:r w:rsidRPr="00C843E6">
        <w:rPr>
          <w:rFonts w:ascii="宋体" w:eastAsia="宋体" w:hAnsi="宋体" w:cs="Times New Roman"/>
          <w:sz w:val="24"/>
          <w:szCs w:val="24"/>
        </w:rPr>
        <w:t>乙烯基类均聚物</w:t>
      </w:r>
      <w:proofErr w:type="gramEnd"/>
      <w:r w:rsidRPr="00C843E6">
        <w:rPr>
          <w:rFonts w:ascii="宋体" w:eastAsia="宋体" w:hAnsi="宋体" w:cs="Times New Roman"/>
          <w:sz w:val="24"/>
          <w:szCs w:val="24"/>
        </w:rPr>
        <w:t>和共聚物</w:t>
      </w:r>
      <w:r w:rsidRPr="00C843E6">
        <w:rPr>
          <w:rFonts w:ascii="宋体" w:eastAsia="宋体" w:hAnsi="宋体" w:cs="Times New Roman" w:hint="eastAsia"/>
          <w:sz w:val="24"/>
          <w:szCs w:val="24"/>
        </w:rPr>
        <w:t>的结构及特点</w:t>
      </w:r>
    </w:p>
    <w:p w14:paraId="7D5CAAD6"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w:t>
      </w:r>
      <w:r w:rsidRPr="00C843E6">
        <w:rPr>
          <w:rFonts w:ascii="宋体" w:eastAsia="宋体" w:hAnsi="宋体" w:cs="Times New Roman"/>
          <w:sz w:val="24"/>
          <w:szCs w:val="24"/>
        </w:rPr>
        <w:t>.</w:t>
      </w:r>
      <w:r w:rsidRPr="00C843E6">
        <w:rPr>
          <w:rFonts w:ascii="宋体" w:eastAsia="宋体" w:hAnsi="宋体" w:cs="Times New Roman" w:hint="eastAsia"/>
          <w:sz w:val="24"/>
          <w:szCs w:val="24"/>
        </w:rPr>
        <w:t>举例说明</w:t>
      </w:r>
      <w:r w:rsidRPr="00C843E6">
        <w:rPr>
          <w:rFonts w:ascii="宋体" w:eastAsia="宋体" w:hAnsi="宋体" w:cs="Times New Roman"/>
          <w:sz w:val="24"/>
          <w:szCs w:val="24"/>
        </w:rPr>
        <w:t>环氧乙烷均聚物和共聚物</w:t>
      </w:r>
      <w:r w:rsidRPr="00C843E6">
        <w:rPr>
          <w:rFonts w:ascii="宋体" w:eastAsia="宋体" w:hAnsi="宋体" w:cs="Times New Roman" w:hint="eastAsia"/>
          <w:sz w:val="24"/>
          <w:szCs w:val="24"/>
        </w:rPr>
        <w:t>的结构及特点</w:t>
      </w:r>
    </w:p>
    <w:p w14:paraId="6712D1D8" w14:textId="77777777" w:rsidR="00C843E6" w:rsidRPr="00C843E6" w:rsidRDefault="00C843E6" w:rsidP="00C843E6">
      <w:pPr>
        <w:spacing w:beforeLines="50" w:before="156" w:afterLines="50" w:after="156" w:line="440" w:lineRule="exact"/>
        <w:ind w:firstLineChars="200" w:firstLine="560"/>
        <w:jc w:val="center"/>
        <w:rPr>
          <w:rFonts w:ascii="黑体" w:eastAsia="黑体" w:hAnsi="黑体" w:cs="Times New Roman"/>
          <w:sz w:val="28"/>
          <w:szCs w:val="28"/>
        </w:rPr>
      </w:pPr>
      <w:r w:rsidRPr="00C843E6">
        <w:rPr>
          <w:rFonts w:ascii="黑体" w:eastAsia="黑体" w:hAnsi="黑体" w:cs="Times New Roman"/>
          <w:sz w:val="28"/>
          <w:szCs w:val="28"/>
        </w:rPr>
        <w:t>第六章 其他药用高分子材料、预制品</w:t>
      </w:r>
    </w:p>
    <w:p w14:paraId="58094048"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【学习目标】</w:t>
      </w:r>
    </w:p>
    <w:p w14:paraId="75F3EAD0"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w:t>
      </w:r>
      <w:r w:rsidRPr="00C843E6">
        <w:rPr>
          <w:rFonts w:ascii="宋体" w:eastAsia="宋体" w:hAnsi="宋体" w:cs="Times New Roman" w:hint="eastAsia"/>
          <w:sz w:val="24"/>
          <w:szCs w:val="24"/>
        </w:rPr>
        <w:t>认知类目标：</w:t>
      </w:r>
      <w:r w:rsidRPr="00C843E6">
        <w:rPr>
          <w:rFonts w:ascii="宋体" w:eastAsia="宋体" w:hAnsi="宋体" w:cs="Times New Roman"/>
          <w:sz w:val="24"/>
          <w:szCs w:val="24"/>
        </w:rPr>
        <w:t>了解聚酸酐、聚磷</w:t>
      </w:r>
      <w:proofErr w:type="gramStart"/>
      <w:r w:rsidRPr="00C843E6">
        <w:rPr>
          <w:rFonts w:ascii="宋体" w:eastAsia="宋体" w:hAnsi="宋体" w:cs="Times New Roman"/>
          <w:sz w:val="24"/>
          <w:szCs w:val="24"/>
        </w:rPr>
        <w:t>腈</w:t>
      </w:r>
      <w:proofErr w:type="gramEnd"/>
      <w:r w:rsidRPr="00C843E6">
        <w:rPr>
          <w:rFonts w:ascii="宋体" w:eastAsia="宋体" w:hAnsi="宋体" w:cs="Times New Roman"/>
          <w:sz w:val="24"/>
          <w:szCs w:val="24"/>
        </w:rPr>
        <w:t>、二甲基硅油、压敏胶的应用。</w:t>
      </w:r>
    </w:p>
    <w:p w14:paraId="2984138B"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w:t>
      </w:r>
      <w:r w:rsidRPr="00C843E6">
        <w:rPr>
          <w:rFonts w:ascii="宋体" w:eastAsia="宋体" w:hAnsi="宋体" w:cs="Times New Roman" w:hint="eastAsia"/>
          <w:sz w:val="24"/>
          <w:szCs w:val="24"/>
        </w:rPr>
        <w:t>过程与方法类目标：</w:t>
      </w:r>
      <w:r w:rsidRPr="00C843E6">
        <w:rPr>
          <w:rFonts w:ascii="宋体" w:eastAsia="宋体" w:hAnsi="宋体" w:cs="Times New Roman"/>
          <w:sz w:val="24"/>
          <w:szCs w:val="24"/>
        </w:rPr>
        <w:t>掌握聚酯及其共聚物、聚原酸酯、氨基酸类聚合物的应用。</w:t>
      </w:r>
    </w:p>
    <w:p w14:paraId="4AEE7737"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【学习内容】</w:t>
      </w:r>
    </w:p>
    <w:p w14:paraId="396049E7"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.供药用的生物可降解聚合物</w:t>
      </w:r>
    </w:p>
    <w:p w14:paraId="3E00035A"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供药用的其他聚合物</w:t>
      </w:r>
    </w:p>
    <w:p w14:paraId="218D64C5"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3</w:t>
      </w:r>
      <w:r w:rsidRPr="00C843E6">
        <w:rPr>
          <w:rFonts w:ascii="宋体" w:eastAsia="宋体" w:hAnsi="宋体" w:cs="Times New Roman" w:hint="eastAsia"/>
          <w:sz w:val="24"/>
          <w:szCs w:val="24"/>
        </w:rPr>
        <w:t>.</w:t>
      </w:r>
      <w:r w:rsidRPr="00C843E6">
        <w:rPr>
          <w:rFonts w:ascii="宋体" w:eastAsia="宋体" w:hAnsi="宋体" w:cs="Times New Roman"/>
          <w:sz w:val="24"/>
          <w:szCs w:val="24"/>
        </w:rPr>
        <w:t>供药剂用的高分子材料制品</w:t>
      </w:r>
    </w:p>
    <w:p w14:paraId="485FA193"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【重点】</w:t>
      </w:r>
    </w:p>
    <w:p w14:paraId="17C64D3C"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聚酯及其共聚物的应用</w:t>
      </w:r>
    </w:p>
    <w:p w14:paraId="2D8DBF8E"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【难点】</w:t>
      </w:r>
    </w:p>
    <w:p w14:paraId="31FA6C60" w14:textId="77777777" w:rsidR="00C843E6" w:rsidRPr="00C843E6" w:rsidRDefault="00C843E6" w:rsidP="00C843E6">
      <w:pPr>
        <w:adjustRightInd w:val="0"/>
        <w:snapToGrid w:val="0"/>
        <w:spacing w:line="440" w:lineRule="exact"/>
        <w:ind w:firstLineChars="200" w:firstLine="480"/>
        <w:rPr>
          <w:rFonts w:ascii="宋体" w:eastAsia="宋体" w:hAnsi="宋体" w:cs="Times New Roman"/>
          <w:b/>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.药用的其他聚合物</w:t>
      </w:r>
    </w:p>
    <w:p w14:paraId="6F1C64C8"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lastRenderedPageBreak/>
        <w:t>2</w:t>
      </w:r>
      <w:r w:rsidRPr="00C843E6">
        <w:rPr>
          <w:rFonts w:ascii="宋体" w:eastAsia="宋体" w:hAnsi="宋体" w:cs="Times New Roman"/>
          <w:sz w:val="24"/>
          <w:szCs w:val="24"/>
        </w:rPr>
        <w:t>.供药剂用的高分子材料制品</w:t>
      </w:r>
    </w:p>
    <w:p w14:paraId="2F53388E" w14:textId="77777777" w:rsidR="00C843E6" w:rsidRPr="00C843E6" w:rsidRDefault="00C843E6" w:rsidP="00C843E6">
      <w:pPr>
        <w:adjustRightInd w:val="0"/>
        <w:snapToGrid w:val="0"/>
        <w:spacing w:line="440" w:lineRule="exact"/>
        <w:ind w:firstLineChars="200" w:firstLine="482"/>
        <w:rPr>
          <w:rFonts w:ascii="宋体" w:eastAsia="宋体" w:hAnsi="宋体" w:cs="Times New Roman"/>
          <w:sz w:val="24"/>
          <w:szCs w:val="24"/>
        </w:rPr>
      </w:pPr>
      <w:r w:rsidRPr="00C843E6">
        <w:rPr>
          <w:rFonts w:ascii="宋体" w:eastAsia="宋体" w:hAnsi="宋体" w:cs="Times New Roman" w:hint="eastAsia"/>
          <w:b/>
          <w:bCs/>
          <w:sz w:val="24"/>
          <w:szCs w:val="24"/>
        </w:rPr>
        <w:t>【教学方法】</w:t>
      </w:r>
    </w:p>
    <w:p w14:paraId="26AD68A5"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1.通过多媒体课件和传统教学相结合，阐明</w:t>
      </w:r>
      <w:r w:rsidRPr="00C843E6">
        <w:rPr>
          <w:rFonts w:ascii="宋体" w:eastAsia="宋体" w:hAnsi="宋体" w:cs="Times New Roman"/>
          <w:sz w:val="24"/>
          <w:szCs w:val="24"/>
        </w:rPr>
        <w:t>药用的生物可降解聚合物</w:t>
      </w:r>
      <w:r w:rsidRPr="00C843E6">
        <w:rPr>
          <w:rFonts w:ascii="宋体" w:eastAsia="宋体" w:hAnsi="宋体" w:cs="Times New Roman" w:hint="eastAsia"/>
          <w:sz w:val="24"/>
          <w:szCs w:val="24"/>
        </w:rPr>
        <w:t>的结构特点及使用上的特殊性。阐明</w:t>
      </w:r>
      <w:r w:rsidRPr="00C843E6">
        <w:rPr>
          <w:rFonts w:ascii="宋体" w:eastAsia="宋体" w:hAnsi="宋体" w:cs="Times New Roman"/>
          <w:sz w:val="24"/>
          <w:szCs w:val="24"/>
        </w:rPr>
        <w:t>药用的其他聚合物</w:t>
      </w:r>
      <w:r w:rsidRPr="00C843E6">
        <w:rPr>
          <w:rFonts w:ascii="宋体" w:eastAsia="宋体" w:hAnsi="宋体" w:cs="Times New Roman" w:hint="eastAsia"/>
          <w:sz w:val="24"/>
          <w:szCs w:val="24"/>
        </w:rPr>
        <w:t>的结构特点及使用上的特殊性。</w:t>
      </w:r>
    </w:p>
    <w:p w14:paraId="6594393D" w14:textId="77777777" w:rsidR="00C843E6" w:rsidRPr="00C843E6" w:rsidRDefault="00C843E6" w:rsidP="00C843E6">
      <w:pPr>
        <w:adjustRightInd w:val="0"/>
        <w:snapToGrid w:val="0"/>
        <w:spacing w:line="440" w:lineRule="exact"/>
        <w:ind w:firstLineChars="200" w:firstLine="480"/>
        <w:rPr>
          <w:rFonts w:ascii="Times New Roman" w:eastAsia="宋体" w:hAnsi="Times New Roman" w:cs="Times New Roman"/>
          <w:sz w:val="24"/>
          <w:szCs w:val="24"/>
        </w:rPr>
      </w:pPr>
      <w:r w:rsidRPr="00C843E6">
        <w:rPr>
          <w:rFonts w:ascii="宋体" w:eastAsia="宋体" w:hAnsi="宋体" w:cs="Times New Roman" w:hint="eastAsia"/>
          <w:sz w:val="24"/>
          <w:szCs w:val="24"/>
        </w:rPr>
        <w:t>2.通过案例分析，使学生</w:t>
      </w:r>
      <w:proofErr w:type="gramStart"/>
      <w:r w:rsidRPr="00C843E6">
        <w:rPr>
          <w:rFonts w:ascii="宋体" w:eastAsia="宋体" w:hAnsi="宋体" w:cs="Times New Roman" w:hint="eastAsia"/>
          <w:sz w:val="24"/>
          <w:szCs w:val="24"/>
        </w:rPr>
        <w:t>掌握</w:t>
      </w:r>
      <w:r w:rsidRPr="00C843E6">
        <w:rPr>
          <w:rFonts w:ascii="Times New Roman" w:eastAsia="宋体" w:hAnsi="Times New Roman" w:cs="Times New Roman"/>
          <w:sz w:val="24"/>
          <w:szCs w:val="24"/>
        </w:rPr>
        <w:t>掌握</w:t>
      </w:r>
      <w:proofErr w:type="gramEnd"/>
      <w:r w:rsidRPr="00C843E6">
        <w:rPr>
          <w:rFonts w:ascii="Times New Roman" w:eastAsia="宋体" w:hAnsi="Verdana" w:cs="Times New Roman"/>
          <w:sz w:val="24"/>
          <w:szCs w:val="24"/>
        </w:rPr>
        <w:t>聚酯及其共聚物、聚原酸酯、氨基酸类聚合物的应用。</w:t>
      </w:r>
    </w:p>
    <w:p w14:paraId="0264B4F4"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bCs/>
          <w:sz w:val="24"/>
          <w:szCs w:val="24"/>
        </w:rPr>
      </w:pPr>
      <w:r w:rsidRPr="00C843E6">
        <w:rPr>
          <w:rFonts w:ascii="宋体" w:eastAsia="宋体" w:hAnsi="宋体" w:cs="Times New Roman" w:hint="eastAsia"/>
          <w:b/>
          <w:bCs/>
          <w:sz w:val="24"/>
          <w:szCs w:val="24"/>
        </w:rPr>
        <w:t>【复习思考】</w:t>
      </w:r>
    </w:p>
    <w:p w14:paraId="6C7E954F"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w:t>
      </w:r>
      <w:r w:rsidRPr="00C843E6">
        <w:rPr>
          <w:rFonts w:ascii="宋体" w:eastAsia="宋体" w:hAnsi="宋体" w:cs="Times New Roman" w:hint="eastAsia"/>
          <w:sz w:val="24"/>
          <w:szCs w:val="24"/>
        </w:rPr>
        <w:t>举例说明</w:t>
      </w:r>
      <w:r w:rsidRPr="00C843E6">
        <w:rPr>
          <w:rFonts w:ascii="宋体" w:eastAsia="宋体" w:hAnsi="宋体" w:cs="Times New Roman"/>
          <w:sz w:val="24"/>
          <w:szCs w:val="24"/>
        </w:rPr>
        <w:t>聚酸酐</w:t>
      </w:r>
      <w:r w:rsidRPr="00C843E6">
        <w:rPr>
          <w:rFonts w:ascii="宋体" w:eastAsia="宋体" w:hAnsi="宋体" w:cs="Times New Roman" w:hint="eastAsia"/>
          <w:sz w:val="24"/>
          <w:szCs w:val="24"/>
        </w:rPr>
        <w:t>在制剂工艺中</w:t>
      </w:r>
      <w:r w:rsidRPr="00C843E6">
        <w:rPr>
          <w:rFonts w:ascii="宋体" w:eastAsia="宋体" w:hAnsi="宋体" w:cs="Times New Roman"/>
          <w:sz w:val="24"/>
          <w:szCs w:val="24"/>
        </w:rPr>
        <w:t>的应用。</w:t>
      </w:r>
    </w:p>
    <w:p w14:paraId="4F32D908"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w:t>
      </w:r>
      <w:r w:rsidRPr="00C843E6">
        <w:rPr>
          <w:rFonts w:ascii="宋体" w:eastAsia="宋体" w:hAnsi="宋体" w:cs="Times New Roman" w:hint="eastAsia"/>
          <w:sz w:val="24"/>
          <w:szCs w:val="24"/>
        </w:rPr>
        <w:t>举例说明</w:t>
      </w:r>
      <w:r w:rsidRPr="00C843E6">
        <w:rPr>
          <w:rFonts w:ascii="宋体" w:eastAsia="宋体" w:hAnsi="宋体" w:cs="Times New Roman"/>
          <w:sz w:val="24"/>
          <w:szCs w:val="24"/>
        </w:rPr>
        <w:t>压敏胶</w:t>
      </w:r>
      <w:r w:rsidRPr="00C843E6">
        <w:rPr>
          <w:rFonts w:ascii="宋体" w:eastAsia="宋体" w:hAnsi="宋体" w:cs="Times New Roman" w:hint="eastAsia"/>
          <w:sz w:val="24"/>
          <w:szCs w:val="24"/>
        </w:rPr>
        <w:t>在制剂工艺中</w:t>
      </w:r>
      <w:r w:rsidRPr="00C843E6">
        <w:rPr>
          <w:rFonts w:ascii="宋体" w:eastAsia="宋体" w:hAnsi="宋体" w:cs="Times New Roman"/>
          <w:sz w:val="24"/>
          <w:szCs w:val="24"/>
        </w:rPr>
        <w:t>的应用。</w:t>
      </w:r>
    </w:p>
    <w:p w14:paraId="6CBCF6DF"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w:t>
      </w:r>
      <w:r w:rsidRPr="00C843E6">
        <w:rPr>
          <w:rFonts w:ascii="宋体" w:eastAsia="宋体" w:hAnsi="宋体" w:cs="Times New Roman"/>
          <w:sz w:val="24"/>
          <w:szCs w:val="24"/>
        </w:rPr>
        <w:t>.</w:t>
      </w:r>
      <w:r w:rsidRPr="00C843E6">
        <w:rPr>
          <w:rFonts w:ascii="宋体" w:eastAsia="宋体" w:hAnsi="宋体" w:cs="Times New Roman" w:hint="eastAsia"/>
          <w:sz w:val="24"/>
          <w:szCs w:val="24"/>
        </w:rPr>
        <w:t>举例说明</w:t>
      </w:r>
      <w:r w:rsidRPr="00C843E6">
        <w:rPr>
          <w:rFonts w:ascii="宋体" w:eastAsia="宋体" w:hAnsi="宋体" w:cs="Times New Roman"/>
          <w:sz w:val="24"/>
          <w:szCs w:val="24"/>
        </w:rPr>
        <w:t>二甲基硅油</w:t>
      </w:r>
      <w:r w:rsidRPr="00C843E6">
        <w:rPr>
          <w:rFonts w:ascii="宋体" w:eastAsia="宋体" w:hAnsi="宋体" w:cs="Times New Roman" w:hint="eastAsia"/>
          <w:sz w:val="24"/>
          <w:szCs w:val="24"/>
        </w:rPr>
        <w:t>在制剂工艺中</w:t>
      </w:r>
      <w:r w:rsidRPr="00C843E6">
        <w:rPr>
          <w:rFonts w:ascii="宋体" w:eastAsia="宋体" w:hAnsi="宋体" w:cs="Times New Roman"/>
          <w:sz w:val="24"/>
          <w:szCs w:val="24"/>
        </w:rPr>
        <w:t>的应用。</w:t>
      </w:r>
    </w:p>
    <w:p w14:paraId="2857C997" w14:textId="77777777" w:rsidR="00C843E6" w:rsidRPr="00C843E6" w:rsidRDefault="00C843E6" w:rsidP="00C843E6">
      <w:pPr>
        <w:spacing w:beforeLines="50" w:before="156" w:afterLines="50" w:after="156" w:line="440" w:lineRule="exact"/>
        <w:ind w:firstLineChars="200" w:firstLine="560"/>
        <w:jc w:val="center"/>
        <w:rPr>
          <w:rFonts w:ascii="黑体" w:eastAsia="黑体" w:hAnsi="黑体" w:cs="Times New Roman"/>
          <w:sz w:val="28"/>
          <w:szCs w:val="28"/>
        </w:rPr>
      </w:pPr>
      <w:r w:rsidRPr="00C843E6">
        <w:rPr>
          <w:rFonts w:ascii="黑体" w:eastAsia="黑体" w:hAnsi="黑体" w:cs="Times New Roman"/>
          <w:sz w:val="28"/>
          <w:szCs w:val="28"/>
        </w:rPr>
        <w:t>第七章 药用高分子包装材料</w:t>
      </w:r>
    </w:p>
    <w:p w14:paraId="4ADD7401"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【学习目标】</w:t>
      </w:r>
    </w:p>
    <w:p w14:paraId="2CB83583" w14:textId="77777777" w:rsidR="00C843E6" w:rsidRPr="00C843E6" w:rsidRDefault="00C843E6" w:rsidP="00C843E6">
      <w:pPr>
        <w:adjustRightInd w:val="0"/>
        <w:snapToGrid w:val="0"/>
        <w:spacing w:line="440" w:lineRule="exact"/>
        <w:ind w:firstLineChars="200" w:firstLine="480"/>
        <w:rPr>
          <w:rFonts w:ascii="Times New Roman" w:eastAsia="宋体" w:hAnsi="Times New Roman" w:cs="Times New Roman"/>
          <w:kern w:val="0"/>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w:t>
      </w:r>
      <w:r w:rsidRPr="00C843E6">
        <w:rPr>
          <w:rFonts w:ascii="宋体" w:eastAsia="宋体" w:hAnsi="宋体" w:cs="Times New Roman" w:hint="eastAsia"/>
          <w:sz w:val="24"/>
          <w:szCs w:val="24"/>
        </w:rPr>
        <w:t>认知类目标：</w:t>
      </w:r>
      <w:r w:rsidRPr="00C843E6">
        <w:rPr>
          <w:rFonts w:ascii="Times New Roman" w:eastAsia="宋体" w:hAnsi="Times New Roman" w:cs="Times New Roman"/>
          <w:kern w:val="0"/>
          <w:sz w:val="24"/>
          <w:szCs w:val="24"/>
        </w:rPr>
        <w:t>了解药品包装</w:t>
      </w:r>
      <w:r w:rsidRPr="00C843E6">
        <w:rPr>
          <w:rFonts w:ascii="Times New Roman" w:eastAsia="宋体" w:hAnsi="Times New Roman" w:cs="Times New Roman"/>
          <w:sz w:val="24"/>
          <w:szCs w:val="24"/>
        </w:rPr>
        <w:t>与贮运</w:t>
      </w:r>
      <w:r w:rsidRPr="00C843E6">
        <w:rPr>
          <w:rFonts w:ascii="Times New Roman" w:eastAsia="宋体" w:hAnsi="Times New Roman" w:cs="Times New Roman"/>
          <w:kern w:val="0"/>
          <w:sz w:val="24"/>
          <w:szCs w:val="24"/>
        </w:rPr>
        <w:t>材料的加工工艺。</w:t>
      </w:r>
    </w:p>
    <w:p w14:paraId="31E9B2B0" w14:textId="77777777" w:rsidR="00C843E6" w:rsidRPr="00C843E6" w:rsidRDefault="00C843E6" w:rsidP="00C843E6">
      <w:pPr>
        <w:adjustRightInd w:val="0"/>
        <w:snapToGrid w:val="0"/>
        <w:spacing w:line="440" w:lineRule="exact"/>
        <w:ind w:firstLineChars="200" w:firstLine="480"/>
        <w:rPr>
          <w:rFonts w:ascii="Times New Roman" w:eastAsia="宋体" w:hAnsi="Times New Roman" w:cs="Times New Roman"/>
          <w:kern w:val="0"/>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w:t>
      </w:r>
      <w:r w:rsidRPr="00C843E6">
        <w:rPr>
          <w:rFonts w:ascii="宋体" w:eastAsia="宋体" w:hAnsi="宋体" w:cs="Times New Roman" w:hint="eastAsia"/>
          <w:sz w:val="24"/>
          <w:szCs w:val="24"/>
        </w:rPr>
        <w:t>过程与方法类目标：</w:t>
      </w:r>
      <w:r w:rsidRPr="00C843E6">
        <w:rPr>
          <w:rFonts w:ascii="Times New Roman" w:eastAsia="宋体" w:hAnsi="Times New Roman" w:cs="Times New Roman"/>
          <w:kern w:val="0"/>
          <w:sz w:val="24"/>
          <w:szCs w:val="24"/>
        </w:rPr>
        <w:t>掌握</w:t>
      </w:r>
      <w:r w:rsidRPr="00C843E6">
        <w:rPr>
          <w:rFonts w:ascii="Times New Roman" w:eastAsia="宋体" w:hAnsi="Times New Roman" w:cs="Times New Roman"/>
          <w:sz w:val="24"/>
          <w:szCs w:val="24"/>
        </w:rPr>
        <w:t>药用高分子包装材料及包装形式</w:t>
      </w:r>
      <w:r w:rsidRPr="00C843E6">
        <w:rPr>
          <w:rFonts w:ascii="Times New Roman" w:eastAsia="宋体" w:hAnsi="Times New Roman" w:cs="Times New Roman" w:hint="eastAsia"/>
          <w:kern w:val="0"/>
          <w:sz w:val="24"/>
          <w:szCs w:val="24"/>
        </w:rPr>
        <w:t>，</w:t>
      </w:r>
      <w:r w:rsidRPr="00C843E6">
        <w:rPr>
          <w:rFonts w:ascii="Times New Roman" w:eastAsia="宋体" w:hAnsi="Times New Roman" w:cs="Times New Roman"/>
          <w:kern w:val="0"/>
          <w:sz w:val="24"/>
          <w:szCs w:val="24"/>
        </w:rPr>
        <w:t>熟悉</w:t>
      </w:r>
      <w:r w:rsidRPr="00C843E6">
        <w:rPr>
          <w:rFonts w:ascii="Times New Roman" w:eastAsia="宋体" w:hAnsi="Times New Roman" w:cs="Times New Roman"/>
          <w:sz w:val="24"/>
          <w:szCs w:val="24"/>
        </w:rPr>
        <w:t>药用高分子包装与贮运材料的测试与评价</w:t>
      </w:r>
      <w:r w:rsidRPr="00C843E6">
        <w:rPr>
          <w:rFonts w:ascii="Times New Roman" w:eastAsia="宋体" w:hAnsi="Times New Roman" w:cs="Times New Roman" w:hint="eastAsia"/>
          <w:sz w:val="24"/>
          <w:szCs w:val="24"/>
        </w:rPr>
        <w:t>。</w:t>
      </w:r>
    </w:p>
    <w:p w14:paraId="6D78EA71"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【学习内容】</w:t>
      </w:r>
    </w:p>
    <w:p w14:paraId="52C6EF74"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药品包装用塑料</w:t>
      </w:r>
    </w:p>
    <w:p w14:paraId="34DD1F77"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药品包装用橡胶</w:t>
      </w:r>
    </w:p>
    <w:p w14:paraId="220CE868"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w:t>
      </w:r>
      <w:r w:rsidRPr="00C843E6">
        <w:rPr>
          <w:rFonts w:ascii="宋体" w:eastAsia="宋体" w:hAnsi="宋体" w:cs="Times New Roman"/>
          <w:sz w:val="24"/>
          <w:szCs w:val="24"/>
        </w:rPr>
        <w:t>药品包装用塑料和橡胶的常用助剂</w:t>
      </w:r>
    </w:p>
    <w:p w14:paraId="643C9EE4"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4．</w:t>
      </w:r>
      <w:r w:rsidRPr="00C843E6">
        <w:rPr>
          <w:rFonts w:ascii="宋体" w:eastAsia="宋体" w:hAnsi="宋体" w:cs="Times New Roman"/>
          <w:sz w:val="24"/>
          <w:szCs w:val="24"/>
        </w:rPr>
        <w:t>高分子材料的性能测试与评价</w:t>
      </w:r>
    </w:p>
    <w:p w14:paraId="04A88B1D"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【重点】</w:t>
      </w:r>
    </w:p>
    <w:p w14:paraId="50ED9BCB" w14:textId="77777777" w:rsidR="00C843E6" w:rsidRPr="00C843E6" w:rsidRDefault="00C843E6" w:rsidP="00C843E6">
      <w:pPr>
        <w:adjustRightInd w:val="0"/>
        <w:snapToGrid w:val="0"/>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对药用高分子材料的包装材料的选择</w:t>
      </w:r>
    </w:p>
    <w:p w14:paraId="467EA6CB"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sz w:val="24"/>
          <w:szCs w:val="24"/>
        </w:rPr>
      </w:pPr>
      <w:r w:rsidRPr="00C843E6">
        <w:rPr>
          <w:rFonts w:ascii="宋体" w:eastAsia="宋体" w:hAnsi="宋体" w:cs="Times New Roman" w:hint="eastAsia"/>
          <w:b/>
          <w:sz w:val="24"/>
          <w:szCs w:val="24"/>
        </w:rPr>
        <w:t>【难点】</w:t>
      </w:r>
    </w:p>
    <w:p w14:paraId="03D190BE" w14:textId="77777777" w:rsidR="00C843E6" w:rsidRPr="00C843E6" w:rsidRDefault="00C843E6" w:rsidP="00C843E6">
      <w:pPr>
        <w:adjustRightInd w:val="0"/>
        <w:snapToGrid w:val="0"/>
        <w:spacing w:line="440" w:lineRule="exact"/>
        <w:ind w:firstLineChars="200" w:firstLine="480"/>
        <w:rPr>
          <w:rFonts w:ascii="Times New Roman" w:eastAsia="宋体" w:hAnsi="Times New Roman" w:cs="Times New Roman"/>
          <w:sz w:val="24"/>
          <w:szCs w:val="24"/>
        </w:rPr>
      </w:pPr>
      <w:r w:rsidRPr="00C843E6">
        <w:rPr>
          <w:rFonts w:ascii="Times New Roman" w:eastAsia="宋体" w:hAnsi="Times New Roman" w:cs="Times New Roman"/>
          <w:sz w:val="24"/>
          <w:szCs w:val="24"/>
        </w:rPr>
        <w:t>对药用高分子材料的包装材料</w:t>
      </w:r>
      <w:r w:rsidRPr="00C843E6">
        <w:rPr>
          <w:rFonts w:ascii="Times New Roman" w:eastAsia="宋体" w:hAnsi="Times New Roman" w:cs="Times New Roman" w:hint="eastAsia"/>
          <w:sz w:val="24"/>
          <w:szCs w:val="24"/>
        </w:rPr>
        <w:t>的</w:t>
      </w:r>
      <w:r w:rsidRPr="00C843E6">
        <w:rPr>
          <w:rFonts w:ascii="Times New Roman" w:eastAsia="宋体" w:hAnsi="Times New Roman" w:cs="Times New Roman"/>
          <w:sz w:val="24"/>
          <w:szCs w:val="24"/>
        </w:rPr>
        <w:t>测试评价方法</w:t>
      </w:r>
    </w:p>
    <w:p w14:paraId="19AA7815" w14:textId="77777777" w:rsidR="00C843E6" w:rsidRPr="00C843E6" w:rsidRDefault="00C843E6" w:rsidP="00C843E6">
      <w:pPr>
        <w:adjustRightInd w:val="0"/>
        <w:snapToGrid w:val="0"/>
        <w:spacing w:line="440" w:lineRule="exact"/>
        <w:ind w:firstLineChars="200" w:firstLine="482"/>
        <w:rPr>
          <w:rFonts w:ascii="宋体" w:eastAsia="宋体" w:hAnsi="宋体" w:cs="Times New Roman"/>
          <w:sz w:val="24"/>
          <w:szCs w:val="24"/>
        </w:rPr>
      </w:pPr>
      <w:r w:rsidRPr="00C843E6">
        <w:rPr>
          <w:rFonts w:ascii="宋体" w:eastAsia="宋体" w:hAnsi="宋体" w:cs="Times New Roman" w:hint="eastAsia"/>
          <w:b/>
          <w:bCs/>
          <w:sz w:val="24"/>
          <w:szCs w:val="24"/>
        </w:rPr>
        <w:t>【教学方法】</w:t>
      </w:r>
    </w:p>
    <w:p w14:paraId="3BCD73CD"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1.通过多媒体课件和传统教学相结合，结合组件相容性和弹性体相容性研究内容，阐明</w:t>
      </w:r>
      <w:r w:rsidRPr="00C843E6">
        <w:rPr>
          <w:rFonts w:ascii="宋体" w:eastAsia="宋体" w:hAnsi="宋体" w:cs="Times New Roman"/>
          <w:sz w:val="24"/>
          <w:szCs w:val="24"/>
        </w:rPr>
        <w:t>药品包装用塑料</w:t>
      </w:r>
      <w:r w:rsidRPr="00C843E6">
        <w:rPr>
          <w:rFonts w:ascii="宋体" w:eastAsia="宋体" w:hAnsi="宋体" w:cs="Times New Roman" w:hint="eastAsia"/>
          <w:sz w:val="24"/>
          <w:szCs w:val="24"/>
        </w:rPr>
        <w:t>和橡胶材料；</w:t>
      </w:r>
    </w:p>
    <w:p w14:paraId="53E065D3" w14:textId="77777777" w:rsidR="00C843E6" w:rsidRPr="00C843E6" w:rsidRDefault="00C843E6" w:rsidP="00C843E6">
      <w:pPr>
        <w:spacing w:line="440" w:lineRule="exact"/>
        <w:ind w:firstLineChars="200" w:firstLine="480"/>
        <w:rPr>
          <w:rFonts w:ascii="Times New Roman" w:eastAsia="宋体" w:hAnsi="Times New Roman" w:cs="Times New Roman"/>
          <w:kern w:val="0"/>
          <w:sz w:val="24"/>
          <w:szCs w:val="24"/>
        </w:rPr>
      </w:pPr>
      <w:r w:rsidRPr="00C843E6">
        <w:rPr>
          <w:rFonts w:ascii="宋体" w:eastAsia="宋体" w:hAnsi="宋体" w:cs="Times New Roman" w:hint="eastAsia"/>
          <w:sz w:val="24"/>
          <w:szCs w:val="24"/>
        </w:rPr>
        <w:t>2.通过举例分析，强化学生</w:t>
      </w:r>
      <w:r w:rsidRPr="00C843E6">
        <w:rPr>
          <w:rFonts w:ascii="Times New Roman" w:eastAsia="宋体" w:hAnsi="Times New Roman" w:cs="Times New Roman"/>
          <w:kern w:val="0"/>
          <w:sz w:val="24"/>
          <w:szCs w:val="24"/>
        </w:rPr>
        <w:t>掌握</w:t>
      </w:r>
      <w:r w:rsidRPr="00C843E6">
        <w:rPr>
          <w:rFonts w:ascii="Times New Roman" w:eastAsia="宋体" w:hAnsi="Times New Roman" w:cs="Times New Roman"/>
          <w:sz w:val="24"/>
          <w:szCs w:val="24"/>
        </w:rPr>
        <w:t>药用高分子包装材料及包装形式</w:t>
      </w:r>
      <w:r w:rsidRPr="00C843E6">
        <w:rPr>
          <w:rFonts w:ascii="Times New Roman" w:eastAsia="宋体" w:hAnsi="Times New Roman" w:cs="Times New Roman" w:hint="eastAsia"/>
          <w:kern w:val="0"/>
          <w:sz w:val="24"/>
          <w:szCs w:val="24"/>
        </w:rPr>
        <w:t>，</w:t>
      </w:r>
      <w:r w:rsidRPr="00C843E6">
        <w:rPr>
          <w:rFonts w:ascii="Times New Roman" w:eastAsia="宋体" w:hAnsi="Times New Roman" w:cs="Times New Roman"/>
          <w:kern w:val="0"/>
          <w:sz w:val="24"/>
          <w:szCs w:val="24"/>
        </w:rPr>
        <w:t>熟悉</w:t>
      </w:r>
      <w:r w:rsidRPr="00C843E6">
        <w:rPr>
          <w:rFonts w:ascii="Times New Roman" w:eastAsia="宋体" w:hAnsi="Times New Roman" w:cs="Times New Roman"/>
          <w:sz w:val="24"/>
          <w:szCs w:val="24"/>
        </w:rPr>
        <w:t>药用高分子包装与贮运材料的测试与评价</w:t>
      </w:r>
      <w:r w:rsidRPr="00C843E6">
        <w:rPr>
          <w:rFonts w:ascii="Times New Roman" w:eastAsia="宋体" w:hAnsi="Times New Roman" w:cs="Times New Roman" w:hint="eastAsia"/>
          <w:sz w:val="24"/>
          <w:szCs w:val="24"/>
        </w:rPr>
        <w:t>。</w:t>
      </w:r>
    </w:p>
    <w:p w14:paraId="62AF2E23"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 xml:space="preserve">3.通过课堂的提问增加互动，强化药用高分子包装材料的应用意识，发展学生对包装材料适应性和思考能力； </w:t>
      </w:r>
    </w:p>
    <w:p w14:paraId="7589D06D" w14:textId="77777777" w:rsidR="00C843E6" w:rsidRPr="00C843E6" w:rsidRDefault="00C843E6" w:rsidP="00C843E6">
      <w:pPr>
        <w:adjustRightInd w:val="0"/>
        <w:snapToGrid w:val="0"/>
        <w:spacing w:line="440" w:lineRule="exact"/>
        <w:ind w:firstLineChars="200" w:firstLine="482"/>
        <w:rPr>
          <w:rFonts w:ascii="宋体" w:eastAsia="宋体" w:hAnsi="宋体" w:cs="Times New Roman"/>
          <w:b/>
          <w:bCs/>
          <w:sz w:val="24"/>
          <w:szCs w:val="24"/>
        </w:rPr>
      </w:pPr>
      <w:r w:rsidRPr="00C843E6">
        <w:rPr>
          <w:rFonts w:ascii="宋体" w:eastAsia="宋体" w:hAnsi="宋体" w:cs="Times New Roman" w:hint="eastAsia"/>
          <w:b/>
          <w:bCs/>
          <w:sz w:val="24"/>
          <w:szCs w:val="24"/>
        </w:rPr>
        <w:lastRenderedPageBreak/>
        <w:t>【复习思考】</w:t>
      </w:r>
    </w:p>
    <w:p w14:paraId="430DCC06" w14:textId="77777777" w:rsidR="00C843E6" w:rsidRPr="00C843E6" w:rsidRDefault="00C843E6" w:rsidP="00C843E6">
      <w:pPr>
        <w:adjustRightInd w:val="0"/>
        <w:snapToGrid w:val="0"/>
        <w:spacing w:line="440" w:lineRule="exact"/>
        <w:ind w:firstLineChars="200" w:firstLine="480"/>
        <w:rPr>
          <w:rFonts w:ascii="宋体" w:eastAsia="宋体" w:hAnsi="宋体" w:cs="Times New Roman"/>
          <w:b/>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w:t>
      </w:r>
      <w:r w:rsidRPr="00C843E6">
        <w:rPr>
          <w:rFonts w:ascii="宋体" w:eastAsia="宋体" w:hAnsi="宋体" w:cs="Times New Roman" w:hint="eastAsia"/>
          <w:sz w:val="24"/>
          <w:szCs w:val="24"/>
        </w:rPr>
        <w:t>举例说明</w:t>
      </w:r>
      <w:r w:rsidRPr="00C843E6">
        <w:rPr>
          <w:rFonts w:ascii="Times New Roman" w:eastAsia="宋体" w:hAnsi="Times New Roman" w:cs="Times New Roman"/>
          <w:sz w:val="24"/>
          <w:szCs w:val="24"/>
        </w:rPr>
        <w:t>药用高分子包装材料及包装形式</w:t>
      </w:r>
      <w:r w:rsidRPr="00C843E6">
        <w:rPr>
          <w:rFonts w:ascii="Times New Roman" w:eastAsia="宋体" w:hAnsi="Times New Roman" w:cs="Times New Roman" w:hint="eastAsia"/>
          <w:kern w:val="0"/>
          <w:sz w:val="24"/>
          <w:szCs w:val="24"/>
        </w:rPr>
        <w:t>有哪些？</w:t>
      </w:r>
    </w:p>
    <w:p w14:paraId="0358E7B6"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r w:rsidRPr="00C843E6">
        <w:rPr>
          <w:rFonts w:ascii="宋体" w:eastAsia="宋体" w:hAnsi="宋体" w:cs="Times New Roman"/>
          <w:sz w:val="24"/>
          <w:szCs w:val="24"/>
        </w:rPr>
        <w:t>.</w:t>
      </w:r>
      <w:r w:rsidRPr="00C843E6">
        <w:rPr>
          <w:rFonts w:ascii="宋体" w:eastAsia="宋体" w:hAnsi="宋体" w:cs="Times New Roman" w:hint="eastAsia"/>
          <w:sz w:val="24"/>
          <w:szCs w:val="24"/>
        </w:rPr>
        <w:t>试说明目前的组件相容性和包材相容性的最新进展。</w:t>
      </w:r>
    </w:p>
    <w:p w14:paraId="04BDE951"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w:t>
      </w:r>
      <w:r w:rsidRPr="00C843E6">
        <w:rPr>
          <w:rFonts w:ascii="宋体" w:eastAsia="宋体" w:hAnsi="宋体" w:cs="Times New Roman"/>
          <w:sz w:val="24"/>
          <w:szCs w:val="24"/>
        </w:rPr>
        <w:t>.</w:t>
      </w:r>
      <w:r w:rsidRPr="00C843E6">
        <w:rPr>
          <w:rFonts w:ascii="宋体" w:eastAsia="宋体" w:hAnsi="宋体" w:cs="Times New Roman" w:hint="eastAsia"/>
          <w:sz w:val="24"/>
          <w:szCs w:val="24"/>
        </w:rPr>
        <w:t>试说明</w:t>
      </w:r>
      <w:r w:rsidRPr="00C843E6">
        <w:rPr>
          <w:rFonts w:ascii="宋体" w:eastAsia="宋体" w:hAnsi="宋体" w:cs="Times New Roman"/>
          <w:sz w:val="24"/>
          <w:szCs w:val="24"/>
        </w:rPr>
        <w:t>包装用塑料和橡胶的常用助剂</w:t>
      </w:r>
      <w:r w:rsidRPr="00C843E6">
        <w:rPr>
          <w:rFonts w:ascii="宋体" w:eastAsia="宋体" w:hAnsi="宋体" w:cs="Times New Roman" w:hint="eastAsia"/>
          <w:sz w:val="24"/>
          <w:szCs w:val="24"/>
        </w:rPr>
        <w:t>有哪些？</w:t>
      </w:r>
    </w:p>
    <w:p w14:paraId="04AC84BF" w14:textId="77777777" w:rsidR="00C843E6" w:rsidRPr="00C843E6" w:rsidRDefault="00C843E6" w:rsidP="00C843E6">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64" w:name="_Toc51933779"/>
      <w:r w:rsidRPr="00C843E6">
        <w:rPr>
          <w:rFonts w:ascii="黑体" w:eastAsia="黑体" w:hAnsi="黑体" w:cs="Times New Roman" w:hint="eastAsia"/>
          <w:sz w:val="28"/>
          <w:szCs w:val="28"/>
        </w:rPr>
        <w:t>（二）课程学习内容与课程学习目标的对应关系</w:t>
      </w:r>
      <w:bookmarkEnd w:id="264"/>
    </w:p>
    <w:tbl>
      <w:tblPr>
        <w:tblW w:w="9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87"/>
        <w:gridCol w:w="2228"/>
        <w:gridCol w:w="2086"/>
        <w:gridCol w:w="1267"/>
      </w:tblGrid>
      <w:tr w:rsidR="00C843E6" w:rsidRPr="00C843E6" w14:paraId="192D24D3" w14:textId="77777777" w:rsidTr="00106206">
        <w:trPr>
          <w:trHeight w:val="660"/>
          <w:jc w:val="center"/>
        </w:trPr>
        <w:tc>
          <w:tcPr>
            <w:tcW w:w="3587" w:type="dxa"/>
            <w:vAlign w:val="center"/>
          </w:tcPr>
          <w:p w14:paraId="696D4F54" w14:textId="77777777" w:rsidR="00C843E6" w:rsidRPr="00C843E6" w:rsidRDefault="00C843E6" w:rsidP="00C843E6">
            <w:pPr>
              <w:adjustRightInd w:val="0"/>
              <w:snapToGrid w:val="0"/>
              <w:spacing w:line="440" w:lineRule="exact"/>
              <w:jc w:val="center"/>
              <w:rPr>
                <w:rFonts w:ascii="宋体" w:eastAsia="宋体" w:hAnsi="宋体" w:cs="Times New Roman"/>
                <w:b/>
                <w:bCs/>
                <w:sz w:val="24"/>
                <w:szCs w:val="24"/>
              </w:rPr>
            </w:pPr>
            <w:r w:rsidRPr="00C843E6">
              <w:rPr>
                <w:rFonts w:ascii="宋体" w:eastAsia="宋体" w:hAnsi="宋体" w:cs="Times New Roman" w:hint="eastAsia"/>
                <w:b/>
                <w:bCs/>
                <w:sz w:val="24"/>
                <w:szCs w:val="24"/>
              </w:rPr>
              <w:t>课程学习内容</w:t>
            </w:r>
          </w:p>
        </w:tc>
        <w:tc>
          <w:tcPr>
            <w:tcW w:w="2228" w:type="dxa"/>
            <w:vAlign w:val="center"/>
          </w:tcPr>
          <w:p w14:paraId="21892F58" w14:textId="77777777" w:rsidR="00C843E6" w:rsidRPr="00C843E6" w:rsidRDefault="00C843E6" w:rsidP="00C843E6">
            <w:pPr>
              <w:adjustRightInd w:val="0"/>
              <w:snapToGrid w:val="0"/>
              <w:spacing w:line="440" w:lineRule="exact"/>
              <w:jc w:val="center"/>
              <w:rPr>
                <w:rFonts w:ascii="宋体" w:eastAsia="宋体" w:hAnsi="宋体" w:cs="Times New Roman"/>
                <w:b/>
                <w:bCs/>
                <w:sz w:val="24"/>
                <w:szCs w:val="24"/>
              </w:rPr>
            </w:pPr>
            <w:r w:rsidRPr="00C843E6">
              <w:rPr>
                <w:rFonts w:ascii="宋体" w:eastAsia="宋体" w:hAnsi="宋体" w:cs="Times New Roman" w:hint="eastAsia"/>
                <w:b/>
                <w:bCs/>
                <w:sz w:val="24"/>
                <w:szCs w:val="24"/>
              </w:rPr>
              <w:t>教学方法</w:t>
            </w:r>
          </w:p>
        </w:tc>
        <w:tc>
          <w:tcPr>
            <w:tcW w:w="2086" w:type="dxa"/>
            <w:vAlign w:val="center"/>
          </w:tcPr>
          <w:p w14:paraId="26EA170A" w14:textId="77777777" w:rsidR="00C843E6" w:rsidRPr="00C843E6" w:rsidRDefault="00C843E6" w:rsidP="00C843E6">
            <w:pPr>
              <w:adjustRightInd w:val="0"/>
              <w:snapToGrid w:val="0"/>
              <w:spacing w:line="440" w:lineRule="exact"/>
              <w:jc w:val="center"/>
              <w:rPr>
                <w:rFonts w:ascii="宋体" w:eastAsia="宋体" w:hAnsi="宋体" w:cs="Times New Roman"/>
                <w:b/>
                <w:bCs/>
                <w:sz w:val="24"/>
                <w:szCs w:val="24"/>
              </w:rPr>
            </w:pPr>
            <w:r w:rsidRPr="00C843E6">
              <w:rPr>
                <w:rFonts w:ascii="宋体" w:eastAsia="宋体" w:hAnsi="宋体" w:cs="Times New Roman" w:hint="eastAsia"/>
                <w:b/>
                <w:bCs/>
                <w:sz w:val="24"/>
                <w:szCs w:val="24"/>
              </w:rPr>
              <w:t>支撑的课程目标</w:t>
            </w:r>
          </w:p>
        </w:tc>
        <w:tc>
          <w:tcPr>
            <w:tcW w:w="1267" w:type="dxa"/>
            <w:vAlign w:val="center"/>
          </w:tcPr>
          <w:p w14:paraId="7D82ACD3" w14:textId="77777777" w:rsidR="00C843E6" w:rsidRPr="00C843E6" w:rsidRDefault="00C843E6" w:rsidP="00C843E6">
            <w:pPr>
              <w:adjustRightInd w:val="0"/>
              <w:snapToGrid w:val="0"/>
              <w:spacing w:line="440" w:lineRule="exact"/>
              <w:jc w:val="center"/>
              <w:rPr>
                <w:rFonts w:ascii="宋体" w:eastAsia="宋体" w:hAnsi="宋体" w:cs="Times New Roman"/>
                <w:b/>
                <w:bCs/>
                <w:sz w:val="24"/>
                <w:szCs w:val="24"/>
              </w:rPr>
            </w:pPr>
            <w:r w:rsidRPr="00C843E6">
              <w:rPr>
                <w:rFonts w:ascii="宋体" w:eastAsia="宋体" w:hAnsi="宋体" w:cs="Times New Roman" w:hint="eastAsia"/>
                <w:b/>
                <w:bCs/>
                <w:sz w:val="24"/>
                <w:szCs w:val="24"/>
              </w:rPr>
              <w:t>学时安排</w:t>
            </w:r>
          </w:p>
        </w:tc>
      </w:tr>
      <w:tr w:rsidR="00C843E6" w:rsidRPr="00C843E6" w14:paraId="215E5318" w14:textId="77777777" w:rsidTr="00106206">
        <w:trPr>
          <w:trHeight w:val="514"/>
          <w:jc w:val="center"/>
        </w:trPr>
        <w:tc>
          <w:tcPr>
            <w:tcW w:w="3587" w:type="dxa"/>
            <w:vAlign w:val="center"/>
          </w:tcPr>
          <w:p w14:paraId="73EA6407" w14:textId="77777777" w:rsidR="00C843E6" w:rsidRPr="00C843E6" w:rsidRDefault="00C843E6" w:rsidP="00C843E6">
            <w:pPr>
              <w:adjustRightInd w:val="0"/>
              <w:snapToGrid w:val="0"/>
              <w:spacing w:line="440" w:lineRule="exact"/>
              <w:jc w:val="left"/>
              <w:rPr>
                <w:rFonts w:ascii="宋体" w:eastAsia="宋体" w:hAnsi="宋体" w:cs="Times New Roman"/>
                <w:sz w:val="24"/>
                <w:szCs w:val="24"/>
              </w:rPr>
            </w:pPr>
            <w:r w:rsidRPr="00C843E6">
              <w:rPr>
                <w:rFonts w:ascii="宋体" w:eastAsia="宋体" w:hAnsi="宋体" w:cs="Times New Roman" w:hint="eastAsia"/>
                <w:sz w:val="24"/>
                <w:szCs w:val="24"/>
              </w:rPr>
              <w:t xml:space="preserve">第一章  </w:t>
            </w:r>
            <w:proofErr w:type="gramStart"/>
            <w:r w:rsidRPr="00C843E6">
              <w:rPr>
                <w:rFonts w:ascii="宋体" w:eastAsia="宋体" w:hAnsi="宋体" w:cs="Times New Roman" w:hint="eastAsia"/>
                <w:sz w:val="24"/>
                <w:szCs w:val="24"/>
              </w:rPr>
              <w:t>绪</w:t>
            </w:r>
            <w:proofErr w:type="gramEnd"/>
            <w:r w:rsidRPr="00C843E6">
              <w:rPr>
                <w:rFonts w:ascii="宋体" w:eastAsia="宋体" w:hAnsi="宋体" w:cs="Times New Roman" w:hint="eastAsia"/>
                <w:sz w:val="24"/>
                <w:szCs w:val="24"/>
              </w:rPr>
              <w:t xml:space="preserve"> 论</w:t>
            </w:r>
          </w:p>
        </w:tc>
        <w:tc>
          <w:tcPr>
            <w:tcW w:w="2228" w:type="dxa"/>
            <w:vAlign w:val="center"/>
          </w:tcPr>
          <w:p w14:paraId="020C5549"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讲授法</w:t>
            </w:r>
          </w:p>
        </w:tc>
        <w:tc>
          <w:tcPr>
            <w:tcW w:w="2086" w:type="dxa"/>
            <w:vAlign w:val="center"/>
          </w:tcPr>
          <w:p w14:paraId="2E3084FF"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课程</w:t>
            </w:r>
            <w:r w:rsidRPr="00C843E6">
              <w:rPr>
                <w:rFonts w:ascii="宋体" w:eastAsia="宋体" w:hAnsi="宋体" w:cs="Times New Roman"/>
                <w:sz w:val="24"/>
                <w:szCs w:val="24"/>
              </w:rPr>
              <w:t>目标</w:t>
            </w:r>
            <w:r w:rsidRPr="00C843E6">
              <w:rPr>
                <w:rFonts w:ascii="宋体" w:eastAsia="宋体" w:hAnsi="宋体" w:cs="Times New Roman" w:hint="eastAsia"/>
                <w:sz w:val="24"/>
                <w:szCs w:val="24"/>
              </w:rPr>
              <w:t>1、2、3</w:t>
            </w:r>
          </w:p>
        </w:tc>
        <w:tc>
          <w:tcPr>
            <w:tcW w:w="1267" w:type="dxa"/>
            <w:vAlign w:val="center"/>
          </w:tcPr>
          <w:p w14:paraId="166AFC50"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2</w:t>
            </w:r>
          </w:p>
        </w:tc>
      </w:tr>
      <w:tr w:rsidR="00C843E6" w:rsidRPr="00C843E6" w14:paraId="4618039A" w14:textId="77777777" w:rsidTr="00106206">
        <w:trPr>
          <w:trHeight w:val="90"/>
          <w:jc w:val="center"/>
        </w:trPr>
        <w:tc>
          <w:tcPr>
            <w:tcW w:w="3587" w:type="dxa"/>
            <w:vAlign w:val="center"/>
          </w:tcPr>
          <w:p w14:paraId="3AA684E1" w14:textId="77777777" w:rsidR="00C843E6" w:rsidRPr="00C843E6" w:rsidRDefault="00C843E6" w:rsidP="00C843E6">
            <w:pPr>
              <w:adjustRightInd w:val="0"/>
              <w:snapToGrid w:val="0"/>
              <w:spacing w:line="440" w:lineRule="exact"/>
              <w:jc w:val="left"/>
              <w:rPr>
                <w:rFonts w:ascii="宋体" w:eastAsia="宋体" w:hAnsi="宋体" w:cs="Times New Roman"/>
                <w:sz w:val="24"/>
                <w:szCs w:val="24"/>
              </w:rPr>
            </w:pPr>
            <w:r w:rsidRPr="00C843E6">
              <w:rPr>
                <w:rFonts w:ascii="宋体" w:eastAsia="宋体" w:hAnsi="宋体" w:cs="Times New Roman"/>
                <w:sz w:val="24"/>
                <w:szCs w:val="24"/>
              </w:rPr>
              <w:t>第二章 高分子的结构、合成和化学反应</w:t>
            </w:r>
          </w:p>
        </w:tc>
        <w:tc>
          <w:tcPr>
            <w:tcW w:w="2228" w:type="dxa"/>
            <w:vAlign w:val="center"/>
          </w:tcPr>
          <w:p w14:paraId="21447851"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讲授法、案例教学</w:t>
            </w:r>
          </w:p>
        </w:tc>
        <w:tc>
          <w:tcPr>
            <w:tcW w:w="2086" w:type="dxa"/>
            <w:vAlign w:val="center"/>
          </w:tcPr>
          <w:p w14:paraId="5AC88754"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课程</w:t>
            </w:r>
            <w:r w:rsidRPr="00C843E6">
              <w:rPr>
                <w:rFonts w:ascii="宋体" w:eastAsia="宋体" w:hAnsi="宋体" w:cs="Times New Roman"/>
                <w:sz w:val="24"/>
                <w:szCs w:val="24"/>
              </w:rPr>
              <w:t>目标</w:t>
            </w:r>
            <w:r w:rsidRPr="00C843E6">
              <w:rPr>
                <w:rFonts w:ascii="宋体" w:eastAsia="宋体" w:hAnsi="宋体" w:cs="Times New Roman" w:hint="eastAsia"/>
                <w:sz w:val="24"/>
                <w:szCs w:val="24"/>
              </w:rPr>
              <w:t>1、2</w:t>
            </w:r>
          </w:p>
        </w:tc>
        <w:tc>
          <w:tcPr>
            <w:tcW w:w="1267" w:type="dxa"/>
            <w:vAlign w:val="center"/>
          </w:tcPr>
          <w:p w14:paraId="59FC7B6E"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2</w:t>
            </w:r>
          </w:p>
        </w:tc>
      </w:tr>
      <w:tr w:rsidR="00C843E6" w:rsidRPr="00C843E6" w14:paraId="2F10C44A" w14:textId="77777777" w:rsidTr="00106206">
        <w:trPr>
          <w:jc w:val="center"/>
        </w:trPr>
        <w:tc>
          <w:tcPr>
            <w:tcW w:w="3587" w:type="dxa"/>
            <w:vAlign w:val="center"/>
          </w:tcPr>
          <w:p w14:paraId="224F0037" w14:textId="77777777" w:rsidR="00C843E6" w:rsidRPr="00C843E6" w:rsidRDefault="00C843E6" w:rsidP="00C843E6">
            <w:pPr>
              <w:adjustRightInd w:val="0"/>
              <w:snapToGrid w:val="0"/>
              <w:spacing w:line="440" w:lineRule="exact"/>
              <w:jc w:val="left"/>
              <w:rPr>
                <w:rFonts w:ascii="宋体" w:eastAsia="宋体" w:hAnsi="宋体" w:cs="Times New Roman"/>
                <w:sz w:val="24"/>
                <w:szCs w:val="24"/>
              </w:rPr>
            </w:pPr>
            <w:r w:rsidRPr="00C843E6">
              <w:rPr>
                <w:rFonts w:ascii="宋体" w:eastAsia="宋体" w:hAnsi="宋体" w:cs="Times New Roman"/>
                <w:sz w:val="24"/>
                <w:szCs w:val="24"/>
              </w:rPr>
              <w:t>第三章 高分子材料的物理化学性质</w:t>
            </w:r>
          </w:p>
        </w:tc>
        <w:tc>
          <w:tcPr>
            <w:tcW w:w="2228" w:type="dxa"/>
            <w:vAlign w:val="center"/>
          </w:tcPr>
          <w:p w14:paraId="4BC80C94"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讲授法、案例教学</w:t>
            </w:r>
          </w:p>
        </w:tc>
        <w:tc>
          <w:tcPr>
            <w:tcW w:w="2086" w:type="dxa"/>
            <w:vAlign w:val="center"/>
          </w:tcPr>
          <w:p w14:paraId="5497785C"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课程</w:t>
            </w:r>
            <w:r w:rsidRPr="00C843E6">
              <w:rPr>
                <w:rFonts w:ascii="宋体" w:eastAsia="宋体" w:hAnsi="宋体" w:cs="Times New Roman"/>
                <w:sz w:val="24"/>
                <w:szCs w:val="24"/>
              </w:rPr>
              <w:t>目标</w:t>
            </w:r>
            <w:r w:rsidRPr="00C843E6">
              <w:rPr>
                <w:rFonts w:ascii="宋体" w:eastAsia="宋体" w:hAnsi="宋体" w:cs="Times New Roman" w:hint="eastAsia"/>
                <w:sz w:val="24"/>
                <w:szCs w:val="24"/>
              </w:rPr>
              <w:t>1、2</w:t>
            </w:r>
          </w:p>
        </w:tc>
        <w:tc>
          <w:tcPr>
            <w:tcW w:w="1267" w:type="dxa"/>
            <w:vAlign w:val="center"/>
          </w:tcPr>
          <w:p w14:paraId="51F13F28"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2</w:t>
            </w:r>
          </w:p>
        </w:tc>
      </w:tr>
      <w:tr w:rsidR="00C843E6" w:rsidRPr="00C843E6" w14:paraId="5A8E49D2" w14:textId="77777777" w:rsidTr="00106206">
        <w:trPr>
          <w:jc w:val="center"/>
        </w:trPr>
        <w:tc>
          <w:tcPr>
            <w:tcW w:w="3587" w:type="dxa"/>
            <w:vAlign w:val="center"/>
          </w:tcPr>
          <w:p w14:paraId="31470DCC" w14:textId="77777777" w:rsidR="00C843E6" w:rsidRPr="00C843E6" w:rsidRDefault="00C843E6" w:rsidP="00C843E6">
            <w:pPr>
              <w:adjustRightInd w:val="0"/>
              <w:snapToGrid w:val="0"/>
              <w:spacing w:line="440" w:lineRule="exact"/>
              <w:jc w:val="left"/>
              <w:rPr>
                <w:rFonts w:ascii="宋体" w:eastAsia="宋体" w:hAnsi="宋体" w:cs="Times New Roman"/>
                <w:sz w:val="24"/>
                <w:szCs w:val="24"/>
              </w:rPr>
            </w:pPr>
            <w:r w:rsidRPr="00C843E6">
              <w:rPr>
                <w:rFonts w:ascii="宋体" w:eastAsia="宋体" w:hAnsi="宋体" w:cs="Times New Roman" w:hint="eastAsia"/>
                <w:sz w:val="24"/>
                <w:szCs w:val="24"/>
              </w:rPr>
              <w:t>第四章 药用天然高分子材料</w:t>
            </w:r>
          </w:p>
        </w:tc>
        <w:tc>
          <w:tcPr>
            <w:tcW w:w="2228" w:type="dxa"/>
            <w:vAlign w:val="center"/>
          </w:tcPr>
          <w:p w14:paraId="0DE90675"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讲授法、案例教学</w:t>
            </w:r>
          </w:p>
        </w:tc>
        <w:tc>
          <w:tcPr>
            <w:tcW w:w="2086" w:type="dxa"/>
            <w:vAlign w:val="center"/>
          </w:tcPr>
          <w:p w14:paraId="3FA96496"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课程</w:t>
            </w:r>
            <w:r w:rsidRPr="00C843E6">
              <w:rPr>
                <w:rFonts w:ascii="宋体" w:eastAsia="宋体" w:hAnsi="宋体" w:cs="Times New Roman"/>
                <w:sz w:val="24"/>
                <w:szCs w:val="24"/>
              </w:rPr>
              <w:t>目标</w:t>
            </w:r>
            <w:r w:rsidRPr="00C843E6">
              <w:rPr>
                <w:rFonts w:ascii="宋体" w:eastAsia="宋体" w:hAnsi="宋体" w:cs="Times New Roman" w:hint="eastAsia"/>
                <w:sz w:val="24"/>
                <w:szCs w:val="24"/>
              </w:rPr>
              <w:t>1、2</w:t>
            </w:r>
          </w:p>
        </w:tc>
        <w:tc>
          <w:tcPr>
            <w:tcW w:w="1267" w:type="dxa"/>
            <w:vAlign w:val="center"/>
          </w:tcPr>
          <w:p w14:paraId="60849D2A"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4</w:t>
            </w:r>
          </w:p>
        </w:tc>
      </w:tr>
      <w:tr w:rsidR="00C843E6" w:rsidRPr="00C843E6" w14:paraId="6EA1B188" w14:textId="77777777" w:rsidTr="00106206">
        <w:trPr>
          <w:jc w:val="center"/>
        </w:trPr>
        <w:tc>
          <w:tcPr>
            <w:tcW w:w="3587" w:type="dxa"/>
            <w:vAlign w:val="center"/>
          </w:tcPr>
          <w:p w14:paraId="1FB2D6E8" w14:textId="77777777" w:rsidR="00C843E6" w:rsidRPr="00C843E6" w:rsidRDefault="00C843E6" w:rsidP="00C843E6">
            <w:pPr>
              <w:adjustRightInd w:val="0"/>
              <w:snapToGrid w:val="0"/>
              <w:spacing w:line="440" w:lineRule="exact"/>
              <w:jc w:val="left"/>
              <w:rPr>
                <w:rFonts w:ascii="宋体" w:eastAsia="宋体" w:hAnsi="宋体" w:cs="Times New Roman"/>
                <w:sz w:val="24"/>
                <w:szCs w:val="24"/>
              </w:rPr>
            </w:pPr>
            <w:r w:rsidRPr="00C843E6">
              <w:rPr>
                <w:rFonts w:ascii="宋体" w:eastAsia="宋体" w:hAnsi="宋体" w:cs="Times New Roman" w:hint="eastAsia"/>
                <w:sz w:val="24"/>
                <w:szCs w:val="24"/>
              </w:rPr>
              <w:t>第五章 药用合成高分子材料</w:t>
            </w:r>
          </w:p>
        </w:tc>
        <w:tc>
          <w:tcPr>
            <w:tcW w:w="2228" w:type="dxa"/>
            <w:vAlign w:val="center"/>
          </w:tcPr>
          <w:p w14:paraId="2AEB3F0D"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讲授法、案例教学</w:t>
            </w:r>
          </w:p>
        </w:tc>
        <w:tc>
          <w:tcPr>
            <w:tcW w:w="2086" w:type="dxa"/>
            <w:vAlign w:val="center"/>
          </w:tcPr>
          <w:p w14:paraId="1DDE951D"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课程</w:t>
            </w:r>
            <w:r w:rsidRPr="00C843E6">
              <w:rPr>
                <w:rFonts w:ascii="宋体" w:eastAsia="宋体" w:hAnsi="宋体" w:cs="Times New Roman"/>
                <w:sz w:val="24"/>
                <w:szCs w:val="24"/>
              </w:rPr>
              <w:t>目标</w:t>
            </w:r>
            <w:r w:rsidRPr="00C843E6">
              <w:rPr>
                <w:rFonts w:ascii="宋体" w:eastAsia="宋体" w:hAnsi="宋体" w:cs="Times New Roman" w:hint="eastAsia"/>
                <w:sz w:val="24"/>
                <w:szCs w:val="24"/>
              </w:rPr>
              <w:t>1、2</w:t>
            </w:r>
          </w:p>
        </w:tc>
        <w:tc>
          <w:tcPr>
            <w:tcW w:w="1267" w:type="dxa"/>
            <w:vAlign w:val="center"/>
          </w:tcPr>
          <w:p w14:paraId="7F0B46A2"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2</w:t>
            </w:r>
          </w:p>
        </w:tc>
      </w:tr>
      <w:tr w:rsidR="00C843E6" w:rsidRPr="00C843E6" w14:paraId="6010E290" w14:textId="77777777" w:rsidTr="00106206">
        <w:trPr>
          <w:jc w:val="center"/>
        </w:trPr>
        <w:tc>
          <w:tcPr>
            <w:tcW w:w="3587" w:type="dxa"/>
            <w:vAlign w:val="center"/>
          </w:tcPr>
          <w:p w14:paraId="4C2491D6" w14:textId="77777777" w:rsidR="00C843E6" w:rsidRPr="00C843E6" w:rsidRDefault="00C843E6" w:rsidP="00C843E6">
            <w:pPr>
              <w:adjustRightInd w:val="0"/>
              <w:snapToGrid w:val="0"/>
              <w:spacing w:line="440" w:lineRule="exact"/>
              <w:jc w:val="left"/>
              <w:rPr>
                <w:rFonts w:ascii="宋体" w:eastAsia="宋体" w:hAnsi="宋体" w:cs="Times New Roman"/>
                <w:sz w:val="24"/>
                <w:szCs w:val="24"/>
              </w:rPr>
            </w:pPr>
            <w:r w:rsidRPr="00C843E6">
              <w:rPr>
                <w:rFonts w:ascii="宋体" w:eastAsia="宋体" w:hAnsi="宋体" w:cs="Times New Roman" w:hint="eastAsia"/>
                <w:sz w:val="24"/>
                <w:szCs w:val="24"/>
              </w:rPr>
              <w:t>第六章 其他药用高分子材料、预制品</w:t>
            </w:r>
          </w:p>
        </w:tc>
        <w:tc>
          <w:tcPr>
            <w:tcW w:w="2228" w:type="dxa"/>
            <w:vAlign w:val="center"/>
          </w:tcPr>
          <w:p w14:paraId="31FB9A15"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p>
        </w:tc>
        <w:tc>
          <w:tcPr>
            <w:tcW w:w="2086" w:type="dxa"/>
            <w:vAlign w:val="center"/>
          </w:tcPr>
          <w:p w14:paraId="1C52DB37"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课程</w:t>
            </w:r>
            <w:r w:rsidRPr="00C843E6">
              <w:rPr>
                <w:rFonts w:ascii="宋体" w:eastAsia="宋体" w:hAnsi="宋体" w:cs="Times New Roman"/>
                <w:sz w:val="24"/>
                <w:szCs w:val="24"/>
              </w:rPr>
              <w:t>目标</w:t>
            </w:r>
            <w:r w:rsidRPr="00C843E6">
              <w:rPr>
                <w:rFonts w:ascii="宋体" w:eastAsia="宋体" w:hAnsi="宋体" w:cs="Times New Roman" w:hint="eastAsia"/>
                <w:sz w:val="24"/>
                <w:szCs w:val="24"/>
              </w:rPr>
              <w:t>1、2</w:t>
            </w:r>
          </w:p>
        </w:tc>
        <w:tc>
          <w:tcPr>
            <w:tcW w:w="1267" w:type="dxa"/>
            <w:vAlign w:val="center"/>
          </w:tcPr>
          <w:p w14:paraId="31B0A0AD"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2</w:t>
            </w:r>
          </w:p>
        </w:tc>
      </w:tr>
      <w:tr w:rsidR="00C843E6" w:rsidRPr="00C843E6" w14:paraId="2784DE63" w14:textId="77777777" w:rsidTr="00106206">
        <w:trPr>
          <w:jc w:val="center"/>
        </w:trPr>
        <w:tc>
          <w:tcPr>
            <w:tcW w:w="3587" w:type="dxa"/>
            <w:vAlign w:val="center"/>
          </w:tcPr>
          <w:p w14:paraId="02D0A6BA" w14:textId="77777777" w:rsidR="00C843E6" w:rsidRPr="00C843E6" w:rsidRDefault="00C843E6" w:rsidP="00C843E6">
            <w:pPr>
              <w:adjustRightInd w:val="0"/>
              <w:snapToGrid w:val="0"/>
              <w:spacing w:line="440" w:lineRule="exact"/>
              <w:jc w:val="left"/>
              <w:rPr>
                <w:rFonts w:ascii="宋体" w:eastAsia="宋体" w:hAnsi="宋体" w:cs="Times New Roman"/>
                <w:sz w:val="24"/>
                <w:szCs w:val="24"/>
              </w:rPr>
            </w:pPr>
            <w:r w:rsidRPr="00C843E6">
              <w:rPr>
                <w:rFonts w:ascii="宋体" w:eastAsia="宋体" w:hAnsi="宋体" w:cs="Times New Roman" w:hint="eastAsia"/>
                <w:sz w:val="24"/>
                <w:szCs w:val="24"/>
              </w:rPr>
              <w:t>第七章 药用高分子包装材料</w:t>
            </w:r>
          </w:p>
        </w:tc>
        <w:tc>
          <w:tcPr>
            <w:tcW w:w="2228" w:type="dxa"/>
            <w:vAlign w:val="center"/>
          </w:tcPr>
          <w:p w14:paraId="1998DD14"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讲授法、案例教学</w:t>
            </w:r>
          </w:p>
        </w:tc>
        <w:tc>
          <w:tcPr>
            <w:tcW w:w="2086" w:type="dxa"/>
            <w:vAlign w:val="center"/>
          </w:tcPr>
          <w:p w14:paraId="186601E4"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课程</w:t>
            </w:r>
            <w:r w:rsidRPr="00C843E6">
              <w:rPr>
                <w:rFonts w:ascii="宋体" w:eastAsia="宋体" w:hAnsi="宋体" w:cs="Times New Roman"/>
                <w:sz w:val="24"/>
                <w:szCs w:val="24"/>
              </w:rPr>
              <w:t>目标</w:t>
            </w:r>
            <w:r w:rsidRPr="00C843E6">
              <w:rPr>
                <w:rFonts w:ascii="宋体" w:eastAsia="宋体" w:hAnsi="宋体" w:cs="Times New Roman" w:hint="eastAsia"/>
                <w:sz w:val="24"/>
                <w:szCs w:val="24"/>
              </w:rPr>
              <w:t>1、2、3</w:t>
            </w:r>
          </w:p>
        </w:tc>
        <w:tc>
          <w:tcPr>
            <w:tcW w:w="1267" w:type="dxa"/>
            <w:vAlign w:val="center"/>
          </w:tcPr>
          <w:p w14:paraId="1C634619"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2</w:t>
            </w:r>
          </w:p>
        </w:tc>
      </w:tr>
      <w:tr w:rsidR="00C843E6" w:rsidRPr="00C843E6" w14:paraId="556D4083" w14:textId="77777777" w:rsidTr="00106206">
        <w:trPr>
          <w:jc w:val="center"/>
        </w:trPr>
        <w:tc>
          <w:tcPr>
            <w:tcW w:w="7901" w:type="dxa"/>
            <w:gridSpan w:val="3"/>
            <w:vAlign w:val="center"/>
          </w:tcPr>
          <w:p w14:paraId="2F54435F" w14:textId="77777777" w:rsidR="00C843E6" w:rsidRPr="00C843E6" w:rsidRDefault="00C843E6" w:rsidP="00C843E6">
            <w:pPr>
              <w:adjustRightInd w:val="0"/>
              <w:snapToGrid w:val="0"/>
              <w:spacing w:line="440" w:lineRule="exact"/>
              <w:jc w:val="center"/>
              <w:rPr>
                <w:rFonts w:ascii="宋体" w:eastAsia="宋体" w:hAnsi="宋体" w:cs="Times New Roman"/>
                <w:b/>
                <w:sz w:val="24"/>
                <w:szCs w:val="24"/>
              </w:rPr>
            </w:pPr>
            <w:r w:rsidRPr="00C843E6">
              <w:rPr>
                <w:rFonts w:ascii="宋体" w:eastAsia="宋体" w:hAnsi="宋体" w:cs="Times New Roman" w:hint="eastAsia"/>
                <w:b/>
                <w:sz w:val="24"/>
                <w:szCs w:val="24"/>
              </w:rPr>
              <w:t>合计</w:t>
            </w:r>
          </w:p>
        </w:tc>
        <w:tc>
          <w:tcPr>
            <w:tcW w:w="1267" w:type="dxa"/>
            <w:vAlign w:val="center"/>
          </w:tcPr>
          <w:p w14:paraId="4EA97152" w14:textId="77777777" w:rsidR="00C843E6" w:rsidRPr="00C843E6" w:rsidRDefault="00C843E6" w:rsidP="00C843E6">
            <w:pPr>
              <w:adjustRightInd w:val="0"/>
              <w:snapToGrid w:val="0"/>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16</w:t>
            </w:r>
          </w:p>
        </w:tc>
      </w:tr>
    </w:tbl>
    <w:p w14:paraId="5B50C6BE" w14:textId="77777777" w:rsidR="00C843E6" w:rsidRPr="00C843E6" w:rsidRDefault="00C843E6" w:rsidP="00C63ECC">
      <w:pPr>
        <w:pStyle w:val="afc"/>
      </w:pPr>
      <w:bookmarkStart w:id="265" w:name="_Toc51933780"/>
      <w:r w:rsidRPr="00C843E6">
        <w:rPr>
          <w:rFonts w:hint="eastAsia"/>
        </w:rPr>
        <w:t>四、课程考核及与课程学习目标的对应关系</w:t>
      </w:r>
      <w:bookmarkEnd w:id="265"/>
    </w:p>
    <w:p w14:paraId="44E5491B" w14:textId="77777777" w:rsidR="00C843E6" w:rsidRPr="00C843E6" w:rsidRDefault="00C843E6" w:rsidP="00C843E6">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66" w:name="_Toc51933781"/>
      <w:r w:rsidRPr="00C843E6">
        <w:rPr>
          <w:rFonts w:ascii="黑体" w:eastAsia="黑体" w:hAnsi="黑体" w:cs="Times New Roman" w:hint="eastAsia"/>
          <w:sz w:val="28"/>
          <w:szCs w:val="28"/>
        </w:rPr>
        <w:t>（一）课程考核内容与课程学习目标的对应关系</w:t>
      </w:r>
      <w:bookmarkEnd w:id="266"/>
    </w:p>
    <w:tbl>
      <w:tblPr>
        <w:tblW w:w="9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7"/>
        <w:gridCol w:w="7471"/>
      </w:tblGrid>
      <w:tr w:rsidR="00C843E6" w:rsidRPr="00C843E6" w14:paraId="06459E3A" w14:textId="77777777" w:rsidTr="00106206">
        <w:trPr>
          <w:trHeight w:val="515"/>
          <w:jc w:val="center"/>
        </w:trPr>
        <w:tc>
          <w:tcPr>
            <w:tcW w:w="1697" w:type="dxa"/>
          </w:tcPr>
          <w:p w14:paraId="2B3261BC" w14:textId="77777777" w:rsidR="00C843E6" w:rsidRPr="00C843E6" w:rsidRDefault="00C843E6" w:rsidP="00C843E6">
            <w:pPr>
              <w:adjustRightInd w:val="0"/>
              <w:snapToGrid w:val="0"/>
              <w:spacing w:line="440" w:lineRule="exact"/>
              <w:jc w:val="center"/>
              <w:rPr>
                <w:rFonts w:ascii="宋体" w:eastAsia="宋体" w:hAnsi="宋体" w:cs="Times New Roman"/>
                <w:b/>
                <w:sz w:val="24"/>
                <w:szCs w:val="24"/>
              </w:rPr>
            </w:pPr>
            <w:r w:rsidRPr="00C843E6">
              <w:rPr>
                <w:rFonts w:ascii="宋体" w:eastAsia="宋体" w:hAnsi="宋体" w:cs="Times New Roman" w:hint="eastAsia"/>
                <w:b/>
                <w:sz w:val="24"/>
                <w:szCs w:val="24"/>
              </w:rPr>
              <w:t>课程目标</w:t>
            </w:r>
          </w:p>
        </w:tc>
        <w:tc>
          <w:tcPr>
            <w:tcW w:w="7471" w:type="dxa"/>
            <w:vAlign w:val="center"/>
          </w:tcPr>
          <w:p w14:paraId="46DC235E" w14:textId="77777777" w:rsidR="00C843E6" w:rsidRPr="00C843E6" w:rsidRDefault="00C843E6" w:rsidP="00C843E6">
            <w:pPr>
              <w:adjustRightInd w:val="0"/>
              <w:snapToGrid w:val="0"/>
              <w:spacing w:line="440" w:lineRule="exact"/>
              <w:jc w:val="center"/>
              <w:rPr>
                <w:rFonts w:ascii="宋体" w:eastAsia="宋体" w:hAnsi="宋体" w:cs="Times New Roman"/>
                <w:b/>
                <w:sz w:val="24"/>
                <w:szCs w:val="24"/>
              </w:rPr>
            </w:pPr>
            <w:r w:rsidRPr="00C843E6">
              <w:rPr>
                <w:rFonts w:ascii="宋体" w:eastAsia="宋体" w:hAnsi="宋体" w:cs="Times New Roman" w:hint="eastAsia"/>
                <w:b/>
                <w:sz w:val="24"/>
                <w:szCs w:val="24"/>
              </w:rPr>
              <w:t>考核内容</w:t>
            </w:r>
          </w:p>
        </w:tc>
      </w:tr>
      <w:tr w:rsidR="00C843E6" w:rsidRPr="00C843E6" w14:paraId="5CA57ED1" w14:textId="77777777" w:rsidTr="00106206">
        <w:trPr>
          <w:trHeight w:val="515"/>
          <w:jc w:val="center"/>
        </w:trPr>
        <w:tc>
          <w:tcPr>
            <w:tcW w:w="1697" w:type="dxa"/>
          </w:tcPr>
          <w:p w14:paraId="37D3B8B7" w14:textId="77777777" w:rsidR="00C843E6" w:rsidRPr="00C843E6" w:rsidRDefault="00C843E6" w:rsidP="00C843E6">
            <w:pPr>
              <w:adjustRightInd w:val="0"/>
              <w:snapToGrid w:val="0"/>
              <w:spacing w:line="440" w:lineRule="exact"/>
              <w:jc w:val="center"/>
              <w:rPr>
                <w:rFonts w:ascii="宋体" w:eastAsia="宋体" w:hAnsi="宋体" w:cs="Times New Roman"/>
                <w:b/>
                <w:sz w:val="24"/>
                <w:szCs w:val="24"/>
              </w:rPr>
            </w:pPr>
          </w:p>
        </w:tc>
        <w:tc>
          <w:tcPr>
            <w:tcW w:w="7471" w:type="dxa"/>
            <w:vAlign w:val="center"/>
          </w:tcPr>
          <w:p w14:paraId="50620D4F" w14:textId="77777777" w:rsidR="00C843E6" w:rsidRPr="00C843E6" w:rsidRDefault="00C843E6" w:rsidP="00C843E6">
            <w:pPr>
              <w:adjustRightInd w:val="0"/>
              <w:snapToGrid w:val="0"/>
              <w:spacing w:line="440" w:lineRule="exact"/>
              <w:jc w:val="center"/>
              <w:rPr>
                <w:rFonts w:ascii="宋体" w:eastAsia="宋体" w:hAnsi="宋体" w:cs="Times New Roman"/>
                <w:b/>
                <w:sz w:val="24"/>
                <w:szCs w:val="24"/>
              </w:rPr>
            </w:pPr>
          </w:p>
        </w:tc>
      </w:tr>
      <w:tr w:rsidR="00C843E6" w:rsidRPr="00C843E6" w14:paraId="75748275" w14:textId="77777777" w:rsidTr="00106206">
        <w:trPr>
          <w:trHeight w:val="3540"/>
          <w:jc w:val="center"/>
        </w:trPr>
        <w:tc>
          <w:tcPr>
            <w:tcW w:w="1697" w:type="dxa"/>
            <w:vAlign w:val="center"/>
          </w:tcPr>
          <w:p w14:paraId="53FF0013" w14:textId="77777777" w:rsidR="00C843E6" w:rsidRPr="00C843E6" w:rsidRDefault="00C843E6" w:rsidP="00C843E6">
            <w:pPr>
              <w:adjustRightInd w:val="0"/>
              <w:snapToGrid w:val="0"/>
              <w:spacing w:line="440" w:lineRule="exact"/>
              <w:jc w:val="center"/>
              <w:rPr>
                <w:rFonts w:ascii="宋体" w:eastAsia="宋体" w:hAnsi="宋体" w:cs="Times New Roman"/>
                <w:bCs/>
                <w:sz w:val="24"/>
                <w:szCs w:val="24"/>
              </w:rPr>
            </w:pPr>
            <w:r w:rsidRPr="00C843E6">
              <w:rPr>
                <w:rFonts w:ascii="宋体" w:eastAsia="宋体" w:hAnsi="宋体" w:cs="Times New Roman" w:hint="eastAsia"/>
                <w:bCs/>
                <w:sz w:val="24"/>
                <w:szCs w:val="24"/>
              </w:rPr>
              <w:lastRenderedPageBreak/>
              <w:t>课程目标1</w:t>
            </w:r>
          </w:p>
        </w:tc>
        <w:tc>
          <w:tcPr>
            <w:tcW w:w="7471" w:type="dxa"/>
            <w:vAlign w:val="center"/>
          </w:tcPr>
          <w:p w14:paraId="78B2C52C" w14:textId="77777777" w:rsidR="00C843E6" w:rsidRPr="00C843E6" w:rsidRDefault="00C843E6" w:rsidP="00C843E6">
            <w:pPr>
              <w:adjustRightInd w:val="0"/>
              <w:snapToGrid w:val="0"/>
              <w:spacing w:line="440" w:lineRule="exact"/>
              <w:rPr>
                <w:rFonts w:ascii="Times New Roman" w:eastAsia="宋体" w:hAnsi="Times New Roman" w:cs="Calibri"/>
                <w:kern w:val="0"/>
                <w:sz w:val="24"/>
                <w:szCs w:val="24"/>
              </w:rPr>
            </w:pPr>
            <w:r w:rsidRPr="00C843E6">
              <w:rPr>
                <w:rFonts w:ascii="宋体" w:eastAsia="宋体" w:hAnsi="宋体" w:cs="Times New Roman" w:hint="eastAsia"/>
                <w:sz w:val="24"/>
                <w:szCs w:val="24"/>
              </w:rPr>
              <w:t>1.1了解</w:t>
            </w:r>
            <w:r w:rsidRPr="00C843E6">
              <w:rPr>
                <w:rFonts w:ascii="宋体" w:eastAsia="宋体" w:hAnsi="宋体" w:cs="Times New Roman"/>
                <w:sz w:val="24"/>
                <w:szCs w:val="24"/>
              </w:rPr>
              <w:t>有关药用高分子材料的国内外法规和参考资料</w:t>
            </w:r>
            <w:r w:rsidRPr="00C843E6">
              <w:rPr>
                <w:rFonts w:ascii="宋体" w:eastAsia="宋体" w:hAnsi="宋体" w:cs="Times New Roman" w:hint="eastAsia"/>
                <w:sz w:val="24"/>
                <w:szCs w:val="24"/>
              </w:rPr>
              <w:t>，</w:t>
            </w:r>
            <w:r w:rsidRPr="00C843E6">
              <w:rPr>
                <w:rFonts w:ascii="Times New Roman" w:eastAsia="宋体" w:hAnsi="Times New Roman" w:cs="Calibri" w:hint="eastAsia"/>
                <w:kern w:val="0"/>
                <w:sz w:val="24"/>
                <w:szCs w:val="24"/>
              </w:rPr>
              <w:t>针对工业药剂领域的复杂工程问题，能够设计与选择合理的解决方案。</w:t>
            </w:r>
          </w:p>
          <w:p w14:paraId="7D4314E1" w14:textId="77777777" w:rsidR="00C843E6" w:rsidRPr="00C843E6" w:rsidRDefault="00C843E6" w:rsidP="00C843E6">
            <w:pPr>
              <w:adjustRightInd w:val="0"/>
              <w:snapToGrid w:val="0"/>
              <w:spacing w:line="440" w:lineRule="exact"/>
              <w:rPr>
                <w:rFonts w:ascii="宋体" w:eastAsia="宋体" w:hAnsi="宋体" w:cs="Times New Roman"/>
                <w:bCs/>
                <w:sz w:val="24"/>
                <w:szCs w:val="24"/>
              </w:rPr>
            </w:pPr>
            <w:r w:rsidRPr="00C843E6">
              <w:rPr>
                <w:rFonts w:ascii="宋体" w:eastAsia="宋体" w:hAnsi="宋体" w:cs="Times New Roman" w:hint="eastAsia"/>
                <w:bCs/>
                <w:sz w:val="24"/>
                <w:szCs w:val="24"/>
              </w:rPr>
              <w:t>1.2在学习药用高分子结构的分类、结构</w:t>
            </w:r>
            <w:r w:rsidRPr="00C843E6">
              <w:rPr>
                <w:rFonts w:ascii="宋体" w:eastAsia="宋体" w:hAnsi="宋体" w:cs="Times New Roman"/>
                <w:sz w:val="24"/>
                <w:szCs w:val="24"/>
              </w:rPr>
              <w:t>、合成和化学反应</w:t>
            </w:r>
            <w:r w:rsidRPr="00C843E6">
              <w:rPr>
                <w:rFonts w:ascii="宋体" w:eastAsia="宋体" w:hAnsi="宋体" w:cs="Times New Roman" w:hint="eastAsia"/>
                <w:sz w:val="24"/>
                <w:szCs w:val="24"/>
              </w:rPr>
              <w:t>、溶解性、溶胀等</w:t>
            </w:r>
            <w:r w:rsidRPr="00C843E6">
              <w:rPr>
                <w:rFonts w:ascii="宋体" w:eastAsia="宋体" w:hAnsi="宋体" w:cs="Times New Roman"/>
                <w:sz w:val="24"/>
                <w:szCs w:val="24"/>
              </w:rPr>
              <w:t>物理化学性质</w:t>
            </w:r>
            <w:r w:rsidRPr="00C843E6">
              <w:rPr>
                <w:rFonts w:ascii="宋体" w:eastAsia="宋体" w:hAnsi="宋体" w:cs="Times New Roman" w:hint="eastAsia"/>
                <w:sz w:val="24"/>
                <w:szCs w:val="24"/>
              </w:rPr>
              <w:t>的基础上，对影响工业药物制剂产品质量的高分子辅料问题，给出合理的解决方案。</w:t>
            </w:r>
          </w:p>
          <w:p w14:paraId="1184EB29" w14:textId="77777777" w:rsidR="00C843E6" w:rsidRPr="00C843E6" w:rsidRDefault="00C843E6" w:rsidP="00C843E6">
            <w:pPr>
              <w:adjustRightInd w:val="0"/>
              <w:snapToGrid w:val="0"/>
              <w:spacing w:line="440" w:lineRule="exact"/>
              <w:rPr>
                <w:rFonts w:ascii="宋体" w:eastAsia="宋体" w:hAnsi="宋体" w:cs="Times New Roman"/>
                <w:bCs/>
                <w:sz w:val="24"/>
                <w:szCs w:val="24"/>
              </w:rPr>
            </w:pPr>
            <w:r w:rsidRPr="00C843E6">
              <w:rPr>
                <w:rFonts w:ascii="宋体" w:eastAsia="宋体" w:hAnsi="宋体" w:cs="Times New Roman" w:hint="eastAsia"/>
                <w:bCs/>
                <w:sz w:val="24"/>
                <w:szCs w:val="24"/>
              </w:rPr>
              <w:t>1.3淀粉和纤维素及其衍生物的物理化学性质及衍生物在药剂学中的应用后，能够</w:t>
            </w:r>
            <w:r w:rsidRPr="00C843E6">
              <w:rPr>
                <w:rFonts w:ascii="Times New Roman" w:eastAsia="宋体" w:hAnsi="Times New Roman" w:cs="Calibri" w:hint="eastAsia"/>
                <w:kern w:val="0"/>
                <w:sz w:val="24"/>
                <w:szCs w:val="24"/>
              </w:rPr>
              <w:t>在社会、安全、环境、法律等约束条件下，</w:t>
            </w:r>
            <w:r w:rsidRPr="00C843E6">
              <w:rPr>
                <w:rFonts w:ascii="宋体" w:eastAsia="宋体" w:hAnsi="宋体" w:cs="Times New Roman" w:hint="eastAsia"/>
                <w:bCs/>
                <w:sz w:val="24"/>
                <w:szCs w:val="24"/>
              </w:rPr>
              <w:t>对</w:t>
            </w:r>
            <w:r w:rsidRPr="00C843E6">
              <w:rPr>
                <w:rFonts w:ascii="Times New Roman" w:eastAsia="宋体" w:hAnsi="Times New Roman" w:cs="Calibri" w:hint="eastAsia"/>
                <w:kern w:val="0"/>
                <w:sz w:val="24"/>
                <w:szCs w:val="24"/>
              </w:rPr>
              <w:t>工业药剂领域各种功能填加剂使用的复杂问题，能够设计与选择合理的解决方案。</w:t>
            </w:r>
          </w:p>
          <w:p w14:paraId="333E3B45" w14:textId="77777777" w:rsidR="00C843E6" w:rsidRPr="00C843E6" w:rsidRDefault="00C843E6" w:rsidP="00C843E6">
            <w:pPr>
              <w:adjustRightInd w:val="0"/>
              <w:snapToGrid w:val="0"/>
              <w:spacing w:line="440" w:lineRule="exact"/>
              <w:rPr>
                <w:rFonts w:ascii="宋体" w:eastAsia="宋体" w:hAnsi="宋体" w:cs="Times New Roman"/>
                <w:bCs/>
                <w:sz w:val="24"/>
                <w:szCs w:val="24"/>
              </w:rPr>
            </w:pPr>
            <w:r w:rsidRPr="00C843E6">
              <w:rPr>
                <w:rFonts w:ascii="宋体" w:eastAsia="宋体" w:hAnsi="宋体" w:cs="Times New Roman" w:hint="eastAsia"/>
                <w:bCs/>
                <w:sz w:val="24"/>
                <w:szCs w:val="24"/>
              </w:rPr>
              <w:t>1.4通过</w:t>
            </w:r>
            <w:r w:rsidRPr="00C843E6">
              <w:rPr>
                <w:rFonts w:ascii="宋体" w:eastAsia="宋体" w:hAnsi="宋体" w:cs="Times New Roman" w:hint="eastAsia"/>
                <w:sz w:val="24"/>
                <w:szCs w:val="24"/>
              </w:rPr>
              <w:t>合成药用高分子材料</w:t>
            </w:r>
            <w:r w:rsidRPr="00C843E6">
              <w:rPr>
                <w:rFonts w:ascii="宋体" w:eastAsia="宋体" w:hAnsi="宋体" w:cs="Times New Roman" w:hint="eastAsia"/>
                <w:bCs/>
                <w:sz w:val="24"/>
                <w:szCs w:val="24"/>
              </w:rPr>
              <w:t>的物理化学性质和药剂学中的应用的学习，能能够</w:t>
            </w:r>
            <w:r w:rsidRPr="00C843E6">
              <w:rPr>
                <w:rFonts w:ascii="Times New Roman" w:eastAsia="宋体" w:hAnsi="Times New Roman" w:cs="Calibri" w:hint="eastAsia"/>
                <w:kern w:val="0"/>
                <w:sz w:val="24"/>
                <w:szCs w:val="24"/>
              </w:rPr>
              <w:t>在社会、安全、环境、法律等约束条件下，</w:t>
            </w:r>
            <w:r w:rsidRPr="00C843E6">
              <w:rPr>
                <w:rFonts w:ascii="宋体" w:eastAsia="宋体" w:hAnsi="宋体" w:cs="Times New Roman" w:hint="eastAsia"/>
                <w:bCs/>
                <w:sz w:val="24"/>
                <w:szCs w:val="24"/>
              </w:rPr>
              <w:t>对</w:t>
            </w:r>
            <w:r w:rsidRPr="00C843E6">
              <w:rPr>
                <w:rFonts w:ascii="Times New Roman" w:eastAsia="宋体" w:hAnsi="Times New Roman" w:cs="Calibri" w:hint="eastAsia"/>
                <w:kern w:val="0"/>
                <w:sz w:val="24"/>
                <w:szCs w:val="24"/>
              </w:rPr>
              <w:t>功能性合成高分子材料使用的复杂问题，能够设计与选择合理的解决方案。</w:t>
            </w:r>
          </w:p>
        </w:tc>
      </w:tr>
      <w:tr w:rsidR="00C843E6" w:rsidRPr="00C843E6" w14:paraId="35C1F8C2" w14:textId="77777777" w:rsidTr="00106206">
        <w:trPr>
          <w:trHeight w:val="3198"/>
          <w:jc w:val="center"/>
        </w:trPr>
        <w:tc>
          <w:tcPr>
            <w:tcW w:w="1697" w:type="dxa"/>
            <w:vAlign w:val="center"/>
          </w:tcPr>
          <w:p w14:paraId="11BDABC8" w14:textId="77777777" w:rsidR="00C843E6" w:rsidRPr="00C843E6" w:rsidRDefault="00C843E6" w:rsidP="00C843E6">
            <w:pPr>
              <w:adjustRightInd w:val="0"/>
              <w:snapToGrid w:val="0"/>
              <w:spacing w:line="440" w:lineRule="exact"/>
              <w:jc w:val="center"/>
              <w:rPr>
                <w:rFonts w:ascii="宋体" w:eastAsia="宋体" w:hAnsi="宋体" w:cs="Times New Roman"/>
                <w:bCs/>
                <w:sz w:val="24"/>
                <w:szCs w:val="24"/>
              </w:rPr>
            </w:pPr>
            <w:r w:rsidRPr="00C843E6">
              <w:rPr>
                <w:rFonts w:ascii="宋体" w:eastAsia="宋体" w:hAnsi="宋体" w:cs="Times New Roman" w:hint="eastAsia"/>
                <w:bCs/>
                <w:sz w:val="24"/>
                <w:szCs w:val="24"/>
              </w:rPr>
              <w:t>课程目标2</w:t>
            </w:r>
          </w:p>
        </w:tc>
        <w:tc>
          <w:tcPr>
            <w:tcW w:w="7471" w:type="dxa"/>
            <w:vAlign w:val="center"/>
          </w:tcPr>
          <w:p w14:paraId="3473D313" w14:textId="77777777" w:rsidR="00C843E6" w:rsidRPr="00C843E6" w:rsidRDefault="00C843E6" w:rsidP="00C843E6">
            <w:pPr>
              <w:adjustRightInd w:val="0"/>
              <w:snapToGrid w:val="0"/>
              <w:spacing w:line="440" w:lineRule="exact"/>
              <w:rPr>
                <w:rFonts w:ascii="Times New Roman" w:eastAsia="宋体" w:hAnsi="Times New Roman" w:cs="Calibri"/>
                <w:kern w:val="0"/>
                <w:sz w:val="24"/>
                <w:szCs w:val="24"/>
              </w:rPr>
            </w:pPr>
            <w:r w:rsidRPr="00C843E6">
              <w:rPr>
                <w:rFonts w:ascii="宋体" w:eastAsia="宋体" w:hAnsi="宋体" w:cs="Times New Roman" w:hint="eastAsia"/>
                <w:bCs/>
                <w:sz w:val="24"/>
                <w:szCs w:val="24"/>
              </w:rPr>
              <w:t>1.1通过</w:t>
            </w:r>
            <w:r w:rsidRPr="00C843E6">
              <w:rPr>
                <w:rFonts w:ascii="宋体" w:eastAsia="宋体" w:hAnsi="宋体" w:cs="Times New Roman" w:hint="eastAsia"/>
                <w:sz w:val="24"/>
                <w:szCs w:val="24"/>
              </w:rPr>
              <w:t>合成药用高分子材料的学习，</w:t>
            </w:r>
            <w:r w:rsidRPr="00C843E6">
              <w:rPr>
                <w:rFonts w:ascii="Times New Roman" w:eastAsia="宋体" w:hAnsi="Times New Roman" w:cs="Calibri" w:hint="eastAsia"/>
                <w:kern w:val="0"/>
                <w:sz w:val="24"/>
                <w:szCs w:val="24"/>
              </w:rPr>
              <w:t>能够正确评价工业药剂专业工程实践和复杂工程问题的解决方案以及对社会、健康、安全、法律以及文化的影响，并理解应承担的责任。</w:t>
            </w:r>
          </w:p>
          <w:p w14:paraId="5A755B50" w14:textId="77777777" w:rsidR="00C843E6" w:rsidRPr="00C843E6" w:rsidRDefault="00C843E6" w:rsidP="00C843E6">
            <w:pPr>
              <w:adjustRightInd w:val="0"/>
              <w:snapToGrid w:val="0"/>
              <w:spacing w:line="440" w:lineRule="exact"/>
              <w:rPr>
                <w:rFonts w:ascii="Times New Roman" w:eastAsia="宋体" w:hAnsi="Times New Roman" w:cs="Calibri"/>
                <w:kern w:val="0"/>
                <w:sz w:val="24"/>
                <w:szCs w:val="24"/>
              </w:rPr>
            </w:pPr>
            <w:r w:rsidRPr="00C843E6">
              <w:rPr>
                <w:rFonts w:ascii="Times New Roman" w:eastAsia="宋体" w:hAnsi="Times New Roman" w:cs="Calibri" w:hint="eastAsia"/>
                <w:kern w:val="0"/>
                <w:sz w:val="24"/>
                <w:szCs w:val="24"/>
              </w:rPr>
              <w:t>1.2</w:t>
            </w:r>
            <w:r w:rsidRPr="00C843E6">
              <w:rPr>
                <w:rFonts w:ascii="宋体" w:eastAsia="宋体" w:hAnsi="宋体" w:cs="Times New Roman" w:hint="eastAsia"/>
                <w:bCs/>
                <w:sz w:val="24"/>
                <w:szCs w:val="24"/>
              </w:rPr>
              <w:t>通过</w:t>
            </w:r>
            <w:r w:rsidRPr="00C843E6">
              <w:rPr>
                <w:rFonts w:ascii="宋体" w:eastAsia="宋体" w:hAnsi="宋体" w:cs="Times New Roman" w:hint="eastAsia"/>
                <w:sz w:val="24"/>
                <w:szCs w:val="24"/>
              </w:rPr>
              <w:t>天然药用高分子材料中淀粉和纤维素及衍生物的学习，</w:t>
            </w:r>
            <w:r w:rsidRPr="00C843E6">
              <w:rPr>
                <w:rFonts w:ascii="Times New Roman" w:eastAsia="宋体" w:hAnsi="Times New Roman" w:cs="Calibri" w:hint="eastAsia"/>
                <w:kern w:val="0"/>
                <w:sz w:val="24"/>
                <w:szCs w:val="24"/>
              </w:rPr>
              <w:t>能够正确评价天然药用高分子材料的安全性以及对社会、健康的影响。通过</w:t>
            </w:r>
            <w:r w:rsidRPr="00C843E6">
              <w:rPr>
                <w:rFonts w:ascii="宋体" w:eastAsia="宋体" w:hAnsi="宋体" w:cs="Times New Roman" w:hint="eastAsia"/>
                <w:sz w:val="24"/>
                <w:szCs w:val="24"/>
              </w:rPr>
              <w:t>其他药用高分子材料、预制品的学习，能够进一步了解药用高分子材料对工业药剂学的全面影响。</w:t>
            </w:r>
          </w:p>
          <w:p w14:paraId="633CFCFA" w14:textId="77777777" w:rsidR="00C843E6" w:rsidRPr="00C843E6" w:rsidRDefault="00C843E6" w:rsidP="00C843E6">
            <w:pPr>
              <w:adjustRightInd w:val="0"/>
              <w:snapToGrid w:val="0"/>
              <w:spacing w:line="440" w:lineRule="exact"/>
              <w:rPr>
                <w:rFonts w:ascii="宋体" w:eastAsia="宋体" w:hAnsi="宋体" w:cs="Times New Roman"/>
                <w:sz w:val="24"/>
                <w:szCs w:val="24"/>
              </w:rPr>
            </w:pPr>
            <w:r w:rsidRPr="00C843E6">
              <w:rPr>
                <w:rFonts w:ascii="Times New Roman" w:eastAsia="宋体" w:hAnsi="Times New Roman" w:cs="Calibri" w:hint="eastAsia"/>
                <w:kern w:val="0"/>
                <w:sz w:val="24"/>
                <w:szCs w:val="24"/>
              </w:rPr>
              <w:t>1.3</w:t>
            </w:r>
            <w:r w:rsidRPr="00C843E6">
              <w:rPr>
                <w:rFonts w:ascii="宋体" w:eastAsia="宋体" w:hAnsi="宋体" w:cs="Times New Roman" w:hint="eastAsia"/>
                <w:bCs/>
                <w:sz w:val="24"/>
                <w:szCs w:val="24"/>
              </w:rPr>
              <w:t>药用高分子结构的分类、结构</w:t>
            </w:r>
            <w:r w:rsidRPr="00C843E6">
              <w:rPr>
                <w:rFonts w:ascii="宋体" w:eastAsia="宋体" w:hAnsi="宋体" w:cs="Times New Roman"/>
                <w:sz w:val="24"/>
                <w:szCs w:val="24"/>
              </w:rPr>
              <w:t>、合成和化学反应</w:t>
            </w:r>
            <w:r w:rsidRPr="00C843E6">
              <w:rPr>
                <w:rFonts w:ascii="宋体" w:eastAsia="宋体" w:hAnsi="宋体" w:cs="Times New Roman" w:hint="eastAsia"/>
                <w:sz w:val="24"/>
                <w:szCs w:val="24"/>
              </w:rPr>
              <w:t>，能够正确认识到药用辅料的复杂性对工业药剂学复杂工程问题的影响。</w:t>
            </w:r>
          </w:p>
        </w:tc>
      </w:tr>
      <w:tr w:rsidR="00C843E6" w:rsidRPr="00C843E6" w14:paraId="7A9CEF0A" w14:textId="77777777" w:rsidTr="00106206">
        <w:trPr>
          <w:trHeight w:val="1647"/>
          <w:jc w:val="center"/>
        </w:trPr>
        <w:tc>
          <w:tcPr>
            <w:tcW w:w="1697" w:type="dxa"/>
            <w:vAlign w:val="center"/>
          </w:tcPr>
          <w:p w14:paraId="6D710091" w14:textId="77777777" w:rsidR="00C843E6" w:rsidRPr="00C843E6" w:rsidRDefault="00C843E6" w:rsidP="00C843E6">
            <w:pPr>
              <w:adjustRightInd w:val="0"/>
              <w:snapToGrid w:val="0"/>
              <w:spacing w:line="440" w:lineRule="exact"/>
              <w:jc w:val="center"/>
              <w:rPr>
                <w:rFonts w:ascii="宋体" w:eastAsia="宋体" w:hAnsi="宋体" w:cs="Times New Roman"/>
                <w:bCs/>
                <w:sz w:val="24"/>
                <w:szCs w:val="24"/>
              </w:rPr>
            </w:pPr>
            <w:r w:rsidRPr="00C843E6">
              <w:rPr>
                <w:rFonts w:ascii="宋体" w:eastAsia="宋体" w:hAnsi="宋体" w:cs="Times New Roman" w:hint="eastAsia"/>
                <w:bCs/>
                <w:sz w:val="24"/>
                <w:szCs w:val="24"/>
              </w:rPr>
              <w:t>课程目标3</w:t>
            </w:r>
          </w:p>
        </w:tc>
        <w:tc>
          <w:tcPr>
            <w:tcW w:w="7471" w:type="dxa"/>
            <w:vAlign w:val="center"/>
          </w:tcPr>
          <w:p w14:paraId="232FAF91" w14:textId="77777777" w:rsidR="00C843E6" w:rsidRPr="00C843E6" w:rsidRDefault="00C843E6" w:rsidP="00C843E6">
            <w:pPr>
              <w:adjustRightInd w:val="0"/>
              <w:snapToGrid w:val="0"/>
              <w:spacing w:line="440" w:lineRule="exact"/>
              <w:rPr>
                <w:rFonts w:ascii="宋体" w:eastAsia="宋体" w:hAnsi="宋体" w:cs="Times New Roman"/>
                <w:bCs/>
                <w:sz w:val="24"/>
                <w:szCs w:val="24"/>
              </w:rPr>
            </w:pPr>
            <w:r w:rsidRPr="00C843E6">
              <w:rPr>
                <w:rFonts w:ascii="宋体" w:eastAsia="宋体" w:hAnsi="宋体" w:cs="Times New Roman" w:hint="eastAsia"/>
                <w:sz w:val="24"/>
                <w:szCs w:val="24"/>
              </w:rPr>
              <w:t>1通过</w:t>
            </w:r>
            <w:r w:rsidRPr="00C843E6">
              <w:rPr>
                <w:rFonts w:ascii="宋体" w:eastAsia="宋体" w:hAnsi="宋体" w:cs="Times New Roman" w:hint="eastAsia"/>
                <w:bCs/>
                <w:sz w:val="24"/>
                <w:szCs w:val="24"/>
              </w:rPr>
              <w:t>药用高分子材料在药物制剂产品的成本计算分析，能够简单</w:t>
            </w:r>
            <w:r w:rsidRPr="00C843E6">
              <w:rPr>
                <w:rFonts w:ascii="Times New Roman" w:eastAsia="宋体" w:hAnsi="Times New Roman" w:cs="Calibri" w:hint="eastAsia"/>
                <w:kern w:val="0"/>
                <w:sz w:val="24"/>
                <w:szCs w:val="24"/>
              </w:rPr>
              <w:t>掌握工业药剂学管理原理与经济决策方法</w:t>
            </w:r>
            <w:r w:rsidRPr="00C843E6">
              <w:rPr>
                <w:rFonts w:ascii="宋体" w:eastAsia="宋体" w:hAnsi="宋体" w:cs="Times New Roman" w:hint="eastAsia"/>
                <w:bCs/>
                <w:sz w:val="24"/>
                <w:szCs w:val="24"/>
              </w:rPr>
              <w:t>。</w:t>
            </w:r>
          </w:p>
          <w:p w14:paraId="776F0EEF" w14:textId="77777777" w:rsidR="00C843E6" w:rsidRPr="00C843E6" w:rsidRDefault="00C843E6" w:rsidP="00C843E6">
            <w:pPr>
              <w:adjustRightInd w:val="0"/>
              <w:snapToGrid w:val="0"/>
              <w:spacing w:line="440" w:lineRule="exact"/>
              <w:rPr>
                <w:rFonts w:ascii="宋体" w:eastAsia="宋体" w:hAnsi="宋体" w:cs="Times New Roman"/>
                <w:bCs/>
                <w:sz w:val="24"/>
                <w:szCs w:val="24"/>
              </w:rPr>
            </w:pPr>
            <w:r w:rsidRPr="00C843E6">
              <w:rPr>
                <w:rFonts w:ascii="Times New Roman" w:eastAsia="宋体" w:hAnsi="Times New Roman" w:cs="Calibri" w:hint="eastAsia"/>
                <w:kern w:val="0"/>
                <w:sz w:val="24"/>
                <w:szCs w:val="24"/>
              </w:rPr>
              <w:t>2</w:t>
            </w:r>
            <w:r w:rsidRPr="00C843E6">
              <w:rPr>
                <w:rFonts w:ascii="Times New Roman" w:eastAsia="宋体" w:hAnsi="Times New Roman" w:cs="Calibri" w:hint="eastAsia"/>
                <w:kern w:val="0"/>
                <w:sz w:val="24"/>
                <w:szCs w:val="24"/>
              </w:rPr>
              <w:t>通过</w:t>
            </w:r>
            <w:r w:rsidRPr="00C843E6">
              <w:rPr>
                <w:rFonts w:ascii="宋体" w:eastAsia="宋体" w:hAnsi="宋体" w:cs="Times New Roman" w:hint="eastAsia"/>
                <w:sz w:val="24"/>
                <w:szCs w:val="24"/>
              </w:rPr>
              <w:t>药用高分子包装材料的学习，对药物直接和间接接触的包装材料进行研究，了解包装材料的合</w:t>
            </w:r>
            <w:proofErr w:type="gramStart"/>
            <w:r w:rsidRPr="00C843E6">
              <w:rPr>
                <w:rFonts w:ascii="宋体" w:eastAsia="宋体" w:hAnsi="宋体" w:cs="Times New Roman" w:hint="eastAsia"/>
                <w:sz w:val="24"/>
                <w:szCs w:val="24"/>
              </w:rPr>
              <w:t>规</w:t>
            </w:r>
            <w:proofErr w:type="gramEnd"/>
            <w:r w:rsidRPr="00C843E6">
              <w:rPr>
                <w:rFonts w:ascii="宋体" w:eastAsia="宋体" w:hAnsi="宋体" w:cs="Times New Roman" w:hint="eastAsia"/>
                <w:sz w:val="24"/>
                <w:szCs w:val="24"/>
              </w:rPr>
              <w:t>性以及对药品成本的影响。</w:t>
            </w:r>
          </w:p>
        </w:tc>
      </w:tr>
    </w:tbl>
    <w:p w14:paraId="718B5B86" w14:textId="77777777" w:rsidR="00C843E6" w:rsidRPr="00C843E6" w:rsidRDefault="00C843E6" w:rsidP="00C843E6">
      <w:pPr>
        <w:adjustRightInd w:val="0"/>
        <w:snapToGrid w:val="0"/>
        <w:spacing w:beforeLines="50" w:before="156" w:afterLines="50" w:after="156" w:line="440" w:lineRule="exact"/>
        <w:ind w:firstLineChars="200" w:firstLine="560"/>
        <w:outlineLvl w:val="0"/>
        <w:rPr>
          <w:rFonts w:ascii="黑体" w:eastAsia="黑体" w:hAnsi="黑体" w:cs="Times New Roman"/>
          <w:sz w:val="28"/>
          <w:szCs w:val="28"/>
        </w:rPr>
      </w:pPr>
      <w:bookmarkStart w:id="267" w:name="_Toc51933759"/>
      <w:bookmarkStart w:id="268" w:name="_Toc51933788"/>
    </w:p>
    <w:p w14:paraId="0A431E7E" w14:textId="77777777" w:rsidR="00C843E6" w:rsidRPr="00C843E6" w:rsidRDefault="00C843E6" w:rsidP="00C63ECC">
      <w:pPr>
        <w:pStyle w:val="afc"/>
      </w:pPr>
      <w:r w:rsidRPr="00C843E6">
        <w:rPr>
          <w:rFonts w:hint="eastAsia"/>
        </w:rPr>
        <w:t>（二）课程考核方式</w:t>
      </w:r>
    </w:p>
    <w:p w14:paraId="4BF57029"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课程考核方式分为平时考核和期末考核。</w:t>
      </w:r>
    </w:p>
    <w:p w14:paraId="21DCAB10"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平时考核方式包括：课堂表现、平时作业；</w:t>
      </w:r>
    </w:p>
    <w:p w14:paraId="299B5A4F"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期末考核采用闭卷考试</w:t>
      </w:r>
    </w:p>
    <w:p w14:paraId="47E445D7" w14:textId="77777777" w:rsidR="00C843E6" w:rsidRPr="00C843E6" w:rsidRDefault="00C843E6" w:rsidP="00C63ECC">
      <w:pPr>
        <w:pStyle w:val="afc"/>
      </w:pPr>
      <w:r w:rsidRPr="00C843E6">
        <w:rPr>
          <w:rFonts w:hint="eastAsia"/>
        </w:rPr>
        <w:t>（三）课程目标达成评价方式及考核比例</w:t>
      </w:r>
    </w:p>
    <w:p w14:paraId="1B582B57"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lastRenderedPageBreak/>
        <w:t>本课程共有3个课程目标，考核方式及成绩比例分别为：</w:t>
      </w:r>
    </w:p>
    <w:p w14:paraId="2083611B" w14:textId="77777777" w:rsidR="00C843E6" w:rsidRPr="00C843E6" w:rsidRDefault="00C843E6" w:rsidP="00C843E6">
      <w:pPr>
        <w:spacing w:line="440" w:lineRule="exact"/>
        <w:ind w:firstLineChars="200" w:firstLine="480"/>
        <w:rPr>
          <w:rFonts w:ascii="宋体" w:eastAsia="宋体" w:hAnsi="宋体" w:cs="Times New Roman"/>
          <w:sz w:val="24"/>
          <w:szCs w:val="24"/>
        </w:rPr>
      </w:pPr>
      <w:bookmarkStart w:id="269" w:name="_Toc51933761"/>
      <w:bookmarkEnd w:id="267"/>
      <w:r w:rsidRPr="00C843E6">
        <w:rPr>
          <w:rFonts w:ascii="宋体" w:eastAsia="宋体" w:hAnsi="宋体" w:cs="Times New Roman"/>
          <w:sz w:val="24"/>
          <w:szCs w:val="24"/>
        </w:rPr>
        <w:t>课程目标1：</w:t>
      </w:r>
      <w:r w:rsidRPr="00C843E6">
        <w:rPr>
          <w:rFonts w:ascii="宋体" w:eastAsia="宋体" w:hAnsi="宋体" w:cs="Times New Roman" w:hint="eastAsia"/>
          <w:sz w:val="24"/>
          <w:szCs w:val="24"/>
        </w:rPr>
        <w:t>线上</w:t>
      </w:r>
      <w:r w:rsidRPr="00C843E6">
        <w:rPr>
          <w:rFonts w:ascii="宋体" w:eastAsia="宋体" w:hAnsi="宋体" w:cs="Times New Roman"/>
          <w:sz w:val="24"/>
          <w:szCs w:val="24"/>
        </w:rPr>
        <w:t>学习</w:t>
      </w:r>
      <w:r w:rsidRPr="00C843E6">
        <w:rPr>
          <w:rFonts w:ascii="宋体" w:eastAsia="宋体" w:hAnsi="宋体" w:cs="Times New Roman" w:hint="eastAsia"/>
          <w:sz w:val="24"/>
          <w:szCs w:val="24"/>
        </w:rPr>
        <w:t>10</w:t>
      </w:r>
      <w:r w:rsidRPr="00C843E6">
        <w:rPr>
          <w:rFonts w:ascii="宋体" w:eastAsia="宋体" w:hAnsi="宋体" w:cs="Times New Roman"/>
          <w:sz w:val="24"/>
          <w:szCs w:val="24"/>
        </w:rPr>
        <w:t>%+</w:t>
      </w:r>
      <w:r w:rsidRPr="00C843E6">
        <w:rPr>
          <w:rFonts w:ascii="宋体" w:eastAsia="宋体" w:hAnsi="宋体" w:cs="Times New Roman" w:hint="eastAsia"/>
          <w:sz w:val="24"/>
          <w:szCs w:val="24"/>
        </w:rPr>
        <w:t>随堂测试10%</w:t>
      </w:r>
      <w:r w:rsidRPr="00C843E6">
        <w:rPr>
          <w:rFonts w:ascii="宋体" w:eastAsia="宋体" w:hAnsi="宋体" w:cs="Times New Roman"/>
          <w:sz w:val="24"/>
          <w:szCs w:val="24"/>
        </w:rPr>
        <w:t>+平时作业</w:t>
      </w:r>
      <w:r w:rsidRPr="00C843E6">
        <w:rPr>
          <w:rFonts w:ascii="宋体" w:eastAsia="宋体" w:hAnsi="宋体" w:cs="Times New Roman" w:hint="eastAsia"/>
          <w:sz w:val="24"/>
          <w:szCs w:val="24"/>
        </w:rPr>
        <w:t>8</w:t>
      </w:r>
      <w:r w:rsidRPr="00C843E6">
        <w:rPr>
          <w:rFonts w:ascii="宋体" w:eastAsia="宋体" w:hAnsi="宋体" w:cs="Times New Roman"/>
          <w:sz w:val="24"/>
          <w:szCs w:val="24"/>
        </w:rPr>
        <w:t>%+期末考试</w:t>
      </w:r>
      <w:r w:rsidRPr="00C843E6">
        <w:rPr>
          <w:rFonts w:ascii="宋体" w:eastAsia="宋体" w:hAnsi="宋体" w:cs="Times New Roman" w:hint="eastAsia"/>
          <w:sz w:val="24"/>
          <w:szCs w:val="24"/>
        </w:rPr>
        <w:t>30</w:t>
      </w:r>
      <w:r w:rsidRPr="00C843E6">
        <w:rPr>
          <w:rFonts w:ascii="宋体" w:eastAsia="宋体" w:hAnsi="宋体" w:cs="Times New Roman"/>
          <w:sz w:val="24"/>
          <w:szCs w:val="24"/>
        </w:rPr>
        <w:t>%</w:t>
      </w:r>
    </w:p>
    <w:p w14:paraId="6B30FAA2"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课程目标2：</w:t>
      </w:r>
      <w:r w:rsidRPr="00C843E6">
        <w:rPr>
          <w:rFonts w:ascii="宋体" w:eastAsia="宋体" w:hAnsi="宋体" w:cs="Times New Roman" w:hint="eastAsia"/>
          <w:sz w:val="24"/>
          <w:szCs w:val="24"/>
        </w:rPr>
        <w:t>随堂测试10%</w:t>
      </w:r>
      <w:r w:rsidRPr="00C843E6">
        <w:rPr>
          <w:rFonts w:ascii="宋体" w:eastAsia="宋体" w:hAnsi="宋体" w:cs="Times New Roman"/>
          <w:sz w:val="24"/>
          <w:szCs w:val="24"/>
        </w:rPr>
        <w:t>+平时作业</w:t>
      </w:r>
      <w:r w:rsidRPr="00C843E6">
        <w:rPr>
          <w:rFonts w:ascii="宋体" w:eastAsia="宋体" w:hAnsi="宋体" w:cs="Times New Roman" w:hint="eastAsia"/>
          <w:sz w:val="24"/>
          <w:szCs w:val="24"/>
        </w:rPr>
        <w:t>6</w:t>
      </w:r>
      <w:r w:rsidRPr="00C843E6">
        <w:rPr>
          <w:rFonts w:ascii="宋体" w:eastAsia="宋体" w:hAnsi="宋体" w:cs="Times New Roman"/>
          <w:sz w:val="24"/>
          <w:szCs w:val="24"/>
        </w:rPr>
        <w:t>%+期末考试</w:t>
      </w:r>
      <w:r w:rsidRPr="00C843E6">
        <w:rPr>
          <w:rFonts w:ascii="宋体" w:eastAsia="宋体" w:hAnsi="宋体" w:cs="Times New Roman" w:hint="eastAsia"/>
          <w:sz w:val="24"/>
          <w:szCs w:val="24"/>
        </w:rPr>
        <w:t>10</w:t>
      </w:r>
      <w:r w:rsidRPr="00C843E6">
        <w:rPr>
          <w:rFonts w:ascii="宋体" w:eastAsia="宋体" w:hAnsi="宋体" w:cs="Times New Roman"/>
          <w:sz w:val="24"/>
          <w:szCs w:val="24"/>
        </w:rPr>
        <w:t>%</w:t>
      </w:r>
    </w:p>
    <w:p w14:paraId="510C1109"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课程目标</w:t>
      </w:r>
      <w:r w:rsidRPr="00C843E6">
        <w:rPr>
          <w:rFonts w:ascii="宋体" w:eastAsia="宋体" w:hAnsi="宋体" w:cs="Times New Roman" w:hint="eastAsia"/>
          <w:sz w:val="24"/>
          <w:szCs w:val="24"/>
        </w:rPr>
        <w:t>3</w:t>
      </w:r>
      <w:r w:rsidRPr="00C843E6">
        <w:rPr>
          <w:rFonts w:ascii="宋体" w:eastAsia="宋体" w:hAnsi="宋体" w:cs="Times New Roman"/>
          <w:sz w:val="24"/>
          <w:szCs w:val="24"/>
        </w:rPr>
        <w:t>：平时作业</w:t>
      </w:r>
      <w:r w:rsidRPr="00C843E6">
        <w:rPr>
          <w:rFonts w:ascii="宋体" w:eastAsia="宋体" w:hAnsi="宋体" w:cs="Times New Roman" w:hint="eastAsia"/>
          <w:sz w:val="24"/>
          <w:szCs w:val="24"/>
        </w:rPr>
        <w:t>6</w:t>
      </w:r>
      <w:r w:rsidRPr="00C843E6">
        <w:rPr>
          <w:rFonts w:ascii="宋体" w:eastAsia="宋体" w:hAnsi="宋体" w:cs="Times New Roman"/>
          <w:sz w:val="24"/>
          <w:szCs w:val="24"/>
        </w:rPr>
        <w:t>%+期末考试</w:t>
      </w:r>
      <w:r w:rsidRPr="00C843E6">
        <w:rPr>
          <w:rFonts w:ascii="宋体" w:eastAsia="宋体" w:hAnsi="宋体" w:cs="Times New Roman" w:hint="eastAsia"/>
          <w:sz w:val="24"/>
          <w:szCs w:val="24"/>
        </w:rPr>
        <w:t>10</w:t>
      </w:r>
      <w:r w:rsidRPr="00C843E6">
        <w:rPr>
          <w:rFonts w:ascii="宋体" w:eastAsia="宋体" w:hAnsi="宋体" w:cs="Times New Roman"/>
          <w:sz w:val="24"/>
          <w:szCs w:val="24"/>
        </w:rPr>
        <w:t>%</w:t>
      </w:r>
    </w:p>
    <w:p w14:paraId="56F66D98"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如下图：</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709"/>
        <w:gridCol w:w="1528"/>
        <w:gridCol w:w="1528"/>
        <w:gridCol w:w="1337"/>
        <w:gridCol w:w="1528"/>
        <w:gridCol w:w="1147"/>
      </w:tblGrid>
      <w:tr w:rsidR="00C843E6" w:rsidRPr="00C843E6" w14:paraId="1ABB77FB" w14:textId="77777777" w:rsidTr="00106206">
        <w:trPr>
          <w:trHeight w:val="543"/>
          <w:jc w:val="center"/>
        </w:trPr>
        <w:tc>
          <w:tcPr>
            <w:tcW w:w="1267" w:type="dxa"/>
            <w:vMerge w:val="restart"/>
            <w:vAlign w:val="center"/>
          </w:tcPr>
          <w:p w14:paraId="46D74C91"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sz w:val="24"/>
                <w:szCs w:val="24"/>
              </w:rPr>
              <w:t>课程目标</w:t>
            </w:r>
          </w:p>
        </w:tc>
        <w:tc>
          <w:tcPr>
            <w:tcW w:w="4394" w:type="dxa"/>
            <w:gridSpan w:val="4"/>
            <w:vAlign w:val="center"/>
          </w:tcPr>
          <w:p w14:paraId="4CA1232D"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sz w:val="24"/>
                <w:szCs w:val="24"/>
              </w:rPr>
              <w:t>考核方式及成绩比例（%）</w:t>
            </w:r>
          </w:p>
        </w:tc>
        <w:tc>
          <w:tcPr>
            <w:tcW w:w="851" w:type="dxa"/>
            <w:vMerge w:val="restart"/>
            <w:vAlign w:val="center"/>
          </w:tcPr>
          <w:p w14:paraId="5CCF60A5"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sz w:val="24"/>
                <w:szCs w:val="24"/>
              </w:rPr>
              <w:t>合计</w:t>
            </w:r>
          </w:p>
        </w:tc>
      </w:tr>
      <w:tr w:rsidR="00C843E6" w:rsidRPr="00C843E6" w14:paraId="3B7EF83F" w14:textId="77777777" w:rsidTr="00106206">
        <w:trPr>
          <w:trHeight w:val="581"/>
          <w:jc w:val="center"/>
        </w:trPr>
        <w:tc>
          <w:tcPr>
            <w:tcW w:w="1267" w:type="dxa"/>
            <w:vMerge/>
            <w:vAlign w:val="center"/>
          </w:tcPr>
          <w:p w14:paraId="24F68A16" w14:textId="77777777" w:rsidR="00C843E6" w:rsidRPr="00C843E6" w:rsidRDefault="00C843E6" w:rsidP="00C843E6">
            <w:pPr>
              <w:spacing w:line="440" w:lineRule="exact"/>
              <w:jc w:val="center"/>
              <w:rPr>
                <w:rFonts w:ascii="宋体" w:eastAsia="宋体" w:hAnsi="宋体" w:cs="Times New Roman"/>
                <w:sz w:val="24"/>
                <w:szCs w:val="24"/>
              </w:rPr>
            </w:pPr>
          </w:p>
        </w:tc>
        <w:tc>
          <w:tcPr>
            <w:tcW w:w="1134" w:type="dxa"/>
            <w:vAlign w:val="center"/>
          </w:tcPr>
          <w:p w14:paraId="211C46C9"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随堂测试</w:t>
            </w:r>
          </w:p>
        </w:tc>
        <w:tc>
          <w:tcPr>
            <w:tcW w:w="1134" w:type="dxa"/>
            <w:vAlign w:val="center"/>
          </w:tcPr>
          <w:p w14:paraId="54D449DC"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线上学习</w:t>
            </w:r>
          </w:p>
        </w:tc>
        <w:tc>
          <w:tcPr>
            <w:tcW w:w="992" w:type="dxa"/>
            <w:vAlign w:val="center"/>
          </w:tcPr>
          <w:p w14:paraId="6F2269A4"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sz w:val="24"/>
                <w:szCs w:val="24"/>
              </w:rPr>
              <w:t>平时作业</w:t>
            </w:r>
          </w:p>
        </w:tc>
        <w:tc>
          <w:tcPr>
            <w:tcW w:w="1134" w:type="dxa"/>
            <w:vAlign w:val="center"/>
          </w:tcPr>
          <w:p w14:paraId="163BA7ED"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sz w:val="24"/>
                <w:szCs w:val="24"/>
              </w:rPr>
              <w:t>期末考试</w:t>
            </w:r>
          </w:p>
        </w:tc>
        <w:tc>
          <w:tcPr>
            <w:tcW w:w="851" w:type="dxa"/>
            <w:vMerge/>
          </w:tcPr>
          <w:p w14:paraId="09A5DF94" w14:textId="77777777" w:rsidR="00C843E6" w:rsidRPr="00C843E6" w:rsidRDefault="00C843E6" w:rsidP="00C843E6">
            <w:pPr>
              <w:spacing w:line="440" w:lineRule="exact"/>
              <w:jc w:val="center"/>
              <w:rPr>
                <w:rFonts w:ascii="宋体" w:eastAsia="宋体" w:hAnsi="宋体" w:cs="Times New Roman"/>
                <w:sz w:val="24"/>
                <w:szCs w:val="24"/>
              </w:rPr>
            </w:pPr>
          </w:p>
        </w:tc>
      </w:tr>
      <w:tr w:rsidR="00C843E6" w:rsidRPr="00C843E6" w14:paraId="3A2162F6" w14:textId="77777777" w:rsidTr="00106206">
        <w:trPr>
          <w:trHeight w:val="441"/>
          <w:jc w:val="center"/>
        </w:trPr>
        <w:tc>
          <w:tcPr>
            <w:tcW w:w="1267" w:type="dxa"/>
            <w:vAlign w:val="center"/>
          </w:tcPr>
          <w:p w14:paraId="11066DAB"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sz w:val="24"/>
                <w:szCs w:val="24"/>
              </w:rPr>
              <w:t>课程目标1</w:t>
            </w:r>
          </w:p>
        </w:tc>
        <w:tc>
          <w:tcPr>
            <w:tcW w:w="1134" w:type="dxa"/>
            <w:vAlign w:val="center"/>
          </w:tcPr>
          <w:p w14:paraId="3EA9F85C"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10</w:t>
            </w:r>
          </w:p>
        </w:tc>
        <w:tc>
          <w:tcPr>
            <w:tcW w:w="1134" w:type="dxa"/>
            <w:vAlign w:val="center"/>
          </w:tcPr>
          <w:p w14:paraId="19A9C6F4"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10</w:t>
            </w:r>
          </w:p>
        </w:tc>
        <w:tc>
          <w:tcPr>
            <w:tcW w:w="992" w:type="dxa"/>
            <w:vAlign w:val="center"/>
          </w:tcPr>
          <w:p w14:paraId="214236D7"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8</w:t>
            </w:r>
          </w:p>
        </w:tc>
        <w:tc>
          <w:tcPr>
            <w:tcW w:w="1134" w:type="dxa"/>
            <w:vAlign w:val="center"/>
          </w:tcPr>
          <w:p w14:paraId="043E926D"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30</w:t>
            </w:r>
          </w:p>
        </w:tc>
        <w:tc>
          <w:tcPr>
            <w:tcW w:w="851" w:type="dxa"/>
          </w:tcPr>
          <w:p w14:paraId="6F841B8A"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58</w:t>
            </w:r>
          </w:p>
        </w:tc>
      </w:tr>
      <w:tr w:rsidR="00C843E6" w:rsidRPr="00C843E6" w14:paraId="2AE3FAAF" w14:textId="77777777" w:rsidTr="00106206">
        <w:trPr>
          <w:trHeight w:val="429"/>
          <w:jc w:val="center"/>
        </w:trPr>
        <w:tc>
          <w:tcPr>
            <w:tcW w:w="1267" w:type="dxa"/>
            <w:vAlign w:val="center"/>
          </w:tcPr>
          <w:p w14:paraId="2DDE4B83"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sz w:val="24"/>
                <w:szCs w:val="24"/>
              </w:rPr>
              <w:t>课程目标2</w:t>
            </w:r>
          </w:p>
        </w:tc>
        <w:tc>
          <w:tcPr>
            <w:tcW w:w="1134" w:type="dxa"/>
            <w:vAlign w:val="center"/>
          </w:tcPr>
          <w:p w14:paraId="4403B9C1"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0</w:t>
            </w:r>
          </w:p>
        </w:tc>
        <w:tc>
          <w:tcPr>
            <w:tcW w:w="1134" w:type="dxa"/>
          </w:tcPr>
          <w:p w14:paraId="5DFA00CC"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10</w:t>
            </w:r>
          </w:p>
        </w:tc>
        <w:tc>
          <w:tcPr>
            <w:tcW w:w="992" w:type="dxa"/>
            <w:vAlign w:val="center"/>
          </w:tcPr>
          <w:p w14:paraId="5AFD6A39"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6</w:t>
            </w:r>
          </w:p>
        </w:tc>
        <w:tc>
          <w:tcPr>
            <w:tcW w:w="1134" w:type="dxa"/>
            <w:vAlign w:val="center"/>
          </w:tcPr>
          <w:p w14:paraId="46E0FDEC"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10</w:t>
            </w:r>
          </w:p>
        </w:tc>
        <w:tc>
          <w:tcPr>
            <w:tcW w:w="851" w:type="dxa"/>
          </w:tcPr>
          <w:p w14:paraId="407A322F"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26</w:t>
            </w:r>
          </w:p>
        </w:tc>
      </w:tr>
      <w:tr w:rsidR="00C843E6" w:rsidRPr="00C843E6" w14:paraId="03B73B5E" w14:textId="77777777" w:rsidTr="00106206">
        <w:trPr>
          <w:trHeight w:val="429"/>
          <w:jc w:val="center"/>
        </w:trPr>
        <w:tc>
          <w:tcPr>
            <w:tcW w:w="1267" w:type="dxa"/>
            <w:vAlign w:val="center"/>
          </w:tcPr>
          <w:p w14:paraId="0714DB9A"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sz w:val="24"/>
                <w:szCs w:val="24"/>
              </w:rPr>
              <w:t>课程目标</w:t>
            </w:r>
            <w:r w:rsidRPr="00C843E6">
              <w:rPr>
                <w:rFonts w:ascii="宋体" w:eastAsia="宋体" w:hAnsi="宋体" w:cs="Times New Roman" w:hint="eastAsia"/>
                <w:sz w:val="24"/>
                <w:szCs w:val="24"/>
              </w:rPr>
              <w:t>3</w:t>
            </w:r>
          </w:p>
        </w:tc>
        <w:tc>
          <w:tcPr>
            <w:tcW w:w="1134" w:type="dxa"/>
            <w:vAlign w:val="center"/>
          </w:tcPr>
          <w:p w14:paraId="4639561F"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0</w:t>
            </w:r>
          </w:p>
        </w:tc>
        <w:tc>
          <w:tcPr>
            <w:tcW w:w="1134" w:type="dxa"/>
          </w:tcPr>
          <w:p w14:paraId="20A9BF6D"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0</w:t>
            </w:r>
          </w:p>
        </w:tc>
        <w:tc>
          <w:tcPr>
            <w:tcW w:w="992" w:type="dxa"/>
            <w:vAlign w:val="center"/>
          </w:tcPr>
          <w:p w14:paraId="2B217C1C"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6</w:t>
            </w:r>
          </w:p>
        </w:tc>
        <w:tc>
          <w:tcPr>
            <w:tcW w:w="1134" w:type="dxa"/>
            <w:vAlign w:val="center"/>
          </w:tcPr>
          <w:p w14:paraId="3EA30AE6"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10</w:t>
            </w:r>
          </w:p>
        </w:tc>
        <w:tc>
          <w:tcPr>
            <w:tcW w:w="851" w:type="dxa"/>
          </w:tcPr>
          <w:p w14:paraId="0FE5F366"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16</w:t>
            </w:r>
          </w:p>
        </w:tc>
      </w:tr>
      <w:tr w:rsidR="00C843E6" w:rsidRPr="00C843E6" w14:paraId="4C230EF2" w14:textId="77777777" w:rsidTr="00106206">
        <w:trPr>
          <w:trHeight w:val="441"/>
          <w:jc w:val="center"/>
        </w:trPr>
        <w:tc>
          <w:tcPr>
            <w:tcW w:w="1267" w:type="dxa"/>
            <w:vAlign w:val="center"/>
          </w:tcPr>
          <w:p w14:paraId="276D382D"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sz w:val="24"/>
                <w:szCs w:val="24"/>
              </w:rPr>
              <w:t>合计</w:t>
            </w:r>
          </w:p>
        </w:tc>
        <w:tc>
          <w:tcPr>
            <w:tcW w:w="1134" w:type="dxa"/>
            <w:vAlign w:val="center"/>
          </w:tcPr>
          <w:p w14:paraId="2410E493"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10</w:t>
            </w:r>
          </w:p>
        </w:tc>
        <w:tc>
          <w:tcPr>
            <w:tcW w:w="1134" w:type="dxa"/>
          </w:tcPr>
          <w:p w14:paraId="371DA728"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20</w:t>
            </w:r>
          </w:p>
        </w:tc>
        <w:tc>
          <w:tcPr>
            <w:tcW w:w="992" w:type="dxa"/>
            <w:vAlign w:val="center"/>
          </w:tcPr>
          <w:p w14:paraId="07A27583"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20</w:t>
            </w:r>
          </w:p>
        </w:tc>
        <w:tc>
          <w:tcPr>
            <w:tcW w:w="1134" w:type="dxa"/>
            <w:vAlign w:val="center"/>
          </w:tcPr>
          <w:p w14:paraId="7E82DD1B"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5</w:t>
            </w:r>
            <w:r w:rsidRPr="00C843E6">
              <w:rPr>
                <w:rFonts w:ascii="宋体" w:eastAsia="宋体" w:hAnsi="宋体" w:cs="Times New Roman"/>
                <w:sz w:val="24"/>
                <w:szCs w:val="24"/>
              </w:rPr>
              <w:t>0</w:t>
            </w:r>
          </w:p>
        </w:tc>
        <w:tc>
          <w:tcPr>
            <w:tcW w:w="851" w:type="dxa"/>
          </w:tcPr>
          <w:p w14:paraId="7D694FB0" w14:textId="77777777" w:rsidR="00C843E6" w:rsidRPr="00C843E6" w:rsidRDefault="00C843E6" w:rsidP="00C843E6">
            <w:pPr>
              <w:spacing w:line="440" w:lineRule="exact"/>
              <w:jc w:val="center"/>
              <w:rPr>
                <w:rFonts w:ascii="宋体" w:eastAsia="宋体" w:hAnsi="宋体" w:cs="Times New Roman"/>
                <w:sz w:val="24"/>
                <w:szCs w:val="24"/>
              </w:rPr>
            </w:pPr>
            <w:r w:rsidRPr="00C843E6">
              <w:rPr>
                <w:rFonts w:ascii="宋体" w:eastAsia="宋体" w:hAnsi="宋体" w:cs="Times New Roman" w:hint="eastAsia"/>
                <w:sz w:val="24"/>
                <w:szCs w:val="24"/>
              </w:rPr>
              <w:t>100</w:t>
            </w:r>
          </w:p>
        </w:tc>
      </w:tr>
    </w:tbl>
    <w:p w14:paraId="78012510" w14:textId="77777777" w:rsidR="00C843E6" w:rsidRPr="00C843E6" w:rsidRDefault="00C843E6" w:rsidP="00C63ECC">
      <w:pPr>
        <w:pStyle w:val="afc"/>
      </w:pPr>
      <w:r w:rsidRPr="00C843E6">
        <w:rPr>
          <w:rFonts w:hint="eastAsia"/>
        </w:rPr>
        <w:t>五、成绩评定</w:t>
      </w:r>
      <w:bookmarkEnd w:id="269"/>
    </w:p>
    <w:p w14:paraId="5EF7DE22" w14:textId="77777777" w:rsidR="00C843E6" w:rsidRPr="00C843E6" w:rsidRDefault="00C843E6" w:rsidP="00C63ECC">
      <w:pPr>
        <w:pStyle w:val="afc"/>
      </w:pPr>
      <w:bookmarkStart w:id="270" w:name="_Toc51933762"/>
      <w:r w:rsidRPr="00C843E6">
        <w:rPr>
          <w:rFonts w:hint="eastAsia"/>
        </w:rPr>
        <w:t>（一）总成绩评定</w:t>
      </w:r>
      <w:bookmarkEnd w:id="270"/>
    </w:p>
    <w:p w14:paraId="661199FD"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总成绩=平时成绩×50%+期末成绩×50%</w:t>
      </w:r>
    </w:p>
    <w:p w14:paraId="4C4D5E5E" w14:textId="77777777" w:rsidR="00C843E6" w:rsidRPr="00C843E6" w:rsidRDefault="00C843E6" w:rsidP="00C63ECC">
      <w:pPr>
        <w:pStyle w:val="afc"/>
      </w:pPr>
      <w:bookmarkStart w:id="271" w:name="_Toc51933763"/>
      <w:r w:rsidRPr="00C843E6">
        <w:rPr>
          <w:rFonts w:hint="eastAsia"/>
        </w:rPr>
        <w:t>（二）平时成绩评定</w:t>
      </w:r>
      <w:bookmarkEnd w:id="271"/>
    </w:p>
    <w:p w14:paraId="4F2A25B9"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平时成绩（</w:t>
      </w:r>
      <w:r w:rsidRPr="00C843E6">
        <w:rPr>
          <w:rFonts w:ascii="宋体" w:eastAsia="宋体" w:hAnsi="宋体" w:cs="Times New Roman"/>
          <w:sz w:val="24"/>
          <w:szCs w:val="24"/>
        </w:rPr>
        <w:t>100%）=随堂测试</w:t>
      </w:r>
      <w:r w:rsidRPr="00C843E6">
        <w:rPr>
          <w:rFonts w:ascii="宋体" w:eastAsia="宋体" w:hAnsi="宋体" w:cs="Times New Roman" w:hint="eastAsia"/>
          <w:sz w:val="24"/>
          <w:szCs w:val="24"/>
        </w:rPr>
        <w:t>2</w:t>
      </w:r>
      <w:r w:rsidRPr="00C843E6">
        <w:rPr>
          <w:rFonts w:ascii="宋体" w:eastAsia="宋体" w:hAnsi="宋体" w:cs="Times New Roman"/>
          <w:sz w:val="24"/>
          <w:szCs w:val="24"/>
        </w:rPr>
        <w:t>0%+线上学习</w:t>
      </w:r>
      <w:r w:rsidRPr="00C843E6">
        <w:rPr>
          <w:rFonts w:ascii="宋体" w:eastAsia="宋体" w:hAnsi="宋体" w:cs="Times New Roman" w:hint="eastAsia"/>
          <w:sz w:val="24"/>
          <w:szCs w:val="24"/>
        </w:rPr>
        <w:t>4</w:t>
      </w:r>
      <w:r w:rsidRPr="00C843E6">
        <w:rPr>
          <w:rFonts w:ascii="宋体" w:eastAsia="宋体" w:hAnsi="宋体" w:cs="Times New Roman"/>
          <w:sz w:val="24"/>
          <w:szCs w:val="24"/>
        </w:rPr>
        <w:t>0%+平时作业40%</w:t>
      </w:r>
    </w:p>
    <w:p w14:paraId="1EF6016D"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考核方式:</w:t>
      </w:r>
    </w:p>
    <w:p w14:paraId="5EA1768E"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（1）随堂测试：随堂测试可以借助“</w:t>
      </w:r>
      <w:r w:rsidRPr="00C843E6">
        <w:rPr>
          <w:rFonts w:ascii="宋体" w:eastAsia="宋体" w:hAnsi="宋体" w:cs="Times New Roman"/>
          <w:sz w:val="24"/>
          <w:szCs w:val="24"/>
        </w:rPr>
        <w:t>超星学习通</w:t>
      </w:r>
      <w:r w:rsidRPr="00C843E6">
        <w:rPr>
          <w:rFonts w:ascii="宋体" w:eastAsia="宋体" w:hAnsi="宋体" w:cs="Times New Roman" w:hint="eastAsia"/>
          <w:sz w:val="24"/>
          <w:szCs w:val="24"/>
        </w:rPr>
        <w:t>”及其它的软件工具进行，每次</w:t>
      </w:r>
      <w:proofErr w:type="gramStart"/>
      <w:r w:rsidRPr="00C843E6">
        <w:rPr>
          <w:rFonts w:ascii="宋体" w:eastAsia="宋体" w:hAnsi="宋体" w:cs="Times New Roman" w:hint="eastAsia"/>
          <w:sz w:val="24"/>
          <w:szCs w:val="24"/>
        </w:rPr>
        <w:t>测试按</w:t>
      </w:r>
      <w:proofErr w:type="gramEnd"/>
      <w:r w:rsidRPr="00C843E6">
        <w:rPr>
          <w:rFonts w:ascii="宋体" w:eastAsia="宋体" w:hAnsi="宋体" w:cs="Times New Roman" w:hint="eastAsia"/>
          <w:sz w:val="24"/>
          <w:szCs w:val="24"/>
        </w:rPr>
        <w:t>课程积分，最后成绩为总积分，然后折合成百分制。</w:t>
      </w:r>
    </w:p>
    <w:p w14:paraId="734E1C1F"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sz w:val="24"/>
          <w:szCs w:val="24"/>
        </w:rPr>
        <w:t>（</w:t>
      </w:r>
      <w:r w:rsidRPr="00C843E6">
        <w:rPr>
          <w:rFonts w:ascii="宋体" w:eastAsia="宋体" w:hAnsi="宋体" w:cs="Times New Roman" w:hint="eastAsia"/>
          <w:sz w:val="24"/>
          <w:szCs w:val="24"/>
        </w:rPr>
        <w:t>2</w:t>
      </w:r>
      <w:r w:rsidRPr="00C843E6">
        <w:rPr>
          <w:rFonts w:ascii="宋体" w:eastAsia="宋体" w:hAnsi="宋体" w:cs="Times New Roman"/>
          <w:sz w:val="24"/>
          <w:szCs w:val="24"/>
        </w:rPr>
        <w:t>）作业完成情况：将作业题目导入</w:t>
      </w:r>
      <w:r w:rsidRPr="00C843E6">
        <w:rPr>
          <w:rFonts w:ascii="宋体" w:eastAsia="宋体" w:hAnsi="宋体" w:cs="Times New Roman" w:hint="eastAsia"/>
          <w:sz w:val="24"/>
          <w:szCs w:val="24"/>
        </w:rPr>
        <w:t>“</w:t>
      </w:r>
      <w:r w:rsidRPr="00C843E6">
        <w:rPr>
          <w:rFonts w:ascii="宋体" w:eastAsia="宋体" w:hAnsi="宋体" w:cs="Times New Roman"/>
          <w:sz w:val="24"/>
          <w:szCs w:val="24"/>
        </w:rPr>
        <w:t>超星学习通</w:t>
      </w:r>
      <w:r w:rsidRPr="00C843E6">
        <w:rPr>
          <w:rFonts w:ascii="宋体" w:eastAsia="宋体" w:hAnsi="宋体" w:cs="Times New Roman" w:hint="eastAsia"/>
          <w:sz w:val="24"/>
          <w:szCs w:val="24"/>
        </w:rPr>
        <w:t>” 及其它的软件工具</w:t>
      </w:r>
      <w:r w:rsidRPr="00C843E6">
        <w:rPr>
          <w:rFonts w:ascii="宋体" w:eastAsia="宋体" w:hAnsi="宋体" w:cs="Times New Roman"/>
          <w:sz w:val="24"/>
          <w:szCs w:val="24"/>
        </w:rPr>
        <w:t>平台，围绕课程的学习目标进行作业的设计。平时作业满分为100分，根据字迹清晰工整程度和正确率，一部分教师打分</w:t>
      </w:r>
      <w:r w:rsidRPr="00C843E6">
        <w:rPr>
          <w:rFonts w:ascii="宋体" w:eastAsia="宋体" w:hAnsi="宋体" w:cs="Times New Roman" w:hint="eastAsia"/>
          <w:sz w:val="24"/>
          <w:szCs w:val="24"/>
        </w:rPr>
        <w:t>，</w:t>
      </w:r>
      <w:r w:rsidRPr="00C843E6">
        <w:rPr>
          <w:rFonts w:ascii="宋体" w:eastAsia="宋体" w:hAnsi="宋体" w:cs="Times New Roman"/>
          <w:sz w:val="24"/>
          <w:szCs w:val="24"/>
        </w:rPr>
        <w:t>一部分学生互评。晚交和漏交均记为0分。</w:t>
      </w:r>
    </w:p>
    <w:p w14:paraId="1699B8BE"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（3）线上学习：通过“</w:t>
      </w:r>
      <w:r w:rsidRPr="00C843E6">
        <w:rPr>
          <w:rFonts w:ascii="宋体" w:eastAsia="宋体" w:hAnsi="宋体" w:cs="Times New Roman"/>
          <w:sz w:val="24"/>
          <w:szCs w:val="24"/>
        </w:rPr>
        <w:t>超星学习通</w:t>
      </w:r>
      <w:r w:rsidRPr="00C843E6">
        <w:rPr>
          <w:rFonts w:ascii="宋体" w:eastAsia="宋体" w:hAnsi="宋体" w:cs="Times New Roman" w:hint="eastAsia"/>
          <w:sz w:val="24"/>
          <w:szCs w:val="24"/>
        </w:rPr>
        <w:t>”、“腾讯会议”、“钉钉”及其它的软件工具学习平台为学生制定线上学习计划，通过观看视频和相关资料，让学生习惯课前预习，形成线上线下混合模式的学习方式。通过学习通导出的数据作为评定的标准。此项满分100，学生观看视频和完成任务点的多少进行评定。</w:t>
      </w:r>
    </w:p>
    <w:p w14:paraId="2250FEA8" w14:textId="77777777" w:rsidR="00C843E6" w:rsidRPr="00C843E6" w:rsidRDefault="00C843E6" w:rsidP="00C843E6">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r w:rsidRPr="00C843E6">
        <w:rPr>
          <w:rFonts w:ascii="黑体" w:eastAsia="黑体" w:hAnsi="黑体" w:cs="Times New Roman" w:hint="eastAsia"/>
          <w:sz w:val="28"/>
          <w:szCs w:val="28"/>
        </w:rPr>
        <w:t>六、使用教材、相关推荐书目及课程资源</w:t>
      </w:r>
      <w:bookmarkEnd w:id="268"/>
    </w:p>
    <w:p w14:paraId="18463E43" w14:textId="77777777" w:rsidR="00C843E6" w:rsidRPr="00C843E6" w:rsidRDefault="00C843E6" w:rsidP="00C843E6">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72" w:name="_Toc51933789"/>
      <w:r w:rsidRPr="00C843E6">
        <w:rPr>
          <w:rFonts w:ascii="黑体" w:eastAsia="黑体" w:hAnsi="黑体" w:cs="Times New Roman" w:hint="eastAsia"/>
          <w:sz w:val="28"/>
          <w:szCs w:val="28"/>
        </w:rPr>
        <w:t>（一）使用教材</w:t>
      </w:r>
      <w:bookmarkEnd w:id="272"/>
    </w:p>
    <w:p w14:paraId="59CF51E7"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lastRenderedPageBreak/>
        <w:t>1郑俊民主</w:t>
      </w:r>
      <w:r w:rsidRPr="00C843E6">
        <w:rPr>
          <w:rFonts w:ascii="宋体" w:eastAsia="宋体" w:hAnsi="宋体" w:cs="Times New Roman"/>
          <w:sz w:val="24"/>
          <w:szCs w:val="24"/>
        </w:rPr>
        <w:t>编：</w:t>
      </w:r>
      <w:r w:rsidRPr="00C843E6">
        <w:rPr>
          <w:rFonts w:ascii="宋体" w:eastAsia="宋体" w:hAnsi="宋体" w:cs="Times New Roman" w:hint="eastAsia"/>
          <w:sz w:val="24"/>
          <w:szCs w:val="24"/>
        </w:rPr>
        <w:t>《药用高分子材料》（第三版），中国医药科技出版社，2018年版。</w:t>
      </w:r>
    </w:p>
    <w:p w14:paraId="0185E24A" w14:textId="77777777" w:rsidR="00C843E6" w:rsidRPr="00C843E6" w:rsidRDefault="00C843E6" w:rsidP="00C843E6">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73" w:name="_Toc51933790"/>
      <w:r w:rsidRPr="00C843E6">
        <w:rPr>
          <w:rFonts w:ascii="黑体" w:eastAsia="黑体" w:hAnsi="黑体" w:cs="Times New Roman" w:hint="eastAsia"/>
          <w:sz w:val="28"/>
          <w:szCs w:val="28"/>
        </w:rPr>
        <w:t>（二）相关推荐书目</w:t>
      </w:r>
      <w:bookmarkEnd w:id="273"/>
    </w:p>
    <w:p w14:paraId="0846DC6B"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w:t>
      </w:r>
      <w:r w:rsidRPr="00C843E6">
        <w:rPr>
          <w:rFonts w:ascii="宋体" w:eastAsia="宋体" w:hAnsi="宋体" w:cs="Times New Roman"/>
          <w:sz w:val="24"/>
          <w:szCs w:val="24"/>
        </w:rPr>
        <w:t>.</w:t>
      </w:r>
      <w:hyperlink r:id="rId50" w:tgtFrame="_blank" w:history="1">
        <w:r w:rsidRPr="00C843E6">
          <w:rPr>
            <w:rFonts w:ascii="宋体" w:eastAsia="宋体" w:hAnsi="宋体" w:cs="Times New Roman"/>
            <w:sz w:val="24"/>
            <w:szCs w:val="24"/>
          </w:rPr>
          <w:t>郭圣荣</w:t>
        </w:r>
      </w:hyperlink>
      <w:r w:rsidRPr="00C843E6">
        <w:rPr>
          <w:rFonts w:ascii="宋体" w:eastAsia="宋体" w:hAnsi="宋体" w:cs="Times New Roman" w:hint="eastAsia"/>
          <w:sz w:val="24"/>
          <w:szCs w:val="24"/>
        </w:rPr>
        <w:t>主</w:t>
      </w:r>
      <w:r w:rsidRPr="00C843E6">
        <w:rPr>
          <w:rFonts w:ascii="宋体" w:eastAsia="宋体" w:hAnsi="宋体" w:cs="Times New Roman"/>
          <w:sz w:val="24"/>
          <w:szCs w:val="24"/>
        </w:rPr>
        <w:t>编：</w:t>
      </w:r>
      <w:r w:rsidRPr="00C843E6">
        <w:rPr>
          <w:rFonts w:ascii="宋体" w:eastAsia="宋体" w:hAnsi="宋体" w:cs="Times New Roman" w:hint="eastAsia"/>
          <w:sz w:val="24"/>
          <w:szCs w:val="24"/>
        </w:rPr>
        <w:t>《药用高分子材料》，</w:t>
      </w:r>
      <w:hyperlink r:id="rId51" w:tgtFrame="_blank" w:history="1">
        <w:r w:rsidRPr="00C843E6">
          <w:rPr>
            <w:rFonts w:ascii="宋体" w:eastAsia="宋体" w:hAnsi="宋体" w:cs="Times New Roman"/>
            <w:sz w:val="24"/>
            <w:szCs w:val="24"/>
          </w:rPr>
          <w:t>人民卫生出版社</w:t>
        </w:r>
      </w:hyperlink>
      <w:r w:rsidRPr="00C843E6">
        <w:rPr>
          <w:rFonts w:ascii="宋体" w:eastAsia="宋体" w:hAnsi="宋体" w:cs="Times New Roman" w:hint="eastAsia"/>
          <w:sz w:val="24"/>
          <w:szCs w:val="24"/>
        </w:rPr>
        <w:t>，2009年版；</w:t>
      </w:r>
    </w:p>
    <w:p w14:paraId="2182BCCE"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w:t>
      </w:r>
      <w:hyperlink r:id="rId52" w:tgtFrame="_blank" w:history="1">
        <w:proofErr w:type="gramStart"/>
        <w:r w:rsidRPr="00C843E6">
          <w:rPr>
            <w:rFonts w:ascii="宋体" w:eastAsia="宋体" w:hAnsi="宋体" w:cs="Times New Roman"/>
            <w:sz w:val="24"/>
            <w:szCs w:val="24"/>
          </w:rPr>
          <w:t>张淑秀</w:t>
        </w:r>
        <w:proofErr w:type="gramEnd"/>
      </w:hyperlink>
      <w:r w:rsidRPr="00C843E6">
        <w:rPr>
          <w:rFonts w:ascii="宋体" w:eastAsia="宋体" w:hAnsi="宋体" w:cs="Times New Roman"/>
          <w:sz w:val="24"/>
          <w:szCs w:val="24"/>
        </w:rPr>
        <w:t>，</w:t>
      </w:r>
      <w:hyperlink r:id="rId53" w:tgtFrame="_blank" w:history="1">
        <w:r w:rsidRPr="00C843E6">
          <w:rPr>
            <w:rFonts w:ascii="宋体" w:eastAsia="宋体" w:hAnsi="宋体" w:cs="Times New Roman"/>
            <w:sz w:val="24"/>
            <w:szCs w:val="24"/>
          </w:rPr>
          <w:t>曹志胜</w:t>
        </w:r>
      </w:hyperlink>
      <w:r w:rsidRPr="00C843E6">
        <w:rPr>
          <w:rFonts w:ascii="宋体" w:eastAsia="宋体" w:hAnsi="宋体" w:cs="Times New Roman"/>
          <w:sz w:val="24"/>
          <w:szCs w:val="24"/>
        </w:rPr>
        <w:t>等</w:t>
      </w:r>
      <w:r w:rsidRPr="00C843E6">
        <w:rPr>
          <w:rFonts w:ascii="宋体" w:eastAsia="宋体" w:hAnsi="宋体" w:cs="Times New Roman" w:hint="eastAsia"/>
          <w:sz w:val="24"/>
          <w:szCs w:val="24"/>
        </w:rPr>
        <w:t>主</w:t>
      </w:r>
      <w:r w:rsidRPr="00C843E6">
        <w:rPr>
          <w:rFonts w:ascii="宋体" w:eastAsia="宋体" w:hAnsi="宋体" w:cs="Times New Roman"/>
          <w:sz w:val="24"/>
          <w:szCs w:val="24"/>
        </w:rPr>
        <w:t>编：</w:t>
      </w:r>
      <w:r w:rsidRPr="00C843E6">
        <w:rPr>
          <w:rFonts w:ascii="宋体" w:eastAsia="宋体" w:hAnsi="宋体" w:cs="Times New Roman" w:hint="eastAsia"/>
          <w:sz w:val="24"/>
          <w:szCs w:val="24"/>
        </w:rPr>
        <w:t>《</w:t>
      </w:r>
      <w:r w:rsidRPr="00C843E6">
        <w:rPr>
          <w:rFonts w:ascii="宋体" w:eastAsia="宋体" w:hAnsi="宋体" w:cs="Times New Roman"/>
          <w:sz w:val="24"/>
          <w:szCs w:val="24"/>
        </w:rPr>
        <w:t>最新药品注册工作指南</w:t>
      </w:r>
      <w:r w:rsidRPr="00C843E6">
        <w:rPr>
          <w:rFonts w:ascii="宋体" w:eastAsia="宋体" w:hAnsi="宋体" w:cs="Times New Roman" w:hint="eastAsia"/>
          <w:sz w:val="24"/>
          <w:szCs w:val="24"/>
        </w:rPr>
        <w:t>》，中国医药科技出版社，2008年版；</w:t>
      </w:r>
    </w:p>
    <w:p w14:paraId="2F91F833"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3姚日生主编著：药用高分子材料（第三版）</w:t>
      </w:r>
      <w:r w:rsidRPr="00C843E6">
        <w:rPr>
          <w:rFonts w:ascii="宋体" w:eastAsia="宋体" w:hAnsi="宋体" w:cs="Times New Roman"/>
          <w:sz w:val="24"/>
          <w:szCs w:val="24"/>
        </w:rPr>
        <w:t>化学工业出版社</w:t>
      </w:r>
      <w:r w:rsidRPr="00C843E6">
        <w:rPr>
          <w:rFonts w:ascii="宋体" w:eastAsia="宋体" w:hAnsi="宋体" w:cs="Times New Roman" w:hint="eastAsia"/>
          <w:sz w:val="24"/>
          <w:szCs w:val="24"/>
        </w:rPr>
        <w:t>，</w:t>
      </w:r>
      <w:r w:rsidRPr="00C843E6">
        <w:rPr>
          <w:rFonts w:ascii="宋体" w:eastAsia="宋体" w:hAnsi="宋体" w:cs="Times New Roman"/>
          <w:sz w:val="24"/>
          <w:szCs w:val="24"/>
        </w:rPr>
        <w:t>2018年9月1日</w:t>
      </w:r>
      <w:r w:rsidRPr="00C843E6">
        <w:rPr>
          <w:rFonts w:ascii="宋体" w:eastAsia="宋体" w:hAnsi="宋体" w:cs="Times New Roman" w:hint="eastAsia"/>
          <w:sz w:val="24"/>
          <w:szCs w:val="24"/>
        </w:rPr>
        <w:t>；</w:t>
      </w:r>
    </w:p>
    <w:p w14:paraId="0DEB980E"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4《中华人民共和国药典》（四部），化学工业出版社，2020年版；</w:t>
      </w:r>
    </w:p>
    <w:p w14:paraId="223512EA"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5《中华人民共和国药典》（二部），化学工业出版社，2020年版；</w:t>
      </w:r>
    </w:p>
    <w:p w14:paraId="69235137" w14:textId="77777777" w:rsidR="00C843E6" w:rsidRPr="00C843E6" w:rsidRDefault="00C843E6" w:rsidP="00C843E6">
      <w:pPr>
        <w:adjustRightInd w:val="0"/>
        <w:snapToGrid w:val="0"/>
        <w:spacing w:beforeLines="50" w:before="156" w:afterLines="50" w:after="156" w:line="440" w:lineRule="exact"/>
        <w:ind w:firstLineChars="200" w:firstLine="560"/>
        <w:outlineLvl w:val="1"/>
        <w:rPr>
          <w:rFonts w:ascii="黑体" w:eastAsia="黑体" w:hAnsi="黑体" w:cs="Times New Roman"/>
          <w:sz w:val="28"/>
          <w:szCs w:val="28"/>
        </w:rPr>
      </w:pPr>
      <w:bookmarkStart w:id="274" w:name="_Toc51933791"/>
      <w:r w:rsidRPr="00C843E6">
        <w:rPr>
          <w:rFonts w:ascii="黑体" w:eastAsia="黑体" w:hAnsi="黑体" w:cs="Times New Roman" w:hint="eastAsia"/>
          <w:sz w:val="28"/>
          <w:szCs w:val="28"/>
        </w:rPr>
        <w:t>（三）课程资源</w:t>
      </w:r>
      <w:bookmarkEnd w:id="274"/>
    </w:p>
    <w:p w14:paraId="0AEFA800"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1.该学科属应用性学科，学生应学习并掌握从相关网站获取医药情报的技能，重点培养从国家药品审评中心（</w:t>
      </w:r>
      <w:r w:rsidRPr="00C843E6">
        <w:rPr>
          <w:rFonts w:ascii="宋体" w:eastAsia="宋体" w:hAnsi="宋体" w:cs="Times New Roman"/>
          <w:sz w:val="24"/>
          <w:szCs w:val="24"/>
        </w:rPr>
        <w:t>http://www.cde.org.cn/</w:t>
      </w:r>
      <w:r w:rsidRPr="00C843E6">
        <w:rPr>
          <w:rFonts w:ascii="宋体" w:eastAsia="宋体" w:hAnsi="宋体" w:cs="Times New Roman" w:hint="eastAsia"/>
          <w:sz w:val="24"/>
          <w:szCs w:val="24"/>
        </w:rPr>
        <w:t>）等相关网站进行检索及查询能力。</w:t>
      </w:r>
    </w:p>
    <w:p w14:paraId="270CD148" w14:textId="77777777" w:rsidR="00C843E6" w:rsidRPr="00C843E6" w:rsidRDefault="00C843E6" w:rsidP="00C843E6">
      <w:pPr>
        <w:adjustRightInd w:val="0"/>
        <w:snapToGrid w:val="0"/>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2《药用高分子材料学》线上教学视频</w:t>
      </w:r>
    </w:p>
    <w:p w14:paraId="31C5835C" w14:textId="77777777" w:rsidR="00C843E6" w:rsidRPr="00C843E6" w:rsidRDefault="00C843E6" w:rsidP="00C63ECC">
      <w:pPr>
        <w:pStyle w:val="afc"/>
      </w:pPr>
      <w:bookmarkStart w:id="275" w:name="_Toc51933792"/>
      <w:r w:rsidRPr="00C843E6">
        <w:rPr>
          <w:rFonts w:hint="eastAsia"/>
        </w:rPr>
        <w:t>七、课程大纲制定依据</w:t>
      </w:r>
      <w:bookmarkEnd w:id="275"/>
    </w:p>
    <w:p w14:paraId="014D2FDA" w14:textId="77777777" w:rsidR="00C843E6" w:rsidRPr="00C843E6" w:rsidRDefault="00C843E6" w:rsidP="00C843E6">
      <w:pPr>
        <w:spacing w:line="440" w:lineRule="exact"/>
        <w:ind w:firstLineChars="200" w:firstLine="480"/>
        <w:rPr>
          <w:rFonts w:ascii="宋体" w:eastAsia="宋体" w:hAnsi="宋体" w:cs="Times New Roman"/>
          <w:sz w:val="24"/>
          <w:szCs w:val="24"/>
        </w:rPr>
      </w:pPr>
      <w:r w:rsidRPr="00C843E6">
        <w:rPr>
          <w:rFonts w:ascii="宋体" w:eastAsia="宋体" w:hAnsi="宋体" w:cs="Times New Roman" w:hint="eastAsia"/>
          <w:sz w:val="24"/>
          <w:szCs w:val="24"/>
        </w:rPr>
        <w:t>本课程大纲依据2023年药物</w:t>
      </w:r>
      <w:r>
        <w:rPr>
          <w:rFonts w:ascii="宋体" w:eastAsia="宋体" w:hAnsi="宋体" w:cs="Times New Roman" w:hint="eastAsia"/>
          <w:sz w:val="24"/>
          <w:szCs w:val="24"/>
        </w:rPr>
        <w:t>分析</w:t>
      </w:r>
      <w:r w:rsidRPr="00C843E6">
        <w:rPr>
          <w:rFonts w:ascii="宋体" w:eastAsia="宋体" w:hAnsi="宋体" w:cs="Times New Roman" w:hint="eastAsia"/>
          <w:sz w:val="24"/>
          <w:szCs w:val="24"/>
        </w:rPr>
        <w:t>专业人才培养方案制定。</w:t>
      </w:r>
    </w:p>
    <w:p w14:paraId="09315FFE" w14:textId="77777777" w:rsidR="00C843E6" w:rsidRPr="00C843E6" w:rsidRDefault="00C843E6" w:rsidP="00C843E6">
      <w:pPr>
        <w:widowControl/>
        <w:jc w:val="left"/>
        <w:rPr>
          <w:rFonts w:ascii="Calibri" w:eastAsia="黑体" w:hAnsi="Calibri" w:cs="Times New Roman"/>
          <w:bCs/>
          <w:kern w:val="44"/>
          <w:sz w:val="36"/>
          <w:szCs w:val="44"/>
        </w:rPr>
      </w:pPr>
    </w:p>
    <w:p w14:paraId="463C43AE" w14:textId="77777777" w:rsidR="00C843E6" w:rsidRPr="00C843E6" w:rsidRDefault="00C843E6" w:rsidP="00C843E6">
      <w:pPr>
        <w:widowControl/>
        <w:jc w:val="left"/>
        <w:rPr>
          <w:rFonts w:ascii="Calibri" w:eastAsia="黑体" w:hAnsi="Calibri" w:cs="Times New Roman"/>
          <w:bCs/>
          <w:kern w:val="44"/>
          <w:sz w:val="36"/>
          <w:szCs w:val="44"/>
        </w:rPr>
      </w:pPr>
      <w:r w:rsidRPr="00C843E6">
        <w:rPr>
          <w:rFonts w:ascii="Times New Roman" w:eastAsia="宋体" w:hAnsi="Times New Roman" w:cs="Times New Roman"/>
          <w:szCs w:val="24"/>
        </w:rPr>
        <w:br w:type="page"/>
      </w:r>
    </w:p>
    <w:p w14:paraId="10FD363B" w14:textId="77777777" w:rsidR="00106206" w:rsidRPr="00106206" w:rsidRDefault="00106206" w:rsidP="003322BE">
      <w:pPr>
        <w:pStyle w:val="1"/>
      </w:pPr>
      <w:bookmarkStart w:id="276" w:name="_Toc149662378"/>
      <w:r w:rsidRPr="00106206">
        <w:rPr>
          <w:rFonts w:hint="eastAsia"/>
        </w:rPr>
        <w:lastRenderedPageBreak/>
        <w:t>《医药知识产权》课程教学大纲</w:t>
      </w:r>
      <w:bookmarkEnd w:id="276"/>
    </w:p>
    <w:p w14:paraId="5D16204B" w14:textId="77777777" w:rsidR="00106206" w:rsidRPr="00106206" w:rsidRDefault="00106206" w:rsidP="00106206">
      <w:pPr>
        <w:spacing w:beforeLines="50" w:before="156" w:afterLines="50" w:after="156" w:line="440" w:lineRule="exact"/>
        <w:ind w:firstLineChars="200" w:firstLine="560"/>
        <w:rPr>
          <w:rFonts w:ascii="黑体" w:eastAsia="黑体" w:hAnsi="黑体" w:cs="Times New Roman"/>
          <w:sz w:val="28"/>
          <w:szCs w:val="28"/>
        </w:rPr>
      </w:pPr>
      <w:r w:rsidRPr="00106206">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7"/>
        <w:gridCol w:w="2751"/>
        <w:gridCol w:w="1523"/>
        <w:gridCol w:w="2876"/>
      </w:tblGrid>
      <w:tr w:rsidR="00106206" w:rsidRPr="00106206" w14:paraId="4258E279" w14:textId="77777777" w:rsidTr="00106206">
        <w:trPr>
          <w:trHeight w:val="886"/>
          <w:jc w:val="center"/>
        </w:trPr>
        <w:tc>
          <w:tcPr>
            <w:tcW w:w="1668" w:type="dxa"/>
            <w:shd w:val="clear" w:color="auto" w:fill="auto"/>
            <w:vAlign w:val="center"/>
          </w:tcPr>
          <w:p w14:paraId="34E1B331"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课程名称</w:t>
            </w:r>
          </w:p>
        </w:tc>
        <w:tc>
          <w:tcPr>
            <w:tcW w:w="2833" w:type="dxa"/>
            <w:shd w:val="clear" w:color="auto" w:fill="auto"/>
            <w:vAlign w:val="center"/>
          </w:tcPr>
          <w:p w14:paraId="51A41F63"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医药知识产权</w:t>
            </w:r>
          </w:p>
        </w:tc>
        <w:tc>
          <w:tcPr>
            <w:tcW w:w="1561" w:type="dxa"/>
            <w:shd w:val="clear" w:color="auto" w:fill="auto"/>
            <w:vAlign w:val="center"/>
          </w:tcPr>
          <w:p w14:paraId="205508D6"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课程代码</w:t>
            </w:r>
          </w:p>
        </w:tc>
        <w:tc>
          <w:tcPr>
            <w:tcW w:w="2941" w:type="dxa"/>
            <w:shd w:val="clear" w:color="auto" w:fill="auto"/>
            <w:vAlign w:val="center"/>
          </w:tcPr>
          <w:p w14:paraId="7940B47C"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0713D12</w:t>
            </w:r>
          </w:p>
        </w:tc>
      </w:tr>
      <w:tr w:rsidR="00106206" w:rsidRPr="00106206" w14:paraId="0F097373" w14:textId="77777777" w:rsidTr="00106206">
        <w:trPr>
          <w:trHeight w:val="829"/>
          <w:jc w:val="center"/>
        </w:trPr>
        <w:tc>
          <w:tcPr>
            <w:tcW w:w="1668" w:type="dxa"/>
            <w:shd w:val="clear" w:color="auto" w:fill="auto"/>
            <w:vAlign w:val="center"/>
          </w:tcPr>
          <w:p w14:paraId="66F5054F"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课程类别</w:t>
            </w:r>
          </w:p>
        </w:tc>
        <w:tc>
          <w:tcPr>
            <w:tcW w:w="2833" w:type="dxa"/>
            <w:shd w:val="clear" w:color="auto" w:fill="auto"/>
            <w:vAlign w:val="center"/>
          </w:tcPr>
          <w:p w14:paraId="60D9A13B"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专业任选课程</w:t>
            </w:r>
          </w:p>
        </w:tc>
        <w:tc>
          <w:tcPr>
            <w:tcW w:w="1561" w:type="dxa"/>
            <w:shd w:val="clear" w:color="auto" w:fill="auto"/>
            <w:vAlign w:val="center"/>
          </w:tcPr>
          <w:p w14:paraId="180B461A"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学时</w:t>
            </w:r>
          </w:p>
          <w:p w14:paraId="038D1BFB"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/学分</w:t>
            </w:r>
          </w:p>
        </w:tc>
        <w:tc>
          <w:tcPr>
            <w:tcW w:w="2941" w:type="dxa"/>
            <w:shd w:val="clear" w:color="auto" w:fill="auto"/>
            <w:vAlign w:val="center"/>
          </w:tcPr>
          <w:p w14:paraId="57771911"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24/1.5</w:t>
            </w:r>
          </w:p>
        </w:tc>
      </w:tr>
      <w:tr w:rsidR="00106206" w:rsidRPr="00106206" w14:paraId="4FDC4207" w14:textId="77777777" w:rsidTr="00106206">
        <w:trPr>
          <w:trHeight w:val="811"/>
          <w:jc w:val="center"/>
        </w:trPr>
        <w:tc>
          <w:tcPr>
            <w:tcW w:w="1668" w:type="dxa"/>
            <w:shd w:val="clear" w:color="auto" w:fill="auto"/>
            <w:vAlign w:val="center"/>
          </w:tcPr>
          <w:p w14:paraId="789EC72F"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开课单位</w:t>
            </w:r>
          </w:p>
        </w:tc>
        <w:tc>
          <w:tcPr>
            <w:tcW w:w="2833" w:type="dxa"/>
            <w:shd w:val="clear" w:color="auto" w:fill="auto"/>
            <w:vAlign w:val="center"/>
          </w:tcPr>
          <w:p w14:paraId="7E4C500E"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化工学院</w:t>
            </w:r>
          </w:p>
        </w:tc>
        <w:tc>
          <w:tcPr>
            <w:tcW w:w="1561" w:type="dxa"/>
            <w:shd w:val="clear" w:color="auto" w:fill="auto"/>
            <w:vAlign w:val="center"/>
          </w:tcPr>
          <w:p w14:paraId="50A81E33"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适用专业</w:t>
            </w:r>
          </w:p>
        </w:tc>
        <w:tc>
          <w:tcPr>
            <w:tcW w:w="2941" w:type="dxa"/>
            <w:shd w:val="clear" w:color="auto" w:fill="auto"/>
            <w:vAlign w:val="center"/>
          </w:tcPr>
          <w:p w14:paraId="5C9B60C5"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药物分析</w:t>
            </w:r>
          </w:p>
        </w:tc>
      </w:tr>
      <w:tr w:rsidR="00106206" w:rsidRPr="00106206" w14:paraId="0D2AAFBB" w14:textId="77777777" w:rsidTr="00106206">
        <w:trPr>
          <w:trHeight w:val="811"/>
          <w:jc w:val="center"/>
        </w:trPr>
        <w:tc>
          <w:tcPr>
            <w:tcW w:w="1668" w:type="dxa"/>
            <w:shd w:val="clear" w:color="auto" w:fill="auto"/>
            <w:vAlign w:val="center"/>
          </w:tcPr>
          <w:p w14:paraId="4FDDE5ED"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课程负责人</w:t>
            </w:r>
          </w:p>
        </w:tc>
        <w:tc>
          <w:tcPr>
            <w:tcW w:w="7335" w:type="dxa"/>
            <w:gridSpan w:val="3"/>
            <w:shd w:val="clear" w:color="auto" w:fill="auto"/>
            <w:vAlign w:val="center"/>
          </w:tcPr>
          <w:p w14:paraId="0ECA97B5" w14:textId="77777777" w:rsidR="00106206" w:rsidRPr="00106206" w:rsidRDefault="00106206" w:rsidP="00106206">
            <w:pPr>
              <w:spacing w:line="440" w:lineRule="exact"/>
              <w:jc w:val="center"/>
              <w:rPr>
                <w:rFonts w:ascii="宋体" w:eastAsia="宋体" w:hAnsi="宋体" w:cs="Times New Roman"/>
                <w:sz w:val="24"/>
                <w:szCs w:val="24"/>
              </w:rPr>
            </w:pPr>
            <w:proofErr w:type="gramStart"/>
            <w:r w:rsidRPr="00106206">
              <w:rPr>
                <w:rFonts w:ascii="宋体" w:eastAsia="宋体" w:hAnsi="宋体" w:cs="Times New Roman" w:hint="eastAsia"/>
                <w:sz w:val="24"/>
                <w:szCs w:val="24"/>
              </w:rPr>
              <w:t>孙硕</w:t>
            </w:r>
            <w:proofErr w:type="gramEnd"/>
          </w:p>
        </w:tc>
      </w:tr>
      <w:tr w:rsidR="00106206" w:rsidRPr="00106206" w14:paraId="74E9CFC0" w14:textId="77777777" w:rsidTr="00106206">
        <w:trPr>
          <w:trHeight w:val="836"/>
          <w:jc w:val="center"/>
        </w:trPr>
        <w:tc>
          <w:tcPr>
            <w:tcW w:w="1668" w:type="dxa"/>
            <w:shd w:val="clear" w:color="auto" w:fill="auto"/>
            <w:vAlign w:val="center"/>
          </w:tcPr>
          <w:p w14:paraId="39A45C85"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大纲撰写人</w:t>
            </w:r>
          </w:p>
        </w:tc>
        <w:tc>
          <w:tcPr>
            <w:tcW w:w="2833" w:type="dxa"/>
            <w:shd w:val="clear" w:color="auto" w:fill="auto"/>
            <w:vAlign w:val="center"/>
          </w:tcPr>
          <w:p w14:paraId="717E2E02" w14:textId="77777777" w:rsidR="00106206" w:rsidRPr="00106206" w:rsidRDefault="00106206" w:rsidP="00106206">
            <w:pPr>
              <w:spacing w:line="440" w:lineRule="exact"/>
              <w:jc w:val="center"/>
              <w:rPr>
                <w:rFonts w:ascii="宋体" w:eastAsia="宋体" w:hAnsi="宋体" w:cs="Times New Roman"/>
                <w:sz w:val="24"/>
                <w:szCs w:val="24"/>
              </w:rPr>
            </w:pPr>
            <w:proofErr w:type="gramStart"/>
            <w:r w:rsidRPr="00106206">
              <w:rPr>
                <w:rFonts w:ascii="宋体" w:eastAsia="宋体" w:hAnsi="宋体" w:cs="Times New Roman" w:hint="eastAsia"/>
                <w:sz w:val="24"/>
                <w:szCs w:val="24"/>
              </w:rPr>
              <w:t>孙硕</w:t>
            </w:r>
            <w:proofErr w:type="gramEnd"/>
          </w:p>
        </w:tc>
        <w:tc>
          <w:tcPr>
            <w:tcW w:w="1561" w:type="dxa"/>
            <w:shd w:val="clear" w:color="auto" w:fill="auto"/>
            <w:vAlign w:val="center"/>
          </w:tcPr>
          <w:p w14:paraId="10B7FED0"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大纲审核人</w:t>
            </w:r>
          </w:p>
        </w:tc>
        <w:tc>
          <w:tcPr>
            <w:tcW w:w="2941" w:type="dxa"/>
            <w:shd w:val="clear" w:color="auto" w:fill="auto"/>
            <w:vAlign w:val="center"/>
          </w:tcPr>
          <w:p w14:paraId="7DB71D3E" w14:textId="77777777" w:rsidR="00106206" w:rsidRPr="00106206" w:rsidRDefault="00106206" w:rsidP="00106206">
            <w:pPr>
              <w:spacing w:line="440" w:lineRule="exact"/>
              <w:jc w:val="center"/>
              <w:rPr>
                <w:rFonts w:ascii="宋体" w:eastAsia="宋体" w:hAnsi="宋体" w:cs="Times New Roman"/>
                <w:sz w:val="24"/>
                <w:szCs w:val="24"/>
              </w:rPr>
            </w:pPr>
            <w:proofErr w:type="gramStart"/>
            <w:r w:rsidRPr="00106206">
              <w:rPr>
                <w:rFonts w:ascii="宋体" w:eastAsia="宋体" w:hAnsi="宋体" w:cs="Times New Roman" w:hint="eastAsia"/>
                <w:sz w:val="24"/>
                <w:szCs w:val="24"/>
              </w:rPr>
              <w:t>冯</w:t>
            </w:r>
            <w:proofErr w:type="gramEnd"/>
            <w:r w:rsidRPr="00106206">
              <w:rPr>
                <w:rFonts w:ascii="宋体" w:eastAsia="宋体" w:hAnsi="宋体" w:cs="Times New Roman" w:hint="eastAsia"/>
                <w:sz w:val="24"/>
                <w:szCs w:val="24"/>
              </w:rPr>
              <w:t>小龙</w:t>
            </w:r>
          </w:p>
        </w:tc>
      </w:tr>
      <w:tr w:rsidR="00106206" w:rsidRPr="00106206" w14:paraId="3438C724" w14:textId="77777777" w:rsidTr="00106206">
        <w:trPr>
          <w:trHeight w:val="848"/>
          <w:jc w:val="center"/>
        </w:trPr>
        <w:tc>
          <w:tcPr>
            <w:tcW w:w="1668" w:type="dxa"/>
            <w:shd w:val="clear" w:color="auto" w:fill="auto"/>
            <w:vAlign w:val="center"/>
          </w:tcPr>
          <w:p w14:paraId="48D3FF3F"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先修课程</w:t>
            </w:r>
          </w:p>
        </w:tc>
        <w:tc>
          <w:tcPr>
            <w:tcW w:w="7335" w:type="dxa"/>
            <w:gridSpan w:val="3"/>
            <w:shd w:val="clear" w:color="auto" w:fill="auto"/>
            <w:vAlign w:val="center"/>
          </w:tcPr>
          <w:p w14:paraId="07F3EF87"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《药事管理学》</w:t>
            </w:r>
          </w:p>
        </w:tc>
      </w:tr>
      <w:tr w:rsidR="00106206" w:rsidRPr="00106206" w14:paraId="66736A68" w14:textId="77777777" w:rsidTr="00106206">
        <w:trPr>
          <w:trHeight w:val="848"/>
          <w:jc w:val="center"/>
        </w:trPr>
        <w:tc>
          <w:tcPr>
            <w:tcW w:w="1668" w:type="dxa"/>
            <w:shd w:val="clear" w:color="auto" w:fill="auto"/>
            <w:vAlign w:val="center"/>
          </w:tcPr>
          <w:p w14:paraId="013C734B"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课程网址</w:t>
            </w:r>
          </w:p>
        </w:tc>
        <w:tc>
          <w:tcPr>
            <w:tcW w:w="7335" w:type="dxa"/>
            <w:gridSpan w:val="3"/>
            <w:shd w:val="clear" w:color="auto" w:fill="auto"/>
            <w:vAlign w:val="center"/>
          </w:tcPr>
          <w:p w14:paraId="071FB51A" w14:textId="77777777" w:rsidR="00106206" w:rsidRPr="00106206" w:rsidRDefault="00106206" w:rsidP="00106206">
            <w:pPr>
              <w:spacing w:line="440" w:lineRule="exact"/>
              <w:rPr>
                <w:rFonts w:ascii="宋体" w:eastAsia="宋体" w:hAnsi="宋体" w:cs="Times New Roman"/>
                <w:color w:val="FF0000"/>
                <w:sz w:val="24"/>
                <w:szCs w:val="24"/>
              </w:rPr>
            </w:pPr>
          </w:p>
        </w:tc>
      </w:tr>
    </w:tbl>
    <w:p w14:paraId="74C5F374" w14:textId="77777777" w:rsidR="00106206" w:rsidRPr="00106206" w:rsidRDefault="00106206" w:rsidP="00106206">
      <w:pPr>
        <w:spacing w:beforeLines="50" w:before="156" w:afterLines="50" w:after="156" w:line="440" w:lineRule="exact"/>
        <w:ind w:firstLineChars="200" w:firstLine="560"/>
        <w:rPr>
          <w:rFonts w:ascii="黑体" w:eastAsia="黑体" w:hAnsi="黑体" w:cs="Times New Roman"/>
          <w:sz w:val="28"/>
          <w:szCs w:val="28"/>
        </w:rPr>
      </w:pPr>
      <w:r w:rsidRPr="00106206">
        <w:rPr>
          <w:rFonts w:ascii="黑体" w:eastAsia="黑体" w:hAnsi="黑体" w:cs="Times New Roman" w:hint="eastAsia"/>
          <w:sz w:val="28"/>
          <w:szCs w:val="28"/>
        </w:rPr>
        <w:t>二、课程学习目标及与毕业要求的对应关系</w:t>
      </w:r>
    </w:p>
    <w:p w14:paraId="69199F3A" w14:textId="77777777" w:rsidR="00106206" w:rsidRPr="00106206" w:rsidRDefault="00106206" w:rsidP="00106206">
      <w:pPr>
        <w:spacing w:beforeLines="50" w:before="156" w:afterLines="50" w:after="156" w:line="440" w:lineRule="exact"/>
        <w:ind w:firstLineChars="200" w:firstLine="560"/>
        <w:rPr>
          <w:rFonts w:ascii="黑体" w:eastAsia="黑体" w:hAnsi="黑体" w:cs="Times New Roman"/>
          <w:sz w:val="28"/>
          <w:szCs w:val="28"/>
        </w:rPr>
      </w:pPr>
      <w:r w:rsidRPr="00106206">
        <w:rPr>
          <w:rFonts w:ascii="黑体" w:eastAsia="黑体" w:hAnsi="黑体" w:cs="Times New Roman" w:hint="eastAsia"/>
          <w:sz w:val="28"/>
          <w:szCs w:val="28"/>
        </w:rPr>
        <w:t>（一）课程学习目标</w:t>
      </w:r>
    </w:p>
    <w:p w14:paraId="16FE581A" w14:textId="77777777" w:rsidR="00106206" w:rsidRPr="00106206" w:rsidRDefault="00106206" w:rsidP="00106206">
      <w:pPr>
        <w:widowControl/>
        <w:ind w:firstLineChars="200" w:firstLine="480"/>
        <w:jc w:val="left"/>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通过本课程的学习，使学生达到以下目标：</w:t>
      </w:r>
    </w:p>
    <w:p w14:paraId="3686A3BB" w14:textId="77777777" w:rsidR="00106206" w:rsidRPr="00106206" w:rsidRDefault="00106206">
      <w:pPr>
        <w:numPr>
          <w:ilvl w:val="0"/>
          <w:numId w:val="180"/>
        </w:numPr>
        <w:spacing w:line="440" w:lineRule="exact"/>
        <w:ind w:firstLineChars="200" w:firstLine="480"/>
        <w:rPr>
          <w:rFonts w:ascii="宋体" w:eastAsia="宋体" w:hAnsi="宋体" w:cs="Times New Roman"/>
          <w:color w:val="FF0000"/>
          <w:sz w:val="24"/>
          <w:szCs w:val="24"/>
        </w:rPr>
      </w:pPr>
      <w:r w:rsidRPr="00106206">
        <w:rPr>
          <w:rFonts w:ascii="Times New Roman" w:eastAsia="宋体" w:hAnsi="Times New Roman" w:cs="Times New Roman" w:hint="eastAsia"/>
          <w:sz w:val="24"/>
          <w:szCs w:val="24"/>
        </w:rPr>
        <w:t>培养学生知识产权保护意识，尊重他人知识产权，同时具备药品专利文件、药品商标申请文件撰写与申请的能力。</w:t>
      </w:r>
      <w:r w:rsidRPr="00FD2E2D">
        <w:rPr>
          <w:rFonts w:ascii="Times New Roman" w:eastAsia="宋体" w:hAnsi="Times New Roman" w:cs="Times New Roman" w:hint="eastAsia"/>
          <w:b/>
          <w:bCs/>
          <w:color w:val="000000"/>
          <w:sz w:val="24"/>
          <w:szCs w:val="24"/>
        </w:rPr>
        <w:t>【毕业要求</w:t>
      </w:r>
      <w:r w:rsidRPr="00FD2E2D">
        <w:rPr>
          <w:rFonts w:ascii="Times New Roman" w:eastAsia="宋体" w:hAnsi="Times New Roman" w:cs="Times New Roman" w:hint="eastAsia"/>
          <w:b/>
          <w:bCs/>
          <w:color w:val="000000"/>
          <w:sz w:val="24"/>
          <w:szCs w:val="24"/>
        </w:rPr>
        <w:t xml:space="preserve">3 </w:t>
      </w:r>
      <w:r w:rsidRPr="00FD2E2D">
        <w:rPr>
          <w:rFonts w:ascii="Times New Roman" w:eastAsia="宋体" w:hAnsi="Times New Roman" w:cs="Times New Roman" w:hint="eastAsia"/>
          <w:b/>
          <w:bCs/>
          <w:color w:val="000000"/>
          <w:sz w:val="24"/>
          <w:szCs w:val="24"/>
        </w:rPr>
        <w:t>设计</w:t>
      </w:r>
      <w:r w:rsidRPr="00FD2E2D">
        <w:rPr>
          <w:rFonts w:ascii="Times New Roman" w:eastAsia="宋体" w:hAnsi="Times New Roman" w:cs="Times New Roman" w:hint="eastAsia"/>
          <w:b/>
          <w:bCs/>
          <w:color w:val="000000"/>
          <w:sz w:val="24"/>
          <w:szCs w:val="24"/>
        </w:rPr>
        <w:t>/</w:t>
      </w:r>
      <w:r w:rsidRPr="00FD2E2D">
        <w:rPr>
          <w:rFonts w:ascii="Times New Roman" w:eastAsia="宋体" w:hAnsi="Times New Roman" w:cs="Times New Roman" w:hint="eastAsia"/>
          <w:b/>
          <w:bCs/>
          <w:color w:val="000000"/>
          <w:sz w:val="24"/>
          <w:szCs w:val="24"/>
        </w:rPr>
        <w:t>开发解决方案】</w:t>
      </w:r>
    </w:p>
    <w:p w14:paraId="6643FEF2" w14:textId="77777777" w:rsidR="00106206" w:rsidRPr="00106206" w:rsidRDefault="00106206">
      <w:pPr>
        <w:numPr>
          <w:ilvl w:val="0"/>
          <w:numId w:val="180"/>
        </w:numPr>
        <w:spacing w:line="440" w:lineRule="exact"/>
        <w:ind w:firstLineChars="200" w:firstLine="480"/>
        <w:rPr>
          <w:rFonts w:ascii="Times New Roman" w:eastAsia="宋体" w:hAnsi="Times New Roman" w:cs="Times New Roman"/>
          <w:sz w:val="24"/>
          <w:szCs w:val="24"/>
        </w:rPr>
      </w:pPr>
      <w:r w:rsidRPr="00106206">
        <w:rPr>
          <w:rFonts w:ascii="Times New Roman" w:eastAsia="宋体" w:hAnsi="Times New Roman" w:cs="Times New Roman" w:hint="eastAsia"/>
          <w:sz w:val="24"/>
          <w:szCs w:val="24"/>
        </w:rPr>
        <w:t>了解医药知识产权基本理论，我国医药知识产权制度的法律法规，具有将法学、专业知识用于解决药品专利问题的能力。</w:t>
      </w:r>
      <w:r w:rsidRPr="00FD2E2D">
        <w:rPr>
          <w:rFonts w:ascii="Times New Roman" w:eastAsia="宋体" w:hAnsi="Times New Roman" w:cs="Times New Roman" w:hint="eastAsia"/>
          <w:b/>
          <w:bCs/>
          <w:sz w:val="24"/>
          <w:szCs w:val="24"/>
        </w:rPr>
        <w:t>【毕业要求毕业要求</w:t>
      </w:r>
      <w:r w:rsidRPr="00FD2E2D">
        <w:rPr>
          <w:rFonts w:ascii="Times New Roman" w:eastAsia="宋体" w:hAnsi="Times New Roman" w:cs="Times New Roman" w:hint="eastAsia"/>
          <w:b/>
          <w:bCs/>
          <w:sz w:val="24"/>
          <w:szCs w:val="24"/>
        </w:rPr>
        <w:t xml:space="preserve">6 </w:t>
      </w:r>
      <w:r w:rsidRPr="00FD2E2D">
        <w:rPr>
          <w:rFonts w:ascii="Times New Roman" w:eastAsia="宋体" w:hAnsi="Times New Roman" w:cs="Times New Roman" w:hint="eastAsia"/>
          <w:b/>
          <w:bCs/>
          <w:sz w:val="24"/>
          <w:szCs w:val="24"/>
        </w:rPr>
        <w:t>药学与社会】</w:t>
      </w:r>
    </w:p>
    <w:p w14:paraId="599864BA" w14:textId="77777777" w:rsidR="00106206" w:rsidRPr="00106206" w:rsidRDefault="00106206">
      <w:pPr>
        <w:numPr>
          <w:ilvl w:val="0"/>
          <w:numId w:val="180"/>
        </w:numPr>
        <w:spacing w:line="440" w:lineRule="exact"/>
        <w:ind w:firstLineChars="200" w:firstLine="480"/>
        <w:rPr>
          <w:rFonts w:ascii="Times New Roman" w:eastAsia="宋体" w:hAnsi="Times New Roman" w:cs="Times New Roman"/>
          <w:sz w:val="24"/>
          <w:szCs w:val="24"/>
        </w:rPr>
      </w:pPr>
      <w:r w:rsidRPr="00106206">
        <w:rPr>
          <w:rFonts w:ascii="Times New Roman" w:eastAsia="宋体" w:hAnsi="Times New Roman" w:cs="Times New Roman" w:hint="eastAsia"/>
          <w:sz w:val="24"/>
          <w:szCs w:val="24"/>
        </w:rPr>
        <w:t>掌握医药专利保护、医药著作保护、医药商标保护以及其他医药知识保护的相关知识，具有查阅专业技术资料的能力。</w:t>
      </w:r>
      <w:r w:rsidRPr="00FD2E2D">
        <w:rPr>
          <w:rFonts w:ascii="Times New Roman" w:eastAsia="宋体" w:hAnsi="Times New Roman" w:cs="Times New Roman" w:hint="eastAsia"/>
          <w:b/>
          <w:bCs/>
          <w:sz w:val="24"/>
          <w:szCs w:val="24"/>
        </w:rPr>
        <w:t>【毕业要求毕业要求</w:t>
      </w:r>
      <w:r w:rsidRPr="00FD2E2D">
        <w:rPr>
          <w:rFonts w:ascii="Times New Roman" w:eastAsia="宋体" w:hAnsi="Times New Roman" w:cs="Times New Roman" w:hint="eastAsia"/>
          <w:b/>
          <w:bCs/>
          <w:sz w:val="24"/>
          <w:szCs w:val="24"/>
        </w:rPr>
        <w:t xml:space="preserve">5 </w:t>
      </w:r>
      <w:r w:rsidRPr="00FD2E2D">
        <w:rPr>
          <w:rFonts w:ascii="Times New Roman" w:eastAsia="宋体" w:hAnsi="Times New Roman" w:cs="Times New Roman" w:hint="eastAsia"/>
          <w:b/>
          <w:bCs/>
          <w:sz w:val="24"/>
          <w:szCs w:val="24"/>
        </w:rPr>
        <w:t>现代工具使用】</w:t>
      </w:r>
    </w:p>
    <w:p w14:paraId="465D131B" w14:textId="77777777" w:rsidR="00106206" w:rsidRPr="00106206" w:rsidRDefault="00106206" w:rsidP="00106206">
      <w:pPr>
        <w:spacing w:beforeLines="50" w:before="156" w:afterLines="50" w:after="156" w:line="440" w:lineRule="exact"/>
        <w:ind w:firstLineChars="200" w:firstLine="560"/>
        <w:rPr>
          <w:rFonts w:ascii="黑体" w:eastAsia="黑体" w:hAnsi="黑体" w:cs="Times New Roman"/>
          <w:sz w:val="28"/>
          <w:szCs w:val="28"/>
        </w:rPr>
      </w:pPr>
      <w:r w:rsidRPr="00106206">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106206" w:rsidRPr="00106206" w14:paraId="34145056" w14:textId="77777777" w:rsidTr="00106206">
        <w:trPr>
          <w:trHeight w:val="815"/>
          <w:jc w:val="center"/>
        </w:trPr>
        <w:tc>
          <w:tcPr>
            <w:tcW w:w="1676" w:type="dxa"/>
            <w:vAlign w:val="center"/>
          </w:tcPr>
          <w:p w14:paraId="7BB2BCFC" w14:textId="77777777" w:rsidR="00106206" w:rsidRPr="00106206" w:rsidRDefault="00106206" w:rsidP="00106206">
            <w:pPr>
              <w:spacing w:line="440" w:lineRule="exact"/>
              <w:jc w:val="center"/>
              <w:rPr>
                <w:rFonts w:ascii="宋体" w:eastAsia="宋体" w:hAnsi="宋体" w:cs="Times New Roman"/>
                <w:b/>
                <w:sz w:val="24"/>
                <w:szCs w:val="24"/>
              </w:rPr>
            </w:pPr>
            <w:r w:rsidRPr="00106206">
              <w:rPr>
                <w:rFonts w:ascii="宋体" w:eastAsia="宋体" w:hAnsi="宋体" w:cs="Times New Roman" w:hint="eastAsia"/>
                <w:b/>
                <w:sz w:val="24"/>
                <w:szCs w:val="24"/>
              </w:rPr>
              <w:t>毕业要求</w:t>
            </w:r>
          </w:p>
        </w:tc>
        <w:tc>
          <w:tcPr>
            <w:tcW w:w="5534" w:type="dxa"/>
            <w:vAlign w:val="center"/>
          </w:tcPr>
          <w:p w14:paraId="13090902" w14:textId="77777777" w:rsidR="00106206" w:rsidRPr="00106206" w:rsidRDefault="00106206" w:rsidP="00106206">
            <w:pPr>
              <w:spacing w:line="440" w:lineRule="exact"/>
              <w:jc w:val="center"/>
              <w:rPr>
                <w:rFonts w:ascii="宋体" w:eastAsia="宋体" w:hAnsi="宋体" w:cs="Times New Roman"/>
                <w:b/>
                <w:sz w:val="24"/>
                <w:szCs w:val="24"/>
              </w:rPr>
            </w:pPr>
            <w:r w:rsidRPr="00106206">
              <w:rPr>
                <w:rFonts w:ascii="宋体" w:eastAsia="宋体" w:hAnsi="宋体" w:cs="Times New Roman" w:hint="eastAsia"/>
                <w:b/>
                <w:sz w:val="24"/>
                <w:szCs w:val="24"/>
              </w:rPr>
              <w:t>毕业要求指标点</w:t>
            </w:r>
          </w:p>
        </w:tc>
        <w:tc>
          <w:tcPr>
            <w:tcW w:w="1959" w:type="dxa"/>
            <w:vAlign w:val="center"/>
          </w:tcPr>
          <w:p w14:paraId="5CAB5622" w14:textId="77777777" w:rsidR="00106206" w:rsidRPr="00106206" w:rsidRDefault="00106206" w:rsidP="00106206">
            <w:pPr>
              <w:spacing w:line="440" w:lineRule="exact"/>
              <w:jc w:val="center"/>
              <w:rPr>
                <w:rFonts w:ascii="宋体" w:eastAsia="宋体" w:hAnsi="宋体" w:cs="Times New Roman"/>
                <w:b/>
                <w:sz w:val="24"/>
                <w:szCs w:val="24"/>
              </w:rPr>
            </w:pPr>
            <w:r w:rsidRPr="00106206">
              <w:rPr>
                <w:rFonts w:ascii="宋体" w:eastAsia="宋体" w:hAnsi="宋体" w:cs="Times New Roman" w:hint="eastAsia"/>
                <w:b/>
                <w:sz w:val="24"/>
                <w:szCs w:val="24"/>
              </w:rPr>
              <w:t>课程目标</w:t>
            </w:r>
          </w:p>
        </w:tc>
      </w:tr>
      <w:tr w:rsidR="00106206" w:rsidRPr="00106206" w14:paraId="165C4701" w14:textId="77777777" w:rsidTr="00106206">
        <w:trPr>
          <w:jc w:val="center"/>
        </w:trPr>
        <w:tc>
          <w:tcPr>
            <w:tcW w:w="1676" w:type="dxa"/>
            <w:vAlign w:val="center"/>
          </w:tcPr>
          <w:p w14:paraId="0A5AC1FF" w14:textId="77777777" w:rsidR="00106206" w:rsidRPr="00106206" w:rsidRDefault="00106206" w:rsidP="00106206">
            <w:pPr>
              <w:spacing w:line="440" w:lineRule="exact"/>
              <w:jc w:val="center"/>
              <w:rPr>
                <w:rFonts w:ascii="宋体" w:eastAsia="宋体" w:hAnsi="宋体" w:cs="Times New Roman"/>
                <w:color w:val="FF0000"/>
                <w:sz w:val="24"/>
                <w:szCs w:val="24"/>
              </w:rPr>
            </w:pPr>
            <w:r w:rsidRPr="00106206">
              <w:rPr>
                <w:rFonts w:ascii="Times New Roman" w:eastAsia="宋体" w:hAnsi="Times New Roman" w:cs="Times New Roman" w:hint="eastAsia"/>
                <w:color w:val="000000"/>
                <w:sz w:val="24"/>
                <w:szCs w:val="24"/>
              </w:rPr>
              <w:lastRenderedPageBreak/>
              <w:t xml:space="preserve">3 </w:t>
            </w:r>
            <w:r w:rsidRPr="00106206">
              <w:rPr>
                <w:rFonts w:ascii="Times New Roman" w:eastAsia="宋体" w:hAnsi="Times New Roman" w:cs="Times New Roman" w:hint="eastAsia"/>
                <w:color w:val="000000"/>
                <w:sz w:val="24"/>
                <w:szCs w:val="24"/>
              </w:rPr>
              <w:t>设计</w:t>
            </w:r>
            <w:r w:rsidRPr="00106206">
              <w:rPr>
                <w:rFonts w:ascii="Times New Roman" w:eastAsia="宋体" w:hAnsi="Times New Roman" w:cs="Times New Roman" w:hint="eastAsia"/>
                <w:color w:val="000000"/>
                <w:sz w:val="24"/>
                <w:szCs w:val="24"/>
              </w:rPr>
              <w:t>/</w:t>
            </w:r>
            <w:r w:rsidRPr="00106206">
              <w:rPr>
                <w:rFonts w:ascii="Times New Roman" w:eastAsia="宋体" w:hAnsi="Times New Roman" w:cs="Times New Roman" w:hint="eastAsia"/>
                <w:color w:val="000000"/>
                <w:sz w:val="24"/>
                <w:szCs w:val="24"/>
              </w:rPr>
              <w:t>开发解决方案</w:t>
            </w:r>
          </w:p>
        </w:tc>
        <w:tc>
          <w:tcPr>
            <w:tcW w:w="5534" w:type="dxa"/>
            <w:vAlign w:val="center"/>
          </w:tcPr>
          <w:p w14:paraId="56D10371" w14:textId="77777777" w:rsidR="00106206" w:rsidRPr="00106206" w:rsidRDefault="00106206" w:rsidP="00106206">
            <w:pPr>
              <w:spacing w:line="440" w:lineRule="exact"/>
              <w:jc w:val="center"/>
              <w:rPr>
                <w:rFonts w:ascii="宋体" w:eastAsia="宋体" w:hAnsi="宋体" w:cs="Times New Roman"/>
                <w:color w:val="FF0000"/>
                <w:sz w:val="24"/>
                <w:szCs w:val="24"/>
              </w:rPr>
            </w:pPr>
            <w:r w:rsidRPr="00106206">
              <w:rPr>
                <w:rFonts w:ascii="宋体" w:eastAsia="宋体" w:hAnsi="宋体" w:cs="Times New Roman"/>
                <w:spacing w:val="-1"/>
                <w:szCs w:val="24"/>
              </w:rPr>
              <w:t>3.3</w:t>
            </w:r>
            <w:r w:rsidRPr="00106206">
              <w:rPr>
                <w:rFonts w:ascii="宋体" w:eastAsia="宋体" w:hAnsi="宋体" w:cs="Times New Roman" w:hint="eastAsia"/>
                <w:spacing w:val="-1"/>
                <w:szCs w:val="24"/>
              </w:rPr>
              <w:t xml:space="preserve"> </w:t>
            </w:r>
            <w:r w:rsidRPr="00106206">
              <w:rPr>
                <w:rFonts w:ascii="Times New Roman" w:eastAsia="宋体" w:hAnsi="Times New Roman" w:cs="Times New Roman" w:hint="eastAsia"/>
                <w:szCs w:val="24"/>
              </w:rPr>
              <w:t>具有创新思维，在运用基本原理与方法的基础上，设计方案具有一定的创新性。</w:t>
            </w:r>
          </w:p>
        </w:tc>
        <w:tc>
          <w:tcPr>
            <w:tcW w:w="1959" w:type="dxa"/>
            <w:vAlign w:val="center"/>
          </w:tcPr>
          <w:p w14:paraId="2B7DDB8C" w14:textId="77777777" w:rsidR="00106206" w:rsidRPr="00106206" w:rsidRDefault="00106206" w:rsidP="00106206">
            <w:pPr>
              <w:spacing w:line="440" w:lineRule="exact"/>
              <w:jc w:val="left"/>
              <w:rPr>
                <w:rFonts w:ascii="宋体" w:eastAsia="宋体" w:hAnsi="宋体" w:cs="Times New Roman"/>
                <w:sz w:val="24"/>
                <w:szCs w:val="24"/>
              </w:rPr>
            </w:pPr>
            <w:r w:rsidRPr="00106206">
              <w:rPr>
                <w:rFonts w:ascii="宋体" w:eastAsia="宋体" w:hAnsi="宋体" w:cs="Times New Roman" w:hint="eastAsia"/>
                <w:bCs/>
                <w:sz w:val="24"/>
                <w:szCs w:val="24"/>
              </w:rPr>
              <w:t>课程目标2</w:t>
            </w:r>
          </w:p>
        </w:tc>
      </w:tr>
      <w:tr w:rsidR="00106206" w:rsidRPr="00106206" w14:paraId="3B224241" w14:textId="77777777" w:rsidTr="00106206">
        <w:trPr>
          <w:jc w:val="center"/>
        </w:trPr>
        <w:tc>
          <w:tcPr>
            <w:tcW w:w="1676" w:type="dxa"/>
            <w:vAlign w:val="center"/>
          </w:tcPr>
          <w:p w14:paraId="6D1CAD3B" w14:textId="77777777" w:rsidR="00106206" w:rsidRPr="00106206" w:rsidRDefault="00106206" w:rsidP="00106206">
            <w:pPr>
              <w:spacing w:line="440" w:lineRule="exact"/>
              <w:jc w:val="center"/>
              <w:rPr>
                <w:rFonts w:ascii="宋体" w:eastAsia="宋体" w:hAnsi="宋体" w:cs="Times New Roman"/>
                <w:color w:val="FF0000"/>
                <w:sz w:val="24"/>
                <w:szCs w:val="24"/>
              </w:rPr>
            </w:pPr>
            <w:r w:rsidRPr="00106206">
              <w:rPr>
                <w:rFonts w:ascii="Times New Roman" w:eastAsia="宋体" w:hAnsi="Times New Roman" w:cs="Times New Roman" w:hint="eastAsia"/>
                <w:sz w:val="24"/>
                <w:szCs w:val="24"/>
              </w:rPr>
              <w:t xml:space="preserve">6 </w:t>
            </w:r>
            <w:r w:rsidRPr="00106206">
              <w:rPr>
                <w:rFonts w:ascii="Times New Roman" w:eastAsia="宋体" w:hAnsi="Times New Roman" w:cs="Times New Roman" w:hint="eastAsia"/>
                <w:sz w:val="24"/>
                <w:szCs w:val="24"/>
              </w:rPr>
              <w:t>药学与社会</w:t>
            </w:r>
          </w:p>
        </w:tc>
        <w:tc>
          <w:tcPr>
            <w:tcW w:w="5534" w:type="dxa"/>
            <w:vAlign w:val="center"/>
          </w:tcPr>
          <w:p w14:paraId="002E8F4C"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spacing w:val="-1"/>
                <w:szCs w:val="24"/>
              </w:rPr>
              <w:t>6.1</w:t>
            </w:r>
            <w:r w:rsidRPr="00106206">
              <w:rPr>
                <w:rFonts w:ascii="宋体" w:eastAsia="宋体" w:hAnsi="宋体" w:cs="Times New Roman" w:hint="eastAsia"/>
                <w:spacing w:val="-1"/>
                <w:szCs w:val="24"/>
              </w:rPr>
              <w:t xml:space="preserve"> </w:t>
            </w:r>
            <w:r w:rsidRPr="00106206">
              <w:rPr>
                <w:rFonts w:ascii="宋体" w:eastAsia="宋体" w:hAnsi="宋体" w:cs="Times New Roman"/>
                <w:szCs w:val="24"/>
              </w:rPr>
              <w:t>熟悉</w:t>
            </w:r>
            <w:r w:rsidRPr="00106206">
              <w:rPr>
                <w:rFonts w:ascii="宋体" w:eastAsia="宋体" w:hAnsi="宋体" w:cs="Times New Roman" w:hint="eastAsia"/>
                <w:szCs w:val="24"/>
              </w:rPr>
              <w:t>药学相</w:t>
            </w:r>
            <w:r w:rsidRPr="00106206">
              <w:rPr>
                <w:rFonts w:ascii="宋体" w:eastAsia="宋体" w:hAnsi="宋体" w:cs="Times New Roman"/>
                <w:szCs w:val="24"/>
              </w:rPr>
              <w:t>关的</w:t>
            </w:r>
            <w:r w:rsidRPr="00106206">
              <w:rPr>
                <w:rFonts w:ascii="宋体" w:eastAsia="宋体" w:hAnsi="宋体" w:cs="Times New Roman" w:hint="eastAsia"/>
                <w:szCs w:val="24"/>
              </w:rPr>
              <w:t>标准、</w:t>
            </w:r>
            <w:r w:rsidRPr="00106206">
              <w:rPr>
                <w:rFonts w:ascii="宋体" w:eastAsia="宋体" w:hAnsi="宋体" w:cs="Times New Roman"/>
                <w:szCs w:val="24"/>
              </w:rPr>
              <w:t>政策与法规</w:t>
            </w:r>
            <w:r w:rsidRPr="00106206">
              <w:rPr>
                <w:rFonts w:ascii="宋体" w:eastAsia="宋体" w:hAnsi="宋体" w:cs="WHBUGK+ËÎÌå"/>
                <w:szCs w:val="24"/>
              </w:rPr>
              <w:t>，能够在法律、法规的框架内</w:t>
            </w:r>
            <w:r w:rsidRPr="00106206">
              <w:rPr>
                <w:rFonts w:ascii="宋体" w:eastAsia="宋体" w:hAnsi="宋体" w:cs="WHBUGK+ËÎÌå" w:hint="eastAsia"/>
                <w:szCs w:val="24"/>
              </w:rPr>
              <w:t>开展实践</w:t>
            </w:r>
            <w:r w:rsidRPr="00106206">
              <w:rPr>
                <w:rFonts w:ascii="宋体" w:eastAsia="宋体" w:hAnsi="宋体" w:cs="WHBUGK+ËÎÌå"/>
                <w:szCs w:val="24"/>
              </w:rPr>
              <w:t>；</w:t>
            </w:r>
          </w:p>
        </w:tc>
        <w:tc>
          <w:tcPr>
            <w:tcW w:w="1959" w:type="dxa"/>
            <w:vAlign w:val="center"/>
          </w:tcPr>
          <w:p w14:paraId="153C0897" w14:textId="77777777" w:rsidR="00106206" w:rsidRPr="00106206" w:rsidRDefault="00106206" w:rsidP="00106206">
            <w:pPr>
              <w:spacing w:line="440" w:lineRule="exact"/>
              <w:jc w:val="left"/>
              <w:rPr>
                <w:rFonts w:ascii="宋体" w:eastAsia="宋体" w:hAnsi="宋体" w:cs="Times New Roman"/>
                <w:sz w:val="24"/>
                <w:szCs w:val="24"/>
              </w:rPr>
            </w:pPr>
            <w:r w:rsidRPr="00106206">
              <w:rPr>
                <w:rFonts w:ascii="宋体" w:eastAsia="宋体" w:hAnsi="宋体" w:cs="Times New Roman" w:hint="eastAsia"/>
                <w:bCs/>
                <w:sz w:val="24"/>
                <w:szCs w:val="24"/>
              </w:rPr>
              <w:t>课程目标1、2</w:t>
            </w:r>
          </w:p>
        </w:tc>
      </w:tr>
      <w:tr w:rsidR="00106206" w:rsidRPr="00106206" w14:paraId="5A4AE698" w14:textId="77777777" w:rsidTr="00106206">
        <w:trPr>
          <w:jc w:val="center"/>
        </w:trPr>
        <w:tc>
          <w:tcPr>
            <w:tcW w:w="1676" w:type="dxa"/>
            <w:vAlign w:val="center"/>
          </w:tcPr>
          <w:p w14:paraId="2C547EB4" w14:textId="77777777" w:rsidR="00106206" w:rsidRPr="00106206" w:rsidRDefault="00106206" w:rsidP="00106206">
            <w:pPr>
              <w:spacing w:line="440" w:lineRule="exact"/>
              <w:jc w:val="center"/>
              <w:rPr>
                <w:rFonts w:ascii="宋体" w:eastAsia="宋体" w:hAnsi="宋体" w:cs="Times New Roman"/>
                <w:color w:val="FF0000"/>
                <w:sz w:val="24"/>
                <w:szCs w:val="24"/>
              </w:rPr>
            </w:pPr>
            <w:r w:rsidRPr="00106206">
              <w:rPr>
                <w:rFonts w:ascii="Times New Roman" w:eastAsia="宋体" w:hAnsi="Times New Roman" w:cs="Times New Roman" w:hint="eastAsia"/>
                <w:sz w:val="24"/>
                <w:szCs w:val="24"/>
              </w:rPr>
              <w:t xml:space="preserve">5 </w:t>
            </w:r>
            <w:r w:rsidRPr="00106206">
              <w:rPr>
                <w:rFonts w:ascii="Times New Roman" w:eastAsia="宋体" w:hAnsi="Times New Roman" w:cs="Times New Roman" w:hint="eastAsia"/>
                <w:sz w:val="24"/>
                <w:szCs w:val="24"/>
              </w:rPr>
              <w:t>现代工具使用</w:t>
            </w:r>
          </w:p>
        </w:tc>
        <w:tc>
          <w:tcPr>
            <w:tcW w:w="5534" w:type="dxa"/>
            <w:vAlign w:val="center"/>
          </w:tcPr>
          <w:p w14:paraId="408D8932" w14:textId="77777777" w:rsidR="00106206" w:rsidRPr="00106206" w:rsidRDefault="00106206" w:rsidP="00106206">
            <w:pPr>
              <w:autoSpaceDE w:val="0"/>
              <w:autoSpaceDN w:val="0"/>
              <w:adjustRightInd w:val="0"/>
              <w:snapToGrid w:val="0"/>
              <w:spacing w:line="400" w:lineRule="exact"/>
              <w:jc w:val="left"/>
              <w:rPr>
                <w:rFonts w:ascii="宋体" w:eastAsia="宋体" w:hAnsi="宋体" w:cs="Times New Roman"/>
                <w:sz w:val="24"/>
                <w:szCs w:val="24"/>
              </w:rPr>
            </w:pPr>
            <w:r w:rsidRPr="00106206">
              <w:rPr>
                <w:rFonts w:ascii="宋体" w:eastAsia="宋体" w:hAnsi="宋体" w:cs="Times New Roman"/>
                <w:spacing w:val="-1"/>
                <w:szCs w:val="24"/>
              </w:rPr>
              <w:t>5.1</w:t>
            </w:r>
            <w:r w:rsidRPr="00106206">
              <w:rPr>
                <w:rFonts w:ascii="宋体" w:eastAsia="宋体" w:hAnsi="宋体" w:cs="Times New Roman" w:hint="eastAsia"/>
                <w:spacing w:val="-1"/>
                <w:szCs w:val="24"/>
              </w:rPr>
              <w:t xml:space="preserve"> </w:t>
            </w:r>
            <w:r w:rsidRPr="00106206">
              <w:rPr>
                <w:rFonts w:ascii="宋体" w:eastAsia="宋体" w:hAnsi="宋体" w:cs="WHBUGK+ËÎÌå"/>
                <w:spacing w:val="-1"/>
                <w:szCs w:val="24"/>
              </w:rPr>
              <w:t>熟悉信息技术工具、现代实验仪器</w:t>
            </w:r>
            <w:r w:rsidRPr="00106206">
              <w:rPr>
                <w:rFonts w:ascii="宋体" w:eastAsia="宋体" w:hAnsi="宋体" w:cs="WHBUGK+ËÎÌå" w:hint="eastAsia"/>
                <w:spacing w:val="-1"/>
                <w:szCs w:val="24"/>
              </w:rPr>
              <w:t>、</w:t>
            </w:r>
            <w:r w:rsidRPr="00106206">
              <w:rPr>
                <w:rFonts w:ascii="宋体" w:eastAsia="宋体" w:hAnsi="宋体" w:cs="WHBUGK+ËÎÌå"/>
                <w:spacing w:val="-1"/>
                <w:szCs w:val="24"/>
              </w:rPr>
              <w:t>专业模拟软件</w:t>
            </w:r>
            <w:r w:rsidRPr="00106206">
              <w:rPr>
                <w:rFonts w:ascii="宋体" w:eastAsia="宋体" w:hAnsi="宋体" w:cs="WHBUGK+ËÎÌå" w:hint="eastAsia"/>
                <w:spacing w:val="-1"/>
                <w:szCs w:val="24"/>
              </w:rPr>
              <w:t>等</w:t>
            </w:r>
            <w:r w:rsidRPr="00106206">
              <w:rPr>
                <w:rFonts w:ascii="宋体" w:eastAsia="宋体" w:hAnsi="宋体" w:cs="WHBUGK+ËÎÌå"/>
                <w:spacing w:val="-1"/>
                <w:szCs w:val="24"/>
              </w:rPr>
              <w:t>的使用方法，</w:t>
            </w:r>
            <w:r w:rsidRPr="00106206">
              <w:rPr>
                <w:rFonts w:ascii="宋体" w:eastAsia="宋体" w:hAnsi="宋体" w:cs="WHBUGK+ËÎÌå"/>
                <w:szCs w:val="24"/>
              </w:rPr>
              <w:t>理解其局限性</w:t>
            </w:r>
            <w:r w:rsidRPr="00106206">
              <w:rPr>
                <w:rFonts w:ascii="宋体" w:eastAsia="宋体" w:hAnsi="宋体" w:cs="WHBUGK+ËÎÌå" w:hint="eastAsia"/>
                <w:szCs w:val="24"/>
              </w:rPr>
              <w:t>；</w:t>
            </w:r>
          </w:p>
        </w:tc>
        <w:tc>
          <w:tcPr>
            <w:tcW w:w="1959" w:type="dxa"/>
            <w:vAlign w:val="center"/>
          </w:tcPr>
          <w:p w14:paraId="10D519C9" w14:textId="77777777" w:rsidR="00106206" w:rsidRPr="00106206" w:rsidRDefault="00106206" w:rsidP="00106206">
            <w:pPr>
              <w:spacing w:line="440" w:lineRule="exact"/>
              <w:jc w:val="left"/>
              <w:rPr>
                <w:rFonts w:ascii="宋体" w:eastAsia="宋体" w:hAnsi="宋体" w:cs="Times New Roman"/>
                <w:sz w:val="24"/>
                <w:szCs w:val="24"/>
              </w:rPr>
            </w:pPr>
            <w:r w:rsidRPr="00106206">
              <w:rPr>
                <w:rFonts w:ascii="宋体" w:eastAsia="宋体" w:hAnsi="宋体" w:cs="Times New Roman" w:hint="eastAsia"/>
                <w:bCs/>
                <w:sz w:val="24"/>
                <w:szCs w:val="24"/>
              </w:rPr>
              <w:t>课程目标1、2</w:t>
            </w:r>
          </w:p>
        </w:tc>
      </w:tr>
    </w:tbl>
    <w:p w14:paraId="067D465D" w14:textId="77777777" w:rsidR="00106206" w:rsidRPr="00106206" w:rsidRDefault="00106206" w:rsidP="00106206">
      <w:pPr>
        <w:rPr>
          <w:rFonts w:ascii="Times New Roman" w:eastAsia="宋体" w:hAnsi="Times New Roman" w:cs="Times New Roman"/>
          <w:szCs w:val="24"/>
        </w:rPr>
      </w:pPr>
    </w:p>
    <w:p w14:paraId="0F011BE7" w14:textId="77777777" w:rsidR="00106206" w:rsidRPr="00106206" w:rsidRDefault="00106206" w:rsidP="00106206">
      <w:pPr>
        <w:spacing w:beforeLines="50" w:before="156" w:afterLines="50" w:after="156" w:line="440" w:lineRule="exact"/>
        <w:ind w:firstLineChars="200" w:firstLine="560"/>
        <w:rPr>
          <w:rFonts w:ascii="黑体" w:eastAsia="黑体" w:hAnsi="黑体" w:cs="Times New Roman"/>
          <w:sz w:val="28"/>
          <w:szCs w:val="28"/>
        </w:rPr>
      </w:pPr>
      <w:r w:rsidRPr="00106206">
        <w:rPr>
          <w:rFonts w:ascii="黑体" w:eastAsia="黑体" w:hAnsi="黑体" w:cs="Times New Roman" w:hint="eastAsia"/>
          <w:sz w:val="28"/>
          <w:szCs w:val="28"/>
        </w:rPr>
        <w:t>三、课程学习内容及与课程学习目标的对应关系</w:t>
      </w:r>
    </w:p>
    <w:p w14:paraId="389836A6" w14:textId="77777777" w:rsidR="00106206" w:rsidRPr="00106206" w:rsidRDefault="00106206" w:rsidP="00106206">
      <w:pPr>
        <w:spacing w:beforeLines="50" w:before="156" w:afterLines="50" w:after="156" w:line="440" w:lineRule="exact"/>
        <w:ind w:firstLineChars="200" w:firstLine="562"/>
        <w:rPr>
          <w:rFonts w:ascii="黑体" w:eastAsia="黑体" w:hAnsi="黑体" w:cs="Times New Roman"/>
          <w:b/>
          <w:sz w:val="28"/>
          <w:szCs w:val="28"/>
        </w:rPr>
      </w:pPr>
      <w:r w:rsidRPr="00106206">
        <w:rPr>
          <w:rFonts w:ascii="黑体" w:eastAsia="黑体" w:hAnsi="黑体" w:cs="Times New Roman" w:hint="eastAsia"/>
          <w:b/>
          <w:sz w:val="28"/>
          <w:szCs w:val="28"/>
        </w:rPr>
        <w:t>（一）课程学习内容</w:t>
      </w:r>
    </w:p>
    <w:p w14:paraId="42754DF4" w14:textId="77777777" w:rsidR="00106206" w:rsidRPr="00106206" w:rsidRDefault="00106206" w:rsidP="00106206">
      <w:pPr>
        <w:widowControl/>
        <w:jc w:val="center"/>
        <w:rPr>
          <w:rFonts w:ascii="Times New Roman" w:eastAsia="宋体" w:hAnsi="Times New Roman" w:cs="Times New Roman"/>
          <w:szCs w:val="24"/>
        </w:rPr>
      </w:pPr>
      <w:r w:rsidRPr="00106206">
        <w:rPr>
          <w:rFonts w:ascii="黑体" w:eastAsia="黑体" w:hAnsi="黑体" w:cs="Times New Roman" w:hint="eastAsia"/>
          <w:sz w:val="28"/>
          <w:szCs w:val="28"/>
        </w:rPr>
        <w:t xml:space="preserve">第一章  </w:t>
      </w:r>
      <w:r w:rsidRPr="00106206">
        <w:rPr>
          <w:rFonts w:ascii="黑体" w:eastAsia="黑体" w:hAnsi="宋体" w:cs="黑体"/>
          <w:color w:val="000000"/>
          <w:kern w:val="0"/>
          <w:sz w:val="28"/>
          <w:szCs w:val="28"/>
          <w:lang w:bidi="ar"/>
        </w:rPr>
        <w:t>知识产权概</w:t>
      </w:r>
      <w:r w:rsidRPr="00106206">
        <w:rPr>
          <w:rFonts w:ascii="黑体" w:eastAsia="黑体" w:hAnsi="宋体" w:cs="黑体" w:hint="eastAsia"/>
          <w:color w:val="000000"/>
          <w:kern w:val="0"/>
          <w:sz w:val="28"/>
          <w:szCs w:val="28"/>
          <w:lang w:bidi="ar"/>
        </w:rPr>
        <w:t>述</w:t>
      </w:r>
    </w:p>
    <w:p w14:paraId="293C66B4" w14:textId="77777777" w:rsidR="00106206" w:rsidRPr="00106206" w:rsidRDefault="00106206" w:rsidP="00106206">
      <w:pPr>
        <w:spacing w:line="440" w:lineRule="exact"/>
        <w:ind w:firstLineChars="200" w:firstLine="482"/>
        <w:rPr>
          <w:rFonts w:ascii="宋体" w:eastAsia="宋体" w:hAnsi="宋体" w:cs="Times New Roman"/>
          <w:b/>
          <w:sz w:val="24"/>
          <w:szCs w:val="24"/>
        </w:rPr>
      </w:pPr>
      <w:r w:rsidRPr="00106206">
        <w:rPr>
          <w:rFonts w:ascii="宋体" w:eastAsia="宋体" w:hAnsi="宋体" w:cs="Times New Roman" w:hint="eastAsia"/>
          <w:b/>
          <w:sz w:val="24"/>
          <w:szCs w:val="24"/>
        </w:rPr>
        <w:t>【学习目标】</w:t>
      </w:r>
    </w:p>
    <w:p w14:paraId="0D3CD1CC" w14:textId="77777777" w:rsidR="00106206" w:rsidRPr="00106206" w:rsidRDefault="00106206">
      <w:pPr>
        <w:numPr>
          <w:ilvl w:val="0"/>
          <w:numId w:val="181"/>
        </w:numPr>
        <w:spacing w:line="440" w:lineRule="exact"/>
        <w:ind w:firstLineChars="200" w:firstLine="480"/>
        <w:rPr>
          <w:rFonts w:ascii="宋体" w:eastAsia="宋体" w:hAnsi="宋体" w:cs="Times New Roman"/>
          <w:bCs/>
          <w:sz w:val="24"/>
          <w:szCs w:val="24"/>
        </w:rPr>
      </w:pPr>
      <w:r w:rsidRPr="00106206">
        <w:rPr>
          <w:rFonts w:ascii="宋体" w:eastAsia="宋体" w:hAnsi="宋体" w:cs="Times New Roman" w:hint="eastAsia"/>
          <w:bCs/>
          <w:sz w:val="24"/>
          <w:szCs w:val="24"/>
        </w:rPr>
        <w:t>掌握知识产权基本概念、保护的类别与专利申请的意义；增强知识产权保护意识。</w:t>
      </w:r>
    </w:p>
    <w:p w14:paraId="714940BE" w14:textId="77777777" w:rsidR="00106206" w:rsidRPr="00106206" w:rsidRDefault="00106206">
      <w:pPr>
        <w:numPr>
          <w:ilvl w:val="0"/>
          <w:numId w:val="181"/>
        </w:numPr>
        <w:spacing w:line="440" w:lineRule="exact"/>
        <w:ind w:firstLineChars="200" w:firstLine="480"/>
        <w:rPr>
          <w:rFonts w:ascii="宋体" w:eastAsia="宋体" w:hAnsi="宋体" w:cs="Times New Roman"/>
          <w:bCs/>
          <w:sz w:val="24"/>
          <w:szCs w:val="24"/>
        </w:rPr>
      </w:pPr>
      <w:r w:rsidRPr="00106206">
        <w:rPr>
          <w:rFonts w:ascii="宋体" w:eastAsia="宋体" w:hAnsi="宋体" w:cs="Times New Roman" w:hint="eastAsia"/>
          <w:bCs/>
          <w:sz w:val="24"/>
          <w:szCs w:val="24"/>
        </w:rPr>
        <w:t>熟悉知识产权保护范围及基本特性；以及著作权法、商标法、专利法与专利实施细则。</w:t>
      </w:r>
    </w:p>
    <w:p w14:paraId="2245BDB9" w14:textId="77777777" w:rsidR="00106206" w:rsidRPr="00106206" w:rsidRDefault="00106206">
      <w:pPr>
        <w:numPr>
          <w:ilvl w:val="0"/>
          <w:numId w:val="181"/>
        </w:numPr>
        <w:spacing w:line="440" w:lineRule="exact"/>
        <w:ind w:firstLineChars="200" w:firstLine="480"/>
        <w:rPr>
          <w:rFonts w:ascii="宋体" w:eastAsia="宋体" w:hAnsi="宋体" w:cs="Times New Roman"/>
          <w:bCs/>
          <w:sz w:val="24"/>
          <w:szCs w:val="24"/>
        </w:rPr>
      </w:pPr>
      <w:r w:rsidRPr="00106206">
        <w:rPr>
          <w:rFonts w:ascii="宋体" w:eastAsia="宋体" w:hAnsi="宋体" w:cs="Times New Roman" w:hint="eastAsia"/>
          <w:bCs/>
          <w:sz w:val="24"/>
          <w:szCs w:val="24"/>
        </w:rPr>
        <w:t>了解专利检索、查新、申诉与审查过程；知识产权的法律特征；基本原则及法律保护。</w:t>
      </w:r>
    </w:p>
    <w:p w14:paraId="688C300E" w14:textId="77777777" w:rsidR="00106206" w:rsidRPr="00106206" w:rsidRDefault="00106206" w:rsidP="00106206">
      <w:pPr>
        <w:spacing w:line="440" w:lineRule="exact"/>
        <w:ind w:firstLineChars="200" w:firstLine="482"/>
        <w:rPr>
          <w:rFonts w:ascii="宋体" w:eastAsia="宋体" w:hAnsi="宋体" w:cs="Times New Roman"/>
          <w:b/>
          <w:sz w:val="24"/>
          <w:szCs w:val="24"/>
        </w:rPr>
      </w:pPr>
      <w:r w:rsidRPr="00106206">
        <w:rPr>
          <w:rFonts w:ascii="宋体" w:eastAsia="宋体" w:hAnsi="宋体" w:cs="Times New Roman" w:hint="eastAsia"/>
          <w:b/>
          <w:sz w:val="24"/>
          <w:szCs w:val="24"/>
        </w:rPr>
        <w:t>【学习内容】</w:t>
      </w:r>
    </w:p>
    <w:p w14:paraId="651C7EB9" w14:textId="77777777" w:rsidR="00106206" w:rsidRPr="00106206" w:rsidRDefault="00106206" w:rsidP="00106206">
      <w:p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1</w:t>
      </w:r>
      <w:r w:rsidRPr="00106206">
        <w:rPr>
          <w:rFonts w:ascii="宋体" w:eastAsia="宋体" w:hAnsi="宋体" w:cs="Times New Roman"/>
          <w:sz w:val="24"/>
          <w:szCs w:val="24"/>
        </w:rPr>
        <w:t>.</w:t>
      </w:r>
      <w:r w:rsidRPr="00106206">
        <w:rPr>
          <w:rFonts w:ascii="宋体" w:eastAsia="宋体" w:hAnsi="宋体" w:cs="Times New Roman" w:hint="eastAsia"/>
          <w:sz w:val="24"/>
          <w:szCs w:val="24"/>
        </w:rPr>
        <w:t xml:space="preserve"> 知识产权概述</w:t>
      </w:r>
    </w:p>
    <w:p w14:paraId="11365FCB" w14:textId="77777777" w:rsidR="00106206" w:rsidRPr="00106206" w:rsidRDefault="00106206" w:rsidP="00106206">
      <w:p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2. 知识产权的法律特征</w:t>
      </w:r>
    </w:p>
    <w:p w14:paraId="6E05A764" w14:textId="77777777" w:rsidR="00106206" w:rsidRPr="00106206" w:rsidRDefault="00106206" w:rsidP="00106206">
      <w:p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3. 知识产权法的基本原则</w:t>
      </w:r>
    </w:p>
    <w:p w14:paraId="69F38D74" w14:textId="77777777" w:rsidR="00106206" w:rsidRPr="00106206" w:rsidRDefault="00106206" w:rsidP="00106206">
      <w:p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4. 知识产权的法律保护</w:t>
      </w:r>
    </w:p>
    <w:p w14:paraId="3F868B29" w14:textId="77777777" w:rsidR="00106206" w:rsidRPr="00106206" w:rsidRDefault="00106206" w:rsidP="00106206">
      <w:pPr>
        <w:spacing w:line="440" w:lineRule="exact"/>
        <w:ind w:firstLineChars="200" w:firstLine="482"/>
        <w:rPr>
          <w:rFonts w:ascii="宋体" w:eastAsia="宋体" w:hAnsi="宋体" w:cs="Times New Roman"/>
          <w:b/>
          <w:sz w:val="24"/>
          <w:szCs w:val="24"/>
        </w:rPr>
      </w:pPr>
      <w:r w:rsidRPr="00106206">
        <w:rPr>
          <w:rFonts w:ascii="宋体" w:eastAsia="宋体" w:hAnsi="宋体" w:cs="Times New Roman" w:hint="eastAsia"/>
          <w:b/>
          <w:sz w:val="24"/>
          <w:szCs w:val="24"/>
        </w:rPr>
        <w:t>【重点】</w:t>
      </w:r>
    </w:p>
    <w:p w14:paraId="27956C94" w14:textId="77777777" w:rsidR="00106206" w:rsidRPr="00106206" w:rsidRDefault="00106206" w:rsidP="00106206">
      <w:p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1. 知识产权基本概念</w:t>
      </w:r>
    </w:p>
    <w:p w14:paraId="2A732496" w14:textId="77777777" w:rsidR="00106206" w:rsidRPr="00106206" w:rsidRDefault="00106206" w:rsidP="00106206">
      <w:p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2. 知识产权保护的类别</w:t>
      </w:r>
    </w:p>
    <w:p w14:paraId="1E4F5886" w14:textId="77777777" w:rsidR="00106206" w:rsidRPr="00106206" w:rsidRDefault="00106206" w:rsidP="00106206">
      <w:pPr>
        <w:spacing w:line="440" w:lineRule="exact"/>
        <w:ind w:firstLineChars="200" w:firstLine="482"/>
        <w:rPr>
          <w:rFonts w:ascii="宋体" w:eastAsia="宋体" w:hAnsi="宋体" w:cs="Times New Roman"/>
          <w:b/>
          <w:sz w:val="24"/>
          <w:szCs w:val="24"/>
        </w:rPr>
      </w:pPr>
      <w:r w:rsidRPr="00106206">
        <w:rPr>
          <w:rFonts w:ascii="宋体" w:eastAsia="宋体" w:hAnsi="宋体" w:cs="Times New Roman" w:hint="eastAsia"/>
          <w:b/>
          <w:sz w:val="24"/>
          <w:szCs w:val="24"/>
        </w:rPr>
        <w:t>【难点】</w:t>
      </w:r>
    </w:p>
    <w:p w14:paraId="6503D1D6" w14:textId="77777777" w:rsidR="00106206" w:rsidRPr="00106206" w:rsidRDefault="00106206" w:rsidP="00106206">
      <w:pPr>
        <w:widowControl/>
        <w:ind w:firstLineChars="200" w:firstLine="480"/>
        <w:jc w:val="left"/>
        <w:rPr>
          <w:rFonts w:ascii="Times New Roman" w:eastAsia="宋体" w:hAnsi="Times New Roman" w:cs="Times New Roman"/>
          <w:szCs w:val="24"/>
        </w:rPr>
      </w:pPr>
      <w:r w:rsidRPr="00106206">
        <w:rPr>
          <w:rFonts w:ascii="宋体" w:eastAsia="宋体" w:hAnsi="宋体" w:cs="Times New Roman" w:hint="eastAsia"/>
          <w:sz w:val="24"/>
          <w:szCs w:val="24"/>
        </w:rPr>
        <w:t>1</w:t>
      </w:r>
      <w:r w:rsidRPr="00106206">
        <w:rPr>
          <w:rFonts w:ascii="宋体" w:eastAsia="宋体" w:hAnsi="宋体" w:cs="Times New Roman"/>
          <w:sz w:val="24"/>
          <w:szCs w:val="24"/>
        </w:rPr>
        <w:t xml:space="preserve">. </w:t>
      </w:r>
      <w:r w:rsidRPr="00106206">
        <w:rPr>
          <w:rFonts w:ascii="宋体" w:eastAsia="宋体" w:hAnsi="宋体" w:cs="宋体" w:hint="eastAsia"/>
          <w:color w:val="000000"/>
          <w:kern w:val="0"/>
          <w:sz w:val="24"/>
          <w:szCs w:val="24"/>
          <w:lang w:bidi="ar"/>
        </w:rPr>
        <w:t>知识产权保护的类别</w:t>
      </w:r>
    </w:p>
    <w:p w14:paraId="5E95F1AE" w14:textId="77777777" w:rsidR="00106206" w:rsidRPr="00106206" w:rsidRDefault="00106206" w:rsidP="00106206">
      <w:pPr>
        <w:spacing w:line="440" w:lineRule="exact"/>
        <w:ind w:firstLineChars="200" w:firstLine="482"/>
        <w:rPr>
          <w:rFonts w:ascii="宋体" w:eastAsia="宋体" w:hAnsi="宋体" w:cs="Times New Roman"/>
          <w:color w:val="FF0000"/>
          <w:sz w:val="24"/>
          <w:szCs w:val="24"/>
        </w:rPr>
      </w:pPr>
      <w:r w:rsidRPr="00106206">
        <w:rPr>
          <w:rFonts w:ascii="宋体" w:eastAsia="宋体" w:hAnsi="宋体" w:cs="Times New Roman" w:hint="eastAsia"/>
          <w:b/>
          <w:bCs/>
          <w:sz w:val="24"/>
          <w:szCs w:val="24"/>
        </w:rPr>
        <w:t>【教学方法】</w:t>
      </w:r>
    </w:p>
    <w:p w14:paraId="3965927A" w14:textId="77777777" w:rsidR="00106206" w:rsidRPr="00106206" w:rsidRDefault="00106206" w:rsidP="00106206">
      <w:pPr>
        <w:spacing w:line="440" w:lineRule="exact"/>
        <w:ind w:firstLineChars="200" w:firstLine="480"/>
        <w:rPr>
          <w:rFonts w:ascii="宋体" w:eastAsia="宋体" w:hAnsi="宋体" w:cs="Times New Roman"/>
          <w:color w:val="FF0000"/>
          <w:sz w:val="24"/>
          <w:szCs w:val="24"/>
        </w:rPr>
      </w:pPr>
      <w:r w:rsidRPr="00106206">
        <w:rPr>
          <w:rFonts w:ascii="宋体" w:eastAsia="宋体" w:hAnsi="宋体" w:cs="Times New Roman" w:hint="eastAsia"/>
          <w:sz w:val="24"/>
          <w:szCs w:val="24"/>
        </w:rPr>
        <w:t>1. 通过多媒体课件和传统教学相结合，阐明相关学习内容，丰富学生课程与教学的基本知识结构。</w:t>
      </w:r>
    </w:p>
    <w:p w14:paraId="08B12C3D" w14:textId="77777777" w:rsidR="00106206" w:rsidRPr="00106206" w:rsidRDefault="00106206" w:rsidP="00106206">
      <w:pPr>
        <w:spacing w:line="440" w:lineRule="exact"/>
        <w:ind w:firstLineChars="200" w:firstLine="482"/>
        <w:rPr>
          <w:rFonts w:ascii="宋体" w:eastAsia="宋体" w:hAnsi="宋体" w:cs="Times New Roman"/>
          <w:bCs/>
          <w:color w:val="FF0000"/>
          <w:sz w:val="24"/>
          <w:szCs w:val="24"/>
        </w:rPr>
      </w:pPr>
      <w:r w:rsidRPr="00106206">
        <w:rPr>
          <w:rFonts w:ascii="宋体" w:eastAsia="宋体" w:hAnsi="宋体" w:cs="Times New Roman" w:hint="eastAsia"/>
          <w:b/>
          <w:sz w:val="24"/>
          <w:szCs w:val="24"/>
        </w:rPr>
        <w:lastRenderedPageBreak/>
        <w:t>【复习思考】</w:t>
      </w:r>
    </w:p>
    <w:p w14:paraId="0FFAD271" w14:textId="77777777" w:rsidR="00106206" w:rsidRPr="00106206" w:rsidRDefault="00106206">
      <w:pPr>
        <w:numPr>
          <w:ilvl w:val="0"/>
          <w:numId w:val="182"/>
        </w:num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知识产权的作用与意义</w:t>
      </w:r>
    </w:p>
    <w:p w14:paraId="2467E7F5" w14:textId="77777777" w:rsidR="00106206" w:rsidRPr="00106206" w:rsidRDefault="00106206" w:rsidP="00106206">
      <w:pPr>
        <w:widowControl/>
        <w:jc w:val="center"/>
        <w:rPr>
          <w:rFonts w:ascii="黑体" w:eastAsia="黑体" w:hAnsi="黑体" w:cs="Times New Roman"/>
          <w:sz w:val="28"/>
          <w:szCs w:val="28"/>
        </w:rPr>
      </w:pPr>
      <w:r w:rsidRPr="00106206">
        <w:rPr>
          <w:rFonts w:ascii="黑体" w:eastAsia="黑体" w:hAnsi="黑体" w:cs="Times New Roman" w:hint="eastAsia"/>
          <w:sz w:val="28"/>
          <w:szCs w:val="28"/>
        </w:rPr>
        <w:t>第二章  医药商标</w:t>
      </w:r>
    </w:p>
    <w:p w14:paraId="413A709B" w14:textId="77777777" w:rsidR="00106206" w:rsidRPr="00106206" w:rsidRDefault="00106206" w:rsidP="00106206">
      <w:pPr>
        <w:widowControl/>
        <w:ind w:firstLineChars="200" w:firstLine="482"/>
        <w:jc w:val="left"/>
        <w:rPr>
          <w:rFonts w:ascii="Times New Roman" w:eastAsia="宋体" w:hAnsi="Times New Roman" w:cs="Times New Roman"/>
          <w:szCs w:val="24"/>
        </w:rPr>
      </w:pPr>
      <w:r w:rsidRPr="00106206">
        <w:rPr>
          <w:rFonts w:ascii="宋体" w:eastAsia="宋体" w:hAnsi="宋体" w:cs="Times New Roman" w:hint="eastAsia"/>
          <w:b/>
          <w:sz w:val="24"/>
          <w:szCs w:val="24"/>
        </w:rPr>
        <w:t>【学习目标】</w:t>
      </w:r>
    </w:p>
    <w:p w14:paraId="79FEB289"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掌握商标的概念、类别、保护范围与商标申请的意义；增强商标保护意识；熟悉商标的法律特征；商标权的基本特性；商标法实施细则。</w:t>
      </w:r>
    </w:p>
    <w:p w14:paraId="3B1435DE"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2. 了解商标权法的基本原则；商标权的法律保护。</w:t>
      </w:r>
    </w:p>
    <w:p w14:paraId="1163687B"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3.了解商标权的主体、客体；商标注册的原则；药品商标的注册与管理。</w:t>
      </w:r>
    </w:p>
    <w:p w14:paraId="2DAC0090" w14:textId="77777777" w:rsidR="00106206" w:rsidRPr="00106206" w:rsidRDefault="00106206" w:rsidP="00106206">
      <w:pPr>
        <w:widowControl/>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【学习内容】</w:t>
      </w:r>
    </w:p>
    <w:p w14:paraId="3A9E71E6"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商标法概述</w:t>
      </w:r>
    </w:p>
    <w:p w14:paraId="6B84595F"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2. 医药领域的商标权</w:t>
      </w:r>
    </w:p>
    <w:p w14:paraId="4F658307"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3. 商标注册</w:t>
      </w:r>
    </w:p>
    <w:p w14:paraId="04608494" w14:textId="77777777" w:rsidR="00106206" w:rsidRPr="00106206" w:rsidRDefault="00106206" w:rsidP="00106206">
      <w:pPr>
        <w:widowControl/>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4. 我国商标权管理制度</w:t>
      </w:r>
    </w:p>
    <w:p w14:paraId="05CADDDD" w14:textId="77777777" w:rsidR="00106206" w:rsidRPr="00106206" w:rsidRDefault="00106206" w:rsidP="00106206">
      <w:pPr>
        <w:widowControl/>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【重点】</w:t>
      </w:r>
    </w:p>
    <w:p w14:paraId="52AE0E52"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商标的概念、类别、保护范围与商标申请的意义</w:t>
      </w:r>
    </w:p>
    <w:p w14:paraId="7A6851FA" w14:textId="77777777" w:rsidR="00106206" w:rsidRPr="00106206" w:rsidRDefault="00106206" w:rsidP="00106206">
      <w:pPr>
        <w:widowControl/>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【难点】</w:t>
      </w:r>
    </w:p>
    <w:p w14:paraId="0F1DDD22"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药品商标的注册与管理</w:t>
      </w:r>
    </w:p>
    <w:p w14:paraId="07B917D4" w14:textId="77777777" w:rsidR="00106206" w:rsidRPr="00106206" w:rsidRDefault="00106206" w:rsidP="00106206">
      <w:pPr>
        <w:widowControl/>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【教学方法】</w:t>
      </w:r>
    </w:p>
    <w:p w14:paraId="62D3D583" w14:textId="77777777" w:rsidR="00106206" w:rsidRPr="00106206" w:rsidRDefault="00106206">
      <w:pPr>
        <w:widowControl/>
        <w:numPr>
          <w:ilvl w:val="0"/>
          <w:numId w:val="183"/>
        </w:numPr>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通过多媒体课件和传统教学相结合，阐明相关学习内容，丰富学生课程与教学的基本知识结构。</w:t>
      </w:r>
    </w:p>
    <w:p w14:paraId="73B2F6F3" w14:textId="77777777" w:rsidR="00106206" w:rsidRPr="00106206" w:rsidRDefault="00106206">
      <w:pPr>
        <w:widowControl/>
        <w:numPr>
          <w:ilvl w:val="0"/>
          <w:numId w:val="183"/>
        </w:numPr>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通过案例分析，强调理论与实践相结合，促进学生知识整合，培养学生的反思能力。</w:t>
      </w:r>
    </w:p>
    <w:p w14:paraId="33B8CBDA" w14:textId="77777777" w:rsidR="00106206" w:rsidRPr="00106206" w:rsidRDefault="00106206" w:rsidP="00106206">
      <w:pPr>
        <w:widowControl/>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【复习思考】</w:t>
      </w:r>
    </w:p>
    <w:p w14:paraId="53714289"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商标的价值</w:t>
      </w:r>
    </w:p>
    <w:p w14:paraId="3B126187" w14:textId="77777777" w:rsidR="00106206" w:rsidRPr="00106206" w:rsidRDefault="00106206" w:rsidP="00106206">
      <w:pPr>
        <w:widowControl/>
        <w:spacing w:line="360" w:lineRule="auto"/>
        <w:ind w:firstLineChars="200" w:firstLine="560"/>
        <w:jc w:val="center"/>
        <w:rPr>
          <w:rFonts w:ascii="Times New Roman" w:eastAsia="宋体" w:hAnsi="Times New Roman" w:cs="Times New Roman"/>
          <w:szCs w:val="24"/>
        </w:rPr>
      </w:pPr>
      <w:r w:rsidRPr="00106206">
        <w:rPr>
          <w:rFonts w:ascii="黑体" w:eastAsia="黑体" w:hAnsi="宋体" w:cs="黑体"/>
          <w:color w:val="000000"/>
          <w:kern w:val="0"/>
          <w:sz w:val="28"/>
          <w:szCs w:val="28"/>
          <w:lang w:bidi="ar"/>
        </w:rPr>
        <w:t xml:space="preserve">第三章 </w:t>
      </w:r>
      <w:r w:rsidRPr="00106206">
        <w:rPr>
          <w:rFonts w:ascii="黑体" w:eastAsia="黑体" w:hAnsi="宋体" w:cs="黑体" w:hint="eastAsia"/>
          <w:color w:val="000000"/>
          <w:kern w:val="0"/>
          <w:sz w:val="28"/>
          <w:szCs w:val="28"/>
          <w:lang w:bidi="ar"/>
        </w:rPr>
        <w:t xml:space="preserve"> 医药</w:t>
      </w:r>
      <w:r w:rsidRPr="00106206">
        <w:rPr>
          <w:rFonts w:ascii="黑体" w:eastAsia="黑体" w:hAnsi="宋体" w:cs="黑体"/>
          <w:color w:val="000000"/>
          <w:kern w:val="0"/>
          <w:sz w:val="28"/>
          <w:szCs w:val="28"/>
          <w:lang w:bidi="ar"/>
        </w:rPr>
        <w:t>著作权</w:t>
      </w:r>
    </w:p>
    <w:p w14:paraId="4B345720"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 xml:space="preserve">【学习目标】 </w:t>
      </w:r>
    </w:p>
    <w:p w14:paraId="31FF53B9"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掌握著作权的概念；著作权的产生、合理使用；增强著作权保护意识。</w:t>
      </w:r>
    </w:p>
    <w:p w14:paraId="2B3BA5AB"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2. 熟悉著作权主体、客体的认定；著作权的取得、期限和限制。</w:t>
      </w:r>
    </w:p>
    <w:p w14:paraId="2A4F5336" w14:textId="77777777" w:rsidR="00106206" w:rsidRPr="00106206" w:rsidRDefault="00106206" w:rsidP="00106206">
      <w:pPr>
        <w:widowControl/>
        <w:spacing w:line="360" w:lineRule="auto"/>
        <w:ind w:firstLineChars="200" w:firstLine="480"/>
        <w:jc w:val="left"/>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3. 了解我国著作权保护的概况；现代社会生活</w:t>
      </w:r>
      <w:proofErr w:type="gramStart"/>
      <w:r w:rsidRPr="00106206">
        <w:rPr>
          <w:rFonts w:ascii="宋体" w:eastAsia="宋体" w:hAnsi="宋体" w:cs="宋体" w:hint="eastAsia"/>
          <w:color w:val="000000"/>
          <w:kern w:val="0"/>
          <w:sz w:val="24"/>
          <w:szCs w:val="24"/>
          <w:lang w:bidi="ar"/>
        </w:rPr>
        <w:t>中著</w:t>
      </w:r>
      <w:proofErr w:type="gramEnd"/>
      <w:r w:rsidRPr="00106206">
        <w:rPr>
          <w:rFonts w:ascii="宋体" w:eastAsia="宋体" w:hAnsi="宋体" w:cs="宋体" w:hint="eastAsia"/>
          <w:color w:val="000000"/>
          <w:kern w:val="0"/>
          <w:sz w:val="24"/>
          <w:szCs w:val="24"/>
          <w:lang w:bidi="ar"/>
        </w:rPr>
        <w:t>作权保护与侵权案例。</w:t>
      </w:r>
    </w:p>
    <w:p w14:paraId="4037FA09"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【学习内容】</w:t>
      </w:r>
    </w:p>
    <w:p w14:paraId="3E8006AF"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著作权法的概述</w:t>
      </w:r>
    </w:p>
    <w:p w14:paraId="508D3221"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lastRenderedPageBreak/>
        <w:t>2. 著作权的内容</w:t>
      </w:r>
    </w:p>
    <w:p w14:paraId="53C8EB90"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3. 著作权的取得、期限和限制</w:t>
      </w:r>
    </w:p>
    <w:p w14:paraId="5E01C967" w14:textId="77777777" w:rsidR="00106206" w:rsidRPr="00106206" w:rsidRDefault="00106206" w:rsidP="00106206">
      <w:pPr>
        <w:widowControl/>
        <w:spacing w:line="360" w:lineRule="auto"/>
        <w:ind w:firstLineChars="200" w:firstLine="480"/>
        <w:jc w:val="left"/>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4. 著作权的法律保护</w:t>
      </w:r>
    </w:p>
    <w:p w14:paraId="0598694F" w14:textId="77777777" w:rsidR="00106206" w:rsidRPr="00106206" w:rsidRDefault="00106206" w:rsidP="00106206">
      <w:pPr>
        <w:widowControl/>
        <w:spacing w:line="360" w:lineRule="auto"/>
        <w:ind w:firstLineChars="200" w:firstLine="480"/>
        <w:jc w:val="left"/>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5. 著作权集体管理制度</w:t>
      </w:r>
    </w:p>
    <w:p w14:paraId="430CBCF6"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【重点】</w:t>
      </w:r>
    </w:p>
    <w:p w14:paraId="5ABA0B39"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著作权的概念；著作权的产生、合理使用</w:t>
      </w:r>
    </w:p>
    <w:p w14:paraId="2E4D6C17"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【难点】</w:t>
      </w:r>
    </w:p>
    <w:p w14:paraId="6B3874C9"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著作权的产生、合理使用</w:t>
      </w:r>
    </w:p>
    <w:p w14:paraId="6FE53954"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【教学方法】</w:t>
      </w:r>
    </w:p>
    <w:p w14:paraId="47D54486" w14:textId="77777777" w:rsidR="00106206" w:rsidRPr="00106206" w:rsidRDefault="00106206">
      <w:pPr>
        <w:widowControl/>
        <w:numPr>
          <w:ilvl w:val="0"/>
          <w:numId w:val="184"/>
        </w:numPr>
        <w:spacing w:line="360" w:lineRule="auto"/>
        <w:ind w:firstLineChars="200" w:firstLine="480"/>
        <w:jc w:val="left"/>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通过多媒体课件和传统教学相结合，阐明相关学习内容，丰富学生课程与教学的基本知识结构。</w:t>
      </w:r>
    </w:p>
    <w:p w14:paraId="5BB2B001" w14:textId="77777777" w:rsidR="00106206" w:rsidRPr="00106206" w:rsidRDefault="00106206">
      <w:pPr>
        <w:widowControl/>
        <w:numPr>
          <w:ilvl w:val="0"/>
          <w:numId w:val="184"/>
        </w:numPr>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通过案例分析，强调理论与实践相结合，促进学生知识整合，培养学生的反思能力。</w:t>
      </w:r>
    </w:p>
    <w:p w14:paraId="711702B5"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 xml:space="preserve">【复习思考】 </w:t>
      </w:r>
    </w:p>
    <w:p w14:paraId="1ACFCC9F"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著作权的现实应用</w:t>
      </w:r>
    </w:p>
    <w:p w14:paraId="30E9B4C6" w14:textId="77777777" w:rsidR="00106206" w:rsidRPr="00106206" w:rsidRDefault="00106206" w:rsidP="00106206">
      <w:pPr>
        <w:widowControl/>
        <w:jc w:val="center"/>
        <w:rPr>
          <w:rFonts w:ascii="Times New Roman" w:eastAsia="宋体" w:hAnsi="Times New Roman" w:cs="Times New Roman"/>
          <w:szCs w:val="24"/>
        </w:rPr>
      </w:pPr>
      <w:r w:rsidRPr="00106206">
        <w:rPr>
          <w:rFonts w:ascii="黑体" w:eastAsia="黑体" w:hAnsi="宋体" w:cs="黑体"/>
          <w:color w:val="000000"/>
          <w:kern w:val="0"/>
          <w:sz w:val="28"/>
          <w:szCs w:val="28"/>
          <w:lang w:bidi="ar"/>
        </w:rPr>
        <w:t xml:space="preserve">第四章 </w:t>
      </w:r>
      <w:r w:rsidRPr="00106206">
        <w:rPr>
          <w:rFonts w:ascii="黑体" w:eastAsia="黑体" w:hAnsi="宋体" w:cs="黑体" w:hint="eastAsia"/>
          <w:color w:val="000000"/>
          <w:kern w:val="0"/>
          <w:sz w:val="28"/>
          <w:szCs w:val="28"/>
          <w:lang w:bidi="ar"/>
        </w:rPr>
        <w:t xml:space="preserve"> 医药</w:t>
      </w:r>
      <w:r w:rsidRPr="00106206">
        <w:rPr>
          <w:rFonts w:ascii="黑体" w:eastAsia="黑体" w:hAnsi="宋体" w:cs="黑体"/>
          <w:color w:val="000000"/>
          <w:kern w:val="0"/>
          <w:sz w:val="28"/>
          <w:szCs w:val="28"/>
          <w:lang w:bidi="ar"/>
        </w:rPr>
        <w:t>专利</w:t>
      </w:r>
    </w:p>
    <w:p w14:paraId="10C8CE93" w14:textId="77777777" w:rsidR="00106206" w:rsidRPr="00106206" w:rsidRDefault="00106206" w:rsidP="00106206">
      <w:pPr>
        <w:widowControl/>
        <w:spacing w:line="360" w:lineRule="auto"/>
        <w:ind w:firstLineChars="200" w:firstLine="482"/>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【学习目标】</w:t>
      </w:r>
    </w:p>
    <w:p w14:paraId="02A98B30"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掌握专利的概念；专利的种类。熟悉专利权的主体、客体；专利申请的原则。</w:t>
      </w:r>
    </w:p>
    <w:p w14:paraId="3D4D633D"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2. 了解本课程与其他课程的联系，以及我国专利权保护的概况。</w:t>
      </w:r>
    </w:p>
    <w:p w14:paraId="5CE4FAD8"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3.专利权保护与侵权案例。</w:t>
      </w:r>
    </w:p>
    <w:p w14:paraId="57781F96" w14:textId="77777777" w:rsidR="00106206" w:rsidRPr="00106206" w:rsidRDefault="00106206" w:rsidP="00106206">
      <w:pPr>
        <w:widowControl/>
        <w:spacing w:line="360" w:lineRule="auto"/>
        <w:ind w:firstLineChars="200" w:firstLine="482"/>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【学习内容】</w:t>
      </w:r>
    </w:p>
    <w:p w14:paraId="3660A5A5"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专利法概述</w:t>
      </w:r>
    </w:p>
    <w:p w14:paraId="34BF70DA"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2. 专利权的主体</w:t>
      </w:r>
    </w:p>
    <w:p w14:paraId="2F5920BB"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3. 专利权的客体</w:t>
      </w:r>
    </w:p>
    <w:p w14:paraId="09496EFE" w14:textId="77777777" w:rsidR="00106206" w:rsidRPr="00106206" w:rsidRDefault="00106206" w:rsidP="00106206">
      <w:pPr>
        <w:widowControl/>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4. 专利权的内容</w:t>
      </w:r>
    </w:p>
    <w:p w14:paraId="6133BD92" w14:textId="77777777" w:rsidR="00106206" w:rsidRPr="00106206" w:rsidRDefault="00106206" w:rsidP="00106206">
      <w:pPr>
        <w:widowControl/>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5. 医疗器械的专利保护</w:t>
      </w:r>
    </w:p>
    <w:p w14:paraId="18FC65D4" w14:textId="77777777" w:rsidR="00106206" w:rsidRPr="00106206" w:rsidRDefault="00106206" w:rsidP="00106206">
      <w:pPr>
        <w:widowControl/>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6. 生物技术专利保护</w:t>
      </w:r>
    </w:p>
    <w:p w14:paraId="25DB3D0D" w14:textId="77777777" w:rsidR="00106206" w:rsidRPr="00106206" w:rsidRDefault="00106206" w:rsidP="00106206">
      <w:pPr>
        <w:widowControl/>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7. 传统医药的专利保护</w:t>
      </w:r>
    </w:p>
    <w:p w14:paraId="66C1D6B0" w14:textId="77777777" w:rsidR="00106206" w:rsidRPr="00106206" w:rsidRDefault="00106206" w:rsidP="00106206">
      <w:pPr>
        <w:widowControl/>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8. 生物医药领域发明专利申请文件的撰写</w:t>
      </w:r>
    </w:p>
    <w:p w14:paraId="35561C44" w14:textId="77777777" w:rsidR="00106206" w:rsidRPr="00106206" w:rsidRDefault="00106206" w:rsidP="00106206">
      <w:pPr>
        <w:widowControl/>
        <w:spacing w:line="360" w:lineRule="auto"/>
        <w:ind w:firstLineChars="200" w:firstLine="482"/>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lastRenderedPageBreak/>
        <w:t>【重点】</w:t>
      </w:r>
    </w:p>
    <w:p w14:paraId="43873FFC"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专利的概念</w:t>
      </w:r>
    </w:p>
    <w:p w14:paraId="36AE73E0" w14:textId="77777777" w:rsidR="00106206" w:rsidRPr="00106206" w:rsidRDefault="00106206" w:rsidP="00106206">
      <w:pPr>
        <w:widowControl/>
        <w:spacing w:line="360" w:lineRule="auto"/>
        <w:ind w:firstLineChars="200" w:firstLine="482"/>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【难点】</w:t>
      </w:r>
    </w:p>
    <w:p w14:paraId="5DA01D3C"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医药专利的保护</w:t>
      </w:r>
    </w:p>
    <w:p w14:paraId="628E5DDD" w14:textId="77777777" w:rsidR="00106206" w:rsidRPr="00106206" w:rsidRDefault="00106206" w:rsidP="00106206">
      <w:pPr>
        <w:widowControl/>
        <w:spacing w:line="360" w:lineRule="auto"/>
        <w:ind w:firstLineChars="200" w:firstLine="482"/>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【教学方法】</w:t>
      </w:r>
    </w:p>
    <w:p w14:paraId="0AB3C3AD" w14:textId="77777777" w:rsidR="00106206" w:rsidRPr="00106206" w:rsidRDefault="00106206">
      <w:pPr>
        <w:widowControl/>
        <w:numPr>
          <w:ilvl w:val="0"/>
          <w:numId w:val="185"/>
        </w:numPr>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通过多媒体课件和传统教学相结合，阐明相关学习内容，丰富学生课程与教学的基本知识结构。</w:t>
      </w:r>
    </w:p>
    <w:p w14:paraId="2D6675E7" w14:textId="77777777" w:rsidR="00106206" w:rsidRPr="00106206" w:rsidRDefault="00106206">
      <w:pPr>
        <w:widowControl/>
        <w:numPr>
          <w:ilvl w:val="0"/>
          <w:numId w:val="185"/>
        </w:numPr>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通过案例分析，强调理论与实践相结合，促进学生知识整合，培养学生的反思能力。</w:t>
      </w:r>
    </w:p>
    <w:p w14:paraId="4EC5DF48" w14:textId="77777777" w:rsidR="00106206" w:rsidRPr="00106206" w:rsidRDefault="00106206" w:rsidP="00106206">
      <w:pPr>
        <w:widowControl/>
        <w:spacing w:line="360" w:lineRule="auto"/>
        <w:ind w:firstLineChars="200" w:firstLine="482"/>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【复习思考】</w:t>
      </w:r>
    </w:p>
    <w:p w14:paraId="1813A81F" w14:textId="77777777" w:rsidR="00106206" w:rsidRPr="00106206" w:rsidRDefault="00106206">
      <w:pPr>
        <w:widowControl/>
        <w:numPr>
          <w:ilvl w:val="0"/>
          <w:numId w:val="186"/>
        </w:numPr>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专利的保护要点</w:t>
      </w:r>
    </w:p>
    <w:p w14:paraId="4525745E" w14:textId="77777777" w:rsidR="00106206" w:rsidRPr="00106206" w:rsidRDefault="00106206" w:rsidP="00106206">
      <w:pPr>
        <w:widowControl/>
        <w:jc w:val="center"/>
        <w:rPr>
          <w:rFonts w:ascii="Times New Roman" w:eastAsia="宋体" w:hAnsi="Times New Roman" w:cs="Times New Roman"/>
          <w:szCs w:val="24"/>
        </w:rPr>
      </w:pPr>
      <w:r w:rsidRPr="00106206">
        <w:rPr>
          <w:rFonts w:ascii="黑体" w:eastAsia="黑体" w:hAnsi="宋体" w:cs="黑体"/>
          <w:color w:val="000000"/>
          <w:kern w:val="0"/>
          <w:sz w:val="28"/>
          <w:szCs w:val="28"/>
          <w:lang w:bidi="ar"/>
        </w:rPr>
        <w:t xml:space="preserve">第五章 </w:t>
      </w:r>
      <w:r w:rsidRPr="00106206">
        <w:rPr>
          <w:rFonts w:ascii="黑体" w:eastAsia="黑体" w:hAnsi="宋体" w:cs="黑体" w:hint="eastAsia"/>
          <w:color w:val="000000"/>
          <w:kern w:val="0"/>
          <w:sz w:val="28"/>
          <w:szCs w:val="28"/>
          <w:lang w:bidi="ar"/>
        </w:rPr>
        <w:t xml:space="preserve"> </w:t>
      </w:r>
      <w:r w:rsidRPr="00106206">
        <w:rPr>
          <w:rFonts w:ascii="黑体" w:eastAsia="黑体" w:hAnsi="宋体" w:cs="黑体"/>
          <w:color w:val="000000"/>
          <w:kern w:val="0"/>
          <w:sz w:val="28"/>
          <w:szCs w:val="28"/>
          <w:lang w:bidi="ar"/>
        </w:rPr>
        <w:t>专利说明书撰写</w:t>
      </w:r>
    </w:p>
    <w:p w14:paraId="48EE2273"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【学习目标】</w:t>
      </w:r>
    </w:p>
    <w:p w14:paraId="72AC699F"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掌握说明书撰写的格式；专业术语的应用；以及说明书撰写一般要求。</w:t>
      </w:r>
    </w:p>
    <w:p w14:paraId="5B5CDC6A"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2. 熟悉说明书撰写的表达形式；注意事项。说明书撰写经典案例讨论分析。</w:t>
      </w:r>
    </w:p>
    <w:p w14:paraId="1480BED4"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【学习内容】</w:t>
      </w:r>
    </w:p>
    <w:p w14:paraId="2A258935"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专利文件的撰写</w:t>
      </w:r>
    </w:p>
    <w:p w14:paraId="7D0D86F3"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2. 请求书的填写及注意事项</w:t>
      </w:r>
    </w:p>
    <w:p w14:paraId="0AFF0A2C"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3. 说明书的撰写</w:t>
      </w:r>
    </w:p>
    <w:p w14:paraId="7535F10E"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【重点】</w:t>
      </w:r>
    </w:p>
    <w:p w14:paraId="316D9355"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说明书撰写的格式；专业术语的应用</w:t>
      </w:r>
    </w:p>
    <w:p w14:paraId="53B9F76C"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【难点】</w:t>
      </w:r>
    </w:p>
    <w:p w14:paraId="2055D862"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说明书撰写一般要求。</w:t>
      </w:r>
    </w:p>
    <w:p w14:paraId="185ADB88"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【教学方法】</w:t>
      </w:r>
    </w:p>
    <w:p w14:paraId="70A49F29" w14:textId="77777777" w:rsidR="00106206" w:rsidRPr="00106206" w:rsidRDefault="00106206">
      <w:pPr>
        <w:widowControl/>
        <w:numPr>
          <w:ilvl w:val="0"/>
          <w:numId w:val="187"/>
        </w:numPr>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通过多媒体课件和传统教学相结合，阐明相关学习内容，丰富学生课程与教学的基本知识结构。</w:t>
      </w:r>
    </w:p>
    <w:p w14:paraId="767ACEEB"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【复习思考】</w:t>
      </w:r>
    </w:p>
    <w:p w14:paraId="60610448" w14:textId="77777777" w:rsidR="00106206" w:rsidRPr="00106206" w:rsidRDefault="00106206">
      <w:pPr>
        <w:widowControl/>
        <w:numPr>
          <w:ilvl w:val="0"/>
          <w:numId w:val="188"/>
        </w:numPr>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说明书的撰写要点</w:t>
      </w:r>
    </w:p>
    <w:p w14:paraId="04EE2230" w14:textId="77777777" w:rsidR="00106206" w:rsidRPr="00106206" w:rsidRDefault="00106206" w:rsidP="00106206">
      <w:pPr>
        <w:widowControl/>
        <w:jc w:val="center"/>
        <w:rPr>
          <w:rFonts w:ascii="Times New Roman" w:eastAsia="宋体" w:hAnsi="Times New Roman" w:cs="Times New Roman"/>
          <w:szCs w:val="24"/>
        </w:rPr>
      </w:pPr>
      <w:r w:rsidRPr="00106206">
        <w:rPr>
          <w:rFonts w:ascii="黑体" w:eastAsia="黑体" w:hAnsi="宋体" w:cs="黑体"/>
          <w:color w:val="000000"/>
          <w:kern w:val="0"/>
          <w:sz w:val="28"/>
          <w:szCs w:val="28"/>
          <w:lang w:bidi="ar"/>
        </w:rPr>
        <w:t xml:space="preserve">第六章 </w:t>
      </w:r>
      <w:r w:rsidRPr="00106206">
        <w:rPr>
          <w:rFonts w:ascii="黑体" w:eastAsia="黑体" w:hAnsi="宋体" w:cs="黑体" w:hint="eastAsia"/>
          <w:color w:val="000000"/>
          <w:kern w:val="0"/>
          <w:sz w:val="28"/>
          <w:szCs w:val="28"/>
          <w:lang w:bidi="ar"/>
        </w:rPr>
        <w:t xml:space="preserve"> </w:t>
      </w:r>
      <w:r w:rsidRPr="00106206">
        <w:rPr>
          <w:rFonts w:ascii="黑体" w:eastAsia="黑体" w:hAnsi="宋体" w:cs="黑体"/>
          <w:color w:val="000000"/>
          <w:kern w:val="0"/>
          <w:sz w:val="28"/>
          <w:szCs w:val="28"/>
          <w:lang w:bidi="ar"/>
        </w:rPr>
        <w:t>专利检索</w:t>
      </w:r>
    </w:p>
    <w:p w14:paraId="3EA251B8"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lastRenderedPageBreak/>
        <w:t>【学习目标】</w:t>
      </w:r>
    </w:p>
    <w:p w14:paraId="7425E837"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了解、熟悉专利检索、查新、申诉与审查过程。</w:t>
      </w:r>
    </w:p>
    <w:p w14:paraId="6D4A8728"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【学习内容】</w:t>
      </w:r>
    </w:p>
    <w:p w14:paraId="5F2FE910"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专利检索</w:t>
      </w:r>
    </w:p>
    <w:p w14:paraId="4C0CFB6E"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【重点】</w:t>
      </w:r>
    </w:p>
    <w:p w14:paraId="29168507"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专利检索、查新、申诉与审查过程。</w:t>
      </w:r>
    </w:p>
    <w:p w14:paraId="5FFA1DC1"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【难点】</w:t>
      </w:r>
    </w:p>
    <w:p w14:paraId="19546881"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专利检索</w:t>
      </w:r>
    </w:p>
    <w:p w14:paraId="5639EC36"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【教学方法】</w:t>
      </w:r>
    </w:p>
    <w:p w14:paraId="0727BB2C"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通过案例分析，强调理论与实践相结合，促进学生知识整合，培养学生的思考与信息处理能力。</w:t>
      </w:r>
    </w:p>
    <w:p w14:paraId="1A443B83"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【复习思考】</w:t>
      </w:r>
    </w:p>
    <w:p w14:paraId="46ABD0BA"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专利检索的技术及技巧</w:t>
      </w:r>
    </w:p>
    <w:p w14:paraId="48735BFE" w14:textId="77777777" w:rsidR="00106206" w:rsidRPr="00106206" w:rsidRDefault="00106206" w:rsidP="00106206">
      <w:pPr>
        <w:widowControl/>
        <w:jc w:val="center"/>
        <w:rPr>
          <w:rFonts w:ascii="Times New Roman" w:eastAsia="宋体" w:hAnsi="Times New Roman" w:cs="Times New Roman"/>
          <w:szCs w:val="24"/>
        </w:rPr>
      </w:pPr>
      <w:r w:rsidRPr="00106206">
        <w:rPr>
          <w:rFonts w:ascii="黑体" w:eastAsia="黑体" w:hAnsi="宋体" w:cs="黑体"/>
          <w:color w:val="000000"/>
          <w:kern w:val="0"/>
          <w:sz w:val="28"/>
          <w:szCs w:val="28"/>
          <w:lang w:bidi="ar"/>
        </w:rPr>
        <w:t>第七章 专利侵权案例分析</w:t>
      </w:r>
    </w:p>
    <w:p w14:paraId="0C9CF2BF"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【学习目标】</w:t>
      </w:r>
    </w:p>
    <w:p w14:paraId="7C194A32"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 xml:space="preserve">1.掌握专利侵权的类别与投诉途径；增强知识产权保护意识。熟悉著作权法、专利法与专利实施细则在侵权案例中的应用。 </w:t>
      </w:r>
    </w:p>
    <w:p w14:paraId="714064EF"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【学习内容】</w:t>
      </w:r>
    </w:p>
    <w:p w14:paraId="4E6D1FEE"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专利侵权的类别。</w:t>
      </w:r>
    </w:p>
    <w:p w14:paraId="4B6ED815"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【重点】</w:t>
      </w:r>
    </w:p>
    <w:p w14:paraId="766489AC"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专利侵权的类别。</w:t>
      </w:r>
    </w:p>
    <w:p w14:paraId="0A0288D8"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【难点】</w:t>
      </w:r>
    </w:p>
    <w:p w14:paraId="1E48759A"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专利侵权的判断。</w:t>
      </w:r>
    </w:p>
    <w:p w14:paraId="5CD45216"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【教学方法】</w:t>
      </w:r>
    </w:p>
    <w:p w14:paraId="585DF839"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通过案例分析，强调理论与实践相结合，促进学生知识整合，培养学生的思考与信息处理能力。</w:t>
      </w:r>
    </w:p>
    <w:p w14:paraId="28088191" w14:textId="77777777" w:rsidR="00106206" w:rsidRPr="00106206" w:rsidRDefault="00106206" w:rsidP="00106206">
      <w:pPr>
        <w:widowControl/>
        <w:spacing w:line="360" w:lineRule="auto"/>
        <w:ind w:firstLineChars="200" w:firstLine="482"/>
        <w:jc w:val="left"/>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【复习思考】</w:t>
      </w:r>
    </w:p>
    <w:p w14:paraId="695F6FDD" w14:textId="77777777" w:rsidR="00106206" w:rsidRPr="00106206" w:rsidRDefault="00106206" w:rsidP="00106206">
      <w:pPr>
        <w:widowControl/>
        <w:spacing w:line="360" w:lineRule="auto"/>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专利检索的技术及技巧</w:t>
      </w:r>
    </w:p>
    <w:p w14:paraId="0D536979" w14:textId="77777777" w:rsidR="00106206" w:rsidRPr="00106206" w:rsidRDefault="00106206" w:rsidP="00106206">
      <w:pPr>
        <w:widowControl/>
        <w:spacing w:line="360" w:lineRule="auto"/>
        <w:rPr>
          <w:rFonts w:ascii="宋体" w:eastAsia="宋体" w:hAnsi="宋体" w:cs="宋体"/>
          <w:color w:val="000000"/>
          <w:kern w:val="0"/>
          <w:sz w:val="24"/>
          <w:szCs w:val="24"/>
          <w:lang w:bidi="ar"/>
        </w:rPr>
      </w:pPr>
    </w:p>
    <w:p w14:paraId="540207EB" w14:textId="77777777" w:rsidR="00106206" w:rsidRPr="00106206" w:rsidRDefault="00106206" w:rsidP="00106206">
      <w:pPr>
        <w:widowControl/>
        <w:jc w:val="center"/>
        <w:rPr>
          <w:rFonts w:ascii="黑体" w:eastAsia="黑体" w:hAnsi="宋体" w:cs="黑体"/>
          <w:color w:val="000000"/>
          <w:kern w:val="0"/>
          <w:sz w:val="28"/>
          <w:szCs w:val="28"/>
          <w:lang w:bidi="ar"/>
        </w:rPr>
      </w:pPr>
      <w:r w:rsidRPr="00106206">
        <w:rPr>
          <w:rFonts w:ascii="黑体" w:eastAsia="黑体" w:hAnsi="宋体" w:cs="黑体"/>
          <w:color w:val="000000"/>
          <w:kern w:val="0"/>
          <w:sz w:val="28"/>
          <w:szCs w:val="28"/>
          <w:lang w:bidi="ar"/>
        </w:rPr>
        <w:lastRenderedPageBreak/>
        <w:t>第</w:t>
      </w:r>
      <w:r w:rsidRPr="00106206">
        <w:rPr>
          <w:rFonts w:ascii="黑体" w:eastAsia="黑体" w:hAnsi="宋体" w:cs="黑体" w:hint="eastAsia"/>
          <w:color w:val="000000"/>
          <w:kern w:val="0"/>
          <w:sz w:val="28"/>
          <w:szCs w:val="28"/>
          <w:lang w:bidi="ar"/>
        </w:rPr>
        <w:t>八</w:t>
      </w:r>
      <w:r w:rsidRPr="00106206">
        <w:rPr>
          <w:rFonts w:ascii="黑体" w:eastAsia="黑体" w:hAnsi="宋体" w:cs="黑体"/>
          <w:color w:val="000000"/>
          <w:kern w:val="0"/>
          <w:sz w:val="28"/>
          <w:szCs w:val="28"/>
          <w:lang w:bidi="ar"/>
        </w:rPr>
        <w:t xml:space="preserve">章 </w:t>
      </w:r>
      <w:r w:rsidRPr="00106206">
        <w:rPr>
          <w:rFonts w:ascii="黑体" w:eastAsia="黑体" w:hAnsi="宋体" w:cs="黑体" w:hint="eastAsia"/>
          <w:color w:val="000000"/>
          <w:kern w:val="0"/>
          <w:sz w:val="28"/>
          <w:szCs w:val="28"/>
          <w:lang w:bidi="ar"/>
        </w:rPr>
        <w:t xml:space="preserve"> 其他医药知识产权</w:t>
      </w:r>
    </w:p>
    <w:p w14:paraId="6CF6AEB7" w14:textId="77777777" w:rsidR="00106206" w:rsidRPr="00106206" w:rsidRDefault="00106206" w:rsidP="00106206">
      <w:pPr>
        <w:widowControl/>
        <w:spacing w:line="360" w:lineRule="auto"/>
        <w:ind w:firstLineChars="200" w:firstLine="482"/>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【学习目标】</w:t>
      </w:r>
    </w:p>
    <w:p w14:paraId="4E999558"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结合案例分析，了解反不正当竞争权，科学发现权</w:t>
      </w:r>
    </w:p>
    <w:p w14:paraId="75033C57"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 xml:space="preserve">2. </w:t>
      </w:r>
      <w:r w:rsidRPr="00106206">
        <w:rPr>
          <w:rFonts w:ascii="Times New Roman" w:eastAsia="宋体" w:hAnsi="Times New Roman" w:cs="Times New Roman" w:hint="eastAsia"/>
          <w:sz w:val="24"/>
          <w:szCs w:val="24"/>
        </w:rPr>
        <w:t>熟悉医药商业秘密权，药用植物新品种权，药品药材地理标志权，医药厂商名称、商号与域名权，医药卫生服务标记权，中药品种权</w:t>
      </w:r>
      <w:r w:rsidRPr="00106206">
        <w:rPr>
          <w:rFonts w:ascii="Times New Roman" w:eastAsia="宋体" w:hAnsi="Times New Roman" w:cs="Times New Roman"/>
          <w:sz w:val="24"/>
          <w:szCs w:val="24"/>
        </w:rPr>
        <w:t>。</w:t>
      </w:r>
    </w:p>
    <w:p w14:paraId="182EBA9D" w14:textId="77777777" w:rsidR="00106206" w:rsidRPr="00106206" w:rsidRDefault="00106206" w:rsidP="00106206">
      <w:pPr>
        <w:widowControl/>
        <w:spacing w:line="360" w:lineRule="auto"/>
        <w:ind w:firstLineChars="200" w:firstLine="482"/>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【学习内容】</w:t>
      </w:r>
    </w:p>
    <w:p w14:paraId="53B9C6D1" w14:textId="77777777" w:rsidR="00106206" w:rsidRPr="00106206" w:rsidRDefault="00106206" w:rsidP="00106206">
      <w:pPr>
        <w:widowControl/>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1. 医药商业秘密权</w:t>
      </w:r>
    </w:p>
    <w:p w14:paraId="190D1918" w14:textId="77777777" w:rsidR="00106206" w:rsidRPr="00106206" w:rsidRDefault="00106206" w:rsidP="00106206">
      <w:pPr>
        <w:widowControl/>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2. 药用植物新品种权</w:t>
      </w:r>
    </w:p>
    <w:p w14:paraId="2688670A" w14:textId="77777777" w:rsidR="00106206" w:rsidRPr="00106206" w:rsidRDefault="00106206" w:rsidP="00106206">
      <w:pPr>
        <w:widowControl/>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3. 药品药材地理标志权</w:t>
      </w:r>
    </w:p>
    <w:p w14:paraId="59E5C2BF" w14:textId="77777777" w:rsidR="00106206" w:rsidRPr="00106206" w:rsidRDefault="00106206" w:rsidP="00106206">
      <w:pPr>
        <w:widowControl/>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4. 医药厂商名称、商号与域名权</w:t>
      </w:r>
    </w:p>
    <w:p w14:paraId="5E6D0A9A" w14:textId="77777777" w:rsidR="00106206" w:rsidRPr="00106206" w:rsidRDefault="00106206" w:rsidP="00106206">
      <w:pPr>
        <w:widowControl/>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5. 医药卫生服务标记权</w:t>
      </w:r>
    </w:p>
    <w:p w14:paraId="183CA165" w14:textId="77777777" w:rsidR="00106206" w:rsidRPr="00106206" w:rsidRDefault="00106206" w:rsidP="00106206">
      <w:pPr>
        <w:widowControl/>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6. 中药品种权</w:t>
      </w:r>
    </w:p>
    <w:p w14:paraId="6908654C" w14:textId="77777777" w:rsidR="00106206" w:rsidRPr="00106206" w:rsidRDefault="00106206" w:rsidP="00106206">
      <w:pPr>
        <w:widowControl/>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7. 反不正当竞争权</w:t>
      </w:r>
    </w:p>
    <w:p w14:paraId="02230B00" w14:textId="77777777" w:rsidR="00106206" w:rsidRPr="00106206" w:rsidRDefault="00106206" w:rsidP="00106206">
      <w:pPr>
        <w:widowControl/>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8. 科学发现权</w:t>
      </w:r>
    </w:p>
    <w:p w14:paraId="1569B22E" w14:textId="77777777" w:rsidR="00106206" w:rsidRPr="00106206" w:rsidRDefault="00106206" w:rsidP="00106206">
      <w:pPr>
        <w:widowControl/>
        <w:spacing w:line="360" w:lineRule="auto"/>
        <w:ind w:firstLineChars="200" w:firstLine="482"/>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【重点】</w:t>
      </w:r>
    </w:p>
    <w:p w14:paraId="12E54484"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各知识产权的概念</w:t>
      </w:r>
    </w:p>
    <w:p w14:paraId="0082301B" w14:textId="77777777" w:rsidR="00106206" w:rsidRPr="00106206" w:rsidRDefault="00106206" w:rsidP="00106206">
      <w:pPr>
        <w:widowControl/>
        <w:spacing w:line="360" w:lineRule="auto"/>
        <w:ind w:firstLineChars="200" w:firstLine="482"/>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【难点】</w:t>
      </w:r>
    </w:p>
    <w:p w14:paraId="1D7C3F79" w14:textId="77777777" w:rsidR="00106206" w:rsidRPr="00106206" w:rsidRDefault="00106206" w:rsidP="00106206">
      <w:pPr>
        <w:widowControl/>
        <w:spacing w:line="360" w:lineRule="auto"/>
        <w:ind w:firstLineChars="200" w:firstLine="480"/>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1. 各知识产权的保护要点</w:t>
      </w:r>
    </w:p>
    <w:p w14:paraId="429BB942" w14:textId="77777777" w:rsidR="00106206" w:rsidRPr="00106206" w:rsidRDefault="00106206" w:rsidP="00106206">
      <w:pPr>
        <w:widowControl/>
        <w:spacing w:line="360" w:lineRule="auto"/>
        <w:ind w:firstLineChars="200" w:firstLine="482"/>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【教学方法】</w:t>
      </w:r>
    </w:p>
    <w:p w14:paraId="6B1EF613" w14:textId="77777777" w:rsidR="00106206" w:rsidRPr="00106206" w:rsidRDefault="00106206">
      <w:pPr>
        <w:widowControl/>
        <w:numPr>
          <w:ilvl w:val="0"/>
          <w:numId w:val="185"/>
        </w:numPr>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通过多媒体课件和传统教学相结合，阐明相关学习内容，丰富学生课程与教学的基本知识结构。</w:t>
      </w:r>
    </w:p>
    <w:p w14:paraId="1DD31803" w14:textId="77777777" w:rsidR="00106206" w:rsidRPr="00106206" w:rsidRDefault="00106206">
      <w:pPr>
        <w:widowControl/>
        <w:numPr>
          <w:ilvl w:val="0"/>
          <w:numId w:val="185"/>
        </w:numPr>
        <w:spacing w:line="360" w:lineRule="auto"/>
        <w:ind w:firstLineChars="200" w:firstLine="480"/>
        <w:rPr>
          <w:rFonts w:ascii="宋体" w:eastAsia="宋体" w:hAnsi="宋体" w:cs="宋体"/>
          <w:color w:val="000000"/>
          <w:kern w:val="0"/>
          <w:sz w:val="24"/>
          <w:szCs w:val="24"/>
          <w:lang w:bidi="ar"/>
        </w:rPr>
      </w:pPr>
      <w:r w:rsidRPr="00106206">
        <w:rPr>
          <w:rFonts w:ascii="宋体" w:eastAsia="宋体" w:hAnsi="宋体" w:cs="宋体" w:hint="eastAsia"/>
          <w:color w:val="000000"/>
          <w:kern w:val="0"/>
          <w:sz w:val="24"/>
          <w:szCs w:val="24"/>
          <w:lang w:bidi="ar"/>
        </w:rPr>
        <w:t>通过案例分析，强调理论与实践相结合，促进学生知识整合，培养学生的反思能力。</w:t>
      </w:r>
    </w:p>
    <w:p w14:paraId="464CEE27" w14:textId="77777777" w:rsidR="00106206" w:rsidRPr="00106206" w:rsidRDefault="00106206" w:rsidP="00106206">
      <w:pPr>
        <w:widowControl/>
        <w:spacing w:line="360" w:lineRule="auto"/>
        <w:ind w:firstLineChars="200" w:firstLine="482"/>
        <w:rPr>
          <w:rFonts w:ascii="Times New Roman" w:eastAsia="宋体" w:hAnsi="Times New Roman" w:cs="Times New Roman"/>
          <w:szCs w:val="24"/>
        </w:rPr>
      </w:pPr>
      <w:r w:rsidRPr="00106206">
        <w:rPr>
          <w:rFonts w:ascii="宋体" w:eastAsia="宋体" w:hAnsi="宋体" w:cs="宋体" w:hint="eastAsia"/>
          <w:b/>
          <w:bCs/>
          <w:color w:val="000000"/>
          <w:kern w:val="0"/>
          <w:sz w:val="24"/>
          <w:szCs w:val="24"/>
          <w:lang w:bidi="ar"/>
        </w:rPr>
        <w:t>【复习思考】</w:t>
      </w:r>
    </w:p>
    <w:p w14:paraId="10591773" w14:textId="77777777" w:rsidR="00106206" w:rsidRPr="00106206" w:rsidRDefault="00106206" w:rsidP="00106206">
      <w:pPr>
        <w:widowControl/>
        <w:spacing w:line="360" w:lineRule="auto"/>
        <w:ind w:firstLineChars="200" w:firstLine="480"/>
        <w:rPr>
          <w:rFonts w:ascii="黑体" w:eastAsia="黑体" w:hAnsi="宋体" w:cs="黑体"/>
          <w:color w:val="000000"/>
          <w:kern w:val="0"/>
          <w:sz w:val="28"/>
          <w:szCs w:val="28"/>
          <w:lang w:bidi="ar"/>
        </w:rPr>
      </w:pPr>
      <w:r w:rsidRPr="00106206">
        <w:rPr>
          <w:rFonts w:ascii="宋体" w:eastAsia="宋体" w:hAnsi="宋体" w:cs="宋体" w:hint="eastAsia"/>
          <w:color w:val="000000"/>
          <w:kern w:val="0"/>
          <w:sz w:val="24"/>
          <w:szCs w:val="24"/>
          <w:lang w:bidi="ar"/>
        </w:rPr>
        <w:t>1. 医药商业秘密权的保护要点</w:t>
      </w:r>
    </w:p>
    <w:p w14:paraId="44E562FB" w14:textId="77777777" w:rsidR="00106206" w:rsidRPr="00106206" w:rsidRDefault="00106206" w:rsidP="00106206">
      <w:pPr>
        <w:spacing w:beforeLines="50" w:before="156" w:afterLines="50" w:after="156" w:line="440" w:lineRule="exact"/>
        <w:ind w:left="561"/>
        <w:rPr>
          <w:rFonts w:ascii="仿宋" w:eastAsia="仿宋" w:hAnsi="仿宋" w:cs="Times New Roman"/>
          <w:sz w:val="24"/>
          <w:szCs w:val="24"/>
        </w:rPr>
      </w:pPr>
      <w:r w:rsidRPr="00106206">
        <w:rPr>
          <w:rFonts w:ascii="黑体" w:eastAsia="黑体" w:hAnsi="黑体" w:cs="Times New Roman" w:hint="eastAsia"/>
          <w:sz w:val="28"/>
          <w:szCs w:val="28"/>
        </w:rPr>
        <w:t>（二）课程学习内容与课程学习目标的对应关系</w:t>
      </w:r>
      <w:r w:rsidRPr="00106206">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06206" w:rsidRPr="00106206" w14:paraId="5529AE4E" w14:textId="77777777" w:rsidTr="00106206">
        <w:trPr>
          <w:trHeight w:val="660"/>
          <w:jc w:val="center"/>
        </w:trPr>
        <w:tc>
          <w:tcPr>
            <w:tcW w:w="3403" w:type="dxa"/>
            <w:vAlign w:val="center"/>
          </w:tcPr>
          <w:p w14:paraId="2F13069C" w14:textId="77777777" w:rsidR="00106206" w:rsidRPr="00106206" w:rsidRDefault="00106206" w:rsidP="00106206">
            <w:pPr>
              <w:spacing w:line="440" w:lineRule="exact"/>
              <w:jc w:val="center"/>
              <w:rPr>
                <w:rFonts w:ascii="宋体" w:eastAsia="宋体" w:hAnsi="宋体" w:cs="Times New Roman"/>
                <w:b/>
                <w:bCs/>
                <w:sz w:val="24"/>
                <w:szCs w:val="24"/>
              </w:rPr>
            </w:pPr>
            <w:r w:rsidRPr="00106206">
              <w:rPr>
                <w:rFonts w:ascii="宋体" w:eastAsia="宋体" w:hAnsi="宋体" w:cs="Times New Roman" w:hint="eastAsia"/>
                <w:b/>
                <w:bCs/>
                <w:sz w:val="24"/>
                <w:szCs w:val="24"/>
              </w:rPr>
              <w:t>课程学习内容</w:t>
            </w:r>
          </w:p>
        </w:tc>
        <w:tc>
          <w:tcPr>
            <w:tcW w:w="2693" w:type="dxa"/>
            <w:vAlign w:val="center"/>
          </w:tcPr>
          <w:p w14:paraId="07F156D5" w14:textId="77777777" w:rsidR="00106206" w:rsidRPr="00106206" w:rsidRDefault="00106206" w:rsidP="00106206">
            <w:pPr>
              <w:spacing w:line="440" w:lineRule="exact"/>
              <w:jc w:val="center"/>
              <w:rPr>
                <w:rFonts w:ascii="宋体" w:eastAsia="宋体" w:hAnsi="宋体" w:cs="Times New Roman"/>
                <w:b/>
                <w:bCs/>
                <w:sz w:val="24"/>
                <w:szCs w:val="24"/>
              </w:rPr>
            </w:pPr>
            <w:r w:rsidRPr="00106206">
              <w:rPr>
                <w:rFonts w:ascii="宋体" w:eastAsia="宋体" w:hAnsi="宋体" w:cs="Times New Roman" w:hint="eastAsia"/>
                <w:b/>
                <w:bCs/>
                <w:sz w:val="24"/>
                <w:szCs w:val="24"/>
              </w:rPr>
              <w:t>教学方法</w:t>
            </w:r>
          </w:p>
        </w:tc>
        <w:tc>
          <w:tcPr>
            <w:tcW w:w="1985" w:type="dxa"/>
            <w:vAlign w:val="center"/>
          </w:tcPr>
          <w:p w14:paraId="509CD9C8" w14:textId="77777777" w:rsidR="00106206" w:rsidRPr="00106206" w:rsidRDefault="00106206" w:rsidP="00106206">
            <w:pPr>
              <w:spacing w:line="440" w:lineRule="exact"/>
              <w:jc w:val="center"/>
              <w:rPr>
                <w:rFonts w:ascii="宋体" w:eastAsia="宋体" w:hAnsi="宋体" w:cs="Times New Roman"/>
                <w:b/>
                <w:bCs/>
                <w:sz w:val="24"/>
                <w:szCs w:val="24"/>
              </w:rPr>
            </w:pPr>
            <w:r w:rsidRPr="00106206">
              <w:rPr>
                <w:rFonts w:ascii="宋体" w:eastAsia="宋体" w:hAnsi="宋体" w:cs="Times New Roman" w:hint="eastAsia"/>
                <w:b/>
                <w:bCs/>
                <w:sz w:val="24"/>
                <w:szCs w:val="24"/>
              </w:rPr>
              <w:t>支撑的课程目标</w:t>
            </w:r>
          </w:p>
        </w:tc>
        <w:tc>
          <w:tcPr>
            <w:tcW w:w="1276" w:type="dxa"/>
            <w:vAlign w:val="center"/>
          </w:tcPr>
          <w:p w14:paraId="2C5BB489" w14:textId="77777777" w:rsidR="00106206" w:rsidRPr="00106206" w:rsidRDefault="00106206" w:rsidP="00106206">
            <w:pPr>
              <w:spacing w:line="440" w:lineRule="exact"/>
              <w:jc w:val="center"/>
              <w:rPr>
                <w:rFonts w:ascii="宋体" w:eastAsia="宋体" w:hAnsi="宋体" w:cs="Times New Roman"/>
                <w:b/>
                <w:bCs/>
                <w:sz w:val="24"/>
                <w:szCs w:val="24"/>
              </w:rPr>
            </w:pPr>
            <w:r w:rsidRPr="00106206">
              <w:rPr>
                <w:rFonts w:ascii="宋体" w:eastAsia="宋体" w:hAnsi="宋体" w:cs="Times New Roman" w:hint="eastAsia"/>
                <w:b/>
                <w:bCs/>
                <w:sz w:val="24"/>
                <w:szCs w:val="24"/>
              </w:rPr>
              <w:t>学时安排</w:t>
            </w:r>
          </w:p>
        </w:tc>
      </w:tr>
      <w:tr w:rsidR="00106206" w:rsidRPr="00106206" w14:paraId="59F32E86" w14:textId="77777777" w:rsidTr="00106206">
        <w:trPr>
          <w:trHeight w:val="514"/>
          <w:jc w:val="center"/>
        </w:trPr>
        <w:tc>
          <w:tcPr>
            <w:tcW w:w="3403" w:type="dxa"/>
            <w:vAlign w:val="center"/>
          </w:tcPr>
          <w:p w14:paraId="3B10CB91" w14:textId="77777777" w:rsidR="00106206" w:rsidRPr="00106206" w:rsidRDefault="00106206" w:rsidP="00106206">
            <w:pPr>
              <w:spacing w:line="440" w:lineRule="exact"/>
              <w:jc w:val="left"/>
              <w:rPr>
                <w:rFonts w:ascii="宋体" w:eastAsia="宋体" w:hAnsi="宋体" w:cs="Times New Roman"/>
                <w:sz w:val="24"/>
                <w:szCs w:val="24"/>
              </w:rPr>
            </w:pPr>
            <w:r w:rsidRPr="00106206">
              <w:rPr>
                <w:rFonts w:ascii="宋体" w:eastAsia="宋体" w:hAnsi="宋体" w:cs="Times New Roman" w:hint="eastAsia"/>
                <w:sz w:val="24"/>
                <w:szCs w:val="24"/>
              </w:rPr>
              <w:t>第一章 知识产权概述</w:t>
            </w:r>
          </w:p>
        </w:tc>
        <w:tc>
          <w:tcPr>
            <w:tcW w:w="2693" w:type="dxa"/>
            <w:vAlign w:val="center"/>
          </w:tcPr>
          <w:p w14:paraId="0E5E3C5E" w14:textId="77777777" w:rsidR="00106206" w:rsidRPr="00106206" w:rsidRDefault="00106206" w:rsidP="00106206">
            <w:pPr>
              <w:spacing w:line="440" w:lineRule="exact"/>
              <w:jc w:val="center"/>
              <w:rPr>
                <w:rFonts w:ascii="宋体" w:eastAsia="宋体" w:hAnsi="宋体" w:cs="Times New Roman"/>
                <w:color w:val="FF0000"/>
                <w:sz w:val="24"/>
                <w:szCs w:val="24"/>
              </w:rPr>
            </w:pPr>
            <w:r w:rsidRPr="00106206">
              <w:rPr>
                <w:rFonts w:ascii="宋体" w:eastAsia="宋体" w:hAnsi="宋体" w:cs="Times New Roman" w:hint="eastAsia"/>
                <w:sz w:val="24"/>
                <w:szCs w:val="24"/>
              </w:rPr>
              <w:t>讲授法</w:t>
            </w:r>
          </w:p>
        </w:tc>
        <w:tc>
          <w:tcPr>
            <w:tcW w:w="1985" w:type="dxa"/>
            <w:vAlign w:val="center"/>
          </w:tcPr>
          <w:p w14:paraId="503E8896"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课程</w:t>
            </w:r>
            <w:r w:rsidRPr="00106206">
              <w:rPr>
                <w:rFonts w:ascii="宋体" w:eastAsia="宋体" w:hAnsi="宋体" w:cs="Times New Roman"/>
                <w:sz w:val="24"/>
                <w:szCs w:val="24"/>
              </w:rPr>
              <w:t>目标</w:t>
            </w:r>
            <w:r w:rsidRPr="00106206">
              <w:rPr>
                <w:rFonts w:ascii="宋体" w:eastAsia="宋体" w:hAnsi="宋体" w:cs="Times New Roman" w:hint="eastAsia"/>
                <w:sz w:val="24"/>
                <w:szCs w:val="24"/>
              </w:rPr>
              <w:t>1</w:t>
            </w:r>
          </w:p>
        </w:tc>
        <w:tc>
          <w:tcPr>
            <w:tcW w:w="1276" w:type="dxa"/>
            <w:vAlign w:val="center"/>
          </w:tcPr>
          <w:p w14:paraId="0A0AC34E"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2</w:t>
            </w:r>
          </w:p>
        </w:tc>
      </w:tr>
      <w:tr w:rsidR="00106206" w:rsidRPr="00106206" w14:paraId="2A974AEA" w14:textId="77777777" w:rsidTr="00106206">
        <w:trPr>
          <w:trHeight w:val="90"/>
          <w:jc w:val="center"/>
        </w:trPr>
        <w:tc>
          <w:tcPr>
            <w:tcW w:w="3403" w:type="dxa"/>
            <w:vAlign w:val="center"/>
          </w:tcPr>
          <w:p w14:paraId="614CA471" w14:textId="77777777" w:rsidR="00106206" w:rsidRPr="00106206" w:rsidRDefault="00106206" w:rsidP="00106206">
            <w:pPr>
              <w:spacing w:line="440" w:lineRule="exact"/>
              <w:jc w:val="left"/>
              <w:rPr>
                <w:rFonts w:ascii="宋体" w:eastAsia="宋体" w:hAnsi="宋体" w:cs="Times New Roman"/>
                <w:sz w:val="24"/>
                <w:szCs w:val="24"/>
              </w:rPr>
            </w:pPr>
            <w:r w:rsidRPr="00106206">
              <w:rPr>
                <w:rFonts w:ascii="宋体" w:eastAsia="宋体" w:hAnsi="宋体" w:cs="Times New Roman" w:hint="eastAsia"/>
                <w:sz w:val="24"/>
                <w:szCs w:val="24"/>
              </w:rPr>
              <w:lastRenderedPageBreak/>
              <w:t>第二章 医药商标</w:t>
            </w:r>
          </w:p>
        </w:tc>
        <w:tc>
          <w:tcPr>
            <w:tcW w:w="2693" w:type="dxa"/>
            <w:vAlign w:val="center"/>
          </w:tcPr>
          <w:p w14:paraId="544D741E"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讲授法、案例教学</w:t>
            </w:r>
          </w:p>
        </w:tc>
        <w:tc>
          <w:tcPr>
            <w:tcW w:w="1985" w:type="dxa"/>
            <w:vAlign w:val="center"/>
          </w:tcPr>
          <w:p w14:paraId="3A6C8069"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课程目标1、2</w:t>
            </w:r>
          </w:p>
        </w:tc>
        <w:tc>
          <w:tcPr>
            <w:tcW w:w="1276" w:type="dxa"/>
            <w:vAlign w:val="center"/>
          </w:tcPr>
          <w:p w14:paraId="6F8709FE"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3</w:t>
            </w:r>
          </w:p>
        </w:tc>
      </w:tr>
      <w:tr w:rsidR="00106206" w:rsidRPr="00106206" w14:paraId="2E1963C0" w14:textId="77777777" w:rsidTr="00106206">
        <w:trPr>
          <w:jc w:val="center"/>
        </w:trPr>
        <w:tc>
          <w:tcPr>
            <w:tcW w:w="3403" w:type="dxa"/>
            <w:vAlign w:val="center"/>
          </w:tcPr>
          <w:p w14:paraId="0921AD61" w14:textId="77777777" w:rsidR="00106206" w:rsidRPr="00106206" w:rsidRDefault="00106206" w:rsidP="00106206">
            <w:pPr>
              <w:spacing w:line="440" w:lineRule="exact"/>
              <w:jc w:val="left"/>
              <w:rPr>
                <w:rFonts w:ascii="宋体" w:eastAsia="宋体" w:hAnsi="宋体" w:cs="Times New Roman"/>
                <w:sz w:val="24"/>
                <w:szCs w:val="24"/>
              </w:rPr>
            </w:pPr>
            <w:r w:rsidRPr="00106206">
              <w:rPr>
                <w:rFonts w:ascii="宋体" w:eastAsia="宋体" w:hAnsi="宋体" w:cs="Times New Roman" w:hint="eastAsia"/>
                <w:sz w:val="24"/>
                <w:szCs w:val="24"/>
              </w:rPr>
              <w:t>第三章 医药著作权</w:t>
            </w:r>
          </w:p>
        </w:tc>
        <w:tc>
          <w:tcPr>
            <w:tcW w:w="2693" w:type="dxa"/>
            <w:vAlign w:val="center"/>
          </w:tcPr>
          <w:p w14:paraId="6C0528D2"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讲授法、案例教学</w:t>
            </w:r>
          </w:p>
        </w:tc>
        <w:tc>
          <w:tcPr>
            <w:tcW w:w="1985" w:type="dxa"/>
            <w:vAlign w:val="center"/>
          </w:tcPr>
          <w:p w14:paraId="1CFBDE2D"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课程目标1、2</w:t>
            </w:r>
          </w:p>
        </w:tc>
        <w:tc>
          <w:tcPr>
            <w:tcW w:w="1276" w:type="dxa"/>
            <w:vAlign w:val="center"/>
          </w:tcPr>
          <w:p w14:paraId="05872EC1"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3</w:t>
            </w:r>
          </w:p>
        </w:tc>
      </w:tr>
      <w:tr w:rsidR="00106206" w:rsidRPr="00106206" w14:paraId="1CCF5AFD" w14:textId="77777777" w:rsidTr="00106206">
        <w:trPr>
          <w:jc w:val="center"/>
        </w:trPr>
        <w:tc>
          <w:tcPr>
            <w:tcW w:w="3403" w:type="dxa"/>
            <w:vAlign w:val="center"/>
          </w:tcPr>
          <w:p w14:paraId="1F149B16" w14:textId="77777777" w:rsidR="00106206" w:rsidRPr="00106206" w:rsidRDefault="00106206" w:rsidP="00106206">
            <w:pPr>
              <w:spacing w:line="440" w:lineRule="exact"/>
              <w:jc w:val="left"/>
              <w:rPr>
                <w:rFonts w:ascii="宋体" w:eastAsia="宋体" w:hAnsi="宋体" w:cs="Times New Roman"/>
                <w:sz w:val="24"/>
                <w:szCs w:val="24"/>
              </w:rPr>
            </w:pPr>
            <w:r w:rsidRPr="00106206">
              <w:rPr>
                <w:rFonts w:ascii="宋体" w:eastAsia="宋体" w:hAnsi="宋体" w:cs="Times New Roman" w:hint="eastAsia"/>
                <w:sz w:val="24"/>
                <w:szCs w:val="24"/>
              </w:rPr>
              <w:t>第四章 医药专利</w:t>
            </w:r>
          </w:p>
        </w:tc>
        <w:tc>
          <w:tcPr>
            <w:tcW w:w="2693" w:type="dxa"/>
            <w:vAlign w:val="center"/>
          </w:tcPr>
          <w:p w14:paraId="748E68C4"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讲授法、案例教学</w:t>
            </w:r>
          </w:p>
        </w:tc>
        <w:tc>
          <w:tcPr>
            <w:tcW w:w="1985" w:type="dxa"/>
            <w:vAlign w:val="center"/>
          </w:tcPr>
          <w:p w14:paraId="165615E0"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课程目标1、2</w:t>
            </w:r>
          </w:p>
        </w:tc>
        <w:tc>
          <w:tcPr>
            <w:tcW w:w="1276" w:type="dxa"/>
            <w:vAlign w:val="center"/>
          </w:tcPr>
          <w:p w14:paraId="7F91F0C9"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3</w:t>
            </w:r>
          </w:p>
        </w:tc>
      </w:tr>
      <w:tr w:rsidR="00106206" w:rsidRPr="00106206" w14:paraId="7FEB3115" w14:textId="77777777" w:rsidTr="00106206">
        <w:trPr>
          <w:jc w:val="center"/>
        </w:trPr>
        <w:tc>
          <w:tcPr>
            <w:tcW w:w="3403" w:type="dxa"/>
            <w:vAlign w:val="center"/>
          </w:tcPr>
          <w:p w14:paraId="59E25B13" w14:textId="77777777" w:rsidR="00106206" w:rsidRPr="00106206" w:rsidRDefault="00106206" w:rsidP="00106206">
            <w:pPr>
              <w:spacing w:line="440" w:lineRule="exact"/>
              <w:jc w:val="left"/>
              <w:rPr>
                <w:rFonts w:ascii="宋体" w:eastAsia="宋体" w:hAnsi="宋体" w:cs="Times New Roman"/>
                <w:sz w:val="24"/>
                <w:szCs w:val="24"/>
              </w:rPr>
            </w:pPr>
            <w:r w:rsidRPr="00106206">
              <w:rPr>
                <w:rFonts w:ascii="宋体" w:eastAsia="宋体" w:hAnsi="宋体" w:cs="Times New Roman" w:hint="eastAsia"/>
                <w:sz w:val="24"/>
                <w:szCs w:val="24"/>
              </w:rPr>
              <w:t>第五章 专利说明书撰写</w:t>
            </w:r>
          </w:p>
        </w:tc>
        <w:tc>
          <w:tcPr>
            <w:tcW w:w="2693" w:type="dxa"/>
            <w:vAlign w:val="center"/>
          </w:tcPr>
          <w:p w14:paraId="5BCCC676"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讲授法、案例教学</w:t>
            </w:r>
          </w:p>
        </w:tc>
        <w:tc>
          <w:tcPr>
            <w:tcW w:w="1985" w:type="dxa"/>
            <w:vAlign w:val="center"/>
          </w:tcPr>
          <w:p w14:paraId="59E67F8C"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课程目标1、2</w:t>
            </w:r>
          </w:p>
        </w:tc>
        <w:tc>
          <w:tcPr>
            <w:tcW w:w="1276" w:type="dxa"/>
            <w:vAlign w:val="center"/>
          </w:tcPr>
          <w:p w14:paraId="7AB80029"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3</w:t>
            </w:r>
          </w:p>
        </w:tc>
      </w:tr>
      <w:tr w:rsidR="00106206" w:rsidRPr="00106206" w14:paraId="4169EB83" w14:textId="77777777" w:rsidTr="00106206">
        <w:trPr>
          <w:jc w:val="center"/>
        </w:trPr>
        <w:tc>
          <w:tcPr>
            <w:tcW w:w="3403" w:type="dxa"/>
            <w:vAlign w:val="center"/>
          </w:tcPr>
          <w:p w14:paraId="7CC6ED22" w14:textId="77777777" w:rsidR="00106206" w:rsidRPr="00106206" w:rsidRDefault="00106206" w:rsidP="00106206">
            <w:pPr>
              <w:spacing w:line="440" w:lineRule="exact"/>
              <w:jc w:val="left"/>
              <w:rPr>
                <w:rFonts w:ascii="宋体" w:eastAsia="宋体" w:hAnsi="宋体" w:cs="Times New Roman"/>
                <w:sz w:val="24"/>
                <w:szCs w:val="24"/>
              </w:rPr>
            </w:pPr>
            <w:r w:rsidRPr="00106206">
              <w:rPr>
                <w:rFonts w:ascii="宋体" w:eastAsia="宋体" w:hAnsi="宋体" w:cs="Times New Roman" w:hint="eastAsia"/>
                <w:sz w:val="24"/>
                <w:szCs w:val="24"/>
              </w:rPr>
              <w:t>第六章 专利检索</w:t>
            </w:r>
          </w:p>
        </w:tc>
        <w:tc>
          <w:tcPr>
            <w:tcW w:w="2693" w:type="dxa"/>
            <w:vAlign w:val="center"/>
          </w:tcPr>
          <w:p w14:paraId="768430F4"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讲授法、案例教学</w:t>
            </w:r>
          </w:p>
        </w:tc>
        <w:tc>
          <w:tcPr>
            <w:tcW w:w="1985" w:type="dxa"/>
            <w:vAlign w:val="center"/>
          </w:tcPr>
          <w:p w14:paraId="4856E75E"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课程目标1、2</w:t>
            </w:r>
          </w:p>
        </w:tc>
        <w:tc>
          <w:tcPr>
            <w:tcW w:w="1276" w:type="dxa"/>
            <w:vAlign w:val="center"/>
          </w:tcPr>
          <w:p w14:paraId="48F6DC30"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3</w:t>
            </w:r>
          </w:p>
        </w:tc>
      </w:tr>
      <w:tr w:rsidR="00106206" w:rsidRPr="00106206" w14:paraId="7098FD6C" w14:textId="77777777" w:rsidTr="00106206">
        <w:trPr>
          <w:jc w:val="center"/>
        </w:trPr>
        <w:tc>
          <w:tcPr>
            <w:tcW w:w="3403" w:type="dxa"/>
            <w:vAlign w:val="center"/>
          </w:tcPr>
          <w:p w14:paraId="177CE4C6" w14:textId="77777777" w:rsidR="00106206" w:rsidRPr="00106206" w:rsidRDefault="00106206" w:rsidP="00106206">
            <w:pPr>
              <w:spacing w:line="440" w:lineRule="exact"/>
              <w:jc w:val="left"/>
              <w:rPr>
                <w:rFonts w:ascii="宋体" w:eastAsia="宋体" w:hAnsi="宋体" w:cs="Times New Roman"/>
                <w:sz w:val="24"/>
                <w:szCs w:val="24"/>
              </w:rPr>
            </w:pPr>
            <w:r w:rsidRPr="00106206">
              <w:rPr>
                <w:rFonts w:ascii="宋体" w:eastAsia="宋体" w:hAnsi="宋体" w:cs="Times New Roman" w:hint="eastAsia"/>
                <w:sz w:val="24"/>
                <w:szCs w:val="24"/>
              </w:rPr>
              <w:t>第七章 专利侵权案例分析</w:t>
            </w:r>
          </w:p>
        </w:tc>
        <w:tc>
          <w:tcPr>
            <w:tcW w:w="2693" w:type="dxa"/>
            <w:vAlign w:val="center"/>
          </w:tcPr>
          <w:p w14:paraId="2D612DCA"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讲授法、案例教学</w:t>
            </w:r>
          </w:p>
        </w:tc>
        <w:tc>
          <w:tcPr>
            <w:tcW w:w="1985" w:type="dxa"/>
            <w:vAlign w:val="center"/>
          </w:tcPr>
          <w:p w14:paraId="04265828"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课程目标1、2</w:t>
            </w:r>
          </w:p>
        </w:tc>
        <w:tc>
          <w:tcPr>
            <w:tcW w:w="1276" w:type="dxa"/>
            <w:vAlign w:val="center"/>
          </w:tcPr>
          <w:p w14:paraId="4E10ABBB"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3</w:t>
            </w:r>
          </w:p>
        </w:tc>
      </w:tr>
      <w:tr w:rsidR="00106206" w:rsidRPr="00106206" w14:paraId="4F7C85FE" w14:textId="77777777" w:rsidTr="00106206">
        <w:trPr>
          <w:jc w:val="center"/>
        </w:trPr>
        <w:tc>
          <w:tcPr>
            <w:tcW w:w="3403" w:type="dxa"/>
            <w:vAlign w:val="center"/>
          </w:tcPr>
          <w:p w14:paraId="383F05EE" w14:textId="77777777" w:rsidR="00106206" w:rsidRPr="00106206" w:rsidRDefault="00106206" w:rsidP="00106206">
            <w:pPr>
              <w:spacing w:line="440" w:lineRule="exact"/>
              <w:jc w:val="left"/>
              <w:rPr>
                <w:rFonts w:ascii="宋体" w:eastAsia="宋体" w:hAnsi="宋体" w:cs="Times New Roman"/>
                <w:sz w:val="24"/>
                <w:szCs w:val="24"/>
              </w:rPr>
            </w:pPr>
            <w:r w:rsidRPr="00106206">
              <w:rPr>
                <w:rFonts w:ascii="宋体" w:eastAsia="宋体" w:hAnsi="宋体" w:cs="Times New Roman" w:hint="eastAsia"/>
                <w:sz w:val="24"/>
                <w:szCs w:val="24"/>
              </w:rPr>
              <w:t>第八章 其他医药知识产权</w:t>
            </w:r>
          </w:p>
        </w:tc>
        <w:tc>
          <w:tcPr>
            <w:tcW w:w="2693" w:type="dxa"/>
            <w:vAlign w:val="center"/>
          </w:tcPr>
          <w:p w14:paraId="64D3524D"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讲授法、案例教学</w:t>
            </w:r>
          </w:p>
        </w:tc>
        <w:tc>
          <w:tcPr>
            <w:tcW w:w="1985" w:type="dxa"/>
            <w:vAlign w:val="center"/>
          </w:tcPr>
          <w:p w14:paraId="1A0941D2"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课程目标1、2</w:t>
            </w:r>
          </w:p>
        </w:tc>
        <w:tc>
          <w:tcPr>
            <w:tcW w:w="1276" w:type="dxa"/>
            <w:vAlign w:val="center"/>
          </w:tcPr>
          <w:p w14:paraId="702ED3B4"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4</w:t>
            </w:r>
          </w:p>
        </w:tc>
      </w:tr>
      <w:tr w:rsidR="00106206" w:rsidRPr="00106206" w14:paraId="2B87E6BD" w14:textId="77777777" w:rsidTr="00106206">
        <w:trPr>
          <w:jc w:val="center"/>
        </w:trPr>
        <w:tc>
          <w:tcPr>
            <w:tcW w:w="8081" w:type="dxa"/>
            <w:gridSpan w:val="3"/>
            <w:vAlign w:val="center"/>
          </w:tcPr>
          <w:p w14:paraId="772D46CC" w14:textId="77777777" w:rsidR="00106206" w:rsidRPr="00106206" w:rsidRDefault="00106206" w:rsidP="00106206">
            <w:pPr>
              <w:spacing w:line="440" w:lineRule="exact"/>
              <w:jc w:val="center"/>
              <w:rPr>
                <w:rFonts w:ascii="宋体" w:eastAsia="宋体" w:hAnsi="宋体" w:cs="Times New Roman"/>
                <w:b/>
                <w:sz w:val="24"/>
                <w:szCs w:val="24"/>
              </w:rPr>
            </w:pPr>
            <w:r w:rsidRPr="00106206">
              <w:rPr>
                <w:rFonts w:ascii="宋体" w:eastAsia="宋体" w:hAnsi="宋体" w:cs="Times New Roman" w:hint="eastAsia"/>
                <w:b/>
                <w:sz w:val="24"/>
                <w:szCs w:val="24"/>
              </w:rPr>
              <w:t>合计</w:t>
            </w:r>
          </w:p>
        </w:tc>
        <w:tc>
          <w:tcPr>
            <w:tcW w:w="1276" w:type="dxa"/>
            <w:vAlign w:val="center"/>
          </w:tcPr>
          <w:p w14:paraId="1F020509" w14:textId="77777777" w:rsidR="00106206" w:rsidRPr="00106206" w:rsidRDefault="00106206" w:rsidP="00106206">
            <w:pPr>
              <w:spacing w:line="440" w:lineRule="exact"/>
              <w:jc w:val="center"/>
              <w:rPr>
                <w:rFonts w:ascii="宋体" w:eastAsia="宋体" w:hAnsi="宋体" w:cs="Times New Roman"/>
                <w:sz w:val="24"/>
                <w:szCs w:val="24"/>
              </w:rPr>
            </w:pPr>
            <w:r w:rsidRPr="00106206">
              <w:rPr>
                <w:rFonts w:ascii="宋体" w:eastAsia="宋体" w:hAnsi="宋体" w:cs="Times New Roman" w:hint="eastAsia"/>
                <w:sz w:val="24"/>
                <w:szCs w:val="24"/>
              </w:rPr>
              <w:t>24</w:t>
            </w:r>
          </w:p>
        </w:tc>
      </w:tr>
    </w:tbl>
    <w:p w14:paraId="17ABAA8B" w14:textId="77777777" w:rsidR="00106206" w:rsidRPr="00106206" w:rsidRDefault="00106206" w:rsidP="00106206">
      <w:pPr>
        <w:spacing w:beforeLines="50" w:before="156" w:afterLines="50" w:after="156" w:line="440" w:lineRule="exact"/>
        <w:ind w:firstLineChars="200" w:firstLine="560"/>
        <w:rPr>
          <w:rFonts w:ascii="宋体" w:eastAsia="宋体" w:hAnsi="宋体" w:cs="Times New Roman"/>
          <w:sz w:val="24"/>
          <w:szCs w:val="24"/>
        </w:rPr>
      </w:pPr>
      <w:r w:rsidRPr="00106206">
        <w:rPr>
          <w:rFonts w:ascii="黑体" w:eastAsia="黑体" w:hAnsi="黑体" w:cs="Times New Roman" w:hint="eastAsia"/>
          <w:sz w:val="28"/>
          <w:szCs w:val="28"/>
        </w:rPr>
        <w:t>四、课程考核及与课程学习目标的对应关系</w:t>
      </w:r>
    </w:p>
    <w:p w14:paraId="2FBA4DB8" w14:textId="77777777" w:rsidR="00106206" w:rsidRPr="00106206" w:rsidRDefault="00106206" w:rsidP="00106206">
      <w:pPr>
        <w:spacing w:beforeLines="50" w:before="156" w:afterLines="50" w:after="156" w:line="440" w:lineRule="exact"/>
        <w:ind w:firstLineChars="200" w:firstLine="560"/>
        <w:rPr>
          <w:rFonts w:ascii="黑体" w:eastAsia="黑体" w:hAnsi="黑体" w:cs="Times New Roman"/>
          <w:sz w:val="28"/>
          <w:szCs w:val="28"/>
        </w:rPr>
      </w:pPr>
      <w:r w:rsidRPr="00106206">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106206" w:rsidRPr="00106206" w14:paraId="17BDDF9B" w14:textId="77777777" w:rsidTr="00106206">
        <w:trPr>
          <w:trHeight w:val="515"/>
          <w:jc w:val="center"/>
        </w:trPr>
        <w:tc>
          <w:tcPr>
            <w:tcW w:w="1422" w:type="dxa"/>
          </w:tcPr>
          <w:p w14:paraId="194460AA" w14:textId="77777777" w:rsidR="00106206" w:rsidRPr="00106206" w:rsidRDefault="00106206" w:rsidP="00106206">
            <w:pPr>
              <w:spacing w:line="440" w:lineRule="exact"/>
              <w:jc w:val="center"/>
              <w:rPr>
                <w:rFonts w:ascii="宋体" w:eastAsia="宋体" w:hAnsi="宋体" w:cs="Times New Roman"/>
                <w:b/>
                <w:sz w:val="24"/>
                <w:szCs w:val="24"/>
              </w:rPr>
            </w:pPr>
            <w:r w:rsidRPr="00106206">
              <w:rPr>
                <w:rFonts w:ascii="宋体" w:eastAsia="宋体" w:hAnsi="宋体" w:cs="Times New Roman" w:hint="eastAsia"/>
                <w:b/>
                <w:sz w:val="24"/>
                <w:szCs w:val="24"/>
              </w:rPr>
              <w:t>课程目标</w:t>
            </w:r>
          </w:p>
        </w:tc>
        <w:tc>
          <w:tcPr>
            <w:tcW w:w="7918" w:type="dxa"/>
            <w:vAlign w:val="center"/>
          </w:tcPr>
          <w:p w14:paraId="6F3D24E9" w14:textId="77777777" w:rsidR="00106206" w:rsidRPr="00106206" w:rsidRDefault="00106206" w:rsidP="00106206">
            <w:pPr>
              <w:spacing w:line="440" w:lineRule="exact"/>
              <w:jc w:val="center"/>
              <w:rPr>
                <w:rFonts w:ascii="宋体" w:eastAsia="宋体" w:hAnsi="宋体" w:cs="Times New Roman"/>
                <w:b/>
                <w:sz w:val="24"/>
                <w:szCs w:val="24"/>
              </w:rPr>
            </w:pPr>
            <w:r w:rsidRPr="00106206">
              <w:rPr>
                <w:rFonts w:ascii="宋体" w:eastAsia="宋体" w:hAnsi="宋体" w:cs="Times New Roman" w:hint="eastAsia"/>
                <w:b/>
                <w:sz w:val="24"/>
                <w:szCs w:val="24"/>
              </w:rPr>
              <w:t>考核内容</w:t>
            </w:r>
          </w:p>
        </w:tc>
      </w:tr>
      <w:tr w:rsidR="00106206" w:rsidRPr="00106206" w14:paraId="4E347C77" w14:textId="77777777" w:rsidTr="00106206">
        <w:trPr>
          <w:jc w:val="center"/>
        </w:trPr>
        <w:tc>
          <w:tcPr>
            <w:tcW w:w="1422" w:type="dxa"/>
            <w:vAlign w:val="center"/>
          </w:tcPr>
          <w:p w14:paraId="6A37F295"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课程目标1</w:t>
            </w:r>
          </w:p>
        </w:tc>
        <w:tc>
          <w:tcPr>
            <w:tcW w:w="7918" w:type="dxa"/>
            <w:vAlign w:val="center"/>
          </w:tcPr>
          <w:p w14:paraId="7F621D96" w14:textId="77777777" w:rsidR="00106206" w:rsidRPr="00106206" w:rsidRDefault="00106206" w:rsidP="00106206">
            <w:pPr>
              <w:spacing w:line="440" w:lineRule="exact"/>
              <w:rPr>
                <w:rFonts w:ascii="宋体" w:eastAsia="宋体" w:hAnsi="宋体" w:cs="Times New Roman"/>
                <w:bCs/>
                <w:sz w:val="24"/>
                <w:szCs w:val="24"/>
              </w:rPr>
            </w:pPr>
            <w:r w:rsidRPr="00106206">
              <w:rPr>
                <w:rFonts w:ascii="宋体" w:eastAsia="宋体" w:hAnsi="宋体" w:cs="Times New Roman" w:hint="eastAsia"/>
                <w:bCs/>
                <w:sz w:val="24"/>
                <w:szCs w:val="24"/>
              </w:rPr>
              <w:t>1.1 各类知识产权的保护政策的运用方法。</w:t>
            </w:r>
          </w:p>
          <w:p w14:paraId="7215ED10" w14:textId="77777777" w:rsidR="00106206" w:rsidRPr="00106206" w:rsidRDefault="00106206" w:rsidP="00106206">
            <w:pPr>
              <w:spacing w:line="440" w:lineRule="exact"/>
              <w:rPr>
                <w:rFonts w:ascii="宋体" w:eastAsia="宋体" w:hAnsi="宋体" w:cs="Times New Roman"/>
                <w:bCs/>
                <w:sz w:val="24"/>
                <w:szCs w:val="24"/>
              </w:rPr>
            </w:pPr>
            <w:r w:rsidRPr="00106206">
              <w:rPr>
                <w:rFonts w:ascii="宋体" w:eastAsia="宋体" w:hAnsi="宋体" w:cs="Times New Roman" w:hint="eastAsia"/>
                <w:bCs/>
                <w:sz w:val="24"/>
                <w:szCs w:val="24"/>
              </w:rPr>
              <w:t>1.2 知识产权保护意识的培养与实训。</w:t>
            </w:r>
          </w:p>
        </w:tc>
      </w:tr>
      <w:tr w:rsidR="00106206" w:rsidRPr="00106206" w14:paraId="12DF6D5E" w14:textId="77777777" w:rsidTr="00106206">
        <w:trPr>
          <w:jc w:val="center"/>
        </w:trPr>
        <w:tc>
          <w:tcPr>
            <w:tcW w:w="1422" w:type="dxa"/>
            <w:vAlign w:val="center"/>
          </w:tcPr>
          <w:p w14:paraId="4E97D299"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课程目标2</w:t>
            </w:r>
          </w:p>
        </w:tc>
        <w:tc>
          <w:tcPr>
            <w:tcW w:w="7918" w:type="dxa"/>
            <w:vAlign w:val="center"/>
          </w:tcPr>
          <w:p w14:paraId="31770A9B" w14:textId="77777777" w:rsidR="00106206" w:rsidRPr="00106206" w:rsidRDefault="00106206" w:rsidP="00106206">
            <w:pPr>
              <w:spacing w:line="440" w:lineRule="exact"/>
              <w:rPr>
                <w:rFonts w:ascii="宋体" w:eastAsia="宋体" w:hAnsi="宋体" w:cs="Times New Roman"/>
                <w:bCs/>
                <w:sz w:val="24"/>
                <w:szCs w:val="24"/>
              </w:rPr>
            </w:pPr>
            <w:r w:rsidRPr="00106206">
              <w:rPr>
                <w:rFonts w:ascii="宋体" w:eastAsia="宋体" w:hAnsi="宋体" w:cs="Times New Roman" w:hint="eastAsia"/>
                <w:bCs/>
                <w:sz w:val="24"/>
                <w:szCs w:val="24"/>
              </w:rPr>
              <w:t>2.1 不同类别知识产权保护的内容、技术要求。</w:t>
            </w:r>
          </w:p>
          <w:p w14:paraId="3EDE99AD" w14:textId="77777777" w:rsidR="00106206" w:rsidRPr="00106206" w:rsidRDefault="00106206" w:rsidP="00106206">
            <w:pPr>
              <w:spacing w:line="440" w:lineRule="exact"/>
              <w:rPr>
                <w:rFonts w:ascii="宋体" w:eastAsia="宋体" w:hAnsi="宋体" w:cs="Times New Roman"/>
                <w:bCs/>
                <w:sz w:val="24"/>
                <w:szCs w:val="24"/>
              </w:rPr>
            </w:pPr>
            <w:r w:rsidRPr="00106206">
              <w:rPr>
                <w:rFonts w:ascii="宋体" w:eastAsia="宋体" w:hAnsi="宋体" w:cs="Times New Roman" w:hint="eastAsia"/>
                <w:bCs/>
                <w:sz w:val="24"/>
                <w:szCs w:val="24"/>
              </w:rPr>
              <w:t>2.2 知识产权问题的解决方案制定。</w:t>
            </w:r>
          </w:p>
          <w:p w14:paraId="7CBA529E" w14:textId="77777777" w:rsidR="00106206" w:rsidRPr="00106206" w:rsidRDefault="00106206" w:rsidP="00106206">
            <w:pPr>
              <w:spacing w:line="440" w:lineRule="exact"/>
              <w:rPr>
                <w:rFonts w:ascii="宋体" w:eastAsia="宋体" w:hAnsi="宋体" w:cs="Times New Roman"/>
                <w:bCs/>
                <w:sz w:val="24"/>
                <w:szCs w:val="24"/>
              </w:rPr>
            </w:pPr>
            <w:r w:rsidRPr="00106206">
              <w:rPr>
                <w:rFonts w:ascii="宋体" w:eastAsia="宋体" w:hAnsi="宋体" w:cs="Times New Roman" w:hint="eastAsia"/>
                <w:bCs/>
                <w:sz w:val="24"/>
                <w:szCs w:val="24"/>
              </w:rPr>
              <w:t>2.3 知识产权相关信息检索、处理能力。</w:t>
            </w:r>
          </w:p>
          <w:p w14:paraId="13007043" w14:textId="77777777" w:rsidR="00106206" w:rsidRPr="00106206" w:rsidRDefault="00106206" w:rsidP="00106206">
            <w:pPr>
              <w:spacing w:line="440" w:lineRule="exact"/>
              <w:rPr>
                <w:rFonts w:ascii="宋体" w:eastAsia="宋体" w:hAnsi="宋体" w:cs="Times New Roman"/>
                <w:bCs/>
                <w:sz w:val="24"/>
                <w:szCs w:val="24"/>
              </w:rPr>
            </w:pPr>
            <w:r w:rsidRPr="00106206">
              <w:rPr>
                <w:rFonts w:ascii="宋体" w:eastAsia="宋体" w:hAnsi="宋体" w:cs="Times New Roman" w:hint="eastAsia"/>
                <w:bCs/>
                <w:sz w:val="24"/>
                <w:szCs w:val="24"/>
              </w:rPr>
              <w:t>2.4 各种知识产权的判断，及保护方法。</w:t>
            </w:r>
          </w:p>
        </w:tc>
      </w:tr>
    </w:tbl>
    <w:p w14:paraId="20737D60" w14:textId="77777777" w:rsidR="00106206" w:rsidRPr="00106206" w:rsidRDefault="00106206" w:rsidP="00106206">
      <w:pPr>
        <w:spacing w:beforeLines="50" w:before="156" w:afterLines="50" w:after="156" w:line="440" w:lineRule="exact"/>
        <w:ind w:firstLineChars="200" w:firstLine="560"/>
        <w:rPr>
          <w:rFonts w:ascii="黑体" w:eastAsia="黑体" w:hAnsi="黑体" w:cs="Times New Roman"/>
          <w:sz w:val="28"/>
          <w:szCs w:val="28"/>
        </w:rPr>
      </w:pPr>
      <w:r w:rsidRPr="00106206">
        <w:rPr>
          <w:rFonts w:ascii="黑体" w:eastAsia="黑体" w:hAnsi="黑体" w:cs="Times New Roman" w:hint="eastAsia"/>
          <w:sz w:val="28"/>
          <w:szCs w:val="28"/>
        </w:rPr>
        <w:t>（二）课程考核方式</w:t>
      </w:r>
    </w:p>
    <w:p w14:paraId="099D97A2" w14:textId="77777777" w:rsidR="00106206" w:rsidRPr="00106206" w:rsidRDefault="00106206" w:rsidP="00106206">
      <w:pPr>
        <w:widowControl/>
        <w:ind w:firstLineChars="200" w:firstLine="480"/>
        <w:jc w:val="left"/>
        <w:rPr>
          <w:rFonts w:ascii="Times New Roman" w:eastAsia="宋体" w:hAnsi="Times New Roman" w:cs="Times New Roman"/>
          <w:szCs w:val="24"/>
        </w:rPr>
      </w:pPr>
      <w:r w:rsidRPr="00106206">
        <w:rPr>
          <w:rFonts w:ascii="宋体" w:eastAsia="宋体" w:hAnsi="宋体" w:cs="宋体" w:hint="eastAsia"/>
          <w:color w:val="000000"/>
          <w:kern w:val="0"/>
          <w:sz w:val="24"/>
          <w:szCs w:val="24"/>
          <w:lang w:bidi="ar"/>
        </w:rPr>
        <w:t>课程考核方式分为平时考核和期末作品设计。</w:t>
      </w:r>
    </w:p>
    <w:p w14:paraId="7DCEC776" w14:textId="77777777" w:rsidR="00106206" w:rsidRPr="00106206" w:rsidRDefault="00106206" w:rsidP="00106206">
      <w:pPr>
        <w:spacing w:beforeLines="50" w:before="156" w:afterLines="50" w:after="156"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1. 平时考核方式包括课堂表现(10%)、平时作业(30%)。</w:t>
      </w:r>
    </w:p>
    <w:p w14:paraId="00C7011E" w14:textId="77777777" w:rsidR="00106206" w:rsidRPr="00106206" w:rsidRDefault="00106206" w:rsidP="00106206">
      <w:pPr>
        <w:spacing w:beforeLines="50" w:before="156" w:afterLines="50" w:after="156"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2. 期末考核采用作品设计(60%)。</w:t>
      </w:r>
    </w:p>
    <w:p w14:paraId="6D828A20" w14:textId="77777777" w:rsidR="00106206" w:rsidRPr="00106206" w:rsidRDefault="00106206" w:rsidP="00106206">
      <w:pPr>
        <w:spacing w:beforeLines="50" w:before="156" w:afterLines="50" w:after="156" w:line="440" w:lineRule="exact"/>
        <w:ind w:firstLineChars="200" w:firstLine="560"/>
        <w:rPr>
          <w:rFonts w:ascii="黑体" w:eastAsia="黑体" w:hAnsi="黑体" w:cs="Times New Roman"/>
          <w:sz w:val="28"/>
          <w:szCs w:val="28"/>
        </w:rPr>
      </w:pPr>
      <w:r w:rsidRPr="00106206">
        <w:rPr>
          <w:rFonts w:ascii="黑体" w:eastAsia="黑体" w:hAnsi="黑体" w:cs="Times New Roman" w:hint="eastAsia"/>
          <w:sz w:val="28"/>
          <w:szCs w:val="28"/>
        </w:rPr>
        <w:t>（三）课程目标达成评价方式及考核比例</w:t>
      </w:r>
    </w:p>
    <w:p w14:paraId="43F9F09A" w14:textId="77777777" w:rsidR="00106206" w:rsidRPr="00106206" w:rsidRDefault="00106206" w:rsidP="00106206">
      <w:p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课堂表现10%+平时作业30%+期末考试60%；本课程共有两个课程目标，考核方式及成绩比例分别为：</w:t>
      </w:r>
    </w:p>
    <w:p w14:paraId="66901670" w14:textId="77777777" w:rsidR="00106206" w:rsidRPr="00106206" w:rsidRDefault="00106206" w:rsidP="00106206">
      <w:p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课程目标1：课堂表现5%+平时作业15%+作品设计20%</w:t>
      </w:r>
    </w:p>
    <w:p w14:paraId="40B9C65E" w14:textId="77777777" w:rsidR="00106206" w:rsidRPr="00106206" w:rsidRDefault="00106206" w:rsidP="00106206">
      <w:p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课程目标2：课堂表现5%+平时作业15%+作品设计40%</w:t>
      </w:r>
    </w:p>
    <w:p w14:paraId="31FBCB68" w14:textId="77777777" w:rsidR="00106206" w:rsidRPr="00106206" w:rsidRDefault="00106206" w:rsidP="00106206">
      <w:p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如下图：</w:t>
      </w:r>
    </w:p>
    <w:tbl>
      <w:tblPr>
        <w:tblW w:w="75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559"/>
        <w:gridCol w:w="1561"/>
      </w:tblGrid>
      <w:tr w:rsidR="00106206" w:rsidRPr="00106206" w14:paraId="4F94B1BD" w14:textId="77777777" w:rsidTr="00106206">
        <w:trPr>
          <w:trHeight w:val="540"/>
          <w:jc w:val="center"/>
        </w:trPr>
        <w:tc>
          <w:tcPr>
            <w:tcW w:w="1422" w:type="dxa"/>
            <w:vMerge w:val="restart"/>
            <w:vAlign w:val="center"/>
          </w:tcPr>
          <w:p w14:paraId="23B724A8" w14:textId="77777777" w:rsidR="00106206" w:rsidRPr="00106206" w:rsidRDefault="00106206" w:rsidP="00106206">
            <w:pPr>
              <w:spacing w:line="440" w:lineRule="exact"/>
              <w:jc w:val="center"/>
              <w:rPr>
                <w:rFonts w:ascii="宋体" w:eastAsia="宋体" w:hAnsi="宋体" w:cs="Times New Roman"/>
                <w:b/>
                <w:sz w:val="24"/>
                <w:szCs w:val="24"/>
              </w:rPr>
            </w:pPr>
            <w:r w:rsidRPr="00106206">
              <w:rPr>
                <w:rFonts w:ascii="宋体" w:eastAsia="宋体" w:hAnsi="宋体" w:cs="Times New Roman" w:hint="eastAsia"/>
                <w:b/>
                <w:sz w:val="24"/>
                <w:szCs w:val="24"/>
              </w:rPr>
              <w:t>课程目标</w:t>
            </w:r>
          </w:p>
        </w:tc>
        <w:tc>
          <w:tcPr>
            <w:tcW w:w="4570" w:type="dxa"/>
            <w:gridSpan w:val="3"/>
            <w:vAlign w:val="center"/>
          </w:tcPr>
          <w:p w14:paraId="44060CA2" w14:textId="77777777" w:rsidR="00106206" w:rsidRPr="00106206" w:rsidRDefault="00106206" w:rsidP="00106206">
            <w:pPr>
              <w:spacing w:line="440" w:lineRule="exact"/>
              <w:jc w:val="center"/>
              <w:rPr>
                <w:rFonts w:ascii="宋体" w:eastAsia="宋体" w:hAnsi="宋体" w:cs="Times New Roman"/>
                <w:b/>
                <w:sz w:val="24"/>
                <w:szCs w:val="24"/>
              </w:rPr>
            </w:pPr>
            <w:r w:rsidRPr="00106206">
              <w:rPr>
                <w:rFonts w:ascii="宋体" w:eastAsia="宋体" w:hAnsi="宋体" w:cs="Times New Roman" w:hint="eastAsia"/>
                <w:b/>
                <w:sz w:val="24"/>
                <w:szCs w:val="24"/>
              </w:rPr>
              <w:t>考核方式及成绩比例（%）</w:t>
            </w:r>
          </w:p>
        </w:tc>
        <w:tc>
          <w:tcPr>
            <w:tcW w:w="1561" w:type="dxa"/>
            <w:vAlign w:val="center"/>
          </w:tcPr>
          <w:p w14:paraId="371F8742" w14:textId="77777777" w:rsidR="00106206" w:rsidRPr="00106206" w:rsidRDefault="00106206" w:rsidP="00106206">
            <w:pPr>
              <w:spacing w:line="440" w:lineRule="exact"/>
              <w:jc w:val="center"/>
              <w:rPr>
                <w:rFonts w:ascii="宋体" w:eastAsia="宋体" w:hAnsi="宋体" w:cs="Times New Roman"/>
                <w:b/>
                <w:sz w:val="24"/>
                <w:szCs w:val="24"/>
              </w:rPr>
            </w:pPr>
            <w:r w:rsidRPr="00106206">
              <w:rPr>
                <w:rFonts w:ascii="宋体" w:eastAsia="宋体" w:hAnsi="宋体" w:cs="Times New Roman" w:hint="eastAsia"/>
                <w:b/>
                <w:sz w:val="24"/>
                <w:szCs w:val="24"/>
              </w:rPr>
              <w:t>合计</w:t>
            </w:r>
          </w:p>
        </w:tc>
      </w:tr>
      <w:tr w:rsidR="00106206" w:rsidRPr="00106206" w14:paraId="202524F5" w14:textId="77777777" w:rsidTr="00106206">
        <w:trPr>
          <w:trHeight w:val="578"/>
          <w:jc w:val="center"/>
        </w:trPr>
        <w:tc>
          <w:tcPr>
            <w:tcW w:w="1422" w:type="dxa"/>
            <w:vMerge/>
            <w:vAlign w:val="center"/>
          </w:tcPr>
          <w:p w14:paraId="1673736F" w14:textId="77777777" w:rsidR="00106206" w:rsidRPr="00106206" w:rsidRDefault="00106206" w:rsidP="00106206">
            <w:pPr>
              <w:spacing w:line="440" w:lineRule="exact"/>
              <w:jc w:val="center"/>
              <w:rPr>
                <w:rFonts w:ascii="宋体" w:eastAsia="宋体" w:hAnsi="宋体" w:cs="Times New Roman"/>
                <w:b/>
                <w:sz w:val="24"/>
                <w:szCs w:val="24"/>
              </w:rPr>
            </w:pPr>
          </w:p>
        </w:tc>
        <w:tc>
          <w:tcPr>
            <w:tcW w:w="1452" w:type="dxa"/>
            <w:vAlign w:val="center"/>
          </w:tcPr>
          <w:p w14:paraId="66201FA5" w14:textId="77777777" w:rsidR="00106206" w:rsidRPr="00106206" w:rsidRDefault="00106206" w:rsidP="00106206">
            <w:pPr>
              <w:spacing w:line="440" w:lineRule="exact"/>
              <w:jc w:val="center"/>
              <w:rPr>
                <w:rFonts w:ascii="宋体" w:eastAsia="宋体" w:hAnsi="宋体" w:cs="Times New Roman"/>
                <w:b/>
                <w:sz w:val="24"/>
                <w:szCs w:val="24"/>
              </w:rPr>
            </w:pPr>
            <w:r w:rsidRPr="00106206">
              <w:rPr>
                <w:rFonts w:ascii="宋体" w:eastAsia="宋体" w:hAnsi="宋体" w:cs="Times New Roman" w:hint="eastAsia"/>
                <w:b/>
                <w:sz w:val="24"/>
                <w:szCs w:val="24"/>
              </w:rPr>
              <w:t>课堂表现</w:t>
            </w:r>
          </w:p>
        </w:tc>
        <w:tc>
          <w:tcPr>
            <w:tcW w:w="1559" w:type="dxa"/>
            <w:vAlign w:val="center"/>
          </w:tcPr>
          <w:p w14:paraId="796AF13A" w14:textId="77777777" w:rsidR="00106206" w:rsidRPr="00106206" w:rsidRDefault="00106206" w:rsidP="00106206">
            <w:pPr>
              <w:spacing w:line="440" w:lineRule="exact"/>
              <w:jc w:val="center"/>
              <w:rPr>
                <w:rFonts w:ascii="宋体" w:eastAsia="宋体" w:hAnsi="宋体" w:cs="Times New Roman"/>
                <w:b/>
                <w:sz w:val="24"/>
                <w:szCs w:val="24"/>
              </w:rPr>
            </w:pPr>
            <w:r w:rsidRPr="00106206">
              <w:rPr>
                <w:rFonts w:ascii="宋体" w:eastAsia="宋体" w:hAnsi="宋体" w:cs="Times New Roman" w:hint="eastAsia"/>
                <w:b/>
                <w:sz w:val="24"/>
                <w:szCs w:val="24"/>
              </w:rPr>
              <w:t>平时作业</w:t>
            </w:r>
          </w:p>
        </w:tc>
        <w:tc>
          <w:tcPr>
            <w:tcW w:w="1559" w:type="dxa"/>
            <w:vAlign w:val="center"/>
          </w:tcPr>
          <w:p w14:paraId="16B53AAE" w14:textId="77777777" w:rsidR="00106206" w:rsidRPr="00106206" w:rsidRDefault="00106206" w:rsidP="00106206">
            <w:pPr>
              <w:spacing w:line="440" w:lineRule="exact"/>
              <w:jc w:val="center"/>
              <w:rPr>
                <w:rFonts w:ascii="宋体" w:eastAsia="宋体" w:hAnsi="宋体" w:cs="Times New Roman"/>
                <w:b/>
                <w:sz w:val="24"/>
                <w:szCs w:val="24"/>
              </w:rPr>
            </w:pPr>
            <w:r w:rsidRPr="00106206">
              <w:rPr>
                <w:rFonts w:ascii="宋体" w:eastAsia="宋体" w:hAnsi="宋体" w:cs="Times New Roman" w:hint="eastAsia"/>
                <w:b/>
                <w:sz w:val="24"/>
                <w:szCs w:val="24"/>
              </w:rPr>
              <w:t>作品设计</w:t>
            </w:r>
          </w:p>
        </w:tc>
        <w:tc>
          <w:tcPr>
            <w:tcW w:w="1559" w:type="dxa"/>
          </w:tcPr>
          <w:p w14:paraId="4198DB62" w14:textId="77777777" w:rsidR="00106206" w:rsidRPr="00106206" w:rsidRDefault="00106206" w:rsidP="00106206">
            <w:pPr>
              <w:spacing w:line="440" w:lineRule="exact"/>
              <w:jc w:val="center"/>
              <w:rPr>
                <w:rFonts w:ascii="宋体" w:eastAsia="宋体" w:hAnsi="宋体" w:cs="Times New Roman"/>
                <w:b/>
                <w:sz w:val="24"/>
                <w:szCs w:val="24"/>
              </w:rPr>
            </w:pPr>
          </w:p>
        </w:tc>
      </w:tr>
      <w:tr w:rsidR="00106206" w:rsidRPr="00106206" w14:paraId="7C8C9526" w14:textId="77777777" w:rsidTr="00106206">
        <w:trPr>
          <w:jc w:val="center"/>
        </w:trPr>
        <w:tc>
          <w:tcPr>
            <w:tcW w:w="1422" w:type="dxa"/>
            <w:vAlign w:val="center"/>
          </w:tcPr>
          <w:p w14:paraId="4C078320"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课程目标1</w:t>
            </w:r>
          </w:p>
        </w:tc>
        <w:tc>
          <w:tcPr>
            <w:tcW w:w="1452" w:type="dxa"/>
            <w:vAlign w:val="center"/>
          </w:tcPr>
          <w:p w14:paraId="573E3E56"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5</w:t>
            </w:r>
          </w:p>
        </w:tc>
        <w:tc>
          <w:tcPr>
            <w:tcW w:w="1559" w:type="dxa"/>
            <w:vAlign w:val="center"/>
          </w:tcPr>
          <w:p w14:paraId="09EA4FAC"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15</w:t>
            </w:r>
          </w:p>
        </w:tc>
        <w:tc>
          <w:tcPr>
            <w:tcW w:w="1559" w:type="dxa"/>
            <w:vAlign w:val="center"/>
          </w:tcPr>
          <w:p w14:paraId="7CFF3892"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20</w:t>
            </w:r>
          </w:p>
        </w:tc>
        <w:tc>
          <w:tcPr>
            <w:tcW w:w="1559" w:type="dxa"/>
          </w:tcPr>
          <w:p w14:paraId="662A36FE"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4</w:t>
            </w:r>
            <w:r w:rsidRPr="00106206">
              <w:rPr>
                <w:rFonts w:ascii="宋体" w:eastAsia="宋体" w:hAnsi="宋体" w:cs="Times New Roman"/>
                <w:bCs/>
                <w:sz w:val="24"/>
                <w:szCs w:val="24"/>
              </w:rPr>
              <w:t>0</w:t>
            </w:r>
          </w:p>
        </w:tc>
      </w:tr>
      <w:tr w:rsidR="00106206" w:rsidRPr="00106206" w14:paraId="5BDC51BC" w14:textId="77777777" w:rsidTr="00106206">
        <w:trPr>
          <w:jc w:val="center"/>
        </w:trPr>
        <w:tc>
          <w:tcPr>
            <w:tcW w:w="1422" w:type="dxa"/>
            <w:vAlign w:val="center"/>
          </w:tcPr>
          <w:p w14:paraId="3842BBB5"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课程目标2</w:t>
            </w:r>
          </w:p>
        </w:tc>
        <w:tc>
          <w:tcPr>
            <w:tcW w:w="1452" w:type="dxa"/>
            <w:vAlign w:val="center"/>
          </w:tcPr>
          <w:p w14:paraId="7327CD9E"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5</w:t>
            </w:r>
          </w:p>
        </w:tc>
        <w:tc>
          <w:tcPr>
            <w:tcW w:w="1559" w:type="dxa"/>
            <w:vAlign w:val="center"/>
          </w:tcPr>
          <w:p w14:paraId="59080F72"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15</w:t>
            </w:r>
          </w:p>
        </w:tc>
        <w:tc>
          <w:tcPr>
            <w:tcW w:w="1559" w:type="dxa"/>
            <w:vAlign w:val="center"/>
          </w:tcPr>
          <w:p w14:paraId="25457BBB"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40</w:t>
            </w:r>
          </w:p>
        </w:tc>
        <w:tc>
          <w:tcPr>
            <w:tcW w:w="1559" w:type="dxa"/>
          </w:tcPr>
          <w:p w14:paraId="75A87D50"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6</w:t>
            </w:r>
            <w:r w:rsidRPr="00106206">
              <w:rPr>
                <w:rFonts w:ascii="宋体" w:eastAsia="宋体" w:hAnsi="宋体" w:cs="Times New Roman"/>
                <w:bCs/>
                <w:sz w:val="24"/>
                <w:szCs w:val="24"/>
              </w:rPr>
              <w:t>0</w:t>
            </w:r>
          </w:p>
        </w:tc>
      </w:tr>
      <w:tr w:rsidR="00106206" w:rsidRPr="00106206" w14:paraId="14F4DD7A" w14:textId="77777777" w:rsidTr="00106206">
        <w:trPr>
          <w:jc w:val="center"/>
        </w:trPr>
        <w:tc>
          <w:tcPr>
            <w:tcW w:w="1422" w:type="dxa"/>
            <w:vAlign w:val="center"/>
          </w:tcPr>
          <w:p w14:paraId="2E3873E3"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合计</w:t>
            </w:r>
          </w:p>
        </w:tc>
        <w:tc>
          <w:tcPr>
            <w:tcW w:w="1452" w:type="dxa"/>
            <w:vAlign w:val="center"/>
          </w:tcPr>
          <w:p w14:paraId="46C29618"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10</w:t>
            </w:r>
          </w:p>
        </w:tc>
        <w:tc>
          <w:tcPr>
            <w:tcW w:w="1559" w:type="dxa"/>
            <w:vAlign w:val="center"/>
          </w:tcPr>
          <w:p w14:paraId="3204ED43"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3</w:t>
            </w:r>
            <w:r w:rsidRPr="00106206">
              <w:rPr>
                <w:rFonts w:ascii="宋体" w:eastAsia="宋体" w:hAnsi="宋体" w:cs="Times New Roman"/>
                <w:bCs/>
                <w:sz w:val="24"/>
                <w:szCs w:val="24"/>
              </w:rPr>
              <w:t>0</w:t>
            </w:r>
          </w:p>
        </w:tc>
        <w:tc>
          <w:tcPr>
            <w:tcW w:w="1559" w:type="dxa"/>
            <w:vAlign w:val="center"/>
          </w:tcPr>
          <w:p w14:paraId="020EF551"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60</w:t>
            </w:r>
          </w:p>
        </w:tc>
        <w:tc>
          <w:tcPr>
            <w:tcW w:w="1559" w:type="dxa"/>
          </w:tcPr>
          <w:p w14:paraId="12E5CCF7" w14:textId="77777777" w:rsidR="00106206" w:rsidRPr="00106206" w:rsidRDefault="00106206" w:rsidP="00106206">
            <w:pPr>
              <w:spacing w:line="440" w:lineRule="exact"/>
              <w:jc w:val="center"/>
              <w:rPr>
                <w:rFonts w:ascii="宋体" w:eastAsia="宋体" w:hAnsi="宋体" w:cs="Times New Roman"/>
                <w:bCs/>
                <w:sz w:val="24"/>
                <w:szCs w:val="24"/>
              </w:rPr>
            </w:pPr>
            <w:r w:rsidRPr="00106206">
              <w:rPr>
                <w:rFonts w:ascii="宋体" w:eastAsia="宋体" w:hAnsi="宋体" w:cs="Times New Roman" w:hint="eastAsia"/>
                <w:bCs/>
                <w:sz w:val="24"/>
                <w:szCs w:val="24"/>
              </w:rPr>
              <w:t>1</w:t>
            </w:r>
            <w:r w:rsidRPr="00106206">
              <w:rPr>
                <w:rFonts w:ascii="宋体" w:eastAsia="宋体" w:hAnsi="宋体" w:cs="Times New Roman"/>
                <w:bCs/>
                <w:sz w:val="24"/>
                <w:szCs w:val="24"/>
              </w:rPr>
              <w:t>00</w:t>
            </w:r>
          </w:p>
        </w:tc>
      </w:tr>
    </w:tbl>
    <w:p w14:paraId="10E14F37" w14:textId="77777777" w:rsidR="00106206" w:rsidRPr="00106206" w:rsidRDefault="00106206" w:rsidP="00106206">
      <w:pPr>
        <w:spacing w:beforeLines="50" w:before="156" w:afterLines="50" w:after="156" w:line="440" w:lineRule="exact"/>
        <w:ind w:firstLineChars="200" w:firstLine="560"/>
        <w:rPr>
          <w:rFonts w:ascii="黑体" w:eastAsia="黑体" w:hAnsi="黑体" w:cs="Times New Roman"/>
          <w:sz w:val="28"/>
          <w:szCs w:val="28"/>
        </w:rPr>
      </w:pPr>
      <w:r w:rsidRPr="00106206">
        <w:rPr>
          <w:rFonts w:ascii="黑体" w:eastAsia="黑体" w:hAnsi="黑体" w:cs="Times New Roman" w:hint="eastAsia"/>
          <w:sz w:val="28"/>
          <w:szCs w:val="28"/>
        </w:rPr>
        <w:t>五、成绩评定</w:t>
      </w:r>
    </w:p>
    <w:p w14:paraId="2EA8A5CE" w14:textId="77777777" w:rsidR="00106206" w:rsidRPr="00106206" w:rsidRDefault="00106206" w:rsidP="00106206">
      <w:pPr>
        <w:spacing w:beforeLines="50" w:before="156" w:afterLines="50" w:after="156" w:line="440" w:lineRule="exact"/>
        <w:ind w:firstLineChars="200" w:firstLine="560"/>
        <w:rPr>
          <w:rFonts w:ascii="黑体" w:eastAsia="黑体" w:hAnsi="黑体" w:cs="Times New Roman"/>
          <w:sz w:val="28"/>
          <w:szCs w:val="28"/>
        </w:rPr>
      </w:pPr>
      <w:r w:rsidRPr="00106206">
        <w:rPr>
          <w:rFonts w:ascii="黑体" w:eastAsia="黑体" w:hAnsi="黑体" w:cs="Times New Roman" w:hint="eastAsia"/>
          <w:sz w:val="28"/>
          <w:szCs w:val="28"/>
        </w:rPr>
        <w:t>（一）总成绩评定</w:t>
      </w:r>
    </w:p>
    <w:p w14:paraId="16EDABDA" w14:textId="77777777" w:rsidR="00106206" w:rsidRPr="00106206" w:rsidRDefault="00106206" w:rsidP="00106206">
      <w:p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总成绩=平时成绩×40%+期末成绩×60%</w:t>
      </w:r>
    </w:p>
    <w:p w14:paraId="36E67FC5" w14:textId="77777777" w:rsidR="00106206" w:rsidRPr="00106206" w:rsidRDefault="00106206" w:rsidP="00106206">
      <w:pPr>
        <w:spacing w:beforeLines="50" w:before="156" w:afterLines="50" w:after="156" w:line="440" w:lineRule="exact"/>
        <w:ind w:firstLineChars="200" w:firstLine="560"/>
        <w:rPr>
          <w:rFonts w:ascii="宋体" w:eastAsia="宋体" w:hAnsi="宋体" w:cs="Times New Roman"/>
          <w:color w:val="FF0000"/>
          <w:sz w:val="24"/>
          <w:szCs w:val="24"/>
        </w:rPr>
      </w:pPr>
      <w:r w:rsidRPr="00106206">
        <w:rPr>
          <w:rFonts w:ascii="黑体" w:eastAsia="黑体" w:hAnsi="黑体" w:cs="Times New Roman" w:hint="eastAsia"/>
          <w:sz w:val="28"/>
          <w:szCs w:val="28"/>
        </w:rPr>
        <w:t>（二）平时成绩评定</w:t>
      </w:r>
    </w:p>
    <w:p w14:paraId="43C07D89" w14:textId="77777777" w:rsidR="00106206" w:rsidRPr="00106206" w:rsidRDefault="00106206" w:rsidP="00106206">
      <w:pPr>
        <w:spacing w:beforeLines="50" w:before="156" w:afterLines="50" w:after="156" w:line="360" w:lineRule="auto"/>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平时成绩（100%）=课堂表现（40%）+作业完成（60%）</w:t>
      </w:r>
    </w:p>
    <w:p w14:paraId="4A9CC9DC" w14:textId="77777777" w:rsidR="00106206" w:rsidRPr="00106206" w:rsidRDefault="00106206" w:rsidP="00106206">
      <w:pPr>
        <w:spacing w:beforeLines="50" w:before="156" w:afterLines="50" w:after="156" w:line="360" w:lineRule="auto"/>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建议考核方式:</w:t>
      </w:r>
    </w:p>
    <w:p w14:paraId="7BF8D5A2" w14:textId="77777777" w:rsidR="00106206" w:rsidRPr="00106206" w:rsidRDefault="00106206" w:rsidP="00106206">
      <w:pPr>
        <w:spacing w:beforeLines="50" w:before="156" w:afterLines="50" w:after="156" w:line="360" w:lineRule="auto"/>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（1）课堂表现：通过学生在课堂上的表现情况、课上参与程度进行记分。</w:t>
      </w:r>
    </w:p>
    <w:p w14:paraId="1428AA74" w14:textId="77777777" w:rsidR="00106206" w:rsidRPr="00106206" w:rsidRDefault="00106206" w:rsidP="00106206">
      <w:pPr>
        <w:spacing w:beforeLines="50" w:before="156" w:afterLines="50" w:after="156" w:line="360" w:lineRule="auto"/>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2）作业完成：围绕课程的学习目标进行作业的设计。如让学生简述对相关知识的认识，考核学生对于概念的理解情况，帮助学生将定义转化为自己的理解。3次作业，每次作业以10分记，根据完成情况进行打分。</w:t>
      </w:r>
    </w:p>
    <w:p w14:paraId="771FEEB1" w14:textId="77777777" w:rsidR="00106206" w:rsidRPr="00106206" w:rsidRDefault="00106206" w:rsidP="00106206">
      <w:pPr>
        <w:spacing w:beforeLines="50" w:before="156" w:afterLines="50" w:after="156" w:line="440" w:lineRule="exact"/>
        <w:ind w:firstLineChars="200" w:firstLine="560"/>
        <w:rPr>
          <w:rFonts w:ascii="黑体" w:eastAsia="黑体" w:hAnsi="黑体" w:cs="Times New Roman"/>
          <w:sz w:val="28"/>
          <w:szCs w:val="28"/>
        </w:rPr>
      </w:pPr>
      <w:r w:rsidRPr="00106206">
        <w:rPr>
          <w:rFonts w:ascii="黑体" w:eastAsia="黑体" w:hAnsi="黑体" w:cs="Times New Roman" w:hint="eastAsia"/>
          <w:sz w:val="28"/>
          <w:szCs w:val="28"/>
        </w:rPr>
        <w:t>（三）期末成绩评定</w:t>
      </w:r>
    </w:p>
    <w:p w14:paraId="1F14F23E" w14:textId="77777777" w:rsidR="00106206" w:rsidRPr="00106206" w:rsidRDefault="00106206" w:rsidP="00106206">
      <w:pPr>
        <w:spacing w:beforeLines="50" w:before="156" w:afterLines="50" w:after="156"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期末考核主要考察学生对相关知识的理解，操作程序和具体方法的理解与运用等。方式为作品设计，要求学生掌握相关知识，独立完成相关作品的设计。要求内容完整，条理清晰，有特定意义，根据作品情况进行打分。</w:t>
      </w:r>
    </w:p>
    <w:p w14:paraId="019DE468" w14:textId="77777777" w:rsidR="00106206" w:rsidRPr="00106206" w:rsidRDefault="00106206" w:rsidP="00106206">
      <w:pPr>
        <w:spacing w:beforeLines="50" w:before="156" w:afterLines="50" w:after="156" w:line="440" w:lineRule="exact"/>
        <w:ind w:firstLineChars="200" w:firstLine="560"/>
        <w:rPr>
          <w:rFonts w:ascii="宋体" w:eastAsia="宋体" w:hAnsi="宋体" w:cs="Times New Roman"/>
          <w:sz w:val="24"/>
          <w:szCs w:val="24"/>
        </w:rPr>
      </w:pPr>
      <w:r w:rsidRPr="00106206">
        <w:rPr>
          <w:rFonts w:ascii="黑体" w:eastAsia="黑体" w:hAnsi="黑体" w:cs="Times New Roman" w:hint="eastAsia"/>
          <w:sz w:val="28"/>
          <w:szCs w:val="28"/>
        </w:rPr>
        <w:t>六、使用教材、相关推荐书目及课程资源</w:t>
      </w:r>
    </w:p>
    <w:p w14:paraId="21501FE2" w14:textId="77777777" w:rsidR="00106206" w:rsidRPr="00106206" w:rsidRDefault="00106206" w:rsidP="00106206">
      <w:pPr>
        <w:spacing w:line="440" w:lineRule="exact"/>
        <w:ind w:firstLineChars="200" w:firstLine="560"/>
        <w:rPr>
          <w:rFonts w:ascii="宋体" w:eastAsia="宋体" w:hAnsi="宋体" w:cs="Times New Roman"/>
          <w:sz w:val="24"/>
          <w:szCs w:val="24"/>
        </w:rPr>
      </w:pPr>
      <w:r w:rsidRPr="00106206">
        <w:rPr>
          <w:rFonts w:ascii="黑体" w:eastAsia="黑体" w:hAnsi="黑体" w:cs="Times New Roman" w:hint="eastAsia"/>
          <w:sz w:val="28"/>
          <w:szCs w:val="28"/>
        </w:rPr>
        <w:t>（一）使用教材</w:t>
      </w:r>
    </w:p>
    <w:p w14:paraId="19E3DA20" w14:textId="77777777" w:rsidR="00106206" w:rsidRPr="00106206" w:rsidRDefault="00106206" w:rsidP="00106206">
      <w:p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刘兰菇主编：《医药知识产权理论与实践》，人民卫生出版社出版，2007年版；</w:t>
      </w:r>
    </w:p>
    <w:p w14:paraId="5533C55E" w14:textId="77777777" w:rsidR="00106206" w:rsidRPr="00106206" w:rsidRDefault="00106206" w:rsidP="00106206">
      <w:pPr>
        <w:spacing w:line="440" w:lineRule="exact"/>
        <w:ind w:firstLineChars="200" w:firstLine="560"/>
        <w:rPr>
          <w:rFonts w:ascii="宋体" w:eastAsia="宋体" w:hAnsi="宋体" w:cs="Times New Roman"/>
          <w:sz w:val="24"/>
          <w:szCs w:val="24"/>
        </w:rPr>
      </w:pPr>
      <w:r w:rsidRPr="00106206">
        <w:rPr>
          <w:rFonts w:ascii="黑体" w:eastAsia="黑体" w:hAnsi="黑体" w:cs="Times New Roman" w:hint="eastAsia"/>
          <w:sz w:val="28"/>
          <w:szCs w:val="28"/>
        </w:rPr>
        <w:t>（二）相关推荐书目</w:t>
      </w:r>
    </w:p>
    <w:p w14:paraId="3E279123" w14:textId="77777777" w:rsidR="00106206" w:rsidRPr="00106206" w:rsidRDefault="00106206" w:rsidP="00106206">
      <w:p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1. 么厉主编：《中药知识产权保护》，中国医药科技出版社，2002 年版；</w:t>
      </w:r>
    </w:p>
    <w:p w14:paraId="0EF7AFC1" w14:textId="77777777" w:rsidR="00106206" w:rsidRPr="00106206" w:rsidRDefault="00106206" w:rsidP="00106206">
      <w:p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2. 尹新天主编：《中国专利法详解》，知识产权出版社，2012 年版；</w:t>
      </w:r>
    </w:p>
    <w:p w14:paraId="4F1E2FE4" w14:textId="77777777" w:rsidR="00106206" w:rsidRPr="00106206" w:rsidRDefault="00106206" w:rsidP="00106206">
      <w:p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t>3. 《医药知识产权》，</w:t>
      </w:r>
      <w:proofErr w:type="gramStart"/>
      <w:r w:rsidRPr="00106206">
        <w:rPr>
          <w:rFonts w:ascii="宋体" w:eastAsia="宋体" w:hAnsi="宋体" w:cs="Times New Roman" w:hint="eastAsia"/>
          <w:sz w:val="24"/>
          <w:szCs w:val="24"/>
        </w:rPr>
        <w:t>胡修周</w:t>
      </w:r>
      <w:proofErr w:type="gramEnd"/>
      <w:r w:rsidRPr="00106206">
        <w:rPr>
          <w:rFonts w:ascii="宋体" w:eastAsia="宋体" w:hAnsi="宋体" w:cs="Times New Roman" w:hint="eastAsia"/>
          <w:sz w:val="24"/>
          <w:szCs w:val="24"/>
        </w:rPr>
        <w:t>等编，高等教育出版社，2006年。</w:t>
      </w:r>
    </w:p>
    <w:p w14:paraId="5420212F" w14:textId="77777777" w:rsidR="00106206" w:rsidRPr="00106206" w:rsidRDefault="00106206" w:rsidP="00106206">
      <w:pPr>
        <w:spacing w:beforeLines="50" w:before="156" w:afterLines="50" w:after="156" w:line="440" w:lineRule="exact"/>
        <w:ind w:firstLineChars="200" w:firstLine="560"/>
        <w:rPr>
          <w:rFonts w:ascii="黑体" w:eastAsia="黑体" w:hAnsi="黑体" w:cs="Times New Roman"/>
          <w:sz w:val="28"/>
          <w:szCs w:val="28"/>
        </w:rPr>
      </w:pPr>
      <w:r w:rsidRPr="00106206">
        <w:rPr>
          <w:rFonts w:ascii="黑体" w:eastAsia="黑体" w:hAnsi="黑体" w:cs="Times New Roman" w:hint="eastAsia"/>
          <w:sz w:val="28"/>
          <w:szCs w:val="28"/>
        </w:rPr>
        <w:t>七、课程教学大纲制定依据</w:t>
      </w:r>
    </w:p>
    <w:p w14:paraId="6FA5DC5E" w14:textId="77777777" w:rsidR="00106206" w:rsidRPr="00106206" w:rsidRDefault="00106206" w:rsidP="00106206">
      <w:pPr>
        <w:spacing w:line="440" w:lineRule="exact"/>
        <w:ind w:firstLineChars="200" w:firstLine="480"/>
        <w:rPr>
          <w:rFonts w:ascii="宋体" w:eastAsia="宋体" w:hAnsi="宋体" w:cs="Times New Roman"/>
          <w:sz w:val="24"/>
          <w:szCs w:val="24"/>
        </w:rPr>
      </w:pPr>
      <w:r w:rsidRPr="00106206">
        <w:rPr>
          <w:rFonts w:ascii="宋体" w:eastAsia="宋体" w:hAnsi="宋体" w:cs="Times New Roman" w:hint="eastAsia"/>
          <w:sz w:val="24"/>
          <w:szCs w:val="24"/>
        </w:rPr>
        <w:lastRenderedPageBreak/>
        <w:t>本课程教学大纲依据2023年药物分析专业人才培养方案制定。</w:t>
      </w:r>
    </w:p>
    <w:p w14:paraId="4903E940" w14:textId="77777777" w:rsidR="00106206" w:rsidRPr="00106206" w:rsidRDefault="00106206" w:rsidP="00106206">
      <w:pPr>
        <w:spacing w:line="440" w:lineRule="exact"/>
        <w:ind w:firstLineChars="200" w:firstLine="480"/>
        <w:rPr>
          <w:rFonts w:ascii="宋体" w:eastAsia="宋体" w:hAnsi="宋体" w:cs="Times New Roman"/>
          <w:sz w:val="24"/>
          <w:szCs w:val="24"/>
        </w:rPr>
      </w:pPr>
    </w:p>
    <w:p w14:paraId="0B79E566" w14:textId="77777777" w:rsidR="00895319" w:rsidRDefault="00895319">
      <w:pPr>
        <w:widowControl/>
        <w:jc w:val="left"/>
        <w:rPr>
          <w:rFonts w:ascii="Calibri" w:eastAsia="宋体" w:hAnsi="Calibri" w:cs="Times New Roman"/>
          <w:bCs/>
        </w:rPr>
      </w:pPr>
      <w:bookmarkStart w:id="277" w:name="_Toc54942288"/>
      <w:bookmarkStart w:id="278" w:name="_Toc149662379"/>
      <w:r>
        <w:rPr>
          <w:rFonts w:ascii="Calibri" w:hAnsi="Calibri" w:cs="Times New Roman"/>
          <w:b/>
          <w:bCs/>
        </w:rPr>
        <w:br w:type="page"/>
      </w:r>
    </w:p>
    <w:p w14:paraId="27217EDC" w14:textId="18B5A4A4" w:rsidR="009F0D9F" w:rsidRPr="009F0D9F" w:rsidRDefault="009F0D9F" w:rsidP="009F0D9F">
      <w:pPr>
        <w:pStyle w:val="1"/>
      </w:pPr>
      <w:r w:rsidRPr="009F0D9F">
        <w:rPr>
          <w:rFonts w:hint="eastAsia"/>
        </w:rPr>
        <w:lastRenderedPageBreak/>
        <w:t>《生物制药技术》课程大纲</w:t>
      </w:r>
      <w:bookmarkEnd w:id="277"/>
      <w:bookmarkEnd w:id="278"/>
    </w:p>
    <w:p w14:paraId="4B0C80AF" w14:textId="77777777" w:rsidR="009F0D9F" w:rsidRPr="009F0D9F" w:rsidRDefault="009F0D9F" w:rsidP="009F0D9F">
      <w:pPr>
        <w:spacing w:line="360" w:lineRule="auto"/>
        <w:ind w:firstLineChars="200" w:firstLine="560"/>
        <w:rPr>
          <w:rFonts w:ascii="黑体" w:eastAsia="黑体" w:hAnsi="黑体" w:cs="Times New Roman"/>
          <w:color w:val="000000"/>
          <w:sz w:val="28"/>
          <w:szCs w:val="28"/>
        </w:rPr>
      </w:pPr>
      <w:r w:rsidRPr="009F0D9F">
        <w:rPr>
          <w:rFonts w:ascii="黑体" w:eastAsia="黑体" w:hAnsi="黑体" w:cs="Times New Roman" w:hint="eastAsia"/>
          <w:color w:val="000000"/>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4"/>
        <w:gridCol w:w="2766"/>
        <w:gridCol w:w="1532"/>
        <w:gridCol w:w="2865"/>
      </w:tblGrid>
      <w:tr w:rsidR="009F0D9F" w:rsidRPr="009F0D9F" w14:paraId="25F9295A" w14:textId="77777777" w:rsidTr="00B602D6">
        <w:trPr>
          <w:trHeight w:val="886"/>
          <w:jc w:val="center"/>
        </w:trPr>
        <w:tc>
          <w:tcPr>
            <w:tcW w:w="1668" w:type="dxa"/>
            <w:shd w:val="clear" w:color="auto" w:fill="auto"/>
            <w:vAlign w:val="center"/>
          </w:tcPr>
          <w:p w14:paraId="39B18D58" w14:textId="77777777" w:rsidR="009F0D9F" w:rsidRPr="009F0D9F" w:rsidRDefault="009F0D9F" w:rsidP="009F0D9F">
            <w:pPr>
              <w:spacing w:line="360" w:lineRule="auto"/>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课程名称</w:t>
            </w:r>
          </w:p>
        </w:tc>
        <w:tc>
          <w:tcPr>
            <w:tcW w:w="2833" w:type="dxa"/>
            <w:shd w:val="clear" w:color="auto" w:fill="auto"/>
            <w:vAlign w:val="center"/>
          </w:tcPr>
          <w:p w14:paraId="6B8845A7" w14:textId="77777777" w:rsidR="009F0D9F" w:rsidRPr="009F0D9F" w:rsidRDefault="009F0D9F" w:rsidP="009F0D9F">
            <w:pPr>
              <w:spacing w:line="360" w:lineRule="auto"/>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生物制药技术</w:t>
            </w:r>
          </w:p>
        </w:tc>
        <w:tc>
          <w:tcPr>
            <w:tcW w:w="1561" w:type="dxa"/>
            <w:shd w:val="clear" w:color="auto" w:fill="auto"/>
            <w:vAlign w:val="center"/>
          </w:tcPr>
          <w:p w14:paraId="65E50BF4" w14:textId="77777777" w:rsidR="009F0D9F" w:rsidRPr="009F0D9F" w:rsidRDefault="009F0D9F" w:rsidP="009F0D9F">
            <w:pPr>
              <w:spacing w:line="360" w:lineRule="auto"/>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课程代码</w:t>
            </w:r>
          </w:p>
        </w:tc>
        <w:tc>
          <w:tcPr>
            <w:tcW w:w="2941" w:type="dxa"/>
            <w:shd w:val="clear" w:color="auto" w:fill="auto"/>
            <w:vAlign w:val="center"/>
          </w:tcPr>
          <w:p w14:paraId="1F088C40" w14:textId="77777777" w:rsidR="009F0D9F" w:rsidRPr="009F0D9F" w:rsidRDefault="009F0D9F" w:rsidP="009F0D9F">
            <w:pPr>
              <w:spacing w:line="360" w:lineRule="auto"/>
              <w:jc w:val="center"/>
              <w:rPr>
                <w:rFonts w:ascii="宋体" w:eastAsia="宋体" w:hAnsi="宋体" w:cs="Times New Roman"/>
                <w:color w:val="000000"/>
                <w:sz w:val="24"/>
                <w:szCs w:val="24"/>
              </w:rPr>
            </w:pPr>
          </w:p>
        </w:tc>
      </w:tr>
      <w:tr w:rsidR="009F0D9F" w:rsidRPr="009F0D9F" w14:paraId="7B1735E3" w14:textId="77777777" w:rsidTr="00B602D6">
        <w:trPr>
          <w:trHeight w:val="829"/>
          <w:jc w:val="center"/>
        </w:trPr>
        <w:tc>
          <w:tcPr>
            <w:tcW w:w="1668" w:type="dxa"/>
            <w:shd w:val="clear" w:color="auto" w:fill="auto"/>
            <w:vAlign w:val="center"/>
          </w:tcPr>
          <w:p w14:paraId="62B41AB7" w14:textId="77777777" w:rsidR="009F0D9F" w:rsidRPr="009F0D9F" w:rsidRDefault="009F0D9F" w:rsidP="009F0D9F">
            <w:pPr>
              <w:spacing w:line="360" w:lineRule="auto"/>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课程类别</w:t>
            </w:r>
          </w:p>
        </w:tc>
        <w:tc>
          <w:tcPr>
            <w:tcW w:w="2833" w:type="dxa"/>
            <w:shd w:val="clear" w:color="auto" w:fill="auto"/>
            <w:vAlign w:val="center"/>
          </w:tcPr>
          <w:p w14:paraId="3271C116" w14:textId="77777777" w:rsidR="009F0D9F" w:rsidRPr="009F0D9F" w:rsidRDefault="009F0D9F" w:rsidP="009F0D9F">
            <w:pPr>
              <w:spacing w:line="360" w:lineRule="auto"/>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专业选修课程</w:t>
            </w:r>
          </w:p>
        </w:tc>
        <w:tc>
          <w:tcPr>
            <w:tcW w:w="1561" w:type="dxa"/>
            <w:shd w:val="clear" w:color="auto" w:fill="auto"/>
            <w:vAlign w:val="center"/>
          </w:tcPr>
          <w:p w14:paraId="51094454" w14:textId="77777777" w:rsidR="009F0D9F" w:rsidRPr="009F0D9F" w:rsidRDefault="009F0D9F" w:rsidP="009F0D9F">
            <w:pPr>
              <w:spacing w:line="360" w:lineRule="auto"/>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学时</w:t>
            </w:r>
          </w:p>
          <w:p w14:paraId="6B8F3476" w14:textId="77777777" w:rsidR="009F0D9F" w:rsidRPr="009F0D9F" w:rsidRDefault="009F0D9F" w:rsidP="009F0D9F">
            <w:pPr>
              <w:spacing w:line="360" w:lineRule="auto"/>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/学分</w:t>
            </w:r>
          </w:p>
        </w:tc>
        <w:tc>
          <w:tcPr>
            <w:tcW w:w="2941" w:type="dxa"/>
            <w:shd w:val="clear" w:color="auto" w:fill="auto"/>
            <w:vAlign w:val="center"/>
          </w:tcPr>
          <w:p w14:paraId="6FDC8CEC" w14:textId="77777777" w:rsidR="009F0D9F" w:rsidRPr="009F0D9F" w:rsidRDefault="009F0D9F" w:rsidP="009F0D9F">
            <w:pPr>
              <w:spacing w:line="360" w:lineRule="auto"/>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32/2</w:t>
            </w:r>
          </w:p>
        </w:tc>
      </w:tr>
      <w:tr w:rsidR="009F0D9F" w:rsidRPr="009F0D9F" w14:paraId="75E3E2D0" w14:textId="77777777" w:rsidTr="00B602D6">
        <w:trPr>
          <w:trHeight w:val="811"/>
          <w:jc w:val="center"/>
        </w:trPr>
        <w:tc>
          <w:tcPr>
            <w:tcW w:w="1668" w:type="dxa"/>
            <w:shd w:val="clear" w:color="auto" w:fill="auto"/>
            <w:vAlign w:val="center"/>
          </w:tcPr>
          <w:p w14:paraId="447B44EB" w14:textId="77777777" w:rsidR="009F0D9F" w:rsidRPr="009F0D9F" w:rsidRDefault="009F0D9F" w:rsidP="009F0D9F">
            <w:pPr>
              <w:spacing w:line="360" w:lineRule="auto"/>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开课单位</w:t>
            </w:r>
          </w:p>
        </w:tc>
        <w:tc>
          <w:tcPr>
            <w:tcW w:w="2833" w:type="dxa"/>
            <w:shd w:val="clear" w:color="auto" w:fill="auto"/>
            <w:vAlign w:val="center"/>
          </w:tcPr>
          <w:p w14:paraId="480FC429" w14:textId="77777777" w:rsidR="009F0D9F" w:rsidRPr="009F0D9F" w:rsidRDefault="009F0D9F" w:rsidP="009F0D9F">
            <w:pPr>
              <w:spacing w:line="360" w:lineRule="auto"/>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化工学院</w:t>
            </w:r>
          </w:p>
        </w:tc>
        <w:tc>
          <w:tcPr>
            <w:tcW w:w="1561" w:type="dxa"/>
            <w:shd w:val="clear" w:color="auto" w:fill="auto"/>
            <w:vAlign w:val="center"/>
          </w:tcPr>
          <w:p w14:paraId="1FE53C1A" w14:textId="77777777" w:rsidR="009F0D9F" w:rsidRPr="009F0D9F" w:rsidRDefault="009F0D9F" w:rsidP="009F0D9F">
            <w:pPr>
              <w:spacing w:line="360" w:lineRule="auto"/>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适用专业</w:t>
            </w:r>
          </w:p>
        </w:tc>
        <w:tc>
          <w:tcPr>
            <w:tcW w:w="2941" w:type="dxa"/>
            <w:shd w:val="clear" w:color="auto" w:fill="auto"/>
            <w:vAlign w:val="center"/>
          </w:tcPr>
          <w:p w14:paraId="383F77CE" w14:textId="77777777" w:rsidR="009F0D9F" w:rsidRPr="009F0D9F" w:rsidRDefault="009F0D9F" w:rsidP="009F0D9F">
            <w:pPr>
              <w:spacing w:line="360" w:lineRule="auto"/>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药物分析</w:t>
            </w:r>
          </w:p>
        </w:tc>
      </w:tr>
      <w:tr w:rsidR="009F0D9F" w:rsidRPr="009F0D9F" w14:paraId="4787883A" w14:textId="77777777" w:rsidTr="00B602D6">
        <w:trPr>
          <w:trHeight w:val="811"/>
          <w:jc w:val="center"/>
        </w:trPr>
        <w:tc>
          <w:tcPr>
            <w:tcW w:w="1668" w:type="dxa"/>
            <w:shd w:val="clear" w:color="auto" w:fill="auto"/>
            <w:vAlign w:val="center"/>
          </w:tcPr>
          <w:p w14:paraId="4281429E" w14:textId="77777777" w:rsidR="009F0D9F" w:rsidRPr="009F0D9F" w:rsidRDefault="009F0D9F" w:rsidP="009F0D9F">
            <w:pPr>
              <w:spacing w:line="360" w:lineRule="auto"/>
              <w:jc w:val="center"/>
              <w:rPr>
                <w:rFonts w:ascii="宋体" w:eastAsia="宋体" w:hAnsi="宋体" w:cs="Times New Roman"/>
                <w:color w:val="000000"/>
                <w:sz w:val="24"/>
              </w:rPr>
            </w:pPr>
            <w:r w:rsidRPr="009F0D9F">
              <w:rPr>
                <w:rFonts w:ascii="宋体" w:eastAsia="宋体" w:hAnsi="宋体" w:cs="Times New Roman" w:hint="eastAsia"/>
                <w:color w:val="000000"/>
                <w:sz w:val="24"/>
              </w:rPr>
              <w:t>课程负责人</w:t>
            </w:r>
          </w:p>
        </w:tc>
        <w:tc>
          <w:tcPr>
            <w:tcW w:w="7335" w:type="dxa"/>
            <w:gridSpan w:val="3"/>
            <w:shd w:val="clear" w:color="auto" w:fill="auto"/>
            <w:vAlign w:val="center"/>
          </w:tcPr>
          <w:p w14:paraId="73E58761" w14:textId="77777777" w:rsidR="009F0D9F" w:rsidRPr="009F0D9F" w:rsidRDefault="009F0D9F" w:rsidP="009F0D9F">
            <w:pPr>
              <w:spacing w:line="360" w:lineRule="auto"/>
              <w:jc w:val="center"/>
              <w:rPr>
                <w:rFonts w:ascii="宋体" w:eastAsia="宋体" w:hAnsi="宋体" w:cs="Times New Roman"/>
                <w:color w:val="000000"/>
                <w:sz w:val="24"/>
              </w:rPr>
            </w:pPr>
            <w:r w:rsidRPr="009F0D9F">
              <w:rPr>
                <w:rFonts w:ascii="宋体" w:eastAsia="宋体" w:hAnsi="宋体" w:cs="Times New Roman" w:hint="eastAsia"/>
                <w:color w:val="000000"/>
                <w:sz w:val="24"/>
              </w:rPr>
              <w:t>姚清国</w:t>
            </w:r>
          </w:p>
        </w:tc>
      </w:tr>
      <w:tr w:rsidR="009F0D9F" w:rsidRPr="009F0D9F" w14:paraId="2394C3DF" w14:textId="77777777" w:rsidTr="00B602D6">
        <w:trPr>
          <w:trHeight w:val="836"/>
          <w:jc w:val="center"/>
        </w:trPr>
        <w:tc>
          <w:tcPr>
            <w:tcW w:w="1668" w:type="dxa"/>
            <w:shd w:val="clear" w:color="auto" w:fill="auto"/>
            <w:vAlign w:val="center"/>
          </w:tcPr>
          <w:p w14:paraId="3581F9CE" w14:textId="77777777" w:rsidR="009F0D9F" w:rsidRPr="009F0D9F" w:rsidRDefault="009F0D9F" w:rsidP="009F0D9F">
            <w:pPr>
              <w:spacing w:line="360" w:lineRule="auto"/>
              <w:jc w:val="center"/>
              <w:rPr>
                <w:rFonts w:ascii="宋体" w:eastAsia="宋体" w:hAnsi="宋体" w:cs="Times New Roman"/>
                <w:color w:val="000000"/>
                <w:sz w:val="24"/>
              </w:rPr>
            </w:pPr>
            <w:r w:rsidRPr="009F0D9F">
              <w:rPr>
                <w:rFonts w:ascii="宋体" w:eastAsia="宋体" w:hAnsi="宋体" w:cs="Times New Roman" w:hint="eastAsia"/>
                <w:color w:val="000000"/>
                <w:sz w:val="24"/>
              </w:rPr>
              <w:t>大纲撰写人</w:t>
            </w:r>
          </w:p>
        </w:tc>
        <w:tc>
          <w:tcPr>
            <w:tcW w:w="2833" w:type="dxa"/>
            <w:shd w:val="clear" w:color="auto" w:fill="auto"/>
            <w:vAlign w:val="center"/>
          </w:tcPr>
          <w:p w14:paraId="56591A6B" w14:textId="77777777" w:rsidR="009F0D9F" w:rsidRPr="009F0D9F" w:rsidRDefault="009F0D9F" w:rsidP="009F0D9F">
            <w:pPr>
              <w:spacing w:line="360" w:lineRule="auto"/>
              <w:jc w:val="center"/>
              <w:rPr>
                <w:rFonts w:ascii="宋体" w:eastAsia="宋体" w:hAnsi="宋体" w:cs="Times New Roman"/>
                <w:color w:val="000000"/>
                <w:sz w:val="24"/>
              </w:rPr>
            </w:pPr>
            <w:r w:rsidRPr="009F0D9F">
              <w:rPr>
                <w:rFonts w:ascii="宋体" w:eastAsia="宋体" w:hAnsi="宋体" w:cs="Times New Roman" w:hint="eastAsia"/>
                <w:color w:val="000000"/>
                <w:sz w:val="24"/>
              </w:rPr>
              <w:t>姚清国</w:t>
            </w:r>
          </w:p>
        </w:tc>
        <w:tc>
          <w:tcPr>
            <w:tcW w:w="1561" w:type="dxa"/>
            <w:shd w:val="clear" w:color="auto" w:fill="auto"/>
            <w:vAlign w:val="center"/>
          </w:tcPr>
          <w:p w14:paraId="335758C2" w14:textId="77777777" w:rsidR="009F0D9F" w:rsidRPr="009F0D9F" w:rsidRDefault="009F0D9F" w:rsidP="009F0D9F">
            <w:pPr>
              <w:spacing w:line="360" w:lineRule="auto"/>
              <w:jc w:val="center"/>
              <w:rPr>
                <w:rFonts w:ascii="宋体" w:eastAsia="宋体" w:hAnsi="宋体" w:cs="Times New Roman"/>
                <w:color w:val="000000"/>
                <w:sz w:val="24"/>
              </w:rPr>
            </w:pPr>
            <w:r w:rsidRPr="009F0D9F">
              <w:rPr>
                <w:rFonts w:ascii="宋体" w:eastAsia="宋体" w:hAnsi="宋体" w:cs="Times New Roman" w:hint="eastAsia"/>
                <w:color w:val="000000"/>
                <w:sz w:val="24"/>
              </w:rPr>
              <w:t>大纲审核人</w:t>
            </w:r>
          </w:p>
        </w:tc>
        <w:tc>
          <w:tcPr>
            <w:tcW w:w="2941" w:type="dxa"/>
            <w:shd w:val="clear" w:color="auto" w:fill="auto"/>
            <w:vAlign w:val="center"/>
          </w:tcPr>
          <w:p w14:paraId="38F4D4CE" w14:textId="77777777" w:rsidR="009F0D9F" w:rsidRPr="009F0D9F" w:rsidRDefault="009F0D9F" w:rsidP="009F0D9F">
            <w:pPr>
              <w:spacing w:line="360" w:lineRule="auto"/>
              <w:jc w:val="center"/>
              <w:rPr>
                <w:rFonts w:ascii="宋体" w:eastAsia="宋体" w:hAnsi="宋体" w:cs="Times New Roman"/>
                <w:color w:val="000000"/>
                <w:sz w:val="24"/>
              </w:rPr>
            </w:pPr>
            <w:proofErr w:type="gramStart"/>
            <w:r w:rsidRPr="009F0D9F">
              <w:rPr>
                <w:rFonts w:ascii="宋体" w:eastAsia="宋体" w:hAnsi="宋体" w:cs="Times New Roman" w:hint="eastAsia"/>
                <w:color w:val="000000"/>
                <w:sz w:val="24"/>
              </w:rPr>
              <w:t>冯</w:t>
            </w:r>
            <w:proofErr w:type="gramEnd"/>
            <w:r w:rsidRPr="009F0D9F">
              <w:rPr>
                <w:rFonts w:ascii="宋体" w:eastAsia="宋体" w:hAnsi="宋体" w:cs="Times New Roman" w:hint="eastAsia"/>
                <w:color w:val="000000"/>
                <w:sz w:val="24"/>
              </w:rPr>
              <w:t>小龙</w:t>
            </w:r>
          </w:p>
        </w:tc>
      </w:tr>
      <w:tr w:rsidR="009F0D9F" w:rsidRPr="009F0D9F" w14:paraId="16B12673" w14:textId="77777777" w:rsidTr="00B602D6">
        <w:trPr>
          <w:trHeight w:val="848"/>
          <w:jc w:val="center"/>
        </w:trPr>
        <w:tc>
          <w:tcPr>
            <w:tcW w:w="1668" w:type="dxa"/>
            <w:shd w:val="clear" w:color="auto" w:fill="auto"/>
            <w:vAlign w:val="center"/>
          </w:tcPr>
          <w:p w14:paraId="1D2AFE1B" w14:textId="77777777" w:rsidR="009F0D9F" w:rsidRPr="009F0D9F" w:rsidRDefault="009F0D9F" w:rsidP="009F0D9F">
            <w:pPr>
              <w:spacing w:line="360" w:lineRule="auto"/>
              <w:jc w:val="center"/>
              <w:rPr>
                <w:rFonts w:ascii="宋体" w:eastAsia="宋体" w:hAnsi="宋体" w:cs="Times New Roman"/>
                <w:color w:val="000000"/>
                <w:sz w:val="24"/>
              </w:rPr>
            </w:pPr>
            <w:r w:rsidRPr="009F0D9F">
              <w:rPr>
                <w:rFonts w:ascii="宋体" w:eastAsia="宋体" w:hAnsi="宋体" w:cs="Times New Roman" w:hint="eastAsia"/>
                <w:color w:val="000000"/>
                <w:sz w:val="24"/>
              </w:rPr>
              <w:t>先修课程</w:t>
            </w:r>
          </w:p>
        </w:tc>
        <w:tc>
          <w:tcPr>
            <w:tcW w:w="7335" w:type="dxa"/>
            <w:gridSpan w:val="3"/>
            <w:shd w:val="clear" w:color="auto" w:fill="auto"/>
            <w:vAlign w:val="center"/>
          </w:tcPr>
          <w:p w14:paraId="15631F36" w14:textId="77777777" w:rsidR="009F0D9F" w:rsidRPr="009F0D9F" w:rsidRDefault="009F0D9F" w:rsidP="009F0D9F">
            <w:pPr>
              <w:spacing w:line="360" w:lineRule="auto"/>
              <w:jc w:val="center"/>
              <w:rPr>
                <w:rFonts w:ascii="宋体" w:eastAsia="宋体" w:hAnsi="宋体" w:cs="Times New Roman"/>
                <w:color w:val="000000"/>
                <w:sz w:val="24"/>
              </w:rPr>
            </w:pPr>
            <w:r w:rsidRPr="009F0D9F">
              <w:rPr>
                <w:rFonts w:ascii="宋体" w:eastAsia="宋体" w:hAnsi="宋体" w:cs="Times New Roman" w:hint="eastAsia"/>
                <w:color w:val="000000"/>
                <w:sz w:val="24"/>
              </w:rPr>
              <w:t>生物化学与分子生物学、微生物学</w:t>
            </w:r>
          </w:p>
        </w:tc>
      </w:tr>
      <w:tr w:rsidR="009F0D9F" w:rsidRPr="009F0D9F" w14:paraId="084F13F9" w14:textId="77777777" w:rsidTr="00B602D6">
        <w:trPr>
          <w:trHeight w:val="848"/>
          <w:jc w:val="center"/>
        </w:trPr>
        <w:tc>
          <w:tcPr>
            <w:tcW w:w="1668" w:type="dxa"/>
            <w:shd w:val="clear" w:color="auto" w:fill="auto"/>
            <w:vAlign w:val="center"/>
          </w:tcPr>
          <w:p w14:paraId="251CB65D" w14:textId="77777777" w:rsidR="009F0D9F" w:rsidRPr="009F0D9F" w:rsidRDefault="009F0D9F" w:rsidP="009F0D9F">
            <w:pPr>
              <w:spacing w:line="360" w:lineRule="auto"/>
              <w:jc w:val="center"/>
              <w:rPr>
                <w:rFonts w:ascii="宋体" w:eastAsia="宋体" w:hAnsi="宋体" w:cs="Times New Roman"/>
                <w:color w:val="000000"/>
                <w:sz w:val="24"/>
              </w:rPr>
            </w:pPr>
            <w:r w:rsidRPr="009F0D9F">
              <w:rPr>
                <w:rFonts w:ascii="宋体" w:eastAsia="宋体" w:hAnsi="宋体" w:cs="Times New Roman" w:hint="eastAsia"/>
                <w:color w:val="000000"/>
                <w:sz w:val="24"/>
              </w:rPr>
              <w:t>课程网址</w:t>
            </w:r>
          </w:p>
        </w:tc>
        <w:tc>
          <w:tcPr>
            <w:tcW w:w="7335" w:type="dxa"/>
            <w:gridSpan w:val="3"/>
            <w:shd w:val="clear" w:color="auto" w:fill="auto"/>
            <w:vAlign w:val="center"/>
          </w:tcPr>
          <w:p w14:paraId="598CC42F" w14:textId="77777777" w:rsidR="009F0D9F" w:rsidRPr="009F0D9F" w:rsidRDefault="00000000" w:rsidP="009F0D9F">
            <w:pPr>
              <w:spacing w:line="360" w:lineRule="auto"/>
              <w:jc w:val="center"/>
              <w:rPr>
                <w:rFonts w:ascii="宋体" w:eastAsia="宋体" w:hAnsi="宋体" w:cs="Times New Roman"/>
                <w:color w:val="000000"/>
                <w:sz w:val="24"/>
              </w:rPr>
            </w:pPr>
            <w:hyperlink r:id="rId54" w:history="1">
              <w:r w:rsidR="009F0D9F" w:rsidRPr="009F0D9F">
                <w:rPr>
                  <w:rFonts w:ascii="宋体" w:eastAsia="宋体" w:hAnsi="宋体" w:cs="Times New Roman"/>
                  <w:color w:val="000000"/>
                  <w:sz w:val="24"/>
                  <w:szCs w:val="24"/>
                  <w:u w:val="single"/>
                </w:rPr>
                <w:t>http://www.icourses.cn/home/</w:t>
              </w:r>
            </w:hyperlink>
            <w:r w:rsidR="009F0D9F" w:rsidRPr="009F0D9F">
              <w:rPr>
                <w:rFonts w:ascii="宋体" w:eastAsia="宋体" w:hAnsi="宋体" w:cs="Times New Roman" w:hint="eastAsia"/>
                <w:color w:val="000000"/>
                <w:sz w:val="24"/>
              </w:rPr>
              <w:t xml:space="preserve">   爱课程网站</w:t>
            </w:r>
          </w:p>
        </w:tc>
      </w:tr>
    </w:tbl>
    <w:p w14:paraId="5CBDE337" w14:textId="77777777" w:rsidR="009F0D9F" w:rsidRPr="009F0D9F" w:rsidRDefault="009F0D9F" w:rsidP="009F0D9F">
      <w:pPr>
        <w:spacing w:line="360" w:lineRule="auto"/>
        <w:ind w:firstLineChars="200" w:firstLine="560"/>
        <w:rPr>
          <w:rFonts w:ascii="黑体" w:eastAsia="黑体" w:hAnsi="黑体" w:cs="Times New Roman"/>
          <w:color w:val="000000"/>
          <w:sz w:val="28"/>
          <w:szCs w:val="28"/>
        </w:rPr>
      </w:pPr>
      <w:r w:rsidRPr="009F0D9F">
        <w:rPr>
          <w:rFonts w:ascii="黑体" w:eastAsia="黑体" w:hAnsi="黑体" w:cs="Times New Roman" w:hint="eastAsia"/>
          <w:color w:val="000000"/>
          <w:sz w:val="28"/>
          <w:szCs w:val="28"/>
        </w:rPr>
        <w:t>二、课程学习目标及与毕业要求的对应关系</w:t>
      </w:r>
    </w:p>
    <w:p w14:paraId="7BC291D0" w14:textId="77777777" w:rsidR="009F0D9F" w:rsidRPr="009F0D9F" w:rsidRDefault="009F0D9F" w:rsidP="009F0D9F">
      <w:pPr>
        <w:spacing w:line="360" w:lineRule="auto"/>
        <w:ind w:firstLineChars="200" w:firstLine="560"/>
        <w:rPr>
          <w:rFonts w:ascii="黑体" w:eastAsia="黑体" w:hAnsi="黑体" w:cs="Times New Roman"/>
          <w:color w:val="000000"/>
          <w:sz w:val="28"/>
          <w:szCs w:val="28"/>
        </w:rPr>
      </w:pPr>
      <w:r w:rsidRPr="009F0D9F">
        <w:rPr>
          <w:rFonts w:ascii="黑体" w:eastAsia="黑体" w:hAnsi="黑体" w:cs="Times New Roman" w:hint="eastAsia"/>
          <w:color w:val="000000"/>
          <w:sz w:val="28"/>
          <w:szCs w:val="28"/>
        </w:rPr>
        <w:t>（一）课程学习目标</w:t>
      </w:r>
    </w:p>
    <w:p w14:paraId="7260DAC9" w14:textId="77777777" w:rsidR="009F0D9F" w:rsidRPr="009F0D9F" w:rsidRDefault="009F0D9F" w:rsidP="009F0D9F">
      <w:pPr>
        <w:spacing w:line="360" w:lineRule="auto"/>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生物制药技术课程以高素质应用型生物制药人才为教学目标，注重学生核心能力的建设，通过本门课程的学习，将使学生全面掌握生物技术药物制备和分析的一般规律、基本方法、制造工艺及其控制原理，了解生物制药行业的新进展，为学生从事生物药物的分析、研究和生产奠定基础,</w:t>
      </w:r>
      <w:r w:rsidRPr="009F0D9F">
        <w:rPr>
          <w:rFonts w:ascii="Calibri" w:eastAsia="宋体" w:hAnsi="Calibri" w:cs="Times New Roman" w:hint="eastAsia"/>
          <w:color w:val="000000"/>
          <w:sz w:val="24"/>
        </w:rPr>
        <w:t xml:space="preserve"> </w:t>
      </w:r>
      <w:r w:rsidRPr="009F0D9F">
        <w:rPr>
          <w:rFonts w:ascii="Calibri" w:eastAsia="宋体" w:hAnsi="Calibri" w:cs="Times New Roman" w:hint="eastAsia"/>
          <w:color w:val="000000"/>
          <w:sz w:val="24"/>
        </w:rPr>
        <w:t>通过课堂专业</w:t>
      </w:r>
      <w:r w:rsidRPr="009F0D9F">
        <w:rPr>
          <w:rFonts w:ascii="宋体" w:eastAsia="宋体" w:hAnsi="宋体" w:cs="Times New Roman" w:hint="eastAsia"/>
          <w:color w:val="000000"/>
          <w:sz w:val="24"/>
        </w:rPr>
        <w:t>思想政治教育，提高学生爱岗敬业、忠于职守，乐于奉献的工作精神。为培养富有创造、创新、创业精神和实践能力的应用型药物分析人才提供重要保障。</w:t>
      </w:r>
    </w:p>
    <w:p w14:paraId="08B64589" w14:textId="77777777" w:rsidR="009F0D9F" w:rsidRPr="009F0D9F" w:rsidRDefault="009F0D9F" w:rsidP="009F0D9F">
      <w:pPr>
        <w:spacing w:line="360" w:lineRule="auto"/>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通过本课程的学习，使学生达到以下目标：</w:t>
      </w:r>
    </w:p>
    <w:p w14:paraId="53965DA1" w14:textId="72B3D9CB" w:rsidR="009F0D9F" w:rsidRPr="00895319" w:rsidRDefault="009F0D9F" w:rsidP="009F0D9F">
      <w:pPr>
        <w:spacing w:line="360" w:lineRule="auto"/>
        <w:ind w:firstLineChars="200" w:firstLine="480"/>
        <w:rPr>
          <w:rFonts w:ascii="宋体" w:eastAsia="宋体" w:hAnsi="宋体" w:cs="Times New Roman"/>
          <w:b/>
          <w:bCs/>
          <w:color w:val="000000"/>
          <w:sz w:val="24"/>
          <w:szCs w:val="24"/>
        </w:rPr>
      </w:pPr>
      <w:r w:rsidRPr="009F0D9F">
        <w:rPr>
          <w:rFonts w:ascii="宋体" w:eastAsia="宋体" w:hAnsi="宋体" w:cs="Times New Roman" w:hint="eastAsia"/>
          <w:color w:val="000000"/>
          <w:sz w:val="24"/>
          <w:szCs w:val="24"/>
        </w:rPr>
        <w:t>1.</w:t>
      </w:r>
      <w:r w:rsidRPr="009F0D9F">
        <w:rPr>
          <w:rFonts w:ascii="Calibri" w:eastAsia="宋体" w:hAnsi="Calibri" w:cs="Times New Roman" w:hint="eastAsia"/>
          <w:sz w:val="24"/>
          <w:szCs w:val="24"/>
        </w:rPr>
        <w:t xml:space="preserve"> </w:t>
      </w:r>
      <w:r w:rsidRPr="009F0D9F">
        <w:rPr>
          <w:rFonts w:ascii="宋体" w:eastAsia="宋体" w:hAnsi="宋体" w:cs="Times New Roman" w:hint="eastAsia"/>
          <w:color w:val="000000"/>
          <w:sz w:val="24"/>
          <w:szCs w:val="24"/>
        </w:rPr>
        <w:t>应用生物技术和药物分析的基本原理表达和分析在药物分析学中的实践问题。</w:t>
      </w:r>
      <w:r w:rsidRPr="00895319">
        <w:rPr>
          <w:rFonts w:ascii="宋体" w:eastAsia="宋体" w:hAnsi="宋体" w:cs="Times New Roman"/>
          <w:b/>
          <w:bCs/>
          <w:color w:val="000000"/>
          <w:sz w:val="24"/>
          <w:szCs w:val="24"/>
        </w:rPr>
        <w:t>【</w:t>
      </w:r>
      <w:r w:rsidRPr="00895319">
        <w:rPr>
          <w:rFonts w:ascii="宋体" w:eastAsia="宋体" w:hAnsi="宋体" w:cs="Times New Roman" w:hint="eastAsia"/>
          <w:b/>
          <w:bCs/>
          <w:color w:val="000000"/>
          <w:sz w:val="24"/>
          <w:szCs w:val="24"/>
        </w:rPr>
        <w:t>毕业要求2</w:t>
      </w:r>
      <w:r w:rsidR="00895319">
        <w:rPr>
          <w:rFonts w:ascii="宋体" w:eastAsia="宋体" w:hAnsi="宋体" w:cs="Times New Roman"/>
          <w:b/>
          <w:bCs/>
          <w:color w:val="000000"/>
          <w:sz w:val="24"/>
          <w:szCs w:val="24"/>
        </w:rPr>
        <w:t xml:space="preserve"> </w:t>
      </w:r>
      <w:r w:rsidRPr="00895319">
        <w:rPr>
          <w:rFonts w:ascii="宋体" w:eastAsia="宋体" w:hAnsi="宋体" w:cs="Times New Roman" w:hint="eastAsia"/>
          <w:b/>
          <w:bCs/>
          <w:color w:val="000000"/>
          <w:sz w:val="24"/>
          <w:szCs w:val="24"/>
        </w:rPr>
        <w:t>问题分析</w:t>
      </w:r>
      <w:r w:rsidRPr="00895319">
        <w:rPr>
          <w:rFonts w:ascii="宋体" w:eastAsia="宋体" w:hAnsi="宋体" w:cs="Times New Roman"/>
          <w:b/>
          <w:bCs/>
          <w:color w:val="000000"/>
          <w:sz w:val="24"/>
          <w:szCs w:val="24"/>
        </w:rPr>
        <w:t>】</w:t>
      </w:r>
    </w:p>
    <w:p w14:paraId="4A92C08E" w14:textId="76A1F5C6"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2.</w:t>
      </w:r>
      <w:r w:rsidRPr="009F0D9F">
        <w:rPr>
          <w:rFonts w:ascii="Calibri" w:eastAsia="宋体" w:hAnsi="Calibri" w:cs="Times New Roman" w:hint="eastAsia"/>
          <w:sz w:val="24"/>
          <w:szCs w:val="24"/>
        </w:rPr>
        <w:t xml:space="preserve"> </w:t>
      </w:r>
      <w:r w:rsidRPr="009F0D9F">
        <w:rPr>
          <w:rFonts w:ascii="宋体" w:eastAsia="宋体" w:hAnsi="宋体" w:cs="宋体" w:hint="eastAsia"/>
          <w:sz w:val="24"/>
          <w:szCs w:val="24"/>
        </w:rPr>
        <w:t>能够基于药物分析学的基本原理对生物技术药物生产中的实际问题进行研究，</w:t>
      </w:r>
      <w:r w:rsidRPr="009F0D9F">
        <w:rPr>
          <w:rFonts w:ascii="宋体" w:eastAsia="宋体" w:hAnsi="宋体" w:cs="宋体" w:hint="eastAsia"/>
          <w:sz w:val="24"/>
          <w:szCs w:val="24"/>
        </w:rPr>
        <w:lastRenderedPageBreak/>
        <w:t>并</w:t>
      </w:r>
      <w:r w:rsidRPr="009F0D9F">
        <w:rPr>
          <w:rFonts w:ascii="宋体" w:eastAsia="宋体" w:hAnsi="宋体" w:cs="Times New Roman" w:hint="eastAsia"/>
          <w:color w:val="000000"/>
          <w:sz w:val="24"/>
          <w:szCs w:val="24"/>
        </w:rPr>
        <w:t>得到合理、有效的结论。</w:t>
      </w:r>
      <w:r w:rsidRPr="00895319">
        <w:rPr>
          <w:rFonts w:ascii="宋体" w:eastAsia="宋体" w:hAnsi="宋体" w:cs="Times New Roman"/>
          <w:b/>
          <w:bCs/>
          <w:color w:val="000000"/>
          <w:sz w:val="24"/>
          <w:szCs w:val="24"/>
        </w:rPr>
        <w:t>【</w:t>
      </w:r>
      <w:r w:rsidRPr="00895319">
        <w:rPr>
          <w:rFonts w:ascii="宋体" w:eastAsia="宋体" w:hAnsi="宋体" w:cs="Times New Roman" w:hint="eastAsia"/>
          <w:b/>
          <w:bCs/>
          <w:color w:val="000000"/>
          <w:sz w:val="24"/>
          <w:szCs w:val="24"/>
        </w:rPr>
        <w:t>毕业要求4.科学研究</w:t>
      </w:r>
      <w:r w:rsidRPr="00895319">
        <w:rPr>
          <w:rFonts w:ascii="宋体" w:eastAsia="宋体" w:hAnsi="宋体" w:cs="Times New Roman"/>
          <w:b/>
          <w:bCs/>
          <w:color w:val="000000"/>
          <w:sz w:val="24"/>
          <w:szCs w:val="24"/>
        </w:rPr>
        <w:t>】</w:t>
      </w:r>
    </w:p>
    <w:p w14:paraId="7AF1E3F8" w14:textId="77777777" w:rsidR="009F0D9F" w:rsidRPr="009F0D9F" w:rsidRDefault="009F0D9F" w:rsidP="009F0D9F">
      <w:pPr>
        <w:spacing w:line="360" w:lineRule="auto"/>
        <w:ind w:firstLineChars="200" w:firstLine="560"/>
        <w:rPr>
          <w:rFonts w:ascii="黑体" w:eastAsia="黑体" w:hAnsi="黑体" w:cs="Times New Roman"/>
          <w:color w:val="000000"/>
          <w:sz w:val="28"/>
          <w:szCs w:val="28"/>
        </w:rPr>
      </w:pPr>
      <w:r w:rsidRPr="009F0D9F">
        <w:rPr>
          <w:rFonts w:ascii="黑体" w:eastAsia="黑体" w:hAnsi="黑体" w:cs="Times New Roman" w:hint="eastAsia"/>
          <w:color w:val="000000"/>
          <w:sz w:val="28"/>
          <w:szCs w:val="28"/>
        </w:rPr>
        <w:t>（二）课程学习目标与毕业要求指标点的对应关系</w:t>
      </w:r>
    </w:p>
    <w:tbl>
      <w:tblPr>
        <w:tblW w:w="88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30"/>
        <w:gridCol w:w="4790"/>
        <w:gridCol w:w="1959"/>
      </w:tblGrid>
      <w:tr w:rsidR="009F0D9F" w:rsidRPr="009F0D9F" w14:paraId="4EFCCE3B" w14:textId="77777777" w:rsidTr="00B602D6">
        <w:trPr>
          <w:trHeight w:val="815"/>
          <w:jc w:val="center"/>
        </w:trPr>
        <w:tc>
          <w:tcPr>
            <w:tcW w:w="2130" w:type="dxa"/>
            <w:vAlign w:val="center"/>
          </w:tcPr>
          <w:p w14:paraId="2CC39FE0" w14:textId="77777777" w:rsidR="009F0D9F" w:rsidRPr="009F0D9F" w:rsidRDefault="009F0D9F" w:rsidP="009F0D9F">
            <w:pPr>
              <w:spacing w:line="276" w:lineRule="auto"/>
              <w:jc w:val="center"/>
              <w:rPr>
                <w:rFonts w:ascii="宋体" w:eastAsia="宋体" w:hAnsi="宋体" w:cs="Times New Roman"/>
                <w:b/>
                <w:sz w:val="24"/>
                <w:szCs w:val="24"/>
              </w:rPr>
            </w:pPr>
            <w:r w:rsidRPr="009F0D9F">
              <w:rPr>
                <w:rFonts w:ascii="宋体" w:eastAsia="宋体" w:hAnsi="宋体" w:cs="Times New Roman" w:hint="eastAsia"/>
                <w:b/>
                <w:sz w:val="24"/>
                <w:szCs w:val="24"/>
              </w:rPr>
              <w:t>毕业要求</w:t>
            </w:r>
          </w:p>
        </w:tc>
        <w:tc>
          <w:tcPr>
            <w:tcW w:w="4790" w:type="dxa"/>
            <w:vAlign w:val="center"/>
          </w:tcPr>
          <w:p w14:paraId="67D914BC" w14:textId="77777777" w:rsidR="009F0D9F" w:rsidRPr="009F0D9F" w:rsidRDefault="009F0D9F" w:rsidP="009F0D9F">
            <w:pPr>
              <w:spacing w:line="276" w:lineRule="auto"/>
              <w:jc w:val="center"/>
              <w:rPr>
                <w:rFonts w:ascii="宋体" w:eastAsia="宋体" w:hAnsi="宋体" w:cs="Times New Roman"/>
                <w:b/>
                <w:sz w:val="24"/>
                <w:szCs w:val="24"/>
              </w:rPr>
            </w:pPr>
            <w:r w:rsidRPr="009F0D9F">
              <w:rPr>
                <w:rFonts w:ascii="宋体" w:eastAsia="宋体" w:hAnsi="宋体" w:cs="Times New Roman" w:hint="eastAsia"/>
                <w:b/>
                <w:sz w:val="24"/>
                <w:szCs w:val="24"/>
              </w:rPr>
              <w:t>毕业要求指标点</w:t>
            </w:r>
          </w:p>
        </w:tc>
        <w:tc>
          <w:tcPr>
            <w:tcW w:w="1959" w:type="dxa"/>
            <w:vAlign w:val="center"/>
          </w:tcPr>
          <w:p w14:paraId="0DFD71A0" w14:textId="77777777" w:rsidR="009F0D9F" w:rsidRPr="009F0D9F" w:rsidRDefault="009F0D9F" w:rsidP="009F0D9F">
            <w:pPr>
              <w:spacing w:line="276" w:lineRule="auto"/>
              <w:jc w:val="center"/>
              <w:rPr>
                <w:rFonts w:ascii="宋体" w:eastAsia="宋体" w:hAnsi="宋体" w:cs="Times New Roman"/>
                <w:b/>
                <w:sz w:val="24"/>
                <w:szCs w:val="24"/>
              </w:rPr>
            </w:pPr>
            <w:r w:rsidRPr="009F0D9F">
              <w:rPr>
                <w:rFonts w:ascii="宋体" w:eastAsia="宋体" w:hAnsi="宋体" w:cs="Times New Roman" w:hint="eastAsia"/>
                <w:b/>
                <w:sz w:val="24"/>
                <w:szCs w:val="24"/>
              </w:rPr>
              <w:t>课程目标</w:t>
            </w:r>
          </w:p>
        </w:tc>
      </w:tr>
      <w:tr w:rsidR="009F0D9F" w:rsidRPr="009F0D9F" w14:paraId="2499071A" w14:textId="77777777" w:rsidTr="00B602D6">
        <w:trPr>
          <w:jc w:val="center"/>
        </w:trPr>
        <w:tc>
          <w:tcPr>
            <w:tcW w:w="2130" w:type="dxa"/>
            <w:vAlign w:val="center"/>
          </w:tcPr>
          <w:p w14:paraId="538095BC" w14:textId="77777777" w:rsidR="009F0D9F" w:rsidRPr="009F0D9F" w:rsidRDefault="009F0D9F" w:rsidP="009F0D9F">
            <w:pPr>
              <w:spacing w:line="360" w:lineRule="auto"/>
              <w:jc w:val="left"/>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 xml:space="preserve"> 1</w:t>
            </w:r>
            <w:r w:rsidRPr="009F0D9F">
              <w:rPr>
                <w:rFonts w:ascii="宋体" w:eastAsia="宋体" w:hAnsi="宋体" w:cs="Times New Roman"/>
                <w:color w:val="000000"/>
                <w:sz w:val="24"/>
                <w:szCs w:val="24"/>
              </w:rPr>
              <w:t xml:space="preserve">. </w:t>
            </w:r>
            <w:r w:rsidRPr="009F0D9F">
              <w:rPr>
                <w:rFonts w:ascii="宋体" w:eastAsia="宋体" w:hAnsi="宋体" w:cs="Times New Roman" w:hint="eastAsia"/>
                <w:color w:val="000000"/>
                <w:sz w:val="24"/>
                <w:szCs w:val="24"/>
              </w:rPr>
              <w:t>问题分析</w:t>
            </w:r>
            <w:r w:rsidRPr="009F0D9F">
              <w:rPr>
                <w:rFonts w:ascii="宋体" w:eastAsia="宋体" w:hAnsi="宋体" w:cs="Times New Roman"/>
                <w:color w:val="000000"/>
                <w:sz w:val="24"/>
                <w:szCs w:val="24"/>
              </w:rPr>
              <w:t>(</w:t>
            </w:r>
            <w:r w:rsidRPr="009F0D9F">
              <w:rPr>
                <w:rFonts w:ascii="宋体" w:eastAsia="宋体" w:hAnsi="宋体" w:cs="Times New Roman" w:hint="eastAsia"/>
                <w:color w:val="000000"/>
                <w:sz w:val="24"/>
                <w:szCs w:val="24"/>
              </w:rPr>
              <w:t>M</w:t>
            </w:r>
            <w:r w:rsidRPr="009F0D9F">
              <w:rPr>
                <w:rFonts w:ascii="宋体" w:eastAsia="宋体" w:hAnsi="宋体" w:cs="Times New Roman"/>
                <w:color w:val="000000"/>
                <w:sz w:val="24"/>
                <w:szCs w:val="24"/>
              </w:rPr>
              <w:t>)</w:t>
            </w:r>
          </w:p>
        </w:tc>
        <w:tc>
          <w:tcPr>
            <w:tcW w:w="4790" w:type="dxa"/>
            <w:vAlign w:val="center"/>
          </w:tcPr>
          <w:p w14:paraId="06FD2125" w14:textId="77777777" w:rsidR="009F0D9F" w:rsidRPr="009F0D9F" w:rsidRDefault="009F0D9F" w:rsidP="009F0D9F">
            <w:pPr>
              <w:spacing w:line="360" w:lineRule="auto"/>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2 .2</w:t>
            </w:r>
            <w:r w:rsidRPr="009F0D9F">
              <w:rPr>
                <w:rFonts w:ascii="宋体" w:eastAsia="宋体" w:hAnsi="宋体" w:cs="Times New Roman"/>
                <w:color w:val="000000"/>
                <w:sz w:val="24"/>
                <w:szCs w:val="24"/>
              </w:rPr>
              <w:t>能够结合文献研究，</w:t>
            </w:r>
            <w:r w:rsidRPr="009F0D9F">
              <w:rPr>
                <w:rFonts w:ascii="宋体" w:eastAsia="宋体" w:hAnsi="宋体" w:cs="Times New Roman" w:hint="eastAsia"/>
                <w:color w:val="000000"/>
                <w:sz w:val="24"/>
                <w:szCs w:val="24"/>
              </w:rPr>
              <w:t>应用基本原理，提炼</w:t>
            </w:r>
            <w:r w:rsidRPr="009F0D9F">
              <w:rPr>
                <w:rFonts w:ascii="宋体" w:eastAsia="宋体" w:hAnsi="宋体" w:cs="Times New Roman"/>
                <w:color w:val="000000"/>
                <w:sz w:val="24"/>
                <w:szCs w:val="24"/>
              </w:rPr>
              <w:t>、表达和分析</w:t>
            </w:r>
            <w:r w:rsidRPr="009F0D9F">
              <w:rPr>
                <w:rFonts w:ascii="宋体" w:eastAsia="宋体" w:hAnsi="宋体" w:cs="Times New Roman" w:hint="eastAsia"/>
                <w:color w:val="000000"/>
                <w:sz w:val="24"/>
                <w:szCs w:val="24"/>
              </w:rPr>
              <w:t>药物分析学实践</w:t>
            </w:r>
            <w:r w:rsidRPr="009F0D9F">
              <w:rPr>
                <w:rFonts w:ascii="宋体" w:eastAsia="宋体" w:hAnsi="宋体" w:cs="Times New Roman"/>
                <w:color w:val="000000"/>
                <w:sz w:val="24"/>
                <w:szCs w:val="24"/>
              </w:rPr>
              <w:t>问题；</w:t>
            </w:r>
          </w:p>
        </w:tc>
        <w:tc>
          <w:tcPr>
            <w:tcW w:w="1959" w:type="dxa"/>
            <w:vAlign w:val="center"/>
          </w:tcPr>
          <w:p w14:paraId="37ED45BC" w14:textId="77777777" w:rsidR="009F0D9F" w:rsidRPr="009F0D9F" w:rsidRDefault="009F0D9F" w:rsidP="009F0D9F">
            <w:pPr>
              <w:spacing w:line="360" w:lineRule="auto"/>
              <w:jc w:val="center"/>
              <w:rPr>
                <w:rFonts w:ascii="宋体" w:eastAsia="宋体" w:hAnsi="宋体" w:cs="Times New Roman"/>
                <w:color w:val="000000"/>
                <w:sz w:val="24"/>
                <w:szCs w:val="24"/>
              </w:rPr>
            </w:pPr>
            <w:r w:rsidRPr="009F0D9F">
              <w:rPr>
                <w:rFonts w:ascii="宋体" w:eastAsia="宋体" w:hAnsi="宋体" w:cs="Times New Roman"/>
                <w:color w:val="000000"/>
                <w:sz w:val="24"/>
                <w:szCs w:val="24"/>
              </w:rPr>
              <w:t>课程目标1</w:t>
            </w:r>
          </w:p>
        </w:tc>
      </w:tr>
      <w:tr w:rsidR="009F0D9F" w:rsidRPr="009F0D9F" w14:paraId="4D0B3E4E" w14:textId="77777777" w:rsidTr="00B602D6">
        <w:trPr>
          <w:jc w:val="center"/>
        </w:trPr>
        <w:tc>
          <w:tcPr>
            <w:tcW w:w="2130" w:type="dxa"/>
            <w:vAlign w:val="center"/>
          </w:tcPr>
          <w:p w14:paraId="1DB24711" w14:textId="77777777" w:rsidR="009F0D9F" w:rsidRPr="009F0D9F" w:rsidRDefault="009F0D9F" w:rsidP="009F0D9F">
            <w:pPr>
              <w:spacing w:line="360" w:lineRule="auto"/>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2</w:t>
            </w:r>
            <w:r w:rsidRPr="009F0D9F">
              <w:rPr>
                <w:rFonts w:ascii="宋体" w:eastAsia="宋体" w:hAnsi="宋体" w:cs="Times New Roman"/>
                <w:color w:val="000000"/>
                <w:sz w:val="24"/>
                <w:szCs w:val="24"/>
              </w:rPr>
              <w:t xml:space="preserve">. </w:t>
            </w:r>
            <w:r w:rsidRPr="009F0D9F">
              <w:rPr>
                <w:rFonts w:ascii="宋体" w:eastAsia="宋体" w:hAnsi="宋体" w:cs="Times New Roman" w:hint="eastAsia"/>
                <w:color w:val="000000"/>
                <w:sz w:val="24"/>
                <w:szCs w:val="24"/>
              </w:rPr>
              <w:t>科学研究</w:t>
            </w:r>
            <w:r w:rsidRPr="009F0D9F">
              <w:rPr>
                <w:rFonts w:ascii="宋体" w:eastAsia="宋体" w:hAnsi="宋体" w:cs="Times New Roman"/>
                <w:color w:val="000000"/>
                <w:sz w:val="24"/>
                <w:szCs w:val="24"/>
              </w:rPr>
              <w:t xml:space="preserve"> (H)</w:t>
            </w:r>
          </w:p>
        </w:tc>
        <w:tc>
          <w:tcPr>
            <w:tcW w:w="4790" w:type="dxa"/>
            <w:vAlign w:val="center"/>
          </w:tcPr>
          <w:p w14:paraId="5B5D09C0" w14:textId="77777777" w:rsidR="009F0D9F" w:rsidRPr="009F0D9F" w:rsidRDefault="009F0D9F" w:rsidP="009F0D9F">
            <w:pPr>
              <w:spacing w:line="360" w:lineRule="auto"/>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4.3 科学研究  根据实验目的，获得实验结果，综合文献资料得到合理、有效的结论。</w:t>
            </w:r>
          </w:p>
        </w:tc>
        <w:tc>
          <w:tcPr>
            <w:tcW w:w="1959" w:type="dxa"/>
            <w:vAlign w:val="center"/>
          </w:tcPr>
          <w:p w14:paraId="1B4BFBE5" w14:textId="77777777" w:rsidR="009F0D9F" w:rsidRPr="009F0D9F" w:rsidRDefault="009F0D9F" w:rsidP="009F0D9F">
            <w:pPr>
              <w:spacing w:line="360" w:lineRule="auto"/>
              <w:jc w:val="center"/>
              <w:rPr>
                <w:rFonts w:ascii="宋体" w:eastAsia="宋体" w:hAnsi="宋体" w:cs="Times New Roman"/>
                <w:color w:val="000000"/>
                <w:sz w:val="24"/>
                <w:szCs w:val="24"/>
              </w:rPr>
            </w:pPr>
            <w:r w:rsidRPr="009F0D9F">
              <w:rPr>
                <w:rFonts w:ascii="宋体" w:eastAsia="宋体" w:hAnsi="宋体" w:cs="Times New Roman"/>
                <w:color w:val="000000"/>
                <w:sz w:val="24"/>
                <w:szCs w:val="24"/>
              </w:rPr>
              <w:t>课程目标2</w:t>
            </w:r>
          </w:p>
        </w:tc>
      </w:tr>
    </w:tbl>
    <w:p w14:paraId="4362266E" w14:textId="77777777" w:rsidR="009F0D9F" w:rsidRPr="009F0D9F" w:rsidRDefault="009F0D9F" w:rsidP="009F0D9F">
      <w:pPr>
        <w:spacing w:line="360" w:lineRule="auto"/>
        <w:rPr>
          <w:rFonts w:ascii="黑体" w:eastAsia="黑体" w:hAnsi="黑体" w:cs="Times New Roman"/>
          <w:color w:val="000000"/>
          <w:sz w:val="28"/>
          <w:szCs w:val="28"/>
        </w:rPr>
      </w:pPr>
      <w:r w:rsidRPr="009F0D9F">
        <w:rPr>
          <w:rFonts w:ascii="黑体" w:eastAsia="黑体" w:hAnsi="黑体" w:cs="Times New Roman" w:hint="eastAsia"/>
          <w:color w:val="000000"/>
          <w:sz w:val="28"/>
          <w:szCs w:val="28"/>
        </w:rPr>
        <w:t>三、课程学习内容及与课程学习目标的对应关系</w:t>
      </w:r>
    </w:p>
    <w:p w14:paraId="2769199D" w14:textId="77777777" w:rsidR="009F0D9F" w:rsidRPr="009F0D9F" w:rsidRDefault="009F0D9F" w:rsidP="009F0D9F">
      <w:pPr>
        <w:spacing w:line="360" w:lineRule="auto"/>
        <w:ind w:firstLineChars="200" w:firstLine="482"/>
        <w:rPr>
          <w:rFonts w:ascii="宋体" w:eastAsia="宋体" w:hAnsi="宋体" w:cs="Times New Roman"/>
          <w:b/>
          <w:color w:val="000000"/>
          <w:sz w:val="24"/>
          <w:szCs w:val="24"/>
        </w:rPr>
      </w:pPr>
      <w:r w:rsidRPr="009F0D9F">
        <w:rPr>
          <w:rFonts w:ascii="宋体" w:eastAsia="宋体" w:hAnsi="宋体" w:cs="Times New Roman" w:hint="eastAsia"/>
          <w:b/>
          <w:color w:val="000000"/>
          <w:sz w:val="24"/>
          <w:szCs w:val="24"/>
        </w:rPr>
        <w:t>（一）课程学习内容</w:t>
      </w:r>
    </w:p>
    <w:p w14:paraId="060852BD" w14:textId="77777777" w:rsidR="009F0D9F" w:rsidRPr="009F0D9F" w:rsidRDefault="009F0D9F" w:rsidP="009F0D9F">
      <w:pPr>
        <w:spacing w:line="360" w:lineRule="auto"/>
        <w:ind w:firstLineChars="200" w:firstLine="480"/>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第一章  绪论</w:t>
      </w:r>
    </w:p>
    <w:p w14:paraId="085AC0B4" w14:textId="77777777" w:rsidR="009F0D9F" w:rsidRPr="009F0D9F" w:rsidRDefault="009F0D9F" w:rsidP="009F0D9F">
      <w:pPr>
        <w:spacing w:line="360" w:lineRule="auto"/>
        <w:ind w:firstLineChars="200" w:firstLine="482"/>
        <w:rPr>
          <w:rFonts w:ascii="宋体" w:eastAsia="宋体" w:hAnsi="宋体" w:cs="Times New Roman"/>
          <w:b/>
          <w:sz w:val="24"/>
          <w:szCs w:val="24"/>
        </w:rPr>
      </w:pPr>
      <w:r w:rsidRPr="009F0D9F">
        <w:rPr>
          <w:rFonts w:ascii="宋体" w:eastAsia="宋体" w:hAnsi="宋体" w:cs="Times New Roman" w:hint="eastAsia"/>
          <w:b/>
          <w:sz w:val="24"/>
          <w:szCs w:val="24"/>
        </w:rPr>
        <w:t>【学习目标】</w:t>
      </w:r>
    </w:p>
    <w:p w14:paraId="1C9F7B08" w14:textId="77777777" w:rsidR="009F0D9F" w:rsidRPr="009F0D9F" w:rsidRDefault="009F0D9F" w:rsidP="009F0D9F">
      <w:pPr>
        <w:spacing w:line="360" w:lineRule="auto"/>
        <w:ind w:firstLineChars="200" w:firstLine="480"/>
        <w:rPr>
          <w:rFonts w:ascii="宋体" w:eastAsia="宋体" w:hAnsi="宋体" w:cs="Times New Roman"/>
          <w:color w:val="FF0000"/>
          <w:sz w:val="24"/>
          <w:szCs w:val="24"/>
        </w:rPr>
      </w:pPr>
      <w:r w:rsidRPr="009F0D9F">
        <w:rPr>
          <w:rFonts w:ascii="宋体" w:eastAsia="宋体" w:hAnsi="宋体" w:cs="Times New Roman" w:hint="eastAsia"/>
          <w:sz w:val="24"/>
          <w:szCs w:val="24"/>
        </w:rPr>
        <w:t>1</w:t>
      </w:r>
      <w:r w:rsidRPr="009F0D9F">
        <w:rPr>
          <w:rFonts w:ascii="宋体" w:eastAsia="宋体" w:hAnsi="宋体" w:cs="Times New Roman"/>
          <w:sz w:val="24"/>
          <w:szCs w:val="24"/>
        </w:rPr>
        <w:t xml:space="preserve">. </w:t>
      </w:r>
      <w:r w:rsidRPr="009F0D9F">
        <w:rPr>
          <w:rFonts w:ascii="宋体" w:eastAsia="宋体" w:hAnsi="宋体" w:cs="Times New Roman" w:hint="eastAsia"/>
          <w:sz w:val="24"/>
          <w:szCs w:val="24"/>
        </w:rPr>
        <w:t>认知类目标：</w:t>
      </w:r>
      <w:r w:rsidRPr="009F0D9F">
        <w:rPr>
          <w:rFonts w:ascii="宋体" w:eastAsia="宋体" w:hAnsi="宋体" w:cs="Times New Roman" w:hint="eastAsia"/>
          <w:color w:val="000000"/>
          <w:sz w:val="24"/>
          <w:szCs w:val="24"/>
        </w:rPr>
        <w:t>了解</w:t>
      </w:r>
      <w:r w:rsidRPr="009F0D9F">
        <w:rPr>
          <w:rFonts w:ascii="宋体" w:eastAsia="宋体" w:hAnsi="宋体" w:cs="宋体" w:hint="eastAsia"/>
          <w:color w:val="000000"/>
          <w:kern w:val="0"/>
          <w:sz w:val="24"/>
          <w:szCs w:val="24"/>
        </w:rPr>
        <w:t>生物制药技术的概念、发展史、国内生物制药技术行业概况；</w:t>
      </w:r>
    </w:p>
    <w:p w14:paraId="2D3F99E1"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sz w:val="24"/>
          <w:szCs w:val="24"/>
        </w:rPr>
        <w:t>2</w:t>
      </w:r>
      <w:r w:rsidRPr="009F0D9F">
        <w:rPr>
          <w:rFonts w:ascii="宋体" w:eastAsia="宋体" w:hAnsi="宋体" w:cs="Times New Roman"/>
          <w:sz w:val="24"/>
          <w:szCs w:val="24"/>
        </w:rPr>
        <w:t xml:space="preserve">. </w:t>
      </w:r>
      <w:r w:rsidRPr="009F0D9F">
        <w:rPr>
          <w:rFonts w:ascii="宋体" w:eastAsia="宋体" w:hAnsi="宋体" w:cs="Times New Roman" w:hint="eastAsia"/>
          <w:sz w:val="24"/>
          <w:szCs w:val="24"/>
        </w:rPr>
        <w:t>过程与方法类目标：</w:t>
      </w:r>
      <w:r w:rsidRPr="009F0D9F">
        <w:rPr>
          <w:rFonts w:ascii="宋体" w:eastAsia="宋体" w:hAnsi="宋体" w:cs="Times New Roman" w:hint="eastAsia"/>
          <w:color w:val="000000"/>
          <w:sz w:val="24"/>
          <w:szCs w:val="24"/>
        </w:rPr>
        <w:t>掌握生物技术药物的特点；</w:t>
      </w:r>
    </w:p>
    <w:p w14:paraId="7BFF1A83"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sz w:val="24"/>
          <w:szCs w:val="24"/>
        </w:rPr>
        <w:t xml:space="preserve">3. </w:t>
      </w:r>
      <w:r w:rsidRPr="009F0D9F">
        <w:rPr>
          <w:rFonts w:ascii="宋体" w:eastAsia="宋体" w:hAnsi="宋体" w:cs="Times New Roman" w:hint="eastAsia"/>
          <w:sz w:val="24"/>
          <w:szCs w:val="24"/>
        </w:rPr>
        <w:t>情感、态度、价值观类目标：</w:t>
      </w:r>
      <w:r w:rsidRPr="009F0D9F">
        <w:rPr>
          <w:rFonts w:ascii="宋体" w:eastAsia="宋体" w:hAnsi="宋体" w:cs="Times New Roman" w:hint="eastAsia"/>
          <w:color w:val="000000"/>
          <w:sz w:val="24"/>
          <w:szCs w:val="24"/>
        </w:rPr>
        <w:t>培养投身国家生物制药技术产业、爱国奉献的精神。</w:t>
      </w:r>
    </w:p>
    <w:p w14:paraId="04A90243" w14:textId="77777777" w:rsidR="009F0D9F" w:rsidRPr="009F0D9F" w:rsidRDefault="009F0D9F" w:rsidP="009F0D9F">
      <w:pPr>
        <w:spacing w:line="360" w:lineRule="auto"/>
        <w:ind w:firstLineChars="200" w:firstLine="482"/>
        <w:rPr>
          <w:rFonts w:ascii="宋体" w:eastAsia="宋体" w:hAnsi="宋体" w:cs="Times New Roman"/>
          <w:b/>
          <w:color w:val="000000"/>
          <w:sz w:val="24"/>
          <w:szCs w:val="24"/>
        </w:rPr>
      </w:pPr>
      <w:r w:rsidRPr="009F0D9F">
        <w:rPr>
          <w:rFonts w:ascii="宋体" w:eastAsia="宋体" w:hAnsi="宋体" w:cs="Times New Roman" w:hint="eastAsia"/>
          <w:b/>
          <w:color w:val="000000"/>
          <w:sz w:val="24"/>
          <w:szCs w:val="24"/>
        </w:rPr>
        <w:t>【课程内容】</w:t>
      </w:r>
    </w:p>
    <w:p w14:paraId="62C882C1"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1.</w:t>
      </w:r>
      <w:r w:rsidRPr="009F0D9F">
        <w:rPr>
          <w:rFonts w:ascii="宋体" w:eastAsia="宋体" w:hAnsi="宋体" w:cs="宋体" w:hint="eastAsia"/>
          <w:color w:val="000000"/>
          <w:kern w:val="0"/>
          <w:sz w:val="24"/>
          <w:szCs w:val="24"/>
        </w:rPr>
        <w:t xml:space="preserve"> 生物制药技术的概念及其分析方法；</w:t>
      </w:r>
    </w:p>
    <w:p w14:paraId="414D0BB7"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hint="eastAsia"/>
          <w:color w:val="000000"/>
          <w:kern w:val="0"/>
          <w:sz w:val="24"/>
          <w:szCs w:val="24"/>
        </w:rPr>
        <w:t>2</w:t>
      </w:r>
      <w:r w:rsidRPr="009F0D9F">
        <w:rPr>
          <w:rFonts w:ascii="宋体" w:eastAsia="宋体" w:hAnsi="宋体" w:cs="宋体"/>
          <w:color w:val="000000"/>
          <w:kern w:val="0"/>
          <w:sz w:val="24"/>
          <w:szCs w:val="24"/>
        </w:rPr>
        <w:t>.</w:t>
      </w:r>
      <w:r w:rsidRPr="009F0D9F">
        <w:rPr>
          <w:rFonts w:ascii="宋体" w:eastAsia="宋体" w:hAnsi="宋体" w:cs="宋体" w:hint="eastAsia"/>
          <w:color w:val="000000"/>
          <w:kern w:val="0"/>
          <w:sz w:val="24"/>
          <w:szCs w:val="24"/>
        </w:rPr>
        <w:t xml:space="preserve"> 生物技术的概念及其应用；</w:t>
      </w:r>
    </w:p>
    <w:p w14:paraId="43C75102" w14:textId="77777777" w:rsidR="009F0D9F" w:rsidRPr="009F0D9F" w:rsidRDefault="009F0D9F" w:rsidP="009F0D9F">
      <w:pPr>
        <w:spacing w:line="360" w:lineRule="auto"/>
        <w:ind w:firstLineChars="200" w:firstLine="480"/>
        <w:rPr>
          <w:rFonts w:ascii="宋体" w:eastAsia="宋体" w:hAnsi="宋体" w:cs="宋体"/>
          <w:color w:val="000000"/>
          <w:kern w:val="0"/>
          <w:sz w:val="24"/>
          <w:szCs w:val="24"/>
        </w:rPr>
      </w:pPr>
      <w:r w:rsidRPr="009F0D9F">
        <w:rPr>
          <w:rFonts w:ascii="宋体" w:eastAsia="宋体" w:hAnsi="宋体" w:cs="宋体"/>
          <w:color w:val="000000"/>
          <w:kern w:val="0"/>
          <w:sz w:val="24"/>
          <w:szCs w:val="24"/>
        </w:rPr>
        <w:t>3.</w:t>
      </w:r>
      <w:r w:rsidRPr="009F0D9F">
        <w:rPr>
          <w:rFonts w:ascii="宋体" w:eastAsia="宋体" w:hAnsi="宋体" w:cs="宋体" w:hint="eastAsia"/>
          <w:color w:val="000000"/>
          <w:kern w:val="0"/>
          <w:sz w:val="24"/>
          <w:szCs w:val="24"/>
        </w:rPr>
        <w:t xml:space="preserve"> 医药生物技术的新进展与发展展望。</w:t>
      </w:r>
    </w:p>
    <w:p w14:paraId="507B9849" w14:textId="77777777" w:rsidR="009F0D9F" w:rsidRPr="009F0D9F" w:rsidRDefault="009F0D9F" w:rsidP="009F0D9F">
      <w:pPr>
        <w:spacing w:line="360" w:lineRule="auto"/>
        <w:ind w:firstLineChars="200" w:firstLine="482"/>
        <w:rPr>
          <w:rFonts w:ascii="宋体" w:eastAsia="宋体" w:hAnsi="宋体" w:cs="Times New Roman"/>
          <w:b/>
          <w:color w:val="000000"/>
          <w:sz w:val="24"/>
          <w:szCs w:val="24"/>
        </w:rPr>
      </w:pPr>
      <w:r w:rsidRPr="009F0D9F">
        <w:rPr>
          <w:rFonts w:ascii="宋体" w:eastAsia="宋体" w:hAnsi="宋体" w:cs="Times New Roman" w:hint="eastAsia"/>
          <w:b/>
          <w:color w:val="000000"/>
          <w:sz w:val="24"/>
          <w:szCs w:val="24"/>
        </w:rPr>
        <w:t>【重点】</w:t>
      </w:r>
    </w:p>
    <w:p w14:paraId="308E0B34"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生物制药技术的特点。</w:t>
      </w:r>
    </w:p>
    <w:p w14:paraId="545085D5" w14:textId="77777777" w:rsidR="009F0D9F" w:rsidRPr="009F0D9F" w:rsidRDefault="009F0D9F" w:rsidP="009F0D9F">
      <w:pPr>
        <w:spacing w:line="360" w:lineRule="auto"/>
        <w:ind w:firstLineChars="200" w:firstLine="482"/>
        <w:rPr>
          <w:rFonts w:ascii="宋体" w:eastAsia="宋体" w:hAnsi="宋体" w:cs="Times New Roman"/>
          <w:b/>
          <w:color w:val="000000"/>
          <w:sz w:val="24"/>
          <w:szCs w:val="24"/>
        </w:rPr>
      </w:pPr>
      <w:r w:rsidRPr="009F0D9F">
        <w:rPr>
          <w:rFonts w:ascii="宋体" w:eastAsia="宋体" w:hAnsi="宋体" w:cs="Times New Roman" w:hint="eastAsia"/>
          <w:b/>
          <w:color w:val="000000"/>
          <w:sz w:val="24"/>
          <w:szCs w:val="24"/>
        </w:rPr>
        <w:t>【难点】</w:t>
      </w:r>
    </w:p>
    <w:p w14:paraId="302B2235" w14:textId="77777777" w:rsidR="009F0D9F" w:rsidRPr="009F0D9F" w:rsidRDefault="009F0D9F" w:rsidP="009F0D9F">
      <w:pPr>
        <w:spacing w:line="360" w:lineRule="auto"/>
        <w:ind w:firstLineChars="200" w:firstLine="480"/>
        <w:rPr>
          <w:rFonts w:ascii="宋体" w:eastAsia="宋体" w:hAnsi="宋体" w:cs="Times New Roman"/>
          <w:b/>
          <w:color w:val="000000"/>
          <w:sz w:val="24"/>
          <w:szCs w:val="24"/>
        </w:rPr>
      </w:pPr>
      <w:r w:rsidRPr="009F0D9F">
        <w:rPr>
          <w:rFonts w:ascii="宋体" w:eastAsia="宋体" w:hAnsi="宋体" w:cs="Times New Roman" w:hint="eastAsia"/>
          <w:color w:val="000000"/>
          <w:sz w:val="24"/>
          <w:szCs w:val="24"/>
        </w:rPr>
        <w:t>1</w:t>
      </w:r>
      <w:r w:rsidRPr="009F0D9F">
        <w:rPr>
          <w:rFonts w:ascii="宋体" w:eastAsia="宋体" w:hAnsi="宋体" w:cs="Times New Roman"/>
          <w:color w:val="000000"/>
          <w:sz w:val="24"/>
          <w:szCs w:val="24"/>
        </w:rPr>
        <w:t xml:space="preserve">. </w:t>
      </w:r>
      <w:r w:rsidRPr="009F0D9F">
        <w:rPr>
          <w:rFonts w:ascii="宋体" w:eastAsia="宋体" w:hAnsi="宋体" w:cs="Times New Roman" w:hint="eastAsia"/>
          <w:color w:val="000000"/>
          <w:sz w:val="24"/>
          <w:szCs w:val="24"/>
        </w:rPr>
        <w:t>生物制药技术和化学制药的区别；</w:t>
      </w:r>
    </w:p>
    <w:p w14:paraId="01CC1F54"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2</w:t>
      </w:r>
      <w:r w:rsidRPr="009F0D9F">
        <w:rPr>
          <w:rFonts w:ascii="宋体" w:eastAsia="宋体" w:hAnsi="宋体" w:cs="Times New Roman"/>
          <w:color w:val="000000"/>
          <w:sz w:val="24"/>
          <w:szCs w:val="24"/>
        </w:rPr>
        <w:t xml:space="preserve">. </w:t>
      </w:r>
      <w:r w:rsidRPr="009F0D9F">
        <w:rPr>
          <w:rFonts w:ascii="宋体" w:eastAsia="宋体" w:hAnsi="宋体" w:cs="Times New Roman" w:hint="eastAsia"/>
          <w:color w:val="000000"/>
          <w:sz w:val="24"/>
          <w:szCs w:val="24"/>
        </w:rPr>
        <w:t>生物制药技术的区别。</w:t>
      </w:r>
    </w:p>
    <w:p w14:paraId="0EDA855A" w14:textId="77777777" w:rsidR="009F0D9F" w:rsidRPr="009F0D9F" w:rsidRDefault="009F0D9F" w:rsidP="009F0D9F">
      <w:pPr>
        <w:spacing w:line="360" w:lineRule="auto"/>
        <w:ind w:firstLineChars="200" w:firstLine="482"/>
        <w:rPr>
          <w:rFonts w:ascii="宋体" w:eastAsia="宋体" w:hAnsi="宋体" w:cs="Times New Roman"/>
          <w:color w:val="000000"/>
          <w:sz w:val="24"/>
          <w:szCs w:val="24"/>
        </w:rPr>
      </w:pPr>
      <w:r w:rsidRPr="009F0D9F">
        <w:rPr>
          <w:rFonts w:ascii="宋体" w:eastAsia="宋体" w:hAnsi="宋体" w:cs="Times New Roman" w:hint="eastAsia"/>
          <w:b/>
          <w:bCs/>
          <w:color w:val="000000"/>
          <w:sz w:val="24"/>
          <w:szCs w:val="24"/>
        </w:rPr>
        <w:t>【教学方法】</w:t>
      </w:r>
    </w:p>
    <w:p w14:paraId="703A8B23"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 通过多媒体课件和传统教学相结合，阐明课程与教学基本原理，丰富学生课程与教学的基本知识结构，培养学生的职业规范；</w:t>
      </w:r>
    </w:p>
    <w:p w14:paraId="10F8AC76"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lastRenderedPageBreak/>
        <w:t>2. 通过案例分析，强调理论与实践相结合，促进学生知识整合，培养学生的反思能力；</w:t>
      </w:r>
    </w:p>
    <w:p w14:paraId="2EFCF054" w14:textId="77777777" w:rsidR="009F0D9F" w:rsidRPr="009F0D9F" w:rsidRDefault="009F0D9F" w:rsidP="009F0D9F">
      <w:pPr>
        <w:spacing w:line="360" w:lineRule="auto"/>
        <w:ind w:firstLineChars="200" w:firstLine="482"/>
        <w:rPr>
          <w:rFonts w:ascii="宋体" w:eastAsia="宋体" w:hAnsi="宋体" w:cs="Times New Roman"/>
          <w:bCs/>
          <w:color w:val="000000"/>
          <w:sz w:val="24"/>
          <w:szCs w:val="24"/>
        </w:rPr>
      </w:pPr>
      <w:r w:rsidRPr="009F0D9F">
        <w:rPr>
          <w:rFonts w:ascii="宋体" w:eastAsia="宋体" w:hAnsi="宋体" w:cs="Times New Roman" w:hint="eastAsia"/>
          <w:b/>
          <w:color w:val="000000"/>
          <w:sz w:val="24"/>
          <w:szCs w:val="24"/>
        </w:rPr>
        <w:t>【复习思考】</w:t>
      </w:r>
    </w:p>
    <w:p w14:paraId="389C889A"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1.结合我国制药现状，谈谈生物制药技术和化学制药的区别主要表现在那几个方面？</w:t>
      </w:r>
    </w:p>
    <w:p w14:paraId="68315DB9" w14:textId="77777777" w:rsidR="009F0D9F" w:rsidRPr="009F0D9F" w:rsidRDefault="009F0D9F" w:rsidP="009F0D9F">
      <w:pPr>
        <w:spacing w:line="360" w:lineRule="auto"/>
        <w:ind w:firstLineChars="200" w:firstLine="480"/>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第二章  基因工程药物的制备与分析</w:t>
      </w:r>
    </w:p>
    <w:p w14:paraId="48E583FC" w14:textId="77777777" w:rsidR="009F0D9F" w:rsidRPr="009F0D9F" w:rsidRDefault="009F0D9F" w:rsidP="009F0D9F">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9F0D9F">
        <w:rPr>
          <w:rFonts w:ascii="宋体" w:eastAsia="宋体" w:hAnsi="宋体" w:cs="Times New Roman" w:hint="eastAsia"/>
          <w:b/>
          <w:color w:val="000000"/>
          <w:sz w:val="24"/>
          <w:szCs w:val="24"/>
        </w:rPr>
        <w:t>【学习目标】</w:t>
      </w:r>
    </w:p>
    <w:p w14:paraId="2805251A"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w:t>
      </w:r>
      <w:r w:rsidRPr="009F0D9F">
        <w:rPr>
          <w:rFonts w:ascii="宋体" w:eastAsia="宋体" w:hAnsi="宋体" w:cs="Times New Roman"/>
          <w:color w:val="000000"/>
          <w:sz w:val="24"/>
          <w:szCs w:val="24"/>
        </w:rPr>
        <w:t xml:space="preserve">. </w:t>
      </w:r>
      <w:r w:rsidRPr="009F0D9F">
        <w:rPr>
          <w:rFonts w:ascii="宋体" w:eastAsia="宋体" w:hAnsi="宋体" w:cs="Times New Roman" w:hint="eastAsia"/>
          <w:color w:val="000000"/>
          <w:sz w:val="24"/>
          <w:szCs w:val="24"/>
        </w:rPr>
        <w:t>认知类目标：</w:t>
      </w:r>
      <w:r w:rsidRPr="009F0D9F">
        <w:rPr>
          <w:rFonts w:ascii="宋体" w:eastAsia="宋体" w:hAnsi="宋体" w:cs="宋体" w:hint="eastAsia"/>
          <w:color w:val="000000"/>
          <w:kern w:val="0"/>
          <w:sz w:val="24"/>
          <w:szCs w:val="24"/>
        </w:rPr>
        <w:t>了解基因工程技术的概念及基因工程制药的基本过程；</w:t>
      </w:r>
      <w:r w:rsidRPr="009F0D9F">
        <w:rPr>
          <w:rFonts w:ascii="宋体" w:eastAsia="宋体" w:hAnsi="宋体" w:cs="Times New Roman" w:hint="eastAsia"/>
          <w:color w:val="000000"/>
          <w:sz w:val="24"/>
          <w:szCs w:val="24"/>
        </w:rPr>
        <w:t xml:space="preserve"> </w:t>
      </w:r>
    </w:p>
    <w:p w14:paraId="686D2604"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Times New Roman" w:hint="eastAsia"/>
          <w:color w:val="000000"/>
          <w:sz w:val="24"/>
          <w:szCs w:val="24"/>
        </w:rPr>
        <w:t>2</w:t>
      </w:r>
      <w:r w:rsidRPr="009F0D9F">
        <w:rPr>
          <w:rFonts w:ascii="宋体" w:eastAsia="宋体" w:hAnsi="宋体" w:cs="Times New Roman"/>
          <w:color w:val="000000"/>
          <w:sz w:val="24"/>
          <w:szCs w:val="24"/>
        </w:rPr>
        <w:t xml:space="preserve">. </w:t>
      </w:r>
      <w:r w:rsidRPr="009F0D9F">
        <w:rPr>
          <w:rFonts w:ascii="宋体" w:eastAsia="宋体" w:hAnsi="宋体" w:cs="Times New Roman" w:hint="eastAsia"/>
          <w:color w:val="000000"/>
          <w:sz w:val="24"/>
          <w:szCs w:val="24"/>
        </w:rPr>
        <w:t>过程与方法类目标：</w:t>
      </w:r>
      <w:r w:rsidRPr="009F0D9F">
        <w:rPr>
          <w:rFonts w:ascii="宋体" w:eastAsia="宋体" w:hAnsi="宋体" w:cs="宋体" w:hint="eastAsia"/>
          <w:color w:val="000000"/>
          <w:kern w:val="0"/>
          <w:sz w:val="24"/>
          <w:szCs w:val="24"/>
        </w:rPr>
        <w:t>掌握目的基因的获得、基因在宿主细胞中的表达、基因工程菌的生长代谢特点、基因工程药物的分离纯化、基因工程菌的培养方式，发酵工艺及培养设备、基因工程药物的质量控制；</w:t>
      </w:r>
    </w:p>
    <w:p w14:paraId="3E5863E9"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color w:val="000000"/>
          <w:sz w:val="24"/>
          <w:szCs w:val="24"/>
        </w:rPr>
        <w:t xml:space="preserve">3. </w:t>
      </w:r>
      <w:r w:rsidRPr="009F0D9F">
        <w:rPr>
          <w:rFonts w:ascii="宋体" w:eastAsia="宋体" w:hAnsi="宋体" w:cs="Times New Roman" w:hint="eastAsia"/>
          <w:color w:val="000000"/>
          <w:sz w:val="24"/>
          <w:szCs w:val="24"/>
        </w:rPr>
        <w:t>情感、态度、价值观类目标：</w:t>
      </w:r>
      <w:r w:rsidRPr="009F0D9F">
        <w:rPr>
          <w:rFonts w:ascii="宋体" w:eastAsia="宋体" w:hAnsi="宋体" w:cs="宋体" w:hint="eastAsia"/>
          <w:color w:val="000000"/>
          <w:kern w:val="0"/>
          <w:sz w:val="24"/>
          <w:szCs w:val="24"/>
        </w:rPr>
        <w:t>了解基因工程制药的新进展与发展展望</w:t>
      </w:r>
      <w:r w:rsidRPr="009F0D9F">
        <w:rPr>
          <w:rFonts w:ascii="宋体" w:eastAsia="宋体" w:hAnsi="宋体" w:cs="Times New Roman" w:hint="eastAsia"/>
          <w:color w:val="000000"/>
          <w:sz w:val="24"/>
          <w:szCs w:val="24"/>
        </w:rPr>
        <w:t>。</w:t>
      </w:r>
    </w:p>
    <w:p w14:paraId="5FFDB02B" w14:textId="77777777" w:rsidR="009F0D9F" w:rsidRPr="009F0D9F" w:rsidRDefault="009F0D9F" w:rsidP="009F0D9F">
      <w:pPr>
        <w:spacing w:line="360" w:lineRule="auto"/>
        <w:ind w:firstLineChars="200" w:firstLine="482"/>
        <w:rPr>
          <w:rFonts w:ascii="宋体" w:eastAsia="宋体" w:hAnsi="宋体" w:cs="Times New Roman"/>
          <w:b/>
          <w:color w:val="000000"/>
          <w:sz w:val="24"/>
          <w:szCs w:val="24"/>
        </w:rPr>
      </w:pPr>
      <w:r w:rsidRPr="009F0D9F">
        <w:rPr>
          <w:rFonts w:ascii="宋体" w:eastAsia="宋体" w:hAnsi="宋体" w:cs="Times New Roman" w:hint="eastAsia"/>
          <w:b/>
          <w:color w:val="000000"/>
          <w:sz w:val="24"/>
          <w:szCs w:val="24"/>
        </w:rPr>
        <w:t>【学习内容】</w:t>
      </w:r>
    </w:p>
    <w:p w14:paraId="225C4940"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1</w:t>
      </w:r>
      <w:r w:rsidRPr="009F0D9F">
        <w:rPr>
          <w:rFonts w:ascii="宋体" w:eastAsia="宋体" w:hAnsi="宋体" w:cs="宋体" w:hint="eastAsia"/>
          <w:color w:val="000000"/>
          <w:kern w:val="0"/>
          <w:sz w:val="24"/>
          <w:szCs w:val="24"/>
        </w:rPr>
        <w:t>. 基因工程制药的基本过程；</w:t>
      </w:r>
    </w:p>
    <w:p w14:paraId="4972D7BE"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2.</w:t>
      </w:r>
      <w:r w:rsidRPr="009F0D9F">
        <w:rPr>
          <w:rFonts w:ascii="宋体" w:eastAsia="宋体" w:hAnsi="宋体" w:cs="宋体" w:hint="eastAsia"/>
          <w:color w:val="000000"/>
          <w:kern w:val="0"/>
          <w:sz w:val="24"/>
          <w:szCs w:val="24"/>
        </w:rPr>
        <w:t xml:space="preserve"> 目的基因的获得及基因的表达；</w:t>
      </w:r>
    </w:p>
    <w:p w14:paraId="55CB7667"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3</w:t>
      </w:r>
      <w:r w:rsidRPr="009F0D9F">
        <w:rPr>
          <w:rFonts w:ascii="宋体" w:eastAsia="宋体" w:hAnsi="宋体" w:cs="宋体" w:hint="eastAsia"/>
          <w:color w:val="000000"/>
          <w:kern w:val="0"/>
          <w:sz w:val="24"/>
          <w:szCs w:val="24"/>
        </w:rPr>
        <w:t>. 基因工程菌的生长代谢特点，其质粒不稳定产生的原因及提高质粒稳定性的方法；</w:t>
      </w:r>
    </w:p>
    <w:p w14:paraId="798A3A36"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4</w:t>
      </w:r>
      <w:r w:rsidRPr="009F0D9F">
        <w:rPr>
          <w:rFonts w:ascii="宋体" w:eastAsia="宋体" w:hAnsi="宋体" w:cs="宋体" w:hint="eastAsia"/>
          <w:color w:val="000000"/>
          <w:kern w:val="0"/>
          <w:sz w:val="24"/>
          <w:szCs w:val="24"/>
        </w:rPr>
        <w:t>. 基因工程菌的培养方式，发酵工艺及培养设备；</w:t>
      </w:r>
    </w:p>
    <w:p w14:paraId="46E81FEE"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5</w:t>
      </w:r>
      <w:r w:rsidRPr="009F0D9F">
        <w:rPr>
          <w:rFonts w:ascii="宋体" w:eastAsia="宋体" w:hAnsi="宋体" w:cs="宋体" w:hint="eastAsia"/>
          <w:color w:val="000000"/>
          <w:kern w:val="0"/>
          <w:sz w:val="24"/>
          <w:szCs w:val="24"/>
        </w:rPr>
        <w:t>. 基因工程药物的分离纯化；</w:t>
      </w:r>
    </w:p>
    <w:p w14:paraId="521DC01B" w14:textId="77777777" w:rsidR="009F0D9F" w:rsidRPr="009F0D9F" w:rsidRDefault="009F0D9F" w:rsidP="009F0D9F">
      <w:pPr>
        <w:spacing w:line="360" w:lineRule="auto"/>
        <w:ind w:firstLineChars="200" w:firstLine="480"/>
        <w:rPr>
          <w:rFonts w:ascii="宋体" w:eastAsia="宋体" w:hAnsi="宋体" w:cs="宋体"/>
          <w:color w:val="000000"/>
          <w:kern w:val="0"/>
          <w:sz w:val="24"/>
          <w:szCs w:val="24"/>
        </w:rPr>
      </w:pPr>
      <w:r w:rsidRPr="009F0D9F">
        <w:rPr>
          <w:rFonts w:ascii="宋体" w:eastAsia="宋体" w:hAnsi="宋体" w:cs="宋体"/>
          <w:color w:val="000000"/>
          <w:kern w:val="0"/>
          <w:sz w:val="24"/>
          <w:szCs w:val="24"/>
        </w:rPr>
        <w:t>6</w:t>
      </w:r>
      <w:r w:rsidRPr="009F0D9F">
        <w:rPr>
          <w:rFonts w:ascii="宋体" w:eastAsia="宋体" w:hAnsi="宋体" w:cs="宋体" w:hint="eastAsia"/>
          <w:color w:val="000000"/>
          <w:kern w:val="0"/>
          <w:sz w:val="24"/>
          <w:szCs w:val="24"/>
        </w:rPr>
        <w:t>. 基因工程药物的分析与质量控制。</w:t>
      </w:r>
    </w:p>
    <w:p w14:paraId="5A5FB30F" w14:textId="77777777" w:rsidR="009F0D9F" w:rsidRPr="009F0D9F" w:rsidRDefault="009F0D9F" w:rsidP="009F0D9F">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9F0D9F">
        <w:rPr>
          <w:rFonts w:ascii="宋体" w:eastAsia="宋体" w:hAnsi="宋体" w:cs="Times New Roman" w:hint="eastAsia"/>
          <w:b/>
          <w:color w:val="000000"/>
          <w:sz w:val="24"/>
          <w:szCs w:val="24"/>
        </w:rPr>
        <w:t>【重点】</w:t>
      </w:r>
    </w:p>
    <w:p w14:paraId="24652BD4"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w:t>
      </w:r>
      <w:r w:rsidRPr="009F0D9F">
        <w:rPr>
          <w:rFonts w:ascii="宋体" w:eastAsia="宋体" w:hAnsi="宋体" w:cs="Times New Roman"/>
          <w:color w:val="000000"/>
          <w:sz w:val="24"/>
          <w:szCs w:val="24"/>
        </w:rPr>
        <w:t>.</w:t>
      </w:r>
      <w:r w:rsidRPr="009F0D9F">
        <w:rPr>
          <w:rFonts w:ascii="宋体" w:eastAsia="宋体" w:hAnsi="宋体" w:cs="宋体" w:hint="eastAsia"/>
          <w:color w:val="000000"/>
          <w:kern w:val="0"/>
          <w:sz w:val="24"/>
          <w:szCs w:val="24"/>
        </w:rPr>
        <w:t>目的基因的获得，基因在宿主细胞中的表达与分析；</w:t>
      </w:r>
    </w:p>
    <w:p w14:paraId="584F34A3"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9F0D9F">
        <w:rPr>
          <w:rFonts w:ascii="宋体" w:eastAsia="宋体" w:hAnsi="宋体" w:cs="Times New Roman" w:hint="eastAsia"/>
          <w:color w:val="000000"/>
          <w:sz w:val="24"/>
          <w:szCs w:val="24"/>
        </w:rPr>
        <w:t>2</w:t>
      </w:r>
      <w:r w:rsidRPr="009F0D9F">
        <w:rPr>
          <w:rFonts w:ascii="宋体" w:eastAsia="宋体" w:hAnsi="宋体" w:cs="Times New Roman"/>
          <w:color w:val="000000"/>
          <w:sz w:val="24"/>
          <w:szCs w:val="24"/>
        </w:rPr>
        <w:t>.</w:t>
      </w:r>
      <w:r w:rsidRPr="009F0D9F">
        <w:rPr>
          <w:rFonts w:ascii="宋体" w:eastAsia="宋体" w:hAnsi="宋体" w:cs="宋体" w:hint="eastAsia"/>
          <w:color w:val="000000"/>
          <w:kern w:val="0"/>
          <w:sz w:val="24"/>
          <w:szCs w:val="24"/>
        </w:rPr>
        <w:t>基因工程菌的生长代谢特点；</w:t>
      </w:r>
    </w:p>
    <w:p w14:paraId="71A33C23"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9F0D9F">
        <w:rPr>
          <w:rFonts w:ascii="宋体" w:eastAsia="宋体" w:hAnsi="宋体" w:cs="宋体" w:hint="eastAsia"/>
          <w:color w:val="000000"/>
          <w:kern w:val="0"/>
          <w:sz w:val="24"/>
          <w:szCs w:val="24"/>
        </w:rPr>
        <w:t>3.理解基因工程药物的分离纯化与分析检测。</w:t>
      </w:r>
    </w:p>
    <w:p w14:paraId="1E46EC46"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Times New Roman"/>
          <w:color w:val="000000"/>
          <w:kern w:val="0"/>
          <w:sz w:val="24"/>
          <w:szCs w:val="24"/>
        </w:rPr>
        <w:t xml:space="preserve"> </w:t>
      </w:r>
      <w:r w:rsidRPr="009F0D9F">
        <w:rPr>
          <w:rFonts w:ascii="宋体" w:eastAsia="宋体" w:hAnsi="宋体" w:cs="Times New Roman" w:hint="eastAsia"/>
          <w:b/>
          <w:color w:val="000000"/>
          <w:sz w:val="24"/>
          <w:szCs w:val="24"/>
        </w:rPr>
        <w:t>【难点】</w:t>
      </w:r>
    </w:p>
    <w:p w14:paraId="21E30017" w14:textId="77777777" w:rsidR="009F0D9F" w:rsidRPr="009F0D9F" w:rsidRDefault="009F0D9F" w:rsidP="009F0D9F">
      <w:pPr>
        <w:spacing w:line="360" w:lineRule="auto"/>
        <w:ind w:firstLineChars="200" w:firstLine="480"/>
        <w:rPr>
          <w:rFonts w:ascii="宋体" w:eastAsia="宋体" w:hAnsi="宋体" w:cs="宋体"/>
          <w:color w:val="000000"/>
          <w:kern w:val="0"/>
          <w:sz w:val="24"/>
          <w:szCs w:val="24"/>
        </w:rPr>
      </w:pPr>
      <w:r w:rsidRPr="009F0D9F">
        <w:rPr>
          <w:rFonts w:ascii="宋体" w:eastAsia="宋体" w:hAnsi="宋体" w:cs="Times New Roman" w:hint="eastAsia"/>
          <w:color w:val="000000"/>
          <w:sz w:val="24"/>
          <w:szCs w:val="24"/>
        </w:rPr>
        <w:t>1</w:t>
      </w:r>
      <w:r w:rsidRPr="009F0D9F">
        <w:rPr>
          <w:rFonts w:ascii="宋体" w:eastAsia="宋体" w:hAnsi="宋体" w:cs="Times New Roman"/>
          <w:color w:val="000000"/>
          <w:sz w:val="24"/>
          <w:szCs w:val="24"/>
        </w:rPr>
        <w:t>.</w:t>
      </w:r>
      <w:r w:rsidRPr="009F0D9F">
        <w:rPr>
          <w:rFonts w:ascii="宋体" w:eastAsia="宋体" w:hAnsi="宋体" w:cs="宋体" w:hint="eastAsia"/>
          <w:color w:val="000000"/>
          <w:kern w:val="0"/>
          <w:sz w:val="24"/>
          <w:szCs w:val="24"/>
        </w:rPr>
        <w:t xml:space="preserve"> 理解基因工程菌的培养方式，发酵工艺及培养设备；</w:t>
      </w:r>
    </w:p>
    <w:p w14:paraId="1C8730D9"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宋体" w:hint="eastAsia"/>
          <w:color w:val="000000"/>
          <w:kern w:val="0"/>
          <w:sz w:val="24"/>
          <w:szCs w:val="24"/>
        </w:rPr>
        <w:t>2.了解基因工程药物的分析检测。</w:t>
      </w:r>
    </w:p>
    <w:p w14:paraId="0969BB0B" w14:textId="77777777" w:rsidR="009F0D9F" w:rsidRPr="009F0D9F" w:rsidRDefault="009F0D9F" w:rsidP="009F0D9F">
      <w:pPr>
        <w:spacing w:line="360" w:lineRule="auto"/>
        <w:ind w:firstLineChars="200" w:firstLine="482"/>
        <w:rPr>
          <w:rFonts w:ascii="宋体" w:eastAsia="宋体" w:hAnsi="宋体" w:cs="Times New Roman"/>
          <w:color w:val="000000"/>
          <w:sz w:val="24"/>
          <w:szCs w:val="24"/>
        </w:rPr>
      </w:pPr>
      <w:r w:rsidRPr="009F0D9F">
        <w:rPr>
          <w:rFonts w:ascii="宋体" w:eastAsia="宋体" w:hAnsi="宋体" w:cs="Times New Roman" w:hint="eastAsia"/>
          <w:b/>
          <w:bCs/>
          <w:color w:val="000000"/>
          <w:sz w:val="24"/>
          <w:szCs w:val="24"/>
        </w:rPr>
        <w:t>【教学方法】</w:t>
      </w:r>
    </w:p>
    <w:p w14:paraId="3839500A"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 通过多媒体课件和传统教学相结合，阐明基因工程制药的基本原理，丰富学生课程与教学的基本知识结构，培养学生的职业规范；</w:t>
      </w:r>
    </w:p>
    <w:p w14:paraId="09C06E92"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lastRenderedPageBreak/>
        <w:t>2. 通过案例分析，强调理论与实践相结合，促进学生知识整合，培养学生的反思能力；</w:t>
      </w:r>
    </w:p>
    <w:p w14:paraId="365E8FD6" w14:textId="77777777" w:rsidR="009F0D9F" w:rsidRPr="009F0D9F" w:rsidRDefault="009F0D9F" w:rsidP="009F0D9F">
      <w:pPr>
        <w:spacing w:line="360" w:lineRule="auto"/>
        <w:ind w:firstLineChars="200" w:firstLine="482"/>
        <w:rPr>
          <w:rFonts w:ascii="宋体" w:eastAsia="宋体" w:hAnsi="宋体" w:cs="Times New Roman"/>
          <w:bCs/>
          <w:color w:val="000000"/>
          <w:sz w:val="24"/>
          <w:szCs w:val="24"/>
        </w:rPr>
      </w:pPr>
      <w:r w:rsidRPr="009F0D9F">
        <w:rPr>
          <w:rFonts w:ascii="宋体" w:eastAsia="宋体" w:hAnsi="宋体" w:cs="Times New Roman" w:hint="eastAsia"/>
          <w:b/>
          <w:color w:val="000000"/>
          <w:sz w:val="24"/>
          <w:szCs w:val="24"/>
        </w:rPr>
        <w:t>【复习思考】</w:t>
      </w:r>
    </w:p>
    <w:p w14:paraId="64C0D271"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宋体" w:hint="eastAsia"/>
          <w:color w:val="000000"/>
          <w:kern w:val="0"/>
          <w:sz w:val="24"/>
          <w:szCs w:val="24"/>
        </w:rPr>
        <w:t>1.举例说明基因工程药物的分析检测</w:t>
      </w:r>
      <w:r w:rsidRPr="009F0D9F">
        <w:rPr>
          <w:rFonts w:ascii="宋体" w:eastAsia="宋体" w:hAnsi="宋体" w:cs="Times New Roman" w:hint="eastAsia"/>
          <w:color w:val="000000"/>
          <w:sz w:val="24"/>
          <w:szCs w:val="24"/>
        </w:rPr>
        <w:t>主要包括哪些方法。</w:t>
      </w:r>
    </w:p>
    <w:p w14:paraId="545620C0"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2.举例分析</w:t>
      </w:r>
      <w:r w:rsidRPr="009F0D9F">
        <w:rPr>
          <w:rFonts w:ascii="宋体" w:eastAsia="宋体" w:hAnsi="宋体" w:cs="宋体" w:hint="eastAsia"/>
          <w:color w:val="000000"/>
          <w:kern w:val="0"/>
          <w:sz w:val="24"/>
          <w:szCs w:val="24"/>
        </w:rPr>
        <w:t>基因工程药物表达过程中的高密度发酵及其检测方法？</w:t>
      </w:r>
    </w:p>
    <w:p w14:paraId="07334E94" w14:textId="77777777" w:rsidR="009F0D9F" w:rsidRPr="009F0D9F" w:rsidRDefault="009F0D9F" w:rsidP="009F0D9F">
      <w:pPr>
        <w:spacing w:line="360" w:lineRule="auto"/>
        <w:ind w:firstLineChars="200" w:firstLine="480"/>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第三章  动物细胞药物的制备与分析</w:t>
      </w:r>
    </w:p>
    <w:p w14:paraId="565A3BA9" w14:textId="77777777" w:rsidR="009F0D9F" w:rsidRPr="009F0D9F" w:rsidRDefault="009F0D9F" w:rsidP="009F0D9F">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9F0D9F">
        <w:rPr>
          <w:rFonts w:ascii="宋体" w:eastAsia="宋体" w:hAnsi="宋体" w:cs="Times New Roman" w:hint="eastAsia"/>
          <w:b/>
          <w:color w:val="000000"/>
          <w:sz w:val="24"/>
          <w:szCs w:val="24"/>
        </w:rPr>
        <w:t>【学习目标】</w:t>
      </w:r>
    </w:p>
    <w:p w14:paraId="5EAFAF90"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w:t>
      </w:r>
      <w:r w:rsidRPr="009F0D9F">
        <w:rPr>
          <w:rFonts w:ascii="宋体" w:eastAsia="宋体" w:hAnsi="宋体" w:cs="Times New Roman"/>
          <w:color w:val="000000"/>
          <w:sz w:val="24"/>
          <w:szCs w:val="24"/>
        </w:rPr>
        <w:t xml:space="preserve">. </w:t>
      </w:r>
      <w:r w:rsidRPr="009F0D9F">
        <w:rPr>
          <w:rFonts w:ascii="宋体" w:eastAsia="宋体" w:hAnsi="宋体" w:cs="Times New Roman" w:hint="eastAsia"/>
          <w:color w:val="000000"/>
          <w:sz w:val="24"/>
          <w:szCs w:val="24"/>
        </w:rPr>
        <w:t>认知类目标：了解</w:t>
      </w:r>
      <w:r w:rsidRPr="009F0D9F">
        <w:rPr>
          <w:rFonts w:ascii="宋体" w:eastAsia="宋体" w:hAnsi="宋体" w:cs="宋体" w:hint="eastAsia"/>
          <w:color w:val="000000"/>
          <w:kern w:val="0"/>
          <w:sz w:val="24"/>
          <w:szCs w:val="24"/>
        </w:rPr>
        <w:t>动物细胞的形态和生理特点；</w:t>
      </w:r>
      <w:r w:rsidRPr="009F0D9F">
        <w:rPr>
          <w:rFonts w:ascii="宋体" w:eastAsia="宋体" w:hAnsi="宋体" w:cs="Times New Roman" w:hint="eastAsia"/>
          <w:color w:val="000000"/>
          <w:sz w:val="24"/>
          <w:szCs w:val="24"/>
        </w:rPr>
        <w:t xml:space="preserve"> </w:t>
      </w:r>
    </w:p>
    <w:p w14:paraId="14EF1A1B"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Times New Roman" w:hint="eastAsia"/>
          <w:color w:val="000000"/>
          <w:sz w:val="24"/>
          <w:szCs w:val="24"/>
        </w:rPr>
        <w:t>2</w:t>
      </w:r>
      <w:r w:rsidRPr="009F0D9F">
        <w:rPr>
          <w:rFonts w:ascii="宋体" w:eastAsia="宋体" w:hAnsi="宋体" w:cs="Times New Roman"/>
          <w:color w:val="000000"/>
          <w:sz w:val="24"/>
          <w:szCs w:val="24"/>
        </w:rPr>
        <w:t xml:space="preserve">. </w:t>
      </w:r>
      <w:r w:rsidRPr="009F0D9F">
        <w:rPr>
          <w:rFonts w:ascii="宋体" w:eastAsia="宋体" w:hAnsi="宋体" w:cs="Times New Roman" w:hint="eastAsia"/>
          <w:color w:val="000000"/>
          <w:sz w:val="24"/>
          <w:szCs w:val="24"/>
        </w:rPr>
        <w:t>过程与方法类目标：</w:t>
      </w:r>
      <w:r w:rsidRPr="009F0D9F">
        <w:rPr>
          <w:rFonts w:ascii="宋体" w:eastAsia="宋体" w:hAnsi="宋体" w:cs="宋体" w:hint="eastAsia"/>
          <w:color w:val="000000"/>
          <w:kern w:val="0"/>
          <w:sz w:val="24"/>
          <w:szCs w:val="24"/>
        </w:rPr>
        <w:t>掌握动物细胞的培养条件和培养基；</w:t>
      </w:r>
    </w:p>
    <w:p w14:paraId="33C93BC6"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color w:val="000000"/>
          <w:sz w:val="24"/>
          <w:szCs w:val="24"/>
        </w:rPr>
        <w:t xml:space="preserve">3. </w:t>
      </w:r>
      <w:r w:rsidRPr="009F0D9F">
        <w:rPr>
          <w:rFonts w:ascii="宋体" w:eastAsia="宋体" w:hAnsi="宋体" w:cs="Times New Roman" w:hint="eastAsia"/>
          <w:color w:val="000000"/>
          <w:sz w:val="24"/>
          <w:szCs w:val="24"/>
        </w:rPr>
        <w:t>情感、态度、价值观类目标：</w:t>
      </w:r>
      <w:r w:rsidRPr="009F0D9F">
        <w:rPr>
          <w:rFonts w:ascii="宋体" w:eastAsia="宋体" w:hAnsi="宋体" w:cs="宋体" w:hint="eastAsia"/>
          <w:color w:val="000000"/>
          <w:kern w:val="0"/>
          <w:sz w:val="24"/>
          <w:szCs w:val="24"/>
        </w:rPr>
        <w:t>了解基因工程制药的新进展与发展展望</w:t>
      </w:r>
      <w:r w:rsidRPr="009F0D9F">
        <w:rPr>
          <w:rFonts w:ascii="宋体" w:eastAsia="宋体" w:hAnsi="宋体" w:cs="Times New Roman" w:hint="eastAsia"/>
          <w:color w:val="000000"/>
          <w:sz w:val="24"/>
          <w:szCs w:val="24"/>
        </w:rPr>
        <w:t>。</w:t>
      </w:r>
    </w:p>
    <w:p w14:paraId="4A06FD16" w14:textId="77777777" w:rsidR="009F0D9F" w:rsidRPr="009F0D9F" w:rsidRDefault="009F0D9F" w:rsidP="009F0D9F">
      <w:pPr>
        <w:spacing w:line="360" w:lineRule="auto"/>
        <w:ind w:firstLineChars="200" w:firstLine="482"/>
        <w:rPr>
          <w:rFonts w:ascii="宋体" w:eastAsia="宋体" w:hAnsi="宋体" w:cs="Times New Roman"/>
          <w:b/>
          <w:color w:val="000000"/>
          <w:sz w:val="24"/>
          <w:szCs w:val="24"/>
        </w:rPr>
      </w:pPr>
      <w:r w:rsidRPr="009F0D9F">
        <w:rPr>
          <w:rFonts w:ascii="宋体" w:eastAsia="宋体" w:hAnsi="宋体" w:cs="Times New Roman" w:hint="eastAsia"/>
          <w:b/>
          <w:color w:val="000000"/>
          <w:sz w:val="24"/>
          <w:szCs w:val="24"/>
        </w:rPr>
        <w:t>【课程内容】</w:t>
      </w:r>
    </w:p>
    <w:p w14:paraId="09280CE3"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1.</w:t>
      </w:r>
      <w:r w:rsidRPr="009F0D9F">
        <w:rPr>
          <w:rFonts w:ascii="宋体" w:eastAsia="宋体" w:hAnsi="宋体" w:cs="宋体" w:hint="eastAsia"/>
          <w:color w:val="000000"/>
          <w:kern w:val="0"/>
          <w:sz w:val="24"/>
          <w:szCs w:val="24"/>
        </w:rPr>
        <w:t xml:space="preserve"> 动物细胞的形态和生理特点；</w:t>
      </w:r>
    </w:p>
    <w:p w14:paraId="60831669"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2.</w:t>
      </w:r>
      <w:r w:rsidRPr="009F0D9F">
        <w:rPr>
          <w:rFonts w:ascii="宋体" w:eastAsia="宋体" w:hAnsi="宋体" w:cs="宋体" w:hint="eastAsia"/>
          <w:color w:val="000000"/>
          <w:kern w:val="0"/>
          <w:sz w:val="24"/>
          <w:szCs w:val="24"/>
        </w:rPr>
        <w:t xml:space="preserve"> 生产用动物细胞的要求和获得；</w:t>
      </w:r>
    </w:p>
    <w:p w14:paraId="1FFFB1F5"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3.</w:t>
      </w:r>
      <w:r w:rsidRPr="009F0D9F">
        <w:rPr>
          <w:rFonts w:ascii="宋体" w:eastAsia="宋体" w:hAnsi="宋体" w:cs="宋体" w:hint="eastAsia"/>
          <w:color w:val="000000"/>
          <w:kern w:val="0"/>
          <w:sz w:val="24"/>
          <w:szCs w:val="24"/>
        </w:rPr>
        <w:t xml:space="preserve"> 动物细胞的培养条件和培养基及其分析检测；</w:t>
      </w:r>
    </w:p>
    <w:p w14:paraId="2F5AC87D"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4.</w:t>
      </w:r>
      <w:r w:rsidRPr="009F0D9F">
        <w:rPr>
          <w:rFonts w:ascii="宋体" w:eastAsia="宋体" w:hAnsi="宋体" w:cs="宋体" w:hint="eastAsia"/>
          <w:color w:val="000000"/>
          <w:kern w:val="0"/>
          <w:sz w:val="24"/>
          <w:szCs w:val="24"/>
        </w:rPr>
        <w:t xml:space="preserve"> 动物细胞生物反应器及其检测控制系统；</w:t>
      </w:r>
    </w:p>
    <w:p w14:paraId="48CA3E00"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9F0D9F">
        <w:rPr>
          <w:rFonts w:ascii="宋体" w:eastAsia="宋体" w:hAnsi="宋体" w:cs="宋体"/>
          <w:color w:val="000000"/>
          <w:kern w:val="0"/>
          <w:sz w:val="24"/>
          <w:szCs w:val="24"/>
        </w:rPr>
        <w:t>5.</w:t>
      </w:r>
      <w:r w:rsidRPr="009F0D9F">
        <w:rPr>
          <w:rFonts w:ascii="宋体" w:eastAsia="宋体" w:hAnsi="宋体" w:cs="宋体" w:hint="eastAsia"/>
          <w:color w:val="000000"/>
          <w:kern w:val="0"/>
          <w:sz w:val="24"/>
          <w:szCs w:val="24"/>
        </w:rPr>
        <w:t xml:space="preserve"> 动物细胞制药的前景与展望。</w:t>
      </w:r>
    </w:p>
    <w:p w14:paraId="11B950A2" w14:textId="77777777" w:rsidR="009F0D9F" w:rsidRPr="009F0D9F" w:rsidRDefault="009F0D9F" w:rsidP="009F0D9F">
      <w:pPr>
        <w:spacing w:line="360" w:lineRule="auto"/>
        <w:ind w:firstLineChars="200" w:firstLine="482"/>
        <w:rPr>
          <w:rFonts w:ascii="宋体" w:eastAsia="宋体" w:hAnsi="宋体" w:cs="Times New Roman"/>
          <w:b/>
          <w:color w:val="000000"/>
          <w:sz w:val="24"/>
          <w:szCs w:val="24"/>
        </w:rPr>
      </w:pPr>
      <w:r w:rsidRPr="009F0D9F">
        <w:rPr>
          <w:rFonts w:ascii="宋体" w:eastAsia="宋体" w:hAnsi="宋体" w:cs="Times New Roman" w:hint="eastAsia"/>
          <w:b/>
          <w:color w:val="000000"/>
          <w:sz w:val="24"/>
          <w:szCs w:val="24"/>
        </w:rPr>
        <w:t>【重点】</w:t>
      </w:r>
    </w:p>
    <w:p w14:paraId="0D570709" w14:textId="77777777" w:rsidR="009F0D9F" w:rsidRPr="009F0D9F" w:rsidRDefault="009F0D9F" w:rsidP="009F0D9F">
      <w:pPr>
        <w:spacing w:line="360" w:lineRule="auto"/>
        <w:ind w:firstLineChars="200" w:firstLine="480"/>
        <w:rPr>
          <w:rFonts w:ascii="宋体" w:eastAsia="宋体" w:hAnsi="宋体" w:cs="宋体"/>
          <w:color w:val="000000"/>
          <w:kern w:val="0"/>
          <w:sz w:val="24"/>
          <w:szCs w:val="24"/>
        </w:rPr>
      </w:pPr>
      <w:r w:rsidRPr="009F0D9F">
        <w:rPr>
          <w:rFonts w:ascii="宋体" w:eastAsia="宋体" w:hAnsi="宋体" w:cs="Times New Roman" w:hint="eastAsia"/>
          <w:color w:val="000000"/>
          <w:sz w:val="24"/>
          <w:szCs w:val="24"/>
        </w:rPr>
        <w:t>1</w:t>
      </w:r>
      <w:r w:rsidRPr="009F0D9F">
        <w:rPr>
          <w:rFonts w:ascii="宋体" w:eastAsia="宋体" w:hAnsi="宋体" w:cs="Times New Roman"/>
          <w:color w:val="000000"/>
          <w:sz w:val="24"/>
          <w:szCs w:val="24"/>
        </w:rPr>
        <w:t>.</w:t>
      </w:r>
      <w:r w:rsidRPr="009F0D9F">
        <w:rPr>
          <w:rFonts w:ascii="宋体" w:eastAsia="宋体" w:hAnsi="宋体" w:cs="宋体" w:hint="eastAsia"/>
          <w:color w:val="000000"/>
          <w:kern w:val="0"/>
          <w:sz w:val="24"/>
          <w:szCs w:val="24"/>
        </w:rPr>
        <w:t>动物细胞生物反应器及其检测控制系统；</w:t>
      </w:r>
    </w:p>
    <w:p w14:paraId="5EB58FE0"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宋体" w:hint="eastAsia"/>
          <w:color w:val="000000"/>
          <w:kern w:val="0"/>
          <w:sz w:val="24"/>
          <w:szCs w:val="24"/>
        </w:rPr>
        <w:t>2.基因工程技术的概念及基因工程制药的基本过程。</w:t>
      </w:r>
      <w:r w:rsidRPr="009F0D9F">
        <w:rPr>
          <w:rFonts w:ascii="宋体" w:eastAsia="宋体" w:hAnsi="宋体" w:cs="Times New Roman" w:hint="eastAsia"/>
          <w:color w:val="000000"/>
          <w:sz w:val="24"/>
          <w:szCs w:val="24"/>
        </w:rPr>
        <w:t xml:space="preserve"> </w:t>
      </w:r>
    </w:p>
    <w:p w14:paraId="765D79A3" w14:textId="77777777" w:rsidR="009F0D9F" w:rsidRPr="009F0D9F" w:rsidRDefault="009F0D9F" w:rsidP="009F0D9F">
      <w:pPr>
        <w:spacing w:line="360" w:lineRule="auto"/>
        <w:ind w:firstLineChars="200" w:firstLine="482"/>
        <w:rPr>
          <w:rFonts w:ascii="宋体" w:eastAsia="宋体" w:hAnsi="宋体" w:cs="Times New Roman"/>
          <w:b/>
          <w:color w:val="000000"/>
          <w:sz w:val="24"/>
          <w:szCs w:val="24"/>
        </w:rPr>
      </w:pPr>
      <w:r w:rsidRPr="009F0D9F">
        <w:rPr>
          <w:rFonts w:ascii="宋体" w:eastAsia="宋体" w:hAnsi="宋体" w:cs="Times New Roman" w:hint="eastAsia"/>
          <w:b/>
          <w:color w:val="000000"/>
          <w:sz w:val="24"/>
          <w:szCs w:val="24"/>
        </w:rPr>
        <w:t>【难点】</w:t>
      </w:r>
    </w:p>
    <w:p w14:paraId="7B104651"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9F0D9F">
        <w:rPr>
          <w:rFonts w:ascii="宋体" w:eastAsia="宋体" w:hAnsi="宋体" w:cs="Times New Roman" w:hint="eastAsia"/>
          <w:color w:val="000000"/>
          <w:sz w:val="24"/>
          <w:szCs w:val="24"/>
        </w:rPr>
        <w:t>1</w:t>
      </w:r>
      <w:r w:rsidRPr="009F0D9F">
        <w:rPr>
          <w:rFonts w:ascii="宋体" w:eastAsia="宋体" w:hAnsi="宋体" w:cs="Times New Roman"/>
          <w:color w:val="000000"/>
          <w:sz w:val="24"/>
          <w:szCs w:val="24"/>
        </w:rPr>
        <w:t>.</w:t>
      </w:r>
      <w:r w:rsidRPr="009F0D9F">
        <w:rPr>
          <w:rFonts w:ascii="宋体" w:eastAsia="宋体" w:hAnsi="宋体" w:cs="宋体" w:hint="eastAsia"/>
          <w:color w:val="000000"/>
          <w:kern w:val="0"/>
          <w:sz w:val="24"/>
          <w:szCs w:val="24"/>
        </w:rPr>
        <w:t>动物细胞的形态和生理特点；</w:t>
      </w:r>
    </w:p>
    <w:p w14:paraId="3A66850A"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9F0D9F">
        <w:rPr>
          <w:rFonts w:ascii="宋体" w:eastAsia="宋体" w:hAnsi="宋体" w:cs="宋体" w:hint="eastAsia"/>
          <w:color w:val="000000"/>
          <w:kern w:val="0"/>
          <w:sz w:val="24"/>
          <w:szCs w:val="24"/>
        </w:rPr>
        <w:t>2.理解生产用动物细胞的要求和获得；</w:t>
      </w:r>
    </w:p>
    <w:p w14:paraId="0A0AB4F7"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9F0D9F">
        <w:rPr>
          <w:rFonts w:ascii="宋体" w:eastAsia="宋体" w:hAnsi="宋体" w:cs="宋体" w:hint="eastAsia"/>
          <w:color w:val="000000"/>
          <w:kern w:val="0"/>
          <w:sz w:val="24"/>
          <w:szCs w:val="24"/>
        </w:rPr>
        <w:t>3.理解动物细胞的培养条件和培养基。</w:t>
      </w:r>
    </w:p>
    <w:p w14:paraId="57CD2386" w14:textId="77777777" w:rsidR="009F0D9F" w:rsidRPr="009F0D9F" w:rsidRDefault="009F0D9F" w:rsidP="009F0D9F">
      <w:pPr>
        <w:spacing w:line="360" w:lineRule="auto"/>
        <w:ind w:firstLineChars="200" w:firstLine="482"/>
        <w:rPr>
          <w:rFonts w:ascii="宋体" w:eastAsia="宋体" w:hAnsi="宋体" w:cs="Times New Roman"/>
          <w:color w:val="000000"/>
          <w:sz w:val="24"/>
          <w:szCs w:val="24"/>
        </w:rPr>
      </w:pPr>
      <w:r w:rsidRPr="009F0D9F">
        <w:rPr>
          <w:rFonts w:ascii="宋体" w:eastAsia="宋体" w:hAnsi="宋体" w:cs="Times New Roman" w:hint="eastAsia"/>
          <w:b/>
          <w:bCs/>
          <w:color w:val="000000"/>
          <w:sz w:val="24"/>
          <w:szCs w:val="24"/>
        </w:rPr>
        <w:t>【教学方法】</w:t>
      </w:r>
    </w:p>
    <w:p w14:paraId="73D8A391"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 通过多媒体课件和传统教学相结合，阐明动物细胞制药的基本原理，丰富学生课程与教学的基本知识结构，培养学生的职业规范；</w:t>
      </w:r>
    </w:p>
    <w:p w14:paraId="5907F459"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2. 通过案例分析，强调理论与实践相结合，促进学生知识整合，培养学生的反思能力；</w:t>
      </w:r>
    </w:p>
    <w:p w14:paraId="2135F225" w14:textId="77777777" w:rsidR="009F0D9F" w:rsidRPr="009F0D9F" w:rsidRDefault="009F0D9F" w:rsidP="009F0D9F">
      <w:pPr>
        <w:spacing w:line="360" w:lineRule="auto"/>
        <w:ind w:firstLineChars="200" w:firstLine="482"/>
        <w:rPr>
          <w:rFonts w:ascii="宋体" w:eastAsia="宋体" w:hAnsi="宋体" w:cs="Times New Roman"/>
          <w:bCs/>
          <w:color w:val="000000"/>
          <w:sz w:val="24"/>
          <w:szCs w:val="24"/>
        </w:rPr>
      </w:pPr>
      <w:r w:rsidRPr="009F0D9F">
        <w:rPr>
          <w:rFonts w:ascii="宋体" w:eastAsia="宋体" w:hAnsi="宋体" w:cs="Times New Roman" w:hint="eastAsia"/>
          <w:b/>
          <w:color w:val="000000"/>
          <w:sz w:val="24"/>
          <w:szCs w:val="24"/>
        </w:rPr>
        <w:t>【复习思考】</w:t>
      </w:r>
    </w:p>
    <w:p w14:paraId="2D9739ED"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hint="eastAsia"/>
          <w:color w:val="000000"/>
          <w:kern w:val="0"/>
          <w:sz w:val="24"/>
          <w:szCs w:val="24"/>
        </w:rPr>
        <w:t>掌握物细胞的生理特点，简要叙述动物细胞的培养条件和产物的分析检测。</w:t>
      </w:r>
    </w:p>
    <w:p w14:paraId="1D9613B0" w14:textId="77777777" w:rsidR="009F0D9F" w:rsidRPr="009F0D9F" w:rsidRDefault="009F0D9F" w:rsidP="009F0D9F">
      <w:pPr>
        <w:spacing w:line="360" w:lineRule="auto"/>
        <w:ind w:firstLineChars="200" w:firstLine="480"/>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lastRenderedPageBreak/>
        <w:t>第四章  抗体药物的制备与分析</w:t>
      </w:r>
    </w:p>
    <w:p w14:paraId="217E1191" w14:textId="77777777" w:rsidR="009F0D9F" w:rsidRPr="009F0D9F" w:rsidRDefault="009F0D9F" w:rsidP="009F0D9F">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9F0D9F">
        <w:rPr>
          <w:rFonts w:ascii="宋体" w:eastAsia="宋体" w:hAnsi="宋体" w:cs="Times New Roman" w:hint="eastAsia"/>
          <w:b/>
          <w:color w:val="000000"/>
          <w:sz w:val="24"/>
          <w:szCs w:val="24"/>
        </w:rPr>
        <w:t>【学习目标】</w:t>
      </w:r>
    </w:p>
    <w:p w14:paraId="7C74BE37"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w:t>
      </w:r>
      <w:r w:rsidRPr="009F0D9F">
        <w:rPr>
          <w:rFonts w:ascii="宋体" w:eastAsia="宋体" w:hAnsi="宋体" w:cs="Times New Roman"/>
          <w:color w:val="000000"/>
          <w:sz w:val="24"/>
          <w:szCs w:val="24"/>
        </w:rPr>
        <w:t>.</w:t>
      </w:r>
      <w:r w:rsidRPr="009F0D9F">
        <w:rPr>
          <w:rFonts w:ascii="宋体" w:eastAsia="宋体" w:hAnsi="宋体" w:cs="Times New Roman" w:hint="eastAsia"/>
          <w:color w:val="000000"/>
          <w:sz w:val="24"/>
          <w:szCs w:val="24"/>
        </w:rPr>
        <w:t xml:space="preserve"> 认知类目标：</w:t>
      </w:r>
      <w:r w:rsidRPr="009F0D9F">
        <w:rPr>
          <w:rFonts w:ascii="宋体" w:eastAsia="宋体" w:hAnsi="宋体" w:cs="宋体" w:hint="eastAsia"/>
          <w:color w:val="000000"/>
          <w:kern w:val="0"/>
          <w:sz w:val="24"/>
          <w:szCs w:val="24"/>
        </w:rPr>
        <w:t>掌握单克隆抗体的概念；了解抗体诊断试剂和抗体治疗药物；</w:t>
      </w:r>
    </w:p>
    <w:p w14:paraId="25B23C51"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Times New Roman" w:hint="eastAsia"/>
          <w:color w:val="000000"/>
          <w:sz w:val="24"/>
          <w:szCs w:val="24"/>
        </w:rPr>
        <w:t>2</w:t>
      </w:r>
      <w:r w:rsidRPr="009F0D9F">
        <w:rPr>
          <w:rFonts w:ascii="宋体" w:eastAsia="宋体" w:hAnsi="宋体" w:cs="Times New Roman"/>
          <w:color w:val="000000"/>
          <w:sz w:val="24"/>
          <w:szCs w:val="24"/>
        </w:rPr>
        <w:t>.</w:t>
      </w:r>
      <w:r w:rsidRPr="009F0D9F">
        <w:rPr>
          <w:rFonts w:ascii="宋体" w:eastAsia="宋体" w:hAnsi="宋体" w:cs="Times New Roman" w:hint="eastAsia"/>
          <w:color w:val="000000"/>
          <w:sz w:val="24"/>
          <w:szCs w:val="24"/>
        </w:rPr>
        <w:t xml:space="preserve"> 过程与方法类目标：</w:t>
      </w:r>
      <w:r w:rsidRPr="009F0D9F">
        <w:rPr>
          <w:rFonts w:ascii="宋体" w:eastAsia="宋体" w:hAnsi="宋体" w:cs="宋体" w:hint="eastAsia"/>
          <w:color w:val="000000"/>
          <w:kern w:val="0"/>
          <w:sz w:val="24"/>
          <w:szCs w:val="24"/>
        </w:rPr>
        <w:t>理解制备单克隆抗体的一般流程；理解鼠源性单克隆抗体的改造；理解噬菌体抗体库的基本方法；技术特点及基因工程抗体的表达；</w:t>
      </w:r>
      <w:r w:rsidRPr="009F0D9F">
        <w:rPr>
          <w:rFonts w:ascii="宋体" w:eastAsia="宋体" w:hAnsi="宋体" w:cs="Times New Roman"/>
          <w:color w:val="000000"/>
          <w:kern w:val="0"/>
          <w:sz w:val="24"/>
          <w:szCs w:val="24"/>
        </w:rPr>
        <w:t xml:space="preserve"> </w:t>
      </w:r>
    </w:p>
    <w:p w14:paraId="41C0BE7A"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9F0D9F">
        <w:rPr>
          <w:rFonts w:ascii="宋体" w:eastAsia="宋体" w:hAnsi="宋体" w:cs="Times New Roman"/>
          <w:color w:val="000000"/>
          <w:sz w:val="24"/>
          <w:szCs w:val="24"/>
        </w:rPr>
        <w:t>3.</w:t>
      </w:r>
      <w:r w:rsidRPr="009F0D9F">
        <w:rPr>
          <w:rFonts w:ascii="宋体" w:eastAsia="宋体" w:hAnsi="宋体" w:cs="Times New Roman" w:hint="eastAsia"/>
          <w:color w:val="000000"/>
          <w:sz w:val="24"/>
          <w:szCs w:val="24"/>
        </w:rPr>
        <w:t>情感、态度、价值观类目标：</w:t>
      </w:r>
      <w:r w:rsidRPr="009F0D9F">
        <w:rPr>
          <w:rFonts w:ascii="宋体" w:eastAsia="宋体" w:hAnsi="宋体" w:cs="宋体" w:hint="eastAsia"/>
          <w:color w:val="000000"/>
          <w:kern w:val="0"/>
          <w:sz w:val="24"/>
          <w:szCs w:val="24"/>
        </w:rPr>
        <w:t>了解抗体制药的前景与展望。</w:t>
      </w:r>
    </w:p>
    <w:p w14:paraId="1A581A00" w14:textId="77777777" w:rsidR="009F0D9F" w:rsidRPr="009F0D9F" w:rsidRDefault="009F0D9F" w:rsidP="009F0D9F">
      <w:pPr>
        <w:autoSpaceDE w:val="0"/>
        <w:autoSpaceDN w:val="0"/>
        <w:adjustRightInd w:val="0"/>
        <w:snapToGrid w:val="0"/>
        <w:spacing w:line="360" w:lineRule="auto"/>
        <w:ind w:firstLineChars="200" w:firstLine="482"/>
        <w:jc w:val="left"/>
        <w:rPr>
          <w:rFonts w:ascii="宋体" w:eastAsia="宋体" w:hAnsi="宋体" w:cs="宋体"/>
          <w:color w:val="000000"/>
          <w:kern w:val="0"/>
          <w:sz w:val="24"/>
          <w:szCs w:val="24"/>
        </w:rPr>
      </w:pPr>
      <w:r w:rsidRPr="009F0D9F">
        <w:rPr>
          <w:rFonts w:ascii="宋体" w:eastAsia="宋体" w:hAnsi="宋体" w:cs="Times New Roman" w:hint="eastAsia"/>
          <w:b/>
          <w:color w:val="000000"/>
          <w:sz w:val="24"/>
          <w:szCs w:val="24"/>
        </w:rPr>
        <w:t>【课程内容】</w:t>
      </w:r>
    </w:p>
    <w:p w14:paraId="40EA3702"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1.</w:t>
      </w:r>
      <w:r w:rsidRPr="009F0D9F">
        <w:rPr>
          <w:rFonts w:ascii="宋体" w:eastAsia="宋体" w:hAnsi="宋体" w:cs="宋体" w:hint="eastAsia"/>
          <w:color w:val="000000"/>
          <w:kern w:val="0"/>
          <w:sz w:val="24"/>
          <w:szCs w:val="24"/>
        </w:rPr>
        <w:t xml:space="preserve"> 单克隆抗体的基本过程及其分析检测；</w:t>
      </w:r>
    </w:p>
    <w:p w14:paraId="744D2CBA"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2.</w:t>
      </w:r>
      <w:r w:rsidRPr="009F0D9F">
        <w:rPr>
          <w:rFonts w:ascii="宋体" w:eastAsia="宋体" w:hAnsi="宋体" w:cs="宋体" w:hint="eastAsia"/>
          <w:color w:val="000000"/>
          <w:kern w:val="0"/>
          <w:sz w:val="24"/>
          <w:szCs w:val="24"/>
        </w:rPr>
        <w:t xml:space="preserve"> 鼠源性单克隆抗体的改造及其分析检测；</w:t>
      </w:r>
    </w:p>
    <w:p w14:paraId="4FB9D614"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3.</w:t>
      </w:r>
      <w:r w:rsidRPr="009F0D9F">
        <w:rPr>
          <w:rFonts w:ascii="宋体" w:eastAsia="宋体" w:hAnsi="宋体" w:cs="宋体" w:hint="eastAsia"/>
          <w:color w:val="000000"/>
          <w:kern w:val="0"/>
          <w:sz w:val="24"/>
          <w:szCs w:val="24"/>
        </w:rPr>
        <w:t xml:space="preserve"> 噬菌体抗体库的基本方法、技术特点及基因工程抗体的表达；</w:t>
      </w:r>
    </w:p>
    <w:p w14:paraId="27569682" w14:textId="77777777" w:rsidR="009F0D9F" w:rsidRPr="009F0D9F" w:rsidRDefault="009F0D9F" w:rsidP="009F0D9F">
      <w:pPr>
        <w:spacing w:line="360" w:lineRule="auto"/>
        <w:ind w:firstLineChars="200" w:firstLine="480"/>
        <w:rPr>
          <w:rFonts w:ascii="宋体" w:eastAsia="宋体" w:hAnsi="宋体" w:cs="宋体"/>
          <w:color w:val="000000"/>
          <w:kern w:val="0"/>
          <w:sz w:val="24"/>
          <w:szCs w:val="24"/>
        </w:rPr>
      </w:pPr>
      <w:r w:rsidRPr="009F0D9F">
        <w:rPr>
          <w:rFonts w:ascii="宋体" w:eastAsia="宋体" w:hAnsi="宋体" w:cs="宋体"/>
          <w:color w:val="000000"/>
          <w:kern w:val="0"/>
          <w:sz w:val="24"/>
          <w:szCs w:val="24"/>
        </w:rPr>
        <w:t>4.</w:t>
      </w:r>
      <w:r w:rsidRPr="009F0D9F">
        <w:rPr>
          <w:rFonts w:ascii="宋体" w:eastAsia="宋体" w:hAnsi="宋体" w:cs="宋体" w:hint="eastAsia"/>
          <w:color w:val="000000"/>
          <w:kern w:val="0"/>
          <w:sz w:val="24"/>
          <w:szCs w:val="24"/>
        </w:rPr>
        <w:t xml:space="preserve"> 抗体诊断试剂和抗体治疗药物。</w:t>
      </w:r>
    </w:p>
    <w:p w14:paraId="3FD8B984" w14:textId="77777777" w:rsidR="009F0D9F" w:rsidRPr="009F0D9F" w:rsidRDefault="009F0D9F" w:rsidP="009F0D9F">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9F0D9F">
        <w:rPr>
          <w:rFonts w:ascii="宋体" w:eastAsia="宋体" w:hAnsi="宋体" w:cs="Times New Roman" w:hint="eastAsia"/>
          <w:b/>
          <w:color w:val="000000"/>
          <w:sz w:val="24"/>
          <w:szCs w:val="24"/>
        </w:rPr>
        <w:t>【重点】</w:t>
      </w:r>
    </w:p>
    <w:p w14:paraId="7851D0F2"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w:t>
      </w:r>
      <w:r w:rsidRPr="009F0D9F">
        <w:rPr>
          <w:rFonts w:ascii="宋体" w:eastAsia="宋体" w:hAnsi="宋体" w:cs="Times New Roman"/>
          <w:color w:val="000000"/>
          <w:sz w:val="24"/>
          <w:szCs w:val="24"/>
        </w:rPr>
        <w:t>.</w:t>
      </w:r>
      <w:r w:rsidRPr="009F0D9F">
        <w:rPr>
          <w:rFonts w:ascii="宋体" w:eastAsia="宋体" w:hAnsi="宋体" w:cs="宋体" w:hint="eastAsia"/>
          <w:color w:val="000000"/>
          <w:kern w:val="0"/>
          <w:sz w:val="24"/>
          <w:szCs w:val="24"/>
        </w:rPr>
        <w:t>抗体诊断试剂和抗体治疗药物；</w:t>
      </w:r>
      <w:r w:rsidRPr="009F0D9F">
        <w:rPr>
          <w:rFonts w:ascii="宋体" w:eastAsia="宋体" w:hAnsi="宋体" w:cs="Times New Roman" w:hint="eastAsia"/>
          <w:color w:val="000000"/>
          <w:sz w:val="24"/>
          <w:szCs w:val="24"/>
        </w:rPr>
        <w:t xml:space="preserve"> </w:t>
      </w:r>
    </w:p>
    <w:p w14:paraId="75C9C581"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9F0D9F">
        <w:rPr>
          <w:rFonts w:ascii="宋体" w:eastAsia="宋体" w:hAnsi="宋体" w:cs="Times New Roman" w:hint="eastAsia"/>
          <w:color w:val="000000"/>
          <w:sz w:val="24"/>
          <w:szCs w:val="24"/>
        </w:rPr>
        <w:t>2</w:t>
      </w:r>
      <w:r w:rsidRPr="009F0D9F">
        <w:rPr>
          <w:rFonts w:ascii="宋体" w:eastAsia="宋体" w:hAnsi="宋体" w:cs="Times New Roman"/>
          <w:color w:val="000000"/>
          <w:sz w:val="24"/>
          <w:szCs w:val="24"/>
        </w:rPr>
        <w:t>.</w:t>
      </w:r>
      <w:r w:rsidRPr="009F0D9F">
        <w:rPr>
          <w:rFonts w:ascii="宋体" w:eastAsia="宋体" w:hAnsi="宋体" w:cs="宋体" w:hint="eastAsia"/>
          <w:color w:val="000000"/>
          <w:kern w:val="0"/>
          <w:sz w:val="24"/>
          <w:szCs w:val="24"/>
        </w:rPr>
        <w:t>制备单克隆抗体的一般流程；</w:t>
      </w:r>
    </w:p>
    <w:p w14:paraId="58AACDCA"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9F0D9F">
        <w:rPr>
          <w:rFonts w:ascii="宋体" w:eastAsia="宋体" w:hAnsi="宋体" w:cs="宋体" w:hint="eastAsia"/>
          <w:color w:val="000000"/>
          <w:kern w:val="0"/>
          <w:sz w:val="24"/>
          <w:szCs w:val="24"/>
        </w:rPr>
        <w:t>3.理解鼠源性单克隆抗体的改造。</w:t>
      </w:r>
    </w:p>
    <w:p w14:paraId="2BA595D3" w14:textId="77777777" w:rsidR="009F0D9F" w:rsidRPr="009F0D9F" w:rsidRDefault="009F0D9F" w:rsidP="009F0D9F">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9F0D9F">
        <w:rPr>
          <w:rFonts w:ascii="宋体" w:eastAsia="宋体" w:hAnsi="宋体" w:cs="Times New Roman" w:hint="eastAsia"/>
          <w:b/>
          <w:color w:val="000000"/>
          <w:sz w:val="24"/>
          <w:szCs w:val="24"/>
        </w:rPr>
        <w:t>【难点】</w:t>
      </w:r>
    </w:p>
    <w:p w14:paraId="0A719885"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9F0D9F">
        <w:rPr>
          <w:rFonts w:ascii="宋体" w:eastAsia="宋体" w:hAnsi="宋体" w:cs="宋体" w:hint="eastAsia"/>
          <w:color w:val="000000"/>
          <w:kern w:val="0"/>
          <w:sz w:val="24"/>
          <w:szCs w:val="24"/>
        </w:rPr>
        <w:t>1.理解噬菌体抗体库的基本方法；</w:t>
      </w:r>
    </w:p>
    <w:p w14:paraId="42F4EA20" w14:textId="77777777" w:rsidR="009F0D9F" w:rsidRPr="009F0D9F" w:rsidRDefault="009F0D9F" w:rsidP="009F0D9F">
      <w:pPr>
        <w:spacing w:line="360" w:lineRule="auto"/>
        <w:ind w:firstLineChars="200" w:firstLine="480"/>
        <w:rPr>
          <w:rFonts w:ascii="宋体" w:eastAsia="宋体" w:hAnsi="宋体" w:cs="Times New Roman"/>
          <w:b/>
          <w:bCs/>
          <w:color w:val="000000"/>
          <w:sz w:val="24"/>
          <w:szCs w:val="24"/>
        </w:rPr>
      </w:pPr>
      <w:r w:rsidRPr="009F0D9F">
        <w:rPr>
          <w:rFonts w:ascii="宋体" w:eastAsia="宋体" w:hAnsi="宋体" w:cs="宋体" w:hint="eastAsia"/>
          <w:color w:val="000000"/>
          <w:kern w:val="0"/>
          <w:sz w:val="24"/>
          <w:szCs w:val="24"/>
        </w:rPr>
        <w:t>2.技术特点及基因工程抗体的表达。</w:t>
      </w:r>
    </w:p>
    <w:p w14:paraId="48C6B63A" w14:textId="77777777" w:rsidR="009F0D9F" w:rsidRPr="009F0D9F" w:rsidRDefault="009F0D9F" w:rsidP="009F0D9F">
      <w:pPr>
        <w:spacing w:line="360" w:lineRule="auto"/>
        <w:ind w:firstLineChars="200" w:firstLine="482"/>
        <w:rPr>
          <w:rFonts w:ascii="宋体" w:eastAsia="宋体" w:hAnsi="宋体" w:cs="Times New Roman"/>
          <w:color w:val="000000"/>
          <w:sz w:val="24"/>
          <w:szCs w:val="24"/>
        </w:rPr>
      </w:pPr>
      <w:r w:rsidRPr="009F0D9F">
        <w:rPr>
          <w:rFonts w:ascii="宋体" w:eastAsia="宋体" w:hAnsi="宋体" w:cs="Times New Roman" w:hint="eastAsia"/>
          <w:b/>
          <w:bCs/>
          <w:color w:val="000000"/>
          <w:sz w:val="24"/>
          <w:szCs w:val="24"/>
        </w:rPr>
        <w:t>【教学方法】</w:t>
      </w:r>
    </w:p>
    <w:p w14:paraId="0A49986E"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 通过多媒体课件和传统教学相结合，阐明抗体制药的基本原理，丰富学生课程与教学的基本知识结构，培养学生的职业规范；</w:t>
      </w:r>
    </w:p>
    <w:p w14:paraId="446960C5"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2. 通过案例分析，强调理论与实践相结合，促进学生知识整合，培养学生的反思能力。</w:t>
      </w:r>
    </w:p>
    <w:p w14:paraId="19B230DF" w14:textId="77777777" w:rsidR="009F0D9F" w:rsidRPr="009F0D9F" w:rsidRDefault="009F0D9F" w:rsidP="009F0D9F">
      <w:pPr>
        <w:spacing w:line="360" w:lineRule="auto"/>
        <w:ind w:firstLineChars="200" w:firstLine="482"/>
        <w:rPr>
          <w:rFonts w:ascii="宋体" w:eastAsia="宋体" w:hAnsi="宋体" w:cs="Times New Roman"/>
          <w:bCs/>
          <w:color w:val="000000"/>
          <w:sz w:val="24"/>
          <w:szCs w:val="24"/>
        </w:rPr>
      </w:pPr>
      <w:r w:rsidRPr="009F0D9F">
        <w:rPr>
          <w:rFonts w:ascii="宋体" w:eastAsia="宋体" w:hAnsi="宋体" w:cs="Times New Roman" w:hint="eastAsia"/>
          <w:b/>
          <w:color w:val="000000"/>
          <w:sz w:val="24"/>
          <w:szCs w:val="24"/>
        </w:rPr>
        <w:t>【复习思考】</w:t>
      </w:r>
    </w:p>
    <w:p w14:paraId="6409A38A"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Times New Roman" w:hint="eastAsia"/>
          <w:color w:val="000000"/>
          <w:sz w:val="24"/>
          <w:szCs w:val="24"/>
        </w:rPr>
        <w:t>基因工程抗体包括哪些类型？分析检测的方法有哪些？</w:t>
      </w:r>
      <w:r w:rsidRPr="009F0D9F">
        <w:rPr>
          <w:rFonts w:ascii="宋体" w:eastAsia="宋体" w:hAnsi="宋体" w:cs="宋体" w:hint="eastAsia"/>
          <w:color w:val="000000"/>
          <w:kern w:val="0"/>
          <w:sz w:val="24"/>
          <w:szCs w:val="24"/>
        </w:rPr>
        <w:t xml:space="preserve"> </w:t>
      </w:r>
    </w:p>
    <w:p w14:paraId="60D3DEBD" w14:textId="77777777" w:rsidR="009F0D9F" w:rsidRPr="009F0D9F" w:rsidRDefault="009F0D9F" w:rsidP="009F0D9F">
      <w:pPr>
        <w:spacing w:line="360" w:lineRule="auto"/>
        <w:ind w:firstLineChars="200" w:firstLine="480"/>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 xml:space="preserve">第五章  </w:t>
      </w:r>
      <w:r w:rsidRPr="009F0D9F">
        <w:rPr>
          <w:rFonts w:ascii="宋体" w:eastAsia="宋体" w:hAnsi="宋体" w:cs="宋体" w:hint="eastAsia"/>
          <w:bCs/>
          <w:color w:val="000000"/>
          <w:kern w:val="0"/>
          <w:sz w:val="24"/>
          <w:szCs w:val="24"/>
        </w:rPr>
        <w:t>植物细胞</w:t>
      </w:r>
      <w:r w:rsidRPr="009F0D9F">
        <w:rPr>
          <w:rFonts w:ascii="宋体" w:eastAsia="宋体" w:hAnsi="宋体" w:cs="Times New Roman" w:hint="eastAsia"/>
          <w:color w:val="000000"/>
          <w:sz w:val="24"/>
          <w:szCs w:val="24"/>
        </w:rPr>
        <w:t>药物的制备与分析</w:t>
      </w:r>
    </w:p>
    <w:p w14:paraId="3B14F14C" w14:textId="77777777" w:rsidR="009F0D9F" w:rsidRPr="009F0D9F" w:rsidRDefault="009F0D9F" w:rsidP="009F0D9F">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9F0D9F">
        <w:rPr>
          <w:rFonts w:ascii="宋体" w:eastAsia="宋体" w:hAnsi="宋体" w:cs="Times New Roman" w:hint="eastAsia"/>
          <w:b/>
          <w:color w:val="000000"/>
          <w:sz w:val="24"/>
          <w:szCs w:val="24"/>
        </w:rPr>
        <w:t>【学习目标】</w:t>
      </w:r>
    </w:p>
    <w:p w14:paraId="2D79B505"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w:t>
      </w:r>
      <w:r w:rsidRPr="009F0D9F">
        <w:rPr>
          <w:rFonts w:ascii="宋体" w:eastAsia="宋体" w:hAnsi="宋体" w:cs="Times New Roman"/>
          <w:color w:val="000000"/>
          <w:sz w:val="24"/>
          <w:szCs w:val="24"/>
        </w:rPr>
        <w:t>.</w:t>
      </w:r>
      <w:r w:rsidRPr="009F0D9F">
        <w:rPr>
          <w:rFonts w:ascii="宋体" w:eastAsia="宋体" w:hAnsi="宋体" w:cs="Times New Roman" w:hint="eastAsia"/>
          <w:color w:val="000000"/>
          <w:sz w:val="24"/>
          <w:szCs w:val="24"/>
        </w:rPr>
        <w:t xml:space="preserve"> 认知类目标：了解</w:t>
      </w:r>
      <w:r w:rsidRPr="009F0D9F">
        <w:rPr>
          <w:rFonts w:ascii="宋体" w:eastAsia="宋体" w:hAnsi="宋体" w:cs="宋体" w:hint="eastAsia"/>
          <w:color w:val="000000"/>
          <w:kern w:val="0"/>
          <w:sz w:val="24"/>
          <w:szCs w:val="24"/>
        </w:rPr>
        <w:t>植物细胞的形态和生理特点；</w:t>
      </w:r>
      <w:r w:rsidRPr="009F0D9F">
        <w:rPr>
          <w:rFonts w:ascii="宋体" w:eastAsia="宋体" w:hAnsi="宋体" w:cs="Times New Roman" w:hint="eastAsia"/>
          <w:color w:val="000000"/>
          <w:sz w:val="24"/>
          <w:szCs w:val="24"/>
        </w:rPr>
        <w:t xml:space="preserve"> </w:t>
      </w:r>
    </w:p>
    <w:p w14:paraId="31225470"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Times New Roman" w:hint="eastAsia"/>
          <w:color w:val="000000"/>
          <w:sz w:val="24"/>
          <w:szCs w:val="24"/>
        </w:rPr>
        <w:t>2</w:t>
      </w:r>
      <w:r w:rsidRPr="009F0D9F">
        <w:rPr>
          <w:rFonts w:ascii="宋体" w:eastAsia="宋体" w:hAnsi="宋体" w:cs="Times New Roman"/>
          <w:color w:val="000000"/>
          <w:sz w:val="24"/>
          <w:szCs w:val="24"/>
        </w:rPr>
        <w:t>.</w:t>
      </w:r>
      <w:r w:rsidRPr="009F0D9F">
        <w:rPr>
          <w:rFonts w:ascii="宋体" w:eastAsia="宋体" w:hAnsi="宋体" w:cs="Times New Roman" w:hint="eastAsia"/>
          <w:color w:val="000000"/>
          <w:sz w:val="24"/>
          <w:szCs w:val="24"/>
        </w:rPr>
        <w:t xml:space="preserve"> 过程与方法类目标：</w:t>
      </w:r>
      <w:r w:rsidRPr="009F0D9F">
        <w:rPr>
          <w:rFonts w:ascii="宋体" w:eastAsia="宋体" w:hAnsi="宋体" w:cs="宋体" w:hint="eastAsia"/>
          <w:color w:val="000000"/>
          <w:kern w:val="0"/>
          <w:sz w:val="24"/>
          <w:szCs w:val="24"/>
        </w:rPr>
        <w:t>掌握植物细胞培养的基本技术；</w:t>
      </w:r>
    </w:p>
    <w:p w14:paraId="0D0E1B71"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9F0D9F">
        <w:rPr>
          <w:rFonts w:ascii="宋体" w:eastAsia="宋体" w:hAnsi="宋体" w:cs="Times New Roman"/>
          <w:color w:val="000000"/>
          <w:sz w:val="24"/>
          <w:szCs w:val="24"/>
        </w:rPr>
        <w:t>3.</w:t>
      </w:r>
      <w:r w:rsidRPr="009F0D9F">
        <w:rPr>
          <w:rFonts w:ascii="宋体" w:eastAsia="宋体" w:hAnsi="宋体" w:cs="Times New Roman" w:hint="eastAsia"/>
          <w:color w:val="000000"/>
          <w:sz w:val="24"/>
          <w:szCs w:val="24"/>
        </w:rPr>
        <w:t>情感、态度、价值观类目标：</w:t>
      </w:r>
      <w:r w:rsidRPr="009F0D9F">
        <w:rPr>
          <w:rFonts w:ascii="宋体" w:eastAsia="宋体" w:hAnsi="宋体" w:cs="宋体" w:hint="eastAsia"/>
          <w:color w:val="000000"/>
          <w:kern w:val="0"/>
          <w:sz w:val="24"/>
          <w:szCs w:val="24"/>
        </w:rPr>
        <w:t>了解植物细胞工程制药的前景与展望。</w:t>
      </w:r>
    </w:p>
    <w:p w14:paraId="713F6DDA" w14:textId="77777777" w:rsidR="009F0D9F" w:rsidRPr="009F0D9F" w:rsidRDefault="009F0D9F" w:rsidP="009F0D9F">
      <w:pPr>
        <w:autoSpaceDE w:val="0"/>
        <w:autoSpaceDN w:val="0"/>
        <w:adjustRightInd w:val="0"/>
        <w:snapToGrid w:val="0"/>
        <w:spacing w:line="360" w:lineRule="auto"/>
        <w:ind w:firstLineChars="200" w:firstLine="482"/>
        <w:jc w:val="left"/>
        <w:rPr>
          <w:rFonts w:ascii="宋体" w:eastAsia="宋体" w:hAnsi="宋体" w:cs="宋体"/>
          <w:color w:val="000000"/>
          <w:kern w:val="0"/>
          <w:sz w:val="24"/>
          <w:szCs w:val="24"/>
        </w:rPr>
      </w:pPr>
      <w:r w:rsidRPr="009F0D9F">
        <w:rPr>
          <w:rFonts w:ascii="宋体" w:eastAsia="宋体" w:hAnsi="宋体" w:cs="Times New Roman" w:hint="eastAsia"/>
          <w:b/>
          <w:color w:val="000000"/>
          <w:sz w:val="24"/>
          <w:szCs w:val="24"/>
        </w:rPr>
        <w:lastRenderedPageBreak/>
        <w:t>【课程内容】</w:t>
      </w:r>
    </w:p>
    <w:p w14:paraId="2966400E"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1.</w:t>
      </w:r>
      <w:r w:rsidRPr="009F0D9F">
        <w:rPr>
          <w:rFonts w:ascii="宋体" w:eastAsia="宋体" w:hAnsi="宋体" w:cs="宋体" w:hint="eastAsia"/>
          <w:color w:val="000000"/>
          <w:kern w:val="0"/>
          <w:sz w:val="24"/>
          <w:szCs w:val="24"/>
        </w:rPr>
        <w:t>掌握细胞培养的基本技术；</w:t>
      </w:r>
    </w:p>
    <w:p w14:paraId="52B4164D"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2.</w:t>
      </w:r>
      <w:r w:rsidRPr="009F0D9F">
        <w:rPr>
          <w:rFonts w:ascii="宋体" w:eastAsia="宋体" w:hAnsi="宋体" w:cs="宋体" w:hint="eastAsia"/>
          <w:color w:val="000000"/>
          <w:kern w:val="0"/>
          <w:sz w:val="24"/>
          <w:szCs w:val="24"/>
        </w:rPr>
        <w:t>理解植物细胞的形态和生理特点；</w:t>
      </w:r>
    </w:p>
    <w:p w14:paraId="61C8712C"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3.</w:t>
      </w:r>
      <w:r w:rsidRPr="009F0D9F">
        <w:rPr>
          <w:rFonts w:ascii="宋体" w:eastAsia="宋体" w:hAnsi="宋体" w:cs="宋体" w:hint="eastAsia"/>
          <w:color w:val="000000"/>
          <w:kern w:val="0"/>
          <w:sz w:val="24"/>
          <w:szCs w:val="24"/>
        </w:rPr>
        <w:t>理解影响植物次级代谢产物积累的；</w:t>
      </w:r>
    </w:p>
    <w:p w14:paraId="61AA7FB9"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4.</w:t>
      </w:r>
      <w:r w:rsidRPr="009F0D9F">
        <w:rPr>
          <w:rFonts w:ascii="宋体" w:eastAsia="宋体" w:hAnsi="宋体" w:cs="宋体" w:hint="eastAsia"/>
          <w:color w:val="000000"/>
          <w:kern w:val="0"/>
          <w:sz w:val="24"/>
          <w:szCs w:val="24"/>
        </w:rPr>
        <w:t>了解细胞培养的生物反应器制备药物的过程与分析；</w:t>
      </w:r>
    </w:p>
    <w:p w14:paraId="64F2B4C5"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5.</w:t>
      </w:r>
      <w:r w:rsidRPr="009F0D9F">
        <w:rPr>
          <w:rFonts w:ascii="宋体" w:eastAsia="宋体" w:hAnsi="宋体" w:cs="宋体" w:hint="eastAsia"/>
          <w:color w:val="000000"/>
          <w:kern w:val="0"/>
          <w:sz w:val="24"/>
          <w:szCs w:val="24"/>
        </w:rPr>
        <w:t>了解植物细胞制药的进展与展望。</w:t>
      </w:r>
    </w:p>
    <w:p w14:paraId="4E0DDE3B" w14:textId="77777777" w:rsidR="009F0D9F" w:rsidRPr="009F0D9F" w:rsidRDefault="009F0D9F" w:rsidP="009F0D9F">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9F0D9F">
        <w:rPr>
          <w:rFonts w:ascii="宋体" w:eastAsia="宋体" w:hAnsi="宋体" w:cs="Times New Roman" w:hint="eastAsia"/>
          <w:b/>
          <w:color w:val="000000"/>
          <w:sz w:val="24"/>
          <w:szCs w:val="24"/>
        </w:rPr>
        <w:t>【重点】</w:t>
      </w:r>
    </w:p>
    <w:p w14:paraId="05135029"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w:t>
      </w:r>
      <w:r w:rsidRPr="009F0D9F">
        <w:rPr>
          <w:rFonts w:ascii="宋体" w:eastAsia="宋体" w:hAnsi="宋体" w:cs="Times New Roman"/>
          <w:color w:val="000000"/>
          <w:sz w:val="24"/>
          <w:szCs w:val="24"/>
        </w:rPr>
        <w:t>.</w:t>
      </w:r>
      <w:r w:rsidRPr="009F0D9F">
        <w:rPr>
          <w:rFonts w:ascii="宋体" w:eastAsia="宋体" w:hAnsi="宋体" w:cs="宋体" w:hint="eastAsia"/>
          <w:color w:val="000000"/>
          <w:kern w:val="0"/>
          <w:sz w:val="24"/>
          <w:szCs w:val="24"/>
        </w:rPr>
        <w:t>植物细胞的形态和生理特点；</w:t>
      </w:r>
      <w:r w:rsidRPr="009F0D9F">
        <w:rPr>
          <w:rFonts w:ascii="宋体" w:eastAsia="宋体" w:hAnsi="宋体" w:cs="Times New Roman" w:hint="eastAsia"/>
          <w:color w:val="000000"/>
          <w:sz w:val="24"/>
          <w:szCs w:val="24"/>
        </w:rPr>
        <w:t xml:space="preserve"> </w:t>
      </w:r>
    </w:p>
    <w:p w14:paraId="50F6D663"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9F0D9F">
        <w:rPr>
          <w:rFonts w:ascii="宋体" w:eastAsia="宋体" w:hAnsi="宋体" w:cs="Times New Roman" w:hint="eastAsia"/>
          <w:color w:val="000000"/>
          <w:sz w:val="24"/>
          <w:szCs w:val="24"/>
        </w:rPr>
        <w:t>2</w:t>
      </w:r>
      <w:r w:rsidRPr="009F0D9F">
        <w:rPr>
          <w:rFonts w:ascii="宋体" w:eastAsia="宋体" w:hAnsi="宋体" w:cs="Times New Roman"/>
          <w:color w:val="000000"/>
          <w:sz w:val="24"/>
          <w:szCs w:val="24"/>
        </w:rPr>
        <w:t>.</w:t>
      </w:r>
      <w:r w:rsidRPr="009F0D9F">
        <w:rPr>
          <w:rFonts w:ascii="宋体" w:eastAsia="宋体" w:hAnsi="宋体" w:cs="宋体" w:hint="eastAsia"/>
          <w:color w:val="000000"/>
          <w:kern w:val="0"/>
          <w:sz w:val="24"/>
          <w:szCs w:val="24"/>
        </w:rPr>
        <w:t>细胞培养的基本技术。</w:t>
      </w:r>
    </w:p>
    <w:p w14:paraId="288B7539" w14:textId="77777777" w:rsidR="009F0D9F" w:rsidRPr="009F0D9F" w:rsidRDefault="009F0D9F" w:rsidP="009F0D9F">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9F0D9F">
        <w:rPr>
          <w:rFonts w:ascii="宋体" w:eastAsia="宋体" w:hAnsi="宋体" w:cs="Times New Roman" w:hint="eastAsia"/>
          <w:b/>
          <w:color w:val="000000"/>
          <w:sz w:val="24"/>
          <w:szCs w:val="24"/>
        </w:rPr>
        <w:t>【重点】</w:t>
      </w:r>
    </w:p>
    <w:p w14:paraId="091CDCB5"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9F0D9F">
        <w:rPr>
          <w:rFonts w:ascii="宋体" w:eastAsia="宋体" w:hAnsi="宋体" w:cs="宋体" w:hint="eastAsia"/>
          <w:color w:val="000000"/>
          <w:kern w:val="0"/>
          <w:sz w:val="24"/>
          <w:szCs w:val="24"/>
        </w:rPr>
        <w:t>1.影响植物次级代谢产物积累的因素；</w:t>
      </w:r>
    </w:p>
    <w:p w14:paraId="334BCCCB"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Times New Roman" w:hint="eastAsia"/>
          <w:color w:val="000000"/>
          <w:sz w:val="24"/>
          <w:szCs w:val="24"/>
        </w:rPr>
        <w:t>2</w:t>
      </w:r>
      <w:r w:rsidRPr="009F0D9F">
        <w:rPr>
          <w:rFonts w:ascii="宋体" w:eastAsia="宋体" w:hAnsi="宋体" w:cs="Times New Roman"/>
          <w:color w:val="000000"/>
          <w:sz w:val="24"/>
          <w:szCs w:val="24"/>
        </w:rPr>
        <w:t>.</w:t>
      </w:r>
      <w:r w:rsidRPr="009F0D9F">
        <w:rPr>
          <w:rFonts w:ascii="宋体" w:eastAsia="宋体" w:hAnsi="宋体" w:cs="宋体" w:hint="eastAsia"/>
          <w:color w:val="000000"/>
          <w:kern w:val="0"/>
          <w:sz w:val="24"/>
          <w:szCs w:val="24"/>
        </w:rPr>
        <w:t>细胞培养的生物反应器。</w:t>
      </w:r>
      <w:r w:rsidRPr="009F0D9F">
        <w:rPr>
          <w:rFonts w:ascii="宋体" w:eastAsia="宋体" w:hAnsi="宋体" w:cs="Times New Roman" w:hint="eastAsia"/>
          <w:color w:val="000000"/>
          <w:kern w:val="0"/>
          <w:sz w:val="24"/>
          <w:szCs w:val="24"/>
        </w:rPr>
        <w:t xml:space="preserve"> </w:t>
      </w:r>
    </w:p>
    <w:p w14:paraId="7DFC54B2" w14:textId="77777777" w:rsidR="009F0D9F" w:rsidRPr="009F0D9F" w:rsidRDefault="009F0D9F" w:rsidP="009F0D9F">
      <w:pPr>
        <w:spacing w:line="360" w:lineRule="auto"/>
        <w:ind w:firstLineChars="200" w:firstLine="482"/>
        <w:rPr>
          <w:rFonts w:ascii="宋体" w:eastAsia="宋体" w:hAnsi="宋体" w:cs="Times New Roman"/>
          <w:color w:val="000000"/>
          <w:sz w:val="24"/>
          <w:szCs w:val="24"/>
        </w:rPr>
      </w:pPr>
      <w:r w:rsidRPr="009F0D9F">
        <w:rPr>
          <w:rFonts w:ascii="宋体" w:eastAsia="宋体" w:hAnsi="宋体" w:cs="Times New Roman" w:hint="eastAsia"/>
          <w:b/>
          <w:bCs/>
          <w:color w:val="000000"/>
          <w:sz w:val="24"/>
          <w:szCs w:val="24"/>
        </w:rPr>
        <w:t>【教学方法】</w:t>
      </w:r>
    </w:p>
    <w:p w14:paraId="544A1F68"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 通过多媒体课件和传统教学相结合，阐明植物细胞制药的基本原理，丰富学生课程与教学的基本知识结构，培养学生的职业规范；</w:t>
      </w:r>
    </w:p>
    <w:p w14:paraId="3AA3C49B"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2. 通过案例分析，强调理论与实践相结合，促进学生知识整合，培养学生的反思能力。</w:t>
      </w:r>
    </w:p>
    <w:p w14:paraId="37BA3065" w14:textId="77777777" w:rsidR="009F0D9F" w:rsidRPr="009F0D9F" w:rsidRDefault="009F0D9F" w:rsidP="009F0D9F">
      <w:pPr>
        <w:spacing w:line="360" w:lineRule="auto"/>
        <w:ind w:firstLineChars="200" w:firstLine="482"/>
        <w:rPr>
          <w:rFonts w:ascii="宋体" w:eastAsia="宋体" w:hAnsi="宋体" w:cs="Times New Roman"/>
          <w:bCs/>
          <w:color w:val="000000"/>
          <w:sz w:val="24"/>
          <w:szCs w:val="24"/>
        </w:rPr>
      </w:pPr>
      <w:r w:rsidRPr="009F0D9F">
        <w:rPr>
          <w:rFonts w:ascii="宋体" w:eastAsia="宋体" w:hAnsi="宋体" w:cs="Times New Roman" w:hint="eastAsia"/>
          <w:b/>
          <w:color w:val="000000"/>
          <w:sz w:val="24"/>
          <w:szCs w:val="24"/>
        </w:rPr>
        <w:t>【复习思考】</w:t>
      </w:r>
    </w:p>
    <w:p w14:paraId="7CDF7478"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举例说明植物细胞药物的制备与分析方法。</w:t>
      </w:r>
    </w:p>
    <w:p w14:paraId="2384215F" w14:textId="77777777" w:rsidR="009F0D9F" w:rsidRPr="009F0D9F" w:rsidRDefault="009F0D9F" w:rsidP="009F0D9F">
      <w:pPr>
        <w:spacing w:line="360" w:lineRule="auto"/>
        <w:ind w:firstLineChars="200" w:firstLine="482"/>
        <w:jc w:val="center"/>
        <w:rPr>
          <w:rFonts w:ascii="宋体" w:eastAsia="宋体" w:hAnsi="宋体" w:cs="Times New Roman"/>
          <w:b/>
          <w:color w:val="000000"/>
          <w:sz w:val="24"/>
          <w:szCs w:val="24"/>
        </w:rPr>
      </w:pPr>
      <w:r w:rsidRPr="009F0D9F">
        <w:rPr>
          <w:rFonts w:ascii="宋体" w:eastAsia="宋体" w:hAnsi="宋体" w:cs="Times New Roman" w:hint="eastAsia"/>
          <w:b/>
          <w:color w:val="000000"/>
          <w:sz w:val="24"/>
          <w:szCs w:val="24"/>
        </w:rPr>
        <w:t xml:space="preserve">第六章  </w:t>
      </w:r>
      <w:r w:rsidRPr="009F0D9F">
        <w:rPr>
          <w:rFonts w:ascii="宋体" w:eastAsia="宋体" w:hAnsi="宋体" w:cs="宋体" w:hint="eastAsia"/>
          <w:b/>
          <w:bCs/>
          <w:color w:val="000000"/>
          <w:kern w:val="0"/>
          <w:sz w:val="24"/>
          <w:szCs w:val="24"/>
        </w:rPr>
        <w:t>酶工程</w:t>
      </w:r>
      <w:r w:rsidRPr="009F0D9F">
        <w:rPr>
          <w:rFonts w:ascii="宋体" w:eastAsia="宋体" w:hAnsi="宋体" w:cs="Times New Roman" w:hint="eastAsia"/>
          <w:b/>
          <w:color w:val="000000"/>
          <w:sz w:val="24"/>
          <w:szCs w:val="24"/>
        </w:rPr>
        <w:t>药物的制备与分析</w:t>
      </w:r>
    </w:p>
    <w:p w14:paraId="1F010411" w14:textId="77777777" w:rsidR="009F0D9F" w:rsidRPr="009F0D9F" w:rsidRDefault="009F0D9F" w:rsidP="009F0D9F">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9F0D9F">
        <w:rPr>
          <w:rFonts w:ascii="宋体" w:eastAsia="宋体" w:hAnsi="宋体" w:cs="Times New Roman" w:hint="eastAsia"/>
          <w:b/>
          <w:color w:val="000000"/>
          <w:sz w:val="24"/>
          <w:szCs w:val="24"/>
        </w:rPr>
        <w:t>【学习目标】</w:t>
      </w:r>
    </w:p>
    <w:p w14:paraId="0505CFC1"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w:t>
      </w:r>
      <w:r w:rsidRPr="009F0D9F">
        <w:rPr>
          <w:rFonts w:ascii="宋体" w:eastAsia="宋体" w:hAnsi="宋体" w:cs="Times New Roman"/>
          <w:color w:val="000000"/>
          <w:sz w:val="24"/>
          <w:szCs w:val="24"/>
        </w:rPr>
        <w:t>.</w:t>
      </w:r>
      <w:r w:rsidRPr="009F0D9F">
        <w:rPr>
          <w:rFonts w:ascii="宋体" w:eastAsia="宋体" w:hAnsi="宋体" w:cs="Times New Roman" w:hint="eastAsia"/>
          <w:color w:val="000000"/>
          <w:sz w:val="24"/>
          <w:szCs w:val="24"/>
        </w:rPr>
        <w:t xml:space="preserve"> 认知类目标：了解</w:t>
      </w:r>
      <w:r w:rsidRPr="009F0D9F">
        <w:rPr>
          <w:rFonts w:ascii="宋体" w:eastAsia="宋体" w:hAnsi="宋体" w:cs="宋体" w:hint="eastAsia"/>
          <w:color w:val="000000"/>
          <w:kern w:val="0"/>
          <w:sz w:val="24"/>
          <w:szCs w:val="24"/>
        </w:rPr>
        <w:t>酶的特点和来源；</w:t>
      </w:r>
    </w:p>
    <w:p w14:paraId="4AFFCED8"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Times New Roman" w:hint="eastAsia"/>
          <w:color w:val="000000"/>
          <w:sz w:val="24"/>
          <w:szCs w:val="24"/>
        </w:rPr>
        <w:t>2</w:t>
      </w:r>
      <w:r w:rsidRPr="009F0D9F">
        <w:rPr>
          <w:rFonts w:ascii="宋体" w:eastAsia="宋体" w:hAnsi="宋体" w:cs="Times New Roman"/>
          <w:color w:val="000000"/>
          <w:sz w:val="24"/>
          <w:szCs w:val="24"/>
        </w:rPr>
        <w:t>.</w:t>
      </w:r>
      <w:r w:rsidRPr="009F0D9F">
        <w:rPr>
          <w:rFonts w:ascii="宋体" w:eastAsia="宋体" w:hAnsi="宋体" w:cs="Times New Roman" w:hint="eastAsia"/>
          <w:color w:val="000000"/>
          <w:sz w:val="24"/>
          <w:szCs w:val="24"/>
        </w:rPr>
        <w:t xml:space="preserve"> 过程与方法类目标：</w:t>
      </w:r>
      <w:r w:rsidRPr="009F0D9F">
        <w:rPr>
          <w:rFonts w:ascii="宋体" w:eastAsia="宋体" w:hAnsi="宋体" w:cs="宋体" w:hint="eastAsia"/>
          <w:color w:val="000000"/>
          <w:kern w:val="0"/>
          <w:sz w:val="24"/>
          <w:szCs w:val="24"/>
        </w:rPr>
        <w:t>掌握酶的固定化技术；</w:t>
      </w:r>
    </w:p>
    <w:p w14:paraId="52AF02FE"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9F0D9F">
        <w:rPr>
          <w:rFonts w:ascii="宋体" w:eastAsia="宋体" w:hAnsi="宋体" w:cs="Times New Roman"/>
          <w:color w:val="000000"/>
          <w:sz w:val="24"/>
          <w:szCs w:val="24"/>
        </w:rPr>
        <w:t>3.</w:t>
      </w:r>
      <w:r w:rsidRPr="009F0D9F">
        <w:rPr>
          <w:rFonts w:ascii="宋体" w:eastAsia="宋体" w:hAnsi="宋体" w:cs="Times New Roman" w:hint="eastAsia"/>
          <w:color w:val="000000"/>
          <w:sz w:val="24"/>
          <w:szCs w:val="24"/>
        </w:rPr>
        <w:t>情感、态度、价值观类目标：了解</w:t>
      </w:r>
      <w:r w:rsidRPr="009F0D9F">
        <w:rPr>
          <w:rFonts w:ascii="宋体" w:eastAsia="宋体" w:hAnsi="宋体" w:cs="宋体" w:hint="eastAsia"/>
          <w:color w:val="000000"/>
          <w:kern w:val="0"/>
          <w:sz w:val="24"/>
          <w:szCs w:val="24"/>
        </w:rPr>
        <w:t>酶工程研究的进展。</w:t>
      </w:r>
    </w:p>
    <w:p w14:paraId="1F12B1E7" w14:textId="77777777" w:rsidR="009F0D9F" w:rsidRPr="009F0D9F" w:rsidRDefault="009F0D9F" w:rsidP="009F0D9F">
      <w:pPr>
        <w:autoSpaceDE w:val="0"/>
        <w:autoSpaceDN w:val="0"/>
        <w:adjustRightInd w:val="0"/>
        <w:snapToGrid w:val="0"/>
        <w:spacing w:line="360" w:lineRule="auto"/>
        <w:ind w:firstLineChars="200" w:firstLine="482"/>
        <w:jc w:val="left"/>
        <w:rPr>
          <w:rFonts w:ascii="宋体" w:eastAsia="宋体" w:hAnsi="宋体" w:cs="宋体"/>
          <w:color w:val="000000"/>
          <w:kern w:val="0"/>
          <w:sz w:val="24"/>
          <w:szCs w:val="24"/>
        </w:rPr>
      </w:pPr>
      <w:r w:rsidRPr="009F0D9F">
        <w:rPr>
          <w:rFonts w:ascii="宋体" w:eastAsia="宋体" w:hAnsi="宋体" w:cs="Times New Roman" w:hint="eastAsia"/>
          <w:b/>
          <w:color w:val="000000"/>
          <w:sz w:val="24"/>
          <w:szCs w:val="24"/>
        </w:rPr>
        <w:t>【课程内容】</w:t>
      </w:r>
    </w:p>
    <w:p w14:paraId="2B3FA66A"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 xml:space="preserve">1. </w:t>
      </w:r>
      <w:r w:rsidRPr="009F0D9F">
        <w:rPr>
          <w:rFonts w:ascii="宋体" w:eastAsia="宋体" w:hAnsi="宋体" w:cs="宋体" w:hint="eastAsia"/>
          <w:color w:val="000000"/>
          <w:kern w:val="0"/>
          <w:sz w:val="24"/>
          <w:szCs w:val="24"/>
        </w:rPr>
        <w:t>酶工程简介；</w:t>
      </w:r>
    </w:p>
    <w:p w14:paraId="43DFEC87"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 xml:space="preserve">2. </w:t>
      </w:r>
      <w:r w:rsidRPr="009F0D9F">
        <w:rPr>
          <w:rFonts w:ascii="宋体" w:eastAsia="宋体" w:hAnsi="宋体" w:cs="宋体" w:hint="eastAsia"/>
          <w:color w:val="000000"/>
          <w:kern w:val="0"/>
          <w:sz w:val="24"/>
          <w:szCs w:val="24"/>
        </w:rPr>
        <w:t>酶的来源和生产与分析检测；</w:t>
      </w:r>
    </w:p>
    <w:p w14:paraId="0081BD7B"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 xml:space="preserve">3. </w:t>
      </w:r>
      <w:r w:rsidRPr="009F0D9F">
        <w:rPr>
          <w:rFonts w:ascii="宋体" w:eastAsia="宋体" w:hAnsi="宋体" w:cs="宋体" w:hint="eastAsia"/>
          <w:color w:val="000000"/>
          <w:kern w:val="0"/>
          <w:sz w:val="24"/>
          <w:szCs w:val="24"/>
        </w:rPr>
        <w:t>酶和细胞的固定化；</w:t>
      </w:r>
    </w:p>
    <w:p w14:paraId="0C4EC146"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 xml:space="preserve">4. </w:t>
      </w:r>
      <w:r w:rsidRPr="009F0D9F">
        <w:rPr>
          <w:rFonts w:ascii="宋体" w:eastAsia="宋体" w:hAnsi="宋体" w:cs="宋体" w:hint="eastAsia"/>
          <w:color w:val="000000"/>
          <w:kern w:val="0"/>
          <w:sz w:val="24"/>
          <w:szCs w:val="24"/>
        </w:rPr>
        <w:t>固定化酶和固定化细胞的反应器；</w:t>
      </w:r>
    </w:p>
    <w:p w14:paraId="445946A3"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5.</w:t>
      </w:r>
      <w:r w:rsidRPr="009F0D9F">
        <w:rPr>
          <w:rFonts w:ascii="宋体" w:eastAsia="宋体" w:hAnsi="宋体" w:cs="宋体" w:hint="eastAsia"/>
          <w:color w:val="000000"/>
          <w:kern w:val="0"/>
          <w:sz w:val="24"/>
          <w:szCs w:val="24"/>
        </w:rPr>
        <w:t>酶工程研究的进展。</w:t>
      </w:r>
    </w:p>
    <w:p w14:paraId="2FF7C700" w14:textId="77777777" w:rsidR="009F0D9F" w:rsidRPr="009F0D9F" w:rsidRDefault="009F0D9F" w:rsidP="009F0D9F">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9F0D9F">
        <w:rPr>
          <w:rFonts w:ascii="宋体" w:eastAsia="宋体" w:hAnsi="宋体" w:cs="Times New Roman" w:hint="eastAsia"/>
          <w:b/>
          <w:color w:val="000000"/>
          <w:sz w:val="24"/>
          <w:szCs w:val="24"/>
        </w:rPr>
        <w:lastRenderedPageBreak/>
        <w:t>【重点】</w:t>
      </w:r>
    </w:p>
    <w:p w14:paraId="4F9A1CD2" w14:textId="77777777" w:rsidR="009F0D9F" w:rsidRPr="009F0D9F" w:rsidRDefault="009F0D9F" w:rsidP="009F0D9F">
      <w:pPr>
        <w:spacing w:line="360" w:lineRule="auto"/>
        <w:ind w:firstLineChars="200" w:firstLine="480"/>
        <w:rPr>
          <w:rFonts w:ascii="宋体" w:eastAsia="宋体" w:hAnsi="宋体" w:cs="宋体"/>
          <w:color w:val="000000"/>
          <w:kern w:val="0"/>
          <w:sz w:val="24"/>
          <w:szCs w:val="24"/>
        </w:rPr>
      </w:pPr>
      <w:r w:rsidRPr="009F0D9F">
        <w:rPr>
          <w:rFonts w:ascii="宋体" w:eastAsia="宋体" w:hAnsi="宋体" w:cs="宋体" w:hint="eastAsia"/>
          <w:color w:val="000000"/>
          <w:kern w:val="0"/>
          <w:sz w:val="24"/>
          <w:szCs w:val="24"/>
        </w:rPr>
        <w:t>1.酶的特性，酶工程的概念；</w:t>
      </w:r>
    </w:p>
    <w:p w14:paraId="66508B9D" w14:textId="77777777" w:rsidR="009F0D9F" w:rsidRPr="009F0D9F" w:rsidRDefault="009F0D9F" w:rsidP="009F0D9F">
      <w:pPr>
        <w:spacing w:line="360" w:lineRule="auto"/>
        <w:ind w:firstLineChars="200" w:firstLine="480"/>
        <w:rPr>
          <w:rFonts w:ascii="宋体" w:eastAsia="宋体" w:hAnsi="宋体" w:cs="Times New Roman"/>
          <w:b/>
          <w:bCs/>
          <w:color w:val="000000"/>
          <w:sz w:val="24"/>
          <w:szCs w:val="24"/>
        </w:rPr>
      </w:pPr>
      <w:r w:rsidRPr="009F0D9F">
        <w:rPr>
          <w:rFonts w:ascii="宋体" w:eastAsia="宋体" w:hAnsi="宋体" w:cs="宋体" w:hint="eastAsia"/>
          <w:color w:val="000000"/>
          <w:kern w:val="0"/>
          <w:sz w:val="24"/>
          <w:szCs w:val="24"/>
        </w:rPr>
        <w:t>2.理解酶的来源和生产。</w:t>
      </w:r>
    </w:p>
    <w:p w14:paraId="3B08F262" w14:textId="77777777" w:rsidR="009F0D9F" w:rsidRPr="009F0D9F" w:rsidRDefault="009F0D9F" w:rsidP="009F0D9F">
      <w:pPr>
        <w:spacing w:line="360" w:lineRule="auto"/>
        <w:ind w:firstLineChars="200" w:firstLine="482"/>
        <w:rPr>
          <w:rFonts w:ascii="宋体" w:eastAsia="宋体" w:hAnsi="宋体" w:cs="Times New Roman"/>
          <w:b/>
          <w:color w:val="000000"/>
          <w:sz w:val="24"/>
          <w:szCs w:val="24"/>
        </w:rPr>
      </w:pPr>
      <w:r w:rsidRPr="009F0D9F">
        <w:rPr>
          <w:rFonts w:ascii="宋体" w:eastAsia="宋体" w:hAnsi="宋体" w:cs="Times New Roman" w:hint="eastAsia"/>
          <w:b/>
          <w:color w:val="000000"/>
          <w:sz w:val="24"/>
          <w:szCs w:val="24"/>
        </w:rPr>
        <w:t>【难点】</w:t>
      </w:r>
    </w:p>
    <w:p w14:paraId="6147661A"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w:t>
      </w:r>
      <w:r w:rsidRPr="009F0D9F">
        <w:rPr>
          <w:rFonts w:ascii="宋体" w:eastAsia="宋体" w:hAnsi="宋体" w:cs="Times New Roman"/>
          <w:color w:val="000000"/>
          <w:sz w:val="24"/>
          <w:szCs w:val="24"/>
        </w:rPr>
        <w:t>.</w:t>
      </w:r>
      <w:r w:rsidRPr="009F0D9F">
        <w:rPr>
          <w:rFonts w:ascii="宋体" w:eastAsia="宋体" w:hAnsi="宋体" w:cs="宋体" w:hint="eastAsia"/>
          <w:color w:val="000000"/>
          <w:kern w:val="0"/>
          <w:sz w:val="24"/>
          <w:szCs w:val="24"/>
        </w:rPr>
        <w:t>酶和细胞的固定化；</w:t>
      </w:r>
    </w:p>
    <w:p w14:paraId="0B24DEBF"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Times New Roman" w:hint="eastAsia"/>
          <w:color w:val="000000"/>
          <w:sz w:val="24"/>
          <w:szCs w:val="24"/>
        </w:rPr>
        <w:t>2</w:t>
      </w:r>
      <w:r w:rsidRPr="009F0D9F">
        <w:rPr>
          <w:rFonts w:ascii="宋体" w:eastAsia="宋体" w:hAnsi="宋体" w:cs="Times New Roman"/>
          <w:color w:val="000000"/>
          <w:sz w:val="24"/>
          <w:szCs w:val="24"/>
        </w:rPr>
        <w:t>.</w:t>
      </w:r>
      <w:r w:rsidRPr="009F0D9F">
        <w:rPr>
          <w:rFonts w:ascii="宋体" w:eastAsia="宋体" w:hAnsi="宋体" w:cs="宋体" w:hint="eastAsia"/>
          <w:color w:val="000000"/>
          <w:kern w:val="0"/>
          <w:sz w:val="24"/>
          <w:szCs w:val="24"/>
        </w:rPr>
        <w:t>固定化酶和固定化细胞的反应器。</w:t>
      </w:r>
    </w:p>
    <w:p w14:paraId="2081FD10" w14:textId="77777777" w:rsidR="009F0D9F" w:rsidRPr="009F0D9F" w:rsidRDefault="009F0D9F" w:rsidP="009F0D9F">
      <w:pPr>
        <w:spacing w:line="360" w:lineRule="auto"/>
        <w:ind w:firstLineChars="200" w:firstLine="482"/>
        <w:rPr>
          <w:rFonts w:ascii="宋体" w:eastAsia="宋体" w:hAnsi="宋体" w:cs="Times New Roman"/>
          <w:color w:val="000000"/>
          <w:sz w:val="24"/>
          <w:szCs w:val="24"/>
        </w:rPr>
      </w:pPr>
      <w:r w:rsidRPr="009F0D9F">
        <w:rPr>
          <w:rFonts w:ascii="宋体" w:eastAsia="宋体" w:hAnsi="宋体" w:cs="Times New Roman" w:hint="eastAsia"/>
          <w:b/>
          <w:bCs/>
          <w:color w:val="000000"/>
          <w:sz w:val="24"/>
          <w:szCs w:val="24"/>
        </w:rPr>
        <w:t>【教学方法】</w:t>
      </w:r>
    </w:p>
    <w:p w14:paraId="35D600B7"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 通过多媒体课件和传统教学相结合，阐明</w:t>
      </w:r>
      <w:r w:rsidRPr="009F0D9F">
        <w:rPr>
          <w:rFonts w:ascii="宋体" w:eastAsia="宋体" w:hAnsi="宋体" w:cs="宋体" w:hint="eastAsia"/>
          <w:color w:val="000000"/>
          <w:kern w:val="0"/>
          <w:sz w:val="24"/>
          <w:szCs w:val="24"/>
        </w:rPr>
        <w:t>酶工程</w:t>
      </w:r>
      <w:r w:rsidRPr="009F0D9F">
        <w:rPr>
          <w:rFonts w:ascii="宋体" w:eastAsia="宋体" w:hAnsi="宋体" w:cs="Times New Roman" w:hint="eastAsia"/>
          <w:color w:val="000000"/>
          <w:sz w:val="24"/>
          <w:szCs w:val="24"/>
        </w:rPr>
        <w:t>制药的基本原理，丰富学生课程与教学的基本知识结构，培养学生的职业规范；</w:t>
      </w:r>
    </w:p>
    <w:p w14:paraId="6DE64545"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2. 通过案例分析，强调理论与实践相结合，促进学生知识整合，培养学生的反思能力；</w:t>
      </w:r>
    </w:p>
    <w:p w14:paraId="35FC4B46" w14:textId="77777777" w:rsidR="009F0D9F" w:rsidRPr="009F0D9F" w:rsidRDefault="009F0D9F" w:rsidP="009F0D9F">
      <w:pPr>
        <w:spacing w:line="360" w:lineRule="auto"/>
        <w:ind w:firstLineChars="200" w:firstLine="482"/>
        <w:rPr>
          <w:rFonts w:ascii="宋体" w:eastAsia="宋体" w:hAnsi="宋体" w:cs="Times New Roman"/>
          <w:bCs/>
          <w:color w:val="000000"/>
          <w:sz w:val="24"/>
          <w:szCs w:val="24"/>
        </w:rPr>
      </w:pPr>
      <w:r w:rsidRPr="009F0D9F">
        <w:rPr>
          <w:rFonts w:ascii="宋体" w:eastAsia="宋体" w:hAnsi="宋体" w:cs="Times New Roman" w:hint="eastAsia"/>
          <w:b/>
          <w:color w:val="000000"/>
          <w:sz w:val="24"/>
          <w:szCs w:val="24"/>
        </w:rPr>
        <w:t>【复习思考】</w:t>
      </w:r>
    </w:p>
    <w:p w14:paraId="2AE082CA"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9F0D9F">
        <w:rPr>
          <w:rFonts w:ascii="宋体" w:eastAsia="宋体" w:hAnsi="宋体" w:cs="Times New Roman" w:hint="eastAsia"/>
          <w:color w:val="000000"/>
          <w:sz w:val="24"/>
          <w:szCs w:val="24"/>
        </w:rPr>
        <w:t>酶工程药物包括哪些类型？各自有分析方法？</w:t>
      </w:r>
    </w:p>
    <w:p w14:paraId="0206485E" w14:textId="77777777" w:rsidR="009F0D9F" w:rsidRPr="009F0D9F" w:rsidRDefault="009F0D9F" w:rsidP="009F0D9F">
      <w:pPr>
        <w:spacing w:line="360" w:lineRule="auto"/>
        <w:ind w:firstLineChars="200" w:firstLine="480"/>
        <w:jc w:val="center"/>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 xml:space="preserve">第七章  </w:t>
      </w:r>
      <w:r w:rsidRPr="009F0D9F">
        <w:rPr>
          <w:rFonts w:ascii="宋体" w:eastAsia="宋体" w:hAnsi="宋体" w:cs="宋体" w:hint="eastAsia"/>
          <w:bCs/>
          <w:color w:val="000000"/>
          <w:kern w:val="0"/>
          <w:sz w:val="24"/>
          <w:szCs w:val="24"/>
        </w:rPr>
        <w:t>发酵工程</w:t>
      </w:r>
      <w:r w:rsidRPr="009F0D9F">
        <w:rPr>
          <w:rFonts w:ascii="宋体" w:eastAsia="宋体" w:hAnsi="宋体" w:cs="Times New Roman" w:hint="eastAsia"/>
          <w:color w:val="000000"/>
          <w:sz w:val="24"/>
          <w:szCs w:val="24"/>
        </w:rPr>
        <w:t>制药及其分析检测</w:t>
      </w:r>
    </w:p>
    <w:p w14:paraId="4612EE7A" w14:textId="77777777" w:rsidR="009F0D9F" w:rsidRPr="009F0D9F" w:rsidRDefault="009F0D9F" w:rsidP="009F0D9F">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9F0D9F">
        <w:rPr>
          <w:rFonts w:ascii="宋体" w:eastAsia="宋体" w:hAnsi="宋体" w:cs="Times New Roman" w:hint="eastAsia"/>
          <w:b/>
          <w:color w:val="000000"/>
          <w:sz w:val="24"/>
          <w:szCs w:val="24"/>
        </w:rPr>
        <w:t>【学习目标】</w:t>
      </w:r>
    </w:p>
    <w:p w14:paraId="5F539E3B"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w:t>
      </w:r>
      <w:r w:rsidRPr="009F0D9F">
        <w:rPr>
          <w:rFonts w:ascii="宋体" w:eastAsia="宋体" w:hAnsi="宋体" w:cs="Times New Roman"/>
          <w:color w:val="000000"/>
          <w:sz w:val="24"/>
          <w:szCs w:val="24"/>
        </w:rPr>
        <w:t xml:space="preserve">. </w:t>
      </w:r>
      <w:r w:rsidRPr="009F0D9F">
        <w:rPr>
          <w:rFonts w:ascii="宋体" w:eastAsia="宋体" w:hAnsi="宋体" w:cs="Times New Roman" w:hint="eastAsia"/>
          <w:color w:val="000000"/>
          <w:sz w:val="24"/>
          <w:szCs w:val="24"/>
        </w:rPr>
        <w:t>认知类目标：</w:t>
      </w:r>
      <w:r w:rsidRPr="009F0D9F">
        <w:rPr>
          <w:rFonts w:ascii="宋体" w:eastAsia="宋体" w:hAnsi="宋体" w:cs="宋体" w:hint="eastAsia"/>
          <w:color w:val="000000"/>
          <w:kern w:val="0"/>
          <w:sz w:val="24"/>
          <w:szCs w:val="24"/>
        </w:rPr>
        <w:t>理解发酵工程的概述；</w:t>
      </w:r>
      <w:r w:rsidRPr="009F0D9F">
        <w:rPr>
          <w:rFonts w:ascii="宋体" w:eastAsia="宋体" w:hAnsi="宋体" w:cs="Times New Roman" w:hint="eastAsia"/>
          <w:color w:val="000000"/>
          <w:sz w:val="24"/>
          <w:szCs w:val="24"/>
        </w:rPr>
        <w:t xml:space="preserve"> </w:t>
      </w:r>
    </w:p>
    <w:p w14:paraId="25EA1B19"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b/>
          <w:bCs/>
          <w:color w:val="000000"/>
          <w:kern w:val="0"/>
          <w:sz w:val="24"/>
          <w:szCs w:val="24"/>
        </w:rPr>
      </w:pPr>
      <w:r w:rsidRPr="009F0D9F">
        <w:rPr>
          <w:rFonts w:ascii="宋体" w:eastAsia="宋体" w:hAnsi="宋体" w:cs="Times New Roman" w:hint="eastAsia"/>
          <w:color w:val="000000"/>
          <w:sz w:val="24"/>
          <w:szCs w:val="24"/>
        </w:rPr>
        <w:t>2</w:t>
      </w:r>
      <w:r w:rsidRPr="009F0D9F">
        <w:rPr>
          <w:rFonts w:ascii="宋体" w:eastAsia="宋体" w:hAnsi="宋体" w:cs="Times New Roman"/>
          <w:color w:val="000000"/>
          <w:sz w:val="24"/>
          <w:szCs w:val="24"/>
        </w:rPr>
        <w:t xml:space="preserve">. </w:t>
      </w:r>
      <w:r w:rsidRPr="009F0D9F">
        <w:rPr>
          <w:rFonts w:ascii="宋体" w:eastAsia="宋体" w:hAnsi="宋体" w:cs="Times New Roman" w:hint="eastAsia"/>
          <w:color w:val="000000"/>
          <w:sz w:val="24"/>
          <w:szCs w:val="24"/>
        </w:rPr>
        <w:t>过程与方法类目标：</w:t>
      </w:r>
      <w:r w:rsidRPr="009F0D9F">
        <w:rPr>
          <w:rFonts w:ascii="宋体" w:eastAsia="宋体" w:hAnsi="宋体" w:cs="宋体" w:hint="eastAsia"/>
          <w:color w:val="000000"/>
          <w:kern w:val="0"/>
          <w:sz w:val="24"/>
          <w:szCs w:val="24"/>
        </w:rPr>
        <w:t>掌握发酵工程在生物技术药物生产中的应用；</w:t>
      </w:r>
      <w:r w:rsidRPr="009F0D9F">
        <w:rPr>
          <w:rFonts w:ascii="宋体" w:eastAsia="宋体" w:hAnsi="宋体" w:cs="Times New Roman"/>
          <w:color w:val="000000"/>
          <w:kern w:val="0"/>
          <w:sz w:val="24"/>
          <w:szCs w:val="24"/>
        </w:rPr>
        <w:t xml:space="preserve"> </w:t>
      </w:r>
    </w:p>
    <w:p w14:paraId="211E4382"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9F0D9F">
        <w:rPr>
          <w:rFonts w:ascii="宋体" w:eastAsia="宋体" w:hAnsi="宋体" w:cs="Times New Roman"/>
          <w:color w:val="000000"/>
          <w:sz w:val="24"/>
          <w:szCs w:val="24"/>
        </w:rPr>
        <w:t xml:space="preserve">3. </w:t>
      </w:r>
      <w:r w:rsidRPr="009F0D9F">
        <w:rPr>
          <w:rFonts w:ascii="宋体" w:eastAsia="宋体" w:hAnsi="宋体" w:cs="Times New Roman" w:hint="eastAsia"/>
          <w:color w:val="000000"/>
          <w:sz w:val="24"/>
          <w:szCs w:val="24"/>
        </w:rPr>
        <w:t>情感、态度、价值观类目标：</w:t>
      </w:r>
      <w:r w:rsidRPr="009F0D9F">
        <w:rPr>
          <w:rFonts w:ascii="宋体" w:eastAsia="宋体" w:hAnsi="宋体" w:cs="宋体" w:hint="eastAsia"/>
          <w:color w:val="000000"/>
          <w:kern w:val="0"/>
          <w:sz w:val="24"/>
          <w:szCs w:val="24"/>
        </w:rPr>
        <w:t>了解发酵工程制药研究的进展。</w:t>
      </w:r>
    </w:p>
    <w:p w14:paraId="21109943" w14:textId="77777777" w:rsidR="009F0D9F" w:rsidRPr="009F0D9F" w:rsidRDefault="009F0D9F" w:rsidP="009F0D9F">
      <w:pPr>
        <w:autoSpaceDE w:val="0"/>
        <w:autoSpaceDN w:val="0"/>
        <w:adjustRightInd w:val="0"/>
        <w:snapToGrid w:val="0"/>
        <w:spacing w:line="360" w:lineRule="auto"/>
        <w:ind w:firstLineChars="200" w:firstLine="482"/>
        <w:jc w:val="left"/>
        <w:rPr>
          <w:rFonts w:ascii="宋体" w:eastAsia="宋体" w:hAnsi="宋体" w:cs="宋体"/>
          <w:color w:val="000000"/>
          <w:kern w:val="0"/>
          <w:sz w:val="24"/>
          <w:szCs w:val="24"/>
        </w:rPr>
      </w:pPr>
      <w:r w:rsidRPr="009F0D9F">
        <w:rPr>
          <w:rFonts w:ascii="宋体" w:eastAsia="宋体" w:hAnsi="宋体" w:cs="Times New Roman" w:hint="eastAsia"/>
          <w:b/>
          <w:color w:val="000000"/>
          <w:sz w:val="24"/>
          <w:szCs w:val="24"/>
        </w:rPr>
        <w:t>【课程内容】</w:t>
      </w:r>
    </w:p>
    <w:p w14:paraId="14D45A50"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 xml:space="preserve">1. </w:t>
      </w:r>
      <w:r w:rsidRPr="009F0D9F">
        <w:rPr>
          <w:rFonts w:ascii="宋体" w:eastAsia="宋体" w:hAnsi="宋体" w:cs="宋体" w:hint="eastAsia"/>
          <w:color w:val="000000"/>
          <w:kern w:val="0"/>
          <w:sz w:val="24"/>
          <w:szCs w:val="24"/>
        </w:rPr>
        <w:t>发酵工程在抗生素生产中的应用与检测分析；</w:t>
      </w:r>
    </w:p>
    <w:p w14:paraId="319960AB"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 xml:space="preserve">2. </w:t>
      </w:r>
      <w:r w:rsidRPr="009F0D9F">
        <w:rPr>
          <w:rFonts w:ascii="宋体" w:eastAsia="宋体" w:hAnsi="宋体" w:cs="宋体" w:hint="eastAsia"/>
          <w:color w:val="000000"/>
          <w:kern w:val="0"/>
          <w:sz w:val="24"/>
          <w:szCs w:val="24"/>
        </w:rPr>
        <w:t>发酵工程在氨基酸和维生素生产中的应用与检测分析；</w:t>
      </w:r>
    </w:p>
    <w:p w14:paraId="641E3D09"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3.</w:t>
      </w:r>
      <w:r w:rsidRPr="009F0D9F">
        <w:rPr>
          <w:rFonts w:ascii="宋体" w:eastAsia="宋体" w:hAnsi="宋体" w:cs="宋体" w:hint="eastAsia"/>
          <w:color w:val="000000"/>
          <w:kern w:val="0"/>
          <w:sz w:val="24"/>
          <w:szCs w:val="24"/>
        </w:rPr>
        <w:t xml:space="preserve"> 发酵工程在生物制品制造中的应用与检测分析；</w:t>
      </w:r>
    </w:p>
    <w:p w14:paraId="771875F5"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 xml:space="preserve">4. </w:t>
      </w:r>
      <w:r w:rsidRPr="009F0D9F">
        <w:rPr>
          <w:rFonts w:ascii="宋体" w:eastAsia="宋体" w:hAnsi="宋体" w:cs="宋体" w:hint="eastAsia"/>
          <w:color w:val="000000"/>
          <w:kern w:val="0"/>
          <w:sz w:val="24"/>
          <w:szCs w:val="24"/>
        </w:rPr>
        <w:t>发酵工程在新药研究中的应用与检测分析；</w:t>
      </w:r>
    </w:p>
    <w:p w14:paraId="0072233B"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9F0D9F">
        <w:rPr>
          <w:rFonts w:ascii="宋体" w:eastAsia="宋体" w:hAnsi="宋体" w:cs="宋体"/>
          <w:color w:val="000000"/>
          <w:kern w:val="0"/>
          <w:sz w:val="24"/>
          <w:szCs w:val="24"/>
        </w:rPr>
        <w:t xml:space="preserve">5. </w:t>
      </w:r>
      <w:r w:rsidRPr="009F0D9F">
        <w:rPr>
          <w:rFonts w:ascii="宋体" w:eastAsia="宋体" w:hAnsi="宋体" w:cs="宋体" w:hint="eastAsia"/>
          <w:color w:val="000000"/>
          <w:kern w:val="0"/>
          <w:sz w:val="24"/>
          <w:szCs w:val="24"/>
        </w:rPr>
        <w:t>发酵工程在传统制药工业中的应用与检测分析。</w:t>
      </w:r>
    </w:p>
    <w:p w14:paraId="35BE3F36" w14:textId="77777777" w:rsidR="009F0D9F" w:rsidRPr="009F0D9F" w:rsidRDefault="009F0D9F" w:rsidP="009F0D9F">
      <w:pPr>
        <w:spacing w:line="360" w:lineRule="auto"/>
        <w:ind w:firstLineChars="200" w:firstLine="482"/>
        <w:rPr>
          <w:rFonts w:ascii="宋体" w:eastAsia="宋体" w:hAnsi="宋体" w:cs="Times New Roman"/>
          <w:color w:val="000000"/>
          <w:sz w:val="24"/>
          <w:szCs w:val="24"/>
        </w:rPr>
      </w:pPr>
      <w:r w:rsidRPr="009F0D9F">
        <w:rPr>
          <w:rFonts w:ascii="宋体" w:eastAsia="宋体" w:hAnsi="宋体" w:cs="Times New Roman" w:hint="eastAsia"/>
          <w:b/>
          <w:bCs/>
          <w:color w:val="000000"/>
          <w:sz w:val="24"/>
          <w:szCs w:val="24"/>
        </w:rPr>
        <w:t>【教学方法】</w:t>
      </w:r>
    </w:p>
    <w:p w14:paraId="5E8BDDF9"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1. 通过多媒体课件和传统教学相结合，阐明</w:t>
      </w:r>
      <w:r w:rsidRPr="009F0D9F">
        <w:rPr>
          <w:rFonts w:ascii="宋体" w:eastAsia="宋体" w:hAnsi="宋体" w:cs="宋体" w:hint="eastAsia"/>
          <w:color w:val="000000"/>
          <w:kern w:val="0"/>
          <w:sz w:val="24"/>
          <w:szCs w:val="24"/>
        </w:rPr>
        <w:t>发酵工程</w:t>
      </w:r>
      <w:r w:rsidRPr="009F0D9F">
        <w:rPr>
          <w:rFonts w:ascii="宋体" w:eastAsia="宋体" w:hAnsi="宋体" w:cs="Times New Roman" w:hint="eastAsia"/>
          <w:color w:val="000000"/>
          <w:sz w:val="24"/>
          <w:szCs w:val="24"/>
        </w:rPr>
        <w:t>制药的基本原理，丰富学生课程与教学的基本知识结构，培养学生的职业规范；</w:t>
      </w:r>
    </w:p>
    <w:p w14:paraId="36CF7937" w14:textId="77777777" w:rsidR="009F0D9F" w:rsidRPr="009F0D9F" w:rsidRDefault="009F0D9F" w:rsidP="009F0D9F">
      <w:pPr>
        <w:spacing w:line="360" w:lineRule="auto"/>
        <w:ind w:firstLineChars="200" w:firstLine="480"/>
        <w:rPr>
          <w:rFonts w:ascii="宋体" w:eastAsia="宋体" w:hAnsi="宋体" w:cs="Times New Roman"/>
          <w:color w:val="000000"/>
          <w:sz w:val="24"/>
          <w:szCs w:val="24"/>
        </w:rPr>
      </w:pPr>
      <w:r w:rsidRPr="009F0D9F">
        <w:rPr>
          <w:rFonts w:ascii="宋体" w:eastAsia="宋体" w:hAnsi="宋体" w:cs="Times New Roman" w:hint="eastAsia"/>
          <w:color w:val="000000"/>
          <w:sz w:val="24"/>
          <w:szCs w:val="24"/>
        </w:rPr>
        <w:t>2. 通过案例分析，强调理论与实践相结合，促进学生知识整合，培养学生的反思能力。</w:t>
      </w:r>
    </w:p>
    <w:p w14:paraId="506A1210" w14:textId="77777777" w:rsidR="009F0D9F" w:rsidRPr="009F0D9F" w:rsidRDefault="009F0D9F" w:rsidP="009F0D9F">
      <w:pPr>
        <w:spacing w:line="360" w:lineRule="auto"/>
        <w:ind w:firstLineChars="200" w:firstLine="482"/>
        <w:rPr>
          <w:rFonts w:ascii="宋体" w:eastAsia="宋体" w:hAnsi="宋体" w:cs="Times New Roman"/>
          <w:bCs/>
          <w:color w:val="000000"/>
          <w:sz w:val="24"/>
        </w:rPr>
      </w:pPr>
      <w:r w:rsidRPr="009F0D9F">
        <w:rPr>
          <w:rFonts w:ascii="宋体" w:eastAsia="宋体" w:hAnsi="宋体" w:cs="Times New Roman" w:hint="eastAsia"/>
          <w:b/>
          <w:color w:val="000000"/>
          <w:sz w:val="24"/>
        </w:rPr>
        <w:t>【复习思考】</w:t>
      </w:r>
    </w:p>
    <w:p w14:paraId="1043DCE9" w14:textId="77777777" w:rsidR="009F0D9F" w:rsidRPr="009F0D9F" w:rsidRDefault="009F0D9F" w:rsidP="009F0D9F">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rPr>
      </w:pPr>
      <w:r w:rsidRPr="009F0D9F">
        <w:rPr>
          <w:rFonts w:ascii="宋体" w:eastAsia="宋体" w:hAnsi="宋体" w:cs="Times New Roman" w:hint="eastAsia"/>
          <w:color w:val="000000"/>
          <w:sz w:val="24"/>
        </w:rPr>
        <w:lastRenderedPageBreak/>
        <w:t>发酵工程制药包括哪些类型？各自有哪些特点？</w:t>
      </w:r>
      <w:r w:rsidRPr="009F0D9F">
        <w:rPr>
          <w:rFonts w:ascii="宋体" w:eastAsia="宋体" w:hAnsi="宋体" w:cs="宋体" w:hint="eastAsia"/>
          <w:color w:val="000000"/>
          <w:kern w:val="0"/>
          <w:sz w:val="24"/>
        </w:rPr>
        <w:t xml:space="preserve"> </w:t>
      </w:r>
    </w:p>
    <w:p w14:paraId="167E9C1B" w14:textId="77777777" w:rsidR="009F0D9F" w:rsidRPr="009F0D9F" w:rsidRDefault="009F0D9F" w:rsidP="009F0D9F">
      <w:pPr>
        <w:spacing w:line="360" w:lineRule="auto"/>
        <w:ind w:left="561"/>
        <w:rPr>
          <w:rFonts w:ascii="仿宋" w:eastAsia="仿宋" w:hAnsi="仿宋" w:cs="Times New Roman"/>
          <w:sz w:val="24"/>
        </w:rPr>
      </w:pPr>
      <w:r w:rsidRPr="009F0D9F">
        <w:rPr>
          <w:rFonts w:ascii="黑体" w:eastAsia="黑体" w:hAnsi="黑体" w:cs="Times New Roman" w:hint="eastAsia"/>
          <w:sz w:val="28"/>
          <w:szCs w:val="28"/>
        </w:rPr>
        <w:t>（二）课程学习内容与课程学习目标的对应关系</w:t>
      </w:r>
      <w:r w:rsidRPr="009F0D9F">
        <w:rPr>
          <w:rFonts w:ascii="仿宋" w:eastAsia="仿宋" w:hAnsi="仿宋" w:cs="Times New Roman" w:hint="eastAsia"/>
          <w:sz w:val="24"/>
        </w:rPr>
        <w:t xml:space="preserve"> </w:t>
      </w:r>
    </w:p>
    <w:tbl>
      <w:tblPr>
        <w:tblW w:w="793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02"/>
        <w:gridCol w:w="2117"/>
        <w:gridCol w:w="2243"/>
        <w:gridCol w:w="1276"/>
      </w:tblGrid>
      <w:tr w:rsidR="009F0D9F" w:rsidRPr="009F0D9F" w14:paraId="3DE15140" w14:textId="77777777" w:rsidTr="00B602D6">
        <w:trPr>
          <w:trHeight w:val="660"/>
        </w:trPr>
        <w:tc>
          <w:tcPr>
            <w:tcW w:w="2302" w:type="dxa"/>
            <w:vAlign w:val="center"/>
          </w:tcPr>
          <w:p w14:paraId="123779E6" w14:textId="77777777" w:rsidR="009F0D9F" w:rsidRPr="009F0D9F" w:rsidRDefault="009F0D9F" w:rsidP="009F0D9F">
            <w:pPr>
              <w:spacing w:line="440" w:lineRule="exact"/>
              <w:jc w:val="center"/>
              <w:rPr>
                <w:rFonts w:ascii="宋体" w:eastAsia="宋体" w:hAnsi="宋体" w:cs="Times New Roman"/>
                <w:b/>
                <w:bCs/>
                <w:sz w:val="24"/>
              </w:rPr>
            </w:pPr>
            <w:r w:rsidRPr="009F0D9F">
              <w:rPr>
                <w:rFonts w:ascii="宋体" w:eastAsia="宋体" w:hAnsi="宋体" w:cs="Times New Roman" w:hint="eastAsia"/>
                <w:b/>
                <w:bCs/>
                <w:sz w:val="24"/>
              </w:rPr>
              <w:t>课程学习内容</w:t>
            </w:r>
          </w:p>
        </w:tc>
        <w:tc>
          <w:tcPr>
            <w:tcW w:w="2117" w:type="dxa"/>
            <w:vAlign w:val="center"/>
          </w:tcPr>
          <w:p w14:paraId="754C27F8" w14:textId="77777777" w:rsidR="009F0D9F" w:rsidRPr="009F0D9F" w:rsidRDefault="009F0D9F" w:rsidP="009F0D9F">
            <w:pPr>
              <w:spacing w:line="440" w:lineRule="exact"/>
              <w:jc w:val="center"/>
              <w:rPr>
                <w:rFonts w:ascii="宋体" w:eastAsia="宋体" w:hAnsi="宋体" w:cs="Times New Roman"/>
                <w:b/>
                <w:bCs/>
                <w:sz w:val="24"/>
              </w:rPr>
            </w:pPr>
            <w:r w:rsidRPr="009F0D9F">
              <w:rPr>
                <w:rFonts w:ascii="宋体" w:eastAsia="宋体" w:hAnsi="宋体" w:cs="Times New Roman" w:hint="eastAsia"/>
                <w:b/>
                <w:bCs/>
                <w:sz w:val="24"/>
              </w:rPr>
              <w:t>教学方法</w:t>
            </w:r>
          </w:p>
        </w:tc>
        <w:tc>
          <w:tcPr>
            <w:tcW w:w="2243" w:type="dxa"/>
            <w:vAlign w:val="center"/>
          </w:tcPr>
          <w:p w14:paraId="05A656E0" w14:textId="77777777" w:rsidR="009F0D9F" w:rsidRPr="009F0D9F" w:rsidRDefault="009F0D9F" w:rsidP="009F0D9F">
            <w:pPr>
              <w:spacing w:line="440" w:lineRule="exact"/>
              <w:jc w:val="center"/>
              <w:rPr>
                <w:rFonts w:ascii="宋体" w:eastAsia="宋体" w:hAnsi="宋体" w:cs="Times New Roman"/>
                <w:b/>
                <w:bCs/>
                <w:sz w:val="24"/>
              </w:rPr>
            </w:pPr>
            <w:r w:rsidRPr="009F0D9F">
              <w:rPr>
                <w:rFonts w:ascii="宋体" w:eastAsia="宋体" w:hAnsi="宋体" w:cs="Times New Roman" w:hint="eastAsia"/>
                <w:b/>
                <w:bCs/>
                <w:sz w:val="24"/>
              </w:rPr>
              <w:t>支撑的课程目标</w:t>
            </w:r>
          </w:p>
        </w:tc>
        <w:tc>
          <w:tcPr>
            <w:tcW w:w="1276" w:type="dxa"/>
            <w:vAlign w:val="center"/>
          </w:tcPr>
          <w:p w14:paraId="595F7390" w14:textId="77777777" w:rsidR="009F0D9F" w:rsidRPr="009F0D9F" w:rsidRDefault="009F0D9F" w:rsidP="009F0D9F">
            <w:pPr>
              <w:spacing w:line="440" w:lineRule="exact"/>
              <w:jc w:val="center"/>
              <w:rPr>
                <w:rFonts w:ascii="宋体" w:eastAsia="宋体" w:hAnsi="宋体" w:cs="Times New Roman"/>
                <w:b/>
                <w:bCs/>
                <w:sz w:val="24"/>
              </w:rPr>
            </w:pPr>
            <w:r w:rsidRPr="009F0D9F">
              <w:rPr>
                <w:rFonts w:ascii="宋体" w:eastAsia="宋体" w:hAnsi="宋体" w:cs="Times New Roman" w:hint="eastAsia"/>
                <w:b/>
                <w:bCs/>
                <w:sz w:val="24"/>
              </w:rPr>
              <w:t>学时安排</w:t>
            </w:r>
          </w:p>
        </w:tc>
      </w:tr>
      <w:tr w:rsidR="009F0D9F" w:rsidRPr="009F0D9F" w14:paraId="1F30D02D" w14:textId="77777777" w:rsidTr="00B602D6">
        <w:trPr>
          <w:trHeight w:val="514"/>
        </w:trPr>
        <w:tc>
          <w:tcPr>
            <w:tcW w:w="2302" w:type="dxa"/>
            <w:vAlign w:val="center"/>
          </w:tcPr>
          <w:p w14:paraId="07F6DA59" w14:textId="77777777" w:rsidR="009F0D9F" w:rsidRPr="009F0D9F" w:rsidRDefault="009F0D9F" w:rsidP="009F0D9F">
            <w:pPr>
              <w:jc w:val="left"/>
              <w:rPr>
                <w:rFonts w:ascii="宋体" w:eastAsia="宋体" w:hAnsi="宋体" w:cs="Times New Roman"/>
                <w:color w:val="000000"/>
                <w:szCs w:val="21"/>
              </w:rPr>
            </w:pPr>
            <w:r w:rsidRPr="009F0D9F">
              <w:rPr>
                <w:rFonts w:ascii="宋体" w:eastAsia="宋体" w:hAnsi="宋体" w:cs="Times New Roman" w:hint="eastAsia"/>
                <w:color w:val="000000"/>
                <w:szCs w:val="21"/>
              </w:rPr>
              <w:t>第一章 绪论</w:t>
            </w:r>
          </w:p>
        </w:tc>
        <w:tc>
          <w:tcPr>
            <w:tcW w:w="2117" w:type="dxa"/>
            <w:vAlign w:val="center"/>
          </w:tcPr>
          <w:p w14:paraId="2423307F" w14:textId="77777777" w:rsidR="009F0D9F" w:rsidRPr="009F0D9F" w:rsidRDefault="009F0D9F" w:rsidP="009F0D9F">
            <w:pPr>
              <w:spacing w:line="440" w:lineRule="exact"/>
              <w:jc w:val="center"/>
              <w:rPr>
                <w:rFonts w:ascii="宋体" w:eastAsia="宋体" w:hAnsi="宋体" w:cs="Times New Roman"/>
                <w:color w:val="000000"/>
                <w:sz w:val="24"/>
              </w:rPr>
            </w:pPr>
            <w:r w:rsidRPr="009F0D9F">
              <w:rPr>
                <w:rFonts w:ascii="宋体" w:eastAsia="宋体" w:hAnsi="宋体" w:cs="Times New Roman" w:hint="eastAsia"/>
                <w:color w:val="000000"/>
                <w:sz w:val="24"/>
              </w:rPr>
              <w:t>讲授法、专题</w:t>
            </w:r>
            <w:r w:rsidRPr="009F0D9F">
              <w:rPr>
                <w:rFonts w:ascii="宋体" w:eastAsia="宋体" w:hAnsi="宋体" w:cs="Times New Roman"/>
                <w:color w:val="000000"/>
                <w:sz w:val="24"/>
              </w:rPr>
              <w:t>研讨</w:t>
            </w:r>
          </w:p>
        </w:tc>
        <w:tc>
          <w:tcPr>
            <w:tcW w:w="2243" w:type="dxa"/>
            <w:vAlign w:val="center"/>
          </w:tcPr>
          <w:p w14:paraId="75083965" w14:textId="77777777" w:rsidR="009F0D9F" w:rsidRPr="009F0D9F" w:rsidRDefault="009F0D9F" w:rsidP="009F0D9F">
            <w:pPr>
              <w:jc w:val="center"/>
              <w:rPr>
                <w:rFonts w:ascii="Calibri" w:eastAsia="宋体" w:hAnsi="Calibri" w:cs="Times New Roman"/>
                <w:color w:val="000000"/>
                <w:szCs w:val="21"/>
              </w:rPr>
            </w:pPr>
            <w:r w:rsidRPr="009F0D9F">
              <w:rPr>
                <w:rFonts w:ascii="Calibri" w:eastAsia="宋体" w:hAnsi="Calibri" w:cs="Times New Roman" w:hint="eastAsia"/>
                <w:color w:val="000000"/>
                <w:szCs w:val="21"/>
              </w:rPr>
              <w:t>课程</w:t>
            </w:r>
            <w:r w:rsidRPr="009F0D9F">
              <w:rPr>
                <w:rFonts w:ascii="Calibri" w:eastAsia="宋体" w:hAnsi="Calibri" w:cs="Times New Roman"/>
                <w:color w:val="000000"/>
                <w:szCs w:val="21"/>
              </w:rPr>
              <w:t>目标</w:t>
            </w:r>
            <w:r w:rsidRPr="009F0D9F">
              <w:rPr>
                <w:rFonts w:ascii="Calibri" w:eastAsia="宋体" w:hAnsi="Calibri" w:cs="Times New Roman" w:hint="eastAsia"/>
                <w:color w:val="000000"/>
                <w:szCs w:val="21"/>
              </w:rPr>
              <w:t>1</w:t>
            </w:r>
          </w:p>
        </w:tc>
        <w:tc>
          <w:tcPr>
            <w:tcW w:w="1276" w:type="dxa"/>
            <w:vAlign w:val="center"/>
          </w:tcPr>
          <w:p w14:paraId="578EDFE9" w14:textId="77777777" w:rsidR="009F0D9F" w:rsidRPr="009F0D9F" w:rsidRDefault="009F0D9F" w:rsidP="009F0D9F">
            <w:pPr>
              <w:spacing w:line="440" w:lineRule="exact"/>
              <w:jc w:val="center"/>
              <w:rPr>
                <w:rFonts w:ascii="宋体" w:eastAsia="宋体" w:hAnsi="宋体" w:cs="Times New Roman"/>
                <w:color w:val="000000"/>
                <w:sz w:val="24"/>
              </w:rPr>
            </w:pPr>
            <w:r w:rsidRPr="009F0D9F">
              <w:rPr>
                <w:rFonts w:ascii="宋体" w:eastAsia="宋体" w:hAnsi="宋体" w:cs="Times New Roman" w:hint="eastAsia"/>
                <w:color w:val="000000"/>
                <w:sz w:val="24"/>
              </w:rPr>
              <w:t>2</w:t>
            </w:r>
          </w:p>
        </w:tc>
      </w:tr>
      <w:tr w:rsidR="009F0D9F" w:rsidRPr="009F0D9F" w14:paraId="127E5546" w14:textId="77777777" w:rsidTr="00B602D6">
        <w:trPr>
          <w:trHeight w:val="90"/>
        </w:trPr>
        <w:tc>
          <w:tcPr>
            <w:tcW w:w="2302" w:type="dxa"/>
            <w:vAlign w:val="center"/>
          </w:tcPr>
          <w:p w14:paraId="2EAF22B8" w14:textId="77777777" w:rsidR="009F0D9F" w:rsidRPr="009F0D9F" w:rsidRDefault="009F0D9F" w:rsidP="009F0D9F">
            <w:pPr>
              <w:jc w:val="left"/>
              <w:rPr>
                <w:rFonts w:ascii="宋体" w:eastAsia="宋体" w:hAnsi="宋体" w:cs="Times New Roman"/>
                <w:color w:val="000000"/>
                <w:szCs w:val="21"/>
              </w:rPr>
            </w:pPr>
            <w:r w:rsidRPr="009F0D9F">
              <w:rPr>
                <w:rFonts w:ascii="宋体" w:eastAsia="宋体" w:hAnsi="宋体" w:cs="Times New Roman" w:hint="eastAsia"/>
                <w:color w:val="000000"/>
                <w:szCs w:val="21"/>
              </w:rPr>
              <w:t>第二章 基因工程制药与分析</w:t>
            </w:r>
          </w:p>
        </w:tc>
        <w:tc>
          <w:tcPr>
            <w:tcW w:w="2117" w:type="dxa"/>
            <w:vAlign w:val="center"/>
          </w:tcPr>
          <w:p w14:paraId="0FD3B48E" w14:textId="77777777" w:rsidR="009F0D9F" w:rsidRPr="009F0D9F" w:rsidRDefault="009F0D9F" w:rsidP="009F0D9F">
            <w:pPr>
              <w:spacing w:line="440" w:lineRule="exact"/>
              <w:jc w:val="center"/>
              <w:rPr>
                <w:rFonts w:ascii="宋体" w:eastAsia="宋体" w:hAnsi="宋体" w:cs="Times New Roman"/>
                <w:color w:val="000000"/>
                <w:sz w:val="24"/>
              </w:rPr>
            </w:pPr>
            <w:r w:rsidRPr="009F0D9F">
              <w:rPr>
                <w:rFonts w:ascii="宋体" w:eastAsia="宋体" w:hAnsi="宋体" w:cs="Times New Roman" w:hint="eastAsia"/>
                <w:color w:val="000000"/>
                <w:sz w:val="24"/>
              </w:rPr>
              <w:t>讲授法、案例教学</w:t>
            </w:r>
          </w:p>
        </w:tc>
        <w:tc>
          <w:tcPr>
            <w:tcW w:w="2243" w:type="dxa"/>
            <w:vAlign w:val="center"/>
          </w:tcPr>
          <w:p w14:paraId="47C2588B" w14:textId="77777777" w:rsidR="009F0D9F" w:rsidRPr="009F0D9F" w:rsidRDefault="009F0D9F" w:rsidP="009F0D9F">
            <w:pPr>
              <w:jc w:val="center"/>
              <w:rPr>
                <w:rFonts w:ascii="Calibri" w:eastAsia="宋体" w:hAnsi="Calibri" w:cs="Times New Roman"/>
                <w:color w:val="000000"/>
                <w:szCs w:val="21"/>
              </w:rPr>
            </w:pPr>
            <w:r w:rsidRPr="009F0D9F">
              <w:rPr>
                <w:rFonts w:ascii="Calibri" w:eastAsia="宋体" w:hAnsi="Calibri" w:cs="Times New Roman" w:hint="eastAsia"/>
                <w:color w:val="000000"/>
                <w:szCs w:val="21"/>
              </w:rPr>
              <w:t>课程</w:t>
            </w:r>
            <w:r w:rsidRPr="009F0D9F">
              <w:rPr>
                <w:rFonts w:ascii="Calibri" w:eastAsia="宋体" w:hAnsi="Calibri" w:cs="Times New Roman"/>
                <w:color w:val="000000"/>
                <w:szCs w:val="21"/>
              </w:rPr>
              <w:t>目标</w:t>
            </w:r>
            <w:r w:rsidRPr="009F0D9F">
              <w:rPr>
                <w:rFonts w:ascii="Calibri" w:eastAsia="宋体" w:hAnsi="Calibri" w:cs="Times New Roman"/>
                <w:color w:val="000000"/>
                <w:szCs w:val="21"/>
              </w:rPr>
              <w:t>1</w:t>
            </w:r>
          </w:p>
          <w:p w14:paraId="05CBA5BD" w14:textId="77777777" w:rsidR="009F0D9F" w:rsidRPr="009F0D9F" w:rsidRDefault="009F0D9F" w:rsidP="009F0D9F">
            <w:pPr>
              <w:jc w:val="center"/>
              <w:rPr>
                <w:rFonts w:ascii="Calibri" w:eastAsia="宋体" w:hAnsi="Calibri" w:cs="Times New Roman"/>
                <w:color w:val="000000"/>
                <w:szCs w:val="21"/>
              </w:rPr>
            </w:pPr>
            <w:r w:rsidRPr="009F0D9F">
              <w:rPr>
                <w:rFonts w:ascii="Calibri" w:eastAsia="宋体" w:hAnsi="Calibri" w:cs="Times New Roman" w:hint="eastAsia"/>
                <w:color w:val="000000"/>
                <w:szCs w:val="21"/>
              </w:rPr>
              <w:t>课程</w:t>
            </w:r>
            <w:r w:rsidRPr="009F0D9F">
              <w:rPr>
                <w:rFonts w:ascii="Calibri" w:eastAsia="宋体" w:hAnsi="Calibri" w:cs="Times New Roman"/>
                <w:color w:val="000000"/>
                <w:szCs w:val="21"/>
              </w:rPr>
              <w:t>目标</w:t>
            </w:r>
            <w:r w:rsidRPr="009F0D9F">
              <w:rPr>
                <w:rFonts w:ascii="Calibri" w:eastAsia="宋体" w:hAnsi="Calibri" w:cs="Times New Roman"/>
                <w:color w:val="000000"/>
                <w:szCs w:val="21"/>
              </w:rPr>
              <w:t>2</w:t>
            </w:r>
          </w:p>
        </w:tc>
        <w:tc>
          <w:tcPr>
            <w:tcW w:w="1276" w:type="dxa"/>
            <w:vAlign w:val="center"/>
          </w:tcPr>
          <w:p w14:paraId="70A203F2" w14:textId="77777777" w:rsidR="009F0D9F" w:rsidRPr="009F0D9F" w:rsidRDefault="009F0D9F" w:rsidP="009F0D9F">
            <w:pPr>
              <w:spacing w:line="440" w:lineRule="exact"/>
              <w:jc w:val="center"/>
              <w:rPr>
                <w:rFonts w:ascii="宋体" w:eastAsia="宋体" w:hAnsi="宋体" w:cs="Times New Roman"/>
                <w:color w:val="000000"/>
                <w:sz w:val="24"/>
              </w:rPr>
            </w:pPr>
            <w:r w:rsidRPr="009F0D9F">
              <w:rPr>
                <w:rFonts w:ascii="宋体" w:eastAsia="宋体" w:hAnsi="宋体" w:cs="Times New Roman" w:hint="eastAsia"/>
                <w:color w:val="000000"/>
                <w:sz w:val="24"/>
              </w:rPr>
              <w:t>6</w:t>
            </w:r>
          </w:p>
        </w:tc>
      </w:tr>
      <w:tr w:rsidR="009F0D9F" w:rsidRPr="009F0D9F" w14:paraId="2ADC0509" w14:textId="77777777" w:rsidTr="00B602D6">
        <w:tc>
          <w:tcPr>
            <w:tcW w:w="2302" w:type="dxa"/>
            <w:vAlign w:val="center"/>
          </w:tcPr>
          <w:p w14:paraId="139A29BC" w14:textId="77777777" w:rsidR="009F0D9F" w:rsidRPr="009F0D9F" w:rsidRDefault="009F0D9F" w:rsidP="009F0D9F">
            <w:pPr>
              <w:jc w:val="left"/>
              <w:rPr>
                <w:rFonts w:ascii="宋体" w:eastAsia="宋体" w:hAnsi="宋体" w:cs="Times New Roman"/>
                <w:color w:val="000000"/>
                <w:szCs w:val="21"/>
              </w:rPr>
            </w:pPr>
            <w:r w:rsidRPr="009F0D9F">
              <w:rPr>
                <w:rFonts w:ascii="宋体" w:eastAsia="宋体" w:hAnsi="宋体" w:cs="Times New Roman" w:hint="eastAsia"/>
                <w:color w:val="000000"/>
                <w:szCs w:val="21"/>
              </w:rPr>
              <w:t>第三章 动物细胞工程制药与分析</w:t>
            </w:r>
          </w:p>
        </w:tc>
        <w:tc>
          <w:tcPr>
            <w:tcW w:w="2117" w:type="dxa"/>
            <w:vAlign w:val="center"/>
          </w:tcPr>
          <w:p w14:paraId="1C3FD9D4" w14:textId="77777777" w:rsidR="009F0D9F" w:rsidRPr="009F0D9F" w:rsidRDefault="009F0D9F" w:rsidP="009F0D9F">
            <w:pPr>
              <w:spacing w:line="440" w:lineRule="exact"/>
              <w:jc w:val="center"/>
              <w:rPr>
                <w:rFonts w:ascii="宋体" w:eastAsia="宋体" w:hAnsi="宋体" w:cs="Times New Roman"/>
                <w:color w:val="000000"/>
                <w:sz w:val="24"/>
              </w:rPr>
            </w:pPr>
            <w:r w:rsidRPr="009F0D9F">
              <w:rPr>
                <w:rFonts w:ascii="宋体" w:eastAsia="宋体" w:hAnsi="宋体" w:cs="Times New Roman" w:hint="eastAsia"/>
                <w:color w:val="000000"/>
                <w:sz w:val="24"/>
              </w:rPr>
              <w:t>讲授法、案例教学</w:t>
            </w:r>
          </w:p>
        </w:tc>
        <w:tc>
          <w:tcPr>
            <w:tcW w:w="2243" w:type="dxa"/>
            <w:vAlign w:val="center"/>
          </w:tcPr>
          <w:p w14:paraId="58946D43" w14:textId="77777777" w:rsidR="009F0D9F" w:rsidRPr="009F0D9F" w:rsidRDefault="009F0D9F" w:rsidP="009F0D9F">
            <w:pPr>
              <w:jc w:val="center"/>
              <w:rPr>
                <w:rFonts w:ascii="Calibri" w:eastAsia="宋体" w:hAnsi="Calibri" w:cs="Times New Roman"/>
                <w:color w:val="000000"/>
                <w:szCs w:val="21"/>
              </w:rPr>
            </w:pPr>
            <w:r w:rsidRPr="009F0D9F">
              <w:rPr>
                <w:rFonts w:ascii="Calibri" w:eastAsia="宋体" w:hAnsi="Calibri" w:cs="Times New Roman" w:hint="eastAsia"/>
                <w:color w:val="000000"/>
                <w:szCs w:val="21"/>
              </w:rPr>
              <w:t>课程</w:t>
            </w:r>
            <w:r w:rsidRPr="009F0D9F">
              <w:rPr>
                <w:rFonts w:ascii="Calibri" w:eastAsia="宋体" w:hAnsi="Calibri" w:cs="Times New Roman"/>
                <w:color w:val="000000"/>
                <w:szCs w:val="21"/>
              </w:rPr>
              <w:t>目标</w:t>
            </w:r>
            <w:r w:rsidRPr="009F0D9F">
              <w:rPr>
                <w:rFonts w:ascii="Calibri" w:eastAsia="宋体" w:hAnsi="Calibri" w:cs="Times New Roman"/>
                <w:color w:val="000000"/>
                <w:szCs w:val="21"/>
              </w:rPr>
              <w:t>1</w:t>
            </w:r>
          </w:p>
          <w:p w14:paraId="5130759C" w14:textId="77777777" w:rsidR="009F0D9F" w:rsidRPr="009F0D9F" w:rsidRDefault="009F0D9F" w:rsidP="009F0D9F">
            <w:pPr>
              <w:jc w:val="center"/>
              <w:rPr>
                <w:rFonts w:ascii="Calibri" w:eastAsia="宋体" w:hAnsi="Calibri" w:cs="Times New Roman"/>
                <w:color w:val="000000"/>
                <w:szCs w:val="21"/>
              </w:rPr>
            </w:pPr>
            <w:r w:rsidRPr="009F0D9F">
              <w:rPr>
                <w:rFonts w:ascii="Calibri" w:eastAsia="宋体" w:hAnsi="Calibri" w:cs="Times New Roman" w:hint="eastAsia"/>
                <w:color w:val="000000"/>
                <w:szCs w:val="21"/>
              </w:rPr>
              <w:t>课程</w:t>
            </w:r>
            <w:r w:rsidRPr="009F0D9F">
              <w:rPr>
                <w:rFonts w:ascii="Calibri" w:eastAsia="宋体" w:hAnsi="Calibri" w:cs="Times New Roman"/>
                <w:color w:val="000000"/>
                <w:szCs w:val="21"/>
              </w:rPr>
              <w:t>目标</w:t>
            </w:r>
            <w:r w:rsidRPr="009F0D9F">
              <w:rPr>
                <w:rFonts w:ascii="Calibri" w:eastAsia="宋体" w:hAnsi="Calibri" w:cs="Times New Roman"/>
                <w:color w:val="000000"/>
                <w:szCs w:val="21"/>
              </w:rPr>
              <w:t>2</w:t>
            </w:r>
          </w:p>
        </w:tc>
        <w:tc>
          <w:tcPr>
            <w:tcW w:w="1276" w:type="dxa"/>
            <w:vAlign w:val="center"/>
          </w:tcPr>
          <w:p w14:paraId="4B1CCC72" w14:textId="77777777" w:rsidR="009F0D9F" w:rsidRPr="009F0D9F" w:rsidRDefault="009F0D9F" w:rsidP="009F0D9F">
            <w:pPr>
              <w:spacing w:line="440" w:lineRule="exact"/>
              <w:jc w:val="center"/>
              <w:rPr>
                <w:rFonts w:ascii="宋体" w:eastAsia="宋体" w:hAnsi="宋体" w:cs="Times New Roman"/>
                <w:color w:val="000000"/>
                <w:sz w:val="24"/>
              </w:rPr>
            </w:pPr>
            <w:r w:rsidRPr="009F0D9F">
              <w:rPr>
                <w:rFonts w:ascii="宋体" w:eastAsia="宋体" w:hAnsi="宋体" w:cs="Times New Roman" w:hint="eastAsia"/>
                <w:color w:val="000000"/>
                <w:sz w:val="24"/>
              </w:rPr>
              <w:t>4</w:t>
            </w:r>
          </w:p>
        </w:tc>
      </w:tr>
      <w:tr w:rsidR="009F0D9F" w:rsidRPr="009F0D9F" w14:paraId="617FA4C6" w14:textId="77777777" w:rsidTr="00B602D6">
        <w:tc>
          <w:tcPr>
            <w:tcW w:w="2302" w:type="dxa"/>
            <w:vAlign w:val="center"/>
          </w:tcPr>
          <w:p w14:paraId="55B9F905" w14:textId="77777777" w:rsidR="009F0D9F" w:rsidRPr="009F0D9F" w:rsidRDefault="009F0D9F" w:rsidP="009F0D9F">
            <w:pPr>
              <w:jc w:val="left"/>
              <w:rPr>
                <w:rFonts w:ascii="宋体" w:eastAsia="宋体" w:hAnsi="宋体" w:cs="Times New Roman"/>
                <w:color w:val="000000"/>
                <w:szCs w:val="21"/>
              </w:rPr>
            </w:pPr>
            <w:r w:rsidRPr="009F0D9F">
              <w:rPr>
                <w:rFonts w:ascii="宋体" w:eastAsia="宋体" w:hAnsi="宋体" w:cs="Times New Roman" w:hint="eastAsia"/>
                <w:color w:val="000000"/>
                <w:szCs w:val="21"/>
              </w:rPr>
              <w:t>第四章 抗体制药与分析</w:t>
            </w:r>
          </w:p>
        </w:tc>
        <w:tc>
          <w:tcPr>
            <w:tcW w:w="2117" w:type="dxa"/>
            <w:vAlign w:val="center"/>
          </w:tcPr>
          <w:p w14:paraId="5A930AFC" w14:textId="77777777" w:rsidR="009F0D9F" w:rsidRPr="009F0D9F" w:rsidRDefault="009F0D9F" w:rsidP="009F0D9F">
            <w:pPr>
              <w:spacing w:line="440" w:lineRule="exact"/>
              <w:jc w:val="center"/>
              <w:rPr>
                <w:rFonts w:ascii="宋体" w:eastAsia="宋体" w:hAnsi="宋体" w:cs="Times New Roman"/>
                <w:color w:val="000000"/>
                <w:sz w:val="24"/>
              </w:rPr>
            </w:pPr>
            <w:r w:rsidRPr="009F0D9F">
              <w:rPr>
                <w:rFonts w:ascii="宋体" w:eastAsia="宋体" w:hAnsi="宋体" w:cs="Times New Roman" w:hint="eastAsia"/>
                <w:color w:val="000000"/>
                <w:sz w:val="24"/>
              </w:rPr>
              <w:t>讲授法、案例教学</w:t>
            </w:r>
          </w:p>
        </w:tc>
        <w:tc>
          <w:tcPr>
            <w:tcW w:w="2243" w:type="dxa"/>
            <w:vAlign w:val="center"/>
          </w:tcPr>
          <w:p w14:paraId="56193B0A" w14:textId="77777777" w:rsidR="009F0D9F" w:rsidRPr="009F0D9F" w:rsidRDefault="009F0D9F" w:rsidP="009F0D9F">
            <w:pPr>
              <w:jc w:val="center"/>
              <w:rPr>
                <w:rFonts w:ascii="Calibri" w:eastAsia="宋体" w:hAnsi="Calibri" w:cs="Times New Roman"/>
                <w:color w:val="000000"/>
                <w:szCs w:val="21"/>
              </w:rPr>
            </w:pPr>
            <w:r w:rsidRPr="009F0D9F">
              <w:rPr>
                <w:rFonts w:ascii="Calibri" w:eastAsia="宋体" w:hAnsi="Calibri" w:cs="Times New Roman" w:hint="eastAsia"/>
                <w:color w:val="000000"/>
                <w:szCs w:val="21"/>
              </w:rPr>
              <w:t>课程</w:t>
            </w:r>
            <w:r w:rsidRPr="009F0D9F">
              <w:rPr>
                <w:rFonts w:ascii="Calibri" w:eastAsia="宋体" w:hAnsi="Calibri" w:cs="Times New Roman"/>
                <w:color w:val="000000"/>
                <w:szCs w:val="21"/>
              </w:rPr>
              <w:t>目标</w:t>
            </w:r>
            <w:r w:rsidRPr="009F0D9F">
              <w:rPr>
                <w:rFonts w:ascii="Calibri" w:eastAsia="宋体" w:hAnsi="Calibri" w:cs="Times New Roman"/>
                <w:color w:val="000000"/>
                <w:szCs w:val="21"/>
              </w:rPr>
              <w:t>1</w:t>
            </w:r>
          </w:p>
          <w:p w14:paraId="20FAD224" w14:textId="77777777" w:rsidR="009F0D9F" w:rsidRPr="009F0D9F" w:rsidRDefault="009F0D9F" w:rsidP="009F0D9F">
            <w:pPr>
              <w:jc w:val="center"/>
              <w:rPr>
                <w:rFonts w:ascii="Calibri" w:eastAsia="宋体" w:hAnsi="Calibri" w:cs="Times New Roman"/>
                <w:color w:val="000000"/>
                <w:szCs w:val="21"/>
              </w:rPr>
            </w:pPr>
            <w:r w:rsidRPr="009F0D9F">
              <w:rPr>
                <w:rFonts w:ascii="Calibri" w:eastAsia="宋体" w:hAnsi="Calibri" w:cs="Times New Roman" w:hint="eastAsia"/>
                <w:color w:val="000000"/>
                <w:szCs w:val="21"/>
              </w:rPr>
              <w:t>课程</w:t>
            </w:r>
            <w:r w:rsidRPr="009F0D9F">
              <w:rPr>
                <w:rFonts w:ascii="Calibri" w:eastAsia="宋体" w:hAnsi="Calibri" w:cs="Times New Roman"/>
                <w:color w:val="000000"/>
                <w:szCs w:val="21"/>
              </w:rPr>
              <w:t>目标</w:t>
            </w:r>
            <w:r w:rsidRPr="009F0D9F">
              <w:rPr>
                <w:rFonts w:ascii="Calibri" w:eastAsia="宋体" w:hAnsi="Calibri" w:cs="Times New Roman"/>
                <w:color w:val="000000"/>
                <w:szCs w:val="21"/>
              </w:rPr>
              <w:t>2</w:t>
            </w:r>
          </w:p>
        </w:tc>
        <w:tc>
          <w:tcPr>
            <w:tcW w:w="1276" w:type="dxa"/>
            <w:vAlign w:val="center"/>
          </w:tcPr>
          <w:p w14:paraId="515C6AF2" w14:textId="77777777" w:rsidR="009F0D9F" w:rsidRPr="009F0D9F" w:rsidRDefault="009F0D9F" w:rsidP="009F0D9F">
            <w:pPr>
              <w:spacing w:line="440" w:lineRule="exact"/>
              <w:jc w:val="center"/>
              <w:rPr>
                <w:rFonts w:ascii="宋体" w:eastAsia="宋体" w:hAnsi="宋体" w:cs="Times New Roman"/>
                <w:color w:val="000000"/>
                <w:sz w:val="24"/>
              </w:rPr>
            </w:pPr>
            <w:r w:rsidRPr="009F0D9F">
              <w:rPr>
                <w:rFonts w:ascii="宋体" w:eastAsia="宋体" w:hAnsi="宋体" w:cs="Times New Roman" w:hint="eastAsia"/>
                <w:color w:val="000000"/>
                <w:sz w:val="24"/>
              </w:rPr>
              <w:t>4</w:t>
            </w:r>
          </w:p>
        </w:tc>
      </w:tr>
      <w:tr w:rsidR="009F0D9F" w:rsidRPr="009F0D9F" w14:paraId="53102655" w14:textId="77777777" w:rsidTr="00B602D6">
        <w:tc>
          <w:tcPr>
            <w:tcW w:w="2302" w:type="dxa"/>
            <w:vAlign w:val="center"/>
          </w:tcPr>
          <w:p w14:paraId="78E1181E" w14:textId="77777777" w:rsidR="009F0D9F" w:rsidRPr="009F0D9F" w:rsidRDefault="009F0D9F" w:rsidP="009F0D9F">
            <w:pPr>
              <w:jc w:val="left"/>
              <w:rPr>
                <w:rFonts w:ascii="宋体" w:eastAsia="宋体" w:hAnsi="宋体" w:cs="Times New Roman"/>
                <w:color w:val="000000"/>
                <w:szCs w:val="21"/>
              </w:rPr>
            </w:pPr>
            <w:r w:rsidRPr="009F0D9F">
              <w:rPr>
                <w:rFonts w:ascii="宋体" w:eastAsia="宋体" w:hAnsi="宋体" w:cs="Times New Roman" w:hint="eastAsia"/>
                <w:color w:val="000000"/>
                <w:szCs w:val="21"/>
              </w:rPr>
              <w:t>第五章 植物细胞工程制药与分析</w:t>
            </w:r>
          </w:p>
        </w:tc>
        <w:tc>
          <w:tcPr>
            <w:tcW w:w="2117" w:type="dxa"/>
            <w:vAlign w:val="center"/>
          </w:tcPr>
          <w:p w14:paraId="6E672F15" w14:textId="77777777" w:rsidR="009F0D9F" w:rsidRPr="009F0D9F" w:rsidRDefault="009F0D9F" w:rsidP="009F0D9F">
            <w:pPr>
              <w:spacing w:line="440" w:lineRule="exact"/>
              <w:jc w:val="center"/>
              <w:rPr>
                <w:rFonts w:ascii="宋体" w:eastAsia="宋体" w:hAnsi="宋体" w:cs="Times New Roman"/>
                <w:color w:val="000000"/>
                <w:sz w:val="24"/>
              </w:rPr>
            </w:pPr>
            <w:r w:rsidRPr="009F0D9F">
              <w:rPr>
                <w:rFonts w:ascii="宋体" w:eastAsia="宋体" w:hAnsi="宋体" w:cs="Times New Roman" w:hint="eastAsia"/>
                <w:color w:val="000000"/>
                <w:sz w:val="24"/>
              </w:rPr>
              <w:t>讲授法、案例教学</w:t>
            </w:r>
          </w:p>
        </w:tc>
        <w:tc>
          <w:tcPr>
            <w:tcW w:w="2243" w:type="dxa"/>
            <w:vAlign w:val="center"/>
          </w:tcPr>
          <w:p w14:paraId="07861FF5" w14:textId="77777777" w:rsidR="009F0D9F" w:rsidRPr="009F0D9F" w:rsidRDefault="009F0D9F" w:rsidP="009F0D9F">
            <w:pPr>
              <w:jc w:val="center"/>
              <w:rPr>
                <w:rFonts w:ascii="Calibri" w:eastAsia="宋体" w:hAnsi="Calibri" w:cs="Times New Roman"/>
                <w:color w:val="000000"/>
                <w:szCs w:val="21"/>
              </w:rPr>
            </w:pPr>
            <w:r w:rsidRPr="009F0D9F">
              <w:rPr>
                <w:rFonts w:ascii="Calibri" w:eastAsia="宋体" w:hAnsi="Calibri" w:cs="Times New Roman" w:hint="eastAsia"/>
                <w:color w:val="000000"/>
                <w:szCs w:val="21"/>
              </w:rPr>
              <w:t>课程</w:t>
            </w:r>
            <w:r w:rsidRPr="009F0D9F">
              <w:rPr>
                <w:rFonts w:ascii="Calibri" w:eastAsia="宋体" w:hAnsi="Calibri" w:cs="Times New Roman"/>
                <w:color w:val="000000"/>
                <w:szCs w:val="21"/>
              </w:rPr>
              <w:t>目标</w:t>
            </w:r>
            <w:r w:rsidRPr="009F0D9F">
              <w:rPr>
                <w:rFonts w:ascii="Calibri" w:eastAsia="宋体" w:hAnsi="Calibri" w:cs="Times New Roman"/>
                <w:color w:val="000000"/>
                <w:szCs w:val="21"/>
              </w:rPr>
              <w:t>1</w:t>
            </w:r>
          </w:p>
          <w:p w14:paraId="3F84C010" w14:textId="77777777" w:rsidR="009F0D9F" w:rsidRPr="009F0D9F" w:rsidRDefault="009F0D9F" w:rsidP="009F0D9F">
            <w:pPr>
              <w:jc w:val="center"/>
              <w:rPr>
                <w:rFonts w:ascii="Calibri" w:eastAsia="宋体" w:hAnsi="Calibri" w:cs="Times New Roman"/>
                <w:color w:val="000000"/>
                <w:szCs w:val="21"/>
              </w:rPr>
            </w:pPr>
            <w:r w:rsidRPr="009F0D9F">
              <w:rPr>
                <w:rFonts w:ascii="Calibri" w:eastAsia="宋体" w:hAnsi="Calibri" w:cs="Times New Roman" w:hint="eastAsia"/>
                <w:color w:val="000000"/>
                <w:szCs w:val="21"/>
              </w:rPr>
              <w:t>课程</w:t>
            </w:r>
            <w:r w:rsidRPr="009F0D9F">
              <w:rPr>
                <w:rFonts w:ascii="Calibri" w:eastAsia="宋体" w:hAnsi="Calibri" w:cs="Times New Roman"/>
                <w:color w:val="000000"/>
                <w:szCs w:val="21"/>
              </w:rPr>
              <w:t>目标</w:t>
            </w:r>
            <w:r w:rsidRPr="009F0D9F">
              <w:rPr>
                <w:rFonts w:ascii="Calibri" w:eastAsia="宋体" w:hAnsi="Calibri" w:cs="Times New Roman"/>
                <w:color w:val="000000"/>
                <w:szCs w:val="21"/>
              </w:rPr>
              <w:t>2</w:t>
            </w:r>
          </w:p>
        </w:tc>
        <w:tc>
          <w:tcPr>
            <w:tcW w:w="1276" w:type="dxa"/>
            <w:vAlign w:val="center"/>
          </w:tcPr>
          <w:p w14:paraId="62C8F948" w14:textId="77777777" w:rsidR="009F0D9F" w:rsidRPr="009F0D9F" w:rsidRDefault="009F0D9F" w:rsidP="009F0D9F">
            <w:pPr>
              <w:spacing w:line="440" w:lineRule="exact"/>
              <w:jc w:val="center"/>
              <w:rPr>
                <w:rFonts w:ascii="宋体" w:eastAsia="宋体" w:hAnsi="宋体" w:cs="Times New Roman"/>
                <w:color w:val="000000"/>
                <w:sz w:val="24"/>
              </w:rPr>
            </w:pPr>
            <w:r w:rsidRPr="009F0D9F">
              <w:rPr>
                <w:rFonts w:ascii="宋体" w:eastAsia="宋体" w:hAnsi="宋体" w:cs="Times New Roman" w:hint="eastAsia"/>
                <w:color w:val="000000"/>
                <w:sz w:val="24"/>
              </w:rPr>
              <w:t>4</w:t>
            </w:r>
          </w:p>
        </w:tc>
      </w:tr>
      <w:tr w:rsidR="009F0D9F" w:rsidRPr="009F0D9F" w14:paraId="219D44A5" w14:textId="77777777" w:rsidTr="00B602D6">
        <w:tc>
          <w:tcPr>
            <w:tcW w:w="2302" w:type="dxa"/>
            <w:vAlign w:val="center"/>
          </w:tcPr>
          <w:p w14:paraId="2D9B694A" w14:textId="77777777" w:rsidR="009F0D9F" w:rsidRPr="009F0D9F" w:rsidRDefault="009F0D9F" w:rsidP="009F0D9F">
            <w:pPr>
              <w:jc w:val="left"/>
              <w:rPr>
                <w:rFonts w:ascii="宋体" w:eastAsia="宋体" w:hAnsi="宋体" w:cs="Times New Roman"/>
                <w:color w:val="000000"/>
                <w:szCs w:val="21"/>
              </w:rPr>
            </w:pPr>
            <w:r w:rsidRPr="009F0D9F">
              <w:rPr>
                <w:rFonts w:ascii="宋体" w:eastAsia="宋体" w:hAnsi="宋体" w:cs="Times New Roman" w:hint="eastAsia"/>
                <w:color w:val="000000"/>
                <w:szCs w:val="21"/>
              </w:rPr>
              <w:t>第六章 酶工程制药与分析</w:t>
            </w:r>
          </w:p>
        </w:tc>
        <w:tc>
          <w:tcPr>
            <w:tcW w:w="2117" w:type="dxa"/>
            <w:vAlign w:val="center"/>
          </w:tcPr>
          <w:p w14:paraId="3E2310A1" w14:textId="77777777" w:rsidR="009F0D9F" w:rsidRPr="009F0D9F" w:rsidRDefault="009F0D9F" w:rsidP="009F0D9F">
            <w:pPr>
              <w:spacing w:line="440" w:lineRule="exact"/>
              <w:jc w:val="center"/>
              <w:rPr>
                <w:rFonts w:ascii="宋体" w:eastAsia="宋体" w:hAnsi="宋体" w:cs="Times New Roman"/>
                <w:color w:val="000000"/>
                <w:sz w:val="24"/>
              </w:rPr>
            </w:pPr>
            <w:r w:rsidRPr="009F0D9F">
              <w:rPr>
                <w:rFonts w:ascii="宋体" w:eastAsia="宋体" w:hAnsi="宋体" w:cs="Times New Roman" w:hint="eastAsia"/>
                <w:color w:val="000000"/>
                <w:sz w:val="24"/>
              </w:rPr>
              <w:t>讲授法、案例教学</w:t>
            </w:r>
          </w:p>
        </w:tc>
        <w:tc>
          <w:tcPr>
            <w:tcW w:w="2243" w:type="dxa"/>
            <w:vAlign w:val="center"/>
          </w:tcPr>
          <w:p w14:paraId="6241B4AC" w14:textId="77777777" w:rsidR="009F0D9F" w:rsidRPr="009F0D9F" w:rsidRDefault="009F0D9F" w:rsidP="009F0D9F">
            <w:pPr>
              <w:jc w:val="center"/>
              <w:rPr>
                <w:rFonts w:ascii="Calibri" w:eastAsia="宋体" w:hAnsi="Calibri" w:cs="Times New Roman"/>
                <w:color w:val="000000"/>
                <w:szCs w:val="21"/>
              </w:rPr>
            </w:pPr>
            <w:r w:rsidRPr="009F0D9F">
              <w:rPr>
                <w:rFonts w:ascii="Calibri" w:eastAsia="宋体" w:hAnsi="Calibri" w:cs="Times New Roman" w:hint="eastAsia"/>
                <w:color w:val="000000"/>
                <w:szCs w:val="21"/>
              </w:rPr>
              <w:t>课程</w:t>
            </w:r>
            <w:r w:rsidRPr="009F0D9F">
              <w:rPr>
                <w:rFonts w:ascii="Calibri" w:eastAsia="宋体" w:hAnsi="Calibri" w:cs="Times New Roman"/>
                <w:color w:val="000000"/>
                <w:szCs w:val="21"/>
              </w:rPr>
              <w:t>目标</w:t>
            </w:r>
            <w:r w:rsidRPr="009F0D9F">
              <w:rPr>
                <w:rFonts w:ascii="Calibri" w:eastAsia="宋体" w:hAnsi="Calibri" w:cs="Times New Roman"/>
                <w:color w:val="000000"/>
                <w:szCs w:val="21"/>
              </w:rPr>
              <w:t>1</w:t>
            </w:r>
          </w:p>
          <w:p w14:paraId="0DBD0F91" w14:textId="77777777" w:rsidR="009F0D9F" w:rsidRPr="009F0D9F" w:rsidRDefault="009F0D9F" w:rsidP="009F0D9F">
            <w:pPr>
              <w:jc w:val="center"/>
              <w:rPr>
                <w:rFonts w:ascii="Calibri" w:eastAsia="宋体" w:hAnsi="Calibri" w:cs="Times New Roman"/>
                <w:color w:val="000000"/>
                <w:szCs w:val="21"/>
              </w:rPr>
            </w:pPr>
            <w:r w:rsidRPr="009F0D9F">
              <w:rPr>
                <w:rFonts w:ascii="Calibri" w:eastAsia="宋体" w:hAnsi="Calibri" w:cs="Times New Roman" w:hint="eastAsia"/>
                <w:color w:val="000000"/>
                <w:szCs w:val="21"/>
              </w:rPr>
              <w:t>课程</w:t>
            </w:r>
            <w:r w:rsidRPr="009F0D9F">
              <w:rPr>
                <w:rFonts w:ascii="Calibri" w:eastAsia="宋体" w:hAnsi="Calibri" w:cs="Times New Roman"/>
                <w:color w:val="000000"/>
                <w:szCs w:val="21"/>
              </w:rPr>
              <w:t>目标</w:t>
            </w:r>
            <w:r w:rsidRPr="009F0D9F">
              <w:rPr>
                <w:rFonts w:ascii="Calibri" w:eastAsia="宋体" w:hAnsi="Calibri" w:cs="Times New Roman"/>
                <w:color w:val="000000"/>
                <w:szCs w:val="21"/>
              </w:rPr>
              <w:t>2</w:t>
            </w:r>
          </w:p>
        </w:tc>
        <w:tc>
          <w:tcPr>
            <w:tcW w:w="1276" w:type="dxa"/>
            <w:vAlign w:val="center"/>
          </w:tcPr>
          <w:p w14:paraId="290AE26D" w14:textId="77777777" w:rsidR="009F0D9F" w:rsidRPr="009F0D9F" w:rsidRDefault="009F0D9F" w:rsidP="009F0D9F">
            <w:pPr>
              <w:spacing w:line="440" w:lineRule="exact"/>
              <w:jc w:val="center"/>
              <w:rPr>
                <w:rFonts w:ascii="宋体" w:eastAsia="宋体" w:hAnsi="宋体" w:cs="Times New Roman"/>
                <w:color w:val="000000"/>
                <w:sz w:val="24"/>
              </w:rPr>
            </w:pPr>
            <w:r w:rsidRPr="009F0D9F">
              <w:rPr>
                <w:rFonts w:ascii="宋体" w:eastAsia="宋体" w:hAnsi="宋体" w:cs="Times New Roman" w:hint="eastAsia"/>
                <w:color w:val="000000"/>
                <w:sz w:val="24"/>
              </w:rPr>
              <w:t>4</w:t>
            </w:r>
          </w:p>
        </w:tc>
      </w:tr>
      <w:tr w:rsidR="009F0D9F" w:rsidRPr="009F0D9F" w14:paraId="61DA2A4C" w14:textId="77777777" w:rsidTr="00B602D6">
        <w:tc>
          <w:tcPr>
            <w:tcW w:w="2302" w:type="dxa"/>
            <w:vAlign w:val="center"/>
          </w:tcPr>
          <w:p w14:paraId="295F27A3" w14:textId="77777777" w:rsidR="009F0D9F" w:rsidRPr="009F0D9F" w:rsidRDefault="009F0D9F" w:rsidP="009F0D9F">
            <w:pPr>
              <w:jc w:val="left"/>
              <w:rPr>
                <w:rFonts w:ascii="宋体" w:eastAsia="宋体" w:hAnsi="宋体" w:cs="Times New Roman"/>
                <w:color w:val="000000"/>
                <w:szCs w:val="21"/>
              </w:rPr>
            </w:pPr>
            <w:r w:rsidRPr="009F0D9F">
              <w:rPr>
                <w:rFonts w:ascii="宋体" w:eastAsia="宋体" w:hAnsi="宋体" w:cs="Times New Roman" w:hint="eastAsia"/>
                <w:color w:val="000000"/>
                <w:szCs w:val="21"/>
              </w:rPr>
              <w:t>第七章 发酵工程制药与分析</w:t>
            </w:r>
          </w:p>
        </w:tc>
        <w:tc>
          <w:tcPr>
            <w:tcW w:w="2117" w:type="dxa"/>
            <w:vAlign w:val="center"/>
          </w:tcPr>
          <w:p w14:paraId="42806CCF" w14:textId="77777777" w:rsidR="009F0D9F" w:rsidRPr="009F0D9F" w:rsidRDefault="009F0D9F" w:rsidP="009F0D9F">
            <w:pPr>
              <w:spacing w:line="440" w:lineRule="exact"/>
              <w:jc w:val="center"/>
              <w:rPr>
                <w:rFonts w:ascii="宋体" w:eastAsia="宋体" w:hAnsi="宋体" w:cs="Times New Roman"/>
                <w:color w:val="000000"/>
                <w:sz w:val="24"/>
              </w:rPr>
            </w:pPr>
            <w:r w:rsidRPr="009F0D9F">
              <w:rPr>
                <w:rFonts w:ascii="宋体" w:eastAsia="宋体" w:hAnsi="宋体" w:cs="Times New Roman" w:hint="eastAsia"/>
                <w:color w:val="000000"/>
                <w:sz w:val="24"/>
              </w:rPr>
              <w:t>讲授法、案例教学</w:t>
            </w:r>
          </w:p>
        </w:tc>
        <w:tc>
          <w:tcPr>
            <w:tcW w:w="2243" w:type="dxa"/>
            <w:vAlign w:val="center"/>
          </w:tcPr>
          <w:p w14:paraId="53DB1DCF" w14:textId="77777777" w:rsidR="009F0D9F" w:rsidRPr="009F0D9F" w:rsidRDefault="009F0D9F" w:rsidP="009F0D9F">
            <w:pPr>
              <w:jc w:val="center"/>
              <w:rPr>
                <w:rFonts w:ascii="Calibri" w:eastAsia="宋体" w:hAnsi="Calibri" w:cs="Times New Roman"/>
                <w:color w:val="000000"/>
                <w:szCs w:val="21"/>
              </w:rPr>
            </w:pPr>
            <w:r w:rsidRPr="009F0D9F">
              <w:rPr>
                <w:rFonts w:ascii="Calibri" w:eastAsia="宋体" w:hAnsi="Calibri" w:cs="Times New Roman" w:hint="eastAsia"/>
                <w:color w:val="000000"/>
                <w:szCs w:val="21"/>
              </w:rPr>
              <w:t>课程</w:t>
            </w:r>
            <w:r w:rsidRPr="009F0D9F">
              <w:rPr>
                <w:rFonts w:ascii="Calibri" w:eastAsia="宋体" w:hAnsi="Calibri" w:cs="Times New Roman"/>
                <w:color w:val="000000"/>
                <w:szCs w:val="21"/>
              </w:rPr>
              <w:t>目标</w:t>
            </w:r>
            <w:r w:rsidRPr="009F0D9F">
              <w:rPr>
                <w:rFonts w:ascii="Calibri" w:eastAsia="宋体" w:hAnsi="Calibri" w:cs="Times New Roman"/>
                <w:color w:val="000000"/>
                <w:szCs w:val="21"/>
              </w:rPr>
              <w:t>1</w:t>
            </w:r>
          </w:p>
          <w:p w14:paraId="18137B86" w14:textId="77777777" w:rsidR="009F0D9F" w:rsidRPr="009F0D9F" w:rsidRDefault="009F0D9F" w:rsidP="009F0D9F">
            <w:pPr>
              <w:jc w:val="center"/>
              <w:rPr>
                <w:rFonts w:ascii="Calibri" w:eastAsia="宋体" w:hAnsi="Calibri" w:cs="Times New Roman"/>
                <w:color w:val="000000"/>
                <w:szCs w:val="21"/>
              </w:rPr>
            </w:pPr>
            <w:r w:rsidRPr="009F0D9F">
              <w:rPr>
                <w:rFonts w:ascii="Calibri" w:eastAsia="宋体" w:hAnsi="Calibri" w:cs="Times New Roman" w:hint="eastAsia"/>
                <w:color w:val="000000"/>
                <w:szCs w:val="21"/>
              </w:rPr>
              <w:t>课程</w:t>
            </w:r>
            <w:r w:rsidRPr="009F0D9F">
              <w:rPr>
                <w:rFonts w:ascii="Calibri" w:eastAsia="宋体" w:hAnsi="Calibri" w:cs="Times New Roman"/>
                <w:color w:val="000000"/>
                <w:szCs w:val="21"/>
              </w:rPr>
              <w:t>目标</w:t>
            </w:r>
            <w:r w:rsidRPr="009F0D9F">
              <w:rPr>
                <w:rFonts w:ascii="Calibri" w:eastAsia="宋体" w:hAnsi="Calibri" w:cs="Times New Roman"/>
                <w:color w:val="000000"/>
                <w:szCs w:val="21"/>
              </w:rPr>
              <w:t>2</w:t>
            </w:r>
          </w:p>
        </w:tc>
        <w:tc>
          <w:tcPr>
            <w:tcW w:w="1276" w:type="dxa"/>
            <w:vAlign w:val="center"/>
          </w:tcPr>
          <w:p w14:paraId="3E7677AE" w14:textId="77777777" w:rsidR="009F0D9F" w:rsidRPr="009F0D9F" w:rsidRDefault="009F0D9F" w:rsidP="009F0D9F">
            <w:pPr>
              <w:spacing w:line="440" w:lineRule="exact"/>
              <w:jc w:val="center"/>
              <w:rPr>
                <w:rFonts w:ascii="宋体" w:eastAsia="宋体" w:hAnsi="宋体" w:cs="Times New Roman"/>
                <w:color w:val="000000"/>
                <w:sz w:val="24"/>
              </w:rPr>
            </w:pPr>
            <w:r w:rsidRPr="009F0D9F">
              <w:rPr>
                <w:rFonts w:ascii="宋体" w:eastAsia="宋体" w:hAnsi="宋体" w:cs="Times New Roman" w:hint="eastAsia"/>
                <w:color w:val="000000"/>
                <w:sz w:val="24"/>
              </w:rPr>
              <w:t>4</w:t>
            </w:r>
          </w:p>
        </w:tc>
      </w:tr>
      <w:tr w:rsidR="009F0D9F" w:rsidRPr="009F0D9F" w14:paraId="306291F0" w14:textId="77777777" w:rsidTr="00B602D6">
        <w:tc>
          <w:tcPr>
            <w:tcW w:w="6662" w:type="dxa"/>
            <w:gridSpan w:val="3"/>
            <w:vAlign w:val="center"/>
          </w:tcPr>
          <w:p w14:paraId="09958885" w14:textId="77777777" w:rsidR="009F0D9F" w:rsidRPr="009F0D9F" w:rsidRDefault="009F0D9F" w:rsidP="009F0D9F">
            <w:pPr>
              <w:spacing w:line="440" w:lineRule="exact"/>
              <w:jc w:val="center"/>
              <w:rPr>
                <w:rFonts w:ascii="宋体" w:eastAsia="宋体" w:hAnsi="宋体" w:cs="Times New Roman"/>
                <w:b/>
                <w:sz w:val="24"/>
              </w:rPr>
            </w:pPr>
            <w:r w:rsidRPr="009F0D9F">
              <w:rPr>
                <w:rFonts w:ascii="宋体" w:eastAsia="宋体" w:hAnsi="宋体" w:cs="Times New Roman" w:hint="eastAsia"/>
                <w:b/>
                <w:sz w:val="24"/>
              </w:rPr>
              <w:t>合计</w:t>
            </w:r>
          </w:p>
        </w:tc>
        <w:tc>
          <w:tcPr>
            <w:tcW w:w="1276" w:type="dxa"/>
            <w:vAlign w:val="center"/>
          </w:tcPr>
          <w:p w14:paraId="48A300CD" w14:textId="77777777" w:rsidR="009F0D9F" w:rsidRPr="009F0D9F" w:rsidRDefault="009F0D9F" w:rsidP="009F0D9F">
            <w:pPr>
              <w:spacing w:line="440" w:lineRule="exact"/>
              <w:jc w:val="center"/>
              <w:rPr>
                <w:rFonts w:ascii="宋体" w:eastAsia="宋体" w:hAnsi="宋体" w:cs="Times New Roman"/>
                <w:sz w:val="24"/>
              </w:rPr>
            </w:pPr>
            <w:r w:rsidRPr="009F0D9F">
              <w:rPr>
                <w:rFonts w:ascii="宋体" w:eastAsia="宋体" w:hAnsi="宋体" w:cs="Times New Roman" w:hint="eastAsia"/>
                <w:sz w:val="24"/>
              </w:rPr>
              <w:t>32</w:t>
            </w:r>
          </w:p>
        </w:tc>
      </w:tr>
    </w:tbl>
    <w:p w14:paraId="50857961" w14:textId="77777777" w:rsidR="009F0D9F" w:rsidRPr="009F0D9F" w:rsidRDefault="009F0D9F" w:rsidP="009F0D9F">
      <w:pPr>
        <w:spacing w:line="360" w:lineRule="auto"/>
        <w:rPr>
          <w:rFonts w:ascii="仿宋" w:eastAsia="仿宋" w:hAnsi="仿宋" w:cs="Times New Roman"/>
          <w:sz w:val="24"/>
        </w:rPr>
      </w:pPr>
    </w:p>
    <w:p w14:paraId="2B8E6C3C" w14:textId="77777777" w:rsidR="009F0D9F" w:rsidRPr="009F0D9F" w:rsidRDefault="009F0D9F" w:rsidP="009F0D9F">
      <w:pPr>
        <w:spacing w:line="360" w:lineRule="auto"/>
        <w:ind w:firstLineChars="200" w:firstLine="560"/>
        <w:rPr>
          <w:rFonts w:ascii="宋体" w:eastAsia="宋体" w:hAnsi="宋体" w:cs="Times New Roman"/>
          <w:sz w:val="24"/>
        </w:rPr>
      </w:pPr>
      <w:r w:rsidRPr="009F0D9F">
        <w:rPr>
          <w:rFonts w:ascii="黑体" w:eastAsia="黑体" w:hAnsi="黑体" w:cs="Times New Roman" w:hint="eastAsia"/>
          <w:sz w:val="28"/>
          <w:szCs w:val="28"/>
        </w:rPr>
        <w:t>四、课程考核及与课程学习目标的对应关系</w:t>
      </w:r>
    </w:p>
    <w:p w14:paraId="11DB0627" w14:textId="77777777" w:rsidR="009F0D9F" w:rsidRPr="009F0D9F" w:rsidRDefault="009F0D9F" w:rsidP="009F0D9F">
      <w:pPr>
        <w:spacing w:line="360" w:lineRule="auto"/>
        <w:ind w:firstLineChars="200" w:firstLine="560"/>
        <w:rPr>
          <w:rFonts w:ascii="黑体" w:eastAsia="黑体" w:hAnsi="黑体" w:cs="Times New Roman"/>
          <w:sz w:val="28"/>
          <w:szCs w:val="28"/>
        </w:rPr>
      </w:pPr>
      <w:r w:rsidRPr="009F0D9F">
        <w:rPr>
          <w:rFonts w:ascii="黑体" w:eastAsia="黑体" w:hAnsi="黑体" w:cs="Times New Roman" w:hint="eastAsia"/>
          <w:sz w:val="28"/>
          <w:szCs w:val="28"/>
        </w:rPr>
        <w:t>（一）课程考核内容与课程学习目标的对应关系</w:t>
      </w:r>
    </w:p>
    <w:tbl>
      <w:tblPr>
        <w:tblW w:w="81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7"/>
        <w:gridCol w:w="7247"/>
      </w:tblGrid>
      <w:tr w:rsidR="009F0D9F" w:rsidRPr="009F0D9F" w14:paraId="587C9149" w14:textId="77777777" w:rsidTr="00B602D6">
        <w:trPr>
          <w:trHeight w:val="515"/>
          <w:jc w:val="center"/>
        </w:trPr>
        <w:tc>
          <w:tcPr>
            <w:tcW w:w="927" w:type="dxa"/>
          </w:tcPr>
          <w:p w14:paraId="1A87BD2B" w14:textId="77777777" w:rsidR="009F0D9F" w:rsidRPr="009F0D9F" w:rsidRDefault="009F0D9F" w:rsidP="009F0D9F">
            <w:pPr>
              <w:spacing w:line="360" w:lineRule="auto"/>
              <w:jc w:val="center"/>
              <w:rPr>
                <w:rFonts w:ascii="宋体" w:eastAsia="宋体" w:hAnsi="宋体" w:cs="Times New Roman"/>
                <w:b/>
                <w:sz w:val="24"/>
              </w:rPr>
            </w:pPr>
            <w:r w:rsidRPr="009F0D9F">
              <w:rPr>
                <w:rFonts w:ascii="宋体" w:eastAsia="宋体" w:hAnsi="宋体" w:cs="Times New Roman" w:hint="eastAsia"/>
                <w:b/>
                <w:sz w:val="24"/>
              </w:rPr>
              <w:t>课程目标</w:t>
            </w:r>
          </w:p>
        </w:tc>
        <w:tc>
          <w:tcPr>
            <w:tcW w:w="7247" w:type="dxa"/>
            <w:vAlign w:val="center"/>
          </w:tcPr>
          <w:p w14:paraId="6470DA88" w14:textId="77777777" w:rsidR="009F0D9F" w:rsidRPr="009F0D9F" w:rsidRDefault="009F0D9F" w:rsidP="009F0D9F">
            <w:pPr>
              <w:spacing w:line="360" w:lineRule="auto"/>
              <w:jc w:val="center"/>
              <w:rPr>
                <w:rFonts w:ascii="宋体" w:eastAsia="宋体" w:hAnsi="宋体" w:cs="Times New Roman"/>
                <w:b/>
                <w:sz w:val="24"/>
              </w:rPr>
            </w:pPr>
            <w:r w:rsidRPr="009F0D9F">
              <w:rPr>
                <w:rFonts w:ascii="宋体" w:eastAsia="宋体" w:hAnsi="宋体" w:cs="Times New Roman" w:hint="eastAsia"/>
                <w:b/>
                <w:sz w:val="24"/>
              </w:rPr>
              <w:t>考核内容</w:t>
            </w:r>
          </w:p>
        </w:tc>
      </w:tr>
      <w:tr w:rsidR="009F0D9F" w:rsidRPr="009F0D9F" w14:paraId="283A18E5" w14:textId="77777777" w:rsidTr="00B602D6">
        <w:trPr>
          <w:jc w:val="center"/>
        </w:trPr>
        <w:tc>
          <w:tcPr>
            <w:tcW w:w="927" w:type="dxa"/>
            <w:vAlign w:val="center"/>
          </w:tcPr>
          <w:p w14:paraId="3DDE7D5A" w14:textId="77777777" w:rsidR="009F0D9F" w:rsidRPr="009F0D9F" w:rsidRDefault="009F0D9F" w:rsidP="009F0D9F">
            <w:pPr>
              <w:spacing w:line="360" w:lineRule="auto"/>
              <w:jc w:val="center"/>
              <w:rPr>
                <w:rFonts w:ascii="宋体" w:eastAsia="宋体" w:hAnsi="宋体" w:cs="Times New Roman"/>
                <w:bCs/>
                <w:sz w:val="24"/>
              </w:rPr>
            </w:pPr>
            <w:r w:rsidRPr="009F0D9F">
              <w:rPr>
                <w:rFonts w:ascii="宋体" w:eastAsia="宋体" w:hAnsi="宋体" w:cs="Times New Roman" w:hint="eastAsia"/>
                <w:bCs/>
                <w:sz w:val="24"/>
              </w:rPr>
              <w:t>课程目标1</w:t>
            </w:r>
          </w:p>
        </w:tc>
        <w:tc>
          <w:tcPr>
            <w:tcW w:w="7247" w:type="dxa"/>
            <w:vAlign w:val="center"/>
          </w:tcPr>
          <w:p w14:paraId="1B7BCBC0" w14:textId="77777777" w:rsidR="009F0D9F" w:rsidRPr="009F0D9F" w:rsidRDefault="009F0D9F" w:rsidP="009F0D9F">
            <w:pPr>
              <w:spacing w:line="360" w:lineRule="auto"/>
              <w:rPr>
                <w:rFonts w:ascii="宋体" w:eastAsia="宋体" w:hAnsi="宋体" w:cs="Times New Roman"/>
                <w:bCs/>
                <w:sz w:val="24"/>
              </w:rPr>
            </w:pPr>
            <w:r w:rsidRPr="009F0D9F">
              <w:rPr>
                <w:rFonts w:ascii="宋体" w:eastAsia="宋体" w:hAnsi="宋体" w:cs="Times New Roman" w:hint="eastAsia"/>
                <w:bCs/>
                <w:sz w:val="24"/>
              </w:rPr>
              <w:t>1.1</w:t>
            </w:r>
            <w:r w:rsidRPr="009F0D9F">
              <w:rPr>
                <w:rFonts w:ascii="Calibri" w:eastAsia="宋体" w:hAnsi="Calibri" w:cs="Times New Roman" w:hint="eastAsia"/>
                <w:szCs w:val="21"/>
              </w:rPr>
              <w:t>生物技术药物的概念及其分析方法；</w:t>
            </w:r>
            <w:r w:rsidRPr="009F0D9F">
              <w:rPr>
                <w:rFonts w:ascii="宋体" w:eastAsia="宋体" w:hAnsi="宋体" w:cs="Times New Roman"/>
                <w:bCs/>
                <w:sz w:val="24"/>
              </w:rPr>
              <w:t xml:space="preserve"> </w:t>
            </w:r>
          </w:p>
          <w:p w14:paraId="7744475C" w14:textId="77777777" w:rsidR="009F0D9F" w:rsidRPr="009F0D9F" w:rsidRDefault="009F0D9F" w:rsidP="009F0D9F">
            <w:pPr>
              <w:spacing w:line="360" w:lineRule="auto"/>
              <w:rPr>
                <w:rFonts w:ascii="宋体" w:eastAsia="宋体" w:hAnsi="宋体" w:cs="Times New Roman"/>
                <w:bCs/>
                <w:sz w:val="24"/>
              </w:rPr>
            </w:pPr>
            <w:r w:rsidRPr="009F0D9F">
              <w:rPr>
                <w:rFonts w:ascii="宋体" w:eastAsia="宋体" w:hAnsi="宋体" w:cs="Times New Roman" w:hint="eastAsia"/>
                <w:bCs/>
                <w:sz w:val="24"/>
              </w:rPr>
              <w:t>1.2</w:t>
            </w:r>
            <w:r w:rsidRPr="009F0D9F">
              <w:rPr>
                <w:rFonts w:ascii="宋体" w:eastAsia="宋体" w:hAnsi="宋体" w:cs="Times New Roman" w:hint="eastAsia"/>
                <w:color w:val="000000"/>
                <w:szCs w:val="21"/>
              </w:rPr>
              <w:t>基因工程药物及其分析方法</w:t>
            </w:r>
          </w:p>
          <w:p w14:paraId="1172809F" w14:textId="77777777" w:rsidR="009F0D9F" w:rsidRPr="009F0D9F" w:rsidRDefault="009F0D9F" w:rsidP="009F0D9F">
            <w:pPr>
              <w:spacing w:line="360" w:lineRule="auto"/>
              <w:rPr>
                <w:rFonts w:ascii="宋体" w:eastAsia="宋体" w:hAnsi="宋体" w:cs="Times New Roman"/>
                <w:bCs/>
                <w:sz w:val="24"/>
              </w:rPr>
            </w:pPr>
            <w:r w:rsidRPr="009F0D9F">
              <w:rPr>
                <w:rFonts w:ascii="宋体" w:eastAsia="宋体" w:hAnsi="宋体" w:cs="Times New Roman" w:hint="eastAsia"/>
                <w:bCs/>
                <w:sz w:val="24"/>
              </w:rPr>
              <w:t>1.3</w:t>
            </w:r>
            <w:r w:rsidRPr="009F0D9F">
              <w:rPr>
                <w:rFonts w:ascii="宋体" w:eastAsia="宋体" w:hAnsi="宋体" w:cs="Times New Roman" w:hint="eastAsia"/>
                <w:color w:val="000000"/>
                <w:szCs w:val="21"/>
              </w:rPr>
              <w:t>动物细胞工程药物及其分析特点</w:t>
            </w:r>
            <w:r w:rsidRPr="009F0D9F">
              <w:rPr>
                <w:rFonts w:ascii="Calibri" w:eastAsia="宋体" w:hAnsi="Calibri" w:cs="Times New Roman" w:hint="eastAsia"/>
                <w:szCs w:val="21"/>
              </w:rPr>
              <w:t>；</w:t>
            </w:r>
          </w:p>
          <w:p w14:paraId="70BD1253" w14:textId="77777777" w:rsidR="009F0D9F" w:rsidRPr="009F0D9F" w:rsidRDefault="009F0D9F" w:rsidP="009F0D9F">
            <w:pPr>
              <w:spacing w:line="360" w:lineRule="auto"/>
              <w:rPr>
                <w:rFonts w:ascii="宋体" w:eastAsia="宋体" w:hAnsi="宋体" w:cs="Times New Roman"/>
                <w:bCs/>
                <w:sz w:val="24"/>
              </w:rPr>
            </w:pPr>
            <w:r w:rsidRPr="009F0D9F">
              <w:rPr>
                <w:rFonts w:ascii="宋体" w:eastAsia="宋体" w:hAnsi="宋体" w:cs="Times New Roman" w:hint="eastAsia"/>
                <w:bCs/>
                <w:sz w:val="24"/>
              </w:rPr>
              <w:t>1.4</w:t>
            </w:r>
            <w:r w:rsidRPr="009F0D9F">
              <w:rPr>
                <w:rFonts w:ascii="宋体" w:eastAsia="宋体" w:hAnsi="宋体" w:cs="Times New Roman" w:hint="eastAsia"/>
                <w:color w:val="000000"/>
                <w:szCs w:val="21"/>
              </w:rPr>
              <w:t>抗体药物及其分析方法</w:t>
            </w:r>
            <w:r w:rsidRPr="009F0D9F">
              <w:rPr>
                <w:rFonts w:ascii="Calibri" w:eastAsia="宋体" w:hAnsi="Calibri" w:cs="Times New Roman" w:hint="eastAsia"/>
                <w:szCs w:val="21"/>
              </w:rPr>
              <w:t>；</w:t>
            </w:r>
          </w:p>
          <w:p w14:paraId="2074EDB2" w14:textId="77777777" w:rsidR="009F0D9F" w:rsidRPr="009F0D9F" w:rsidRDefault="009F0D9F" w:rsidP="009F0D9F">
            <w:pPr>
              <w:spacing w:line="360" w:lineRule="auto"/>
              <w:rPr>
                <w:rFonts w:ascii="Calibri" w:eastAsia="宋体" w:hAnsi="Calibri" w:cs="Times New Roman"/>
                <w:szCs w:val="21"/>
              </w:rPr>
            </w:pPr>
            <w:r w:rsidRPr="009F0D9F">
              <w:rPr>
                <w:rFonts w:ascii="宋体" w:eastAsia="宋体" w:hAnsi="宋体" w:cs="Times New Roman" w:hint="eastAsia"/>
                <w:bCs/>
                <w:sz w:val="24"/>
              </w:rPr>
              <w:t>1.5</w:t>
            </w:r>
            <w:r w:rsidRPr="009F0D9F">
              <w:rPr>
                <w:rFonts w:ascii="宋体" w:eastAsia="宋体" w:hAnsi="宋体" w:cs="Times New Roman" w:hint="eastAsia"/>
                <w:color w:val="000000"/>
                <w:szCs w:val="21"/>
              </w:rPr>
              <w:t>植物细胞药物及其分析特点</w:t>
            </w:r>
            <w:r w:rsidRPr="009F0D9F">
              <w:rPr>
                <w:rFonts w:ascii="Calibri" w:eastAsia="宋体" w:hAnsi="Calibri" w:cs="Times New Roman" w:hint="eastAsia"/>
                <w:szCs w:val="21"/>
              </w:rPr>
              <w:t>；</w:t>
            </w:r>
          </w:p>
          <w:p w14:paraId="40CF7CBD" w14:textId="77777777" w:rsidR="009F0D9F" w:rsidRPr="009F0D9F" w:rsidRDefault="009F0D9F" w:rsidP="009F0D9F">
            <w:pPr>
              <w:spacing w:line="360" w:lineRule="auto"/>
              <w:rPr>
                <w:rFonts w:ascii="Calibri" w:eastAsia="宋体" w:hAnsi="Calibri" w:cs="Times New Roman"/>
                <w:szCs w:val="21"/>
              </w:rPr>
            </w:pPr>
            <w:r w:rsidRPr="009F0D9F">
              <w:rPr>
                <w:rFonts w:ascii="宋体" w:eastAsia="宋体" w:hAnsi="宋体" w:cs="Times New Roman" w:hint="eastAsia"/>
                <w:bCs/>
                <w:sz w:val="24"/>
              </w:rPr>
              <w:t>1.6酶</w:t>
            </w:r>
            <w:r w:rsidRPr="009F0D9F">
              <w:rPr>
                <w:rFonts w:ascii="宋体" w:eastAsia="宋体" w:hAnsi="宋体" w:cs="Times New Roman" w:hint="eastAsia"/>
                <w:color w:val="000000"/>
                <w:szCs w:val="21"/>
              </w:rPr>
              <w:t>工程药物及其分析特点</w:t>
            </w:r>
            <w:r w:rsidRPr="009F0D9F">
              <w:rPr>
                <w:rFonts w:ascii="Calibri" w:eastAsia="宋体" w:hAnsi="Calibri" w:cs="Times New Roman" w:hint="eastAsia"/>
                <w:szCs w:val="21"/>
              </w:rPr>
              <w:t>；</w:t>
            </w:r>
          </w:p>
          <w:p w14:paraId="72F1258A" w14:textId="77777777" w:rsidR="009F0D9F" w:rsidRPr="009F0D9F" w:rsidRDefault="009F0D9F" w:rsidP="009F0D9F">
            <w:pPr>
              <w:spacing w:line="360" w:lineRule="auto"/>
              <w:rPr>
                <w:rFonts w:ascii="宋体" w:eastAsia="宋体" w:hAnsi="宋体" w:cs="Times New Roman"/>
                <w:bCs/>
                <w:sz w:val="24"/>
              </w:rPr>
            </w:pPr>
            <w:r w:rsidRPr="009F0D9F">
              <w:rPr>
                <w:rFonts w:ascii="宋体" w:eastAsia="宋体" w:hAnsi="宋体" w:cs="Times New Roman" w:hint="eastAsia"/>
                <w:bCs/>
                <w:sz w:val="24"/>
              </w:rPr>
              <w:lastRenderedPageBreak/>
              <w:t>1.7</w:t>
            </w:r>
            <w:r w:rsidRPr="009F0D9F">
              <w:rPr>
                <w:rFonts w:ascii="宋体" w:eastAsia="宋体" w:hAnsi="宋体" w:cs="Times New Roman" w:hint="eastAsia"/>
                <w:color w:val="000000"/>
                <w:szCs w:val="21"/>
              </w:rPr>
              <w:t>发酵工程药物及其分析特点。</w:t>
            </w:r>
          </w:p>
        </w:tc>
      </w:tr>
      <w:tr w:rsidR="009F0D9F" w:rsidRPr="009F0D9F" w14:paraId="60D2E694" w14:textId="77777777" w:rsidTr="00B602D6">
        <w:trPr>
          <w:jc w:val="center"/>
        </w:trPr>
        <w:tc>
          <w:tcPr>
            <w:tcW w:w="927" w:type="dxa"/>
            <w:vAlign w:val="center"/>
          </w:tcPr>
          <w:p w14:paraId="57D9C31C" w14:textId="77777777" w:rsidR="009F0D9F" w:rsidRPr="009F0D9F" w:rsidRDefault="009F0D9F" w:rsidP="009F0D9F">
            <w:pPr>
              <w:spacing w:line="360" w:lineRule="auto"/>
              <w:jc w:val="center"/>
              <w:rPr>
                <w:rFonts w:ascii="宋体" w:eastAsia="宋体" w:hAnsi="宋体" w:cs="Times New Roman"/>
                <w:bCs/>
                <w:sz w:val="24"/>
              </w:rPr>
            </w:pPr>
            <w:r w:rsidRPr="009F0D9F">
              <w:rPr>
                <w:rFonts w:ascii="宋体" w:eastAsia="宋体" w:hAnsi="宋体" w:cs="Times New Roman" w:hint="eastAsia"/>
                <w:bCs/>
                <w:sz w:val="24"/>
              </w:rPr>
              <w:t>课程目标2</w:t>
            </w:r>
          </w:p>
        </w:tc>
        <w:tc>
          <w:tcPr>
            <w:tcW w:w="7247" w:type="dxa"/>
            <w:vAlign w:val="center"/>
          </w:tcPr>
          <w:p w14:paraId="581EF2AB" w14:textId="77777777" w:rsidR="009F0D9F" w:rsidRPr="009F0D9F" w:rsidRDefault="009F0D9F" w:rsidP="009F0D9F">
            <w:pPr>
              <w:spacing w:line="360" w:lineRule="auto"/>
              <w:rPr>
                <w:rFonts w:ascii="宋体" w:eastAsia="宋体" w:hAnsi="宋体" w:cs="Times New Roman"/>
                <w:color w:val="000000"/>
                <w:sz w:val="24"/>
                <w:szCs w:val="24"/>
              </w:rPr>
            </w:pPr>
            <w:r w:rsidRPr="009F0D9F">
              <w:rPr>
                <w:rFonts w:ascii="宋体" w:eastAsia="宋体" w:hAnsi="宋体" w:cs="宋体" w:hint="eastAsia"/>
                <w:sz w:val="24"/>
                <w:szCs w:val="24"/>
              </w:rPr>
              <w:t>能够基于药物分析学的基本原理对生物技术药物生产中的实际问题进行研究，并</w:t>
            </w:r>
            <w:r w:rsidRPr="009F0D9F">
              <w:rPr>
                <w:rFonts w:ascii="宋体" w:eastAsia="宋体" w:hAnsi="宋体" w:cs="Times New Roman" w:hint="eastAsia"/>
                <w:color w:val="000000"/>
                <w:sz w:val="24"/>
                <w:szCs w:val="24"/>
              </w:rPr>
              <w:t>得到合理、有效的结论。</w:t>
            </w:r>
          </w:p>
          <w:p w14:paraId="365080BC" w14:textId="77777777" w:rsidR="009F0D9F" w:rsidRPr="009F0D9F" w:rsidRDefault="009F0D9F" w:rsidP="009F0D9F">
            <w:pPr>
              <w:spacing w:line="360" w:lineRule="auto"/>
              <w:rPr>
                <w:rFonts w:ascii="宋体" w:eastAsia="宋体" w:hAnsi="宋体" w:cs="Times New Roman"/>
                <w:bCs/>
                <w:sz w:val="24"/>
              </w:rPr>
            </w:pPr>
            <w:r w:rsidRPr="009F0D9F">
              <w:rPr>
                <w:rFonts w:ascii="宋体" w:eastAsia="宋体" w:hAnsi="宋体" w:cs="Times New Roman" w:hint="eastAsia"/>
                <w:bCs/>
                <w:sz w:val="24"/>
              </w:rPr>
              <w:t>2.1</w:t>
            </w:r>
            <w:r w:rsidRPr="009F0D9F">
              <w:rPr>
                <w:rFonts w:ascii="宋体" w:eastAsia="宋体" w:hAnsi="宋体" w:cs="Times New Roman" w:hint="eastAsia"/>
                <w:color w:val="000000"/>
                <w:szCs w:val="21"/>
              </w:rPr>
              <w:t>能够运用药物分析的基本原理，分析基因工程药物生产中的实际问题，并得出有效结论；</w:t>
            </w:r>
          </w:p>
          <w:p w14:paraId="49677461" w14:textId="77777777" w:rsidR="009F0D9F" w:rsidRPr="009F0D9F" w:rsidRDefault="009F0D9F" w:rsidP="009F0D9F">
            <w:pPr>
              <w:spacing w:line="360" w:lineRule="auto"/>
              <w:rPr>
                <w:rFonts w:ascii="宋体" w:eastAsia="宋体" w:hAnsi="宋体" w:cs="Times New Roman"/>
                <w:bCs/>
                <w:sz w:val="24"/>
              </w:rPr>
            </w:pPr>
            <w:r w:rsidRPr="009F0D9F">
              <w:rPr>
                <w:rFonts w:ascii="宋体" w:eastAsia="宋体" w:hAnsi="宋体" w:cs="Times New Roman" w:hint="eastAsia"/>
                <w:bCs/>
                <w:sz w:val="24"/>
              </w:rPr>
              <w:t>2.2</w:t>
            </w:r>
            <w:r w:rsidRPr="009F0D9F">
              <w:rPr>
                <w:rFonts w:ascii="宋体" w:eastAsia="宋体" w:hAnsi="宋体" w:cs="Times New Roman" w:hint="eastAsia"/>
                <w:color w:val="000000"/>
                <w:szCs w:val="21"/>
              </w:rPr>
              <w:t>能够运用药物分析的基本原理，分析动物细胞药物生产中的实际问题，并得出有效结论；</w:t>
            </w:r>
          </w:p>
          <w:p w14:paraId="20E87D0A" w14:textId="77777777" w:rsidR="009F0D9F" w:rsidRPr="009F0D9F" w:rsidRDefault="009F0D9F" w:rsidP="009F0D9F">
            <w:pPr>
              <w:spacing w:line="360" w:lineRule="auto"/>
              <w:rPr>
                <w:rFonts w:ascii="宋体" w:eastAsia="宋体" w:hAnsi="宋体" w:cs="Times New Roman"/>
                <w:bCs/>
                <w:sz w:val="24"/>
              </w:rPr>
            </w:pPr>
            <w:r w:rsidRPr="009F0D9F">
              <w:rPr>
                <w:rFonts w:ascii="宋体" w:eastAsia="宋体" w:hAnsi="宋体" w:cs="Times New Roman" w:hint="eastAsia"/>
                <w:bCs/>
                <w:sz w:val="24"/>
              </w:rPr>
              <w:t>2.3</w:t>
            </w:r>
            <w:r w:rsidRPr="009F0D9F">
              <w:rPr>
                <w:rFonts w:ascii="宋体" w:eastAsia="宋体" w:hAnsi="宋体" w:cs="Times New Roman" w:hint="eastAsia"/>
                <w:color w:val="000000"/>
                <w:szCs w:val="21"/>
              </w:rPr>
              <w:t>能够运用药物分析的基本原理，分析抗体药物生产中的实际问题，并得出有效结论；；</w:t>
            </w:r>
          </w:p>
          <w:p w14:paraId="1211AD45" w14:textId="77777777" w:rsidR="009F0D9F" w:rsidRPr="009F0D9F" w:rsidRDefault="009F0D9F" w:rsidP="009F0D9F">
            <w:pPr>
              <w:spacing w:line="360" w:lineRule="auto"/>
              <w:rPr>
                <w:rFonts w:ascii="宋体" w:eastAsia="宋体" w:hAnsi="宋体" w:cs="Times New Roman"/>
                <w:bCs/>
                <w:sz w:val="24"/>
              </w:rPr>
            </w:pPr>
            <w:r w:rsidRPr="009F0D9F">
              <w:rPr>
                <w:rFonts w:ascii="宋体" w:eastAsia="宋体" w:hAnsi="宋体" w:cs="Times New Roman" w:hint="eastAsia"/>
                <w:bCs/>
                <w:sz w:val="24"/>
              </w:rPr>
              <w:t>2.4</w:t>
            </w:r>
            <w:proofErr w:type="gramStart"/>
            <w:r w:rsidRPr="009F0D9F">
              <w:rPr>
                <w:rFonts w:ascii="宋体" w:eastAsia="宋体" w:hAnsi="宋体" w:cs="Times New Roman" w:hint="eastAsia"/>
                <w:color w:val="000000"/>
                <w:szCs w:val="21"/>
              </w:rPr>
              <w:t>能够运用能够运用</w:t>
            </w:r>
            <w:proofErr w:type="gramEnd"/>
            <w:r w:rsidRPr="009F0D9F">
              <w:rPr>
                <w:rFonts w:ascii="宋体" w:eastAsia="宋体" w:hAnsi="宋体" w:cs="Times New Roman" w:hint="eastAsia"/>
                <w:color w:val="000000"/>
                <w:szCs w:val="21"/>
              </w:rPr>
              <w:t>药物分析的基本原理，分析植物细胞药物生产中的实际问题，并得出有效结论；</w:t>
            </w:r>
          </w:p>
          <w:p w14:paraId="4B30F23A" w14:textId="77777777" w:rsidR="009F0D9F" w:rsidRPr="009F0D9F" w:rsidRDefault="009F0D9F" w:rsidP="009F0D9F">
            <w:pPr>
              <w:spacing w:line="360" w:lineRule="auto"/>
              <w:rPr>
                <w:rFonts w:ascii="宋体" w:eastAsia="宋体" w:hAnsi="宋体" w:cs="Times New Roman"/>
                <w:bCs/>
                <w:sz w:val="24"/>
              </w:rPr>
            </w:pPr>
            <w:r w:rsidRPr="009F0D9F">
              <w:rPr>
                <w:rFonts w:ascii="宋体" w:eastAsia="宋体" w:hAnsi="宋体" w:cs="Times New Roman" w:hint="eastAsia"/>
                <w:bCs/>
                <w:sz w:val="24"/>
              </w:rPr>
              <w:t>2.5</w:t>
            </w:r>
            <w:proofErr w:type="gramStart"/>
            <w:r w:rsidRPr="009F0D9F">
              <w:rPr>
                <w:rFonts w:ascii="宋体" w:eastAsia="宋体" w:hAnsi="宋体" w:cs="Times New Roman" w:hint="eastAsia"/>
                <w:color w:val="000000"/>
                <w:szCs w:val="21"/>
              </w:rPr>
              <w:t>能够能够</w:t>
            </w:r>
            <w:proofErr w:type="gramEnd"/>
            <w:r w:rsidRPr="009F0D9F">
              <w:rPr>
                <w:rFonts w:ascii="宋体" w:eastAsia="宋体" w:hAnsi="宋体" w:cs="Times New Roman" w:hint="eastAsia"/>
                <w:color w:val="000000"/>
                <w:szCs w:val="21"/>
              </w:rPr>
              <w:t>运用药物分析的基本原理，分析酶工程药物生产中的实际问题，并得出有效结论；</w:t>
            </w:r>
          </w:p>
          <w:p w14:paraId="2FC983D2" w14:textId="77777777" w:rsidR="009F0D9F" w:rsidRPr="009F0D9F" w:rsidRDefault="009F0D9F" w:rsidP="009F0D9F">
            <w:pPr>
              <w:spacing w:line="360" w:lineRule="auto"/>
              <w:rPr>
                <w:rFonts w:ascii="宋体" w:eastAsia="宋体" w:hAnsi="宋体" w:cs="Times New Roman"/>
                <w:bCs/>
                <w:sz w:val="24"/>
              </w:rPr>
            </w:pPr>
            <w:r w:rsidRPr="009F0D9F">
              <w:rPr>
                <w:rFonts w:ascii="宋体" w:eastAsia="宋体" w:hAnsi="宋体" w:cs="Times New Roman" w:hint="eastAsia"/>
                <w:color w:val="000000"/>
                <w:szCs w:val="21"/>
              </w:rPr>
              <w:t>2.6能够运用药物分析的基本原理，分析发酵工程药物生产中的实际问题，并得出有效结论。</w:t>
            </w:r>
          </w:p>
        </w:tc>
      </w:tr>
    </w:tbl>
    <w:p w14:paraId="15E4AD0F" w14:textId="77777777" w:rsidR="009F0D9F" w:rsidRPr="009F0D9F" w:rsidRDefault="009F0D9F" w:rsidP="009F0D9F">
      <w:pPr>
        <w:spacing w:line="360" w:lineRule="auto"/>
        <w:ind w:firstLineChars="200" w:firstLine="560"/>
        <w:rPr>
          <w:rFonts w:ascii="黑体" w:eastAsia="黑体" w:hAnsi="黑体" w:cs="Times New Roman"/>
          <w:sz w:val="28"/>
          <w:szCs w:val="28"/>
        </w:rPr>
      </w:pPr>
      <w:r w:rsidRPr="009F0D9F">
        <w:rPr>
          <w:rFonts w:ascii="黑体" w:eastAsia="黑体" w:hAnsi="黑体" w:cs="Times New Roman" w:hint="eastAsia"/>
          <w:sz w:val="28"/>
          <w:szCs w:val="28"/>
        </w:rPr>
        <w:t>（二）课程考核方式</w:t>
      </w:r>
    </w:p>
    <w:p w14:paraId="00CFE481" w14:textId="77777777" w:rsidR="009F0D9F" w:rsidRPr="009F0D9F" w:rsidRDefault="009F0D9F" w:rsidP="009F0D9F">
      <w:pPr>
        <w:spacing w:line="360" w:lineRule="auto"/>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本课程考核方式分为平时考核和期末考核。平时考核方式包括课堂表现、平时作业、阶段性测试、调研报告等；期末考核采用闭卷考试。</w:t>
      </w:r>
    </w:p>
    <w:p w14:paraId="427DEA5A" w14:textId="77777777" w:rsidR="009F0D9F" w:rsidRPr="009F0D9F" w:rsidRDefault="009F0D9F" w:rsidP="009F0D9F">
      <w:pPr>
        <w:spacing w:line="360" w:lineRule="auto"/>
        <w:ind w:firstLineChars="200" w:firstLine="560"/>
        <w:rPr>
          <w:rFonts w:ascii="黑体" w:eastAsia="黑体" w:hAnsi="黑体" w:cs="Times New Roman"/>
          <w:sz w:val="28"/>
          <w:szCs w:val="28"/>
        </w:rPr>
      </w:pPr>
      <w:r w:rsidRPr="009F0D9F">
        <w:rPr>
          <w:rFonts w:ascii="黑体" w:eastAsia="黑体" w:hAnsi="黑体" w:cs="Times New Roman" w:hint="eastAsia"/>
          <w:sz w:val="28"/>
          <w:szCs w:val="28"/>
        </w:rPr>
        <w:t>（三）课程目标达成评价方式及考核比例</w:t>
      </w:r>
    </w:p>
    <w:p w14:paraId="73944F17" w14:textId="77777777" w:rsidR="009F0D9F" w:rsidRPr="009F0D9F" w:rsidRDefault="009F0D9F" w:rsidP="009F0D9F">
      <w:pPr>
        <w:spacing w:line="360" w:lineRule="auto"/>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本课程考核方式及成绩比例为：平时作业4</w:t>
      </w:r>
      <w:r w:rsidRPr="009F0D9F">
        <w:rPr>
          <w:rFonts w:ascii="宋体" w:eastAsia="宋体" w:hAnsi="宋体" w:cs="Times New Roman"/>
          <w:color w:val="000000"/>
          <w:sz w:val="24"/>
        </w:rPr>
        <w:t>0</w:t>
      </w:r>
      <w:r w:rsidRPr="009F0D9F">
        <w:rPr>
          <w:rFonts w:ascii="宋体" w:eastAsia="宋体" w:hAnsi="宋体" w:cs="Times New Roman" w:hint="eastAsia"/>
          <w:color w:val="000000"/>
          <w:sz w:val="24"/>
        </w:rPr>
        <w:t>%</w:t>
      </w:r>
      <w:r w:rsidRPr="009F0D9F">
        <w:rPr>
          <w:rFonts w:ascii="宋体" w:eastAsia="宋体" w:hAnsi="宋体" w:cs="Times New Roman"/>
          <w:color w:val="000000"/>
          <w:sz w:val="24"/>
        </w:rPr>
        <w:t>+</w:t>
      </w:r>
      <w:r w:rsidRPr="009F0D9F">
        <w:rPr>
          <w:rFonts w:ascii="宋体" w:eastAsia="宋体" w:hAnsi="宋体" w:cs="Times New Roman" w:hint="eastAsia"/>
          <w:color w:val="000000"/>
          <w:sz w:val="24"/>
        </w:rPr>
        <w:t>期末考试6</w:t>
      </w:r>
      <w:r w:rsidRPr="009F0D9F">
        <w:rPr>
          <w:rFonts w:ascii="宋体" w:eastAsia="宋体" w:hAnsi="宋体" w:cs="Times New Roman"/>
          <w:color w:val="000000"/>
          <w:sz w:val="24"/>
        </w:rPr>
        <w:t>0</w:t>
      </w:r>
      <w:r w:rsidRPr="009F0D9F">
        <w:rPr>
          <w:rFonts w:ascii="宋体" w:eastAsia="宋体" w:hAnsi="宋体" w:cs="Times New Roman" w:hint="eastAsia"/>
          <w:color w:val="000000"/>
          <w:sz w:val="24"/>
        </w:rPr>
        <w:t>%；本课程共有2个课程目标，考核方式及成绩比例分别为：</w:t>
      </w:r>
    </w:p>
    <w:p w14:paraId="1BAB2D34" w14:textId="77777777" w:rsidR="009F0D9F" w:rsidRPr="009F0D9F" w:rsidRDefault="009F0D9F" w:rsidP="009F0D9F">
      <w:pPr>
        <w:spacing w:line="440" w:lineRule="exact"/>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课程目标1：平时作业20%</w:t>
      </w:r>
      <w:r w:rsidRPr="009F0D9F">
        <w:rPr>
          <w:rFonts w:ascii="宋体" w:eastAsia="宋体" w:hAnsi="宋体" w:cs="Times New Roman"/>
          <w:color w:val="000000"/>
          <w:sz w:val="24"/>
        </w:rPr>
        <w:t>+</w:t>
      </w:r>
      <w:r w:rsidRPr="009F0D9F">
        <w:rPr>
          <w:rFonts w:ascii="宋体" w:eastAsia="宋体" w:hAnsi="宋体" w:cs="Times New Roman" w:hint="eastAsia"/>
          <w:color w:val="000000"/>
          <w:sz w:val="24"/>
        </w:rPr>
        <w:t>期末考试20%</w:t>
      </w:r>
    </w:p>
    <w:p w14:paraId="10F1E382" w14:textId="77777777" w:rsidR="009F0D9F" w:rsidRPr="009F0D9F" w:rsidRDefault="009F0D9F" w:rsidP="009F0D9F">
      <w:pPr>
        <w:spacing w:line="440" w:lineRule="exact"/>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课程目标2：平时作业20%</w:t>
      </w:r>
      <w:r w:rsidRPr="009F0D9F">
        <w:rPr>
          <w:rFonts w:ascii="宋体" w:eastAsia="宋体" w:hAnsi="宋体" w:cs="Times New Roman"/>
          <w:color w:val="000000"/>
          <w:sz w:val="24"/>
        </w:rPr>
        <w:t>+</w:t>
      </w:r>
      <w:r w:rsidRPr="009F0D9F">
        <w:rPr>
          <w:rFonts w:ascii="宋体" w:eastAsia="宋体" w:hAnsi="宋体" w:cs="Times New Roman" w:hint="eastAsia"/>
          <w:color w:val="000000"/>
          <w:sz w:val="24"/>
        </w:rPr>
        <w:t>期末考试40%</w:t>
      </w:r>
    </w:p>
    <w:p w14:paraId="2AB1ADDF" w14:textId="77777777" w:rsidR="009F0D9F" w:rsidRPr="009F0D9F" w:rsidRDefault="009F0D9F" w:rsidP="009F0D9F">
      <w:pPr>
        <w:spacing w:line="360" w:lineRule="auto"/>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如下图：</w:t>
      </w:r>
    </w:p>
    <w:tbl>
      <w:tblPr>
        <w:tblW w:w="8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2"/>
        <w:gridCol w:w="2376"/>
        <w:gridCol w:w="3260"/>
        <w:gridCol w:w="1559"/>
      </w:tblGrid>
      <w:tr w:rsidR="009F0D9F" w:rsidRPr="009F0D9F" w14:paraId="3809759D" w14:textId="77777777" w:rsidTr="00B602D6">
        <w:trPr>
          <w:trHeight w:val="540"/>
          <w:jc w:val="center"/>
        </w:trPr>
        <w:tc>
          <w:tcPr>
            <w:tcW w:w="1442" w:type="dxa"/>
            <w:vMerge w:val="restart"/>
            <w:vAlign w:val="center"/>
          </w:tcPr>
          <w:p w14:paraId="7D680DF6" w14:textId="77777777" w:rsidR="009F0D9F" w:rsidRPr="009F0D9F" w:rsidRDefault="009F0D9F" w:rsidP="009F0D9F">
            <w:pPr>
              <w:spacing w:line="360" w:lineRule="auto"/>
              <w:jc w:val="center"/>
              <w:rPr>
                <w:rFonts w:ascii="宋体" w:eastAsia="宋体" w:hAnsi="宋体" w:cs="Times New Roman"/>
                <w:b/>
                <w:color w:val="000000"/>
                <w:sz w:val="24"/>
              </w:rPr>
            </w:pPr>
            <w:r w:rsidRPr="009F0D9F">
              <w:rPr>
                <w:rFonts w:ascii="宋体" w:eastAsia="宋体" w:hAnsi="宋体" w:cs="Times New Roman" w:hint="eastAsia"/>
                <w:b/>
                <w:color w:val="000000"/>
                <w:sz w:val="24"/>
              </w:rPr>
              <w:t>课程目标</w:t>
            </w:r>
          </w:p>
        </w:tc>
        <w:tc>
          <w:tcPr>
            <w:tcW w:w="5636" w:type="dxa"/>
            <w:gridSpan w:val="2"/>
            <w:vAlign w:val="center"/>
          </w:tcPr>
          <w:p w14:paraId="1BECA149" w14:textId="77777777" w:rsidR="009F0D9F" w:rsidRPr="009F0D9F" w:rsidRDefault="009F0D9F" w:rsidP="009F0D9F">
            <w:pPr>
              <w:spacing w:line="360" w:lineRule="auto"/>
              <w:jc w:val="center"/>
              <w:rPr>
                <w:rFonts w:ascii="宋体" w:eastAsia="宋体" w:hAnsi="宋体" w:cs="Times New Roman"/>
                <w:b/>
                <w:color w:val="000000"/>
                <w:sz w:val="24"/>
              </w:rPr>
            </w:pPr>
            <w:r w:rsidRPr="009F0D9F">
              <w:rPr>
                <w:rFonts w:ascii="宋体" w:eastAsia="宋体" w:hAnsi="宋体" w:cs="Times New Roman" w:hint="eastAsia"/>
                <w:b/>
                <w:color w:val="000000"/>
                <w:sz w:val="24"/>
              </w:rPr>
              <w:t>考核方式及成绩比例（%）</w:t>
            </w:r>
          </w:p>
        </w:tc>
        <w:tc>
          <w:tcPr>
            <w:tcW w:w="1559" w:type="dxa"/>
            <w:vMerge w:val="restart"/>
            <w:vAlign w:val="center"/>
          </w:tcPr>
          <w:p w14:paraId="5FF43E5E" w14:textId="77777777" w:rsidR="009F0D9F" w:rsidRPr="009F0D9F" w:rsidRDefault="009F0D9F" w:rsidP="009F0D9F">
            <w:pPr>
              <w:spacing w:line="360" w:lineRule="auto"/>
              <w:jc w:val="center"/>
              <w:rPr>
                <w:rFonts w:ascii="宋体" w:eastAsia="宋体" w:hAnsi="宋体" w:cs="Times New Roman"/>
                <w:b/>
                <w:color w:val="000000"/>
                <w:sz w:val="24"/>
              </w:rPr>
            </w:pPr>
            <w:r w:rsidRPr="009F0D9F">
              <w:rPr>
                <w:rFonts w:ascii="宋体" w:eastAsia="宋体" w:hAnsi="宋体" w:cs="Times New Roman" w:hint="eastAsia"/>
                <w:b/>
                <w:color w:val="000000"/>
                <w:sz w:val="24"/>
              </w:rPr>
              <w:t>合计</w:t>
            </w:r>
          </w:p>
        </w:tc>
      </w:tr>
      <w:tr w:rsidR="009F0D9F" w:rsidRPr="009F0D9F" w14:paraId="35BAADB2" w14:textId="77777777" w:rsidTr="00B602D6">
        <w:trPr>
          <w:trHeight w:val="578"/>
          <w:jc w:val="center"/>
        </w:trPr>
        <w:tc>
          <w:tcPr>
            <w:tcW w:w="1442" w:type="dxa"/>
            <w:vMerge/>
            <w:vAlign w:val="center"/>
          </w:tcPr>
          <w:p w14:paraId="5DF1DD3A" w14:textId="77777777" w:rsidR="009F0D9F" w:rsidRPr="009F0D9F" w:rsidRDefault="009F0D9F" w:rsidP="009F0D9F">
            <w:pPr>
              <w:spacing w:line="360" w:lineRule="auto"/>
              <w:jc w:val="center"/>
              <w:rPr>
                <w:rFonts w:ascii="宋体" w:eastAsia="宋体" w:hAnsi="宋体" w:cs="Times New Roman"/>
                <w:b/>
                <w:color w:val="000000"/>
                <w:sz w:val="24"/>
              </w:rPr>
            </w:pPr>
          </w:p>
        </w:tc>
        <w:tc>
          <w:tcPr>
            <w:tcW w:w="2376" w:type="dxa"/>
            <w:vAlign w:val="center"/>
          </w:tcPr>
          <w:p w14:paraId="22C0E811" w14:textId="77777777" w:rsidR="009F0D9F" w:rsidRPr="009F0D9F" w:rsidRDefault="009F0D9F" w:rsidP="009F0D9F">
            <w:pPr>
              <w:spacing w:line="360" w:lineRule="auto"/>
              <w:jc w:val="center"/>
              <w:rPr>
                <w:rFonts w:ascii="宋体" w:eastAsia="宋体" w:hAnsi="宋体" w:cs="Times New Roman"/>
                <w:b/>
                <w:color w:val="000000"/>
                <w:sz w:val="24"/>
              </w:rPr>
            </w:pPr>
            <w:r w:rsidRPr="009F0D9F">
              <w:rPr>
                <w:rFonts w:ascii="宋体" w:eastAsia="宋体" w:hAnsi="宋体" w:cs="Times New Roman" w:hint="eastAsia"/>
                <w:b/>
                <w:color w:val="000000"/>
                <w:sz w:val="24"/>
              </w:rPr>
              <w:t>平时作业</w:t>
            </w:r>
          </w:p>
        </w:tc>
        <w:tc>
          <w:tcPr>
            <w:tcW w:w="3260" w:type="dxa"/>
            <w:vAlign w:val="center"/>
          </w:tcPr>
          <w:p w14:paraId="5D93A087" w14:textId="77777777" w:rsidR="009F0D9F" w:rsidRPr="009F0D9F" w:rsidRDefault="009F0D9F" w:rsidP="009F0D9F">
            <w:pPr>
              <w:spacing w:line="360" w:lineRule="auto"/>
              <w:jc w:val="center"/>
              <w:rPr>
                <w:rFonts w:ascii="宋体" w:eastAsia="宋体" w:hAnsi="宋体" w:cs="Times New Roman"/>
                <w:b/>
                <w:color w:val="000000"/>
                <w:sz w:val="24"/>
              </w:rPr>
            </w:pPr>
            <w:r w:rsidRPr="009F0D9F">
              <w:rPr>
                <w:rFonts w:ascii="宋体" w:eastAsia="宋体" w:hAnsi="宋体" w:cs="Times New Roman" w:hint="eastAsia"/>
                <w:b/>
                <w:color w:val="000000"/>
                <w:sz w:val="24"/>
              </w:rPr>
              <w:t>期末考试</w:t>
            </w:r>
          </w:p>
        </w:tc>
        <w:tc>
          <w:tcPr>
            <w:tcW w:w="1559" w:type="dxa"/>
            <w:vMerge/>
          </w:tcPr>
          <w:p w14:paraId="03823868" w14:textId="77777777" w:rsidR="009F0D9F" w:rsidRPr="009F0D9F" w:rsidRDefault="009F0D9F" w:rsidP="009F0D9F">
            <w:pPr>
              <w:spacing w:line="360" w:lineRule="auto"/>
              <w:jc w:val="center"/>
              <w:rPr>
                <w:rFonts w:ascii="宋体" w:eastAsia="宋体" w:hAnsi="宋体" w:cs="Times New Roman"/>
                <w:b/>
                <w:color w:val="000000"/>
                <w:sz w:val="24"/>
              </w:rPr>
            </w:pPr>
          </w:p>
        </w:tc>
      </w:tr>
      <w:tr w:rsidR="009F0D9F" w:rsidRPr="009F0D9F" w14:paraId="78BB1992" w14:textId="77777777" w:rsidTr="00B602D6">
        <w:trPr>
          <w:jc w:val="center"/>
        </w:trPr>
        <w:tc>
          <w:tcPr>
            <w:tcW w:w="1442" w:type="dxa"/>
            <w:vAlign w:val="center"/>
          </w:tcPr>
          <w:p w14:paraId="55A65D2E" w14:textId="77777777" w:rsidR="009F0D9F" w:rsidRPr="009F0D9F" w:rsidRDefault="009F0D9F" w:rsidP="009F0D9F">
            <w:pPr>
              <w:spacing w:line="360" w:lineRule="auto"/>
              <w:jc w:val="center"/>
              <w:rPr>
                <w:rFonts w:ascii="宋体" w:eastAsia="宋体" w:hAnsi="宋体" w:cs="Times New Roman"/>
                <w:bCs/>
                <w:color w:val="000000"/>
                <w:sz w:val="24"/>
              </w:rPr>
            </w:pPr>
            <w:r w:rsidRPr="009F0D9F">
              <w:rPr>
                <w:rFonts w:ascii="宋体" w:eastAsia="宋体" w:hAnsi="宋体" w:cs="Times New Roman" w:hint="eastAsia"/>
                <w:bCs/>
                <w:color w:val="000000"/>
                <w:sz w:val="24"/>
              </w:rPr>
              <w:t>课程目标1</w:t>
            </w:r>
          </w:p>
        </w:tc>
        <w:tc>
          <w:tcPr>
            <w:tcW w:w="2376" w:type="dxa"/>
            <w:vAlign w:val="center"/>
          </w:tcPr>
          <w:p w14:paraId="6A518D8B" w14:textId="77777777" w:rsidR="009F0D9F" w:rsidRPr="009F0D9F" w:rsidRDefault="009F0D9F" w:rsidP="009F0D9F">
            <w:pPr>
              <w:spacing w:line="360" w:lineRule="auto"/>
              <w:jc w:val="center"/>
              <w:rPr>
                <w:rFonts w:ascii="宋体" w:eastAsia="宋体" w:hAnsi="宋体" w:cs="Times New Roman"/>
                <w:bCs/>
                <w:color w:val="000000"/>
                <w:sz w:val="24"/>
              </w:rPr>
            </w:pPr>
            <w:r w:rsidRPr="009F0D9F">
              <w:rPr>
                <w:rFonts w:ascii="宋体" w:eastAsia="宋体" w:hAnsi="宋体" w:cs="Times New Roman" w:hint="eastAsia"/>
                <w:bCs/>
                <w:color w:val="000000"/>
                <w:sz w:val="24"/>
              </w:rPr>
              <w:t>20</w:t>
            </w:r>
          </w:p>
        </w:tc>
        <w:tc>
          <w:tcPr>
            <w:tcW w:w="3260" w:type="dxa"/>
            <w:vAlign w:val="center"/>
          </w:tcPr>
          <w:p w14:paraId="55AFF38C" w14:textId="77777777" w:rsidR="009F0D9F" w:rsidRPr="009F0D9F" w:rsidRDefault="009F0D9F" w:rsidP="009F0D9F">
            <w:pPr>
              <w:spacing w:line="360" w:lineRule="auto"/>
              <w:jc w:val="center"/>
              <w:rPr>
                <w:rFonts w:ascii="宋体" w:eastAsia="宋体" w:hAnsi="宋体" w:cs="Times New Roman"/>
                <w:bCs/>
                <w:color w:val="000000"/>
                <w:sz w:val="24"/>
              </w:rPr>
            </w:pPr>
            <w:r w:rsidRPr="009F0D9F">
              <w:rPr>
                <w:rFonts w:ascii="宋体" w:eastAsia="宋体" w:hAnsi="宋体" w:cs="Times New Roman" w:hint="eastAsia"/>
                <w:bCs/>
                <w:color w:val="000000"/>
                <w:sz w:val="24"/>
              </w:rPr>
              <w:t>20</w:t>
            </w:r>
          </w:p>
        </w:tc>
        <w:tc>
          <w:tcPr>
            <w:tcW w:w="1559" w:type="dxa"/>
          </w:tcPr>
          <w:p w14:paraId="5A1F2AD5" w14:textId="77777777" w:rsidR="009F0D9F" w:rsidRPr="009F0D9F" w:rsidRDefault="009F0D9F" w:rsidP="009F0D9F">
            <w:pPr>
              <w:spacing w:line="360" w:lineRule="auto"/>
              <w:jc w:val="center"/>
              <w:rPr>
                <w:rFonts w:ascii="宋体" w:eastAsia="宋体" w:hAnsi="宋体" w:cs="Times New Roman"/>
                <w:bCs/>
                <w:color w:val="000000"/>
                <w:sz w:val="24"/>
              </w:rPr>
            </w:pPr>
            <w:r w:rsidRPr="009F0D9F">
              <w:rPr>
                <w:rFonts w:ascii="宋体" w:eastAsia="宋体" w:hAnsi="宋体" w:cs="Times New Roman" w:hint="eastAsia"/>
                <w:bCs/>
                <w:color w:val="000000"/>
                <w:sz w:val="24"/>
              </w:rPr>
              <w:t>40</w:t>
            </w:r>
          </w:p>
        </w:tc>
      </w:tr>
      <w:tr w:rsidR="009F0D9F" w:rsidRPr="009F0D9F" w14:paraId="69091C20" w14:textId="77777777" w:rsidTr="00B602D6">
        <w:trPr>
          <w:jc w:val="center"/>
        </w:trPr>
        <w:tc>
          <w:tcPr>
            <w:tcW w:w="1442" w:type="dxa"/>
            <w:vAlign w:val="center"/>
          </w:tcPr>
          <w:p w14:paraId="3CD10155" w14:textId="77777777" w:rsidR="009F0D9F" w:rsidRPr="009F0D9F" w:rsidRDefault="009F0D9F" w:rsidP="009F0D9F">
            <w:pPr>
              <w:spacing w:line="360" w:lineRule="auto"/>
              <w:jc w:val="center"/>
              <w:rPr>
                <w:rFonts w:ascii="宋体" w:eastAsia="宋体" w:hAnsi="宋体" w:cs="Times New Roman"/>
                <w:bCs/>
                <w:color w:val="000000"/>
                <w:sz w:val="24"/>
              </w:rPr>
            </w:pPr>
            <w:r w:rsidRPr="009F0D9F">
              <w:rPr>
                <w:rFonts w:ascii="宋体" w:eastAsia="宋体" w:hAnsi="宋体" w:cs="Times New Roman" w:hint="eastAsia"/>
                <w:bCs/>
                <w:color w:val="000000"/>
                <w:sz w:val="24"/>
              </w:rPr>
              <w:t>课程目标2</w:t>
            </w:r>
          </w:p>
        </w:tc>
        <w:tc>
          <w:tcPr>
            <w:tcW w:w="2376" w:type="dxa"/>
            <w:vAlign w:val="center"/>
          </w:tcPr>
          <w:p w14:paraId="392CE721" w14:textId="77777777" w:rsidR="009F0D9F" w:rsidRPr="009F0D9F" w:rsidRDefault="009F0D9F" w:rsidP="009F0D9F">
            <w:pPr>
              <w:spacing w:line="360" w:lineRule="auto"/>
              <w:jc w:val="center"/>
              <w:rPr>
                <w:rFonts w:ascii="宋体" w:eastAsia="宋体" w:hAnsi="宋体" w:cs="Times New Roman"/>
                <w:bCs/>
                <w:color w:val="000000"/>
                <w:sz w:val="24"/>
              </w:rPr>
            </w:pPr>
            <w:r w:rsidRPr="009F0D9F">
              <w:rPr>
                <w:rFonts w:ascii="宋体" w:eastAsia="宋体" w:hAnsi="宋体" w:cs="Times New Roman" w:hint="eastAsia"/>
                <w:bCs/>
                <w:color w:val="000000"/>
                <w:sz w:val="24"/>
              </w:rPr>
              <w:t>20</w:t>
            </w:r>
          </w:p>
        </w:tc>
        <w:tc>
          <w:tcPr>
            <w:tcW w:w="3260" w:type="dxa"/>
            <w:vAlign w:val="center"/>
          </w:tcPr>
          <w:p w14:paraId="0AABC13F" w14:textId="77777777" w:rsidR="009F0D9F" w:rsidRPr="009F0D9F" w:rsidRDefault="009F0D9F" w:rsidP="009F0D9F">
            <w:pPr>
              <w:spacing w:line="360" w:lineRule="auto"/>
              <w:jc w:val="center"/>
              <w:rPr>
                <w:rFonts w:ascii="宋体" w:eastAsia="宋体" w:hAnsi="宋体" w:cs="Times New Roman"/>
                <w:bCs/>
                <w:color w:val="000000"/>
                <w:sz w:val="24"/>
              </w:rPr>
            </w:pPr>
            <w:r w:rsidRPr="009F0D9F">
              <w:rPr>
                <w:rFonts w:ascii="宋体" w:eastAsia="宋体" w:hAnsi="宋体" w:cs="Times New Roman" w:hint="eastAsia"/>
                <w:bCs/>
                <w:color w:val="000000"/>
                <w:sz w:val="24"/>
              </w:rPr>
              <w:t>40</w:t>
            </w:r>
          </w:p>
        </w:tc>
        <w:tc>
          <w:tcPr>
            <w:tcW w:w="1559" w:type="dxa"/>
          </w:tcPr>
          <w:p w14:paraId="7A2142B5" w14:textId="77777777" w:rsidR="009F0D9F" w:rsidRPr="009F0D9F" w:rsidRDefault="009F0D9F" w:rsidP="009F0D9F">
            <w:pPr>
              <w:spacing w:line="360" w:lineRule="auto"/>
              <w:jc w:val="center"/>
              <w:rPr>
                <w:rFonts w:ascii="宋体" w:eastAsia="宋体" w:hAnsi="宋体" w:cs="Times New Roman"/>
                <w:bCs/>
                <w:color w:val="000000"/>
                <w:sz w:val="24"/>
              </w:rPr>
            </w:pPr>
            <w:r w:rsidRPr="009F0D9F">
              <w:rPr>
                <w:rFonts w:ascii="宋体" w:eastAsia="宋体" w:hAnsi="宋体" w:cs="Times New Roman" w:hint="eastAsia"/>
                <w:bCs/>
                <w:color w:val="000000"/>
                <w:sz w:val="24"/>
              </w:rPr>
              <w:t>60</w:t>
            </w:r>
          </w:p>
        </w:tc>
      </w:tr>
      <w:tr w:rsidR="009F0D9F" w:rsidRPr="009F0D9F" w14:paraId="56F47D1B" w14:textId="77777777" w:rsidTr="00B602D6">
        <w:trPr>
          <w:jc w:val="center"/>
        </w:trPr>
        <w:tc>
          <w:tcPr>
            <w:tcW w:w="1442" w:type="dxa"/>
            <w:vAlign w:val="center"/>
          </w:tcPr>
          <w:p w14:paraId="1D88F9ED" w14:textId="77777777" w:rsidR="009F0D9F" w:rsidRPr="009F0D9F" w:rsidRDefault="009F0D9F" w:rsidP="009F0D9F">
            <w:pPr>
              <w:spacing w:line="360" w:lineRule="auto"/>
              <w:jc w:val="center"/>
              <w:rPr>
                <w:rFonts w:ascii="宋体" w:eastAsia="宋体" w:hAnsi="宋体" w:cs="Times New Roman"/>
                <w:bCs/>
                <w:color w:val="000000"/>
                <w:sz w:val="24"/>
              </w:rPr>
            </w:pPr>
            <w:r w:rsidRPr="009F0D9F">
              <w:rPr>
                <w:rFonts w:ascii="宋体" w:eastAsia="宋体" w:hAnsi="宋体" w:cs="Times New Roman" w:hint="eastAsia"/>
                <w:bCs/>
                <w:color w:val="000000"/>
                <w:sz w:val="24"/>
              </w:rPr>
              <w:lastRenderedPageBreak/>
              <w:t>合计</w:t>
            </w:r>
          </w:p>
        </w:tc>
        <w:tc>
          <w:tcPr>
            <w:tcW w:w="2376" w:type="dxa"/>
            <w:vAlign w:val="center"/>
          </w:tcPr>
          <w:p w14:paraId="2AE8CE11" w14:textId="77777777" w:rsidR="009F0D9F" w:rsidRPr="009F0D9F" w:rsidRDefault="009F0D9F" w:rsidP="009F0D9F">
            <w:pPr>
              <w:spacing w:line="360" w:lineRule="auto"/>
              <w:jc w:val="center"/>
              <w:rPr>
                <w:rFonts w:ascii="宋体" w:eastAsia="宋体" w:hAnsi="宋体" w:cs="Times New Roman"/>
                <w:bCs/>
                <w:color w:val="000000"/>
                <w:sz w:val="24"/>
              </w:rPr>
            </w:pPr>
            <w:r w:rsidRPr="009F0D9F">
              <w:rPr>
                <w:rFonts w:ascii="宋体" w:eastAsia="宋体" w:hAnsi="宋体" w:cs="Times New Roman" w:hint="eastAsia"/>
                <w:bCs/>
                <w:color w:val="000000"/>
                <w:sz w:val="24"/>
              </w:rPr>
              <w:t>40</w:t>
            </w:r>
          </w:p>
        </w:tc>
        <w:tc>
          <w:tcPr>
            <w:tcW w:w="3260" w:type="dxa"/>
            <w:vAlign w:val="center"/>
          </w:tcPr>
          <w:p w14:paraId="40363B44" w14:textId="77777777" w:rsidR="009F0D9F" w:rsidRPr="009F0D9F" w:rsidRDefault="009F0D9F" w:rsidP="009F0D9F">
            <w:pPr>
              <w:spacing w:line="360" w:lineRule="auto"/>
              <w:jc w:val="center"/>
              <w:rPr>
                <w:rFonts w:ascii="宋体" w:eastAsia="宋体" w:hAnsi="宋体" w:cs="Times New Roman"/>
                <w:bCs/>
                <w:color w:val="000000"/>
                <w:sz w:val="24"/>
              </w:rPr>
            </w:pPr>
            <w:r w:rsidRPr="009F0D9F">
              <w:rPr>
                <w:rFonts w:ascii="宋体" w:eastAsia="宋体" w:hAnsi="宋体" w:cs="Times New Roman" w:hint="eastAsia"/>
                <w:bCs/>
                <w:color w:val="000000"/>
                <w:sz w:val="24"/>
              </w:rPr>
              <w:t>60</w:t>
            </w:r>
          </w:p>
        </w:tc>
        <w:tc>
          <w:tcPr>
            <w:tcW w:w="1559" w:type="dxa"/>
          </w:tcPr>
          <w:p w14:paraId="7B8C786A" w14:textId="77777777" w:rsidR="009F0D9F" w:rsidRPr="009F0D9F" w:rsidRDefault="009F0D9F" w:rsidP="009F0D9F">
            <w:pPr>
              <w:spacing w:line="360" w:lineRule="auto"/>
              <w:jc w:val="center"/>
              <w:rPr>
                <w:rFonts w:ascii="宋体" w:eastAsia="宋体" w:hAnsi="宋体" w:cs="Times New Roman"/>
                <w:bCs/>
                <w:color w:val="000000"/>
                <w:sz w:val="24"/>
              </w:rPr>
            </w:pPr>
            <w:r w:rsidRPr="009F0D9F">
              <w:rPr>
                <w:rFonts w:ascii="宋体" w:eastAsia="宋体" w:hAnsi="宋体" w:cs="Times New Roman" w:hint="eastAsia"/>
                <w:bCs/>
                <w:color w:val="000000"/>
                <w:sz w:val="24"/>
              </w:rPr>
              <w:t>1</w:t>
            </w:r>
            <w:r w:rsidRPr="009F0D9F">
              <w:rPr>
                <w:rFonts w:ascii="宋体" w:eastAsia="宋体" w:hAnsi="宋体" w:cs="Times New Roman"/>
                <w:bCs/>
                <w:color w:val="000000"/>
                <w:sz w:val="24"/>
              </w:rPr>
              <w:t>00</w:t>
            </w:r>
          </w:p>
        </w:tc>
      </w:tr>
    </w:tbl>
    <w:p w14:paraId="7C7065B9" w14:textId="77777777" w:rsidR="009F0D9F" w:rsidRPr="009F0D9F" w:rsidRDefault="009F0D9F" w:rsidP="009F0D9F">
      <w:pPr>
        <w:spacing w:line="360" w:lineRule="auto"/>
        <w:rPr>
          <w:rFonts w:ascii="黑体" w:eastAsia="黑体" w:hAnsi="黑体" w:cs="Times New Roman"/>
          <w:sz w:val="28"/>
          <w:szCs w:val="28"/>
        </w:rPr>
      </w:pPr>
      <w:r w:rsidRPr="009F0D9F">
        <w:rPr>
          <w:rFonts w:ascii="黑体" w:eastAsia="黑体" w:hAnsi="黑体" w:cs="Times New Roman" w:hint="eastAsia"/>
          <w:sz w:val="28"/>
          <w:szCs w:val="28"/>
        </w:rPr>
        <w:t>五、成绩评定</w:t>
      </w:r>
    </w:p>
    <w:p w14:paraId="7EFB6024" w14:textId="77777777" w:rsidR="009F0D9F" w:rsidRPr="009F0D9F" w:rsidRDefault="009F0D9F" w:rsidP="009F0D9F">
      <w:pPr>
        <w:spacing w:line="360" w:lineRule="auto"/>
        <w:ind w:firstLineChars="200" w:firstLine="560"/>
        <w:rPr>
          <w:rFonts w:ascii="黑体" w:eastAsia="黑体" w:hAnsi="黑体" w:cs="Times New Roman"/>
          <w:sz w:val="28"/>
          <w:szCs w:val="28"/>
        </w:rPr>
      </w:pPr>
      <w:r w:rsidRPr="009F0D9F">
        <w:rPr>
          <w:rFonts w:ascii="黑体" w:eastAsia="黑体" w:hAnsi="黑体" w:cs="Times New Roman" w:hint="eastAsia"/>
          <w:sz w:val="28"/>
          <w:szCs w:val="28"/>
        </w:rPr>
        <w:t>（一）总成绩评定</w:t>
      </w:r>
    </w:p>
    <w:p w14:paraId="0CA441B0" w14:textId="77777777" w:rsidR="009F0D9F" w:rsidRPr="009F0D9F" w:rsidRDefault="009F0D9F" w:rsidP="009F0D9F">
      <w:pPr>
        <w:spacing w:line="360" w:lineRule="auto"/>
        <w:ind w:firstLineChars="200" w:firstLine="480"/>
        <w:rPr>
          <w:rFonts w:ascii="宋体" w:eastAsia="宋体" w:hAnsi="宋体" w:cs="Times New Roman"/>
          <w:sz w:val="24"/>
        </w:rPr>
      </w:pPr>
      <w:r w:rsidRPr="009F0D9F">
        <w:rPr>
          <w:rFonts w:ascii="宋体" w:eastAsia="宋体" w:hAnsi="宋体" w:cs="Times New Roman" w:hint="eastAsia"/>
          <w:sz w:val="24"/>
        </w:rPr>
        <w:t>总成绩=平时成绩×40%+期末成绩×60%</w:t>
      </w:r>
    </w:p>
    <w:p w14:paraId="1478B31D" w14:textId="77777777" w:rsidR="009F0D9F" w:rsidRPr="009F0D9F" w:rsidRDefault="009F0D9F" w:rsidP="009F0D9F">
      <w:pPr>
        <w:spacing w:line="360" w:lineRule="auto"/>
        <w:ind w:firstLineChars="200" w:firstLine="560"/>
        <w:rPr>
          <w:rFonts w:ascii="宋体" w:eastAsia="宋体" w:hAnsi="宋体" w:cs="Times New Roman"/>
          <w:color w:val="FF0000"/>
          <w:sz w:val="24"/>
        </w:rPr>
      </w:pPr>
      <w:r w:rsidRPr="009F0D9F">
        <w:rPr>
          <w:rFonts w:ascii="黑体" w:eastAsia="黑体" w:hAnsi="黑体" w:cs="Times New Roman" w:hint="eastAsia"/>
          <w:sz w:val="28"/>
          <w:szCs w:val="28"/>
        </w:rPr>
        <w:t>（二）平时成绩评定</w:t>
      </w:r>
    </w:p>
    <w:p w14:paraId="757C1F85" w14:textId="77777777" w:rsidR="009F0D9F" w:rsidRPr="009F0D9F" w:rsidRDefault="009F0D9F" w:rsidP="009F0D9F">
      <w:pPr>
        <w:spacing w:line="360" w:lineRule="auto"/>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平时成绩（100%）=课堂测试（25%）+课后作业（25%）+课程论文（25%）+设计报告（25%）</w:t>
      </w:r>
    </w:p>
    <w:p w14:paraId="35D2362A" w14:textId="77777777" w:rsidR="009F0D9F" w:rsidRPr="009F0D9F" w:rsidRDefault="009F0D9F" w:rsidP="009F0D9F">
      <w:pPr>
        <w:spacing w:line="360" w:lineRule="auto"/>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（1）课堂测试：通过学生在课堂上学习通的测试情况，来评价学生相关的能力；</w:t>
      </w:r>
    </w:p>
    <w:p w14:paraId="5C74C50B" w14:textId="77777777" w:rsidR="009F0D9F" w:rsidRPr="009F0D9F" w:rsidRDefault="009F0D9F" w:rsidP="009F0D9F">
      <w:pPr>
        <w:spacing w:line="360" w:lineRule="auto"/>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（2）作业完成情况：围绕课程的学习目标进行作业的设计。如让学生简述对知识的认识，考核学生对于概念的理解情况，帮助学生将定义转化为自己的理解；</w:t>
      </w:r>
    </w:p>
    <w:p w14:paraId="06B82465" w14:textId="77777777" w:rsidR="009F0D9F" w:rsidRPr="009F0D9F" w:rsidRDefault="009F0D9F" w:rsidP="009F0D9F">
      <w:pPr>
        <w:spacing w:line="360" w:lineRule="auto"/>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（3）课程论文：学生收集资料能力，研究设计能力，解决实际问题能力和合作研究能力；</w:t>
      </w:r>
    </w:p>
    <w:p w14:paraId="6158F1A9" w14:textId="77777777" w:rsidR="009F0D9F" w:rsidRPr="009F0D9F" w:rsidRDefault="009F0D9F" w:rsidP="009F0D9F">
      <w:pPr>
        <w:spacing w:line="360" w:lineRule="auto"/>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（4）设计报告：培养学生研究设计能力，解决实际问题能力和合作研究能力；</w:t>
      </w:r>
    </w:p>
    <w:p w14:paraId="2C3BB85D" w14:textId="77777777" w:rsidR="009F0D9F" w:rsidRPr="009F0D9F" w:rsidRDefault="009F0D9F" w:rsidP="009F0D9F">
      <w:pPr>
        <w:spacing w:line="360" w:lineRule="auto"/>
        <w:ind w:firstLineChars="200" w:firstLine="482"/>
        <w:rPr>
          <w:rFonts w:ascii="宋体" w:eastAsia="宋体" w:hAnsi="宋体" w:cs="Times New Roman"/>
          <w:b/>
          <w:color w:val="000000"/>
          <w:sz w:val="24"/>
        </w:rPr>
      </w:pPr>
      <w:r w:rsidRPr="009F0D9F">
        <w:rPr>
          <w:rFonts w:ascii="宋体" w:eastAsia="宋体" w:hAnsi="宋体" w:cs="Times New Roman" w:hint="eastAsia"/>
          <w:b/>
          <w:color w:val="000000"/>
          <w:sz w:val="24"/>
        </w:rPr>
        <w:t>（三）期末成绩评定</w:t>
      </w:r>
    </w:p>
    <w:p w14:paraId="0A1C84B5" w14:textId="77777777" w:rsidR="009F0D9F" w:rsidRPr="009F0D9F" w:rsidRDefault="009F0D9F" w:rsidP="009F0D9F">
      <w:pPr>
        <w:spacing w:line="360" w:lineRule="auto"/>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期末考核主要考察学生对生物技术药物的分析等基本概念、操作程序和具体方法的理解与运用等。方式为闭卷考试。要求学生掌握生物制药技术的基本概念、操作程序，运用具体方法解决相关问题。</w:t>
      </w:r>
    </w:p>
    <w:p w14:paraId="031BBAB8" w14:textId="77777777" w:rsidR="009F0D9F" w:rsidRPr="009F0D9F" w:rsidRDefault="009F0D9F" w:rsidP="009F0D9F">
      <w:pPr>
        <w:spacing w:beforeLines="50" w:before="156" w:afterLines="50" w:after="156" w:line="440" w:lineRule="exact"/>
        <w:ind w:firstLineChars="200" w:firstLine="560"/>
        <w:rPr>
          <w:rFonts w:ascii="宋体" w:eastAsia="宋体" w:hAnsi="宋体" w:cs="Times New Roman"/>
          <w:sz w:val="24"/>
        </w:rPr>
      </w:pPr>
      <w:r w:rsidRPr="009F0D9F">
        <w:rPr>
          <w:rFonts w:ascii="黑体" w:eastAsia="黑体" w:hAnsi="黑体" w:cs="Times New Roman" w:hint="eastAsia"/>
          <w:sz w:val="28"/>
          <w:szCs w:val="28"/>
        </w:rPr>
        <w:t>六、使用教材、相关推荐书目及课程资源</w:t>
      </w:r>
    </w:p>
    <w:p w14:paraId="59D6E9B4" w14:textId="77777777" w:rsidR="009F0D9F" w:rsidRPr="009F0D9F" w:rsidRDefault="009F0D9F" w:rsidP="009F0D9F">
      <w:pPr>
        <w:spacing w:line="360" w:lineRule="auto"/>
        <w:ind w:firstLineChars="200" w:firstLine="560"/>
        <w:rPr>
          <w:rFonts w:ascii="宋体" w:eastAsia="宋体" w:hAnsi="宋体" w:cs="Times New Roman"/>
          <w:color w:val="000000"/>
          <w:sz w:val="24"/>
        </w:rPr>
      </w:pPr>
      <w:r w:rsidRPr="009F0D9F">
        <w:rPr>
          <w:rFonts w:ascii="黑体" w:eastAsia="黑体" w:hAnsi="黑体" w:cs="Times New Roman" w:hint="eastAsia"/>
          <w:color w:val="000000"/>
          <w:sz w:val="28"/>
          <w:szCs w:val="28"/>
        </w:rPr>
        <w:t>（一）使用教材</w:t>
      </w:r>
    </w:p>
    <w:p w14:paraId="24D07576" w14:textId="77777777" w:rsidR="009F0D9F" w:rsidRPr="009F0D9F" w:rsidRDefault="009F0D9F" w:rsidP="009F0D9F">
      <w:pPr>
        <w:spacing w:line="360" w:lineRule="auto"/>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夏焕章主编：《生物技术制药》第四版，高等教育出版社，2022年版；</w:t>
      </w:r>
    </w:p>
    <w:p w14:paraId="6C36FCE4" w14:textId="77777777" w:rsidR="009F0D9F" w:rsidRPr="009F0D9F" w:rsidRDefault="009F0D9F" w:rsidP="009F0D9F">
      <w:pPr>
        <w:spacing w:line="360" w:lineRule="auto"/>
        <w:ind w:firstLineChars="200" w:firstLine="560"/>
        <w:rPr>
          <w:rFonts w:ascii="宋体" w:eastAsia="宋体" w:hAnsi="宋体" w:cs="Times New Roman"/>
          <w:color w:val="000000"/>
          <w:sz w:val="24"/>
        </w:rPr>
      </w:pPr>
      <w:r w:rsidRPr="009F0D9F">
        <w:rPr>
          <w:rFonts w:ascii="黑体" w:eastAsia="黑体" w:hAnsi="黑体" w:cs="Times New Roman" w:hint="eastAsia"/>
          <w:color w:val="000000"/>
          <w:sz w:val="28"/>
          <w:szCs w:val="28"/>
        </w:rPr>
        <w:t>（二）相关推荐书目</w:t>
      </w:r>
    </w:p>
    <w:p w14:paraId="1490AC8B" w14:textId="77777777" w:rsidR="009F0D9F" w:rsidRPr="009F0D9F" w:rsidRDefault="009F0D9F" w:rsidP="009F0D9F">
      <w:pPr>
        <w:spacing w:line="360" w:lineRule="auto"/>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1</w:t>
      </w:r>
      <w:r w:rsidRPr="009F0D9F">
        <w:rPr>
          <w:rFonts w:ascii="宋体" w:eastAsia="宋体" w:hAnsi="宋体" w:cs="Times New Roman"/>
          <w:color w:val="000000"/>
          <w:sz w:val="24"/>
        </w:rPr>
        <w:t xml:space="preserve">. </w:t>
      </w:r>
      <w:r w:rsidRPr="009F0D9F">
        <w:rPr>
          <w:rFonts w:ascii="宋体" w:eastAsia="宋体" w:hAnsi="宋体" w:cs="Times New Roman" w:hint="eastAsia"/>
          <w:color w:val="000000"/>
          <w:sz w:val="24"/>
        </w:rPr>
        <w:t>姚文兵主编：《生物制药技术》，中国医药科技出版社，2015年版；</w:t>
      </w:r>
    </w:p>
    <w:p w14:paraId="0D3811C3" w14:textId="77777777" w:rsidR="009F0D9F" w:rsidRPr="009F0D9F" w:rsidRDefault="009F0D9F" w:rsidP="009F0D9F">
      <w:pPr>
        <w:spacing w:line="360" w:lineRule="auto"/>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2</w:t>
      </w:r>
      <w:r w:rsidRPr="009F0D9F">
        <w:rPr>
          <w:rFonts w:ascii="宋体" w:eastAsia="宋体" w:hAnsi="宋体" w:cs="Times New Roman"/>
          <w:color w:val="000000"/>
          <w:sz w:val="24"/>
        </w:rPr>
        <w:t xml:space="preserve">. </w:t>
      </w:r>
      <w:r w:rsidRPr="009F0D9F">
        <w:rPr>
          <w:rFonts w:ascii="宋体" w:eastAsia="宋体" w:hAnsi="宋体" w:cs="Times New Roman" w:hint="eastAsia"/>
          <w:color w:val="000000"/>
          <w:sz w:val="24"/>
        </w:rPr>
        <w:t>王凤山，邹全明，《生物制药技术》，人民卫生出版社，2016年版；</w:t>
      </w:r>
    </w:p>
    <w:p w14:paraId="3B0E2155" w14:textId="77777777" w:rsidR="009F0D9F" w:rsidRPr="009F0D9F" w:rsidRDefault="009F0D9F" w:rsidP="009F0D9F">
      <w:pPr>
        <w:spacing w:line="360" w:lineRule="auto"/>
        <w:ind w:firstLineChars="200" w:firstLine="480"/>
        <w:rPr>
          <w:rFonts w:ascii="宋体" w:eastAsia="宋体" w:hAnsi="宋体" w:cs="Times New Roman"/>
          <w:color w:val="000000"/>
          <w:sz w:val="24"/>
        </w:rPr>
      </w:pPr>
      <w:r w:rsidRPr="009F0D9F">
        <w:rPr>
          <w:rFonts w:ascii="宋体" w:eastAsia="宋体" w:hAnsi="宋体" w:cs="Times New Roman" w:hint="eastAsia"/>
          <w:color w:val="000000"/>
          <w:sz w:val="24"/>
        </w:rPr>
        <w:t>3</w:t>
      </w:r>
      <w:r w:rsidRPr="009F0D9F">
        <w:rPr>
          <w:rFonts w:ascii="宋体" w:eastAsia="宋体" w:hAnsi="宋体" w:cs="Times New Roman"/>
          <w:color w:val="000000"/>
          <w:sz w:val="24"/>
        </w:rPr>
        <w:t xml:space="preserve">. </w:t>
      </w:r>
      <w:r w:rsidRPr="009F0D9F">
        <w:rPr>
          <w:rFonts w:ascii="宋体" w:eastAsia="宋体" w:hAnsi="宋体" w:cs="Times New Roman" w:hint="eastAsia"/>
          <w:color w:val="000000"/>
          <w:sz w:val="24"/>
        </w:rPr>
        <w:t>黄泽波，《生物制药技术》，人民卫生出版社，2016年版；</w:t>
      </w:r>
    </w:p>
    <w:p w14:paraId="28219C43" w14:textId="77777777" w:rsidR="009F0D9F" w:rsidRPr="009F0D9F" w:rsidRDefault="009F0D9F" w:rsidP="009F0D9F">
      <w:pPr>
        <w:spacing w:line="360" w:lineRule="auto"/>
        <w:ind w:firstLineChars="200" w:firstLine="560"/>
        <w:rPr>
          <w:rFonts w:ascii="黑体" w:eastAsia="黑体" w:hAnsi="黑体" w:cs="Times New Roman"/>
          <w:color w:val="000000"/>
          <w:sz w:val="28"/>
          <w:szCs w:val="28"/>
        </w:rPr>
      </w:pPr>
      <w:r w:rsidRPr="009F0D9F">
        <w:rPr>
          <w:rFonts w:ascii="黑体" w:eastAsia="黑体" w:hAnsi="黑体" w:cs="Times New Roman" w:hint="eastAsia"/>
          <w:color w:val="000000"/>
          <w:sz w:val="28"/>
          <w:szCs w:val="28"/>
        </w:rPr>
        <w:t>（三）课程资源</w:t>
      </w:r>
    </w:p>
    <w:p w14:paraId="2C747CC6" w14:textId="77777777" w:rsidR="009F0D9F" w:rsidRPr="009F0D9F" w:rsidRDefault="009F0D9F" w:rsidP="009F0D9F">
      <w:pPr>
        <w:spacing w:line="360" w:lineRule="auto"/>
        <w:ind w:leftChars="267" w:left="561"/>
        <w:jc w:val="left"/>
        <w:rPr>
          <w:rFonts w:ascii="宋体" w:eastAsia="宋体" w:hAnsi="宋体" w:cs="Times New Roman"/>
          <w:color w:val="000000"/>
          <w:sz w:val="28"/>
          <w:szCs w:val="28"/>
        </w:rPr>
      </w:pPr>
      <w:r w:rsidRPr="009F0D9F">
        <w:rPr>
          <w:rFonts w:ascii="宋体" w:eastAsia="宋体" w:hAnsi="宋体" w:cs="Times New Roman" w:hint="eastAsia"/>
          <w:color w:val="000000"/>
          <w:sz w:val="28"/>
          <w:szCs w:val="28"/>
        </w:rPr>
        <w:t>中国</w:t>
      </w:r>
      <w:proofErr w:type="gramStart"/>
      <w:r w:rsidRPr="009F0D9F">
        <w:rPr>
          <w:rFonts w:ascii="宋体" w:eastAsia="宋体" w:hAnsi="宋体" w:cs="Times New Roman" w:hint="eastAsia"/>
          <w:color w:val="000000"/>
          <w:sz w:val="28"/>
          <w:szCs w:val="28"/>
        </w:rPr>
        <w:t>大学慕课</w:t>
      </w:r>
      <w:proofErr w:type="gramEnd"/>
      <w:r w:rsidRPr="009F0D9F">
        <w:rPr>
          <w:rFonts w:ascii="宋体" w:eastAsia="宋体" w:hAnsi="宋体" w:cs="Times New Roman" w:hint="eastAsia"/>
          <w:color w:val="000000"/>
          <w:sz w:val="28"/>
          <w:szCs w:val="28"/>
        </w:rPr>
        <w:t xml:space="preserve"> </w:t>
      </w:r>
      <w:r w:rsidRPr="009F0D9F">
        <w:rPr>
          <w:rFonts w:ascii="宋体" w:eastAsia="宋体" w:hAnsi="宋体" w:cs="Times New Roman"/>
          <w:color w:val="000000"/>
          <w:sz w:val="28"/>
          <w:szCs w:val="28"/>
        </w:rPr>
        <w:t>https://www.icourse163.org/course/WMU-</w:t>
      </w:r>
      <w:r w:rsidRPr="009F0D9F">
        <w:rPr>
          <w:rFonts w:ascii="宋体" w:eastAsia="宋体" w:hAnsi="宋体" w:cs="Times New Roman"/>
          <w:color w:val="000000"/>
          <w:sz w:val="28"/>
          <w:szCs w:val="28"/>
        </w:rPr>
        <w:lastRenderedPageBreak/>
        <w:t>1002876004</w:t>
      </w:r>
    </w:p>
    <w:p w14:paraId="0BE387E2" w14:textId="77777777" w:rsidR="009F0D9F" w:rsidRPr="009F0D9F" w:rsidRDefault="009F0D9F" w:rsidP="009F0D9F">
      <w:pPr>
        <w:spacing w:beforeLines="50" w:before="156" w:afterLines="50" w:after="156" w:line="440" w:lineRule="exact"/>
        <w:ind w:firstLineChars="200" w:firstLine="560"/>
        <w:rPr>
          <w:rFonts w:ascii="黑体" w:eastAsia="黑体" w:hAnsi="黑体" w:cs="Times New Roman"/>
          <w:sz w:val="28"/>
          <w:szCs w:val="28"/>
        </w:rPr>
      </w:pPr>
      <w:r w:rsidRPr="009F0D9F">
        <w:rPr>
          <w:rFonts w:ascii="黑体" w:eastAsia="黑体" w:hAnsi="黑体" w:cs="Times New Roman" w:hint="eastAsia"/>
          <w:sz w:val="28"/>
          <w:szCs w:val="28"/>
        </w:rPr>
        <w:t>七、课程教学大纲制定依据</w:t>
      </w:r>
    </w:p>
    <w:p w14:paraId="32E0954F" w14:textId="77777777" w:rsidR="009F0D9F" w:rsidRPr="009F0D9F" w:rsidRDefault="009F0D9F" w:rsidP="009F0D9F">
      <w:pPr>
        <w:spacing w:line="440" w:lineRule="exact"/>
        <w:ind w:firstLineChars="200" w:firstLine="480"/>
        <w:rPr>
          <w:rFonts w:ascii="宋体" w:eastAsia="宋体" w:hAnsi="宋体" w:cs="Times New Roman"/>
          <w:sz w:val="24"/>
        </w:rPr>
      </w:pPr>
      <w:r w:rsidRPr="009F0D9F">
        <w:rPr>
          <w:rFonts w:ascii="宋体" w:eastAsia="宋体" w:hAnsi="宋体" w:cs="Times New Roman" w:hint="eastAsia"/>
          <w:sz w:val="24"/>
        </w:rPr>
        <w:t>本课程教学大纲依据2023年药物分析专业人才培养方案制定。</w:t>
      </w:r>
    </w:p>
    <w:p w14:paraId="6CCCD7FB" w14:textId="77777777" w:rsidR="009F0D9F" w:rsidRPr="009F0D9F" w:rsidRDefault="009F0D9F" w:rsidP="009F0D9F">
      <w:pPr>
        <w:spacing w:line="440" w:lineRule="exact"/>
        <w:ind w:firstLineChars="200" w:firstLine="480"/>
        <w:rPr>
          <w:rFonts w:ascii="宋体" w:eastAsia="宋体" w:hAnsi="宋体" w:cs="Times New Roman"/>
          <w:sz w:val="24"/>
        </w:rPr>
      </w:pPr>
    </w:p>
    <w:p w14:paraId="0986A1B0" w14:textId="77777777" w:rsidR="009F0D9F" w:rsidRPr="009F0D9F" w:rsidRDefault="009F0D9F" w:rsidP="009F0D9F">
      <w:pPr>
        <w:spacing w:line="360" w:lineRule="auto"/>
        <w:rPr>
          <w:rFonts w:ascii="黑体" w:eastAsia="黑体" w:hAnsi="黑体" w:cs="Times New Roman"/>
          <w:sz w:val="28"/>
          <w:szCs w:val="28"/>
        </w:rPr>
      </w:pPr>
    </w:p>
    <w:p w14:paraId="672B08A5" w14:textId="77777777" w:rsidR="00C86DF9" w:rsidRDefault="00C86DF9">
      <w:pPr>
        <w:widowControl/>
        <w:jc w:val="left"/>
        <w:rPr>
          <w:rFonts w:ascii="宋体" w:eastAsia="宋体" w:hAnsi="宋体" w:cs="Times New Roman"/>
          <w:color w:val="000000"/>
          <w:sz w:val="24"/>
        </w:rPr>
      </w:pPr>
      <w:bookmarkStart w:id="279" w:name="_Toc149662380"/>
      <w:r>
        <w:rPr>
          <w:rFonts w:ascii="宋体" w:hAnsi="宋体" w:cs="Times New Roman"/>
          <w:b/>
          <w:color w:val="000000"/>
          <w:sz w:val="24"/>
        </w:rPr>
        <w:br w:type="page"/>
      </w:r>
    </w:p>
    <w:p w14:paraId="4E0C8F06" w14:textId="446EBBE5" w:rsidR="00DD44D2" w:rsidRPr="00DD44D2" w:rsidRDefault="00DD44D2" w:rsidP="003322BE">
      <w:pPr>
        <w:pStyle w:val="1"/>
      </w:pPr>
      <w:r w:rsidRPr="00DD44D2">
        <w:rPr>
          <w:rFonts w:hint="eastAsia"/>
        </w:rPr>
        <w:lastRenderedPageBreak/>
        <w:t>《中药学》课程大纲</w:t>
      </w:r>
      <w:bookmarkEnd w:id="279"/>
    </w:p>
    <w:p w14:paraId="5E5759C2" w14:textId="77777777" w:rsidR="00D72FD2" w:rsidRPr="00D72FD2" w:rsidRDefault="00D72FD2" w:rsidP="00D72FD2">
      <w:pPr>
        <w:spacing w:beforeLines="50" w:before="156" w:afterLines="50" w:after="156" w:line="360" w:lineRule="auto"/>
        <w:ind w:firstLineChars="200" w:firstLine="560"/>
        <w:rPr>
          <w:rFonts w:ascii="黑体" w:eastAsia="黑体" w:hAnsi="黑体" w:cs="Times New Roman"/>
          <w:sz w:val="28"/>
          <w:szCs w:val="28"/>
        </w:rPr>
      </w:pPr>
      <w:r w:rsidRPr="00D72FD2">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7"/>
        <w:gridCol w:w="2751"/>
        <w:gridCol w:w="1523"/>
        <w:gridCol w:w="2876"/>
      </w:tblGrid>
      <w:tr w:rsidR="00D72FD2" w:rsidRPr="00D72FD2" w14:paraId="1A0472CD" w14:textId="77777777" w:rsidTr="006B1C7F">
        <w:trPr>
          <w:trHeight w:val="886"/>
          <w:jc w:val="center"/>
        </w:trPr>
        <w:tc>
          <w:tcPr>
            <w:tcW w:w="1668" w:type="dxa"/>
            <w:vAlign w:val="center"/>
          </w:tcPr>
          <w:p w14:paraId="581B5326"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课程名称</w:t>
            </w:r>
          </w:p>
        </w:tc>
        <w:tc>
          <w:tcPr>
            <w:tcW w:w="2833" w:type="dxa"/>
            <w:vAlign w:val="center"/>
          </w:tcPr>
          <w:p w14:paraId="2B51B352"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中药学</w:t>
            </w:r>
          </w:p>
        </w:tc>
        <w:tc>
          <w:tcPr>
            <w:tcW w:w="1561" w:type="dxa"/>
            <w:vAlign w:val="center"/>
          </w:tcPr>
          <w:p w14:paraId="78591472"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课程代码</w:t>
            </w:r>
          </w:p>
        </w:tc>
        <w:tc>
          <w:tcPr>
            <w:tcW w:w="2941" w:type="dxa"/>
            <w:vAlign w:val="center"/>
          </w:tcPr>
          <w:p w14:paraId="0C725A72"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0715D24</w:t>
            </w:r>
          </w:p>
        </w:tc>
      </w:tr>
      <w:tr w:rsidR="00D72FD2" w:rsidRPr="00D72FD2" w14:paraId="75D217B3" w14:textId="77777777" w:rsidTr="006B1C7F">
        <w:trPr>
          <w:trHeight w:val="829"/>
          <w:jc w:val="center"/>
        </w:trPr>
        <w:tc>
          <w:tcPr>
            <w:tcW w:w="1668" w:type="dxa"/>
            <w:vAlign w:val="center"/>
          </w:tcPr>
          <w:p w14:paraId="37B4DC78"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课程类别</w:t>
            </w:r>
          </w:p>
        </w:tc>
        <w:tc>
          <w:tcPr>
            <w:tcW w:w="2833" w:type="dxa"/>
            <w:vAlign w:val="center"/>
          </w:tcPr>
          <w:p w14:paraId="307AB1B3"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专业任选课程</w:t>
            </w:r>
          </w:p>
        </w:tc>
        <w:tc>
          <w:tcPr>
            <w:tcW w:w="1561" w:type="dxa"/>
            <w:vAlign w:val="center"/>
          </w:tcPr>
          <w:p w14:paraId="6DFFEC27"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学时</w:t>
            </w:r>
          </w:p>
          <w:p w14:paraId="0E1382FE"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/学分</w:t>
            </w:r>
          </w:p>
        </w:tc>
        <w:tc>
          <w:tcPr>
            <w:tcW w:w="2941" w:type="dxa"/>
            <w:vAlign w:val="center"/>
          </w:tcPr>
          <w:p w14:paraId="1D94F044"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sz w:val="24"/>
                <w:szCs w:val="24"/>
              </w:rPr>
              <w:t>3</w:t>
            </w:r>
            <w:r w:rsidRPr="00D72FD2">
              <w:rPr>
                <w:rFonts w:ascii="宋体" w:eastAsia="宋体" w:hAnsi="宋体" w:cs="Times New Roman" w:hint="eastAsia"/>
                <w:sz w:val="24"/>
                <w:szCs w:val="24"/>
              </w:rPr>
              <w:t>2学时/</w:t>
            </w:r>
            <w:r w:rsidRPr="00D72FD2">
              <w:rPr>
                <w:rFonts w:ascii="宋体" w:eastAsia="宋体" w:hAnsi="宋体" w:cs="Times New Roman"/>
                <w:sz w:val="24"/>
                <w:szCs w:val="24"/>
              </w:rPr>
              <w:t>2</w:t>
            </w:r>
            <w:r w:rsidRPr="00D72FD2">
              <w:rPr>
                <w:rFonts w:ascii="宋体" w:eastAsia="宋体" w:hAnsi="宋体" w:cs="Times New Roman" w:hint="eastAsia"/>
                <w:sz w:val="24"/>
                <w:szCs w:val="24"/>
              </w:rPr>
              <w:t>学分</w:t>
            </w:r>
          </w:p>
        </w:tc>
      </w:tr>
      <w:tr w:rsidR="00D72FD2" w:rsidRPr="00D72FD2" w14:paraId="6B010465" w14:textId="77777777" w:rsidTr="006B1C7F">
        <w:trPr>
          <w:trHeight w:val="811"/>
          <w:jc w:val="center"/>
        </w:trPr>
        <w:tc>
          <w:tcPr>
            <w:tcW w:w="1668" w:type="dxa"/>
            <w:vAlign w:val="center"/>
          </w:tcPr>
          <w:p w14:paraId="17E4144F"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开课单位</w:t>
            </w:r>
          </w:p>
        </w:tc>
        <w:tc>
          <w:tcPr>
            <w:tcW w:w="2833" w:type="dxa"/>
            <w:vAlign w:val="center"/>
          </w:tcPr>
          <w:p w14:paraId="23EBCBEE"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化工学院</w:t>
            </w:r>
          </w:p>
        </w:tc>
        <w:tc>
          <w:tcPr>
            <w:tcW w:w="1561" w:type="dxa"/>
            <w:vAlign w:val="center"/>
          </w:tcPr>
          <w:p w14:paraId="27FB29E7"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适用专业</w:t>
            </w:r>
          </w:p>
        </w:tc>
        <w:tc>
          <w:tcPr>
            <w:tcW w:w="2941" w:type="dxa"/>
            <w:vAlign w:val="center"/>
          </w:tcPr>
          <w:p w14:paraId="69833E7C"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药物分析</w:t>
            </w:r>
          </w:p>
        </w:tc>
      </w:tr>
      <w:tr w:rsidR="00D72FD2" w:rsidRPr="00D72FD2" w14:paraId="525415E0" w14:textId="77777777" w:rsidTr="006B1C7F">
        <w:trPr>
          <w:trHeight w:val="811"/>
          <w:jc w:val="center"/>
        </w:trPr>
        <w:tc>
          <w:tcPr>
            <w:tcW w:w="1668" w:type="dxa"/>
            <w:vAlign w:val="center"/>
          </w:tcPr>
          <w:p w14:paraId="21127F5E"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课程负责人</w:t>
            </w:r>
          </w:p>
        </w:tc>
        <w:tc>
          <w:tcPr>
            <w:tcW w:w="7335" w:type="dxa"/>
            <w:gridSpan w:val="3"/>
            <w:vAlign w:val="center"/>
          </w:tcPr>
          <w:p w14:paraId="5DAD098C" w14:textId="77777777" w:rsidR="00D72FD2" w:rsidRPr="00D72FD2" w:rsidRDefault="00D72FD2" w:rsidP="00D72FD2">
            <w:pPr>
              <w:spacing w:line="360" w:lineRule="auto"/>
              <w:jc w:val="center"/>
              <w:rPr>
                <w:rFonts w:ascii="宋体" w:eastAsia="宋体" w:hAnsi="宋体" w:cs="Times New Roman" w:hint="eastAsia"/>
                <w:sz w:val="24"/>
                <w:szCs w:val="24"/>
              </w:rPr>
            </w:pPr>
            <w:proofErr w:type="gramStart"/>
            <w:r w:rsidRPr="00D72FD2">
              <w:rPr>
                <w:rFonts w:ascii="宋体" w:eastAsia="宋体" w:hAnsi="宋体" w:cs="Times New Roman" w:hint="eastAsia"/>
                <w:sz w:val="24"/>
                <w:szCs w:val="24"/>
              </w:rPr>
              <w:t>孙硕</w:t>
            </w:r>
            <w:proofErr w:type="gramEnd"/>
          </w:p>
        </w:tc>
      </w:tr>
      <w:tr w:rsidR="00D72FD2" w:rsidRPr="00D72FD2" w14:paraId="32EEB346" w14:textId="77777777" w:rsidTr="006B1C7F">
        <w:trPr>
          <w:trHeight w:val="836"/>
          <w:jc w:val="center"/>
        </w:trPr>
        <w:tc>
          <w:tcPr>
            <w:tcW w:w="1668" w:type="dxa"/>
            <w:vAlign w:val="center"/>
          </w:tcPr>
          <w:p w14:paraId="7ED8204B"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大纲撰写人</w:t>
            </w:r>
          </w:p>
        </w:tc>
        <w:tc>
          <w:tcPr>
            <w:tcW w:w="2833" w:type="dxa"/>
            <w:vAlign w:val="center"/>
          </w:tcPr>
          <w:p w14:paraId="445BC8FE" w14:textId="77777777" w:rsidR="00D72FD2" w:rsidRPr="00D72FD2" w:rsidRDefault="00D72FD2" w:rsidP="00D72FD2">
            <w:pPr>
              <w:spacing w:line="360" w:lineRule="auto"/>
              <w:jc w:val="center"/>
              <w:rPr>
                <w:rFonts w:ascii="宋体" w:eastAsia="宋体" w:hAnsi="宋体" w:cs="Times New Roman" w:hint="eastAsia"/>
                <w:sz w:val="24"/>
                <w:szCs w:val="24"/>
              </w:rPr>
            </w:pPr>
            <w:proofErr w:type="gramStart"/>
            <w:r w:rsidRPr="00D72FD2">
              <w:rPr>
                <w:rFonts w:ascii="宋体" w:eastAsia="宋体" w:hAnsi="宋体" w:cs="Times New Roman" w:hint="eastAsia"/>
                <w:sz w:val="24"/>
                <w:szCs w:val="24"/>
              </w:rPr>
              <w:t>孙硕</w:t>
            </w:r>
            <w:proofErr w:type="gramEnd"/>
          </w:p>
        </w:tc>
        <w:tc>
          <w:tcPr>
            <w:tcW w:w="1561" w:type="dxa"/>
            <w:vAlign w:val="center"/>
          </w:tcPr>
          <w:p w14:paraId="103A99E9"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大纲审核人</w:t>
            </w:r>
          </w:p>
        </w:tc>
        <w:tc>
          <w:tcPr>
            <w:tcW w:w="2941" w:type="dxa"/>
            <w:vAlign w:val="center"/>
          </w:tcPr>
          <w:p w14:paraId="332F26C2" w14:textId="77777777" w:rsidR="00D72FD2" w:rsidRPr="00D72FD2" w:rsidRDefault="00D72FD2" w:rsidP="00D72FD2">
            <w:pPr>
              <w:spacing w:line="360" w:lineRule="auto"/>
              <w:jc w:val="center"/>
              <w:rPr>
                <w:rFonts w:ascii="宋体" w:eastAsia="宋体" w:hAnsi="宋体" w:cs="Times New Roman" w:hint="eastAsia"/>
                <w:sz w:val="24"/>
                <w:szCs w:val="24"/>
              </w:rPr>
            </w:pPr>
            <w:proofErr w:type="gramStart"/>
            <w:r w:rsidRPr="00D72FD2">
              <w:rPr>
                <w:rFonts w:ascii="宋体" w:eastAsia="宋体" w:hAnsi="宋体" w:cs="Times New Roman" w:hint="eastAsia"/>
                <w:sz w:val="24"/>
                <w:szCs w:val="24"/>
              </w:rPr>
              <w:t>冯</w:t>
            </w:r>
            <w:proofErr w:type="gramEnd"/>
            <w:r w:rsidRPr="00D72FD2">
              <w:rPr>
                <w:rFonts w:ascii="宋体" w:eastAsia="宋体" w:hAnsi="宋体" w:cs="Times New Roman" w:hint="eastAsia"/>
                <w:sz w:val="24"/>
                <w:szCs w:val="24"/>
              </w:rPr>
              <w:t>小龙</w:t>
            </w:r>
          </w:p>
        </w:tc>
      </w:tr>
      <w:tr w:rsidR="00D72FD2" w:rsidRPr="00D72FD2" w14:paraId="7D23B41E" w14:textId="77777777" w:rsidTr="006B1C7F">
        <w:trPr>
          <w:trHeight w:val="848"/>
          <w:jc w:val="center"/>
        </w:trPr>
        <w:tc>
          <w:tcPr>
            <w:tcW w:w="1668" w:type="dxa"/>
            <w:vAlign w:val="center"/>
          </w:tcPr>
          <w:p w14:paraId="0A605342"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先修课程</w:t>
            </w:r>
          </w:p>
        </w:tc>
        <w:tc>
          <w:tcPr>
            <w:tcW w:w="7335" w:type="dxa"/>
            <w:gridSpan w:val="3"/>
            <w:vAlign w:val="center"/>
          </w:tcPr>
          <w:p w14:paraId="2C66C1C0"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Times New Roman" w:eastAsia="宋体" w:hAnsi="Times New Roman" w:cs="Times New Roman" w:hint="eastAsia"/>
                <w:sz w:val="24"/>
                <w:szCs w:val="24"/>
              </w:rPr>
              <w:t>《中药化学》</w:t>
            </w:r>
            <w:r w:rsidRPr="00D72FD2">
              <w:rPr>
                <w:rFonts w:ascii="Times New Roman" w:eastAsia="宋体" w:hAnsi="Times New Roman" w:cs="Times New Roman"/>
                <w:sz w:val="24"/>
                <w:szCs w:val="24"/>
              </w:rPr>
              <w:t>《</w:t>
            </w:r>
            <w:r w:rsidRPr="00D72FD2">
              <w:rPr>
                <w:rFonts w:ascii="Times New Roman" w:eastAsia="宋体" w:hAnsi="Times New Roman" w:cs="Times New Roman" w:hint="eastAsia"/>
                <w:sz w:val="24"/>
                <w:szCs w:val="24"/>
              </w:rPr>
              <w:t>天然</w:t>
            </w:r>
            <w:r w:rsidRPr="00D72FD2">
              <w:rPr>
                <w:rFonts w:ascii="Times New Roman" w:eastAsia="宋体" w:hAnsi="Times New Roman" w:cs="Times New Roman" w:hint="eastAsia"/>
                <w:color w:val="000000"/>
                <w:sz w:val="24"/>
                <w:szCs w:val="24"/>
              </w:rPr>
              <w:t>药物化学</w:t>
            </w:r>
            <w:r w:rsidRPr="00D72FD2">
              <w:rPr>
                <w:rFonts w:ascii="Times New Roman" w:eastAsia="宋体" w:hAnsi="Times New Roman" w:cs="Times New Roman"/>
                <w:sz w:val="24"/>
                <w:szCs w:val="24"/>
              </w:rPr>
              <w:t>》</w:t>
            </w:r>
            <w:r w:rsidRPr="00D72FD2">
              <w:rPr>
                <w:rFonts w:ascii="Times New Roman" w:eastAsia="宋体" w:hAnsi="Times New Roman" w:cs="Times New Roman" w:hint="eastAsia"/>
                <w:sz w:val="24"/>
                <w:szCs w:val="24"/>
              </w:rPr>
              <w:t>等</w:t>
            </w:r>
          </w:p>
        </w:tc>
      </w:tr>
      <w:tr w:rsidR="00D72FD2" w:rsidRPr="00D72FD2" w14:paraId="42FE5B82" w14:textId="77777777" w:rsidTr="006B1C7F">
        <w:trPr>
          <w:trHeight w:val="848"/>
          <w:jc w:val="center"/>
        </w:trPr>
        <w:tc>
          <w:tcPr>
            <w:tcW w:w="1668" w:type="dxa"/>
            <w:vAlign w:val="center"/>
          </w:tcPr>
          <w:p w14:paraId="5DC1ED24"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课程网址</w:t>
            </w:r>
          </w:p>
        </w:tc>
        <w:tc>
          <w:tcPr>
            <w:tcW w:w="7335" w:type="dxa"/>
            <w:gridSpan w:val="3"/>
            <w:vAlign w:val="center"/>
          </w:tcPr>
          <w:p w14:paraId="73B35CDC" w14:textId="77777777" w:rsidR="00D72FD2" w:rsidRPr="00D72FD2" w:rsidRDefault="00D72FD2" w:rsidP="00D72FD2">
            <w:pPr>
              <w:spacing w:line="360" w:lineRule="auto"/>
              <w:rPr>
                <w:rFonts w:ascii="宋体" w:eastAsia="宋体" w:hAnsi="宋体" w:cs="Times New Roman" w:hint="eastAsia"/>
                <w:color w:val="FF0000"/>
                <w:sz w:val="24"/>
                <w:szCs w:val="24"/>
              </w:rPr>
            </w:pPr>
          </w:p>
        </w:tc>
      </w:tr>
    </w:tbl>
    <w:p w14:paraId="3309602C"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sz w:val="28"/>
          <w:szCs w:val="28"/>
        </w:rPr>
        <w:t>二、课程学习目标及与毕业要求的对应关系</w:t>
      </w:r>
    </w:p>
    <w:p w14:paraId="09BB3894"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sz w:val="28"/>
          <w:szCs w:val="28"/>
        </w:rPr>
        <w:t>（一）课程学习目标</w:t>
      </w:r>
    </w:p>
    <w:p w14:paraId="6E7628E8"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hint="eastAsia"/>
          <w:sz w:val="24"/>
          <w:szCs w:val="24"/>
        </w:rPr>
        <w:t>通过本课程的学习，使学生达到以下目标：</w:t>
      </w:r>
    </w:p>
    <w:p w14:paraId="460C2D63" w14:textId="77777777" w:rsidR="00D72FD2" w:rsidRPr="00D72FD2" w:rsidRDefault="00D72FD2">
      <w:pPr>
        <w:numPr>
          <w:ilvl w:val="0"/>
          <w:numId w:val="154"/>
        </w:numPr>
        <w:spacing w:line="440" w:lineRule="exact"/>
        <w:ind w:left="840" w:firstLineChars="200" w:firstLine="480"/>
        <w:jc w:val="left"/>
        <w:rPr>
          <w:rFonts w:ascii="黑体" w:eastAsia="黑体" w:hAnsi="黑体" w:cs="黑体" w:hint="eastAsia"/>
          <w:sz w:val="24"/>
          <w:szCs w:val="24"/>
        </w:rPr>
      </w:pPr>
      <w:r w:rsidRPr="00D72FD2">
        <w:rPr>
          <w:rFonts w:ascii="宋体" w:eastAsia="宋体" w:hAnsi="宋体" w:cs="Times New Roman"/>
          <w:sz w:val="24"/>
          <w:szCs w:val="24"/>
        </w:rPr>
        <w:t xml:space="preserve"> 掌握中药的性能（四气五味、升降浮沉、归经、毒性）、中药的配伍及用药禁忌等基本理论。掌握或了解常用中药的分类、性能、功效及临床应用；可应用药物分析研究手段鉴定中药中复杂组分。【</w:t>
      </w:r>
      <w:r w:rsidRPr="00D72FD2">
        <w:rPr>
          <w:rFonts w:ascii="黑体" w:eastAsia="黑体" w:hAnsi="黑体" w:cs="黑体" w:hint="eastAsia"/>
          <w:sz w:val="24"/>
          <w:szCs w:val="24"/>
        </w:rPr>
        <w:t>毕业要求1 药学知识</w:t>
      </w:r>
      <w:r w:rsidRPr="00D72FD2">
        <w:rPr>
          <w:rFonts w:ascii="宋体" w:eastAsia="宋体" w:hAnsi="宋体" w:cs="Times New Roman"/>
          <w:sz w:val="24"/>
          <w:szCs w:val="24"/>
        </w:rPr>
        <w:t>】【</w:t>
      </w:r>
      <w:r w:rsidRPr="00D72FD2">
        <w:rPr>
          <w:rFonts w:ascii="黑体" w:eastAsia="黑体" w:hAnsi="黑体" w:cs="黑体" w:hint="eastAsia"/>
          <w:sz w:val="24"/>
          <w:szCs w:val="24"/>
        </w:rPr>
        <w:t>毕业要求6 药学与社会】</w:t>
      </w:r>
    </w:p>
    <w:p w14:paraId="5C361863" w14:textId="77777777" w:rsidR="00D72FD2" w:rsidRPr="00D72FD2" w:rsidRDefault="00D72FD2">
      <w:pPr>
        <w:numPr>
          <w:ilvl w:val="0"/>
          <w:numId w:val="154"/>
        </w:numPr>
        <w:spacing w:line="440" w:lineRule="exact"/>
        <w:ind w:left="840" w:firstLineChars="200" w:firstLine="480"/>
        <w:jc w:val="left"/>
        <w:rPr>
          <w:rFonts w:ascii="黑体" w:eastAsia="黑体" w:hAnsi="黑体" w:cs="黑体" w:hint="eastAsia"/>
          <w:sz w:val="24"/>
          <w:szCs w:val="24"/>
        </w:rPr>
      </w:pPr>
      <w:r w:rsidRPr="00D72FD2">
        <w:rPr>
          <w:rFonts w:ascii="宋体" w:eastAsia="宋体" w:hAnsi="宋体" w:cs="Times New Roman"/>
          <w:sz w:val="24"/>
          <w:szCs w:val="24"/>
        </w:rPr>
        <w:t xml:space="preserve"> 注重中药知识产权保护，提升学生中药资源保护意识；加强中药创新能力，推动中药现代化发展，提高中药资源可持续利用能力。【</w:t>
      </w:r>
      <w:r w:rsidRPr="00D72FD2">
        <w:rPr>
          <w:rFonts w:ascii="黑体" w:eastAsia="黑体" w:hAnsi="黑体" w:cs="黑体" w:hint="eastAsia"/>
          <w:sz w:val="24"/>
          <w:szCs w:val="24"/>
        </w:rPr>
        <w:t>毕业要求7 环境和可持续发展】</w:t>
      </w:r>
    </w:p>
    <w:p w14:paraId="22527D9C"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7"/>
        <w:gridCol w:w="5670"/>
        <w:gridCol w:w="2032"/>
      </w:tblGrid>
      <w:tr w:rsidR="00D72FD2" w:rsidRPr="00D72FD2" w14:paraId="06F3C055" w14:textId="77777777" w:rsidTr="006B1C7F">
        <w:trPr>
          <w:trHeight w:val="815"/>
          <w:jc w:val="center"/>
        </w:trPr>
        <w:tc>
          <w:tcPr>
            <w:tcW w:w="1467" w:type="dxa"/>
            <w:vAlign w:val="center"/>
          </w:tcPr>
          <w:p w14:paraId="51A995E0" w14:textId="77777777" w:rsidR="00D72FD2" w:rsidRPr="00D72FD2" w:rsidRDefault="00D72FD2" w:rsidP="00D72FD2">
            <w:pPr>
              <w:spacing w:line="360" w:lineRule="auto"/>
              <w:jc w:val="center"/>
              <w:rPr>
                <w:rFonts w:ascii="宋体" w:eastAsia="宋体" w:hAnsi="宋体" w:cs="Times New Roman" w:hint="eastAsia"/>
                <w:b/>
                <w:sz w:val="24"/>
                <w:szCs w:val="24"/>
              </w:rPr>
            </w:pPr>
            <w:r w:rsidRPr="00D72FD2">
              <w:rPr>
                <w:rFonts w:ascii="宋体" w:eastAsia="宋体" w:hAnsi="宋体" w:cs="Times New Roman" w:hint="eastAsia"/>
                <w:b/>
                <w:sz w:val="24"/>
                <w:szCs w:val="24"/>
              </w:rPr>
              <w:lastRenderedPageBreak/>
              <w:t>毕业要求</w:t>
            </w:r>
          </w:p>
        </w:tc>
        <w:tc>
          <w:tcPr>
            <w:tcW w:w="5670" w:type="dxa"/>
            <w:vAlign w:val="center"/>
          </w:tcPr>
          <w:p w14:paraId="71E781CC" w14:textId="77777777" w:rsidR="00D72FD2" w:rsidRPr="00D72FD2" w:rsidRDefault="00D72FD2" w:rsidP="00D72FD2">
            <w:pPr>
              <w:spacing w:line="360" w:lineRule="auto"/>
              <w:jc w:val="center"/>
              <w:rPr>
                <w:rFonts w:ascii="宋体" w:eastAsia="宋体" w:hAnsi="宋体" w:cs="Times New Roman" w:hint="eastAsia"/>
                <w:b/>
                <w:sz w:val="24"/>
                <w:szCs w:val="24"/>
              </w:rPr>
            </w:pPr>
            <w:r w:rsidRPr="00D72FD2">
              <w:rPr>
                <w:rFonts w:ascii="宋体" w:eastAsia="宋体" w:hAnsi="宋体" w:cs="Times New Roman" w:hint="eastAsia"/>
                <w:b/>
                <w:sz w:val="24"/>
                <w:szCs w:val="24"/>
              </w:rPr>
              <w:t>毕业要求指标点</w:t>
            </w:r>
          </w:p>
        </w:tc>
        <w:tc>
          <w:tcPr>
            <w:tcW w:w="2032" w:type="dxa"/>
            <w:vAlign w:val="center"/>
          </w:tcPr>
          <w:p w14:paraId="596B5DA1" w14:textId="77777777" w:rsidR="00D72FD2" w:rsidRPr="00D72FD2" w:rsidRDefault="00D72FD2" w:rsidP="00D72FD2">
            <w:pPr>
              <w:spacing w:line="360" w:lineRule="auto"/>
              <w:jc w:val="center"/>
              <w:rPr>
                <w:rFonts w:ascii="宋体" w:eastAsia="宋体" w:hAnsi="宋体" w:cs="Times New Roman" w:hint="eastAsia"/>
                <w:b/>
                <w:sz w:val="24"/>
                <w:szCs w:val="24"/>
              </w:rPr>
            </w:pPr>
            <w:r w:rsidRPr="00D72FD2">
              <w:rPr>
                <w:rFonts w:ascii="宋体" w:eastAsia="宋体" w:hAnsi="宋体" w:cs="Times New Roman" w:hint="eastAsia"/>
                <w:b/>
                <w:sz w:val="24"/>
                <w:szCs w:val="24"/>
              </w:rPr>
              <w:t>课程目标</w:t>
            </w:r>
          </w:p>
        </w:tc>
      </w:tr>
      <w:tr w:rsidR="00D72FD2" w:rsidRPr="00D72FD2" w14:paraId="4C4BEB84" w14:textId="77777777" w:rsidTr="006B1C7F">
        <w:trPr>
          <w:jc w:val="center"/>
        </w:trPr>
        <w:tc>
          <w:tcPr>
            <w:tcW w:w="1467" w:type="dxa"/>
            <w:vAlign w:val="center"/>
          </w:tcPr>
          <w:p w14:paraId="5026445C" w14:textId="77777777" w:rsidR="00D72FD2" w:rsidRPr="00D72FD2" w:rsidRDefault="00D72FD2" w:rsidP="00D72FD2">
            <w:pPr>
              <w:spacing w:line="360" w:lineRule="auto"/>
              <w:jc w:val="left"/>
              <w:rPr>
                <w:rFonts w:ascii="宋体" w:eastAsia="宋体" w:hAnsi="宋体" w:cs="宋体" w:hint="eastAsia"/>
                <w:sz w:val="24"/>
                <w:szCs w:val="24"/>
              </w:rPr>
            </w:pPr>
            <w:r w:rsidRPr="00D72FD2">
              <w:rPr>
                <w:rFonts w:ascii="宋体" w:eastAsia="宋体" w:hAnsi="宋体" w:cs="宋体" w:hint="eastAsia"/>
                <w:color w:val="000000"/>
                <w:sz w:val="24"/>
                <w:szCs w:val="24"/>
              </w:rPr>
              <w:t>1 药学知识</w:t>
            </w:r>
          </w:p>
        </w:tc>
        <w:tc>
          <w:tcPr>
            <w:tcW w:w="5670" w:type="dxa"/>
            <w:vAlign w:val="center"/>
          </w:tcPr>
          <w:p w14:paraId="67196233" w14:textId="77777777" w:rsidR="00D72FD2" w:rsidRPr="00D72FD2" w:rsidRDefault="00D72FD2" w:rsidP="00D72FD2">
            <w:pPr>
              <w:spacing w:line="360" w:lineRule="auto"/>
              <w:jc w:val="left"/>
              <w:rPr>
                <w:rFonts w:ascii="宋体" w:eastAsia="宋体" w:hAnsi="宋体" w:cs="宋体" w:hint="eastAsia"/>
                <w:sz w:val="24"/>
                <w:szCs w:val="24"/>
              </w:rPr>
            </w:pPr>
            <w:r w:rsidRPr="00D72FD2">
              <w:rPr>
                <w:rFonts w:ascii="宋体" w:eastAsia="宋体" w:hAnsi="宋体" w:cs="宋体" w:hint="eastAsia"/>
                <w:color w:val="000000"/>
                <w:sz w:val="24"/>
                <w:szCs w:val="24"/>
              </w:rPr>
              <w:t>1.3 掌握药物分析、中药分析、体内药物分析、药剂学、药理学和药物化学等药学专业理论知识、科学研究方法和实验技能。</w:t>
            </w:r>
          </w:p>
        </w:tc>
        <w:tc>
          <w:tcPr>
            <w:tcW w:w="2032" w:type="dxa"/>
            <w:vAlign w:val="center"/>
          </w:tcPr>
          <w:p w14:paraId="53D92421" w14:textId="77777777" w:rsidR="00D72FD2" w:rsidRPr="00D72FD2" w:rsidRDefault="00D72FD2" w:rsidP="00D72FD2">
            <w:pPr>
              <w:widowControl/>
              <w:spacing w:line="360" w:lineRule="auto"/>
              <w:jc w:val="center"/>
              <w:rPr>
                <w:rFonts w:ascii="宋体" w:eastAsia="宋体" w:hAnsi="宋体" w:cs="宋体" w:hint="eastAsia"/>
                <w:bCs/>
                <w:sz w:val="24"/>
                <w:szCs w:val="24"/>
              </w:rPr>
            </w:pPr>
            <w:r w:rsidRPr="00D72FD2">
              <w:rPr>
                <w:rFonts w:ascii="宋体" w:eastAsia="宋体" w:hAnsi="宋体" w:cs="宋体" w:hint="eastAsia"/>
                <w:bCs/>
                <w:sz w:val="24"/>
                <w:szCs w:val="24"/>
              </w:rPr>
              <w:t>课程目标1</w:t>
            </w:r>
          </w:p>
        </w:tc>
      </w:tr>
      <w:tr w:rsidR="00D72FD2" w:rsidRPr="00D72FD2" w14:paraId="3FD79457" w14:textId="77777777" w:rsidTr="006B1C7F">
        <w:trPr>
          <w:jc w:val="center"/>
        </w:trPr>
        <w:tc>
          <w:tcPr>
            <w:tcW w:w="1467" w:type="dxa"/>
            <w:vAlign w:val="center"/>
          </w:tcPr>
          <w:p w14:paraId="17970584" w14:textId="77777777" w:rsidR="00D72FD2" w:rsidRPr="00D72FD2" w:rsidRDefault="00D72FD2" w:rsidP="00D72FD2">
            <w:pPr>
              <w:spacing w:line="360" w:lineRule="auto"/>
              <w:jc w:val="left"/>
              <w:rPr>
                <w:rFonts w:ascii="宋体" w:eastAsia="宋体" w:hAnsi="宋体" w:cs="宋体" w:hint="eastAsia"/>
                <w:sz w:val="24"/>
                <w:szCs w:val="24"/>
              </w:rPr>
            </w:pPr>
            <w:r w:rsidRPr="00D72FD2">
              <w:rPr>
                <w:rFonts w:ascii="宋体" w:eastAsia="宋体" w:hAnsi="宋体" w:cs="宋体" w:hint="eastAsia"/>
                <w:color w:val="000000"/>
                <w:sz w:val="24"/>
                <w:szCs w:val="24"/>
              </w:rPr>
              <w:t>6 药学与社会</w:t>
            </w:r>
          </w:p>
        </w:tc>
        <w:tc>
          <w:tcPr>
            <w:tcW w:w="5670" w:type="dxa"/>
            <w:vAlign w:val="center"/>
          </w:tcPr>
          <w:p w14:paraId="17BB5546" w14:textId="77777777" w:rsidR="00D72FD2" w:rsidRPr="00D72FD2" w:rsidRDefault="00D72FD2" w:rsidP="00D72FD2">
            <w:pPr>
              <w:spacing w:line="360" w:lineRule="auto"/>
              <w:jc w:val="left"/>
              <w:rPr>
                <w:rFonts w:ascii="宋体" w:eastAsia="宋体" w:hAnsi="宋体" w:cs="宋体" w:hint="eastAsia"/>
                <w:sz w:val="24"/>
                <w:szCs w:val="24"/>
              </w:rPr>
            </w:pPr>
            <w:r w:rsidRPr="00D72FD2">
              <w:rPr>
                <w:rFonts w:ascii="宋体" w:eastAsia="宋体" w:hAnsi="宋体" w:cs="宋体" w:hint="eastAsia"/>
                <w:color w:val="000000"/>
                <w:sz w:val="24"/>
                <w:szCs w:val="24"/>
              </w:rPr>
              <w:t>6.2 能够正确评价药物分析学相关问题的解决方案对社会、健康、安全、法律以及文化的影响，并理解应承担的责任。</w:t>
            </w:r>
          </w:p>
        </w:tc>
        <w:tc>
          <w:tcPr>
            <w:tcW w:w="2032" w:type="dxa"/>
            <w:vAlign w:val="center"/>
          </w:tcPr>
          <w:p w14:paraId="08C31A60" w14:textId="77777777" w:rsidR="00D72FD2" w:rsidRPr="00D72FD2" w:rsidRDefault="00D72FD2" w:rsidP="00D72FD2">
            <w:pPr>
              <w:widowControl/>
              <w:spacing w:line="360" w:lineRule="auto"/>
              <w:jc w:val="center"/>
              <w:rPr>
                <w:rFonts w:ascii="宋体" w:eastAsia="宋体" w:hAnsi="宋体" w:cs="宋体" w:hint="eastAsia"/>
                <w:bCs/>
                <w:sz w:val="24"/>
                <w:szCs w:val="24"/>
              </w:rPr>
            </w:pPr>
            <w:r w:rsidRPr="00D72FD2">
              <w:rPr>
                <w:rFonts w:ascii="宋体" w:eastAsia="宋体" w:hAnsi="宋体" w:cs="宋体" w:hint="eastAsia"/>
                <w:bCs/>
                <w:sz w:val="24"/>
                <w:szCs w:val="24"/>
              </w:rPr>
              <w:t>课程目标1</w:t>
            </w:r>
          </w:p>
        </w:tc>
      </w:tr>
      <w:tr w:rsidR="00D72FD2" w:rsidRPr="00D72FD2" w14:paraId="43ED7137" w14:textId="77777777" w:rsidTr="006B1C7F">
        <w:trPr>
          <w:jc w:val="center"/>
        </w:trPr>
        <w:tc>
          <w:tcPr>
            <w:tcW w:w="1467" w:type="dxa"/>
            <w:vAlign w:val="center"/>
          </w:tcPr>
          <w:p w14:paraId="4C62A1AD" w14:textId="77777777" w:rsidR="00D72FD2" w:rsidRPr="00D72FD2" w:rsidRDefault="00D72FD2" w:rsidP="00D72FD2">
            <w:pPr>
              <w:spacing w:line="360" w:lineRule="auto"/>
              <w:jc w:val="left"/>
              <w:rPr>
                <w:rFonts w:ascii="宋体" w:eastAsia="宋体" w:hAnsi="宋体" w:cs="宋体" w:hint="eastAsia"/>
                <w:sz w:val="24"/>
                <w:szCs w:val="24"/>
              </w:rPr>
            </w:pPr>
            <w:r w:rsidRPr="00D72FD2">
              <w:rPr>
                <w:rFonts w:ascii="宋体" w:eastAsia="宋体" w:hAnsi="宋体" w:cs="宋体" w:hint="eastAsia"/>
                <w:color w:val="000000"/>
                <w:sz w:val="24"/>
                <w:szCs w:val="24"/>
              </w:rPr>
              <w:t>7 环境和可持续发展</w:t>
            </w:r>
          </w:p>
        </w:tc>
        <w:tc>
          <w:tcPr>
            <w:tcW w:w="5670" w:type="dxa"/>
            <w:vAlign w:val="center"/>
          </w:tcPr>
          <w:p w14:paraId="7EE13C0A" w14:textId="77777777" w:rsidR="00D72FD2" w:rsidRPr="00D72FD2" w:rsidRDefault="00D72FD2" w:rsidP="00D72FD2">
            <w:pPr>
              <w:spacing w:line="360" w:lineRule="auto"/>
              <w:jc w:val="left"/>
              <w:rPr>
                <w:rFonts w:ascii="宋体" w:eastAsia="宋体" w:hAnsi="宋体" w:cs="宋体" w:hint="eastAsia"/>
                <w:sz w:val="24"/>
                <w:szCs w:val="24"/>
              </w:rPr>
            </w:pPr>
            <w:r w:rsidRPr="00D72FD2">
              <w:rPr>
                <w:rFonts w:ascii="宋体" w:eastAsia="宋体" w:hAnsi="宋体" w:cs="宋体" w:hint="eastAsia"/>
                <w:color w:val="000000"/>
                <w:sz w:val="24"/>
                <w:szCs w:val="24"/>
              </w:rPr>
              <w:t>7.1 熟悉药学行业中有关环境、社会可持续发展的相关标准、政策与法规，理解相关政策对环境、社会可持续发展的影响。</w:t>
            </w:r>
          </w:p>
        </w:tc>
        <w:tc>
          <w:tcPr>
            <w:tcW w:w="2032" w:type="dxa"/>
            <w:vAlign w:val="center"/>
          </w:tcPr>
          <w:p w14:paraId="21C955CE" w14:textId="77777777" w:rsidR="00D72FD2" w:rsidRPr="00D72FD2" w:rsidRDefault="00D72FD2" w:rsidP="00D72FD2">
            <w:pPr>
              <w:widowControl/>
              <w:spacing w:line="360" w:lineRule="auto"/>
              <w:jc w:val="center"/>
              <w:rPr>
                <w:rFonts w:ascii="宋体" w:eastAsia="宋体" w:hAnsi="宋体" w:cs="宋体" w:hint="eastAsia"/>
                <w:bCs/>
                <w:sz w:val="24"/>
                <w:szCs w:val="24"/>
              </w:rPr>
            </w:pPr>
            <w:r w:rsidRPr="00D72FD2">
              <w:rPr>
                <w:rFonts w:ascii="宋体" w:eastAsia="宋体" w:hAnsi="宋体" w:cs="宋体" w:hint="eastAsia"/>
                <w:bCs/>
                <w:sz w:val="24"/>
                <w:szCs w:val="24"/>
              </w:rPr>
              <w:t>课程目标2</w:t>
            </w:r>
          </w:p>
        </w:tc>
      </w:tr>
    </w:tbl>
    <w:p w14:paraId="071D195C"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sz w:val="28"/>
          <w:szCs w:val="28"/>
        </w:rPr>
        <w:t>三、课程学习内容及与课程学习目标的对应关系</w:t>
      </w:r>
    </w:p>
    <w:p w14:paraId="026291C0"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sz w:val="28"/>
          <w:szCs w:val="28"/>
        </w:rPr>
        <w:t>（一）课程学习内容</w:t>
      </w:r>
    </w:p>
    <w:p w14:paraId="1A7E367D"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sz w:val="28"/>
          <w:szCs w:val="28"/>
        </w:rPr>
      </w:pPr>
      <w:r w:rsidRPr="00D72FD2">
        <w:rPr>
          <w:rFonts w:ascii="黑体" w:eastAsia="黑体" w:hAnsi="黑体" w:cs="Times New Roman"/>
          <w:sz w:val="28"/>
          <w:szCs w:val="28"/>
        </w:rPr>
        <w:t>第一章  总论 中药的起源和中药学的发展</w:t>
      </w:r>
    </w:p>
    <w:p w14:paraId="76FD14AE"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【学习目标】</w:t>
      </w:r>
    </w:p>
    <w:p w14:paraId="660F3BB0" w14:textId="77777777" w:rsidR="00D72FD2" w:rsidRPr="00D72FD2" w:rsidRDefault="00D72FD2">
      <w:pPr>
        <w:numPr>
          <w:ilvl w:val="0"/>
          <w:numId w:val="283"/>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掌握中药、本草、中药学的含义。【课程目标1】</w:t>
      </w:r>
    </w:p>
    <w:p w14:paraId="7171BF1A" w14:textId="77777777" w:rsidR="00D72FD2" w:rsidRPr="00D72FD2" w:rsidRDefault="00D72FD2">
      <w:pPr>
        <w:numPr>
          <w:ilvl w:val="0"/>
          <w:numId w:val="283"/>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了解中药学的起源和发展概况，着重了解历代本草学的主要成就及其代表作。【课程目标1】</w:t>
      </w:r>
    </w:p>
    <w:p w14:paraId="33BD456D"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【学习内容】</w:t>
      </w:r>
    </w:p>
    <w:p w14:paraId="7F1D3F89"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 中药及中药学、本草的含义</w:t>
      </w:r>
    </w:p>
    <w:p w14:paraId="201B5BEA"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中药的起源和中药学的发展，历代本草学的主要成就及其代表作</w:t>
      </w:r>
    </w:p>
    <w:p w14:paraId="54A1DE46" w14:textId="77777777" w:rsidR="00D72FD2" w:rsidRPr="00D72FD2" w:rsidRDefault="00D72FD2" w:rsidP="00D72FD2">
      <w:pPr>
        <w:spacing w:line="440" w:lineRule="exact"/>
        <w:ind w:firstLineChars="200" w:firstLine="482"/>
        <w:rPr>
          <w:rFonts w:ascii="宋体" w:eastAsia="宋体" w:hAnsi="宋体" w:cs="Times New Roman"/>
          <w:b/>
          <w:bCs/>
          <w:sz w:val="24"/>
          <w:szCs w:val="24"/>
        </w:rPr>
      </w:pPr>
      <w:r w:rsidRPr="00D72FD2">
        <w:rPr>
          <w:rFonts w:ascii="宋体" w:eastAsia="宋体" w:hAnsi="宋体" w:cs="Times New Roman"/>
          <w:b/>
          <w:bCs/>
          <w:sz w:val="24"/>
          <w:szCs w:val="24"/>
        </w:rPr>
        <w:t>【重点】</w:t>
      </w:r>
      <w:bookmarkStart w:id="280" w:name="_Hlk52785462"/>
    </w:p>
    <w:p w14:paraId="60D8FB18"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中药、中药学、本草的含义</w:t>
      </w:r>
      <w:bookmarkEnd w:id="280"/>
    </w:p>
    <w:p w14:paraId="7F25B57C" w14:textId="77777777" w:rsidR="00D72FD2" w:rsidRPr="00D72FD2" w:rsidRDefault="00D72FD2" w:rsidP="00D72FD2">
      <w:pPr>
        <w:spacing w:line="440" w:lineRule="exact"/>
        <w:ind w:firstLineChars="200" w:firstLine="482"/>
        <w:rPr>
          <w:rFonts w:ascii="宋体" w:eastAsia="宋体" w:hAnsi="宋体" w:cs="Times New Roman"/>
          <w:b/>
          <w:bCs/>
          <w:sz w:val="24"/>
          <w:szCs w:val="24"/>
        </w:rPr>
      </w:pPr>
      <w:r w:rsidRPr="00D72FD2">
        <w:rPr>
          <w:rFonts w:ascii="宋体" w:eastAsia="宋体" w:hAnsi="宋体" w:cs="Times New Roman"/>
          <w:b/>
          <w:bCs/>
          <w:sz w:val="24"/>
          <w:szCs w:val="24"/>
        </w:rPr>
        <w:t>【难点】</w:t>
      </w:r>
    </w:p>
    <w:p w14:paraId="64B05A38"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历代本草学的主要成就及其代表作</w:t>
      </w:r>
    </w:p>
    <w:p w14:paraId="5C820011" w14:textId="77777777" w:rsidR="00D72FD2" w:rsidRPr="00D72FD2" w:rsidRDefault="00D72FD2" w:rsidP="00D72FD2">
      <w:pPr>
        <w:spacing w:line="440" w:lineRule="exact"/>
        <w:ind w:firstLineChars="200" w:firstLine="482"/>
        <w:rPr>
          <w:rFonts w:ascii="宋体" w:eastAsia="宋体" w:hAnsi="宋体" w:cs="Times New Roman"/>
          <w:b/>
          <w:bCs/>
          <w:sz w:val="24"/>
          <w:szCs w:val="24"/>
        </w:rPr>
      </w:pPr>
      <w:r w:rsidRPr="00D72FD2">
        <w:rPr>
          <w:rFonts w:ascii="宋体" w:eastAsia="宋体" w:hAnsi="宋体" w:cs="Times New Roman"/>
          <w:b/>
          <w:bCs/>
          <w:sz w:val="24"/>
          <w:szCs w:val="24"/>
        </w:rPr>
        <w:t>【教学方法】</w:t>
      </w:r>
    </w:p>
    <w:p w14:paraId="02497155" w14:textId="77777777" w:rsidR="00D72FD2" w:rsidRPr="00D72FD2" w:rsidRDefault="00D72FD2">
      <w:pPr>
        <w:numPr>
          <w:ilvl w:val="0"/>
          <w:numId w:val="284"/>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通过多媒体课件和传统教学相结合，阐明课程与教学基本原理，丰富学生课程与教学的基本知识结构，培养学生的职业规范；</w:t>
      </w:r>
    </w:p>
    <w:p w14:paraId="568D8599" w14:textId="77777777" w:rsidR="00D72FD2" w:rsidRPr="00D72FD2" w:rsidRDefault="00D72FD2">
      <w:pPr>
        <w:numPr>
          <w:ilvl w:val="0"/>
          <w:numId w:val="284"/>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采用课前学习课堂汇报的方法，通过安排学生提前预习，在课上派代表台上汇</w:t>
      </w:r>
      <w:r w:rsidRPr="00D72FD2">
        <w:rPr>
          <w:rFonts w:ascii="宋体" w:eastAsia="宋体" w:hAnsi="宋体" w:cs="Times New Roman"/>
          <w:sz w:val="24"/>
          <w:szCs w:val="24"/>
        </w:rPr>
        <w:lastRenderedPageBreak/>
        <w:t>报，培养学生自主学习、独立思考的</w:t>
      </w:r>
      <w:proofErr w:type="gramStart"/>
      <w:r w:rsidRPr="00D72FD2">
        <w:rPr>
          <w:rFonts w:ascii="宋体" w:eastAsia="宋体" w:hAnsi="宋体" w:cs="Times New Roman"/>
          <w:sz w:val="24"/>
          <w:szCs w:val="24"/>
        </w:rPr>
        <w:t>的</w:t>
      </w:r>
      <w:proofErr w:type="gramEnd"/>
      <w:r w:rsidRPr="00D72FD2">
        <w:rPr>
          <w:rFonts w:ascii="宋体" w:eastAsia="宋体" w:hAnsi="宋体" w:cs="Times New Roman"/>
          <w:sz w:val="24"/>
          <w:szCs w:val="24"/>
        </w:rPr>
        <w:t>精神，强化学生对知识学习的应用意识，提升学生的教学技能。</w:t>
      </w:r>
    </w:p>
    <w:p w14:paraId="0E4B0F83"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【复习思考】</w:t>
      </w:r>
    </w:p>
    <w:p w14:paraId="709EBF4C" w14:textId="77777777" w:rsidR="00D72FD2" w:rsidRPr="00D72FD2" w:rsidRDefault="00D72FD2">
      <w:pPr>
        <w:numPr>
          <w:ilvl w:val="0"/>
          <w:numId w:val="285"/>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中药、中药学、本草的含义</w:t>
      </w:r>
    </w:p>
    <w:p w14:paraId="151DB4FB" w14:textId="77777777" w:rsidR="00D72FD2" w:rsidRPr="00D72FD2" w:rsidRDefault="00D72FD2">
      <w:pPr>
        <w:numPr>
          <w:ilvl w:val="0"/>
          <w:numId w:val="285"/>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历代本草代表作</w:t>
      </w:r>
    </w:p>
    <w:p w14:paraId="2FB4CA17"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sz w:val="28"/>
          <w:szCs w:val="28"/>
        </w:rPr>
      </w:pPr>
      <w:r w:rsidRPr="00D72FD2">
        <w:rPr>
          <w:rFonts w:ascii="黑体" w:eastAsia="黑体" w:hAnsi="黑体" w:cs="Times New Roman"/>
          <w:sz w:val="28"/>
          <w:szCs w:val="28"/>
        </w:rPr>
        <w:t>第二章  中药的产地和采集</w:t>
      </w:r>
    </w:p>
    <w:p w14:paraId="45B9A414"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【学习目标】</w:t>
      </w:r>
    </w:p>
    <w:p w14:paraId="7DD8774B" w14:textId="77777777" w:rsidR="00D72FD2" w:rsidRPr="00D72FD2" w:rsidRDefault="00D72FD2">
      <w:pPr>
        <w:numPr>
          <w:ilvl w:val="0"/>
          <w:numId w:val="286"/>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掌握道地药材的含义。【课程目标1】</w:t>
      </w:r>
    </w:p>
    <w:p w14:paraId="746564E4" w14:textId="77777777" w:rsidR="00D72FD2" w:rsidRPr="00D72FD2" w:rsidRDefault="00D72FD2">
      <w:pPr>
        <w:numPr>
          <w:ilvl w:val="0"/>
          <w:numId w:val="286"/>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了解中药的产地与药效的关系，以及在保证药效的前提下如何发展药材生产以适应临床用药的需要；适时采集中药与药效的关系，以及不同药用部分的一般采收原则。【课程目标1、2】</w:t>
      </w:r>
    </w:p>
    <w:p w14:paraId="70DC675A"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【学习内容】</w:t>
      </w:r>
    </w:p>
    <w:p w14:paraId="5275D085"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 中药的产地，道地药材</w:t>
      </w:r>
    </w:p>
    <w:p w14:paraId="0CCD5CA8"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中药的采集</w:t>
      </w:r>
    </w:p>
    <w:p w14:paraId="3D684072"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【重点】</w:t>
      </w:r>
    </w:p>
    <w:p w14:paraId="637D1DB8"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道地药材的概念</w:t>
      </w:r>
    </w:p>
    <w:p w14:paraId="51EA008C"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【难点】</w:t>
      </w:r>
    </w:p>
    <w:p w14:paraId="1923D97F"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不同药用部分的一般采收原则</w:t>
      </w:r>
    </w:p>
    <w:p w14:paraId="0F5BA06D" w14:textId="77777777" w:rsidR="00D72FD2" w:rsidRPr="00D72FD2" w:rsidRDefault="00D72FD2" w:rsidP="00D72FD2">
      <w:pPr>
        <w:spacing w:line="440" w:lineRule="exact"/>
        <w:ind w:firstLineChars="200" w:firstLine="482"/>
        <w:rPr>
          <w:rFonts w:ascii="Times New Roman" w:eastAsia="宋体" w:hAnsi="Times New Roman" w:cs="Times New Roman" w:hint="eastAsia"/>
          <w:sz w:val="24"/>
          <w:szCs w:val="24"/>
        </w:rPr>
      </w:pPr>
      <w:r w:rsidRPr="00D72FD2">
        <w:rPr>
          <w:rFonts w:ascii="宋体" w:eastAsia="宋体" w:hAnsi="宋体" w:cs="Times New Roman" w:hint="eastAsia"/>
          <w:b/>
          <w:bCs/>
          <w:sz w:val="24"/>
          <w:szCs w:val="24"/>
        </w:rPr>
        <w:t>【教学方法】</w:t>
      </w:r>
    </w:p>
    <w:p w14:paraId="49262D6B"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 通过多媒体课件和传统教学相结合，阐明课程与教学基本原理，丰富学生课程与教学的基本知识结构，培养学生的职业规范；</w:t>
      </w:r>
    </w:p>
    <w:p w14:paraId="58A94812"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采用以问题为导向的探究式教学法，通过问题聚焦，让学生自行查阅资料，同学相互交流，教师适时点拨，学生独立完成调研报告等形式，进一步理解与掌握相关的理论知识，培养学生分析问题、解决问题的能力。</w:t>
      </w:r>
    </w:p>
    <w:p w14:paraId="713ED173"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【复习思考】</w:t>
      </w:r>
    </w:p>
    <w:p w14:paraId="11F60CBC"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 什么是道地药材</w:t>
      </w:r>
    </w:p>
    <w:p w14:paraId="275347C3"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不同用药部分的一般采收原则</w:t>
      </w:r>
    </w:p>
    <w:p w14:paraId="40F4D7E9"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sz w:val="28"/>
          <w:szCs w:val="28"/>
        </w:rPr>
      </w:pPr>
      <w:r w:rsidRPr="00D72FD2">
        <w:rPr>
          <w:rFonts w:ascii="黑体" w:eastAsia="黑体" w:hAnsi="黑体" w:cs="Times New Roman"/>
          <w:sz w:val="28"/>
          <w:szCs w:val="28"/>
        </w:rPr>
        <w:t>第三章  中药的炮制</w:t>
      </w:r>
    </w:p>
    <w:p w14:paraId="0C0BD7D8"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【学习目标】</w:t>
      </w:r>
    </w:p>
    <w:p w14:paraId="3D6436E9" w14:textId="77777777" w:rsidR="00D72FD2" w:rsidRPr="00D72FD2" w:rsidRDefault="00D72FD2">
      <w:pPr>
        <w:numPr>
          <w:ilvl w:val="0"/>
          <w:numId w:val="287"/>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掌握中药炮制的含义、目的。【课程目标1】</w:t>
      </w:r>
    </w:p>
    <w:p w14:paraId="489B6063" w14:textId="77777777" w:rsidR="00D72FD2" w:rsidRPr="00D72FD2" w:rsidRDefault="00D72FD2">
      <w:pPr>
        <w:numPr>
          <w:ilvl w:val="0"/>
          <w:numId w:val="287"/>
        </w:numPr>
        <w:spacing w:line="440" w:lineRule="exact"/>
        <w:ind w:firstLineChars="200" w:firstLine="480"/>
        <w:rPr>
          <w:rFonts w:ascii="宋体" w:eastAsia="宋体" w:hAnsi="宋体" w:cs="Times New Roman"/>
          <w:sz w:val="24"/>
          <w:szCs w:val="24"/>
        </w:rPr>
      </w:pPr>
      <w:proofErr w:type="gramStart"/>
      <w:r w:rsidRPr="00D72FD2">
        <w:rPr>
          <w:rFonts w:ascii="宋体" w:eastAsia="宋体" w:hAnsi="宋体" w:cs="Times New Roman"/>
          <w:sz w:val="24"/>
          <w:szCs w:val="24"/>
        </w:rPr>
        <w:lastRenderedPageBreak/>
        <w:t>熟悉火</w:t>
      </w:r>
      <w:proofErr w:type="gramEnd"/>
      <w:r w:rsidRPr="00D72FD2">
        <w:rPr>
          <w:rFonts w:ascii="宋体" w:eastAsia="宋体" w:hAnsi="宋体" w:cs="Times New Roman"/>
          <w:sz w:val="24"/>
          <w:szCs w:val="24"/>
        </w:rPr>
        <w:t>制法的常用炮制方法。【课程目标2】</w:t>
      </w:r>
    </w:p>
    <w:p w14:paraId="0BCD8458" w14:textId="77777777" w:rsidR="00D72FD2" w:rsidRPr="00D72FD2" w:rsidRDefault="00D72FD2">
      <w:pPr>
        <w:numPr>
          <w:ilvl w:val="0"/>
          <w:numId w:val="287"/>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了解炮制的方法及其作用。【课程目标2】</w:t>
      </w:r>
    </w:p>
    <w:p w14:paraId="665AD74B"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【学习内容】</w:t>
      </w:r>
    </w:p>
    <w:p w14:paraId="46024258"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 炮制的目的</w:t>
      </w:r>
    </w:p>
    <w:p w14:paraId="5FB80B99"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炮制的方法</w:t>
      </w:r>
    </w:p>
    <w:p w14:paraId="32A1E06C"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【重点】</w:t>
      </w:r>
    </w:p>
    <w:p w14:paraId="072B6209"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中药炮制和含义以及目的</w:t>
      </w:r>
    </w:p>
    <w:p w14:paraId="265C9BBC"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【难点】</w:t>
      </w:r>
    </w:p>
    <w:p w14:paraId="49CF3212"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炮制的主要方法</w:t>
      </w:r>
    </w:p>
    <w:p w14:paraId="2CC0ADEA"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【教学方法】</w:t>
      </w:r>
    </w:p>
    <w:p w14:paraId="76DCA785"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 通过多媒体课件和传统教学相结合，阐明课程与教学基本原理，丰富学生课程与教学的基本知识结构，培养学生的职业规范；</w:t>
      </w:r>
    </w:p>
    <w:p w14:paraId="0A139E65"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 xml:space="preserve">2. 采用类比式教学法，可以将设备类型与工厂设备实例相类比，从而使要讲授的内容变得通俗易懂, 容易接受，培养学生举一反三、触类旁通的学习能力。 </w:t>
      </w:r>
    </w:p>
    <w:p w14:paraId="2DB02C95"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【复习思考】</w:t>
      </w:r>
    </w:p>
    <w:p w14:paraId="5AAB2A31"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 中药炮制的含义</w:t>
      </w:r>
    </w:p>
    <w:p w14:paraId="737E8060"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中药炮制的方法</w:t>
      </w:r>
    </w:p>
    <w:p w14:paraId="570FD643"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sz w:val="28"/>
          <w:szCs w:val="28"/>
        </w:rPr>
      </w:pPr>
      <w:r w:rsidRPr="00D72FD2">
        <w:rPr>
          <w:rFonts w:ascii="黑体" w:eastAsia="黑体" w:hAnsi="黑体" w:cs="Times New Roman"/>
          <w:sz w:val="28"/>
          <w:szCs w:val="28"/>
        </w:rPr>
        <w:t>第四章  中药的性能</w:t>
      </w:r>
    </w:p>
    <w:p w14:paraId="159BBE0E"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【学习目标】</w:t>
      </w:r>
    </w:p>
    <w:p w14:paraId="12D6E047" w14:textId="77777777" w:rsidR="00D72FD2" w:rsidRPr="00D72FD2" w:rsidRDefault="00D72FD2">
      <w:pPr>
        <w:numPr>
          <w:ilvl w:val="0"/>
          <w:numId w:val="288"/>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掌握中药性能理论的含义及中药治病的基本原理。【课程目标1】</w:t>
      </w:r>
    </w:p>
    <w:p w14:paraId="5866B851" w14:textId="77777777" w:rsidR="00D72FD2" w:rsidRPr="00D72FD2" w:rsidRDefault="00D72FD2">
      <w:pPr>
        <w:numPr>
          <w:ilvl w:val="0"/>
          <w:numId w:val="288"/>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熟悉四气、五味、升降浮沉、归经、毒性的含义及其对临床用药的指导意义。了解升降浮沉与药物性味、质地的关系；影响升降浮沉的因素；应用有毒药物的注意事项。【课程目标1】</w:t>
      </w:r>
    </w:p>
    <w:p w14:paraId="77B9E1ED"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【学习内容】</w:t>
      </w:r>
    </w:p>
    <w:p w14:paraId="311D2D85"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 四气</w:t>
      </w:r>
    </w:p>
    <w:p w14:paraId="47681ADC"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五味</w:t>
      </w:r>
    </w:p>
    <w:p w14:paraId="7FDB5810"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3. 升降浮沉</w:t>
      </w:r>
    </w:p>
    <w:p w14:paraId="1CCE5E78"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4. 归经</w:t>
      </w:r>
    </w:p>
    <w:p w14:paraId="340AD06D"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5. 毒性</w:t>
      </w:r>
    </w:p>
    <w:p w14:paraId="1DEAAD3B"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【重点】</w:t>
      </w:r>
    </w:p>
    <w:p w14:paraId="4F047CC9"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中药的性能、四气、五味、升降浮沉、归经、毒性，四气的作用及临床意义和五</w:t>
      </w:r>
      <w:r w:rsidRPr="00D72FD2">
        <w:rPr>
          <w:rFonts w:ascii="宋体" w:eastAsia="宋体" w:hAnsi="宋体" w:cs="Times New Roman"/>
          <w:sz w:val="24"/>
          <w:szCs w:val="24"/>
        </w:rPr>
        <w:lastRenderedPageBreak/>
        <w:t>味的作用及临床意义。</w:t>
      </w:r>
    </w:p>
    <w:p w14:paraId="7A340861"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【难点】</w:t>
      </w:r>
    </w:p>
    <w:p w14:paraId="39325784"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四气、五味理论对临床用药的指导意义</w:t>
      </w:r>
    </w:p>
    <w:p w14:paraId="5B543A8B"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【教学方法】</w:t>
      </w:r>
    </w:p>
    <w:p w14:paraId="4956CD4C" w14:textId="77777777" w:rsidR="00D72FD2" w:rsidRPr="00D72FD2" w:rsidRDefault="00D72FD2">
      <w:pPr>
        <w:numPr>
          <w:ilvl w:val="0"/>
          <w:numId w:val="289"/>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通过多媒体课件和传统教学相结合，阐明课程与教学基本原理，丰富学生课程与教学的基本知识结构，培养学生的职业规范；</w:t>
      </w:r>
    </w:p>
    <w:p w14:paraId="220EBE8B"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【复习思考】</w:t>
      </w:r>
    </w:p>
    <w:p w14:paraId="2AB09D7C" w14:textId="77777777" w:rsidR="00D72FD2" w:rsidRPr="00D72FD2" w:rsidRDefault="00D72FD2">
      <w:pPr>
        <w:numPr>
          <w:ilvl w:val="0"/>
          <w:numId w:val="290"/>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四气、五味、升降浮沉、归经、毒性的定义和临床意义</w:t>
      </w:r>
    </w:p>
    <w:p w14:paraId="5496605C"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sz w:val="28"/>
          <w:szCs w:val="28"/>
        </w:rPr>
      </w:pPr>
      <w:r w:rsidRPr="00D72FD2">
        <w:rPr>
          <w:rFonts w:ascii="黑体" w:eastAsia="黑体" w:hAnsi="黑体" w:cs="Times New Roman"/>
          <w:sz w:val="28"/>
          <w:szCs w:val="28"/>
        </w:rPr>
        <w:t>第五章  中药的配伍</w:t>
      </w:r>
    </w:p>
    <w:p w14:paraId="27FB79BF"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【学习目标】</w:t>
      </w:r>
    </w:p>
    <w:p w14:paraId="757A636F" w14:textId="77777777" w:rsidR="00D72FD2" w:rsidRPr="00D72FD2" w:rsidRDefault="00D72FD2">
      <w:pPr>
        <w:numPr>
          <w:ilvl w:val="0"/>
          <w:numId w:val="291"/>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掌握配伍的含义、目的及药物“七情”的含义。【课程目标1】</w:t>
      </w:r>
    </w:p>
    <w:p w14:paraId="73458B5D" w14:textId="77777777" w:rsidR="00D72FD2" w:rsidRPr="00D72FD2" w:rsidRDefault="00D72FD2">
      <w:pPr>
        <w:numPr>
          <w:ilvl w:val="0"/>
          <w:numId w:val="291"/>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了解药物“七情”指导临床用药的意义。【课程目标2】</w:t>
      </w:r>
    </w:p>
    <w:p w14:paraId="4E005A4F"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【学习内容】</w:t>
      </w:r>
    </w:p>
    <w:p w14:paraId="7E955559"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 配伍</w:t>
      </w:r>
    </w:p>
    <w:p w14:paraId="41F83091"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七情</w:t>
      </w:r>
    </w:p>
    <w:p w14:paraId="696C009E"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【重点】</w:t>
      </w:r>
    </w:p>
    <w:p w14:paraId="6F609459"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配伍的含义，中药的配伍关系。</w:t>
      </w:r>
    </w:p>
    <w:p w14:paraId="67280A33"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【难点】</w:t>
      </w:r>
    </w:p>
    <w:p w14:paraId="061C27B7"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药物“七情”的意义。</w:t>
      </w:r>
    </w:p>
    <w:p w14:paraId="012C3B27"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【教学方法】</w:t>
      </w:r>
    </w:p>
    <w:p w14:paraId="18E5E5F7" w14:textId="77777777" w:rsidR="00D72FD2" w:rsidRPr="00D72FD2" w:rsidRDefault="00D72FD2">
      <w:pPr>
        <w:numPr>
          <w:ilvl w:val="0"/>
          <w:numId w:val="292"/>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通过多媒体课件和传统教学相结合，阐明课程与教学基本原理，丰富学生课程与教学的基本知识结构，培养学生的职业规范；</w:t>
      </w:r>
    </w:p>
    <w:p w14:paraId="46B4014F"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【复习思考】</w:t>
      </w:r>
    </w:p>
    <w:p w14:paraId="02A30B1B"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 配伍的含义和目的</w:t>
      </w:r>
    </w:p>
    <w:p w14:paraId="43EDCD0C"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药物“七情”的含义和指导意义</w:t>
      </w:r>
    </w:p>
    <w:p w14:paraId="14E00EB8"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sz w:val="28"/>
          <w:szCs w:val="28"/>
        </w:rPr>
      </w:pPr>
      <w:r w:rsidRPr="00D72FD2">
        <w:rPr>
          <w:rFonts w:ascii="黑体" w:eastAsia="黑体" w:hAnsi="黑体" w:cs="Times New Roman"/>
          <w:sz w:val="28"/>
          <w:szCs w:val="28"/>
        </w:rPr>
        <w:t>第六章  中药的用药禁忌</w:t>
      </w:r>
    </w:p>
    <w:p w14:paraId="72A16CA7"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【学习目标】</w:t>
      </w:r>
    </w:p>
    <w:p w14:paraId="35D22B45" w14:textId="77777777" w:rsidR="00D72FD2" w:rsidRPr="00D72FD2" w:rsidRDefault="00D72FD2">
      <w:pPr>
        <w:numPr>
          <w:ilvl w:val="0"/>
          <w:numId w:val="293"/>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  “十八反”、“十九畏”。【课程目标1】</w:t>
      </w:r>
    </w:p>
    <w:p w14:paraId="5AD2BF6B" w14:textId="77777777" w:rsidR="00D72FD2" w:rsidRPr="00D72FD2" w:rsidRDefault="00D72FD2">
      <w:pPr>
        <w:numPr>
          <w:ilvl w:val="0"/>
          <w:numId w:val="293"/>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熟悉配伍禁忌的含义，了解病证用药禁忌、配伍用药禁忌和妊娠用药禁忌。【课程目标2】</w:t>
      </w:r>
    </w:p>
    <w:p w14:paraId="62066567" w14:textId="77777777" w:rsidR="00D72FD2" w:rsidRPr="00D72FD2" w:rsidRDefault="00D72FD2">
      <w:pPr>
        <w:numPr>
          <w:ilvl w:val="0"/>
          <w:numId w:val="293"/>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lastRenderedPageBreak/>
        <w:t>了解服药时的饮食禁忌。【课程目标2】</w:t>
      </w:r>
    </w:p>
    <w:p w14:paraId="2A6D1216"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【学习内容】</w:t>
      </w:r>
    </w:p>
    <w:p w14:paraId="355B9E86"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 配伍禁忌</w:t>
      </w:r>
    </w:p>
    <w:p w14:paraId="16DD4DEE"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妊娠用药禁忌</w:t>
      </w:r>
    </w:p>
    <w:p w14:paraId="43034F5E"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3. 服药时的饮食禁忌</w:t>
      </w:r>
    </w:p>
    <w:p w14:paraId="7108B3EB"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【重点】</w:t>
      </w:r>
    </w:p>
    <w:p w14:paraId="75EB385A"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“十八反”、“十九畏”的具体内容</w:t>
      </w:r>
    </w:p>
    <w:p w14:paraId="5BDDC9CF"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【难点】</w:t>
      </w:r>
    </w:p>
    <w:p w14:paraId="6693E071"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“十八反”、“十九畏”的具体内容</w:t>
      </w:r>
    </w:p>
    <w:p w14:paraId="52162B83"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【教学方法】</w:t>
      </w:r>
    </w:p>
    <w:p w14:paraId="37901FF9" w14:textId="77777777" w:rsidR="00D72FD2" w:rsidRPr="00D72FD2" w:rsidRDefault="00D72FD2">
      <w:pPr>
        <w:numPr>
          <w:ilvl w:val="0"/>
          <w:numId w:val="294"/>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通过多媒体课件和传统教学相结合，阐明课程与教学基本原理，丰富学生课程与教学的基本知识结构，培养学生的职业规范；</w:t>
      </w:r>
    </w:p>
    <w:p w14:paraId="2F277610" w14:textId="77777777" w:rsidR="00D72FD2" w:rsidRPr="00D72FD2" w:rsidRDefault="00D72FD2">
      <w:pPr>
        <w:numPr>
          <w:ilvl w:val="0"/>
          <w:numId w:val="294"/>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采用类比式教学法，使要讲授的内容变得通俗易懂, 容易接受，培养学生举一反三、触类旁通的学习能力。</w:t>
      </w:r>
    </w:p>
    <w:p w14:paraId="17E91F27"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【复习思考】</w:t>
      </w:r>
    </w:p>
    <w:p w14:paraId="655CDEC0"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 “十八反”、“十九畏”的具体内容</w:t>
      </w:r>
    </w:p>
    <w:p w14:paraId="36DA65CF"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sz w:val="28"/>
          <w:szCs w:val="28"/>
        </w:rPr>
      </w:pPr>
      <w:r w:rsidRPr="00D72FD2">
        <w:rPr>
          <w:rFonts w:ascii="黑体" w:eastAsia="黑体" w:hAnsi="黑体" w:cs="Times New Roman"/>
          <w:sz w:val="28"/>
          <w:szCs w:val="28"/>
        </w:rPr>
        <w:t>第七章  用药剂量与用法</w:t>
      </w:r>
    </w:p>
    <w:p w14:paraId="73808BEA"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【学习目标】</w:t>
      </w:r>
    </w:p>
    <w:p w14:paraId="2584886B" w14:textId="77777777" w:rsidR="00D72FD2" w:rsidRPr="00D72FD2" w:rsidRDefault="00D72FD2">
      <w:pPr>
        <w:numPr>
          <w:ilvl w:val="0"/>
          <w:numId w:val="295"/>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熟悉剂量的含义及确定剂量的因素。 熟悉剂量与药效的关系。【课程目标1】</w:t>
      </w:r>
    </w:p>
    <w:p w14:paraId="687246D0" w14:textId="77777777" w:rsidR="00D72FD2" w:rsidRPr="00D72FD2" w:rsidRDefault="00D72FD2">
      <w:pPr>
        <w:numPr>
          <w:ilvl w:val="0"/>
          <w:numId w:val="295"/>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了解中药的常用给药途径、应用形式、煎煮方法及服药方法。【课程目标2】</w:t>
      </w:r>
    </w:p>
    <w:p w14:paraId="03138085"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【学习内容】</w:t>
      </w:r>
    </w:p>
    <w:p w14:paraId="1E361176"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 中药的用药剂量</w:t>
      </w:r>
    </w:p>
    <w:p w14:paraId="1B48969E"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中药的用法</w:t>
      </w:r>
    </w:p>
    <w:p w14:paraId="4AC6DF19"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【重点】</w:t>
      </w:r>
    </w:p>
    <w:p w14:paraId="4A69A8A9"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药物、应用、患者三方面对用药剂量的影响</w:t>
      </w:r>
    </w:p>
    <w:p w14:paraId="5278286C"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【难点】</w:t>
      </w:r>
    </w:p>
    <w:p w14:paraId="66B38695"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药物、应用、患者三方面对用药剂量的影响</w:t>
      </w:r>
    </w:p>
    <w:p w14:paraId="103EE9AF"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【教学方法】</w:t>
      </w:r>
    </w:p>
    <w:p w14:paraId="58979319" w14:textId="77777777" w:rsidR="00D72FD2" w:rsidRPr="00D72FD2" w:rsidRDefault="00D72FD2">
      <w:pPr>
        <w:numPr>
          <w:ilvl w:val="0"/>
          <w:numId w:val="296"/>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通过多媒体课件和传统教学相结合，阐明课程与教学基本原理，丰富学生课程与教学的基本知识结构，培养学生的职业规范；</w:t>
      </w:r>
    </w:p>
    <w:p w14:paraId="49F30C95" w14:textId="77777777" w:rsidR="00D72FD2" w:rsidRPr="00D72FD2" w:rsidRDefault="00D72FD2">
      <w:pPr>
        <w:numPr>
          <w:ilvl w:val="0"/>
          <w:numId w:val="296"/>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采用以问题为导向的探究式教学法，通过问题聚焦，让学生自行查阅资料，同</w:t>
      </w:r>
      <w:r w:rsidRPr="00D72FD2">
        <w:rPr>
          <w:rFonts w:ascii="宋体" w:eastAsia="宋体" w:hAnsi="宋体" w:cs="Times New Roman"/>
          <w:sz w:val="24"/>
          <w:szCs w:val="24"/>
        </w:rPr>
        <w:lastRenderedPageBreak/>
        <w:t>学相互交流，教师适时点拨，学生独立完成调研报告等形式，进一步理解与掌握相关的理论知识，培养学生分析问题、解决问题的能力。</w:t>
      </w:r>
    </w:p>
    <w:p w14:paraId="0C369C8E"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【复习思考】</w:t>
      </w:r>
    </w:p>
    <w:p w14:paraId="2620A0B2" w14:textId="77777777" w:rsidR="00D72FD2" w:rsidRPr="00D72FD2" w:rsidRDefault="00D72FD2">
      <w:pPr>
        <w:numPr>
          <w:ilvl w:val="0"/>
          <w:numId w:val="297"/>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剂量的含义及确定剂量的因素</w:t>
      </w:r>
    </w:p>
    <w:p w14:paraId="4CC18D7A" w14:textId="77777777" w:rsidR="00D72FD2" w:rsidRPr="00D72FD2" w:rsidRDefault="00D72FD2">
      <w:pPr>
        <w:numPr>
          <w:ilvl w:val="0"/>
          <w:numId w:val="297"/>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剂量与药效的关系</w:t>
      </w:r>
    </w:p>
    <w:p w14:paraId="385D5FBB"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sz w:val="28"/>
          <w:szCs w:val="28"/>
        </w:rPr>
      </w:pPr>
      <w:r w:rsidRPr="00D72FD2">
        <w:rPr>
          <w:rFonts w:ascii="黑体" w:eastAsia="黑体" w:hAnsi="黑体" w:cs="Times New Roman"/>
          <w:sz w:val="28"/>
          <w:szCs w:val="28"/>
        </w:rPr>
        <w:t>第八章  解表药</w:t>
      </w:r>
    </w:p>
    <w:p w14:paraId="712E5DAD"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【学习目标】</w:t>
      </w:r>
    </w:p>
    <w:p w14:paraId="1ACCA066" w14:textId="77777777" w:rsidR="00D72FD2" w:rsidRPr="00D72FD2" w:rsidRDefault="00D72FD2">
      <w:pPr>
        <w:numPr>
          <w:ilvl w:val="0"/>
          <w:numId w:val="298"/>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掌握解表药的含义、功效、适应范围、配伍方法；发散风寒药与发散风热药的性能特点、配伍原则和使用注意。【课程目标1】</w:t>
      </w:r>
    </w:p>
    <w:p w14:paraId="373227EC" w14:textId="77777777" w:rsidR="00D72FD2" w:rsidRPr="00D72FD2" w:rsidRDefault="00D72FD2">
      <w:pPr>
        <w:numPr>
          <w:ilvl w:val="0"/>
          <w:numId w:val="298"/>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药物8味：麻黄、桂枝、荆芥、防风、细辛、薄荷、蝉蜕、柴胡的功效、主治、配伍、用量用法、使用注意及功效相似药物的鉴别要点.熟悉使用解表药时的禁忌注意事项；熟悉药物12味：紫苏（附：紫苏梗）、羌活、生姜、白芷、香薷、辛夷、牛蒡子、菊花、桑叶、蔓荆子、升麻、葛根的功效、主治。了解药物4味：淡豆豉、浮萍、</w:t>
      </w:r>
      <w:proofErr w:type="gramStart"/>
      <w:r w:rsidRPr="00D72FD2">
        <w:rPr>
          <w:rFonts w:ascii="宋体" w:eastAsia="宋体" w:hAnsi="宋体" w:cs="Times New Roman"/>
          <w:sz w:val="24"/>
          <w:szCs w:val="24"/>
        </w:rPr>
        <w:t>藁</w:t>
      </w:r>
      <w:proofErr w:type="gramEnd"/>
      <w:r w:rsidRPr="00D72FD2">
        <w:rPr>
          <w:rFonts w:ascii="宋体" w:eastAsia="宋体" w:hAnsi="宋体" w:cs="Times New Roman"/>
          <w:sz w:val="24"/>
          <w:szCs w:val="24"/>
        </w:rPr>
        <w:t>本、苍耳子的功效、主治。【课程目标2】</w:t>
      </w:r>
    </w:p>
    <w:p w14:paraId="1A324B6C"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【学习内容】</w:t>
      </w:r>
    </w:p>
    <w:p w14:paraId="16843B0A"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 解表药概述</w:t>
      </w:r>
    </w:p>
    <w:p w14:paraId="69D9A913"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发散风寒药</w:t>
      </w:r>
    </w:p>
    <w:p w14:paraId="5E3831D1"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3. 麻黄、桂枝的功效、应用、用法用量及使用注意</w:t>
      </w:r>
    </w:p>
    <w:p w14:paraId="2CDBF8B1"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4. 发散风热药</w:t>
      </w:r>
    </w:p>
    <w:p w14:paraId="0DE06902"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5. 柴胡、薄荷、牛蒡子的性能特点、功效、适应症、用法用量及使用注意</w:t>
      </w:r>
    </w:p>
    <w:p w14:paraId="752928DF"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6. 熟悉葛根、香薷、细辛、苍耳子、生姜、</w:t>
      </w:r>
      <w:proofErr w:type="gramStart"/>
      <w:r w:rsidRPr="00D72FD2">
        <w:rPr>
          <w:rFonts w:ascii="宋体" w:eastAsia="宋体" w:hAnsi="宋体" w:cs="Times New Roman"/>
          <w:sz w:val="24"/>
          <w:szCs w:val="24"/>
        </w:rPr>
        <w:t>藁</w:t>
      </w:r>
      <w:proofErr w:type="gramEnd"/>
      <w:r w:rsidRPr="00D72FD2">
        <w:rPr>
          <w:rFonts w:ascii="宋体" w:eastAsia="宋体" w:hAnsi="宋体" w:cs="Times New Roman"/>
          <w:sz w:val="24"/>
          <w:szCs w:val="24"/>
        </w:rPr>
        <w:t>本、辛夷、升麻、蔓荆子等药物的功效、主治及使用注意</w:t>
      </w:r>
    </w:p>
    <w:p w14:paraId="4711E73A"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7. 解表药小结</w:t>
      </w:r>
    </w:p>
    <w:p w14:paraId="14E06B6C"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【重点】</w:t>
      </w:r>
    </w:p>
    <w:p w14:paraId="0085CF6D"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 xml:space="preserve">解表药的作用、适应证及使用注意事项 </w:t>
      </w:r>
    </w:p>
    <w:p w14:paraId="28733D20"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【难点】</w:t>
      </w:r>
    </w:p>
    <w:p w14:paraId="67FCB4C3"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麻黄、桂枝功效、应用的异同点；防风、荆芥功效、应用的异同点；薄荷、柴胡的功效及临床应用</w:t>
      </w:r>
    </w:p>
    <w:p w14:paraId="64AF94C3"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【教学方法】</w:t>
      </w:r>
    </w:p>
    <w:p w14:paraId="3EEADEFF"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1.通过多媒体课件和传统教学相结合，阐明课程与教学基本原理，丰富学生课程与教学的基本知识结构，培养学生的职业规范；</w:t>
      </w:r>
    </w:p>
    <w:p w14:paraId="5379B487"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lastRenderedPageBreak/>
        <w:t>2.采用以问题为导向的探究式教学法，通过问题聚焦，让学生自行查阅资料，同学相互交流，教师适时点拨，学生独立完成调研报告等形式，进一步理解与掌握相关的理论知识，培养学生分析问题、解决问题的能力。</w:t>
      </w:r>
    </w:p>
    <w:p w14:paraId="7F0F7B5A"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【复习思考】</w:t>
      </w:r>
    </w:p>
    <w:p w14:paraId="0FFC2382"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1.解表药的作用、适应证及使用注意事项</w:t>
      </w:r>
    </w:p>
    <w:p w14:paraId="56EAF6C9"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2.解表药的含义、功效、适应范围、配伍方法</w:t>
      </w:r>
    </w:p>
    <w:p w14:paraId="0F0A5E94"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sz w:val="28"/>
          <w:szCs w:val="28"/>
        </w:rPr>
      </w:pPr>
      <w:r w:rsidRPr="00D72FD2">
        <w:rPr>
          <w:rFonts w:ascii="黑体" w:eastAsia="黑体" w:hAnsi="黑体" w:cs="Times New Roman"/>
          <w:sz w:val="28"/>
          <w:szCs w:val="28"/>
        </w:rPr>
        <w:t>第九章  清热药</w:t>
      </w:r>
    </w:p>
    <w:p w14:paraId="1BDB1A47"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【学习目标】</w:t>
      </w:r>
    </w:p>
    <w:p w14:paraId="3F8BC659" w14:textId="77777777" w:rsidR="00D72FD2" w:rsidRPr="00D72FD2" w:rsidRDefault="00D72FD2">
      <w:pPr>
        <w:numPr>
          <w:ilvl w:val="0"/>
          <w:numId w:val="299"/>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掌握清热药的含义、功效、应用、分类、配伍方法、使用注意【课程目标1】</w:t>
      </w:r>
    </w:p>
    <w:p w14:paraId="704512C8" w14:textId="77777777" w:rsidR="00D72FD2" w:rsidRPr="00D72FD2" w:rsidRDefault="00D72FD2">
      <w:pPr>
        <w:numPr>
          <w:ilvl w:val="0"/>
          <w:numId w:val="299"/>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药物14味：石膏、知母、黄芩、黄连、黄柏、金银花、连翘、板蓝根、大青叶、生地黄、玄参、牡丹皮、赤芍、青蒿的功效、主治、配伍、用量用法、使用注意及功效相似药物的鉴别要点。熟悉药物24味：芦根、夏枯草、天花粉、决明子、龙胆草、苦参、蒲公英、地丁、青黛、鱼腥草、熊胆、土茯苓、鱼腥草、败酱草、野菊花、穿心莲、贯众、白花蛇舌草、射干、山豆根、白头翁、紫草、地骨皮、银柴胡、胡黄连的功效、主治。了解药物9味：淡竹叶、马勃、水牛角、大血藤、重楼、熊胆、马齿苋、秦皮、白鲜皮、白薇的功效。【课程目标2】</w:t>
      </w:r>
    </w:p>
    <w:p w14:paraId="24EE6351"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【学习内容】</w:t>
      </w:r>
    </w:p>
    <w:p w14:paraId="6864DA30"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 清热药的含义、分类、适应证、配伍及使用注意</w:t>
      </w:r>
    </w:p>
    <w:p w14:paraId="00135362"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清热</w:t>
      </w:r>
      <w:proofErr w:type="gramStart"/>
      <w:r w:rsidRPr="00D72FD2">
        <w:rPr>
          <w:rFonts w:ascii="宋体" w:eastAsia="宋体" w:hAnsi="宋体" w:cs="Times New Roman"/>
          <w:sz w:val="24"/>
          <w:szCs w:val="24"/>
        </w:rPr>
        <w:t>泻</w:t>
      </w:r>
      <w:proofErr w:type="gramEnd"/>
      <w:r w:rsidRPr="00D72FD2">
        <w:rPr>
          <w:rFonts w:ascii="宋体" w:eastAsia="宋体" w:hAnsi="宋体" w:cs="Times New Roman"/>
          <w:sz w:val="24"/>
          <w:szCs w:val="24"/>
        </w:rPr>
        <w:t>火药：生石膏与知母效用比较；芦根与天花粉的比较</w:t>
      </w:r>
    </w:p>
    <w:p w14:paraId="00729851"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3. 清热燥湿药：黄芩、黄连、黄柏效用比较</w:t>
      </w:r>
    </w:p>
    <w:p w14:paraId="474A1A5E"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4. 清热解毒药</w:t>
      </w:r>
    </w:p>
    <w:p w14:paraId="00E25F76"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5. 清热凉血药：生地与玄参功效异同；丹皮与赤芍的功用异同</w:t>
      </w:r>
    </w:p>
    <w:p w14:paraId="0774EF3D"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6. 清虚热药：清虚热药的适应证；青蒿的功效、主治及使用注意</w:t>
      </w:r>
    </w:p>
    <w:p w14:paraId="2C0AA193"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7. 清热药小结</w:t>
      </w:r>
    </w:p>
    <w:p w14:paraId="2EE53C0A"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【重点】</w:t>
      </w:r>
    </w:p>
    <w:p w14:paraId="2B3D0D3C"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清热药的分类及功效</w:t>
      </w:r>
    </w:p>
    <w:p w14:paraId="60317E77"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【难点】</w:t>
      </w:r>
    </w:p>
    <w:p w14:paraId="65CD7E3F"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石膏、知母功效、应用的异同点；黄芩、黄连、黄柏功效、应用的异同点；银花、连翘功效、应用的异同点；生地、玄参功效、应用的异同点；青蒿的功效及临床应用</w:t>
      </w:r>
    </w:p>
    <w:p w14:paraId="17712555"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【教学方法】</w:t>
      </w:r>
    </w:p>
    <w:p w14:paraId="6AB1FDAD" w14:textId="77777777" w:rsidR="00D72FD2" w:rsidRPr="00D72FD2" w:rsidRDefault="00D72FD2">
      <w:pPr>
        <w:numPr>
          <w:ilvl w:val="0"/>
          <w:numId w:val="300"/>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通过多媒体课件和传统教学相结合，阐明课程与教学基本原理，丰富学生课程</w:t>
      </w:r>
      <w:r w:rsidRPr="00D72FD2">
        <w:rPr>
          <w:rFonts w:ascii="宋体" w:eastAsia="宋体" w:hAnsi="宋体" w:cs="Times New Roman"/>
          <w:sz w:val="24"/>
          <w:szCs w:val="24"/>
        </w:rPr>
        <w:lastRenderedPageBreak/>
        <w:t>与教学的基本知识结构，培养学生的职业规范；</w:t>
      </w:r>
    </w:p>
    <w:p w14:paraId="495DC0D8" w14:textId="77777777" w:rsidR="00D72FD2" w:rsidRPr="00D72FD2" w:rsidRDefault="00D72FD2">
      <w:pPr>
        <w:numPr>
          <w:ilvl w:val="0"/>
          <w:numId w:val="300"/>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2CBC06FF"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【复习思考】</w:t>
      </w:r>
    </w:p>
    <w:p w14:paraId="44652706"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w:t>
      </w:r>
      <w:r w:rsidRPr="00D72FD2">
        <w:rPr>
          <w:rFonts w:ascii="Calibri" w:eastAsia="宋体" w:hAnsi="Calibri" w:cs="Times New Roman"/>
          <w:sz w:val="24"/>
          <w:szCs w:val="24"/>
        </w:rPr>
        <w:t xml:space="preserve"> </w:t>
      </w:r>
      <w:r w:rsidRPr="00D72FD2">
        <w:rPr>
          <w:rFonts w:ascii="宋体" w:eastAsia="宋体" w:hAnsi="宋体" w:cs="Times New Roman"/>
          <w:sz w:val="24"/>
          <w:szCs w:val="24"/>
        </w:rPr>
        <w:t>清热药的分类及功效</w:t>
      </w:r>
    </w:p>
    <w:p w14:paraId="7796E878"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sz w:val="28"/>
          <w:szCs w:val="28"/>
        </w:rPr>
      </w:pPr>
      <w:r w:rsidRPr="00D72FD2">
        <w:rPr>
          <w:rFonts w:ascii="黑体" w:eastAsia="黑体" w:hAnsi="黑体" w:cs="Times New Roman"/>
          <w:sz w:val="28"/>
          <w:szCs w:val="28"/>
        </w:rPr>
        <w:t xml:space="preserve">第十章  </w:t>
      </w:r>
      <w:proofErr w:type="gramStart"/>
      <w:r w:rsidRPr="00D72FD2">
        <w:rPr>
          <w:rFonts w:ascii="黑体" w:eastAsia="黑体" w:hAnsi="黑体" w:cs="Times New Roman"/>
          <w:sz w:val="28"/>
          <w:szCs w:val="28"/>
        </w:rPr>
        <w:t>泻</w:t>
      </w:r>
      <w:proofErr w:type="gramEnd"/>
      <w:r w:rsidRPr="00D72FD2">
        <w:rPr>
          <w:rFonts w:ascii="黑体" w:eastAsia="黑体" w:hAnsi="黑体" w:cs="Times New Roman"/>
          <w:sz w:val="28"/>
          <w:szCs w:val="28"/>
        </w:rPr>
        <w:t>下药</w:t>
      </w:r>
    </w:p>
    <w:p w14:paraId="736134E2"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【学习目标】</w:t>
      </w:r>
    </w:p>
    <w:p w14:paraId="7336B484" w14:textId="77777777" w:rsidR="00D72FD2" w:rsidRPr="00D72FD2" w:rsidRDefault="00D72FD2">
      <w:pPr>
        <w:numPr>
          <w:ilvl w:val="0"/>
          <w:numId w:val="301"/>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w:t>
      </w:r>
      <w:proofErr w:type="gramStart"/>
      <w:r w:rsidRPr="00D72FD2">
        <w:rPr>
          <w:rFonts w:ascii="宋体" w:eastAsia="宋体" w:hAnsi="宋体" w:cs="Times New Roman"/>
          <w:sz w:val="24"/>
          <w:szCs w:val="24"/>
        </w:rPr>
        <w:t>泻</w:t>
      </w:r>
      <w:proofErr w:type="gramEnd"/>
      <w:r w:rsidRPr="00D72FD2">
        <w:rPr>
          <w:rFonts w:ascii="宋体" w:eastAsia="宋体" w:hAnsi="宋体" w:cs="Times New Roman"/>
          <w:sz w:val="24"/>
          <w:szCs w:val="24"/>
        </w:rPr>
        <w:t>下药的含义、功效、适应范围、配伍方法、性能特点、配伍原则和使用注意【课程目标1】</w:t>
      </w:r>
    </w:p>
    <w:p w14:paraId="14B813E2" w14:textId="77777777" w:rsidR="00D72FD2" w:rsidRPr="00D72FD2" w:rsidRDefault="00D72FD2">
      <w:pPr>
        <w:numPr>
          <w:ilvl w:val="0"/>
          <w:numId w:val="301"/>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药物2味：大黄、芒硝的功效、主治、配伍、用量用法、使用注意。熟悉药物4味：甘遂、番泻叶、芦荟、巴豆的功效、主治。了解药物6味：牵牛子、芫花、商陆、千金子、火麻仁、郁李仁的功效。【课程目标2】</w:t>
      </w:r>
    </w:p>
    <w:p w14:paraId="74DF762D"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【学习内容】</w:t>
      </w:r>
    </w:p>
    <w:p w14:paraId="3BC59B94"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 xml:space="preserve">1. </w:t>
      </w:r>
      <w:proofErr w:type="gramStart"/>
      <w:r w:rsidRPr="00D72FD2">
        <w:rPr>
          <w:rFonts w:ascii="宋体" w:eastAsia="宋体" w:hAnsi="宋体" w:cs="Times New Roman"/>
          <w:sz w:val="24"/>
          <w:szCs w:val="24"/>
        </w:rPr>
        <w:t>泻</w:t>
      </w:r>
      <w:proofErr w:type="gramEnd"/>
      <w:r w:rsidRPr="00D72FD2">
        <w:rPr>
          <w:rFonts w:ascii="宋体" w:eastAsia="宋体" w:hAnsi="宋体" w:cs="Times New Roman"/>
          <w:sz w:val="24"/>
          <w:szCs w:val="24"/>
        </w:rPr>
        <w:t>下药概述</w:t>
      </w:r>
    </w:p>
    <w:p w14:paraId="26EE40BA"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大黄、芒硝的功效、应用、适应证、用法用量及使用注意</w:t>
      </w:r>
    </w:p>
    <w:p w14:paraId="1D35EFBF"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3. 攻下、峻下药</w:t>
      </w:r>
    </w:p>
    <w:p w14:paraId="393B3380"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 xml:space="preserve">4. </w:t>
      </w:r>
      <w:proofErr w:type="gramStart"/>
      <w:r w:rsidRPr="00D72FD2">
        <w:rPr>
          <w:rFonts w:ascii="宋体" w:eastAsia="宋体" w:hAnsi="宋体" w:cs="Times New Roman"/>
          <w:sz w:val="24"/>
          <w:szCs w:val="24"/>
        </w:rPr>
        <w:t>泻</w:t>
      </w:r>
      <w:proofErr w:type="gramEnd"/>
      <w:r w:rsidRPr="00D72FD2">
        <w:rPr>
          <w:rFonts w:ascii="宋体" w:eastAsia="宋体" w:hAnsi="宋体" w:cs="Times New Roman"/>
          <w:sz w:val="24"/>
          <w:szCs w:val="24"/>
        </w:rPr>
        <w:t>下药小结</w:t>
      </w:r>
    </w:p>
    <w:p w14:paraId="2F33896C"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【重点】</w:t>
      </w:r>
    </w:p>
    <w:p w14:paraId="672BB87E" w14:textId="77777777" w:rsidR="00D72FD2" w:rsidRPr="00D72FD2" w:rsidRDefault="00D72FD2" w:rsidP="00D72FD2">
      <w:pPr>
        <w:spacing w:line="440" w:lineRule="exact"/>
        <w:ind w:firstLineChars="200" w:firstLine="480"/>
        <w:rPr>
          <w:rFonts w:ascii="宋体" w:eastAsia="宋体" w:hAnsi="宋体" w:cs="Times New Roman"/>
          <w:sz w:val="24"/>
          <w:szCs w:val="24"/>
        </w:rPr>
      </w:pPr>
      <w:proofErr w:type="gramStart"/>
      <w:r w:rsidRPr="00D72FD2">
        <w:rPr>
          <w:rFonts w:ascii="宋体" w:eastAsia="宋体" w:hAnsi="宋体" w:cs="Times New Roman"/>
          <w:sz w:val="24"/>
          <w:szCs w:val="24"/>
        </w:rPr>
        <w:t>泻</w:t>
      </w:r>
      <w:proofErr w:type="gramEnd"/>
      <w:r w:rsidRPr="00D72FD2">
        <w:rPr>
          <w:rFonts w:ascii="宋体" w:eastAsia="宋体" w:hAnsi="宋体" w:cs="Times New Roman"/>
          <w:sz w:val="24"/>
          <w:szCs w:val="24"/>
        </w:rPr>
        <w:t>下药的分类及功效、适应证</w:t>
      </w:r>
    </w:p>
    <w:p w14:paraId="1351A5D3"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【难点】</w:t>
      </w:r>
    </w:p>
    <w:p w14:paraId="3E534048"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大黄、芒硝功效、应用的异同点</w:t>
      </w:r>
    </w:p>
    <w:p w14:paraId="1AD5DF94"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【教学方法】</w:t>
      </w:r>
    </w:p>
    <w:p w14:paraId="19EEE6F1" w14:textId="77777777" w:rsidR="00D72FD2" w:rsidRPr="00D72FD2" w:rsidRDefault="00D72FD2">
      <w:pPr>
        <w:numPr>
          <w:ilvl w:val="0"/>
          <w:numId w:val="302"/>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通过多媒体课件和传统教学相结合，阐明课程与教学基本原理，丰富学生课程与教学的基本知识结构，培养学生的职业规范；</w:t>
      </w:r>
    </w:p>
    <w:p w14:paraId="7D1E6B89" w14:textId="77777777" w:rsidR="00D72FD2" w:rsidRPr="00D72FD2" w:rsidRDefault="00D72FD2">
      <w:pPr>
        <w:numPr>
          <w:ilvl w:val="0"/>
          <w:numId w:val="302"/>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13106B9F"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【复习思考】</w:t>
      </w:r>
    </w:p>
    <w:p w14:paraId="77FD682F" w14:textId="77777777" w:rsidR="00D72FD2" w:rsidRPr="00D72FD2" w:rsidRDefault="00D72FD2">
      <w:pPr>
        <w:numPr>
          <w:ilvl w:val="0"/>
          <w:numId w:val="303"/>
        </w:numPr>
        <w:spacing w:line="440" w:lineRule="exact"/>
        <w:ind w:firstLineChars="200" w:firstLine="480"/>
        <w:rPr>
          <w:rFonts w:ascii="宋体" w:eastAsia="宋体" w:hAnsi="宋体" w:cs="Times New Roman"/>
          <w:sz w:val="24"/>
          <w:szCs w:val="24"/>
        </w:rPr>
      </w:pPr>
      <w:proofErr w:type="gramStart"/>
      <w:r w:rsidRPr="00D72FD2">
        <w:rPr>
          <w:rFonts w:ascii="宋体" w:eastAsia="宋体" w:hAnsi="宋体" w:cs="Times New Roman"/>
          <w:sz w:val="24"/>
          <w:szCs w:val="24"/>
        </w:rPr>
        <w:t>泻</w:t>
      </w:r>
      <w:proofErr w:type="gramEnd"/>
      <w:r w:rsidRPr="00D72FD2">
        <w:rPr>
          <w:rFonts w:ascii="宋体" w:eastAsia="宋体" w:hAnsi="宋体" w:cs="Times New Roman"/>
          <w:sz w:val="24"/>
          <w:szCs w:val="24"/>
        </w:rPr>
        <w:t>下药的分类及功效、适应证</w:t>
      </w:r>
    </w:p>
    <w:p w14:paraId="4F92C078"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sz w:val="28"/>
          <w:szCs w:val="28"/>
        </w:rPr>
      </w:pPr>
      <w:r w:rsidRPr="00D72FD2">
        <w:rPr>
          <w:rFonts w:ascii="黑体" w:eastAsia="黑体" w:hAnsi="黑体" w:cs="Times New Roman"/>
          <w:sz w:val="28"/>
          <w:szCs w:val="28"/>
        </w:rPr>
        <w:lastRenderedPageBreak/>
        <w:t>第十一章  祛风湿药</w:t>
      </w:r>
    </w:p>
    <w:p w14:paraId="4BEE9CED"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【学习目标】</w:t>
      </w:r>
    </w:p>
    <w:p w14:paraId="1C070811" w14:textId="77777777" w:rsidR="00D72FD2" w:rsidRPr="00D72FD2" w:rsidRDefault="00D72FD2">
      <w:pPr>
        <w:numPr>
          <w:ilvl w:val="0"/>
          <w:numId w:val="304"/>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w:t>
      </w:r>
      <w:proofErr w:type="gramStart"/>
      <w:r w:rsidRPr="00D72FD2">
        <w:rPr>
          <w:rFonts w:ascii="宋体" w:eastAsia="宋体" w:hAnsi="宋体" w:cs="Times New Roman"/>
          <w:sz w:val="24"/>
          <w:szCs w:val="24"/>
        </w:rPr>
        <w:t>祛风湿药的</w:t>
      </w:r>
      <w:proofErr w:type="gramEnd"/>
      <w:r w:rsidRPr="00D72FD2">
        <w:rPr>
          <w:rFonts w:ascii="宋体" w:eastAsia="宋体" w:hAnsi="宋体" w:cs="Times New Roman"/>
          <w:sz w:val="24"/>
          <w:szCs w:val="24"/>
        </w:rPr>
        <w:t>含义、功效、适应范围、配伍方法、使用注意【课程目标1】</w:t>
      </w:r>
    </w:p>
    <w:p w14:paraId="54CD3117" w14:textId="77777777" w:rsidR="00D72FD2" w:rsidRPr="00D72FD2" w:rsidRDefault="00D72FD2">
      <w:pPr>
        <w:numPr>
          <w:ilvl w:val="0"/>
          <w:numId w:val="304"/>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药物6味：独活、威灵仙、蕲蛇（附：金钱白花蛇）、秦艽、防已、五加皮的功效、主治、配伍、用量用法、使用注意及功效相似药物的鉴别要点。熟悉药物10味：川乌（附：草乌）、乌梢蛇、雷公藤、木瓜、蚕沙、伸筋草、桑枝、桑寄生、狗脊的功效、主治。了解药物12味：寻骨风、丝瓜络、松节、路路通、海风藤、豨</w:t>
      </w:r>
      <w:proofErr w:type="gramStart"/>
      <w:r w:rsidRPr="00D72FD2">
        <w:rPr>
          <w:rFonts w:ascii="宋体" w:eastAsia="宋体" w:hAnsi="宋体" w:cs="Times New Roman"/>
          <w:sz w:val="24"/>
          <w:szCs w:val="24"/>
        </w:rPr>
        <w:t>莶</w:t>
      </w:r>
      <w:proofErr w:type="gramEnd"/>
      <w:r w:rsidRPr="00D72FD2">
        <w:rPr>
          <w:rFonts w:ascii="宋体" w:eastAsia="宋体" w:hAnsi="宋体" w:cs="Times New Roman"/>
          <w:sz w:val="24"/>
          <w:szCs w:val="24"/>
        </w:rPr>
        <w:t>草、海桐皮、络石藤、老</w:t>
      </w:r>
      <w:proofErr w:type="gramStart"/>
      <w:r w:rsidRPr="00D72FD2">
        <w:rPr>
          <w:rFonts w:ascii="宋体" w:eastAsia="宋体" w:hAnsi="宋体" w:cs="Times New Roman"/>
          <w:sz w:val="24"/>
          <w:szCs w:val="24"/>
        </w:rPr>
        <w:t>鹳</w:t>
      </w:r>
      <w:proofErr w:type="gramEnd"/>
      <w:r w:rsidRPr="00D72FD2">
        <w:rPr>
          <w:rFonts w:ascii="宋体" w:eastAsia="宋体" w:hAnsi="宋体" w:cs="Times New Roman"/>
          <w:sz w:val="24"/>
          <w:szCs w:val="24"/>
        </w:rPr>
        <w:t>草、千年健、穿山龙、臭梧桐的功效。【课程目标2】</w:t>
      </w:r>
    </w:p>
    <w:p w14:paraId="5EE1330B"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【学习内容】</w:t>
      </w:r>
    </w:p>
    <w:p w14:paraId="00701839"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 xml:space="preserve">1. </w:t>
      </w:r>
      <w:proofErr w:type="gramStart"/>
      <w:r w:rsidRPr="00D72FD2">
        <w:rPr>
          <w:rFonts w:ascii="宋体" w:eastAsia="宋体" w:hAnsi="宋体" w:cs="Times New Roman"/>
          <w:sz w:val="24"/>
          <w:szCs w:val="24"/>
        </w:rPr>
        <w:t>祛风湿药的</w:t>
      </w:r>
      <w:proofErr w:type="gramEnd"/>
      <w:r w:rsidRPr="00D72FD2">
        <w:rPr>
          <w:rFonts w:ascii="宋体" w:eastAsia="宋体" w:hAnsi="宋体" w:cs="Times New Roman"/>
          <w:sz w:val="24"/>
          <w:szCs w:val="24"/>
        </w:rPr>
        <w:t>含义、分类、适应证、配伍及使用注意</w:t>
      </w:r>
    </w:p>
    <w:p w14:paraId="675DF369"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祛风湿散寒药：独活、威灵仙、蕲蛇的功效、主治、配伍、用量用法、使用注意。</w:t>
      </w:r>
    </w:p>
    <w:p w14:paraId="1A4FDF89"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3. 祛风湿清热药：秦艽、防已效用比较</w:t>
      </w:r>
    </w:p>
    <w:p w14:paraId="053F484A"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4. 祛风湿强筋骨药：五加皮的性能特点及应用；了解五加皮有北五加皮、南五加皮的不同品种</w:t>
      </w:r>
    </w:p>
    <w:p w14:paraId="67C4F73A"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 xml:space="preserve">5. </w:t>
      </w:r>
      <w:proofErr w:type="gramStart"/>
      <w:r w:rsidRPr="00D72FD2">
        <w:rPr>
          <w:rFonts w:ascii="宋体" w:eastAsia="宋体" w:hAnsi="宋体" w:cs="Times New Roman"/>
          <w:sz w:val="24"/>
          <w:szCs w:val="24"/>
        </w:rPr>
        <w:t>祛风湿药小结</w:t>
      </w:r>
      <w:proofErr w:type="gramEnd"/>
    </w:p>
    <w:p w14:paraId="0A4D5CB1"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【重点】</w:t>
      </w:r>
    </w:p>
    <w:p w14:paraId="54E9A600" w14:textId="77777777" w:rsidR="00D72FD2" w:rsidRPr="00D72FD2" w:rsidRDefault="00D72FD2" w:rsidP="00D72FD2">
      <w:pPr>
        <w:spacing w:line="440" w:lineRule="exact"/>
        <w:ind w:firstLineChars="200" w:firstLine="480"/>
        <w:rPr>
          <w:rFonts w:ascii="宋体" w:eastAsia="宋体" w:hAnsi="宋体" w:cs="Times New Roman"/>
          <w:sz w:val="24"/>
          <w:szCs w:val="24"/>
        </w:rPr>
      </w:pPr>
      <w:proofErr w:type="gramStart"/>
      <w:r w:rsidRPr="00D72FD2">
        <w:rPr>
          <w:rFonts w:ascii="宋体" w:eastAsia="宋体" w:hAnsi="宋体" w:cs="Times New Roman"/>
          <w:sz w:val="24"/>
          <w:szCs w:val="24"/>
        </w:rPr>
        <w:t>祛风湿药的</w:t>
      </w:r>
      <w:proofErr w:type="gramEnd"/>
      <w:r w:rsidRPr="00D72FD2">
        <w:rPr>
          <w:rFonts w:ascii="宋体" w:eastAsia="宋体" w:hAnsi="宋体" w:cs="Times New Roman"/>
          <w:sz w:val="24"/>
          <w:szCs w:val="24"/>
        </w:rPr>
        <w:t>分类及功效。</w:t>
      </w:r>
    </w:p>
    <w:p w14:paraId="22923494"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【难点】</w:t>
      </w:r>
    </w:p>
    <w:p w14:paraId="5DF7DECA"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独活、威灵</w:t>
      </w:r>
      <w:proofErr w:type="gramStart"/>
      <w:r w:rsidRPr="00D72FD2">
        <w:rPr>
          <w:rFonts w:ascii="宋体" w:eastAsia="宋体" w:hAnsi="宋体" w:cs="Times New Roman"/>
          <w:sz w:val="24"/>
          <w:szCs w:val="24"/>
        </w:rPr>
        <w:t>仙</w:t>
      </w:r>
      <w:proofErr w:type="gramEnd"/>
      <w:r w:rsidRPr="00D72FD2">
        <w:rPr>
          <w:rFonts w:ascii="宋体" w:eastAsia="宋体" w:hAnsi="宋体" w:cs="Times New Roman"/>
          <w:sz w:val="24"/>
          <w:szCs w:val="24"/>
        </w:rPr>
        <w:t>功效、应用的异同点；秦艽、防已功效、应用的异同点；五加皮的功效及临床应用</w:t>
      </w:r>
    </w:p>
    <w:p w14:paraId="092AE119"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【教学方法】</w:t>
      </w:r>
    </w:p>
    <w:p w14:paraId="4D0A3D45" w14:textId="77777777" w:rsidR="00D72FD2" w:rsidRPr="00D72FD2" w:rsidRDefault="00D72FD2">
      <w:pPr>
        <w:numPr>
          <w:ilvl w:val="0"/>
          <w:numId w:val="305"/>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通过多媒体课件和传统教学相结合，阐明课程与教学基本原理，丰富学生课程与教学的基本知识结构，培养学生的职业规范；</w:t>
      </w:r>
    </w:p>
    <w:p w14:paraId="1CDD5AF5" w14:textId="77777777" w:rsidR="00D72FD2" w:rsidRPr="00D72FD2" w:rsidRDefault="00D72FD2">
      <w:pPr>
        <w:numPr>
          <w:ilvl w:val="0"/>
          <w:numId w:val="305"/>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72F72924"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【复习思考】</w:t>
      </w:r>
    </w:p>
    <w:p w14:paraId="0EF23681"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w:t>
      </w:r>
      <w:r w:rsidRPr="00D72FD2">
        <w:rPr>
          <w:rFonts w:ascii="Calibri" w:eastAsia="宋体" w:hAnsi="Calibri" w:cs="Times New Roman"/>
          <w:sz w:val="24"/>
          <w:szCs w:val="24"/>
        </w:rPr>
        <w:t xml:space="preserve"> </w:t>
      </w:r>
      <w:proofErr w:type="gramStart"/>
      <w:r w:rsidRPr="00D72FD2">
        <w:rPr>
          <w:rFonts w:ascii="宋体" w:eastAsia="宋体" w:hAnsi="宋体" w:cs="Times New Roman"/>
          <w:sz w:val="24"/>
          <w:szCs w:val="24"/>
        </w:rPr>
        <w:t>祛风湿药的</w:t>
      </w:r>
      <w:proofErr w:type="gramEnd"/>
      <w:r w:rsidRPr="00D72FD2">
        <w:rPr>
          <w:rFonts w:ascii="宋体" w:eastAsia="宋体" w:hAnsi="宋体" w:cs="Times New Roman"/>
          <w:sz w:val="24"/>
          <w:szCs w:val="24"/>
        </w:rPr>
        <w:t>分类及功效</w:t>
      </w:r>
    </w:p>
    <w:p w14:paraId="7D21A00B"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sz w:val="28"/>
          <w:szCs w:val="28"/>
        </w:rPr>
      </w:pPr>
      <w:r w:rsidRPr="00D72FD2">
        <w:rPr>
          <w:rFonts w:ascii="黑体" w:eastAsia="黑体" w:hAnsi="黑体" w:cs="Times New Roman"/>
          <w:sz w:val="28"/>
          <w:szCs w:val="28"/>
        </w:rPr>
        <w:t>第十二章  化湿药</w:t>
      </w:r>
    </w:p>
    <w:p w14:paraId="0E05B425"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lastRenderedPageBreak/>
        <w:t>【学习目标】</w:t>
      </w:r>
    </w:p>
    <w:p w14:paraId="0BDCA385" w14:textId="77777777" w:rsidR="00D72FD2" w:rsidRPr="00D72FD2" w:rsidRDefault="00D72FD2">
      <w:pPr>
        <w:numPr>
          <w:ilvl w:val="0"/>
          <w:numId w:val="306"/>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w:t>
      </w:r>
      <w:proofErr w:type="gramStart"/>
      <w:r w:rsidRPr="00D72FD2">
        <w:rPr>
          <w:rFonts w:ascii="宋体" w:eastAsia="宋体" w:hAnsi="宋体" w:cs="Times New Roman"/>
          <w:sz w:val="24"/>
          <w:szCs w:val="24"/>
        </w:rPr>
        <w:t>化湿药的</w:t>
      </w:r>
      <w:proofErr w:type="gramEnd"/>
      <w:r w:rsidRPr="00D72FD2">
        <w:rPr>
          <w:rFonts w:ascii="宋体" w:eastAsia="宋体" w:hAnsi="宋体" w:cs="Times New Roman"/>
          <w:sz w:val="24"/>
          <w:szCs w:val="24"/>
        </w:rPr>
        <w:t>含义、功效、适应范围、配伍方法、使用注意【课程目标1】</w:t>
      </w:r>
    </w:p>
    <w:p w14:paraId="2A79E203" w14:textId="77777777" w:rsidR="00D72FD2" w:rsidRPr="00D72FD2" w:rsidRDefault="00D72FD2">
      <w:pPr>
        <w:numPr>
          <w:ilvl w:val="0"/>
          <w:numId w:val="306"/>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掌握药物3味：苍术、厚朴、藿香的功效、主治、配伍、用量用法、使用注意。熟悉药物2味：砂仁、豆蔻的功效、主治。了解药物2味：佩兰、草果的功效。【课程目标2】</w:t>
      </w:r>
    </w:p>
    <w:p w14:paraId="20E04583"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【学习内容】</w:t>
      </w:r>
    </w:p>
    <w:p w14:paraId="56D783D0"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 xml:space="preserve">1. </w:t>
      </w:r>
      <w:proofErr w:type="gramStart"/>
      <w:r w:rsidRPr="00D72FD2">
        <w:rPr>
          <w:rFonts w:ascii="宋体" w:eastAsia="宋体" w:hAnsi="宋体" w:cs="Times New Roman"/>
          <w:sz w:val="24"/>
          <w:szCs w:val="24"/>
        </w:rPr>
        <w:t>化湿药的</w:t>
      </w:r>
      <w:proofErr w:type="gramEnd"/>
      <w:r w:rsidRPr="00D72FD2">
        <w:rPr>
          <w:rFonts w:ascii="宋体" w:eastAsia="宋体" w:hAnsi="宋体" w:cs="Times New Roman"/>
          <w:sz w:val="24"/>
          <w:szCs w:val="24"/>
        </w:rPr>
        <w:t>含义、适应证、配伍及使用注意</w:t>
      </w:r>
    </w:p>
    <w:p w14:paraId="24E89882"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苍术、厚朴、藿香性能特点及应用</w:t>
      </w:r>
    </w:p>
    <w:p w14:paraId="0A2F73D2"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 xml:space="preserve">3. </w:t>
      </w:r>
      <w:proofErr w:type="gramStart"/>
      <w:r w:rsidRPr="00D72FD2">
        <w:rPr>
          <w:rFonts w:ascii="宋体" w:eastAsia="宋体" w:hAnsi="宋体" w:cs="Times New Roman"/>
          <w:sz w:val="24"/>
          <w:szCs w:val="24"/>
        </w:rPr>
        <w:t>化湿药小结</w:t>
      </w:r>
      <w:proofErr w:type="gramEnd"/>
    </w:p>
    <w:p w14:paraId="597AE26E"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【重点】</w:t>
      </w:r>
    </w:p>
    <w:p w14:paraId="5A4D7711" w14:textId="77777777" w:rsidR="00D72FD2" w:rsidRPr="00D72FD2" w:rsidRDefault="00D72FD2" w:rsidP="00D72FD2">
      <w:pPr>
        <w:spacing w:line="440" w:lineRule="exact"/>
        <w:ind w:firstLineChars="200" w:firstLine="480"/>
        <w:rPr>
          <w:rFonts w:ascii="宋体" w:eastAsia="宋体" w:hAnsi="宋体" w:cs="Times New Roman"/>
          <w:sz w:val="24"/>
          <w:szCs w:val="24"/>
        </w:rPr>
      </w:pPr>
      <w:proofErr w:type="gramStart"/>
      <w:r w:rsidRPr="00D72FD2">
        <w:rPr>
          <w:rFonts w:ascii="宋体" w:eastAsia="宋体" w:hAnsi="宋体" w:cs="Times New Roman"/>
          <w:sz w:val="24"/>
          <w:szCs w:val="24"/>
        </w:rPr>
        <w:t>化湿药的</w:t>
      </w:r>
      <w:proofErr w:type="gramEnd"/>
      <w:r w:rsidRPr="00D72FD2">
        <w:rPr>
          <w:rFonts w:ascii="宋体" w:eastAsia="宋体" w:hAnsi="宋体" w:cs="Times New Roman"/>
          <w:sz w:val="24"/>
          <w:szCs w:val="24"/>
        </w:rPr>
        <w:t>分类及功效</w:t>
      </w:r>
    </w:p>
    <w:p w14:paraId="68DDB099"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【难点】</w:t>
      </w:r>
    </w:p>
    <w:p w14:paraId="1BCCCD3A"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藿香的功效及临床应用</w:t>
      </w:r>
    </w:p>
    <w:p w14:paraId="1AE9F646"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【教学方法】</w:t>
      </w:r>
    </w:p>
    <w:p w14:paraId="1C99AADB" w14:textId="77777777" w:rsidR="00D72FD2" w:rsidRPr="00D72FD2" w:rsidRDefault="00D72FD2">
      <w:pPr>
        <w:numPr>
          <w:ilvl w:val="0"/>
          <w:numId w:val="307"/>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通过多媒体课件和传统教学相结合，阐明课程与教学基本原理，丰富学生课程与教学的基本知识结构，培养学生的职业规范；</w:t>
      </w:r>
    </w:p>
    <w:p w14:paraId="4E3C5BB7" w14:textId="77777777" w:rsidR="00D72FD2" w:rsidRPr="00D72FD2" w:rsidRDefault="00D72FD2">
      <w:pPr>
        <w:numPr>
          <w:ilvl w:val="0"/>
          <w:numId w:val="307"/>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7C97523E"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【复习思考】</w:t>
      </w:r>
    </w:p>
    <w:p w14:paraId="543B21C3"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w:t>
      </w:r>
      <w:r w:rsidRPr="00D72FD2">
        <w:rPr>
          <w:rFonts w:ascii="Calibri" w:eastAsia="宋体" w:hAnsi="Calibri" w:cs="Times New Roman"/>
          <w:sz w:val="24"/>
          <w:szCs w:val="24"/>
        </w:rPr>
        <w:t xml:space="preserve"> </w:t>
      </w:r>
      <w:proofErr w:type="gramStart"/>
      <w:r w:rsidRPr="00D72FD2">
        <w:rPr>
          <w:rFonts w:ascii="宋体" w:eastAsia="宋体" w:hAnsi="宋体" w:cs="Times New Roman"/>
          <w:sz w:val="24"/>
          <w:szCs w:val="24"/>
        </w:rPr>
        <w:t>化湿药的</w:t>
      </w:r>
      <w:proofErr w:type="gramEnd"/>
      <w:r w:rsidRPr="00D72FD2">
        <w:rPr>
          <w:rFonts w:ascii="宋体" w:eastAsia="宋体" w:hAnsi="宋体" w:cs="Times New Roman"/>
          <w:sz w:val="24"/>
          <w:szCs w:val="24"/>
        </w:rPr>
        <w:t>含义、功效、适应范围</w:t>
      </w:r>
    </w:p>
    <w:p w14:paraId="7B8B1ED0" w14:textId="77777777" w:rsidR="00D72FD2" w:rsidRPr="00D72FD2" w:rsidRDefault="00D72FD2" w:rsidP="00D72FD2">
      <w:pPr>
        <w:spacing w:beforeLines="50" w:before="156" w:afterLines="50" w:after="156" w:line="440" w:lineRule="exact"/>
        <w:ind w:firstLineChars="200" w:firstLine="560"/>
        <w:jc w:val="center"/>
        <w:rPr>
          <w:rFonts w:ascii="黑体" w:eastAsia="黑体" w:hAnsi="黑体" w:cs="Times New Roman"/>
          <w:sz w:val="28"/>
          <w:szCs w:val="28"/>
        </w:rPr>
      </w:pPr>
      <w:r w:rsidRPr="00D72FD2">
        <w:rPr>
          <w:rFonts w:ascii="黑体" w:eastAsia="黑体" w:hAnsi="黑体" w:cs="Times New Roman"/>
          <w:sz w:val="28"/>
          <w:szCs w:val="28"/>
        </w:rPr>
        <w:t>第十三章  利水渗湿药</w:t>
      </w:r>
    </w:p>
    <w:p w14:paraId="2329FDC3"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【学习目标】</w:t>
      </w:r>
    </w:p>
    <w:p w14:paraId="1CF8E068" w14:textId="77777777" w:rsidR="00D72FD2" w:rsidRPr="00D72FD2" w:rsidRDefault="00D72FD2">
      <w:pPr>
        <w:numPr>
          <w:ilvl w:val="0"/>
          <w:numId w:val="308"/>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掌握利水</w:t>
      </w:r>
      <w:proofErr w:type="gramStart"/>
      <w:r w:rsidRPr="00D72FD2">
        <w:rPr>
          <w:rFonts w:ascii="宋体" w:eastAsia="宋体" w:hAnsi="宋体" w:cs="Times New Roman"/>
          <w:sz w:val="24"/>
          <w:szCs w:val="24"/>
        </w:rPr>
        <w:t>渗湿药的</w:t>
      </w:r>
      <w:proofErr w:type="gramEnd"/>
      <w:r w:rsidRPr="00D72FD2">
        <w:rPr>
          <w:rFonts w:ascii="宋体" w:eastAsia="宋体" w:hAnsi="宋体" w:cs="Times New Roman"/>
          <w:sz w:val="24"/>
          <w:szCs w:val="24"/>
        </w:rPr>
        <w:t>含义、功效、适应范围、配伍方法、使用注意【课程目标1】</w:t>
      </w:r>
    </w:p>
    <w:p w14:paraId="12C5C2F6" w14:textId="77777777" w:rsidR="00D72FD2" w:rsidRPr="00D72FD2" w:rsidRDefault="00D72FD2">
      <w:pPr>
        <w:numPr>
          <w:ilvl w:val="0"/>
          <w:numId w:val="308"/>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掌握药物7味：茯苓、泽泻、薏苡仁、车前子、木通、茵陈、金钱草的功效、主治、配伍、用量用法、使用注意及功效相似药物的鉴别要点。熟悉药物8味：通草、海金沙、瞿麦、扁蓄、猪苓、滑石、石韦、虎杖的功效、主治。了解药物4味：冬葵子、</w:t>
      </w:r>
      <w:proofErr w:type="gramStart"/>
      <w:r w:rsidRPr="00D72FD2">
        <w:rPr>
          <w:rFonts w:ascii="宋体" w:eastAsia="宋体" w:hAnsi="宋体" w:cs="Times New Roman"/>
          <w:sz w:val="24"/>
          <w:szCs w:val="24"/>
        </w:rPr>
        <w:t>萆</w:t>
      </w:r>
      <w:proofErr w:type="gramEnd"/>
      <w:r w:rsidRPr="00D72FD2">
        <w:rPr>
          <w:rFonts w:ascii="宋体" w:eastAsia="宋体" w:hAnsi="宋体" w:cs="Times New Roman"/>
          <w:sz w:val="24"/>
          <w:szCs w:val="24"/>
        </w:rPr>
        <w:t>薢、地肤子、</w:t>
      </w:r>
      <w:proofErr w:type="gramStart"/>
      <w:r w:rsidRPr="00D72FD2">
        <w:rPr>
          <w:rFonts w:ascii="宋体" w:eastAsia="宋体" w:hAnsi="宋体" w:cs="Times New Roman"/>
          <w:sz w:val="24"/>
          <w:szCs w:val="24"/>
        </w:rPr>
        <w:t>香加皮</w:t>
      </w:r>
      <w:proofErr w:type="gramEnd"/>
      <w:r w:rsidRPr="00D72FD2">
        <w:rPr>
          <w:rFonts w:ascii="宋体" w:eastAsia="宋体" w:hAnsi="宋体" w:cs="Times New Roman"/>
          <w:sz w:val="24"/>
          <w:szCs w:val="24"/>
        </w:rPr>
        <w:t>的功效。【课程目标2】</w:t>
      </w:r>
    </w:p>
    <w:p w14:paraId="47D50E4A"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【学习内容】</w:t>
      </w:r>
    </w:p>
    <w:p w14:paraId="53920C31"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 利水</w:t>
      </w:r>
      <w:proofErr w:type="gramStart"/>
      <w:r w:rsidRPr="00D72FD2">
        <w:rPr>
          <w:rFonts w:ascii="宋体" w:eastAsia="宋体" w:hAnsi="宋体" w:cs="Times New Roman"/>
          <w:sz w:val="24"/>
          <w:szCs w:val="24"/>
        </w:rPr>
        <w:t>渗湿药的</w:t>
      </w:r>
      <w:proofErr w:type="gramEnd"/>
      <w:r w:rsidRPr="00D72FD2">
        <w:rPr>
          <w:rFonts w:ascii="宋体" w:eastAsia="宋体" w:hAnsi="宋体" w:cs="Times New Roman"/>
          <w:sz w:val="24"/>
          <w:szCs w:val="24"/>
        </w:rPr>
        <w:t>含义、分类、适应证、配伍及使用注意</w:t>
      </w:r>
    </w:p>
    <w:p w14:paraId="24EA8F71"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 利水消肿药</w:t>
      </w:r>
    </w:p>
    <w:p w14:paraId="558D9B25"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lastRenderedPageBreak/>
        <w:t>3. 利尿通淋药：车前子、木通性</w:t>
      </w:r>
      <w:proofErr w:type="gramStart"/>
      <w:r w:rsidRPr="00D72FD2">
        <w:rPr>
          <w:rFonts w:ascii="宋体" w:eastAsia="宋体" w:hAnsi="宋体" w:cs="Times New Roman"/>
          <w:sz w:val="24"/>
          <w:szCs w:val="24"/>
        </w:rPr>
        <w:t>能特点</w:t>
      </w:r>
      <w:proofErr w:type="gramEnd"/>
      <w:r w:rsidRPr="00D72FD2">
        <w:rPr>
          <w:rFonts w:ascii="宋体" w:eastAsia="宋体" w:hAnsi="宋体" w:cs="Times New Roman"/>
          <w:sz w:val="24"/>
          <w:szCs w:val="24"/>
        </w:rPr>
        <w:t>及应用。</w:t>
      </w:r>
    </w:p>
    <w:p w14:paraId="3485C404"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4. 利湿退黄药：茵陈、金钱草、虎杖的性能特点及应用</w:t>
      </w:r>
    </w:p>
    <w:p w14:paraId="0ABDA4AC"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5. 利水</w:t>
      </w:r>
      <w:proofErr w:type="gramStart"/>
      <w:r w:rsidRPr="00D72FD2">
        <w:rPr>
          <w:rFonts w:ascii="宋体" w:eastAsia="宋体" w:hAnsi="宋体" w:cs="Times New Roman"/>
          <w:sz w:val="24"/>
          <w:szCs w:val="24"/>
        </w:rPr>
        <w:t>渗湿药小结</w:t>
      </w:r>
      <w:proofErr w:type="gramEnd"/>
    </w:p>
    <w:p w14:paraId="28631E72"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【重点】</w:t>
      </w:r>
    </w:p>
    <w:p w14:paraId="7D93CB95"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利水</w:t>
      </w:r>
      <w:proofErr w:type="gramStart"/>
      <w:r w:rsidRPr="00D72FD2">
        <w:rPr>
          <w:rFonts w:ascii="宋体" w:eastAsia="宋体" w:hAnsi="宋体" w:cs="Times New Roman"/>
          <w:sz w:val="24"/>
          <w:szCs w:val="24"/>
        </w:rPr>
        <w:t>渗湿药的</w:t>
      </w:r>
      <w:proofErr w:type="gramEnd"/>
      <w:r w:rsidRPr="00D72FD2">
        <w:rPr>
          <w:rFonts w:ascii="宋体" w:eastAsia="宋体" w:hAnsi="宋体" w:cs="Times New Roman"/>
          <w:sz w:val="24"/>
          <w:szCs w:val="24"/>
        </w:rPr>
        <w:t>分类及功效。</w:t>
      </w:r>
    </w:p>
    <w:p w14:paraId="29F620F8"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【难点】</w:t>
      </w:r>
    </w:p>
    <w:p w14:paraId="625B9E16"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茯苓、泽泻、薏苡仁功效、应用的异同点；车前子、木通功效、应用的异同点， 茵陈的功效及临床应用。</w:t>
      </w:r>
    </w:p>
    <w:p w14:paraId="6FCCA395"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【教学方法】</w:t>
      </w:r>
    </w:p>
    <w:p w14:paraId="18AC730F" w14:textId="77777777" w:rsidR="00D72FD2" w:rsidRPr="00D72FD2" w:rsidRDefault="00D72FD2">
      <w:pPr>
        <w:numPr>
          <w:ilvl w:val="0"/>
          <w:numId w:val="309"/>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通过多媒体课件和传统教学相结合，阐明课程与教学基本原理，丰富学生课程与教学的基本知识结构，培养学生的职业规范；</w:t>
      </w:r>
    </w:p>
    <w:p w14:paraId="2AC6B787" w14:textId="77777777" w:rsidR="00D72FD2" w:rsidRPr="00D72FD2" w:rsidRDefault="00D72FD2">
      <w:pPr>
        <w:numPr>
          <w:ilvl w:val="0"/>
          <w:numId w:val="309"/>
        </w:num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247B8EE9" w14:textId="77777777" w:rsidR="00D72FD2" w:rsidRPr="00D72FD2" w:rsidRDefault="00D72FD2" w:rsidP="00D72FD2">
      <w:pPr>
        <w:spacing w:line="440" w:lineRule="exact"/>
        <w:ind w:firstLineChars="200" w:firstLine="482"/>
        <w:rPr>
          <w:rFonts w:ascii="宋体" w:eastAsia="宋体" w:hAnsi="宋体" w:cs="Times New Roman"/>
          <w:b/>
          <w:sz w:val="24"/>
          <w:szCs w:val="24"/>
        </w:rPr>
      </w:pPr>
      <w:r w:rsidRPr="00D72FD2">
        <w:rPr>
          <w:rFonts w:ascii="宋体" w:eastAsia="宋体" w:hAnsi="宋体" w:cs="Times New Roman"/>
          <w:b/>
          <w:sz w:val="24"/>
          <w:szCs w:val="24"/>
        </w:rPr>
        <w:t>【复习思考】</w:t>
      </w:r>
    </w:p>
    <w:p w14:paraId="33264475"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w:t>
      </w:r>
      <w:r w:rsidRPr="00D72FD2">
        <w:rPr>
          <w:rFonts w:ascii="Calibri" w:eastAsia="宋体" w:hAnsi="Calibri" w:cs="Times New Roman"/>
          <w:sz w:val="24"/>
          <w:szCs w:val="24"/>
        </w:rPr>
        <w:t xml:space="preserve"> </w:t>
      </w:r>
      <w:r w:rsidRPr="00D72FD2">
        <w:rPr>
          <w:rFonts w:ascii="宋体" w:eastAsia="宋体" w:hAnsi="宋体" w:cs="Times New Roman"/>
          <w:sz w:val="24"/>
          <w:szCs w:val="24"/>
        </w:rPr>
        <w:t>利水</w:t>
      </w:r>
      <w:proofErr w:type="gramStart"/>
      <w:r w:rsidRPr="00D72FD2">
        <w:rPr>
          <w:rFonts w:ascii="宋体" w:eastAsia="宋体" w:hAnsi="宋体" w:cs="Times New Roman"/>
          <w:sz w:val="24"/>
          <w:szCs w:val="24"/>
        </w:rPr>
        <w:t>渗湿药的</w:t>
      </w:r>
      <w:proofErr w:type="gramEnd"/>
      <w:r w:rsidRPr="00D72FD2">
        <w:rPr>
          <w:rFonts w:ascii="宋体" w:eastAsia="宋体" w:hAnsi="宋体" w:cs="Times New Roman"/>
          <w:sz w:val="24"/>
          <w:szCs w:val="24"/>
        </w:rPr>
        <w:t>分类及功效</w:t>
      </w:r>
    </w:p>
    <w:p w14:paraId="5E1CFEBD"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sz w:val="28"/>
          <w:szCs w:val="28"/>
        </w:rPr>
        <w:t xml:space="preserve">（二）课程学习内容与课程学习目标的对应关系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93"/>
        <w:gridCol w:w="2640"/>
        <w:gridCol w:w="1966"/>
        <w:gridCol w:w="1258"/>
      </w:tblGrid>
      <w:tr w:rsidR="00D72FD2" w:rsidRPr="00D72FD2" w14:paraId="4CADF0F2" w14:textId="77777777" w:rsidTr="006B1C7F">
        <w:trPr>
          <w:trHeight w:val="660"/>
          <w:jc w:val="center"/>
        </w:trPr>
        <w:tc>
          <w:tcPr>
            <w:tcW w:w="3493" w:type="dxa"/>
            <w:vAlign w:val="center"/>
          </w:tcPr>
          <w:p w14:paraId="19658862" w14:textId="77777777" w:rsidR="00D72FD2" w:rsidRPr="00D72FD2" w:rsidRDefault="00D72FD2" w:rsidP="00D72FD2">
            <w:pPr>
              <w:spacing w:line="360" w:lineRule="auto"/>
              <w:jc w:val="center"/>
              <w:rPr>
                <w:rFonts w:ascii="宋体" w:eastAsia="宋体" w:hAnsi="宋体" w:cs="Times New Roman" w:hint="eastAsia"/>
                <w:b/>
                <w:bCs/>
                <w:sz w:val="24"/>
                <w:szCs w:val="24"/>
              </w:rPr>
            </w:pPr>
            <w:r w:rsidRPr="00D72FD2">
              <w:rPr>
                <w:rFonts w:ascii="宋体" w:eastAsia="宋体" w:hAnsi="宋体" w:cs="Times New Roman" w:hint="eastAsia"/>
                <w:b/>
                <w:bCs/>
                <w:sz w:val="24"/>
                <w:szCs w:val="24"/>
              </w:rPr>
              <w:t>课程学习内容</w:t>
            </w:r>
          </w:p>
        </w:tc>
        <w:tc>
          <w:tcPr>
            <w:tcW w:w="2640" w:type="dxa"/>
            <w:vAlign w:val="center"/>
          </w:tcPr>
          <w:p w14:paraId="672DC468" w14:textId="77777777" w:rsidR="00D72FD2" w:rsidRPr="00D72FD2" w:rsidRDefault="00D72FD2" w:rsidP="00D72FD2">
            <w:pPr>
              <w:spacing w:line="360" w:lineRule="auto"/>
              <w:jc w:val="center"/>
              <w:rPr>
                <w:rFonts w:ascii="宋体" w:eastAsia="宋体" w:hAnsi="宋体" w:cs="Times New Roman" w:hint="eastAsia"/>
                <w:b/>
                <w:bCs/>
                <w:sz w:val="24"/>
                <w:szCs w:val="24"/>
              </w:rPr>
            </w:pPr>
            <w:r w:rsidRPr="00D72FD2">
              <w:rPr>
                <w:rFonts w:ascii="宋体" w:eastAsia="宋体" w:hAnsi="宋体" w:cs="Times New Roman" w:hint="eastAsia"/>
                <w:b/>
                <w:bCs/>
                <w:sz w:val="24"/>
                <w:szCs w:val="24"/>
              </w:rPr>
              <w:t>教学方法</w:t>
            </w:r>
          </w:p>
        </w:tc>
        <w:tc>
          <w:tcPr>
            <w:tcW w:w="1966" w:type="dxa"/>
            <w:vAlign w:val="center"/>
          </w:tcPr>
          <w:p w14:paraId="61D4BB72" w14:textId="77777777" w:rsidR="00D72FD2" w:rsidRPr="00D72FD2" w:rsidRDefault="00D72FD2" w:rsidP="00D72FD2">
            <w:pPr>
              <w:spacing w:line="360" w:lineRule="auto"/>
              <w:jc w:val="center"/>
              <w:rPr>
                <w:rFonts w:ascii="宋体" w:eastAsia="宋体" w:hAnsi="宋体" w:cs="Times New Roman" w:hint="eastAsia"/>
                <w:b/>
                <w:bCs/>
                <w:sz w:val="24"/>
                <w:szCs w:val="24"/>
              </w:rPr>
            </w:pPr>
            <w:r w:rsidRPr="00D72FD2">
              <w:rPr>
                <w:rFonts w:ascii="宋体" w:eastAsia="宋体" w:hAnsi="宋体" w:cs="Times New Roman" w:hint="eastAsia"/>
                <w:b/>
                <w:bCs/>
                <w:sz w:val="24"/>
                <w:szCs w:val="24"/>
              </w:rPr>
              <w:t>支撑的课程目标</w:t>
            </w:r>
          </w:p>
        </w:tc>
        <w:tc>
          <w:tcPr>
            <w:tcW w:w="1258" w:type="dxa"/>
            <w:vAlign w:val="center"/>
          </w:tcPr>
          <w:p w14:paraId="3927F34F" w14:textId="77777777" w:rsidR="00D72FD2" w:rsidRPr="00D72FD2" w:rsidRDefault="00D72FD2" w:rsidP="00D72FD2">
            <w:pPr>
              <w:spacing w:line="360" w:lineRule="auto"/>
              <w:jc w:val="center"/>
              <w:rPr>
                <w:rFonts w:ascii="宋体" w:eastAsia="宋体" w:hAnsi="宋体" w:cs="Times New Roman" w:hint="eastAsia"/>
                <w:b/>
                <w:bCs/>
                <w:sz w:val="24"/>
                <w:szCs w:val="24"/>
              </w:rPr>
            </w:pPr>
            <w:r w:rsidRPr="00D72FD2">
              <w:rPr>
                <w:rFonts w:ascii="宋体" w:eastAsia="宋体" w:hAnsi="宋体" w:cs="Times New Roman" w:hint="eastAsia"/>
                <w:b/>
                <w:bCs/>
                <w:sz w:val="24"/>
                <w:szCs w:val="24"/>
              </w:rPr>
              <w:t>学时安排</w:t>
            </w:r>
          </w:p>
        </w:tc>
      </w:tr>
      <w:tr w:rsidR="00D72FD2" w:rsidRPr="00D72FD2" w14:paraId="02D87800" w14:textId="77777777" w:rsidTr="006B1C7F">
        <w:trPr>
          <w:trHeight w:val="514"/>
          <w:jc w:val="center"/>
        </w:trPr>
        <w:tc>
          <w:tcPr>
            <w:tcW w:w="3493" w:type="dxa"/>
          </w:tcPr>
          <w:p w14:paraId="4801462F" w14:textId="77777777" w:rsidR="00D72FD2" w:rsidRPr="00D72FD2" w:rsidRDefault="00D72FD2" w:rsidP="00D72FD2">
            <w:pPr>
              <w:spacing w:line="360" w:lineRule="auto"/>
              <w:jc w:val="left"/>
              <w:rPr>
                <w:rFonts w:ascii="Times New Roman" w:eastAsia="宋体" w:hAnsi="Times New Roman" w:cs="Times New Roman"/>
                <w:sz w:val="24"/>
                <w:szCs w:val="24"/>
              </w:rPr>
            </w:pPr>
            <w:r w:rsidRPr="00D72FD2">
              <w:rPr>
                <w:rFonts w:ascii="Times New Roman" w:eastAsia="宋体" w:hAnsi="Times New Roman" w:cs="Times New Roman"/>
                <w:sz w:val="24"/>
                <w:szCs w:val="24"/>
              </w:rPr>
              <w:t>第一章</w:t>
            </w:r>
            <w:r w:rsidRPr="00D72FD2">
              <w:rPr>
                <w:rFonts w:ascii="Times New Roman" w:eastAsia="宋体" w:hAnsi="Times New Roman" w:cs="Times New Roman" w:hint="eastAsia"/>
                <w:sz w:val="24"/>
                <w:szCs w:val="24"/>
              </w:rPr>
              <w:t>中药的起源和中药学的发展</w:t>
            </w:r>
          </w:p>
        </w:tc>
        <w:tc>
          <w:tcPr>
            <w:tcW w:w="2640" w:type="dxa"/>
            <w:vAlign w:val="center"/>
          </w:tcPr>
          <w:p w14:paraId="73EE63D8"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课堂汇报</w:t>
            </w:r>
          </w:p>
        </w:tc>
        <w:tc>
          <w:tcPr>
            <w:tcW w:w="1966" w:type="dxa"/>
            <w:vAlign w:val="center"/>
          </w:tcPr>
          <w:p w14:paraId="1B794F74"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课程</w:t>
            </w:r>
            <w:r w:rsidRPr="00D72FD2">
              <w:rPr>
                <w:rFonts w:ascii="宋体" w:eastAsia="宋体" w:hAnsi="宋体" w:cs="Times New Roman"/>
                <w:sz w:val="24"/>
                <w:szCs w:val="24"/>
              </w:rPr>
              <w:t>目标</w:t>
            </w:r>
            <w:r w:rsidRPr="00D72FD2">
              <w:rPr>
                <w:rFonts w:ascii="宋体" w:eastAsia="宋体" w:hAnsi="宋体" w:cs="Times New Roman" w:hint="eastAsia"/>
                <w:sz w:val="24"/>
                <w:szCs w:val="24"/>
              </w:rPr>
              <w:t>1</w:t>
            </w:r>
          </w:p>
        </w:tc>
        <w:tc>
          <w:tcPr>
            <w:tcW w:w="1258" w:type="dxa"/>
            <w:vAlign w:val="center"/>
          </w:tcPr>
          <w:p w14:paraId="17E9E3E5"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2学时</w:t>
            </w:r>
          </w:p>
        </w:tc>
      </w:tr>
      <w:tr w:rsidR="00D72FD2" w:rsidRPr="00D72FD2" w14:paraId="56B03455" w14:textId="77777777" w:rsidTr="006B1C7F">
        <w:trPr>
          <w:trHeight w:val="90"/>
          <w:jc w:val="center"/>
        </w:trPr>
        <w:tc>
          <w:tcPr>
            <w:tcW w:w="3493" w:type="dxa"/>
          </w:tcPr>
          <w:p w14:paraId="45804721" w14:textId="77777777" w:rsidR="00D72FD2" w:rsidRPr="00D72FD2" w:rsidRDefault="00D72FD2" w:rsidP="00D72FD2">
            <w:pPr>
              <w:spacing w:line="360" w:lineRule="auto"/>
              <w:jc w:val="left"/>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第二章</w:t>
            </w:r>
            <w:r w:rsidRPr="00D72FD2">
              <w:rPr>
                <w:rFonts w:ascii="Times New Roman" w:eastAsia="宋体" w:hAnsi="Times New Roman" w:cs="Times New Roman" w:hint="eastAsia"/>
                <w:sz w:val="24"/>
                <w:szCs w:val="24"/>
              </w:rPr>
              <w:t>中药的产地和采集</w:t>
            </w:r>
          </w:p>
        </w:tc>
        <w:tc>
          <w:tcPr>
            <w:tcW w:w="2640" w:type="dxa"/>
            <w:vAlign w:val="center"/>
          </w:tcPr>
          <w:p w14:paraId="6535A07E"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探究式教学法</w:t>
            </w:r>
          </w:p>
        </w:tc>
        <w:tc>
          <w:tcPr>
            <w:tcW w:w="1966" w:type="dxa"/>
            <w:vAlign w:val="center"/>
          </w:tcPr>
          <w:p w14:paraId="555AFB02"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课程目标1、2</w:t>
            </w:r>
          </w:p>
        </w:tc>
        <w:tc>
          <w:tcPr>
            <w:tcW w:w="1258" w:type="dxa"/>
            <w:vAlign w:val="center"/>
          </w:tcPr>
          <w:p w14:paraId="1E5C5186"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sz w:val="24"/>
                <w:szCs w:val="24"/>
              </w:rPr>
              <w:t>2</w:t>
            </w:r>
            <w:r w:rsidRPr="00D72FD2">
              <w:rPr>
                <w:rFonts w:ascii="宋体" w:eastAsia="宋体" w:hAnsi="宋体" w:cs="Times New Roman" w:hint="eastAsia"/>
                <w:sz w:val="24"/>
                <w:szCs w:val="24"/>
              </w:rPr>
              <w:t>学时</w:t>
            </w:r>
          </w:p>
        </w:tc>
      </w:tr>
      <w:tr w:rsidR="00D72FD2" w:rsidRPr="00D72FD2" w14:paraId="3251AB11" w14:textId="77777777" w:rsidTr="006B1C7F">
        <w:trPr>
          <w:jc w:val="center"/>
        </w:trPr>
        <w:tc>
          <w:tcPr>
            <w:tcW w:w="3493" w:type="dxa"/>
          </w:tcPr>
          <w:p w14:paraId="40D472A0" w14:textId="77777777" w:rsidR="00D72FD2" w:rsidRPr="00D72FD2" w:rsidRDefault="00D72FD2" w:rsidP="00D72FD2">
            <w:pPr>
              <w:spacing w:line="360" w:lineRule="auto"/>
              <w:jc w:val="left"/>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第三章</w:t>
            </w:r>
            <w:r w:rsidRPr="00D72FD2">
              <w:rPr>
                <w:rFonts w:ascii="Times New Roman" w:eastAsia="宋体" w:hAnsi="Times New Roman" w:cs="Times New Roman" w:hint="eastAsia"/>
                <w:sz w:val="24"/>
                <w:szCs w:val="24"/>
              </w:rPr>
              <w:t>中药的炮制</w:t>
            </w:r>
          </w:p>
        </w:tc>
        <w:tc>
          <w:tcPr>
            <w:tcW w:w="2640" w:type="dxa"/>
            <w:vAlign w:val="center"/>
          </w:tcPr>
          <w:p w14:paraId="313E447C"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类比式教学法</w:t>
            </w:r>
          </w:p>
        </w:tc>
        <w:tc>
          <w:tcPr>
            <w:tcW w:w="1966" w:type="dxa"/>
            <w:vAlign w:val="center"/>
          </w:tcPr>
          <w:p w14:paraId="3CD61327"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课程目标1、2</w:t>
            </w:r>
          </w:p>
        </w:tc>
        <w:tc>
          <w:tcPr>
            <w:tcW w:w="1258" w:type="dxa"/>
            <w:vAlign w:val="center"/>
          </w:tcPr>
          <w:p w14:paraId="7BA98B4B"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sz w:val="24"/>
                <w:szCs w:val="24"/>
              </w:rPr>
              <w:t>2</w:t>
            </w:r>
            <w:r w:rsidRPr="00D72FD2">
              <w:rPr>
                <w:rFonts w:ascii="宋体" w:eastAsia="宋体" w:hAnsi="宋体" w:cs="Times New Roman" w:hint="eastAsia"/>
                <w:sz w:val="24"/>
                <w:szCs w:val="24"/>
              </w:rPr>
              <w:t>学时</w:t>
            </w:r>
          </w:p>
        </w:tc>
      </w:tr>
      <w:tr w:rsidR="00D72FD2" w:rsidRPr="00D72FD2" w14:paraId="2FFC8CD8" w14:textId="77777777" w:rsidTr="006B1C7F">
        <w:trPr>
          <w:jc w:val="center"/>
        </w:trPr>
        <w:tc>
          <w:tcPr>
            <w:tcW w:w="3493" w:type="dxa"/>
          </w:tcPr>
          <w:p w14:paraId="021C7788" w14:textId="77777777" w:rsidR="00D72FD2" w:rsidRPr="00D72FD2" w:rsidRDefault="00D72FD2" w:rsidP="00D72FD2">
            <w:pPr>
              <w:spacing w:line="360" w:lineRule="auto"/>
              <w:jc w:val="left"/>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第四章</w:t>
            </w:r>
            <w:r w:rsidRPr="00D72FD2">
              <w:rPr>
                <w:rFonts w:ascii="Times New Roman" w:eastAsia="宋体" w:hAnsi="Times New Roman" w:cs="Times New Roman" w:hint="eastAsia"/>
                <w:sz w:val="24"/>
                <w:szCs w:val="24"/>
              </w:rPr>
              <w:t>中药的性能</w:t>
            </w:r>
          </w:p>
        </w:tc>
        <w:tc>
          <w:tcPr>
            <w:tcW w:w="2640" w:type="dxa"/>
            <w:vAlign w:val="center"/>
          </w:tcPr>
          <w:p w14:paraId="19225368"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讲授法</w:t>
            </w:r>
          </w:p>
        </w:tc>
        <w:tc>
          <w:tcPr>
            <w:tcW w:w="1966" w:type="dxa"/>
            <w:vAlign w:val="center"/>
          </w:tcPr>
          <w:p w14:paraId="54E67CB2"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课程目标1</w:t>
            </w:r>
          </w:p>
        </w:tc>
        <w:tc>
          <w:tcPr>
            <w:tcW w:w="1258" w:type="dxa"/>
            <w:vAlign w:val="center"/>
          </w:tcPr>
          <w:p w14:paraId="294AA72F"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sz w:val="24"/>
                <w:szCs w:val="24"/>
              </w:rPr>
              <w:t>2</w:t>
            </w:r>
            <w:r w:rsidRPr="00D72FD2">
              <w:rPr>
                <w:rFonts w:ascii="宋体" w:eastAsia="宋体" w:hAnsi="宋体" w:cs="Times New Roman" w:hint="eastAsia"/>
                <w:sz w:val="24"/>
                <w:szCs w:val="24"/>
              </w:rPr>
              <w:t>学时</w:t>
            </w:r>
          </w:p>
        </w:tc>
      </w:tr>
      <w:tr w:rsidR="00D72FD2" w:rsidRPr="00D72FD2" w14:paraId="66885179" w14:textId="77777777" w:rsidTr="006B1C7F">
        <w:trPr>
          <w:jc w:val="center"/>
        </w:trPr>
        <w:tc>
          <w:tcPr>
            <w:tcW w:w="3493" w:type="dxa"/>
          </w:tcPr>
          <w:p w14:paraId="06B3FAFC" w14:textId="77777777" w:rsidR="00D72FD2" w:rsidRPr="00D72FD2" w:rsidRDefault="00D72FD2" w:rsidP="00D72FD2">
            <w:pPr>
              <w:spacing w:line="360" w:lineRule="auto"/>
              <w:jc w:val="left"/>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第五章</w:t>
            </w:r>
            <w:r w:rsidRPr="00D72FD2">
              <w:rPr>
                <w:rFonts w:ascii="Times New Roman" w:eastAsia="宋体" w:hAnsi="Times New Roman" w:cs="Times New Roman" w:hint="eastAsia"/>
                <w:sz w:val="24"/>
                <w:szCs w:val="24"/>
              </w:rPr>
              <w:t>中药的配伍</w:t>
            </w:r>
          </w:p>
        </w:tc>
        <w:tc>
          <w:tcPr>
            <w:tcW w:w="2640" w:type="dxa"/>
            <w:vAlign w:val="center"/>
          </w:tcPr>
          <w:p w14:paraId="41B05815"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讲授法</w:t>
            </w:r>
          </w:p>
        </w:tc>
        <w:tc>
          <w:tcPr>
            <w:tcW w:w="1966" w:type="dxa"/>
            <w:vAlign w:val="center"/>
          </w:tcPr>
          <w:p w14:paraId="253002DC"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课程目标1、2</w:t>
            </w:r>
          </w:p>
        </w:tc>
        <w:tc>
          <w:tcPr>
            <w:tcW w:w="1258" w:type="dxa"/>
            <w:vAlign w:val="center"/>
          </w:tcPr>
          <w:p w14:paraId="3DEA749C"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2学时</w:t>
            </w:r>
          </w:p>
        </w:tc>
      </w:tr>
      <w:tr w:rsidR="00D72FD2" w:rsidRPr="00D72FD2" w14:paraId="398C2E90" w14:textId="77777777" w:rsidTr="006B1C7F">
        <w:trPr>
          <w:jc w:val="center"/>
        </w:trPr>
        <w:tc>
          <w:tcPr>
            <w:tcW w:w="3493" w:type="dxa"/>
          </w:tcPr>
          <w:p w14:paraId="16AA6FC4" w14:textId="77777777" w:rsidR="00D72FD2" w:rsidRPr="00D72FD2" w:rsidRDefault="00D72FD2" w:rsidP="00D72FD2">
            <w:pPr>
              <w:spacing w:line="360" w:lineRule="auto"/>
              <w:jc w:val="left"/>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第六章</w:t>
            </w:r>
            <w:r w:rsidRPr="00D72FD2">
              <w:rPr>
                <w:rFonts w:ascii="Times New Roman" w:eastAsia="宋体" w:hAnsi="Times New Roman" w:cs="Times New Roman" w:hint="eastAsia"/>
                <w:sz w:val="24"/>
                <w:szCs w:val="24"/>
              </w:rPr>
              <w:t>中药的用药禁忌</w:t>
            </w:r>
          </w:p>
        </w:tc>
        <w:tc>
          <w:tcPr>
            <w:tcW w:w="2640" w:type="dxa"/>
            <w:vAlign w:val="center"/>
          </w:tcPr>
          <w:p w14:paraId="238E7FC2" w14:textId="77777777" w:rsidR="00D72FD2" w:rsidRPr="00D72FD2" w:rsidRDefault="00D72FD2" w:rsidP="00D72FD2">
            <w:pPr>
              <w:spacing w:line="360" w:lineRule="auto"/>
              <w:jc w:val="center"/>
              <w:rPr>
                <w:rFonts w:ascii="宋体" w:eastAsia="宋体" w:hAnsi="宋体" w:cs="Times New Roman"/>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类比式教学法</w:t>
            </w:r>
          </w:p>
        </w:tc>
        <w:tc>
          <w:tcPr>
            <w:tcW w:w="1966" w:type="dxa"/>
            <w:vAlign w:val="center"/>
          </w:tcPr>
          <w:p w14:paraId="2CC7E8E1"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课程目标1、2</w:t>
            </w:r>
          </w:p>
        </w:tc>
        <w:tc>
          <w:tcPr>
            <w:tcW w:w="1258" w:type="dxa"/>
            <w:vAlign w:val="center"/>
          </w:tcPr>
          <w:p w14:paraId="0C3DCA72"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2学时</w:t>
            </w:r>
          </w:p>
        </w:tc>
      </w:tr>
      <w:tr w:rsidR="00D72FD2" w:rsidRPr="00D72FD2" w14:paraId="7A29E87F" w14:textId="77777777" w:rsidTr="006B1C7F">
        <w:trPr>
          <w:jc w:val="center"/>
        </w:trPr>
        <w:tc>
          <w:tcPr>
            <w:tcW w:w="3493" w:type="dxa"/>
          </w:tcPr>
          <w:p w14:paraId="51E3182A" w14:textId="77777777" w:rsidR="00D72FD2" w:rsidRPr="00D72FD2" w:rsidRDefault="00D72FD2" w:rsidP="00D72FD2">
            <w:pPr>
              <w:spacing w:line="360" w:lineRule="auto"/>
              <w:jc w:val="left"/>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第七章</w:t>
            </w:r>
            <w:r w:rsidRPr="00D72FD2">
              <w:rPr>
                <w:rFonts w:ascii="Times New Roman" w:eastAsia="宋体" w:hAnsi="Times New Roman" w:cs="Times New Roman" w:hint="eastAsia"/>
                <w:sz w:val="24"/>
                <w:szCs w:val="24"/>
              </w:rPr>
              <w:t>用药剂量和用法</w:t>
            </w:r>
          </w:p>
        </w:tc>
        <w:tc>
          <w:tcPr>
            <w:tcW w:w="2640" w:type="dxa"/>
            <w:vAlign w:val="center"/>
          </w:tcPr>
          <w:p w14:paraId="1022D289"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探究式教学法</w:t>
            </w:r>
          </w:p>
        </w:tc>
        <w:tc>
          <w:tcPr>
            <w:tcW w:w="1966" w:type="dxa"/>
            <w:vAlign w:val="center"/>
          </w:tcPr>
          <w:p w14:paraId="22F38BFE"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w:t>
            </w:r>
            <w:r w:rsidRPr="00D72FD2">
              <w:rPr>
                <w:rFonts w:ascii="宋体" w:eastAsia="宋体" w:hAnsi="宋体" w:cs="Times New Roman"/>
                <w:sz w:val="24"/>
                <w:szCs w:val="24"/>
              </w:rPr>
              <w:t>目标</w:t>
            </w:r>
            <w:r w:rsidRPr="00D72FD2">
              <w:rPr>
                <w:rFonts w:ascii="宋体" w:eastAsia="宋体" w:hAnsi="宋体" w:cs="Times New Roman" w:hint="eastAsia"/>
                <w:sz w:val="24"/>
                <w:szCs w:val="24"/>
              </w:rPr>
              <w:t>1、2</w:t>
            </w:r>
          </w:p>
        </w:tc>
        <w:tc>
          <w:tcPr>
            <w:tcW w:w="1258" w:type="dxa"/>
            <w:vAlign w:val="center"/>
          </w:tcPr>
          <w:p w14:paraId="744E47EB"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2学时</w:t>
            </w:r>
          </w:p>
        </w:tc>
      </w:tr>
      <w:tr w:rsidR="00D72FD2" w:rsidRPr="00D72FD2" w14:paraId="01F87F3B" w14:textId="77777777" w:rsidTr="006B1C7F">
        <w:trPr>
          <w:jc w:val="center"/>
        </w:trPr>
        <w:tc>
          <w:tcPr>
            <w:tcW w:w="3493" w:type="dxa"/>
          </w:tcPr>
          <w:p w14:paraId="34C94028" w14:textId="77777777" w:rsidR="00D72FD2" w:rsidRPr="00D72FD2" w:rsidRDefault="00D72FD2" w:rsidP="00D72FD2">
            <w:pPr>
              <w:spacing w:line="360" w:lineRule="auto"/>
              <w:jc w:val="left"/>
              <w:rPr>
                <w:rFonts w:ascii="Times New Roman" w:eastAsia="宋体" w:hAnsi="Times New Roman" w:cs="Times New Roman"/>
                <w:sz w:val="24"/>
                <w:szCs w:val="24"/>
              </w:rPr>
            </w:pPr>
            <w:proofErr w:type="gramStart"/>
            <w:r w:rsidRPr="00D72FD2">
              <w:rPr>
                <w:rFonts w:ascii="Times New Roman" w:eastAsia="宋体" w:hAnsi="Times New Roman" w:cs="Times New Roman" w:hint="eastAsia"/>
                <w:sz w:val="24"/>
                <w:szCs w:val="24"/>
              </w:rPr>
              <w:t>第八章解表</w:t>
            </w:r>
            <w:proofErr w:type="gramEnd"/>
            <w:r w:rsidRPr="00D72FD2">
              <w:rPr>
                <w:rFonts w:ascii="Times New Roman" w:eastAsia="宋体" w:hAnsi="Times New Roman" w:cs="Times New Roman" w:hint="eastAsia"/>
                <w:sz w:val="24"/>
                <w:szCs w:val="24"/>
              </w:rPr>
              <w:t>药</w:t>
            </w:r>
          </w:p>
        </w:tc>
        <w:tc>
          <w:tcPr>
            <w:tcW w:w="2640" w:type="dxa"/>
            <w:vAlign w:val="center"/>
          </w:tcPr>
          <w:p w14:paraId="27AF074A"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探究式教学法</w:t>
            </w:r>
          </w:p>
        </w:tc>
        <w:tc>
          <w:tcPr>
            <w:tcW w:w="1966" w:type="dxa"/>
            <w:vAlign w:val="center"/>
          </w:tcPr>
          <w:p w14:paraId="00B763AD"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w:t>
            </w:r>
            <w:r w:rsidRPr="00D72FD2">
              <w:rPr>
                <w:rFonts w:ascii="宋体" w:eastAsia="宋体" w:hAnsi="宋体" w:cs="Times New Roman"/>
                <w:sz w:val="24"/>
                <w:szCs w:val="24"/>
              </w:rPr>
              <w:t>目标</w:t>
            </w:r>
            <w:r w:rsidRPr="00D72FD2">
              <w:rPr>
                <w:rFonts w:ascii="宋体" w:eastAsia="宋体" w:hAnsi="宋体" w:cs="Times New Roman" w:hint="eastAsia"/>
                <w:sz w:val="24"/>
                <w:szCs w:val="24"/>
              </w:rPr>
              <w:t>1、2</w:t>
            </w:r>
          </w:p>
        </w:tc>
        <w:tc>
          <w:tcPr>
            <w:tcW w:w="1258" w:type="dxa"/>
            <w:vAlign w:val="center"/>
          </w:tcPr>
          <w:p w14:paraId="16778365"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sz w:val="24"/>
                <w:szCs w:val="24"/>
              </w:rPr>
              <w:t>4</w:t>
            </w:r>
            <w:r w:rsidRPr="00D72FD2">
              <w:rPr>
                <w:rFonts w:ascii="宋体" w:eastAsia="宋体" w:hAnsi="宋体" w:cs="Times New Roman" w:hint="eastAsia"/>
                <w:sz w:val="24"/>
                <w:szCs w:val="24"/>
              </w:rPr>
              <w:t>学时</w:t>
            </w:r>
          </w:p>
        </w:tc>
      </w:tr>
      <w:tr w:rsidR="00D72FD2" w:rsidRPr="00D72FD2" w14:paraId="1EE445E8" w14:textId="77777777" w:rsidTr="006B1C7F">
        <w:trPr>
          <w:jc w:val="center"/>
        </w:trPr>
        <w:tc>
          <w:tcPr>
            <w:tcW w:w="3493" w:type="dxa"/>
          </w:tcPr>
          <w:p w14:paraId="3535A8A1" w14:textId="77777777" w:rsidR="00D72FD2" w:rsidRPr="00D72FD2" w:rsidRDefault="00D72FD2" w:rsidP="00D72FD2">
            <w:pPr>
              <w:spacing w:line="360" w:lineRule="auto"/>
              <w:jc w:val="left"/>
              <w:rPr>
                <w:rFonts w:ascii="Times New Roman" w:eastAsia="宋体" w:hAnsi="Times New Roman" w:cs="Times New Roman" w:hint="eastAsia"/>
                <w:sz w:val="24"/>
                <w:szCs w:val="24"/>
              </w:rPr>
            </w:pPr>
            <w:r w:rsidRPr="00D72FD2">
              <w:rPr>
                <w:rFonts w:ascii="Times New Roman" w:eastAsia="宋体" w:hAnsi="Times New Roman" w:cs="Times New Roman"/>
                <w:sz w:val="24"/>
                <w:szCs w:val="24"/>
              </w:rPr>
              <w:t>第</w:t>
            </w:r>
            <w:r w:rsidRPr="00D72FD2">
              <w:rPr>
                <w:rFonts w:ascii="Times New Roman" w:eastAsia="宋体" w:hAnsi="Times New Roman" w:cs="Times New Roman" w:hint="eastAsia"/>
                <w:sz w:val="24"/>
                <w:szCs w:val="24"/>
              </w:rPr>
              <w:t>九</w:t>
            </w:r>
            <w:r w:rsidRPr="00D72FD2">
              <w:rPr>
                <w:rFonts w:ascii="Times New Roman" w:eastAsia="宋体" w:hAnsi="Times New Roman" w:cs="Times New Roman"/>
                <w:sz w:val="24"/>
                <w:szCs w:val="24"/>
              </w:rPr>
              <w:t>章</w:t>
            </w:r>
            <w:r w:rsidRPr="00D72FD2">
              <w:rPr>
                <w:rFonts w:ascii="Times New Roman" w:eastAsia="宋体" w:hAnsi="Times New Roman" w:cs="Times New Roman" w:hint="eastAsia"/>
                <w:sz w:val="24"/>
                <w:szCs w:val="24"/>
              </w:rPr>
              <w:t>清热药</w:t>
            </w:r>
          </w:p>
        </w:tc>
        <w:tc>
          <w:tcPr>
            <w:tcW w:w="2640" w:type="dxa"/>
            <w:vAlign w:val="center"/>
          </w:tcPr>
          <w:p w14:paraId="6692EE6F"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探究式教学法</w:t>
            </w:r>
          </w:p>
        </w:tc>
        <w:tc>
          <w:tcPr>
            <w:tcW w:w="1966" w:type="dxa"/>
            <w:vAlign w:val="center"/>
          </w:tcPr>
          <w:p w14:paraId="2DD20B87"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w:t>
            </w:r>
            <w:r w:rsidRPr="00D72FD2">
              <w:rPr>
                <w:rFonts w:ascii="宋体" w:eastAsia="宋体" w:hAnsi="宋体" w:cs="Times New Roman"/>
                <w:sz w:val="24"/>
                <w:szCs w:val="24"/>
              </w:rPr>
              <w:t>目标</w:t>
            </w:r>
            <w:r w:rsidRPr="00D72FD2">
              <w:rPr>
                <w:rFonts w:ascii="宋体" w:eastAsia="宋体" w:hAnsi="宋体" w:cs="Times New Roman" w:hint="eastAsia"/>
                <w:sz w:val="24"/>
                <w:szCs w:val="24"/>
              </w:rPr>
              <w:t>1、2</w:t>
            </w:r>
          </w:p>
        </w:tc>
        <w:tc>
          <w:tcPr>
            <w:tcW w:w="1258" w:type="dxa"/>
            <w:vAlign w:val="center"/>
          </w:tcPr>
          <w:p w14:paraId="6E110B1D"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sz w:val="24"/>
                <w:szCs w:val="24"/>
              </w:rPr>
              <w:t>4</w:t>
            </w:r>
            <w:r w:rsidRPr="00D72FD2">
              <w:rPr>
                <w:rFonts w:ascii="宋体" w:eastAsia="宋体" w:hAnsi="宋体" w:cs="Times New Roman" w:hint="eastAsia"/>
                <w:sz w:val="24"/>
                <w:szCs w:val="24"/>
              </w:rPr>
              <w:t>学时</w:t>
            </w:r>
          </w:p>
        </w:tc>
      </w:tr>
      <w:tr w:rsidR="00D72FD2" w:rsidRPr="00D72FD2" w14:paraId="7E349E9C" w14:textId="77777777" w:rsidTr="006B1C7F">
        <w:trPr>
          <w:jc w:val="center"/>
        </w:trPr>
        <w:tc>
          <w:tcPr>
            <w:tcW w:w="3493" w:type="dxa"/>
          </w:tcPr>
          <w:p w14:paraId="365A9E30" w14:textId="77777777" w:rsidR="00D72FD2" w:rsidRPr="00D72FD2" w:rsidRDefault="00D72FD2" w:rsidP="00D72FD2">
            <w:pPr>
              <w:spacing w:line="360" w:lineRule="auto"/>
              <w:jc w:val="left"/>
              <w:rPr>
                <w:rFonts w:ascii="Times New Roman" w:eastAsia="宋体" w:hAnsi="Times New Roman" w:cs="Times New Roman" w:hint="eastAsia"/>
                <w:sz w:val="24"/>
                <w:szCs w:val="24"/>
              </w:rPr>
            </w:pPr>
            <w:r w:rsidRPr="00D72FD2">
              <w:rPr>
                <w:rFonts w:ascii="Times New Roman" w:eastAsia="宋体" w:hAnsi="Times New Roman" w:cs="Times New Roman" w:hint="eastAsia"/>
                <w:sz w:val="24"/>
                <w:szCs w:val="24"/>
              </w:rPr>
              <w:t>第十章泻下药</w:t>
            </w:r>
          </w:p>
        </w:tc>
        <w:tc>
          <w:tcPr>
            <w:tcW w:w="2640" w:type="dxa"/>
          </w:tcPr>
          <w:p w14:paraId="4D736729"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探究式教学法</w:t>
            </w:r>
          </w:p>
        </w:tc>
        <w:tc>
          <w:tcPr>
            <w:tcW w:w="1966" w:type="dxa"/>
          </w:tcPr>
          <w:p w14:paraId="5F4973EC"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w:t>
            </w:r>
            <w:r w:rsidRPr="00D72FD2">
              <w:rPr>
                <w:rFonts w:ascii="宋体" w:eastAsia="宋体" w:hAnsi="宋体" w:cs="Times New Roman"/>
                <w:sz w:val="24"/>
                <w:szCs w:val="24"/>
              </w:rPr>
              <w:t>目标</w:t>
            </w:r>
            <w:r w:rsidRPr="00D72FD2">
              <w:rPr>
                <w:rFonts w:ascii="宋体" w:eastAsia="宋体" w:hAnsi="宋体" w:cs="Times New Roman" w:hint="eastAsia"/>
                <w:sz w:val="24"/>
                <w:szCs w:val="24"/>
              </w:rPr>
              <w:t>1、2</w:t>
            </w:r>
          </w:p>
        </w:tc>
        <w:tc>
          <w:tcPr>
            <w:tcW w:w="1258" w:type="dxa"/>
          </w:tcPr>
          <w:p w14:paraId="1FF11162"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sz w:val="24"/>
                <w:szCs w:val="24"/>
              </w:rPr>
              <w:t>4</w:t>
            </w:r>
            <w:r w:rsidRPr="00D72FD2">
              <w:rPr>
                <w:rFonts w:ascii="宋体" w:eastAsia="宋体" w:hAnsi="宋体" w:cs="Times New Roman" w:hint="eastAsia"/>
                <w:sz w:val="24"/>
                <w:szCs w:val="24"/>
              </w:rPr>
              <w:t>学时</w:t>
            </w:r>
          </w:p>
        </w:tc>
      </w:tr>
      <w:tr w:rsidR="00D72FD2" w:rsidRPr="00D72FD2" w14:paraId="2CEABB5F" w14:textId="77777777" w:rsidTr="006B1C7F">
        <w:trPr>
          <w:jc w:val="center"/>
        </w:trPr>
        <w:tc>
          <w:tcPr>
            <w:tcW w:w="3493" w:type="dxa"/>
          </w:tcPr>
          <w:p w14:paraId="43B5C7D9" w14:textId="77777777" w:rsidR="00D72FD2" w:rsidRPr="00D72FD2" w:rsidRDefault="00D72FD2" w:rsidP="00D72FD2">
            <w:pPr>
              <w:spacing w:line="360" w:lineRule="auto"/>
              <w:jc w:val="left"/>
              <w:rPr>
                <w:rFonts w:ascii="Times New Roman" w:eastAsia="宋体" w:hAnsi="Times New Roman" w:cs="Times New Roman" w:hint="eastAsia"/>
                <w:sz w:val="24"/>
                <w:szCs w:val="24"/>
              </w:rPr>
            </w:pPr>
            <w:r w:rsidRPr="00D72FD2">
              <w:rPr>
                <w:rFonts w:ascii="Times New Roman" w:eastAsia="宋体" w:hAnsi="Times New Roman" w:cs="Times New Roman" w:hint="eastAsia"/>
                <w:sz w:val="24"/>
                <w:szCs w:val="24"/>
              </w:rPr>
              <w:lastRenderedPageBreak/>
              <w:t>第十一章</w:t>
            </w:r>
            <w:proofErr w:type="gramStart"/>
            <w:r w:rsidRPr="00D72FD2">
              <w:rPr>
                <w:rFonts w:ascii="Times New Roman" w:eastAsia="宋体" w:hAnsi="Times New Roman" w:cs="Times New Roman" w:hint="eastAsia"/>
                <w:sz w:val="24"/>
                <w:szCs w:val="24"/>
              </w:rPr>
              <w:t>祛风湿药</w:t>
            </w:r>
            <w:proofErr w:type="gramEnd"/>
          </w:p>
        </w:tc>
        <w:tc>
          <w:tcPr>
            <w:tcW w:w="2640" w:type="dxa"/>
          </w:tcPr>
          <w:p w14:paraId="2FC0AF5E"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探究式教学法</w:t>
            </w:r>
          </w:p>
        </w:tc>
        <w:tc>
          <w:tcPr>
            <w:tcW w:w="1966" w:type="dxa"/>
          </w:tcPr>
          <w:p w14:paraId="0E147355"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w:t>
            </w:r>
            <w:r w:rsidRPr="00D72FD2">
              <w:rPr>
                <w:rFonts w:ascii="宋体" w:eastAsia="宋体" w:hAnsi="宋体" w:cs="Times New Roman"/>
                <w:sz w:val="24"/>
                <w:szCs w:val="24"/>
              </w:rPr>
              <w:t>目标</w:t>
            </w:r>
            <w:r w:rsidRPr="00D72FD2">
              <w:rPr>
                <w:rFonts w:ascii="宋体" w:eastAsia="宋体" w:hAnsi="宋体" w:cs="Times New Roman" w:hint="eastAsia"/>
                <w:sz w:val="24"/>
                <w:szCs w:val="24"/>
              </w:rPr>
              <w:t>1、2</w:t>
            </w:r>
          </w:p>
        </w:tc>
        <w:tc>
          <w:tcPr>
            <w:tcW w:w="1258" w:type="dxa"/>
          </w:tcPr>
          <w:p w14:paraId="4199309D"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2学时</w:t>
            </w:r>
          </w:p>
        </w:tc>
      </w:tr>
      <w:tr w:rsidR="00D72FD2" w:rsidRPr="00D72FD2" w14:paraId="11BED23C" w14:textId="77777777" w:rsidTr="006B1C7F">
        <w:trPr>
          <w:jc w:val="center"/>
        </w:trPr>
        <w:tc>
          <w:tcPr>
            <w:tcW w:w="3493" w:type="dxa"/>
          </w:tcPr>
          <w:p w14:paraId="4422F82A" w14:textId="77777777" w:rsidR="00D72FD2" w:rsidRPr="00D72FD2" w:rsidRDefault="00D72FD2" w:rsidP="00D72FD2">
            <w:pPr>
              <w:spacing w:line="360" w:lineRule="auto"/>
              <w:jc w:val="left"/>
              <w:rPr>
                <w:rFonts w:ascii="Times New Roman" w:eastAsia="宋体" w:hAnsi="Times New Roman" w:cs="Times New Roman" w:hint="eastAsia"/>
                <w:sz w:val="24"/>
                <w:szCs w:val="24"/>
              </w:rPr>
            </w:pPr>
            <w:r w:rsidRPr="00D72FD2">
              <w:rPr>
                <w:rFonts w:ascii="Times New Roman" w:eastAsia="宋体" w:hAnsi="Times New Roman" w:cs="Times New Roman" w:hint="eastAsia"/>
                <w:sz w:val="24"/>
                <w:szCs w:val="24"/>
              </w:rPr>
              <w:t>第十二章</w:t>
            </w:r>
            <w:proofErr w:type="gramStart"/>
            <w:r w:rsidRPr="00D72FD2">
              <w:rPr>
                <w:rFonts w:ascii="Times New Roman" w:eastAsia="宋体" w:hAnsi="Times New Roman" w:cs="Times New Roman" w:hint="eastAsia"/>
                <w:sz w:val="24"/>
                <w:szCs w:val="24"/>
              </w:rPr>
              <w:t>化湿药</w:t>
            </w:r>
            <w:proofErr w:type="gramEnd"/>
          </w:p>
        </w:tc>
        <w:tc>
          <w:tcPr>
            <w:tcW w:w="2640" w:type="dxa"/>
          </w:tcPr>
          <w:p w14:paraId="0C973622"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探究式教学法</w:t>
            </w:r>
          </w:p>
        </w:tc>
        <w:tc>
          <w:tcPr>
            <w:tcW w:w="1966" w:type="dxa"/>
          </w:tcPr>
          <w:p w14:paraId="200465C9"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w:t>
            </w:r>
            <w:r w:rsidRPr="00D72FD2">
              <w:rPr>
                <w:rFonts w:ascii="宋体" w:eastAsia="宋体" w:hAnsi="宋体" w:cs="Times New Roman"/>
                <w:sz w:val="24"/>
                <w:szCs w:val="24"/>
              </w:rPr>
              <w:t>目标</w:t>
            </w:r>
            <w:r w:rsidRPr="00D72FD2">
              <w:rPr>
                <w:rFonts w:ascii="宋体" w:eastAsia="宋体" w:hAnsi="宋体" w:cs="Times New Roman" w:hint="eastAsia"/>
                <w:sz w:val="24"/>
                <w:szCs w:val="24"/>
              </w:rPr>
              <w:t>1、2</w:t>
            </w:r>
          </w:p>
        </w:tc>
        <w:tc>
          <w:tcPr>
            <w:tcW w:w="1258" w:type="dxa"/>
          </w:tcPr>
          <w:p w14:paraId="63C182AB"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2学时</w:t>
            </w:r>
          </w:p>
        </w:tc>
      </w:tr>
      <w:tr w:rsidR="00D72FD2" w:rsidRPr="00D72FD2" w14:paraId="5FA6CDF3" w14:textId="77777777" w:rsidTr="006B1C7F">
        <w:trPr>
          <w:jc w:val="center"/>
        </w:trPr>
        <w:tc>
          <w:tcPr>
            <w:tcW w:w="3493" w:type="dxa"/>
          </w:tcPr>
          <w:p w14:paraId="609401CA" w14:textId="77777777" w:rsidR="00D72FD2" w:rsidRPr="00D72FD2" w:rsidRDefault="00D72FD2" w:rsidP="00D72FD2">
            <w:pPr>
              <w:spacing w:line="360" w:lineRule="auto"/>
              <w:jc w:val="left"/>
              <w:rPr>
                <w:rFonts w:ascii="Times New Roman" w:eastAsia="宋体" w:hAnsi="Times New Roman" w:cs="Times New Roman" w:hint="eastAsia"/>
                <w:sz w:val="24"/>
                <w:szCs w:val="24"/>
              </w:rPr>
            </w:pPr>
            <w:proofErr w:type="gramStart"/>
            <w:r w:rsidRPr="00D72FD2">
              <w:rPr>
                <w:rFonts w:ascii="Times New Roman" w:eastAsia="宋体" w:hAnsi="Times New Roman" w:cs="Times New Roman" w:hint="eastAsia"/>
                <w:sz w:val="24"/>
                <w:szCs w:val="24"/>
              </w:rPr>
              <w:t>第十三章利水渗湿药</w:t>
            </w:r>
            <w:proofErr w:type="gramEnd"/>
          </w:p>
        </w:tc>
        <w:tc>
          <w:tcPr>
            <w:tcW w:w="2640" w:type="dxa"/>
          </w:tcPr>
          <w:p w14:paraId="291592DA"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讲授法、</w:t>
            </w:r>
            <w:r w:rsidRPr="00D72FD2">
              <w:rPr>
                <w:rFonts w:ascii="宋体" w:eastAsia="宋体" w:hAnsi="宋体" w:cs="Times New Roman"/>
                <w:sz w:val="24"/>
                <w:szCs w:val="24"/>
              </w:rPr>
              <w:t>探究式教学法</w:t>
            </w:r>
          </w:p>
        </w:tc>
        <w:tc>
          <w:tcPr>
            <w:tcW w:w="1966" w:type="dxa"/>
          </w:tcPr>
          <w:p w14:paraId="3BAF8153"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课程</w:t>
            </w:r>
            <w:r w:rsidRPr="00D72FD2">
              <w:rPr>
                <w:rFonts w:ascii="宋体" w:eastAsia="宋体" w:hAnsi="宋体" w:cs="Times New Roman"/>
                <w:sz w:val="24"/>
                <w:szCs w:val="24"/>
              </w:rPr>
              <w:t>目标</w:t>
            </w:r>
            <w:r w:rsidRPr="00D72FD2">
              <w:rPr>
                <w:rFonts w:ascii="宋体" w:eastAsia="宋体" w:hAnsi="宋体" w:cs="Times New Roman" w:hint="eastAsia"/>
                <w:sz w:val="24"/>
                <w:szCs w:val="24"/>
              </w:rPr>
              <w:t>1、2</w:t>
            </w:r>
          </w:p>
        </w:tc>
        <w:tc>
          <w:tcPr>
            <w:tcW w:w="1258" w:type="dxa"/>
          </w:tcPr>
          <w:p w14:paraId="5701159B"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hint="eastAsia"/>
                <w:sz w:val="24"/>
                <w:szCs w:val="24"/>
              </w:rPr>
              <w:t>2学时</w:t>
            </w:r>
          </w:p>
        </w:tc>
      </w:tr>
      <w:tr w:rsidR="00D72FD2" w:rsidRPr="00D72FD2" w14:paraId="4BF22875" w14:textId="77777777" w:rsidTr="006B1C7F">
        <w:trPr>
          <w:jc w:val="center"/>
        </w:trPr>
        <w:tc>
          <w:tcPr>
            <w:tcW w:w="8099" w:type="dxa"/>
            <w:gridSpan w:val="3"/>
            <w:vAlign w:val="center"/>
          </w:tcPr>
          <w:p w14:paraId="1D37B9AC" w14:textId="77777777" w:rsidR="00D72FD2" w:rsidRPr="00D72FD2" w:rsidRDefault="00D72FD2" w:rsidP="00D72FD2">
            <w:pPr>
              <w:spacing w:line="360" w:lineRule="auto"/>
              <w:jc w:val="center"/>
              <w:rPr>
                <w:rFonts w:ascii="宋体" w:eastAsia="宋体" w:hAnsi="宋体" w:cs="Times New Roman" w:hint="eastAsia"/>
                <w:b/>
                <w:sz w:val="24"/>
                <w:szCs w:val="24"/>
              </w:rPr>
            </w:pPr>
            <w:r w:rsidRPr="00D72FD2">
              <w:rPr>
                <w:rFonts w:ascii="宋体" w:eastAsia="宋体" w:hAnsi="宋体" w:cs="Times New Roman" w:hint="eastAsia"/>
                <w:b/>
                <w:sz w:val="24"/>
                <w:szCs w:val="24"/>
              </w:rPr>
              <w:t>合计</w:t>
            </w:r>
          </w:p>
        </w:tc>
        <w:tc>
          <w:tcPr>
            <w:tcW w:w="1258" w:type="dxa"/>
            <w:vAlign w:val="center"/>
          </w:tcPr>
          <w:p w14:paraId="7DDABF84" w14:textId="77777777" w:rsidR="00D72FD2" w:rsidRPr="00D72FD2" w:rsidRDefault="00D72FD2" w:rsidP="00D72FD2">
            <w:pPr>
              <w:spacing w:line="360" w:lineRule="auto"/>
              <w:jc w:val="center"/>
              <w:rPr>
                <w:rFonts w:ascii="宋体" w:eastAsia="宋体" w:hAnsi="宋体" w:cs="Times New Roman" w:hint="eastAsia"/>
                <w:sz w:val="24"/>
                <w:szCs w:val="24"/>
              </w:rPr>
            </w:pPr>
            <w:r w:rsidRPr="00D72FD2">
              <w:rPr>
                <w:rFonts w:ascii="宋体" w:eastAsia="宋体" w:hAnsi="宋体" w:cs="Times New Roman"/>
                <w:sz w:val="24"/>
                <w:szCs w:val="24"/>
              </w:rPr>
              <w:t>3</w:t>
            </w:r>
            <w:r w:rsidRPr="00D72FD2">
              <w:rPr>
                <w:rFonts w:ascii="宋体" w:eastAsia="宋体" w:hAnsi="宋体" w:cs="Times New Roman" w:hint="eastAsia"/>
                <w:sz w:val="24"/>
                <w:szCs w:val="24"/>
              </w:rPr>
              <w:t>2学时</w:t>
            </w:r>
          </w:p>
        </w:tc>
      </w:tr>
    </w:tbl>
    <w:p w14:paraId="2406F3F0"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sz w:val="28"/>
          <w:szCs w:val="28"/>
        </w:rPr>
        <w:t>四、课程考核及与课程学习目标的对应关系</w:t>
      </w:r>
    </w:p>
    <w:p w14:paraId="39C8F316"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D72FD2" w:rsidRPr="00D72FD2" w14:paraId="59AEB7C6" w14:textId="77777777" w:rsidTr="006B1C7F">
        <w:trPr>
          <w:trHeight w:val="515"/>
          <w:jc w:val="center"/>
        </w:trPr>
        <w:tc>
          <w:tcPr>
            <w:tcW w:w="1422" w:type="dxa"/>
          </w:tcPr>
          <w:p w14:paraId="6D2275F8" w14:textId="77777777" w:rsidR="00D72FD2" w:rsidRPr="00D72FD2" w:rsidRDefault="00D72FD2" w:rsidP="00D72FD2">
            <w:pPr>
              <w:spacing w:line="360" w:lineRule="auto"/>
              <w:jc w:val="center"/>
              <w:rPr>
                <w:rFonts w:ascii="宋体" w:eastAsia="宋体" w:hAnsi="宋体" w:cs="Times New Roman" w:hint="eastAsia"/>
                <w:b/>
                <w:sz w:val="24"/>
                <w:szCs w:val="24"/>
              </w:rPr>
            </w:pPr>
            <w:r w:rsidRPr="00D72FD2">
              <w:rPr>
                <w:rFonts w:ascii="宋体" w:eastAsia="宋体" w:hAnsi="宋体" w:cs="Times New Roman" w:hint="eastAsia"/>
                <w:b/>
                <w:sz w:val="24"/>
                <w:szCs w:val="24"/>
              </w:rPr>
              <w:t>课程目标</w:t>
            </w:r>
          </w:p>
        </w:tc>
        <w:tc>
          <w:tcPr>
            <w:tcW w:w="7918" w:type="dxa"/>
            <w:vAlign w:val="center"/>
          </w:tcPr>
          <w:p w14:paraId="5E14A945" w14:textId="77777777" w:rsidR="00D72FD2" w:rsidRPr="00D72FD2" w:rsidRDefault="00D72FD2" w:rsidP="00D72FD2">
            <w:pPr>
              <w:spacing w:line="360" w:lineRule="auto"/>
              <w:jc w:val="center"/>
              <w:rPr>
                <w:rFonts w:ascii="宋体" w:eastAsia="宋体" w:hAnsi="宋体" w:cs="Times New Roman" w:hint="eastAsia"/>
                <w:b/>
                <w:sz w:val="24"/>
                <w:szCs w:val="24"/>
              </w:rPr>
            </w:pPr>
            <w:r w:rsidRPr="00D72FD2">
              <w:rPr>
                <w:rFonts w:ascii="宋体" w:eastAsia="宋体" w:hAnsi="宋体" w:cs="Times New Roman" w:hint="eastAsia"/>
                <w:b/>
                <w:sz w:val="24"/>
                <w:szCs w:val="24"/>
              </w:rPr>
              <w:t>考核内容</w:t>
            </w:r>
          </w:p>
        </w:tc>
      </w:tr>
      <w:tr w:rsidR="00D72FD2" w:rsidRPr="00D72FD2" w14:paraId="3CA904C8" w14:textId="77777777" w:rsidTr="006B1C7F">
        <w:trPr>
          <w:jc w:val="center"/>
        </w:trPr>
        <w:tc>
          <w:tcPr>
            <w:tcW w:w="1422" w:type="dxa"/>
            <w:vAlign w:val="center"/>
          </w:tcPr>
          <w:p w14:paraId="1ECCFC80" w14:textId="77777777" w:rsidR="00D72FD2" w:rsidRPr="00D72FD2" w:rsidRDefault="00D72FD2" w:rsidP="00D72FD2">
            <w:pPr>
              <w:spacing w:line="360" w:lineRule="auto"/>
              <w:jc w:val="center"/>
              <w:rPr>
                <w:rFonts w:ascii="宋体" w:eastAsia="宋体" w:hAnsi="宋体" w:cs="Times New Roman" w:hint="eastAsia"/>
                <w:bCs/>
                <w:sz w:val="24"/>
                <w:szCs w:val="24"/>
              </w:rPr>
            </w:pPr>
            <w:r w:rsidRPr="00D72FD2">
              <w:rPr>
                <w:rFonts w:ascii="宋体" w:eastAsia="宋体" w:hAnsi="宋体" w:cs="Times New Roman" w:hint="eastAsia"/>
                <w:bCs/>
                <w:sz w:val="24"/>
                <w:szCs w:val="24"/>
              </w:rPr>
              <w:t>课程目标1</w:t>
            </w:r>
          </w:p>
        </w:tc>
        <w:tc>
          <w:tcPr>
            <w:tcW w:w="7918" w:type="dxa"/>
            <w:vAlign w:val="center"/>
          </w:tcPr>
          <w:p w14:paraId="38FF7E9C" w14:textId="77777777" w:rsidR="00D72FD2" w:rsidRPr="00D72FD2" w:rsidRDefault="00D72FD2" w:rsidP="00D72FD2">
            <w:pPr>
              <w:spacing w:line="360" w:lineRule="auto"/>
              <w:rPr>
                <w:rFonts w:ascii="Times New Roman" w:eastAsia="宋体" w:hAnsi="Times New Roman" w:cs="Times New Roman" w:hint="eastAsia"/>
                <w:color w:val="000000"/>
                <w:sz w:val="24"/>
                <w:szCs w:val="24"/>
              </w:rPr>
            </w:pPr>
            <w:r w:rsidRPr="00D72FD2">
              <w:rPr>
                <w:rFonts w:ascii="宋体" w:eastAsia="宋体" w:hAnsi="宋体" w:cs="Times New Roman" w:hint="eastAsia"/>
                <w:bCs/>
                <w:sz w:val="24"/>
                <w:szCs w:val="24"/>
              </w:rPr>
              <w:t>根据</w:t>
            </w:r>
            <w:r w:rsidRPr="00D72FD2">
              <w:rPr>
                <w:rFonts w:ascii="Times New Roman" w:eastAsia="宋体" w:hAnsi="Times New Roman" w:cs="Times New Roman" w:hint="eastAsia"/>
                <w:color w:val="000000"/>
                <w:sz w:val="24"/>
                <w:szCs w:val="24"/>
              </w:rPr>
              <w:t>给定题目，运用所掌握的知识进行课程设计完成考试内容</w:t>
            </w:r>
          </w:p>
        </w:tc>
      </w:tr>
      <w:tr w:rsidR="00D72FD2" w:rsidRPr="00D72FD2" w14:paraId="59D771B7" w14:textId="77777777" w:rsidTr="006B1C7F">
        <w:trPr>
          <w:jc w:val="center"/>
        </w:trPr>
        <w:tc>
          <w:tcPr>
            <w:tcW w:w="1422" w:type="dxa"/>
            <w:vAlign w:val="center"/>
          </w:tcPr>
          <w:p w14:paraId="3B294BE4" w14:textId="77777777" w:rsidR="00D72FD2" w:rsidRPr="00D72FD2" w:rsidRDefault="00D72FD2" w:rsidP="00D72FD2">
            <w:pPr>
              <w:spacing w:line="360" w:lineRule="auto"/>
              <w:jc w:val="center"/>
              <w:rPr>
                <w:rFonts w:ascii="宋体" w:eastAsia="宋体" w:hAnsi="宋体" w:cs="Times New Roman" w:hint="eastAsia"/>
                <w:bCs/>
                <w:sz w:val="24"/>
                <w:szCs w:val="24"/>
              </w:rPr>
            </w:pPr>
            <w:r w:rsidRPr="00D72FD2">
              <w:rPr>
                <w:rFonts w:ascii="宋体" w:eastAsia="宋体" w:hAnsi="宋体" w:cs="Times New Roman" w:hint="eastAsia"/>
                <w:bCs/>
                <w:sz w:val="24"/>
                <w:szCs w:val="24"/>
              </w:rPr>
              <w:t>课程目标2</w:t>
            </w:r>
          </w:p>
        </w:tc>
        <w:tc>
          <w:tcPr>
            <w:tcW w:w="7918" w:type="dxa"/>
            <w:vAlign w:val="center"/>
          </w:tcPr>
          <w:p w14:paraId="3A513E7F" w14:textId="77777777" w:rsidR="00D72FD2" w:rsidRPr="00D72FD2" w:rsidRDefault="00D72FD2" w:rsidP="00D72FD2">
            <w:pPr>
              <w:spacing w:line="360" w:lineRule="auto"/>
              <w:rPr>
                <w:rFonts w:ascii="Times New Roman" w:eastAsia="宋体" w:hAnsi="Times New Roman" w:cs="Times New Roman" w:hint="eastAsia"/>
                <w:bCs/>
                <w:sz w:val="24"/>
                <w:szCs w:val="24"/>
              </w:rPr>
            </w:pPr>
            <w:r w:rsidRPr="00D72FD2">
              <w:rPr>
                <w:rFonts w:ascii="Times New Roman" w:eastAsia="宋体" w:hAnsi="Times New Roman" w:cs="Times New Roman" w:hint="eastAsia"/>
                <w:bCs/>
                <w:sz w:val="24"/>
                <w:szCs w:val="24"/>
              </w:rPr>
              <w:t>结合给定题目，通过课堂提问、课后复习和实践应用，完成考试内容</w:t>
            </w:r>
          </w:p>
        </w:tc>
      </w:tr>
    </w:tbl>
    <w:p w14:paraId="393262AE"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sz w:val="28"/>
          <w:szCs w:val="28"/>
        </w:rPr>
        <w:t>（二）课程考核方式</w:t>
      </w:r>
    </w:p>
    <w:p w14:paraId="5D0087F3"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1.平时成绩(平时作业+阶段测试+课堂表现)</w:t>
      </w:r>
    </w:p>
    <w:p w14:paraId="786C4DD7"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2.期末课程设计成绩</w:t>
      </w:r>
    </w:p>
    <w:p w14:paraId="6DF325C4"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学生最后总成绩由平时成绩(20%)+期末课程设计成绩(80%)的总和确定。</w:t>
      </w:r>
    </w:p>
    <w:p w14:paraId="23FCC95D"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sz w:val="28"/>
          <w:szCs w:val="28"/>
        </w:rPr>
        <w:t>（三）课程目标达成评价方式及考核比例</w:t>
      </w:r>
    </w:p>
    <w:p w14:paraId="33C5C3B0"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《中药学》课程考核方式及成绩比例为：平时成绩(平时作业+阶段测试+课堂表现) (20%)+期末成绩(80%)。</w:t>
      </w:r>
    </w:p>
    <w:p w14:paraId="44F0F4AE"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本课程共有两个课程目标，考核方式及成绩比例分别为：</w:t>
      </w:r>
    </w:p>
    <w:p w14:paraId="6AE78476"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课程目标1：平时成绩(平时作业+阶段测试+课堂表现) (10%)+期末成绩(50%)；</w:t>
      </w:r>
    </w:p>
    <w:p w14:paraId="4ED1871F"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课程目标2：平时成绩(平时作业+阶段测试+课堂表现) (10%)+期末成绩(30%)</w:t>
      </w:r>
    </w:p>
    <w:p w14:paraId="57398B99"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如下图：</w:t>
      </w:r>
    </w:p>
    <w:p w14:paraId="55AD5688" w14:textId="77777777" w:rsidR="00D72FD2" w:rsidRPr="00D72FD2" w:rsidRDefault="00D72FD2" w:rsidP="00D72FD2">
      <w:pPr>
        <w:spacing w:line="360" w:lineRule="auto"/>
        <w:rPr>
          <w:rFonts w:ascii="宋体" w:eastAsia="宋体" w:hAnsi="宋体" w:cs="Times New Roman" w:hint="eastAsia"/>
          <w:sz w:val="24"/>
          <w:szCs w:val="24"/>
        </w:rPr>
      </w:pPr>
    </w:p>
    <w:tbl>
      <w:tblPr>
        <w:tblpPr w:vertAnchor="text" w:horzAnchor="margin" w:tblpXSpec="right" w:tblpY="-84"/>
        <w:tblW w:w="0" w:type="auto"/>
        <w:tblLayout w:type="fixed"/>
        <w:tblLook w:val="0000" w:firstRow="0" w:lastRow="0" w:firstColumn="0" w:lastColumn="0" w:noHBand="0" w:noVBand="0"/>
      </w:tblPr>
      <w:tblGrid>
        <w:gridCol w:w="1427"/>
        <w:gridCol w:w="2158"/>
        <w:gridCol w:w="2760"/>
        <w:gridCol w:w="2262"/>
        <w:gridCol w:w="6"/>
      </w:tblGrid>
      <w:tr w:rsidR="00D72FD2" w:rsidRPr="00D72FD2" w14:paraId="7EB52133" w14:textId="77777777" w:rsidTr="006B1C7F">
        <w:trPr>
          <w:gridAfter w:val="1"/>
          <w:wAfter w:w="6" w:type="dxa"/>
          <w:trHeight w:val="540"/>
        </w:trPr>
        <w:tc>
          <w:tcPr>
            <w:tcW w:w="1427" w:type="dxa"/>
            <w:vMerge w:val="restart"/>
            <w:tcBorders>
              <w:top w:val="single" w:sz="4" w:space="0" w:color="auto"/>
              <w:left w:val="single" w:sz="4" w:space="0" w:color="auto"/>
              <w:bottom w:val="single" w:sz="4" w:space="0" w:color="auto"/>
              <w:right w:val="single" w:sz="4" w:space="0" w:color="auto"/>
            </w:tcBorders>
            <w:vAlign w:val="center"/>
          </w:tcPr>
          <w:p w14:paraId="75DD7319"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b/>
                <w:sz w:val="24"/>
                <w:szCs w:val="24"/>
              </w:rPr>
              <w:t>课程目标</w:t>
            </w:r>
          </w:p>
        </w:tc>
        <w:tc>
          <w:tcPr>
            <w:tcW w:w="4918" w:type="dxa"/>
            <w:gridSpan w:val="2"/>
            <w:tcBorders>
              <w:top w:val="single" w:sz="4" w:space="0" w:color="auto"/>
              <w:left w:val="single" w:sz="4" w:space="0" w:color="auto"/>
              <w:bottom w:val="single" w:sz="4" w:space="0" w:color="auto"/>
              <w:right w:val="single" w:sz="4" w:space="0" w:color="auto"/>
            </w:tcBorders>
          </w:tcPr>
          <w:p w14:paraId="4B95822A"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b/>
                <w:sz w:val="24"/>
                <w:szCs w:val="24"/>
              </w:rPr>
              <w:t>考核方式及成绩比例（%）</w:t>
            </w:r>
          </w:p>
        </w:tc>
        <w:tc>
          <w:tcPr>
            <w:tcW w:w="2262" w:type="dxa"/>
            <w:tcBorders>
              <w:top w:val="single" w:sz="4" w:space="0" w:color="auto"/>
              <w:left w:val="single" w:sz="4" w:space="0" w:color="auto"/>
              <w:bottom w:val="single" w:sz="4" w:space="0" w:color="auto"/>
              <w:right w:val="single" w:sz="4" w:space="0" w:color="auto"/>
            </w:tcBorders>
            <w:vAlign w:val="center"/>
          </w:tcPr>
          <w:p w14:paraId="41AF574E"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b/>
                <w:sz w:val="24"/>
                <w:szCs w:val="24"/>
              </w:rPr>
              <w:t>合计</w:t>
            </w:r>
          </w:p>
        </w:tc>
      </w:tr>
      <w:tr w:rsidR="00D72FD2" w:rsidRPr="00D72FD2" w14:paraId="6A12E1D3" w14:textId="77777777" w:rsidTr="006B1C7F">
        <w:trPr>
          <w:trHeight w:val="578"/>
        </w:trPr>
        <w:tc>
          <w:tcPr>
            <w:tcW w:w="1427" w:type="dxa"/>
            <w:vMerge/>
            <w:tcBorders>
              <w:top w:val="single" w:sz="4" w:space="0" w:color="auto"/>
              <w:left w:val="single" w:sz="4" w:space="0" w:color="auto"/>
              <w:bottom w:val="single" w:sz="4" w:space="0" w:color="auto"/>
              <w:right w:val="single" w:sz="4" w:space="0" w:color="auto"/>
            </w:tcBorders>
            <w:vAlign w:val="center"/>
          </w:tcPr>
          <w:p w14:paraId="05C7A7E1" w14:textId="77777777" w:rsidR="00D72FD2" w:rsidRPr="00D72FD2" w:rsidRDefault="00D72FD2" w:rsidP="00D72FD2">
            <w:pPr>
              <w:spacing w:line="360" w:lineRule="auto"/>
              <w:jc w:val="center"/>
              <w:rPr>
                <w:rFonts w:ascii="Times New Roman" w:eastAsia="宋体" w:hAnsi="Times New Roman" w:cs="Times New Roman"/>
                <w:szCs w:val="24"/>
              </w:rPr>
            </w:pPr>
          </w:p>
        </w:tc>
        <w:tc>
          <w:tcPr>
            <w:tcW w:w="2158" w:type="dxa"/>
            <w:tcBorders>
              <w:top w:val="single" w:sz="4" w:space="0" w:color="auto"/>
              <w:left w:val="single" w:sz="4" w:space="0" w:color="auto"/>
              <w:bottom w:val="single" w:sz="4" w:space="0" w:color="auto"/>
              <w:right w:val="single" w:sz="4" w:space="0" w:color="auto"/>
            </w:tcBorders>
            <w:vAlign w:val="center"/>
          </w:tcPr>
          <w:p w14:paraId="57800A13"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hint="eastAsia"/>
                <w:b/>
                <w:sz w:val="24"/>
                <w:szCs w:val="24"/>
              </w:rPr>
              <w:t>平时成绩</w:t>
            </w:r>
          </w:p>
        </w:tc>
        <w:tc>
          <w:tcPr>
            <w:tcW w:w="2760" w:type="dxa"/>
            <w:tcBorders>
              <w:top w:val="single" w:sz="4" w:space="0" w:color="auto"/>
              <w:left w:val="single" w:sz="4" w:space="0" w:color="auto"/>
              <w:bottom w:val="single" w:sz="4" w:space="0" w:color="auto"/>
              <w:right w:val="single" w:sz="4" w:space="0" w:color="auto"/>
            </w:tcBorders>
            <w:vAlign w:val="center"/>
          </w:tcPr>
          <w:p w14:paraId="660F629A"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hint="eastAsia"/>
                <w:b/>
                <w:sz w:val="24"/>
                <w:szCs w:val="24"/>
              </w:rPr>
              <w:t>期末成绩</w:t>
            </w: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774696C4" w14:textId="77777777" w:rsidR="00D72FD2" w:rsidRPr="00D72FD2" w:rsidRDefault="00D72FD2" w:rsidP="00D72FD2">
            <w:pPr>
              <w:spacing w:line="360" w:lineRule="auto"/>
              <w:jc w:val="center"/>
              <w:rPr>
                <w:rFonts w:ascii="Times New Roman" w:eastAsia="宋体" w:hAnsi="Times New Roman" w:cs="Times New Roman"/>
                <w:szCs w:val="24"/>
              </w:rPr>
            </w:pPr>
          </w:p>
        </w:tc>
      </w:tr>
      <w:tr w:rsidR="00D72FD2" w:rsidRPr="00D72FD2" w14:paraId="697B3C48" w14:textId="77777777" w:rsidTr="006B1C7F">
        <w:tc>
          <w:tcPr>
            <w:tcW w:w="1427" w:type="dxa"/>
            <w:tcBorders>
              <w:top w:val="single" w:sz="4" w:space="0" w:color="auto"/>
              <w:left w:val="single" w:sz="4" w:space="0" w:color="auto"/>
              <w:bottom w:val="single" w:sz="4" w:space="0" w:color="auto"/>
              <w:right w:val="single" w:sz="4" w:space="0" w:color="auto"/>
            </w:tcBorders>
            <w:vAlign w:val="center"/>
          </w:tcPr>
          <w:p w14:paraId="716E48F8"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sz w:val="24"/>
                <w:szCs w:val="24"/>
              </w:rPr>
              <w:t>课程目标1</w:t>
            </w:r>
          </w:p>
        </w:tc>
        <w:tc>
          <w:tcPr>
            <w:tcW w:w="2158" w:type="dxa"/>
            <w:tcBorders>
              <w:top w:val="single" w:sz="4" w:space="0" w:color="auto"/>
              <w:left w:val="single" w:sz="4" w:space="0" w:color="auto"/>
              <w:bottom w:val="single" w:sz="4" w:space="0" w:color="auto"/>
              <w:right w:val="single" w:sz="4" w:space="0" w:color="auto"/>
            </w:tcBorders>
            <w:vAlign w:val="center"/>
          </w:tcPr>
          <w:p w14:paraId="2EF252D2"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sz w:val="24"/>
                <w:szCs w:val="24"/>
              </w:rPr>
              <w:t>1</w:t>
            </w:r>
            <w:r w:rsidRPr="00D72FD2">
              <w:rPr>
                <w:rFonts w:ascii="宋体" w:eastAsia="宋体" w:hAnsi="宋体" w:cs="Times New Roman" w:hint="eastAsia"/>
                <w:sz w:val="24"/>
                <w:szCs w:val="24"/>
              </w:rPr>
              <w:t>0</w:t>
            </w:r>
          </w:p>
        </w:tc>
        <w:tc>
          <w:tcPr>
            <w:tcW w:w="2760" w:type="dxa"/>
            <w:tcBorders>
              <w:top w:val="single" w:sz="4" w:space="0" w:color="auto"/>
              <w:left w:val="single" w:sz="4" w:space="0" w:color="auto"/>
              <w:bottom w:val="single" w:sz="4" w:space="0" w:color="auto"/>
              <w:right w:val="single" w:sz="4" w:space="0" w:color="auto"/>
            </w:tcBorders>
            <w:vAlign w:val="center"/>
          </w:tcPr>
          <w:p w14:paraId="21601E87"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sz w:val="24"/>
                <w:szCs w:val="24"/>
              </w:rPr>
              <w:t>5</w:t>
            </w:r>
            <w:r w:rsidRPr="00D72FD2">
              <w:rPr>
                <w:rFonts w:ascii="宋体" w:eastAsia="宋体" w:hAnsi="宋体" w:cs="Times New Roman" w:hint="eastAsia"/>
                <w:sz w:val="24"/>
                <w:szCs w:val="24"/>
              </w:rPr>
              <w:t>0</w:t>
            </w:r>
          </w:p>
        </w:tc>
        <w:tc>
          <w:tcPr>
            <w:tcW w:w="2268" w:type="dxa"/>
            <w:gridSpan w:val="2"/>
            <w:tcBorders>
              <w:top w:val="single" w:sz="4" w:space="0" w:color="auto"/>
              <w:left w:val="single" w:sz="4" w:space="0" w:color="auto"/>
              <w:bottom w:val="single" w:sz="4" w:space="0" w:color="auto"/>
              <w:right w:val="single" w:sz="4" w:space="0" w:color="auto"/>
            </w:tcBorders>
          </w:tcPr>
          <w:p w14:paraId="7F7FEB85" w14:textId="77777777" w:rsidR="00D72FD2" w:rsidRPr="00D72FD2" w:rsidRDefault="00D72FD2" w:rsidP="00D72FD2">
            <w:pPr>
              <w:spacing w:line="360" w:lineRule="auto"/>
              <w:jc w:val="center"/>
              <w:rPr>
                <w:rFonts w:ascii="Times New Roman" w:eastAsia="宋体" w:hAnsi="Times New Roman" w:cs="Times New Roman" w:hint="eastAsia"/>
                <w:szCs w:val="24"/>
              </w:rPr>
            </w:pPr>
            <w:r w:rsidRPr="00D72FD2">
              <w:rPr>
                <w:rFonts w:ascii="宋体" w:eastAsia="宋体" w:hAnsi="宋体" w:cs="Times New Roman"/>
                <w:sz w:val="24"/>
                <w:szCs w:val="24"/>
              </w:rPr>
              <w:t>6</w:t>
            </w:r>
            <w:r w:rsidRPr="00D72FD2">
              <w:rPr>
                <w:rFonts w:ascii="宋体" w:eastAsia="宋体" w:hAnsi="宋体" w:cs="Times New Roman" w:hint="eastAsia"/>
                <w:sz w:val="24"/>
                <w:szCs w:val="24"/>
              </w:rPr>
              <w:t>0</w:t>
            </w:r>
          </w:p>
        </w:tc>
      </w:tr>
      <w:tr w:rsidR="00D72FD2" w:rsidRPr="00D72FD2" w14:paraId="01972006" w14:textId="77777777" w:rsidTr="006B1C7F">
        <w:tc>
          <w:tcPr>
            <w:tcW w:w="1427" w:type="dxa"/>
            <w:tcBorders>
              <w:top w:val="single" w:sz="4" w:space="0" w:color="auto"/>
              <w:left w:val="single" w:sz="4" w:space="0" w:color="auto"/>
              <w:bottom w:val="single" w:sz="4" w:space="0" w:color="auto"/>
              <w:right w:val="single" w:sz="4" w:space="0" w:color="auto"/>
            </w:tcBorders>
            <w:vAlign w:val="center"/>
          </w:tcPr>
          <w:p w14:paraId="37C496CF"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sz w:val="24"/>
                <w:szCs w:val="24"/>
              </w:rPr>
              <w:t>课程目标2</w:t>
            </w:r>
          </w:p>
        </w:tc>
        <w:tc>
          <w:tcPr>
            <w:tcW w:w="2158" w:type="dxa"/>
            <w:tcBorders>
              <w:top w:val="single" w:sz="4" w:space="0" w:color="auto"/>
              <w:left w:val="single" w:sz="4" w:space="0" w:color="auto"/>
              <w:bottom w:val="single" w:sz="4" w:space="0" w:color="auto"/>
              <w:right w:val="single" w:sz="4" w:space="0" w:color="auto"/>
            </w:tcBorders>
            <w:vAlign w:val="center"/>
          </w:tcPr>
          <w:p w14:paraId="0BDA5852"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sz w:val="24"/>
                <w:szCs w:val="24"/>
              </w:rPr>
              <w:t>1</w:t>
            </w:r>
            <w:r w:rsidRPr="00D72FD2">
              <w:rPr>
                <w:rFonts w:ascii="宋体" w:eastAsia="宋体" w:hAnsi="宋体" w:cs="Times New Roman" w:hint="eastAsia"/>
                <w:sz w:val="24"/>
                <w:szCs w:val="24"/>
              </w:rPr>
              <w:t>0</w:t>
            </w:r>
          </w:p>
        </w:tc>
        <w:tc>
          <w:tcPr>
            <w:tcW w:w="2760" w:type="dxa"/>
            <w:tcBorders>
              <w:top w:val="single" w:sz="4" w:space="0" w:color="auto"/>
              <w:left w:val="single" w:sz="4" w:space="0" w:color="auto"/>
              <w:bottom w:val="single" w:sz="4" w:space="0" w:color="auto"/>
              <w:right w:val="single" w:sz="4" w:space="0" w:color="auto"/>
            </w:tcBorders>
            <w:vAlign w:val="center"/>
          </w:tcPr>
          <w:p w14:paraId="527B0274"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sz w:val="24"/>
                <w:szCs w:val="24"/>
              </w:rPr>
              <w:t>3</w:t>
            </w:r>
            <w:r w:rsidRPr="00D72FD2">
              <w:rPr>
                <w:rFonts w:ascii="宋体" w:eastAsia="宋体" w:hAnsi="宋体" w:cs="Times New Roman" w:hint="eastAsia"/>
                <w:sz w:val="24"/>
                <w:szCs w:val="24"/>
              </w:rPr>
              <w:t>0</w:t>
            </w:r>
          </w:p>
        </w:tc>
        <w:tc>
          <w:tcPr>
            <w:tcW w:w="2268" w:type="dxa"/>
            <w:gridSpan w:val="2"/>
            <w:tcBorders>
              <w:top w:val="single" w:sz="4" w:space="0" w:color="auto"/>
              <w:left w:val="single" w:sz="4" w:space="0" w:color="auto"/>
              <w:bottom w:val="single" w:sz="4" w:space="0" w:color="auto"/>
              <w:right w:val="single" w:sz="4" w:space="0" w:color="auto"/>
            </w:tcBorders>
          </w:tcPr>
          <w:p w14:paraId="5419EC9D"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sz w:val="24"/>
                <w:szCs w:val="24"/>
              </w:rPr>
              <w:t>4</w:t>
            </w:r>
            <w:r w:rsidRPr="00D72FD2">
              <w:rPr>
                <w:rFonts w:ascii="宋体" w:eastAsia="宋体" w:hAnsi="宋体" w:cs="Times New Roman" w:hint="eastAsia"/>
                <w:sz w:val="24"/>
                <w:szCs w:val="24"/>
              </w:rPr>
              <w:t>0</w:t>
            </w:r>
          </w:p>
        </w:tc>
      </w:tr>
      <w:tr w:rsidR="00D72FD2" w:rsidRPr="00D72FD2" w14:paraId="4FB5A8B4" w14:textId="77777777" w:rsidTr="006B1C7F">
        <w:tc>
          <w:tcPr>
            <w:tcW w:w="1427" w:type="dxa"/>
            <w:tcBorders>
              <w:top w:val="single" w:sz="4" w:space="0" w:color="auto"/>
              <w:left w:val="single" w:sz="4" w:space="0" w:color="auto"/>
              <w:bottom w:val="single" w:sz="4" w:space="0" w:color="auto"/>
              <w:right w:val="single" w:sz="4" w:space="0" w:color="auto"/>
            </w:tcBorders>
            <w:vAlign w:val="center"/>
          </w:tcPr>
          <w:p w14:paraId="1DB4499E"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sz w:val="24"/>
                <w:szCs w:val="24"/>
              </w:rPr>
              <w:t>合计</w:t>
            </w:r>
          </w:p>
        </w:tc>
        <w:tc>
          <w:tcPr>
            <w:tcW w:w="2158" w:type="dxa"/>
            <w:tcBorders>
              <w:top w:val="single" w:sz="4" w:space="0" w:color="auto"/>
              <w:left w:val="single" w:sz="4" w:space="0" w:color="auto"/>
              <w:bottom w:val="single" w:sz="4" w:space="0" w:color="auto"/>
              <w:right w:val="single" w:sz="4" w:space="0" w:color="auto"/>
            </w:tcBorders>
            <w:vAlign w:val="center"/>
          </w:tcPr>
          <w:p w14:paraId="2878F829" w14:textId="77777777" w:rsidR="00D72FD2" w:rsidRPr="00D72FD2" w:rsidRDefault="00D72FD2" w:rsidP="00D72FD2">
            <w:pPr>
              <w:spacing w:line="360" w:lineRule="auto"/>
              <w:jc w:val="center"/>
              <w:rPr>
                <w:rFonts w:ascii="Times New Roman" w:eastAsia="宋体" w:hAnsi="Times New Roman" w:cs="Times New Roman" w:hint="eastAsia"/>
                <w:szCs w:val="24"/>
              </w:rPr>
            </w:pPr>
            <w:r w:rsidRPr="00D72FD2">
              <w:rPr>
                <w:rFonts w:ascii="宋体" w:eastAsia="宋体" w:hAnsi="宋体" w:cs="Times New Roman"/>
                <w:sz w:val="24"/>
                <w:szCs w:val="24"/>
              </w:rPr>
              <w:t>2</w:t>
            </w:r>
            <w:r w:rsidRPr="00D72FD2">
              <w:rPr>
                <w:rFonts w:ascii="宋体" w:eastAsia="宋体" w:hAnsi="宋体" w:cs="Times New Roman" w:hint="eastAsia"/>
                <w:sz w:val="24"/>
                <w:szCs w:val="24"/>
              </w:rPr>
              <w:t>0</w:t>
            </w:r>
          </w:p>
        </w:tc>
        <w:tc>
          <w:tcPr>
            <w:tcW w:w="2760" w:type="dxa"/>
            <w:tcBorders>
              <w:top w:val="single" w:sz="4" w:space="0" w:color="auto"/>
              <w:left w:val="single" w:sz="4" w:space="0" w:color="auto"/>
              <w:bottom w:val="single" w:sz="4" w:space="0" w:color="auto"/>
              <w:right w:val="single" w:sz="4" w:space="0" w:color="auto"/>
            </w:tcBorders>
            <w:vAlign w:val="center"/>
          </w:tcPr>
          <w:p w14:paraId="43D4FFFE" w14:textId="77777777" w:rsidR="00D72FD2" w:rsidRPr="00D72FD2" w:rsidRDefault="00D72FD2" w:rsidP="00D72FD2">
            <w:pPr>
              <w:spacing w:line="360" w:lineRule="auto"/>
              <w:jc w:val="center"/>
              <w:rPr>
                <w:rFonts w:ascii="Times New Roman" w:eastAsia="宋体" w:hAnsi="Times New Roman" w:cs="Times New Roman" w:hint="eastAsia"/>
                <w:szCs w:val="24"/>
              </w:rPr>
            </w:pPr>
            <w:r w:rsidRPr="00D72FD2">
              <w:rPr>
                <w:rFonts w:ascii="宋体" w:eastAsia="宋体" w:hAnsi="宋体" w:cs="Times New Roman"/>
                <w:sz w:val="24"/>
                <w:szCs w:val="24"/>
              </w:rPr>
              <w:t>8</w:t>
            </w:r>
            <w:r w:rsidRPr="00D72FD2">
              <w:rPr>
                <w:rFonts w:ascii="宋体" w:eastAsia="宋体" w:hAnsi="宋体" w:cs="Times New Roman" w:hint="eastAsia"/>
                <w:sz w:val="24"/>
                <w:szCs w:val="24"/>
              </w:rPr>
              <w:t>0</w:t>
            </w:r>
          </w:p>
        </w:tc>
        <w:tc>
          <w:tcPr>
            <w:tcW w:w="2268" w:type="dxa"/>
            <w:gridSpan w:val="2"/>
            <w:tcBorders>
              <w:top w:val="single" w:sz="4" w:space="0" w:color="auto"/>
              <w:left w:val="single" w:sz="4" w:space="0" w:color="auto"/>
              <w:bottom w:val="single" w:sz="4" w:space="0" w:color="auto"/>
              <w:right w:val="single" w:sz="4" w:space="0" w:color="auto"/>
            </w:tcBorders>
          </w:tcPr>
          <w:p w14:paraId="5D6D9338" w14:textId="77777777" w:rsidR="00D72FD2" w:rsidRPr="00D72FD2" w:rsidRDefault="00D72FD2" w:rsidP="00D72FD2">
            <w:pPr>
              <w:spacing w:line="360" w:lineRule="auto"/>
              <w:jc w:val="center"/>
              <w:rPr>
                <w:rFonts w:ascii="Times New Roman" w:eastAsia="宋体" w:hAnsi="Times New Roman" w:cs="Times New Roman"/>
                <w:szCs w:val="24"/>
              </w:rPr>
            </w:pPr>
            <w:r w:rsidRPr="00D72FD2">
              <w:rPr>
                <w:rFonts w:ascii="宋体" w:eastAsia="宋体" w:hAnsi="宋体" w:cs="Times New Roman"/>
                <w:sz w:val="24"/>
                <w:szCs w:val="24"/>
              </w:rPr>
              <w:t>100</w:t>
            </w:r>
          </w:p>
        </w:tc>
      </w:tr>
    </w:tbl>
    <w:p w14:paraId="0715E7AC"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sz w:val="28"/>
          <w:szCs w:val="28"/>
        </w:rPr>
        <w:lastRenderedPageBreak/>
        <w:t>五、成绩评定</w:t>
      </w:r>
    </w:p>
    <w:p w14:paraId="6E6562A3"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sz w:val="28"/>
          <w:szCs w:val="28"/>
        </w:rPr>
        <w:t>（一）总成绩评定</w:t>
      </w:r>
    </w:p>
    <w:p w14:paraId="4285E70C"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总成绩=平时成绩×20%+期末成绩×80%</w:t>
      </w:r>
    </w:p>
    <w:p w14:paraId="25FD9D7D" w14:textId="77777777" w:rsidR="00D72FD2" w:rsidRPr="00D72FD2" w:rsidRDefault="00D72FD2" w:rsidP="00D72FD2">
      <w:pPr>
        <w:spacing w:beforeLines="50" w:before="156" w:afterLines="50" w:after="156" w:line="360" w:lineRule="auto"/>
        <w:ind w:firstLineChars="200" w:firstLine="560"/>
        <w:rPr>
          <w:rFonts w:ascii="宋体" w:eastAsia="宋体" w:hAnsi="宋体" w:cs="Times New Roman" w:hint="eastAsia"/>
          <w:color w:val="FF0000"/>
          <w:sz w:val="24"/>
          <w:szCs w:val="24"/>
        </w:rPr>
      </w:pPr>
      <w:r w:rsidRPr="00D72FD2">
        <w:rPr>
          <w:rFonts w:ascii="黑体" w:eastAsia="黑体" w:hAnsi="黑体" w:cs="Times New Roman" w:hint="eastAsia"/>
          <w:sz w:val="28"/>
          <w:szCs w:val="28"/>
        </w:rPr>
        <w:t>（</w:t>
      </w:r>
      <w:r w:rsidRPr="00D72FD2">
        <w:rPr>
          <w:rFonts w:ascii="黑体" w:eastAsia="黑体" w:hAnsi="黑体" w:cs="Times New Roman"/>
          <w:sz w:val="28"/>
          <w:szCs w:val="28"/>
        </w:rPr>
        <w:t>二）平</w:t>
      </w:r>
      <w:r w:rsidRPr="00D72FD2">
        <w:rPr>
          <w:rFonts w:ascii="黑体" w:eastAsia="黑体" w:hAnsi="黑体" w:cs="Times New Roman" w:hint="eastAsia"/>
          <w:sz w:val="28"/>
          <w:szCs w:val="28"/>
        </w:rPr>
        <w:t>时成绩评定</w:t>
      </w:r>
    </w:p>
    <w:p w14:paraId="0D8F8DFE"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 xml:space="preserve">平时成绩（100%）=平时成绩(平时作业（40%）+阶段测试（40%）+课堂表现（20%）) </w:t>
      </w:r>
    </w:p>
    <w:p w14:paraId="57470AFC"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（1）平时作业完成情况：围绕课程的学习目标进行作业的设计。如让学生简述对知识的认识，考核学生对于概念的理解情况，帮助学生将定义转化为自己的理解；</w:t>
      </w:r>
    </w:p>
    <w:p w14:paraId="5B7D4AD9"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（2）阶段测试：通过对学生阶段测试，来评价学生的学习态度与学习掌握情况；</w:t>
      </w:r>
    </w:p>
    <w:p w14:paraId="70AD56D9"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（3）课堂表现：通过学生在课堂上的表现情况、发言与提问情况，来评价学生相关的能力；</w:t>
      </w:r>
    </w:p>
    <w:p w14:paraId="44E9B1E0" w14:textId="77777777" w:rsidR="00D72FD2" w:rsidRPr="00D72FD2" w:rsidRDefault="00D72FD2" w:rsidP="00D72FD2">
      <w:pPr>
        <w:spacing w:beforeLines="50" w:before="156" w:afterLines="50" w:after="156" w:line="360" w:lineRule="auto"/>
        <w:ind w:firstLineChars="200" w:firstLine="560"/>
        <w:rPr>
          <w:rFonts w:ascii="黑体" w:eastAsia="黑体" w:hAnsi="黑体" w:cs="Times New Roman" w:hint="eastAsia"/>
          <w:sz w:val="28"/>
          <w:szCs w:val="28"/>
        </w:rPr>
      </w:pPr>
      <w:r w:rsidRPr="00D72FD2">
        <w:rPr>
          <w:rFonts w:ascii="黑体" w:eastAsia="黑体" w:hAnsi="黑体" w:cs="Times New Roman"/>
          <w:sz w:val="28"/>
          <w:szCs w:val="28"/>
        </w:rPr>
        <w:t>（三）期</w:t>
      </w:r>
      <w:r w:rsidRPr="00D72FD2">
        <w:rPr>
          <w:rFonts w:ascii="黑体" w:eastAsia="黑体" w:hAnsi="黑体" w:cs="Times New Roman" w:hint="eastAsia"/>
          <w:sz w:val="28"/>
          <w:szCs w:val="28"/>
        </w:rPr>
        <w:t>末成绩评定</w:t>
      </w:r>
    </w:p>
    <w:p w14:paraId="5459BFB5"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期末考核主要考察学生对基本概念、知识和实践应用的理解与运用等。方式为开卷考试或期末课程设计。要求学生掌握基本概念、实践应用，运用具体方法解决相关问题。</w:t>
      </w:r>
    </w:p>
    <w:p w14:paraId="121C5AB9"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sz w:val="28"/>
          <w:szCs w:val="28"/>
        </w:rPr>
        <w:t>六、使用教材、相关推荐书目及课程资源</w:t>
      </w:r>
    </w:p>
    <w:p w14:paraId="64D1281F"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sz w:val="28"/>
          <w:szCs w:val="28"/>
        </w:rPr>
        <w:t>（一）使用教材</w:t>
      </w:r>
    </w:p>
    <w:p w14:paraId="46FD20F3"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t xml:space="preserve">《中华临床中药学》（第1版）, </w:t>
      </w:r>
      <w:proofErr w:type="gramStart"/>
      <w:r w:rsidRPr="00D72FD2">
        <w:rPr>
          <w:rFonts w:ascii="宋体" w:eastAsia="宋体" w:hAnsi="宋体" w:cs="Times New Roman"/>
          <w:sz w:val="24"/>
          <w:szCs w:val="24"/>
        </w:rPr>
        <w:t>雷载权</w:t>
      </w:r>
      <w:proofErr w:type="gramEnd"/>
      <w:r w:rsidRPr="00D72FD2">
        <w:rPr>
          <w:rFonts w:ascii="宋体" w:eastAsia="宋体" w:hAnsi="宋体" w:cs="Times New Roman"/>
          <w:sz w:val="24"/>
          <w:szCs w:val="24"/>
        </w:rPr>
        <w:t>, 张廷模, 人民卫生出版社，1998.</w:t>
      </w:r>
    </w:p>
    <w:p w14:paraId="77E5F57F"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sz w:val="28"/>
          <w:szCs w:val="28"/>
        </w:rPr>
        <w:t>（二）相关推荐书目</w:t>
      </w:r>
    </w:p>
    <w:p w14:paraId="4C080691" w14:textId="77777777" w:rsidR="00D72FD2" w:rsidRPr="00D72FD2" w:rsidRDefault="00D72FD2" w:rsidP="00D72FD2">
      <w:pPr>
        <w:spacing w:line="440" w:lineRule="exact"/>
        <w:ind w:firstLineChars="200" w:firstLine="480"/>
        <w:rPr>
          <w:rFonts w:ascii="宋体" w:eastAsia="宋体" w:hAnsi="宋体" w:cs="Times New Roman"/>
          <w:sz w:val="24"/>
          <w:szCs w:val="24"/>
        </w:rPr>
      </w:pPr>
      <w:r w:rsidRPr="00D72FD2">
        <w:rPr>
          <w:rFonts w:ascii="宋体" w:eastAsia="宋体" w:hAnsi="宋体" w:cs="Times New Roman"/>
          <w:sz w:val="24"/>
          <w:szCs w:val="24"/>
        </w:rPr>
        <w:fldChar w:fldCharType="begin"/>
      </w:r>
      <w:r w:rsidRPr="00D72FD2">
        <w:rPr>
          <w:rFonts w:ascii="宋体" w:eastAsia="宋体" w:hAnsi="宋体" w:cs="Times New Roman"/>
          <w:sz w:val="24"/>
          <w:szCs w:val="24"/>
        </w:rPr>
        <w:instrText xml:space="preserve"> = 1 \* GB3 </w:instrText>
      </w:r>
      <w:r w:rsidRPr="00D72FD2">
        <w:rPr>
          <w:rFonts w:ascii="宋体" w:eastAsia="宋体" w:hAnsi="宋体" w:cs="Times New Roman"/>
          <w:sz w:val="24"/>
          <w:szCs w:val="24"/>
        </w:rPr>
        <w:fldChar w:fldCharType="separate"/>
      </w:r>
      <w:r w:rsidRPr="00D72FD2">
        <w:rPr>
          <w:rFonts w:ascii="宋体" w:eastAsia="宋体" w:hAnsi="宋体" w:cs="Times New Roman"/>
          <w:sz w:val="24"/>
          <w:szCs w:val="24"/>
        </w:rPr>
        <w:t>①</w:t>
      </w:r>
      <w:r w:rsidRPr="00D72FD2">
        <w:rPr>
          <w:rFonts w:ascii="宋体" w:eastAsia="宋体" w:hAnsi="宋体" w:cs="Times New Roman"/>
          <w:sz w:val="24"/>
          <w:szCs w:val="24"/>
        </w:rPr>
        <w:fldChar w:fldCharType="end"/>
      </w:r>
      <w:r w:rsidRPr="00D72FD2">
        <w:rPr>
          <w:rFonts w:ascii="宋体" w:eastAsia="宋体" w:hAnsi="宋体" w:cs="Times New Roman"/>
          <w:sz w:val="24"/>
          <w:szCs w:val="24"/>
        </w:rPr>
        <w:t>《中药学》，高学敏，中国中医药出版社,2002.</w:t>
      </w:r>
    </w:p>
    <w:p w14:paraId="6AF0C536" w14:textId="77777777" w:rsidR="00D72FD2" w:rsidRPr="00D72FD2" w:rsidRDefault="00D72FD2" w:rsidP="00D72FD2">
      <w:pPr>
        <w:spacing w:line="440" w:lineRule="exact"/>
        <w:ind w:firstLineChars="200" w:firstLine="480"/>
        <w:rPr>
          <w:rFonts w:ascii="宋体" w:eastAsia="宋体" w:hAnsi="宋体" w:cs="Times New Roman"/>
          <w:color w:val="FF0000"/>
          <w:sz w:val="24"/>
          <w:szCs w:val="24"/>
        </w:rPr>
      </w:pPr>
      <w:r w:rsidRPr="00D72FD2">
        <w:rPr>
          <w:rFonts w:ascii="宋体" w:eastAsia="宋体" w:hAnsi="宋体" w:cs="Times New Roman"/>
          <w:sz w:val="24"/>
          <w:szCs w:val="24"/>
        </w:rPr>
        <w:fldChar w:fldCharType="begin"/>
      </w:r>
      <w:r w:rsidRPr="00D72FD2">
        <w:rPr>
          <w:rFonts w:ascii="宋体" w:eastAsia="宋体" w:hAnsi="宋体" w:cs="Times New Roman"/>
          <w:sz w:val="24"/>
          <w:szCs w:val="24"/>
        </w:rPr>
        <w:instrText xml:space="preserve"> = 2 \* GB3 </w:instrText>
      </w:r>
      <w:r w:rsidRPr="00D72FD2">
        <w:rPr>
          <w:rFonts w:ascii="宋体" w:eastAsia="宋体" w:hAnsi="宋体" w:cs="Times New Roman"/>
          <w:sz w:val="24"/>
          <w:szCs w:val="24"/>
        </w:rPr>
        <w:fldChar w:fldCharType="separate"/>
      </w:r>
      <w:r w:rsidRPr="00D72FD2">
        <w:rPr>
          <w:rFonts w:ascii="宋体" w:eastAsia="宋体" w:hAnsi="宋体" w:cs="Times New Roman"/>
          <w:sz w:val="24"/>
          <w:szCs w:val="24"/>
        </w:rPr>
        <w:t>②</w:t>
      </w:r>
      <w:r w:rsidRPr="00D72FD2">
        <w:rPr>
          <w:rFonts w:ascii="宋体" w:eastAsia="宋体" w:hAnsi="宋体" w:cs="Times New Roman"/>
          <w:sz w:val="24"/>
          <w:szCs w:val="24"/>
        </w:rPr>
        <w:fldChar w:fldCharType="end"/>
      </w:r>
      <w:r w:rsidRPr="00D72FD2">
        <w:rPr>
          <w:rFonts w:ascii="宋体" w:eastAsia="宋体" w:hAnsi="宋体" w:cs="Times New Roman"/>
          <w:sz w:val="24"/>
          <w:szCs w:val="24"/>
        </w:rPr>
        <w:t>《中医药高级丛书中药学》（第2版）, 高学敏, 人民卫生出版社，2013.</w:t>
      </w:r>
    </w:p>
    <w:p w14:paraId="31CA8EF8" w14:textId="77777777" w:rsidR="00D72FD2" w:rsidRPr="00D72FD2" w:rsidRDefault="00D72FD2" w:rsidP="00D72FD2">
      <w:pPr>
        <w:spacing w:beforeLines="50" w:before="156" w:afterLines="50" w:after="156" w:line="440" w:lineRule="exact"/>
        <w:ind w:firstLineChars="200" w:firstLine="560"/>
        <w:rPr>
          <w:rFonts w:ascii="黑体" w:eastAsia="黑体" w:hAnsi="黑体" w:cs="Times New Roman"/>
          <w:sz w:val="28"/>
          <w:szCs w:val="28"/>
        </w:rPr>
      </w:pPr>
      <w:r w:rsidRPr="00D72FD2">
        <w:rPr>
          <w:rFonts w:ascii="黑体" w:eastAsia="黑体" w:hAnsi="黑体" w:cs="Times New Roman"/>
          <w:sz w:val="28"/>
          <w:szCs w:val="28"/>
        </w:rPr>
        <w:t>七、课程大纲制定依据</w:t>
      </w:r>
    </w:p>
    <w:p w14:paraId="42DB9EBA" w14:textId="77777777" w:rsidR="00D72FD2" w:rsidRPr="00D72FD2" w:rsidRDefault="00D72FD2" w:rsidP="00D72FD2">
      <w:pPr>
        <w:spacing w:line="360" w:lineRule="auto"/>
        <w:ind w:firstLineChars="200" w:firstLine="480"/>
        <w:rPr>
          <w:rFonts w:ascii="宋体" w:eastAsia="宋体" w:hAnsi="宋体" w:cs="Times New Roman" w:hint="eastAsia"/>
          <w:sz w:val="24"/>
          <w:szCs w:val="24"/>
        </w:rPr>
      </w:pPr>
      <w:r w:rsidRPr="00D72FD2">
        <w:rPr>
          <w:rFonts w:ascii="宋体" w:eastAsia="宋体" w:hAnsi="宋体" w:cs="Times New Roman"/>
          <w:sz w:val="24"/>
          <w:szCs w:val="24"/>
        </w:rPr>
        <w:t>本</w:t>
      </w:r>
      <w:r w:rsidRPr="00D72FD2">
        <w:rPr>
          <w:rFonts w:ascii="宋体" w:eastAsia="宋体" w:hAnsi="宋体" w:cs="Times New Roman" w:hint="eastAsia"/>
          <w:sz w:val="24"/>
          <w:szCs w:val="24"/>
        </w:rPr>
        <w:t>课程大纲依据2023年药物分析专业人才培养方案制定。</w:t>
      </w:r>
    </w:p>
    <w:p w14:paraId="53A583A7" w14:textId="77777777" w:rsidR="00DD44D2" w:rsidRPr="00D72FD2" w:rsidRDefault="00DD44D2" w:rsidP="00DD44D2">
      <w:pPr>
        <w:spacing w:line="360" w:lineRule="auto"/>
        <w:ind w:firstLineChars="200" w:firstLine="480"/>
        <w:rPr>
          <w:rFonts w:ascii="宋体" w:eastAsia="宋体" w:hAnsi="宋体" w:cs="Times New Roman"/>
          <w:sz w:val="24"/>
          <w:szCs w:val="24"/>
        </w:rPr>
      </w:pPr>
    </w:p>
    <w:p w14:paraId="5FC578BA" w14:textId="2E8D6E7E" w:rsidR="00D72FD2" w:rsidRDefault="00D72FD2">
      <w:pPr>
        <w:widowControl/>
        <w:jc w:val="left"/>
        <w:rPr>
          <w:rFonts w:ascii="Calibri" w:eastAsia="宋体" w:hAnsi="Calibri" w:cs="Times New Roman"/>
          <w:bCs/>
        </w:rPr>
      </w:pPr>
      <w:r>
        <w:rPr>
          <w:rFonts w:ascii="Calibri" w:eastAsia="宋体" w:hAnsi="Calibri" w:cs="Times New Roman"/>
          <w:bCs/>
        </w:rPr>
        <w:br w:type="page"/>
      </w:r>
    </w:p>
    <w:p w14:paraId="04F196E3" w14:textId="77777777" w:rsidR="00DD44D2" w:rsidRPr="00DD44D2" w:rsidRDefault="00DD44D2" w:rsidP="003322BE">
      <w:pPr>
        <w:pStyle w:val="1"/>
      </w:pPr>
      <w:bookmarkStart w:id="281" w:name="_Toc149662381"/>
      <w:r w:rsidRPr="00DD44D2">
        <w:rPr>
          <w:rFonts w:hint="eastAsia"/>
        </w:rPr>
        <w:lastRenderedPageBreak/>
        <w:t>《科技文献检索》课程大纲</w:t>
      </w:r>
      <w:bookmarkEnd w:id="281"/>
    </w:p>
    <w:p w14:paraId="4336356B" w14:textId="77777777" w:rsidR="00DD44D2" w:rsidRPr="00DD44D2" w:rsidRDefault="00DD44D2" w:rsidP="00DD44D2">
      <w:pPr>
        <w:spacing w:beforeLines="50" w:before="156" w:afterLines="50" w:after="156" w:line="440" w:lineRule="exact"/>
        <w:ind w:firstLineChars="200" w:firstLine="560"/>
        <w:rPr>
          <w:rFonts w:ascii="黑体" w:eastAsia="黑体" w:hAnsi="黑体" w:cs="Times New Roman"/>
          <w:sz w:val="28"/>
          <w:szCs w:val="28"/>
        </w:rPr>
      </w:pPr>
      <w:r w:rsidRPr="00DD44D2">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6"/>
        <w:gridCol w:w="2753"/>
        <w:gridCol w:w="1524"/>
        <w:gridCol w:w="2874"/>
      </w:tblGrid>
      <w:tr w:rsidR="00DD44D2" w:rsidRPr="00DD44D2" w14:paraId="462B0CC6" w14:textId="77777777" w:rsidTr="00813A33">
        <w:trPr>
          <w:trHeight w:val="886"/>
          <w:jc w:val="center"/>
        </w:trPr>
        <w:tc>
          <w:tcPr>
            <w:tcW w:w="1668" w:type="dxa"/>
            <w:shd w:val="clear" w:color="auto" w:fill="auto"/>
            <w:vAlign w:val="center"/>
          </w:tcPr>
          <w:p w14:paraId="11AC1122"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课程名称</w:t>
            </w:r>
          </w:p>
        </w:tc>
        <w:tc>
          <w:tcPr>
            <w:tcW w:w="2833" w:type="dxa"/>
            <w:shd w:val="clear" w:color="auto" w:fill="auto"/>
            <w:vAlign w:val="center"/>
          </w:tcPr>
          <w:p w14:paraId="1119EEDD"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科技文献检索</w:t>
            </w:r>
          </w:p>
        </w:tc>
        <w:tc>
          <w:tcPr>
            <w:tcW w:w="1561" w:type="dxa"/>
            <w:shd w:val="clear" w:color="auto" w:fill="auto"/>
            <w:vAlign w:val="center"/>
          </w:tcPr>
          <w:p w14:paraId="2AED5FE4"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课程代码</w:t>
            </w:r>
          </w:p>
        </w:tc>
        <w:tc>
          <w:tcPr>
            <w:tcW w:w="2941" w:type="dxa"/>
            <w:shd w:val="clear" w:color="auto" w:fill="auto"/>
            <w:vAlign w:val="center"/>
          </w:tcPr>
          <w:p w14:paraId="6F846BDE"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szCs w:val="24"/>
              </w:rPr>
              <w:t>0714B10</w:t>
            </w:r>
          </w:p>
        </w:tc>
      </w:tr>
      <w:tr w:rsidR="00DD44D2" w:rsidRPr="00DD44D2" w14:paraId="25745C47" w14:textId="77777777" w:rsidTr="00813A33">
        <w:trPr>
          <w:trHeight w:val="829"/>
          <w:jc w:val="center"/>
        </w:trPr>
        <w:tc>
          <w:tcPr>
            <w:tcW w:w="1668" w:type="dxa"/>
            <w:shd w:val="clear" w:color="auto" w:fill="auto"/>
            <w:vAlign w:val="center"/>
          </w:tcPr>
          <w:p w14:paraId="7C95DBC5"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课程类别</w:t>
            </w:r>
          </w:p>
        </w:tc>
        <w:tc>
          <w:tcPr>
            <w:tcW w:w="2833" w:type="dxa"/>
            <w:shd w:val="clear" w:color="auto" w:fill="auto"/>
            <w:vAlign w:val="center"/>
          </w:tcPr>
          <w:p w14:paraId="1C1D1E96"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专业选修课程</w:t>
            </w:r>
          </w:p>
        </w:tc>
        <w:tc>
          <w:tcPr>
            <w:tcW w:w="1561" w:type="dxa"/>
            <w:shd w:val="clear" w:color="auto" w:fill="auto"/>
            <w:vAlign w:val="center"/>
          </w:tcPr>
          <w:p w14:paraId="242B2A73"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学时</w:t>
            </w:r>
          </w:p>
          <w:p w14:paraId="27083BF8"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/学分</w:t>
            </w:r>
          </w:p>
        </w:tc>
        <w:tc>
          <w:tcPr>
            <w:tcW w:w="2941" w:type="dxa"/>
            <w:shd w:val="clear" w:color="auto" w:fill="auto"/>
            <w:vAlign w:val="center"/>
          </w:tcPr>
          <w:p w14:paraId="01F169CC"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16/</w:t>
            </w:r>
            <w:r w:rsidRPr="00DD44D2">
              <w:rPr>
                <w:rFonts w:ascii="宋体" w:eastAsia="宋体" w:hAnsi="宋体" w:cs="Times New Roman"/>
                <w:sz w:val="24"/>
                <w:szCs w:val="24"/>
              </w:rPr>
              <w:t>0.5</w:t>
            </w:r>
          </w:p>
        </w:tc>
      </w:tr>
      <w:tr w:rsidR="00DD44D2" w:rsidRPr="00DD44D2" w14:paraId="6EDB76E1" w14:textId="77777777" w:rsidTr="00813A33">
        <w:trPr>
          <w:trHeight w:val="811"/>
          <w:jc w:val="center"/>
        </w:trPr>
        <w:tc>
          <w:tcPr>
            <w:tcW w:w="1668" w:type="dxa"/>
            <w:shd w:val="clear" w:color="auto" w:fill="auto"/>
            <w:vAlign w:val="center"/>
          </w:tcPr>
          <w:p w14:paraId="7C04C6DD"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开课单位</w:t>
            </w:r>
          </w:p>
        </w:tc>
        <w:tc>
          <w:tcPr>
            <w:tcW w:w="2833" w:type="dxa"/>
            <w:shd w:val="clear" w:color="auto" w:fill="auto"/>
            <w:vAlign w:val="center"/>
          </w:tcPr>
          <w:p w14:paraId="5E4E1088"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化工学院</w:t>
            </w:r>
          </w:p>
        </w:tc>
        <w:tc>
          <w:tcPr>
            <w:tcW w:w="1561" w:type="dxa"/>
            <w:shd w:val="clear" w:color="auto" w:fill="auto"/>
            <w:vAlign w:val="center"/>
          </w:tcPr>
          <w:p w14:paraId="73DD222C"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适用专业</w:t>
            </w:r>
          </w:p>
        </w:tc>
        <w:tc>
          <w:tcPr>
            <w:tcW w:w="2941" w:type="dxa"/>
            <w:shd w:val="clear" w:color="auto" w:fill="auto"/>
            <w:vAlign w:val="center"/>
          </w:tcPr>
          <w:p w14:paraId="0574D9FD"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药物分析</w:t>
            </w:r>
          </w:p>
        </w:tc>
      </w:tr>
      <w:tr w:rsidR="00DD44D2" w:rsidRPr="00DD44D2" w14:paraId="23555B85" w14:textId="77777777" w:rsidTr="00813A33">
        <w:trPr>
          <w:trHeight w:val="811"/>
          <w:jc w:val="center"/>
        </w:trPr>
        <w:tc>
          <w:tcPr>
            <w:tcW w:w="1668" w:type="dxa"/>
            <w:shd w:val="clear" w:color="auto" w:fill="auto"/>
            <w:vAlign w:val="center"/>
          </w:tcPr>
          <w:p w14:paraId="746C89E0"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课程负责人</w:t>
            </w:r>
          </w:p>
        </w:tc>
        <w:tc>
          <w:tcPr>
            <w:tcW w:w="7335" w:type="dxa"/>
            <w:gridSpan w:val="3"/>
            <w:shd w:val="clear" w:color="auto" w:fill="auto"/>
            <w:vAlign w:val="center"/>
          </w:tcPr>
          <w:p w14:paraId="02F24533" w14:textId="77777777" w:rsidR="00DD44D2" w:rsidRPr="00DD44D2" w:rsidRDefault="00DD44D2" w:rsidP="00DD44D2">
            <w:pPr>
              <w:spacing w:line="440" w:lineRule="exact"/>
              <w:jc w:val="center"/>
              <w:rPr>
                <w:rFonts w:ascii="宋体" w:eastAsia="宋体" w:hAnsi="宋体" w:cs="Times New Roman"/>
                <w:sz w:val="24"/>
                <w:szCs w:val="24"/>
              </w:rPr>
            </w:pPr>
            <w:proofErr w:type="gramStart"/>
            <w:r w:rsidRPr="00DD44D2">
              <w:rPr>
                <w:rFonts w:ascii="宋体" w:eastAsia="宋体" w:hAnsi="宋体" w:cs="Times New Roman" w:hint="eastAsia"/>
                <w:sz w:val="24"/>
                <w:szCs w:val="24"/>
              </w:rPr>
              <w:t>孙爽</w:t>
            </w:r>
            <w:proofErr w:type="gramEnd"/>
          </w:p>
        </w:tc>
      </w:tr>
      <w:tr w:rsidR="00DD44D2" w:rsidRPr="00DD44D2" w14:paraId="78D8E9E3" w14:textId="77777777" w:rsidTr="00813A33">
        <w:trPr>
          <w:trHeight w:val="836"/>
          <w:jc w:val="center"/>
        </w:trPr>
        <w:tc>
          <w:tcPr>
            <w:tcW w:w="1668" w:type="dxa"/>
            <w:shd w:val="clear" w:color="auto" w:fill="auto"/>
            <w:vAlign w:val="center"/>
          </w:tcPr>
          <w:p w14:paraId="1CA4B452"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大纲撰写人</w:t>
            </w:r>
          </w:p>
        </w:tc>
        <w:tc>
          <w:tcPr>
            <w:tcW w:w="2833" w:type="dxa"/>
            <w:shd w:val="clear" w:color="auto" w:fill="auto"/>
            <w:vAlign w:val="center"/>
          </w:tcPr>
          <w:p w14:paraId="75A65E57" w14:textId="77777777" w:rsidR="00DD44D2" w:rsidRPr="00DD44D2" w:rsidRDefault="00DD44D2" w:rsidP="00DD44D2">
            <w:pPr>
              <w:spacing w:line="440" w:lineRule="exact"/>
              <w:jc w:val="center"/>
              <w:rPr>
                <w:rFonts w:ascii="宋体" w:eastAsia="宋体" w:hAnsi="宋体" w:cs="Times New Roman"/>
                <w:sz w:val="24"/>
                <w:szCs w:val="24"/>
              </w:rPr>
            </w:pPr>
            <w:proofErr w:type="gramStart"/>
            <w:r w:rsidRPr="00DD44D2">
              <w:rPr>
                <w:rFonts w:ascii="宋体" w:eastAsia="宋体" w:hAnsi="宋体" w:cs="Times New Roman" w:hint="eastAsia"/>
                <w:sz w:val="24"/>
                <w:szCs w:val="24"/>
              </w:rPr>
              <w:t>孙爽</w:t>
            </w:r>
            <w:proofErr w:type="gramEnd"/>
          </w:p>
        </w:tc>
        <w:tc>
          <w:tcPr>
            <w:tcW w:w="1561" w:type="dxa"/>
            <w:shd w:val="clear" w:color="auto" w:fill="auto"/>
            <w:vAlign w:val="center"/>
          </w:tcPr>
          <w:p w14:paraId="0A7E246C"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大纲审核人</w:t>
            </w:r>
          </w:p>
        </w:tc>
        <w:tc>
          <w:tcPr>
            <w:tcW w:w="2941" w:type="dxa"/>
            <w:shd w:val="clear" w:color="auto" w:fill="auto"/>
            <w:vAlign w:val="center"/>
          </w:tcPr>
          <w:p w14:paraId="2447FD9B" w14:textId="77777777" w:rsidR="00DD44D2" w:rsidRPr="00DD44D2" w:rsidRDefault="00DD44D2" w:rsidP="00DD44D2">
            <w:pPr>
              <w:spacing w:line="440" w:lineRule="exact"/>
              <w:jc w:val="center"/>
              <w:rPr>
                <w:rFonts w:ascii="宋体" w:eastAsia="宋体" w:hAnsi="宋体" w:cs="Times New Roman"/>
                <w:sz w:val="24"/>
                <w:szCs w:val="24"/>
              </w:rPr>
            </w:pPr>
            <w:proofErr w:type="gramStart"/>
            <w:r w:rsidRPr="00DD44D2">
              <w:rPr>
                <w:rFonts w:ascii="宋体" w:eastAsia="宋体" w:hAnsi="宋体" w:cs="Times New Roman" w:hint="eastAsia"/>
                <w:sz w:val="24"/>
                <w:szCs w:val="24"/>
              </w:rPr>
              <w:t>冯</w:t>
            </w:r>
            <w:proofErr w:type="gramEnd"/>
            <w:r w:rsidRPr="00DD44D2">
              <w:rPr>
                <w:rFonts w:ascii="宋体" w:eastAsia="宋体" w:hAnsi="宋体" w:cs="Times New Roman" w:hint="eastAsia"/>
                <w:sz w:val="24"/>
                <w:szCs w:val="24"/>
              </w:rPr>
              <w:t>小龙</w:t>
            </w:r>
          </w:p>
        </w:tc>
      </w:tr>
      <w:tr w:rsidR="00DD44D2" w:rsidRPr="00DD44D2" w14:paraId="56E8391A" w14:textId="77777777" w:rsidTr="00813A33">
        <w:trPr>
          <w:trHeight w:val="848"/>
          <w:jc w:val="center"/>
        </w:trPr>
        <w:tc>
          <w:tcPr>
            <w:tcW w:w="1668" w:type="dxa"/>
            <w:shd w:val="clear" w:color="auto" w:fill="auto"/>
            <w:vAlign w:val="center"/>
          </w:tcPr>
          <w:p w14:paraId="3491ADB7"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先修课程</w:t>
            </w:r>
          </w:p>
        </w:tc>
        <w:tc>
          <w:tcPr>
            <w:tcW w:w="7335" w:type="dxa"/>
            <w:gridSpan w:val="3"/>
            <w:shd w:val="clear" w:color="auto" w:fill="auto"/>
            <w:vAlign w:val="center"/>
          </w:tcPr>
          <w:p w14:paraId="53C20FE2" w14:textId="77777777" w:rsidR="00DD44D2" w:rsidRPr="00DD44D2" w:rsidRDefault="00DD44D2" w:rsidP="00DD44D2">
            <w:pPr>
              <w:spacing w:line="440" w:lineRule="exact"/>
              <w:jc w:val="center"/>
              <w:rPr>
                <w:rFonts w:ascii="宋体" w:eastAsia="宋体" w:hAnsi="Times New Roman" w:cs="宋体"/>
                <w:color w:val="000000"/>
                <w:spacing w:val="1"/>
                <w:kern w:val="0"/>
                <w:sz w:val="24"/>
                <w:szCs w:val="24"/>
              </w:rPr>
            </w:pPr>
            <w:r w:rsidRPr="00DD44D2">
              <w:rPr>
                <w:rFonts w:ascii="宋体" w:eastAsia="宋体" w:hAnsi="Times New Roman" w:cs="宋体" w:hint="eastAsia"/>
                <w:color w:val="000000"/>
                <w:spacing w:val="1"/>
                <w:kern w:val="0"/>
                <w:sz w:val="24"/>
                <w:szCs w:val="24"/>
              </w:rPr>
              <w:t>分析化学、有机化学、无机化学、药剂学</w:t>
            </w:r>
          </w:p>
        </w:tc>
      </w:tr>
      <w:tr w:rsidR="00DD44D2" w:rsidRPr="00DD44D2" w14:paraId="0A3C90A2" w14:textId="77777777" w:rsidTr="00813A33">
        <w:trPr>
          <w:trHeight w:val="848"/>
          <w:jc w:val="center"/>
        </w:trPr>
        <w:tc>
          <w:tcPr>
            <w:tcW w:w="1668" w:type="dxa"/>
            <w:shd w:val="clear" w:color="auto" w:fill="auto"/>
            <w:vAlign w:val="center"/>
          </w:tcPr>
          <w:p w14:paraId="25E378C8"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课程网址</w:t>
            </w:r>
          </w:p>
        </w:tc>
        <w:tc>
          <w:tcPr>
            <w:tcW w:w="7335" w:type="dxa"/>
            <w:gridSpan w:val="3"/>
            <w:shd w:val="clear" w:color="auto" w:fill="auto"/>
            <w:vAlign w:val="center"/>
          </w:tcPr>
          <w:p w14:paraId="229D5E6F" w14:textId="77777777" w:rsidR="00DD44D2" w:rsidRPr="00DD44D2" w:rsidRDefault="00DD44D2" w:rsidP="00DD44D2">
            <w:pPr>
              <w:spacing w:line="440" w:lineRule="exact"/>
              <w:rPr>
                <w:rFonts w:ascii="宋体" w:eastAsia="宋体" w:hAnsi="宋体" w:cs="Times New Roman"/>
                <w:color w:val="FF0000"/>
                <w:sz w:val="24"/>
                <w:szCs w:val="24"/>
              </w:rPr>
            </w:pPr>
          </w:p>
        </w:tc>
      </w:tr>
    </w:tbl>
    <w:p w14:paraId="50855531" w14:textId="77777777" w:rsidR="00DD44D2" w:rsidRPr="00DD44D2" w:rsidRDefault="00DD44D2" w:rsidP="00DD44D2">
      <w:pPr>
        <w:spacing w:beforeLines="50" w:before="156" w:afterLines="50" w:after="156" w:line="440" w:lineRule="exact"/>
        <w:ind w:firstLineChars="200" w:firstLine="560"/>
        <w:rPr>
          <w:rFonts w:ascii="黑体" w:eastAsia="黑体" w:hAnsi="黑体" w:cs="Times New Roman"/>
          <w:sz w:val="28"/>
          <w:szCs w:val="28"/>
        </w:rPr>
      </w:pPr>
      <w:r w:rsidRPr="00DD44D2">
        <w:rPr>
          <w:rFonts w:ascii="黑体" w:eastAsia="黑体" w:hAnsi="黑体" w:cs="Times New Roman" w:hint="eastAsia"/>
          <w:sz w:val="28"/>
          <w:szCs w:val="28"/>
        </w:rPr>
        <w:t>二、课程学习目标及与毕业要求的对应关系</w:t>
      </w:r>
    </w:p>
    <w:p w14:paraId="26221770" w14:textId="77777777" w:rsidR="00DD44D2" w:rsidRPr="00DD44D2" w:rsidRDefault="00DD44D2" w:rsidP="00DD44D2">
      <w:pPr>
        <w:spacing w:beforeLines="50" w:before="156" w:afterLines="50" w:after="156" w:line="440" w:lineRule="exact"/>
        <w:ind w:firstLineChars="200" w:firstLine="560"/>
        <w:rPr>
          <w:rFonts w:ascii="黑体" w:eastAsia="黑体" w:hAnsi="黑体" w:cs="Times New Roman"/>
          <w:sz w:val="28"/>
          <w:szCs w:val="28"/>
        </w:rPr>
      </w:pPr>
      <w:r w:rsidRPr="00DD44D2">
        <w:rPr>
          <w:rFonts w:ascii="黑体" w:eastAsia="黑体" w:hAnsi="黑体" w:cs="Times New Roman" w:hint="eastAsia"/>
          <w:sz w:val="28"/>
          <w:szCs w:val="28"/>
        </w:rPr>
        <w:t>（一）课程学习目标</w:t>
      </w:r>
    </w:p>
    <w:p w14:paraId="04E9E6FA" w14:textId="77777777" w:rsidR="00DD44D2" w:rsidRPr="00DD44D2" w:rsidRDefault="00DD44D2" w:rsidP="00DD44D2">
      <w:pPr>
        <w:autoSpaceDE w:val="0"/>
        <w:autoSpaceDN w:val="0"/>
        <w:spacing w:line="440" w:lineRule="exact"/>
        <w:ind w:firstLineChars="200" w:firstLine="500"/>
        <w:rPr>
          <w:rFonts w:ascii="宋体" w:eastAsia="宋体" w:hAnsi="Times New Roman" w:cs="宋体"/>
          <w:color w:val="000000"/>
          <w:spacing w:val="5"/>
          <w:kern w:val="0"/>
          <w:sz w:val="24"/>
          <w:szCs w:val="24"/>
        </w:rPr>
      </w:pPr>
      <w:r w:rsidRPr="00DD44D2">
        <w:rPr>
          <w:rFonts w:ascii="宋体" w:eastAsia="宋体" w:hAnsi="Times New Roman" w:cs="宋体" w:hint="eastAsia"/>
          <w:color w:val="000000"/>
          <w:spacing w:val="5"/>
          <w:kern w:val="0"/>
          <w:sz w:val="24"/>
          <w:szCs w:val="24"/>
        </w:rPr>
        <w:t>本课程属于专业选修课程，掌握文献检索技能，获得自主学习拓展专业知识的能力。本课程旨在培养有信息素养的学生，认识中、英文医药网络数据库，练习数据库的检索和使用，提高学生对专业信息的敏感度，掌握获取和利用专业信息的技能。</w:t>
      </w:r>
    </w:p>
    <w:p w14:paraId="1C4EBCA5" w14:textId="77777777" w:rsidR="00DD44D2" w:rsidRPr="00DD44D2" w:rsidRDefault="00DD44D2" w:rsidP="00DD44D2">
      <w:pPr>
        <w:spacing w:line="440" w:lineRule="exact"/>
        <w:ind w:firstLineChars="200" w:firstLine="500"/>
        <w:rPr>
          <w:rFonts w:ascii="宋体" w:eastAsia="宋体" w:hAnsi="Times New Roman" w:cs="宋体"/>
          <w:color w:val="000000"/>
          <w:spacing w:val="5"/>
          <w:kern w:val="0"/>
          <w:sz w:val="24"/>
          <w:szCs w:val="24"/>
        </w:rPr>
      </w:pPr>
      <w:r w:rsidRPr="00DD44D2">
        <w:rPr>
          <w:rFonts w:ascii="宋体" w:eastAsia="宋体" w:hAnsi="Times New Roman" w:cs="宋体" w:hint="eastAsia"/>
          <w:color w:val="000000"/>
          <w:spacing w:val="5"/>
          <w:kern w:val="0"/>
          <w:sz w:val="24"/>
          <w:szCs w:val="24"/>
        </w:rPr>
        <w:t>通过</w:t>
      </w:r>
      <w:r w:rsidRPr="00DD44D2">
        <w:rPr>
          <w:rFonts w:ascii="宋体" w:eastAsia="宋体" w:hAnsi="Times New Roman" w:cs="宋体"/>
          <w:color w:val="000000"/>
          <w:spacing w:val="5"/>
          <w:kern w:val="0"/>
          <w:sz w:val="24"/>
          <w:szCs w:val="24"/>
        </w:rPr>
        <w:t>本课程的学习，</w:t>
      </w:r>
      <w:r w:rsidRPr="00DD44D2">
        <w:rPr>
          <w:rFonts w:ascii="宋体" w:eastAsia="宋体" w:hAnsi="Times New Roman" w:cs="宋体" w:hint="eastAsia"/>
          <w:color w:val="000000"/>
          <w:spacing w:val="5"/>
          <w:kern w:val="0"/>
          <w:sz w:val="24"/>
          <w:szCs w:val="24"/>
        </w:rPr>
        <w:t>使学生达到以下</w:t>
      </w:r>
      <w:r w:rsidRPr="00DD44D2">
        <w:rPr>
          <w:rFonts w:ascii="宋体" w:eastAsia="宋体" w:hAnsi="Times New Roman" w:cs="宋体"/>
          <w:color w:val="000000"/>
          <w:spacing w:val="5"/>
          <w:kern w:val="0"/>
          <w:sz w:val="24"/>
          <w:szCs w:val="24"/>
        </w:rPr>
        <w:t>目标：</w:t>
      </w:r>
    </w:p>
    <w:p w14:paraId="13A7C5C9" w14:textId="77777777" w:rsidR="00922269" w:rsidRPr="00922269" w:rsidRDefault="00922269" w:rsidP="00922269">
      <w:pPr>
        <w:autoSpaceDE w:val="0"/>
        <w:autoSpaceDN w:val="0"/>
        <w:spacing w:line="440" w:lineRule="exact"/>
        <w:ind w:leftChars="180" w:left="378" w:firstLineChars="50" w:firstLine="125"/>
        <w:rPr>
          <w:rFonts w:ascii="宋体" w:eastAsia="宋体" w:hAnsi="宋体" w:cs="Times New Roman"/>
          <w:b/>
          <w:sz w:val="24"/>
          <w:szCs w:val="24"/>
        </w:rPr>
      </w:pPr>
      <w:r w:rsidRPr="00922269">
        <w:rPr>
          <w:rFonts w:ascii="宋体" w:eastAsia="宋体" w:hAnsi="Times New Roman" w:cs="宋体"/>
          <w:color w:val="000000"/>
          <w:spacing w:val="5"/>
          <w:kern w:val="0"/>
          <w:sz w:val="24"/>
          <w:szCs w:val="24"/>
        </w:rPr>
        <w:t>1</w:t>
      </w:r>
      <w:r w:rsidRPr="00922269">
        <w:rPr>
          <w:rFonts w:ascii="宋体" w:eastAsia="宋体" w:hAnsi="Times New Roman" w:cs="宋体" w:hint="eastAsia"/>
          <w:color w:val="000000"/>
          <w:spacing w:val="5"/>
          <w:kern w:val="0"/>
          <w:sz w:val="24"/>
          <w:szCs w:val="24"/>
        </w:rPr>
        <w:t>.</w:t>
      </w:r>
      <w:r w:rsidRPr="00922269">
        <w:rPr>
          <w:rFonts w:ascii="宋体" w:eastAsia="宋体" w:hAnsi="Times New Roman" w:cs="宋体" w:hint="eastAsia"/>
          <w:spacing w:val="7"/>
          <w:kern w:val="0"/>
          <w:sz w:val="24"/>
          <w:szCs w:val="24"/>
        </w:rPr>
        <w:t>掌握中文、英文医药网络数据库的检索方法和技巧。熟悉专业文献检索数据库的种类和主要的文献数据库。</w:t>
      </w:r>
      <w:r w:rsidRPr="00922269">
        <w:rPr>
          <w:rFonts w:ascii="宋体" w:eastAsia="宋体" w:hAnsi="宋体" w:cs="Times New Roman"/>
          <w:b/>
          <w:sz w:val="24"/>
          <w:szCs w:val="24"/>
        </w:rPr>
        <w:t xml:space="preserve">【毕业要求1 </w:t>
      </w:r>
      <w:r w:rsidRPr="00922269">
        <w:rPr>
          <w:rFonts w:ascii="宋体" w:eastAsia="宋体" w:hAnsi="宋体" w:cs="Times New Roman" w:hint="eastAsia"/>
          <w:b/>
          <w:sz w:val="24"/>
          <w:szCs w:val="24"/>
        </w:rPr>
        <w:t>药学知识</w:t>
      </w:r>
      <w:r w:rsidRPr="00922269">
        <w:rPr>
          <w:rFonts w:ascii="宋体" w:eastAsia="宋体" w:hAnsi="宋体" w:cs="Times New Roman"/>
          <w:b/>
          <w:sz w:val="24"/>
          <w:szCs w:val="24"/>
        </w:rPr>
        <w:t>】【毕业要求</w:t>
      </w:r>
      <w:r w:rsidRPr="00922269">
        <w:rPr>
          <w:rFonts w:ascii="宋体" w:eastAsia="宋体" w:hAnsi="宋体" w:cs="Times New Roman" w:hint="eastAsia"/>
          <w:b/>
          <w:sz w:val="24"/>
          <w:szCs w:val="24"/>
        </w:rPr>
        <w:t>5</w:t>
      </w:r>
      <w:r w:rsidRPr="00922269">
        <w:rPr>
          <w:rFonts w:ascii="宋体" w:eastAsia="宋体" w:hAnsi="宋体" w:cs="Times New Roman"/>
          <w:b/>
          <w:sz w:val="24"/>
          <w:szCs w:val="24"/>
        </w:rPr>
        <w:t xml:space="preserve"> </w:t>
      </w:r>
      <w:r w:rsidRPr="00922269">
        <w:rPr>
          <w:rFonts w:ascii="宋体" w:eastAsia="宋体" w:hAnsi="宋体" w:cs="Times New Roman" w:hint="eastAsia"/>
          <w:b/>
          <w:sz w:val="24"/>
          <w:szCs w:val="24"/>
        </w:rPr>
        <w:t>使用现代工具</w:t>
      </w:r>
      <w:r w:rsidRPr="00922269">
        <w:rPr>
          <w:rFonts w:ascii="宋体" w:eastAsia="宋体" w:hAnsi="宋体" w:cs="Times New Roman"/>
          <w:b/>
          <w:sz w:val="24"/>
          <w:szCs w:val="24"/>
        </w:rPr>
        <w:t>】</w:t>
      </w:r>
    </w:p>
    <w:p w14:paraId="265B5A35" w14:textId="77777777" w:rsidR="00922269" w:rsidRPr="00922269" w:rsidRDefault="00922269" w:rsidP="00922269">
      <w:pPr>
        <w:spacing w:line="440" w:lineRule="exact"/>
        <w:ind w:firstLineChars="200" w:firstLine="480"/>
        <w:rPr>
          <w:rFonts w:ascii="宋体" w:eastAsia="宋体" w:hAnsi="宋体" w:cs="Times New Roman"/>
          <w:b/>
          <w:sz w:val="24"/>
          <w:szCs w:val="24"/>
        </w:rPr>
      </w:pPr>
      <w:r w:rsidRPr="00922269">
        <w:rPr>
          <w:rFonts w:ascii="宋体" w:eastAsia="宋体" w:hAnsi="宋体" w:cs="Times New Roman"/>
          <w:sz w:val="24"/>
          <w:szCs w:val="24"/>
        </w:rPr>
        <w:t>2</w:t>
      </w:r>
      <w:r w:rsidRPr="00922269">
        <w:rPr>
          <w:rFonts w:ascii="宋体" w:eastAsia="宋体" w:hAnsi="宋体" w:cs="Times New Roman" w:hint="eastAsia"/>
          <w:sz w:val="24"/>
          <w:szCs w:val="24"/>
        </w:rPr>
        <w:t>.</w:t>
      </w:r>
      <w:r w:rsidRPr="00922269">
        <w:rPr>
          <w:rFonts w:ascii="宋体" w:eastAsia="宋体" w:hAnsi="Times New Roman" w:cs="宋体" w:hint="eastAsia"/>
          <w:spacing w:val="7"/>
          <w:kern w:val="0"/>
          <w:sz w:val="24"/>
          <w:szCs w:val="24"/>
        </w:rPr>
        <w:t>掌握文献综述的写作方法，掌握药品专利文献的检索。</w:t>
      </w:r>
      <w:r w:rsidRPr="00922269">
        <w:rPr>
          <w:rFonts w:ascii="宋体" w:eastAsia="宋体" w:hAnsi="宋体" w:cs="Times New Roman"/>
          <w:b/>
          <w:sz w:val="24"/>
          <w:szCs w:val="24"/>
        </w:rPr>
        <w:t xml:space="preserve">【毕业要求4 </w:t>
      </w:r>
      <w:r w:rsidRPr="00922269">
        <w:rPr>
          <w:rFonts w:ascii="宋体" w:eastAsia="宋体" w:hAnsi="宋体" w:cs="Times New Roman" w:hint="eastAsia"/>
          <w:b/>
          <w:sz w:val="24"/>
          <w:szCs w:val="24"/>
        </w:rPr>
        <w:t>科学研究</w:t>
      </w:r>
      <w:r w:rsidRPr="00922269">
        <w:rPr>
          <w:rFonts w:ascii="宋体" w:eastAsia="宋体" w:hAnsi="宋体" w:cs="Times New Roman"/>
          <w:b/>
          <w:sz w:val="24"/>
          <w:szCs w:val="24"/>
        </w:rPr>
        <w:t>】</w:t>
      </w:r>
    </w:p>
    <w:p w14:paraId="19A060D9" w14:textId="77777777" w:rsidR="00DD44D2" w:rsidRPr="00DD44D2" w:rsidRDefault="00DD44D2" w:rsidP="00DD44D2">
      <w:pPr>
        <w:spacing w:beforeLines="50" w:before="156" w:afterLines="50" w:after="156" w:line="440" w:lineRule="exact"/>
        <w:ind w:firstLineChars="200" w:firstLine="560"/>
        <w:rPr>
          <w:rFonts w:ascii="黑体" w:eastAsia="黑体" w:hAnsi="黑体" w:cs="Times New Roman"/>
          <w:sz w:val="28"/>
          <w:szCs w:val="28"/>
        </w:rPr>
      </w:pPr>
      <w:r w:rsidRPr="00DD44D2">
        <w:rPr>
          <w:rFonts w:ascii="黑体" w:eastAsia="黑体" w:hAnsi="黑体" w:cs="Times New Roman" w:hint="eastAsia"/>
          <w:sz w:val="28"/>
          <w:szCs w:val="28"/>
        </w:rPr>
        <w:lastRenderedPageBreak/>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7"/>
        <w:gridCol w:w="5516"/>
        <w:gridCol w:w="1966"/>
      </w:tblGrid>
      <w:tr w:rsidR="00922269" w:rsidRPr="00922269" w14:paraId="4AD1ED2E" w14:textId="77777777" w:rsidTr="00095B84">
        <w:trPr>
          <w:trHeight w:val="815"/>
          <w:jc w:val="center"/>
        </w:trPr>
        <w:tc>
          <w:tcPr>
            <w:tcW w:w="1687" w:type="dxa"/>
            <w:vAlign w:val="center"/>
          </w:tcPr>
          <w:p w14:paraId="38B02426" w14:textId="77777777" w:rsidR="00922269" w:rsidRPr="00922269" w:rsidRDefault="00922269" w:rsidP="00922269">
            <w:pPr>
              <w:spacing w:line="440" w:lineRule="exact"/>
              <w:jc w:val="center"/>
              <w:rPr>
                <w:rFonts w:ascii="宋体" w:eastAsia="宋体" w:hAnsi="宋体" w:cs="Times New Roman"/>
                <w:b/>
                <w:sz w:val="24"/>
              </w:rPr>
            </w:pPr>
            <w:r w:rsidRPr="00922269">
              <w:rPr>
                <w:rFonts w:ascii="宋体" w:eastAsia="宋体" w:hAnsi="宋体" w:cs="Times New Roman" w:hint="eastAsia"/>
                <w:b/>
                <w:sz w:val="24"/>
              </w:rPr>
              <w:t>毕业要求</w:t>
            </w:r>
          </w:p>
        </w:tc>
        <w:tc>
          <w:tcPr>
            <w:tcW w:w="5516" w:type="dxa"/>
            <w:vAlign w:val="center"/>
          </w:tcPr>
          <w:p w14:paraId="58678BF0" w14:textId="77777777" w:rsidR="00922269" w:rsidRPr="00922269" w:rsidRDefault="00922269" w:rsidP="00922269">
            <w:pPr>
              <w:spacing w:line="440" w:lineRule="exact"/>
              <w:jc w:val="center"/>
              <w:rPr>
                <w:rFonts w:ascii="宋体" w:eastAsia="宋体" w:hAnsi="宋体" w:cs="Times New Roman"/>
                <w:b/>
                <w:sz w:val="24"/>
              </w:rPr>
            </w:pPr>
            <w:r w:rsidRPr="00922269">
              <w:rPr>
                <w:rFonts w:ascii="宋体" w:eastAsia="宋体" w:hAnsi="宋体" w:cs="Times New Roman" w:hint="eastAsia"/>
                <w:b/>
                <w:sz w:val="24"/>
              </w:rPr>
              <w:t>毕业要求指标点</w:t>
            </w:r>
          </w:p>
        </w:tc>
        <w:tc>
          <w:tcPr>
            <w:tcW w:w="1966" w:type="dxa"/>
            <w:vAlign w:val="center"/>
          </w:tcPr>
          <w:p w14:paraId="177050A1" w14:textId="77777777" w:rsidR="00922269" w:rsidRPr="00922269" w:rsidRDefault="00922269" w:rsidP="00922269">
            <w:pPr>
              <w:spacing w:line="440" w:lineRule="exact"/>
              <w:jc w:val="center"/>
              <w:rPr>
                <w:rFonts w:ascii="宋体" w:eastAsia="宋体" w:hAnsi="宋体" w:cs="Times New Roman"/>
                <w:b/>
                <w:sz w:val="24"/>
              </w:rPr>
            </w:pPr>
            <w:r w:rsidRPr="00922269">
              <w:rPr>
                <w:rFonts w:ascii="宋体" w:eastAsia="宋体" w:hAnsi="宋体" w:cs="Times New Roman" w:hint="eastAsia"/>
                <w:b/>
                <w:sz w:val="24"/>
              </w:rPr>
              <w:t>课程目标</w:t>
            </w:r>
          </w:p>
        </w:tc>
      </w:tr>
      <w:tr w:rsidR="00922269" w:rsidRPr="00922269" w14:paraId="7A0F46CF" w14:textId="77777777" w:rsidTr="00095B84">
        <w:trPr>
          <w:jc w:val="center"/>
        </w:trPr>
        <w:tc>
          <w:tcPr>
            <w:tcW w:w="1687" w:type="dxa"/>
            <w:vAlign w:val="center"/>
          </w:tcPr>
          <w:p w14:paraId="7284DC7E" w14:textId="77777777" w:rsidR="00922269" w:rsidRPr="00922269" w:rsidRDefault="00922269" w:rsidP="00922269">
            <w:pPr>
              <w:spacing w:line="440" w:lineRule="exact"/>
              <w:jc w:val="center"/>
              <w:rPr>
                <w:rFonts w:ascii="宋体" w:eastAsia="宋体" w:hAnsi="宋体" w:cs="WHBUGK+ËÎÌå"/>
                <w:color w:val="000000"/>
                <w:spacing w:val="-1"/>
                <w:sz w:val="24"/>
                <w:szCs w:val="24"/>
              </w:rPr>
            </w:pPr>
            <w:r w:rsidRPr="00922269">
              <w:rPr>
                <w:rFonts w:ascii="宋体" w:eastAsia="宋体" w:hAnsi="宋体" w:cs="WHBUGK+ËÎÌå" w:hint="eastAsia"/>
                <w:color w:val="000000"/>
                <w:spacing w:val="-1"/>
                <w:sz w:val="24"/>
                <w:szCs w:val="24"/>
              </w:rPr>
              <w:t>1</w:t>
            </w:r>
            <w:r w:rsidRPr="00922269">
              <w:rPr>
                <w:rFonts w:ascii="宋体" w:eastAsia="宋体" w:hAnsi="宋体" w:cs="WHBUGK+ËÎÌå"/>
                <w:color w:val="000000"/>
                <w:spacing w:val="-1"/>
                <w:sz w:val="24"/>
                <w:szCs w:val="24"/>
              </w:rPr>
              <w:t>.</w:t>
            </w:r>
            <w:r w:rsidRPr="00922269">
              <w:rPr>
                <w:rFonts w:ascii="宋体" w:eastAsia="宋体" w:hAnsi="宋体" w:cs="WHBUGK+ËÎÌå" w:hint="eastAsia"/>
                <w:color w:val="000000"/>
                <w:spacing w:val="-1"/>
                <w:sz w:val="24"/>
                <w:szCs w:val="24"/>
              </w:rPr>
              <w:t>药学知识</w:t>
            </w:r>
          </w:p>
        </w:tc>
        <w:tc>
          <w:tcPr>
            <w:tcW w:w="5516" w:type="dxa"/>
            <w:vAlign w:val="center"/>
          </w:tcPr>
          <w:p w14:paraId="6E0BC55B" w14:textId="77777777" w:rsidR="00922269" w:rsidRPr="00922269" w:rsidRDefault="00922269" w:rsidP="00922269">
            <w:pPr>
              <w:autoSpaceDE w:val="0"/>
              <w:autoSpaceDN w:val="0"/>
              <w:adjustRightInd w:val="0"/>
              <w:snapToGrid w:val="0"/>
              <w:spacing w:line="400" w:lineRule="exact"/>
              <w:jc w:val="left"/>
              <w:rPr>
                <w:rFonts w:ascii="Times New Roman" w:eastAsia="宋体" w:hAnsi="Times New Roman" w:cs="Times New Roman"/>
                <w:sz w:val="24"/>
                <w:szCs w:val="24"/>
              </w:rPr>
            </w:pPr>
            <w:r w:rsidRPr="00922269">
              <w:rPr>
                <w:rFonts w:ascii="宋体" w:eastAsia="宋体" w:hAnsi="宋体" w:cs="宋体"/>
                <w:bCs/>
                <w:sz w:val="24"/>
                <w:szCs w:val="24"/>
              </w:rPr>
              <w:t>1.4</w:t>
            </w:r>
            <w:r w:rsidRPr="00922269">
              <w:rPr>
                <w:rFonts w:ascii="宋体" w:eastAsia="宋体" w:hAnsi="宋体" w:cs="宋体" w:hint="eastAsia"/>
                <w:bCs/>
                <w:sz w:val="24"/>
                <w:szCs w:val="24"/>
              </w:rPr>
              <w:t xml:space="preserve"> </w:t>
            </w:r>
            <w:r w:rsidRPr="00922269">
              <w:rPr>
                <w:rFonts w:ascii="Times New Roman" w:eastAsia="宋体" w:hAnsi="Times New Roman" w:cs="Times New Roman" w:hint="eastAsia"/>
                <w:sz w:val="24"/>
                <w:szCs w:val="24"/>
              </w:rPr>
              <w:t>熟练掌握一门外语，掌握数据处理、文献检索及获取现代信息的基本方法。</w:t>
            </w:r>
          </w:p>
        </w:tc>
        <w:tc>
          <w:tcPr>
            <w:tcW w:w="1966" w:type="dxa"/>
            <w:vAlign w:val="center"/>
          </w:tcPr>
          <w:p w14:paraId="549F305D" w14:textId="77777777" w:rsidR="00922269" w:rsidRPr="00922269" w:rsidRDefault="00922269" w:rsidP="00922269">
            <w:pPr>
              <w:spacing w:line="440" w:lineRule="exact"/>
              <w:jc w:val="center"/>
              <w:rPr>
                <w:rFonts w:ascii="宋体" w:eastAsia="宋体" w:hAnsi="宋体" w:cs="Times New Roman"/>
                <w:sz w:val="24"/>
                <w:szCs w:val="24"/>
              </w:rPr>
            </w:pPr>
            <w:r w:rsidRPr="00922269">
              <w:rPr>
                <w:rFonts w:ascii="宋体" w:eastAsia="宋体" w:hAnsi="宋体" w:cs="Times New Roman" w:hint="eastAsia"/>
                <w:sz w:val="24"/>
                <w:szCs w:val="24"/>
              </w:rPr>
              <w:t>课程目标</w:t>
            </w:r>
            <w:r w:rsidRPr="00922269">
              <w:rPr>
                <w:rFonts w:ascii="宋体" w:eastAsia="宋体" w:hAnsi="宋体" w:cs="Times New Roman"/>
                <w:sz w:val="24"/>
                <w:szCs w:val="24"/>
              </w:rPr>
              <w:t>1</w:t>
            </w:r>
          </w:p>
        </w:tc>
      </w:tr>
      <w:tr w:rsidR="00922269" w:rsidRPr="00922269" w14:paraId="56129F0C" w14:textId="77777777" w:rsidTr="00095B84">
        <w:trPr>
          <w:jc w:val="center"/>
        </w:trPr>
        <w:tc>
          <w:tcPr>
            <w:tcW w:w="1687" w:type="dxa"/>
            <w:vAlign w:val="center"/>
          </w:tcPr>
          <w:p w14:paraId="371C6A09" w14:textId="77777777" w:rsidR="00922269" w:rsidRPr="00922269" w:rsidRDefault="00922269" w:rsidP="00922269">
            <w:pPr>
              <w:spacing w:line="440" w:lineRule="exact"/>
              <w:jc w:val="center"/>
              <w:rPr>
                <w:rFonts w:ascii="宋体" w:eastAsia="宋体" w:hAnsi="宋体" w:cs="WHBUGK+ËÎÌå"/>
                <w:color w:val="000000"/>
                <w:spacing w:val="-1"/>
                <w:sz w:val="24"/>
                <w:szCs w:val="24"/>
              </w:rPr>
            </w:pPr>
            <w:r w:rsidRPr="00922269">
              <w:rPr>
                <w:rFonts w:ascii="宋体" w:eastAsia="宋体" w:hAnsi="宋体" w:cs="WHBUGK+ËÎÌå" w:hint="eastAsia"/>
                <w:color w:val="000000"/>
                <w:spacing w:val="-1"/>
                <w:sz w:val="24"/>
                <w:szCs w:val="24"/>
              </w:rPr>
              <w:t>4</w:t>
            </w:r>
            <w:r w:rsidRPr="00922269">
              <w:rPr>
                <w:rFonts w:ascii="宋体" w:eastAsia="宋体" w:hAnsi="宋体" w:cs="WHBUGK+ËÎÌå"/>
                <w:color w:val="000000"/>
                <w:spacing w:val="-1"/>
                <w:sz w:val="24"/>
                <w:szCs w:val="24"/>
              </w:rPr>
              <w:t>.</w:t>
            </w:r>
            <w:r w:rsidRPr="00922269">
              <w:rPr>
                <w:rFonts w:ascii="宋体" w:eastAsia="宋体" w:hAnsi="宋体" w:cs="WHBUGK+ËÎÌå" w:hint="eastAsia"/>
                <w:color w:val="000000"/>
                <w:spacing w:val="-1"/>
                <w:sz w:val="24"/>
                <w:szCs w:val="24"/>
              </w:rPr>
              <w:t>科学研究</w:t>
            </w:r>
          </w:p>
        </w:tc>
        <w:tc>
          <w:tcPr>
            <w:tcW w:w="5516" w:type="dxa"/>
            <w:vAlign w:val="center"/>
          </w:tcPr>
          <w:p w14:paraId="581CB867" w14:textId="77777777" w:rsidR="00922269" w:rsidRPr="00922269" w:rsidRDefault="00922269" w:rsidP="00922269">
            <w:pPr>
              <w:autoSpaceDE w:val="0"/>
              <w:autoSpaceDN w:val="0"/>
              <w:adjustRightInd w:val="0"/>
              <w:snapToGrid w:val="0"/>
              <w:spacing w:line="400" w:lineRule="exact"/>
              <w:jc w:val="left"/>
              <w:rPr>
                <w:rFonts w:ascii="宋体" w:eastAsia="宋体" w:hAnsi="宋体" w:cs="WHBUGK+ËÎÌå"/>
                <w:sz w:val="24"/>
                <w:szCs w:val="24"/>
              </w:rPr>
            </w:pPr>
            <w:r w:rsidRPr="00922269">
              <w:rPr>
                <w:rFonts w:ascii="宋体" w:eastAsia="宋体" w:hAnsi="宋体" w:cs="WHBUGK+ËÎÌå" w:hint="eastAsia"/>
                <w:spacing w:val="-2"/>
                <w:sz w:val="24"/>
                <w:szCs w:val="24"/>
              </w:rPr>
              <w:t>4</w:t>
            </w:r>
            <w:r w:rsidRPr="00922269">
              <w:rPr>
                <w:rFonts w:ascii="宋体" w:eastAsia="宋体" w:hAnsi="宋体" w:cs="WHBUGK+ËÎÌå"/>
                <w:spacing w:val="-2"/>
                <w:sz w:val="24"/>
                <w:szCs w:val="24"/>
              </w:rPr>
              <w:t>.3根据实验目的，获得实验结果，综合文献资料</w:t>
            </w:r>
            <w:r w:rsidRPr="00922269">
              <w:rPr>
                <w:rFonts w:ascii="宋体" w:eastAsia="宋体" w:hAnsi="宋体" w:cs="WHBUGK+ËÎÌå"/>
                <w:sz w:val="24"/>
                <w:szCs w:val="24"/>
              </w:rPr>
              <w:t>得到合理、有效的结论。</w:t>
            </w:r>
          </w:p>
        </w:tc>
        <w:tc>
          <w:tcPr>
            <w:tcW w:w="1966" w:type="dxa"/>
            <w:vAlign w:val="center"/>
          </w:tcPr>
          <w:p w14:paraId="60DB3F27" w14:textId="77777777" w:rsidR="00922269" w:rsidRPr="00922269" w:rsidRDefault="00922269" w:rsidP="00922269">
            <w:pPr>
              <w:spacing w:line="440" w:lineRule="exact"/>
              <w:jc w:val="center"/>
              <w:rPr>
                <w:rFonts w:ascii="宋体" w:eastAsia="宋体" w:hAnsi="宋体" w:cs="Times New Roman"/>
                <w:sz w:val="24"/>
                <w:szCs w:val="24"/>
              </w:rPr>
            </w:pPr>
            <w:r w:rsidRPr="00922269">
              <w:rPr>
                <w:rFonts w:ascii="宋体" w:eastAsia="宋体" w:hAnsi="宋体" w:cs="Times New Roman" w:hint="eastAsia"/>
                <w:sz w:val="24"/>
                <w:szCs w:val="24"/>
              </w:rPr>
              <w:t>课程目标</w:t>
            </w:r>
            <w:r w:rsidRPr="00922269">
              <w:rPr>
                <w:rFonts w:ascii="宋体" w:eastAsia="宋体" w:hAnsi="宋体" w:cs="Times New Roman"/>
                <w:sz w:val="24"/>
                <w:szCs w:val="24"/>
              </w:rPr>
              <w:t>2</w:t>
            </w:r>
          </w:p>
        </w:tc>
      </w:tr>
      <w:tr w:rsidR="00922269" w:rsidRPr="00922269" w14:paraId="28E47EC7" w14:textId="77777777" w:rsidTr="00095B84">
        <w:trPr>
          <w:jc w:val="center"/>
        </w:trPr>
        <w:tc>
          <w:tcPr>
            <w:tcW w:w="1687" w:type="dxa"/>
            <w:vAlign w:val="center"/>
          </w:tcPr>
          <w:p w14:paraId="236C6E12" w14:textId="77777777" w:rsidR="00922269" w:rsidRPr="00922269" w:rsidRDefault="00922269" w:rsidP="00922269">
            <w:pPr>
              <w:spacing w:line="440" w:lineRule="exact"/>
              <w:jc w:val="center"/>
              <w:rPr>
                <w:rFonts w:ascii="宋体" w:eastAsia="宋体" w:hAnsi="宋体" w:cs="WHBUGK+ËÎÌå"/>
                <w:color w:val="000000"/>
                <w:spacing w:val="-1"/>
                <w:sz w:val="24"/>
                <w:szCs w:val="24"/>
              </w:rPr>
            </w:pPr>
            <w:r w:rsidRPr="00922269">
              <w:rPr>
                <w:rFonts w:ascii="宋体" w:eastAsia="宋体" w:hAnsi="宋体" w:cs="WHBUGK+ËÎÌå" w:hint="eastAsia"/>
                <w:color w:val="000000"/>
                <w:spacing w:val="-1"/>
                <w:sz w:val="24"/>
                <w:szCs w:val="24"/>
              </w:rPr>
              <w:t>5</w:t>
            </w:r>
            <w:r w:rsidRPr="00922269">
              <w:rPr>
                <w:rFonts w:ascii="宋体" w:eastAsia="宋体" w:hAnsi="宋体" w:cs="WHBUGK+ËÎÌå"/>
                <w:color w:val="000000"/>
                <w:spacing w:val="-1"/>
                <w:sz w:val="24"/>
                <w:szCs w:val="24"/>
              </w:rPr>
              <w:t>.</w:t>
            </w:r>
            <w:r w:rsidRPr="00922269">
              <w:rPr>
                <w:rFonts w:ascii="宋体" w:eastAsia="宋体" w:hAnsi="宋体" w:cs="WHBUGK+ËÎÌå" w:hint="eastAsia"/>
                <w:color w:val="000000"/>
                <w:spacing w:val="-1"/>
                <w:sz w:val="24"/>
                <w:szCs w:val="24"/>
              </w:rPr>
              <w:t>现代使用工具</w:t>
            </w:r>
          </w:p>
        </w:tc>
        <w:tc>
          <w:tcPr>
            <w:tcW w:w="5516" w:type="dxa"/>
            <w:vAlign w:val="center"/>
          </w:tcPr>
          <w:p w14:paraId="11C772CC" w14:textId="77777777" w:rsidR="00922269" w:rsidRPr="00922269" w:rsidRDefault="00922269" w:rsidP="00922269">
            <w:pPr>
              <w:spacing w:line="400" w:lineRule="exact"/>
              <w:rPr>
                <w:rFonts w:ascii="宋体" w:eastAsia="宋体" w:hAnsi="宋体" w:cs="WHBUGK+ËÎÌå"/>
                <w:color w:val="000000"/>
                <w:spacing w:val="-1"/>
                <w:sz w:val="24"/>
                <w:szCs w:val="24"/>
              </w:rPr>
            </w:pPr>
            <w:r w:rsidRPr="00922269">
              <w:rPr>
                <w:rFonts w:ascii="宋体" w:eastAsia="宋体" w:hAnsi="宋体" w:cs="Calibri" w:hint="eastAsia"/>
                <w:kern w:val="0"/>
                <w:sz w:val="24"/>
                <w:szCs w:val="24"/>
              </w:rPr>
              <w:t>5</w:t>
            </w:r>
            <w:r w:rsidRPr="00922269">
              <w:rPr>
                <w:rFonts w:ascii="宋体" w:eastAsia="宋体" w:hAnsi="宋体" w:cs="Calibri"/>
                <w:kern w:val="0"/>
                <w:sz w:val="24"/>
                <w:szCs w:val="24"/>
              </w:rPr>
              <w:t>.2能</w:t>
            </w:r>
            <w:r w:rsidRPr="00922269">
              <w:rPr>
                <w:rFonts w:ascii="宋体" w:eastAsia="宋体" w:hAnsi="宋体" w:cs="Calibri" w:hint="eastAsia"/>
                <w:kern w:val="0"/>
                <w:sz w:val="24"/>
                <w:szCs w:val="24"/>
              </w:rPr>
              <w:t>够</w:t>
            </w:r>
            <w:r w:rsidRPr="00922269">
              <w:rPr>
                <w:rFonts w:ascii="宋体" w:eastAsia="宋体" w:hAnsi="宋体" w:cs="Calibri"/>
                <w:kern w:val="0"/>
                <w:sz w:val="24"/>
                <w:szCs w:val="24"/>
              </w:rPr>
              <w:t>通过文献检索</w:t>
            </w:r>
            <w:r w:rsidRPr="00922269">
              <w:rPr>
                <w:rFonts w:ascii="宋体" w:eastAsia="宋体" w:hAnsi="宋体" w:cs="Calibri" w:hint="eastAsia"/>
                <w:kern w:val="0"/>
                <w:sz w:val="24"/>
                <w:szCs w:val="24"/>
              </w:rPr>
              <w:t>和</w:t>
            </w:r>
            <w:r w:rsidRPr="00922269">
              <w:rPr>
                <w:rFonts w:ascii="宋体" w:eastAsia="宋体" w:hAnsi="宋体" w:cs="Calibri"/>
                <w:kern w:val="0"/>
                <w:sz w:val="24"/>
                <w:szCs w:val="24"/>
              </w:rPr>
              <w:t>现代信息技术</w:t>
            </w:r>
            <w:r w:rsidRPr="00922269">
              <w:rPr>
                <w:rFonts w:ascii="宋体" w:eastAsia="宋体" w:hAnsi="宋体" w:cs="Calibri" w:hint="eastAsia"/>
                <w:kern w:val="0"/>
                <w:sz w:val="24"/>
                <w:szCs w:val="24"/>
              </w:rPr>
              <w:t>，分析</w:t>
            </w:r>
            <w:r w:rsidRPr="00922269">
              <w:rPr>
                <w:rFonts w:ascii="宋体" w:eastAsia="宋体" w:hAnsi="宋体" w:cs="Calibri"/>
                <w:kern w:val="0"/>
                <w:sz w:val="24"/>
                <w:szCs w:val="24"/>
              </w:rPr>
              <w:t>解决</w:t>
            </w:r>
            <w:r w:rsidRPr="00922269">
              <w:rPr>
                <w:rFonts w:ascii="宋体" w:eastAsia="宋体" w:hAnsi="宋体" w:cs="宋体" w:hint="eastAsia"/>
                <w:kern w:val="0"/>
                <w:sz w:val="24"/>
                <w:szCs w:val="24"/>
              </w:rPr>
              <w:t>药物分析</w:t>
            </w:r>
            <w:proofErr w:type="gramStart"/>
            <w:r w:rsidRPr="00922269">
              <w:rPr>
                <w:rFonts w:ascii="宋体" w:eastAsia="宋体" w:hAnsi="宋体" w:cs="宋体" w:hint="eastAsia"/>
                <w:kern w:val="0"/>
                <w:sz w:val="24"/>
                <w:szCs w:val="24"/>
              </w:rPr>
              <w:t>学</w:t>
            </w:r>
            <w:r w:rsidRPr="00922269">
              <w:rPr>
                <w:rFonts w:ascii="宋体" w:eastAsia="宋体" w:hAnsi="宋体" w:cs="Calibri"/>
                <w:kern w:val="0"/>
                <w:sz w:val="24"/>
                <w:szCs w:val="24"/>
              </w:rPr>
              <w:t>复杂</w:t>
            </w:r>
            <w:proofErr w:type="gramEnd"/>
            <w:r w:rsidRPr="00922269">
              <w:rPr>
                <w:rFonts w:ascii="宋体" w:eastAsia="宋体" w:hAnsi="宋体" w:cs="宋体" w:hint="eastAsia"/>
                <w:kern w:val="0"/>
                <w:sz w:val="24"/>
                <w:szCs w:val="24"/>
              </w:rPr>
              <w:t>的</w:t>
            </w:r>
            <w:r w:rsidRPr="00922269">
              <w:rPr>
                <w:rFonts w:ascii="宋体" w:eastAsia="宋体" w:hAnsi="宋体" w:cs="Calibri" w:hint="eastAsia"/>
                <w:kern w:val="0"/>
                <w:sz w:val="24"/>
                <w:szCs w:val="24"/>
              </w:rPr>
              <w:t>实际</w:t>
            </w:r>
            <w:r w:rsidRPr="00922269">
              <w:rPr>
                <w:rFonts w:ascii="宋体" w:eastAsia="宋体" w:hAnsi="宋体" w:cs="Calibri"/>
                <w:kern w:val="0"/>
                <w:sz w:val="24"/>
                <w:szCs w:val="24"/>
              </w:rPr>
              <w:t>问题</w:t>
            </w:r>
            <w:r w:rsidRPr="00922269">
              <w:rPr>
                <w:rFonts w:ascii="宋体" w:eastAsia="宋体" w:hAnsi="宋体" w:cs="Calibri" w:hint="eastAsia"/>
                <w:kern w:val="0"/>
                <w:sz w:val="24"/>
                <w:szCs w:val="24"/>
              </w:rPr>
              <w:t>。</w:t>
            </w:r>
          </w:p>
        </w:tc>
        <w:tc>
          <w:tcPr>
            <w:tcW w:w="1966" w:type="dxa"/>
            <w:vAlign w:val="center"/>
          </w:tcPr>
          <w:p w14:paraId="2B8BAFD0" w14:textId="77777777" w:rsidR="00922269" w:rsidRPr="00922269" w:rsidRDefault="00922269" w:rsidP="00922269">
            <w:pPr>
              <w:spacing w:line="440" w:lineRule="exact"/>
              <w:jc w:val="center"/>
              <w:rPr>
                <w:rFonts w:ascii="宋体" w:eastAsia="宋体" w:hAnsi="宋体" w:cs="Times New Roman"/>
                <w:sz w:val="24"/>
                <w:szCs w:val="24"/>
              </w:rPr>
            </w:pPr>
            <w:r w:rsidRPr="00922269">
              <w:rPr>
                <w:rFonts w:ascii="宋体" w:eastAsia="宋体" w:hAnsi="宋体" w:cs="Times New Roman" w:hint="eastAsia"/>
                <w:sz w:val="24"/>
                <w:szCs w:val="24"/>
              </w:rPr>
              <w:t>课程目标</w:t>
            </w:r>
            <w:r w:rsidRPr="00922269">
              <w:rPr>
                <w:rFonts w:ascii="宋体" w:eastAsia="宋体" w:hAnsi="宋体" w:cs="Times New Roman"/>
                <w:sz w:val="24"/>
                <w:szCs w:val="24"/>
              </w:rPr>
              <w:t>3</w:t>
            </w:r>
          </w:p>
        </w:tc>
      </w:tr>
    </w:tbl>
    <w:p w14:paraId="60E06551" w14:textId="77777777" w:rsidR="00DD44D2" w:rsidRPr="00DD44D2" w:rsidRDefault="00DD44D2" w:rsidP="00DD44D2">
      <w:pPr>
        <w:spacing w:beforeLines="50" w:before="156" w:afterLines="50" w:after="156" w:line="440" w:lineRule="exact"/>
        <w:ind w:firstLineChars="200" w:firstLine="560"/>
        <w:rPr>
          <w:rFonts w:ascii="黑体" w:eastAsia="黑体" w:hAnsi="黑体" w:cs="Times New Roman"/>
          <w:sz w:val="28"/>
          <w:szCs w:val="28"/>
        </w:rPr>
      </w:pPr>
      <w:r w:rsidRPr="00DD44D2">
        <w:rPr>
          <w:rFonts w:ascii="黑体" w:eastAsia="黑体" w:hAnsi="黑体" w:cs="Times New Roman" w:hint="eastAsia"/>
          <w:sz w:val="28"/>
          <w:szCs w:val="28"/>
        </w:rPr>
        <w:t>三、课程学习内容及与课程学习目标的对应关系</w:t>
      </w:r>
    </w:p>
    <w:p w14:paraId="1B9BCA24" w14:textId="77777777" w:rsidR="00DD44D2" w:rsidRPr="00DD44D2" w:rsidRDefault="00DD44D2" w:rsidP="00DD44D2">
      <w:pPr>
        <w:spacing w:beforeLines="50" w:before="156" w:afterLines="50" w:after="156" w:line="440" w:lineRule="exact"/>
        <w:ind w:firstLineChars="200" w:firstLine="560"/>
        <w:rPr>
          <w:rFonts w:ascii="黑体" w:eastAsia="黑体" w:hAnsi="黑体" w:cs="Times New Roman"/>
          <w:sz w:val="28"/>
          <w:szCs w:val="28"/>
        </w:rPr>
      </w:pPr>
      <w:r w:rsidRPr="00DD44D2">
        <w:rPr>
          <w:rFonts w:ascii="黑体" w:eastAsia="黑体" w:hAnsi="黑体" w:cs="Times New Roman" w:hint="eastAsia"/>
          <w:sz w:val="28"/>
          <w:szCs w:val="28"/>
        </w:rPr>
        <w:t>（一）课程学习内容</w:t>
      </w:r>
    </w:p>
    <w:p w14:paraId="42A68844" w14:textId="77777777" w:rsidR="00DD44D2" w:rsidRPr="00DD44D2" w:rsidRDefault="00DD44D2" w:rsidP="00DD44D2">
      <w:pPr>
        <w:spacing w:beforeLines="50" w:before="156" w:afterLines="50" w:after="156" w:line="440" w:lineRule="exact"/>
        <w:ind w:firstLineChars="200" w:firstLine="560"/>
        <w:jc w:val="center"/>
        <w:rPr>
          <w:rFonts w:ascii="宋体" w:eastAsia="宋体" w:hAnsi="宋体" w:cs="Times New Roman"/>
          <w:b/>
          <w:sz w:val="28"/>
          <w:szCs w:val="28"/>
        </w:rPr>
      </w:pPr>
      <w:r w:rsidRPr="00DD44D2">
        <w:rPr>
          <w:rFonts w:ascii="黑体" w:eastAsia="黑体" w:hAnsi="黑体" w:cs="Times New Roman" w:hint="eastAsia"/>
          <w:sz w:val="28"/>
          <w:szCs w:val="28"/>
        </w:rPr>
        <w:t xml:space="preserve">第一章  </w:t>
      </w:r>
      <w:r w:rsidRPr="00DD44D2">
        <w:rPr>
          <w:rFonts w:ascii="宋体" w:eastAsia="宋体" w:hAnsi="宋体" w:cs="Times New Roman" w:hint="eastAsia"/>
          <w:b/>
          <w:sz w:val="28"/>
          <w:szCs w:val="28"/>
        </w:rPr>
        <w:t>文献检索概述</w:t>
      </w:r>
    </w:p>
    <w:p w14:paraId="09C67398" w14:textId="77777777" w:rsidR="00DD44D2" w:rsidRPr="00DD44D2" w:rsidRDefault="00DD44D2" w:rsidP="00DD44D2">
      <w:pPr>
        <w:spacing w:line="440" w:lineRule="exact"/>
        <w:ind w:firstLineChars="200" w:firstLine="482"/>
        <w:jc w:val="left"/>
        <w:rPr>
          <w:rFonts w:ascii="宋体" w:eastAsia="宋体" w:hAnsi="宋体" w:cs="Times New Roman"/>
          <w:b/>
          <w:sz w:val="24"/>
          <w:szCs w:val="24"/>
        </w:rPr>
      </w:pPr>
      <w:r w:rsidRPr="00DD44D2">
        <w:rPr>
          <w:rFonts w:ascii="宋体" w:eastAsia="宋体" w:hAnsi="宋体" w:cs="Times New Roman" w:hint="eastAsia"/>
          <w:b/>
          <w:sz w:val="24"/>
          <w:szCs w:val="24"/>
        </w:rPr>
        <w:t>【学习目标】</w:t>
      </w:r>
      <w:r w:rsidRPr="00DD44D2">
        <w:rPr>
          <w:rFonts w:ascii="宋体" w:eastAsia="宋体" w:hAnsi="宋体" w:cs="Times New Roman"/>
          <w:sz w:val="24"/>
          <w:szCs w:val="24"/>
        </w:rPr>
        <w:t xml:space="preserve"> </w:t>
      </w:r>
    </w:p>
    <w:p w14:paraId="1D4D4E5C"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sz w:val="24"/>
          <w:szCs w:val="24"/>
        </w:rPr>
        <w:t xml:space="preserve">1. </w:t>
      </w:r>
      <w:r w:rsidRPr="00DD44D2">
        <w:rPr>
          <w:rFonts w:ascii="宋体" w:eastAsia="宋体" w:hAnsi="宋体" w:cs="Times New Roman" w:hint="eastAsia"/>
          <w:sz w:val="24"/>
          <w:szCs w:val="24"/>
        </w:rPr>
        <w:t>掌握药学文献的分类，文献检索的意义与作用，途径与方法及步骤</w:t>
      </w:r>
    </w:p>
    <w:p w14:paraId="39C3E57B"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sz w:val="24"/>
          <w:szCs w:val="24"/>
        </w:rPr>
        <w:t xml:space="preserve">2. </w:t>
      </w:r>
      <w:r w:rsidRPr="00DD44D2">
        <w:rPr>
          <w:rFonts w:ascii="宋体" w:eastAsia="宋体" w:hAnsi="宋体" w:cs="Times New Roman" w:hint="eastAsia"/>
          <w:sz w:val="24"/>
          <w:szCs w:val="24"/>
        </w:rPr>
        <w:t>熟悉文献检索语言、检索工具</w:t>
      </w:r>
    </w:p>
    <w:p w14:paraId="2B477328"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3</w:t>
      </w:r>
      <w:r w:rsidRPr="00DD44D2">
        <w:rPr>
          <w:rFonts w:ascii="宋体" w:eastAsia="宋体" w:hAnsi="宋体" w:cs="Times New Roman"/>
          <w:sz w:val="24"/>
          <w:szCs w:val="24"/>
        </w:rPr>
        <w:t xml:space="preserve">. </w:t>
      </w:r>
      <w:r w:rsidRPr="00DD44D2">
        <w:rPr>
          <w:rFonts w:ascii="宋体" w:eastAsia="宋体" w:hAnsi="宋体" w:cs="Times New Roman" w:hint="eastAsia"/>
          <w:sz w:val="24"/>
          <w:szCs w:val="24"/>
        </w:rPr>
        <w:t>了解药学文献的概念，能够区分信息，知识和情报</w:t>
      </w:r>
    </w:p>
    <w:p w14:paraId="6F198657"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【学习内容】</w:t>
      </w:r>
    </w:p>
    <w:p w14:paraId="4143BC61" w14:textId="77777777" w:rsidR="00DD44D2" w:rsidRPr="00DD44D2" w:rsidRDefault="00DD44D2" w:rsidP="00DD44D2">
      <w:pPr>
        <w:spacing w:line="440" w:lineRule="exact"/>
        <w:ind w:firstLineChars="200" w:firstLine="480"/>
        <w:rPr>
          <w:rFonts w:ascii="宋体" w:eastAsia="宋体" w:hAnsi="宋体" w:cs="Times New Roman"/>
          <w:b/>
          <w:sz w:val="24"/>
          <w:szCs w:val="24"/>
        </w:rPr>
      </w:pPr>
      <w:r w:rsidRPr="00DD44D2">
        <w:rPr>
          <w:rFonts w:ascii="宋体" w:eastAsia="宋体" w:hAnsi="宋体" w:cs="Times New Roman" w:hint="eastAsia"/>
          <w:sz w:val="24"/>
          <w:szCs w:val="24"/>
        </w:rPr>
        <w:t>1</w:t>
      </w:r>
      <w:r w:rsidRPr="00DD44D2">
        <w:rPr>
          <w:rFonts w:ascii="宋体" w:eastAsia="宋体" w:hAnsi="宋体" w:cs="Times New Roman"/>
          <w:sz w:val="24"/>
          <w:szCs w:val="24"/>
        </w:rPr>
        <w:t>.</w:t>
      </w:r>
      <w:r w:rsidRPr="00DD44D2">
        <w:rPr>
          <w:rFonts w:ascii="Times New Roman" w:eastAsia="宋体" w:hAnsi="Times New Roman" w:cs="Times New Roman" w:hint="eastAsia"/>
          <w:szCs w:val="24"/>
        </w:rPr>
        <w:t xml:space="preserve"> </w:t>
      </w:r>
      <w:r w:rsidRPr="00DD44D2">
        <w:rPr>
          <w:rFonts w:ascii="宋体" w:eastAsia="宋体" w:hAnsi="宋体" w:cs="楷体_GB2312" w:hint="eastAsia"/>
          <w:color w:val="000000"/>
          <w:kern w:val="0"/>
          <w:sz w:val="24"/>
          <w:szCs w:val="24"/>
        </w:rPr>
        <w:t>药学文献概述</w:t>
      </w:r>
    </w:p>
    <w:p w14:paraId="5E9EA9FB"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2</w:t>
      </w:r>
      <w:r w:rsidRPr="00DD44D2">
        <w:rPr>
          <w:rFonts w:ascii="宋体" w:eastAsia="宋体" w:hAnsi="宋体" w:cs="Times New Roman"/>
          <w:sz w:val="24"/>
          <w:szCs w:val="24"/>
        </w:rPr>
        <w:t>.</w:t>
      </w:r>
      <w:r w:rsidRPr="00DD44D2">
        <w:rPr>
          <w:rFonts w:ascii="Times New Roman" w:eastAsia="宋体" w:hAnsi="Times New Roman" w:cs="Times New Roman" w:hint="eastAsia"/>
          <w:sz w:val="24"/>
          <w:szCs w:val="24"/>
        </w:rPr>
        <w:t xml:space="preserve"> </w:t>
      </w:r>
      <w:r w:rsidRPr="00DD44D2">
        <w:rPr>
          <w:rFonts w:ascii="Times New Roman" w:eastAsia="宋体" w:hAnsi="Times New Roman" w:cs="Times New Roman" w:hint="eastAsia"/>
          <w:sz w:val="24"/>
          <w:szCs w:val="24"/>
        </w:rPr>
        <w:t>药学文献检索概述</w:t>
      </w:r>
    </w:p>
    <w:p w14:paraId="07EBECBC" w14:textId="77777777" w:rsidR="00DD44D2" w:rsidRPr="00DD44D2" w:rsidRDefault="00DD44D2" w:rsidP="00DD44D2">
      <w:pPr>
        <w:adjustRightInd w:val="0"/>
        <w:snapToGrid w:val="0"/>
        <w:spacing w:line="440" w:lineRule="exact"/>
        <w:ind w:firstLineChars="200" w:firstLine="480"/>
        <w:rPr>
          <w:rFonts w:ascii="Times New Roman" w:eastAsia="宋体" w:hAnsi="Times New Roman" w:cs="Times New Roman"/>
          <w:sz w:val="24"/>
          <w:szCs w:val="24"/>
        </w:rPr>
      </w:pPr>
      <w:r w:rsidRPr="00DD44D2">
        <w:rPr>
          <w:rFonts w:ascii="宋体" w:eastAsia="宋体" w:hAnsi="宋体" w:cs="Times New Roman" w:hint="eastAsia"/>
          <w:sz w:val="24"/>
          <w:szCs w:val="24"/>
        </w:rPr>
        <w:t>3</w:t>
      </w:r>
      <w:r w:rsidRPr="00DD44D2">
        <w:rPr>
          <w:rFonts w:ascii="宋体" w:eastAsia="宋体" w:hAnsi="宋体" w:cs="Times New Roman"/>
          <w:sz w:val="24"/>
          <w:szCs w:val="24"/>
        </w:rPr>
        <w:t>.</w:t>
      </w:r>
      <w:r w:rsidRPr="00DD44D2">
        <w:rPr>
          <w:rFonts w:ascii="Times New Roman" w:eastAsia="宋体" w:hAnsi="Times New Roman" w:cs="Times New Roman" w:hint="eastAsia"/>
          <w:szCs w:val="24"/>
        </w:rPr>
        <w:t xml:space="preserve"> </w:t>
      </w:r>
      <w:r w:rsidRPr="00DD44D2">
        <w:rPr>
          <w:rFonts w:ascii="Times New Roman" w:eastAsia="宋体" w:hAnsi="Times New Roman" w:cs="Times New Roman" w:hint="eastAsia"/>
          <w:sz w:val="24"/>
          <w:szCs w:val="24"/>
        </w:rPr>
        <w:t>药学文献检索语言</w:t>
      </w:r>
    </w:p>
    <w:p w14:paraId="00E5A704" w14:textId="77777777" w:rsidR="00DD44D2" w:rsidRPr="00DD44D2" w:rsidRDefault="00DD44D2" w:rsidP="00DD44D2">
      <w:pPr>
        <w:spacing w:line="440" w:lineRule="exact"/>
        <w:ind w:firstLineChars="200" w:firstLine="480"/>
        <w:rPr>
          <w:rFonts w:ascii="宋体" w:eastAsia="宋体" w:hAnsi="宋体" w:cs="Times New Roman"/>
          <w:color w:val="FF0000"/>
          <w:sz w:val="24"/>
          <w:szCs w:val="24"/>
        </w:rPr>
      </w:pPr>
      <w:r w:rsidRPr="00DD44D2">
        <w:rPr>
          <w:rFonts w:ascii="宋体" w:eastAsia="宋体" w:hAnsi="宋体" w:cs="Times New Roman" w:hint="eastAsia"/>
          <w:sz w:val="24"/>
          <w:szCs w:val="24"/>
        </w:rPr>
        <w:t>4</w:t>
      </w:r>
      <w:r w:rsidRPr="00DD44D2">
        <w:rPr>
          <w:rFonts w:ascii="宋体" w:eastAsia="宋体" w:hAnsi="宋体" w:cs="Times New Roman"/>
          <w:sz w:val="24"/>
          <w:szCs w:val="24"/>
        </w:rPr>
        <w:t>.</w:t>
      </w:r>
      <w:r w:rsidRPr="00DD44D2">
        <w:rPr>
          <w:rFonts w:ascii="Times New Roman" w:eastAsia="宋体" w:hAnsi="Times New Roman" w:cs="Times New Roman" w:hint="eastAsia"/>
          <w:szCs w:val="24"/>
        </w:rPr>
        <w:t xml:space="preserve"> </w:t>
      </w:r>
      <w:r w:rsidRPr="00DD44D2">
        <w:rPr>
          <w:rFonts w:ascii="Times New Roman" w:eastAsia="宋体" w:hAnsi="Times New Roman" w:cs="Times New Roman" w:hint="eastAsia"/>
          <w:sz w:val="24"/>
          <w:szCs w:val="24"/>
        </w:rPr>
        <w:t>药学文献检索工具</w:t>
      </w:r>
    </w:p>
    <w:p w14:paraId="0544F935"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【重点】</w:t>
      </w:r>
    </w:p>
    <w:p w14:paraId="421914F0" w14:textId="77777777" w:rsidR="00DD44D2" w:rsidRPr="00DD44D2" w:rsidRDefault="00DD44D2">
      <w:pPr>
        <w:numPr>
          <w:ilvl w:val="0"/>
          <w:numId w:val="189"/>
        </w:numPr>
        <w:adjustRightInd w:val="0"/>
        <w:snapToGrid w:val="0"/>
        <w:spacing w:line="440" w:lineRule="exact"/>
        <w:rPr>
          <w:rFonts w:ascii="宋体" w:eastAsia="宋体" w:hAnsi="宋体" w:cs="楷体_GB2312"/>
          <w:color w:val="000000"/>
          <w:kern w:val="0"/>
          <w:sz w:val="24"/>
          <w:szCs w:val="24"/>
        </w:rPr>
      </w:pPr>
      <w:r w:rsidRPr="00DD44D2">
        <w:rPr>
          <w:rFonts w:ascii="宋体" w:eastAsia="宋体" w:hAnsi="宋体" w:cs="Times New Roman" w:hint="eastAsia"/>
          <w:sz w:val="24"/>
          <w:szCs w:val="24"/>
        </w:rPr>
        <w:t>药学文献的分类</w:t>
      </w:r>
    </w:p>
    <w:p w14:paraId="57450061" w14:textId="77777777" w:rsidR="00DD44D2" w:rsidRPr="00DD44D2" w:rsidRDefault="00DD44D2">
      <w:pPr>
        <w:numPr>
          <w:ilvl w:val="0"/>
          <w:numId w:val="189"/>
        </w:numPr>
        <w:spacing w:line="440" w:lineRule="exact"/>
        <w:rPr>
          <w:rFonts w:ascii="宋体" w:eastAsia="宋体" w:hAnsi="宋体" w:cs="Times New Roman"/>
          <w:sz w:val="24"/>
          <w:szCs w:val="24"/>
        </w:rPr>
      </w:pPr>
      <w:r w:rsidRPr="00DD44D2">
        <w:rPr>
          <w:rFonts w:ascii="宋体" w:eastAsia="宋体" w:hAnsi="宋体" w:cs="Times New Roman" w:hint="eastAsia"/>
          <w:sz w:val="24"/>
          <w:szCs w:val="24"/>
        </w:rPr>
        <w:t>文献检索的意义与作用，途径与方法及步骤</w:t>
      </w:r>
    </w:p>
    <w:p w14:paraId="0D2C64E1"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【难点】</w:t>
      </w:r>
    </w:p>
    <w:p w14:paraId="7B26C4D5" w14:textId="77777777" w:rsidR="00DD44D2" w:rsidRPr="00DD44D2" w:rsidRDefault="00DD44D2">
      <w:pPr>
        <w:numPr>
          <w:ilvl w:val="0"/>
          <w:numId w:val="190"/>
        </w:numPr>
        <w:adjustRightInd w:val="0"/>
        <w:snapToGrid w:val="0"/>
        <w:spacing w:line="440" w:lineRule="exact"/>
        <w:rPr>
          <w:rFonts w:ascii="宋体" w:eastAsia="宋体" w:hAnsi="宋体" w:cs="楷体_GB2312"/>
          <w:color w:val="000000"/>
          <w:kern w:val="0"/>
          <w:sz w:val="24"/>
          <w:szCs w:val="24"/>
        </w:rPr>
      </w:pPr>
      <w:r w:rsidRPr="00DD44D2">
        <w:rPr>
          <w:rFonts w:ascii="宋体" w:eastAsia="宋体" w:hAnsi="宋体" w:cs="楷体_GB2312" w:hint="eastAsia"/>
          <w:color w:val="000000"/>
          <w:kern w:val="0"/>
          <w:sz w:val="24"/>
          <w:szCs w:val="24"/>
        </w:rPr>
        <w:t>文献检索语言和检索工具、数据库的检索步骤</w:t>
      </w:r>
    </w:p>
    <w:p w14:paraId="195A08F5" w14:textId="77777777" w:rsidR="00DD44D2" w:rsidRPr="00DD44D2" w:rsidRDefault="00DD44D2" w:rsidP="00DD44D2">
      <w:pPr>
        <w:spacing w:line="440" w:lineRule="exact"/>
        <w:ind w:firstLineChars="200" w:firstLine="482"/>
        <w:rPr>
          <w:rFonts w:ascii="宋体" w:eastAsia="宋体" w:hAnsi="宋体" w:cs="Times New Roman"/>
          <w:color w:val="FF0000"/>
          <w:sz w:val="24"/>
          <w:szCs w:val="24"/>
        </w:rPr>
      </w:pPr>
      <w:r w:rsidRPr="00DD44D2">
        <w:rPr>
          <w:rFonts w:ascii="宋体" w:eastAsia="宋体" w:hAnsi="宋体" w:cs="Times New Roman" w:hint="eastAsia"/>
          <w:b/>
          <w:bCs/>
          <w:sz w:val="24"/>
          <w:szCs w:val="24"/>
        </w:rPr>
        <w:t>【教学方法】</w:t>
      </w:r>
    </w:p>
    <w:p w14:paraId="2E164FEF"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1.</w:t>
      </w:r>
      <w:r w:rsidRPr="00DD44D2">
        <w:rPr>
          <w:rFonts w:ascii="宋体" w:eastAsia="宋体" w:hAnsi="宋体" w:cs="Times New Roman"/>
          <w:sz w:val="24"/>
          <w:szCs w:val="24"/>
        </w:rPr>
        <w:t xml:space="preserve"> </w:t>
      </w:r>
      <w:r w:rsidRPr="00DD44D2">
        <w:rPr>
          <w:rFonts w:ascii="宋体" w:eastAsia="宋体" w:hAnsi="宋体" w:cs="Times New Roman" w:hint="eastAsia"/>
          <w:sz w:val="24"/>
          <w:szCs w:val="24"/>
        </w:rPr>
        <w:t>通过计算机和传统教学相结合，阐明课程与教学基本原理，丰富学生课程与教学的基本知识结构，培养学生的职业规范。</w:t>
      </w:r>
    </w:p>
    <w:p w14:paraId="29054EC1" w14:textId="77777777" w:rsidR="00DD44D2" w:rsidRPr="00DD44D2" w:rsidRDefault="00DD44D2" w:rsidP="00DD44D2">
      <w:pPr>
        <w:spacing w:line="440" w:lineRule="exact"/>
        <w:ind w:firstLineChars="200" w:firstLine="482"/>
        <w:rPr>
          <w:rFonts w:ascii="宋体" w:eastAsia="宋体" w:hAnsi="宋体" w:cs="Times New Roman"/>
          <w:bCs/>
          <w:color w:val="FF0000"/>
          <w:sz w:val="24"/>
          <w:szCs w:val="24"/>
        </w:rPr>
      </w:pPr>
      <w:r w:rsidRPr="00DD44D2">
        <w:rPr>
          <w:rFonts w:ascii="宋体" w:eastAsia="宋体" w:hAnsi="宋体" w:cs="Times New Roman" w:hint="eastAsia"/>
          <w:b/>
          <w:sz w:val="24"/>
          <w:szCs w:val="24"/>
        </w:rPr>
        <w:t>【复习思考】</w:t>
      </w:r>
    </w:p>
    <w:p w14:paraId="4BAB0E2A" w14:textId="77777777" w:rsidR="00DD44D2" w:rsidRPr="00DD44D2" w:rsidRDefault="00DD44D2">
      <w:pPr>
        <w:numPr>
          <w:ilvl w:val="0"/>
          <w:numId w:val="191"/>
        </w:numPr>
        <w:spacing w:line="440" w:lineRule="exact"/>
        <w:rPr>
          <w:rFonts w:ascii="宋体" w:eastAsia="宋体" w:hAnsi="宋体" w:cs="Times New Roman"/>
          <w:sz w:val="24"/>
          <w:szCs w:val="24"/>
        </w:rPr>
      </w:pPr>
      <w:r w:rsidRPr="00DD44D2">
        <w:rPr>
          <w:rFonts w:ascii="宋体" w:eastAsia="宋体" w:hAnsi="宋体" w:cs="Times New Roman" w:hint="eastAsia"/>
          <w:sz w:val="24"/>
          <w:szCs w:val="24"/>
        </w:rPr>
        <w:lastRenderedPageBreak/>
        <w:t>什么是文献，按内容划分有哪些类型？按属性划分有哪些类型？</w:t>
      </w:r>
      <w:r w:rsidRPr="00DD44D2">
        <w:rPr>
          <w:rFonts w:ascii="宋体" w:eastAsia="宋体" w:hAnsi="宋体" w:cs="Times New Roman"/>
          <w:sz w:val="24"/>
          <w:szCs w:val="24"/>
        </w:rPr>
        <w:t xml:space="preserve"> </w:t>
      </w:r>
    </w:p>
    <w:p w14:paraId="7C4B491B" w14:textId="77777777" w:rsidR="00DD44D2" w:rsidRPr="00DD44D2" w:rsidRDefault="00DD44D2">
      <w:pPr>
        <w:numPr>
          <w:ilvl w:val="0"/>
          <w:numId w:val="191"/>
        </w:numPr>
        <w:spacing w:line="440" w:lineRule="exact"/>
        <w:rPr>
          <w:rFonts w:ascii="宋体" w:eastAsia="宋体" w:hAnsi="宋体" w:cs="Times New Roman"/>
          <w:sz w:val="24"/>
          <w:szCs w:val="24"/>
        </w:rPr>
      </w:pPr>
      <w:r w:rsidRPr="00DD44D2">
        <w:rPr>
          <w:rFonts w:ascii="宋体" w:eastAsia="宋体" w:hAnsi="宋体" w:cs="Times New Roman" w:hint="eastAsia"/>
          <w:sz w:val="24"/>
          <w:szCs w:val="24"/>
        </w:rPr>
        <w:t>什么是一次文献、二次文献、三次文献？各举</w:t>
      </w:r>
      <w:r w:rsidRPr="00DD44D2">
        <w:rPr>
          <w:rFonts w:ascii="宋体" w:eastAsia="宋体" w:hAnsi="宋体" w:cs="Times New Roman"/>
          <w:sz w:val="24"/>
          <w:szCs w:val="24"/>
        </w:rPr>
        <w:t>2</w:t>
      </w:r>
      <w:r w:rsidRPr="00DD44D2">
        <w:rPr>
          <w:rFonts w:ascii="宋体" w:eastAsia="宋体" w:hAnsi="宋体" w:cs="Times New Roman" w:hint="eastAsia"/>
          <w:sz w:val="24"/>
          <w:szCs w:val="24"/>
        </w:rPr>
        <w:t>例。</w:t>
      </w:r>
    </w:p>
    <w:p w14:paraId="6F408791" w14:textId="77777777" w:rsidR="00DD44D2" w:rsidRPr="00DD44D2" w:rsidRDefault="00DD44D2">
      <w:pPr>
        <w:numPr>
          <w:ilvl w:val="0"/>
          <w:numId w:val="191"/>
        </w:numPr>
        <w:spacing w:line="440" w:lineRule="exact"/>
        <w:rPr>
          <w:rFonts w:ascii="宋体" w:eastAsia="宋体" w:hAnsi="宋体" w:cs="Times New Roman"/>
          <w:sz w:val="24"/>
          <w:szCs w:val="24"/>
        </w:rPr>
      </w:pPr>
      <w:r w:rsidRPr="00DD44D2">
        <w:rPr>
          <w:rFonts w:ascii="宋体" w:eastAsia="宋体" w:hAnsi="宋体" w:cs="Times New Roman" w:hint="eastAsia"/>
          <w:sz w:val="24"/>
          <w:szCs w:val="24"/>
        </w:rPr>
        <w:t>简述文献检索的步骤。</w:t>
      </w:r>
    </w:p>
    <w:p w14:paraId="199DC222" w14:textId="77777777" w:rsidR="00DD44D2" w:rsidRPr="00DD44D2" w:rsidRDefault="00DD44D2" w:rsidP="00DD44D2">
      <w:pPr>
        <w:spacing w:beforeLines="50" w:before="156" w:afterLines="50" w:after="156" w:line="440" w:lineRule="exact"/>
        <w:ind w:firstLineChars="200" w:firstLine="560"/>
        <w:jc w:val="center"/>
        <w:rPr>
          <w:rFonts w:ascii="宋体" w:eastAsia="宋体" w:hAnsi="宋体" w:cs="Times New Roman"/>
          <w:b/>
          <w:sz w:val="28"/>
          <w:szCs w:val="28"/>
        </w:rPr>
      </w:pPr>
      <w:r w:rsidRPr="00DD44D2">
        <w:rPr>
          <w:rFonts w:ascii="黑体" w:eastAsia="黑体" w:hAnsi="黑体" w:cs="Times New Roman" w:hint="eastAsia"/>
          <w:sz w:val="28"/>
          <w:szCs w:val="28"/>
        </w:rPr>
        <w:t>第二章  计算机信息检索概述</w:t>
      </w:r>
    </w:p>
    <w:p w14:paraId="542D60F3" w14:textId="77777777" w:rsidR="00DD44D2" w:rsidRPr="00DD44D2" w:rsidRDefault="00DD44D2" w:rsidP="00DD44D2">
      <w:pPr>
        <w:spacing w:line="440" w:lineRule="exact"/>
        <w:ind w:firstLineChars="200" w:firstLine="482"/>
        <w:jc w:val="left"/>
        <w:rPr>
          <w:rFonts w:ascii="宋体" w:eastAsia="宋体" w:hAnsi="宋体" w:cs="Times New Roman"/>
          <w:b/>
          <w:sz w:val="24"/>
          <w:szCs w:val="24"/>
        </w:rPr>
      </w:pPr>
      <w:r w:rsidRPr="00DD44D2">
        <w:rPr>
          <w:rFonts w:ascii="宋体" w:eastAsia="宋体" w:hAnsi="宋体" w:cs="Times New Roman" w:hint="eastAsia"/>
          <w:b/>
          <w:sz w:val="24"/>
          <w:szCs w:val="24"/>
        </w:rPr>
        <w:t>【学习目标】</w:t>
      </w:r>
    </w:p>
    <w:p w14:paraId="6BED38DF"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1</w:t>
      </w:r>
      <w:r w:rsidRPr="00DD44D2">
        <w:rPr>
          <w:rFonts w:ascii="宋体" w:eastAsia="宋体" w:hAnsi="宋体" w:cs="Times New Roman"/>
          <w:sz w:val="24"/>
          <w:szCs w:val="24"/>
        </w:rPr>
        <w:t xml:space="preserve">. </w:t>
      </w:r>
      <w:r w:rsidRPr="00DD44D2">
        <w:rPr>
          <w:rFonts w:ascii="宋体" w:eastAsia="宋体" w:hAnsi="宋体" w:cs="Times New Roman" w:hint="eastAsia"/>
          <w:sz w:val="24"/>
          <w:szCs w:val="24"/>
        </w:rPr>
        <w:t>掌握</w:t>
      </w:r>
      <w:r w:rsidRPr="00DD44D2">
        <w:rPr>
          <w:rFonts w:ascii="宋体" w:eastAsia="宋体" w:hAnsi="宋体" w:cs="楷体_GB2312" w:hint="eastAsia"/>
          <w:color w:val="000000"/>
          <w:kern w:val="0"/>
          <w:sz w:val="24"/>
          <w:szCs w:val="24"/>
        </w:rPr>
        <w:t>常用的数据库检索手段和检索技巧、计算机信息检索的步骤</w:t>
      </w:r>
    </w:p>
    <w:p w14:paraId="06ABA0C0"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sz w:val="24"/>
          <w:szCs w:val="24"/>
        </w:rPr>
        <w:t xml:space="preserve">2. </w:t>
      </w:r>
      <w:r w:rsidRPr="00DD44D2">
        <w:rPr>
          <w:rFonts w:ascii="宋体" w:eastAsia="宋体" w:hAnsi="宋体" w:cs="Times New Roman" w:hint="eastAsia"/>
          <w:sz w:val="24"/>
          <w:szCs w:val="24"/>
        </w:rPr>
        <w:t>熟悉计算机信息检索系统的原理、数据库的类型及结构</w:t>
      </w:r>
    </w:p>
    <w:p w14:paraId="0142A239"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3</w:t>
      </w:r>
      <w:r w:rsidRPr="00DD44D2">
        <w:rPr>
          <w:rFonts w:ascii="宋体" w:eastAsia="宋体" w:hAnsi="宋体" w:cs="Times New Roman"/>
          <w:sz w:val="24"/>
          <w:szCs w:val="24"/>
        </w:rPr>
        <w:t xml:space="preserve">. </w:t>
      </w:r>
      <w:r w:rsidRPr="00DD44D2">
        <w:rPr>
          <w:rFonts w:ascii="宋体" w:eastAsia="宋体" w:hAnsi="宋体" w:cs="Times New Roman" w:hint="eastAsia"/>
          <w:sz w:val="24"/>
          <w:szCs w:val="24"/>
        </w:rPr>
        <w:t>了解计算机信息检索系统的发展历程</w:t>
      </w:r>
    </w:p>
    <w:p w14:paraId="74560838"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【学习内容】</w:t>
      </w:r>
    </w:p>
    <w:p w14:paraId="2386504C" w14:textId="77777777" w:rsidR="00DD44D2" w:rsidRPr="00DD44D2" w:rsidRDefault="00DD44D2" w:rsidP="00DD44D2">
      <w:pPr>
        <w:adjustRightInd w:val="0"/>
        <w:snapToGrid w:val="0"/>
        <w:spacing w:line="440" w:lineRule="exact"/>
        <w:ind w:firstLineChars="200" w:firstLine="480"/>
        <w:rPr>
          <w:rFonts w:ascii="Times New Roman" w:eastAsia="宋体" w:hAnsi="Times New Roman" w:cs="Times New Roman"/>
          <w:sz w:val="24"/>
          <w:szCs w:val="24"/>
        </w:rPr>
      </w:pPr>
      <w:r w:rsidRPr="00DD44D2">
        <w:rPr>
          <w:rFonts w:ascii="宋体" w:eastAsia="宋体" w:hAnsi="宋体" w:cs="Times New Roman" w:hint="eastAsia"/>
          <w:sz w:val="24"/>
          <w:szCs w:val="24"/>
        </w:rPr>
        <w:t>1</w:t>
      </w:r>
      <w:r w:rsidRPr="00DD44D2">
        <w:rPr>
          <w:rFonts w:ascii="宋体" w:eastAsia="宋体" w:hAnsi="宋体" w:cs="Times New Roman"/>
          <w:sz w:val="24"/>
          <w:szCs w:val="24"/>
        </w:rPr>
        <w:t>.</w:t>
      </w:r>
      <w:r w:rsidRPr="00DD44D2">
        <w:rPr>
          <w:rFonts w:ascii="Times New Roman" w:eastAsia="宋体" w:hAnsi="Times New Roman" w:cs="Times New Roman" w:hint="eastAsia"/>
          <w:szCs w:val="24"/>
        </w:rPr>
        <w:t xml:space="preserve"> </w:t>
      </w:r>
      <w:r w:rsidRPr="00DD44D2">
        <w:rPr>
          <w:rFonts w:ascii="Times New Roman" w:eastAsia="宋体" w:hAnsi="Times New Roman" w:cs="Times New Roman" w:hint="eastAsia"/>
          <w:sz w:val="24"/>
          <w:szCs w:val="24"/>
        </w:rPr>
        <w:t>计算机信息检索的原理和发展历程</w:t>
      </w:r>
    </w:p>
    <w:p w14:paraId="72C32DAD" w14:textId="77777777" w:rsidR="00DD44D2" w:rsidRPr="00DD44D2" w:rsidRDefault="00DD44D2" w:rsidP="00DD44D2">
      <w:pPr>
        <w:adjustRightInd w:val="0"/>
        <w:snapToGrid w:val="0"/>
        <w:spacing w:line="440" w:lineRule="exact"/>
        <w:ind w:firstLineChars="200" w:firstLine="480"/>
        <w:rPr>
          <w:rFonts w:ascii="Times New Roman" w:eastAsia="宋体" w:hAnsi="Times New Roman" w:cs="Times New Roman"/>
          <w:sz w:val="24"/>
          <w:szCs w:val="24"/>
        </w:rPr>
      </w:pPr>
      <w:r w:rsidRPr="00DD44D2">
        <w:rPr>
          <w:rFonts w:ascii="宋体" w:eastAsia="宋体" w:hAnsi="宋体" w:cs="Times New Roman"/>
          <w:sz w:val="24"/>
          <w:szCs w:val="24"/>
        </w:rPr>
        <w:t>2.</w:t>
      </w:r>
      <w:r w:rsidRPr="00DD44D2">
        <w:rPr>
          <w:rFonts w:ascii="Times New Roman" w:eastAsia="宋体" w:hAnsi="Times New Roman" w:cs="Times New Roman" w:hint="eastAsia"/>
          <w:szCs w:val="24"/>
        </w:rPr>
        <w:t xml:space="preserve"> </w:t>
      </w:r>
      <w:r w:rsidRPr="00DD44D2">
        <w:rPr>
          <w:rFonts w:ascii="Times New Roman" w:eastAsia="宋体" w:hAnsi="Times New Roman" w:cs="Times New Roman" w:hint="eastAsia"/>
          <w:sz w:val="24"/>
          <w:szCs w:val="24"/>
        </w:rPr>
        <w:t>数据库类型和结构</w:t>
      </w:r>
    </w:p>
    <w:p w14:paraId="44BC3D49" w14:textId="77777777" w:rsidR="00DD44D2" w:rsidRPr="00DD44D2" w:rsidRDefault="00DD44D2" w:rsidP="00DD44D2">
      <w:pPr>
        <w:spacing w:line="440" w:lineRule="exact"/>
        <w:ind w:firstLineChars="200" w:firstLine="480"/>
        <w:rPr>
          <w:rFonts w:ascii="Times New Roman" w:eastAsia="宋体" w:hAnsi="Times New Roman" w:cs="Times New Roman"/>
          <w:sz w:val="24"/>
          <w:szCs w:val="24"/>
        </w:rPr>
      </w:pPr>
      <w:r w:rsidRPr="00DD44D2">
        <w:rPr>
          <w:rFonts w:ascii="宋体" w:eastAsia="宋体" w:hAnsi="宋体" w:cs="Times New Roman"/>
          <w:sz w:val="24"/>
          <w:szCs w:val="24"/>
        </w:rPr>
        <w:t>3.</w:t>
      </w:r>
      <w:r w:rsidRPr="00DD44D2">
        <w:rPr>
          <w:rFonts w:ascii="Times New Roman" w:eastAsia="宋体" w:hAnsi="Times New Roman" w:cs="Times New Roman" w:hint="eastAsia"/>
          <w:szCs w:val="24"/>
        </w:rPr>
        <w:t xml:space="preserve"> </w:t>
      </w:r>
      <w:r w:rsidRPr="00DD44D2">
        <w:rPr>
          <w:rFonts w:ascii="Times New Roman" w:eastAsia="宋体" w:hAnsi="Times New Roman" w:cs="Times New Roman" w:hint="eastAsia"/>
          <w:sz w:val="24"/>
          <w:szCs w:val="24"/>
        </w:rPr>
        <w:t>计算机检索技术及策略</w:t>
      </w:r>
    </w:p>
    <w:p w14:paraId="0487E1AE"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【重点】</w:t>
      </w:r>
    </w:p>
    <w:p w14:paraId="6BE9809D" w14:textId="77777777" w:rsidR="00DD44D2" w:rsidRPr="00DD44D2" w:rsidRDefault="00DD44D2" w:rsidP="00DD44D2">
      <w:pPr>
        <w:adjustRightInd w:val="0"/>
        <w:snapToGrid w:val="0"/>
        <w:spacing w:line="440" w:lineRule="exact"/>
        <w:ind w:left="480"/>
        <w:rPr>
          <w:rFonts w:ascii="宋体" w:eastAsia="宋体" w:hAnsi="宋体" w:cs="楷体_GB2312"/>
          <w:color w:val="000000"/>
          <w:kern w:val="0"/>
          <w:sz w:val="24"/>
          <w:szCs w:val="24"/>
        </w:rPr>
      </w:pPr>
      <w:r w:rsidRPr="00DD44D2">
        <w:rPr>
          <w:rFonts w:ascii="宋体" w:eastAsia="宋体" w:hAnsi="宋体" w:cs="Times New Roman" w:hint="eastAsia"/>
          <w:sz w:val="24"/>
          <w:szCs w:val="24"/>
        </w:rPr>
        <w:t>1.</w:t>
      </w:r>
      <w:r w:rsidRPr="00DD44D2">
        <w:rPr>
          <w:rFonts w:ascii="宋体" w:eastAsia="宋体" w:hAnsi="宋体" w:cs="楷体_GB2312" w:hint="eastAsia"/>
          <w:color w:val="000000"/>
          <w:kern w:val="0"/>
          <w:sz w:val="24"/>
          <w:szCs w:val="24"/>
        </w:rPr>
        <w:t xml:space="preserve"> 常用的数据库检索手段和检索技巧、计算机信息检索的步骤</w:t>
      </w:r>
    </w:p>
    <w:p w14:paraId="77F7EDE9"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【难点】</w:t>
      </w:r>
    </w:p>
    <w:p w14:paraId="7D6EEC9E" w14:textId="77777777" w:rsidR="00DD44D2" w:rsidRPr="00DD44D2" w:rsidRDefault="00DD44D2" w:rsidP="00DD44D2">
      <w:pPr>
        <w:adjustRightInd w:val="0"/>
        <w:snapToGrid w:val="0"/>
        <w:spacing w:line="440" w:lineRule="exact"/>
        <w:ind w:left="480"/>
        <w:rPr>
          <w:rFonts w:ascii="宋体" w:eastAsia="宋体" w:hAnsi="宋体" w:cs="楷体_GB2312"/>
          <w:color w:val="000000"/>
          <w:kern w:val="0"/>
          <w:sz w:val="24"/>
          <w:szCs w:val="24"/>
        </w:rPr>
      </w:pPr>
      <w:r w:rsidRPr="00DD44D2">
        <w:rPr>
          <w:rFonts w:ascii="宋体" w:eastAsia="宋体" w:hAnsi="宋体" w:cs="Times New Roman"/>
          <w:sz w:val="24"/>
          <w:szCs w:val="24"/>
        </w:rPr>
        <w:t>1</w:t>
      </w:r>
      <w:r w:rsidRPr="00DD44D2">
        <w:rPr>
          <w:rFonts w:ascii="宋体" w:eastAsia="宋体" w:hAnsi="宋体" w:cs="Times New Roman" w:hint="eastAsia"/>
          <w:sz w:val="24"/>
          <w:szCs w:val="24"/>
        </w:rPr>
        <w:t>.</w:t>
      </w:r>
      <w:r w:rsidRPr="00DD44D2">
        <w:rPr>
          <w:rFonts w:ascii="宋体" w:eastAsia="宋体" w:hAnsi="宋体" w:cs="楷体_GB2312" w:hint="eastAsia"/>
          <w:color w:val="000000"/>
          <w:kern w:val="0"/>
          <w:sz w:val="24"/>
          <w:szCs w:val="24"/>
        </w:rPr>
        <w:t xml:space="preserve"> 计算机信息检索系统发展历程、数据库的结构</w:t>
      </w:r>
    </w:p>
    <w:p w14:paraId="237855AC" w14:textId="77777777" w:rsidR="00DD44D2" w:rsidRPr="00DD44D2" w:rsidRDefault="00DD44D2" w:rsidP="00DD44D2">
      <w:pPr>
        <w:adjustRightInd w:val="0"/>
        <w:snapToGrid w:val="0"/>
        <w:spacing w:line="440" w:lineRule="exact"/>
        <w:ind w:firstLineChars="200" w:firstLine="480"/>
        <w:rPr>
          <w:rFonts w:ascii="宋体" w:eastAsia="宋体" w:hAnsi="宋体" w:cs="楷体_GB2312"/>
          <w:color w:val="000000"/>
          <w:kern w:val="0"/>
          <w:sz w:val="24"/>
          <w:szCs w:val="24"/>
        </w:rPr>
      </w:pPr>
      <w:r w:rsidRPr="00DD44D2">
        <w:rPr>
          <w:rFonts w:ascii="宋体" w:eastAsia="宋体" w:hAnsi="宋体" w:cs="楷体_GB2312" w:hint="eastAsia"/>
          <w:color w:val="000000"/>
          <w:kern w:val="0"/>
          <w:sz w:val="24"/>
          <w:szCs w:val="24"/>
        </w:rPr>
        <w:t>2</w:t>
      </w:r>
      <w:r w:rsidRPr="00DD44D2">
        <w:rPr>
          <w:rFonts w:ascii="宋体" w:eastAsia="宋体" w:hAnsi="宋体" w:cs="楷体_GB2312"/>
          <w:color w:val="000000"/>
          <w:kern w:val="0"/>
          <w:sz w:val="24"/>
          <w:szCs w:val="24"/>
        </w:rPr>
        <w:t xml:space="preserve">. </w:t>
      </w:r>
      <w:r w:rsidRPr="00DD44D2">
        <w:rPr>
          <w:rFonts w:ascii="宋体" w:eastAsia="宋体" w:hAnsi="宋体" w:cs="楷体_GB2312" w:hint="eastAsia"/>
          <w:color w:val="000000"/>
          <w:kern w:val="0"/>
          <w:sz w:val="24"/>
          <w:szCs w:val="24"/>
        </w:rPr>
        <w:t>布尔逻辑运算符检索、</w:t>
      </w:r>
      <w:proofErr w:type="gramStart"/>
      <w:r w:rsidRPr="00DD44D2">
        <w:rPr>
          <w:rFonts w:ascii="宋体" w:eastAsia="宋体" w:hAnsi="宋体" w:cs="楷体_GB2312" w:hint="eastAsia"/>
          <w:color w:val="000000"/>
          <w:kern w:val="0"/>
          <w:sz w:val="24"/>
          <w:szCs w:val="24"/>
        </w:rPr>
        <w:t>截词检索</w:t>
      </w:r>
      <w:proofErr w:type="gramEnd"/>
      <w:r w:rsidRPr="00DD44D2">
        <w:rPr>
          <w:rFonts w:ascii="宋体" w:eastAsia="宋体" w:hAnsi="宋体" w:cs="楷体_GB2312" w:hint="eastAsia"/>
          <w:color w:val="000000"/>
          <w:kern w:val="0"/>
          <w:sz w:val="24"/>
          <w:szCs w:val="24"/>
        </w:rPr>
        <w:t>、位置运算符检索和限定字段检索</w:t>
      </w:r>
    </w:p>
    <w:p w14:paraId="5A7B6D17" w14:textId="77777777" w:rsidR="00DD44D2" w:rsidRPr="00DD44D2" w:rsidRDefault="00DD44D2" w:rsidP="00DD44D2">
      <w:pPr>
        <w:spacing w:line="440" w:lineRule="exact"/>
        <w:ind w:firstLineChars="200" w:firstLine="482"/>
        <w:rPr>
          <w:rFonts w:ascii="宋体" w:eastAsia="宋体" w:hAnsi="宋体" w:cs="Times New Roman"/>
          <w:color w:val="FF0000"/>
          <w:sz w:val="24"/>
          <w:szCs w:val="24"/>
        </w:rPr>
      </w:pPr>
      <w:r w:rsidRPr="00DD44D2">
        <w:rPr>
          <w:rFonts w:ascii="宋体" w:eastAsia="宋体" w:hAnsi="宋体" w:cs="Times New Roman" w:hint="eastAsia"/>
          <w:b/>
          <w:bCs/>
          <w:sz w:val="24"/>
          <w:szCs w:val="24"/>
        </w:rPr>
        <w:t>【教学方法】</w:t>
      </w:r>
    </w:p>
    <w:p w14:paraId="4C1501BE"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1. 通过计算机和传统教学相结合，阐明课程与教学基本原理，丰富学生课程与教学的基本知识结构，培养学生的职业规范。</w:t>
      </w:r>
    </w:p>
    <w:p w14:paraId="5CF0AF90" w14:textId="77777777" w:rsidR="00DD44D2" w:rsidRPr="00DD44D2" w:rsidRDefault="00DD44D2" w:rsidP="00DD44D2">
      <w:pPr>
        <w:spacing w:line="440" w:lineRule="exact"/>
        <w:ind w:firstLineChars="200" w:firstLine="482"/>
        <w:rPr>
          <w:rFonts w:ascii="宋体" w:eastAsia="宋体" w:hAnsi="宋体" w:cs="Times New Roman"/>
          <w:bCs/>
          <w:color w:val="FF0000"/>
          <w:sz w:val="24"/>
          <w:szCs w:val="24"/>
        </w:rPr>
      </w:pPr>
      <w:r w:rsidRPr="00DD44D2">
        <w:rPr>
          <w:rFonts w:ascii="宋体" w:eastAsia="宋体" w:hAnsi="宋体" w:cs="Times New Roman" w:hint="eastAsia"/>
          <w:b/>
          <w:sz w:val="24"/>
          <w:szCs w:val="24"/>
        </w:rPr>
        <w:t>【复习思考】</w:t>
      </w:r>
    </w:p>
    <w:p w14:paraId="188C037A"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1.</w:t>
      </w:r>
      <w:r w:rsidRPr="00DD44D2">
        <w:rPr>
          <w:rFonts w:ascii="宋体" w:eastAsia="宋体" w:hAnsi="宋体" w:cs="Times New Roman"/>
          <w:sz w:val="24"/>
          <w:szCs w:val="24"/>
        </w:rPr>
        <w:t xml:space="preserve"> </w:t>
      </w:r>
      <w:r w:rsidRPr="00DD44D2">
        <w:rPr>
          <w:rFonts w:ascii="宋体" w:eastAsia="宋体" w:hAnsi="宋体" w:cs="Times New Roman" w:hint="eastAsia"/>
          <w:sz w:val="24"/>
          <w:szCs w:val="24"/>
        </w:rPr>
        <w:t>无</w:t>
      </w:r>
      <w:r w:rsidRPr="00DD44D2">
        <w:rPr>
          <w:rFonts w:ascii="宋体" w:eastAsia="宋体" w:hAnsi="宋体" w:cs="Times New Roman"/>
          <w:sz w:val="24"/>
          <w:szCs w:val="24"/>
        </w:rPr>
        <w:t xml:space="preserve"> </w:t>
      </w:r>
    </w:p>
    <w:p w14:paraId="4E6E22D5" w14:textId="77777777" w:rsidR="00DD44D2" w:rsidRPr="00DD44D2" w:rsidRDefault="00DD44D2" w:rsidP="00DD44D2">
      <w:pPr>
        <w:spacing w:beforeLines="50" w:before="156" w:afterLines="50" w:after="156" w:line="440" w:lineRule="exact"/>
        <w:ind w:firstLineChars="200" w:firstLine="560"/>
        <w:jc w:val="center"/>
        <w:rPr>
          <w:rFonts w:ascii="黑体" w:eastAsia="黑体" w:hAnsi="黑体" w:cs="Times New Roman"/>
          <w:sz w:val="28"/>
          <w:szCs w:val="28"/>
        </w:rPr>
      </w:pPr>
      <w:r w:rsidRPr="00DD44D2">
        <w:rPr>
          <w:rFonts w:ascii="黑体" w:eastAsia="黑体" w:hAnsi="黑体" w:cs="Times New Roman" w:hint="eastAsia"/>
          <w:sz w:val="28"/>
          <w:szCs w:val="28"/>
        </w:rPr>
        <w:t>第三章</w:t>
      </w:r>
      <w:r w:rsidRPr="00DD44D2">
        <w:rPr>
          <w:rFonts w:ascii="黑体" w:eastAsia="黑体" w:hAnsi="黑体" w:cs="Times New Roman"/>
          <w:sz w:val="28"/>
          <w:szCs w:val="28"/>
        </w:rPr>
        <w:t xml:space="preserve">  </w:t>
      </w:r>
      <w:r w:rsidRPr="00DD44D2">
        <w:rPr>
          <w:rFonts w:ascii="黑体" w:eastAsia="黑体" w:hAnsi="黑体" w:cs="Times New Roman" w:hint="eastAsia"/>
          <w:sz w:val="28"/>
          <w:szCs w:val="28"/>
        </w:rPr>
        <w:t>中文网络数据库</w:t>
      </w:r>
    </w:p>
    <w:p w14:paraId="723B121A" w14:textId="77777777" w:rsidR="00DD44D2" w:rsidRPr="00DD44D2" w:rsidRDefault="00DD44D2" w:rsidP="00DD44D2">
      <w:pPr>
        <w:spacing w:line="440" w:lineRule="exact"/>
        <w:ind w:firstLineChars="200" w:firstLine="482"/>
        <w:jc w:val="left"/>
        <w:rPr>
          <w:rFonts w:ascii="宋体" w:eastAsia="宋体" w:hAnsi="宋体" w:cs="Times New Roman"/>
          <w:b/>
          <w:sz w:val="24"/>
          <w:szCs w:val="24"/>
        </w:rPr>
      </w:pPr>
      <w:r w:rsidRPr="00DD44D2">
        <w:rPr>
          <w:rFonts w:ascii="宋体" w:eastAsia="宋体" w:hAnsi="宋体" w:cs="Times New Roman" w:hint="eastAsia"/>
          <w:b/>
          <w:sz w:val="24"/>
          <w:szCs w:val="24"/>
        </w:rPr>
        <w:t>【学习目标】</w:t>
      </w:r>
    </w:p>
    <w:p w14:paraId="5F326FA5" w14:textId="77777777" w:rsidR="00DD44D2" w:rsidRPr="00DD44D2" w:rsidRDefault="00DD44D2" w:rsidP="00DD44D2">
      <w:pPr>
        <w:spacing w:line="440" w:lineRule="exact"/>
        <w:ind w:firstLineChars="200" w:firstLine="480"/>
        <w:rPr>
          <w:rFonts w:ascii="Times New Roman" w:eastAsia="宋体" w:hAnsi="Times New Roman" w:cs="Times New Roman"/>
          <w:sz w:val="24"/>
          <w:szCs w:val="24"/>
        </w:rPr>
      </w:pPr>
      <w:r w:rsidRPr="00DD44D2">
        <w:rPr>
          <w:rFonts w:ascii="宋体" w:eastAsia="宋体" w:hAnsi="宋体" w:cs="Times New Roman" w:hint="eastAsia"/>
          <w:sz w:val="24"/>
          <w:szCs w:val="24"/>
        </w:rPr>
        <w:t>1</w:t>
      </w:r>
      <w:r w:rsidRPr="00DD44D2">
        <w:rPr>
          <w:rFonts w:ascii="宋体" w:eastAsia="宋体" w:hAnsi="宋体" w:cs="Times New Roman"/>
          <w:sz w:val="24"/>
          <w:szCs w:val="24"/>
        </w:rPr>
        <w:t xml:space="preserve">. </w:t>
      </w:r>
      <w:r w:rsidRPr="00DD44D2">
        <w:rPr>
          <w:rFonts w:ascii="宋体" w:eastAsia="宋体" w:hAnsi="宋体" w:cs="楷体_GB2312" w:hint="eastAsia"/>
          <w:color w:val="000000"/>
          <w:kern w:val="0"/>
          <w:sz w:val="24"/>
          <w:szCs w:val="24"/>
        </w:rPr>
        <w:t>掌握期刊文献的分类，中国知网、重庆维普、万方数据库</w:t>
      </w:r>
      <w:r w:rsidRPr="00DD44D2">
        <w:rPr>
          <w:rFonts w:ascii="Times New Roman" w:eastAsia="宋体" w:hAnsi="Times New Roman" w:cs="Times New Roman" w:hint="eastAsia"/>
          <w:sz w:val="24"/>
          <w:szCs w:val="24"/>
        </w:rPr>
        <w:t>访问方式、检索范围及检索方式</w:t>
      </w:r>
    </w:p>
    <w:p w14:paraId="2CF2050E" w14:textId="77777777" w:rsidR="00DD44D2" w:rsidRPr="00DD44D2" w:rsidRDefault="00DD44D2" w:rsidP="00DD44D2">
      <w:pPr>
        <w:spacing w:line="440" w:lineRule="exact"/>
        <w:ind w:firstLineChars="200" w:firstLine="480"/>
        <w:rPr>
          <w:rFonts w:ascii="宋体" w:eastAsia="宋体" w:hAnsi="宋体" w:cs="楷体_GB2312"/>
          <w:color w:val="000000"/>
          <w:kern w:val="0"/>
          <w:sz w:val="24"/>
          <w:szCs w:val="24"/>
        </w:rPr>
      </w:pPr>
      <w:r w:rsidRPr="00DD44D2">
        <w:rPr>
          <w:rFonts w:ascii="宋体" w:eastAsia="宋体" w:hAnsi="宋体" w:cs="楷体_GB2312" w:hint="eastAsia"/>
          <w:color w:val="000000"/>
          <w:kern w:val="0"/>
          <w:sz w:val="24"/>
          <w:szCs w:val="24"/>
        </w:rPr>
        <w:t>2. 熟悉中国知网、重庆维普、万方数据库在应用上的差异</w:t>
      </w:r>
    </w:p>
    <w:p w14:paraId="5BB8A414"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【学习内容】</w:t>
      </w:r>
    </w:p>
    <w:p w14:paraId="557B83BB" w14:textId="77777777" w:rsidR="00DD44D2" w:rsidRPr="00DD44D2" w:rsidRDefault="00DD44D2" w:rsidP="00DD44D2">
      <w:pPr>
        <w:adjustRightInd w:val="0"/>
        <w:snapToGrid w:val="0"/>
        <w:spacing w:line="440" w:lineRule="exact"/>
        <w:ind w:firstLineChars="200" w:firstLine="480"/>
        <w:rPr>
          <w:rFonts w:ascii="Times New Roman" w:eastAsia="宋体" w:hAnsi="Times New Roman" w:cs="Times New Roman"/>
          <w:sz w:val="24"/>
          <w:szCs w:val="24"/>
        </w:rPr>
      </w:pPr>
      <w:r w:rsidRPr="00DD44D2">
        <w:rPr>
          <w:rFonts w:ascii="宋体" w:eastAsia="宋体" w:hAnsi="宋体" w:cs="Times New Roman" w:hint="eastAsia"/>
          <w:sz w:val="24"/>
          <w:szCs w:val="24"/>
        </w:rPr>
        <w:t>1</w:t>
      </w:r>
      <w:r w:rsidRPr="00DD44D2">
        <w:rPr>
          <w:rFonts w:ascii="宋体" w:eastAsia="宋体" w:hAnsi="宋体" w:cs="Times New Roman"/>
          <w:sz w:val="24"/>
          <w:szCs w:val="24"/>
        </w:rPr>
        <w:t>.</w:t>
      </w:r>
      <w:r w:rsidRPr="00DD44D2">
        <w:rPr>
          <w:rFonts w:ascii="宋体" w:eastAsia="宋体" w:hAnsi="宋体" w:cs="Times New Roman" w:hint="eastAsia"/>
          <w:sz w:val="24"/>
          <w:szCs w:val="24"/>
        </w:rPr>
        <w:t xml:space="preserve"> </w:t>
      </w:r>
      <w:r w:rsidRPr="00DD44D2">
        <w:rPr>
          <w:rFonts w:ascii="Times New Roman" w:eastAsia="宋体" w:hAnsi="Times New Roman" w:cs="Times New Roman" w:hint="eastAsia"/>
          <w:sz w:val="24"/>
          <w:szCs w:val="24"/>
        </w:rPr>
        <w:t>中文网络数据库简介、期刊分类</w:t>
      </w:r>
    </w:p>
    <w:p w14:paraId="7E798F6C" w14:textId="77777777" w:rsidR="00DD44D2" w:rsidRPr="00DD44D2" w:rsidRDefault="00DD44D2" w:rsidP="00DD44D2">
      <w:pPr>
        <w:spacing w:line="440" w:lineRule="exact"/>
        <w:ind w:firstLineChars="200" w:firstLine="480"/>
        <w:rPr>
          <w:rFonts w:ascii="Times New Roman" w:eastAsia="宋体" w:hAnsi="Times New Roman" w:cs="Times New Roman"/>
          <w:sz w:val="24"/>
          <w:szCs w:val="24"/>
        </w:rPr>
      </w:pPr>
      <w:r w:rsidRPr="00DD44D2">
        <w:rPr>
          <w:rFonts w:ascii="宋体" w:eastAsia="宋体" w:hAnsi="宋体" w:cs="Times New Roman" w:hint="eastAsia"/>
          <w:sz w:val="24"/>
          <w:szCs w:val="24"/>
        </w:rPr>
        <w:t>2</w:t>
      </w:r>
      <w:r w:rsidRPr="00DD44D2">
        <w:rPr>
          <w:rFonts w:ascii="宋体" w:eastAsia="宋体" w:hAnsi="宋体" w:cs="Times New Roman"/>
          <w:sz w:val="24"/>
          <w:szCs w:val="24"/>
        </w:rPr>
        <w:t>.</w:t>
      </w:r>
      <w:r w:rsidRPr="00DD44D2">
        <w:rPr>
          <w:rFonts w:ascii="宋体" w:eastAsia="宋体" w:hAnsi="宋体" w:cs="Times New Roman" w:hint="eastAsia"/>
          <w:sz w:val="24"/>
          <w:szCs w:val="24"/>
        </w:rPr>
        <w:t xml:space="preserve"> </w:t>
      </w:r>
      <w:proofErr w:type="gramStart"/>
      <w:r w:rsidRPr="00DD44D2">
        <w:rPr>
          <w:rFonts w:ascii="Times New Roman" w:eastAsia="宋体" w:hAnsi="Times New Roman" w:cs="Times New Roman" w:hint="eastAsia"/>
          <w:sz w:val="24"/>
          <w:szCs w:val="24"/>
        </w:rPr>
        <w:t>中国知网数据库</w:t>
      </w:r>
      <w:proofErr w:type="gramEnd"/>
      <w:r w:rsidRPr="00DD44D2">
        <w:rPr>
          <w:rFonts w:ascii="Times New Roman" w:eastAsia="宋体" w:hAnsi="Times New Roman" w:cs="Times New Roman" w:hint="eastAsia"/>
          <w:sz w:val="24"/>
          <w:szCs w:val="24"/>
        </w:rPr>
        <w:t>界面简介、访问方式、检索范围及检索方式</w:t>
      </w:r>
    </w:p>
    <w:p w14:paraId="1880110E" w14:textId="77777777" w:rsidR="00DD44D2" w:rsidRPr="00DD44D2" w:rsidRDefault="00DD44D2" w:rsidP="00DD44D2">
      <w:pPr>
        <w:spacing w:line="440" w:lineRule="exact"/>
        <w:ind w:firstLineChars="200" w:firstLine="480"/>
        <w:rPr>
          <w:rFonts w:ascii="Times New Roman" w:eastAsia="宋体" w:hAnsi="Times New Roman" w:cs="Times New Roman"/>
          <w:sz w:val="24"/>
          <w:szCs w:val="24"/>
        </w:rPr>
      </w:pPr>
      <w:r w:rsidRPr="00DD44D2">
        <w:rPr>
          <w:rFonts w:ascii="宋体" w:eastAsia="宋体" w:hAnsi="宋体" w:cs="Times New Roman" w:hint="eastAsia"/>
          <w:sz w:val="24"/>
          <w:szCs w:val="24"/>
        </w:rPr>
        <w:lastRenderedPageBreak/>
        <w:t>3</w:t>
      </w:r>
      <w:r w:rsidRPr="00DD44D2">
        <w:rPr>
          <w:rFonts w:ascii="宋体" w:eastAsia="宋体" w:hAnsi="宋体" w:cs="Times New Roman"/>
          <w:sz w:val="24"/>
          <w:szCs w:val="24"/>
        </w:rPr>
        <w:t xml:space="preserve">. </w:t>
      </w:r>
      <w:r w:rsidRPr="00DD44D2">
        <w:rPr>
          <w:rFonts w:ascii="宋体" w:eastAsia="宋体" w:hAnsi="宋体" w:cs="Times New Roman" w:hint="eastAsia"/>
          <w:sz w:val="24"/>
          <w:szCs w:val="24"/>
        </w:rPr>
        <w:t>重庆维普数据库</w:t>
      </w:r>
      <w:r w:rsidRPr="00DD44D2">
        <w:rPr>
          <w:rFonts w:ascii="Times New Roman" w:eastAsia="宋体" w:hAnsi="Times New Roman" w:cs="Times New Roman" w:hint="eastAsia"/>
          <w:sz w:val="24"/>
          <w:szCs w:val="24"/>
        </w:rPr>
        <w:t>界面简介、访问方式、检索范围及检索方式</w:t>
      </w:r>
    </w:p>
    <w:p w14:paraId="041B1271" w14:textId="77777777" w:rsidR="00DD44D2" w:rsidRPr="00DD44D2" w:rsidRDefault="00DD44D2" w:rsidP="00DD44D2">
      <w:pPr>
        <w:spacing w:line="440" w:lineRule="exact"/>
        <w:ind w:firstLineChars="200" w:firstLine="480"/>
        <w:rPr>
          <w:rFonts w:ascii="Times New Roman" w:eastAsia="宋体" w:hAnsi="Times New Roman" w:cs="Times New Roman"/>
          <w:sz w:val="24"/>
          <w:szCs w:val="24"/>
        </w:rPr>
      </w:pPr>
      <w:r w:rsidRPr="00DD44D2">
        <w:rPr>
          <w:rFonts w:ascii="宋体" w:eastAsia="宋体" w:hAnsi="宋体" w:cs="Times New Roman" w:hint="eastAsia"/>
          <w:sz w:val="24"/>
          <w:szCs w:val="24"/>
        </w:rPr>
        <w:t>4</w:t>
      </w:r>
      <w:r w:rsidRPr="00DD44D2">
        <w:rPr>
          <w:rFonts w:ascii="宋体" w:eastAsia="宋体" w:hAnsi="宋体" w:cs="Times New Roman"/>
          <w:sz w:val="24"/>
          <w:szCs w:val="24"/>
        </w:rPr>
        <w:t>.</w:t>
      </w:r>
      <w:r w:rsidRPr="00DD44D2">
        <w:rPr>
          <w:rFonts w:ascii="宋体" w:eastAsia="宋体" w:hAnsi="宋体" w:cs="Times New Roman" w:hint="eastAsia"/>
          <w:sz w:val="24"/>
          <w:szCs w:val="24"/>
        </w:rPr>
        <w:t xml:space="preserve"> 万方数据库</w:t>
      </w:r>
      <w:r w:rsidRPr="00DD44D2">
        <w:rPr>
          <w:rFonts w:ascii="Times New Roman" w:eastAsia="宋体" w:hAnsi="Times New Roman" w:cs="Times New Roman" w:hint="eastAsia"/>
          <w:sz w:val="24"/>
          <w:szCs w:val="24"/>
        </w:rPr>
        <w:t>界面简介、访问方式、检索范围及检索方式</w:t>
      </w:r>
    </w:p>
    <w:p w14:paraId="1D9F300D"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5. 中国知网，重庆维普，万方数据库对比</w:t>
      </w:r>
    </w:p>
    <w:p w14:paraId="7F0322A2" w14:textId="77777777" w:rsidR="00DD44D2" w:rsidRPr="00DD44D2" w:rsidRDefault="00DD44D2" w:rsidP="00DD44D2">
      <w:pPr>
        <w:adjustRightInd w:val="0"/>
        <w:snapToGrid w:val="0"/>
        <w:spacing w:line="440" w:lineRule="exact"/>
        <w:ind w:firstLineChars="200" w:firstLine="480"/>
        <w:rPr>
          <w:rFonts w:ascii="Times New Roman" w:eastAsia="宋体" w:hAnsi="Times New Roman" w:cs="Times New Roman"/>
          <w:sz w:val="24"/>
          <w:szCs w:val="24"/>
        </w:rPr>
      </w:pPr>
      <w:r w:rsidRPr="00DD44D2">
        <w:rPr>
          <w:rFonts w:ascii="宋体" w:eastAsia="宋体" w:hAnsi="宋体" w:cs="Times New Roman" w:hint="eastAsia"/>
          <w:sz w:val="24"/>
          <w:szCs w:val="24"/>
        </w:rPr>
        <w:t>6.</w:t>
      </w:r>
      <w:r w:rsidRPr="00DD44D2">
        <w:rPr>
          <w:rFonts w:ascii="宋体" w:eastAsia="宋体" w:hAnsi="宋体" w:cs="Times New Roman"/>
          <w:sz w:val="24"/>
          <w:szCs w:val="24"/>
        </w:rPr>
        <w:t xml:space="preserve"> </w:t>
      </w:r>
      <w:r w:rsidRPr="00DD44D2">
        <w:rPr>
          <w:rFonts w:ascii="宋体" w:eastAsia="宋体" w:hAnsi="宋体" w:cs="Times New Roman" w:hint="eastAsia"/>
          <w:sz w:val="24"/>
          <w:szCs w:val="24"/>
        </w:rPr>
        <w:t>三大</w:t>
      </w:r>
      <w:r w:rsidRPr="00DD44D2">
        <w:rPr>
          <w:rFonts w:ascii="Times New Roman" w:eastAsia="宋体" w:hAnsi="Times New Roman" w:cs="Times New Roman" w:hint="eastAsia"/>
          <w:sz w:val="24"/>
          <w:szCs w:val="24"/>
        </w:rPr>
        <w:t>数据库的检索练习</w:t>
      </w:r>
    </w:p>
    <w:p w14:paraId="36549EBB"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【重点】</w:t>
      </w:r>
    </w:p>
    <w:p w14:paraId="675A4BC4" w14:textId="77777777" w:rsidR="00DD44D2" w:rsidRPr="00DD44D2" w:rsidRDefault="00DD44D2">
      <w:pPr>
        <w:numPr>
          <w:ilvl w:val="0"/>
          <w:numId w:val="192"/>
        </w:numPr>
        <w:adjustRightInd w:val="0"/>
        <w:snapToGrid w:val="0"/>
        <w:spacing w:line="440" w:lineRule="exact"/>
        <w:rPr>
          <w:rFonts w:ascii="宋体" w:eastAsia="宋体" w:hAnsi="宋体" w:cs="楷体_GB2312"/>
          <w:color w:val="000000"/>
          <w:kern w:val="0"/>
          <w:sz w:val="24"/>
          <w:szCs w:val="24"/>
        </w:rPr>
      </w:pPr>
      <w:r w:rsidRPr="00DD44D2">
        <w:rPr>
          <w:rFonts w:ascii="宋体" w:eastAsia="宋体" w:hAnsi="宋体" w:cs="楷体_GB2312" w:hint="eastAsia"/>
          <w:color w:val="000000"/>
          <w:kern w:val="0"/>
          <w:sz w:val="24"/>
          <w:szCs w:val="24"/>
        </w:rPr>
        <w:t>期刊文献的分类</w:t>
      </w:r>
    </w:p>
    <w:p w14:paraId="0E198442" w14:textId="77777777" w:rsidR="00DD44D2" w:rsidRPr="00DD44D2" w:rsidRDefault="00DD44D2">
      <w:pPr>
        <w:numPr>
          <w:ilvl w:val="0"/>
          <w:numId w:val="192"/>
        </w:numPr>
        <w:spacing w:line="440" w:lineRule="exact"/>
        <w:rPr>
          <w:rFonts w:ascii="Times New Roman" w:eastAsia="宋体" w:hAnsi="Times New Roman" w:cs="Times New Roman"/>
          <w:sz w:val="24"/>
          <w:szCs w:val="24"/>
        </w:rPr>
      </w:pPr>
      <w:r w:rsidRPr="00DD44D2">
        <w:rPr>
          <w:rFonts w:ascii="宋体" w:eastAsia="宋体" w:hAnsi="宋体" w:cs="楷体_GB2312" w:hint="eastAsia"/>
          <w:color w:val="000000"/>
          <w:kern w:val="0"/>
          <w:sz w:val="24"/>
          <w:szCs w:val="24"/>
        </w:rPr>
        <w:t>中国知网、重庆维普、万方数据库</w:t>
      </w:r>
      <w:r w:rsidRPr="00DD44D2">
        <w:rPr>
          <w:rFonts w:ascii="Times New Roman" w:eastAsia="宋体" w:hAnsi="Times New Roman" w:cs="Times New Roman" w:hint="eastAsia"/>
          <w:sz w:val="24"/>
          <w:szCs w:val="24"/>
        </w:rPr>
        <w:t>访问方式、检索范围及检索方式</w:t>
      </w:r>
    </w:p>
    <w:p w14:paraId="03F39A98"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【难点】</w:t>
      </w:r>
    </w:p>
    <w:p w14:paraId="337E58B1" w14:textId="77777777" w:rsidR="00DD44D2" w:rsidRPr="00DD44D2" w:rsidRDefault="00DD44D2">
      <w:pPr>
        <w:numPr>
          <w:ilvl w:val="0"/>
          <w:numId w:val="193"/>
        </w:numPr>
        <w:spacing w:line="440" w:lineRule="exact"/>
        <w:rPr>
          <w:rFonts w:ascii="宋体" w:eastAsia="宋体" w:hAnsi="宋体" w:cs="楷体_GB2312"/>
          <w:color w:val="000000"/>
          <w:kern w:val="0"/>
          <w:sz w:val="24"/>
          <w:szCs w:val="24"/>
        </w:rPr>
      </w:pPr>
      <w:r w:rsidRPr="00DD44D2">
        <w:rPr>
          <w:rFonts w:ascii="宋体" w:eastAsia="宋体" w:hAnsi="宋体" w:cs="楷体_GB2312" w:hint="eastAsia"/>
          <w:color w:val="000000"/>
          <w:kern w:val="0"/>
          <w:sz w:val="24"/>
          <w:szCs w:val="24"/>
        </w:rPr>
        <w:t>中国知网、重庆维普、万方数据库在应用上的差异</w:t>
      </w:r>
    </w:p>
    <w:p w14:paraId="111D3CDE" w14:textId="77777777" w:rsidR="00DD44D2" w:rsidRPr="00DD44D2" w:rsidRDefault="00DD44D2" w:rsidP="00DD44D2">
      <w:pPr>
        <w:spacing w:line="440" w:lineRule="exact"/>
        <w:ind w:firstLineChars="200" w:firstLine="482"/>
        <w:rPr>
          <w:rFonts w:ascii="宋体" w:eastAsia="宋体" w:hAnsi="宋体" w:cs="Times New Roman"/>
          <w:color w:val="FF0000"/>
          <w:sz w:val="24"/>
          <w:szCs w:val="24"/>
        </w:rPr>
      </w:pPr>
      <w:r w:rsidRPr="00DD44D2">
        <w:rPr>
          <w:rFonts w:ascii="宋体" w:eastAsia="宋体" w:hAnsi="宋体" w:cs="Times New Roman" w:hint="eastAsia"/>
          <w:b/>
          <w:bCs/>
          <w:sz w:val="24"/>
          <w:szCs w:val="24"/>
        </w:rPr>
        <w:t>【教学方法】</w:t>
      </w:r>
    </w:p>
    <w:p w14:paraId="29B4DDD4"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1. 通过计算机和传统教学相结合，阐明课程与教学基本原理，丰富学生课程与教学的基本知识结构，培养学生的职业规范。</w:t>
      </w:r>
    </w:p>
    <w:p w14:paraId="1AAEC4F1"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sz w:val="24"/>
          <w:szCs w:val="24"/>
        </w:rPr>
        <w:t>2.</w:t>
      </w:r>
      <w:r w:rsidRPr="00DD44D2">
        <w:rPr>
          <w:rFonts w:ascii="宋体" w:eastAsia="宋体" w:hAnsi="宋体" w:cs="Times New Roman" w:hint="eastAsia"/>
          <w:sz w:val="24"/>
          <w:szCs w:val="24"/>
        </w:rPr>
        <w:t xml:space="preserve"> </w:t>
      </w:r>
      <w:r w:rsidRPr="00DD44D2">
        <w:rPr>
          <w:rFonts w:ascii="宋体" w:eastAsia="宋体" w:hAnsi="宋体" w:cs="Times New Roman"/>
          <w:sz w:val="24"/>
          <w:szCs w:val="24"/>
        </w:rPr>
        <w:t>专业理论知识检索的基础上</w:t>
      </w:r>
      <w:r w:rsidRPr="00DD44D2">
        <w:rPr>
          <w:rFonts w:ascii="宋体" w:eastAsia="宋体" w:hAnsi="宋体" w:cs="Times New Roman" w:hint="eastAsia"/>
          <w:sz w:val="24"/>
          <w:szCs w:val="24"/>
        </w:rPr>
        <w:t>，</w:t>
      </w:r>
      <w:proofErr w:type="gramStart"/>
      <w:r w:rsidRPr="00DD44D2">
        <w:rPr>
          <w:rFonts w:ascii="宋体" w:eastAsia="宋体" w:hAnsi="宋体" w:cs="Times New Roman"/>
          <w:sz w:val="24"/>
          <w:szCs w:val="24"/>
        </w:rPr>
        <w:t>加入思政</w:t>
      </w:r>
      <w:r w:rsidRPr="00DD44D2">
        <w:rPr>
          <w:rFonts w:ascii="宋体" w:eastAsia="宋体" w:hAnsi="宋体" w:cs="Times New Roman" w:hint="eastAsia"/>
          <w:sz w:val="24"/>
          <w:szCs w:val="24"/>
        </w:rPr>
        <w:t>元素</w:t>
      </w:r>
      <w:proofErr w:type="gramEnd"/>
      <w:r w:rsidRPr="00DD44D2">
        <w:rPr>
          <w:rFonts w:ascii="宋体" w:eastAsia="宋体" w:hAnsi="宋体" w:cs="Times New Roman" w:hint="eastAsia"/>
          <w:sz w:val="24"/>
          <w:szCs w:val="24"/>
        </w:rPr>
        <w:t>：</w:t>
      </w:r>
      <w:r w:rsidRPr="00DD44D2">
        <w:rPr>
          <w:rFonts w:ascii="宋体" w:eastAsia="宋体" w:hAnsi="宋体" w:cs="Times New Roman"/>
          <w:sz w:val="24"/>
          <w:szCs w:val="24"/>
        </w:rPr>
        <w:t>引导学生开展对</w:t>
      </w:r>
      <w:r w:rsidRPr="00DD44D2">
        <w:rPr>
          <w:rFonts w:ascii="宋体" w:eastAsia="宋体" w:hAnsi="宋体" w:cs="Times New Roman" w:hint="eastAsia"/>
          <w:sz w:val="24"/>
          <w:szCs w:val="24"/>
        </w:rPr>
        <w:t>药剂学或药理学</w:t>
      </w:r>
      <w:r w:rsidRPr="00DD44D2">
        <w:rPr>
          <w:rFonts w:ascii="宋体" w:eastAsia="宋体" w:hAnsi="宋体" w:cs="Times New Roman"/>
          <w:sz w:val="24"/>
          <w:szCs w:val="24"/>
        </w:rPr>
        <w:t xml:space="preserve">相关文献的检索，在价值观上引领学生，以马克思主义理论思想和习近平新时代中国特色社会主义思想作为重要引领，以润物细无声的方式潜移默化地教化学生。 </w:t>
      </w:r>
    </w:p>
    <w:p w14:paraId="3DC60A7F"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3</w:t>
      </w:r>
      <w:r w:rsidRPr="00DD44D2">
        <w:rPr>
          <w:rFonts w:ascii="宋体" w:eastAsia="宋体" w:hAnsi="宋体" w:cs="Times New Roman"/>
          <w:sz w:val="24"/>
          <w:szCs w:val="24"/>
        </w:rPr>
        <w:t xml:space="preserve">. </w:t>
      </w:r>
      <w:r w:rsidRPr="00DD44D2">
        <w:rPr>
          <w:rFonts w:ascii="宋体" w:eastAsia="宋体" w:hAnsi="宋体" w:cs="Times New Roman" w:hint="eastAsia"/>
          <w:sz w:val="24"/>
          <w:szCs w:val="24"/>
        </w:rPr>
        <w:t>信息道德教育，</w:t>
      </w:r>
      <w:proofErr w:type="gramStart"/>
      <w:r w:rsidRPr="00DD44D2">
        <w:rPr>
          <w:rFonts w:ascii="宋体" w:eastAsia="宋体" w:hAnsi="宋体" w:cs="Times New Roman" w:hint="eastAsia"/>
          <w:sz w:val="24"/>
          <w:szCs w:val="24"/>
        </w:rPr>
        <w:t>思政元素</w:t>
      </w:r>
      <w:proofErr w:type="gramEnd"/>
      <w:r w:rsidRPr="00DD44D2">
        <w:rPr>
          <w:rFonts w:ascii="宋体" w:eastAsia="宋体" w:hAnsi="宋体" w:cs="Times New Roman" w:hint="eastAsia"/>
          <w:sz w:val="24"/>
          <w:szCs w:val="24"/>
        </w:rPr>
        <w:t>引入案例：“知名演员”北京大学博士后翟天临“不知知网”事件，引导学生认识信息道德的重要性和学术不端的危害性。</w:t>
      </w:r>
    </w:p>
    <w:p w14:paraId="718D85C5" w14:textId="77777777" w:rsidR="00DD44D2" w:rsidRPr="00DD44D2" w:rsidRDefault="00DD44D2" w:rsidP="00DD44D2">
      <w:pPr>
        <w:spacing w:line="440" w:lineRule="exact"/>
        <w:ind w:firstLineChars="200" w:firstLine="482"/>
        <w:rPr>
          <w:rFonts w:ascii="宋体" w:eastAsia="宋体" w:hAnsi="宋体" w:cs="Times New Roman"/>
          <w:b/>
          <w:bCs/>
          <w:sz w:val="24"/>
          <w:szCs w:val="24"/>
        </w:rPr>
      </w:pPr>
      <w:r w:rsidRPr="00DD44D2">
        <w:rPr>
          <w:rFonts w:ascii="宋体" w:eastAsia="宋体" w:hAnsi="宋体" w:cs="Times New Roman" w:hint="eastAsia"/>
          <w:b/>
          <w:bCs/>
          <w:sz w:val="24"/>
          <w:szCs w:val="24"/>
        </w:rPr>
        <w:t>【复习思考】</w:t>
      </w:r>
    </w:p>
    <w:p w14:paraId="5D51DC63" w14:textId="77777777" w:rsidR="00DD44D2" w:rsidRPr="00DD44D2" w:rsidRDefault="00DD44D2" w:rsidP="00DD44D2">
      <w:pPr>
        <w:spacing w:line="440" w:lineRule="exact"/>
        <w:ind w:firstLineChars="200" w:firstLine="480"/>
        <w:rPr>
          <w:rFonts w:ascii="宋体" w:eastAsia="宋体" w:hAnsi="宋体" w:cs="Times New Roman"/>
          <w:bCs/>
          <w:sz w:val="24"/>
          <w:szCs w:val="24"/>
        </w:rPr>
      </w:pPr>
      <w:r w:rsidRPr="00DD44D2">
        <w:rPr>
          <w:rFonts w:ascii="宋体" w:eastAsia="宋体" w:hAnsi="宋体" w:cs="Times New Roman" w:hint="eastAsia"/>
          <w:bCs/>
          <w:sz w:val="24"/>
          <w:szCs w:val="24"/>
        </w:rPr>
        <w:t>1. 检索仿制药一致性评价相关文章，从一致性评价的概念，国内外研究进展，研究方法几个方面进行描述，完成一篇1000字的文章，参考文献至少5篇，写出文献检索思路。</w:t>
      </w:r>
    </w:p>
    <w:p w14:paraId="2880ABB1" w14:textId="77777777" w:rsidR="00DD44D2" w:rsidRPr="00DD44D2" w:rsidRDefault="00DD44D2" w:rsidP="00DD44D2">
      <w:pPr>
        <w:spacing w:beforeLines="50" w:before="156" w:afterLines="50" w:after="156" w:line="440" w:lineRule="exact"/>
        <w:ind w:firstLineChars="200" w:firstLine="560"/>
        <w:jc w:val="center"/>
        <w:rPr>
          <w:rFonts w:ascii="黑体" w:eastAsia="黑体" w:hAnsi="黑体" w:cs="Times New Roman"/>
          <w:sz w:val="28"/>
          <w:szCs w:val="28"/>
        </w:rPr>
      </w:pPr>
      <w:r w:rsidRPr="00DD44D2">
        <w:rPr>
          <w:rFonts w:ascii="黑体" w:eastAsia="黑体" w:hAnsi="黑体" w:cs="Times New Roman" w:hint="eastAsia"/>
          <w:sz w:val="28"/>
          <w:szCs w:val="28"/>
        </w:rPr>
        <w:t xml:space="preserve">第四章 </w:t>
      </w:r>
      <w:r w:rsidRPr="00DD44D2">
        <w:rPr>
          <w:rFonts w:ascii="黑体" w:eastAsia="黑体" w:hAnsi="黑体" w:cs="Times New Roman"/>
          <w:sz w:val="28"/>
          <w:szCs w:val="28"/>
        </w:rPr>
        <w:t xml:space="preserve"> </w:t>
      </w:r>
      <w:r w:rsidRPr="00DD44D2">
        <w:rPr>
          <w:rFonts w:ascii="黑体" w:eastAsia="黑体" w:hAnsi="黑体" w:cs="Times New Roman" w:hint="eastAsia"/>
          <w:sz w:val="28"/>
          <w:szCs w:val="28"/>
        </w:rPr>
        <w:t>英文网络数据库</w:t>
      </w:r>
    </w:p>
    <w:p w14:paraId="6B476417" w14:textId="77777777" w:rsidR="00DD44D2" w:rsidRPr="00DD44D2" w:rsidRDefault="00DD44D2" w:rsidP="00DD44D2">
      <w:pPr>
        <w:spacing w:line="440" w:lineRule="exact"/>
        <w:ind w:firstLineChars="200" w:firstLine="482"/>
        <w:jc w:val="left"/>
        <w:rPr>
          <w:rFonts w:ascii="宋体" w:eastAsia="宋体" w:hAnsi="宋体" w:cs="Times New Roman"/>
          <w:b/>
          <w:sz w:val="24"/>
          <w:szCs w:val="24"/>
        </w:rPr>
      </w:pPr>
      <w:r w:rsidRPr="00DD44D2">
        <w:rPr>
          <w:rFonts w:ascii="宋体" w:eastAsia="宋体" w:hAnsi="宋体" w:cs="Times New Roman" w:hint="eastAsia"/>
          <w:b/>
          <w:sz w:val="24"/>
          <w:szCs w:val="24"/>
        </w:rPr>
        <w:t>【学习目标】</w:t>
      </w:r>
    </w:p>
    <w:p w14:paraId="2CD7A870" w14:textId="77777777" w:rsidR="00DD44D2" w:rsidRPr="00DD44D2" w:rsidRDefault="00DD44D2" w:rsidP="00DD44D2">
      <w:pPr>
        <w:adjustRightInd w:val="0"/>
        <w:snapToGrid w:val="0"/>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1</w:t>
      </w:r>
      <w:r w:rsidRPr="00DD44D2">
        <w:rPr>
          <w:rFonts w:ascii="宋体" w:eastAsia="宋体" w:hAnsi="宋体" w:cs="Times New Roman"/>
          <w:sz w:val="24"/>
          <w:szCs w:val="24"/>
        </w:rPr>
        <w:t>.</w:t>
      </w:r>
      <w:r w:rsidRPr="00DD44D2">
        <w:rPr>
          <w:rFonts w:ascii="宋体" w:eastAsia="宋体" w:hAnsi="宋体" w:cs="楷体_GB2312" w:hint="eastAsia"/>
          <w:color w:val="000000"/>
          <w:kern w:val="0"/>
          <w:sz w:val="24"/>
          <w:szCs w:val="24"/>
        </w:rPr>
        <w:t xml:space="preserve"> 掌握PubMed的检索方法，及PubMed检索结果的显示和保存</w:t>
      </w:r>
    </w:p>
    <w:p w14:paraId="6865A1AF" w14:textId="77777777" w:rsidR="00DD44D2" w:rsidRPr="00DD44D2" w:rsidRDefault="00DD44D2" w:rsidP="00DD44D2">
      <w:pPr>
        <w:adjustRightInd w:val="0"/>
        <w:snapToGrid w:val="0"/>
        <w:spacing w:line="440" w:lineRule="exact"/>
        <w:ind w:firstLineChars="200" w:firstLine="480"/>
        <w:rPr>
          <w:rFonts w:ascii="宋体" w:eastAsia="宋体" w:hAnsi="宋体" w:cs="楷体_GB2312"/>
          <w:color w:val="000000"/>
          <w:kern w:val="0"/>
          <w:sz w:val="24"/>
          <w:szCs w:val="24"/>
        </w:rPr>
      </w:pPr>
      <w:r w:rsidRPr="00DD44D2">
        <w:rPr>
          <w:rFonts w:ascii="宋体" w:eastAsia="宋体" w:hAnsi="宋体" w:cs="楷体_GB2312" w:hint="eastAsia"/>
          <w:color w:val="000000"/>
          <w:kern w:val="0"/>
          <w:sz w:val="24"/>
          <w:szCs w:val="24"/>
        </w:rPr>
        <w:t>2</w:t>
      </w:r>
      <w:r w:rsidRPr="00DD44D2">
        <w:rPr>
          <w:rFonts w:ascii="宋体" w:eastAsia="宋体" w:hAnsi="宋体" w:cs="楷体_GB2312"/>
          <w:color w:val="000000"/>
          <w:kern w:val="0"/>
          <w:sz w:val="24"/>
          <w:szCs w:val="24"/>
        </w:rPr>
        <w:t xml:space="preserve">. </w:t>
      </w:r>
      <w:r w:rsidRPr="00DD44D2">
        <w:rPr>
          <w:rFonts w:ascii="宋体" w:eastAsia="宋体" w:hAnsi="宋体" w:cs="楷体_GB2312" w:hint="eastAsia"/>
          <w:color w:val="000000"/>
          <w:kern w:val="0"/>
          <w:sz w:val="24"/>
          <w:szCs w:val="24"/>
        </w:rPr>
        <w:t>熟悉PubMed检索系统的特点</w:t>
      </w:r>
    </w:p>
    <w:p w14:paraId="1DF89DFA" w14:textId="77777777" w:rsidR="00DD44D2" w:rsidRPr="00DD44D2" w:rsidRDefault="00DD44D2" w:rsidP="00DD44D2">
      <w:pPr>
        <w:adjustRightInd w:val="0"/>
        <w:snapToGrid w:val="0"/>
        <w:spacing w:line="440" w:lineRule="exact"/>
        <w:ind w:firstLineChars="200" w:firstLine="480"/>
        <w:rPr>
          <w:rFonts w:ascii="宋体" w:eastAsia="宋体" w:hAnsi="宋体" w:cs="楷体_GB2312"/>
          <w:color w:val="000000"/>
          <w:kern w:val="0"/>
          <w:sz w:val="24"/>
          <w:szCs w:val="24"/>
        </w:rPr>
      </w:pPr>
      <w:r w:rsidRPr="00DD44D2">
        <w:rPr>
          <w:rFonts w:ascii="宋体" w:eastAsia="宋体" w:hAnsi="宋体" w:cs="楷体_GB2312" w:hint="eastAsia"/>
          <w:color w:val="000000"/>
          <w:kern w:val="0"/>
          <w:sz w:val="24"/>
          <w:szCs w:val="24"/>
        </w:rPr>
        <w:t>3</w:t>
      </w:r>
      <w:r w:rsidRPr="00DD44D2">
        <w:rPr>
          <w:rFonts w:ascii="宋体" w:eastAsia="宋体" w:hAnsi="宋体" w:cs="楷体_GB2312"/>
          <w:color w:val="000000"/>
          <w:kern w:val="0"/>
          <w:sz w:val="24"/>
          <w:szCs w:val="24"/>
        </w:rPr>
        <w:t xml:space="preserve">. </w:t>
      </w:r>
      <w:r w:rsidRPr="00DD44D2">
        <w:rPr>
          <w:rFonts w:ascii="宋体" w:eastAsia="宋体" w:hAnsi="宋体" w:cs="楷体_GB2312" w:hint="eastAsia"/>
          <w:color w:val="000000"/>
          <w:kern w:val="0"/>
          <w:sz w:val="24"/>
          <w:szCs w:val="24"/>
        </w:rPr>
        <w:t>了解</w:t>
      </w:r>
      <w:r w:rsidRPr="00DD44D2">
        <w:rPr>
          <w:rFonts w:ascii="宋体" w:eastAsia="宋体" w:hAnsi="宋体" w:cs="楷体_GB2312"/>
          <w:color w:val="000000"/>
          <w:kern w:val="0"/>
          <w:sz w:val="24"/>
          <w:szCs w:val="24"/>
        </w:rPr>
        <w:t>SCI</w:t>
      </w:r>
      <w:r w:rsidRPr="00DD44D2">
        <w:rPr>
          <w:rFonts w:ascii="宋体" w:eastAsia="宋体" w:hAnsi="宋体" w:cs="楷体_GB2312" w:hint="eastAsia"/>
          <w:color w:val="000000"/>
          <w:kern w:val="0"/>
          <w:sz w:val="24"/>
          <w:szCs w:val="24"/>
        </w:rPr>
        <w:t>相关知识</w:t>
      </w:r>
    </w:p>
    <w:p w14:paraId="65D14CC5"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【学习内容】</w:t>
      </w:r>
    </w:p>
    <w:p w14:paraId="297B1050"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1</w:t>
      </w:r>
      <w:r w:rsidRPr="00DD44D2">
        <w:rPr>
          <w:rFonts w:ascii="宋体" w:eastAsia="宋体" w:hAnsi="宋体" w:cs="Times New Roman"/>
          <w:sz w:val="24"/>
          <w:szCs w:val="24"/>
        </w:rPr>
        <w:t>.</w:t>
      </w:r>
      <w:r w:rsidRPr="00DD44D2">
        <w:rPr>
          <w:rFonts w:ascii="宋体" w:eastAsia="宋体" w:hAnsi="宋体" w:cs="Times New Roman" w:hint="eastAsia"/>
          <w:sz w:val="24"/>
          <w:szCs w:val="24"/>
        </w:rPr>
        <w:t xml:space="preserve"> </w:t>
      </w:r>
      <w:r w:rsidRPr="00DD44D2">
        <w:rPr>
          <w:rFonts w:ascii="宋体" w:eastAsia="宋体" w:hAnsi="宋体" w:cs="Times New Roman"/>
          <w:sz w:val="24"/>
          <w:szCs w:val="24"/>
        </w:rPr>
        <w:t>SCI</w:t>
      </w:r>
      <w:r w:rsidRPr="00DD44D2">
        <w:rPr>
          <w:rFonts w:ascii="宋体" w:eastAsia="宋体" w:hAnsi="宋体" w:cs="Times New Roman" w:hint="eastAsia"/>
          <w:sz w:val="24"/>
          <w:szCs w:val="24"/>
        </w:rPr>
        <w:t>概述</w:t>
      </w:r>
    </w:p>
    <w:p w14:paraId="712D925E"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sz w:val="24"/>
          <w:szCs w:val="24"/>
        </w:rPr>
        <w:t xml:space="preserve">2. </w:t>
      </w:r>
      <w:r w:rsidRPr="00DD44D2">
        <w:rPr>
          <w:rFonts w:ascii="宋体" w:eastAsia="宋体" w:hAnsi="宋体" w:cs="Times New Roman" w:hint="eastAsia"/>
          <w:sz w:val="24"/>
          <w:szCs w:val="24"/>
        </w:rPr>
        <w:t>PubMed（生物医学数据库）简介、访问方式与常用检索技术</w:t>
      </w:r>
      <w:r w:rsidRPr="00DD44D2">
        <w:rPr>
          <w:rFonts w:ascii="宋体" w:eastAsia="宋体" w:hAnsi="宋体" w:cs="Times New Roman"/>
          <w:sz w:val="24"/>
          <w:szCs w:val="24"/>
        </w:rPr>
        <w:t xml:space="preserve"> </w:t>
      </w:r>
    </w:p>
    <w:p w14:paraId="7C552106"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3</w:t>
      </w:r>
      <w:r w:rsidRPr="00DD44D2">
        <w:rPr>
          <w:rFonts w:ascii="宋体" w:eastAsia="宋体" w:hAnsi="宋体" w:cs="Times New Roman"/>
          <w:sz w:val="24"/>
          <w:szCs w:val="24"/>
        </w:rPr>
        <w:t>.</w:t>
      </w:r>
      <w:r w:rsidRPr="00DD44D2">
        <w:rPr>
          <w:rFonts w:ascii="宋体" w:eastAsia="宋体" w:hAnsi="宋体" w:cs="Times New Roman" w:hint="eastAsia"/>
          <w:szCs w:val="24"/>
        </w:rPr>
        <w:t xml:space="preserve"> </w:t>
      </w:r>
      <w:r w:rsidRPr="00DD44D2">
        <w:rPr>
          <w:rFonts w:ascii="宋体" w:eastAsia="宋体" w:hAnsi="宋体" w:cs="Times New Roman" w:hint="eastAsia"/>
          <w:sz w:val="24"/>
          <w:szCs w:val="24"/>
        </w:rPr>
        <w:t>PubMed的检索及练习</w:t>
      </w:r>
    </w:p>
    <w:p w14:paraId="68E0CD33"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【重点】</w:t>
      </w:r>
    </w:p>
    <w:p w14:paraId="132D1EA2" w14:textId="77777777" w:rsidR="00DD44D2" w:rsidRPr="00DD44D2" w:rsidRDefault="00DD44D2" w:rsidP="00DD44D2">
      <w:pPr>
        <w:adjustRightInd w:val="0"/>
        <w:snapToGrid w:val="0"/>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lastRenderedPageBreak/>
        <w:t>1.</w:t>
      </w:r>
      <w:r w:rsidRPr="00DD44D2">
        <w:rPr>
          <w:rFonts w:ascii="宋体" w:eastAsia="宋体" w:hAnsi="宋体" w:cs="楷体_GB2312" w:hint="eastAsia"/>
          <w:color w:val="000000"/>
          <w:kern w:val="0"/>
          <w:sz w:val="24"/>
          <w:szCs w:val="24"/>
        </w:rPr>
        <w:t xml:space="preserve"> PubMed的检索方法，及PubMed检索结果的显示和保存</w:t>
      </w:r>
    </w:p>
    <w:p w14:paraId="44FCDF0E" w14:textId="77777777" w:rsidR="00DD44D2" w:rsidRPr="00DD44D2" w:rsidRDefault="00DD44D2" w:rsidP="00DD44D2">
      <w:pPr>
        <w:adjustRightInd w:val="0"/>
        <w:snapToGrid w:val="0"/>
        <w:spacing w:line="440" w:lineRule="exact"/>
        <w:ind w:left="480"/>
        <w:rPr>
          <w:rFonts w:ascii="宋体" w:eastAsia="宋体" w:hAnsi="宋体" w:cs="Times New Roman"/>
          <w:b/>
          <w:sz w:val="24"/>
          <w:szCs w:val="24"/>
        </w:rPr>
      </w:pPr>
      <w:r w:rsidRPr="00DD44D2">
        <w:rPr>
          <w:rFonts w:ascii="宋体" w:eastAsia="宋体" w:hAnsi="宋体" w:cs="Times New Roman" w:hint="eastAsia"/>
          <w:b/>
          <w:sz w:val="24"/>
          <w:szCs w:val="24"/>
        </w:rPr>
        <w:t>【难点】</w:t>
      </w:r>
    </w:p>
    <w:p w14:paraId="3405EA63" w14:textId="77777777" w:rsidR="00DD44D2" w:rsidRPr="00DD44D2" w:rsidRDefault="00DD44D2" w:rsidP="00DD44D2">
      <w:pPr>
        <w:adjustRightInd w:val="0"/>
        <w:snapToGrid w:val="0"/>
        <w:spacing w:line="440" w:lineRule="exact"/>
        <w:ind w:firstLineChars="200" w:firstLine="480"/>
        <w:rPr>
          <w:rFonts w:ascii="宋体" w:eastAsia="宋体" w:hAnsi="宋体" w:cs="楷体_GB2312"/>
          <w:color w:val="000000"/>
          <w:kern w:val="0"/>
          <w:sz w:val="24"/>
          <w:szCs w:val="24"/>
        </w:rPr>
      </w:pPr>
      <w:r w:rsidRPr="00DD44D2">
        <w:rPr>
          <w:rFonts w:ascii="宋体" w:eastAsia="宋体" w:hAnsi="宋体" w:cs="Times New Roman" w:hint="eastAsia"/>
          <w:sz w:val="24"/>
          <w:szCs w:val="24"/>
        </w:rPr>
        <w:t>1.</w:t>
      </w:r>
      <w:r w:rsidRPr="00DD44D2">
        <w:rPr>
          <w:rFonts w:ascii="宋体" w:eastAsia="宋体" w:hAnsi="宋体" w:cs="楷体_GB2312" w:hint="eastAsia"/>
          <w:color w:val="000000"/>
          <w:kern w:val="0"/>
          <w:sz w:val="24"/>
          <w:szCs w:val="24"/>
        </w:rPr>
        <w:t xml:space="preserve"> </w:t>
      </w:r>
      <w:proofErr w:type="spellStart"/>
      <w:r w:rsidRPr="00DD44D2">
        <w:rPr>
          <w:rFonts w:ascii="宋体" w:eastAsia="宋体" w:hAnsi="宋体" w:cs="楷体_GB2312" w:hint="eastAsia"/>
          <w:color w:val="000000"/>
          <w:kern w:val="0"/>
          <w:sz w:val="24"/>
          <w:szCs w:val="24"/>
        </w:rPr>
        <w:t>Pubmed</w:t>
      </w:r>
      <w:proofErr w:type="spellEnd"/>
      <w:r w:rsidRPr="00DD44D2">
        <w:rPr>
          <w:rFonts w:ascii="宋体" w:eastAsia="宋体" w:hAnsi="宋体" w:cs="楷体_GB2312" w:hint="eastAsia"/>
          <w:color w:val="000000"/>
          <w:kern w:val="0"/>
          <w:sz w:val="24"/>
          <w:szCs w:val="24"/>
        </w:rPr>
        <w:t>检索系统的特点</w:t>
      </w:r>
    </w:p>
    <w:p w14:paraId="61FDAAAF" w14:textId="77777777" w:rsidR="00DD44D2" w:rsidRPr="00DD44D2" w:rsidRDefault="00DD44D2" w:rsidP="00DD44D2">
      <w:pPr>
        <w:adjustRightInd w:val="0"/>
        <w:snapToGrid w:val="0"/>
        <w:spacing w:line="440" w:lineRule="exact"/>
        <w:ind w:firstLineChars="200" w:firstLine="480"/>
        <w:rPr>
          <w:rFonts w:ascii="宋体" w:eastAsia="宋体" w:hAnsi="宋体" w:cs="楷体_GB2312"/>
          <w:color w:val="000000"/>
          <w:kern w:val="0"/>
          <w:sz w:val="24"/>
          <w:szCs w:val="24"/>
        </w:rPr>
      </w:pPr>
      <w:r w:rsidRPr="00DD44D2">
        <w:rPr>
          <w:rFonts w:ascii="宋体" w:eastAsia="宋体" w:hAnsi="宋体" w:cs="Times New Roman" w:hint="eastAsia"/>
          <w:sz w:val="24"/>
          <w:szCs w:val="24"/>
        </w:rPr>
        <w:t>2.</w:t>
      </w:r>
      <w:r w:rsidRPr="00DD44D2">
        <w:rPr>
          <w:rFonts w:ascii="宋体" w:eastAsia="宋体" w:hAnsi="宋体" w:cs="楷体_GB2312" w:hint="eastAsia"/>
          <w:color w:val="000000"/>
          <w:kern w:val="0"/>
          <w:sz w:val="24"/>
          <w:szCs w:val="24"/>
        </w:rPr>
        <w:t xml:space="preserve"> </w:t>
      </w:r>
      <w:r w:rsidRPr="00DD44D2">
        <w:rPr>
          <w:rFonts w:ascii="宋体" w:eastAsia="宋体" w:hAnsi="宋体" w:cs="楷体_GB2312"/>
          <w:color w:val="000000"/>
          <w:kern w:val="0"/>
          <w:sz w:val="24"/>
          <w:szCs w:val="24"/>
        </w:rPr>
        <w:t>SCI</w:t>
      </w:r>
      <w:r w:rsidRPr="00DD44D2">
        <w:rPr>
          <w:rFonts w:ascii="宋体" w:eastAsia="宋体" w:hAnsi="宋体" w:cs="楷体_GB2312" w:hint="eastAsia"/>
          <w:color w:val="000000"/>
          <w:kern w:val="0"/>
          <w:sz w:val="24"/>
          <w:szCs w:val="24"/>
        </w:rPr>
        <w:t>相关知识</w:t>
      </w:r>
    </w:p>
    <w:p w14:paraId="5B89E9CB" w14:textId="77777777" w:rsidR="00DD44D2" w:rsidRPr="00DD44D2" w:rsidRDefault="00DD44D2" w:rsidP="00DD44D2">
      <w:pPr>
        <w:adjustRightInd w:val="0"/>
        <w:snapToGrid w:val="0"/>
        <w:spacing w:line="440" w:lineRule="exact"/>
        <w:ind w:firstLineChars="200" w:firstLine="482"/>
        <w:rPr>
          <w:rFonts w:ascii="宋体" w:eastAsia="宋体" w:hAnsi="宋体" w:cs="Times New Roman"/>
          <w:color w:val="FF0000"/>
          <w:sz w:val="24"/>
          <w:szCs w:val="24"/>
        </w:rPr>
      </w:pPr>
      <w:r w:rsidRPr="00DD44D2">
        <w:rPr>
          <w:rFonts w:ascii="宋体" w:eastAsia="宋体" w:hAnsi="宋体" w:cs="Times New Roman" w:hint="eastAsia"/>
          <w:b/>
          <w:bCs/>
          <w:sz w:val="24"/>
          <w:szCs w:val="24"/>
        </w:rPr>
        <w:t>【教学方法】</w:t>
      </w:r>
    </w:p>
    <w:p w14:paraId="54DAF201"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1. 通过计算机和传统教学相结合，阐明课程与教学基本原理，丰富学生课程与教学的基本知识结构，培养学生的职业规范。</w:t>
      </w:r>
    </w:p>
    <w:p w14:paraId="6E82E15C" w14:textId="77777777" w:rsidR="00DD44D2" w:rsidRPr="00DD44D2" w:rsidRDefault="00DD44D2" w:rsidP="00DD44D2">
      <w:pPr>
        <w:spacing w:line="440" w:lineRule="exact"/>
        <w:ind w:firstLineChars="200" w:firstLine="482"/>
        <w:rPr>
          <w:rFonts w:ascii="宋体" w:eastAsia="宋体" w:hAnsi="宋体" w:cs="Times New Roman"/>
          <w:bCs/>
          <w:color w:val="FF0000"/>
          <w:sz w:val="24"/>
          <w:szCs w:val="24"/>
        </w:rPr>
      </w:pPr>
      <w:r w:rsidRPr="00DD44D2">
        <w:rPr>
          <w:rFonts w:ascii="宋体" w:eastAsia="宋体" w:hAnsi="宋体" w:cs="Times New Roman" w:hint="eastAsia"/>
          <w:b/>
          <w:sz w:val="24"/>
          <w:szCs w:val="24"/>
        </w:rPr>
        <w:t>【复习思考】</w:t>
      </w:r>
    </w:p>
    <w:p w14:paraId="2E0C6DD3" w14:textId="77777777" w:rsidR="00DD44D2" w:rsidRPr="00DD44D2" w:rsidRDefault="00DD44D2" w:rsidP="00DD44D2">
      <w:pPr>
        <w:spacing w:line="440" w:lineRule="exact"/>
        <w:ind w:firstLineChars="300" w:firstLine="630"/>
        <w:rPr>
          <w:rFonts w:ascii="宋体" w:eastAsia="宋体" w:hAnsi="宋体" w:cs="Times New Roman"/>
          <w:sz w:val="24"/>
          <w:szCs w:val="24"/>
        </w:rPr>
      </w:pPr>
      <w:r w:rsidRPr="00DD44D2">
        <w:rPr>
          <w:rFonts w:ascii="Times New Roman" w:eastAsia="宋体" w:hAnsi="Times New Roman" w:cs="Times New Roman" w:hint="eastAsia"/>
          <w:szCs w:val="24"/>
        </w:rPr>
        <w:t>1.</w:t>
      </w:r>
      <w:r w:rsidRPr="00DD44D2">
        <w:rPr>
          <w:rFonts w:ascii="Times New Roman" w:eastAsia="宋体" w:hAnsi="Times New Roman" w:cs="Times New Roman"/>
          <w:szCs w:val="24"/>
        </w:rPr>
        <w:t xml:space="preserve"> </w:t>
      </w:r>
      <w:r w:rsidRPr="00DD44D2">
        <w:rPr>
          <w:rFonts w:ascii="宋体" w:eastAsia="宋体" w:hAnsi="宋体" w:cs="Times New Roman" w:hint="eastAsia"/>
          <w:sz w:val="24"/>
          <w:szCs w:val="24"/>
        </w:rPr>
        <w:t>无</w:t>
      </w:r>
    </w:p>
    <w:p w14:paraId="2DDE049B" w14:textId="77777777" w:rsidR="00DD44D2" w:rsidRPr="00DD44D2" w:rsidRDefault="00DD44D2" w:rsidP="00DD44D2">
      <w:pPr>
        <w:spacing w:beforeLines="50" w:before="156" w:afterLines="50" w:after="156" w:line="440" w:lineRule="exact"/>
        <w:ind w:firstLineChars="200" w:firstLine="560"/>
        <w:jc w:val="center"/>
        <w:rPr>
          <w:rFonts w:ascii="黑体" w:eastAsia="黑体" w:hAnsi="黑体" w:cs="Times New Roman"/>
          <w:sz w:val="28"/>
          <w:szCs w:val="28"/>
        </w:rPr>
      </w:pPr>
      <w:r w:rsidRPr="00DD44D2">
        <w:rPr>
          <w:rFonts w:ascii="黑体" w:eastAsia="黑体" w:hAnsi="黑体" w:cs="Times New Roman" w:hint="eastAsia"/>
          <w:sz w:val="28"/>
          <w:szCs w:val="28"/>
        </w:rPr>
        <w:t>第五章  专利文献检索</w:t>
      </w:r>
    </w:p>
    <w:p w14:paraId="396376B1" w14:textId="77777777" w:rsidR="00DD44D2" w:rsidRPr="00DD44D2" w:rsidRDefault="00DD44D2" w:rsidP="00DD44D2">
      <w:pPr>
        <w:spacing w:line="440" w:lineRule="exact"/>
        <w:ind w:firstLineChars="200" w:firstLine="482"/>
        <w:jc w:val="left"/>
        <w:rPr>
          <w:rFonts w:ascii="宋体" w:eastAsia="宋体" w:hAnsi="宋体" w:cs="Times New Roman"/>
          <w:b/>
          <w:sz w:val="24"/>
          <w:szCs w:val="24"/>
        </w:rPr>
      </w:pPr>
      <w:r w:rsidRPr="00DD44D2">
        <w:rPr>
          <w:rFonts w:ascii="宋体" w:eastAsia="宋体" w:hAnsi="宋体" w:cs="Times New Roman" w:hint="eastAsia"/>
          <w:b/>
          <w:sz w:val="24"/>
          <w:szCs w:val="24"/>
        </w:rPr>
        <w:t>【学习目标】</w:t>
      </w:r>
    </w:p>
    <w:p w14:paraId="37CD299C" w14:textId="77777777" w:rsidR="00DD44D2" w:rsidRPr="00DD44D2" w:rsidRDefault="00DD44D2" w:rsidP="00DD44D2">
      <w:pPr>
        <w:spacing w:line="440" w:lineRule="exact"/>
        <w:ind w:firstLineChars="200" w:firstLine="480"/>
        <w:rPr>
          <w:rFonts w:ascii="宋体" w:eastAsia="宋体" w:hAnsi="宋体" w:cs="楷体_GB2312"/>
          <w:color w:val="000000"/>
          <w:kern w:val="0"/>
          <w:sz w:val="24"/>
          <w:szCs w:val="24"/>
        </w:rPr>
      </w:pPr>
      <w:r w:rsidRPr="00DD44D2">
        <w:rPr>
          <w:rFonts w:ascii="宋体" w:eastAsia="宋体" w:hAnsi="宋体" w:cs="Times New Roman" w:hint="eastAsia"/>
          <w:sz w:val="24"/>
          <w:szCs w:val="24"/>
        </w:rPr>
        <w:t>1</w:t>
      </w:r>
      <w:r w:rsidRPr="00DD44D2">
        <w:rPr>
          <w:rFonts w:ascii="宋体" w:eastAsia="宋体" w:hAnsi="宋体" w:cs="Times New Roman"/>
          <w:sz w:val="24"/>
          <w:szCs w:val="24"/>
        </w:rPr>
        <w:t xml:space="preserve">. </w:t>
      </w:r>
      <w:r w:rsidRPr="00DD44D2">
        <w:rPr>
          <w:rFonts w:ascii="宋体" w:eastAsia="宋体" w:hAnsi="宋体" w:cs="楷体_GB2312" w:hint="eastAsia"/>
          <w:color w:val="000000"/>
          <w:kern w:val="0"/>
          <w:sz w:val="24"/>
          <w:szCs w:val="24"/>
        </w:rPr>
        <w:t>掌握专利文献结构、专利编号的分类和每个字符的意义</w:t>
      </w:r>
    </w:p>
    <w:p w14:paraId="54C2202F" w14:textId="77777777" w:rsidR="00DD44D2" w:rsidRPr="00DD44D2" w:rsidRDefault="00DD44D2" w:rsidP="00DD44D2">
      <w:pPr>
        <w:spacing w:line="440" w:lineRule="exact"/>
        <w:ind w:firstLineChars="200" w:firstLine="480"/>
        <w:rPr>
          <w:rFonts w:ascii="宋体" w:eastAsia="宋体" w:hAnsi="宋体" w:cs="楷体_GB2312"/>
          <w:color w:val="000000"/>
          <w:kern w:val="0"/>
          <w:sz w:val="24"/>
          <w:szCs w:val="24"/>
        </w:rPr>
      </w:pPr>
      <w:r w:rsidRPr="00DD44D2">
        <w:rPr>
          <w:rFonts w:ascii="宋体" w:eastAsia="宋体" w:hAnsi="宋体" w:cs="Times New Roman" w:hint="eastAsia"/>
          <w:sz w:val="24"/>
          <w:szCs w:val="24"/>
        </w:rPr>
        <w:t>2</w:t>
      </w:r>
      <w:r w:rsidRPr="00DD44D2">
        <w:rPr>
          <w:rFonts w:ascii="宋体" w:eastAsia="宋体" w:hAnsi="宋体" w:cs="Times New Roman"/>
          <w:sz w:val="24"/>
          <w:szCs w:val="24"/>
        </w:rPr>
        <w:t xml:space="preserve">. </w:t>
      </w:r>
      <w:r w:rsidRPr="00DD44D2">
        <w:rPr>
          <w:rFonts w:ascii="宋体" w:eastAsia="宋体" w:hAnsi="宋体" w:cs="楷体_GB2312" w:hint="eastAsia"/>
          <w:color w:val="000000"/>
          <w:kern w:val="0"/>
          <w:sz w:val="24"/>
          <w:szCs w:val="24"/>
        </w:rPr>
        <w:t>掌握专利文献的检索途径及方法</w:t>
      </w:r>
    </w:p>
    <w:p w14:paraId="36599519" w14:textId="77777777" w:rsidR="00DD44D2" w:rsidRPr="00DD44D2" w:rsidRDefault="00DD44D2" w:rsidP="00DD44D2">
      <w:pPr>
        <w:spacing w:line="440" w:lineRule="exact"/>
        <w:ind w:firstLineChars="200" w:firstLine="480"/>
        <w:rPr>
          <w:rFonts w:ascii="宋体" w:eastAsia="宋体" w:hAnsi="宋体" w:cs="楷体_GB2312"/>
          <w:color w:val="000000"/>
          <w:kern w:val="0"/>
          <w:sz w:val="24"/>
          <w:szCs w:val="24"/>
        </w:rPr>
      </w:pPr>
      <w:r w:rsidRPr="00DD44D2">
        <w:rPr>
          <w:rFonts w:ascii="宋体" w:eastAsia="宋体" w:hAnsi="宋体" w:cs="楷体_GB2312" w:hint="eastAsia"/>
          <w:color w:val="000000"/>
          <w:kern w:val="0"/>
          <w:sz w:val="24"/>
          <w:szCs w:val="24"/>
        </w:rPr>
        <w:t>3</w:t>
      </w:r>
      <w:r w:rsidRPr="00DD44D2">
        <w:rPr>
          <w:rFonts w:ascii="宋体" w:eastAsia="宋体" w:hAnsi="宋体" w:cs="楷体_GB2312"/>
          <w:color w:val="000000"/>
          <w:kern w:val="0"/>
          <w:sz w:val="24"/>
          <w:szCs w:val="24"/>
        </w:rPr>
        <w:t xml:space="preserve">. </w:t>
      </w:r>
      <w:r w:rsidRPr="00DD44D2">
        <w:rPr>
          <w:rFonts w:ascii="宋体" w:eastAsia="宋体" w:hAnsi="宋体" w:cs="楷体_GB2312" w:hint="eastAsia"/>
          <w:color w:val="000000"/>
          <w:kern w:val="0"/>
          <w:sz w:val="24"/>
          <w:szCs w:val="24"/>
        </w:rPr>
        <w:t>熟悉专利文献概念、类型、授予专利权条件</w:t>
      </w:r>
    </w:p>
    <w:p w14:paraId="25B9BABF" w14:textId="77777777" w:rsidR="00DD44D2" w:rsidRPr="00DD44D2" w:rsidRDefault="00DD44D2" w:rsidP="00DD44D2">
      <w:pPr>
        <w:spacing w:line="440" w:lineRule="exact"/>
        <w:ind w:firstLineChars="200" w:firstLine="482"/>
        <w:rPr>
          <w:rFonts w:ascii="宋体" w:eastAsia="宋体" w:hAnsi="宋体" w:cs="楷体_GB2312"/>
          <w:color w:val="000000"/>
          <w:kern w:val="0"/>
          <w:sz w:val="24"/>
          <w:szCs w:val="24"/>
        </w:rPr>
      </w:pPr>
      <w:r w:rsidRPr="00DD44D2">
        <w:rPr>
          <w:rFonts w:ascii="宋体" w:eastAsia="宋体" w:hAnsi="宋体" w:cs="Times New Roman" w:hint="eastAsia"/>
          <w:b/>
          <w:sz w:val="24"/>
          <w:szCs w:val="24"/>
        </w:rPr>
        <w:t>【学习内容】</w:t>
      </w:r>
    </w:p>
    <w:p w14:paraId="613E02FB" w14:textId="77777777" w:rsidR="00DD44D2" w:rsidRPr="00DD44D2" w:rsidRDefault="00DD44D2" w:rsidP="00DD44D2">
      <w:pPr>
        <w:adjustRightInd w:val="0"/>
        <w:snapToGrid w:val="0"/>
        <w:spacing w:line="440" w:lineRule="exact"/>
        <w:ind w:firstLineChars="200" w:firstLine="480"/>
        <w:rPr>
          <w:rFonts w:ascii="Times New Roman" w:eastAsia="宋体" w:hAnsi="Times New Roman" w:cs="Times New Roman"/>
          <w:sz w:val="24"/>
          <w:szCs w:val="24"/>
        </w:rPr>
      </w:pPr>
      <w:r w:rsidRPr="00DD44D2">
        <w:rPr>
          <w:rFonts w:ascii="宋体" w:eastAsia="宋体" w:hAnsi="宋体" w:cs="Times New Roman" w:hint="eastAsia"/>
          <w:sz w:val="24"/>
          <w:szCs w:val="24"/>
        </w:rPr>
        <w:t>1</w:t>
      </w:r>
      <w:r w:rsidRPr="00DD44D2">
        <w:rPr>
          <w:rFonts w:ascii="宋体" w:eastAsia="宋体" w:hAnsi="宋体" w:cs="Times New Roman"/>
          <w:sz w:val="24"/>
          <w:szCs w:val="24"/>
        </w:rPr>
        <w:t>.</w:t>
      </w:r>
      <w:r w:rsidRPr="00DD44D2">
        <w:rPr>
          <w:rFonts w:ascii="Times New Roman" w:eastAsia="宋体" w:hAnsi="Times New Roman" w:cs="Times New Roman" w:hint="eastAsia"/>
          <w:szCs w:val="24"/>
        </w:rPr>
        <w:t xml:space="preserve"> </w:t>
      </w:r>
      <w:r w:rsidRPr="00DD44D2">
        <w:rPr>
          <w:rFonts w:ascii="Times New Roman" w:eastAsia="宋体" w:hAnsi="Times New Roman" w:cs="Times New Roman" w:hint="eastAsia"/>
          <w:sz w:val="24"/>
          <w:szCs w:val="24"/>
        </w:rPr>
        <w:t>专利文献基本知识</w:t>
      </w:r>
    </w:p>
    <w:p w14:paraId="23054FF8" w14:textId="77777777" w:rsidR="00DD44D2" w:rsidRPr="00DD44D2" w:rsidRDefault="00DD44D2" w:rsidP="00DD44D2">
      <w:pPr>
        <w:spacing w:line="440" w:lineRule="exact"/>
        <w:ind w:firstLineChars="200" w:firstLine="480"/>
        <w:rPr>
          <w:rFonts w:ascii="宋体" w:eastAsia="宋体" w:hAnsi="宋体" w:cs="楷体_GB2312"/>
          <w:color w:val="000000"/>
          <w:kern w:val="0"/>
          <w:sz w:val="24"/>
          <w:szCs w:val="24"/>
        </w:rPr>
      </w:pPr>
      <w:r w:rsidRPr="00DD44D2">
        <w:rPr>
          <w:rFonts w:ascii="宋体" w:eastAsia="宋体" w:hAnsi="宋体" w:cs="Times New Roman" w:hint="eastAsia"/>
          <w:sz w:val="24"/>
          <w:szCs w:val="24"/>
        </w:rPr>
        <w:t>2</w:t>
      </w:r>
      <w:r w:rsidRPr="00DD44D2">
        <w:rPr>
          <w:rFonts w:ascii="宋体" w:eastAsia="宋体" w:hAnsi="宋体" w:cs="Times New Roman"/>
          <w:sz w:val="24"/>
          <w:szCs w:val="24"/>
        </w:rPr>
        <w:t>.</w:t>
      </w:r>
      <w:r w:rsidRPr="00DD44D2">
        <w:rPr>
          <w:rFonts w:ascii="Times New Roman" w:eastAsia="宋体" w:hAnsi="Times New Roman" w:cs="Times New Roman" w:hint="eastAsia"/>
          <w:sz w:val="24"/>
          <w:szCs w:val="24"/>
        </w:rPr>
        <w:t xml:space="preserve"> </w:t>
      </w:r>
      <w:r w:rsidRPr="00DD44D2">
        <w:rPr>
          <w:rFonts w:ascii="Times New Roman" w:eastAsia="宋体" w:hAnsi="Times New Roman" w:cs="Times New Roman" w:hint="eastAsia"/>
          <w:sz w:val="24"/>
          <w:szCs w:val="24"/>
        </w:rPr>
        <w:t>专利文献</w:t>
      </w:r>
      <w:r w:rsidRPr="00DD44D2">
        <w:rPr>
          <w:rFonts w:ascii="宋体" w:eastAsia="宋体" w:hAnsi="宋体" w:cs="楷体_GB2312" w:hint="eastAsia"/>
          <w:color w:val="000000"/>
          <w:kern w:val="0"/>
          <w:sz w:val="24"/>
          <w:szCs w:val="24"/>
        </w:rPr>
        <w:t>检索途径及方法</w:t>
      </w:r>
    </w:p>
    <w:p w14:paraId="1DD9AF71" w14:textId="77777777" w:rsidR="00DD44D2" w:rsidRPr="00DD44D2" w:rsidRDefault="00DD44D2" w:rsidP="00DD44D2">
      <w:pPr>
        <w:spacing w:line="440" w:lineRule="exact"/>
        <w:ind w:firstLineChars="200" w:firstLine="480"/>
        <w:rPr>
          <w:rFonts w:ascii="宋体" w:eastAsia="宋体" w:hAnsi="宋体" w:cs="楷体_GB2312"/>
          <w:color w:val="000000"/>
          <w:kern w:val="0"/>
          <w:sz w:val="24"/>
          <w:szCs w:val="24"/>
        </w:rPr>
      </w:pPr>
      <w:r w:rsidRPr="00DD44D2">
        <w:rPr>
          <w:rFonts w:ascii="宋体" w:eastAsia="宋体" w:hAnsi="宋体" w:cs="楷体_GB2312"/>
          <w:color w:val="000000"/>
          <w:kern w:val="0"/>
          <w:sz w:val="24"/>
          <w:szCs w:val="24"/>
        </w:rPr>
        <w:t xml:space="preserve">3. </w:t>
      </w:r>
      <w:r w:rsidRPr="00DD44D2">
        <w:rPr>
          <w:rFonts w:ascii="宋体" w:eastAsia="宋体" w:hAnsi="宋体" w:cs="楷体_GB2312" w:hint="eastAsia"/>
          <w:color w:val="000000"/>
          <w:kern w:val="0"/>
          <w:sz w:val="24"/>
          <w:szCs w:val="24"/>
        </w:rPr>
        <w:t>专利文献</w:t>
      </w:r>
      <w:r w:rsidRPr="00DD44D2">
        <w:rPr>
          <w:rFonts w:ascii="Times New Roman" w:eastAsia="宋体" w:hAnsi="Times New Roman" w:cs="Times New Roman" w:hint="eastAsia"/>
          <w:sz w:val="24"/>
          <w:szCs w:val="24"/>
        </w:rPr>
        <w:t>检索练习</w:t>
      </w:r>
    </w:p>
    <w:p w14:paraId="432C4D6E"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【重点】</w:t>
      </w:r>
    </w:p>
    <w:p w14:paraId="15A34476" w14:textId="77777777" w:rsidR="00DD44D2" w:rsidRPr="00DD44D2" w:rsidRDefault="00DD44D2" w:rsidP="00DD44D2">
      <w:pPr>
        <w:adjustRightInd w:val="0"/>
        <w:snapToGrid w:val="0"/>
        <w:spacing w:line="440" w:lineRule="exact"/>
        <w:ind w:left="480"/>
        <w:rPr>
          <w:rFonts w:ascii="宋体" w:eastAsia="宋体" w:hAnsi="宋体" w:cs="楷体_GB2312"/>
          <w:color w:val="000000"/>
          <w:kern w:val="0"/>
          <w:sz w:val="24"/>
          <w:szCs w:val="24"/>
        </w:rPr>
      </w:pPr>
      <w:r w:rsidRPr="00DD44D2">
        <w:rPr>
          <w:rFonts w:ascii="宋体" w:eastAsia="宋体" w:hAnsi="宋体" w:cs="Times New Roman" w:hint="eastAsia"/>
          <w:sz w:val="24"/>
          <w:szCs w:val="24"/>
        </w:rPr>
        <w:t>1.</w:t>
      </w:r>
      <w:r w:rsidRPr="00DD44D2">
        <w:rPr>
          <w:rFonts w:ascii="宋体" w:eastAsia="宋体" w:hAnsi="宋体" w:cs="楷体_GB2312" w:hint="eastAsia"/>
          <w:color w:val="000000"/>
          <w:kern w:val="0"/>
          <w:sz w:val="24"/>
          <w:szCs w:val="24"/>
        </w:rPr>
        <w:t xml:space="preserve"> 专利文献结构、专利编号的分类和每个字符的意义</w:t>
      </w:r>
    </w:p>
    <w:p w14:paraId="338631FE" w14:textId="77777777" w:rsidR="00DD44D2" w:rsidRPr="00DD44D2" w:rsidRDefault="00DD44D2" w:rsidP="00DD44D2">
      <w:pPr>
        <w:adjustRightInd w:val="0"/>
        <w:snapToGrid w:val="0"/>
        <w:spacing w:line="440" w:lineRule="exact"/>
        <w:ind w:left="480"/>
        <w:rPr>
          <w:rFonts w:ascii="宋体" w:eastAsia="宋体" w:hAnsi="宋体" w:cs="楷体_GB2312"/>
          <w:color w:val="000000"/>
          <w:kern w:val="0"/>
          <w:sz w:val="24"/>
          <w:szCs w:val="24"/>
        </w:rPr>
      </w:pPr>
      <w:r w:rsidRPr="00DD44D2">
        <w:rPr>
          <w:rFonts w:ascii="宋体" w:eastAsia="宋体" w:hAnsi="宋体" w:cs="Times New Roman" w:hint="eastAsia"/>
          <w:sz w:val="24"/>
          <w:szCs w:val="24"/>
        </w:rPr>
        <w:t>2.</w:t>
      </w:r>
      <w:r w:rsidRPr="00DD44D2">
        <w:rPr>
          <w:rFonts w:ascii="宋体" w:eastAsia="宋体" w:hAnsi="宋体" w:cs="楷体_GB2312" w:hint="eastAsia"/>
          <w:color w:val="000000"/>
          <w:kern w:val="0"/>
          <w:sz w:val="24"/>
          <w:szCs w:val="24"/>
        </w:rPr>
        <w:t xml:space="preserve"> </w:t>
      </w:r>
      <w:r w:rsidRPr="00DD44D2">
        <w:rPr>
          <w:rFonts w:ascii="Times New Roman" w:eastAsia="宋体" w:hAnsi="Times New Roman" w:cs="Times New Roman" w:hint="eastAsia"/>
          <w:sz w:val="24"/>
          <w:szCs w:val="24"/>
        </w:rPr>
        <w:t>专利文献的检索途径及方法</w:t>
      </w:r>
    </w:p>
    <w:p w14:paraId="3E38AFEB"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【难点】</w:t>
      </w:r>
    </w:p>
    <w:p w14:paraId="1FC1B1A0" w14:textId="77777777" w:rsidR="00DD44D2" w:rsidRPr="00DD44D2" w:rsidRDefault="00DD44D2" w:rsidP="00DD44D2">
      <w:pPr>
        <w:adjustRightInd w:val="0"/>
        <w:snapToGrid w:val="0"/>
        <w:spacing w:line="440" w:lineRule="exact"/>
        <w:ind w:left="480"/>
        <w:rPr>
          <w:rFonts w:ascii="宋体" w:eastAsia="宋体" w:hAnsi="宋体" w:cs="楷体_GB2312"/>
          <w:color w:val="000000"/>
          <w:kern w:val="0"/>
          <w:sz w:val="24"/>
          <w:szCs w:val="24"/>
        </w:rPr>
      </w:pPr>
      <w:r w:rsidRPr="00DD44D2">
        <w:rPr>
          <w:rFonts w:ascii="宋体" w:eastAsia="宋体" w:hAnsi="宋体" w:cs="Times New Roman" w:hint="eastAsia"/>
          <w:sz w:val="24"/>
          <w:szCs w:val="24"/>
        </w:rPr>
        <w:t>1.</w:t>
      </w:r>
      <w:r w:rsidRPr="00DD44D2">
        <w:rPr>
          <w:rFonts w:ascii="宋体" w:eastAsia="宋体" w:hAnsi="宋体" w:cs="楷体_GB2312" w:hint="eastAsia"/>
          <w:color w:val="000000"/>
          <w:kern w:val="0"/>
          <w:sz w:val="24"/>
          <w:szCs w:val="24"/>
        </w:rPr>
        <w:t xml:space="preserve"> 专利编号的分类和每个字符的意义</w:t>
      </w:r>
    </w:p>
    <w:p w14:paraId="64C80623" w14:textId="77777777" w:rsidR="00DD44D2" w:rsidRPr="00DD44D2" w:rsidRDefault="00DD44D2" w:rsidP="00DD44D2">
      <w:pPr>
        <w:adjustRightInd w:val="0"/>
        <w:snapToGrid w:val="0"/>
        <w:spacing w:line="440" w:lineRule="exact"/>
        <w:ind w:left="480"/>
        <w:rPr>
          <w:rFonts w:ascii="宋体" w:eastAsia="宋体" w:hAnsi="宋体" w:cs="Times New Roman"/>
          <w:color w:val="FF0000"/>
          <w:sz w:val="24"/>
          <w:szCs w:val="24"/>
        </w:rPr>
      </w:pPr>
      <w:r w:rsidRPr="00DD44D2">
        <w:rPr>
          <w:rFonts w:ascii="宋体" w:eastAsia="宋体" w:hAnsi="宋体" w:cs="Times New Roman" w:hint="eastAsia"/>
          <w:b/>
          <w:bCs/>
          <w:sz w:val="24"/>
          <w:szCs w:val="24"/>
        </w:rPr>
        <w:t>【教学方法】</w:t>
      </w:r>
    </w:p>
    <w:p w14:paraId="68A063B3"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1. 通过计算机和传统教学相结合，阐明课程与教学基本原理，丰富学生课程与教学的基本知识结构，培养学生的职业规范。</w:t>
      </w:r>
    </w:p>
    <w:p w14:paraId="6C1DB4F3"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【复习思考】</w:t>
      </w:r>
    </w:p>
    <w:p w14:paraId="4AB3AFD5"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1</w:t>
      </w:r>
      <w:r w:rsidRPr="00DD44D2">
        <w:rPr>
          <w:rFonts w:ascii="宋体" w:eastAsia="宋体" w:hAnsi="宋体" w:cs="Times New Roman"/>
          <w:sz w:val="24"/>
          <w:szCs w:val="24"/>
        </w:rPr>
        <w:t xml:space="preserve">. </w:t>
      </w:r>
      <w:r w:rsidRPr="00DD44D2">
        <w:rPr>
          <w:rFonts w:ascii="宋体" w:eastAsia="宋体" w:hAnsi="宋体" w:cs="Times New Roman" w:hint="eastAsia"/>
          <w:sz w:val="24"/>
          <w:szCs w:val="24"/>
        </w:rPr>
        <w:t>无</w:t>
      </w:r>
    </w:p>
    <w:p w14:paraId="6A6D6B66" w14:textId="77777777" w:rsidR="00DD44D2" w:rsidRPr="00DD44D2" w:rsidRDefault="00DD44D2" w:rsidP="00DD44D2">
      <w:pPr>
        <w:spacing w:beforeLines="50" w:before="156" w:afterLines="50" w:after="156" w:line="440" w:lineRule="exact"/>
        <w:ind w:firstLineChars="200" w:firstLine="560"/>
        <w:jc w:val="center"/>
        <w:rPr>
          <w:rFonts w:ascii="黑体" w:eastAsia="黑体" w:hAnsi="黑体" w:cs="Times New Roman"/>
          <w:sz w:val="28"/>
          <w:szCs w:val="28"/>
        </w:rPr>
      </w:pPr>
      <w:r w:rsidRPr="00DD44D2">
        <w:rPr>
          <w:rFonts w:ascii="黑体" w:eastAsia="黑体" w:hAnsi="黑体" w:cs="Times New Roman" w:hint="eastAsia"/>
          <w:sz w:val="28"/>
          <w:szCs w:val="28"/>
        </w:rPr>
        <w:t>第六章  药学文献综述的写作方法</w:t>
      </w:r>
    </w:p>
    <w:p w14:paraId="02BE0CEA" w14:textId="77777777" w:rsidR="00DD44D2" w:rsidRPr="00DD44D2" w:rsidRDefault="00DD44D2" w:rsidP="00DD44D2">
      <w:pPr>
        <w:spacing w:beforeLines="50" w:before="156" w:afterLines="50" w:after="156" w:line="440" w:lineRule="exact"/>
        <w:ind w:firstLineChars="200" w:firstLine="482"/>
        <w:jc w:val="left"/>
        <w:rPr>
          <w:rFonts w:ascii="宋体" w:eastAsia="宋体" w:hAnsi="宋体" w:cs="Times New Roman"/>
          <w:b/>
          <w:sz w:val="24"/>
          <w:szCs w:val="24"/>
        </w:rPr>
      </w:pPr>
      <w:r w:rsidRPr="00DD44D2">
        <w:rPr>
          <w:rFonts w:ascii="宋体" w:eastAsia="宋体" w:hAnsi="宋体" w:cs="Times New Roman" w:hint="eastAsia"/>
          <w:b/>
          <w:sz w:val="24"/>
          <w:szCs w:val="24"/>
        </w:rPr>
        <w:t>【学习目标】</w:t>
      </w:r>
    </w:p>
    <w:p w14:paraId="50020CDA" w14:textId="77777777" w:rsidR="00DD44D2" w:rsidRPr="00DD44D2" w:rsidRDefault="00DD44D2" w:rsidP="00DD44D2">
      <w:pPr>
        <w:adjustRightInd w:val="0"/>
        <w:snapToGrid w:val="0"/>
        <w:spacing w:line="440" w:lineRule="exact"/>
        <w:ind w:firstLineChars="200" w:firstLine="480"/>
        <w:rPr>
          <w:rFonts w:ascii="Times New Roman" w:eastAsia="宋体" w:hAnsi="Times New Roman" w:cs="Times New Roman"/>
          <w:sz w:val="24"/>
          <w:szCs w:val="24"/>
        </w:rPr>
      </w:pPr>
      <w:r w:rsidRPr="00DD44D2">
        <w:rPr>
          <w:rFonts w:ascii="宋体" w:eastAsia="宋体" w:hAnsi="宋体" w:cs="Times New Roman" w:hint="eastAsia"/>
          <w:sz w:val="24"/>
          <w:szCs w:val="24"/>
        </w:rPr>
        <w:lastRenderedPageBreak/>
        <w:t>1</w:t>
      </w:r>
      <w:r w:rsidRPr="00DD44D2">
        <w:rPr>
          <w:rFonts w:ascii="宋体" w:eastAsia="宋体" w:hAnsi="宋体" w:cs="Times New Roman"/>
          <w:sz w:val="24"/>
          <w:szCs w:val="24"/>
        </w:rPr>
        <w:t xml:space="preserve">. </w:t>
      </w:r>
      <w:r w:rsidRPr="00DD44D2">
        <w:rPr>
          <w:rFonts w:ascii="宋体" w:eastAsia="宋体" w:hAnsi="宋体" w:cs="楷体_GB2312" w:hint="eastAsia"/>
          <w:color w:val="000000"/>
          <w:kern w:val="0"/>
          <w:sz w:val="24"/>
          <w:szCs w:val="24"/>
        </w:rPr>
        <w:t>掌握</w:t>
      </w:r>
      <w:r w:rsidRPr="00DD44D2">
        <w:rPr>
          <w:rFonts w:ascii="Times New Roman" w:eastAsia="宋体" w:hAnsi="Times New Roman" w:cs="Times New Roman" w:hint="eastAsia"/>
          <w:sz w:val="24"/>
          <w:szCs w:val="24"/>
        </w:rPr>
        <w:t>文献综述的概述、作用与目的、基本结构与写法</w:t>
      </w:r>
    </w:p>
    <w:p w14:paraId="79B3E89A" w14:textId="77777777" w:rsidR="00DD44D2" w:rsidRPr="00DD44D2" w:rsidRDefault="00DD44D2" w:rsidP="00DD44D2">
      <w:pPr>
        <w:adjustRightInd w:val="0"/>
        <w:snapToGrid w:val="0"/>
        <w:spacing w:line="440" w:lineRule="exact"/>
        <w:ind w:firstLineChars="200" w:firstLine="480"/>
        <w:rPr>
          <w:rFonts w:ascii="Times New Roman" w:eastAsia="宋体" w:hAnsi="Times New Roman" w:cs="Times New Roman"/>
          <w:sz w:val="24"/>
          <w:szCs w:val="24"/>
        </w:rPr>
      </w:pPr>
      <w:r w:rsidRPr="00DD44D2">
        <w:rPr>
          <w:rFonts w:ascii="宋体" w:eastAsia="宋体" w:hAnsi="宋体" w:cs="Times New Roman" w:hint="eastAsia"/>
          <w:sz w:val="24"/>
          <w:szCs w:val="24"/>
        </w:rPr>
        <w:t>2</w:t>
      </w:r>
      <w:r w:rsidRPr="00DD44D2">
        <w:rPr>
          <w:rFonts w:ascii="宋体" w:eastAsia="宋体" w:hAnsi="宋体" w:cs="Times New Roman"/>
          <w:sz w:val="24"/>
          <w:szCs w:val="24"/>
        </w:rPr>
        <w:t xml:space="preserve">. </w:t>
      </w:r>
      <w:r w:rsidRPr="00DD44D2">
        <w:rPr>
          <w:rFonts w:ascii="宋体" w:eastAsia="宋体" w:hAnsi="宋体" w:cs="Times New Roman" w:hint="eastAsia"/>
          <w:sz w:val="24"/>
          <w:szCs w:val="24"/>
        </w:rPr>
        <w:t>熟悉</w:t>
      </w:r>
      <w:r w:rsidRPr="00DD44D2">
        <w:rPr>
          <w:rFonts w:ascii="Times New Roman" w:eastAsia="宋体" w:hAnsi="Times New Roman" w:cs="Times New Roman" w:hint="eastAsia"/>
          <w:sz w:val="24"/>
          <w:szCs w:val="24"/>
        </w:rPr>
        <w:t>文献综述案例分析及注意事项</w:t>
      </w:r>
    </w:p>
    <w:p w14:paraId="05EF51E3"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【学习内容】</w:t>
      </w:r>
    </w:p>
    <w:p w14:paraId="49252158" w14:textId="77777777" w:rsidR="00DD44D2" w:rsidRPr="00DD44D2" w:rsidRDefault="00DD44D2">
      <w:pPr>
        <w:numPr>
          <w:ilvl w:val="0"/>
          <w:numId w:val="194"/>
        </w:numPr>
        <w:adjustRightInd w:val="0"/>
        <w:snapToGrid w:val="0"/>
        <w:spacing w:line="440" w:lineRule="exact"/>
        <w:rPr>
          <w:rFonts w:ascii="Times New Roman" w:eastAsia="宋体" w:hAnsi="Times New Roman" w:cs="Times New Roman"/>
          <w:sz w:val="24"/>
          <w:szCs w:val="24"/>
        </w:rPr>
      </w:pPr>
      <w:r w:rsidRPr="00DD44D2">
        <w:rPr>
          <w:rFonts w:ascii="Times New Roman" w:eastAsia="宋体" w:hAnsi="Times New Roman" w:cs="Times New Roman" w:hint="eastAsia"/>
          <w:sz w:val="24"/>
          <w:szCs w:val="24"/>
        </w:rPr>
        <w:t>文献综述概述</w:t>
      </w:r>
    </w:p>
    <w:p w14:paraId="307D096E" w14:textId="77777777" w:rsidR="00DD44D2" w:rsidRPr="00DD44D2" w:rsidRDefault="00DD44D2">
      <w:pPr>
        <w:numPr>
          <w:ilvl w:val="0"/>
          <w:numId w:val="194"/>
        </w:numPr>
        <w:adjustRightInd w:val="0"/>
        <w:snapToGrid w:val="0"/>
        <w:spacing w:line="440" w:lineRule="exact"/>
        <w:rPr>
          <w:rFonts w:ascii="Times New Roman" w:eastAsia="宋体" w:hAnsi="Times New Roman" w:cs="Times New Roman"/>
          <w:sz w:val="24"/>
          <w:szCs w:val="24"/>
        </w:rPr>
      </w:pPr>
      <w:r w:rsidRPr="00DD44D2">
        <w:rPr>
          <w:rFonts w:ascii="Times New Roman" w:eastAsia="宋体" w:hAnsi="Times New Roman" w:cs="Times New Roman" w:hint="eastAsia"/>
          <w:sz w:val="24"/>
          <w:szCs w:val="24"/>
        </w:rPr>
        <w:t>文献综述的作用与目的</w:t>
      </w:r>
    </w:p>
    <w:p w14:paraId="47DFA058" w14:textId="77777777" w:rsidR="00DD44D2" w:rsidRPr="00DD44D2" w:rsidRDefault="00DD44D2">
      <w:pPr>
        <w:numPr>
          <w:ilvl w:val="0"/>
          <w:numId w:val="194"/>
        </w:numPr>
        <w:adjustRightInd w:val="0"/>
        <w:snapToGrid w:val="0"/>
        <w:spacing w:line="440" w:lineRule="exact"/>
        <w:rPr>
          <w:rFonts w:ascii="Times New Roman" w:eastAsia="宋体" w:hAnsi="Times New Roman" w:cs="Times New Roman"/>
          <w:sz w:val="24"/>
          <w:szCs w:val="24"/>
        </w:rPr>
      </w:pPr>
      <w:r w:rsidRPr="00DD44D2">
        <w:rPr>
          <w:rFonts w:ascii="Times New Roman" w:eastAsia="宋体" w:hAnsi="Times New Roman" w:cs="Times New Roman" w:hint="eastAsia"/>
          <w:sz w:val="24"/>
          <w:szCs w:val="24"/>
        </w:rPr>
        <w:t>文献综述的基本结构与写法</w:t>
      </w:r>
    </w:p>
    <w:p w14:paraId="69173292" w14:textId="77777777" w:rsidR="00DD44D2" w:rsidRPr="00DD44D2" w:rsidRDefault="00DD44D2">
      <w:pPr>
        <w:numPr>
          <w:ilvl w:val="0"/>
          <w:numId w:val="194"/>
        </w:numPr>
        <w:adjustRightInd w:val="0"/>
        <w:snapToGrid w:val="0"/>
        <w:spacing w:line="440" w:lineRule="exact"/>
        <w:rPr>
          <w:rFonts w:ascii="Times New Roman" w:eastAsia="宋体" w:hAnsi="Times New Roman" w:cs="Times New Roman"/>
          <w:sz w:val="24"/>
          <w:szCs w:val="24"/>
        </w:rPr>
      </w:pPr>
      <w:r w:rsidRPr="00DD44D2">
        <w:rPr>
          <w:rFonts w:ascii="Times New Roman" w:eastAsia="宋体" w:hAnsi="Times New Roman" w:cs="Times New Roman" w:hint="eastAsia"/>
          <w:sz w:val="24"/>
          <w:szCs w:val="24"/>
        </w:rPr>
        <w:t>文献综述案例分析及注意事项</w:t>
      </w:r>
    </w:p>
    <w:p w14:paraId="39FC0CBE"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【重点】</w:t>
      </w:r>
    </w:p>
    <w:p w14:paraId="1581989D" w14:textId="77777777" w:rsidR="00DD44D2" w:rsidRPr="00DD44D2" w:rsidRDefault="00DD44D2">
      <w:pPr>
        <w:numPr>
          <w:ilvl w:val="0"/>
          <w:numId w:val="195"/>
        </w:numPr>
        <w:adjustRightInd w:val="0"/>
        <w:snapToGrid w:val="0"/>
        <w:spacing w:line="440" w:lineRule="exact"/>
        <w:rPr>
          <w:rFonts w:ascii="Times New Roman" w:eastAsia="宋体" w:hAnsi="Times New Roman" w:cs="Times New Roman"/>
          <w:sz w:val="24"/>
          <w:szCs w:val="24"/>
        </w:rPr>
      </w:pPr>
      <w:r w:rsidRPr="00DD44D2">
        <w:rPr>
          <w:rFonts w:ascii="Times New Roman" w:eastAsia="宋体" w:hAnsi="Times New Roman" w:cs="Times New Roman" w:hint="eastAsia"/>
          <w:sz w:val="24"/>
          <w:szCs w:val="24"/>
        </w:rPr>
        <w:t>文献综述的基本结构与写法</w:t>
      </w:r>
    </w:p>
    <w:p w14:paraId="27C86C5E" w14:textId="77777777" w:rsidR="00DD44D2" w:rsidRPr="00DD44D2" w:rsidRDefault="00DD44D2" w:rsidP="00DD44D2">
      <w:pPr>
        <w:spacing w:line="440" w:lineRule="exact"/>
        <w:ind w:firstLineChars="200" w:firstLine="482"/>
        <w:rPr>
          <w:rFonts w:ascii="宋体" w:eastAsia="宋体" w:hAnsi="宋体" w:cs="Times New Roman"/>
          <w:b/>
          <w:sz w:val="24"/>
          <w:szCs w:val="24"/>
        </w:rPr>
      </w:pPr>
      <w:r w:rsidRPr="00DD44D2">
        <w:rPr>
          <w:rFonts w:ascii="宋体" w:eastAsia="宋体" w:hAnsi="宋体" w:cs="Times New Roman" w:hint="eastAsia"/>
          <w:b/>
          <w:sz w:val="24"/>
          <w:szCs w:val="24"/>
        </w:rPr>
        <w:t>【难点】</w:t>
      </w:r>
    </w:p>
    <w:p w14:paraId="4EF227DE" w14:textId="77777777" w:rsidR="00DD44D2" w:rsidRPr="00DD44D2" w:rsidRDefault="00DD44D2">
      <w:pPr>
        <w:numPr>
          <w:ilvl w:val="0"/>
          <w:numId w:val="195"/>
        </w:numPr>
        <w:adjustRightInd w:val="0"/>
        <w:snapToGrid w:val="0"/>
        <w:spacing w:line="440" w:lineRule="exact"/>
        <w:rPr>
          <w:rFonts w:ascii="宋体" w:eastAsia="宋体" w:hAnsi="宋体" w:cs="Times New Roman"/>
          <w:szCs w:val="24"/>
        </w:rPr>
      </w:pPr>
      <w:r w:rsidRPr="00DD44D2">
        <w:rPr>
          <w:rFonts w:ascii="Times New Roman" w:eastAsia="宋体" w:hAnsi="Times New Roman" w:cs="Times New Roman" w:hint="eastAsia"/>
          <w:sz w:val="24"/>
          <w:szCs w:val="24"/>
        </w:rPr>
        <w:t>文献综述案例分析及注意事项</w:t>
      </w:r>
    </w:p>
    <w:p w14:paraId="3AF041B2" w14:textId="77777777" w:rsidR="00DD44D2" w:rsidRPr="00DD44D2" w:rsidRDefault="00DD44D2" w:rsidP="00DD44D2">
      <w:pPr>
        <w:spacing w:line="440" w:lineRule="exact"/>
        <w:ind w:firstLineChars="200" w:firstLine="482"/>
        <w:rPr>
          <w:rFonts w:ascii="宋体" w:eastAsia="宋体" w:hAnsi="宋体" w:cs="Times New Roman"/>
          <w:color w:val="FF0000"/>
          <w:sz w:val="24"/>
          <w:szCs w:val="24"/>
        </w:rPr>
      </w:pPr>
      <w:r w:rsidRPr="00DD44D2">
        <w:rPr>
          <w:rFonts w:ascii="宋体" w:eastAsia="宋体" w:hAnsi="宋体" w:cs="Times New Roman" w:hint="eastAsia"/>
          <w:b/>
          <w:bCs/>
          <w:sz w:val="24"/>
          <w:szCs w:val="24"/>
        </w:rPr>
        <w:t>【教学方法】</w:t>
      </w:r>
    </w:p>
    <w:p w14:paraId="2E151F89"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1. 通过计算机和传统教学相结合，阐明课程与教学基本原理，丰富学生课程与教学的基本知识结构，培养学生的职业规范。</w:t>
      </w:r>
    </w:p>
    <w:p w14:paraId="7B678463" w14:textId="77777777" w:rsidR="00DD44D2" w:rsidRPr="00DD44D2" w:rsidRDefault="00DD44D2" w:rsidP="00DD44D2">
      <w:pPr>
        <w:spacing w:line="440" w:lineRule="exact"/>
        <w:ind w:firstLineChars="200" w:firstLine="482"/>
        <w:rPr>
          <w:rFonts w:ascii="宋体" w:eastAsia="宋体" w:hAnsi="宋体" w:cs="Times New Roman"/>
          <w:bCs/>
          <w:color w:val="FF0000"/>
          <w:sz w:val="24"/>
          <w:szCs w:val="24"/>
        </w:rPr>
      </w:pPr>
      <w:r w:rsidRPr="00DD44D2">
        <w:rPr>
          <w:rFonts w:ascii="宋体" w:eastAsia="宋体" w:hAnsi="宋体" w:cs="Times New Roman" w:hint="eastAsia"/>
          <w:b/>
          <w:sz w:val="24"/>
          <w:szCs w:val="24"/>
        </w:rPr>
        <w:t>【复习思考】</w:t>
      </w:r>
    </w:p>
    <w:p w14:paraId="4D4EBDF4"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1. 无</w:t>
      </w:r>
    </w:p>
    <w:p w14:paraId="60DA1A5F" w14:textId="77777777" w:rsidR="00DD44D2" w:rsidRPr="00DD44D2" w:rsidRDefault="00DD44D2" w:rsidP="00DD44D2">
      <w:pPr>
        <w:spacing w:beforeLines="50" w:before="156" w:afterLines="50" w:after="156" w:line="440" w:lineRule="exact"/>
        <w:ind w:left="561"/>
        <w:rPr>
          <w:rFonts w:ascii="仿宋" w:eastAsia="仿宋" w:hAnsi="仿宋" w:cs="Times New Roman"/>
          <w:sz w:val="24"/>
          <w:szCs w:val="24"/>
        </w:rPr>
      </w:pPr>
      <w:r w:rsidRPr="00DD44D2">
        <w:rPr>
          <w:rFonts w:ascii="黑体" w:eastAsia="黑体" w:hAnsi="黑体" w:cs="Times New Roman" w:hint="eastAsia"/>
          <w:sz w:val="28"/>
          <w:szCs w:val="28"/>
        </w:rPr>
        <w:t>（二）课程学习内容与课程学习目标的对应关系</w:t>
      </w:r>
      <w:r w:rsidRPr="00DD44D2">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9"/>
        <w:gridCol w:w="2267"/>
        <w:gridCol w:w="1985"/>
        <w:gridCol w:w="1276"/>
      </w:tblGrid>
      <w:tr w:rsidR="00DD44D2" w:rsidRPr="00DD44D2" w14:paraId="2AE85D45" w14:textId="77777777" w:rsidTr="00813A33">
        <w:trPr>
          <w:trHeight w:val="660"/>
          <w:jc w:val="center"/>
        </w:trPr>
        <w:tc>
          <w:tcPr>
            <w:tcW w:w="3829" w:type="dxa"/>
            <w:vAlign w:val="center"/>
          </w:tcPr>
          <w:p w14:paraId="2A329B76" w14:textId="77777777" w:rsidR="00DD44D2" w:rsidRPr="00DD44D2" w:rsidRDefault="00DD44D2" w:rsidP="00DD44D2">
            <w:pPr>
              <w:spacing w:line="440" w:lineRule="exact"/>
              <w:jc w:val="center"/>
              <w:rPr>
                <w:rFonts w:ascii="宋体" w:eastAsia="宋体" w:hAnsi="宋体" w:cs="Times New Roman"/>
                <w:b/>
                <w:bCs/>
                <w:sz w:val="24"/>
                <w:szCs w:val="24"/>
              </w:rPr>
            </w:pPr>
            <w:r w:rsidRPr="00DD44D2">
              <w:rPr>
                <w:rFonts w:ascii="宋体" w:eastAsia="宋体" w:hAnsi="宋体" w:cs="Times New Roman" w:hint="eastAsia"/>
                <w:b/>
                <w:bCs/>
                <w:sz w:val="24"/>
                <w:szCs w:val="24"/>
              </w:rPr>
              <w:t>课程学习内容</w:t>
            </w:r>
          </w:p>
        </w:tc>
        <w:tc>
          <w:tcPr>
            <w:tcW w:w="2267" w:type="dxa"/>
            <w:vAlign w:val="center"/>
          </w:tcPr>
          <w:p w14:paraId="7282B563" w14:textId="77777777" w:rsidR="00DD44D2" w:rsidRPr="00DD44D2" w:rsidRDefault="00DD44D2" w:rsidP="00DD44D2">
            <w:pPr>
              <w:spacing w:line="440" w:lineRule="exact"/>
              <w:jc w:val="center"/>
              <w:rPr>
                <w:rFonts w:ascii="宋体" w:eastAsia="宋体" w:hAnsi="宋体" w:cs="Times New Roman"/>
                <w:b/>
                <w:bCs/>
                <w:sz w:val="24"/>
                <w:szCs w:val="24"/>
              </w:rPr>
            </w:pPr>
            <w:r w:rsidRPr="00DD44D2">
              <w:rPr>
                <w:rFonts w:ascii="宋体" w:eastAsia="宋体" w:hAnsi="宋体" w:cs="Times New Roman" w:hint="eastAsia"/>
                <w:b/>
                <w:bCs/>
                <w:sz w:val="24"/>
                <w:szCs w:val="24"/>
              </w:rPr>
              <w:t>教学方法</w:t>
            </w:r>
          </w:p>
        </w:tc>
        <w:tc>
          <w:tcPr>
            <w:tcW w:w="1985" w:type="dxa"/>
            <w:vAlign w:val="center"/>
          </w:tcPr>
          <w:p w14:paraId="1B7587A9" w14:textId="77777777" w:rsidR="00DD44D2" w:rsidRPr="00DD44D2" w:rsidRDefault="00DD44D2" w:rsidP="00DD44D2">
            <w:pPr>
              <w:spacing w:line="440" w:lineRule="exact"/>
              <w:jc w:val="center"/>
              <w:rPr>
                <w:rFonts w:ascii="宋体" w:eastAsia="宋体" w:hAnsi="宋体" w:cs="Times New Roman"/>
                <w:b/>
                <w:bCs/>
                <w:sz w:val="24"/>
                <w:szCs w:val="24"/>
              </w:rPr>
            </w:pPr>
            <w:r w:rsidRPr="00DD44D2">
              <w:rPr>
                <w:rFonts w:ascii="宋体" w:eastAsia="宋体" w:hAnsi="宋体" w:cs="Times New Roman" w:hint="eastAsia"/>
                <w:b/>
                <w:bCs/>
                <w:sz w:val="24"/>
                <w:szCs w:val="24"/>
              </w:rPr>
              <w:t>支撑的课程目标</w:t>
            </w:r>
          </w:p>
        </w:tc>
        <w:tc>
          <w:tcPr>
            <w:tcW w:w="1276" w:type="dxa"/>
            <w:vAlign w:val="center"/>
          </w:tcPr>
          <w:p w14:paraId="06E21911" w14:textId="77777777" w:rsidR="00DD44D2" w:rsidRPr="00DD44D2" w:rsidRDefault="00DD44D2" w:rsidP="00DD44D2">
            <w:pPr>
              <w:spacing w:line="440" w:lineRule="exact"/>
              <w:jc w:val="center"/>
              <w:rPr>
                <w:rFonts w:ascii="宋体" w:eastAsia="宋体" w:hAnsi="宋体" w:cs="Times New Roman"/>
                <w:b/>
                <w:bCs/>
                <w:sz w:val="24"/>
                <w:szCs w:val="24"/>
              </w:rPr>
            </w:pPr>
            <w:r w:rsidRPr="00DD44D2">
              <w:rPr>
                <w:rFonts w:ascii="宋体" w:eastAsia="宋体" w:hAnsi="宋体" w:cs="Times New Roman" w:hint="eastAsia"/>
                <w:b/>
                <w:bCs/>
                <w:sz w:val="24"/>
                <w:szCs w:val="24"/>
              </w:rPr>
              <w:t>学时安排</w:t>
            </w:r>
          </w:p>
        </w:tc>
      </w:tr>
      <w:tr w:rsidR="00DD44D2" w:rsidRPr="00DD44D2" w14:paraId="2B0F1CDB" w14:textId="77777777" w:rsidTr="00813A33">
        <w:trPr>
          <w:trHeight w:val="516"/>
          <w:jc w:val="center"/>
        </w:trPr>
        <w:tc>
          <w:tcPr>
            <w:tcW w:w="3829" w:type="dxa"/>
            <w:vAlign w:val="center"/>
          </w:tcPr>
          <w:p w14:paraId="2F4EED78" w14:textId="77777777" w:rsidR="00DD44D2" w:rsidRPr="00DD44D2" w:rsidRDefault="00DD44D2" w:rsidP="00DD44D2">
            <w:pPr>
              <w:spacing w:line="440" w:lineRule="exact"/>
              <w:jc w:val="left"/>
              <w:rPr>
                <w:rFonts w:ascii="宋体" w:eastAsia="宋体" w:hAnsi="宋体" w:cs="Times New Roman"/>
                <w:sz w:val="24"/>
                <w:szCs w:val="24"/>
              </w:rPr>
            </w:pPr>
            <w:r w:rsidRPr="00DD44D2">
              <w:rPr>
                <w:rFonts w:ascii="宋体" w:eastAsia="宋体" w:hAnsi="宋体" w:cs="Times New Roman"/>
                <w:sz w:val="24"/>
                <w:szCs w:val="24"/>
              </w:rPr>
              <w:t>第</w:t>
            </w:r>
            <w:r w:rsidRPr="00DD44D2">
              <w:rPr>
                <w:rFonts w:ascii="宋体" w:eastAsia="宋体" w:hAnsi="宋体" w:cs="Times New Roman" w:hint="eastAsia"/>
                <w:sz w:val="24"/>
                <w:szCs w:val="24"/>
              </w:rPr>
              <w:t>一</w:t>
            </w:r>
            <w:r w:rsidRPr="00DD44D2">
              <w:rPr>
                <w:rFonts w:ascii="宋体" w:eastAsia="宋体" w:hAnsi="宋体" w:cs="Times New Roman"/>
                <w:sz w:val="24"/>
                <w:szCs w:val="24"/>
              </w:rPr>
              <w:t xml:space="preserve">章  </w:t>
            </w:r>
            <w:r w:rsidRPr="00DD44D2">
              <w:rPr>
                <w:rFonts w:ascii="宋体" w:eastAsia="宋体" w:hAnsi="宋体" w:cs="Times New Roman" w:hint="eastAsia"/>
                <w:sz w:val="24"/>
                <w:szCs w:val="24"/>
              </w:rPr>
              <w:t>文献检索概述</w:t>
            </w:r>
          </w:p>
        </w:tc>
        <w:tc>
          <w:tcPr>
            <w:tcW w:w="2267" w:type="dxa"/>
            <w:vAlign w:val="center"/>
          </w:tcPr>
          <w:p w14:paraId="01F8E06D"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讲授法</w:t>
            </w:r>
          </w:p>
        </w:tc>
        <w:tc>
          <w:tcPr>
            <w:tcW w:w="1985" w:type="dxa"/>
            <w:vAlign w:val="center"/>
          </w:tcPr>
          <w:p w14:paraId="43C6622E"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课程</w:t>
            </w:r>
            <w:r w:rsidRPr="00DD44D2">
              <w:rPr>
                <w:rFonts w:ascii="宋体" w:eastAsia="宋体" w:hAnsi="宋体" w:cs="Times New Roman"/>
                <w:sz w:val="24"/>
                <w:szCs w:val="24"/>
              </w:rPr>
              <w:t>目标1</w:t>
            </w:r>
          </w:p>
        </w:tc>
        <w:tc>
          <w:tcPr>
            <w:tcW w:w="1276" w:type="dxa"/>
            <w:vAlign w:val="center"/>
          </w:tcPr>
          <w:p w14:paraId="2CB15B7A"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1</w:t>
            </w:r>
          </w:p>
        </w:tc>
      </w:tr>
      <w:tr w:rsidR="00DD44D2" w:rsidRPr="00DD44D2" w14:paraId="6DB0943F" w14:textId="77777777" w:rsidTr="00813A33">
        <w:trPr>
          <w:trHeight w:val="516"/>
          <w:jc w:val="center"/>
        </w:trPr>
        <w:tc>
          <w:tcPr>
            <w:tcW w:w="3829" w:type="dxa"/>
            <w:vAlign w:val="center"/>
          </w:tcPr>
          <w:p w14:paraId="7DD2C69C" w14:textId="77777777" w:rsidR="00DD44D2" w:rsidRPr="00DD44D2" w:rsidRDefault="00DD44D2" w:rsidP="00DD44D2">
            <w:pPr>
              <w:spacing w:line="440" w:lineRule="exact"/>
              <w:jc w:val="left"/>
              <w:rPr>
                <w:rFonts w:ascii="宋体" w:eastAsia="宋体" w:hAnsi="宋体" w:cs="Times New Roman"/>
                <w:sz w:val="24"/>
                <w:szCs w:val="24"/>
              </w:rPr>
            </w:pPr>
            <w:r w:rsidRPr="00DD44D2">
              <w:rPr>
                <w:rFonts w:ascii="宋体" w:eastAsia="宋体" w:hAnsi="宋体" w:cs="Times New Roman"/>
                <w:sz w:val="24"/>
                <w:szCs w:val="24"/>
              </w:rPr>
              <w:t>第</w:t>
            </w:r>
            <w:r w:rsidRPr="00DD44D2">
              <w:rPr>
                <w:rFonts w:ascii="宋体" w:eastAsia="宋体" w:hAnsi="宋体" w:cs="Times New Roman" w:hint="eastAsia"/>
                <w:sz w:val="24"/>
                <w:szCs w:val="24"/>
              </w:rPr>
              <w:t>二</w:t>
            </w:r>
            <w:r w:rsidRPr="00DD44D2">
              <w:rPr>
                <w:rFonts w:ascii="宋体" w:eastAsia="宋体" w:hAnsi="宋体" w:cs="Times New Roman"/>
                <w:sz w:val="24"/>
                <w:szCs w:val="24"/>
              </w:rPr>
              <w:t xml:space="preserve">章  </w:t>
            </w:r>
            <w:r w:rsidRPr="00DD44D2">
              <w:rPr>
                <w:rFonts w:ascii="宋体" w:eastAsia="宋体" w:hAnsi="宋体" w:cs="Times New Roman" w:hint="eastAsia"/>
                <w:sz w:val="24"/>
                <w:szCs w:val="24"/>
              </w:rPr>
              <w:t>计算机信息检索概述</w:t>
            </w:r>
          </w:p>
        </w:tc>
        <w:tc>
          <w:tcPr>
            <w:tcW w:w="2267" w:type="dxa"/>
            <w:vAlign w:val="center"/>
          </w:tcPr>
          <w:p w14:paraId="1A1A52B3"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讲授法</w:t>
            </w:r>
          </w:p>
        </w:tc>
        <w:tc>
          <w:tcPr>
            <w:tcW w:w="1985" w:type="dxa"/>
            <w:vAlign w:val="center"/>
          </w:tcPr>
          <w:p w14:paraId="7EE35299"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课程</w:t>
            </w:r>
            <w:r w:rsidRPr="00DD44D2">
              <w:rPr>
                <w:rFonts w:ascii="宋体" w:eastAsia="宋体" w:hAnsi="宋体" w:cs="Times New Roman"/>
                <w:sz w:val="24"/>
                <w:szCs w:val="24"/>
              </w:rPr>
              <w:t>目标1</w:t>
            </w:r>
          </w:p>
        </w:tc>
        <w:tc>
          <w:tcPr>
            <w:tcW w:w="1276" w:type="dxa"/>
            <w:vAlign w:val="center"/>
          </w:tcPr>
          <w:p w14:paraId="71E4B2E9"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1</w:t>
            </w:r>
          </w:p>
        </w:tc>
      </w:tr>
      <w:tr w:rsidR="00DD44D2" w:rsidRPr="00DD44D2" w14:paraId="225E2E39" w14:textId="77777777" w:rsidTr="00813A33">
        <w:trPr>
          <w:trHeight w:val="516"/>
          <w:jc w:val="center"/>
        </w:trPr>
        <w:tc>
          <w:tcPr>
            <w:tcW w:w="3829" w:type="dxa"/>
            <w:vAlign w:val="center"/>
          </w:tcPr>
          <w:p w14:paraId="2A341B9D" w14:textId="77777777" w:rsidR="00DD44D2" w:rsidRPr="00DD44D2" w:rsidRDefault="00DD44D2" w:rsidP="00DD44D2">
            <w:pPr>
              <w:spacing w:line="440" w:lineRule="exact"/>
              <w:jc w:val="left"/>
              <w:rPr>
                <w:rFonts w:ascii="宋体" w:eastAsia="宋体" w:hAnsi="宋体" w:cs="Times New Roman"/>
                <w:sz w:val="24"/>
                <w:szCs w:val="24"/>
              </w:rPr>
            </w:pPr>
            <w:r w:rsidRPr="00DD44D2">
              <w:rPr>
                <w:rFonts w:ascii="宋体" w:eastAsia="宋体" w:hAnsi="宋体" w:cs="Times New Roman"/>
                <w:sz w:val="24"/>
                <w:szCs w:val="24"/>
              </w:rPr>
              <w:t>第</w:t>
            </w:r>
            <w:r w:rsidRPr="00DD44D2">
              <w:rPr>
                <w:rFonts w:ascii="宋体" w:eastAsia="宋体" w:hAnsi="宋体" w:cs="Times New Roman" w:hint="eastAsia"/>
                <w:sz w:val="24"/>
                <w:szCs w:val="24"/>
              </w:rPr>
              <w:t>三</w:t>
            </w:r>
            <w:r w:rsidRPr="00DD44D2">
              <w:rPr>
                <w:rFonts w:ascii="宋体" w:eastAsia="宋体" w:hAnsi="宋体" w:cs="Times New Roman"/>
                <w:sz w:val="24"/>
                <w:szCs w:val="24"/>
              </w:rPr>
              <w:t xml:space="preserve">章  </w:t>
            </w:r>
            <w:r w:rsidRPr="00DD44D2">
              <w:rPr>
                <w:rFonts w:ascii="宋体" w:eastAsia="宋体" w:hAnsi="宋体" w:cs="Times New Roman" w:hint="eastAsia"/>
                <w:sz w:val="24"/>
                <w:szCs w:val="24"/>
              </w:rPr>
              <w:t>中文网络数据库</w:t>
            </w:r>
          </w:p>
        </w:tc>
        <w:tc>
          <w:tcPr>
            <w:tcW w:w="2267" w:type="dxa"/>
            <w:vAlign w:val="center"/>
          </w:tcPr>
          <w:p w14:paraId="2C143113"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讲授法、案例教学</w:t>
            </w:r>
          </w:p>
        </w:tc>
        <w:tc>
          <w:tcPr>
            <w:tcW w:w="1985" w:type="dxa"/>
            <w:vAlign w:val="center"/>
          </w:tcPr>
          <w:p w14:paraId="1DAB73FB"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课程</w:t>
            </w:r>
            <w:r w:rsidRPr="00DD44D2">
              <w:rPr>
                <w:rFonts w:ascii="宋体" w:eastAsia="宋体" w:hAnsi="宋体" w:cs="Times New Roman"/>
                <w:sz w:val="24"/>
                <w:szCs w:val="24"/>
              </w:rPr>
              <w:t>目标</w:t>
            </w:r>
            <w:r w:rsidR="00922269">
              <w:rPr>
                <w:rFonts w:ascii="宋体" w:eastAsia="宋体" w:hAnsi="宋体" w:cs="Times New Roman" w:hint="eastAsia"/>
                <w:sz w:val="24"/>
                <w:szCs w:val="24"/>
              </w:rPr>
              <w:t>3</w:t>
            </w:r>
          </w:p>
        </w:tc>
        <w:tc>
          <w:tcPr>
            <w:tcW w:w="1276" w:type="dxa"/>
            <w:vAlign w:val="center"/>
          </w:tcPr>
          <w:p w14:paraId="558D2200"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sz w:val="24"/>
                <w:szCs w:val="24"/>
              </w:rPr>
              <w:t>6</w:t>
            </w:r>
          </w:p>
        </w:tc>
      </w:tr>
      <w:tr w:rsidR="00DD44D2" w:rsidRPr="00DD44D2" w14:paraId="79D31D02" w14:textId="77777777" w:rsidTr="00813A33">
        <w:trPr>
          <w:trHeight w:val="516"/>
          <w:jc w:val="center"/>
        </w:trPr>
        <w:tc>
          <w:tcPr>
            <w:tcW w:w="3829" w:type="dxa"/>
            <w:vAlign w:val="center"/>
          </w:tcPr>
          <w:p w14:paraId="121FFA7B" w14:textId="77777777" w:rsidR="00DD44D2" w:rsidRPr="00DD44D2" w:rsidRDefault="00DD44D2" w:rsidP="00DD44D2">
            <w:pPr>
              <w:spacing w:line="440" w:lineRule="exact"/>
              <w:jc w:val="left"/>
              <w:rPr>
                <w:rFonts w:ascii="宋体" w:eastAsia="宋体" w:hAnsi="宋体" w:cs="Times New Roman"/>
                <w:sz w:val="24"/>
                <w:szCs w:val="24"/>
              </w:rPr>
            </w:pPr>
            <w:r w:rsidRPr="00DD44D2">
              <w:rPr>
                <w:rFonts w:ascii="宋体" w:eastAsia="宋体" w:hAnsi="宋体" w:cs="Times New Roman"/>
                <w:sz w:val="24"/>
                <w:szCs w:val="24"/>
              </w:rPr>
              <w:t>第</w:t>
            </w:r>
            <w:r w:rsidRPr="00DD44D2">
              <w:rPr>
                <w:rFonts w:ascii="宋体" w:eastAsia="宋体" w:hAnsi="宋体" w:cs="Times New Roman" w:hint="eastAsia"/>
                <w:sz w:val="24"/>
                <w:szCs w:val="24"/>
              </w:rPr>
              <w:t>四</w:t>
            </w:r>
            <w:r w:rsidRPr="00DD44D2">
              <w:rPr>
                <w:rFonts w:ascii="宋体" w:eastAsia="宋体" w:hAnsi="宋体" w:cs="Times New Roman"/>
                <w:sz w:val="24"/>
                <w:szCs w:val="24"/>
              </w:rPr>
              <w:t>章</w:t>
            </w:r>
            <w:r w:rsidRPr="00DD44D2">
              <w:rPr>
                <w:rFonts w:ascii="宋体" w:eastAsia="宋体" w:hAnsi="宋体" w:cs="Times New Roman" w:hint="eastAsia"/>
                <w:sz w:val="24"/>
                <w:szCs w:val="24"/>
              </w:rPr>
              <w:t xml:space="preserve"> </w:t>
            </w:r>
            <w:r w:rsidRPr="00DD44D2">
              <w:rPr>
                <w:rFonts w:ascii="宋体" w:eastAsia="宋体" w:hAnsi="宋体" w:cs="Times New Roman"/>
                <w:sz w:val="24"/>
                <w:szCs w:val="24"/>
              </w:rPr>
              <w:t xml:space="preserve"> </w:t>
            </w:r>
            <w:r w:rsidRPr="00DD44D2">
              <w:rPr>
                <w:rFonts w:ascii="宋体" w:eastAsia="宋体" w:hAnsi="宋体" w:cs="Times New Roman" w:hint="eastAsia"/>
                <w:sz w:val="24"/>
                <w:szCs w:val="24"/>
              </w:rPr>
              <w:t>英文网络数据库</w:t>
            </w:r>
          </w:p>
        </w:tc>
        <w:tc>
          <w:tcPr>
            <w:tcW w:w="2267" w:type="dxa"/>
            <w:vAlign w:val="center"/>
          </w:tcPr>
          <w:p w14:paraId="6FD8F5E1"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讲授法、案例教学</w:t>
            </w:r>
          </w:p>
        </w:tc>
        <w:tc>
          <w:tcPr>
            <w:tcW w:w="1985" w:type="dxa"/>
            <w:vAlign w:val="center"/>
          </w:tcPr>
          <w:p w14:paraId="715DB797"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课程</w:t>
            </w:r>
            <w:r w:rsidRPr="00DD44D2">
              <w:rPr>
                <w:rFonts w:ascii="宋体" w:eastAsia="宋体" w:hAnsi="宋体" w:cs="Times New Roman"/>
                <w:sz w:val="24"/>
                <w:szCs w:val="24"/>
              </w:rPr>
              <w:t>目标</w:t>
            </w:r>
            <w:r w:rsidR="00922269">
              <w:rPr>
                <w:rFonts w:ascii="宋体" w:eastAsia="宋体" w:hAnsi="宋体" w:cs="Times New Roman" w:hint="eastAsia"/>
                <w:sz w:val="24"/>
                <w:szCs w:val="24"/>
              </w:rPr>
              <w:t>3</w:t>
            </w:r>
          </w:p>
        </w:tc>
        <w:tc>
          <w:tcPr>
            <w:tcW w:w="1276" w:type="dxa"/>
            <w:vAlign w:val="center"/>
          </w:tcPr>
          <w:p w14:paraId="335909A0"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sz w:val="24"/>
                <w:szCs w:val="24"/>
              </w:rPr>
              <w:t>4</w:t>
            </w:r>
          </w:p>
        </w:tc>
      </w:tr>
      <w:tr w:rsidR="00DD44D2" w:rsidRPr="00DD44D2" w14:paraId="209392B3" w14:textId="77777777" w:rsidTr="00813A33">
        <w:trPr>
          <w:trHeight w:val="516"/>
          <w:jc w:val="center"/>
        </w:trPr>
        <w:tc>
          <w:tcPr>
            <w:tcW w:w="3829" w:type="dxa"/>
            <w:vAlign w:val="center"/>
          </w:tcPr>
          <w:p w14:paraId="330CC66B" w14:textId="77777777" w:rsidR="00DD44D2" w:rsidRPr="00DD44D2" w:rsidRDefault="00DD44D2" w:rsidP="00DD44D2">
            <w:pPr>
              <w:spacing w:line="440" w:lineRule="exact"/>
              <w:jc w:val="left"/>
              <w:rPr>
                <w:rFonts w:ascii="宋体" w:eastAsia="宋体" w:hAnsi="宋体" w:cs="Times New Roman"/>
                <w:sz w:val="24"/>
                <w:szCs w:val="24"/>
              </w:rPr>
            </w:pPr>
            <w:r w:rsidRPr="00DD44D2">
              <w:rPr>
                <w:rFonts w:ascii="宋体" w:eastAsia="宋体" w:hAnsi="宋体" w:cs="Times New Roman" w:hint="eastAsia"/>
                <w:sz w:val="24"/>
                <w:szCs w:val="24"/>
              </w:rPr>
              <w:t xml:space="preserve">第五章 </w:t>
            </w:r>
            <w:r w:rsidRPr="00DD44D2">
              <w:rPr>
                <w:rFonts w:ascii="宋体" w:eastAsia="宋体" w:hAnsi="宋体" w:cs="Times New Roman"/>
                <w:sz w:val="24"/>
                <w:szCs w:val="24"/>
              </w:rPr>
              <w:t xml:space="preserve"> </w:t>
            </w:r>
            <w:r w:rsidRPr="00DD44D2">
              <w:rPr>
                <w:rFonts w:ascii="宋体" w:eastAsia="宋体" w:hAnsi="宋体" w:cs="Times New Roman" w:hint="eastAsia"/>
                <w:sz w:val="24"/>
                <w:szCs w:val="24"/>
              </w:rPr>
              <w:t>专利文献检索</w:t>
            </w:r>
          </w:p>
        </w:tc>
        <w:tc>
          <w:tcPr>
            <w:tcW w:w="2267" w:type="dxa"/>
            <w:vAlign w:val="center"/>
          </w:tcPr>
          <w:p w14:paraId="0C24D7E8"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讲授法、案例教学</w:t>
            </w:r>
          </w:p>
        </w:tc>
        <w:tc>
          <w:tcPr>
            <w:tcW w:w="1985" w:type="dxa"/>
            <w:vAlign w:val="center"/>
          </w:tcPr>
          <w:p w14:paraId="7C7B9B5F"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课程</w:t>
            </w:r>
            <w:r w:rsidRPr="00DD44D2">
              <w:rPr>
                <w:rFonts w:ascii="宋体" w:eastAsia="宋体" w:hAnsi="宋体" w:cs="Times New Roman"/>
                <w:sz w:val="24"/>
                <w:szCs w:val="24"/>
              </w:rPr>
              <w:t>目标</w:t>
            </w:r>
            <w:r w:rsidR="00922269">
              <w:rPr>
                <w:rFonts w:ascii="宋体" w:eastAsia="宋体" w:hAnsi="宋体" w:cs="Times New Roman" w:hint="eastAsia"/>
                <w:sz w:val="24"/>
                <w:szCs w:val="24"/>
              </w:rPr>
              <w:t>1</w:t>
            </w:r>
          </w:p>
        </w:tc>
        <w:tc>
          <w:tcPr>
            <w:tcW w:w="1276" w:type="dxa"/>
            <w:vAlign w:val="center"/>
          </w:tcPr>
          <w:p w14:paraId="2D047F47"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sz w:val="24"/>
                <w:szCs w:val="24"/>
              </w:rPr>
              <w:t>2</w:t>
            </w:r>
          </w:p>
        </w:tc>
      </w:tr>
      <w:tr w:rsidR="00DD44D2" w:rsidRPr="00DD44D2" w14:paraId="25CE0663" w14:textId="77777777" w:rsidTr="00813A33">
        <w:trPr>
          <w:trHeight w:val="516"/>
          <w:jc w:val="center"/>
        </w:trPr>
        <w:tc>
          <w:tcPr>
            <w:tcW w:w="3829" w:type="dxa"/>
            <w:vAlign w:val="center"/>
          </w:tcPr>
          <w:p w14:paraId="586F9094" w14:textId="77777777" w:rsidR="00DD44D2" w:rsidRPr="00DD44D2" w:rsidRDefault="00DD44D2" w:rsidP="00DD44D2">
            <w:pPr>
              <w:spacing w:line="440" w:lineRule="exact"/>
              <w:jc w:val="left"/>
              <w:rPr>
                <w:rFonts w:ascii="宋体" w:eastAsia="宋体" w:hAnsi="宋体" w:cs="Times New Roman"/>
                <w:sz w:val="24"/>
                <w:szCs w:val="24"/>
              </w:rPr>
            </w:pPr>
            <w:r w:rsidRPr="00DD44D2">
              <w:rPr>
                <w:rFonts w:ascii="宋体" w:eastAsia="宋体" w:hAnsi="宋体" w:cs="Times New Roman"/>
                <w:sz w:val="24"/>
                <w:szCs w:val="24"/>
              </w:rPr>
              <w:t>第</w:t>
            </w:r>
            <w:r w:rsidRPr="00DD44D2">
              <w:rPr>
                <w:rFonts w:ascii="宋体" w:eastAsia="宋体" w:hAnsi="宋体" w:cs="Times New Roman" w:hint="eastAsia"/>
                <w:sz w:val="24"/>
                <w:szCs w:val="24"/>
              </w:rPr>
              <w:t>六</w:t>
            </w:r>
            <w:r w:rsidRPr="00DD44D2">
              <w:rPr>
                <w:rFonts w:ascii="宋体" w:eastAsia="宋体" w:hAnsi="宋体" w:cs="Times New Roman"/>
                <w:sz w:val="24"/>
                <w:szCs w:val="24"/>
              </w:rPr>
              <w:t xml:space="preserve">章  </w:t>
            </w:r>
            <w:r w:rsidRPr="00DD44D2">
              <w:rPr>
                <w:rFonts w:ascii="宋体" w:eastAsia="宋体" w:hAnsi="宋体" w:cs="Times New Roman" w:hint="eastAsia"/>
                <w:sz w:val="24"/>
                <w:szCs w:val="24"/>
              </w:rPr>
              <w:t>药学文献综述的写作方法</w:t>
            </w:r>
          </w:p>
        </w:tc>
        <w:tc>
          <w:tcPr>
            <w:tcW w:w="2267" w:type="dxa"/>
            <w:vAlign w:val="center"/>
          </w:tcPr>
          <w:p w14:paraId="4B0A5668"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讲授法、案例教学</w:t>
            </w:r>
          </w:p>
        </w:tc>
        <w:tc>
          <w:tcPr>
            <w:tcW w:w="1985" w:type="dxa"/>
            <w:vAlign w:val="center"/>
          </w:tcPr>
          <w:p w14:paraId="66A1A90C"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课程</w:t>
            </w:r>
            <w:r w:rsidRPr="00DD44D2">
              <w:rPr>
                <w:rFonts w:ascii="宋体" w:eastAsia="宋体" w:hAnsi="宋体" w:cs="Times New Roman"/>
                <w:sz w:val="24"/>
                <w:szCs w:val="24"/>
              </w:rPr>
              <w:t>目标</w:t>
            </w:r>
            <w:r w:rsidRPr="00DD44D2">
              <w:rPr>
                <w:rFonts w:ascii="宋体" w:eastAsia="宋体" w:hAnsi="宋体" w:cs="Times New Roman" w:hint="eastAsia"/>
                <w:sz w:val="24"/>
                <w:szCs w:val="24"/>
              </w:rPr>
              <w:t>2</w:t>
            </w:r>
          </w:p>
        </w:tc>
        <w:tc>
          <w:tcPr>
            <w:tcW w:w="1276" w:type="dxa"/>
            <w:vAlign w:val="center"/>
          </w:tcPr>
          <w:p w14:paraId="62DF2652"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sz w:val="24"/>
                <w:szCs w:val="24"/>
              </w:rPr>
              <w:t>2</w:t>
            </w:r>
          </w:p>
        </w:tc>
      </w:tr>
      <w:tr w:rsidR="00DD44D2" w:rsidRPr="00DD44D2" w14:paraId="3D3E8410" w14:textId="77777777" w:rsidTr="00813A33">
        <w:trPr>
          <w:jc w:val="center"/>
        </w:trPr>
        <w:tc>
          <w:tcPr>
            <w:tcW w:w="8081" w:type="dxa"/>
            <w:gridSpan w:val="3"/>
            <w:vAlign w:val="center"/>
          </w:tcPr>
          <w:p w14:paraId="6BD7BB56" w14:textId="77777777" w:rsidR="00DD44D2" w:rsidRPr="00DD44D2" w:rsidRDefault="00DD44D2" w:rsidP="00DD44D2">
            <w:pPr>
              <w:spacing w:line="440" w:lineRule="exact"/>
              <w:jc w:val="center"/>
              <w:rPr>
                <w:rFonts w:ascii="宋体" w:eastAsia="宋体" w:hAnsi="宋体" w:cs="Times New Roman"/>
                <w:b/>
                <w:sz w:val="24"/>
                <w:szCs w:val="24"/>
              </w:rPr>
            </w:pPr>
            <w:r w:rsidRPr="00DD44D2">
              <w:rPr>
                <w:rFonts w:ascii="宋体" w:eastAsia="宋体" w:hAnsi="宋体" w:cs="Times New Roman" w:hint="eastAsia"/>
                <w:b/>
                <w:sz w:val="24"/>
                <w:szCs w:val="24"/>
              </w:rPr>
              <w:t>合计</w:t>
            </w:r>
          </w:p>
        </w:tc>
        <w:tc>
          <w:tcPr>
            <w:tcW w:w="1276" w:type="dxa"/>
            <w:vAlign w:val="center"/>
          </w:tcPr>
          <w:p w14:paraId="4E3AB4FF" w14:textId="77777777" w:rsidR="00DD44D2" w:rsidRPr="00DD44D2" w:rsidRDefault="00DD44D2" w:rsidP="00DD44D2">
            <w:pPr>
              <w:spacing w:line="440" w:lineRule="exact"/>
              <w:jc w:val="center"/>
              <w:rPr>
                <w:rFonts w:ascii="宋体" w:eastAsia="宋体" w:hAnsi="宋体" w:cs="Times New Roman"/>
                <w:sz w:val="24"/>
                <w:szCs w:val="24"/>
              </w:rPr>
            </w:pPr>
            <w:r w:rsidRPr="00DD44D2">
              <w:rPr>
                <w:rFonts w:ascii="宋体" w:eastAsia="宋体" w:hAnsi="宋体" w:cs="Times New Roman" w:hint="eastAsia"/>
                <w:sz w:val="24"/>
                <w:szCs w:val="24"/>
              </w:rPr>
              <w:t>16</w:t>
            </w:r>
          </w:p>
        </w:tc>
      </w:tr>
    </w:tbl>
    <w:p w14:paraId="225D2318" w14:textId="77777777" w:rsidR="00DD44D2" w:rsidRPr="00DD44D2" w:rsidRDefault="00DD44D2" w:rsidP="00DD44D2">
      <w:pPr>
        <w:spacing w:beforeLines="50" w:before="156" w:afterLines="50" w:after="156" w:line="440" w:lineRule="exact"/>
        <w:ind w:firstLineChars="200" w:firstLine="560"/>
        <w:rPr>
          <w:rFonts w:ascii="宋体" w:eastAsia="宋体" w:hAnsi="宋体" w:cs="Times New Roman"/>
          <w:sz w:val="24"/>
          <w:szCs w:val="24"/>
        </w:rPr>
      </w:pPr>
      <w:r w:rsidRPr="00DD44D2">
        <w:rPr>
          <w:rFonts w:ascii="黑体" w:eastAsia="黑体" w:hAnsi="黑体" w:cs="Times New Roman" w:hint="eastAsia"/>
          <w:sz w:val="28"/>
          <w:szCs w:val="28"/>
        </w:rPr>
        <w:t>四、课程考核及与课程学习目标的对应关系</w:t>
      </w:r>
    </w:p>
    <w:p w14:paraId="6A181BEB" w14:textId="77777777" w:rsidR="00DD44D2" w:rsidRPr="00DD44D2" w:rsidRDefault="00DD44D2" w:rsidP="00DD44D2">
      <w:pPr>
        <w:spacing w:beforeLines="50" w:before="156" w:afterLines="50" w:after="156" w:line="440" w:lineRule="exact"/>
        <w:ind w:firstLineChars="200" w:firstLine="560"/>
        <w:rPr>
          <w:rFonts w:ascii="黑体" w:eastAsia="黑体" w:hAnsi="黑体" w:cs="Times New Roman"/>
          <w:sz w:val="28"/>
          <w:szCs w:val="28"/>
        </w:rPr>
      </w:pPr>
      <w:r w:rsidRPr="00DD44D2">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922269" w:rsidRPr="00922269" w14:paraId="65B9BE7D" w14:textId="77777777" w:rsidTr="00095B84">
        <w:trPr>
          <w:trHeight w:val="515"/>
          <w:jc w:val="center"/>
        </w:trPr>
        <w:tc>
          <w:tcPr>
            <w:tcW w:w="1422" w:type="dxa"/>
          </w:tcPr>
          <w:p w14:paraId="39F3FC29" w14:textId="77777777" w:rsidR="00922269" w:rsidRPr="00922269" w:rsidRDefault="00922269" w:rsidP="00922269">
            <w:pPr>
              <w:spacing w:line="440" w:lineRule="exact"/>
              <w:jc w:val="center"/>
              <w:rPr>
                <w:rFonts w:ascii="宋体" w:eastAsia="宋体" w:hAnsi="宋体" w:cs="Times New Roman"/>
                <w:b/>
                <w:sz w:val="24"/>
                <w:szCs w:val="24"/>
              </w:rPr>
            </w:pPr>
            <w:r w:rsidRPr="00922269">
              <w:rPr>
                <w:rFonts w:ascii="宋体" w:eastAsia="宋体" w:hAnsi="宋体" w:cs="Times New Roman" w:hint="eastAsia"/>
                <w:b/>
                <w:sz w:val="24"/>
                <w:szCs w:val="24"/>
              </w:rPr>
              <w:t>课程目标</w:t>
            </w:r>
          </w:p>
        </w:tc>
        <w:tc>
          <w:tcPr>
            <w:tcW w:w="7918" w:type="dxa"/>
            <w:vAlign w:val="center"/>
          </w:tcPr>
          <w:p w14:paraId="601D790D" w14:textId="77777777" w:rsidR="00922269" w:rsidRPr="00922269" w:rsidRDefault="00922269" w:rsidP="00922269">
            <w:pPr>
              <w:spacing w:line="440" w:lineRule="exact"/>
              <w:jc w:val="center"/>
              <w:rPr>
                <w:rFonts w:ascii="宋体" w:eastAsia="宋体" w:hAnsi="宋体" w:cs="Times New Roman"/>
                <w:b/>
                <w:sz w:val="24"/>
                <w:szCs w:val="24"/>
              </w:rPr>
            </w:pPr>
            <w:r w:rsidRPr="00922269">
              <w:rPr>
                <w:rFonts w:ascii="宋体" w:eastAsia="宋体" w:hAnsi="宋体" w:cs="Times New Roman" w:hint="eastAsia"/>
                <w:b/>
                <w:sz w:val="24"/>
                <w:szCs w:val="24"/>
              </w:rPr>
              <w:t>考核内容</w:t>
            </w:r>
          </w:p>
        </w:tc>
      </w:tr>
      <w:tr w:rsidR="00922269" w:rsidRPr="00922269" w14:paraId="5419C721" w14:textId="77777777" w:rsidTr="00095B84">
        <w:trPr>
          <w:jc w:val="center"/>
        </w:trPr>
        <w:tc>
          <w:tcPr>
            <w:tcW w:w="1422" w:type="dxa"/>
            <w:vAlign w:val="center"/>
          </w:tcPr>
          <w:p w14:paraId="21CDA84A" w14:textId="77777777" w:rsidR="00922269" w:rsidRPr="00922269" w:rsidRDefault="00922269" w:rsidP="00922269">
            <w:pPr>
              <w:spacing w:line="440" w:lineRule="exact"/>
              <w:jc w:val="center"/>
              <w:rPr>
                <w:rFonts w:ascii="宋体" w:eastAsia="宋体" w:hAnsi="宋体" w:cs="Times New Roman"/>
                <w:bCs/>
                <w:sz w:val="24"/>
                <w:szCs w:val="24"/>
              </w:rPr>
            </w:pPr>
            <w:r w:rsidRPr="00922269">
              <w:rPr>
                <w:rFonts w:ascii="宋体" w:eastAsia="宋体" w:hAnsi="宋体" w:cs="Times New Roman" w:hint="eastAsia"/>
                <w:bCs/>
                <w:sz w:val="24"/>
                <w:szCs w:val="24"/>
              </w:rPr>
              <w:lastRenderedPageBreak/>
              <w:t>课程目标1</w:t>
            </w:r>
          </w:p>
        </w:tc>
        <w:tc>
          <w:tcPr>
            <w:tcW w:w="7918" w:type="dxa"/>
            <w:vAlign w:val="center"/>
          </w:tcPr>
          <w:p w14:paraId="69BDE16B" w14:textId="77777777" w:rsidR="00922269" w:rsidRPr="00922269" w:rsidRDefault="00922269" w:rsidP="00922269">
            <w:pPr>
              <w:spacing w:line="440" w:lineRule="exact"/>
              <w:rPr>
                <w:rFonts w:ascii="宋体" w:eastAsia="宋体" w:hAnsi="宋体" w:cs="Times New Roman"/>
                <w:bCs/>
                <w:sz w:val="24"/>
                <w:szCs w:val="24"/>
              </w:rPr>
            </w:pPr>
            <w:r w:rsidRPr="00922269">
              <w:rPr>
                <w:rFonts w:ascii="宋体" w:eastAsia="宋体" w:hAnsi="宋体" w:cs="Times New Roman"/>
                <w:bCs/>
                <w:sz w:val="24"/>
                <w:szCs w:val="24"/>
              </w:rPr>
              <w:t>1</w:t>
            </w:r>
            <w:r w:rsidRPr="00922269">
              <w:rPr>
                <w:rFonts w:ascii="宋体" w:eastAsia="宋体" w:hAnsi="宋体" w:cs="Times New Roman" w:hint="eastAsia"/>
                <w:bCs/>
                <w:sz w:val="24"/>
                <w:szCs w:val="24"/>
              </w:rPr>
              <w:t>.文献检索概述、</w:t>
            </w:r>
            <w:r w:rsidRPr="00922269">
              <w:rPr>
                <w:rFonts w:ascii="宋体" w:eastAsia="宋体" w:hAnsi="宋体" w:cs="Times New Roman" w:hint="eastAsia"/>
                <w:sz w:val="24"/>
                <w:szCs w:val="24"/>
              </w:rPr>
              <w:t>计算机信息检索</w:t>
            </w:r>
            <w:r w:rsidRPr="00922269">
              <w:rPr>
                <w:rFonts w:ascii="宋体" w:eastAsia="宋体" w:hAnsi="宋体" w:cs="Times New Roman" w:hint="eastAsia"/>
                <w:bCs/>
                <w:sz w:val="24"/>
                <w:szCs w:val="24"/>
              </w:rPr>
              <w:t>概述</w:t>
            </w:r>
          </w:p>
          <w:p w14:paraId="347DAB1A" w14:textId="77777777" w:rsidR="00922269" w:rsidRPr="00922269" w:rsidRDefault="00922269" w:rsidP="00922269">
            <w:pPr>
              <w:spacing w:line="440" w:lineRule="exact"/>
              <w:rPr>
                <w:rFonts w:ascii="宋体" w:eastAsia="宋体" w:hAnsi="宋体" w:cs="Times New Roman"/>
                <w:bCs/>
                <w:sz w:val="24"/>
                <w:szCs w:val="24"/>
              </w:rPr>
            </w:pPr>
            <w:r w:rsidRPr="00922269">
              <w:rPr>
                <w:rFonts w:ascii="宋体" w:eastAsia="宋体" w:hAnsi="宋体" w:cs="Times New Roman"/>
                <w:sz w:val="24"/>
                <w:szCs w:val="24"/>
              </w:rPr>
              <w:t>2.</w:t>
            </w:r>
            <w:r w:rsidRPr="00922269">
              <w:rPr>
                <w:rFonts w:ascii="宋体" w:eastAsia="宋体" w:hAnsi="宋体" w:cs="Times New Roman" w:hint="eastAsia"/>
                <w:sz w:val="24"/>
                <w:szCs w:val="24"/>
              </w:rPr>
              <w:t>专利文献检索</w:t>
            </w:r>
          </w:p>
        </w:tc>
      </w:tr>
      <w:tr w:rsidR="00922269" w:rsidRPr="00922269" w14:paraId="5765CC5F" w14:textId="77777777" w:rsidTr="00095B84">
        <w:trPr>
          <w:jc w:val="center"/>
        </w:trPr>
        <w:tc>
          <w:tcPr>
            <w:tcW w:w="1422" w:type="dxa"/>
            <w:vAlign w:val="center"/>
          </w:tcPr>
          <w:p w14:paraId="7BF93026" w14:textId="77777777" w:rsidR="00922269" w:rsidRPr="00922269" w:rsidRDefault="00922269" w:rsidP="00922269">
            <w:pPr>
              <w:spacing w:line="440" w:lineRule="exact"/>
              <w:jc w:val="center"/>
              <w:rPr>
                <w:rFonts w:ascii="宋体" w:eastAsia="宋体" w:hAnsi="宋体" w:cs="Times New Roman"/>
                <w:bCs/>
                <w:sz w:val="24"/>
                <w:szCs w:val="24"/>
              </w:rPr>
            </w:pPr>
            <w:r w:rsidRPr="00922269">
              <w:rPr>
                <w:rFonts w:ascii="宋体" w:eastAsia="宋体" w:hAnsi="宋体" w:cs="Times New Roman" w:hint="eastAsia"/>
                <w:bCs/>
                <w:sz w:val="24"/>
                <w:szCs w:val="24"/>
              </w:rPr>
              <w:t>课程目标2</w:t>
            </w:r>
          </w:p>
        </w:tc>
        <w:tc>
          <w:tcPr>
            <w:tcW w:w="7918" w:type="dxa"/>
            <w:vAlign w:val="center"/>
          </w:tcPr>
          <w:p w14:paraId="21B928FA" w14:textId="77777777" w:rsidR="00922269" w:rsidRPr="00922269" w:rsidRDefault="00922269" w:rsidP="00922269">
            <w:pPr>
              <w:spacing w:line="440" w:lineRule="exact"/>
              <w:rPr>
                <w:rFonts w:ascii="宋体" w:eastAsia="宋体" w:hAnsi="宋体" w:cs="Times New Roman"/>
                <w:sz w:val="24"/>
                <w:szCs w:val="24"/>
              </w:rPr>
            </w:pPr>
            <w:r w:rsidRPr="00922269">
              <w:rPr>
                <w:rFonts w:ascii="宋体" w:eastAsia="宋体" w:hAnsi="宋体" w:cs="Times New Roman"/>
                <w:bCs/>
                <w:sz w:val="24"/>
                <w:szCs w:val="24"/>
              </w:rPr>
              <w:t>1</w:t>
            </w:r>
            <w:r w:rsidRPr="00922269">
              <w:rPr>
                <w:rFonts w:ascii="宋体" w:eastAsia="宋体" w:hAnsi="宋体" w:cs="Times New Roman" w:hint="eastAsia"/>
                <w:bCs/>
                <w:sz w:val="24"/>
                <w:szCs w:val="24"/>
              </w:rPr>
              <w:t>.药学文献综述写作</w:t>
            </w:r>
          </w:p>
        </w:tc>
      </w:tr>
      <w:tr w:rsidR="00922269" w:rsidRPr="00922269" w14:paraId="7ED61DB8" w14:textId="77777777" w:rsidTr="00095B84">
        <w:trPr>
          <w:jc w:val="center"/>
        </w:trPr>
        <w:tc>
          <w:tcPr>
            <w:tcW w:w="1422" w:type="dxa"/>
            <w:vAlign w:val="center"/>
          </w:tcPr>
          <w:p w14:paraId="775E3246" w14:textId="77777777" w:rsidR="00922269" w:rsidRPr="00922269" w:rsidRDefault="00922269" w:rsidP="00922269">
            <w:pPr>
              <w:spacing w:line="440" w:lineRule="exact"/>
              <w:jc w:val="center"/>
              <w:rPr>
                <w:rFonts w:ascii="宋体" w:eastAsia="宋体" w:hAnsi="宋体" w:cs="Times New Roman"/>
                <w:bCs/>
                <w:sz w:val="24"/>
                <w:szCs w:val="24"/>
              </w:rPr>
            </w:pPr>
            <w:r w:rsidRPr="00922269">
              <w:rPr>
                <w:rFonts w:ascii="宋体" w:eastAsia="宋体" w:hAnsi="宋体" w:cs="Times New Roman" w:hint="eastAsia"/>
                <w:bCs/>
                <w:sz w:val="24"/>
                <w:szCs w:val="24"/>
              </w:rPr>
              <w:t>课程目标</w:t>
            </w:r>
            <w:r w:rsidRPr="00922269">
              <w:rPr>
                <w:rFonts w:ascii="宋体" w:eastAsia="宋体" w:hAnsi="宋体" w:cs="Times New Roman"/>
                <w:bCs/>
                <w:sz w:val="24"/>
                <w:szCs w:val="24"/>
              </w:rPr>
              <w:t>3</w:t>
            </w:r>
          </w:p>
        </w:tc>
        <w:tc>
          <w:tcPr>
            <w:tcW w:w="7918" w:type="dxa"/>
            <w:vAlign w:val="center"/>
          </w:tcPr>
          <w:p w14:paraId="73BB987E" w14:textId="77777777" w:rsidR="00922269" w:rsidRPr="00922269" w:rsidRDefault="00922269">
            <w:pPr>
              <w:numPr>
                <w:ilvl w:val="0"/>
                <w:numId w:val="282"/>
              </w:numPr>
              <w:spacing w:line="440" w:lineRule="exact"/>
              <w:rPr>
                <w:rFonts w:ascii="宋体" w:eastAsia="宋体" w:hAnsi="宋体" w:cs="Times New Roman"/>
                <w:sz w:val="24"/>
                <w:szCs w:val="24"/>
              </w:rPr>
            </w:pPr>
            <w:r w:rsidRPr="00922269">
              <w:rPr>
                <w:rFonts w:ascii="宋体" w:eastAsia="宋体" w:hAnsi="宋体" w:cs="Times New Roman" w:hint="eastAsia"/>
                <w:bCs/>
                <w:sz w:val="24"/>
                <w:szCs w:val="24"/>
              </w:rPr>
              <w:t>中文数据库、英文</w:t>
            </w:r>
            <w:r w:rsidRPr="00922269">
              <w:rPr>
                <w:rFonts w:ascii="宋体" w:eastAsia="宋体" w:hAnsi="宋体" w:cs="Times New Roman" w:hint="eastAsia"/>
                <w:sz w:val="24"/>
                <w:szCs w:val="24"/>
              </w:rPr>
              <w:t>数据库检索</w:t>
            </w:r>
          </w:p>
        </w:tc>
      </w:tr>
    </w:tbl>
    <w:p w14:paraId="773F1719" w14:textId="77777777" w:rsidR="00DD44D2" w:rsidRPr="00DD44D2" w:rsidRDefault="00DD44D2" w:rsidP="00DD44D2">
      <w:pPr>
        <w:spacing w:beforeLines="50" w:before="156" w:afterLines="50" w:after="156" w:line="440" w:lineRule="exact"/>
        <w:ind w:firstLineChars="200" w:firstLine="560"/>
        <w:rPr>
          <w:rFonts w:ascii="黑体" w:eastAsia="黑体" w:hAnsi="黑体" w:cs="Times New Roman"/>
          <w:sz w:val="28"/>
          <w:szCs w:val="28"/>
        </w:rPr>
      </w:pPr>
      <w:r w:rsidRPr="00DD44D2">
        <w:rPr>
          <w:rFonts w:ascii="黑体" w:eastAsia="黑体" w:hAnsi="黑体" w:cs="Times New Roman" w:hint="eastAsia"/>
          <w:sz w:val="28"/>
          <w:szCs w:val="28"/>
        </w:rPr>
        <w:t>（二）课程考核方式</w:t>
      </w:r>
    </w:p>
    <w:p w14:paraId="4A6612A4" w14:textId="77777777" w:rsidR="00DD44D2" w:rsidRPr="00DD44D2" w:rsidRDefault="00DD44D2" w:rsidP="00DD44D2">
      <w:pPr>
        <w:adjustRightInd w:val="0"/>
        <w:snapToGrid w:val="0"/>
        <w:spacing w:line="440" w:lineRule="exact"/>
        <w:ind w:firstLineChars="200" w:firstLine="480"/>
        <w:rPr>
          <w:rFonts w:ascii="Times New Roman" w:eastAsia="宋体" w:hAnsi="Times New Roman" w:cs="Times New Roman"/>
          <w:sz w:val="24"/>
          <w:szCs w:val="24"/>
        </w:rPr>
      </w:pPr>
      <w:r w:rsidRPr="00DD44D2">
        <w:rPr>
          <w:rFonts w:ascii="Times New Roman" w:eastAsia="宋体" w:hAnsi="Times New Roman" w:cs="Times New Roman"/>
          <w:sz w:val="24"/>
          <w:szCs w:val="24"/>
        </w:rPr>
        <w:t>课程考核方式分为平时考核、期末考核。</w:t>
      </w:r>
    </w:p>
    <w:p w14:paraId="48E60175" w14:textId="77777777" w:rsidR="00DD44D2" w:rsidRPr="00DD44D2" w:rsidRDefault="00DD44D2" w:rsidP="00DD44D2">
      <w:pPr>
        <w:adjustRightInd w:val="0"/>
        <w:snapToGrid w:val="0"/>
        <w:spacing w:line="440" w:lineRule="exact"/>
        <w:ind w:firstLineChars="200" w:firstLine="480"/>
        <w:rPr>
          <w:rFonts w:ascii="Times New Roman" w:eastAsia="宋体" w:hAnsi="Times New Roman" w:cs="Times New Roman"/>
          <w:sz w:val="24"/>
          <w:szCs w:val="24"/>
        </w:rPr>
      </w:pPr>
      <w:r w:rsidRPr="00DD44D2">
        <w:rPr>
          <w:rFonts w:ascii="Times New Roman" w:eastAsia="宋体" w:hAnsi="Times New Roman" w:cs="Times New Roman"/>
          <w:sz w:val="24"/>
          <w:szCs w:val="24"/>
        </w:rPr>
        <w:t>1.</w:t>
      </w:r>
      <w:r w:rsidRPr="00DD44D2">
        <w:rPr>
          <w:rFonts w:ascii="Times New Roman" w:eastAsia="宋体" w:hAnsi="Times New Roman" w:cs="Times New Roman"/>
          <w:sz w:val="24"/>
          <w:szCs w:val="24"/>
        </w:rPr>
        <w:t>平时成绩包括课堂表现、平时作业；</w:t>
      </w:r>
    </w:p>
    <w:p w14:paraId="3AD2C437" w14:textId="77777777" w:rsidR="00DD44D2" w:rsidRPr="00DD44D2" w:rsidRDefault="00DD44D2" w:rsidP="00DD44D2">
      <w:pPr>
        <w:adjustRightInd w:val="0"/>
        <w:snapToGrid w:val="0"/>
        <w:spacing w:line="440" w:lineRule="exact"/>
        <w:ind w:firstLineChars="200" w:firstLine="480"/>
        <w:rPr>
          <w:rFonts w:ascii="Times New Roman" w:eastAsia="宋体" w:hAnsi="Times New Roman" w:cs="Times New Roman"/>
          <w:sz w:val="24"/>
          <w:szCs w:val="24"/>
        </w:rPr>
      </w:pPr>
      <w:r w:rsidRPr="00DD44D2">
        <w:rPr>
          <w:rFonts w:ascii="Times New Roman" w:eastAsia="宋体" w:hAnsi="Times New Roman" w:cs="Times New Roman"/>
          <w:sz w:val="24"/>
          <w:szCs w:val="24"/>
        </w:rPr>
        <w:t>2.</w:t>
      </w:r>
      <w:r w:rsidRPr="00DD44D2">
        <w:rPr>
          <w:rFonts w:ascii="Times New Roman" w:eastAsia="宋体" w:hAnsi="Times New Roman" w:cs="Times New Roman"/>
          <w:sz w:val="24"/>
          <w:szCs w:val="24"/>
        </w:rPr>
        <w:t>期末</w:t>
      </w:r>
      <w:r w:rsidRPr="00DD44D2">
        <w:rPr>
          <w:rFonts w:ascii="Times New Roman" w:eastAsia="宋体" w:hAnsi="Times New Roman" w:cs="Times New Roman" w:hint="eastAsia"/>
          <w:sz w:val="24"/>
          <w:szCs w:val="24"/>
        </w:rPr>
        <w:t>考试</w:t>
      </w:r>
      <w:r w:rsidRPr="00DD44D2">
        <w:rPr>
          <w:rFonts w:ascii="Times New Roman" w:eastAsia="宋体" w:hAnsi="Times New Roman" w:cs="Times New Roman"/>
          <w:sz w:val="24"/>
          <w:szCs w:val="24"/>
        </w:rPr>
        <w:t>采用</w:t>
      </w:r>
      <w:r w:rsidRPr="00DD44D2">
        <w:rPr>
          <w:rFonts w:ascii="Times New Roman" w:eastAsia="宋体" w:hAnsi="Times New Roman" w:cs="Times New Roman" w:hint="eastAsia"/>
          <w:sz w:val="24"/>
          <w:szCs w:val="24"/>
        </w:rPr>
        <w:t>课程论文</w:t>
      </w:r>
      <w:r w:rsidRPr="00DD44D2">
        <w:rPr>
          <w:rFonts w:ascii="Times New Roman" w:eastAsia="宋体" w:hAnsi="Times New Roman" w:cs="Times New Roman"/>
          <w:sz w:val="24"/>
          <w:szCs w:val="24"/>
        </w:rPr>
        <w:t>。</w:t>
      </w:r>
    </w:p>
    <w:p w14:paraId="42BE3C3C" w14:textId="77777777" w:rsidR="00DD44D2" w:rsidRPr="00DD44D2" w:rsidRDefault="00DD44D2" w:rsidP="00DD44D2">
      <w:pPr>
        <w:spacing w:beforeLines="50" w:before="156" w:afterLines="50" w:after="156" w:line="440" w:lineRule="exact"/>
        <w:ind w:firstLineChars="200" w:firstLine="560"/>
        <w:rPr>
          <w:rFonts w:ascii="黑体" w:eastAsia="黑体" w:hAnsi="黑体" w:cs="Times New Roman"/>
          <w:sz w:val="28"/>
          <w:szCs w:val="28"/>
        </w:rPr>
      </w:pPr>
      <w:r w:rsidRPr="00DD44D2">
        <w:rPr>
          <w:rFonts w:ascii="黑体" w:eastAsia="黑体" w:hAnsi="黑体" w:cs="Times New Roman" w:hint="eastAsia"/>
          <w:sz w:val="28"/>
          <w:szCs w:val="28"/>
        </w:rPr>
        <w:t>（三）课程目标达成评价方式及考核比例</w:t>
      </w:r>
    </w:p>
    <w:p w14:paraId="1719A3DD" w14:textId="77777777" w:rsidR="00F674A1" w:rsidRPr="00F674A1" w:rsidRDefault="00F674A1" w:rsidP="00F674A1">
      <w:pPr>
        <w:adjustRightInd w:val="0"/>
        <w:snapToGrid w:val="0"/>
        <w:spacing w:line="440" w:lineRule="exact"/>
        <w:ind w:firstLineChars="200" w:firstLine="480"/>
        <w:rPr>
          <w:rFonts w:ascii="Times New Roman" w:eastAsia="宋体" w:hAnsi="Times New Roman" w:cs="Times New Roman"/>
          <w:szCs w:val="24"/>
        </w:rPr>
      </w:pPr>
      <w:r w:rsidRPr="00F674A1">
        <w:rPr>
          <w:rFonts w:ascii="Times New Roman" w:eastAsia="宋体" w:hAnsi="Times New Roman" w:cs="Times New Roman"/>
          <w:sz w:val="24"/>
          <w:szCs w:val="24"/>
        </w:rPr>
        <w:t>课程考核方式及成绩比例为：课堂表现</w:t>
      </w:r>
      <w:r w:rsidRPr="00F674A1">
        <w:rPr>
          <w:rFonts w:ascii="Times New Roman" w:eastAsia="宋体" w:hAnsi="Times New Roman" w:cs="Times New Roman" w:hint="eastAsia"/>
          <w:sz w:val="24"/>
          <w:szCs w:val="24"/>
        </w:rPr>
        <w:t>2</w:t>
      </w:r>
      <w:r w:rsidRPr="00F674A1">
        <w:rPr>
          <w:rFonts w:ascii="Times New Roman" w:eastAsia="宋体" w:hAnsi="Times New Roman" w:cs="Times New Roman"/>
          <w:sz w:val="24"/>
          <w:szCs w:val="24"/>
        </w:rPr>
        <w:t>0%+</w:t>
      </w:r>
      <w:r w:rsidRPr="00F674A1">
        <w:rPr>
          <w:rFonts w:ascii="Times New Roman" w:eastAsia="宋体" w:hAnsi="Times New Roman" w:cs="Times New Roman"/>
          <w:sz w:val="24"/>
          <w:szCs w:val="24"/>
        </w:rPr>
        <w:t>平时作业</w:t>
      </w:r>
      <w:r w:rsidRPr="00F674A1">
        <w:rPr>
          <w:rFonts w:ascii="Times New Roman" w:eastAsia="宋体" w:hAnsi="Times New Roman" w:cs="Times New Roman"/>
          <w:sz w:val="24"/>
          <w:szCs w:val="24"/>
        </w:rPr>
        <w:t>20%+</w:t>
      </w:r>
      <w:r w:rsidRPr="00F674A1">
        <w:rPr>
          <w:rFonts w:ascii="Times New Roman" w:eastAsia="宋体" w:hAnsi="Times New Roman" w:cs="Times New Roman" w:hint="eastAsia"/>
          <w:sz w:val="24"/>
          <w:szCs w:val="24"/>
        </w:rPr>
        <w:t>课程论文</w:t>
      </w:r>
      <w:r w:rsidRPr="00F674A1">
        <w:rPr>
          <w:rFonts w:ascii="Times New Roman" w:eastAsia="宋体" w:hAnsi="Times New Roman" w:cs="Times New Roman"/>
          <w:sz w:val="24"/>
          <w:szCs w:val="24"/>
        </w:rPr>
        <w:t>60%</w:t>
      </w:r>
      <w:r w:rsidRPr="00F674A1">
        <w:rPr>
          <w:rFonts w:ascii="Times New Roman" w:eastAsia="宋体" w:hAnsi="Times New Roman" w:cs="Times New Roman"/>
          <w:sz w:val="24"/>
          <w:szCs w:val="24"/>
        </w:rPr>
        <w:t>。</w:t>
      </w:r>
    </w:p>
    <w:p w14:paraId="4DB01580" w14:textId="77777777" w:rsidR="00F674A1" w:rsidRPr="00F674A1" w:rsidRDefault="00F674A1" w:rsidP="00F674A1">
      <w:pPr>
        <w:adjustRightInd w:val="0"/>
        <w:snapToGrid w:val="0"/>
        <w:spacing w:line="440" w:lineRule="exact"/>
        <w:ind w:firstLineChars="200" w:firstLine="480"/>
        <w:rPr>
          <w:rFonts w:ascii="Times New Roman" w:eastAsia="宋体" w:hAnsi="Times New Roman" w:cs="Times New Roman"/>
          <w:szCs w:val="24"/>
        </w:rPr>
      </w:pPr>
      <w:r w:rsidRPr="00F674A1">
        <w:rPr>
          <w:rFonts w:ascii="Times New Roman" w:eastAsia="宋体" w:hAnsi="Times New Roman" w:cs="Times New Roman"/>
          <w:sz w:val="24"/>
          <w:szCs w:val="24"/>
        </w:rPr>
        <w:t>本课程共有</w:t>
      </w:r>
      <w:r w:rsidRPr="00F674A1">
        <w:rPr>
          <w:rFonts w:ascii="Times New Roman" w:eastAsia="宋体" w:hAnsi="Times New Roman" w:cs="Times New Roman"/>
          <w:sz w:val="24"/>
          <w:szCs w:val="24"/>
        </w:rPr>
        <w:t>3</w:t>
      </w:r>
      <w:r w:rsidRPr="00F674A1">
        <w:rPr>
          <w:rFonts w:ascii="Times New Roman" w:eastAsia="宋体" w:hAnsi="Times New Roman" w:cs="Times New Roman"/>
          <w:sz w:val="24"/>
          <w:szCs w:val="24"/>
        </w:rPr>
        <w:t>个课程目标，考核方式及成绩比例分别为：</w:t>
      </w:r>
    </w:p>
    <w:p w14:paraId="77359C86" w14:textId="77777777" w:rsidR="00F674A1" w:rsidRPr="00F674A1" w:rsidRDefault="00F674A1" w:rsidP="00F674A1">
      <w:pPr>
        <w:adjustRightInd w:val="0"/>
        <w:snapToGrid w:val="0"/>
        <w:spacing w:line="440" w:lineRule="exact"/>
        <w:rPr>
          <w:rFonts w:ascii="Times New Roman" w:eastAsia="宋体" w:hAnsi="Times New Roman" w:cs="Times New Roman"/>
          <w:sz w:val="24"/>
          <w:szCs w:val="24"/>
        </w:rPr>
      </w:pPr>
      <w:r w:rsidRPr="00F674A1">
        <w:rPr>
          <w:rFonts w:ascii="Times New Roman" w:eastAsia="宋体" w:hAnsi="Times New Roman" w:cs="Times New Roman"/>
          <w:sz w:val="24"/>
          <w:szCs w:val="24"/>
        </w:rPr>
        <w:t>课程目标</w:t>
      </w:r>
      <w:r w:rsidRPr="00F674A1">
        <w:rPr>
          <w:rFonts w:ascii="Times New Roman" w:eastAsia="宋体" w:hAnsi="Times New Roman" w:cs="Times New Roman" w:hint="eastAsia"/>
          <w:sz w:val="24"/>
          <w:szCs w:val="24"/>
        </w:rPr>
        <w:t>1</w:t>
      </w:r>
      <w:r w:rsidRPr="00F674A1">
        <w:rPr>
          <w:rFonts w:ascii="Times New Roman" w:eastAsia="宋体" w:hAnsi="Times New Roman" w:cs="Times New Roman"/>
          <w:sz w:val="24"/>
          <w:szCs w:val="24"/>
        </w:rPr>
        <w:t>：</w:t>
      </w:r>
      <w:r w:rsidRPr="00F674A1">
        <w:rPr>
          <w:rFonts w:ascii="Times New Roman" w:eastAsia="宋体" w:hAnsi="Times New Roman" w:cs="Times New Roman" w:hint="eastAsia"/>
          <w:sz w:val="24"/>
          <w:szCs w:val="24"/>
        </w:rPr>
        <w:t>课堂表现</w:t>
      </w:r>
      <w:r w:rsidRPr="00F674A1">
        <w:rPr>
          <w:rFonts w:ascii="Times New Roman" w:eastAsia="宋体" w:hAnsi="Times New Roman" w:cs="Times New Roman"/>
          <w:sz w:val="24"/>
          <w:szCs w:val="24"/>
        </w:rPr>
        <w:t>20%</w:t>
      </w:r>
    </w:p>
    <w:p w14:paraId="5EC2B664" w14:textId="77777777" w:rsidR="00F674A1" w:rsidRPr="00F674A1" w:rsidRDefault="00F674A1" w:rsidP="00F674A1">
      <w:pPr>
        <w:adjustRightInd w:val="0"/>
        <w:snapToGrid w:val="0"/>
        <w:spacing w:line="440" w:lineRule="exact"/>
        <w:rPr>
          <w:rFonts w:ascii="Times New Roman" w:eastAsia="宋体" w:hAnsi="Times New Roman" w:cs="Times New Roman"/>
          <w:sz w:val="24"/>
          <w:szCs w:val="24"/>
        </w:rPr>
      </w:pPr>
      <w:r w:rsidRPr="00F674A1">
        <w:rPr>
          <w:rFonts w:ascii="Times New Roman" w:eastAsia="宋体" w:hAnsi="Times New Roman" w:cs="Times New Roman"/>
          <w:sz w:val="24"/>
          <w:szCs w:val="24"/>
        </w:rPr>
        <w:t>课程目标</w:t>
      </w:r>
      <w:r w:rsidRPr="00F674A1">
        <w:rPr>
          <w:rFonts w:ascii="Times New Roman" w:eastAsia="宋体" w:hAnsi="Times New Roman" w:cs="Times New Roman" w:hint="eastAsia"/>
          <w:sz w:val="24"/>
          <w:szCs w:val="24"/>
        </w:rPr>
        <w:t>2</w:t>
      </w:r>
      <w:r w:rsidRPr="00F674A1">
        <w:rPr>
          <w:rFonts w:ascii="Times New Roman" w:eastAsia="宋体" w:hAnsi="Times New Roman" w:cs="Times New Roman"/>
          <w:sz w:val="24"/>
          <w:szCs w:val="24"/>
        </w:rPr>
        <w:t>：</w:t>
      </w:r>
      <w:r w:rsidRPr="00F674A1">
        <w:rPr>
          <w:rFonts w:ascii="Times New Roman" w:eastAsia="宋体" w:hAnsi="Times New Roman" w:cs="Times New Roman" w:hint="eastAsia"/>
          <w:sz w:val="24"/>
          <w:szCs w:val="24"/>
        </w:rPr>
        <w:t>课程论文</w:t>
      </w:r>
      <w:r w:rsidRPr="00F674A1">
        <w:rPr>
          <w:rFonts w:ascii="Times New Roman" w:eastAsia="宋体" w:hAnsi="Times New Roman" w:cs="Times New Roman"/>
          <w:sz w:val="24"/>
          <w:szCs w:val="24"/>
        </w:rPr>
        <w:t>60%</w:t>
      </w:r>
    </w:p>
    <w:p w14:paraId="6EDC01F4" w14:textId="77777777" w:rsidR="00F674A1" w:rsidRPr="00F674A1" w:rsidRDefault="00F674A1" w:rsidP="00F674A1">
      <w:pPr>
        <w:adjustRightInd w:val="0"/>
        <w:snapToGrid w:val="0"/>
        <w:spacing w:line="440" w:lineRule="exact"/>
        <w:rPr>
          <w:rFonts w:ascii="Times New Roman" w:eastAsia="宋体" w:hAnsi="Times New Roman" w:cs="Times New Roman"/>
          <w:sz w:val="24"/>
          <w:szCs w:val="24"/>
        </w:rPr>
      </w:pPr>
      <w:r w:rsidRPr="00F674A1">
        <w:rPr>
          <w:rFonts w:ascii="Times New Roman" w:eastAsia="宋体" w:hAnsi="Times New Roman" w:cs="Times New Roman"/>
          <w:sz w:val="24"/>
          <w:szCs w:val="24"/>
        </w:rPr>
        <w:t>课程目标</w:t>
      </w:r>
      <w:r w:rsidRPr="00F674A1">
        <w:rPr>
          <w:rFonts w:ascii="Times New Roman" w:eastAsia="宋体" w:hAnsi="Times New Roman" w:cs="Times New Roman"/>
          <w:sz w:val="24"/>
          <w:szCs w:val="24"/>
        </w:rPr>
        <w:t>3</w:t>
      </w:r>
      <w:r w:rsidRPr="00F674A1">
        <w:rPr>
          <w:rFonts w:ascii="Times New Roman" w:eastAsia="宋体" w:hAnsi="Times New Roman" w:cs="Times New Roman" w:hint="eastAsia"/>
          <w:sz w:val="24"/>
          <w:szCs w:val="24"/>
        </w:rPr>
        <w:t>：平时作业</w:t>
      </w:r>
      <w:r w:rsidRPr="00F674A1">
        <w:rPr>
          <w:rFonts w:ascii="Times New Roman" w:eastAsia="宋体" w:hAnsi="Times New Roman" w:cs="Times New Roman" w:hint="eastAsia"/>
          <w:sz w:val="24"/>
          <w:szCs w:val="24"/>
        </w:rPr>
        <w:t>2</w:t>
      </w:r>
      <w:r w:rsidRPr="00F674A1">
        <w:rPr>
          <w:rFonts w:ascii="Times New Roman" w:eastAsia="宋体" w:hAnsi="Times New Roman" w:cs="Times New Roman"/>
          <w:sz w:val="24"/>
          <w:szCs w:val="24"/>
        </w:rPr>
        <w:t>0%</w:t>
      </w:r>
    </w:p>
    <w:p w14:paraId="0943CF80" w14:textId="77777777" w:rsidR="00DD44D2" w:rsidRPr="00DD44D2" w:rsidRDefault="00DD44D2" w:rsidP="00796FEA">
      <w:pPr>
        <w:spacing w:line="440" w:lineRule="exact"/>
        <w:rPr>
          <w:rFonts w:ascii="宋体" w:eastAsia="宋体" w:hAnsi="宋体" w:cs="Times New Roman"/>
          <w:color w:val="FF0000"/>
          <w:sz w:val="24"/>
          <w:szCs w:val="24"/>
        </w:rPr>
      </w:pPr>
      <w:r w:rsidRPr="00DD44D2">
        <w:rPr>
          <w:rFonts w:ascii="宋体" w:eastAsia="宋体" w:hAnsi="宋体" w:cs="Times New Roman" w:hint="eastAsia"/>
          <w:sz w:val="24"/>
          <w:szCs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788"/>
        <w:gridCol w:w="2268"/>
        <w:gridCol w:w="2215"/>
        <w:gridCol w:w="1559"/>
      </w:tblGrid>
      <w:tr w:rsidR="00796FEA" w:rsidRPr="00796FEA" w14:paraId="769F4C13" w14:textId="77777777" w:rsidTr="00095B84">
        <w:trPr>
          <w:trHeight w:val="540"/>
          <w:jc w:val="center"/>
        </w:trPr>
        <w:tc>
          <w:tcPr>
            <w:tcW w:w="1422" w:type="dxa"/>
            <w:vMerge w:val="restart"/>
            <w:vAlign w:val="center"/>
          </w:tcPr>
          <w:p w14:paraId="097C1DAC" w14:textId="77777777" w:rsidR="00796FEA" w:rsidRPr="00796FEA" w:rsidRDefault="00796FEA" w:rsidP="00796FEA">
            <w:pPr>
              <w:spacing w:line="440" w:lineRule="exact"/>
              <w:jc w:val="center"/>
              <w:rPr>
                <w:rFonts w:ascii="宋体" w:eastAsia="宋体" w:hAnsi="宋体" w:cs="Times New Roman"/>
                <w:b/>
                <w:sz w:val="24"/>
                <w:szCs w:val="24"/>
              </w:rPr>
            </w:pPr>
            <w:r w:rsidRPr="00796FEA">
              <w:rPr>
                <w:rFonts w:ascii="宋体" w:eastAsia="宋体" w:hAnsi="宋体" w:cs="Times New Roman" w:hint="eastAsia"/>
                <w:b/>
                <w:sz w:val="24"/>
                <w:szCs w:val="24"/>
              </w:rPr>
              <w:t>课程目标</w:t>
            </w:r>
          </w:p>
        </w:tc>
        <w:tc>
          <w:tcPr>
            <w:tcW w:w="6271" w:type="dxa"/>
            <w:gridSpan w:val="3"/>
            <w:vAlign w:val="center"/>
          </w:tcPr>
          <w:p w14:paraId="798AFD7D" w14:textId="77777777" w:rsidR="00796FEA" w:rsidRPr="00796FEA" w:rsidRDefault="00796FEA" w:rsidP="00796FEA">
            <w:pPr>
              <w:spacing w:line="440" w:lineRule="exact"/>
              <w:jc w:val="center"/>
              <w:rPr>
                <w:rFonts w:ascii="宋体" w:eastAsia="宋体" w:hAnsi="宋体" w:cs="Times New Roman"/>
                <w:b/>
                <w:sz w:val="24"/>
                <w:szCs w:val="24"/>
              </w:rPr>
            </w:pPr>
            <w:r w:rsidRPr="00796FEA">
              <w:rPr>
                <w:rFonts w:ascii="宋体" w:eastAsia="宋体" w:hAnsi="宋体" w:cs="Times New Roman" w:hint="eastAsia"/>
                <w:b/>
                <w:sz w:val="24"/>
                <w:szCs w:val="24"/>
              </w:rPr>
              <w:t>考核方式及成绩比例（%）</w:t>
            </w:r>
          </w:p>
        </w:tc>
        <w:tc>
          <w:tcPr>
            <w:tcW w:w="1559" w:type="dxa"/>
            <w:vMerge w:val="restart"/>
            <w:vAlign w:val="center"/>
          </w:tcPr>
          <w:p w14:paraId="642B927A" w14:textId="77777777" w:rsidR="00796FEA" w:rsidRPr="00796FEA" w:rsidRDefault="00796FEA" w:rsidP="00796FEA">
            <w:pPr>
              <w:spacing w:line="440" w:lineRule="exact"/>
              <w:jc w:val="center"/>
              <w:rPr>
                <w:rFonts w:ascii="宋体" w:eastAsia="宋体" w:hAnsi="宋体" w:cs="Times New Roman"/>
                <w:b/>
                <w:sz w:val="24"/>
                <w:szCs w:val="24"/>
              </w:rPr>
            </w:pPr>
            <w:r w:rsidRPr="00796FEA">
              <w:rPr>
                <w:rFonts w:ascii="宋体" w:eastAsia="宋体" w:hAnsi="宋体" w:cs="Times New Roman" w:hint="eastAsia"/>
                <w:b/>
                <w:sz w:val="24"/>
                <w:szCs w:val="24"/>
              </w:rPr>
              <w:t>合计</w:t>
            </w:r>
          </w:p>
        </w:tc>
      </w:tr>
      <w:tr w:rsidR="00796FEA" w:rsidRPr="00796FEA" w14:paraId="03146A0D" w14:textId="77777777" w:rsidTr="00095B84">
        <w:trPr>
          <w:trHeight w:val="578"/>
          <w:jc w:val="center"/>
        </w:trPr>
        <w:tc>
          <w:tcPr>
            <w:tcW w:w="1422" w:type="dxa"/>
            <w:vMerge/>
            <w:vAlign w:val="center"/>
          </w:tcPr>
          <w:p w14:paraId="58367B79" w14:textId="77777777" w:rsidR="00796FEA" w:rsidRPr="00796FEA" w:rsidRDefault="00796FEA" w:rsidP="00796FEA">
            <w:pPr>
              <w:spacing w:line="440" w:lineRule="exact"/>
              <w:jc w:val="center"/>
              <w:rPr>
                <w:rFonts w:ascii="宋体" w:eastAsia="宋体" w:hAnsi="宋体" w:cs="Times New Roman"/>
                <w:b/>
                <w:sz w:val="24"/>
                <w:szCs w:val="24"/>
              </w:rPr>
            </w:pPr>
          </w:p>
        </w:tc>
        <w:tc>
          <w:tcPr>
            <w:tcW w:w="1788" w:type="dxa"/>
            <w:vAlign w:val="center"/>
          </w:tcPr>
          <w:p w14:paraId="3D2BB37D" w14:textId="77777777" w:rsidR="00796FEA" w:rsidRPr="00796FEA" w:rsidRDefault="00796FEA" w:rsidP="00796FEA">
            <w:pPr>
              <w:spacing w:line="440" w:lineRule="exact"/>
              <w:jc w:val="center"/>
              <w:rPr>
                <w:rFonts w:ascii="宋体" w:eastAsia="宋体" w:hAnsi="宋体" w:cs="Times New Roman"/>
                <w:b/>
                <w:sz w:val="24"/>
                <w:szCs w:val="24"/>
              </w:rPr>
            </w:pPr>
            <w:r w:rsidRPr="00796FEA">
              <w:rPr>
                <w:rFonts w:ascii="宋体" w:eastAsia="宋体" w:hAnsi="宋体" w:cs="Times New Roman" w:hint="eastAsia"/>
                <w:b/>
                <w:sz w:val="24"/>
                <w:szCs w:val="24"/>
              </w:rPr>
              <w:t>课堂表现</w:t>
            </w:r>
          </w:p>
        </w:tc>
        <w:tc>
          <w:tcPr>
            <w:tcW w:w="2268" w:type="dxa"/>
            <w:vAlign w:val="center"/>
          </w:tcPr>
          <w:p w14:paraId="509196C7" w14:textId="77777777" w:rsidR="00796FEA" w:rsidRPr="00796FEA" w:rsidRDefault="00796FEA" w:rsidP="00796FEA">
            <w:pPr>
              <w:spacing w:line="440" w:lineRule="exact"/>
              <w:jc w:val="center"/>
              <w:rPr>
                <w:rFonts w:ascii="宋体" w:eastAsia="宋体" w:hAnsi="宋体" w:cs="Times New Roman"/>
                <w:b/>
                <w:sz w:val="24"/>
                <w:szCs w:val="24"/>
              </w:rPr>
            </w:pPr>
            <w:r w:rsidRPr="00796FEA">
              <w:rPr>
                <w:rFonts w:ascii="宋体" w:eastAsia="宋体" w:hAnsi="宋体" w:cs="Times New Roman" w:hint="eastAsia"/>
                <w:b/>
                <w:sz w:val="24"/>
                <w:szCs w:val="24"/>
              </w:rPr>
              <w:t>平时作业</w:t>
            </w:r>
          </w:p>
        </w:tc>
        <w:tc>
          <w:tcPr>
            <w:tcW w:w="2215" w:type="dxa"/>
            <w:vAlign w:val="center"/>
          </w:tcPr>
          <w:p w14:paraId="7C523E5C" w14:textId="77777777" w:rsidR="00796FEA" w:rsidRPr="00796FEA" w:rsidRDefault="00796FEA" w:rsidP="00796FEA">
            <w:pPr>
              <w:spacing w:line="440" w:lineRule="exact"/>
              <w:jc w:val="center"/>
              <w:rPr>
                <w:rFonts w:ascii="宋体" w:eastAsia="宋体" w:hAnsi="宋体" w:cs="Times New Roman"/>
                <w:b/>
                <w:sz w:val="24"/>
                <w:szCs w:val="24"/>
              </w:rPr>
            </w:pPr>
            <w:r w:rsidRPr="00796FEA">
              <w:rPr>
                <w:rFonts w:ascii="宋体" w:eastAsia="宋体" w:hAnsi="宋体" w:cs="Times New Roman" w:hint="eastAsia"/>
                <w:b/>
                <w:sz w:val="24"/>
                <w:szCs w:val="24"/>
              </w:rPr>
              <w:t>课程论文</w:t>
            </w:r>
          </w:p>
        </w:tc>
        <w:tc>
          <w:tcPr>
            <w:tcW w:w="1559" w:type="dxa"/>
            <w:vMerge/>
          </w:tcPr>
          <w:p w14:paraId="7A2F491A" w14:textId="77777777" w:rsidR="00796FEA" w:rsidRPr="00796FEA" w:rsidRDefault="00796FEA" w:rsidP="00796FEA">
            <w:pPr>
              <w:spacing w:line="440" w:lineRule="exact"/>
              <w:jc w:val="center"/>
              <w:rPr>
                <w:rFonts w:ascii="宋体" w:eastAsia="宋体" w:hAnsi="宋体" w:cs="Times New Roman"/>
                <w:b/>
                <w:sz w:val="24"/>
                <w:szCs w:val="24"/>
              </w:rPr>
            </w:pPr>
          </w:p>
        </w:tc>
      </w:tr>
      <w:tr w:rsidR="00796FEA" w:rsidRPr="00796FEA" w14:paraId="23FAC261" w14:textId="77777777" w:rsidTr="00095B84">
        <w:trPr>
          <w:jc w:val="center"/>
        </w:trPr>
        <w:tc>
          <w:tcPr>
            <w:tcW w:w="1422" w:type="dxa"/>
            <w:vAlign w:val="center"/>
          </w:tcPr>
          <w:p w14:paraId="41353516"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hint="eastAsia"/>
                <w:bCs/>
                <w:sz w:val="24"/>
                <w:szCs w:val="24"/>
              </w:rPr>
              <w:t>课程目标1</w:t>
            </w:r>
          </w:p>
        </w:tc>
        <w:tc>
          <w:tcPr>
            <w:tcW w:w="1788" w:type="dxa"/>
            <w:vAlign w:val="center"/>
          </w:tcPr>
          <w:p w14:paraId="314267F5"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bCs/>
                <w:sz w:val="24"/>
                <w:szCs w:val="24"/>
              </w:rPr>
              <w:t>20</w:t>
            </w:r>
          </w:p>
        </w:tc>
        <w:tc>
          <w:tcPr>
            <w:tcW w:w="2268" w:type="dxa"/>
            <w:vAlign w:val="center"/>
          </w:tcPr>
          <w:p w14:paraId="5B9B001D"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bCs/>
                <w:sz w:val="24"/>
                <w:szCs w:val="24"/>
              </w:rPr>
              <w:t>0</w:t>
            </w:r>
          </w:p>
        </w:tc>
        <w:tc>
          <w:tcPr>
            <w:tcW w:w="2215" w:type="dxa"/>
            <w:vAlign w:val="center"/>
          </w:tcPr>
          <w:p w14:paraId="646037C4"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bCs/>
                <w:sz w:val="24"/>
                <w:szCs w:val="24"/>
              </w:rPr>
              <w:t>0</w:t>
            </w:r>
          </w:p>
        </w:tc>
        <w:tc>
          <w:tcPr>
            <w:tcW w:w="1559" w:type="dxa"/>
          </w:tcPr>
          <w:p w14:paraId="5A48553C"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bCs/>
                <w:sz w:val="24"/>
                <w:szCs w:val="24"/>
              </w:rPr>
              <w:t>20</w:t>
            </w:r>
          </w:p>
        </w:tc>
      </w:tr>
      <w:tr w:rsidR="00796FEA" w:rsidRPr="00796FEA" w14:paraId="368C143E" w14:textId="77777777" w:rsidTr="00095B84">
        <w:trPr>
          <w:jc w:val="center"/>
        </w:trPr>
        <w:tc>
          <w:tcPr>
            <w:tcW w:w="1422" w:type="dxa"/>
            <w:vAlign w:val="center"/>
          </w:tcPr>
          <w:p w14:paraId="65FFC613"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hint="eastAsia"/>
                <w:bCs/>
                <w:sz w:val="24"/>
                <w:szCs w:val="24"/>
              </w:rPr>
              <w:t>课程目标2</w:t>
            </w:r>
          </w:p>
        </w:tc>
        <w:tc>
          <w:tcPr>
            <w:tcW w:w="1788" w:type="dxa"/>
            <w:vAlign w:val="center"/>
          </w:tcPr>
          <w:p w14:paraId="205EA1A5"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bCs/>
                <w:sz w:val="24"/>
                <w:szCs w:val="24"/>
              </w:rPr>
              <w:t>0</w:t>
            </w:r>
          </w:p>
        </w:tc>
        <w:tc>
          <w:tcPr>
            <w:tcW w:w="2268" w:type="dxa"/>
            <w:vAlign w:val="center"/>
          </w:tcPr>
          <w:p w14:paraId="696BE924"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bCs/>
                <w:sz w:val="24"/>
                <w:szCs w:val="24"/>
              </w:rPr>
              <w:t>0</w:t>
            </w:r>
          </w:p>
        </w:tc>
        <w:tc>
          <w:tcPr>
            <w:tcW w:w="2215" w:type="dxa"/>
            <w:vAlign w:val="center"/>
          </w:tcPr>
          <w:p w14:paraId="6BDBFEBD"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bCs/>
                <w:sz w:val="24"/>
                <w:szCs w:val="24"/>
              </w:rPr>
              <w:t>60</w:t>
            </w:r>
          </w:p>
        </w:tc>
        <w:tc>
          <w:tcPr>
            <w:tcW w:w="1559" w:type="dxa"/>
          </w:tcPr>
          <w:p w14:paraId="71C891BE"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bCs/>
                <w:sz w:val="24"/>
                <w:szCs w:val="24"/>
              </w:rPr>
              <w:t>60</w:t>
            </w:r>
          </w:p>
        </w:tc>
      </w:tr>
      <w:tr w:rsidR="00796FEA" w:rsidRPr="00796FEA" w14:paraId="57A601BF" w14:textId="77777777" w:rsidTr="00095B84">
        <w:trPr>
          <w:jc w:val="center"/>
        </w:trPr>
        <w:tc>
          <w:tcPr>
            <w:tcW w:w="1422" w:type="dxa"/>
            <w:vAlign w:val="center"/>
          </w:tcPr>
          <w:p w14:paraId="36F16FDB"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hint="eastAsia"/>
                <w:bCs/>
                <w:sz w:val="24"/>
                <w:szCs w:val="24"/>
              </w:rPr>
              <w:t>课程目标</w:t>
            </w:r>
            <w:r w:rsidRPr="00796FEA">
              <w:rPr>
                <w:rFonts w:ascii="宋体" w:eastAsia="宋体" w:hAnsi="宋体" w:cs="Times New Roman"/>
                <w:bCs/>
                <w:sz w:val="24"/>
                <w:szCs w:val="24"/>
              </w:rPr>
              <w:t>3</w:t>
            </w:r>
          </w:p>
        </w:tc>
        <w:tc>
          <w:tcPr>
            <w:tcW w:w="1788" w:type="dxa"/>
            <w:vAlign w:val="center"/>
          </w:tcPr>
          <w:p w14:paraId="675CFC86"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bCs/>
                <w:sz w:val="24"/>
                <w:szCs w:val="24"/>
              </w:rPr>
              <w:t>0</w:t>
            </w:r>
          </w:p>
        </w:tc>
        <w:tc>
          <w:tcPr>
            <w:tcW w:w="2268" w:type="dxa"/>
            <w:vAlign w:val="center"/>
          </w:tcPr>
          <w:p w14:paraId="755083F5"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bCs/>
                <w:sz w:val="24"/>
                <w:szCs w:val="24"/>
              </w:rPr>
              <w:t>2</w:t>
            </w:r>
            <w:r w:rsidRPr="00796FEA">
              <w:rPr>
                <w:rFonts w:ascii="宋体" w:eastAsia="宋体" w:hAnsi="宋体" w:cs="Times New Roman" w:hint="eastAsia"/>
                <w:bCs/>
                <w:sz w:val="24"/>
                <w:szCs w:val="24"/>
              </w:rPr>
              <w:t>0</w:t>
            </w:r>
          </w:p>
        </w:tc>
        <w:tc>
          <w:tcPr>
            <w:tcW w:w="2215" w:type="dxa"/>
            <w:vAlign w:val="center"/>
          </w:tcPr>
          <w:p w14:paraId="2CE341B2"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hint="eastAsia"/>
                <w:bCs/>
                <w:sz w:val="24"/>
                <w:szCs w:val="24"/>
              </w:rPr>
              <w:t>0</w:t>
            </w:r>
          </w:p>
        </w:tc>
        <w:tc>
          <w:tcPr>
            <w:tcW w:w="1559" w:type="dxa"/>
          </w:tcPr>
          <w:p w14:paraId="255C0E86"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hint="eastAsia"/>
                <w:bCs/>
                <w:sz w:val="24"/>
                <w:szCs w:val="24"/>
              </w:rPr>
              <w:t>2</w:t>
            </w:r>
            <w:r w:rsidRPr="00796FEA">
              <w:rPr>
                <w:rFonts w:ascii="宋体" w:eastAsia="宋体" w:hAnsi="宋体" w:cs="Times New Roman"/>
                <w:bCs/>
                <w:sz w:val="24"/>
                <w:szCs w:val="24"/>
              </w:rPr>
              <w:t>0</w:t>
            </w:r>
          </w:p>
        </w:tc>
      </w:tr>
      <w:tr w:rsidR="00796FEA" w:rsidRPr="00796FEA" w14:paraId="29CEC385" w14:textId="77777777" w:rsidTr="00095B84">
        <w:trPr>
          <w:jc w:val="center"/>
        </w:trPr>
        <w:tc>
          <w:tcPr>
            <w:tcW w:w="1422" w:type="dxa"/>
            <w:vAlign w:val="center"/>
          </w:tcPr>
          <w:p w14:paraId="169DD8C7"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hint="eastAsia"/>
                <w:bCs/>
                <w:sz w:val="24"/>
                <w:szCs w:val="24"/>
              </w:rPr>
              <w:t>合计</w:t>
            </w:r>
          </w:p>
        </w:tc>
        <w:tc>
          <w:tcPr>
            <w:tcW w:w="1788" w:type="dxa"/>
            <w:vAlign w:val="center"/>
          </w:tcPr>
          <w:p w14:paraId="4091FC58"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bCs/>
                <w:sz w:val="24"/>
                <w:szCs w:val="24"/>
              </w:rPr>
              <w:t>2</w:t>
            </w:r>
            <w:r w:rsidRPr="00796FEA">
              <w:rPr>
                <w:rFonts w:ascii="宋体" w:eastAsia="宋体" w:hAnsi="宋体" w:cs="Times New Roman" w:hint="eastAsia"/>
                <w:bCs/>
                <w:sz w:val="24"/>
                <w:szCs w:val="24"/>
              </w:rPr>
              <w:t>0</w:t>
            </w:r>
          </w:p>
        </w:tc>
        <w:tc>
          <w:tcPr>
            <w:tcW w:w="2268" w:type="dxa"/>
            <w:vAlign w:val="center"/>
          </w:tcPr>
          <w:p w14:paraId="3B8AA2B2"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hint="eastAsia"/>
                <w:bCs/>
                <w:sz w:val="24"/>
                <w:szCs w:val="24"/>
              </w:rPr>
              <w:t>20</w:t>
            </w:r>
          </w:p>
        </w:tc>
        <w:tc>
          <w:tcPr>
            <w:tcW w:w="2215" w:type="dxa"/>
            <w:vAlign w:val="center"/>
          </w:tcPr>
          <w:p w14:paraId="509061A0"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bCs/>
                <w:sz w:val="24"/>
                <w:szCs w:val="24"/>
              </w:rPr>
              <w:t>6</w:t>
            </w:r>
            <w:r w:rsidRPr="00796FEA">
              <w:rPr>
                <w:rFonts w:ascii="宋体" w:eastAsia="宋体" w:hAnsi="宋体" w:cs="Times New Roman" w:hint="eastAsia"/>
                <w:bCs/>
                <w:sz w:val="24"/>
                <w:szCs w:val="24"/>
              </w:rPr>
              <w:t>0</w:t>
            </w:r>
          </w:p>
        </w:tc>
        <w:tc>
          <w:tcPr>
            <w:tcW w:w="1559" w:type="dxa"/>
          </w:tcPr>
          <w:p w14:paraId="4DFE2498" w14:textId="77777777" w:rsidR="00796FEA" w:rsidRPr="00796FEA" w:rsidRDefault="00796FEA" w:rsidP="00796FEA">
            <w:pPr>
              <w:spacing w:line="440" w:lineRule="exact"/>
              <w:jc w:val="center"/>
              <w:rPr>
                <w:rFonts w:ascii="宋体" w:eastAsia="宋体" w:hAnsi="宋体" w:cs="Times New Roman"/>
                <w:bCs/>
                <w:sz w:val="24"/>
                <w:szCs w:val="24"/>
              </w:rPr>
            </w:pPr>
            <w:r w:rsidRPr="00796FEA">
              <w:rPr>
                <w:rFonts w:ascii="宋体" w:eastAsia="宋体" w:hAnsi="宋体" w:cs="Times New Roman" w:hint="eastAsia"/>
                <w:bCs/>
                <w:sz w:val="24"/>
                <w:szCs w:val="24"/>
              </w:rPr>
              <w:t>1</w:t>
            </w:r>
            <w:r w:rsidRPr="00796FEA">
              <w:rPr>
                <w:rFonts w:ascii="宋体" w:eastAsia="宋体" w:hAnsi="宋体" w:cs="Times New Roman"/>
                <w:bCs/>
                <w:sz w:val="24"/>
                <w:szCs w:val="24"/>
              </w:rPr>
              <w:t>00</w:t>
            </w:r>
          </w:p>
        </w:tc>
      </w:tr>
    </w:tbl>
    <w:p w14:paraId="7C2F9928" w14:textId="77777777" w:rsidR="00DD44D2" w:rsidRPr="00DD44D2" w:rsidRDefault="00DD44D2" w:rsidP="00DD44D2">
      <w:pPr>
        <w:spacing w:beforeLines="50" w:before="156" w:afterLines="50" w:after="156" w:line="440" w:lineRule="exact"/>
        <w:ind w:firstLineChars="200" w:firstLine="560"/>
        <w:rPr>
          <w:rFonts w:ascii="黑体" w:eastAsia="黑体" w:hAnsi="黑体" w:cs="Times New Roman"/>
          <w:sz w:val="28"/>
          <w:szCs w:val="28"/>
        </w:rPr>
      </w:pPr>
      <w:r w:rsidRPr="00DD44D2">
        <w:rPr>
          <w:rFonts w:ascii="黑体" w:eastAsia="黑体" w:hAnsi="黑体" w:cs="Times New Roman" w:hint="eastAsia"/>
          <w:sz w:val="28"/>
          <w:szCs w:val="28"/>
        </w:rPr>
        <w:t>五、成绩评定</w:t>
      </w:r>
    </w:p>
    <w:p w14:paraId="49139D8D" w14:textId="77777777" w:rsidR="00DD44D2" w:rsidRPr="00DD44D2" w:rsidRDefault="00DD44D2" w:rsidP="00DD44D2">
      <w:pPr>
        <w:spacing w:beforeLines="50" w:before="156" w:afterLines="50" w:after="156" w:line="440" w:lineRule="exact"/>
        <w:ind w:firstLineChars="200" w:firstLine="560"/>
        <w:rPr>
          <w:rFonts w:ascii="黑体" w:eastAsia="黑体" w:hAnsi="黑体" w:cs="Times New Roman"/>
          <w:sz w:val="28"/>
          <w:szCs w:val="28"/>
        </w:rPr>
      </w:pPr>
      <w:r w:rsidRPr="00DD44D2">
        <w:rPr>
          <w:rFonts w:ascii="黑体" w:eastAsia="黑体" w:hAnsi="黑体" w:cs="Times New Roman" w:hint="eastAsia"/>
          <w:sz w:val="28"/>
          <w:szCs w:val="28"/>
        </w:rPr>
        <w:t>（一）总成绩评定</w:t>
      </w:r>
    </w:p>
    <w:p w14:paraId="108FF42E" w14:textId="77777777" w:rsidR="00DD44D2" w:rsidRPr="00DD44D2" w:rsidRDefault="00DD44D2" w:rsidP="00DD44D2">
      <w:pPr>
        <w:spacing w:line="440" w:lineRule="exact"/>
        <w:ind w:firstLineChars="200" w:firstLine="480"/>
        <w:rPr>
          <w:rFonts w:ascii="宋体" w:eastAsia="宋体" w:hAnsi="宋体" w:cs="Times New Roman"/>
          <w:sz w:val="24"/>
          <w:szCs w:val="24"/>
        </w:rPr>
      </w:pPr>
      <w:r w:rsidRPr="00DD44D2">
        <w:rPr>
          <w:rFonts w:ascii="宋体" w:eastAsia="宋体" w:hAnsi="宋体" w:cs="Times New Roman" w:hint="eastAsia"/>
          <w:sz w:val="24"/>
          <w:szCs w:val="24"/>
        </w:rPr>
        <w:t>总成绩=平时成绩×</w:t>
      </w:r>
      <w:r w:rsidRPr="00DD44D2">
        <w:rPr>
          <w:rFonts w:ascii="宋体" w:eastAsia="宋体" w:hAnsi="宋体" w:cs="Times New Roman"/>
          <w:sz w:val="24"/>
          <w:szCs w:val="24"/>
        </w:rPr>
        <w:t>4</w:t>
      </w:r>
      <w:r w:rsidRPr="00DD44D2">
        <w:rPr>
          <w:rFonts w:ascii="宋体" w:eastAsia="宋体" w:hAnsi="宋体" w:cs="Times New Roman" w:hint="eastAsia"/>
          <w:sz w:val="24"/>
          <w:szCs w:val="24"/>
        </w:rPr>
        <w:t>0%+期末成绩×</w:t>
      </w:r>
      <w:r w:rsidRPr="00DD44D2">
        <w:rPr>
          <w:rFonts w:ascii="宋体" w:eastAsia="宋体" w:hAnsi="宋体" w:cs="Times New Roman"/>
          <w:sz w:val="24"/>
          <w:szCs w:val="24"/>
        </w:rPr>
        <w:t>6</w:t>
      </w:r>
      <w:r w:rsidRPr="00DD44D2">
        <w:rPr>
          <w:rFonts w:ascii="宋体" w:eastAsia="宋体" w:hAnsi="宋体" w:cs="Times New Roman" w:hint="eastAsia"/>
          <w:sz w:val="24"/>
          <w:szCs w:val="24"/>
        </w:rPr>
        <w:t>0%</w:t>
      </w:r>
    </w:p>
    <w:p w14:paraId="7D9746E6" w14:textId="77777777" w:rsidR="00DD44D2" w:rsidRPr="00DD44D2" w:rsidRDefault="00DD44D2" w:rsidP="00DD44D2">
      <w:pPr>
        <w:spacing w:beforeLines="50" w:before="156" w:afterLines="50" w:after="156" w:line="440" w:lineRule="exact"/>
        <w:ind w:firstLineChars="200" w:firstLine="560"/>
        <w:rPr>
          <w:rFonts w:ascii="宋体" w:eastAsia="宋体" w:hAnsi="宋体" w:cs="Times New Roman"/>
          <w:color w:val="FF0000"/>
          <w:sz w:val="24"/>
          <w:szCs w:val="24"/>
        </w:rPr>
      </w:pPr>
      <w:r w:rsidRPr="00DD44D2">
        <w:rPr>
          <w:rFonts w:ascii="黑体" w:eastAsia="黑体" w:hAnsi="黑体" w:cs="Times New Roman" w:hint="eastAsia"/>
          <w:sz w:val="28"/>
          <w:szCs w:val="28"/>
        </w:rPr>
        <w:t>（二）平时成绩评定</w:t>
      </w:r>
    </w:p>
    <w:p w14:paraId="2F87DC9E" w14:textId="77777777" w:rsidR="00DD44D2" w:rsidRDefault="00DD44D2" w:rsidP="00423AD2">
      <w:pPr>
        <w:rPr>
          <w:rFonts w:ascii="Calibri" w:eastAsia="宋体" w:hAnsi="Calibri" w:cs="Times New Roman"/>
          <w:bCs/>
        </w:rPr>
      </w:pPr>
    </w:p>
    <w:p w14:paraId="0A276501" w14:textId="77777777" w:rsidR="00796FEA" w:rsidRPr="00796FEA" w:rsidRDefault="00796FEA" w:rsidP="00796FEA">
      <w:pPr>
        <w:adjustRightInd w:val="0"/>
        <w:snapToGrid w:val="0"/>
        <w:spacing w:line="440" w:lineRule="exact"/>
        <w:ind w:firstLineChars="200" w:firstLine="480"/>
        <w:rPr>
          <w:rFonts w:ascii="Times New Roman" w:eastAsia="宋体" w:hAnsi="Times New Roman" w:cs="Times New Roman"/>
          <w:sz w:val="24"/>
          <w:szCs w:val="24"/>
        </w:rPr>
      </w:pPr>
      <w:r w:rsidRPr="00796FEA">
        <w:rPr>
          <w:rFonts w:ascii="Times New Roman" w:eastAsia="宋体" w:hAnsi="Times New Roman" w:cs="Times New Roman"/>
          <w:sz w:val="24"/>
          <w:szCs w:val="24"/>
        </w:rPr>
        <w:t>平时成绩（</w:t>
      </w:r>
      <w:r w:rsidRPr="00796FEA">
        <w:rPr>
          <w:rFonts w:ascii="Times New Roman" w:eastAsia="宋体" w:hAnsi="Times New Roman" w:cs="Times New Roman"/>
          <w:sz w:val="24"/>
          <w:szCs w:val="24"/>
        </w:rPr>
        <w:t>100%</w:t>
      </w:r>
      <w:r w:rsidRPr="00796FEA">
        <w:rPr>
          <w:rFonts w:ascii="Times New Roman" w:eastAsia="宋体" w:hAnsi="Times New Roman" w:cs="Times New Roman"/>
          <w:sz w:val="24"/>
          <w:szCs w:val="24"/>
        </w:rPr>
        <w:t>）</w:t>
      </w:r>
      <w:r w:rsidRPr="00796FEA">
        <w:rPr>
          <w:rFonts w:ascii="Times New Roman" w:eastAsia="宋体" w:hAnsi="Times New Roman" w:cs="Times New Roman"/>
          <w:sz w:val="24"/>
          <w:szCs w:val="24"/>
        </w:rPr>
        <w:t>=</w:t>
      </w:r>
      <w:r w:rsidRPr="00796FEA">
        <w:rPr>
          <w:rFonts w:ascii="Times New Roman" w:eastAsia="宋体" w:hAnsi="Times New Roman" w:cs="Times New Roman"/>
          <w:sz w:val="24"/>
          <w:szCs w:val="24"/>
        </w:rPr>
        <w:t>课堂表现</w:t>
      </w:r>
      <w:r w:rsidRPr="00796FEA">
        <w:rPr>
          <w:rFonts w:ascii="Times New Roman" w:eastAsia="宋体" w:hAnsi="Times New Roman" w:cs="Times New Roman"/>
          <w:sz w:val="24"/>
          <w:szCs w:val="24"/>
        </w:rPr>
        <w:t>50%+</w:t>
      </w:r>
      <w:r w:rsidRPr="00796FEA">
        <w:rPr>
          <w:rFonts w:ascii="Times New Roman" w:eastAsia="宋体" w:hAnsi="Times New Roman" w:cs="Times New Roman"/>
          <w:sz w:val="24"/>
          <w:szCs w:val="24"/>
        </w:rPr>
        <w:t>平时作业</w:t>
      </w:r>
      <w:r w:rsidRPr="00796FEA">
        <w:rPr>
          <w:rFonts w:ascii="Times New Roman" w:eastAsia="宋体" w:hAnsi="Times New Roman" w:cs="Times New Roman"/>
          <w:sz w:val="24"/>
          <w:szCs w:val="24"/>
        </w:rPr>
        <w:t>50%</w:t>
      </w:r>
    </w:p>
    <w:p w14:paraId="245A9568" w14:textId="77777777" w:rsidR="00796FEA" w:rsidRPr="00796FEA" w:rsidRDefault="00796FEA" w:rsidP="00796FEA">
      <w:pPr>
        <w:adjustRightInd w:val="0"/>
        <w:snapToGrid w:val="0"/>
        <w:spacing w:line="440" w:lineRule="exact"/>
        <w:ind w:firstLineChars="200" w:firstLine="480"/>
        <w:rPr>
          <w:rFonts w:ascii="Times New Roman" w:eastAsia="宋体" w:hAnsi="Times New Roman" w:cs="Times New Roman"/>
          <w:sz w:val="24"/>
          <w:szCs w:val="24"/>
        </w:rPr>
      </w:pPr>
      <w:r w:rsidRPr="00796FEA">
        <w:rPr>
          <w:rFonts w:ascii="Times New Roman" w:eastAsia="宋体" w:hAnsi="Times New Roman" w:cs="Times New Roman"/>
          <w:sz w:val="24"/>
          <w:szCs w:val="24"/>
        </w:rPr>
        <w:t>（</w:t>
      </w:r>
      <w:r w:rsidRPr="00796FEA">
        <w:rPr>
          <w:rFonts w:ascii="Times New Roman" w:eastAsia="宋体" w:hAnsi="Times New Roman" w:cs="Times New Roman" w:hint="eastAsia"/>
          <w:sz w:val="24"/>
          <w:szCs w:val="24"/>
        </w:rPr>
        <w:t>1</w:t>
      </w:r>
      <w:r w:rsidRPr="00796FEA">
        <w:rPr>
          <w:rFonts w:ascii="Times New Roman" w:eastAsia="宋体" w:hAnsi="Times New Roman" w:cs="Times New Roman"/>
          <w:sz w:val="24"/>
          <w:szCs w:val="24"/>
        </w:rPr>
        <w:t>）课堂表现：通过学生在课堂上的表现情况、发言与提问情况，来评价学生</w:t>
      </w:r>
      <w:r w:rsidRPr="00796FEA">
        <w:rPr>
          <w:rFonts w:ascii="Times New Roman" w:eastAsia="宋体" w:hAnsi="Times New Roman" w:cs="Times New Roman"/>
          <w:sz w:val="24"/>
          <w:szCs w:val="24"/>
        </w:rPr>
        <w:lastRenderedPageBreak/>
        <w:t>相关的能力</w:t>
      </w:r>
      <w:r w:rsidRPr="00796FEA">
        <w:rPr>
          <w:rFonts w:ascii="Times New Roman" w:eastAsia="宋体" w:hAnsi="Times New Roman" w:cs="Times New Roman" w:hint="eastAsia"/>
          <w:sz w:val="24"/>
          <w:szCs w:val="24"/>
        </w:rPr>
        <w:t>，</w:t>
      </w:r>
      <w:r w:rsidRPr="00796FEA">
        <w:rPr>
          <w:rFonts w:ascii="宋体" w:eastAsia="宋体" w:hAnsi="宋体" w:cs="宋体" w:hint="eastAsia"/>
          <w:color w:val="000000"/>
          <w:sz w:val="24"/>
          <w:szCs w:val="24"/>
        </w:rPr>
        <w:t>满分记100分。</w:t>
      </w:r>
    </w:p>
    <w:p w14:paraId="4222798B" w14:textId="77777777" w:rsidR="00796FEA" w:rsidRPr="00796FEA" w:rsidRDefault="00796FEA" w:rsidP="00796FEA">
      <w:pPr>
        <w:spacing w:line="440" w:lineRule="atLeast"/>
        <w:ind w:firstLineChars="200" w:firstLine="480"/>
        <w:rPr>
          <w:rFonts w:ascii="宋体" w:eastAsia="宋体" w:hAnsi="宋体" w:cs="Times New Roman"/>
          <w:sz w:val="24"/>
          <w:szCs w:val="24"/>
        </w:rPr>
      </w:pPr>
      <w:r w:rsidRPr="00796FEA">
        <w:rPr>
          <w:rFonts w:ascii="Times New Roman" w:eastAsia="宋体" w:hAnsi="Times New Roman" w:cs="Times New Roman"/>
          <w:sz w:val="24"/>
          <w:szCs w:val="24"/>
        </w:rPr>
        <w:t>（</w:t>
      </w:r>
      <w:r w:rsidRPr="00796FEA">
        <w:rPr>
          <w:rFonts w:ascii="Times New Roman" w:eastAsia="宋体" w:hAnsi="Times New Roman" w:cs="Times New Roman" w:hint="eastAsia"/>
          <w:sz w:val="24"/>
          <w:szCs w:val="24"/>
        </w:rPr>
        <w:t>2</w:t>
      </w:r>
      <w:r w:rsidRPr="00796FEA">
        <w:rPr>
          <w:rFonts w:ascii="Times New Roman" w:eastAsia="宋体" w:hAnsi="Times New Roman" w:cs="Times New Roman"/>
          <w:sz w:val="24"/>
          <w:szCs w:val="24"/>
        </w:rPr>
        <w:t>）平时作业完成情况：</w:t>
      </w:r>
      <w:r w:rsidRPr="00796FEA">
        <w:rPr>
          <w:rFonts w:ascii="宋体" w:eastAsia="宋体" w:hAnsi="宋体" w:cs="Times New Roman" w:hint="eastAsia"/>
          <w:sz w:val="24"/>
          <w:szCs w:val="24"/>
        </w:rPr>
        <w:t>根据学生对于课后作业的完成及理解情况，进行评分，满分记100分</w:t>
      </w:r>
      <w:r w:rsidRPr="00796FEA">
        <w:rPr>
          <w:rFonts w:ascii="Times New Roman" w:eastAsia="宋体" w:hAnsi="Times New Roman" w:cs="Times New Roman" w:hint="eastAsia"/>
          <w:sz w:val="24"/>
          <w:szCs w:val="24"/>
        </w:rPr>
        <w:t>。</w:t>
      </w:r>
    </w:p>
    <w:p w14:paraId="3F9D9D44" w14:textId="77777777" w:rsidR="00796FEA" w:rsidRPr="00796FEA" w:rsidRDefault="00796FEA" w:rsidP="00796FEA">
      <w:pPr>
        <w:spacing w:beforeLines="50" w:before="156" w:afterLines="50" w:after="156" w:line="440" w:lineRule="exact"/>
        <w:ind w:firstLineChars="200" w:firstLine="560"/>
        <w:rPr>
          <w:rFonts w:ascii="黑体" w:eastAsia="黑体" w:hAnsi="黑体" w:cs="Times New Roman"/>
          <w:sz w:val="28"/>
          <w:szCs w:val="28"/>
        </w:rPr>
      </w:pPr>
      <w:r w:rsidRPr="00796FEA">
        <w:rPr>
          <w:rFonts w:ascii="黑体" w:eastAsia="黑体" w:hAnsi="黑体" w:cs="Times New Roman" w:hint="eastAsia"/>
          <w:sz w:val="28"/>
          <w:szCs w:val="28"/>
        </w:rPr>
        <w:t>（三）期末成绩评定</w:t>
      </w:r>
    </w:p>
    <w:p w14:paraId="1CA71664" w14:textId="77777777" w:rsidR="00796FEA" w:rsidRPr="00796FEA" w:rsidRDefault="00796FEA" w:rsidP="00796FEA">
      <w:pPr>
        <w:spacing w:line="440" w:lineRule="exact"/>
        <w:ind w:firstLineChars="200" w:firstLine="480"/>
        <w:rPr>
          <w:rFonts w:ascii="Times New Roman" w:eastAsia="宋体" w:hAnsi="Times New Roman" w:cs="宋体"/>
          <w:bCs/>
          <w:sz w:val="24"/>
          <w:szCs w:val="24"/>
        </w:rPr>
      </w:pPr>
      <w:r w:rsidRPr="00796FEA">
        <w:rPr>
          <w:rFonts w:ascii="宋体" w:eastAsia="宋体" w:hAnsi="宋体" w:cs="Times New Roman" w:hint="eastAsia"/>
          <w:sz w:val="24"/>
          <w:szCs w:val="24"/>
        </w:rPr>
        <w:t>期末成绩</w:t>
      </w:r>
      <w:r w:rsidRPr="00796FEA">
        <w:rPr>
          <w:rFonts w:ascii="Times New Roman" w:eastAsia="宋体" w:hAnsi="Times New Roman" w:cs="宋体" w:hint="eastAsia"/>
          <w:bCs/>
          <w:sz w:val="24"/>
          <w:szCs w:val="24"/>
        </w:rPr>
        <w:t>以完成一份课程论文综述的形式对科技文献检索与利用的能力进行综合考核，</w:t>
      </w:r>
      <w:r w:rsidRPr="00796FEA">
        <w:rPr>
          <w:rFonts w:ascii="Times New Roman" w:eastAsia="宋体" w:hAnsi="Times New Roman" w:cs="Times New Roman"/>
          <w:sz w:val="24"/>
          <w:szCs w:val="24"/>
        </w:rPr>
        <w:t>满分记</w:t>
      </w:r>
      <w:r w:rsidRPr="00796FEA">
        <w:rPr>
          <w:rFonts w:ascii="Times New Roman" w:eastAsia="宋体" w:hAnsi="Times New Roman" w:cs="Times New Roman"/>
          <w:sz w:val="24"/>
          <w:szCs w:val="24"/>
        </w:rPr>
        <w:t>100</w:t>
      </w:r>
      <w:r w:rsidRPr="00796FEA">
        <w:rPr>
          <w:rFonts w:ascii="Times New Roman" w:eastAsia="宋体" w:hAnsi="Times New Roman" w:cs="Times New Roman"/>
          <w:sz w:val="24"/>
          <w:szCs w:val="24"/>
        </w:rPr>
        <w:t>分。</w:t>
      </w:r>
    </w:p>
    <w:p w14:paraId="5112C841" w14:textId="77777777" w:rsidR="00796FEA" w:rsidRPr="00796FEA" w:rsidRDefault="00796FEA" w:rsidP="00796FEA">
      <w:pPr>
        <w:spacing w:beforeLines="50" w:before="156" w:afterLines="50" w:after="156" w:line="440" w:lineRule="exact"/>
        <w:ind w:firstLineChars="200" w:firstLine="560"/>
        <w:rPr>
          <w:rFonts w:ascii="宋体" w:eastAsia="宋体" w:hAnsi="宋体" w:cs="Times New Roman"/>
          <w:sz w:val="24"/>
          <w:szCs w:val="24"/>
        </w:rPr>
      </w:pPr>
      <w:r w:rsidRPr="00796FEA">
        <w:rPr>
          <w:rFonts w:ascii="黑体" w:eastAsia="黑体" w:hAnsi="黑体" w:cs="Times New Roman" w:hint="eastAsia"/>
          <w:sz w:val="28"/>
          <w:szCs w:val="28"/>
        </w:rPr>
        <w:t>六、使用教材、相关推荐书目及课程资源</w:t>
      </w:r>
    </w:p>
    <w:p w14:paraId="58993BDB" w14:textId="77777777" w:rsidR="00796FEA" w:rsidRPr="00796FEA" w:rsidRDefault="00796FEA" w:rsidP="00796FEA">
      <w:pPr>
        <w:spacing w:beforeLines="50" w:before="156" w:afterLines="50" w:after="156" w:line="440" w:lineRule="exact"/>
        <w:ind w:firstLineChars="200" w:firstLine="560"/>
        <w:rPr>
          <w:rFonts w:ascii="黑体" w:eastAsia="黑体" w:hAnsi="黑体" w:cs="Times New Roman"/>
          <w:sz w:val="28"/>
          <w:szCs w:val="28"/>
        </w:rPr>
      </w:pPr>
      <w:r w:rsidRPr="00796FEA">
        <w:rPr>
          <w:rFonts w:ascii="黑体" w:eastAsia="黑体" w:hAnsi="黑体" w:cs="Times New Roman" w:hint="eastAsia"/>
          <w:sz w:val="28"/>
          <w:szCs w:val="28"/>
        </w:rPr>
        <w:t>（一）使用教材</w:t>
      </w:r>
    </w:p>
    <w:p w14:paraId="099A1D06" w14:textId="77777777" w:rsidR="00796FEA" w:rsidRPr="00796FEA" w:rsidRDefault="00796FEA" w:rsidP="00796FEA">
      <w:pPr>
        <w:spacing w:line="440" w:lineRule="exact"/>
        <w:ind w:firstLineChars="300" w:firstLine="720"/>
        <w:rPr>
          <w:rFonts w:ascii="宋体" w:eastAsia="宋体" w:hAnsi="宋体" w:cs="Times New Roman"/>
          <w:sz w:val="24"/>
          <w:szCs w:val="24"/>
        </w:rPr>
      </w:pPr>
      <w:proofErr w:type="gramStart"/>
      <w:r w:rsidRPr="00796FEA">
        <w:rPr>
          <w:rFonts w:ascii="宋体" w:eastAsia="宋体" w:hAnsi="宋体" w:cs="Times New Roman" w:hint="eastAsia"/>
          <w:sz w:val="24"/>
          <w:szCs w:val="24"/>
        </w:rPr>
        <w:t>于占洋主编</w:t>
      </w:r>
      <w:proofErr w:type="gramEnd"/>
      <w:r w:rsidRPr="00796FEA">
        <w:rPr>
          <w:rFonts w:ascii="宋体" w:eastAsia="宋体" w:hAnsi="宋体" w:cs="Times New Roman" w:hint="eastAsia"/>
          <w:sz w:val="24"/>
          <w:szCs w:val="24"/>
        </w:rPr>
        <w:t>：《药学文献检索与利用》，中国医药科技出版社，200</w:t>
      </w:r>
      <w:r w:rsidRPr="00796FEA">
        <w:rPr>
          <w:rFonts w:ascii="宋体" w:eastAsia="宋体" w:hAnsi="宋体" w:cs="Times New Roman"/>
          <w:sz w:val="24"/>
          <w:szCs w:val="24"/>
        </w:rPr>
        <w:t>9</w:t>
      </w:r>
      <w:r w:rsidRPr="00796FEA">
        <w:rPr>
          <w:rFonts w:ascii="宋体" w:eastAsia="宋体" w:hAnsi="宋体" w:cs="Times New Roman" w:hint="eastAsia"/>
          <w:sz w:val="24"/>
          <w:szCs w:val="24"/>
        </w:rPr>
        <w:t>年版。</w:t>
      </w:r>
    </w:p>
    <w:p w14:paraId="78582832" w14:textId="77777777" w:rsidR="00796FEA" w:rsidRPr="00796FEA" w:rsidRDefault="00796FEA" w:rsidP="00796FEA">
      <w:pPr>
        <w:spacing w:beforeLines="50" w:before="156" w:afterLines="50" w:after="156" w:line="440" w:lineRule="exact"/>
        <w:ind w:firstLineChars="200" w:firstLine="560"/>
        <w:rPr>
          <w:rFonts w:ascii="黑体" w:eastAsia="黑体" w:hAnsi="黑体" w:cs="Times New Roman"/>
          <w:sz w:val="28"/>
          <w:szCs w:val="28"/>
        </w:rPr>
      </w:pPr>
      <w:r w:rsidRPr="00796FEA">
        <w:rPr>
          <w:rFonts w:ascii="黑体" w:eastAsia="黑体" w:hAnsi="黑体" w:cs="Times New Roman" w:hint="eastAsia"/>
          <w:sz w:val="28"/>
          <w:szCs w:val="28"/>
        </w:rPr>
        <w:t>（二）相关推荐书目</w:t>
      </w:r>
    </w:p>
    <w:p w14:paraId="690B0F21" w14:textId="77777777" w:rsidR="00796FEA" w:rsidRPr="00796FEA" w:rsidRDefault="00796FEA" w:rsidP="00796FEA">
      <w:pPr>
        <w:spacing w:line="440" w:lineRule="exact"/>
        <w:ind w:firstLineChars="200" w:firstLine="480"/>
        <w:rPr>
          <w:rFonts w:ascii="宋体" w:eastAsia="宋体" w:hAnsi="宋体" w:cs="宋体"/>
          <w:sz w:val="24"/>
          <w:szCs w:val="24"/>
        </w:rPr>
      </w:pPr>
      <w:r w:rsidRPr="00796FEA">
        <w:rPr>
          <w:rFonts w:ascii="宋体" w:eastAsia="宋体" w:hAnsi="宋体" w:cs="Times New Roman" w:hint="eastAsia"/>
          <w:sz w:val="24"/>
          <w:szCs w:val="24"/>
        </w:rPr>
        <w:t>1</w:t>
      </w:r>
      <w:r w:rsidRPr="00796FEA">
        <w:rPr>
          <w:rFonts w:ascii="宋体" w:eastAsia="宋体" w:hAnsi="宋体" w:cs="Times New Roman"/>
          <w:sz w:val="24"/>
          <w:szCs w:val="24"/>
        </w:rPr>
        <w:t xml:space="preserve">. </w:t>
      </w:r>
      <w:bookmarkStart w:id="282" w:name="_Hlk87866908"/>
      <w:r w:rsidRPr="00796FEA">
        <w:rPr>
          <w:rFonts w:ascii="宋体" w:eastAsia="宋体" w:hAnsi="宋体" w:cs="宋体" w:hint="eastAsia"/>
          <w:sz w:val="24"/>
          <w:szCs w:val="24"/>
        </w:rPr>
        <w:t>陈楠主编：《文献检索与分析》，上海交通大学出版社，2</w:t>
      </w:r>
      <w:r w:rsidRPr="00796FEA">
        <w:rPr>
          <w:rFonts w:ascii="宋体" w:eastAsia="宋体" w:hAnsi="宋体" w:cs="宋体"/>
          <w:sz w:val="24"/>
          <w:szCs w:val="24"/>
        </w:rPr>
        <w:t>021</w:t>
      </w:r>
      <w:r w:rsidRPr="00796FEA">
        <w:rPr>
          <w:rFonts w:ascii="宋体" w:eastAsia="宋体" w:hAnsi="宋体" w:cs="宋体" w:hint="eastAsia"/>
          <w:sz w:val="24"/>
          <w:szCs w:val="24"/>
        </w:rPr>
        <w:t>年版</w:t>
      </w:r>
    </w:p>
    <w:bookmarkEnd w:id="282"/>
    <w:p w14:paraId="685066B0" w14:textId="77777777" w:rsidR="00796FEA" w:rsidRPr="00796FEA" w:rsidRDefault="00796FEA" w:rsidP="00796FEA">
      <w:pPr>
        <w:spacing w:line="440" w:lineRule="exact"/>
        <w:ind w:firstLineChars="200" w:firstLine="480"/>
        <w:rPr>
          <w:rFonts w:ascii="宋体" w:eastAsia="宋体" w:hAnsi="宋体" w:cs="Times New Roman"/>
          <w:sz w:val="24"/>
          <w:szCs w:val="24"/>
        </w:rPr>
      </w:pPr>
      <w:r w:rsidRPr="00796FEA">
        <w:rPr>
          <w:rFonts w:ascii="宋体" w:eastAsia="宋体" w:hAnsi="宋体" w:cs="Times New Roman" w:hint="eastAsia"/>
          <w:sz w:val="24"/>
          <w:szCs w:val="24"/>
        </w:rPr>
        <w:t>2</w:t>
      </w:r>
      <w:r w:rsidRPr="00796FEA">
        <w:rPr>
          <w:rFonts w:ascii="宋体" w:eastAsia="宋体" w:hAnsi="宋体" w:cs="Times New Roman"/>
          <w:sz w:val="24"/>
          <w:szCs w:val="24"/>
        </w:rPr>
        <w:t xml:space="preserve">. </w:t>
      </w:r>
      <w:r w:rsidRPr="00796FEA">
        <w:rPr>
          <w:rFonts w:ascii="宋体" w:eastAsia="宋体" w:hAnsi="宋体" w:cs="宋体" w:hint="eastAsia"/>
          <w:sz w:val="24"/>
          <w:szCs w:val="24"/>
        </w:rPr>
        <w:t>陈振标主编：</w:t>
      </w:r>
      <w:r w:rsidRPr="00796FEA">
        <w:rPr>
          <w:rFonts w:ascii="宋体" w:eastAsia="宋体" w:hAnsi="宋体" w:cs="宋体"/>
          <w:sz w:val="24"/>
          <w:szCs w:val="24"/>
        </w:rPr>
        <w:t>《文献信息检索、分析与应用》</w:t>
      </w:r>
      <w:r w:rsidRPr="00796FEA">
        <w:rPr>
          <w:rFonts w:ascii="宋体" w:eastAsia="宋体" w:hAnsi="宋体" w:cs="宋体" w:hint="eastAsia"/>
          <w:sz w:val="24"/>
          <w:szCs w:val="24"/>
        </w:rPr>
        <w:t>，海洋出版社，2</w:t>
      </w:r>
      <w:r w:rsidRPr="00796FEA">
        <w:rPr>
          <w:rFonts w:ascii="宋体" w:eastAsia="宋体" w:hAnsi="宋体" w:cs="宋体"/>
          <w:sz w:val="24"/>
          <w:szCs w:val="24"/>
        </w:rPr>
        <w:t>016</w:t>
      </w:r>
      <w:r w:rsidRPr="00796FEA">
        <w:rPr>
          <w:rFonts w:ascii="宋体" w:eastAsia="宋体" w:hAnsi="宋体" w:cs="宋体" w:hint="eastAsia"/>
          <w:sz w:val="24"/>
          <w:szCs w:val="24"/>
        </w:rPr>
        <w:t>年版</w:t>
      </w:r>
      <w:r w:rsidRPr="00796FEA">
        <w:rPr>
          <w:rFonts w:ascii="宋体" w:eastAsia="宋体" w:hAnsi="宋体" w:cs="Times New Roman" w:hint="eastAsia"/>
          <w:sz w:val="24"/>
          <w:szCs w:val="24"/>
        </w:rPr>
        <w:t>；</w:t>
      </w:r>
    </w:p>
    <w:p w14:paraId="6F8057E2" w14:textId="77777777" w:rsidR="00796FEA" w:rsidRPr="00796FEA" w:rsidRDefault="00796FEA" w:rsidP="00796FEA">
      <w:pPr>
        <w:adjustRightInd w:val="0"/>
        <w:snapToGrid w:val="0"/>
        <w:spacing w:line="440" w:lineRule="exact"/>
        <w:ind w:firstLineChars="200" w:firstLine="480"/>
        <w:rPr>
          <w:rFonts w:ascii="宋体" w:eastAsia="宋体" w:hAnsi="宋体" w:cs="宋体"/>
          <w:sz w:val="24"/>
          <w:szCs w:val="24"/>
        </w:rPr>
      </w:pPr>
      <w:r w:rsidRPr="00796FEA">
        <w:rPr>
          <w:rFonts w:ascii="宋体" w:eastAsia="宋体" w:hAnsi="宋体" w:cs="Times New Roman" w:hint="eastAsia"/>
          <w:sz w:val="24"/>
          <w:szCs w:val="24"/>
        </w:rPr>
        <w:t>3</w:t>
      </w:r>
      <w:r w:rsidRPr="00796FEA">
        <w:rPr>
          <w:rFonts w:ascii="宋体" w:eastAsia="宋体" w:hAnsi="宋体" w:cs="Times New Roman"/>
          <w:sz w:val="24"/>
          <w:szCs w:val="24"/>
        </w:rPr>
        <w:t xml:space="preserve">. </w:t>
      </w:r>
      <w:r w:rsidRPr="00796FEA">
        <w:rPr>
          <w:rFonts w:ascii="宋体" w:eastAsia="宋体" w:hAnsi="宋体" w:cs="宋体" w:hint="eastAsia"/>
          <w:sz w:val="24"/>
          <w:szCs w:val="24"/>
        </w:rPr>
        <w:t>陈坤杰主编：《大学生科研训练教程》，</w:t>
      </w:r>
      <w:hyperlink r:id="rId55" w:tgtFrame="_blank" w:history="1">
        <w:r w:rsidRPr="00796FEA">
          <w:rPr>
            <w:rFonts w:ascii="宋体" w:eastAsia="宋体" w:hAnsi="宋体" w:cs="宋体" w:hint="eastAsia"/>
            <w:sz w:val="24"/>
            <w:szCs w:val="24"/>
          </w:rPr>
          <w:t>合肥工业大学出版社</w:t>
        </w:r>
      </w:hyperlink>
      <w:r w:rsidRPr="00796FEA">
        <w:rPr>
          <w:rFonts w:ascii="宋体" w:eastAsia="宋体" w:hAnsi="宋体" w:cs="宋体" w:hint="eastAsia"/>
          <w:sz w:val="24"/>
          <w:szCs w:val="24"/>
        </w:rPr>
        <w:t>出版，2009年版；</w:t>
      </w:r>
    </w:p>
    <w:p w14:paraId="29B87329" w14:textId="77777777" w:rsidR="00796FEA" w:rsidRPr="00796FEA" w:rsidRDefault="00796FEA" w:rsidP="00796FEA">
      <w:pPr>
        <w:spacing w:line="440" w:lineRule="exact"/>
        <w:ind w:firstLineChars="200" w:firstLine="480"/>
        <w:rPr>
          <w:rFonts w:ascii="宋体" w:eastAsia="宋体" w:hAnsi="宋体" w:cs="Times New Roman"/>
          <w:sz w:val="24"/>
          <w:szCs w:val="24"/>
        </w:rPr>
      </w:pPr>
      <w:r w:rsidRPr="00796FEA">
        <w:rPr>
          <w:rFonts w:ascii="宋体" w:eastAsia="宋体" w:hAnsi="宋体" w:cs="Times New Roman"/>
          <w:sz w:val="24"/>
          <w:szCs w:val="24"/>
        </w:rPr>
        <w:t>4</w:t>
      </w:r>
      <w:r w:rsidRPr="00796FEA">
        <w:rPr>
          <w:rFonts w:ascii="宋体" w:eastAsia="宋体" w:hAnsi="宋体" w:cs="Times New Roman" w:hint="eastAsia"/>
          <w:sz w:val="24"/>
          <w:szCs w:val="24"/>
        </w:rPr>
        <w:t xml:space="preserve">. </w:t>
      </w:r>
      <w:proofErr w:type="gramStart"/>
      <w:r w:rsidRPr="00796FEA">
        <w:rPr>
          <w:rFonts w:ascii="宋体" w:eastAsia="宋体" w:hAnsi="宋体" w:cs="Times New Roman" w:hint="eastAsia"/>
          <w:sz w:val="24"/>
          <w:szCs w:val="24"/>
        </w:rPr>
        <w:t>符雄主编</w:t>
      </w:r>
      <w:proofErr w:type="gramEnd"/>
      <w:r w:rsidRPr="00796FEA">
        <w:rPr>
          <w:rFonts w:ascii="宋体" w:eastAsia="宋体" w:hAnsi="宋体" w:cs="Times New Roman" w:hint="eastAsia"/>
          <w:sz w:val="24"/>
          <w:szCs w:val="24"/>
        </w:rPr>
        <w:t>：《药学文献检索与利用》， 科学出版社，2001年版；</w:t>
      </w:r>
    </w:p>
    <w:p w14:paraId="2426C1B0" w14:textId="77777777" w:rsidR="00796FEA" w:rsidRPr="00796FEA" w:rsidRDefault="00796FEA" w:rsidP="00796FEA">
      <w:pPr>
        <w:spacing w:line="440" w:lineRule="exact"/>
        <w:ind w:firstLineChars="200" w:firstLine="480"/>
        <w:rPr>
          <w:rFonts w:ascii="宋体" w:eastAsia="宋体" w:hAnsi="宋体" w:cs="宋体"/>
          <w:sz w:val="24"/>
          <w:szCs w:val="24"/>
        </w:rPr>
      </w:pPr>
      <w:r w:rsidRPr="00796FEA">
        <w:rPr>
          <w:rFonts w:ascii="宋体" w:eastAsia="宋体" w:hAnsi="宋体" w:cs="Times New Roman"/>
          <w:sz w:val="24"/>
          <w:szCs w:val="24"/>
        </w:rPr>
        <w:t xml:space="preserve">5. </w:t>
      </w:r>
      <w:r w:rsidRPr="00796FEA">
        <w:rPr>
          <w:rFonts w:ascii="宋体" w:eastAsia="宋体" w:hAnsi="宋体" w:cs="宋体" w:hint="eastAsia"/>
          <w:sz w:val="24"/>
          <w:szCs w:val="24"/>
        </w:rPr>
        <w:t>李振华主编：《文献检索与论文写作》，清华大学出版社，2</w:t>
      </w:r>
      <w:r w:rsidRPr="00796FEA">
        <w:rPr>
          <w:rFonts w:ascii="宋体" w:eastAsia="宋体" w:hAnsi="宋体" w:cs="宋体"/>
          <w:sz w:val="24"/>
          <w:szCs w:val="24"/>
        </w:rPr>
        <w:t>016</w:t>
      </w:r>
      <w:r w:rsidRPr="00796FEA">
        <w:rPr>
          <w:rFonts w:ascii="宋体" w:eastAsia="宋体" w:hAnsi="宋体" w:cs="宋体" w:hint="eastAsia"/>
          <w:sz w:val="24"/>
          <w:szCs w:val="24"/>
        </w:rPr>
        <w:t>年版</w:t>
      </w:r>
      <w:r w:rsidRPr="00796FEA">
        <w:rPr>
          <w:rFonts w:ascii="宋体" w:eastAsia="宋体" w:hAnsi="宋体" w:cs="Times New Roman" w:hint="eastAsia"/>
          <w:sz w:val="24"/>
          <w:szCs w:val="24"/>
        </w:rPr>
        <w:t>。</w:t>
      </w:r>
    </w:p>
    <w:p w14:paraId="7DE155F3" w14:textId="77777777" w:rsidR="00796FEA" w:rsidRPr="00796FEA" w:rsidRDefault="00796FEA" w:rsidP="00796FEA">
      <w:pPr>
        <w:spacing w:beforeLines="50" w:before="156" w:afterLines="50" w:after="156" w:line="440" w:lineRule="exact"/>
        <w:ind w:firstLineChars="200" w:firstLine="560"/>
        <w:rPr>
          <w:rFonts w:ascii="黑体" w:eastAsia="黑体" w:hAnsi="黑体" w:cs="Times New Roman"/>
          <w:sz w:val="28"/>
          <w:szCs w:val="28"/>
        </w:rPr>
      </w:pPr>
      <w:r w:rsidRPr="00796FEA">
        <w:rPr>
          <w:rFonts w:ascii="黑体" w:eastAsia="黑体" w:hAnsi="黑体" w:cs="Times New Roman" w:hint="eastAsia"/>
          <w:sz w:val="28"/>
          <w:szCs w:val="28"/>
        </w:rPr>
        <w:t>七、课程大纲制定依据</w:t>
      </w:r>
    </w:p>
    <w:p w14:paraId="48AB4363" w14:textId="77777777" w:rsidR="00796FEA" w:rsidRPr="00796FEA" w:rsidRDefault="00796FEA" w:rsidP="00796FEA">
      <w:pPr>
        <w:spacing w:line="440" w:lineRule="exact"/>
        <w:ind w:firstLineChars="200" w:firstLine="480"/>
        <w:rPr>
          <w:rFonts w:ascii="宋体" w:eastAsia="宋体" w:hAnsi="宋体" w:cs="Times New Roman"/>
          <w:sz w:val="24"/>
          <w:szCs w:val="24"/>
        </w:rPr>
      </w:pPr>
      <w:r w:rsidRPr="00796FEA">
        <w:rPr>
          <w:rFonts w:ascii="宋体" w:eastAsia="宋体" w:hAnsi="宋体" w:cs="Times New Roman" w:hint="eastAsia"/>
          <w:sz w:val="24"/>
          <w:szCs w:val="24"/>
        </w:rPr>
        <w:t>本课程大纲依据202</w:t>
      </w:r>
      <w:r w:rsidRPr="00796FEA">
        <w:rPr>
          <w:rFonts w:ascii="宋体" w:eastAsia="宋体" w:hAnsi="宋体" w:cs="Times New Roman"/>
          <w:sz w:val="24"/>
          <w:szCs w:val="24"/>
        </w:rPr>
        <w:t>3</w:t>
      </w:r>
      <w:r w:rsidRPr="00796FEA">
        <w:rPr>
          <w:rFonts w:ascii="宋体" w:eastAsia="宋体" w:hAnsi="宋体" w:cs="Times New Roman" w:hint="eastAsia"/>
          <w:sz w:val="24"/>
          <w:szCs w:val="24"/>
        </w:rPr>
        <w:t>年药物分析专业人才培养方案制定。</w:t>
      </w:r>
    </w:p>
    <w:p w14:paraId="4D0BEE85" w14:textId="77777777" w:rsidR="00C86DF9" w:rsidRDefault="00C86DF9">
      <w:pPr>
        <w:widowControl/>
        <w:jc w:val="left"/>
        <w:rPr>
          <w:rFonts w:ascii="宋体" w:eastAsia="宋体" w:hAnsi="宋体" w:cs="Times New Roman"/>
          <w:sz w:val="24"/>
          <w:szCs w:val="24"/>
        </w:rPr>
      </w:pPr>
      <w:bookmarkStart w:id="283" w:name="_Toc149662382"/>
      <w:r>
        <w:rPr>
          <w:rFonts w:ascii="宋体" w:eastAsia="宋体" w:hAnsi="宋体" w:cs="Times New Roman"/>
          <w:sz w:val="24"/>
          <w:szCs w:val="24"/>
        </w:rPr>
        <w:br w:type="page"/>
      </w:r>
    </w:p>
    <w:p w14:paraId="77C6145B" w14:textId="78F79494" w:rsidR="00D12153" w:rsidRPr="00D12153" w:rsidRDefault="00D12153" w:rsidP="00D12153">
      <w:pPr>
        <w:keepNext/>
        <w:keepLines/>
        <w:spacing w:before="340" w:after="330" w:line="578" w:lineRule="auto"/>
        <w:jc w:val="center"/>
        <w:outlineLvl w:val="0"/>
        <w:rPr>
          <w:rFonts w:ascii="Times New Roman" w:eastAsia="黑体" w:hAnsi="Times New Roman" w:cs="Times New Roman"/>
          <w:bCs/>
          <w:kern w:val="44"/>
          <w:sz w:val="36"/>
          <w:szCs w:val="44"/>
        </w:rPr>
      </w:pPr>
      <w:r w:rsidRPr="00D12153">
        <w:rPr>
          <w:rFonts w:ascii="Times New Roman" w:eastAsia="黑体" w:hAnsi="Times New Roman" w:cs="Times New Roman"/>
          <w:bCs/>
          <w:kern w:val="44"/>
          <w:sz w:val="36"/>
          <w:szCs w:val="44"/>
        </w:rPr>
        <w:lastRenderedPageBreak/>
        <w:t>《天然药物化学》课程大纲</w:t>
      </w:r>
      <w:bookmarkEnd w:id="283"/>
    </w:p>
    <w:p w14:paraId="0507D8CE" w14:textId="77777777" w:rsidR="00D12153" w:rsidRPr="00D12153" w:rsidRDefault="00D12153" w:rsidP="00D12153">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31"/>
        <w:gridCol w:w="2755"/>
        <w:gridCol w:w="1528"/>
        <w:gridCol w:w="2863"/>
      </w:tblGrid>
      <w:tr w:rsidR="00D12153" w:rsidRPr="00D12153" w14:paraId="7E357FD3" w14:textId="77777777" w:rsidTr="00813A33">
        <w:trPr>
          <w:trHeight w:val="886"/>
          <w:jc w:val="center"/>
        </w:trPr>
        <w:tc>
          <w:tcPr>
            <w:tcW w:w="1631" w:type="dxa"/>
            <w:vAlign w:val="center"/>
          </w:tcPr>
          <w:p w14:paraId="19150020"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课程名称</w:t>
            </w:r>
          </w:p>
        </w:tc>
        <w:tc>
          <w:tcPr>
            <w:tcW w:w="2755" w:type="dxa"/>
            <w:vAlign w:val="center"/>
          </w:tcPr>
          <w:p w14:paraId="55B28252"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天然药物化学</w:t>
            </w:r>
          </w:p>
        </w:tc>
        <w:tc>
          <w:tcPr>
            <w:tcW w:w="1528" w:type="dxa"/>
            <w:vAlign w:val="center"/>
          </w:tcPr>
          <w:p w14:paraId="3C3E748F"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课程代码</w:t>
            </w:r>
          </w:p>
        </w:tc>
        <w:tc>
          <w:tcPr>
            <w:tcW w:w="2863" w:type="dxa"/>
            <w:vAlign w:val="center"/>
          </w:tcPr>
          <w:p w14:paraId="430A5396"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0714B03</w:t>
            </w:r>
          </w:p>
        </w:tc>
      </w:tr>
      <w:tr w:rsidR="00D12153" w:rsidRPr="00D12153" w14:paraId="05188F35" w14:textId="77777777" w:rsidTr="00813A33">
        <w:trPr>
          <w:trHeight w:val="829"/>
          <w:jc w:val="center"/>
        </w:trPr>
        <w:tc>
          <w:tcPr>
            <w:tcW w:w="1631" w:type="dxa"/>
            <w:vAlign w:val="center"/>
          </w:tcPr>
          <w:p w14:paraId="6575B5CA"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课程类别</w:t>
            </w:r>
          </w:p>
        </w:tc>
        <w:tc>
          <w:tcPr>
            <w:tcW w:w="2755" w:type="dxa"/>
            <w:vAlign w:val="center"/>
          </w:tcPr>
          <w:p w14:paraId="6FCBF533"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专业教育选修课</w:t>
            </w:r>
          </w:p>
        </w:tc>
        <w:tc>
          <w:tcPr>
            <w:tcW w:w="1528" w:type="dxa"/>
            <w:vAlign w:val="center"/>
          </w:tcPr>
          <w:p w14:paraId="7E8A982A"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学时</w:t>
            </w:r>
          </w:p>
          <w:p w14:paraId="25FC802A"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w:t>
            </w:r>
            <w:r w:rsidRPr="00D12153">
              <w:rPr>
                <w:rFonts w:ascii="Times New Roman" w:eastAsia="宋体" w:hAnsi="Times New Roman" w:cs="Times New Roman"/>
                <w:color w:val="000000"/>
                <w:sz w:val="24"/>
                <w:szCs w:val="24"/>
              </w:rPr>
              <w:t>学分</w:t>
            </w:r>
          </w:p>
        </w:tc>
        <w:tc>
          <w:tcPr>
            <w:tcW w:w="2863" w:type="dxa"/>
            <w:vAlign w:val="center"/>
          </w:tcPr>
          <w:p w14:paraId="62CD9D4D"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32</w:t>
            </w:r>
            <w:r w:rsidRPr="00D12153">
              <w:rPr>
                <w:rFonts w:ascii="Times New Roman" w:eastAsia="宋体" w:hAnsi="Times New Roman" w:cs="Times New Roman"/>
                <w:color w:val="000000"/>
                <w:sz w:val="24"/>
                <w:szCs w:val="24"/>
              </w:rPr>
              <w:t>学时</w:t>
            </w:r>
            <w:r w:rsidRPr="00D12153">
              <w:rPr>
                <w:rFonts w:ascii="Times New Roman" w:eastAsia="宋体" w:hAnsi="Times New Roman" w:cs="Times New Roman"/>
                <w:color w:val="000000"/>
                <w:sz w:val="24"/>
                <w:szCs w:val="24"/>
              </w:rPr>
              <w:t>/2</w:t>
            </w:r>
            <w:r w:rsidRPr="00D12153">
              <w:rPr>
                <w:rFonts w:ascii="Times New Roman" w:eastAsia="宋体" w:hAnsi="Times New Roman" w:cs="Times New Roman"/>
                <w:color w:val="000000"/>
                <w:sz w:val="24"/>
                <w:szCs w:val="24"/>
              </w:rPr>
              <w:t>学分</w:t>
            </w:r>
          </w:p>
        </w:tc>
      </w:tr>
      <w:tr w:rsidR="00D12153" w:rsidRPr="00D12153" w14:paraId="199B67A0" w14:textId="77777777" w:rsidTr="00813A33">
        <w:trPr>
          <w:trHeight w:val="811"/>
          <w:jc w:val="center"/>
        </w:trPr>
        <w:tc>
          <w:tcPr>
            <w:tcW w:w="1631" w:type="dxa"/>
            <w:vAlign w:val="center"/>
          </w:tcPr>
          <w:p w14:paraId="1A3A9DE0"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开课单位</w:t>
            </w:r>
          </w:p>
        </w:tc>
        <w:tc>
          <w:tcPr>
            <w:tcW w:w="2755" w:type="dxa"/>
            <w:vAlign w:val="center"/>
          </w:tcPr>
          <w:p w14:paraId="55C76800"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化工学院</w:t>
            </w:r>
          </w:p>
        </w:tc>
        <w:tc>
          <w:tcPr>
            <w:tcW w:w="1528" w:type="dxa"/>
            <w:vAlign w:val="center"/>
          </w:tcPr>
          <w:p w14:paraId="5DEDA8BB"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适用专业</w:t>
            </w:r>
          </w:p>
        </w:tc>
        <w:tc>
          <w:tcPr>
            <w:tcW w:w="2863" w:type="dxa"/>
            <w:vAlign w:val="center"/>
          </w:tcPr>
          <w:p w14:paraId="016EFAE2"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药物分析</w:t>
            </w:r>
          </w:p>
        </w:tc>
      </w:tr>
      <w:tr w:rsidR="00D12153" w:rsidRPr="00D12153" w14:paraId="72CFF4B3" w14:textId="77777777" w:rsidTr="00813A33">
        <w:trPr>
          <w:trHeight w:val="811"/>
          <w:jc w:val="center"/>
        </w:trPr>
        <w:tc>
          <w:tcPr>
            <w:tcW w:w="1631" w:type="dxa"/>
            <w:vAlign w:val="center"/>
          </w:tcPr>
          <w:p w14:paraId="79E32F74"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课程负责人</w:t>
            </w:r>
          </w:p>
        </w:tc>
        <w:tc>
          <w:tcPr>
            <w:tcW w:w="7146" w:type="dxa"/>
            <w:gridSpan w:val="3"/>
            <w:vAlign w:val="center"/>
          </w:tcPr>
          <w:p w14:paraId="1BA061AD"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乔莉</w:t>
            </w:r>
          </w:p>
        </w:tc>
      </w:tr>
      <w:tr w:rsidR="00D12153" w:rsidRPr="00D12153" w14:paraId="12F8FA10" w14:textId="77777777" w:rsidTr="00813A33">
        <w:trPr>
          <w:trHeight w:val="836"/>
          <w:jc w:val="center"/>
        </w:trPr>
        <w:tc>
          <w:tcPr>
            <w:tcW w:w="1631" w:type="dxa"/>
            <w:vAlign w:val="center"/>
          </w:tcPr>
          <w:p w14:paraId="2EEB627A"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大纲撰写人</w:t>
            </w:r>
          </w:p>
        </w:tc>
        <w:tc>
          <w:tcPr>
            <w:tcW w:w="2755" w:type="dxa"/>
            <w:vAlign w:val="center"/>
          </w:tcPr>
          <w:p w14:paraId="172DA815"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乔莉</w:t>
            </w:r>
          </w:p>
        </w:tc>
        <w:tc>
          <w:tcPr>
            <w:tcW w:w="1528" w:type="dxa"/>
            <w:vAlign w:val="center"/>
          </w:tcPr>
          <w:p w14:paraId="4D95E53A"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大纲审核人</w:t>
            </w:r>
          </w:p>
        </w:tc>
        <w:tc>
          <w:tcPr>
            <w:tcW w:w="2863" w:type="dxa"/>
            <w:vAlign w:val="center"/>
          </w:tcPr>
          <w:p w14:paraId="0A87B35F"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proofErr w:type="gramStart"/>
            <w:r w:rsidRPr="00D12153">
              <w:rPr>
                <w:rFonts w:ascii="Times New Roman" w:eastAsia="宋体" w:hAnsi="Times New Roman" w:cs="Times New Roman"/>
                <w:color w:val="000000"/>
                <w:sz w:val="24"/>
                <w:szCs w:val="24"/>
              </w:rPr>
              <w:t>冯</w:t>
            </w:r>
            <w:proofErr w:type="gramEnd"/>
            <w:r w:rsidRPr="00D12153">
              <w:rPr>
                <w:rFonts w:ascii="Times New Roman" w:eastAsia="宋体" w:hAnsi="Times New Roman" w:cs="Times New Roman"/>
                <w:color w:val="000000"/>
                <w:sz w:val="24"/>
                <w:szCs w:val="24"/>
              </w:rPr>
              <w:t>小龙</w:t>
            </w:r>
          </w:p>
        </w:tc>
      </w:tr>
      <w:tr w:rsidR="00D12153" w:rsidRPr="00D12153" w14:paraId="2BBF8F02" w14:textId="77777777" w:rsidTr="00813A33">
        <w:trPr>
          <w:trHeight w:val="848"/>
          <w:jc w:val="center"/>
        </w:trPr>
        <w:tc>
          <w:tcPr>
            <w:tcW w:w="1631" w:type="dxa"/>
            <w:vAlign w:val="center"/>
          </w:tcPr>
          <w:p w14:paraId="749DF447"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先修课程</w:t>
            </w:r>
          </w:p>
        </w:tc>
        <w:tc>
          <w:tcPr>
            <w:tcW w:w="7146" w:type="dxa"/>
            <w:gridSpan w:val="3"/>
            <w:vAlign w:val="center"/>
          </w:tcPr>
          <w:p w14:paraId="6AB13809"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《有机化学》、《分析化学》、《波谱解析》</w:t>
            </w:r>
          </w:p>
        </w:tc>
      </w:tr>
      <w:tr w:rsidR="00D12153" w:rsidRPr="00D12153" w14:paraId="792D1DC3" w14:textId="77777777" w:rsidTr="00813A33">
        <w:trPr>
          <w:trHeight w:val="848"/>
          <w:jc w:val="center"/>
        </w:trPr>
        <w:tc>
          <w:tcPr>
            <w:tcW w:w="1631" w:type="dxa"/>
            <w:vAlign w:val="center"/>
          </w:tcPr>
          <w:p w14:paraId="6EDDFC1E"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课程网址</w:t>
            </w:r>
          </w:p>
        </w:tc>
        <w:tc>
          <w:tcPr>
            <w:tcW w:w="7146" w:type="dxa"/>
            <w:gridSpan w:val="3"/>
            <w:vAlign w:val="center"/>
          </w:tcPr>
          <w:p w14:paraId="551DF42C" w14:textId="77777777" w:rsidR="00D12153" w:rsidRPr="00D12153" w:rsidRDefault="00D12153" w:rsidP="00D12153">
            <w:pPr>
              <w:spacing w:line="440" w:lineRule="exact"/>
              <w:rPr>
                <w:rFonts w:ascii="Times New Roman" w:eastAsia="宋体" w:hAnsi="Times New Roman" w:cs="Times New Roman"/>
                <w:color w:val="000000"/>
                <w:sz w:val="24"/>
                <w:szCs w:val="24"/>
              </w:rPr>
            </w:pPr>
          </w:p>
        </w:tc>
      </w:tr>
    </w:tbl>
    <w:p w14:paraId="52DBC39D" w14:textId="77777777" w:rsidR="00D12153" w:rsidRPr="00D12153" w:rsidRDefault="00D12153" w:rsidP="00D12153">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t>二、课程学习目标及与毕业要求的对应关系</w:t>
      </w:r>
    </w:p>
    <w:p w14:paraId="53EC4EF4" w14:textId="77777777" w:rsidR="00D12153" w:rsidRPr="00D12153" w:rsidRDefault="00D12153" w:rsidP="00D12153">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t>（一）课程学习目标</w:t>
      </w:r>
    </w:p>
    <w:p w14:paraId="2B9DB637"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通过本课程的学习，使学生达到以下目标：</w:t>
      </w:r>
    </w:p>
    <w:p w14:paraId="5C643212"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掌握与药物分析学相关的基本理论与方法，掌握药物分析学各学科的基础知识、基本理论和实验技能，具备药物分析学相关方面的知识与能力。</w:t>
      </w:r>
      <w:r w:rsidRPr="00D12153">
        <w:rPr>
          <w:rFonts w:ascii="Times New Roman" w:eastAsia="宋体" w:hAnsi="Times New Roman" w:cs="Times New Roman"/>
          <w:b/>
          <w:color w:val="000000"/>
          <w:sz w:val="24"/>
          <w:szCs w:val="24"/>
        </w:rPr>
        <w:t>【毕业要求</w:t>
      </w:r>
      <w:r w:rsidRPr="00D12153">
        <w:rPr>
          <w:rFonts w:ascii="Times New Roman" w:eastAsia="宋体" w:hAnsi="Times New Roman" w:cs="Times New Roman"/>
          <w:b/>
          <w:color w:val="000000"/>
          <w:sz w:val="24"/>
          <w:szCs w:val="24"/>
        </w:rPr>
        <w:t xml:space="preserve">1 </w:t>
      </w:r>
      <w:r w:rsidRPr="00D12153">
        <w:rPr>
          <w:rFonts w:ascii="Times New Roman" w:eastAsia="宋体" w:hAnsi="Times New Roman" w:cs="Times New Roman"/>
          <w:b/>
          <w:color w:val="000000"/>
          <w:sz w:val="24"/>
          <w:szCs w:val="24"/>
        </w:rPr>
        <w:t>药学知识】</w:t>
      </w:r>
    </w:p>
    <w:p w14:paraId="0AE1D16E"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能够理解和评价药学实践对环境、社会可持续发展的影响。</w:t>
      </w:r>
      <w:r w:rsidRPr="00D12153">
        <w:rPr>
          <w:rFonts w:ascii="Times New Roman" w:eastAsia="宋体" w:hAnsi="Times New Roman" w:cs="Times New Roman"/>
          <w:b/>
          <w:color w:val="000000"/>
          <w:sz w:val="24"/>
          <w:szCs w:val="24"/>
        </w:rPr>
        <w:t>【毕业要求</w:t>
      </w:r>
      <w:r w:rsidRPr="00D12153">
        <w:rPr>
          <w:rFonts w:ascii="Times New Roman" w:eastAsia="宋体" w:hAnsi="Times New Roman" w:cs="Times New Roman"/>
          <w:b/>
          <w:color w:val="000000"/>
          <w:sz w:val="24"/>
          <w:szCs w:val="24"/>
        </w:rPr>
        <w:t xml:space="preserve">7 </w:t>
      </w:r>
      <w:r w:rsidRPr="00D12153">
        <w:rPr>
          <w:rFonts w:ascii="Times New Roman" w:eastAsia="宋体" w:hAnsi="Times New Roman" w:cs="Times New Roman"/>
          <w:b/>
          <w:color w:val="000000"/>
          <w:sz w:val="24"/>
          <w:szCs w:val="24"/>
        </w:rPr>
        <w:t>环境和可持续发展】</w:t>
      </w:r>
    </w:p>
    <w:p w14:paraId="142C2A3A"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3. </w:t>
      </w:r>
      <w:r w:rsidRPr="00D12153">
        <w:rPr>
          <w:rFonts w:ascii="Times New Roman" w:eastAsia="宋体" w:hAnsi="Times New Roman" w:cs="Times New Roman"/>
          <w:color w:val="000000"/>
          <w:sz w:val="24"/>
          <w:szCs w:val="24"/>
        </w:rPr>
        <w:t>具有自主学习和终身学习的意识，有不断学习和适应发展的能力。</w:t>
      </w:r>
      <w:r w:rsidRPr="00D12153">
        <w:rPr>
          <w:rFonts w:ascii="Times New Roman" w:eastAsia="宋体" w:hAnsi="Times New Roman" w:cs="Times New Roman"/>
          <w:b/>
          <w:color w:val="000000"/>
          <w:sz w:val="24"/>
          <w:szCs w:val="24"/>
        </w:rPr>
        <w:t>【毕业要求</w:t>
      </w:r>
      <w:r w:rsidRPr="00D12153">
        <w:rPr>
          <w:rFonts w:ascii="Times New Roman" w:eastAsia="宋体" w:hAnsi="Times New Roman" w:cs="Times New Roman"/>
          <w:b/>
          <w:color w:val="000000"/>
          <w:sz w:val="24"/>
          <w:szCs w:val="24"/>
        </w:rPr>
        <w:t xml:space="preserve">12 </w:t>
      </w:r>
      <w:r w:rsidRPr="00D12153">
        <w:rPr>
          <w:rFonts w:ascii="Times New Roman" w:eastAsia="宋体" w:hAnsi="Times New Roman" w:cs="Times New Roman"/>
          <w:b/>
          <w:sz w:val="24"/>
          <w:szCs w:val="32"/>
        </w:rPr>
        <w:t>终身学习</w:t>
      </w:r>
      <w:r w:rsidRPr="00D12153">
        <w:rPr>
          <w:rFonts w:ascii="Times New Roman" w:eastAsia="宋体" w:hAnsi="Times New Roman" w:cs="Times New Roman"/>
          <w:b/>
          <w:color w:val="000000"/>
          <w:sz w:val="24"/>
          <w:szCs w:val="24"/>
        </w:rPr>
        <w:t>】</w:t>
      </w:r>
    </w:p>
    <w:p w14:paraId="7D5CAE8F" w14:textId="77777777" w:rsidR="00D12153" w:rsidRPr="00D12153" w:rsidRDefault="00D12153" w:rsidP="00D12153">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6"/>
        <w:gridCol w:w="5534"/>
        <w:gridCol w:w="1959"/>
      </w:tblGrid>
      <w:tr w:rsidR="00D12153" w:rsidRPr="00D12153" w14:paraId="2AFB095F" w14:textId="77777777" w:rsidTr="00813A33">
        <w:trPr>
          <w:trHeight w:val="815"/>
          <w:jc w:val="center"/>
        </w:trPr>
        <w:tc>
          <w:tcPr>
            <w:tcW w:w="1676" w:type="dxa"/>
            <w:vAlign w:val="center"/>
          </w:tcPr>
          <w:p w14:paraId="67A1ACB1" w14:textId="77777777" w:rsidR="00D12153" w:rsidRPr="00D12153" w:rsidRDefault="00D12153" w:rsidP="00D12153">
            <w:pPr>
              <w:spacing w:line="440" w:lineRule="exact"/>
              <w:jc w:val="center"/>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lastRenderedPageBreak/>
              <w:t>毕业要求</w:t>
            </w:r>
          </w:p>
        </w:tc>
        <w:tc>
          <w:tcPr>
            <w:tcW w:w="5534" w:type="dxa"/>
            <w:vAlign w:val="center"/>
          </w:tcPr>
          <w:p w14:paraId="406AEF2C" w14:textId="77777777" w:rsidR="00D12153" w:rsidRPr="00D12153" w:rsidRDefault="00D12153" w:rsidP="00D12153">
            <w:pPr>
              <w:spacing w:line="440" w:lineRule="exact"/>
              <w:jc w:val="center"/>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毕业要求指标点</w:t>
            </w:r>
          </w:p>
        </w:tc>
        <w:tc>
          <w:tcPr>
            <w:tcW w:w="1959" w:type="dxa"/>
            <w:vAlign w:val="center"/>
          </w:tcPr>
          <w:p w14:paraId="616641E6" w14:textId="77777777" w:rsidR="00D12153" w:rsidRPr="00D12153" w:rsidRDefault="00D12153" w:rsidP="00D12153">
            <w:pPr>
              <w:spacing w:line="440" w:lineRule="exact"/>
              <w:jc w:val="center"/>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课程目标</w:t>
            </w:r>
          </w:p>
        </w:tc>
      </w:tr>
      <w:tr w:rsidR="00D12153" w:rsidRPr="00D12153" w14:paraId="766D4EDC" w14:textId="77777777" w:rsidTr="00813A33">
        <w:trPr>
          <w:jc w:val="center"/>
        </w:trPr>
        <w:tc>
          <w:tcPr>
            <w:tcW w:w="1676" w:type="dxa"/>
            <w:vAlign w:val="center"/>
          </w:tcPr>
          <w:p w14:paraId="7BA33BCD"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1.</w:t>
            </w:r>
            <w:r w:rsidRPr="00D12153">
              <w:rPr>
                <w:rFonts w:ascii="Times New Roman" w:eastAsia="宋体" w:hAnsi="Times New Roman" w:cs="Times New Roman"/>
                <w:color w:val="000000"/>
                <w:sz w:val="24"/>
                <w:szCs w:val="24"/>
              </w:rPr>
              <w:t>药学知识</w:t>
            </w:r>
          </w:p>
        </w:tc>
        <w:tc>
          <w:tcPr>
            <w:tcW w:w="5534" w:type="dxa"/>
            <w:vAlign w:val="center"/>
          </w:tcPr>
          <w:p w14:paraId="403A33D0" w14:textId="77777777" w:rsidR="00D12153" w:rsidRPr="00D12153" w:rsidRDefault="00D12153" w:rsidP="00D12153">
            <w:pPr>
              <w:spacing w:line="440" w:lineRule="exact"/>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1.4 </w:t>
            </w:r>
            <w:r w:rsidRPr="00D12153">
              <w:rPr>
                <w:rFonts w:ascii="Times New Roman" w:eastAsia="宋体" w:hAnsi="Times New Roman" w:cs="Times New Roman"/>
                <w:color w:val="000000"/>
                <w:sz w:val="24"/>
                <w:szCs w:val="24"/>
              </w:rPr>
              <w:t>熟练掌握一门外语，掌握数据处理、文献检索及获取现代信息的基本方法。</w:t>
            </w:r>
          </w:p>
        </w:tc>
        <w:tc>
          <w:tcPr>
            <w:tcW w:w="1959" w:type="dxa"/>
            <w:vAlign w:val="center"/>
          </w:tcPr>
          <w:p w14:paraId="13E294A6"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课程目标</w:t>
            </w:r>
            <w:r w:rsidRPr="00D12153">
              <w:rPr>
                <w:rFonts w:ascii="Times New Roman" w:eastAsia="宋体" w:hAnsi="Times New Roman" w:cs="Times New Roman"/>
                <w:color w:val="000000"/>
                <w:sz w:val="24"/>
                <w:szCs w:val="24"/>
              </w:rPr>
              <w:t>1</w:t>
            </w:r>
          </w:p>
        </w:tc>
      </w:tr>
      <w:tr w:rsidR="00D12153" w:rsidRPr="00D12153" w14:paraId="446CBDF6" w14:textId="77777777" w:rsidTr="00813A33">
        <w:trPr>
          <w:jc w:val="center"/>
        </w:trPr>
        <w:tc>
          <w:tcPr>
            <w:tcW w:w="1676" w:type="dxa"/>
            <w:vAlign w:val="center"/>
          </w:tcPr>
          <w:p w14:paraId="5A7754B7"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7.</w:t>
            </w:r>
            <w:r w:rsidRPr="00D12153">
              <w:rPr>
                <w:rFonts w:ascii="Times New Roman" w:eastAsia="宋体" w:hAnsi="Times New Roman" w:cs="Times New Roman"/>
                <w:color w:val="000000"/>
                <w:sz w:val="24"/>
                <w:szCs w:val="24"/>
              </w:rPr>
              <w:t>环境和可持续发展</w:t>
            </w:r>
          </w:p>
        </w:tc>
        <w:tc>
          <w:tcPr>
            <w:tcW w:w="5534" w:type="dxa"/>
            <w:vAlign w:val="center"/>
          </w:tcPr>
          <w:p w14:paraId="2EF9E7FE" w14:textId="77777777" w:rsidR="00D12153" w:rsidRPr="00D12153" w:rsidRDefault="00D12153" w:rsidP="00D12153">
            <w:pPr>
              <w:spacing w:line="440" w:lineRule="exact"/>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7.1 </w:t>
            </w:r>
            <w:r w:rsidRPr="00D12153">
              <w:rPr>
                <w:rFonts w:ascii="Times New Roman" w:eastAsia="宋体" w:hAnsi="Times New Roman" w:cs="Times New Roman"/>
                <w:color w:val="000000"/>
                <w:sz w:val="24"/>
                <w:szCs w:val="24"/>
              </w:rPr>
              <w:t>熟悉药学行业中有关环境、社会可持续发展的相关标准、政策与法规，理解相关政策对环境、社会可持续发展的影响；</w:t>
            </w:r>
          </w:p>
        </w:tc>
        <w:tc>
          <w:tcPr>
            <w:tcW w:w="1959" w:type="dxa"/>
            <w:vAlign w:val="center"/>
          </w:tcPr>
          <w:p w14:paraId="4445CA3F"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课程目标</w:t>
            </w:r>
            <w:r w:rsidRPr="00D12153">
              <w:rPr>
                <w:rFonts w:ascii="Times New Roman" w:eastAsia="宋体" w:hAnsi="Times New Roman" w:cs="Times New Roman"/>
                <w:color w:val="000000"/>
                <w:sz w:val="24"/>
                <w:szCs w:val="24"/>
              </w:rPr>
              <w:t>2</w:t>
            </w:r>
          </w:p>
        </w:tc>
      </w:tr>
      <w:tr w:rsidR="00D12153" w:rsidRPr="00D12153" w14:paraId="0F4DA76C" w14:textId="77777777" w:rsidTr="00813A33">
        <w:trPr>
          <w:jc w:val="center"/>
        </w:trPr>
        <w:tc>
          <w:tcPr>
            <w:tcW w:w="1676" w:type="dxa"/>
            <w:vAlign w:val="center"/>
          </w:tcPr>
          <w:p w14:paraId="1AC04F80"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12.</w:t>
            </w:r>
            <w:r w:rsidRPr="00D12153">
              <w:rPr>
                <w:rFonts w:ascii="Times New Roman" w:eastAsia="宋体" w:hAnsi="Times New Roman" w:cs="Times New Roman"/>
                <w:color w:val="000000"/>
                <w:sz w:val="24"/>
                <w:szCs w:val="24"/>
              </w:rPr>
              <w:t>终身学习</w:t>
            </w:r>
          </w:p>
        </w:tc>
        <w:tc>
          <w:tcPr>
            <w:tcW w:w="5534" w:type="dxa"/>
            <w:vAlign w:val="center"/>
          </w:tcPr>
          <w:p w14:paraId="5EB69FC4" w14:textId="77777777" w:rsidR="00D12153" w:rsidRPr="00D12153" w:rsidRDefault="00D12153" w:rsidP="00D12153">
            <w:pPr>
              <w:spacing w:line="440" w:lineRule="exact"/>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12.2 </w:t>
            </w:r>
            <w:r w:rsidRPr="00D12153">
              <w:rPr>
                <w:rFonts w:ascii="Times New Roman" w:eastAsia="宋体" w:hAnsi="Times New Roman" w:cs="Times New Roman"/>
                <w:color w:val="000000"/>
                <w:sz w:val="24"/>
                <w:szCs w:val="24"/>
              </w:rPr>
              <w:t>了解专业现状和发展趋势，正确认识终身学习的重要性，具有不断探索新知，追求卓越的动力。</w:t>
            </w:r>
          </w:p>
        </w:tc>
        <w:tc>
          <w:tcPr>
            <w:tcW w:w="1959" w:type="dxa"/>
            <w:vAlign w:val="center"/>
          </w:tcPr>
          <w:p w14:paraId="1F1BF9DF"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课程目标</w:t>
            </w:r>
            <w:r w:rsidRPr="00D12153">
              <w:rPr>
                <w:rFonts w:ascii="Times New Roman" w:eastAsia="宋体" w:hAnsi="Times New Roman" w:cs="Times New Roman"/>
                <w:color w:val="000000"/>
                <w:sz w:val="24"/>
                <w:szCs w:val="24"/>
              </w:rPr>
              <w:t>3</w:t>
            </w:r>
          </w:p>
        </w:tc>
      </w:tr>
    </w:tbl>
    <w:p w14:paraId="311C91AF" w14:textId="77777777" w:rsidR="00D12153" w:rsidRPr="00D12153" w:rsidRDefault="00D12153" w:rsidP="00D12153">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t>三、课程学习内容及与课程学习目标的对应关系</w:t>
      </w:r>
    </w:p>
    <w:p w14:paraId="300DA9F0" w14:textId="77777777" w:rsidR="00D12153" w:rsidRPr="00D12153" w:rsidRDefault="00D12153" w:rsidP="00D12153">
      <w:pPr>
        <w:spacing w:beforeLines="50" w:before="156" w:afterLines="50" w:after="156" w:line="440" w:lineRule="exact"/>
        <w:ind w:firstLineChars="200" w:firstLine="560"/>
        <w:rPr>
          <w:rFonts w:ascii="Times New Roman" w:eastAsia="黑体" w:hAnsi="Times New Roman" w:cs="Times New Roman"/>
          <w:bCs/>
          <w:color w:val="000000"/>
          <w:sz w:val="28"/>
          <w:szCs w:val="28"/>
        </w:rPr>
      </w:pPr>
      <w:r w:rsidRPr="00D12153">
        <w:rPr>
          <w:rFonts w:ascii="Times New Roman" w:eastAsia="黑体" w:hAnsi="Times New Roman" w:cs="Times New Roman"/>
          <w:bCs/>
          <w:color w:val="000000"/>
          <w:sz w:val="28"/>
          <w:szCs w:val="28"/>
        </w:rPr>
        <w:t>（一）课程学习内容</w:t>
      </w:r>
    </w:p>
    <w:p w14:paraId="173D1AFB" w14:textId="77777777" w:rsidR="00D12153" w:rsidRPr="00D12153" w:rsidRDefault="00D12153" w:rsidP="00D12153">
      <w:pPr>
        <w:spacing w:beforeLines="50" w:before="156" w:afterLines="50" w:after="156" w:line="440" w:lineRule="exact"/>
        <w:ind w:firstLineChars="200" w:firstLine="560"/>
        <w:jc w:val="center"/>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t>第一章</w:t>
      </w:r>
      <w:r w:rsidRPr="00D12153">
        <w:rPr>
          <w:rFonts w:ascii="Times New Roman" w:eastAsia="黑体" w:hAnsi="Times New Roman" w:cs="Times New Roman"/>
          <w:color w:val="000000"/>
          <w:sz w:val="28"/>
          <w:szCs w:val="28"/>
        </w:rPr>
        <w:t xml:space="preserve">  </w:t>
      </w:r>
      <w:r w:rsidRPr="00D12153">
        <w:rPr>
          <w:rFonts w:ascii="Times New Roman" w:eastAsia="黑体" w:hAnsi="Times New Roman" w:cs="Times New Roman"/>
          <w:color w:val="000000"/>
          <w:sz w:val="28"/>
          <w:szCs w:val="28"/>
        </w:rPr>
        <w:t>绪论</w:t>
      </w:r>
    </w:p>
    <w:p w14:paraId="1E40CAE7"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【学习目标】</w:t>
      </w:r>
    </w:p>
    <w:p w14:paraId="36B4D0D7" w14:textId="77777777" w:rsidR="00D12153" w:rsidRPr="00D12153" w:rsidRDefault="00D12153" w:rsidP="00D12153">
      <w:pPr>
        <w:spacing w:line="440" w:lineRule="exact"/>
        <w:ind w:firstLineChars="200" w:firstLine="480"/>
        <w:rPr>
          <w:rFonts w:ascii="Times New Roman" w:eastAsia="宋体" w:hAnsi="Times New Roman" w:cs="Times New Roman"/>
          <w:color w:val="000000"/>
          <w:kern w:val="0"/>
          <w:sz w:val="24"/>
          <w:szCs w:val="24"/>
        </w:rPr>
      </w:pPr>
      <w:r w:rsidRPr="00D12153">
        <w:rPr>
          <w:rFonts w:ascii="Times New Roman" w:eastAsia="宋体" w:hAnsi="Times New Roman" w:cs="Times New Roman"/>
          <w:color w:val="000000"/>
          <w:kern w:val="0"/>
          <w:sz w:val="24"/>
          <w:szCs w:val="24"/>
        </w:rPr>
        <w:t xml:space="preserve">1. </w:t>
      </w:r>
      <w:r w:rsidRPr="00D12153">
        <w:rPr>
          <w:rFonts w:ascii="Times New Roman" w:eastAsia="宋体" w:hAnsi="Times New Roman" w:cs="Times New Roman"/>
          <w:color w:val="000000"/>
          <w:kern w:val="0"/>
          <w:sz w:val="24"/>
          <w:szCs w:val="24"/>
        </w:rPr>
        <w:t>认知类目标：</w:t>
      </w:r>
      <w:r w:rsidRPr="00D12153">
        <w:rPr>
          <w:rFonts w:ascii="Times New Roman" w:eastAsia="宋体" w:hAnsi="Times New Roman" w:cs="Times New Roman"/>
          <w:color w:val="000000"/>
          <w:sz w:val="24"/>
          <w:szCs w:val="24"/>
        </w:rPr>
        <w:t>掌握天然药物化学研究内容和天然药物化学成分提取分离的原理；</w:t>
      </w:r>
    </w:p>
    <w:p w14:paraId="51BCA88A" w14:textId="77777777" w:rsidR="00D12153" w:rsidRPr="00D12153" w:rsidRDefault="00D12153" w:rsidP="00D12153">
      <w:pPr>
        <w:widowControl/>
        <w:spacing w:line="440" w:lineRule="exact"/>
        <w:ind w:firstLineChars="200" w:firstLine="480"/>
        <w:jc w:val="left"/>
        <w:rPr>
          <w:rFonts w:ascii="Times New Roman" w:eastAsia="宋体" w:hAnsi="Times New Roman" w:cs="Times New Roman"/>
          <w:color w:val="000000"/>
          <w:kern w:val="0"/>
          <w:sz w:val="24"/>
          <w:szCs w:val="24"/>
        </w:rPr>
      </w:pPr>
      <w:r w:rsidRPr="00D12153">
        <w:rPr>
          <w:rFonts w:ascii="Times New Roman" w:eastAsia="宋体" w:hAnsi="Times New Roman" w:cs="Times New Roman"/>
          <w:color w:val="000000"/>
          <w:kern w:val="0"/>
          <w:sz w:val="24"/>
          <w:szCs w:val="24"/>
        </w:rPr>
        <w:t xml:space="preserve">2. </w:t>
      </w:r>
      <w:r w:rsidRPr="00D12153">
        <w:rPr>
          <w:rFonts w:ascii="Times New Roman" w:eastAsia="宋体" w:hAnsi="Times New Roman" w:cs="Times New Roman"/>
          <w:color w:val="000000"/>
          <w:kern w:val="0"/>
          <w:sz w:val="24"/>
          <w:szCs w:val="24"/>
        </w:rPr>
        <w:t>过程与方法类目标：</w:t>
      </w:r>
      <w:r w:rsidRPr="00D12153">
        <w:rPr>
          <w:rFonts w:ascii="Times New Roman" w:eastAsia="宋体" w:hAnsi="Times New Roman" w:cs="Times New Roman"/>
          <w:color w:val="000000"/>
          <w:sz w:val="24"/>
          <w:szCs w:val="24"/>
        </w:rPr>
        <w:t>掌握天然药物化学成分结构研究的主要程序及方法；天然药物化学研究内容和天然药物化学成分提取分离的方法；</w:t>
      </w:r>
    </w:p>
    <w:p w14:paraId="4D9A8734" w14:textId="77777777" w:rsidR="00D12153" w:rsidRPr="00D12153" w:rsidRDefault="00D12153" w:rsidP="00D12153">
      <w:pPr>
        <w:spacing w:line="440" w:lineRule="exact"/>
        <w:ind w:firstLineChars="200" w:firstLine="480"/>
        <w:rPr>
          <w:rFonts w:ascii="Times New Roman" w:eastAsia="宋体" w:hAnsi="Times New Roman" w:cs="Times New Roman"/>
          <w:color w:val="000000"/>
          <w:kern w:val="0"/>
          <w:sz w:val="24"/>
          <w:szCs w:val="24"/>
        </w:rPr>
      </w:pPr>
      <w:r w:rsidRPr="00D12153">
        <w:rPr>
          <w:rFonts w:ascii="Times New Roman" w:eastAsia="宋体" w:hAnsi="Times New Roman" w:cs="Times New Roman"/>
          <w:color w:val="000000"/>
          <w:kern w:val="0"/>
          <w:sz w:val="24"/>
          <w:szCs w:val="24"/>
        </w:rPr>
        <w:t xml:space="preserve">3. </w:t>
      </w:r>
      <w:r w:rsidRPr="00D12153">
        <w:rPr>
          <w:rFonts w:ascii="Times New Roman" w:eastAsia="宋体" w:hAnsi="Times New Roman" w:cs="Times New Roman"/>
          <w:color w:val="000000"/>
          <w:kern w:val="0"/>
          <w:sz w:val="24"/>
          <w:szCs w:val="24"/>
        </w:rPr>
        <w:t>情感、态度、价值类目标：</w:t>
      </w:r>
      <w:r w:rsidRPr="00D12153">
        <w:rPr>
          <w:rFonts w:ascii="Times New Roman" w:eastAsia="宋体" w:hAnsi="Times New Roman" w:cs="Times New Roman"/>
          <w:color w:val="000000"/>
          <w:sz w:val="24"/>
          <w:szCs w:val="24"/>
        </w:rPr>
        <w:t>了解天然药物化学的发展史、发展方向及其在药学学科体系、药物研发中的地位、作用，</w:t>
      </w:r>
      <w:r w:rsidRPr="00D12153">
        <w:rPr>
          <w:rFonts w:ascii="Times New Roman" w:eastAsia="宋体" w:hAnsi="Times New Roman" w:cs="Times New Roman" w:hint="eastAsia"/>
          <w:color w:val="000000"/>
          <w:sz w:val="24"/>
          <w:szCs w:val="24"/>
        </w:rPr>
        <w:t>使学生增强对天然药物化学课程的认识，</w:t>
      </w:r>
      <w:r w:rsidRPr="00D12153">
        <w:rPr>
          <w:rFonts w:ascii="Times New Roman" w:eastAsia="宋体" w:hAnsi="Times New Roman" w:cs="Times New Roman"/>
          <w:color w:val="000000"/>
          <w:sz w:val="24"/>
          <w:szCs w:val="24"/>
        </w:rPr>
        <w:t>培养学生对于药物研发的兴趣。</w:t>
      </w:r>
    </w:p>
    <w:p w14:paraId="3C41C443"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【学习内容】</w:t>
      </w:r>
    </w:p>
    <w:p w14:paraId="4213072C" w14:textId="77777777" w:rsidR="00D12153" w:rsidRPr="00D12153" w:rsidRDefault="00D12153">
      <w:pPr>
        <w:numPr>
          <w:ilvl w:val="0"/>
          <w:numId w:val="197"/>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天然药物化学研究的发展史、研究内容以及与其它课程的关系；</w:t>
      </w:r>
    </w:p>
    <w:p w14:paraId="6F06EBBD" w14:textId="77777777" w:rsidR="00D12153" w:rsidRPr="00D12153" w:rsidRDefault="00D12153">
      <w:pPr>
        <w:numPr>
          <w:ilvl w:val="0"/>
          <w:numId w:val="197"/>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天然药物化学成分的生物合成；</w:t>
      </w:r>
    </w:p>
    <w:p w14:paraId="778E99CF" w14:textId="77777777" w:rsidR="00D12153" w:rsidRPr="00D12153" w:rsidRDefault="00D12153">
      <w:pPr>
        <w:numPr>
          <w:ilvl w:val="0"/>
          <w:numId w:val="197"/>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天然产物有效成分、有效部位；</w:t>
      </w:r>
    </w:p>
    <w:p w14:paraId="34AF869F" w14:textId="77777777" w:rsidR="00D12153" w:rsidRPr="00D12153" w:rsidRDefault="00D12153">
      <w:pPr>
        <w:numPr>
          <w:ilvl w:val="0"/>
          <w:numId w:val="197"/>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常用的提取分离方法及结构测定方法。</w:t>
      </w:r>
    </w:p>
    <w:p w14:paraId="4CCC554E" w14:textId="77777777" w:rsidR="00D12153" w:rsidRPr="00D12153" w:rsidRDefault="00D12153" w:rsidP="00D12153">
      <w:pPr>
        <w:spacing w:line="440" w:lineRule="exact"/>
        <w:ind w:firstLineChars="200" w:firstLine="482"/>
        <w:rPr>
          <w:rFonts w:ascii="Times New Roman" w:eastAsia="宋体" w:hAnsi="Times New Roman" w:cs="Times New Roman"/>
          <w:bCs/>
          <w:color w:val="000000"/>
          <w:sz w:val="24"/>
          <w:szCs w:val="24"/>
        </w:rPr>
      </w:pPr>
      <w:r w:rsidRPr="00D12153">
        <w:rPr>
          <w:rFonts w:ascii="Times New Roman" w:eastAsia="宋体" w:hAnsi="Times New Roman" w:cs="Times New Roman"/>
          <w:b/>
          <w:color w:val="000000"/>
          <w:sz w:val="24"/>
          <w:szCs w:val="24"/>
        </w:rPr>
        <w:t>【重点】</w:t>
      </w:r>
      <w:r w:rsidRPr="00D12153">
        <w:rPr>
          <w:rFonts w:ascii="Times New Roman" w:eastAsia="宋体" w:hAnsi="Times New Roman" w:cs="Times New Roman"/>
          <w:b/>
          <w:color w:val="000000"/>
          <w:sz w:val="24"/>
          <w:szCs w:val="24"/>
        </w:rPr>
        <w:t xml:space="preserve"> </w:t>
      </w:r>
    </w:p>
    <w:p w14:paraId="55F17F7B"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bCs/>
          <w:color w:val="000000"/>
          <w:sz w:val="24"/>
          <w:szCs w:val="24"/>
        </w:rPr>
        <w:t xml:space="preserve">1. </w:t>
      </w:r>
      <w:r w:rsidRPr="00D12153">
        <w:rPr>
          <w:rFonts w:ascii="Times New Roman" w:eastAsia="宋体" w:hAnsi="Times New Roman" w:cs="Times New Roman"/>
          <w:color w:val="000000"/>
          <w:sz w:val="24"/>
          <w:szCs w:val="24"/>
        </w:rPr>
        <w:t>中药天然药物有效成分的提取和分离方法；</w:t>
      </w:r>
    </w:p>
    <w:p w14:paraId="2CB46BF9"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天然药物化学成分结构研究的主要方法。</w:t>
      </w:r>
    </w:p>
    <w:p w14:paraId="209F0494"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【难点】</w:t>
      </w:r>
      <w:r w:rsidRPr="00D12153">
        <w:rPr>
          <w:rFonts w:ascii="Times New Roman" w:eastAsia="宋体" w:hAnsi="Times New Roman" w:cs="Times New Roman"/>
          <w:b/>
          <w:color w:val="000000"/>
          <w:sz w:val="24"/>
          <w:szCs w:val="24"/>
        </w:rPr>
        <w:t xml:space="preserve">  </w:t>
      </w:r>
    </w:p>
    <w:p w14:paraId="0F7F626F"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bCs/>
          <w:color w:val="000000"/>
          <w:sz w:val="24"/>
          <w:szCs w:val="24"/>
        </w:rPr>
        <w:t>1.</w:t>
      </w:r>
      <w:r w:rsidRPr="00D12153">
        <w:rPr>
          <w:rFonts w:ascii="Times New Roman" w:eastAsia="宋体" w:hAnsi="Times New Roman" w:cs="Times New Roman"/>
          <w:color w:val="000000"/>
          <w:sz w:val="24"/>
          <w:szCs w:val="24"/>
          <w:shd w:val="clear" w:color="auto" w:fill="FFFFFF"/>
        </w:rPr>
        <w:t>天然药物活性成分的提取、分离和鉴定</w:t>
      </w:r>
      <w:r w:rsidRPr="00D12153">
        <w:rPr>
          <w:rFonts w:ascii="Times New Roman" w:eastAsia="宋体" w:hAnsi="Times New Roman" w:cs="Times New Roman"/>
          <w:color w:val="000000"/>
          <w:sz w:val="24"/>
          <w:szCs w:val="24"/>
          <w:shd w:val="clear" w:color="auto" w:fill="FFFFFF"/>
        </w:rPr>
        <w:t>,</w:t>
      </w:r>
      <w:r w:rsidRPr="00D12153">
        <w:rPr>
          <w:rFonts w:ascii="Times New Roman" w:eastAsia="宋体" w:hAnsi="Times New Roman" w:cs="Times New Roman"/>
          <w:color w:val="000000"/>
          <w:sz w:val="24"/>
          <w:szCs w:val="24"/>
          <w:shd w:val="clear" w:color="auto" w:fill="FFFFFF"/>
        </w:rPr>
        <w:t>。</w:t>
      </w:r>
    </w:p>
    <w:p w14:paraId="24EFE670" w14:textId="77777777" w:rsidR="00D12153" w:rsidRPr="00D12153" w:rsidRDefault="00D12153" w:rsidP="00D12153">
      <w:pPr>
        <w:spacing w:line="440" w:lineRule="exact"/>
        <w:ind w:firstLineChars="200" w:firstLine="482"/>
        <w:rPr>
          <w:rFonts w:ascii="Times New Roman" w:eastAsia="宋体" w:hAnsi="Times New Roman" w:cs="Times New Roman"/>
          <w:color w:val="000000"/>
          <w:sz w:val="24"/>
          <w:szCs w:val="24"/>
        </w:rPr>
      </w:pPr>
      <w:r w:rsidRPr="00D12153">
        <w:rPr>
          <w:rFonts w:ascii="Times New Roman" w:eastAsia="宋体" w:hAnsi="Times New Roman" w:cs="Times New Roman"/>
          <w:b/>
          <w:bCs/>
          <w:color w:val="000000"/>
          <w:sz w:val="24"/>
          <w:szCs w:val="24"/>
        </w:rPr>
        <w:lastRenderedPageBreak/>
        <w:t>【教学方法】</w:t>
      </w:r>
    </w:p>
    <w:p w14:paraId="22680D50" w14:textId="77777777" w:rsidR="00D12153" w:rsidRPr="00D12153" w:rsidRDefault="00D12153">
      <w:pPr>
        <w:numPr>
          <w:ilvl w:val="0"/>
          <w:numId w:val="198"/>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通过多媒体课件和传统教学相结合，阐明课程与教学基本原理，丰富学生课程与教学的基本知识结构，培养学生的职业规范；</w:t>
      </w:r>
    </w:p>
    <w:p w14:paraId="0CD37980"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通过案例分析，强调理论与实践相结合，促进学生知识整合，培养学生的反思能力。</w:t>
      </w:r>
    </w:p>
    <w:p w14:paraId="27E8E943"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【复习思考】</w:t>
      </w:r>
    </w:p>
    <w:p w14:paraId="2D4966F0"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天然药物化学常用的提取分离方法。</w:t>
      </w:r>
    </w:p>
    <w:p w14:paraId="73FED67B" w14:textId="77777777" w:rsidR="00D12153" w:rsidRPr="00D12153" w:rsidRDefault="00D12153" w:rsidP="00D12153">
      <w:pPr>
        <w:spacing w:beforeLines="50" w:before="156" w:afterLines="50" w:after="156" w:line="440" w:lineRule="exact"/>
        <w:ind w:firstLineChars="200" w:firstLine="560"/>
        <w:jc w:val="center"/>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t>第二章</w:t>
      </w:r>
      <w:r w:rsidRPr="00D12153">
        <w:rPr>
          <w:rFonts w:ascii="Times New Roman" w:eastAsia="黑体" w:hAnsi="Times New Roman" w:cs="Times New Roman"/>
          <w:color w:val="000000"/>
          <w:sz w:val="28"/>
          <w:szCs w:val="28"/>
        </w:rPr>
        <w:t xml:space="preserve">  </w:t>
      </w:r>
      <w:r w:rsidRPr="00D12153">
        <w:rPr>
          <w:rFonts w:ascii="Times New Roman" w:eastAsia="黑体" w:hAnsi="Times New Roman" w:cs="Times New Roman"/>
          <w:color w:val="000000"/>
          <w:sz w:val="28"/>
          <w:szCs w:val="28"/>
        </w:rPr>
        <w:t>糖和</w:t>
      </w:r>
      <w:proofErr w:type="gramStart"/>
      <w:r w:rsidRPr="00D12153">
        <w:rPr>
          <w:rFonts w:ascii="Times New Roman" w:eastAsia="黑体" w:hAnsi="Times New Roman" w:cs="Times New Roman"/>
          <w:color w:val="000000"/>
          <w:sz w:val="28"/>
          <w:szCs w:val="28"/>
        </w:rPr>
        <w:t>苷</w:t>
      </w:r>
      <w:proofErr w:type="gramEnd"/>
    </w:p>
    <w:p w14:paraId="12772FF6"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【学习目标】</w:t>
      </w:r>
    </w:p>
    <w:p w14:paraId="0177ACD7" w14:textId="77777777" w:rsidR="00D12153" w:rsidRPr="00D12153" w:rsidRDefault="00D12153" w:rsidP="00D12153">
      <w:pPr>
        <w:spacing w:line="440" w:lineRule="exact"/>
        <w:ind w:firstLineChars="200" w:firstLine="480"/>
        <w:rPr>
          <w:rFonts w:ascii="Times New Roman" w:eastAsia="宋体" w:hAnsi="Times New Roman" w:cs="Times New Roman"/>
          <w:color w:val="000000"/>
          <w:kern w:val="0"/>
          <w:sz w:val="24"/>
          <w:szCs w:val="24"/>
        </w:rPr>
      </w:pPr>
      <w:r w:rsidRPr="00D12153">
        <w:rPr>
          <w:rFonts w:ascii="Times New Roman" w:eastAsia="宋体" w:hAnsi="Times New Roman" w:cs="Times New Roman"/>
          <w:color w:val="000000"/>
          <w:kern w:val="0"/>
          <w:sz w:val="24"/>
          <w:szCs w:val="24"/>
        </w:rPr>
        <w:t xml:space="preserve">1. </w:t>
      </w:r>
      <w:r w:rsidRPr="00D12153">
        <w:rPr>
          <w:rFonts w:ascii="Times New Roman" w:eastAsia="宋体" w:hAnsi="Times New Roman" w:cs="Times New Roman"/>
          <w:color w:val="000000"/>
          <w:kern w:val="0"/>
          <w:sz w:val="24"/>
          <w:szCs w:val="24"/>
        </w:rPr>
        <w:t>认知类目标：</w:t>
      </w:r>
      <w:r w:rsidRPr="00D12153">
        <w:rPr>
          <w:rFonts w:ascii="Times New Roman" w:eastAsia="宋体" w:hAnsi="Times New Roman" w:cs="Times New Roman"/>
          <w:color w:val="000000"/>
          <w:sz w:val="24"/>
          <w:szCs w:val="24"/>
        </w:rPr>
        <w:t>掌握单糖的立体化学、糖的分类、糖的核磁共振性质；</w:t>
      </w:r>
      <w:proofErr w:type="gramStart"/>
      <w:r w:rsidRPr="00D12153">
        <w:rPr>
          <w:rFonts w:ascii="Times New Roman" w:eastAsia="宋体" w:hAnsi="Times New Roman" w:cs="Times New Roman"/>
          <w:color w:val="000000"/>
          <w:sz w:val="24"/>
          <w:szCs w:val="24"/>
        </w:rPr>
        <w:t>熟悉糖</w:t>
      </w:r>
      <w:proofErr w:type="gramEnd"/>
      <w:r w:rsidRPr="00D12153">
        <w:rPr>
          <w:rFonts w:ascii="Times New Roman" w:eastAsia="宋体" w:hAnsi="Times New Roman" w:cs="Times New Roman"/>
          <w:color w:val="000000"/>
          <w:sz w:val="24"/>
          <w:szCs w:val="24"/>
        </w:rPr>
        <w:t>的化学性质；掌握</w:t>
      </w:r>
      <w:proofErr w:type="gramStart"/>
      <w:r w:rsidRPr="00D12153">
        <w:rPr>
          <w:rFonts w:ascii="Times New Roman" w:eastAsia="宋体" w:hAnsi="Times New Roman" w:cs="Times New Roman"/>
          <w:color w:val="000000"/>
          <w:sz w:val="24"/>
          <w:szCs w:val="24"/>
        </w:rPr>
        <w:t>苷</w:t>
      </w:r>
      <w:proofErr w:type="gramEnd"/>
      <w:r w:rsidRPr="00D12153">
        <w:rPr>
          <w:rFonts w:ascii="Times New Roman" w:eastAsia="宋体" w:hAnsi="Times New Roman" w:cs="Times New Roman"/>
          <w:color w:val="000000"/>
          <w:sz w:val="24"/>
          <w:szCs w:val="24"/>
        </w:rPr>
        <w:t>的分类、</w:t>
      </w:r>
      <w:proofErr w:type="gramStart"/>
      <w:r w:rsidRPr="00D12153">
        <w:rPr>
          <w:rFonts w:ascii="Times New Roman" w:eastAsia="宋体" w:hAnsi="Times New Roman" w:cs="Times New Roman"/>
          <w:color w:val="000000"/>
          <w:sz w:val="24"/>
          <w:szCs w:val="24"/>
        </w:rPr>
        <w:t>苷</w:t>
      </w:r>
      <w:proofErr w:type="gramEnd"/>
      <w:r w:rsidRPr="00D12153">
        <w:rPr>
          <w:rFonts w:ascii="Times New Roman" w:eastAsia="宋体" w:hAnsi="Times New Roman" w:cs="Times New Roman"/>
          <w:color w:val="000000"/>
          <w:sz w:val="24"/>
          <w:szCs w:val="24"/>
        </w:rPr>
        <w:t>键的化学性质；</w:t>
      </w:r>
    </w:p>
    <w:p w14:paraId="672E579F"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kern w:val="0"/>
          <w:sz w:val="24"/>
          <w:szCs w:val="24"/>
        </w:rPr>
        <w:t xml:space="preserve">2. </w:t>
      </w:r>
      <w:r w:rsidRPr="00D12153">
        <w:rPr>
          <w:rFonts w:ascii="Times New Roman" w:eastAsia="宋体" w:hAnsi="Times New Roman" w:cs="Times New Roman"/>
          <w:color w:val="000000"/>
          <w:kern w:val="0"/>
          <w:sz w:val="24"/>
          <w:szCs w:val="24"/>
        </w:rPr>
        <w:t>过程与方法类目标：</w:t>
      </w:r>
      <w:r w:rsidRPr="00D12153">
        <w:rPr>
          <w:rFonts w:ascii="Times New Roman" w:eastAsia="宋体" w:hAnsi="Times New Roman" w:cs="Times New Roman"/>
          <w:color w:val="000000"/>
          <w:sz w:val="24"/>
          <w:szCs w:val="24"/>
        </w:rPr>
        <w:t>熟悉多糖的提取，了解</w:t>
      </w:r>
      <w:proofErr w:type="gramStart"/>
      <w:r w:rsidRPr="00D12153">
        <w:rPr>
          <w:rFonts w:ascii="Times New Roman" w:eastAsia="宋体" w:hAnsi="Times New Roman" w:cs="Times New Roman"/>
          <w:color w:val="000000"/>
          <w:sz w:val="24"/>
          <w:szCs w:val="24"/>
        </w:rPr>
        <w:t>苷</w:t>
      </w:r>
      <w:proofErr w:type="gramEnd"/>
      <w:r w:rsidRPr="00D12153">
        <w:rPr>
          <w:rFonts w:ascii="Times New Roman" w:eastAsia="宋体" w:hAnsi="Times New Roman" w:cs="Times New Roman"/>
          <w:color w:val="000000"/>
          <w:sz w:val="24"/>
          <w:szCs w:val="24"/>
        </w:rPr>
        <w:t>类的分离方法；</w:t>
      </w:r>
    </w:p>
    <w:p w14:paraId="77E44C58" w14:textId="77777777" w:rsidR="00D12153" w:rsidRPr="00D12153" w:rsidRDefault="00D12153" w:rsidP="00D12153">
      <w:pPr>
        <w:spacing w:line="440" w:lineRule="exact"/>
        <w:ind w:firstLineChars="200" w:firstLine="480"/>
        <w:rPr>
          <w:rFonts w:ascii="Times New Roman" w:eastAsia="宋体" w:hAnsi="Times New Roman" w:cs="Times New Roman"/>
          <w:color w:val="000000"/>
          <w:kern w:val="0"/>
          <w:sz w:val="24"/>
          <w:szCs w:val="24"/>
        </w:rPr>
      </w:pPr>
      <w:r w:rsidRPr="00D12153">
        <w:rPr>
          <w:rFonts w:ascii="Times New Roman" w:eastAsia="宋体" w:hAnsi="Times New Roman" w:cs="Times New Roman"/>
          <w:color w:val="000000"/>
          <w:kern w:val="0"/>
          <w:sz w:val="24"/>
          <w:szCs w:val="24"/>
        </w:rPr>
        <w:t xml:space="preserve">3. </w:t>
      </w:r>
      <w:r w:rsidRPr="00D12153">
        <w:rPr>
          <w:rFonts w:ascii="Times New Roman" w:eastAsia="宋体" w:hAnsi="Times New Roman" w:cs="Times New Roman"/>
          <w:color w:val="000000"/>
          <w:kern w:val="0"/>
          <w:sz w:val="24"/>
          <w:szCs w:val="24"/>
        </w:rPr>
        <w:t>情感、态度、价值类目标：</w:t>
      </w:r>
      <w:r w:rsidRPr="00D12153">
        <w:rPr>
          <w:rFonts w:ascii="Times New Roman" w:eastAsia="宋体" w:hAnsi="Times New Roman" w:cs="Times New Roman"/>
          <w:color w:val="000000"/>
          <w:sz w:val="24"/>
          <w:szCs w:val="24"/>
        </w:rPr>
        <w:t>了解糖类的性质以及在生活中的实际应用，培养学生对于天然药物研</w:t>
      </w:r>
      <w:r w:rsidRPr="00D12153">
        <w:rPr>
          <w:rFonts w:ascii="Times New Roman" w:eastAsia="宋体" w:hAnsi="Times New Roman" w:cs="Times New Roman" w:hint="eastAsia"/>
          <w:color w:val="000000"/>
          <w:sz w:val="24"/>
          <w:szCs w:val="24"/>
        </w:rPr>
        <w:t>究</w:t>
      </w:r>
      <w:r w:rsidRPr="00D12153">
        <w:rPr>
          <w:rFonts w:ascii="Times New Roman" w:eastAsia="宋体" w:hAnsi="Times New Roman" w:cs="Times New Roman"/>
          <w:color w:val="000000"/>
          <w:sz w:val="24"/>
          <w:szCs w:val="24"/>
        </w:rPr>
        <w:t>的兴趣。</w:t>
      </w:r>
    </w:p>
    <w:p w14:paraId="0C51D29E"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【学习内容】</w:t>
      </w:r>
    </w:p>
    <w:p w14:paraId="3A09BA9C" w14:textId="77777777" w:rsidR="00D12153" w:rsidRPr="00D12153" w:rsidRDefault="00D12153">
      <w:pPr>
        <w:numPr>
          <w:ilvl w:val="0"/>
          <w:numId w:val="199"/>
        </w:num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单糖的立体化学特征；</w:t>
      </w:r>
    </w:p>
    <w:p w14:paraId="2248C9E4" w14:textId="77777777" w:rsidR="00D12153" w:rsidRPr="00D12153" w:rsidRDefault="00D12153">
      <w:pPr>
        <w:numPr>
          <w:ilvl w:val="0"/>
          <w:numId w:val="199"/>
        </w:num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糖和</w:t>
      </w:r>
      <w:proofErr w:type="gramStart"/>
      <w:r w:rsidRPr="00D12153">
        <w:rPr>
          <w:rFonts w:ascii="Times New Roman" w:eastAsia="宋体" w:hAnsi="Times New Roman" w:cs="Times New Roman"/>
          <w:color w:val="000000"/>
          <w:sz w:val="24"/>
          <w:szCs w:val="24"/>
        </w:rPr>
        <w:t>苷</w:t>
      </w:r>
      <w:proofErr w:type="gramEnd"/>
      <w:r w:rsidRPr="00D12153">
        <w:rPr>
          <w:rFonts w:ascii="Times New Roman" w:eastAsia="宋体" w:hAnsi="Times New Roman" w:cs="Times New Roman"/>
          <w:color w:val="000000"/>
          <w:sz w:val="24"/>
          <w:szCs w:val="24"/>
        </w:rPr>
        <w:t>的分类方法；</w:t>
      </w:r>
    </w:p>
    <w:p w14:paraId="5D75F3C9" w14:textId="77777777" w:rsidR="00D12153" w:rsidRPr="00D12153" w:rsidRDefault="00D12153">
      <w:pPr>
        <w:numPr>
          <w:ilvl w:val="0"/>
          <w:numId w:val="199"/>
        </w:num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糖的化学和核磁共振性质；</w:t>
      </w:r>
    </w:p>
    <w:p w14:paraId="11165C8F" w14:textId="77777777" w:rsidR="00D12153" w:rsidRPr="00D12153" w:rsidRDefault="00D12153">
      <w:pPr>
        <w:numPr>
          <w:ilvl w:val="0"/>
          <w:numId w:val="199"/>
        </w:numPr>
        <w:adjustRightInd w:val="0"/>
        <w:snapToGrid w:val="0"/>
        <w:spacing w:line="440" w:lineRule="exact"/>
        <w:ind w:firstLineChars="200" w:firstLine="480"/>
        <w:rPr>
          <w:rFonts w:ascii="Times New Roman" w:eastAsia="宋体" w:hAnsi="Times New Roman" w:cs="Times New Roman"/>
          <w:color w:val="000000"/>
          <w:sz w:val="24"/>
          <w:szCs w:val="24"/>
        </w:rPr>
      </w:pPr>
      <w:proofErr w:type="gramStart"/>
      <w:r w:rsidRPr="00D12153">
        <w:rPr>
          <w:rFonts w:ascii="Times New Roman" w:eastAsia="宋体" w:hAnsi="Times New Roman" w:cs="Times New Roman"/>
          <w:color w:val="000000"/>
          <w:sz w:val="24"/>
          <w:szCs w:val="24"/>
        </w:rPr>
        <w:t>苷</w:t>
      </w:r>
      <w:proofErr w:type="gramEnd"/>
      <w:r w:rsidRPr="00D12153">
        <w:rPr>
          <w:rFonts w:ascii="Times New Roman" w:eastAsia="宋体" w:hAnsi="Times New Roman" w:cs="Times New Roman"/>
          <w:color w:val="000000"/>
          <w:sz w:val="24"/>
          <w:szCs w:val="24"/>
        </w:rPr>
        <w:t>键的化学反应；</w:t>
      </w:r>
    </w:p>
    <w:p w14:paraId="21E99B10" w14:textId="77777777" w:rsidR="00D12153" w:rsidRPr="00D12153" w:rsidRDefault="00D12153">
      <w:pPr>
        <w:numPr>
          <w:ilvl w:val="0"/>
          <w:numId w:val="199"/>
        </w:num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糖和</w:t>
      </w:r>
      <w:proofErr w:type="gramStart"/>
      <w:r w:rsidRPr="00D12153">
        <w:rPr>
          <w:rFonts w:ascii="Times New Roman" w:eastAsia="宋体" w:hAnsi="Times New Roman" w:cs="Times New Roman"/>
          <w:color w:val="000000"/>
          <w:sz w:val="24"/>
          <w:szCs w:val="24"/>
        </w:rPr>
        <w:t>苷</w:t>
      </w:r>
      <w:proofErr w:type="gramEnd"/>
      <w:r w:rsidRPr="00D12153">
        <w:rPr>
          <w:rFonts w:ascii="Times New Roman" w:eastAsia="宋体" w:hAnsi="Times New Roman" w:cs="Times New Roman"/>
          <w:color w:val="000000"/>
          <w:sz w:val="24"/>
          <w:szCs w:val="24"/>
        </w:rPr>
        <w:t>类的提取分离；</w:t>
      </w:r>
    </w:p>
    <w:p w14:paraId="19EE88BC" w14:textId="77777777" w:rsidR="00D12153" w:rsidRPr="00D12153" w:rsidRDefault="00D12153">
      <w:pPr>
        <w:numPr>
          <w:ilvl w:val="0"/>
          <w:numId w:val="199"/>
        </w:numPr>
        <w:adjustRightInd w:val="0"/>
        <w:snapToGrid w:val="0"/>
        <w:spacing w:line="440" w:lineRule="exact"/>
        <w:ind w:firstLineChars="200" w:firstLine="480"/>
        <w:rPr>
          <w:rFonts w:ascii="Times New Roman" w:eastAsia="宋体" w:hAnsi="Times New Roman" w:cs="Times New Roman"/>
          <w:color w:val="000000"/>
          <w:sz w:val="24"/>
          <w:szCs w:val="24"/>
        </w:rPr>
      </w:pPr>
      <w:proofErr w:type="gramStart"/>
      <w:r w:rsidRPr="00D12153">
        <w:rPr>
          <w:rFonts w:ascii="Times New Roman" w:eastAsia="宋体" w:hAnsi="Times New Roman" w:cs="Times New Roman"/>
          <w:color w:val="000000"/>
          <w:sz w:val="24"/>
          <w:szCs w:val="24"/>
        </w:rPr>
        <w:t>糖链结构</w:t>
      </w:r>
      <w:proofErr w:type="gramEnd"/>
      <w:r w:rsidRPr="00D12153">
        <w:rPr>
          <w:rFonts w:ascii="Times New Roman" w:eastAsia="宋体" w:hAnsi="Times New Roman" w:cs="Times New Roman"/>
          <w:color w:val="000000"/>
          <w:sz w:val="24"/>
          <w:szCs w:val="24"/>
        </w:rPr>
        <w:t>的测定。</w:t>
      </w:r>
    </w:p>
    <w:p w14:paraId="6F00588E"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【重点】</w:t>
      </w:r>
      <w:r w:rsidRPr="00D12153">
        <w:rPr>
          <w:rFonts w:ascii="Times New Roman" w:eastAsia="宋体" w:hAnsi="Times New Roman" w:cs="Times New Roman"/>
          <w:b/>
          <w:color w:val="000000"/>
          <w:sz w:val="24"/>
          <w:szCs w:val="24"/>
        </w:rPr>
        <w:t xml:space="preserve">  </w:t>
      </w:r>
    </w:p>
    <w:p w14:paraId="7B522BA1"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bCs/>
          <w:color w:val="000000"/>
          <w:sz w:val="24"/>
          <w:szCs w:val="24"/>
        </w:rPr>
        <w:t xml:space="preserve">1. </w:t>
      </w:r>
      <w:r w:rsidRPr="00D12153">
        <w:rPr>
          <w:rFonts w:ascii="Times New Roman" w:eastAsia="宋体" w:hAnsi="Times New Roman" w:cs="Times New Roman"/>
          <w:color w:val="000000"/>
          <w:sz w:val="24"/>
          <w:szCs w:val="24"/>
        </w:rPr>
        <w:t>糖的主要化学性质：氧化、糠醛反应、羟基反应等。</w:t>
      </w:r>
    </w:p>
    <w:p w14:paraId="1A60BCFF"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【难点】</w:t>
      </w:r>
      <w:r w:rsidRPr="00D12153">
        <w:rPr>
          <w:rFonts w:ascii="Times New Roman" w:eastAsia="宋体" w:hAnsi="Times New Roman" w:cs="Times New Roman"/>
          <w:b/>
          <w:color w:val="000000"/>
          <w:sz w:val="24"/>
          <w:szCs w:val="24"/>
        </w:rPr>
        <w:t xml:space="preserve">  </w:t>
      </w:r>
    </w:p>
    <w:p w14:paraId="0C3F3FB5"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bCs/>
          <w:color w:val="000000"/>
          <w:sz w:val="24"/>
          <w:szCs w:val="24"/>
        </w:rPr>
        <w:t xml:space="preserve">1. </w:t>
      </w:r>
      <w:proofErr w:type="gramStart"/>
      <w:r w:rsidRPr="00D12153">
        <w:rPr>
          <w:rFonts w:ascii="Times New Roman" w:eastAsia="宋体" w:hAnsi="Times New Roman" w:cs="Times New Roman"/>
          <w:color w:val="000000"/>
          <w:sz w:val="24"/>
          <w:szCs w:val="24"/>
        </w:rPr>
        <w:t>苷</w:t>
      </w:r>
      <w:proofErr w:type="gramEnd"/>
      <w:r w:rsidRPr="00D12153">
        <w:rPr>
          <w:rFonts w:ascii="Times New Roman" w:eastAsia="宋体" w:hAnsi="Times New Roman" w:cs="Times New Roman"/>
          <w:color w:val="000000"/>
          <w:sz w:val="24"/>
          <w:szCs w:val="24"/>
        </w:rPr>
        <w:t>键的裂解及</w:t>
      </w:r>
      <w:proofErr w:type="gramStart"/>
      <w:r w:rsidRPr="00D12153">
        <w:rPr>
          <w:rFonts w:ascii="Times New Roman" w:eastAsia="宋体" w:hAnsi="Times New Roman" w:cs="Times New Roman"/>
          <w:color w:val="000000"/>
          <w:sz w:val="24"/>
          <w:szCs w:val="24"/>
        </w:rPr>
        <w:t>苷</w:t>
      </w:r>
      <w:proofErr w:type="gramEnd"/>
      <w:r w:rsidRPr="00D12153">
        <w:rPr>
          <w:rFonts w:ascii="Times New Roman" w:eastAsia="宋体" w:hAnsi="Times New Roman" w:cs="Times New Roman"/>
          <w:color w:val="000000"/>
          <w:sz w:val="24"/>
          <w:szCs w:val="24"/>
        </w:rPr>
        <w:t>类化合物的提取方法。</w:t>
      </w:r>
    </w:p>
    <w:p w14:paraId="717BB7A7" w14:textId="77777777" w:rsidR="00D12153" w:rsidRPr="00D12153" w:rsidRDefault="00D12153" w:rsidP="00D12153">
      <w:pPr>
        <w:spacing w:line="440" w:lineRule="exact"/>
        <w:ind w:firstLineChars="200" w:firstLine="482"/>
        <w:rPr>
          <w:rFonts w:ascii="Times New Roman" w:eastAsia="宋体" w:hAnsi="Times New Roman" w:cs="Times New Roman"/>
          <w:color w:val="000000"/>
          <w:sz w:val="24"/>
          <w:szCs w:val="24"/>
        </w:rPr>
      </w:pPr>
      <w:r w:rsidRPr="00D12153">
        <w:rPr>
          <w:rFonts w:ascii="Times New Roman" w:eastAsia="宋体" w:hAnsi="Times New Roman" w:cs="Times New Roman"/>
          <w:b/>
          <w:bCs/>
          <w:color w:val="000000"/>
          <w:sz w:val="24"/>
          <w:szCs w:val="24"/>
        </w:rPr>
        <w:t>【教学方法】</w:t>
      </w:r>
    </w:p>
    <w:p w14:paraId="324164A6" w14:textId="77777777" w:rsidR="00D12153" w:rsidRPr="00D12153" w:rsidRDefault="00D12153">
      <w:pPr>
        <w:numPr>
          <w:ilvl w:val="0"/>
          <w:numId w:val="200"/>
        </w:numPr>
        <w:spacing w:line="440" w:lineRule="exact"/>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通过多媒体课件和传统教学相结合，阐明课程与教学基本原理，丰富学生课程与教学的基本知识结构，培养学生的职业规范。</w:t>
      </w:r>
    </w:p>
    <w:p w14:paraId="11BF0C33"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【复习思考】</w:t>
      </w:r>
    </w:p>
    <w:p w14:paraId="6943B679"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proofErr w:type="gramStart"/>
      <w:r w:rsidRPr="00D12153">
        <w:rPr>
          <w:rFonts w:ascii="Times New Roman" w:eastAsia="宋体" w:hAnsi="Times New Roman" w:cs="Times New Roman"/>
          <w:color w:val="000000"/>
          <w:sz w:val="24"/>
          <w:szCs w:val="24"/>
        </w:rPr>
        <w:t>苷</w:t>
      </w:r>
      <w:proofErr w:type="gramEnd"/>
      <w:r w:rsidRPr="00D12153">
        <w:rPr>
          <w:rFonts w:ascii="Times New Roman" w:eastAsia="宋体" w:hAnsi="Times New Roman" w:cs="Times New Roman"/>
          <w:color w:val="000000"/>
          <w:sz w:val="24"/>
          <w:szCs w:val="24"/>
        </w:rPr>
        <w:t>键的化学反应。</w:t>
      </w:r>
    </w:p>
    <w:p w14:paraId="65BC37C4" w14:textId="77777777" w:rsidR="00D12153" w:rsidRPr="00D12153" w:rsidRDefault="00D12153" w:rsidP="00D12153">
      <w:pPr>
        <w:spacing w:beforeLines="50" w:before="156" w:afterLines="50" w:after="156" w:line="440" w:lineRule="exact"/>
        <w:ind w:firstLineChars="200" w:firstLine="560"/>
        <w:jc w:val="center"/>
        <w:rPr>
          <w:rFonts w:ascii="Times New Roman" w:eastAsia="宋体" w:hAnsi="Times New Roman" w:cs="Times New Roman"/>
          <w:b/>
          <w:bCs/>
          <w:color w:val="000000"/>
          <w:sz w:val="24"/>
          <w:szCs w:val="24"/>
        </w:rPr>
      </w:pPr>
      <w:r w:rsidRPr="00D12153">
        <w:rPr>
          <w:rFonts w:ascii="Times New Roman" w:eastAsia="黑体" w:hAnsi="Times New Roman" w:cs="Times New Roman"/>
          <w:color w:val="000000"/>
          <w:sz w:val="28"/>
          <w:szCs w:val="28"/>
        </w:rPr>
        <w:lastRenderedPageBreak/>
        <w:t>第三章</w:t>
      </w:r>
      <w:r w:rsidRPr="00D12153">
        <w:rPr>
          <w:rFonts w:ascii="Times New Roman" w:eastAsia="黑体" w:hAnsi="Times New Roman" w:cs="Times New Roman"/>
          <w:color w:val="000000"/>
          <w:sz w:val="28"/>
          <w:szCs w:val="28"/>
        </w:rPr>
        <w:t xml:space="preserve">  </w:t>
      </w:r>
      <w:r w:rsidRPr="00D12153">
        <w:rPr>
          <w:rFonts w:ascii="Times New Roman" w:eastAsia="黑体" w:hAnsi="Times New Roman" w:cs="Times New Roman"/>
          <w:color w:val="000000"/>
          <w:sz w:val="28"/>
          <w:szCs w:val="28"/>
        </w:rPr>
        <w:t>苯丙素类</w:t>
      </w:r>
    </w:p>
    <w:p w14:paraId="00B4450E"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【学习目标】</w:t>
      </w:r>
    </w:p>
    <w:p w14:paraId="1EC9DE50" w14:textId="77777777" w:rsidR="00D12153" w:rsidRPr="00D12153" w:rsidRDefault="00D12153" w:rsidP="00D12153">
      <w:pPr>
        <w:spacing w:line="440" w:lineRule="exact"/>
        <w:ind w:firstLineChars="200" w:firstLine="480"/>
        <w:rPr>
          <w:rFonts w:ascii="Times New Roman" w:eastAsia="宋体" w:hAnsi="Times New Roman" w:cs="Times New Roman"/>
          <w:color w:val="000000"/>
          <w:kern w:val="0"/>
          <w:sz w:val="24"/>
          <w:szCs w:val="24"/>
        </w:rPr>
      </w:pPr>
      <w:r w:rsidRPr="00D12153">
        <w:rPr>
          <w:rFonts w:ascii="Times New Roman" w:eastAsia="宋体" w:hAnsi="Times New Roman" w:cs="Times New Roman"/>
          <w:color w:val="000000"/>
          <w:kern w:val="0"/>
          <w:sz w:val="24"/>
          <w:szCs w:val="24"/>
        </w:rPr>
        <w:t xml:space="preserve">1. </w:t>
      </w:r>
      <w:r w:rsidRPr="00D12153">
        <w:rPr>
          <w:rFonts w:ascii="Times New Roman" w:eastAsia="宋体" w:hAnsi="Times New Roman" w:cs="Times New Roman"/>
          <w:color w:val="000000"/>
          <w:kern w:val="0"/>
          <w:sz w:val="24"/>
          <w:szCs w:val="24"/>
        </w:rPr>
        <w:t>认知类目标：</w:t>
      </w:r>
      <w:r w:rsidRPr="00D12153">
        <w:rPr>
          <w:rFonts w:ascii="Times New Roman" w:eastAsia="宋体" w:hAnsi="Times New Roman" w:cs="Times New Roman"/>
          <w:color w:val="000000"/>
          <w:sz w:val="24"/>
          <w:szCs w:val="24"/>
        </w:rPr>
        <w:t>苯丙素类成分的结构分类特征；掌握香豆素类化合物的化学性质及波谱特征；</w:t>
      </w:r>
    </w:p>
    <w:p w14:paraId="41626DB1"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kern w:val="0"/>
          <w:sz w:val="24"/>
          <w:szCs w:val="24"/>
        </w:rPr>
        <w:t xml:space="preserve">2. </w:t>
      </w:r>
      <w:r w:rsidRPr="00D12153">
        <w:rPr>
          <w:rFonts w:ascii="Times New Roman" w:eastAsia="宋体" w:hAnsi="Times New Roman" w:cs="Times New Roman"/>
          <w:color w:val="000000"/>
          <w:kern w:val="0"/>
          <w:sz w:val="24"/>
          <w:szCs w:val="24"/>
        </w:rPr>
        <w:t>过程与方法类目标：</w:t>
      </w:r>
      <w:r w:rsidRPr="00D12153">
        <w:rPr>
          <w:rFonts w:ascii="Times New Roman" w:eastAsia="宋体" w:hAnsi="Times New Roman" w:cs="Times New Roman"/>
          <w:color w:val="000000"/>
          <w:sz w:val="24"/>
          <w:szCs w:val="24"/>
        </w:rPr>
        <w:t>掌握香豆素类化合物的提取和分离方法；了解香豆素类化合物的主要生理活性；</w:t>
      </w:r>
    </w:p>
    <w:p w14:paraId="78170157"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kern w:val="0"/>
          <w:sz w:val="24"/>
          <w:szCs w:val="24"/>
        </w:rPr>
        <w:t xml:space="preserve">3. </w:t>
      </w:r>
      <w:r w:rsidRPr="00D12153">
        <w:rPr>
          <w:rFonts w:ascii="Times New Roman" w:eastAsia="宋体" w:hAnsi="Times New Roman" w:cs="Times New Roman"/>
          <w:color w:val="000000"/>
          <w:kern w:val="0"/>
          <w:sz w:val="24"/>
          <w:szCs w:val="24"/>
        </w:rPr>
        <w:t>情感、态度、价值类目标：</w:t>
      </w:r>
      <w:r w:rsidRPr="00D12153">
        <w:rPr>
          <w:rFonts w:ascii="Times New Roman" w:eastAsia="宋体" w:hAnsi="Times New Roman" w:cs="Times New Roman"/>
          <w:color w:val="000000"/>
          <w:sz w:val="24"/>
          <w:szCs w:val="24"/>
        </w:rPr>
        <w:t>了解苯丙素类化合物的性质以及在生活中的实际应用，培养学生对于天然药物研</w:t>
      </w:r>
      <w:r w:rsidRPr="00D12153">
        <w:rPr>
          <w:rFonts w:ascii="Times New Roman" w:eastAsia="宋体" w:hAnsi="Times New Roman" w:cs="Times New Roman" w:hint="eastAsia"/>
          <w:color w:val="000000"/>
          <w:sz w:val="24"/>
          <w:szCs w:val="24"/>
        </w:rPr>
        <w:t>究</w:t>
      </w:r>
      <w:r w:rsidRPr="00D12153">
        <w:rPr>
          <w:rFonts w:ascii="Times New Roman" w:eastAsia="宋体" w:hAnsi="Times New Roman" w:cs="Times New Roman"/>
          <w:color w:val="000000"/>
          <w:sz w:val="24"/>
          <w:szCs w:val="24"/>
        </w:rPr>
        <w:t>的兴趣。</w:t>
      </w:r>
    </w:p>
    <w:p w14:paraId="259B6DA1"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【学习内容】</w:t>
      </w:r>
    </w:p>
    <w:p w14:paraId="56C97940" w14:textId="77777777" w:rsidR="00D12153" w:rsidRPr="00D12153" w:rsidRDefault="00D12153">
      <w:pPr>
        <w:numPr>
          <w:ilvl w:val="0"/>
          <w:numId w:val="201"/>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掌握苯丙素的定义和类型，了解其生物合成途径；</w:t>
      </w:r>
    </w:p>
    <w:p w14:paraId="0A3D7C32" w14:textId="77777777" w:rsidR="00D12153" w:rsidRPr="00D12153" w:rsidRDefault="00D12153">
      <w:pPr>
        <w:numPr>
          <w:ilvl w:val="0"/>
          <w:numId w:val="201"/>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香豆素的定义、基本母核的结构特征和类型；</w:t>
      </w:r>
    </w:p>
    <w:p w14:paraId="73D24BE0" w14:textId="77777777" w:rsidR="00D12153" w:rsidRPr="00D12153" w:rsidRDefault="00D12153">
      <w:pPr>
        <w:numPr>
          <w:ilvl w:val="0"/>
          <w:numId w:val="201"/>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香豆素的理化性质、生理活性、提取分离方法；</w:t>
      </w:r>
    </w:p>
    <w:p w14:paraId="65B5B5AD" w14:textId="77777777" w:rsidR="00D12153" w:rsidRPr="00D12153" w:rsidRDefault="00D12153">
      <w:pPr>
        <w:numPr>
          <w:ilvl w:val="0"/>
          <w:numId w:val="201"/>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香豆素的波谱学性质及结构研究实例；</w:t>
      </w:r>
    </w:p>
    <w:p w14:paraId="07079DDF" w14:textId="77777777" w:rsidR="00D12153" w:rsidRPr="00D12153" w:rsidRDefault="00D12153">
      <w:pPr>
        <w:numPr>
          <w:ilvl w:val="0"/>
          <w:numId w:val="201"/>
        </w:numPr>
        <w:spacing w:line="440" w:lineRule="exact"/>
        <w:ind w:firstLineChars="200" w:firstLine="480"/>
        <w:rPr>
          <w:rFonts w:ascii="Times New Roman" w:eastAsia="宋体" w:hAnsi="Times New Roman" w:cs="Times New Roman"/>
          <w:color w:val="000000"/>
          <w:sz w:val="24"/>
          <w:szCs w:val="24"/>
        </w:rPr>
      </w:pPr>
      <w:proofErr w:type="gramStart"/>
      <w:r w:rsidRPr="00D12153">
        <w:rPr>
          <w:rFonts w:ascii="Times New Roman" w:eastAsia="宋体" w:hAnsi="Times New Roman" w:cs="Times New Roman"/>
          <w:color w:val="000000"/>
          <w:sz w:val="24"/>
          <w:szCs w:val="24"/>
        </w:rPr>
        <w:t>木脂素</w:t>
      </w:r>
      <w:proofErr w:type="gramEnd"/>
      <w:r w:rsidRPr="00D12153">
        <w:rPr>
          <w:rFonts w:ascii="Times New Roman" w:eastAsia="宋体" w:hAnsi="Times New Roman" w:cs="Times New Roman"/>
          <w:color w:val="000000"/>
          <w:sz w:val="24"/>
          <w:szCs w:val="24"/>
        </w:rPr>
        <w:t>的定义、主要结构类型、生理活性、提取分离及结构鉴定；</w:t>
      </w:r>
    </w:p>
    <w:p w14:paraId="4A401654" w14:textId="77777777" w:rsidR="00D12153" w:rsidRPr="00D12153" w:rsidRDefault="00D12153">
      <w:pPr>
        <w:numPr>
          <w:ilvl w:val="0"/>
          <w:numId w:val="201"/>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含苯丙素的天然药物研究实例。</w:t>
      </w:r>
    </w:p>
    <w:p w14:paraId="17A575B3" w14:textId="77777777" w:rsidR="00D12153" w:rsidRPr="00D12153" w:rsidRDefault="00D12153" w:rsidP="00D12153">
      <w:pPr>
        <w:spacing w:line="440" w:lineRule="exact"/>
        <w:ind w:leftChars="114" w:left="239" w:firstLineChars="100" w:firstLine="241"/>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【重点】</w:t>
      </w:r>
      <w:r w:rsidRPr="00D12153">
        <w:rPr>
          <w:rFonts w:ascii="Times New Roman" w:eastAsia="宋体" w:hAnsi="Times New Roman" w:cs="Times New Roman"/>
          <w:b/>
          <w:color w:val="000000"/>
          <w:sz w:val="24"/>
          <w:szCs w:val="24"/>
        </w:rPr>
        <w:t xml:space="preserve">  </w:t>
      </w:r>
    </w:p>
    <w:p w14:paraId="41A11E0F" w14:textId="77777777" w:rsidR="00D12153" w:rsidRPr="00D12153" w:rsidRDefault="00D12153">
      <w:pPr>
        <w:numPr>
          <w:ilvl w:val="0"/>
          <w:numId w:val="202"/>
        </w:numPr>
        <w:spacing w:line="440" w:lineRule="exact"/>
        <w:ind w:leftChars="114" w:left="239" w:firstLineChars="100" w:firstLine="24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香豆素类化合物的结构类型、理化性质、提取和分离方法；</w:t>
      </w:r>
    </w:p>
    <w:p w14:paraId="5D0AEA9B" w14:textId="77777777" w:rsidR="00D12153" w:rsidRPr="00D12153" w:rsidRDefault="00D12153" w:rsidP="00D12153">
      <w:pPr>
        <w:spacing w:line="440" w:lineRule="exact"/>
        <w:ind w:leftChars="214" w:left="449"/>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苯丙素类的生物合成途径。</w:t>
      </w:r>
    </w:p>
    <w:p w14:paraId="06D72F41"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【难点】</w:t>
      </w:r>
      <w:r w:rsidRPr="00D12153">
        <w:rPr>
          <w:rFonts w:ascii="Times New Roman" w:eastAsia="宋体" w:hAnsi="Times New Roman" w:cs="Times New Roman"/>
          <w:b/>
          <w:color w:val="000000"/>
          <w:sz w:val="24"/>
          <w:szCs w:val="24"/>
        </w:rPr>
        <w:t xml:space="preserve">  </w:t>
      </w:r>
    </w:p>
    <w:p w14:paraId="083C7628"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bCs/>
          <w:color w:val="000000"/>
          <w:sz w:val="24"/>
          <w:szCs w:val="24"/>
        </w:rPr>
        <w:t xml:space="preserve">1. </w:t>
      </w:r>
      <w:r w:rsidRPr="00D12153">
        <w:rPr>
          <w:rFonts w:ascii="Times New Roman" w:eastAsia="宋体" w:hAnsi="Times New Roman" w:cs="Times New Roman"/>
          <w:color w:val="000000"/>
          <w:sz w:val="24"/>
          <w:szCs w:val="24"/>
        </w:rPr>
        <w:t>香豆素类化合物的结构鉴定。</w:t>
      </w:r>
    </w:p>
    <w:p w14:paraId="128D9016" w14:textId="77777777" w:rsidR="00D12153" w:rsidRPr="00D12153" w:rsidRDefault="00D12153" w:rsidP="00D12153">
      <w:pPr>
        <w:spacing w:line="440" w:lineRule="exact"/>
        <w:ind w:firstLineChars="200" w:firstLine="482"/>
        <w:rPr>
          <w:rFonts w:ascii="Times New Roman" w:eastAsia="宋体" w:hAnsi="Times New Roman" w:cs="Times New Roman"/>
          <w:color w:val="000000"/>
          <w:sz w:val="24"/>
          <w:szCs w:val="24"/>
        </w:rPr>
      </w:pPr>
      <w:r w:rsidRPr="00D12153">
        <w:rPr>
          <w:rFonts w:ascii="Times New Roman" w:eastAsia="宋体" w:hAnsi="Times New Roman" w:cs="Times New Roman"/>
          <w:b/>
          <w:bCs/>
          <w:color w:val="000000"/>
          <w:sz w:val="24"/>
          <w:szCs w:val="24"/>
        </w:rPr>
        <w:t>【教学方法】</w:t>
      </w:r>
    </w:p>
    <w:p w14:paraId="5BDD4E45"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通过多媒体课件和传统教学相结合，阐明课程与教学基本原理，丰富学生课程与教学的基本知识结构，培养学生的职业规范；</w:t>
      </w:r>
    </w:p>
    <w:p w14:paraId="54108255"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采用以问题为导向的教学法，通过问题聚焦，让学生自行查阅资料，同学相互交流，教师适时点拨，学生独立完成调研报告等形式，进一步理解与掌握相关的理论知识，培养学生分析问题、解决问题的能力。</w:t>
      </w:r>
    </w:p>
    <w:p w14:paraId="1864EBD8"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【复习思考】</w:t>
      </w:r>
    </w:p>
    <w:p w14:paraId="72B885B2"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香豆素类化合物的基本母核。</w:t>
      </w:r>
    </w:p>
    <w:p w14:paraId="2BEE01C4" w14:textId="77777777" w:rsidR="00D12153" w:rsidRPr="00D12153" w:rsidRDefault="00D12153" w:rsidP="00D12153">
      <w:pPr>
        <w:spacing w:beforeLines="50" w:before="156" w:afterLines="50" w:after="156" w:line="440" w:lineRule="exact"/>
        <w:ind w:firstLineChars="200" w:firstLine="560"/>
        <w:jc w:val="center"/>
        <w:rPr>
          <w:rFonts w:ascii="Times New Roman" w:eastAsia="宋体" w:hAnsi="Times New Roman" w:cs="Times New Roman"/>
          <w:color w:val="000000"/>
          <w:sz w:val="24"/>
          <w:szCs w:val="24"/>
        </w:rPr>
      </w:pPr>
      <w:r w:rsidRPr="00D12153">
        <w:rPr>
          <w:rFonts w:ascii="Times New Roman" w:eastAsia="黑体" w:hAnsi="Times New Roman" w:cs="Times New Roman"/>
          <w:color w:val="000000"/>
          <w:sz w:val="28"/>
          <w:szCs w:val="28"/>
        </w:rPr>
        <w:t>第四章</w:t>
      </w:r>
      <w:r w:rsidRPr="00D12153">
        <w:rPr>
          <w:rFonts w:ascii="Times New Roman" w:eastAsia="黑体" w:hAnsi="Times New Roman" w:cs="Times New Roman"/>
          <w:color w:val="000000"/>
          <w:sz w:val="28"/>
          <w:szCs w:val="28"/>
        </w:rPr>
        <w:t xml:space="preserve">  </w:t>
      </w:r>
      <w:proofErr w:type="gramStart"/>
      <w:r w:rsidRPr="00D12153">
        <w:rPr>
          <w:rFonts w:ascii="Times New Roman" w:eastAsia="黑体" w:hAnsi="Times New Roman" w:cs="Times New Roman"/>
          <w:color w:val="000000"/>
          <w:sz w:val="28"/>
          <w:szCs w:val="28"/>
        </w:rPr>
        <w:t>醌</w:t>
      </w:r>
      <w:proofErr w:type="gramEnd"/>
      <w:r w:rsidRPr="00D12153">
        <w:rPr>
          <w:rFonts w:ascii="Times New Roman" w:eastAsia="黑体" w:hAnsi="Times New Roman" w:cs="Times New Roman"/>
          <w:color w:val="000000"/>
          <w:sz w:val="28"/>
          <w:szCs w:val="28"/>
        </w:rPr>
        <w:t>类化合物</w:t>
      </w:r>
    </w:p>
    <w:p w14:paraId="64C678AB"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【学习目标】</w:t>
      </w:r>
    </w:p>
    <w:p w14:paraId="2D10285D"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lastRenderedPageBreak/>
        <w:t xml:space="preserve">1. </w:t>
      </w:r>
      <w:r w:rsidRPr="00D12153">
        <w:rPr>
          <w:rFonts w:ascii="Times New Roman" w:eastAsia="宋体" w:hAnsi="Times New Roman" w:cs="Times New Roman"/>
          <w:color w:val="000000"/>
          <w:sz w:val="24"/>
          <w:szCs w:val="24"/>
        </w:rPr>
        <w:t>认知类目标：掌握</w:t>
      </w:r>
      <w:proofErr w:type="gramStart"/>
      <w:r w:rsidRPr="00D12153">
        <w:rPr>
          <w:rFonts w:ascii="Times New Roman" w:eastAsia="宋体" w:hAnsi="Times New Roman" w:cs="Times New Roman"/>
          <w:color w:val="000000"/>
          <w:sz w:val="24"/>
          <w:szCs w:val="24"/>
        </w:rPr>
        <w:t>醌</w:t>
      </w:r>
      <w:proofErr w:type="gramEnd"/>
      <w:r w:rsidRPr="00D12153">
        <w:rPr>
          <w:rFonts w:ascii="Times New Roman" w:eastAsia="宋体" w:hAnsi="Times New Roman" w:cs="Times New Roman"/>
          <w:color w:val="000000"/>
          <w:sz w:val="24"/>
          <w:szCs w:val="24"/>
        </w:rPr>
        <w:t>类化合物的结构类型、性质；了解苯醌、</w:t>
      </w:r>
      <w:proofErr w:type="gramStart"/>
      <w:r w:rsidRPr="00D12153">
        <w:rPr>
          <w:rFonts w:ascii="Times New Roman" w:eastAsia="宋体" w:hAnsi="Times New Roman" w:cs="Times New Roman"/>
          <w:color w:val="000000"/>
          <w:sz w:val="24"/>
          <w:szCs w:val="24"/>
        </w:rPr>
        <w:t>萘醌</w:t>
      </w:r>
      <w:proofErr w:type="gramEnd"/>
      <w:r w:rsidRPr="00D12153">
        <w:rPr>
          <w:rFonts w:ascii="Times New Roman" w:eastAsia="宋体" w:hAnsi="Times New Roman" w:cs="Times New Roman"/>
          <w:color w:val="000000"/>
          <w:sz w:val="24"/>
          <w:szCs w:val="24"/>
        </w:rPr>
        <w:t>的主要理化性质</w:t>
      </w:r>
    </w:p>
    <w:p w14:paraId="5FE9555E"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过程与方法类目标：掌握</w:t>
      </w:r>
      <w:proofErr w:type="gramStart"/>
      <w:r w:rsidRPr="00D12153">
        <w:rPr>
          <w:rFonts w:ascii="Times New Roman" w:eastAsia="宋体" w:hAnsi="Times New Roman" w:cs="Times New Roman"/>
          <w:color w:val="000000"/>
          <w:sz w:val="24"/>
          <w:szCs w:val="24"/>
        </w:rPr>
        <w:t>醌</w:t>
      </w:r>
      <w:proofErr w:type="gramEnd"/>
      <w:r w:rsidRPr="00D12153">
        <w:rPr>
          <w:rFonts w:ascii="Times New Roman" w:eastAsia="宋体" w:hAnsi="Times New Roman" w:cs="Times New Roman"/>
          <w:color w:val="000000"/>
          <w:sz w:val="24"/>
          <w:szCs w:val="24"/>
        </w:rPr>
        <w:t>类化合物的提取分离方法；了解苯醌、</w:t>
      </w:r>
      <w:proofErr w:type="gramStart"/>
      <w:r w:rsidRPr="00D12153">
        <w:rPr>
          <w:rFonts w:ascii="Times New Roman" w:eastAsia="宋体" w:hAnsi="Times New Roman" w:cs="Times New Roman"/>
          <w:color w:val="000000"/>
          <w:sz w:val="24"/>
          <w:szCs w:val="24"/>
        </w:rPr>
        <w:t>萘醌</w:t>
      </w:r>
      <w:proofErr w:type="gramEnd"/>
      <w:r w:rsidRPr="00D12153">
        <w:rPr>
          <w:rFonts w:ascii="Times New Roman" w:eastAsia="宋体" w:hAnsi="Times New Roman" w:cs="Times New Roman"/>
          <w:color w:val="000000"/>
          <w:sz w:val="24"/>
          <w:szCs w:val="24"/>
        </w:rPr>
        <w:t>的提取、分离、鉴定的一般方法。</w:t>
      </w:r>
    </w:p>
    <w:p w14:paraId="157CF255"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3. </w:t>
      </w:r>
      <w:r w:rsidRPr="00D12153">
        <w:rPr>
          <w:rFonts w:ascii="Times New Roman" w:eastAsia="宋体" w:hAnsi="Times New Roman" w:cs="Times New Roman"/>
          <w:color w:val="000000"/>
          <w:sz w:val="24"/>
          <w:szCs w:val="24"/>
        </w:rPr>
        <w:t>情感、态度、价值类目标：了解</w:t>
      </w:r>
      <w:proofErr w:type="gramStart"/>
      <w:r w:rsidRPr="00D12153">
        <w:rPr>
          <w:rFonts w:ascii="Times New Roman" w:eastAsia="宋体" w:hAnsi="Times New Roman" w:cs="Times New Roman"/>
          <w:color w:val="000000"/>
          <w:sz w:val="24"/>
          <w:szCs w:val="24"/>
        </w:rPr>
        <w:t>醌</w:t>
      </w:r>
      <w:proofErr w:type="gramEnd"/>
      <w:r w:rsidRPr="00D12153">
        <w:rPr>
          <w:rFonts w:ascii="Times New Roman" w:eastAsia="宋体" w:hAnsi="Times New Roman" w:cs="Times New Roman"/>
          <w:color w:val="000000"/>
          <w:sz w:val="24"/>
          <w:szCs w:val="24"/>
        </w:rPr>
        <w:t>类化合物的基本性质以及在生活中的实际应用，培养学生对于天然药物研</w:t>
      </w:r>
      <w:r w:rsidRPr="00D12153">
        <w:rPr>
          <w:rFonts w:ascii="Times New Roman" w:eastAsia="宋体" w:hAnsi="Times New Roman" w:cs="Times New Roman" w:hint="eastAsia"/>
          <w:color w:val="000000"/>
          <w:sz w:val="24"/>
          <w:szCs w:val="24"/>
        </w:rPr>
        <w:t>究</w:t>
      </w:r>
      <w:r w:rsidRPr="00D12153">
        <w:rPr>
          <w:rFonts w:ascii="Times New Roman" w:eastAsia="宋体" w:hAnsi="Times New Roman" w:cs="Times New Roman"/>
          <w:color w:val="000000"/>
          <w:sz w:val="24"/>
          <w:szCs w:val="24"/>
        </w:rPr>
        <w:t>的兴趣。</w:t>
      </w:r>
    </w:p>
    <w:p w14:paraId="75697207"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【学习内容】</w:t>
      </w:r>
    </w:p>
    <w:p w14:paraId="69487DDC" w14:textId="77777777" w:rsidR="00D12153" w:rsidRPr="00D12153" w:rsidRDefault="00D12153">
      <w:pPr>
        <w:numPr>
          <w:ilvl w:val="0"/>
          <w:numId w:val="203"/>
        </w:num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苯醌、</w:t>
      </w:r>
      <w:proofErr w:type="gramStart"/>
      <w:r w:rsidRPr="00D12153">
        <w:rPr>
          <w:rFonts w:ascii="Times New Roman" w:eastAsia="宋体" w:hAnsi="Times New Roman" w:cs="Times New Roman"/>
          <w:color w:val="000000"/>
          <w:sz w:val="24"/>
          <w:szCs w:val="24"/>
        </w:rPr>
        <w:t>萘醌</w:t>
      </w:r>
      <w:proofErr w:type="gramEnd"/>
      <w:r w:rsidRPr="00D12153">
        <w:rPr>
          <w:rFonts w:ascii="Times New Roman" w:eastAsia="宋体" w:hAnsi="Times New Roman" w:cs="Times New Roman"/>
          <w:color w:val="000000"/>
          <w:sz w:val="24"/>
          <w:szCs w:val="24"/>
        </w:rPr>
        <w:t xml:space="preserve"> </w:t>
      </w:r>
      <w:r w:rsidRPr="00D12153">
        <w:rPr>
          <w:rFonts w:ascii="Times New Roman" w:eastAsia="宋体" w:hAnsi="Times New Roman" w:cs="Times New Roman"/>
          <w:color w:val="000000"/>
          <w:sz w:val="24"/>
          <w:szCs w:val="24"/>
        </w:rPr>
        <w:t>、菲</w:t>
      </w:r>
      <w:proofErr w:type="gramStart"/>
      <w:r w:rsidRPr="00D12153">
        <w:rPr>
          <w:rFonts w:ascii="Times New Roman" w:eastAsia="宋体" w:hAnsi="Times New Roman" w:cs="Times New Roman"/>
          <w:color w:val="000000"/>
          <w:sz w:val="24"/>
          <w:szCs w:val="24"/>
        </w:rPr>
        <w:t>醌</w:t>
      </w:r>
      <w:proofErr w:type="gramEnd"/>
      <w:r w:rsidRPr="00D12153">
        <w:rPr>
          <w:rFonts w:ascii="Times New Roman" w:eastAsia="宋体" w:hAnsi="Times New Roman" w:cs="Times New Roman"/>
          <w:color w:val="000000"/>
          <w:sz w:val="24"/>
          <w:szCs w:val="24"/>
        </w:rPr>
        <w:t>、和蒽醌类化合物的基本类型和分类；</w:t>
      </w:r>
    </w:p>
    <w:p w14:paraId="1D1162ED" w14:textId="77777777" w:rsidR="00D12153" w:rsidRPr="00D12153" w:rsidRDefault="00D12153">
      <w:pPr>
        <w:numPr>
          <w:ilvl w:val="0"/>
          <w:numId w:val="203"/>
        </w:numPr>
        <w:adjustRightInd w:val="0"/>
        <w:snapToGrid w:val="0"/>
        <w:spacing w:line="440" w:lineRule="exact"/>
        <w:ind w:firstLineChars="200" w:firstLine="480"/>
        <w:rPr>
          <w:rFonts w:ascii="Times New Roman" w:eastAsia="宋体" w:hAnsi="Times New Roman" w:cs="Times New Roman"/>
          <w:color w:val="000000"/>
          <w:sz w:val="24"/>
          <w:szCs w:val="24"/>
        </w:rPr>
      </w:pPr>
      <w:proofErr w:type="gramStart"/>
      <w:r w:rsidRPr="00D12153">
        <w:rPr>
          <w:rFonts w:ascii="Times New Roman" w:eastAsia="宋体" w:hAnsi="Times New Roman" w:cs="Times New Roman"/>
          <w:color w:val="000000"/>
          <w:sz w:val="24"/>
          <w:szCs w:val="24"/>
        </w:rPr>
        <w:t>醌</w:t>
      </w:r>
      <w:proofErr w:type="gramEnd"/>
      <w:r w:rsidRPr="00D12153">
        <w:rPr>
          <w:rFonts w:ascii="Times New Roman" w:eastAsia="宋体" w:hAnsi="Times New Roman" w:cs="Times New Roman"/>
          <w:color w:val="000000"/>
          <w:sz w:val="24"/>
          <w:szCs w:val="24"/>
        </w:rPr>
        <w:t>类化合物的颜色、升华性、溶解度及与结构的关系；</w:t>
      </w:r>
    </w:p>
    <w:p w14:paraId="3F0CD732" w14:textId="77777777" w:rsidR="00D12153" w:rsidRPr="00D12153" w:rsidRDefault="00D12153">
      <w:pPr>
        <w:numPr>
          <w:ilvl w:val="0"/>
          <w:numId w:val="203"/>
        </w:num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蒽醌类化合物的酸性、酸性强弱与结构的关系及</w:t>
      </w:r>
      <w:r w:rsidRPr="00D12153">
        <w:rPr>
          <w:rFonts w:ascii="Times New Roman" w:eastAsia="宋体" w:hAnsi="Times New Roman" w:cs="Times New Roman"/>
          <w:color w:val="000000"/>
          <w:sz w:val="24"/>
          <w:szCs w:val="24"/>
        </w:rPr>
        <w:t>PH</w:t>
      </w:r>
      <w:r w:rsidRPr="00D12153">
        <w:rPr>
          <w:rFonts w:ascii="Times New Roman" w:eastAsia="宋体" w:hAnsi="Times New Roman" w:cs="Times New Roman"/>
          <w:color w:val="000000"/>
          <w:sz w:val="24"/>
          <w:szCs w:val="24"/>
        </w:rPr>
        <w:t>梯度法分离蒽醌化合物的应用；</w:t>
      </w:r>
    </w:p>
    <w:p w14:paraId="6AA85C5F" w14:textId="77777777" w:rsidR="00D12153" w:rsidRPr="00D12153" w:rsidRDefault="00D12153">
      <w:pPr>
        <w:numPr>
          <w:ilvl w:val="0"/>
          <w:numId w:val="203"/>
        </w:num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显色反应及其应用；</w:t>
      </w:r>
    </w:p>
    <w:p w14:paraId="57ECA617" w14:textId="77777777" w:rsidR="00D12153" w:rsidRPr="00D12153" w:rsidRDefault="00D12153">
      <w:pPr>
        <w:numPr>
          <w:ilvl w:val="0"/>
          <w:numId w:val="203"/>
        </w:numPr>
        <w:adjustRightInd w:val="0"/>
        <w:snapToGrid w:val="0"/>
        <w:spacing w:line="440" w:lineRule="exact"/>
        <w:ind w:firstLineChars="200" w:firstLine="480"/>
        <w:rPr>
          <w:rFonts w:ascii="Times New Roman" w:eastAsia="宋体" w:hAnsi="Times New Roman" w:cs="Times New Roman"/>
          <w:color w:val="000000"/>
          <w:sz w:val="24"/>
          <w:szCs w:val="24"/>
        </w:rPr>
      </w:pPr>
      <w:proofErr w:type="gramStart"/>
      <w:r w:rsidRPr="00D12153">
        <w:rPr>
          <w:rFonts w:ascii="Times New Roman" w:eastAsia="宋体" w:hAnsi="Times New Roman" w:cs="Times New Roman"/>
          <w:color w:val="000000"/>
          <w:sz w:val="24"/>
          <w:szCs w:val="24"/>
        </w:rPr>
        <w:t>醌</w:t>
      </w:r>
      <w:proofErr w:type="gramEnd"/>
      <w:r w:rsidRPr="00D12153">
        <w:rPr>
          <w:rFonts w:ascii="Times New Roman" w:eastAsia="宋体" w:hAnsi="Times New Roman" w:cs="Times New Roman"/>
          <w:color w:val="000000"/>
          <w:sz w:val="24"/>
          <w:szCs w:val="24"/>
        </w:rPr>
        <w:t>类化合物提取分离方法；</w:t>
      </w:r>
    </w:p>
    <w:p w14:paraId="2CACAAAE" w14:textId="77777777" w:rsidR="00D12153" w:rsidRPr="00D12153" w:rsidRDefault="00D12153">
      <w:pPr>
        <w:numPr>
          <w:ilvl w:val="0"/>
          <w:numId w:val="203"/>
        </w:num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蒽醌类化合物紫外光谱、红外光谱、氢谱、碳谱、质谱特征及结构研究实例；</w:t>
      </w:r>
    </w:p>
    <w:p w14:paraId="771CA562" w14:textId="77777777" w:rsidR="00D12153" w:rsidRPr="00D12153" w:rsidRDefault="00D12153">
      <w:pPr>
        <w:numPr>
          <w:ilvl w:val="0"/>
          <w:numId w:val="203"/>
        </w:num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蒽醌类化合物衍生物的制备。</w:t>
      </w:r>
    </w:p>
    <w:p w14:paraId="21018814" w14:textId="77777777" w:rsidR="00D12153" w:rsidRPr="00D12153" w:rsidRDefault="00D12153" w:rsidP="00D12153">
      <w:pPr>
        <w:adjustRightInd w:val="0"/>
        <w:snapToGrid w:val="0"/>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【重点】</w:t>
      </w:r>
      <w:r w:rsidRPr="00D12153">
        <w:rPr>
          <w:rFonts w:ascii="Times New Roman" w:eastAsia="宋体" w:hAnsi="Times New Roman" w:cs="Times New Roman"/>
          <w:b/>
          <w:color w:val="000000"/>
          <w:sz w:val="24"/>
          <w:szCs w:val="24"/>
        </w:rPr>
        <w:t xml:space="preserve"> </w:t>
      </w:r>
    </w:p>
    <w:p w14:paraId="52CE3B42" w14:textId="77777777" w:rsidR="00D12153" w:rsidRPr="00D12153" w:rsidRDefault="00D12153">
      <w:pPr>
        <w:numPr>
          <w:ilvl w:val="0"/>
          <w:numId w:val="204"/>
        </w:num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蒽醌类化合物的结构类型；</w:t>
      </w:r>
    </w:p>
    <w:p w14:paraId="4CC44491"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蒽醌类化合物的提取分离方法。</w:t>
      </w:r>
    </w:p>
    <w:p w14:paraId="2087569B"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【难点】</w:t>
      </w:r>
      <w:r w:rsidRPr="00D12153">
        <w:rPr>
          <w:rFonts w:ascii="Times New Roman" w:eastAsia="宋体" w:hAnsi="Times New Roman" w:cs="Times New Roman"/>
          <w:b/>
          <w:color w:val="000000"/>
          <w:sz w:val="24"/>
          <w:szCs w:val="24"/>
        </w:rPr>
        <w:t xml:space="preserve">  </w:t>
      </w:r>
    </w:p>
    <w:p w14:paraId="03122951"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bCs/>
          <w:color w:val="000000"/>
          <w:sz w:val="24"/>
          <w:szCs w:val="24"/>
        </w:rPr>
        <w:t xml:space="preserve">1. </w:t>
      </w:r>
      <w:proofErr w:type="gramStart"/>
      <w:r w:rsidRPr="00D12153">
        <w:rPr>
          <w:rFonts w:ascii="Times New Roman" w:eastAsia="宋体" w:hAnsi="Times New Roman" w:cs="Times New Roman"/>
          <w:color w:val="000000"/>
          <w:sz w:val="24"/>
          <w:szCs w:val="24"/>
        </w:rPr>
        <w:t>醌</w:t>
      </w:r>
      <w:proofErr w:type="gramEnd"/>
      <w:r w:rsidRPr="00D12153">
        <w:rPr>
          <w:rFonts w:ascii="Times New Roman" w:eastAsia="宋体" w:hAnsi="Times New Roman" w:cs="Times New Roman"/>
          <w:color w:val="000000"/>
          <w:sz w:val="24"/>
          <w:szCs w:val="24"/>
        </w:rPr>
        <w:t>类化合物的结构鉴定。</w:t>
      </w:r>
    </w:p>
    <w:p w14:paraId="6AC7B3F5" w14:textId="77777777" w:rsidR="00D12153" w:rsidRPr="00D12153" w:rsidRDefault="00D12153" w:rsidP="00D12153">
      <w:pPr>
        <w:spacing w:line="440" w:lineRule="exact"/>
        <w:ind w:firstLineChars="200" w:firstLine="482"/>
        <w:rPr>
          <w:rFonts w:ascii="Times New Roman" w:eastAsia="宋体" w:hAnsi="Times New Roman" w:cs="Times New Roman"/>
          <w:color w:val="000000"/>
          <w:sz w:val="24"/>
          <w:szCs w:val="24"/>
        </w:rPr>
      </w:pPr>
      <w:r w:rsidRPr="00D12153">
        <w:rPr>
          <w:rFonts w:ascii="Times New Roman" w:eastAsia="宋体" w:hAnsi="Times New Roman" w:cs="Times New Roman"/>
          <w:b/>
          <w:bCs/>
          <w:color w:val="000000"/>
          <w:sz w:val="24"/>
          <w:szCs w:val="24"/>
        </w:rPr>
        <w:t>【教学方法】</w:t>
      </w:r>
    </w:p>
    <w:p w14:paraId="0A4FAC4E" w14:textId="77777777" w:rsidR="00D12153" w:rsidRPr="00D12153" w:rsidRDefault="00D12153">
      <w:pPr>
        <w:numPr>
          <w:ilvl w:val="0"/>
          <w:numId w:val="196"/>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通过多媒体课件和传统教学相结合，阐明课程与教学基本原理，丰富学生课程与教学的基本知识结构，培养学生的职业规范。</w:t>
      </w:r>
    </w:p>
    <w:p w14:paraId="2D91DEEA"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【复习思考】</w:t>
      </w:r>
    </w:p>
    <w:p w14:paraId="502181C9"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蒽醌类化合物的酸性强弱与结构的关系。</w:t>
      </w:r>
    </w:p>
    <w:p w14:paraId="307CE080" w14:textId="77777777" w:rsidR="00D12153" w:rsidRPr="00D12153" w:rsidRDefault="00D12153" w:rsidP="00D12153">
      <w:pPr>
        <w:spacing w:beforeLines="50" w:before="156" w:afterLines="50" w:after="156" w:line="440" w:lineRule="exact"/>
        <w:ind w:firstLineChars="200" w:firstLine="560"/>
        <w:jc w:val="center"/>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t>第五章</w:t>
      </w:r>
      <w:r w:rsidRPr="00D12153">
        <w:rPr>
          <w:rFonts w:ascii="Times New Roman" w:eastAsia="黑体" w:hAnsi="Times New Roman" w:cs="Times New Roman"/>
          <w:color w:val="000000"/>
          <w:sz w:val="28"/>
          <w:szCs w:val="28"/>
        </w:rPr>
        <w:t xml:space="preserve">  </w:t>
      </w:r>
      <w:r w:rsidRPr="00D12153">
        <w:rPr>
          <w:rFonts w:ascii="Times New Roman" w:eastAsia="黑体" w:hAnsi="Times New Roman" w:cs="Times New Roman"/>
          <w:color w:val="000000"/>
          <w:sz w:val="28"/>
          <w:szCs w:val="28"/>
        </w:rPr>
        <w:t>黄酮类化合物</w:t>
      </w:r>
    </w:p>
    <w:p w14:paraId="41BD583B"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【学习目标】</w:t>
      </w:r>
    </w:p>
    <w:p w14:paraId="17EE9F16"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认知类目标：掌握黄酮类化合物的结构类型、理化性质；了解黄酮类化合物的主要生理作用</w:t>
      </w:r>
    </w:p>
    <w:p w14:paraId="3859C5B1"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过程与方法类目标：掌握黄酮类化合物的提取分离方法和波谱在测定结果中的应用；熟悉黄酮类化合物的提取分离原理；</w:t>
      </w:r>
    </w:p>
    <w:p w14:paraId="6701E1B4"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lastRenderedPageBreak/>
        <w:t xml:space="preserve">3. </w:t>
      </w:r>
      <w:r w:rsidRPr="00D12153">
        <w:rPr>
          <w:rFonts w:ascii="Times New Roman" w:eastAsia="宋体" w:hAnsi="Times New Roman" w:cs="Times New Roman"/>
          <w:color w:val="000000"/>
          <w:sz w:val="24"/>
          <w:szCs w:val="24"/>
        </w:rPr>
        <w:t>情感、态度、价值类目标：了解黄酮类化合物的基本性质以及在生活中的实际应用，培养学生对于天然药物研</w:t>
      </w:r>
      <w:r w:rsidRPr="00D12153">
        <w:rPr>
          <w:rFonts w:ascii="Times New Roman" w:eastAsia="宋体" w:hAnsi="Times New Roman" w:cs="Times New Roman" w:hint="eastAsia"/>
          <w:color w:val="000000"/>
          <w:sz w:val="24"/>
          <w:szCs w:val="24"/>
        </w:rPr>
        <w:t>究</w:t>
      </w:r>
      <w:r w:rsidRPr="00D12153">
        <w:rPr>
          <w:rFonts w:ascii="Times New Roman" w:eastAsia="宋体" w:hAnsi="Times New Roman" w:cs="Times New Roman"/>
          <w:color w:val="000000"/>
          <w:sz w:val="24"/>
          <w:szCs w:val="24"/>
        </w:rPr>
        <w:t>的兴趣。</w:t>
      </w:r>
    </w:p>
    <w:p w14:paraId="4E3C9E64"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【学习内容】</w:t>
      </w:r>
    </w:p>
    <w:p w14:paraId="069540AB" w14:textId="77777777" w:rsidR="00D12153" w:rsidRPr="00D12153" w:rsidRDefault="00D12153">
      <w:pPr>
        <w:numPr>
          <w:ilvl w:val="0"/>
          <w:numId w:val="205"/>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黄酮类化合物的概念、结构分类及代表物的化学结构；</w:t>
      </w:r>
    </w:p>
    <w:p w14:paraId="26DE8789" w14:textId="77777777" w:rsidR="00D12153" w:rsidRPr="00D12153" w:rsidRDefault="00D12153">
      <w:pPr>
        <w:numPr>
          <w:ilvl w:val="0"/>
          <w:numId w:val="205"/>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黄酮类化合物的性质；</w:t>
      </w:r>
    </w:p>
    <w:p w14:paraId="42025B13" w14:textId="77777777" w:rsidR="00D12153" w:rsidRPr="00D12153" w:rsidRDefault="00D12153">
      <w:pPr>
        <w:numPr>
          <w:ilvl w:val="0"/>
          <w:numId w:val="205"/>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黄酮类化合物的生物合成途径；</w:t>
      </w:r>
    </w:p>
    <w:p w14:paraId="6F6CCC9A" w14:textId="77777777" w:rsidR="00D12153" w:rsidRPr="00D12153" w:rsidRDefault="00D12153">
      <w:pPr>
        <w:numPr>
          <w:ilvl w:val="0"/>
          <w:numId w:val="205"/>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黄酮类化合物的生物活性；</w:t>
      </w:r>
    </w:p>
    <w:p w14:paraId="3BF234F2" w14:textId="77777777" w:rsidR="00D12153" w:rsidRPr="00D12153" w:rsidRDefault="00D12153">
      <w:pPr>
        <w:numPr>
          <w:ilvl w:val="0"/>
          <w:numId w:val="205"/>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黄酮类化合物提取常用的方法；</w:t>
      </w:r>
    </w:p>
    <w:p w14:paraId="55E5EB46" w14:textId="77777777" w:rsidR="00D12153" w:rsidRPr="00D12153" w:rsidRDefault="00D12153">
      <w:pPr>
        <w:numPr>
          <w:ilvl w:val="0"/>
          <w:numId w:val="205"/>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黄酮类化合物分离常用的方法；</w:t>
      </w:r>
    </w:p>
    <w:p w14:paraId="707FC195" w14:textId="77777777" w:rsidR="00D12153" w:rsidRPr="00D12153" w:rsidRDefault="00D12153">
      <w:pPr>
        <w:numPr>
          <w:ilvl w:val="0"/>
          <w:numId w:val="205"/>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薄层层析在黄酮类化合物鉴定中的应用</w:t>
      </w:r>
    </w:p>
    <w:p w14:paraId="70325335" w14:textId="77777777" w:rsidR="00D12153" w:rsidRPr="00D12153" w:rsidRDefault="00D12153">
      <w:pPr>
        <w:numPr>
          <w:ilvl w:val="0"/>
          <w:numId w:val="205"/>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紫外光谱、核磁在黄酮类化合物鉴定中的应用。</w:t>
      </w:r>
    </w:p>
    <w:p w14:paraId="55AF0F9D"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【重点】</w:t>
      </w:r>
      <w:r w:rsidRPr="00D12153">
        <w:rPr>
          <w:rFonts w:ascii="Times New Roman" w:eastAsia="宋体" w:hAnsi="Times New Roman" w:cs="Times New Roman"/>
          <w:b/>
          <w:color w:val="000000"/>
          <w:sz w:val="24"/>
          <w:szCs w:val="24"/>
        </w:rPr>
        <w:t xml:space="preserve">  </w:t>
      </w:r>
    </w:p>
    <w:p w14:paraId="37F6E183"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bCs/>
          <w:color w:val="000000"/>
          <w:sz w:val="24"/>
          <w:szCs w:val="24"/>
        </w:rPr>
        <w:t xml:space="preserve">1. </w:t>
      </w:r>
      <w:r w:rsidRPr="00D12153">
        <w:rPr>
          <w:rFonts w:ascii="Times New Roman" w:eastAsia="宋体" w:hAnsi="Times New Roman" w:cs="Times New Roman"/>
          <w:color w:val="000000"/>
          <w:sz w:val="24"/>
          <w:szCs w:val="24"/>
        </w:rPr>
        <w:t>黄酮类化合物的结构分类及代表物的化学结构、性质；</w:t>
      </w:r>
    </w:p>
    <w:p w14:paraId="15363283"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黄酮类化合物常用的提取方法和分离方法；</w:t>
      </w:r>
    </w:p>
    <w:p w14:paraId="5B3C8FD9"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3. </w:t>
      </w:r>
      <w:r w:rsidRPr="00D12153">
        <w:rPr>
          <w:rFonts w:ascii="Times New Roman" w:eastAsia="宋体" w:hAnsi="Times New Roman" w:cs="Times New Roman"/>
          <w:color w:val="000000"/>
          <w:sz w:val="24"/>
          <w:szCs w:val="24"/>
        </w:rPr>
        <w:t>薄层层析在黄酮类化合物鉴定中的应用。</w:t>
      </w:r>
    </w:p>
    <w:p w14:paraId="3D6763E1"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【难点】</w:t>
      </w:r>
      <w:r w:rsidRPr="00D12153">
        <w:rPr>
          <w:rFonts w:ascii="Times New Roman" w:eastAsia="宋体" w:hAnsi="Times New Roman" w:cs="Times New Roman"/>
          <w:b/>
          <w:color w:val="000000"/>
          <w:sz w:val="24"/>
          <w:szCs w:val="24"/>
        </w:rPr>
        <w:t xml:space="preserve">  </w:t>
      </w:r>
    </w:p>
    <w:p w14:paraId="426F85BB" w14:textId="77777777" w:rsidR="00D12153" w:rsidRPr="00D12153" w:rsidRDefault="00D12153" w:rsidP="00D12153">
      <w:pPr>
        <w:spacing w:line="440" w:lineRule="exact"/>
        <w:ind w:firstLineChars="200" w:firstLine="480"/>
        <w:rPr>
          <w:rFonts w:ascii="Times New Roman" w:eastAsia="宋体" w:hAnsi="Times New Roman" w:cs="Times New Roman"/>
          <w:bCs/>
          <w:color w:val="000000"/>
          <w:sz w:val="24"/>
          <w:szCs w:val="24"/>
        </w:rPr>
      </w:pPr>
      <w:r w:rsidRPr="00D12153">
        <w:rPr>
          <w:rFonts w:ascii="Times New Roman" w:eastAsia="宋体" w:hAnsi="Times New Roman" w:cs="Times New Roman"/>
          <w:bCs/>
          <w:color w:val="000000"/>
          <w:sz w:val="24"/>
          <w:szCs w:val="24"/>
        </w:rPr>
        <w:t xml:space="preserve">1. </w:t>
      </w:r>
      <w:r w:rsidRPr="00D12153">
        <w:rPr>
          <w:rFonts w:ascii="Times New Roman" w:eastAsia="宋体" w:hAnsi="Times New Roman" w:cs="Times New Roman"/>
          <w:bCs/>
          <w:color w:val="000000"/>
          <w:sz w:val="24"/>
          <w:szCs w:val="24"/>
        </w:rPr>
        <w:t>黄酮类化合物的波谱学特征；</w:t>
      </w:r>
    </w:p>
    <w:p w14:paraId="4B6A2C5A" w14:textId="77777777" w:rsidR="00D12153" w:rsidRPr="00D12153" w:rsidRDefault="00D12153" w:rsidP="00D12153">
      <w:pPr>
        <w:spacing w:line="440" w:lineRule="exact"/>
        <w:ind w:firstLineChars="200" w:firstLine="480"/>
        <w:rPr>
          <w:rFonts w:ascii="Times New Roman" w:eastAsia="宋体" w:hAnsi="Times New Roman" w:cs="Times New Roman"/>
          <w:bCs/>
          <w:color w:val="000000"/>
          <w:sz w:val="24"/>
          <w:szCs w:val="24"/>
        </w:rPr>
      </w:pPr>
      <w:r w:rsidRPr="00D12153">
        <w:rPr>
          <w:rFonts w:ascii="Times New Roman" w:eastAsia="宋体" w:hAnsi="Times New Roman" w:cs="Times New Roman"/>
          <w:bCs/>
          <w:color w:val="000000"/>
          <w:sz w:val="24"/>
          <w:szCs w:val="24"/>
        </w:rPr>
        <w:t xml:space="preserve">2. </w:t>
      </w:r>
      <w:r w:rsidRPr="00D12153">
        <w:rPr>
          <w:rFonts w:ascii="Times New Roman" w:eastAsia="宋体" w:hAnsi="Times New Roman" w:cs="Times New Roman"/>
          <w:bCs/>
          <w:color w:val="000000"/>
          <w:sz w:val="24"/>
          <w:szCs w:val="24"/>
        </w:rPr>
        <w:t>黄酮类化合物的生物合成途径和性质黄酮类化合物的生物合成途径和性质。</w:t>
      </w:r>
    </w:p>
    <w:p w14:paraId="4334553B" w14:textId="77777777" w:rsidR="00D12153" w:rsidRPr="00D12153" w:rsidRDefault="00D12153" w:rsidP="00D12153">
      <w:pPr>
        <w:spacing w:line="440" w:lineRule="exact"/>
        <w:ind w:firstLineChars="200" w:firstLine="482"/>
        <w:rPr>
          <w:rFonts w:ascii="Times New Roman" w:eastAsia="宋体" w:hAnsi="Times New Roman" w:cs="Times New Roman"/>
          <w:color w:val="000000"/>
          <w:sz w:val="24"/>
          <w:szCs w:val="24"/>
        </w:rPr>
      </w:pPr>
      <w:r w:rsidRPr="00D12153">
        <w:rPr>
          <w:rFonts w:ascii="Times New Roman" w:eastAsia="宋体" w:hAnsi="Times New Roman" w:cs="Times New Roman"/>
          <w:b/>
          <w:bCs/>
          <w:color w:val="000000"/>
          <w:sz w:val="24"/>
          <w:szCs w:val="24"/>
        </w:rPr>
        <w:t>【教学方法】</w:t>
      </w:r>
    </w:p>
    <w:p w14:paraId="49B69EC9" w14:textId="77777777" w:rsidR="00D12153" w:rsidRPr="00D12153" w:rsidRDefault="00D12153">
      <w:pPr>
        <w:numPr>
          <w:ilvl w:val="0"/>
          <w:numId w:val="206"/>
        </w:numPr>
        <w:spacing w:line="440" w:lineRule="exact"/>
        <w:ind w:leftChars="200" w:left="42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通过多媒体课件和传统教学相结合，阐明课程与教学基本原理，丰富学生课程与教学的基本知识结构，培养学生的职业规范。</w:t>
      </w:r>
    </w:p>
    <w:p w14:paraId="7DF66380"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【复习思考】</w:t>
      </w:r>
    </w:p>
    <w:p w14:paraId="70542793"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黄酮类化合物的结构特征；</w:t>
      </w:r>
    </w:p>
    <w:p w14:paraId="677F18D4"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黄酮类化合物常用的提取方法和分离方法。</w:t>
      </w:r>
    </w:p>
    <w:p w14:paraId="11E8628C" w14:textId="77777777" w:rsidR="00D12153" w:rsidRPr="00D12153" w:rsidRDefault="00D12153" w:rsidP="00D12153">
      <w:pPr>
        <w:spacing w:beforeLines="50" w:before="156" w:afterLines="50" w:after="156" w:line="440" w:lineRule="exact"/>
        <w:ind w:firstLineChars="200" w:firstLine="560"/>
        <w:jc w:val="center"/>
        <w:rPr>
          <w:rFonts w:ascii="Times New Roman" w:eastAsia="宋体" w:hAnsi="Times New Roman" w:cs="Times New Roman"/>
          <w:color w:val="000000"/>
          <w:sz w:val="24"/>
          <w:szCs w:val="24"/>
        </w:rPr>
      </w:pPr>
      <w:r w:rsidRPr="00D12153">
        <w:rPr>
          <w:rFonts w:ascii="Times New Roman" w:eastAsia="黑体" w:hAnsi="Times New Roman" w:cs="Times New Roman"/>
          <w:color w:val="000000"/>
          <w:sz w:val="28"/>
          <w:szCs w:val="28"/>
        </w:rPr>
        <w:t>第六章</w:t>
      </w:r>
      <w:r w:rsidRPr="00D12153">
        <w:rPr>
          <w:rFonts w:ascii="Times New Roman" w:eastAsia="黑体" w:hAnsi="Times New Roman" w:cs="Times New Roman"/>
          <w:color w:val="000000"/>
          <w:sz w:val="28"/>
          <w:szCs w:val="28"/>
        </w:rPr>
        <w:t xml:space="preserve">  </w:t>
      </w:r>
      <w:r w:rsidRPr="00D12153">
        <w:rPr>
          <w:rFonts w:ascii="Times New Roman" w:eastAsia="黑体" w:hAnsi="Times New Roman" w:cs="Times New Roman"/>
          <w:color w:val="000000"/>
          <w:sz w:val="28"/>
          <w:szCs w:val="28"/>
        </w:rPr>
        <w:t>萜类和挥发油</w:t>
      </w:r>
    </w:p>
    <w:p w14:paraId="1B194D0F"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【学习目标】</w:t>
      </w:r>
    </w:p>
    <w:p w14:paraId="34ADF4C4"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认知类目标：掌握挥发油的定义、通性、化学组成；熟悉</w:t>
      </w:r>
      <w:proofErr w:type="gramStart"/>
      <w:r w:rsidRPr="00D12153">
        <w:rPr>
          <w:rFonts w:ascii="Times New Roman" w:eastAsia="宋体" w:hAnsi="Times New Roman" w:cs="Times New Roman"/>
          <w:color w:val="000000"/>
          <w:sz w:val="24"/>
          <w:szCs w:val="24"/>
        </w:rPr>
        <w:t>萜</w:t>
      </w:r>
      <w:proofErr w:type="gramEnd"/>
      <w:r w:rsidRPr="00D12153">
        <w:rPr>
          <w:rFonts w:ascii="Times New Roman" w:eastAsia="宋体" w:hAnsi="Times New Roman" w:cs="Times New Roman"/>
          <w:color w:val="000000"/>
          <w:sz w:val="24"/>
          <w:szCs w:val="24"/>
        </w:rPr>
        <w:t>的定义和主要分类方法；了解挥发油的鉴定方法。</w:t>
      </w:r>
    </w:p>
    <w:p w14:paraId="1093E583"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过程与方法类目标：掌握挥发油的提取方法；熟悉挥发油的分离方法；</w:t>
      </w:r>
    </w:p>
    <w:p w14:paraId="14D8920F"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3. </w:t>
      </w:r>
      <w:r w:rsidRPr="00D12153">
        <w:rPr>
          <w:rFonts w:ascii="Times New Roman" w:eastAsia="宋体" w:hAnsi="Times New Roman" w:cs="Times New Roman"/>
          <w:color w:val="000000"/>
          <w:sz w:val="24"/>
          <w:szCs w:val="24"/>
        </w:rPr>
        <w:t>情感、态度、价值类目标：了解萜类和挥发油类化合物的基本性质以及在生活中的实际应用，培养学生对于天然药物研</w:t>
      </w:r>
      <w:r w:rsidRPr="00D12153">
        <w:rPr>
          <w:rFonts w:ascii="Times New Roman" w:eastAsia="宋体" w:hAnsi="Times New Roman" w:cs="Times New Roman" w:hint="eastAsia"/>
          <w:color w:val="000000"/>
          <w:sz w:val="24"/>
          <w:szCs w:val="24"/>
        </w:rPr>
        <w:t>究</w:t>
      </w:r>
      <w:r w:rsidRPr="00D12153">
        <w:rPr>
          <w:rFonts w:ascii="Times New Roman" w:eastAsia="宋体" w:hAnsi="Times New Roman" w:cs="Times New Roman"/>
          <w:color w:val="000000"/>
          <w:sz w:val="24"/>
          <w:szCs w:val="24"/>
        </w:rPr>
        <w:t>的兴趣。</w:t>
      </w:r>
    </w:p>
    <w:p w14:paraId="5367F728"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lastRenderedPageBreak/>
        <w:t>【学习内容】</w:t>
      </w:r>
    </w:p>
    <w:p w14:paraId="56818BBA" w14:textId="77777777" w:rsidR="00D12153" w:rsidRPr="00D12153" w:rsidRDefault="00D12153">
      <w:pPr>
        <w:numPr>
          <w:ilvl w:val="0"/>
          <w:numId w:val="207"/>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萜类化合物的定义、结构类型及重要代表物的化学结构和生理活性；</w:t>
      </w:r>
    </w:p>
    <w:p w14:paraId="42DA4260" w14:textId="77777777" w:rsidR="00D12153" w:rsidRPr="00D12153" w:rsidRDefault="00D12153">
      <w:pPr>
        <w:numPr>
          <w:ilvl w:val="0"/>
          <w:numId w:val="207"/>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萜类化合物的性质；</w:t>
      </w:r>
    </w:p>
    <w:p w14:paraId="4A31349E" w14:textId="77777777" w:rsidR="00D12153" w:rsidRPr="00D12153" w:rsidRDefault="00D12153">
      <w:pPr>
        <w:numPr>
          <w:ilvl w:val="0"/>
          <w:numId w:val="207"/>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萜类化合物的生物合成途径；</w:t>
      </w:r>
    </w:p>
    <w:p w14:paraId="5CBC5FC6" w14:textId="77777777" w:rsidR="00D12153" w:rsidRPr="00D12153" w:rsidRDefault="00D12153">
      <w:pPr>
        <w:numPr>
          <w:ilvl w:val="0"/>
          <w:numId w:val="207"/>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萜类化合物常用的提取分离方法；</w:t>
      </w:r>
    </w:p>
    <w:p w14:paraId="41B3089E" w14:textId="77777777" w:rsidR="00D12153" w:rsidRPr="00D12153" w:rsidRDefault="00D12153">
      <w:pPr>
        <w:numPr>
          <w:ilvl w:val="0"/>
          <w:numId w:val="207"/>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挥发油的定义、分类、性质、鉴别、提取分离方法和重要代表物的结构；</w:t>
      </w:r>
    </w:p>
    <w:p w14:paraId="0C5E7F80" w14:textId="77777777" w:rsidR="00D12153" w:rsidRPr="00D12153" w:rsidRDefault="00D12153">
      <w:pPr>
        <w:numPr>
          <w:ilvl w:val="0"/>
          <w:numId w:val="207"/>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萜类化合物的结构检识方法；</w:t>
      </w:r>
    </w:p>
    <w:p w14:paraId="204E0CC5" w14:textId="77777777" w:rsidR="00D12153" w:rsidRPr="00D12153" w:rsidRDefault="00D12153">
      <w:pPr>
        <w:numPr>
          <w:ilvl w:val="0"/>
          <w:numId w:val="207"/>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萜类化合物的结构测定方法。</w:t>
      </w:r>
    </w:p>
    <w:p w14:paraId="6D4CAF0A"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【重点】</w:t>
      </w:r>
    </w:p>
    <w:p w14:paraId="31E40BCB"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bCs/>
          <w:color w:val="000000"/>
          <w:sz w:val="24"/>
          <w:szCs w:val="24"/>
        </w:rPr>
        <w:t xml:space="preserve">1. </w:t>
      </w:r>
      <w:r w:rsidRPr="00D12153">
        <w:rPr>
          <w:rFonts w:ascii="Times New Roman" w:eastAsia="宋体" w:hAnsi="Times New Roman" w:cs="Times New Roman"/>
          <w:color w:val="000000"/>
          <w:sz w:val="24"/>
          <w:szCs w:val="24"/>
        </w:rPr>
        <w:t>挥发油的定义、通性、化学组成和提取方法。</w:t>
      </w:r>
    </w:p>
    <w:p w14:paraId="14A539A6"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【难点】</w:t>
      </w:r>
    </w:p>
    <w:p w14:paraId="21A1530C"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bCs/>
          <w:color w:val="000000"/>
          <w:sz w:val="24"/>
          <w:szCs w:val="24"/>
        </w:rPr>
        <w:t xml:space="preserve">1. </w:t>
      </w:r>
      <w:r w:rsidRPr="00D12153">
        <w:rPr>
          <w:rFonts w:ascii="Times New Roman" w:eastAsia="宋体" w:hAnsi="Times New Roman" w:cs="Times New Roman"/>
          <w:color w:val="000000"/>
          <w:sz w:val="24"/>
          <w:szCs w:val="24"/>
        </w:rPr>
        <w:t>环烯醚萜类化合物的定义、结构特点、分类及主要性质。</w:t>
      </w:r>
    </w:p>
    <w:p w14:paraId="44FBC09C" w14:textId="77777777" w:rsidR="00D12153" w:rsidRPr="00D12153" w:rsidRDefault="00D12153" w:rsidP="00D12153">
      <w:pPr>
        <w:spacing w:line="440" w:lineRule="exact"/>
        <w:ind w:firstLineChars="200" w:firstLine="482"/>
        <w:rPr>
          <w:rFonts w:ascii="Times New Roman" w:eastAsia="宋体" w:hAnsi="Times New Roman" w:cs="Times New Roman"/>
          <w:color w:val="000000"/>
          <w:sz w:val="24"/>
          <w:szCs w:val="24"/>
        </w:rPr>
      </w:pPr>
      <w:r w:rsidRPr="00D12153">
        <w:rPr>
          <w:rFonts w:ascii="Times New Roman" w:eastAsia="宋体" w:hAnsi="Times New Roman" w:cs="Times New Roman"/>
          <w:b/>
          <w:bCs/>
          <w:color w:val="000000"/>
          <w:sz w:val="24"/>
          <w:szCs w:val="24"/>
        </w:rPr>
        <w:t>【教学方法】</w:t>
      </w:r>
    </w:p>
    <w:p w14:paraId="091904EE" w14:textId="77777777" w:rsidR="00D12153" w:rsidRPr="00D12153" w:rsidRDefault="00D12153">
      <w:pPr>
        <w:numPr>
          <w:ilvl w:val="0"/>
          <w:numId w:val="208"/>
        </w:numPr>
        <w:spacing w:line="440" w:lineRule="exact"/>
        <w:ind w:leftChars="200" w:left="42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通过多媒体课件和传统教学相结合，阐明萜类化合物的相关内容，丰富学生课程与教学的基本知识结构，培养学生的职业规范。</w:t>
      </w:r>
    </w:p>
    <w:p w14:paraId="1FDED34A"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【复习思考】</w:t>
      </w:r>
    </w:p>
    <w:p w14:paraId="425C7388"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萜类化合物的主要分类方法。</w:t>
      </w:r>
    </w:p>
    <w:p w14:paraId="6FC90457" w14:textId="77777777" w:rsidR="00D12153" w:rsidRPr="00D12153" w:rsidRDefault="00D12153" w:rsidP="00D12153">
      <w:pPr>
        <w:spacing w:beforeLines="50" w:before="156" w:afterLines="50" w:after="156" w:line="440" w:lineRule="exact"/>
        <w:ind w:firstLineChars="200" w:firstLine="560"/>
        <w:jc w:val="center"/>
        <w:rPr>
          <w:rFonts w:ascii="Times New Roman" w:eastAsia="宋体" w:hAnsi="Times New Roman" w:cs="Times New Roman"/>
          <w:b/>
          <w:color w:val="000000"/>
          <w:sz w:val="24"/>
          <w:szCs w:val="24"/>
        </w:rPr>
      </w:pPr>
      <w:r w:rsidRPr="00D12153">
        <w:rPr>
          <w:rFonts w:ascii="Times New Roman" w:eastAsia="黑体" w:hAnsi="Times New Roman" w:cs="Times New Roman"/>
          <w:color w:val="000000"/>
          <w:sz w:val="28"/>
          <w:szCs w:val="28"/>
        </w:rPr>
        <w:t>第七章</w:t>
      </w:r>
      <w:r w:rsidRPr="00D12153">
        <w:rPr>
          <w:rFonts w:ascii="Times New Roman" w:eastAsia="黑体" w:hAnsi="Times New Roman" w:cs="Times New Roman"/>
          <w:color w:val="000000"/>
          <w:sz w:val="28"/>
          <w:szCs w:val="28"/>
        </w:rPr>
        <w:t xml:space="preserve">  </w:t>
      </w:r>
      <w:r w:rsidRPr="00D12153">
        <w:rPr>
          <w:rFonts w:ascii="Times New Roman" w:eastAsia="黑体" w:hAnsi="Times New Roman" w:cs="Times New Roman"/>
          <w:color w:val="000000"/>
          <w:sz w:val="28"/>
          <w:szCs w:val="28"/>
        </w:rPr>
        <w:t>三萜及其</w:t>
      </w:r>
      <w:proofErr w:type="gramStart"/>
      <w:r w:rsidRPr="00D12153">
        <w:rPr>
          <w:rFonts w:ascii="Times New Roman" w:eastAsia="黑体" w:hAnsi="Times New Roman" w:cs="Times New Roman"/>
          <w:color w:val="000000"/>
          <w:sz w:val="28"/>
          <w:szCs w:val="28"/>
        </w:rPr>
        <w:t>苷</w:t>
      </w:r>
      <w:proofErr w:type="gramEnd"/>
      <w:r w:rsidRPr="00D12153">
        <w:rPr>
          <w:rFonts w:ascii="Times New Roman" w:eastAsia="黑体" w:hAnsi="Times New Roman" w:cs="Times New Roman"/>
          <w:color w:val="000000"/>
          <w:sz w:val="28"/>
          <w:szCs w:val="28"/>
        </w:rPr>
        <w:t>类</w:t>
      </w:r>
    </w:p>
    <w:p w14:paraId="0DB878F1"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【学习目标】</w:t>
      </w:r>
    </w:p>
    <w:p w14:paraId="7904686D"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认知类目标：</w:t>
      </w:r>
      <w:r w:rsidRPr="00D12153">
        <w:rPr>
          <w:rFonts w:ascii="Times New Roman" w:eastAsia="宋体" w:hAnsi="Times New Roman" w:cs="Times New Roman"/>
          <w:color w:val="000000"/>
          <w:kern w:val="0"/>
          <w:sz w:val="24"/>
          <w:szCs w:val="24"/>
        </w:rPr>
        <w:t>掌握三萜及其</w:t>
      </w:r>
      <w:proofErr w:type="gramStart"/>
      <w:r w:rsidRPr="00D12153">
        <w:rPr>
          <w:rFonts w:ascii="Times New Roman" w:eastAsia="宋体" w:hAnsi="Times New Roman" w:cs="Times New Roman"/>
          <w:color w:val="000000"/>
          <w:kern w:val="0"/>
          <w:sz w:val="24"/>
          <w:szCs w:val="24"/>
        </w:rPr>
        <w:t>苷</w:t>
      </w:r>
      <w:proofErr w:type="gramEnd"/>
      <w:r w:rsidRPr="00D12153">
        <w:rPr>
          <w:rFonts w:ascii="Times New Roman" w:eastAsia="宋体" w:hAnsi="Times New Roman" w:cs="Times New Roman"/>
          <w:color w:val="000000"/>
          <w:kern w:val="0"/>
          <w:sz w:val="24"/>
          <w:szCs w:val="24"/>
        </w:rPr>
        <w:t>类的结构类型、分类、理化性质；</w:t>
      </w:r>
      <w:r w:rsidRPr="00D12153">
        <w:rPr>
          <w:rFonts w:ascii="Times New Roman" w:eastAsia="宋体" w:hAnsi="Times New Roman" w:cs="Times New Roman"/>
          <w:color w:val="000000"/>
          <w:sz w:val="24"/>
          <w:szCs w:val="24"/>
        </w:rPr>
        <w:t>了解三萜及其</w:t>
      </w:r>
      <w:proofErr w:type="gramStart"/>
      <w:r w:rsidRPr="00D12153">
        <w:rPr>
          <w:rFonts w:ascii="Times New Roman" w:eastAsia="宋体" w:hAnsi="Times New Roman" w:cs="Times New Roman"/>
          <w:color w:val="000000"/>
          <w:sz w:val="24"/>
          <w:szCs w:val="24"/>
        </w:rPr>
        <w:t>苷</w:t>
      </w:r>
      <w:proofErr w:type="gramEnd"/>
      <w:r w:rsidRPr="00D12153">
        <w:rPr>
          <w:rFonts w:ascii="Times New Roman" w:eastAsia="宋体" w:hAnsi="Times New Roman" w:cs="Times New Roman"/>
          <w:color w:val="000000"/>
          <w:sz w:val="24"/>
          <w:szCs w:val="24"/>
        </w:rPr>
        <w:t>类的波谱特征。</w:t>
      </w:r>
    </w:p>
    <w:p w14:paraId="39270440"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过程与方法类目标：熟悉三萜类化合物的化学鉴别方法；</w:t>
      </w:r>
    </w:p>
    <w:p w14:paraId="28DADF65"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3. </w:t>
      </w:r>
      <w:r w:rsidRPr="00D12153">
        <w:rPr>
          <w:rFonts w:ascii="Times New Roman" w:eastAsia="宋体" w:hAnsi="Times New Roman" w:cs="Times New Roman"/>
          <w:color w:val="000000"/>
          <w:sz w:val="24"/>
          <w:szCs w:val="24"/>
        </w:rPr>
        <w:t>情感、态度、价值类目标：了解三萜类化合物的基本性质以及在生活中的实际应用，培养学生对于天然药物研</w:t>
      </w:r>
      <w:r w:rsidRPr="00D12153">
        <w:rPr>
          <w:rFonts w:ascii="Times New Roman" w:eastAsia="宋体" w:hAnsi="Times New Roman" w:cs="Times New Roman" w:hint="eastAsia"/>
          <w:color w:val="000000"/>
          <w:sz w:val="24"/>
          <w:szCs w:val="24"/>
        </w:rPr>
        <w:t>究</w:t>
      </w:r>
      <w:r w:rsidRPr="00D12153">
        <w:rPr>
          <w:rFonts w:ascii="Times New Roman" w:eastAsia="宋体" w:hAnsi="Times New Roman" w:cs="Times New Roman"/>
          <w:color w:val="000000"/>
          <w:sz w:val="24"/>
          <w:szCs w:val="24"/>
        </w:rPr>
        <w:t>的兴趣。</w:t>
      </w:r>
    </w:p>
    <w:p w14:paraId="6FB8FEDA"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【学习内容】</w:t>
      </w:r>
    </w:p>
    <w:p w14:paraId="2715F73E" w14:textId="77777777" w:rsidR="00D12153" w:rsidRPr="00D12153" w:rsidRDefault="00D12153">
      <w:pPr>
        <w:numPr>
          <w:ilvl w:val="0"/>
          <w:numId w:val="209"/>
        </w:num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羊毛</w:t>
      </w:r>
      <w:proofErr w:type="gramStart"/>
      <w:r w:rsidRPr="00D12153">
        <w:rPr>
          <w:rFonts w:ascii="Times New Roman" w:eastAsia="宋体" w:hAnsi="Times New Roman" w:cs="Times New Roman"/>
          <w:color w:val="000000"/>
          <w:sz w:val="24"/>
          <w:szCs w:val="24"/>
        </w:rPr>
        <w:t>脂烷型</w:t>
      </w:r>
      <w:proofErr w:type="gramEnd"/>
      <w:r w:rsidRPr="00D12153">
        <w:rPr>
          <w:rFonts w:ascii="Times New Roman" w:eastAsia="宋体" w:hAnsi="Times New Roman" w:cs="Times New Roman"/>
          <w:color w:val="000000"/>
          <w:sz w:val="24"/>
          <w:szCs w:val="24"/>
        </w:rPr>
        <w:t>、达玛甾烷型、齐墩果烷型、乌苏烷型、</w:t>
      </w:r>
      <w:proofErr w:type="gramStart"/>
      <w:r w:rsidRPr="00D12153">
        <w:rPr>
          <w:rFonts w:ascii="Times New Roman" w:eastAsia="宋体" w:hAnsi="Times New Roman" w:cs="Times New Roman"/>
          <w:color w:val="000000"/>
          <w:sz w:val="24"/>
          <w:szCs w:val="24"/>
        </w:rPr>
        <w:t>羽扇豆型的</w:t>
      </w:r>
      <w:proofErr w:type="gramEnd"/>
      <w:r w:rsidRPr="00D12153">
        <w:rPr>
          <w:rFonts w:ascii="Times New Roman" w:eastAsia="宋体" w:hAnsi="Times New Roman" w:cs="Times New Roman"/>
          <w:color w:val="000000"/>
          <w:sz w:val="24"/>
          <w:szCs w:val="24"/>
        </w:rPr>
        <w:t>结构特征和典型实例</w:t>
      </w:r>
    </w:p>
    <w:p w14:paraId="10BADDB8" w14:textId="77777777" w:rsidR="00D12153" w:rsidRPr="00D12153" w:rsidRDefault="00D12153">
      <w:pPr>
        <w:numPr>
          <w:ilvl w:val="0"/>
          <w:numId w:val="209"/>
        </w:num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三萜类化合物的溶解性、显色反应，皂苷的特性，三萜类化合物的波谱学特征</w:t>
      </w:r>
    </w:p>
    <w:p w14:paraId="6BD8874D" w14:textId="77777777" w:rsidR="00D12153" w:rsidRPr="00D12153" w:rsidRDefault="00D12153">
      <w:pPr>
        <w:numPr>
          <w:ilvl w:val="0"/>
          <w:numId w:val="209"/>
        </w:num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熟悉人参、甘草中主要化学成分的结构类型、理化性质、提取分离方法和生物活性</w:t>
      </w:r>
    </w:p>
    <w:p w14:paraId="6CCB7C4C" w14:textId="77777777" w:rsidR="00D12153" w:rsidRPr="00D12153" w:rsidRDefault="00D12153">
      <w:pPr>
        <w:numPr>
          <w:ilvl w:val="0"/>
          <w:numId w:val="209"/>
        </w:num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了解三萜类化合物的定义、分布、生物活性及分类，原萜烷型、葫芦烷型、河</w:t>
      </w:r>
      <w:proofErr w:type="gramStart"/>
      <w:r w:rsidRPr="00D12153">
        <w:rPr>
          <w:rFonts w:ascii="Times New Roman" w:eastAsia="宋体" w:hAnsi="Times New Roman" w:cs="Times New Roman"/>
          <w:color w:val="000000"/>
          <w:sz w:val="24"/>
          <w:szCs w:val="24"/>
        </w:rPr>
        <w:lastRenderedPageBreak/>
        <w:t>伯烷型、异河伯烷型</w:t>
      </w:r>
      <w:proofErr w:type="gramEnd"/>
      <w:r w:rsidRPr="00D12153">
        <w:rPr>
          <w:rFonts w:ascii="Times New Roman" w:eastAsia="宋体" w:hAnsi="Times New Roman" w:cs="Times New Roman"/>
          <w:color w:val="000000"/>
          <w:sz w:val="24"/>
          <w:szCs w:val="24"/>
        </w:rPr>
        <w:t>和其他类型的结构特征</w:t>
      </w:r>
    </w:p>
    <w:p w14:paraId="556C5C08" w14:textId="77777777" w:rsidR="00D12153" w:rsidRPr="00D12153" w:rsidRDefault="00D12153">
      <w:pPr>
        <w:numPr>
          <w:ilvl w:val="0"/>
          <w:numId w:val="209"/>
        </w:num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了解三萜类化合物及三萜皂苷的提取分离方法</w:t>
      </w:r>
    </w:p>
    <w:p w14:paraId="39137274"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【重点】</w:t>
      </w:r>
      <w:r w:rsidRPr="00D12153">
        <w:rPr>
          <w:rFonts w:ascii="Times New Roman" w:eastAsia="宋体" w:hAnsi="Times New Roman" w:cs="Times New Roman"/>
          <w:b/>
          <w:color w:val="000000"/>
          <w:sz w:val="24"/>
          <w:szCs w:val="24"/>
        </w:rPr>
        <w:t xml:space="preserve">  </w:t>
      </w:r>
    </w:p>
    <w:p w14:paraId="3A1A93EC"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bCs/>
          <w:color w:val="000000"/>
          <w:sz w:val="24"/>
          <w:szCs w:val="24"/>
        </w:rPr>
        <w:t>1.</w:t>
      </w:r>
      <w:r w:rsidRPr="00D12153">
        <w:rPr>
          <w:rFonts w:ascii="Times New Roman" w:eastAsia="宋体" w:hAnsi="Times New Roman" w:cs="Times New Roman"/>
          <w:color w:val="000000"/>
          <w:sz w:val="24"/>
          <w:szCs w:val="24"/>
        </w:rPr>
        <w:t>三萜及其</w:t>
      </w:r>
      <w:proofErr w:type="gramStart"/>
      <w:r w:rsidRPr="00D12153">
        <w:rPr>
          <w:rFonts w:ascii="Times New Roman" w:eastAsia="宋体" w:hAnsi="Times New Roman" w:cs="Times New Roman"/>
          <w:color w:val="000000"/>
          <w:sz w:val="24"/>
          <w:szCs w:val="24"/>
        </w:rPr>
        <w:t>苷</w:t>
      </w:r>
      <w:proofErr w:type="gramEnd"/>
      <w:r w:rsidRPr="00D12153">
        <w:rPr>
          <w:rFonts w:ascii="Times New Roman" w:eastAsia="宋体" w:hAnsi="Times New Roman" w:cs="Times New Roman"/>
          <w:color w:val="000000"/>
          <w:sz w:val="24"/>
          <w:szCs w:val="24"/>
        </w:rPr>
        <w:t>类化合物的理化性质；</w:t>
      </w:r>
    </w:p>
    <w:p w14:paraId="28A99F06"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三萜及其</w:t>
      </w:r>
      <w:proofErr w:type="gramStart"/>
      <w:r w:rsidRPr="00D12153">
        <w:rPr>
          <w:rFonts w:ascii="Times New Roman" w:eastAsia="宋体" w:hAnsi="Times New Roman" w:cs="Times New Roman"/>
          <w:color w:val="000000"/>
          <w:sz w:val="24"/>
          <w:szCs w:val="24"/>
        </w:rPr>
        <w:t>苷</w:t>
      </w:r>
      <w:proofErr w:type="gramEnd"/>
      <w:r w:rsidRPr="00D12153">
        <w:rPr>
          <w:rFonts w:ascii="Times New Roman" w:eastAsia="宋体" w:hAnsi="Times New Roman" w:cs="Times New Roman"/>
          <w:color w:val="000000"/>
          <w:sz w:val="24"/>
          <w:szCs w:val="24"/>
        </w:rPr>
        <w:t>类化合物的显色反应。</w:t>
      </w:r>
    </w:p>
    <w:p w14:paraId="0E467E4D"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【难点】</w:t>
      </w:r>
      <w:r w:rsidRPr="00D12153">
        <w:rPr>
          <w:rFonts w:ascii="Times New Roman" w:eastAsia="宋体" w:hAnsi="Times New Roman" w:cs="Times New Roman"/>
          <w:b/>
          <w:color w:val="000000"/>
          <w:sz w:val="24"/>
          <w:szCs w:val="24"/>
        </w:rPr>
        <w:t xml:space="preserve">  </w:t>
      </w:r>
    </w:p>
    <w:p w14:paraId="416810A3"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bCs/>
          <w:color w:val="000000"/>
          <w:sz w:val="24"/>
          <w:szCs w:val="24"/>
        </w:rPr>
        <w:t>1.</w:t>
      </w:r>
      <w:r w:rsidRPr="00D12153">
        <w:rPr>
          <w:rFonts w:ascii="Times New Roman" w:eastAsia="宋体" w:hAnsi="Times New Roman" w:cs="Times New Roman"/>
          <w:color w:val="000000"/>
          <w:sz w:val="24"/>
          <w:szCs w:val="24"/>
        </w:rPr>
        <w:t>三萜皂苷键的裂解反应。</w:t>
      </w:r>
    </w:p>
    <w:p w14:paraId="50530DB0" w14:textId="77777777" w:rsidR="00D12153" w:rsidRPr="00D12153" w:rsidRDefault="00D12153" w:rsidP="00D12153">
      <w:pPr>
        <w:spacing w:line="440" w:lineRule="exact"/>
        <w:ind w:firstLineChars="200" w:firstLine="482"/>
        <w:rPr>
          <w:rFonts w:ascii="Times New Roman" w:eastAsia="宋体" w:hAnsi="Times New Roman" w:cs="Times New Roman"/>
          <w:color w:val="000000"/>
          <w:sz w:val="24"/>
          <w:szCs w:val="24"/>
        </w:rPr>
      </w:pPr>
      <w:r w:rsidRPr="00D12153">
        <w:rPr>
          <w:rFonts w:ascii="Times New Roman" w:eastAsia="宋体" w:hAnsi="Times New Roman" w:cs="Times New Roman"/>
          <w:b/>
          <w:bCs/>
          <w:color w:val="000000"/>
          <w:sz w:val="24"/>
          <w:szCs w:val="24"/>
        </w:rPr>
        <w:t>【教学方法】</w:t>
      </w:r>
    </w:p>
    <w:p w14:paraId="1D40F5ED" w14:textId="77777777" w:rsidR="00D12153" w:rsidRPr="00D12153" w:rsidRDefault="00D12153">
      <w:pPr>
        <w:numPr>
          <w:ilvl w:val="0"/>
          <w:numId w:val="115"/>
        </w:numPr>
        <w:spacing w:line="440" w:lineRule="exact"/>
        <w:ind w:left="0" w:firstLineChars="200" w:firstLine="480"/>
        <w:rPr>
          <w:rFonts w:ascii="Times New Roman" w:eastAsia="宋体" w:hAnsi="Times New Roman" w:cs="Times New Roman"/>
          <w:color w:val="000000"/>
          <w:kern w:val="0"/>
          <w:sz w:val="24"/>
          <w:szCs w:val="24"/>
        </w:rPr>
      </w:pPr>
      <w:r w:rsidRPr="00D12153">
        <w:rPr>
          <w:rFonts w:ascii="Times New Roman" w:eastAsia="宋体" w:hAnsi="Times New Roman" w:cs="Times New Roman"/>
          <w:color w:val="000000"/>
          <w:sz w:val="24"/>
          <w:szCs w:val="24"/>
        </w:rPr>
        <w:t>通过多媒体课件和传统教学相结合，阐明课程与教学基本原理，丰富学生课程与教学的基本知识结构，培养学生的职业规范；</w:t>
      </w:r>
    </w:p>
    <w:p w14:paraId="60274888" w14:textId="77777777" w:rsidR="00D12153" w:rsidRPr="00D12153" w:rsidRDefault="00D12153" w:rsidP="00D12153">
      <w:pPr>
        <w:widowControl/>
        <w:spacing w:line="440" w:lineRule="exact"/>
        <w:ind w:firstLineChars="200" w:firstLine="480"/>
        <w:jc w:val="left"/>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采用以问题为导向的教学法，通过问题聚焦，让学生自行查阅资料，同学相互交流，教师适时点拨，学生独立完成调研报告等形式，进一步理解与掌握相关的理论知识，培养学生分析问题、解决问题的能力。</w:t>
      </w:r>
    </w:p>
    <w:p w14:paraId="5E167587" w14:textId="77777777" w:rsidR="00D12153" w:rsidRPr="00D12153" w:rsidRDefault="00D12153" w:rsidP="00D12153">
      <w:pPr>
        <w:spacing w:line="440" w:lineRule="exact"/>
        <w:ind w:firstLineChars="200" w:firstLine="482"/>
        <w:rPr>
          <w:rFonts w:ascii="Times New Roman" w:eastAsia="宋体" w:hAnsi="Times New Roman" w:cs="Times New Roman"/>
          <w:color w:val="000000"/>
          <w:sz w:val="24"/>
          <w:szCs w:val="24"/>
        </w:rPr>
      </w:pPr>
      <w:r w:rsidRPr="00D12153">
        <w:rPr>
          <w:rFonts w:ascii="Times New Roman" w:eastAsia="宋体" w:hAnsi="Times New Roman" w:cs="Times New Roman"/>
          <w:b/>
          <w:color w:val="000000"/>
          <w:sz w:val="24"/>
          <w:szCs w:val="24"/>
        </w:rPr>
        <w:t>【复习思考】</w:t>
      </w:r>
    </w:p>
    <w:p w14:paraId="1EA79A01" w14:textId="77777777" w:rsidR="00D12153" w:rsidRPr="00D12153" w:rsidRDefault="00D12153">
      <w:pPr>
        <w:numPr>
          <w:ilvl w:val="0"/>
          <w:numId w:val="211"/>
        </w:numPr>
        <w:spacing w:line="440" w:lineRule="exact"/>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三萜类化合物的定义及分类。</w:t>
      </w:r>
    </w:p>
    <w:p w14:paraId="1ECBE9AA" w14:textId="77777777" w:rsidR="00D12153" w:rsidRPr="00D12153" w:rsidRDefault="00D12153" w:rsidP="00D12153">
      <w:pPr>
        <w:spacing w:beforeLines="50" w:before="156" w:afterLines="50" w:after="156" w:line="440" w:lineRule="exact"/>
        <w:ind w:left="840"/>
        <w:jc w:val="center"/>
        <w:rPr>
          <w:rFonts w:ascii="Times New Roman" w:eastAsia="黑体" w:hAnsi="Times New Roman" w:cs="Times New Roman"/>
          <w:bCs/>
          <w:sz w:val="28"/>
          <w:szCs w:val="32"/>
        </w:rPr>
      </w:pPr>
      <w:r w:rsidRPr="00D12153">
        <w:rPr>
          <w:rFonts w:ascii="Times New Roman" w:eastAsia="黑体" w:hAnsi="Times New Roman" w:cs="Times New Roman"/>
          <w:bCs/>
          <w:sz w:val="28"/>
          <w:szCs w:val="28"/>
        </w:rPr>
        <w:t>第八章</w:t>
      </w:r>
      <w:r w:rsidRPr="00D12153">
        <w:rPr>
          <w:rFonts w:ascii="Times New Roman" w:eastAsia="黑体" w:hAnsi="Times New Roman" w:cs="Times New Roman"/>
          <w:bCs/>
          <w:sz w:val="28"/>
          <w:szCs w:val="28"/>
        </w:rPr>
        <w:t xml:space="preserve">  </w:t>
      </w:r>
      <w:proofErr w:type="gramStart"/>
      <w:r w:rsidRPr="00D12153">
        <w:rPr>
          <w:rFonts w:ascii="Times New Roman" w:eastAsia="黑体" w:hAnsi="Times New Roman" w:cs="Times New Roman"/>
          <w:bCs/>
          <w:sz w:val="28"/>
          <w:szCs w:val="28"/>
        </w:rPr>
        <w:t>甾</w:t>
      </w:r>
      <w:proofErr w:type="gramEnd"/>
      <w:r w:rsidRPr="00D12153">
        <w:rPr>
          <w:rFonts w:ascii="Times New Roman" w:eastAsia="黑体" w:hAnsi="Times New Roman" w:cs="Times New Roman"/>
          <w:bCs/>
          <w:sz w:val="28"/>
          <w:szCs w:val="28"/>
        </w:rPr>
        <w:t>体及其</w:t>
      </w:r>
      <w:proofErr w:type="gramStart"/>
      <w:r w:rsidRPr="00D12153">
        <w:rPr>
          <w:rFonts w:ascii="Times New Roman" w:eastAsia="黑体" w:hAnsi="Times New Roman" w:cs="Times New Roman"/>
          <w:bCs/>
          <w:sz w:val="28"/>
          <w:szCs w:val="28"/>
        </w:rPr>
        <w:t>苷</w:t>
      </w:r>
      <w:proofErr w:type="gramEnd"/>
      <w:r w:rsidRPr="00D12153">
        <w:rPr>
          <w:rFonts w:ascii="Times New Roman" w:eastAsia="黑体" w:hAnsi="Times New Roman" w:cs="Times New Roman"/>
          <w:bCs/>
          <w:sz w:val="28"/>
          <w:szCs w:val="28"/>
        </w:rPr>
        <w:t>类</w:t>
      </w:r>
    </w:p>
    <w:p w14:paraId="0FCFD54F" w14:textId="77777777" w:rsidR="00D12153" w:rsidRPr="00D12153" w:rsidRDefault="00D12153" w:rsidP="00D12153">
      <w:pPr>
        <w:spacing w:line="440" w:lineRule="exact"/>
        <w:ind w:left="480"/>
        <w:rPr>
          <w:rFonts w:ascii="Times New Roman" w:eastAsia="宋体" w:hAnsi="Times New Roman" w:cs="Times New Roman"/>
          <w:b/>
          <w:sz w:val="24"/>
          <w:szCs w:val="24"/>
        </w:rPr>
      </w:pPr>
      <w:r w:rsidRPr="00D12153">
        <w:rPr>
          <w:rFonts w:ascii="Times New Roman" w:eastAsia="宋体" w:hAnsi="Times New Roman" w:cs="Times New Roman"/>
          <w:b/>
          <w:sz w:val="24"/>
          <w:szCs w:val="24"/>
        </w:rPr>
        <w:t>【学习目标】</w:t>
      </w:r>
    </w:p>
    <w:p w14:paraId="3336F42B"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认知类目标：</w:t>
      </w:r>
      <w:r w:rsidRPr="00D12153">
        <w:rPr>
          <w:rFonts w:ascii="Times New Roman" w:eastAsia="宋体" w:hAnsi="Times New Roman" w:cs="Times New Roman"/>
          <w:sz w:val="24"/>
          <w:szCs w:val="24"/>
        </w:rPr>
        <w:t>掌握强心苷的分类、理化性质、</w:t>
      </w:r>
      <w:proofErr w:type="gramStart"/>
      <w:r w:rsidRPr="00D12153">
        <w:rPr>
          <w:rFonts w:ascii="Times New Roman" w:eastAsia="宋体" w:hAnsi="Times New Roman" w:cs="Times New Roman"/>
          <w:sz w:val="24"/>
          <w:szCs w:val="24"/>
        </w:rPr>
        <w:t>苷</w:t>
      </w:r>
      <w:proofErr w:type="gramEnd"/>
      <w:r w:rsidRPr="00D12153">
        <w:rPr>
          <w:rFonts w:ascii="Times New Roman" w:eastAsia="宋体" w:hAnsi="Times New Roman" w:cs="Times New Roman"/>
          <w:sz w:val="24"/>
          <w:szCs w:val="24"/>
        </w:rPr>
        <w:t>键裂解、显色反应及波谱特征；熟悉甾体皂苷的分类、理化性质及红外光谱特征；</w:t>
      </w:r>
    </w:p>
    <w:p w14:paraId="5E41DF80"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过程与方法类目标：熟悉</w:t>
      </w:r>
      <w:proofErr w:type="gramStart"/>
      <w:r w:rsidRPr="00D12153">
        <w:rPr>
          <w:rFonts w:ascii="Times New Roman" w:eastAsia="宋体" w:hAnsi="Times New Roman" w:cs="Times New Roman"/>
          <w:color w:val="000000"/>
          <w:sz w:val="24"/>
          <w:szCs w:val="24"/>
        </w:rPr>
        <w:t>甾</w:t>
      </w:r>
      <w:proofErr w:type="gramEnd"/>
      <w:r w:rsidRPr="00D12153">
        <w:rPr>
          <w:rFonts w:ascii="Times New Roman" w:eastAsia="宋体" w:hAnsi="Times New Roman" w:cs="Times New Roman"/>
          <w:color w:val="000000"/>
          <w:sz w:val="24"/>
          <w:szCs w:val="24"/>
        </w:rPr>
        <w:t>体及其</w:t>
      </w:r>
      <w:proofErr w:type="gramStart"/>
      <w:r w:rsidRPr="00D12153">
        <w:rPr>
          <w:rFonts w:ascii="Times New Roman" w:eastAsia="宋体" w:hAnsi="Times New Roman" w:cs="Times New Roman"/>
          <w:color w:val="000000"/>
          <w:sz w:val="24"/>
          <w:szCs w:val="24"/>
        </w:rPr>
        <w:t>苷</w:t>
      </w:r>
      <w:proofErr w:type="gramEnd"/>
      <w:r w:rsidRPr="00D12153">
        <w:rPr>
          <w:rFonts w:ascii="Times New Roman" w:eastAsia="宋体" w:hAnsi="Times New Roman" w:cs="Times New Roman"/>
          <w:color w:val="000000"/>
          <w:sz w:val="24"/>
          <w:szCs w:val="24"/>
        </w:rPr>
        <w:t>类化合物的化学鉴别方法；</w:t>
      </w:r>
    </w:p>
    <w:p w14:paraId="20280F16"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3. </w:t>
      </w:r>
      <w:r w:rsidRPr="00D12153">
        <w:rPr>
          <w:rFonts w:ascii="Times New Roman" w:eastAsia="宋体" w:hAnsi="Times New Roman" w:cs="Times New Roman"/>
          <w:color w:val="000000"/>
          <w:sz w:val="24"/>
          <w:szCs w:val="24"/>
        </w:rPr>
        <w:t>情感、态度、价值类目标：了解</w:t>
      </w:r>
      <w:proofErr w:type="gramStart"/>
      <w:r w:rsidRPr="00D12153">
        <w:rPr>
          <w:rFonts w:ascii="Times New Roman" w:eastAsia="宋体" w:hAnsi="Times New Roman" w:cs="Times New Roman"/>
          <w:color w:val="000000"/>
          <w:sz w:val="24"/>
          <w:szCs w:val="24"/>
        </w:rPr>
        <w:t>甾</w:t>
      </w:r>
      <w:proofErr w:type="gramEnd"/>
      <w:r w:rsidRPr="00D12153">
        <w:rPr>
          <w:rFonts w:ascii="Times New Roman" w:eastAsia="宋体" w:hAnsi="Times New Roman" w:cs="Times New Roman"/>
          <w:color w:val="000000"/>
          <w:sz w:val="24"/>
          <w:szCs w:val="24"/>
        </w:rPr>
        <w:t>体及其</w:t>
      </w:r>
      <w:proofErr w:type="gramStart"/>
      <w:r w:rsidRPr="00D12153">
        <w:rPr>
          <w:rFonts w:ascii="Times New Roman" w:eastAsia="宋体" w:hAnsi="Times New Roman" w:cs="Times New Roman"/>
          <w:color w:val="000000"/>
          <w:sz w:val="24"/>
          <w:szCs w:val="24"/>
        </w:rPr>
        <w:t>苷</w:t>
      </w:r>
      <w:proofErr w:type="gramEnd"/>
      <w:r w:rsidRPr="00D12153">
        <w:rPr>
          <w:rFonts w:ascii="Times New Roman" w:eastAsia="宋体" w:hAnsi="Times New Roman" w:cs="Times New Roman"/>
          <w:color w:val="000000"/>
          <w:sz w:val="24"/>
          <w:szCs w:val="24"/>
        </w:rPr>
        <w:t>类化合物的基本性质以及在生活中的实际应用，培养学生对于天然药物研</w:t>
      </w:r>
      <w:r w:rsidRPr="00D12153">
        <w:rPr>
          <w:rFonts w:ascii="Times New Roman" w:eastAsia="宋体" w:hAnsi="Times New Roman" w:cs="Times New Roman" w:hint="eastAsia"/>
          <w:color w:val="000000"/>
          <w:sz w:val="24"/>
          <w:szCs w:val="24"/>
        </w:rPr>
        <w:t>究</w:t>
      </w:r>
      <w:r w:rsidRPr="00D12153">
        <w:rPr>
          <w:rFonts w:ascii="Times New Roman" w:eastAsia="宋体" w:hAnsi="Times New Roman" w:cs="Times New Roman"/>
          <w:color w:val="000000"/>
          <w:sz w:val="24"/>
          <w:szCs w:val="24"/>
        </w:rPr>
        <w:t>的兴趣。</w:t>
      </w:r>
    </w:p>
    <w:p w14:paraId="3BD793D0" w14:textId="77777777" w:rsidR="00D12153" w:rsidRPr="00D12153" w:rsidRDefault="00D12153" w:rsidP="00D12153">
      <w:pPr>
        <w:spacing w:beforeLines="50" w:before="156" w:afterLines="50" w:after="156" w:line="440" w:lineRule="exact"/>
        <w:ind w:left="480"/>
        <w:rPr>
          <w:rFonts w:ascii="Times New Roman" w:eastAsia="宋体" w:hAnsi="Times New Roman" w:cs="Times New Roman"/>
          <w:b/>
          <w:sz w:val="24"/>
          <w:szCs w:val="24"/>
        </w:rPr>
      </w:pPr>
      <w:r w:rsidRPr="00D12153">
        <w:rPr>
          <w:rFonts w:ascii="Times New Roman" w:eastAsia="宋体" w:hAnsi="Times New Roman" w:cs="Times New Roman"/>
          <w:b/>
          <w:sz w:val="24"/>
          <w:szCs w:val="24"/>
        </w:rPr>
        <w:t>【学习内容】</w:t>
      </w:r>
    </w:p>
    <w:p w14:paraId="584E5DB7" w14:textId="77777777" w:rsidR="00D12153" w:rsidRPr="00D12153" w:rsidRDefault="00D12153" w:rsidP="00D12153">
      <w:pPr>
        <w:spacing w:line="360" w:lineRule="auto"/>
        <w:ind w:left="480"/>
        <w:rPr>
          <w:rFonts w:ascii="Times New Roman" w:eastAsia="宋体" w:hAnsi="Times New Roman" w:cs="Times New Roman"/>
          <w:sz w:val="24"/>
          <w:szCs w:val="24"/>
        </w:rPr>
      </w:pPr>
      <w:r w:rsidRPr="00D12153">
        <w:rPr>
          <w:rFonts w:ascii="Times New Roman" w:eastAsia="宋体" w:hAnsi="Times New Roman" w:cs="Times New Roman"/>
          <w:sz w:val="24"/>
          <w:szCs w:val="24"/>
        </w:rPr>
        <w:t>1.</w:t>
      </w:r>
      <w:r w:rsidRPr="00D12153">
        <w:rPr>
          <w:rFonts w:ascii="Times New Roman" w:eastAsia="宋体" w:hAnsi="Times New Roman" w:cs="Times New Roman"/>
          <w:sz w:val="24"/>
          <w:szCs w:val="24"/>
        </w:rPr>
        <w:t>强心苷苷元部分的结构特征及类型、强心苷</w:t>
      </w:r>
      <w:proofErr w:type="gramStart"/>
      <w:r w:rsidRPr="00D12153">
        <w:rPr>
          <w:rFonts w:ascii="Times New Roman" w:eastAsia="宋体" w:hAnsi="Times New Roman" w:cs="Times New Roman"/>
          <w:sz w:val="24"/>
          <w:szCs w:val="24"/>
        </w:rPr>
        <w:t>糖部分</w:t>
      </w:r>
      <w:proofErr w:type="gramEnd"/>
      <w:r w:rsidRPr="00D12153">
        <w:rPr>
          <w:rFonts w:ascii="Times New Roman" w:eastAsia="宋体" w:hAnsi="Times New Roman" w:cs="Times New Roman"/>
          <w:sz w:val="24"/>
          <w:szCs w:val="24"/>
        </w:rPr>
        <w:t>的结构特征及其与苷元的连接方式</w:t>
      </w:r>
    </w:p>
    <w:p w14:paraId="516E1670" w14:textId="77777777" w:rsidR="00D12153" w:rsidRPr="00D12153" w:rsidRDefault="00D12153" w:rsidP="00D12153">
      <w:pPr>
        <w:spacing w:line="360" w:lineRule="auto"/>
        <w:ind w:left="480"/>
        <w:rPr>
          <w:rFonts w:ascii="Times New Roman" w:eastAsia="宋体" w:hAnsi="Times New Roman" w:cs="Times New Roman"/>
          <w:sz w:val="24"/>
          <w:szCs w:val="24"/>
        </w:rPr>
      </w:pPr>
      <w:r w:rsidRPr="00D12153">
        <w:rPr>
          <w:rFonts w:ascii="Times New Roman" w:eastAsia="宋体" w:hAnsi="Times New Roman" w:cs="Times New Roman"/>
          <w:sz w:val="24"/>
          <w:szCs w:val="24"/>
        </w:rPr>
        <w:t>2.</w:t>
      </w:r>
      <w:r w:rsidRPr="00D12153">
        <w:rPr>
          <w:rFonts w:ascii="Times New Roman" w:eastAsia="宋体" w:hAnsi="Times New Roman" w:cs="Times New Roman"/>
          <w:sz w:val="24"/>
          <w:szCs w:val="24"/>
        </w:rPr>
        <w:t>强心苷的性状和溶解度，强心苷的酸水解法</w:t>
      </w:r>
      <w:proofErr w:type="gramStart"/>
      <w:r w:rsidRPr="00D12153">
        <w:rPr>
          <w:rFonts w:ascii="Times New Roman" w:eastAsia="宋体" w:hAnsi="Times New Roman" w:cs="Times New Roman"/>
          <w:sz w:val="24"/>
          <w:szCs w:val="24"/>
        </w:rPr>
        <w:t>及酶水解法</w:t>
      </w:r>
      <w:proofErr w:type="gramEnd"/>
      <w:r w:rsidRPr="00D12153">
        <w:rPr>
          <w:rFonts w:ascii="Times New Roman" w:eastAsia="宋体" w:hAnsi="Times New Roman" w:cs="Times New Roman"/>
          <w:sz w:val="24"/>
          <w:szCs w:val="24"/>
        </w:rPr>
        <w:t>在强心苷生产中的应用，强心苷的颜色反应及其应用，强心苷的波谱特征</w:t>
      </w:r>
    </w:p>
    <w:p w14:paraId="075FA22E" w14:textId="77777777" w:rsidR="00D12153" w:rsidRPr="00D12153" w:rsidRDefault="00D12153" w:rsidP="00D12153">
      <w:pPr>
        <w:spacing w:line="360" w:lineRule="auto"/>
        <w:ind w:left="480"/>
        <w:rPr>
          <w:rFonts w:ascii="Times New Roman" w:eastAsia="宋体" w:hAnsi="Times New Roman" w:cs="Times New Roman"/>
          <w:sz w:val="24"/>
          <w:szCs w:val="24"/>
        </w:rPr>
      </w:pPr>
      <w:r w:rsidRPr="00D12153">
        <w:rPr>
          <w:rFonts w:ascii="Times New Roman" w:eastAsia="宋体" w:hAnsi="Times New Roman" w:cs="Times New Roman"/>
          <w:sz w:val="24"/>
          <w:szCs w:val="24"/>
        </w:rPr>
        <w:t>3.</w:t>
      </w:r>
      <w:r w:rsidRPr="00D12153">
        <w:rPr>
          <w:rFonts w:ascii="Times New Roman" w:eastAsia="宋体" w:hAnsi="Times New Roman" w:cs="Times New Roman"/>
          <w:sz w:val="24"/>
          <w:szCs w:val="24"/>
        </w:rPr>
        <w:t>甾体皂苷的结构特点和类型及典型代表化合物，甾体皂苷的化学检识方法及波谱特征</w:t>
      </w:r>
    </w:p>
    <w:p w14:paraId="7ADD69DE" w14:textId="77777777" w:rsidR="00D12153" w:rsidRPr="00D12153" w:rsidRDefault="00D12153" w:rsidP="00D12153">
      <w:pPr>
        <w:spacing w:line="360" w:lineRule="auto"/>
        <w:ind w:left="480"/>
        <w:rPr>
          <w:rFonts w:ascii="Times New Roman" w:eastAsia="宋体" w:hAnsi="Times New Roman" w:cs="Times New Roman"/>
          <w:sz w:val="24"/>
          <w:szCs w:val="24"/>
        </w:rPr>
      </w:pPr>
      <w:r w:rsidRPr="00D12153">
        <w:rPr>
          <w:rFonts w:ascii="Times New Roman" w:eastAsia="宋体" w:hAnsi="Times New Roman" w:cs="Times New Roman"/>
          <w:sz w:val="24"/>
          <w:szCs w:val="24"/>
        </w:rPr>
        <w:t>4.</w:t>
      </w:r>
      <w:r w:rsidRPr="00D12153">
        <w:rPr>
          <w:rFonts w:ascii="Times New Roman" w:eastAsia="宋体" w:hAnsi="Times New Roman" w:cs="Times New Roman"/>
          <w:sz w:val="24"/>
          <w:szCs w:val="24"/>
        </w:rPr>
        <w:t>熟悉</w:t>
      </w:r>
      <w:proofErr w:type="gramStart"/>
      <w:r w:rsidRPr="00D12153">
        <w:rPr>
          <w:rFonts w:ascii="Times New Roman" w:eastAsia="宋体" w:hAnsi="Times New Roman" w:cs="Times New Roman"/>
          <w:sz w:val="24"/>
          <w:szCs w:val="24"/>
        </w:rPr>
        <w:t>甾</w:t>
      </w:r>
      <w:proofErr w:type="gramEnd"/>
      <w:r w:rsidRPr="00D12153">
        <w:rPr>
          <w:rFonts w:ascii="Times New Roman" w:eastAsia="宋体" w:hAnsi="Times New Roman" w:cs="Times New Roman"/>
          <w:sz w:val="24"/>
          <w:szCs w:val="24"/>
        </w:rPr>
        <w:t>体类化合物的显色反应，强心苷的提取分离方法</w:t>
      </w:r>
    </w:p>
    <w:p w14:paraId="1B335B78" w14:textId="77777777" w:rsidR="00D12153" w:rsidRPr="00D12153" w:rsidRDefault="00D12153" w:rsidP="00D12153">
      <w:pPr>
        <w:spacing w:line="360" w:lineRule="auto"/>
        <w:ind w:left="480"/>
        <w:rPr>
          <w:rFonts w:ascii="Times New Roman" w:eastAsia="宋体" w:hAnsi="Times New Roman" w:cs="Times New Roman"/>
          <w:sz w:val="24"/>
          <w:szCs w:val="24"/>
        </w:rPr>
      </w:pPr>
      <w:r w:rsidRPr="00D12153">
        <w:rPr>
          <w:rFonts w:ascii="Times New Roman" w:eastAsia="宋体" w:hAnsi="Times New Roman" w:cs="Times New Roman"/>
          <w:sz w:val="24"/>
          <w:szCs w:val="24"/>
        </w:rPr>
        <w:lastRenderedPageBreak/>
        <w:t>5.</w:t>
      </w:r>
      <w:r w:rsidRPr="00D12153">
        <w:rPr>
          <w:rFonts w:ascii="Times New Roman" w:eastAsia="宋体" w:hAnsi="Times New Roman" w:cs="Times New Roman"/>
          <w:sz w:val="24"/>
          <w:szCs w:val="24"/>
        </w:rPr>
        <w:t>了解</w:t>
      </w:r>
      <w:proofErr w:type="gramStart"/>
      <w:r w:rsidRPr="00D12153">
        <w:rPr>
          <w:rFonts w:ascii="Times New Roman" w:eastAsia="宋体" w:hAnsi="Times New Roman" w:cs="Times New Roman"/>
          <w:sz w:val="24"/>
          <w:szCs w:val="24"/>
        </w:rPr>
        <w:t>甾</w:t>
      </w:r>
      <w:proofErr w:type="gramEnd"/>
      <w:r w:rsidRPr="00D12153">
        <w:rPr>
          <w:rFonts w:ascii="Times New Roman" w:eastAsia="宋体" w:hAnsi="Times New Roman" w:cs="Times New Roman"/>
          <w:sz w:val="24"/>
          <w:szCs w:val="24"/>
        </w:rPr>
        <w:t>体类化合物的结构特点及分类，</w:t>
      </w:r>
      <w:r w:rsidRPr="00D12153">
        <w:rPr>
          <w:rFonts w:ascii="Times New Roman" w:eastAsia="宋体" w:hAnsi="Times New Roman" w:cs="Times New Roman"/>
          <w:sz w:val="24"/>
          <w:szCs w:val="24"/>
        </w:rPr>
        <w:t>C21</w:t>
      </w:r>
      <w:proofErr w:type="gramStart"/>
      <w:r w:rsidRPr="00D12153">
        <w:rPr>
          <w:rFonts w:ascii="Times New Roman" w:eastAsia="宋体" w:hAnsi="Times New Roman" w:cs="Times New Roman"/>
          <w:sz w:val="24"/>
          <w:szCs w:val="24"/>
        </w:rPr>
        <w:t>甾</w:t>
      </w:r>
      <w:proofErr w:type="gramEnd"/>
      <w:r w:rsidRPr="00D12153">
        <w:rPr>
          <w:rFonts w:ascii="Times New Roman" w:eastAsia="宋体" w:hAnsi="Times New Roman" w:cs="Times New Roman"/>
          <w:sz w:val="24"/>
          <w:szCs w:val="24"/>
        </w:rPr>
        <w:t>体化合物的结构特征及实例</w:t>
      </w:r>
    </w:p>
    <w:p w14:paraId="1C48BAC6" w14:textId="77777777" w:rsidR="00D12153" w:rsidRPr="00D12153" w:rsidRDefault="00D12153" w:rsidP="00D12153">
      <w:pPr>
        <w:spacing w:line="360" w:lineRule="auto"/>
        <w:ind w:left="480"/>
        <w:rPr>
          <w:rFonts w:ascii="Times New Roman" w:eastAsia="宋体" w:hAnsi="Times New Roman" w:cs="Times New Roman"/>
          <w:sz w:val="24"/>
          <w:szCs w:val="24"/>
        </w:rPr>
      </w:pPr>
      <w:r w:rsidRPr="00D12153">
        <w:rPr>
          <w:rFonts w:ascii="Times New Roman" w:eastAsia="宋体" w:hAnsi="Times New Roman" w:cs="Times New Roman"/>
          <w:sz w:val="24"/>
          <w:szCs w:val="24"/>
        </w:rPr>
        <w:t>6.</w:t>
      </w:r>
      <w:r w:rsidRPr="00D12153">
        <w:rPr>
          <w:rFonts w:ascii="Times New Roman" w:eastAsia="宋体" w:hAnsi="Times New Roman" w:cs="Times New Roman"/>
          <w:sz w:val="24"/>
          <w:szCs w:val="24"/>
        </w:rPr>
        <w:t>了解甾体皂苷的提取分离方法</w:t>
      </w:r>
    </w:p>
    <w:p w14:paraId="2D320FE7" w14:textId="77777777" w:rsidR="00D12153" w:rsidRPr="00D12153" w:rsidRDefault="00D12153" w:rsidP="00D12153">
      <w:pPr>
        <w:spacing w:line="360" w:lineRule="auto"/>
        <w:ind w:left="480"/>
        <w:rPr>
          <w:rFonts w:ascii="Times New Roman" w:eastAsia="宋体" w:hAnsi="Times New Roman" w:cs="Times New Roman"/>
          <w:sz w:val="24"/>
          <w:szCs w:val="24"/>
        </w:rPr>
      </w:pPr>
      <w:r w:rsidRPr="00D12153">
        <w:rPr>
          <w:rFonts w:ascii="Times New Roman" w:eastAsia="宋体" w:hAnsi="Times New Roman" w:cs="Times New Roman"/>
          <w:sz w:val="24"/>
          <w:szCs w:val="24"/>
        </w:rPr>
        <w:t>7.</w:t>
      </w:r>
      <w:r w:rsidRPr="00D12153">
        <w:rPr>
          <w:rFonts w:ascii="Times New Roman" w:eastAsia="宋体" w:hAnsi="Times New Roman" w:cs="Times New Roman"/>
          <w:sz w:val="24"/>
          <w:szCs w:val="24"/>
        </w:rPr>
        <w:t>一般介绍强心苷结构鉴定实例和生物活性</w:t>
      </w:r>
    </w:p>
    <w:p w14:paraId="7498DFD1" w14:textId="77777777" w:rsidR="00D12153" w:rsidRPr="00D12153" w:rsidRDefault="00D12153" w:rsidP="00D12153">
      <w:pPr>
        <w:spacing w:line="360" w:lineRule="auto"/>
        <w:ind w:left="480"/>
        <w:rPr>
          <w:rFonts w:ascii="Times New Roman" w:eastAsia="宋体" w:hAnsi="Times New Roman" w:cs="Times New Roman"/>
          <w:sz w:val="24"/>
          <w:szCs w:val="24"/>
        </w:rPr>
      </w:pPr>
      <w:r w:rsidRPr="00D12153">
        <w:rPr>
          <w:rFonts w:ascii="Times New Roman" w:eastAsia="宋体" w:hAnsi="Times New Roman" w:cs="Times New Roman"/>
          <w:b/>
          <w:sz w:val="24"/>
          <w:szCs w:val="24"/>
        </w:rPr>
        <w:t>【重点】</w:t>
      </w:r>
      <w:r w:rsidRPr="00D12153">
        <w:rPr>
          <w:rFonts w:ascii="Times New Roman" w:eastAsia="宋体" w:hAnsi="Times New Roman" w:cs="Times New Roman"/>
          <w:b/>
          <w:sz w:val="24"/>
          <w:szCs w:val="24"/>
        </w:rPr>
        <w:t xml:space="preserve">  </w:t>
      </w:r>
      <w:r w:rsidRPr="00D12153">
        <w:rPr>
          <w:rFonts w:ascii="Times New Roman" w:eastAsia="宋体" w:hAnsi="Times New Roman" w:cs="Times New Roman"/>
          <w:sz w:val="24"/>
          <w:szCs w:val="24"/>
        </w:rPr>
        <w:t>强心苷和甾体皂苷的提取分离方法，显色反应。</w:t>
      </w:r>
      <w:r w:rsidRPr="00D12153">
        <w:rPr>
          <w:rFonts w:ascii="Times New Roman" w:eastAsia="宋体" w:hAnsi="Times New Roman" w:cs="Times New Roman"/>
          <w:sz w:val="24"/>
          <w:szCs w:val="24"/>
        </w:rPr>
        <w:t xml:space="preserve"> </w:t>
      </w:r>
    </w:p>
    <w:p w14:paraId="27CF3908" w14:textId="77777777" w:rsidR="00D12153" w:rsidRPr="00D12153" w:rsidRDefault="00D12153" w:rsidP="00D12153">
      <w:pPr>
        <w:spacing w:line="360" w:lineRule="auto"/>
        <w:ind w:left="480"/>
        <w:rPr>
          <w:rFonts w:ascii="Times New Roman" w:eastAsia="宋体" w:hAnsi="Times New Roman" w:cs="Times New Roman"/>
          <w:szCs w:val="24"/>
        </w:rPr>
      </w:pPr>
      <w:r w:rsidRPr="00D12153">
        <w:rPr>
          <w:rFonts w:ascii="Times New Roman" w:eastAsia="宋体" w:hAnsi="Times New Roman" w:cs="Times New Roman"/>
          <w:b/>
          <w:sz w:val="24"/>
          <w:szCs w:val="24"/>
        </w:rPr>
        <w:t>【难点】</w:t>
      </w:r>
      <w:r w:rsidRPr="00D12153">
        <w:rPr>
          <w:rFonts w:ascii="Times New Roman" w:eastAsia="宋体" w:hAnsi="Times New Roman" w:cs="Times New Roman"/>
          <w:b/>
          <w:sz w:val="24"/>
          <w:szCs w:val="24"/>
        </w:rPr>
        <w:t xml:space="preserve">  </w:t>
      </w:r>
      <w:r w:rsidRPr="00D12153">
        <w:rPr>
          <w:rFonts w:ascii="Times New Roman" w:eastAsia="宋体" w:hAnsi="Times New Roman" w:cs="Times New Roman"/>
          <w:sz w:val="24"/>
          <w:szCs w:val="24"/>
        </w:rPr>
        <w:t>强心苷的波谱特征。</w:t>
      </w:r>
    </w:p>
    <w:p w14:paraId="53CBB528" w14:textId="77777777" w:rsidR="00D12153" w:rsidRPr="00D12153" w:rsidRDefault="00D12153" w:rsidP="00D12153">
      <w:pPr>
        <w:spacing w:line="360" w:lineRule="auto"/>
        <w:ind w:left="480"/>
        <w:rPr>
          <w:rFonts w:ascii="Times New Roman" w:eastAsia="宋体" w:hAnsi="Times New Roman" w:cs="Times New Roman"/>
          <w:sz w:val="24"/>
          <w:szCs w:val="24"/>
        </w:rPr>
      </w:pPr>
      <w:r w:rsidRPr="00D12153">
        <w:rPr>
          <w:rFonts w:ascii="Times New Roman" w:eastAsia="宋体" w:hAnsi="Times New Roman" w:cs="Times New Roman"/>
          <w:b/>
          <w:bCs/>
          <w:sz w:val="24"/>
          <w:szCs w:val="24"/>
        </w:rPr>
        <w:t>【教学方法】</w:t>
      </w:r>
    </w:p>
    <w:p w14:paraId="48F1A3C9" w14:textId="77777777" w:rsidR="00D12153" w:rsidRPr="00D12153" w:rsidRDefault="00D12153" w:rsidP="00D12153">
      <w:pPr>
        <w:spacing w:line="360" w:lineRule="auto"/>
        <w:ind w:left="480"/>
        <w:rPr>
          <w:rFonts w:ascii="Times New Roman" w:eastAsia="宋体" w:hAnsi="Times New Roman" w:cs="Times New Roman"/>
          <w:kern w:val="0"/>
          <w:sz w:val="20"/>
          <w:szCs w:val="20"/>
        </w:rPr>
      </w:pPr>
      <w:r w:rsidRPr="00D12153">
        <w:rPr>
          <w:rFonts w:ascii="Times New Roman" w:eastAsia="宋体" w:hAnsi="Times New Roman" w:cs="Times New Roman"/>
          <w:sz w:val="24"/>
          <w:szCs w:val="24"/>
        </w:rPr>
        <w:t>1.</w:t>
      </w:r>
      <w:r w:rsidRPr="00D12153">
        <w:rPr>
          <w:rFonts w:ascii="Times New Roman" w:eastAsia="宋体" w:hAnsi="Times New Roman" w:cs="Times New Roman"/>
          <w:sz w:val="24"/>
          <w:szCs w:val="24"/>
        </w:rPr>
        <w:t>通过多媒体课件和传统教学相结合，阐明课程与教学基本原理，丰富学生课程与教学的基本知识结构，培养学生的自主学习能力；</w:t>
      </w:r>
    </w:p>
    <w:p w14:paraId="79253134" w14:textId="77777777" w:rsidR="00D12153" w:rsidRPr="00D12153" w:rsidRDefault="00D12153" w:rsidP="00D12153">
      <w:pPr>
        <w:spacing w:line="440" w:lineRule="exact"/>
        <w:ind w:left="480"/>
        <w:rPr>
          <w:rFonts w:ascii="Times New Roman" w:eastAsia="宋体" w:hAnsi="Times New Roman" w:cs="Times New Roman"/>
          <w:sz w:val="24"/>
          <w:szCs w:val="24"/>
        </w:rPr>
      </w:pPr>
      <w:r w:rsidRPr="00D12153">
        <w:rPr>
          <w:rFonts w:ascii="Times New Roman" w:eastAsia="宋体" w:hAnsi="Times New Roman" w:cs="Times New Roman"/>
          <w:sz w:val="24"/>
          <w:szCs w:val="24"/>
        </w:rPr>
        <w:t>2.</w:t>
      </w:r>
      <w:r w:rsidRPr="00D12153">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22DD9A45" w14:textId="77777777" w:rsidR="00D12153" w:rsidRPr="00D12153" w:rsidRDefault="00D12153" w:rsidP="00D12153">
      <w:pPr>
        <w:spacing w:line="440" w:lineRule="exact"/>
        <w:ind w:left="480"/>
        <w:rPr>
          <w:rFonts w:ascii="Times New Roman" w:eastAsia="宋体" w:hAnsi="Times New Roman" w:cs="Times New Roman"/>
          <w:sz w:val="24"/>
          <w:szCs w:val="24"/>
        </w:rPr>
      </w:pPr>
    </w:p>
    <w:p w14:paraId="2A73FEA4" w14:textId="77777777" w:rsidR="00D12153" w:rsidRPr="00D12153" w:rsidRDefault="00D12153" w:rsidP="00D12153">
      <w:pPr>
        <w:ind w:left="480"/>
        <w:rPr>
          <w:rFonts w:ascii="Times New Roman" w:eastAsia="宋体" w:hAnsi="Times New Roman" w:cs="Times New Roman"/>
          <w:szCs w:val="24"/>
        </w:rPr>
      </w:pPr>
      <w:r w:rsidRPr="00D12153">
        <w:rPr>
          <w:rFonts w:ascii="Times New Roman" w:eastAsia="宋体" w:hAnsi="Times New Roman" w:cs="Times New Roman"/>
          <w:b/>
          <w:sz w:val="24"/>
          <w:szCs w:val="24"/>
        </w:rPr>
        <w:t>【复习思考】</w:t>
      </w:r>
    </w:p>
    <w:p w14:paraId="3EFCAE8C" w14:textId="77777777" w:rsidR="00D12153" w:rsidRPr="00D12153" w:rsidRDefault="00D12153" w:rsidP="00D12153">
      <w:pPr>
        <w:spacing w:line="440" w:lineRule="exact"/>
        <w:ind w:left="480"/>
        <w:rPr>
          <w:rFonts w:ascii="Times New Roman" w:eastAsia="宋体" w:hAnsi="Times New Roman" w:cs="Times New Roman"/>
          <w:sz w:val="24"/>
          <w:szCs w:val="24"/>
        </w:rPr>
      </w:pPr>
      <w:r w:rsidRPr="00D12153">
        <w:rPr>
          <w:rFonts w:ascii="Times New Roman" w:eastAsia="宋体" w:hAnsi="Times New Roman" w:cs="Times New Roman"/>
          <w:sz w:val="24"/>
          <w:szCs w:val="24"/>
        </w:rPr>
        <w:t xml:space="preserve">1. </w:t>
      </w:r>
      <w:r w:rsidRPr="00D12153">
        <w:rPr>
          <w:rFonts w:ascii="Times New Roman" w:eastAsia="宋体" w:hAnsi="Times New Roman" w:cs="Times New Roman"/>
          <w:sz w:val="24"/>
          <w:szCs w:val="24"/>
        </w:rPr>
        <w:t>强心苷和甾体皂苷的提取分离方法，显色反应</w:t>
      </w:r>
    </w:p>
    <w:p w14:paraId="7EC109F2" w14:textId="77777777" w:rsidR="00D12153" w:rsidRPr="00D12153" w:rsidRDefault="00D12153" w:rsidP="00D12153">
      <w:pPr>
        <w:spacing w:line="440" w:lineRule="exact"/>
        <w:ind w:left="480"/>
        <w:rPr>
          <w:rFonts w:ascii="Times New Roman" w:eastAsia="宋体" w:hAnsi="Times New Roman" w:cs="Times New Roman"/>
          <w:sz w:val="24"/>
          <w:szCs w:val="24"/>
        </w:rPr>
      </w:pPr>
      <w:r w:rsidRPr="00D12153">
        <w:rPr>
          <w:rFonts w:ascii="Times New Roman" w:eastAsia="宋体" w:hAnsi="Times New Roman" w:cs="Times New Roman"/>
          <w:sz w:val="24"/>
          <w:szCs w:val="24"/>
        </w:rPr>
        <w:t xml:space="preserve">2. </w:t>
      </w:r>
      <w:r w:rsidRPr="00D12153">
        <w:rPr>
          <w:rFonts w:ascii="Times New Roman" w:eastAsia="宋体" w:hAnsi="Times New Roman" w:cs="Times New Roman"/>
          <w:sz w:val="24"/>
          <w:szCs w:val="24"/>
        </w:rPr>
        <w:t>强心苷的波谱特征</w:t>
      </w:r>
    </w:p>
    <w:p w14:paraId="4EA787FE" w14:textId="77777777" w:rsidR="00D12153" w:rsidRPr="00D12153" w:rsidRDefault="00D12153" w:rsidP="00D12153">
      <w:pPr>
        <w:spacing w:line="440" w:lineRule="exact"/>
        <w:ind w:left="840"/>
        <w:rPr>
          <w:rFonts w:ascii="Times New Roman" w:eastAsia="宋体" w:hAnsi="Times New Roman" w:cs="Times New Roman"/>
          <w:color w:val="000000"/>
          <w:sz w:val="24"/>
          <w:szCs w:val="24"/>
        </w:rPr>
      </w:pPr>
    </w:p>
    <w:p w14:paraId="0C18F783" w14:textId="77777777" w:rsidR="00D12153" w:rsidRPr="00D12153" w:rsidRDefault="00D12153" w:rsidP="00D12153">
      <w:pPr>
        <w:spacing w:beforeLines="50" w:before="156" w:afterLines="50" w:after="156" w:line="440" w:lineRule="exact"/>
        <w:ind w:firstLineChars="200" w:firstLine="560"/>
        <w:jc w:val="center"/>
        <w:rPr>
          <w:rFonts w:ascii="Times New Roman" w:eastAsia="宋体" w:hAnsi="Times New Roman" w:cs="Times New Roman"/>
          <w:color w:val="000000"/>
          <w:sz w:val="24"/>
          <w:szCs w:val="24"/>
        </w:rPr>
      </w:pPr>
      <w:r w:rsidRPr="00D12153">
        <w:rPr>
          <w:rFonts w:ascii="Times New Roman" w:eastAsia="黑体" w:hAnsi="Times New Roman" w:cs="Times New Roman"/>
          <w:color w:val="000000"/>
          <w:sz w:val="28"/>
          <w:szCs w:val="28"/>
        </w:rPr>
        <w:t>第九章</w:t>
      </w:r>
      <w:r w:rsidRPr="00D12153">
        <w:rPr>
          <w:rFonts w:ascii="Times New Roman" w:eastAsia="黑体" w:hAnsi="Times New Roman" w:cs="Times New Roman"/>
          <w:color w:val="000000"/>
          <w:sz w:val="28"/>
          <w:szCs w:val="28"/>
        </w:rPr>
        <w:t xml:space="preserve">  </w:t>
      </w:r>
      <w:r w:rsidRPr="00D12153">
        <w:rPr>
          <w:rFonts w:ascii="Times New Roman" w:eastAsia="黑体" w:hAnsi="Times New Roman" w:cs="Times New Roman"/>
          <w:color w:val="000000"/>
          <w:sz w:val="28"/>
          <w:szCs w:val="28"/>
        </w:rPr>
        <w:t>生物碱</w:t>
      </w:r>
    </w:p>
    <w:p w14:paraId="34DC2712"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【学习目标】</w:t>
      </w:r>
    </w:p>
    <w:p w14:paraId="7CD3A624" w14:textId="77777777" w:rsidR="00D12153" w:rsidRPr="00D12153" w:rsidRDefault="00D12153" w:rsidP="00D12153">
      <w:pPr>
        <w:adjustRightInd w:val="0"/>
        <w:snapToGrid w:val="0"/>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认知目标：掌握生物碱的定义、分类；熟悉生物碱的理化性质（溶解度、检识反应、碱性、</w:t>
      </w:r>
      <w:r w:rsidRPr="00D12153">
        <w:rPr>
          <w:rFonts w:ascii="Times New Roman" w:eastAsia="宋体" w:hAnsi="Times New Roman" w:cs="Times New Roman"/>
          <w:color w:val="000000"/>
          <w:sz w:val="24"/>
          <w:szCs w:val="24"/>
        </w:rPr>
        <w:t>C—N</w:t>
      </w:r>
      <w:r w:rsidRPr="00D12153">
        <w:rPr>
          <w:rFonts w:ascii="Times New Roman" w:eastAsia="宋体" w:hAnsi="Times New Roman" w:cs="Times New Roman"/>
          <w:color w:val="000000"/>
          <w:sz w:val="24"/>
          <w:szCs w:val="24"/>
        </w:rPr>
        <w:t>键的裂解反应）；</w:t>
      </w:r>
    </w:p>
    <w:p w14:paraId="5E99B3A7"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过程与方法类目标：熟悉生物碱的提取分离方法；了解生物碱的理化鉴别和波谱鉴定方法；</w:t>
      </w:r>
    </w:p>
    <w:p w14:paraId="498E022E"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3. </w:t>
      </w:r>
      <w:r w:rsidRPr="00D12153">
        <w:rPr>
          <w:rFonts w:ascii="Times New Roman" w:eastAsia="宋体" w:hAnsi="Times New Roman" w:cs="Times New Roman"/>
          <w:color w:val="000000"/>
          <w:sz w:val="24"/>
          <w:szCs w:val="24"/>
        </w:rPr>
        <w:t>情感、态度、价值类目标：了解生物碱类化合物的基本性质以及在生活中的实际应用，培养学生对于天然药物研</w:t>
      </w:r>
      <w:r w:rsidRPr="00D12153">
        <w:rPr>
          <w:rFonts w:ascii="Times New Roman" w:eastAsia="宋体" w:hAnsi="Times New Roman" w:cs="Times New Roman" w:hint="eastAsia"/>
          <w:color w:val="000000"/>
          <w:sz w:val="24"/>
          <w:szCs w:val="24"/>
        </w:rPr>
        <w:t>究</w:t>
      </w:r>
      <w:r w:rsidRPr="00D12153">
        <w:rPr>
          <w:rFonts w:ascii="Times New Roman" w:eastAsia="宋体" w:hAnsi="Times New Roman" w:cs="Times New Roman"/>
          <w:color w:val="000000"/>
          <w:sz w:val="24"/>
          <w:szCs w:val="24"/>
        </w:rPr>
        <w:t>的兴趣。</w:t>
      </w:r>
    </w:p>
    <w:p w14:paraId="67F689DB"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【学习内容】</w:t>
      </w:r>
    </w:p>
    <w:p w14:paraId="78138D04" w14:textId="77777777" w:rsidR="00D12153" w:rsidRPr="00D12153" w:rsidRDefault="00D12153">
      <w:pPr>
        <w:numPr>
          <w:ilvl w:val="0"/>
          <w:numId w:val="210"/>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生物碱的定义和存在形式及主要结构类型；</w:t>
      </w:r>
    </w:p>
    <w:p w14:paraId="2115D954" w14:textId="77777777" w:rsidR="00D12153" w:rsidRPr="00D12153" w:rsidRDefault="00D12153">
      <w:pPr>
        <w:numPr>
          <w:ilvl w:val="0"/>
          <w:numId w:val="210"/>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生物碱的形态、颜色和旋光性及生物碱和生物碱盐的溶解性及其应用，生物碱沉淀反应；</w:t>
      </w:r>
    </w:p>
    <w:p w14:paraId="5E3F1D31" w14:textId="77777777" w:rsidR="00D12153" w:rsidRPr="00D12153" w:rsidRDefault="00D12153">
      <w:pPr>
        <w:numPr>
          <w:ilvl w:val="0"/>
          <w:numId w:val="210"/>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生物碱的碱性，碱性强弱与生物碱分子结构的关系及其在提取分离中的应用，生物碱</w:t>
      </w:r>
      <w:r w:rsidRPr="00D12153">
        <w:rPr>
          <w:rFonts w:ascii="Times New Roman" w:eastAsia="宋体" w:hAnsi="Times New Roman" w:cs="Times New Roman"/>
          <w:color w:val="000000"/>
          <w:sz w:val="24"/>
          <w:szCs w:val="24"/>
        </w:rPr>
        <w:t>C—N</w:t>
      </w:r>
      <w:r w:rsidRPr="00D12153">
        <w:rPr>
          <w:rFonts w:ascii="Times New Roman" w:eastAsia="宋体" w:hAnsi="Times New Roman" w:cs="Times New Roman"/>
          <w:color w:val="000000"/>
          <w:sz w:val="24"/>
          <w:szCs w:val="24"/>
        </w:rPr>
        <w:t>键的裂解反应机理；</w:t>
      </w:r>
    </w:p>
    <w:p w14:paraId="364FCB0D" w14:textId="77777777" w:rsidR="00D12153" w:rsidRPr="00D12153" w:rsidRDefault="00D12153">
      <w:pPr>
        <w:numPr>
          <w:ilvl w:val="0"/>
          <w:numId w:val="210"/>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lastRenderedPageBreak/>
        <w:t>掌握总生物碱的提取和生物碱单体的初步分离原理、方法及工艺流程；</w:t>
      </w:r>
    </w:p>
    <w:p w14:paraId="2E2D7AEE" w14:textId="77777777" w:rsidR="00D12153" w:rsidRPr="00D12153" w:rsidRDefault="00D12153">
      <w:pPr>
        <w:numPr>
          <w:ilvl w:val="0"/>
          <w:numId w:val="210"/>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生物碱的波谱规律；</w:t>
      </w:r>
    </w:p>
    <w:p w14:paraId="21D1C1B2" w14:textId="77777777" w:rsidR="00D12153" w:rsidRPr="00D12153" w:rsidRDefault="00D12153">
      <w:pPr>
        <w:numPr>
          <w:ilvl w:val="0"/>
          <w:numId w:val="210"/>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熟悉生物碱结构测定</w:t>
      </w:r>
      <w:r w:rsidRPr="00D12153">
        <w:rPr>
          <w:rFonts w:ascii="Times New Roman" w:eastAsia="宋体" w:hAnsi="Times New Roman" w:cs="Times New Roman"/>
          <w:color w:val="000000"/>
          <w:sz w:val="24"/>
          <w:szCs w:val="24"/>
        </w:rPr>
        <w:t>:</w:t>
      </w:r>
      <w:r w:rsidRPr="00D12153">
        <w:rPr>
          <w:rFonts w:ascii="Times New Roman" w:eastAsia="宋体" w:hAnsi="Times New Roman" w:cs="Times New Roman"/>
          <w:color w:val="000000"/>
          <w:sz w:val="24"/>
          <w:szCs w:val="24"/>
        </w:rPr>
        <w:t>结构测定中常用的化学降解反应；</w:t>
      </w:r>
    </w:p>
    <w:p w14:paraId="07009D37" w14:textId="77777777" w:rsidR="00D12153" w:rsidRPr="00D12153" w:rsidRDefault="00D12153">
      <w:pPr>
        <w:numPr>
          <w:ilvl w:val="0"/>
          <w:numId w:val="210"/>
        </w:num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了解生物碱提取分离的实例。</w:t>
      </w:r>
    </w:p>
    <w:p w14:paraId="3D9BE866"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【重点】</w:t>
      </w:r>
      <w:r w:rsidRPr="00D12153">
        <w:rPr>
          <w:rFonts w:ascii="Times New Roman" w:eastAsia="宋体" w:hAnsi="Times New Roman" w:cs="Times New Roman"/>
          <w:b/>
          <w:color w:val="000000"/>
          <w:sz w:val="24"/>
          <w:szCs w:val="24"/>
        </w:rPr>
        <w:t xml:space="preserve">  </w:t>
      </w:r>
    </w:p>
    <w:p w14:paraId="212F6B58"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bCs/>
          <w:color w:val="000000"/>
          <w:sz w:val="24"/>
          <w:szCs w:val="24"/>
        </w:rPr>
        <w:t>1.</w:t>
      </w:r>
      <w:r w:rsidRPr="00D12153">
        <w:rPr>
          <w:rFonts w:ascii="Times New Roman" w:eastAsia="宋体" w:hAnsi="Times New Roman" w:cs="Times New Roman"/>
          <w:color w:val="000000"/>
          <w:sz w:val="24"/>
          <w:szCs w:val="24"/>
        </w:rPr>
        <w:t>生物碱的存在形式及主要结构类型；</w:t>
      </w:r>
    </w:p>
    <w:p w14:paraId="3335E417"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生物碱的理化性质。</w:t>
      </w:r>
    </w:p>
    <w:p w14:paraId="357C0705" w14:textId="77777777" w:rsidR="00D12153" w:rsidRPr="00D12153" w:rsidRDefault="00D12153" w:rsidP="00D12153">
      <w:pPr>
        <w:spacing w:line="440" w:lineRule="exact"/>
        <w:ind w:firstLineChars="200" w:firstLine="482"/>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【难点】</w:t>
      </w:r>
      <w:r w:rsidRPr="00D12153">
        <w:rPr>
          <w:rFonts w:ascii="Times New Roman" w:eastAsia="宋体" w:hAnsi="Times New Roman" w:cs="Times New Roman"/>
          <w:b/>
          <w:color w:val="000000"/>
          <w:sz w:val="24"/>
          <w:szCs w:val="24"/>
        </w:rPr>
        <w:t xml:space="preserve">  </w:t>
      </w:r>
    </w:p>
    <w:p w14:paraId="72261B49"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bCs/>
          <w:color w:val="000000"/>
          <w:sz w:val="24"/>
          <w:szCs w:val="24"/>
        </w:rPr>
        <w:t>1.</w:t>
      </w:r>
      <w:r w:rsidRPr="00D12153">
        <w:rPr>
          <w:rFonts w:ascii="Times New Roman" w:eastAsia="宋体" w:hAnsi="Times New Roman" w:cs="Times New Roman"/>
          <w:color w:val="000000"/>
          <w:sz w:val="24"/>
          <w:szCs w:val="24"/>
        </w:rPr>
        <w:t>生物碱提取及鉴定的基本原理。</w:t>
      </w:r>
    </w:p>
    <w:p w14:paraId="3AF1C2DF"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生物碱的生源合成途径及生物合成的基本原理</w:t>
      </w:r>
    </w:p>
    <w:p w14:paraId="67CDA885" w14:textId="77777777" w:rsidR="00D12153" w:rsidRPr="00D12153" w:rsidRDefault="00D12153" w:rsidP="00D12153">
      <w:pPr>
        <w:spacing w:line="440" w:lineRule="exact"/>
        <w:ind w:firstLineChars="200" w:firstLine="482"/>
        <w:rPr>
          <w:rFonts w:ascii="Times New Roman" w:eastAsia="宋体" w:hAnsi="Times New Roman" w:cs="Times New Roman"/>
          <w:color w:val="000000"/>
          <w:sz w:val="24"/>
          <w:szCs w:val="24"/>
        </w:rPr>
      </w:pPr>
      <w:r w:rsidRPr="00D12153">
        <w:rPr>
          <w:rFonts w:ascii="Times New Roman" w:eastAsia="宋体" w:hAnsi="Times New Roman" w:cs="Times New Roman"/>
          <w:b/>
          <w:bCs/>
          <w:color w:val="000000"/>
          <w:sz w:val="24"/>
          <w:szCs w:val="24"/>
        </w:rPr>
        <w:t>【教学方法】</w:t>
      </w:r>
    </w:p>
    <w:p w14:paraId="57C6E968"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通过安排学生提前预习，在课上集中解决学生疑难问题，培养学生自主学习、独立思考的</w:t>
      </w:r>
      <w:proofErr w:type="gramStart"/>
      <w:r w:rsidRPr="00D12153">
        <w:rPr>
          <w:rFonts w:ascii="Times New Roman" w:eastAsia="宋体" w:hAnsi="Times New Roman" w:cs="Times New Roman"/>
          <w:color w:val="000000"/>
          <w:sz w:val="24"/>
          <w:szCs w:val="24"/>
        </w:rPr>
        <w:t>的</w:t>
      </w:r>
      <w:proofErr w:type="gramEnd"/>
      <w:r w:rsidRPr="00D12153">
        <w:rPr>
          <w:rFonts w:ascii="Times New Roman" w:eastAsia="宋体" w:hAnsi="Times New Roman" w:cs="Times New Roman"/>
          <w:color w:val="000000"/>
          <w:sz w:val="24"/>
          <w:szCs w:val="24"/>
        </w:rPr>
        <w:t>精神，强化学生对知识学习的应用意识，提升学生的教学技能。</w:t>
      </w:r>
    </w:p>
    <w:p w14:paraId="04F514A0"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通过案例分析，强调理论与实践相结合，促进学生知识整合，培养学生的反思能力。</w:t>
      </w:r>
    </w:p>
    <w:p w14:paraId="4924E96F" w14:textId="77777777" w:rsidR="00D12153" w:rsidRPr="00D12153" w:rsidRDefault="00D12153" w:rsidP="00D12153">
      <w:pPr>
        <w:spacing w:line="440" w:lineRule="exact"/>
        <w:ind w:firstLineChars="200" w:firstLine="482"/>
        <w:rPr>
          <w:rFonts w:ascii="Times New Roman" w:eastAsia="宋体" w:hAnsi="Times New Roman" w:cs="Times New Roman"/>
          <w:color w:val="000000"/>
          <w:sz w:val="24"/>
          <w:szCs w:val="24"/>
        </w:rPr>
      </w:pPr>
      <w:r w:rsidRPr="00D12153">
        <w:rPr>
          <w:rFonts w:ascii="Times New Roman" w:eastAsia="宋体" w:hAnsi="Times New Roman" w:cs="Times New Roman"/>
          <w:b/>
          <w:color w:val="000000"/>
          <w:sz w:val="24"/>
          <w:szCs w:val="24"/>
        </w:rPr>
        <w:t>【复习思考】</w:t>
      </w:r>
    </w:p>
    <w:p w14:paraId="281C20B7"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生物碱碱性强弱的大致规律；</w:t>
      </w:r>
    </w:p>
    <w:p w14:paraId="5A1FDAB4"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生物碱</w:t>
      </w:r>
      <w:r w:rsidRPr="00D12153">
        <w:rPr>
          <w:rFonts w:ascii="Times New Roman" w:eastAsia="宋体" w:hAnsi="Times New Roman" w:cs="Times New Roman"/>
          <w:color w:val="000000"/>
          <w:sz w:val="24"/>
          <w:szCs w:val="24"/>
        </w:rPr>
        <w:t>pH</w:t>
      </w:r>
      <w:r w:rsidRPr="00D12153">
        <w:rPr>
          <w:rFonts w:ascii="Times New Roman" w:eastAsia="宋体" w:hAnsi="Times New Roman" w:cs="Times New Roman"/>
          <w:color w:val="000000"/>
          <w:sz w:val="24"/>
          <w:szCs w:val="24"/>
        </w:rPr>
        <w:t>梯度萃取法的原理。</w:t>
      </w:r>
    </w:p>
    <w:p w14:paraId="13161D82" w14:textId="77777777" w:rsidR="00D12153" w:rsidRPr="00D12153" w:rsidRDefault="00D12153" w:rsidP="00D12153">
      <w:pPr>
        <w:spacing w:beforeLines="50" w:before="156" w:afterLines="50" w:after="156" w:line="440" w:lineRule="exact"/>
        <w:ind w:left="561"/>
        <w:rPr>
          <w:rFonts w:ascii="Times New Roman" w:eastAsia="仿宋" w:hAnsi="Times New Roman" w:cs="Times New Roman"/>
          <w:color w:val="000000"/>
          <w:sz w:val="24"/>
          <w:szCs w:val="24"/>
        </w:rPr>
      </w:pPr>
      <w:r w:rsidRPr="00D12153">
        <w:rPr>
          <w:rFonts w:ascii="Times New Roman" w:eastAsia="黑体" w:hAnsi="Times New Roman" w:cs="Times New Roman"/>
          <w:color w:val="000000"/>
          <w:sz w:val="28"/>
          <w:szCs w:val="28"/>
        </w:rPr>
        <w:t>（二）课程学习内容与课程学习目标的对应关系</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404"/>
        <w:gridCol w:w="2274"/>
        <w:gridCol w:w="1276"/>
      </w:tblGrid>
      <w:tr w:rsidR="00D12153" w:rsidRPr="00D12153" w14:paraId="5F1CCE50" w14:textId="77777777" w:rsidTr="00813A33">
        <w:trPr>
          <w:trHeight w:val="660"/>
          <w:jc w:val="center"/>
        </w:trPr>
        <w:tc>
          <w:tcPr>
            <w:tcW w:w="3403" w:type="dxa"/>
            <w:vAlign w:val="center"/>
          </w:tcPr>
          <w:p w14:paraId="5276D034" w14:textId="77777777" w:rsidR="00D12153" w:rsidRPr="00D12153" w:rsidRDefault="00D12153" w:rsidP="00D12153">
            <w:pPr>
              <w:spacing w:line="440" w:lineRule="exact"/>
              <w:jc w:val="center"/>
              <w:rPr>
                <w:rFonts w:ascii="Times New Roman" w:eastAsia="宋体" w:hAnsi="Times New Roman" w:cs="Times New Roman"/>
                <w:b/>
                <w:bCs/>
                <w:color w:val="000000"/>
                <w:sz w:val="24"/>
                <w:szCs w:val="24"/>
              </w:rPr>
            </w:pPr>
            <w:r w:rsidRPr="00D12153">
              <w:rPr>
                <w:rFonts w:ascii="Times New Roman" w:eastAsia="宋体" w:hAnsi="Times New Roman" w:cs="Times New Roman"/>
                <w:b/>
                <w:bCs/>
                <w:color w:val="000000"/>
                <w:sz w:val="24"/>
                <w:szCs w:val="24"/>
              </w:rPr>
              <w:t>课程学习内容</w:t>
            </w:r>
          </w:p>
        </w:tc>
        <w:tc>
          <w:tcPr>
            <w:tcW w:w="2404" w:type="dxa"/>
            <w:vAlign w:val="center"/>
          </w:tcPr>
          <w:p w14:paraId="331E3BC6" w14:textId="77777777" w:rsidR="00D12153" w:rsidRPr="00D12153" w:rsidRDefault="00D12153" w:rsidP="00D12153">
            <w:pPr>
              <w:spacing w:line="440" w:lineRule="exact"/>
              <w:jc w:val="center"/>
              <w:rPr>
                <w:rFonts w:ascii="Times New Roman" w:eastAsia="宋体" w:hAnsi="Times New Roman" w:cs="Times New Roman"/>
                <w:b/>
                <w:bCs/>
                <w:color w:val="000000"/>
                <w:sz w:val="24"/>
                <w:szCs w:val="24"/>
              </w:rPr>
            </w:pPr>
            <w:r w:rsidRPr="00D12153">
              <w:rPr>
                <w:rFonts w:ascii="Times New Roman" w:eastAsia="宋体" w:hAnsi="Times New Roman" w:cs="Times New Roman"/>
                <w:b/>
                <w:bCs/>
                <w:color w:val="000000"/>
                <w:sz w:val="24"/>
                <w:szCs w:val="24"/>
              </w:rPr>
              <w:t>教学方法</w:t>
            </w:r>
          </w:p>
        </w:tc>
        <w:tc>
          <w:tcPr>
            <w:tcW w:w="2274" w:type="dxa"/>
            <w:vAlign w:val="center"/>
          </w:tcPr>
          <w:p w14:paraId="29E7EF73" w14:textId="77777777" w:rsidR="00D12153" w:rsidRPr="00D12153" w:rsidRDefault="00D12153" w:rsidP="00D12153">
            <w:pPr>
              <w:spacing w:line="440" w:lineRule="exact"/>
              <w:jc w:val="center"/>
              <w:rPr>
                <w:rFonts w:ascii="Times New Roman" w:eastAsia="宋体" w:hAnsi="Times New Roman" w:cs="Times New Roman"/>
                <w:b/>
                <w:bCs/>
                <w:color w:val="000000"/>
                <w:sz w:val="24"/>
                <w:szCs w:val="24"/>
              </w:rPr>
            </w:pPr>
            <w:r w:rsidRPr="00D12153">
              <w:rPr>
                <w:rFonts w:ascii="Times New Roman" w:eastAsia="宋体" w:hAnsi="Times New Roman" w:cs="Times New Roman"/>
                <w:b/>
                <w:bCs/>
                <w:color w:val="000000"/>
                <w:sz w:val="24"/>
                <w:szCs w:val="24"/>
              </w:rPr>
              <w:t>支撑的课程目标</w:t>
            </w:r>
          </w:p>
        </w:tc>
        <w:tc>
          <w:tcPr>
            <w:tcW w:w="1276" w:type="dxa"/>
            <w:vAlign w:val="center"/>
          </w:tcPr>
          <w:p w14:paraId="41D9E46C" w14:textId="77777777" w:rsidR="00D12153" w:rsidRPr="00D12153" w:rsidRDefault="00D12153" w:rsidP="00D12153">
            <w:pPr>
              <w:spacing w:line="440" w:lineRule="exact"/>
              <w:jc w:val="center"/>
              <w:rPr>
                <w:rFonts w:ascii="Times New Roman" w:eastAsia="宋体" w:hAnsi="Times New Roman" w:cs="Times New Roman"/>
                <w:b/>
                <w:bCs/>
                <w:color w:val="000000"/>
                <w:sz w:val="24"/>
                <w:szCs w:val="24"/>
              </w:rPr>
            </w:pPr>
            <w:r w:rsidRPr="00D12153">
              <w:rPr>
                <w:rFonts w:ascii="Times New Roman" w:eastAsia="宋体" w:hAnsi="Times New Roman" w:cs="Times New Roman"/>
                <w:b/>
                <w:bCs/>
                <w:color w:val="000000"/>
                <w:sz w:val="24"/>
                <w:szCs w:val="24"/>
              </w:rPr>
              <w:t>学时安排</w:t>
            </w:r>
          </w:p>
        </w:tc>
      </w:tr>
      <w:tr w:rsidR="00D12153" w:rsidRPr="00D12153" w14:paraId="7CA71706" w14:textId="77777777" w:rsidTr="00813A33">
        <w:trPr>
          <w:trHeight w:val="514"/>
          <w:jc w:val="center"/>
        </w:trPr>
        <w:tc>
          <w:tcPr>
            <w:tcW w:w="3403" w:type="dxa"/>
          </w:tcPr>
          <w:p w14:paraId="6F23AD0C" w14:textId="77777777" w:rsidR="00D12153" w:rsidRPr="00D12153" w:rsidRDefault="00D12153" w:rsidP="00D12153">
            <w:pPr>
              <w:spacing w:line="440" w:lineRule="exact"/>
              <w:jc w:val="left"/>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第一章</w:t>
            </w:r>
            <w:r w:rsidRPr="00D12153">
              <w:rPr>
                <w:rFonts w:ascii="Times New Roman" w:eastAsia="宋体" w:hAnsi="Times New Roman" w:cs="Times New Roman"/>
                <w:color w:val="000000"/>
                <w:sz w:val="24"/>
                <w:szCs w:val="24"/>
              </w:rPr>
              <w:t xml:space="preserve"> </w:t>
            </w:r>
            <w:r w:rsidRPr="00D12153">
              <w:rPr>
                <w:rFonts w:ascii="Times New Roman" w:eastAsia="宋体" w:hAnsi="Times New Roman" w:cs="Times New Roman"/>
                <w:color w:val="000000"/>
                <w:sz w:val="24"/>
                <w:szCs w:val="24"/>
              </w:rPr>
              <w:t>总论</w:t>
            </w:r>
          </w:p>
        </w:tc>
        <w:tc>
          <w:tcPr>
            <w:tcW w:w="2404" w:type="dxa"/>
            <w:vAlign w:val="center"/>
          </w:tcPr>
          <w:p w14:paraId="46B2AB55"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讲授法</w:t>
            </w:r>
          </w:p>
        </w:tc>
        <w:tc>
          <w:tcPr>
            <w:tcW w:w="2274" w:type="dxa"/>
            <w:vAlign w:val="center"/>
          </w:tcPr>
          <w:p w14:paraId="4F63AD07" w14:textId="77777777" w:rsidR="00D12153" w:rsidRPr="00D12153" w:rsidRDefault="00D12153" w:rsidP="00D12153">
            <w:pPr>
              <w:spacing w:line="440" w:lineRule="exact"/>
              <w:jc w:val="center"/>
              <w:rPr>
                <w:rFonts w:ascii="Times New Roman" w:eastAsia="宋体" w:hAnsi="Times New Roman" w:cs="Times New Roman"/>
                <w:color w:val="000000"/>
                <w:sz w:val="24"/>
                <w:szCs w:val="24"/>
                <w:highlight w:val="yellow"/>
              </w:rPr>
            </w:pPr>
            <w:r w:rsidRPr="00D12153">
              <w:rPr>
                <w:rFonts w:ascii="Times New Roman" w:eastAsia="宋体" w:hAnsi="Times New Roman" w:cs="Times New Roman"/>
                <w:color w:val="000000"/>
                <w:sz w:val="24"/>
                <w:szCs w:val="24"/>
              </w:rPr>
              <w:t>课程目标</w:t>
            </w:r>
            <w:r w:rsidRPr="00D12153">
              <w:rPr>
                <w:rFonts w:ascii="Times New Roman" w:eastAsia="宋体" w:hAnsi="Times New Roman" w:cs="Times New Roman"/>
                <w:color w:val="000000"/>
                <w:sz w:val="24"/>
                <w:szCs w:val="24"/>
              </w:rPr>
              <w:t>1</w:t>
            </w:r>
            <w:r w:rsidRPr="00D12153">
              <w:rPr>
                <w:rFonts w:ascii="Times New Roman" w:eastAsia="宋体" w:hAnsi="Times New Roman" w:cs="Times New Roman"/>
                <w:color w:val="000000"/>
                <w:sz w:val="24"/>
                <w:szCs w:val="24"/>
              </w:rPr>
              <w:t>、</w:t>
            </w:r>
            <w:r w:rsidRPr="00D12153">
              <w:rPr>
                <w:rFonts w:ascii="Times New Roman" w:eastAsia="宋体" w:hAnsi="Times New Roman" w:cs="Times New Roman"/>
                <w:color w:val="000000"/>
                <w:sz w:val="24"/>
                <w:szCs w:val="24"/>
              </w:rPr>
              <w:t>3</w:t>
            </w:r>
          </w:p>
        </w:tc>
        <w:tc>
          <w:tcPr>
            <w:tcW w:w="1276" w:type="dxa"/>
            <w:vAlign w:val="center"/>
          </w:tcPr>
          <w:p w14:paraId="3DF1B485"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6</w:t>
            </w:r>
            <w:r w:rsidRPr="00D12153">
              <w:rPr>
                <w:rFonts w:ascii="Times New Roman" w:eastAsia="宋体" w:hAnsi="Times New Roman" w:cs="Times New Roman"/>
                <w:color w:val="000000"/>
                <w:sz w:val="24"/>
                <w:szCs w:val="24"/>
              </w:rPr>
              <w:t>学时</w:t>
            </w:r>
          </w:p>
        </w:tc>
      </w:tr>
      <w:tr w:rsidR="00D12153" w:rsidRPr="00D12153" w14:paraId="7317826B" w14:textId="77777777" w:rsidTr="00813A33">
        <w:trPr>
          <w:jc w:val="center"/>
        </w:trPr>
        <w:tc>
          <w:tcPr>
            <w:tcW w:w="3403" w:type="dxa"/>
          </w:tcPr>
          <w:p w14:paraId="312B30AD" w14:textId="77777777" w:rsidR="00D12153" w:rsidRPr="00D12153" w:rsidRDefault="00D12153" w:rsidP="00D12153">
            <w:pPr>
              <w:spacing w:line="440" w:lineRule="exact"/>
              <w:jc w:val="left"/>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第二章</w:t>
            </w:r>
            <w:r w:rsidRPr="00D12153">
              <w:rPr>
                <w:rFonts w:ascii="Times New Roman" w:eastAsia="宋体" w:hAnsi="Times New Roman" w:cs="Times New Roman"/>
                <w:color w:val="000000"/>
                <w:sz w:val="24"/>
                <w:szCs w:val="24"/>
              </w:rPr>
              <w:t xml:space="preserve"> </w:t>
            </w:r>
            <w:r w:rsidRPr="00D12153">
              <w:rPr>
                <w:rFonts w:ascii="Times New Roman" w:eastAsia="宋体" w:hAnsi="Times New Roman" w:cs="Times New Roman"/>
                <w:color w:val="000000"/>
                <w:sz w:val="24"/>
                <w:szCs w:val="24"/>
              </w:rPr>
              <w:t>糖和</w:t>
            </w:r>
            <w:proofErr w:type="gramStart"/>
            <w:r w:rsidRPr="00D12153">
              <w:rPr>
                <w:rFonts w:ascii="Times New Roman" w:eastAsia="宋体" w:hAnsi="Times New Roman" w:cs="Times New Roman"/>
                <w:color w:val="000000"/>
                <w:sz w:val="24"/>
                <w:szCs w:val="24"/>
              </w:rPr>
              <w:t>苷</w:t>
            </w:r>
            <w:proofErr w:type="gramEnd"/>
          </w:p>
        </w:tc>
        <w:tc>
          <w:tcPr>
            <w:tcW w:w="2404" w:type="dxa"/>
            <w:vAlign w:val="center"/>
          </w:tcPr>
          <w:p w14:paraId="60F71B1D"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讲授法</w:t>
            </w:r>
          </w:p>
        </w:tc>
        <w:tc>
          <w:tcPr>
            <w:tcW w:w="2274" w:type="dxa"/>
            <w:vAlign w:val="center"/>
          </w:tcPr>
          <w:p w14:paraId="02D7FF35" w14:textId="77777777" w:rsidR="00D12153" w:rsidRPr="00D12153" w:rsidRDefault="00D12153" w:rsidP="00D12153">
            <w:pPr>
              <w:spacing w:line="440" w:lineRule="exact"/>
              <w:jc w:val="center"/>
              <w:rPr>
                <w:rFonts w:ascii="Times New Roman" w:eastAsia="宋体" w:hAnsi="Times New Roman" w:cs="Times New Roman"/>
                <w:color w:val="000000"/>
                <w:sz w:val="24"/>
                <w:szCs w:val="24"/>
                <w:highlight w:val="yellow"/>
              </w:rPr>
            </w:pPr>
            <w:r w:rsidRPr="00D12153">
              <w:rPr>
                <w:rFonts w:ascii="Times New Roman" w:eastAsia="宋体" w:hAnsi="Times New Roman" w:cs="Times New Roman"/>
                <w:color w:val="000000"/>
                <w:sz w:val="24"/>
                <w:szCs w:val="24"/>
              </w:rPr>
              <w:t>课程目标</w:t>
            </w:r>
            <w:r w:rsidRPr="00D12153">
              <w:rPr>
                <w:rFonts w:ascii="Times New Roman" w:eastAsia="宋体" w:hAnsi="Times New Roman" w:cs="Times New Roman"/>
                <w:color w:val="000000"/>
                <w:sz w:val="24"/>
                <w:szCs w:val="24"/>
              </w:rPr>
              <w:t>1</w:t>
            </w:r>
          </w:p>
        </w:tc>
        <w:tc>
          <w:tcPr>
            <w:tcW w:w="1276" w:type="dxa"/>
            <w:vAlign w:val="center"/>
          </w:tcPr>
          <w:p w14:paraId="3366354C"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4</w:t>
            </w:r>
            <w:r w:rsidRPr="00D12153">
              <w:rPr>
                <w:rFonts w:ascii="Times New Roman" w:eastAsia="宋体" w:hAnsi="Times New Roman" w:cs="Times New Roman"/>
                <w:color w:val="000000"/>
                <w:sz w:val="24"/>
                <w:szCs w:val="24"/>
              </w:rPr>
              <w:t>学时</w:t>
            </w:r>
          </w:p>
        </w:tc>
      </w:tr>
      <w:tr w:rsidR="00D12153" w:rsidRPr="00D12153" w14:paraId="46CEFA04" w14:textId="77777777" w:rsidTr="00813A33">
        <w:trPr>
          <w:jc w:val="center"/>
        </w:trPr>
        <w:tc>
          <w:tcPr>
            <w:tcW w:w="3403" w:type="dxa"/>
          </w:tcPr>
          <w:p w14:paraId="67F34399" w14:textId="77777777" w:rsidR="00D12153" w:rsidRPr="00D12153" w:rsidRDefault="00D12153" w:rsidP="00D12153">
            <w:pPr>
              <w:spacing w:line="440" w:lineRule="exact"/>
              <w:jc w:val="left"/>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第三章</w:t>
            </w:r>
            <w:r w:rsidRPr="00D12153">
              <w:rPr>
                <w:rFonts w:ascii="Times New Roman" w:eastAsia="宋体" w:hAnsi="Times New Roman" w:cs="Times New Roman"/>
                <w:color w:val="000000"/>
                <w:sz w:val="24"/>
                <w:szCs w:val="24"/>
              </w:rPr>
              <w:t xml:space="preserve"> </w:t>
            </w:r>
            <w:r w:rsidRPr="00D12153">
              <w:rPr>
                <w:rFonts w:ascii="Times New Roman" w:eastAsia="宋体" w:hAnsi="Times New Roman" w:cs="Times New Roman"/>
                <w:color w:val="000000"/>
                <w:sz w:val="24"/>
                <w:szCs w:val="24"/>
              </w:rPr>
              <w:t>苯丙素类</w:t>
            </w:r>
          </w:p>
        </w:tc>
        <w:tc>
          <w:tcPr>
            <w:tcW w:w="2404" w:type="dxa"/>
            <w:vAlign w:val="center"/>
          </w:tcPr>
          <w:p w14:paraId="7A7520D1"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讲授法</w:t>
            </w:r>
          </w:p>
        </w:tc>
        <w:tc>
          <w:tcPr>
            <w:tcW w:w="2274" w:type="dxa"/>
            <w:vAlign w:val="center"/>
          </w:tcPr>
          <w:p w14:paraId="7A78E2C4" w14:textId="77777777" w:rsidR="00D12153" w:rsidRPr="00D12153" w:rsidRDefault="00D12153" w:rsidP="00D12153">
            <w:pPr>
              <w:spacing w:line="440" w:lineRule="exact"/>
              <w:jc w:val="center"/>
              <w:rPr>
                <w:rFonts w:ascii="Times New Roman" w:eastAsia="宋体" w:hAnsi="Times New Roman" w:cs="Times New Roman"/>
                <w:color w:val="000000"/>
                <w:sz w:val="24"/>
                <w:szCs w:val="24"/>
                <w:highlight w:val="yellow"/>
              </w:rPr>
            </w:pPr>
            <w:r w:rsidRPr="00D12153">
              <w:rPr>
                <w:rFonts w:ascii="Times New Roman" w:eastAsia="宋体" w:hAnsi="Times New Roman" w:cs="Times New Roman"/>
                <w:color w:val="000000"/>
                <w:sz w:val="24"/>
                <w:szCs w:val="24"/>
              </w:rPr>
              <w:t>课程目标</w:t>
            </w:r>
            <w:r w:rsidRPr="00D12153">
              <w:rPr>
                <w:rFonts w:ascii="Times New Roman" w:eastAsia="宋体" w:hAnsi="Times New Roman" w:cs="Times New Roman"/>
                <w:color w:val="000000"/>
                <w:sz w:val="24"/>
                <w:szCs w:val="24"/>
              </w:rPr>
              <w:t>2</w:t>
            </w:r>
          </w:p>
        </w:tc>
        <w:tc>
          <w:tcPr>
            <w:tcW w:w="1276" w:type="dxa"/>
            <w:vAlign w:val="center"/>
          </w:tcPr>
          <w:p w14:paraId="0AA06853"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2</w:t>
            </w:r>
            <w:r w:rsidRPr="00D12153">
              <w:rPr>
                <w:rFonts w:ascii="Times New Roman" w:eastAsia="宋体" w:hAnsi="Times New Roman" w:cs="Times New Roman"/>
                <w:color w:val="000000"/>
                <w:sz w:val="24"/>
                <w:szCs w:val="24"/>
              </w:rPr>
              <w:t>学时</w:t>
            </w:r>
          </w:p>
        </w:tc>
      </w:tr>
      <w:tr w:rsidR="00D12153" w:rsidRPr="00D12153" w14:paraId="35168318" w14:textId="77777777" w:rsidTr="00813A33">
        <w:trPr>
          <w:jc w:val="center"/>
        </w:trPr>
        <w:tc>
          <w:tcPr>
            <w:tcW w:w="3403" w:type="dxa"/>
          </w:tcPr>
          <w:p w14:paraId="0D5A3855" w14:textId="77777777" w:rsidR="00D12153" w:rsidRPr="00D12153" w:rsidRDefault="00D12153" w:rsidP="00D12153">
            <w:pPr>
              <w:spacing w:line="440" w:lineRule="exact"/>
              <w:jc w:val="left"/>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第四章</w:t>
            </w:r>
            <w:r w:rsidRPr="00D12153">
              <w:rPr>
                <w:rFonts w:ascii="Times New Roman" w:eastAsia="宋体" w:hAnsi="Times New Roman" w:cs="Times New Roman"/>
                <w:color w:val="000000"/>
                <w:sz w:val="24"/>
                <w:szCs w:val="24"/>
              </w:rPr>
              <w:t xml:space="preserve"> </w:t>
            </w:r>
            <w:proofErr w:type="gramStart"/>
            <w:r w:rsidRPr="00D12153">
              <w:rPr>
                <w:rFonts w:ascii="Times New Roman" w:eastAsia="宋体" w:hAnsi="Times New Roman" w:cs="Times New Roman"/>
                <w:color w:val="000000"/>
                <w:sz w:val="24"/>
                <w:szCs w:val="24"/>
              </w:rPr>
              <w:t>醌</w:t>
            </w:r>
            <w:proofErr w:type="gramEnd"/>
            <w:r w:rsidRPr="00D12153">
              <w:rPr>
                <w:rFonts w:ascii="Times New Roman" w:eastAsia="宋体" w:hAnsi="Times New Roman" w:cs="Times New Roman"/>
                <w:color w:val="000000"/>
                <w:sz w:val="24"/>
                <w:szCs w:val="24"/>
              </w:rPr>
              <w:t>类化合物</w:t>
            </w:r>
          </w:p>
        </w:tc>
        <w:tc>
          <w:tcPr>
            <w:tcW w:w="2404" w:type="dxa"/>
            <w:vAlign w:val="center"/>
          </w:tcPr>
          <w:p w14:paraId="592FD64A"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讲授法</w:t>
            </w:r>
          </w:p>
        </w:tc>
        <w:tc>
          <w:tcPr>
            <w:tcW w:w="2274" w:type="dxa"/>
            <w:vAlign w:val="center"/>
          </w:tcPr>
          <w:p w14:paraId="1B3CC4AE" w14:textId="77777777" w:rsidR="00D12153" w:rsidRPr="00D12153" w:rsidRDefault="00D12153" w:rsidP="00D12153">
            <w:pPr>
              <w:spacing w:line="440" w:lineRule="exact"/>
              <w:jc w:val="center"/>
              <w:rPr>
                <w:rFonts w:ascii="Times New Roman" w:eastAsia="宋体" w:hAnsi="Times New Roman" w:cs="Times New Roman"/>
                <w:color w:val="000000"/>
                <w:sz w:val="24"/>
                <w:szCs w:val="24"/>
                <w:highlight w:val="yellow"/>
              </w:rPr>
            </w:pPr>
            <w:r w:rsidRPr="00D12153">
              <w:rPr>
                <w:rFonts w:ascii="Times New Roman" w:eastAsia="宋体" w:hAnsi="Times New Roman" w:cs="Times New Roman"/>
                <w:color w:val="000000"/>
                <w:sz w:val="24"/>
                <w:szCs w:val="24"/>
              </w:rPr>
              <w:t>课程目标</w:t>
            </w:r>
            <w:r w:rsidRPr="00D12153">
              <w:rPr>
                <w:rFonts w:ascii="Times New Roman" w:eastAsia="宋体" w:hAnsi="Times New Roman" w:cs="Times New Roman"/>
                <w:color w:val="000000"/>
                <w:sz w:val="24"/>
                <w:szCs w:val="24"/>
              </w:rPr>
              <w:t>3</w:t>
            </w:r>
          </w:p>
        </w:tc>
        <w:tc>
          <w:tcPr>
            <w:tcW w:w="1276" w:type="dxa"/>
            <w:vAlign w:val="center"/>
          </w:tcPr>
          <w:p w14:paraId="0551FAFE"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2</w:t>
            </w:r>
            <w:r w:rsidRPr="00D12153">
              <w:rPr>
                <w:rFonts w:ascii="Times New Roman" w:eastAsia="宋体" w:hAnsi="Times New Roman" w:cs="Times New Roman"/>
                <w:color w:val="000000"/>
                <w:sz w:val="24"/>
                <w:szCs w:val="24"/>
              </w:rPr>
              <w:t>学时</w:t>
            </w:r>
          </w:p>
        </w:tc>
      </w:tr>
      <w:tr w:rsidR="00D12153" w:rsidRPr="00D12153" w14:paraId="3646840D" w14:textId="77777777" w:rsidTr="00813A33">
        <w:trPr>
          <w:jc w:val="center"/>
        </w:trPr>
        <w:tc>
          <w:tcPr>
            <w:tcW w:w="3403" w:type="dxa"/>
          </w:tcPr>
          <w:p w14:paraId="3BAFF8A0" w14:textId="77777777" w:rsidR="00D12153" w:rsidRPr="00D12153" w:rsidRDefault="00D12153" w:rsidP="00D12153">
            <w:pPr>
              <w:spacing w:line="440" w:lineRule="exact"/>
              <w:jc w:val="left"/>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第五章</w:t>
            </w:r>
            <w:r w:rsidRPr="00D12153">
              <w:rPr>
                <w:rFonts w:ascii="Times New Roman" w:eastAsia="宋体" w:hAnsi="Times New Roman" w:cs="Times New Roman"/>
                <w:color w:val="000000"/>
                <w:sz w:val="24"/>
                <w:szCs w:val="24"/>
              </w:rPr>
              <w:t xml:space="preserve"> </w:t>
            </w:r>
            <w:r w:rsidRPr="00D12153">
              <w:rPr>
                <w:rFonts w:ascii="Times New Roman" w:eastAsia="宋体" w:hAnsi="Times New Roman" w:cs="Times New Roman"/>
                <w:color w:val="000000"/>
                <w:sz w:val="24"/>
                <w:szCs w:val="24"/>
              </w:rPr>
              <w:t>黄酮类化合物</w:t>
            </w:r>
          </w:p>
        </w:tc>
        <w:tc>
          <w:tcPr>
            <w:tcW w:w="2404" w:type="dxa"/>
            <w:vAlign w:val="center"/>
          </w:tcPr>
          <w:p w14:paraId="68E1E1D9"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讲授法</w:t>
            </w:r>
          </w:p>
        </w:tc>
        <w:tc>
          <w:tcPr>
            <w:tcW w:w="2274" w:type="dxa"/>
            <w:vAlign w:val="center"/>
          </w:tcPr>
          <w:p w14:paraId="3CA225DD" w14:textId="77777777" w:rsidR="00D12153" w:rsidRPr="00D12153" w:rsidRDefault="00D12153" w:rsidP="00D12153">
            <w:pPr>
              <w:spacing w:line="440" w:lineRule="exact"/>
              <w:jc w:val="center"/>
              <w:rPr>
                <w:rFonts w:ascii="Times New Roman" w:eastAsia="宋体" w:hAnsi="Times New Roman" w:cs="Times New Roman"/>
                <w:color w:val="000000"/>
                <w:sz w:val="24"/>
                <w:szCs w:val="24"/>
                <w:highlight w:val="yellow"/>
              </w:rPr>
            </w:pPr>
            <w:r w:rsidRPr="00D12153">
              <w:rPr>
                <w:rFonts w:ascii="Times New Roman" w:eastAsia="宋体" w:hAnsi="Times New Roman" w:cs="Times New Roman"/>
                <w:color w:val="000000"/>
                <w:sz w:val="24"/>
                <w:szCs w:val="24"/>
              </w:rPr>
              <w:t>课程目标</w:t>
            </w:r>
            <w:r w:rsidRPr="00D12153">
              <w:rPr>
                <w:rFonts w:ascii="Times New Roman" w:eastAsia="宋体" w:hAnsi="Times New Roman" w:cs="Times New Roman"/>
                <w:color w:val="000000"/>
                <w:sz w:val="24"/>
                <w:szCs w:val="24"/>
              </w:rPr>
              <w:t>1</w:t>
            </w:r>
            <w:r w:rsidRPr="00D12153">
              <w:rPr>
                <w:rFonts w:ascii="Times New Roman" w:eastAsia="宋体" w:hAnsi="Times New Roman" w:cs="Times New Roman"/>
                <w:color w:val="000000"/>
                <w:sz w:val="24"/>
                <w:szCs w:val="24"/>
              </w:rPr>
              <w:t>、</w:t>
            </w:r>
            <w:r w:rsidRPr="00D12153">
              <w:rPr>
                <w:rFonts w:ascii="Times New Roman" w:eastAsia="宋体" w:hAnsi="Times New Roman" w:cs="Times New Roman"/>
                <w:color w:val="000000"/>
                <w:sz w:val="24"/>
                <w:szCs w:val="24"/>
              </w:rPr>
              <w:t>3</w:t>
            </w:r>
          </w:p>
        </w:tc>
        <w:tc>
          <w:tcPr>
            <w:tcW w:w="1276" w:type="dxa"/>
            <w:vAlign w:val="center"/>
          </w:tcPr>
          <w:p w14:paraId="33935592"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6</w:t>
            </w:r>
            <w:r w:rsidRPr="00D12153">
              <w:rPr>
                <w:rFonts w:ascii="Times New Roman" w:eastAsia="宋体" w:hAnsi="Times New Roman" w:cs="Times New Roman"/>
                <w:color w:val="000000"/>
                <w:sz w:val="24"/>
                <w:szCs w:val="24"/>
              </w:rPr>
              <w:t>学时</w:t>
            </w:r>
          </w:p>
        </w:tc>
      </w:tr>
      <w:tr w:rsidR="00D12153" w:rsidRPr="00D12153" w14:paraId="1C1A6422" w14:textId="77777777" w:rsidTr="00813A33">
        <w:trPr>
          <w:jc w:val="center"/>
        </w:trPr>
        <w:tc>
          <w:tcPr>
            <w:tcW w:w="3403" w:type="dxa"/>
          </w:tcPr>
          <w:p w14:paraId="4A44C189" w14:textId="77777777" w:rsidR="00D12153" w:rsidRPr="00D12153" w:rsidRDefault="00D12153" w:rsidP="00D12153">
            <w:pPr>
              <w:spacing w:line="440" w:lineRule="exact"/>
              <w:jc w:val="left"/>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第六章</w:t>
            </w:r>
            <w:r w:rsidRPr="00D12153">
              <w:rPr>
                <w:rFonts w:ascii="Times New Roman" w:eastAsia="宋体" w:hAnsi="Times New Roman" w:cs="Times New Roman"/>
                <w:color w:val="000000"/>
                <w:sz w:val="24"/>
                <w:szCs w:val="24"/>
              </w:rPr>
              <w:t xml:space="preserve"> </w:t>
            </w:r>
            <w:r w:rsidRPr="00D12153">
              <w:rPr>
                <w:rFonts w:ascii="Times New Roman" w:eastAsia="宋体" w:hAnsi="Times New Roman" w:cs="Times New Roman"/>
                <w:color w:val="000000"/>
                <w:sz w:val="24"/>
                <w:szCs w:val="24"/>
              </w:rPr>
              <w:t>萜类和挥发油</w:t>
            </w:r>
          </w:p>
        </w:tc>
        <w:tc>
          <w:tcPr>
            <w:tcW w:w="2404" w:type="dxa"/>
            <w:vAlign w:val="center"/>
          </w:tcPr>
          <w:p w14:paraId="4AC1844E"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讲授法</w:t>
            </w:r>
          </w:p>
        </w:tc>
        <w:tc>
          <w:tcPr>
            <w:tcW w:w="2274" w:type="dxa"/>
            <w:vAlign w:val="center"/>
          </w:tcPr>
          <w:p w14:paraId="7CFD6E83" w14:textId="77777777" w:rsidR="00D12153" w:rsidRPr="00D12153" w:rsidRDefault="00D12153" w:rsidP="00D12153">
            <w:pPr>
              <w:spacing w:line="440" w:lineRule="exact"/>
              <w:jc w:val="center"/>
              <w:rPr>
                <w:rFonts w:ascii="Times New Roman" w:eastAsia="宋体" w:hAnsi="Times New Roman" w:cs="Times New Roman"/>
                <w:color w:val="000000"/>
                <w:sz w:val="24"/>
                <w:szCs w:val="24"/>
                <w:highlight w:val="yellow"/>
              </w:rPr>
            </w:pPr>
            <w:r w:rsidRPr="00D12153">
              <w:rPr>
                <w:rFonts w:ascii="Times New Roman" w:eastAsia="宋体" w:hAnsi="Times New Roman" w:cs="Times New Roman"/>
                <w:color w:val="000000"/>
                <w:sz w:val="24"/>
                <w:szCs w:val="24"/>
              </w:rPr>
              <w:t>课程目标</w:t>
            </w:r>
            <w:r w:rsidRPr="00D12153">
              <w:rPr>
                <w:rFonts w:ascii="Times New Roman" w:eastAsia="宋体" w:hAnsi="Times New Roman" w:cs="Times New Roman"/>
                <w:color w:val="000000"/>
                <w:sz w:val="24"/>
                <w:szCs w:val="24"/>
              </w:rPr>
              <w:t>1</w:t>
            </w:r>
            <w:r w:rsidRPr="00D12153">
              <w:rPr>
                <w:rFonts w:ascii="Times New Roman" w:eastAsia="宋体" w:hAnsi="Times New Roman" w:cs="Times New Roman"/>
                <w:color w:val="000000"/>
                <w:sz w:val="24"/>
                <w:szCs w:val="24"/>
              </w:rPr>
              <w:t>、</w:t>
            </w:r>
            <w:r w:rsidRPr="00D12153">
              <w:rPr>
                <w:rFonts w:ascii="Times New Roman" w:eastAsia="宋体" w:hAnsi="Times New Roman" w:cs="Times New Roman"/>
                <w:color w:val="000000"/>
                <w:sz w:val="24"/>
                <w:szCs w:val="24"/>
              </w:rPr>
              <w:t>3</w:t>
            </w:r>
          </w:p>
        </w:tc>
        <w:tc>
          <w:tcPr>
            <w:tcW w:w="1276" w:type="dxa"/>
            <w:vAlign w:val="center"/>
          </w:tcPr>
          <w:p w14:paraId="2185910D"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4</w:t>
            </w:r>
            <w:r w:rsidRPr="00D12153">
              <w:rPr>
                <w:rFonts w:ascii="Times New Roman" w:eastAsia="宋体" w:hAnsi="Times New Roman" w:cs="Times New Roman"/>
                <w:color w:val="000000"/>
                <w:sz w:val="24"/>
                <w:szCs w:val="24"/>
              </w:rPr>
              <w:t>学时</w:t>
            </w:r>
          </w:p>
        </w:tc>
      </w:tr>
      <w:tr w:rsidR="00D12153" w:rsidRPr="00D12153" w14:paraId="20C58014" w14:textId="77777777" w:rsidTr="00813A33">
        <w:trPr>
          <w:jc w:val="center"/>
        </w:trPr>
        <w:tc>
          <w:tcPr>
            <w:tcW w:w="3403" w:type="dxa"/>
          </w:tcPr>
          <w:p w14:paraId="3B803FF9" w14:textId="77777777" w:rsidR="00D12153" w:rsidRPr="00D12153" w:rsidRDefault="00D12153" w:rsidP="00D12153">
            <w:pPr>
              <w:spacing w:line="440" w:lineRule="exact"/>
              <w:jc w:val="left"/>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第七章</w:t>
            </w:r>
            <w:r w:rsidRPr="00D12153">
              <w:rPr>
                <w:rFonts w:ascii="Times New Roman" w:eastAsia="宋体" w:hAnsi="Times New Roman" w:cs="Times New Roman"/>
                <w:color w:val="000000"/>
                <w:sz w:val="24"/>
                <w:szCs w:val="24"/>
              </w:rPr>
              <w:t xml:space="preserve"> </w:t>
            </w:r>
            <w:r w:rsidRPr="00D12153">
              <w:rPr>
                <w:rFonts w:ascii="Times New Roman" w:eastAsia="宋体" w:hAnsi="Times New Roman" w:cs="Times New Roman"/>
                <w:color w:val="000000"/>
                <w:sz w:val="24"/>
                <w:szCs w:val="24"/>
              </w:rPr>
              <w:t>三萜及其</w:t>
            </w:r>
            <w:proofErr w:type="gramStart"/>
            <w:r w:rsidRPr="00D12153">
              <w:rPr>
                <w:rFonts w:ascii="Times New Roman" w:eastAsia="宋体" w:hAnsi="Times New Roman" w:cs="Times New Roman"/>
                <w:color w:val="000000"/>
                <w:sz w:val="24"/>
                <w:szCs w:val="24"/>
              </w:rPr>
              <w:t>苷</w:t>
            </w:r>
            <w:proofErr w:type="gramEnd"/>
            <w:r w:rsidRPr="00D12153">
              <w:rPr>
                <w:rFonts w:ascii="Times New Roman" w:eastAsia="宋体" w:hAnsi="Times New Roman" w:cs="Times New Roman"/>
                <w:color w:val="000000"/>
                <w:sz w:val="24"/>
                <w:szCs w:val="24"/>
              </w:rPr>
              <w:t>类</w:t>
            </w:r>
          </w:p>
        </w:tc>
        <w:tc>
          <w:tcPr>
            <w:tcW w:w="2404" w:type="dxa"/>
            <w:vAlign w:val="center"/>
          </w:tcPr>
          <w:p w14:paraId="42230235"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讲授法</w:t>
            </w:r>
          </w:p>
        </w:tc>
        <w:tc>
          <w:tcPr>
            <w:tcW w:w="2274" w:type="dxa"/>
            <w:vAlign w:val="center"/>
          </w:tcPr>
          <w:p w14:paraId="5418816C" w14:textId="77777777" w:rsidR="00D12153" w:rsidRPr="00D12153" w:rsidRDefault="00D12153" w:rsidP="00D12153">
            <w:pPr>
              <w:spacing w:line="440" w:lineRule="exact"/>
              <w:jc w:val="center"/>
              <w:rPr>
                <w:rFonts w:ascii="Times New Roman" w:eastAsia="宋体" w:hAnsi="Times New Roman" w:cs="Times New Roman"/>
                <w:color w:val="000000"/>
                <w:sz w:val="24"/>
                <w:szCs w:val="24"/>
                <w:highlight w:val="yellow"/>
              </w:rPr>
            </w:pPr>
            <w:r w:rsidRPr="00D12153">
              <w:rPr>
                <w:rFonts w:ascii="Times New Roman" w:eastAsia="宋体" w:hAnsi="Times New Roman" w:cs="Times New Roman"/>
                <w:color w:val="000000"/>
                <w:sz w:val="24"/>
                <w:szCs w:val="24"/>
              </w:rPr>
              <w:t>课程目标</w:t>
            </w:r>
            <w:r w:rsidRPr="00D12153">
              <w:rPr>
                <w:rFonts w:ascii="Times New Roman" w:eastAsia="宋体" w:hAnsi="Times New Roman" w:cs="Times New Roman"/>
                <w:color w:val="000000"/>
                <w:sz w:val="24"/>
                <w:szCs w:val="24"/>
              </w:rPr>
              <w:t>1</w:t>
            </w:r>
            <w:r w:rsidRPr="00D12153">
              <w:rPr>
                <w:rFonts w:ascii="Times New Roman" w:eastAsia="宋体" w:hAnsi="Times New Roman" w:cs="Times New Roman"/>
                <w:color w:val="000000"/>
                <w:sz w:val="24"/>
                <w:szCs w:val="24"/>
              </w:rPr>
              <w:t>、</w:t>
            </w:r>
            <w:r w:rsidRPr="00D12153">
              <w:rPr>
                <w:rFonts w:ascii="Times New Roman" w:eastAsia="宋体" w:hAnsi="Times New Roman" w:cs="Times New Roman"/>
                <w:color w:val="000000"/>
                <w:sz w:val="24"/>
                <w:szCs w:val="24"/>
              </w:rPr>
              <w:t>3</w:t>
            </w:r>
          </w:p>
        </w:tc>
        <w:tc>
          <w:tcPr>
            <w:tcW w:w="1276" w:type="dxa"/>
            <w:vAlign w:val="center"/>
          </w:tcPr>
          <w:p w14:paraId="4B29E1BA"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2</w:t>
            </w:r>
            <w:r w:rsidRPr="00D12153">
              <w:rPr>
                <w:rFonts w:ascii="Times New Roman" w:eastAsia="宋体" w:hAnsi="Times New Roman" w:cs="Times New Roman"/>
                <w:color w:val="000000"/>
                <w:sz w:val="24"/>
                <w:szCs w:val="24"/>
              </w:rPr>
              <w:t>学时</w:t>
            </w:r>
          </w:p>
        </w:tc>
      </w:tr>
      <w:tr w:rsidR="00D12153" w:rsidRPr="00D12153" w14:paraId="57056724" w14:textId="77777777" w:rsidTr="00813A33">
        <w:trPr>
          <w:jc w:val="center"/>
        </w:trPr>
        <w:tc>
          <w:tcPr>
            <w:tcW w:w="3403" w:type="dxa"/>
          </w:tcPr>
          <w:p w14:paraId="53CF3B22" w14:textId="77777777" w:rsidR="00D12153" w:rsidRPr="00D12153" w:rsidRDefault="00D12153" w:rsidP="00D12153">
            <w:pPr>
              <w:spacing w:line="440" w:lineRule="exact"/>
              <w:jc w:val="left"/>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第八章</w:t>
            </w:r>
            <w:r w:rsidRPr="00D12153">
              <w:rPr>
                <w:rFonts w:ascii="Times New Roman" w:eastAsia="宋体" w:hAnsi="Times New Roman" w:cs="Times New Roman"/>
                <w:color w:val="000000"/>
                <w:sz w:val="24"/>
                <w:szCs w:val="24"/>
              </w:rPr>
              <w:t xml:space="preserve"> </w:t>
            </w:r>
            <w:proofErr w:type="gramStart"/>
            <w:r w:rsidRPr="00D12153">
              <w:rPr>
                <w:rFonts w:ascii="Times New Roman" w:eastAsia="宋体" w:hAnsi="Times New Roman" w:cs="Times New Roman"/>
                <w:color w:val="000000"/>
                <w:sz w:val="24"/>
                <w:szCs w:val="24"/>
              </w:rPr>
              <w:t>甾</w:t>
            </w:r>
            <w:proofErr w:type="gramEnd"/>
            <w:r w:rsidRPr="00D12153">
              <w:rPr>
                <w:rFonts w:ascii="Times New Roman" w:eastAsia="宋体" w:hAnsi="Times New Roman" w:cs="Times New Roman"/>
                <w:color w:val="000000"/>
                <w:sz w:val="24"/>
                <w:szCs w:val="24"/>
              </w:rPr>
              <w:t>体及其</w:t>
            </w:r>
            <w:proofErr w:type="gramStart"/>
            <w:r w:rsidRPr="00D12153">
              <w:rPr>
                <w:rFonts w:ascii="Times New Roman" w:eastAsia="宋体" w:hAnsi="Times New Roman" w:cs="Times New Roman"/>
                <w:color w:val="000000"/>
                <w:sz w:val="24"/>
                <w:szCs w:val="24"/>
              </w:rPr>
              <w:t>苷</w:t>
            </w:r>
            <w:proofErr w:type="gramEnd"/>
            <w:r w:rsidRPr="00D12153">
              <w:rPr>
                <w:rFonts w:ascii="Times New Roman" w:eastAsia="宋体" w:hAnsi="Times New Roman" w:cs="Times New Roman"/>
                <w:color w:val="000000"/>
                <w:sz w:val="24"/>
                <w:szCs w:val="24"/>
              </w:rPr>
              <w:t>类</w:t>
            </w:r>
          </w:p>
        </w:tc>
        <w:tc>
          <w:tcPr>
            <w:tcW w:w="2404" w:type="dxa"/>
            <w:vAlign w:val="center"/>
          </w:tcPr>
          <w:p w14:paraId="501C6636" w14:textId="77777777" w:rsidR="00D12153" w:rsidRPr="00D12153" w:rsidRDefault="00D12153" w:rsidP="00D12153">
            <w:pPr>
              <w:spacing w:line="440" w:lineRule="exact"/>
              <w:jc w:val="center"/>
              <w:rPr>
                <w:rFonts w:ascii="Times New Roman" w:eastAsia="宋体" w:hAnsi="Times New Roman" w:cs="Times New Roman"/>
                <w:color w:val="000000"/>
                <w:szCs w:val="24"/>
              </w:rPr>
            </w:pPr>
            <w:r w:rsidRPr="00D12153">
              <w:rPr>
                <w:rFonts w:ascii="Times New Roman" w:eastAsia="宋体" w:hAnsi="Times New Roman" w:cs="Times New Roman"/>
                <w:color w:val="000000"/>
                <w:sz w:val="24"/>
                <w:szCs w:val="24"/>
              </w:rPr>
              <w:t>讲授法、案例法</w:t>
            </w:r>
          </w:p>
        </w:tc>
        <w:tc>
          <w:tcPr>
            <w:tcW w:w="2274" w:type="dxa"/>
            <w:vAlign w:val="center"/>
          </w:tcPr>
          <w:p w14:paraId="6C89FDCE" w14:textId="77777777" w:rsidR="00D12153" w:rsidRPr="00D12153" w:rsidRDefault="00D12153" w:rsidP="00D12153">
            <w:pPr>
              <w:spacing w:line="440" w:lineRule="exact"/>
              <w:jc w:val="center"/>
              <w:rPr>
                <w:rFonts w:ascii="Times New Roman" w:eastAsia="宋体" w:hAnsi="Times New Roman" w:cs="Times New Roman"/>
                <w:color w:val="000000"/>
                <w:szCs w:val="24"/>
                <w:highlight w:val="yellow"/>
              </w:rPr>
            </w:pPr>
            <w:r w:rsidRPr="00D12153">
              <w:rPr>
                <w:rFonts w:ascii="Times New Roman" w:eastAsia="宋体" w:hAnsi="Times New Roman" w:cs="Times New Roman"/>
                <w:color w:val="000000"/>
                <w:sz w:val="24"/>
                <w:szCs w:val="24"/>
              </w:rPr>
              <w:t>课程目标</w:t>
            </w:r>
            <w:r w:rsidRPr="00D12153">
              <w:rPr>
                <w:rFonts w:ascii="Times New Roman" w:eastAsia="宋体" w:hAnsi="Times New Roman" w:cs="Times New Roman"/>
                <w:color w:val="000000"/>
                <w:sz w:val="24"/>
                <w:szCs w:val="24"/>
              </w:rPr>
              <w:t>1</w:t>
            </w:r>
          </w:p>
        </w:tc>
        <w:tc>
          <w:tcPr>
            <w:tcW w:w="1276" w:type="dxa"/>
            <w:vAlign w:val="center"/>
          </w:tcPr>
          <w:p w14:paraId="04DAC006"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4</w:t>
            </w:r>
            <w:r w:rsidRPr="00D12153">
              <w:rPr>
                <w:rFonts w:ascii="Times New Roman" w:eastAsia="宋体" w:hAnsi="Times New Roman" w:cs="Times New Roman"/>
                <w:color w:val="000000"/>
                <w:sz w:val="24"/>
                <w:szCs w:val="24"/>
              </w:rPr>
              <w:t>学时</w:t>
            </w:r>
          </w:p>
        </w:tc>
      </w:tr>
      <w:tr w:rsidR="00D12153" w:rsidRPr="00D12153" w14:paraId="5B3E60B2" w14:textId="77777777" w:rsidTr="00813A33">
        <w:trPr>
          <w:jc w:val="center"/>
        </w:trPr>
        <w:tc>
          <w:tcPr>
            <w:tcW w:w="3403" w:type="dxa"/>
          </w:tcPr>
          <w:p w14:paraId="0552BC6E" w14:textId="77777777" w:rsidR="00D12153" w:rsidRPr="00D12153" w:rsidRDefault="00D12153" w:rsidP="00D12153">
            <w:pPr>
              <w:spacing w:line="440" w:lineRule="exact"/>
              <w:jc w:val="left"/>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第九章</w:t>
            </w:r>
            <w:r w:rsidRPr="00D12153">
              <w:rPr>
                <w:rFonts w:ascii="Times New Roman" w:eastAsia="宋体" w:hAnsi="Times New Roman" w:cs="Times New Roman"/>
                <w:color w:val="000000"/>
                <w:sz w:val="24"/>
                <w:szCs w:val="24"/>
              </w:rPr>
              <w:t xml:space="preserve"> </w:t>
            </w:r>
            <w:r w:rsidRPr="00D12153">
              <w:rPr>
                <w:rFonts w:ascii="Times New Roman" w:eastAsia="宋体" w:hAnsi="Times New Roman" w:cs="Times New Roman"/>
                <w:color w:val="000000"/>
                <w:sz w:val="24"/>
                <w:szCs w:val="24"/>
              </w:rPr>
              <w:t>生物碱</w:t>
            </w:r>
          </w:p>
        </w:tc>
        <w:tc>
          <w:tcPr>
            <w:tcW w:w="2404" w:type="dxa"/>
            <w:vAlign w:val="center"/>
          </w:tcPr>
          <w:p w14:paraId="52136E19"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讲授法</w:t>
            </w:r>
          </w:p>
        </w:tc>
        <w:tc>
          <w:tcPr>
            <w:tcW w:w="2274" w:type="dxa"/>
            <w:vAlign w:val="center"/>
          </w:tcPr>
          <w:p w14:paraId="4E73A061"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课程目标</w:t>
            </w:r>
            <w:r w:rsidRPr="00D12153">
              <w:rPr>
                <w:rFonts w:ascii="Times New Roman" w:eastAsia="宋体" w:hAnsi="Times New Roman" w:cs="Times New Roman" w:hint="eastAsia"/>
                <w:color w:val="000000"/>
                <w:sz w:val="24"/>
                <w:szCs w:val="24"/>
              </w:rPr>
              <w:t>2</w:t>
            </w:r>
            <w:r w:rsidRPr="00D12153">
              <w:rPr>
                <w:rFonts w:ascii="Times New Roman" w:eastAsia="宋体" w:hAnsi="Times New Roman" w:cs="Times New Roman" w:hint="eastAsia"/>
                <w:color w:val="000000"/>
                <w:sz w:val="24"/>
                <w:szCs w:val="24"/>
              </w:rPr>
              <w:t>、</w:t>
            </w:r>
            <w:r w:rsidRPr="00D12153">
              <w:rPr>
                <w:rFonts w:ascii="Times New Roman" w:eastAsia="宋体" w:hAnsi="Times New Roman" w:cs="Times New Roman"/>
                <w:color w:val="000000"/>
                <w:sz w:val="24"/>
                <w:szCs w:val="24"/>
              </w:rPr>
              <w:t>3</w:t>
            </w:r>
          </w:p>
        </w:tc>
        <w:tc>
          <w:tcPr>
            <w:tcW w:w="1276" w:type="dxa"/>
            <w:vAlign w:val="center"/>
          </w:tcPr>
          <w:p w14:paraId="44DC8746"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2</w:t>
            </w:r>
            <w:r w:rsidRPr="00D12153">
              <w:rPr>
                <w:rFonts w:ascii="Times New Roman" w:eastAsia="宋体" w:hAnsi="Times New Roman" w:cs="Times New Roman"/>
                <w:color w:val="000000"/>
                <w:sz w:val="24"/>
                <w:szCs w:val="24"/>
              </w:rPr>
              <w:t>学时</w:t>
            </w:r>
          </w:p>
        </w:tc>
      </w:tr>
      <w:tr w:rsidR="00D12153" w:rsidRPr="00D12153" w14:paraId="50C77AB1" w14:textId="77777777" w:rsidTr="00813A33">
        <w:trPr>
          <w:jc w:val="center"/>
        </w:trPr>
        <w:tc>
          <w:tcPr>
            <w:tcW w:w="8081" w:type="dxa"/>
            <w:gridSpan w:val="3"/>
          </w:tcPr>
          <w:p w14:paraId="03106575" w14:textId="77777777" w:rsidR="00D12153" w:rsidRPr="00D12153" w:rsidRDefault="00D12153" w:rsidP="00D12153">
            <w:pPr>
              <w:spacing w:line="440" w:lineRule="exact"/>
              <w:jc w:val="center"/>
              <w:rPr>
                <w:rFonts w:ascii="Times New Roman" w:eastAsia="宋体" w:hAnsi="Times New Roman" w:cs="Times New Roman"/>
                <w:color w:val="000000"/>
                <w:szCs w:val="24"/>
              </w:rPr>
            </w:pPr>
            <w:r w:rsidRPr="00D12153">
              <w:rPr>
                <w:rFonts w:ascii="Times New Roman" w:eastAsia="宋体" w:hAnsi="Times New Roman" w:cs="Times New Roman"/>
                <w:b/>
                <w:color w:val="000000"/>
                <w:sz w:val="24"/>
                <w:szCs w:val="24"/>
              </w:rPr>
              <w:t>合计</w:t>
            </w:r>
          </w:p>
        </w:tc>
        <w:tc>
          <w:tcPr>
            <w:tcW w:w="1276" w:type="dxa"/>
            <w:vAlign w:val="center"/>
          </w:tcPr>
          <w:p w14:paraId="2710F659" w14:textId="77777777" w:rsidR="00D12153" w:rsidRPr="00D12153" w:rsidRDefault="00D12153" w:rsidP="00D12153">
            <w:pPr>
              <w:spacing w:line="440" w:lineRule="exact"/>
              <w:jc w:val="center"/>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32</w:t>
            </w:r>
            <w:r w:rsidRPr="00D12153">
              <w:rPr>
                <w:rFonts w:ascii="Times New Roman" w:eastAsia="宋体" w:hAnsi="Times New Roman" w:cs="Times New Roman"/>
                <w:color w:val="000000"/>
                <w:sz w:val="24"/>
                <w:szCs w:val="24"/>
              </w:rPr>
              <w:t>学时</w:t>
            </w:r>
          </w:p>
        </w:tc>
      </w:tr>
    </w:tbl>
    <w:p w14:paraId="0FBAB84A" w14:textId="77777777" w:rsidR="00D12153" w:rsidRPr="00D12153" w:rsidRDefault="00D12153" w:rsidP="00D12153">
      <w:pPr>
        <w:spacing w:beforeLines="50" w:before="156" w:afterLines="50" w:after="156" w:line="440" w:lineRule="exact"/>
        <w:ind w:firstLineChars="200" w:firstLine="560"/>
        <w:rPr>
          <w:rFonts w:ascii="Times New Roman" w:eastAsia="宋体" w:hAnsi="Times New Roman" w:cs="Times New Roman"/>
          <w:color w:val="000000"/>
          <w:sz w:val="24"/>
          <w:szCs w:val="24"/>
        </w:rPr>
      </w:pPr>
      <w:r w:rsidRPr="00D12153">
        <w:rPr>
          <w:rFonts w:ascii="Times New Roman" w:eastAsia="黑体" w:hAnsi="Times New Roman" w:cs="Times New Roman"/>
          <w:color w:val="000000"/>
          <w:sz w:val="28"/>
          <w:szCs w:val="28"/>
        </w:rPr>
        <w:lastRenderedPageBreak/>
        <w:t>四、课程考核及与课程学习目标的对应关系</w:t>
      </w:r>
    </w:p>
    <w:p w14:paraId="093C9626" w14:textId="77777777" w:rsidR="00D12153" w:rsidRPr="00D12153" w:rsidRDefault="00D12153" w:rsidP="00D12153">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D12153" w:rsidRPr="00D12153" w14:paraId="6B71367E" w14:textId="77777777" w:rsidTr="00813A33">
        <w:trPr>
          <w:trHeight w:val="515"/>
          <w:jc w:val="center"/>
        </w:trPr>
        <w:tc>
          <w:tcPr>
            <w:tcW w:w="1422" w:type="dxa"/>
          </w:tcPr>
          <w:p w14:paraId="7458EA2C" w14:textId="77777777" w:rsidR="00D12153" w:rsidRPr="00D12153" w:rsidRDefault="00D12153" w:rsidP="00D12153">
            <w:pPr>
              <w:spacing w:line="440" w:lineRule="exact"/>
              <w:jc w:val="center"/>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课程目标</w:t>
            </w:r>
          </w:p>
        </w:tc>
        <w:tc>
          <w:tcPr>
            <w:tcW w:w="7918" w:type="dxa"/>
            <w:vAlign w:val="center"/>
          </w:tcPr>
          <w:p w14:paraId="121C86EF" w14:textId="77777777" w:rsidR="00D12153" w:rsidRPr="00D12153" w:rsidRDefault="00D12153" w:rsidP="00D12153">
            <w:pPr>
              <w:spacing w:line="440" w:lineRule="exact"/>
              <w:jc w:val="center"/>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考核内容</w:t>
            </w:r>
          </w:p>
        </w:tc>
      </w:tr>
      <w:tr w:rsidR="00D12153" w:rsidRPr="00D12153" w14:paraId="0C1EF340" w14:textId="77777777" w:rsidTr="00813A33">
        <w:trPr>
          <w:jc w:val="center"/>
        </w:trPr>
        <w:tc>
          <w:tcPr>
            <w:tcW w:w="1422" w:type="dxa"/>
            <w:vAlign w:val="center"/>
          </w:tcPr>
          <w:p w14:paraId="71447E66" w14:textId="77777777" w:rsidR="00D12153" w:rsidRPr="00D12153" w:rsidRDefault="00D12153" w:rsidP="00D12153">
            <w:pPr>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bCs/>
                <w:color w:val="000000"/>
                <w:sz w:val="24"/>
                <w:szCs w:val="24"/>
              </w:rPr>
              <w:t>课程目标</w:t>
            </w:r>
            <w:r w:rsidRPr="00D12153">
              <w:rPr>
                <w:rFonts w:ascii="Times New Roman" w:eastAsia="宋体" w:hAnsi="Times New Roman" w:cs="Times New Roman"/>
                <w:bCs/>
                <w:color w:val="000000"/>
                <w:sz w:val="24"/>
                <w:szCs w:val="24"/>
              </w:rPr>
              <w:t>1</w:t>
            </w:r>
          </w:p>
        </w:tc>
        <w:tc>
          <w:tcPr>
            <w:tcW w:w="7918" w:type="dxa"/>
            <w:vAlign w:val="center"/>
          </w:tcPr>
          <w:p w14:paraId="6BB20E5B" w14:textId="77777777" w:rsidR="00D12153" w:rsidRPr="00D12153" w:rsidRDefault="00D12153" w:rsidP="00D12153">
            <w:pPr>
              <w:spacing w:line="440" w:lineRule="exact"/>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1.1</w:t>
            </w:r>
            <w:r w:rsidRPr="00D12153">
              <w:rPr>
                <w:rFonts w:ascii="Times New Roman" w:eastAsia="宋体" w:hAnsi="Times New Roman" w:cs="Times New Roman"/>
                <w:color w:val="000000"/>
                <w:sz w:val="24"/>
                <w:szCs w:val="24"/>
              </w:rPr>
              <w:t>典型天然产物的化学结构。</w:t>
            </w:r>
          </w:p>
          <w:p w14:paraId="28DDAA47" w14:textId="77777777" w:rsidR="00D12153" w:rsidRPr="00D12153" w:rsidRDefault="00D12153" w:rsidP="00D12153">
            <w:pPr>
              <w:spacing w:line="440" w:lineRule="exact"/>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1.2</w:t>
            </w:r>
            <w:r w:rsidRPr="00D12153">
              <w:rPr>
                <w:rFonts w:ascii="Times New Roman" w:eastAsia="宋体" w:hAnsi="Times New Roman" w:cs="Times New Roman"/>
                <w:color w:val="000000"/>
                <w:sz w:val="24"/>
                <w:szCs w:val="24"/>
              </w:rPr>
              <w:t>天然成分结构鉴定的基本知识</w:t>
            </w:r>
            <w:r w:rsidRPr="00D12153">
              <w:rPr>
                <w:rFonts w:ascii="Times New Roman" w:eastAsia="宋体" w:hAnsi="Times New Roman" w:cs="Times New Roman"/>
                <w:bCs/>
                <w:color w:val="000000"/>
                <w:sz w:val="24"/>
                <w:szCs w:val="24"/>
              </w:rPr>
              <w:t>；</w:t>
            </w:r>
          </w:p>
          <w:p w14:paraId="5ADA2AF3" w14:textId="77777777" w:rsidR="00D12153" w:rsidRPr="00D12153" w:rsidRDefault="00D12153" w:rsidP="00D12153">
            <w:pPr>
              <w:spacing w:line="440" w:lineRule="exact"/>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1.3</w:t>
            </w:r>
            <w:r w:rsidRPr="00D12153">
              <w:rPr>
                <w:rFonts w:ascii="Times New Roman" w:eastAsia="宋体" w:hAnsi="Times New Roman" w:cs="Times New Roman"/>
                <w:bCs/>
                <w:color w:val="000000"/>
                <w:sz w:val="24"/>
                <w:szCs w:val="24"/>
              </w:rPr>
              <w:t>不同类型天然药物的理化性质；</w:t>
            </w:r>
          </w:p>
          <w:p w14:paraId="7EAE9F37" w14:textId="77777777" w:rsidR="00D12153" w:rsidRPr="00D12153" w:rsidRDefault="00D12153" w:rsidP="00D12153">
            <w:pPr>
              <w:spacing w:line="440" w:lineRule="exact"/>
              <w:rPr>
                <w:rFonts w:ascii="Times New Roman" w:eastAsia="宋体" w:hAnsi="Times New Roman" w:cs="Times New Roman"/>
                <w:bCs/>
                <w:color w:val="000000"/>
                <w:sz w:val="24"/>
                <w:szCs w:val="24"/>
              </w:rPr>
            </w:pPr>
            <w:r w:rsidRPr="00D12153">
              <w:rPr>
                <w:rFonts w:ascii="Times New Roman" w:eastAsia="宋体" w:hAnsi="Times New Roman" w:cs="Times New Roman"/>
                <w:bCs/>
                <w:color w:val="000000"/>
                <w:sz w:val="24"/>
                <w:szCs w:val="24"/>
              </w:rPr>
              <w:t>1.4</w:t>
            </w:r>
            <w:r w:rsidRPr="00D12153">
              <w:rPr>
                <w:rFonts w:ascii="Times New Roman" w:eastAsia="宋体" w:hAnsi="Times New Roman" w:cs="Times New Roman"/>
                <w:color w:val="000000"/>
                <w:sz w:val="24"/>
                <w:szCs w:val="24"/>
              </w:rPr>
              <w:t>天然药物有效成分的提取分离方法</w:t>
            </w:r>
            <w:r w:rsidRPr="00D12153">
              <w:rPr>
                <w:rFonts w:ascii="Times New Roman" w:eastAsia="宋体" w:hAnsi="Times New Roman" w:cs="Times New Roman" w:hint="eastAsia"/>
                <w:color w:val="000000"/>
                <w:sz w:val="24"/>
                <w:szCs w:val="24"/>
              </w:rPr>
              <w:t>；</w:t>
            </w:r>
          </w:p>
        </w:tc>
      </w:tr>
      <w:tr w:rsidR="00D12153" w:rsidRPr="00D12153" w14:paraId="56EE04B6" w14:textId="77777777" w:rsidTr="00813A33">
        <w:trPr>
          <w:jc w:val="center"/>
        </w:trPr>
        <w:tc>
          <w:tcPr>
            <w:tcW w:w="1422" w:type="dxa"/>
            <w:vAlign w:val="center"/>
          </w:tcPr>
          <w:p w14:paraId="1A6691E1" w14:textId="77777777" w:rsidR="00D12153" w:rsidRPr="00D12153" w:rsidRDefault="00D12153" w:rsidP="00D12153">
            <w:pPr>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bCs/>
                <w:color w:val="000000"/>
                <w:sz w:val="24"/>
                <w:szCs w:val="24"/>
              </w:rPr>
              <w:t>课程目标</w:t>
            </w:r>
            <w:r w:rsidRPr="00D12153">
              <w:rPr>
                <w:rFonts w:ascii="Times New Roman" w:eastAsia="宋体" w:hAnsi="Times New Roman" w:cs="Times New Roman"/>
                <w:bCs/>
                <w:color w:val="000000"/>
                <w:sz w:val="24"/>
                <w:szCs w:val="24"/>
              </w:rPr>
              <w:t>2</w:t>
            </w:r>
          </w:p>
        </w:tc>
        <w:tc>
          <w:tcPr>
            <w:tcW w:w="7918" w:type="dxa"/>
            <w:vAlign w:val="center"/>
          </w:tcPr>
          <w:p w14:paraId="6BF71DFB" w14:textId="77777777" w:rsidR="00D12153" w:rsidRPr="00D12153" w:rsidRDefault="00D12153" w:rsidP="00D12153">
            <w:pPr>
              <w:spacing w:line="440" w:lineRule="exact"/>
              <w:rPr>
                <w:rFonts w:ascii="Times New Roman" w:eastAsia="宋体" w:hAnsi="Times New Roman" w:cs="Times New Roman"/>
                <w:bCs/>
                <w:color w:val="000000"/>
                <w:sz w:val="24"/>
                <w:szCs w:val="24"/>
              </w:rPr>
            </w:pPr>
            <w:r w:rsidRPr="00D12153">
              <w:rPr>
                <w:rFonts w:ascii="Times New Roman" w:eastAsia="宋体" w:hAnsi="Times New Roman" w:cs="Times New Roman"/>
                <w:bCs/>
                <w:color w:val="000000"/>
                <w:sz w:val="24"/>
                <w:szCs w:val="24"/>
              </w:rPr>
              <w:t>2.1</w:t>
            </w:r>
            <w:r w:rsidRPr="00D12153">
              <w:rPr>
                <w:rFonts w:ascii="Times New Roman" w:eastAsia="宋体" w:hAnsi="Times New Roman" w:cs="Times New Roman"/>
                <w:bCs/>
                <w:color w:val="000000"/>
                <w:sz w:val="24"/>
                <w:szCs w:val="24"/>
              </w:rPr>
              <w:t>天然</w:t>
            </w:r>
            <w:r w:rsidRPr="00D12153">
              <w:rPr>
                <w:rFonts w:ascii="Times New Roman" w:eastAsia="宋体" w:hAnsi="Times New Roman" w:cs="Times New Roman"/>
                <w:color w:val="000000"/>
                <w:sz w:val="24"/>
                <w:szCs w:val="24"/>
              </w:rPr>
              <w:t>药物化学的基本概念、基本知识和学科认识；</w:t>
            </w:r>
          </w:p>
          <w:p w14:paraId="02461DB3" w14:textId="77777777" w:rsidR="00D12153" w:rsidRPr="00D12153" w:rsidRDefault="00D12153" w:rsidP="00D12153">
            <w:pPr>
              <w:spacing w:line="440" w:lineRule="exact"/>
              <w:rPr>
                <w:rFonts w:ascii="Times New Roman" w:eastAsia="宋体" w:hAnsi="Times New Roman" w:cs="Times New Roman"/>
                <w:color w:val="000000"/>
                <w:sz w:val="24"/>
                <w:szCs w:val="24"/>
              </w:rPr>
            </w:pPr>
            <w:r w:rsidRPr="00D12153">
              <w:rPr>
                <w:rFonts w:ascii="Times New Roman" w:eastAsia="宋体" w:hAnsi="Times New Roman" w:cs="Times New Roman"/>
                <w:bCs/>
                <w:color w:val="000000"/>
                <w:sz w:val="24"/>
                <w:szCs w:val="24"/>
              </w:rPr>
              <w:t>2.2</w:t>
            </w:r>
            <w:r w:rsidRPr="00D12153">
              <w:rPr>
                <w:rFonts w:ascii="Times New Roman" w:eastAsia="宋体" w:hAnsi="Times New Roman" w:cs="Times New Roman"/>
                <w:color w:val="000000"/>
                <w:sz w:val="24"/>
                <w:szCs w:val="24"/>
              </w:rPr>
              <w:t xml:space="preserve"> </w:t>
            </w:r>
            <w:r w:rsidRPr="00D12153">
              <w:rPr>
                <w:rFonts w:ascii="Times New Roman" w:eastAsia="宋体" w:hAnsi="Times New Roman" w:cs="Times New Roman"/>
                <w:color w:val="000000"/>
                <w:sz w:val="24"/>
                <w:szCs w:val="24"/>
              </w:rPr>
              <w:t>各类天然药物的开发情况及其工艺研究</w:t>
            </w:r>
            <w:r w:rsidRPr="00D12153">
              <w:rPr>
                <w:rFonts w:ascii="Times New Roman" w:eastAsia="宋体" w:hAnsi="Times New Roman" w:cs="Times New Roman" w:hint="eastAsia"/>
                <w:color w:val="000000"/>
                <w:sz w:val="24"/>
                <w:szCs w:val="24"/>
              </w:rPr>
              <w:t>；</w:t>
            </w:r>
          </w:p>
        </w:tc>
      </w:tr>
      <w:tr w:rsidR="00D12153" w:rsidRPr="00D12153" w14:paraId="00C8AC39" w14:textId="77777777" w:rsidTr="00813A33">
        <w:trPr>
          <w:jc w:val="center"/>
        </w:trPr>
        <w:tc>
          <w:tcPr>
            <w:tcW w:w="1422" w:type="dxa"/>
            <w:vAlign w:val="center"/>
          </w:tcPr>
          <w:p w14:paraId="0437AC2A" w14:textId="77777777" w:rsidR="00D12153" w:rsidRPr="00D12153" w:rsidRDefault="00D12153" w:rsidP="00D12153">
            <w:pPr>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bCs/>
                <w:color w:val="000000"/>
                <w:sz w:val="24"/>
                <w:szCs w:val="24"/>
              </w:rPr>
              <w:t>课程目标</w:t>
            </w:r>
            <w:r w:rsidRPr="00D12153">
              <w:rPr>
                <w:rFonts w:ascii="Times New Roman" w:eastAsia="宋体" w:hAnsi="Times New Roman" w:cs="Times New Roman"/>
                <w:bCs/>
                <w:color w:val="000000"/>
                <w:sz w:val="24"/>
                <w:szCs w:val="24"/>
              </w:rPr>
              <w:t>3</w:t>
            </w:r>
          </w:p>
        </w:tc>
        <w:tc>
          <w:tcPr>
            <w:tcW w:w="7918" w:type="dxa"/>
            <w:vAlign w:val="center"/>
          </w:tcPr>
          <w:p w14:paraId="66D47CE8" w14:textId="77777777" w:rsidR="00D12153" w:rsidRPr="00D12153" w:rsidRDefault="00D12153" w:rsidP="00D12153">
            <w:pPr>
              <w:spacing w:line="440" w:lineRule="exact"/>
              <w:rPr>
                <w:rFonts w:ascii="Times New Roman" w:eastAsia="宋体" w:hAnsi="Times New Roman" w:cs="Times New Roman"/>
                <w:bCs/>
                <w:color w:val="000000"/>
                <w:sz w:val="24"/>
                <w:szCs w:val="24"/>
              </w:rPr>
            </w:pPr>
            <w:r w:rsidRPr="00D12153">
              <w:rPr>
                <w:rFonts w:ascii="Times New Roman" w:eastAsia="宋体" w:hAnsi="Times New Roman" w:cs="Times New Roman"/>
                <w:bCs/>
                <w:color w:val="000000"/>
                <w:sz w:val="24"/>
                <w:szCs w:val="24"/>
              </w:rPr>
              <w:t xml:space="preserve">3.1 </w:t>
            </w:r>
            <w:r w:rsidRPr="00D12153">
              <w:rPr>
                <w:rFonts w:ascii="Times New Roman" w:eastAsia="宋体" w:hAnsi="Times New Roman" w:cs="Times New Roman"/>
                <w:bCs/>
                <w:color w:val="000000"/>
                <w:sz w:val="24"/>
                <w:szCs w:val="24"/>
              </w:rPr>
              <w:t>对天然药物化学学科前景的认识</w:t>
            </w:r>
          </w:p>
        </w:tc>
      </w:tr>
    </w:tbl>
    <w:p w14:paraId="2D83B550" w14:textId="77777777" w:rsidR="00D12153" w:rsidRPr="00D12153" w:rsidRDefault="00D12153" w:rsidP="00D12153">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t>（二）课程考核方式</w:t>
      </w:r>
    </w:p>
    <w:p w14:paraId="30CF9728"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课程考核方式分为平时考核和期末考核。</w:t>
      </w:r>
    </w:p>
    <w:p w14:paraId="26E69763"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平时考核包括出勤率（</w:t>
      </w:r>
      <w:r w:rsidRPr="00D12153">
        <w:rPr>
          <w:rFonts w:ascii="Times New Roman" w:eastAsia="宋体" w:hAnsi="Times New Roman" w:cs="Times New Roman"/>
          <w:color w:val="000000"/>
          <w:sz w:val="24"/>
          <w:szCs w:val="24"/>
        </w:rPr>
        <w:t>10%</w:t>
      </w:r>
      <w:r w:rsidRPr="00D12153">
        <w:rPr>
          <w:rFonts w:ascii="Times New Roman" w:eastAsia="宋体" w:hAnsi="Times New Roman" w:cs="Times New Roman"/>
          <w:color w:val="000000"/>
          <w:sz w:val="24"/>
          <w:szCs w:val="24"/>
        </w:rPr>
        <w:t>）、课堂表现（</w:t>
      </w:r>
      <w:r w:rsidRPr="00D12153">
        <w:rPr>
          <w:rFonts w:ascii="Times New Roman" w:eastAsia="宋体" w:hAnsi="Times New Roman" w:cs="Times New Roman"/>
          <w:color w:val="000000"/>
          <w:sz w:val="24"/>
          <w:szCs w:val="24"/>
        </w:rPr>
        <w:t>10%</w:t>
      </w:r>
      <w:r w:rsidRPr="00D12153">
        <w:rPr>
          <w:rFonts w:ascii="Times New Roman" w:eastAsia="宋体" w:hAnsi="Times New Roman" w:cs="Times New Roman"/>
          <w:color w:val="000000"/>
          <w:sz w:val="24"/>
          <w:szCs w:val="24"/>
        </w:rPr>
        <w:t>）、平时作业（</w:t>
      </w:r>
      <w:r w:rsidRPr="00D12153">
        <w:rPr>
          <w:rFonts w:ascii="Times New Roman" w:eastAsia="宋体" w:hAnsi="Times New Roman" w:cs="Times New Roman"/>
          <w:color w:val="000000"/>
          <w:sz w:val="24"/>
          <w:szCs w:val="24"/>
        </w:rPr>
        <w:t>20%</w:t>
      </w:r>
      <w:r w:rsidRPr="00D12153">
        <w:rPr>
          <w:rFonts w:ascii="Times New Roman" w:eastAsia="宋体" w:hAnsi="Times New Roman" w:cs="Times New Roman"/>
          <w:color w:val="000000"/>
          <w:sz w:val="24"/>
          <w:szCs w:val="24"/>
        </w:rPr>
        <w:t>）；</w:t>
      </w:r>
    </w:p>
    <w:p w14:paraId="774A757C"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期末考核采用开卷考试（</w:t>
      </w:r>
      <w:r w:rsidRPr="00D12153">
        <w:rPr>
          <w:rFonts w:ascii="Times New Roman" w:eastAsia="宋体" w:hAnsi="Times New Roman" w:cs="Times New Roman"/>
          <w:color w:val="000000"/>
          <w:sz w:val="24"/>
          <w:szCs w:val="24"/>
        </w:rPr>
        <w:t>60%</w:t>
      </w:r>
      <w:r w:rsidRPr="00D12153">
        <w:rPr>
          <w:rFonts w:ascii="Times New Roman" w:eastAsia="宋体" w:hAnsi="Times New Roman" w:cs="Times New Roman"/>
          <w:color w:val="000000"/>
          <w:sz w:val="24"/>
          <w:szCs w:val="24"/>
        </w:rPr>
        <w:t>）。</w:t>
      </w:r>
    </w:p>
    <w:p w14:paraId="7E8A074C" w14:textId="77777777" w:rsidR="00D12153" w:rsidRPr="00D12153" w:rsidRDefault="00D12153" w:rsidP="00D12153">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t>（三）课程目标达成评价方式及考核比例</w:t>
      </w:r>
    </w:p>
    <w:p w14:paraId="1046F0C3" w14:textId="77777777" w:rsidR="00D12153" w:rsidRPr="00D12153" w:rsidRDefault="00D12153" w:rsidP="00D12153">
      <w:pPr>
        <w:spacing w:line="440" w:lineRule="atLeast"/>
        <w:ind w:firstLineChars="200" w:firstLine="480"/>
        <w:rPr>
          <w:rFonts w:ascii="Times New Roman" w:eastAsia="宋体" w:hAnsi="Times New Roman" w:cs="Times New Roman"/>
          <w:color w:val="000000"/>
          <w:szCs w:val="24"/>
        </w:rPr>
      </w:pPr>
      <w:r w:rsidRPr="00D12153">
        <w:rPr>
          <w:rFonts w:ascii="Times New Roman" w:eastAsia="宋体" w:hAnsi="Times New Roman" w:cs="Times New Roman"/>
          <w:color w:val="000000"/>
          <w:sz w:val="24"/>
          <w:szCs w:val="24"/>
        </w:rPr>
        <w:t>《药物化学》课程考核方式及成绩比例为：出勤率</w:t>
      </w:r>
      <w:r w:rsidRPr="00D12153">
        <w:rPr>
          <w:rFonts w:ascii="Times New Roman" w:eastAsia="宋体" w:hAnsi="Times New Roman" w:cs="Times New Roman"/>
          <w:color w:val="000000"/>
          <w:sz w:val="24"/>
          <w:szCs w:val="24"/>
        </w:rPr>
        <w:t>10%+</w:t>
      </w:r>
      <w:r w:rsidRPr="00D12153">
        <w:rPr>
          <w:rFonts w:ascii="Times New Roman" w:eastAsia="宋体" w:hAnsi="Times New Roman" w:cs="Times New Roman"/>
          <w:color w:val="000000"/>
          <w:sz w:val="24"/>
          <w:szCs w:val="24"/>
        </w:rPr>
        <w:t>课堂表现</w:t>
      </w:r>
      <w:r w:rsidRPr="00D12153">
        <w:rPr>
          <w:rFonts w:ascii="Times New Roman" w:eastAsia="宋体" w:hAnsi="Times New Roman" w:cs="Times New Roman"/>
          <w:color w:val="000000"/>
          <w:sz w:val="24"/>
          <w:szCs w:val="24"/>
        </w:rPr>
        <w:t>10%+</w:t>
      </w:r>
      <w:r w:rsidRPr="00D12153">
        <w:rPr>
          <w:rFonts w:ascii="Times New Roman" w:eastAsia="宋体" w:hAnsi="Times New Roman" w:cs="Times New Roman"/>
          <w:color w:val="000000"/>
          <w:sz w:val="24"/>
          <w:szCs w:val="24"/>
        </w:rPr>
        <w:t>平时作业</w:t>
      </w:r>
      <w:r w:rsidRPr="00D12153">
        <w:rPr>
          <w:rFonts w:ascii="Times New Roman" w:eastAsia="宋体" w:hAnsi="Times New Roman" w:cs="Times New Roman"/>
          <w:color w:val="000000"/>
          <w:sz w:val="24"/>
          <w:szCs w:val="24"/>
        </w:rPr>
        <w:t>20%+</w:t>
      </w:r>
      <w:r w:rsidRPr="00D12153">
        <w:rPr>
          <w:rFonts w:ascii="Times New Roman" w:eastAsia="宋体" w:hAnsi="Times New Roman" w:cs="Times New Roman"/>
          <w:color w:val="000000"/>
          <w:sz w:val="24"/>
          <w:szCs w:val="24"/>
        </w:rPr>
        <w:t>期末考试</w:t>
      </w:r>
      <w:r w:rsidRPr="00D12153">
        <w:rPr>
          <w:rFonts w:ascii="Times New Roman" w:eastAsia="宋体" w:hAnsi="Times New Roman" w:cs="Times New Roman"/>
          <w:color w:val="000000"/>
          <w:sz w:val="24"/>
          <w:szCs w:val="24"/>
        </w:rPr>
        <w:t>60%</w:t>
      </w:r>
      <w:r w:rsidRPr="00D12153">
        <w:rPr>
          <w:rFonts w:ascii="Times New Roman" w:eastAsia="宋体" w:hAnsi="Times New Roman" w:cs="Times New Roman"/>
          <w:color w:val="000000"/>
          <w:sz w:val="24"/>
          <w:szCs w:val="24"/>
        </w:rPr>
        <w:t>。</w:t>
      </w:r>
    </w:p>
    <w:p w14:paraId="0C8F2FF3" w14:textId="77777777" w:rsidR="00D12153" w:rsidRPr="00D12153" w:rsidRDefault="00D12153" w:rsidP="00D12153">
      <w:pPr>
        <w:spacing w:line="440" w:lineRule="atLeast"/>
        <w:ind w:firstLineChars="200" w:firstLine="480"/>
        <w:rPr>
          <w:rFonts w:ascii="Times New Roman" w:eastAsia="宋体" w:hAnsi="Times New Roman" w:cs="Times New Roman"/>
          <w:color w:val="000000"/>
          <w:szCs w:val="24"/>
        </w:rPr>
      </w:pPr>
      <w:r w:rsidRPr="00D12153">
        <w:rPr>
          <w:rFonts w:ascii="Times New Roman" w:eastAsia="宋体" w:hAnsi="Times New Roman" w:cs="Times New Roman"/>
          <w:color w:val="000000"/>
          <w:sz w:val="24"/>
          <w:szCs w:val="24"/>
        </w:rPr>
        <w:t>本课程共有三个课程目标，考核方式及成绩比例分别为：</w:t>
      </w:r>
    </w:p>
    <w:p w14:paraId="6C2F3F36" w14:textId="77777777" w:rsidR="00D12153" w:rsidRPr="00D12153" w:rsidRDefault="00D12153" w:rsidP="00D12153">
      <w:pPr>
        <w:spacing w:line="440" w:lineRule="atLeas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课程目标</w:t>
      </w:r>
      <w:r w:rsidRPr="00D12153">
        <w:rPr>
          <w:rFonts w:ascii="Times New Roman" w:eastAsia="宋体" w:hAnsi="Times New Roman" w:cs="Times New Roman"/>
          <w:color w:val="000000"/>
          <w:sz w:val="24"/>
          <w:szCs w:val="24"/>
        </w:rPr>
        <w:t>1</w:t>
      </w:r>
      <w:r w:rsidRPr="00D12153">
        <w:rPr>
          <w:rFonts w:ascii="Times New Roman" w:eastAsia="宋体" w:hAnsi="Times New Roman" w:cs="Times New Roman"/>
          <w:color w:val="000000"/>
          <w:sz w:val="24"/>
          <w:szCs w:val="24"/>
        </w:rPr>
        <w:t>：出勤率</w:t>
      </w:r>
      <w:r w:rsidRPr="00D12153">
        <w:rPr>
          <w:rFonts w:ascii="Times New Roman" w:eastAsia="宋体" w:hAnsi="Times New Roman" w:cs="Times New Roman"/>
          <w:color w:val="000000"/>
          <w:sz w:val="24"/>
          <w:szCs w:val="24"/>
        </w:rPr>
        <w:t>10%+</w:t>
      </w:r>
      <w:r w:rsidRPr="00D12153">
        <w:rPr>
          <w:rFonts w:ascii="Times New Roman" w:eastAsia="宋体" w:hAnsi="Times New Roman" w:cs="Times New Roman"/>
          <w:color w:val="000000"/>
          <w:sz w:val="24"/>
          <w:szCs w:val="24"/>
        </w:rPr>
        <w:t>课堂表现</w:t>
      </w:r>
      <w:r w:rsidRPr="00D12153">
        <w:rPr>
          <w:rFonts w:ascii="Times New Roman" w:eastAsia="宋体" w:hAnsi="Times New Roman" w:cs="Times New Roman"/>
          <w:color w:val="000000"/>
          <w:sz w:val="24"/>
          <w:szCs w:val="24"/>
        </w:rPr>
        <w:t>10%+</w:t>
      </w:r>
      <w:r w:rsidRPr="00D12153">
        <w:rPr>
          <w:rFonts w:ascii="Times New Roman" w:eastAsia="宋体" w:hAnsi="Times New Roman" w:cs="Times New Roman"/>
          <w:color w:val="000000"/>
          <w:sz w:val="24"/>
          <w:szCs w:val="24"/>
        </w:rPr>
        <w:t>平时作业</w:t>
      </w:r>
      <w:r w:rsidRPr="00D12153">
        <w:rPr>
          <w:rFonts w:ascii="Times New Roman" w:eastAsia="宋体" w:hAnsi="Times New Roman" w:cs="Times New Roman"/>
          <w:color w:val="000000"/>
          <w:sz w:val="24"/>
          <w:szCs w:val="24"/>
        </w:rPr>
        <w:t>20%+</w:t>
      </w:r>
      <w:r w:rsidRPr="00D12153">
        <w:rPr>
          <w:rFonts w:ascii="Times New Roman" w:eastAsia="宋体" w:hAnsi="Times New Roman" w:cs="Times New Roman"/>
          <w:color w:val="000000"/>
          <w:sz w:val="24"/>
          <w:szCs w:val="24"/>
        </w:rPr>
        <w:t>期末考试</w:t>
      </w:r>
      <w:r w:rsidRPr="00D12153">
        <w:rPr>
          <w:rFonts w:ascii="Times New Roman" w:eastAsia="宋体" w:hAnsi="Times New Roman" w:cs="Times New Roman"/>
          <w:color w:val="000000"/>
          <w:sz w:val="24"/>
          <w:szCs w:val="24"/>
        </w:rPr>
        <w:t>60%</w:t>
      </w:r>
      <w:r w:rsidRPr="00D12153">
        <w:rPr>
          <w:rFonts w:ascii="Times New Roman" w:eastAsia="宋体" w:hAnsi="Times New Roman" w:cs="Times New Roman"/>
          <w:color w:val="000000"/>
          <w:sz w:val="24"/>
          <w:szCs w:val="24"/>
        </w:rPr>
        <w:t>。</w:t>
      </w:r>
    </w:p>
    <w:p w14:paraId="6B98F4D3" w14:textId="77777777" w:rsidR="00D12153" w:rsidRPr="00D12153" w:rsidRDefault="00D12153" w:rsidP="00D12153">
      <w:pPr>
        <w:spacing w:line="440" w:lineRule="atLeast"/>
        <w:ind w:firstLineChars="200" w:firstLine="480"/>
        <w:rPr>
          <w:rFonts w:ascii="Times New Roman" w:eastAsia="宋体" w:hAnsi="Times New Roman" w:cs="Times New Roman"/>
          <w:color w:val="000000"/>
          <w:szCs w:val="24"/>
        </w:rPr>
      </w:pPr>
      <w:r w:rsidRPr="00D12153">
        <w:rPr>
          <w:rFonts w:ascii="Times New Roman" w:eastAsia="宋体" w:hAnsi="Times New Roman" w:cs="Times New Roman"/>
          <w:color w:val="000000"/>
          <w:sz w:val="24"/>
          <w:szCs w:val="24"/>
        </w:rPr>
        <w:t>课程目标</w:t>
      </w:r>
      <w:r w:rsidRPr="00D12153">
        <w:rPr>
          <w:rFonts w:ascii="Times New Roman" w:eastAsia="宋体" w:hAnsi="Times New Roman" w:cs="Times New Roman"/>
          <w:color w:val="000000"/>
          <w:sz w:val="24"/>
          <w:szCs w:val="24"/>
        </w:rPr>
        <w:t>2</w:t>
      </w:r>
      <w:r w:rsidRPr="00D12153">
        <w:rPr>
          <w:rFonts w:ascii="Times New Roman" w:eastAsia="宋体" w:hAnsi="Times New Roman" w:cs="Times New Roman"/>
          <w:color w:val="000000"/>
          <w:sz w:val="24"/>
          <w:szCs w:val="24"/>
        </w:rPr>
        <w:t>：出勤率</w:t>
      </w:r>
      <w:r w:rsidRPr="00D12153">
        <w:rPr>
          <w:rFonts w:ascii="Times New Roman" w:eastAsia="宋体" w:hAnsi="Times New Roman" w:cs="Times New Roman"/>
          <w:color w:val="000000"/>
          <w:sz w:val="24"/>
          <w:szCs w:val="24"/>
        </w:rPr>
        <w:t>10%+</w:t>
      </w:r>
      <w:r w:rsidRPr="00D12153">
        <w:rPr>
          <w:rFonts w:ascii="Times New Roman" w:eastAsia="宋体" w:hAnsi="Times New Roman" w:cs="Times New Roman"/>
          <w:color w:val="000000"/>
          <w:sz w:val="24"/>
          <w:szCs w:val="24"/>
        </w:rPr>
        <w:t>课堂表现</w:t>
      </w:r>
      <w:r w:rsidRPr="00D12153">
        <w:rPr>
          <w:rFonts w:ascii="Times New Roman" w:eastAsia="宋体" w:hAnsi="Times New Roman" w:cs="Times New Roman"/>
          <w:color w:val="000000"/>
          <w:sz w:val="24"/>
          <w:szCs w:val="24"/>
        </w:rPr>
        <w:t>10%+</w:t>
      </w:r>
      <w:r w:rsidRPr="00D12153">
        <w:rPr>
          <w:rFonts w:ascii="Times New Roman" w:eastAsia="宋体" w:hAnsi="Times New Roman" w:cs="Times New Roman"/>
          <w:color w:val="000000"/>
          <w:sz w:val="24"/>
          <w:szCs w:val="24"/>
        </w:rPr>
        <w:t>平时作业</w:t>
      </w:r>
      <w:r w:rsidRPr="00D12153">
        <w:rPr>
          <w:rFonts w:ascii="Times New Roman" w:eastAsia="宋体" w:hAnsi="Times New Roman" w:cs="Times New Roman"/>
          <w:color w:val="000000"/>
          <w:sz w:val="24"/>
          <w:szCs w:val="24"/>
        </w:rPr>
        <w:t>20%+</w:t>
      </w:r>
      <w:r w:rsidRPr="00D12153">
        <w:rPr>
          <w:rFonts w:ascii="Times New Roman" w:eastAsia="宋体" w:hAnsi="Times New Roman" w:cs="Times New Roman"/>
          <w:color w:val="000000"/>
          <w:sz w:val="24"/>
          <w:szCs w:val="24"/>
        </w:rPr>
        <w:t>期末考试</w:t>
      </w:r>
      <w:r w:rsidRPr="00D12153">
        <w:rPr>
          <w:rFonts w:ascii="Times New Roman" w:eastAsia="宋体" w:hAnsi="Times New Roman" w:cs="Times New Roman"/>
          <w:color w:val="000000"/>
          <w:sz w:val="24"/>
          <w:szCs w:val="24"/>
        </w:rPr>
        <w:t>60%</w:t>
      </w:r>
      <w:r w:rsidRPr="00D12153">
        <w:rPr>
          <w:rFonts w:ascii="Times New Roman" w:eastAsia="宋体" w:hAnsi="Times New Roman" w:cs="Times New Roman"/>
          <w:color w:val="000000"/>
          <w:sz w:val="24"/>
          <w:szCs w:val="24"/>
        </w:rPr>
        <w:t>。</w:t>
      </w:r>
    </w:p>
    <w:p w14:paraId="65F52661" w14:textId="77777777" w:rsidR="00D12153" w:rsidRPr="00D12153" w:rsidRDefault="00D12153" w:rsidP="00D12153">
      <w:pPr>
        <w:spacing w:line="440" w:lineRule="atLeast"/>
        <w:ind w:firstLineChars="200" w:firstLine="480"/>
        <w:rPr>
          <w:rFonts w:ascii="Times New Roman" w:eastAsia="宋体" w:hAnsi="Times New Roman" w:cs="Times New Roman"/>
          <w:color w:val="000000"/>
          <w:szCs w:val="24"/>
        </w:rPr>
      </w:pPr>
      <w:r w:rsidRPr="00D12153">
        <w:rPr>
          <w:rFonts w:ascii="Times New Roman" w:eastAsia="宋体" w:hAnsi="Times New Roman" w:cs="Times New Roman"/>
          <w:color w:val="000000"/>
          <w:sz w:val="24"/>
          <w:szCs w:val="24"/>
        </w:rPr>
        <w:t>课程目标</w:t>
      </w:r>
      <w:r w:rsidRPr="00D12153">
        <w:rPr>
          <w:rFonts w:ascii="Times New Roman" w:eastAsia="宋体" w:hAnsi="Times New Roman" w:cs="Times New Roman"/>
          <w:color w:val="000000"/>
          <w:sz w:val="24"/>
          <w:szCs w:val="24"/>
        </w:rPr>
        <w:t>3</w:t>
      </w:r>
      <w:r w:rsidRPr="00D12153">
        <w:rPr>
          <w:rFonts w:ascii="Times New Roman" w:eastAsia="宋体" w:hAnsi="Times New Roman" w:cs="Times New Roman"/>
          <w:color w:val="000000"/>
          <w:sz w:val="24"/>
          <w:szCs w:val="24"/>
        </w:rPr>
        <w:t>：出勤率</w:t>
      </w:r>
      <w:r w:rsidRPr="00D12153">
        <w:rPr>
          <w:rFonts w:ascii="Times New Roman" w:eastAsia="宋体" w:hAnsi="Times New Roman" w:cs="Times New Roman"/>
          <w:color w:val="000000"/>
          <w:sz w:val="24"/>
          <w:szCs w:val="24"/>
        </w:rPr>
        <w:t>10%+</w:t>
      </w:r>
      <w:r w:rsidRPr="00D12153">
        <w:rPr>
          <w:rFonts w:ascii="Times New Roman" w:eastAsia="宋体" w:hAnsi="Times New Roman" w:cs="Times New Roman"/>
          <w:color w:val="000000"/>
          <w:sz w:val="24"/>
          <w:szCs w:val="24"/>
        </w:rPr>
        <w:t>课堂表现</w:t>
      </w:r>
      <w:r w:rsidRPr="00D12153">
        <w:rPr>
          <w:rFonts w:ascii="Times New Roman" w:eastAsia="宋体" w:hAnsi="Times New Roman" w:cs="Times New Roman"/>
          <w:color w:val="000000"/>
          <w:sz w:val="24"/>
          <w:szCs w:val="24"/>
        </w:rPr>
        <w:t>10%+</w:t>
      </w:r>
      <w:r w:rsidRPr="00D12153">
        <w:rPr>
          <w:rFonts w:ascii="Times New Roman" w:eastAsia="宋体" w:hAnsi="Times New Roman" w:cs="Times New Roman"/>
          <w:color w:val="000000"/>
          <w:sz w:val="24"/>
          <w:szCs w:val="24"/>
        </w:rPr>
        <w:t>平时作业</w:t>
      </w:r>
      <w:r w:rsidRPr="00D12153">
        <w:rPr>
          <w:rFonts w:ascii="Times New Roman" w:eastAsia="宋体" w:hAnsi="Times New Roman" w:cs="Times New Roman"/>
          <w:color w:val="000000"/>
          <w:sz w:val="24"/>
          <w:szCs w:val="24"/>
        </w:rPr>
        <w:t>20%+</w:t>
      </w:r>
      <w:r w:rsidRPr="00D12153">
        <w:rPr>
          <w:rFonts w:ascii="Times New Roman" w:eastAsia="宋体" w:hAnsi="Times New Roman" w:cs="Times New Roman"/>
          <w:color w:val="000000"/>
          <w:sz w:val="24"/>
          <w:szCs w:val="24"/>
        </w:rPr>
        <w:t>期末考试</w:t>
      </w:r>
      <w:r w:rsidRPr="00D12153">
        <w:rPr>
          <w:rFonts w:ascii="Times New Roman" w:eastAsia="宋体" w:hAnsi="Times New Roman" w:cs="Times New Roman"/>
          <w:color w:val="000000"/>
          <w:sz w:val="24"/>
          <w:szCs w:val="24"/>
        </w:rPr>
        <w:t>60%</w:t>
      </w:r>
      <w:r w:rsidRPr="00D12153">
        <w:rPr>
          <w:rFonts w:ascii="Times New Roman" w:eastAsia="宋体" w:hAnsi="Times New Roman" w:cs="Times New Roman"/>
          <w:color w:val="000000"/>
          <w:sz w:val="24"/>
          <w:szCs w:val="24"/>
        </w:rPr>
        <w:t>。</w:t>
      </w:r>
    </w:p>
    <w:p w14:paraId="08CE4E74"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如下图：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3"/>
        <w:gridCol w:w="992"/>
        <w:gridCol w:w="1276"/>
        <w:gridCol w:w="1559"/>
        <w:gridCol w:w="1281"/>
        <w:gridCol w:w="993"/>
      </w:tblGrid>
      <w:tr w:rsidR="00D12153" w:rsidRPr="00D12153" w14:paraId="7936148A" w14:textId="77777777" w:rsidTr="00813A33">
        <w:trPr>
          <w:trHeight w:val="540"/>
          <w:jc w:val="center"/>
        </w:trPr>
        <w:tc>
          <w:tcPr>
            <w:tcW w:w="1413" w:type="dxa"/>
            <w:vMerge w:val="restart"/>
            <w:vAlign w:val="center"/>
          </w:tcPr>
          <w:p w14:paraId="6DA46B3D" w14:textId="77777777" w:rsidR="00D12153" w:rsidRPr="00D12153" w:rsidRDefault="00D12153" w:rsidP="00D12153">
            <w:pPr>
              <w:spacing w:line="440" w:lineRule="exact"/>
              <w:jc w:val="center"/>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课程目标</w:t>
            </w:r>
          </w:p>
        </w:tc>
        <w:tc>
          <w:tcPr>
            <w:tcW w:w="5108" w:type="dxa"/>
            <w:gridSpan w:val="4"/>
            <w:vAlign w:val="center"/>
          </w:tcPr>
          <w:p w14:paraId="57B2FEB7" w14:textId="77777777" w:rsidR="00D12153" w:rsidRPr="00D12153" w:rsidRDefault="00D12153" w:rsidP="00D12153">
            <w:pPr>
              <w:spacing w:line="440" w:lineRule="exact"/>
              <w:jc w:val="center"/>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考核方式及成绩比例</w:t>
            </w:r>
          </w:p>
        </w:tc>
        <w:tc>
          <w:tcPr>
            <w:tcW w:w="993" w:type="dxa"/>
            <w:vMerge w:val="restart"/>
            <w:vAlign w:val="center"/>
          </w:tcPr>
          <w:p w14:paraId="08E2A08E" w14:textId="77777777" w:rsidR="00D12153" w:rsidRPr="00D12153" w:rsidRDefault="00D12153" w:rsidP="00D12153">
            <w:pPr>
              <w:spacing w:line="440" w:lineRule="exact"/>
              <w:jc w:val="center"/>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合计</w:t>
            </w:r>
          </w:p>
        </w:tc>
      </w:tr>
      <w:tr w:rsidR="00D12153" w:rsidRPr="00D12153" w14:paraId="626B3476" w14:textId="77777777" w:rsidTr="00813A33">
        <w:trPr>
          <w:trHeight w:val="578"/>
          <w:jc w:val="center"/>
        </w:trPr>
        <w:tc>
          <w:tcPr>
            <w:tcW w:w="1413" w:type="dxa"/>
            <w:vMerge/>
            <w:vAlign w:val="center"/>
          </w:tcPr>
          <w:p w14:paraId="2ABEF1BD" w14:textId="77777777" w:rsidR="00D12153" w:rsidRPr="00D12153" w:rsidRDefault="00D12153" w:rsidP="00D12153">
            <w:pPr>
              <w:spacing w:line="440" w:lineRule="exact"/>
              <w:jc w:val="center"/>
              <w:rPr>
                <w:rFonts w:ascii="Times New Roman" w:eastAsia="宋体" w:hAnsi="Times New Roman" w:cs="Times New Roman"/>
                <w:b/>
                <w:color w:val="000000"/>
                <w:sz w:val="24"/>
                <w:szCs w:val="24"/>
              </w:rPr>
            </w:pPr>
          </w:p>
        </w:tc>
        <w:tc>
          <w:tcPr>
            <w:tcW w:w="992" w:type="dxa"/>
            <w:vAlign w:val="center"/>
          </w:tcPr>
          <w:p w14:paraId="7A4CA005" w14:textId="77777777" w:rsidR="00D12153" w:rsidRPr="00D12153" w:rsidRDefault="00D12153" w:rsidP="00D12153">
            <w:pPr>
              <w:spacing w:line="276" w:lineRule="auto"/>
              <w:jc w:val="center"/>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出勤率</w:t>
            </w:r>
          </w:p>
        </w:tc>
        <w:tc>
          <w:tcPr>
            <w:tcW w:w="1276" w:type="dxa"/>
            <w:vAlign w:val="center"/>
          </w:tcPr>
          <w:p w14:paraId="68A3E124" w14:textId="77777777" w:rsidR="00D12153" w:rsidRPr="00D12153" w:rsidRDefault="00D12153" w:rsidP="00D12153">
            <w:pPr>
              <w:spacing w:line="440" w:lineRule="atLeast"/>
              <w:jc w:val="center"/>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课堂表现</w:t>
            </w:r>
          </w:p>
        </w:tc>
        <w:tc>
          <w:tcPr>
            <w:tcW w:w="1559" w:type="dxa"/>
            <w:vAlign w:val="center"/>
          </w:tcPr>
          <w:p w14:paraId="72010FB2" w14:textId="77777777" w:rsidR="00D12153" w:rsidRPr="00D12153" w:rsidRDefault="00D12153" w:rsidP="00D12153">
            <w:pPr>
              <w:spacing w:line="440" w:lineRule="atLeast"/>
              <w:jc w:val="center"/>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平时作业</w:t>
            </w:r>
          </w:p>
        </w:tc>
        <w:tc>
          <w:tcPr>
            <w:tcW w:w="1281" w:type="dxa"/>
            <w:vAlign w:val="center"/>
          </w:tcPr>
          <w:p w14:paraId="2DC415E7" w14:textId="77777777" w:rsidR="00D12153" w:rsidRPr="00D12153" w:rsidRDefault="00D12153" w:rsidP="00D12153">
            <w:pPr>
              <w:spacing w:line="440" w:lineRule="atLeast"/>
              <w:jc w:val="center"/>
              <w:rPr>
                <w:rFonts w:ascii="Times New Roman" w:eastAsia="宋体" w:hAnsi="Times New Roman" w:cs="Times New Roman"/>
                <w:b/>
                <w:color w:val="000000"/>
                <w:sz w:val="24"/>
                <w:szCs w:val="24"/>
              </w:rPr>
            </w:pPr>
            <w:r w:rsidRPr="00D12153">
              <w:rPr>
                <w:rFonts w:ascii="Times New Roman" w:eastAsia="宋体" w:hAnsi="Times New Roman" w:cs="Times New Roman"/>
                <w:b/>
                <w:color w:val="000000"/>
                <w:sz w:val="24"/>
                <w:szCs w:val="24"/>
              </w:rPr>
              <w:t>期末考试</w:t>
            </w:r>
          </w:p>
        </w:tc>
        <w:tc>
          <w:tcPr>
            <w:tcW w:w="993" w:type="dxa"/>
            <w:vMerge/>
          </w:tcPr>
          <w:p w14:paraId="56890AAB" w14:textId="77777777" w:rsidR="00D12153" w:rsidRPr="00D12153" w:rsidRDefault="00D12153" w:rsidP="00D12153">
            <w:pPr>
              <w:spacing w:line="440" w:lineRule="exact"/>
              <w:jc w:val="center"/>
              <w:rPr>
                <w:rFonts w:ascii="Times New Roman" w:eastAsia="宋体" w:hAnsi="Times New Roman" w:cs="Times New Roman"/>
                <w:b/>
                <w:color w:val="000000"/>
                <w:sz w:val="24"/>
                <w:szCs w:val="24"/>
              </w:rPr>
            </w:pPr>
          </w:p>
        </w:tc>
      </w:tr>
      <w:tr w:rsidR="00D12153" w:rsidRPr="00D12153" w14:paraId="3C604471" w14:textId="77777777" w:rsidTr="00813A33">
        <w:trPr>
          <w:jc w:val="center"/>
        </w:trPr>
        <w:tc>
          <w:tcPr>
            <w:tcW w:w="1413" w:type="dxa"/>
            <w:vAlign w:val="center"/>
          </w:tcPr>
          <w:p w14:paraId="45C873C0"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课程目标</w:t>
            </w:r>
            <w:r w:rsidRPr="00D12153">
              <w:rPr>
                <w:rFonts w:ascii="Times New Roman" w:eastAsia="宋体" w:hAnsi="Times New Roman" w:cs="Times New Roman"/>
                <w:color w:val="000000"/>
                <w:sz w:val="24"/>
                <w:szCs w:val="24"/>
              </w:rPr>
              <w:t>1</w:t>
            </w:r>
          </w:p>
        </w:tc>
        <w:tc>
          <w:tcPr>
            <w:tcW w:w="992" w:type="dxa"/>
            <w:vAlign w:val="center"/>
          </w:tcPr>
          <w:p w14:paraId="360D6145"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4</w:t>
            </w:r>
          </w:p>
        </w:tc>
        <w:tc>
          <w:tcPr>
            <w:tcW w:w="1276" w:type="dxa"/>
            <w:vAlign w:val="center"/>
          </w:tcPr>
          <w:p w14:paraId="3A5969B6"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4</w:t>
            </w:r>
          </w:p>
        </w:tc>
        <w:tc>
          <w:tcPr>
            <w:tcW w:w="1559" w:type="dxa"/>
            <w:vAlign w:val="center"/>
          </w:tcPr>
          <w:p w14:paraId="13393633"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15</w:t>
            </w:r>
          </w:p>
        </w:tc>
        <w:tc>
          <w:tcPr>
            <w:tcW w:w="1281" w:type="dxa"/>
            <w:vAlign w:val="center"/>
          </w:tcPr>
          <w:p w14:paraId="14E0F628"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36</w:t>
            </w:r>
          </w:p>
        </w:tc>
        <w:tc>
          <w:tcPr>
            <w:tcW w:w="993" w:type="dxa"/>
          </w:tcPr>
          <w:p w14:paraId="155015C8"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59</w:t>
            </w:r>
          </w:p>
        </w:tc>
      </w:tr>
      <w:tr w:rsidR="00D12153" w:rsidRPr="00D12153" w14:paraId="73D00E01" w14:textId="77777777" w:rsidTr="00813A33">
        <w:trPr>
          <w:jc w:val="center"/>
        </w:trPr>
        <w:tc>
          <w:tcPr>
            <w:tcW w:w="1413" w:type="dxa"/>
            <w:vAlign w:val="center"/>
          </w:tcPr>
          <w:p w14:paraId="542E7206"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bCs/>
                <w:color w:val="000000"/>
                <w:sz w:val="24"/>
                <w:szCs w:val="24"/>
              </w:rPr>
              <w:t>课程目标</w:t>
            </w:r>
            <w:r w:rsidRPr="00D12153">
              <w:rPr>
                <w:rFonts w:ascii="Times New Roman" w:eastAsia="宋体" w:hAnsi="Times New Roman" w:cs="Times New Roman"/>
                <w:bCs/>
                <w:color w:val="000000"/>
                <w:sz w:val="24"/>
                <w:szCs w:val="24"/>
              </w:rPr>
              <w:t>2</w:t>
            </w:r>
          </w:p>
        </w:tc>
        <w:tc>
          <w:tcPr>
            <w:tcW w:w="992" w:type="dxa"/>
            <w:vAlign w:val="center"/>
          </w:tcPr>
          <w:p w14:paraId="14D93B41"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3</w:t>
            </w:r>
          </w:p>
        </w:tc>
        <w:tc>
          <w:tcPr>
            <w:tcW w:w="1276" w:type="dxa"/>
            <w:vAlign w:val="center"/>
          </w:tcPr>
          <w:p w14:paraId="6CC2F5BE"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3</w:t>
            </w:r>
          </w:p>
        </w:tc>
        <w:tc>
          <w:tcPr>
            <w:tcW w:w="1559" w:type="dxa"/>
            <w:vAlign w:val="center"/>
          </w:tcPr>
          <w:p w14:paraId="0E5A5EA8"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5</w:t>
            </w:r>
          </w:p>
        </w:tc>
        <w:tc>
          <w:tcPr>
            <w:tcW w:w="1281" w:type="dxa"/>
            <w:vAlign w:val="center"/>
          </w:tcPr>
          <w:p w14:paraId="3BEE0469"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18</w:t>
            </w:r>
          </w:p>
        </w:tc>
        <w:tc>
          <w:tcPr>
            <w:tcW w:w="993" w:type="dxa"/>
          </w:tcPr>
          <w:p w14:paraId="352BFE85"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29</w:t>
            </w:r>
          </w:p>
        </w:tc>
      </w:tr>
      <w:tr w:rsidR="00D12153" w:rsidRPr="00D12153" w14:paraId="744054D7" w14:textId="77777777" w:rsidTr="00813A33">
        <w:trPr>
          <w:jc w:val="center"/>
        </w:trPr>
        <w:tc>
          <w:tcPr>
            <w:tcW w:w="1413" w:type="dxa"/>
            <w:vAlign w:val="center"/>
          </w:tcPr>
          <w:p w14:paraId="0FB62677"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bCs/>
                <w:color w:val="000000"/>
                <w:sz w:val="24"/>
                <w:szCs w:val="24"/>
              </w:rPr>
              <w:t>课程目标</w:t>
            </w:r>
            <w:r w:rsidRPr="00D12153">
              <w:rPr>
                <w:rFonts w:ascii="Times New Roman" w:eastAsia="宋体" w:hAnsi="Times New Roman" w:cs="Times New Roman"/>
                <w:bCs/>
                <w:color w:val="000000"/>
                <w:sz w:val="24"/>
                <w:szCs w:val="24"/>
              </w:rPr>
              <w:t>3</w:t>
            </w:r>
          </w:p>
        </w:tc>
        <w:tc>
          <w:tcPr>
            <w:tcW w:w="992" w:type="dxa"/>
            <w:vAlign w:val="center"/>
          </w:tcPr>
          <w:p w14:paraId="59EE5E7F"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3</w:t>
            </w:r>
          </w:p>
        </w:tc>
        <w:tc>
          <w:tcPr>
            <w:tcW w:w="1276" w:type="dxa"/>
            <w:vAlign w:val="center"/>
          </w:tcPr>
          <w:p w14:paraId="28AC21FA"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3</w:t>
            </w:r>
          </w:p>
        </w:tc>
        <w:tc>
          <w:tcPr>
            <w:tcW w:w="1559" w:type="dxa"/>
            <w:vAlign w:val="center"/>
          </w:tcPr>
          <w:p w14:paraId="6EA0469D"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p>
        </w:tc>
        <w:tc>
          <w:tcPr>
            <w:tcW w:w="1281" w:type="dxa"/>
            <w:vAlign w:val="center"/>
          </w:tcPr>
          <w:p w14:paraId="15C1EA3A"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6</w:t>
            </w:r>
          </w:p>
        </w:tc>
        <w:tc>
          <w:tcPr>
            <w:tcW w:w="993" w:type="dxa"/>
          </w:tcPr>
          <w:p w14:paraId="4B4369D8"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12</w:t>
            </w:r>
          </w:p>
        </w:tc>
      </w:tr>
      <w:tr w:rsidR="00D12153" w:rsidRPr="00D12153" w14:paraId="34FE247C" w14:textId="77777777" w:rsidTr="00813A33">
        <w:trPr>
          <w:jc w:val="center"/>
        </w:trPr>
        <w:tc>
          <w:tcPr>
            <w:tcW w:w="1413" w:type="dxa"/>
            <w:vAlign w:val="center"/>
          </w:tcPr>
          <w:p w14:paraId="63039FFC"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bCs/>
                <w:color w:val="000000"/>
                <w:sz w:val="24"/>
                <w:szCs w:val="24"/>
              </w:rPr>
              <w:t>合计</w:t>
            </w:r>
          </w:p>
        </w:tc>
        <w:tc>
          <w:tcPr>
            <w:tcW w:w="992" w:type="dxa"/>
            <w:vAlign w:val="center"/>
          </w:tcPr>
          <w:p w14:paraId="1D1D6555"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10</w:t>
            </w:r>
          </w:p>
        </w:tc>
        <w:tc>
          <w:tcPr>
            <w:tcW w:w="1276" w:type="dxa"/>
            <w:vAlign w:val="center"/>
          </w:tcPr>
          <w:p w14:paraId="0BC53F1B"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10</w:t>
            </w:r>
          </w:p>
        </w:tc>
        <w:tc>
          <w:tcPr>
            <w:tcW w:w="1559" w:type="dxa"/>
            <w:vAlign w:val="center"/>
          </w:tcPr>
          <w:p w14:paraId="29129E64"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20</w:t>
            </w:r>
          </w:p>
        </w:tc>
        <w:tc>
          <w:tcPr>
            <w:tcW w:w="1281" w:type="dxa"/>
            <w:vAlign w:val="center"/>
          </w:tcPr>
          <w:p w14:paraId="4A5322EA"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60</w:t>
            </w:r>
          </w:p>
        </w:tc>
        <w:tc>
          <w:tcPr>
            <w:tcW w:w="993" w:type="dxa"/>
          </w:tcPr>
          <w:p w14:paraId="726F5ADF" w14:textId="77777777" w:rsidR="00D12153" w:rsidRPr="00D12153" w:rsidRDefault="00D12153" w:rsidP="00D12153">
            <w:pPr>
              <w:adjustRightInd w:val="0"/>
              <w:snapToGrid w:val="0"/>
              <w:spacing w:line="440" w:lineRule="exact"/>
              <w:jc w:val="center"/>
              <w:rPr>
                <w:rFonts w:ascii="Times New Roman" w:eastAsia="宋体" w:hAnsi="Times New Roman" w:cs="Times New Roman"/>
                <w:bCs/>
                <w:color w:val="000000"/>
                <w:sz w:val="24"/>
                <w:szCs w:val="24"/>
              </w:rPr>
            </w:pPr>
            <w:r w:rsidRPr="00D12153">
              <w:rPr>
                <w:rFonts w:ascii="Times New Roman" w:eastAsia="宋体" w:hAnsi="Times New Roman" w:cs="Times New Roman"/>
                <w:color w:val="000000"/>
                <w:sz w:val="24"/>
                <w:szCs w:val="24"/>
              </w:rPr>
              <w:t>100</w:t>
            </w:r>
          </w:p>
        </w:tc>
      </w:tr>
    </w:tbl>
    <w:p w14:paraId="14CA6C1C" w14:textId="77777777" w:rsidR="00D12153" w:rsidRPr="00D12153" w:rsidRDefault="00D12153" w:rsidP="00D12153">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lastRenderedPageBreak/>
        <w:t>五、成绩评定</w:t>
      </w:r>
    </w:p>
    <w:p w14:paraId="34A23774" w14:textId="77777777" w:rsidR="00D12153" w:rsidRPr="00D12153" w:rsidRDefault="00D12153" w:rsidP="00D12153">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t>（一）总成绩评定</w:t>
      </w:r>
    </w:p>
    <w:p w14:paraId="4E362958"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总成绩</w:t>
      </w:r>
      <w:r w:rsidRPr="00D12153">
        <w:rPr>
          <w:rFonts w:ascii="Times New Roman" w:eastAsia="宋体" w:hAnsi="Times New Roman" w:cs="Times New Roman"/>
          <w:color w:val="000000"/>
          <w:sz w:val="24"/>
          <w:szCs w:val="24"/>
        </w:rPr>
        <w:t>=</w:t>
      </w:r>
      <w:r w:rsidRPr="00D12153">
        <w:rPr>
          <w:rFonts w:ascii="Times New Roman" w:eastAsia="宋体" w:hAnsi="Times New Roman" w:cs="Times New Roman"/>
          <w:color w:val="000000"/>
          <w:sz w:val="24"/>
          <w:szCs w:val="24"/>
        </w:rPr>
        <w:t>平时成绩</w:t>
      </w:r>
      <w:r w:rsidRPr="00D12153">
        <w:rPr>
          <w:rFonts w:ascii="Times New Roman" w:eastAsia="宋体" w:hAnsi="Times New Roman" w:cs="Times New Roman"/>
          <w:color w:val="000000"/>
          <w:sz w:val="24"/>
          <w:szCs w:val="24"/>
        </w:rPr>
        <w:t>×40%+</w:t>
      </w:r>
      <w:r w:rsidRPr="00D12153">
        <w:rPr>
          <w:rFonts w:ascii="Times New Roman" w:eastAsia="宋体" w:hAnsi="Times New Roman" w:cs="Times New Roman"/>
          <w:color w:val="000000"/>
          <w:sz w:val="24"/>
          <w:szCs w:val="24"/>
        </w:rPr>
        <w:t>期末成绩</w:t>
      </w:r>
      <w:r w:rsidRPr="00D12153">
        <w:rPr>
          <w:rFonts w:ascii="Times New Roman" w:eastAsia="宋体" w:hAnsi="Times New Roman" w:cs="Times New Roman"/>
          <w:color w:val="000000"/>
          <w:sz w:val="24"/>
          <w:szCs w:val="24"/>
        </w:rPr>
        <w:t>×60%</w:t>
      </w:r>
    </w:p>
    <w:p w14:paraId="0EDCE465" w14:textId="77777777" w:rsidR="00D12153" w:rsidRPr="00D12153" w:rsidRDefault="00D12153" w:rsidP="00D12153">
      <w:pPr>
        <w:spacing w:beforeLines="50" w:before="156" w:afterLines="50" w:after="156" w:line="440" w:lineRule="exact"/>
        <w:ind w:firstLineChars="200" w:firstLine="560"/>
        <w:rPr>
          <w:rFonts w:ascii="Times New Roman" w:eastAsia="宋体" w:hAnsi="Times New Roman" w:cs="Times New Roman"/>
          <w:color w:val="000000"/>
          <w:sz w:val="24"/>
          <w:szCs w:val="24"/>
        </w:rPr>
      </w:pPr>
      <w:r w:rsidRPr="00D12153">
        <w:rPr>
          <w:rFonts w:ascii="Times New Roman" w:eastAsia="黑体" w:hAnsi="Times New Roman" w:cs="Times New Roman"/>
          <w:color w:val="000000"/>
          <w:sz w:val="28"/>
          <w:szCs w:val="28"/>
        </w:rPr>
        <w:t>（二）平时成绩评定</w:t>
      </w:r>
    </w:p>
    <w:p w14:paraId="4B32BED9"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平时成绩（</w:t>
      </w:r>
      <w:r w:rsidRPr="00D12153">
        <w:rPr>
          <w:rFonts w:ascii="Times New Roman" w:eastAsia="宋体" w:hAnsi="Times New Roman" w:cs="Times New Roman"/>
          <w:color w:val="000000"/>
          <w:sz w:val="24"/>
          <w:szCs w:val="24"/>
        </w:rPr>
        <w:t>100%</w:t>
      </w:r>
      <w:r w:rsidRPr="00D12153">
        <w:rPr>
          <w:rFonts w:ascii="Times New Roman" w:eastAsia="宋体" w:hAnsi="Times New Roman" w:cs="Times New Roman"/>
          <w:color w:val="000000"/>
          <w:sz w:val="24"/>
          <w:szCs w:val="24"/>
        </w:rPr>
        <w:t>）</w:t>
      </w:r>
      <w:r w:rsidRPr="00D12153">
        <w:rPr>
          <w:rFonts w:ascii="Times New Roman" w:eastAsia="宋体" w:hAnsi="Times New Roman" w:cs="Times New Roman"/>
          <w:color w:val="000000"/>
          <w:sz w:val="24"/>
          <w:szCs w:val="24"/>
        </w:rPr>
        <w:t>=</w:t>
      </w:r>
      <w:r w:rsidRPr="00D12153">
        <w:rPr>
          <w:rFonts w:ascii="Times New Roman" w:eastAsia="宋体" w:hAnsi="Times New Roman" w:cs="Times New Roman"/>
          <w:color w:val="000000"/>
          <w:sz w:val="24"/>
          <w:szCs w:val="24"/>
        </w:rPr>
        <w:t>出勤率</w:t>
      </w:r>
      <w:r w:rsidRPr="00D12153">
        <w:rPr>
          <w:rFonts w:ascii="Times New Roman" w:eastAsia="宋体" w:hAnsi="Times New Roman" w:cs="Times New Roman"/>
          <w:color w:val="000000"/>
          <w:sz w:val="24"/>
          <w:szCs w:val="24"/>
        </w:rPr>
        <w:t>25%+</w:t>
      </w:r>
      <w:r w:rsidRPr="00D12153">
        <w:rPr>
          <w:rFonts w:ascii="Times New Roman" w:eastAsia="宋体" w:hAnsi="Times New Roman" w:cs="Times New Roman"/>
          <w:color w:val="000000"/>
          <w:sz w:val="24"/>
          <w:szCs w:val="24"/>
        </w:rPr>
        <w:t>课堂表现</w:t>
      </w:r>
      <w:r w:rsidRPr="00D12153">
        <w:rPr>
          <w:rFonts w:ascii="Times New Roman" w:eastAsia="宋体" w:hAnsi="Times New Roman" w:cs="Times New Roman"/>
          <w:color w:val="000000"/>
          <w:sz w:val="24"/>
          <w:szCs w:val="24"/>
        </w:rPr>
        <w:t>25%+</w:t>
      </w:r>
      <w:r w:rsidRPr="00D12153">
        <w:rPr>
          <w:rFonts w:ascii="Times New Roman" w:eastAsia="宋体" w:hAnsi="Times New Roman" w:cs="Times New Roman"/>
          <w:color w:val="000000"/>
          <w:sz w:val="24"/>
          <w:szCs w:val="24"/>
        </w:rPr>
        <w:t>平时作业</w:t>
      </w:r>
      <w:r w:rsidRPr="00D12153">
        <w:rPr>
          <w:rFonts w:ascii="Times New Roman" w:eastAsia="宋体" w:hAnsi="Times New Roman" w:cs="Times New Roman"/>
          <w:color w:val="000000"/>
          <w:sz w:val="24"/>
          <w:szCs w:val="24"/>
        </w:rPr>
        <w:t>50%</w:t>
      </w:r>
    </w:p>
    <w:p w14:paraId="74D06199"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出勤率：通过学生出勤次数，来评价学生的学习态度与积极性；</w:t>
      </w:r>
    </w:p>
    <w:p w14:paraId="793D1175"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rPr>
        <w:t>课堂表现：通过学生在课堂上的表现情况、发言与提问情况，来评价学生相关的能力；</w:t>
      </w:r>
    </w:p>
    <w:p w14:paraId="36D39E7B"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3. </w:t>
      </w:r>
      <w:r w:rsidRPr="00D12153">
        <w:rPr>
          <w:rFonts w:ascii="Times New Roman" w:eastAsia="宋体" w:hAnsi="Times New Roman" w:cs="Times New Roman"/>
          <w:color w:val="000000"/>
          <w:sz w:val="24"/>
          <w:szCs w:val="24"/>
        </w:rPr>
        <w:t>平时作业完成情况：围绕课程的学习目标进行作业的设计。如让学生简述对知识的认识，考核学生对于概念的理解情况，帮助学生将定义转化为自己的理解；</w:t>
      </w:r>
    </w:p>
    <w:p w14:paraId="6F739A97" w14:textId="77777777" w:rsidR="00D12153" w:rsidRPr="00D12153" w:rsidRDefault="00D12153" w:rsidP="00D12153">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t>（三）期末成绩评定</w:t>
      </w:r>
    </w:p>
    <w:p w14:paraId="40FE7EC1" w14:textId="77777777" w:rsidR="00D12153" w:rsidRPr="00D12153" w:rsidRDefault="00D12153" w:rsidP="00D12153">
      <w:pPr>
        <w:spacing w:beforeLines="50" w:before="156" w:afterLines="50" w:after="156"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期末考核主要考察学生对天然药物化学基本概念、基础知识的理解与运用、天然药物化学有效成分提取分离和鉴别的一般方法。方式为开卷考试。要求学生掌握基本概念、基础知识，运用具体方法解决相关问题。</w:t>
      </w:r>
    </w:p>
    <w:p w14:paraId="7E517B2A" w14:textId="77777777" w:rsidR="00D12153" w:rsidRPr="00D12153" w:rsidRDefault="00D12153" w:rsidP="00D12153">
      <w:pPr>
        <w:spacing w:beforeLines="50" w:before="156" w:afterLines="50" w:after="156" w:line="440" w:lineRule="exact"/>
        <w:ind w:firstLineChars="200" w:firstLine="560"/>
        <w:rPr>
          <w:rFonts w:ascii="Times New Roman" w:eastAsia="宋体" w:hAnsi="Times New Roman" w:cs="Times New Roman"/>
          <w:color w:val="000000"/>
          <w:sz w:val="24"/>
          <w:szCs w:val="24"/>
        </w:rPr>
      </w:pPr>
      <w:r w:rsidRPr="00D12153">
        <w:rPr>
          <w:rFonts w:ascii="Times New Roman" w:eastAsia="黑体" w:hAnsi="Times New Roman" w:cs="Times New Roman"/>
          <w:color w:val="000000"/>
          <w:sz w:val="28"/>
          <w:szCs w:val="28"/>
        </w:rPr>
        <w:t>六、使用教材、相关推荐书目及课程资源</w:t>
      </w:r>
    </w:p>
    <w:p w14:paraId="16EEFE49" w14:textId="77777777" w:rsidR="00D12153" w:rsidRPr="00D12153" w:rsidRDefault="00D12153" w:rsidP="00D12153">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t>（一）使用教材</w:t>
      </w:r>
    </w:p>
    <w:p w14:paraId="699DEC17"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华会明，娄红祥主编：《天然药物化学》（第八版），人民卫生出版社，</w:t>
      </w:r>
      <w:r w:rsidRPr="00D12153">
        <w:rPr>
          <w:rFonts w:ascii="Times New Roman" w:eastAsia="宋体" w:hAnsi="Times New Roman" w:cs="Times New Roman"/>
          <w:color w:val="000000"/>
          <w:sz w:val="24"/>
          <w:szCs w:val="24"/>
        </w:rPr>
        <w:t>2022</w:t>
      </w:r>
      <w:r w:rsidRPr="00D12153">
        <w:rPr>
          <w:rFonts w:ascii="Times New Roman" w:eastAsia="宋体" w:hAnsi="Times New Roman" w:cs="Times New Roman"/>
          <w:color w:val="000000"/>
          <w:sz w:val="24"/>
          <w:szCs w:val="24"/>
        </w:rPr>
        <w:t>年版；</w:t>
      </w:r>
    </w:p>
    <w:p w14:paraId="6A7729AF" w14:textId="77777777" w:rsidR="00D12153" w:rsidRPr="00D12153" w:rsidRDefault="00D12153" w:rsidP="00D12153">
      <w:pPr>
        <w:spacing w:beforeLines="50" w:before="156" w:afterLines="50" w:after="156" w:line="440" w:lineRule="exact"/>
        <w:ind w:firstLineChars="200" w:firstLine="560"/>
        <w:rPr>
          <w:rFonts w:ascii="Times New Roman" w:eastAsia="宋体" w:hAnsi="Times New Roman" w:cs="Times New Roman"/>
          <w:color w:val="000000"/>
          <w:sz w:val="24"/>
          <w:szCs w:val="24"/>
        </w:rPr>
      </w:pPr>
      <w:r w:rsidRPr="00D12153">
        <w:rPr>
          <w:rFonts w:ascii="Times New Roman" w:eastAsia="黑体" w:hAnsi="Times New Roman" w:cs="Times New Roman"/>
          <w:color w:val="000000"/>
          <w:sz w:val="28"/>
          <w:szCs w:val="28"/>
        </w:rPr>
        <w:t>（二）相关推荐书目</w:t>
      </w:r>
    </w:p>
    <w:p w14:paraId="78871E06" w14:textId="77777777" w:rsidR="00D12153" w:rsidRPr="00D12153" w:rsidRDefault="00D12153" w:rsidP="00D12153">
      <w:pPr>
        <w:spacing w:line="50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1. </w:t>
      </w:r>
      <w:r w:rsidRPr="00D12153">
        <w:rPr>
          <w:rFonts w:ascii="Times New Roman" w:eastAsia="宋体" w:hAnsi="Times New Roman" w:cs="Times New Roman"/>
          <w:color w:val="000000"/>
          <w:sz w:val="24"/>
          <w:szCs w:val="24"/>
        </w:rPr>
        <w:t>肖崇厚主编：《中药化学》，</w:t>
      </w:r>
      <w:r w:rsidRPr="00D12153">
        <w:rPr>
          <w:rFonts w:ascii="Times New Roman" w:eastAsia="宋体" w:hAnsi="Times New Roman" w:cs="Times New Roman"/>
          <w:color w:val="000000"/>
          <w:sz w:val="24"/>
          <w:szCs w:val="24"/>
          <w:shd w:val="clear" w:color="auto" w:fill="FFFFFF"/>
        </w:rPr>
        <w:t>上海科学技术出版社，</w:t>
      </w:r>
      <w:r w:rsidRPr="00D12153">
        <w:rPr>
          <w:rFonts w:ascii="Times New Roman" w:eastAsia="宋体" w:hAnsi="Times New Roman" w:cs="Times New Roman"/>
          <w:color w:val="000000"/>
          <w:sz w:val="24"/>
          <w:szCs w:val="24"/>
          <w:shd w:val="clear" w:color="auto" w:fill="FFFFFF"/>
        </w:rPr>
        <w:t>2002</w:t>
      </w:r>
      <w:r w:rsidRPr="00D12153">
        <w:rPr>
          <w:rFonts w:ascii="Times New Roman" w:eastAsia="宋体" w:hAnsi="Times New Roman" w:cs="Times New Roman"/>
          <w:color w:val="000000"/>
          <w:sz w:val="24"/>
          <w:szCs w:val="24"/>
        </w:rPr>
        <w:t>年版</w:t>
      </w:r>
      <w:r w:rsidRPr="00D12153">
        <w:rPr>
          <w:rFonts w:ascii="Times New Roman" w:eastAsia="宋体" w:hAnsi="Times New Roman" w:cs="Times New Roman"/>
          <w:color w:val="000000"/>
          <w:sz w:val="24"/>
          <w:szCs w:val="24"/>
          <w:shd w:val="clear" w:color="auto" w:fill="FFFFFF"/>
        </w:rPr>
        <w:t>；</w:t>
      </w:r>
    </w:p>
    <w:p w14:paraId="7297CB41" w14:textId="77777777" w:rsidR="00D12153" w:rsidRPr="00D12153" w:rsidRDefault="00D12153" w:rsidP="00D12153">
      <w:pPr>
        <w:spacing w:line="50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2. </w:t>
      </w:r>
      <w:r w:rsidRPr="00D12153">
        <w:rPr>
          <w:rFonts w:ascii="Times New Roman" w:eastAsia="宋体" w:hAnsi="Times New Roman" w:cs="Times New Roman"/>
          <w:color w:val="000000"/>
          <w:sz w:val="24"/>
          <w:szCs w:val="24"/>
          <w:shd w:val="clear" w:color="auto" w:fill="FFFFFF"/>
        </w:rPr>
        <w:t>方起程</w:t>
      </w:r>
      <w:r w:rsidRPr="00D12153">
        <w:rPr>
          <w:rFonts w:ascii="Times New Roman" w:eastAsia="宋体" w:hAnsi="Times New Roman" w:cs="Times New Roman"/>
          <w:color w:val="000000"/>
          <w:sz w:val="24"/>
          <w:szCs w:val="24"/>
        </w:rPr>
        <w:t>主编：《天然药物化学研究》，</w:t>
      </w:r>
      <w:r w:rsidRPr="00D12153">
        <w:rPr>
          <w:rFonts w:ascii="Times New Roman" w:eastAsia="宋体" w:hAnsi="Times New Roman" w:cs="Times New Roman"/>
          <w:color w:val="000000"/>
          <w:sz w:val="24"/>
          <w:szCs w:val="24"/>
          <w:shd w:val="clear" w:color="auto" w:fill="FFFFFF"/>
        </w:rPr>
        <w:t>中国协和医科大学出版社，</w:t>
      </w:r>
      <w:r w:rsidRPr="00D12153">
        <w:rPr>
          <w:rFonts w:ascii="Times New Roman" w:eastAsia="宋体" w:hAnsi="Times New Roman" w:cs="Times New Roman"/>
          <w:color w:val="000000"/>
          <w:sz w:val="24"/>
          <w:szCs w:val="24"/>
          <w:shd w:val="clear" w:color="auto" w:fill="FFFFFF"/>
        </w:rPr>
        <w:t>2006</w:t>
      </w:r>
      <w:r w:rsidRPr="00D12153">
        <w:rPr>
          <w:rFonts w:ascii="Times New Roman" w:eastAsia="宋体" w:hAnsi="Times New Roman" w:cs="Times New Roman"/>
          <w:color w:val="000000"/>
          <w:sz w:val="24"/>
          <w:szCs w:val="24"/>
        </w:rPr>
        <w:t>年版</w:t>
      </w:r>
      <w:r w:rsidRPr="00D12153">
        <w:rPr>
          <w:rFonts w:ascii="Times New Roman" w:eastAsia="宋体" w:hAnsi="Times New Roman" w:cs="Times New Roman"/>
          <w:color w:val="000000"/>
          <w:sz w:val="24"/>
          <w:szCs w:val="24"/>
          <w:shd w:val="clear" w:color="auto" w:fill="FFFFFF"/>
        </w:rPr>
        <w:t>；</w:t>
      </w:r>
    </w:p>
    <w:p w14:paraId="445D7F37" w14:textId="77777777" w:rsidR="00D12153" w:rsidRPr="00D12153" w:rsidRDefault="00D12153" w:rsidP="00D12153">
      <w:pPr>
        <w:spacing w:line="500" w:lineRule="exact"/>
        <w:ind w:firstLineChars="200" w:firstLine="480"/>
        <w:rPr>
          <w:rFonts w:ascii="Times New Roman" w:eastAsia="宋体" w:hAnsi="Times New Roman" w:cs="Times New Roman"/>
          <w:color w:val="000000"/>
          <w:sz w:val="24"/>
          <w:szCs w:val="24"/>
          <w:shd w:val="clear" w:color="auto" w:fill="FFFFFF"/>
        </w:rPr>
      </w:pPr>
      <w:r w:rsidRPr="00D12153">
        <w:rPr>
          <w:rFonts w:ascii="Times New Roman" w:eastAsia="宋体" w:hAnsi="Times New Roman" w:cs="Times New Roman"/>
          <w:color w:val="000000"/>
          <w:sz w:val="24"/>
          <w:szCs w:val="24"/>
        </w:rPr>
        <w:t xml:space="preserve">3. </w:t>
      </w:r>
      <w:r w:rsidRPr="00D12153">
        <w:rPr>
          <w:rFonts w:ascii="Times New Roman" w:eastAsia="宋体" w:hAnsi="Times New Roman" w:cs="Times New Roman"/>
          <w:color w:val="000000"/>
          <w:sz w:val="24"/>
          <w:szCs w:val="24"/>
          <w:shd w:val="clear" w:color="auto" w:fill="FFFFFF"/>
        </w:rPr>
        <w:t>杨俊杰</w:t>
      </w:r>
      <w:r w:rsidRPr="00D12153">
        <w:rPr>
          <w:rFonts w:ascii="Times New Roman" w:eastAsia="宋体" w:hAnsi="Times New Roman" w:cs="Times New Roman"/>
          <w:color w:val="000000"/>
          <w:sz w:val="24"/>
          <w:szCs w:val="24"/>
        </w:rPr>
        <w:t>主编：《天然药物化学》，</w:t>
      </w:r>
      <w:r w:rsidRPr="00D12153">
        <w:rPr>
          <w:rFonts w:ascii="Times New Roman" w:eastAsia="宋体" w:hAnsi="Times New Roman" w:cs="Times New Roman"/>
          <w:color w:val="000000"/>
          <w:sz w:val="24"/>
          <w:szCs w:val="24"/>
          <w:shd w:val="clear" w:color="auto" w:fill="FFFFFF"/>
        </w:rPr>
        <w:t>化学工业出版社，</w:t>
      </w:r>
      <w:r w:rsidRPr="00D12153">
        <w:rPr>
          <w:rFonts w:ascii="Times New Roman" w:eastAsia="宋体" w:hAnsi="Times New Roman" w:cs="Times New Roman"/>
          <w:color w:val="000000"/>
          <w:sz w:val="24"/>
          <w:szCs w:val="24"/>
          <w:shd w:val="clear" w:color="auto" w:fill="FFFFFF"/>
        </w:rPr>
        <w:t>2018</w:t>
      </w:r>
      <w:r w:rsidRPr="00D12153">
        <w:rPr>
          <w:rFonts w:ascii="Times New Roman" w:eastAsia="宋体" w:hAnsi="Times New Roman" w:cs="Times New Roman"/>
          <w:color w:val="000000"/>
          <w:sz w:val="24"/>
          <w:szCs w:val="24"/>
        </w:rPr>
        <w:t>年版</w:t>
      </w:r>
      <w:r w:rsidRPr="00D12153">
        <w:rPr>
          <w:rFonts w:ascii="Times New Roman" w:eastAsia="宋体" w:hAnsi="Times New Roman" w:cs="Times New Roman"/>
          <w:color w:val="000000"/>
          <w:sz w:val="24"/>
          <w:szCs w:val="24"/>
          <w:shd w:val="clear" w:color="auto" w:fill="FFFFFF"/>
        </w:rPr>
        <w:t>；</w:t>
      </w:r>
    </w:p>
    <w:p w14:paraId="51E62B89" w14:textId="77777777" w:rsidR="00D12153" w:rsidRPr="00D12153" w:rsidRDefault="00D12153" w:rsidP="00D12153">
      <w:pPr>
        <w:spacing w:line="50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shd w:val="clear" w:color="auto" w:fill="FFFFFF"/>
        </w:rPr>
        <w:t xml:space="preserve">4. </w:t>
      </w:r>
      <w:proofErr w:type="gramStart"/>
      <w:r w:rsidRPr="00D12153">
        <w:rPr>
          <w:rFonts w:ascii="Times New Roman" w:eastAsia="宋体" w:hAnsi="Times New Roman" w:cs="Times New Roman"/>
          <w:color w:val="000000"/>
          <w:sz w:val="24"/>
          <w:szCs w:val="24"/>
        </w:rPr>
        <w:t>于荣敏主编</w:t>
      </w:r>
      <w:proofErr w:type="gramEnd"/>
      <w:r w:rsidRPr="00D12153">
        <w:rPr>
          <w:rFonts w:ascii="Times New Roman" w:eastAsia="宋体" w:hAnsi="Times New Roman" w:cs="Times New Roman"/>
          <w:color w:val="000000"/>
          <w:sz w:val="24"/>
          <w:szCs w:val="24"/>
        </w:rPr>
        <w:t>：《天然药物化学成分波谱解析》，中国医药科技出版社，</w:t>
      </w:r>
      <w:r w:rsidRPr="00D12153">
        <w:rPr>
          <w:rFonts w:ascii="Times New Roman" w:eastAsia="宋体" w:hAnsi="Times New Roman" w:cs="Times New Roman"/>
          <w:color w:val="000000"/>
          <w:sz w:val="24"/>
          <w:szCs w:val="24"/>
        </w:rPr>
        <w:t>2008</w:t>
      </w:r>
      <w:r w:rsidRPr="00D12153">
        <w:rPr>
          <w:rFonts w:ascii="Times New Roman" w:eastAsia="宋体" w:hAnsi="Times New Roman" w:cs="Times New Roman"/>
          <w:color w:val="000000"/>
          <w:sz w:val="24"/>
          <w:szCs w:val="24"/>
        </w:rPr>
        <w:t>年版；</w:t>
      </w:r>
    </w:p>
    <w:p w14:paraId="0620F659" w14:textId="77777777" w:rsidR="00D12153" w:rsidRPr="00D12153" w:rsidRDefault="00D12153" w:rsidP="00D12153">
      <w:pPr>
        <w:spacing w:line="50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 xml:space="preserve">5. </w:t>
      </w:r>
      <w:r w:rsidRPr="00D12153">
        <w:rPr>
          <w:rFonts w:ascii="Times New Roman" w:eastAsia="宋体" w:hAnsi="Times New Roman" w:cs="Times New Roman"/>
          <w:color w:val="000000"/>
          <w:sz w:val="24"/>
          <w:szCs w:val="24"/>
        </w:rPr>
        <w:t>韩继红主编：《中药提取分离技术》（第二版），化学工业出版社，</w:t>
      </w:r>
      <w:r w:rsidRPr="00D12153">
        <w:rPr>
          <w:rFonts w:ascii="Times New Roman" w:eastAsia="宋体" w:hAnsi="Times New Roman" w:cs="Times New Roman"/>
          <w:color w:val="000000"/>
          <w:sz w:val="24"/>
          <w:szCs w:val="24"/>
        </w:rPr>
        <w:t>2020</w:t>
      </w:r>
      <w:r w:rsidRPr="00D12153">
        <w:rPr>
          <w:rFonts w:ascii="Times New Roman" w:eastAsia="宋体" w:hAnsi="Times New Roman" w:cs="Times New Roman"/>
          <w:color w:val="000000"/>
          <w:sz w:val="24"/>
          <w:szCs w:val="24"/>
        </w:rPr>
        <w:t>年版。</w:t>
      </w:r>
    </w:p>
    <w:p w14:paraId="39976410" w14:textId="77777777" w:rsidR="00D12153" w:rsidRPr="00D12153" w:rsidRDefault="00D12153" w:rsidP="00D12153">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t>（三）课程资源</w:t>
      </w:r>
    </w:p>
    <w:p w14:paraId="7FE68855"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本课程的学生自主学习的途径可登陆</w:t>
      </w:r>
      <w:hyperlink r:id="rId56" w:tgtFrame="https://www.so.com/_blank" w:history="1">
        <w:r w:rsidRPr="00D12153">
          <w:rPr>
            <w:rFonts w:ascii="Times New Roman" w:eastAsia="宋体" w:hAnsi="Times New Roman" w:cs="Times New Roman"/>
            <w:color w:val="000000"/>
            <w:sz w:val="24"/>
            <w:szCs w:val="24"/>
          </w:rPr>
          <w:t>中国大学</w:t>
        </w:r>
        <w:r w:rsidRPr="00D12153">
          <w:rPr>
            <w:rFonts w:ascii="Times New Roman" w:eastAsia="宋体" w:hAnsi="Times New Roman" w:cs="Times New Roman"/>
            <w:color w:val="000000"/>
            <w:sz w:val="24"/>
            <w:szCs w:val="24"/>
          </w:rPr>
          <w:t>MOOC(</w:t>
        </w:r>
        <w:proofErr w:type="gramStart"/>
        <w:r w:rsidRPr="00D12153">
          <w:rPr>
            <w:rFonts w:ascii="Times New Roman" w:eastAsia="宋体" w:hAnsi="Times New Roman" w:cs="Times New Roman"/>
            <w:color w:val="000000"/>
            <w:sz w:val="24"/>
            <w:szCs w:val="24"/>
          </w:rPr>
          <w:t>慕课</w:t>
        </w:r>
        <w:proofErr w:type="gramEnd"/>
        <w:r w:rsidRPr="00D12153">
          <w:rPr>
            <w:rFonts w:ascii="Times New Roman" w:eastAsia="宋体" w:hAnsi="Times New Roman" w:cs="Times New Roman"/>
            <w:color w:val="000000"/>
            <w:sz w:val="24"/>
            <w:szCs w:val="24"/>
          </w:rPr>
          <w:t>)</w:t>
        </w:r>
        <w:r w:rsidRPr="00D12153">
          <w:rPr>
            <w:rFonts w:ascii="Times New Roman" w:eastAsia="宋体" w:hAnsi="Times New Roman" w:cs="Times New Roman"/>
            <w:color w:val="000000"/>
            <w:sz w:val="24"/>
            <w:szCs w:val="24"/>
          </w:rPr>
          <w:t>国家精品课程在线</w:t>
        </w:r>
        <w:r w:rsidRPr="00D12153">
          <w:rPr>
            <w:rFonts w:ascii="Times New Roman" w:eastAsia="宋体" w:hAnsi="Times New Roman" w:cs="Times New Roman"/>
            <w:color w:val="000000"/>
            <w:sz w:val="24"/>
            <w:szCs w:val="24"/>
          </w:rPr>
          <w:lastRenderedPageBreak/>
          <w:t>学习平台</w:t>
        </w:r>
      </w:hyperlink>
      <w:r w:rsidRPr="00D12153">
        <w:rPr>
          <w:rFonts w:ascii="Times New Roman" w:eastAsia="宋体" w:hAnsi="Times New Roman" w:cs="Times New Roman"/>
          <w:color w:val="000000"/>
          <w:sz w:val="24"/>
          <w:szCs w:val="24"/>
        </w:rPr>
        <w:t>进行线上学习。</w:t>
      </w:r>
    </w:p>
    <w:p w14:paraId="4A0932DE" w14:textId="77777777" w:rsidR="00D12153" w:rsidRPr="00D12153" w:rsidRDefault="00D12153" w:rsidP="00D12153">
      <w:pPr>
        <w:spacing w:beforeLines="50" w:before="156" w:afterLines="50" w:after="156"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本课程的自主学习还可参考我校图书馆相关参考书及电子资源。</w:t>
      </w:r>
    </w:p>
    <w:p w14:paraId="5DF15094" w14:textId="77777777" w:rsidR="00D12153" w:rsidRPr="00D12153" w:rsidRDefault="00D12153" w:rsidP="00D12153">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12153">
        <w:rPr>
          <w:rFonts w:ascii="Times New Roman" w:eastAsia="黑体" w:hAnsi="Times New Roman" w:cs="Times New Roman"/>
          <w:color w:val="000000"/>
          <w:sz w:val="28"/>
          <w:szCs w:val="28"/>
        </w:rPr>
        <w:t>七、课程大纲制定依据</w:t>
      </w:r>
    </w:p>
    <w:p w14:paraId="0DAD271E"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r w:rsidRPr="00D12153">
        <w:rPr>
          <w:rFonts w:ascii="Times New Roman" w:eastAsia="宋体" w:hAnsi="Times New Roman" w:cs="Times New Roman"/>
          <w:color w:val="000000"/>
          <w:sz w:val="24"/>
          <w:szCs w:val="24"/>
        </w:rPr>
        <w:t>本课程大纲依据</w:t>
      </w:r>
      <w:r w:rsidRPr="00D12153">
        <w:rPr>
          <w:rFonts w:ascii="Times New Roman" w:eastAsia="宋体" w:hAnsi="Times New Roman" w:cs="Times New Roman"/>
          <w:color w:val="000000"/>
          <w:sz w:val="24"/>
          <w:szCs w:val="24"/>
        </w:rPr>
        <w:t>2023</w:t>
      </w:r>
      <w:r w:rsidRPr="00D12153">
        <w:rPr>
          <w:rFonts w:ascii="Times New Roman" w:eastAsia="宋体" w:hAnsi="Times New Roman" w:cs="Times New Roman"/>
          <w:color w:val="000000"/>
          <w:sz w:val="24"/>
          <w:szCs w:val="24"/>
        </w:rPr>
        <w:t>年药物分析专业人才培养方案制定。</w:t>
      </w:r>
    </w:p>
    <w:p w14:paraId="46C26C36" w14:textId="77777777" w:rsidR="00D12153" w:rsidRPr="00D12153" w:rsidRDefault="00D12153" w:rsidP="00D12153">
      <w:pPr>
        <w:spacing w:line="440" w:lineRule="exact"/>
        <w:ind w:firstLineChars="200" w:firstLine="480"/>
        <w:rPr>
          <w:rFonts w:ascii="Times New Roman" w:eastAsia="宋体" w:hAnsi="Times New Roman" w:cs="Times New Roman"/>
          <w:color w:val="000000"/>
          <w:sz w:val="24"/>
          <w:szCs w:val="24"/>
        </w:rPr>
      </w:pPr>
    </w:p>
    <w:p w14:paraId="2BBE23F1" w14:textId="77777777" w:rsidR="00D12153" w:rsidRPr="00D12153" w:rsidRDefault="00D12153" w:rsidP="00D12153">
      <w:pPr>
        <w:rPr>
          <w:rFonts w:ascii="Times New Roman" w:eastAsia="宋体" w:hAnsi="Times New Roman" w:cs="Times New Roman"/>
          <w:szCs w:val="24"/>
        </w:rPr>
      </w:pPr>
    </w:p>
    <w:p w14:paraId="3875A39A" w14:textId="77777777" w:rsidR="00DD44D2" w:rsidRPr="003C75C2" w:rsidRDefault="00DD44D2" w:rsidP="00423AD2">
      <w:pPr>
        <w:rPr>
          <w:rFonts w:ascii="Calibri" w:eastAsia="宋体" w:hAnsi="Calibri" w:cs="Times New Roman"/>
          <w:bCs/>
        </w:rPr>
      </w:pPr>
    </w:p>
    <w:sectPr w:rsidR="00DD44D2" w:rsidRPr="003C75C2">
      <w:footerReference w:type="even" r:id="rId57"/>
      <w:footerReference w:type="default" r:id="rId58"/>
      <w:pgSz w:w="11907" w:h="16840"/>
      <w:pgMar w:top="1418" w:right="1418" w:bottom="1418" w:left="1418" w:header="851" w:footer="992" w:gutter="284"/>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0BE2EF" w14:textId="77777777" w:rsidR="00CF622A" w:rsidRDefault="00CF622A" w:rsidP="0031258B">
      <w:r>
        <w:separator/>
      </w:r>
    </w:p>
  </w:endnote>
  <w:endnote w:type="continuationSeparator" w:id="0">
    <w:p w14:paraId="2B091275" w14:textId="77777777" w:rsidR="00CF622A" w:rsidRDefault="00CF622A" w:rsidP="003125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Microsoft YaHei UI">
    <w:panose1 w:val="020B0503020204020204"/>
    <w:charset w:val="86"/>
    <w:family w:val="swiss"/>
    <w:pitch w:val="variable"/>
    <w:sig w:usb0="80000287" w:usb1="2ACF3C50" w:usb2="00000016" w:usb3="00000000" w:csb0="0004001F" w:csb1="00000000"/>
  </w:font>
  <w:font w:name="方正小标宋简体">
    <w:altName w:val="方正舒体"/>
    <w:panose1 w:val="00000600000000000000"/>
    <w:charset w:val="86"/>
    <w:family w:val="auto"/>
    <w:pitch w:val="variable"/>
    <w:sig w:usb0="800002BF" w:usb1="184F6CF8" w:usb2="00000012" w:usb3="00000000" w:csb0="00160001" w:csb1="00000000"/>
  </w:font>
  <w:font w:name="仿宋">
    <w:panose1 w:val="02010609060101010101"/>
    <w:charset w:val="86"/>
    <w:family w:val="modern"/>
    <w:pitch w:val="fixed"/>
    <w:sig w:usb0="800002BF" w:usb1="38CF7CFA" w:usb2="00000016" w:usb3="00000000" w:csb0="00040001" w:csb1="00000000"/>
  </w:font>
  <w:font w:name="楷体_GB2312">
    <w:altName w:val="微软雅黑"/>
    <w:panose1 w:val="02010609030101010101"/>
    <w:charset w:val="86"/>
    <w:family w:val="modern"/>
    <w:pitch w:val="fixed"/>
    <w:sig w:usb0="00000001" w:usb1="080E0000" w:usb2="00000010" w:usb3="00000000" w:csb0="00040000" w:csb1="00000000"/>
  </w:font>
  <w:font w:name="仿宋_GB2312">
    <w:altName w:val="微软雅黑"/>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WHBUGK+ËÎÌå">
    <w:altName w:val="微软雅黑"/>
    <w:charset w:val="01"/>
    <w:family w:val="auto"/>
    <w:pitch w:val="default"/>
    <w:sig w:usb0="00000000" w:usb1="00000000" w:usb2="00000006" w:usb3="00000000" w:csb0="00040001" w:csb1="00000000"/>
  </w:font>
  <w:font w:name="Symbol">
    <w:panose1 w:val="05050102010706020507"/>
    <w:charset w:val="02"/>
    <w:family w:val="roman"/>
    <w:pitch w:val="variable"/>
    <w:sig w:usb0="00000000" w:usb1="10000000" w:usb2="00000000" w:usb3="00000000" w:csb0="80000000" w:csb1="00000000"/>
  </w:font>
  <w:font w:name="A4">
    <w:altName w:val="Segoe Print"/>
    <w:charset w:val="00"/>
    <w:family w:val="auto"/>
    <w:pitch w:val="default"/>
    <w:sig w:usb0="00000000" w:usb1="00000000" w:usb2="00000000" w:usb3="00000000" w:csb0="00040001" w:csb1="00000000"/>
  </w:font>
  <w:font w:name="ˎ̥">
    <w:altName w:val="Times New Roman"/>
    <w:charset w:val="00"/>
    <w:family w:val="roman"/>
    <w:pitch w:val="default"/>
    <w:sig w:usb0="00000000" w:usb1="00000000" w:usb2="00000000" w:usb3="00000000" w:csb0="00040001" w:csb1="00000000"/>
  </w:font>
  <w:font w:name="楷体">
    <w:panose1 w:val="02010609060101010101"/>
    <w:charset w:val="86"/>
    <w:family w:val="modern"/>
    <w:pitch w:val="fixed"/>
    <w:sig w:usb0="800002BF" w:usb1="38CF7CFA" w:usb2="00000016" w:usb3="00000000" w:csb0="00040001" w:csb1="00000000"/>
  </w:font>
  <w:font w:name="新宋体">
    <w:panose1 w:val="02010609030101010101"/>
    <w:charset w:val="86"/>
    <w:family w:val="modern"/>
    <w:pitch w:val="fixed"/>
    <w:sig w:usb0="00000283" w:usb1="288F0000" w:usb2="00000016" w:usb3="00000000" w:csb0="00040001"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rPr>
      <w:id w:val="-1589220663"/>
      <w:docPartObj>
        <w:docPartGallery w:val="Page Numbers (Bottom of Page)"/>
        <w:docPartUnique/>
      </w:docPartObj>
    </w:sdtPr>
    <w:sdtContent>
      <w:p w14:paraId="10BC6EB5" w14:textId="77777777" w:rsidR="00095B84" w:rsidRPr="00BB0688" w:rsidRDefault="00095B84" w:rsidP="00BB0688">
        <w:pPr>
          <w:pStyle w:val="a5"/>
          <w:jc w:val="center"/>
          <w:rPr>
            <w:rFonts w:ascii="Times New Roman" w:hAnsi="Times New Roman" w:cs="Times New Roman"/>
          </w:rPr>
        </w:pPr>
        <w:r w:rsidRPr="00BB0688">
          <w:rPr>
            <w:rFonts w:ascii="Times New Roman" w:hAnsi="Times New Roman" w:cs="Times New Roman"/>
          </w:rPr>
          <w:fldChar w:fldCharType="begin"/>
        </w:r>
        <w:r w:rsidRPr="00BB0688">
          <w:rPr>
            <w:rFonts w:ascii="Times New Roman" w:hAnsi="Times New Roman" w:cs="Times New Roman"/>
          </w:rPr>
          <w:instrText>PAGE   \* MERGEFORMAT</w:instrText>
        </w:r>
        <w:r w:rsidRPr="00BB0688">
          <w:rPr>
            <w:rFonts w:ascii="Times New Roman" w:hAnsi="Times New Roman" w:cs="Times New Roman"/>
          </w:rPr>
          <w:fldChar w:fldCharType="separate"/>
        </w:r>
        <w:r w:rsidRPr="00BB0688">
          <w:rPr>
            <w:rFonts w:ascii="Times New Roman" w:hAnsi="Times New Roman" w:cs="Times New Roman"/>
            <w:lang w:val="zh-CN"/>
          </w:rPr>
          <w:t>2</w:t>
        </w:r>
        <w:r w:rsidRPr="00BB0688">
          <w:rPr>
            <w:rFonts w:ascii="Times New Roman" w:hAnsi="Times New Roman" w:cs="Times New Roman"/>
          </w:rPr>
          <w:fldChar w:fldCharType="end"/>
        </w:r>
      </w:p>
    </w:sdtContent>
  </w:sdt>
  <w:p w14:paraId="27EFE03C" w14:textId="77777777" w:rsidR="00095B84" w:rsidRDefault="00095B84">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5524609"/>
      <w:docPartObj>
        <w:docPartGallery w:val="Page Numbers (Bottom of Page)"/>
        <w:docPartUnique/>
      </w:docPartObj>
    </w:sdtPr>
    <w:sdtContent>
      <w:p w14:paraId="412017A2" w14:textId="77777777" w:rsidR="00095B84" w:rsidRDefault="00095B84">
        <w:pPr>
          <w:pStyle w:val="a5"/>
          <w:jc w:val="center"/>
        </w:pPr>
      </w:p>
      <w:p w14:paraId="07377001" w14:textId="77777777" w:rsidR="00095B84" w:rsidRDefault="00095B84">
        <w:pPr>
          <w:pStyle w:val="a5"/>
          <w:jc w:val="center"/>
        </w:pPr>
        <w:r>
          <w:fldChar w:fldCharType="begin"/>
        </w:r>
        <w:r>
          <w:instrText>PAGE   \* MERGEFORMAT</w:instrText>
        </w:r>
        <w:r>
          <w:fldChar w:fldCharType="separate"/>
        </w:r>
        <w:r>
          <w:rPr>
            <w:lang w:val="zh-CN"/>
          </w:rPr>
          <w:t>2</w:t>
        </w:r>
        <w:r>
          <w:fldChar w:fldCharType="end"/>
        </w:r>
      </w:p>
    </w:sdtContent>
  </w:sdt>
  <w:p w14:paraId="74D09B25" w14:textId="77777777" w:rsidR="00095B84" w:rsidRDefault="00095B84">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470E81" w14:textId="77777777" w:rsidR="00095B84" w:rsidRDefault="00095B84">
    <w:pPr>
      <w:pStyle w:val="a5"/>
      <w:framePr w:wrap="around" w:vAnchor="text" w:hAnchor="margin" w:xAlign="center" w:y="1"/>
      <w:rPr>
        <w:rStyle w:val="af0"/>
      </w:rPr>
    </w:pPr>
    <w:r>
      <w:fldChar w:fldCharType="begin"/>
    </w:r>
    <w:r>
      <w:rPr>
        <w:rStyle w:val="af0"/>
      </w:rPr>
      <w:instrText xml:space="preserve">PAGE  </w:instrText>
    </w:r>
    <w:r>
      <w:fldChar w:fldCharType="separate"/>
    </w:r>
    <w:r>
      <w:rPr>
        <w:rStyle w:val="af0"/>
      </w:rPr>
      <w:t>2</w:t>
    </w:r>
    <w:r>
      <w:fldChar w:fldCharType="end"/>
    </w:r>
  </w:p>
  <w:p w14:paraId="34042383" w14:textId="77777777" w:rsidR="00095B84" w:rsidRDefault="00095B84">
    <w:pPr>
      <w:pStyle w:val="a5"/>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CC9CEF" w14:textId="77777777" w:rsidR="00095B84" w:rsidRDefault="00095B84">
    <w:pPr>
      <w:pStyle w:val="a5"/>
      <w:framePr w:wrap="around" w:vAnchor="text" w:hAnchor="margin" w:xAlign="center" w:y="1"/>
      <w:rPr>
        <w:rStyle w:val="af0"/>
      </w:rPr>
    </w:pPr>
    <w:r>
      <w:fldChar w:fldCharType="begin"/>
    </w:r>
    <w:r>
      <w:rPr>
        <w:rStyle w:val="af0"/>
      </w:rPr>
      <w:instrText xml:space="preserve">PAGE  </w:instrText>
    </w:r>
    <w:r>
      <w:fldChar w:fldCharType="end"/>
    </w:r>
  </w:p>
  <w:p w14:paraId="49AD65B9" w14:textId="77777777" w:rsidR="00095B84" w:rsidRDefault="00095B84">
    <w:pPr>
      <w:pStyle w:val="a5"/>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83E60" w14:textId="77777777" w:rsidR="00095B84" w:rsidRDefault="00095B84">
    <w:pPr>
      <w:pStyle w:val="a5"/>
      <w:framePr w:wrap="around" w:vAnchor="text" w:hAnchor="margin" w:xAlign="center" w:y="1"/>
      <w:rPr>
        <w:rStyle w:val="af0"/>
      </w:rPr>
    </w:pPr>
    <w:r>
      <w:fldChar w:fldCharType="begin"/>
    </w:r>
    <w:r>
      <w:rPr>
        <w:rStyle w:val="af0"/>
      </w:rPr>
      <w:instrText xml:space="preserve">PAGE  </w:instrText>
    </w:r>
    <w:r>
      <w:fldChar w:fldCharType="separate"/>
    </w:r>
    <w:r>
      <w:rPr>
        <w:rStyle w:val="af0"/>
      </w:rPr>
      <w:t>2</w:t>
    </w:r>
    <w:r>
      <w:fldChar w:fldCharType="end"/>
    </w:r>
  </w:p>
  <w:p w14:paraId="2F4DB5AE" w14:textId="77777777" w:rsidR="00095B84" w:rsidRDefault="00095B84">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56E584" w14:textId="77777777" w:rsidR="00CF622A" w:rsidRDefault="00CF622A" w:rsidP="0031258B">
      <w:r>
        <w:separator/>
      </w:r>
    </w:p>
  </w:footnote>
  <w:footnote w:type="continuationSeparator" w:id="0">
    <w:p w14:paraId="08A1652B" w14:textId="77777777" w:rsidR="00CF622A" w:rsidRDefault="00CF622A" w:rsidP="0031258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110860A"/>
    <w:multiLevelType w:val="singleLevel"/>
    <w:tmpl w:val="8110860A"/>
    <w:lvl w:ilvl="0">
      <w:start w:val="1"/>
      <w:numFmt w:val="decimal"/>
      <w:suff w:val="space"/>
      <w:lvlText w:val="%1."/>
      <w:lvlJc w:val="left"/>
    </w:lvl>
  </w:abstractNum>
  <w:abstractNum w:abstractNumId="1" w15:restartNumberingAfterBreak="0">
    <w:nsid w:val="821B5DB9"/>
    <w:multiLevelType w:val="singleLevel"/>
    <w:tmpl w:val="821B5DB9"/>
    <w:lvl w:ilvl="0">
      <w:start w:val="1"/>
      <w:numFmt w:val="decimal"/>
      <w:suff w:val="space"/>
      <w:lvlText w:val="%1."/>
      <w:lvlJc w:val="left"/>
    </w:lvl>
  </w:abstractNum>
  <w:abstractNum w:abstractNumId="2" w15:restartNumberingAfterBreak="0">
    <w:nsid w:val="821F1D64"/>
    <w:multiLevelType w:val="singleLevel"/>
    <w:tmpl w:val="821F1D64"/>
    <w:lvl w:ilvl="0">
      <w:start w:val="1"/>
      <w:numFmt w:val="decimal"/>
      <w:suff w:val="space"/>
      <w:lvlText w:val="%1."/>
      <w:lvlJc w:val="left"/>
    </w:lvl>
  </w:abstractNum>
  <w:abstractNum w:abstractNumId="3" w15:restartNumberingAfterBreak="0">
    <w:nsid w:val="8253C999"/>
    <w:multiLevelType w:val="singleLevel"/>
    <w:tmpl w:val="8253C999"/>
    <w:lvl w:ilvl="0">
      <w:start w:val="1"/>
      <w:numFmt w:val="decimal"/>
      <w:suff w:val="space"/>
      <w:lvlText w:val="%1."/>
      <w:lvlJc w:val="left"/>
    </w:lvl>
  </w:abstractNum>
  <w:abstractNum w:abstractNumId="4" w15:restartNumberingAfterBreak="0">
    <w:nsid w:val="82642895"/>
    <w:multiLevelType w:val="singleLevel"/>
    <w:tmpl w:val="82642895"/>
    <w:lvl w:ilvl="0">
      <w:start w:val="1"/>
      <w:numFmt w:val="decimal"/>
      <w:suff w:val="space"/>
      <w:lvlText w:val="%1."/>
      <w:lvlJc w:val="left"/>
    </w:lvl>
  </w:abstractNum>
  <w:abstractNum w:abstractNumId="5" w15:restartNumberingAfterBreak="0">
    <w:nsid w:val="8439B109"/>
    <w:multiLevelType w:val="singleLevel"/>
    <w:tmpl w:val="8439B109"/>
    <w:lvl w:ilvl="0">
      <w:start w:val="4"/>
      <w:numFmt w:val="chineseCounting"/>
      <w:suff w:val="nothing"/>
      <w:lvlText w:val="%1、"/>
      <w:lvlJc w:val="left"/>
      <w:rPr>
        <w:rFonts w:hint="eastAsia"/>
      </w:rPr>
    </w:lvl>
  </w:abstractNum>
  <w:abstractNum w:abstractNumId="6" w15:restartNumberingAfterBreak="0">
    <w:nsid w:val="8509BB91"/>
    <w:multiLevelType w:val="singleLevel"/>
    <w:tmpl w:val="99DC18DE"/>
    <w:lvl w:ilvl="0">
      <w:start w:val="1"/>
      <w:numFmt w:val="decimal"/>
      <w:suff w:val="space"/>
      <w:lvlText w:val="%1."/>
      <w:lvlJc w:val="left"/>
      <w:rPr>
        <w:b w:val="0"/>
      </w:rPr>
    </w:lvl>
  </w:abstractNum>
  <w:abstractNum w:abstractNumId="7" w15:restartNumberingAfterBreak="0">
    <w:nsid w:val="8C8A9BFD"/>
    <w:multiLevelType w:val="singleLevel"/>
    <w:tmpl w:val="8C8A9BFD"/>
    <w:lvl w:ilvl="0">
      <w:start w:val="12"/>
      <w:numFmt w:val="decimal"/>
      <w:suff w:val="space"/>
      <w:lvlText w:val="%1."/>
      <w:lvlJc w:val="left"/>
    </w:lvl>
  </w:abstractNum>
  <w:abstractNum w:abstractNumId="8" w15:restartNumberingAfterBreak="0">
    <w:nsid w:val="8CE41A0C"/>
    <w:multiLevelType w:val="singleLevel"/>
    <w:tmpl w:val="8CE41A0C"/>
    <w:lvl w:ilvl="0">
      <w:start w:val="1"/>
      <w:numFmt w:val="decimal"/>
      <w:suff w:val="space"/>
      <w:lvlText w:val="%1."/>
      <w:lvlJc w:val="left"/>
    </w:lvl>
  </w:abstractNum>
  <w:abstractNum w:abstractNumId="9" w15:restartNumberingAfterBreak="0">
    <w:nsid w:val="8DE21BBF"/>
    <w:multiLevelType w:val="singleLevel"/>
    <w:tmpl w:val="8DE21BBF"/>
    <w:lvl w:ilvl="0">
      <w:start w:val="1"/>
      <w:numFmt w:val="decimal"/>
      <w:lvlText w:val="%1."/>
      <w:lvlJc w:val="left"/>
      <w:pPr>
        <w:tabs>
          <w:tab w:val="left" w:pos="312"/>
        </w:tabs>
      </w:pPr>
    </w:lvl>
  </w:abstractNum>
  <w:abstractNum w:abstractNumId="10" w15:restartNumberingAfterBreak="0">
    <w:nsid w:val="8F4FB545"/>
    <w:multiLevelType w:val="singleLevel"/>
    <w:tmpl w:val="8F4FB545"/>
    <w:lvl w:ilvl="0">
      <w:start w:val="1"/>
      <w:numFmt w:val="decimal"/>
      <w:lvlText w:val="%1."/>
      <w:lvlJc w:val="left"/>
      <w:pPr>
        <w:tabs>
          <w:tab w:val="left" w:pos="312"/>
        </w:tabs>
      </w:pPr>
    </w:lvl>
  </w:abstractNum>
  <w:abstractNum w:abstractNumId="11" w15:restartNumberingAfterBreak="0">
    <w:nsid w:val="8FF6E71D"/>
    <w:multiLevelType w:val="singleLevel"/>
    <w:tmpl w:val="8FF6E71D"/>
    <w:lvl w:ilvl="0">
      <w:start w:val="1"/>
      <w:numFmt w:val="chineseCounting"/>
      <w:suff w:val="nothing"/>
      <w:lvlText w:val="（%1）"/>
      <w:lvlJc w:val="left"/>
      <w:pPr>
        <w:ind w:left="560" w:firstLine="0"/>
      </w:pPr>
      <w:rPr>
        <w:rFonts w:hint="eastAsia"/>
      </w:rPr>
    </w:lvl>
  </w:abstractNum>
  <w:abstractNum w:abstractNumId="12" w15:restartNumberingAfterBreak="0">
    <w:nsid w:val="9058611E"/>
    <w:multiLevelType w:val="singleLevel"/>
    <w:tmpl w:val="9058611E"/>
    <w:lvl w:ilvl="0">
      <w:start w:val="1"/>
      <w:numFmt w:val="decimal"/>
      <w:suff w:val="space"/>
      <w:lvlText w:val="%1."/>
      <w:lvlJc w:val="left"/>
    </w:lvl>
  </w:abstractNum>
  <w:abstractNum w:abstractNumId="13" w15:restartNumberingAfterBreak="0">
    <w:nsid w:val="911CAB0B"/>
    <w:multiLevelType w:val="singleLevel"/>
    <w:tmpl w:val="911CAB0B"/>
    <w:lvl w:ilvl="0">
      <w:start w:val="1"/>
      <w:numFmt w:val="decimal"/>
      <w:suff w:val="space"/>
      <w:lvlText w:val="%1."/>
      <w:lvlJc w:val="left"/>
    </w:lvl>
  </w:abstractNum>
  <w:abstractNum w:abstractNumId="14" w15:restartNumberingAfterBreak="0">
    <w:nsid w:val="9168AE90"/>
    <w:multiLevelType w:val="singleLevel"/>
    <w:tmpl w:val="9168AE90"/>
    <w:lvl w:ilvl="0">
      <w:start w:val="1"/>
      <w:numFmt w:val="decimal"/>
      <w:suff w:val="space"/>
      <w:lvlText w:val="%1."/>
      <w:lvlJc w:val="left"/>
    </w:lvl>
  </w:abstractNum>
  <w:abstractNum w:abstractNumId="15" w15:restartNumberingAfterBreak="0">
    <w:nsid w:val="9328DB61"/>
    <w:multiLevelType w:val="singleLevel"/>
    <w:tmpl w:val="9328DB61"/>
    <w:lvl w:ilvl="0">
      <w:start w:val="1"/>
      <w:numFmt w:val="decimal"/>
      <w:lvlText w:val="%1."/>
      <w:lvlJc w:val="left"/>
      <w:pPr>
        <w:tabs>
          <w:tab w:val="left" w:pos="312"/>
        </w:tabs>
      </w:pPr>
    </w:lvl>
  </w:abstractNum>
  <w:abstractNum w:abstractNumId="16" w15:restartNumberingAfterBreak="0">
    <w:nsid w:val="93B0B7EC"/>
    <w:multiLevelType w:val="singleLevel"/>
    <w:tmpl w:val="93B0B7EC"/>
    <w:lvl w:ilvl="0">
      <w:start w:val="1"/>
      <w:numFmt w:val="decimal"/>
      <w:lvlText w:val="%1."/>
      <w:lvlJc w:val="left"/>
      <w:pPr>
        <w:tabs>
          <w:tab w:val="left" w:pos="312"/>
        </w:tabs>
        <w:ind w:left="480" w:firstLine="0"/>
      </w:pPr>
    </w:lvl>
  </w:abstractNum>
  <w:abstractNum w:abstractNumId="17" w15:restartNumberingAfterBreak="0">
    <w:nsid w:val="942C3E42"/>
    <w:multiLevelType w:val="singleLevel"/>
    <w:tmpl w:val="942C3E42"/>
    <w:lvl w:ilvl="0">
      <w:start w:val="1"/>
      <w:numFmt w:val="decimal"/>
      <w:suff w:val="space"/>
      <w:lvlText w:val="%1."/>
      <w:lvlJc w:val="left"/>
    </w:lvl>
  </w:abstractNum>
  <w:abstractNum w:abstractNumId="18" w15:restartNumberingAfterBreak="0">
    <w:nsid w:val="9778144A"/>
    <w:multiLevelType w:val="singleLevel"/>
    <w:tmpl w:val="9778144A"/>
    <w:lvl w:ilvl="0">
      <w:start w:val="1"/>
      <w:numFmt w:val="decimal"/>
      <w:suff w:val="space"/>
      <w:lvlText w:val="%1."/>
      <w:lvlJc w:val="left"/>
    </w:lvl>
  </w:abstractNum>
  <w:abstractNum w:abstractNumId="19" w15:restartNumberingAfterBreak="0">
    <w:nsid w:val="98331565"/>
    <w:multiLevelType w:val="singleLevel"/>
    <w:tmpl w:val="98331565"/>
    <w:lvl w:ilvl="0">
      <w:start w:val="1"/>
      <w:numFmt w:val="decimal"/>
      <w:suff w:val="space"/>
      <w:lvlText w:val="%1."/>
      <w:lvlJc w:val="left"/>
    </w:lvl>
  </w:abstractNum>
  <w:abstractNum w:abstractNumId="20" w15:restartNumberingAfterBreak="0">
    <w:nsid w:val="98540C8F"/>
    <w:multiLevelType w:val="singleLevel"/>
    <w:tmpl w:val="98540C8F"/>
    <w:lvl w:ilvl="0">
      <w:start w:val="1"/>
      <w:numFmt w:val="decimal"/>
      <w:suff w:val="space"/>
      <w:lvlText w:val="%1."/>
      <w:lvlJc w:val="left"/>
    </w:lvl>
  </w:abstractNum>
  <w:abstractNum w:abstractNumId="21" w15:restartNumberingAfterBreak="0">
    <w:nsid w:val="98F7BD41"/>
    <w:multiLevelType w:val="singleLevel"/>
    <w:tmpl w:val="98F7BD41"/>
    <w:lvl w:ilvl="0">
      <w:start w:val="1"/>
      <w:numFmt w:val="decimal"/>
      <w:suff w:val="space"/>
      <w:lvlText w:val="%1."/>
      <w:lvlJc w:val="left"/>
    </w:lvl>
  </w:abstractNum>
  <w:abstractNum w:abstractNumId="22" w15:restartNumberingAfterBreak="0">
    <w:nsid w:val="9AB216B7"/>
    <w:multiLevelType w:val="singleLevel"/>
    <w:tmpl w:val="9AB216B7"/>
    <w:lvl w:ilvl="0">
      <w:start w:val="1"/>
      <w:numFmt w:val="chineseCounting"/>
      <w:suff w:val="nothing"/>
      <w:lvlText w:val="%1、"/>
      <w:lvlJc w:val="left"/>
      <w:rPr>
        <w:rFonts w:hint="eastAsia"/>
      </w:rPr>
    </w:lvl>
  </w:abstractNum>
  <w:abstractNum w:abstractNumId="23" w15:restartNumberingAfterBreak="0">
    <w:nsid w:val="9D0A39BF"/>
    <w:multiLevelType w:val="singleLevel"/>
    <w:tmpl w:val="9D0A39BF"/>
    <w:lvl w:ilvl="0">
      <w:start w:val="1"/>
      <w:numFmt w:val="decimal"/>
      <w:suff w:val="space"/>
      <w:lvlText w:val="%1."/>
      <w:lvlJc w:val="left"/>
    </w:lvl>
  </w:abstractNum>
  <w:abstractNum w:abstractNumId="24" w15:restartNumberingAfterBreak="0">
    <w:nsid w:val="9E87C192"/>
    <w:multiLevelType w:val="singleLevel"/>
    <w:tmpl w:val="9E87C192"/>
    <w:lvl w:ilvl="0">
      <w:start w:val="1"/>
      <w:numFmt w:val="decimal"/>
      <w:suff w:val="space"/>
      <w:lvlText w:val="%1."/>
      <w:lvlJc w:val="left"/>
    </w:lvl>
  </w:abstractNum>
  <w:abstractNum w:abstractNumId="25" w15:restartNumberingAfterBreak="0">
    <w:nsid w:val="9FFAF4F8"/>
    <w:multiLevelType w:val="singleLevel"/>
    <w:tmpl w:val="9FFAF4F8"/>
    <w:lvl w:ilvl="0">
      <w:start w:val="1"/>
      <w:numFmt w:val="decimal"/>
      <w:suff w:val="space"/>
      <w:lvlText w:val="%1."/>
      <w:lvlJc w:val="left"/>
    </w:lvl>
  </w:abstractNum>
  <w:abstractNum w:abstractNumId="26" w15:restartNumberingAfterBreak="0">
    <w:nsid w:val="A081079D"/>
    <w:multiLevelType w:val="singleLevel"/>
    <w:tmpl w:val="A081079D"/>
    <w:lvl w:ilvl="0">
      <w:start w:val="1"/>
      <w:numFmt w:val="decimal"/>
      <w:suff w:val="space"/>
      <w:lvlText w:val="%1."/>
      <w:lvlJc w:val="left"/>
    </w:lvl>
  </w:abstractNum>
  <w:abstractNum w:abstractNumId="27" w15:restartNumberingAfterBreak="0">
    <w:nsid w:val="A304A592"/>
    <w:multiLevelType w:val="singleLevel"/>
    <w:tmpl w:val="A304A592"/>
    <w:lvl w:ilvl="0">
      <w:start w:val="1"/>
      <w:numFmt w:val="decimal"/>
      <w:suff w:val="nothing"/>
      <w:lvlText w:val="%1、"/>
      <w:lvlJc w:val="left"/>
    </w:lvl>
  </w:abstractNum>
  <w:abstractNum w:abstractNumId="28" w15:restartNumberingAfterBreak="0">
    <w:nsid w:val="A4157F24"/>
    <w:multiLevelType w:val="singleLevel"/>
    <w:tmpl w:val="A4157F24"/>
    <w:lvl w:ilvl="0">
      <w:start w:val="1"/>
      <w:numFmt w:val="decimal"/>
      <w:suff w:val="space"/>
      <w:lvlText w:val="%1."/>
      <w:lvlJc w:val="left"/>
    </w:lvl>
  </w:abstractNum>
  <w:abstractNum w:abstractNumId="29" w15:restartNumberingAfterBreak="0">
    <w:nsid w:val="A5AE0115"/>
    <w:multiLevelType w:val="singleLevel"/>
    <w:tmpl w:val="A5AE0115"/>
    <w:lvl w:ilvl="0">
      <w:start w:val="1"/>
      <w:numFmt w:val="decimal"/>
      <w:suff w:val="space"/>
      <w:lvlText w:val="%1."/>
      <w:lvlJc w:val="left"/>
    </w:lvl>
  </w:abstractNum>
  <w:abstractNum w:abstractNumId="30" w15:restartNumberingAfterBreak="0">
    <w:nsid w:val="A68993B2"/>
    <w:multiLevelType w:val="singleLevel"/>
    <w:tmpl w:val="A68993B2"/>
    <w:lvl w:ilvl="0">
      <w:start w:val="1"/>
      <w:numFmt w:val="decimal"/>
      <w:suff w:val="space"/>
      <w:lvlText w:val="%1."/>
      <w:lvlJc w:val="left"/>
    </w:lvl>
  </w:abstractNum>
  <w:abstractNum w:abstractNumId="31" w15:restartNumberingAfterBreak="0">
    <w:nsid w:val="A6C44511"/>
    <w:multiLevelType w:val="singleLevel"/>
    <w:tmpl w:val="A6C44511"/>
    <w:lvl w:ilvl="0">
      <w:start w:val="3"/>
      <w:numFmt w:val="chineseCounting"/>
      <w:suff w:val="nothing"/>
      <w:lvlText w:val="（%1）"/>
      <w:lvlJc w:val="left"/>
      <w:rPr>
        <w:rFonts w:hint="eastAsia"/>
      </w:rPr>
    </w:lvl>
  </w:abstractNum>
  <w:abstractNum w:abstractNumId="32" w15:restartNumberingAfterBreak="0">
    <w:nsid w:val="A784D12E"/>
    <w:multiLevelType w:val="singleLevel"/>
    <w:tmpl w:val="A784D12E"/>
    <w:lvl w:ilvl="0">
      <w:start w:val="1"/>
      <w:numFmt w:val="decimal"/>
      <w:suff w:val="space"/>
      <w:lvlText w:val="%1."/>
      <w:lvlJc w:val="left"/>
    </w:lvl>
  </w:abstractNum>
  <w:abstractNum w:abstractNumId="33" w15:restartNumberingAfterBreak="0">
    <w:nsid w:val="A7B9FF45"/>
    <w:multiLevelType w:val="singleLevel"/>
    <w:tmpl w:val="A7B9FF45"/>
    <w:lvl w:ilvl="0">
      <w:start w:val="1"/>
      <w:numFmt w:val="decimal"/>
      <w:suff w:val="space"/>
      <w:lvlText w:val="%1."/>
      <w:lvlJc w:val="left"/>
    </w:lvl>
  </w:abstractNum>
  <w:abstractNum w:abstractNumId="34" w15:restartNumberingAfterBreak="0">
    <w:nsid w:val="A7C9CBFE"/>
    <w:multiLevelType w:val="singleLevel"/>
    <w:tmpl w:val="A7C9CBFE"/>
    <w:lvl w:ilvl="0">
      <w:start w:val="1"/>
      <w:numFmt w:val="decimal"/>
      <w:suff w:val="space"/>
      <w:lvlText w:val="%1."/>
      <w:lvlJc w:val="left"/>
    </w:lvl>
  </w:abstractNum>
  <w:abstractNum w:abstractNumId="35" w15:restartNumberingAfterBreak="0">
    <w:nsid w:val="A9762B3A"/>
    <w:multiLevelType w:val="singleLevel"/>
    <w:tmpl w:val="A9762B3A"/>
    <w:lvl w:ilvl="0">
      <w:start w:val="1"/>
      <w:numFmt w:val="decimal"/>
      <w:suff w:val="space"/>
      <w:lvlText w:val="%1."/>
      <w:lvlJc w:val="left"/>
    </w:lvl>
  </w:abstractNum>
  <w:abstractNum w:abstractNumId="36" w15:restartNumberingAfterBreak="0">
    <w:nsid w:val="AAEC1355"/>
    <w:multiLevelType w:val="singleLevel"/>
    <w:tmpl w:val="AAEC1355"/>
    <w:lvl w:ilvl="0">
      <w:start w:val="1"/>
      <w:numFmt w:val="decimal"/>
      <w:suff w:val="space"/>
      <w:lvlText w:val="%1."/>
      <w:lvlJc w:val="left"/>
    </w:lvl>
  </w:abstractNum>
  <w:abstractNum w:abstractNumId="37" w15:restartNumberingAfterBreak="0">
    <w:nsid w:val="AB3406C0"/>
    <w:multiLevelType w:val="singleLevel"/>
    <w:tmpl w:val="AB3406C0"/>
    <w:lvl w:ilvl="0">
      <w:start w:val="1"/>
      <w:numFmt w:val="decimal"/>
      <w:suff w:val="space"/>
      <w:lvlText w:val="%1."/>
      <w:lvlJc w:val="left"/>
    </w:lvl>
  </w:abstractNum>
  <w:abstractNum w:abstractNumId="38" w15:restartNumberingAfterBreak="0">
    <w:nsid w:val="AC344312"/>
    <w:multiLevelType w:val="singleLevel"/>
    <w:tmpl w:val="AC344312"/>
    <w:lvl w:ilvl="0">
      <w:start w:val="1"/>
      <w:numFmt w:val="decimal"/>
      <w:suff w:val="space"/>
      <w:lvlText w:val="%1."/>
      <w:lvlJc w:val="left"/>
    </w:lvl>
  </w:abstractNum>
  <w:abstractNum w:abstractNumId="39" w15:restartNumberingAfterBreak="0">
    <w:nsid w:val="AC63C1FC"/>
    <w:multiLevelType w:val="singleLevel"/>
    <w:tmpl w:val="AC63C1FC"/>
    <w:lvl w:ilvl="0">
      <w:start w:val="1"/>
      <w:numFmt w:val="decimal"/>
      <w:suff w:val="space"/>
      <w:lvlText w:val="%1."/>
      <w:lvlJc w:val="left"/>
    </w:lvl>
  </w:abstractNum>
  <w:abstractNum w:abstractNumId="40" w15:restartNumberingAfterBreak="0">
    <w:nsid w:val="AE72C533"/>
    <w:multiLevelType w:val="singleLevel"/>
    <w:tmpl w:val="AE72C533"/>
    <w:lvl w:ilvl="0">
      <w:start w:val="1"/>
      <w:numFmt w:val="decimal"/>
      <w:suff w:val="space"/>
      <w:lvlText w:val="%1."/>
      <w:lvlJc w:val="left"/>
    </w:lvl>
  </w:abstractNum>
  <w:abstractNum w:abstractNumId="41" w15:restartNumberingAfterBreak="0">
    <w:nsid w:val="AF52D708"/>
    <w:multiLevelType w:val="singleLevel"/>
    <w:tmpl w:val="AF52D708"/>
    <w:lvl w:ilvl="0">
      <w:start w:val="1"/>
      <w:numFmt w:val="decimal"/>
      <w:suff w:val="space"/>
      <w:lvlText w:val="%1."/>
      <w:lvlJc w:val="left"/>
    </w:lvl>
  </w:abstractNum>
  <w:abstractNum w:abstractNumId="42" w15:restartNumberingAfterBreak="0">
    <w:nsid w:val="AFF8A7D8"/>
    <w:multiLevelType w:val="singleLevel"/>
    <w:tmpl w:val="AFF8A7D8"/>
    <w:lvl w:ilvl="0">
      <w:start w:val="1"/>
      <w:numFmt w:val="decimal"/>
      <w:suff w:val="space"/>
      <w:lvlText w:val="%1."/>
      <w:lvlJc w:val="left"/>
    </w:lvl>
  </w:abstractNum>
  <w:abstractNum w:abstractNumId="43" w15:restartNumberingAfterBreak="0">
    <w:nsid w:val="B0FE2F6D"/>
    <w:multiLevelType w:val="singleLevel"/>
    <w:tmpl w:val="B0FE2F6D"/>
    <w:lvl w:ilvl="0">
      <w:start w:val="1"/>
      <w:numFmt w:val="decimal"/>
      <w:suff w:val="space"/>
      <w:lvlText w:val="%1."/>
      <w:lvlJc w:val="left"/>
    </w:lvl>
  </w:abstractNum>
  <w:abstractNum w:abstractNumId="44" w15:restartNumberingAfterBreak="0">
    <w:nsid w:val="B15ADC22"/>
    <w:multiLevelType w:val="singleLevel"/>
    <w:tmpl w:val="B15ADC22"/>
    <w:lvl w:ilvl="0">
      <w:start w:val="1"/>
      <w:numFmt w:val="decimal"/>
      <w:suff w:val="space"/>
      <w:lvlText w:val="%1."/>
      <w:lvlJc w:val="left"/>
    </w:lvl>
  </w:abstractNum>
  <w:abstractNum w:abstractNumId="45" w15:restartNumberingAfterBreak="0">
    <w:nsid w:val="B1A75E42"/>
    <w:multiLevelType w:val="singleLevel"/>
    <w:tmpl w:val="B1A75E42"/>
    <w:lvl w:ilvl="0">
      <w:start w:val="1"/>
      <w:numFmt w:val="decimal"/>
      <w:suff w:val="space"/>
      <w:lvlText w:val="%1."/>
      <w:lvlJc w:val="left"/>
    </w:lvl>
  </w:abstractNum>
  <w:abstractNum w:abstractNumId="46" w15:restartNumberingAfterBreak="0">
    <w:nsid w:val="B1EB9D87"/>
    <w:multiLevelType w:val="singleLevel"/>
    <w:tmpl w:val="B1EB9D87"/>
    <w:lvl w:ilvl="0">
      <w:start w:val="1"/>
      <w:numFmt w:val="decimal"/>
      <w:suff w:val="space"/>
      <w:lvlText w:val="%1."/>
      <w:lvlJc w:val="left"/>
    </w:lvl>
  </w:abstractNum>
  <w:abstractNum w:abstractNumId="47" w15:restartNumberingAfterBreak="0">
    <w:nsid w:val="B232403D"/>
    <w:multiLevelType w:val="singleLevel"/>
    <w:tmpl w:val="B232403D"/>
    <w:lvl w:ilvl="0">
      <w:start w:val="1"/>
      <w:numFmt w:val="decimal"/>
      <w:suff w:val="space"/>
      <w:lvlText w:val="%1."/>
      <w:lvlJc w:val="left"/>
    </w:lvl>
  </w:abstractNum>
  <w:abstractNum w:abstractNumId="48" w15:restartNumberingAfterBreak="0">
    <w:nsid w:val="B34F2B21"/>
    <w:multiLevelType w:val="singleLevel"/>
    <w:tmpl w:val="B34F2B21"/>
    <w:lvl w:ilvl="0">
      <w:start w:val="1"/>
      <w:numFmt w:val="decimal"/>
      <w:suff w:val="space"/>
      <w:lvlText w:val="%1."/>
      <w:lvlJc w:val="left"/>
    </w:lvl>
  </w:abstractNum>
  <w:abstractNum w:abstractNumId="49" w15:restartNumberingAfterBreak="0">
    <w:nsid w:val="B3D79FC0"/>
    <w:multiLevelType w:val="singleLevel"/>
    <w:tmpl w:val="B3D79FC0"/>
    <w:lvl w:ilvl="0">
      <w:start w:val="1"/>
      <w:numFmt w:val="decimal"/>
      <w:suff w:val="space"/>
      <w:lvlText w:val="%1."/>
      <w:lvlJc w:val="left"/>
    </w:lvl>
  </w:abstractNum>
  <w:abstractNum w:abstractNumId="50" w15:restartNumberingAfterBreak="0">
    <w:nsid w:val="B49ED774"/>
    <w:multiLevelType w:val="singleLevel"/>
    <w:tmpl w:val="B49ED774"/>
    <w:lvl w:ilvl="0">
      <w:start w:val="1"/>
      <w:numFmt w:val="decimal"/>
      <w:suff w:val="space"/>
      <w:lvlText w:val="%1."/>
      <w:lvlJc w:val="left"/>
    </w:lvl>
  </w:abstractNum>
  <w:abstractNum w:abstractNumId="51" w15:restartNumberingAfterBreak="0">
    <w:nsid w:val="B4E61DB6"/>
    <w:multiLevelType w:val="singleLevel"/>
    <w:tmpl w:val="B4E61DB6"/>
    <w:lvl w:ilvl="0">
      <w:start w:val="1"/>
      <w:numFmt w:val="decimal"/>
      <w:suff w:val="space"/>
      <w:lvlText w:val="%1."/>
      <w:lvlJc w:val="left"/>
    </w:lvl>
  </w:abstractNum>
  <w:abstractNum w:abstractNumId="52" w15:restartNumberingAfterBreak="0">
    <w:nsid w:val="B589A20D"/>
    <w:multiLevelType w:val="singleLevel"/>
    <w:tmpl w:val="B589A20D"/>
    <w:lvl w:ilvl="0">
      <w:start w:val="1"/>
      <w:numFmt w:val="decimal"/>
      <w:suff w:val="space"/>
      <w:lvlText w:val="%1."/>
      <w:lvlJc w:val="left"/>
    </w:lvl>
  </w:abstractNum>
  <w:abstractNum w:abstractNumId="53" w15:restartNumberingAfterBreak="0">
    <w:nsid w:val="B6265AB9"/>
    <w:multiLevelType w:val="singleLevel"/>
    <w:tmpl w:val="B6265AB9"/>
    <w:lvl w:ilvl="0">
      <w:start w:val="1"/>
      <w:numFmt w:val="decimal"/>
      <w:suff w:val="space"/>
      <w:lvlText w:val="%1."/>
      <w:lvlJc w:val="left"/>
    </w:lvl>
  </w:abstractNum>
  <w:abstractNum w:abstractNumId="54" w15:restartNumberingAfterBreak="0">
    <w:nsid w:val="B7978231"/>
    <w:multiLevelType w:val="singleLevel"/>
    <w:tmpl w:val="B7978231"/>
    <w:lvl w:ilvl="0">
      <w:start w:val="1"/>
      <w:numFmt w:val="decimal"/>
      <w:suff w:val="space"/>
      <w:lvlText w:val="%1."/>
      <w:lvlJc w:val="left"/>
    </w:lvl>
  </w:abstractNum>
  <w:abstractNum w:abstractNumId="55" w15:restartNumberingAfterBreak="0">
    <w:nsid w:val="BB1833E1"/>
    <w:multiLevelType w:val="singleLevel"/>
    <w:tmpl w:val="BB1833E1"/>
    <w:lvl w:ilvl="0">
      <w:start w:val="1"/>
      <w:numFmt w:val="decimal"/>
      <w:suff w:val="space"/>
      <w:lvlText w:val="%1."/>
      <w:lvlJc w:val="left"/>
    </w:lvl>
  </w:abstractNum>
  <w:abstractNum w:abstractNumId="56" w15:restartNumberingAfterBreak="0">
    <w:nsid w:val="C349F3A4"/>
    <w:multiLevelType w:val="singleLevel"/>
    <w:tmpl w:val="C349F3A4"/>
    <w:lvl w:ilvl="0">
      <w:start w:val="1"/>
      <w:numFmt w:val="decimal"/>
      <w:suff w:val="space"/>
      <w:lvlText w:val="%1."/>
      <w:lvlJc w:val="left"/>
    </w:lvl>
  </w:abstractNum>
  <w:abstractNum w:abstractNumId="57" w15:restartNumberingAfterBreak="0">
    <w:nsid w:val="C3C8498A"/>
    <w:multiLevelType w:val="singleLevel"/>
    <w:tmpl w:val="C3C8498A"/>
    <w:lvl w:ilvl="0">
      <w:start w:val="1"/>
      <w:numFmt w:val="decimal"/>
      <w:suff w:val="space"/>
      <w:lvlText w:val="%1."/>
      <w:lvlJc w:val="left"/>
    </w:lvl>
  </w:abstractNum>
  <w:abstractNum w:abstractNumId="58" w15:restartNumberingAfterBreak="0">
    <w:nsid w:val="C4263A04"/>
    <w:multiLevelType w:val="singleLevel"/>
    <w:tmpl w:val="C4263A04"/>
    <w:lvl w:ilvl="0">
      <w:start w:val="1"/>
      <w:numFmt w:val="decimal"/>
      <w:suff w:val="space"/>
      <w:lvlText w:val="%1."/>
      <w:lvlJc w:val="left"/>
    </w:lvl>
  </w:abstractNum>
  <w:abstractNum w:abstractNumId="59" w15:restartNumberingAfterBreak="0">
    <w:nsid w:val="C44C7B61"/>
    <w:multiLevelType w:val="singleLevel"/>
    <w:tmpl w:val="C44C7B61"/>
    <w:lvl w:ilvl="0">
      <w:start w:val="1"/>
      <w:numFmt w:val="decimal"/>
      <w:suff w:val="space"/>
      <w:lvlText w:val="%1."/>
      <w:lvlJc w:val="left"/>
    </w:lvl>
  </w:abstractNum>
  <w:abstractNum w:abstractNumId="60" w15:restartNumberingAfterBreak="0">
    <w:nsid w:val="C4767C14"/>
    <w:multiLevelType w:val="singleLevel"/>
    <w:tmpl w:val="C4767C14"/>
    <w:lvl w:ilvl="0">
      <w:start w:val="1"/>
      <w:numFmt w:val="decimal"/>
      <w:suff w:val="space"/>
      <w:lvlText w:val="%1."/>
      <w:lvlJc w:val="left"/>
    </w:lvl>
  </w:abstractNum>
  <w:abstractNum w:abstractNumId="61" w15:restartNumberingAfterBreak="0">
    <w:nsid w:val="C4D4D228"/>
    <w:multiLevelType w:val="singleLevel"/>
    <w:tmpl w:val="C4D4D228"/>
    <w:lvl w:ilvl="0">
      <w:start w:val="1"/>
      <w:numFmt w:val="decimal"/>
      <w:suff w:val="space"/>
      <w:lvlText w:val="%1."/>
      <w:lvlJc w:val="left"/>
    </w:lvl>
  </w:abstractNum>
  <w:abstractNum w:abstractNumId="62" w15:restartNumberingAfterBreak="0">
    <w:nsid w:val="C52B0B8D"/>
    <w:multiLevelType w:val="singleLevel"/>
    <w:tmpl w:val="C52B0B8D"/>
    <w:lvl w:ilvl="0">
      <w:start w:val="1"/>
      <w:numFmt w:val="decimal"/>
      <w:suff w:val="space"/>
      <w:lvlText w:val="%1."/>
      <w:lvlJc w:val="left"/>
    </w:lvl>
  </w:abstractNum>
  <w:abstractNum w:abstractNumId="63" w15:restartNumberingAfterBreak="0">
    <w:nsid w:val="CA7DE71D"/>
    <w:multiLevelType w:val="singleLevel"/>
    <w:tmpl w:val="CA7DE71D"/>
    <w:lvl w:ilvl="0">
      <w:start w:val="1"/>
      <w:numFmt w:val="decimal"/>
      <w:suff w:val="space"/>
      <w:lvlText w:val="%1."/>
      <w:lvlJc w:val="left"/>
    </w:lvl>
  </w:abstractNum>
  <w:abstractNum w:abstractNumId="64" w15:restartNumberingAfterBreak="0">
    <w:nsid w:val="CB61853C"/>
    <w:multiLevelType w:val="singleLevel"/>
    <w:tmpl w:val="CB61853C"/>
    <w:lvl w:ilvl="0">
      <w:start w:val="1"/>
      <w:numFmt w:val="decimal"/>
      <w:suff w:val="space"/>
      <w:lvlText w:val="%1."/>
      <w:lvlJc w:val="left"/>
    </w:lvl>
  </w:abstractNum>
  <w:abstractNum w:abstractNumId="65" w15:restartNumberingAfterBreak="0">
    <w:nsid w:val="CBDFEDF1"/>
    <w:multiLevelType w:val="singleLevel"/>
    <w:tmpl w:val="CBDFEDF1"/>
    <w:lvl w:ilvl="0">
      <w:start w:val="1"/>
      <w:numFmt w:val="decimal"/>
      <w:suff w:val="space"/>
      <w:lvlText w:val="%1."/>
      <w:lvlJc w:val="left"/>
    </w:lvl>
  </w:abstractNum>
  <w:abstractNum w:abstractNumId="66" w15:restartNumberingAfterBreak="0">
    <w:nsid w:val="CCB54C2E"/>
    <w:multiLevelType w:val="singleLevel"/>
    <w:tmpl w:val="CCB54C2E"/>
    <w:lvl w:ilvl="0">
      <w:start w:val="1"/>
      <w:numFmt w:val="decimal"/>
      <w:suff w:val="space"/>
      <w:lvlText w:val="%1."/>
      <w:lvlJc w:val="left"/>
    </w:lvl>
  </w:abstractNum>
  <w:abstractNum w:abstractNumId="67" w15:restartNumberingAfterBreak="0">
    <w:nsid w:val="CCE346DF"/>
    <w:multiLevelType w:val="singleLevel"/>
    <w:tmpl w:val="CCE346DF"/>
    <w:lvl w:ilvl="0">
      <w:start w:val="1"/>
      <w:numFmt w:val="decimal"/>
      <w:suff w:val="space"/>
      <w:lvlText w:val="%1."/>
      <w:lvlJc w:val="left"/>
    </w:lvl>
  </w:abstractNum>
  <w:abstractNum w:abstractNumId="68" w15:restartNumberingAfterBreak="0">
    <w:nsid w:val="CD852E21"/>
    <w:multiLevelType w:val="singleLevel"/>
    <w:tmpl w:val="CD852E21"/>
    <w:lvl w:ilvl="0">
      <w:start w:val="1"/>
      <w:numFmt w:val="decimal"/>
      <w:suff w:val="space"/>
      <w:lvlText w:val="%1."/>
      <w:lvlJc w:val="left"/>
    </w:lvl>
  </w:abstractNum>
  <w:abstractNum w:abstractNumId="69" w15:restartNumberingAfterBreak="0">
    <w:nsid w:val="CE876362"/>
    <w:multiLevelType w:val="singleLevel"/>
    <w:tmpl w:val="CE876362"/>
    <w:lvl w:ilvl="0">
      <w:start w:val="1"/>
      <w:numFmt w:val="decimal"/>
      <w:suff w:val="space"/>
      <w:lvlText w:val="%1."/>
      <w:lvlJc w:val="left"/>
    </w:lvl>
  </w:abstractNum>
  <w:abstractNum w:abstractNumId="70" w15:restartNumberingAfterBreak="0">
    <w:nsid w:val="D5B9B183"/>
    <w:multiLevelType w:val="singleLevel"/>
    <w:tmpl w:val="D5B9B183"/>
    <w:lvl w:ilvl="0">
      <w:start w:val="1"/>
      <w:numFmt w:val="decimal"/>
      <w:suff w:val="space"/>
      <w:lvlText w:val="%1."/>
      <w:lvlJc w:val="left"/>
    </w:lvl>
  </w:abstractNum>
  <w:abstractNum w:abstractNumId="71" w15:restartNumberingAfterBreak="0">
    <w:nsid w:val="D91C6DA0"/>
    <w:multiLevelType w:val="singleLevel"/>
    <w:tmpl w:val="D91C6DA0"/>
    <w:lvl w:ilvl="0">
      <w:start w:val="1"/>
      <w:numFmt w:val="decimal"/>
      <w:suff w:val="space"/>
      <w:lvlText w:val="%1."/>
      <w:lvlJc w:val="left"/>
    </w:lvl>
  </w:abstractNum>
  <w:abstractNum w:abstractNumId="72" w15:restartNumberingAfterBreak="0">
    <w:nsid w:val="DA1593DF"/>
    <w:multiLevelType w:val="multilevel"/>
    <w:tmpl w:val="DA1593DF"/>
    <w:lvl w:ilvl="0">
      <w:start w:val="1"/>
      <w:numFmt w:val="decimal"/>
      <w:suff w:val="space"/>
      <w:lvlText w:val="%1."/>
      <w:lvlJc w:val="left"/>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73" w15:restartNumberingAfterBreak="0">
    <w:nsid w:val="DACF06AE"/>
    <w:multiLevelType w:val="singleLevel"/>
    <w:tmpl w:val="DACF06AE"/>
    <w:lvl w:ilvl="0">
      <w:start w:val="1"/>
      <w:numFmt w:val="decimal"/>
      <w:suff w:val="space"/>
      <w:lvlText w:val="%1."/>
      <w:lvlJc w:val="left"/>
    </w:lvl>
  </w:abstractNum>
  <w:abstractNum w:abstractNumId="74" w15:restartNumberingAfterBreak="0">
    <w:nsid w:val="DB18EE70"/>
    <w:multiLevelType w:val="singleLevel"/>
    <w:tmpl w:val="DB18EE70"/>
    <w:lvl w:ilvl="0">
      <w:start w:val="1"/>
      <w:numFmt w:val="decimal"/>
      <w:suff w:val="space"/>
      <w:lvlText w:val="%1."/>
      <w:lvlJc w:val="left"/>
    </w:lvl>
  </w:abstractNum>
  <w:abstractNum w:abstractNumId="75" w15:restartNumberingAfterBreak="0">
    <w:nsid w:val="DC4BA0AD"/>
    <w:multiLevelType w:val="singleLevel"/>
    <w:tmpl w:val="DC4BA0AD"/>
    <w:lvl w:ilvl="0">
      <w:start w:val="1"/>
      <w:numFmt w:val="decimal"/>
      <w:suff w:val="space"/>
      <w:lvlText w:val="%1."/>
      <w:lvlJc w:val="left"/>
    </w:lvl>
  </w:abstractNum>
  <w:abstractNum w:abstractNumId="76" w15:restartNumberingAfterBreak="0">
    <w:nsid w:val="DD688C56"/>
    <w:multiLevelType w:val="singleLevel"/>
    <w:tmpl w:val="DD688C56"/>
    <w:lvl w:ilvl="0">
      <w:start w:val="1"/>
      <w:numFmt w:val="decimal"/>
      <w:suff w:val="space"/>
      <w:lvlText w:val="%1."/>
      <w:lvlJc w:val="left"/>
    </w:lvl>
  </w:abstractNum>
  <w:abstractNum w:abstractNumId="77" w15:restartNumberingAfterBreak="0">
    <w:nsid w:val="DE2A903D"/>
    <w:multiLevelType w:val="singleLevel"/>
    <w:tmpl w:val="DE2A903D"/>
    <w:lvl w:ilvl="0">
      <w:start w:val="1"/>
      <w:numFmt w:val="decimal"/>
      <w:suff w:val="space"/>
      <w:lvlText w:val="%1."/>
      <w:lvlJc w:val="left"/>
    </w:lvl>
  </w:abstractNum>
  <w:abstractNum w:abstractNumId="78" w15:restartNumberingAfterBreak="0">
    <w:nsid w:val="DF6E7B86"/>
    <w:multiLevelType w:val="singleLevel"/>
    <w:tmpl w:val="DF6E7B86"/>
    <w:lvl w:ilvl="0">
      <w:start w:val="1"/>
      <w:numFmt w:val="decimal"/>
      <w:suff w:val="space"/>
      <w:lvlText w:val="%1."/>
      <w:lvlJc w:val="left"/>
    </w:lvl>
  </w:abstractNum>
  <w:abstractNum w:abstractNumId="79" w15:restartNumberingAfterBreak="0">
    <w:nsid w:val="E0742033"/>
    <w:multiLevelType w:val="singleLevel"/>
    <w:tmpl w:val="E0742033"/>
    <w:lvl w:ilvl="0">
      <w:start w:val="1"/>
      <w:numFmt w:val="decimal"/>
      <w:suff w:val="space"/>
      <w:lvlText w:val="%1."/>
      <w:lvlJc w:val="left"/>
    </w:lvl>
  </w:abstractNum>
  <w:abstractNum w:abstractNumId="80" w15:restartNumberingAfterBreak="0">
    <w:nsid w:val="E0D4A9E1"/>
    <w:multiLevelType w:val="singleLevel"/>
    <w:tmpl w:val="E0D4A9E1"/>
    <w:lvl w:ilvl="0">
      <w:start w:val="1"/>
      <w:numFmt w:val="decimal"/>
      <w:suff w:val="space"/>
      <w:lvlText w:val="%1."/>
      <w:lvlJc w:val="left"/>
    </w:lvl>
  </w:abstractNum>
  <w:abstractNum w:abstractNumId="81" w15:restartNumberingAfterBreak="0">
    <w:nsid w:val="E1FA5380"/>
    <w:multiLevelType w:val="singleLevel"/>
    <w:tmpl w:val="E1FA5380"/>
    <w:lvl w:ilvl="0">
      <w:start w:val="1"/>
      <w:numFmt w:val="decimal"/>
      <w:suff w:val="space"/>
      <w:lvlText w:val="%1."/>
      <w:lvlJc w:val="left"/>
    </w:lvl>
  </w:abstractNum>
  <w:abstractNum w:abstractNumId="82" w15:restartNumberingAfterBreak="0">
    <w:nsid w:val="E458961F"/>
    <w:multiLevelType w:val="singleLevel"/>
    <w:tmpl w:val="E458961F"/>
    <w:lvl w:ilvl="0">
      <w:start w:val="1"/>
      <w:numFmt w:val="decimal"/>
      <w:suff w:val="space"/>
      <w:lvlText w:val="%1."/>
      <w:lvlJc w:val="left"/>
    </w:lvl>
  </w:abstractNum>
  <w:abstractNum w:abstractNumId="83" w15:restartNumberingAfterBreak="0">
    <w:nsid w:val="E6BEEF12"/>
    <w:multiLevelType w:val="singleLevel"/>
    <w:tmpl w:val="E6BEEF12"/>
    <w:lvl w:ilvl="0">
      <w:start w:val="1"/>
      <w:numFmt w:val="decimal"/>
      <w:suff w:val="space"/>
      <w:lvlText w:val="%1."/>
      <w:lvlJc w:val="left"/>
    </w:lvl>
  </w:abstractNum>
  <w:abstractNum w:abstractNumId="84" w15:restartNumberingAfterBreak="0">
    <w:nsid w:val="E6CBD512"/>
    <w:multiLevelType w:val="singleLevel"/>
    <w:tmpl w:val="E6CBD512"/>
    <w:lvl w:ilvl="0">
      <w:start w:val="2"/>
      <w:numFmt w:val="decimal"/>
      <w:suff w:val="space"/>
      <w:lvlText w:val="%1."/>
      <w:lvlJc w:val="left"/>
      <w:rPr>
        <w:rFonts w:ascii="Times New Roman" w:hAnsi="Times New Roman" w:cs="Times New Roman" w:hint="default"/>
      </w:rPr>
    </w:lvl>
  </w:abstractNum>
  <w:abstractNum w:abstractNumId="85" w15:restartNumberingAfterBreak="0">
    <w:nsid w:val="E7ABEF98"/>
    <w:multiLevelType w:val="singleLevel"/>
    <w:tmpl w:val="E7ABEF98"/>
    <w:lvl w:ilvl="0">
      <w:start w:val="1"/>
      <w:numFmt w:val="decimal"/>
      <w:suff w:val="space"/>
      <w:lvlText w:val="%1."/>
      <w:lvlJc w:val="left"/>
    </w:lvl>
  </w:abstractNum>
  <w:abstractNum w:abstractNumId="86" w15:restartNumberingAfterBreak="0">
    <w:nsid w:val="E8F246BD"/>
    <w:multiLevelType w:val="singleLevel"/>
    <w:tmpl w:val="E8F246BD"/>
    <w:lvl w:ilvl="0">
      <w:start w:val="1"/>
      <w:numFmt w:val="decimal"/>
      <w:suff w:val="space"/>
      <w:lvlText w:val="%1."/>
      <w:lvlJc w:val="left"/>
    </w:lvl>
  </w:abstractNum>
  <w:abstractNum w:abstractNumId="87" w15:restartNumberingAfterBreak="0">
    <w:nsid w:val="E922A8EA"/>
    <w:multiLevelType w:val="singleLevel"/>
    <w:tmpl w:val="E922A8EA"/>
    <w:lvl w:ilvl="0">
      <w:start w:val="1"/>
      <w:numFmt w:val="decimal"/>
      <w:suff w:val="space"/>
      <w:lvlText w:val="%1."/>
      <w:lvlJc w:val="left"/>
    </w:lvl>
  </w:abstractNum>
  <w:abstractNum w:abstractNumId="88" w15:restartNumberingAfterBreak="0">
    <w:nsid w:val="EA01732D"/>
    <w:multiLevelType w:val="singleLevel"/>
    <w:tmpl w:val="EA01732D"/>
    <w:lvl w:ilvl="0">
      <w:start w:val="2"/>
      <w:numFmt w:val="decimal"/>
      <w:suff w:val="space"/>
      <w:lvlText w:val="%1."/>
      <w:lvlJc w:val="left"/>
    </w:lvl>
  </w:abstractNum>
  <w:abstractNum w:abstractNumId="89" w15:restartNumberingAfterBreak="0">
    <w:nsid w:val="EA151A23"/>
    <w:multiLevelType w:val="singleLevel"/>
    <w:tmpl w:val="EA151A23"/>
    <w:lvl w:ilvl="0">
      <w:start w:val="1"/>
      <w:numFmt w:val="decimal"/>
      <w:suff w:val="space"/>
      <w:lvlText w:val="%1."/>
      <w:lvlJc w:val="left"/>
    </w:lvl>
  </w:abstractNum>
  <w:abstractNum w:abstractNumId="90" w15:restartNumberingAfterBreak="0">
    <w:nsid w:val="EADC02BF"/>
    <w:multiLevelType w:val="singleLevel"/>
    <w:tmpl w:val="EADC02BF"/>
    <w:lvl w:ilvl="0">
      <w:start w:val="1"/>
      <w:numFmt w:val="decimal"/>
      <w:suff w:val="space"/>
      <w:lvlText w:val="%1."/>
      <w:lvlJc w:val="left"/>
    </w:lvl>
  </w:abstractNum>
  <w:abstractNum w:abstractNumId="91" w15:restartNumberingAfterBreak="0">
    <w:nsid w:val="EAED6871"/>
    <w:multiLevelType w:val="singleLevel"/>
    <w:tmpl w:val="EAED6871"/>
    <w:lvl w:ilvl="0">
      <w:start w:val="1"/>
      <w:numFmt w:val="decimal"/>
      <w:suff w:val="space"/>
      <w:lvlText w:val="%1."/>
      <w:lvlJc w:val="left"/>
    </w:lvl>
  </w:abstractNum>
  <w:abstractNum w:abstractNumId="92" w15:restartNumberingAfterBreak="0">
    <w:nsid w:val="EC30CF37"/>
    <w:multiLevelType w:val="singleLevel"/>
    <w:tmpl w:val="EC30CF37"/>
    <w:lvl w:ilvl="0">
      <w:start w:val="1"/>
      <w:numFmt w:val="decimal"/>
      <w:suff w:val="space"/>
      <w:lvlText w:val="%1."/>
      <w:lvlJc w:val="left"/>
    </w:lvl>
  </w:abstractNum>
  <w:abstractNum w:abstractNumId="93" w15:restartNumberingAfterBreak="0">
    <w:nsid w:val="EF738277"/>
    <w:multiLevelType w:val="singleLevel"/>
    <w:tmpl w:val="EF738277"/>
    <w:lvl w:ilvl="0">
      <w:start w:val="1"/>
      <w:numFmt w:val="decimal"/>
      <w:suff w:val="space"/>
      <w:lvlText w:val="%1."/>
      <w:lvlJc w:val="left"/>
    </w:lvl>
  </w:abstractNum>
  <w:abstractNum w:abstractNumId="94" w15:restartNumberingAfterBreak="0">
    <w:nsid w:val="EF8903E4"/>
    <w:multiLevelType w:val="singleLevel"/>
    <w:tmpl w:val="EF8903E4"/>
    <w:lvl w:ilvl="0">
      <w:start w:val="1"/>
      <w:numFmt w:val="decimal"/>
      <w:suff w:val="space"/>
      <w:lvlText w:val="%1."/>
      <w:lvlJc w:val="left"/>
    </w:lvl>
  </w:abstractNum>
  <w:abstractNum w:abstractNumId="95" w15:restartNumberingAfterBreak="0">
    <w:nsid w:val="F539D91B"/>
    <w:multiLevelType w:val="singleLevel"/>
    <w:tmpl w:val="F539D91B"/>
    <w:lvl w:ilvl="0">
      <w:start w:val="1"/>
      <w:numFmt w:val="decimal"/>
      <w:lvlText w:val="%1."/>
      <w:lvlJc w:val="left"/>
      <w:pPr>
        <w:tabs>
          <w:tab w:val="left" w:pos="312"/>
        </w:tabs>
      </w:pPr>
    </w:lvl>
  </w:abstractNum>
  <w:abstractNum w:abstractNumId="96" w15:restartNumberingAfterBreak="0">
    <w:nsid w:val="F5D3A606"/>
    <w:multiLevelType w:val="singleLevel"/>
    <w:tmpl w:val="F5D3A606"/>
    <w:lvl w:ilvl="0">
      <w:start w:val="1"/>
      <w:numFmt w:val="decimal"/>
      <w:lvlText w:val="%1."/>
      <w:lvlJc w:val="left"/>
      <w:pPr>
        <w:tabs>
          <w:tab w:val="left" w:pos="312"/>
        </w:tabs>
      </w:pPr>
    </w:lvl>
  </w:abstractNum>
  <w:abstractNum w:abstractNumId="97" w15:restartNumberingAfterBreak="0">
    <w:nsid w:val="F6092586"/>
    <w:multiLevelType w:val="singleLevel"/>
    <w:tmpl w:val="F6092586"/>
    <w:lvl w:ilvl="0">
      <w:start w:val="1"/>
      <w:numFmt w:val="decimal"/>
      <w:suff w:val="space"/>
      <w:lvlText w:val="%1."/>
      <w:lvlJc w:val="left"/>
    </w:lvl>
  </w:abstractNum>
  <w:abstractNum w:abstractNumId="98" w15:restartNumberingAfterBreak="0">
    <w:nsid w:val="F7162BDB"/>
    <w:multiLevelType w:val="singleLevel"/>
    <w:tmpl w:val="F7162BDB"/>
    <w:lvl w:ilvl="0">
      <w:start w:val="1"/>
      <w:numFmt w:val="decimal"/>
      <w:suff w:val="space"/>
      <w:lvlText w:val="%1."/>
      <w:lvlJc w:val="left"/>
    </w:lvl>
  </w:abstractNum>
  <w:abstractNum w:abstractNumId="99" w15:restartNumberingAfterBreak="0">
    <w:nsid w:val="F727B27A"/>
    <w:multiLevelType w:val="singleLevel"/>
    <w:tmpl w:val="F727B27A"/>
    <w:lvl w:ilvl="0">
      <w:start w:val="16"/>
      <w:numFmt w:val="chineseCounting"/>
      <w:suff w:val="space"/>
      <w:lvlText w:val="第%1章"/>
      <w:lvlJc w:val="left"/>
      <w:rPr>
        <w:rFonts w:hint="eastAsia"/>
      </w:rPr>
    </w:lvl>
  </w:abstractNum>
  <w:abstractNum w:abstractNumId="100" w15:restartNumberingAfterBreak="0">
    <w:nsid w:val="F7FA09DF"/>
    <w:multiLevelType w:val="singleLevel"/>
    <w:tmpl w:val="F7FA09DF"/>
    <w:lvl w:ilvl="0">
      <w:start w:val="1"/>
      <w:numFmt w:val="decimal"/>
      <w:suff w:val="space"/>
      <w:lvlText w:val="%1."/>
      <w:lvlJc w:val="left"/>
    </w:lvl>
  </w:abstractNum>
  <w:abstractNum w:abstractNumId="101" w15:restartNumberingAfterBreak="0">
    <w:nsid w:val="F9184784"/>
    <w:multiLevelType w:val="singleLevel"/>
    <w:tmpl w:val="F9184784"/>
    <w:lvl w:ilvl="0">
      <w:start w:val="1"/>
      <w:numFmt w:val="decimal"/>
      <w:suff w:val="space"/>
      <w:lvlText w:val="%1."/>
      <w:lvlJc w:val="left"/>
    </w:lvl>
  </w:abstractNum>
  <w:abstractNum w:abstractNumId="102" w15:restartNumberingAfterBreak="0">
    <w:nsid w:val="F9B23A2C"/>
    <w:multiLevelType w:val="singleLevel"/>
    <w:tmpl w:val="F9B23A2C"/>
    <w:lvl w:ilvl="0">
      <w:start w:val="1"/>
      <w:numFmt w:val="decimal"/>
      <w:suff w:val="space"/>
      <w:lvlText w:val="%1."/>
      <w:lvlJc w:val="left"/>
    </w:lvl>
  </w:abstractNum>
  <w:abstractNum w:abstractNumId="103" w15:restartNumberingAfterBreak="0">
    <w:nsid w:val="FE3EDDED"/>
    <w:multiLevelType w:val="singleLevel"/>
    <w:tmpl w:val="FE3EDDED"/>
    <w:lvl w:ilvl="0">
      <w:start w:val="1"/>
      <w:numFmt w:val="decimal"/>
      <w:suff w:val="space"/>
      <w:lvlText w:val="%1."/>
      <w:lvlJc w:val="left"/>
    </w:lvl>
  </w:abstractNum>
  <w:abstractNum w:abstractNumId="104" w15:restartNumberingAfterBreak="0">
    <w:nsid w:val="FE4F2A78"/>
    <w:multiLevelType w:val="singleLevel"/>
    <w:tmpl w:val="FE4F2A78"/>
    <w:lvl w:ilvl="0">
      <w:start w:val="1"/>
      <w:numFmt w:val="decimal"/>
      <w:suff w:val="space"/>
      <w:lvlText w:val="%1."/>
      <w:lvlJc w:val="left"/>
    </w:lvl>
  </w:abstractNum>
  <w:abstractNum w:abstractNumId="105" w15:restartNumberingAfterBreak="0">
    <w:nsid w:val="FE6E63BC"/>
    <w:multiLevelType w:val="singleLevel"/>
    <w:tmpl w:val="FE6E63BC"/>
    <w:lvl w:ilvl="0">
      <w:start w:val="1"/>
      <w:numFmt w:val="decimal"/>
      <w:suff w:val="space"/>
      <w:lvlText w:val="%1."/>
      <w:lvlJc w:val="left"/>
    </w:lvl>
  </w:abstractNum>
  <w:abstractNum w:abstractNumId="106" w15:restartNumberingAfterBreak="0">
    <w:nsid w:val="00000003"/>
    <w:multiLevelType w:val="hybridMultilevel"/>
    <w:tmpl w:val="4606C8F6"/>
    <w:lvl w:ilvl="0" w:tplc="D74056B2">
      <w:start w:val="1"/>
      <w:numFmt w:val="decimal"/>
      <w:lvlText w:val="%1."/>
      <w:lvlJc w:val="left"/>
      <w:pPr>
        <w:ind w:left="360" w:hanging="360"/>
      </w:pPr>
      <w:rPr>
        <w:rFont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07" w15:restartNumberingAfterBreak="0">
    <w:nsid w:val="00000006"/>
    <w:multiLevelType w:val="hybridMultilevel"/>
    <w:tmpl w:val="82069D54"/>
    <w:lvl w:ilvl="0" w:tplc="57EC5990">
      <w:start w:val="1"/>
      <w:numFmt w:val="decimal"/>
      <w:lvlText w:val="%1."/>
      <w:lvlJc w:val="left"/>
      <w:pPr>
        <w:ind w:left="360" w:hanging="360"/>
      </w:pPr>
      <w:rPr>
        <w:rFont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08" w15:restartNumberingAfterBreak="0">
    <w:nsid w:val="00000007"/>
    <w:multiLevelType w:val="hybridMultilevel"/>
    <w:tmpl w:val="D8EA2016"/>
    <w:lvl w:ilvl="0" w:tplc="D4623EC0">
      <w:start w:val="1"/>
      <w:numFmt w:val="decimal"/>
      <w:lvlText w:val="%1."/>
      <w:lvlJc w:val="left"/>
      <w:pPr>
        <w:ind w:left="360" w:hanging="360"/>
      </w:pPr>
      <w:rPr>
        <w:rFont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09" w15:restartNumberingAfterBreak="0">
    <w:nsid w:val="00624CD7"/>
    <w:multiLevelType w:val="hybridMultilevel"/>
    <w:tmpl w:val="4C804AA0"/>
    <w:lvl w:ilvl="0" w:tplc="1D825806">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0" w15:restartNumberingAfterBreak="0">
    <w:nsid w:val="0135BCCA"/>
    <w:multiLevelType w:val="singleLevel"/>
    <w:tmpl w:val="0135BCCA"/>
    <w:lvl w:ilvl="0">
      <w:start w:val="1"/>
      <w:numFmt w:val="decimal"/>
      <w:lvlText w:val="%1."/>
      <w:lvlJc w:val="left"/>
      <w:pPr>
        <w:tabs>
          <w:tab w:val="left" w:pos="312"/>
        </w:tabs>
      </w:pPr>
    </w:lvl>
  </w:abstractNum>
  <w:abstractNum w:abstractNumId="111" w15:restartNumberingAfterBreak="0">
    <w:nsid w:val="02593560"/>
    <w:multiLevelType w:val="hybridMultilevel"/>
    <w:tmpl w:val="8A4C00FC"/>
    <w:lvl w:ilvl="0" w:tplc="95044872">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2" w15:restartNumberingAfterBreak="0">
    <w:nsid w:val="026B65FE"/>
    <w:multiLevelType w:val="multilevel"/>
    <w:tmpl w:val="026B65FE"/>
    <w:lvl w:ilvl="0">
      <w:start w:val="1"/>
      <w:numFmt w:val="decimal"/>
      <w:lvlText w:val="%1．"/>
      <w:lvlJc w:val="left"/>
      <w:pPr>
        <w:ind w:left="780" w:hanging="360"/>
      </w:pPr>
      <w:rPr>
        <w:rFonts w:ascii="Calibri" w:hAnsi="Calibri" w:hint="default"/>
        <w:color w:val="000000"/>
        <w:sz w:val="21"/>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13" w15:restartNumberingAfterBreak="0">
    <w:nsid w:val="030D2FE2"/>
    <w:multiLevelType w:val="hybridMultilevel"/>
    <w:tmpl w:val="7AEE65FC"/>
    <w:lvl w:ilvl="0" w:tplc="E8464BD4">
      <w:start w:val="1"/>
      <w:numFmt w:val="decimal"/>
      <w:lvlText w:val="%1."/>
      <w:lvlJc w:val="left"/>
      <w:pPr>
        <w:ind w:left="840" w:hanging="360"/>
      </w:pPr>
      <w:rPr>
        <w:rFonts w:hint="eastAsia"/>
      </w:rPr>
    </w:lvl>
    <w:lvl w:ilvl="1" w:tplc="04090019" w:tentative="1">
      <w:start w:val="1"/>
      <w:numFmt w:val="lowerLetter"/>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lowerLetter"/>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lowerLetter"/>
      <w:lvlText w:val="%8)"/>
      <w:lvlJc w:val="left"/>
      <w:pPr>
        <w:ind w:left="4320" w:hanging="480"/>
      </w:pPr>
    </w:lvl>
    <w:lvl w:ilvl="8" w:tplc="0409001B" w:tentative="1">
      <w:start w:val="1"/>
      <w:numFmt w:val="lowerRoman"/>
      <w:lvlText w:val="%9."/>
      <w:lvlJc w:val="right"/>
      <w:pPr>
        <w:ind w:left="4800" w:hanging="480"/>
      </w:pPr>
    </w:lvl>
  </w:abstractNum>
  <w:abstractNum w:abstractNumId="114" w15:restartNumberingAfterBreak="0">
    <w:nsid w:val="032C8A97"/>
    <w:multiLevelType w:val="singleLevel"/>
    <w:tmpl w:val="032C8A97"/>
    <w:lvl w:ilvl="0">
      <w:start w:val="1"/>
      <w:numFmt w:val="decimal"/>
      <w:suff w:val="space"/>
      <w:lvlText w:val="%1."/>
      <w:lvlJc w:val="left"/>
    </w:lvl>
  </w:abstractNum>
  <w:abstractNum w:abstractNumId="115" w15:restartNumberingAfterBreak="0">
    <w:nsid w:val="033526C9"/>
    <w:multiLevelType w:val="multilevel"/>
    <w:tmpl w:val="033526C9"/>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16" w15:restartNumberingAfterBreak="0">
    <w:nsid w:val="03C74FF0"/>
    <w:multiLevelType w:val="singleLevel"/>
    <w:tmpl w:val="03C74FF0"/>
    <w:lvl w:ilvl="0">
      <w:start w:val="1"/>
      <w:numFmt w:val="decimal"/>
      <w:suff w:val="space"/>
      <w:lvlText w:val="%1."/>
      <w:lvlJc w:val="left"/>
    </w:lvl>
  </w:abstractNum>
  <w:abstractNum w:abstractNumId="117" w15:restartNumberingAfterBreak="0">
    <w:nsid w:val="042270E4"/>
    <w:multiLevelType w:val="singleLevel"/>
    <w:tmpl w:val="042270E4"/>
    <w:lvl w:ilvl="0">
      <w:start w:val="1"/>
      <w:numFmt w:val="decimal"/>
      <w:suff w:val="space"/>
      <w:lvlText w:val="%1."/>
      <w:lvlJc w:val="left"/>
    </w:lvl>
  </w:abstractNum>
  <w:abstractNum w:abstractNumId="118" w15:restartNumberingAfterBreak="0">
    <w:nsid w:val="04C34C28"/>
    <w:multiLevelType w:val="singleLevel"/>
    <w:tmpl w:val="04C34C28"/>
    <w:lvl w:ilvl="0">
      <w:start w:val="1"/>
      <w:numFmt w:val="decimal"/>
      <w:suff w:val="space"/>
      <w:lvlText w:val="%1."/>
      <w:lvlJc w:val="left"/>
    </w:lvl>
  </w:abstractNum>
  <w:abstractNum w:abstractNumId="119" w15:restartNumberingAfterBreak="0">
    <w:nsid w:val="05F4E8FD"/>
    <w:multiLevelType w:val="singleLevel"/>
    <w:tmpl w:val="05F4E8FD"/>
    <w:lvl w:ilvl="0">
      <w:start w:val="1"/>
      <w:numFmt w:val="decimal"/>
      <w:suff w:val="space"/>
      <w:lvlText w:val="%1."/>
      <w:lvlJc w:val="left"/>
    </w:lvl>
  </w:abstractNum>
  <w:abstractNum w:abstractNumId="120" w15:restartNumberingAfterBreak="0">
    <w:nsid w:val="06083B2A"/>
    <w:multiLevelType w:val="singleLevel"/>
    <w:tmpl w:val="06083B2A"/>
    <w:lvl w:ilvl="0">
      <w:start w:val="1"/>
      <w:numFmt w:val="decimal"/>
      <w:suff w:val="space"/>
      <w:lvlText w:val="%1."/>
      <w:lvlJc w:val="left"/>
    </w:lvl>
  </w:abstractNum>
  <w:abstractNum w:abstractNumId="121" w15:restartNumberingAfterBreak="0">
    <w:nsid w:val="066F796C"/>
    <w:multiLevelType w:val="singleLevel"/>
    <w:tmpl w:val="066F796C"/>
    <w:lvl w:ilvl="0">
      <w:start w:val="1"/>
      <w:numFmt w:val="decimal"/>
      <w:suff w:val="space"/>
      <w:lvlText w:val="%1."/>
      <w:lvlJc w:val="left"/>
    </w:lvl>
  </w:abstractNum>
  <w:abstractNum w:abstractNumId="122" w15:restartNumberingAfterBreak="0">
    <w:nsid w:val="068D73DB"/>
    <w:multiLevelType w:val="multilevel"/>
    <w:tmpl w:val="068D73DB"/>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23" w15:restartNumberingAfterBreak="0">
    <w:nsid w:val="072557E5"/>
    <w:multiLevelType w:val="hybridMultilevel"/>
    <w:tmpl w:val="D4486C76"/>
    <w:lvl w:ilvl="0" w:tplc="A0EC05D4">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24" w15:restartNumberingAfterBreak="0">
    <w:nsid w:val="07447E90"/>
    <w:multiLevelType w:val="singleLevel"/>
    <w:tmpl w:val="07447E90"/>
    <w:lvl w:ilvl="0">
      <w:start w:val="1"/>
      <w:numFmt w:val="decimal"/>
      <w:suff w:val="nothing"/>
      <w:lvlText w:val="（%1）"/>
      <w:lvlJc w:val="left"/>
    </w:lvl>
  </w:abstractNum>
  <w:abstractNum w:abstractNumId="125" w15:restartNumberingAfterBreak="0">
    <w:nsid w:val="075AAB53"/>
    <w:multiLevelType w:val="singleLevel"/>
    <w:tmpl w:val="075AAB53"/>
    <w:lvl w:ilvl="0">
      <w:start w:val="3"/>
      <w:numFmt w:val="chineseCounting"/>
      <w:suff w:val="nothing"/>
      <w:lvlText w:val="（%1）"/>
      <w:lvlJc w:val="left"/>
      <w:rPr>
        <w:rFonts w:hint="eastAsia"/>
      </w:rPr>
    </w:lvl>
  </w:abstractNum>
  <w:abstractNum w:abstractNumId="126" w15:restartNumberingAfterBreak="0">
    <w:nsid w:val="07ED3374"/>
    <w:multiLevelType w:val="multilevel"/>
    <w:tmpl w:val="07ED3374"/>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27" w15:restartNumberingAfterBreak="0">
    <w:nsid w:val="08B01716"/>
    <w:multiLevelType w:val="singleLevel"/>
    <w:tmpl w:val="08B01716"/>
    <w:lvl w:ilvl="0">
      <w:start w:val="1"/>
      <w:numFmt w:val="decimal"/>
      <w:suff w:val="space"/>
      <w:lvlText w:val="%1."/>
      <w:lvlJc w:val="left"/>
    </w:lvl>
  </w:abstractNum>
  <w:abstractNum w:abstractNumId="128" w15:restartNumberingAfterBreak="0">
    <w:nsid w:val="08F9EBBC"/>
    <w:multiLevelType w:val="singleLevel"/>
    <w:tmpl w:val="08F9EBBC"/>
    <w:lvl w:ilvl="0">
      <w:start w:val="1"/>
      <w:numFmt w:val="decimal"/>
      <w:suff w:val="space"/>
      <w:lvlText w:val="%1."/>
      <w:lvlJc w:val="left"/>
    </w:lvl>
  </w:abstractNum>
  <w:abstractNum w:abstractNumId="129" w15:restartNumberingAfterBreak="0">
    <w:nsid w:val="0904AB97"/>
    <w:multiLevelType w:val="singleLevel"/>
    <w:tmpl w:val="0904AB97"/>
    <w:lvl w:ilvl="0">
      <w:start w:val="1"/>
      <w:numFmt w:val="decimal"/>
      <w:suff w:val="space"/>
      <w:lvlText w:val="%1."/>
      <w:lvlJc w:val="left"/>
    </w:lvl>
  </w:abstractNum>
  <w:abstractNum w:abstractNumId="130" w15:restartNumberingAfterBreak="0">
    <w:nsid w:val="09425B9F"/>
    <w:multiLevelType w:val="singleLevel"/>
    <w:tmpl w:val="09425B9F"/>
    <w:lvl w:ilvl="0">
      <w:start w:val="1"/>
      <w:numFmt w:val="decimal"/>
      <w:suff w:val="space"/>
      <w:lvlText w:val="%1."/>
      <w:lvlJc w:val="left"/>
    </w:lvl>
  </w:abstractNum>
  <w:abstractNum w:abstractNumId="131" w15:restartNumberingAfterBreak="0">
    <w:nsid w:val="0B297621"/>
    <w:multiLevelType w:val="singleLevel"/>
    <w:tmpl w:val="0B297621"/>
    <w:lvl w:ilvl="0">
      <w:start w:val="1"/>
      <w:numFmt w:val="decimal"/>
      <w:suff w:val="space"/>
      <w:lvlText w:val="%1."/>
      <w:lvlJc w:val="left"/>
    </w:lvl>
  </w:abstractNum>
  <w:abstractNum w:abstractNumId="132" w15:restartNumberingAfterBreak="0">
    <w:nsid w:val="0BB67614"/>
    <w:multiLevelType w:val="multilevel"/>
    <w:tmpl w:val="0BB67614"/>
    <w:lvl w:ilvl="0">
      <w:start w:val="1"/>
      <w:numFmt w:val="decimal"/>
      <w:lvlText w:val="%1."/>
      <w:lvlJc w:val="left"/>
      <w:pPr>
        <w:ind w:left="786" w:hanging="360"/>
      </w:pPr>
      <w:rPr>
        <w:rFonts w:ascii="宋体" w:hAnsi="宋体" w:hint="default"/>
        <w:sz w:val="24"/>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33" w15:restartNumberingAfterBreak="0">
    <w:nsid w:val="0C3EED7E"/>
    <w:multiLevelType w:val="singleLevel"/>
    <w:tmpl w:val="0C3EED7E"/>
    <w:lvl w:ilvl="0">
      <w:start w:val="1"/>
      <w:numFmt w:val="decimal"/>
      <w:suff w:val="space"/>
      <w:lvlText w:val="%1."/>
      <w:lvlJc w:val="left"/>
      <w:pPr>
        <w:ind w:left="360" w:firstLine="0"/>
      </w:pPr>
    </w:lvl>
  </w:abstractNum>
  <w:abstractNum w:abstractNumId="134" w15:restartNumberingAfterBreak="0">
    <w:nsid w:val="0D6D6126"/>
    <w:multiLevelType w:val="singleLevel"/>
    <w:tmpl w:val="0D6D6126"/>
    <w:lvl w:ilvl="0">
      <w:start w:val="1"/>
      <w:numFmt w:val="decimal"/>
      <w:suff w:val="space"/>
      <w:lvlText w:val="%1."/>
      <w:lvlJc w:val="left"/>
    </w:lvl>
  </w:abstractNum>
  <w:abstractNum w:abstractNumId="135" w15:restartNumberingAfterBreak="0">
    <w:nsid w:val="0D8EC913"/>
    <w:multiLevelType w:val="singleLevel"/>
    <w:tmpl w:val="0D8EC913"/>
    <w:lvl w:ilvl="0">
      <w:start w:val="1"/>
      <w:numFmt w:val="decimal"/>
      <w:lvlText w:val="%1."/>
      <w:lvlJc w:val="left"/>
      <w:pPr>
        <w:tabs>
          <w:tab w:val="left" w:pos="312"/>
        </w:tabs>
      </w:pPr>
    </w:lvl>
  </w:abstractNum>
  <w:abstractNum w:abstractNumId="136" w15:restartNumberingAfterBreak="0">
    <w:nsid w:val="0F542B7D"/>
    <w:multiLevelType w:val="multilevel"/>
    <w:tmpl w:val="0F542B7D"/>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37" w15:restartNumberingAfterBreak="0">
    <w:nsid w:val="10A45C5C"/>
    <w:multiLevelType w:val="singleLevel"/>
    <w:tmpl w:val="10A45C5C"/>
    <w:lvl w:ilvl="0">
      <w:start w:val="1"/>
      <w:numFmt w:val="decimal"/>
      <w:suff w:val="space"/>
      <w:lvlText w:val="%1."/>
      <w:lvlJc w:val="left"/>
    </w:lvl>
  </w:abstractNum>
  <w:abstractNum w:abstractNumId="138" w15:restartNumberingAfterBreak="0">
    <w:nsid w:val="11400427"/>
    <w:multiLevelType w:val="singleLevel"/>
    <w:tmpl w:val="11400427"/>
    <w:lvl w:ilvl="0">
      <w:start w:val="2"/>
      <w:numFmt w:val="decimal"/>
      <w:lvlText w:val="%1."/>
      <w:lvlJc w:val="left"/>
      <w:pPr>
        <w:tabs>
          <w:tab w:val="num" w:pos="312"/>
        </w:tabs>
      </w:pPr>
    </w:lvl>
  </w:abstractNum>
  <w:abstractNum w:abstractNumId="139" w15:restartNumberingAfterBreak="0">
    <w:nsid w:val="129054EF"/>
    <w:multiLevelType w:val="multilevel"/>
    <w:tmpl w:val="129054EF"/>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40" w15:restartNumberingAfterBreak="0">
    <w:nsid w:val="12F39EFC"/>
    <w:multiLevelType w:val="singleLevel"/>
    <w:tmpl w:val="12F39EFC"/>
    <w:lvl w:ilvl="0">
      <w:start w:val="1"/>
      <w:numFmt w:val="decimal"/>
      <w:suff w:val="space"/>
      <w:lvlText w:val="%1."/>
      <w:lvlJc w:val="left"/>
    </w:lvl>
  </w:abstractNum>
  <w:abstractNum w:abstractNumId="141" w15:restartNumberingAfterBreak="0">
    <w:nsid w:val="13E20B9F"/>
    <w:multiLevelType w:val="multilevel"/>
    <w:tmpl w:val="13E20B9F"/>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42" w15:restartNumberingAfterBreak="0">
    <w:nsid w:val="14119090"/>
    <w:multiLevelType w:val="singleLevel"/>
    <w:tmpl w:val="14119090"/>
    <w:lvl w:ilvl="0">
      <w:start w:val="1"/>
      <w:numFmt w:val="decimal"/>
      <w:suff w:val="space"/>
      <w:lvlText w:val="%1."/>
      <w:lvlJc w:val="left"/>
    </w:lvl>
  </w:abstractNum>
  <w:abstractNum w:abstractNumId="143" w15:restartNumberingAfterBreak="0">
    <w:nsid w:val="144DDD68"/>
    <w:multiLevelType w:val="singleLevel"/>
    <w:tmpl w:val="144DDD68"/>
    <w:lvl w:ilvl="0">
      <w:start w:val="1"/>
      <w:numFmt w:val="decimal"/>
      <w:suff w:val="space"/>
      <w:lvlText w:val="%1."/>
      <w:lvlJc w:val="left"/>
    </w:lvl>
  </w:abstractNum>
  <w:abstractNum w:abstractNumId="144" w15:restartNumberingAfterBreak="0">
    <w:nsid w:val="15313F3D"/>
    <w:multiLevelType w:val="multilevel"/>
    <w:tmpl w:val="15313F3D"/>
    <w:lvl w:ilvl="0">
      <w:start w:val="1"/>
      <w:numFmt w:val="decimal"/>
      <w:lvlText w:val="%1."/>
      <w:lvlJc w:val="left"/>
      <w:pPr>
        <w:ind w:left="1320" w:hanging="84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45" w15:restartNumberingAfterBreak="0">
    <w:nsid w:val="15B41E28"/>
    <w:multiLevelType w:val="singleLevel"/>
    <w:tmpl w:val="15B41E28"/>
    <w:lvl w:ilvl="0">
      <w:start w:val="1"/>
      <w:numFmt w:val="decimal"/>
      <w:suff w:val="space"/>
      <w:lvlText w:val="%1."/>
      <w:lvlJc w:val="left"/>
    </w:lvl>
  </w:abstractNum>
  <w:abstractNum w:abstractNumId="146" w15:restartNumberingAfterBreak="0">
    <w:nsid w:val="15D844E2"/>
    <w:multiLevelType w:val="multilevel"/>
    <w:tmpl w:val="15D844E2"/>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47" w15:restartNumberingAfterBreak="0">
    <w:nsid w:val="175979B3"/>
    <w:multiLevelType w:val="hybridMultilevel"/>
    <w:tmpl w:val="C23866AA"/>
    <w:lvl w:ilvl="0" w:tplc="1512CB02">
      <w:start w:val="1"/>
      <w:numFmt w:val="decimal"/>
      <w:lvlText w:val="%1."/>
      <w:lvlJc w:val="left"/>
      <w:pPr>
        <w:ind w:left="840" w:hanging="360"/>
      </w:pPr>
      <w:rPr>
        <w:rFonts w:cs="Times New Roman" w:hint="default"/>
        <w:color w:val="auto"/>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8" w15:restartNumberingAfterBreak="0">
    <w:nsid w:val="17835D92"/>
    <w:multiLevelType w:val="singleLevel"/>
    <w:tmpl w:val="17835D92"/>
    <w:lvl w:ilvl="0">
      <w:start w:val="1"/>
      <w:numFmt w:val="decimal"/>
      <w:suff w:val="space"/>
      <w:lvlText w:val="%1."/>
      <w:lvlJc w:val="left"/>
    </w:lvl>
  </w:abstractNum>
  <w:abstractNum w:abstractNumId="149" w15:restartNumberingAfterBreak="0">
    <w:nsid w:val="17F00A5E"/>
    <w:multiLevelType w:val="hybridMultilevel"/>
    <w:tmpl w:val="FC5C1878"/>
    <w:lvl w:ilvl="0" w:tplc="F8AA3796">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0" w15:restartNumberingAfterBreak="0">
    <w:nsid w:val="17F41B59"/>
    <w:multiLevelType w:val="multilevel"/>
    <w:tmpl w:val="17F41B59"/>
    <w:lvl w:ilvl="0">
      <w:start w:val="1"/>
      <w:numFmt w:val="decimal"/>
      <w:lvlText w:val="%1."/>
      <w:lvlJc w:val="left"/>
      <w:pPr>
        <w:ind w:left="780" w:hanging="360"/>
      </w:pPr>
      <w:rPr>
        <w:rFonts w:ascii="Times New Roman" w:eastAsia="宋体" w:cs="Times New Roman" w:hint="default"/>
        <w:color w:val="auto"/>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51" w15:restartNumberingAfterBreak="0">
    <w:nsid w:val="18653322"/>
    <w:multiLevelType w:val="singleLevel"/>
    <w:tmpl w:val="18653322"/>
    <w:lvl w:ilvl="0">
      <w:start w:val="2"/>
      <w:numFmt w:val="chineseCounting"/>
      <w:suff w:val="space"/>
      <w:lvlText w:val="第%1章"/>
      <w:lvlJc w:val="left"/>
      <w:rPr>
        <w:rFonts w:hint="eastAsia"/>
      </w:rPr>
    </w:lvl>
  </w:abstractNum>
  <w:abstractNum w:abstractNumId="152" w15:restartNumberingAfterBreak="0">
    <w:nsid w:val="18C7A334"/>
    <w:multiLevelType w:val="singleLevel"/>
    <w:tmpl w:val="18C7A334"/>
    <w:lvl w:ilvl="0">
      <w:start w:val="1"/>
      <w:numFmt w:val="decimal"/>
      <w:suff w:val="space"/>
      <w:lvlText w:val="%1."/>
      <w:lvlJc w:val="left"/>
    </w:lvl>
  </w:abstractNum>
  <w:abstractNum w:abstractNumId="153" w15:restartNumberingAfterBreak="0">
    <w:nsid w:val="1A8B7EB0"/>
    <w:multiLevelType w:val="multilevel"/>
    <w:tmpl w:val="1A8B7EB0"/>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54" w15:restartNumberingAfterBreak="0">
    <w:nsid w:val="1B900C2A"/>
    <w:multiLevelType w:val="multilevel"/>
    <w:tmpl w:val="1B900C2A"/>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55" w15:restartNumberingAfterBreak="0">
    <w:nsid w:val="1CC08472"/>
    <w:multiLevelType w:val="singleLevel"/>
    <w:tmpl w:val="1CC08472"/>
    <w:lvl w:ilvl="0">
      <w:start w:val="1"/>
      <w:numFmt w:val="decimal"/>
      <w:suff w:val="space"/>
      <w:lvlText w:val="%1."/>
      <w:lvlJc w:val="left"/>
    </w:lvl>
  </w:abstractNum>
  <w:abstractNum w:abstractNumId="156" w15:restartNumberingAfterBreak="0">
    <w:nsid w:val="1D4DF93F"/>
    <w:multiLevelType w:val="singleLevel"/>
    <w:tmpl w:val="1D4DF93F"/>
    <w:lvl w:ilvl="0">
      <w:start w:val="1"/>
      <w:numFmt w:val="decimal"/>
      <w:suff w:val="space"/>
      <w:lvlText w:val="%1."/>
      <w:lvlJc w:val="left"/>
    </w:lvl>
  </w:abstractNum>
  <w:abstractNum w:abstractNumId="157" w15:restartNumberingAfterBreak="0">
    <w:nsid w:val="1DD2475E"/>
    <w:multiLevelType w:val="multilevel"/>
    <w:tmpl w:val="1DD2475E"/>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58" w15:restartNumberingAfterBreak="0">
    <w:nsid w:val="1DD363A5"/>
    <w:multiLevelType w:val="hybridMultilevel"/>
    <w:tmpl w:val="BCC2EF0E"/>
    <w:lvl w:ilvl="0" w:tplc="824066D0">
      <w:start w:val="1"/>
      <w:numFmt w:val="decimal"/>
      <w:lvlText w:val="%1."/>
      <w:lvlJc w:val="left"/>
      <w:pPr>
        <w:ind w:left="840" w:hanging="360"/>
      </w:pPr>
      <w:rPr>
        <w:rFonts w:hint="eastAsia"/>
      </w:rPr>
    </w:lvl>
    <w:lvl w:ilvl="1" w:tplc="04090019" w:tentative="1">
      <w:start w:val="1"/>
      <w:numFmt w:val="lowerLetter"/>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lowerLetter"/>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lowerLetter"/>
      <w:lvlText w:val="%8)"/>
      <w:lvlJc w:val="left"/>
      <w:pPr>
        <w:ind w:left="4320" w:hanging="480"/>
      </w:pPr>
    </w:lvl>
    <w:lvl w:ilvl="8" w:tplc="0409001B" w:tentative="1">
      <w:start w:val="1"/>
      <w:numFmt w:val="lowerRoman"/>
      <w:lvlText w:val="%9."/>
      <w:lvlJc w:val="right"/>
      <w:pPr>
        <w:ind w:left="4800" w:hanging="480"/>
      </w:pPr>
    </w:lvl>
  </w:abstractNum>
  <w:abstractNum w:abstractNumId="159" w15:restartNumberingAfterBreak="0">
    <w:nsid w:val="1EE6114D"/>
    <w:multiLevelType w:val="singleLevel"/>
    <w:tmpl w:val="1EE6114D"/>
    <w:lvl w:ilvl="0">
      <w:start w:val="2"/>
      <w:numFmt w:val="decimal"/>
      <w:suff w:val="space"/>
      <w:lvlText w:val="%1."/>
      <w:lvlJc w:val="left"/>
    </w:lvl>
  </w:abstractNum>
  <w:abstractNum w:abstractNumId="160" w15:restartNumberingAfterBreak="0">
    <w:nsid w:val="1EF2478E"/>
    <w:multiLevelType w:val="singleLevel"/>
    <w:tmpl w:val="1EF2478E"/>
    <w:lvl w:ilvl="0">
      <w:start w:val="7"/>
      <w:numFmt w:val="chineseCounting"/>
      <w:suff w:val="nothing"/>
      <w:lvlText w:val="%1、"/>
      <w:lvlJc w:val="left"/>
      <w:rPr>
        <w:rFonts w:hint="eastAsia"/>
      </w:rPr>
    </w:lvl>
  </w:abstractNum>
  <w:abstractNum w:abstractNumId="161" w15:restartNumberingAfterBreak="0">
    <w:nsid w:val="1FC0532A"/>
    <w:multiLevelType w:val="hybridMultilevel"/>
    <w:tmpl w:val="8C90FF68"/>
    <w:lvl w:ilvl="0" w:tplc="B59488E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2" w15:restartNumberingAfterBreak="0">
    <w:nsid w:val="203F58DB"/>
    <w:multiLevelType w:val="hybridMultilevel"/>
    <w:tmpl w:val="74BE3360"/>
    <w:lvl w:ilvl="0" w:tplc="60308088">
      <w:start w:val="1"/>
      <w:numFmt w:val="decimal"/>
      <w:lvlText w:val="%1."/>
      <w:lvlJc w:val="left"/>
      <w:pPr>
        <w:ind w:left="840" w:hanging="360"/>
      </w:pPr>
      <w:rPr>
        <w:rFonts w:hint="eastAsia"/>
      </w:rPr>
    </w:lvl>
    <w:lvl w:ilvl="1" w:tplc="04090019" w:tentative="1">
      <w:start w:val="1"/>
      <w:numFmt w:val="lowerLetter"/>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lowerLetter"/>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lowerLetter"/>
      <w:lvlText w:val="%8)"/>
      <w:lvlJc w:val="left"/>
      <w:pPr>
        <w:ind w:left="4320" w:hanging="480"/>
      </w:pPr>
    </w:lvl>
    <w:lvl w:ilvl="8" w:tplc="0409001B" w:tentative="1">
      <w:start w:val="1"/>
      <w:numFmt w:val="lowerRoman"/>
      <w:lvlText w:val="%9."/>
      <w:lvlJc w:val="right"/>
      <w:pPr>
        <w:ind w:left="4800" w:hanging="480"/>
      </w:pPr>
    </w:lvl>
  </w:abstractNum>
  <w:abstractNum w:abstractNumId="163" w15:restartNumberingAfterBreak="0">
    <w:nsid w:val="2360F26A"/>
    <w:multiLevelType w:val="singleLevel"/>
    <w:tmpl w:val="2360F26A"/>
    <w:lvl w:ilvl="0">
      <w:start w:val="1"/>
      <w:numFmt w:val="decimal"/>
      <w:suff w:val="space"/>
      <w:lvlText w:val="%1."/>
      <w:lvlJc w:val="left"/>
    </w:lvl>
  </w:abstractNum>
  <w:abstractNum w:abstractNumId="164" w15:restartNumberingAfterBreak="0">
    <w:nsid w:val="24EA53A8"/>
    <w:multiLevelType w:val="multilevel"/>
    <w:tmpl w:val="24EA53A8"/>
    <w:lvl w:ilvl="0">
      <w:start w:val="1"/>
      <w:numFmt w:val="decimal"/>
      <w:lvlText w:val="%1."/>
      <w:lvlJc w:val="left"/>
      <w:pPr>
        <w:ind w:left="81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65" w15:restartNumberingAfterBreak="0">
    <w:nsid w:val="25270582"/>
    <w:multiLevelType w:val="singleLevel"/>
    <w:tmpl w:val="25270582"/>
    <w:lvl w:ilvl="0">
      <w:start w:val="1"/>
      <w:numFmt w:val="decimal"/>
      <w:suff w:val="space"/>
      <w:lvlText w:val="%1."/>
      <w:lvlJc w:val="left"/>
    </w:lvl>
  </w:abstractNum>
  <w:abstractNum w:abstractNumId="166" w15:restartNumberingAfterBreak="0">
    <w:nsid w:val="261C3F3F"/>
    <w:multiLevelType w:val="multilevel"/>
    <w:tmpl w:val="261C3F3F"/>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67" w15:restartNumberingAfterBreak="0">
    <w:nsid w:val="27E6810B"/>
    <w:multiLevelType w:val="singleLevel"/>
    <w:tmpl w:val="27E6810B"/>
    <w:lvl w:ilvl="0">
      <w:start w:val="1"/>
      <w:numFmt w:val="decimal"/>
      <w:suff w:val="space"/>
      <w:lvlText w:val="%1."/>
      <w:lvlJc w:val="left"/>
    </w:lvl>
  </w:abstractNum>
  <w:abstractNum w:abstractNumId="168" w15:restartNumberingAfterBreak="0">
    <w:nsid w:val="283F3456"/>
    <w:multiLevelType w:val="hybridMultilevel"/>
    <w:tmpl w:val="B1A20602"/>
    <w:lvl w:ilvl="0" w:tplc="69461602">
      <w:start w:val="1"/>
      <w:numFmt w:val="decimal"/>
      <w:lvlText w:val="%1."/>
      <w:lvlJc w:val="left"/>
      <w:pPr>
        <w:ind w:left="840" w:hanging="360"/>
      </w:pPr>
      <w:rPr>
        <w:rFonts w:cs="宋体"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9" w15:restartNumberingAfterBreak="0">
    <w:nsid w:val="28F02AD4"/>
    <w:multiLevelType w:val="multilevel"/>
    <w:tmpl w:val="28F02AD4"/>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rPr>
        <w:rFonts w:hint="default"/>
      </w:r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70" w15:restartNumberingAfterBreak="0">
    <w:nsid w:val="29210463"/>
    <w:multiLevelType w:val="multilevel"/>
    <w:tmpl w:val="29210463"/>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1" w15:restartNumberingAfterBreak="0">
    <w:nsid w:val="29B240F8"/>
    <w:multiLevelType w:val="multilevel"/>
    <w:tmpl w:val="29B240F8"/>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2" w15:restartNumberingAfterBreak="0">
    <w:nsid w:val="29EA97F5"/>
    <w:multiLevelType w:val="singleLevel"/>
    <w:tmpl w:val="29EA97F5"/>
    <w:lvl w:ilvl="0">
      <w:start w:val="1"/>
      <w:numFmt w:val="decimal"/>
      <w:suff w:val="space"/>
      <w:lvlText w:val="%1."/>
      <w:lvlJc w:val="left"/>
    </w:lvl>
  </w:abstractNum>
  <w:abstractNum w:abstractNumId="173" w15:restartNumberingAfterBreak="0">
    <w:nsid w:val="2A48C26F"/>
    <w:multiLevelType w:val="singleLevel"/>
    <w:tmpl w:val="2A48C26F"/>
    <w:lvl w:ilvl="0">
      <w:start w:val="1"/>
      <w:numFmt w:val="decimal"/>
      <w:suff w:val="space"/>
      <w:lvlText w:val="%1."/>
      <w:lvlJc w:val="left"/>
    </w:lvl>
  </w:abstractNum>
  <w:abstractNum w:abstractNumId="174" w15:restartNumberingAfterBreak="0">
    <w:nsid w:val="2B0A6C6F"/>
    <w:multiLevelType w:val="multilevel"/>
    <w:tmpl w:val="2B0A6C6F"/>
    <w:lvl w:ilvl="0">
      <w:start w:val="1"/>
      <w:numFmt w:val="decimal"/>
      <w:lvlText w:val="%1."/>
      <w:lvlJc w:val="left"/>
      <w:pPr>
        <w:ind w:left="900" w:hanging="420"/>
      </w:pPr>
      <w:rPr>
        <w:rFonts w:hint="default"/>
        <w:b w:val="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5" w15:restartNumberingAfterBreak="0">
    <w:nsid w:val="2BCA30EC"/>
    <w:multiLevelType w:val="hybridMultilevel"/>
    <w:tmpl w:val="F0047C12"/>
    <w:lvl w:ilvl="0" w:tplc="BCCED842">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6" w15:restartNumberingAfterBreak="0">
    <w:nsid w:val="2DA05990"/>
    <w:multiLevelType w:val="singleLevel"/>
    <w:tmpl w:val="2DA05990"/>
    <w:lvl w:ilvl="0">
      <w:start w:val="1"/>
      <w:numFmt w:val="decimal"/>
      <w:suff w:val="space"/>
      <w:lvlText w:val="%1."/>
      <w:lvlJc w:val="left"/>
    </w:lvl>
  </w:abstractNum>
  <w:abstractNum w:abstractNumId="177" w15:restartNumberingAfterBreak="0">
    <w:nsid w:val="2E177AF5"/>
    <w:multiLevelType w:val="singleLevel"/>
    <w:tmpl w:val="2E177AF5"/>
    <w:lvl w:ilvl="0">
      <w:start w:val="8"/>
      <w:numFmt w:val="decimal"/>
      <w:suff w:val="space"/>
      <w:lvlText w:val="%1."/>
      <w:lvlJc w:val="left"/>
    </w:lvl>
  </w:abstractNum>
  <w:abstractNum w:abstractNumId="178" w15:restartNumberingAfterBreak="0">
    <w:nsid w:val="2EBDB4C5"/>
    <w:multiLevelType w:val="singleLevel"/>
    <w:tmpl w:val="2EBDB4C5"/>
    <w:lvl w:ilvl="0">
      <w:start w:val="1"/>
      <w:numFmt w:val="decimal"/>
      <w:suff w:val="space"/>
      <w:lvlText w:val="%1."/>
      <w:lvlJc w:val="left"/>
    </w:lvl>
  </w:abstractNum>
  <w:abstractNum w:abstractNumId="179" w15:restartNumberingAfterBreak="0">
    <w:nsid w:val="2ED72C01"/>
    <w:multiLevelType w:val="hybridMultilevel"/>
    <w:tmpl w:val="AE962404"/>
    <w:lvl w:ilvl="0" w:tplc="CEAACF50">
      <w:start w:val="1"/>
      <w:numFmt w:val="decimal"/>
      <w:lvlText w:val="%1."/>
      <w:lvlJc w:val="left"/>
      <w:pPr>
        <w:ind w:left="840" w:hanging="360"/>
      </w:pPr>
      <w:rPr>
        <w:rFonts w:hint="eastAsia"/>
      </w:rPr>
    </w:lvl>
    <w:lvl w:ilvl="1" w:tplc="04090019" w:tentative="1">
      <w:start w:val="1"/>
      <w:numFmt w:val="lowerLetter"/>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lowerLetter"/>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lowerLetter"/>
      <w:lvlText w:val="%8)"/>
      <w:lvlJc w:val="left"/>
      <w:pPr>
        <w:ind w:left="4320" w:hanging="480"/>
      </w:pPr>
    </w:lvl>
    <w:lvl w:ilvl="8" w:tplc="0409001B" w:tentative="1">
      <w:start w:val="1"/>
      <w:numFmt w:val="lowerRoman"/>
      <w:lvlText w:val="%9."/>
      <w:lvlJc w:val="right"/>
      <w:pPr>
        <w:ind w:left="4800" w:hanging="480"/>
      </w:pPr>
    </w:lvl>
  </w:abstractNum>
  <w:abstractNum w:abstractNumId="180" w15:restartNumberingAfterBreak="0">
    <w:nsid w:val="2F86A746"/>
    <w:multiLevelType w:val="singleLevel"/>
    <w:tmpl w:val="2F86A746"/>
    <w:lvl w:ilvl="0">
      <w:start w:val="1"/>
      <w:numFmt w:val="decimal"/>
      <w:suff w:val="space"/>
      <w:lvlText w:val="%1."/>
      <w:lvlJc w:val="left"/>
    </w:lvl>
  </w:abstractNum>
  <w:abstractNum w:abstractNumId="181" w15:restartNumberingAfterBreak="0">
    <w:nsid w:val="2FB20700"/>
    <w:multiLevelType w:val="multilevel"/>
    <w:tmpl w:val="2FB20700"/>
    <w:lvl w:ilvl="0">
      <w:start w:val="1"/>
      <w:numFmt w:val="decimal"/>
      <w:lvlText w:val="%1."/>
      <w:lvlJc w:val="left"/>
      <w:pPr>
        <w:ind w:left="900" w:hanging="4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82" w15:restartNumberingAfterBreak="0">
    <w:nsid w:val="30C36448"/>
    <w:multiLevelType w:val="singleLevel"/>
    <w:tmpl w:val="30C36448"/>
    <w:lvl w:ilvl="0">
      <w:start w:val="1"/>
      <w:numFmt w:val="decimal"/>
      <w:suff w:val="space"/>
      <w:lvlText w:val="%1."/>
      <w:lvlJc w:val="left"/>
    </w:lvl>
  </w:abstractNum>
  <w:abstractNum w:abstractNumId="183" w15:restartNumberingAfterBreak="0">
    <w:nsid w:val="30E17433"/>
    <w:multiLevelType w:val="singleLevel"/>
    <w:tmpl w:val="30E17433"/>
    <w:lvl w:ilvl="0">
      <w:start w:val="1"/>
      <w:numFmt w:val="decimal"/>
      <w:suff w:val="space"/>
      <w:lvlText w:val="%1."/>
      <w:lvlJc w:val="left"/>
    </w:lvl>
  </w:abstractNum>
  <w:abstractNum w:abstractNumId="184" w15:restartNumberingAfterBreak="0">
    <w:nsid w:val="31ED0781"/>
    <w:multiLevelType w:val="singleLevel"/>
    <w:tmpl w:val="31ED0781"/>
    <w:lvl w:ilvl="0">
      <w:start w:val="1"/>
      <w:numFmt w:val="decimal"/>
      <w:suff w:val="space"/>
      <w:lvlText w:val="%1."/>
      <w:lvlJc w:val="left"/>
    </w:lvl>
  </w:abstractNum>
  <w:abstractNum w:abstractNumId="185" w15:restartNumberingAfterBreak="0">
    <w:nsid w:val="33DD1F27"/>
    <w:multiLevelType w:val="singleLevel"/>
    <w:tmpl w:val="33DD1F27"/>
    <w:lvl w:ilvl="0">
      <w:start w:val="1"/>
      <w:numFmt w:val="decimal"/>
      <w:suff w:val="space"/>
      <w:lvlText w:val="%1."/>
      <w:lvlJc w:val="left"/>
    </w:lvl>
  </w:abstractNum>
  <w:abstractNum w:abstractNumId="186" w15:restartNumberingAfterBreak="0">
    <w:nsid w:val="34AD1A82"/>
    <w:multiLevelType w:val="multilevel"/>
    <w:tmpl w:val="34AD1A82"/>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87" w15:restartNumberingAfterBreak="0">
    <w:nsid w:val="355C4173"/>
    <w:multiLevelType w:val="hybridMultilevel"/>
    <w:tmpl w:val="3F3C4906"/>
    <w:lvl w:ilvl="0" w:tplc="5816DFC0">
      <w:start w:val="1"/>
      <w:numFmt w:val="decimal"/>
      <w:lvlText w:val="%1."/>
      <w:lvlJc w:val="left"/>
      <w:pPr>
        <w:ind w:left="840" w:hanging="360"/>
      </w:pPr>
      <w:rPr>
        <w:rFonts w:hint="eastAsia"/>
      </w:rPr>
    </w:lvl>
    <w:lvl w:ilvl="1" w:tplc="04090019" w:tentative="1">
      <w:start w:val="1"/>
      <w:numFmt w:val="lowerLetter"/>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lowerLetter"/>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lowerLetter"/>
      <w:lvlText w:val="%8)"/>
      <w:lvlJc w:val="left"/>
      <w:pPr>
        <w:ind w:left="4320" w:hanging="480"/>
      </w:pPr>
    </w:lvl>
    <w:lvl w:ilvl="8" w:tplc="0409001B" w:tentative="1">
      <w:start w:val="1"/>
      <w:numFmt w:val="lowerRoman"/>
      <w:lvlText w:val="%9."/>
      <w:lvlJc w:val="right"/>
      <w:pPr>
        <w:ind w:left="4800" w:hanging="480"/>
      </w:pPr>
    </w:lvl>
  </w:abstractNum>
  <w:abstractNum w:abstractNumId="188" w15:restartNumberingAfterBreak="0">
    <w:nsid w:val="35BDC61D"/>
    <w:multiLevelType w:val="singleLevel"/>
    <w:tmpl w:val="35BDC61D"/>
    <w:lvl w:ilvl="0">
      <w:start w:val="1"/>
      <w:numFmt w:val="decimal"/>
      <w:suff w:val="space"/>
      <w:lvlText w:val="%1."/>
      <w:lvlJc w:val="left"/>
      <w:pPr>
        <w:ind w:left="480" w:firstLine="0"/>
      </w:pPr>
    </w:lvl>
  </w:abstractNum>
  <w:abstractNum w:abstractNumId="189" w15:restartNumberingAfterBreak="0">
    <w:nsid w:val="35F94EB6"/>
    <w:multiLevelType w:val="multilevel"/>
    <w:tmpl w:val="35F94EB6"/>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90" w15:restartNumberingAfterBreak="0">
    <w:nsid w:val="3651E91B"/>
    <w:multiLevelType w:val="singleLevel"/>
    <w:tmpl w:val="3651E91B"/>
    <w:lvl w:ilvl="0">
      <w:start w:val="1"/>
      <w:numFmt w:val="decimal"/>
      <w:suff w:val="space"/>
      <w:lvlText w:val="%1."/>
      <w:lvlJc w:val="left"/>
    </w:lvl>
  </w:abstractNum>
  <w:abstractNum w:abstractNumId="191" w15:restartNumberingAfterBreak="0">
    <w:nsid w:val="368A78B5"/>
    <w:multiLevelType w:val="hybridMultilevel"/>
    <w:tmpl w:val="D870C222"/>
    <w:lvl w:ilvl="0" w:tplc="D38AFD10">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2" w15:restartNumberingAfterBreak="0">
    <w:nsid w:val="38B41F68"/>
    <w:multiLevelType w:val="hybridMultilevel"/>
    <w:tmpl w:val="C5C80E50"/>
    <w:lvl w:ilvl="0" w:tplc="8756863A">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3" w15:restartNumberingAfterBreak="0">
    <w:nsid w:val="3902482C"/>
    <w:multiLevelType w:val="multilevel"/>
    <w:tmpl w:val="3902482C"/>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94" w15:restartNumberingAfterBreak="0">
    <w:nsid w:val="39D97AB5"/>
    <w:multiLevelType w:val="hybridMultilevel"/>
    <w:tmpl w:val="3B12B5B0"/>
    <w:lvl w:ilvl="0" w:tplc="EB326272">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5" w15:restartNumberingAfterBreak="0">
    <w:nsid w:val="39DFA707"/>
    <w:multiLevelType w:val="singleLevel"/>
    <w:tmpl w:val="39DFA707"/>
    <w:lvl w:ilvl="0">
      <w:start w:val="1"/>
      <w:numFmt w:val="decimal"/>
      <w:suff w:val="space"/>
      <w:lvlText w:val="%1."/>
      <w:lvlJc w:val="left"/>
    </w:lvl>
  </w:abstractNum>
  <w:abstractNum w:abstractNumId="196" w15:restartNumberingAfterBreak="0">
    <w:nsid w:val="3A2F510E"/>
    <w:multiLevelType w:val="multilevel"/>
    <w:tmpl w:val="3A2F510E"/>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97" w15:restartNumberingAfterBreak="0">
    <w:nsid w:val="3A95EB63"/>
    <w:multiLevelType w:val="singleLevel"/>
    <w:tmpl w:val="3A95EB63"/>
    <w:lvl w:ilvl="0">
      <w:start w:val="1"/>
      <w:numFmt w:val="decimal"/>
      <w:suff w:val="space"/>
      <w:lvlText w:val="%1."/>
      <w:lvlJc w:val="left"/>
    </w:lvl>
  </w:abstractNum>
  <w:abstractNum w:abstractNumId="198" w15:restartNumberingAfterBreak="0">
    <w:nsid w:val="3B9C3098"/>
    <w:multiLevelType w:val="singleLevel"/>
    <w:tmpl w:val="3B9C3098"/>
    <w:lvl w:ilvl="0">
      <w:start w:val="1"/>
      <w:numFmt w:val="decimal"/>
      <w:suff w:val="space"/>
      <w:lvlText w:val="%1."/>
      <w:lvlJc w:val="left"/>
    </w:lvl>
  </w:abstractNum>
  <w:abstractNum w:abstractNumId="199" w15:restartNumberingAfterBreak="0">
    <w:nsid w:val="3BC82AB7"/>
    <w:multiLevelType w:val="singleLevel"/>
    <w:tmpl w:val="3BC82AB7"/>
    <w:lvl w:ilvl="0">
      <w:start w:val="1"/>
      <w:numFmt w:val="decimal"/>
      <w:suff w:val="space"/>
      <w:lvlText w:val="%1."/>
      <w:lvlJc w:val="left"/>
    </w:lvl>
  </w:abstractNum>
  <w:abstractNum w:abstractNumId="200" w15:restartNumberingAfterBreak="0">
    <w:nsid w:val="3C2827A6"/>
    <w:multiLevelType w:val="singleLevel"/>
    <w:tmpl w:val="3C2827A6"/>
    <w:lvl w:ilvl="0">
      <w:start w:val="1"/>
      <w:numFmt w:val="decimal"/>
      <w:suff w:val="space"/>
      <w:lvlText w:val="%1."/>
      <w:lvlJc w:val="left"/>
    </w:lvl>
  </w:abstractNum>
  <w:abstractNum w:abstractNumId="201" w15:restartNumberingAfterBreak="0">
    <w:nsid w:val="3CAD661A"/>
    <w:multiLevelType w:val="multilevel"/>
    <w:tmpl w:val="3CAD661A"/>
    <w:lvl w:ilvl="0">
      <w:start w:val="2"/>
      <w:numFmt w:val="decimal"/>
      <w:lvlText w:val="%1."/>
      <w:lvlJc w:val="left"/>
      <w:pPr>
        <w:ind w:left="1320" w:hanging="84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02" w15:restartNumberingAfterBreak="0">
    <w:nsid w:val="3CC21855"/>
    <w:multiLevelType w:val="multilevel"/>
    <w:tmpl w:val="3CC21855"/>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03" w15:restartNumberingAfterBreak="0">
    <w:nsid w:val="3CFE57D2"/>
    <w:multiLevelType w:val="singleLevel"/>
    <w:tmpl w:val="3CFE57D2"/>
    <w:lvl w:ilvl="0">
      <w:start w:val="1"/>
      <w:numFmt w:val="decimal"/>
      <w:suff w:val="space"/>
      <w:lvlText w:val="%1."/>
      <w:lvlJc w:val="left"/>
    </w:lvl>
  </w:abstractNum>
  <w:abstractNum w:abstractNumId="204" w15:restartNumberingAfterBreak="0">
    <w:nsid w:val="3D0C8D3B"/>
    <w:multiLevelType w:val="singleLevel"/>
    <w:tmpl w:val="3D0C8D3B"/>
    <w:lvl w:ilvl="0">
      <w:start w:val="8"/>
      <w:numFmt w:val="chineseCounting"/>
      <w:suff w:val="space"/>
      <w:lvlText w:val="第%1章"/>
      <w:lvlJc w:val="left"/>
      <w:rPr>
        <w:rFonts w:hint="eastAsia"/>
      </w:rPr>
    </w:lvl>
  </w:abstractNum>
  <w:abstractNum w:abstractNumId="205" w15:restartNumberingAfterBreak="0">
    <w:nsid w:val="3D89797B"/>
    <w:multiLevelType w:val="hybridMultilevel"/>
    <w:tmpl w:val="A09C1BCA"/>
    <w:lvl w:ilvl="0" w:tplc="DAF21546">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6" w15:restartNumberingAfterBreak="0">
    <w:nsid w:val="3EF76D01"/>
    <w:multiLevelType w:val="singleLevel"/>
    <w:tmpl w:val="3EF76D01"/>
    <w:lvl w:ilvl="0">
      <w:start w:val="1"/>
      <w:numFmt w:val="decimal"/>
      <w:lvlText w:val="%1."/>
      <w:lvlJc w:val="left"/>
      <w:pPr>
        <w:tabs>
          <w:tab w:val="left" w:pos="312"/>
        </w:tabs>
      </w:pPr>
    </w:lvl>
  </w:abstractNum>
  <w:abstractNum w:abstractNumId="207" w15:restartNumberingAfterBreak="0">
    <w:nsid w:val="3F9E2974"/>
    <w:multiLevelType w:val="singleLevel"/>
    <w:tmpl w:val="3F9E2974"/>
    <w:lvl w:ilvl="0">
      <w:start w:val="1"/>
      <w:numFmt w:val="decimal"/>
      <w:suff w:val="space"/>
      <w:lvlText w:val="%1."/>
      <w:lvlJc w:val="left"/>
    </w:lvl>
  </w:abstractNum>
  <w:abstractNum w:abstractNumId="208" w15:restartNumberingAfterBreak="0">
    <w:nsid w:val="3FA4AABD"/>
    <w:multiLevelType w:val="singleLevel"/>
    <w:tmpl w:val="3FA4AABD"/>
    <w:lvl w:ilvl="0">
      <w:start w:val="1"/>
      <w:numFmt w:val="decimal"/>
      <w:suff w:val="space"/>
      <w:lvlText w:val="%1."/>
      <w:lvlJc w:val="left"/>
    </w:lvl>
  </w:abstractNum>
  <w:abstractNum w:abstractNumId="209" w15:restartNumberingAfterBreak="0">
    <w:nsid w:val="3FDF0520"/>
    <w:multiLevelType w:val="multilevel"/>
    <w:tmpl w:val="3FDF0520"/>
    <w:lvl w:ilvl="0">
      <w:start w:val="1"/>
      <w:numFmt w:val="decimal"/>
      <w:lvlText w:val="%1."/>
      <w:lvlJc w:val="left"/>
      <w:pPr>
        <w:ind w:left="840" w:hanging="360"/>
      </w:pPr>
      <w:rPr>
        <w:rFonts w:ascii="宋体" w:hAnsi="宋体" w:hint="default"/>
        <w:sz w:val="24"/>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10" w15:restartNumberingAfterBreak="0">
    <w:nsid w:val="4023D1B9"/>
    <w:multiLevelType w:val="singleLevel"/>
    <w:tmpl w:val="4023D1B9"/>
    <w:lvl w:ilvl="0">
      <w:start w:val="1"/>
      <w:numFmt w:val="decimal"/>
      <w:suff w:val="space"/>
      <w:lvlText w:val="%1."/>
      <w:lvlJc w:val="left"/>
    </w:lvl>
  </w:abstractNum>
  <w:abstractNum w:abstractNumId="211" w15:restartNumberingAfterBreak="0">
    <w:nsid w:val="40CB620B"/>
    <w:multiLevelType w:val="hybridMultilevel"/>
    <w:tmpl w:val="87D0CE92"/>
    <w:lvl w:ilvl="0" w:tplc="A91E9054">
      <w:start w:val="1"/>
      <w:numFmt w:val="decimal"/>
      <w:lvlText w:val="%1."/>
      <w:lvlJc w:val="left"/>
      <w:pPr>
        <w:ind w:left="780" w:hanging="360"/>
      </w:pPr>
      <w:rPr>
        <w:rFonts w:hint="eastAsia"/>
      </w:rPr>
    </w:lvl>
    <w:lvl w:ilvl="1" w:tplc="04090019" w:tentative="1">
      <w:start w:val="1"/>
      <w:numFmt w:val="lowerLetter"/>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lowerLetter"/>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lowerLetter"/>
      <w:lvlText w:val="%8)"/>
      <w:lvlJc w:val="left"/>
      <w:pPr>
        <w:ind w:left="4260" w:hanging="480"/>
      </w:pPr>
    </w:lvl>
    <w:lvl w:ilvl="8" w:tplc="0409001B" w:tentative="1">
      <w:start w:val="1"/>
      <w:numFmt w:val="lowerRoman"/>
      <w:lvlText w:val="%9."/>
      <w:lvlJc w:val="right"/>
      <w:pPr>
        <w:ind w:left="4740" w:hanging="480"/>
      </w:pPr>
    </w:lvl>
  </w:abstractNum>
  <w:abstractNum w:abstractNumId="212" w15:restartNumberingAfterBreak="0">
    <w:nsid w:val="40D1ECF8"/>
    <w:multiLevelType w:val="singleLevel"/>
    <w:tmpl w:val="40D1ECF8"/>
    <w:lvl w:ilvl="0">
      <w:start w:val="1"/>
      <w:numFmt w:val="decimal"/>
      <w:suff w:val="space"/>
      <w:lvlText w:val="%1."/>
      <w:lvlJc w:val="left"/>
    </w:lvl>
  </w:abstractNum>
  <w:abstractNum w:abstractNumId="213" w15:restartNumberingAfterBreak="0">
    <w:nsid w:val="41372C5E"/>
    <w:multiLevelType w:val="singleLevel"/>
    <w:tmpl w:val="41372C5E"/>
    <w:lvl w:ilvl="0">
      <w:start w:val="1"/>
      <w:numFmt w:val="decimal"/>
      <w:suff w:val="space"/>
      <w:lvlText w:val="%1."/>
      <w:lvlJc w:val="left"/>
    </w:lvl>
  </w:abstractNum>
  <w:abstractNum w:abstractNumId="214" w15:restartNumberingAfterBreak="0">
    <w:nsid w:val="41B57346"/>
    <w:multiLevelType w:val="singleLevel"/>
    <w:tmpl w:val="41B57346"/>
    <w:lvl w:ilvl="0">
      <w:start w:val="1"/>
      <w:numFmt w:val="decimal"/>
      <w:suff w:val="space"/>
      <w:lvlText w:val="%1."/>
      <w:lvlJc w:val="left"/>
    </w:lvl>
  </w:abstractNum>
  <w:abstractNum w:abstractNumId="215" w15:restartNumberingAfterBreak="0">
    <w:nsid w:val="42236EB1"/>
    <w:multiLevelType w:val="hybridMultilevel"/>
    <w:tmpl w:val="4106F44A"/>
    <w:lvl w:ilvl="0" w:tplc="E09A1190">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6" w15:restartNumberingAfterBreak="0">
    <w:nsid w:val="42E3A70D"/>
    <w:multiLevelType w:val="singleLevel"/>
    <w:tmpl w:val="42E3A70D"/>
    <w:lvl w:ilvl="0">
      <w:start w:val="1"/>
      <w:numFmt w:val="decimal"/>
      <w:suff w:val="space"/>
      <w:lvlText w:val="%1."/>
      <w:lvlJc w:val="left"/>
    </w:lvl>
  </w:abstractNum>
  <w:abstractNum w:abstractNumId="217" w15:restartNumberingAfterBreak="0">
    <w:nsid w:val="432A79DE"/>
    <w:multiLevelType w:val="singleLevel"/>
    <w:tmpl w:val="432A79DE"/>
    <w:lvl w:ilvl="0">
      <w:start w:val="1"/>
      <w:numFmt w:val="decimal"/>
      <w:suff w:val="space"/>
      <w:lvlText w:val="%1."/>
      <w:lvlJc w:val="left"/>
    </w:lvl>
  </w:abstractNum>
  <w:abstractNum w:abstractNumId="218" w15:restartNumberingAfterBreak="0">
    <w:nsid w:val="439E41C1"/>
    <w:multiLevelType w:val="multilevel"/>
    <w:tmpl w:val="439E41C1"/>
    <w:lvl w:ilvl="0">
      <w:start w:val="9"/>
      <w:numFmt w:val="japaneseCounting"/>
      <w:lvlText w:val="第%1章"/>
      <w:lvlJc w:val="left"/>
      <w:pPr>
        <w:ind w:left="900" w:hanging="900"/>
      </w:pPr>
      <w:rPr>
        <w:rFonts w:hAnsi="Arial"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19" w15:restartNumberingAfterBreak="0">
    <w:nsid w:val="440AA3C3"/>
    <w:multiLevelType w:val="singleLevel"/>
    <w:tmpl w:val="440AA3C3"/>
    <w:lvl w:ilvl="0">
      <w:start w:val="2"/>
      <w:numFmt w:val="chineseCounting"/>
      <w:suff w:val="nothing"/>
      <w:lvlText w:val="（%1）"/>
      <w:lvlJc w:val="left"/>
      <w:rPr>
        <w:rFonts w:hint="eastAsia"/>
      </w:rPr>
    </w:lvl>
  </w:abstractNum>
  <w:abstractNum w:abstractNumId="220" w15:restartNumberingAfterBreak="0">
    <w:nsid w:val="4412306C"/>
    <w:multiLevelType w:val="multilevel"/>
    <w:tmpl w:val="4412306C"/>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21" w15:restartNumberingAfterBreak="0">
    <w:nsid w:val="44E181CB"/>
    <w:multiLevelType w:val="singleLevel"/>
    <w:tmpl w:val="44E181CB"/>
    <w:lvl w:ilvl="0">
      <w:start w:val="1"/>
      <w:numFmt w:val="decimal"/>
      <w:suff w:val="space"/>
      <w:lvlText w:val="%1."/>
      <w:lvlJc w:val="left"/>
    </w:lvl>
  </w:abstractNum>
  <w:abstractNum w:abstractNumId="222" w15:restartNumberingAfterBreak="0">
    <w:nsid w:val="45429D6E"/>
    <w:multiLevelType w:val="singleLevel"/>
    <w:tmpl w:val="45429D6E"/>
    <w:lvl w:ilvl="0">
      <w:start w:val="1"/>
      <w:numFmt w:val="decimal"/>
      <w:suff w:val="space"/>
      <w:lvlText w:val="%1."/>
      <w:lvlJc w:val="left"/>
    </w:lvl>
  </w:abstractNum>
  <w:abstractNum w:abstractNumId="223" w15:restartNumberingAfterBreak="0">
    <w:nsid w:val="459B03E1"/>
    <w:multiLevelType w:val="multilevel"/>
    <w:tmpl w:val="459B03E1"/>
    <w:lvl w:ilvl="0">
      <w:start w:val="9"/>
      <w:numFmt w:val="japaneseCounting"/>
      <w:lvlText w:val="第%1章"/>
      <w:lvlJc w:val="left"/>
      <w:pPr>
        <w:ind w:left="900" w:hanging="900"/>
      </w:pPr>
      <w:rPr>
        <w:rFonts w:hAnsi="Arial"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4" w15:restartNumberingAfterBreak="0">
    <w:nsid w:val="45C96E0E"/>
    <w:multiLevelType w:val="singleLevel"/>
    <w:tmpl w:val="45C96E0E"/>
    <w:lvl w:ilvl="0">
      <w:start w:val="1"/>
      <w:numFmt w:val="decimal"/>
      <w:suff w:val="space"/>
      <w:lvlText w:val="%1."/>
      <w:lvlJc w:val="left"/>
    </w:lvl>
  </w:abstractNum>
  <w:abstractNum w:abstractNumId="225" w15:restartNumberingAfterBreak="0">
    <w:nsid w:val="476ED09A"/>
    <w:multiLevelType w:val="singleLevel"/>
    <w:tmpl w:val="476ED09A"/>
    <w:lvl w:ilvl="0">
      <w:start w:val="1"/>
      <w:numFmt w:val="decimal"/>
      <w:suff w:val="space"/>
      <w:lvlText w:val="%1."/>
      <w:lvlJc w:val="left"/>
    </w:lvl>
  </w:abstractNum>
  <w:abstractNum w:abstractNumId="226" w15:restartNumberingAfterBreak="0">
    <w:nsid w:val="4789B9AC"/>
    <w:multiLevelType w:val="singleLevel"/>
    <w:tmpl w:val="4789B9AC"/>
    <w:lvl w:ilvl="0">
      <w:start w:val="1"/>
      <w:numFmt w:val="decimal"/>
      <w:suff w:val="space"/>
      <w:lvlText w:val="%1."/>
      <w:lvlJc w:val="left"/>
    </w:lvl>
  </w:abstractNum>
  <w:abstractNum w:abstractNumId="227" w15:restartNumberingAfterBreak="0">
    <w:nsid w:val="479047D6"/>
    <w:multiLevelType w:val="singleLevel"/>
    <w:tmpl w:val="479047D6"/>
    <w:lvl w:ilvl="0">
      <w:start w:val="1"/>
      <w:numFmt w:val="decimal"/>
      <w:suff w:val="space"/>
      <w:lvlText w:val="%1."/>
      <w:lvlJc w:val="left"/>
    </w:lvl>
  </w:abstractNum>
  <w:abstractNum w:abstractNumId="228" w15:restartNumberingAfterBreak="0">
    <w:nsid w:val="48FC8886"/>
    <w:multiLevelType w:val="singleLevel"/>
    <w:tmpl w:val="48FC8886"/>
    <w:lvl w:ilvl="0">
      <w:start w:val="4"/>
      <w:numFmt w:val="chineseCounting"/>
      <w:suff w:val="nothing"/>
      <w:lvlText w:val="%1、"/>
      <w:lvlJc w:val="left"/>
      <w:rPr>
        <w:rFonts w:hint="eastAsia"/>
      </w:rPr>
    </w:lvl>
  </w:abstractNum>
  <w:abstractNum w:abstractNumId="229" w15:restartNumberingAfterBreak="0">
    <w:nsid w:val="49BB6074"/>
    <w:multiLevelType w:val="multilevel"/>
    <w:tmpl w:val="49BB6074"/>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rPr>
        <w:rFonts w:hint="default"/>
      </w:r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0" w15:restartNumberingAfterBreak="0">
    <w:nsid w:val="4A03A26A"/>
    <w:multiLevelType w:val="singleLevel"/>
    <w:tmpl w:val="4A03A26A"/>
    <w:lvl w:ilvl="0">
      <w:start w:val="1"/>
      <w:numFmt w:val="decimal"/>
      <w:suff w:val="space"/>
      <w:lvlText w:val="%1."/>
      <w:lvlJc w:val="left"/>
    </w:lvl>
  </w:abstractNum>
  <w:abstractNum w:abstractNumId="231" w15:restartNumberingAfterBreak="0">
    <w:nsid w:val="4A0D475F"/>
    <w:multiLevelType w:val="singleLevel"/>
    <w:tmpl w:val="4A0D475F"/>
    <w:lvl w:ilvl="0">
      <w:start w:val="1"/>
      <w:numFmt w:val="decimal"/>
      <w:suff w:val="space"/>
      <w:lvlText w:val="%1."/>
      <w:lvlJc w:val="left"/>
      <w:pPr>
        <w:ind w:left="480" w:firstLine="0"/>
      </w:pPr>
    </w:lvl>
  </w:abstractNum>
  <w:abstractNum w:abstractNumId="232" w15:restartNumberingAfterBreak="0">
    <w:nsid w:val="4A7FE39B"/>
    <w:multiLevelType w:val="singleLevel"/>
    <w:tmpl w:val="4A7FE39B"/>
    <w:lvl w:ilvl="0">
      <w:start w:val="1"/>
      <w:numFmt w:val="decimal"/>
      <w:suff w:val="space"/>
      <w:lvlText w:val="%1."/>
      <w:lvlJc w:val="left"/>
    </w:lvl>
  </w:abstractNum>
  <w:abstractNum w:abstractNumId="233" w15:restartNumberingAfterBreak="0">
    <w:nsid w:val="4ABF4147"/>
    <w:multiLevelType w:val="multilevel"/>
    <w:tmpl w:val="4ABF4147"/>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34" w15:restartNumberingAfterBreak="0">
    <w:nsid w:val="4AD837E8"/>
    <w:multiLevelType w:val="singleLevel"/>
    <w:tmpl w:val="4AD837E8"/>
    <w:lvl w:ilvl="0">
      <w:start w:val="3"/>
      <w:numFmt w:val="decimal"/>
      <w:lvlText w:val="%1."/>
      <w:lvlJc w:val="left"/>
      <w:pPr>
        <w:tabs>
          <w:tab w:val="num" w:pos="312"/>
        </w:tabs>
      </w:pPr>
    </w:lvl>
  </w:abstractNum>
  <w:abstractNum w:abstractNumId="235" w15:restartNumberingAfterBreak="0">
    <w:nsid w:val="4B4E37E1"/>
    <w:multiLevelType w:val="multilevel"/>
    <w:tmpl w:val="4B4E37E1"/>
    <w:lvl w:ilvl="0">
      <w:start w:val="1"/>
      <w:numFmt w:val="decimal"/>
      <w:lvlText w:val="%1."/>
      <w:lvlJc w:val="left"/>
      <w:pPr>
        <w:ind w:left="1320" w:hanging="84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36" w15:restartNumberingAfterBreak="0">
    <w:nsid w:val="4BBD68A0"/>
    <w:multiLevelType w:val="multilevel"/>
    <w:tmpl w:val="4BBD68A0"/>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37" w15:restartNumberingAfterBreak="0">
    <w:nsid w:val="4BE6D078"/>
    <w:multiLevelType w:val="singleLevel"/>
    <w:tmpl w:val="4BE6D078"/>
    <w:lvl w:ilvl="0">
      <w:start w:val="1"/>
      <w:numFmt w:val="decimal"/>
      <w:suff w:val="space"/>
      <w:lvlText w:val="%1."/>
      <w:lvlJc w:val="left"/>
    </w:lvl>
  </w:abstractNum>
  <w:abstractNum w:abstractNumId="238" w15:restartNumberingAfterBreak="0">
    <w:nsid w:val="4D3E1BBD"/>
    <w:multiLevelType w:val="hybridMultilevel"/>
    <w:tmpl w:val="200AAB82"/>
    <w:lvl w:ilvl="0" w:tplc="B4628094">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9" w15:restartNumberingAfterBreak="0">
    <w:nsid w:val="4E2511E6"/>
    <w:multiLevelType w:val="singleLevel"/>
    <w:tmpl w:val="4E2511E6"/>
    <w:lvl w:ilvl="0">
      <w:start w:val="1"/>
      <w:numFmt w:val="decimal"/>
      <w:lvlText w:val="%1."/>
      <w:lvlJc w:val="left"/>
      <w:pPr>
        <w:tabs>
          <w:tab w:val="left" w:pos="312"/>
        </w:tabs>
      </w:pPr>
    </w:lvl>
  </w:abstractNum>
  <w:abstractNum w:abstractNumId="240" w15:restartNumberingAfterBreak="0">
    <w:nsid w:val="4E58FC4B"/>
    <w:multiLevelType w:val="singleLevel"/>
    <w:tmpl w:val="4E58FC4B"/>
    <w:lvl w:ilvl="0">
      <w:start w:val="1"/>
      <w:numFmt w:val="decimal"/>
      <w:suff w:val="space"/>
      <w:lvlText w:val="%1."/>
      <w:lvlJc w:val="left"/>
    </w:lvl>
  </w:abstractNum>
  <w:abstractNum w:abstractNumId="241" w15:restartNumberingAfterBreak="0">
    <w:nsid w:val="4FE6862D"/>
    <w:multiLevelType w:val="singleLevel"/>
    <w:tmpl w:val="4FE6862D"/>
    <w:lvl w:ilvl="0">
      <w:start w:val="1"/>
      <w:numFmt w:val="decimal"/>
      <w:suff w:val="space"/>
      <w:lvlText w:val="%1."/>
      <w:lvlJc w:val="left"/>
    </w:lvl>
  </w:abstractNum>
  <w:abstractNum w:abstractNumId="242" w15:restartNumberingAfterBreak="0">
    <w:nsid w:val="50187A67"/>
    <w:multiLevelType w:val="multilevel"/>
    <w:tmpl w:val="50187A67"/>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43" w15:restartNumberingAfterBreak="0">
    <w:nsid w:val="501D37EA"/>
    <w:multiLevelType w:val="multilevel"/>
    <w:tmpl w:val="501D37EA"/>
    <w:lvl w:ilvl="0">
      <w:start w:val="1"/>
      <w:numFmt w:val="decimal"/>
      <w:lvlText w:val="%1."/>
      <w:lvlJc w:val="left"/>
      <w:pPr>
        <w:ind w:left="1320" w:hanging="360"/>
      </w:pPr>
      <w:rPr>
        <w:rFonts w:hint="default"/>
      </w:rPr>
    </w:lvl>
    <w:lvl w:ilvl="1">
      <w:start w:val="1"/>
      <w:numFmt w:val="decimal"/>
      <w:lvlText w:val="%2."/>
      <w:lvlJc w:val="left"/>
      <w:pPr>
        <w:ind w:left="1320" w:hanging="420"/>
      </w:pPr>
      <w:rPr>
        <w:rFonts w:hint="default"/>
      </w:r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44" w15:restartNumberingAfterBreak="0">
    <w:nsid w:val="508F711F"/>
    <w:multiLevelType w:val="singleLevel"/>
    <w:tmpl w:val="508F711F"/>
    <w:lvl w:ilvl="0">
      <w:start w:val="1"/>
      <w:numFmt w:val="decimal"/>
      <w:suff w:val="space"/>
      <w:lvlText w:val="%1."/>
      <w:lvlJc w:val="left"/>
    </w:lvl>
  </w:abstractNum>
  <w:abstractNum w:abstractNumId="245" w15:restartNumberingAfterBreak="0">
    <w:nsid w:val="5106214A"/>
    <w:multiLevelType w:val="multilevel"/>
    <w:tmpl w:val="5106214A"/>
    <w:lvl w:ilvl="0">
      <w:start w:val="1"/>
      <w:numFmt w:val="decimal"/>
      <w:lvlText w:val="%1."/>
      <w:lvlJc w:val="left"/>
      <w:pPr>
        <w:ind w:left="840" w:hanging="360"/>
      </w:pPr>
      <w:rPr>
        <w:rFonts w:ascii="宋体" w:hAnsi="宋体"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46" w15:restartNumberingAfterBreak="0">
    <w:nsid w:val="512D0C44"/>
    <w:multiLevelType w:val="singleLevel"/>
    <w:tmpl w:val="512D0C44"/>
    <w:lvl w:ilvl="0">
      <w:start w:val="1"/>
      <w:numFmt w:val="decimal"/>
      <w:suff w:val="space"/>
      <w:lvlText w:val="%1."/>
      <w:lvlJc w:val="left"/>
    </w:lvl>
  </w:abstractNum>
  <w:abstractNum w:abstractNumId="247" w15:restartNumberingAfterBreak="0">
    <w:nsid w:val="51364798"/>
    <w:multiLevelType w:val="multilevel"/>
    <w:tmpl w:val="51364798"/>
    <w:lvl w:ilvl="0">
      <w:start w:val="1"/>
      <w:numFmt w:val="decimal"/>
      <w:lvlText w:val="%1."/>
      <w:lvlJc w:val="left"/>
      <w:pPr>
        <w:ind w:left="900" w:hanging="4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48" w15:restartNumberingAfterBreak="0">
    <w:nsid w:val="51997015"/>
    <w:multiLevelType w:val="singleLevel"/>
    <w:tmpl w:val="51997015"/>
    <w:lvl w:ilvl="0">
      <w:start w:val="1"/>
      <w:numFmt w:val="decimal"/>
      <w:suff w:val="space"/>
      <w:lvlText w:val="%1."/>
      <w:lvlJc w:val="left"/>
    </w:lvl>
  </w:abstractNum>
  <w:abstractNum w:abstractNumId="249" w15:restartNumberingAfterBreak="0">
    <w:nsid w:val="51A86CE1"/>
    <w:multiLevelType w:val="hybridMultilevel"/>
    <w:tmpl w:val="8CFC0EC0"/>
    <w:lvl w:ilvl="0" w:tplc="2062C4BA">
      <w:start w:val="1"/>
      <w:numFmt w:val="decimal"/>
      <w:lvlText w:val="%1."/>
      <w:lvlJc w:val="left"/>
      <w:pPr>
        <w:ind w:left="840" w:hanging="360"/>
      </w:pPr>
      <w:rPr>
        <w:rFonts w:cs="Times New Roman"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0" w15:restartNumberingAfterBreak="0">
    <w:nsid w:val="51B0073F"/>
    <w:multiLevelType w:val="hybridMultilevel"/>
    <w:tmpl w:val="1BBC62C4"/>
    <w:lvl w:ilvl="0" w:tplc="3448025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1" w15:restartNumberingAfterBreak="0">
    <w:nsid w:val="51DFB932"/>
    <w:multiLevelType w:val="singleLevel"/>
    <w:tmpl w:val="51DFB932"/>
    <w:lvl w:ilvl="0">
      <w:start w:val="1"/>
      <w:numFmt w:val="decimal"/>
      <w:suff w:val="space"/>
      <w:lvlText w:val="%1."/>
      <w:lvlJc w:val="left"/>
    </w:lvl>
  </w:abstractNum>
  <w:abstractNum w:abstractNumId="252" w15:restartNumberingAfterBreak="0">
    <w:nsid w:val="51EC59E0"/>
    <w:multiLevelType w:val="singleLevel"/>
    <w:tmpl w:val="51EC59E0"/>
    <w:lvl w:ilvl="0">
      <w:start w:val="1"/>
      <w:numFmt w:val="decimal"/>
      <w:suff w:val="space"/>
      <w:lvlText w:val="%1."/>
      <w:lvlJc w:val="left"/>
    </w:lvl>
  </w:abstractNum>
  <w:abstractNum w:abstractNumId="253" w15:restartNumberingAfterBreak="0">
    <w:nsid w:val="53934832"/>
    <w:multiLevelType w:val="singleLevel"/>
    <w:tmpl w:val="53934832"/>
    <w:lvl w:ilvl="0">
      <w:start w:val="1"/>
      <w:numFmt w:val="decimal"/>
      <w:suff w:val="space"/>
      <w:lvlText w:val="%1."/>
      <w:lvlJc w:val="left"/>
    </w:lvl>
  </w:abstractNum>
  <w:abstractNum w:abstractNumId="254" w15:restartNumberingAfterBreak="0">
    <w:nsid w:val="53D70B35"/>
    <w:multiLevelType w:val="multilevel"/>
    <w:tmpl w:val="53D70B35"/>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55" w15:restartNumberingAfterBreak="0">
    <w:nsid w:val="545B75E0"/>
    <w:multiLevelType w:val="hybridMultilevel"/>
    <w:tmpl w:val="697C21EA"/>
    <w:lvl w:ilvl="0" w:tplc="65CEEA76">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6" w15:restartNumberingAfterBreak="0">
    <w:nsid w:val="54A80526"/>
    <w:multiLevelType w:val="multilevel"/>
    <w:tmpl w:val="54A80526"/>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57" w15:restartNumberingAfterBreak="0">
    <w:nsid w:val="54B57082"/>
    <w:multiLevelType w:val="multilevel"/>
    <w:tmpl w:val="54B57082"/>
    <w:lvl w:ilvl="0">
      <w:start w:val="1"/>
      <w:numFmt w:val="decimal"/>
      <w:lvlText w:val="%1."/>
      <w:lvlJc w:val="left"/>
      <w:pPr>
        <w:ind w:left="795" w:hanging="360"/>
      </w:pPr>
      <w:rPr>
        <w:rFonts w:hint="default"/>
      </w:rPr>
    </w:lvl>
    <w:lvl w:ilvl="1">
      <w:start w:val="1"/>
      <w:numFmt w:val="lowerLetter"/>
      <w:lvlText w:val="%2)"/>
      <w:lvlJc w:val="left"/>
      <w:pPr>
        <w:ind w:left="1275" w:hanging="420"/>
      </w:pPr>
    </w:lvl>
    <w:lvl w:ilvl="2">
      <w:start w:val="1"/>
      <w:numFmt w:val="lowerRoman"/>
      <w:lvlText w:val="%3."/>
      <w:lvlJc w:val="right"/>
      <w:pPr>
        <w:ind w:left="1695" w:hanging="420"/>
      </w:pPr>
    </w:lvl>
    <w:lvl w:ilvl="3">
      <w:start w:val="1"/>
      <w:numFmt w:val="decimal"/>
      <w:lvlText w:val="%4."/>
      <w:lvlJc w:val="left"/>
      <w:pPr>
        <w:ind w:left="2115" w:hanging="420"/>
      </w:pPr>
    </w:lvl>
    <w:lvl w:ilvl="4">
      <w:start w:val="1"/>
      <w:numFmt w:val="lowerLetter"/>
      <w:lvlText w:val="%5)"/>
      <w:lvlJc w:val="left"/>
      <w:pPr>
        <w:ind w:left="2535" w:hanging="420"/>
      </w:pPr>
    </w:lvl>
    <w:lvl w:ilvl="5">
      <w:start w:val="1"/>
      <w:numFmt w:val="lowerRoman"/>
      <w:lvlText w:val="%6."/>
      <w:lvlJc w:val="right"/>
      <w:pPr>
        <w:ind w:left="2955" w:hanging="420"/>
      </w:pPr>
    </w:lvl>
    <w:lvl w:ilvl="6">
      <w:start w:val="1"/>
      <w:numFmt w:val="decimal"/>
      <w:lvlText w:val="%7."/>
      <w:lvlJc w:val="left"/>
      <w:pPr>
        <w:ind w:left="3375" w:hanging="420"/>
      </w:pPr>
    </w:lvl>
    <w:lvl w:ilvl="7">
      <w:start w:val="1"/>
      <w:numFmt w:val="lowerLetter"/>
      <w:lvlText w:val="%8)"/>
      <w:lvlJc w:val="left"/>
      <w:pPr>
        <w:ind w:left="3795" w:hanging="420"/>
      </w:pPr>
    </w:lvl>
    <w:lvl w:ilvl="8">
      <w:start w:val="1"/>
      <w:numFmt w:val="lowerRoman"/>
      <w:lvlText w:val="%9."/>
      <w:lvlJc w:val="right"/>
      <w:pPr>
        <w:ind w:left="4215" w:hanging="420"/>
      </w:pPr>
    </w:lvl>
  </w:abstractNum>
  <w:abstractNum w:abstractNumId="258" w15:restartNumberingAfterBreak="0">
    <w:nsid w:val="54C263BE"/>
    <w:multiLevelType w:val="hybridMultilevel"/>
    <w:tmpl w:val="6EC61C52"/>
    <w:lvl w:ilvl="0" w:tplc="2522F1AA">
      <w:start w:val="1"/>
      <w:numFmt w:val="decimal"/>
      <w:lvlText w:val="%1."/>
      <w:lvlJc w:val="left"/>
      <w:pPr>
        <w:ind w:left="960" w:hanging="480"/>
      </w:pPr>
      <w:rPr>
        <w:rFonts w:hint="eastAsia"/>
        <w:color w:val="000000" w:themeColor="text1"/>
      </w:rPr>
    </w:lvl>
    <w:lvl w:ilvl="1" w:tplc="04090019" w:tentative="1">
      <w:start w:val="1"/>
      <w:numFmt w:val="lowerLetter"/>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lowerLetter"/>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lowerLetter"/>
      <w:lvlText w:val="%8)"/>
      <w:lvlJc w:val="left"/>
      <w:pPr>
        <w:ind w:left="4320" w:hanging="480"/>
      </w:pPr>
    </w:lvl>
    <w:lvl w:ilvl="8" w:tplc="0409001B" w:tentative="1">
      <w:start w:val="1"/>
      <w:numFmt w:val="lowerRoman"/>
      <w:lvlText w:val="%9."/>
      <w:lvlJc w:val="right"/>
      <w:pPr>
        <w:ind w:left="4800" w:hanging="480"/>
      </w:pPr>
    </w:lvl>
  </w:abstractNum>
  <w:abstractNum w:abstractNumId="259" w15:restartNumberingAfterBreak="0">
    <w:nsid w:val="568521DE"/>
    <w:multiLevelType w:val="singleLevel"/>
    <w:tmpl w:val="568521DE"/>
    <w:lvl w:ilvl="0">
      <w:start w:val="1"/>
      <w:numFmt w:val="decimal"/>
      <w:suff w:val="space"/>
      <w:lvlText w:val="%1."/>
      <w:lvlJc w:val="left"/>
    </w:lvl>
  </w:abstractNum>
  <w:abstractNum w:abstractNumId="260" w15:restartNumberingAfterBreak="0">
    <w:nsid w:val="56923FF4"/>
    <w:multiLevelType w:val="singleLevel"/>
    <w:tmpl w:val="56923FF4"/>
    <w:lvl w:ilvl="0">
      <w:start w:val="1"/>
      <w:numFmt w:val="decimal"/>
      <w:suff w:val="space"/>
      <w:lvlText w:val="%1."/>
      <w:lvlJc w:val="left"/>
    </w:lvl>
  </w:abstractNum>
  <w:abstractNum w:abstractNumId="261" w15:restartNumberingAfterBreak="0">
    <w:nsid w:val="56943D1E"/>
    <w:multiLevelType w:val="multilevel"/>
    <w:tmpl w:val="56943D1E"/>
    <w:lvl w:ilvl="0">
      <w:start w:val="1"/>
      <w:numFmt w:val="decimal"/>
      <w:lvlText w:val="%1．"/>
      <w:lvlJc w:val="left"/>
      <w:pPr>
        <w:ind w:left="780" w:hanging="360"/>
      </w:pPr>
      <w:rPr>
        <w:rFonts w:ascii="Calibri" w:hAnsi="Calibri" w:hint="default"/>
        <w:color w:val="000000"/>
        <w:sz w:val="21"/>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62" w15:restartNumberingAfterBreak="0">
    <w:nsid w:val="56B11A69"/>
    <w:multiLevelType w:val="hybridMultilevel"/>
    <w:tmpl w:val="27844658"/>
    <w:lvl w:ilvl="0" w:tplc="D444AC78">
      <w:start w:val="1"/>
      <w:numFmt w:val="decimal"/>
      <w:lvlText w:val="%1."/>
      <w:lvlJc w:val="left"/>
      <w:pPr>
        <w:ind w:left="840" w:hanging="360"/>
      </w:pPr>
      <w:rPr>
        <w:rFonts w:cs="Times New Roman" w:hint="default"/>
        <w:color w:val="auto"/>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3" w15:restartNumberingAfterBreak="0">
    <w:nsid w:val="56FF3023"/>
    <w:multiLevelType w:val="multilevel"/>
    <w:tmpl w:val="56FF3023"/>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64" w15:restartNumberingAfterBreak="0">
    <w:nsid w:val="57BE20D6"/>
    <w:multiLevelType w:val="singleLevel"/>
    <w:tmpl w:val="57BE20D6"/>
    <w:lvl w:ilvl="0">
      <w:start w:val="1"/>
      <w:numFmt w:val="decimal"/>
      <w:suff w:val="space"/>
      <w:lvlText w:val="%1."/>
      <w:lvlJc w:val="left"/>
    </w:lvl>
  </w:abstractNum>
  <w:abstractNum w:abstractNumId="265" w15:restartNumberingAfterBreak="0">
    <w:nsid w:val="58340771"/>
    <w:multiLevelType w:val="hybridMultilevel"/>
    <w:tmpl w:val="661CBB22"/>
    <w:lvl w:ilvl="0" w:tplc="9F980844">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6" w15:restartNumberingAfterBreak="0">
    <w:nsid w:val="5930B147"/>
    <w:multiLevelType w:val="singleLevel"/>
    <w:tmpl w:val="5930B147"/>
    <w:lvl w:ilvl="0">
      <w:start w:val="1"/>
      <w:numFmt w:val="decimal"/>
      <w:suff w:val="space"/>
      <w:lvlText w:val="%1."/>
      <w:lvlJc w:val="left"/>
    </w:lvl>
  </w:abstractNum>
  <w:abstractNum w:abstractNumId="267" w15:restartNumberingAfterBreak="0">
    <w:nsid w:val="5A259997"/>
    <w:multiLevelType w:val="singleLevel"/>
    <w:tmpl w:val="5A259997"/>
    <w:lvl w:ilvl="0">
      <w:start w:val="1"/>
      <w:numFmt w:val="decimal"/>
      <w:suff w:val="space"/>
      <w:lvlText w:val="%1."/>
      <w:lvlJc w:val="left"/>
    </w:lvl>
  </w:abstractNum>
  <w:abstractNum w:abstractNumId="268" w15:restartNumberingAfterBreak="0">
    <w:nsid w:val="5A806A07"/>
    <w:multiLevelType w:val="singleLevel"/>
    <w:tmpl w:val="5A806A07"/>
    <w:lvl w:ilvl="0">
      <w:start w:val="1"/>
      <w:numFmt w:val="decimal"/>
      <w:suff w:val="space"/>
      <w:lvlText w:val="%1."/>
      <w:lvlJc w:val="left"/>
    </w:lvl>
  </w:abstractNum>
  <w:abstractNum w:abstractNumId="269" w15:restartNumberingAfterBreak="0">
    <w:nsid w:val="5C08811D"/>
    <w:multiLevelType w:val="singleLevel"/>
    <w:tmpl w:val="5C08811D"/>
    <w:lvl w:ilvl="0">
      <w:start w:val="2"/>
      <w:numFmt w:val="chineseCounting"/>
      <w:suff w:val="space"/>
      <w:lvlText w:val="第%1章"/>
      <w:lvlJc w:val="left"/>
    </w:lvl>
  </w:abstractNum>
  <w:abstractNum w:abstractNumId="270" w15:restartNumberingAfterBreak="0">
    <w:nsid w:val="5C088222"/>
    <w:multiLevelType w:val="singleLevel"/>
    <w:tmpl w:val="5C088222"/>
    <w:lvl w:ilvl="0">
      <w:start w:val="4"/>
      <w:numFmt w:val="chineseCounting"/>
      <w:suff w:val="space"/>
      <w:lvlText w:val="第%1章"/>
      <w:lvlJc w:val="left"/>
    </w:lvl>
  </w:abstractNum>
  <w:abstractNum w:abstractNumId="271" w15:restartNumberingAfterBreak="0">
    <w:nsid w:val="5DDE916F"/>
    <w:multiLevelType w:val="singleLevel"/>
    <w:tmpl w:val="5DDE916F"/>
    <w:lvl w:ilvl="0">
      <w:start w:val="1"/>
      <w:numFmt w:val="decimal"/>
      <w:suff w:val="nothing"/>
      <w:lvlText w:val="%1．"/>
      <w:lvlJc w:val="left"/>
      <w:pPr>
        <w:ind w:left="0" w:firstLine="400"/>
      </w:pPr>
      <w:rPr>
        <w:rFonts w:hint="default"/>
      </w:rPr>
    </w:lvl>
  </w:abstractNum>
  <w:abstractNum w:abstractNumId="272" w15:restartNumberingAfterBreak="0">
    <w:nsid w:val="5DE15173"/>
    <w:multiLevelType w:val="hybridMultilevel"/>
    <w:tmpl w:val="BA40C356"/>
    <w:lvl w:ilvl="0" w:tplc="A4142938">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73" w15:restartNumberingAfterBreak="0">
    <w:nsid w:val="5EE4ABA5"/>
    <w:multiLevelType w:val="singleLevel"/>
    <w:tmpl w:val="5EE4ABA5"/>
    <w:lvl w:ilvl="0">
      <w:start w:val="1"/>
      <w:numFmt w:val="decimal"/>
      <w:suff w:val="space"/>
      <w:lvlText w:val="%1."/>
      <w:lvlJc w:val="left"/>
    </w:lvl>
  </w:abstractNum>
  <w:abstractNum w:abstractNumId="274" w15:restartNumberingAfterBreak="0">
    <w:nsid w:val="5EEC5E04"/>
    <w:multiLevelType w:val="hybridMultilevel"/>
    <w:tmpl w:val="52DC20F6"/>
    <w:lvl w:ilvl="0" w:tplc="73F86D4A">
      <w:start w:val="1"/>
      <w:numFmt w:val="decimal"/>
      <w:lvlText w:val="%1."/>
      <w:lvlJc w:val="left"/>
      <w:pPr>
        <w:ind w:left="840" w:hanging="360"/>
      </w:pPr>
      <w:rPr>
        <w:rFonts w:cs="Times New Roman"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75" w15:restartNumberingAfterBreak="0">
    <w:nsid w:val="611B11B4"/>
    <w:multiLevelType w:val="multilevel"/>
    <w:tmpl w:val="611B11B4"/>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76" w15:restartNumberingAfterBreak="0">
    <w:nsid w:val="623B39E0"/>
    <w:multiLevelType w:val="hybridMultilevel"/>
    <w:tmpl w:val="E3025258"/>
    <w:lvl w:ilvl="0" w:tplc="9692C73C">
      <w:start w:val="1"/>
      <w:numFmt w:val="decimal"/>
      <w:lvlText w:val="%1."/>
      <w:lvlJc w:val="left"/>
      <w:pPr>
        <w:ind w:left="840" w:hanging="360"/>
      </w:pPr>
      <w:rPr>
        <w:rFonts w:ascii="宋体" w:hAnsi="宋体" w:hint="default"/>
        <w:sz w:val="24"/>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77" w15:restartNumberingAfterBreak="0">
    <w:nsid w:val="62FB0431"/>
    <w:multiLevelType w:val="hybridMultilevel"/>
    <w:tmpl w:val="00AE88D4"/>
    <w:lvl w:ilvl="0" w:tplc="3B103AEC">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78" w15:restartNumberingAfterBreak="0">
    <w:nsid w:val="6324D09B"/>
    <w:multiLevelType w:val="singleLevel"/>
    <w:tmpl w:val="6324D09B"/>
    <w:lvl w:ilvl="0">
      <w:start w:val="2"/>
      <w:numFmt w:val="decimal"/>
      <w:lvlText w:val="%1."/>
      <w:lvlJc w:val="left"/>
      <w:pPr>
        <w:tabs>
          <w:tab w:val="left" w:pos="312"/>
        </w:tabs>
      </w:pPr>
    </w:lvl>
  </w:abstractNum>
  <w:abstractNum w:abstractNumId="279" w15:restartNumberingAfterBreak="0">
    <w:nsid w:val="63F87AD5"/>
    <w:multiLevelType w:val="hybridMultilevel"/>
    <w:tmpl w:val="2B780E4A"/>
    <w:lvl w:ilvl="0" w:tplc="E0862614">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80" w15:restartNumberingAfterBreak="0">
    <w:nsid w:val="64113EC3"/>
    <w:multiLevelType w:val="singleLevel"/>
    <w:tmpl w:val="64113EC3"/>
    <w:lvl w:ilvl="0">
      <w:start w:val="1"/>
      <w:numFmt w:val="decimal"/>
      <w:suff w:val="space"/>
      <w:lvlText w:val="%1."/>
      <w:lvlJc w:val="left"/>
    </w:lvl>
  </w:abstractNum>
  <w:abstractNum w:abstractNumId="281" w15:restartNumberingAfterBreak="0">
    <w:nsid w:val="64752A38"/>
    <w:multiLevelType w:val="multilevel"/>
    <w:tmpl w:val="64752A38"/>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82" w15:restartNumberingAfterBreak="0">
    <w:nsid w:val="649A8178"/>
    <w:multiLevelType w:val="singleLevel"/>
    <w:tmpl w:val="649A8178"/>
    <w:lvl w:ilvl="0">
      <w:start w:val="1"/>
      <w:numFmt w:val="decimal"/>
      <w:suff w:val="space"/>
      <w:lvlText w:val="%1."/>
      <w:lvlJc w:val="left"/>
    </w:lvl>
  </w:abstractNum>
  <w:abstractNum w:abstractNumId="283" w15:restartNumberingAfterBreak="0">
    <w:nsid w:val="656F9254"/>
    <w:multiLevelType w:val="singleLevel"/>
    <w:tmpl w:val="656F9254"/>
    <w:lvl w:ilvl="0">
      <w:start w:val="1"/>
      <w:numFmt w:val="decimal"/>
      <w:suff w:val="space"/>
      <w:lvlText w:val="%1."/>
      <w:lvlJc w:val="left"/>
    </w:lvl>
  </w:abstractNum>
  <w:abstractNum w:abstractNumId="284" w15:restartNumberingAfterBreak="0">
    <w:nsid w:val="65AAED29"/>
    <w:multiLevelType w:val="singleLevel"/>
    <w:tmpl w:val="65AAED29"/>
    <w:lvl w:ilvl="0">
      <w:start w:val="5"/>
      <w:numFmt w:val="decimal"/>
      <w:lvlText w:val="%1."/>
      <w:lvlJc w:val="left"/>
      <w:pPr>
        <w:tabs>
          <w:tab w:val="left" w:pos="312"/>
        </w:tabs>
      </w:pPr>
    </w:lvl>
  </w:abstractNum>
  <w:abstractNum w:abstractNumId="285" w15:restartNumberingAfterBreak="0">
    <w:nsid w:val="65E96185"/>
    <w:multiLevelType w:val="hybridMultilevel"/>
    <w:tmpl w:val="BD8E5FF0"/>
    <w:lvl w:ilvl="0" w:tplc="7440609C">
      <w:start w:val="1"/>
      <w:numFmt w:val="decimal"/>
      <w:lvlText w:val="%1."/>
      <w:lvlJc w:val="left"/>
      <w:pPr>
        <w:ind w:left="840" w:hanging="360"/>
      </w:pPr>
      <w:rPr>
        <w:rFonts w:cs="Times New Roman" w:hint="default"/>
        <w:color w:val="auto"/>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86" w15:restartNumberingAfterBreak="0">
    <w:nsid w:val="66080B53"/>
    <w:multiLevelType w:val="multilevel"/>
    <w:tmpl w:val="66080B53"/>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87" w15:restartNumberingAfterBreak="0">
    <w:nsid w:val="661C19AD"/>
    <w:multiLevelType w:val="multilevel"/>
    <w:tmpl w:val="661C19AD"/>
    <w:lvl w:ilvl="0">
      <w:start w:val="9"/>
      <w:numFmt w:val="japaneseCounting"/>
      <w:lvlText w:val="第%1章"/>
      <w:lvlJc w:val="left"/>
      <w:pPr>
        <w:ind w:left="900" w:hanging="900"/>
      </w:pPr>
      <w:rPr>
        <w:rFonts w:hAnsi="Arial"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88" w15:restartNumberingAfterBreak="0">
    <w:nsid w:val="66F4A4BB"/>
    <w:multiLevelType w:val="singleLevel"/>
    <w:tmpl w:val="66F4A4BB"/>
    <w:lvl w:ilvl="0">
      <w:start w:val="1"/>
      <w:numFmt w:val="decimal"/>
      <w:suff w:val="nothing"/>
      <w:lvlText w:val="%1．"/>
      <w:lvlJc w:val="left"/>
      <w:pPr>
        <w:ind w:left="0" w:firstLine="400"/>
      </w:pPr>
      <w:rPr>
        <w:rFonts w:hint="default"/>
        <w:color w:val="auto"/>
      </w:rPr>
    </w:lvl>
  </w:abstractNum>
  <w:abstractNum w:abstractNumId="289" w15:restartNumberingAfterBreak="0">
    <w:nsid w:val="66FF0BCC"/>
    <w:multiLevelType w:val="hybridMultilevel"/>
    <w:tmpl w:val="42784580"/>
    <w:lvl w:ilvl="0" w:tplc="3134EBC4">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290" w15:restartNumberingAfterBreak="0">
    <w:nsid w:val="67281DF3"/>
    <w:multiLevelType w:val="singleLevel"/>
    <w:tmpl w:val="67281DF3"/>
    <w:lvl w:ilvl="0">
      <w:start w:val="1"/>
      <w:numFmt w:val="decimal"/>
      <w:suff w:val="space"/>
      <w:lvlText w:val="%1."/>
      <w:lvlJc w:val="left"/>
    </w:lvl>
  </w:abstractNum>
  <w:abstractNum w:abstractNumId="291" w15:restartNumberingAfterBreak="0">
    <w:nsid w:val="684DA5C7"/>
    <w:multiLevelType w:val="singleLevel"/>
    <w:tmpl w:val="684DA5C7"/>
    <w:lvl w:ilvl="0">
      <w:start w:val="1"/>
      <w:numFmt w:val="decimal"/>
      <w:suff w:val="space"/>
      <w:lvlText w:val="%1."/>
      <w:lvlJc w:val="left"/>
    </w:lvl>
  </w:abstractNum>
  <w:abstractNum w:abstractNumId="292" w15:restartNumberingAfterBreak="0">
    <w:nsid w:val="68B82CC0"/>
    <w:multiLevelType w:val="hybridMultilevel"/>
    <w:tmpl w:val="18909AB0"/>
    <w:lvl w:ilvl="0" w:tplc="AF222D3E">
      <w:start w:val="1"/>
      <w:numFmt w:val="decimal"/>
      <w:lvlText w:val="%1."/>
      <w:lvlJc w:val="left"/>
      <w:pPr>
        <w:ind w:left="839" w:hanging="360"/>
      </w:pPr>
      <w:rPr>
        <w:rFonts w:cs="Times New Roman" w:hint="default"/>
        <w:color w:val="auto"/>
      </w:rPr>
    </w:lvl>
    <w:lvl w:ilvl="1" w:tplc="04090019" w:tentative="1">
      <w:start w:val="1"/>
      <w:numFmt w:val="lowerLetter"/>
      <w:lvlText w:val="%2)"/>
      <w:lvlJc w:val="left"/>
      <w:pPr>
        <w:ind w:left="1319" w:hanging="420"/>
      </w:pPr>
    </w:lvl>
    <w:lvl w:ilvl="2" w:tplc="0409001B" w:tentative="1">
      <w:start w:val="1"/>
      <w:numFmt w:val="lowerRoman"/>
      <w:lvlText w:val="%3."/>
      <w:lvlJc w:val="right"/>
      <w:pPr>
        <w:ind w:left="1739" w:hanging="420"/>
      </w:pPr>
    </w:lvl>
    <w:lvl w:ilvl="3" w:tplc="0409000F" w:tentative="1">
      <w:start w:val="1"/>
      <w:numFmt w:val="decimal"/>
      <w:lvlText w:val="%4."/>
      <w:lvlJc w:val="left"/>
      <w:pPr>
        <w:ind w:left="2159" w:hanging="420"/>
      </w:pPr>
    </w:lvl>
    <w:lvl w:ilvl="4" w:tplc="04090019" w:tentative="1">
      <w:start w:val="1"/>
      <w:numFmt w:val="lowerLetter"/>
      <w:lvlText w:val="%5)"/>
      <w:lvlJc w:val="left"/>
      <w:pPr>
        <w:ind w:left="2579" w:hanging="420"/>
      </w:pPr>
    </w:lvl>
    <w:lvl w:ilvl="5" w:tplc="0409001B" w:tentative="1">
      <w:start w:val="1"/>
      <w:numFmt w:val="lowerRoman"/>
      <w:lvlText w:val="%6."/>
      <w:lvlJc w:val="right"/>
      <w:pPr>
        <w:ind w:left="2999" w:hanging="420"/>
      </w:pPr>
    </w:lvl>
    <w:lvl w:ilvl="6" w:tplc="0409000F" w:tentative="1">
      <w:start w:val="1"/>
      <w:numFmt w:val="decimal"/>
      <w:lvlText w:val="%7."/>
      <w:lvlJc w:val="left"/>
      <w:pPr>
        <w:ind w:left="3419" w:hanging="420"/>
      </w:pPr>
    </w:lvl>
    <w:lvl w:ilvl="7" w:tplc="04090019" w:tentative="1">
      <w:start w:val="1"/>
      <w:numFmt w:val="lowerLetter"/>
      <w:lvlText w:val="%8)"/>
      <w:lvlJc w:val="left"/>
      <w:pPr>
        <w:ind w:left="3839" w:hanging="420"/>
      </w:pPr>
    </w:lvl>
    <w:lvl w:ilvl="8" w:tplc="0409001B" w:tentative="1">
      <w:start w:val="1"/>
      <w:numFmt w:val="lowerRoman"/>
      <w:lvlText w:val="%9."/>
      <w:lvlJc w:val="right"/>
      <w:pPr>
        <w:ind w:left="4259" w:hanging="420"/>
      </w:pPr>
    </w:lvl>
  </w:abstractNum>
  <w:abstractNum w:abstractNumId="293" w15:restartNumberingAfterBreak="0">
    <w:nsid w:val="68C3417D"/>
    <w:multiLevelType w:val="multilevel"/>
    <w:tmpl w:val="68C3417D"/>
    <w:lvl w:ilvl="0">
      <w:start w:val="2"/>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94" w15:restartNumberingAfterBreak="0">
    <w:nsid w:val="68C5CA1E"/>
    <w:multiLevelType w:val="singleLevel"/>
    <w:tmpl w:val="68C5CA1E"/>
    <w:lvl w:ilvl="0">
      <w:start w:val="1"/>
      <w:numFmt w:val="decimal"/>
      <w:suff w:val="space"/>
      <w:lvlText w:val="%1."/>
      <w:lvlJc w:val="left"/>
    </w:lvl>
  </w:abstractNum>
  <w:abstractNum w:abstractNumId="295" w15:restartNumberingAfterBreak="0">
    <w:nsid w:val="6A0A0FB5"/>
    <w:multiLevelType w:val="singleLevel"/>
    <w:tmpl w:val="6A0A0FB5"/>
    <w:lvl w:ilvl="0">
      <w:start w:val="1"/>
      <w:numFmt w:val="decimal"/>
      <w:suff w:val="space"/>
      <w:lvlText w:val="%1."/>
      <w:lvlJc w:val="left"/>
    </w:lvl>
  </w:abstractNum>
  <w:abstractNum w:abstractNumId="296" w15:restartNumberingAfterBreak="0">
    <w:nsid w:val="6AA45156"/>
    <w:multiLevelType w:val="multilevel"/>
    <w:tmpl w:val="6AA45156"/>
    <w:lvl w:ilvl="0">
      <w:start w:val="1"/>
      <w:numFmt w:val="decimal"/>
      <w:lvlText w:val="%1."/>
      <w:lvlJc w:val="left"/>
      <w:pPr>
        <w:ind w:left="900" w:hanging="4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97" w15:restartNumberingAfterBreak="0">
    <w:nsid w:val="6BC92BBA"/>
    <w:multiLevelType w:val="singleLevel"/>
    <w:tmpl w:val="6BC92BBA"/>
    <w:lvl w:ilvl="0">
      <w:start w:val="1"/>
      <w:numFmt w:val="decimal"/>
      <w:suff w:val="space"/>
      <w:lvlText w:val="%1."/>
      <w:lvlJc w:val="left"/>
    </w:lvl>
  </w:abstractNum>
  <w:abstractNum w:abstractNumId="298" w15:restartNumberingAfterBreak="0">
    <w:nsid w:val="6BE335D5"/>
    <w:multiLevelType w:val="hybridMultilevel"/>
    <w:tmpl w:val="375401F0"/>
    <w:lvl w:ilvl="0" w:tplc="31200FCA">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99" w15:restartNumberingAfterBreak="0">
    <w:nsid w:val="6C60DBC5"/>
    <w:multiLevelType w:val="singleLevel"/>
    <w:tmpl w:val="6C60DBC5"/>
    <w:lvl w:ilvl="0">
      <w:start w:val="1"/>
      <w:numFmt w:val="decimal"/>
      <w:suff w:val="space"/>
      <w:lvlText w:val="%1."/>
      <w:lvlJc w:val="left"/>
    </w:lvl>
  </w:abstractNum>
  <w:abstractNum w:abstractNumId="300" w15:restartNumberingAfterBreak="0">
    <w:nsid w:val="6C6E7563"/>
    <w:multiLevelType w:val="hybridMultilevel"/>
    <w:tmpl w:val="4DF080B6"/>
    <w:lvl w:ilvl="0" w:tplc="14F20948">
      <w:start w:val="1"/>
      <w:numFmt w:val="decimal"/>
      <w:lvlText w:val="%1."/>
      <w:lvlJc w:val="left"/>
      <w:pPr>
        <w:ind w:left="840" w:hanging="360"/>
      </w:pPr>
      <w:rPr>
        <w:rFonts w:cs="宋体"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01" w15:restartNumberingAfterBreak="0">
    <w:nsid w:val="6CE60AFC"/>
    <w:multiLevelType w:val="hybridMultilevel"/>
    <w:tmpl w:val="335E0686"/>
    <w:lvl w:ilvl="0" w:tplc="2522F1AA">
      <w:start w:val="1"/>
      <w:numFmt w:val="decimal"/>
      <w:lvlText w:val="%1."/>
      <w:lvlJc w:val="left"/>
      <w:pPr>
        <w:ind w:left="960" w:hanging="480"/>
      </w:pPr>
      <w:rPr>
        <w:rFonts w:hint="eastAsia"/>
        <w:color w:val="000000" w:themeColor="text1"/>
      </w:rPr>
    </w:lvl>
    <w:lvl w:ilvl="1" w:tplc="04090019" w:tentative="1">
      <w:start w:val="1"/>
      <w:numFmt w:val="lowerLetter"/>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lowerLetter"/>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lowerLetter"/>
      <w:lvlText w:val="%8)"/>
      <w:lvlJc w:val="left"/>
      <w:pPr>
        <w:ind w:left="4320" w:hanging="480"/>
      </w:pPr>
    </w:lvl>
    <w:lvl w:ilvl="8" w:tplc="0409001B" w:tentative="1">
      <w:start w:val="1"/>
      <w:numFmt w:val="lowerRoman"/>
      <w:lvlText w:val="%9."/>
      <w:lvlJc w:val="right"/>
      <w:pPr>
        <w:ind w:left="4800" w:hanging="480"/>
      </w:pPr>
    </w:lvl>
  </w:abstractNum>
  <w:abstractNum w:abstractNumId="302" w15:restartNumberingAfterBreak="0">
    <w:nsid w:val="6DEED6A2"/>
    <w:multiLevelType w:val="multilevel"/>
    <w:tmpl w:val="6DEED6A2"/>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03" w15:restartNumberingAfterBreak="0">
    <w:nsid w:val="6E990AAA"/>
    <w:multiLevelType w:val="singleLevel"/>
    <w:tmpl w:val="6E990AAA"/>
    <w:lvl w:ilvl="0">
      <w:start w:val="1"/>
      <w:numFmt w:val="decimal"/>
      <w:suff w:val="space"/>
      <w:lvlText w:val="%1."/>
      <w:lvlJc w:val="left"/>
    </w:lvl>
  </w:abstractNum>
  <w:abstractNum w:abstractNumId="304" w15:restartNumberingAfterBreak="0">
    <w:nsid w:val="6F7A260E"/>
    <w:multiLevelType w:val="singleLevel"/>
    <w:tmpl w:val="6F7A260E"/>
    <w:lvl w:ilvl="0">
      <w:start w:val="1"/>
      <w:numFmt w:val="decimal"/>
      <w:suff w:val="space"/>
      <w:lvlText w:val="%1."/>
      <w:lvlJc w:val="left"/>
    </w:lvl>
  </w:abstractNum>
  <w:abstractNum w:abstractNumId="305" w15:restartNumberingAfterBreak="0">
    <w:nsid w:val="735C46C2"/>
    <w:multiLevelType w:val="singleLevel"/>
    <w:tmpl w:val="735C46C2"/>
    <w:lvl w:ilvl="0">
      <w:start w:val="1"/>
      <w:numFmt w:val="decimal"/>
      <w:suff w:val="space"/>
      <w:lvlText w:val="%1."/>
      <w:lvlJc w:val="left"/>
    </w:lvl>
  </w:abstractNum>
  <w:abstractNum w:abstractNumId="306" w15:restartNumberingAfterBreak="0">
    <w:nsid w:val="7400E456"/>
    <w:multiLevelType w:val="singleLevel"/>
    <w:tmpl w:val="7400E456"/>
    <w:lvl w:ilvl="0">
      <w:start w:val="1"/>
      <w:numFmt w:val="decimal"/>
      <w:suff w:val="space"/>
      <w:lvlText w:val="%1."/>
      <w:lvlJc w:val="left"/>
    </w:lvl>
  </w:abstractNum>
  <w:abstractNum w:abstractNumId="307" w15:restartNumberingAfterBreak="0">
    <w:nsid w:val="7422C160"/>
    <w:multiLevelType w:val="singleLevel"/>
    <w:tmpl w:val="7422C160"/>
    <w:lvl w:ilvl="0">
      <w:start w:val="1"/>
      <w:numFmt w:val="decimal"/>
      <w:suff w:val="space"/>
      <w:lvlText w:val="%1."/>
      <w:lvlJc w:val="left"/>
    </w:lvl>
  </w:abstractNum>
  <w:abstractNum w:abstractNumId="308" w15:restartNumberingAfterBreak="0">
    <w:nsid w:val="749018A3"/>
    <w:multiLevelType w:val="hybridMultilevel"/>
    <w:tmpl w:val="5A04BAA4"/>
    <w:lvl w:ilvl="0" w:tplc="FB6ABE42">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309" w15:restartNumberingAfterBreak="0">
    <w:nsid w:val="74E25C4C"/>
    <w:multiLevelType w:val="multilevel"/>
    <w:tmpl w:val="74E25C4C"/>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10" w15:restartNumberingAfterBreak="0">
    <w:nsid w:val="7521941A"/>
    <w:multiLevelType w:val="singleLevel"/>
    <w:tmpl w:val="7521941A"/>
    <w:lvl w:ilvl="0">
      <w:start w:val="1"/>
      <w:numFmt w:val="decimal"/>
      <w:suff w:val="space"/>
      <w:lvlText w:val="%1."/>
      <w:lvlJc w:val="left"/>
    </w:lvl>
  </w:abstractNum>
  <w:abstractNum w:abstractNumId="311" w15:restartNumberingAfterBreak="0">
    <w:nsid w:val="759F386E"/>
    <w:multiLevelType w:val="multilevel"/>
    <w:tmpl w:val="759F386E"/>
    <w:lvl w:ilvl="0">
      <w:start w:val="1"/>
      <w:numFmt w:val="decimal"/>
      <w:lvlText w:val="%1."/>
      <w:lvlJc w:val="left"/>
      <w:pPr>
        <w:ind w:left="795" w:hanging="360"/>
      </w:pPr>
      <w:rPr>
        <w:rFonts w:hint="default"/>
      </w:rPr>
    </w:lvl>
    <w:lvl w:ilvl="1">
      <w:start w:val="1"/>
      <w:numFmt w:val="lowerLetter"/>
      <w:lvlText w:val="%2)"/>
      <w:lvlJc w:val="left"/>
      <w:pPr>
        <w:ind w:left="1275" w:hanging="420"/>
      </w:pPr>
    </w:lvl>
    <w:lvl w:ilvl="2">
      <w:start w:val="1"/>
      <w:numFmt w:val="lowerRoman"/>
      <w:lvlText w:val="%3."/>
      <w:lvlJc w:val="right"/>
      <w:pPr>
        <w:ind w:left="1695" w:hanging="420"/>
      </w:pPr>
    </w:lvl>
    <w:lvl w:ilvl="3">
      <w:start w:val="1"/>
      <w:numFmt w:val="decimal"/>
      <w:lvlText w:val="%4."/>
      <w:lvlJc w:val="left"/>
      <w:pPr>
        <w:ind w:left="2115" w:hanging="420"/>
      </w:pPr>
    </w:lvl>
    <w:lvl w:ilvl="4">
      <w:start w:val="1"/>
      <w:numFmt w:val="lowerLetter"/>
      <w:lvlText w:val="%5)"/>
      <w:lvlJc w:val="left"/>
      <w:pPr>
        <w:ind w:left="2535" w:hanging="420"/>
      </w:pPr>
    </w:lvl>
    <w:lvl w:ilvl="5">
      <w:start w:val="1"/>
      <w:numFmt w:val="lowerRoman"/>
      <w:lvlText w:val="%6."/>
      <w:lvlJc w:val="right"/>
      <w:pPr>
        <w:ind w:left="2955" w:hanging="420"/>
      </w:pPr>
    </w:lvl>
    <w:lvl w:ilvl="6">
      <w:start w:val="1"/>
      <w:numFmt w:val="decimal"/>
      <w:lvlText w:val="%7."/>
      <w:lvlJc w:val="left"/>
      <w:pPr>
        <w:ind w:left="3375" w:hanging="420"/>
      </w:pPr>
    </w:lvl>
    <w:lvl w:ilvl="7">
      <w:start w:val="1"/>
      <w:numFmt w:val="lowerLetter"/>
      <w:lvlText w:val="%8)"/>
      <w:lvlJc w:val="left"/>
      <w:pPr>
        <w:ind w:left="3795" w:hanging="420"/>
      </w:pPr>
    </w:lvl>
    <w:lvl w:ilvl="8">
      <w:start w:val="1"/>
      <w:numFmt w:val="lowerRoman"/>
      <w:lvlText w:val="%9."/>
      <w:lvlJc w:val="right"/>
      <w:pPr>
        <w:ind w:left="4215" w:hanging="420"/>
      </w:pPr>
    </w:lvl>
  </w:abstractNum>
  <w:abstractNum w:abstractNumId="312" w15:restartNumberingAfterBreak="0">
    <w:nsid w:val="75B977E1"/>
    <w:multiLevelType w:val="singleLevel"/>
    <w:tmpl w:val="75B977E1"/>
    <w:lvl w:ilvl="0">
      <w:start w:val="1"/>
      <w:numFmt w:val="decimal"/>
      <w:suff w:val="space"/>
      <w:lvlText w:val="%1."/>
      <w:lvlJc w:val="left"/>
    </w:lvl>
  </w:abstractNum>
  <w:abstractNum w:abstractNumId="313" w15:restartNumberingAfterBreak="0">
    <w:nsid w:val="774EA7CA"/>
    <w:multiLevelType w:val="singleLevel"/>
    <w:tmpl w:val="774EA7CA"/>
    <w:lvl w:ilvl="0">
      <w:start w:val="1"/>
      <w:numFmt w:val="decimal"/>
      <w:suff w:val="space"/>
      <w:lvlText w:val="%1."/>
      <w:lvlJc w:val="left"/>
    </w:lvl>
  </w:abstractNum>
  <w:abstractNum w:abstractNumId="314" w15:restartNumberingAfterBreak="0">
    <w:nsid w:val="77833E81"/>
    <w:multiLevelType w:val="multilevel"/>
    <w:tmpl w:val="77833E81"/>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15" w15:restartNumberingAfterBreak="0">
    <w:nsid w:val="78011772"/>
    <w:multiLevelType w:val="hybridMultilevel"/>
    <w:tmpl w:val="ED66F3C2"/>
    <w:lvl w:ilvl="0" w:tplc="8A3461F2">
      <w:start w:val="1"/>
      <w:numFmt w:val="decimal"/>
      <w:lvlText w:val="%1."/>
      <w:lvlJc w:val="left"/>
      <w:pPr>
        <w:ind w:left="840" w:hanging="360"/>
      </w:pPr>
      <w:rPr>
        <w:rFonts w:cs="Times New Roman"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16" w15:restartNumberingAfterBreak="0">
    <w:nsid w:val="78FE1360"/>
    <w:multiLevelType w:val="singleLevel"/>
    <w:tmpl w:val="78FE1360"/>
    <w:lvl w:ilvl="0">
      <w:start w:val="1"/>
      <w:numFmt w:val="decimal"/>
      <w:lvlText w:val="%1."/>
      <w:lvlJc w:val="left"/>
      <w:pPr>
        <w:tabs>
          <w:tab w:val="left" w:pos="312"/>
        </w:tabs>
      </w:pPr>
    </w:lvl>
  </w:abstractNum>
  <w:abstractNum w:abstractNumId="317" w15:restartNumberingAfterBreak="0">
    <w:nsid w:val="796972DB"/>
    <w:multiLevelType w:val="multilevel"/>
    <w:tmpl w:val="796972DB"/>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18" w15:restartNumberingAfterBreak="0">
    <w:nsid w:val="7994F22C"/>
    <w:multiLevelType w:val="singleLevel"/>
    <w:tmpl w:val="7994F22C"/>
    <w:lvl w:ilvl="0">
      <w:start w:val="1"/>
      <w:numFmt w:val="decimal"/>
      <w:suff w:val="space"/>
      <w:lvlText w:val="%1."/>
      <w:lvlJc w:val="left"/>
    </w:lvl>
  </w:abstractNum>
  <w:abstractNum w:abstractNumId="319" w15:restartNumberingAfterBreak="0">
    <w:nsid w:val="79F2A688"/>
    <w:multiLevelType w:val="singleLevel"/>
    <w:tmpl w:val="79F2A688"/>
    <w:lvl w:ilvl="0">
      <w:start w:val="1"/>
      <w:numFmt w:val="decimal"/>
      <w:lvlText w:val="%1."/>
      <w:lvlJc w:val="left"/>
      <w:pPr>
        <w:tabs>
          <w:tab w:val="left" w:pos="312"/>
        </w:tabs>
      </w:pPr>
    </w:lvl>
  </w:abstractNum>
  <w:abstractNum w:abstractNumId="320" w15:restartNumberingAfterBreak="0">
    <w:nsid w:val="7A18A7AE"/>
    <w:multiLevelType w:val="singleLevel"/>
    <w:tmpl w:val="7A18A7AE"/>
    <w:lvl w:ilvl="0">
      <w:start w:val="1"/>
      <w:numFmt w:val="decimal"/>
      <w:suff w:val="space"/>
      <w:lvlText w:val="%1."/>
      <w:lvlJc w:val="left"/>
    </w:lvl>
  </w:abstractNum>
  <w:abstractNum w:abstractNumId="321" w15:restartNumberingAfterBreak="0">
    <w:nsid w:val="7A5699B5"/>
    <w:multiLevelType w:val="singleLevel"/>
    <w:tmpl w:val="7A5699B5"/>
    <w:lvl w:ilvl="0">
      <w:start w:val="1"/>
      <w:numFmt w:val="decimal"/>
      <w:suff w:val="space"/>
      <w:lvlText w:val="%1."/>
      <w:lvlJc w:val="left"/>
    </w:lvl>
  </w:abstractNum>
  <w:abstractNum w:abstractNumId="322" w15:restartNumberingAfterBreak="0">
    <w:nsid w:val="7AB85E77"/>
    <w:multiLevelType w:val="singleLevel"/>
    <w:tmpl w:val="7AB85E77"/>
    <w:lvl w:ilvl="0">
      <w:start w:val="1"/>
      <w:numFmt w:val="decimal"/>
      <w:suff w:val="space"/>
      <w:lvlText w:val="%1."/>
      <w:lvlJc w:val="left"/>
    </w:lvl>
  </w:abstractNum>
  <w:abstractNum w:abstractNumId="323" w15:restartNumberingAfterBreak="0">
    <w:nsid w:val="7B2D4ADC"/>
    <w:multiLevelType w:val="singleLevel"/>
    <w:tmpl w:val="7B2D4ADC"/>
    <w:lvl w:ilvl="0">
      <w:start w:val="1"/>
      <w:numFmt w:val="decimal"/>
      <w:suff w:val="space"/>
      <w:lvlText w:val="%1."/>
      <w:lvlJc w:val="left"/>
    </w:lvl>
  </w:abstractNum>
  <w:abstractNum w:abstractNumId="324" w15:restartNumberingAfterBreak="0">
    <w:nsid w:val="7D0E6020"/>
    <w:multiLevelType w:val="singleLevel"/>
    <w:tmpl w:val="7D0E6020"/>
    <w:lvl w:ilvl="0">
      <w:start w:val="1"/>
      <w:numFmt w:val="decimal"/>
      <w:suff w:val="space"/>
      <w:lvlText w:val="%1."/>
      <w:lvlJc w:val="left"/>
    </w:lvl>
  </w:abstractNum>
  <w:abstractNum w:abstractNumId="325" w15:restartNumberingAfterBreak="0">
    <w:nsid w:val="7D2B4E22"/>
    <w:multiLevelType w:val="singleLevel"/>
    <w:tmpl w:val="7D2B4E22"/>
    <w:lvl w:ilvl="0">
      <w:start w:val="1"/>
      <w:numFmt w:val="decimal"/>
      <w:suff w:val="space"/>
      <w:lvlText w:val="%1."/>
      <w:lvlJc w:val="left"/>
    </w:lvl>
  </w:abstractNum>
  <w:abstractNum w:abstractNumId="326" w15:restartNumberingAfterBreak="0">
    <w:nsid w:val="7E199DB1"/>
    <w:multiLevelType w:val="singleLevel"/>
    <w:tmpl w:val="7E199DB1"/>
    <w:lvl w:ilvl="0">
      <w:start w:val="1"/>
      <w:numFmt w:val="decimal"/>
      <w:suff w:val="space"/>
      <w:lvlText w:val="%1."/>
      <w:lvlJc w:val="left"/>
      <w:pPr>
        <w:ind w:left="480" w:firstLine="0"/>
      </w:pPr>
    </w:lvl>
  </w:abstractNum>
  <w:abstractNum w:abstractNumId="327" w15:restartNumberingAfterBreak="0">
    <w:nsid w:val="7E6D5F65"/>
    <w:multiLevelType w:val="hybridMultilevel"/>
    <w:tmpl w:val="31E47CFC"/>
    <w:lvl w:ilvl="0" w:tplc="3CEC7B92">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28" w15:restartNumberingAfterBreak="0">
    <w:nsid w:val="7ECB8FA3"/>
    <w:multiLevelType w:val="singleLevel"/>
    <w:tmpl w:val="7ECB8FA3"/>
    <w:lvl w:ilvl="0">
      <w:start w:val="1"/>
      <w:numFmt w:val="decimal"/>
      <w:suff w:val="space"/>
      <w:lvlText w:val="%1."/>
      <w:lvlJc w:val="left"/>
    </w:lvl>
  </w:abstractNum>
  <w:abstractNum w:abstractNumId="329" w15:restartNumberingAfterBreak="0">
    <w:nsid w:val="7ED45EEA"/>
    <w:multiLevelType w:val="hybridMultilevel"/>
    <w:tmpl w:val="5D7CED12"/>
    <w:lvl w:ilvl="0" w:tplc="972864E6">
      <w:start w:val="1"/>
      <w:numFmt w:val="decimal"/>
      <w:lvlText w:val="%1."/>
      <w:lvlJc w:val="left"/>
      <w:pPr>
        <w:ind w:left="840" w:hanging="360"/>
      </w:pPr>
      <w:rPr>
        <w:rFonts w:hint="eastAsia"/>
        <w:color w:val="auto"/>
      </w:rPr>
    </w:lvl>
    <w:lvl w:ilvl="1" w:tplc="04090019" w:tentative="1">
      <w:start w:val="1"/>
      <w:numFmt w:val="lowerLetter"/>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lowerLetter"/>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lowerLetter"/>
      <w:lvlText w:val="%8)"/>
      <w:lvlJc w:val="left"/>
      <w:pPr>
        <w:ind w:left="4320" w:hanging="480"/>
      </w:pPr>
    </w:lvl>
    <w:lvl w:ilvl="8" w:tplc="0409001B" w:tentative="1">
      <w:start w:val="1"/>
      <w:numFmt w:val="lowerRoman"/>
      <w:lvlText w:val="%9."/>
      <w:lvlJc w:val="right"/>
      <w:pPr>
        <w:ind w:left="4800" w:hanging="480"/>
      </w:pPr>
    </w:lvl>
  </w:abstractNum>
  <w:abstractNum w:abstractNumId="330" w15:restartNumberingAfterBreak="0">
    <w:nsid w:val="7EE56AD3"/>
    <w:multiLevelType w:val="multilevel"/>
    <w:tmpl w:val="7EE56AD3"/>
    <w:lvl w:ilvl="0">
      <w:start w:val="9"/>
      <w:numFmt w:val="japaneseCounting"/>
      <w:lvlText w:val="第%1章"/>
      <w:lvlJc w:val="left"/>
      <w:pPr>
        <w:ind w:left="900" w:hanging="900"/>
      </w:pPr>
      <w:rPr>
        <w:rFonts w:hAnsi="Arial"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31" w15:restartNumberingAfterBreak="0">
    <w:nsid w:val="7F545A62"/>
    <w:multiLevelType w:val="singleLevel"/>
    <w:tmpl w:val="7F545A62"/>
    <w:lvl w:ilvl="0">
      <w:start w:val="1"/>
      <w:numFmt w:val="decimal"/>
      <w:suff w:val="space"/>
      <w:lvlText w:val="%1."/>
      <w:lvlJc w:val="left"/>
    </w:lvl>
  </w:abstractNum>
  <w:num w:numId="1" w16cid:durableId="1399862721">
    <w:abstractNumId w:val="160"/>
  </w:num>
  <w:num w:numId="2" w16cid:durableId="1825730648">
    <w:abstractNumId w:val="95"/>
  </w:num>
  <w:num w:numId="3" w16cid:durableId="1662270772">
    <w:abstractNumId w:val="99"/>
  </w:num>
  <w:num w:numId="4" w16cid:durableId="315182018">
    <w:abstractNumId w:val="286"/>
  </w:num>
  <w:num w:numId="5" w16cid:durableId="1181091586">
    <w:abstractNumId w:val="268"/>
  </w:num>
  <w:num w:numId="6" w16cid:durableId="434250137">
    <w:abstractNumId w:val="141"/>
  </w:num>
  <w:num w:numId="7" w16cid:durableId="451706548">
    <w:abstractNumId w:val="150"/>
  </w:num>
  <w:num w:numId="8" w16cid:durableId="1549340279">
    <w:abstractNumId w:val="219"/>
  </w:num>
  <w:num w:numId="9" w16cid:durableId="874466201">
    <w:abstractNumId w:val="148"/>
  </w:num>
  <w:num w:numId="10" w16cid:durableId="786434849">
    <w:abstractNumId w:val="72"/>
  </w:num>
  <w:num w:numId="11" w16cid:durableId="1746417050">
    <w:abstractNumId w:val="146"/>
  </w:num>
  <w:num w:numId="12" w16cid:durableId="816528564">
    <w:abstractNumId w:val="196"/>
  </w:num>
  <w:num w:numId="13" w16cid:durableId="1700467503">
    <w:abstractNumId w:val="120"/>
  </w:num>
  <w:num w:numId="14" w16cid:durableId="645430393">
    <w:abstractNumId w:val="4"/>
  </w:num>
  <w:num w:numId="15" w16cid:durableId="2047752789">
    <w:abstractNumId w:val="311"/>
  </w:num>
  <w:num w:numId="16" w16cid:durableId="258409460">
    <w:abstractNumId w:val="206"/>
  </w:num>
  <w:num w:numId="17" w16cid:durableId="550966433">
    <w:abstractNumId w:val="145"/>
  </w:num>
  <w:num w:numId="18" w16cid:durableId="855272702">
    <w:abstractNumId w:val="1"/>
  </w:num>
  <w:num w:numId="19" w16cid:durableId="183714277">
    <w:abstractNumId w:val="316"/>
  </w:num>
  <w:num w:numId="20" w16cid:durableId="497698909">
    <w:abstractNumId w:val="252"/>
  </w:num>
  <w:num w:numId="21" w16cid:durableId="1075740420">
    <w:abstractNumId w:val="257"/>
  </w:num>
  <w:num w:numId="22" w16cid:durableId="44255360">
    <w:abstractNumId w:val="7"/>
  </w:num>
  <w:num w:numId="23" w16cid:durableId="461577496">
    <w:abstractNumId w:val="177"/>
  </w:num>
  <w:num w:numId="24" w16cid:durableId="1682077916">
    <w:abstractNumId w:val="313"/>
  </w:num>
  <w:num w:numId="25" w16cid:durableId="214584871">
    <w:abstractNumId w:val="227"/>
  </w:num>
  <w:num w:numId="26" w16cid:durableId="1830708184">
    <w:abstractNumId w:val="228"/>
  </w:num>
  <w:num w:numId="27" w16cid:durableId="436605816">
    <w:abstractNumId w:val="84"/>
    <w:lvlOverride w:ilvl="0">
      <w:startOverride w:val="2"/>
    </w:lvlOverride>
  </w:num>
  <w:num w:numId="28" w16cid:durableId="294062411">
    <w:abstractNumId w:val="225"/>
  </w:num>
  <w:num w:numId="29" w16cid:durableId="805199167">
    <w:abstractNumId w:val="64"/>
  </w:num>
  <w:num w:numId="30" w16cid:durableId="460391307">
    <w:abstractNumId w:val="101"/>
  </w:num>
  <w:num w:numId="31" w16cid:durableId="1631671793">
    <w:abstractNumId w:val="322"/>
  </w:num>
  <w:num w:numId="32" w16cid:durableId="1612737195">
    <w:abstractNumId w:val="246"/>
  </w:num>
  <w:num w:numId="33" w16cid:durableId="292635704">
    <w:abstractNumId w:val="93"/>
  </w:num>
  <w:num w:numId="34" w16cid:durableId="1874340980">
    <w:abstractNumId w:val="94"/>
  </w:num>
  <w:num w:numId="35" w16cid:durableId="543908012">
    <w:abstractNumId w:val="97"/>
  </w:num>
  <w:num w:numId="36" w16cid:durableId="1835678841">
    <w:abstractNumId w:val="172"/>
  </w:num>
  <w:num w:numId="37" w16cid:durableId="1501580755">
    <w:abstractNumId w:val="271"/>
  </w:num>
  <w:num w:numId="38" w16cid:durableId="1015501587">
    <w:abstractNumId w:val="204"/>
  </w:num>
  <w:num w:numId="39" w16cid:durableId="435685248">
    <w:abstractNumId w:val="278"/>
  </w:num>
  <w:num w:numId="40" w16cid:durableId="604000458">
    <w:abstractNumId w:val="218"/>
  </w:num>
  <w:num w:numId="41" w16cid:durableId="1847985702">
    <w:abstractNumId w:val="330"/>
  </w:num>
  <w:num w:numId="42" w16cid:durableId="1095050605">
    <w:abstractNumId w:val="223"/>
  </w:num>
  <w:num w:numId="43" w16cid:durableId="830488276">
    <w:abstractNumId w:val="287"/>
  </w:num>
  <w:num w:numId="44" w16cid:durableId="484515121">
    <w:abstractNumId w:val="269"/>
  </w:num>
  <w:num w:numId="45" w16cid:durableId="653413367">
    <w:abstractNumId w:val="270"/>
  </w:num>
  <w:num w:numId="46" w16cid:durableId="1078870936">
    <w:abstractNumId w:val="319"/>
  </w:num>
  <w:num w:numId="47" w16cid:durableId="2114013930">
    <w:abstractNumId w:val="222"/>
  </w:num>
  <w:num w:numId="48" w16cid:durableId="1881091613">
    <w:abstractNumId w:val="151"/>
  </w:num>
  <w:num w:numId="49" w16cid:durableId="974260225">
    <w:abstractNumId w:val="284"/>
  </w:num>
  <w:num w:numId="50" w16cid:durableId="1094790101">
    <w:abstractNumId w:val="57"/>
  </w:num>
  <w:num w:numId="51" w16cid:durableId="1342312743">
    <w:abstractNumId w:val="183"/>
  </w:num>
  <w:num w:numId="52" w16cid:durableId="846478947">
    <w:abstractNumId w:val="52"/>
  </w:num>
  <w:num w:numId="53" w16cid:durableId="1666086189">
    <w:abstractNumId w:val="14"/>
  </w:num>
  <w:num w:numId="54" w16cid:durableId="550192040">
    <w:abstractNumId w:val="217"/>
  </w:num>
  <w:num w:numId="55" w16cid:durableId="146021816">
    <w:abstractNumId w:val="15"/>
  </w:num>
  <w:num w:numId="56" w16cid:durableId="1170028741">
    <w:abstractNumId w:val="139"/>
  </w:num>
  <w:num w:numId="57" w16cid:durableId="1105462090">
    <w:abstractNumId w:val="166"/>
  </w:num>
  <w:num w:numId="58" w16cid:durableId="1832214113">
    <w:abstractNumId w:val="189"/>
  </w:num>
  <w:num w:numId="59" w16cid:durableId="149686650">
    <w:abstractNumId w:val="317"/>
  </w:num>
  <w:num w:numId="60" w16cid:durableId="1945111107">
    <w:abstractNumId w:val="193"/>
  </w:num>
  <w:num w:numId="61" w16cid:durableId="1396662233">
    <w:abstractNumId w:val="171"/>
  </w:num>
  <w:num w:numId="62" w16cid:durableId="2116165759">
    <w:abstractNumId w:val="202"/>
  </w:num>
  <w:num w:numId="63" w16cid:durableId="182405661">
    <w:abstractNumId w:val="157"/>
  </w:num>
  <w:num w:numId="64" w16cid:durableId="1145469949">
    <w:abstractNumId w:val="186"/>
  </w:num>
  <w:num w:numId="65" w16cid:durableId="1350640617">
    <w:abstractNumId w:val="281"/>
  </w:num>
  <w:num w:numId="66" w16cid:durableId="1683043884">
    <w:abstractNumId w:val="112"/>
  </w:num>
  <w:num w:numId="67" w16cid:durableId="962156459">
    <w:abstractNumId w:val="261"/>
  </w:num>
  <w:num w:numId="68" w16cid:durableId="644897587">
    <w:abstractNumId w:val="13"/>
  </w:num>
  <w:num w:numId="69" w16cid:durableId="520556228">
    <w:abstractNumId w:val="110"/>
  </w:num>
  <w:num w:numId="70" w16cid:durableId="1022240244">
    <w:abstractNumId w:val="16"/>
  </w:num>
  <w:num w:numId="71" w16cid:durableId="1366950798">
    <w:abstractNumId w:val="10"/>
  </w:num>
  <w:num w:numId="72" w16cid:durableId="1414547945">
    <w:abstractNumId w:val="22"/>
  </w:num>
  <w:num w:numId="73" w16cid:durableId="1860243510">
    <w:abstractNumId w:val="77"/>
  </w:num>
  <w:num w:numId="74" w16cid:durableId="257716373">
    <w:abstractNumId w:val="133"/>
  </w:num>
  <w:num w:numId="75" w16cid:durableId="483401107">
    <w:abstractNumId w:val="54"/>
  </w:num>
  <w:num w:numId="76" w16cid:durableId="1710521560">
    <w:abstractNumId w:val="41"/>
  </w:num>
  <w:num w:numId="77" w16cid:durableId="634334228">
    <w:abstractNumId w:val="291"/>
  </w:num>
  <w:num w:numId="78" w16cid:durableId="1888224632">
    <w:abstractNumId w:val="81"/>
  </w:num>
  <w:num w:numId="79" w16cid:durableId="214195084">
    <w:abstractNumId w:val="68"/>
  </w:num>
  <w:num w:numId="80" w16cid:durableId="49041771">
    <w:abstractNumId w:val="114"/>
  </w:num>
  <w:num w:numId="81" w16cid:durableId="1889611245">
    <w:abstractNumId w:val="173"/>
  </w:num>
  <w:num w:numId="82" w16cid:durableId="1051270791">
    <w:abstractNumId w:val="5"/>
  </w:num>
  <w:num w:numId="83" w16cid:durableId="2069523449">
    <w:abstractNumId w:val="11"/>
  </w:num>
  <w:num w:numId="84" w16cid:durableId="1243174879">
    <w:abstractNumId w:val="27"/>
  </w:num>
  <w:num w:numId="85" w16cid:durableId="1218249476">
    <w:abstractNumId w:val="234"/>
  </w:num>
  <w:num w:numId="86" w16cid:durableId="1362776538">
    <w:abstractNumId w:val="138"/>
  </w:num>
  <w:num w:numId="87" w16cid:durableId="692340343">
    <w:abstractNumId w:val="170"/>
  </w:num>
  <w:num w:numId="88" w16cid:durableId="525215694">
    <w:abstractNumId w:val="263"/>
  </w:num>
  <w:num w:numId="89" w16cid:durableId="490682983">
    <w:abstractNumId w:val="220"/>
  </w:num>
  <w:num w:numId="90" w16cid:durableId="1067145985">
    <w:abstractNumId w:val="122"/>
  </w:num>
  <w:num w:numId="91" w16cid:durableId="154106495">
    <w:abstractNumId w:val="293"/>
  </w:num>
  <w:num w:numId="92" w16cid:durableId="1993633343">
    <w:abstractNumId w:val="242"/>
  </w:num>
  <w:num w:numId="93" w16cid:durableId="417093686">
    <w:abstractNumId w:val="132"/>
  </w:num>
  <w:num w:numId="94" w16cid:durableId="1012880870">
    <w:abstractNumId w:val="144"/>
  </w:num>
  <w:num w:numId="95" w16cid:durableId="1468468117">
    <w:abstractNumId w:val="235"/>
  </w:num>
  <w:num w:numId="96" w16cid:durableId="1503011198">
    <w:abstractNumId w:val="201"/>
  </w:num>
  <w:num w:numId="97" w16cid:durableId="1741518262">
    <w:abstractNumId w:val="314"/>
  </w:num>
  <w:num w:numId="98" w16cid:durableId="1797522288">
    <w:abstractNumId w:val="309"/>
  </w:num>
  <w:num w:numId="99" w16cid:durableId="1519271119">
    <w:abstractNumId w:val="154"/>
  </w:num>
  <w:num w:numId="100" w16cid:durableId="816728036">
    <w:abstractNumId w:val="126"/>
  </w:num>
  <w:num w:numId="101" w16cid:durableId="1969239741">
    <w:abstractNumId w:val="275"/>
  </w:num>
  <w:num w:numId="102" w16cid:durableId="726487937">
    <w:abstractNumId w:val="296"/>
  </w:num>
  <w:num w:numId="103" w16cid:durableId="1001199838">
    <w:abstractNumId w:val="256"/>
  </w:num>
  <w:num w:numId="104" w16cid:durableId="1882402055">
    <w:abstractNumId w:val="115"/>
  </w:num>
  <w:num w:numId="105" w16cid:durableId="241909817">
    <w:abstractNumId w:val="233"/>
  </w:num>
  <w:num w:numId="106" w16cid:durableId="166481031">
    <w:abstractNumId w:val="153"/>
  </w:num>
  <w:num w:numId="107" w16cid:durableId="1374647100">
    <w:abstractNumId w:val="136"/>
  </w:num>
  <w:num w:numId="108" w16cid:durableId="2009211658">
    <w:abstractNumId w:val="243"/>
  </w:num>
  <w:num w:numId="109" w16cid:durableId="629743887">
    <w:abstractNumId w:val="247"/>
  </w:num>
  <w:num w:numId="110" w16cid:durableId="864027199">
    <w:abstractNumId w:val="174"/>
  </w:num>
  <w:num w:numId="111" w16cid:durableId="1261917072">
    <w:abstractNumId w:val="229"/>
  </w:num>
  <w:num w:numId="112" w16cid:durableId="279530777">
    <w:abstractNumId w:val="169"/>
  </w:num>
  <w:num w:numId="113" w16cid:durableId="726294420">
    <w:abstractNumId w:val="181"/>
  </w:num>
  <w:num w:numId="114" w16cid:durableId="227423921">
    <w:abstractNumId w:val="107"/>
  </w:num>
  <w:num w:numId="115" w16cid:durableId="798761042">
    <w:abstractNumId w:val="106"/>
  </w:num>
  <w:num w:numId="116" w16cid:durableId="213349480">
    <w:abstractNumId w:val="108"/>
  </w:num>
  <w:num w:numId="117" w16cid:durableId="1001079937">
    <w:abstractNumId w:val="264"/>
  </w:num>
  <w:num w:numId="118" w16cid:durableId="1648128363">
    <w:abstractNumId w:val="49"/>
  </w:num>
  <w:num w:numId="119" w16cid:durableId="1066951471">
    <w:abstractNumId w:val="232"/>
  </w:num>
  <w:num w:numId="120" w16cid:durableId="1246764572">
    <w:abstractNumId w:val="75"/>
  </w:num>
  <w:num w:numId="121" w16cid:durableId="197427038">
    <w:abstractNumId w:val="240"/>
  </w:num>
  <w:num w:numId="122" w16cid:durableId="1681541258">
    <w:abstractNumId w:val="19"/>
  </w:num>
  <w:num w:numId="123" w16cid:durableId="195777195">
    <w:abstractNumId w:val="199"/>
  </w:num>
  <w:num w:numId="124" w16cid:durableId="1972519003">
    <w:abstractNumId w:val="76"/>
  </w:num>
  <w:num w:numId="125" w16cid:durableId="124740048">
    <w:abstractNumId w:val="44"/>
  </w:num>
  <w:num w:numId="126" w16cid:durableId="1449620889">
    <w:abstractNumId w:val="165"/>
  </w:num>
  <w:num w:numId="127" w16cid:durableId="1596740394">
    <w:abstractNumId w:val="280"/>
  </w:num>
  <w:num w:numId="128" w16cid:durableId="184490983">
    <w:abstractNumId w:val="90"/>
  </w:num>
  <w:num w:numId="129" w16cid:durableId="1386104055">
    <w:abstractNumId w:val="143"/>
  </w:num>
  <w:num w:numId="130" w16cid:durableId="342561378">
    <w:abstractNumId w:val="2"/>
  </w:num>
  <w:num w:numId="131" w16cid:durableId="1276910746">
    <w:abstractNumId w:val="304"/>
  </w:num>
  <w:num w:numId="132" w16cid:durableId="92671447">
    <w:abstractNumId w:val="18"/>
  </w:num>
  <w:num w:numId="133" w16cid:durableId="971133299">
    <w:abstractNumId w:val="83"/>
  </w:num>
  <w:num w:numId="134" w16cid:durableId="171070913">
    <w:abstractNumId w:val="88"/>
  </w:num>
  <w:num w:numId="135" w16cid:durableId="2072343613">
    <w:abstractNumId w:val="67"/>
  </w:num>
  <w:num w:numId="136" w16cid:durableId="1260259357">
    <w:abstractNumId w:val="53"/>
  </w:num>
  <w:num w:numId="137" w16cid:durableId="688676006">
    <w:abstractNumId w:val="306"/>
  </w:num>
  <w:num w:numId="138" w16cid:durableId="132136337">
    <w:abstractNumId w:val="127"/>
  </w:num>
  <w:num w:numId="139" w16cid:durableId="1693074152">
    <w:abstractNumId w:val="210"/>
  </w:num>
  <w:num w:numId="140" w16cid:durableId="78330998">
    <w:abstractNumId w:val="100"/>
  </w:num>
  <w:num w:numId="141" w16cid:durableId="275908982">
    <w:abstractNumId w:val="3"/>
  </w:num>
  <w:num w:numId="142" w16cid:durableId="661742182">
    <w:abstractNumId w:val="312"/>
  </w:num>
  <w:num w:numId="143" w16cid:durableId="1464540646">
    <w:abstractNumId w:val="28"/>
  </w:num>
  <w:num w:numId="144" w16cid:durableId="854151316">
    <w:abstractNumId w:val="51"/>
  </w:num>
  <w:num w:numId="145" w16cid:durableId="1465006890">
    <w:abstractNumId w:val="158"/>
  </w:num>
  <w:num w:numId="146" w16cid:durableId="2018579445">
    <w:abstractNumId w:val="187"/>
  </w:num>
  <w:num w:numId="147" w16cid:durableId="2146386270">
    <w:abstractNumId w:val="179"/>
  </w:num>
  <w:num w:numId="148" w16cid:durableId="1039934867">
    <w:abstractNumId w:val="211"/>
  </w:num>
  <w:num w:numId="149" w16cid:durableId="1327898084">
    <w:abstractNumId w:val="329"/>
  </w:num>
  <w:num w:numId="150" w16cid:durableId="1115060149">
    <w:abstractNumId w:val="301"/>
  </w:num>
  <w:num w:numId="151" w16cid:durableId="1789153594">
    <w:abstractNumId w:val="162"/>
  </w:num>
  <w:num w:numId="152" w16cid:durableId="942419907">
    <w:abstractNumId w:val="258"/>
  </w:num>
  <w:num w:numId="153" w16cid:durableId="1408648741">
    <w:abstractNumId w:val="113"/>
  </w:num>
  <w:num w:numId="154" w16cid:durableId="1497107902">
    <w:abstractNumId w:val="164"/>
  </w:num>
  <w:num w:numId="155" w16cid:durableId="525213368">
    <w:abstractNumId w:val="98"/>
  </w:num>
  <w:num w:numId="156" w16cid:durableId="280966228">
    <w:abstractNumId w:val="119"/>
  </w:num>
  <w:num w:numId="157" w16cid:durableId="624311412">
    <w:abstractNumId w:val="318"/>
  </w:num>
  <w:num w:numId="158" w16cid:durableId="985473368">
    <w:abstractNumId w:val="43"/>
  </w:num>
  <w:num w:numId="159" w16cid:durableId="1495612000">
    <w:abstractNumId w:val="230"/>
  </w:num>
  <w:num w:numId="160" w16cid:durableId="389547633">
    <w:abstractNumId w:val="86"/>
  </w:num>
  <w:num w:numId="161" w16cid:durableId="1171330760">
    <w:abstractNumId w:val="33"/>
  </w:num>
  <w:num w:numId="162" w16cid:durableId="1877546027">
    <w:abstractNumId w:val="29"/>
  </w:num>
  <w:num w:numId="163" w16cid:durableId="1083531829">
    <w:abstractNumId w:val="12"/>
  </w:num>
  <w:num w:numId="164" w16cid:durableId="349529481">
    <w:abstractNumId w:val="182"/>
  </w:num>
  <w:num w:numId="165" w16cid:durableId="1187408248">
    <w:abstractNumId w:val="23"/>
  </w:num>
  <w:num w:numId="166" w16cid:durableId="1963917833">
    <w:abstractNumId w:val="184"/>
  </w:num>
  <w:num w:numId="167" w16cid:durableId="1816608816">
    <w:abstractNumId w:val="85"/>
  </w:num>
  <w:num w:numId="168" w16cid:durableId="1737320054">
    <w:abstractNumId w:val="82"/>
  </w:num>
  <w:num w:numId="169" w16cid:durableId="1207109821">
    <w:abstractNumId w:val="213"/>
  </w:num>
  <w:num w:numId="170" w16cid:durableId="1040010129">
    <w:abstractNumId w:val="48"/>
  </w:num>
  <w:num w:numId="171" w16cid:durableId="154733477">
    <w:abstractNumId w:val="180"/>
  </w:num>
  <w:num w:numId="172" w16cid:durableId="1875388117">
    <w:abstractNumId w:val="266"/>
  </w:num>
  <w:num w:numId="173" w16cid:durableId="1127312790">
    <w:abstractNumId w:val="295"/>
  </w:num>
  <w:num w:numId="174" w16cid:durableId="821894705">
    <w:abstractNumId w:val="283"/>
  </w:num>
  <w:num w:numId="175" w16cid:durableId="2060202208">
    <w:abstractNumId w:val="31"/>
  </w:num>
  <w:num w:numId="176" w16cid:durableId="427041056">
    <w:abstractNumId w:val="285"/>
  </w:num>
  <w:num w:numId="177" w16cid:durableId="2005013436">
    <w:abstractNumId w:val="205"/>
  </w:num>
  <w:num w:numId="178" w16cid:durableId="1297225759">
    <w:abstractNumId w:val="6"/>
  </w:num>
  <w:num w:numId="179" w16cid:durableId="1078939889">
    <w:abstractNumId w:val="254"/>
  </w:num>
  <w:num w:numId="180" w16cid:durableId="1107851736">
    <w:abstractNumId w:val="288"/>
  </w:num>
  <w:num w:numId="181" w16cid:durableId="583029988">
    <w:abstractNumId w:val="137"/>
  </w:num>
  <w:num w:numId="182" w16cid:durableId="254287397">
    <w:abstractNumId w:val="58"/>
  </w:num>
  <w:num w:numId="183" w16cid:durableId="2016374378">
    <w:abstractNumId w:val="176"/>
  </w:num>
  <w:num w:numId="184" w16cid:durableId="1055470342">
    <w:abstractNumId w:val="310"/>
  </w:num>
  <w:num w:numId="185" w16cid:durableId="1558782023">
    <w:abstractNumId w:val="224"/>
  </w:num>
  <w:num w:numId="186" w16cid:durableId="1189248579">
    <w:abstractNumId w:val="70"/>
  </w:num>
  <w:num w:numId="187" w16cid:durableId="1666736654">
    <w:abstractNumId w:val="251"/>
  </w:num>
  <w:num w:numId="188" w16cid:durableId="1776706874">
    <w:abstractNumId w:val="55"/>
  </w:num>
  <w:num w:numId="189" w16cid:durableId="576209186">
    <w:abstractNumId w:val="262"/>
  </w:num>
  <w:num w:numId="190" w16cid:durableId="1005281454">
    <w:abstractNumId w:val="147"/>
  </w:num>
  <w:num w:numId="191" w16cid:durableId="1582333789">
    <w:abstractNumId w:val="111"/>
  </w:num>
  <w:num w:numId="192" w16cid:durableId="1702782447">
    <w:abstractNumId w:val="292"/>
  </w:num>
  <w:num w:numId="193" w16cid:durableId="1685209365">
    <w:abstractNumId w:val="109"/>
  </w:num>
  <w:num w:numId="194" w16cid:durableId="70583918">
    <w:abstractNumId w:val="276"/>
  </w:num>
  <w:num w:numId="195" w16cid:durableId="1737243245">
    <w:abstractNumId w:val="238"/>
  </w:num>
  <w:num w:numId="196" w16cid:durableId="1439176504">
    <w:abstractNumId w:val="117"/>
  </w:num>
  <w:num w:numId="197" w16cid:durableId="2120639856">
    <w:abstractNumId w:val="129"/>
  </w:num>
  <w:num w:numId="198" w16cid:durableId="531069753">
    <w:abstractNumId w:val="104"/>
  </w:num>
  <w:num w:numId="199" w16cid:durableId="1861509069">
    <w:abstractNumId w:val="42"/>
  </w:num>
  <w:num w:numId="200" w16cid:durableId="557860229">
    <w:abstractNumId w:val="226"/>
  </w:num>
  <w:num w:numId="201" w16cid:durableId="50541444">
    <w:abstractNumId w:val="73"/>
  </w:num>
  <w:num w:numId="202" w16cid:durableId="967666265">
    <w:abstractNumId w:val="197"/>
  </w:num>
  <w:num w:numId="203" w16cid:durableId="102305876">
    <w:abstractNumId w:val="102"/>
  </w:num>
  <w:num w:numId="204" w16cid:durableId="1257589964">
    <w:abstractNumId w:val="178"/>
  </w:num>
  <w:num w:numId="205" w16cid:durableId="239220706">
    <w:abstractNumId w:val="116"/>
  </w:num>
  <w:num w:numId="206" w16cid:durableId="1587498423">
    <w:abstractNumId w:val="30"/>
  </w:num>
  <w:num w:numId="207" w16cid:durableId="532769485">
    <w:abstractNumId w:val="87"/>
  </w:num>
  <w:num w:numId="208" w16cid:durableId="1962807356">
    <w:abstractNumId w:val="128"/>
  </w:num>
  <w:num w:numId="209" w16cid:durableId="272328989">
    <w:abstractNumId w:val="203"/>
  </w:num>
  <w:num w:numId="210" w16cid:durableId="1803498373">
    <w:abstractNumId w:val="260"/>
  </w:num>
  <w:num w:numId="211" w16cid:durableId="1849560222">
    <w:abstractNumId w:val="289"/>
  </w:num>
  <w:num w:numId="212" w16cid:durableId="1429546247">
    <w:abstractNumId w:val="236"/>
  </w:num>
  <w:num w:numId="213" w16cid:durableId="1749228561">
    <w:abstractNumId w:val="209"/>
  </w:num>
  <w:num w:numId="214" w16cid:durableId="1797019989">
    <w:abstractNumId w:val="245"/>
  </w:num>
  <w:num w:numId="215" w16cid:durableId="1552033896">
    <w:abstractNumId w:val="215"/>
  </w:num>
  <w:num w:numId="216" w16cid:durableId="1840777101">
    <w:abstractNumId w:val="255"/>
  </w:num>
  <w:num w:numId="217" w16cid:durableId="224336718">
    <w:abstractNumId w:val="250"/>
  </w:num>
  <w:num w:numId="218" w16cid:durableId="2036925041">
    <w:abstractNumId w:val="274"/>
  </w:num>
  <w:num w:numId="219" w16cid:durableId="1006323584">
    <w:abstractNumId w:val="194"/>
  </w:num>
  <w:num w:numId="220" w16cid:durableId="1564676548">
    <w:abstractNumId w:val="175"/>
  </w:num>
  <w:num w:numId="221" w16cid:durableId="132333153">
    <w:abstractNumId w:val="277"/>
  </w:num>
  <w:num w:numId="222" w16cid:durableId="913974853">
    <w:abstractNumId w:val="265"/>
  </w:num>
  <w:num w:numId="223" w16cid:durableId="529536027">
    <w:abstractNumId w:val="124"/>
  </w:num>
  <w:num w:numId="224" w16cid:durableId="750009934">
    <w:abstractNumId w:val="161"/>
  </w:num>
  <w:num w:numId="225" w16cid:durableId="333652974">
    <w:abstractNumId w:val="327"/>
  </w:num>
  <w:num w:numId="226" w16cid:durableId="114909262">
    <w:abstractNumId w:val="123"/>
  </w:num>
  <w:num w:numId="227" w16cid:durableId="928776479">
    <w:abstractNumId w:val="149"/>
  </w:num>
  <w:num w:numId="228" w16cid:durableId="705956612">
    <w:abstractNumId w:val="191"/>
  </w:num>
  <w:num w:numId="229" w16cid:durableId="492070435">
    <w:abstractNumId w:val="249"/>
  </w:num>
  <w:num w:numId="230" w16cid:durableId="581722657">
    <w:abstractNumId w:val="192"/>
  </w:num>
  <w:num w:numId="231" w16cid:durableId="1835994546">
    <w:abstractNumId w:val="315"/>
  </w:num>
  <w:num w:numId="232" w16cid:durableId="429282575">
    <w:abstractNumId w:val="300"/>
  </w:num>
  <w:num w:numId="233" w16cid:durableId="1160463772">
    <w:abstractNumId w:val="279"/>
  </w:num>
  <w:num w:numId="234" w16cid:durableId="452754492">
    <w:abstractNumId w:val="308"/>
  </w:num>
  <w:num w:numId="235" w16cid:durableId="921111168">
    <w:abstractNumId w:val="168"/>
  </w:num>
  <w:num w:numId="236" w16cid:durableId="425460413">
    <w:abstractNumId w:val="272"/>
  </w:num>
  <w:num w:numId="237" w16cid:durableId="1300067507">
    <w:abstractNumId w:val="50"/>
  </w:num>
  <w:num w:numId="238" w16cid:durableId="625356223">
    <w:abstractNumId w:val="38"/>
  </w:num>
  <w:num w:numId="239" w16cid:durableId="1458724154">
    <w:abstractNumId w:val="185"/>
  </w:num>
  <w:num w:numId="240" w16cid:durableId="1346831482">
    <w:abstractNumId w:val="195"/>
  </w:num>
  <w:num w:numId="241" w16cid:durableId="1007709627">
    <w:abstractNumId w:val="324"/>
  </w:num>
  <w:num w:numId="242" w16cid:durableId="326052825">
    <w:abstractNumId w:val="241"/>
  </w:num>
  <w:num w:numId="243" w16cid:durableId="1841117634">
    <w:abstractNumId w:val="92"/>
  </w:num>
  <w:num w:numId="244" w16cid:durableId="1549147542">
    <w:abstractNumId w:val="328"/>
  </w:num>
  <w:num w:numId="245" w16cid:durableId="1244879076">
    <w:abstractNumId w:val="259"/>
  </w:num>
  <w:num w:numId="246" w16cid:durableId="1567498080">
    <w:abstractNumId w:val="200"/>
  </w:num>
  <w:num w:numId="247" w16cid:durableId="817958192">
    <w:abstractNumId w:val="21"/>
  </w:num>
  <w:num w:numId="248" w16cid:durableId="1332415208">
    <w:abstractNumId w:val="231"/>
  </w:num>
  <w:num w:numId="249" w16cid:durableId="1153302568">
    <w:abstractNumId w:val="239"/>
  </w:num>
  <w:num w:numId="250" w16cid:durableId="1232348829">
    <w:abstractNumId w:val="56"/>
  </w:num>
  <w:num w:numId="251" w16cid:durableId="1807090396">
    <w:abstractNumId w:val="159"/>
  </w:num>
  <w:num w:numId="252" w16cid:durableId="105465772">
    <w:abstractNumId w:val="244"/>
  </w:num>
  <w:num w:numId="253" w16cid:durableId="1736859432">
    <w:abstractNumId w:val="290"/>
  </w:num>
  <w:num w:numId="254" w16cid:durableId="124586355">
    <w:abstractNumId w:val="46"/>
  </w:num>
  <w:num w:numId="255" w16cid:durableId="1564951658">
    <w:abstractNumId w:val="323"/>
  </w:num>
  <w:num w:numId="256" w16cid:durableId="1664117641">
    <w:abstractNumId w:val="37"/>
  </w:num>
  <w:num w:numId="257" w16cid:durableId="1757900360">
    <w:abstractNumId w:val="208"/>
  </w:num>
  <w:num w:numId="258" w16cid:durableId="1180200790">
    <w:abstractNumId w:val="134"/>
  </w:num>
  <w:num w:numId="259" w16cid:durableId="1245531222">
    <w:abstractNumId w:val="297"/>
  </w:num>
  <w:num w:numId="260" w16cid:durableId="1224870926">
    <w:abstractNumId w:val="302"/>
  </w:num>
  <w:num w:numId="261" w16cid:durableId="1278491377">
    <w:abstractNumId w:val="207"/>
  </w:num>
  <w:num w:numId="262" w16cid:durableId="34235277">
    <w:abstractNumId w:val="80"/>
  </w:num>
  <w:num w:numId="263" w16cid:durableId="1590041616">
    <w:abstractNumId w:val="140"/>
  </w:num>
  <w:num w:numId="264" w16cid:durableId="347297237">
    <w:abstractNumId w:val="39"/>
  </w:num>
  <w:num w:numId="265" w16cid:durableId="1851985615">
    <w:abstractNumId w:val="253"/>
  </w:num>
  <w:num w:numId="266" w16cid:durableId="6561626">
    <w:abstractNumId w:val="60"/>
  </w:num>
  <w:num w:numId="267" w16cid:durableId="1670909298">
    <w:abstractNumId w:val="156"/>
  </w:num>
  <w:num w:numId="268" w16cid:durableId="33241425">
    <w:abstractNumId w:val="71"/>
  </w:num>
  <w:num w:numId="269" w16cid:durableId="1692603746">
    <w:abstractNumId w:val="135"/>
  </w:num>
  <w:num w:numId="270" w16cid:durableId="1059211544">
    <w:abstractNumId w:val="188"/>
  </w:num>
  <w:num w:numId="271" w16cid:durableId="1833639871">
    <w:abstractNumId w:val="105"/>
  </w:num>
  <w:num w:numId="272" w16cid:durableId="701830738">
    <w:abstractNumId w:val="34"/>
  </w:num>
  <w:num w:numId="273" w16cid:durableId="732311600">
    <w:abstractNumId w:val="212"/>
  </w:num>
  <w:num w:numId="274" w16cid:durableId="48576387">
    <w:abstractNumId w:val="20"/>
  </w:num>
  <w:num w:numId="275" w16cid:durableId="672805996">
    <w:abstractNumId w:val="326"/>
  </w:num>
  <w:num w:numId="276" w16cid:durableId="2010711172">
    <w:abstractNumId w:val="307"/>
  </w:num>
  <w:num w:numId="277" w16cid:durableId="831290682">
    <w:abstractNumId w:val="35"/>
  </w:num>
  <w:num w:numId="278" w16cid:durableId="938368072">
    <w:abstractNumId w:val="320"/>
  </w:num>
  <w:num w:numId="279" w16cid:durableId="1325859008">
    <w:abstractNumId w:val="96"/>
  </w:num>
  <w:num w:numId="280" w16cid:durableId="1100175531">
    <w:abstractNumId w:val="9"/>
  </w:num>
  <w:num w:numId="281" w16cid:durableId="1934434776">
    <w:abstractNumId w:val="125"/>
  </w:num>
  <w:num w:numId="282" w16cid:durableId="1899319264">
    <w:abstractNumId w:val="298"/>
  </w:num>
  <w:num w:numId="283" w16cid:durableId="1940284693">
    <w:abstractNumId w:val="248"/>
  </w:num>
  <w:num w:numId="284" w16cid:durableId="569341455">
    <w:abstractNumId w:val="282"/>
  </w:num>
  <w:num w:numId="285" w16cid:durableId="1784184164">
    <w:abstractNumId w:val="74"/>
  </w:num>
  <w:num w:numId="286" w16cid:durableId="641273109">
    <w:abstractNumId w:val="32"/>
  </w:num>
  <w:num w:numId="287" w16cid:durableId="155152138">
    <w:abstractNumId w:val="26"/>
  </w:num>
  <w:num w:numId="288" w16cid:durableId="524253601">
    <w:abstractNumId w:val="45"/>
  </w:num>
  <w:num w:numId="289" w16cid:durableId="1546987538">
    <w:abstractNumId w:val="0"/>
  </w:num>
  <w:num w:numId="290" w16cid:durableId="52853395">
    <w:abstractNumId w:val="131"/>
  </w:num>
  <w:num w:numId="291" w16cid:durableId="727997651">
    <w:abstractNumId w:val="237"/>
  </w:num>
  <w:num w:numId="292" w16cid:durableId="1565722762">
    <w:abstractNumId w:val="66"/>
  </w:num>
  <w:num w:numId="293" w16cid:durableId="1427386261">
    <w:abstractNumId w:val="17"/>
  </w:num>
  <w:num w:numId="294" w16cid:durableId="657810081">
    <w:abstractNumId w:val="163"/>
  </w:num>
  <w:num w:numId="295" w16cid:durableId="303777993">
    <w:abstractNumId w:val="59"/>
  </w:num>
  <w:num w:numId="296" w16cid:durableId="369190880">
    <w:abstractNumId w:val="167"/>
  </w:num>
  <w:num w:numId="297" w16cid:durableId="1557618924">
    <w:abstractNumId w:val="142"/>
  </w:num>
  <w:num w:numId="298" w16cid:durableId="6176204">
    <w:abstractNumId w:val="267"/>
  </w:num>
  <w:num w:numId="299" w16cid:durableId="44909277">
    <w:abstractNumId w:val="89"/>
  </w:num>
  <w:num w:numId="300" w16cid:durableId="1220359555">
    <w:abstractNumId w:val="155"/>
  </w:num>
  <w:num w:numId="301" w16cid:durableId="390663466">
    <w:abstractNumId w:val="273"/>
  </w:num>
  <w:num w:numId="302" w16cid:durableId="986786744">
    <w:abstractNumId w:val="294"/>
  </w:num>
  <w:num w:numId="303" w16cid:durableId="1863349860">
    <w:abstractNumId w:val="221"/>
  </w:num>
  <w:num w:numId="304" w16cid:durableId="644504880">
    <w:abstractNumId w:val="305"/>
  </w:num>
  <w:num w:numId="305" w16cid:durableId="1261914388">
    <w:abstractNumId w:val="190"/>
  </w:num>
  <w:num w:numId="306" w16cid:durableId="1292173890">
    <w:abstractNumId w:val="25"/>
  </w:num>
  <w:num w:numId="307" w16cid:durableId="1121149878">
    <w:abstractNumId w:val="8"/>
  </w:num>
  <w:num w:numId="308" w16cid:durableId="156505001">
    <w:abstractNumId w:val="24"/>
  </w:num>
  <w:num w:numId="309" w16cid:durableId="1853638796">
    <w:abstractNumId w:val="63"/>
  </w:num>
  <w:num w:numId="310" w16cid:durableId="798644518">
    <w:abstractNumId w:val="321"/>
  </w:num>
  <w:num w:numId="311" w16cid:durableId="1040477981">
    <w:abstractNumId w:val="299"/>
  </w:num>
  <w:num w:numId="312" w16cid:durableId="1937520108">
    <w:abstractNumId w:val="62"/>
  </w:num>
  <w:num w:numId="313" w16cid:durableId="1337030807">
    <w:abstractNumId w:val="69"/>
  </w:num>
  <w:num w:numId="314" w16cid:durableId="290326625">
    <w:abstractNumId w:val="118"/>
  </w:num>
  <w:num w:numId="315" w16cid:durableId="495268726">
    <w:abstractNumId w:val="130"/>
  </w:num>
  <w:num w:numId="316" w16cid:durableId="1765295724">
    <w:abstractNumId w:val="152"/>
  </w:num>
  <w:num w:numId="317" w16cid:durableId="1774470472">
    <w:abstractNumId w:val="198"/>
  </w:num>
  <w:num w:numId="318" w16cid:durableId="539900180">
    <w:abstractNumId w:val="216"/>
  </w:num>
  <w:num w:numId="319" w16cid:durableId="1832061973">
    <w:abstractNumId w:val="214"/>
  </w:num>
  <w:num w:numId="320" w16cid:durableId="678389105">
    <w:abstractNumId w:val="121"/>
  </w:num>
  <w:num w:numId="321" w16cid:durableId="1731728116">
    <w:abstractNumId w:val="331"/>
  </w:num>
  <w:num w:numId="322" w16cid:durableId="777258300">
    <w:abstractNumId w:val="61"/>
  </w:num>
  <w:num w:numId="323" w16cid:durableId="237399597">
    <w:abstractNumId w:val="65"/>
  </w:num>
  <w:num w:numId="324" w16cid:durableId="23794006">
    <w:abstractNumId w:val="40"/>
  </w:num>
  <w:num w:numId="325" w16cid:durableId="1628507776">
    <w:abstractNumId w:val="79"/>
  </w:num>
  <w:num w:numId="326" w16cid:durableId="1947691441">
    <w:abstractNumId w:val="103"/>
  </w:num>
  <w:num w:numId="327" w16cid:durableId="1773668557">
    <w:abstractNumId w:val="78"/>
  </w:num>
  <w:num w:numId="328" w16cid:durableId="428736850">
    <w:abstractNumId w:val="325"/>
  </w:num>
  <w:num w:numId="329" w16cid:durableId="1530147450">
    <w:abstractNumId w:val="303"/>
  </w:num>
  <w:num w:numId="330" w16cid:durableId="840005794">
    <w:abstractNumId w:val="47"/>
  </w:num>
  <w:num w:numId="331" w16cid:durableId="662588855">
    <w:abstractNumId w:val="36"/>
  </w:num>
  <w:num w:numId="332" w16cid:durableId="2059815282">
    <w:abstractNumId w:val="91"/>
  </w:num>
  <w:numIdMacAtCleanup w:val="3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bordersDoNotSurroundHeader/>
  <w:bordersDoNotSurroundFooter/>
  <w:hideSpelling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ZTI0MGUzYmQwNWFjZjQ2ZTEyZmYzYjJhMjNmMzgzNDgifQ=="/>
  </w:docVars>
  <w:rsids>
    <w:rsidRoot w:val="00256BB6"/>
    <w:rsid w:val="00004A27"/>
    <w:rsid w:val="0002055D"/>
    <w:rsid w:val="00030229"/>
    <w:rsid w:val="00032116"/>
    <w:rsid w:val="0004366D"/>
    <w:rsid w:val="00075F39"/>
    <w:rsid w:val="00092BC8"/>
    <w:rsid w:val="00093144"/>
    <w:rsid w:val="00095B84"/>
    <w:rsid w:val="000A1143"/>
    <w:rsid w:val="000B25E0"/>
    <w:rsid w:val="000D2337"/>
    <w:rsid w:val="000E4776"/>
    <w:rsid w:val="00106206"/>
    <w:rsid w:val="00152535"/>
    <w:rsid w:val="001824A4"/>
    <w:rsid w:val="001B05D5"/>
    <w:rsid w:val="001B5FF5"/>
    <w:rsid w:val="001C3F1B"/>
    <w:rsid w:val="001D5D9F"/>
    <w:rsid w:val="00204102"/>
    <w:rsid w:val="00214B05"/>
    <w:rsid w:val="00215A15"/>
    <w:rsid w:val="00226664"/>
    <w:rsid w:val="00233E31"/>
    <w:rsid w:val="00242099"/>
    <w:rsid w:val="00256BB6"/>
    <w:rsid w:val="00262B65"/>
    <w:rsid w:val="00266D08"/>
    <w:rsid w:val="00297BC8"/>
    <w:rsid w:val="002A19B1"/>
    <w:rsid w:val="002B155C"/>
    <w:rsid w:val="002B2792"/>
    <w:rsid w:val="002E0E2F"/>
    <w:rsid w:val="002E4147"/>
    <w:rsid w:val="002E4BC3"/>
    <w:rsid w:val="0030050B"/>
    <w:rsid w:val="0031258B"/>
    <w:rsid w:val="0032193B"/>
    <w:rsid w:val="003254FA"/>
    <w:rsid w:val="003322BE"/>
    <w:rsid w:val="0035308B"/>
    <w:rsid w:val="0036092D"/>
    <w:rsid w:val="00365EF2"/>
    <w:rsid w:val="00367215"/>
    <w:rsid w:val="003708A4"/>
    <w:rsid w:val="00375FAF"/>
    <w:rsid w:val="0039515A"/>
    <w:rsid w:val="003A30CF"/>
    <w:rsid w:val="003B5A21"/>
    <w:rsid w:val="003B79D6"/>
    <w:rsid w:val="003C5C8E"/>
    <w:rsid w:val="003C75C2"/>
    <w:rsid w:val="003C7AB3"/>
    <w:rsid w:val="003D5B30"/>
    <w:rsid w:val="003E0F99"/>
    <w:rsid w:val="00423AD2"/>
    <w:rsid w:val="00450565"/>
    <w:rsid w:val="004505A2"/>
    <w:rsid w:val="00450A2C"/>
    <w:rsid w:val="00452A2C"/>
    <w:rsid w:val="004702E8"/>
    <w:rsid w:val="00470421"/>
    <w:rsid w:val="0049133F"/>
    <w:rsid w:val="004960B0"/>
    <w:rsid w:val="004B164B"/>
    <w:rsid w:val="005049D9"/>
    <w:rsid w:val="00530650"/>
    <w:rsid w:val="00531108"/>
    <w:rsid w:val="00534EC2"/>
    <w:rsid w:val="00554DCD"/>
    <w:rsid w:val="005624A7"/>
    <w:rsid w:val="00563EF5"/>
    <w:rsid w:val="00580564"/>
    <w:rsid w:val="0059250C"/>
    <w:rsid w:val="005A0203"/>
    <w:rsid w:val="005A3801"/>
    <w:rsid w:val="005B5BE6"/>
    <w:rsid w:val="005B7446"/>
    <w:rsid w:val="005C4BB6"/>
    <w:rsid w:val="005E2322"/>
    <w:rsid w:val="005E476A"/>
    <w:rsid w:val="00612CD3"/>
    <w:rsid w:val="00616035"/>
    <w:rsid w:val="00630EF4"/>
    <w:rsid w:val="00642D3F"/>
    <w:rsid w:val="00646ED3"/>
    <w:rsid w:val="0065230C"/>
    <w:rsid w:val="0065761D"/>
    <w:rsid w:val="00663D35"/>
    <w:rsid w:val="0067273C"/>
    <w:rsid w:val="00692DE4"/>
    <w:rsid w:val="006B29CA"/>
    <w:rsid w:val="006B3A10"/>
    <w:rsid w:val="006C1E68"/>
    <w:rsid w:val="006D5349"/>
    <w:rsid w:val="006D6C0A"/>
    <w:rsid w:val="006E477A"/>
    <w:rsid w:val="006E7B59"/>
    <w:rsid w:val="0071365E"/>
    <w:rsid w:val="0071757F"/>
    <w:rsid w:val="00747ECA"/>
    <w:rsid w:val="0078124E"/>
    <w:rsid w:val="007902F0"/>
    <w:rsid w:val="00791904"/>
    <w:rsid w:val="00794C54"/>
    <w:rsid w:val="00796FEA"/>
    <w:rsid w:val="007C071C"/>
    <w:rsid w:val="007D2A80"/>
    <w:rsid w:val="007D321C"/>
    <w:rsid w:val="007E375B"/>
    <w:rsid w:val="00800011"/>
    <w:rsid w:val="00800A08"/>
    <w:rsid w:val="00806F22"/>
    <w:rsid w:val="0081035A"/>
    <w:rsid w:val="00811262"/>
    <w:rsid w:val="00813A33"/>
    <w:rsid w:val="008448D4"/>
    <w:rsid w:val="0085474C"/>
    <w:rsid w:val="00855797"/>
    <w:rsid w:val="00870B51"/>
    <w:rsid w:val="00871C11"/>
    <w:rsid w:val="00884540"/>
    <w:rsid w:val="00884E21"/>
    <w:rsid w:val="00887902"/>
    <w:rsid w:val="00895319"/>
    <w:rsid w:val="008D5029"/>
    <w:rsid w:val="00922269"/>
    <w:rsid w:val="00923441"/>
    <w:rsid w:val="00924971"/>
    <w:rsid w:val="00930458"/>
    <w:rsid w:val="009433C7"/>
    <w:rsid w:val="00965412"/>
    <w:rsid w:val="00983209"/>
    <w:rsid w:val="009A3EDB"/>
    <w:rsid w:val="009B4CAE"/>
    <w:rsid w:val="009C36E8"/>
    <w:rsid w:val="009C3DF7"/>
    <w:rsid w:val="009F0D9F"/>
    <w:rsid w:val="009F5318"/>
    <w:rsid w:val="00A04D40"/>
    <w:rsid w:val="00A0751E"/>
    <w:rsid w:val="00A114EA"/>
    <w:rsid w:val="00A20E9C"/>
    <w:rsid w:val="00A270A7"/>
    <w:rsid w:val="00A519ED"/>
    <w:rsid w:val="00A665A5"/>
    <w:rsid w:val="00A819A2"/>
    <w:rsid w:val="00A953D0"/>
    <w:rsid w:val="00AA5D90"/>
    <w:rsid w:val="00AB50FA"/>
    <w:rsid w:val="00AB7A5F"/>
    <w:rsid w:val="00AD0EC1"/>
    <w:rsid w:val="00AD0ECF"/>
    <w:rsid w:val="00AD5DBA"/>
    <w:rsid w:val="00AE4E58"/>
    <w:rsid w:val="00AF139C"/>
    <w:rsid w:val="00B0504A"/>
    <w:rsid w:val="00B05684"/>
    <w:rsid w:val="00B07C4C"/>
    <w:rsid w:val="00B1069C"/>
    <w:rsid w:val="00B16E70"/>
    <w:rsid w:val="00B2107A"/>
    <w:rsid w:val="00B23175"/>
    <w:rsid w:val="00B26124"/>
    <w:rsid w:val="00B26C1C"/>
    <w:rsid w:val="00B41A22"/>
    <w:rsid w:val="00B602D6"/>
    <w:rsid w:val="00B87968"/>
    <w:rsid w:val="00BA2CFD"/>
    <w:rsid w:val="00BB0688"/>
    <w:rsid w:val="00BC2177"/>
    <w:rsid w:val="00BC41D9"/>
    <w:rsid w:val="00BC4EF1"/>
    <w:rsid w:val="00BE4524"/>
    <w:rsid w:val="00BE564B"/>
    <w:rsid w:val="00BF18CA"/>
    <w:rsid w:val="00BF5EF3"/>
    <w:rsid w:val="00C148ED"/>
    <w:rsid w:val="00C21E20"/>
    <w:rsid w:val="00C232D7"/>
    <w:rsid w:val="00C30960"/>
    <w:rsid w:val="00C32AC2"/>
    <w:rsid w:val="00C45876"/>
    <w:rsid w:val="00C47A73"/>
    <w:rsid w:val="00C5222C"/>
    <w:rsid w:val="00C537CC"/>
    <w:rsid w:val="00C62405"/>
    <w:rsid w:val="00C63ECC"/>
    <w:rsid w:val="00C70F74"/>
    <w:rsid w:val="00C843E6"/>
    <w:rsid w:val="00C853B2"/>
    <w:rsid w:val="00C86D5B"/>
    <w:rsid w:val="00C86DF9"/>
    <w:rsid w:val="00C93813"/>
    <w:rsid w:val="00C96426"/>
    <w:rsid w:val="00CA2515"/>
    <w:rsid w:val="00CA386B"/>
    <w:rsid w:val="00CB1E6B"/>
    <w:rsid w:val="00CC2571"/>
    <w:rsid w:val="00CF25BA"/>
    <w:rsid w:val="00CF622A"/>
    <w:rsid w:val="00D10F07"/>
    <w:rsid w:val="00D12153"/>
    <w:rsid w:val="00D21F0B"/>
    <w:rsid w:val="00D225FF"/>
    <w:rsid w:val="00D31397"/>
    <w:rsid w:val="00D34C3C"/>
    <w:rsid w:val="00D4283B"/>
    <w:rsid w:val="00D4440B"/>
    <w:rsid w:val="00D46274"/>
    <w:rsid w:val="00D529CF"/>
    <w:rsid w:val="00D554C2"/>
    <w:rsid w:val="00D5799E"/>
    <w:rsid w:val="00D71975"/>
    <w:rsid w:val="00D72FD2"/>
    <w:rsid w:val="00D73A43"/>
    <w:rsid w:val="00D76147"/>
    <w:rsid w:val="00DA2194"/>
    <w:rsid w:val="00DB6C82"/>
    <w:rsid w:val="00DC6BF4"/>
    <w:rsid w:val="00DD44D2"/>
    <w:rsid w:val="00DE75F7"/>
    <w:rsid w:val="00E00289"/>
    <w:rsid w:val="00E161E0"/>
    <w:rsid w:val="00E328A0"/>
    <w:rsid w:val="00E33C2D"/>
    <w:rsid w:val="00E42161"/>
    <w:rsid w:val="00E61E0C"/>
    <w:rsid w:val="00E75FE1"/>
    <w:rsid w:val="00E842C1"/>
    <w:rsid w:val="00E85326"/>
    <w:rsid w:val="00EB30D1"/>
    <w:rsid w:val="00EC6E8D"/>
    <w:rsid w:val="00ED0E85"/>
    <w:rsid w:val="00F01C49"/>
    <w:rsid w:val="00F17543"/>
    <w:rsid w:val="00F20F0C"/>
    <w:rsid w:val="00F246D8"/>
    <w:rsid w:val="00F25A42"/>
    <w:rsid w:val="00F34DF4"/>
    <w:rsid w:val="00F40EA9"/>
    <w:rsid w:val="00F417AB"/>
    <w:rsid w:val="00F674A1"/>
    <w:rsid w:val="00F71FE6"/>
    <w:rsid w:val="00F76AE5"/>
    <w:rsid w:val="00F8025C"/>
    <w:rsid w:val="00F90EE5"/>
    <w:rsid w:val="00F969F6"/>
    <w:rsid w:val="00FA7820"/>
    <w:rsid w:val="00FB7195"/>
    <w:rsid w:val="00FC3D1E"/>
    <w:rsid w:val="00FD2E2D"/>
    <w:rsid w:val="00FE4508"/>
    <w:rsid w:val="13201EA1"/>
    <w:rsid w:val="4EBA4412"/>
    <w:rsid w:val="555E07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DBFE00"/>
  <w15:docId w15:val="{D52F0008-E0AE-42F2-A13E-357D2EAE83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qFormat/>
    <w:rsid w:val="00D529CF"/>
    <w:pPr>
      <w:keepNext/>
      <w:keepLines/>
      <w:spacing w:before="340" w:after="330" w:line="576" w:lineRule="auto"/>
      <w:jc w:val="center"/>
      <w:outlineLvl w:val="0"/>
    </w:pPr>
    <w:rPr>
      <w:rFonts w:eastAsia="宋体"/>
      <w:b/>
      <w:kern w:val="44"/>
      <w:sz w:val="36"/>
    </w:rPr>
  </w:style>
  <w:style w:type="paragraph" w:styleId="2">
    <w:name w:val="heading 2"/>
    <w:basedOn w:val="a"/>
    <w:next w:val="a"/>
    <w:link w:val="20"/>
    <w:unhideWhenUsed/>
    <w:qFormat/>
    <w:rsid w:val="00CA386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CA386B"/>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CF25BA"/>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nhideWhenUsed/>
    <w:qFormat/>
    <w:pPr>
      <w:ind w:leftChars="2500" w:left="100"/>
    </w:pPr>
  </w:style>
  <w:style w:type="character" w:customStyle="1" w:styleId="a4">
    <w:name w:val="日期 字符"/>
    <w:basedOn w:val="a0"/>
    <w:link w:val="a3"/>
    <w:qFormat/>
  </w:style>
  <w:style w:type="paragraph" w:styleId="a5">
    <w:name w:val="footer"/>
    <w:basedOn w:val="a"/>
    <w:link w:val="a6"/>
    <w:unhideWhenUsed/>
    <w:qFormat/>
    <w:pPr>
      <w:tabs>
        <w:tab w:val="center" w:pos="4153"/>
        <w:tab w:val="right" w:pos="8306"/>
      </w:tabs>
      <w:snapToGrid w:val="0"/>
      <w:jc w:val="left"/>
    </w:pPr>
    <w:rPr>
      <w:sz w:val="18"/>
      <w:szCs w:val="18"/>
    </w:rPr>
  </w:style>
  <w:style w:type="character" w:customStyle="1" w:styleId="a6">
    <w:name w:val="页脚 字符"/>
    <w:basedOn w:val="a0"/>
    <w:link w:val="a5"/>
    <w:qFormat/>
    <w:rPr>
      <w:sz w:val="18"/>
      <w:szCs w:val="18"/>
    </w:rPr>
  </w:style>
  <w:style w:type="paragraph" w:styleId="a7">
    <w:name w:val="header"/>
    <w:basedOn w:val="a"/>
    <w:link w:val="a8"/>
    <w:unhideWhenUsed/>
    <w:qFormat/>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qFormat/>
    <w:rPr>
      <w:sz w:val="18"/>
      <w:szCs w:val="18"/>
    </w:rPr>
  </w:style>
  <w:style w:type="table" w:styleId="a9">
    <w:name w:val="Table Grid"/>
    <w:basedOn w:val="a1"/>
    <w:uiPriority w:val="59"/>
    <w:qFormat/>
    <w:rsid w:val="003C7AB3"/>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批注文字 字符"/>
    <w:basedOn w:val="a0"/>
    <w:link w:val="ab"/>
    <w:uiPriority w:val="99"/>
    <w:semiHidden/>
    <w:rsid w:val="0078124E"/>
    <w:rPr>
      <w:kern w:val="2"/>
      <w:sz w:val="21"/>
      <w:szCs w:val="22"/>
    </w:rPr>
  </w:style>
  <w:style w:type="paragraph" w:styleId="ab">
    <w:name w:val="annotation text"/>
    <w:basedOn w:val="a"/>
    <w:link w:val="aa"/>
    <w:uiPriority w:val="99"/>
    <w:semiHidden/>
    <w:unhideWhenUsed/>
    <w:qFormat/>
    <w:rsid w:val="0078124E"/>
    <w:pPr>
      <w:jc w:val="left"/>
    </w:pPr>
  </w:style>
  <w:style w:type="paragraph" w:styleId="ac">
    <w:name w:val="Normal (Web)"/>
    <w:basedOn w:val="a"/>
    <w:uiPriority w:val="99"/>
    <w:qFormat/>
    <w:rsid w:val="0078124E"/>
    <w:pPr>
      <w:spacing w:before="100" w:beforeAutospacing="1" w:after="100" w:afterAutospacing="1"/>
      <w:jc w:val="left"/>
    </w:pPr>
    <w:rPr>
      <w:rFonts w:cs="Times New Roman"/>
      <w:kern w:val="0"/>
      <w:sz w:val="24"/>
    </w:rPr>
  </w:style>
  <w:style w:type="character" w:styleId="ad">
    <w:name w:val="Hyperlink"/>
    <w:basedOn w:val="a0"/>
    <w:uiPriority w:val="99"/>
    <w:qFormat/>
    <w:rsid w:val="0078124E"/>
    <w:rPr>
      <w:color w:val="0000FF"/>
      <w:u w:val="single"/>
    </w:rPr>
  </w:style>
  <w:style w:type="table" w:customStyle="1" w:styleId="31">
    <w:name w:val="网格型3"/>
    <w:basedOn w:val="a1"/>
    <w:uiPriority w:val="59"/>
    <w:qFormat/>
    <w:rsid w:val="0078124E"/>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网格型2"/>
    <w:basedOn w:val="a1"/>
    <w:uiPriority w:val="59"/>
    <w:qFormat/>
    <w:rsid w:val="00BC4EF1"/>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标题 1 字符"/>
    <w:basedOn w:val="a0"/>
    <w:link w:val="1"/>
    <w:qFormat/>
    <w:rsid w:val="00D529CF"/>
    <w:rPr>
      <w:rFonts w:eastAsia="宋体"/>
      <w:b/>
      <w:kern w:val="44"/>
      <w:sz w:val="36"/>
      <w:szCs w:val="22"/>
    </w:rPr>
  </w:style>
  <w:style w:type="paragraph" w:styleId="ae">
    <w:name w:val="List Paragraph"/>
    <w:basedOn w:val="a"/>
    <w:uiPriority w:val="99"/>
    <w:unhideWhenUsed/>
    <w:qFormat/>
    <w:rsid w:val="00D529CF"/>
    <w:pPr>
      <w:ind w:firstLineChars="200" w:firstLine="420"/>
    </w:pPr>
  </w:style>
  <w:style w:type="numbering" w:customStyle="1" w:styleId="11">
    <w:name w:val="无列表1"/>
    <w:next w:val="a2"/>
    <w:uiPriority w:val="99"/>
    <w:semiHidden/>
    <w:unhideWhenUsed/>
    <w:rsid w:val="00C32AC2"/>
  </w:style>
  <w:style w:type="paragraph" w:styleId="TOC1">
    <w:name w:val="toc 1"/>
    <w:basedOn w:val="a"/>
    <w:next w:val="a"/>
    <w:uiPriority w:val="39"/>
    <w:qFormat/>
    <w:rsid w:val="00C32AC2"/>
  </w:style>
  <w:style w:type="table" w:customStyle="1" w:styleId="12">
    <w:name w:val="网格型1"/>
    <w:basedOn w:val="a1"/>
    <w:next w:val="a9"/>
    <w:qFormat/>
    <w:rsid w:val="00C32AC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Strong"/>
    <w:basedOn w:val="a0"/>
    <w:qFormat/>
    <w:rsid w:val="00C32AC2"/>
    <w:rPr>
      <w:b/>
    </w:rPr>
  </w:style>
  <w:style w:type="character" w:styleId="af0">
    <w:name w:val="page number"/>
    <w:basedOn w:val="a0"/>
    <w:qFormat/>
    <w:rsid w:val="00C32AC2"/>
  </w:style>
  <w:style w:type="paragraph" w:customStyle="1" w:styleId="13">
    <w:name w:val="样式1"/>
    <w:basedOn w:val="1"/>
    <w:next w:val="a"/>
    <w:link w:val="1Char"/>
    <w:qFormat/>
    <w:rsid w:val="00C32AC2"/>
    <w:rPr>
      <w:rFonts w:eastAsia="黑体"/>
      <w:b w:val="0"/>
    </w:rPr>
  </w:style>
  <w:style w:type="table" w:customStyle="1" w:styleId="110">
    <w:name w:val="网格型11"/>
    <w:basedOn w:val="a1"/>
    <w:uiPriority w:val="59"/>
    <w:qFormat/>
    <w:rsid w:val="00C32AC2"/>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网格型8"/>
    <w:basedOn w:val="a1"/>
    <w:uiPriority w:val="59"/>
    <w:qFormat/>
    <w:rsid w:val="00C32AC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网格型31"/>
    <w:basedOn w:val="a1"/>
    <w:uiPriority w:val="59"/>
    <w:qFormat/>
    <w:rsid w:val="00C32AC2"/>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网格型21"/>
    <w:basedOn w:val="a1"/>
    <w:uiPriority w:val="59"/>
    <w:qFormat/>
    <w:rsid w:val="00C32AC2"/>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网格型4"/>
    <w:basedOn w:val="a1"/>
    <w:uiPriority w:val="59"/>
    <w:qFormat/>
    <w:rsid w:val="00C32AC2"/>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网格型5"/>
    <w:basedOn w:val="a1"/>
    <w:uiPriority w:val="59"/>
    <w:qFormat/>
    <w:rsid w:val="00C32AC2"/>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网格型7"/>
    <w:basedOn w:val="a1"/>
    <w:uiPriority w:val="59"/>
    <w:qFormat/>
    <w:rsid w:val="00C32AC2"/>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
    <w:name w:val="无列表2"/>
    <w:next w:val="a2"/>
    <w:uiPriority w:val="99"/>
    <w:semiHidden/>
    <w:unhideWhenUsed/>
    <w:rsid w:val="00E75FE1"/>
  </w:style>
  <w:style w:type="table" w:customStyle="1" w:styleId="6">
    <w:name w:val="网格型6"/>
    <w:basedOn w:val="a1"/>
    <w:next w:val="a9"/>
    <w:qFormat/>
    <w:rsid w:val="00E75FE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网格型12"/>
    <w:basedOn w:val="a1"/>
    <w:uiPriority w:val="59"/>
    <w:qFormat/>
    <w:rsid w:val="00E75FE1"/>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网格型81"/>
    <w:basedOn w:val="a1"/>
    <w:uiPriority w:val="59"/>
    <w:qFormat/>
    <w:rsid w:val="00E75FE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网格型32"/>
    <w:basedOn w:val="a1"/>
    <w:uiPriority w:val="59"/>
    <w:qFormat/>
    <w:rsid w:val="00E75FE1"/>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网格型22"/>
    <w:basedOn w:val="a1"/>
    <w:uiPriority w:val="59"/>
    <w:qFormat/>
    <w:rsid w:val="00E75FE1"/>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网格型41"/>
    <w:basedOn w:val="a1"/>
    <w:uiPriority w:val="59"/>
    <w:qFormat/>
    <w:rsid w:val="00E75FE1"/>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网格型51"/>
    <w:basedOn w:val="a1"/>
    <w:uiPriority w:val="59"/>
    <w:qFormat/>
    <w:rsid w:val="00E75FE1"/>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网格型71"/>
    <w:basedOn w:val="a1"/>
    <w:uiPriority w:val="59"/>
    <w:qFormat/>
    <w:rsid w:val="00E75FE1"/>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3">
    <w:name w:val="无列表3"/>
    <w:next w:val="a2"/>
    <w:uiPriority w:val="99"/>
    <w:semiHidden/>
    <w:unhideWhenUsed/>
    <w:rsid w:val="00375FAF"/>
  </w:style>
  <w:style w:type="table" w:customStyle="1" w:styleId="9">
    <w:name w:val="网格型9"/>
    <w:basedOn w:val="a1"/>
    <w:next w:val="a9"/>
    <w:qFormat/>
    <w:rsid w:val="00375FAF"/>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网格型13"/>
    <w:basedOn w:val="a1"/>
    <w:uiPriority w:val="59"/>
    <w:qFormat/>
    <w:rsid w:val="00375FAF"/>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网格型82"/>
    <w:basedOn w:val="a1"/>
    <w:uiPriority w:val="59"/>
    <w:qFormat/>
    <w:rsid w:val="00375FAF"/>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0">
    <w:name w:val="网格型33"/>
    <w:basedOn w:val="a1"/>
    <w:uiPriority w:val="59"/>
    <w:qFormat/>
    <w:rsid w:val="00375FAF"/>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网格型23"/>
    <w:basedOn w:val="a1"/>
    <w:uiPriority w:val="59"/>
    <w:qFormat/>
    <w:rsid w:val="00375FAF"/>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网格型42"/>
    <w:basedOn w:val="a1"/>
    <w:uiPriority w:val="59"/>
    <w:qFormat/>
    <w:rsid w:val="00375FAF"/>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网格型52"/>
    <w:basedOn w:val="a1"/>
    <w:uiPriority w:val="59"/>
    <w:qFormat/>
    <w:rsid w:val="00375FAF"/>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
    <w:name w:val="网格型72"/>
    <w:basedOn w:val="a1"/>
    <w:uiPriority w:val="59"/>
    <w:qFormat/>
    <w:rsid w:val="00375FAF"/>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3">
    <w:name w:val="无列表4"/>
    <w:next w:val="a2"/>
    <w:uiPriority w:val="99"/>
    <w:semiHidden/>
    <w:unhideWhenUsed/>
    <w:rsid w:val="00D554C2"/>
  </w:style>
  <w:style w:type="table" w:customStyle="1" w:styleId="100">
    <w:name w:val="网格型10"/>
    <w:basedOn w:val="a1"/>
    <w:next w:val="a9"/>
    <w:qFormat/>
    <w:rsid w:val="00D554C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网格型14"/>
    <w:basedOn w:val="a1"/>
    <w:uiPriority w:val="59"/>
    <w:qFormat/>
    <w:rsid w:val="00D554C2"/>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网格型83"/>
    <w:basedOn w:val="a1"/>
    <w:uiPriority w:val="59"/>
    <w:qFormat/>
    <w:rsid w:val="00D554C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网格型34"/>
    <w:basedOn w:val="a1"/>
    <w:uiPriority w:val="59"/>
    <w:qFormat/>
    <w:rsid w:val="00D554C2"/>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网格型24"/>
    <w:basedOn w:val="a1"/>
    <w:uiPriority w:val="59"/>
    <w:qFormat/>
    <w:rsid w:val="00D554C2"/>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0">
    <w:name w:val="网格型43"/>
    <w:basedOn w:val="a1"/>
    <w:uiPriority w:val="59"/>
    <w:qFormat/>
    <w:rsid w:val="00D554C2"/>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网格型53"/>
    <w:basedOn w:val="a1"/>
    <w:uiPriority w:val="59"/>
    <w:qFormat/>
    <w:rsid w:val="00D554C2"/>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网格型73"/>
    <w:basedOn w:val="a1"/>
    <w:uiPriority w:val="59"/>
    <w:qFormat/>
    <w:rsid w:val="00D554C2"/>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0">
    <w:name w:val="无列表5"/>
    <w:next w:val="a2"/>
    <w:uiPriority w:val="99"/>
    <w:semiHidden/>
    <w:unhideWhenUsed/>
    <w:rsid w:val="00D554C2"/>
  </w:style>
  <w:style w:type="table" w:customStyle="1" w:styleId="15">
    <w:name w:val="网格型15"/>
    <w:basedOn w:val="a1"/>
    <w:next w:val="a9"/>
    <w:qFormat/>
    <w:rsid w:val="00D554C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网格型16"/>
    <w:basedOn w:val="a1"/>
    <w:uiPriority w:val="59"/>
    <w:qFormat/>
    <w:rsid w:val="00D554C2"/>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网格型84"/>
    <w:basedOn w:val="a1"/>
    <w:uiPriority w:val="59"/>
    <w:qFormat/>
    <w:rsid w:val="00D554C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网格型35"/>
    <w:basedOn w:val="a1"/>
    <w:uiPriority w:val="59"/>
    <w:qFormat/>
    <w:rsid w:val="00D554C2"/>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网格型25"/>
    <w:basedOn w:val="a1"/>
    <w:uiPriority w:val="59"/>
    <w:qFormat/>
    <w:rsid w:val="00D554C2"/>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网格型44"/>
    <w:basedOn w:val="a1"/>
    <w:uiPriority w:val="59"/>
    <w:qFormat/>
    <w:rsid w:val="00D554C2"/>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网格型54"/>
    <w:basedOn w:val="a1"/>
    <w:uiPriority w:val="59"/>
    <w:qFormat/>
    <w:rsid w:val="00D554C2"/>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网格型74"/>
    <w:basedOn w:val="a1"/>
    <w:uiPriority w:val="59"/>
    <w:qFormat/>
    <w:rsid w:val="00D554C2"/>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0">
    <w:name w:val="无列表6"/>
    <w:next w:val="a2"/>
    <w:uiPriority w:val="99"/>
    <w:semiHidden/>
    <w:unhideWhenUsed/>
    <w:rsid w:val="00D554C2"/>
  </w:style>
  <w:style w:type="table" w:customStyle="1" w:styleId="17">
    <w:name w:val="网格型17"/>
    <w:basedOn w:val="a1"/>
    <w:next w:val="a9"/>
    <w:qFormat/>
    <w:rsid w:val="00D554C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
    <w:name w:val="网格型18"/>
    <w:basedOn w:val="a1"/>
    <w:uiPriority w:val="59"/>
    <w:qFormat/>
    <w:rsid w:val="00D554C2"/>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网格型85"/>
    <w:basedOn w:val="a1"/>
    <w:uiPriority w:val="59"/>
    <w:qFormat/>
    <w:rsid w:val="00D554C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网格型36"/>
    <w:basedOn w:val="a1"/>
    <w:uiPriority w:val="59"/>
    <w:qFormat/>
    <w:rsid w:val="00D554C2"/>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网格型26"/>
    <w:basedOn w:val="a1"/>
    <w:uiPriority w:val="59"/>
    <w:qFormat/>
    <w:rsid w:val="00D554C2"/>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
    <w:name w:val="网格型45"/>
    <w:basedOn w:val="a1"/>
    <w:uiPriority w:val="59"/>
    <w:qFormat/>
    <w:rsid w:val="00D554C2"/>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
    <w:name w:val="网格型55"/>
    <w:basedOn w:val="a1"/>
    <w:uiPriority w:val="59"/>
    <w:qFormat/>
    <w:rsid w:val="00D554C2"/>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网格型75"/>
    <w:basedOn w:val="a1"/>
    <w:uiPriority w:val="59"/>
    <w:qFormat/>
    <w:rsid w:val="00D554C2"/>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0">
    <w:name w:val="无列表7"/>
    <w:next w:val="a2"/>
    <w:uiPriority w:val="99"/>
    <w:semiHidden/>
    <w:unhideWhenUsed/>
    <w:rsid w:val="009B4CAE"/>
  </w:style>
  <w:style w:type="table" w:customStyle="1" w:styleId="19">
    <w:name w:val="网格型19"/>
    <w:basedOn w:val="a1"/>
    <w:next w:val="a9"/>
    <w:qFormat/>
    <w:rsid w:val="009B4CAE"/>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0">
    <w:name w:val="网格型110"/>
    <w:basedOn w:val="a1"/>
    <w:uiPriority w:val="59"/>
    <w:qFormat/>
    <w:rsid w:val="009B4CAE"/>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6">
    <w:name w:val="网格型86"/>
    <w:basedOn w:val="a1"/>
    <w:uiPriority w:val="59"/>
    <w:qFormat/>
    <w:rsid w:val="009B4CAE"/>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
    <w:name w:val="网格型37"/>
    <w:basedOn w:val="a1"/>
    <w:uiPriority w:val="59"/>
    <w:qFormat/>
    <w:rsid w:val="009B4CAE"/>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网格型27"/>
    <w:basedOn w:val="a1"/>
    <w:uiPriority w:val="59"/>
    <w:qFormat/>
    <w:rsid w:val="009B4CAE"/>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6">
    <w:name w:val="网格型46"/>
    <w:basedOn w:val="a1"/>
    <w:uiPriority w:val="59"/>
    <w:qFormat/>
    <w:rsid w:val="009B4CAE"/>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
    <w:name w:val="网格型56"/>
    <w:basedOn w:val="a1"/>
    <w:uiPriority w:val="59"/>
    <w:qFormat/>
    <w:rsid w:val="009B4CAE"/>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
    <w:name w:val="网格型76"/>
    <w:basedOn w:val="a1"/>
    <w:uiPriority w:val="59"/>
    <w:qFormat/>
    <w:rsid w:val="009B4CAE"/>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0">
    <w:name w:val="无列表8"/>
    <w:next w:val="a2"/>
    <w:uiPriority w:val="99"/>
    <w:semiHidden/>
    <w:unhideWhenUsed/>
    <w:rsid w:val="001B5FF5"/>
  </w:style>
  <w:style w:type="table" w:customStyle="1" w:styleId="200">
    <w:name w:val="网格型20"/>
    <w:basedOn w:val="a1"/>
    <w:next w:val="a9"/>
    <w:qFormat/>
    <w:rsid w:val="001B5FF5"/>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网格型111"/>
    <w:basedOn w:val="a1"/>
    <w:uiPriority w:val="59"/>
    <w:qFormat/>
    <w:rsid w:val="001B5FF5"/>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7">
    <w:name w:val="网格型87"/>
    <w:basedOn w:val="a1"/>
    <w:uiPriority w:val="59"/>
    <w:qFormat/>
    <w:rsid w:val="001B5FF5"/>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网格型38"/>
    <w:basedOn w:val="a1"/>
    <w:uiPriority w:val="59"/>
    <w:qFormat/>
    <w:rsid w:val="001B5FF5"/>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网格型28"/>
    <w:basedOn w:val="a1"/>
    <w:uiPriority w:val="59"/>
    <w:qFormat/>
    <w:rsid w:val="001B5FF5"/>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
    <w:name w:val="网格型47"/>
    <w:basedOn w:val="a1"/>
    <w:uiPriority w:val="59"/>
    <w:qFormat/>
    <w:rsid w:val="001B5FF5"/>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
    <w:name w:val="网格型57"/>
    <w:basedOn w:val="a1"/>
    <w:uiPriority w:val="59"/>
    <w:qFormat/>
    <w:rsid w:val="001B5FF5"/>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7">
    <w:name w:val="网格型77"/>
    <w:basedOn w:val="a1"/>
    <w:uiPriority w:val="59"/>
    <w:qFormat/>
    <w:rsid w:val="001B5FF5"/>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0">
    <w:name w:val="无列表9"/>
    <w:next w:val="a2"/>
    <w:uiPriority w:val="99"/>
    <w:semiHidden/>
    <w:unhideWhenUsed/>
    <w:rsid w:val="000B25E0"/>
  </w:style>
  <w:style w:type="table" w:customStyle="1" w:styleId="29">
    <w:name w:val="网格型29"/>
    <w:basedOn w:val="a1"/>
    <w:next w:val="a9"/>
    <w:qFormat/>
    <w:rsid w:val="000B25E0"/>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网格型112"/>
    <w:basedOn w:val="a1"/>
    <w:uiPriority w:val="59"/>
    <w:qFormat/>
    <w:rsid w:val="000B25E0"/>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8">
    <w:name w:val="网格型88"/>
    <w:basedOn w:val="a1"/>
    <w:uiPriority w:val="59"/>
    <w:qFormat/>
    <w:rsid w:val="000B25E0"/>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网格型39"/>
    <w:basedOn w:val="a1"/>
    <w:uiPriority w:val="59"/>
    <w:qFormat/>
    <w:rsid w:val="000B25E0"/>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0">
    <w:name w:val="网格型210"/>
    <w:basedOn w:val="a1"/>
    <w:uiPriority w:val="59"/>
    <w:qFormat/>
    <w:rsid w:val="000B25E0"/>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
    <w:name w:val="网格型48"/>
    <w:basedOn w:val="a1"/>
    <w:uiPriority w:val="59"/>
    <w:qFormat/>
    <w:rsid w:val="000B25E0"/>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网格型58"/>
    <w:basedOn w:val="a1"/>
    <w:uiPriority w:val="59"/>
    <w:qFormat/>
    <w:rsid w:val="000B25E0"/>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网格型78"/>
    <w:basedOn w:val="a1"/>
    <w:uiPriority w:val="59"/>
    <w:qFormat/>
    <w:rsid w:val="000B25E0"/>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
    <w:name w:val="无列表10"/>
    <w:next w:val="a2"/>
    <w:uiPriority w:val="99"/>
    <w:semiHidden/>
    <w:unhideWhenUsed/>
    <w:rsid w:val="00800011"/>
  </w:style>
  <w:style w:type="paragraph" w:styleId="af1">
    <w:name w:val="Balloon Text"/>
    <w:basedOn w:val="a"/>
    <w:link w:val="af2"/>
    <w:qFormat/>
    <w:rsid w:val="00800011"/>
    <w:rPr>
      <w:sz w:val="18"/>
      <w:szCs w:val="18"/>
    </w:rPr>
  </w:style>
  <w:style w:type="character" w:customStyle="1" w:styleId="af2">
    <w:name w:val="批注框文本 字符"/>
    <w:basedOn w:val="a0"/>
    <w:link w:val="af1"/>
    <w:qFormat/>
    <w:rsid w:val="00800011"/>
    <w:rPr>
      <w:kern w:val="2"/>
      <w:sz w:val="18"/>
      <w:szCs w:val="18"/>
    </w:rPr>
  </w:style>
  <w:style w:type="table" w:customStyle="1" w:styleId="300">
    <w:name w:val="网格型30"/>
    <w:basedOn w:val="a1"/>
    <w:next w:val="a9"/>
    <w:qFormat/>
    <w:rsid w:val="0080001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样式1 Char"/>
    <w:link w:val="13"/>
    <w:qFormat/>
    <w:rsid w:val="00800011"/>
    <w:rPr>
      <w:rFonts w:eastAsia="黑体"/>
      <w:kern w:val="44"/>
      <w:sz w:val="36"/>
      <w:szCs w:val="22"/>
    </w:rPr>
  </w:style>
  <w:style w:type="table" w:customStyle="1" w:styleId="113">
    <w:name w:val="网格型113"/>
    <w:basedOn w:val="a1"/>
    <w:uiPriority w:val="59"/>
    <w:qFormat/>
    <w:rsid w:val="00800011"/>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9">
    <w:name w:val="网格型89"/>
    <w:basedOn w:val="a1"/>
    <w:uiPriority w:val="59"/>
    <w:qFormat/>
    <w:rsid w:val="0080001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0">
    <w:name w:val="网格型310"/>
    <w:basedOn w:val="a1"/>
    <w:uiPriority w:val="59"/>
    <w:qFormat/>
    <w:rsid w:val="00800011"/>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网格型211"/>
    <w:basedOn w:val="a1"/>
    <w:uiPriority w:val="59"/>
    <w:qFormat/>
    <w:rsid w:val="00800011"/>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9">
    <w:name w:val="网格型49"/>
    <w:basedOn w:val="a1"/>
    <w:uiPriority w:val="59"/>
    <w:qFormat/>
    <w:rsid w:val="00800011"/>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网格型59"/>
    <w:basedOn w:val="a1"/>
    <w:uiPriority w:val="59"/>
    <w:qFormat/>
    <w:rsid w:val="00800011"/>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
    <w:name w:val="网格型79"/>
    <w:basedOn w:val="a1"/>
    <w:uiPriority w:val="59"/>
    <w:qFormat/>
    <w:rsid w:val="00800011"/>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
    <w:name w:val="无列表11"/>
    <w:next w:val="a2"/>
    <w:uiPriority w:val="99"/>
    <w:semiHidden/>
    <w:unhideWhenUsed/>
    <w:rsid w:val="002E0E2F"/>
  </w:style>
  <w:style w:type="table" w:customStyle="1" w:styleId="400">
    <w:name w:val="网格型40"/>
    <w:basedOn w:val="a1"/>
    <w:next w:val="a9"/>
    <w:qFormat/>
    <w:rsid w:val="002E0E2F"/>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0">
    <w:name w:val="网格型114"/>
    <w:basedOn w:val="a1"/>
    <w:uiPriority w:val="59"/>
    <w:qFormat/>
    <w:rsid w:val="002E0E2F"/>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网格型810"/>
    <w:basedOn w:val="a1"/>
    <w:uiPriority w:val="59"/>
    <w:qFormat/>
    <w:rsid w:val="002E0E2F"/>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网格型311"/>
    <w:basedOn w:val="a1"/>
    <w:uiPriority w:val="59"/>
    <w:qFormat/>
    <w:rsid w:val="002E0E2F"/>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网格型212"/>
    <w:basedOn w:val="a1"/>
    <w:uiPriority w:val="59"/>
    <w:qFormat/>
    <w:rsid w:val="002E0E2F"/>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0">
    <w:name w:val="网格型410"/>
    <w:basedOn w:val="a1"/>
    <w:uiPriority w:val="59"/>
    <w:qFormat/>
    <w:rsid w:val="002E0E2F"/>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网格型510"/>
    <w:basedOn w:val="a1"/>
    <w:uiPriority w:val="59"/>
    <w:qFormat/>
    <w:rsid w:val="002E0E2F"/>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网格型710"/>
    <w:basedOn w:val="a1"/>
    <w:uiPriority w:val="59"/>
    <w:qFormat/>
    <w:rsid w:val="002E0E2F"/>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
    <w:name w:val="无列表12"/>
    <w:rsid w:val="0085474C"/>
  </w:style>
  <w:style w:type="paragraph" w:customStyle="1" w:styleId="af3">
    <w:basedOn w:val="a"/>
    <w:qFormat/>
    <w:rsid w:val="0085474C"/>
    <w:pPr>
      <w:ind w:firstLineChars="200" w:firstLine="420"/>
    </w:pPr>
    <w:rPr>
      <w:rFonts w:ascii="Times New Roman" w:eastAsia="宋体" w:hAnsi="Times New Roman" w:cs="Times New Roman"/>
      <w:szCs w:val="24"/>
    </w:rPr>
  </w:style>
  <w:style w:type="character" w:customStyle="1" w:styleId="Char">
    <w:name w:val="页眉 Char"/>
    <w:rsid w:val="0085474C"/>
    <w:rPr>
      <w:rFonts w:ascii="Times New Roman" w:eastAsia="宋体" w:hAnsi="Times New Roman" w:cs="Times New Roman"/>
      <w:kern w:val="2"/>
      <w:sz w:val="18"/>
      <w:szCs w:val="18"/>
    </w:rPr>
  </w:style>
  <w:style w:type="paragraph" w:styleId="af4">
    <w:name w:val="Plain Text"/>
    <w:basedOn w:val="a"/>
    <w:link w:val="af5"/>
    <w:qFormat/>
    <w:rsid w:val="0085474C"/>
    <w:pPr>
      <w:widowControl/>
      <w:spacing w:before="100" w:beforeAutospacing="1" w:after="100" w:afterAutospacing="1"/>
      <w:jc w:val="left"/>
    </w:pPr>
    <w:rPr>
      <w:rFonts w:ascii="宋体" w:eastAsia="宋体" w:hAnsi="宋体" w:cs="宋体"/>
      <w:color w:val="000000"/>
      <w:kern w:val="0"/>
      <w:sz w:val="24"/>
      <w:szCs w:val="24"/>
    </w:rPr>
  </w:style>
  <w:style w:type="character" w:customStyle="1" w:styleId="af5">
    <w:name w:val="纯文本 字符"/>
    <w:basedOn w:val="a0"/>
    <w:link w:val="af4"/>
    <w:rsid w:val="0085474C"/>
    <w:rPr>
      <w:rFonts w:ascii="宋体" w:eastAsia="宋体" w:hAnsi="宋体" w:cs="宋体"/>
      <w:color w:val="000000"/>
      <w:sz w:val="24"/>
      <w:szCs w:val="24"/>
    </w:rPr>
  </w:style>
  <w:style w:type="table" w:customStyle="1" w:styleId="500">
    <w:name w:val="网格型50"/>
    <w:basedOn w:val="a1"/>
    <w:rsid w:val="0085474C"/>
    <w:rPr>
      <w:rFonts w:ascii="Times New Roman" w:eastAsia="宋体"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0">
    <w:name w:val="批注框文本 Char"/>
    <w:rsid w:val="0085474C"/>
    <w:rPr>
      <w:rFonts w:ascii="Times New Roman" w:eastAsia="宋体" w:hAnsi="Times New Roman" w:cs="Times New Roman"/>
      <w:kern w:val="2"/>
      <w:sz w:val="18"/>
      <w:szCs w:val="18"/>
    </w:rPr>
  </w:style>
  <w:style w:type="paragraph" w:styleId="af6">
    <w:name w:val="Body Text Indent"/>
    <w:basedOn w:val="a"/>
    <w:link w:val="1a"/>
    <w:uiPriority w:val="99"/>
    <w:qFormat/>
    <w:rsid w:val="0085474C"/>
    <w:pPr>
      <w:ind w:firstLineChars="200" w:firstLine="420"/>
    </w:pPr>
    <w:rPr>
      <w:rFonts w:ascii="Times New Roman" w:eastAsia="宋体" w:hAnsi="Times New Roman" w:cs="Times New Roman"/>
      <w:szCs w:val="21"/>
      <w:lang w:val="x-none" w:eastAsia="x-none"/>
    </w:rPr>
  </w:style>
  <w:style w:type="character" w:customStyle="1" w:styleId="af7">
    <w:name w:val="正文文本缩进 字符"/>
    <w:basedOn w:val="a0"/>
    <w:uiPriority w:val="99"/>
    <w:qFormat/>
    <w:rsid w:val="0085474C"/>
    <w:rPr>
      <w:kern w:val="2"/>
      <w:sz w:val="21"/>
      <w:szCs w:val="22"/>
    </w:rPr>
  </w:style>
  <w:style w:type="character" w:customStyle="1" w:styleId="1a">
    <w:name w:val="正文文本缩进 字符1"/>
    <w:link w:val="af6"/>
    <w:uiPriority w:val="99"/>
    <w:rsid w:val="0085474C"/>
    <w:rPr>
      <w:rFonts w:ascii="Times New Roman" w:eastAsia="宋体" w:hAnsi="Times New Roman" w:cs="Times New Roman"/>
      <w:kern w:val="2"/>
      <w:sz w:val="21"/>
      <w:szCs w:val="21"/>
      <w:lang w:val="x-none" w:eastAsia="x-none"/>
    </w:rPr>
  </w:style>
  <w:style w:type="numbering" w:customStyle="1" w:styleId="131">
    <w:name w:val="无列表13"/>
    <w:next w:val="a2"/>
    <w:uiPriority w:val="99"/>
    <w:semiHidden/>
    <w:unhideWhenUsed/>
    <w:rsid w:val="0085474C"/>
  </w:style>
  <w:style w:type="table" w:customStyle="1" w:styleId="600">
    <w:name w:val="网格型60"/>
    <w:basedOn w:val="a1"/>
    <w:next w:val="a9"/>
    <w:rsid w:val="0085474C"/>
    <w:rPr>
      <w:rFonts w:ascii="Times New Roman" w:eastAsia="宋体"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Unresolved Mention"/>
    <w:uiPriority w:val="99"/>
    <w:semiHidden/>
    <w:unhideWhenUsed/>
    <w:rsid w:val="0085474C"/>
    <w:rPr>
      <w:color w:val="605E5C"/>
      <w:shd w:val="clear" w:color="auto" w:fill="E1DFDD"/>
    </w:rPr>
  </w:style>
  <w:style w:type="character" w:styleId="af9">
    <w:name w:val="FollowedHyperlink"/>
    <w:rsid w:val="0085474C"/>
    <w:rPr>
      <w:color w:val="954F72"/>
      <w:u w:val="single"/>
    </w:rPr>
  </w:style>
  <w:style w:type="numbering" w:customStyle="1" w:styleId="140">
    <w:name w:val="无列表14"/>
    <w:next w:val="a2"/>
    <w:uiPriority w:val="99"/>
    <w:semiHidden/>
    <w:unhideWhenUsed/>
    <w:rsid w:val="00C96426"/>
  </w:style>
  <w:style w:type="table" w:customStyle="1" w:styleId="61">
    <w:name w:val="网格型61"/>
    <w:basedOn w:val="a1"/>
    <w:next w:val="a9"/>
    <w:rsid w:val="00C96426"/>
    <w:rPr>
      <w:rFonts w:ascii="Times New Roman" w:eastAsia="宋体"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Document Map"/>
    <w:basedOn w:val="a"/>
    <w:link w:val="1b"/>
    <w:rsid w:val="00C96426"/>
    <w:rPr>
      <w:rFonts w:ascii="宋体" w:eastAsia="宋体" w:hAnsi="Times New Roman" w:cs="Times New Roman"/>
      <w:sz w:val="18"/>
      <w:szCs w:val="18"/>
    </w:rPr>
  </w:style>
  <w:style w:type="character" w:customStyle="1" w:styleId="afb">
    <w:name w:val="文档结构图 字符"/>
    <w:basedOn w:val="a0"/>
    <w:uiPriority w:val="99"/>
    <w:semiHidden/>
    <w:rsid w:val="00C96426"/>
    <w:rPr>
      <w:rFonts w:ascii="Microsoft YaHei UI" w:eastAsia="Microsoft YaHei UI"/>
      <w:kern w:val="2"/>
      <w:sz w:val="18"/>
      <w:szCs w:val="18"/>
    </w:rPr>
  </w:style>
  <w:style w:type="character" w:customStyle="1" w:styleId="1b">
    <w:name w:val="文档结构图 字符1"/>
    <w:link w:val="afa"/>
    <w:rsid w:val="00C96426"/>
    <w:rPr>
      <w:rFonts w:ascii="宋体" w:eastAsia="宋体" w:hAnsi="Times New Roman" w:cs="Times New Roman"/>
      <w:kern w:val="2"/>
      <w:sz w:val="18"/>
      <w:szCs w:val="18"/>
    </w:rPr>
  </w:style>
  <w:style w:type="numbering" w:customStyle="1" w:styleId="150">
    <w:name w:val="无列表15"/>
    <w:next w:val="a2"/>
    <w:uiPriority w:val="99"/>
    <w:semiHidden/>
    <w:unhideWhenUsed/>
    <w:rsid w:val="00534EC2"/>
  </w:style>
  <w:style w:type="numbering" w:customStyle="1" w:styleId="160">
    <w:name w:val="无列表16"/>
    <w:next w:val="a2"/>
    <w:uiPriority w:val="99"/>
    <w:semiHidden/>
    <w:unhideWhenUsed/>
    <w:rsid w:val="00534EC2"/>
  </w:style>
  <w:style w:type="table" w:customStyle="1" w:styleId="62">
    <w:name w:val="网格型62"/>
    <w:basedOn w:val="a1"/>
    <w:next w:val="a9"/>
    <w:qFormat/>
    <w:rsid w:val="00534EC2"/>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
    <w:name w:val="TOC Heading"/>
    <w:basedOn w:val="1"/>
    <w:next w:val="a"/>
    <w:uiPriority w:val="39"/>
    <w:unhideWhenUsed/>
    <w:qFormat/>
    <w:rsid w:val="00580564"/>
    <w:pPr>
      <w:widowControl/>
      <w:spacing w:before="240" w:after="0" w:line="259" w:lineRule="auto"/>
      <w:jc w:val="left"/>
      <w:outlineLvl w:val="9"/>
    </w:pPr>
    <w:rPr>
      <w:rFonts w:asciiTheme="majorHAnsi" w:eastAsiaTheme="majorEastAsia" w:hAnsiTheme="majorHAnsi" w:cstheme="majorBidi"/>
      <w:b w:val="0"/>
      <w:color w:val="2F5496" w:themeColor="accent1" w:themeShade="BF"/>
      <w:kern w:val="0"/>
      <w:sz w:val="32"/>
      <w:szCs w:val="32"/>
    </w:rPr>
  </w:style>
  <w:style w:type="paragraph" w:styleId="TOC2">
    <w:name w:val="toc 2"/>
    <w:basedOn w:val="a"/>
    <w:next w:val="a"/>
    <w:autoRedefine/>
    <w:uiPriority w:val="39"/>
    <w:unhideWhenUsed/>
    <w:rsid w:val="00580564"/>
    <w:pPr>
      <w:spacing w:after="100"/>
      <w:ind w:left="210"/>
    </w:pPr>
  </w:style>
  <w:style w:type="paragraph" w:styleId="TOC3">
    <w:name w:val="toc 3"/>
    <w:basedOn w:val="a"/>
    <w:next w:val="a"/>
    <w:autoRedefine/>
    <w:uiPriority w:val="39"/>
    <w:unhideWhenUsed/>
    <w:rsid w:val="00580564"/>
    <w:pPr>
      <w:spacing w:after="100"/>
      <w:ind w:left="420"/>
    </w:pPr>
  </w:style>
  <w:style w:type="paragraph" w:styleId="TOC4">
    <w:name w:val="toc 4"/>
    <w:basedOn w:val="a"/>
    <w:next w:val="a"/>
    <w:autoRedefine/>
    <w:uiPriority w:val="39"/>
    <w:unhideWhenUsed/>
    <w:rsid w:val="00580564"/>
    <w:pPr>
      <w:widowControl/>
      <w:spacing w:after="100" w:line="259" w:lineRule="auto"/>
      <w:ind w:left="660"/>
      <w:jc w:val="left"/>
    </w:pPr>
    <w:rPr>
      <w:kern w:val="0"/>
      <w:sz w:val="22"/>
    </w:rPr>
  </w:style>
  <w:style w:type="paragraph" w:styleId="TOC5">
    <w:name w:val="toc 5"/>
    <w:basedOn w:val="a"/>
    <w:next w:val="a"/>
    <w:autoRedefine/>
    <w:uiPriority w:val="39"/>
    <w:unhideWhenUsed/>
    <w:rsid w:val="00580564"/>
    <w:pPr>
      <w:widowControl/>
      <w:spacing w:after="100" w:line="259" w:lineRule="auto"/>
      <w:ind w:left="880"/>
      <w:jc w:val="left"/>
    </w:pPr>
    <w:rPr>
      <w:kern w:val="0"/>
      <w:sz w:val="22"/>
    </w:rPr>
  </w:style>
  <w:style w:type="paragraph" w:styleId="TOC6">
    <w:name w:val="toc 6"/>
    <w:basedOn w:val="a"/>
    <w:next w:val="a"/>
    <w:autoRedefine/>
    <w:uiPriority w:val="39"/>
    <w:unhideWhenUsed/>
    <w:rsid w:val="00580564"/>
    <w:pPr>
      <w:widowControl/>
      <w:spacing w:after="100" w:line="259" w:lineRule="auto"/>
      <w:ind w:left="1100"/>
      <w:jc w:val="left"/>
    </w:pPr>
    <w:rPr>
      <w:kern w:val="0"/>
      <w:sz w:val="22"/>
    </w:rPr>
  </w:style>
  <w:style w:type="paragraph" w:styleId="TOC7">
    <w:name w:val="toc 7"/>
    <w:basedOn w:val="a"/>
    <w:next w:val="a"/>
    <w:autoRedefine/>
    <w:uiPriority w:val="39"/>
    <w:unhideWhenUsed/>
    <w:rsid w:val="00580564"/>
    <w:pPr>
      <w:widowControl/>
      <w:spacing w:after="100" w:line="259" w:lineRule="auto"/>
      <w:ind w:left="1320"/>
      <w:jc w:val="left"/>
    </w:pPr>
    <w:rPr>
      <w:kern w:val="0"/>
      <w:sz w:val="22"/>
    </w:rPr>
  </w:style>
  <w:style w:type="paragraph" w:styleId="TOC8">
    <w:name w:val="toc 8"/>
    <w:basedOn w:val="a"/>
    <w:next w:val="a"/>
    <w:autoRedefine/>
    <w:uiPriority w:val="39"/>
    <w:unhideWhenUsed/>
    <w:rsid w:val="00580564"/>
    <w:pPr>
      <w:widowControl/>
      <w:spacing w:after="100" w:line="259" w:lineRule="auto"/>
      <w:ind w:left="1540"/>
      <w:jc w:val="left"/>
    </w:pPr>
    <w:rPr>
      <w:kern w:val="0"/>
      <w:sz w:val="22"/>
    </w:rPr>
  </w:style>
  <w:style w:type="paragraph" w:styleId="TOC9">
    <w:name w:val="toc 9"/>
    <w:basedOn w:val="a"/>
    <w:next w:val="a"/>
    <w:autoRedefine/>
    <w:uiPriority w:val="39"/>
    <w:unhideWhenUsed/>
    <w:rsid w:val="00580564"/>
    <w:pPr>
      <w:widowControl/>
      <w:spacing w:after="100" w:line="259" w:lineRule="auto"/>
      <w:ind w:left="1760"/>
      <w:jc w:val="left"/>
    </w:pPr>
    <w:rPr>
      <w:kern w:val="0"/>
      <w:sz w:val="22"/>
    </w:rPr>
  </w:style>
  <w:style w:type="paragraph" w:customStyle="1" w:styleId="afc">
    <w:name w:val="我的样式"/>
    <w:basedOn w:val="a"/>
    <w:link w:val="afd"/>
    <w:qFormat/>
    <w:rsid w:val="0039515A"/>
    <w:pPr>
      <w:spacing w:beforeLines="50" w:before="156" w:afterLines="50" w:after="156" w:line="440" w:lineRule="exact"/>
      <w:ind w:firstLineChars="200" w:firstLine="560"/>
    </w:pPr>
    <w:rPr>
      <w:rFonts w:ascii="黑体" w:eastAsia="黑体" w:hAnsi="黑体" w:cs="Times New Roman"/>
      <w:sz w:val="28"/>
      <w:szCs w:val="28"/>
    </w:rPr>
  </w:style>
  <w:style w:type="character" w:customStyle="1" w:styleId="afd">
    <w:name w:val="我的样式 字符"/>
    <w:basedOn w:val="a0"/>
    <w:link w:val="afc"/>
    <w:rsid w:val="0039515A"/>
    <w:rPr>
      <w:rFonts w:ascii="黑体" w:eastAsia="黑体" w:hAnsi="黑体" w:cs="Times New Roman"/>
      <w:kern w:val="2"/>
      <w:sz w:val="28"/>
      <w:szCs w:val="28"/>
    </w:rPr>
  </w:style>
  <w:style w:type="numbering" w:customStyle="1" w:styleId="170">
    <w:name w:val="无列表17"/>
    <w:next w:val="a2"/>
    <w:uiPriority w:val="99"/>
    <w:semiHidden/>
    <w:unhideWhenUsed/>
    <w:rsid w:val="00924971"/>
  </w:style>
  <w:style w:type="table" w:customStyle="1" w:styleId="63">
    <w:name w:val="网格型63"/>
    <w:basedOn w:val="a1"/>
    <w:next w:val="a9"/>
    <w:rsid w:val="00924971"/>
    <w:rPr>
      <w:rFonts w:ascii="Times New Roman" w:eastAsia="宋体"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1">
    <w:name w:val="文档结构图 Char"/>
    <w:rsid w:val="00924971"/>
    <w:rPr>
      <w:rFonts w:ascii="宋体"/>
      <w:kern w:val="2"/>
      <w:sz w:val="18"/>
      <w:szCs w:val="18"/>
    </w:rPr>
  </w:style>
  <w:style w:type="character" w:customStyle="1" w:styleId="20">
    <w:name w:val="标题 2 字符"/>
    <w:basedOn w:val="a0"/>
    <w:link w:val="2"/>
    <w:uiPriority w:val="9"/>
    <w:semiHidden/>
    <w:rsid w:val="00CA386B"/>
    <w:rPr>
      <w:rFonts w:asciiTheme="majorHAnsi" w:eastAsiaTheme="majorEastAsia" w:hAnsiTheme="majorHAnsi" w:cstheme="majorBidi"/>
      <w:color w:val="2F5496" w:themeColor="accent1" w:themeShade="BF"/>
      <w:kern w:val="2"/>
      <w:sz w:val="26"/>
      <w:szCs w:val="26"/>
    </w:rPr>
  </w:style>
  <w:style w:type="character" w:customStyle="1" w:styleId="30">
    <w:name w:val="标题 3 字符"/>
    <w:basedOn w:val="a0"/>
    <w:link w:val="3"/>
    <w:uiPriority w:val="9"/>
    <w:semiHidden/>
    <w:rsid w:val="00CA386B"/>
    <w:rPr>
      <w:rFonts w:asciiTheme="majorHAnsi" w:eastAsiaTheme="majorEastAsia" w:hAnsiTheme="majorHAnsi" w:cstheme="majorBidi"/>
      <w:color w:val="1F3763" w:themeColor="accent1" w:themeShade="7F"/>
      <w:kern w:val="2"/>
      <w:sz w:val="24"/>
      <w:szCs w:val="24"/>
    </w:rPr>
  </w:style>
  <w:style w:type="character" w:customStyle="1" w:styleId="40">
    <w:name w:val="标题 4 字符"/>
    <w:basedOn w:val="a0"/>
    <w:link w:val="4"/>
    <w:uiPriority w:val="9"/>
    <w:semiHidden/>
    <w:rsid w:val="00CF25BA"/>
    <w:rPr>
      <w:rFonts w:asciiTheme="majorHAnsi" w:eastAsiaTheme="majorEastAsia" w:hAnsiTheme="majorHAnsi" w:cstheme="majorBidi"/>
      <w:i/>
      <w:iCs/>
      <w:color w:val="2F5496" w:themeColor="accent1" w:themeShade="BF"/>
      <w:kern w:val="2"/>
      <w:sz w:val="21"/>
      <w:szCs w:val="22"/>
    </w:rPr>
  </w:style>
  <w:style w:type="numbering" w:customStyle="1" w:styleId="180">
    <w:name w:val="无列表18"/>
    <w:next w:val="a2"/>
    <w:uiPriority w:val="99"/>
    <w:semiHidden/>
    <w:unhideWhenUsed/>
    <w:rsid w:val="00531108"/>
  </w:style>
  <w:style w:type="table" w:customStyle="1" w:styleId="64">
    <w:name w:val="网格型64"/>
    <w:basedOn w:val="a1"/>
    <w:next w:val="a9"/>
    <w:qFormat/>
    <w:rsid w:val="00531108"/>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zhidao.baidu.com/search?word=%E5%BC%B9%E8%85%BF&amp;fr=qb_search_exp&amp;ie=utf8" TargetMode="External"/><Relationship Id="rId18" Type="http://schemas.openxmlformats.org/officeDocument/2006/relationships/hyperlink" Target="http://zhidao.baidu.com/search?word=%E5%BC%B9%E8%85%BF&amp;fr=qb_search_exp&amp;ie=utf8" TargetMode="External"/><Relationship Id="rId26" Type="http://schemas.openxmlformats.org/officeDocument/2006/relationships/hyperlink" Target="http://eol.jlu.edu.cn/software/songtianyou/inorchem/inorchem/class/chpt06/6-1.htm" TargetMode="External"/><Relationship Id="rId39" Type="http://schemas.openxmlformats.org/officeDocument/2006/relationships/hyperlink" Target="https://mooc1.chaoxing.com/course/200001909.html" TargetMode="External"/><Relationship Id="rId21" Type="http://schemas.openxmlformats.org/officeDocument/2006/relationships/hyperlink" Target="https://book.douban.com/search/Jerry%20M.%20Burger" TargetMode="External"/><Relationship Id="rId34" Type="http://schemas.openxmlformats.org/officeDocument/2006/relationships/hyperlink" Target="http://eol.jlu.edu.cn/software/songtianyou/inorchem/inorchem/class/chpt05/5-4.htm" TargetMode="External"/><Relationship Id="rId42" Type="http://schemas.openxmlformats.org/officeDocument/2006/relationships/image" Target="media/image2.wmf"/><Relationship Id="rId47" Type="http://schemas.openxmlformats.org/officeDocument/2006/relationships/hyperlink" Target="https://www.icourse163.org/" TargetMode="External"/><Relationship Id="rId50" Type="http://schemas.openxmlformats.org/officeDocument/2006/relationships/hyperlink" Target="http://search.dangdang.com/?key2=%B9%F9%CA%A5%C8%D9&amp;medium=01&amp;category_path=01.00.00.00.00.00" TargetMode="External"/><Relationship Id="rId55" Type="http://schemas.openxmlformats.org/officeDocument/2006/relationships/hyperlink" Target="https://baike.baidu.com/item/%E5%90%88%E8%82%A5%E5%B7%A5%E4%B8%9A%E5%A4%A7%E5%AD%A6%E5%87%BA%E7%89%88%E7%A4%BE/3935669"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zhidao.baidu.com/search?word=%E5%BC%B9%E8%85%BF&amp;fr=qb_search_exp&amp;ie=utf8" TargetMode="External"/><Relationship Id="rId29" Type="http://schemas.openxmlformats.org/officeDocument/2006/relationships/hyperlink" Target="http://eol.jlu.edu.cn/software/songtianyou/inorchem/inorchem/class/chpt06/6-1.htm" TargetMode="External"/><Relationship Id="rId11" Type="http://schemas.openxmlformats.org/officeDocument/2006/relationships/hyperlink" Target="http://zhidao.baidu.com/search?word=%E5%81%A5%E7%BE%8E%E6%93%8D&amp;fr=qb_search_exp&amp;ie=utf8" TargetMode="External"/><Relationship Id="rId24" Type="http://schemas.openxmlformats.org/officeDocument/2006/relationships/hyperlink" Target="http://eol.jlu.edu.cn/software/songtianyou/inorchem/inorchem/class/chpt06/6-1.htm" TargetMode="External"/><Relationship Id="rId32" Type="http://schemas.openxmlformats.org/officeDocument/2006/relationships/hyperlink" Target="http://eol.jlu.edu.cn/software/songtianyou/inorchem/inorchem/class/chpt05/5-2.htm" TargetMode="External"/><Relationship Id="rId37" Type="http://schemas.openxmlformats.org/officeDocument/2006/relationships/hyperlink" Target="https://www.icourse163.org/course/DLUT-1001630001" TargetMode="External"/><Relationship Id="rId40" Type="http://schemas.openxmlformats.org/officeDocument/2006/relationships/hyperlink" Target="https://mooc1.chaoxing.com/course/200001910.html" TargetMode="External"/><Relationship Id="rId45" Type="http://schemas.openxmlformats.org/officeDocument/2006/relationships/image" Target="media/image5.wmf"/><Relationship Id="rId53" Type="http://schemas.openxmlformats.org/officeDocument/2006/relationships/hyperlink" Target="https://book.jd.com/writer/%E6%9B%B9%E5%BF%97%E8%83%9C_1.html" TargetMode="External"/><Relationship Id="rId58" Type="http://schemas.openxmlformats.org/officeDocument/2006/relationships/footer" Target="footer5.xml"/><Relationship Id="rId5"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zhidao.baidu.com/search?word=%E5%BC%93%E6%AD%A5&amp;fr=qb_search_exp&amp;ie=utf8" TargetMode="External"/><Relationship Id="rId22" Type="http://schemas.openxmlformats.org/officeDocument/2006/relationships/hyperlink" Target="https://book.douban.com/search/Jerry%20M.%20Burger" TargetMode="External"/><Relationship Id="rId27" Type="http://schemas.openxmlformats.org/officeDocument/2006/relationships/hyperlink" Target="http://eol.jlu.edu.cn/software/songtianyou/inorchem/inorchem/class/chpt06/6-1.htm" TargetMode="External"/><Relationship Id="rId30" Type="http://schemas.openxmlformats.org/officeDocument/2006/relationships/hyperlink" Target="http://eol.jlu.edu.cn/software/songtianyou/inorchem/inorchem/class/chpt05/5-4.htm" TargetMode="External"/><Relationship Id="rId35" Type="http://schemas.openxmlformats.org/officeDocument/2006/relationships/hyperlink" Target="http://eol.jlu.edu.cn/software/songtianyou/inorchem/inorchem/class/chpt10/10-2c.htm" TargetMode="External"/><Relationship Id="rId43" Type="http://schemas.openxmlformats.org/officeDocument/2006/relationships/image" Target="media/image3.wmf"/><Relationship Id="rId48" Type="http://schemas.openxmlformats.org/officeDocument/2006/relationships/hyperlink" Target="https://www.icourse163.org/" TargetMode="External"/><Relationship Id="rId56" Type="http://schemas.openxmlformats.org/officeDocument/2006/relationships/hyperlink" Target="https://www.icourse163.org/" TargetMode="External"/><Relationship Id="rId8" Type="http://schemas.openxmlformats.org/officeDocument/2006/relationships/image" Target="media/image1.jpeg"/><Relationship Id="rId51" Type="http://schemas.openxmlformats.org/officeDocument/2006/relationships/hyperlink" Target="http://search.dangdang.com/?key3=%C8%CB%C3%F1%CE%C0%C9%FA%B3%F6%B0%E6%C9%E7&amp;medium=01&amp;category_path=01.00.00.00.00.00" TargetMode="External"/><Relationship Id="rId3" Type="http://schemas.openxmlformats.org/officeDocument/2006/relationships/styles" Target="styles.xml"/><Relationship Id="rId12" Type="http://schemas.openxmlformats.org/officeDocument/2006/relationships/hyperlink" Target="http://zhidao.baidu.com/search?word=%E8%B5%B0%E6%AD%A5&amp;fr=qb_search_exp&amp;ie=utf8" TargetMode="External"/><Relationship Id="rId17" Type="http://schemas.openxmlformats.org/officeDocument/2006/relationships/hyperlink" Target="http://zhidao.baidu.com/search?word=%E8%B5%B0%E6%AD%A5&amp;fr=qb_search_exp&amp;ie=utf8" TargetMode="External"/><Relationship Id="rId25" Type="http://schemas.openxmlformats.org/officeDocument/2006/relationships/hyperlink" Target="http://eol.jlu.edu.cn/software/songtianyou/inorchem/inorchem/class/chpt06/6-1.htm" TargetMode="External"/><Relationship Id="rId33" Type="http://schemas.openxmlformats.org/officeDocument/2006/relationships/hyperlink" Target="http://eol.jlu.edu.cn/software/songtianyou/inorchem/inorchem/class/chpt05/5-2.htm" TargetMode="External"/><Relationship Id="rId38" Type="http://schemas.openxmlformats.org/officeDocument/2006/relationships/hyperlink" Target="http://10.10.10.254/gdweb/otherresult.php?publishtion=&#31185;&#23398;&#20986;&#29256;&#31038;" TargetMode="External"/><Relationship Id="rId46" Type="http://schemas.openxmlformats.org/officeDocument/2006/relationships/image" Target="media/image6.wmf"/><Relationship Id="rId59" Type="http://schemas.openxmlformats.org/officeDocument/2006/relationships/fontTable" Target="fontTable.xml"/><Relationship Id="rId20" Type="http://schemas.openxmlformats.org/officeDocument/2006/relationships/footer" Target="footer3.xml"/><Relationship Id="rId41" Type="http://schemas.openxmlformats.org/officeDocument/2006/relationships/hyperlink" Target="http://i.mooc.chaoxing.com/space/index?t=1599085392193" TargetMode="External"/><Relationship Id="rId54" Type="http://schemas.openxmlformats.org/officeDocument/2006/relationships/hyperlink" Target="http://www.icourses.cn/hom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zhidao.baidu.com/search?word=%E8%B5%B0%E6%AD%A5&amp;fr=qb_search_exp&amp;ie=utf8" TargetMode="External"/><Relationship Id="rId23" Type="http://schemas.openxmlformats.org/officeDocument/2006/relationships/hyperlink" Target="http://eol.jlu.edu.cn/software/songtianyou/inorchem/inorchem/class/chpt06/6-1.htm" TargetMode="External"/><Relationship Id="rId28" Type="http://schemas.openxmlformats.org/officeDocument/2006/relationships/hyperlink" Target="http://eol.jlu.edu.cn/software/songtianyou/inorchem/inorchem/class/chpt06/6-1.htm" TargetMode="External"/><Relationship Id="rId36" Type="http://schemas.openxmlformats.org/officeDocument/2006/relationships/hyperlink" Target="http://eol.jlu.edu.cn/software/songtianyou/inorchem/inorchem/class/chpt10/10-2c.htm" TargetMode="External"/><Relationship Id="rId49" Type="http://schemas.openxmlformats.org/officeDocument/2006/relationships/hyperlink" Target="http://www.dangdang.com/author/%B4%F7%C6%F0%D1%AB_1" TargetMode="External"/><Relationship Id="rId57" Type="http://schemas.openxmlformats.org/officeDocument/2006/relationships/footer" Target="footer4.xml"/><Relationship Id="rId10" Type="http://schemas.openxmlformats.org/officeDocument/2006/relationships/hyperlink" Target="http://erya.mooc.chaoxing.com/" TargetMode="External"/><Relationship Id="rId31" Type="http://schemas.openxmlformats.org/officeDocument/2006/relationships/hyperlink" Target="http://eol.jlu.edu.cn/software/songtianyou/inorchem/inorchem/class/chpt05/5-1.htm" TargetMode="External"/><Relationship Id="rId44" Type="http://schemas.openxmlformats.org/officeDocument/2006/relationships/image" Target="media/image4.wmf"/><Relationship Id="rId52" Type="http://schemas.openxmlformats.org/officeDocument/2006/relationships/hyperlink" Target="https://book.jd.com/writer/%E5%BC%A0%E6%B7%91%E7%A7%80_1.html" TargetMode="External"/><Relationship Id="rId6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CBBEE8-E2FB-428B-B235-C5ECB4DD2F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1183</TotalTime>
  <Pages>1</Pages>
  <Words>86918</Words>
  <Characters>495438</Characters>
  <Application>Microsoft Office Word</Application>
  <DocSecurity>0</DocSecurity>
  <Lines>4128</Lines>
  <Paragraphs>1162</Paragraphs>
  <ScaleCrop>false</ScaleCrop>
  <Company/>
  <LinksUpToDate>false</LinksUpToDate>
  <CharactersWithSpaces>581194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 俊奇</dc:creator>
  <cp:lastModifiedBy>xl F</cp:lastModifiedBy>
  <cp:revision>83</cp:revision>
  <cp:lastPrinted>2023-10-31T09:41:00Z</cp:lastPrinted>
  <dcterms:created xsi:type="dcterms:W3CDTF">2023-10-25T12:20:00Z</dcterms:created>
  <dcterms:modified xsi:type="dcterms:W3CDTF">2023-11-01T01:17:00Z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8517575810974EB091AE870F00C93690</vt:lpwstr>
  </property>
</Properties>
</file>